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FB9" w:rsidRDefault="00D80FB9" w:rsidP="00D80FB9">
      <w:pPr>
        <w:pStyle w:val="Portada1"/>
      </w:pPr>
      <w:bookmarkStart w:id="0" w:name="_GoBack"/>
      <w:bookmarkEnd w:id="0"/>
      <w:r>
        <w:t>TRIBUNAL CONSTITUCIONAL</w:t>
      </w:r>
    </w:p>
    <w:p w:rsidR="00A90898" w:rsidRDefault="00A90898" w:rsidP="00D80FB9">
      <w:pPr>
        <w:pStyle w:val="Portada1"/>
      </w:pPr>
    </w:p>
    <w:p w:rsidR="00D80FB9" w:rsidRDefault="00D80FB9" w:rsidP="00D80FB9">
      <w:pPr>
        <w:pStyle w:val="Portada2"/>
      </w:pPr>
      <w:r>
        <w:t>SECRETARÍA GENERAL</w:t>
      </w:r>
    </w:p>
    <w:p w:rsidR="00D80FB9" w:rsidRDefault="00D80FB9" w:rsidP="00D80FB9">
      <w:pPr>
        <w:pStyle w:val="Portada2"/>
      </w:pPr>
    </w:p>
    <w:p w:rsidR="00D80FB9" w:rsidRDefault="00D80FB9" w:rsidP="00D80FB9">
      <w:pPr>
        <w:pStyle w:val="Portada2"/>
      </w:pPr>
    </w:p>
    <w:p w:rsidR="00D80FB9" w:rsidRDefault="00D80FB9" w:rsidP="00D80FB9">
      <w:pPr>
        <w:pStyle w:val="Portada2"/>
      </w:pPr>
    </w:p>
    <w:p w:rsidR="00D80FB9" w:rsidRDefault="00D80FB9" w:rsidP="00D80FB9">
      <w:pPr>
        <w:pStyle w:val="Portada2"/>
      </w:pPr>
    </w:p>
    <w:p w:rsidR="00D80FB9" w:rsidRDefault="00D80FB9" w:rsidP="00D80FB9">
      <w:pPr>
        <w:pStyle w:val="Portada2"/>
      </w:pPr>
    </w:p>
    <w:p w:rsidR="00D80FB9" w:rsidRDefault="00D80FB9" w:rsidP="00D80FB9">
      <w:pPr>
        <w:pStyle w:val="Portada2"/>
      </w:pPr>
    </w:p>
    <w:p w:rsidR="00D80FB9" w:rsidRDefault="00D80FB9" w:rsidP="00D80FB9">
      <w:pPr>
        <w:pStyle w:val="Portada2"/>
      </w:pPr>
    </w:p>
    <w:p w:rsidR="00D80FB9" w:rsidRDefault="00D80FB9" w:rsidP="00D80FB9">
      <w:pPr>
        <w:pStyle w:val="Portada2"/>
      </w:pPr>
    </w:p>
    <w:p w:rsidR="00D80FB9" w:rsidRDefault="00D80FB9" w:rsidP="00D80FB9">
      <w:pPr>
        <w:pStyle w:val="PortadaPrincipal"/>
      </w:pPr>
      <w:r>
        <w:t>JURISPRUDENCIA</w:t>
      </w:r>
    </w:p>
    <w:p w:rsidR="00D80FB9" w:rsidRDefault="00D80FB9" w:rsidP="00D80FB9">
      <w:pPr>
        <w:pStyle w:val="PortadaPrincipal"/>
      </w:pPr>
      <w:r>
        <w:t>CONSTITUCIONAL</w:t>
      </w:r>
    </w:p>
    <w:p w:rsidR="00D80FB9" w:rsidRDefault="00D80FB9" w:rsidP="00D80FB9">
      <w:pPr>
        <w:pStyle w:val="PortadaPrincipal"/>
      </w:pPr>
    </w:p>
    <w:p w:rsidR="00D80FB9" w:rsidRPr="00D80FB9" w:rsidRDefault="00D80FB9" w:rsidP="00D80FB9">
      <w:pPr>
        <w:pStyle w:val="Portada1"/>
        <w:rPr>
          <w:b/>
        </w:rPr>
      </w:pPr>
      <w:r w:rsidRPr="00D80FB9">
        <w:rPr>
          <w:b/>
        </w:rPr>
        <w:t>TOMO NONAGÉSIMO NOVENO</w:t>
      </w:r>
    </w:p>
    <w:p w:rsidR="00D80FB9" w:rsidRPr="00D80FB9" w:rsidRDefault="00D80FB9" w:rsidP="00D80FB9">
      <w:pPr>
        <w:pStyle w:val="Portada1"/>
        <w:rPr>
          <w:b/>
        </w:rPr>
      </w:pPr>
      <w:r w:rsidRPr="00D80FB9">
        <w:rPr>
          <w:b/>
        </w:rPr>
        <w:t>(julio - diciembre 2016)</w:t>
      </w:r>
    </w:p>
    <w:p w:rsidR="00D80FB9" w:rsidRDefault="00D80FB9" w:rsidP="00D80FB9">
      <w:pPr>
        <w:pStyle w:val="Portada1"/>
      </w:pPr>
    </w:p>
    <w:p w:rsidR="00D80FB9" w:rsidRDefault="00D80FB9" w:rsidP="00D80FB9">
      <w:pPr>
        <w:pStyle w:val="Portada1"/>
      </w:pPr>
    </w:p>
    <w:p w:rsidR="00D80FB9" w:rsidRDefault="00D80FB9" w:rsidP="00D80FB9">
      <w:pPr>
        <w:pStyle w:val="Portada1"/>
      </w:pPr>
    </w:p>
    <w:p w:rsidR="00D80FB9" w:rsidRDefault="00D80FB9" w:rsidP="00D80FB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D80FB9" w:rsidRDefault="00D80FB9" w:rsidP="00D80FB9">
      <w:pPr>
        <w:pStyle w:val="Portada1"/>
      </w:pPr>
    </w:p>
    <w:p w:rsidR="00D80FB9" w:rsidRDefault="00D80FB9" w:rsidP="00D80FB9">
      <w:pPr>
        <w:pStyle w:val="Portada1"/>
      </w:pPr>
    </w:p>
    <w:p w:rsidR="00D80FB9" w:rsidRDefault="00D80FB9" w:rsidP="00D80FB9">
      <w:pPr>
        <w:pStyle w:val="Portada1"/>
      </w:pPr>
    </w:p>
    <w:p w:rsidR="00D80FB9" w:rsidRDefault="00D80FB9" w:rsidP="00D80FB9">
      <w:pPr>
        <w:pStyle w:val="Portada1"/>
      </w:pPr>
    </w:p>
    <w:p w:rsidR="00D80FB9" w:rsidRDefault="00D80FB9" w:rsidP="00D80FB9">
      <w:pPr>
        <w:pStyle w:val="Portada1"/>
      </w:pPr>
    </w:p>
    <w:p w:rsidR="00D80FB9" w:rsidRDefault="00D80FB9" w:rsidP="00D80FB9">
      <w:pPr>
        <w:pStyle w:val="Portada2"/>
      </w:pPr>
      <w:r>
        <w:t>MADRID 2016</w:t>
      </w:r>
    </w:p>
    <w:p w:rsidR="00354D72" w:rsidRDefault="00354D72">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54D72" w:rsidRDefault="00354D72" w:rsidP="00354D72">
      <w:pPr>
        <w:pStyle w:val="CabeceraApartadoDerecha"/>
      </w:pPr>
      <w:r>
        <w:lastRenderedPageBreak/>
        <w:t>CONTENIDO</w:t>
      </w:r>
    </w:p>
    <w:p w:rsidR="00A90898" w:rsidRDefault="00A90898" w:rsidP="00354D72">
      <w:pPr>
        <w:pStyle w:val="CabeceraApartadoDerecha"/>
      </w:pPr>
    </w:p>
    <w:p w:rsidR="00354D72" w:rsidRDefault="00354D72" w:rsidP="00354D72">
      <w:pPr>
        <w:pStyle w:val="EntradandiceSumario"/>
        <w:keepNext w:val="0"/>
      </w:pPr>
      <w:r>
        <w:t>1. SENTENCIAS: STC 125/2016 A STC 228/2016</w:t>
      </w:r>
      <w:r>
        <w:tab/>
      </w:r>
      <w:r>
        <w:tab/>
      </w:r>
      <w:r>
        <w:fldChar w:fldCharType="begin"/>
      </w:r>
      <w:r>
        <w:instrText xml:space="preserve"> PAGEREF SUMARIOSENTENCIAS \h </w:instrText>
      </w:r>
      <w:r>
        <w:fldChar w:fldCharType="separate"/>
      </w:r>
      <w:r w:rsidR="006227CF">
        <w:rPr>
          <w:noProof/>
        </w:rPr>
        <w:t>3</w:t>
      </w:r>
      <w:r>
        <w:fldChar w:fldCharType="end"/>
      </w:r>
    </w:p>
    <w:p w:rsidR="00354D72" w:rsidRDefault="00354D72" w:rsidP="00354D72">
      <w:pPr>
        <w:pStyle w:val="EntradandiceSumario"/>
        <w:keepNext w:val="0"/>
      </w:pPr>
    </w:p>
    <w:p w:rsidR="00354D72" w:rsidRDefault="00354D72" w:rsidP="00354D72">
      <w:pPr>
        <w:pStyle w:val="EntradandiceSumario"/>
        <w:keepNext w:val="0"/>
      </w:pPr>
      <w:bookmarkStart w:id="1" w:name="SUMARIOSINDICES"/>
      <w:r>
        <w:t>2. AUTOS: ATC 135/2016 A ATC 208/2016</w:t>
      </w:r>
      <w:r>
        <w:tab/>
      </w:r>
      <w:r>
        <w:tab/>
      </w:r>
      <w:r>
        <w:fldChar w:fldCharType="begin"/>
      </w:r>
      <w:r>
        <w:instrText xml:space="preserve"> PAGEREF SUMARIOSAUTOS \h </w:instrText>
      </w:r>
      <w:r>
        <w:fldChar w:fldCharType="separate"/>
      </w:r>
      <w:r w:rsidR="006227CF">
        <w:rPr>
          <w:noProof/>
        </w:rPr>
        <w:t>24</w:t>
      </w:r>
      <w:r>
        <w:fldChar w:fldCharType="end"/>
      </w:r>
    </w:p>
    <w:bookmarkEnd w:id="1"/>
    <w:p w:rsidR="00354D72" w:rsidRDefault="00354D72" w:rsidP="00354D72">
      <w:pPr>
        <w:pStyle w:val="EntradandiceSumario"/>
        <w:keepNext w:val="0"/>
      </w:pPr>
    </w:p>
    <w:p w:rsidR="00354D72" w:rsidRDefault="00354D72" w:rsidP="00354D72">
      <w:pPr>
        <w:pStyle w:val="EntradandiceSumario"/>
        <w:keepNext w:val="0"/>
      </w:pPr>
      <w:r>
        <w:t>3. ÍNDICE DE DISPOSICIONES CON FUERZA DE LEY IMPUGNADAS:</w:t>
      </w:r>
    </w:p>
    <w:p w:rsidR="00354D72" w:rsidRDefault="00354D72" w:rsidP="00354D72">
      <w:pPr>
        <w:pStyle w:val="EntradandiceSumario"/>
        <w:keepNext w:val="0"/>
      </w:pPr>
    </w:p>
    <w:p w:rsidR="00354D72" w:rsidRDefault="00354D72" w:rsidP="00354D72">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6227CF">
        <w:rPr>
          <w:noProof/>
        </w:rPr>
        <w:t>2835</w:t>
      </w:r>
      <w:r>
        <w:fldChar w:fldCharType="end"/>
      </w:r>
    </w:p>
    <w:p w:rsidR="00354D72" w:rsidRDefault="00354D72" w:rsidP="00354D72">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6227CF">
        <w:rPr>
          <w:noProof/>
        </w:rPr>
        <w:t>2842</w:t>
      </w:r>
      <w:r>
        <w:fldChar w:fldCharType="end"/>
      </w:r>
    </w:p>
    <w:p w:rsidR="00354D72" w:rsidRDefault="00354D72" w:rsidP="00354D72"/>
    <w:p w:rsidR="00354D72" w:rsidRDefault="00354D72" w:rsidP="00354D72">
      <w:pPr>
        <w:pStyle w:val="EntradandiceSumario"/>
        <w:keepNext w:val="0"/>
      </w:pPr>
      <w:r>
        <w:t>4. ÍNDICE DE DISPOSICIONES GENERALES IMPUGNADAS:</w:t>
      </w:r>
    </w:p>
    <w:p w:rsidR="00354D72" w:rsidRDefault="00354D72" w:rsidP="00354D72">
      <w:pPr>
        <w:pStyle w:val="EntradandiceSumario"/>
        <w:keepNext w:val="0"/>
      </w:pPr>
    </w:p>
    <w:p w:rsidR="00354D72" w:rsidRDefault="00354D72" w:rsidP="00354D72">
      <w:pPr>
        <w:pStyle w:val="EntradandiceSumarioNivel2"/>
        <w:keepNext w:val="0"/>
      </w:pPr>
      <w:r>
        <w:t>A) Disposiciones del Estado</w:t>
      </w:r>
      <w:r>
        <w:tab/>
      </w:r>
      <w:r>
        <w:tab/>
      </w:r>
      <w:r>
        <w:fldChar w:fldCharType="begin"/>
      </w:r>
      <w:r>
        <w:instrText xml:space="preserve"> PAGEREF INDICE22803 \h </w:instrText>
      </w:r>
      <w:r>
        <w:fldChar w:fldCharType="separate"/>
      </w:r>
      <w:r w:rsidR="006227CF">
        <w:rPr>
          <w:noProof/>
        </w:rPr>
        <w:t>2850</w:t>
      </w:r>
      <w:r>
        <w:fldChar w:fldCharType="end"/>
      </w:r>
    </w:p>
    <w:p w:rsidR="00354D72" w:rsidRDefault="00354D72" w:rsidP="00354D7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227CF">
        <w:rPr>
          <w:noProof/>
        </w:rPr>
        <w:t>2851</w:t>
      </w:r>
      <w:r>
        <w:fldChar w:fldCharType="end"/>
      </w:r>
    </w:p>
    <w:p w:rsidR="00354D72" w:rsidRDefault="00354D72" w:rsidP="00354D72">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6227CF">
        <w:rPr>
          <w:noProof/>
        </w:rPr>
        <w:t>2852</w:t>
      </w:r>
      <w:r>
        <w:fldChar w:fldCharType="end"/>
      </w:r>
    </w:p>
    <w:p w:rsidR="00354D72" w:rsidRDefault="00354D72" w:rsidP="00354D72"/>
    <w:p w:rsidR="00354D72" w:rsidRDefault="00354D72" w:rsidP="00354D72">
      <w:pPr>
        <w:pStyle w:val="EntradandiceSumario"/>
        <w:keepNext w:val="0"/>
      </w:pPr>
      <w:r>
        <w:t>5. ÍNDICE DE DISPOSICIONES CITADAS:</w:t>
      </w:r>
    </w:p>
    <w:p w:rsidR="00354D72" w:rsidRDefault="00354D72" w:rsidP="00354D72">
      <w:pPr>
        <w:pStyle w:val="EntradandiceSumario"/>
        <w:keepNext w:val="0"/>
      </w:pPr>
    </w:p>
    <w:p w:rsidR="00354D72" w:rsidRDefault="00354D72" w:rsidP="00354D72">
      <w:pPr>
        <w:pStyle w:val="EntradandiceSumarioNivel2"/>
        <w:keepNext w:val="0"/>
      </w:pPr>
      <w:r>
        <w:t>A) Constitución</w:t>
      </w:r>
      <w:r>
        <w:tab/>
      </w:r>
      <w:r>
        <w:tab/>
      </w:r>
      <w:r>
        <w:fldChar w:fldCharType="begin"/>
      </w:r>
      <w:r>
        <w:instrText xml:space="preserve"> PAGEREF INDICE22804 \h </w:instrText>
      </w:r>
      <w:r>
        <w:fldChar w:fldCharType="separate"/>
      </w:r>
      <w:r w:rsidR="006227CF">
        <w:rPr>
          <w:noProof/>
        </w:rPr>
        <w:t>2853</w:t>
      </w:r>
      <w:r>
        <w:fldChar w:fldCharType="end"/>
      </w:r>
    </w:p>
    <w:p w:rsidR="00354D72" w:rsidRDefault="00354D72" w:rsidP="00354D72">
      <w:pPr>
        <w:pStyle w:val="EntradandiceSumarioNivel2"/>
        <w:keepNext w:val="0"/>
      </w:pPr>
      <w:r>
        <w:t>B) Tribunal Constitucional</w:t>
      </w:r>
      <w:r>
        <w:tab/>
      </w:r>
      <w:r>
        <w:tab/>
      </w:r>
      <w:r>
        <w:fldChar w:fldCharType="begin"/>
      </w:r>
      <w:r>
        <w:instrText xml:space="preserve"> PAGEREF INDICE22843 \h </w:instrText>
      </w:r>
      <w:r>
        <w:fldChar w:fldCharType="separate"/>
      </w:r>
      <w:r w:rsidR="006227CF">
        <w:rPr>
          <w:noProof/>
        </w:rPr>
        <w:t>2862</w:t>
      </w:r>
      <w:r>
        <w:fldChar w:fldCharType="end"/>
      </w:r>
    </w:p>
    <w:p w:rsidR="00354D72" w:rsidRDefault="00354D72" w:rsidP="00354D72">
      <w:pPr>
        <w:pStyle w:val="EntradandiceSumarioNivel2"/>
        <w:keepNext w:val="0"/>
      </w:pPr>
      <w:r>
        <w:t>C) Cortes Generales</w:t>
      </w:r>
      <w:r>
        <w:tab/>
      </w:r>
      <w:r>
        <w:tab/>
      </w:r>
      <w:r>
        <w:fldChar w:fldCharType="begin"/>
      </w:r>
      <w:r>
        <w:instrText xml:space="preserve"> PAGEREF INDICE22844 \h </w:instrText>
      </w:r>
      <w:r>
        <w:fldChar w:fldCharType="separate"/>
      </w:r>
      <w:r w:rsidR="006227CF">
        <w:rPr>
          <w:noProof/>
        </w:rPr>
        <w:t>2868</w:t>
      </w:r>
      <w:r>
        <w:fldChar w:fldCharType="end"/>
      </w:r>
    </w:p>
    <w:p w:rsidR="00354D72" w:rsidRDefault="00354D72" w:rsidP="00354D72">
      <w:pPr>
        <w:pStyle w:val="EntradandiceSumarioNivel2"/>
        <w:keepNext w:val="0"/>
      </w:pPr>
      <w:r>
        <w:t>D) Leyes Orgánicas</w:t>
      </w:r>
      <w:r>
        <w:tab/>
      </w:r>
      <w:r>
        <w:tab/>
      </w:r>
      <w:r>
        <w:fldChar w:fldCharType="begin"/>
      </w:r>
      <w:r>
        <w:instrText xml:space="preserve"> PAGEREF INDICE22845 \h </w:instrText>
      </w:r>
      <w:r>
        <w:fldChar w:fldCharType="separate"/>
      </w:r>
      <w:r w:rsidR="006227CF">
        <w:rPr>
          <w:noProof/>
        </w:rPr>
        <w:t>2869</w:t>
      </w:r>
      <w:r>
        <w:fldChar w:fldCharType="end"/>
      </w:r>
    </w:p>
    <w:p w:rsidR="00354D72" w:rsidRDefault="00354D72" w:rsidP="00354D72">
      <w:pPr>
        <w:pStyle w:val="EntradandiceSumarioNivel2"/>
        <w:keepNext w:val="0"/>
      </w:pPr>
      <w:r>
        <w:t>E) Leyes de las Cortes Generales</w:t>
      </w:r>
      <w:r>
        <w:tab/>
      </w:r>
      <w:r>
        <w:tab/>
      </w:r>
      <w:r>
        <w:fldChar w:fldCharType="begin"/>
      </w:r>
      <w:r>
        <w:instrText xml:space="preserve"> PAGEREF INDICE22846 \h </w:instrText>
      </w:r>
      <w:r>
        <w:fldChar w:fldCharType="separate"/>
      </w:r>
      <w:r w:rsidR="006227CF">
        <w:rPr>
          <w:noProof/>
        </w:rPr>
        <w:t>2878</w:t>
      </w:r>
      <w:r>
        <w:fldChar w:fldCharType="end"/>
      </w:r>
    </w:p>
    <w:p w:rsidR="00354D72" w:rsidRDefault="00354D72" w:rsidP="00354D72">
      <w:pPr>
        <w:pStyle w:val="EntradandiceSumarioNivel2"/>
        <w:keepNext w:val="0"/>
      </w:pPr>
      <w:r>
        <w:t>F) Reales Decretos Legislativos</w:t>
      </w:r>
      <w:r>
        <w:tab/>
      </w:r>
      <w:r>
        <w:tab/>
      </w:r>
      <w:r>
        <w:fldChar w:fldCharType="begin"/>
      </w:r>
      <w:r>
        <w:instrText xml:space="preserve"> PAGEREF INDICE22847 \h </w:instrText>
      </w:r>
      <w:r>
        <w:fldChar w:fldCharType="separate"/>
      </w:r>
      <w:r w:rsidR="006227CF">
        <w:rPr>
          <w:noProof/>
        </w:rPr>
        <w:t>2908</w:t>
      </w:r>
      <w:r>
        <w:fldChar w:fldCharType="end"/>
      </w:r>
    </w:p>
    <w:p w:rsidR="00354D72" w:rsidRDefault="00354D72" w:rsidP="00354D72">
      <w:pPr>
        <w:pStyle w:val="EntradandiceSumarioNivel2"/>
        <w:keepNext w:val="0"/>
      </w:pPr>
      <w:r>
        <w:t>G) Reales Decretos-leyes</w:t>
      </w:r>
      <w:r>
        <w:tab/>
      </w:r>
      <w:r>
        <w:tab/>
      </w:r>
      <w:r>
        <w:fldChar w:fldCharType="begin"/>
      </w:r>
      <w:r>
        <w:instrText xml:space="preserve"> PAGEREF INDICE22848 \h </w:instrText>
      </w:r>
      <w:r>
        <w:fldChar w:fldCharType="separate"/>
      </w:r>
      <w:r w:rsidR="006227CF">
        <w:rPr>
          <w:noProof/>
        </w:rPr>
        <w:t>2912</w:t>
      </w:r>
      <w:r>
        <w:fldChar w:fldCharType="end"/>
      </w:r>
    </w:p>
    <w:p w:rsidR="00354D72" w:rsidRDefault="00354D72" w:rsidP="00354D7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227CF">
        <w:rPr>
          <w:noProof/>
        </w:rPr>
        <w:t>2919</w:t>
      </w:r>
      <w:r>
        <w:fldChar w:fldCharType="end"/>
      </w:r>
    </w:p>
    <w:p w:rsidR="00354D72" w:rsidRDefault="00354D72" w:rsidP="00354D72">
      <w:pPr>
        <w:pStyle w:val="EntradandiceSumarioNivel2"/>
        <w:keepNext w:val="0"/>
      </w:pPr>
      <w:r>
        <w:t>I) Legislación preconstitucional</w:t>
      </w:r>
      <w:r>
        <w:tab/>
      </w:r>
      <w:r>
        <w:tab/>
      </w:r>
      <w:r>
        <w:fldChar w:fldCharType="begin"/>
      </w:r>
      <w:r>
        <w:instrText xml:space="preserve"> PAGEREF INDICE22850 \h </w:instrText>
      </w:r>
      <w:r>
        <w:fldChar w:fldCharType="separate"/>
      </w:r>
      <w:r w:rsidR="006227CF">
        <w:rPr>
          <w:noProof/>
        </w:rPr>
        <w:t>2929</w:t>
      </w:r>
      <w:r>
        <w:fldChar w:fldCharType="end"/>
      </w:r>
    </w:p>
    <w:p w:rsidR="00354D72" w:rsidRDefault="00354D72" w:rsidP="00354D7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227CF">
        <w:rPr>
          <w:noProof/>
        </w:rPr>
        <w:t>2931</w:t>
      </w:r>
      <w:r>
        <w:fldChar w:fldCharType="end"/>
      </w:r>
    </w:p>
    <w:p w:rsidR="00354D72" w:rsidRDefault="00354D72" w:rsidP="00354D72">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6227CF">
        <w:rPr>
          <w:noProof/>
        </w:rPr>
        <w:t>2966</w:t>
      </w:r>
      <w:r>
        <w:fldChar w:fldCharType="end"/>
      </w:r>
    </w:p>
    <w:p w:rsidR="00354D72" w:rsidRDefault="00354D72" w:rsidP="00354D7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227CF">
        <w:rPr>
          <w:noProof/>
        </w:rPr>
        <w:t>2967</w:t>
      </w:r>
      <w:r>
        <w:fldChar w:fldCharType="end"/>
      </w:r>
    </w:p>
    <w:p w:rsidR="00354D72" w:rsidRDefault="00354D72" w:rsidP="00354D72">
      <w:pPr>
        <w:pStyle w:val="EntradandiceSumarioNivel2"/>
        <w:keepNext w:val="0"/>
      </w:pPr>
      <w:r>
        <w:t>M) Unión Europea</w:t>
      </w:r>
      <w:r>
        <w:tab/>
      </w:r>
      <w:r>
        <w:tab/>
      </w:r>
      <w:r>
        <w:fldChar w:fldCharType="begin"/>
      </w:r>
      <w:r>
        <w:instrText xml:space="preserve"> PAGEREF INDICE22871 \h </w:instrText>
      </w:r>
      <w:r>
        <w:fldChar w:fldCharType="separate"/>
      </w:r>
      <w:r w:rsidR="006227CF">
        <w:rPr>
          <w:noProof/>
        </w:rPr>
        <w:t>2968</w:t>
      </w:r>
      <w:r>
        <w:fldChar w:fldCharType="end"/>
      </w:r>
    </w:p>
    <w:p w:rsidR="00354D72" w:rsidRDefault="00354D72" w:rsidP="00354D72">
      <w:pPr>
        <w:pStyle w:val="EntradandiceSumarioNivel2"/>
        <w:keepNext w:val="0"/>
      </w:pPr>
      <w:r>
        <w:t>N) Consejo de Europa</w:t>
      </w:r>
      <w:r>
        <w:tab/>
      </w:r>
      <w:r>
        <w:tab/>
      </w:r>
      <w:r>
        <w:fldChar w:fldCharType="begin"/>
      </w:r>
      <w:r>
        <w:instrText xml:space="preserve"> PAGEREF INDICE27994 \h </w:instrText>
      </w:r>
      <w:r>
        <w:fldChar w:fldCharType="separate"/>
      </w:r>
      <w:r w:rsidR="006227CF">
        <w:rPr>
          <w:noProof/>
        </w:rPr>
        <w:t>2973</w:t>
      </w:r>
      <w:r>
        <w:fldChar w:fldCharType="end"/>
      </w:r>
    </w:p>
    <w:p w:rsidR="00354D72" w:rsidRDefault="00354D72" w:rsidP="00354D72">
      <w:pPr>
        <w:pStyle w:val="EntradandiceSumarioNivel2"/>
        <w:keepNext w:val="0"/>
      </w:pPr>
      <w:r>
        <w:t>Ñ) Legislación extranjera</w:t>
      </w:r>
      <w:r>
        <w:tab/>
      </w:r>
      <w:r>
        <w:tab/>
      </w:r>
      <w:r>
        <w:fldChar w:fldCharType="begin"/>
      </w:r>
      <w:r>
        <w:instrText xml:space="preserve"> PAGEREF INDICE22872 \h </w:instrText>
      </w:r>
      <w:r>
        <w:fldChar w:fldCharType="separate"/>
      </w:r>
      <w:r w:rsidR="006227CF">
        <w:rPr>
          <w:noProof/>
        </w:rPr>
        <w:t>2973</w:t>
      </w:r>
      <w:r>
        <w:fldChar w:fldCharType="end"/>
      </w:r>
    </w:p>
    <w:p w:rsidR="00354D72" w:rsidRDefault="00354D72" w:rsidP="00354D72"/>
    <w:p w:rsidR="00354D72" w:rsidRDefault="00354D72" w:rsidP="00354D72">
      <w:pPr>
        <w:pStyle w:val="EntradandiceSumario"/>
        <w:keepNext w:val="0"/>
      </w:pPr>
      <w:r>
        <w:t>6. ÍNDICE DE RESOLUCIONES JUDICIALES DE OTROS TRIBUNALES CITADAS:</w:t>
      </w:r>
    </w:p>
    <w:p w:rsidR="00354D72" w:rsidRDefault="00354D72" w:rsidP="00354D72">
      <w:pPr>
        <w:pStyle w:val="EntradandiceSumario"/>
        <w:keepNext w:val="0"/>
      </w:pPr>
    </w:p>
    <w:p w:rsidR="00354D72" w:rsidRDefault="00354D72" w:rsidP="00354D7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227CF">
        <w:rPr>
          <w:noProof/>
        </w:rPr>
        <w:t>2975</w:t>
      </w:r>
      <w:r>
        <w:fldChar w:fldCharType="end"/>
      </w:r>
    </w:p>
    <w:p w:rsidR="00354D72" w:rsidRDefault="00354D72" w:rsidP="00354D72">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6227CF">
        <w:rPr>
          <w:noProof/>
        </w:rPr>
        <w:t>2984</w:t>
      </w:r>
      <w:r>
        <w:fldChar w:fldCharType="end"/>
      </w:r>
    </w:p>
    <w:p w:rsidR="00354D72" w:rsidRDefault="00354D72" w:rsidP="00354D72">
      <w:pPr>
        <w:pStyle w:val="EntradandiceSumarioNivel2"/>
        <w:keepNext w:val="0"/>
      </w:pPr>
      <w:r>
        <w:t>D) Otros Tribunales</w:t>
      </w:r>
      <w:r>
        <w:tab/>
      </w:r>
      <w:r>
        <w:tab/>
      </w:r>
      <w:r>
        <w:fldChar w:fldCharType="begin"/>
      </w:r>
      <w:r>
        <w:instrText xml:space="preserve"> PAGEREF INDICE22926 \h </w:instrText>
      </w:r>
      <w:r>
        <w:fldChar w:fldCharType="separate"/>
      </w:r>
      <w:r w:rsidR="006227CF">
        <w:rPr>
          <w:noProof/>
        </w:rPr>
        <w:t>2987</w:t>
      </w:r>
      <w:r>
        <w:fldChar w:fldCharType="end"/>
      </w:r>
    </w:p>
    <w:p w:rsidR="00354D72" w:rsidRDefault="00354D72" w:rsidP="00354D72"/>
    <w:p w:rsidR="00354D72" w:rsidRDefault="00354D72" w:rsidP="00354D72">
      <w:pPr>
        <w:pStyle w:val="EntradandiceSumario"/>
        <w:keepNext w:val="0"/>
      </w:pPr>
      <w:r>
        <w:t>7. ÍNDICE ANALÍTICO</w:t>
      </w:r>
      <w:r>
        <w:tab/>
      </w:r>
      <w:r>
        <w:tab/>
      </w:r>
      <w:r>
        <w:fldChar w:fldCharType="begin"/>
      </w:r>
      <w:r>
        <w:instrText xml:space="preserve"> PAGEREF INDICE5ALFABETICO \h </w:instrText>
      </w:r>
      <w:r>
        <w:fldChar w:fldCharType="separate"/>
      </w:r>
      <w:r w:rsidR="006227CF">
        <w:rPr>
          <w:noProof/>
        </w:rPr>
        <w:t>2989</w:t>
      </w:r>
      <w:r>
        <w:fldChar w:fldCharType="end"/>
      </w:r>
    </w:p>
    <w:p w:rsidR="00354D72" w:rsidRDefault="00354D72" w:rsidP="00354D72"/>
    <w:p w:rsidR="00354D72" w:rsidRDefault="00354D72" w:rsidP="00354D72">
      <w:pPr>
        <w:pStyle w:val="EntradandiceSumario"/>
        <w:keepNext w:val="0"/>
      </w:pPr>
      <w:r>
        <w:t>8. ABREVIATURAS Y ACRÓNIMOS</w:t>
      </w:r>
      <w:r>
        <w:tab/>
      </w:r>
      <w:r>
        <w:tab/>
      </w:r>
      <w:r>
        <w:fldChar w:fldCharType="begin"/>
      </w:r>
      <w:r>
        <w:instrText xml:space="preserve"> PAGEREF ACRONIMOS \h </w:instrText>
      </w:r>
      <w:r>
        <w:fldChar w:fldCharType="separate"/>
      </w:r>
      <w:r w:rsidR="006227CF">
        <w:rPr>
          <w:noProof/>
        </w:rPr>
        <w:t>3012</w:t>
      </w:r>
      <w:r>
        <w:fldChar w:fldCharType="end"/>
      </w:r>
    </w:p>
    <w:p w:rsidR="00354D72" w:rsidRDefault="00354D72">
      <w:pPr>
        <w:spacing w:after="160" w:line="259" w:lineRule="auto"/>
        <w:rPr>
          <w:rFonts w:ascii="Times New Roman" w:eastAsia="Times New Roman" w:hAnsi="Times New Roman" w:cs="Times New Roman"/>
          <w:sz w:val="24"/>
          <w:szCs w:val="24"/>
          <w:lang w:eastAsia="es-ES"/>
        </w:rPr>
      </w:pPr>
      <w:r>
        <w:br w:type="page"/>
      </w:r>
    </w:p>
    <w:p w:rsidR="00354D72" w:rsidRDefault="00354D72" w:rsidP="00354D72">
      <w:pPr>
        <w:pStyle w:val="EntradandiceSumario"/>
        <w:keepNext w:val="0"/>
      </w:pPr>
    </w:p>
    <w:p w:rsidR="00354D72" w:rsidRDefault="00354D72" w:rsidP="00354D72"/>
    <w:p w:rsidR="00354D72" w:rsidRDefault="00354D72" w:rsidP="00354D72"/>
    <w:p w:rsidR="00354D72" w:rsidRDefault="00354D72" w:rsidP="00354D72">
      <w:pPr>
        <w:pStyle w:val="Ttulondice"/>
      </w:pPr>
      <w:bookmarkStart w:id="2" w:name="SUMARIOSENTENCIAS"/>
      <w:r>
        <w:t>1. SENTENCIAS: STC 125/2016 A STC 228/2016</w:t>
      </w:r>
    </w:p>
    <w:bookmarkEnd w:id="2"/>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EntradandiceSentencia"/>
      </w:pPr>
      <w:r>
        <w:t>Pleno. Sentencia 125/2016, de 7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1044-2006. </w:t>
      </w:r>
      <w:r w:rsidRPr="00354D72">
        <w:rPr>
          <w:rStyle w:val="TextoNormalCursivaCaracter"/>
        </w:rPr>
        <w:t xml:space="preserve"> Límites a los decretos-leyes: ausencia del presupuesto habilitante necesario para reformar con carácter de urgencia el régimen de restitución de bienes y derechos incautados a las organizaciones sindicales en aplicación de la Ley de responsabilidades políticas.</w:t>
      </w:r>
      <w:r>
        <w:tab/>
      </w:r>
      <w:r>
        <w:tab/>
      </w:r>
      <w:r>
        <w:fldChar w:fldCharType="begin"/>
      </w:r>
      <w:r>
        <w:instrText xml:space="preserve"> PAGEREF SENTENCIA_2016_125 \h </w:instrText>
      </w:r>
      <w:r>
        <w:fldChar w:fldCharType="separate"/>
      </w:r>
      <w:r w:rsidR="006227CF">
        <w:rPr>
          <w:noProof/>
        </w:rPr>
        <w:t>35</w:t>
      </w:r>
      <w:r>
        <w:fldChar w:fldCharType="end"/>
      </w:r>
    </w:p>
    <w:p w:rsidR="00A90898" w:rsidRDefault="00A90898" w:rsidP="00354D72"/>
    <w:p w:rsidR="00354D72" w:rsidRDefault="00354D72" w:rsidP="00354D72">
      <w:pPr>
        <w:pStyle w:val="EntradandiceSentencia"/>
      </w:pPr>
      <w:r>
        <w:t>Pleno. Sentencia 126/2016, de 7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6524-2014. </w:t>
      </w:r>
      <w:r w:rsidRPr="00354D72">
        <w:rPr>
          <w:rStyle w:val="TextoNormalCursivaCaracter"/>
        </w:rPr>
        <w:t xml:space="preserve"> Límites a los decretos-leyes: ausencia del presupuesto habilitante necesario para la concesión urgente de un crédito extraordinario en el presupuesto del Ministerio de Defensa.</w:t>
      </w:r>
      <w:r>
        <w:tab/>
      </w:r>
      <w:r>
        <w:tab/>
      </w:r>
      <w:r>
        <w:fldChar w:fldCharType="begin"/>
      </w:r>
      <w:r>
        <w:instrText xml:space="preserve"> PAGEREF SENTENCIA_2016_126 \h </w:instrText>
      </w:r>
      <w:r>
        <w:fldChar w:fldCharType="separate"/>
      </w:r>
      <w:r w:rsidR="006227CF">
        <w:rPr>
          <w:noProof/>
        </w:rPr>
        <w:t>57</w:t>
      </w:r>
      <w:r>
        <w:fldChar w:fldCharType="end"/>
      </w:r>
    </w:p>
    <w:p w:rsidR="00354D72" w:rsidRDefault="00354D72" w:rsidP="00354D72"/>
    <w:p w:rsidR="00354D72" w:rsidRDefault="00354D72" w:rsidP="00354D72">
      <w:pPr>
        <w:pStyle w:val="EntradandiceSentencia"/>
      </w:pPr>
      <w:r>
        <w:t>Pleno. Sentencia 127/2016, de 7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1757-2015. </w:t>
      </w:r>
      <w:r w:rsidRPr="00354D72">
        <w:rPr>
          <w:rStyle w:val="TextoNormalCursivaCaracter"/>
        </w:rPr>
        <w:t xml:space="preserve"> Competencias sobre régimen local: inadmisión de la cuestión de inconstitucionalidad en la que se aduce inconstitucionalidad sobrevenida de un precepto legal autonómico (STC 102/2016). Voto particular.</w:t>
      </w:r>
      <w:r>
        <w:tab/>
      </w:r>
      <w:r>
        <w:tab/>
      </w:r>
      <w:r>
        <w:fldChar w:fldCharType="begin"/>
      </w:r>
      <w:r>
        <w:instrText xml:space="preserve"> PAGEREF SENTENCIA_2016_127 \h </w:instrText>
      </w:r>
      <w:r>
        <w:fldChar w:fldCharType="separate"/>
      </w:r>
      <w:r w:rsidR="006227CF">
        <w:rPr>
          <w:noProof/>
        </w:rPr>
        <w:t>71</w:t>
      </w:r>
      <w:r>
        <w:fldChar w:fldCharType="end"/>
      </w:r>
    </w:p>
    <w:p w:rsidR="00354D72" w:rsidRDefault="00354D72" w:rsidP="00354D72"/>
    <w:p w:rsidR="00354D72" w:rsidRDefault="00354D72" w:rsidP="00354D72">
      <w:pPr>
        <w:pStyle w:val="EntradandiceSentencia"/>
      </w:pPr>
      <w:r>
        <w:t>Pleno. Sentencia 128/2016, de 7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3493-2015. </w:t>
      </w:r>
      <w:r w:rsidRPr="00354D72">
        <w:rPr>
          <w:rStyle w:val="TextoNormalCursivaCaracter"/>
        </w:rPr>
        <w:t xml:space="preserve"> Soberanía nacional, principios de autonomía y supremacía de la Constitución; competencias sobre urbanismo, energía, transporte ferroviario y meteorología: nulidad de los preceptos legales autonómicos que confiere al servicio de meteorología de Cataluña una función de apoyo a la navegación aérea, regulan la implantación de establecimientos comerciales en los puertos de titularidad pública, el plan director de la Administración tributaria de Cataluña, el catálogo de infraestructuras estratégicas y el plan director de los sectores de energía, telecomunicaciones, sistemas de información y transporte ferroviario; interpretación conforme de los preceptos relativos al inventario del patrimonio de las Administraciones públicas de Cataluña y de creación de la Agencia Catalana de Protección Social.</w:t>
      </w:r>
      <w:r>
        <w:tab/>
      </w:r>
      <w:r>
        <w:tab/>
      </w:r>
      <w:r>
        <w:fldChar w:fldCharType="begin"/>
      </w:r>
      <w:r>
        <w:instrText xml:space="preserve"> PAGEREF SENTENCIA_2016_128 \h </w:instrText>
      </w:r>
      <w:r>
        <w:fldChar w:fldCharType="separate"/>
      </w:r>
      <w:r w:rsidR="006227CF">
        <w:rPr>
          <w:noProof/>
        </w:rPr>
        <w:t>91</w:t>
      </w:r>
      <w:r>
        <w:fldChar w:fldCharType="end"/>
      </w:r>
    </w:p>
    <w:p w:rsidR="00354D72" w:rsidRDefault="00354D72" w:rsidP="00354D72"/>
    <w:p w:rsidR="00354D72" w:rsidRDefault="00354D72" w:rsidP="00354D72">
      <w:pPr>
        <w:pStyle w:val="EntradandiceSentencia"/>
      </w:pPr>
      <w:r>
        <w:t>Sala Primera. Sentencia 129/2016,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4455-2011. </w:t>
      </w:r>
      <w:r w:rsidRPr="00354D72">
        <w:rPr>
          <w:rStyle w:val="TextoNormalCursivaCaracter"/>
        </w:rPr>
        <w:t xml:space="preserve"> Vulneración del derecho a un proceso sin dilaciones indebidas: demora de aproximadamente dos años en la celebración de la vista del juicio en un procedimiento abreviado contencioso-administrativo (STC 63/2016).</w:t>
      </w:r>
      <w:r>
        <w:tab/>
      </w:r>
      <w:r>
        <w:tab/>
      </w:r>
      <w:r>
        <w:fldChar w:fldCharType="begin"/>
      </w:r>
      <w:r>
        <w:instrText xml:space="preserve"> PAGEREF SENTENCIA_2016_129 \h </w:instrText>
      </w:r>
      <w:r>
        <w:fldChar w:fldCharType="separate"/>
      </w:r>
      <w:r w:rsidR="006227CF">
        <w:rPr>
          <w:noProof/>
        </w:rPr>
        <w:t>160</w:t>
      </w:r>
      <w:r>
        <w:fldChar w:fldCharType="end"/>
      </w:r>
    </w:p>
    <w:p w:rsidR="00354D72" w:rsidRDefault="00354D72" w:rsidP="00354D72"/>
    <w:p w:rsidR="00354D72" w:rsidRDefault="00354D72" w:rsidP="00354D72">
      <w:pPr>
        <w:pStyle w:val="EntradandiceSentencia"/>
      </w:pPr>
      <w:r>
        <w:t>Sala Primera. Sentencia 130/2016,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624-2013. </w:t>
      </w:r>
      <w:r w:rsidRPr="00354D72">
        <w:rPr>
          <w:rStyle w:val="TextoNormalCursivaCaracter"/>
        </w:rPr>
        <w:t xml:space="preserve"> Vulneración del derecho a la tutela judicial efectiva en relación con el derecho a no ser sometido a torturas ni a tratos inhumanos o degradantes: investigación insuficiente de una denuncia de torturas que se dicen sufridas bajo custodia policial (STC 34/2008).</w:t>
      </w:r>
      <w:r>
        <w:tab/>
      </w:r>
      <w:r>
        <w:tab/>
      </w:r>
      <w:r>
        <w:fldChar w:fldCharType="begin"/>
      </w:r>
      <w:r>
        <w:instrText xml:space="preserve"> PAGEREF SENTENCIA_2016_130 \h </w:instrText>
      </w:r>
      <w:r>
        <w:fldChar w:fldCharType="separate"/>
      </w:r>
      <w:r w:rsidR="006227CF">
        <w:rPr>
          <w:noProof/>
        </w:rPr>
        <w:t>174</w:t>
      </w:r>
      <w:r>
        <w:fldChar w:fldCharType="end"/>
      </w:r>
    </w:p>
    <w:p w:rsidR="00354D72" w:rsidRDefault="00354D72" w:rsidP="00354D72"/>
    <w:p w:rsidR="00354D72" w:rsidRDefault="00354D72" w:rsidP="00354D72">
      <w:pPr>
        <w:pStyle w:val="EntradandiceSentencia"/>
      </w:pPr>
      <w:r>
        <w:t>Sala Segunda. Sentencia 131/2016,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5646-2014. </w:t>
      </w:r>
      <w:r w:rsidRPr="00354D72">
        <w:rPr>
          <w:rStyle w:val="TextoNormalCursivaCaracter"/>
        </w:rPr>
        <w:t xml:space="preserve"> Vulneración del derecho a la tutela judicial efectiva: resoluciones administrativa y judicial que no ponderan las circunstancias familiares y de arraigo al acordar la expulsión de un extranjero del territorio nacional (STC 140/2009).</w:t>
      </w:r>
      <w:r>
        <w:tab/>
      </w:r>
      <w:r>
        <w:tab/>
      </w:r>
      <w:r>
        <w:fldChar w:fldCharType="begin"/>
      </w:r>
      <w:r>
        <w:instrText xml:space="preserve"> PAGEREF SENTENCIA_2016_131 \h </w:instrText>
      </w:r>
      <w:r>
        <w:fldChar w:fldCharType="separate"/>
      </w:r>
      <w:r w:rsidR="006227CF">
        <w:rPr>
          <w:noProof/>
        </w:rPr>
        <w:t>190</w:t>
      </w:r>
      <w:r>
        <w:fldChar w:fldCharType="end"/>
      </w:r>
    </w:p>
    <w:p w:rsidR="00354D72" w:rsidRDefault="00354D72" w:rsidP="00354D72"/>
    <w:p w:rsidR="00354D72" w:rsidRDefault="00354D72" w:rsidP="00354D72">
      <w:pPr>
        <w:pStyle w:val="EntradandiceSentencia"/>
      </w:pPr>
      <w:r>
        <w:t>Sala Primera. Sentencia 132/2016,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5671-2014. </w:t>
      </w:r>
      <w:r w:rsidRPr="00354D72">
        <w:rPr>
          <w:rStyle w:val="TextoNormalCursivaCaracter"/>
        </w:rPr>
        <w:t xml:space="preserve"> Vulneración del derecho a la libertad personal: resoluciones judiciales que no adoptaron, de oficio, la medida cautelar de internamiento en proceso de incapacitación (STC 34/2016).</w:t>
      </w:r>
      <w:r>
        <w:tab/>
      </w:r>
      <w:r>
        <w:tab/>
      </w:r>
      <w:r>
        <w:fldChar w:fldCharType="begin"/>
      </w:r>
      <w:r>
        <w:instrText xml:space="preserve"> PAGEREF SENTENCIA_2016_132 \h </w:instrText>
      </w:r>
      <w:r>
        <w:fldChar w:fldCharType="separate"/>
      </w:r>
      <w:r w:rsidR="006227CF">
        <w:rPr>
          <w:noProof/>
        </w:rPr>
        <w:t>207</w:t>
      </w:r>
      <w:r>
        <w:fldChar w:fldCharType="end"/>
      </w:r>
    </w:p>
    <w:p w:rsidR="00354D72" w:rsidRDefault="00354D72" w:rsidP="00354D72"/>
    <w:p w:rsidR="00354D72" w:rsidRDefault="00354D72" w:rsidP="00354D72">
      <w:pPr>
        <w:pStyle w:val="EntradandiceSentencia"/>
      </w:pPr>
      <w:r>
        <w:t>Sala Primera. Sentencia 133/2016,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5814-2014, 475-2015. </w:t>
      </w:r>
      <w:r w:rsidRPr="00354D72">
        <w:rPr>
          <w:rStyle w:val="TextoNormalCursivaCaracter"/>
        </w:rPr>
        <w:t xml:space="preserve"> Vulneración del derecho a la tutela judicial efectiva (acceso a la justicia): interpretación de la normativa aplicable que extiende al recurso contencioso-administrativo las limitaciones de cognición del recurso tributario de anulación (STC 23/2011).</w:t>
      </w:r>
      <w:r>
        <w:tab/>
      </w:r>
      <w:r>
        <w:tab/>
      </w:r>
      <w:r>
        <w:fldChar w:fldCharType="begin"/>
      </w:r>
      <w:r>
        <w:instrText xml:space="preserve"> PAGEREF SENTENCIA_2016_133 \h </w:instrText>
      </w:r>
      <w:r>
        <w:fldChar w:fldCharType="separate"/>
      </w:r>
      <w:r w:rsidR="006227CF">
        <w:rPr>
          <w:noProof/>
        </w:rPr>
        <w:t>221</w:t>
      </w:r>
      <w:r>
        <w:fldChar w:fldCharType="end"/>
      </w:r>
    </w:p>
    <w:p w:rsidR="00354D72" w:rsidRDefault="00354D72" w:rsidP="00354D72"/>
    <w:p w:rsidR="00354D72" w:rsidRDefault="00354D72" w:rsidP="00354D72">
      <w:pPr>
        <w:pStyle w:val="EntradandiceSentencia"/>
      </w:pPr>
      <w:r>
        <w:t>Sala Segunda. Sentencia 134/2016,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824-2015. </w:t>
      </w:r>
      <w:r w:rsidRPr="00354D72">
        <w:rPr>
          <w:rStyle w:val="TextoNormalCursivaCaracter"/>
        </w:rPr>
        <w:t xml:space="preserve"> Principio de irretroactividad de las normas restrictivas de derechos individuales: inadmisión parcial de la cuestión de inconstitucionalidad por inadecuada formulación del juicio de aplicabilidad y relevancia e incorrecta realización del trámite de audiencia a las partes; extinción parcial, por pérdida de objeto (STC 83/2015).</w:t>
      </w:r>
      <w:r>
        <w:tab/>
      </w:r>
      <w:r>
        <w:tab/>
      </w:r>
      <w:r>
        <w:fldChar w:fldCharType="begin"/>
      </w:r>
      <w:r>
        <w:instrText xml:space="preserve"> PAGEREF SENTENCIA_2016_134 \h </w:instrText>
      </w:r>
      <w:r>
        <w:fldChar w:fldCharType="separate"/>
      </w:r>
      <w:r w:rsidR="006227CF">
        <w:rPr>
          <w:noProof/>
        </w:rPr>
        <w:t>233</w:t>
      </w:r>
      <w:r>
        <w:fldChar w:fldCharType="end"/>
      </w:r>
    </w:p>
    <w:p w:rsidR="00354D72" w:rsidRDefault="00354D72" w:rsidP="00354D72"/>
    <w:p w:rsidR="00354D72" w:rsidRDefault="00354D72" w:rsidP="00354D72">
      <w:pPr>
        <w:pStyle w:val="EntradandiceSentencia"/>
      </w:pPr>
      <w:r>
        <w:t>Sala Segunda. Sentencia 135/2016,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1372-2015. </w:t>
      </w:r>
      <w:r w:rsidRPr="00354D72">
        <w:rPr>
          <w:rStyle w:val="TextoNormalCursivaCaracter"/>
        </w:rPr>
        <w:t xml:space="preserve"> Principio de seguridad jurídica y derechos a la tutela judicial efectiva y a la legalidad sancionadora (non bis in idem); límites materiales de las leyes de presupuestos: STC 123/2016 (pérdida de objeto de la cuestión de inconstitucionalidad).</w:t>
      </w:r>
      <w:r>
        <w:tab/>
      </w:r>
      <w:r>
        <w:tab/>
      </w:r>
      <w:r>
        <w:fldChar w:fldCharType="begin"/>
      </w:r>
      <w:r>
        <w:instrText xml:space="preserve"> PAGEREF SENTENCIA_2016_135 \h </w:instrText>
      </w:r>
      <w:r>
        <w:fldChar w:fldCharType="separate"/>
      </w:r>
      <w:r w:rsidR="006227CF">
        <w:rPr>
          <w:noProof/>
        </w:rPr>
        <w:t>246</w:t>
      </w:r>
      <w:r>
        <w:fldChar w:fldCharType="end"/>
      </w:r>
    </w:p>
    <w:p w:rsidR="00354D72" w:rsidRDefault="00354D72" w:rsidP="00354D72"/>
    <w:p w:rsidR="00354D72" w:rsidRDefault="00354D72" w:rsidP="00354D72">
      <w:pPr>
        <w:pStyle w:val="EntradandiceSentencia"/>
      </w:pPr>
      <w:r>
        <w:t>Sala Segunda. Sentencia 136/2016,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3136-2015. </w:t>
      </w:r>
      <w:r w:rsidRPr="00354D72">
        <w:rPr>
          <w:rStyle w:val="TextoNormalCursivaCaracter"/>
        </w:rPr>
        <w:t xml:space="preserve"> Vulneración del derecho a la tutela judicial efectiva (acceso a la justicia): denegación de la asistencia jurídica gratuita fundada en un pretendido abuso del derecho.</w:t>
      </w:r>
      <w:r>
        <w:tab/>
      </w:r>
      <w:r>
        <w:tab/>
      </w:r>
      <w:r>
        <w:fldChar w:fldCharType="begin"/>
      </w:r>
      <w:r>
        <w:instrText xml:space="preserve"> PAGEREF SENTENCIA_2016_136 \h </w:instrText>
      </w:r>
      <w:r>
        <w:fldChar w:fldCharType="separate"/>
      </w:r>
      <w:r w:rsidR="006227CF">
        <w:rPr>
          <w:noProof/>
        </w:rPr>
        <w:t>258</w:t>
      </w:r>
      <w:r>
        <w:fldChar w:fldCharType="end"/>
      </w:r>
    </w:p>
    <w:p w:rsidR="00354D72" w:rsidRDefault="00354D72" w:rsidP="00354D72"/>
    <w:p w:rsidR="00354D72" w:rsidRDefault="00354D72" w:rsidP="00354D72">
      <w:pPr>
        <w:pStyle w:val="EntradandiceSentencia"/>
      </w:pPr>
      <w:r>
        <w:t>Sala Segunda. Sentencia 137/2016,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4120-2015. </w:t>
      </w:r>
      <w:r w:rsidRPr="00354D72">
        <w:rPr>
          <w:rStyle w:val="TextoNormalCursivaCaracter"/>
        </w:rPr>
        <w:t xml:space="preserve"> Vulneración del derecho a la libertad personal: resoluciones judiciales que no ponderaron adecuadamente el tiempo servido en prisión con antelación a la reforma del régimen de abono de la prisión preventiva (STC 261/2015).</w:t>
      </w:r>
      <w:r>
        <w:tab/>
      </w:r>
      <w:r>
        <w:tab/>
      </w:r>
      <w:r>
        <w:fldChar w:fldCharType="begin"/>
      </w:r>
      <w:r>
        <w:instrText xml:space="preserve"> PAGEREF SENTENCIA_2016_137 \h </w:instrText>
      </w:r>
      <w:r>
        <w:fldChar w:fldCharType="separate"/>
      </w:r>
      <w:r w:rsidR="006227CF">
        <w:rPr>
          <w:noProof/>
        </w:rPr>
        <w:t>271</w:t>
      </w:r>
      <w:r>
        <w:fldChar w:fldCharType="end"/>
      </w:r>
    </w:p>
    <w:p w:rsidR="00354D72" w:rsidRDefault="00354D72" w:rsidP="00354D72"/>
    <w:p w:rsidR="00354D72" w:rsidRDefault="00354D72" w:rsidP="00354D72">
      <w:pPr>
        <w:pStyle w:val="EntradandiceSentencia"/>
      </w:pPr>
      <w:r>
        <w:t>Sala Segunda. Sentencia 138/2016, de 18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5664-2015. </w:t>
      </w:r>
      <w:r w:rsidRPr="00354D72">
        <w:rPr>
          <w:rStyle w:val="TextoNormalCursivaCaracter"/>
        </w:rPr>
        <w:t xml:space="preserve"> Vulneración del derecho a la tutela judicial efectiva (resolución fundada en Derecho): Sentencias que se apartan conscientemente de una doctrina reiterada y conocida del Tribunal Constitucional (STC 63/2005).</w:t>
      </w:r>
      <w:r>
        <w:tab/>
      </w:r>
      <w:r>
        <w:tab/>
      </w:r>
      <w:r>
        <w:fldChar w:fldCharType="begin"/>
      </w:r>
      <w:r>
        <w:instrText xml:space="preserve"> PAGEREF SENTENCIA_2016_138 \h </w:instrText>
      </w:r>
      <w:r>
        <w:fldChar w:fldCharType="separate"/>
      </w:r>
      <w:r w:rsidR="006227CF">
        <w:rPr>
          <w:noProof/>
        </w:rPr>
        <w:t>280</w:t>
      </w:r>
      <w:r>
        <w:fldChar w:fldCharType="end"/>
      </w:r>
    </w:p>
    <w:p w:rsidR="00354D72" w:rsidRDefault="00354D72" w:rsidP="00354D72"/>
    <w:p w:rsidR="00354D72" w:rsidRDefault="00354D72" w:rsidP="00354D72">
      <w:pPr>
        <w:pStyle w:val="EntradandiceSentencia"/>
      </w:pPr>
      <w:r>
        <w:t>Pleno. Sentencia 139/2016, de 21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4123-2012. </w:t>
      </w:r>
      <w:r w:rsidRPr="00354D72">
        <w:rPr>
          <w:rStyle w:val="TextoNormalCursivaCaracter"/>
        </w:rPr>
        <w:t xml:space="preserve"> Límites de los decretos-leyes, derecho a la salud y competencias sanitarias, derecho a la protección de datos de carácter personal: nulidad del precepto legal que remite en blanco al reglamento la determinación del nivel de ingresos que no deben superar quienes, sin tener vínculo alguno con el sistema de Seguridad Social, aspiren a acceder a la condición de asegurados. Votos particulares.</w:t>
      </w:r>
      <w:r>
        <w:tab/>
      </w:r>
      <w:r>
        <w:tab/>
      </w:r>
      <w:r>
        <w:fldChar w:fldCharType="begin"/>
      </w:r>
      <w:r>
        <w:instrText xml:space="preserve"> PAGEREF SENTENCIA_2016_139 \h </w:instrText>
      </w:r>
      <w:r>
        <w:fldChar w:fldCharType="separate"/>
      </w:r>
      <w:r w:rsidR="006227CF">
        <w:rPr>
          <w:noProof/>
        </w:rPr>
        <w:t>293</w:t>
      </w:r>
      <w:r>
        <w:fldChar w:fldCharType="end"/>
      </w:r>
    </w:p>
    <w:p w:rsidR="00354D72" w:rsidRDefault="00354D72" w:rsidP="00354D72"/>
    <w:p w:rsidR="00354D72" w:rsidRDefault="00354D72" w:rsidP="00354D72">
      <w:pPr>
        <w:pStyle w:val="EntradandiceSentencia"/>
      </w:pPr>
      <w:r>
        <w:t>Pleno. Sentencia 140/2016, de 21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973-2013. </w:t>
      </w:r>
      <w:r w:rsidRPr="00354D72">
        <w:rPr>
          <w:rStyle w:val="TextoNormalCursivaCaracter"/>
        </w:rPr>
        <w:t xml:space="preserve"> Derechos a la tutela judicial efectiva (acceso a la justicia y acceso al recurso) y a la igualdad en la ley; principio de capacidad económica y control de legalidad de la actividad administrativa: nulidad del precepto legal que determina la cuota tributaria de la tasa por el ejercicio de la potestad jurisdiccional en los órdenes civil (recursos de apelación, casación y extraordinario por infracción procesal), contencioso-administrativo y social.</w:t>
      </w:r>
      <w:r>
        <w:tab/>
      </w:r>
      <w:r>
        <w:tab/>
      </w:r>
      <w:r>
        <w:fldChar w:fldCharType="begin"/>
      </w:r>
      <w:r>
        <w:instrText xml:space="preserve"> PAGEREF SENTENCIA_2016_140 \h </w:instrText>
      </w:r>
      <w:r>
        <w:fldChar w:fldCharType="separate"/>
      </w:r>
      <w:r w:rsidR="006227CF">
        <w:rPr>
          <w:noProof/>
        </w:rPr>
        <w:t>357</w:t>
      </w:r>
      <w:r>
        <w:fldChar w:fldCharType="end"/>
      </w:r>
    </w:p>
    <w:p w:rsidR="00354D72" w:rsidRDefault="00354D72" w:rsidP="00354D72"/>
    <w:p w:rsidR="00354D72" w:rsidRDefault="00354D72" w:rsidP="00354D72">
      <w:pPr>
        <w:pStyle w:val="EntradandiceSentencia"/>
      </w:pPr>
      <w:r>
        <w:t>Pleno. Sentencia 141/2016, de 21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Conflicto positivo de competencia 4911-2013. </w:t>
      </w:r>
      <w:r w:rsidRPr="00354D72">
        <w:rPr>
          <w:rStyle w:val="TextoNormalCursivaCaracter"/>
        </w:rPr>
        <w:t xml:space="preserve"> Competencias sobre ordenación general de la economía y medio ambiente: nulidad de los preceptos reglamentarios estatales en los que se regula el ejercicio y supervisión de la actividad de los verificadores medioambientales, el régimen transitorio de ejercicio de la actividad de los verificadores acreditados al momento de aprobarse el reglamento y se invoca la competencia sobre ordenación general de la economía.</w:t>
      </w:r>
      <w:r>
        <w:tab/>
      </w:r>
      <w:r>
        <w:tab/>
      </w:r>
      <w:r>
        <w:fldChar w:fldCharType="begin"/>
      </w:r>
      <w:r>
        <w:instrText xml:space="preserve"> PAGEREF SENTENCIA_2016_141 \h </w:instrText>
      </w:r>
      <w:r>
        <w:fldChar w:fldCharType="separate"/>
      </w:r>
      <w:r w:rsidR="006227CF">
        <w:rPr>
          <w:noProof/>
        </w:rPr>
        <w:t>408</w:t>
      </w:r>
      <w:r>
        <w:fldChar w:fldCharType="end"/>
      </w:r>
    </w:p>
    <w:p w:rsidR="00354D72" w:rsidRDefault="00354D72" w:rsidP="00354D72"/>
    <w:p w:rsidR="00354D72" w:rsidRDefault="00354D72" w:rsidP="00354D72">
      <w:pPr>
        <w:pStyle w:val="EntradandiceSentencia"/>
      </w:pPr>
      <w:r>
        <w:t>Pleno. Sentencia 142/2016, de 21 de julio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6014-2015. </w:t>
      </w:r>
      <w:r w:rsidRPr="00354D72">
        <w:rPr>
          <w:rStyle w:val="TextoNormalCursivaCaracter"/>
        </w:rPr>
        <w:t xml:space="preserve"> Competencias sobre ordenación general de la economía, agricultura y sector agroalimentario: nulidad de los preceptos legales estatales relativos a los principios generales y período transitorio del régimen sancionador, la clasificación de infracciones, responsabilidad y publicidad de las sanciones, multas coercitivas, sanciones accesorias y régimen sancionador en materia de clasificación de canales de vacuno y porcino.</w:t>
      </w:r>
      <w:r>
        <w:tab/>
      </w:r>
      <w:r>
        <w:tab/>
      </w:r>
      <w:r>
        <w:fldChar w:fldCharType="begin"/>
      </w:r>
      <w:r>
        <w:instrText xml:space="preserve"> PAGEREF SENTENCIA_2016_142 \h </w:instrText>
      </w:r>
      <w:r>
        <w:fldChar w:fldCharType="separate"/>
      </w:r>
      <w:r w:rsidR="006227CF">
        <w:rPr>
          <w:noProof/>
        </w:rPr>
        <w:t>430</w:t>
      </w:r>
      <w:r>
        <w:fldChar w:fldCharType="end"/>
      </w:r>
    </w:p>
    <w:p w:rsidR="00354D72" w:rsidRDefault="00354D72" w:rsidP="00354D72"/>
    <w:p w:rsidR="00354D72" w:rsidRDefault="00354D72" w:rsidP="00354D72">
      <w:pPr>
        <w:pStyle w:val="EntradandiceSentencia"/>
      </w:pPr>
      <w:r>
        <w:t>Sala Primera. Sentencia 143/2016,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773-2013. </w:t>
      </w:r>
      <w:r w:rsidRPr="00354D72">
        <w:rPr>
          <w:rStyle w:val="TextoNormalCursivaCaracter"/>
        </w:rPr>
        <w:t xml:space="preserve"> Supuesta vulneración del derecho al ejercicio de las funciones públicas: reducción de plazo para la tramitación de un proyecto de ley presupuestaria que no alteró de manera sustancial el ejercicio de la función representativa.</w:t>
      </w:r>
      <w:r>
        <w:tab/>
      </w:r>
      <w:r>
        <w:tab/>
      </w:r>
      <w:r>
        <w:fldChar w:fldCharType="begin"/>
      </w:r>
      <w:r>
        <w:instrText xml:space="preserve"> PAGEREF SENTENCIA_2016_143 \h </w:instrText>
      </w:r>
      <w:r>
        <w:fldChar w:fldCharType="separate"/>
      </w:r>
      <w:r w:rsidR="006227CF">
        <w:rPr>
          <w:noProof/>
        </w:rPr>
        <w:t>458</w:t>
      </w:r>
      <w:r>
        <w:fldChar w:fldCharType="end"/>
      </w:r>
    </w:p>
    <w:p w:rsidR="00354D72" w:rsidRDefault="00354D72" w:rsidP="00354D72"/>
    <w:p w:rsidR="00354D72" w:rsidRDefault="00354D72" w:rsidP="00354D72">
      <w:pPr>
        <w:pStyle w:val="EntradandiceSentencia"/>
      </w:pPr>
      <w:r>
        <w:t>Sala Primera. Sentencia 144/2016,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2443-2013. </w:t>
      </w:r>
      <w:r w:rsidRPr="00354D72">
        <w:rPr>
          <w:rStyle w:val="TextoNormalCursivaCaracter"/>
        </w:rPr>
        <w:t xml:space="preserve"> Vulneración del derecho a la tutela judicial efectiva en relación con el derecho a no ser sometido a torturas ni a tratos inhumanos o degradantes: investigación insuficiente de una denuncia de torturas que se dicen sufridas bajo custodia policial (STC 34/2008).</w:t>
      </w:r>
      <w:r>
        <w:tab/>
      </w:r>
      <w:r>
        <w:tab/>
      </w:r>
      <w:r>
        <w:fldChar w:fldCharType="begin"/>
      </w:r>
      <w:r>
        <w:instrText xml:space="preserve"> PAGEREF SENTENCIA_2016_144 \h </w:instrText>
      </w:r>
      <w:r>
        <w:fldChar w:fldCharType="separate"/>
      </w:r>
      <w:r w:rsidR="006227CF">
        <w:rPr>
          <w:noProof/>
        </w:rPr>
        <w:t>475</w:t>
      </w:r>
      <w:r>
        <w:fldChar w:fldCharType="end"/>
      </w:r>
    </w:p>
    <w:p w:rsidR="00354D72" w:rsidRDefault="00354D72" w:rsidP="00354D72"/>
    <w:p w:rsidR="00354D72" w:rsidRDefault="00354D72" w:rsidP="00354D72">
      <w:pPr>
        <w:pStyle w:val="EntradandiceSentencia"/>
      </w:pPr>
      <w:r>
        <w:t>Sala Segunda. Sentencia 145/2016,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1947-2014. </w:t>
      </w:r>
      <w:r w:rsidRPr="00354D72">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SENTENCIA_2016_145 \h </w:instrText>
      </w:r>
      <w:r>
        <w:fldChar w:fldCharType="separate"/>
      </w:r>
      <w:r w:rsidR="006227CF">
        <w:rPr>
          <w:noProof/>
        </w:rPr>
        <w:t>491</w:t>
      </w:r>
      <w:r>
        <w:fldChar w:fldCharType="end"/>
      </w:r>
    </w:p>
    <w:p w:rsidR="00354D72" w:rsidRDefault="00354D72" w:rsidP="00354D72"/>
    <w:p w:rsidR="00354D72" w:rsidRDefault="00354D72" w:rsidP="00354D72">
      <w:pPr>
        <w:pStyle w:val="EntradandiceSentencia"/>
      </w:pPr>
      <w:r>
        <w:t>Sala Primera. Sentencia 146/2016,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4160-2014. </w:t>
      </w:r>
      <w:r w:rsidRPr="00354D72">
        <w:rPr>
          <w:rStyle w:val="TextoNormalCursivaCaracter"/>
        </w:rPr>
        <w:t xml:space="preserve"> Alegada vulneración del derecho a la tutela judicial efectiva (acceso a la justicia): inadmisión del recurso de amparo que no contiene justificación de su especial trascendencia constitucional. Voto particular.</w:t>
      </w:r>
      <w:r>
        <w:tab/>
      </w:r>
      <w:r>
        <w:tab/>
      </w:r>
      <w:r>
        <w:fldChar w:fldCharType="begin"/>
      </w:r>
      <w:r>
        <w:instrText xml:space="preserve"> PAGEREF SENTENCIA_2016_146 \h </w:instrText>
      </w:r>
      <w:r>
        <w:fldChar w:fldCharType="separate"/>
      </w:r>
      <w:r w:rsidR="006227CF">
        <w:rPr>
          <w:noProof/>
        </w:rPr>
        <w:t>501</w:t>
      </w:r>
      <w:r>
        <w:fldChar w:fldCharType="end"/>
      </w:r>
    </w:p>
    <w:p w:rsidR="00354D72" w:rsidRDefault="00354D72" w:rsidP="00354D72"/>
    <w:p w:rsidR="00354D72" w:rsidRDefault="00354D72" w:rsidP="00354D72">
      <w:pPr>
        <w:pStyle w:val="EntradandiceSentencia"/>
      </w:pPr>
      <w:r>
        <w:t>Sala Segunda. Sentencia 147/2016,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5750-2014. </w:t>
      </w:r>
      <w:r w:rsidRPr="00354D72">
        <w:rPr>
          <w:rStyle w:val="TextoNormalCursivaCaracter"/>
        </w:rPr>
        <w:t xml:space="preserve"> Vulneración del derecho a la tutela judicial efectiva (derecho al recurso): sentencia de casación que dejó imprejuzgada la alegación fundamental de falta de competencia del órgano administrativo que acordó la amortización, entre otras, de la plaza controvertida.</w:t>
      </w:r>
      <w:r>
        <w:tab/>
      </w:r>
      <w:r>
        <w:tab/>
      </w:r>
      <w:r>
        <w:fldChar w:fldCharType="begin"/>
      </w:r>
      <w:r>
        <w:instrText xml:space="preserve"> PAGEREF SENTENCIA_2016_147 \h </w:instrText>
      </w:r>
      <w:r>
        <w:fldChar w:fldCharType="separate"/>
      </w:r>
      <w:r w:rsidR="006227CF">
        <w:rPr>
          <w:noProof/>
        </w:rPr>
        <w:t>515</w:t>
      </w:r>
      <w:r>
        <w:fldChar w:fldCharType="end"/>
      </w:r>
    </w:p>
    <w:p w:rsidR="00354D72" w:rsidRDefault="00354D72" w:rsidP="00354D72"/>
    <w:p w:rsidR="00354D72" w:rsidRDefault="00354D72" w:rsidP="00354D72">
      <w:pPr>
        <w:pStyle w:val="EntradandiceSentencia"/>
      </w:pPr>
      <w:r>
        <w:t>Sala Segunda. Sentencia 148/2016,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7120-2014. </w:t>
      </w:r>
      <w:r w:rsidRPr="00354D72">
        <w:rPr>
          <w:rStyle w:val="TextoNormalCursivaCaracter"/>
        </w:rPr>
        <w:t xml:space="preserve"> Vulneración del derecho a la tutela judicial efectiva (acceso a la justicia): archivo de las actuaciones por litispendencia resultante de una interpretación irrazonable de la ley procesal (STC 106/2013) y contraria a la doctrina del Tribunal de Justicia de la Unión Europea.</w:t>
      </w:r>
      <w:r>
        <w:tab/>
      </w:r>
      <w:r>
        <w:tab/>
      </w:r>
      <w:r>
        <w:fldChar w:fldCharType="begin"/>
      </w:r>
      <w:r>
        <w:instrText xml:space="preserve"> PAGEREF SENTENCIA_2016_148 \h </w:instrText>
      </w:r>
      <w:r>
        <w:fldChar w:fldCharType="separate"/>
      </w:r>
      <w:r w:rsidR="006227CF">
        <w:rPr>
          <w:noProof/>
        </w:rPr>
        <w:t>540</w:t>
      </w:r>
      <w:r>
        <w:fldChar w:fldCharType="end"/>
      </w:r>
    </w:p>
    <w:p w:rsidR="00354D72" w:rsidRDefault="00354D72" w:rsidP="00354D72"/>
    <w:p w:rsidR="00354D72" w:rsidRDefault="00354D72" w:rsidP="00354D72">
      <w:pPr>
        <w:pStyle w:val="EntradandiceSentencia"/>
      </w:pPr>
      <w:r>
        <w:t>Sala Segunda. Sentencia 149/2016,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4700-2015. </w:t>
      </w:r>
      <w:r w:rsidRPr="00354D72">
        <w:rPr>
          <w:rStyle w:val="TextoNormalCursivaCaracter"/>
        </w:rPr>
        <w:t xml:space="preserve"> Vulneración del derecho a la tutela judicial efectiva (acceso al recurso): inadmisión del recurso de suplicación basada en una interpretación de la ley procesal que reduce las garantías jurisdiccionales de los derechos fundamentales (STC 257/2000).</w:t>
      </w:r>
      <w:r>
        <w:tab/>
      </w:r>
      <w:r>
        <w:tab/>
      </w:r>
      <w:r>
        <w:fldChar w:fldCharType="begin"/>
      </w:r>
      <w:r>
        <w:instrText xml:space="preserve"> PAGEREF SENTENCIA_2016_149 \h </w:instrText>
      </w:r>
      <w:r>
        <w:fldChar w:fldCharType="separate"/>
      </w:r>
      <w:r w:rsidR="006227CF">
        <w:rPr>
          <w:noProof/>
        </w:rPr>
        <w:t>566</w:t>
      </w:r>
      <w:r>
        <w:fldChar w:fldCharType="end"/>
      </w:r>
    </w:p>
    <w:p w:rsidR="00354D72" w:rsidRDefault="00354D72" w:rsidP="00354D72"/>
    <w:p w:rsidR="00354D72" w:rsidRDefault="00354D72" w:rsidP="00354D72">
      <w:pPr>
        <w:pStyle w:val="EntradandiceSentencia"/>
      </w:pPr>
      <w:r>
        <w:t>Sala Segunda. Sentencia 150/2016,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5532-2015. </w:t>
      </w:r>
      <w:r w:rsidRPr="00354D72">
        <w:rPr>
          <w:rStyle w:val="TextoNormalCursivaCaracter"/>
        </w:rPr>
        <w:t xml:space="preserve"> Vulneración del derecho a la tutela judicial sin indefensión: emplazamiento mediante edictos de demandados cuyo domicilio en el Reino Unido figuraba en las actuaciones (STC 122/2013).</w:t>
      </w:r>
      <w:r>
        <w:tab/>
      </w:r>
      <w:r>
        <w:tab/>
      </w:r>
      <w:r>
        <w:fldChar w:fldCharType="begin"/>
      </w:r>
      <w:r>
        <w:instrText xml:space="preserve"> PAGEREF SENTENCIA_2016_150 \h </w:instrText>
      </w:r>
      <w:r>
        <w:fldChar w:fldCharType="separate"/>
      </w:r>
      <w:r w:rsidR="006227CF">
        <w:rPr>
          <w:noProof/>
        </w:rPr>
        <w:t>580</w:t>
      </w:r>
      <w:r>
        <w:fldChar w:fldCharType="end"/>
      </w:r>
    </w:p>
    <w:p w:rsidR="00354D72" w:rsidRDefault="00354D72" w:rsidP="00354D72"/>
    <w:p w:rsidR="00354D72" w:rsidRDefault="00354D72" w:rsidP="00354D72">
      <w:pPr>
        <w:pStyle w:val="EntradandiceSentencia"/>
      </w:pPr>
      <w:r>
        <w:t>Sala Segunda. Sentencia 151/2016, de 19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5956-2015. </w:t>
      </w:r>
      <w:r w:rsidRPr="00354D72">
        <w:rPr>
          <w:rStyle w:val="TextoNormalCursivaCaracter"/>
        </w:rPr>
        <w:t xml:space="preserve"> Vulneración del derecho a la tutela judicial sin indefensión: emplazamiento mediante edictos de demandados cuyo domicilio en el Reino Unido figuraba en las actuaciones (STC 122/2013).</w:t>
      </w:r>
      <w:r>
        <w:tab/>
      </w:r>
      <w:r>
        <w:tab/>
      </w:r>
      <w:r>
        <w:fldChar w:fldCharType="begin"/>
      </w:r>
      <w:r>
        <w:instrText xml:space="preserve"> PAGEREF SENTENCIA_2016_151 \h </w:instrText>
      </w:r>
      <w:r>
        <w:fldChar w:fldCharType="separate"/>
      </w:r>
      <w:r w:rsidR="006227CF">
        <w:rPr>
          <w:noProof/>
        </w:rPr>
        <w:t>591</w:t>
      </w:r>
      <w:r>
        <w:fldChar w:fldCharType="end"/>
      </w:r>
    </w:p>
    <w:p w:rsidR="00354D72" w:rsidRDefault="00354D72" w:rsidP="00354D72"/>
    <w:p w:rsidR="00354D72" w:rsidRDefault="00354D72" w:rsidP="00354D72">
      <w:pPr>
        <w:pStyle w:val="EntradandiceSentencia"/>
      </w:pPr>
      <w:r>
        <w:t>Pleno. Sentencia 152/2016,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Conflicto en defensa de la autonomía local 570-2011. </w:t>
      </w:r>
      <w:r w:rsidRPr="00354D72">
        <w:rPr>
          <w:rStyle w:val="TextoNormalCursivaCaracter"/>
        </w:rPr>
        <w:t xml:space="preserve"> Autonomía local, competencias en materia de aguas: inadmisión del conflicto en cuanto se refiere a preceptos legales no sometidos a dictamen del órgano consultivo autonómico; constitucionalidad de los preceptos legales relativos a la gestión supramunicipal y redes de abastecimiento de agua de uso urbano y consideración de las entidades suministradoras como sujetos pasivos del canon de mejora de infraestructuras hidráulicas de depuración de interés de la Comunidad Autónoma.</w:t>
      </w:r>
      <w:r>
        <w:tab/>
      </w:r>
      <w:r>
        <w:tab/>
      </w:r>
      <w:r>
        <w:fldChar w:fldCharType="begin"/>
      </w:r>
      <w:r>
        <w:instrText xml:space="preserve"> PAGEREF SENTENCIA_2016_152 \h </w:instrText>
      </w:r>
      <w:r>
        <w:fldChar w:fldCharType="separate"/>
      </w:r>
      <w:r w:rsidR="006227CF">
        <w:rPr>
          <w:noProof/>
        </w:rPr>
        <w:t>602</w:t>
      </w:r>
      <w:r>
        <w:fldChar w:fldCharType="end"/>
      </w:r>
    </w:p>
    <w:p w:rsidR="00354D72" w:rsidRDefault="00354D72" w:rsidP="00354D72"/>
    <w:p w:rsidR="00354D72" w:rsidRDefault="00354D72" w:rsidP="00354D72">
      <w:pPr>
        <w:pStyle w:val="EntradandiceSentencia"/>
      </w:pPr>
      <w:r>
        <w:t>Pleno. Sentencia 153/2016,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1067-2014. </w:t>
      </w:r>
      <w:r w:rsidRPr="00354D72">
        <w:rPr>
          <w:rStyle w:val="TextoNormalCursivaCaracter"/>
        </w:rPr>
        <w:t xml:space="preserve"> Principio de seguridad jurídica, derechos a la tutela judicial efectiva y de participación política, libertades de expresión  e información, competencias sobre medios públicos de comunicación social: pérdida parcial de objeto del proceso; tramitación de la iniciativa legislativa como proposición de ley que no vulneró los derechos inherentes a la función parlamentaria de los representantes de los ciudadanos.</w:t>
      </w:r>
      <w:r>
        <w:tab/>
      </w:r>
      <w:r>
        <w:tab/>
      </w:r>
      <w:r>
        <w:fldChar w:fldCharType="begin"/>
      </w:r>
      <w:r>
        <w:instrText xml:space="preserve"> PAGEREF SENTENCIA_2016_153 \h </w:instrText>
      </w:r>
      <w:r>
        <w:fldChar w:fldCharType="separate"/>
      </w:r>
      <w:r w:rsidR="006227CF">
        <w:rPr>
          <w:noProof/>
        </w:rPr>
        <w:t>626</w:t>
      </w:r>
      <w:r>
        <w:fldChar w:fldCharType="end"/>
      </w:r>
    </w:p>
    <w:p w:rsidR="00354D72" w:rsidRDefault="00354D72" w:rsidP="00354D72"/>
    <w:p w:rsidR="00354D72" w:rsidRDefault="00354D72" w:rsidP="00354D72">
      <w:pPr>
        <w:pStyle w:val="EntradandiceSentencia"/>
      </w:pPr>
      <w:r>
        <w:t>Pleno. Sentencia 154/2016,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6144-2014. </w:t>
      </w:r>
      <w:r w:rsidRPr="00354D72">
        <w:rPr>
          <w:rStyle w:val="TextoNormalCursivaCaracter"/>
        </w:rPr>
        <w:t xml:space="preserve"> Alegada vulneración del derecho a la libertad personal en relación con el derecho a la tutela judicial efectiva: inadmisión del recurso de amparo por falta de legitimación de la asociación promotora. Voto particular.</w:t>
      </w:r>
      <w:r>
        <w:tab/>
      </w:r>
      <w:r>
        <w:tab/>
      </w:r>
      <w:r>
        <w:fldChar w:fldCharType="begin"/>
      </w:r>
      <w:r>
        <w:instrText xml:space="preserve"> PAGEREF SENTENCIA_2016_154 \h </w:instrText>
      </w:r>
      <w:r>
        <w:fldChar w:fldCharType="separate"/>
      </w:r>
      <w:r w:rsidR="006227CF">
        <w:rPr>
          <w:noProof/>
        </w:rPr>
        <w:t>654</w:t>
      </w:r>
      <w:r>
        <w:fldChar w:fldCharType="end"/>
      </w:r>
    </w:p>
    <w:p w:rsidR="00354D72" w:rsidRDefault="00354D72" w:rsidP="00354D72"/>
    <w:p w:rsidR="00354D72" w:rsidRDefault="00354D72" w:rsidP="00354D72">
      <w:pPr>
        <w:pStyle w:val="EntradandiceSentencia"/>
      </w:pPr>
      <w:r>
        <w:t>Pleno. Sentencia 155/2016,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1511-2015. </w:t>
      </w:r>
      <w:r w:rsidRPr="00354D72">
        <w:rPr>
          <w:rStyle w:val="TextoNormalCursivaCaracter"/>
        </w:rPr>
        <w:t xml:space="preserve"> Principios de igualdad y seguridad jurídica, competencias sobre condiciones básicas de igualdad y procedimiento administrativo: constitucionalidad del precepto legal autonómico que establece la regla del silencio negativo para determinados recursos planteados, en materia de personal, por los profesionales del Servicio Gallego de Salud.</w:t>
      </w:r>
      <w:r>
        <w:tab/>
      </w:r>
      <w:r>
        <w:tab/>
      </w:r>
      <w:r>
        <w:fldChar w:fldCharType="begin"/>
      </w:r>
      <w:r>
        <w:instrText xml:space="preserve"> PAGEREF SENTENCIA_2016_155 \h </w:instrText>
      </w:r>
      <w:r>
        <w:fldChar w:fldCharType="separate"/>
      </w:r>
      <w:r w:rsidR="006227CF">
        <w:rPr>
          <w:noProof/>
        </w:rPr>
        <w:t>673</w:t>
      </w:r>
      <w:r>
        <w:fldChar w:fldCharType="end"/>
      </w:r>
    </w:p>
    <w:p w:rsidR="00354D72" w:rsidRDefault="00354D72" w:rsidP="00354D72"/>
    <w:p w:rsidR="00354D72" w:rsidRDefault="00354D72" w:rsidP="00354D72">
      <w:pPr>
        <w:pStyle w:val="EntradandiceSentencia"/>
      </w:pPr>
      <w:r>
        <w:t>Pleno. Sentencia 156/2016,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5061-2015. </w:t>
      </w:r>
      <w:r w:rsidRPr="00354D72">
        <w:rPr>
          <w:rStyle w:val="TextoNormalCursivaCaracter"/>
        </w:rPr>
        <w:t xml:space="preserve"> Principios de seguridad jurídica, estabilidad presupuestaria, autonomía y suficiencia financiera de las Comunidades Autónomas: constitucionalidad de los preceptos legales que contemplan la posibilidad de retención por el Estado de recursos del sistema de financiación autonómica para el pago de deudas con entidades locales, y habilitan la modificación reglamentaria de previsiones en materia de gasto farmacéutico y sanitario (STC 101/2016). Votos particulares.</w:t>
      </w:r>
      <w:r>
        <w:tab/>
      </w:r>
      <w:r>
        <w:tab/>
      </w:r>
      <w:r>
        <w:fldChar w:fldCharType="begin"/>
      </w:r>
      <w:r>
        <w:instrText xml:space="preserve"> PAGEREF SENTENCIA_2016_156 \h </w:instrText>
      </w:r>
      <w:r>
        <w:fldChar w:fldCharType="separate"/>
      </w:r>
      <w:r w:rsidR="006227CF">
        <w:rPr>
          <w:noProof/>
        </w:rPr>
        <w:t>691</w:t>
      </w:r>
      <w:r>
        <w:fldChar w:fldCharType="end"/>
      </w:r>
    </w:p>
    <w:p w:rsidR="00354D72" w:rsidRDefault="00354D72" w:rsidP="00354D72"/>
    <w:p w:rsidR="00354D72" w:rsidRDefault="00354D72" w:rsidP="00354D72">
      <w:pPr>
        <w:pStyle w:val="EntradandiceSentencia"/>
      </w:pPr>
      <w:r>
        <w:t>Pleno. Sentencia 157/2016,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5272-2015. </w:t>
      </w:r>
      <w:r w:rsidRPr="00354D72">
        <w:rPr>
          <w:rStyle w:val="TextoNormalCursivaCaracter"/>
        </w:rPr>
        <w:t xml:space="preserve"> Competencias sobre ordenación general de la economía, urbanismo, defensa de los consumidores y medio ambiente: medida restrictiva de la libertad de establecimiento adoptada sin fundamentar debidamente, como exige la normativa básica estatal, la concurrencia de imperiosas razones de interés general relacionadas con el entorno urbano o el medio ambiente (STC 193/2013 y 76/2016). Voto particular.</w:t>
      </w:r>
      <w:r>
        <w:tab/>
      </w:r>
      <w:r>
        <w:tab/>
      </w:r>
      <w:r>
        <w:fldChar w:fldCharType="begin"/>
      </w:r>
      <w:r>
        <w:instrText xml:space="preserve"> PAGEREF SENTENCIA_2016_157 \h </w:instrText>
      </w:r>
      <w:r>
        <w:fldChar w:fldCharType="separate"/>
      </w:r>
      <w:r w:rsidR="006227CF">
        <w:rPr>
          <w:noProof/>
        </w:rPr>
        <w:t>706</w:t>
      </w:r>
      <w:r>
        <w:fldChar w:fldCharType="end"/>
      </w:r>
    </w:p>
    <w:p w:rsidR="00354D72" w:rsidRDefault="00354D72" w:rsidP="00354D72"/>
    <w:p w:rsidR="00354D72" w:rsidRDefault="00354D72" w:rsidP="00354D72">
      <w:pPr>
        <w:pStyle w:val="EntradandiceSentencia"/>
      </w:pPr>
      <w:r>
        <w:t>Pleno. Sentencia 158/2016,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2165-2016. </w:t>
      </w:r>
      <w:r w:rsidRPr="00354D72">
        <w:rPr>
          <w:rStyle w:val="TextoNormalCursivaCaracter"/>
        </w:rPr>
        <w:t xml:space="preserve"> Competencias sobre legislación laboral, ordenación general de la economía y función pública: nulidad del precepto legal que fija la duración de la jornada laboral de los empleados públicos autonómicos (STC 99/2016). Voto particular.</w:t>
      </w:r>
      <w:r>
        <w:tab/>
      </w:r>
      <w:r>
        <w:tab/>
      </w:r>
      <w:r>
        <w:fldChar w:fldCharType="begin"/>
      </w:r>
      <w:r>
        <w:instrText xml:space="preserve"> PAGEREF SENTENCIA_2016_158 \h </w:instrText>
      </w:r>
      <w:r>
        <w:fldChar w:fldCharType="separate"/>
      </w:r>
      <w:r w:rsidR="006227CF">
        <w:rPr>
          <w:noProof/>
        </w:rPr>
        <w:t>736</w:t>
      </w:r>
      <w:r>
        <w:fldChar w:fldCharType="end"/>
      </w:r>
    </w:p>
    <w:p w:rsidR="00354D72" w:rsidRDefault="00354D72" w:rsidP="00354D72"/>
    <w:p w:rsidR="00354D72" w:rsidRDefault="00354D72" w:rsidP="00354D72">
      <w:pPr>
        <w:pStyle w:val="EntradandiceSentencia"/>
      </w:pPr>
      <w:r>
        <w:t>Pleno. Sentencia 159/2016, de 22 de septiembre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2257-2016. </w:t>
      </w:r>
      <w:r w:rsidRPr="00354D72">
        <w:rPr>
          <w:rStyle w:val="TextoNormalCursivaCaracter"/>
        </w:rPr>
        <w:t xml:space="preserve"> Competencias sobre legislación laboral: nulidad de los preceptos legales autonómicos relativos a la prevención del acoso sexual en las empresas, planes de igualdad en las empresas, responsables sindicales de igualdad, presencia de mujeres y hombres en la negociación colectiva, incorporación de la perspectiva de género en los expedientes de regulación de empleo y prevención de riesgos laborales.</w:t>
      </w:r>
      <w:r>
        <w:tab/>
      </w:r>
      <w:r>
        <w:tab/>
      </w:r>
      <w:r>
        <w:fldChar w:fldCharType="begin"/>
      </w:r>
      <w:r>
        <w:instrText xml:space="preserve"> PAGEREF SENTENCIA_2016_159 \h </w:instrText>
      </w:r>
      <w:r>
        <w:fldChar w:fldCharType="separate"/>
      </w:r>
      <w:r w:rsidR="006227CF">
        <w:rPr>
          <w:noProof/>
        </w:rPr>
        <w:t>753</w:t>
      </w:r>
      <w:r>
        <w:fldChar w:fldCharType="end"/>
      </w:r>
    </w:p>
    <w:p w:rsidR="00354D72" w:rsidRDefault="00354D72" w:rsidP="00354D72"/>
    <w:p w:rsidR="00354D72" w:rsidRDefault="00354D72" w:rsidP="00354D72">
      <w:pPr>
        <w:pStyle w:val="EntradandiceSentencia"/>
      </w:pPr>
      <w:r>
        <w:t>Sala Primera. Sentencia 160/2016, de 3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3642-2013. </w:t>
      </w:r>
      <w:r w:rsidRPr="00354D72">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SENTENCIA_2016_160 \h </w:instrText>
      </w:r>
      <w:r>
        <w:fldChar w:fldCharType="separate"/>
      </w:r>
      <w:r w:rsidR="006227CF">
        <w:rPr>
          <w:noProof/>
        </w:rPr>
        <w:t>785</w:t>
      </w:r>
      <w:r>
        <w:fldChar w:fldCharType="end"/>
      </w:r>
    </w:p>
    <w:p w:rsidR="00354D72" w:rsidRDefault="00354D72" w:rsidP="00354D72"/>
    <w:p w:rsidR="00354D72" w:rsidRDefault="00354D72" w:rsidP="00354D72">
      <w:pPr>
        <w:pStyle w:val="EntradandiceSentencia"/>
      </w:pPr>
      <w:r>
        <w:t>Sala Segunda. Sentencia 161/2016, de 3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6526-2013. </w:t>
      </w:r>
      <w:r w:rsidRPr="00354D72">
        <w:rPr>
          <w:rStyle w:val="TextoNormalCursivaCaracter"/>
        </w:rPr>
        <w:t xml:space="preserve"> Vulneración del derecho a la presunción de inocencia: resolución sancionadora, dictada sin consideración de las pruebas de descargo propuestas por el interno, que valora indebidamente un testimonio de referencia.</w:t>
      </w:r>
      <w:r>
        <w:tab/>
      </w:r>
      <w:r>
        <w:tab/>
      </w:r>
      <w:r>
        <w:fldChar w:fldCharType="begin"/>
      </w:r>
      <w:r>
        <w:instrText xml:space="preserve"> PAGEREF SENTENCIA_2016_161 \h </w:instrText>
      </w:r>
      <w:r>
        <w:fldChar w:fldCharType="separate"/>
      </w:r>
      <w:r w:rsidR="006227CF">
        <w:rPr>
          <w:noProof/>
        </w:rPr>
        <w:t>801</w:t>
      </w:r>
      <w:r>
        <w:fldChar w:fldCharType="end"/>
      </w:r>
    </w:p>
    <w:p w:rsidR="00354D72" w:rsidRDefault="00354D72" w:rsidP="00354D72"/>
    <w:p w:rsidR="00354D72" w:rsidRDefault="00354D72" w:rsidP="00354D72">
      <w:pPr>
        <w:pStyle w:val="EntradandiceSentencia"/>
      </w:pPr>
      <w:r>
        <w:t>Sala Primera. Sentencia 162/2016, de 3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5281-2014. </w:t>
      </w:r>
      <w:r w:rsidRPr="00354D72">
        <w:rPr>
          <w:rStyle w:val="TextoNormalCursivaCaracter"/>
        </w:rPr>
        <w:t xml:space="preserve"> Vulneración del derecho a no padecer discriminación por razón de sexo: resoluciones administrativas y judiciales que niegan derechos económicos y profesionales inherentes al nombramiento como Magistrada a quien no pudo tomar posesión de la plaza al disponer de licencia por riesgo de embarazo (STC 66/2014).</w:t>
      </w:r>
      <w:r>
        <w:tab/>
      </w:r>
      <w:r>
        <w:tab/>
      </w:r>
      <w:r>
        <w:fldChar w:fldCharType="begin"/>
      </w:r>
      <w:r>
        <w:instrText xml:space="preserve"> PAGEREF SENTENCIA_2016_162 \h </w:instrText>
      </w:r>
      <w:r>
        <w:fldChar w:fldCharType="separate"/>
      </w:r>
      <w:r w:rsidR="006227CF">
        <w:rPr>
          <w:noProof/>
        </w:rPr>
        <w:t>822</w:t>
      </w:r>
      <w:r>
        <w:fldChar w:fldCharType="end"/>
      </w:r>
    </w:p>
    <w:p w:rsidR="00354D72" w:rsidRDefault="00354D72" w:rsidP="00354D72"/>
    <w:p w:rsidR="00354D72" w:rsidRDefault="00354D72" w:rsidP="00354D72">
      <w:pPr>
        <w:pStyle w:val="EntradandiceSentencia"/>
      </w:pPr>
      <w:r>
        <w:t>Sala Segunda. Sentencia 163/2016, de 3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3467-2015. </w:t>
      </w:r>
      <w:r w:rsidRPr="00354D72">
        <w:rPr>
          <w:rStyle w:val="TextoNormalCursivaCaracter"/>
        </w:rPr>
        <w:t xml:space="preserve"> Vulneración del derecho a la tutela judicial sin indefensión: inadmisión de recurso contencioso-administrativo por incumplimiento de la carga de aportar los documentos acreditativos de la satisfacción de los requisitos exigidos a las personas jurídicas para entablar acciones, incurriendo en error (STC 167/2014).</w:t>
      </w:r>
      <w:r>
        <w:tab/>
      </w:r>
      <w:r>
        <w:tab/>
      </w:r>
      <w:r>
        <w:fldChar w:fldCharType="begin"/>
      </w:r>
      <w:r>
        <w:instrText xml:space="preserve"> PAGEREF SENTENCIA_2016_163 \h </w:instrText>
      </w:r>
      <w:r>
        <w:fldChar w:fldCharType="separate"/>
      </w:r>
      <w:r w:rsidR="006227CF">
        <w:rPr>
          <w:noProof/>
        </w:rPr>
        <w:t>839</w:t>
      </w:r>
      <w:r>
        <w:fldChar w:fldCharType="end"/>
      </w:r>
    </w:p>
    <w:p w:rsidR="00354D72" w:rsidRDefault="00354D72" w:rsidP="00354D72"/>
    <w:p w:rsidR="00354D72" w:rsidRDefault="00354D72" w:rsidP="00354D72">
      <w:pPr>
        <w:pStyle w:val="EntradandiceSentencia"/>
      </w:pPr>
      <w:r>
        <w:t>Sala Segunda. Sentencia 164/2016, de 3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3178-2016. </w:t>
      </w:r>
      <w:r w:rsidRPr="00354D72">
        <w:rPr>
          <w:rStyle w:val="TextoNormalCursivaCaracter"/>
        </w:rPr>
        <w:t xml:space="preserve"> Competencias sobre ordenación general de la economía: nulidad del precepto legal autonómico que  no excepciona al personal laboral no directivo de las sociedades mercantiles públicas de la reducción salarial establecida en la legislación básica estatal (STC 219/2013).</w:t>
      </w:r>
      <w:r>
        <w:tab/>
      </w:r>
      <w:r>
        <w:tab/>
      </w:r>
      <w:r>
        <w:fldChar w:fldCharType="begin"/>
      </w:r>
      <w:r>
        <w:instrText xml:space="preserve"> PAGEREF SENTENCIA_2016_164 \h </w:instrText>
      </w:r>
      <w:r>
        <w:fldChar w:fldCharType="separate"/>
      </w:r>
      <w:r w:rsidR="006227CF">
        <w:rPr>
          <w:noProof/>
        </w:rPr>
        <w:t>850</w:t>
      </w:r>
      <w:r>
        <w:fldChar w:fldCharType="end"/>
      </w:r>
    </w:p>
    <w:p w:rsidR="00354D72" w:rsidRDefault="00354D72" w:rsidP="00354D72"/>
    <w:p w:rsidR="00354D72" w:rsidRDefault="00354D72" w:rsidP="00354D72">
      <w:pPr>
        <w:pStyle w:val="EntradandiceSentencia"/>
      </w:pPr>
      <w:r>
        <w:t>Pleno. Sentencia 165/2016, de 6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1870-2011. </w:t>
      </w:r>
      <w:r w:rsidRPr="00354D72">
        <w:rPr>
          <w:rStyle w:val="TextoNormalCursivaCaracter"/>
        </w:rPr>
        <w:t xml:space="preserve"> Competencias sobre ordenación general de la economía, medio ambiente y minas: constitucionalidad de los preceptos legales que reservan a la Administración del Estado la concesión de almacenamiento. Voto particular.</w:t>
      </w:r>
      <w:r>
        <w:tab/>
      </w:r>
      <w:r>
        <w:tab/>
      </w:r>
      <w:r>
        <w:fldChar w:fldCharType="begin"/>
      </w:r>
      <w:r>
        <w:instrText xml:space="preserve"> PAGEREF SENTENCIA_2016_165 \h </w:instrText>
      </w:r>
      <w:r>
        <w:fldChar w:fldCharType="separate"/>
      </w:r>
      <w:r w:rsidR="006227CF">
        <w:rPr>
          <w:noProof/>
        </w:rPr>
        <w:t>865</w:t>
      </w:r>
      <w:r>
        <w:fldChar w:fldCharType="end"/>
      </w:r>
    </w:p>
    <w:p w:rsidR="00354D72" w:rsidRDefault="00354D72" w:rsidP="00354D72"/>
    <w:p w:rsidR="00354D72" w:rsidRDefault="00354D72" w:rsidP="00354D72">
      <w:pPr>
        <w:pStyle w:val="EntradandiceSentencia"/>
      </w:pPr>
      <w:r>
        <w:t>Pleno. Sentencia 166/2016, de 6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5886-2012. </w:t>
      </w:r>
      <w:r w:rsidRPr="00354D72">
        <w:rPr>
          <w:rStyle w:val="TextoNormalCursivaCaracter"/>
        </w:rPr>
        <w:t xml:space="preserve"> Supuesta vulneración del derecho a la tutela judicial efectiva (acceso al recurso): inadmisión de recurso de suplicación fundada en el incumplimiento del requisito de consignación de la cantidad objeto de condena.</w:t>
      </w:r>
      <w:r>
        <w:tab/>
      </w:r>
      <w:r>
        <w:tab/>
      </w:r>
      <w:r>
        <w:fldChar w:fldCharType="begin"/>
      </w:r>
      <w:r>
        <w:instrText xml:space="preserve"> PAGEREF SENTENCIA_2016_166 \h </w:instrText>
      </w:r>
      <w:r>
        <w:fldChar w:fldCharType="separate"/>
      </w:r>
      <w:r w:rsidR="006227CF">
        <w:rPr>
          <w:noProof/>
        </w:rPr>
        <w:t>899</w:t>
      </w:r>
      <w:r>
        <w:fldChar w:fldCharType="end"/>
      </w:r>
    </w:p>
    <w:p w:rsidR="00354D72" w:rsidRDefault="00354D72" w:rsidP="00354D72"/>
    <w:p w:rsidR="00354D72" w:rsidRDefault="00354D72" w:rsidP="00354D72">
      <w:pPr>
        <w:pStyle w:val="EntradandiceSentencia"/>
      </w:pPr>
      <w:r>
        <w:t>Pleno. Sentencia 167/2016, de 6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6599-2013. </w:t>
      </w:r>
      <w:r w:rsidRPr="00354D72">
        <w:rPr>
          <w:rStyle w:val="TextoNormalCursivaCaracter"/>
        </w:rPr>
        <w:t xml:space="preserve"> Principios de igualdad y de interdicción de la arbitrariedad: constitucionalidad del precepto legal que concreta la obligación de financiación por el sector eléctrico de planes de ahorro y eficiencia energética.</w:t>
      </w:r>
      <w:r>
        <w:tab/>
      </w:r>
      <w:r>
        <w:tab/>
      </w:r>
      <w:r>
        <w:fldChar w:fldCharType="begin"/>
      </w:r>
      <w:r>
        <w:instrText xml:space="preserve"> PAGEREF SENTENCIA_2016_167 \h </w:instrText>
      </w:r>
      <w:r>
        <w:fldChar w:fldCharType="separate"/>
      </w:r>
      <w:r w:rsidR="006227CF">
        <w:rPr>
          <w:noProof/>
        </w:rPr>
        <w:t>917</w:t>
      </w:r>
      <w:r>
        <w:fldChar w:fldCharType="end"/>
      </w:r>
    </w:p>
    <w:p w:rsidR="00354D72" w:rsidRDefault="00354D72" w:rsidP="00354D72"/>
    <w:p w:rsidR="00354D72" w:rsidRDefault="00354D72" w:rsidP="00354D72">
      <w:pPr>
        <w:pStyle w:val="EntradandiceSentencia"/>
      </w:pPr>
      <w:r>
        <w:t>Pleno. Sentencia 168/2016, de 6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1995-2014. </w:t>
      </w:r>
      <w:r w:rsidRPr="00354D72">
        <w:rPr>
          <w:rStyle w:val="TextoNormalCursivaCaracter"/>
        </w:rPr>
        <w:t xml:space="preserve"> Competencias sobre régimen local: pérdida parcial de objeto del recurso de inconstitucionalidad (SSTC 41/2016 y 111/2016), interpretación conforme de la disposición legal estatal que salva la organización comarcal estatutariamente prevista en la gestión de servicios supramunicipales.</w:t>
      </w:r>
      <w:r>
        <w:tab/>
      </w:r>
      <w:r>
        <w:tab/>
      </w:r>
      <w:r>
        <w:fldChar w:fldCharType="begin"/>
      </w:r>
      <w:r>
        <w:instrText xml:space="preserve"> PAGEREF SENTENCIA_2016_168 \h </w:instrText>
      </w:r>
      <w:r>
        <w:fldChar w:fldCharType="separate"/>
      </w:r>
      <w:r w:rsidR="006227CF">
        <w:rPr>
          <w:noProof/>
        </w:rPr>
        <w:t>950</w:t>
      </w:r>
      <w:r>
        <w:fldChar w:fldCharType="end"/>
      </w:r>
    </w:p>
    <w:p w:rsidR="00354D72" w:rsidRDefault="00354D72" w:rsidP="00354D72"/>
    <w:p w:rsidR="00354D72" w:rsidRDefault="00354D72" w:rsidP="00354D72">
      <w:pPr>
        <w:pStyle w:val="EntradandiceSentencia"/>
      </w:pPr>
      <w:r>
        <w:t>Pleno. Sentencia 169/2016, de 6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3925-2015. </w:t>
      </w:r>
      <w:r w:rsidRPr="00354D72">
        <w:rPr>
          <w:rStyle w:val="TextoNormalCursivaCaracter"/>
        </w:rPr>
        <w:t xml:space="preserve"> Límites a los decretos-leyes: ausencia del presupuesto habilitante necesario para la concesión urgente de un crédito extraordinario en el presupuesto del Ministerio de Defensa (STC 126/2016).</w:t>
      </w:r>
      <w:r>
        <w:tab/>
      </w:r>
      <w:r>
        <w:tab/>
      </w:r>
      <w:r>
        <w:fldChar w:fldCharType="begin"/>
      </w:r>
      <w:r>
        <w:instrText xml:space="preserve"> PAGEREF SENTENCIA_2016_169 \h </w:instrText>
      </w:r>
      <w:r>
        <w:fldChar w:fldCharType="separate"/>
      </w:r>
      <w:r w:rsidR="006227CF">
        <w:rPr>
          <w:noProof/>
        </w:rPr>
        <w:t>969</w:t>
      </w:r>
      <w:r>
        <w:fldChar w:fldCharType="end"/>
      </w:r>
    </w:p>
    <w:p w:rsidR="00354D72" w:rsidRDefault="00354D72" w:rsidP="00354D72"/>
    <w:p w:rsidR="00354D72" w:rsidRDefault="00354D72" w:rsidP="00354D72">
      <w:pPr>
        <w:pStyle w:val="EntradandiceSentencia"/>
      </w:pPr>
      <w:r>
        <w:t>Pleno. Sentencia 170/2016, de 6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1624-2016. </w:t>
      </w:r>
      <w:r w:rsidRPr="00354D72">
        <w:rPr>
          <w:rStyle w:val="TextoNormalCursivaCaracter"/>
        </w:rPr>
        <w:t xml:space="preserve"> Principios de interdicción de la arbitrariedad y exclusividad jurisdiccional, derecho a la tutela judicial efectiva: constitucionalidad del precepto legal autonómico que establece un límite de tres alturas a los edificios de nueva construcción.</w:t>
      </w:r>
      <w:r>
        <w:tab/>
      </w:r>
      <w:r>
        <w:tab/>
      </w:r>
      <w:r>
        <w:fldChar w:fldCharType="begin"/>
      </w:r>
      <w:r>
        <w:instrText xml:space="preserve"> PAGEREF SENTENCIA_2016_170 \h </w:instrText>
      </w:r>
      <w:r>
        <w:fldChar w:fldCharType="separate"/>
      </w:r>
      <w:r w:rsidR="006227CF">
        <w:rPr>
          <w:noProof/>
        </w:rPr>
        <w:t>979</w:t>
      </w:r>
      <w:r>
        <w:fldChar w:fldCharType="end"/>
      </w:r>
    </w:p>
    <w:p w:rsidR="00354D72" w:rsidRDefault="00354D72" w:rsidP="00354D72"/>
    <w:p w:rsidR="00354D72" w:rsidRDefault="00354D72" w:rsidP="00354D72">
      <w:pPr>
        <w:pStyle w:val="EntradandiceSentencia"/>
      </w:pPr>
      <w:r>
        <w:t>Pleno. Sentencia 171/2016, de 6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Conflicto positivo de competencia 2761-2016. </w:t>
      </w:r>
      <w:r w:rsidRPr="00354D72">
        <w:rPr>
          <w:rStyle w:val="TextoNormalCursivaCaracter"/>
        </w:rPr>
        <w:t xml:space="preserve"> Competencias sobre ordenación general de la economía, medio ambiente y energía: interpretación conforme de los preceptos reglamentarios que atribuyen competencias a la Administración del Estado en función de la potencia de instalaciones térmicas de generación de electricidad (STC 32/2016).</w:t>
      </w:r>
      <w:r>
        <w:tab/>
      </w:r>
      <w:r>
        <w:tab/>
      </w:r>
      <w:r>
        <w:fldChar w:fldCharType="begin"/>
      </w:r>
      <w:r>
        <w:instrText xml:space="preserve"> PAGEREF SENTENCIA_2016_171 \h </w:instrText>
      </w:r>
      <w:r>
        <w:fldChar w:fldCharType="separate"/>
      </w:r>
      <w:r w:rsidR="006227CF">
        <w:rPr>
          <w:noProof/>
        </w:rPr>
        <w:t>1001</w:t>
      </w:r>
      <w:r>
        <w:fldChar w:fldCharType="end"/>
      </w:r>
    </w:p>
    <w:p w:rsidR="00354D72" w:rsidRDefault="00354D72" w:rsidP="00354D72"/>
    <w:p w:rsidR="00354D72" w:rsidRDefault="00354D72" w:rsidP="00354D72">
      <w:pPr>
        <w:pStyle w:val="EntradandiceSentencia"/>
      </w:pPr>
      <w:r>
        <w:t>Sala Primera. Sentencia 172/2016, de 17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299-2013. </w:t>
      </w:r>
      <w:r w:rsidRPr="00354D72">
        <w:rPr>
          <w:rStyle w:val="TextoNormalCursivaCaracter"/>
        </w:rPr>
        <w:t xml:space="preserve"> Vulneración de los derechos a la tutela judicial efectiva (acceso al recurso), a un proceso con todas las garantías y a la presunción de inocencia: condena impuesta en casación sin cumplirse los requisitos procesales exigibles y fundada en una nueva valoración de un elemento subjetivo del injusto. Voto particular.</w:t>
      </w:r>
      <w:r>
        <w:tab/>
      </w:r>
      <w:r>
        <w:tab/>
      </w:r>
      <w:r>
        <w:fldChar w:fldCharType="begin"/>
      </w:r>
      <w:r>
        <w:instrText xml:space="preserve"> PAGEREF SENTENCIA_2016_172 \h </w:instrText>
      </w:r>
      <w:r>
        <w:fldChar w:fldCharType="separate"/>
      </w:r>
      <w:r w:rsidR="006227CF">
        <w:rPr>
          <w:noProof/>
        </w:rPr>
        <w:t>1020</w:t>
      </w:r>
      <w:r>
        <w:fldChar w:fldCharType="end"/>
      </w:r>
    </w:p>
    <w:p w:rsidR="00354D72" w:rsidRDefault="00354D72" w:rsidP="00354D72"/>
    <w:p w:rsidR="00354D72" w:rsidRDefault="00354D72" w:rsidP="00354D72">
      <w:pPr>
        <w:pStyle w:val="EntradandiceSentencia"/>
      </w:pPr>
      <w:r>
        <w:t>Sala Primera. Sentencia 173/2016, de 17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3143-2013. </w:t>
      </w:r>
      <w:r w:rsidRPr="00354D72">
        <w:rPr>
          <w:rStyle w:val="TextoNormalCursivaCaracter"/>
        </w:rPr>
        <w:t xml:space="preserve"> Supuesta vulneración del derecho a la tutela judicial efectiva (acceso al recurso): inadmisión de recurso de suplicación fundada en el incumplimiento del requisito de consignación de la cantidad objeto de condena (STC 166/2016).</w:t>
      </w:r>
      <w:r>
        <w:tab/>
      </w:r>
      <w:r>
        <w:tab/>
      </w:r>
      <w:r>
        <w:fldChar w:fldCharType="begin"/>
      </w:r>
      <w:r>
        <w:instrText xml:space="preserve"> PAGEREF SENTENCIA_2016_173 \h </w:instrText>
      </w:r>
      <w:r>
        <w:fldChar w:fldCharType="separate"/>
      </w:r>
      <w:r w:rsidR="006227CF">
        <w:rPr>
          <w:noProof/>
        </w:rPr>
        <w:t>1064</w:t>
      </w:r>
      <w:r>
        <w:fldChar w:fldCharType="end"/>
      </w:r>
    </w:p>
    <w:p w:rsidR="00354D72" w:rsidRDefault="00354D72" w:rsidP="00354D72"/>
    <w:p w:rsidR="00354D72" w:rsidRDefault="00354D72" w:rsidP="00354D72">
      <w:pPr>
        <w:pStyle w:val="EntradandiceSentencia"/>
      </w:pPr>
      <w:r>
        <w:t>Sala Segunda. Sentencia 174/2016, de 17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2919-2014. </w:t>
      </w:r>
      <w:r w:rsidRPr="00354D72">
        <w:rPr>
          <w:rStyle w:val="TextoNormalCursivaCaracter"/>
        </w:rPr>
        <w:t xml:space="preserve"> Principios de igualdad y de interdicción de la arbitrariedad: STC 167/2016 (constitucionalidad del precepto legal que concreta la obligación de financiación por el sector eléctrico de planes de ahorro y eficiencia energética).</w:t>
      </w:r>
      <w:r>
        <w:tab/>
      </w:r>
      <w:r>
        <w:tab/>
      </w:r>
      <w:r>
        <w:fldChar w:fldCharType="begin"/>
      </w:r>
      <w:r>
        <w:instrText xml:space="preserve"> PAGEREF SENTENCIA_2016_174 \h </w:instrText>
      </w:r>
      <w:r>
        <w:fldChar w:fldCharType="separate"/>
      </w:r>
      <w:r w:rsidR="006227CF">
        <w:rPr>
          <w:noProof/>
        </w:rPr>
        <w:t>1080</w:t>
      </w:r>
      <w:r>
        <w:fldChar w:fldCharType="end"/>
      </w:r>
    </w:p>
    <w:p w:rsidR="00354D72" w:rsidRDefault="00354D72" w:rsidP="00354D72"/>
    <w:p w:rsidR="00354D72" w:rsidRDefault="00354D72" w:rsidP="00354D72">
      <w:pPr>
        <w:pStyle w:val="EntradandiceSentencia"/>
      </w:pPr>
      <w:r>
        <w:t>Sala Segunda. Sentencia 175/2016, de 17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6599-2015. </w:t>
      </w:r>
      <w:r w:rsidRPr="00354D72">
        <w:rPr>
          <w:rStyle w:val="TextoNormalCursivaCaracter"/>
        </w:rPr>
        <w:t xml:space="preserve"> Competencias sobre procedimiento administrativo: inadmisión de la cuestión por inadecuada formulación del juicio de relevancia.</w:t>
      </w:r>
      <w:r>
        <w:tab/>
      </w:r>
      <w:r>
        <w:tab/>
      </w:r>
      <w:r>
        <w:fldChar w:fldCharType="begin"/>
      </w:r>
      <w:r>
        <w:instrText xml:space="preserve"> PAGEREF SENTENCIA_2016_175 \h </w:instrText>
      </w:r>
      <w:r>
        <w:fldChar w:fldCharType="separate"/>
      </w:r>
      <w:r w:rsidR="006227CF">
        <w:rPr>
          <w:noProof/>
        </w:rPr>
        <w:t>1093</w:t>
      </w:r>
      <w:r>
        <w:fldChar w:fldCharType="end"/>
      </w:r>
    </w:p>
    <w:p w:rsidR="00354D72" w:rsidRDefault="00354D72" w:rsidP="00354D72"/>
    <w:p w:rsidR="00354D72" w:rsidRDefault="00354D72" w:rsidP="00354D72">
      <w:pPr>
        <w:pStyle w:val="EntradandiceSentencia"/>
      </w:pPr>
      <w:r>
        <w:t>Sala Primera. Sentencia 176/2016, de 17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7476-2015. </w:t>
      </w:r>
      <w:r w:rsidRPr="00354D72">
        <w:rPr>
          <w:rStyle w:val="TextoNormalCursivaCaracter"/>
        </w:rPr>
        <w:t xml:space="preserve"> Vulneración del derecho a la tutela judicial efectiva (acceso al recurso): inadmisión del recurso de suplicación resultante de la irrazonable exigencia de consignación de los salarios de tramitación.</w:t>
      </w:r>
      <w:r>
        <w:tab/>
      </w:r>
      <w:r>
        <w:tab/>
      </w:r>
      <w:r>
        <w:fldChar w:fldCharType="begin"/>
      </w:r>
      <w:r>
        <w:instrText xml:space="preserve"> PAGEREF SENTENCIA_2016_176 \h </w:instrText>
      </w:r>
      <w:r>
        <w:fldChar w:fldCharType="separate"/>
      </w:r>
      <w:r w:rsidR="006227CF">
        <w:rPr>
          <w:noProof/>
        </w:rPr>
        <w:t>1114</w:t>
      </w:r>
      <w:r>
        <w:fldChar w:fldCharType="end"/>
      </w:r>
    </w:p>
    <w:p w:rsidR="00354D72" w:rsidRDefault="00354D72" w:rsidP="00354D72"/>
    <w:p w:rsidR="00354D72" w:rsidRDefault="00354D72" w:rsidP="00354D72">
      <w:pPr>
        <w:pStyle w:val="EntradandiceSentencia"/>
      </w:pPr>
      <w:r>
        <w:t>Pleno. Sentencia 177/2016, de 20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7722-2010. </w:t>
      </w:r>
      <w:r w:rsidRPr="00354D72">
        <w:rPr>
          <w:rStyle w:val="TextoNormalCursivaCaracter"/>
        </w:rPr>
        <w:t xml:space="preserve"> Competencias sobre patrimonio histórico y cultura: nulidad del precepto legal autonómico que prohíbe la celebración en Cataluña de corridas de toros y espectáculos taurinos que incluyan la muerte del animal y la aplicación de determinadas suertes de lidia. Votos particulares.</w:t>
      </w:r>
      <w:r>
        <w:tab/>
      </w:r>
      <w:r>
        <w:tab/>
      </w:r>
      <w:r>
        <w:fldChar w:fldCharType="begin"/>
      </w:r>
      <w:r>
        <w:instrText xml:space="preserve"> PAGEREF SENTENCIA_2016_177 \h </w:instrText>
      </w:r>
      <w:r>
        <w:fldChar w:fldCharType="separate"/>
      </w:r>
      <w:r w:rsidR="006227CF">
        <w:rPr>
          <w:noProof/>
        </w:rPr>
        <w:t>1127</w:t>
      </w:r>
      <w:r>
        <w:fldChar w:fldCharType="end"/>
      </w:r>
    </w:p>
    <w:p w:rsidR="00354D72" w:rsidRDefault="00354D72" w:rsidP="00354D72"/>
    <w:p w:rsidR="00354D72" w:rsidRDefault="00354D72" w:rsidP="00354D72">
      <w:pPr>
        <w:pStyle w:val="EntradandiceSentencia"/>
      </w:pPr>
      <w:r>
        <w:t>Pleno. Sentencia 178/2016, de 20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Conflicto positivo de competencia 6862-2012. </w:t>
      </w:r>
      <w:r w:rsidRPr="00354D72">
        <w:rPr>
          <w:rStyle w:val="TextoNormalCursivaCaracter"/>
        </w:rPr>
        <w:t xml:space="preserve"> Competencias sobre ordenación general de la economía y principios de coordinación entre haciendas públicas y de estabilidad presupuestaria: atribución al Estado de la competencia para regular la percepción de la paga extraordinaria controvertida (STC 81/2015).</w:t>
      </w:r>
      <w:r>
        <w:tab/>
      </w:r>
      <w:r>
        <w:tab/>
      </w:r>
      <w:r>
        <w:fldChar w:fldCharType="begin"/>
      </w:r>
      <w:r>
        <w:instrText xml:space="preserve"> PAGEREF SENTENCIA_2016_178 \h </w:instrText>
      </w:r>
      <w:r>
        <w:fldChar w:fldCharType="separate"/>
      </w:r>
      <w:r w:rsidR="006227CF">
        <w:rPr>
          <w:noProof/>
        </w:rPr>
        <w:t>1170</w:t>
      </w:r>
      <w:r>
        <w:fldChar w:fldCharType="end"/>
      </w:r>
    </w:p>
    <w:p w:rsidR="00354D72" w:rsidRDefault="00354D72" w:rsidP="00354D72"/>
    <w:p w:rsidR="00354D72" w:rsidRDefault="00354D72" w:rsidP="00354D72">
      <w:pPr>
        <w:pStyle w:val="EntradandiceSentencia"/>
      </w:pPr>
      <w:r>
        <w:t>Pleno. Sentencia 179/2016, de 20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1744-2013. </w:t>
      </w:r>
      <w:r w:rsidRPr="00354D72">
        <w:rPr>
          <w:rStyle w:val="TextoNormalCursivaCaracter"/>
        </w:rPr>
        <w:t xml:space="preserve"> Competencias en materia laboral y servicios sociales, autonomía financiera de las Comunidades Autónomas: constitucionalidad de los preceptos legales que atribuyen determinadas funciones ejecutivas al Servicio Público de Empleo Estatal y suspenden temporalmente la aplicación de diferentes disposiciones de la Ley de promoción de la autonomía personal y atención a las personas en situación de dependencia. Voto particular.</w:t>
      </w:r>
      <w:r>
        <w:tab/>
      </w:r>
      <w:r>
        <w:tab/>
      </w:r>
      <w:r>
        <w:fldChar w:fldCharType="begin"/>
      </w:r>
      <w:r>
        <w:instrText xml:space="preserve"> PAGEREF SENTENCIA_2016_179 \h </w:instrText>
      </w:r>
      <w:r>
        <w:fldChar w:fldCharType="separate"/>
      </w:r>
      <w:r w:rsidR="006227CF">
        <w:rPr>
          <w:noProof/>
        </w:rPr>
        <w:t>1183</w:t>
      </w:r>
      <w:r>
        <w:fldChar w:fldCharType="end"/>
      </w:r>
    </w:p>
    <w:p w:rsidR="00354D72" w:rsidRDefault="00354D72" w:rsidP="00354D72"/>
    <w:p w:rsidR="00354D72" w:rsidRDefault="00354D72" w:rsidP="00354D72">
      <w:pPr>
        <w:pStyle w:val="EntradandiceSentencia"/>
      </w:pPr>
      <w:r>
        <w:t>Pleno. Sentencia 180/2016, de 20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2001-2014. </w:t>
      </w:r>
      <w:r w:rsidRPr="00354D72">
        <w:rPr>
          <w:rStyle w:val="TextoNormalCursivaCaracter"/>
        </w:rPr>
        <w:t xml:space="preserve"> Competencias sobre régimen local: interpretación conforme con la Constitución del precepto legal relativo al plan provincial de cooperación a las obras y servicios de competencia municipal (STC 111/2016).</w:t>
      </w:r>
      <w:r>
        <w:tab/>
      </w:r>
      <w:r>
        <w:tab/>
      </w:r>
      <w:r>
        <w:fldChar w:fldCharType="begin"/>
      </w:r>
      <w:r>
        <w:instrText xml:space="preserve"> PAGEREF SENTENCIA_2016_180 \h </w:instrText>
      </w:r>
      <w:r>
        <w:fldChar w:fldCharType="separate"/>
      </w:r>
      <w:r w:rsidR="006227CF">
        <w:rPr>
          <w:noProof/>
        </w:rPr>
        <w:t>1211</w:t>
      </w:r>
      <w:r>
        <w:fldChar w:fldCharType="end"/>
      </w:r>
    </w:p>
    <w:p w:rsidR="00354D72" w:rsidRDefault="00354D72" w:rsidP="00354D72"/>
    <w:p w:rsidR="00354D72" w:rsidRDefault="00354D72" w:rsidP="00354D72">
      <w:pPr>
        <w:pStyle w:val="EntradandiceSentencia"/>
      </w:pPr>
      <w:r>
        <w:t>Pleno. Sentencia 181/2016, de 20 de octubre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2322-2016. </w:t>
      </w:r>
      <w:r w:rsidRPr="00354D72">
        <w:rPr>
          <w:rStyle w:val="TextoNormalCursivaCaracter"/>
        </w:rPr>
        <w:t xml:space="preserve"> Principio de confianza legítima: constitucionalidad de los preceptos legales que establecen un nuevo régimen retributivo para los titulares de las instalaciones de producción de energía eléctrica en régimen primado (STC 270/2015).</w:t>
      </w:r>
      <w:r>
        <w:tab/>
      </w:r>
      <w:r>
        <w:tab/>
      </w:r>
      <w:r>
        <w:fldChar w:fldCharType="begin"/>
      </w:r>
      <w:r>
        <w:instrText xml:space="preserve"> PAGEREF SENTENCIA_2016_181 \h </w:instrText>
      </w:r>
      <w:r>
        <w:fldChar w:fldCharType="separate"/>
      </w:r>
      <w:r w:rsidR="006227CF">
        <w:rPr>
          <w:noProof/>
        </w:rPr>
        <w:t>1250</w:t>
      </w:r>
      <w:r>
        <w:fldChar w:fldCharType="end"/>
      </w:r>
    </w:p>
    <w:p w:rsidR="00354D72" w:rsidRDefault="00354D72" w:rsidP="00354D72"/>
    <w:p w:rsidR="00354D72" w:rsidRDefault="00354D72" w:rsidP="00354D72">
      <w:pPr>
        <w:pStyle w:val="EntradandiceSentencia"/>
      </w:pPr>
      <w:r>
        <w:t>Pleno. Sentencia 182/2016, de 3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5252-2011. </w:t>
      </w:r>
      <w:r w:rsidRPr="00354D72">
        <w:rPr>
          <w:rStyle w:val="TextoNormalCursivaCaracter"/>
        </w:rPr>
        <w:t xml:space="preserve"> Competencias sobre ordenación general de la economía, ordenación del territorio y del litoral, medio ambiente y minas: constitucionalidad de los preceptos legales que reservan a la Administración del Estado la concesión de almacenamiento (STC 165/2016). Voto particular.</w:t>
      </w:r>
      <w:r>
        <w:tab/>
      </w:r>
      <w:r>
        <w:tab/>
      </w:r>
      <w:r>
        <w:fldChar w:fldCharType="begin"/>
      </w:r>
      <w:r>
        <w:instrText xml:space="preserve"> PAGEREF SENTENCIA_2016_182 \h </w:instrText>
      </w:r>
      <w:r>
        <w:fldChar w:fldCharType="separate"/>
      </w:r>
      <w:r w:rsidR="006227CF">
        <w:rPr>
          <w:noProof/>
        </w:rPr>
        <w:t>1275</w:t>
      </w:r>
      <w:r>
        <w:fldChar w:fldCharType="end"/>
      </w:r>
    </w:p>
    <w:p w:rsidR="00354D72" w:rsidRDefault="00354D72" w:rsidP="00354D72"/>
    <w:p w:rsidR="00354D72" w:rsidRDefault="00354D72" w:rsidP="00354D72">
      <w:pPr>
        <w:pStyle w:val="EntradandiceSentencia"/>
      </w:pPr>
      <w:r>
        <w:t>Pleno. Sentencia 183/2016, de 3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4530-2012. </w:t>
      </w:r>
      <w:r w:rsidRPr="00354D72">
        <w:rPr>
          <w:rStyle w:val="TextoNormalCursivaCaracter"/>
        </w:rPr>
        <w:t xml:space="preserve"> Límites de los decretos-leyes y competencias en sanidad y función pública: nulidad de la previsión legal estatal que impide la adscripción de personal funcionario sanitario a instituciones sanitarias públicas autonómicas.</w:t>
      </w:r>
      <w:r>
        <w:tab/>
      </w:r>
      <w:r>
        <w:tab/>
      </w:r>
      <w:r>
        <w:fldChar w:fldCharType="begin"/>
      </w:r>
      <w:r>
        <w:instrText xml:space="preserve"> PAGEREF SENTENCIA_2016_183 \h </w:instrText>
      </w:r>
      <w:r>
        <w:fldChar w:fldCharType="separate"/>
      </w:r>
      <w:r w:rsidR="006227CF">
        <w:rPr>
          <w:noProof/>
        </w:rPr>
        <w:t>1294</w:t>
      </w:r>
      <w:r>
        <w:fldChar w:fldCharType="end"/>
      </w:r>
    </w:p>
    <w:p w:rsidR="00354D72" w:rsidRDefault="00354D72" w:rsidP="00354D72"/>
    <w:p w:rsidR="00354D72" w:rsidRDefault="00354D72" w:rsidP="00354D72">
      <w:pPr>
        <w:pStyle w:val="EntradandiceSentencia"/>
      </w:pPr>
      <w:r>
        <w:t>Pleno. Sentencia 184/2016, de 3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7330-2015. </w:t>
      </w:r>
      <w:r w:rsidRPr="00354D72">
        <w:rPr>
          <w:rStyle w:val="TextoNormalCursivaCaracter"/>
        </w:rPr>
        <w:t xml:space="preserve"> Competencias sobre defensa, seguridad pública y protección civil; cláusula residual de atribución de competencias: interpretación conforme con la Constitución del precepto legal estatal que establece los efectos de la declaración de situación de interés para la seguridad nacional.</w:t>
      </w:r>
      <w:r>
        <w:tab/>
      </w:r>
      <w:r>
        <w:tab/>
      </w:r>
      <w:r>
        <w:fldChar w:fldCharType="begin"/>
      </w:r>
      <w:r>
        <w:instrText xml:space="preserve"> PAGEREF SENTENCIA_2016_184 \h </w:instrText>
      </w:r>
      <w:r>
        <w:fldChar w:fldCharType="separate"/>
      </w:r>
      <w:r w:rsidR="006227CF">
        <w:rPr>
          <w:noProof/>
        </w:rPr>
        <w:t>1312</w:t>
      </w:r>
      <w:r>
        <w:fldChar w:fldCharType="end"/>
      </w:r>
    </w:p>
    <w:p w:rsidR="00354D72" w:rsidRDefault="00354D72" w:rsidP="00354D72"/>
    <w:p w:rsidR="00354D72" w:rsidRDefault="00354D72" w:rsidP="00354D72">
      <w:pPr>
        <w:pStyle w:val="EntradandiceSentencia"/>
      </w:pPr>
      <w:r>
        <w:t>Pleno. Sentencia 185/2016, de 3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229-2016. </w:t>
      </w:r>
      <w:r w:rsidRPr="00354D72">
        <w:rPr>
          <w:rStyle w:val="TextoNormalCursivaCaracter"/>
        </w:rPr>
        <w:t xml:space="preserve"> Procedimiento legislativo y derecho de participación de los parlamentarios; modelo de justicia constitucional, principio de legalidad penal y aforamiento, control de la actividad de las Comunidades Autónomas: constitucionalidad de la regulación legal de medios de ejecución de las resoluciones del Tribunal Constitucional. Votos particulares.</w:t>
      </w:r>
      <w:r>
        <w:tab/>
      </w:r>
      <w:r>
        <w:tab/>
      </w:r>
      <w:r>
        <w:fldChar w:fldCharType="begin"/>
      </w:r>
      <w:r>
        <w:instrText xml:space="preserve"> PAGEREF SENTENCIA_2016_185 \h </w:instrText>
      </w:r>
      <w:r>
        <w:fldChar w:fldCharType="separate"/>
      </w:r>
      <w:r w:rsidR="006227CF">
        <w:rPr>
          <w:noProof/>
        </w:rPr>
        <w:t>1340</w:t>
      </w:r>
      <w:r>
        <w:fldChar w:fldCharType="end"/>
      </w:r>
    </w:p>
    <w:p w:rsidR="00354D72" w:rsidRDefault="00354D72" w:rsidP="00354D72"/>
    <w:p w:rsidR="00354D72" w:rsidRDefault="00354D72" w:rsidP="00354D72">
      <w:pPr>
        <w:pStyle w:val="EntradandiceSentencia"/>
      </w:pPr>
      <w:r>
        <w:t>Pleno. Sentencia 186/2016, de 3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2219-2016. </w:t>
      </w:r>
      <w:r w:rsidRPr="00354D72">
        <w:rPr>
          <w:rStyle w:val="TextoNormalCursivaCaracter"/>
        </w:rPr>
        <w:t xml:space="preserve"> Competencias sobre ordenación general de la economía, agricultura y ganadería: extinción parcial del recurso de inconstitucionalidad; constitucionalidad de los preceptos legales estatales relativos a la responsabilidad por las infracciones, graduación de las sanciones y creación de una red de intercambio de información de calidad alimentaria (STC 142/2016).</w:t>
      </w:r>
      <w:r>
        <w:tab/>
      </w:r>
      <w:r>
        <w:tab/>
      </w:r>
      <w:r>
        <w:fldChar w:fldCharType="begin"/>
      </w:r>
      <w:r>
        <w:instrText xml:space="preserve"> PAGEREF SENTENCIA_2016_186 \h </w:instrText>
      </w:r>
      <w:r>
        <w:fldChar w:fldCharType="separate"/>
      </w:r>
      <w:r w:rsidR="006227CF">
        <w:rPr>
          <w:noProof/>
        </w:rPr>
        <w:t>1423</w:t>
      </w:r>
      <w:r>
        <w:fldChar w:fldCharType="end"/>
      </w:r>
    </w:p>
    <w:p w:rsidR="00354D72" w:rsidRDefault="00354D72" w:rsidP="00354D72"/>
    <w:p w:rsidR="00354D72" w:rsidRDefault="00354D72" w:rsidP="00354D72">
      <w:pPr>
        <w:pStyle w:val="EntradandiceSentencia"/>
      </w:pPr>
      <w:r>
        <w:t>Sala Segunda. Sentencia 187/2016, de 14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6600-2013. </w:t>
      </w:r>
      <w:r w:rsidRPr="00354D72">
        <w:rPr>
          <w:rStyle w:val="TextoNormalCursivaCaracter"/>
        </w:rPr>
        <w:t xml:space="preserve"> Principios de igualdad y de interdicción de la arbitrariedad: STC 167/2016 (constitucionalidad del precepto legal que concreta la obligación de financiación por el sector eléctrico de planes de ahorro y eficiencia energética).</w:t>
      </w:r>
      <w:r>
        <w:tab/>
      </w:r>
      <w:r>
        <w:tab/>
      </w:r>
      <w:r>
        <w:fldChar w:fldCharType="begin"/>
      </w:r>
      <w:r>
        <w:instrText xml:space="preserve"> PAGEREF SENTENCIA_2016_187 \h </w:instrText>
      </w:r>
      <w:r>
        <w:fldChar w:fldCharType="separate"/>
      </w:r>
      <w:r w:rsidR="006227CF">
        <w:rPr>
          <w:noProof/>
        </w:rPr>
        <w:t>1436</w:t>
      </w:r>
      <w:r>
        <w:fldChar w:fldCharType="end"/>
      </w:r>
    </w:p>
    <w:p w:rsidR="00354D72" w:rsidRDefault="00354D72" w:rsidP="00354D72"/>
    <w:p w:rsidR="00354D72" w:rsidRDefault="00354D72" w:rsidP="00354D72">
      <w:pPr>
        <w:pStyle w:val="EntradandiceSentencia"/>
      </w:pPr>
      <w:r>
        <w:t>Sala Segunda. Sentencia 188/2016, de 14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3031-2014. </w:t>
      </w:r>
      <w:r w:rsidRPr="00354D72">
        <w:rPr>
          <w:rStyle w:val="TextoNormalCursivaCaracter"/>
        </w:rPr>
        <w:t xml:space="preserve"> Principios de igualdad y de interdicción de la arbitrariedad: STC 167/2016 (constitucionalidad del precepto legal que concreta la obligación de financiación por el sector eléctrico de planes de ahorro y eficiencia energética).</w:t>
      </w:r>
      <w:r>
        <w:tab/>
      </w:r>
      <w:r>
        <w:tab/>
      </w:r>
      <w:r>
        <w:fldChar w:fldCharType="begin"/>
      </w:r>
      <w:r>
        <w:instrText xml:space="preserve"> PAGEREF SENTENCIA_2016_188 \h </w:instrText>
      </w:r>
      <w:r>
        <w:fldChar w:fldCharType="separate"/>
      </w:r>
      <w:r w:rsidR="006227CF">
        <w:rPr>
          <w:noProof/>
        </w:rPr>
        <w:t>1449</w:t>
      </w:r>
      <w:r>
        <w:fldChar w:fldCharType="end"/>
      </w:r>
    </w:p>
    <w:p w:rsidR="00354D72" w:rsidRDefault="00354D72" w:rsidP="00354D72"/>
    <w:p w:rsidR="00354D72" w:rsidRDefault="00354D72" w:rsidP="00354D72">
      <w:pPr>
        <w:pStyle w:val="EntradandiceSentencia"/>
      </w:pPr>
      <w:r>
        <w:t>Sala Segunda. Sentencia 189/2016, de 14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2443-2015. </w:t>
      </w:r>
      <w:r w:rsidRPr="00354D72">
        <w:rPr>
          <w:rStyle w:val="TextoNormalCursivaCaracter"/>
        </w:rPr>
        <w:t xml:space="preserve"> Alegada vulneración de los derechos a la tutela judicial efectiva y a la presunción de inocencia: inadmisión del recurso de amparo por falta de agotamiento de los medios de impugnación utilizables.</w:t>
      </w:r>
      <w:r>
        <w:tab/>
      </w:r>
      <w:r>
        <w:tab/>
      </w:r>
      <w:r>
        <w:fldChar w:fldCharType="begin"/>
      </w:r>
      <w:r>
        <w:instrText xml:space="preserve"> PAGEREF SENTENCIA_2016_189 \h </w:instrText>
      </w:r>
      <w:r>
        <w:fldChar w:fldCharType="separate"/>
      </w:r>
      <w:r w:rsidR="006227CF">
        <w:rPr>
          <w:noProof/>
        </w:rPr>
        <w:t>1462</w:t>
      </w:r>
      <w:r>
        <w:fldChar w:fldCharType="end"/>
      </w:r>
    </w:p>
    <w:p w:rsidR="00354D72" w:rsidRDefault="00354D72" w:rsidP="00354D72"/>
    <w:p w:rsidR="00354D72" w:rsidRDefault="00354D72" w:rsidP="00354D72">
      <w:pPr>
        <w:pStyle w:val="EntradandiceSentencia"/>
      </w:pPr>
      <w:r>
        <w:t>Pleno. Sentencia 190/2016, de 15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5261-2011. </w:t>
      </w:r>
      <w:r w:rsidRPr="00354D72">
        <w:rPr>
          <w:rStyle w:val="TextoNormalCursivaCaracter"/>
        </w:rPr>
        <w:t xml:space="preserve"> Competencias sobre ordenación general de la economía, ordenación del territorio, medio ambiente y minas: STC 165/2016 (constitucionalidad de los preceptos legales que reservan a la Administración del Estado la concesión de almacenamiento). Voto particular.</w:t>
      </w:r>
      <w:r>
        <w:tab/>
      </w:r>
      <w:r>
        <w:tab/>
      </w:r>
      <w:r>
        <w:fldChar w:fldCharType="begin"/>
      </w:r>
      <w:r>
        <w:instrText xml:space="preserve"> PAGEREF SENTENCIA_2016_190 \h </w:instrText>
      </w:r>
      <w:r>
        <w:fldChar w:fldCharType="separate"/>
      </w:r>
      <w:r w:rsidR="006227CF">
        <w:rPr>
          <w:noProof/>
        </w:rPr>
        <w:t>1469</w:t>
      </w:r>
      <w:r>
        <w:fldChar w:fldCharType="end"/>
      </w:r>
    </w:p>
    <w:p w:rsidR="00354D72" w:rsidRDefault="00354D72" w:rsidP="00354D72"/>
    <w:p w:rsidR="00354D72" w:rsidRDefault="00354D72" w:rsidP="00354D72">
      <w:pPr>
        <w:pStyle w:val="EntradandiceSentencia"/>
      </w:pPr>
      <w:r>
        <w:t>Pleno. Sentencia 191/2016, de 15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5465-2013. </w:t>
      </w:r>
      <w:r w:rsidRPr="00354D72">
        <w:rPr>
          <w:rStyle w:val="TextoNormalCursivaCaracter"/>
        </w:rPr>
        <w:t xml:space="preserve"> Consejo General del Poder Judicial: interpretación conforme con la Constitución del precepto legal relativo a los deberes de comparecencia ante las cámaras parlamentarias del presidente y vocales del Consejo General del Poder Judicial.</w:t>
      </w:r>
      <w:r>
        <w:tab/>
      </w:r>
      <w:r>
        <w:tab/>
      </w:r>
      <w:r>
        <w:fldChar w:fldCharType="begin"/>
      </w:r>
      <w:r>
        <w:instrText xml:space="preserve"> PAGEREF SENTENCIA_2016_191 \h </w:instrText>
      </w:r>
      <w:r>
        <w:fldChar w:fldCharType="separate"/>
      </w:r>
      <w:r w:rsidR="006227CF">
        <w:rPr>
          <w:noProof/>
        </w:rPr>
        <w:t>1481</w:t>
      </w:r>
      <w:r>
        <w:fldChar w:fldCharType="end"/>
      </w:r>
    </w:p>
    <w:p w:rsidR="00354D72" w:rsidRDefault="00354D72" w:rsidP="00354D72"/>
    <w:p w:rsidR="00354D72" w:rsidRDefault="00354D72" w:rsidP="00354D72">
      <w:pPr>
        <w:pStyle w:val="EntradandiceSentencia"/>
      </w:pPr>
      <w:r>
        <w:t>Pleno. Sentencia 192/2016, de 16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3859-2011. </w:t>
      </w:r>
      <w:r w:rsidRPr="00354D72">
        <w:rPr>
          <w:rStyle w:val="TextoNormalCursivaCaracter"/>
        </w:rPr>
        <w:t xml:space="preserve"> Competencia sobre Derecho civil: nulidad de la Ley autonómica dictada en materia no integrada en el acervo normativo o consuetudinario del Derecho civil histórico valenciano (STC 82/2016). Voto particular.</w:t>
      </w:r>
      <w:r>
        <w:tab/>
      </w:r>
      <w:r>
        <w:tab/>
      </w:r>
      <w:r>
        <w:fldChar w:fldCharType="begin"/>
      </w:r>
      <w:r>
        <w:instrText xml:space="preserve"> PAGEREF SENTENCIA_2016_192 \h </w:instrText>
      </w:r>
      <w:r>
        <w:fldChar w:fldCharType="separate"/>
      </w:r>
      <w:r w:rsidR="006227CF">
        <w:rPr>
          <w:noProof/>
        </w:rPr>
        <w:t>1520</w:t>
      </w:r>
      <w:r>
        <w:fldChar w:fldCharType="end"/>
      </w:r>
    </w:p>
    <w:p w:rsidR="00354D72" w:rsidRDefault="00354D72" w:rsidP="00354D72"/>
    <w:p w:rsidR="00354D72" w:rsidRDefault="00354D72" w:rsidP="00354D72">
      <w:pPr>
        <w:pStyle w:val="EntradandiceSentencia"/>
      </w:pPr>
      <w:r>
        <w:t>Pleno. Sentencia 193/2016, de 16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Conflicto positivo de competencia 2386-2012. </w:t>
      </w:r>
      <w:r w:rsidRPr="00354D72">
        <w:rPr>
          <w:rStyle w:val="TextoNormalCursivaCaracter"/>
        </w:rPr>
        <w:t xml:space="preserve"> Competencias sobre ordenación general de la economía y educación: nulidad de la convocatoria autonómica de plazas docentes que rebasa los límites fijados por la normativa básica estatal.</w:t>
      </w:r>
      <w:r>
        <w:tab/>
      </w:r>
      <w:r>
        <w:tab/>
      </w:r>
      <w:r>
        <w:fldChar w:fldCharType="begin"/>
      </w:r>
      <w:r>
        <w:instrText xml:space="preserve"> PAGEREF SENTENCIA_2016_193 \h </w:instrText>
      </w:r>
      <w:r>
        <w:fldChar w:fldCharType="separate"/>
      </w:r>
      <w:r w:rsidR="006227CF">
        <w:rPr>
          <w:noProof/>
        </w:rPr>
        <w:t>1543</w:t>
      </w:r>
      <w:r>
        <w:fldChar w:fldCharType="end"/>
      </w:r>
    </w:p>
    <w:p w:rsidR="00354D72" w:rsidRDefault="00354D72" w:rsidP="00354D72"/>
    <w:p w:rsidR="00354D72" w:rsidRDefault="00354D72" w:rsidP="00354D72">
      <w:pPr>
        <w:pStyle w:val="EntradandiceSentencia"/>
      </w:pPr>
      <w:r>
        <w:t>Pleno. Sentencia 194/2016, de 16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1814-2013. </w:t>
      </w:r>
      <w:r w:rsidRPr="00354D72">
        <w:rPr>
          <w:rStyle w:val="TextoNormalCursivaCaracter"/>
        </w:rPr>
        <w:t xml:space="preserve"> Competencias sobre ordenación general de la economía y función pública: constitucionalidad del precepto legal estatal relativo a las limitaciones de incorporación nuevos empleados públicos (SSTC 215/2015 y 179/2016). Voto particular.</w:t>
      </w:r>
      <w:r>
        <w:tab/>
      </w:r>
      <w:r>
        <w:tab/>
      </w:r>
      <w:r>
        <w:fldChar w:fldCharType="begin"/>
      </w:r>
      <w:r>
        <w:instrText xml:space="preserve"> PAGEREF SENTENCIA_2016_194 \h </w:instrText>
      </w:r>
      <w:r>
        <w:fldChar w:fldCharType="separate"/>
      </w:r>
      <w:r w:rsidR="006227CF">
        <w:rPr>
          <w:noProof/>
        </w:rPr>
        <w:t>1555</w:t>
      </w:r>
      <w:r>
        <w:fldChar w:fldCharType="end"/>
      </w:r>
    </w:p>
    <w:p w:rsidR="00354D72" w:rsidRDefault="00354D72" w:rsidP="00354D72"/>
    <w:p w:rsidR="00354D72" w:rsidRDefault="00354D72" w:rsidP="00354D72">
      <w:pPr>
        <w:pStyle w:val="EntradandiceSentencia"/>
      </w:pPr>
      <w:r>
        <w:t>Pleno. Sentencia 195/2016, de 16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5951-2014. </w:t>
      </w:r>
      <w:r w:rsidRPr="00354D72">
        <w:rPr>
          <w:rStyle w:val="TextoNormalCursivaCaracter"/>
        </w:rPr>
        <w:t xml:space="preserve"> Límites a los decretos-leyes, competencias en materia de comercio interior: constitucionalidad de los preceptos legales estatales relativos a las zonas de gran afluencia turística (STC 18/2016). Votos particulares.</w:t>
      </w:r>
      <w:r>
        <w:tab/>
      </w:r>
      <w:r>
        <w:tab/>
      </w:r>
      <w:r>
        <w:fldChar w:fldCharType="begin"/>
      </w:r>
      <w:r>
        <w:instrText xml:space="preserve"> PAGEREF SENTENCIA_2016_195 \h </w:instrText>
      </w:r>
      <w:r>
        <w:fldChar w:fldCharType="separate"/>
      </w:r>
      <w:r w:rsidR="006227CF">
        <w:rPr>
          <w:noProof/>
        </w:rPr>
        <w:t>1574</w:t>
      </w:r>
      <w:r>
        <w:fldChar w:fldCharType="end"/>
      </w:r>
    </w:p>
    <w:p w:rsidR="00354D72" w:rsidRDefault="00354D72" w:rsidP="00354D72"/>
    <w:p w:rsidR="00354D72" w:rsidRDefault="00354D72" w:rsidP="00354D72">
      <w:pPr>
        <w:pStyle w:val="EntradandiceSentencia"/>
      </w:pPr>
      <w:r>
        <w:t>Sala Segunda. Sentencia 196/2016, de 28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354-2014. </w:t>
      </w:r>
      <w:r w:rsidRPr="00354D72">
        <w:rPr>
          <w:rStyle w:val="TextoNormalCursivaCaracter"/>
        </w:rPr>
        <w:t xml:space="preserve"> Supuesta vulneración del derecho a la igualdad: préstamo forzoso exigido a las empresas dedicadas principalmente a la producción de energía eléctrica en régimen ordinario y destinado a cubrir desajustes temporales en las liquidaciones de las actividades reguladas (STC 167/2016).</w:t>
      </w:r>
      <w:r>
        <w:tab/>
      </w:r>
      <w:r>
        <w:tab/>
      </w:r>
      <w:r>
        <w:fldChar w:fldCharType="begin"/>
      </w:r>
      <w:r>
        <w:instrText xml:space="preserve"> PAGEREF SENTENCIA_2016_196 \h </w:instrText>
      </w:r>
      <w:r>
        <w:fldChar w:fldCharType="separate"/>
      </w:r>
      <w:r w:rsidR="006227CF">
        <w:rPr>
          <w:noProof/>
        </w:rPr>
        <w:t>1591</w:t>
      </w:r>
      <w:r>
        <w:fldChar w:fldCharType="end"/>
      </w:r>
    </w:p>
    <w:p w:rsidR="00354D72" w:rsidRDefault="00354D72" w:rsidP="00354D72"/>
    <w:p w:rsidR="00354D72" w:rsidRDefault="00354D72" w:rsidP="00354D72">
      <w:pPr>
        <w:pStyle w:val="EntradandiceSentencia"/>
      </w:pPr>
      <w:r>
        <w:t>Sala Primera. Sentencia 197/2016, de 28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2611-2014. </w:t>
      </w:r>
      <w:r w:rsidRPr="00354D72">
        <w:rPr>
          <w:rStyle w:val="TextoNormalCursivaCaracter"/>
        </w:rPr>
        <w:t xml:space="preserve"> Principios de igualdad y de interdicción de la arbitrariedad: STC 167/2016 (constitucionalidad del precepto legal que concreta la obligación de financiación por el sector eléctrico de planes de ahorro y eficiencia energética).</w:t>
      </w:r>
      <w:r>
        <w:tab/>
      </w:r>
      <w:r>
        <w:tab/>
      </w:r>
      <w:r>
        <w:fldChar w:fldCharType="begin"/>
      </w:r>
      <w:r>
        <w:instrText xml:space="preserve"> PAGEREF SENTENCIA_2016_197 \h </w:instrText>
      </w:r>
      <w:r>
        <w:fldChar w:fldCharType="separate"/>
      </w:r>
      <w:r w:rsidR="006227CF">
        <w:rPr>
          <w:noProof/>
        </w:rPr>
        <w:t>1606</w:t>
      </w:r>
      <w:r>
        <w:fldChar w:fldCharType="end"/>
      </w:r>
    </w:p>
    <w:p w:rsidR="00354D72" w:rsidRDefault="00354D72" w:rsidP="00354D72"/>
    <w:p w:rsidR="00354D72" w:rsidRDefault="00354D72" w:rsidP="00354D72">
      <w:pPr>
        <w:pStyle w:val="EntradandiceSentencia"/>
      </w:pPr>
      <w:r>
        <w:t>Sala Segunda. Sentencia 198/2016, de 28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6887-2014. </w:t>
      </w:r>
      <w:r w:rsidRPr="00354D72">
        <w:rPr>
          <w:rStyle w:val="TextoNormalCursivaCaracter"/>
        </w:rPr>
        <w:t xml:space="preserve"> Supuesta vulneración del derecho a la igualdad: préstamo forzoso exigido a las empresas dedicadas principalmente a la producción de energía eléctrica en régimen ordinario y destinado a cubrir desajustes temporales en las liquidaciones de las actividades reguladas (STC 167/2016).</w:t>
      </w:r>
      <w:r>
        <w:tab/>
      </w:r>
      <w:r>
        <w:tab/>
      </w:r>
      <w:r>
        <w:fldChar w:fldCharType="begin"/>
      </w:r>
      <w:r>
        <w:instrText xml:space="preserve"> PAGEREF SENTENCIA_2016_198 \h </w:instrText>
      </w:r>
      <w:r>
        <w:fldChar w:fldCharType="separate"/>
      </w:r>
      <w:r w:rsidR="006227CF">
        <w:rPr>
          <w:noProof/>
        </w:rPr>
        <w:t>1619</w:t>
      </w:r>
      <w:r>
        <w:fldChar w:fldCharType="end"/>
      </w:r>
    </w:p>
    <w:p w:rsidR="00354D72" w:rsidRDefault="00354D72" w:rsidP="00354D72"/>
    <w:p w:rsidR="00354D72" w:rsidRDefault="00354D72" w:rsidP="00354D72">
      <w:pPr>
        <w:pStyle w:val="EntradandiceSentencia"/>
      </w:pPr>
      <w:r>
        <w:t>Sala Primera. Sentencia 199/2016, de 28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3766-2015. </w:t>
      </w:r>
      <w:r w:rsidRPr="00354D72">
        <w:rPr>
          <w:rStyle w:val="TextoNormalCursivaCaracter"/>
        </w:rPr>
        <w:t xml:space="preserve"> Vulneración del derecho al ejercicio de los cargos públicos en condiciones de igualdad en relación con el derecho a la participación política de los ciudadanos a través de sus representantes: interpretación del reglamento parlamentario que priva injustificadamente a la recurrente de su derecho a formar parte de la mesa de la Cámara.</w:t>
      </w:r>
      <w:r>
        <w:tab/>
      </w:r>
      <w:r>
        <w:tab/>
      </w:r>
      <w:r>
        <w:fldChar w:fldCharType="begin"/>
      </w:r>
      <w:r>
        <w:instrText xml:space="preserve"> PAGEREF SENTENCIA_2016_199 \h </w:instrText>
      </w:r>
      <w:r>
        <w:fldChar w:fldCharType="separate"/>
      </w:r>
      <w:r w:rsidR="006227CF">
        <w:rPr>
          <w:noProof/>
        </w:rPr>
        <w:t>1638</w:t>
      </w:r>
      <w:r>
        <w:fldChar w:fldCharType="end"/>
      </w:r>
    </w:p>
    <w:p w:rsidR="00354D72" w:rsidRDefault="00354D72" w:rsidP="00354D72"/>
    <w:p w:rsidR="00354D72" w:rsidRDefault="00354D72" w:rsidP="00354D72">
      <w:pPr>
        <w:pStyle w:val="EntradandiceSentencia"/>
      </w:pPr>
      <w:r>
        <w:t>Sala Segunda. Sentencia 200/2016, de 28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4960-2015. </w:t>
      </w:r>
      <w:r w:rsidRPr="00354D72">
        <w:rPr>
          <w:rStyle w:val="TextoNormalCursivaCaracter"/>
        </w:rPr>
        <w:t xml:space="preserve"> Vulneración del derecho a la tutela judicial sin indefensión: emplazamiento mediante edictos de la demandada sin agotar los medios de conocimiento de su domicilio real (STC 122/2013).</w:t>
      </w:r>
      <w:r>
        <w:tab/>
      </w:r>
      <w:r>
        <w:tab/>
      </w:r>
      <w:r>
        <w:fldChar w:fldCharType="begin"/>
      </w:r>
      <w:r>
        <w:instrText xml:space="preserve"> PAGEREF SENTENCIA_2016_200 \h </w:instrText>
      </w:r>
      <w:r>
        <w:fldChar w:fldCharType="separate"/>
      </w:r>
      <w:r w:rsidR="006227CF">
        <w:rPr>
          <w:noProof/>
        </w:rPr>
        <w:t>1653</w:t>
      </w:r>
      <w:r>
        <w:fldChar w:fldCharType="end"/>
      </w:r>
    </w:p>
    <w:p w:rsidR="00354D72" w:rsidRDefault="00354D72" w:rsidP="00354D72"/>
    <w:p w:rsidR="00354D72" w:rsidRDefault="00354D72" w:rsidP="00354D72">
      <w:pPr>
        <w:pStyle w:val="EntradandiceSentencia"/>
      </w:pPr>
      <w:r>
        <w:t>Sala Segunda. Sentencia 201/2016, de 28 de noviembre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201-2016. </w:t>
      </w:r>
      <w:r w:rsidRPr="00354D72">
        <w:rPr>
          <w:rStyle w:val="TextoNormalCursivaCaracter"/>
        </w:rPr>
        <w:t xml:space="preserve"> Vulneración del derecho a la tutela judicial: resoluciones administrativa y judicial que no ponderan las circunstancias familiares y de arraigo al acordar la expulsión de un extranjero del territorio nacional (STC 131/2016).</w:t>
      </w:r>
      <w:r>
        <w:tab/>
      </w:r>
      <w:r>
        <w:tab/>
      </w:r>
      <w:r>
        <w:fldChar w:fldCharType="begin"/>
      </w:r>
      <w:r>
        <w:instrText xml:space="preserve"> PAGEREF SENTENCIA_2016_201 \h </w:instrText>
      </w:r>
      <w:r>
        <w:fldChar w:fldCharType="separate"/>
      </w:r>
      <w:r w:rsidR="006227CF">
        <w:rPr>
          <w:noProof/>
        </w:rPr>
        <w:t>1664</w:t>
      </w:r>
      <w:r>
        <w:fldChar w:fldCharType="end"/>
      </w:r>
    </w:p>
    <w:p w:rsidR="00354D72" w:rsidRDefault="00354D72" w:rsidP="00354D72"/>
    <w:p w:rsidR="00354D72" w:rsidRDefault="00354D72" w:rsidP="00354D72">
      <w:pPr>
        <w:pStyle w:val="EntradandiceSentencia"/>
      </w:pPr>
      <w:r>
        <w:t>Pleno. Sentencia 202/2016, de 1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4972-2013. </w:t>
      </w:r>
      <w:r w:rsidRPr="00354D72">
        <w:rPr>
          <w:rStyle w:val="TextoNormalCursivaCaracter"/>
        </w:rPr>
        <w:t xml:space="preserve"> Derechos a la tutela judicial efectiva (acceso a la justicia y acceso al recurso) y a la igualdad en la ley y principio de capacidad económica: pérdida parcial de objeto del recurso (STC 140/2016), regulación del devengo de la tasa en el orden social y en el recurso contencioso-administrativo.</w:t>
      </w:r>
      <w:r>
        <w:tab/>
      </w:r>
      <w:r>
        <w:tab/>
      </w:r>
      <w:r>
        <w:fldChar w:fldCharType="begin"/>
      </w:r>
      <w:r>
        <w:instrText xml:space="preserve"> PAGEREF SENTENCIA_2016_202 \h </w:instrText>
      </w:r>
      <w:r>
        <w:fldChar w:fldCharType="separate"/>
      </w:r>
      <w:r w:rsidR="006227CF">
        <w:rPr>
          <w:noProof/>
        </w:rPr>
        <w:t>1677</w:t>
      </w:r>
      <w:r>
        <w:fldChar w:fldCharType="end"/>
      </w:r>
    </w:p>
    <w:p w:rsidR="00354D72" w:rsidRDefault="00354D72" w:rsidP="00354D72"/>
    <w:p w:rsidR="00354D72" w:rsidRDefault="00354D72" w:rsidP="00354D72">
      <w:pPr>
        <w:pStyle w:val="EntradandiceSentencia"/>
      </w:pPr>
      <w:r>
        <w:t>Pleno. Sentencia 203/2016, de 1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prejudicial sobre normas forales fiscales 1042-2016. </w:t>
      </w:r>
      <w:r w:rsidRPr="00354D72">
        <w:rPr>
          <w:rStyle w:val="TextoNormalCursivaCaracter"/>
        </w:rPr>
        <w:t xml:space="preserve"> Sistema tributario de los territorios históricos: nulidad de las modificaciones introducidas en el método de estimación objetiva de determinación de la base imponible del impuesto sobre la renta de las personas físicas.</w:t>
      </w:r>
      <w:r>
        <w:tab/>
      </w:r>
      <w:r>
        <w:tab/>
      </w:r>
      <w:r>
        <w:fldChar w:fldCharType="begin"/>
      </w:r>
      <w:r>
        <w:instrText xml:space="preserve"> PAGEREF SENTENCIA_2016_203 \h </w:instrText>
      </w:r>
      <w:r>
        <w:fldChar w:fldCharType="separate"/>
      </w:r>
      <w:r w:rsidR="006227CF">
        <w:rPr>
          <w:noProof/>
        </w:rPr>
        <w:t>1698</w:t>
      </w:r>
      <w:r>
        <w:fldChar w:fldCharType="end"/>
      </w:r>
    </w:p>
    <w:p w:rsidR="00354D72" w:rsidRDefault="00354D72" w:rsidP="00354D72"/>
    <w:p w:rsidR="00354D72" w:rsidRDefault="00354D72" w:rsidP="00354D72">
      <w:pPr>
        <w:pStyle w:val="EntradandiceSentencia"/>
      </w:pPr>
      <w:r>
        <w:t>Pleno. Sentencia 204/2016, de 1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6036-2015. </w:t>
      </w:r>
      <w:r w:rsidRPr="00354D72">
        <w:rPr>
          <w:rStyle w:val="TextoNormalCursivaCaracter"/>
        </w:rPr>
        <w:t xml:space="preserve"> Competencia sobre función pública: inadmisión de la cuestión de inconstitucionalidad en la que se aduce inconstitucionalidad sobrevenida de un precepto legal autonómico (STC 102/2016). Votos particulares.</w:t>
      </w:r>
      <w:r>
        <w:tab/>
      </w:r>
      <w:r>
        <w:tab/>
      </w:r>
      <w:r>
        <w:fldChar w:fldCharType="begin"/>
      </w:r>
      <w:r>
        <w:instrText xml:space="preserve"> PAGEREF SENTENCIA_2016_204 \h </w:instrText>
      </w:r>
      <w:r>
        <w:fldChar w:fldCharType="separate"/>
      </w:r>
      <w:r w:rsidR="006227CF">
        <w:rPr>
          <w:noProof/>
        </w:rPr>
        <w:t>1717</w:t>
      </w:r>
      <w:r>
        <w:fldChar w:fldCharType="end"/>
      </w:r>
    </w:p>
    <w:p w:rsidR="00354D72" w:rsidRDefault="00354D72" w:rsidP="00354D72"/>
    <w:p w:rsidR="00354D72" w:rsidRDefault="00354D72" w:rsidP="00354D72">
      <w:pPr>
        <w:pStyle w:val="EntradandiceSentencia"/>
      </w:pPr>
      <w:r>
        <w:t>Pleno. Sentencia 205/2016, de 1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36-2016. </w:t>
      </w:r>
      <w:r w:rsidRPr="00354D72">
        <w:rPr>
          <w:rStyle w:val="TextoNormalCursivaCaracter"/>
        </w:rPr>
        <w:t xml:space="preserve"> Competencias en materia de energía: nulidad del precepto legal autonómico que regula el autoconsumo de energía eléctrica vulnerando la normativa básica estatal (STC 60/2016).</w:t>
      </w:r>
      <w:r>
        <w:tab/>
      </w:r>
      <w:r>
        <w:tab/>
      </w:r>
      <w:r>
        <w:fldChar w:fldCharType="begin"/>
      </w:r>
      <w:r>
        <w:instrText xml:space="preserve"> PAGEREF SENTENCIA_2016_205 \h </w:instrText>
      </w:r>
      <w:r>
        <w:fldChar w:fldCharType="separate"/>
      </w:r>
      <w:r w:rsidR="006227CF">
        <w:rPr>
          <w:noProof/>
        </w:rPr>
        <w:t>1734</w:t>
      </w:r>
      <w:r>
        <w:fldChar w:fldCharType="end"/>
      </w:r>
    </w:p>
    <w:p w:rsidR="00354D72" w:rsidRDefault="00354D72" w:rsidP="00354D72"/>
    <w:p w:rsidR="00354D72" w:rsidRDefault="00354D72" w:rsidP="00354D72">
      <w:pPr>
        <w:pStyle w:val="EntradandiceSentencia"/>
      </w:pPr>
      <w:r>
        <w:t>Sala Primera. Sentencia 206/2016, de 12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1429-2015. </w:t>
      </w:r>
      <w:r w:rsidRPr="00354D72">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SENTENCIA_2016_206 \h </w:instrText>
      </w:r>
      <w:r>
        <w:fldChar w:fldCharType="separate"/>
      </w:r>
      <w:r w:rsidR="006227CF">
        <w:rPr>
          <w:noProof/>
        </w:rPr>
        <w:t>1753</w:t>
      </w:r>
      <w:r>
        <w:fldChar w:fldCharType="end"/>
      </w:r>
    </w:p>
    <w:p w:rsidR="00354D72" w:rsidRDefault="00354D72" w:rsidP="00354D72"/>
    <w:p w:rsidR="00354D72" w:rsidRDefault="00354D72" w:rsidP="00354D72">
      <w:pPr>
        <w:pStyle w:val="EntradandiceSentencia"/>
      </w:pPr>
      <w:r>
        <w:t>Sala Primera. Sentencia 207/2016, de 12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1765-2015. </w:t>
      </w:r>
      <w:r w:rsidRPr="00354D72">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SENTENCIA_2016_207 \h </w:instrText>
      </w:r>
      <w:r>
        <w:fldChar w:fldCharType="separate"/>
      </w:r>
      <w:r w:rsidR="006227CF">
        <w:rPr>
          <w:noProof/>
        </w:rPr>
        <w:t>1767</w:t>
      </w:r>
      <w:r>
        <w:fldChar w:fldCharType="end"/>
      </w:r>
    </w:p>
    <w:p w:rsidR="00354D72" w:rsidRDefault="00354D72" w:rsidP="00354D72"/>
    <w:p w:rsidR="00354D72" w:rsidRDefault="00354D72" w:rsidP="00354D72">
      <w:pPr>
        <w:pStyle w:val="EntradandiceSentencia"/>
      </w:pPr>
      <w:r>
        <w:t>Sala Primera. Sentencia 208/2016, de 12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3691-2015. </w:t>
      </w:r>
      <w:r w:rsidRPr="00354D72">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SENTENCIA_2016_208 \h </w:instrText>
      </w:r>
      <w:r>
        <w:fldChar w:fldCharType="separate"/>
      </w:r>
      <w:r w:rsidR="006227CF">
        <w:rPr>
          <w:noProof/>
        </w:rPr>
        <w:t>1782</w:t>
      </w:r>
      <w:r>
        <w:fldChar w:fldCharType="end"/>
      </w:r>
    </w:p>
    <w:p w:rsidR="00354D72" w:rsidRDefault="00354D72" w:rsidP="00354D72"/>
    <w:p w:rsidR="00354D72" w:rsidRDefault="00354D72" w:rsidP="00354D72">
      <w:pPr>
        <w:pStyle w:val="EntradandiceSentencia"/>
      </w:pPr>
      <w:r>
        <w:t>Sala Primera. Sentencia 209/2016, de 12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4093-2015. </w:t>
      </w:r>
      <w:r w:rsidRPr="00354D72">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SENTENCIA_2016_209 \h </w:instrText>
      </w:r>
      <w:r>
        <w:fldChar w:fldCharType="separate"/>
      </w:r>
      <w:r w:rsidR="006227CF">
        <w:rPr>
          <w:noProof/>
        </w:rPr>
        <w:t>1797</w:t>
      </w:r>
      <w:r>
        <w:fldChar w:fldCharType="end"/>
      </w:r>
    </w:p>
    <w:p w:rsidR="00354D72" w:rsidRDefault="00354D72" w:rsidP="00354D72"/>
    <w:p w:rsidR="00354D72" w:rsidRDefault="00354D72" w:rsidP="00354D72">
      <w:pPr>
        <w:pStyle w:val="EntradandiceSentencia"/>
      </w:pPr>
      <w:r>
        <w:t>Pleno. Sentencia 210/2016,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4539-2012. </w:t>
      </w:r>
      <w:r w:rsidRPr="00354D72">
        <w:rPr>
          <w:rStyle w:val="TextoNormalCursivaCaracter"/>
        </w:rPr>
        <w:t xml:space="preserve"> Competencias sobre condiciones básicas de igualdad, sanidad, farmacia y Seguridad Social: constitucionalidad de las previsiones legales autonómicas relativas a la selección, mediante la correspondiente convocatoria pública, por el servicio de salud, de los medicamentos o productos sanitarios a dispensar por las oficinas de farmacia cuando se prescriban por principio activo o denominación genérica.</w:t>
      </w:r>
      <w:r>
        <w:tab/>
      </w:r>
      <w:r>
        <w:tab/>
      </w:r>
      <w:r>
        <w:fldChar w:fldCharType="begin"/>
      </w:r>
      <w:r>
        <w:instrText xml:space="preserve"> PAGEREF SENTENCIA_2016_210 \h </w:instrText>
      </w:r>
      <w:r>
        <w:fldChar w:fldCharType="separate"/>
      </w:r>
      <w:r w:rsidR="006227CF">
        <w:rPr>
          <w:noProof/>
        </w:rPr>
        <w:t>1810</w:t>
      </w:r>
      <w:r>
        <w:fldChar w:fldCharType="end"/>
      </w:r>
    </w:p>
    <w:p w:rsidR="00354D72" w:rsidRDefault="00354D72" w:rsidP="00354D72"/>
    <w:p w:rsidR="00354D72" w:rsidRDefault="00354D72" w:rsidP="00354D72">
      <w:pPr>
        <w:pStyle w:val="EntradandiceSentencia"/>
      </w:pPr>
      <w:r>
        <w:t>Pleno. Sentencia 211/2016,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630-2013. </w:t>
      </w:r>
      <w:r w:rsidRPr="00354D72">
        <w:rPr>
          <w:rStyle w:val="TextoNormalCursivaCaracter"/>
        </w:rPr>
        <w:t xml:space="preserve"> Límites a los decretos-leyes autonómicos; competencias sobre legislación mercantil, comercio y ordenación general de la economía: nulidad de los preceptos legales autonómicos que limitan, por razones tanto espaciales o temporales, la libertad de horarios comerciales establecida en la normativa básica estatal.</w:t>
      </w:r>
      <w:r>
        <w:tab/>
      </w:r>
      <w:r>
        <w:tab/>
      </w:r>
      <w:r>
        <w:fldChar w:fldCharType="begin"/>
      </w:r>
      <w:r>
        <w:instrText xml:space="preserve"> PAGEREF SENTENCIA_2016_211 \h </w:instrText>
      </w:r>
      <w:r>
        <w:fldChar w:fldCharType="separate"/>
      </w:r>
      <w:r w:rsidR="006227CF">
        <w:rPr>
          <w:noProof/>
        </w:rPr>
        <w:t>1838</w:t>
      </w:r>
      <w:r>
        <w:fldChar w:fldCharType="end"/>
      </w:r>
    </w:p>
    <w:p w:rsidR="00354D72" w:rsidRDefault="00354D72" w:rsidP="00354D72"/>
    <w:p w:rsidR="00354D72" w:rsidRDefault="00354D72" w:rsidP="00354D72">
      <w:pPr>
        <w:pStyle w:val="EntradandiceSentencia"/>
      </w:pPr>
      <w:r>
        <w:t>Pleno. Sentencia 212/2016,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1206-2013. </w:t>
      </w:r>
      <w:r w:rsidRPr="00354D72">
        <w:rPr>
          <w:rStyle w:val="TextoNormalCursivaCaracter"/>
        </w:rPr>
        <w:t xml:space="preserve"> Vulneración del derecho al ejercicio de las funciones representativas: inadmisión de una iniciativa parlamentaria carente de motivación suficiente (STC 44/2010).</w:t>
      </w:r>
      <w:r>
        <w:tab/>
      </w:r>
      <w:r>
        <w:tab/>
      </w:r>
      <w:r>
        <w:fldChar w:fldCharType="begin"/>
      </w:r>
      <w:r>
        <w:instrText xml:space="preserve"> PAGEREF SENTENCIA_2016_212 \h </w:instrText>
      </w:r>
      <w:r>
        <w:fldChar w:fldCharType="separate"/>
      </w:r>
      <w:r w:rsidR="006227CF">
        <w:rPr>
          <w:noProof/>
        </w:rPr>
        <w:t>1865</w:t>
      </w:r>
      <w:r>
        <w:fldChar w:fldCharType="end"/>
      </w:r>
    </w:p>
    <w:p w:rsidR="00354D72" w:rsidRDefault="00354D72" w:rsidP="00354D72"/>
    <w:p w:rsidR="00354D72" w:rsidRDefault="00354D72" w:rsidP="00354D72">
      <w:pPr>
        <w:pStyle w:val="EntradandiceSentencia"/>
      </w:pPr>
      <w:r>
        <w:t>Pleno. Sentencia 213/2016,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4985-2013. </w:t>
      </w:r>
      <w:r w:rsidRPr="00354D72">
        <w:rPr>
          <w:rStyle w:val="TextoNormalCursivaCaracter"/>
        </w:rPr>
        <w:t xml:space="preserve"> Iniciativa legislativa popular y derechos a la igualdad, inviolabilidad domiciliaria, tutela judicial efectiva y a una vivienda digna; protección de los consumidores: constitucionalidad del texto legal resultante de la tramitación conjunta de una iniciativa legislativa popular y un proyecto de ley; pérdida parcial de objeto del recurso; constitucionalidad del régimen transitorio establecido en la ley.</w:t>
      </w:r>
      <w:r>
        <w:tab/>
      </w:r>
      <w:r>
        <w:tab/>
      </w:r>
      <w:r>
        <w:fldChar w:fldCharType="begin"/>
      </w:r>
      <w:r>
        <w:instrText xml:space="preserve"> PAGEREF SENTENCIA_2016_213 \h </w:instrText>
      </w:r>
      <w:r>
        <w:fldChar w:fldCharType="separate"/>
      </w:r>
      <w:r w:rsidR="006227CF">
        <w:rPr>
          <w:noProof/>
        </w:rPr>
        <w:t>1880</w:t>
      </w:r>
      <w:r>
        <w:fldChar w:fldCharType="end"/>
      </w:r>
    </w:p>
    <w:p w:rsidR="00354D72" w:rsidRDefault="00354D72" w:rsidP="00354D72"/>
    <w:p w:rsidR="00354D72" w:rsidRDefault="00354D72" w:rsidP="00354D72">
      <w:pPr>
        <w:pStyle w:val="EntradandiceSentencia"/>
      </w:pPr>
      <w:r>
        <w:t>Pleno. Sentencia 214/2016,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264-2015. </w:t>
      </w:r>
      <w:r w:rsidRPr="00354D72">
        <w:rPr>
          <w:rStyle w:val="TextoNormalCursivaCaracter"/>
        </w:rPr>
        <w:t xml:space="preserve"> Competencia sobre ordenación general de la economía, comercio interior y estadística para fines propios: constitucionalidad de los preceptos legales estatales relativos al régimen de horarios comerciales en zonas de gran afluencia turística (STC 195/2016).</w:t>
      </w:r>
      <w:r>
        <w:tab/>
      </w:r>
      <w:r>
        <w:tab/>
      </w:r>
      <w:r>
        <w:fldChar w:fldCharType="begin"/>
      </w:r>
      <w:r>
        <w:instrText xml:space="preserve"> PAGEREF SENTENCIA_2016_214 \h </w:instrText>
      </w:r>
      <w:r>
        <w:fldChar w:fldCharType="separate"/>
      </w:r>
      <w:r w:rsidR="006227CF">
        <w:rPr>
          <w:noProof/>
        </w:rPr>
        <w:t>1905</w:t>
      </w:r>
      <w:r>
        <w:fldChar w:fldCharType="end"/>
      </w:r>
    </w:p>
    <w:p w:rsidR="00354D72" w:rsidRDefault="00354D72" w:rsidP="00354D72"/>
    <w:p w:rsidR="00354D72" w:rsidRDefault="00354D72" w:rsidP="00354D72">
      <w:pPr>
        <w:pStyle w:val="EntradandiceSentencia"/>
      </w:pPr>
      <w:r>
        <w:t>Pleno. Sentencia 215/2016,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7466-2015. </w:t>
      </w:r>
      <w:r w:rsidRPr="00354D72">
        <w:rPr>
          <w:rStyle w:val="TextoNormalCursivaCaracter"/>
        </w:rPr>
        <w:t xml:space="preserve"> Procedimiento legislativo y derecho de participación de los parlamentarios; modelo de justicia constitucional; multas coercitivas, principio de legalidad penal y aforamiento, control de la actividad de las Comunidades Autónomas: constitucionalidad de la regulación legal de medios de ejecución de las resoluciones del Tribunal Constitucional (STC 185/2016). Votos particulares.</w:t>
      </w:r>
      <w:r>
        <w:tab/>
      </w:r>
      <w:r>
        <w:tab/>
      </w:r>
      <w:r>
        <w:fldChar w:fldCharType="begin"/>
      </w:r>
      <w:r>
        <w:instrText xml:space="preserve"> PAGEREF SENTENCIA_2016_215 \h </w:instrText>
      </w:r>
      <w:r>
        <w:fldChar w:fldCharType="separate"/>
      </w:r>
      <w:r w:rsidR="006227CF">
        <w:rPr>
          <w:noProof/>
        </w:rPr>
        <w:t>1914</w:t>
      </w:r>
      <w:r>
        <w:fldChar w:fldCharType="end"/>
      </w:r>
    </w:p>
    <w:p w:rsidR="00354D72" w:rsidRDefault="00354D72" w:rsidP="00354D72"/>
    <w:p w:rsidR="00354D72" w:rsidRDefault="00354D72" w:rsidP="00354D72">
      <w:pPr>
        <w:pStyle w:val="EntradandiceSentencia"/>
      </w:pPr>
      <w:r>
        <w:t>Pleno. Sentencia 216/2016,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Conflicto positivo de competencia 2740-2016. </w:t>
      </w:r>
      <w:r w:rsidRPr="00354D72">
        <w:rPr>
          <w:rStyle w:val="TextoNormalCursivaCaracter"/>
        </w:rPr>
        <w:t xml:space="preserve"> Competencias en materia de aguas: inadmisión del conflicto al no plantear una cuestión relativa al orden constitucional de competencias (STC 44/2007).</w:t>
      </w:r>
      <w:r>
        <w:tab/>
      </w:r>
      <w:r>
        <w:tab/>
      </w:r>
      <w:r>
        <w:fldChar w:fldCharType="begin"/>
      </w:r>
      <w:r>
        <w:instrText xml:space="preserve"> PAGEREF SENTENCIA_2016_216 \h </w:instrText>
      </w:r>
      <w:r>
        <w:fldChar w:fldCharType="separate"/>
      </w:r>
      <w:r w:rsidR="006227CF">
        <w:rPr>
          <w:noProof/>
        </w:rPr>
        <w:t>1979</w:t>
      </w:r>
      <w:r>
        <w:fldChar w:fldCharType="end"/>
      </w:r>
    </w:p>
    <w:p w:rsidR="00354D72" w:rsidRDefault="00354D72" w:rsidP="00354D72"/>
    <w:p w:rsidR="00354D72" w:rsidRDefault="00354D72" w:rsidP="00354D72">
      <w:pPr>
        <w:pStyle w:val="EntradandiceSentencia"/>
      </w:pPr>
      <w:r>
        <w:t>Pleno. Sentencia 217/2016, de 15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4621-2016. </w:t>
      </w:r>
      <w:r w:rsidRPr="00354D72">
        <w:rPr>
          <w:rStyle w:val="TextoNormalCursivaCaracter"/>
        </w:rPr>
        <w:t xml:space="preserve"> Principio de cooperación y funciones de las comisiones mixtas Estado-Comunidad Autónoma sobre asuntos económico-financieros: constitucionalidad del precepto legal que aprueba créditos para las inversiones estatales en Aragón a realizar durante el ejercicio presupuestario de 2016.</w:t>
      </w:r>
      <w:r>
        <w:tab/>
      </w:r>
      <w:r>
        <w:tab/>
      </w:r>
      <w:r>
        <w:fldChar w:fldCharType="begin"/>
      </w:r>
      <w:r>
        <w:instrText xml:space="preserve"> PAGEREF SENTENCIA_2016_217 \h </w:instrText>
      </w:r>
      <w:r>
        <w:fldChar w:fldCharType="separate"/>
      </w:r>
      <w:r w:rsidR="006227CF">
        <w:rPr>
          <w:noProof/>
        </w:rPr>
        <w:t>1998</w:t>
      </w:r>
      <w:r>
        <w:fldChar w:fldCharType="end"/>
      </w:r>
    </w:p>
    <w:p w:rsidR="00354D72" w:rsidRDefault="00354D72" w:rsidP="00354D72"/>
    <w:p w:rsidR="00354D72" w:rsidRDefault="00354D72" w:rsidP="00354D72">
      <w:pPr>
        <w:pStyle w:val="EntradandiceSentencia"/>
      </w:pPr>
      <w:r>
        <w:t>Sala Segunda. Sentencia 218/2016,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7425-2014. </w:t>
      </w:r>
      <w:r w:rsidRPr="00354D72">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SENTENCIA_2016_218 \h </w:instrText>
      </w:r>
      <w:r>
        <w:fldChar w:fldCharType="separate"/>
      </w:r>
      <w:r w:rsidR="006227CF">
        <w:rPr>
          <w:noProof/>
        </w:rPr>
        <w:t>2011</w:t>
      </w:r>
      <w:r>
        <w:fldChar w:fldCharType="end"/>
      </w:r>
    </w:p>
    <w:p w:rsidR="00354D72" w:rsidRDefault="00354D72" w:rsidP="00354D72"/>
    <w:p w:rsidR="00354D72" w:rsidRDefault="00354D72" w:rsidP="00354D72">
      <w:pPr>
        <w:pStyle w:val="EntradandiceSentencia"/>
      </w:pPr>
      <w:r>
        <w:t>Sala Segunda. Sentencia 219/2016,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7461-2014. </w:t>
      </w:r>
      <w:r w:rsidRPr="00354D72">
        <w:rPr>
          <w:rStyle w:val="TextoNormalCursivaCaracter"/>
        </w:rPr>
        <w:t xml:space="preserve"> Vulneración del derecho a la legalidad sancionadora: sanción administrativa resultante de una irrazonable subsunción de la conducta de la habilitada de clases pasivas en el tipo aplicado.</w:t>
      </w:r>
      <w:r>
        <w:tab/>
      </w:r>
      <w:r>
        <w:tab/>
      </w:r>
      <w:r>
        <w:fldChar w:fldCharType="begin"/>
      </w:r>
      <w:r>
        <w:instrText xml:space="preserve"> PAGEREF SENTENCIA_2016_219 \h </w:instrText>
      </w:r>
      <w:r>
        <w:fldChar w:fldCharType="separate"/>
      </w:r>
      <w:r w:rsidR="006227CF">
        <w:rPr>
          <w:noProof/>
        </w:rPr>
        <w:t>2027</w:t>
      </w:r>
      <w:r>
        <w:fldChar w:fldCharType="end"/>
      </w:r>
    </w:p>
    <w:p w:rsidR="00354D72" w:rsidRDefault="00354D72" w:rsidP="00354D72"/>
    <w:p w:rsidR="00354D72" w:rsidRDefault="00354D72" w:rsidP="00354D72">
      <w:pPr>
        <w:pStyle w:val="EntradandiceSentencia"/>
      </w:pPr>
      <w:r>
        <w:t>Sala Segunda. Sentencia 220/2016,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7463-2014. </w:t>
      </w:r>
      <w:r w:rsidRPr="00354D72">
        <w:rPr>
          <w:rStyle w:val="TextoNormalCursivaCaracter"/>
        </w:rPr>
        <w:t xml:space="preserve"> Vulneración del derecho a la legalidad sancionadora: sanción administrativa resultante de una irrazonable subsunción de la conducta del habilitado de clases pasivas en el tipo aplicado.</w:t>
      </w:r>
      <w:r>
        <w:tab/>
      </w:r>
      <w:r>
        <w:tab/>
      </w:r>
      <w:r>
        <w:fldChar w:fldCharType="begin"/>
      </w:r>
      <w:r>
        <w:instrText xml:space="preserve"> PAGEREF SENTENCIA_2016_220 \h </w:instrText>
      </w:r>
      <w:r>
        <w:fldChar w:fldCharType="separate"/>
      </w:r>
      <w:r w:rsidR="006227CF">
        <w:rPr>
          <w:noProof/>
        </w:rPr>
        <w:t>2046</w:t>
      </w:r>
      <w:r>
        <w:fldChar w:fldCharType="end"/>
      </w:r>
    </w:p>
    <w:p w:rsidR="00354D72" w:rsidRDefault="00354D72" w:rsidP="00354D72"/>
    <w:p w:rsidR="00354D72" w:rsidRDefault="00354D72" w:rsidP="00354D72">
      <w:pPr>
        <w:pStyle w:val="EntradandiceSentencia"/>
      </w:pPr>
      <w:r>
        <w:t>Sala Segunda. Sentencia 221/2016,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2393-2015. </w:t>
      </w:r>
      <w:r w:rsidRPr="00354D72">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SENTENCIA_2016_221 \h </w:instrText>
      </w:r>
      <w:r>
        <w:fldChar w:fldCharType="separate"/>
      </w:r>
      <w:r w:rsidR="006227CF">
        <w:rPr>
          <w:noProof/>
        </w:rPr>
        <w:t>2064</w:t>
      </w:r>
      <w:r>
        <w:fldChar w:fldCharType="end"/>
      </w:r>
    </w:p>
    <w:p w:rsidR="00354D72" w:rsidRDefault="00354D72" w:rsidP="00354D72"/>
    <w:p w:rsidR="00354D72" w:rsidRDefault="00354D72" w:rsidP="00354D72">
      <w:pPr>
        <w:pStyle w:val="EntradandiceSentencia"/>
      </w:pPr>
      <w:r>
        <w:t>Sala Segunda. Sentencia 222/2016,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3857-2015. </w:t>
      </w:r>
      <w:r w:rsidRPr="00354D72">
        <w:rPr>
          <w:rStyle w:val="TextoNormalCursivaCaracter"/>
        </w:rPr>
        <w:t xml:space="preserve"> Supuesta vulneración del derecho a la tutela judicial efectiva (acceso a la justicia): voluntad de desistimiento razonablemente inferida de la inasistencia al juicio de las mercantiles recurrentes.</w:t>
      </w:r>
      <w:r>
        <w:tab/>
      </w:r>
      <w:r>
        <w:tab/>
      </w:r>
      <w:r>
        <w:fldChar w:fldCharType="begin"/>
      </w:r>
      <w:r>
        <w:instrText xml:space="preserve"> PAGEREF SENTENCIA_2016_222 \h </w:instrText>
      </w:r>
      <w:r>
        <w:fldChar w:fldCharType="separate"/>
      </w:r>
      <w:r w:rsidR="006227CF">
        <w:rPr>
          <w:noProof/>
        </w:rPr>
        <w:t>2081</w:t>
      </w:r>
      <w:r>
        <w:fldChar w:fldCharType="end"/>
      </w:r>
    </w:p>
    <w:p w:rsidR="00354D72" w:rsidRDefault="00354D72" w:rsidP="00354D72"/>
    <w:p w:rsidR="00354D72" w:rsidRDefault="00354D72" w:rsidP="00354D72">
      <w:pPr>
        <w:pStyle w:val="EntradandiceSentencia"/>
      </w:pPr>
      <w:r>
        <w:t>Sala Segunda. Sentencia 223/2016,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4094-2015. </w:t>
      </w:r>
      <w:r w:rsidRPr="00354D72">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SENTENCIA_2016_223 \h </w:instrText>
      </w:r>
      <w:r>
        <w:fldChar w:fldCharType="separate"/>
      </w:r>
      <w:r w:rsidR="006227CF">
        <w:rPr>
          <w:noProof/>
        </w:rPr>
        <w:t>2092</w:t>
      </w:r>
      <w:r>
        <w:fldChar w:fldCharType="end"/>
      </w:r>
    </w:p>
    <w:p w:rsidR="00354D72" w:rsidRDefault="00354D72" w:rsidP="00354D72"/>
    <w:p w:rsidR="00354D72" w:rsidRDefault="00354D72" w:rsidP="00354D72">
      <w:pPr>
        <w:pStyle w:val="EntradandiceSentencia"/>
      </w:pPr>
      <w:r>
        <w:t>Sala Segunda. Sentencia 224/2016,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1315-2016. </w:t>
      </w:r>
      <w:r w:rsidRPr="00354D72">
        <w:rPr>
          <w:rStyle w:val="TextoNormalCursivaCaracter"/>
        </w:rPr>
        <w:t xml:space="preserve"> Vulneración del derecho al ejercicio de las funciones representativas en relación con el derecho de participación de los ciudadanos en los asuntos públicos a través de sus representantes: inadecuada calificación de las iniciativas parlamentarias como proposiciones de ley de desarrollo básico del Estatuto de Autonomía que impone a los parlamentarios su participación en una ponencia a la que no desean incorporarse.</w:t>
      </w:r>
      <w:r>
        <w:tab/>
      </w:r>
      <w:r>
        <w:tab/>
      </w:r>
      <w:r>
        <w:fldChar w:fldCharType="begin"/>
      </w:r>
      <w:r>
        <w:instrText xml:space="preserve"> PAGEREF SENTENCIA_2016_224 \h </w:instrText>
      </w:r>
      <w:r>
        <w:fldChar w:fldCharType="separate"/>
      </w:r>
      <w:r w:rsidR="006227CF">
        <w:rPr>
          <w:noProof/>
        </w:rPr>
        <w:t>2107</w:t>
      </w:r>
      <w:r>
        <w:fldChar w:fldCharType="end"/>
      </w:r>
    </w:p>
    <w:p w:rsidR="00354D72" w:rsidRDefault="00354D72" w:rsidP="00354D72"/>
    <w:p w:rsidR="00354D72" w:rsidRDefault="00354D72" w:rsidP="00354D72">
      <w:pPr>
        <w:pStyle w:val="EntradandiceSentencia"/>
      </w:pPr>
      <w:r>
        <w:t>Sala Segunda. Sentencia 225/2016, de 19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1493-2016. </w:t>
      </w:r>
      <w:r w:rsidRPr="00354D72">
        <w:rPr>
          <w:rStyle w:val="TextoNormalCursivaCaracter"/>
        </w:rPr>
        <w:t xml:space="preserve"> Vulneración del derecho al ejercicio de las funciones representativas en relación con el derecho de participación de los ciudadanos en los asuntos públicos a través de sus representantes: inadecuada calificación de las iniciativas parlamentarias como proposiciones de ley de desarrollo básico del Estatuto de Autonomía que impone a los parlamentarios su participación en una ponencia a la que no desean incorporarse.</w:t>
      </w:r>
      <w:r>
        <w:tab/>
      </w:r>
      <w:r>
        <w:tab/>
      </w:r>
      <w:r>
        <w:fldChar w:fldCharType="begin"/>
      </w:r>
      <w:r>
        <w:instrText xml:space="preserve"> PAGEREF SENTENCIA_2016_225 \h </w:instrText>
      </w:r>
      <w:r>
        <w:fldChar w:fldCharType="separate"/>
      </w:r>
      <w:r w:rsidR="006227CF">
        <w:rPr>
          <w:noProof/>
        </w:rPr>
        <w:t>2126</w:t>
      </w:r>
      <w:r>
        <w:fldChar w:fldCharType="end"/>
      </w:r>
    </w:p>
    <w:p w:rsidR="00354D72" w:rsidRDefault="00354D72" w:rsidP="00354D72"/>
    <w:p w:rsidR="00354D72" w:rsidRDefault="00354D72" w:rsidP="00354D72">
      <w:pPr>
        <w:pStyle w:val="EntradandiceSentencia"/>
      </w:pPr>
      <w:r>
        <w:t>Pleno. Sentencia 226/2016, de 22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amparo 6237-2011. </w:t>
      </w:r>
      <w:r w:rsidRPr="00354D72">
        <w:rPr>
          <w:rStyle w:val="TextoNormalCursivaCaracter"/>
        </w:rPr>
        <w:t xml:space="preserve"> Supuesta vulneración del derecho a la libertad de expresión: sanción disciplinaria impuesta por las manifestaciones efectuadas en un medio de comunicación que inducían a pensar que el partido político no respeta el mandato constitucional de organización y funcionamiento democrático. Voto particular.</w:t>
      </w:r>
      <w:r>
        <w:tab/>
      </w:r>
      <w:r>
        <w:tab/>
      </w:r>
      <w:r>
        <w:fldChar w:fldCharType="begin"/>
      </w:r>
      <w:r>
        <w:instrText xml:space="preserve"> PAGEREF SENTENCIA_2016_226 \h </w:instrText>
      </w:r>
      <w:r>
        <w:fldChar w:fldCharType="separate"/>
      </w:r>
      <w:r w:rsidR="006227CF">
        <w:rPr>
          <w:noProof/>
        </w:rPr>
        <w:t>2145</w:t>
      </w:r>
      <w:r>
        <w:fldChar w:fldCharType="end"/>
      </w:r>
    </w:p>
    <w:p w:rsidR="00354D72" w:rsidRDefault="00354D72" w:rsidP="00354D72"/>
    <w:p w:rsidR="00354D72" w:rsidRDefault="00354D72" w:rsidP="00354D72">
      <w:pPr>
        <w:pStyle w:val="EntradandiceSentencia"/>
      </w:pPr>
      <w:r>
        <w:t>Pleno. Sentencia 227/2016, de 22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Cuestión de inconstitucionalidad 905-2014. </w:t>
      </w:r>
      <w:r w:rsidRPr="00354D72">
        <w:rPr>
          <w:rStyle w:val="TextoNormalCursivaCaracter"/>
        </w:rPr>
        <w:t xml:space="preserve"> Derecho a la tutela judicial efectiva (acceso al recurso): nulidad de la tasa que grava la interposición del recurso de apelación en el orden jurisdiccional civil (STC 140/2016).</w:t>
      </w:r>
      <w:r>
        <w:tab/>
      </w:r>
      <w:r>
        <w:tab/>
      </w:r>
      <w:r>
        <w:fldChar w:fldCharType="begin"/>
      </w:r>
      <w:r>
        <w:instrText xml:space="preserve"> PAGEREF SENTENCIA_2016_227 \h </w:instrText>
      </w:r>
      <w:r>
        <w:fldChar w:fldCharType="separate"/>
      </w:r>
      <w:r w:rsidR="006227CF">
        <w:rPr>
          <w:noProof/>
        </w:rPr>
        <w:t>2175</w:t>
      </w:r>
      <w:r>
        <w:fldChar w:fldCharType="end"/>
      </w:r>
    </w:p>
    <w:p w:rsidR="00354D72" w:rsidRDefault="00354D72" w:rsidP="00354D72"/>
    <w:p w:rsidR="00354D72" w:rsidRDefault="00354D72" w:rsidP="00354D72">
      <w:pPr>
        <w:pStyle w:val="EntradandiceSentencia"/>
      </w:pPr>
      <w:r>
        <w:t>Pleno. Sentencia 228/2016, de 22 de diciembre de 2016</w:t>
      </w:r>
    </w:p>
    <w:p w:rsidR="00354D72" w:rsidRDefault="00354D72" w:rsidP="00354D72">
      <w:pPr>
        <w:pStyle w:val="EntradandiceSentencia"/>
      </w:pPr>
    </w:p>
    <w:p w:rsidR="00354D72" w:rsidRDefault="00354D72" w:rsidP="00354D72">
      <w:pPr>
        <w:pStyle w:val="EntradaSumario"/>
      </w:pPr>
      <w:r w:rsidRPr="00354D72">
        <w:rPr>
          <w:rStyle w:val="TextoNormalCaracter"/>
        </w:rPr>
        <w:t xml:space="preserve">Recurso de inconstitucionalidad 1442-2015. </w:t>
      </w:r>
      <w:r w:rsidRPr="00354D72">
        <w:rPr>
          <w:rStyle w:val="TextoNormalCursivaCaracter"/>
        </w:rPr>
        <w:t xml:space="preserve"> Competencias sobre relaciones internacionales: nulidad de los preceptos legales que no vinculan la acción exterior de la Generalitat al ejercicio de las competencias autonómicas; interpretación conforme con la Constitución de las expresiones “actor internacional activo” y “actor internacional comprometido, solidario y responsable” y la regulación de los convenios y acuerdos de colaboración internacional (STC 31/2010). Votos particulares.</w:t>
      </w:r>
      <w:r>
        <w:tab/>
      </w:r>
      <w:r>
        <w:tab/>
      </w:r>
      <w:r>
        <w:fldChar w:fldCharType="begin"/>
      </w:r>
      <w:r>
        <w:instrText xml:space="preserve"> PAGEREF SENTENCIA_2016_228 \h </w:instrText>
      </w:r>
      <w:r>
        <w:fldChar w:fldCharType="separate"/>
      </w:r>
      <w:r w:rsidR="006227CF">
        <w:rPr>
          <w:noProof/>
        </w:rPr>
        <w:t>2189</w:t>
      </w:r>
      <w:r>
        <w:fldChar w:fldCharType="end"/>
      </w:r>
    </w:p>
    <w:p w:rsidR="00354D72" w:rsidRDefault="00354D72">
      <w:pPr>
        <w:spacing w:after="160" w:line="259" w:lineRule="auto"/>
      </w:pPr>
      <w:r>
        <w:br w:type="page"/>
      </w:r>
    </w:p>
    <w:p w:rsidR="00354D72" w:rsidRDefault="00354D72" w:rsidP="00354D72"/>
    <w:p w:rsidR="00354D72" w:rsidRDefault="00354D72" w:rsidP="00354D72"/>
    <w:p w:rsidR="00354D72" w:rsidRDefault="00354D72" w:rsidP="00354D72"/>
    <w:p w:rsidR="00354D72" w:rsidRDefault="00354D72" w:rsidP="00354D72">
      <w:pPr>
        <w:pStyle w:val="Ttulondice"/>
      </w:pPr>
      <w:bookmarkStart w:id="3" w:name="SUMARIOSAUTOS"/>
      <w:r>
        <w:t>2. AUTOS: ATC 135/2016 A ATC 208/2016</w:t>
      </w:r>
    </w:p>
    <w:bookmarkEnd w:id="3"/>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Ttulondice"/>
      </w:pPr>
    </w:p>
    <w:p w:rsidR="00354D72" w:rsidRDefault="00354D72" w:rsidP="00354D72">
      <w:pPr>
        <w:pStyle w:val="EntradandiceAuto"/>
      </w:pPr>
      <w:r>
        <w:t>Sección Primera. Auto 135/2016, de 4 de julio de 2016. Desestima el recurso de súplica del Ministerio Fiscal sobre inadmisión del recurso de amparo 4078-2015, promovido por don Javier García Espinar en proceso contencioso-administrativo.</w:t>
      </w:r>
      <w:r>
        <w:tab/>
      </w:r>
      <w:r>
        <w:tab/>
      </w:r>
      <w:r>
        <w:fldChar w:fldCharType="begin"/>
      </w:r>
      <w:r>
        <w:instrText xml:space="preserve"> PAGEREF AUTO_2016_135 \h </w:instrText>
      </w:r>
      <w:r>
        <w:fldChar w:fldCharType="separate"/>
      </w:r>
      <w:r w:rsidR="006227CF">
        <w:rPr>
          <w:noProof/>
        </w:rPr>
        <w:t>2236</w:t>
      </w:r>
      <w:r>
        <w:fldChar w:fldCharType="end"/>
      </w:r>
    </w:p>
    <w:p w:rsidR="00A90898" w:rsidRDefault="00A90898" w:rsidP="00354D72"/>
    <w:p w:rsidR="00354D72" w:rsidRDefault="00354D72" w:rsidP="00354D72">
      <w:pPr>
        <w:pStyle w:val="EntradandiceAuto"/>
      </w:pPr>
      <w:r>
        <w:t>Sección Primera. Auto 136/2016, de 4 de julio de 2016. Acuerda el desistimiento en el recurso de amparo 2307-2016, promovido en proceso contencioso-administrativo.</w:t>
      </w:r>
      <w:r>
        <w:tab/>
      </w:r>
      <w:r>
        <w:tab/>
      </w:r>
      <w:r>
        <w:fldChar w:fldCharType="begin"/>
      </w:r>
      <w:r>
        <w:instrText xml:space="preserve"> PAGEREF AUTO_2016_136 \h </w:instrText>
      </w:r>
      <w:r>
        <w:fldChar w:fldCharType="separate"/>
      </w:r>
      <w:r w:rsidR="006227CF">
        <w:rPr>
          <w:noProof/>
        </w:rPr>
        <w:t>2241</w:t>
      </w:r>
      <w:r>
        <w:fldChar w:fldCharType="end"/>
      </w:r>
    </w:p>
    <w:p w:rsidR="00354D72" w:rsidRDefault="00354D72" w:rsidP="00354D72"/>
    <w:p w:rsidR="00354D72" w:rsidRDefault="00354D72" w:rsidP="00354D72">
      <w:pPr>
        <w:pStyle w:val="EntradandiceAuto"/>
      </w:pPr>
      <w:r>
        <w:t>Sección Primera. Auto 137/2016, de 5 de julio de 2016. Desestima el recurso de súplica del Ministerio Fiscal sobre inadmisión del recurso de amparo 6980-2015, promovido por Agrobionest, S.L., en pleito civil.</w:t>
      </w:r>
      <w:r>
        <w:tab/>
      </w:r>
      <w:r>
        <w:tab/>
      </w:r>
      <w:r>
        <w:fldChar w:fldCharType="begin"/>
      </w:r>
      <w:r>
        <w:instrText xml:space="preserve"> PAGEREF AUTO_2016_137 \h </w:instrText>
      </w:r>
      <w:r>
        <w:fldChar w:fldCharType="separate"/>
      </w:r>
      <w:r w:rsidR="006227CF">
        <w:rPr>
          <w:noProof/>
        </w:rPr>
        <w:t>2242</w:t>
      </w:r>
      <w:r>
        <w:fldChar w:fldCharType="end"/>
      </w:r>
    </w:p>
    <w:p w:rsidR="00354D72" w:rsidRDefault="00354D72" w:rsidP="00354D72"/>
    <w:p w:rsidR="00354D72" w:rsidRDefault="00354D72" w:rsidP="00354D72">
      <w:pPr>
        <w:pStyle w:val="EntradandiceAuto"/>
      </w:pPr>
      <w:r>
        <w:t>Pleno. Auto 138/2016, de 5 de julio de 2016. Inadmite a trámite la cuestión de inconstitucionalidad 7319-2015, planteada por el Juzgado de lo Social núm. 3 de Alicante en relación con diversos preceptos del Real Decreto-ley 20/2012, de 13 de julio, de medidas para garantizar la estabilidad presupuestaria y de fomento de la competitividad, y del Decreto-ley 6/2012, de 28 de septiembre, del Consell de la Comunidad Valenciana, de desarrollo y aplicación de las disposiciones incluidas en el título I y disposiciones concordantes del Real Decreto-ley 20/2012.</w:t>
      </w:r>
      <w:r>
        <w:tab/>
      </w:r>
      <w:r>
        <w:tab/>
      </w:r>
      <w:r>
        <w:fldChar w:fldCharType="begin"/>
      </w:r>
      <w:r>
        <w:instrText xml:space="preserve"> PAGEREF AUTO_2016_138 \h </w:instrText>
      </w:r>
      <w:r>
        <w:fldChar w:fldCharType="separate"/>
      </w:r>
      <w:r w:rsidR="006227CF">
        <w:rPr>
          <w:noProof/>
        </w:rPr>
        <w:t>2246</w:t>
      </w:r>
      <w:r>
        <w:fldChar w:fldCharType="end"/>
      </w:r>
    </w:p>
    <w:p w:rsidR="00354D72" w:rsidRDefault="00354D72" w:rsidP="00354D72"/>
    <w:p w:rsidR="00354D72" w:rsidRDefault="00354D72" w:rsidP="00354D72">
      <w:pPr>
        <w:pStyle w:val="EntradandiceAuto"/>
      </w:pPr>
      <w:r>
        <w:t>Pleno. Auto 139/2016, de 5 de julio de 2016. Inadmite a trámite la cuestión de inconstitucionalidad 7320-2015, planteada por el Juzgado de lo Social núm. 3 de Alicante en relación con diversos preceptos del Real Decreto-ley 20/2012, de 13 de julio, de medidas para garantizar la estabilidad presupuestaria y de fomento de la competitividad, y del Decreto-ley 6/2012, de 28 de septiembre, del Consell de la Comunidad Valenciana, de desarrollo y aplicación de las disposiciones incluidas en el título I y disposiciones concordantes del Real Decreto-ley 20/2012.</w:t>
      </w:r>
      <w:r>
        <w:tab/>
      </w:r>
      <w:r>
        <w:tab/>
      </w:r>
      <w:r>
        <w:fldChar w:fldCharType="begin"/>
      </w:r>
      <w:r>
        <w:instrText xml:space="preserve"> PAGEREF AUTO_2016_139 \h </w:instrText>
      </w:r>
      <w:r>
        <w:fldChar w:fldCharType="separate"/>
      </w:r>
      <w:r w:rsidR="006227CF">
        <w:rPr>
          <w:noProof/>
        </w:rPr>
        <w:t>2255</w:t>
      </w:r>
      <w:r>
        <w:fldChar w:fldCharType="end"/>
      </w:r>
    </w:p>
    <w:p w:rsidR="00354D72" w:rsidRDefault="00354D72" w:rsidP="00354D72"/>
    <w:p w:rsidR="00354D72" w:rsidRDefault="00354D72" w:rsidP="00354D72">
      <w:pPr>
        <w:pStyle w:val="EntradandiceAuto"/>
      </w:pPr>
      <w:r>
        <w:t>Pleno. Auto 140/2016, de 5 de julio de 2016. Mantiene la suspensión parcial acordada en el recurso de inconstitucionalidad 857-2016, interpuesto por el Presidente del Gobierno en relación con diversos preceptos de la Ley del Parlamento de Cataluña 7/2015, de 14 de mayo, de modificación de la Ley 3/2008, del ejercicio de profesionales del deporte.</w:t>
      </w:r>
      <w:r>
        <w:tab/>
      </w:r>
      <w:r>
        <w:tab/>
      </w:r>
      <w:r>
        <w:fldChar w:fldCharType="begin"/>
      </w:r>
      <w:r>
        <w:instrText xml:space="preserve"> PAGEREF AUTO_2016_140 \h </w:instrText>
      </w:r>
      <w:r>
        <w:fldChar w:fldCharType="separate"/>
      </w:r>
      <w:r w:rsidR="006227CF">
        <w:rPr>
          <w:noProof/>
        </w:rPr>
        <w:t>2264</w:t>
      </w:r>
      <w:r>
        <w:fldChar w:fldCharType="end"/>
      </w:r>
    </w:p>
    <w:p w:rsidR="00354D72" w:rsidRDefault="00354D72" w:rsidP="00354D72"/>
    <w:p w:rsidR="00354D72" w:rsidRDefault="00354D72" w:rsidP="00354D72">
      <w:pPr>
        <w:pStyle w:val="EntradandiceAuto"/>
      </w:pPr>
      <w:r>
        <w:t>Sala Segunda. Auto 140/2016 bis, de 18 de julio de 2016. Declara que no se ha producido la pérdida de objeto del recurso de amparo 6887-2014, promovido por Iberdrola, S.A., en proceso contencioso-administrativo.</w:t>
      </w:r>
      <w:r>
        <w:tab/>
      </w:r>
      <w:r>
        <w:tab/>
      </w:r>
      <w:r>
        <w:fldChar w:fldCharType="begin"/>
      </w:r>
      <w:r>
        <w:instrText xml:space="preserve"> PAGEREF AUTO_2016_140_BIS \h </w:instrText>
      </w:r>
      <w:r>
        <w:fldChar w:fldCharType="separate"/>
      </w:r>
      <w:r w:rsidR="006227CF">
        <w:rPr>
          <w:noProof/>
        </w:rPr>
        <w:t>2277</w:t>
      </w:r>
      <w:r>
        <w:fldChar w:fldCharType="end"/>
      </w:r>
    </w:p>
    <w:p w:rsidR="00354D72" w:rsidRDefault="00354D72" w:rsidP="00354D72"/>
    <w:p w:rsidR="00354D72" w:rsidRDefault="00354D72" w:rsidP="00354D72">
      <w:pPr>
        <w:pStyle w:val="EntradandiceAuto"/>
      </w:pPr>
      <w:r>
        <w:t>Pleno. Auto 141/2016, de 19 de julio de 2016. Estima el incidente de ejecución de la STC 259/2015, de 2 de diciembre, dictada en la impugnación de disposiciones autonómicas 6330-2015, promovido por el Gobierno de la Nación en relación con la resolución 5/XI del Parlamento de Cataluña, de 20 de enero de 2016, de creación de comisiones parlamentarias.</w:t>
      </w:r>
      <w:r>
        <w:tab/>
      </w:r>
      <w:r>
        <w:tab/>
      </w:r>
      <w:r>
        <w:fldChar w:fldCharType="begin"/>
      </w:r>
      <w:r>
        <w:instrText xml:space="preserve"> PAGEREF AUTO_2016_141 \h </w:instrText>
      </w:r>
      <w:r>
        <w:fldChar w:fldCharType="separate"/>
      </w:r>
      <w:r w:rsidR="006227CF">
        <w:rPr>
          <w:noProof/>
        </w:rPr>
        <w:t>2282</w:t>
      </w:r>
      <w:r>
        <w:fldChar w:fldCharType="end"/>
      </w:r>
    </w:p>
    <w:p w:rsidR="00354D72" w:rsidRDefault="00354D72" w:rsidP="00354D72"/>
    <w:p w:rsidR="00354D72" w:rsidRDefault="00354D72" w:rsidP="00354D72">
      <w:pPr>
        <w:pStyle w:val="EntradandiceAuto"/>
      </w:pPr>
      <w:r>
        <w:t>Pleno. Auto 142/2016, de 19 de julio de 2016. Inadmite a trámite la cuestión de inconstitucionalidad 6966-2015, planteada por el Tribunal Superior de Justicia de Madrid en relación con el artículo 174.3, párrafo cuarto de la Ley general de la Seguridad Social.</w:t>
      </w:r>
      <w:r>
        <w:tab/>
      </w:r>
      <w:r>
        <w:tab/>
      </w:r>
      <w:r>
        <w:fldChar w:fldCharType="begin"/>
      </w:r>
      <w:r>
        <w:instrText xml:space="preserve"> PAGEREF AUTO_2016_142 \h </w:instrText>
      </w:r>
      <w:r>
        <w:fldChar w:fldCharType="separate"/>
      </w:r>
      <w:r w:rsidR="006227CF">
        <w:rPr>
          <w:noProof/>
        </w:rPr>
        <w:t>2302</w:t>
      </w:r>
      <w:r>
        <w:fldChar w:fldCharType="end"/>
      </w:r>
    </w:p>
    <w:p w:rsidR="00354D72" w:rsidRDefault="00354D72" w:rsidP="00354D72"/>
    <w:p w:rsidR="00354D72" w:rsidRDefault="00354D72" w:rsidP="00354D72">
      <w:pPr>
        <w:pStyle w:val="EntradandiceAuto"/>
      </w:pPr>
      <w:r>
        <w:t>Pleno. Auto 143/2016, de 19 de julio de 2016. Inadmite a trámite la cuestión de inconstitucionalidad 876-2016, planteada por el Tribunal Superior de Justicia de Murcia en relación con los artículos 2 del Real Decreto-ley 20/2012, de 13 de julio, de medidas para garantizar la estabilidad presupuestaria y de fomento de la competitividad, y 2.1 de la Ley de la Asamblea Regional de Murcia 9/2012, de 8 de noviembre, de adaptación de la normativa regional en materia de función pública al Real Decreto-ley 20/2012.</w:t>
      </w:r>
      <w:r>
        <w:tab/>
      </w:r>
      <w:r>
        <w:tab/>
      </w:r>
      <w:r>
        <w:fldChar w:fldCharType="begin"/>
      </w:r>
      <w:r>
        <w:instrText xml:space="preserve"> PAGEREF AUTO_2016_143 \h </w:instrText>
      </w:r>
      <w:r>
        <w:fldChar w:fldCharType="separate"/>
      </w:r>
      <w:r w:rsidR="006227CF">
        <w:rPr>
          <w:noProof/>
        </w:rPr>
        <w:t>2310</w:t>
      </w:r>
      <w:r>
        <w:fldChar w:fldCharType="end"/>
      </w:r>
    </w:p>
    <w:p w:rsidR="00354D72" w:rsidRDefault="00354D72" w:rsidP="00354D72"/>
    <w:p w:rsidR="00354D72" w:rsidRDefault="00354D72" w:rsidP="00354D72">
      <w:pPr>
        <w:pStyle w:val="EntradandiceAuto"/>
      </w:pPr>
      <w:r>
        <w:t>Pleno. Auto 144/2016, de 19 de julio de 2016. Mantiene la suspensión parcial en el recurso de inconstitucionalidad 1643-2016, interpuesto por el Presidente del Gobierno en relación con diversos preceptos de la Ley del Parlamento Vasco 3/2015, de 18 de junio, de vivienda. Voto particular.</w:t>
      </w:r>
      <w:r>
        <w:tab/>
      </w:r>
      <w:r>
        <w:tab/>
      </w:r>
      <w:r>
        <w:fldChar w:fldCharType="begin"/>
      </w:r>
      <w:r>
        <w:instrText xml:space="preserve"> PAGEREF AUTO_2016_144 \h </w:instrText>
      </w:r>
      <w:r>
        <w:fldChar w:fldCharType="separate"/>
      </w:r>
      <w:r w:rsidR="006227CF">
        <w:rPr>
          <w:noProof/>
        </w:rPr>
        <w:t>2316</w:t>
      </w:r>
      <w:r>
        <w:fldChar w:fldCharType="end"/>
      </w:r>
    </w:p>
    <w:p w:rsidR="00354D72" w:rsidRDefault="00354D72" w:rsidP="00354D72"/>
    <w:p w:rsidR="00354D72" w:rsidRDefault="00354D72" w:rsidP="00354D72">
      <w:pPr>
        <w:pStyle w:val="EntradandiceAuto"/>
      </w:pPr>
      <w:r>
        <w:t>Pleno. Auto 145/2016, de 19 de julio de 2016. Inadmite a trámite la cuestión de inconstitucionalidad 2700-2016, planteada por la Sala de lo Social del Tribunal Supremo en relación con diversos preceptos de la Ley de las Cortes de Castilla-La Mancha 1/2012, de 21 de febrero, de medidas complementarias para la aplicación del plan de garantías de servicios sociales.</w:t>
      </w:r>
      <w:r>
        <w:tab/>
      </w:r>
      <w:r>
        <w:tab/>
      </w:r>
      <w:r>
        <w:fldChar w:fldCharType="begin"/>
      </w:r>
      <w:r>
        <w:instrText xml:space="preserve"> PAGEREF AUTO_2016_145 \h </w:instrText>
      </w:r>
      <w:r>
        <w:fldChar w:fldCharType="separate"/>
      </w:r>
      <w:r w:rsidR="006227CF">
        <w:rPr>
          <w:noProof/>
        </w:rPr>
        <w:t>2338</w:t>
      </w:r>
      <w:r>
        <w:fldChar w:fldCharType="end"/>
      </w:r>
    </w:p>
    <w:p w:rsidR="00354D72" w:rsidRDefault="00354D72" w:rsidP="00354D72"/>
    <w:p w:rsidR="00354D72" w:rsidRDefault="00354D72" w:rsidP="00354D72">
      <w:pPr>
        <w:pStyle w:val="EntradandiceAuto"/>
      </w:pPr>
      <w:r>
        <w:t>Pleno. Auto 146/2016, de 19 de julio de 2016. Cuestión de inconstitucionalidad 2749-2016. Inadmite a trámite la cuestión de inconstitucionalidad 2749-2016, planteada por la Audiencia Provincial de Almería en relación con el artículo 2 de la Ley 1/2013, de 14 de mayo, de medidas para reforzar la protección a los deudos hipotecarios, reestructuración de deuda y alquiler social.</w:t>
      </w:r>
      <w:r>
        <w:tab/>
      </w:r>
      <w:r>
        <w:tab/>
      </w:r>
      <w:r>
        <w:fldChar w:fldCharType="begin"/>
      </w:r>
      <w:r>
        <w:instrText xml:space="preserve"> PAGEREF AUTO_2016_146 \h </w:instrText>
      </w:r>
      <w:r>
        <w:fldChar w:fldCharType="separate"/>
      </w:r>
      <w:r w:rsidR="006227CF">
        <w:rPr>
          <w:noProof/>
        </w:rPr>
        <w:t>2348</w:t>
      </w:r>
      <w:r>
        <w:fldChar w:fldCharType="end"/>
      </w:r>
    </w:p>
    <w:p w:rsidR="00354D72" w:rsidRDefault="00354D72" w:rsidP="00354D72"/>
    <w:p w:rsidR="00354D72" w:rsidRDefault="00354D72" w:rsidP="00354D72">
      <w:pPr>
        <w:pStyle w:val="EntradandiceAuto"/>
      </w:pPr>
      <w:r>
        <w:t>Sección Cuarta. Auto 147/2016, de 21 de julio de 2016. Acuerda el desistimiento en el recurso de amparo 849-2016, promovido en causa penal.</w:t>
      </w:r>
      <w:r>
        <w:tab/>
      </w:r>
      <w:r>
        <w:tab/>
      </w:r>
      <w:r>
        <w:fldChar w:fldCharType="begin"/>
      </w:r>
      <w:r>
        <w:instrText xml:space="preserve"> PAGEREF AUTO_2016_147 \h </w:instrText>
      </w:r>
      <w:r>
        <w:fldChar w:fldCharType="separate"/>
      </w:r>
      <w:r w:rsidR="006227CF">
        <w:rPr>
          <w:noProof/>
        </w:rPr>
        <w:t>2360</w:t>
      </w:r>
      <w:r>
        <w:fldChar w:fldCharType="end"/>
      </w:r>
    </w:p>
    <w:p w:rsidR="00354D72" w:rsidRDefault="00354D72" w:rsidP="00354D72"/>
    <w:p w:rsidR="00354D72" w:rsidRDefault="00354D72" w:rsidP="00354D72">
      <w:pPr>
        <w:pStyle w:val="EntradandiceAuto"/>
      </w:pPr>
      <w:r>
        <w:t>Sección Tercera. Auto 148/2016, de 22 de julio de 2016. Inadmite a trámite el recurso de amparo 1726-2016, promovido por Avite (asociación de víctimas de la talidomida en España) en pleito civil.</w:t>
      </w:r>
      <w:r>
        <w:tab/>
      </w:r>
      <w:r>
        <w:tab/>
      </w:r>
      <w:r>
        <w:fldChar w:fldCharType="begin"/>
      </w:r>
      <w:r>
        <w:instrText xml:space="preserve"> PAGEREF AUTO_2016_148 \h </w:instrText>
      </w:r>
      <w:r>
        <w:fldChar w:fldCharType="separate"/>
      </w:r>
      <w:r w:rsidR="006227CF">
        <w:rPr>
          <w:noProof/>
        </w:rPr>
        <w:t>2361</w:t>
      </w:r>
      <w:r>
        <w:fldChar w:fldCharType="end"/>
      </w:r>
    </w:p>
    <w:p w:rsidR="00354D72" w:rsidRDefault="00354D72" w:rsidP="00354D72"/>
    <w:p w:rsidR="00354D72" w:rsidRDefault="00354D72" w:rsidP="00354D72">
      <w:pPr>
        <w:pStyle w:val="EntradandiceAuto"/>
      </w:pPr>
      <w:r>
        <w:t>Sección Primera. Auto 149/2016, de 6 de septiembre de 2016. Desestima el recurso de súplica del Ministerio Fiscal sobre inadmisión del recurso de amparo 6684-2015, promovido por don Javier Segura Ruiz en causa penal.</w:t>
      </w:r>
      <w:r>
        <w:tab/>
      </w:r>
      <w:r>
        <w:tab/>
      </w:r>
      <w:r>
        <w:fldChar w:fldCharType="begin"/>
      </w:r>
      <w:r>
        <w:instrText xml:space="preserve"> PAGEREF AUTO_2016_149 \h </w:instrText>
      </w:r>
      <w:r>
        <w:fldChar w:fldCharType="separate"/>
      </w:r>
      <w:r w:rsidR="006227CF">
        <w:rPr>
          <w:noProof/>
        </w:rPr>
        <w:t>2376</w:t>
      </w:r>
      <w:r>
        <w:fldChar w:fldCharType="end"/>
      </w:r>
    </w:p>
    <w:p w:rsidR="00354D72" w:rsidRDefault="00354D72" w:rsidP="00354D72"/>
    <w:p w:rsidR="00354D72" w:rsidRDefault="00354D72" w:rsidP="00354D72">
      <w:pPr>
        <w:pStyle w:val="EntradandiceAuto"/>
      </w:pPr>
      <w:r>
        <w:t>Sala Primera. Auto 150/2016, de 6 de septiembre de 2016. Inadmite a trámite el recurso de amparo electoral 4692-2016, promovido por don Arnaldo Otegi Mondragón.</w:t>
      </w:r>
      <w:r>
        <w:tab/>
      </w:r>
      <w:r>
        <w:tab/>
      </w:r>
      <w:r>
        <w:fldChar w:fldCharType="begin"/>
      </w:r>
      <w:r>
        <w:instrText xml:space="preserve"> PAGEREF AUTO_2016_150 \h </w:instrText>
      </w:r>
      <w:r>
        <w:fldChar w:fldCharType="separate"/>
      </w:r>
      <w:r w:rsidR="006227CF">
        <w:rPr>
          <w:noProof/>
        </w:rPr>
        <w:t>2379</w:t>
      </w:r>
      <w:r>
        <w:fldChar w:fldCharType="end"/>
      </w:r>
    </w:p>
    <w:p w:rsidR="00354D72" w:rsidRDefault="00354D72" w:rsidP="00354D72"/>
    <w:p w:rsidR="00354D72" w:rsidRDefault="00354D72" w:rsidP="00354D72">
      <w:pPr>
        <w:pStyle w:val="EntradandiceAuto"/>
      </w:pPr>
      <w:r>
        <w:t>Sección Tercera. Auto 151/2016, de 12 de septiembre de 2016. Desestima el recurso de súplica del Ministerio Fiscal sobre inadmisión del recurso de amparo 4878-2015, promovido por don Luis Martínez Bautista en causa penal.</w:t>
      </w:r>
      <w:r>
        <w:tab/>
      </w:r>
      <w:r>
        <w:tab/>
      </w:r>
      <w:r>
        <w:fldChar w:fldCharType="begin"/>
      </w:r>
      <w:r>
        <w:instrText xml:space="preserve"> PAGEREF AUTO_2016_151 \h </w:instrText>
      </w:r>
      <w:r>
        <w:fldChar w:fldCharType="separate"/>
      </w:r>
      <w:r w:rsidR="006227CF">
        <w:rPr>
          <w:noProof/>
        </w:rPr>
        <w:t>2386</w:t>
      </w:r>
      <w:r>
        <w:fldChar w:fldCharType="end"/>
      </w:r>
    </w:p>
    <w:p w:rsidR="00354D72" w:rsidRDefault="00354D72" w:rsidP="00354D72"/>
    <w:p w:rsidR="00354D72" w:rsidRDefault="00354D72" w:rsidP="00354D72">
      <w:pPr>
        <w:pStyle w:val="EntradandiceAuto"/>
      </w:pPr>
      <w:r>
        <w:t>Sección Cuarta. Auto 152/2016, de 12 de septiembre de 2016. Acuerda el desistimiento en el recurso de amparo 3847-2016, promovido en proceso contencioso-administrativo.</w:t>
      </w:r>
      <w:r>
        <w:tab/>
      </w:r>
      <w:r>
        <w:tab/>
      </w:r>
      <w:r>
        <w:fldChar w:fldCharType="begin"/>
      </w:r>
      <w:r>
        <w:instrText xml:space="preserve"> PAGEREF AUTO_2016_152 \h </w:instrText>
      </w:r>
      <w:r>
        <w:fldChar w:fldCharType="separate"/>
      </w:r>
      <w:r w:rsidR="006227CF">
        <w:rPr>
          <w:noProof/>
        </w:rPr>
        <w:t>2390</w:t>
      </w:r>
      <w:r>
        <w:fldChar w:fldCharType="end"/>
      </w:r>
    </w:p>
    <w:p w:rsidR="00354D72" w:rsidRDefault="00354D72" w:rsidP="00354D72"/>
    <w:p w:rsidR="00354D72" w:rsidRDefault="00354D72" w:rsidP="00354D72">
      <w:pPr>
        <w:pStyle w:val="EntradandiceAuto"/>
      </w:pPr>
      <w:r>
        <w:t>Sección Primera. Auto 153/2016, de 14 de septiembre de 2016. Se declara incompetente para enjuiciar la impugnación de una resolución de la Comisión Central de Asistencia Jurídica Gratuita para el recurso de amparo 3837-2015, formulado por doña Isabel Casado López.</w:t>
      </w:r>
      <w:r>
        <w:tab/>
      </w:r>
      <w:r>
        <w:tab/>
      </w:r>
      <w:r>
        <w:fldChar w:fldCharType="begin"/>
      </w:r>
      <w:r>
        <w:instrText xml:space="preserve"> PAGEREF AUTO_2016_153 \h </w:instrText>
      </w:r>
      <w:r>
        <w:fldChar w:fldCharType="separate"/>
      </w:r>
      <w:r w:rsidR="006227CF">
        <w:rPr>
          <w:noProof/>
        </w:rPr>
        <w:t>2391</w:t>
      </w:r>
      <w:r>
        <w:fldChar w:fldCharType="end"/>
      </w:r>
    </w:p>
    <w:p w:rsidR="00354D72" w:rsidRDefault="00354D72" w:rsidP="00354D72"/>
    <w:p w:rsidR="00354D72" w:rsidRDefault="00354D72" w:rsidP="00354D72">
      <w:pPr>
        <w:pStyle w:val="EntradandiceAuto"/>
      </w:pPr>
      <w:r>
        <w:t>Sala Primera. Auto 154/2016, de 19 de septiembre de 2016. Acuerda la suspensión en el recurso de amparo 4591-2015, promovido por don Luis Jesús Agrela Rubio en pleito civil.</w:t>
      </w:r>
      <w:r>
        <w:tab/>
      </w:r>
      <w:r>
        <w:tab/>
      </w:r>
      <w:r>
        <w:fldChar w:fldCharType="begin"/>
      </w:r>
      <w:r>
        <w:instrText xml:space="preserve"> PAGEREF AUTO_2016_154 \h </w:instrText>
      </w:r>
      <w:r>
        <w:fldChar w:fldCharType="separate"/>
      </w:r>
      <w:r w:rsidR="006227CF">
        <w:rPr>
          <w:noProof/>
        </w:rPr>
        <w:t>2393</w:t>
      </w:r>
      <w:r>
        <w:fldChar w:fldCharType="end"/>
      </w:r>
    </w:p>
    <w:p w:rsidR="00354D72" w:rsidRDefault="00354D72" w:rsidP="00354D72"/>
    <w:p w:rsidR="00354D72" w:rsidRDefault="00354D72" w:rsidP="00354D72">
      <w:pPr>
        <w:pStyle w:val="EntradandiceAuto"/>
      </w:pPr>
      <w:r>
        <w:t>Pleno. Auto 155/2016, de 20 de septiembre de 2016. Inadmite a trámite el recurso de amparo 4001-2015, promovido por don Pedro José Picabea Ugalde en relación con el Auto y Sentencia del Pleno de la Sala de lo Penal del Tribunal Supremo recaída en recurso de casación número 10711-2014. Votos particulares.</w:t>
      </w:r>
      <w:r>
        <w:tab/>
      </w:r>
      <w:r>
        <w:tab/>
      </w:r>
      <w:r>
        <w:fldChar w:fldCharType="begin"/>
      </w:r>
      <w:r>
        <w:instrText xml:space="preserve"> PAGEREF AUTO_2016_155 \h </w:instrText>
      </w:r>
      <w:r>
        <w:fldChar w:fldCharType="separate"/>
      </w:r>
      <w:r w:rsidR="006227CF">
        <w:rPr>
          <w:noProof/>
        </w:rPr>
        <w:t>2396</w:t>
      </w:r>
      <w:r>
        <w:fldChar w:fldCharType="end"/>
      </w:r>
    </w:p>
    <w:p w:rsidR="00354D72" w:rsidRDefault="00354D72" w:rsidP="00354D72"/>
    <w:p w:rsidR="00354D72" w:rsidRDefault="00354D72" w:rsidP="00354D72">
      <w:pPr>
        <w:pStyle w:val="EntradandiceAuto"/>
      </w:pPr>
      <w:r>
        <w:t>Pleno. Auto 156/2016, de 20 de septiembre de 2016. Inadmite a trámite la cuestión de inconstitucionalidad 1853-2016, planteada por la Sala de lo Contencioso-Administrativo del Tribunal Superior de Justicia de Andalucía con sede en Granada en relación con los artículos 4.2 de la Ley 16/1997, de 25 de abril, de regulación de servicios de las oficinas de farmacia, y 47 de la Ley 22/2007, de 18 de diciembre, de oficinas de farmacia en Andalucía.</w:t>
      </w:r>
      <w:r>
        <w:tab/>
      </w:r>
      <w:r>
        <w:tab/>
      </w:r>
      <w:r>
        <w:fldChar w:fldCharType="begin"/>
      </w:r>
      <w:r>
        <w:instrText xml:space="preserve"> PAGEREF AUTO_2016_156 \h </w:instrText>
      </w:r>
      <w:r>
        <w:fldChar w:fldCharType="separate"/>
      </w:r>
      <w:r w:rsidR="006227CF">
        <w:rPr>
          <w:noProof/>
        </w:rPr>
        <w:t>2423</w:t>
      </w:r>
      <w:r>
        <w:fldChar w:fldCharType="end"/>
      </w:r>
    </w:p>
    <w:p w:rsidR="00354D72" w:rsidRDefault="00354D72" w:rsidP="00354D72"/>
    <w:p w:rsidR="00354D72" w:rsidRDefault="00354D72" w:rsidP="00354D72">
      <w:pPr>
        <w:pStyle w:val="EntradandiceAuto"/>
      </w:pPr>
      <w:r>
        <w:t>Pleno. Auto 157/2016, de 20 de septiembre de 2016. Levanta la suspensión en el recurso de inconstitucionalidad 2255-2016, interpuesto por el Presidente del Gobierno en relación con diversos preceptos de la Ley del Parlamento de Cataluña 14/2015, de 21 de julio, del impuesto sobre las viviendas vacías, y de modificación de normas tributarias y de la Ley 3/2012.</w:t>
      </w:r>
      <w:r>
        <w:tab/>
      </w:r>
      <w:r>
        <w:tab/>
      </w:r>
      <w:r>
        <w:fldChar w:fldCharType="begin"/>
      </w:r>
      <w:r>
        <w:instrText xml:space="preserve"> PAGEREF AUTO_2016_157 \h </w:instrText>
      </w:r>
      <w:r>
        <w:fldChar w:fldCharType="separate"/>
      </w:r>
      <w:r w:rsidR="006227CF">
        <w:rPr>
          <w:noProof/>
        </w:rPr>
        <w:t>2438</w:t>
      </w:r>
      <w:r>
        <w:fldChar w:fldCharType="end"/>
      </w:r>
    </w:p>
    <w:p w:rsidR="00354D72" w:rsidRDefault="00354D72" w:rsidP="00354D72"/>
    <w:p w:rsidR="00354D72" w:rsidRDefault="00354D72" w:rsidP="00354D72">
      <w:pPr>
        <w:pStyle w:val="EntradandiceAuto"/>
      </w:pPr>
      <w:r>
        <w:t>Pleno. Auto 158/2016, de 20 de septiembre de 2016. Levanta la suspensión en el recurso de inconstitucionalidad 2256-2016, interpuesto por el Presidente del Gobierno en relación con el artículo 19.6 de la Ley del Parlamento de Cataluña 16/2015, de 21 de julio, de simplificación de la actividad administrativa de la Administración de la Generalitat y de los gobiernos locales de Cataluña y de impulso de la actividad económica.</w:t>
      </w:r>
      <w:r>
        <w:tab/>
      </w:r>
      <w:r>
        <w:tab/>
      </w:r>
      <w:r>
        <w:fldChar w:fldCharType="begin"/>
      </w:r>
      <w:r>
        <w:instrText xml:space="preserve"> PAGEREF AUTO_2016_158 \h </w:instrText>
      </w:r>
      <w:r>
        <w:fldChar w:fldCharType="separate"/>
      </w:r>
      <w:r w:rsidR="006227CF">
        <w:rPr>
          <w:noProof/>
        </w:rPr>
        <w:t>2447</w:t>
      </w:r>
      <w:r>
        <w:fldChar w:fldCharType="end"/>
      </w:r>
    </w:p>
    <w:p w:rsidR="00354D72" w:rsidRDefault="00354D72" w:rsidP="00354D72"/>
    <w:p w:rsidR="00354D72" w:rsidRDefault="00354D72" w:rsidP="00354D72">
      <w:pPr>
        <w:pStyle w:val="EntradandiceAuto"/>
      </w:pPr>
      <w:r>
        <w:t>Pleno. Auto 159/2016, de 20 de septiembre de 2016. Inadmite a trámite la cuestión de inconstitucionalidad 2475-2016, planteada por el Juzgado de lo Social núm. 14 de Valencia en relación con el artículo 31.6 de la Ley 13/2009, de 29 de diciembre, de presupuestos de la Generalitat para el ejercicio 2010.</w:t>
      </w:r>
      <w:r>
        <w:tab/>
      </w:r>
      <w:r>
        <w:tab/>
      </w:r>
      <w:r>
        <w:fldChar w:fldCharType="begin"/>
      </w:r>
      <w:r>
        <w:instrText xml:space="preserve"> PAGEREF AUTO_2016_159 \h </w:instrText>
      </w:r>
      <w:r>
        <w:fldChar w:fldCharType="separate"/>
      </w:r>
      <w:r w:rsidR="006227CF">
        <w:rPr>
          <w:noProof/>
        </w:rPr>
        <w:t>2454</w:t>
      </w:r>
      <w:r>
        <w:fldChar w:fldCharType="end"/>
      </w:r>
    </w:p>
    <w:p w:rsidR="00354D72" w:rsidRDefault="00354D72" w:rsidP="00354D72"/>
    <w:p w:rsidR="00354D72" w:rsidRDefault="00354D72" w:rsidP="00354D72">
      <w:pPr>
        <w:pStyle w:val="EntradandiceAuto"/>
      </w:pPr>
      <w:r>
        <w:t>Pleno. Auto 160/2016, de 20 de septiembre de 2016. Mantiene la suspensión en el recurso de inconstitucionalidad 2501-2016, interpuesto por el Presidente del Gobierno en relación con diversos preceptos de la Ley del Parlamento de Cataluña 24/2015, de 29 de julio, de medidas urgentes para afrontar la emergencia en el ámbito de la vivienda y la pobreza energética. Voto particular.</w:t>
      </w:r>
      <w:r>
        <w:tab/>
      </w:r>
      <w:r>
        <w:tab/>
      </w:r>
      <w:r>
        <w:fldChar w:fldCharType="begin"/>
      </w:r>
      <w:r>
        <w:instrText xml:space="preserve"> PAGEREF AUTO_2016_160 \h </w:instrText>
      </w:r>
      <w:r>
        <w:fldChar w:fldCharType="separate"/>
      </w:r>
      <w:r w:rsidR="006227CF">
        <w:rPr>
          <w:noProof/>
        </w:rPr>
        <w:t>2461</w:t>
      </w:r>
      <w:r>
        <w:fldChar w:fldCharType="end"/>
      </w:r>
    </w:p>
    <w:p w:rsidR="00354D72" w:rsidRDefault="00354D72" w:rsidP="00354D72"/>
    <w:p w:rsidR="00354D72" w:rsidRDefault="00354D72" w:rsidP="00354D72">
      <w:pPr>
        <w:pStyle w:val="EntradandiceAuto"/>
      </w:pPr>
      <w:r>
        <w:t>Sección Primera. Auto 161/2016, de 21 de septiembre de 2016. Acuerda el desistimiento en el recurso de amparo 2389-2016, promovido en proceso contencioso-administrativo.</w:t>
      </w:r>
      <w:r>
        <w:tab/>
      </w:r>
      <w:r>
        <w:tab/>
      </w:r>
      <w:r>
        <w:fldChar w:fldCharType="begin"/>
      </w:r>
      <w:r>
        <w:instrText xml:space="preserve"> PAGEREF AUTO_2016_161 \h </w:instrText>
      </w:r>
      <w:r>
        <w:fldChar w:fldCharType="separate"/>
      </w:r>
      <w:r w:rsidR="006227CF">
        <w:rPr>
          <w:noProof/>
        </w:rPr>
        <w:t>2478</w:t>
      </w:r>
      <w:r>
        <w:fldChar w:fldCharType="end"/>
      </w:r>
    </w:p>
    <w:p w:rsidR="00354D72" w:rsidRDefault="00354D72" w:rsidP="00354D72"/>
    <w:p w:rsidR="00354D72" w:rsidRDefault="00354D72" w:rsidP="00354D72">
      <w:pPr>
        <w:pStyle w:val="EntradandiceAuto"/>
      </w:pPr>
      <w:r>
        <w:t>Pleno. Auto 162/2016, de 22 de septiembre de 2016. Deniega la suspensión en el conflicto positivo de competencia 2057-2016, planteado por el Gobierno de la Comunidad Autónoma de Aragón en relación con varios preceptos del Real Decreto 954/2015, de 23 de octubre, por el que se regula la indicación, uso y autorización de dispensación de medicamentos y productos sanitarios de uso humano por parte de enfermeros.</w:t>
      </w:r>
      <w:r>
        <w:tab/>
      </w:r>
      <w:r>
        <w:tab/>
      </w:r>
      <w:r>
        <w:fldChar w:fldCharType="begin"/>
      </w:r>
      <w:r>
        <w:instrText xml:space="preserve"> PAGEREF AUTO_2016_162 \h </w:instrText>
      </w:r>
      <w:r>
        <w:fldChar w:fldCharType="separate"/>
      </w:r>
      <w:r w:rsidR="006227CF">
        <w:rPr>
          <w:noProof/>
        </w:rPr>
        <w:t>2479</w:t>
      </w:r>
      <w:r>
        <w:fldChar w:fldCharType="end"/>
      </w:r>
    </w:p>
    <w:p w:rsidR="00354D72" w:rsidRDefault="00354D72" w:rsidP="00354D72"/>
    <w:p w:rsidR="00354D72" w:rsidRDefault="00354D72" w:rsidP="00354D72">
      <w:pPr>
        <w:pStyle w:val="EntradandiceAuto"/>
      </w:pPr>
      <w:r>
        <w:t>Sección Tercera. Auto 163/2016, de 23 de septiembre de 2016. Acuerda el desistimiento en el recurso de amparo 2390-2016, promovido en proceso contencioso-administrativo.</w:t>
      </w:r>
      <w:r>
        <w:tab/>
      </w:r>
      <w:r>
        <w:tab/>
      </w:r>
      <w:r>
        <w:fldChar w:fldCharType="begin"/>
      </w:r>
      <w:r>
        <w:instrText xml:space="preserve"> PAGEREF AUTO_2016_163 \h </w:instrText>
      </w:r>
      <w:r>
        <w:fldChar w:fldCharType="separate"/>
      </w:r>
      <w:r w:rsidR="006227CF">
        <w:rPr>
          <w:noProof/>
        </w:rPr>
        <w:t>2486</w:t>
      </w:r>
      <w:r>
        <w:fldChar w:fldCharType="end"/>
      </w:r>
    </w:p>
    <w:p w:rsidR="00354D72" w:rsidRDefault="00354D72" w:rsidP="00354D72"/>
    <w:p w:rsidR="00354D72" w:rsidRDefault="00354D72" w:rsidP="00354D72">
      <w:pPr>
        <w:pStyle w:val="EntradandiceAuto"/>
      </w:pPr>
      <w:r>
        <w:t>Sección Cuarta. Auto 164/2016, de 27 de septiembre de 2016. Estima el recurso de súplica del Ministerio Fiscal sobre inadmisión del recurso de amparo 5301-2015, promovido por doña Elena Bartolomé Llamazares y Ane Muguruza Bartolomé en proceso contencioso-administrativo.</w:t>
      </w:r>
      <w:r>
        <w:tab/>
      </w:r>
      <w:r>
        <w:tab/>
      </w:r>
      <w:r>
        <w:fldChar w:fldCharType="begin"/>
      </w:r>
      <w:r>
        <w:instrText xml:space="preserve"> PAGEREF AUTO_2016_164 \h </w:instrText>
      </w:r>
      <w:r>
        <w:fldChar w:fldCharType="separate"/>
      </w:r>
      <w:r w:rsidR="006227CF">
        <w:rPr>
          <w:noProof/>
        </w:rPr>
        <w:t>2487</w:t>
      </w:r>
      <w:r>
        <w:fldChar w:fldCharType="end"/>
      </w:r>
    </w:p>
    <w:p w:rsidR="00354D72" w:rsidRDefault="00354D72" w:rsidP="00354D72"/>
    <w:p w:rsidR="00354D72" w:rsidRDefault="00354D72" w:rsidP="00354D72">
      <w:pPr>
        <w:pStyle w:val="EntradandiceAuto"/>
      </w:pPr>
      <w:r>
        <w:t>Sección Cuarta. Auto 165/2016, de 27 de septiembre de 2016. Estima el recurso de súplica del Ministerio Fiscal sobre inadmisión del recurso de amparo 5409-2015, promovido por don José María Lasa Artola y doña Jesusa Arostegui Beraza en proceso contencioso-administrativo.</w:t>
      </w:r>
      <w:r>
        <w:tab/>
      </w:r>
      <w:r>
        <w:tab/>
      </w:r>
      <w:r>
        <w:fldChar w:fldCharType="begin"/>
      </w:r>
      <w:r>
        <w:instrText xml:space="preserve"> PAGEREF AUTO_2016_165 \h </w:instrText>
      </w:r>
      <w:r>
        <w:fldChar w:fldCharType="separate"/>
      </w:r>
      <w:r w:rsidR="006227CF">
        <w:rPr>
          <w:noProof/>
        </w:rPr>
        <w:t>2489</w:t>
      </w:r>
      <w:r>
        <w:fldChar w:fldCharType="end"/>
      </w:r>
    </w:p>
    <w:p w:rsidR="00354D72" w:rsidRDefault="00354D72" w:rsidP="00354D72"/>
    <w:p w:rsidR="00354D72" w:rsidRDefault="00354D72" w:rsidP="00354D72">
      <w:pPr>
        <w:pStyle w:val="EntradandiceAuto"/>
      </w:pPr>
      <w:r>
        <w:t>Sección Primera. Auto 166/2016, de 3 de octubre de 2016. Acepta una abstención en el  recurso de amparo 6269-2015, promovido por estación de servicio Hermanos Baños, S.L., y don Sabas Baños Costa, en pleito civil.</w:t>
      </w:r>
      <w:r>
        <w:tab/>
      </w:r>
      <w:r>
        <w:tab/>
      </w:r>
      <w:r>
        <w:fldChar w:fldCharType="begin"/>
      </w:r>
      <w:r>
        <w:instrText xml:space="preserve"> PAGEREF AUTO_2016_166 \h </w:instrText>
      </w:r>
      <w:r>
        <w:fldChar w:fldCharType="separate"/>
      </w:r>
      <w:r w:rsidR="006227CF">
        <w:rPr>
          <w:noProof/>
        </w:rPr>
        <w:t>2491</w:t>
      </w:r>
      <w:r>
        <w:fldChar w:fldCharType="end"/>
      </w:r>
    </w:p>
    <w:p w:rsidR="00354D72" w:rsidRDefault="00354D72" w:rsidP="00354D72"/>
    <w:p w:rsidR="00354D72" w:rsidRDefault="00354D72" w:rsidP="00354D72">
      <w:pPr>
        <w:pStyle w:val="EntradandiceAuto"/>
      </w:pPr>
      <w:r>
        <w:t>Pleno. Auto 167/2016, de 4 de octubre de 2016. Inadmite a trámite la cuestión de inconstitucionalidad 1517-2016, planteada por la Sala de lo Contencioso-Administrativo del Tribunal Superior de Justicia de Madrid en relación con el apartado d) del artículo 100.3 de la Ley 2/2003, de 11 de marzo, de Administración local de la Comunidad de Madrid.</w:t>
      </w:r>
      <w:r>
        <w:tab/>
      </w:r>
      <w:r>
        <w:tab/>
      </w:r>
      <w:r>
        <w:fldChar w:fldCharType="begin"/>
      </w:r>
      <w:r>
        <w:instrText xml:space="preserve"> PAGEREF AUTO_2016_167 \h </w:instrText>
      </w:r>
      <w:r>
        <w:fldChar w:fldCharType="separate"/>
      </w:r>
      <w:r w:rsidR="006227CF">
        <w:rPr>
          <w:noProof/>
        </w:rPr>
        <w:t>2493</w:t>
      </w:r>
      <w:r>
        <w:fldChar w:fldCharType="end"/>
      </w:r>
    </w:p>
    <w:p w:rsidR="00354D72" w:rsidRDefault="00354D72" w:rsidP="00354D72"/>
    <w:p w:rsidR="00354D72" w:rsidRDefault="00354D72" w:rsidP="00354D72">
      <w:pPr>
        <w:pStyle w:val="EntradandiceAuto"/>
      </w:pPr>
      <w:r>
        <w:t>Pleno. Auto 168/2016, de 4 de octubre de 2016. Inadmite a trámite la cuestión de inconstitucionalidad 2209-2016, planteada por el Juzgado de Primera Instancia número 38 de Barcelona en relación con los artículos 17 y 540 de la Ley de enjuiciamiento civil.</w:t>
      </w:r>
      <w:r>
        <w:tab/>
      </w:r>
      <w:r>
        <w:tab/>
      </w:r>
      <w:r>
        <w:fldChar w:fldCharType="begin"/>
      </w:r>
      <w:r>
        <w:instrText xml:space="preserve"> PAGEREF AUTO_2016_168 \h </w:instrText>
      </w:r>
      <w:r>
        <w:fldChar w:fldCharType="separate"/>
      </w:r>
      <w:r w:rsidR="006227CF">
        <w:rPr>
          <w:noProof/>
        </w:rPr>
        <w:t>2501</w:t>
      </w:r>
      <w:r>
        <w:fldChar w:fldCharType="end"/>
      </w:r>
    </w:p>
    <w:p w:rsidR="00354D72" w:rsidRDefault="00354D72" w:rsidP="00354D72"/>
    <w:p w:rsidR="00354D72" w:rsidRDefault="00354D72" w:rsidP="00354D72">
      <w:pPr>
        <w:pStyle w:val="EntradandiceAuto"/>
      </w:pPr>
      <w:r>
        <w:t>Pleno. Auto 169/2016, de 4 de octubre de 2016. Levanta la suspensión en el recurso de inconstitucionalidad 2465-2016, interpuesto por el Presidente del Gobierno en relación con diversos preceptos de la Ley del Parlamento de Cataluña 19/2015, de 29 de julio, de incorporación de la propiedad temporal y de la propiedad compartida al libro quinto del Código civil de Cataluña.</w:t>
      </w:r>
      <w:r>
        <w:tab/>
      </w:r>
      <w:r>
        <w:tab/>
      </w:r>
      <w:r>
        <w:fldChar w:fldCharType="begin"/>
      </w:r>
      <w:r>
        <w:instrText xml:space="preserve"> PAGEREF AUTO_2016_169 \h </w:instrText>
      </w:r>
      <w:r>
        <w:fldChar w:fldCharType="separate"/>
      </w:r>
      <w:r w:rsidR="006227CF">
        <w:rPr>
          <w:noProof/>
        </w:rPr>
        <w:t>2513</w:t>
      </w:r>
      <w:r>
        <w:fldChar w:fldCharType="end"/>
      </w:r>
    </w:p>
    <w:p w:rsidR="00354D72" w:rsidRDefault="00354D72" w:rsidP="00354D72"/>
    <w:p w:rsidR="00354D72" w:rsidRDefault="00354D72" w:rsidP="00354D72">
      <w:pPr>
        <w:pStyle w:val="EntradandiceAuto"/>
      </w:pPr>
      <w:r>
        <w:t>Pleno. Auto 170/2016, de 6 de octubre de 2016. Estima el incidente de ejecución de la Sentencia 259/2015, de 2 de diciembre, y el Auto 141/2016, de 19 de julio, promovido por el Gobierno de la Nación, en relación con una resolución dictada por el Parlamento de Cataluña.</w:t>
      </w:r>
      <w:r>
        <w:tab/>
      </w:r>
      <w:r>
        <w:tab/>
      </w:r>
      <w:r>
        <w:fldChar w:fldCharType="begin"/>
      </w:r>
      <w:r>
        <w:instrText xml:space="preserve"> PAGEREF AUTO_2016_170 \h </w:instrText>
      </w:r>
      <w:r>
        <w:fldChar w:fldCharType="separate"/>
      </w:r>
      <w:r w:rsidR="006227CF">
        <w:rPr>
          <w:noProof/>
        </w:rPr>
        <w:t>2520</w:t>
      </w:r>
      <w:r>
        <w:fldChar w:fldCharType="end"/>
      </w:r>
    </w:p>
    <w:p w:rsidR="00354D72" w:rsidRDefault="00354D72" w:rsidP="00354D72"/>
    <w:p w:rsidR="00354D72" w:rsidRDefault="00354D72" w:rsidP="00354D72">
      <w:pPr>
        <w:pStyle w:val="EntradandiceAuto"/>
      </w:pPr>
      <w:r>
        <w:t>Pleno. Auto 171/2016, de 6 de octubre de 2016. Levanta la suspensión en el recurso de inconstitucionalidad 1941-2016, interpuesto por el Presidente del Gobierno en relación con diversos preceptos de la Ley del Parlamento Vasco 6/2015, de 30 de junio, de medidas adicionales de protección medioambientales para la extracción de hidrocarburos no convencionales y la fractura hidráulica o fracking.</w:t>
      </w:r>
      <w:r>
        <w:tab/>
      </w:r>
      <w:r>
        <w:tab/>
      </w:r>
      <w:r>
        <w:fldChar w:fldCharType="begin"/>
      </w:r>
      <w:r>
        <w:instrText xml:space="preserve"> PAGEREF AUTO_2016_171 \h </w:instrText>
      </w:r>
      <w:r>
        <w:fldChar w:fldCharType="separate"/>
      </w:r>
      <w:r w:rsidR="006227CF">
        <w:rPr>
          <w:noProof/>
        </w:rPr>
        <w:t>2560</w:t>
      </w:r>
      <w:r>
        <w:fldChar w:fldCharType="end"/>
      </w:r>
    </w:p>
    <w:p w:rsidR="00354D72" w:rsidRDefault="00354D72" w:rsidP="00354D72"/>
    <w:p w:rsidR="00354D72" w:rsidRDefault="00354D72" w:rsidP="00354D72">
      <w:pPr>
        <w:pStyle w:val="EntradandiceAuto"/>
      </w:pPr>
      <w:r>
        <w:t>Sección Tercera. Auto 172/2016, de 7 de octubre de 2016. Acuerda el desistimiento en el recurso de amparo 2282-2016, promovido en causa penal.</w:t>
      </w:r>
      <w:r>
        <w:tab/>
      </w:r>
      <w:r>
        <w:tab/>
      </w:r>
      <w:r>
        <w:fldChar w:fldCharType="begin"/>
      </w:r>
      <w:r>
        <w:instrText xml:space="preserve"> PAGEREF AUTO_2016_172 \h </w:instrText>
      </w:r>
      <w:r>
        <w:fldChar w:fldCharType="separate"/>
      </w:r>
      <w:r w:rsidR="006227CF">
        <w:rPr>
          <w:noProof/>
        </w:rPr>
        <w:t>2567</w:t>
      </w:r>
      <w:r>
        <w:fldChar w:fldCharType="end"/>
      </w:r>
    </w:p>
    <w:p w:rsidR="00354D72" w:rsidRDefault="00354D72" w:rsidP="00354D72"/>
    <w:p w:rsidR="00354D72" w:rsidRDefault="00354D72" w:rsidP="00354D72">
      <w:pPr>
        <w:pStyle w:val="EntradandiceAuto"/>
      </w:pPr>
      <w:r>
        <w:t>Sala Primera. Auto 173/2016, de 17 de octubre de 2016. Deniega la suspensión en el recurso de amparo 1821-2016, promovido por la federación regional de servicios de la Unión General de Trabajadores en Madrid (FES-UGT) en proceso parlamentario.</w:t>
      </w:r>
      <w:r>
        <w:tab/>
      </w:r>
      <w:r>
        <w:tab/>
      </w:r>
      <w:r>
        <w:fldChar w:fldCharType="begin"/>
      </w:r>
      <w:r>
        <w:instrText xml:space="preserve"> PAGEREF AUTO_2016_173 \h </w:instrText>
      </w:r>
      <w:r>
        <w:fldChar w:fldCharType="separate"/>
      </w:r>
      <w:r w:rsidR="006227CF">
        <w:rPr>
          <w:noProof/>
        </w:rPr>
        <w:t>2568</w:t>
      </w:r>
      <w:r>
        <w:fldChar w:fldCharType="end"/>
      </w:r>
    </w:p>
    <w:p w:rsidR="00354D72" w:rsidRDefault="00354D72" w:rsidP="00354D72"/>
    <w:p w:rsidR="00354D72" w:rsidRDefault="00354D72" w:rsidP="00354D72">
      <w:pPr>
        <w:pStyle w:val="EntradandiceAuto"/>
      </w:pPr>
      <w:r>
        <w:t>Sala Segunda. Auto 174/2016, de 17 de octubre de 2016. Acuerda la suspensión en el recurso de amparo 1881-2016, promovido por don Jean-Pierre Ollivier en pleito civil.</w:t>
      </w:r>
      <w:r>
        <w:tab/>
      </w:r>
      <w:r>
        <w:tab/>
      </w:r>
      <w:r>
        <w:fldChar w:fldCharType="begin"/>
      </w:r>
      <w:r>
        <w:instrText xml:space="preserve"> PAGEREF AUTO_2016_174 \h </w:instrText>
      </w:r>
      <w:r>
        <w:fldChar w:fldCharType="separate"/>
      </w:r>
      <w:r w:rsidR="006227CF">
        <w:rPr>
          <w:noProof/>
        </w:rPr>
        <w:t>2570</w:t>
      </w:r>
      <w:r>
        <w:fldChar w:fldCharType="end"/>
      </w:r>
    </w:p>
    <w:p w:rsidR="00354D72" w:rsidRDefault="00354D72" w:rsidP="00354D72"/>
    <w:p w:rsidR="00354D72" w:rsidRDefault="00354D72" w:rsidP="00354D72">
      <w:pPr>
        <w:pStyle w:val="EntradandiceAuto"/>
      </w:pPr>
      <w:r>
        <w:t>Pleno. Auto 175/2016, de 18 de octubre de 2016. Declara extinguido, por desaparición sobrevenida de su objeto, el recurso de inconstitucionalidad 4948-2013, interpuesto por el Gobierno de Aragón en relación con los artículos 2 e) y 7 de la Ley 10/2012, de 20 de noviembre, por la que se regulan determinadas tasas en el ámbito de la Administración de Justicia y del Instituto Nacional de Toxicología y Ciencias Forenses.</w:t>
      </w:r>
      <w:r>
        <w:tab/>
      </w:r>
      <w:r>
        <w:tab/>
      </w:r>
      <w:r>
        <w:fldChar w:fldCharType="begin"/>
      </w:r>
      <w:r>
        <w:instrText xml:space="preserve"> PAGEREF AUTO_2016_175 \h </w:instrText>
      </w:r>
      <w:r>
        <w:fldChar w:fldCharType="separate"/>
      </w:r>
      <w:r w:rsidR="006227CF">
        <w:rPr>
          <w:noProof/>
        </w:rPr>
        <w:t>2574</w:t>
      </w:r>
      <w:r>
        <w:fldChar w:fldCharType="end"/>
      </w:r>
    </w:p>
    <w:p w:rsidR="00354D72" w:rsidRDefault="00354D72" w:rsidP="00354D72"/>
    <w:p w:rsidR="00354D72" w:rsidRDefault="00354D72" w:rsidP="00354D72">
      <w:pPr>
        <w:pStyle w:val="EntradandiceAuto"/>
      </w:pPr>
      <w:r>
        <w:t>Pleno. Auto 176/2016, de 18 de octubre de 2016. Inadmite a trámite la cuestión de inconstitucionalidad 2394-2016, planteada por la Sección Primera de la Sala de lo Contencioso-Administrativo del Tribunal Superior de Justicia de Galicia en relación con el artículo 30 del texto refundido de la Ley de función pública de Galicia, en la redacción dada al mismo por el artículo 21 de la Ley 15/2010, de 28 de diciembre, de medidas fiscales y administrativas.</w:t>
      </w:r>
      <w:r>
        <w:tab/>
      </w:r>
      <w:r>
        <w:tab/>
      </w:r>
      <w:r>
        <w:fldChar w:fldCharType="begin"/>
      </w:r>
      <w:r>
        <w:instrText xml:space="preserve"> PAGEREF AUTO_2016_176 \h </w:instrText>
      </w:r>
      <w:r>
        <w:fldChar w:fldCharType="separate"/>
      </w:r>
      <w:r w:rsidR="006227CF">
        <w:rPr>
          <w:noProof/>
        </w:rPr>
        <w:t>2580</w:t>
      </w:r>
      <w:r>
        <w:fldChar w:fldCharType="end"/>
      </w:r>
    </w:p>
    <w:p w:rsidR="00354D72" w:rsidRDefault="00354D72" w:rsidP="00354D72"/>
    <w:p w:rsidR="00354D72" w:rsidRDefault="00354D72" w:rsidP="00354D72">
      <w:pPr>
        <w:pStyle w:val="EntradandiceAuto"/>
      </w:pPr>
      <w:r>
        <w:t>Sección Primera. Auto 177/2016, de 26 de octubre de 2016. Desestima el recurso de súplica del Ministerio Fiscal sobre inadmisión del recurso de amparo 2450-2016, promovido por don Martín Eliseo Rodríguez Bernal en proceso contencioso-administrativo.</w:t>
      </w:r>
      <w:r>
        <w:tab/>
      </w:r>
      <w:r>
        <w:tab/>
      </w:r>
      <w:r>
        <w:fldChar w:fldCharType="begin"/>
      </w:r>
      <w:r>
        <w:instrText xml:space="preserve"> PAGEREF AUTO_2016_177 \h </w:instrText>
      </w:r>
      <w:r>
        <w:fldChar w:fldCharType="separate"/>
      </w:r>
      <w:r w:rsidR="006227CF">
        <w:rPr>
          <w:noProof/>
        </w:rPr>
        <w:t>2591</w:t>
      </w:r>
      <w:r>
        <w:fldChar w:fldCharType="end"/>
      </w:r>
    </w:p>
    <w:p w:rsidR="00354D72" w:rsidRDefault="00354D72" w:rsidP="00354D72"/>
    <w:p w:rsidR="00354D72" w:rsidRDefault="00354D72" w:rsidP="00354D72">
      <w:pPr>
        <w:pStyle w:val="EntradandiceAuto"/>
      </w:pPr>
      <w:r>
        <w:t>Sección Primera. Auto 178/2016, de 28 de octubre de 2016. Acepta una abstención en el recurso de amparo 4134-2016, promovido por don Juan José Bacallado Ucelay y otras personas en pleito civil.</w:t>
      </w:r>
      <w:r>
        <w:tab/>
      </w:r>
      <w:r>
        <w:tab/>
      </w:r>
      <w:r>
        <w:fldChar w:fldCharType="begin"/>
      </w:r>
      <w:r>
        <w:instrText xml:space="preserve"> PAGEREF AUTO_2016_178 \h </w:instrText>
      </w:r>
      <w:r>
        <w:fldChar w:fldCharType="separate"/>
      </w:r>
      <w:r w:rsidR="006227CF">
        <w:rPr>
          <w:noProof/>
        </w:rPr>
        <w:t>2597</w:t>
      </w:r>
      <w:r>
        <w:fldChar w:fldCharType="end"/>
      </w:r>
    </w:p>
    <w:p w:rsidR="00354D72" w:rsidRDefault="00354D72" w:rsidP="00354D72"/>
    <w:p w:rsidR="00354D72" w:rsidRDefault="00354D72" w:rsidP="00354D72">
      <w:pPr>
        <w:pStyle w:val="EntradandiceAuto"/>
      </w:pPr>
      <w:r>
        <w:t>Pleno. Auto 179/2016, de 2 de noviembre de 2016. Acuerda la extinción, por desaparición sobrevenida de objeto, del recurso de inconstitucionalidad 995-2013, interpuesto por el Gobierno de la Generalitat de Cataluña en relación con diversos preceptos de la Ley 10/2012, de 20 de noviembre, por la que se regulan determinadas tasas en el ámbito de la Administración de Justicia y del Instituto Nacional de Toxicología y Ciencias Forenses.</w:t>
      </w:r>
      <w:r>
        <w:tab/>
      </w:r>
      <w:r>
        <w:tab/>
      </w:r>
      <w:r>
        <w:fldChar w:fldCharType="begin"/>
      </w:r>
      <w:r>
        <w:instrText xml:space="preserve"> PAGEREF AUTO_2016_179 \h </w:instrText>
      </w:r>
      <w:r>
        <w:fldChar w:fldCharType="separate"/>
      </w:r>
      <w:r w:rsidR="006227CF">
        <w:rPr>
          <w:noProof/>
        </w:rPr>
        <w:t>2599</w:t>
      </w:r>
      <w:r>
        <w:fldChar w:fldCharType="end"/>
      </w:r>
    </w:p>
    <w:p w:rsidR="00354D72" w:rsidRDefault="00354D72" w:rsidP="00354D72"/>
    <w:p w:rsidR="00354D72" w:rsidRDefault="00354D72" w:rsidP="00354D72">
      <w:pPr>
        <w:pStyle w:val="EntradandiceAuto"/>
      </w:pPr>
      <w:r>
        <w:t>Pleno. Auto 180/2016, de 2 de noviembre de 2016. Inadmite a trámite la cuestión de inconstitucionalidad 3941-2016, planteada por el Juzgado de lo Contencioso-Administrativo núm. 1 de Zaragoza en relación con la disposición transitoria cuadragésima primera de la Ley Orgánica 6/1985, de 1 de julio, del Poder Judicial.</w:t>
      </w:r>
      <w:r>
        <w:tab/>
      </w:r>
      <w:r>
        <w:tab/>
      </w:r>
      <w:r>
        <w:fldChar w:fldCharType="begin"/>
      </w:r>
      <w:r>
        <w:instrText xml:space="preserve"> PAGEREF AUTO_2016_180 \h </w:instrText>
      </w:r>
      <w:r>
        <w:fldChar w:fldCharType="separate"/>
      </w:r>
      <w:r w:rsidR="006227CF">
        <w:rPr>
          <w:noProof/>
        </w:rPr>
        <w:t>2613</w:t>
      </w:r>
      <w:r>
        <w:fldChar w:fldCharType="end"/>
      </w:r>
    </w:p>
    <w:p w:rsidR="00354D72" w:rsidRDefault="00354D72" w:rsidP="00354D72"/>
    <w:p w:rsidR="00354D72" w:rsidRDefault="00354D72" w:rsidP="00354D72">
      <w:pPr>
        <w:pStyle w:val="EntradandiceAuto"/>
      </w:pPr>
      <w:r>
        <w:t>Sección Tercera. Auto 181/2016, de 4 de noviembre de 2016. Estima el recurso de súplica del Ministerio Fiscal sobre inadmisión del recurso de amparo 5299-2015, promovido por doña Paulina Goicoechea Errazquin y otras cuatro personas en proceso contencioso-administrativo.</w:t>
      </w:r>
      <w:r>
        <w:tab/>
      </w:r>
      <w:r>
        <w:tab/>
      </w:r>
      <w:r>
        <w:fldChar w:fldCharType="begin"/>
      </w:r>
      <w:r>
        <w:instrText xml:space="preserve"> PAGEREF AUTO_2016_181 \h </w:instrText>
      </w:r>
      <w:r>
        <w:fldChar w:fldCharType="separate"/>
      </w:r>
      <w:r w:rsidR="006227CF">
        <w:rPr>
          <w:noProof/>
        </w:rPr>
        <w:t>2622</w:t>
      </w:r>
      <w:r>
        <w:fldChar w:fldCharType="end"/>
      </w:r>
    </w:p>
    <w:p w:rsidR="00354D72" w:rsidRDefault="00354D72" w:rsidP="00354D72"/>
    <w:p w:rsidR="00354D72" w:rsidRDefault="00354D72" w:rsidP="00354D72">
      <w:pPr>
        <w:pStyle w:val="EntradandiceAuto"/>
      </w:pPr>
      <w:r>
        <w:t>Pleno. Auto 182/2016, de 15 de noviembre de 2016. Inadmite a trámite la cuestión de inconstitucionalidad 2110-2016, planteada por el Juzgado de lo Penal núm. 2 de Girona en relación con el artículo 16.3 de la Ley del Parlamento de Cataluña 17/2000, de 28 de diciembre, de equipamientos comerciales.</w:t>
      </w:r>
      <w:r>
        <w:tab/>
      </w:r>
      <w:r>
        <w:tab/>
      </w:r>
      <w:r>
        <w:fldChar w:fldCharType="begin"/>
      </w:r>
      <w:r>
        <w:instrText xml:space="preserve"> PAGEREF AUTO_2016_182 \h </w:instrText>
      </w:r>
      <w:r>
        <w:fldChar w:fldCharType="separate"/>
      </w:r>
      <w:r w:rsidR="006227CF">
        <w:rPr>
          <w:noProof/>
        </w:rPr>
        <w:t>2625</w:t>
      </w:r>
      <w:r>
        <w:fldChar w:fldCharType="end"/>
      </w:r>
    </w:p>
    <w:p w:rsidR="00354D72" w:rsidRDefault="00354D72" w:rsidP="00354D72"/>
    <w:p w:rsidR="00354D72" w:rsidRDefault="00354D72" w:rsidP="00354D72">
      <w:pPr>
        <w:pStyle w:val="EntradandiceAuto"/>
      </w:pPr>
      <w:r>
        <w:t>Pleno. Auto 183/2016, de 15 de noviembre de 2016. Inadmite a trámite la cuestión de inconstitucionalidad 3662-2016, planteada por la Sala de lo Contencioso-Administrativo del Tribunal Superior de Justicia de Castilla-La Mancha en relación con los capítulos I y II de la Ley 9/2011, de 21 de marzo, por la que se crean el canon eólico y el fondo para el desarrollo tecnológico de las energías renovables y el uso racional de la energía en Castilla-La Mancha.</w:t>
      </w:r>
      <w:r>
        <w:tab/>
      </w:r>
      <w:r>
        <w:tab/>
      </w:r>
      <w:r>
        <w:fldChar w:fldCharType="begin"/>
      </w:r>
      <w:r>
        <w:instrText xml:space="preserve"> PAGEREF AUTO_2016_183 \h </w:instrText>
      </w:r>
      <w:r>
        <w:fldChar w:fldCharType="separate"/>
      </w:r>
      <w:r w:rsidR="006227CF">
        <w:rPr>
          <w:noProof/>
        </w:rPr>
        <w:t>2635</w:t>
      </w:r>
      <w:r>
        <w:fldChar w:fldCharType="end"/>
      </w:r>
    </w:p>
    <w:p w:rsidR="00354D72" w:rsidRDefault="00354D72" w:rsidP="00354D72"/>
    <w:p w:rsidR="00354D72" w:rsidRDefault="00354D72" w:rsidP="00354D72">
      <w:pPr>
        <w:pStyle w:val="EntradandiceAuto"/>
      </w:pPr>
      <w:r>
        <w:t>Pleno. Auto 184/2016, de 15 de noviembre de 2016. Inadmite a trámite la cuestión de inconstitucionalidad 3724-2016, planteada por la Sala de lo Social del Tribunal Superior de Justicia de Madrid en relación con la disposición adicional decimosexta, apartado 4 de la Ley 27/2011, de 1 de agosto, sobre actualización, adecuación y modernización del sistema de Seguridad Social.</w:t>
      </w:r>
      <w:r>
        <w:tab/>
      </w:r>
      <w:r>
        <w:tab/>
      </w:r>
      <w:r>
        <w:fldChar w:fldCharType="begin"/>
      </w:r>
      <w:r>
        <w:instrText xml:space="preserve"> PAGEREF AUTO_2016_184 \h </w:instrText>
      </w:r>
      <w:r>
        <w:fldChar w:fldCharType="separate"/>
      </w:r>
      <w:r w:rsidR="006227CF">
        <w:rPr>
          <w:noProof/>
        </w:rPr>
        <w:t>2652</w:t>
      </w:r>
      <w:r>
        <w:fldChar w:fldCharType="end"/>
      </w:r>
    </w:p>
    <w:p w:rsidR="00354D72" w:rsidRDefault="00354D72" w:rsidP="00354D72"/>
    <w:p w:rsidR="00354D72" w:rsidRDefault="00354D72" w:rsidP="00354D72">
      <w:pPr>
        <w:pStyle w:val="EntradandiceAuto"/>
      </w:pPr>
      <w:r>
        <w:t>Pleno. Auto 185/2016, de 15 de noviembre de 2016. Inadmite a trámite la cuestión de inconstitucionalidad 3788-2016, planteada por la Sala de lo Contencioso-Administrativo del Tribunal Superior de Justicia de Castilla-La Mancha en relación con los capítulos I y II de la Ley 9/2011, de 21 de marzo, por la que se crean el canon eólico y el fondo para el desarrollo tecnológico de las energías renovables y el uso racional de la energía en Castilla-La Mancha.</w:t>
      </w:r>
      <w:r>
        <w:tab/>
      </w:r>
      <w:r>
        <w:tab/>
      </w:r>
      <w:r>
        <w:fldChar w:fldCharType="begin"/>
      </w:r>
      <w:r>
        <w:instrText xml:space="preserve"> PAGEREF AUTO_2016_185 \h </w:instrText>
      </w:r>
      <w:r>
        <w:fldChar w:fldCharType="separate"/>
      </w:r>
      <w:r w:rsidR="006227CF">
        <w:rPr>
          <w:noProof/>
        </w:rPr>
        <w:t>2660</w:t>
      </w:r>
      <w:r>
        <w:fldChar w:fldCharType="end"/>
      </w:r>
    </w:p>
    <w:p w:rsidR="00354D72" w:rsidRDefault="00354D72" w:rsidP="00354D72"/>
    <w:p w:rsidR="00354D72" w:rsidRDefault="00354D72" w:rsidP="00354D72">
      <w:pPr>
        <w:pStyle w:val="EntradandiceAuto"/>
      </w:pPr>
      <w:r>
        <w:t>Pleno. Auto 186/2016, de 15 de noviembre de 2016. Inadmite a trámite la cuestión de inconstitucionalidad 4623-2016, planteada por el Tribunal Superior de Justicia de Castilla-La Mancha en relación con el artículo 47.1 b) del Real Decreto Legislativo 5/2000, de 4 de agosto, por el que se aprueba el texto refundido de la Ley sobre infracciones y sanciones en el orden social.</w:t>
      </w:r>
      <w:r>
        <w:tab/>
      </w:r>
      <w:r>
        <w:tab/>
      </w:r>
      <w:r>
        <w:fldChar w:fldCharType="begin"/>
      </w:r>
      <w:r>
        <w:instrText xml:space="preserve"> PAGEREF AUTO_2016_186 \h </w:instrText>
      </w:r>
      <w:r>
        <w:fldChar w:fldCharType="separate"/>
      </w:r>
      <w:r w:rsidR="006227CF">
        <w:rPr>
          <w:noProof/>
        </w:rPr>
        <w:t>2677</w:t>
      </w:r>
      <w:r>
        <w:fldChar w:fldCharType="end"/>
      </w:r>
    </w:p>
    <w:p w:rsidR="00354D72" w:rsidRDefault="00354D72" w:rsidP="00354D72"/>
    <w:p w:rsidR="00354D72" w:rsidRDefault="00354D72" w:rsidP="00354D72">
      <w:pPr>
        <w:pStyle w:val="EntradandiceAuto"/>
      </w:pPr>
      <w:r>
        <w:t>Pleno. Auto 187/2016, de 15 de noviembre de 2016. Inadmite a trámite la cuestión de inconstitucionalidad 4766-2016, planteada por el Juzgado de lo Social núm. 3 de Barcelona en relación con el artículo 47.1 b) del Real Decreto Legislativo 5/2000, de 4 de agosto, por el que se aprueba el texto refundido de la Ley sobre infracciones y sanciones en el orden social.</w:t>
      </w:r>
      <w:r>
        <w:tab/>
      </w:r>
      <w:r>
        <w:tab/>
      </w:r>
      <w:r>
        <w:fldChar w:fldCharType="begin"/>
      </w:r>
      <w:r>
        <w:instrText xml:space="preserve"> PAGEREF AUTO_2016_187 \h </w:instrText>
      </w:r>
      <w:r>
        <w:fldChar w:fldCharType="separate"/>
      </w:r>
      <w:r w:rsidR="006227CF">
        <w:rPr>
          <w:noProof/>
        </w:rPr>
        <w:t>2687</w:t>
      </w:r>
      <w:r>
        <w:fldChar w:fldCharType="end"/>
      </w:r>
    </w:p>
    <w:p w:rsidR="00354D72" w:rsidRDefault="00354D72" w:rsidP="00354D72"/>
    <w:p w:rsidR="00354D72" w:rsidRDefault="00354D72" w:rsidP="00354D72">
      <w:pPr>
        <w:pStyle w:val="EntradandiceAuto"/>
      </w:pPr>
      <w:r>
        <w:t>Sección Cuarta. Auto 188/2016, de 18 de noviembre de 2016. Acuerda el desistimiento en el recurso de amparo 3290-2016, promovido en pleito civil.</w:t>
      </w:r>
      <w:r>
        <w:tab/>
      </w:r>
      <w:r>
        <w:tab/>
      </w:r>
      <w:r>
        <w:fldChar w:fldCharType="begin"/>
      </w:r>
      <w:r>
        <w:instrText xml:space="preserve"> PAGEREF AUTO_2016_188 \h </w:instrText>
      </w:r>
      <w:r>
        <w:fldChar w:fldCharType="separate"/>
      </w:r>
      <w:r w:rsidR="006227CF">
        <w:rPr>
          <w:noProof/>
        </w:rPr>
        <w:t>2699</w:t>
      </w:r>
      <w:r>
        <w:fldChar w:fldCharType="end"/>
      </w:r>
    </w:p>
    <w:p w:rsidR="00354D72" w:rsidRDefault="00354D72" w:rsidP="00354D72"/>
    <w:p w:rsidR="00354D72" w:rsidRDefault="00354D72" w:rsidP="00354D72">
      <w:pPr>
        <w:pStyle w:val="EntradandiceAuto"/>
      </w:pPr>
      <w:r>
        <w:t>Sección Primera. Auto 189/2016, de 24 de noviembre de 2016. Se declara incompetente para enjuiciar la impugnación de una resolución de la Comisión Central de Asistencia Jurídica Gratuita formulada por don Ángel Irún Cañizares en el recurso de amparo 3921-2015.</w:t>
      </w:r>
      <w:r>
        <w:tab/>
      </w:r>
      <w:r>
        <w:tab/>
      </w:r>
      <w:r>
        <w:fldChar w:fldCharType="begin"/>
      </w:r>
      <w:r>
        <w:instrText xml:space="preserve"> PAGEREF AUTO_2016_189 \h </w:instrText>
      </w:r>
      <w:r>
        <w:fldChar w:fldCharType="separate"/>
      </w:r>
      <w:r w:rsidR="006227CF">
        <w:rPr>
          <w:noProof/>
        </w:rPr>
        <w:t>2700</w:t>
      </w:r>
      <w:r>
        <w:fldChar w:fldCharType="end"/>
      </w:r>
    </w:p>
    <w:p w:rsidR="00354D72" w:rsidRDefault="00354D72" w:rsidP="00354D72"/>
    <w:p w:rsidR="00354D72" w:rsidRDefault="00354D72" w:rsidP="00354D72">
      <w:pPr>
        <w:pStyle w:val="EntradandiceAuto"/>
      </w:pPr>
      <w:r>
        <w:t>Sección Cuarta. Auto 190/2016, de 4 de noviembre de 2016. Acuerda el desistimiento en el recurso de amparo 3600-2016, promovido en proceso contencioso-administrativo.</w:t>
      </w:r>
      <w:r>
        <w:tab/>
      </w:r>
      <w:r>
        <w:tab/>
      </w:r>
      <w:r>
        <w:fldChar w:fldCharType="begin"/>
      </w:r>
      <w:r>
        <w:instrText xml:space="preserve"> PAGEREF AUTO_2016_190 \h </w:instrText>
      </w:r>
      <w:r>
        <w:fldChar w:fldCharType="separate"/>
      </w:r>
      <w:r w:rsidR="006227CF">
        <w:rPr>
          <w:noProof/>
        </w:rPr>
        <w:t>2706</w:t>
      </w:r>
      <w:r>
        <w:fldChar w:fldCharType="end"/>
      </w:r>
    </w:p>
    <w:p w:rsidR="00354D72" w:rsidRDefault="00354D72" w:rsidP="00354D72"/>
    <w:p w:rsidR="00354D72" w:rsidRDefault="00354D72" w:rsidP="00354D72">
      <w:pPr>
        <w:pStyle w:val="EntradandiceAuto"/>
      </w:pPr>
      <w:r>
        <w:t>Sección Cuarta. Auto 191/2016, de 25 de noviembre de 2016. Acepta una abstención en el recurso de amparo 3680-2016, promovido por doña María Jesús Moya Martínez en proceso contencioso-administrativo.</w:t>
      </w:r>
      <w:r>
        <w:tab/>
      </w:r>
      <w:r>
        <w:tab/>
      </w:r>
      <w:r>
        <w:fldChar w:fldCharType="begin"/>
      </w:r>
      <w:r>
        <w:instrText xml:space="preserve"> PAGEREF AUTO_2016_191 \h </w:instrText>
      </w:r>
      <w:r>
        <w:fldChar w:fldCharType="separate"/>
      </w:r>
      <w:r w:rsidR="006227CF">
        <w:rPr>
          <w:noProof/>
        </w:rPr>
        <w:t>2707</w:t>
      </w:r>
      <w:r>
        <w:fldChar w:fldCharType="end"/>
      </w:r>
    </w:p>
    <w:p w:rsidR="00354D72" w:rsidRDefault="00354D72" w:rsidP="00354D72"/>
    <w:p w:rsidR="00354D72" w:rsidRDefault="00354D72" w:rsidP="00354D72">
      <w:pPr>
        <w:pStyle w:val="EntradandiceAuto"/>
      </w:pPr>
      <w:r>
        <w:t>Sección Tercera. Auto 192/2016, de 28 de noviembre de 2016. Estima el recurso de súplica del Ministerio Fiscal sobre inadmisión del recurso de amparo 5297-2015, promovido por doña María Izaskunen Ugarte Begoña y dos personas más en proceso contencioso-administrativo.</w:t>
      </w:r>
      <w:r>
        <w:tab/>
      </w:r>
      <w:r>
        <w:tab/>
      </w:r>
      <w:r>
        <w:fldChar w:fldCharType="begin"/>
      </w:r>
      <w:r>
        <w:instrText xml:space="preserve"> PAGEREF AUTO_2016_192 \h </w:instrText>
      </w:r>
      <w:r>
        <w:fldChar w:fldCharType="separate"/>
      </w:r>
      <w:r w:rsidR="006227CF">
        <w:rPr>
          <w:noProof/>
        </w:rPr>
        <w:t>2709</w:t>
      </w:r>
      <w:r>
        <w:fldChar w:fldCharType="end"/>
      </w:r>
    </w:p>
    <w:p w:rsidR="00354D72" w:rsidRDefault="00354D72" w:rsidP="00354D72"/>
    <w:p w:rsidR="00354D72" w:rsidRDefault="00354D72" w:rsidP="00354D72">
      <w:pPr>
        <w:pStyle w:val="EntradandiceAuto"/>
      </w:pPr>
      <w:r>
        <w:t>Sala Segunda. Auto 193/2016, de 28 de noviembre de 2016. Acuerda la extinción, por desaparición sobrevenida de objeto, de la cuestión de inconstitucionalidad 6987-2015, planteada por el Juzgado de Primera Instancia núm. 8 de A Coruña en relación con los artículos 2 e) y 7.1 y 2 de la Ley 10/2012, de 20 de noviembre, por la que se regulan determinadas tasas en el ámbito de la Administración de Justicia y del Instituto Nacional de Toxicología y Ciencias Forenses.</w:t>
      </w:r>
      <w:r>
        <w:tab/>
      </w:r>
      <w:r>
        <w:tab/>
      </w:r>
      <w:r>
        <w:fldChar w:fldCharType="begin"/>
      </w:r>
      <w:r>
        <w:instrText xml:space="preserve"> PAGEREF AUTO_2016_193 \h </w:instrText>
      </w:r>
      <w:r>
        <w:fldChar w:fldCharType="separate"/>
      </w:r>
      <w:r w:rsidR="006227CF">
        <w:rPr>
          <w:noProof/>
        </w:rPr>
        <w:t>2711</w:t>
      </w:r>
      <w:r>
        <w:fldChar w:fldCharType="end"/>
      </w:r>
    </w:p>
    <w:p w:rsidR="00354D72" w:rsidRDefault="00354D72" w:rsidP="00354D72"/>
    <w:p w:rsidR="00354D72" w:rsidRDefault="00354D72" w:rsidP="00354D72">
      <w:pPr>
        <w:pStyle w:val="EntradandiceAuto"/>
      </w:pPr>
      <w:r>
        <w:t>Sala Segunda. Auto 194/2016, de 28 de noviembre de 2016. Deniega la suspensión en el recurso de amparo 351-2016, promovido por doña Rosa Ehrlich Romero en pleito civil.</w:t>
      </w:r>
      <w:r>
        <w:tab/>
      </w:r>
      <w:r>
        <w:tab/>
      </w:r>
      <w:r>
        <w:fldChar w:fldCharType="begin"/>
      </w:r>
      <w:r>
        <w:instrText xml:space="preserve"> PAGEREF AUTO_2016_194 \h </w:instrText>
      </w:r>
      <w:r>
        <w:fldChar w:fldCharType="separate"/>
      </w:r>
      <w:r w:rsidR="006227CF">
        <w:rPr>
          <w:noProof/>
        </w:rPr>
        <w:t>2722</w:t>
      </w:r>
      <w:r>
        <w:fldChar w:fldCharType="end"/>
      </w:r>
    </w:p>
    <w:p w:rsidR="00354D72" w:rsidRDefault="00354D72" w:rsidP="00354D72"/>
    <w:p w:rsidR="00354D72" w:rsidRDefault="00354D72" w:rsidP="00354D72">
      <w:pPr>
        <w:pStyle w:val="EntradandiceAuto"/>
      </w:pPr>
      <w:r>
        <w:t>Sala Primera. Auto 195/2016, de 28 de noviembre de 2016. Deniega la suspensión en el recurso de amparo 1659-2016, promovido por don Ignacio Agorria Ortiz de Zárate y otras personas en causa penal.</w:t>
      </w:r>
      <w:r>
        <w:tab/>
      </w:r>
      <w:r>
        <w:tab/>
      </w:r>
      <w:r>
        <w:fldChar w:fldCharType="begin"/>
      </w:r>
      <w:r>
        <w:instrText xml:space="preserve"> PAGEREF AUTO_2016_195 \h </w:instrText>
      </w:r>
      <w:r>
        <w:fldChar w:fldCharType="separate"/>
      </w:r>
      <w:r w:rsidR="006227CF">
        <w:rPr>
          <w:noProof/>
        </w:rPr>
        <w:t>2726</w:t>
      </w:r>
      <w:r>
        <w:fldChar w:fldCharType="end"/>
      </w:r>
    </w:p>
    <w:p w:rsidR="00354D72" w:rsidRDefault="00354D72" w:rsidP="00354D72"/>
    <w:p w:rsidR="00354D72" w:rsidRDefault="00354D72" w:rsidP="00354D72">
      <w:pPr>
        <w:pStyle w:val="EntradandiceAuto"/>
      </w:pPr>
      <w:r>
        <w:t>Sección Tercera. Auto 196/2016, de 28 de noviembre de 2016. Desestima el recurso de súplica del Ministerio Fiscal sobre inadmisión del recurso de amparo 2415-2016, promovido por don José Manuel G.G., y doña María do Mar C.V., en pleito civil. Voto particular.</w:t>
      </w:r>
      <w:r>
        <w:tab/>
      </w:r>
      <w:r>
        <w:tab/>
      </w:r>
      <w:r>
        <w:fldChar w:fldCharType="begin"/>
      </w:r>
      <w:r>
        <w:instrText xml:space="preserve"> PAGEREF AUTO_2016_196 \h </w:instrText>
      </w:r>
      <w:r>
        <w:fldChar w:fldCharType="separate"/>
      </w:r>
      <w:r w:rsidR="006227CF">
        <w:rPr>
          <w:noProof/>
        </w:rPr>
        <w:t>2729</w:t>
      </w:r>
      <w:r>
        <w:fldChar w:fldCharType="end"/>
      </w:r>
    </w:p>
    <w:p w:rsidR="00354D72" w:rsidRDefault="00354D72" w:rsidP="00354D72"/>
    <w:p w:rsidR="00354D72" w:rsidRDefault="00354D72" w:rsidP="00354D72">
      <w:pPr>
        <w:pStyle w:val="EntradandiceAuto"/>
      </w:pPr>
      <w:r>
        <w:t>Pleno. Auto 197/2016, de 29 de noviembre de 2016. Inadmite a trámite la cuestión de inconstitucionalidad 4264-2016, planteada por el Juzgado de lo Contencioso-Administrativo núm. 4 de Madrid en relación con el artículo 30.4 de la Ley de la Asamblea de Madrid 5/2002, de 27 de junio, sobre drogodependencias y otros trastornos adictivos.</w:t>
      </w:r>
      <w:r>
        <w:tab/>
      </w:r>
      <w:r>
        <w:tab/>
      </w:r>
      <w:r>
        <w:fldChar w:fldCharType="begin"/>
      </w:r>
      <w:r>
        <w:instrText xml:space="preserve"> PAGEREF AUTO_2016_197 \h </w:instrText>
      </w:r>
      <w:r>
        <w:fldChar w:fldCharType="separate"/>
      </w:r>
      <w:r w:rsidR="006227CF">
        <w:rPr>
          <w:noProof/>
        </w:rPr>
        <w:t>2748</w:t>
      </w:r>
      <w:r>
        <w:fldChar w:fldCharType="end"/>
      </w:r>
    </w:p>
    <w:p w:rsidR="00354D72" w:rsidRDefault="00354D72" w:rsidP="00354D72"/>
    <w:p w:rsidR="00354D72" w:rsidRDefault="00354D72" w:rsidP="00354D72">
      <w:pPr>
        <w:pStyle w:val="EntradandiceAuto"/>
      </w:pPr>
      <w:r>
        <w:t>Pleno. Auto 198/2016, de 29 de noviembre de 2016. Inadmite a trámite la cuestión de inconstitucionalidad 4542-2016, planteada por el Juzgado de lo Mercantil núm. 2 de Alicante en relación con los artículos 695 y 698 de la Ley 1/2000, de 7 de enero, de enjuiciamiento civil.</w:t>
      </w:r>
      <w:r>
        <w:tab/>
      </w:r>
      <w:r>
        <w:tab/>
      </w:r>
      <w:r>
        <w:fldChar w:fldCharType="begin"/>
      </w:r>
      <w:r>
        <w:instrText xml:space="preserve"> PAGEREF AUTO_2016_198 \h </w:instrText>
      </w:r>
      <w:r>
        <w:fldChar w:fldCharType="separate"/>
      </w:r>
      <w:r w:rsidR="006227CF">
        <w:rPr>
          <w:noProof/>
        </w:rPr>
        <w:t>2761</w:t>
      </w:r>
      <w:r>
        <w:fldChar w:fldCharType="end"/>
      </w:r>
    </w:p>
    <w:p w:rsidR="00354D72" w:rsidRDefault="00354D72" w:rsidP="00354D72"/>
    <w:p w:rsidR="00354D72" w:rsidRDefault="00354D72" w:rsidP="00354D72">
      <w:pPr>
        <w:pStyle w:val="EntradandiceAuto"/>
      </w:pPr>
      <w:r>
        <w:t>Sección Cuarta. Auto 199/2016, de 30 de noviembre de 2016. Estima el recurso de súplica del Ministerio Fiscal sobre inadmisión del recurso de amparo 3414-2016, promovido por don Antero Aybar de Pablo en causa penal.</w:t>
      </w:r>
      <w:r>
        <w:tab/>
      </w:r>
      <w:r>
        <w:tab/>
      </w:r>
      <w:r>
        <w:fldChar w:fldCharType="begin"/>
      </w:r>
      <w:r>
        <w:instrText xml:space="preserve"> PAGEREF AUTO_2016_199 \h </w:instrText>
      </w:r>
      <w:r>
        <w:fldChar w:fldCharType="separate"/>
      </w:r>
      <w:r w:rsidR="006227CF">
        <w:rPr>
          <w:noProof/>
        </w:rPr>
        <w:t>2771</w:t>
      </w:r>
      <w:r>
        <w:fldChar w:fldCharType="end"/>
      </w:r>
    </w:p>
    <w:p w:rsidR="00354D72" w:rsidRDefault="00354D72" w:rsidP="00354D72"/>
    <w:p w:rsidR="00354D72" w:rsidRDefault="00354D72" w:rsidP="00354D72">
      <w:pPr>
        <w:pStyle w:val="EntradandiceAuto"/>
      </w:pPr>
      <w:r>
        <w:t>Pleno. Auto 200/2016, de 1 de diciembre de 2016. Inadmite a trámite la cuestión de inconstitucionalidad 1256-2016, planteada por la Sala de lo Contencioso-Administrativo del Tribunal Superior de Justicia de la Comunidad Valenciana en relación con la disposición transitoria segunda del Estatuto del personal de Les Corts Valencianes de 16 de junio de 2010.</w:t>
      </w:r>
      <w:r>
        <w:tab/>
      </w:r>
      <w:r>
        <w:tab/>
      </w:r>
      <w:r>
        <w:fldChar w:fldCharType="begin"/>
      </w:r>
      <w:r>
        <w:instrText xml:space="preserve"> PAGEREF AUTO_2016_200 \h </w:instrText>
      </w:r>
      <w:r>
        <w:fldChar w:fldCharType="separate"/>
      </w:r>
      <w:r w:rsidR="006227CF">
        <w:rPr>
          <w:noProof/>
        </w:rPr>
        <w:t>2773</w:t>
      </w:r>
      <w:r>
        <w:fldChar w:fldCharType="end"/>
      </w:r>
    </w:p>
    <w:p w:rsidR="00354D72" w:rsidRDefault="00354D72" w:rsidP="00354D72"/>
    <w:p w:rsidR="00354D72" w:rsidRDefault="00354D72" w:rsidP="00354D72">
      <w:pPr>
        <w:pStyle w:val="EntradandiceAuto"/>
      </w:pPr>
      <w:r>
        <w:t>Sección Cuarta. Auto 201/2016, de 12 de diciembre de 2016. Acuerda el desistimiento en el recurso de amparo 3606-2016, promovido en proceso contencioso-administrativo.</w:t>
      </w:r>
      <w:r>
        <w:tab/>
      </w:r>
      <w:r>
        <w:tab/>
      </w:r>
      <w:r>
        <w:fldChar w:fldCharType="begin"/>
      </w:r>
      <w:r>
        <w:instrText xml:space="preserve"> PAGEREF AUTO_2016_201 \h </w:instrText>
      </w:r>
      <w:r>
        <w:fldChar w:fldCharType="separate"/>
      </w:r>
      <w:r w:rsidR="006227CF">
        <w:rPr>
          <w:noProof/>
        </w:rPr>
        <w:t>2781</w:t>
      </w:r>
      <w:r>
        <w:fldChar w:fldCharType="end"/>
      </w:r>
    </w:p>
    <w:p w:rsidR="00354D72" w:rsidRDefault="00354D72" w:rsidP="00354D72"/>
    <w:p w:rsidR="00354D72" w:rsidRDefault="00354D72" w:rsidP="00354D72">
      <w:pPr>
        <w:pStyle w:val="EntradandiceAuto"/>
      </w:pPr>
      <w:r>
        <w:t>Pleno. Auto 202/2016, de 13 de diciembre de 2016. Inadmite a trámite la cuestión de inconstitucionalidad 4177-2016, planteada por la Sala de lo Contencioso-Administrativo del Tribunal Supremo en relación con diversos preceptos de la Ley 15/2012, de 27 de diciembre, de medidas fiscales para la sostenibilidad energética.</w:t>
      </w:r>
      <w:r>
        <w:tab/>
      </w:r>
      <w:r>
        <w:tab/>
      </w:r>
      <w:r>
        <w:fldChar w:fldCharType="begin"/>
      </w:r>
      <w:r>
        <w:instrText xml:space="preserve"> PAGEREF AUTO_2016_202 \h </w:instrText>
      </w:r>
      <w:r>
        <w:fldChar w:fldCharType="separate"/>
      </w:r>
      <w:r w:rsidR="006227CF">
        <w:rPr>
          <w:noProof/>
        </w:rPr>
        <w:t>2783</w:t>
      </w:r>
      <w:r>
        <w:fldChar w:fldCharType="end"/>
      </w:r>
    </w:p>
    <w:p w:rsidR="00354D72" w:rsidRDefault="00354D72" w:rsidP="00354D72"/>
    <w:p w:rsidR="00354D72" w:rsidRDefault="00354D72" w:rsidP="00354D72">
      <w:pPr>
        <w:pStyle w:val="EntradandiceAuto"/>
      </w:pPr>
      <w:r>
        <w:t>Pleno. Auto 203/2016, de 13 de diciembre de 2016. Inadmite a trámite la cuestión de inconstitucionalidad 4178-2016, planteada por la Sala de lo Contencioso-Administrativo del Tribunal Supremo en relación con diversos preceptos de la Ley 15/2012, de 27 de diciembre, de medidas fiscales para la sostenibilidad energética.</w:t>
      </w:r>
      <w:r>
        <w:tab/>
      </w:r>
      <w:r>
        <w:tab/>
      </w:r>
      <w:r>
        <w:fldChar w:fldCharType="begin"/>
      </w:r>
      <w:r>
        <w:instrText xml:space="preserve"> PAGEREF AUTO_2016_203 \h </w:instrText>
      </w:r>
      <w:r>
        <w:fldChar w:fldCharType="separate"/>
      </w:r>
      <w:r w:rsidR="006227CF">
        <w:rPr>
          <w:noProof/>
        </w:rPr>
        <w:t>2792</w:t>
      </w:r>
      <w:r>
        <w:fldChar w:fldCharType="end"/>
      </w:r>
    </w:p>
    <w:p w:rsidR="00354D72" w:rsidRDefault="00354D72" w:rsidP="00354D72"/>
    <w:p w:rsidR="00354D72" w:rsidRDefault="00354D72" w:rsidP="00354D72">
      <w:pPr>
        <w:pStyle w:val="EntradandiceAuto"/>
      </w:pPr>
      <w:r>
        <w:t>Pleno. Auto 204/2016, de 13 de diciembre de 2016. Inadmite a trámite la cuestión de inconstitucionalidad 4179-2016, planteada por la Sala de lo Contencioso-Administrativo del Tribunal Supremo en relación con diversos preceptos de la Ley 15/2012, de 27 de diciembre, de medidas fiscales para la sostenibilidad energética.</w:t>
      </w:r>
      <w:r>
        <w:tab/>
      </w:r>
      <w:r>
        <w:tab/>
      </w:r>
      <w:r>
        <w:fldChar w:fldCharType="begin"/>
      </w:r>
      <w:r>
        <w:instrText xml:space="preserve"> PAGEREF AUTO_2016_204 \h </w:instrText>
      </w:r>
      <w:r>
        <w:fldChar w:fldCharType="separate"/>
      </w:r>
      <w:r w:rsidR="006227CF">
        <w:rPr>
          <w:noProof/>
        </w:rPr>
        <w:t>2801</w:t>
      </w:r>
      <w:r>
        <w:fldChar w:fldCharType="end"/>
      </w:r>
    </w:p>
    <w:p w:rsidR="00354D72" w:rsidRDefault="00354D72" w:rsidP="00354D72"/>
    <w:p w:rsidR="00354D72" w:rsidRDefault="00354D72" w:rsidP="00354D72">
      <w:pPr>
        <w:pStyle w:val="EntradandiceAuto"/>
      </w:pPr>
      <w:r>
        <w:t>Pleno. Auto 205/2016, de 13 de diciembre de 2016. Inadmite a trámite la cuestión de inconstitucionalidad 4180-2016, planteada por la Sala de lo Contencioso-Administrativo del Tribunal Supremo en relación con varios artículos de la Ley 15/2012, de 27 de diciembre, de medidas fiscales para la sostenibilidad energética.</w:t>
      </w:r>
      <w:r>
        <w:tab/>
      </w:r>
      <w:r>
        <w:tab/>
      </w:r>
      <w:r>
        <w:fldChar w:fldCharType="begin"/>
      </w:r>
      <w:r>
        <w:instrText xml:space="preserve"> PAGEREF AUTO_2016_205 \h </w:instrText>
      </w:r>
      <w:r>
        <w:fldChar w:fldCharType="separate"/>
      </w:r>
      <w:r w:rsidR="006227CF">
        <w:rPr>
          <w:noProof/>
        </w:rPr>
        <w:t>2810</w:t>
      </w:r>
      <w:r>
        <w:fldChar w:fldCharType="end"/>
      </w:r>
    </w:p>
    <w:p w:rsidR="00354D72" w:rsidRDefault="00354D72" w:rsidP="00354D72"/>
    <w:p w:rsidR="00354D72" w:rsidRDefault="00354D72" w:rsidP="00354D72">
      <w:pPr>
        <w:pStyle w:val="EntradandiceAuto"/>
      </w:pPr>
      <w:r>
        <w:t>Pleno. Auto 206/2016, de 13 de diciembre de 2016. Inadmite a trámite el conflicto en defensa de la autonomía local 4629-2016, planteado por el Ayuntamiento de Tordesillas en relación con el Decreto-ley 2/2016, de 19 de mayo, por el que se prohíbe la muerte de las reses de lidia en presencia del público en los espectáculos taurinos populares y tradicionales en Castilla-León.</w:t>
      </w:r>
      <w:r>
        <w:tab/>
      </w:r>
      <w:r>
        <w:tab/>
      </w:r>
      <w:r>
        <w:fldChar w:fldCharType="begin"/>
      </w:r>
      <w:r>
        <w:instrText xml:space="preserve"> PAGEREF AUTO_2016_206 \h </w:instrText>
      </w:r>
      <w:r>
        <w:fldChar w:fldCharType="separate"/>
      </w:r>
      <w:r w:rsidR="006227CF">
        <w:rPr>
          <w:noProof/>
        </w:rPr>
        <w:t>2821</w:t>
      </w:r>
      <w:r>
        <w:fldChar w:fldCharType="end"/>
      </w:r>
    </w:p>
    <w:p w:rsidR="00354D72" w:rsidRDefault="00354D72" w:rsidP="00354D72"/>
    <w:p w:rsidR="00354D72" w:rsidRDefault="00354D72" w:rsidP="00354D72">
      <w:pPr>
        <w:pStyle w:val="EntradandiceAuto"/>
      </w:pPr>
      <w:r>
        <w:t>Sección Primera. Auto 207/2016, de 14 de diciembre de 2016. Desestima el recurso de súplica interpuesto por doña Isabel Casado López sobre inadmisión del recurso de amparo 3837, en causa penal.</w:t>
      </w:r>
      <w:r>
        <w:tab/>
      </w:r>
      <w:r>
        <w:tab/>
      </w:r>
      <w:r>
        <w:fldChar w:fldCharType="begin"/>
      </w:r>
      <w:r>
        <w:instrText xml:space="preserve"> PAGEREF AUTO_2016_207 \h </w:instrText>
      </w:r>
      <w:r>
        <w:fldChar w:fldCharType="separate"/>
      </w:r>
      <w:r w:rsidR="006227CF">
        <w:rPr>
          <w:noProof/>
        </w:rPr>
        <w:t>2832</w:t>
      </w:r>
      <w:r>
        <w:fldChar w:fldCharType="end"/>
      </w:r>
    </w:p>
    <w:p w:rsidR="00354D72" w:rsidRDefault="00354D72" w:rsidP="00354D72"/>
    <w:p w:rsidR="00354D72" w:rsidRDefault="00354D72" w:rsidP="00354D72">
      <w:pPr>
        <w:pStyle w:val="EntradandiceAuto"/>
      </w:pPr>
      <w:r>
        <w:t>Sala Primera. Auto 208/2016, de 28 de diciembre de 2016. Acuerda el desistimiento en el recurso de amparo 393-2015, promovido en proceso contencioso-administrativo.</w:t>
      </w:r>
      <w:r>
        <w:tab/>
      </w:r>
      <w:r>
        <w:tab/>
      </w:r>
      <w:r>
        <w:fldChar w:fldCharType="begin"/>
      </w:r>
      <w:r>
        <w:instrText xml:space="preserve"> PAGEREF AUTO_2016_208 \h </w:instrText>
      </w:r>
      <w:r>
        <w:fldChar w:fldCharType="separate"/>
      </w:r>
      <w:r w:rsidR="006227CF">
        <w:rPr>
          <w:noProof/>
        </w:rPr>
        <w:t>2834</w:t>
      </w:r>
      <w:r>
        <w:fldChar w:fldCharType="end"/>
      </w:r>
    </w:p>
    <w:p w:rsidR="00354D72" w:rsidRDefault="00354D72">
      <w:pPr>
        <w:spacing w:after="160" w:line="259" w:lineRule="auto"/>
      </w:pPr>
      <w:r>
        <w:br w:type="page"/>
      </w:r>
    </w:p>
    <w:p w:rsidR="00354D72" w:rsidRDefault="00354D72" w:rsidP="00A90898"/>
    <w:p w:rsidR="00354D72" w:rsidRDefault="00354D72" w:rsidP="00A90898"/>
    <w:p w:rsidR="00A90898" w:rsidRDefault="00A90898" w:rsidP="00A90898"/>
    <w:p w:rsidR="00A90898" w:rsidRDefault="00A90898" w:rsidP="00A90898"/>
    <w:p w:rsidR="00A90898" w:rsidRDefault="00A90898" w:rsidP="00A90898"/>
    <w:p w:rsidR="00A90898" w:rsidRDefault="00A90898" w:rsidP="00A90898"/>
    <w:p w:rsidR="00A90898" w:rsidRDefault="00A90898" w:rsidP="00A90898"/>
    <w:p w:rsidR="00A90898" w:rsidRDefault="00A90898" w:rsidP="00A90898"/>
    <w:p w:rsidR="00A90898" w:rsidRDefault="00A90898" w:rsidP="00A90898">
      <w:pPr>
        <w:pStyle w:val="CabeceraApartado"/>
      </w:pPr>
      <w:r>
        <w:t>SENTENCIAS</w:t>
      </w:r>
    </w:p>
    <w:p w:rsidR="00A90898" w:rsidRDefault="00A90898">
      <w:pPr>
        <w:spacing w:after="160" w:line="259" w:lineRule="auto"/>
        <w:rPr>
          <w:rFonts w:ascii="Times New Roman" w:eastAsia="Times New Roman" w:hAnsi="Times New Roman" w:cs="Times New Roman"/>
          <w:sz w:val="48"/>
          <w:szCs w:val="24"/>
          <w:lang w:eastAsia="es-ES"/>
        </w:rPr>
      </w:pPr>
      <w:r>
        <w:br w:type="page"/>
      </w:r>
    </w:p>
    <w:p w:rsidR="00A90898" w:rsidRDefault="00A90898" w:rsidP="00A90898">
      <w:pPr>
        <w:pStyle w:val="TtuloResolucin"/>
      </w:pPr>
      <w:bookmarkStart w:id="4" w:name="SENTENCIA_2016_125"/>
      <w:r>
        <w:t>SENTENCIA 125/2016, de 7 de julio de 2016</w:t>
      </w:r>
    </w:p>
    <w:bookmarkEnd w:id="4"/>
    <w:p w:rsidR="00A90898" w:rsidRDefault="00A90898" w:rsidP="00A90898">
      <w:pPr>
        <w:pStyle w:val="TtuloResolucin"/>
      </w:pPr>
      <w:r>
        <w:t>Pleno</w:t>
      </w:r>
    </w:p>
    <w:p w:rsidR="00A90898" w:rsidRDefault="00A90898" w:rsidP="00A90898">
      <w:pPr>
        <w:pStyle w:val="TtuloBOE"/>
      </w:pPr>
      <w:r>
        <w:t>(BOE núm. 192, de 10 de agosto de 2016)</w:t>
      </w:r>
    </w:p>
    <w:p w:rsidR="00A90898" w:rsidRDefault="00A90898" w:rsidP="00A90898">
      <w:pPr>
        <w:pStyle w:val="TextoNormalCentrado"/>
      </w:pPr>
      <w:r>
        <w:t>ECLI:ES:TC:2016:125</w:t>
      </w:r>
    </w:p>
    <w:p w:rsidR="00A90898" w:rsidRDefault="00A90898" w:rsidP="00A90898">
      <w:pPr>
        <w:pStyle w:val="TextoNormalCentrado"/>
      </w:pPr>
    </w:p>
    <w:p w:rsidR="00A90898" w:rsidRDefault="00A90898" w:rsidP="00A90898">
      <w:pPr>
        <w:pStyle w:val="SntesisDescriptiva"/>
      </w:pPr>
      <w:r>
        <w:t>Recurso de inconstitucionalidad 1044-2006. Interpuesto por más de cincuenta diputados del Grupo Popular del Congreso en relación con el Real Decreto-ley 13/2005, de 28 de octubre, por el que se modifica la Ley 4/1986, de 8 de enero, de cesión de bienes del patrimonio sindical acumulado.</w:t>
      </w:r>
    </w:p>
    <w:p w:rsidR="00A90898" w:rsidRDefault="00A90898" w:rsidP="00A90898">
      <w:pPr>
        <w:pStyle w:val="SntesisDescriptiva"/>
      </w:pPr>
    </w:p>
    <w:p w:rsidR="00A90898" w:rsidRDefault="00A90898" w:rsidP="00A90898">
      <w:pPr>
        <w:pStyle w:val="SntesisAnaltica"/>
      </w:pPr>
      <w:r>
        <w:t>Límites a los decretos-leyes: ausencia del presupuesto habilitante necesario para reformar con carácter de urgencia el régimen de restitución de bienes y derechos incautados a las organizaciones sindicales en aplicación de la Ley de responsabilidades políticas.</w:t>
      </w:r>
    </w:p>
    <w:p w:rsidR="00A90898" w:rsidRDefault="00A90898" w:rsidP="00A90898">
      <w:pPr>
        <w:pStyle w:val="SntesisAnaltica"/>
      </w:pPr>
    </w:p>
    <w:p w:rsidR="00A90898" w:rsidRDefault="00A90898" w:rsidP="00A90898">
      <w:pPr>
        <w:pStyle w:val="Extracto"/>
      </w:pPr>
      <w:r>
        <w:t>1.</w:t>
      </w:r>
      <w:r>
        <w:tab/>
        <w:t>La extraordinaria y urgente necesidad a la que alude la Constitución supone un requisito o presupuesto habilitante de inexcusable concurrencia para que el Gobierno pueda dictar normas con rango de ley, que se erige en auténtico límite jurídico de la actuación gubernamental mediante decretos-leyes y que debe ser explicitado de una forma razonada por el propio Gobierno (STC 189/2005) [FFJJ 2, 3].</w:t>
      </w:r>
    </w:p>
    <w:p w:rsidR="00A90898" w:rsidRDefault="00A90898" w:rsidP="00A90898">
      <w:pPr>
        <w:pStyle w:val="Extracto"/>
      </w:pPr>
    </w:p>
    <w:p w:rsidR="00A90898" w:rsidRDefault="00A90898" w:rsidP="00A90898">
      <w:pPr>
        <w:pStyle w:val="Extracto"/>
      </w:pPr>
      <w:r>
        <w:t>2.</w:t>
      </w:r>
      <w:r>
        <w:tab/>
        <w:t>El Real Decreto-ley impugnado se dictó sin justificar la concurrencia de la extraordinaria y urgente necesidad que exige el art. 86.1 CE y, en consecuencia, es inconstitucional y nulo [FJ 5].</w:t>
      </w:r>
    </w:p>
    <w:p w:rsidR="00A90898" w:rsidRDefault="00A90898" w:rsidP="00A90898">
      <w:pPr>
        <w:pStyle w:val="Extracto"/>
      </w:pPr>
    </w:p>
    <w:p w:rsidR="00A90898" w:rsidRDefault="00A90898" w:rsidP="00A90898">
      <w:pPr>
        <w:pStyle w:val="Extracto"/>
      </w:pPr>
      <w:r>
        <w:t>3.</w:t>
      </w:r>
      <w:r>
        <w:tab/>
        <w:t>Casi veinte años después de la incautación de bienes por parte de la dictadura a las Organizaciones Sindicales democráticas como consecuencia de la guerra civil española, no puede sostenerse que su restitución sea una cuestión que exija una urgencia extraordinaria [FJ 3].</w:t>
      </w:r>
    </w:p>
    <w:p w:rsidR="00A90898" w:rsidRDefault="00A90898" w:rsidP="00A90898">
      <w:pPr>
        <w:pStyle w:val="Extracto"/>
      </w:pPr>
    </w:p>
    <w:p w:rsidR="00A90898" w:rsidRDefault="00A90898" w:rsidP="00A90898">
      <w:pPr>
        <w:pStyle w:val="Extracto"/>
      </w:pPr>
      <w:r>
        <w:t>4.</w:t>
      </w:r>
      <w:r>
        <w:tab/>
        <w:t>No consta que hubieran sobrevenido circunstancias nuevas que impusieran objetivamente la reforma del régimen jurídico de la restitución que nos ocupa [FJ 3].</w:t>
      </w:r>
    </w:p>
    <w:p w:rsidR="00A90898" w:rsidRDefault="00A90898" w:rsidP="00A90898">
      <w:pPr>
        <w:pStyle w:val="Extracto"/>
      </w:pPr>
    </w:p>
    <w:p w:rsidR="00A90898" w:rsidRDefault="00A90898" w:rsidP="00A90898">
      <w:pPr>
        <w:pStyle w:val="Extracto"/>
      </w:pPr>
      <w:r>
        <w:t>5.</w:t>
      </w:r>
      <w:r>
        <w:tab/>
        <w:t>Las razones de justicia y de seguridad jurídica que se esgrimieron en el debate parlamentario previo a la convalidación del Real Decreto-ley pueden servir para justificar las concretas medidas adoptadas, pero no su urgencia y necesidad o, en otras palabras, no la sustracción de esta ordenación al procedimiento parlamentario, sede ordinaria con carácter general, de la legislación. Entender lo contrario supondría, que se podría excluir del procedimiento legislativo ordinario toda decisión que comportara un beneficio para sus destinatarios, lo que no se corresponde con nuestro modelo constitucional (STC 68/2007) [FJ 3].</w:t>
      </w:r>
    </w:p>
    <w:p w:rsidR="00A90898" w:rsidRDefault="00A90898" w:rsidP="00A90898">
      <w:pPr>
        <w:pStyle w:val="Extracto"/>
      </w:pPr>
    </w:p>
    <w:p w:rsidR="00A90898" w:rsidRDefault="00A90898" w:rsidP="00A90898">
      <w:pPr>
        <w:pStyle w:val="Extracto"/>
      </w:pPr>
      <w:r>
        <w:t>6.</w:t>
      </w:r>
      <w:r>
        <w:tab/>
        <w:t>La declaración de inconstitucionalidad sólo será eficaz en relación con nuevos supuestos o con los procedimientos administrativos y procesos judiciales en que aún no haya recaído resolución firme [FJ 5].</w:t>
      </w:r>
    </w:p>
    <w:p w:rsidR="00A90898" w:rsidRDefault="00A90898" w:rsidP="00A90898">
      <w:pPr>
        <w:pStyle w:val="Extracto"/>
      </w:pPr>
    </w:p>
    <w:p w:rsidR="00A90898" w:rsidRDefault="00A90898" w:rsidP="00A90898">
      <w:pPr>
        <w:pStyle w:val="Extracto"/>
      </w:pPr>
      <w:r>
        <w:t>7.</w:t>
      </w:r>
      <w:r>
        <w:tab/>
        <w:t xml:space="preserve">De conformidad con el art. 40.1 LOTC, la declaración de inconstitucionalidad y de la nulidad de una disposición no permitirá revisar procesos fenecidos mediante </w:t>
      </w:r>
      <w:r>
        <w:lastRenderedPageBreak/>
        <w:t>sentencia con fuerza de cosa juzgada en los que se haya hecho aplicación de la misma y, de acuerdo con el principio de seguridad jurídica, también se exige la intangibilidad de las situaciones jurídicas consolidadas decididas no sólo con fuerza de cosa juzgada, sino también en resoluciones administrativas firmes (STC 104/2013)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Trias,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1044-2006, promovido por don Ignacio Astarloa Huarte-Mendicoa, comisionado al efecto por otros 80 diputados del Grupo Popular del Congreso contra el Real Decreto-ley 13/2005, de 28 de octubre, por el que se modifica la Ley 4/1986, de 8 de enero, de cesión de bienes del patrimonio sindical acumulado. Ha comparecido el Abogado del Estado en nombre del Gobierno.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2 de febrero de 2006 don Ignacio Astarloa Huarte-Mendicoa, comisionado por otros 80 diputados del Grupo Popular del Congreso, interpuso recurso de inconstitucionalidad contra el Real Decreto-ley 13/2005, de 28 de octubre, por el que se modifica la Ley 4/1986, de 8 de enero, de cesión de bienes del patrimonio sindical acumulado. La demanda, en la que se nos pide que declaremos la inconstitucionalidad y nulidad del citado Real Decreto-ley en su totalidad, comienza por denunciar que el mismo se ha dictado con el único fin de favorecer a una organización sindical determinada en contra del principio de igualdad y del derecho de libertad sindical consagrados en los arts. 14 y 28.1 CE, en referencia a las dificultades económicas por las que atravesaba, cuando se aprobó, el sindicato Unión General de Trabajadores (UGT), que tenía que hacer frente a las responsabilidades civiles derivadas de la quiebra de una cooperativa, lo que el Ministro de Trabajo y Asuntos Sociales relacionó públicamente con la devolución del patrimonio incautado por el régimen franquista, según recogieron diferentes medios de comunicación. Además, el Real Decreto-ley se dictó cuando se iniciaba un proceso de elecciones a delegados de personal y comités de empresa, momento en el que una provisión de fondos a UGT colocaba a esta organización en una evidente posición de privilegio frente a otras.</w:t>
      </w:r>
    </w:p>
    <w:p w:rsidR="00A90898" w:rsidRDefault="00A90898" w:rsidP="00A90898">
      <w:pPr>
        <w:pStyle w:val="TextoNormal"/>
      </w:pPr>
    </w:p>
    <w:p w:rsidR="00A90898" w:rsidRDefault="00A90898" w:rsidP="00A90898">
      <w:pPr>
        <w:pStyle w:val="TextoNormal"/>
      </w:pPr>
      <w:r>
        <w:t>Se examinan seguidamente las modificaciones que el Real Decreto-ley ha introducido en la disposición adicional cuarta de la Ley 4/1986, de 8 de enero, de cesión de bienes del patrimonio sindical acumulado. Dicha norma imponía, para el reintegro de los bienes incautados por el Gobierno de facto a los sindicatos como consecuencia de la Ley de responsabilidades políticas de 9 de febrero de 1939, un doble condicionamiento, subjetivo y objetivo: la restitución sería a favor de los sindicatos que acreditasen ser los legítimos sucesores de los que en su momento existieron y se llevaría a cabo con los bienes incautados y, si ello no fuera posible, mediante la compensación de su valor, considerando como tal el que tendrían en el mercado a la entrada en vigor de la propia Ley 4/1986.</w:t>
      </w:r>
    </w:p>
    <w:p w:rsidR="00A90898" w:rsidRDefault="00A90898" w:rsidP="00A90898">
      <w:pPr>
        <w:pStyle w:val="TextoNormal"/>
      </w:pPr>
    </w:p>
    <w:p w:rsidR="00A90898" w:rsidRDefault="00A90898" w:rsidP="00A90898">
      <w:pPr>
        <w:pStyle w:val="TextoNormal"/>
      </w:pPr>
      <w:r>
        <w:t>a) La primera novedad que introduce el Real Decreto-ley 13/2005 en la disposición adicional cuarta de la Ley 4/1986 es la supresión de la exigencia de que los bienes hubieran sido incautados ilegítimamente a las organizaciones sindicales o entidades vinculadas; bastará con que se trate de bienes que pertenecieran a esas organizaciones o entidades a la entrada en vigor del Decreto de 13 de septiembre de 1936 para que se pueda reclamar su restitución, lo que supone que a partir de la vigencia del Decreto-ley habrá que restituir a las organizaciones sindicales bienes que tenían en 1936, pero sin necesidad de que les hubieran sido incautados ni de ninguna relación de causalidad entre la actuación de los poderes públicos y la pérdida de su titularidad. En suma, se impone al Estado la obligación de entregar a ciertas organizaciones sindicales unos bienes, o su equivalente económico, sin una mínima referencia al material probatorio que deberán aportar. La norma no responde al loable propósito de restituir a los sindicatos los bienes que les fueron ilegítimamente incautados.</w:t>
      </w:r>
    </w:p>
    <w:p w:rsidR="00A90898" w:rsidRDefault="00A90898" w:rsidP="00A90898">
      <w:pPr>
        <w:pStyle w:val="TextoNormal"/>
      </w:pPr>
    </w:p>
    <w:p w:rsidR="00A90898" w:rsidRDefault="00A90898" w:rsidP="00A90898">
      <w:pPr>
        <w:pStyle w:val="TextoNormal"/>
      </w:pPr>
      <w:r>
        <w:t>b) El Real Decreto-ley 13/2005 modifica profundamente los sujetos titulares de los bienes y derechos sobre los que las actuales organizaciones sindicales pueden formular una pretensión de reintegro o compensación: ya no se precisa que las entidades titulares de los bienes estuviesen ligadas por un concreto nexo jurídico con los sindicatos, como era la afiliación o asociación, ni tampoco que ellas mismas tuvieran carácter sindical. Al supuesto de la afiliación o asociación se equipara el de la vinculación a la correspondiente organización sindical, sin que se acote ni defina esa conexión. De otro lado, se prescinde por completo de la naturaleza sindical de los titulares del patrimonio, que podrán ser personas jurídicas de naturaleza mercantil, cooperativa o fundacional, lo que evidencia que se podrán restituir bienes que no estuvieron afectos al ejercicio de actividad sindical. Las actuales organizaciones sindicales serán resarcidas por bienes afectos al desarrollo de actividades ajenas a la sindical y respecto de los cuales los sindicatos no ostentaron ningún género de titularidad.</w:t>
      </w:r>
    </w:p>
    <w:p w:rsidR="00A90898" w:rsidRDefault="00A90898" w:rsidP="00A90898">
      <w:pPr>
        <w:pStyle w:val="TextoNormal"/>
      </w:pPr>
    </w:p>
    <w:p w:rsidR="00A90898" w:rsidRDefault="00A90898" w:rsidP="00A90898">
      <w:pPr>
        <w:pStyle w:val="TextoNormal"/>
      </w:pPr>
      <w:r>
        <w:t xml:space="preserve">c) En tanto que la Ley 4/1986 preveía que el resarcimiento por razón de los bienes que no pudieran ser reintegrados a las organizaciones sindicales se haría por el valor normal de mercado que tuvieran a la entrada en vigor de aquélla, el Real Decreto-ley introduce como tercera y sustancial novedad que sobre dicho valor de mercado se aplicará “el interés legal del dinero desde dicha entrada en vigor hasta el último día del mes anterior al que se acuerde la compensación”. La actualización con arreglo al interés legal del dinero opera automáticamente y comprende no solo las peticiones que se puedan formular a partir de la entrada en vigor del Decreto-ley 13/2005, sino también los expedientes pendientes de resolución, sin consideración al momento en el que la organización sindical interesada formuló la solicitud, ni a su diligencia a la hora de cursarla; pese a la demora en que se hubiera incurrido </w:t>
      </w:r>
      <w:r>
        <w:lastRenderedPageBreak/>
        <w:t>al pedir la compensación y pese a que no nos encontramos ante un sistema en el que actúe de oficio la Administración, se tiene garantizado un resarcimiento patrimonial a cargo de los recursos públicos, lo que no tiene precedentes en nuestra legislación.</w:t>
      </w:r>
    </w:p>
    <w:p w:rsidR="00A90898" w:rsidRDefault="00A90898" w:rsidP="00A90898">
      <w:pPr>
        <w:pStyle w:val="TextoNormal"/>
      </w:pPr>
    </w:p>
    <w:p w:rsidR="00A90898" w:rsidRDefault="00A90898" w:rsidP="00A90898">
      <w:pPr>
        <w:pStyle w:val="TextoNormal"/>
      </w:pPr>
      <w:r>
        <w:t>d) Finalmente, frente al sistema establecido por la Ley 4/1986, que no fijaba límite temporal para ejercitar las pretensiones de reintegro o compensación, el Real Decreto-ley fija un plazo de presentación de solicitudes que se extiende hasta el 31 de enero de 2006. Llama la atención la premura con que se pone fin a un proceso que se ha prolongado durante 20 años, concediéndose menos de tres meses para poder presentar solicitudes al amparo de la nueva norma, lo que no se compadece con la complejidad que se atribuye al proceso de indagación de las titularidades y vicisitudes de los bienes, y pone en evidencia que se persigue facilitar la resolución de los expedientes pendientes de ella en los que no concurren los requisitos que exigía la redacción original de la Ley 4/1986.</w:t>
      </w:r>
    </w:p>
    <w:p w:rsidR="00A90898" w:rsidRDefault="00A90898" w:rsidP="00A90898">
      <w:pPr>
        <w:pStyle w:val="TextoNormal"/>
      </w:pPr>
    </w:p>
    <w:p w:rsidR="00A90898" w:rsidRDefault="00A90898" w:rsidP="00A90898">
      <w:pPr>
        <w:pStyle w:val="TextoNormal"/>
      </w:pPr>
      <w:r>
        <w:t>La reforma se ha llevado a cabo a través del cauce extraordinario del decreto-ley, que hurta al Parlamento la posibilidad de un debate sosegado y la facultad de introducir enmiendas, habiendo sido rechazada la tramitación, prevista en el art. 86.3 CE, del Decreto-ley como proyecto de ley, pedida por algunos grupos parlamentarios. Los recurrentes denuncian que el Real Decreto-ley 13/2005 incurre en violación del art. 86.1 CE, que vulnera el derecho a la libertad sindical reconocido por el art. 28.1 CE (en relación con el principio de igualdad del art. 14 CE) y los principios de interdicción de la arbitrariedad de los poderes públicos del art. 9.3 CE y de los que, conforme al art. 31.2 CE, rigen la asignación del gasto público, en los términos siguientes:</w:t>
      </w:r>
    </w:p>
    <w:p w:rsidR="00A90898" w:rsidRDefault="00A90898" w:rsidP="00A90898">
      <w:pPr>
        <w:pStyle w:val="TextoNormal"/>
      </w:pPr>
    </w:p>
    <w:p w:rsidR="00A90898" w:rsidRDefault="00A90898" w:rsidP="00A90898">
      <w:pPr>
        <w:pStyle w:val="TextoNormal"/>
      </w:pPr>
      <w:r>
        <w:t xml:space="preserve">i) Según los diputados demandantes la norma impugnada viola los dos límites establecidos en el art. 86.1 CE para el recurso al decreto-ley, pues no concurre el supuesto habilitante, es decir, una situación de extraordinaria y urgente necesidad, y aquel se ha extendido al ámbito material vedado por el citado precepto, concretamente a los derechos de los ciudadanos regulados por el título I de la Constitución. No cualquier necesidad habilita al Gobierno para utilizar el decreto-ley: sólo la necesidad extraordinaria y urgente, concepto indeterminado, pero que excluye los supuestos de clara arbitrariedad. Para que el decreto-ley se encuentre correctamente justificado, es preciso que confluyan ambas características de la necesidad: extraordinaria y urgente; sin que baste un caso grave y extraordinario que no requiera solución urgente o, al revés, un supuesto de urgencia sobre un tema menor, cuya incidencia impida calificarlo de extraordinario. Así pues, extraordinario y urgente no son términos sinónimos, en cuanto que el carácter extraordinario no se refiere tan sólo al ámbito temporal, sino más bien a una valoración cualitativa de la necesidad, que ha de ser importante, grave e imprevisible, teniendo en cuenta que la previsibilidad puede deducirse de datos objetivos. Por su parte, la urgencia se mide en relación a la imposibilidad de cubrir la necesidad a través de los mecanismos normales, de forma que donde las circunstancian admiten tramitación parlamentaria, sin detrimento grave para la respuesta normativa, no procede que el Gobierno utilice el cauce del decreto-ley. Sólo en caso de que el procedimiento legislativo produzca daños irreparables o de que la reserva de la medida a adoptar aconseje remedios expeditivos queda legitimado el recurso a esta legislación de emergencia. Esta es la interpretación expresamente acogida en la jurisprudencia constitucional, citando los recurrentes las SSTC 111/1983, de 2 de diciembre (FFJJ 5 y 6) y 182/1997, de 28 de octubre (FJ 3). Dicha jurisprudencia (por ejemplo, STC 182/1997) requiere, además, que la causa </w:t>
      </w:r>
      <w:r>
        <w:lastRenderedPageBreak/>
        <w:t>justificativa del decreto-ley —la situación de extraordinaria y urgente necesidad— sea explicitada por el Gobierno, a fin de poder controlar la concurrencia del supuesto habilitante, y que exista una conexión de justificación o relación de adecuación entre la situación de extraordinaria y urgente necesidad y las concretas medidas establecidas por el decreto-ley para afrontarla. Por supuesto, la apreciación de la situación de extraordinaria y urgente necesidad compete principalmente a los poderes políticos; pero ello no excluye su control por el Tribunal Constitucional, que garantiza el equilibrio de poderes querido por la Constitución. La exposición de motivos del Real Decreto-ley no justifica explícitamente ni su urgencia ni su necesidad; a lo sumo, cabría entender justificada la necesidad con las referencias al largo tiempo transcurrido desde la entrada en vigor de la Ley 4/1986 sin que se hayan logrado plenamente los fines por ella perseguidos y a la incertidumbre sobre la titularidad de bienes y derechos y sobre el impacto de la posible restitución en el gasto público. Por su parte, las memorias económica o de justificación del Decreto-ley tampoco explican de forma concluyente la adopción de dicho instrumento normativo, salvo una somera alusión, nuevamente, a la situación de inseguridad jurídica. Concretamente, señala la memoria que “no debe olvidarse que, de lo excluido en principio de devolución, podría producirse la obligación del Estado de devolver lo incautado en el caso de que así lo determinara una sentencia judicial firme. Ante esta situación de incertidumbre, y con la perspectiva de una posible y poco deseable judicialización del asunto en los supuestos de denegación por la Administración, se considera necesaria y urgente la modificación de la Ley 4/1986, de 8 de enero.” A la luz de esos antecedentes y de la intervención del Ministro de Trabajo y Asuntos sociales en el debate de convalidación del Decreto-ley en el Congreso de los Diputados, pueden resumirse en cuatro las causas que según el Gobierno avalan la extraordinaria y urgente necesidad de la norma impugnada: la insuficiencia del régimen jurídico que ha estado vigente durante cerca de 20 años, que no ha cumplido las finalidades pretendidas; la naturaleza de la materia, consistente en la reparación de una injusticia histórica, que no admite demoras derivadas de la tramitación por el procedimiento legal ordinario; la existencia de una situación de incertidumbre en cuanto a la titularidad de ciertos bienes y derechos; y el incremento de la carga financiera que supone para el Estado las medidas que adopta el propio Decreto-ley, que ha impuesto a los fondos públicos el pago de los intereses generados durante 19 años y que hasta ese momento no eran exigibles, por lo que, si se tramitara la medida a través del procedimiento legislativo ordinario, se incrementaría dicha carga financiera.</w:t>
      </w:r>
    </w:p>
    <w:p w:rsidR="00A90898" w:rsidRDefault="00A90898" w:rsidP="00A90898">
      <w:pPr>
        <w:pStyle w:val="TextoNormal"/>
      </w:pPr>
    </w:p>
    <w:p w:rsidR="00A90898" w:rsidRDefault="00A90898" w:rsidP="00A90898">
      <w:pPr>
        <w:pStyle w:val="TextoNormal"/>
      </w:pPr>
      <w:r>
        <w:t xml:space="preserve">A juicio de los diputados recurrentes las supuestas deficiencias en la aplicación de la Ley 4/1986, el retraso en la reparación de una injusticia histórica y la posible situación de inseguridad jurídica derivada de la incertidumbre en la titularidad de ciertos bienes y derechos no constituyen en modo alguno circunstancias imprevisibles o sobrevenidas, sino que, por el contrario, han podido ser previstas a lo largo de los cerca de 20 años transcurridos desde su entrada en vigor. La jurisprudencia constitucional alude reiteradamente a la imprevisibilidad como requisito para configurar una situación de urgencia, imprevisibilidad que desde luego no se da en una situación que se viene constatando durante 20 años; donde hay previsibilidad no cabe la utilización del decreto-ley. El recurso a ese instrumento, por comportar un recorte de las garantías del procedimiento legislativo ordinario, al impedir al Parlamento un debate sosegado, y por hurtar a los grupos parlamentarios la facultad de presentar enmiendas y a las Cortes Generales la de introducir modificaciones, ha de limitarse a los supuestos en que es necesaria una acción normativa en un tiempo menor que el requerido para la tramitación parlamentaria de las leyes. Es evidente que en este caso tal necesidad no existe, pues, si las situaciones de incertidumbre en la titularidad de ciertos bienes y derechos </w:t>
      </w:r>
      <w:r>
        <w:lastRenderedPageBreak/>
        <w:t>y las supuestas deficiencias en la Ley 4/1986 han durado 20 años, en nada se perjudican los intereses generales en una demora que se extendería a lo sumo seis u ocho meses más, que es el tiempo normalmente requerido para la tramitación de un proyecto de ley por el procedimiento de urgencia. Especialmente rechazable parece a los diputados recurrentes el argumento que alude a la urgencia de reparar una injusticia histórica; tan loable finalidad dista mucho de equivaler a la urgencia requerida por el art. 86.1 CE, pues ésta no puede limitarse al hecho de que se pretenda un propósito legítimo cuya pronta consecución sea deseable; tal es la razón de ser de la mayor parte de las leyes, por lo que, si se admitiese esa justificación, se produciría una desorbitada extensión de la figura del decreto-ley, configurada en la Constitución como un cauce normativo extraordinario. Pero, además, aun en la hipótesis de que la deficiente aplicación de la Ley 4/1986 configurara una situación de extraordinaria y urgente necesidad, la misma no guarda conexión alguna con las concretas medidas adoptadas por el Real Decreto-ley 13/2005. El que hayan existido, en su caso, deficiencias en la consecución de la finalidad perseguida por la Ley 4/1986 —la reparación del patrimonio ilegítimamente incautado a los sindicatos por un régimen dictatorial—, que se halle todavía pendiente la plena reparación de tal injusticia histórica y subsistan incertidumbres en la titularidad de ciertos bienes no habilita para establecer un régimen jurídico que, desbordando por completo la finalidad de aquella Ley, permita la entrega a ciertas organizaciones sindicales de bienes que no les fueron incautados, que no les pertenecían y que ni siquiera guardaban relación alguna con el desarrollo de actividades sindicales. En resumen: los tres primeros motivos alegados por el Gobierno no configuran una situación de extraordinaria y urgente necesidad, ni guardan conexión alguna con las concretas medidas adoptadas. Por lo que atañe al último de los motivos, es decir, al que se refiere a la necesidad de aminorar el impacto sobre el gasto público de las actuaciones de compensación, resulta que se justifica la urgencia no en base a una situación de hecho previa que demanda la aprobación de la norma, sino en base a una medida que la propia norma adopta, concretamente la extensión de la compensación económica a los intereses legales generados desde la entrada en vigor de la Ley 4/1986, de 8 de enero, hasta que se lleve a cabo la compensación. Esta circunstancia no puede configurar la situación de extraordinaria y urgente necesidad, pues tal necesidad ha de ser previa a la norma que la trata de remediar, siendo preciso hacerlo con mayor urgencia e inmediatez que la que permitiría el procedimiento legislativo ordinario; la justificación de la urgencia no puede encontrarse en la norma misma, sino en la necesidad a la que la norma trata de responder. Y la actualización del valor de los bienes a restituir aplicando los intereses generados desde la entrada en vigor de la Ley 4/1986 es una medida arbitraria que no responde a necesidad alguna, al no haber incurrido en mora el Estado, sin perjuicio de que con los criterios de actualización utilizados puede calcularse que un año de espera —lapso mayor que el que puede suponer la tramitación parlamentaria por el procedimiento de urgencia— supondría un coste de 7.751.677,5 €, esto es una incidencia sobre el gasto público escasamente relevante, por lo que tampoco este motivo justifica la urgencia del Decreto-ley.</w:t>
      </w:r>
    </w:p>
    <w:p w:rsidR="00A90898" w:rsidRDefault="00A90898" w:rsidP="00A90898">
      <w:pPr>
        <w:pStyle w:val="TextoNormal"/>
      </w:pPr>
    </w:p>
    <w:p w:rsidR="00A90898" w:rsidRDefault="00A90898" w:rsidP="00A90898">
      <w:pPr>
        <w:pStyle w:val="TextoNormal"/>
      </w:pPr>
      <w:r>
        <w:t>Además, el Real Decreto-ley 13/2005 rebasa los límites materiales fijados en el art. 86.1 CE, pues va en contra de un derecho incluido en la sección primera del capítulo segundo del título I de la Constitución, es decir, dotado del máximo nivel de protección, como es el derecho a la libertad sindical reconocido por el art. 28.1 CE. En efecto, forman parte del contenido esencial del derecho a la libertad sindical el derecho a un trato igual por las Administraciones públicas, el derecho a la actividad sindical y el derecho a los medios apro</w:t>
      </w:r>
      <w:r>
        <w:lastRenderedPageBreak/>
        <w:t>piados para la actividad sindical. Asimismo, la atribución a las centrales sindicales del patrimonio sindical ha sido considerada como integrante de la libertad sindical por la jurisprudencia constitucional (SSTC 20/1985, de 14 de febrero; 26/1985, de 22 de febrero; y 72/1985, de 13 de junio). Pues bien, en estos elementos esenciales del derecho a la libertad sindical incide precisamente el Decreto-ley, al establecer los mecanismos para la atribución a sindicatos determinados de elevadas sumas que no responden a la restitución de su patrimonio histórico.</w:t>
      </w:r>
    </w:p>
    <w:p w:rsidR="00A90898" w:rsidRDefault="00A90898" w:rsidP="00A90898">
      <w:pPr>
        <w:pStyle w:val="TextoNormal"/>
      </w:pPr>
    </w:p>
    <w:p w:rsidR="00A90898" w:rsidRDefault="00A90898" w:rsidP="00A90898">
      <w:pPr>
        <w:pStyle w:val="TextoNormal"/>
      </w:pPr>
      <w:r>
        <w:t>ii) Los diputados recurrentes reprochan, en segundo lugar, a la norma impugnada la violación del derecho a la libertad sindical (art. 28.1 CE), en relación con el principio de igualdad (art. 14 CE). La libertad sindical va más allá de los derechos de creación de sindicatos y de afiliación y no afiliación a los mismos, que quedarían vacíos de contenido si aquélla no incluyera el derecho a llevar a cabo una acción sindical libre, ausente de injerencias de terceros. Por ello, el art. 13 de la Ley Orgánica de libertad sindical considera lesiones a la libertad sindical los actos de injerencia consistentes ya en el fomento de la constitución de sindicatos ya en su sostenimiento económico o en otra forma. Para asegurar un espacio de libertad sin injerencias de terceros adquiere especial relevancia el principio por el que las Administraciones públicas no pueden interferir en las actividades de los sindicatos; en este sentido, ya la STC 23/1983 estableció que el derecho a que la Administración no injiera o interfiera en la actividad de las organizaciones sindicales forma parte del contenido esencial de la libertad sindical.</w:t>
      </w:r>
    </w:p>
    <w:p w:rsidR="00A90898" w:rsidRDefault="00A90898" w:rsidP="00A90898">
      <w:pPr>
        <w:pStyle w:val="TextoNormal"/>
      </w:pPr>
    </w:p>
    <w:p w:rsidR="00A90898" w:rsidRDefault="00A90898" w:rsidP="00A90898">
      <w:pPr>
        <w:pStyle w:val="TextoNormal"/>
      </w:pPr>
      <w:r>
        <w:t>La Constitución española establece un marco de pluralismo democrático en el que todos los sindicatos tienen cabida. Para evitar las disfuncionalidades de un sistema en que han de operar diferentes organizaciones sindicales, nuestro ordenamiento ha establecido diversos grados de representatividad sindical, en atención a determinados criterios que permiten elaborar una clasificación de los sindicatos, sobre la cual se realizará la posterior atribución de más o menos facultades según la representatividad que aquéllos acrediten. Así, se consagra la figura jurídica del sindicato más representativo; el que se dé distinto trato a unas organizaciones sindicales respecto de otras en materias concretas no resulta injustificado, en la medida en que la selección se realice con criterios objetivos. La consideración de las organizaciones sindicales como entidades de interés público ha hecho que los poderes públicos hayan asumido el deber de sostener el hecho sindical, removiendo los obstáculos que impidan o dificulten su plenitud y facilitando así la participación de los ciudadanos en la vida política, económica, cultural y social (art. 9.2 CE). Por ello, por medio de la Ley 4/1986, de 8 de enero, de cesión de bienes del patrimonio sindical acumulado, se cede el uso incondicionado de locales y bienes públicos a los sindicatos para el ejercicio de sus funciones constitucionales o, a través de las normas presupuestarias, se les conceden subvenciones para el cumplimiento de sus fines. Pero en la promoción del hecho sindical los poderes públicos han de respetar el principio de igualdad, como inherente al derecho fundamental a la libertad sindical y, por tanto, la no injerencia en la acción sindical; sus actuaciones con esos propósitos no deben esconder discriminaciones arbitrarias o irrazonables. En definitiva, en cualquiera de sus actuaciones promotoras y garantes del hecho sindical, los poderes públicos se encuentran, por mandato constitucional, obligados a respetar la igualdad en el ejercicio de la libertad sindical; en la medida en que introduzcan desigualdades de trato entre sindicatos, habrá de estimarse que estamos ante una discriminación si las desigualdades están desprovistas de una justificación objetiva y razonable, que debe apreciarse con relación a la fina</w:t>
      </w:r>
      <w:r>
        <w:lastRenderedPageBreak/>
        <w:t>lidad y efectos de la medida considerada, debiendo darse una relación razonable de proporcionalidad entre los medios empleados y la finalidad perseguida. En tanto que a partir del Real Decreto-ley 13/2005 ya no se exige que los bienes hayan sido incautados a las organizaciones sindicales beneficiarias ni que los pertenecientes a otras entidades cumplieran una finalidad sindical, no nos encontramos ante la legítima restitución de bienes incautados, sino ante una grave injerencia de los poderes públicos en relación con la labor sindical, lo que constituye una arbitrariedad del Gobierno, que genera un trato desigual por parte de la Administración y de los poderes públicos, al no existir un fundamento objetivo ni razonable. La Organización Internacional de Trabajo, en el informe del comité de libertad sindical emitido en el caso núm. 900, ya señala que la restitución del patrimonio incautado a la UGT, una de las beneficiarias junto a la Confederación Nacional del Trabajo (CNT) del Real Decreto-ley 13/2005, debe hacerse conforme a los principios de libertad sindical, lo que supone respetar el principio de igualdad entre los sindicatos y la prohibición de que las autoridades públicas intervengan e interfieran en la vida sindical, favoreciendo, apoyando o promocionando a un sindicato en perjuicio de los demás, y esto es lo que hace el Real Decreto-ley con las organizaciones sindicales beneficiarias, y en concreto y en especial con la UGT, a la que en la memoria económica se reconoce una elevadísima cantidad calculada en 151.301.040,53 €, lo que constituye un acto de injerencia y de promoción de dicha organización sindical en perjuicio de otras. El Decreto-ley no es una norma “restitutoria”, sino una norma de contenido diferente, facilitador o subvencionador; si no es necesario acreditar la incautación estamos ante una disposición nominativa de bienes públicos a favor de determinadas organizaciones sindicales, situándose la medida en el ámbito de la subvención o apoyo a una actividad constitucionalmente legítima como es la actividad sindical. Pero al no someterse a los principios de concurrencia e igualdad, la subvención vulnera la igualdad entre sindicatos y la garantía de no injerencia en la acción sindical. El Decreto-ley favorece a determinadas organizaciones sindicales perfectamente concretas y determinadas con una medida que se ha convertido, de hecho y al margen de los propósitos expresados, en un instrumento de financiación mediante recursos públicos, que carece de la suficiente objetividad y justificación, y en una diferencia de trato inconstitucional entre las respectivas organizaciones sindicales.</w:t>
      </w:r>
    </w:p>
    <w:p w:rsidR="00A90898" w:rsidRDefault="00A90898" w:rsidP="00A90898">
      <w:pPr>
        <w:pStyle w:val="TextoNormal"/>
      </w:pPr>
    </w:p>
    <w:p w:rsidR="00A90898" w:rsidRDefault="00A90898" w:rsidP="00A90898">
      <w:pPr>
        <w:pStyle w:val="TextoNormal"/>
      </w:pPr>
      <w:r>
        <w:t>Por otra parte, el Decreto-ley atenta contra la libertad sindical, pues posibilita el beneficio económico directo de una concreta opción sindical participante en el proceso de diálogo social, a fin de solventar sus dificultades económicas coyunturales. La actuación gubernativa rompe por completo el equilibrio del diálogo social, en el que el propio Gobierno, junto con las organizaciones sindicales y empresariales más representativas, es parte, en la medida en que uno de los dos sindicatos más representativos a nivel nacional tiene unos cuantiosos intereses económicos que dependen, directamente, de su actuación discrecional.</w:t>
      </w:r>
    </w:p>
    <w:p w:rsidR="00A90898" w:rsidRDefault="00A90898" w:rsidP="00A90898">
      <w:pPr>
        <w:pStyle w:val="TextoNormal"/>
      </w:pPr>
    </w:p>
    <w:p w:rsidR="00A90898" w:rsidRDefault="00A90898" w:rsidP="00A90898">
      <w:pPr>
        <w:pStyle w:val="TextoNormal"/>
      </w:pPr>
      <w:r>
        <w:t xml:space="preserve">iii) Señalan los demandantes, con cita de la STC 108/1986, de 29 de julio, que el Real Decreto-ley 13/2005 vulnera el principio de interdicción de la arbitrariedad de los poderes públicos pues es una norma discriminatoria que carece de toda explicación racional, constituyendo un caso patente de arbitrariedad o desviación de poder, es decir, de ejercicio de las potestades públicas para fines distintos de los amparados por el ordenamiento jurídico: prevista la restitución para compensar a las organizaciones sindicales por los bienes que les fueron incautados por un régimen dictatorial, elimina precisamente los requisitos de la incautación y de su previa pertenencia a aquéllas, privando a la norma de su propia razón de ser. Además existen indicios que permiten concluir que con el Real Decreto-ley el Gobierno </w:t>
      </w:r>
      <w:r>
        <w:lastRenderedPageBreak/>
        <w:t>ha dirigido su acción a favorecer a una determinada organización sindical, estrechamente vinculada al partido que lo sostiene, facilitándole, con cargo a recursos públicos, fondos para la cancelación de sus deudas.</w:t>
      </w:r>
    </w:p>
    <w:p w:rsidR="00A90898" w:rsidRDefault="00A90898" w:rsidP="00A90898">
      <w:pPr>
        <w:pStyle w:val="TextoNormal"/>
      </w:pPr>
    </w:p>
    <w:p w:rsidR="00A90898" w:rsidRDefault="00A90898" w:rsidP="00A90898">
      <w:pPr>
        <w:pStyle w:val="TextoNormal"/>
      </w:pPr>
      <w:r>
        <w:t xml:space="preserve">iv) Se alega finalmente que el Real Decreto-ley 13/2005, al permitir una asignación arbitraria e injustificada de bienes y recursos públicos a particulares, vulnera los principios constitucionales que, conforme al artículo 31.2 CE, rigen la asignación del gasto público. La cesión de bienes establecida por el Real Decreto-ley conlleva, al extraer bienes y derechos económicos de la titularidad pública, la incursión en un gasto público. Descartado el carácter restitutorio de la norma, los diputados recurrentes consideran que nos encontramos ante una forma sui generis de ayuda o subvención. Este carácter de ayuda o subvención es el que materialmente resulta más acorde con la institución tras la publicación del Real Decreto-ley, precisamente porque la supresión de los requisitos exigidos anteriormente convierte el contenido material de la norma en un beneficio económico, que no responde a ningún título jurídico previo, lo que expresa la verdadera naturaleza de la norma: es una norma subvencionadora. En cuanto tal, el gasto que supone debe someterse a los principios constitucionales que regulan el gasto público, enunciados en el art. 31.2 CE, precepto que contiene un doble mandato: por un lado, el relativo a la asignación equitativa de los recursos públicos, referencia que puede ser considerada como un auténtico principio de justicia material en la conformación y definición del gasto público y, por otro, el que establece que la programación y la ejecución del gasto público deben responder a los principios de eficiencia y economía. Uno y otro principio se proyectan, entre otros ámbitos, sobre la actividad administrativa de gestión de los bienes y derechos patrimoniales, respecto de los que el art. 8 de la Ley 33/2003, de 8 de noviembre, de patrimonio de las Administraciones públicas, exige la obtención de la máxima rentabilidad. A juicio de los diputados recurrentes, el Real Decreto-ley quebranta ambos principios. Vulnera, en primer lugar, la obligación de los poderes públicos de realizar una asignación equitativa de los recursos públicos, pues prevé una elevada asignación de estos que favorece de modo prácticamente exclusivo a una determinada organización sindical, sin justificación alguna. En segundo lugar, vulnera el principio de eficiencia en la programación del gasto público. Si la eficiencia consiste en la relación óptima entre los fines perseguidos y los medios empleados para lograrlos, en este caso tal relación óptima no existe, pues el fin perseguido —la restitución a las organizaciones sindicales de los bienes que les fueron incautados— se realiza a través de medios que no resultan adecuados para lograrlos, pues se prevé la compensación por bienes que, o bien no eran de las organizaciones sindicales, o bien no les fueron incautados, añadiendo además en la compensación el interés legal del dinero desde 1986 hasta el momento en que la compensación se acuerde (sin justificación alguna, pues no ha existido mora del Estado que ampare tal satisfacción del interés legal), todo ello con grave onerosidad para la Administración pública, que se ve impelida en definitiva a un apoyo institucional a una determinada organización sindical bajo el ropaje de una devolución sin que se justifique ni un derecho previo sobre los bienes ni la incautación de los mismos. En suma, la exoneración de la demostración del título jurídico válido para una actividad de restitución trastoca el verdadero fundamento y la causa última de la actuación pública para convertirla en una adjudicación sin causa probada que es difícilmente compatible con los principios constitucionales que inspiran la actuación administrativa en materia de gasto. Además, a pesar de que en la memoria económica del Real Decreto-ley se cuantifica el gasto estimado que derivará del mismo, el tenor literal de su texto hace imprevisible la determinación real del importe económico al que queda obligado, pues nada impide la reclamación de otros bienes y derechos que no </w:t>
      </w:r>
      <w:r>
        <w:lastRenderedPageBreak/>
        <w:t>sean los ya examinados en los expedientes administrativos en curso, sobre las nuevas bases establecidas en la norma y que, dados los perfiles de ésta, resulta imposible identificar con carácter previo.</w:t>
      </w:r>
    </w:p>
    <w:p w:rsidR="00A90898" w:rsidRDefault="00A90898" w:rsidP="00A90898">
      <w:pPr>
        <w:pStyle w:val="TextoNormal"/>
      </w:pPr>
    </w:p>
    <w:p w:rsidR="00A90898" w:rsidRDefault="00A90898" w:rsidP="00A90898">
      <w:pPr>
        <w:pStyle w:val="TextoNormal"/>
      </w:pPr>
      <w:r w:rsidRPr="00A90898">
        <w:rPr>
          <w:rStyle w:val="NumeroAFNegritaCaracter"/>
        </w:rPr>
        <w:t>2</w:t>
      </w:r>
      <w:r>
        <w:t>. En providencia de 14 de marzo de 2006 se acordó admitir a trámite el recurso, dar traslado de la demanda y documentos presentados al Congreso de los Diputados, al Senado y al Gobierno al objeto de que puedan personarse en el proceso y formular las alegaciones que estimaren convenientes, y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El 23 de marzo de 2006, se personó en el recurso el Abogado del Estado en nombre del Gobierno, solicitando prórroga por el máximo legal del plazo concedido para formular alegaciones, teniéndole el Tribunal por personado y concediéndole una prórroga de ocho días para la presentación de alegaciones mediante providencia del día siguiente.</w:t>
      </w:r>
    </w:p>
    <w:p w:rsidR="00A90898" w:rsidRDefault="00A90898" w:rsidP="00A90898">
      <w:pPr>
        <w:pStyle w:val="TextoNormal"/>
      </w:pPr>
    </w:p>
    <w:p w:rsidR="00A90898" w:rsidRDefault="00A90898" w:rsidP="00A90898">
      <w:pPr>
        <w:pStyle w:val="TextoNormal"/>
      </w:pPr>
      <w:r w:rsidRPr="00A90898">
        <w:rPr>
          <w:rStyle w:val="NumeroAFNegritaCaracter"/>
        </w:rPr>
        <w:t>4</w:t>
      </w:r>
      <w:r>
        <w:t>. El 30 de marzo de 2006 se recibió en este Tribunal escrito del Presidente del Senado en el que comunicaba el acuerdo de la mesa de ofrecer la colaboración de la Cámara a los efectos del art. 88.1 de la Ley Orgánica del Tribunal Constitucional (LOTC). El día 31 siguiente se recibió escrito del Presidente del Congreso de los Diputados comunicando que la Mesa de la Cámara había acordado que, aunque el Congreso no se personaría en el procedimiento ni formularía alegaciones, ponía a disposición del Tribunal las actuaciones de la Cámara que el mismo pudiera precisar.</w:t>
      </w:r>
    </w:p>
    <w:p w:rsidR="00A90898" w:rsidRDefault="00A90898" w:rsidP="00A90898">
      <w:pPr>
        <w:pStyle w:val="TextoNormal"/>
      </w:pPr>
    </w:p>
    <w:p w:rsidR="00A90898" w:rsidRDefault="00A90898" w:rsidP="00A90898">
      <w:pPr>
        <w:pStyle w:val="TextoNormal"/>
      </w:pPr>
      <w:r w:rsidRPr="00A90898">
        <w:rPr>
          <w:rStyle w:val="NumeroAFNegritaCaracter"/>
        </w:rPr>
        <w:t>5</w:t>
      </w:r>
      <w:r>
        <w:t>. El 25 de abril de 2006 el Abogado del Estado presentó alegaciones en las que sustenta su petición de que el recurso fuera desestimado. Comienza por rechazar el planteamiento de la demanda de presentar el Real Decreto-ley impugnado como una donación encubierta a un sindicato cercano al partido político que sustenta al Gobierno, para dar respuesta después a las alegaciones de los demandantes sobre la inconstitucionalidad de aquél.</w:t>
      </w:r>
    </w:p>
    <w:p w:rsidR="00A90898" w:rsidRDefault="00A90898" w:rsidP="00A90898">
      <w:pPr>
        <w:pStyle w:val="TextoNormal"/>
      </w:pPr>
    </w:p>
    <w:p w:rsidR="00A90898" w:rsidRDefault="00A90898" w:rsidP="00A90898">
      <w:pPr>
        <w:pStyle w:val="TextoNormal"/>
      </w:pPr>
      <w:r>
        <w:t xml:space="preserve">A) Según el representante procesal del Gobierno, el texto de la norma, su exposición de motivos y las intervenciones del Gobierno y del Grupo Parlamentario Socialista en el debate de convalidación desmienten rotundamente la “premisa-conclusión” de la demanda, según la cual aquélla se limitaba a instrumentar una subvención encubierta; por el contrario, de su lectura resulta claramente la única finalidad del Real Decreto-ley: la reparación del daño causado por el alzamiento militar y la guerra civil a las organizaciones sindicales entonces existentes y que hoy subsisten, esto es, la misma que inspiró la Ley 4/1986. Por tanto, la finalidad de la norma es reparadora. Pero es que, además, tampoco puede afirmarse con rigor que el Real Decreto-ley trate de privilegiar arbitrariamente a un sindicato frente a los demás. En primer lugar, porque si fuera así, tal afirmación podría hacerse también respecto de la Ley 4/1986. Téngase en cuenta que los destinatarios de las dos normas son los mismos: las organizaciones sindicales existentes al tiempo del conflicto o “los sindicatos de trabajadores que acrediten ser sus legítimos sucesores”. Y la razón de la aplicación de la norma a unos sindicatos y no a otros es perfectamente congruente con su finalidad reparadora. La razón es exclusivamente que al tiempo de la guerra civil existían unos sindicatos y no otros; la norma tendría finalidad subvencionadora y no reparadora si extendiera su ámbito a sindicatos que no existían en 1936 y que difícilmente pudieron resultar afectados patrimonialmente por el conflicto. En el caso de que los concretos actos de aplicación de la norma </w:t>
      </w:r>
      <w:r>
        <w:lastRenderedPageBreak/>
        <w:t>excedieran de ese ámbito objetivo, serán actos contrarios a la norma y revisables por la jurisdicción contencioso-administrativa. Desde el juicio abstracto que procede realizar en esta sede, sólo puede apreciarse una finalidad de íntegra reparación y la congruencia de las reformas introducidas con esa finalidad.</w:t>
      </w:r>
    </w:p>
    <w:p w:rsidR="00A90898" w:rsidRDefault="00A90898" w:rsidP="00A90898">
      <w:pPr>
        <w:pStyle w:val="TextoNormal"/>
      </w:pPr>
    </w:p>
    <w:p w:rsidR="00A90898" w:rsidRDefault="00A90898" w:rsidP="00A90898">
      <w:pPr>
        <w:pStyle w:val="TextoNormal"/>
      </w:pPr>
      <w:r>
        <w:t>B) Se detiene seguidamente el Abogado del Estado en defender que el Real Decreto-ley impugnado responde a una necesidad extraordinaria y urgente, no sin antes exponer la jurisprudencia constitucional sobre la cuestión, que exige tres requisitos para que pueda apreciarse la concurrencia de ese presupuesto: que los órganos políticos hayan explicitado y razonado la situación de extraordinaria y urgente necesidad, sin perjuicio de que el Tribunal Constitucional no quede vinculado con justificación exteriorizada; que corresponde sólo a los órganos políticos la valoración de la necesidad, sin perjuicio de que cuando incurran en una valoración manifiestamente abusiva o arbitraria deba la jurisdicción constitucional corregir el exceso, y que exista una relación directa o de congruencia entre la situación que constituye el presupuesto habilitante y las medidas que se adoptan en el Decreto-ley.</w:t>
      </w:r>
    </w:p>
    <w:p w:rsidR="00A90898" w:rsidRDefault="00A90898" w:rsidP="00A90898">
      <w:pPr>
        <w:pStyle w:val="TextoNormal"/>
      </w:pPr>
    </w:p>
    <w:p w:rsidR="00A90898" w:rsidRDefault="00A90898" w:rsidP="00A90898">
      <w:pPr>
        <w:pStyle w:val="TextoNormal"/>
      </w:pPr>
      <w:r>
        <w:t xml:space="preserve">a) Se han exteriorizado las razones de urgencia; en la exposición de motivos se indica la necesidad de poner fin a las deficiencias observadas en la aplicación de la Ley 4/1986, de 4 de enero, deficiencias que se identifican en aquella exposición: no haber tenido en consideración las especiales circunstancias derivadas de la existencia de una guerra civil y un largo período posterior de dictadura que dificultan la acreditación de la titularidad de los bienes y derechos del llamado patrimonio sindical histórico y la ausencia de un plazo para la presentación de solicitudes por los reclamantes, que hace interminable este proceso de reparación de daño históricamente originado y que la Ley 4/1986, de 8 de enero, intentó reparar. Esta necesidad de reforma apreciada por los órganos políticos se considera urgente porque el tiempo transcurrido desde la entrada en vigor de la citada ley ha originado, en el momento de la compensación de los bienes y derechos integrantes del denominado patrimonio sindical histórico, un perjuicio, como consecuencia de la forma de valoración dispuesta en la misma, basada en los valores de mercado a su entrada en vigor, perjuicio que se va incrementando con el paso del tiempo, en la medida en que quienes se vieron injustamente desposeídos de sus bienes y derechos siguen sin ver reparada esta injusticia. Además, la prolongación de este proceso de reparación de hechos injustos mantiene abierta una situación de incertidumbre en cuanto a la titularidad de bienes y derechos y en cuanto a los deberes del Estado respecto a la devolución o compensación, que es muy negativa. Por tanto, básicamente son dos las razones de urgencia que aprecian los órganos políticos para la utilización del Real Decreto-ley: la inseguridad jurídica que genera el indefinido mantenimiento de incertidumbres sobre la titularidad de unos bienes y sobre la cantidad que habrá de satisfacerse por la restitución y los perjuicios que el retraso en la plena restitución está ocasionando a sus beneficiarios, que puede limitar considerablemente su capacidad operativa. Aprecian los órganos políticos que esta limitación de la capacidad de actuación de los titulares del derecho a la restitución es especialmente grave, dada la función constitucionalmente relevante de los sindicatos. En el debate de convalidación del Real Decreto-ley, el Sr. Ministro de Trabajo y Asuntos Sociales añadió razones políticas de la urgencia: la existencia de “una deuda ética y moral” de “reparación de una injusticia histórica que proviene de un acto intrínsecamente antidemocrático, como fue la ilegalización de las organizaciones sindicales y políticas como consecuencia de un levantamiento militar”, que es imprescindible reparar, reparación que no se ha hecho completamente en más de 20 años y que no debe esperar más. Es decir, políticamente se justifica el uso del Real Decreto-ley por la urgente </w:t>
      </w:r>
      <w:r>
        <w:lastRenderedPageBreak/>
        <w:t>necesidad de reparar inmediatamente una situación de manifiesta injusticia, de claro expolio, cuya persistencia repugna a los más elementales valores democráticos. Es, por tanto, claro que los órganos políticos han cumplido con el deber de exteriorización de las razones que justificaban la utilización de este instrumento normativo.</w:t>
      </w:r>
    </w:p>
    <w:p w:rsidR="00A90898" w:rsidRDefault="00A90898" w:rsidP="00A90898">
      <w:pPr>
        <w:pStyle w:val="TextoNormal"/>
      </w:pPr>
    </w:p>
    <w:p w:rsidR="00A90898" w:rsidRDefault="00A90898" w:rsidP="00A90898">
      <w:pPr>
        <w:pStyle w:val="TextoNormal"/>
      </w:pPr>
      <w:r>
        <w:t>b) El segundo requisito es que la calificación de la urgencia realizada por los órganos políticos no haya sido manifiestamente arbitraria o abusiva. La demanda omite toda referencia argumental a la principal razón de la urgencia, tal y como está recogida en la exposición de motivos del Real Decreto-ley: “para los beneficiarios de la restitución, el no disponer de los aludidos bienes y derechos, que pueden ser infraestructura económica para el desarrollo de su actividad, limita sus posibilidades de actuación, tratándose de sujetos como los sindicatos, cuya actividad está reconocida y promovida por la Constitución Española”. Es decir, con el adelanto de la restitución, mediante la utilización del Real Decreto-ley, fundamentalmente se tratan de paliar los perjuicios que para las entidades que fueron objeto de incautación supone no disponer de los bienes a que legalmente tienen derecho. Ese perjuicio individual de los antiguos titulares de los bienes se agrava y adquiere dimensión general por la singular posición constitucional de las entidades titulares del derecho, como actores del derecho fundamental a la libertad sindical. Las afirmaciones de la demanda sobre la delicada situación financiera de uno de los sindicatos titulares del derecho a la restitución, sólo vendrían a otorgar una mayor solidez al juicio político de la urgencia en la efectiva realización de la restitución. Es decir, la finalidad de la Ley 4/1986 y del Real Decreto-ley no es dar lo que no se debe, en una suerte de subvención encubierta; la finalidad de éste es la misma que la de la Ley que reforma: reparar los daños causados a las organizaciones sindicales por la guerra civil. Si la finalidad es reparadora, nadie puede discutir que existe urgencia en la devolución de lo debido, máxime cuando alguno de los acreedores de la indemnización se halla en una apremiante situación financiera —hecho no controvertido, en cuanto aceptado por ambas partes—. La urgencia se agrava y adquiere la dimensión exigida por el art. 86 CE si el acreedor apremiado tiene la singular posición constitucional de los sindicatos (y si es uno de los más representativos). Acudir al decreto-ley es imprescindible —como apreciaron los órganos políticos— si el desequilibrio patrimonial viene, en buena medida, agravado por la demora en la devolución de elementos económicos debidos a la organización sindical.</w:t>
      </w:r>
    </w:p>
    <w:p w:rsidR="00A90898" w:rsidRDefault="00A90898" w:rsidP="00A90898">
      <w:pPr>
        <w:pStyle w:val="TextoNormal"/>
      </w:pPr>
    </w:p>
    <w:p w:rsidR="00A90898" w:rsidRDefault="00A90898" w:rsidP="00A90898">
      <w:pPr>
        <w:pStyle w:val="TextoNormal"/>
      </w:pPr>
      <w:r>
        <w:t xml:space="preserve">c) La demanda aprecia la incongruencia con la finalidad reparadora en las reformas introducidas por el Real Decreto-ley en la redacción de la disposición adicional cuarta de la Ley 4/1986; alega que, mientras que en la redacción inicial se establecía que quedaban excluidos de integración en el patrimonio sindical acumulado “los bienes y derechos que, por virtud de la Ley de Responsabilidades Políticas, de 9 de febrero de 1939, fueron incautados a las Organizaciones Sindicales o sus Entes afiliados o asociados de carácter sindical entonces existentes”, tras el Real Decreto-ley se excluye de integración en dicho patrimonio a “los bienes y derechos que a la entrada en vigor del Decreto de 13 de septiembre de 1936 pertenecían a las organizaciones sindicales o a personas jurídicas afiliadas, asociadas o vinculadas a aquellas, ya entonces existentes”. Según el Abogado del Estado resulta indudable que la reforma responde a la finalidad perseguida y declarada de facilitar la íntegra reparación de los daños causados por la guerra civil. Así, claramente lo que se consigue con la modificación del inciso es volver las cosas a la situación previa al conflicto, actualizando el valor de los bienes a la fecha de la reparación. En efecto, la exigencia de la inicial redacción de que se acreditara la incautación al amparo de la Ley de responsabilidades políticas de </w:t>
      </w:r>
      <w:r>
        <w:lastRenderedPageBreak/>
        <w:t>1939 era un obstáculo poco razonable a la íntegra reparación, objetivo original de la disposición adicional cuarta, y ello porque la privación de sus bienes a los sindicatos tuvo lugar normalmente mediante su incautación, pero también en algunos casos por la vía de hecho o por otros sistemas; además, es lógico suponer que no todas las privaciones se acordaron al amparo de la Ley de 1939, sino que desde la misma ilegalización efectuada por el Decreto de 1936, al menos en la llamada “zona nacional”, se irían produciendo incautaciones. Resulta de una evidente dificultad probar las concretas privaciones en una situación naturalmente convulsa, por lo que, de forma razonable, el Real Decreto-ley opta por presumir que todos los bienes de que la organización sindical disponía antes de su ilegalización le fueron posteriormente incautados. Trata así el legislador de ensayar la más precisa aproximación posible a la realidad, consciente de la imposibilidad de una perfecta reconstrucción de los hechos, tomando “en consideración las especiales circunstancias derivadas de la existencia de una guerra civil y un largo período posterior de dictadura”, según la exposición de motivos, y que con la ilegalización de los partidos y agrupaciones políticas y sociales que integraban el frente popular, por el Decreto de 1936, comenzaron las incautaciones no sólo de sus bienes, sino también de sus archivos, documentos, registros y protocolos. La demanda aduce que mediante la reforma se corre el riesgo de subvencionar y no restituir, dado que se podría indemnizar por bienes voluntariamente enajenados por la organización sindical, durante la guerra en la zona republicana. El riesgo existe; sin embargo, no puede ignorarse que la enajenación, normalmente, produciría el ingreso en el patrimonio sindical del equivalente monetario del bien, equivalente del que terminada la guerra también fueron desposeídos los sindicatos. El legislador opta, por todo ello, en congruencia con el objetivo declarado de favorecer la plena reparación, por devolver a las organizaciones sindicales los bienes de que disfrutaban inmediatamente antes de su ilegalización y del comienzo de los procesos confiscatorios. En definitiva, la reforma es claramente consecuente con la urgencia apreciada: favorecer la rápida reparación a los sindicatos de los daños derivados de la guerra civil, poniendo a su disposición cuanto antes los elementos patrimoniales a que tendrían derecho de acuerdo con aquella finalidad.</w:t>
      </w:r>
    </w:p>
    <w:p w:rsidR="00A90898" w:rsidRDefault="00A90898" w:rsidP="00A90898">
      <w:pPr>
        <w:pStyle w:val="TextoNormal"/>
      </w:pPr>
    </w:p>
    <w:p w:rsidR="00A90898" w:rsidRDefault="00A90898" w:rsidP="00A90898">
      <w:pPr>
        <w:pStyle w:val="TextoNormal"/>
      </w:pPr>
      <w:r>
        <w:t xml:space="preserve">En cuanto a la discutida extensión de “la reparación a favor de las organizaciones sindicales de bienes que pertenecían a terceros y que no estaban destinados al ejercicio de la actividad sindical”, en la original redacción de la disposición adicional cuarta de la Ley 4/1986, se exigía que los bienes se hubieren incautado a “las organizaciones sindicales o sus entes afiliados o asociados de carácter sindical entonces existentes”. El Real Decreto-ley prevé la restitución de los bienes que pertenecieran a organizaciones sindicales “o a personas jurídicas afiliadas, asociadas o vinculadas a aquéllas, ya entonces existentes” y permite la reintegración de los “bienes y derechos que, habiendo pertenecido a una organización sindical o a una persona jurídica de naturaleza mercantil, cooperativa o fundacional, que hubiera estado afiliada, asociada o vinculada a aquella en el momento de la entrada en vigor del Decreto de 13 de septiembre de 1936, no se incorporaron al patrimonio de la antigua organización sindical por consecuencia o efecto de lo previsto en una disposición legal o reglamentaria”. Pues bien, sin entrar en la técnica legislativa empleada, que queda al margen de este proceso constitucional, resulta claro que sigue exigiéndose a quienes pertenecían los bienes, cualquiera que fuera su forma jurídica, que estuvieran afiliados, asociados o vinculados a la organización sindical, aunque se suprime la exigencia de que tuviera carácter estrictamente sindical. La justificación de esta medida se encuentra en la intervención del representante del Grupo Parlamentario Socialista en el debate de convalidación en el Congreso de los Diputados, según la cual el Tribunal Supremo en diferentes sentencias ha creado </w:t>
      </w:r>
      <w:r>
        <w:lastRenderedPageBreak/>
        <w:t>jurisprudencia sobre la vinculación de las organizaciones sindicales UGT y CNT con las sociedades obreras, las cooperativas, las mutualidades de trabajadores, las sociedades de socorro mutuo y otras de ámbito semejante. El Tribunal Supremo reconoce en catorce Sentencias que estos organismos eran básicamente organizaciones y entidades de propiedad y creación sindical, todas ellas con vinculación sindical, pues en 1936 las organizaciones sindicales funcionaban respecto de sus afiliados como elementos de apoyo en materia sanitaria, educativa o de previsión social. La Ley de asociaciones de patronos y obreros de 8 de abril de 1932 incluye, entre las facultades de las asociaciones de obreros, además de la defensa de sus intereses profesionales (arts. 1, 2 y 4), las de “organizar enseñanzas de especialización para la instrucción y perfeccionamiento profesional de sus miembros, así como talleres, exposiciones, museos, laboratorios, escuelas técnicas, concursos, conferencias, publicaciones”, o “fundar instituciones de previsión y asistencia social” —que podían establecer subsidios a los asociados en casos de enfermedad, invalidez, paro forzoso u otras eventualidades, art. 30—. La actividad de las organizaciones sindicales era mucho más amplia que la actual. En palabras del Tribunal Supremo, “en la época actual las finalidades de las entidades sindicales son otras (emancipación de la clase obrera, reivindicaciones frente a la patronal, mejora de las condiciones de trabajo), pero no era así en la época anterior a 1936 ... Pues entonces, al no existir un sistema de seguridad y de asistencia social generalizado, los sindicatos tenían o ejercían actividades de socorros mutuos de los afiliados” (Sentencia de 29 de junio de 2000). Entre otras, las organizaciones sindicales adoptaron las formas jurídicas instrumentales de sociedades obreras, cooperativas de trabajadores, sociedades de socorros mutuos y mutualidades y casas del pueblo. El Real Decreto-ley, al referirse a las personas jurídicas afiliadas, asociadas o vinculadas a las organizaciones sindicales, no ha hecho más que recoger la realidad histórica de las figuras asociativas que ha ido adoptando el movimiento obrero, facilitando la plenitud de la reparación a las organizaciones sindicales, por lo que es evidente la perfecta congruencia de la medida con la finalidad de acelerar la plena reparación de los daños derivados de la guerra.</w:t>
      </w:r>
    </w:p>
    <w:p w:rsidR="00A90898" w:rsidRDefault="00A90898" w:rsidP="00A90898">
      <w:pPr>
        <w:pStyle w:val="TextoNormal"/>
      </w:pPr>
    </w:p>
    <w:p w:rsidR="00A90898" w:rsidRDefault="00A90898" w:rsidP="00A90898">
      <w:pPr>
        <w:pStyle w:val="TextoNormal"/>
      </w:pPr>
      <w:r>
        <w:t>Discute la demanda la extensión de la compensación económica a los intereses legales generados desde la entrada en vigor de la Ley 4/1986, de 8 de enero, dado que no se toma en consideración la diligencia del sindicato a la hora de cursar su reclamación y que no puede considerarse que el Estado haya incurrido en mora en el cumplimiento de sus obligaciones. Resulta claro que la plena reparación exige la actualización del valor de los bienes al tiempo en que efectivamente se produce, dado que la intención no es sino reponer a la organización en la capacidad económica de que disponía antes de la guerra. Esa era la intención inicial de la Ley 4/1986 que establecía la compensación del valor “normal de mercado que a la entrada en vigor de esta Ley tendrían los citados bienes y derechos de no haber sido incautados”. Es lógico pensar que el legislador no previó un período tan prolongado de tiempo para la ejecución de la reparación y, parece claro, que lo que pretendía era la plena indemnidad del patrimonio sindical, valorado, por eso, al tiempo de la entrada en vigor de la ley, que podía presumirse cercano al de la efectiva restitución. El Real Decreto-ley considera que el retraso en la restitución ha sido provocado por las propias exigencias de la legislación que se reforma, según se expresa en la exposición de motivos, y trata, por ello, de evitar que los destinatarios puedan sufrir las consecuencias de esa demora. Precisamente por eso, y para facilitar la valoración de la indemnización, acude a la actualización de los valores por aplicación del interés legal. No parece que pueda objetarse nada a la congruencia de esta medida con la urgente finalidad que trata de satisfacer la norma impugnada.</w:t>
      </w:r>
    </w:p>
    <w:p w:rsidR="00A90898" w:rsidRDefault="00A90898" w:rsidP="00A90898">
      <w:pPr>
        <w:pStyle w:val="TextoNormal"/>
      </w:pPr>
    </w:p>
    <w:p w:rsidR="00A90898" w:rsidRDefault="00A90898" w:rsidP="00A90898">
      <w:pPr>
        <w:pStyle w:val="TextoNormal"/>
      </w:pPr>
      <w:r>
        <w:lastRenderedPageBreak/>
        <w:t>En contra del cuestionamiento en la demanda del establecimiento de un plazo para formular solicitudes, hasta el 31 de enero de 2006, afirma el Abogado del Estado que tal determinación es perfectamente coherente con el objetivo declarado en la exposición de motivos de evitar que se haga “interminable este proceso de reparación del daño históricamente originado”. La brevedad del plazo se justifica en que, tal y como apunta la demanda, tras 20 años (al menos) de esfuerzo investigador, ya se encuentran presentadas todas las reclamaciones. El Real Decreto-ley trata de desbloquear la situación en que se encuentran los más de 4.000 expedientes documentados pendientes de resolver, según indicó el portavoz del Grupo Socialista en el debate de convalidación; en definitiva, nada más coherente con la urgencia para concluir el proceso reparador que fijar un plazo breve para la presentación de las solicitudes.</w:t>
      </w:r>
    </w:p>
    <w:p w:rsidR="00A90898" w:rsidRDefault="00A90898" w:rsidP="00A90898">
      <w:pPr>
        <w:pStyle w:val="TextoNormal"/>
      </w:pPr>
    </w:p>
    <w:p w:rsidR="00A90898" w:rsidRDefault="00A90898" w:rsidP="00A90898">
      <w:pPr>
        <w:pStyle w:val="TextoNormal"/>
      </w:pPr>
      <w:r>
        <w:t>C) A continuación niega el representante del Gobierno que la norma impugnada incurra en violación de la libertad sindical, del principio de igualdad o del principio de interdicción de la arbitrariedad. La demanda considera que la vulneración de tales derechos supone afección al núcleo esencial de los mismos por lo que se vulneraría el límite material del Real Decreto-ley impuesto en el art. 86 CE. La vulneración y la afección a la libertad sindical la sitúa la demanda nuevamente en el carácter subvencionador que atribuye al Real Decreto-ley, que vendría a favorecer a uno de los sindicatos más representativos, sin justificación objetiva y razonable. Insiste la demanda en que la supresión del requisito de la incautación, la ampliación subjetiva de los titulares de los bienes y la actualización de la indemnización hacen que la norma pierda su naturaleza reparadora para convertirse en una norma subvencionadora. Sin perjuicio de reiterar la procedencia de tales medidas, afirma el Abogado del Estado que la naturaleza reparadora de la disposición adicional cuarta de la Ley 4/1986 en la redacción dada por el Real Decreto-ley es absolutamente indudable: sólo se restituyen bienes que pertenecían a los sindicatos al tiempo de comenzar la guerra civil y ser ilegalizados, tratando de devolverlos a la situación anterior al conflicto y a su ilegalización; en todo caso, se exige que los bienes pertenecieran a una persona jurídica vinculada a la organización sindical, dada la forma de actuación de los sindicatos en aquellas fechas; la actualización de los valores al momento de la indemnización es típica de todos los procesos reparadores, dado que se trata de garantizar la íntegra restitución, mediante la efectiva equivalencia financiera entre el daño y la indemnización.</w:t>
      </w:r>
    </w:p>
    <w:p w:rsidR="00A90898" w:rsidRDefault="00A90898" w:rsidP="00A90898">
      <w:pPr>
        <w:pStyle w:val="TextoNormal"/>
      </w:pPr>
    </w:p>
    <w:p w:rsidR="00A90898" w:rsidRDefault="00A90898" w:rsidP="00A90898">
      <w:pPr>
        <w:pStyle w:val="TextoNormal"/>
      </w:pPr>
      <w:r>
        <w:t>No existe, según el representante del Gobierno, discriminación arbitraria de los sindicatos no favorecidos por la indemnización, pues hay una causa perfectamente razonable de la diferencia: únicamente se puede restituir a quien fue privado y, lógicamente, sólo lo fueron las organizaciones sindicales que existían al tiempo de la guerra civil. Así, la preexistencia se configura como requisito general aplicable a todas las organizaciones sindicales y es perfectamente coherente con la voluntad de resarcir. Parece claro, por tanto, que el criterio establecido para distinguir es objetivo, proporcionado y razonable con la finalidad legítima perseguida por la norma.</w:t>
      </w:r>
    </w:p>
    <w:p w:rsidR="00A90898" w:rsidRDefault="00A90898" w:rsidP="00A90898">
      <w:pPr>
        <w:pStyle w:val="TextoNormal"/>
      </w:pPr>
    </w:p>
    <w:p w:rsidR="00A90898" w:rsidRDefault="00A90898" w:rsidP="00A90898">
      <w:pPr>
        <w:pStyle w:val="TextoNormal"/>
      </w:pPr>
      <w:r>
        <w:t>D) En relación con la denunciada vulneración del art. 31.2 CE, que la demanda basa en la naturaleza subvencional que atribuye al Real Decreto-ley, se remite el Abogado del Estado a sus razonamientos anteriores sobre la naturaleza reparadora de la norma impugnada.</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5 de julio de 2016 se señaló para la deliberación y votación de la presente Sentencia el día 7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Nos corresponde resolver el recurso de inconstitucionalidad promovido por más de ochenta diputados contra el Real Decreto-ley 13/2005, de 28 de octubre, por el que se modifica la Ley 4/1986, de 8 de enero, de cesión de bienes del patrimonio sindical acumulado, publicado en el “Boletín Oficial del Estado” el día 3 de noviembre de 2005. La modificación se limita a la disposición adicional cuarta de la citada ley, que establecía la restitución a las organizaciones sindicales de los bienes y derechos que les fueron incautados por virtud de la Ley de responsabilidades políticas de 9 de febrero de 1939; de acuerdo con la disposición citada tales bienes y derechos serían reintegrados a dichas organizaciones —o a los sindicatos que acrediten ser sus legítimos sucesores—, debidamente inscritos a su nombre por cuenta del Estado. Si tales bienes o derechos no pudieran ser reintegrados se preveía que el Estado compensaría pecuniariamente su valor, considerando como tal el normal de mercado que tendrían a la entrada en vigor de la Ley de no haber sido incautados.</w:t>
      </w:r>
    </w:p>
    <w:p w:rsidR="00A90898" w:rsidRDefault="00A90898" w:rsidP="00A90898">
      <w:pPr>
        <w:pStyle w:val="TextoNormal"/>
      </w:pPr>
    </w:p>
    <w:p w:rsidR="00A90898" w:rsidRDefault="00A90898" w:rsidP="00A90898">
      <w:pPr>
        <w:pStyle w:val="TextoNormal"/>
      </w:pPr>
      <w:r>
        <w:t>El Real Decreto-ley impugnado sustituye la norma contenida en la disposición adicional cuarta por otra en la que se prevé que los bienes y derechos que a la entrada en vigor del Decreto de 13 de septiembre de 1936 pertenecían a las organizaciones sindicales o a personas jurídicas afiliadas, asociadas o vinculadas a aquellas, ya entonces existentes, serían reintegrados en pleno dominio a dichas organizaciones debidamente inscritos a su nombre por cuenta del Estado o, en su caso, a aquellos sindicatos de trabajadores que acrediten ser sus legítimos sucesores, previa solicitud de los beneficiarios antes del 31 de enero de 2006. También serán reintegrados a las mencionadas organizaciones sindicales, con los mismos requisitos y en las mismas condiciones, aquellos bienes y derechos que, habiendo pertenecido a una organización sindical o a una persona jurídica de naturaleza mercantil, cooperativa o fundacional, que hubiera estado afiliada, asociada o vinculada a aquella en el momento de la entrada en vigor del Decreto de 13 de septiembre de 1936, no se incorporaron al patrimonio de la antigua organización sindical por consecuencia o efecto de lo previsto en una disposición legal o reglamentaria; se preveía igualmente que el Estado compensaría pecuniariamente el valor de los bienes o derechos que no pudieran ser reintegrados, por cualquier causa, considerando como tal el normal de mercado que tendrían a la entrada en vigor de la Ley 4/1986, aplicando a la cantidad resultante el interés legal del dinero desde dicha entrada en vigor hasta el último día del mes anterior al que se acuerde la compensación. Los bienes muebles situados dentro de los inmuebles se valorarán en un tres por ciento del valor de compensación de estos últimos. Los bienes y derechos cuya reintegración no se solicite antes del 31 de enero de 2006 se inscribirán a nombre del Estado. Una disposición transitoria prevé la aplicación de la nueva norma a los procedimientos iniciados a partir de la entrada en vigor de la Ley 4/1986, de 8 de enero, de cesión de bienes del patrimonio sindical acumulado. El Real Decreto-ley fue convalidado por el Congreso de los Diputados el 24 de noviembre de 2005, cuyo acuerdo se publicó en el “Boletín Oficial del Estado” el día 1 de diciembre siguiente.</w:t>
      </w:r>
    </w:p>
    <w:p w:rsidR="00A90898" w:rsidRDefault="00A90898" w:rsidP="00A90898">
      <w:pPr>
        <w:pStyle w:val="TextoNormal"/>
      </w:pPr>
    </w:p>
    <w:p w:rsidR="00A90898" w:rsidRDefault="00A90898" w:rsidP="00A90898">
      <w:pPr>
        <w:pStyle w:val="TextoNormal"/>
      </w:pPr>
      <w:r>
        <w:t xml:space="preserve">Los diputados recurrentes impugnan el Real Decreto-ley en su totalidad. Consideran, por una parte, que, según hemos expuesto en los antecedentes, ha violado los dos límites establecidos en el art. 86.1 CE para el recurso al decreto-ley: niegan que cumpla la exigencia de </w:t>
      </w:r>
      <w:r>
        <w:lastRenderedPageBreak/>
        <w:t>dar respuesta a una situación de extraordinaria y urgente necesidad y afirman que su contenido afecta a los derechos de los ciudadanos regulados en el título I de aquella. Y, por otra, denuncian que su contenido vulnera el derecho a la libertad sindical reconocido en el art. 28.1 CE en relación con el principio de igualdad de su art. 14, la interdicción de la arbitrariedad de los poderes públicos establecida en el art. 9.3 y los principios que según el art. 31.2 han de regir la gestión del gasto público.</w:t>
      </w:r>
    </w:p>
    <w:p w:rsidR="00A90898" w:rsidRDefault="00A90898" w:rsidP="00A90898">
      <w:pPr>
        <w:pStyle w:val="TextoNormal"/>
      </w:pPr>
    </w:p>
    <w:p w:rsidR="00A90898" w:rsidRDefault="00A90898" w:rsidP="00A90898">
      <w:pPr>
        <w:pStyle w:val="TextoNormal"/>
      </w:pPr>
      <w:r w:rsidRPr="00A90898">
        <w:rPr>
          <w:rStyle w:val="NumeroAFNegritaCaracter"/>
        </w:rPr>
        <w:t>2</w:t>
      </w:r>
      <w:r>
        <w:t>. La tacha de inconstitucionalidad que abordaremos en primer lugar será, como es lógico, la relativa al art. 86.1 CE, pues la misma, de ser estimada, hará innecesario el análisis de las restantes (SSTC 29/1982, de 31 de mayo, FJ 3, y 137/2011, de 14 de septiembre, FJ 1, entre otras).</w:t>
      </w:r>
    </w:p>
    <w:p w:rsidR="00A90898" w:rsidRDefault="00A90898" w:rsidP="00A90898">
      <w:pPr>
        <w:pStyle w:val="TextoNormal"/>
      </w:pPr>
    </w:p>
    <w:p w:rsidR="00A90898" w:rsidRDefault="00A90898" w:rsidP="00A90898">
      <w:pPr>
        <w:pStyle w:val="TextoNormal"/>
      </w:pPr>
      <w:r>
        <w:t>El citado precepto establece que en caso de extraordinaria y urgente necesidad el Gobierno podrá dictar disposiciones legislativas provisionales, que adoptarán la forma de decretos-leyes. La Constitución ha adoptado en este punto, según hemos dicho reiteradamente, una solución flexible y matizada que, por una parte, no lleva a la completa proscripción del decreto-ley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 En concreto hemos dicho que la extraordinaria y urgente necesidad a que alude el precepto constitucional supone un requisito o presupuesto habilitante de inexcusable concurrencia (términos todos ellos que figuran en nuestras resoluciones) para que el Gobierno pueda dictar normas con rango de ley, que se erige en auténtico límite jurídico de la actuación gubernamental mediante decretos-leyes, actuación sujeta, en consecuencia, al control de este Tribunal, al que compete asegurar que los poderes públicos se mueven dentro del marco trazado por la Constitución (por todas, SSTC 100/2012, de 8 de mayo, FJ 8, y 26/2016, de 18 de febrero, FJ 2).</w:t>
      </w:r>
    </w:p>
    <w:p w:rsidR="00A90898" w:rsidRDefault="00A90898" w:rsidP="00A90898">
      <w:pPr>
        <w:pStyle w:val="TextoNormal"/>
      </w:pPr>
    </w:p>
    <w:p w:rsidR="00A90898" w:rsidRDefault="00A90898" w:rsidP="00A90898">
      <w:pPr>
        <w:pStyle w:val="TextoNormal"/>
      </w:pPr>
      <w:r>
        <w:t>Como aceptan tanto los diputados recurrentes como la representación del Gobierno, la causa justificativa del decreto-ley —la situación de extraordinaria y urgente necesidad— ha de ser explicitada por el propio Gobierno. Aquellos consideran que las razones ofrecidas no justifican, la existencia del presupuesto habilitante: la deficiente regulación de la materia en la redacción original de la Ley 4/1986, de 8 de enero, el retraso en la reparación de la injusticia histórica que supuso la incautación de los bienes de las organizaciones sindicales y la situación de incertidumbre en la titularidad de tales bienes no constituyen situaciones imprevisibles, a las que no se pueda hacer frente mediante una ley parlamentaria. Además las concretas medidas introducidas por el Real Decreto-ley no guardan relación con las deficiencias de la Ley 4/1986.</w:t>
      </w:r>
    </w:p>
    <w:p w:rsidR="00A90898" w:rsidRDefault="00A90898" w:rsidP="00A90898">
      <w:pPr>
        <w:pStyle w:val="TextoNormal"/>
      </w:pPr>
    </w:p>
    <w:p w:rsidR="00A90898" w:rsidRDefault="00A90898" w:rsidP="00A90898">
      <w:pPr>
        <w:pStyle w:val="TextoNormal"/>
      </w:pPr>
      <w:r>
        <w:t xml:space="preserve">Por el contrario, la representación del Gobierno sostiene que las razones de necesidad apreciadas por los órganos políticos para la aprobación del Real Decreto-ley impugnado —la inseguridad jurídica que generaba el indefinido mantenimiento de incertidumbres sobre la titularidad de unos bienes y sobre la cantidad que habría de satisfacerse por la restitución y los perjuicios que la demora en resolver ésta ocasionaban a sus beneficiarios, limitando la </w:t>
      </w:r>
      <w:r>
        <w:lastRenderedPageBreak/>
        <w:t>capacidad de actuación de unos sujetos, como los sindicatos, cuya actividad está constitucionalmente reconocida— y de urgencia —la reparación de una injusticia histórica, que no podía esperar más, tras los 20 años de vigencia de la Ley 4/1986— hacían del Decreto-ley el instrumento idóneo.</w:t>
      </w:r>
    </w:p>
    <w:p w:rsidR="00A90898" w:rsidRDefault="00A90898" w:rsidP="00A90898">
      <w:pPr>
        <w:pStyle w:val="TextoNormal"/>
      </w:pPr>
    </w:p>
    <w:p w:rsidR="00A90898" w:rsidRDefault="00A90898" w:rsidP="00A90898">
      <w:pPr>
        <w:pStyle w:val="TextoNormal"/>
      </w:pPr>
      <w:r>
        <w:t>A tenor de lo alegado por las partes y de acuerdo con la pauta que seguimos cuando se discute la concurrencia del presupuesto constitucional habilitante de la potestad legislativa excepcional del Gobierno analizaremos si existía una concreta situación de necesidad extraordinaria y urgente y, en su caso, si las medidas adoptadas en el Real Decreto-ley impugnado son coherentes con la eventual situación de necesidad.</w:t>
      </w:r>
    </w:p>
    <w:p w:rsidR="00A90898" w:rsidRDefault="00A90898" w:rsidP="00A90898">
      <w:pPr>
        <w:pStyle w:val="TextoNormal"/>
      </w:pPr>
    </w:p>
    <w:p w:rsidR="00A90898" w:rsidRDefault="00A90898" w:rsidP="00A90898">
      <w:pPr>
        <w:pStyle w:val="TextoNormal"/>
      </w:pPr>
      <w:r w:rsidRPr="00A90898">
        <w:rPr>
          <w:rStyle w:val="NumeroAFNegritaCaracter"/>
        </w:rPr>
        <w:t>3</w:t>
      </w:r>
      <w:r>
        <w:t>. Si, como hemos adelantado, la Constitución es flexible en punto a admitir la figura del Decreto-ley es porque no se limita a permitir el recurso a la misma en situaciones de necesidad absoluta. En ocasiones anteriores hemos descartado que la utilización por el Gobierno de la potestad legislativa extraordinaria que le confiere el art. 86.1 CE deba circunscribirse a situaciones de fuerza mayor o de emergencia, aceptando su utilización en supuestos de lo que hemos llamado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(STC 6/1983, de 4 de febrero, FJ 5), aunque hemos constatado que del precepto constitucional deriva la exigencia de una situación de excepcionalidad, gravedad, relevancia e imprevisibilidad que determine la necesidad de una acción normativa inmediata en un plazo más breve que el requerido para la tramitación parlamentaria de las leyes, bien sea por el procedimiento ordinario o por el de urgencia. Es también constante en nuestra jurisprudencia la afirmación de que incumbe al Gobierno autor del decreto-ley expresar (explicitar de una forma razonada, según la STC 189/2005, de 7 de julio) los motivos de urgencia, que son los que ha de analizar este Tribunal cuando se niegue su eficacia habilitante para dictar aquel, y que habrán tenido reflejo en la exposición de motivos de la norma, en el debate parlamentario sobre su convalidación o en el expediente de elaboración de aquella.</w:t>
      </w:r>
    </w:p>
    <w:p w:rsidR="00A90898" w:rsidRDefault="00A90898" w:rsidP="00A90898">
      <w:pPr>
        <w:pStyle w:val="TextoNormal"/>
      </w:pPr>
    </w:p>
    <w:p w:rsidR="00A90898" w:rsidRDefault="00A90898" w:rsidP="00A90898">
      <w:pPr>
        <w:pStyle w:val="TextoNormal"/>
      </w:pPr>
      <w:r>
        <w:t xml:space="preserve">El preámbulo del Real Decreto-ley impugnado expone de modo reiterativo y de no fácil comprensión los motivos a que responde su aprobación. Comienza por afirmar que no ha podido ser totalmente cumplido el fin que perseguía la Ley 4/1986, de 8 de enero —se refiere, sin duda, al objetivo de su disposición adicional cuarta, la devolución del patrimonio incautado a los sindicatos— debido a las exigencias que “impuso en orden a acreditar las titularidades de los bienes y derechos del patrimonio sindical histórico”. Indica también que “la dificultad de acreditar los requisitos exigidos por la Ley 4/1986, de 8 de enero, afecta también al valor de los bienes y derechos a los efectos de su compensación”. En relación con la primera cuestión, dice la exposición de motivos que “la finalidad reparadora de la Ley 4/1986, de 8 de enero, no alcanza a quienes pueden ser acreedores de reparación, ya que la interpretación de la actual normativa no permite identificarles como tales”, frase cuyo sentido es difícilmente asequible. Y en relación con la segunda se indica que “las compensaciones, que incluso con el actual marco legal pudieran darse, se efectuarían con valores económicos muy alejados de los de la situación del mercado, que era el criterio de la Ley 4/1986, de 8 de enero, lógico y equitativo en la medida en que la compensación se produjera en fechas próximas a aquellas en las que la norma abrió la posibilidad de reparación”. En otro orden de cosas, la exposición de motivos indica que la prolongación del “proceso de </w:t>
      </w:r>
      <w:r>
        <w:lastRenderedPageBreak/>
        <w:t>reparación de hechos injustos mantiene abierta una situación de incertidumbre en cuanto a la titularidad de bienes y derechos”, incertidumbre que afecta tanto a los beneficiarios de la restitución como al Estado. La exposición de motivos concluye diciendo que “resulta por todo ello urgente poner fin a esta situación que está incidiendo negativamente en el cumplimiento de los fines de reparación de la incautación de los bienes de las organizaciones sindicales democráticas como consecuencia de la Guerra Civil y afectando, de un modo más general, a la seguridad jurídica, procediendo así a la sustitución de la anterior normativa por una nueva que elimine las disfunciones constatadas y que dé solución a un problema tan especial, por su vinculación a un hecho de excepcional alteración de los principios del orden democrático. En esta apreciación de la urgencia tampoco hay que dejar de considerar la necesidad de aminorar el impacto sobre el gasto público de las actuaciones de compensación. Ya se ha visto la necesidad de proceder a la actualización de las valoraciones aplicando a los valores de los bienes el interés legal del dinero desde la vigencia de la Ley 4/1986, de 8 de enero, hasta la fecha de efectividad de la compensación. Con ello, la reducción del efecto de esta compensación en el gasto público requiere que la puesta en práctica del nuevo sistema de compensación y la adopción de los correspondientes acuerdos se produzca con la mayor brevedad posible, conciliando así la efectividad de la finalidad compensatoria, derivada de la actualización de valores con la tutela del gasto público. En consecuencia, concurren en esta regulación las circunstancias de extraordinaria y urgente necesidad a las que se refiere el artículo 86.1 de la Constitución Española para justificar el que el Gobierno dicte un real decreto-ley.”</w:t>
      </w:r>
    </w:p>
    <w:p w:rsidR="00A90898" w:rsidRDefault="00A90898" w:rsidP="00A90898">
      <w:pPr>
        <w:pStyle w:val="TextoNormal"/>
      </w:pPr>
    </w:p>
    <w:p w:rsidR="00A90898" w:rsidRDefault="00A90898" w:rsidP="00A90898">
      <w:pPr>
        <w:pStyle w:val="TextoNormal"/>
      </w:pPr>
      <w:r>
        <w:t>En su exposición ante el Congreso de los Diputados sobre las razones del Gobierno para promulgar el Real Decreto-ley el Ministro de Trabajo y Asuntos sociales indicó, según recoge el Diario de Sesiones del pleno del día 24 de noviembre de 2005, que se consideraba necesaria y urgente la modificación de la Ley 4/1986, de 8 de enero, por razones, primero de justicia y después de seguridad jurídica, y que el Decreto-ley no era “sino una actualización de lo establecido en la ley del año 1986 con la única y clara finalidad de resolver los problemas derivados de esta norma y dar respuesta definitiva al propósito que esta se fijó”. En esa exposición el Ministro de Trabajo y Asuntos Sociales informó de que desde la entrada en vigor de la Ley 4/1986, de 8 de enero, se habían reintegrado (o compensado con su valor) 577 inmuebles a las organizaciones sindicales poseedoras de patrimonio histórico y de que había más de cuatro mil expedientes relativos a reclamaciones de inmuebles, cuentas y bienes de otra naturaleza.</w:t>
      </w:r>
    </w:p>
    <w:p w:rsidR="00A90898" w:rsidRDefault="00A90898" w:rsidP="00A90898">
      <w:pPr>
        <w:pStyle w:val="TextoNormal"/>
      </w:pPr>
    </w:p>
    <w:p w:rsidR="00A90898" w:rsidRDefault="00A90898" w:rsidP="00A90898">
      <w:pPr>
        <w:pStyle w:val="TextoNormal"/>
      </w:pPr>
      <w:r>
        <w:t>Así pues, el Gobierno, en palabras del Ministro en esa misma ocasión, consideró que “restituir a las organizaciones sindicales sus legítimos bienes, que fueron incautados, expoliados de forma antidemocrática” justificaba “abreviar el proceso, utilizar la vía más rápida, el mecanismo más directo para realizar la total y definitiva reparación”.</w:t>
      </w:r>
    </w:p>
    <w:p w:rsidR="00A90898" w:rsidRDefault="00A90898" w:rsidP="00A90898">
      <w:pPr>
        <w:pStyle w:val="TextoNormal"/>
      </w:pPr>
    </w:p>
    <w:p w:rsidR="00A90898" w:rsidRDefault="00A90898" w:rsidP="00A90898">
      <w:pPr>
        <w:pStyle w:val="TextoNormal"/>
      </w:pPr>
      <w:r>
        <w:t xml:space="preserve">Pues bien, es indudable que tan respetable finalidad puede erigirse en objetivo necesario para el Gobierno, cuyo juicio sobre la importancia política del mismo no podemos sustituir. Cosa bien distinta es que colmar esa necesidad sea algo extraordinario y urgente, de modo que se justifique el recurso al decreto-ley para tratar de satisfacerla. La necesidad (o, al menos, la conveniencia) de restituir a los sindicatos los bienes que les fueron incautados por la dictadura ya había sido apreciada por la tan repetida Ley 4/1986, de 8 de enero, en cuyo preámbulo se expone que uno de los dos problemas fundamentales que la misma trataba de solucionar era el “derivado de incautación de los bienes de las Organizaciones Sindicales </w:t>
      </w:r>
      <w:r>
        <w:lastRenderedPageBreak/>
        <w:t>democráticas como consecuencia de la guerra civil española”; en 2005, casi 20 años después, no puede sostenerse que hacerlo sea de una urgencia extraordinaria. No consta, por otra parte, que hubieran sobrevenido circunstancias nuevas que impusieran objetivamente la reforma del régimen jurídico de la restitución que nos ocupa, como, por otra parte, pareció reconocer el representante del Gobierno en el debate de convalidación al aceptar que las razones políticas del Real Decreto-ley no eran “en absoluto, razones nuevas, encontraban su origen en la ley del año 1986 y en la de 1998 para los partidos políticos”. La reforma de ese régimen jurídico es, por supuesto, legítima en términos constitucionales. Y en cuanto a las razones de justicia y de seguridad jurídica que se esgrimieron en el debate parlamentario previo a la convalidación del Real Decreto-ley, las mismas pueden servir para justificar las concretas medidas adoptadas, pero no su urgencia y necesidad o, en otras palabras, no la sustracción de esta ordenación al procedimiento parlamentario, sede ordinaria con carácter general, de la legislación. Entender lo contrario supondría, como dijimos en la STC 68/2007, de 28 de marzo, FJ 8, que se podría excluir del procedimiento legislativo ordinario toda decisión que comportara un beneficio para sus destinatarios, lo que no se corresponde con nuestro modelo constitucional. Por el hecho de que, como indicó el representante del Gobierno en el debate de convalidación, fuera imprescindible modificar la normativa anterior, que ya no podía mantenerse por más tiempo después de casi 20 años de vigencia, no se estaba enfrentando una situación de excepcionalidad, gravedad, relevancia e imprevisibilidad que determinara la necesidad de una acción normativa inmediata en un plazo más breve que el requerido para la tramitación parlamentaria de las leyes.</w:t>
      </w:r>
    </w:p>
    <w:p w:rsidR="00A90898" w:rsidRDefault="00A90898" w:rsidP="00A90898">
      <w:pPr>
        <w:pStyle w:val="TextoNormal"/>
      </w:pPr>
    </w:p>
    <w:p w:rsidR="00A90898" w:rsidRDefault="00A90898" w:rsidP="00A90898">
      <w:pPr>
        <w:pStyle w:val="TextoNormal"/>
      </w:pPr>
      <w:r w:rsidRPr="00A90898">
        <w:rPr>
          <w:rStyle w:val="NumeroAFNegritaCaracter"/>
        </w:rPr>
        <w:t>4</w:t>
      </w:r>
      <w:r>
        <w:t>. El examen de las tres concretas medidas adoptadas en el Real Decreto-ley impugnado mediante la modificación de la disposición adicional cuarta de la Ley 4/1986, de 8 de enero, confirma nuestra convicción de que el mismo no respondía a las exigencias de una necesidad extraordinaria y urgente.</w:t>
      </w:r>
    </w:p>
    <w:p w:rsidR="00A90898" w:rsidRDefault="00A90898" w:rsidP="00A90898">
      <w:pPr>
        <w:pStyle w:val="TextoNormal"/>
      </w:pPr>
    </w:p>
    <w:p w:rsidR="00A90898" w:rsidRDefault="00A90898" w:rsidP="00A90898">
      <w:pPr>
        <w:pStyle w:val="TextoNormal"/>
      </w:pPr>
      <w:r>
        <w:t>La primera de esas medidas fue extender la posibilidad de restitución a los bienes y derechos que hubieran pertenecido no sólo a las organizaciones sindicales y a los entes de carácter sindical a ellas afiliados, como preveía la redacción original de la disposición citada, sino también a cualesquiera personas jurídicas afiliadas, asociadas o vinculadas a aquellas, incluso las de naturaleza mercantil, cooperativa o fundacional y ello aun cuando tales bienes no se hubiesen incorporado al patrimonio de la extinguida organización sindical del régimen franquista. No se ha justificado, ni es en absoluto discernible, por qué razón constitucional se ha acudido a la legislación de urgencia para hacer esta innovación normativa o, en otros términos, cómo podría haberse visto perjudicada la misma de haberse contenido en un proyecto de ley objeto de la correspondiente tramitación parlamentaria.</w:t>
      </w:r>
    </w:p>
    <w:p w:rsidR="00A90898" w:rsidRDefault="00A90898" w:rsidP="00A90898">
      <w:pPr>
        <w:pStyle w:val="TextoNormal"/>
      </w:pPr>
    </w:p>
    <w:p w:rsidR="00A90898" w:rsidRDefault="00A90898" w:rsidP="00A90898">
      <w:pPr>
        <w:pStyle w:val="TextoNormal"/>
      </w:pPr>
      <w:r>
        <w:t xml:space="preserve">Conforme al apartado segundo de la disposición adicional cuarta de la Ley 4/1986, de 8 de enero, sería el valor de mercado de los bienes incautados a la fecha de su entrada en vigor el que serviría para compensar a los sindicatos por aquellos que no les pudieran ser restituidos en especie. La segunda de las modificaciones que el Real Decreto-ley impugnado introdujo en esa disposición consistió en establecer lo que el preámbulo llama una “actualización de las valoraciones”, de modo que la cantidad prevista en la redacción original de la Ley 4/1986 se incrementaría en lo sucesivo con la suma resultante de aplicar a la misma el interés legal del dinero hasta el último día del mes anterior al que se acuerde la compensación y, además, en prever una compensación adicional del tres por ciento del valor de los inmuebles </w:t>
      </w:r>
      <w:r>
        <w:lastRenderedPageBreak/>
        <w:t>por los bienes muebles situados dentro de aquellos. El preámbulo del Real Decreto-ley indica, como ya hemos dicho, que “la reducción del efecto de esta compensación en el gasto público requiere que la puesta en práctica del nuevo sistema de compensación y la adopción de los correspondientes acuerdos se produzca (sic) con la mayor brevedad posible”. Pero, es claro que, como alegan los diputados recurrentes, no cabe tratar de justificar la urgencia de la medida por las consecuencias indeseables que su introducción llevaría aparejadas, como si fuera imposible configurarla en otros términos que no conllevaran esas consecuencias. Una iniciativa legislativa ante las Cortes Generales habría podido configurar sin duda la llamada actualización de valoraciones de modo que se compaginara su introducción en el ordenamiento con el control de sus efectos sobre el gasto público; el mero deseo o interés del Gobierno en la inmediata entrada en vigor de la norma no constituye una justificación de su extraordinaria y urgente necesidad (STC 68/2007, de 26 de abril, FJ 9), lo mismo que la opción por el empleo de una concreta técnica o formulación normativa, existiendo otras que no obstaculizan el cumplimiento de los objetivos de la medida, no permite sacrificar la posición institucional del legislativo, sacrificio que el art. 86.1 CE condiciona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w:t>
      </w:r>
    </w:p>
    <w:p w:rsidR="00A90898" w:rsidRDefault="00A90898" w:rsidP="00A90898">
      <w:pPr>
        <w:pStyle w:val="TextoNormal"/>
      </w:pPr>
    </w:p>
    <w:p w:rsidR="00A90898" w:rsidRDefault="00A90898" w:rsidP="00A90898">
      <w:pPr>
        <w:pStyle w:val="TextoNormal"/>
      </w:pPr>
      <w:r>
        <w:t>Finalmente el Real Decreto-ley impugnado estableció que las solicitudes de restitución de los bienes que hubieran pertenecido a los sindicatos deberían formularse antes del día 31 de enero de 2006, fecha en la que extinguiría definitivamente la posibilidad de recuperar los bienes del llamado patrimonio sindical histórico o su valor. El preámbulo del Real Decreto-ley alude a que la prolongación del proceso de reparación mantiene abierta una muy negativa situación de incertidumbre en cuanto a la titularidad de bienes y derechos y en cuanto a los deberes del Estado respecto a su devolución, alusión que puede ser una explicación de la medida, pero que de ningún modo supone la exposición de una situación de necesidad precisada de una respuesta urgente, máxime cuando la primera de las medidas que acabamos de examinar —la que extendió la posibilidad de que las organizaciones sindicales reclamaran bienes y derechos que no contemplaba la legislación anterior— implicaba la posibilidad de que se extendiera también la citada incertidumbre. En cualquier caso, como acabamos de decir, ni en el preámbulo de la disposición recurrida ni en el debate sobre su convalidación se ha ofrecido justificación alguna de la extraordinaria y urgente necesidad de esta concreta medida, lo que nos impide apreciar la concurrencia del presupuesto habilitante que los diputados recurrentes niegan y que este Tribunal en tal caso no puede presumir.</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El Real Decreto-ley 13/2005, de 28 de octubre, se ha dictado sin que concurriera la extraordinaria y urgente necesidad que exige el art. 86.1 CE y es, en consecuencia, inconstitucional y nulo [art. 39.1 de la Ley Orgánica del Tribunal Constitucional (LOTC)], lo que determina que debamos estimar el recurso sin necesidad de pronunciarnos sobre los otros motivos en que se fundaba. De conformidad con el art. 40.1 LOTC, la declaración de inconstitucionalidad y de la nulidad de la citada disposición ‘no permitirá revisar procesos fenecidos mediante sentencia con fuerza de cosa juzgada’ en los que se haya hecho aplicación de la misma. Y de acuerdo con lo que hemos dicho en casos anteriores (por ejemplo, en la STC 104/2013, de 25 de abril), más allá de ese mínimo impuesto por el art. 40.1 LOTC debemos declarar que el principio constitucional de seguridad jurídica (art. 9.3 CE) también reclama la intangibilidad de las situaciones jurídicas consolidadas decididas no sólo con </w:t>
      </w:r>
      <w:r>
        <w:lastRenderedPageBreak/>
        <w:t>fuerza de cosa juzgada, sino también en resoluciones administrativas firmes, de modo que la declaración de inconstitucionalidad sólo será eficaz en relación con nuevos supuestos o con los procedimientos administrativos y procesos judiciales en que aún no haya recaído resolución firme.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inconstitucionalidad núm. 1044-2006, promovido por don Ignacio Astarloa Huarte-Mendicoa, comisionado al efecto por otros ochenta diputados contra el Real Decreto-ley 13/2005, de 28 de octubre, por el que se modifica la Ley 4/1986, de 8 de enero, de cesión de bienes del patrimonio sindical acumulado, y, en su virtud, declarar inconstitucional y nulo, con el alcance establecido en el fundamento jurídico 5, el citado Real Decreto-ley.</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siete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 w:name="SENTENCIA_2016_126"/>
      <w:r>
        <w:lastRenderedPageBreak/>
        <w:t>SENTENCIA 126/2016, de 7 de julio de 2016</w:t>
      </w:r>
    </w:p>
    <w:bookmarkEnd w:id="5"/>
    <w:p w:rsidR="00A90898" w:rsidRDefault="00A90898" w:rsidP="00A90898">
      <w:pPr>
        <w:pStyle w:val="TtuloResolucin"/>
      </w:pPr>
      <w:r>
        <w:t>Pleno</w:t>
      </w:r>
    </w:p>
    <w:p w:rsidR="00A90898" w:rsidRDefault="00A90898" w:rsidP="00A90898">
      <w:pPr>
        <w:pStyle w:val="TtuloBOE"/>
      </w:pPr>
      <w:r>
        <w:t>(BOE núm. 192, de 10 de agosto de 2016)</w:t>
      </w:r>
    </w:p>
    <w:p w:rsidR="00A90898" w:rsidRDefault="00A90898" w:rsidP="00A90898">
      <w:pPr>
        <w:pStyle w:val="TextoNormalCentrado"/>
      </w:pPr>
      <w:r>
        <w:t>ECLI:ES:TC:2016:126</w:t>
      </w:r>
    </w:p>
    <w:p w:rsidR="00A90898" w:rsidRDefault="00A90898" w:rsidP="00A90898">
      <w:pPr>
        <w:pStyle w:val="TextoNormalCentrado"/>
      </w:pPr>
    </w:p>
    <w:p w:rsidR="00A90898" w:rsidRDefault="00A90898" w:rsidP="00A90898">
      <w:pPr>
        <w:pStyle w:val="SntesisDescriptiva"/>
      </w:pPr>
      <w:r>
        <w:t>Recurso de inconstitucionalidad 6524-2014. Interpuesto por más de cincuenta diputados, integrantes de los Grupos Parlamentarios Socialista; IU, ICV-EUIA, CHA: La Izquierda Plural; y Unión, Progreso y Democracia, en relación con el artículo 2.1 del Real Decreto-ley 10/2014, de 1 de agosto, por el que se conceden créditos extraordinarios y suplementos de crédito en el presupuesto de los Ministerios de Asuntos Exteriores y Cooperación, de Defensa y de Agricultura, Alimentación y Medio Ambiente.</w:t>
      </w:r>
    </w:p>
    <w:p w:rsidR="00A90898" w:rsidRDefault="00A90898" w:rsidP="00A90898">
      <w:pPr>
        <w:pStyle w:val="SntesisDescriptiva"/>
      </w:pPr>
    </w:p>
    <w:p w:rsidR="00A90898" w:rsidRDefault="00A90898" w:rsidP="00A90898">
      <w:pPr>
        <w:pStyle w:val="SntesisAnaltica"/>
      </w:pPr>
      <w:r>
        <w:t>Límites a los decretos-leyes: ausencia del presupuesto habilitante necesario para la concesión urgente de un crédito extraordinario en el presupuesto del Ministerio de Defensa.</w:t>
      </w:r>
    </w:p>
    <w:p w:rsidR="00A90898" w:rsidRDefault="00A90898" w:rsidP="00A90898">
      <w:pPr>
        <w:pStyle w:val="SntesisAnaltica"/>
      </w:pPr>
    </w:p>
    <w:p w:rsidR="00A90898" w:rsidRDefault="00A90898" w:rsidP="00A90898">
      <w:pPr>
        <w:pStyle w:val="Extracto"/>
      </w:pPr>
      <w:r>
        <w:t>1.</w:t>
      </w:r>
      <w:r>
        <w:tab/>
        <w:t>Doctrina sobre el presupuesto habilitante de los decretos-leyes (STC 29/2015) [FJ 2].</w:t>
      </w:r>
    </w:p>
    <w:p w:rsidR="00A90898" w:rsidRDefault="00A90898" w:rsidP="00A90898">
      <w:pPr>
        <w:pStyle w:val="Extracto"/>
      </w:pPr>
    </w:p>
    <w:p w:rsidR="00A90898" w:rsidRDefault="00A90898" w:rsidP="00A90898">
      <w:pPr>
        <w:pStyle w:val="Extracto"/>
      </w:pPr>
      <w:r>
        <w:t>2.</w:t>
      </w:r>
      <w:r>
        <w:tab/>
        <w:t>Ni de la memoria abreviada del Real Decreto-ley ni del expediente tramitado en el Ministerio de Defensa para la promoción del mismo, se puede extraer argumento concluyente que ampare la utilización del decreto-ley, pues nada se aduce sobre la extraordinaria y urgente necesidad que lo justificaría [FJ 3].</w:t>
      </w:r>
    </w:p>
    <w:p w:rsidR="00A90898" w:rsidRDefault="00A90898" w:rsidP="00A90898">
      <w:pPr>
        <w:pStyle w:val="Extracto"/>
      </w:pPr>
    </w:p>
    <w:p w:rsidR="00A90898" w:rsidRDefault="00A90898" w:rsidP="00A90898">
      <w:pPr>
        <w:pStyle w:val="Extracto"/>
      </w:pPr>
      <w:r>
        <w:t>3.</w:t>
      </w:r>
      <w:r>
        <w:tab/>
        <w:t>Es adecuado el uso del Decreto-ley en coyunturas económicas problemáticas para cuyo tratamiento representa un instrumento constitucionalmente lícito, en tanto que pertinente y adecuado para la consecución del fin que justifica la legislación de urgencia, pero el objeto de la legislación de urgencia no puede ser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31/2011) [FJ 5].</w:t>
      </w:r>
    </w:p>
    <w:p w:rsidR="00A90898" w:rsidRDefault="00A90898" w:rsidP="00A90898">
      <w:pPr>
        <w:pStyle w:val="Extracto"/>
      </w:pPr>
    </w:p>
    <w:p w:rsidR="00A90898" w:rsidRDefault="00A90898" w:rsidP="00A90898">
      <w:pPr>
        <w:pStyle w:val="Extracto"/>
      </w:pPr>
      <w:r>
        <w:t>4.</w:t>
      </w:r>
      <w:r>
        <w:tab/>
        <w:t>El pago de las obligaciones contractuales adquiridas por el Estado no puede ser, en sí mismo, un argumento válido para justificar la situación de extraordinaria y urgente necesidad requerida en el art. 86 CE si no va acompañado de una justificación adicional que explicite las razones en virtud de las cuales el pago de una obligación adquiere tal gravedad [FJ 6].</w:t>
      </w:r>
    </w:p>
    <w:p w:rsidR="00A90898" w:rsidRDefault="00A90898" w:rsidP="00A90898">
      <w:pPr>
        <w:pStyle w:val="Extracto"/>
      </w:pPr>
    </w:p>
    <w:p w:rsidR="00A90898" w:rsidRDefault="00A90898" w:rsidP="00A90898">
      <w:pPr>
        <w:pStyle w:val="Extracto"/>
      </w:pPr>
      <w:r>
        <w:t>5.</w:t>
      </w:r>
      <w:r>
        <w:tab/>
        <w:t>La especial financiación de los programas de defensa aquí analizados puede justificar la utilización del crédito extraordinario al margen de la programación presupuestaria normal, pero ese carácter extraordinario bien podría vehicularse a través de la ley y no indefectiblemente mediante el Real Decreto-ley cuyo uso legítimo se halla restringido por la Constitución [FJ 6].</w:t>
      </w:r>
    </w:p>
    <w:p w:rsidR="00A90898" w:rsidRDefault="00A90898" w:rsidP="00A90898">
      <w:pPr>
        <w:pStyle w:val="Extracto"/>
      </w:pPr>
    </w:p>
    <w:p w:rsidR="00A90898" w:rsidRDefault="00A90898" w:rsidP="00A90898">
      <w:pPr>
        <w:pStyle w:val="Extracto"/>
      </w:pPr>
      <w:r>
        <w:t>6.</w:t>
      </w:r>
      <w:r>
        <w:tab/>
        <w:t xml:space="preserve">Deben declararse no susceptibles de ser revisadas como consecuencia de la nulidad del precepto impugnado no sólo aquellas situaciones decididas mediante Sentencia con fuerza de cosa juzgada sino también, por exigencia del principio constitucional </w:t>
      </w:r>
      <w:r>
        <w:lastRenderedPageBreak/>
        <w:t>de seguridad jurídica, las establecidas mediante actuaciones administrativas firmes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6524-2014 interpuesto por más de cincuenta diputados, integrantes de los Grupos Parlamentarios Socialista; IU, ICV-EUIA, CHA: La Izquierda Plural; y Unión Progreso y Democracia, contra el art. 2.1 del Real Decreto-ley 10/2014, de 1 de agosto, por el que se conceden créditos extraordinarios y suplementos de crédito en el presupuesto de los Ministerios de Asuntos Exteriores y Cooperación, de Defensa y de Agricultura, Alimentación y Medio Ambiente. Ha comparecido y formulado alegaciones el Abogado del Estado. Ha sido Ponente el Presidente don Francisco Pérez de los Cobos,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Constitucional el día 31 de octubre de 2014, más de cincuenta diputados, integrantes de los Grupos Parlamentarios Socialista; IU, ICV-EUIA, CHA: La Izquierda Plural; y Unión Progreso y Democracia, interpusieron recurso de inconstitucionalidad contra el apartado 1 del art. 2 del Real Decreto-ley 10/2014, de 1 de agosto, por el que se conceden créditos extraordinarios y suplementos de crédito en el presupuesto de los Ministerios de Asuntos Exteriores y Cooperación, de Defensa y de Agricultura, Alimentación y Medio Ambiente.</w:t>
      </w:r>
    </w:p>
    <w:p w:rsidR="00A90898" w:rsidRDefault="00A90898" w:rsidP="00A90898">
      <w:pPr>
        <w:pStyle w:val="TextoNormal"/>
      </w:pPr>
    </w:p>
    <w:p w:rsidR="00A90898" w:rsidRDefault="00A90898" w:rsidP="00A90898">
      <w:pPr>
        <w:pStyle w:val="TextoNormal"/>
      </w:pPr>
      <w:r>
        <w:t>Los motivos del recurso son, resumidamente expuestos, los siguientes:</w:t>
      </w:r>
    </w:p>
    <w:p w:rsidR="00A90898" w:rsidRDefault="00A90898" w:rsidP="00A90898">
      <w:pPr>
        <w:pStyle w:val="TextoNormal"/>
      </w:pPr>
    </w:p>
    <w:p w:rsidR="00A90898" w:rsidRDefault="00A90898" w:rsidP="00A90898">
      <w:pPr>
        <w:pStyle w:val="TextoNormal"/>
      </w:pPr>
      <w:r>
        <w:t xml:space="preserve">El 1 de agosto de 2014, el Consejo de Ministros aprobó el Real Decreto-ley 10/2014, por el que se conceden créditos extraordinarios y suplementos de crédito en el presupuesto de los Ministerios de Asuntos Exteriores y Cooperación, de Defensa y de Agricultura, Alimentación y Medio Ambiente, cuya publicación tuvo lugar en el “Boletín Oficial del Estado” del día siguiente. En el precepto impugnado, art. 2.1, se autorizó un crédito extraordinario al presupuesto en vigor de la sección 14 “Ministerio de Defensa”, servicio 03 “Secretaría de Estado de la Defensa”, programa 122B “Programas especiales de modernización”, capítulo </w:t>
      </w:r>
      <w:r>
        <w:lastRenderedPageBreak/>
        <w:t>6 “Inversiones Reales”, artículo 65 “Inversiones militares en infraestructuras y otros bienes”, concepto 658 “para atender al pago de obligaciones correspondientes a programas especiales de armamento”, por un importe de 883.655.368,60 €. El Pleno del Congreso de los Diputados, en su sesión del día 11 de septiembre de 2014, acordó la convalidación del referido Real Decreto-ley por 176 votos a favor y 133 votos en contra. La convalidación del Real Decreto-ley fue publicada en el “Boletín Oficial del Estado” número 227, de 18 de septiembre de 2014.</w:t>
      </w:r>
    </w:p>
    <w:p w:rsidR="00A90898" w:rsidRDefault="00A90898" w:rsidP="00A90898">
      <w:pPr>
        <w:pStyle w:val="TextoNormal"/>
      </w:pPr>
    </w:p>
    <w:p w:rsidR="00A90898" w:rsidRDefault="00A90898" w:rsidP="00A90898">
      <w:pPr>
        <w:pStyle w:val="TextoNormal"/>
      </w:pPr>
      <w:r>
        <w:t>Los recurrentes, después de recordar la doctrina del Tribunal sobre los decretos-leyes, argumentan la ausencia de extraordinaria y urgente necesidad en el presente caso para justificar la utilización de tal medio legislativo.</w:t>
      </w:r>
    </w:p>
    <w:p w:rsidR="00A90898" w:rsidRDefault="00A90898" w:rsidP="00A90898">
      <w:pPr>
        <w:pStyle w:val="TextoNormal"/>
      </w:pPr>
    </w:p>
    <w:p w:rsidR="00A90898" w:rsidRDefault="00A90898" w:rsidP="00A90898">
      <w:pPr>
        <w:pStyle w:val="TextoNormal"/>
      </w:pPr>
      <w:r>
        <w:t>Explican que la medida contenida en el precepto recurrido tiene por objeto atender al pago de obligaciones correspondientes a programas especiales de armamento, por lo que parece claro que la naturaleza de dichos programas se corresponde con planes y contratos cuya envergadura hace difícil entender que el Gobierno no conociera su existencia, cuantía y vencimientos y que, por tanto, la provisión de los fondos necesarios para satisfacerlas no se pudiera haber tramitado por el procedimiento legislativo ordinario. Entienden además los recurrentes que la pretensión del Gobierno de ofrecer alguna justificación de la extraordinaria y urgente necesidad de la medida contenida en el apartado 1 del artículo 2 del Real Decreto-ley 10/2014, tanto en la exposición de motivos como en el posterior debate de convalidación, adolece de la falta de fundamento suficiente, ya que no se hace referencia a la existencia de un motivo extraordinario y perentorio que resulte aceptable para justificar la adopción de tal medida por el decreto-ley.</w:t>
      </w:r>
    </w:p>
    <w:p w:rsidR="00A90898" w:rsidRDefault="00A90898" w:rsidP="00A90898">
      <w:pPr>
        <w:pStyle w:val="TextoNormal"/>
      </w:pPr>
    </w:p>
    <w:p w:rsidR="00A90898" w:rsidRDefault="00A90898" w:rsidP="00A90898">
      <w:pPr>
        <w:pStyle w:val="TextoNormal"/>
      </w:pPr>
      <w:r>
        <w:t>Entienden que el Gobierno se encuentra ante la necesidad de satisfacer unas obligaciones de pago que no surgen espontáneamente, ni de manera inesperada como consecuencia de nuevos contratos, tratados o acuerdos, por lo que las obligaciones en cuestión, su existencia, cuantía y vencimiento, eran absolutamente conocidas para el Gobierno en el momento de dotar de medios al Ministerio de Defensa en los presupuestos generales del Estado. Tampoco estiman suficiente que el Gobierno justifique la utilización del Decreto-ley para la concesión o autorización del crédito extraordinario en cuestión aludiendo a la existencia de una coyuntura económica problemática.</w:t>
      </w:r>
    </w:p>
    <w:p w:rsidR="00A90898" w:rsidRDefault="00A90898" w:rsidP="00A90898">
      <w:pPr>
        <w:pStyle w:val="TextoNormal"/>
      </w:pPr>
    </w:p>
    <w:p w:rsidR="00A90898" w:rsidRDefault="00A90898" w:rsidP="00A90898">
      <w:pPr>
        <w:pStyle w:val="TextoNormal"/>
      </w:pPr>
      <w:r>
        <w:t>Además aducen que no es la primera ocasión en la que el Gobierno recurre a esta fórmula para afrontar el pago de los programas especiales de armamento; lo mismo ocurrió en 2012 y 2013 (Real Decreto-ley 26/2012 y Real Decreto-ley 10/2013). Todo esto pone de manifiesto que el Real Decreto-ley 10/2014, por lo que al crédito extraordinario para el Ministerio de Defensa se refiere, no responde a la existencia de ninguna circunstancia de urgente o excepcional necesidad ya que Gobierno conocía, si no las cantidades exactas, sí la cuantía máxima —que como se ha visto es superior a la autorizada en el crédito— a destinar al pago de las obligaciones contractuales derivadas de los programas especiales de armamento que se pretenden satisfacer, sin que el mismo Gobierno haya alegado alguna razón que haya alterado la realidad respecto a los cálculos presupuestarios realizados.</w:t>
      </w:r>
    </w:p>
    <w:p w:rsidR="00A90898" w:rsidRDefault="00A90898" w:rsidP="00A90898">
      <w:pPr>
        <w:pStyle w:val="TextoNormal"/>
      </w:pPr>
    </w:p>
    <w:p w:rsidR="00A90898" w:rsidRDefault="00A90898" w:rsidP="00A90898">
      <w:pPr>
        <w:pStyle w:val="TextoNormal"/>
      </w:pPr>
      <w:r>
        <w:t xml:space="preserve">Consideran que se trata de un modo de actuar deliberadamente adoptado por el Gobierno según el cual, de manera consciente, no se dotan en los presupuestos generales del Estado </w:t>
      </w:r>
      <w:r>
        <w:lastRenderedPageBreak/>
        <w:t>los créditos para afrontar los pagos correspondientes de los programas especiales de armamento, recurriéndose con posterioridad a la aprobación mediante decreto-ley de un crédito extraordinario para satisfacer dichas obligaciones, en lo que constituye una clara subversión del sistema previsto por el constituyente para la aprobación de las cuentas públicas. Denuncian que el Gobierno conoce de antemano las necesidades presupuestarias para el pago de estos programas especiales pero ha adoptado la decisión de financiarlos mediante la figura del crédito extraordinario a través de decreto-ley, así lo reconoce el Secretario de Estado en la Comisión de Defensa del Congreso, sesión del 6 de octubre de 2014, en relación a los presupuestos generales para 2015: “Yo no he ocultado nada, he dicho aquí desde el principio de mi intervención que este año, si las circunstancias económicas se mantienen en el nivel y en la forma que hoy conocemos, el Gobierno volverá a atender sus compromisos de pago mediante el uso del decreto-ley para autorizar un crédito extraordinario, pagos derivados de los programas especiales de armamento.”</w:t>
      </w:r>
    </w:p>
    <w:p w:rsidR="00A90898" w:rsidRDefault="00A90898" w:rsidP="00A90898">
      <w:pPr>
        <w:pStyle w:val="TextoNormal"/>
      </w:pPr>
    </w:p>
    <w:p w:rsidR="00A90898" w:rsidRDefault="00A90898" w:rsidP="00A90898">
      <w:pPr>
        <w:pStyle w:val="TextoNormal"/>
      </w:pPr>
      <w:r>
        <w:t>Por último, ponen de manifiesto que el Consejo de Estado en su dictamen sobre el crédito extraordinario objeto del presente proceso constitucional, avala tal figura presupuestaria pero nada dice sobre la utilización del decreto-ley para el caso concreto.</w:t>
      </w:r>
    </w:p>
    <w:p w:rsidR="00A90898" w:rsidRDefault="00A90898" w:rsidP="00A90898">
      <w:pPr>
        <w:pStyle w:val="TextoNormal"/>
      </w:pPr>
    </w:p>
    <w:p w:rsidR="00A90898" w:rsidRDefault="00A90898" w:rsidP="00A90898">
      <w:pPr>
        <w:pStyle w:val="TextoNormal"/>
      </w:pPr>
      <w:r>
        <w:t>En conclusión, a juicio de los recurrentes, resulta evidente que, pese a lo alegado por el Gobierno, no concurren las circunstancias excepcionales, imprevistas o relevantes que permitirían afirmar que nos encontramos ante un caso de extraordinaria y urgente necesidad y, por tanto, que permitan apreciar la existencia del supuesto habilitante para recurrir a la figura del decreto-ley a la hora de aprobar el crédito extraordinario contenido en el artículo 2.1 del Real Decreto-ley 10/2014, de 1 de agosto; sin que tampoco haya podido alegar la existencia de una perentoriedad tal, respecto a las medidas a adoptar que imposibilitase la inclusión de dichos créditos en los presupuestos generales del Estado o, en su defecto, mediante la aprobación del crédito extraordinario por proyecto de ley tramitado por el procedimiento legislativo ordinario o, en su caso por el procedimiento de urgencia.</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18 de noviembre de 2014 el Pleno acordó admitir a trámite el recurso de inconstitucionalidad promovido por más de cincuenta diputados, integrantes de los Grupos Parlamentarios Socialista; IU, ICV-EUIA, CHA: la Izquierda Plural; y Unión Progreso y Democracia, contra el art. 2.1 del Real Decreto-ley 10/2014, de 1 de agosto, por el que se conceden créditos extraordinarios y suplementos de crédito en el presupuesto de los Ministerios de Asuntos Exteriores y Cooperación, de Defensa y de Agricultura, Alimentación y Medio Ambiente;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15 días, puedan personarse en el proceso y formular las alegaciones que estimaren convenientes y publicar la incoación del recurso en el “Boletín Oficial del Estado”. En cuanto a la solicitud de suspensión cautelar se acordó oír a las partes.</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25 de noviembre de 2014 el Abogado del Estado se personó en nombre del Gobierno solicitando una prórroga en el plazo inicialmente concedido para la formulación de alegaciones, prórroga que le fue concedida por providencia del Pleno de 27 de noviembre de 2014.</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Mediante escrito registrado con fecha 26 de noviembre de 2014, el Presidente del Congreso de los Diputados comunicó el acuerdo de la Mesa de la Cámara de personarse en el procedimiento y ofrecer su colaboración a los efectos del art. 88.1 LOTC. Lo mismo hizo el Presidente del Senado por escrito que tuvo entrada en este Tribunal el día 5 de diciembre de 2014.</w:t>
      </w:r>
    </w:p>
    <w:p w:rsidR="00A90898" w:rsidRDefault="00A90898" w:rsidP="00A90898">
      <w:pPr>
        <w:pStyle w:val="TextoNormal"/>
      </w:pPr>
    </w:p>
    <w:p w:rsidR="00A90898" w:rsidRDefault="00A90898" w:rsidP="00A90898">
      <w:pPr>
        <w:pStyle w:val="TextoNormal"/>
      </w:pPr>
      <w:r w:rsidRPr="00A90898">
        <w:rPr>
          <w:rStyle w:val="NumeroAFNegritaCaracter"/>
        </w:rPr>
        <w:t>5</w:t>
      </w:r>
      <w:r>
        <w:t>. Las alegaciones presentadas por el Abogado del Estado fueron registradas en este Tribunal el día 23 de diciembre de 2014.</w:t>
      </w:r>
    </w:p>
    <w:p w:rsidR="00A90898" w:rsidRDefault="00A90898" w:rsidP="00A90898">
      <w:pPr>
        <w:pStyle w:val="TextoNormal"/>
      </w:pPr>
    </w:p>
    <w:p w:rsidR="00A90898" w:rsidRDefault="00A90898" w:rsidP="00A90898">
      <w:pPr>
        <w:pStyle w:val="TextoNormal"/>
      </w:pPr>
      <w:r>
        <w:t>Recuerda, en primer lugar, la doctrina constitucional sobre los decretos leyes y sobre la extraordinaria y urgente necesidad para la legitimidad de tales normas. Señala el Abogado del Estado, la conformidad de la norma impugnada con la Constitución, explicando la peculiaridad de los denominados “programas especiales de defensa” y la singularidad para realizar los pagos en este ámbito, especialidades que justificarían la utilización de la figura del decreto-ley. Explica que las peculiaridades de estos programas, que implican la adquisición de material a través de agencias y consorcios multinacionales, supone que no se puedan concretar de antemano la cuantía exacta de las obligaciones a las que se ha de hacer frente en cada ejercicio porque son objeto de negociación y los propios programas son objeto de reconsideración parcial en lo que afecta por ejemplo, al número de unidades necesarias, o a los servicios necesarios para su operatividad. Como consecuencia de lo anterior, la concreción de las necesidades de financiación adicionales para los programas especiales del Ministerio de Defensa en el año 2014 por importe de 883.655.368,60 €, con el objeto de atender los compromisos de pago asociados a estos programas que permita dar cobertura a sus obligaciones con la industria nacional y con los consorcios internacionales, no pueden fijarse en el momento de la elaboración de la Ley de presupuestos generales del Estado.</w:t>
      </w:r>
    </w:p>
    <w:p w:rsidR="00A90898" w:rsidRDefault="00A90898" w:rsidP="00A90898">
      <w:pPr>
        <w:pStyle w:val="TextoNormal"/>
      </w:pPr>
    </w:p>
    <w:p w:rsidR="00A90898" w:rsidRDefault="00A90898" w:rsidP="00A90898">
      <w:pPr>
        <w:pStyle w:val="TextoNormal"/>
      </w:pPr>
      <w:r>
        <w:t>Pone de manifiesto que la no atención de los requerimientos de pago consecuencia del cumplimiento de los hitos contractuales, puede traer costes adicionales referidos a penalización en los acuerdos con organizaciones multinacionales o intereses de demora en los contratos con proveedores nacionales. Son precisamente la obligación de proceder al cumplimiento de los compromisos contraídos en los correspondientes contratos y la voluntad de no causar perjuicios a los afectados, las razones de urgencia y necesidad que justifican la tramitación del crédito extraordinario, que no pueden hacerse frente a través de proyectos de ley porque una vez determinadas las cantidades, se impone su pronto pago. Estas razones justifican la conexión de sentido entre la medida adoptada y los requisitos exigidos en el art. 86 de la Constitución.</w:t>
      </w:r>
    </w:p>
    <w:p w:rsidR="00A90898" w:rsidRDefault="00A90898" w:rsidP="00A90898">
      <w:pPr>
        <w:pStyle w:val="TextoNormal"/>
      </w:pPr>
    </w:p>
    <w:p w:rsidR="00A90898" w:rsidRDefault="00A90898" w:rsidP="00A90898">
      <w:pPr>
        <w:pStyle w:val="TextoNormal"/>
      </w:pPr>
      <w:r>
        <w:t xml:space="preserve">Además, en opinión del Abogado del Estado, todo lo expuesto se ratifica a la vista del discurso del Ministro de Hacienda y Administraciones Públicas, en el trámite de convalidación del Real Decreto-ley 10/2014, publicado en el diario de sesiones del Congreso de los Diputados Pleno y diputación permanente año 2014, sesión celebrada el jueves, 11 de septiembre de 2014: “En el ámbito de Defensa el Gobierno ha autorizado un crédito extraordinario en el presupuesto del Ministerio de Defensa por importe de 883,6 millones de euros, exactamente 883.665.368,6 euros. Su finalidad es atender el pago de obligaciones correspondientes a programas especiales de armamento y material. Los programas especiales son aquellos que, tanto por su volumen económico como por la complejidad industrial y tecnológica que plantean, suponen las más relevantes adquisiciones de sistemas de armas que realiza el Ministerio de Defensa. La ejecución está determinada por una combinación de </w:t>
      </w:r>
      <w:r>
        <w:lastRenderedPageBreak/>
        <w:t>necesidades político-estratégicas, económicas, industriales y tecnológicas, a la vez que son esenciales para la modernización de las Fuerzas Armadas, que también tienen una gran importancia para el tejido empresarial, para el tejido industrial español con alto componente tecnológico y que requiere grandes cantidades de recursos financieros. Los programas especiales tienen un sistema de financiación basado en anticipos del Ministerio de Industria, Energía y Turismo destinados al desarrollo y posterior pago de las unidades adquiridas con cargo al presupuesto del Ministerio de Defensa. Durante los ejercicios 2010 y 2011, el Ministerio de Defensa no atendió los compromisos de pago asociados a estos programas En 2012 gracias al crédito extraordinario de l.782 millones de euros aprobado por el Real Decreto-ley 26/2012, de 7 de septiembre, el Ministerio de Defensa cumplió con las obligaciones de los años 2010, 2011 y 2012. Esta medida no solo fue determinante para saldar deudas sino que además permitió alcanzar acuerdos y reducir los compromisos adquiridos a medio y largo plazo -una auténtica reprogramación de esos gastos-, aliviando la presión del déficit durante los próximos años. Para atender los compromisos de pago con proveedores de Defensa, correspondientes al año 2013 y no contemplados en el presupuesto de Defensa, se autorizó también otro crédito extraordinario. La exigencia de atender el pago de obligaciones que ineludiblemente debe satisfacer la Administración y la necesidad de no demorar su abono para no causar perjuicios a terceros constituyen las razones de extraordinaria y urgente necesidad. Este nuevo crédito extraordinario de 883 millones se tramita en coherencia con la decisión adoptada entonces por el Gobierno de hacer frente a sus obligaciones con los consorcios internacionales y con proveedores nacionales como un socio y aliado que paga sus deudas, a pesar de las actuales dificultades presupuestarias y financieras. La presente medida no persigue aumentar partidas presupuestarias ni gasto en defensa; tiene por objeto atender la deuda con los proveedores de Defensa, que en la mayoría de los casos son empresas españolas en situaciones económicas que tienen, sin duda, riesgos en claves de viabilidad. Se trata, pues, de cumplir una obligación de nuestra Administración Pública. Imaginemos las consecuencias de no atender esos compromisos de pago; sería el colapso financiero de los programas internacionales y el consecuente deterioro de la imagen de España, pérdida de empleo y capacidades en la industria de defensa nacional, ya que algunas de esas empresas, como decía, continúan teniendo una situación complicada, lo que pone en riesgo puestos de trabajo, pérdida de capacidades y la misma viabilidad de determinadas empresas. Por último estaría el riesgo de incurrir en penalidades y seguir acumulando más intereses de demora. El Gobierno está comprometido con la defensa, con las Fuerzas Armadas y con la necesidad de dotarlas del material que necesitan. Es importante esta determinación del Gobierno de atender sus obligaciones y de no poner en peligro de quiebra a la industria de defensa nacional. La Administración está obligada a atender el pago de sus obligaciones contractuales y, junto a ello, la necesidad de no demorar su abono para no causar perjuicios a terceros. Esas son las razones de carácter extraordinario y urgente necesidad que justifican la concesión del crédito extraordinario mediante real decreto-ley.”</w:t>
      </w:r>
    </w:p>
    <w:p w:rsidR="00A90898" w:rsidRDefault="00A90898" w:rsidP="00A90898">
      <w:pPr>
        <w:pStyle w:val="TextoNormal"/>
      </w:pPr>
    </w:p>
    <w:p w:rsidR="00A90898" w:rsidRDefault="00A90898" w:rsidP="00A90898">
      <w:pPr>
        <w:pStyle w:val="TextoNormal"/>
      </w:pPr>
      <w:r>
        <w:t xml:space="preserve">Señala que las cuantías anuales definitivas para hacer frente a este tipo de programas, dentro de los límites establecidos, se concretan una vez que se formalizan los contratos correspondientes con las empresas fabricantes y, por otra parte, los compromisos de pagos de los programas multinacionales, que son los que mayor volumen de financiación necesitan, se determinan en octubre/noviembre de cada año tras las peticiones de fondos cursadas por las agencias que gestionan dichos programas. Esto implica que los pagos anuales no están fijados de antemano y las cantidades definitivas anuales se conocen al final del ejercicio económico. Una vez aprobada la reprogramación económica, el Ministerio de Defensa </w:t>
      </w:r>
      <w:r>
        <w:lastRenderedPageBreak/>
        <w:t>inició la negociación con las empresas fabricantes o con los consorcios internacionales (EF-2000, A- 400, NH-90, EC-135, Tigre, Pizarro) que se extiende desde la aprobación del Real Decreto-ley 10/2014 hasta fin del primer trimestre de 2015 cuando se cierran todos los acuerdos con las empresas fabricantes y consorcios internacionales.</w:t>
      </w:r>
    </w:p>
    <w:p w:rsidR="00A90898" w:rsidRDefault="00A90898" w:rsidP="00A90898">
      <w:pPr>
        <w:pStyle w:val="TextoNormal"/>
      </w:pPr>
    </w:p>
    <w:p w:rsidR="00A90898" w:rsidRDefault="00A90898" w:rsidP="00A90898">
      <w:pPr>
        <w:pStyle w:val="TextoNormal"/>
      </w:pPr>
      <w:r>
        <w:t>Destaca que el Consejo de Estado, mediante dictamen de 10 de julio de 2014, emitido en la elaboración de este Real Decreto-ley avaló la urgencia del mismo.</w:t>
      </w:r>
    </w:p>
    <w:p w:rsidR="00A90898" w:rsidRDefault="00A90898" w:rsidP="00A90898">
      <w:pPr>
        <w:pStyle w:val="TextoNormal"/>
      </w:pPr>
    </w:p>
    <w:p w:rsidR="00A90898" w:rsidRDefault="00A90898" w:rsidP="00A90898">
      <w:pPr>
        <w:pStyle w:val="TextoNormal"/>
      </w:pPr>
      <w:r>
        <w:t>En definitiva, considera, que queda acreditada la existencia de la extraordinaria y urgente necesidad y la conexión de sentido entre la decisión adoptada y los presupuestos a los que atiende. Se trata de hacer frente a unas obligaciones derivadas de los programas de armamento que, aunque existe previsibilidad de que hay que atender estas obligaciones, algunas de las cuales ya han sido cumplidas con la entrega del material, otras están pendientes, y el Gobierno no pudo incluir en el proyecto de ley de presupuestos generales del Estado las cuantías concretas puesto que la concreción de las cuantías estaban en función de la evolución del déficit público, dado que el objetivo fundamental del Gobierno es cumplir con la contención del gasto público. Además, la significativa cuantía de estos programas y su incidencia en la contabilización del déficit, determinan que la habilitación de los créditos para atender las deudas en el ejercicio estuviera condicionada por dicha evolución, algo no previsible en el momento de elaborar las cuentas del Estado. En este contexto cobra todo sentido la promoción de un real decreto-ley una vez se conoce a mitad de ejercicio cuál es esta evolución. Por otra parte, el Ministerio de Defensa ha tenido que llevar a cabo una reprogramación de las compras de material que ha permitido concretar las cantidades debidas a la industria. Además, las cifras objeto de pago para el ejercicio 2014 han tenido que ser negociadas con la industria para obtener las condiciones económicas más beneficiosas, proceso este complejo y que se vincula a la acomodación de las unidades y características del material necesario para las fuerzas armadas. Estas razones justifican que la previsión inicial presupuestaria de estas partidas no cubre la cifra total sino sólo los gastos de administración y funcionamiento que se consideran seguros.</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5 de julio de 2016 se señaló para deliberación y votación de la presente Sentencia el día 7 de dicho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En el presente proceso constitucional debemos resolver el recurso de inconstitucionalidad interpuesto por más de cincuenta diputados, integrantes de los Grupos Parlamentarios Socialista; IU, ICV-EUIA, CHA: la Izquierda Plural; y Unión Progreso y Democracia, contra el art. 2.1 del Real Decreto-ley 10/2014, de 1 de agosto, por el que se conceden créditos extraordinarios y suplementos de crédito en el presupuesto de los Ministerios de Asuntos Exteriores y Cooperación, de Defensa y de Agricultura, Alimentación y Medio Ambiente.</w:t>
      </w:r>
    </w:p>
    <w:p w:rsidR="00A90898" w:rsidRDefault="00A90898" w:rsidP="00A90898">
      <w:pPr>
        <w:pStyle w:val="TextoNormal"/>
      </w:pPr>
    </w:p>
    <w:p w:rsidR="00A90898" w:rsidRDefault="00A90898" w:rsidP="00A90898">
      <w:pPr>
        <w:pStyle w:val="TextoNormal"/>
      </w:pPr>
      <w:r>
        <w:t xml:space="preserve">Como se ha expuesto en los antecedentes los recurrentes reprochan a la norma impugnada un único motivo de inconstitucionalidad; consideran que no concurren los supuestos excepcionales que, conforme al art. 86.1 CE, habilitarían para la utilización de la figura del decreto-ley, pues no se explicitan las razones de la necesidad de esta regulación y de la inmediatez en su adopción. Consideran que el precepto impugnado del Real Decreto-ley </w:t>
      </w:r>
      <w:r>
        <w:lastRenderedPageBreak/>
        <w:t>tiene por objeto hacer frente al pago de las obligaciones correspondientes a programas especiales de armamento (en concreto para pagar el precio de un avión EF-2000, un avión A-400M, un helicóptero Tigre, un helicóptero NH-9, un helicóptero EC-135, un vehículo Pizarro y un misil C/C Spyke), por lo que se corresponde con planes y contratos cuya envergadura hace difícil entender que el Gobierno no conociera su existencia, cuantía y vencimientos y que no hubiera podido hacerse frente a dichos pagos a través de su inclusión en los presupuestos generales del Estado o bien mediante la concesión de un crédito extraordinario —como el finalmente concedido— pero a través del correspondiente proyecto de ley tramitado de manera ordinaria.</w:t>
      </w:r>
    </w:p>
    <w:p w:rsidR="00A90898" w:rsidRDefault="00A90898" w:rsidP="00A90898">
      <w:pPr>
        <w:pStyle w:val="TextoNormal"/>
      </w:pPr>
    </w:p>
    <w:p w:rsidR="00A90898" w:rsidRDefault="00A90898" w:rsidP="00A90898">
      <w:pPr>
        <w:pStyle w:val="TextoNormal"/>
      </w:pPr>
      <w:r>
        <w:t>El Abogado del Estado, por su parte, ha defendido la desestimación del recurso, pues estima que resulta de todo punto indiscutible la concurrencia de una situación de extraordinaria y urgente necesidad derivada de la situación de inestabilidad económica y la necesidad de evitar perjuicios para terceros. Considera acreditada la existencia de la extraordinaria y urgente necesidad y la conexión de sentido entre la decisión adoptada y los presupuestos a los que atiende, puesto que se trataba de hacer frente a unas obligaciones derivadas de los programas de armamento que, aunque existe previsibilidad de que hay que atender estas obligaciones, el Gobierno no pudo incluir en el proyecto de Ley de presupuestos generales del Estado las cuantías concretas puesto que la concreción de las cuantías estaban en función de la evolución del déficit público, dado que el objetivo fundamental del Gobierno es cumplir con la contención del gasto público. Además, la significativa cuantía de estos programas y su incidencia en la contabilización del déficit, determinan que la habilitación de los créditos para atender las deudas en el ejercicio estuviera condicionada por dicha evolución, algo no previsible en el momento de elaborar las cuentas del Estado.</w:t>
      </w:r>
    </w:p>
    <w:p w:rsidR="00A90898" w:rsidRDefault="00A90898" w:rsidP="00A90898">
      <w:pPr>
        <w:pStyle w:val="TextoNormal"/>
      </w:pPr>
    </w:p>
    <w:p w:rsidR="00A90898" w:rsidRDefault="00A90898" w:rsidP="00A90898">
      <w:pPr>
        <w:pStyle w:val="TextoNormal"/>
      </w:pPr>
      <w:r w:rsidRPr="00A90898">
        <w:rPr>
          <w:rStyle w:val="NumeroAFNegritaCaracter"/>
        </w:rPr>
        <w:t>2</w:t>
      </w:r>
      <w:r>
        <w:t>. La doctrina constitucional sobre el motivo de inconstitucionalidad aducido, la vulneración del art. 86.1 CE por la falta de concurrencia del presupuesto habilitante de la extraordinaria y urgente necesidad, se encuentra resumida en la reciente STC 29/2015, de 19 de febrero, FJ 3. En concreto señalábamos que el concepto de extraordinaria y urgente necesidad “no es una cláusula o expresión vacía de significado dentro de la cual el lógico margen de apreciación política del Gobierno se mueva libremente sin restricción alguna, sino, por el contrario, la constatación de un límite jurídico a la actuación mediante Decretos-leyes”; el control constitucional externo que corresponde a este Tribunal en la comprobación del necesario respeto a ese límite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En esa misma doctrina constitucional está igualmente dicho que la comprobación del citado primer elemento debe realizarse mediante la valoración conjunta de los factores que en el criterio del Gobierno justificaron el uso del decreto-ley y reflejados de modo singular “en la exposición de motivos de la norma, a lo largo del debate parlamentario de convalidación, y en el propio expediente de elaboración del [correspondiente decreto-ley]”.</w:t>
      </w:r>
    </w:p>
    <w:p w:rsidR="00A90898" w:rsidRDefault="00A90898" w:rsidP="00A90898">
      <w:pPr>
        <w:pStyle w:val="TextoNormal"/>
      </w:pPr>
    </w:p>
    <w:p w:rsidR="00A90898" w:rsidRDefault="00A90898" w:rsidP="00A90898">
      <w:pPr>
        <w:pStyle w:val="TextoNormal"/>
      </w:pPr>
      <w:r>
        <w:t xml:space="preserve">Constituye también doctrina consolidada, por todas, STC 183/2014, de 6 de noviembre, FJ 4, que “generalmente, hemos venido admitiendo el uso del decreto-ley en situaciones que hemos denominado como ‘coyunturas económicas problemáticas’, para cuyo tratamiento representa un instrumento constitucionalmente lícito, en tanto que pertinente y adecuado </w:t>
      </w:r>
      <w:r>
        <w:lastRenderedPageBreak/>
        <w:t>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w:t>
      </w:r>
    </w:p>
    <w:p w:rsidR="00A90898" w:rsidRDefault="00A90898" w:rsidP="00A90898">
      <w:pPr>
        <w:pStyle w:val="TextoNormal"/>
      </w:pPr>
    </w:p>
    <w:p w:rsidR="00A90898" w:rsidRDefault="00A90898" w:rsidP="00A90898">
      <w:pPr>
        <w:pStyle w:val="TextoNormal"/>
      </w:pPr>
      <w:r>
        <w:t>Por último, cabe recordar que en cuanto a la configuración de nuestro cometido en relación con los decretos-leyes, hemos afirmado “que el control que corresponde al Tribunal Constitucional en este punto es un control externo, en el sentido de que debe verificar, pero no sustituir, el juicio político o de oportunidad que corresponde al Gobierno” (STC 182/1997, de 28 de octubre, FJ 3).</w:t>
      </w:r>
    </w:p>
    <w:p w:rsidR="00A90898" w:rsidRDefault="00A90898" w:rsidP="00A90898">
      <w:pPr>
        <w:pStyle w:val="TextoNormal"/>
      </w:pPr>
    </w:p>
    <w:p w:rsidR="00A90898" w:rsidRDefault="00A90898" w:rsidP="00A90898">
      <w:pPr>
        <w:pStyle w:val="TextoNormal"/>
      </w:pPr>
      <w:r w:rsidRPr="00A90898">
        <w:rPr>
          <w:rStyle w:val="NumeroAFNegritaCaracter"/>
        </w:rPr>
        <w:t>3</w:t>
      </w:r>
      <w:r>
        <w:t>. De acuerdo con las alegaciones planteadas por las partes y la doctrina expuesta, procederemos a examinar ahora la concurrencia de la situación de extraordinaria y urgente necesidad, tomando en consideración lo afirmado por la propia exposición de motivos del Real Decreto-ley impugnado, la memoria abreviada del mismo, su expediente de elaboración y lo expuesto en el debate parlamentario de convalidación. Además de estos elementos directos que el Tribunal debe ponderar, aporta la representación del Estado en apoyo de sus argumentos las intervenciones parlamentarias del Secretario de Estado de Defensa en la comparecencia sobre los presupuestos para el año 2014 y el dictamen del Consejo de Estado emitido sobre el crédito extraordinario otorgado a través del Real Decreto-ley impugnado.</w:t>
      </w:r>
    </w:p>
    <w:p w:rsidR="00A90898" w:rsidRDefault="00A90898" w:rsidP="00A90898">
      <w:pPr>
        <w:pStyle w:val="TextoNormal"/>
      </w:pPr>
    </w:p>
    <w:p w:rsidR="00A90898" w:rsidRDefault="00A90898" w:rsidP="00A90898">
      <w:pPr>
        <w:pStyle w:val="TextoNormal"/>
      </w:pPr>
      <w:r>
        <w:t>Como punto de partida debe señalarse que ni de la memoria abreviada del Real Decreto-ley ni del expediente tramitado en el Ministerio de Defensa para la promoción del mismo, se puede deducir argumento concluyente que ampare la utilización del decreto-ley, pues nada se argumenta sobre la extraordinaria y urgente necesidad que lo justificaría. Solamente, en la exposición de motivos del Real Decreto-ley impugnado, se afirma en cuanto a la justificación de la extraordinaria y urgente necesidad que “el crédito extraordinario cubre las necesidades de financiación de los Programa en 2014 lo que permite abonar las cantidades correspondientes a los hitos contractuales de los diferentes contratos evitando que queden pendientes de pago facturaciones de las empresas contratistas. La Administración está obligada a atender el pago de obligaciones contractuales; y junto a ello, la necesidad de no demorar su abono para no causar perjuicios a terceros, constituyen razones de extraordinaria y urgente necesidad que justifican la concesión del crédito extraordinario mediante real decreto-ley.”</w:t>
      </w:r>
    </w:p>
    <w:p w:rsidR="00A90898" w:rsidRDefault="00A90898" w:rsidP="00A90898">
      <w:pPr>
        <w:pStyle w:val="TextoNormal"/>
      </w:pPr>
    </w:p>
    <w:p w:rsidR="00A90898" w:rsidRDefault="00A90898" w:rsidP="00A90898">
      <w:pPr>
        <w:pStyle w:val="TextoNormal"/>
      </w:pPr>
      <w:r>
        <w:t>Por su parte el Ministro de Hacienda y Administraciones Públicas, en el discurso de convalidación del Real Decreto-ley 10/2014, (publicado en el “Diario de Sesiones del Congreso de los Diputados Pleno y Diputación Permanente”, año 2014, X legislatura, núm. 217, sesión celebrada el 11 de septiembre de 2014) reconoció que el crédito extraordinario concedido a través del Decreto-ley impugnado “no trata de dar cobertura a necesidades imprevistas, su finalidad es proceder al pago de compromisos contraídos en ejercicios anteriores”. Destacando que los programas especiales de armamento son aquellos que, tanto por su volumen económico como por la complejidad industrial y tecnológica que plantean, suponen las más relevantes adquisiciones de sistemas de armas que realiza el Ministerio de Defensa y señalando que “la exigencia de atender el pago de obligaciones que ineludiblemente debe satisfacer la Administración y la necesidad de no demorar su abono para no causar perjuicios a terceros constituyen las razones de extraordinaria y urgente necesidad”.</w:t>
      </w:r>
    </w:p>
    <w:p w:rsidR="00A90898" w:rsidRDefault="00A90898" w:rsidP="00A90898">
      <w:pPr>
        <w:pStyle w:val="TextoNormal"/>
      </w:pPr>
    </w:p>
    <w:p w:rsidR="00A90898" w:rsidRDefault="00A90898" w:rsidP="00A90898">
      <w:pPr>
        <w:pStyle w:val="TextoNormal"/>
      </w:pPr>
      <w:r>
        <w:t>En apoyo de sus argumentos, alude el Abogado del Estado, a la comparecencia celebrada ante la Comisión de Defensa el 7 de octubre de 2013, Diario de Sesiones núm. 427, para explicar los presupuestos generales del Estado de 2014, en la que el Secretario de Estado de Defensa explicaba que el abono de las obligaciones económicas de este tipo de programas no puede incluirse en los presupuestos generales del Estado “porque esas son cantidades convenidas entre el Ministerio y las empresas. Son cantidades que han sido objeto de una dura negociación durante el año pasado, tan dura que ha servido para que lo que inicialmente iba a ser una obligación en 2014 de 1.600 millones de euros, se haya reducido a 900 millones. Si nosotros hubiéramos seguido su consejo y hubiéramos incluido los 1.600 millones de euros en el presupuesto ordinario, dígame en qué situación estaríamos ahora en relación con el cumplimiento de los objetivos de déficit de este país”. Igualmente, se correlaciona la específica financiación de los programas con la situación económica general: “La situación económica nacional está en proceso de recuperación, pero aún es complicada y excesivamente ligada a la capacidad de financiarnos en el exterior. Esto nos obliga a abordar con prudencia la solución a cada compromiso. Lo haremos tal y como lo hemos hecho en ocasiones anteriores, de acuerdo tanto con las posibilidades y necesidades económicas nacionales como con la evolución del mercado de deuda internacional, trabajando estrechamente con otros ministerios, singularmente el de Hacienda, teniendo como prioridad reducir el impacto en déficit, y por último teniendo siempre en cuenta los compromisos adquiridos con las instituciones y socios internacionales. Como ven se trata de variables complejas, a las que nos amoldamos para dar respuesta en el futuro a las necesidades de pago.”</w:t>
      </w:r>
    </w:p>
    <w:p w:rsidR="00A90898" w:rsidRDefault="00A90898" w:rsidP="00A90898">
      <w:pPr>
        <w:pStyle w:val="TextoNormal"/>
      </w:pPr>
    </w:p>
    <w:p w:rsidR="00A90898" w:rsidRDefault="00A90898" w:rsidP="00A90898">
      <w:pPr>
        <w:pStyle w:val="TextoNormal"/>
      </w:pPr>
      <w:r>
        <w:t>Por último, también el Abogado del Estado se refiere al dictamen del Consejo de Estado que en cuanto a la urgencia simplemente se limita a señalar que “por lo que respecta a la urgencia que debe revestir la atención de las obligaciones económicas referidas, baste señalar que los Presupuestos Generales de 2014 no incluyen dotaciones presupuestarias suficientes para su cobertura y que, de no concederse el crédito extraordinario previsto, no podrían pagarse las obligaciones derivadas de los Programas especiales de armamento”.</w:t>
      </w:r>
    </w:p>
    <w:p w:rsidR="00A90898" w:rsidRDefault="00A90898" w:rsidP="00A90898">
      <w:pPr>
        <w:pStyle w:val="TextoNormal"/>
      </w:pPr>
    </w:p>
    <w:p w:rsidR="00A90898" w:rsidRDefault="00A90898" w:rsidP="00A90898">
      <w:pPr>
        <w:pStyle w:val="TextoNormal"/>
      </w:pPr>
      <w:r>
        <w:t>En definitiva, pueden sintetizarse en dos las razones aducidas que avalarían la utilización de la figura del decreto-ley y que evidenciarían la situación de “extraordinaria urgente necesidad”: la imposibilidad de conocer en el momento de elaboración de los presupuestos generales del Estado, el importe exacto a abonar en este tipo de programas especiales de armamento y la necesidad de hacer frente al pago a los proveedores y las nefastas consecuencias que un retraso en dicho abono supondría para España.</w:t>
      </w:r>
    </w:p>
    <w:p w:rsidR="00A90898" w:rsidRDefault="00A90898" w:rsidP="00A90898">
      <w:pPr>
        <w:pStyle w:val="TextoNormal"/>
      </w:pPr>
    </w:p>
    <w:p w:rsidR="00A90898" w:rsidRDefault="00A90898" w:rsidP="00A90898">
      <w:pPr>
        <w:pStyle w:val="TextoNormal"/>
      </w:pPr>
      <w:r w:rsidRPr="00A90898">
        <w:rPr>
          <w:rStyle w:val="NumeroAFNegritaCaracter"/>
        </w:rPr>
        <w:t>4</w:t>
      </w:r>
      <w:r>
        <w:t>. Una vez expuestos los argumentos utilizados para justificar la situación de extraordinaria y urgente necesidad, debemos analizar si se ajustan a la doctrina constitucional. Como advertencia previa y constatados los argumentos de las partes en este recurso es necesario proceder a precisar el objeto de este proceso constitucional puesto que confluyen en él dos tipos de razonamientos: uno relativo a la concurrencia de las circunstancias que la Constitución exige para la corrección del uso del decreto-ley y otro relativo a la legalidad u oportunidad del crédito extraordinario que se concede a su través.</w:t>
      </w:r>
    </w:p>
    <w:p w:rsidR="00A90898" w:rsidRDefault="00A90898" w:rsidP="00A90898">
      <w:pPr>
        <w:pStyle w:val="TextoNormal"/>
      </w:pPr>
    </w:p>
    <w:p w:rsidR="00A90898" w:rsidRDefault="00A90898" w:rsidP="00A90898">
      <w:pPr>
        <w:pStyle w:val="TextoNormal"/>
      </w:pPr>
      <w:r>
        <w:t xml:space="preserve">A la luz de las alegaciones de las partes personadas en este proceso, puede constatarse que la especialidad de los programas especiales de armamento ha generado una práctica legislativa para abordar su financiación que debe calificarse, al menos, como singular. </w:t>
      </w:r>
      <w:r>
        <w:lastRenderedPageBreak/>
        <w:t>Como se dejó señalado en los antecedentes con mayor detalle, durante los años 2012 y 2013 también se utilizó la técnica legislativa del Decreto-ley para cumplir las obligaciones derivadas de este tipo de programas; los Reales Decretos-leyes 26/2012, de 7 de septiembre (“BOE” de 8 de septiembre) y 10/2013, de 26 de julio (“BOE” de 27 de julio), tuvieron como finalidad la concesión de créditos extraordinarios para el pago de este tipo de programas especiales de armamento. Lo mismo puede decirse respecto a ejercicios posteriores a 2014 (Real Decreto-Ley 7/2015, de 14 de mayo (“BOE” de 15 de mayo). Parece pues que, más que la respuesta a una situación de extraordinaria y urgente necesidad por imprevisible, el pago de estos programas a través de la figura del decreto-ley se ha convertido en una práctica habitual. Así viene a confirmarlo las declaraciones efectuadas por el Secretario de Estado en la Comisión de Defensa del Congreso, sesión del 6 de octubre de 2014, en relación a los presupuestos generales para 2015, (trascritas en los antecedentes) cuando aseguró que para el año 2015 “el Gobierno volverá a atender sus compromisos de pago mediante el uso del decreto-ley para autorizar un crédito extraordinario, pagos derivados de los programas especiales de armamento”. Esta práctica pone de manifiesto que la imprevisibilidad que, a juicio de la Abogacía del Estado, justificaría la urgencia y necesidad no existe en el asunto ahora analizado, desde el momento que la obligación de hacer frente al pago de estos programas es periódica y por tanto, previsible y programable, como se ha puesto de manifiesto por las partes personadas; se conoce de antemano cuándo debe realizarse el pago pero no la cuantía exacta, por ello, no se incluye en la Ley de presupuestos generales del Estado sino que durante el ejercicio presupuestario, cuando se concreta la cuantía exacta se articulan los mecanismos presupuestarios oportunos para afrontar tales obligaciones.</w:t>
      </w:r>
    </w:p>
    <w:p w:rsidR="00A90898" w:rsidRDefault="00A90898" w:rsidP="00A90898">
      <w:pPr>
        <w:pStyle w:val="TextoNormal"/>
      </w:pPr>
    </w:p>
    <w:p w:rsidR="00A90898" w:rsidRDefault="00A90898" w:rsidP="00A90898">
      <w:pPr>
        <w:pStyle w:val="TextoNormal"/>
      </w:pPr>
      <w:r>
        <w:t>Dicho en otras palabras, resulta evidente que el sistema de financiación de este tipo de programas imposibilita conocer la cuantía final líquida que debe imputarse a cada ejercicio presupuestario hasta que éste se ejecuta. Es más, incluso el montante de cada anualidad se condiciona a criterios macroeconómicos como puede ser la evolución del déficit de las cuentas públicas. Existe un compromiso de participación del Estado español en estos programas plurianuales pero la efectiva cuantía se conoce solo en su montante global, quedando sujeta a variación cada anualidad. Por ello, se sabe que el compromiso español es de 29.500 millones de euros a satisfacer hasta el año 2030. Pero el calendario de pagos queda sujeto a cierta flexibilidad (la cuantía anual es ilíquida hasta el cierre de la ejecución del presupuesto). Esta flexibilidad impide una programación exacta de la partida presupuestaria que caracteriza la normal tramitación de las leyes de presupuestos generales y por ello se recurre a la figura del crédito extraordinario. Según la evolución macroeconómica se puede aplanar más o menos la curva de pagos a lo largo del tiempo.</w:t>
      </w:r>
    </w:p>
    <w:p w:rsidR="00A90898" w:rsidRDefault="00A90898" w:rsidP="00A90898">
      <w:pPr>
        <w:pStyle w:val="TextoNormal"/>
      </w:pPr>
    </w:p>
    <w:p w:rsidR="00A90898" w:rsidRDefault="00A90898" w:rsidP="00A90898">
      <w:pPr>
        <w:pStyle w:val="TextoNormal"/>
      </w:pPr>
      <w:r>
        <w:t>Como antes se señaló, no se discute propiamente en este recurso la figura presupuestaria mediante la que deba articularse el pago de la obligación, sino que se duda de si es constitucionalmente adecuada la utilización del decreto-ley para su instrumentalización. Pero los argumentos no son totalmente separables. Así, para la Abogacía del Estado resulta que la flexibilidad de los programas es la que justifica, en sí misma, la urgencia del pago. Dicho en otras palabras, la posibilidad de modular la cuantía anual se compensa con una estricta obligación de inmediatez en el pago una vez se determina ésta. Este sistema de financiación provoca un desfase en la programación presupuestaria tradicional entre la elaboración de las cuentas públicas y su efectiva ejecución.</w:t>
      </w:r>
    </w:p>
    <w:p w:rsidR="00A90898" w:rsidRDefault="00A90898" w:rsidP="00A90898">
      <w:pPr>
        <w:pStyle w:val="TextoNormal"/>
      </w:pPr>
    </w:p>
    <w:p w:rsidR="00A90898" w:rsidRDefault="00A90898" w:rsidP="00A90898">
      <w:pPr>
        <w:pStyle w:val="TextoNormal"/>
      </w:pPr>
      <w:r>
        <w:lastRenderedPageBreak/>
        <w:t>De nuevo, y aunque como elemento externo de la justificación propia del uso del Real Decreto-Ley, en la comparecencia celebrada ante la Comisión de Defensa el 7 de octubre de 2013, “Diario de Sesiones” núm. 427, para explicar los presupuestos generales del Estado de 2014, el Secretario de Estado de Defensa, explicita que “la no atención de los requerimientos de pago consecuencia del cumplimiento de los hitos contractuales, puede traer costes adicionales referidos a penalización en los acuerdos con organizaciones internacionales o intereses de demora en los contratos con proveedores nacionales. Es precisamente la obligación de proceder al cumplimiento de los compromisos contraídos en los correspondientes contratos y no causar perjuicios a los afectados, las razones de urgencia y necesidad que justifican la tramitación del crédito extraordinario, que no pueden hacerse frente a través de proyectos de Ley porque una vez determinadas las cantidades, se impone su pronto pago”.</w:t>
      </w:r>
    </w:p>
    <w:p w:rsidR="00A90898" w:rsidRDefault="00A90898" w:rsidP="00A90898">
      <w:pPr>
        <w:pStyle w:val="TextoNormal"/>
      </w:pPr>
    </w:p>
    <w:p w:rsidR="00A90898" w:rsidRDefault="00A90898" w:rsidP="00A90898">
      <w:pPr>
        <w:pStyle w:val="TextoNormal"/>
      </w:pPr>
      <w:r w:rsidRPr="00A90898">
        <w:rPr>
          <w:rStyle w:val="NumeroAFNegritaCaracter"/>
        </w:rPr>
        <w:t>5</w:t>
      </w:r>
      <w:r>
        <w:t>. La jurisprudencia de este Tribunal ha considerado adecuado el uso del Decreto-ley en situaciones que hemos denominado como “coyunturas económicas problemáticas”, como en la que se puede contextualizar la norma impugnada, para cuyo tratamiento representa un instrumento constitucionalmente lícito, en tanto que pertinente y adecuado para la consecución del fin que justifica la legislación de urgencia, pero hemos también advertido que el objeto de esta legislación de urgencia no puede ser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100/2012, de 8 de mayo, FJ 8, y 29/2015, de 19 de febrero).</w:t>
      </w:r>
    </w:p>
    <w:p w:rsidR="00A90898" w:rsidRDefault="00A90898" w:rsidP="00A90898">
      <w:pPr>
        <w:pStyle w:val="TextoNormal"/>
      </w:pPr>
    </w:p>
    <w:p w:rsidR="00A90898" w:rsidRDefault="00A90898" w:rsidP="00A90898">
      <w:pPr>
        <w:pStyle w:val="TextoNormal"/>
      </w:pPr>
      <w:r>
        <w:t>Pero es que además, la jurisprudencia constitucional ha exigido desde sus inicios, STC 29/1982, FJ 3, hasta la reciente, STC 29/2015, de 19 de febrero,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w:t>
      </w:r>
    </w:p>
    <w:p w:rsidR="00A90898" w:rsidRDefault="00A90898" w:rsidP="00A90898">
      <w:pPr>
        <w:pStyle w:val="TextoNormal"/>
      </w:pPr>
    </w:p>
    <w:p w:rsidR="00A90898" w:rsidRDefault="00A90898" w:rsidP="00A90898">
      <w:pPr>
        <w:pStyle w:val="TextoNormal"/>
      </w:pPr>
      <w:r>
        <w:t xml:space="preserve">En el presente caso, como antes se han puesto de manifiesto, las razones aducidas, tanto en la propia exposición de motivos de la norma impugnada como las afirmaciones vertidas en los distintos debates parlamentarios, fundamentan una situación de “extraordinaria y urgente necesidad”, en la necesidad de proceder a un pronto pago, una vez liquidada la obligación contraída. Ello puede considerarse constitutivo de un motivo genérico de urgencia pero no de una situación de extraordinaria necesidad. La exposición de motivos de la norma impugnada, como antes se ha expuesto, se limita a afirmar que constituyen razones de extraordinaria y urgente necesidad el atender al pago de los proveedores. Tampoco la intervención del Ministro de Hacienda y Administraciones Públicas en el discurso de convalidación del Real Decreto-ley impugnado, permite constatar la concurrencia del presupuesto habilitante en el Decreto-ley recurrido, pues, como antes se señaló en ella afirmó que el crédito extraordinario discutido no trataba de dar cobertura a necesidades imprevistas sino a proceder al pago de compromisos contraídos en ejercicios anteriores. A mayor abundamiento, las afirmaciones efectuadas por el Secretario de Estado en la Comisión de Defensa del Congreso, sesión del 6 de octubre de 2014, en relación a los presupuestos generales para 2015, antes trascritas, evidencian que la extraordinaria y urgente necesidad es meramente </w:t>
      </w:r>
      <w:r>
        <w:lastRenderedPageBreak/>
        <w:t>formal, ya que reconocía que el Gobierno tiene intención de volver a atender sus compromisos de pago mediante el uso del Decreto-ley para autorizar un crédito extraordinario para los pagos derivados de los programas especiales de armamento en el año 2015. Por su parte, el dictamen del Consejo de Estado en relación con el crédito extraordinario concedido, tiene por objeto, como establece el art. 22.14 de la Ley Orgánica 3/1980, de 22 de abril, del Consejo de Estado, el análisis del crédito y no la valoración constitucional del Real Decreto-ley que lo autoriza.</w:t>
      </w:r>
    </w:p>
    <w:p w:rsidR="00A90898" w:rsidRDefault="00A90898" w:rsidP="00A90898">
      <w:pPr>
        <w:pStyle w:val="TextoNormal"/>
      </w:pPr>
    </w:p>
    <w:p w:rsidR="00A90898" w:rsidRDefault="00A90898" w:rsidP="00A90898">
      <w:pPr>
        <w:pStyle w:val="TextoNormal"/>
      </w:pPr>
      <w:r w:rsidRPr="00A90898">
        <w:rPr>
          <w:rStyle w:val="NumeroAFNegritaCaracter"/>
        </w:rPr>
        <w:t>6</w:t>
      </w:r>
      <w:r>
        <w:t>. En definitiva, desde la estricta perspectiva de la utilización constitucionalmente legítima del decreto-Ley, la única argumentación utilizada, tanto en la exposición de motivos de la norma impugnada, como en las afirmaciones efectuadas en sede parlamentaria, se referían al desconocimiento —en el momento de elaboración de los presupuestos generales del Estado— del importe exacto a abonar en este tipo de programas, junto con la necesidad de hacer frente al pago a los proveedores y las nefastas consecuencias que un retraso en dicho abono supondría para España. Tales razones no pueden justificar la utilización de una figura excepcional como el Decreto-ley; el pago de las obligaciones contractuales adquiridas por el Estado no puede ser, en sí mismo, un argumento válido para justificar la situación de “extraordinaria y urgente necesidad” requerida en el art. 86 CE si no va acompañado de una justificación adicional que explicite las razones en virtud de las cuales el pago de una obligación adquiere tal gravedad. En el presente caso, se trata de la adquisición de material militar sin que se razone la urgencia del pago de tales adquisiciones, simplemente se alude a la importancia de que se pague a los proveedores para evitar el descrédito internacional del país y los posibles perjuicios que del retraso en el pago pudieran derivarse. Consecuencias negativas que aparecerían en cualquier retraso de pago de cualquier obligación contractual del Estado, sin que en el presente caso se haya justificado la especial trascendencia de tales perjuicios.</w:t>
      </w:r>
    </w:p>
    <w:p w:rsidR="00A90898" w:rsidRDefault="00A90898" w:rsidP="00A90898">
      <w:pPr>
        <w:pStyle w:val="TextoNormal"/>
      </w:pPr>
    </w:p>
    <w:p w:rsidR="00A90898" w:rsidRDefault="00A90898" w:rsidP="00A90898">
      <w:pPr>
        <w:pStyle w:val="TextoNormal"/>
      </w:pPr>
      <w:r>
        <w:t>La especial financiación de los programas de defensa aquí analizados puede justificar la utilización del crédito extraordinario al margen de la programación presupuestaria normal. Pero ese carácter extraordinario bien podría vehicularse a través de la ley y no indefectiblemente mediante el Real Decreto-ley cuyo uso legítimo se halla restringido por la Constitución.</w:t>
      </w:r>
    </w:p>
    <w:p w:rsidR="00A90898" w:rsidRDefault="00A90898" w:rsidP="00A90898">
      <w:pPr>
        <w:pStyle w:val="TextoNormal"/>
      </w:pPr>
    </w:p>
    <w:p w:rsidR="00A90898" w:rsidRDefault="00A90898" w:rsidP="00A90898">
      <w:pPr>
        <w:pStyle w:val="TextoNormal"/>
      </w:pPr>
      <w:r>
        <w:t>En definitiva, por lo que se ha expuesto, resulta que el recurso sistemático al decreto-ley como forma jurídica de vehicular créditos extraordinarios para financiar los programas especiales de armamento no se ajusta a las previsiones constitucionales contenidas en el art. 86.1. CE.</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Resta, por último, determinar los efectos de la declaración de inconstitucionalidad del art. 2.1 del Real Decreto-ley 10/2014, de 1 de agosto, por el que se concede crédito extraordinario en el presupuesto del Ministerio de Defensa. Como hemos apreciado en otras ocasiones, por todas STC 3/2003, de 16 de enero, FJ 11, declarada la inconstitucionalidad de una norma legal y dado que el artículo del Decreto-ley declarado inconstitucional contiene la concesión de un crédito extraordinario para hacer frente a las obligaciones jurídicas contraídas por la Administración durante un ejercicio presupuestario ya finalizado, es preciso modular el alcance de esa declaración para atender adecuadamente a otros valores con trascendencia constitucional, como los derechos de los terceros de buena fe que mantienen relaciones económicas con la Administración, que se verían gravemente comprometidos por </w:t>
      </w:r>
      <w:r>
        <w:lastRenderedPageBreak/>
        <w:t>la desaparición de la concesión del crédito extraordinario. Por este motivo deben declararse no susceptibles de ser revisadas como consecuencia de la nulidad que ahora declaramos no sólo aquellas situaciones decididas mediante Sentencia con fuerza de cosa juzgada (art. 40.1 de la Ley Orgánica del Tribunal Constitucional), sino también por exigencia del principio constitucional de seguridad jurídica (art. 9.3 CE), las establecidas mediante actuaciones administrativas firmes.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inconstitucionalidad interpuesto y, en consecuencia, declarar inconstitucional y nulo el apartado 1 del art. 2 del Real Decreto-ley 10/2014, de 1 de agosto, por el que se conceden créditos extraordinarios y suplementos de crédito en el presupuesto de los Ministerios de Asuntos Exteriores y Cooperación, de Defensa y de Agricultura, Alimentación y Medio Ambiente, con los efectos jurídicos señalados en el fundamento jurídico séptimo.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siete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 w:name="SENTENCIA_2016_127"/>
      <w:r>
        <w:lastRenderedPageBreak/>
        <w:t>SENTENCIA 127/2016, de 7 de julio de 2016</w:t>
      </w:r>
    </w:p>
    <w:bookmarkEnd w:id="6"/>
    <w:p w:rsidR="00A90898" w:rsidRDefault="00A90898" w:rsidP="00A90898">
      <w:pPr>
        <w:pStyle w:val="TtuloResolucin"/>
      </w:pPr>
      <w:r>
        <w:t>Pleno</w:t>
      </w:r>
    </w:p>
    <w:p w:rsidR="00A90898" w:rsidRDefault="00A90898" w:rsidP="00A90898">
      <w:pPr>
        <w:pStyle w:val="TtuloBOE"/>
      </w:pPr>
      <w:r>
        <w:t>(BOE núm. 192, de 10 de agosto de 2016)</w:t>
      </w:r>
    </w:p>
    <w:p w:rsidR="00A90898" w:rsidRDefault="00A90898" w:rsidP="00A90898">
      <w:pPr>
        <w:pStyle w:val="TextoNormalCentrado"/>
      </w:pPr>
      <w:r>
        <w:t>ECLI:ES:TC:2016:127</w:t>
      </w:r>
    </w:p>
    <w:p w:rsidR="00A90898" w:rsidRDefault="00A90898" w:rsidP="00A90898">
      <w:pPr>
        <w:pStyle w:val="TextoNormalCentrado"/>
      </w:pPr>
    </w:p>
    <w:p w:rsidR="00A90898" w:rsidRDefault="00A90898" w:rsidP="00A90898">
      <w:pPr>
        <w:pStyle w:val="SntesisDescriptiva"/>
      </w:pPr>
      <w:r>
        <w:t>Cuestión de inconstitucionalidad 1757-2015. Planteada por la Sala de lo Contencioso-Administrativo del Tribunal Superior de Justicia de Galicia en relación con el artículo 32.1 de la Ley 5/1997, de 22 de julio, de Administración local de Galicia.</w:t>
      </w:r>
    </w:p>
    <w:p w:rsidR="00A90898" w:rsidRDefault="00A90898" w:rsidP="00A90898">
      <w:pPr>
        <w:pStyle w:val="SntesisDescriptiva"/>
      </w:pPr>
    </w:p>
    <w:p w:rsidR="00A90898" w:rsidRDefault="00A90898" w:rsidP="00A90898">
      <w:pPr>
        <w:pStyle w:val="SntesisAnaltica"/>
      </w:pPr>
      <w:r>
        <w:t>Competencias sobre régimen local: inadmisión de la cuestión de inconstitucionalidad en la que se aduce inconstitucionalidad sobrevenida de un precepto legal autonómico (STC 102/2016). Voto particular.</w:t>
      </w:r>
    </w:p>
    <w:p w:rsidR="00A90898" w:rsidRDefault="00A90898" w:rsidP="00A90898">
      <w:pPr>
        <w:pStyle w:val="SntesisAnaltica"/>
      </w:pPr>
    </w:p>
    <w:p w:rsidR="00A90898" w:rsidRDefault="00A90898" w:rsidP="00A90898">
      <w:pPr>
        <w:pStyle w:val="Extracto"/>
      </w:pPr>
      <w:r>
        <w:t>1.</w:t>
      </w:r>
      <w:r>
        <w:tab/>
        <w:t>Asunto sustancialmente idéntico al resuelto por la STC 102/2016, que aplica  doctrina sobre los casos en los que la aplicación del principio de prevalencia del derecho estatal no determina la derogación de la norma autonómica ni ha de conducir a su nulidad por inconstitucionalidad sobrevenida, sino que puede resolverse inaplicando la ley autonómica por considerar prevalente la posterior legislación básica estatal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1757-2015, promovida por la Sección Segunda de la Sala de lo Contencioso-Administrativo del Tribunal Superior de Justicia de Galicia en relación con el art. 32.1 de la Ley 5/1997, de 22 de julio, de Administración local de Galicia. Han intervenido y formulado alegaciones el Abogado del Estado, la Xunta de Galicia, el Parlamento de Galicia y la Fiscal General del Estado.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16 de abril de 2015 tuvo entrada en el Registro General de este Tribunal un oficio de la Sección Segunda de la Sala de lo Contencioso-Administrativo del Tribunal Superior </w:t>
      </w:r>
      <w:r>
        <w:lastRenderedPageBreak/>
        <w:t>de Justicia de Galicia, al que se adjunta, con el testimonio del recurso ordinario 4574-2013, el Auto de 6 de marzo de 2015, por el que se acuerda plantear cuestión de inconstitucionalidad respecto del art. 32.1 de la Ley 5/1997, de 22 de julio de Administración local de Galicia, por desconocer el art. 149.1.18 CE.</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que interesa destacar a los efectos de este proceso constitucional son los siguientes:</w:t>
      </w:r>
    </w:p>
    <w:p w:rsidR="00A90898" w:rsidRDefault="00A90898" w:rsidP="00A90898">
      <w:pPr>
        <w:pStyle w:val="TextoNormal"/>
      </w:pPr>
    </w:p>
    <w:p w:rsidR="00A90898" w:rsidRDefault="00A90898" w:rsidP="00A90898">
      <w:pPr>
        <w:pStyle w:val="TextoNormal"/>
      </w:pPr>
      <w:r>
        <w:t>a) El Pleno del Ayuntamiento de Cesuras, mediante acuerdo de 11 de enero de 2013, adoptado por siete votos a favor y cuatro en contra, estimó la fusión voluntaria de municipios limítrofes entre Cesuras y Oza de los Ríos, dando lugar, junto con el correspondiente acuerdo plenario de Oza de los Ríos, al inicio del expediente de fusión de ambos municipios, que culminó con el Decreto autonómico 83/2013, de 6 de junio, que aprobó dicha fusión.</w:t>
      </w:r>
    </w:p>
    <w:p w:rsidR="00A90898" w:rsidRDefault="00A90898" w:rsidP="00A90898">
      <w:pPr>
        <w:pStyle w:val="TextoNormal"/>
      </w:pPr>
    </w:p>
    <w:p w:rsidR="00A90898" w:rsidRDefault="00A90898" w:rsidP="00A90898">
      <w:pPr>
        <w:pStyle w:val="TextoNormal"/>
      </w:pPr>
      <w:r>
        <w:t>b) Doña E.B.D., entonces concejal del municipio de Oza de los Ríos, impugnó el citado decreto por considerar que el indicado acuerdo de 11 de enero de 2013 del Pleno del Ayuntamiento de Cesuras no se ajusta al transcrito art. 32.1 de la Ley 5/1997, de 22 de julio, de Administración local de Galicia, en la medida que no votaron a favor las dos terceras partes del número de hecho de concejales, pues siete es menos de las dos terceras partes de 11.</w:t>
      </w:r>
    </w:p>
    <w:p w:rsidR="00A90898" w:rsidRDefault="00A90898" w:rsidP="00A90898">
      <w:pPr>
        <w:pStyle w:val="TextoNormal"/>
      </w:pPr>
    </w:p>
    <w:p w:rsidR="00A90898" w:rsidRDefault="00A90898" w:rsidP="00A90898">
      <w:pPr>
        <w:pStyle w:val="TextoNormal"/>
      </w:pPr>
      <w:r>
        <w:t>La actora razona, no obstante, que si la Sala considera que, sobre la norma autonómica, prevalece el art. 47.2 a) de la Ley 7/1985, de 2 de abril, reguladora de las bases de régimen local (en delante LBRL), según el que la alteración de términos municipales requiere el voto favorable de la mayoría absoluta del número legal de miembros de las corporaciones, resolver el litigio planteado conforme a este precepto estatal exigiría plantear prejudicialmente la correspondiente cuestión de inconstitucionalidad.</w:t>
      </w:r>
    </w:p>
    <w:p w:rsidR="00A90898" w:rsidRDefault="00A90898" w:rsidP="00A90898">
      <w:pPr>
        <w:pStyle w:val="TextoNormal"/>
      </w:pPr>
    </w:p>
    <w:p w:rsidR="00A90898" w:rsidRDefault="00A90898" w:rsidP="00A90898">
      <w:pPr>
        <w:pStyle w:val="TextoNormal"/>
      </w:pPr>
      <w:r>
        <w:t>c) La Junta de Galicia, por medio de su representación procesal, se opuso a la pretensión de la actora. Razona que la divergencia entre el precepto autonómico y el estatal tiene su origen en la reforma operada en el art. 47.2 LBRL mediante la Ley 57/2003, de 16 de diciembre, de medidas para la modernización del gobierno local. En su versión anterior a dicha reforma, el precepto citado requería para la adopción de ese tipo de acuerdos “el voto favorable de las dos terceras partes del número de hecho y, en todo caso, la mayoría absoluta del número legal de miembros”, una exigencia ésta que se incorporó literalmente al art. 32.1 de la Ley de Administración local de Galicia, el cual devino posteriormente contrario al art. 47.2 LBRL a raíz de que el legislador estatal sustituyera, como se ha indicado, ese criterio por el de la “mayoría absoluta del número legal de miembros” de la corporación.</w:t>
      </w:r>
    </w:p>
    <w:p w:rsidR="00A90898" w:rsidRDefault="00A90898" w:rsidP="00A90898">
      <w:pPr>
        <w:pStyle w:val="TextoNormal"/>
      </w:pPr>
    </w:p>
    <w:p w:rsidR="00A90898" w:rsidRDefault="00A90898" w:rsidP="00A90898">
      <w:pPr>
        <w:pStyle w:val="TextoNormal"/>
      </w:pPr>
      <w:r>
        <w:t>Afirma, en segundo lugar, que esta divergencia ha sido abordada por las SSTC 66/2011 y 159/2012, si bien respecto de un precepto legal canario que regulaba la mayoría para alterar la capitalidad municipal, en las que se ha resuelto que la competencia estatal básica ex art. 149.1.18 CE comprende la determinación del quorum y las mayorías necesarias para la adopción de los acuerdos de los órganos colegiados superiores de las corporaciones locales, ya que los preceptos relativos a estas cuestiones definen precisamente un modelo de democracia local.</w:t>
      </w:r>
    </w:p>
    <w:p w:rsidR="00A90898" w:rsidRDefault="00A90898" w:rsidP="00A90898">
      <w:pPr>
        <w:pStyle w:val="TextoNormal"/>
      </w:pPr>
    </w:p>
    <w:p w:rsidR="00A90898" w:rsidRDefault="00A90898" w:rsidP="00A90898">
      <w:pPr>
        <w:pStyle w:val="TextoNormal"/>
      </w:pPr>
      <w:r>
        <w:t xml:space="preserve">Concluye, a partir de todo ello, que la Junta de Galicia, al aplicar el art. 47.2 a) LBRL en lugar del precepto autonómico, para considerar que la mayoría con la que se aprobó el inicio </w:t>
      </w:r>
      <w:r>
        <w:lastRenderedPageBreak/>
        <w:t>del expediente de fusión por el Ayuntamiento de Cesuras era suficiente, se ha ajustado a la Constitución y por ello el Decreto autonómico recurrido es legal, debiendo desestimarse la pretensión actora.</w:t>
      </w:r>
    </w:p>
    <w:p w:rsidR="00A90898" w:rsidRDefault="00A90898" w:rsidP="00A90898">
      <w:pPr>
        <w:pStyle w:val="TextoNormal"/>
      </w:pPr>
    </w:p>
    <w:p w:rsidR="00A90898" w:rsidRDefault="00A90898" w:rsidP="00A90898">
      <w:pPr>
        <w:pStyle w:val="TextoNormal"/>
      </w:pPr>
      <w:r>
        <w:t>La Diputación Provincial de A Coruña también se persona en el pleito y razona del mismo modo, pero en el otrosí digo cuarto, apreciando que la Sala no puede inaplicar por su propia autoridad el precepto legal autonómico, insta que se eleve la oportuna cuestión de inconstitucionalidad.</w:t>
      </w:r>
    </w:p>
    <w:p w:rsidR="00A90898" w:rsidRDefault="00A90898" w:rsidP="00A90898">
      <w:pPr>
        <w:pStyle w:val="TextoNormal"/>
      </w:pPr>
    </w:p>
    <w:p w:rsidR="00A90898" w:rsidRDefault="00A90898" w:rsidP="00A90898">
      <w:pPr>
        <w:pStyle w:val="TextoNormal"/>
      </w:pPr>
      <w:r>
        <w:t>d) Una vez concluso el procedimiento, y antes de dictar Sentencia, la Sala de lo Contencioso-Administrativo del Tribunal Superior de Justicia de Galicia dictó providencia de 12 de febrero de 2015 del siguiente tenor: “Considerando el Tribunal que el art. 32 de la Ley 5/1997, de 22 de julio de Administración Local de Galicia, aplicable al caso y de cuya validez depende el fallo, puede ser contrario a la Constitución, y de conformidad a lo previsto en el art. 35 de la Ley Orgánica 2/1979, de 3 de octubre, del Tribunal Constitucional: Óigase a las partes y al Ministerio Fiscal para que en el plazo común e improrrogable de 10 días puedan alegar lo que deseen sobre la pertinencia de plantear la cuestión de inconstitucionalidad, o sobre el fondo de ésta”.</w:t>
      </w:r>
    </w:p>
    <w:p w:rsidR="00A90898" w:rsidRDefault="00A90898" w:rsidP="00A90898">
      <w:pPr>
        <w:pStyle w:val="TextoNormal"/>
      </w:pPr>
    </w:p>
    <w:p w:rsidR="00A90898" w:rsidRDefault="00A90898" w:rsidP="00A90898">
      <w:pPr>
        <w:pStyle w:val="TextoNormal"/>
      </w:pPr>
      <w:r>
        <w:t>e) La actora, en escrito registrado el día 19 de febrero de 2015, alegó que, tal como ya había solicitado en el fundamento jurídico IX de su escrito de demanda, era procedente suscitar la correspondiente cuestión de inconstitucionalidad a fin de resolver la aparente contradicción entre el art. 32 de la Ley de Administración local de Galicia y el art. 47.2 LBRL.</w:t>
      </w:r>
    </w:p>
    <w:p w:rsidR="00A90898" w:rsidRDefault="00A90898" w:rsidP="00A90898">
      <w:pPr>
        <w:pStyle w:val="TextoNormal"/>
      </w:pPr>
    </w:p>
    <w:p w:rsidR="00A90898" w:rsidRDefault="00A90898" w:rsidP="00A90898">
      <w:pPr>
        <w:pStyle w:val="TextoNormal"/>
      </w:pPr>
      <w:r>
        <w:t>El Fiscal, en escrito registrado el 23 de febrero de 2015, sostiene que se dan en este caso los requisitos de procedibilidad ex art. 35.2 de la Ley Orgánica del Tribunal Constitucional (LOTC) y, en cuanto al fondo, luego de transcribir el art. 32 de la Ley de Administración local de Galicia y el art. 47.2 LBRL, afirma que “los artículos referidos devienen incompatibles y, como subrayan todas las partes, esa discordancia solo puede resolverla el Tribunal Constitucional”, apuntando que parece similar a la resuelta en la STC 159/2012.</w:t>
      </w:r>
    </w:p>
    <w:p w:rsidR="00A90898" w:rsidRDefault="00A90898" w:rsidP="00A90898">
      <w:pPr>
        <w:pStyle w:val="TextoNormal"/>
      </w:pPr>
    </w:p>
    <w:p w:rsidR="00A90898" w:rsidRDefault="00A90898" w:rsidP="00A90898">
      <w:pPr>
        <w:pStyle w:val="TextoNormal"/>
      </w:pPr>
      <w:r>
        <w:t>El Letrado de la Junta de Galicia, en términos similares a los de su escrito de contestación a la demanda, alega, en escrito de 24 de febrero de 2015, que hay una contradicción entre el art. 32.1 de la Ley de Administración local de Galicia y el art. 47.2. a) LBRL en cuanto a la mayoría para el acuerdo de inicio de los expedientes de alteración de términos municipales; que esta contradicción se origina en la nueva redacción dada al precepto estatal por la Ley 57/2003; y, en fin, que un debate constitucional similar ha sido resuelto por las SSTC 66/2011 y 159/2012 señalando que las mayorías fijadas en el precepto estatal, entendidas como inmodificables, tienen carácter básico. Por todo ello, suplica que se eleve cuestión de inconstitucionalidad respecto del art. 32.1 de la Ley de Administración local de Galicia por posible inconstitucionalidad sobrevenida por infracción del art. 149.1.18 CE.</w:t>
      </w:r>
    </w:p>
    <w:p w:rsidR="00A90898" w:rsidRDefault="00A90898" w:rsidP="00A90898">
      <w:pPr>
        <w:pStyle w:val="TextoNormal"/>
      </w:pPr>
    </w:p>
    <w:p w:rsidR="00A90898" w:rsidRDefault="00A90898" w:rsidP="00A90898">
      <w:pPr>
        <w:pStyle w:val="TextoNormal"/>
      </w:pPr>
      <w:r>
        <w:t xml:space="preserve">El Letrado de la Diputación Provincial de A Coruña, en escrito registrado el 26 de febrero de 2015, comienza alegando que “en el cuarto otrosí digo de nuestro escrito de contestación a la demanda solicitamos expresamente el planteamiento de la cuestión de inconstitucionalidad del art. 32 de la Ley de Administración local de Galicia, en cuanto contradice, de forma efectiva e insalvable, el régimen de mayorías establecido en el art. 47.2 a) LBRRL, en la </w:t>
      </w:r>
      <w:r>
        <w:lastRenderedPageBreak/>
        <w:t>redacción dada por la Ley 57/2003, que tiene la condición de básico, ex art. 149.1.18 CE”. El resto del escrito se destina a glosar la doctrina constitucional acerca del carácter básico ex art. 149.1.18 CE del régimen de mayorías aplicable a los acuerdos municipales (SSTC 331/1993, 66/2011 y 159/2012) y la que destaca que “la disconformidad sobrevenida de las disposiciones autonómicas cuestionadas con las nuevas bases … adoptadas por el legislador estatal … determina la actual inconstitucionalidad de aquellas disposiciones originariamente respetuosas del orden constitucional de distribución de competencias” (STC 1/2003), lo que hace necesario que el órgano judicial, en lugar de inaplicar la norma autonómica por su propia autoridad, eleve la correspondiente cuestión de inconstitucionalidad.</w:t>
      </w:r>
    </w:p>
    <w:p w:rsidR="00A90898" w:rsidRDefault="00A90898" w:rsidP="00A90898">
      <w:pPr>
        <w:pStyle w:val="TextoNormal"/>
      </w:pPr>
    </w:p>
    <w:p w:rsidR="00A90898" w:rsidRDefault="00A90898" w:rsidP="00A90898">
      <w:pPr>
        <w:pStyle w:val="TextoNormal"/>
      </w:pPr>
      <w:r>
        <w:t>f) La Sección Segunda de la Sala de lo Contencioso-Administrativo del Tribunal Superior de Justicia de Galicia dictó Auto de 6 de marzo de 2015, por el que se acuerda que “considerando el Tribunal que el art. 32.1 de la Ley 5/1997, de 22 de julio de Administración Local de Galicia, aplicable al caso y de cuya validez depende el fallo, puede ser contrario a la Constitución en los términos más arriba expresados, planteamos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3</w:t>
      </w:r>
      <w:r>
        <w:t>. El Auto de planteamiento, tras recoger los hechos del caso y resumir los antecedentes de este trámite, contiene un único razonamiento jurídico, que se divide en tres puntos. En el primero, luego de transcribir el art. 32.1 de la Ley de Administración local de Galicia, se afirma que el art. 149.1.18 CE atribuye al Estado competencia exclusiva para establecer las bases del régimen jurídico de las Administraciones públicas, competencia que se materializó, por lo que a la Administración local se refiere, con la adopción de la Ley reguladora de las bases de régimen local, que en su art. 47.2 a), según la redacción dada por la Ley 57/2003, dispone que la alteración de términos municipales requiere el voto favorable de la mayoría absoluta del número legal de miembros de las corporaciones. Termina este primer punto destacando que el art. 32.1 de la Ley de Administración local de Galicia, previamente transcrito, entra en contradicción con el art. 47.2 a) LBRL, pues exige para ese mismo tipo de acuerdos el voto favorable de las dos terceras partes del número de hecho y, en todo caso, de la mayoría absoluta del número legal de miembros de la corporación.</w:t>
      </w:r>
    </w:p>
    <w:p w:rsidR="00A90898" w:rsidRDefault="00A90898" w:rsidP="00A90898">
      <w:pPr>
        <w:pStyle w:val="TextoNormal"/>
      </w:pPr>
    </w:p>
    <w:p w:rsidR="00A90898" w:rsidRDefault="00A90898" w:rsidP="00A90898">
      <w:pPr>
        <w:pStyle w:val="TextoNormal"/>
      </w:pPr>
      <w:r>
        <w:t>En el segundo punto recuerda que lo que se discute en el proceso a quo es si el acuerdo municipal de iniciación del expediente de fusión de los Ayuntamientos de Cesuras y Oza de los Ríos es ilegal porque, al haber sido votado el acuerdo correspondiente del Ayuntamiento de Cesuras por 7 concejales de 11 que estaban presentes, infringe lo dispuesto en el art. 32.1 de la Ley de Administración local de Galicia. Y añade que, dadas estas circunstancias, la aplicación del 47.2 a) LBRL, que solo requiere la mayoría absoluta del número legal de miembros, determinaría la desestimación de la pretensión. Concluye diciendo que “tal es la medida en que la decisión del proceso depende de la validez de la norma en cuestión”.</w:t>
      </w:r>
    </w:p>
    <w:p w:rsidR="00A90898" w:rsidRDefault="00A90898" w:rsidP="00A90898">
      <w:pPr>
        <w:pStyle w:val="TextoNormal"/>
      </w:pPr>
    </w:p>
    <w:p w:rsidR="00A90898" w:rsidRDefault="00A90898" w:rsidP="00A90898">
      <w:pPr>
        <w:pStyle w:val="TextoNormal"/>
      </w:pPr>
      <w:r>
        <w:t>En el tercer punto, resalta que a pesar de ser clara la contradicción entre el art. 32.1 de la Ley de Administración local de Galicia y el art. 47.2 a) LBRL, así como que el régimen de mayorías fijado en el 47.2 LBRL ya ha sido declarado constitucional por las SSTC 66/2011 y 159/2012, la Sala no puede inaplicar el precepto autonómico, pues “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66/2011).</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9 de junio de 2015, el Pleno del Tribunal, a propuesta de la Sección Tercera, acordó admitir a trámite la cuestión de inconstitucionalidad planteada por la Sección Segunda de la Sala de lo Contencioso-Administrativo del Tribunal Superior de Justicia de Galicia en relación con el art. 32.1 de la Ley 5/1997, de 22 de julio, de Administración local de Galicia, por posible vulneración del art. 149.1.18 CE, y, de conformidad con lo dispuesto en el artículo 10.1 c) LOTC, deferir a la Sala Segunda el conocimiento de la cuestión, así como dar traslado de las actuaciones recibidas (art. 37.3 LOTC) al Congreso de los Diputados y al Senado, por conducto de sus Presidentes, al Gobierno, por conducto del Ministro de Justicia, y al Fiscal General del Estado, así como a la Junta de Galicia y al Parlamento de Galicia, por conducto de sus Presidentes,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 y en el “Diario Oficial de Galicia”.</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de 16 de junio de 2015, el Presidente del Congreso de los Diputados comunicó a este Tribunal el acuerdo de la Mesa de la Cámara de la misma fecha por el que se tiene por personado al Congreso de los Diputados en este procedimiento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El 24 de junio de 2015 tuvo entrada en el Registro General de este Tribunal escrito del Presidente del Senado comunicando el acuerdo de la Mesa de la Cámara de 23 de junio en el que se tiene por personada a la misma en el procedimiento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7</w:t>
      </w:r>
      <w:r>
        <w:t>. El Abogado del Estado, en la representación que legalmente ostenta, presentó sus alegaciones el 26 de junio de 2015. En ellas, recuerda que el debate suscitado es “prácticamente idéntico” al resuelto en la STC 159/2012, a propósito de la inconstitucionalidad sobrevenida del art. 131.2 de la Ley 14/1990, de 26 de julio, del régimen jurídico de las Administraciones públicas de Canarias, que regulaba las mayorías necesarias para un cambio de capitalidad del municipio, tras la modificación del régimen de mayorías previsto en la Ley reguladora de las bases de régimen local operado por la Ley 57/2003. La contradicción en que había entrado esa norma autonómica con ese nuevo régimen de mayorías instaurado por la citada Ley 57/2003 provocó que en aquel caso este Tribunal declarase: (a) que no podía un órgano de la jurisdicción ordinaria inaplicar por su propia autoridad una ley autonómica por contravenir una ley básica estatal y (b) que la citada norma estatal era formal y materialmente básica al amparo del art. 149.1.18 CE, por lo que la ley autonómica había incurrido en inconstitucionalidad sobrevenida y era en consecuencia inconstitucional y nula.</w:t>
      </w:r>
    </w:p>
    <w:p w:rsidR="00A90898" w:rsidRDefault="00A90898" w:rsidP="00A90898">
      <w:pPr>
        <w:pStyle w:val="TextoNormal"/>
      </w:pPr>
    </w:p>
    <w:p w:rsidR="00A90898" w:rsidRDefault="00A90898" w:rsidP="00A90898">
      <w:pPr>
        <w:pStyle w:val="TextoNormal"/>
      </w:pPr>
      <w:r>
        <w:t xml:space="preserve">Como en este caso aprecia la misma contradicción con la única variación de que el supuesto enjuiciado no es el de alteración de la capitalidad del municipio [art. 47.2 d) LBRL] sino el de fusión de ayuntamientos [art. 47.2 a) LBRL], entiende que concurren todos los presupuestos para la declaración de inconstitucionalidad, mediata o indirecta, del art. 32.1 de la Ley de Administración local de Galicia aquí cuestionado: carácter básico de la norma </w:t>
      </w:r>
      <w:r>
        <w:lastRenderedPageBreak/>
        <w:t>estatal infringida; contradicción insalvable entre los preceptos enfrentados, e imposibilidad de que la norma estatal básica desplace o prevalezca (art. 149.3 CE) sobre la norma autonómica sin previa declaración de inconstitucionalidad de ésta.</w:t>
      </w:r>
    </w:p>
    <w:p w:rsidR="00A90898" w:rsidRDefault="00A90898" w:rsidP="00A90898">
      <w:pPr>
        <w:pStyle w:val="TextoNormal"/>
      </w:pPr>
    </w:p>
    <w:p w:rsidR="00A90898" w:rsidRDefault="00A90898" w:rsidP="00A90898">
      <w:pPr>
        <w:pStyle w:val="TextoNormal"/>
      </w:pPr>
      <w:r w:rsidRPr="00A90898">
        <w:rPr>
          <w:rStyle w:val="NumeroAFNegritaCaracter"/>
        </w:rPr>
        <w:t>8</w:t>
      </w:r>
      <w:r>
        <w:t>. El 30 de junio de 2015 tuvo entrada en el Registro General de este Tribunal escrito de la Presidenta del Parlamento de Galicia al que se acompaña el certificado del acuerdo de personación tomado por la Mesa y las alegaciones efectuadas por el Letrado oficial mayor del Parlamento de Galicia.</w:t>
      </w:r>
    </w:p>
    <w:p w:rsidR="00A90898" w:rsidRDefault="00A90898" w:rsidP="00A90898">
      <w:pPr>
        <w:pStyle w:val="TextoNormal"/>
      </w:pPr>
    </w:p>
    <w:p w:rsidR="00A90898" w:rsidRDefault="00A90898" w:rsidP="00A90898">
      <w:pPr>
        <w:pStyle w:val="TextoNormal"/>
      </w:pPr>
      <w:r>
        <w:t>En esas alegaciones se asume el carácter básico del art. 47.2 a) LBRL, en su redacción resultante de la Ley 57/2003, ya que el carácter básico del régimen de mayorías de los órganos de gobierno local fue destacado ya en las SSTC 33/1993 y 331/1993. En consecuencia, se dice, la regla de mayoría de dos tercios establecida en el precepto cuestionado, que reproduce la originariamente establecida en la Ley reguladora de las bases de régimen local pero hoy modificada por la Ley 57/2003, “deviene inaplicable desde la entrada en vigor de la Ley 57/2003, que la sustituye por la regla de la mayoría absoluta”; no obstante, prosigue el Letrado de la Cámara autonómica, es posible defender la constitucionalidad del precepto controvertido. Para ello, dice, debe partirse de que el Parlamento de Galicia, al aprobar la Ley 5/1997, de 22 de julio, de administración local de Galicia, actuó dentro del marco competencial autonómico y con sujeción a la normativa estatal básica vigente en aquel momento. En la regulación del régimen de mayorías, el Parlamento de Galicia bien podía haberse remitido simplemente a la normativa básica del Estado, pero optó, en lugar de ello, por reproducir las mayorías fijadas en aquella, en aras de la seguridad jurídica proclamada en el art. 9.3 CE. Una técnica legislativa habitual y validada por este propio Tribunal Constitucional (STC 146/1993). La contravención sobrevenida de ese precepto originario con la nueva normativa básica actualizada por la Ley estatal 57/2003 no debe conducir a una declaración de inconstitucionalidad, sino a la aplicación de la cláusula de prevalencia del art. 149.3 CE, cuya aplicabilidad demanda en este caso el Letrado del Parlamento de Galicia.</w:t>
      </w:r>
    </w:p>
    <w:p w:rsidR="00A90898" w:rsidRDefault="00A90898" w:rsidP="00A90898">
      <w:pPr>
        <w:pStyle w:val="TextoNormal"/>
      </w:pPr>
    </w:p>
    <w:p w:rsidR="00A90898" w:rsidRDefault="00A90898" w:rsidP="00A90898">
      <w:pPr>
        <w:pStyle w:val="TextoNormal"/>
      </w:pPr>
      <w:r>
        <w:t>No ignora, concluye, los casos de las SSTC 66/2011 y 159/2012, pero según su parecer sería interesante que se reinterpretara o matizara esa doctrina de manera que se distingan dos supuestos: el de colisión entre una ley autonómica y una ley estatal en el momento mismo en que aquélla es aprobada, y el de colisión de una norma autonómica originariamente acorde con la normativa estatal básica pero posteriormente contraria a ella por la modificación de esta última. En este segundo caso, sostiene, no sería necesaria la declaración de inconstitucionalidad, sino que cabría su mera inaplicación por haber sido desplazada por la norma estatal, al amparo de la cláusula de prevalencia del art. 149.3 CE. Esta le parece la solución más sencilla y acorde con las exigencias del funcionamiento ordinario del sistema normativo, evitando las disfuncionalidades que acarrea la doctrina plasmada en las SSTC 66/2011 y 159/2012, que acaban extendiéndose al orden procesal.</w:t>
      </w:r>
    </w:p>
    <w:p w:rsidR="00A90898" w:rsidRDefault="00A90898" w:rsidP="00A90898">
      <w:pPr>
        <w:pStyle w:val="TextoNormal"/>
      </w:pPr>
    </w:p>
    <w:p w:rsidR="00A90898" w:rsidRDefault="00A90898" w:rsidP="00A90898">
      <w:pPr>
        <w:pStyle w:val="TextoNormal"/>
      </w:pPr>
      <w:r>
        <w:t xml:space="preserve">Considera por ello que debe desestimarse la presente cuestión de inconstitucionalidad, porque la Sala de lo Contencioso-Administrativo del Tribunal Superior de Justicia de Galicia podía haber determinado de manera inmediata, a través de la cláusula de prevalencia (art. 149.3 CE), cuál era el precepto aplicable y el régimen de mayorías exigido. Recuerda que la doctrina de este Tribunal ha admitido la inaplicación de leyes por órganos de la jurisdicción ordinaria en otros supuestos, como el de las leyes preconstitucionales (STC </w:t>
      </w:r>
      <w:r>
        <w:lastRenderedPageBreak/>
        <w:t>4/1981), los textos refundidos y articulados, que pueden confrontarse con las bases aprobadas por el Parlamento (SSTC 51/1982, 47/1984 y 159/2001) y las leyes contrarias al derecho de la Unión Europea, que deben inaplicarse por exigencia del principio de primacía.</w:t>
      </w:r>
    </w:p>
    <w:p w:rsidR="00A90898" w:rsidRDefault="00A90898" w:rsidP="00A90898">
      <w:pPr>
        <w:pStyle w:val="TextoNormal"/>
      </w:pPr>
    </w:p>
    <w:p w:rsidR="00A90898" w:rsidRDefault="00A90898" w:rsidP="00A90898">
      <w:pPr>
        <w:pStyle w:val="TextoNormal"/>
      </w:pPr>
      <w:r w:rsidRPr="00A90898">
        <w:rPr>
          <w:rStyle w:val="NumeroAFNegritaCaracter"/>
        </w:rPr>
        <w:t>9</w:t>
      </w:r>
      <w:r>
        <w:t>. Por escrito registrado el 2 de julio de 2015, el Letrado de la Diputación Provincial de A Coruña, en representación y defensa del Ayuntamiento de Oza-Cesuras, se personó ante este Tribunal y solicitó que se entendieran con él las sucesivas actuaciones.</w:t>
      </w:r>
    </w:p>
    <w:p w:rsidR="00A90898" w:rsidRDefault="00A90898" w:rsidP="00A90898">
      <w:pPr>
        <w:pStyle w:val="TextoNormal"/>
      </w:pPr>
    </w:p>
    <w:p w:rsidR="00A90898" w:rsidRDefault="00A90898" w:rsidP="00A90898">
      <w:pPr>
        <w:pStyle w:val="TextoNormal"/>
      </w:pPr>
      <w:r w:rsidRPr="00A90898">
        <w:rPr>
          <w:rStyle w:val="NumeroAFNegritaCaracter"/>
        </w:rPr>
        <w:t>10</w:t>
      </w:r>
      <w:r>
        <w:t>. El Letrado de la Junta de Galicia presentó sus alegaciones el 3 de julio de 2015 interesando la estimación de la presente cuestión de inconstitucionalidad “por acatamiento debido” de la doctrina de este Tribunal. En lo que a este proceso constitucional interesa, recuerda que para la Administración, al resolver el expediente de fusión, aplicar el precepto cuestionado (art. 32.1 de la Ley de Administración local de Galicia) implicaba vulnerar, sin duda alguna, el art. 47.2 d) LBRL. Y apoya en las consideraciones recogidas en el Dictamen 390/2013 del Consejo Consultivo de Galicia, emitido con ocasión de la disyuntiva que este caso se presentaba ante la Administración, la necesidad de optar por la aplicación de este último precepto, el estatal. No ofrece duda alguna, sostiene, que la vulneración de la normativa básica estatal por el art. 32.1 de la Ley de Administración local de Galicia se produjo de manera sobrevenida, como consecuencia de la modificación de la Ley reguladora de las bases de régimen local por la Ley 57/2003; y no puede omitirse tampoco que esa reforma ya ha sido considerada formal y materialmente básica por este Tribunal Constitucional en las SSTC 66/2011 y 159/2012. En consecuencia, y por aplicación de esa doctrina: (i) a la Junta de Galicia no le quedó más alternativa que aplicar esa normativa estatal formal y materialmente básica; (ii) pero la Sala de lo Contencioso-Administrativo no puede inaplicar por su propia autoridad y en virtud de la cláusula de prevalencia el precepto autonómico cuestionado, contrario a esa norma estatal básica; (iii) es únicamente este Tribunal Constitucional el que puede declarar la inconstitucionalidad mediata y sobrevenida del art. 32.1 de la Ley de Administración local de Galicia, y su nulidad. Concluye por todo ello la necesaria estimación de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11</w:t>
      </w:r>
      <w:r>
        <w:t>. Por diligencia de ordenación de 6 de julio de 2015, la Secretaría de la Sala Segunda del Pleno de este Tribunal acordó unir a las presentes actuaciones el escrito presentado por el Letrado Asesor Jurídico de la Diputación Provincial de A Coruña, en representación del Ayuntamiento de Oza-Cesuras, y tenerle por personado y parte en la presente cuestión de inconstitucionalidad, entendiéndose con él las sucesivas actuaciones y, conforme establece el art. 37.2 LOTC, concederle un plazo de 15 días para que formule las alegaciones que estime convenientes.</w:t>
      </w:r>
    </w:p>
    <w:p w:rsidR="00A90898" w:rsidRDefault="00A90898" w:rsidP="00A90898">
      <w:pPr>
        <w:pStyle w:val="TextoNormal"/>
      </w:pPr>
    </w:p>
    <w:p w:rsidR="00A90898" w:rsidRDefault="00A90898" w:rsidP="00A90898">
      <w:pPr>
        <w:pStyle w:val="TextoNormal"/>
      </w:pPr>
      <w:r w:rsidRPr="00A90898">
        <w:rPr>
          <w:rStyle w:val="NumeroAFNegritaCaracter"/>
        </w:rPr>
        <w:t>12</w:t>
      </w:r>
      <w:r>
        <w:t>. El 31 de julio de 2015 tuvieron entrada en este Tribunal las alegaciones de la Fiscal General del Estado, en las que se defiende la estimación de la cuestión de inconstitucionalidad. Tras hacer un extenso resumen de los antecedentes del caso, se apoya en las ya citadas SSTC 66/2011 y 159/2012 para concluir que la modificación legislativa del art. 47.2 d) LBRL operada por la Ley 57/2003, de 16 de diciembre, ha provocado que el art. 32.1 de la Ley gallega haya resultado, de manera sobrevenida, contrario a ese nuevo marco básico estatal resultante de la Ley 57/2003, y que de conformidad con la doctrina sentada en las dos Sentencias citadas, ello deba conducir a la declaración de inconstitucionalidad y nulidad del art. 32.1 de la Ley de Administración local de Galicia por este Tribunal Constitucional.</w:t>
      </w:r>
    </w:p>
    <w:p w:rsidR="00A90898" w:rsidRDefault="00A90898" w:rsidP="00A90898">
      <w:pPr>
        <w:pStyle w:val="TextoNormal"/>
      </w:pPr>
    </w:p>
    <w:p w:rsidR="00A90898" w:rsidRDefault="00A90898" w:rsidP="00A90898">
      <w:pPr>
        <w:pStyle w:val="TextoNormal"/>
      </w:pPr>
      <w:r w:rsidRPr="00A90898">
        <w:rPr>
          <w:rStyle w:val="NumeroAFNegritaCaracter"/>
        </w:rPr>
        <w:t>13</w:t>
      </w:r>
      <w:r>
        <w:t>. Por providencia de 21 de junio de 2016 el Pleno de este Tribunal acordó, conforme a lo dispuesto en el art. 10.1 n) LOTC, a propuesta de la Sala Segunda, recabar para sí el conocimiento del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14</w:t>
      </w:r>
      <w:r>
        <w:t>. Por providencia de 5 de julio de 2016, se acordó señalar para deliberación y votación de la presente Sentencia el día 7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presente cuestión de inconstitucionalidad se plantea en relación con el art. 32.1 de la Ley 5/1997, de 22 de julio, de administración local de Galicia, que exige para las alteraciones de términos municipales “el voto favorable de las dos terceras partes del número de hecho y, en todo caso, de la mayoría absoluta del número legal de miembros de la corporación”, exactamente igual que requería el art. 47.2 a) de la Ley 7/1985, de 2 de abril, reguladora de las bases de régimen local (LBRL), en su redacción originaria.</w:t>
      </w:r>
    </w:p>
    <w:p w:rsidR="00A90898" w:rsidRDefault="00A90898" w:rsidP="00A90898">
      <w:pPr>
        <w:pStyle w:val="TextoNormal"/>
      </w:pPr>
    </w:p>
    <w:p w:rsidR="00A90898" w:rsidRDefault="00A90898" w:rsidP="00A90898">
      <w:pPr>
        <w:pStyle w:val="TextoNormal"/>
      </w:pPr>
      <w:r>
        <w:t>El órgano judicial que la promueve sostiene que dicha norma legal autonómica contradice el art. 47.2 a) de la Ley 7/1985, de 2 de abril, reguladora de las bases de régimen local, en la redacción dada por el art. 1.1 de la Ley 57/2003, de 16 de diciembre, que prevé que la adopción de tales acuerdos requieren solamente mayoría absoluta. Como dicho art. 47.2.a) LBRL constituye, a su juicio, normativa básica dictada por el Estado en ejercicio de su competencia de establecer la regulación básica del régimen jurídico de las Administraciones públicas (149.1.18 CE), el art. 32.1 de la Ley de Administración local de Galicia habría vulnerado mediatamente este precepto constitucional.</w:t>
      </w:r>
    </w:p>
    <w:p w:rsidR="00A90898" w:rsidRDefault="00A90898" w:rsidP="00A90898">
      <w:pPr>
        <w:pStyle w:val="TextoNormal"/>
      </w:pPr>
    </w:p>
    <w:p w:rsidR="00A90898" w:rsidRDefault="00A90898" w:rsidP="00A90898">
      <w:pPr>
        <w:pStyle w:val="TextoNormal"/>
      </w:pPr>
      <w:r>
        <w:t>Este mismo planteamiento hacen en sus escritos de alegaciones el Abogado del Estado, el Letrado de la Xunta de Galicia y la Fiscal General del Estado. Por el contrario, el Letrado del Parlamento defiende que en aquellos casos, como es el presente, en que la colisión se produce entre una norma autonómica originariamente acorde con la normativa estatal básica pero posteriormente contraria a ella por la modificación de esta última no sería necesaria la declaración de inconstitucionalidad de la ley autonómica, sino que cabría su mera inaplicación por haber sido desplazada por la norma estatal, al amparo de la cláusula de prevalencia del art. 149.3 CE.</w:t>
      </w:r>
    </w:p>
    <w:p w:rsidR="00A90898" w:rsidRDefault="00A90898" w:rsidP="00A90898">
      <w:pPr>
        <w:pStyle w:val="TextoNormal"/>
      </w:pPr>
    </w:p>
    <w:p w:rsidR="00A90898" w:rsidRDefault="00A90898" w:rsidP="00A90898">
      <w:pPr>
        <w:pStyle w:val="TextoNormal"/>
      </w:pPr>
      <w:r w:rsidRPr="00A90898">
        <w:rPr>
          <w:rStyle w:val="NumeroAFNegritaCaracter"/>
        </w:rPr>
        <w:t>2</w:t>
      </w:r>
      <w:r>
        <w:t>. Una cuestión de inconstitucionalidad idéntica, en la medida que se refiere al mismo precepto autonómico 32.1 de la Ley de Administración local de Galicia y se predica su inconstitucionalidad mediata por contradecir la misma norma estatal básica [47.2 a) LBRL], pero también porque los intervinientes y sus respectivas alegaciones también coinciden, ha sido inadmitida en la STC 102/2016, de 25 de mayo (cuestión de inconstitucionalidad 1619-2015) con fundamento en la argumentación que, en extracto, recogemos a continuación.</w:t>
      </w:r>
    </w:p>
    <w:p w:rsidR="00A90898" w:rsidRDefault="00A90898" w:rsidP="00A90898">
      <w:pPr>
        <w:pStyle w:val="TextoNormal"/>
      </w:pPr>
    </w:p>
    <w:p w:rsidR="00A90898" w:rsidRDefault="00A90898" w:rsidP="00A90898">
      <w:pPr>
        <w:pStyle w:val="TextoNormal"/>
      </w:pPr>
      <w:r>
        <w:t xml:space="preserve">“6. La reproducción por la legislación autonómica de desarrollo de preceptos de la legislación básica puede utilizarse y de hecho se utiliza normalmente como medio para facilitar al operador jurídico el conocimiento de la normativa aplicable, incluyendo en un solo texto el conjunto de la normativa a tener en cuenta, pero su virtualidad no alcanza, como es obvio, </w:t>
      </w:r>
      <w:r>
        <w:lastRenderedPageBreak/>
        <w:t>a alterar la naturaleza de la legislación reproducida ni para que el legislador autonómico pueda atribuirse potestad alguna de influir en la legislación básica, por mucho que haya sido reproducida en la legislación de desarrollo. En particular, no solo no puede implicar bloqueo alguno en la potestad del legislador estatal, cuya capacidad de alterar las bases inicialmente fijadas ha sido reconocida repetidamente por la doctrina de este Tribunal (por todas, STC 161/2013, de 26 de septiembre, FJ 9), sino que, si esa modificación se produce es el legislador autonómico el que debe acomodarse a la modificación de la legislación estatal básica [SSTC 158/2011, de 19 de octubre, FJ 8, 99/2012, de 8 de mayo, FJ 2 b), 146/2013, de 11 de julio, FJ 4, o 182/2013, de 23 de octubre, FJ 8].</w:t>
      </w:r>
    </w:p>
    <w:p w:rsidR="00A90898" w:rsidRDefault="00A90898" w:rsidP="00A90898">
      <w:pPr>
        <w:pStyle w:val="TextoNormal"/>
      </w:pPr>
    </w:p>
    <w:p w:rsidR="00A90898" w:rsidRDefault="00A90898" w:rsidP="00A90898">
      <w:pPr>
        <w:pStyle w:val="TextoNormal"/>
      </w:pPr>
      <w:r>
        <w:t>Pero si esa acomodación no tiene lugar el operador jurídico primario se encuentra ante una alternativa en la que inevitablemente ha de dar preferencia a una de las dos leyes en conflicto, en detrimento de la otra…</w:t>
      </w:r>
    </w:p>
    <w:p w:rsidR="00A90898" w:rsidRDefault="00A90898" w:rsidP="00A90898">
      <w:pPr>
        <w:pStyle w:val="TextoNormal"/>
      </w:pPr>
    </w:p>
    <w:p w:rsidR="00A90898" w:rsidRDefault="00A90898" w:rsidP="00A90898">
      <w:pPr>
        <w:pStyle w:val="TextoNormal"/>
      </w:pPr>
      <w:r>
        <w:t>El operador jurídico primario, al que preferentemente van destinadas las normas, tiene necesariamente que operar con la técnica del desplazamiento de una de las leyes en conflicto y no tiene legitimación para suscitar cuestión de inconstitucionalidad, pues su planteamiento se reserva a los jueces y tribunales, y esto significa que el asunto se ha judicializado, lo que representa siempre una situación indeseable, de tal modo que otorgar preferencia a la legislación básica estatal es la solución lógica a una situación provocada por la propia Comunidad Autónoma que ha incumplido su deber de inmediata acomodación de su legislación de desarrollo a la nueva legislación básica. Es la solución que deriva del carácter superfluo de la legislación reproductora, que no añade nada a la legislación básica para que aquélla pueda ser considerada realmente normativa de desarrollo… Es fin, es la solución que se corresponde con lo dispuesto en el art. 149.3 CE que atribuye a las normas del Estado prevalencia sobre las de las Comunidades Autónomas en todo lo que no esté atribuido a la exclusiva competencia de éstas.</w:t>
      </w:r>
    </w:p>
    <w:p w:rsidR="00A90898" w:rsidRDefault="00A90898" w:rsidP="00A90898">
      <w:pPr>
        <w:pStyle w:val="TextoNormal"/>
      </w:pPr>
    </w:p>
    <w:p w:rsidR="00A90898" w:rsidRDefault="00A90898" w:rsidP="00A90898">
      <w:pPr>
        <w:pStyle w:val="TextoNormal"/>
      </w:pPr>
      <w:r>
        <w:t>El art. 149.3 CE es un precepto destinado no a fijar las competencias del Estado y de las Comunidades Autónomas, sino a solucionar los conflictos que puedan producirse en aplicación de las normas respectivas y que no hayan de resolverse mediante la declaración de inconstitucionalidad de una de ellas. De sus distintas reglas, una de las cuales es la de la prevalencia de las normas del derecho estatal en los términos que la misma describe (‘prevalecerán, en caso de conflicto, sobre las de las Comunidades Autónomas en todo lo que no esté atribuido a la exclusiva competencia de éstas’), resultan destinatarios los aplicadores del Derecho sin distinción, y su finalidad no es otra que la de asegurar la plenitud del ordenamiento, tal y como ha afirmado de manera reiterada este Tribunal [entre otras, SSTC 118/1996, de 27 de junio, FFJJ 4 y 9; 61/1997, de 20 de marzo, FJ 12 c); 157/2004, de 21 de septiembre, FJ 13 o 139/2011, de 14 de septiembre, FJ 4]; reservando la Constitución a su vez a este último, el monopolio de la declaración de inconstitucionalidad de las leyes.</w:t>
      </w:r>
    </w:p>
    <w:p w:rsidR="00A90898" w:rsidRDefault="00A90898" w:rsidP="00A90898">
      <w:pPr>
        <w:pStyle w:val="TextoNormal"/>
      </w:pPr>
    </w:p>
    <w:p w:rsidR="00A90898" w:rsidRDefault="00A90898" w:rsidP="00A90898">
      <w:pPr>
        <w:pStyle w:val="TextoNormal"/>
      </w:pPr>
      <w:r>
        <w:t xml:space="preserve">El art. 149.3 CE proporciona una herramienta útil para que las relaciones entre el ordenamiento jurídico estatal y los de las Comunidades Autónomas puedan desarrollarse con fluidez, en situaciones que no demanden como respuesta la declaración de inconstitucionalidad de las leyes de alguno de ellos; teniendo en cuenta que las Comunidades Autónomas ni son competentes ‘para determinar los efectos que sus normas producen sobre el Derecho estatal preexistente, pues la vigencia y aplicabilidad de éste será la que resulte de las normas constitucionales que regulen la relación entre el ordenamiento estatal y el autonómico (así, </w:t>
      </w:r>
      <w:r>
        <w:lastRenderedPageBreak/>
        <w:t>el art. 149.3 CE), y no lo que establezca el legislador autonómico’ (STC 132/1989, FJ 33) [STC 157/2004, de 21 de septiembre, FJ 13], ni lo pueden ser para condicionar el Derecho estatal posterior.</w:t>
      </w:r>
    </w:p>
    <w:p w:rsidR="00A90898" w:rsidRDefault="00A90898" w:rsidP="00A90898">
      <w:pPr>
        <w:pStyle w:val="TextoNormal"/>
      </w:pPr>
    </w:p>
    <w:p w:rsidR="00A90898" w:rsidRDefault="00A90898" w:rsidP="00A90898">
      <w:pPr>
        <w:pStyle w:val="TextoNormal"/>
      </w:pPr>
      <w:r>
        <w:t>Este Tribunal ha declarado hasta ahora que el control de la adecuación de la legislación autonómica a la legislación básica que desarrolla, no puede llevarse a cabo por aplicación del principio de prevalencia de las normas del Estado (art. 149.3 CE), sino que es un auténtico control de constitucionalidad reservado al Tribunal Constitucional (STC 163/1995, de 8 de noviembre, FJ 4). Por ello, en los supuestos en que con apoyo en títulos competenciales distintos, Comunidad Autónoma y Estado aprueban productos normativos incompatibles, el conflicto planteado se resuelve sin traer a colación el art. 149.3 CE, en favor del título competencial considerado más específico (SSTC 87/1987, de 2 de junio, FJ 2; 190/2000, de 13 de julio, FJ 4; 188/2001 de 20 de septiembre, FJ 6 y 214/2015, de 22 de octubre, FJ 3; así como las citadas en este mismo fundamento jurídico).</w:t>
      </w:r>
    </w:p>
    <w:p w:rsidR="00A90898" w:rsidRDefault="00A90898" w:rsidP="00A90898">
      <w:pPr>
        <w:pStyle w:val="TextoNormal"/>
      </w:pPr>
    </w:p>
    <w:p w:rsidR="00A90898" w:rsidRDefault="00A90898" w:rsidP="00A90898">
      <w:pPr>
        <w:pStyle w:val="TextoNormal"/>
      </w:pPr>
      <w:r>
        <w:t>La cuestión que se plantea en este caso es diferente, pues la Comunidad Autónoma de Galicia, al incluir en la ley 5/1997, de 22 de julio, su artículo 32.1, no lo hizo reclamando una competencia propia, sino por puro mimetismo con la regulación contenida en la legislación básica que aquella ley pretendía desarrollar.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w:t>
      </w:r>
    </w:p>
    <w:p w:rsidR="00A90898" w:rsidRDefault="00A90898" w:rsidP="00A90898">
      <w:pPr>
        <w:pStyle w:val="TextoNormal"/>
      </w:pPr>
    </w:p>
    <w:p w:rsidR="00A90898" w:rsidRDefault="00A90898" w:rsidP="00A90898">
      <w:pPr>
        <w:pStyle w:val="TextoNormal"/>
      </w:pPr>
      <w:r>
        <w:t>La consecuencia de todo lo anterior significa que la Xunta de Galicia actuó acertadamente y que esa prevalencia del derecho estatal debe jugar en tanto no haya sido puesta en duda la constitucionalidad de la legislación básica modificada, pues en tal caso el juez sí debería plantear cuestión de inconstitucionalidad, pero no sobre la legislación autonómica sino sobre la propia legislación básica posterior, si considerase que efectivamente concurrían las condiciones para ello. Algo que no sucede en el presente caso, en que este Tribunal ya se ha pronunciado en favor del carácter básico de la regulación contenida en el art. 47.2 LBRL en sentencias 66/2011, de 16 de marzo, FJ 3, y 159/2012, de 17 de septiembre, FJ 3.</w:t>
      </w:r>
    </w:p>
    <w:p w:rsidR="00A90898" w:rsidRDefault="00A90898" w:rsidP="00A90898">
      <w:pPr>
        <w:pStyle w:val="TextoNormal"/>
      </w:pPr>
    </w:p>
    <w:p w:rsidR="00A90898" w:rsidRDefault="00A90898" w:rsidP="00A90898">
      <w:pPr>
        <w:pStyle w:val="TextoNormal"/>
      </w:pPr>
      <w:r>
        <w:t>7. Proyectadas las anteriores consideraciones a la decisión de la presente cuestión de inconstitucionalidad, resulta que se nos pregunta sobre la constitucionalidad de una norma que no resulta aplicable al caso, de modo que debemos declarar la inadmisibilidad del presente proceso constitucional, posibilidad que permanece abierta no obstante haberse pronunciado este Tribunal, en su día, en favor de su admisión (así, por ejemplo, SSTC 1/2016, de 18 de enero, FJ 2, y 269/2015, de 17 de diciembre, FJ 2).”</w:t>
      </w:r>
    </w:p>
    <w:p w:rsidR="00A90898" w:rsidRDefault="00A90898" w:rsidP="00A90898">
      <w:pPr>
        <w:pStyle w:val="TextoNormal"/>
      </w:pPr>
    </w:p>
    <w:p w:rsidR="00A90898" w:rsidRDefault="00A90898" w:rsidP="00A90898">
      <w:pPr>
        <w:pStyle w:val="TextoNormal"/>
      </w:pPr>
      <w:r w:rsidRPr="00A90898">
        <w:rPr>
          <w:rStyle w:val="NumeroAFNegritaCaracter"/>
        </w:rPr>
        <w:t>3</w:t>
      </w:r>
      <w:r>
        <w:t>. Dada la completa identidad entre esta cuestión de inconstitucionalidad y la inadmitida en la STC 102/2016, de 25 de mayo, procede, en virtud del mismo razonamiento, acordar también en este caso la inadmisión de la cuestión de inconstitucionalidad por considerar que el art. 32.1 de la Ley de Administración local de Galicia, al quedar desplazado por el 47.2 a) LBRL debido a la aplicación del principio de prevalencia ex art. 149.3 CE, no es aplicable al pleito a quo, con lo que no se cumpliría con la naturaleza concreta de la cuestión de inconstitucionalidad exigida por el art. 163 CE y el art. 35.2 de la Ley Orgánica del Tribunal Constitucional.</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Inadmitir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siete de julio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la cuestión de inconstitucionalidad núm. 1757-2015, al que se adhieren los Magistrados don Andrés Ollero Tassara, don Fernando Valdés Dal-Ré, don Santiago Martínez-Vares García y don Antonio Narváez Rodríguez.</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los Magistrados que conformaron la mayoría en la presente decisión, formulo mi Voto discrepante de los fundamentos y del fallo, recogiendo los argumentos expuestos en la deliberación del Pleno. Dada la similitud de la presente cuestión de inconstitucionalidad con la cuestión núm. 1619-2015, resuelta por la STC 102/2016, de 25 de mayo, reproduzco a continuación la mayor parte de los argumentos expuestos en el Voto particular que formulé a dicha Sentencia, en el que reflejaba ya las discrepancias expresadas en la deliberación en el Pleno, en muy buena parte coincidentes con las expresadas por otros Magistrados que no participaban tampoco entonces del criterio sostenido por la mayoría que aprobó la Sentencia.</w:t>
      </w:r>
    </w:p>
    <w:p w:rsidR="00A90898" w:rsidRDefault="00A90898" w:rsidP="00A90898">
      <w:pPr>
        <w:pStyle w:val="TextoNormal"/>
      </w:pPr>
    </w:p>
    <w:p w:rsidR="00A90898" w:rsidRDefault="00A90898" w:rsidP="00A90898">
      <w:pPr>
        <w:pStyle w:val="TextoNormal"/>
      </w:pPr>
      <w:r>
        <w:t>1. Reitero aquí mi queja por la brevedad y la insuficiencia de la argumentación destinada a fundamentar un cambio de la doctrina jurisprudencial de la envergadura del que se acomete; limitación argumentativa de la que derivan serias incertidumbres en cuanto al alcance que la aplicabilidad de la cláusula de prevalencia del art. 149.3 CE pueda tener en el futuro. El hecho de que se parta de las precisas peculiaridades del caso concreto sobre el que versa la Sentencia, no excusa —como no excusaba tampoco en la STC 102/2016— la necesidad de una cumplida explicación tanto en cuanto a las razones que justifican ese cambio sustancial de interpretación, como en cuanto al establecimiento claro y preciso de los supuestos a los que habría de aplicarse, más allá de criterios pragmáticos. La nueva interpretación de la cláusula de prevalencia abre, sin duda, serias incertidumbres para los operadores jurídicos en cuanto a cómo deben proceder cuando se encuentren ante situaciones en las que la norma autonómica, en principio aplicable, y la norma estatal resultan contradictorias.</w:t>
      </w:r>
    </w:p>
    <w:p w:rsidR="00A90898" w:rsidRDefault="00A90898" w:rsidP="00A90898">
      <w:pPr>
        <w:pStyle w:val="TextoNormal"/>
      </w:pPr>
    </w:p>
    <w:p w:rsidR="00A90898" w:rsidRDefault="00A90898" w:rsidP="00A90898">
      <w:pPr>
        <w:pStyle w:val="TextoNormal"/>
      </w:pPr>
      <w:r>
        <w:t xml:space="preserve">A primera vista, parece que sólo se aplicaría a supuestos de leges repetitae, y también a primera vista se atisban ya los problemas que suscita ese planteamiento, porque el hecho de que la ley estatal posterior exprese que su regulación es básica no resulta suficiente, de </w:t>
      </w:r>
      <w:r>
        <w:lastRenderedPageBreak/>
        <w:t>acuerdo con nuestra reiterada doctrina, para que pueda considerarse materialmente básica. Con lo cual se cierne la duda sobre un aspecto tan capital como es el de la determinación del órgano que puede confirmar, en primer lugar, el carácter efectivamente básico de la norma estatal, y, en segundo lugar, si se produce o no incompatibilidad entre la norma autonómica y la estatal aprobada o modificada posteriormente. Tareas que este Tribunal Constitucional se ha reservado para sí siempre en régimen de monopolio [“comprobar si la calificación de lo básico realizada por el legislador ha sido correcta es función privativa de este Tribunal” (STC 156/1995, de 26 de octubre, FJ 4)], y respecto a las que en esta Sentencia, al igual que en la que la precedió en este cambio doctrinal, se hace dejación sin aclarar quién va a sustituirlo en esa función. Del tenor de la Sentencia parece deducirse que los “aplicadores del Derecho” han de limitarse a no aplicar la legislación autonómica que haya devenido aparentemente incompatible a posteriori con la legislación básica estatal, sobre el presupuesto de que tal incompatibilidad aparece como indiscutible. ¿Indiscutible conforme al criterio de quién?</w:t>
      </w:r>
    </w:p>
    <w:p w:rsidR="00A90898" w:rsidRDefault="00A90898" w:rsidP="00A90898">
      <w:pPr>
        <w:pStyle w:val="TextoNormal"/>
      </w:pPr>
    </w:p>
    <w:p w:rsidR="00A90898" w:rsidRDefault="00A90898" w:rsidP="00A90898">
      <w:pPr>
        <w:pStyle w:val="TextoNormal"/>
      </w:pPr>
      <w:r>
        <w:t>Puede aventurarse, además, que este cambio de criterio tendrá lugar no sólo en asuntos idénticos al presente, pues, como se señala en el fundamento jurídico 6 de la STC 102/2016, parcialmente reproducido en la que nos ocupa,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 Quiere ello decir que se deja abierta la puerta a la aplicación de este “cambio doctrinal” a otros supuestos indeterminados en este momento, con la consiguiente inseguridad jurídica que deriva de ello.</w:t>
      </w:r>
    </w:p>
    <w:p w:rsidR="00A90898" w:rsidRDefault="00A90898" w:rsidP="00A90898">
      <w:pPr>
        <w:pStyle w:val="TextoNormal"/>
      </w:pPr>
    </w:p>
    <w:p w:rsidR="00A90898" w:rsidRDefault="00A90898" w:rsidP="00A90898">
      <w:pPr>
        <w:pStyle w:val="TextoNormal"/>
      </w:pPr>
      <w:r>
        <w:t xml:space="preserve">2. La argumentación de la Sentencia —aunque sea por remisión— descansa sobre el hecho de que fue la propia Xunta de Galicia quien decidió que la norma aplicable al caso no era el precepto autonómico, sino la previsión contenida en el art. 47.2 a) en la Ley reguladora de las bases del régimen local (LBRL), y, evidentemente, la Xunta no puede plantear una cuestión de inconstitucionalidad. Explica la Sentencia que ante una alternativa como ésta, en la que el operador jurídico inevitablemente ha de dar preferencia a una de las dos leyes en conflicto en detrimento de la otra, tiene que acudir necesariamente a la técnica del desplazamiento de una de las leyes enfrentadas. Y, en consecuencia, considera que la Xunta de Galicia actuó acertadamente y que la prevalencia que otorgó al precepto básico estatal debe mantenerse en tanto no haya sido puesta en duda la constitucionalidad de la legislación básica modificada; únicamente en tal caso el Juez sí tendría la obligación de plantear la cuestión de inconstitucionalidad, pero en relación con la norma estatal, y no en relación a la norma autonómica. Conforme a tales premisas, se confirma la operatividad de la cláusula de prevalencia recogida en el art. 149.3 CE en este caso, y, en consonancia, al avalar el desplazamiento de la norma autonómica sobre cuya constitucionalidad se nos preguntaba en el presente procedimiento, se declara inadmisible la cuestión de inconstitucionalidad. Curiosamente, el aplicador primario, esto es, la Xunta de Galicia, ha solicitado en el trámite de alegaciones que se estime la cuestión de inconstitucionalidad y que se declare la inconstitucionalidad del precepto autonómico, porque, reconociendo que resulta sobrevenidamente incompatible con la normativa básica estatal, sin embargo, la Sala de lo Contencioso-Administrativo no puede inaplicarlo por su propia autoridad y sólo este Tribunal Constitucional puede efectuar tal declaración de inconstitucionalidad. Y del mismo parecer es el principal beneficiado por esta nueva doctrina, esto es, el Abogado del Estado, para quien es </w:t>
      </w:r>
      <w:r>
        <w:lastRenderedPageBreak/>
        <w:t>imposible que la norma estatal básica desplace o prevalezca (art. 149.3 CE) sobre la norma autonómica sin previa declaración de inconstitucionalidad de ésta. Únicamente discrepa de este criterio el Parlamento de Galicia, para quien la norma autonómica es perfectamente constitucional, produciéndose simplemente el desplazamiento en virtud de la cláusula del art. 149.3 CE.</w:t>
      </w:r>
    </w:p>
    <w:p w:rsidR="00A90898" w:rsidRDefault="00A90898" w:rsidP="00A90898">
      <w:pPr>
        <w:pStyle w:val="TextoNormal"/>
      </w:pPr>
    </w:p>
    <w:p w:rsidR="00A90898" w:rsidRDefault="00A90898" w:rsidP="00A90898">
      <w:pPr>
        <w:pStyle w:val="TextoNormal"/>
      </w:pPr>
      <w:r>
        <w:t>Resulta, a mi entender, difícil de aceptar que el “aplicador jurídico primario” —como lo califica la Sentencia— esté facultado para decidir que una ley en vigor ha dejado de ser aplicable, prescindiendo de los límites que le impone el bloque de la constitucionalidad. Ciertamente, el primer operador jurídico que interviene, la Administración gallega en este caso, ante un supuesto concreto, tendrá que efectuar la selección de la normativa aplicable, pero al hacerlo habrá de ajustarse a los criterios y a los cauces que impone el ordenamiento jurídico. Todos los órganos de la Administración pública están sometidos a la Ley y al Derecho (art. 103 CE) y al principio de legalidad (STC 152/2015, de 6 de julio, FJ 2). En el caso de Galicia, la Xunta está sujeta tanto a la Constitución como a lo que establece su Estatuto de Autonomía. Así pues, en el trance de aplicar una norma autonómica (aprobada por el Parlamento gallego en legítimo ejercicio de su exclusiva potestad legislativa) que la propia Xunta considerara contraria a la legislación básica estatal de forma sobrevenida, la actuación procedente habría sido, en su caso, la de promover la acomodación de la norma autonómica a dicha legislación básica mediante la oportuna reforma, haciendo uso de la iniciativa legislativa que al Gobierno de la Xunta reconoce el art. 13.1 del Estatuto de Autonomía. Y, por lo tanto, llevando la propuesta al Parlamento, sede en la que se abriría la ocasión para discutir sobre el mantenimiento del precepto cuestionado, y sobre su compatibilidad con la nueva norma básica.</w:t>
      </w:r>
    </w:p>
    <w:p w:rsidR="00A90898" w:rsidRDefault="00A90898" w:rsidP="00A90898">
      <w:pPr>
        <w:pStyle w:val="TextoNormal"/>
      </w:pPr>
    </w:p>
    <w:p w:rsidR="00A90898" w:rsidRDefault="00A90898" w:rsidP="00A90898">
      <w:pPr>
        <w:pStyle w:val="TextoNormal"/>
      </w:pPr>
      <w:r>
        <w:t>La Sentencia de la que respetuosamente discrepo declara que cualquier órgano administrativo puede proceder a desplazar una norma autonómica con rango de ley —aprobada por una asamblea autonómica legitimada democráticamente en ejercicio de su exclusiva potestad legislativa y dotada de presunción de constitucionalidad “que no puede desvirtuarse sin más, prescindiendo de una razón suficientemente fundada” (entre otras, STC 74/2014, de 8 de mayo, FJ 4)—, un desplazamiento dirigido a dar preferencia a una norma posterior, pretendidamente básica y presuntamente en conflicto con el precepto autonómico. Se configura así una figura de prevalencia de aplicación administrativa, contrapuesta a la que podrían aplicar los órganos judiciales.</w:t>
      </w:r>
    </w:p>
    <w:p w:rsidR="00A90898" w:rsidRDefault="00A90898" w:rsidP="00A90898">
      <w:pPr>
        <w:pStyle w:val="TextoNormal"/>
      </w:pPr>
    </w:p>
    <w:p w:rsidR="00A90898" w:rsidRDefault="00A90898" w:rsidP="00A90898">
      <w:pPr>
        <w:pStyle w:val="TextoNormal"/>
      </w:pPr>
      <w:r>
        <w:t xml:space="preserve">Ahora bien, en la medida en que esta operación requiere un previo juicio sobre la incompatibilidad entre las dos normas, y, por lo tanto, sobre las competencias estatales y autonómicas, nos encontramos ante una valoración sobre delimitación de las competencias que no puede quedar en manos de la Administración, ni en manos de ningún otro aplicador jurídico que no sea este Tribunal Constitucional. Baste considerar que este Tribunal ha puesto límites incluso a la facultad de los órganos judiciales de seleccionar la norma aplicable: así, entre otras, en la reciente STC 195/2015, de 27 de septiembre, FJ 7, se sostenía que “la facultad de seleccionar la norma jurídica aplicable al caso concreto, inherente a la potestad de juzgar y privativa de los Jueces y Tribunales del Poder Judicial (art. 117.3 CE)…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 De lo cual se extraía la consecuencia de que “los órganos </w:t>
      </w:r>
      <w:r>
        <w:lastRenderedPageBreak/>
        <w:t>judiciales al inaplicar la norma legal autonómica por considerarla contraria a las bases estatales, sin plantear la cuestión de inconstitucionalidad, han desbordado los contornos propios de su potestad jurisdiccional (art. 117.1 CE)”. Si tal desbordamiento se predica de los órganos jurisdiccionales, resulta chocante que se conceda al inicial operador jurídico lo que no se permite al órgano judicial, que es precisamente el llamado a controlar los actos de la Administración pública (art. 106.1 CE).</w:t>
      </w:r>
    </w:p>
    <w:p w:rsidR="00A90898" w:rsidRDefault="00A90898" w:rsidP="00A90898">
      <w:pPr>
        <w:pStyle w:val="TextoNormal"/>
      </w:pPr>
    </w:p>
    <w:p w:rsidR="00A90898" w:rsidRDefault="00A90898" w:rsidP="00A90898">
      <w:pPr>
        <w:pStyle w:val="TextoNormal"/>
      </w:pPr>
      <w:r>
        <w:t>3. Aun aceptando a efectos puramente dialécticos la potestad del inicial operador jurídico de dar preferencia a una de las dos leyes en conflicto, no se llega a solucionar el problema, pues la legalidad de la actuación de la Administración pública sigue quedando sometida al control judicial (art. 106.1 CE), que es precisamente lo que ocurre en el presente caso. La demandante ante el órgano judicial reclamaba la aplicación de la norma autonómica, cuya compatibilidad con la norma estatal, o, por el contrario, su incompatibilidad sobrevenida, es lo que se nos demandaba contestar en este procedimiento. Por consiguiente, nuestra tarea no tenía que proyectarse sobre el Decreto de la Xunta de Galicia impugnado en la vía contencioso-administrativa, sino que tenía que dirigirse a determinar si el órgano judicial que conocía de dicha impugnación se encontraba o no ante la necesidad de optar entre las dos leyes, básica estatal y autonómica, a fin de resolver el recurso sometido a su conocimiento. Pues bien, la Sentencia desvirtúa los términos propios de una cuestión de inconstitucionalidad y se extralimita al concluir que la norma sobre cuya constitucionalidad se nos preguntaba no resulta aplicable al caso, validando la decisión adoptada en el referido Decreto. Se interfiere así en el objeto del proceso a quo, resolviendo la cuestión de fondo que compete en exclusiva decidir al órgano judicial promotor de la cuestión (art. 117.3 CE). Al concluir que el órgano judicial debe atenerse a lo que decidió la Xunta, no sólo se está desconociendo gravemente lo que establece ese último precepto constitucional, sino que, además, se ignoran los derechos que el art. 24 CE reconoce a la recurrente en dicho procedimiento.</w:t>
      </w:r>
    </w:p>
    <w:p w:rsidR="00A90898" w:rsidRDefault="00A90898" w:rsidP="00A90898">
      <w:pPr>
        <w:pStyle w:val="TextoNormal"/>
      </w:pPr>
    </w:p>
    <w:p w:rsidR="00A90898" w:rsidRDefault="00A90898" w:rsidP="00A90898">
      <w:pPr>
        <w:pStyle w:val="TextoNormal"/>
      </w:pPr>
      <w:r>
        <w:t xml:space="preserve">Por otro lado, no puedo compartir la gratuita afirmación de que la norma autonómica no resultaba aplicable al caso. Cualquiera que sea la opción que haya tomado la Xunta de Galicia, el órgano judicial no queda vinculado por esa opción (so pena de despojarlo de las potestades que le atribuye el art. 117.3 CE), sino que debe decidir con absoluta libertad dentro de su potestad de juzgar y hacer ejecutar lo juzgado, y dentro de los estrictos términos en los que se haya planteado el debate judicial. Y, en el presente caso, la concejal que impugnó el Decreto autonómico aprobatorio de la fusión de los dos municipios alegó en su recurso que el acto administrativo no se había ajustado a las determinaciones del art. 32.1 de la Ley autonómica 5/1997, porque el acuerdo de fusión aprobado por el Concello de Cesuras se adoptó por mayoría del número legal de los concejales del municipio, pero sin alcanzar los dos tercios del número de hecho de los mismos, mayoría cuya concurrencia también requiere el referido art. 32.1 de la Ley gallega. Por consiguiente, el Tribunal Superior de Justicia se ve obligado a determinar, en primer lugar, si la norma invocada resulta aplicable al caso; y alcanzada la conclusión de que sí resulta de aplicación (porque es el fundamento principal de la demanda contenciosa), y, entendiendo —según su propio juicio— que podía resultar incompatible con el art. 47.2 a) LBRL, no le quedaba otra opción, de acuerdo con el art. 163 CE y con la jurisprudencia constitucional, que promover la cuestión de inconstitucionalidad respecto del precepto autonómico. En este punto, no se puede dejar de remarcar que el juicio de relevancia y de aplicabilidad realizado por el órgano judicial promotor de la cuestión resulta intachable y pertinente, por lo que su criterio, desde la perspectiva del control estrictamente externo que corresponde a este Tribunal, no podía </w:t>
      </w:r>
      <w:r>
        <w:lastRenderedPageBreak/>
        <w:t>ser revisado en esta sede [por todas, SSTC 60/2013, de 13 de marzo, FJ 1 b), y 38/2014, de 11 de marzo, FJ 3]. Por tanto, no quedaba otro remedio a este Tribunal que entrar a resolver sobre la constitucionalidad de la norma autonómica, como se nos demandó, en lugar de inadmitir la cuestión en una inaceptable dejación de nuestras funciones.</w:t>
      </w:r>
    </w:p>
    <w:p w:rsidR="00A90898" w:rsidRDefault="00A90898" w:rsidP="00A90898">
      <w:pPr>
        <w:pStyle w:val="TextoNormal"/>
      </w:pPr>
    </w:p>
    <w:p w:rsidR="00A90898" w:rsidRDefault="00A90898" w:rsidP="00A90898">
      <w:pPr>
        <w:pStyle w:val="TextoNormal"/>
      </w:pPr>
      <w:r>
        <w:t>Además, aunque a efectos dialécticos admitiera la posibilidad de aplicar la cláusula de prevalencia en los términos de la Sentencia de la que discrepo, lo que resulta inexplicable es la supresión de la posibilidad de plantear la cuestión de inconstitucionalidad por el órgano judicial llamado a resolver el dilema de la ley aplicable. Posibilidad que se permitía a los órganos judiciales respecto de la legislación preconstitucional, cuya posible contradicción con el ordenamiento constitucional posterior podía ser examinada y resuelta por los propios Jueces y Tribunales (por todas SSTC 83/1984, de 24 de julio, FJ 2; 105/1988, de 8 de junio, FJ 1; 169/1993, de 27 de mayo, FJ 1, y 301/1993, de 21 de octubre, FJ 1).</w:t>
      </w:r>
    </w:p>
    <w:p w:rsidR="00A90898" w:rsidRDefault="00A90898" w:rsidP="00A90898">
      <w:pPr>
        <w:pStyle w:val="TextoNormal"/>
      </w:pPr>
    </w:p>
    <w:p w:rsidR="00A90898" w:rsidRDefault="00A90898" w:rsidP="00A90898">
      <w:pPr>
        <w:pStyle w:val="TextoNormal"/>
      </w:pPr>
      <w:r>
        <w:t>4. La Sentencia de la que disiento trata de salvar las objeciones anteriores afirmando que “otorgar preferencia a la legislación básica estatal es la solución lógica a una situación provocada por la propia Comunidad Autónoma que ha incumplido su deber de inmediata acomodación de su legislación de desarrollo a la nueva legislación básica. Es la solución que deriva del carácter superfluo de la legislación reproductora, que no añade nada a la legislación básica para que aquélla pueda ser considerada realmente normativa de desarrollo”. A continuación prescinde de reproducir aquella parte de la STC 102/2016 según la cual esta técnica de desplazamiento de una norma autonómica debe acogerse como un proceder “lógico” y natural, por su similitud con otros supuestos en los que opera el mismo procedimiento para dejar de aplicar un reglamento, o para dejar de aplicar una norma española conforme al criterio de primacía de la norma europea. Eso sí, se concluye afirmando, al igual que en la Sentencia precedente, que “es la solución que se corresponde con lo dispuesto en el art. 149.3 CE”, asumiendo que el tenor de dicho precepto no presenta ningún obstáculo para su aplicación en este caso.</w:t>
      </w:r>
    </w:p>
    <w:p w:rsidR="00A90898" w:rsidRDefault="00A90898" w:rsidP="00A90898">
      <w:pPr>
        <w:pStyle w:val="TextoNormal"/>
      </w:pPr>
    </w:p>
    <w:p w:rsidR="00A90898" w:rsidRDefault="00A90898" w:rsidP="00A90898">
      <w:pPr>
        <w:pStyle w:val="TextoNormal"/>
      </w:pPr>
      <w:r>
        <w:t>Al igual que en mi anterior Voto, antes de entrar a discutir la interpretación que la Sentencia efectúa del art. 149.3 CE y de la cláusula de prevalencia, considero necesario realizar algunas precisiones sobre las reseñadas afirmaciones de la Sentencia.</w:t>
      </w:r>
    </w:p>
    <w:p w:rsidR="00A90898" w:rsidRDefault="00A90898" w:rsidP="00A90898">
      <w:pPr>
        <w:pStyle w:val="TextoNormal"/>
      </w:pPr>
    </w:p>
    <w:p w:rsidR="00A90898" w:rsidRDefault="00A90898" w:rsidP="00A90898">
      <w:pPr>
        <w:pStyle w:val="TextoNormal"/>
      </w:pPr>
      <w:r>
        <w:t>En primer lugar, se me plantea una duda que lleva implícita una seria preocupación ya adelantada anteriormente: ¿la mera existencia de una norma posterior, declarada básica por el legislador estatal, es suficiente para que se pueda aplicar la regla de la prevalencia del derecho estatal, desplazando a la norma autonómica anterior? De la argumentación de la STC 102/2016 se deducía que esa es la intención que la nueva doctrina alumbra, cuando en su fundamento jurídico 6 afirma que considerar prevalente la posterior legislación básica estatal supone “el único resultado constitucionalmente respetuoso con la plenitud del ordenamiento jurídico (art. 149.3 CE)”. Es decir, que no sería necesario analizar previamente si la nueva norma estatal resulta o no formal y materialmente básica, pese a la reiterada exigencia de nuestra doctrina al respecto, como se ha aludido antes. Hay que hacer notar, no obstante, que en esta nueva Sentencia se ha prescindido de ese argumento al reproducir el citado fundamento 6 de la STC 102/2016 de referencia.</w:t>
      </w:r>
    </w:p>
    <w:p w:rsidR="00A90898" w:rsidRDefault="00A90898" w:rsidP="00A90898">
      <w:pPr>
        <w:pStyle w:val="TextoNormal"/>
      </w:pPr>
    </w:p>
    <w:p w:rsidR="00A90898" w:rsidRDefault="00A90898" w:rsidP="00A90898">
      <w:pPr>
        <w:pStyle w:val="TextoNormal"/>
      </w:pPr>
      <w:r>
        <w:lastRenderedPageBreak/>
        <w:t>En segundo lugar, en relación con el proclamado carácter básico del art. 47.2 a) LBRL, debe advertirse que no se ha producido pronunciamiento constitucional sobre dicho supuesto. Tanto la STC 66/2011 como la STC 159/2012, citadas al final del fundamento jurídico 6, se refieren al carácter básico del art. 47.2 d) y no del 47.2 a) LBRL (aunque la STC 102/2016 —a pesar de los términos en que se desarrolló el debate— y la actual se refieren, en general, al art. 47.2 LBRL, para salvar ese obstáculo), que sería el aquí aplicable. Además, la primera de las Sentencias tomadas como apoyo fue dictada en un recurso de amparo, y no en un procedimiento de control de constitucionalidad de una norma legal, y se limitó a remitirse a lo que se dijo en la STC 331/1993, de 12 de noviembre, esto es, a la conclusión alcanzada en relación con una redacción del precepto de la Ley de bases de régimen local anterior a la introducida por la Ley 57/2003, de 16 de diciembre. Por su parte, la STC 159/2012 se limitó a dar por bueno lo que ya se había dicho en la STC 66/2011 y en la STC 331/1993. No hay, por tanto, pronunciamiento expreso alguno de este Tribunal Constitucional acerca del carácter básico del art. 47.2 a) LBRL, en su actual redacción, que nos permita ahorrar el análisis al respecto. Y sin un examen concreto sobre un eventual vicio de inconstitucionalidad —en su caso, sobrevenida— o sobre la compatibilidad de ambas normas, no cabe, hipotéticamente, proclamar en modo alguno la prevalencia de la norma estatal.</w:t>
      </w:r>
    </w:p>
    <w:p w:rsidR="00A90898" w:rsidRDefault="00A90898" w:rsidP="00A90898">
      <w:pPr>
        <w:pStyle w:val="TextoNormal"/>
      </w:pPr>
    </w:p>
    <w:p w:rsidR="00A90898" w:rsidRDefault="00A90898" w:rsidP="00A90898">
      <w:pPr>
        <w:pStyle w:val="TextoNormal"/>
      </w:pPr>
      <w:r>
        <w:t>El hecho de que la Xunta decidiera no aplicar su propia norma autonómica tampoco debe conducir necesariamente a la conclusión de que haya devenido incompatible con la nueva norma estatal. La oposición de la concejal recurrente en el proceso a quo a aquella decisión revela que nos hallamos ante una interpretación no exenta de controversia. El ejercicio de la competencia exclusiva de la Comunidad Autónoma en materia de régimen local no queda restringido al mero desarrollo de los preceptos de la legislación básica, aunque ésta suponga un límite a la capacidad autonómica para regular los distintos aspectos de esa materia. En el presente caso cabía, incluso, un entendimiento de la norma estatal como norma que fija un requerimiento mínimo de votos, pero sin impedir que una Comunidad Autónoma decida legítimamente cualificar la exigencia de una mayoría por encima de ese mínimo, que en todo caso quedaría respetado, en el marco de sus políticas propias en materia de régimen local. Por ello resulta precipitado atribuir a la Comunidad Autónoma un supuesto incumplimiento de un deber de acomodación de su normativa a las nuevas prescripciones de una ley básica. En definitiva, se trata de un campo abonado para la inseguridad jurídica, en el que la utilización de la regla de prevalencia que instaura nuestra Sentencia viene a avalar la actuación de un órgano administrativo, la Xunta, que ignora la vigencia de un precepto cuya continuidad o modificación compete al Parlamento gallego, donde no ha habido ocasión de debate al respecto. Un aval que relega, asimismo, la intervención del órgano judicial al que se eleva la controversia sobre la ley aplicable, y que ocluye la intervención de este Tribunal Constitucional, como órgano que ejerce el control concentrado de la inconstitucionalidad de las normas.</w:t>
      </w:r>
    </w:p>
    <w:p w:rsidR="00A90898" w:rsidRDefault="00A90898" w:rsidP="00A90898">
      <w:pPr>
        <w:pStyle w:val="TextoNormal"/>
      </w:pPr>
    </w:p>
    <w:p w:rsidR="00A90898" w:rsidRDefault="00A90898" w:rsidP="00A90898">
      <w:pPr>
        <w:pStyle w:val="TextoNormal"/>
      </w:pPr>
      <w:r>
        <w:t xml:space="preserve">5. La aparente simplicidad del caso, que constituiría, según la Sentencia, un supuesto paradigmático de la procedencia de usar la fórmula de la prevalencia del art. 149.3 CE, no deja de ser, efectivamente, mera apariencia. Se ha dado por bueno que la norma estatal tiene carácter de norma básica, sin analizar en concreto el precepto en cuestión, y se ha dado por bueno que la regla de la mayoría que el art. 47.2 a) LBRL establece ahora se impone en sus estrictos términos y no como regla de mínimos a la que puedan añadirse otras exigencias. Se da, igualmente, por bueno que el precepto autonómico cuya inaplicación se bendice es </w:t>
      </w:r>
      <w:r>
        <w:lastRenderedPageBreak/>
        <w:t>una mera lex repetita que, como tal, no responde a una decisión propia del legislador autonómico, sino a una mera remisión a la regla estatal básica, por lo que resultaría evidente que, al modificarse esta última, el precepto autonómico “repetido” decae al perder su correspondencia con la norma base, a pesar de que el Parlamento de Galicia haya afirmado en sus alegaciones que debe partirse de que, al aprobar la Ley 5/1997, de 22 de julio, de administración local de Galicia, actuó dentro del marco competencial autonómico. Este es el posicionamiento de la mayoría, construido sobre pretendidas certezas que operan como premisas no necesitadas de constatación. Y sobre tales premisas hipotéticas —sin análisis alguno de contraste— se reclama la aplicación de la prevalencia prevista en el art. 149.3 CE, eludiendo la problemática real de cada uno de esos presupuestos, no ya en otros casos a los que se abre la fórmula, sino en el propio caso que dio origen a la cuestión de inconstitucionalidad que se nos ha planteado.</w:t>
      </w:r>
    </w:p>
    <w:p w:rsidR="00A90898" w:rsidRDefault="00A90898" w:rsidP="00A90898">
      <w:pPr>
        <w:pStyle w:val="TextoNormal"/>
      </w:pPr>
    </w:p>
    <w:p w:rsidR="00A90898" w:rsidRDefault="00A90898" w:rsidP="00A90898">
      <w:pPr>
        <w:pStyle w:val="TextoNormal"/>
      </w:pPr>
      <w:r>
        <w:t>No voy a insistir sobre el argumento de la “naturalidad” con que la jurisdicción ordinaria utiliza la técnica de prevalencia en la inaplicación de normas reglamentarias, conforme a lo previsto en el art. 6 de la Ley Orgánica del Poder Judicial, y en la inaplicación de las leyes internas que contradigan normativa europea, que era objeto de desarrollo en la STC 102/2016, porque la actual Sentencia, a la que formulo este Voto, ha prescindido de reproducirlo, por lo que me remito a lo que dije en mi anterior Voto.</w:t>
      </w:r>
    </w:p>
    <w:p w:rsidR="00A90898" w:rsidRDefault="00A90898" w:rsidP="00A90898">
      <w:pPr>
        <w:pStyle w:val="TextoNormal"/>
      </w:pPr>
    </w:p>
    <w:p w:rsidR="00A90898" w:rsidRDefault="00A90898" w:rsidP="00A90898">
      <w:pPr>
        <w:pStyle w:val="TextoNormal"/>
      </w:pPr>
      <w:r>
        <w:t>6. Efectuadas las anteriores precisiones, el punto central de mi discrepancia con la Sentencia reside en la interpretación que se ofrece de la cláusula de prevalencia, con base en una parca argumentación, y, a mi juicio, dicho sea con el máximo respeto a mis compañeros, carente de consistencia. Esta nueva Sentencia muestra también la confusión con la que se mueve entre las distintas cláusulas del art. 149.3 CE, especialmente entre la cláusula de supletoriedad y la de prevalencia, como se observa al asignar al principio de prevalencia la finalidad de “asegurar la plenitud del ordenamiento”, para cuyo sustento se citan una serie de Sentencias de este Tribunal referidas todas ellas a la cláusula de supletoriedad. Cláusula que es la que se corresponde con ese principio de plenitud del ordenamiento, ya que su función se orienta a evitar lagunas en dicho ordenamiento; función que no puede predicarse de una regla que, según la propia Sentencia, tiene por objeto la selección de la norma aplicable.</w:t>
      </w:r>
    </w:p>
    <w:p w:rsidR="00A90898" w:rsidRDefault="00A90898" w:rsidP="00A90898">
      <w:pPr>
        <w:pStyle w:val="TextoNormal"/>
      </w:pPr>
    </w:p>
    <w:p w:rsidR="00A90898" w:rsidRDefault="00A90898" w:rsidP="00A90898">
      <w:pPr>
        <w:pStyle w:val="TextoNormal"/>
      </w:pPr>
      <w:r>
        <w:t xml:space="preserve">Entiendo, con la doctrina hasta ahora mantenida por este Tribunal, que la regla de prevalencia del art. 149.3 CE —según la cual, las normas del Estado “prevalecerán, en caso de conflicto, sobre las de las Comunidades Autónomas en todo lo que no esté atribuido a la exclusiva competencia de éstas”— excluye de su cometido la solución de controversias normativas en las que intervenga el criterio de la competencia. Es decir, cuando el principio de competencia se encuentra concernido en la confrontación de normas, no puede entrar en juego el criterio de la prevalencia. Si la colisión de normas se produce como consecuencia de la extralimitación por una de las partes, con infracción del orden competencial constitucionalmente establecido, resulta patente que ninguna virtualidad tendrá la regla de prevalencia porque una de las normas en conflicto habría incurrido en inconstitucionalidad por vicio de incompetencia. Así ocurre de manera evidente cuando se trata de materias compartidas, como es el caso en que, sobre una misma materia, la Constitución reserva al Estado el establecimiento de la normativa básica, mientras que las Comunidades Autónomas asumen en virtud de sus Estatutos la competencia legislativa de desarrollo, incluso entendiendo </w:t>
      </w:r>
      <w:r>
        <w:lastRenderedPageBreak/>
        <w:t>comprendidos en estos supuestos todos aquellos casos en los que los Estatutos de Autonomía atribuyen a las Comunidades Autónomas una competencia “exclusiva” que ha de ejercerse necesariamente con respeto de las bases estatales, aunque siempre bajo la premisa de que la Comunidad Autónoma debe tener margen para aplicar su propia opción política y de actuación dentro del respeto al marco legislativo estatal (SSTC 1/1982, de 28 de enero, FJ 1; 44/1982, de 8 de julio, FJ 2; 69/1988, de 19 de abril, FJ 5, y 37/2002, de 14 de febrero, FJ 13). En estos casos, al estar compartida la materia, el bloque de la constitucionalidad ha procedido a un reparto de la misma, configurando ámbitos competenciales normativos propios y exclusivos del Estado, por una parte, y de las Comunidades Autónomas, por la otra. Por consiguiente, sobre una materia compartida puede entenderse que coexisten competencias exclusivas del Estado y de las Comunidades Autónomas, que se ejercen respectivamente sobre el ámbito propio delimitado para cada uno de ellos. Ahora bien, en el supuesto de que una Comunidad Autónoma dicte una norma legal que invada el ámbito que constitucionalmente queda reservado a la legislación básica del Estado, incurrirá en un vicio de incompetencia que conlleva necesariamente la inconstitucionalidad de dicha norma; y la misma situación se producirá cuando la ley básica estatal lleve su regulación más allá de lo constitucionalmente lícito, vaciando de contenido la competencia legislativa autonómica al privarla de espacio libre para desenvolverse. De esta forma, los conflictos que se produzcan en tales situaciones no pueden resolverse conforme a la cláusula de prevalencia de la norma estatal, porque es indudable que una de las dos normas se habrá extralimitado en el ejercicio de la competencia que la ampare, con el consiguiente vicio de inconstitucionalidad.</w:t>
      </w:r>
    </w:p>
    <w:p w:rsidR="00A90898" w:rsidRDefault="00A90898" w:rsidP="00A90898">
      <w:pPr>
        <w:pStyle w:val="TextoNormal"/>
      </w:pPr>
    </w:p>
    <w:p w:rsidR="00A90898" w:rsidRDefault="00A90898" w:rsidP="00A90898">
      <w:pPr>
        <w:pStyle w:val="TextoNormal"/>
      </w:pPr>
      <w:r>
        <w:t>En definitiva —y en lo que a nuestros efectos importa—, cuando se trata, simplificando los términos, del binomio legislación estatal básica/legislación autonómica de desarrollo, la resolución de los posibles conflictos no puede alcanzarse mediante un criterio de prevalencia de la legislación estatal sobre la autonómica porque supondría desconocer que, de acuerdo con el bloque de la constitucionalidad, al Estado le corresponde en exclusiva un ámbito competencial determinado, y a las Comunidades Autónomas otro distinto, lo cual no queda a la libre disponibilidad del legislador estatal. El desconocimiento de esos límites sólo puede resolverse en un vicio de incompetencia y en la consiguiente inconstitucionalidad de la norma que los haya excedido. Entenderlo de otra forma podría dar lugar a un vaciamiento de las competencias reservadas a las Comunidades Autónomas por la Constitución y, por encargo de ésta, por sus respectivos Estatutos de Autonomía.</w:t>
      </w:r>
    </w:p>
    <w:p w:rsidR="00A90898" w:rsidRDefault="00A90898" w:rsidP="00A90898">
      <w:pPr>
        <w:pStyle w:val="TextoNormal"/>
      </w:pPr>
    </w:p>
    <w:p w:rsidR="00A90898" w:rsidRDefault="00A90898" w:rsidP="00A90898">
      <w:pPr>
        <w:pStyle w:val="TextoNormal"/>
      </w:pPr>
      <w:r>
        <w:t>Sobre esta base, la asignación de la condición de norma básica a un precepto inicialmente no básico, o la alteración posterior del contenido de la norma básica (supuesto sobre el que se asienta la Sentencia de la que discrepo) que produzcan una colisión con las normas autonómicas de desarrollo, plantean un estricto problema de competencias que exige determinar en qué punto se produce el exceso y el vicio de incompetencia, lo que implica un juicio acerca del carácter formal y materialmente básico de la nueva norma estatal. Juicio que, en cuanto afecta al propio entendimiento de las cláusulas competenciales de la Constitución, sólo puede llevar a cabo este Tribunal Constitucional conforme a los arts. 153 a), 161 y 163 CE. Considerar que esa tarea puede realizarse por cualquier aplicador del derecho, en virtud de la regla de la prevalencia de la legislación estatal del art. 149.3 CE, conlleva un riesgo cierto de inseguridad jurídica y de pérdida de uniformidad en la interpretación y aplicación de las normas del bloque de la constitucionalidad, hurtando a este Tribunal su conocimiento por la vía del art. 163 CE.</w:t>
      </w:r>
    </w:p>
    <w:p w:rsidR="00A90898" w:rsidRDefault="00A90898" w:rsidP="00A90898">
      <w:pPr>
        <w:pStyle w:val="TextoNormal"/>
      </w:pPr>
    </w:p>
    <w:p w:rsidR="00A90898" w:rsidRDefault="00A90898" w:rsidP="00A90898">
      <w:pPr>
        <w:pStyle w:val="TextoNormal"/>
      </w:pPr>
      <w:r>
        <w:lastRenderedPageBreak/>
        <w:t>En suma, no se han aportado razones sólidas que indiquen la procedencia de alterar la doctrina establecida por este Tribunal en relación con la cláusula de prevalencia del art. 149.3 CE, recogida en la STC 163/1995, de 8 de noviembre, FJ 4, en la que se señaló:</w:t>
      </w:r>
    </w:p>
    <w:p w:rsidR="00A90898" w:rsidRDefault="00A90898" w:rsidP="00A90898">
      <w:pPr>
        <w:pStyle w:val="TextoNormal"/>
      </w:pPr>
    </w:p>
    <w:p w:rsidR="00A90898" w:rsidRDefault="00A90898" w:rsidP="00A90898">
      <w:pPr>
        <w:pStyle w:val="TextoNormal"/>
      </w:pPr>
      <w:r>
        <w:t>“El inciso segundo, in fine, del art. 149.3 CE proclama que las ‘normas’ del Estado ‘prevalecerán, en caso de conflicto, sobre las de las Comunidades Autónomas en todo lo que no esté atribuido a la exclusiva competencia de éstas’. De esta conocida como ‘cláusula de prevalencia’ extrae la Sala la consecuencia, planteada al menos como duda y negada por el Letrado de la Junta, de un deber de ‘aplicación directa’ de la norma estatal, con la consiguiente inaplicación per se de la ley autonómica, y como alternativa al planteamiento de la cuestión de inconstitucionalidad. Ahora bien, lo que la Sala de este modo ha venido a plantearnos no es una cuestión relativa a la prevalencia de ‘las normas’ del Estado sobre las de las Comunidades Autónomas en los términos de dicho precepto, sino, de modo mucho más concreto, la de su propio ámbito de jurisdicción tal como resulta de lo previsto en los arts. 163 C.E. y concordantes cuando del control de las leyes específicamente se trata. Esta cuestión, sin embargo, encuentra una precisa respuesta en la propia Constitución y suficientes claves interpretativas en nuestra propia jurisprudencia, de las que resulta una respuesta negativa a la facultad que la Sala ha considerado poder encontrar en el art. 149.3 CE.”</w:t>
      </w:r>
    </w:p>
    <w:p w:rsidR="00A90898" w:rsidRDefault="00A90898" w:rsidP="00A90898">
      <w:pPr>
        <w:pStyle w:val="TextoNormal"/>
      </w:pPr>
    </w:p>
    <w:p w:rsidR="00A90898" w:rsidRDefault="00A90898" w:rsidP="00A90898">
      <w:pPr>
        <w:pStyle w:val="TextoNormal"/>
      </w:pPr>
      <w:r>
        <w:t>Y, de manera categórica, añadió más adelante lo siguiente:</w:t>
      </w:r>
    </w:p>
    <w:p w:rsidR="00A90898" w:rsidRDefault="00A90898" w:rsidP="00A90898">
      <w:pPr>
        <w:pStyle w:val="TextoNormal"/>
      </w:pPr>
    </w:p>
    <w:p w:rsidR="00A90898" w:rsidRDefault="00A90898" w:rsidP="00A90898">
      <w:pPr>
        <w:pStyle w:val="TextoNormal"/>
      </w:pPr>
      <w:r>
        <w:t>“[E]n relación con las ‘normas’ autonómicas la Constitución y el correspondiente Estatuto de Autonomía contienen una disposición específica cuando de normas ‘con rango de ley’ (art. 163 C.E.) o ‘con fuerza de ley’ (art. 153 a) C.E. y art. 45.1 E.A.A.) se trata: El control de constitucionalidad de las mismas corresponde a este Tribunal Constitucional. El precepto estatutario añade incluso que tal control corresponde ‘exclusivamente’ al Tribunal Constitucional. Quiere ello decir que los Jueces y Tribunales integrantes del Poder Judicial no pueden pretender una excepción a lo previsto en los arts. 163 y 153 a) C.E., así como en el correspondiente precepto estatutario, como consecuencia de un determinado entendimiento de lo previsto, de forma más general y en un diferente contexto constitucional, en el art. 149.3, inciso segundo, in fine, C.E.”</w:t>
      </w:r>
    </w:p>
    <w:p w:rsidR="00A90898" w:rsidRDefault="00A90898" w:rsidP="00A90898">
      <w:pPr>
        <w:pStyle w:val="TextoNormal"/>
      </w:pPr>
    </w:p>
    <w:p w:rsidR="00A90898" w:rsidRDefault="00A90898" w:rsidP="00A90898">
      <w:pPr>
        <w:pStyle w:val="TextoNormal"/>
      </w:pPr>
      <w:r>
        <w:t xml:space="preserve">Doctrina que difícilmente puede rebatirse con el argumento empleado en la Sentencia de la mayoría de que este caso es peculiar “pues la Comunidad Autónoma de Galicia, al incluir en la ley 5/1997, de 22 de julio, su artículo 32.1, no lo hizo reclamando una competencia propia, sino por puro mimetismo con la regulación contenida en la legislación básica que aquella ley pretendía desarrollar”. Esa premisa no es sostenible: la Comunidad Autónoma de Galicia ha aprobado la Ley 5/1997 (de Administración local de Galicia) en virtud de una competencia propia: la competencia exclusiva que le atribuye el art. 27.2 de su Estatuto de Autonomía en materia de régimen local. Así lo expresa claramente el preámbulo de dicha Ley al afirmar: “Con la Ley de Administración Local de Galicia, apoyada explícitamente en los artículos 2.2, 27.2 y 40 de nuestro Estatuto de Autonomía se intenta hacer frente, de un lado, a la definición del papel que la Comunidad Autónoma misma tiene en relación con las administraciones locales y, de otro, a la muy peculiar organización de los asentamientos urbanos en Galicia”. Y así lo ha defendido el propio Parlamento de Galicia en las alegaciones formuladas en el presente procedimiento. Manifestación explícita de ejercicio de una competencia que debe ser respetada en todo caso por el órgano judicial, independientemente </w:t>
      </w:r>
      <w:r>
        <w:lastRenderedPageBreak/>
        <w:t>del propósito que motivó la decisión de aprobar en su día una norma autonómica de texto coincidente con la estatal.</w:t>
      </w:r>
    </w:p>
    <w:p w:rsidR="00A90898" w:rsidRDefault="00A90898" w:rsidP="00A90898">
      <w:pPr>
        <w:pStyle w:val="TextoNormal"/>
      </w:pPr>
    </w:p>
    <w:p w:rsidR="00A90898" w:rsidRDefault="00A90898" w:rsidP="00A90898">
      <w:pPr>
        <w:pStyle w:val="TextoNormal"/>
      </w:pPr>
      <w:r>
        <w:t>7. Por todo ello, entiendo, al igual que en el caso resuelto por la STC 102/2016, que debió procederse al estudio de la cuestión de inconstitucionalidad planteada ante nosotros para poder dictar un fallo sobre el objeto de la misma. No puedo compartir el entendimiento de la cláusula de prevalencia del art. 149.3 CE que sustenta la Sentencia, por la que se atribuye a los operadores jurídicos llamados a aplicar la ley en primer lugar la facultad de valorar por su cuenta la hipotética inconstitucionalidad sobrevenida de una norma autonómica, para proceder a su inaplicación. Una atribución que instaura un modelo de control difuso de la constitucionalidad de determinadas normas, con la consiguiente quiebra del principio de control concentrado en este Tribunal, que hasta ahora se había mantenido sin excepciones, una vez superado el periodo de pervivencia de la legislación preconstitucional.</w:t>
      </w:r>
    </w:p>
    <w:p w:rsidR="00A90898" w:rsidRDefault="00A90898" w:rsidP="00A90898">
      <w:pPr>
        <w:pStyle w:val="TextoNormal"/>
      </w:pPr>
    </w:p>
    <w:p w:rsidR="00A90898" w:rsidRDefault="00A90898" w:rsidP="00A90898">
      <w:pPr>
        <w:pStyle w:val="TextoNormal"/>
      </w:pPr>
      <w:r>
        <w:t>Y en este sentido emito mi Voto particular.</w:t>
      </w:r>
    </w:p>
    <w:p w:rsidR="00A90898" w:rsidRDefault="00A90898" w:rsidP="00A90898">
      <w:pPr>
        <w:pStyle w:val="TextoNormal"/>
      </w:pPr>
    </w:p>
    <w:p w:rsidR="00A90898" w:rsidRDefault="00A90898" w:rsidP="00A90898">
      <w:pPr>
        <w:pStyle w:val="TextoNormal"/>
      </w:pPr>
      <w:r>
        <w:t>Madrid, a siete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 w:name="SENTENCIA_2016_128"/>
      <w:r>
        <w:lastRenderedPageBreak/>
        <w:t>SENTENCIA 128/2016, de 7 de julio de 2016</w:t>
      </w:r>
    </w:p>
    <w:bookmarkEnd w:id="7"/>
    <w:p w:rsidR="00A90898" w:rsidRDefault="00A90898" w:rsidP="00A90898">
      <w:pPr>
        <w:pStyle w:val="TtuloResolucin"/>
      </w:pPr>
      <w:r>
        <w:t>Pleno</w:t>
      </w:r>
    </w:p>
    <w:p w:rsidR="00A90898" w:rsidRDefault="00A90898" w:rsidP="00A90898">
      <w:pPr>
        <w:pStyle w:val="TtuloBOE"/>
      </w:pPr>
      <w:r>
        <w:t>(BOE núm. 192, de 10 de agosto de 2016)</w:t>
      </w:r>
    </w:p>
    <w:p w:rsidR="00A90898" w:rsidRDefault="00A90898" w:rsidP="00A90898">
      <w:pPr>
        <w:pStyle w:val="TextoNormalCentrado"/>
      </w:pPr>
      <w:r>
        <w:t>ECLI:ES:TC:2016:128</w:t>
      </w:r>
    </w:p>
    <w:p w:rsidR="00A90898" w:rsidRDefault="00A90898" w:rsidP="00A90898">
      <w:pPr>
        <w:pStyle w:val="TextoNormalCentrado"/>
      </w:pPr>
    </w:p>
    <w:p w:rsidR="00A90898" w:rsidRDefault="00A90898" w:rsidP="00A90898">
      <w:pPr>
        <w:pStyle w:val="SntesisDescriptiva"/>
      </w:pPr>
      <w:r>
        <w:t>Recurso de inconstitucionalidad 3493-2015. Interpuesto por el Presidente del Gobierno en relación con diversos preceptos de la Ley del Parlamento de Cataluña 3/2015, de 11 de marzo, de medidas fiscales, financieras y administrativas.</w:t>
      </w:r>
    </w:p>
    <w:p w:rsidR="00A90898" w:rsidRDefault="00A90898" w:rsidP="00A90898">
      <w:pPr>
        <w:pStyle w:val="SntesisDescriptiva"/>
      </w:pPr>
    </w:p>
    <w:p w:rsidR="00A90898" w:rsidRDefault="00A90898" w:rsidP="00A90898">
      <w:pPr>
        <w:pStyle w:val="SntesisAnaltica"/>
      </w:pPr>
      <w:r>
        <w:t>Soberanía nacional, principios de autonomía y supremacía de la Constitución; competencias sobre urbanismo, energía, transporte ferroviario y meteorología: nulidad de los preceptos legales autonómicos que confiere al servicio de meteorología de Cataluña una función de apoyo a la navegación aérea, regulan la implantación de establecimientos comerciales en los puertos de titularidad pública, el plan director de la Administración tributaria de Cataluña, el catálogo de infraestructuras estratégicas y el plan director de los sectores de energía, telecomunicaciones, sistemas de información y transporte ferroviario; interpretación conforme de los preceptos relativos al inventario del patrimonio de las Administraciones públicas de Cataluña y de creación de la Agencia Catalana de Protección Social.</w:t>
      </w:r>
    </w:p>
    <w:p w:rsidR="00A90898" w:rsidRDefault="00A90898" w:rsidP="00A90898">
      <w:pPr>
        <w:pStyle w:val="SntesisAnaltica"/>
      </w:pPr>
    </w:p>
    <w:p w:rsidR="00A90898" w:rsidRDefault="00A90898" w:rsidP="00A90898">
      <w:pPr>
        <w:pStyle w:val="Extracto"/>
      </w:pPr>
      <w:r>
        <w:t>1.</w:t>
      </w:r>
      <w:r>
        <w:tab/>
        <w:t>Una Comunidad Autónoma no puede atribuir funciones en materia de navegación aérea a organismos propios al amparo de su competencia genérica, para dotarse de un servicio meteorológico, puesto que esta competencia estatal no puede ser desconocida o condicionada mediante el ejercicio por las Comunidades Autónomas de las que estatutariamente les corresponden sobre ámbitos distintos (STC 161/2004) [FJ 2].</w:t>
      </w:r>
    </w:p>
    <w:p w:rsidR="00A90898" w:rsidRDefault="00A90898" w:rsidP="00A90898">
      <w:pPr>
        <w:pStyle w:val="Extracto"/>
      </w:pPr>
    </w:p>
    <w:p w:rsidR="00A90898" w:rsidRDefault="00A90898" w:rsidP="00A90898">
      <w:pPr>
        <w:pStyle w:val="Extracto"/>
      </w:pPr>
      <w:r>
        <w:t>2.</w:t>
      </w:r>
      <w:r>
        <w:tab/>
        <w:t>En modo alguno puede aceptarse la prohibición o exclusión que la norma hace y en virtud de la cual deviene imposible la implantación, en los puertos públicos, de establecimientos comerciales de determinada naturaleza (grandes establecimientos comerciales y grandes establecimientos comerciales territoriales); interdicción que, una vez abierto el espacio portuario a la actividad comercial, se configura como una restricción a la libertad de establecimiento que debió haber sido objeto de justificación o motivación suficiente por el legislador de la norma impugnada con arreglo a la normativa básica que le vincula [FJ 3].</w:t>
      </w:r>
    </w:p>
    <w:p w:rsidR="00A90898" w:rsidRDefault="00A90898" w:rsidP="00A90898">
      <w:pPr>
        <w:pStyle w:val="Extracto"/>
      </w:pPr>
    </w:p>
    <w:p w:rsidR="00A90898" w:rsidRDefault="00A90898" w:rsidP="00A90898">
      <w:pPr>
        <w:pStyle w:val="Extracto"/>
      </w:pPr>
      <w:r>
        <w:t>3.</w:t>
      </w:r>
      <w:r>
        <w:tab/>
        <w:t>La exigencia de que la ley motivara suficientemente en razones imperiosas de interés general el régimen de autorización al que se pudiera someter la apertura de establecimientos comerciales tiene la condición de exigencia básica a la luz del artículo 149.1.13 CE (SSTC 26/2012, 73/2016) [FJ 3].</w:t>
      </w:r>
    </w:p>
    <w:p w:rsidR="00A90898" w:rsidRDefault="00A90898" w:rsidP="00A90898">
      <w:pPr>
        <w:pStyle w:val="Extracto"/>
      </w:pPr>
    </w:p>
    <w:p w:rsidR="00A90898" w:rsidRDefault="00A90898" w:rsidP="00A90898">
      <w:pPr>
        <w:pStyle w:val="Extracto"/>
      </w:pPr>
      <w:r>
        <w:t>4.</w:t>
      </w:r>
      <w:r>
        <w:tab/>
        <w:t>Una Comunidad Autónoma no puede asumir más potestades, competencias en sentido propio o funciones, sobre las ya recogidas en su Estatuto en vigor, si no es mediante modificaciones normativas que quedan extramuros de su capacidad de decisión [FJ 6].</w:t>
      </w:r>
    </w:p>
    <w:p w:rsidR="00A90898" w:rsidRDefault="00A90898" w:rsidP="00A90898">
      <w:pPr>
        <w:pStyle w:val="Extracto"/>
      </w:pPr>
    </w:p>
    <w:p w:rsidR="00A90898" w:rsidRDefault="00A90898" w:rsidP="00A90898">
      <w:pPr>
        <w:pStyle w:val="Extracto"/>
      </w:pPr>
      <w:r>
        <w:t>5.</w:t>
      </w:r>
      <w:r>
        <w:tab/>
        <w:t>Una Comunidad Autónoma no puede pretender la asunción de nuevas potestades, competencias o funciones por la sola autoridad de sus órganos,  ni anticipar en sus normas los resultados de una tal hipotética modificación competencial [FJ 6].</w:t>
      </w:r>
    </w:p>
    <w:p w:rsidR="00A90898" w:rsidRDefault="00A90898" w:rsidP="00A90898">
      <w:pPr>
        <w:pStyle w:val="Extracto"/>
      </w:pPr>
    </w:p>
    <w:p w:rsidR="00A90898" w:rsidRDefault="00A90898" w:rsidP="00A90898">
      <w:pPr>
        <w:pStyle w:val="Extracto"/>
      </w:pPr>
      <w:r>
        <w:t>6.</w:t>
      </w:r>
      <w:r>
        <w:tab/>
        <w:t>La Asamblea de una Comunidad Autónoma siempre puede ejercer la atribución que confiere a todas el artículo 86.2 CE para proponer, o solicitar se proponga, la adopción por las Cortes Generales de determinada legislación o, incluso, la revisión misma de la Constitución (art. 166 CE), todo ello con independencia del específico procedimiento establecido en cada Estatuto de Autonomía para su propia reforma. Pero esa atribución para instar que se dé inicio al procedimiento legislativo o al de revisión constitucional no ampararía nunca el que se anticipara su resultado, incierto por definición, en actuaciones o en normas [FJ 6].</w:t>
      </w:r>
    </w:p>
    <w:p w:rsidR="00A90898" w:rsidRDefault="00A90898" w:rsidP="00A90898">
      <w:pPr>
        <w:pStyle w:val="Extracto"/>
      </w:pPr>
    </w:p>
    <w:p w:rsidR="00A90898" w:rsidRDefault="00A90898" w:rsidP="00A90898">
      <w:pPr>
        <w:pStyle w:val="Extracto"/>
      </w:pPr>
      <w:r>
        <w:t>7.</w:t>
      </w:r>
      <w:r>
        <w:tab/>
        <w:t>La previsión de que el Gobierno autonómico elabore un inventario del patrimonio de las Administraciones públicas de Cataluña no es inconstitucional toda vez que no se refiere a órganos, entidades o servicios de la Administración General del Estado; ni contempla la elaboración de inventario del patrimonio de los entes locales de Cataluña; ni incluye dentro del concepto de patrimonio el dinero, valores, créditos y los demás recursos financieros de hacienda de la Administración ni, en el caso de las entidades empresariales y entidades análogas dependientes de las Comunidades Autónomas o corporaciones locales, los recursos que constituyen su tesorería [FJ 7].</w:t>
      </w:r>
    </w:p>
    <w:p w:rsidR="00A90898" w:rsidRDefault="00A90898" w:rsidP="00A90898">
      <w:pPr>
        <w:pStyle w:val="Extracto"/>
      </w:pPr>
    </w:p>
    <w:p w:rsidR="00A90898" w:rsidRDefault="00A90898" w:rsidP="00A90898">
      <w:pPr>
        <w:pStyle w:val="Extracto"/>
      </w:pPr>
      <w:r>
        <w:t>8.</w:t>
      </w:r>
      <w:r>
        <w:tab/>
        <w:t>La habilitación al Gobierno autonómico para elaborar el catálogo de infraestructuras estratégicas de Cataluña afecta de modo directo y principal a una seguridad pública sobre la que las Comunidades Autónomas no pueden asumir estatutariamente más competencias, sobre creación de cuerpos propios de policía, que las previstas en el artículo 149.1.29 CE [FJ 8].</w:t>
      </w:r>
    </w:p>
    <w:p w:rsidR="00A90898" w:rsidRDefault="00A90898" w:rsidP="00A90898">
      <w:pPr>
        <w:pStyle w:val="Extracto"/>
      </w:pPr>
    </w:p>
    <w:p w:rsidR="00A90898" w:rsidRDefault="00A90898" w:rsidP="00A90898">
      <w:pPr>
        <w:pStyle w:val="Extracto"/>
      </w:pPr>
      <w:r>
        <w:t>9.</w:t>
      </w:r>
      <w:r>
        <w:tab/>
        <w:t>No merece reproche constitucional que la norma impugnada disponga que la estructura de la Agencia Catalana de la Protección Social se organice en atención a una eventual asunción de funciones que la Comunidad Autónoma, competencia que la Generalitat sí ostenta positivamente conforme al Estatuto de Autonomía de Cataluña [FJ 9].</w:t>
      </w:r>
    </w:p>
    <w:p w:rsidR="00A90898" w:rsidRDefault="00A90898" w:rsidP="00A90898">
      <w:pPr>
        <w:pStyle w:val="Extracto"/>
      </w:pPr>
    </w:p>
    <w:p w:rsidR="00A90898" w:rsidRDefault="00A90898" w:rsidP="00A90898">
      <w:pPr>
        <w:pStyle w:val="Extracto"/>
      </w:pPr>
      <w:r>
        <w:t>10.</w:t>
      </w:r>
      <w:r>
        <w:tab/>
        <w:t>El modelo de gestión de las prestaciones de Seguridad Social, al que cabría entender que se refiere también la regla impugnada no puede ser definido por una Comunidad Autónoma, pues entra, de lleno, en la legislación básica sobre esta institución, que corresponde en exclusiva al Estado, como así se desprende, de nuestra doctrina (STC 84/2015) [FJ 9].</w:t>
      </w:r>
    </w:p>
    <w:p w:rsidR="00A90898" w:rsidRDefault="00A90898" w:rsidP="00A90898">
      <w:pPr>
        <w:pStyle w:val="Extracto"/>
      </w:pPr>
    </w:p>
    <w:p w:rsidR="00A90898" w:rsidRDefault="00A90898" w:rsidP="00A90898">
      <w:pPr>
        <w:pStyle w:val="Extracto"/>
      </w:pPr>
      <w:r>
        <w:t>11.</w:t>
      </w:r>
      <w:r>
        <w:tab/>
        <w:t xml:space="preserve">Incurre en inconstitucionalidad, por conculcar competencias estatales </w:t>
      </w:r>
      <w:r w:rsidRPr="00A90898">
        <w:rPr>
          <w:i/>
        </w:rPr>
        <w:t>ex</w:t>
      </w:r>
      <w:r>
        <w:t xml:space="preserve"> artículo 149.1.13 CE, la disposición adicional intitulada “Plan director relativo a los sectores de la energía, de las telecomunicaciones y los sistemas de información y del transporte ferroviario”, que concede al gobierno autonómico un plazo para presentar un modelo de políticas de competencia y de regulación de los sectores de la energía, de las telecomunicaciones y los sistemas de información y del transporte ferroviario, así como de un marco normativo que se inspire en las determinaciones del derecho de la Unión Europea [FJ 10].</w:t>
      </w:r>
    </w:p>
    <w:p w:rsidR="00A90898" w:rsidRDefault="00A90898" w:rsidP="00A90898">
      <w:pPr>
        <w:pStyle w:val="Extracto"/>
      </w:pPr>
    </w:p>
    <w:p w:rsidR="00A90898" w:rsidRDefault="00A90898" w:rsidP="00A90898">
      <w:pPr>
        <w:pStyle w:val="Extracto"/>
      </w:pPr>
      <w:r>
        <w:lastRenderedPageBreak/>
        <w:t>12.</w:t>
      </w:r>
      <w:r>
        <w:tab/>
        <w:t>Doctrina sobre el canon de constitucionalidad (SSTC 161/2014, 84/2015, 103/2015) [FFJJ 2, 3, 5].</w:t>
      </w:r>
    </w:p>
    <w:p w:rsidR="00A90898" w:rsidRDefault="00A90898" w:rsidP="00A90898">
      <w:pPr>
        <w:pStyle w:val="Extracto"/>
      </w:pPr>
    </w:p>
    <w:p w:rsidR="00A90898" w:rsidRDefault="00A90898" w:rsidP="00A90898">
      <w:pPr>
        <w:pStyle w:val="Extracto"/>
      </w:pPr>
      <w:r>
        <w:t>13.</w:t>
      </w:r>
      <w:r>
        <w:tab/>
        <w:t>La meteorología puede incidir sobre una pluralidad de sectores de actividad y no hay que excluir que ello imponga la identificación, con efectos jurídico-constitucionales, de subsectores determinados dentro de ese ámbito meteorológico cuyo régimen competencial deba tener en cuenta títulos distintos del que tiene por objeto la meteorología (STC 53/2016) [FJ 2].</w:t>
      </w:r>
    </w:p>
    <w:p w:rsidR="00A90898" w:rsidRDefault="00A90898" w:rsidP="00A90898">
      <w:pPr>
        <w:pStyle w:val="Extracto"/>
      </w:pPr>
    </w:p>
    <w:p w:rsidR="00A90898" w:rsidRDefault="00A90898" w:rsidP="00A90898">
      <w:pPr>
        <w:pStyle w:val="Extracto"/>
      </w:pPr>
      <w:r>
        <w:t>14.</w:t>
      </w:r>
      <w:r>
        <w:tab/>
        <w:t>La competencia autonómica sobre comercio, aunque exclusiva, no impide que incidan en su mismo ámbito material, limitándola, las competencias que el Estado ostenta en virtud de sus propios títulos y, específicamente, la enunciada en artículo 149.1.13 CE en orden a las bases y la coordinación de la planificación general de la actividad económica (STC 170/2012) [FJ 3].</w:t>
      </w:r>
    </w:p>
    <w:p w:rsidR="00A90898" w:rsidRDefault="00A90898" w:rsidP="00A90898">
      <w:pPr>
        <w:pStyle w:val="Extracto"/>
      </w:pPr>
    </w:p>
    <w:p w:rsidR="00A90898" w:rsidRDefault="00A90898" w:rsidP="00A90898">
      <w:pPr>
        <w:pStyle w:val="Extracto"/>
      </w:pPr>
      <w:r>
        <w:t>15.</w:t>
      </w:r>
      <w:r>
        <w:tab/>
        <w:t>La inconstitucionalidad -antijuridicidad- no puede predicarse de simples proyectos de normas, o de proposiciones de normas o, antes aún, de la sola intención de producir cambios, sino de normas definitivamente instaladas en el ordenamiento (ATC 135/2004) [FJ 5].</w:t>
      </w:r>
    </w:p>
    <w:p w:rsidR="00A90898" w:rsidRDefault="00A90898" w:rsidP="00A90898">
      <w:pPr>
        <w:pStyle w:val="Extracto"/>
      </w:pPr>
    </w:p>
    <w:p w:rsidR="00A90898" w:rsidRDefault="00A90898" w:rsidP="00A90898">
      <w:pPr>
        <w:pStyle w:val="Extracto"/>
      </w:pPr>
      <w:r>
        <w:t>16.</w:t>
      </w:r>
      <w:r>
        <w:tab/>
        <w:t>La interpretación de las leyes de conformidad con la Constitución tiene sus límites y, entre ellos, la preservación de la seguridad jurídica y la no conversión en legislador positivo de la jurisdicción constitucional (SSTC 198/1991, 14/2015)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3493-2015, interpuesto por el Presidente del Gobierno, contra los artículos 69 y 95, así como contra las disposiciones adicionales vigésima segunda a vigésima sexta de la Ley de Cataluña 3/2015, de 11 de marzo, de medidas fiscales, financieras y administrativas, publicada en el “Diario Oficial de la Generalitat de Cataluña” núm. 6830, de 13 de marzo de 2015. Han intervenido y formulado alegaciones la Generalitat y el Parlamento de Cataluña. Ha sido Ponente el Magistrado don Santiago Martínez-Vares García, que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escrito registrado en el Tribunal Constitucional el 15 de junio de 2015, interpuso el Abogado del Estado, en representación del Presidente del Gobierno, recurso de inconstitucionalidad contra los artículos 69 y 95, así como contra las disposiciones adicionales vigésima segunda a vigésima sexta de la Ley de Cataluña 3/2015, de 11 de marzo, de medidas fiscales, financieras y administrativas, publicada en el “Diario Oficial de la Generalitat de Cataluña” núm. 6830, de 13 de marzo de 2015. De conformidad con el acuerdo de recurrir del Consejo de Ministros, se hizo expresa invocación del artículo 161.2. CE en relación con la Ley parcialmente impugnada y a los efectos del artículo 30 de la Ley Orgánica del Tribunal Constitucional (LOTC), en orden a la suspensión de la vigencia y aplicación de los preceptos impugnados.</w:t>
      </w:r>
    </w:p>
    <w:p w:rsidR="00A90898" w:rsidRDefault="00A90898" w:rsidP="00A90898">
      <w:pPr>
        <w:pStyle w:val="TextoNormal"/>
      </w:pPr>
    </w:p>
    <w:p w:rsidR="00A90898" w:rsidRDefault="00A90898" w:rsidP="00A90898">
      <w:pPr>
        <w:pStyle w:val="TextoNormal"/>
      </w:pPr>
      <w:r>
        <w:t>Los hechos y fundamentos de Derecho que la demanda expone pueden resumirse como sigue:</w:t>
      </w:r>
    </w:p>
    <w:p w:rsidR="00A90898" w:rsidRDefault="00A90898" w:rsidP="00A90898">
      <w:pPr>
        <w:pStyle w:val="TextoNormal"/>
      </w:pPr>
    </w:p>
    <w:p w:rsidR="00A90898" w:rsidRDefault="00A90898" w:rsidP="00A90898">
      <w:pPr>
        <w:pStyle w:val="TextoNormal"/>
      </w:pPr>
      <w:r>
        <w:t>a) Con carácter previo a su fundamentación jurídica, señala el Abogado del Estado que la impugnación de la Ley 3/2015 se desglosa en dos bloques de artículos. El primero de ellos es el que tiene por objeto la creación de estructuras de Estado dentro de un proceso de transición nacional para la “desconexión” del Estado y está integrado por las disposiciones adicionales vigésima segunda a vigésima sexta, en las que se encomienda a la Administración de la Generalitat de Cataluña diversas actuaciones: 1) la elaboración de dos planes directores, uno sobre la Administración tributaria de Cataluña (disposición adicional vigésima segunda) y otro sobre los sectores de la energía, telecomunicaciones, sistemas de información y de transporte ferroviario (vigésima sexta), planes que deben incluir una propuesta normativa y prever “una eventual asunción de nuevas funciones y competencias”; 2) la elaboración de un anteproyecto de Ley de creación de la Agencia Catalana de la Protección Social, en el que se deberá prever la asunción de las competencias que en el momento de entrada en vigor de esta Ley ejerce la Administración del Estado (vigésima quinta); 3) la elaboración de un inventario del patrimonio de las administraciones públicas de Cataluña y su valoración (vigésima tercera) y la elaboración de un catálogo de infraestructuras estratégicas y la creación de una comisión interdepartamental “que desarrollen las medidas oportunas para garantizar la continuidad del servicio y el funcionamiento de las infraestructuras estratégicas de Cataluña” (vigésima cuarta). El otro bloque de preceptos objeto de impugnación está formado por los artículos 69 y 95 de la Ley 3/2015, relativo, el primero, a competencias del Servicio Meteorológico de Cataluña y el segundo a equipamientos comerciales, preceptos, uno y otro, incursos en infracciones competenciales.</w:t>
      </w:r>
    </w:p>
    <w:p w:rsidR="00A90898" w:rsidRDefault="00A90898" w:rsidP="00A90898">
      <w:pPr>
        <w:pStyle w:val="TextoNormal"/>
      </w:pPr>
    </w:p>
    <w:p w:rsidR="00A90898" w:rsidRDefault="00A90898" w:rsidP="00A90898">
      <w:pPr>
        <w:pStyle w:val="TextoNormal"/>
      </w:pPr>
      <w:r>
        <w:t xml:space="preserve">b) La fundamentación en Derecho de la demanda se inicia con unas consideraciones sobre la creación de estructuras de Estado para la “desconexión” del Estado. Observa el Abogado del Estado que, si bien es un hecho notorio, conviene contextualizar las disposiciones adicionales recurridas dentro del llamado, por el Gobierno catalán, “proceso de transición nacional”, cuyo momento esencial habría sido fijado en las elecciones a convocar para el próximo 27 de septiembre, elecciones que, en palabras del Presidente de la Generalitat de Cataluña, tendrán carácter plebiscitario. Es también de conocimiento público —señala la demanda— que todas las actuaciones que en los últimos años están realizando las instituciones catalanas en el autodenominado proceso de transición nacional siguen las pautas y directrices de los informes elaborados por el denominado Consejo Asesor para la Transición </w:t>
      </w:r>
      <w:r>
        <w:lastRenderedPageBreak/>
        <w:t>Nacional de Cataluña. Dentro de tales pautas y directrices está —se dice— la creación de estructuras de Estado cuyo objeto es tener preparada la legislación y la estructura de la administración autonómica catalana para el momento de esa eventual independencia de Cataluña y de lo que sería “la desconexión” de Cataluña de España y, por tanto, de la legislación estatal y de las instituciones de la Administración General del Estado que en Cataluña gestionan los servicios y competencias estatales. El objeto de las disposiciones adicionales impugnadas no sería otro sino llegar a septiembre de 2015 con tales actuaciones preparatorias concluidas.</w:t>
      </w:r>
    </w:p>
    <w:p w:rsidR="00A90898" w:rsidRDefault="00A90898" w:rsidP="00A90898">
      <w:pPr>
        <w:pStyle w:val="TextoNormal"/>
      </w:pPr>
    </w:p>
    <w:p w:rsidR="00A90898" w:rsidRDefault="00A90898" w:rsidP="00A90898">
      <w:pPr>
        <w:pStyle w:val="TextoNormal"/>
      </w:pPr>
      <w:r>
        <w:t>Otros pasos en el mismo sentido se habrían dado por parte de la Generalitat y así cita la demanda la creación del Comisionado para la Transición Nacional mediante Decreto 16/2015, de 24 de febrero, no impugnado en este proceso constitucional, pero cuyo objeto y funciones se citan por el Abogado del Estado; el plan ejecutivo para la preparación de las estructuras de Estado y el plan para garantizar el funcionamiento de las infraestructuras estratégicas, de febrero de 2015, aprobados ambos por el Consejo de Gobierno de 17 de febrero de 2015; la forma de actuación de las instituciones catalanas en el autodenominado proceso de transición nacional de Cataluña, respecto a lo cual se observa en la demanda que es notorio que dichas instituciones, a la hora de poner en marcha el plan de transición diseñado por el Consejo Asesor para la Transición Nacional de Cataluña, intentan disociar la realidad de la realidad jurídica y ésta, a su vez, partirla. Como ya se constató en el proceso de consulta llevado a cabo el 9 de noviembre de 2014, las instituciones catalanas omiten la formalización de determinados actos jurídicos, como fue en aquel caso la convocatoria, con objeto de intentar dificultar su control por los Tribunales, pero a la vez usan los medios materiales de la Administración catalana para su consumación y realizan una clara y plena asunción posterior de la autoridad, citando al respecto la STC 138/2015, de 11 de junio. En esta fase del proceso —se añade— la actuación es la misma; así, por ejemplo, se sabe que el plan ejecutivo para la preparación de las estructuras de Estado y el plan para garantizar el funcionamiento de las infraestructuras estratégicas de febrero de 2015 han sido aprobados por el Gobierno de la Generalitat. Así lo anunció su Presidente en rueda de prensa y así aparece en la página web del Gobierno catalán, pero no han querido aportar, pese a ser requeridos para ello, el acuerdo adoptado por el Gobierno. Lo mismo ocurre con las encomiendas realizadas al Gobierno de la Generalitat por la Ley aquí impugnada. Su contenido es evidentemente inconstitucional al atribuirse funciones de planificación y de promoción legislativa en materias que exceden de su competencia y que se integran materialmente en un proceso de reforma constitucional por la vía de hecho, pero, en un intento de dificultar su control, omiten referencia alguna al proceso de transición nacional en la exposición de motivos, aunque así se expuso en la tramitación parlamentaria y buena constancia de ello es el informe emitido por el Consejo de Garantías Estatutarias sobre las disposiciones ahora impugnadas.</w:t>
      </w:r>
    </w:p>
    <w:p w:rsidR="00A90898" w:rsidRDefault="00A90898" w:rsidP="00A90898">
      <w:pPr>
        <w:pStyle w:val="TextoNormal"/>
      </w:pPr>
    </w:p>
    <w:p w:rsidR="00A90898" w:rsidRDefault="00A90898" w:rsidP="00A90898">
      <w:pPr>
        <w:pStyle w:val="TextoNormal"/>
      </w:pPr>
      <w:r>
        <w:t xml:space="preserve">c) Considera después la demanda los procedimientos de reforma constitucional y los principios por los que debe regirse, afirmando la existencia de una vía de hecho, vulneradora de los artículos 1.2, 2, 9.1 y 168 CE. Señala al respecto que las disposiciones aquí impugnadas se integran como actos preparatorios de la transición nacional y tienen por finalidad la preparación de la legislación catalana y de la administración de Cataluña para la “desconexión” del Estado y son, por tanto, actuaciones unilaterales materialmente de reforma constitucional para lo que carecen de competencia las instituciones catalanas, ello con independencia del </w:t>
      </w:r>
      <w:r w:rsidRPr="00A90898">
        <w:rPr>
          <w:i/>
        </w:rPr>
        <w:t xml:space="preserve">nomen iuris </w:t>
      </w:r>
      <w:r>
        <w:t xml:space="preserve">que se quiera asignar a dichas actuaciones, a cuyo efecto se cita la </w:t>
      </w:r>
      <w:r>
        <w:lastRenderedPageBreak/>
        <w:t>STC 31/2015. Recuerda el Abogado del Estado que la Constitución no recoge el modelo de “democracia militante”, de modo que es lícito plantear alternativas a la actual configuración de nuestro Estado, pero que dicho planteamiento debe hacerse mediante los procedimientos establecidos al efecto y aplicando los principios constitucionales que deben regirlos para evitar incurrir en vías de hecho, citando las SSTC 42/2014 y 103/2008. La elaboración de planes, catálogos, inventarios y propuestas legislativas cuya finalidad es la “desconexión” del Estado no sólo excede del ámbito competencial catalán y son materialmente parte de una vía de hecho de reforma constitucional, sino que, al ser planteado de forma unilateral, fuera de todo procedimiento de diálogo y cooperación, infringe, además, los principios que deben regir cualquier planteamiento o alternativa a la actual configuración del Estado y vulneran el principio democrático sobre el que se aprobó la Constitución.</w:t>
      </w:r>
    </w:p>
    <w:p w:rsidR="00A90898" w:rsidRDefault="00A90898" w:rsidP="00A90898">
      <w:pPr>
        <w:pStyle w:val="TextoNormal"/>
      </w:pPr>
    </w:p>
    <w:p w:rsidR="00A90898" w:rsidRDefault="00A90898" w:rsidP="00A90898">
      <w:pPr>
        <w:pStyle w:val="TextoNormal"/>
      </w:pPr>
      <w:r>
        <w:t>Se señala, a continuación, que en la contestación al requerimiento efectuado por la Administración del Estado frente al Decreto por el que se aprueba el Comisionado para la Transición Nacional, la Generalitat señala que la planificación en sí no tiene efectos jurídicos y que no se puede sancionar con la inconstitucionalidad simples proyectos de normas o la sola intención de producir normas, porque entonces el cambio y la reforma serían imposibles. Pero, a diferencia del asunto resuelto por el ATC 135/2004, aquí nos encontramos con disposiciones legales aprobadas por el Parlamento catalán que encomiendan a la Administración catalana la elaboración de planes, inventarios, catálogos y propuestas legislativas en materias que no son de su competencia y para la “desconexión” del Estado. Esto es, atribuyen a la Administración de Cataluña la potestad de planificación y de promoción legislativa sobre materias que no son de su competencia y sin que quepa una competencia implícita para ello, como tampoco para la preparación de la transición nacional. Se hace notar, a este respecto, que las funciones de planificación y promoción legislativa las realiza una Administración pública, la catalana, y que no se trata de estudios o informes elaborados por universidades, fundaciones o centros de investigación. Ni siquiera se trata de estudios o informes elaborados en el seno de alguna comisión del Gobierno catalán que quiera estudiar una propuesta de reforma constitucional. Son actuaciones de planificación y promoción legislativa efectuadas por una Administración pública sin tener competencias para ello. Para ilustrar lo dicho, plantea la demanda la hipótesis de si sería constitucional que el Ministerio del Interior elaborara y presentara una planificación para la asunción por las fuerzas y cuerpos de seguridad del Estado de todas las competencias sobre seguridad pública en Cataluña, omitiendo la realidad del marco estatutario y legal en que se distribuyen las competencias entre el Estado y las Comunidades Autónomas.</w:t>
      </w:r>
    </w:p>
    <w:p w:rsidR="00A90898" w:rsidRDefault="00A90898" w:rsidP="00A90898">
      <w:pPr>
        <w:pStyle w:val="TextoNormal"/>
      </w:pPr>
    </w:p>
    <w:p w:rsidR="00A90898" w:rsidRDefault="00A90898" w:rsidP="00A90898">
      <w:pPr>
        <w:pStyle w:val="TextoNormal"/>
      </w:pPr>
      <w:r>
        <w:t>d) Examina la demanda, a continuación, cada una de las disposiciones adicionales impugnadas, reiterando que sus previsiones deben ponerse en relación con los proyectos de planes aprobados por el Gobierno de la Generalitat el 17 de febrero de 2015, cuya documentación se incorpora en anexos.</w:t>
      </w:r>
    </w:p>
    <w:p w:rsidR="00A90898" w:rsidRDefault="00A90898" w:rsidP="00A90898">
      <w:pPr>
        <w:pStyle w:val="TextoNormal"/>
      </w:pPr>
    </w:p>
    <w:p w:rsidR="00A90898" w:rsidRDefault="00A90898" w:rsidP="00A90898">
      <w:pPr>
        <w:pStyle w:val="TextoNormal"/>
      </w:pPr>
      <w:r>
        <w:t xml:space="preserve">Por lo que se refiere, en primer lugar, a la disposición adicional vigésima segunda (plan director de la Administración tributaria de Cataluña), y tras transcribir su contenido, se señala en la demanda que este precepto se dirige a crear un plan director que haga posible “la Administración tributaria de Cataluña” a la que se ha referido el Presidente de la Generalitat en varias de sus declaraciones —una de ellas aportada ahora como anexo—, así como otros portavoces y que se plasma en el informe del Consejo Asesor para la Transición Nacional </w:t>
      </w:r>
      <w:r>
        <w:lastRenderedPageBreak/>
        <w:t>de Cataluña, igualmente incorporado como anexo, según el cual, la “administración tributaria del estado propio” gestionaría todos los impuestos catalanes, incluidos los que recaen sobre el tráfico exterior. Esta es la voluntad del precepto impugnado, cuyo inciso final dice que debe incluirse la propuesta de la normativa tributaria de Cataluña, obviando que su Parlamento no dispone de la capacidad de modificar la legislación tributaria española, más allá del ejercicio de las competencias normativas en materia de tributos propios y cedidos y que, por tanto, la Generalitat no puede desarrollar una política fiscal propia, ni tiene tampoco competencias para aprobar una ley general tributaria. Tras citar los apartados 1 y 2 del artículo 133 CE, se recuerda que el Tribunal Constitucional ha reconocido las competencias de las Comunidades Autónomas para regular sus haciendas, pero afirmando que dicha competencia viene limitada por las normas básicas estatales contenidas en la Ley general tributaria y en la Ley general presupuestaria (se citan al efecto las SSTC 14/1986, 13/1992, 4/1981 y 135/1992). Luego de invocar los artículos 157.1 CE y 202 del Estatuto de Autonomía de Cataluña (EAC), se observa que el poder tributario de las Comunidades autónomas no está exento de límites y que, conforme al artículo 133 CE, la potestad tributaria de las mismas halla sus límites no sólo en los principios constitucionales sino, además, en las leyes que dicte el Estado en el ámbito de sus propias competencias y en desarrollo de las previsiones constitucionales. Invoca la demanda, asimismo, el artículo 157.3 CE, en cuanto remite a una ley orgánica la regulación de las competencias financieras de las Comunidades Autónomas, precepto que ha de ponerse en relación con los artículos 133 y 149.1.14 CE, lo que determina, con cita de la STC 129/2000, que el Estado sea competente para regular no sólo sus propios tributos, sino también el marco general de todo el sistema tributario y la delimitación de las competencias financieras de las Comunidades Autónomas respecto del propio Estado. La ley orgánica a la que se refiere el artículo 157 CE es la Ley Orgánica 8/1980, de 22 de septiembre, de financiación de las Comunidades Autónomas (LOFCA), que configura, en el marco de la Constitución, el espacio competencial de la potestad tributaria autonómica, que se integra en el bloque de constitucionalidad y que, según lo dispuesto en el artículo 28.1 LOTC, ha de ser tomada en cuenta por el Tribunal Constitucional para apreciar la conformidad o disconformidad con la Constitución de una ley o acto con fuerza de ley del Estado o de las Comunidades Autónomas. Expuesto lo anterior, se refiere la demanda al distinto alcance de las competencias normativas sobre los tributos, según sean estos propios de la Comunidad Autónoma, cedidos por el Estado o, por último, no cedidos, refiriéndose, en especial, al marco jurídico regulador de la cesión de tributos [artículo 157.1 a) y 3 CE, artículos 10 y 11 LOFCA y preceptos de la Ley 22/2009, de 18 de diciembre, de financiación de las Comunidades Autónomas]. Pero el proceso de cesión no acaba con la Ley Orgánica de financiación de las Comunidades Autónomas, siendo precisa una ley específica para cada Comunidad en orden a la delimitación de competencias, norma que en el caso de la Comunidad Autónoma de Cataluña es la Ley 16/2010, de 16 de julio, del régimen de cesión de tributos del Estado a la Comunidad Autónoma de Cataluña y de fijación del alcance y condiciones de la cesión.</w:t>
      </w:r>
    </w:p>
    <w:p w:rsidR="00A90898" w:rsidRDefault="00A90898" w:rsidP="00A90898">
      <w:pPr>
        <w:pStyle w:val="TextoNormal"/>
      </w:pPr>
    </w:p>
    <w:p w:rsidR="00A90898" w:rsidRDefault="00A90898" w:rsidP="00A90898">
      <w:pPr>
        <w:pStyle w:val="TextoNormal"/>
      </w:pPr>
      <w:r>
        <w:t xml:space="preserve">Así delimitado el régimen jurídico aquí aplicable, la competencia normativa de las Comunidad Autónoma no puede ir más allá y, por tanto, el mandato de la disposición legal controvertida para dimensionar la organización administrativa y elaborar una propuesta normativa tributaria de Cataluña, más allá del ámbito competencial que le corresponde, no es sino manifestación de una extralimitación competencial. Si bien es cierto que, en la tramitación parlamentaria, se ha omitido la expresión “soportados en Cataluña”, que figura en la versión inicial de la enmienda que introdujo esta disposición, sus términos equívocos dan a </w:t>
      </w:r>
      <w:r>
        <w:lastRenderedPageBreak/>
        <w:t>entender que se refiere a todos los tributos, como se deduce especialmente del último inciso, relativo a las propuestas normativas, que no distingue entre las diversas figuras tributarias y que puede afectar a los tributos del Estado no cedidos que se recaudan en Cataluña. No tiene sentido que se pretenda constituir una agencia de estas características sólo para la elaboración de proyectos normativos de los impuestos propios de la Comunidad Autónoma, que se limitaría a impuestos que no sean incompatibles con los creados por el Estado y a sus propias tasas. El sentido de la norma impugnada ha de verse, también en este caso, en el contexto de las declaraciones de las autoridades de la Generalitat, a cuyo efecto la demanda se remite a la documentación incorporada en anexos y cita lo que figura en la página web de la Generalitat de Cataluña junto con la reseña de los acuerdos adoptados el 17 de febrero de 2015. Es evidente —se concluye— que el propósito de la disposición impugnada es la planificación de una agencia tributaria catalana encargada de administrar la totalidad de los tributos soportados en Cataluña en orden a alcanzar la “soberanía fiscal” a la que se refiere el documento citado. Además, se fija un plazo para la elaboración de este informe de cinco meses tras la entrada en vigor de la Ley. Resultan así vulnerados los artículos 133, 149.1.14 y 157 CE, la Ley Orgánica de financiación de las Comunidades Autónomas, como parte del bloque de la constitucionalidad, la Ley 22/2009, de financiación de las Comunidades Autónomas, la Ley 16/2010, del régimen de cesión de tributos del Estado a la Comunidad Autónoma de Cataluña y de fijación del alcance y condiciones de la cesión y los artículos 1.2, 2, 9.1 y 168 CE. En el contexto en el que se dicta la norma y por los antecedentes que han servido para su elaboración, la finalidad es asumir las competencias tributarias del Estado cuando se produzca la secesión de Cataluña de España. En ningún momento se considera que tal resultado únicamente podría obtenerse, en su caso, a través de una reforma completa de la Constitución, siguiendo el procedimiento previsto en el artículo 168 CE. Es por ello que está más que justificada la impugnación, que no puede considerarse como prematura, puesto que los trabajos van a iniciarse y no por un órgano de reflexión académico sino por los servicios administrativos de la Generalitat. Carece de sentido y es inconstitucional que se dediquen medios personales y materiales para la ejecución de este plan que persigue la asunción del conjunto de la competencia tributaria por la Generalitat de Cataluña. Este hecho, el carácter formal y oficial del diseño de una Administración tributaria catalana que excede notoriamente de sus competencias, en los términos ya expuestos, es el que es inconstitucional. La STC 42/2014 y la reciente STC 138/2015 no ponen objeción a las iniciativas de reforma constitucional, pero siempre que se hagan por los cauces previstos constitucionalmente, no fuera de la norma fundamental.</w:t>
      </w:r>
    </w:p>
    <w:p w:rsidR="00A90898" w:rsidRDefault="00A90898" w:rsidP="00A90898">
      <w:pPr>
        <w:pStyle w:val="TextoNormal"/>
      </w:pPr>
    </w:p>
    <w:p w:rsidR="00A90898" w:rsidRDefault="00A90898" w:rsidP="00A90898">
      <w:pPr>
        <w:pStyle w:val="TextoNormal"/>
      </w:pPr>
      <w:r>
        <w:t xml:space="preserve">e) Por lo que se refiere a la disposición adicional vigésimo tercera, relativa al inventario del patrimonio de las administraciones públicas de Cataluña, señala la demanda que nada cabría objetar, en principio, a que la Generalitat elaborase tal inventario sobre su patrimonio, de conformidad con lo dispuesto en el artículo 32.1 de la Ley 33/2003, de 3 de noviembre, del patrimonio de las Administraciones públicas. El problema surge con el sentido equivoco de la formulación de la disposición, que se refiere no solo a la Administración de la Generalitat, sino, en general, “a las Administraciones Públicas de Cataluña”. Esta mención parece comprender, en el contexto en que se elabora la norma, un inventario que abarca no sólo a la Generalitat, sino también a las entidades locales y al propio Estado, en la medida en que su Administración general está desplegada en Cataluña. Dicho contexto es el informe número 7 del Consejo Asesor para la Transición Nacional de Cataluña, relativo a “la distribución de activos y pasivos” que se acompaña como documentación a la demanda y al que se </w:t>
      </w:r>
      <w:r>
        <w:lastRenderedPageBreak/>
        <w:t xml:space="preserve">ha referido, además, el ya mencionado dictamen del Consejo de Garantías Estatutarias. Dicho informe aborda diversos aspectos de la sucesión de Estados en materias de bienes y deudas y estudia los aspectos más importantes de la transferencia de activos y deudas del Estado español, caso de secesión de Cataluña. Su finalidad es establecer los criterios aplicables para determinar los activos y obligaciones que deben ser trasmitidos, abordándose la independencia de Cataluña a partir del supuesto de que es planteada por la comunidad internacional como caso de secesión sin terminación de la personalidad jurídica del Estado español. Dicho lo anterior, la demanda detalla las conclusiones del dictamen del Consejo de Garantías Estatutarias antes aludido y que se emitió con ocasión de la tramitación de la Ley 3/2015. Tras esta referencia, observa el Abogado del Estado que es cierto que la formulación final de la disposición ha sido modificada respecto del proyecto originario y no se explicita que la elaboración del inventario lo sea “con la finalidad de proceder a la división y la reasignación de sus activos y pasivos, en caso de que el Reino de España ratificara la Convención de Viena de 1983, sobre sucesión de estados en materia de bienes, archivos y deudas del Estado”, lo que sería claramente inconstitucional. Esto no obstante, la indefinición del texto y el contexto en el que ha sido dictado plantean la fundada duda de que el inventario que se ordena hacer afecte tanto a los bienes de las entidades locales como a los del Estado, para lo que la Generalitat carece de competencias. En primer lugar, porque su redacción literal finalmente aprobada se extiende a la Administración General del Estado, que puede ser también considerada Administración pública de Cataluña. Lo mismo cabe decir del patrimonio de las entidades locales, aunque la Generalitat haya asumido su tutela financiera. No necesita mucha fundamentación explicar que la Comunidad Autónoma carece de competencia para inventariar los bienes del Estado, lo que atenta al artículo 149.1.14 CE. Además, el precepto está en contradicción con la Ley 33/2003, antes citada, de patrimonio de las Administraciones públicas, que tiene carácter básico conforme a su disposición final segunda, incurriendo en inconstitucionalidad con carácter mediato. El artículo 3 de esta Ley define el patrimonio de las Administraciones públicas y el inventario referido en la disposición adicional vigésima tercera, con notoria pretensión de globalidad, de “patrimonio, activos y pasivos” excede del contenido técnico de aquel precepto legal que, con alcance más limitado, excluye de manera expresa “los valores, créditos y demás recursos financieros de su hacienda, así como los recursos que constituyen su tesorería”, de modo que la elaboración del mismo no tendría amparo en la legislación patrimonial ni en las competencias de desarrollo de la normativa básica que la Comunidad Autónoma podría tener en esta materia. Ahora bien, la relevancia de esta disposición adicional vigésima tercera obedece a la circunstancia de que, al figurar la noción de “pasivos” de “las administraciones públicas de Cataluña” en un precepto que alude además a la valoración de activos y pasivos en un plazo de seis meses, no resulta posible interpretar la alusión a los activos como relativa o sinónima a bienes y derechos patrimoniales exclusivamente. Por tanto, estas actuaciones se extienden no sólo a la descripción del patrimonio de titularidad autonómica o local “perfeccionada”, sino también a los activos y pasivos en términos contables que, en virtud de cualquier concepto, se entienda deban corresponder a las mismas, al margen de la vigente normativa reguladora en materia contable y vinculadas estas actuaciones a la elaboración de un inventario y a su valoración. La verdadera finalidad de la disposición es una identificación y valoración de activos y pasivos de la Generalitat, entidades locales y Administración General del Estado en Cataluña ante un eventual proceso de independencia unilateral de Cataluña, citando la demanda a este respecto determinado pasaje del dictamen, antes referido, del Consejo de Garantías Estatutarias. Tras subrayar el plazo de seis meses en el que la Ley ordena se realice el inventario, se concluye en cuanto a este punto que han sido vulneradas </w:t>
      </w:r>
      <w:r>
        <w:lastRenderedPageBreak/>
        <w:t>las competencias estatales de los artículos 149.1.18 (bases del régimen jurídico de las Administraciones públicas) y 149.1.14 (Hacienda general y deuda del Estado), así como los artículos 1.2, 2, 9.1 y 168, todos ellos de la Constitución.</w:t>
      </w:r>
    </w:p>
    <w:p w:rsidR="00A90898" w:rsidRDefault="00A90898" w:rsidP="00A90898">
      <w:pPr>
        <w:pStyle w:val="TextoNormal"/>
      </w:pPr>
    </w:p>
    <w:p w:rsidR="00A90898" w:rsidRDefault="00A90898" w:rsidP="00A90898">
      <w:pPr>
        <w:pStyle w:val="TextoNormal"/>
      </w:pPr>
      <w:r>
        <w:t xml:space="preserve">f) Se examina, a continuación, la disposición adicional vigésima cuarta, relativa a catálogo de infraestructuras estratégicas, previsión que debe también relacionarse con distintos contenidos del “Libro Blanco para la Transición Nacional”, con el denominado plan de infraestructuras estratégicas, décimo de los aprobados por el Consejo de Gobierno de la Generalitat el 17 de febrero de 2015, así como con la exposición de su contenido realizada por el Presidente de la Generalitat en su comparecencia del mismo día. Tras reproducir pasajes de aquel plan y de la comparecencia ulterior del Presidente de la Generalitat, observa el Abogado del Estado que en lo así previsto no se excluyen los aeropuertos y puertos de interés general o las telecomunicaciones y todo ello para garantizar la continuidad del servicio y el funcionamiento de las infraestructuras estratégicas de Cataluña caso de una desconexión legal con el Estado, lo que se entiende resulta inconstitucional. Tratándose de infraestructuras estatales, la Comunidad Autónoma no puede elaborar tal plan. Señala el Presidente de la Generalitat, en tal sentido, que el plan no podrá ejecutarse hasta que la Generalitat no haya asumido dichas competencias y es claro, por tanto, que tales actuaciones no corresponden a las competencias de la Generalitat de Cataluña y que las facultades de planificación han de considerarse adjetivas a las competencias correspondientes que se tienen por no asumidas. Además, según ya se ha señalado, la condición prevista para la implementación de estas actuaciones planificadas es contraria al orden constitucional en los términos expuestos. Se refiere a este respecto la demanda al repetido dictamen del Consejo de Garantías Estatutarias, del que parcialmente discrepa el Abogado del Estado. Primero, porque no le corresponden a la Generalitat de Cataluña las competencias para realizar estas actuaciones ni siquiera desde la perspectiva de la protección civil, dado que al afectar al funcionamiento de todas y cada una de las infraestructuras estratégicas de competencia estatal de forma simultánea exceden manifiestamente del interés autonómico. Esas actuaciones han de adoptarse al amparo de la competencia sectorial correspondiente e incluso en los aspectos de las mismas que se vinculan a la seguridad pública de forma prevalente resultarían competencia del Estado por exceder de manera manifiesta de las facultades relativas a la actuación de cada uno de los cuerpos de las fuerzas de seguridad en sus ámbitos competenciales propios (que en el caso de los de competencia autonómica y local tampoco podrían extenderse al conjunto de dichas infraestructuras), como se desprende del bloque de la constitucionalidad y de la jurisprudencia constitucional aludida en el propio dictamen al que se viene haciendo referencia. La Ley estatal 8/2011, de 28 de abril, por la que se establecen medidas para la protección de las infraestructuras críticas, las define de forma análoga a como lo hace la Directiva 2008/114/CE del Consejo, de 8 de diciembre de 2008; el artículo 4 de esta Ley 8/2011 prevé el catálogo nacional de infraestructuras estratégicas del que será responsable el Ministerio del Interior a través de la Secretaría de Estado de Seguridad y su apartado segundo dispone que la competencia para clasificar una estructura como estratégica y, en su caso, como infraestructura crítica o infraestructura crítica europea, así como para incluirla en el catálogo nacional de infraestructuras estratégicas corresponderá al Ministerio del Interior a través de la misma Secretaría de Estado, incluidas las propuestas, en su caso, del órgano competente de las Comunidades Autónomas y ciudades con Estatuto de Autonomía que ostenten competencias estatutariamente reconocidas para la protección de personas y bienes y para el mantenimiento del orden público en relación con las infraestructuras ubicadas en su demarcación territorial. Ello quiere decir que constituye competencia estatal la </w:t>
      </w:r>
      <w:r>
        <w:lastRenderedPageBreak/>
        <w:t>elaboración del catálogo, que una Comunidad Autónoma no puede elaborar de manera unilateral y que el precepto mencionado prevé la colaboración de las Comunidades Autónomas. Es más, el artículo 10 de la misma Ley 8/2011 sí que prevé, a diferencia de la disposición impugnada, la colaboración de las Comunidades Autónomas y ciudades con Estatuto de Autonomía que ostenten competencias para la protección de personas y bienes y para el mantenimiento del orden público, que podrán desarrollar sobre las infraestructuras ubicadas en su demarcación territorial las facultades que reglamentariamente se determinen respecto a su protección, sin perjuicio de los mecanismo de coordinación que se establezcan. En todo caso, dichas Comunidades Autónomas participarán en el proceso de declaración de una zona como crítica, en la aprobación del plan de apoyo operativo que corresponda y en las reuniones del grupo de trabajo interdepartamental, siendo miembros, asimismo, de la comisión para la protección de las infraestructuras críticas. Transcribe la demanda, a continuación, los artículos 3 y 4 del Reglamento de esta Ley, aprobado por Real Decreto 704/2011, de 20 de mayo, así como artículo 14 de la propia Ley 8/2011, tras de lo cual señala que el Estado, en ejercicio de su competencia exclusiva sobre seguridad pública (art. 149.1.29 CE), y como sub materia protección civil, ha previsto tanto un catálogo de infraestructuras estratégicas como un plan para su protección, instrumentos ambos en los que se da cabida a la participación de las Comunidades Autónomas, especialmente, como es el caso de Cataluña, a las que disponen de competencias sobre seguridad. Por ello no puede sino reputarse como inconstitucional que el legislador catalán haya previsto un plan de infraestructuras estratégicas con la finalidad de garantizar la continuidad del servicio y el funcionamiento de las infraestructuras estratégicas de Cataluña, de modo absolutamente unilateral, sin coordinación alguna con el Estado y sin establecer ningún mecanismo de colaboración. La Ley 8/2011, conforme a su disposición final primera, se dicta al amparo de la competencia del Estado ex art. 149.1.29 CE en materia de seguridad pública, y la disposición final segunda prevé que lo dispuesto en dicha Ley se entienda sin perjuicio de lo que establezca la normativa autonómica en materia de protección civil, de acuerdo con las competencias correspondientes a cada territorio en virtud de lo dispuesto en los correspondientes Estatutos de Autonomía. Es claro que la materia en la que se encuadra esta regulación se inserta en el título competencial de seguridad pública, caracterizado por la doctrina constitucional como competencia exclusiva del Estado (STC 86/2014, de 29 de mayo). Por su parte, el artículo 164 EAC señala la competencia sobre “seguridad pública” y reconoce a la Generalitat, de acuerdo con lo dispuesto en la legislación estatal, la planificación y regulación del sistema de seguridad pública de Cataluña y la ordenación de las policías locales. Desde la perspectiva de la competencia sobre protección civil, cita la demanda la doctrina establecida en la STC 155/2013, de 10 de septiembre, y añade que, en cuanto a las competencias autonómicas en este ámbito, se ha de estar al artículo 132.1 EAC, que atribuye a la Generalitat competencias exclusivas en materia de protección civil, respetando lo establecido por el Estado en el ejercicio de sus competencias en materia de seguridad pública, y recuerda al respecto la doctrina establecida en la STC 31/2010, de 28 de junio (FJ 78).</w:t>
      </w:r>
    </w:p>
    <w:p w:rsidR="00A90898" w:rsidRDefault="00A90898" w:rsidP="00A90898">
      <w:pPr>
        <w:pStyle w:val="TextoNormal"/>
      </w:pPr>
    </w:p>
    <w:p w:rsidR="00A90898" w:rsidRDefault="00A90898" w:rsidP="00A90898">
      <w:pPr>
        <w:pStyle w:val="TextoNormal"/>
      </w:pPr>
      <w:r>
        <w:t xml:space="preserve">Así pues, tanto de las previsiones constitucionales y estatutarias como de la doctrina constitucional en la materia se deriva que, en materia de protección civil, por su propia naturaleza, y dado que su finalidad estriba en la preservación de personas y bienes en situaciones de emergencia, se produce una situación de encuentro o concurrencia de las competencias de las diferentes instancias territoriales (SSTC 123/1984, de 18 de diciembre, FJ 4, 133/1990, de 19 de julio, FJ 6, 118/1996, de 27 de junio, FJ 20, y 118/1998, de 4 de junio, FJ 13), lo que obliga a cohonestar las competencias estales en materia de seguridad pública </w:t>
      </w:r>
      <w:r>
        <w:lastRenderedPageBreak/>
        <w:t>con las autonómicas relacionadas con la protección civil. Se cita al respecto la STC 155/2013.</w:t>
      </w:r>
    </w:p>
    <w:p w:rsidR="00A90898" w:rsidRDefault="00A90898" w:rsidP="00A90898">
      <w:pPr>
        <w:pStyle w:val="TextoNormal"/>
      </w:pPr>
    </w:p>
    <w:p w:rsidR="00A90898" w:rsidRDefault="00A90898" w:rsidP="00A90898">
      <w:pPr>
        <w:pStyle w:val="TextoNormal"/>
      </w:pPr>
      <w:r>
        <w:t>A todo lo alegado se uniría que la elaboración de un plan en materia tan sensible como la de infraestructuras estratégicas —cuyo catálogo tiene la configuración formal de secreto— entorpece y menoscaba, desde el punto de vista competencial y material, las competencias del Estado tal y como están reguladas en la Ley 8/2011 y el Reglamento dictado en su desarrollo, en la medida que supone una actuación coincidente sobre la misma materia e incompatible con la del Estado. Es un caso claro en el que el ejercicio inconstitucional de competencias por la Comunidad Autónoma afecta, dificultando cuando menos, el ejercicio de una competencia exclusiva del Estado. Finalmente, en los términos expuestos por el Presidente de la Generalitat, la finalidad que se pretende es garantizar, “para el caso de que llegue una desconexión legal con el Estado”, hasta el último milímetro cómo se ha de garantizar el funcionamiento de todas estas estructuras estratégicas. Se vulneran así las competencias sectoriales aplicables a cada una de las infraestructuras de competencia estatal en Cataluña, además de las reservadas en materia de seguridad pública al Estado por el art. 149.1.129 CE. También resultan vulnerados los artículos 1.2, 2, 9.1 y 168 CE.</w:t>
      </w:r>
    </w:p>
    <w:p w:rsidR="00A90898" w:rsidRDefault="00A90898" w:rsidP="00A90898">
      <w:pPr>
        <w:pStyle w:val="TextoNormal"/>
      </w:pPr>
    </w:p>
    <w:p w:rsidR="00A90898" w:rsidRDefault="00A90898" w:rsidP="00A90898">
      <w:pPr>
        <w:pStyle w:val="TextoNormal"/>
      </w:pPr>
      <w:r>
        <w:t>g) Ya en cuanto a la disposición adicional vigésima quinta, relativa a la creación de la Agencia Catalana de Protección Social, se observa que se pretende aprobar un plan director con la previsión de incorporar competencias que ejerce la Administración del Estado. La literalidad del precepto determina su inconstitucionalidad.</w:t>
      </w:r>
    </w:p>
    <w:p w:rsidR="00A90898" w:rsidRDefault="00A90898" w:rsidP="00A90898">
      <w:pPr>
        <w:pStyle w:val="TextoNormal"/>
      </w:pPr>
    </w:p>
    <w:p w:rsidR="00A90898" w:rsidRDefault="00A90898" w:rsidP="00A90898">
      <w:pPr>
        <w:pStyle w:val="TextoNormal"/>
      </w:pPr>
      <w:r>
        <w:t>Según el informe número 15 del Consejo Asesor para la Transición Nacional titulado “la seguridad social catalana” y que se incorpora como anexo, un Estado catalán debería disponer desde el primer momento de su creación de un sistema de seguridad social capaz de realizar, de acuerdo con los estándares internacionales y europeos, las funciones propias de esta institución básica del Estado del bienestar. Cita también la demanda el repetido acuerdo de 17 de febrero de 2015, que, incorporado como anexo, serviría como criterio de interpretación de la Ley.</w:t>
      </w:r>
    </w:p>
    <w:p w:rsidR="00A90898" w:rsidRDefault="00A90898" w:rsidP="00A90898">
      <w:pPr>
        <w:pStyle w:val="TextoNormal"/>
      </w:pPr>
    </w:p>
    <w:p w:rsidR="00A90898" w:rsidRDefault="00A90898" w:rsidP="00A90898">
      <w:pPr>
        <w:pStyle w:val="TextoNormal"/>
      </w:pPr>
      <w:r>
        <w:t>Cuando la disposición controvertida establece que “la estructura de la Agencia debe prever una eventual asunción de las competencias que en el momento de entrada en vigor de esta ley ejerce la Administración del Estado”, o cuando, respecto del plan director de la protección social, prevé que sea “un instrumento de planificación estratégica del futuro modelo de gestión de las prestaciones sociales en Cataluña”, está implícitamente refiriéndose también a las competencias sobre Seguridad Social que ejerce la Administración del Estado, así como a las prestaciones de la Seguridad Social, ya que se refiere a las prestaciones sociales en Cataluña y entre éstas están las de la Seguridad Social. Del acuerdo adoptado por el Gobierno el 17 de febrero de 2015 se comprueba inequívocamente que esta es la finalidad. Además, se encomienda esta misión a los servicios administrativos de la Generalitat para que sea elaborada en cinco meses desde la entrada en vigor de la Ley.</w:t>
      </w:r>
    </w:p>
    <w:p w:rsidR="00A90898" w:rsidRDefault="00A90898" w:rsidP="00A90898">
      <w:pPr>
        <w:pStyle w:val="TextoNormal"/>
      </w:pPr>
    </w:p>
    <w:p w:rsidR="00A90898" w:rsidRDefault="00A90898" w:rsidP="00A90898">
      <w:pPr>
        <w:pStyle w:val="TextoNormal"/>
      </w:pPr>
      <w:r>
        <w:t xml:space="preserve">Así entendida, esta disposición adicional es contraria al orden constitucional de distribución de competencias en materia de Seguridad Social y asistencia social. Los títulos competenciales en juego son, por parte del Estado, los enunciados en los artículos 149.1.17 y 149.1.1 CE y, por parte de la Comunidad Autónoma de Cataluña, los artículos 165 y 166 EAC. El Tribunal Constitucional ha precisado que el régimen público de la Seguridad Social </w:t>
      </w:r>
      <w:r>
        <w:lastRenderedPageBreak/>
        <w:t>ha de ser único y unitario (STC 195/1996, FJ 6) y que su atribución como función exclusiva del Estado trata de garantizar la unidad del sistema de la Seguridad Social y no solo la unidad de su regulación jurídica, impidiendo diversas políticas territoriales de seguridad social en cada una de las Comunidades Autónomas (STC 124/1989, FJ 3). Sobre la base de la jurisprudencia constitucional (STC 239/2002), son de delimitar tres zonas donde se despliega la actividad prestacional en cumplimiento del mandato del artículo 41 CE: la zona prestacional de la Seguridad Social de carácter contributivo, que es de competencia estatal para mantener el régimen unitario en los términos expuestos; la zona prestacional asistencial “externa” al sistema de la Seguridad Social, que es de competencia exclusiva de las Comunidades Autónomas y, en fin, la zona prestacional asistencial “interna” del sistema de la Seguridad Social, en la que confluyen tanto la actividad prestacional del sistema de la Seguridad Social como la de las Comunidades Autónomas por constituir lo que el Tribunal califica de “franja común”. Es en esta última donde puede confluir la actividad prestacional autonómica con la del sistema de la Seguridad Social. En definitiva, es una exigencia del Estado social de Derecho (art. 1 CE) que quienes no tengan cubiertas sus necesidades mínimas por la modalidad no contributiva del sistema de la Seguridad Social puedan acceder a otros beneficios o ayudas de carácter o naturaleza diferente, habida cuenta de que esta zona asistencial interna al sistema coincide con el título competencial del artículo 148.1.20 CE. Ahora bien, conforme a lo dicho en la STC 239/2002 (FJ 7), tal posibilidad de actuación por las Comunidades Autónomas referida a esa zona asistencial exige que la Comunidad Autónoma aprecie una situación real de necesidad en la población beneficiaria de las ayudas asistenciales de la Seguridad Social y además encuentra su límite en que no interfiera ni en el régimen jurídico básico de la Seguridad Social ni en su régimen económico (art. 149.1.17 CE).</w:t>
      </w:r>
    </w:p>
    <w:p w:rsidR="00A90898" w:rsidRDefault="00A90898" w:rsidP="00A90898">
      <w:pPr>
        <w:pStyle w:val="TextoNormal"/>
      </w:pPr>
    </w:p>
    <w:p w:rsidR="00A90898" w:rsidRDefault="00A90898" w:rsidP="00A90898">
      <w:pPr>
        <w:pStyle w:val="TextoNormal"/>
      </w:pPr>
      <w:r>
        <w:t>Finalmente, el Presidente de la Generalitat señaló en su comparecencia de 17 de febrero de 2015 que, entre otros proyectos, se pondrá también el acento en un plan y diseño de la Administración de la seguridad social catalana que es complicado de implementar por un problema de orden competencial, pero todo lo que sea definir el modelo de seguridad social catalana lo haremos en los próximos meses.</w:t>
      </w:r>
    </w:p>
    <w:p w:rsidR="00A90898" w:rsidRDefault="00A90898" w:rsidP="00A90898">
      <w:pPr>
        <w:pStyle w:val="TextoNormal"/>
      </w:pPr>
    </w:p>
    <w:p w:rsidR="00A90898" w:rsidRDefault="00A90898" w:rsidP="00A90898">
      <w:pPr>
        <w:pStyle w:val="TextoNormal"/>
      </w:pPr>
      <w:r>
        <w:t>Estas previsiones son inconstitucionales por vulnerar las competencias estatales del artículo 149.1.17 CE, además de los artículos 1.2, 2, 9.1 y 168 de la misma norma fundamental.</w:t>
      </w:r>
    </w:p>
    <w:p w:rsidR="00A90898" w:rsidRDefault="00A90898" w:rsidP="00A90898">
      <w:pPr>
        <w:pStyle w:val="TextoNormal"/>
      </w:pPr>
      <w:r>
        <w:t xml:space="preserve"> </w:t>
      </w:r>
    </w:p>
    <w:p w:rsidR="00A90898" w:rsidRDefault="00A90898" w:rsidP="00A90898">
      <w:pPr>
        <w:pStyle w:val="TextoNormal"/>
      </w:pPr>
      <w:r>
        <w:t xml:space="preserve">h) Se examina, a continuación, la disposición adicional vigésima sexta, sobre el plan director relativo a los sectores de la energía, telecomunicaciones, sistemas de información y transporte ferroviario. Tras transcribir el precepto, se dice en la demanda que el mismo se ha de poner en relación con el “Libro Blanco de la Transición de Cataluña”, así como con el dictamen del Consejo de Garantías Estatutarias, ya aludido, con ocasión de la tramitación de la Ley 3/2015, que en este particular se transcribe en la demanda. Se advierte, a continuación, que aunque en la versión definitiva de la disposición impugnada se omite la atribución a la Autoridad Catalana de la Competencia de funciones reguladoras, esta omisión no otorga validez constitucional al texto impugnado, pues es evidente que ninguna regulación corresponde constitucionalmente a la Generalitat en materia de telecomunicaciones, energía, o transportes en los términos unilaterales y omnicomprensivos con que está formulado el precepto, ni para establecer un “modelo de políticas de competencia y de regulación de los sectores de la energía, de las telecomunicaciones y los sistemas de información y el </w:t>
      </w:r>
      <w:r>
        <w:lastRenderedPageBreak/>
        <w:t>transporte ferroviario, así como de un marco normativo que se inspire en las determinaciones de la Unión Europea”. Tras citar un pasaje de la STC 108/2014, de 26 de junio (FJ 6), se concluyó señalando que se vulneran las competencias estatales en cada uno de los sectores aludidos, además de las reservadas al Estado por el artículo 149.1.13 CE. Igualmente resultan vulnerados los artículos 1.2, 2, 9.1 y 168 de la misma norma fundamental.</w:t>
      </w:r>
    </w:p>
    <w:p w:rsidR="00A90898" w:rsidRDefault="00A90898" w:rsidP="00A90898">
      <w:pPr>
        <w:pStyle w:val="TextoNormal"/>
      </w:pPr>
    </w:p>
    <w:p w:rsidR="00A90898" w:rsidRDefault="00A90898" w:rsidP="00A90898">
      <w:pPr>
        <w:pStyle w:val="TextoNormal"/>
      </w:pPr>
      <w:r>
        <w:t>i) Se fundamenta, a continuación, la inconstitucionalidad del artículo 69 de la Ley, precepto que modifica el artículo 4 de la Ley 15/2001, de 14 de noviembre, del servicio meteorológico de Cataluña, añadiendo a la lista de funciones del citado servicio la de “prestar servicios de abastecimiento de información meteorológica de apoyo a la navegación aérea”. Este apartado atribuye a la Generalitat el ejercicio de una competencia que no le corresponde, pues el artículo 149.1.20 CE otorga en exclusiva al Estado el control del espacio aéreo, tránsito y transporte aéreo, servicio meteorológico y matriculación de aeronaves, competencia que tampoco ha asumido la Generalitat, pues el artículo 144.5 EAC establece que corresponde a la misma el establecimiento de un servicio meteorológico propio, el suministro de información meteorológica y climática, incluyendo el pronóstico, el control y el seguimiento de las situaciones meteorológicas de riesgo, así como la investigación en estos ámbitos y la elaboración de la cartografía climática. Al vincularse la competencia del modificado artículo 4 de la Ley 15/2001 directamente con la de control de la navegación aérea, incide en extralimitación, pues esta competencia se halla atribuida en exclusiva al Estado ex artículo 149.1.20 CE. No puede haber dos competencias concurrentes sobre control meteorológico coincidentes o superpuestas en el mismo espacio aéreo, pues las Comunidades Autónomas, como administraciones territoriales que son, carecen de competencias más allá de su propio ámbito territorial. Esta competencia del Estado se desdobla en dos aspectos íntimamente relacionados: el propio de la competencia para la regulación del servicio meteorológico general de ámbito estatal y, por otra parte, la relación con la competencia estatal de carácter exclusivo para el control de la navegación aérea. La competencia de la Generalitat, conforme al artículo 144.5 EAC, para establecer un sistema meteorológico pleno restringido al territorio de la Comunidad Autónoma no afecta a las competencias del Estado, ni las limita, para disponer de un sistema meteorológico en todo el territorio ni para poder tomar las medidas normativas o aplicativas necesarias, incluso si acude en apoyo físico en el territorio de la Comunidad Autónoma. Se cita al respecto la STC 31/2010.</w:t>
      </w:r>
    </w:p>
    <w:p w:rsidR="00A90898" w:rsidRDefault="00A90898" w:rsidP="00A90898">
      <w:pPr>
        <w:pStyle w:val="TextoNormal"/>
      </w:pPr>
    </w:p>
    <w:p w:rsidR="00A90898" w:rsidRDefault="00A90898" w:rsidP="00A90898">
      <w:pPr>
        <w:pStyle w:val="TextoNormal"/>
      </w:pPr>
      <w:r>
        <w:t>En ejercicio de la competencia exclusiva del Estado se dictó en su momento la vigente Ley 21/2003, de 7 de julio, de seguridad aérea, cuyo artículo 7 a) atribuye al Ministerio de Medio Ambiente las competencias del Estado relativas al ejercicio de la autoridad meteorológica aeronáutica en el territorio nacional, a través de la Dirección General del Instituto Nacional de Meteorología. Posteriormente, la normativa reglamentaria de desarrollo atribuye las competencias de suministro de información de apoyo a la navegación aérea a la Agencia Estatal de Meteorología (Real Decreto 186/2008, de 8 de febrero). El suministro de tal información está en la más estrecha conexión con la seguridad en el transporte y la navegación aéreos, materia de competencia estatal (art. 149.1.20 CE).</w:t>
      </w:r>
    </w:p>
    <w:p w:rsidR="00A90898" w:rsidRDefault="00A90898" w:rsidP="00A90898">
      <w:pPr>
        <w:pStyle w:val="TextoNormal"/>
      </w:pPr>
    </w:p>
    <w:p w:rsidR="00A90898" w:rsidRDefault="00A90898" w:rsidP="00A90898">
      <w:pPr>
        <w:pStyle w:val="TextoNormal"/>
      </w:pPr>
      <w:r>
        <w:t xml:space="preserve">Se señala, asimismo, que de acuerdo con el Reglamento (CE) 550/2004, de 10 de marzo, de prestación de servicios de navegación aérea en el cielo único europeo, los Estados miembros podrán designar un proveedor de servicios meteorológicos en exclusividad en todo o en parte de su espacio aéreo (art. 9) y que la prestación de todos los servicios de navegación aérea en la Comunidad (incluidos los meteorológicos) estará sujeta a la certificación del </w:t>
      </w:r>
      <w:r>
        <w:lastRenderedPageBreak/>
        <w:t>proveedor por los Estados miembros, certificación que correspondería expedir —si fuese el caso— a la Agencia Estatal de Seguridad Aérea (art. 7).</w:t>
      </w:r>
    </w:p>
    <w:p w:rsidR="00A90898" w:rsidRDefault="00A90898" w:rsidP="00A90898">
      <w:pPr>
        <w:pStyle w:val="TextoNormal"/>
      </w:pPr>
    </w:p>
    <w:p w:rsidR="00A90898" w:rsidRDefault="00A90898" w:rsidP="00A90898">
      <w:pPr>
        <w:pStyle w:val="TextoNormal"/>
      </w:pPr>
      <w:r>
        <w:t>Es doctrina constitucional pacífica (SSTC 124/2013, de 23 de mayo, y 161/2014, de 7 de octubre) que la competencia específica en relación con la navegación aérea de ámbito territorial, nacional e internacional se halla reconocida de modo exclusivo al Estado. Tras citar determinados pasajes de la segunda sentencia constitucional mencionada, señala la demanda que no cabe una hipotética “interpretación conforme” del precepto impugnado en su conjunto, pues sería sólo la meteorología, como ámbito separado, la que podría ser competencia compartida, si bien no concurrente, en la medida en que, como dice la STC 31/2010, el criterio determinante de la atribución de la titularidad y ejercicio de la competencia es que la actuación o ámbito sectorial sobre el que se ejercite o trate de regularse exceda o no, en cada caso, del territorio de la Comunidad Autónoma. Pero, en todo caso, la navegación aérea propiamente dicha, y todo aquello que afecta a su control y seguridad, es competencia exclusiva del Estado, no compartida, y por consiguiente, si se presenta el caso de tener que ejercitarse la competencia en relación con la navegación aérea, el ejercicio de la misma es sólo atribución propia de la autoridad estatal competente, sin intervención autonómica.</w:t>
      </w:r>
    </w:p>
    <w:p w:rsidR="00A90898" w:rsidRDefault="00A90898" w:rsidP="00A90898">
      <w:pPr>
        <w:pStyle w:val="TextoNormal"/>
      </w:pPr>
    </w:p>
    <w:p w:rsidR="00A90898" w:rsidRDefault="00A90898" w:rsidP="00A90898">
      <w:pPr>
        <w:pStyle w:val="TextoNormal"/>
      </w:pPr>
      <w:r>
        <w:t>En conclusión, se estima que el artículo 69 de la Ley 3/2015, que modifica el artículo 4 de la Ley 15/2001, es inconstitucional en su nuevo apartado k bis) —“prestar servicios de abastecimiento e información meteorológica de apoyo a la navegación aérea”—, por afectar al título competencial del artículo 149.1.20 CE e invadir competencias exclusivas del Estado en materia de navegación aérea.</w:t>
      </w:r>
    </w:p>
    <w:p w:rsidR="00A90898" w:rsidRDefault="00A90898" w:rsidP="00A90898">
      <w:pPr>
        <w:pStyle w:val="TextoNormal"/>
      </w:pPr>
    </w:p>
    <w:p w:rsidR="00A90898" w:rsidRDefault="00A90898" w:rsidP="00A90898">
      <w:pPr>
        <w:pStyle w:val="TextoNormal"/>
      </w:pPr>
      <w:r>
        <w:t xml:space="preserve">j) Se argumenta, acto seguido, la inconstitucionalidad del artículo 95 de la Ley 3/2015, que añade una disposición adicional, duodécima, al Decreto-ley 1/2009, de 22 de diciembre, de ordenación de los equipamientos comerciales (incurriéndose además, se observa, en un error en la numeración, puesto que ya existe una disposición adicional duodécima). La inconstitucionalidad radica en que se establecen restricciones injustificadas a la libertad de establecimiento, ya que se impide el establecerse en una zona concreta a un determinado formato de establecimiento comercial frente a otros a los que sí se les está permitido. Los grandes establecimientos comerciales ven imposibilitado ejercer su actividad en esas zonas, sin que dicha restricción se motive de ninguna manera ni se justifique por razones imperiosas de interés general. Por ello, el precepto es contrario a la legislación básica estatal y, en concreto, a los artículos 5 y 10 de la Ley 17/2009, de 23 de noviembre, de libre acceso a las actividades de servicios y su ejercicio; al artículo 6 de la Ley 7/1996, de 15 de enero, de ordenación del comercio minorista y a los artículos 3 y 5 de la Ley 20/2013, de 9 de diciembre, de garantía de la unidad de mercado. La modificación que se impugna reproduce la discusión competencial ya planteada respecto de la instalación de grandes establecimientos fuera de la trama urbana consolidada en Cataluña, discusión cuyos antecedentes se exponen para —se dice— poner de manifiesto la reiteración y contumacia en la infracción en la que se vuelve a incidir. Se citan al respecto el artículo 4.1 de la Ley 18/2005, de 27 de diciembre, de equipamientos comerciales; la Sentencia del Tribunal de Justicia de la Unión Europea de 24 de marzo de 2011, en el asunto C-400/08; el Decreto-ley 1/2009, de 22 de diciembre, de ordenación de equipamientos comerciales de Cataluña; la Ley 9/2011, de 29 de diciembre, de promoción de la actividad económica de Cataluña y, en fin, la STC 193/2013, de 21 de noviembre, que declaró inconstitucionales los apartados 3 y 4 del artículo 9 del Decreto-ley 1/2009 en la redacción dada a los mismos por el artículo 114 de la Ley 9/2011. Tras citar </w:t>
      </w:r>
      <w:r>
        <w:lastRenderedPageBreak/>
        <w:t>pasajes de la referida Sentencia constitucional y luego de invocar, asimismo, la Directiva 2006/123/CE, de 12 de diciembre, relativa a los servicios de mercado interior, la Ley 17/2009, de 23 de noviembre, sobre libre acceso a las actividades de servicio y su ejercicio, por la que aquélla se traspuso, y la Ley 1/2010, de 1 de marzo, que dio nueva redacción a algunos preceptos de la Ley 7/1996, de 5 de enero, de ordenación del comercio minorista, se concluye observando que el Tribunal Constitucional entiende que las normas autonómicas de desarrollo de la legislación básica estatal no pueden imponer restricciones a la ubicación de establecimientos comerciales conectados con su tamaño o con la población del municipio, pues ello supone excepcionar la regla general de libertad de acceso a una actividad de servicio como es la distribución comercial por motivos económicos que quedan prohibidos por la legislación básica de contraste. Las únicas excepciones que caben a esta regla general son las que atiendan a razones urbanísticas, de ordenación territorial y de protección ambiental, siempre que estén debidamente justificadas y motivadas en la parte expositiva de las normas.</w:t>
      </w:r>
    </w:p>
    <w:p w:rsidR="00A90898" w:rsidRDefault="00A90898" w:rsidP="00A90898">
      <w:pPr>
        <w:pStyle w:val="TextoNormal"/>
      </w:pPr>
    </w:p>
    <w:p w:rsidR="00A90898" w:rsidRDefault="00A90898" w:rsidP="00A90898">
      <w:pPr>
        <w:pStyle w:val="TextoNormal"/>
      </w:pPr>
      <w:r>
        <w:t>Se añade que la Ley 2/2014, de 27 de enero, de medidas fiscales, administrativas, financieras y del sector público de Cataluña, vino a modificar, a la vista de la STC 193/2013, el régimen jurídico de los equipamientos comerciales en Cataluña, al aprobar una disposición adicional vigésima séptima del Decreto-ley 1/2009, previsión legal que parecía recoger un pronunciamiento del Tribunal Constitucional. Sin embargo, la misma Ley 2/2014 aprobó, a la vez, una disposición transitoria octava que venía a mantener la prohibición de establecimiento de grandes superficies comerciales fuera de la trama urbana de los municipios, sin mayor consideración a otros posibles requisitos. El efecto que produjo esta disposición transitoria octava fue, por tanto, la imposibilidad de instalación de establecimientos comerciales medianos y grandes fuera de la trama urbana consolidada de municipios de menos de 5.000 habitantes o asimilables o que sean capital de comarca y la imposibilidad de instalación de grandes establecimientos comerciales fuera de la trama urbana consolidada de municipios de más de 50.000 habitantes o asimilables o que sean capital de comarca en ningún caso, lo que reforzaba la prohibición basada en criterios de población y económico, contraria a la legislación básica. Por tanto, al establecer esa disposición transitoria octava una “suspensión” legislativa de la inconstitucionalidad declarada por la STC 193/2013, seguía manteniendo la vulneración de la normativa básica al continuar supeditando el acceso y ejercicio de una actividad de servicios a restricciones cuantitativas y territoriales, sin justificación del concurso de razones imperiosas de interés general. En el momento actual, con la Ley 3/2015, se produce la enésima modificación legislativa de la materia, que no respeta tampoco la regulación contenida en la legislación básica estatal, pues vuelve a añadir una disposición adicional al Decreto-ley 1/2009 que sigue limitando la implantación de grandes establecimientos comerciales en las tramas urbanas consolidadas sin establecer las razones imperiosas de interés general que con arreglo a la normativa básica, que traspone la Directiva europea, habrían de justificar la prohibición.</w:t>
      </w:r>
    </w:p>
    <w:p w:rsidR="00A90898" w:rsidRDefault="00A90898" w:rsidP="00A90898">
      <w:pPr>
        <w:pStyle w:val="TextoNormal"/>
      </w:pPr>
    </w:p>
    <w:p w:rsidR="00A90898" w:rsidRDefault="00A90898" w:rsidP="00A90898">
      <w:pPr>
        <w:pStyle w:val="TextoNormal"/>
      </w:pPr>
      <w:r>
        <w:t xml:space="preserve">Por último, desde la perspectiva de la unidad de mercado, la Ley 20/2013, de 9 de diciembre, de garantía de la unidad de mercado, reconoce en su artículo 3.1 a todos los operadores económicos los mismos derechos en todo el territorio nacional y con respecto a todas las autoridades competentes sin discriminación alguna por razón del lugar de residencia o establecimiento, en tanto que el artículo 5.1 de la misma Ley dispone que las autoridades competentes que establezcan límites al acceso a una actividad económica o a su ejercicio motivarán su necesidad en la salvaguarda de alguna razón imperiosa de interés general </w:t>
      </w:r>
      <w:r>
        <w:lastRenderedPageBreak/>
        <w:t>de entre las comprendidas en el artículo 3.11 de la Ley 17/2009, de 23 de noviembre, sobre el libre acceso a las actividades de servicio y su ejercicio, precepto este que ya se dijo impide supeditar el ejercicio de una actividad económica de servicios a motivos de carácter territorial o de población, al contrario de lo que ocurre con la modificación introducida por el impugnado artículo 95, precepto que sigue la línea de las anteriores modificaciones legislativas de la Comunidad Autónoma de Cataluña, imponiendo restricciones injustificadas a la libertad de establecimiento, lo que resulta contrario a la distribución de competencias en los términos señalados por el Tribunal Constitucional.</w:t>
      </w:r>
    </w:p>
    <w:p w:rsidR="00A90898" w:rsidRDefault="00A90898" w:rsidP="00A90898">
      <w:pPr>
        <w:pStyle w:val="TextoNormal"/>
      </w:pPr>
    </w:p>
    <w:p w:rsidR="00A90898" w:rsidRDefault="00A90898" w:rsidP="00A90898">
      <w:pPr>
        <w:pStyle w:val="TextoNormal"/>
      </w:pPr>
      <w:r>
        <w:t>Se concluyó con la súplica de que se tuviera por interpuesto recurso de inconstitucionalidad contra los artículos 69 y 95 y contra las disposiciones adicionales vigésima segunda a vigésima sexta de la Ley de Cataluña 3/2015, de 11 de marzo, y que se dictara en su día sentencia en la que se declararan inconstitucionales y nulas las disposiciones impugnadas. En otrosí se pidió que, con arreglo a lo previsto en los artículos 161.2 CE y 30 LOTC, se declararan suspendidas la vigencia y aplicación de los preceptos impugnados desde la fecha de interposición del recurso.</w:t>
      </w:r>
    </w:p>
    <w:p w:rsidR="00A90898" w:rsidRDefault="00A90898" w:rsidP="00A90898">
      <w:pPr>
        <w:pStyle w:val="TextoNormal"/>
      </w:pPr>
    </w:p>
    <w:p w:rsidR="00A90898" w:rsidRDefault="00A90898" w:rsidP="00A90898">
      <w:pPr>
        <w:pStyle w:val="TextoNormal"/>
      </w:pPr>
      <w:r w:rsidRPr="00A90898">
        <w:rPr>
          <w:rStyle w:val="NumeroAFNegritaCaracter"/>
        </w:rPr>
        <w:t>2</w:t>
      </w:r>
      <w:r>
        <w:t>. Por providencia de 25 de junio de 2015, el Pleno del Tribunal, a propuesta de la Sección Segunda, acordó admitir a trámite el recurso de inconstitucionalidad promovido por el Presidente del Gobierno contra los artículos 69 y 95 y las disposiciones adicionales vigésima segunda a vigésima sexta de la Ley de Cataluña 3/2015, de 11 de marzo, de medidas fiscales, financieras y administrativas; dar traslado de la demanda y documentos presentados (art. 34 LOTC) al Congreso de los Diputados y al Senado, por conducto de sus Presidentes, así como a la Generalitat y al Parlamento de Cataluña, por conducto de sus Presidentes, para que en el plazo de 15 días pudieran personarse en el proceso y formular las alegaciones que estimaren convenientes; tener por invocado por el Presidente del Gobierno el artículo 161.2 CE, lo que, a su tenor y conforme dispone el artículo 30 LOTC, produce la suspensión de la vigencia y aplicación de los preceptos impugnados desde la fecha de interposición del recurso, 15 de junio de 2015, para las partes del proceso y desde el día en que aparezca publicada la suspensión en el “Boletín Oficial del Estado” para los terceros, comunicándose así a los Presidentes de la Generalitat y del Parlamento de Cataluña. Se acordó, por último, publicar la incoación del recurso en el “Boletín Oficial del Estado” y en el “Diari Oficial de la Generalitat de Cataluña”.</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en el Tribunal Constitucional el 9 de julio de 2015, el Presidente del Congreso de los Diputados comunicó el acuerdo de la Mesa de la Cámara en orden a que se diera por personado al Congreso en el procedimiento y por ofrecida su colaboración a los efectos del artículo 88.1 LOTC, remitiendo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registrado en el Tribunal Constitucional el 9 de julio de 2015, el Presidente del Senado comunicó el acuerdo de la Mesa de la Cámara en orden a que se diera por personado al Senado en el procedimiento y por ofrecida su colaboración a los efectos del artículo 88.1 LOTC.</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5</w:t>
      </w:r>
      <w:r>
        <w:t>. Mediante escrito registrado el 23 de julio de 2015, los Abogados de la Generalitat de Cataluña formularon, en representación de su Gobierno, alegaciones en oposición a la demanda. Pueden resumirse como sigue:</w:t>
      </w:r>
    </w:p>
    <w:p w:rsidR="00A90898" w:rsidRDefault="00A90898" w:rsidP="00A90898">
      <w:pPr>
        <w:pStyle w:val="TextoNormal"/>
      </w:pPr>
    </w:p>
    <w:p w:rsidR="00A90898" w:rsidRDefault="00A90898" w:rsidP="00A90898">
      <w:pPr>
        <w:pStyle w:val="TextoNormal"/>
      </w:pPr>
      <w:r>
        <w:t>a) Como consideración previa, y tras referirse, en síntesis, al objeto y a los motivos del recurso de inconstitucionalidad, se dice que la demanda ha invertido el orden con el que la Ley 3/2015 ordena sus preceptos, pues se relega a un segundo plano la impugnación de disposiciones legales con eficacia inmediata para terceros (artículos 69 y 95) y se anteponen, con clara intencionalidad política, la impugnación de las disposiciones adicionales vigésima segunda a vigésima sexta, en las que se contienen simples mandatos del Parlamento de Cataluña al Gobierno de la Generalitat, mandatos que no tienen eficacia jurídica alguna para terceros. Pero en este proceso de inconstitucionalidad no cabe juzgar la política, ni proyectos o ideas políticas, sino solo la ley, con arreglo a la Constitución. Por ello señala esta representación que se alegará, en primer lugar, sobre la constitucionalidad de los artículos 69 y 95, por su mayor relevancia y su eficacia inmediata en el ordenamiento, considerando después la constitucionalidad de las disposiciones adicionales impugnadas.</w:t>
      </w:r>
    </w:p>
    <w:p w:rsidR="00A90898" w:rsidRDefault="00A90898" w:rsidP="00A90898">
      <w:pPr>
        <w:pStyle w:val="TextoNormal"/>
      </w:pPr>
    </w:p>
    <w:p w:rsidR="00A90898" w:rsidRDefault="00A90898" w:rsidP="00A90898">
      <w:pPr>
        <w:pStyle w:val="TextoNormal"/>
      </w:pPr>
      <w:r>
        <w:t>b) Se afirma que el artículo 69 de la Ley 3/2015 no lesiona las competencias que el artículo 149.1.20 CE atribuye al Estado sobre el control del espacio aéreo y del servicio meteorológico. Tras resumir los argumentos de la demanda frente a este precepto, se observa que los mismos parten de una errónea interpretación de su alcance, ya que el mismo no atribuye al Servicio Meteorológico de Cataluña competencias sobre la navegación aérea o sobre el servicio meteorológico que el artículo 149.1.20 CE reserva al Estado, sino que, de forma mucho más modesta, contiene una habilitación al organismo autonómico para que pueda operar como prestador de servicios meteorológicos de apoyo a la navegación aérea en los términos establecidos en el Derecho comunitario y en el interno.</w:t>
      </w:r>
    </w:p>
    <w:p w:rsidR="00A90898" w:rsidRDefault="00A90898" w:rsidP="00A90898">
      <w:pPr>
        <w:pStyle w:val="TextoNormal"/>
      </w:pPr>
    </w:p>
    <w:p w:rsidR="00A90898" w:rsidRDefault="00A90898" w:rsidP="00A90898">
      <w:pPr>
        <w:pStyle w:val="TextoNormal"/>
      </w:pPr>
      <w:r>
        <w:t xml:space="preserve">Se pasa a considerar, expuesto lo anterior, el ámbito material de la navegación aérea y su marco normativo. Abarca dicha navegación un ámbito muy amplio de funciones y actividades, que pueden desdoblarse en dos. De una parte, la navegación aérea propiamente dicha, referida a las condiciones de navegabilidad de las aeronaves y a la idoneidad del personal de vuelo; y de otro lado, la circulación o tráfico aéreo, que incluye las operaciones y movimientos aéreos cuya ordenación y control resultan necesarios para garantizar que se lleven a cabo en condiciones de fluidez y de seguridad. Con ello no se agota todo lo necesario para la navegación aérea, que requiere también infraestructuras idóneas y servicios de protección del vuelo. Estos servicios de apoyo al vuelo están definidos en el artículo 2.4 del Reglamento (CE) 549/2004, del Parlamento europeo y del Consejo, de 10 de marzo (Reglamento marco para la creación del cielo único europeo) que incluyen en los mismos los “meteorológicos destinados a la navegación aérea”. La navegación y el tráfico aéreos no se rigen sólo por el ordenamiento jurídico nacional, pues su régimen jurídico está integrado también por el Derecho comunitario, que forma parte del ordenamiento español y cuyas disposiciones son aplicables frente a cualesquiera otras de orden interno en virtud del principio de primacía, del que deriva su efecto directo y la capacidad de las normas de la Unión Europea de desplazar a otras. En punto a la navegación aérea, el Derecho comunitario está conformado por un conjunto de Reglamentos aprobados todos el 10 de marzo de 2004 con la finalidad de crear un cielo único europeo. Tras referirse esta representación a dichos Reglamentos, observa que el modelo de cielo único europeo diseñado en ellos se caracteriza por la segregación de las funciones de regulación del tráfico aéreo, así como de las de supervisión de </w:t>
      </w:r>
      <w:r>
        <w:lastRenderedPageBreak/>
        <w:t>cumplimiento de la normativa europea y de la prestación de los servicios de navegación aérea, reservadas a las autoridades nacionales, de aquellas otras funciones de carácter operativo, referidas a la prestación de servicios para la navegación aérea, que pueden ser ejercidas por entidades públicas o privadas, de conformidad con el Reglamento de prestación de servicios. En concordancia con el Convenio de Chicago, de 1944, sobre aviación civil internacional, la reglamentación comunitaria parte de que corresponde a los Estados miembros el control sobre el respectivo espacio aéreo, la regulación de ese tráfico y la gestión de los servicios de tránsito aéreo, en los términos del artículo 2.11 del Reglamento marco para la creación del cielo único europeo. Por otra parte, el artículo 4 del Reglamento europeo encomienda las funciones de verificación del cumplimiento de las medidas que adopten los Estados miembros a unos órganos de supervisión independientes de los proveedores de servicios de navegación aérea.</w:t>
      </w:r>
    </w:p>
    <w:p w:rsidR="00A90898" w:rsidRDefault="00A90898" w:rsidP="00A90898">
      <w:pPr>
        <w:pStyle w:val="TextoNormal"/>
      </w:pPr>
    </w:p>
    <w:p w:rsidR="00A90898" w:rsidRDefault="00A90898" w:rsidP="00A90898">
      <w:pPr>
        <w:pStyle w:val="TextoNormal"/>
      </w:pPr>
      <w:r>
        <w:t xml:space="preserve">En cambio, la prestación de servicios de navegación aérea, entre los que se encuentran los meteorológicos, está abierta a cualquier entidad pública o privada (art. 2.5 del Reglamento marco para la creación del cielo único europeo, considerando 6 y artículos 7 y 18 bis del Reglamento de prestación de servicios y art. 2.15 del Reglamento de ejecución 1035/2011). Estos servicios meteorológicos comprenden, según el artículo 2.29 del Reglamento marco para la creación del cielo único europeo, “las instalaciones y servicios que proporcionan a las aeronaves pronósticos, informes y observaciones meteorológicos, así como cualquier otra información y datos meteorológicos facilitados por los Estados para el uso aeronáutico”. El artículo 6 del Reglamento de prestación de servicios determina los requisitos comunes para la prestación de servicios de navegación aérea y su artículo 7 establece un sistema común de certificación para definir los derechos y obligaciones de los proveedores de tales servicios. Dicha certificación o autorización sólo puede sujetarse a condiciones justificadas objetivamente y ser no discriminatorias, proporcionadas, transparentes y compatibles con las normas internacionales pertinentes (considerando 12 y art. 7.6 y 8 del Reglamento de prestación de servicios) y debiendo organizarse los referidos servicios con arreglo a condiciones de mercado. Ello en el bien entendido de que la obtención de la certificación es condición necesaria, pero no suficiente, para prestar los servicios meteorológicos de apoyo a la navegación aérea, ya que es precisa también su designación, según resulta del artículo 9 del Reglamento de prestación de servicios, que reserva a los Estados miembros la designación de un proveedor de servicios meteorológicos para suministrar la totalidad o parte de los datos meteorológicos en régimen de exclusividad en todo o en parte del espacio aéreo de su responsabilidad. La adaptación del Derecho interno al nuevo modelo liberalizado se ha realizado a través del Real Decreto 931/2010, de 23 de julio, por el que se regula el procedimiento de certificación de proveedores civiles de servicios de navegación aérea y por la Orden del Ministerio de Medio Ambiente MAM/1792/2006, de 5 de junio, por la que se regula el procedimiento de certificación de proveedores de servicios meteorológicos de apoyo a la navegación aérea. La citada Orden permite a cualquier organización con actividad principal o sede en territorio español presentar una solicitud de certificación para operar como proveedor de servicios meteorológicos de apoyo a la navegación aérea (arts. 1 y 2). El artículo 1.3 del Real Decreto 186/2008, de 8 de febrero, por el que se aprueba el Estatuto de la Agencia Estatal de Meteorología incluye en sus atribuciones el desarrollo, implantación y prestación de los servicios meteorológicos de competencia del Estado y su artículo 8.b) le faculta para la provisión de servicios meteorológicos de apoyo a la navegación aérea, atribución de funciones que no puede interpretarse, según parece </w:t>
      </w:r>
      <w:r>
        <w:lastRenderedPageBreak/>
        <w:t>postular la demanda, como una asignación a dicho organismo estatal de la competencia exclusiva para prestar los servicios meteorológicos de apoyo a la navegación aérea, sino como una mera habilitación para que pueda ejercer tal actividad, análoga a la que, en virtud del impugnado artículo 69, se otorga al Servicio Meteorológico de Cataluña, previa la obtención de la correspondiente certificación de la Secretaría de Estado de Medio Ambiente, certificación que a la Agencia Estatal de Meteorología le fue concedida el 21 de diciembre de 2006.</w:t>
      </w:r>
    </w:p>
    <w:p w:rsidR="00A90898" w:rsidRDefault="00A90898" w:rsidP="00A90898">
      <w:pPr>
        <w:pStyle w:val="TextoNormal"/>
      </w:pPr>
    </w:p>
    <w:p w:rsidR="00A90898" w:rsidRDefault="00A90898" w:rsidP="00A90898">
      <w:pPr>
        <w:pStyle w:val="TextoNormal"/>
      </w:pPr>
      <w:r>
        <w:t>El año 2013 el Servicio Meteorológico de Cataluña inició los trámites para obtener la certificación de proveedor de servicios meteorológicos de apoyo a la navegación aérea, solicitando el 28 de febrero de 2014 a la Secretaría de Estado de Medio Ambiente que le fuera expedida la referida certificación, solicitud desestimada por resolución de 29 de julio del mismo año, con la motivación de que el Servicio Meteorológico de Cataluña no cumpliría con todos los requisitos que el Reglamento de ejecución (UE) 1035/2011 exige al efecto, señalándose en dicha resolución, entre otros extremos, que la organización “no tiene asignadas la prestación de servicios meteorológicos de navegación aérea entre sus funciones, por lo que no se puede garantizar que el servicio se preste de forma segura y continuada”. Así pues, según esta resolución desestimatoria, la concesión de la certificación interesada requería, entre otras condiciones, que la normativa asignara expresamente la función de prestador de servicios meteorológicos de apoyo a la navegación aérea, de manera que, para reiniciar el procedimiento de obtención de la repetida certificación, el Parlamento de Cataluña incluyó en el artículo 69 de la Ley 3/2015, aquí impugnado, la incorporación en el artículo 4 de la Ley 15/2001 de una nueva letra k bis para atribuir tal condición al Servicio Meteorológico de Cataluña. Tal incorporación, en suma, no hizo sino cumplir una de las condiciones exigidas por la Secretaría de Estado de Medio Ambiente.</w:t>
      </w:r>
    </w:p>
    <w:p w:rsidR="00A90898" w:rsidRDefault="00A90898" w:rsidP="00A90898">
      <w:pPr>
        <w:pStyle w:val="TextoNormal"/>
      </w:pPr>
    </w:p>
    <w:p w:rsidR="00A90898" w:rsidRDefault="00A90898" w:rsidP="00A90898">
      <w:pPr>
        <w:pStyle w:val="TextoNormal"/>
      </w:pPr>
      <w:r>
        <w:t>Por lo expuesto, el artículo 69 no ha incurrido en la lesión competencial aducida en la demanda, pues no atribuye al Servicio de Meteorología de Cataluña ninguna competencia de control de la navegación aérea, materia que, efectivamente, el artículo 149.1.20 CE reserva en exclusiva al Estado, sino que se limita a especificar que al amparo de la competencia que el artículo 144.5 EAC atribuye a la Generalitat sobre el servicio meteorológico (competencia que, según la STC 31/2010, FJ 88, es compatible con la estatal) se habilita al Servicio Meteorológico de Cataluña para que pueda ejercer la prestación de los servicios meteorológicos de apoyo a la navegación aérea. Es claro que la posibilidad de tal prestación, previa a la correspondiente certificación emitida por la Secretaría de Estado de Medio Ambiente, no interfiere ni limita las competencias estatales sobre la navegación aérea y los servicios meteorológicos, habiendo regulado el Estado, al amparo de dichas competencias y con base en la regulación comunitaria, los requisitos y procedimientos para que entidades públicas o privadas, como el Servicio de Meteorología de Cataluña, puedan ser autorizadas como proveedoras de dichos servicios.</w:t>
      </w:r>
    </w:p>
    <w:p w:rsidR="00A90898" w:rsidRDefault="00A90898" w:rsidP="00A90898">
      <w:pPr>
        <w:pStyle w:val="TextoNormal"/>
      </w:pPr>
    </w:p>
    <w:p w:rsidR="00A90898" w:rsidRDefault="00A90898" w:rsidP="00A90898">
      <w:pPr>
        <w:pStyle w:val="TextoNormal"/>
      </w:pPr>
      <w:r>
        <w:t xml:space="preserve">c) Tampoco el artículo 95 de la Ley 3/2015 es inconstitucional, pues no vulnera la legislación básica del Estado relativa a la libertad de establecimiento y de acceso de prestación de servicios y su ejercicio consagradas por el Derecho comunitario. Tras resumir los argumentos de la demanda sobre este precepto, se advierte que, en todo caso, no cabe afirmar, como la demanda hace, una contumaz voluntad autonómica de ignorar la normativa europea y estatal básica sobre libertad de establecimiento y de acceso a las actividades de servicio y su ejercicio, pues no existe aún un pronunciamiento expreso ni del Tribunal de Justicia de </w:t>
      </w:r>
      <w:r>
        <w:lastRenderedPageBreak/>
        <w:t>la Unión Europea ni de este Tribunal Constitucional sobre las prescripciones relativas a la implantación territorial de los equipamientos comerciales fundamentadas en razones imperiosas relacionadas con la protección del medio ambiente, la ordenación territorial y urbanística y la defensa de los consumidores que en su día estableció el Decreto-ley 1/2009 en términos opuestos a la ordenación de los equipamientos comerciales basada en criterios económicos y de formatos comerciales que había previsto la Ley 18/2005, de 27 de diciembre, declarada contraria al Derecho europeo por Sentencia del Tribunal de Justicia de 24 de marzo de 2011 (asunto C-400/09). Dicha Sentencia condenó al Reino de España porque tanto la legislación básica estatal entonces vigente (artículo 6 de la Ley 7/1996, de 15 de enero, de ordenación del comercio minorista) como la de Cataluña (Ley 18/2005, de 27 de diciembre, de equipamientos comerciales) imponían restricciones territoriales basadas en criterios de carácter económico, pero admitió expresamente la posibilidad de que dichas restricciones se basaran en razones imperiosas de interés general relacionadas con la ordenación del territorio y la protección del medio ambiente. El Decreto-ley 1/2009, de 22 de diciembre, de ordenación de los equipamientos comerciales, aprobado antes de que se pronunciara la referida Sentencia, tuvo como finalidad adaptar la Ley 18/2005 a la Directiva 2005/123/CE, de 12 de diciembre, relativa a los servicios en el mercado interior, como por lo demás hizo también el legislador estatal mediante la Ley 17/2009, de 23 de noviembre, sobre el libre acceso a las actividades y servicios y su ejercicio, así como la Ley 1/2010, de 11 de marzo, de modificación de la Ley de ordenación del comercio minorista. La conformidad de la regulación de los equipamientos comerciales contenida en el Decreto-ley 1/2009 a la Directiva relativa a los servicios en el mercado interior, así como a las leyes estatales básicas de trasposición de dicha Directiva, fue admitida tanto por la Comisión Europea como por el Estado en el procedimiento de ejecución de la citada Sentencia del Tribunal de Justicia de 24 de marzo de 2011. Por otro lado, la STC 193/2013, que declaró la inconstitucionalidad del artículo 114 de la Ley 11/2009, en ningún momento manifestó que las limitaciones territoriales a la implantación de establecimientos comerciales fuesen contrarias a la legislación básica estatal de trasposición de la Directiva de servicios en el mercado interior, sino que se limitó a declarar la inconstitucionalidad de aquel precepto por imponer una restricción a la libertad de establecimiento sin haber justificado que estuviera fundamentada en razones imperiosas de interés general, a cuyo efecto se transcribe un pasaje del FJ 7 de dicha STC 193/2013.</w:t>
      </w:r>
    </w:p>
    <w:p w:rsidR="00A90898" w:rsidRDefault="00A90898" w:rsidP="00A90898">
      <w:pPr>
        <w:pStyle w:val="TextoNormal"/>
      </w:pPr>
    </w:p>
    <w:p w:rsidR="00A90898" w:rsidRDefault="00A90898" w:rsidP="00A90898">
      <w:pPr>
        <w:pStyle w:val="TextoNormal"/>
      </w:pPr>
      <w:r>
        <w:t xml:space="preserve">Hechas estas precisiones, se aborda el examen del régimen competencial en materia de comercio, observándose que el artículo 149.1.10 CE atribuye al Estado competencia en materia de comercio exterior, y que, por ello, al amparo del artículo 149.3 CE, la Generalitat tiene competencia exclusiva en materia de comercio, lo que incluye la planificación territorial de los equipamientos comerciales [art. 121.1.d) EAC]. Esta competencia no excluye la proyección de la competencia del Estado sobre bases y coordinación de la planificación general de la actividad económica (art. 149.1.13 CE), competencia esta acerca de cuyo carácter y alcance, conforme a la jurisprudencia constitucional, se extiende el escrito. Sobre la base del artículo 149.1.13 CE, el legislador estatal ha dictado los artículos 5, 15, 10 y 11 de la Ley 17/2009, el artículo 6 de la Ley de ordenación del comercio minorista y los artículos 3 y 5 de la Ley 20/2013, de 9 de diciembre, de garantía de la unidad de mercado, preceptos básicos que, según la demanda, habrían sido vulnerados por la disposición adicional duodécima del Decreto-ley 1/2009, añadida por el artículo 95 de la Ley 3/2015. Se advierte que no todos los preceptos básicos invocados como parámetro para la declaración de inconstitucionalidad que se pide están exentos de dudas sobre su constitucionalidad y </w:t>
      </w:r>
      <w:r>
        <w:lastRenderedPageBreak/>
        <w:t>que, por otra parte, aun admitiendo dialécticamente su constitucionalidad, tales preceptos no habrían sido infringidos por la disposición controvertida pues, como se dirá, la norma no somete a autorización ni establece ninguna restricción al acceso y ejercicio de la actividad comercial, sino que regula la implantación de establecimientos comerciales en instalaciones portuarias, si bien con sujeción a unas condiciones de superficie justificadas por la singularidad de esos espacios marítimos y la necesidad de no interferir los usos portuarios.</w:t>
      </w:r>
    </w:p>
    <w:p w:rsidR="00A90898" w:rsidRDefault="00A90898" w:rsidP="00A90898">
      <w:pPr>
        <w:pStyle w:val="TextoNormal"/>
      </w:pPr>
    </w:p>
    <w:p w:rsidR="00A90898" w:rsidRDefault="00A90898" w:rsidP="00A90898">
      <w:pPr>
        <w:pStyle w:val="TextoNormal"/>
      </w:pPr>
      <w:r>
        <w:t>Transcribe el escrito, a continuación, los artículos 5, 10 y 11 de la Ley 17/2009, el artículo 6 de la Ley de ordenación del comercio minorista y los artículos 3 y 5 de la Ley de garantía de la unidad de mercado para concluir que no existe contradicción entre las prescripciones contenidas en ellos y la disposición adicional duodécima controvertida, contradicción que, por lo demás, no ha sido argumentada suficientemente por la demanda. La nueva disposición adicional duodécima del Decreto-ley 1/2009 no es una norma restrictiva que imponga una prohibición a la implantación territorial de los establecimientos comerciales, sino una norma que amplía tales posibilidades de implantación, al prever que puedan también emplazarse dentro de las instalaciones de los puertos de titularidad pública situados en los entornos de la trama urbana consolidada del municipio y cuenten con un informe favorable de la autoridad portuaria, si bien, dada la singularidad de los espacios portuarios, se restringe esa ubicación a los establecimientos de menores dimensiones. La posibilidad de ubicar usos comerciales en las instalaciones portuarias está prevista en el artículo 72 d) de la Ley de puertos del Estado y de la marina mercante (texto refundido aprobado por el Real Decreto Legislativo 2/2011, de 5 de septiembre), en el artículo 49 de la Ley 22/1988, de 28 de julio, de costas, y en el artículo 30.2 de la Ley 5/1998, de 17 de abril, de puertos de Cataluña. Conforme a esta legislación sectorial, corresponde al plan especial urbanístico que debe desarrollar el sistema general portuario establecer la ordenación de los usos en la zona de servicio del puerto y la disposición adicional controvertida no hace más que abundar en estas posibilidades, estableciendo un límite a la superficie de los establecimientos comerciales al amparo de las competencias autonómicas [artículos 121.1 d), 140.1 d) y 149.5 EAC], medida razonable y proporcionada. Lo dicho sería suficiente para rechazar esta imputación de inconstitucionalidad, si bien interesa añadir que tampoco puede tacharse de discriminatorio el tratamiento dado a los distintos formatos comerciales en atención a su superficie, pues el principio de igualdad (art. 14 CE) se predica de los ciudadanos, no de los “formatos” comerciales, que no son sujetos jurídicos, sino simples formas de materialización de la actividad comercial y, desde esta perspectiva, la limitación de superficie impuesta se aplica por igual a todos los comerciantes, sea cual sea su personificación jurídica y su nacionalidad. Por otro lado, la discriminación se da cuando se dispensa un trato distinto a situaciones iguales o la inversa y en ello no se ha incurrido aquí, pues se parte de unos supuestos de hecho distintos y se discierne entre ellos en atención a lo que se estima compatible a los usos portuarios.</w:t>
      </w:r>
    </w:p>
    <w:p w:rsidR="00A90898" w:rsidRDefault="00A90898" w:rsidP="00A90898">
      <w:pPr>
        <w:pStyle w:val="TextoNormal"/>
      </w:pPr>
    </w:p>
    <w:p w:rsidR="00A90898" w:rsidRDefault="00A90898" w:rsidP="00A90898">
      <w:pPr>
        <w:pStyle w:val="TextoNormal"/>
      </w:pPr>
      <w:r>
        <w:t xml:space="preserve">d) Se entra, a continuación, en el examen de la impugnación de las disposiciones adicionales vigésima segunda a vigésima sexta de la Ley 3/2015, a cuyo efecto hace esta representación unas consideraciones generales sobre el sentido de todas estas reglas. Tanto el dictamen del Consejo de Estado 461/2015 como la demanda pretenden extraer de la STC 42/2014, que resolvió la impugnación de la resolución del Parlamento de Cataluña 5/X, de 23 de enero de 2013, por la que se aprobó la Declaración de soberanía y del derecho a decidir del pueblo de Cataluña, una declaración de inconstitucionalidad de todo el proceso para </w:t>
      </w:r>
      <w:r>
        <w:lastRenderedPageBreak/>
        <w:t>hacer efectivo el ejercicio de tal derecho a decidir. Pero la Sentencia declaró sólo la inconstitucionalidad del principio primero de aquella resolución, no la de los otros ocho principios e interpretó de conformidad a la Constitución las referencias al “Derecho a decidir de los ciudadanos de Cataluña” contenidas en el título, parte inicial, y en los principios segundo, tercero, séptimo y noveno, párrafo segundo. El recurso pretende deducir de aquel pronunciamiento constitucional la inconstitucionalidad del denominado “proceso de transición nacional” y extender, por contaminación, la presunta inconstitucionalidad a cuantas disposiciones y actuaciones aparezcan citadas o relacionadas con este proceso en declaraciones públicas, informes o documentos políticos en los que se manifiestan las aspiraciones de autogobierno del pueblo de Cataluña. Pero el objeto del recurso son las disposiciones adicionales de la Ley 3/2015, enjuiciamiento que no puede hacerse atendiendo ante todo a unos antecedentes históricos o legislativos, o a realidades sociales y políticas coetáneas, sino que se ha de atender en primer lugar al sentido propio de las palabras, al propio texto de los preceptos legales, que son los únicos que tienen eficacia jurídica. Lo que puede juzgarse en este recurso no son los criterios de oportunidad política desde los que se quiere servir a las aspiraciones de mayor autogobierno para Cataluña, sino solo si los preceptos impugnados contravienen o no la Constitución. Todas estas disposiciones adicionales tienen origen en unas enmiendas presentadas durante la tramitación parlamentaria del proyecto de ley respecto de las que se solicitó dictamen al Consejo de Garantías Estatutarias, que lo emitió con el número 3/2015, de 26 de febrero. El texto final de las disposiciones adicionales difiere muy sustancialmente del de aquellas enmiendas, por lo que no cabe proyectar sobre él los reproches de inconstitucionalidad que pudieran formularse contras las enmiendas originales ni fundar este recurso en aquel dictamen, puesto que se trata de textos sustancialmente distintos.</w:t>
      </w:r>
    </w:p>
    <w:p w:rsidR="00A90898" w:rsidRDefault="00A90898" w:rsidP="00A90898">
      <w:pPr>
        <w:pStyle w:val="TextoNormal"/>
      </w:pPr>
    </w:p>
    <w:p w:rsidR="00A90898" w:rsidRDefault="00A90898" w:rsidP="00A90898">
      <w:pPr>
        <w:pStyle w:val="TextoNormal"/>
      </w:pPr>
      <w:r>
        <w:t xml:space="preserve">Estas disposiciones adicionales, atendido el sentido propio de su texto, no sólo no producen una vulneración actual y presente de la Constitución, sino que pueden ser perfectamente interpretadas conforme a ella. Su efecto se agota en el orden interno de la Generalitat, sin efectos jurídicos para terceros ni modificación del ordenamiento jurídico. Tampoco se inscriben en un procedimiento de reforma constitucional, por lo que el recurso no es más que una impugnación meramente preventiva que debería ser objeto de inadmisión por el Tribunal Constitucional. Las disposiciones adicionales impugnadas expresan una relación interna de la Generalitat, que bien pudo haberse vehiculado mediante mociones o resoluciones del Parlamento dirigidas al Gobierno. El hecho de haberse incluido en una ley no altera en absoluto la verdadera naturaleza de las obligaciones que el Parlamento impone al Gobierno, que se inscriben en la función de impulso de la acción política y de gobierno y cuya efectividad se circunscribe a la relación fiduciaria entre ambas instituciones, pues, a pesar de haberse incorporado esos mandatos a una norma legal, su incumplimiento no tiene sanción y una reclamación en tal sentido no podría plantearse más que ante el propio Parlamento. Además, su impugnación en este recurso sólo puede tener por objeto el mandato mismo del Parlamento y no las actuaciones, planes, inventarios, catálogos y anteproyectos que puede llevar a cabo el Gobierno y la Administración de la Generalitat. Estos planes, inventarios, catálogos o proyectos son esencialmente anteproyectos, actuaciones de recopilación y sistematización de información que afectan a elementos organizativos del ámbito interno de la Administración, carentes de eficacia jurídica para terceros y que no modifican el ordenamiento jurídico, siendo simple programación de hipotéticas futuras actuaciones o medidas, que sólo podrán llevarse a cabo o ser efectivas en el contexto constitucional y legal de futuros escenarios en los que finalmente puedan concretarse las legítimas aspiraciones </w:t>
      </w:r>
      <w:r>
        <w:lastRenderedPageBreak/>
        <w:t>políticas de mayor autogobierno para Cataluña. Se cita el FJ 3.b) de la STC 42/2014, que admitió la legitimidad de las aspiraciones políticas de Cataluña a las que se llegue mediante un proceso ajustado a la legalidad constitucional. Desde el momento en que se admite que no existe un núcleo inaccesible a la reforma constitucional, y que la iniciativa para ella se puede formular desde la Generalitat (arts. 166 y 87.2 CE), es preciso admitir también una labor previa de los órganos de la Comunidad Autónoma dirigida a la preparación de ese proyecto o iniciativa, pues una reforma constitucional en ese sentido requiere una labor previa de preparación y ha de venir precedida de un análisis profundo, sólido y riguroso del proyecto. Además, ante una posible iniciativa de ese tenor, tales estudios y análisis, y la propia planificación o programación, cumplen al mismo tiempo una función de contraste, examen y evaluación del propio anteproyecto de iniciativa a fin de decidir, en su caso, emprender o no una reforma que pueda culminar en la conformación de un estatus constitucional distinto para Cataluña. Tras citar los estudios, informes y debates que precedieron a las reformas y ampliaciones de competencias proyectadas o promovidas por la Generalitat desde 1977 y, entre ellos, los informes elaborados en 2013 y 2014 por el Consejo Asesor para la Transición Nacional de Cataluña, creado por el Decreto, no impugnado, 113/2013, de 12 de febrero, se observa que sería absurdo pensar que la Constitución impide el estudio y preparación de una iniciativa de reforma constitucional antes de su formulación por el procedimiento que fija el título X de la propia norma fundamental. Los mandatos que el Parlamento de Cataluña dirige al Gobierno de la Generalitat pueden enmarcarse en ese proyecto de estudio y no han producido ninguna infracción de la soberanía nacional ni de la unidad de España. Por más que la demanda quiera destacar únicamente las referencias que en el orden político se han hecho a una hipotética declaración unilateral de independencia y a la desconexión de Cataluña respecto del Estado, es evidente que la Constitución reconoce a la Generalitat iniciativa legislativa (art. 87.2) y de reforma o revisión constitucionales (art. 166) y que a buena parte de los escenarios de incremento del acervo competencial en los que podrían cobrar efectividad las previsiones de las disposiciones adicionales impugnadas también podría llegarse por los procedimientos previstos en la Constitución. El recurso dice que estas iniciativas parlamentarias siguen pautas previstas en los informes del Consejo para la Transición Nacional, pero se recuerda que, según consta en la recopilación de los mismos (“Libro Blanco para la Transición Nacional”), si bien se analizan medidas a adoptar a la hora de construir un Estado propio para Cataluña, muchas de ellas serían aplicables en reformas de la Constitución que dieran lugar a formas de Estado confederales o federales. Por tanto, presumir que se va a conducir al incumplimiento de la Constitución es invertir el principio que resulta del artículo 9.1 CE y partir de una presunción de actuación de la Generalitat en contra de la propia Constitución, lo que hace patente el carácter preventivo del recurso. Toda norma jurídica viene precedida por largos procedimientos y trabajos preparatorios dirigidos a la elaboración de anteproyectos que se suelen preparar desde los propios servicios de las Administraciones públicas y la intervención en estos trabajos de órganos administrativos no permite cuestionar la constitucionalidad de los mismos, lo que supondría una impugnación preventiva, en contra de la jurisprudencia constitucional que se cita. Tras hacer mención del ATC 135/2004 [FJ 6 b)], se observa que el propio Gobierno del Estado en ningún momento ha impugnado los informes del Consejo para la Transición Nacional que profusamente cita la demanda. Ni siquiera se impugnó la creación del citado Consejo por el Decreto 113/2013.</w:t>
      </w:r>
    </w:p>
    <w:p w:rsidR="00A90898" w:rsidRDefault="00A90898" w:rsidP="00A90898">
      <w:pPr>
        <w:pStyle w:val="TextoNormal"/>
      </w:pPr>
    </w:p>
    <w:p w:rsidR="00A90898" w:rsidRDefault="00A90898" w:rsidP="00A90898">
      <w:pPr>
        <w:pStyle w:val="TextoNormal"/>
      </w:pPr>
      <w:r>
        <w:lastRenderedPageBreak/>
        <w:t>En definitiva, las disposiciones adicionales impugnadas no atribuyen potestades a la Administración de la Generalitat que no tuviera antes por efecto de su propio acervo competencial. Expresan simples mandatos del Parlamento al Gobierno y a la Administración para disponer de bases informativas, programar futuras posibles actuaciones y adaptar sus estructuras orgánicas para asumir en el futuro un eventual incremento de competencias. Nada de ello comporta una efectiva, actual o presente vulneración del orden de competencias ni infringe los artículos 1.2, 2, 166 y 168 CE.</w:t>
      </w:r>
    </w:p>
    <w:p w:rsidR="00A90898" w:rsidRDefault="00A90898" w:rsidP="00A90898">
      <w:pPr>
        <w:pStyle w:val="TextoNormal"/>
      </w:pPr>
    </w:p>
    <w:p w:rsidR="00A90898" w:rsidRDefault="00A90898" w:rsidP="00A90898">
      <w:pPr>
        <w:pStyle w:val="TextoNormal"/>
      </w:pPr>
      <w:r>
        <w:t>e) Por lo que se refiere, ya de manera singular, a la disposición adicional vigésima segunda (“Plan director de la Administración tributaria de Cataluña”), la interpretación del alcance de este precepto que hace la demanda no resulta de su propio texto. Es doctrina consolidada del Tribunal Constitucional la de que todas las normas se han de interpretar de conformidad con la Constitución y que no cabe reconstruir el texto de normas no explicitadas en las leyes, de modo que la posible ambigüedad del texto de la ley o la duda acerca de si en el futuro pudiera hacerse una aplicación contraria a la Constitución, no puede ser nunca motivo bastante para declarar su inconstitucionalidad, pues el Tribunal, conforme a la jurisprudencia que se cita, no hace pronunciamientos preventivos.</w:t>
      </w:r>
    </w:p>
    <w:p w:rsidR="00A90898" w:rsidRDefault="00A90898" w:rsidP="00A90898">
      <w:pPr>
        <w:pStyle w:val="TextoNormal"/>
      </w:pPr>
    </w:p>
    <w:p w:rsidR="00A90898" w:rsidRDefault="00A90898" w:rsidP="00A90898">
      <w:pPr>
        <w:pStyle w:val="TextoNormal"/>
      </w:pPr>
      <w:r>
        <w:t>Esta disposición solo prescribe la elaboración de un plan director de la Administración tributaria de Cataluña como instrumento de planificación para una eventual asunción de nuevas funciones y competencias tributarias. Se trata, por tanto, de una norma que expresa la potestad de organización inherente a la competencia asumida en el artículo 150 EAC. El artículo 204 EAC dispuso la creación de la Agencia Tributaria de Cataluña y la STC 31/2010 avaló la constitucionalidad de este precepto (FJ 132). La Ley de Cataluña 7/2007, de 17 de julio, creó efectivamente dicha Agencia tributaria, sin que hasta la fecha el Estado haya cuestionado ni su existencia ni sus funciones. Que la disposición impugnada establezca que la Administración tributaria de Cataluña ha de contar con una planificación estratégica y prevea la eventualidad de futuros incrementos de funciones y competencias significa solo que ha de preparar sus estructuras y procedimientos internos para hacerlos compatibles con posibles futuros desarrollos y ampliaciones. La Generalitat dispone de iniciativa legislativa (art. 87.2 CE) y para la reforma o revisión constitucional (art. 166 CE). Además, el título VIII CE prevé procedimientos e instrumentos para una amplia delegación o atribución de nuevas competencias a la Generalitat en materia tributaria y es perfectamente lícito que la Generalitat prepare propuestas normativas que puedan conducir a esos escenarios futuros. La interpretación del ordenamiento y, por tanto, también de esta disposición adicional ha de partir de la presunción de constitucionalidad de las normas. Bajo ese entendimiento, la disposición adicional vigésima segunda no merece tacha alguna de inconstitucionalidad.</w:t>
      </w:r>
    </w:p>
    <w:p w:rsidR="00A90898" w:rsidRDefault="00A90898" w:rsidP="00A90898">
      <w:pPr>
        <w:pStyle w:val="TextoNormal"/>
      </w:pPr>
    </w:p>
    <w:p w:rsidR="00A90898" w:rsidRDefault="00A90898" w:rsidP="00A90898">
      <w:pPr>
        <w:pStyle w:val="TextoNormal"/>
      </w:pPr>
      <w:r>
        <w:t>f) En cuanto a la disposición adicional vigésima tercera (inventario del patrimonio de las administraciones públicas de Cataluña), y tras resumir la impugnación en este punto de la demanda, se observa que la finalidad imputada al precepto, identificar y valorar activos y pasivos ante un eventual proceso de independencia unilateral de Cataluña, no aparece explicitada en la Ley 3/2015 y que el dictamen del Consejo de Garantías Estatutarias, que la demanda también cita, se emitió sobre un texto muy distinto. Para enjuiciar la constitucionalidad del precepto no caben presunciones ni conjeturas acerca de futuras intenciones de los operadores jurídicos ni de hipotéticas aplicaciones contrarias al ordenamiento constitucional, siendo preciso atender al tenor de lo que el texto dispone.</w:t>
      </w:r>
    </w:p>
    <w:p w:rsidR="00A90898" w:rsidRDefault="00A90898" w:rsidP="00A90898">
      <w:pPr>
        <w:pStyle w:val="TextoNormal"/>
      </w:pPr>
    </w:p>
    <w:p w:rsidR="00A90898" w:rsidRDefault="00A90898" w:rsidP="00A90898">
      <w:pPr>
        <w:pStyle w:val="TextoNormal"/>
      </w:pPr>
      <w:r>
        <w:lastRenderedPageBreak/>
        <w:t>Es una práctica habitual en Cataluña utilizar la expresión “administraciones públicas de Catalunya” para referirse a la de la Generalitat y los entes locales, en tanto que se reserva la expresión “administraciones públicas en Catalunya” para referirse a todas las que tienen implantación en el territorio, incluida la del Estado. Con esa advertencia podrían quedar disipadas las dudas manifestadas en la demanda y reconocer la constitucionalidad de la disposición que se impugna. La Generalitat tiene competencia para elaborar un inventario de sus propios bienes y de los de los entes locales de Cataluña, puesto que, conforme al artículo 159.1 a) y 6 EAC, puede legislar respecto del régimen jurídico de las administraciones públicas catalanas, que incluyen los medios necesarios para ejercer las funciones administrativas, incluyendo el régimen de los bienes de dominio público y patrimoniales, que ha de ejercer con respecto a la autonomía local. De conformidad con el artículo 218.5 EAC ha asumido también el ejercicio de la tutela financiera sobre los gobiernos locales, respetando su autonomía. Por ello, puede la Generalitat establecer los instrumentos precisos para conocer la situación patrimonial de los entes locales de Cataluña y, por tanto, su inventario de bienes, su activo y pasivo. Pero incluso si se entendiera que esta disposición adicional comprende también el patrimonio de la Administración del Estado en Cataluña, cabría admitir su constitucionalidad, en la medida en que se trataría de una información inherente a las relaciones patrimoniales derivadas de los procedimientos de transparencia y para prevenir y resolver posibles conflictos de legalidad ordinaria sobre titularidad de bienes, lo que obligaría a disponer de una delimitación precisa de la Administración a la que corresponde la titularidad de cada bien.</w:t>
      </w:r>
    </w:p>
    <w:p w:rsidR="00A90898" w:rsidRDefault="00A90898" w:rsidP="00A90898">
      <w:pPr>
        <w:pStyle w:val="TextoNormal"/>
      </w:pPr>
    </w:p>
    <w:p w:rsidR="00A90898" w:rsidRDefault="00A90898" w:rsidP="00A90898">
      <w:pPr>
        <w:pStyle w:val="TextoNormal"/>
      </w:pPr>
      <w:r>
        <w:t>Por lo que se refiere a la inclusión en el inventario del patrimonio de los activos y pasivos, si bien puede dar a entender un alcance más general que el puro concepto estricto de patrimonio que resulta del artículo 3 de la Ley 33/2003, de 3 de noviembre, de patrimonio de las Administraciones públicas, se observa que el preámbulo de esta Ley ya señala a objetivos como una política patrimonial definida por la globalidad de su alcance y la mejora de la gestión y protección de los patrimonios públicos mediante la identificación y control a través de inventarios o registros. Para ello, su artículo 32.4 prescribe que el inventario patrimonial de las Comunidades Autónomas, entidades locales y entidades de Derecho público incluirá “al menos” los bienes inmuebles y los derechos reales sobre los mismos. Este precepto, dictado en ejercicio de la competencia estatal establecida en el artículo 149.1.18 CE, exige, pues, un contenido mínimo a los inventarios de las Comunidades Autónomas y entidades locales, pero no impide que, en ejercicio de su competencia de desarrollo legislativo, la Generalitat añada contenidos adicionales a su inventario del patrimonio de las Administraciones públicas de Cataluña. En definitiva, la legislación básica estatal no impide al legislador catalán prescribir como contenido del inventario el patrimonio, activos y pasivos, por lo que no cabe aducir vicio alguno de inconstitucionalidad contra esta disposición adicional vigésima tercera.</w:t>
      </w:r>
    </w:p>
    <w:p w:rsidR="00A90898" w:rsidRDefault="00A90898" w:rsidP="00A90898">
      <w:pPr>
        <w:pStyle w:val="TextoNormal"/>
      </w:pPr>
    </w:p>
    <w:p w:rsidR="00A90898" w:rsidRDefault="00A90898" w:rsidP="00A90898">
      <w:pPr>
        <w:pStyle w:val="TextoNormal"/>
      </w:pPr>
      <w:r>
        <w:t>g) Por lo que atañe a la disposición adicional vigésima cuarta (catálogo de infraestructuras estratégicas), y tras referirse a lo argumentado frente a ella en la demanda, se dice que, conforme a su tenor literal, no se ha encargado al Gobierno la elaboración de un “plan”, sino de un mero “catálogo”, de infraestructuras estratégicas, es decir, se encarga confeccionar una relación ordenada, descriptiva, y no propiamente un modelo sistemático de la actuación pública que permita dirigirla y encauzarla.</w:t>
      </w:r>
    </w:p>
    <w:p w:rsidR="00A90898" w:rsidRDefault="00A90898" w:rsidP="00A90898">
      <w:pPr>
        <w:pStyle w:val="TextoNormal"/>
      </w:pPr>
    </w:p>
    <w:p w:rsidR="00A90898" w:rsidRDefault="00A90898" w:rsidP="00A90898">
      <w:pPr>
        <w:pStyle w:val="TextoNormal"/>
      </w:pPr>
      <w:r>
        <w:lastRenderedPageBreak/>
        <w:t>Es claro que la materia en la que se encuadra esta disposición es la seguridad pública, en sus dos vertientes de protección de personas y bienes con la finalidad de garantizar la tranquilidad y el orden ciudadanos y de protección civil. El Tribunal Constitucional ha interpretado el contenido de la competencia del Estado ex artículo 149.1.29 CE por referencia a las actividades dirigidas a la protección de personas y bienes con la finalidad de garantizar la tranquilidad y orden ciudadanos, principalmente mediante la actividad policial propiamente dicha, así como otras de naturaleza administrativas inherentes a aquellas actividades (STC 86/2014 FJ 4). No obstante el carácter exclusivo de esta competencia, el mismo precepto prevé la asunción de competencias en la materia por las Comunidades Autónomas que se doten de cuerpos policiales propios. A su vez, el art. 164 EAC reconoce competencias a la Generalitat en materia de seguridad pública, de acuerdo con lo que disponen la legislación estatal, para “a) La planificación y la regulación del sistema de seguridad pública de Cataluña y la ordenación de las policías locales”. La jurisprudencia constitucional ha delimitado el alcance de estas competencias autonómicas sobre la base de dos criterios: 1) que el ámbito competencial para la creación de las policías autonómicas tiene un carácter no sólo orgánico, sino también funcional y 2) que determinadas facultades administrativas complementarias de la seguridad ciudadana no son susceptibles de ser segregadas de las tareas propias de las fuerzas y cuerpos de seguridad, por su incidencia en la prevención e investigación de hechos delictivos y el mantenimiento del orden ciudadano [SSTC 104/1989, FJ 4; 154/2005, FFJJ 5 a) y 8, y 86/2014, FJ 4]. Además, el art. 132 EAC reconoce a la Generalitat competencia exclusiva en materia de protección civil y el Tribunal Constitucional ha delimitado las competencias estatales autonómicas en este ámbito hasta la reciente STC 155/2013, en la que ha reconocido que, dado que la finalidad de la protección civil está en la preservación de las personas y bienes en situaciones de emergencia, se produce una situación de encuentro o concurrencia de las competencias de las diferencias instancias territoriales que obliga a cohonestar las competencias estatales en materia de seguridad pública con las autonómicas relacionadas con la protección civil.</w:t>
      </w:r>
    </w:p>
    <w:p w:rsidR="00A90898" w:rsidRDefault="00A90898" w:rsidP="00A90898">
      <w:pPr>
        <w:pStyle w:val="TextoNormal"/>
      </w:pPr>
    </w:p>
    <w:p w:rsidR="00A90898" w:rsidRDefault="00A90898" w:rsidP="00A90898">
      <w:pPr>
        <w:pStyle w:val="TextoNormal"/>
      </w:pPr>
      <w:r>
        <w:t>Se cita la Directiva 2008/114/CE, sobre identificación y designación de infraestructuras críticas europeas y evaluación de la necesidad de mejorar la protección. Asimismo, la Ley 8/2011, de 28 de abril, por la que se establecen medidas para la protección de las infraestructuras críticas, y el Real Decreto 704/2011, de 20 de mayo, que aprueba el Reglamento de protección de tales infraestructuras, disposiciones, estas últimas, que han procedido a la transposición de aquella Directiva y que han añadido otra categoría más amplia, la de infraestructura estratégica. En atención a las previsiones de la Ley 8/2011 (art. 10) y del Real Decreto 704/2011 (arts. 9 y 10) la Generalitat, en tanto que dispone de competencias para la protección de las personas y bienes y para el mantenimiento del orden público, puede participar en la implantación de los diferentes planes de protección específicos e intervenir en la de los planes de apoyo operativo respecto de las infraestructuras críticas o infraestructuras críticas europeas existentes en su territorio, proponer la declaración de zona crítica y custodiar la información sensible sobre protección de infraestructuras estratégicas de las que dispone. Todo ello sin perjuicio de sus competencias sobre seguridad pública y protección civil (arts. 164 y 132 EAC).</w:t>
      </w:r>
    </w:p>
    <w:p w:rsidR="00A90898" w:rsidRDefault="00A90898" w:rsidP="00A90898">
      <w:pPr>
        <w:pStyle w:val="TextoNormal"/>
      </w:pPr>
    </w:p>
    <w:p w:rsidR="00A90898" w:rsidRDefault="00A90898" w:rsidP="00A90898">
      <w:pPr>
        <w:pStyle w:val="TextoNormal"/>
      </w:pPr>
      <w:r>
        <w:t xml:space="preserve">Atendido todo ello, es palmaria la constitucionalidad de los mandatos formulados en la disposición adicional vigésima cuarta. En cuanto a la encomienda al Gobierno para que elabore un catálogo sobre las “infraestructuras estratégicas” [categoría más amplia, distinta y de menor relevancia que la de “infraestructuras críticas”: art. 2 d) y e) de la Ley 8/2011], </w:t>
      </w:r>
      <w:r>
        <w:lastRenderedPageBreak/>
        <w:t>es evidente que requiere del Gobierno y de la Administración de la Generalitat una actuación eminentemente ejecutiva, imprescindible para el ejercicio de sus funciones en las materias de seguridad pública y protección civil y de conformidad con los preceptos de la legislación estatal ya citada. La existencia de ese catálogo no perturba ni entorpece ni impide el “Catálogo nacional de infraestructuras estratégicas” del que dispone el Estado ni cabe presumir que en su elaboración la Generalitat vaya a seguir criterios dispares ni incompatibles con los que ya ha seguido cuando a través de sus servicios y de su policía ha participado en planes de protección específicos y en la implantación de los planes de apoyo operativo respecto de las infraestructuras críticas o infraestructuras críticas europeas existentes en su territorio, además de proponer la declaración de zonas críticas y custodiar la información sensible antes dicha. De igual modo, y al amparo de sus competencias funcionales y organizativas en materia de cuerpos de seguridad y policías y de protección civil (arts. 132 y 164, en relación con los arts. 71.6 y 150, todos del Estatuto de Autonomía de Cataluña), es evidente que puede la Generalitat crear una comisión interdepartamental que coordine las actuaciones en las que deban intervenir sus propios servicios relacionados con tráfico, transportes, urgencias sanitarias, energía, etc.</w:t>
      </w:r>
    </w:p>
    <w:p w:rsidR="00A90898" w:rsidRDefault="00A90898" w:rsidP="00A90898">
      <w:pPr>
        <w:pStyle w:val="TextoNormal"/>
      </w:pPr>
    </w:p>
    <w:p w:rsidR="00A90898" w:rsidRDefault="00A90898" w:rsidP="00A90898">
      <w:pPr>
        <w:pStyle w:val="TextoNormal"/>
      </w:pPr>
      <w:r>
        <w:t>En conclusión, la disposición adicional vigésima cuarta de la Ley 3/2015 no es contraria al artículo 149.1.29 CE ni al artículo 164.5 EAC.</w:t>
      </w:r>
    </w:p>
    <w:p w:rsidR="00A90898" w:rsidRDefault="00A90898" w:rsidP="00A90898">
      <w:pPr>
        <w:pStyle w:val="TextoNormal"/>
      </w:pPr>
    </w:p>
    <w:p w:rsidR="00A90898" w:rsidRDefault="00A90898" w:rsidP="00A90898">
      <w:pPr>
        <w:pStyle w:val="TextoNormal"/>
      </w:pPr>
      <w:r>
        <w:t>h) Por lo que se refiere a la disposición adicional vigésima quinta (creación de la Agencia Catalana de la Protección Social), se observa que el punto 1 de este precepto expresa solo el mandato del Parlamento al Gobierno de la Generalitat de preparar un anteproyecto de ley, en tanto que el punto 2 se refiere a las competencias que deberá asumir la Agencia y que su estructura deberá prever una eventual asunción de las competencias que ejerce la Administración del Estado. El punto 3 ordena al Gobierno aprobar un plan director de la protección social como instrumento de planificación estratégica del modelo futuro de gestión de las prestaciones sociales en Cataluña. Que el Parlamento requiera al Gobierno a preparar proyectos de ley forma parte de la relación ordinaria de la Cámara y el ejecutivo dentro del sistema institucional de la Generalitat, como en todo sistema parlamentario de gobierno, por lo que mal puede reprochársele vulneración competencial alguna. Que el anteproyecto deba referirse a la creación de una Agencia tampoco resulta extraño, tanto en el ámbito de la Administración General del Estado como en el de las Comunidades Autónomas. Tampoco es lesivo de las competencias estatales ni de otros preceptos de la Constitución que la materia sea protección social, pues la Generalitat, además de haber asumido competencias sobre servicios sociales, voluntariado, menores y protección de las familias (art. 166 EAC), las tiene también en materia de Seguridad Social (art. 165 EAC), entre las que figura la organización y gestión del patrimonio y de los servicios sociales del sistema de Seguridad Social en Cataluña, el reconocimiento y la gestión de las pensiones no contributivas y la organización y administración de los servicios relacionados con todo ello. Es preciso además tener en cuenta que, a partir del ejercicio de competencias en otras materias, la Generalitat ofrece también determinadas prestaciones que pudieran entenderse comprendidas en un concepto amplio de protección social (becas comedor, ayudas al alquiler social y otras medidas en caso de desahucio, etc.).</w:t>
      </w:r>
    </w:p>
    <w:p w:rsidR="00A90898" w:rsidRDefault="00A90898" w:rsidP="00A90898">
      <w:pPr>
        <w:pStyle w:val="TextoNormal"/>
      </w:pPr>
    </w:p>
    <w:p w:rsidR="00A90898" w:rsidRDefault="00A90898" w:rsidP="00A90898">
      <w:pPr>
        <w:pStyle w:val="TextoNormal"/>
      </w:pPr>
      <w:r>
        <w:t xml:space="preserve">Los efectos de esta disposición adicional no son inmediatos, pues se otorga al Gobierno un plazo de cinco meses para preparar el anteproyecto de ley, que debe prever, para cuando </w:t>
      </w:r>
      <w:r>
        <w:lastRenderedPageBreak/>
        <w:t>se acabara aprobando como ley, que la Agencia asumiría de manera inmediata las competencias que gestionan actualmente diversos departamentos del Gobierno catalán, incluyendo las prestaciones de protección social propias de la Generalitat o las que ya han sido transferidas por el Estado, así como las prestaciones o mejoras que eventualmente decidan incorporar la Generalitat al amparo de los artículos 165 y 166 EAC. Se dispone también que la estructura de la Agencia que se ha de articular en el proyecto de ley que ha de preparar el Gobierno debe prever una eventual asunción de las competencias que en el momento de entrar en vigor de esta ley ejerce la Administración del Estado, de modo que el proyecto reconoce actualmente que el Estado es titular y ejerce en Cataluña determinadas competencias en materia de protección social y una eventual asunción de esas competencias, a cuyo efecto se observa que la Constitución permite la transferencia, delegación o atribución del ejercicio de esas competencias estatales a la Generalitat y que no cabe presumir que tal eventual asunción competencial vaya a producirse por procedimientos ajenos o contrarios a los previstos en la Constitución. Por otro lado, esta disposición ni da unilateralmente eficacia a esa transferencia, delegación o atribución ni la contempla como un hecho cierto, sino simplemente como una futura eventualidad que, por tanto, en modo alguno altera, menoscaba ni afecta a las competencias del Estado.</w:t>
      </w:r>
    </w:p>
    <w:p w:rsidR="00A90898" w:rsidRDefault="00A90898" w:rsidP="00A90898">
      <w:pPr>
        <w:pStyle w:val="TextoNormal"/>
      </w:pPr>
    </w:p>
    <w:p w:rsidR="00A90898" w:rsidRDefault="00A90898" w:rsidP="00A90898">
      <w:pPr>
        <w:pStyle w:val="TextoNormal"/>
      </w:pPr>
      <w:r>
        <w:t>También se ordena al Gobierno aprobar un plan director de la protección social, a cuyo efecto se recuerda que la Generalitat es competente para planificar su propio modelo de gestión de las prestaciones sociales, por lo que las imputaciones de inconstitucionalidad formuladas en la demanda carecen de todo fundamento y no expresan más que meras sospechas o especulaciones ajenas al texto de esta disposición legal.</w:t>
      </w:r>
    </w:p>
    <w:p w:rsidR="00A90898" w:rsidRDefault="00A90898" w:rsidP="00A90898">
      <w:pPr>
        <w:pStyle w:val="TextoNormal"/>
      </w:pPr>
    </w:p>
    <w:p w:rsidR="00A90898" w:rsidRDefault="00A90898" w:rsidP="00A90898">
      <w:pPr>
        <w:pStyle w:val="TextoNormal"/>
      </w:pPr>
      <w:r>
        <w:t>i) En cuanto a la disposición adicional vigésima sexta (plan director relativo a los sectores de la energía, de las telecomunicaciones y los sistemas de información y del transporte ferroviario), la demanda no infiere la inconstitucionalidad que afirma del texto del precepto, ni de su sentido propio o contexto legal. Aludiendo a los informes del Consejo Asesor para la Transición Nacional y reproduciendo el dictamen 3/2015 del Consejo de Garantías Estatutarias sobre un texto distinto (la enmienda 431 del proyecto de ley), que ni se corresponde con la disposición adicional vigésima sexta ni tiene su mismo objeto, sentido y alcance, reproduce parcialmente la STC 108/2014 y concluye en la vulneración de los arts. 149.1.13, 1.2, 2, 9.1 y 168 CE sin un razonamiento lógico fundado en Derecho.</w:t>
      </w:r>
    </w:p>
    <w:p w:rsidR="00A90898" w:rsidRDefault="00A90898" w:rsidP="00A90898">
      <w:pPr>
        <w:pStyle w:val="TextoNormal"/>
      </w:pPr>
    </w:p>
    <w:p w:rsidR="00A90898" w:rsidRDefault="00A90898" w:rsidP="00A90898">
      <w:pPr>
        <w:pStyle w:val="TextoNormal"/>
      </w:pPr>
      <w:r>
        <w:t xml:space="preserve">Esta disposición adicional expresa el encargo del Parlamento al Gobierno para elaborar el plan director en el que se plantee un modelo de políticas de competencia y de regulación, encargo que no consiste en llevar a cabo un plan ejecutivo, ni en adoptar medidas de eficacia inmediata, sino un plan que prevea para un futuro escenario inspirado en el Derecho de la Unión Europea un modelo teórico de esas políticas. Este encargo en nada se parece al que expresaba la enmienda 431 presentada al proyecto de ley, que proponía la preparación de un proyecto de ley de modificación de la Ley 2/2009, de 12 de febrero, de la autoridad catalana de la competencia, para prever la asunción de funciones reguladoras en el ámbito de la garantía de acceso a esos sectores del mercado. No cabe discutir la doctrina de la STC 108/2014, pero ni el encargo formulado por el Parlamento a través de esta enmienda ni el plan director que pueda aprobar el Gobierno alteran la titularidad de las competencias que el Tribunal reconoció al Estado, pues el plan encargado se completará en el diseño de un modelo teórico y futuro. La Generalitat tiene competencias en el ámbito de la energía, infraestructuras del transporte y de las comunicaciones, transportes, medios de comunicación </w:t>
      </w:r>
      <w:r>
        <w:lastRenderedPageBreak/>
        <w:t>social y servicios de contenido audiovisual, planificación, ordenación y promoción de la actividad económica de Cataluña y promoción y defensa de la competencia (arts. 133, 140, 169, 146, 152, y 154 EAC), por lo que es indiscutible que su Administración ha de servir con objetividad el interés general cuando actúa en uno de estos sectores y, de acuerdo con los principios de eficacia y buen gobierno, ser proactiva en el estudio y propuesta de mejora del ordenamiento jurídico en el que enmarca sus potestades y funciones. La Generalitat dispone también de iniciativa legislativa e incluso de iniciativa para la reforma de la Constitución (arts. 87.2 y 166 CE). En consecuencia, el encargo formulado por el Parlamento mediante la disposición adicional vigésima sexta no excede del acervo de competencias de la Generalitat, ni mucho menos puede subvertir el procedimiento de reforma constitucional ni vulnerar la soberanía ni la unidad de España.</w:t>
      </w:r>
    </w:p>
    <w:p w:rsidR="00A90898" w:rsidRDefault="00A90898" w:rsidP="00A90898">
      <w:pPr>
        <w:pStyle w:val="TextoNormal"/>
      </w:pPr>
    </w:p>
    <w:p w:rsidR="00A90898" w:rsidRDefault="00A90898" w:rsidP="00A90898">
      <w:pPr>
        <w:pStyle w:val="TextoNormal"/>
      </w:pPr>
      <w:r>
        <w:t>Se concluyó con la solicitud de que se desestimara el recurso planteado y se declarara que los preceptos impugnados son plenamente conformes a la Constitución.</w:t>
      </w:r>
    </w:p>
    <w:p w:rsidR="00A90898" w:rsidRDefault="00A90898" w:rsidP="00A90898">
      <w:pPr>
        <w:pStyle w:val="TextoNormal"/>
      </w:pPr>
    </w:p>
    <w:p w:rsidR="00A90898" w:rsidRDefault="00A90898" w:rsidP="00A90898">
      <w:pPr>
        <w:pStyle w:val="TextoNormal"/>
      </w:pPr>
      <w:r>
        <w:t>En primer otrosí se argumentó en pro del levantamiento inmediato de la suspensión de los preceptos impugnados y se solicitó que así se acordara.</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que tuvo entrada en el Tribunal Constitucional el 24 de julio de 2015, los Letrados del Parlamento de Cataluña presentaron, en la representación que les es propia, escrito de alegaciones. Se pueden resumir como sigue:</w:t>
      </w:r>
    </w:p>
    <w:p w:rsidR="00A90898" w:rsidRDefault="00A90898" w:rsidP="00A90898">
      <w:pPr>
        <w:pStyle w:val="TextoNormal"/>
      </w:pPr>
    </w:p>
    <w:p w:rsidR="00A90898" w:rsidRDefault="00A90898" w:rsidP="00A90898">
      <w:pPr>
        <w:pStyle w:val="TextoNormal"/>
      </w:pPr>
      <w:r>
        <w:t>a) Se afirma, en primer lugar, que el artículo 69 de la Ley 3/2015 no desborda las competencias estatales sobre control del espacio aéreo. Conforme al artículo 144.5 EAC, corresponde a la Generalitat el establecimiento de un servicio meteorológico propio, el suministro de información meteorológica y climática, incluyendo el pronóstico el control y el seguimiento de las situaciones meteorológicas de riesgo, la investigación en estos ámbitos y la elaboración de la cartografía climática. Tras citar un pasaje del fundamento jurídico 88 de la STC 31/2010, que enjuició aquel precepto, se sostiene que la competencia exclusiva del Estado sobre el servicio meteorológico (art. 149.1.20 CE) no excluye la correlativa de la Generalitat, en perfecta concurrencia. Con el artículo 69 se pretende habilitar al Servicio Meteorológico de Cataluña para actuar como proveedor de servicios meteorológicos de apoyo a la navegación aérea y hacer posible así que pueda obtener la certificación exigida por el Reglamento (CE) 550/2004 del Parlamento y del Consejo, de 10 de marzo de 2004 y el Reglamento (CE) 2096/2005 de la Comisión, de 20 de diciembre de 2005, citándose también la Orden Ministerial MAM/1792/2006, de 5 de junio. El Servicio Meteorológico de Cataluña solicitó tal certificación, que le fue denegada por resolución de la Secretaría del Estado de Medio Ambiente, de 29 de marzo de 2014, entre otros motivos por el hecho de que entre las funciones de dicho Servicio no figuraba la de servicios meteorológicos de apoyo a la navegación aérea. El artículo 69 se centra en los servicios de abastecimiento de información meteorológica “de apoyo” a la navegación aérea, materia que no puede quedar desvirtuada por el simple criterio finalista de quién sea el usuario de esa información. Es decir, no afecta al núcleo del control del espacio aéreo, sino que se circunscribe a la observación y predicción meteorológicas y a proporcionar dicha información a aeródromos ya sea por designación o por concurso público cuando la normativa europea en tramitación lo contemple. No se desborda, por tanto, la competencia estatal de control del espacio aéreo.</w:t>
      </w:r>
    </w:p>
    <w:p w:rsidR="00A90898" w:rsidRDefault="00A90898" w:rsidP="00A90898">
      <w:pPr>
        <w:pStyle w:val="TextoNormal"/>
      </w:pPr>
    </w:p>
    <w:p w:rsidR="00A90898" w:rsidRDefault="00A90898" w:rsidP="00A90898">
      <w:pPr>
        <w:pStyle w:val="TextoNormal"/>
      </w:pPr>
      <w:r>
        <w:lastRenderedPageBreak/>
        <w:t xml:space="preserve">b) La regulación en materia de implantación comercial introducida por el impugnado artículo 95 es plenamente constitucional, por tener su fundamento en razones imperiosas de interés general. Mediante este precepto no se restringen los criterios de implantación de los establecimientos comerciales, sino que se amplía el régimen actual de localización y ordenación de los equipamientos comerciales, pues se permite que los pequeños y medianos establecimientos puedan implantarse en las instalaciones de puertos de titularidad pública que estén situados en los entornos de la trama urbana consolidada. Este precepto no contraviene la legislación básica estatal y se funda en las competencias de la Generalitat sobre comercio interior y sobre consumo [arts. 121 y 123 a) EAC], ejercidas aquí teniendo en cuenta los intereses públicos concernidos, el principio de proporcionalidad y no discriminación y, sobre todo, los parámetros de la Directiva 2006/123 CE, del Parlamento Europeo y del Consejo, de 12 de diciembre de 2006, relativa a los servicios de mercado interior. Tras referirse por extenso a lo argumentado al respecto en la demanda, se cita la STC 193/2013, de 21 de noviembre, y se dice que en ella se reconoció que la limitación de la implantación de establecimientos comerciales fuera de las tramas urbanas consolidadas establecidas en el Decreto-ley 1/2009 antes de la reforma llevada a cabo por el artículo 114 de la Ley de Cataluña 9/2011 se fundamentaba en razones imperiosas de interés general de carácter medioambiental, de ordenación territorial y urbanística, a cuyo efecto se reproducen pasajes de la exposición de motivos del referido Decreto-ley y de la mencionada Sentencia constitucional (FFJJ 6 y 7). De la lectura de esta STC 193/2013 se desprende que puede establecerse una regulación de excepcionalidad a la implantación de determinados establecimientos comerciales fuera de las tramas urbanas consolidadas, siempre que la misma se fundamente en razones imperiosas de interés general y sean proporcionadas, no discriminatorias y adecuadas para perseguir los objetivos medioambientales y de ordenación urbanística y estén suficientemente motivadas, fundamentación que aparece en la exposición de motivos del Decreto-ley 1/2009. Tras citar la Sentencia del Tribunal de Justicia de la Unión Europea de 24 de mayo de 2011, se afirma que la regulación básica del Estado y la comunitaria no prohíben las limitaciones a la implantación comercial. La Directiva 2006/123/CE, del Parlamento Europeo y del Consejo, de 12 de diciembre de 2006, relativa a los servicios del mercado interior (Directiva de servicios), traspuesta por la Ley 1/2010, de 1 de marzo, de ordenación de comercio minorista, establece como regla general la abolición de la autorización previa para el libre establecimiento de los prestadores de servicio, pero no se puede afirmar que establezca en términos absolutos la libertad de establecimiento proclamada en el artículo 43 del Tratado de la Comunidad Europea. Su artículo 9 permite el sometimiento de las actividades de servicio y su ejercicio a autorización cuando el régimen de ésta no sea discriminatorio, esté justificado por una razón imperiosa de interés general y sea proporcionado, citándose el artículo 4.8 de dicha Directiva, su Considerando 40 y sus artículos 10.1 y 2, 14, 15.2, concluyéndose de todo ello en que las medidas de ordenación de los equipamientos comerciales que efectúa el precepto impugnado se vinculan a criterios de política territorial y urbana, además de a la necesidad de conseguir un desarrollo equilibrado y sostenible del territorio, vinculación de la que constituiría un claro ejemplo el Decreto-ley 1/2009, en punto a protección de medioambiente y del entorno urbano, y que se reitera y justifica en el preámbulo del Decreto-ley 7/2014, de 23 de diciembre. Se destaca, a mayor abundamiento, que el artículo 4.2 del Decreto-ley 1/2009 establece cuáles son los objetivos principales a seguir con las disposiciones reguladoras del emplazamiento de los equipamientos comerciales, objetivos que son también de aplicación a los supuestos contemplados en la disposición adicional duodécima, añadida por el impugnado artículo 95. En definitiva, </w:t>
      </w:r>
      <w:r>
        <w:lastRenderedPageBreak/>
        <w:t>todo un conjunto de razones de carácter territorial, urbanístico, medioambiental y de protección de los derechos de los consumidores admitidos por los artículos 5, 10 y 11.1 a) de la Ley 17/2009, de 23 de noviembre, sobre el libre acceso a las actividades de servicios y su ejercicio. Se afirma que la disposición adicional duodécima del Decreto-ley 1/2009 no añade nuevas restricciones a la implantación de establecimientos comerciales fuera de la trama urbana consolidada respecto de las ya establecidas en el artículo 9.3 y 4 del Decreto-ley 1/2009, consideradas acordes con la legislación básica estatal por la STC 193/2013. Por todo ello, la repetida disposición adicional duodécima es respetuosa con lo establecido en la citada Sentencia constitucional y en la Sentencia del Tribunal de Justicia de la Unión Europea de 24 de marzo de 2011, respondiendo a razones imperiosas de interés general vinculadas a la necesidad de proteger el impacto en el territorio, el entorno, el medioambiente y la movilidad, lo que es plenamente aceptado por la Directiva de servicios (art. 15.2) y por la Ley 17/2009 (arts. 3.11 y 11.2). En definitiva, el precepto impugnado es plenamente constitucional por tener cabida su regulación dentro de los supuestos establecidos en la Ley de ordenación de comercio minorista (art. 6), en la Ley 17/2009 (arts. 5 y 10) y en la Ley 20/2013 (arts. 3 y 5) y, en consecuencia, ser plenamente acorde con la legislación básica del Estado, no ser discriminatoria y ser proporcionada a las razones imperiosas de interés general invocadas en el Decreto- Ley 1/2009.</w:t>
      </w:r>
    </w:p>
    <w:p w:rsidR="00A90898" w:rsidRDefault="00A90898" w:rsidP="00A90898">
      <w:pPr>
        <w:pStyle w:val="TextoNormal"/>
      </w:pPr>
    </w:p>
    <w:p w:rsidR="00A90898" w:rsidRDefault="00A90898" w:rsidP="00A90898">
      <w:pPr>
        <w:pStyle w:val="TextoNormal"/>
      </w:pPr>
      <w:r>
        <w:t>c) En cuanto a las disposiciones adicionales vigésima segunda a vigésima sexta, se aduce, en primer lugar, la improcedencia de las consideraciones políticas y preventivas de la demanda. Tras citar el artículo 3.1 del Código civil, se viene a sostener que el recurso está contaminado por valoraciones políticas y que esta controversia constitucional se debe afrontar solo con criterios jurídicos. Se observa, asimismo, que estas disposiciones adicionales provienen de enmiendas de un grupo parlamentario que sufrieron cambios y modificaciones a lo largo del procedimiento y sobre las que dictaminó el Consejo de Garantías Estatutarias que las mismas eran, con una excepción, contrarias al ordenamiento jurídico. Tras este dictamen, dichas enmiendas fueron modificadas.</w:t>
      </w:r>
    </w:p>
    <w:p w:rsidR="00A90898" w:rsidRDefault="00A90898" w:rsidP="00A90898">
      <w:pPr>
        <w:pStyle w:val="TextoNormal"/>
      </w:pPr>
    </w:p>
    <w:p w:rsidR="00A90898" w:rsidRDefault="00A90898" w:rsidP="00A90898">
      <w:pPr>
        <w:pStyle w:val="TextoNormal"/>
      </w:pPr>
      <w:r>
        <w:t>El recurso quiere impugnar no la Ley en sí misma, sino el contexto político en que surge, pero ello excede claramente de lo admisible, pues significaría asumir que la Ley pueda ser declarada inconstitucional por mera precaución o prevención ante su posible mal uso, lo que no cabe en el control abstracto de la ley ni se acomoda a la presunción de legitimidad de la misma.</w:t>
      </w:r>
    </w:p>
    <w:p w:rsidR="00A90898" w:rsidRDefault="00A90898" w:rsidP="00A90898">
      <w:pPr>
        <w:pStyle w:val="TextoNormal"/>
      </w:pPr>
    </w:p>
    <w:p w:rsidR="00A90898" w:rsidRDefault="00A90898" w:rsidP="00A90898">
      <w:pPr>
        <w:pStyle w:val="TextoNormal"/>
      </w:pPr>
      <w:r>
        <w:t xml:space="preserve">Con cita del fundamento jurídico 4 c) de la STC 42/2014, se afirma la legitimidad de planteamientos que modifiquen el orden legal y constitucional, la inexistencia de un núcleo inaccesible a los procedimientos de reforma constitucional y que la iniciativa para esta corresponde también a la Generalitat (arts. 87.2 y 166 CE), para lo cual es preciso admitir también una labor previa de los órganos de la Comunidad Autónoma para la preparación de ese proyecto o iniciativa. Se añade que los planes y actuaciones previstos en las disposiciones adicionales recurridas no comportan la puesta en marcha de un proceso de reforma constitucional y que, si acaso, servirán como material preparatorio para posteriormente llevarla a cabo. Pero el tenor literal de estas disposiciones no prefigura las actuaciones a realizar o el procedimiento a seguir por el Gobierno de la Generalitat o por el Parlamento de Cataluña. La Constitución establece diversas vías (arts. 150.1, 150.2, 167 y 168) y otros cambios se pueden conseguir por la reforma de leyes como la LOFCA. Es evidente que una reforma </w:t>
      </w:r>
      <w:r>
        <w:lastRenderedPageBreak/>
        <w:t>constitucional ha de venir precedida de un análisis profundo y riguroso del proyecto y resultaría absurdo pensar que la Constitución impide el estudio y preparación de una iniciativa de reforma constitucional antes de su formulación por el procedimiento que fija el título X de la propia Constitución. Tras citar el fundamento jurídico 6 b) del ATC 135/2004, se dice que la demanda parte de un planteamiento político que quiere expulsar del marco constitucional y del juego democrático la defensa de una idea política y cualquier vía que pueda servir para expresarla dentro del marco de la Constitución. Esta premisa no puede ser asumida y por ello el debate debe resolverse con criterios jurídicos y no políticos, teniendo como marco de referencia lo que expresa la Ley impugnada y no imaginando y aislando una hipotética y futura aplicación de la misma.</w:t>
      </w:r>
    </w:p>
    <w:p w:rsidR="00A90898" w:rsidRDefault="00A90898" w:rsidP="00A90898">
      <w:pPr>
        <w:pStyle w:val="TextoNormal"/>
      </w:pPr>
    </w:p>
    <w:p w:rsidR="00A90898" w:rsidRDefault="00A90898" w:rsidP="00A90898">
      <w:pPr>
        <w:pStyle w:val="TextoNormal"/>
      </w:pPr>
      <w:r>
        <w:t>La parte actora parece afirmar que no puede estudiarse un cambio legislativo o constitucional, pero si el pensamiento no delinque, las alternativas, hipótesis o estudios tampoco. Un Gobierno autonómico puede estudiar un ámbito para solicitar al Gobierno o a las Cortes Generales que les sea transferido, ya a través de una reforma constitucional, ya mediante una de las figuras del art. 150 CE. Los estudios u otros instrumentos de preparación no tienen efectos jurídicos ni vinculación para las instituciones o los ciudadanos. Son simples disposiciones organizativas, de programación y de preparación de futuras resoluciones que podrán o no adoptarse. Los mandatos del Parlamento al Gobierno de la Generalitat de emprender proyectos, catálogos, o de crear órganos, son medidas que no prejuzgan por qué vía se puede llegar a producir una modificación del bloque de la constitucionalidad. Las alternativas al vigente ordenamiento jurídico no sólo deben existir en el plano de la hipótesis, sino también en el del estudio, la prospectiva o el proyecto. Si no se pudieran realizar actividades de proyección o de intención en materias que no son competencias autonómicas se desvirtuaría el artículo 150 CE, sobre delegación y transferencia de competencias estatales, y los artículos 167 y 168 CE, quedaría anulada la dirección política del Gobierno y se falsearía el propio sentido evolutivo del Estado social y democrático de Derecho.</w:t>
      </w:r>
    </w:p>
    <w:p w:rsidR="00A90898" w:rsidRDefault="00A90898" w:rsidP="00A90898">
      <w:pPr>
        <w:pStyle w:val="TextoNormal"/>
      </w:pPr>
    </w:p>
    <w:p w:rsidR="00A90898" w:rsidRDefault="00A90898" w:rsidP="00A90898">
      <w:pPr>
        <w:pStyle w:val="TextoNormal"/>
      </w:pPr>
      <w:r>
        <w:t>d) Se añade que las disposiciones adicionales impugnadas son susceptibles de interpretaciones acordes a la Constitución y que no tienen la pretensión de innovar el ordenamiento jurídico, teniendo mitigada, si no excluida, la eficacia y vinculación jurídicas a terceros. Además, las actuaciones dirigidas a la preparación y confección de planes, inventario y catálogo no exceden de las competencias de la Generalitat, pues son simplemente instrumentos preparatorios de futuras propuestas de cambios del ordenamiento vigente, a nivel constitucional o legal.</w:t>
      </w:r>
    </w:p>
    <w:p w:rsidR="00A90898" w:rsidRDefault="00A90898" w:rsidP="00A90898">
      <w:pPr>
        <w:pStyle w:val="TextoNormal"/>
      </w:pPr>
    </w:p>
    <w:p w:rsidR="00A90898" w:rsidRDefault="00A90898" w:rsidP="00A90898">
      <w:pPr>
        <w:pStyle w:val="TextoNormal"/>
      </w:pPr>
      <w:r>
        <w:t xml:space="preserve">e) Por lo que se refiere, en particular, a la disposición adicional vigésima segunda, se citan los arts. 203.4 y 204 EAC, señalando que este último precepto fue declarado conforme a la Constitución por la STC 31/2010 (FJ 132). Según la doctrina constitucional y conforme a los artículos 133.1 y 149.1.14 CE y a lo dispuesto en la LOFCA, el Estado es titular de las competencias normativas inherentes a todos sus tributos, si bien respecto a los tributos cedidos puede atribuirlas a las Comunidades Autónomas (arts. 10 y 19 LOFCA y art. 45 de la Ley 22/2009). Por ello, el régimen legal de los tributos cedidos es sustancialmente diferente en función de la figura tributaria de la que se trata (SSTC 161/2012, de 12 de septiembre, FJ 3, y 204/2011, FJ 8). La Ley 22/2009, de 18 de diciembre, por la que se regula el sistema de financiación de las Comunidades Autónomas de régimen común y ciudades con Estatuto de Autonomía y se modifican determinadas normas tributarias, determina en qué supuestos las Comunidades Autónomas pueden asumir competencias normativas para la regulación </w:t>
      </w:r>
      <w:r>
        <w:lastRenderedPageBreak/>
        <w:t>de los procedimientos de gestión, recaudación, liquidación e inspección de los tributos susceptibles de cesión, posibilidad que la Generalitat ya ejerce con relación a diversos tributos. Dicho lo anterior, la disposición impugnada establece un mandato al Gobierno para que elabore un instrumento de planificación estratégica (“plan director”) con unos contenidos mínimos y considera que la atribución de nuevas funciones es “eventual”, pues el Estado puede delegar o transferir competencias en virtud del artículo 150 CE o se podría realizar directamente una reforma de la Constitución. Incluso se podría simplemente ampliar la capacidad normativa sobre los tributos cedidos mediante las oportunas reformas legales. Esta disposición adicional no usa la expresión “tributos soportados en Cataluña” que constaba en la redacción originaria de la enmienda 426 y que el Consejo de Garantías Estatutarias consideró contraria a los artículos 133.1, 149.1.14 y 157.3 CE y sin amparo en el art. 203 EAC. En consecuencia es plenamente constitucional por contener un simple mandato al Gobierno de la Generalitat que no introduce cambios en el ordenamiento jurídico y por declarar que la asunción de nuevas funciones es una eventualidad.</w:t>
      </w:r>
    </w:p>
    <w:p w:rsidR="00A90898" w:rsidRDefault="00A90898" w:rsidP="00A90898">
      <w:pPr>
        <w:pStyle w:val="TextoNormal"/>
      </w:pPr>
    </w:p>
    <w:p w:rsidR="00A90898" w:rsidRDefault="00A90898" w:rsidP="00A90898">
      <w:pPr>
        <w:pStyle w:val="TextoNormal"/>
      </w:pPr>
      <w:r>
        <w:t>f) En cuanto a la disposición adicional vigésima tercera, se citan el artículo 132.1 CE y los artículos 215 y 159.1 a) EAC, así como el artículo 149.1.18 de la norma fundamental y la doctrina constitucional sobre el mismo (SSTC 94/2013, de 23 de abril, FJ 4, y 162/2009, de 29 de junio, FJ 4). Se señala que la normativa reguladora del régimen jurídico del patrimonio de la Generalitat se ha desarrollado por el Decreto legislativo 1/2002, de 24 de diciembre, que aprueba el texto refundido de la Ley de patrimonio de la Generalitat y por el Decreto 323/1983, de 14 de julio, que aprueba el Reglamento ejecutivo de la Ley 11/1981, de 7 de diciembre, de patrimonio de la Generalitat. La demanda señala el “sentido equívoco” de la expresión “administraciones públicas de Cataluña”, observándose ahora que la enmienda original se refería a “las administraciones públicas con presencia actual en Cataluña o con implicación en Cataluña”, de ahí que se puede afirmar que la redacción actual no incluye a la Administración del Estado o a la de la Comisión Europea. Dicho esto, se señala que el actual marco constitucional y estatutario habilita al Gobierno de la Generalitat para realizar el inventario de la propia Generalitat, entendida como el conjunto de administraciones públicas “de” Cataluña y, por lo tanto, sobre todas aquellas administraciones incluidas en el artículo 2 EAC y recogidas actualmente en el art. 3 de la Ley 26/2010, de 3 de agosto, de régimen jurídico y de procedimiento de las administraciones públicas de Cataluña. Al amparo de los arts. 159, 160 y 218.5, en conexión con el artículo 2, todos del EAC, la Generalitat puede ejercer las opciones normativas que considere oportunas sobre el régimen jurídico de todas las instituciones y administraciones que la componen como sistema institucional, incluidos los entes locales. Conforme al art. 2 EAC, la Generalitat no engloba sólo las instituciones autonómicas de ámbito territorial catalán, sino también el resto de instituciones y órganos públicos presentes en Cataluña, lo que entronca con la jurisprudencia constitucional (SSTC 214/1989, de 21 de diciembre, y 109/1998, de 21 de mayo). Por ello, en el ejercicio de las funciones de tutela financiera, corresponde a la Generalitat conocer la situación patrimonial de los Ayuntamientos y, por lo tanto, su inventario de bienes, su pasivo y su activo.</w:t>
      </w:r>
    </w:p>
    <w:p w:rsidR="00A90898" w:rsidRDefault="00A90898" w:rsidP="00A90898">
      <w:pPr>
        <w:pStyle w:val="TextoNormal"/>
      </w:pPr>
    </w:p>
    <w:p w:rsidR="00A90898" w:rsidRDefault="00A90898" w:rsidP="00A90898">
      <w:pPr>
        <w:pStyle w:val="TextoNormal"/>
      </w:pPr>
      <w:r>
        <w:t>Se afirma, pues, la plena constitucionalidad de esta disposición adicional, que circunscribe su ámbito a los inventarios que el Gobierno catalán puede realizar, según la normativa vigente, de los entes y administraciones públicas encuadradas en el concepto de “Generalitat”.</w:t>
      </w:r>
    </w:p>
    <w:p w:rsidR="00A90898" w:rsidRDefault="00A90898" w:rsidP="00A90898">
      <w:pPr>
        <w:pStyle w:val="TextoNormal"/>
      </w:pPr>
    </w:p>
    <w:p w:rsidR="00A90898" w:rsidRDefault="00A90898" w:rsidP="00A90898">
      <w:pPr>
        <w:pStyle w:val="TextoNormal"/>
      </w:pPr>
      <w:r>
        <w:lastRenderedPageBreak/>
        <w:t>g) Por lo que se refiere a la disposición adicional vigésima cuarta (catálogo de infraestructuras estratégicas), se cita el artículo 2 de la Directiva 2008/114/CE del Consejo, de 8 de diciembre, y se afirma que es claro que la materia en la que se encuadra esta disposición adicional se inserta en el título competencial de la seguridad pública, caracterizado como competencia exclusiva del Estado ex artículo 149.1.29 CE (STC 86/2014, de 29 de mayo, FJ 4), si bien la norma fundamental prevé la asunción de competencias por parte de las Comunidades Autónomas que se doten en sus respectivos Estatutos de Autonomía de cuerpos policiales propios. Tras citar el artículo 164 EAC, se señala que la jurisprudencia del Tribunal Constitucional ha delimitado el alcance de las competencias autonómicas sobre las base de dos criterios: primero, que el ámbito correspondiente a la creación de las policías autonómicas no sólo tiene un carácter orgánico, sino también funcional; segundo, que determinadas facultades administrativas complementarias de la seguridad ciudadana no son susceptibles de ser segregadas de las tareas propias de las fuerzas y cuerpos de seguridad (SSTC 104/1989, de 8 de junio, FJ 4, 154/2005, de 9 de junio. FFJJ 5 a 8, y 86/2014, FJ 4). La Directiva citada ha sido traspuesta por el Estado mediante la Ley 8/2011, de 28 de abril, desarrollada por el Real Decreto 704/2011, de 20 de mayo. La referida Ley define las estructuras críticas y las distingue de la categoría más amplia que son las estratégicas [art. 2.d) y e)], siendo de remarcar que esta Ley 8/2011 se ampara en el artículo 149.1.29 CE y que no tiene incidencia en el ámbito de la protección civil (disposiciones finales primera y segunda).</w:t>
      </w:r>
    </w:p>
    <w:p w:rsidR="00A90898" w:rsidRDefault="00A90898" w:rsidP="00A90898">
      <w:pPr>
        <w:pStyle w:val="TextoNormal"/>
      </w:pPr>
    </w:p>
    <w:p w:rsidR="00A90898" w:rsidRDefault="00A90898" w:rsidP="00A90898">
      <w:pPr>
        <w:pStyle w:val="TextoNormal"/>
      </w:pPr>
      <w:r>
        <w:t>A diferencia de la primera parte de la enmienda 428, suprimida durante la tramitación parlamentaria, la disposición adicional vigésima cuarta no encarga al Gobierno de la Generalitat la elaboración de una regulación legal, sino que pretende que haga un catálogo, actuación eminentemente instrumental y ejecutiva. Por ello, pese a que el Estado es titular de la competencia exclusiva sobre seguridad pública (art. 149.1.29 CE) y puede adoptar su propio catálogo, se puede estimar que, respetando los parámetros que establezca la normativa estatal para la categorización de estas infraestructuras y observando la debida colaboración en este ámbito, el Gobierno de la Generalitat podría elaborar, caso de considerarlo conveniente, un catálogo con las infraestructuras estratégicas de su territorio y sería extraño, por ejemplo, que no tuviera listadas las centrales nucleares presentes en Cataluña. De la misma manera, al amparo de sus competencias funcionales y organizativas en materia de cuerpos de seguridad y policía (arts. 164, 71.6 y 150 EAC), la Generalitat también podría crear la comisión interdepartamental a la que esta disposición adicional se refiere. En todo caso, el ejercicio de esta facultad debería apoyarse en un marco de acuerdo con el Estado que previera los mecanismos de colaboración y de inserción de la actuación de la Generalitat en el sistema que prefiguran la Directiva europea y la Ley estatal.</w:t>
      </w:r>
    </w:p>
    <w:p w:rsidR="00A90898" w:rsidRDefault="00A90898" w:rsidP="00A90898">
      <w:pPr>
        <w:pStyle w:val="TextoNormal"/>
      </w:pPr>
    </w:p>
    <w:p w:rsidR="00A90898" w:rsidRDefault="00A90898" w:rsidP="00A90898">
      <w:pPr>
        <w:pStyle w:val="TextoNormal"/>
      </w:pPr>
      <w:r>
        <w:t>Es posible, por ello, realizar una interpretación de esta disposición adicional conforme a la Constitución, pues las medidas a las que hace referencia pueden ser el establecimiento de procedimientos de cooperación o coordinación con el Estado.</w:t>
      </w:r>
    </w:p>
    <w:p w:rsidR="00A90898" w:rsidRDefault="00A90898" w:rsidP="00A90898">
      <w:pPr>
        <w:pStyle w:val="TextoNormal"/>
      </w:pPr>
    </w:p>
    <w:p w:rsidR="00A90898" w:rsidRDefault="00A90898" w:rsidP="00A90898">
      <w:pPr>
        <w:pStyle w:val="TextoNormal"/>
      </w:pPr>
      <w:r>
        <w:t xml:space="preserve">h) En cuanto a la disposición adicional vigésima quinta (creación de la Agencia Catalana de la Protección Social) se citan los artículos 166 (servicios sociales) y 165 (seguridad social) EAC y se señala que el primero de estos preceptos incluye el conjunto de actividades y programas dedicados a mejorar el bienestar de las personas y de los grupos o también de aquellas actividades de ayuda humana, técnica e incluso material demandada por la población en situaciones de necesidad. Tras citar la STC 239/2002, de 11 de diciembre (FJ 5) en </w:t>
      </w:r>
      <w:r>
        <w:lastRenderedPageBreak/>
        <w:t>punto a la noción de “asistencia social”, se subraya que el carácter exclusivo de la competencia de la Generalitat en materia de servicios sociales deriva del doble hecho de que esta competencia no aparece mencionada en el art. 149.1 CE y de que se considera expresamente reservada a la asunción estatutaria por el artículo 148.1.20. Respecto de la competencia de seguridad social, se cita el artículo 165 EAC y la jurisprudencia constitucional que ha delimitado las competencias en este ámbito precisando que corresponde al Estado la competencia sobre la legislación básica y a las Comunidades Autónomas su desarrollo reglamentario y ejecución (STC 124/1989, de 7 de julio, FJ 3).</w:t>
      </w:r>
    </w:p>
    <w:p w:rsidR="00A90898" w:rsidRDefault="00A90898" w:rsidP="00A90898">
      <w:pPr>
        <w:pStyle w:val="TextoNormal"/>
      </w:pPr>
    </w:p>
    <w:p w:rsidR="00A90898" w:rsidRDefault="00A90898" w:rsidP="00A90898">
      <w:pPr>
        <w:pStyle w:val="TextoNormal"/>
      </w:pPr>
      <w:r>
        <w:t>La Agencia Catalana de la Protección Social asumiría un haz de competencias en dos momentos: de forma inmediata, las que gestionan actualmente los diversos departamentos del Gobierno catalán, incluyendo las prestaciones de protección social, propias o transferidas por el Estado, como también las prestaciones o mejoras que eventualmente decida incorporar la Generalitat al amparo de sus competencias ex artículos 165 y 166 EAC; y, eventualmente, las demás competencias que, por ser de titularidad estatal, requieren que se lleve a cabo previamente el correspondiente proceso de transferencia (art. 150.2 CE).</w:t>
      </w:r>
    </w:p>
    <w:p w:rsidR="00A90898" w:rsidRDefault="00A90898" w:rsidP="00A90898">
      <w:pPr>
        <w:pStyle w:val="TextoNormal"/>
      </w:pPr>
    </w:p>
    <w:p w:rsidR="00A90898" w:rsidRDefault="00A90898" w:rsidP="00A90898">
      <w:pPr>
        <w:pStyle w:val="TextoNormal"/>
      </w:pPr>
      <w:r>
        <w:t>La Generalitat tiene plena capacidad para concentrar las actuaciones relacionadas con prestaciones sociales en un solo organismo y por tanto nada se opone a que, al amparo de sus competencias sustantivas (arts. 165 y 166 EAC) y de organización y gestión de los servicios públicos (arts. 71.6 y 150 EAC), se prevea la creación de una entidad que actúe con personalidad jurídica propia, autonomía administrativa y económica y plena capacidad de obrar, todo ello de acuerdo con las tendencias organizativas más recientes del sector público e incluso con la previsión establecida en la disposición adicional séptima de la Ley 27/2011.</w:t>
      </w:r>
    </w:p>
    <w:p w:rsidR="00A90898" w:rsidRDefault="00A90898" w:rsidP="00A90898">
      <w:pPr>
        <w:pStyle w:val="TextoNormal"/>
      </w:pPr>
    </w:p>
    <w:p w:rsidR="00A90898" w:rsidRDefault="00A90898" w:rsidP="00A90898">
      <w:pPr>
        <w:pStyle w:val="TextoNormal"/>
      </w:pPr>
      <w:r>
        <w:t>Con relación a las prestaciones de la Seguridad Social, se invoca el artículo 165.2 EAC y se recuerda que las facultades en él previstas ya han estado siendo ejercidas por el Instituto Catalán de Asistencia y Servicios Sociales. Se añade que el hecho de que el anteproyecto de ley al que hace referencia esta disposición adicional deba dotar a la Agencia de una estructura suficiente para hacerse cargo de la eventual asunción de competencias que ejerce la Administración del Estado no supone inconstitucionalidad ni antiestatutariedad, pues se puede entender que la futura ley no se erige en norma de asunción directa de competencias, posibilidad que sólo puede operar conforme el art. 150.2 CE. Por todo ello, la disposición no es contraria a la Constitución.</w:t>
      </w:r>
    </w:p>
    <w:p w:rsidR="00A90898" w:rsidRDefault="00A90898" w:rsidP="00A90898">
      <w:pPr>
        <w:pStyle w:val="TextoNormal"/>
      </w:pPr>
    </w:p>
    <w:p w:rsidR="00A90898" w:rsidRDefault="00A90898" w:rsidP="00A90898">
      <w:pPr>
        <w:pStyle w:val="TextoNormal"/>
      </w:pPr>
      <w:r>
        <w:t xml:space="preserve">i) En cuanto a la disposición adicional vigésima sexta (plan director relativo a los sectores de la energía, de las telecomunicaciones y los sistemas de información y del transporte ferroviario), se cita la STC 208/1999, en la que se declaró que la defensa de la competencia no estaba atribuida expresamente al Estado por la Constitución y que podría corresponder a las Comunidades Autónomas en virtud de sus Estatutos (FJ 5), si bien la misma Sentencia reconoció la intervención del Estado en la materia en virtud del título ex art. 149.1.13 CE (FJ 6). Tras hacer mención de la Ley 1/2002, de 21 de febrero, de coordinación de las competencias del Estado y de las Comunidades Autónomas en materia de la defensa de la competencia y citar el art. 154 EAC, se afirma que la disposición adicional vigésima sexta no es inconstitucional, pues no se cuestionan las competencias estatales en materia de regulación de los servicios de red, otorgadas a partir de la Ley 3/2013, de 4 de junio, de creación de la Comisión Nacional de los Mercados y la Competencia. Esta disposición adicional simplemente insta al Gobierno de la Generalitat a la elaboración de un plan director que plantee </w:t>
      </w:r>
      <w:r>
        <w:lastRenderedPageBreak/>
        <w:t>un modelo de políticas de competencias y de regulación desde un punto de vista teórico y sin ninguna modificación normativa o nueva legislación que permita ponerlo en práctica. La parte actora basa sus argumentos en el dictamen 3/2015 del Consejo de Garantías Estatutarias, que versó sobre la enmienda 431, con un contenido muy diferente de lo que acabó siendo esta disposición adicional. No se comprende la cita en la demanda de la STC 108/2014, pues la Comisión Nacional de los Mercados y la competencia y los demás organismos reguladores han ido aplicando las competencias estatales sin ningún impedimento u obstrucción por parte de las autoridades catalanas y no parece que la redacción de esta disposición adicional pueda limitar tales competencias en ningún sentido. Se citan, adicionalmente, las competencias de la Generalitat sobre energía y minas, infraestructuras de transporte y de las comunicaciones, medios de comunicación social y servicios de contenido audiovisual, planificación, ordenación y promoción de la actividad, transportes y auto organización (arts. 133, 140, 146, 152, 169 y 71 EAC). Por ello, la disposición adicional vigésima sexta es acorde al marco constitucional.</w:t>
      </w:r>
    </w:p>
    <w:p w:rsidR="00A90898" w:rsidRDefault="00A90898" w:rsidP="00A90898">
      <w:pPr>
        <w:pStyle w:val="TextoNormal"/>
      </w:pPr>
    </w:p>
    <w:p w:rsidR="00A90898" w:rsidRDefault="00A90898" w:rsidP="00A90898">
      <w:pPr>
        <w:pStyle w:val="TextoNormal"/>
      </w:pPr>
      <w:r>
        <w:t>Se concluyó solicitando que se dictara Sentencia en la que se declarara la plena constitucionalidad de los preceptos impugnados.</w:t>
      </w:r>
    </w:p>
    <w:p w:rsidR="00A90898" w:rsidRDefault="00A90898" w:rsidP="00A90898">
      <w:pPr>
        <w:pStyle w:val="TextoNormal"/>
      </w:pPr>
    </w:p>
    <w:p w:rsidR="00A90898" w:rsidRDefault="00A90898" w:rsidP="00A90898">
      <w:pPr>
        <w:pStyle w:val="TextoNormal"/>
      </w:pPr>
      <w:r w:rsidRPr="00A90898">
        <w:rPr>
          <w:rStyle w:val="NumeroAFNegritaCaracter"/>
        </w:rPr>
        <w:t>7</w:t>
      </w:r>
      <w:r>
        <w:t>. El Pleno, por providencia de uno de septiembre de 2015, acordó incorporar a los autos los escritos presentados por los Abogados de la Generalitat de Cataluña y los Letrados del Parlamento de Cataluña, en representación del Gobierno de Cataluña y de dicha Cámara, y en cuanto a la solicitud que formula la representación de la Generalitat sobre el levantamiento de la suspensión de los preceptos objeto del recurso acordó oír al Abogado del Estado y al Parlamento de Cataluña para que, en el plazo de cinco días, expusieran lo que estimasen procedente sobre el levantamiento o mantenimiento de dicha suspensión. Sólo presentó alegaciones al respecto, mediante escrito de 9 de septiembre de 2015, el Abogado del Estado, pidiendo el mantenimiento de las suspensión de todos los preceptos impugnados.</w:t>
      </w:r>
    </w:p>
    <w:p w:rsidR="00A90898" w:rsidRDefault="00A90898" w:rsidP="00A90898">
      <w:pPr>
        <w:pStyle w:val="TextoNormal"/>
      </w:pPr>
    </w:p>
    <w:p w:rsidR="00A90898" w:rsidRDefault="00A90898" w:rsidP="00A90898">
      <w:pPr>
        <w:pStyle w:val="TextoNormal"/>
      </w:pPr>
      <w:r>
        <w:t>Por Auto de 3 de noviembre de 2015, acordó el Pleno mantener la suspensión del art. 69 y de las disposiciones adicionales vigésima segunda a vigésima sexta de la Ley del Parlamento de Cataluña 3/2015, de 11 de marzo, de medidas fiscales, financieras y administrativas, y levantar la suspensión del art. 95 de la misma Ley.</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5 de julio de 2016 se señaló para deliberación y votación de la presente Sentencia el día 7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Impugna el Presidente del Gobierno, mediante este recurso, los artículos 69 y 95, así como las disposiciones adicionales vigésima segunda a vigésima sexta, de la Ley de la Comunidad Autónoma de Cataluña 3/2015, de 11 de marzo, de medidas fiscales, financieras y administrativas. A unos y a otros preceptos imputa la demanda del Abogado del Estado, en los términos que han quedado dichos, determinadas infracciones competenciales y a las mentadas disposiciones adicionales, además, una vulneración de los artículos 1.2, 2, 9.1 y 168 CE, por el designio común a todas ellas de crear, habilitar o preparar lo que identifica la demanda como “estructuras de Estado”, tacha ésta, a cuya denuncia dedica el recurso la </w:t>
      </w:r>
      <w:r>
        <w:lastRenderedPageBreak/>
        <w:t>parte primera y más extensa de sus razonamientos. Nuestro enjuiciamiento seguirá, como de ordinario, la secuencia de unas reglas y otras en la Ley parcialmente recurrida.</w:t>
      </w:r>
    </w:p>
    <w:p w:rsidR="00A90898" w:rsidRDefault="00A90898" w:rsidP="00A90898">
      <w:pPr>
        <w:pStyle w:val="TextoNormal"/>
      </w:pPr>
    </w:p>
    <w:p w:rsidR="00A90898" w:rsidRDefault="00A90898" w:rsidP="00A90898">
      <w:pPr>
        <w:pStyle w:val="TextoNormal"/>
      </w:pPr>
      <w:r w:rsidRPr="00A90898">
        <w:rPr>
          <w:rStyle w:val="NumeroAFNegritaCaracter"/>
        </w:rPr>
        <w:t>2</w:t>
      </w:r>
      <w:r>
        <w:t>. El primero de los preceptos de la Ley 3/2015 que se impugna es el artículo 69, que, bajo la rúbrica “Modificación de la Ley 15/2001 (Servicio Meteorológico de Cataluña)”, dice así:</w:t>
      </w:r>
    </w:p>
    <w:p w:rsidR="00A90898" w:rsidRDefault="00A90898" w:rsidP="00A90898">
      <w:pPr>
        <w:pStyle w:val="TextoNormal"/>
      </w:pPr>
    </w:p>
    <w:p w:rsidR="00A90898" w:rsidRDefault="00A90898" w:rsidP="00A90898">
      <w:pPr>
        <w:pStyle w:val="TextoNormal"/>
      </w:pPr>
      <w:r>
        <w:t>“Se añade una letra, la k bis, al artículo 4 de la Ley 15/2001, de 14 de noviembre, de meteorología, con el siguiente texto:</w:t>
      </w:r>
    </w:p>
    <w:p w:rsidR="00A90898" w:rsidRDefault="00A90898" w:rsidP="00A90898">
      <w:pPr>
        <w:pStyle w:val="TextoNormal"/>
      </w:pPr>
    </w:p>
    <w:p w:rsidR="00A90898" w:rsidRDefault="00A90898" w:rsidP="00A90898">
      <w:pPr>
        <w:pStyle w:val="TextoNormal"/>
      </w:pPr>
      <w:r>
        <w:t>k bis) Prestar servicios de abastecimiento de información meteorológica de apoyo a la navegación aérea.”</w:t>
      </w:r>
    </w:p>
    <w:p w:rsidR="00A90898" w:rsidRDefault="00A90898" w:rsidP="00A90898">
      <w:pPr>
        <w:pStyle w:val="TextoNormal"/>
      </w:pPr>
    </w:p>
    <w:p w:rsidR="00A90898" w:rsidRDefault="00A90898" w:rsidP="00A90898">
      <w:pPr>
        <w:pStyle w:val="TextoNormal"/>
      </w:pPr>
      <w:r>
        <w:t>Para la mejor inteligencia de esta modificación normativa se ha de tener presente que la Ley 15/2001, así parcialmente reformada, creó el servicio meteorológico de Cataluña “como entidad de derecho público de la Generalidad”, servicio adscrito al “departamento competente en materia de medio ambiente”, con la condición de “medio propio instrumental y de servicio técnico de la Administración de la Generalidad de Cataluña y de los entes, organismos y entidades que dependen de la misma o están vinculados a ella” (números 1, 3 y 4 de su artículo 1) y cuyas funciones se relacionan en el artículo 4; más concretamente en su número 2, apartado que es en el que se inscribe el nuevo enunciado introducido por el artículo que aquí se impugna.</w:t>
      </w:r>
    </w:p>
    <w:p w:rsidR="00A90898" w:rsidRDefault="00A90898" w:rsidP="00A90898">
      <w:pPr>
        <w:pStyle w:val="TextoNormal"/>
      </w:pPr>
    </w:p>
    <w:p w:rsidR="00A90898" w:rsidRDefault="00A90898" w:rsidP="00A90898">
      <w:pPr>
        <w:pStyle w:val="TextoNormal"/>
      </w:pPr>
      <w:r>
        <w:t>Imputa la demanda a este artículo 69 la invasión de la competencia exclusiva del Estado sobre “control del espacio aéreo”, “tránsito y transporte aéreo” y “servicio meteorológico” (art. 149.1.20 CE), ámbitos estos que, examinado en conjunto, estarían sustraídos a la competencia de la Generalitat, lo que determinaría la inconstitucionalidad denunciada. Advierte la demanda que la modificación de la Ley 15/2001 se vincula directamente con la competencia, exclusiva del Estado, sobre control de la navegación aérea, siendo así que no puede haber dos competencias concurrentes sobre control meteorológico “coincidentes o superpuestas en el mismo espacio aéreo, pues las Comunidades Autónomas, como Administraciones territoriales que son, carecen de competencias más allá de su propio ámbito territorial”.</w:t>
      </w:r>
    </w:p>
    <w:p w:rsidR="00A90898" w:rsidRDefault="00A90898" w:rsidP="00A90898">
      <w:pPr>
        <w:pStyle w:val="TextoNormal"/>
      </w:pPr>
    </w:p>
    <w:p w:rsidR="00A90898" w:rsidRDefault="00A90898" w:rsidP="00A90898">
      <w:pPr>
        <w:pStyle w:val="TextoNormal"/>
      </w:pPr>
      <w:r>
        <w:t>Las representaciones de la Generalitat y del Parlamento de Cataluña han defendido, en los términos expuestos en los antecedentes, la constitucionalidad del precepto impugnado con cita del art. 144.5 del Estatuto de Autonomía (EAC), precepto que determinaría que en orden a la meteorología se estaría, por lo dicho en la STC 31/2010, de 28 de junio, ante una situación de “perfecta concurrencia” competencial entre el Estado y la Comunidad Autónoma. Más allá de esta invocación, ambas representaciones han argumentado la validez del mismo sobre la base de las disposiciones del Derecho comunitario que ordenan la figura de los proveedores de servicios de navegación aérea y, en especial, de servicios meteorológicos.</w:t>
      </w:r>
    </w:p>
    <w:p w:rsidR="00A90898" w:rsidRDefault="00A90898" w:rsidP="00A90898">
      <w:pPr>
        <w:pStyle w:val="TextoNormal"/>
      </w:pPr>
    </w:p>
    <w:p w:rsidR="00A90898" w:rsidRDefault="00A90898" w:rsidP="00A90898">
      <w:pPr>
        <w:pStyle w:val="TextoNormal"/>
      </w:pPr>
      <w:r>
        <w:t>Se traba así la controversia entre las partes. Su resolución no solo requiere la previa identificación de los títulos competenciales en litigio, sino, a la vista de las alegaciones, la aclaración de cuál ha de ser la medida normativa para nuestra decisión.</w:t>
      </w:r>
    </w:p>
    <w:p w:rsidR="00A90898" w:rsidRDefault="00A90898" w:rsidP="00A90898">
      <w:pPr>
        <w:pStyle w:val="TextoNormal"/>
      </w:pPr>
    </w:p>
    <w:p w:rsidR="00A90898" w:rsidRDefault="00A90898" w:rsidP="00A90898">
      <w:pPr>
        <w:pStyle w:val="TextoNormal"/>
      </w:pPr>
      <w:r>
        <w:lastRenderedPageBreak/>
        <w:t>El juicio sobre la constitucionalidad de la ley lo debe realizar el Tribunal, exclusivamente, sobre la base de las disposiciones que forman el bloque de la constitucionalidad, en el que, para impugnaciones competenciales, como es el caso, integran solo la Constitución y, subordinados a ella, los Estatutos de Autonomía, junto a “las Leyes que, dentro del marco constitucional, se hubieran dictado para delimitar las competencias del Estado y las diferentes Comunidades Autónomas o para regular o armonizar el ejercicio de las competencias de éstas” [art. 28.1 de la Ley Orgánica del Tribunal Constitucional (LOTC)]. Algo tan común en nuestra doctrina no sería de recordar ahora si no fuera porque en las alegaciones en defensa del precepto impugnado se aducen normas que, como las del Derecho europeo, ni son canon de constitucionalidad de las leyes, estatales o autonómicas, ni predeterminan el reparto interno de competencias en orden al desarrollo o ejecución de la normativa comunitaria; ello sin perjuicio de que esta última normativa se pueda tomar como elemento interpretativo útil para encuadrar materialmente la cuestión debatida ante nosotros (entre otras, y según el orden de las referencias, SSTC 161/2014, de 7 de octubre, FJ 3; 58/2015, de 18 de marzo, FJ 3, y 103/2015, de 28 de mayo, FJ 3).</w:t>
      </w:r>
    </w:p>
    <w:p w:rsidR="00A90898" w:rsidRDefault="00A90898" w:rsidP="00A90898">
      <w:pPr>
        <w:pStyle w:val="TextoNormal"/>
      </w:pPr>
    </w:p>
    <w:p w:rsidR="00A90898" w:rsidRDefault="00A90898" w:rsidP="00A90898">
      <w:pPr>
        <w:pStyle w:val="TextoNormal"/>
      </w:pPr>
      <w:r>
        <w:t>Es ya posible, a partir de lo anterior, examinar los títulos competenciales en presencia y apreciar si la nueva función atribuida por la norma impugnada al Servicio Meteorológico de Cataluña lo ha sido, o no, de conformidad con la Constitución y con el Estatuto de Autonomía de Cataluña.</w:t>
      </w:r>
    </w:p>
    <w:p w:rsidR="00A90898" w:rsidRDefault="00A90898" w:rsidP="00A90898">
      <w:pPr>
        <w:pStyle w:val="TextoNormal"/>
      </w:pPr>
    </w:p>
    <w:p w:rsidR="00A90898" w:rsidRDefault="00A90898" w:rsidP="00A90898">
      <w:pPr>
        <w:pStyle w:val="TextoNormal"/>
      </w:pPr>
      <w:r>
        <w:t>El apartado k bis) del artículo 4.2 de la Ley 15/2001 tiene por objeto un aspecto singular de la genérica función meteorológica asignada al Servicio creado y regulado por dicha norma legal, pero lo que se ha de decidir ahora es si tal objeto, para la concreta regla impugnada, es, reconducible, a efectos competenciales, a la materia “servicio meteorológico” sobre la que el Estado ostenta una competencia exclusiva que cabe sin embargo conciliar, atendidas las reservas y límites señalados en nuestra STC 31/2010, con la atribución a las Comunidades Autónomas, por sus respectivos Estatutos, de la posibilidad de dotarse de servicios análogos. Dijimos en aquella Sentencia —con ocasión, precisamente, del enjuiciamiento del artículo 144.5 EAC— que semejante atribución estatutaria era constitucionalmente lícita siempre que la competencia autonómica se restringiera al respectivo territorio y a condición, junto a ello, de que no se limitara la plena competencia estatal en la totalidad del territorio español, lo que incluye la adopción de cualquier medida normativa y aplicativa con apoyo físico en todo el territorio del Estado (FJ 88). De este pasaje jurisprudencial se podría deducir que el servicio meteorológico es, para las Comunidades Autónomas que lo que tengan atribuido en sus Estatutos, una competencia concurrente con la que el Estado ostenta en virtud del artículo 149.1.20 CE. Semejante conclusión solo tendría una validez de principio, acotada a la posible institución, por las Comunidades Autónomas, de organismos con responsabilidades en este ámbito, pues la meteorología puede incidir sobre una pluralidad de sectores de actividad y no hay que excluir que ello imponga la identificación, con efectos jurídico-constitucionales, de subsectores determinados dentro de ese ámbito meteorológico cuyo régimen competencial deba tener en cuenta títulos distintos del que tiene por objeto la meteorología [STC 53/2016, de 17 de marzo, FJ 2 c)].</w:t>
      </w:r>
    </w:p>
    <w:p w:rsidR="00A90898" w:rsidRDefault="00A90898" w:rsidP="00A90898">
      <w:pPr>
        <w:pStyle w:val="TextoNormal"/>
      </w:pPr>
    </w:p>
    <w:p w:rsidR="00A90898" w:rsidRDefault="00A90898" w:rsidP="00A90898">
      <w:pPr>
        <w:pStyle w:val="TextoNormal"/>
      </w:pPr>
      <w:r>
        <w:t xml:space="preserve">Así habría de afirmarse, por ejemplo, para la meteorología al servicio de la defensa y de las Fuerzas Armadas (art. 149.1.4 CE) y así hemos de advertirlo ahora en lo que afecta a su aplicación en apoyo de la navegación aérea, que constituye un sector material inescindible del régimen jurídico, en general, de esa misma navegación y, de manera singular, de las </w:t>
      </w:r>
      <w:r>
        <w:lastRenderedPageBreak/>
        <w:t>competencias exclusivas que al Estado corresponden para el control del espacio aéreo y en orden al tránsito y el transporte aéreos (art. 149.1.20 CE y STC 68/1984, de 11 de junio, FJ 6). La intersección que así se produce entre las genéricas competencias estatales sobre servicio meteorológico (que, aisladamente consideradas, no impedirían —con las reservas dichas— la existencia de análogos servicios de competencia autonómica) y las que al mismo Estado le corresponden sobre la navegación aérea determinan que no pueda una Comunidad Autónoma atribuir funciones en este ámbito a organismos propios al amparo de su competencia, igualmente genérica, para dotarse de un servicio meteorológico, siendo del todo claro que estas últimas competencias del Estado no pueden ser desconocidas o condicionadas mediante el ejercicio por las Comunidades Autónomas —ejercicio irregular, entonces— de las que estatutariamente les corresponden sobre ámbitos distintos (STC 161/2004, FJ 6). Así se ha hecho mediante el impugnado artículo 69, lo que impone declararlo contrario al artículo 149.1.20 CE y al propio artículo 144.5 EAC.</w:t>
      </w:r>
    </w:p>
    <w:p w:rsidR="00A90898" w:rsidRDefault="00A90898" w:rsidP="00A90898">
      <w:pPr>
        <w:pStyle w:val="TextoNormal"/>
      </w:pPr>
    </w:p>
    <w:p w:rsidR="00A90898" w:rsidRDefault="00A90898" w:rsidP="00A90898">
      <w:pPr>
        <w:pStyle w:val="TextoNormal"/>
      </w:pPr>
      <w:r w:rsidRPr="00A90898">
        <w:rPr>
          <w:rStyle w:val="NumeroAFNegritaCaracter"/>
        </w:rPr>
        <w:t>3</w:t>
      </w:r>
      <w:r>
        <w:t>. Se ha impugnado, asimismo, el artículo 95 de la Ley 3/2015, precepto que, bajo la rúbrica “Modificación del Decreto ley 1/2009 (Equipamientos comerciales)”, dispone lo siguiente:</w:t>
      </w:r>
    </w:p>
    <w:p w:rsidR="00A90898" w:rsidRDefault="00A90898" w:rsidP="00A90898">
      <w:pPr>
        <w:pStyle w:val="TextoNormal"/>
      </w:pPr>
    </w:p>
    <w:p w:rsidR="00A90898" w:rsidRDefault="00A90898" w:rsidP="00A90898">
      <w:pPr>
        <w:pStyle w:val="TextoNormal"/>
      </w:pPr>
      <w:r>
        <w:t>“Se añade una disposición adicional, la duodécima, al Decreto ley 1/2009, de 22 de diciembre, de ordenación de los equipamientos comerciales, con el siguiente texto:</w:t>
      </w:r>
    </w:p>
    <w:p w:rsidR="00A90898" w:rsidRDefault="00A90898" w:rsidP="00A90898">
      <w:pPr>
        <w:pStyle w:val="TextoNormal"/>
      </w:pPr>
    </w:p>
    <w:p w:rsidR="00A90898" w:rsidRDefault="00A90898" w:rsidP="00A90898">
      <w:pPr>
        <w:pStyle w:val="TextoNormal"/>
      </w:pPr>
      <w:r>
        <w:t>Duodécima. Excepciones a los criterios de localización y ordenación del uso comercial.</w:t>
      </w:r>
    </w:p>
    <w:p w:rsidR="00A90898" w:rsidRDefault="00A90898" w:rsidP="00A90898">
      <w:pPr>
        <w:pStyle w:val="TextoNormal"/>
      </w:pPr>
    </w:p>
    <w:p w:rsidR="00A90898" w:rsidRDefault="00A90898" w:rsidP="00A90898">
      <w:pPr>
        <w:pStyle w:val="TextoNormal"/>
      </w:pPr>
      <w:r>
        <w:t>Los pequeños y medianos establecimientos comerciales, individuales o colectivos, pueden implantarse dentro de las instalaciones de los puertos de titularidad pública, con gestión directa o indirecta, siempre y cuando estén situados en los entornos de la trama urbana consolidada del municipio, no perjudiquen el uso portuario y así se justifique mediante un informe favorable del departamento competente en materia de puertos. Estos establecimientos comerciales no pueden configurar, en ningún caso, un gran establecimiento comercial o gran establecimiento comercial territorial, sin perjuicio de los establecimientos comerciales singulares regulados por el artículo 6 b).”</w:t>
      </w:r>
    </w:p>
    <w:p w:rsidR="00A90898" w:rsidRDefault="00A90898" w:rsidP="00A90898">
      <w:pPr>
        <w:pStyle w:val="TextoNormal"/>
      </w:pPr>
    </w:p>
    <w:p w:rsidR="00A90898" w:rsidRDefault="00A90898" w:rsidP="00A90898">
      <w:pPr>
        <w:pStyle w:val="TextoNormal"/>
      </w:pPr>
      <w:r>
        <w:t xml:space="preserve">El impugnado artículo 95 introduce en el Decreto-ley 1/2009 una disposición adicional “duodécima” (ordinal erróneo, como todas las partes han constatado) cuyo contenido es tildado de inconstitucional en la demanda por cuanto impondría unas restricciones a la libertad de establecimiento que, a decir de la parte actora, no se motivan de ninguna manera ni se justifican por razones imperiosas de interés general, lo que sería contrario a la legislación básica del Estado por referencia al artículo 6 de la Ley 7/1996, de 15 de enero, de ordenación del comercio minorista (cuyo artículo 5 enuncia aquel principio de “libertad de establecimiento comercial”), a los artículos 5 y 10 de la Ley 17/2009, de 23 de noviembre, sobre libre acceso a las actividades de servicios y su ejercicio (que incorporó a nuestro Derecho la Directiva 2006/123/CE, del Parlamento Europeo y del Consejo, de 12 de diciembre, relativa a los servicios en el mercado interior) y a los artículos 3 y 5 de la Ley 20/2013, de 9 de diciembre, de garantía de la unidad de mercado. En unos y otros preceptos se sienta y garantiza el referido principio de libertad de establecimiento y se limita la posibilidad de sujetar a un régimen de autorización o a determinados requisitos el acceso, en general, a actividades de servicios y la apertura de establecimientos comerciales, posible sujeción que —de nuevo en términos generales— queda condicionada a las exigencias sustantivas de </w:t>
      </w:r>
      <w:r>
        <w:lastRenderedPageBreak/>
        <w:t>unas normas y otras y, en todo caso, a su motivación o justificación, por la ley que la establezca, en “razones imperiosas de interés general” —exclusión no motivada, subraya la demanda— de los “grandes establecimientos comerciales” y de los “grandes establecimientos comerciales territoriales”.</w:t>
      </w:r>
    </w:p>
    <w:p w:rsidR="00A90898" w:rsidRDefault="00A90898" w:rsidP="00A90898">
      <w:pPr>
        <w:pStyle w:val="TextoNormal"/>
      </w:pPr>
    </w:p>
    <w:p w:rsidR="00A90898" w:rsidRDefault="00A90898" w:rsidP="00A90898">
      <w:pPr>
        <w:pStyle w:val="TextoNormal"/>
      </w:pPr>
      <w:r>
        <w:t>Los Abogados de la Generalitat y los Letrados del Parlamento de Cataluña han alegado que el precepto impugnado se adoptó en legítimo ejercicio de competencias correspondientes a la Comunidad Autónoma y que el mismo se acomoda a aquella Directiva 2006/123/CE, tesis en cuya corrección o incorrección no entraremos, pues, con arreglo a constante jurisprudencia de este Tribunal, el Derecho europeo no es canon de constitucionalidad de las leyes estatales o autonómicas (por todas, STC 84/2015, de 30 de abril, FJ 6). Las competencias estatutarias invocadas por estas representaciones son la relativa a “comercio y ferias” reconocida en el artículo 121 EAC, la defensa de los derechos de los consumidores y usuarios enunciada en el artículo 123 a) EAC, invocación a la que la representación de la Generalitat añade la de las competencias declaradas en los artículos 140.1 d) (para la delimitación de la zona de servicios de los puertos y la determinación de los usos, equipamientos y actividades complementarias dentro del recinto de aquéllos) y 149.5 EAC, en materia de urbanismo.</w:t>
      </w:r>
    </w:p>
    <w:p w:rsidR="00A90898" w:rsidRDefault="00A90898" w:rsidP="00A90898">
      <w:pPr>
        <w:pStyle w:val="TextoNormal"/>
      </w:pPr>
    </w:p>
    <w:p w:rsidR="00A90898" w:rsidRDefault="00A90898" w:rsidP="00A90898">
      <w:pPr>
        <w:pStyle w:val="TextoNormal"/>
      </w:pPr>
      <w:r>
        <w:t>Así planteada la contradicción entre las partes, procede ya identificar los títulos competenciales en liza; examinar la normativa estatal que la demanda aduce como básica y contrastar con ella, de ser así procedente, el precepto recurrido para determinar si al adoptarlo se ha infringido aquella normativa y, a su través, las disposiciones del bloque de la constitucionalidad que serían aquí de tener en consideración.</w:t>
      </w:r>
    </w:p>
    <w:p w:rsidR="00A90898" w:rsidRDefault="00A90898" w:rsidP="00A90898">
      <w:pPr>
        <w:pStyle w:val="TextoNormal"/>
      </w:pPr>
    </w:p>
    <w:p w:rsidR="00A90898" w:rsidRDefault="00A90898" w:rsidP="00A90898">
      <w:pPr>
        <w:pStyle w:val="TextoNormal"/>
      </w:pPr>
      <w:r>
        <w:t>A) El artículo 95 de la Ley 3/2015 disciplina un aspecto parcial, ratione territorii, del régimen de implantación de establecimientos comerciales, objeto de ordenación éste que, a efectos competenciales, resulta reconducible al título enunciado en el artículo 121.1 d) EAC y conforme al cual corresponde a la Generalitat “la clasificación y la planificación territorial de los equipamientos comerciales y la regulación de los requisitos y del régimen de instalación … de los establecimientos”. Esta específica competencia en materia de comercio es la que ejerció aquí —correctamente o no— el Parlamento de Cataluña, sin que los demás títulos citados en defensa de la norma impugnada, sean de pertinente consideración para la resolución del caso. No lo es la competencia ex artículo 123 a) EAC para la defensa de los derechos de unos consumidores a quienes en nada se refiere y para nada afecta, en tanto que destinatarios de productos ofrecidos por empresas, el precepto controvertido (por todas, STC 26/2012, de 1 de marzo, FFJJ 10 y 11). Tampoco resulta procedente la cita de la competencia autonómica sobre “puertos”, y ello porque en las competencias sobre puertos no se comprenden cualesquiera actividades, distintas de las portuarias, que puedan desarrollarse en ellos (STC 40/1998, de 19 de febrero, FJ 33). Y no cabe compartir que el artículo 95 se haya dictado en ejercicio de la competencia sobre urbanismo ex artículo 149.5 EAC.</w:t>
      </w:r>
    </w:p>
    <w:p w:rsidR="00A90898" w:rsidRDefault="00A90898" w:rsidP="00A90898">
      <w:pPr>
        <w:pStyle w:val="TextoNormal"/>
      </w:pPr>
    </w:p>
    <w:p w:rsidR="00A90898" w:rsidRDefault="00A90898" w:rsidP="00A90898">
      <w:pPr>
        <w:pStyle w:val="TextoNormal"/>
      </w:pPr>
      <w:r>
        <w:t>La condición de “exclusiva” que el artículo 121.1 d) EAC atribuye a esta competencia autonómica sobre comercio no impide que incidan en su mismo ámbito material, limitándola, las que el Estado ostenta en virtud de sus propios títulos y, específicamente, la enunciada en el ya citado artículo 149.1.13 CE en orden a las bases y a la coordinación de la planificación general de la actividad económica. Así lo hemos reconocido en no pocos pronunciamientos (por todos, STC 170/2012, de 4 de octubre, FJ 8).</w:t>
      </w:r>
    </w:p>
    <w:p w:rsidR="00A90898" w:rsidRDefault="00A90898" w:rsidP="00A90898">
      <w:pPr>
        <w:pStyle w:val="TextoNormal"/>
      </w:pPr>
    </w:p>
    <w:p w:rsidR="00A90898" w:rsidRDefault="00A90898" w:rsidP="00A90898">
      <w:pPr>
        <w:pStyle w:val="TextoNormal"/>
      </w:pPr>
      <w:r>
        <w:t>Así identificada la competencia autonómica y la estatal hemos de considerar si las normas legales que la demanda invoca como básicas lo son efectivamente.</w:t>
      </w:r>
    </w:p>
    <w:p w:rsidR="00A90898" w:rsidRDefault="00A90898" w:rsidP="00A90898">
      <w:pPr>
        <w:pStyle w:val="TextoNormal"/>
      </w:pPr>
    </w:p>
    <w:p w:rsidR="00A90898" w:rsidRDefault="00A90898" w:rsidP="00A90898">
      <w:pPr>
        <w:pStyle w:val="TextoNormal"/>
      </w:pPr>
      <w:r>
        <w:t>B) Se aduce por el Abogado del Estado que el artículo 95 de la Ley 3/2015 ha contrariado lo dispuesto, con el carácter de normas básicas, por los artículos 6 de la Ley 7/1996, de ordenación del comercio minorista; 5 y 10 de la Ley 17/2009, sobre el libre acceso a las actividades de servicios y su ejercicio, y 3 y 5 de la Ley 20/2013, de garantía de la unidad de mercado, conculcación que se argumenta con la afirmación de que el precepto recurrido establece una restricción a la libertad de establecimiento (enunciada y garantizada en los artículos 5 de la Ley 7/1996 y 4 de la Ley 17/2009 , así como en el capítulo II, en general, de la Ley 20/2013); limitación que, se dice, “no se motiva de ninguna manera, ni se justifica por razones imperiosas de interés general”.</w:t>
      </w:r>
    </w:p>
    <w:p w:rsidR="00A90898" w:rsidRDefault="00A90898" w:rsidP="00A90898">
      <w:pPr>
        <w:pStyle w:val="TextoNormal"/>
      </w:pPr>
    </w:p>
    <w:p w:rsidR="00A90898" w:rsidRDefault="00A90898" w:rsidP="00A90898">
      <w:pPr>
        <w:pStyle w:val="TextoNormal"/>
      </w:pPr>
      <w:r>
        <w:t>a) Que las disposiciones de las leyes citadas se presentan, por expresa calificación del legislador, con el carácter de básicas es algo que ha sido puntualizado para todas y cada una de ellas (disposición final única de la Ley 7/1996, disposición final primera de la Ley 17/2009 y disposición final cuarta de la Ley 20/2013). Unos y otros preceptos son reconocibles como básicos a la luz del artículo 149.1.13 CE, y a efectos del enjuiciamiento que aquí nos corresponde es algo para lo que resulta de la mayor relevancia lo declarado en el fundamento jurídico 5 de la STC 26/2012, de 1 de marzo, y, de manera especial, en el fundamento jurídico 4 de la ya varias veces citada STC 193/2013, reiterativa, en lo sustancial, de la doctrina sentada por la anterior y a las que nos debemos remitir.</w:t>
      </w:r>
    </w:p>
    <w:p w:rsidR="00A90898" w:rsidRDefault="00A90898" w:rsidP="00A90898">
      <w:pPr>
        <w:pStyle w:val="TextoNormal"/>
      </w:pPr>
    </w:p>
    <w:p w:rsidR="00A90898" w:rsidRDefault="00A90898" w:rsidP="00A90898">
      <w:pPr>
        <w:pStyle w:val="TextoNormal"/>
      </w:pPr>
      <w:r>
        <w:t>Es cierto que los artículos 6 de la Ley 7/1996 y 5 de la Ley 17/2009, así considerados básicos en pronunciamientos anteriores de este Tribunal, han sido objeto, recaídas ya aquellas Sentencias, de algunas modificaciones legislativas por obra, en cuanto al primero de dichos preceptos, de la ya citada Ley 18/2014 (art. 6) y, respecto del segundo, de la disposición final 2.1 de la Ley 20/2013. A lo anterior habría que añadir que las nuevas versiones de los artículos 6 de la Ley 7/1996 y 5 de la Ley 17/2009, han sido objeto entre otras impugnaciones, de los recursos de inconstitucionalidad 283-2015 y 1411-2014, citados, en la demanda.</w:t>
      </w:r>
    </w:p>
    <w:p w:rsidR="00A90898" w:rsidRDefault="00A90898" w:rsidP="00A90898">
      <w:pPr>
        <w:pStyle w:val="TextoNormal"/>
      </w:pPr>
    </w:p>
    <w:p w:rsidR="00A90898" w:rsidRDefault="00A90898" w:rsidP="00A90898">
      <w:pPr>
        <w:pStyle w:val="TextoNormal"/>
      </w:pPr>
      <w:r>
        <w:t xml:space="preserve">Las advertencias que acaban de hacerse no conducen a que deba ahora este Tribunal, para resolver la actual controversia, examinar si los preceptos alegados como básicos en la demanda —no idénticos ya en todo a los confirmados como tales en pronunciamientos anteriores— muestran o no esa condición, examen que conllevaría una cierta anticipación del juicio constitucional pendiente sobre algunos de ellos. Tal examen preliminar no es ahora preciso, pues las SSTC 26/2012 y 193/2013 afirmaron en su día el carácter básico de concretas determinaciones del repetido artículo 6 de la Ley 7/1996 que no han sido objeto de ulterior modificación legal ni de las impugnaciones dichas, aunque tales modificaciones y recursos sí afecten a otros enunciados del mismo precepto. Aquellos pronunciamientos constitucionales constataron, como hemos recordado, que la exigencia de que la ley motivara suficientemente “en razones imperiosas de interés general” el régimen de autorización al que se pudiera someter la apertura de establecimientos comerciales (artículo 6.1 de la Ley 7/1996, en su anterior redacción) tenía, entre otras determinaciones legales, la condición de exigencia básica a la luz del artículo 149.1.13 CE , de modo que, no discutida ni en el presente recurso ni en otros pendientes de sentencia tal principio, en sí mismo, de motivación </w:t>
      </w:r>
      <w:r>
        <w:lastRenderedPageBreak/>
        <w:t>legal, y no modificada sustancialmente la redacción del repetido artículo 6, bastará partir de los enunciados que hoy lo reiteran, con expresiones análogas, en dicho precepto (últimos incisos de sus apartados 1 y 2) como exigencias básicas y, en cuanto tales, medida de validez de la disposición impugnada, a la que la demanda reprocha haber establecido una prohibición de implantación de ciertos formatos de establecimiento comercial sin expresar las razones imperiosas de interés general que pudieran justificar tal limitación (En el mismo sentido STC 73/2016, de 14 de abril FJ 6).</w:t>
      </w:r>
    </w:p>
    <w:p w:rsidR="00A90898" w:rsidRDefault="00A90898" w:rsidP="00A90898">
      <w:pPr>
        <w:pStyle w:val="TextoNormal"/>
      </w:pPr>
    </w:p>
    <w:p w:rsidR="00A90898" w:rsidRDefault="00A90898" w:rsidP="00A90898">
      <w:pPr>
        <w:pStyle w:val="TextoNormal"/>
      </w:pPr>
      <w:r>
        <w:t>Análogo requerimiento de motivación legal establece el artículo 5 de la Ley 17/2009, considerado básico, junto a otros preceptos, por la STC 26/2012 (FJ 5) y que, no modificado ni impugnado después en cuanto a tal exigencia genérica, hemos de tomar también como referencia para enjuiciar la constitucionalidad, a efectos competenciales, de la disposición recurrida y sin que ello prejuzgue la resolución final a dictar, sobre otros extremos de la regulación legal, en los recursos de inconstitucionalidad pendientes de sentencia.</w:t>
      </w:r>
    </w:p>
    <w:p w:rsidR="00A90898" w:rsidRDefault="00A90898" w:rsidP="00A90898">
      <w:pPr>
        <w:pStyle w:val="TextoNormal"/>
      </w:pPr>
    </w:p>
    <w:p w:rsidR="00A90898" w:rsidRDefault="00A90898" w:rsidP="00A90898">
      <w:pPr>
        <w:pStyle w:val="TextoNormal"/>
      </w:pPr>
      <w:r>
        <w:t>b) Llegados a este punto podemos afirmar que no se atempera el precepto recurrido a las exigencias básicas y de principio recién consideradas. En modo alguno puede aceptarse la prohibición o exclusión que la norma hace y en virtud de la cual deviene imposible la implantación, en los puertos públicos, de establecimientos comerciales de determinada naturaleza (grandes establecimientos comerciales y grandes establecimientos comerciales territoriales), interdicción que —una vez abierto el espacio portuario a la actividad comercial— se configura como una restricción a la libertad de establecimiento que debió haber sido objeto de justificación o motivación suficiente por el legislador con arreglo a la normativa básica que le vincula. Pero ni el preámbulo de la Ley 3/2015 dice cosa alguna en este punto, ni su artículo 95 aporta nada a los mismos efectos.</w:t>
      </w:r>
    </w:p>
    <w:p w:rsidR="00A90898" w:rsidRDefault="00A90898" w:rsidP="00A90898">
      <w:pPr>
        <w:pStyle w:val="TextoNormal"/>
      </w:pPr>
    </w:p>
    <w:p w:rsidR="00A90898" w:rsidRDefault="00A90898" w:rsidP="00A90898">
      <w:pPr>
        <w:pStyle w:val="TextoNormal"/>
      </w:pPr>
      <w:r>
        <w:t>El legislador que introdujo esta restricción debió haber sido el que diera razón de ella, de modo que nada dice en defensa de esta inmotivada restricción legal lo alegado por los Letrados del Parlamento de Cataluña con cita de los “objetivos” perseguidos, en su día, por el Decreto-ley 1/2009 (art. 4.2), parcialmente reformado por este artículo 95. Las razones imperiosas de interés general no han de identificarse aliunde, sino exponerse en la propia norma (aquí, la Ley 3/2015) que constriña o excepcione la libertad de establecimiento.</w:t>
      </w:r>
    </w:p>
    <w:p w:rsidR="00A90898" w:rsidRDefault="00A90898" w:rsidP="00A90898">
      <w:pPr>
        <w:pStyle w:val="TextoNormal"/>
      </w:pPr>
    </w:p>
    <w:p w:rsidR="00A90898" w:rsidRDefault="00A90898" w:rsidP="00A90898">
      <w:pPr>
        <w:pStyle w:val="TextoNormal"/>
      </w:pPr>
      <w:r>
        <w:t>El artículo 95 de la Ley 3/2015 es, por cuanto antecede, contrario al artículo 149.1.13 CE, así como al artículo 121.1 d) EAC.</w:t>
      </w:r>
    </w:p>
    <w:p w:rsidR="00A90898" w:rsidRDefault="00A90898" w:rsidP="00A90898">
      <w:pPr>
        <w:pStyle w:val="TextoNormal"/>
      </w:pPr>
    </w:p>
    <w:p w:rsidR="00A90898" w:rsidRDefault="00A90898" w:rsidP="00A90898">
      <w:pPr>
        <w:pStyle w:val="TextoNormal"/>
      </w:pPr>
      <w:r w:rsidRPr="00A90898">
        <w:rPr>
          <w:rStyle w:val="NumeroAFNegritaCaracter"/>
        </w:rPr>
        <w:t>4</w:t>
      </w:r>
      <w:r>
        <w:t>. La primera y más extensa parte de la demanda se dedica a argumentar la inconstitucionalidad de las disposiciones adicionales vigésima segunda a vigésima sexta de la Ley 3/2015, cada una de las cuales incorpora un determinado mandato al Gobierno de la Generalitat en orden, respectivamente, a la aprobación de un plan director de la Administración tributaria de Cataluña (disposición adicional vigésima segunda); a la elaboración de un inventario del patrimonio de las administraciones públicas de Cataluña (vigésima tercera) de un catálogo de infraestructuras estratégicas (vigésima cuarta); la elaboración de un anteproyecto de ley de creación de la Agencia Catalana de Protección Social y a la aprobación de un plan director de protección social (vigésima quinta) y a la presentación de un plan director relativo a los sectores de la energía, de las telecomunicaciones y los sistemas de infor</w:t>
      </w:r>
      <w:r>
        <w:lastRenderedPageBreak/>
        <w:t>mación y del transporte ferroviario (vigésima sexta). Estas encomiendas deberían cumplimentarse por el Gobierno de la Comunidad Autónoma, a tenor de unas y otras de las normas referidas, en un cierto plazo, fijado siempre en meses.</w:t>
      </w:r>
    </w:p>
    <w:p w:rsidR="00A90898" w:rsidRDefault="00A90898" w:rsidP="00A90898">
      <w:pPr>
        <w:pStyle w:val="TextoNormal"/>
      </w:pPr>
    </w:p>
    <w:p w:rsidR="00A90898" w:rsidRDefault="00A90898" w:rsidP="00A90898">
      <w:pPr>
        <w:pStyle w:val="TextoNormal"/>
      </w:pPr>
      <w:r>
        <w:t>Reprocha la demanda a estas disposiciones adicionales dos órdenes de infracciones constitucionales. De una parte, la contradicción de determinados preceptos del bloque de la constitucionalidad relativos a la distribución y articulación de competencias entre el Estado y la Comunidad Autónoma sobre los ámbitos materiales en cada caso afectados. De la otra, la vulneración de lo prescrito en los artículos 1.2, 2, 9.1 y 168 CE, pues las disposiciones impugnadas se orientarían, atendido el contexto en que han sido adoptadas, a la creación de unas “estructuras de Estado”, en el marco de un “autodenominado proceso de transición nacional” para la “eventual independencia de Cataluña”, y supondrían, por lo mismo, actuaciones unilaterales que serían, “materialmente”, de reforma constitucional. Unas y otras tachas de inconstitucionalidad han sido negadas por las representaciones de la Generalitat y del Parlamento de Cataluña, alegando que se sale al paso de las concretas censuras por exceso e infracción competenciales formuladas, contra cada una de esas disposiciones adicionales, así como a los demás argumentos que se oponen frente a ellas, o frente a algunos de los argumentos de alcance general que se plantean, objeciones que importa recordar ahora. Se aduce que las disposiciones impugnadas deben ser interpretadas y enjuiciadas en atención a su propio sentido y tenor literal, no a partir del contexto político que la demanda trae a colación; que las mismas incorporan “simples mandatos” al Gobierno (mandatos internos, se puntualiza) sin efectos jurídicos para terceros, y que no producen una vulneración actual y de presente de la Constitución, de modo tal que su impugnación debiera ser, por preventiva, “objeto de inadmisión”; y, en fin, que tales mandatos “pueden enmarcarse” en un proceso de “estudio y preparación” de una hipotética iniciativa de reforma constitucional a instancia de la propia Comunidad Autónoma (se citan los artículos 87.2 y 166 CE) o de modificación, también a su solicitud, de otras normas del ordenamiento para un “eventual incremento” de las competencias autonómicas, todo lo cual conduciría ahora a la necesaria interpretación conforme a la Constitución de las reglas impugnadas y al rechazo, también en cuanto a ellas, del recurso de inconstitucionalidad.</w:t>
      </w:r>
    </w:p>
    <w:p w:rsidR="00A90898" w:rsidRDefault="00A90898" w:rsidP="00A90898">
      <w:pPr>
        <w:pStyle w:val="TextoNormal"/>
      </w:pPr>
    </w:p>
    <w:p w:rsidR="00A90898" w:rsidRDefault="00A90898" w:rsidP="00A90898">
      <w:pPr>
        <w:pStyle w:val="TextoNormal"/>
      </w:pPr>
      <w:r>
        <w:t>Con carácter previo a la impugnación y defensa específicas de cada una de las disposiciones recurridas, la contradicción entre las partes tiene, como bien se ve, un alcance general o de conjunto ante el que son procedentes, también, algunas consideraciones preliminares.</w:t>
      </w:r>
    </w:p>
    <w:p w:rsidR="00A90898" w:rsidRDefault="00A90898" w:rsidP="00A90898">
      <w:pPr>
        <w:pStyle w:val="TextoNormal"/>
      </w:pPr>
    </w:p>
    <w:p w:rsidR="00A90898" w:rsidRDefault="00A90898" w:rsidP="00A90898">
      <w:pPr>
        <w:pStyle w:val="TextoNormal"/>
      </w:pPr>
      <w:r w:rsidRPr="00A90898">
        <w:rPr>
          <w:rStyle w:val="NumeroAFNegritaCaracter"/>
        </w:rPr>
        <w:t>5</w:t>
      </w:r>
      <w:r>
        <w:t>. Lo expuesto en la demanda y en las alegaciones frente a ella, requiere, para fijar con corrección el objeto de nuestro enjuiciamiento, de las siguientes puntualizaciones:</w:t>
      </w:r>
    </w:p>
    <w:p w:rsidR="00A90898" w:rsidRDefault="00A90898" w:rsidP="00A90898">
      <w:pPr>
        <w:pStyle w:val="TextoNormal"/>
      </w:pPr>
    </w:p>
    <w:p w:rsidR="00A90898" w:rsidRDefault="00A90898" w:rsidP="00A90898">
      <w:pPr>
        <w:pStyle w:val="TextoNormal"/>
      </w:pPr>
      <w:r>
        <w:t>A) En lo que hace a la demanda, conviene tanto determinar ahora el alcance jurídico-constitucional, que para el presente proceso tienen sus referencias —legítimas desde la posición procesal que ostenta en el recurso— al contexto político en el que se adoptaron por el Parlamento de Cataluña las disposiciones que impugna, como fijar cuáles deban ser, de entre las invocadas, las normas del bloque de la constitucionalidad que han de ser aquí referencia de nuestro juicio.</w:t>
      </w:r>
    </w:p>
    <w:p w:rsidR="00A90898" w:rsidRDefault="00A90898" w:rsidP="00A90898">
      <w:pPr>
        <w:pStyle w:val="TextoNormal"/>
      </w:pPr>
    </w:p>
    <w:p w:rsidR="00A90898" w:rsidRDefault="00A90898" w:rsidP="00A90898">
      <w:pPr>
        <w:pStyle w:val="TextoNormal"/>
      </w:pPr>
      <w:r>
        <w:t xml:space="preserve">a) Por lo que a la primera de estas cuestiones se refiere, importa recordar que estamos ante un recurso de inconstitucionalidad y que en este tipo de procedimiento el Tribunal “garantiza la primacía de la Constitución y enjuicia la conformidad o disconformidad con </w:t>
      </w:r>
      <w:r>
        <w:lastRenderedPageBreak/>
        <w:t>ella de las Leyes, disposiciones o actos impugnados” (art. 27.1 LOTC). Se trata de un control “en abstracto” de la norma impugnada, desvinculado de cualquier consideración concreta sobre su aplicación a un específico supuesto de hecho, y también de un control “objetivo”, pues la regla controvertida ha de ser enjuiciada en atención a su sentido propio, sin que —de nuevo para este específico proceso— sean objeto de nuestro control las intenciones del legislador, su estrategia política o su propósito último; ello sin perjuicio de que pueda este Tribunal, a la hora del enjuiciamiento, tomar en consideración el preámbulo de la ley como pauta de interpretación de una u otra de sus normas (por todas, STC 14/2015, de 5 de febrero, FJ 4; en términos análogos, SSTC 15/2015, de igual fecha, FFJJ 2 y 4, y 197/2014, de 4 de diciembre, FFJJ 1 y 5).</w:t>
      </w:r>
    </w:p>
    <w:p w:rsidR="00A90898" w:rsidRDefault="00A90898" w:rsidP="00A90898">
      <w:pPr>
        <w:pStyle w:val="TextoNormal"/>
      </w:pPr>
    </w:p>
    <w:p w:rsidR="00A90898" w:rsidRDefault="00A90898" w:rsidP="00A90898">
      <w:pPr>
        <w:pStyle w:val="TextoNormal"/>
      </w:pPr>
      <w:r>
        <w:t>Sobre el designio último de las disposiciones adicionales vigésima segunda a vigésima sexta, impugnadas, el preámbulo de la Ley 3/2015 se limita a afirmar que “determinan la elaboración de varios planes directores y demás instrumentos de planificación”, mientras que el mismo preámbulo cuando trata del resto de las disposiciones, de la primera a la vigésima primera, se extiende en ocho párrafos precedentes en explicar el por qué y la finalidad de cada una de ellas. Ese proceder suscita las legítimas dudas aducidas por el Abogado del Estado sobre cuál es la voluntad del legislador autonómico al eludir expresar de este modo el alcance de las mismas, que la Cámara de la que emanan no podía desconocer en relación con el denominado proceso de desconexión del Estado, iniciado por el Parlamento y la Generalitat de Cataluña.</w:t>
      </w:r>
    </w:p>
    <w:p w:rsidR="00A90898" w:rsidRDefault="00A90898" w:rsidP="00A90898">
      <w:pPr>
        <w:pStyle w:val="TextoNormal"/>
      </w:pPr>
    </w:p>
    <w:p w:rsidR="00A90898" w:rsidRDefault="00A90898" w:rsidP="00A90898">
      <w:pPr>
        <w:pStyle w:val="TextoNormal"/>
      </w:pPr>
      <w:r>
        <w:t>Pese a ello, y sin ignorar esa realidad jurídico política, y como ya anticipamos, desde el enjuiciamiento constitucional que al Tribunal le corresponde cuando resuelve un recurso de inconstitucionalidad, atenderemos tan solo al enunciado y al contenido de esas disposiciones adicionales, que no pueden ser integrados, a efectos de su interpretación y control jurídicos, por referencia a manifestaciones, declaraciones o informes como los mencionados en la demanda, puesto que son formalmente ajenos al procedimiento parlamentario al cabo del cual se aprobaron esas normas, dejando de lado cualquier otra consideración que no sea la de su conformidad o no con la Constitución. El Tribunal enjuicia disposiciones, finalmente adoptadas por la Cámara, no los textos que, en el procedimiento legislativo, estuvieron en su origen. Dicho queda con ello que tampoco han de ser relevantes para este control de constitucionalidad las consideraciones que la demanda expresa sobre la redacción inicial de las enmiendas que dieron lugar a las disposiciones recurridas, disposiciones cuyos enunciados no coinciden ya con el texto de aquellas enmiendas.</w:t>
      </w:r>
    </w:p>
    <w:p w:rsidR="00A90898" w:rsidRDefault="00A90898" w:rsidP="00A90898">
      <w:pPr>
        <w:pStyle w:val="TextoNormal"/>
      </w:pPr>
    </w:p>
    <w:p w:rsidR="00A90898" w:rsidRDefault="00A90898" w:rsidP="00A90898">
      <w:pPr>
        <w:pStyle w:val="TextoNormal"/>
      </w:pPr>
      <w:r>
        <w:t>b) Estas disposiciones adicionales son tachadas de inconstitucionales en el recurso, tanto por conculcar normas del bloque de constitucionalidad relativas a la distribución y articulación de competencias, como por pugnar con lo prescrito en los artículos 1.2, 2, 9.1 y 168 CE; reproches, estos últimos, que se vinculan en la demanda a sus denuncias —ya referidas— sobre la inserción de las reglas impugnadas en el llamado “proceso de transición nacional” de Cataluña para su “secesión” del Estado y en lo que las mismas supondrían, por ello, de actuaciones, “materialmente”, de reforma constitucional. Las observaciones hechas sobre los límites del control jurídico-constitucional nos obligan a excluir esos preceptos constitucionales como pauta específica del concreto enjuiciamiento a realizar.</w:t>
      </w:r>
    </w:p>
    <w:p w:rsidR="00A90898" w:rsidRDefault="00A90898" w:rsidP="00A90898">
      <w:pPr>
        <w:pStyle w:val="TextoNormal"/>
      </w:pPr>
    </w:p>
    <w:p w:rsidR="00A90898" w:rsidRDefault="00A90898" w:rsidP="00A90898">
      <w:pPr>
        <w:pStyle w:val="TextoNormal"/>
      </w:pPr>
      <w:r>
        <w:t xml:space="preserve">Los artículos 1.2 y 2 CE proclaman mandatos esenciales de nuestro ordenamiento constitucional, como son, respectivamente, la atribución al pueblo español, del que emanan los </w:t>
      </w:r>
      <w:r>
        <w:lastRenderedPageBreak/>
        <w:t>poderes del Estado, de la soberanía nacional y la fundamentación de la propia Constitución en la indisoluble unidad de la Nación española, patria común e indivisible de todos los españoles, así como la garantía —por la Constitución— del derecho a la autonomía de las nacionalidades y regiones que integran España y la solidaridad entre todas ellas. Sobre estas decisiones básicas del Constituyente tiene este Tribunal una constante y bien conocida jurisprudencia, que ahora es de reiterar (por todas, STC 42/2014, de 25 de marzo, FJ 3, y resoluciones allí citadas), como también la tiene sobre la imposibilidad constitucional de equiparar la autonomía garantizada a nacionalidades y regiones por el artículo 2 CE con la soberanía nacional que, con arreglo al artículo 1.2 de la Constitución, reside en el pueblo español (“autonomía no es soberanía”: SSTC 4/1981, de 2 de febrero, FJ 3; 100/1984, de 8 de noviembre, FJ 3, y, entre otras, 42/2014, FJ 4). Ocurre, sin embargo, que las disposiciones adicionales impugnadas en este recurso no contienen determinación alguna que afecte o entre en colisión expresa con estos principios estructurales del ordenamiento y sin que pueda este Tribunal presumir tal ánimo de afectación o de conculcación en atención al contexto político en que se han adoptado las normas recurridas. Normas que, por lo demás, no supondrían infracción directa de los invocados artículos 1.2 y 2 CE tan solo porque, al dictarlas, se hubiese incurrido, como la demanda aduce, en vicio de incompetencia. Estaríamos entonces, estrictamente, ante un posible exceso competencial del Parlamento de la Comunidad Autónoma, del que no necesariamente se sigue una conculcación de aquellos principios constitucionales.</w:t>
      </w:r>
    </w:p>
    <w:p w:rsidR="00A90898" w:rsidRDefault="00A90898" w:rsidP="00A90898">
      <w:pPr>
        <w:pStyle w:val="TextoNormal"/>
      </w:pPr>
    </w:p>
    <w:p w:rsidR="00A90898" w:rsidRDefault="00A90898" w:rsidP="00A90898">
      <w:pPr>
        <w:pStyle w:val="TextoNormal"/>
      </w:pPr>
      <w:r>
        <w:t>Otro tanto se ha de decir respecto del invocado artículo 9.1 CE, con arreglo al cual, en lo que ahora importa, “todos los poderes públicos están sujetos a la Constitución y al resto del ordenamiento jurídico”. No es este genérico deber de obediencia a la Norma fundamental y al Derecho (STC 122/1983, de 16 de diciembre, FJ 5) el conculcado, de modo directo, cuando una ley incurre en una concreta vulneración de la Constitución —como aquí podrían ser, de nuevo, las denunciadas infracciones competenciales—, pues el artículo 9.1 CE solo es norma de referencia procedente si se está objetivamente ante un abierto o expreso desafío a la fuerza de obligar de la Constitución o del ordenamiento que sobre ella se levanta.</w:t>
      </w:r>
    </w:p>
    <w:p w:rsidR="00A90898" w:rsidRDefault="00A90898" w:rsidP="00A90898">
      <w:pPr>
        <w:pStyle w:val="TextoNormal"/>
      </w:pPr>
    </w:p>
    <w:p w:rsidR="00A90898" w:rsidRDefault="00A90898" w:rsidP="00A90898">
      <w:pPr>
        <w:pStyle w:val="TextoNormal"/>
      </w:pPr>
      <w:r>
        <w:t>Invoca también la demanda el artículo 168 CE, que, dentro de su título X, prevé y regula la revisión total de la Constitución o la parcial que pudiera afectar a los títulos que menciona el número primero de este precepto. La cita de esta disposición constitucional se hace de la mano del reproche de que, con las reglas impugnadas, se habría procedido a una reforma encubierta (“material”, dice la demanda) de la propia Constitución; pero es lo cierto que “la aprobación de una norma acaso inconstitucional no convierte a ésta en una reforma del texto constitucional, cuyas disposiciones no se verían modificadas, alteradas, ni derogadas como consecuencia de dicha aprobación, sino en la mera aprobación de una norma contraria a la Constitución, susceptible, por tanto, de expulsión del ordenamiento jurídico mediante la activación por los sujetos legitimados de los procedimientos para ello establecidos” (ATC 85/2006, de 15 de marzo, FJ 7). El hecho de que el contenido, acaso inconstitucional, de cierta regla legal hubiera resultado válido de haberse adoptado por otra fuente de producción del Derecho no supone que tal posible inconstitucionalidad lo sea por contraste con el procedimiento de creación de la norma que pudo haberse seguido y al que, sin embargo, no se acudió (en tal sentido, STC 40/1998, de 19 de febrero, FJ 3). Tampoco el artículo 168 CE ha de ser aquí medida de nuestro enjuiciamiento, para el cual consideraremos solo las normas del bloque de la constitucionalidad, citadas en la demanda, atinentes a la distribución y articulación de competencias entre el Estado y la Comunidad Autónoma de Cataluña.</w:t>
      </w:r>
    </w:p>
    <w:p w:rsidR="00A90898" w:rsidRDefault="00A90898" w:rsidP="00A90898">
      <w:pPr>
        <w:pStyle w:val="TextoNormal"/>
      </w:pPr>
    </w:p>
    <w:p w:rsidR="00A90898" w:rsidRDefault="00A90898" w:rsidP="00A90898">
      <w:pPr>
        <w:pStyle w:val="TextoNormal"/>
      </w:pPr>
      <w:r>
        <w:t>B) Las alegaciones expuestas en defensa de las disposiciones adicionales impugnadas, requieren, igualmente, de algunas precisiones previas.</w:t>
      </w:r>
    </w:p>
    <w:p w:rsidR="00A90898" w:rsidRDefault="00A90898" w:rsidP="00A90898">
      <w:pPr>
        <w:pStyle w:val="TextoNormal"/>
      </w:pPr>
    </w:p>
    <w:p w:rsidR="00A90898" w:rsidRDefault="00A90898" w:rsidP="00A90898">
      <w:pPr>
        <w:pStyle w:val="TextoNormal"/>
      </w:pPr>
      <w:r>
        <w:t xml:space="preserve">a) Ninguna duda puede haber sobre la eficacia jurídica —la propia de la Ley— de las disposiciones impugnadas, eficacia que no queda ensombrecida por lo que en las alegaciones se aduce en orden a su “verdadera naturaleza” como ejercicio de la llamada “función de impulso” del Parlamento sobre el Gobierno de la Generalitat o a su condición de no innovadoras o modificadoras del ordenamiento. Los mandatos al Gobierno que estas normas incorporan pudieran haber sido acaso, según se alega, articulados a través de otros instrumentos (como las mociones parlamentarias), pero si se ha optado por la forma de ley, con su fuerza y rango propios, es evidente que ni cabe cuestionar su carácter vinculante ni negar su virtualidad innovadora, ello con independencia de si los cometidos encargados en estas normas pudieran o no haber sido asumidos </w:t>
      </w:r>
      <w:r w:rsidRPr="00A90898">
        <w:rPr>
          <w:i/>
        </w:rPr>
        <w:t>motu proprio</w:t>
      </w:r>
      <w:r>
        <w:t xml:space="preserve"> por el Gobierno de la Generalitat en ejercicio de las potestades que tiene estatutaria y legalmente atribuidas.</w:t>
      </w:r>
    </w:p>
    <w:p w:rsidR="00A90898" w:rsidRDefault="00A90898" w:rsidP="00A90898">
      <w:pPr>
        <w:pStyle w:val="TextoNormal"/>
      </w:pPr>
    </w:p>
    <w:p w:rsidR="00A90898" w:rsidRDefault="00A90898" w:rsidP="00A90898">
      <w:pPr>
        <w:pStyle w:val="TextoNormal"/>
      </w:pPr>
      <w:r>
        <w:t>b) Para un extremo ligado al anterior, pero a no confundir con él, las representaciones de la Generalitat y del Parlamento de Cataluña han enfatizado el carácter cautelar o preventivo de la impugnación de unas normas que, a su decir, agotan sus efectos en el “orden interno” de la Generalitat, sin deparar —por su carácter abierto a diferentes “posibles futuras situaciones”— una vulneración presente y actual de la Constitución; apertura o indefinición a la que se vincula la necesaria interpretación de estas reglas de conformidad a la Constitución, pues los mandatos al Gobierno que expresan bien podrían entenderse como dirigidos a estudiar o preparar una eventual reforma de la Constitución (que el Parlamento de la Comunidad Autónoma puede solicitar o proponer: arts. 87.2 y 166 CE) o una propuesta de modificación de otras normas infraconstitucionales por las que se propiciase una atribución de nuevas competencias a la Comunidad Autónoma con el consiguiente incremento o potenciación de su actual autogobierno.</w:t>
      </w:r>
    </w:p>
    <w:p w:rsidR="00A90898" w:rsidRDefault="00A90898" w:rsidP="00A90898">
      <w:pPr>
        <w:pStyle w:val="TextoNormal"/>
      </w:pPr>
    </w:p>
    <w:p w:rsidR="00A90898" w:rsidRDefault="00A90898" w:rsidP="00A90898">
      <w:pPr>
        <w:pStyle w:val="TextoNormal"/>
      </w:pPr>
      <w:r>
        <w:t xml:space="preserve">La impugnación de las disposiciones adicionales vigésima segunda a vigésima sexta de la Ley 3/2015 no es cautelar, ni merece, por tanto, el rechazo </w:t>
      </w:r>
      <w:r w:rsidRPr="00A90898">
        <w:rPr>
          <w:i/>
        </w:rPr>
        <w:t>ab initio</w:t>
      </w:r>
      <w:r>
        <w:t xml:space="preserve"> que así se pide. Nuestra doctrina es constante en cuanto a la improcedencia de utilizar el recurso de inconstitucionalidad “con la finalidad de obtener declaraciones preventivas o previsoras ante eventuales agravios competenciales” o interpretaciones “que pongan a cubierto de aplicaciones contrarias al orden de competencias” constitucional y estatutario (por todas, STC 31/2010, de 28 de junio, FJ 2, y resoluciones allí citadas), pero no es esto lo que el recurso demanda. En lo que tiene de tacha de inconstitucionalidad, en él se aduce que cada una de estas disposiciones adicionales establece un mandato al Gobierno de la Generalitat que, por la materia a la que afecta y por su contenido, se proyecta sobre ámbitos ajenos a la competencia, definida por su Estatuto, de la Comunidad Autónoma; y es lo cierto que, si así fuera, el Parlamento de Cataluña habría incurrido en una inconstitucionalidad actual y efectiva, no meramente hipotética, pues al disciplinar tales ámbitos mediante mandatos de hacer dirigidos al Gobierno habría llevado a cabo una genuina afirmación competencial contraria a la Constitución y al propio Estatuto de Autonomía de Cataluña. Una tal afirmación legislativa de competencias con las que no se cuenta supondría, a no dudarlo, un ilícito constitucional (en general, SSTC 71/1982, de 30 de noviembre, FJ 5, y 101/1995, de 26 de junio, FJ 7, entre otras); ilícito consumado, si así fuera, que alejaría enteramente el actual caso del resuelto por nuestro ATC 135/2004 —que las alegaciones citan en este punto—, pues en esta </w:t>
      </w:r>
      <w:r>
        <w:lastRenderedPageBreak/>
        <w:t>última resolución advertimos y dejamos dicho, con alcance general, que la inconstitucionalidad (“antijuridicidad”) no podía predicarse de “simples proyectos de normas o, antes aun, de la sola intención de producir cambios”, sino de “normas definitivamente instaladas en el ordenamiento” [FJ 6 b)]. Esto último es lo que se pretende aquí por el recurso al impugnar reglas incorporadas ya al ordenamiento, no meros proyectos o proposiciones.</w:t>
      </w:r>
    </w:p>
    <w:p w:rsidR="00A90898" w:rsidRDefault="00A90898" w:rsidP="00A90898">
      <w:pPr>
        <w:pStyle w:val="TextoNormal"/>
      </w:pPr>
    </w:p>
    <w:p w:rsidR="00A90898" w:rsidRDefault="00A90898" w:rsidP="00A90898">
      <w:pPr>
        <w:pStyle w:val="TextoNormal"/>
      </w:pPr>
      <w:r>
        <w:t>Tampoco cabe tildar de preventiva esta impugnación con el solo argumento de que, al promoverla, no se habría reparado en que los mandatos impuestos al Gobierno por las disposiciones recurridas podrían, una vez cumplidos, servir de base, como “estudios”, para que el Parlamento promoviera, por vía de solicitud o de propuesta, una hipotética reforma de la Constitución (arts. 87.2 y 166 CE); reforma para la que nuestra norma fundamental no fija límites sustantivos (art. 168.1 CE) y a favor de la cual cabría ejercer, siempre que fuera en el respeto a la legalidad constitucional y a los derechos de todos, la más irrestricta libertad, pues la primacía de la Constitución no debe confundirse con una exigencia de adhesión positiva a la misma (STC 42/2014, FJ 4, y resoluciones allí citadas; también STC 122/1983, de 16 de diciembre, FJ 5). Pero al margen de que lo que así se alega, nada diría respecto de los concretos mandatos, aquí también controvertidos, para que el Gobierno actúe sin ulterior propuesta a la Cámara (disposiciones adicionales vigésima tercera y vigésima cuarta); es patente que de tal hipotética previsión de una iniciativa en pro de la reforma de la Constitución, o de otras normas a ella subordinadas, no hay indicio alguno ni en los preceptos impugnados ni en el preámbulo de la propia Ley 3/2015, y ya hemos dicho que el respeto a la propia Constitución impone que los proyectos de revisión del orden constituido se sustancien “abierta y directamente” por la vía al efecto prevista (SSTC 103/2008, FJ 4, y 178/2015, de 11 de junio, FJ 3) o que se invoquen expresamente en las normas legales que quisieran preparar una eventual iniciativa de reforma constitucional. Nada de ello resulta de los preceptos impugnados, disposiciones en las que la Cámara ha ejercido en plenitud su potestad legislativa —y, con ella, las discutidas competencias autonómicas— sin referencia alguna, ni explícita ni implícita, a la hipotética voluntad de preparar una futura solicitud o propuesta de reforma de la Constitución o de otras normas del bloque de la constitucionalidad, voluntad que tampoco le atribuyen ahora los defensores de la ley. Bien se comprende que no hay nada que justifique tachar de preventivo al recurso y pedir que anticipemos frente al mismo una genérica interpretación conforme de las disposiciones controvertidas que no encontraría en su texto apoyo alguno. La interpretación de las leyes de conformidad con la Constitución tiene sus límites y, entre ellos, la preservación de la seguridad jurídica (art. 9.3 CE) y la no conversión en legislador positivo a esta jurisdicción (por todas, respectivamente, SSTC 198/1991, de 17 de octubre, FJ 3, y 14/2015, FJ 5).</w:t>
      </w:r>
    </w:p>
    <w:p w:rsidR="00A90898" w:rsidRDefault="00A90898" w:rsidP="00A90898">
      <w:pPr>
        <w:pStyle w:val="TextoNormal"/>
      </w:pPr>
    </w:p>
    <w:p w:rsidR="00A90898" w:rsidRDefault="00A90898" w:rsidP="00A90898">
      <w:pPr>
        <w:pStyle w:val="TextoNormal"/>
      </w:pPr>
      <w:r>
        <w:t>Es ya posible, a partir de cuanto antecede, entrar en el examen de las concretas disposiciones adicionales impugnadas.</w:t>
      </w:r>
    </w:p>
    <w:p w:rsidR="00A90898" w:rsidRDefault="00A90898" w:rsidP="00A90898">
      <w:pPr>
        <w:pStyle w:val="TextoNormal"/>
      </w:pPr>
    </w:p>
    <w:p w:rsidR="00A90898" w:rsidRDefault="00A90898" w:rsidP="00A90898">
      <w:pPr>
        <w:pStyle w:val="TextoNormal"/>
      </w:pPr>
      <w:r w:rsidRPr="00A90898">
        <w:rPr>
          <w:rStyle w:val="NumeroAFNegritaCaracter"/>
        </w:rPr>
        <w:t>6</w:t>
      </w:r>
      <w:r>
        <w:t>. La disposición adicional vigésima segunda es la primera de ellas. Bajo la rúbrica “Plan director de la Administración tributaria de Cataluña”, dice así:</w:t>
      </w:r>
    </w:p>
    <w:p w:rsidR="00A90898" w:rsidRDefault="00A90898" w:rsidP="00A90898">
      <w:pPr>
        <w:pStyle w:val="TextoNormal"/>
      </w:pPr>
    </w:p>
    <w:p w:rsidR="00A90898" w:rsidRDefault="00A90898" w:rsidP="00A90898">
      <w:pPr>
        <w:pStyle w:val="TextoNormal"/>
      </w:pPr>
      <w:r>
        <w:t xml:space="preserve">“El Gobierno, en el plazo de cinco meses a contar desde la entrada en vigor de la presente ley, debe aprobar un plan director de la Administración tributaria de Cataluña, que debe ejecutarse en un plazo de doce meses. Este plan debe constituir el instrumento de planificación estratégica de una administración tributaria preparada para una eventual asunción de </w:t>
      </w:r>
      <w:r>
        <w:lastRenderedPageBreak/>
        <w:t>nuevas funciones y competencias tributarias; debe determinar las adaptaciones organizativas, la estructura institucional, funcional y de personal, el régimen económico, de contratación y patrimonial de esta administración; debe tener en cuenta las soluciones tecnológicas, las necesidades de los sistemas de información y la colaboración social y con otras administraciones, y debe incluir la propuesta de normativa tributaria de Cataluña.”</w:t>
      </w:r>
    </w:p>
    <w:p w:rsidR="00A90898" w:rsidRDefault="00A90898" w:rsidP="00A90898">
      <w:pPr>
        <w:pStyle w:val="TextoNormal"/>
      </w:pPr>
    </w:p>
    <w:p w:rsidR="00A90898" w:rsidRDefault="00A90898" w:rsidP="00A90898">
      <w:pPr>
        <w:pStyle w:val="TextoNormal"/>
      </w:pPr>
      <w:r>
        <w:t>La demanda reprocha a esta norma una “extralimitación competencial” que habría deparado la vulneración de los artículos 149.1.14 (competencia exclusiva del Estado, en lo que aquí vendría al caso, sobre hacienda general), 133.1 y 2 (potestad originaria solo del Estado para establecer tributos mediante ley y posibilidad de que las Comunidades Autónomas, por lo que ahora interesa, los establezcan y exijan de acuerdo con la Constitución y las leyes) y 157.1 y 3 CE [determinación, en los apartados a) y b) del primero de estos números, de que los recursos de las Comunidades Autónomas estarán integrados por impuestos cedidos total o parcialmente por el Estado, recargos sobre impuestos estatales y otras participaciones en los ingresos del Estado, así como por los propios impuestos, tasas y contribuciones especiales de aquéllas; y previsión, en el número 3, de que una ley orgánica pueda regular, entre otros extremos, el ejercicio de dichas competencias financieras y las del resto que relaciona el número 1].</w:t>
      </w:r>
    </w:p>
    <w:p w:rsidR="00A90898" w:rsidRDefault="00A90898" w:rsidP="00A90898">
      <w:pPr>
        <w:pStyle w:val="TextoNormal"/>
      </w:pPr>
    </w:p>
    <w:p w:rsidR="00A90898" w:rsidRDefault="00A90898" w:rsidP="00A90898">
      <w:pPr>
        <w:pStyle w:val="TextoNormal"/>
      </w:pPr>
      <w:r>
        <w:t>La norma estatal a la que remite este artículo 157.3 CE es hoy la Ley Orgánica 8/1980, de 22 de septiembre, de financiación de las Comunidades Autónomas (LOFCA), cuyos artículos 10.2 y 3 y 11, a decir del Abogado del Estado, habrían sido también infringidos por la disposición recurrida, como asimismo lo habrían sido diversos preceptos de la Ley 22/2009, de 18 de diciembre, por la que se regula el sistema de financiación de las Comunidades Autónomas de régimen común y Ciudades con Estatuto de Autonomía y se modifican determinadas normas tributarias (arts. 30 a 44, 46.1, 48.1, 49.1, 50.1, 51, 52.1 y 53) y, sin mayor precisión en la demanda, de la Ley 16/2010, de 16 de julio, del régimen de cesión de tributos del Estado a la Comunidad Autónoma de Cataluña y de fijación del alcance y condiciones de dicha cesión. Se afirma también la conculcación del Estatuto de Autonomía de Cataluña, del que la demanda cita su artículo 202, y los artículos 1.2, 2, 9.1 y 168 CE; denuncia, esta última, que se formula frente a todas y cada una de estas disposiciones adicionales y en la que, por las razones ya expuestas, no entraremos.</w:t>
      </w:r>
    </w:p>
    <w:p w:rsidR="00A90898" w:rsidRDefault="00A90898" w:rsidP="00A90898">
      <w:pPr>
        <w:pStyle w:val="TextoNormal"/>
      </w:pPr>
    </w:p>
    <w:p w:rsidR="00A90898" w:rsidRDefault="00A90898" w:rsidP="00A90898">
      <w:pPr>
        <w:pStyle w:val="TextoNormal"/>
      </w:pPr>
      <w:r>
        <w:t>La inconstitucionalidad aducida vendría dada porque la norma impugnada pretendería modificar la “legislación tributaria española”, siendo su propósito organizar o planificar la administración, por la Comunidad Autónoma, de todos los tributos soportados en Cataluña y ello en orden a alcanzar la propia “soberanía fiscal” cuando se produzca, advierte la demanda, la “secesión de Cataluña de España”. Hay que recordar que el designio que así aprecia el Abogado del Estado en la norma impugnada resultaría de documentos, enmiendas, manifestaciones políticas o informes —su contexto, según la demanda— que permitirían llegar a tal conclusión, pero que no tomaremos aquí como criterios para la interpretación de una disposición legal que ha de ser juzgada, al igual que cualquier otra, por su enunciado, no a partir de los propósitos adelantados por quienes ni están jurídicamente autorizados para hablar por la Cámara ni son, en Derecho, autores de la norma. Autor único de la Ley es el Parlamento de Cataluña.</w:t>
      </w:r>
    </w:p>
    <w:p w:rsidR="00A90898" w:rsidRDefault="00A90898" w:rsidP="00A90898">
      <w:pPr>
        <w:pStyle w:val="TextoNormal"/>
      </w:pPr>
    </w:p>
    <w:p w:rsidR="00A90898" w:rsidRDefault="00A90898" w:rsidP="00A90898">
      <w:pPr>
        <w:pStyle w:val="TextoNormal"/>
      </w:pPr>
      <w:r>
        <w:t xml:space="preserve">En defensa de la norma impugnada se han citado el artículo 156.2 CE, conforme al cual las Comunidades Autónomas podrán actuar como delegados o colaboradores del Estado </w:t>
      </w:r>
      <w:r>
        <w:lastRenderedPageBreak/>
        <w:t>para la recaudación, la gestión y la liquidación de los recursos tributarios de aquél, de acuerdo con las leyes y los Estatutos, y los artículos 150, 203.4 y 204 EAC. El primero de estos preceptos atribuye competencias a la Generalitat para la organización de su propia Administración, en tanto que el segundo lo hace en orden a la gestión, recaudación, liquidación e inspección de los tributos del Estado cedidos totalmente (y para las mismas funciones, en la medida en que se atribuyan, respecto a los cedidos parcialmente) de acuerdo con lo establecido en el siguiente artículo del Estatuto, relativo a la Agencia Tributaria de Cataluña, ente que fue creado y regulado por la Ley 7/2007, de 17 de julio. Se argumenta para ello que la asunción por la Generalitat de nuevas funciones y competencias se configura en la norma como mera eventualidad, cuya consumación podría venir dada ya mediante la reforma de la Constitución (que puede ser propuesta o solicitada, por la propia Comunidad Autónoma: arts. 87.2 y 166 CE), ya a través de las previsiones de su título VIII (del que se cita el artículo 150); vías respecto de las que sería “perfectamente lícito y conforme con la Constitución que desde la Generalitat de Catalunya se preparen propuestas normativas que puedan conducir a esos escenarios futuros”.</w:t>
      </w:r>
    </w:p>
    <w:p w:rsidR="00A90898" w:rsidRDefault="00A90898" w:rsidP="00A90898">
      <w:pPr>
        <w:pStyle w:val="TextoNormal"/>
      </w:pPr>
    </w:p>
    <w:p w:rsidR="00A90898" w:rsidRDefault="00A90898" w:rsidP="00A90898">
      <w:pPr>
        <w:pStyle w:val="TextoNormal"/>
      </w:pPr>
      <w:r>
        <w:t>Así recordados los términos de la impugnación y de las alegaciones, es ya posible entrar en el enjuiciamiento constitucional de esta disposición de ley.</w:t>
      </w:r>
    </w:p>
    <w:p w:rsidR="00A90898" w:rsidRDefault="00A90898" w:rsidP="00A90898">
      <w:pPr>
        <w:pStyle w:val="TextoNormal"/>
      </w:pPr>
    </w:p>
    <w:p w:rsidR="00A90898" w:rsidRDefault="00A90898" w:rsidP="00A90898">
      <w:pPr>
        <w:pStyle w:val="TextoNormal"/>
      </w:pPr>
      <w:r>
        <w:t>a) La disposición recurrida incorpora, ante todo, un mandato al Gobierno de la Comunidad Autónoma, pero establece, además, un compromiso legal que hay que entender afecta al propio Parlamento de Cataluña. En cuanto a lo primero, se dispone que la Generalitat deberá aprobar, en determinado plazo (cinco meses), un “plan director de la Administración tributaria de Cataluña” con los contenidos que la norma dice y según los criterios que también imparte. En cuanto a lo segundo, la disposición adicional vigésima segunda prescribe que el plan director cuya elaboración y aprobación encomienda al Gobierno “debe ejecutarse en un plazo de doce meses”, previsión esta que se refiere a una actuación autonómica ulterior, aprobado ya aquel plan, actuación a cargo de órganos que la norma no identifica, pero entre los que en todo caso habría de estar el Parlamento catalán, si se repara en que los contenidos del plan a “ejecutar” afectan a materias (adaptaciones organizativas, estructura institucional, funcional y de personal, régimen económico, de contratación y patrimonial, soluciones tecnológicas, necesidades de los sistemas de información y colaboración social y con otras administraciones) que están —en parte, al menos— sustraídas a las potestades del Ejecutivo y a su potestad reglamentaria. Que la disposición compromete también al legislador para “ejecutar” el plan —por impropia que resulte esta expresión aquí y por discutible que sea la vinculación jurídica de semejante compromiso—, es algo cierto si se tiene en cuenta que el repetido plan a ejecutar debe “incluir la propuesta de normativa tributaria de Cataluña”.</w:t>
      </w:r>
    </w:p>
    <w:p w:rsidR="00A90898" w:rsidRDefault="00A90898" w:rsidP="00A90898">
      <w:pPr>
        <w:pStyle w:val="TextoNormal"/>
      </w:pPr>
    </w:p>
    <w:p w:rsidR="00A90898" w:rsidRDefault="00A90898" w:rsidP="00A90898">
      <w:pPr>
        <w:pStyle w:val="TextoNormal"/>
      </w:pPr>
      <w:r>
        <w:t xml:space="preserve">b) Ninguna duda puede haber sobre la exclusiva competencia de la Generalitat para organizar, en el respeto a la Constitución y al Estatuto de Autonomía de Cataluña, su propia Administración y su Administración tributaria (arts. 150, 204 y 205 EAC, relativo, el primero, a la organización de la Administración de la Generalitat, el segundo a la Agencia Tributaria de Cataluña y el último a los órganos económico-administrativos), siendo ahora de recordar que nuestra STC 31/2010 rechazó determinadas impugnaciones entonces deducidas contra los apartados 1 y 4 de aquel artículo 204 y contra el párrafo primero del también citado artículo 205 (FFJJ 132 y 133, en el primero de los cuales, al que procede ahora remitirse, consideramos conformes a la Constitución las previsiones del referido artículo 204.1 </w:t>
      </w:r>
      <w:r>
        <w:lastRenderedPageBreak/>
        <w:t xml:space="preserve">en orden a la gestión, recaudación, liquidación e inspección por la mentada Agencia de los tributos propios de la Generalitat y, por delegación estatal, de los tributos del Estado cedidos en su totalidad; véanse, también, las SSTC 48/2010, de 9 de septiembre, FJ 4, y 138/2010, de 16 de diciembre, FJ 9). Tampoco puede ser objeto de discusión que la Comunidad Autónoma ostenta o, según los casos, puede ejercer competencias normativas en el orden tributario y ello tanto respecto de los tributos que cree, competencia in proprio (arts. 133.3 CE y 203.5 EAC), como por lo que se refiere a los que le hayan sido cedidos por el Estado total o parcialmente, si bien tal potestad normativa lo será sólo “en su caso” —esto es, de conformidad con lo que disponga la legislación del Estado— para los tributos objeto de cesión parcial [art. 157.1 a) CE, apartados a) y b) del artículo 203.2 EAC, arts. 10 y 19 LOFCA y art. 2 de la también ya citada Ley 16/2010]. Siendo esto así ninguna objeción merecerían en principio —a reserva de lo que después se dirá— las previsiones de la disposición adicional vigésima segunda en orden a que por el Gobierno se preparara y programara, mediante un plan director, una reorganización de la Administración tributaria de la Comunidad Autónoma y se propusiera según la norma dice </w:t>
      </w:r>
      <w:r w:rsidRPr="00A90898">
        <w:rPr>
          <w:i/>
        </w:rPr>
        <w:t>in fine</w:t>
      </w:r>
      <w:r>
        <w:t>, la “normativa tributaria de Cataluña”. Reorganización y normas que habrían de sujetarse en su día, en cualquier caso, a lo que imponen la propia Constitución y las demás normas que integran, bajo su imperio, el bloque de la constitucionalidad, cuestión esta sobre la que nada más se ha de decir aquí.</w:t>
      </w:r>
    </w:p>
    <w:p w:rsidR="00A90898" w:rsidRDefault="00A90898" w:rsidP="00A90898">
      <w:pPr>
        <w:pStyle w:val="TextoNormal"/>
      </w:pPr>
    </w:p>
    <w:p w:rsidR="00A90898" w:rsidRDefault="00A90898" w:rsidP="00A90898">
      <w:pPr>
        <w:pStyle w:val="TextoNormal"/>
      </w:pPr>
      <w:r>
        <w:t>c) El problema jurídico-constitucional no reside, sin embargo en que el Parlamento de la Comunidad Autónoma pueda requerir del Gobierno, mediante ley, que prepare la reordenación de su actual Administración tributaria o que elabore y haga llegar a la Cámara una propuesta de normativa tributaria, encomiendas, ambas, que serían perfectamente legítimas, desde la perspectiva de la constitucionalidad, siempre que versaran sobre competencias estatutarias. La cuestión es si resulta igualmente inocuo, desde tal perspectiva, que semejante mandato legal se deba cumplir por el Gobierno, como la norma quiere, en atención a “una eventual asunción de nuevas funciones y competencias tributarias”, criterio del todo indeterminado en cuanto a su contenido —en cuanto a los concretos términos en que deba plantearse la reordenación a programar y la propuesta normativa a realizar—, pero no en cuanto a su objeto, ya que con este inciso la norma muestra, muy a las claras, que está refiriéndose a unas “funciones y competencias” con las que no cuenta la Comunidad Autónoma y sobre las que su Parlamento dispone aquí; pues disponer no es sólo —a los efectos competenciales que ahora importan— ordenar inmediatamente cierto ámbito o sector de la realidad, sino atribuir sobre el mismo tareas o cometidos a un tercero. Tareas o cometidos que aquí se encargan al Gobierno de la Generalitat y que no dejan de ser tales por el mero hecho de que consistan en labores de programación que sólo después, eventualmente, darían lugar a actos o preceptos jurídicos. Lo trascendente ahora no es cuál sea la actuación futura, y por lo mismo incierta, de quien así recibe este mandato legal, sino el mandato mismo o, más precisamente, el acto ya verificado de disposición —y de afirmación competencial, por tanto— en orden a unas funciones y competencias tributarias que no tienen más definición en la norma (pero esta basta para reconocer el problema jurídico-constitucional) que el de ser “nuevas”, esto es, ajenas, hoy, al elenco competencial de la Comunidad Autónoma y de responsabilidad del Estado, al que la Constitución atribuye, como es notorio, “la competencia sobre las materias que no se hayan asumido por los Estatutos de Autonomía” (art. 149.3 CE).</w:t>
      </w:r>
    </w:p>
    <w:p w:rsidR="00A90898" w:rsidRDefault="00A90898" w:rsidP="00A90898">
      <w:pPr>
        <w:pStyle w:val="TextoNormal"/>
      </w:pPr>
    </w:p>
    <w:p w:rsidR="00A90898" w:rsidRDefault="00A90898" w:rsidP="00A90898">
      <w:pPr>
        <w:pStyle w:val="TextoNormal"/>
      </w:pPr>
      <w:r>
        <w:lastRenderedPageBreak/>
        <w:t>La Constitución no consiente afirmaciones competenciales de este género —aquí, a través de un mandato normativo— sobre ámbitos que se reconocen, por quien las realiza, ajenos a la propia competencia, pues tal proceder pone en entredicho la articulación de la distribución del poder público entre el Estado y las Comunidades Autónomas y menoscaba la posición constitucional del Estado, en este caso- a cuyas competencias o atribuciones se sobrepone así, sin fundamento alguno, la acción de un órgano —el Parlamento de la Comunidad Autónoma— que decide no ya solo sobre ámbitos jurídicamente sustraídos a su competencia, sino, con daño mayor para la Constitución, sobre la definición misma de la articulación de unas y otras competencias, función ésta reservada en exclusiva a la propia Constitución y, con sujeción a la misma, a los Estatutos de Autonomía y a las demás normas que componen el bloque de la constitucionalidad.</w:t>
      </w:r>
    </w:p>
    <w:p w:rsidR="00A90898" w:rsidRDefault="00A90898" w:rsidP="00A90898">
      <w:pPr>
        <w:pStyle w:val="TextoNormal"/>
      </w:pPr>
    </w:p>
    <w:p w:rsidR="00A90898" w:rsidRDefault="00A90898" w:rsidP="00A90898">
      <w:pPr>
        <w:pStyle w:val="TextoNormal"/>
      </w:pPr>
      <w:r>
        <w:t>Lo alegado en defensa de proceder tan anómalo no puede matizar o excluir la censura de inconstitucionalidad que aquí se impone. Se aduce por las representaciones de la Generalitat y del Parlamento de Cataluña que el inciso de la disposición adicional vigésima segunda que aquí consideramos, sería susceptible de una interpretación acorde con la Constitución si se repara en que este precepto no excluye, en orden a la “eventual asunción de nuevas funciones y competencias tributarias” que en él se anuncia, una previa reforma de la norma fundamental o la utilización de los cauces ex artículo 150.1 y 2 CE para la ampliación de competencias autonómicas (ampliación, en este último caso) o la modificación de la legislación del Estado prevista en los artículos 156.2 y 157.3 CE. Esta argumentación no puede compartirse. No es solo que el propio dictado de la disposición enjuiciada excluya —tácita, pero inequívocamente— tales hipotéticas mediaciones, constitucionales o legales, para la asunción de las repetidas nuevas funciones y competencias (el plan director ha de ser ejecutado en un determinado plazo, cuyo respeto no es cosa que pudiera imponerse a los órganos del Estado). Se trata de que aquí estamos ante una ordenación legal que ha de ser juzgada a la luz de la Constitución vigente, no a la de cualquiera otra hipotética por venir. Tampoco argumentaría a favor de la validez de la norma impugnada, el que se pudiera reconocer implícito en ella una supeditación o un condicionamiento a la previa modificación de cualesquiera normas de ley cuya adopción correspondería al Estado. Carecería de sentido remitirse a lo que en ocasión anterior llamamos ante sugerencia análoga “normas imaginarias o inexistentes” (STC 154/1989, de 5 de octubre, FJ 7), ello con independencia de que “nunca un legislador autonómico puede disponer nada acerca del ámbito legislativo propio del legislador estatal” (SSTC 46/1990, de 15 de marzo, FJ 4; 132/1998, de 18 de junio, FJ 12, y 168/2009, de 9 de julio, FJ 3).</w:t>
      </w:r>
    </w:p>
    <w:p w:rsidR="00A90898" w:rsidRDefault="00A90898" w:rsidP="00A90898">
      <w:pPr>
        <w:pStyle w:val="TextoNormal"/>
      </w:pPr>
    </w:p>
    <w:p w:rsidR="00A90898" w:rsidRDefault="00A90898" w:rsidP="00A90898">
      <w:pPr>
        <w:pStyle w:val="TextoNormal"/>
      </w:pPr>
      <w:r>
        <w:t>Una Comunidad Autónoma no puede asumir más potestades, competencias en sentido propio o funciones, sobre las ya recogidas en su Estatuto en vigor, si no es mediante modificaciones normativas que quedan extramuros de su capacidad de decisión. No puede tampoco ni pretender tal asunción por la sola autoridad de sus órganos ni anticipar en sus normas, como aquí se ha hecho, los resultados de una tal hipotética modificación competencial. Sí puede siempre la Asamblea de una Comunidad Autónoma ejercer la atribución que confiere a todas el artículo 86.2 CE para proponer, o solicitar se proponga, la adopción por las Cortes Generales de determinada legislación o, incluso, la revisión misma de la Constitución (art. 166 CE), todo ello con independencia del específico procedimiento establecido en cada Estatuto de Autonomía para su propia reforma. Pero esa atribución para instar se dé inicio al procedimiento legislativo o al de revisión constitucional no ampararía nunca el que se anticipara su resultado, incierto por definición, en actuaciones o en normas.</w:t>
      </w:r>
    </w:p>
    <w:p w:rsidR="00A90898" w:rsidRDefault="00A90898" w:rsidP="00A90898">
      <w:pPr>
        <w:pStyle w:val="TextoNormal"/>
      </w:pPr>
    </w:p>
    <w:p w:rsidR="00A90898" w:rsidRDefault="00A90898" w:rsidP="00A90898">
      <w:pPr>
        <w:pStyle w:val="TextoNormal"/>
      </w:pPr>
      <w:r>
        <w:t>En efecto, el plan director previsto en la referida Disposición Adicional Vigésima Segunda es un plan que no tiene por objeto simplemente la reestructuración o modernización de la Administración tributaria de Cataluña actualmente existente, sino precisamente dotar a esa Administración tributaria de todos los medios para asumir y gestionar unas competencias que esa Comunidad Autónoma no tiene.</w:t>
      </w:r>
    </w:p>
    <w:p w:rsidR="00A90898" w:rsidRDefault="00A90898" w:rsidP="00A90898">
      <w:pPr>
        <w:pStyle w:val="TextoNormal"/>
      </w:pPr>
    </w:p>
    <w:p w:rsidR="00A90898" w:rsidRDefault="00A90898" w:rsidP="00A90898">
      <w:pPr>
        <w:pStyle w:val="TextoNormal"/>
      </w:pPr>
      <w:r>
        <w:t>El inciso “preparada para una eventual asunción de nuevas funciones y competencias tributarias” de la disposición adicional vigésima segunda de la Ley 3/2015 es contrario, por todo ello, a los artículos 133.1 y 2, 149.1.14 y 157.1 [apartados a) y b)] CE, así como a los artículos 203.2, 3, 4 y 5, y 204.1 y 2 EAC, y por tanto inconstitucional; inconstitucionalidad, que genera la de esta disposición en su integridad, apreciada su inescindible unidad de sentido y la improcedencia, a la vez, de segregar de este precepto —alterando así lo querido por el legislador— un fragmento sin el cual la norma pasaría a ser otra.</w:t>
      </w:r>
    </w:p>
    <w:p w:rsidR="00A90898" w:rsidRDefault="00A90898" w:rsidP="00A90898">
      <w:pPr>
        <w:pStyle w:val="TextoNormal"/>
      </w:pPr>
    </w:p>
    <w:p w:rsidR="00A90898" w:rsidRDefault="00A90898" w:rsidP="00A90898">
      <w:pPr>
        <w:pStyle w:val="TextoNormal"/>
      </w:pPr>
      <w:r w:rsidRPr="00A90898">
        <w:rPr>
          <w:rStyle w:val="NumeroAFNegritaCaracter"/>
        </w:rPr>
        <w:t>7</w:t>
      </w:r>
      <w:r>
        <w:t>. La disposición adicional vigésima tercera también impugnada, lleva por título “Inventario del patrimonio de las administraciones públicas de Cataluña”, y establece lo siguiente:</w:t>
      </w:r>
    </w:p>
    <w:p w:rsidR="00A90898" w:rsidRDefault="00A90898" w:rsidP="00A90898">
      <w:pPr>
        <w:pStyle w:val="TextoNormal"/>
      </w:pPr>
    </w:p>
    <w:p w:rsidR="00A90898" w:rsidRDefault="00A90898" w:rsidP="00A90898">
      <w:pPr>
        <w:pStyle w:val="TextoNormal"/>
      </w:pPr>
      <w:r>
        <w:t>“El Gobierno, en el plazo de seis meses a contar desde la entrada en vigor de la presente ley, debe elaborar un inventario del patrimonio, activos y pasivos de las administraciones públicas de Cataluña y su valoración.”</w:t>
      </w:r>
    </w:p>
    <w:p w:rsidR="00A90898" w:rsidRDefault="00A90898" w:rsidP="00A90898">
      <w:pPr>
        <w:pStyle w:val="TextoNormal"/>
      </w:pPr>
    </w:p>
    <w:p w:rsidR="00A90898" w:rsidRDefault="00A90898" w:rsidP="00A90898">
      <w:pPr>
        <w:pStyle w:val="TextoNormal"/>
      </w:pPr>
      <w:r>
        <w:t>Entiende la demanda que este precepto contradice lo dispuesto en los apartados 1.14 y 1.18 del artículo 149 CE, además de vulnerar, también, sus artículos 1.2, 2, 9.1 y 168, reproches, estos últimos, en los que, por las razones ya expuestas, no entraremos aquí. Aquellas infracciones de la Constitución provendrían, según el Abogado del Estado, de dos de las determinaciones de esta disposición adicional. En primer lugar del propio enunciado “administraciones públicas de Cataluña” del que la ley se sirve aquí, sintagma que tiene un “sentido equívoco” y que —atendido el contexto de adopción de la norma— suscita la “fundada duda” de si en él se comprende no sólo la Administración de la propia Generalitat, sino también la de las entidades locales y la Administración General del Estado desplegada en Cataluña, siendo así que la Comunidad Autónoma carece de competencia para “inventariar los bienes del Estado”. Señala en segundo lugar la demanda que el propio dictado “activos y pasivos” del precepto impugnado contraría la noción legal de “patrimonio” del artículo 3 de la Ley 33/2003, de 3 de noviembre, de patrimonio de las Administraciones públicas, infracción que pone también en relación con la que sería “verdadera finalidad” del precepto (ante un “eventual proceso de independencia unilateral de Cataluña”), visto el tenor de la enmienda parlamentaria que estuvo en el origen de la norma. Como en fundamentos anteriores ha quedado dicho, nuestro enjuiciamiento constitucional atenderá a lo que esta regla dispone, sin proyectar sobre ella antecedentes, declaraciones, dictámenes o informes que no son, en Derecho, de imputar a la Cámara.</w:t>
      </w:r>
    </w:p>
    <w:p w:rsidR="00A90898" w:rsidRDefault="00A90898" w:rsidP="00A90898">
      <w:pPr>
        <w:pStyle w:val="TextoNormal"/>
      </w:pPr>
    </w:p>
    <w:p w:rsidR="00A90898" w:rsidRDefault="00A90898" w:rsidP="00A90898">
      <w:pPr>
        <w:pStyle w:val="TextoNormal"/>
      </w:pPr>
      <w:r>
        <w:t xml:space="preserve">Los Abogados de la Generalitat y los Letrados del Parlamento de Cataluña defienden la validez constitucional de esta disposición con invocación de los artículos 159.1 a) y b), 215 y 218.5 EAC, relativos, respectivamente, a las competencias de la Generalitat en materia de régimen jurídico y procedimiento de las “Administraciones públicas catalanas”, al patrimonio de la Generalitat y a la tutela financiera que le corresponde sobre los gobiernos locales, “respetando la autonomía que les reconoce la Constitución”. Cita también, la segunda de </w:t>
      </w:r>
      <w:r>
        <w:lastRenderedPageBreak/>
        <w:t>estas representaciones, el Decreto Legislativo 1/2002, de 24 de diciembre, por el que se aprueba el texto refundido de la Ley de patrimonio de la Generalitat, y argumentan sobre todo, ambas, que la expresión “administraciones públicas de Cataluña” que figura en esta disposición adicional no debe recibir la interpretación que la demanda expone, de modo que el mandato al Gobierno para realizar este inventario no afectaría al patrimonio de la Administración General del Estado radicada en el territorio de la Comunidad Autónoma, por más que los Abogados de la Generalitat no dejen de señalar que, incluso si así se entendiera, tampoco el precepto merecería censura jurídica, y ello en mérito al principio de “transparencia” y para mejor resolver “posibles conflictos de legalidad ordinaria” entre administraciones.</w:t>
      </w:r>
    </w:p>
    <w:p w:rsidR="00A90898" w:rsidRDefault="00A90898" w:rsidP="00A90898">
      <w:pPr>
        <w:pStyle w:val="TextoNormal"/>
      </w:pPr>
    </w:p>
    <w:p w:rsidR="00A90898" w:rsidRDefault="00A90898" w:rsidP="00A90898">
      <w:pPr>
        <w:pStyle w:val="TextoNormal"/>
      </w:pPr>
      <w:r>
        <w:t>Procede ya entrar a resolver la controversia así trabada.</w:t>
      </w:r>
    </w:p>
    <w:p w:rsidR="00A90898" w:rsidRDefault="00A90898" w:rsidP="00A90898">
      <w:pPr>
        <w:pStyle w:val="TextoNormal"/>
      </w:pPr>
    </w:p>
    <w:p w:rsidR="00A90898" w:rsidRDefault="00A90898" w:rsidP="00A90898">
      <w:pPr>
        <w:pStyle w:val="TextoNormal"/>
      </w:pPr>
      <w:r>
        <w:t>A) El motivo principal de la impugnación parte del alcance de la expresión “administraciones públicas de Cataluña”, a cuya “indefinición” atribuye la demanda la extralimitación competencial que denuncia, toda vez que el Gobierno de la Generalitat no podría inventariar —como le impondría la norma— ni el patrimonio del Estado ni el de los entes locales. Examinaremos por separado un extremo y otro:</w:t>
      </w:r>
    </w:p>
    <w:p w:rsidR="00A90898" w:rsidRDefault="00A90898" w:rsidP="00A90898">
      <w:pPr>
        <w:pStyle w:val="TextoNormal"/>
      </w:pPr>
    </w:p>
    <w:p w:rsidR="00A90898" w:rsidRDefault="00A90898" w:rsidP="00A90898">
      <w:pPr>
        <w:pStyle w:val="TextoNormal"/>
      </w:pPr>
      <w:r>
        <w:t>a) Es de todo punto evidente que esta disposición adicional sería contraria a la Constitución si en su mención a las “administraciones públicas de Cataluña” hubiera de entenderse comprendida la Administración General del Estado con presencia en Cataluña o, expresado en términos constitucionales y legales, “la Administración del Estado en el territorio de la Comunidad Autónoma” (art.154 CE) o los “órganos territoriales” de aquélla (capítulo II del título II de la Ley 6/1997, de 14 de abril, de organización y funcionamiento de la Administración General del Estado). Una Comunidad Autónoma no puede, sin incurrir en incompetencia manifiesta, disponer cosa alguna sobre órganos, agencias o servicios de las instituciones generales del Estado, puesto que “desde la perspectiva competencial, la Administración estatal goza de libertad en la configuración del régimen jurídico de los bienes que integran el patrimonio del Estado, sin necesidad de un título competencial específico y por la simple aplicación de su potestad de autoorganización” (STC 94/2013, de 23 de abril, FJ 3, con cita del artículo 133.3 CE). Dicha “libertad” quedaría menoscabada si el mandato legal que aquí se impugna lo fuera para inventariar, también, el patrimonio del Estado en Cataluña, sin que la inconstitucionalidad de tal proceder pudiera quedar paliada por lo que en este punto arguye el Abogado de la Generalitat en referencia a lo que pudieran requerir las relaciones entre unas administraciones y otras. Como recordamos en la Sentencia recién citada, dentro de la exclusiva competencia estatal ex artículo 149.1.18 CE “ha de entenderse comprendida la regulación de las relaciones entre las distintas Administraciones” (FJ 5).</w:t>
      </w:r>
    </w:p>
    <w:p w:rsidR="00A90898" w:rsidRDefault="00A90898" w:rsidP="00A90898">
      <w:pPr>
        <w:pStyle w:val="TextoNormal"/>
      </w:pPr>
    </w:p>
    <w:p w:rsidR="00A90898" w:rsidRDefault="00A90898" w:rsidP="00A90898">
      <w:pPr>
        <w:pStyle w:val="TextoNormal"/>
      </w:pPr>
      <w:r>
        <w:t xml:space="preserve">Ocurre, sin embargo, que la interpretación que la demanda sugiere y que determinaría la inconstitucionalidad del precepto, no sólo no es la única posible, sino que no queda de ninguna manera autorizada si se repara en lo dispuesto, con palabras idénticas, en otras normas de rango igual o superior al del precepto impugnado. Por lo pronto, y como invocan las alegaciones, la fórmula cuyo sentido aquí se controvierte es la utilizada, precisamente, en la Ley 26/2010, de 3 de agosto, de régimen jurídico y de procedimiento de las administraciones públicas de Cataluña, cuyo artículo 3 relaciona las así denominadas sin referencia alguna a órganos, entidades o servicios de la Administración General del Estado. Pero lo que tiene un valor interpretativo superior, y determinante para excluir el entendimiento expansivo que </w:t>
      </w:r>
      <w:r>
        <w:lastRenderedPageBreak/>
        <w:t>la demanda apunta, es que el propio Estatuto de Autonomía de Cataluña emplee idéntica fórmula para referirse, en términos de plena sinonimia, a lo que en otros preceptos llama “administraciones públicas catalanas” (arts. 30.3 y 159.1, 2 y 3); administraciones entre las que no cuenta la norma a la periférica del Estado, sí englobada, por contraste, en el enunciado “administraciones públicas en Cataluña” del que, a otros efectos, se sirve también el Estatuto de Autonomía de Cataluña (art. 33.1). Esta disposición adicional, en suma, debe interpretarse, como cualquier otra norma, a la luz del bloque de la constitucionalidad [véase, para una controversia en cierto modo análoga, STC 149/1991, de 4 de julio, FJ 5 c)]. En conclusión, la mención a “administraciones públicas de Cataluña” que contiene esta disposición es constitucional una vez entendido que no se refiere a órganos, entidades o servicios de la Administración General del Estado.</w:t>
      </w:r>
    </w:p>
    <w:p w:rsidR="00A90898" w:rsidRDefault="00A90898" w:rsidP="00A90898">
      <w:pPr>
        <w:pStyle w:val="TextoNormal"/>
      </w:pPr>
    </w:p>
    <w:p w:rsidR="00A90898" w:rsidRDefault="00A90898" w:rsidP="00A90898">
      <w:pPr>
        <w:pStyle w:val="TextoNormal"/>
      </w:pPr>
      <w:r>
        <w:t>b) También da a entender la demanda, que la disposición adicional vigésima tercera sería inconstitucional en la medida en que el inventario a “elaborar” por el Gobierno de la Generalitat habría de comprender, asimismo, los bienes que integran el patrimonio de las entidades locales de Cataluña. Que este mandato legislativo afecta a tales patrimonios puede compartirse, como consideración de principio, pues en la dicción legal “administraciones públicas de Cataluña” se comprenden, con arreglo al artículo 3 de la ya citada Ley 26/2010, las “entidades que integran la Administración local”, así como la “Administración propia de Arán” [apartados b) y c)]. Así entendido el alcance del precepto, el Tribunal no puede hacer suya esta tacha de inconstitucionalidad.</w:t>
      </w:r>
    </w:p>
    <w:p w:rsidR="00A90898" w:rsidRDefault="00A90898" w:rsidP="00A90898">
      <w:pPr>
        <w:pStyle w:val="TextoNormal"/>
      </w:pPr>
    </w:p>
    <w:p w:rsidR="00A90898" w:rsidRDefault="00A90898" w:rsidP="00A90898">
      <w:pPr>
        <w:pStyle w:val="TextoNormal"/>
      </w:pPr>
      <w:r>
        <w:t xml:space="preserve">Es claro que el artículo 149.1.18 CE habilita al Estado para dictar la normativa básica común a todas las Administraciones públicas —incluidas, por tanto, las locales— en materia de régimen patrimonial (STC 94/2013, de 23 de abril, FJ 3; en términos análogos, STC 162/2009, de 29 de junio, FJ 4). También lo es que, en legítimo ejercicio de aquella competencia, el artículo 32.1 de la antes citada Ley 33/2003, de patrimonio de las Administraciones públicas, prescriba, en determinación declarada básica por la propia ley (disposición final segunda, número 5) que “las Administraciones públicas están obligadas a inventariar los bienes y derechos que integran su patrimonio”; imperativo legal que, para las entidades locales, enuncia, el artículo 86 del Real Decreto Legislativo 781/1986, de 18 de abril, por el que se aprueba el texto refundido de las disposiciones legales vigentes en materia de régimen local cuando establece que las entidades locales “están obligadas a formar inventario valorado de todos los bienes y derechos que les pertenecen” y que reitera, en el ámbito de Cataluña, el artículo 222 del Decreto Legislativo 2/2003, de 28 de abril, por el que se aprueba el texto refundido de la ley municipal y de régimen local de Cataluña, al indicar que los entes locales “tienen que llevar un inventario de sus bienes”. El deber de elaboración del inventario —que es, al tiempo, un poder— que así establece la legislación básica ex artículo 149.1.18 CE para todos los entes locales de España (también para los de Cataluña) no queda desvirtuado por el mandato legal que aquí consideramos, pues siendo atribución propia, exclusiva y excluyente, de los entes locales la elaboración del inventario, la misma resulta incompatible con la encomienda del Parlamento de la Comunidad Autónoma al Gobierno de la Generalitat de la elaboración de un inventario patrimonial en el que se integren, también, los bienes de los entes locales. El ya mentado artículo 86 del Real Decreto Legislativo 781/1986 prescribe que del inventario de las entidades locales “se remitirá copia a las Administraciones del Estado y de la Comunidad Autónoma”, remisión indispensable para que la Generalitat ejerza en plenitud y con eficacia la tutela financiera sobre los entes locales que le atribuye, en el respeto a la autonomía que la Constitución les reconoce, el artículo </w:t>
      </w:r>
      <w:r>
        <w:lastRenderedPageBreak/>
        <w:t>218.5 EAC (sobre esta atribución, por todas, SSTC 120/2012, de 5 de junio, FJ 5, y 171/2014, de 23 de octubre, FJ 6). Por ello la disposición impugnada debe ser interpretada conforme al artículo 149.1.18 CE y a la garantía institucional de la autonomía local (arts. 137, 140 y 141.2 CE), en el sentido de que no contempla la elaboración de inventario del patrimonio, activos y pasivos de los entes locales de Cataluña, ni de su valoración, sino que requiere se le remitan anualmente por los entes locales de Cataluña el inventario actualizado de su patrimonio para su conocimiento, y siempre que se renueve la corporación.</w:t>
      </w:r>
    </w:p>
    <w:p w:rsidR="00A90898" w:rsidRDefault="00A90898" w:rsidP="00A90898">
      <w:pPr>
        <w:pStyle w:val="TextoNormal"/>
      </w:pPr>
    </w:p>
    <w:p w:rsidR="00A90898" w:rsidRDefault="00A90898" w:rsidP="00A90898">
      <w:pPr>
        <w:pStyle w:val="TextoNormal"/>
      </w:pPr>
      <w:r>
        <w:t>B) La disposición adicional vigésima tercera impone al Gobierno de la Generalitat la elaboración, en cierto plazo, de “un inventario del patrimonio, activos y pasivos de las administraciones públicas de Cataluña y su valoración”, y esa concreta mención a los “activos y pasivos” ha sido censurada también en la demanda como inconstitucional con el argumento de que la misma desbordaría el concepto legal de “patrimonio” fijado en el artículo 3 de la antes citada Ley 33/2003 (precepto declarado básico por el apartado 5 de la disposición final segunda de la propia Ley), y con arreglo a cuyo número 1, el patrimonio está constituido por el conjunto de “bienes y derechos” de cualquier Administración pública, no incluyéndose en el mismo, conforme al número 2 del mismo artículo, “el dinero, los valores, los créditos y los demás recursos financieros de su hacienda ni, en el caso de las entidades empresariales y entidades análogas dependientes de las Comunidades Autónomas o corporaciones locales, los recursos que constituyen su tesorería”. Este concepto legal de “patrimonio” se impone, por su carácter básico ex artículo 149.1.18 CE, a todas las Administraciones públicas y también, por ello, a la de la Generalitat y a las de los entes locales de Cataluña, sin que pueda el legislador autonómico desfigurarlo, como ocurriría si en el inventario patrimonial a realizar aquí por el Gobierno se incluyeran activos y pasivos financieros, desfiguración que afectaría, por lo demás, a la definición estatutaria del patrimonio de la Generalitat (art. 215.1 EAC y, en su desarrollo, arts. 1 y 4 del también ya citado Decreto Legislativo 1/2002). Pero la disposición de ley controvertida no impone, al menos no inequívocamente, la inclusión dentro del conjunto de bienes y derechos del “dinero, los valores, los créditos y los demás recursos financieros de su hacienda ni, en el caso de las entidades empresariales y entidades análogas dependientes de las Comunidades Autónomas o corporaciones locales, los recursos que constituyen su tesorería”. Por tanto, la disposición impugnada debe ser interpretada en el sentido de que no contempla dentro del concepto de patrimonio a los referidos bienes y derechos.</w:t>
      </w:r>
    </w:p>
    <w:p w:rsidR="00A90898" w:rsidRDefault="00A90898" w:rsidP="00A90898">
      <w:pPr>
        <w:pStyle w:val="TextoNormal"/>
      </w:pPr>
    </w:p>
    <w:p w:rsidR="00A90898" w:rsidRDefault="00A90898" w:rsidP="00A90898">
      <w:pPr>
        <w:pStyle w:val="TextoNormal"/>
      </w:pPr>
      <w:r>
        <w:t>La disposición adicional vigésima tercera no es, así interpretada, contraria a la Constitución ni al Estatuto de Autonomía de Cataluña.</w:t>
      </w:r>
    </w:p>
    <w:p w:rsidR="00A90898" w:rsidRDefault="00A90898" w:rsidP="00A90898">
      <w:pPr>
        <w:pStyle w:val="TextoNormal"/>
      </w:pPr>
    </w:p>
    <w:p w:rsidR="00A90898" w:rsidRDefault="00A90898" w:rsidP="00A90898">
      <w:pPr>
        <w:pStyle w:val="TextoNormal"/>
      </w:pPr>
      <w:r w:rsidRPr="00A90898">
        <w:rPr>
          <w:rStyle w:val="NumeroAFNegritaCaracter"/>
        </w:rPr>
        <w:t>8</w:t>
      </w:r>
      <w:r>
        <w:t>. Enjuiciaremos en este fundamento la constitucionalidad de la disposición adicional vigésima cuarta, cuyo texto, bajo la rúbrica “Catálogo de infraestructuras estratégicas”, es el siguiente:</w:t>
      </w:r>
    </w:p>
    <w:p w:rsidR="00A90898" w:rsidRDefault="00A90898" w:rsidP="00A90898">
      <w:pPr>
        <w:pStyle w:val="TextoNormal"/>
      </w:pPr>
    </w:p>
    <w:p w:rsidR="00A90898" w:rsidRDefault="00A90898" w:rsidP="00A90898">
      <w:pPr>
        <w:pStyle w:val="TextoNormal"/>
      </w:pPr>
      <w:r>
        <w:t>“El Gobierno, en un plazo de nueve meses a contar desde la entrada en vigor de la presente ley, debe elaborar el catálogo de infraestructuras estratégicas de Cataluña y poner en funcionamiento una comisión interdepartamental que desarrolle las medidas oportunas para garantizar la continuidad del servicio y el funcionamiento de las infraestructuras estratégicas de Cataluña.”</w:t>
      </w:r>
    </w:p>
    <w:p w:rsidR="00A90898" w:rsidRDefault="00A90898" w:rsidP="00A90898">
      <w:pPr>
        <w:pStyle w:val="TextoNormal"/>
      </w:pPr>
    </w:p>
    <w:p w:rsidR="00A90898" w:rsidRDefault="00A90898" w:rsidP="00A90898">
      <w:pPr>
        <w:pStyle w:val="TextoNormal"/>
      </w:pPr>
      <w:r>
        <w:lastRenderedPageBreak/>
        <w:t>La demanda reprocha a esta disposición la vulneración de lo dispuesto en el artículo 149.1.29 CE en punto a la exclusiva competencia estatal sobre seguridad pública (sin perjuicio de la posibilidad de creación de policías por las Comunidades Autónomas en la forma que se establezca en los respectivos Estatutos de Autonomía en el marco de lo que disponga una ley orgánica), así como la conculcación de lo establecido en los artículos 1.2, 2, 9.1 y 168 CE, censuras, estas últimas, que, con arreglo a lo ya dicho, no procede examinar aquí. Estima el Abogado del Estado que las actuaciones así encomendadas al Gobierno de la Generalitat “exceden manifiestamente del interés autonómico”, habrían de adoptarse al amparo de la “competencia sectorial correspondiente” y entrarían en contradicción con lo disciplinado en la Ley estatal 8/2011, de 28 de abril, por la que se establecen medidas para la protección de las infraestructuras críticas, pues en esta ley (por la que se incorpora a nuestro Derecho la Directiva 2008/114/CE, del Consejo, de 8 de diciembre, sobre la identificación y clasificación de infraestructuras críticas europeas y la evaluación de la necesidad de mejorar su protección) se crea un catálogo nacional de infraestructuras estratégicas dependiente del Ministerio del Interior (art. 4) y se ordena (títulos II y III) todo un sistema de protección de infraestructuras críticas, en el que tienen presencia y participación las Comunidades Autónomas, catálogo y sistema que resultarían desvirtuados o perturbados —y, con ellos, la competencia estatal ex artículo 149.1.29 CE— por las previsiones de la disposición que se impugna. Disposición cuyo contenido se enmarca en la demanda en un contexto que, en atención a razones ya expuestas, no aporta criterio alguno para su interpretación jurídica.</w:t>
      </w:r>
    </w:p>
    <w:p w:rsidR="00A90898" w:rsidRDefault="00A90898" w:rsidP="00A90898">
      <w:pPr>
        <w:pStyle w:val="TextoNormal"/>
      </w:pPr>
    </w:p>
    <w:p w:rsidR="00A90898" w:rsidRDefault="00A90898" w:rsidP="00A90898">
      <w:pPr>
        <w:pStyle w:val="TextoNormal"/>
      </w:pPr>
      <w:r>
        <w:t>Las representaciones de la Generalitat y del Parlamento de Cataluña coinciden en que la “materia” —a efectos competenciales— sobre la que se proyecta esta disposición adicional es la “seguridad pública”, ámbito en el que, recuerdan, el artículo 149.1.29 CE prevé la posible creación por las Comunidades Autónomas de cuerpos policiales propios y la correspondiente asunción de funciones, citando al efecto lo prevenido en el artículo 164 EAC (“Seguridad pública”). Invocan también las competencias de la Comunidad Autónoma sobre emergencias y protección civil (art. 132 EAC), así como las normas estatutarias relativas a las potestades de la Generalitat para organizar su Administración (arts. 71 y 150); previsiones todas a cuya luz la norma impugnada no podría ser tachada de contraria a la Constitución, pues el catálogo que prevé no menoscabaría la existencia y funciones del creado por la Ley 8/2011 y las tareas encargadas a la comisión a constituir por el Gobierno de la Generalitat podrían conciliarse con las previsiones sobre cooperación y coordinación establecidas en este ámbito por dicha Ley del Estado. Ni una ni otra representación oponen tacha alguna a esta Ley 8/2011, ni discuten el título competencial que se invoca en su disposición final primera (art. 149.1.29 CE).</w:t>
      </w:r>
    </w:p>
    <w:p w:rsidR="00A90898" w:rsidRDefault="00A90898" w:rsidP="00A90898">
      <w:pPr>
        <w:pStyle w:val="TextoNormal"/>
      </w:pPr>
    </w:p>
    <w:p w:rsidR="00A90898" w:rsidRDefault="00A90898" w:rsidP="00A90898">
      <w:pPr>
        <w:pStyle w:val="TextoNormal"/>
      </w:pPr>
      <w:r>
        <w:t>Esta es una controversia de carácter competencial y para resolverla hemos de identificar, ante todo, el ámbito material sobre el que se ha trabado y los títulos en presencia para determinar, después, si el orden constitucional y estatutario de competencias ha sido o no violentado por la disposición que se impugna.</w:t>
      </w:r>
    </w:p>
    <w:p w:rsidR="00A90898" w:rsidRDefault="00A90898" w:rsidP="00A90898">
      <w:pPr>
        <w:pStyle w:val="TextoNormal"/>
      </w:pPr>
    </w:p>
    <w:p w:rsidR="00A90898" w:rsidRDefault="00A90898" w:rsidP="00A90898">
      <w:pPr>
        <w:pStyle w:val="TextoNormal"/>
      </w:pPr>
      <w:r>
        <w:t xml:space="preserve">A) No se ocupa esta disposición de unas infraestructuras estratégicas concretas, sino de todas ellas en el territorio de Cataluña, de modo que es claro que no han de ser traídas aquí a colación, frente a lo que la demanda aduce, las respectivas competencias “sectoriales” del Estado y de la Comunidad Autónoma sobre específicos ámbitos de actividad, económica o de otro carácter. A través del catálogo que encomienda elaborar y de la comisión que ordena constituir, la disposición adicional vigésima cuarta pretende “garantizar la continuidad del </w:t>
      </w:r>
      <w:r>
        <w:lastRenderedPageBreak/>
        <w:t>servicio y el funcionamiento de las infraestructuras estratégicas de Cataluña”, propósito que sitúa al precepto en el ámbito de la seguridad pública, función sobre la que la Constitución atribuye al Estado competencia exclusiva, sin perjuicio de la recordada previsión en orden a la posible creación, conforme a los Estatutos de Autonomía y en el marco de lo que disponga una ley orgánica, de policías autonómicas. A reserva de esto último, y de lo que señalaremos en punto a las competencias sobre protección civil, la norma es, inequívocamente, una regla sobre seguridad pública, actividad dirigida a la protección de bienes y personas con la finalidad de garantizar la tranquilidad y el orden ciudadanos (por todas, STC 86/2014, de 29 de mayo, FJ 4, y jurisprudencia allí citada). Bienes, estos últimos, que quedarían sin duda comprometidos y en riesgo si no se protegieran debidamente unas infraestructuras estratégicas que son definidas por el artículo 2 d) de la Ley 8/2011 como “las instalaciones, redes, sistemas y equipos físicos y de tecnología sobre las que descansa el funcionamiento de los servicios esenciales”.</w:t>
      </w:r>
    </w:p>
    <w:p w:rsidR="00A90898" w:rsidRDefault="00A90898" w:rsidP="00A90898">
      <w:pPr>
        <w:pStyle w:val="TextoNormal"/>
      </w:pPr>
    </w:p>
    <w:p w:rsidR="00A90898" w:rsidRDefault="00A90898" w:rsidP="00A90898">
      <w:pPr>
        <w:pStyle w:val="TextoNormal"/>
      </w:pPr>
      <w:r>
        <w:t xml:space="preserve">Esta caracterización </w:t>
      </w:r>
      <w:r w:rsidRPr="00A90898">
        <w:rPr>
          <w:i/>
        </w:rPr>
        <w:t>ratione materiae</w:t>
      </w:r>
      <w:r>
        <w:t xml:space="preserve"> del precepto recurrido es la que merece también, en su conjunto, la referida Ley del Estado, sin que constatarlo así suponga ahora anticipación alguna del juicio de constitucionalidad que se nos pide. Ya se reseñó que la Ley se dictó al amparo de la competencia establecida en el artículo 149.1.29 CE (disposición final primera) y la seguridad pública aparece invocada desde su inicio: “Esta Ley tiene por objeto establecer las estrategias y estructuras adecuadas que permitan dirigir y coordinar las actuaciones de los distintos órganos de las Administraciones Públicas en materia de protección de infraestructuras críticas, previa identificación de las mismas, para mejorar la prevención, preparación y respuesta de nuestro Estado frente a atentados terroristas u otras amenazas que afecten a infraestructuras críticas. Para ello se impulsará, además, la colaboración e implicación de los organismos gestores y propietarios de dichas infraestructuras, a fin de optimizar el grado de protección de éstas contra ataques deliberados de todo tipo, con el fin de contribuir a la protección de la población” (art. 1.1). Importa reseñar que dentro del genus “infraestructuras estratégicas”, objeto del catálogo nacional, están, según la Ley, las infraestructuras “críticas” y también, con arreglo a la Directiva 2008/114, las denominadas “críticas europeas”. Las primeras son aquellas “cuyo funcionamiento es indispensable y no permite soluciones alternativas, por lo que su perturbación o destrucción tendría un grave impacto sobre los servicios esenciales”; las segundas, aquellas —calificadas previamente de “críticas”— cuya perturbación o destrucción “afectaría gravemente al menos a dos Estados miembros” de la Unión Europea [apartados e) y f) del artículo 2].</w:t>
      </w:r>
    </w:p>
    <w:p w:rsidR="00A90898" w:rsidRDefault="00A90898" w:rsidP="00A90898">
      <w:pPr>
        <w:pStyle w:val="TextoNormal"/>
      </w:pPr>
    </w:p>
    <w:p w:rsidR="00A90898" w:rsidRDefault="00A90898" w:rsidP="00A90898">
      <w:pPr>
        <w:pStyle w:val="TextoNormal"/>
      </w:pPr>
      <w:r>
        <w:t xml:space="preserve">Tanto la disposición recurrida como la Ley estatal invocada en la demanda se sitúan en el ámbito propio de la seguridad pública, ello con independencia de que una y otra hayan establecido una ordenación para cuya aplicación eficaz debieran también desplegarse, con arreglo a las correspondientes competencias, funciones de protección civil y policial. En cuanto a estas últimas, y con expresa mención de las policías autonómicas, en la Ley 8/2011 (arts. 9.3 y 10.1) y en su Reglamento de desarrollo (Real Decreto 704/2011, de 20 de mayo: artículos 10.1 y 2 y 30.2). Por lo que a la protección civil se refiere, la Ley se dicta “sin perjuicio” de las competencias autonómicas en tal ámbito (disposición final segunda). Pero es necesario advertir ahora que, por entreveradas que estén con la seguridad pública, como a menudo así es, las funciones propias de la protección civil, la disposición adicional aquí controvertida no podría decirse adoptada, frente a lo que sus defensores también dan a entender, con fundamento en la competencia de la Generalitat sobre dichas tareas y servicios (art. 132 EAC). La protección civil tiene que ver con las reglas y protocolos dirigidos a </w:t>
      </w:r>
      <w:r>
        <w:lastRenderedPageBreak/>
        <w:t>regular la forma de actuación de las Administraciones públicas movilizando medios y servicios para hacer frente o dar respuesta a situaciones de emergencia (STC 155/2013, de 10 de septiembre, FJ 3), y es patente que el sentido declarado de la disposición adicional vigésima tercera (garantizar la continuidad del servicio y el funcionamiento de las infraestructuras estratégicas) no se contrae, en exclusiva, a tales hipótesis de verificación de emergencias.</w:t>
      </w:r>
    </w:p>
    <w:p w:rsidR="00A90898" w:rsidRDefault="00A90898" w:rsidP="00A90898">
      <w:pPr>
        <w:pStyle w:val="TextoNormal"/>
      </w:pPr>
    </w:p>
    <w:p w:rsidR="00A90898" w:rsidRDefault="00A90898" w:rsidP="00A90898">
      <w:pPr>
        <w:pStyle w:val="TextoNormal"/>
      </w:pPr>
      <w:r>
        <w:t>La disposición recurrida, afecta de modo directo y principal a una “seguridad pública” sobre la que las Comunidades Autónomas no pueden asumir estatutariamente más competencias que las previstas, para la creación de cuerpos propios de policía, en el artículo 149.1.29 CE; competencias que la Generalitat ostenta con los contenidos funcionales definidos en el artículo 164 EAC y —para determinados efectos— “de acuerdo con lo dispuesto en la legislación estatal” o “en el marco de la legislación estatal” (funciones contempladas, respectivamente, en los números 1 y 3 de dicho artículo). En las alegaciones se ha citado este artículo 164, y específicamente su apartado 1.a) [“planificación y regulación del sistema de seguridad pública de Cataluña”] para dar razón competencial del precepto impugnado. Lo que hemos de considerar es, por consiguiente, si esta previsión estatutaria presta o no a la norma tal pretendido fundamento.</w:t>
      </w:r>
    </w:p>
    <w:p w:rsidR="00A90898" w:rsidRDefault="00A90898" w:rsidP="00A90898">
      <w:pPr>
        <w:pStyle w:val="TextoNormal"/>
      </w:pPr>
    </w:p>
    <w:p w:rsidR="00A90898" w:rsidRDefault="00A90898" w:rsidP="00A90898">
      <w:pPr>
        <w:pStyle w:val="TextoNormal"/>
      </w:pPr>
      <w:r>
        <w:t>B) La respuesta no puede ser sino negativa. Ni en el artículo 164 EAC ni, en especial, en su apartado 1 a) cabe reconocer fundamento competencial para la disposición final vigésima cuarta. No es solo que esta disposición muestre un alcance que va más allá del que corresponde a la actividad policial en la que no se agota la seguridad pública (STC 86/2014, de 29 de mayo, FJ 4) y a la que no se contrae el amplio mandato de “garantizar la continuidad del servicio y el funcionamiento de las infraestructuras estratégicas de Cataluña”. Lo determinante para nuestro juicio es que esta norma sobre seguridad pública sólo sería legítima, con arreglo a la Constitución y al propio Estatuto de Autonomía, si se hubiera dictado en el respeto a las competencias estatales ex artículo 149.1.29 CE y “de acuerdo —según requiere el ya citado artículo 164.1 a)— con lo dispuesto en la legislación estatal”. No ha sido así y por ello esta disposición adicional contraviene directamente la propia normativa estatal sobre seguridad pública para este específico ámbito de las infraestructuras estratégicas:</w:t>
      </w:r>
    </w:p>
    <w:p w:rsidR="00A90898" w:rsidRDefault="00A90898" w:rsidP="00A90898">
      <w:pPr>
        <w:pStyle w:val="TextoNormal"/>
      </w:pPr>
    </w:p>
    <w:p w:rsidR="00A90898" w:rsidRDefault="00A90898" w:rsidP="00A90898">
      <w:pPr>
        <w:pStyle w:val="TextoNormal"/>
      </w:pPr>
      <w:r>
        <w:t xml:space="preserve">a) No cabe duda que el Estado puede, sobre la base de su competencia exclusiva en orden a la seguridad pública, dictar una normativa específica para la protección de las infraestructuras estratégicas en la que se contemple un registro o catálogo común de las mismas, para todo el territorio, y se disponga un sistema integrado, también de alcance nacional, para su pleno aseguramiento. Así se ha hecho con la Ley 8/2011, norma cuyas prevenciones, en los extremos dichos, ni han sido discutidas en este proceso ni podrían haberlo sido, pues en el recurso no se aduce una posible inconstitucionalidad mediata o indirecta frente a la que cupiera reargüir con la afirmación de la eventual extralimitación competencial de una norma básica del Estado. Se sostiene que la regla recurrida es contraria a la Constitución (art. 149.1.29) por desvirtuar o negar, en lo que a Cataluña se refiere, el despliegue y aplicación de una normativa estatal que no requiere de “desarrollo”, en el sentido constitucional del concepto, por parte de la Comunidad Autónoma, dictada como está en ejercicio de una competencia estatal —la de seguridad pública enunciada en aquel precepto constitucional— que no se articula con las autonómicas en tales términos de “bases” o “normas básicas” del Estado y “desarrollo” autonómico, sin perjuicio de lo que requieran la coordinación y el principio de colaboración entre administraciones. La norma estatal no pide ni admite desarrollo </w:t>
      </w:r>
      <w:r>
        <w:lastRenderedPageBreak/>
        <w:t>alguno, pero sí el que no se entorpezca su aplicación irrestricta en todo el territorio. En ese entorpecimiento se ha incurrido al dictar la disposición adicional vigésima cuarta.</w:t>
      </w:r>
    </w:p>
    <w:p w:rsidR="00A90898" w:rsidRDefault="00A90898" w:rsidP="00A90898">
      <w:pPr>
        <w:pStyle w:val="TextoNormal"/>
      </w:pPr>
    </w:p>
    <w:p w:rsidR="00A90898" w:rsidRDefault="00A90898" w:rsidP="00A90898">
      <w:pPr>
        <w:pStyle w:val="TextoNormal"/>
      </w:pPr>
      <w:r>
        <w:t>b) Así ha sido por lo que hace al primero de los mandatos que la norma incorpora. Si el legislador estatal ha previsto y ordenado, con fines de seguridad, un catálogo nacional de infraestructuras estratégicas (art. 4 de la Ley 8/2011), es claro que no pueden las Comunidades Autónomas dotarse, sobre igual objeto, de instrumentos análogos, so pena de dejar en lo inútil el registro estatal y de deparar, con ello, lo contrario a la seguridad pública que la norma procura. Ni siquiera en la materia de protección civil, sobre la que concurren competencias del Estado y de las Comunidades Autónomas (STC 31/2010, FJ 78), hemos dejado de reconocer la exigencia de que la elaboración de un catálogo de actividades que pudieran dar origen a situaciones de emergencia correspondía a los órganos generales del Estado (al Gobierno, en aquel caso: STC 133/1990, de 19 de julio, FJ 9) y por ello lo afirmamos ahora, respecto de infraestructuras estratégicas que comprometen la seguridad pública, incluso más allá del propio territorio nacional (infraestructuras críticas europeas). Nada dice a favor de tal previsión legal la consideración, expuesta en las alegaciones, de que no cabría ahora presumir que para el catálogo autonómico se siguieran “criterios dispares” a los previstos en la normativa estatal, advertencia que, en la mejor de las hipótesis, más bien ilustraría sobre la redundancia entorpecedora, de gestionar un catálogo separado como el aquí controvertido.</w:t>
      </w:r>
    </w:p>
    <w:p w:rsidR="00A90898" w:rsidRDefault="00A90898" w:rsidP="00A90898">
      <w:pPr>
        <w:pStyle w:val="TextoNormal"/>
      </w:pPr>
    </w:p>
    <w:p w:rsidR="00A90898" w:rsidRDefault="00A90898" w:rsidP="00A90898">
      <w:pPr>
        <w:pStyle w:val="TextoNormal"/>
      </w:pPr>
      <w:r>
        <w:t xml:space="preserve">c) En la misma inconstitucionalidad se ha incurrido al encomendar al Gobierno de la Generalitat el “poner en funcionamiento una comisión interdepartamental que desarrolle las medidas oportunas para garantizar la continuidad del servicio y el funcionamiento de las infraestructuras estratégicas de Cataluña”. Desde luego que la Generalitat ostenta competencias para la organización de su propia Administración (arts. 71.6 y 150 EAC), pero la cuestión jurídico-constitucional no es ésta, sino la de las funciones atribuidas o reconocidas al organismo cuya constitución así se dispone. Vigente el sistema de protección de infraestructuras Críticas creado por la Ley 8/2011, estas funciones no pueden ya atribuirse ni desarrollarse, so pena de conculcación del artículo 149.1.29 CE, extramuros o a espaldas de dicho sistema como se ha hecho. Así se sobrentiende, en las alegaciones del Parlamento de Cataluña, que sugieren una interpretación conforme del precepto mediante la presunción de que las fórmulas de cooperación y coordinación (presentes en el articulado de la Ley 8/2011) estarían implícitas en las “medidas oportunas” a las que genéricamente el mismo se refiere. Pero aquí no estamos ante un caso de omisión, en una norma autonómica, de normas básicas del Estado (omisiones que no necesariamente deparan la inconstitucionalidad del precepto: por todas, STC 8/2012, de 18 de enero, FJ 5), sino ante una previsión legal que, por su sentido objetivo, vendría a sustituir o a desplazar, en el territorio de la Comunidad Autónoma, las prevenciones presentes, para todo el territorio nacional, en el sistema de protección de infraestructuras críticas de la Ley 8/2011. Siendo esto así, las exigencias de seguridad jurídica y certeza del Derecho (art. 9.3 CE), así como el mantenimiento de esta jurisdicción dentro de sus límites, impiden que el alcance omnicomprensivo e incondicionado del mandato legal en este punto pueda —como en general ya advertimos en el fundamento 5 </w:t>
      </w:r>
      <w:r w:rsidRPr="00A90898">
        <w:rPr>
          <w:i/>
        </w:rPr>
        <w:t>in fine</w:t>
      </w:r>
      <w:r>
        <w:t>— reducirse por obra de nuestra Sentencia, cometido que correspondería, en su caso, al Parlamento de Cataluña.</w:t>
      </w:r>
    </w:p>
    <w:p w:rsidR="00A90898" w:rsidRDefault="00A90898" w:rsidP="00A90898">
      <w:pPr>
        <w:pStyle w:val="TextoNormal"/>
      </w:pPr>
    </w:p>
    <w:p w:rsidR="00A90898" w:rsidRDefault="00A90898" w:rsidP="00A90898">
      <w:pPr>
        <w:pStyle w:val="TextoNormal"/>
      </w:pPr>
      <w:r>
        <w:t>Es obligado concluir, por cuanto antecede, que la disposición adicional vigésima cuarta de la Ley 3/2015 es contraria al artículo 149.1.29 CE, así como al artículo 164.1 a) EAC.</w:t>
      </w:r>
    </w:p>
    <w:p w:rsidR="00A90898" w:rsidRDefault="00A90898" w:rsidP="00A90898">
      <w:pPr>
        <w:pStyle w:val="TextoNormal"/>
      </w:pPr>
    </w:p>
    <w:p w:rsidR="00A90898" w:rsidRDefault="00A90898" w:rsidP="00A90898">
      <w:pPr>
        <w:pStyle w:val="TextoNormal"/>
      </w:pPr>
      <w:r w:rsidRPr="00A90898">
        <w:rPr>
          <w:rStyle w:val="NumeroAFNegritaCaracter"/>
        </w:rPr>
        <w:t>9</w:t>
      </w:r>
      <w:r>
        <w:t>. El texto de la también impugnada disposición adicional vigésima quinta, cuya rúbrica reza “Creación de la Agencia Catalana de la Protección Social”, es el siguiente:</w:t>
      </w:r>
    </w:p>
    <w:p w:rsidR="00A90898" w:rsidRDefault="00A90898" w:rsidP="00A90898">
      <w:pPr>
        <w:pStyle w:val="TextoNormal"/>
      </w:pPr>
    </w:p>
    <w:p w:rsidR="00A90898" w:rsidRDefault="00A90898" w:rsidP="00A90898">
      <w:pPr>
        <w:pStyle w:val="TextoNormal"/>
      </w:pPr>
      <w:r>
        <w:t>“1. El Gobierno, en el plazo de cinco meses a contar desde la entrada en vigor de la presente ley, debe elaborar un anteproyecto de ley de creación de la Agencia Catalana de la Protección Social.</w:t>
      </w:r>
    </w:p>
    <w:p w:rsidR="00A90898" w:rsidRDefault="00A90898" w:rsidP="00A90898">
      <w:pPr>
        <w:pStyle w:val="TextoNormal"/>
      </w:pPr>
    </w:p>
    <w:p w:rsidR="00A90898" w:rsidRDefault="00A90898" w:rsidP="00A90898">
      <w:pPr>
        <w:pStyle w:val="TextoNormal"/>
      </w:pPr>
      <w:r>
        <w:t>2. La Agencia Catalana de la Protección Social debe asumir las competencias sobre las prestaciones de protección social propias o transferidas por el Estado que en el momento de entrada en vigor de la presente ley gestionan distintos departamentos del Gobierno, además de las prestaciones o mejoras que eventualmente se decida incorporar. La estructura de la Agencia debe prever una eventual asunción de las competencias que en el momento de entrada en vigor de esta ley ejerce la Administración del Estado.</w:t>
      </w:r>
    </w:p>
    <w:p w:rsidR="00A90898" w:rsidRDefault="00A90898" w:rsidP="00A90898">
      <w:pPr>
        <w:pStyle w:val="TextoNormal"/>
      </w:pPr>
    </w:p>
    <w:p w:rsidR="00A90898" w:rsidRDefault="00A90898" w:rsidP="00A90898">
      <w:pPr>
        <w:pStyle w:val="TextoNormal"/>
      </w:pPr>
      <w:r>
        <w:t>3. El Gobierno, en el plazo de cinco meses a contar desde la entrada en vigor de la presente ley, debe aprobar un plan director de la protección social. Este plano (sic) debe constituir el instrumento de planificación estratégica del futuro modelo de gestión de las prestaciones sociales en Cataluña.”</w:t>
      </w:r>
    </w:p>
    <w:p w:rsidR="00A90898" w:rsidRDefault="00A90898" w:rsidP="00A90898">
      <w:pPr>
        <w:pStyle w:val="TextoNormal"/>
      </w:pPr>
    </w:p>
    <w:p w:rsidR="00A90898" w:rsidRDefault="00A90898" w:rsidP="00A90898">
      <w:pPr>
        <w:pStyle w:val="TextoNormal"/>
      </w:pPr>
      <w:r>
        <w:t>Dice la demanda que los apartados 2 y 3 de este precepto están “implícitamente refiriéndose también a las competencias sobre Seguridad Social que ejerce la Administración del Estado, así como a las prestaciones de la Seguridad Social”, lo que sería contrario a lo dispuesto en los artículos 149.1.1 y 149.1.17 CE. El primero de ellos —no citado después al término de esta parte de la demanda—, en cuanto atribuye competencia exclusiva al Estado para la regulación de las condiciones básicas que garanticen la igualdad de todos los españoles en el ejercicio de los derechos y en el cumplimiento de los deberes constitucionales; el segundo, porque en su virtud ostenta el Estado competencia, también exclusiva, sobre la legislación básica y régimen económico de la Seguridad Social, sin perjuicio —advierte este artículo 149.1.17— de la ejecución de sus servicios por las Comunidades Autónomas. También considera vulnerados los artículos 1.2, 2, 9.1 y 168 CE, en atención al contexto y circunstancias que rodearon la adopción de esta norma legal, pero ni en tales motivos de impugnación ni en el examen de informes o manifestaciones públicas no imputables a la Cámara entraremos ahora, conforme a lo expuesto en fundamentos anteriores. Considera el Abogado del Estado, en fin, que esta disposición adicional entra en contradicción con los artículos 165 y 166 EAC, relativo, el primero, a las competencias de la Generalitat en materia de Seguridad Social y el segundo a las que ostenta sobre servicios sociales.</w:t>
      </w:r>
    </w:p>
    <w:p w:rsidR="00A90898" w:rsidRDefault="00A90898" w:rsidP="00A90898">
      <w:pPr>
        <w:pStyle w:val="TextoNormal"/>
      </w:pPr>
    </w:p>
    <w:p w:rsidR="00A90898" w:rsidRDefault="00A90898" w:rsidP="00A90898">
      <w:pPr>
        <w:pStyle w:val="TextoNormal"/>
      </w:pPr>
      <w:r>
        <w:t xml:space="preserve">Estos preceptos estatutarios se citan, también, en defensa de la norma impugnada, por las representaciones de la Generalitat y del Parlamento de Cataluña, en cuyas alegaciones se observa que la previsión que hace el apartado 2 de esta disposición adicional en orden a una “eventual asunción de competencias” ejercidas hoy por la Administración del Estado podría canalizarse mediante lo establecido en el artículo 150.2 CE, constituyendo, en todo caso, “una futura eventualidad” de la que no se seguiría menoscabo actual alguno de las competencias del Estado. Se dice junto a ello, que la Generalitat puede, en ejercicio de sus competencias para organizar su propia Administración (arts. 71 y 150 EAC), disponer la creación de esta Agencia, y concentrar en ella la gestión de todas las prestaciones sociales que </w:t>
      </w:r>
      <w:r>
        <w:lastRenderedPageBreak/>
        <w:t>son de su responsabilidad, siendo legítimo que se encomiende al Gobierno, número 3 de la disposición recurrida, la planificación de un modelo de gestión de tales prestaciones.</w:t>
      </w:r>
    </w:p>
    <w:p w:rsidR="00A90898" w:rsidRDefault="00A90898" w:rsidP="00A90898">
      <w:pPr>
        <w:pStyle w:val="TextoNormal"/>
      </w:pPr>
    </w:p>
    <w:p w:rsidR="00A90898" w:rsidRDefault="00A90898" w:rsidP="00A90898">
      <w:pPr>
        <w:pStyle w:val="TextoNormal"/>
      </w:pPr>
      <w:r>
        <w:t>Antes de iniciar el enjuiciamiento constitucional planteado son procedentes dos aclaraciones: una, sobre las normas constitucionales que han de ser aquí medida para nuestro juicio y relativa, la otra, a los enunciados de esta disposición adicional que hemos de considerar controvertidos. La demanda invoca los apartados 1 y 17 del artículo 149.1 CE, pero solo el segundo posee transcendencia en cuanto a la validez o invalidez de la ley, pues la igualdad a preservar ex artículo 149.1.1 CE queda, en casos como este, subsumida y garantizada mediante unas u otras de las competencias básicas que el propio artículo 149.1 atribuye al Estado, esto es, para el caso actual, a través de las competencias estatales sobre Seguridad Social que el Estado ostenta en virtud del apartado 17 de dicho precepto ( con carácter general, SSTC 137/2013, de 6 de junio, FJ 3; 211/2014, de 18 de diciembre, FJ 4, y 6/2015, de 22 de enero, FJ 2). La demanda impugna la totalidad de la disposición adicional vigésima quinta, pero es lo cierto que su argumentación se articula solo respecto de sus apartados 2 y 3, sin precisión crítica alguna sobre el número 1 del precepto, en el que se encomienda al Gobierno la elaboración de un anteproyecto de ley de creación de la Agencia Catalana de Protección Social. Una doctrina tan constante que su cita es ociosa recuerda que las impugnaciones han de ser fundamentadas; por ello, y porque es patente que la Generalitat cuenta con competencias para organizar su propia Administración (arts. 71 y 150 EAC), este número 1 de la disposición adicional queda al margen de nuestro examen. Ello con independencia, de que las previsiones sobre la agencia, en el número 2, o sobre el modelo de gestión de prestaciones sociales, en el 3, se acomoden o no a la Constitución y a las competencias que, en orden a la Seguridad Social y a los servicios sociales, confieren a la Generalitat, respectivamente, los ya citados artículos 165 y 166 EAC. Esto es lo aquí se enjuicia.</w:t>
      </w:r>
    </w:p>
    <w:p w:rsidR="00A90898" w:rsidRDefault="00A90898" w:rsidP="00A90898">
      <w:pPr>
        <w:pStyle w:val="TextoNormal"/>
      </w:pPr>
    </w:p>
    <w:p w:rsidR="00A90898" w:rsidRDefault="00A90898" w:rsidP="00A90898">
      <w:pPr>
        <w:pStyle w:val="TextoNormal"/>
      </w:pPr>
      <w:r>
        <w:t>Recordamos a continuación las competencias sobre Seguridad Social del Estado y de la Comunidad Autónoma de Cataluña, así como las que la Generalitat ostenta en punto a asistencia social, y consideraremos, después, si al dictar los apartados 2 y 3 de esta disposición adicional, se ha incurrido o no en inconstitucionalidad.</w:t>
      </w:r>
    </w:p>
    <w:p w:rsidR="00A90898" w:rsidRDefault="00A90898" w:rsidP="00A90898">
      <w:pPr>
        <w:pStyle w:val="TextoNormal"/>
      </w:pPr>
    </w:p>
    <w:p w:rsidR="00A90898" w:rsidRDefault="00A90898" w:rsidP="00A90898">
      <w:pPr>
        <w:pStyle w:val="TextoNormal"/>
      </w:pPr>
      <w:r>
        <w:t xml:space="preserve">A) La Ley encomienda al Gobierno la elaboración de un anteproyecto para la constitución, también por ley del Parlamento, de una Agencia de Protección Social. Esta expresión (“protección social”), que reiteran los apartados 2 y 3 de la disposición adicional vigésima quinta, tiene un alcance genérico, y asimismo lo tienen las fórmulas “prestaciones” o “prestaciones sociales” que figuran en aquellos números. Así lo han venido a sostener todas las partes del proceso y así es de reconocer ahora, pues, a falta de mayor concreción legal, la “protección social” y las “prestaciones sociales” podrían serlo ya en el ámbito de la Seguridad Social, ya en el correspondiente a la asistencia social, toda vez que sobre una y otra el Estatuto de Autonomía de Cataluña atribuye determinadas competencias a la Generalitat, en el respeto, claro es, de las exclusivas del Estado en orden a la legislación básica y al régimen económico de la Seguridad Social (art. 149.1.17); precepto este de la Constitución que también prevé que puedan las Comunidades Autónomas ejecutar los servicios de la Seguridad Social. En lo que a esta última institución se refiere, el ya mencionado artículo 165 EAC confiere diversas competencias, a título de compartidas, a la Comunidad Autónoma “respetando —dice su número 1— los principios de unidad económico-patrimonial y solidaridad financiera”: desarrollo y ejecución de la legislación estatal, excepto las normas </w:t>
      </w:r>
      <w:r>
        <w:lastRenderedPageBreak/>
        <w:t>que configuran el régimen económico; gestión del régimen económico de la Seguridad Social; organización y gestión del patrimonio y los servicios que integran la asistencia sanitaria y los servicios sociales del sistema de la Seguridad Social en Cataluña; ordenación y ejercicio de determinadas potestades administrativas sobre instituciones, empresas y fundaciones que colaboran con el sistema; reconocimiento y gestión de las pensiones no contributivas y, en fin, coordinación de las actuaciones del sistema sanitario vinculadas a las prestaciones de la Seguridad Social (sobre unas u otras de estas competencias y acerca de su ajuste con las exclusivas del Estado, véanse, de entre la más reciente jurisprudencia, las SSTC 211/2012, de 14 de noviembre, FJ 5; 104/2013, de 25 de abril, FJ 4; 33/2014, de 27 de febrero, FJ 5 y 39/2014, de 11 de marzo, FJ 8, a cuya doctrina, en general, procede remitirse ahora). Pero también cabe reconducir a la noción de “protección social” y a la genérica, de “prestaciones sociales” las que se establezcan y provean al amparo de la competencia de la Generalitat sobre “servicios sociales” (art. 166 EAC), competencia que se califica de “exclusiva”, por más que ello, según se expresa con reiteración, no supone la exclusión de las que el Estado pueda, con arreglo a sus títulos propios ex artículo 149.1 CE, desplegar en este mismo ámbito (por todas, STC 154/2013, de 10 de septiembre, FJ 6).</w:t>
      </w:r>
    </w:p>
    <w:p w:rsidR="00A90898" w:rsidRDefault="00A90898" w:rsidP="00A90898">
      <w:pPr>
        <w:pStyle w:val="TextoNormal"/>
      </w:pPr>
    </w:p>
    <w:p w:rsidR="00A90898" w:rsidRDefault="00A90898" w:rsidP="00A90898">
      <w:pPr>
        <w:pStyle w:val="TextoNormal"/>
      </w:pPr>
      <w:r>
        <w:t>Baste la referencia anterior para recordar que la Generalitat ostenta, por obra del Estatuto de Autonomía, determinadas competencias en orden a la protección social y, en concreto, para regular y ordenar prestaciones económicas con finalidad asistencial (Ley 13/2006, de 27 de julio, de prestaciones sociales de carácter económico) y para el reconocimiento y la gestión de las pensiones no contributivas de la Seguridad Social [arts. 165.1 a) y 165.1 f) EAC]. Competencias tales habilitan a la Generalitat para dotarse, en ejercicio de las que ostenta para organizar su Administración, con esta Agencia Catalana de la Protección Social, a cuyo efecto se ha encargado al Gobierno la preparación del correspondiente anteproyecto de ley. No hay en ello nada que merezca reproche, ni que muestre siquiera indicio de inconstitucionalidad. Como las partes han venido a reconocer —aunque con conclusiones contrarias—, el problema jurídico-constitucional se sitúa, más bien, en determinados incisos o pasajes de los números 2 y 3 de esta disposición adicional en los que, para la demanda, se habría incurrido en infracción del artículo 149.1.17 CE y, por ello, de las exclusivas competencias del Estado sobre Seguridad Social. Es esto lo procede resolver.</w:t>
      </w:r>
    </w:p>
    <w:p w:rsidR="00A90898" w:rsidRDefault="00A90898" w:rsidP="00A90898">
      <w:pPr>
        <w:pStyle w:val="TextoNormal"/>
      </w:pPr>
    </w:p>
    <w:p w:rsidR="00A90898" w:rsidRDefault="00A90898" w:rsidP="00A90898">
      <w:pPr>
        <w:pStyle w:val="TextoNormal"/>
      </w:pPr>
      <w:r>
        <w:t>B) El número 2 de esta disposición adicional vigésima quinta prescribe que la Agencia Catalana de Protección Social “debe asumir las competencias sobre las prestaciones de protección social propias o transferidas por el Estado que en el momento de entrada en vigor de la presente ley gestionan distintos departamentos del Gobierno, además de las prestaciones o mejoras que eventualmente se decida incorporar”. En tanto este enunciado inicial remite a “prestaciones” gestionadas hoy por la Generalitat —que han de serlo con título jurídico bastante—, ninguna censura jurídico-constitucional merece, con independencia del sentido, ciertamente no meridiano, que tiene, en este contexto, la expresión de prestaciones “transferidas por el Estado” del que la norma se sirve. Este Tribunal no es juez de la mejor o peor técnica legislativa (por todas, STC 195/1996, de 28 de noviembre, FJ 4), de modo que nada hay que decir al respecto.</w:t>
      </w:r>
    </w:p>
    <w:p w:rsidR="00A90898" w:rsidRDefault="00A90898" w:rsidP="00A90898">
      <w:pPr>
        <w:pStyle w:val="TextoNormal"/>
      </w:pPr>
    </w:p>
    <w:p w:rsidR="00A90898" w:rsidRDefault="00A90898" w:rsidP="00A90898">
      <w:pPr>
        <w:pStyle w:val="TextoNormal"/>
      </w:pPr>
      <w:r>
        <w:t xml:space="preserve">La norma, con todo, no concluye así. Se añade en ella que la estructura de la Agencia “debe prever una eventual asunción de las competencias que en el momento de entrada en vigor de esta ley ejerce la Administración del Estado” y es esta parte del mandato legal sobre la que polemizan la demanda y las alegaciones de contrario. Para la primera, este enunciado </w:t>
      </w:r>
      <w:r>
        <w:lastRenderedPageBreak/>
        <w:t>legal entraría en colisión con el artículo 149.1.17 CE. Para los defensores de la Ley no ha de verse en él sino la previsión de una mera eventualidad de futuro, a canalizar, acaso, por vía de lo previsto en el artículo 150.2 CE y que ningún daño depararía, en la actualidad, a las competencias del Estado en orden a la Seguridad Social en Cataluña. Planteada así la contradicción entre las partes son precisas las consideraciones siguientes:</w:t>
      </w:r>
    </w:p>
    <w:p w:rsidR="00A90898" w:rsidRDefault="00A90898" w:rsidP="00A90898">
      <w:pPr>
        <w:pStyle w:val="TextoNormal"/>
      </w:pPr>
    </w:p>
    <w:p w:rsidR="00A90898" w:rsidRDefault="00A90898" w:rsidP="00A90898">
      <w:pPr>
        <w:pStyle w:val="TextoNormal"/>
      </w:pPr>
      <w:r>
        <w:t>a) Este mandato legislativo puede sin duda entenderse —y así lo hace la demanda— en términos de que por el Gobierno se elabore un anteproyecto de ley en el que la “estructura” de la Agencia se organice o disponga para asumir competencias que no son de la Generalitat de Cataluña —que son, como se reconocería, del Estado— lo que supondría, en esta comprensión de la norma, una afirmación competencial, por parte del Parlamento, sobre ámbitos respecto de los que la Comunidad Autónoma no ostenta poder alguno y en relación a los cuales no puede impartir —tampoco en el plano organizativo— encomienda o encargo de ningún género, por más que sea claro que la organización de los servicios o agencias de la Administración autonómica solo compete a la Generalitat en tanto que esa organización se aplique o proyecte sobre competencias propias, competencias que aquí, sin embargo, se reconocerían como ajenas. Si este fuera el único entendimiento posible de la norma, sería también cierto que esta inequívoca afirmación competencial resultaría en sí misma —con independencia del modo en que hubiera de articularse el encomendado proyecto y de cuál fuera su suerte final— lesiva de las actuales competencias del Estado sobre la Seguridad Social, sin que nada argumentara de contrario el alegato de que tales competencias siguen hoy, sin menoscabo, ejerciéndose en Cataluña. En nuestro Estado compuesto, las competencias ajenas pueden ser vulneradas o invadidas tanto por vaciamiento o menoscabo, como por “perturbación” (por todas, STC 162/2013, de 26 de septiembre, FJ 6), y no parece discutible que las del Estado quedarían aquí, de interpretarse así el precepto, cuando menos perturbadas y en entredicho, por obra de una disposición legal que ordenaría configurar una entidad administrativa para el potencial ejercicio de competencias que no corresponden a la Comunidad Autónoma. Pero no ya potencial, sino en acto cierto, sería la afirmación competencial que aquí habría hecho, sin título alguno para ello, el Parlamento de Cataluña.</w:t>
      </w:r>
    </w:p>
    <w:p w:rsidR="00A90898" w:rsidRDefault="00A90898" w:rsidP="00A90898">
      <w:pPr>
        <w:pStyle w:val="TextoNormal"/>
      </w:pPr>
    </w:p>
    <w:p w:rsidR="00A90898" w:rsidRDefault="00A90898" w:rsidP="00A90898">
      <w:pPr>
        <w:pStyle w:val="TextoNormal"/>
      </w:pPr>
      <w:r>
        <w:t xml:space="preserve">b) Conclusión tan clara no podría quedar enervada por lo que en las alegaciones se aduce en orden a que la “eventual asunción de las competencias del Estado”, en palabras de este apartado 2, bien podría canalizarse por el cauce previsto en el artículo 150.2 CE. No es solo que el enunciado que enjuiciamos nada diga al respecto, sino que mal podría haber incorporado, sin daño también para la Constitución, una previsión de ese orden a efectos de la organización de la Agencia Catalana de la Protección Social sobre ámbitos propios de la competencia estatal. Como observamos en el fundamento jurídico 6, el legislador puede legítimamente disponer a partir de las competencias asignadas —al Estado o a unas u otras Comunidades Autónomas— por el bloque de la constitucionalidad, pero no en atención a cualquier hipotética Constitución futura o sobre la base de determinaciones que, en la vigente, escapan por entero a la disposición del ente respectivo, como ocurre, para las Comunidades Autónomas, en lo relativo a las previsiones del invocado artículo 150.2 CE. Este Tribunal ya declaró en la antes citada STC132/1998, para un caso en el que la ley recurrida declaraba “provisional” determinada competencia estatal, que “[l]os distintos legisladores que forman parte del Estado de las Autonomías pueden interpretar el alcance y los límites de su propia competencia, definida en la Constitución y en el respectivo Estatuto de Autonomía, cuando la ejercitan al aprobar las leyes que les corresponden. Pero, lo mismo que no pueden hacer una interpretación genérica y abstracta del sistema constitucional y estatutario </w:t>
      </w:r>
      <w:r>
        <w:lastRenderedPageBreak/>
        <w:t>de distribución de competencias (STC 76/1983, fundamento jurídico 4), tampoco pueden hacer una interpretación que condicione para el futuro las competencias ostentadas por las restantes instituciones generales y autonómicas del Estado, pues tanto en un caso como en otro —concluyó el Tribunal— se estarían subrogando en el ejercicio del poder constituyente, sin contar con una expresa previsión constitucional o estatutaria” (FJ 12 y resoluciones allí citadas).</w:t>
      </w:r>
    </w:p>
    <w:p w:rsidR="00A90898" w:rsidRDefault="00A90898" w:rsidP="00A90898">
      <w:pPr>
        <w:pStyle w:val="TextoNormal"/>
      </w:pPr>
    </w:p>
    <w:p w:rsidR="00A90898" w:rsidRDefault="00A90898" w:rsidP="00A90898">
      <w:pPr>
        <w:pStyle w:val="TextoNormal"/>
      </w:pPr>
      <w:r>
        <w:t>c) La anterior no es, sin embargo, la única posible interpretación de este número 2 de la disposición adicional vigésimo quinta. Se refiere la misma, con expresión algo impropia, a “competencias que … ejerce la Administración del Estado” y siendo patente que las competencias —correspondan a quien correspondan— se ostentan con título legítimo antes de ejercerse, bien puede entenderse este precepto en el sentido de que alude no tanto a competencias que sea, hoy, de titularidad estatal (supuesto en que la norma, ya se ha dicho, sería inconstitucional sin más), sino al eventual ejercicio por la Administración del Estado, al tiempo de adoptarse esta disposición legal, de algunas funciones en el ámbito de las prestaciones sociales que podrían, sin embargo, reconducirse a las competencias estatutarias de la Comunidad Autónoma, una vez que se proveyera, por ejemplo, a los correspondientes traspasos de servicios. Así entendido, el precepto no merecería reproche constitucional pues nada hay que objetar a que esta norma de ley disponga que la estructura de la Agencia Catalana de la Protección Social se organice en atención a una eventual asunción de funciones que la Comunidad Autónoma, si así fuera, aún no ejercería en plenitud, pero que se corresponderían, sin embargo con competencias que la Generalitat sí ostenta positivamente conforme al Estatuto de Autonomía de Cataluña. Siendo posible, sin forzar los términos del precepto, este entendimiento del mismo conforme a la Constitución, no procede declarar su inconstitucionalidad, aunque sí disponer en el fallo que ésta, y no otra es la interpretación que así permite el mantenimiento de la ley en este extremo.</w:t>
      </w:r>
    </w:p>
    <w:p w:rsidR="00A90898" w:rsidRDefault="00A90898" w:rsidP="00A90898">
      <w:pPr>
        <w:pStyle w:val="TextoNormal"/>
      </w:pPr>
    </w:p>
    <w:p w:rsidR="00A90898" w:rsidRDefault="00A90898" w:rsidP="00A90898">
      <w:pPr>
        <w:pStyle w:val="TextoNormal"/>
      </w:pPr>
      <w:r>
        <w:t>C) Procede examinar ahora lo previsto en el apartado 3 de esta misma disposición adicional, de conformidad con el cual el Gobierno, en plazo de cinco meses, debe “presentar un plan director de la protección social”, plan que —añade la norma— “debe constituir el instrumento de planificación estratégica del futuro modelo de gestión de las prestaciones sociales en Cataluña”.</w:t>
      </w:r>
    </w:p>
    <w:p w:rsidR="00A90898" w:rsidRDefault="00A90898" w:rsidP="00A90898">
      <w:pPr>
        <w:pStyle w:val="TextoNormal"/>
      </w:pPr>
    </w:p>
    <w:p w:rsidR="00A90898" w:rsidRDefault="00A90898" w:rsidP="00A90898">
      <w:pPr>
        <w:pStyle w:val="TextoNormal"/>
      </w:pPr>
      <w:r>
        <w:t>La expresión inespecífica de “protección social” (presente en la Constitución, tan sólo, en lo relativo a la familia: art. 39.1) consiente, sin dificultad mayor, un entendimiento del primero de estos enunciados acomodado a la Constitución y al Estatuto de Autonomía, pues ya hemos dicho que la norma fundamental permite que los Estatutos de Autonomía confieran a las Comunidades Autónomas competencias sobre asistencia social y también en lo relativo a la Seguridad Social (arts. 148.1.20 y 149.1.17), competencias que enuncia el Estatuto de Autonomía (arts. 165 y 166). Ceñido a estas competencias estatutarias el “plan director de la protección social”, no merece censura jurídico-constitucional el mandato legislativo para su aprobación por el Gobierno.</w:t>
      </w:r>
    </w:p>
    <w:p w:rsidR="00A90898" w:rsidRDefault="00A90898" w:rsidP="00A90898">
      <w:pPr>
        <w:pStyle w:val="TextoNormal"/>
      </w:pPr>
    </w:p>
    <w:p w:rsidR="00A90898" w:rsidRDefault="00A90898" w:rsidP="00A90898">
      <w:pPr>
        <w:pStyle w:val="TextoNormal"/>
      </w:pPr>
      <w:r>
        <w:t xml:space="preserve">Más problemático es, desde la perspectiva jurídico-constitucional, el enunciado final de este apartado 3, de conformidad con el cual tal plan ha de constituir el instrumento de “planificación estratégica del futuro modelo de gestión de las prestaciones sociales en Cataluña”. El alcance en apariencia omnicomprensivo de este enunciado ( “prestaciones sociales”) permitiría ver en el mismo una referencia tanto a las de asistencia social como a las que son </w:t>
      </w:r>
      <w:r>
        <w:lastRenderedPageBreak/>
        <w:t>propia del sistema de la Seguridad Social; prestaciones, éstas últimas, “cuyo modelo de gestión”, en palabras del precepto, está hoy en general regulado en las normas del capítulo V del título I del Real Decreto Legislativo 8/2015, de 30 de octubre, por el que se aprueba el texto refundido de la Ley general de la Seguridad Social, normas que, con arreglo a la disposición final primera del propio texto refundido, se dictaron al amparo de lo establecido en el artículo 149.1.17 CE, sin perjuicio, para las Comunidades Autónomas con competencias en la materia, de los aspectos relativos al modo de ejercicio de las competencias y a la organización de los servicios. El “modelo de gestión” de las prestaciones de Seguridad Social, al que así cabría entender que se refiere también la regla impugnada no puede ser definido por una Comunidad Autónoma, pues entra, de lleno, en la legislación básica sobre esta institución, que corresponde en exclusiva al Estado, como así se desprende, de nuestra doctrina (STC 84/2015, de 30 de abril, FJ 7). Un “modelo de gestión” de estas prestaciones de Seguridad Social en Cataluña no es algo que pueda ser —en los términos dichos— determinado por la Comunidad Autónoma y el mandato del Parlamento para que el Gobierno de la Generalitat lo planificara —de entenderse así la norma— no dejaría de afectar por ello, sin duda, a las competencias exclusivas del Estado en virtud del artículo 149.1.17 CE, pues supondría, tal mandato, una afirmación competencial que, con semejante alcance general, carece de fundamento en el Estatuto de Autonomía de Cataluña. No es este, sin embargo, un entendimiento inequívoco o concluyente de la regla enjuiciada, pues el mismo carácter inespecífico de la expresión “prestaciones sociales” consienten el ver ahora en la misma una referencia, estricta y exclusiva a las prestaciones “con finalidad asistencial”, para las que la Generalitat es sin duda alguna competente [art. 166.1 a)], a reserva de cuando el Estado lo sea en virtud de títulos propios, competencia que, en el contexto de este mismo artículo 166, se extiende, también con claridad, a la planificación y definición de su “ modelo de gestión”. Así entendido el precepto, no procede declarar su inconstitucionalidad, pero sí precisar en el fallo que solo en virtud de esta interpretación conforme a la Constitución, la regla legal puede mantenerse en el Ordenamiento.</w:t>
      </w:r>
    </w:p>
    <w:p w:rsidR="00A90898" w:rsidRDefault="00A90898" w:rsidP="00A90898">
      <w:pPr>
        <w:pStyle w:val="TextoNormal"/>
      </w:pPr>
    </w:p>
    <w:p w:rsidR="00A90898" w:rsidRDefault="00A90898" w:rsidP="00A90898">
      <w:pPr>
        <w:pStyle w:val="TextoNormal"/>
      </w:pPr>
      <w:r w:rsidRPr="00A90898">
        <w:rPr>
          <w:rStyle w:val="NumeroAFNegritaCaracter"/>
        </w:rPr>
        <w:t>10</w:t>
      </w:r>
      <w:r>
        <w:t>. La disposición adicional vigésima sexta, última de las impugnadas, se intitula “Plan director relativo a los sectores de la energía, de las telecomunicaciones y los sistemas de información y del transporte ferroviario”. Su texto es el siguiente:</w:t>
      </w:r>
    </w:p>
    <w:p w:rsidR="00A90898" w:rsidRDefault="00A90898" w:rsidP="00A90898">
      <w:pPr>
        <w:pStyle w:val="TextoNormal"/>
      </w:pPr>
    </w:p>
    <w:p w:rsidR="00A90898" w:rsidRDefault="00A90898" w:rsidP="00A90898">
      <w:pPr>
        <w:pStyle w:val="TextoNormal"/>
      </w:pPr>
      <w:r>
        <w:t>“El Gobierno, en el plazo de cinco meses a contar desde la entrada en vigor de la presente ley, debe presentar un plan director que plantee un modelo de políticas de competencia y de regulación de los sectores de la energía, de las telecomunicaciones y los sistemas de información y del transporte ferroviario, así como de un marco normativo que se inspire en las determinaciones del derecho de la Unión Europea.”</w:t>
      </w:r>
    </w:p>
    <w:p w:rsidR="00A90898" w:rsidRDefault="00A90898" w:rsidP="00A90898">
      <w:pPr>
        <w:pStyle w:val="TextoNormal"/>
      </w:pPr>
    </w:p>
    <w:p w:rsidR="00A90898" w:rsidRDefault="00A90898" w:rsidP="00A90898">
      <w:pPr>
        <w:pStyle w:val="TextoNormal"/>
      </w:pPr>
      <w:r>
        <w:t xml:space="preserve">La demanda pone en relación esta norma con lo que estima sería su contexto de adopción (en particular, la enmienda parlamentaria que estuvo en su origen) y afirma que “ninguna regulación corresponde constitucionalmente a la Generalidad de Cataluña” en los “sectores” a los que el precepto se refiere, vistos los términos “unilaterales y omnicomprensivos” de su formulación; regulación que tampoco podría adoptar para establecer, sobre dichos ámbitos, ni un “modelo de políticas de competencia y de regulación” ni el “marco normativo” al que esta disposición adicional se refiere. Concluye la demanda, luego de transcribir un pasaje de la STC 108/2014, de 26 de junio, con la afirmación de que la norma recurrida habría vulnerado las competencias estatales “en cada uno de los sectores aludidos”, además de las contempladas en el artículo 149.1.13 CE. Dice también violados los artículos 1.2, 2, 9.1 y </w:t>
      </w:r>
      <w:r>
        <w:lastRenderedPageBreak/>
        <w:t>168 CE, invocaciones, estas últimas, en las que, por consideraciones ya expuestas, no entraremos aquí.</w:t>
      </w:r>
    </w:p>
    <w:p w:rsidR="00A90898" w:rsidRDefault="00A90898" w:rsidP="00A90898">
      <w:pPr>
        <w:pStyle w:val="TextoNormal"/>
      </w:pPr>
    </w:p>
    <w:p w:rsidR="00A90898" w:rsidRDefault="00A90898" w:rsidP="00A90898">
      <w:pPr>
        <w:pStyle w:val="TextoNormal"/>
      </w:pPr>
      <w:r>
        <w:t>Las representaciones de la Generalitat y del Parlamento de Cataluña han aducido en defensa de la norma impugnada las competencias de la Comunidad Autónoma sobre “energía”, “infraestructura del transporte y las comunicaciones”, “medios de comunicación social y servicios de contenido audiovisual”, “planificación y ordenación de la actividad económica”, “promoción y defensa de la competencia” y “transportes” (arts. 133, 140, 146, 152, 154 y 169, respectivamente, del EAC), amén de invocar —los Letrados del Parlamento— el artículo 71 del mismo Estatuto en punto a las competencias de la Comunidad Autónoma para organizar su propia Administración. Ambas representaciones señalan que el mandato legal objeto de recurso lo es, tan sólo, para elaborar un modelo “teórico” y de futuro, sin menoscabo actual alguno de las competencias del Estado. Los Abogados de la Generalitat recuerdan que la Comunidad Autónoma puede proponer, o solicitar se proponga, la adopción de una ley por las Cortes Generales o, incluso, la reforma de la Constitución (arts. 86.2 y 166 CE).</w:t>
      </w:r>
    </w:p>
    <w:p w:rsidR="00A90898" w:rsidRDefault="00A90898" w:rsidP="00A90898">
      <w:pPr>
        <w:pStyle w:val="TextoNormal"/>
      </w:pPr>
    </w:p>
    <w:p w:rsidR="00A90898" w:rsidRDefault="00A90898" w:rsidP="00A90898">
      <w:pPr>
        <w:pStyle w:val="TextoNormal"/>
      </w:pPr>
      <w:r>
        <w:t>Así expuestos los términos de la controversia entre las partes, es ya posible entrar en su resolución, no sin antes identificar cuál sea la “materia” sobre la que —a los efectos competenciales que aquí importan— se proyecta la disposición impugnada.</w:t>
      </w:r>
    </w:p>
    <w:p w:rsidR="00A90898" w:rsidRDefault="00A90898" w:rsidP="00A90898">
      <w:pPr>
        <w:pStyle w:val="TextoNormal"/>
      </w:pPr>
    </w:p>
    <w:p w:rsidR="00A90898" w:rsidRDefault="00A90898" w:rsidP="00A90898">
      <w:pPr>
        <w:pStyle w:val="TextoNormal"/>
      </w:pPr>
      <w:r>
        <w:t>a) Este mandato legal impone al Gobierno “presentar” en cierto plazo (al Parlamento de Cataluña) un “plan director” que habrá de plantear un “modelo de políticas de competencia y de regulación” sobre determinados sectores de la actividad económica, así como un “marco normativo”, que se inspire en las determinaciones del Derecho de la Unión Europea. El primero de estos dos encargos se inscribe sin duda, y así parece lo asumen todas las partes, en el ámbito material del Derecho de la competencia y, en concreto, de su defensa, tal y como este sector del ordenamiento ha sido, a efectos competenciales, identificado por una doctrina constitucional a la que nos referiremos de inmediato y sobre la que las partes no han dejado de argumentar, trayendo también a colación la disciplina legislativa en la materia (Ley 3/2013, de 4 de junio, de creación de la Comisión Nacional de los Mercados y la Competencia; Ley 1/2002, de 21 de febrero, de coordinación de las competencias del Estado y las Comunidades Autónomas en materia de defensa de la competencia, y, entre otras, Ley 1/2009, de 12 de febrero, de la Autoridad Catalana de la Competencia). Otro tanto se ha de decir respecto del segundo de los mandatos dirigidos aquí por Ley al Gobierno de la Generalitat, pues el encargo de plantear, también, un modelo de “marco normativo” (inspirado, asimismo, en las determinaciones del Derecho europeo) no parece pueda entenderse —dentro de la unidad del precepto— sino en relación con aquella primera encomienda en orden a unas “políticas” de competencia y regulación cuya plasmación en Derecho habría de partir del referido “marco normativo” a plantear, también como “modelo”, por el Gobierno. Se quiere decir con ello que la “materia” que, a efectos competenciales, debemos tomar en consideración es la de defensa de la competencia y la regulación a ella asociada, no siendo otro el designio unitario del precepto en lo que tiene de mandato ya para plantear “políticas”, ya para hacer lo propio respecto del “marco normativo” dentro del cual aquéllas habrían de adquirir, por obra del Parlamento, forma jurídica. No han de ser medida para nuestro enjuiciamiento las normas del bloque de la constitucionalidad —de la Constitución y del Estatuto de Autonomía de Cataluña— que asignan competencias al Estado y a la Ge</w:t>
      </w:r>
      <w:r>
        <w:lastRenderedPageBreak/>
        <w:t>neralitat sobre unos u otros de los concretos sectores económicos relacionados en esta disposición adicional (energía, telecomunicaciones, sistemas de información y transporte ferroviario), normas que ni siquiera la demanda individualiza —sólo invoca expresamente el artículo 149.1.13 CE— y a la que la representación del Parlamento se refiere “adicionalmente” a su argumentación en torno a la materia defensa de la competencia.</w:t>
      </w:r>
    </w:p>
    <w:p w:rsidR="00A90898" w:rsidRDefault="00A90898" w:rsidP="00A90898">
      <w:pPr>
        <w:pStyle w:val="TextoNormal"/>
      </w:pPr>
    </w:p>
    <w:p w:rsidR="00A90898" w:rsidRDefault="00A90898" w:rsidP="00A90898">
      <w:pPr>
        <w:pStyle w:val="TextoNormal"/>
      </w:pPr>
      <w:r>
        <w:t>b) La defensa de la competencia no es “materia” expresamente atribuida al Estado por la Constitución, pero su relevancia para la libertad de empresa en el marco de la economía y la unidad de mercado ha llevado a este Tribunal a reconocer que la competencia estatal sobre las bases y ordenación de la actividad económica (art. 149.1.13 CE) se proyecta sobre ella (por todas, STC 208/1999, de 11 de noviembre, FJ 6), de forma que, en tanto que nos hallamos ante un elemento definitorio del mercado, corresponde al Estado ex artículo 149.1.13 CE, no solo dictar la norma, sino también toda las actividad ejecutiva que determine la configuración real del mercado único de carácter nacional (STC 26/2012, de 1 de marzo, FJ 10; en términos análogos, entre otras, STC 108/2014, de 26 de junio, FJ 4), Al margen ahora esta última referencia a determinadas funciones ejecutivas que puedan corresponder al Estado, no cabe en ningún caso hacer cuestión acerca de su exclusiva competencia, en mérito del citado precepto constitucional, para adoptar, en este ámbito, la legislación aplicable en todo el mercado nacional.</w:t>
      </w:r>
    </w:p>
    <w:p w:rsidR="00A90898" w:rsidRDefault="00A90898" w:rsidP="00A90898">
      <w:pPr>
        <w:pStyle w:val="TextoNormal"/>
      </w:pPr>
    </w:p>
    <w:p w:rsidR="00A90898" w:rsidRDefault="00A90898" w:rsidP="00A90898">
      <w:pPr>
        <w:pStyle w:val="TextoNormal"/>
      </w:pPr>
      <w:r>
        <w:t>c) Recordado lo anterior, es claro que la disposición adicional aquí controvertida, ha incurrido en inconstitucionalidad. Sus mandatos al Gobierno para presentar un plan director que plantee un modelo de políticas de competencia y de regulación, así como un marco normativo sobre determinados sectores de la actividad económica, no encuentra fundamento en la competencia definida en el artículo 154.2 EAC y conculca abiertamente la que al Estado le corresponde ex artículo 149.1.13 CE en orden a la regulación general que garantice y discipline por igual, en todo el territorio del Estado, la libertad de competencia entre operadores económicos. Un tal “modelo de políticas”, y de “marco normativo” para articularlas, no es cosa que le corresponda adoptar, por lo dicho, a una Comunidad Autónoma y al disponer sobre ello, mediante mandatos legales al Gobierno, el Parlamento de Cataluña ha consumado una afirmación competencial, actual e inequívoca, sobre competencias sin embargo ajenas, afirmación tanto más patente cuanto que la norma, con relegación manifiesta de las competencias estatales, no le impone al Gobierno otra pauta o directriz jurídica que la de inspirarse “en las determinaciones del derecho de la Unión Europea”. Ello depara —cualquiera que pudiera llegar a ser el cumplimiento final de estos mandatos— la invalidez de la norma, invalidez que no podría quedar paliada, por lo que en su defensa se ha alegado con cita de los preceptos constitucionales que atribuyen potestad a la Cámara autonómica para ejercer, o solicitar se ejerza, la iniciativa legislativa, o incluso de reforma constitucional, ante las Cortes Generales (arts. 87.2 y 166). La reforma de la legislación y de la propia Constitución es una posibilidad siempre abierta —y, para esta última, sin más límites que los procedimentales y los del respeto a los derechos fundamentales—, pero lo que no cabe es invocar tal posibilidad —a la que ni indiciariamente se acoge la disposición impugnada— y anticipar al tiempo, en normas vinculantes, los eventuales resultados futuros de aquellas posibles reformas. Legislar con validez jurídica, como ya dijimos, es hacerlo en el respeto a las normas vigentes del bloque de la constitucionalidad, no en atención a otras, hipotéticas, que pudieran, acaso, ocupar un día su lugar.</w:t>
      </w:r>
    </w:p>
    <w:p w:rsidR="00A90898" w:rsidRDefault="00A90898" w:rsidP="00A90898">
      <w:pPr>
        <w:pStyle w:val="TextoNormal"/>
      </w:pPr>
    </w:p>
    <w:p w:rsidR="00A90898" w:rsidRDefault="00A90898" w:rsidP="00A90898">
      <w:pPr>
        <w:pStyle w:val="TextoNormal"/>
      </w:pPr>
      <w:r>
        <w:lastRenderedPageBreak/>
        <w:t>La disposición adicional vigésima sexta es, por ello, contraria al artículo 149.1.13 CE y al artículo 154.2 EAC.</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Estimar, en parte, el presente recurso de inconstitucionalidad y, en consecuencia, declarar la inconstitucionalidad y consiguiente nulidad de los siguientes preceptos de la Ley del parlamento de Cataluña 3/2015, de 11 de marzo, de medidas fiscales, financieras y administrativas:</w:t>
      </w:r>
    </w:p>
    <w:p w:rsidR="00A90898" w:rsidRDefault="00A90898" w:rsidP="00A90898">
      <w:pPr>
        <w:pStyle w:val="TextoNormal"/>
      </w:pPr>
    </w:p>
    <w:p w:rsidR="00A90898" w:rsidRDefault="00A90898" w:rsidP="00A90898">
      <w:pPr>
        <w:pStyle w:val="TextoNormal"/>
      </w:pPr>
      <w:r>
        <w:t>a) Artículo 69.</w:t>
      </w:r>
    </w:p>
    <w:p w:rsidR="00A90898" w:rsidRDefault="00A90898" w:rsidP="00A90898">
      <w:pPr>
        <w:pStyle w:val="TextoNormal"/>
      </w:pPr>
    </w:p>
    <w:p w:rsidR="00A90898" w:rsidRDefault="00A90898" w:rsidP="00A90898">
      <w:pPr>
        <w:pStyle w:val="TextoNormal"/>
      </w:pPr>
      <w:r>
        <w:t>b) Artículo 95.</w:t>
      </w:r>
    </w:p>
    <w:p w:rsidR="00A90898" w:rsidRDefault="00A90898" w:rsidP="00A90898">
      <w:pPr>
        <w:pStyle w:val="TextoNormal"/>
      </w:pPr>
    </w:p>
    <w:p w:rsidR="00A90898" w:rsidRDefault="00A90898" w:rsidP="00A90898">
      <w:pPr>
        <w:pStyle w:val="TextoNormal"/>
      </w:pPr>
      <w:r>
        <w:t>c) Disposición adicional vigésima segunda.</w:t>
      </w:r>
    </w:p>
    <w:p w:rsidR="00A90898" w:rsidRDefault="00A90898" w:rsidP="00A90898">
      <w:pPr>
        <w:pStyle w:val="TextoNormal"/>
      </w:pPr>
    </w:p>
    <w:p w:rsidR="00A90898" w:rsidRDefault="00A90898" w:rsidP="00A90898">
      <w:pPr>
        <w:pStyle w:val="TextoNormal"/>
      </w:pPr>
      <w:r>
        <w:t>d) Disposición adicional vigésima cuarta.</w:t>
      </w:r>
    </w:p>
    <w:p w:rsidR="00A90898" w:rsidRDefault="00A90898" w:rsidP="00A90898">
      <w:pPr>
        <w:pStyle w:val="TextoNormal"/>
      </w:pPr>
    </w:p>
    <w:p w:rsidR="00A90898" w:rsidRDefault="00A90898" w:rsidP="00A90898">
      <w:pPr>
        <w:pStyle w:val="TextoNormal"/>
      </w:pPr>
      <w:r>
        <w:t>e) Disposición adicional vigésima sexta.</w:t>
      </w:r>
    </w:p>
    <w:p w:rsidR="00A90898" w:rsidRDefault="00A90898" w:rsidP="00A90898">
      <w:pPr>
        <w:pStyle w:val="TextoNormal"/>
      </w:pPr>
    </w:p>
    <w:p w:rsidR="00A90898" w:rsidRDefault="00A90898" w:rsidP="00A90898">
      <w:pPr>
        <w:pStyle w:val="TextoNormal"/>
      </w:pPr>
      <w:r>
        <w:t>2º Declarar que la disposición adicional vigésima tercera de la Ley del parlamento de Cataluña 3/2015, de 11 de marzo, no es inconstitucional interpretada en los términos del fundamento jurídico 7 A) y B).</w:t>
      </w:r>
    </w:p>
    <w:p w:rsidR="00A90898" w:rsidRDefault="00A90898" w:rsidP="00A90898">
      <w:pPr>
        <w:pStyle w:val="TextoNormal"/>
      </w:pPr>
    </w:p>
    <w:p w:rsidR="00A90898" w:rsidRDefault="00A90898" w:rsidP="00A90898">
      <w:pPr>
        <w:pStyle w:val="TextoNormal"/>
      </w:pPr>
      <w:r>
        <w:tab/>
        <w:t>3º Declarar que los números 2 y 3 de la disposición adicional vigésima quinta, no son inconstitucionales interpretados en los términos, respectivamente, de los apartados B) c) y C) del fundamento jurídico 9.</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siete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 w:name="SENTENCIA_2016_129"/>
      <w:r>
        <w:lastRenderedPageBreak/>
        <w:t>SENTENCIA 129/2016, de 18 de julio de 2016</w:t>
      </w:r>
    </w:p>
    <w:bookmarkEnd w:id="8"/>
    <w:p w:rsidR="00A90898" w:rsidRDefault="00A90898" w:rsidP="00A90898">
      <w:pPr>
        <w:pStyle w:val="TtuloResolucin"/>
      </w:pPr>
      <w:r>
        <w:t>Sala Primera</w:t>
      </w:r>
    </w:p>
    <w:p w:rsidR="00A90898" w:rsidRDefault="00A90898" w:rsidP="00A90898">
      <w:pPr>
        <w:pStyle w:val="TtuloBOE"/>
      </w:pPr>
      <w:r>
        <w:t>(BOE núm. 196, de 15 de agosto de 2016)</w:t>
      </w:r>
    </w:p>
    <w:p w:rsidR="00A90898" w:rsidRDefault="00A90898" w:rsidP="00A90898">
      <w:pPr>
        <w:pStyle w:val="TextoNormalCentrado"/>
      </w:pPr>
      <w:r>
        <w:t>ECLI:ES:TC:2016:129</w:t>
      </w:r>
    </w:p>
    <w:p w:rsidR="00A90898" w:rsidRDefault="00A90898" w:rsidP="00A90898">
      <w:pPr>
        <w:pStyle w:val="TextoNormalCentrado"/>
      </w:pPr>
    </w:p>
    <w:p w:rsidR="00A90898" w:rsidRDefault="00A90898" w:rsidP="00A90898">
      <w:pPr>
        <w:pStyle w:val="SntesisDescriptiva"/>
      </w:pPr>
      <w:r>
        <w:t>Recurso de amparo 4455-2011. Promovido por don Carlos Sánchez Tárrago respecto de las resoluciones dictadas por la Secretaría Judicial de un Juzgado Central de lo Contencioso-Administrativo convocando a las partes para la celebración de vista en un proceso en materia de personal.</w:t>
      </w:r>
    </w:p>
    <w:p w:rsidR="00A90898" w:rsidRDefault="00A90898" w:rsidP="00A90898">
      <w:pPr>
        <w:pStyle w:val="SntesisDescriptiva"/>
      </w:pPr>
    </w:p>
    <w:p w:rsidR="00A90898" w:rsidRDefault="00A90898" w:rsidP="00A90898">
      <w:pPr>
        <w:pStyle w:val="SntesisAnaltica"/>
      </w:pPr>
      <w:r>
        <w:t>Vulneración del derecho a un proceso sin dilaciones indebidas: demora de aproximadamente dos años en la celebración de la vista del juicio en un procedimiento abreviado contencioso-administrativo (STC 63/2016).</w:t>
      </w:r>
    </w:p>
    <w:p w:rsidR="00A90898" w:rsidRDefault="00A90898" w:rsidP="00A90898">
      <w:pPr>
        <w:pStyle w:val="SntesisAnaltica"/>
      </w:pPr>
    </w:p>
    <w:p w:rsidR="00A90898" w:rsidRDefault="00A90898" w:rsidP="00A90898">
      <w:pPr>
        <w:pStyle w:val="Extracto"/>
      </w:pPr>
      <w:r>
        <w:t>1.</w:t>
      </w:r>
      <w:r>
        <w:tab/>
        <w:t>Asunto sustancialmente idéntico al resuelto por la STC 63/2016, relativa a la doctrina sobre el derecho a un proceso sin dilaciones indebidas en relación con la demora en la celebración de la vista del juicio en un procedimiento contencioso-administrativo (STC 89/2014) [FFJJ 2 a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4455-2011, promovido por don Carlos Sánchez Tárrago, representado por el Procurador de los Tribunales don Juan Antonio Escrivá de Romaní Vereterra y asistido por el Letrado don Viliulfo Aníbal Díaz Pérez, contra decreto del Secretario judicial del Juzgado Central de lo Contencioso-Administrativo núm. 4, de fecha 13 de junio de 2011 que desestimó el recurso de reposición contra el decreto de la misma Secretaría de 16 de mayo de 2011, en el particular del mismo que señalaba el día 25 de abril de 2013 para la celebración de la vista del recurso contencioso-administrativo que el demandante había interpuesto contra la orden del Ministerio de Asuntos Exteriores y de Cooperación de 7 de marzo de 2011. Ha sido parte el Abogado del Estado y ha intervenido el Ministerio Fiscal. Ha sido Ponente el Presidente don Francisco Pérez de los Cobos Orihuel,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escrito presentado en el Registro General de este Tribunal el día 27 de julio de 2011, don Carlos Sánchez Tárrago, representado por el Procurador de los Tribunales don Juan Antonio Escrivá de Romaní Vereterra y asistido por el Letrado don Viliulfo Aníbal Díaz Pérez, interpuso recurso de amparo contra las resoluciones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La demanda de amparo trae causa de los siguientes hechos:</w:t>
      </w:r>
    </w:p>
    <w:p w:rsidR="00A90898" w:rsidRDefault="00A90898" w:rsidP="00A90898">
      <w:pPr>
        <w:pStyle w:val="TextoNormal"/>
      </w:pPr>
    </w:p>
    <w:p w:rsidR="00A90898" w:rsidRDefault="00A90898" w:rsidP="00A90898">
      <w:pPr>
        <w:pStyle w:val="TextoNormal"/>
      </w:pPr>
      <w:r>
        <w:t>a) El 9 de mayo de 2011 don Carlos Sánchez Tárrago, funcionario del cuerpo general administrativo de la Administración del Estado, presentó demanda mediante la que interpuso recurso contencioso-administrativo, a tramitar por el procedimiento abreviado, contra la orden del Ministerio de Asuntos Exteriores y de Cooperación de 7 de marzo de 2011 que había desestimado su recurso de reposición contra la de 20 de diciembre de 2010 que dispuso su cese como jefe de negociado de visados en el Consulado General de España en Tánger (Marruecos).</w:t>
      </w:r>
    </w:p>
    <w:p w:rsidR="00A90898" w:rsidRDefault="00A90898" w:rsidP="00A90898">
      <w:pPr>
        <w:pStyle w:val="TextoNormal"/>
      </w:pPr>
    </w:p>
    <w:p w:rsidR="00A90898" w:rsidRDefault="00A90898" w:rsidP="00A90898">
      <w:pPr>
        <w:pStyle w:val="TextoNormal"/>
      </w:pPr>
      <w:r>
        <w:t>b) Correspondió conocer del recurso al Juzgado Central de lo Contencioso-Administrativo núm. 4, que lo tramitó como procedimiento abreviado núm. 480-2011. El Secretario Judicial dictó el 16 de mayo de 2011 decreto en el que admitió la demanda y ordenó citar a las partes para la celebración de la vista, para lo que señaló el día 25 de abril de 2013. La representación del Sr. Sánchez Tárrago interpuso recurso de reposición contra el decreto citado, en el que, tras denunciar que la dilación de dos años de la celebración de la vista suponía la infracción de sus derechos a un proceso sin dilaciones indebidas y a la tutela judicial efectiva, pidió que revocara el decreto impugnado en el sentido de dejar sin efecto el señalamiento anterior y que se señalara una fecha más cercana.</w:t>
      </w:r>
    </w:p>
    <w:p w:rsidR="00A90898" w:rsidRDefault="00A90898" w:rsidP="00A90898">
      <w:pPr>
        <w:pStyle w:val="TextoNormal"/>
      </w:pPr>
    </w:p>
    <w:p w:rsidR="00A90898" w:rsidRDefault="00A90898" w:rsidP="00A90898">
      <w:pPr>
        <w:pStyle w:val="TextoNormal"/>
      </w:pPr>
      <w:r>
        <w:t>c) En un nuevo decreto de 13 de junio de 2011 el Secretario desestimó el recurso de reposición razonando que se había seguido rigurosamente el orden establecido, con arreglo a los criterios del titular del Juzgado, sin que la sobrecarga de asuntos pendientes permitiera asignar otra fecha para la celebración de la vista. El decreto se notificó con la indicación de que contra el mismo no cabía recurso alguno, sin perjuicio de poder reproducir la cuestión al recurrir, si fuera procedente, la resolución definitiva.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demandante denuncia que el decreto originario, al fijar la celebración de la vista para casi dos años después de la interposición del recurso contencioso-administrativo, vulnera su derecho a un proceso sin dilaciones indebidas del art. 24.2 CE y es contrario a la doctrina sentada por este Tribunal en casos precedentes, como el resuelto en la STC 142/2010, de 21 diciembre, en el que, al igual que en éste, el excesivo período de tiempo que media entre la admisión del recurso contencioso-administrativo y la fecha señalada para la vista tiene su origen en el volumen de trabajo del órgano judicial. Con arreglo a la jurisprudencia constitucional, y en concreto a la Sentencia citada, esa circunstancia, si bien puede excluir la responsabilidad de las personas intervinientes en el procedimiento, de ningún modo justifica el retraso. Por el contrario, dice el demandante citando nuestra STC 142/2010, de 21 diciembre, “es exigible que Jueces y Tribunales cumplan su función jurisdiccional, garantizando la libertad, la justicia y la seguridad, con la rapidez que permita la </w:t>
      </w:r>
      <w:r>
        <w:lastRenderedPageBreak/>
        <w:t>duración normal de los procesos, lo que lleva implícita la necesidad de que el Estado provea la dotación a los órganos judiciales de los medios personales y materiales precisos para el correcto desarrollo de las funciones que el Ordenamiento les encomienda”. Expone el demandante que tiene un interés cualificado en la revocación tempestiva del indebido traslado del cargo que venía ocupando, que le permitiría permanecer en su casa en Tánger, sin verse obligado, cercano ya el fin de su vida profesional, a cambiar de domicilio y de modo de vida. Por ello concurre también en su caso la vulneración al derecho a la tutela judicial efectiva. Aunque el derecho fundamental a un proceso sin dilaciones indebidas goza de autonomía respecto del derecho a la tutela judicial efectiva, son innegables sus conexiones; el derecho a la jurisdicción contemplado en el art. 24.1 CE no puede entenderse desligado del tiempo en que la tutela judicial debe prestarse y aunque la tardanza en resolver no entraña siempre una denegación de justicia, sí que la ha supuesto en este caso, dadas las circunstancias personales del demandante, a quien, por la proximidad de su jubilación, resulta del mayor interés no tener que trasladarse a España, sino permanecer en el puesto que venía desempeñando desde hace años en Tánger, hasta que deba abandonarlo definitivamente por haber alcanzado la edad de jubilación.</w:t>
      </w:r>
    </w:p>
    <w:p w:rsidR="00A90898" w:rsidRDefault="00A90898" w:rsidP="00A90898">
      <w:pPr>
        <w:pStyle w:val="TextoNormal"/>
      </w:pPr>
    </w:p>
    <w:p w:rsidR="00A90898" w:rsidRDefault="00A90898" w:rsidP="00A90898">
      <w:pPr>
        <w:pStyle w:val="TextoNormal"/>
      </w:pPr>
      <w:r>
        <w:t>En cuanto a la especial trascendencia constitucional del caso, indica el demandante que su queja es igual a la formulada en otros recursos de amparo, como el resuelto en la citada STC 142/2010. Además, la resolución tardía del recurso contencioso-administrativo le hará perder su sentido, de modo que la Sentencia que en su día recaiga no satisfará ya su interés legítimo, lo que determinará que la tutela judicial no será efectiva, por la inminencia de su jubilación por edad. Las circunstancias de hecho son idénticas en lo sustancial a las que fueron tomadas en cuenta en los recursos resueltos en las SSTC invocadas. La igualdad de trato exige que la concurrencia del requisito de la especial trascendencia constitucional apreciada en esos recursos se aprecie también en éste. Esos precedentes evidencian, por otra parte, la verosimilitud de la lesión denunciada, lo que con la especial intensidad de ésta, abona la necesidad de llegar a una solución común y uniforme. Con independencia de lo anterior, no cabe duda al demandante de la especial trascendencia constitucional del caso a la luz de la STC 155/2009, de 25 junio, conforme a la cual concurre cuando nuestra doctrina sobre el derecho fundamental alegado esté siendo incumplida de modo general y reiterado por la jurisdicción ordinaria, o en el caso de que un órgano judicial incurra en una negativa manifiesta de su deber de acatamiento de la misma. Según el demandante ambas circunstancias se dan en este caso. De un lado, y a pesar del fallo de la STC l42/2010, de 21 de diciembre, y las que en ella se citan, en que se declaró la vulneración de derechos fundamentales que supone el retraso indebido en el señalamiento de la vista en los procedimientos abreviados, se reincide en dicha práctica, muy extendida en los Juzgados Centrales de lo Contencioso-Administrativo, según el demandante. De otro, ello supone una negativa manifiesta, por parte del órgano judicial, del deber de acatamiento de la doctrina sentada por este Tribunal, a pesar de que le fue invocada en el recurso de reposición.</w:t>
      </w:r>
    </w:p>
    <w:p w:rsidR="00A90898" w:rsidRDefault="00A90898" w:rsidP="00A90898">
      <w:pPr>
        <w:pStyle w:val="TextoNormal"/>
      </w:pPr>
    </w:p>
    <w:p w:rsidR="00A90898" w:rsidRDefault="00A90898" w:rsidP="00A90898">
      <w:pPr>
        <w:pStyle w:val="TextoNormal"/>
      </w:pPr>
      <w:r>
        <w:t>Finalmente, el demandante interesa que se declare que los decretos impugnados han vulnerado sus derechos a un proceso sin dilaciones indebidas y a la tutela judicial efectiva, que se declare su nulidad, dejando sin efecto del señalamiento efectuado para el día 25 de abril de 2013, y que por parte del Juzgado se señale nueva fecha para la vista.</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En providencia de 29 de octubre de 2012 se acordó admitir el recurso de amparo, que se reclamara del Juzgado Central de lo Contencioso-Administrativo núm. 4 certificación o </w:t>
      </w:r>
      <w:r>
        <w:lastRenderedPageBreak/>
        <w:t>fotocopia adverada de las actuaciones del procedimiento abreviado en el que se habían dictado los decretos impugnados, con emplazamiento de los interesados, excepto la parte demandante y que se notificara lo resuelto al Abogado del Estado a fin de que tal notificación sirviera de emplazamiento para que pudiera comparecer en este proceso constitucional. Recibido el testimonio de las actuaciones, mediante diligencia de ordenación de 11 de diciembre de 2012 se acordó dar vista de las mismas a las partes personadas —el demandante de amparo y la Administración general del Estado— y al Ministerio Fiscal durante 20 días, dentro de los cuales podrían presentar alegaciones, conforme al art. 52 de la Ley Orgánica del Tribunal Constitucional (LOTC).</w:t>
      </w:r>
    </w:p>
    <w:p w:rsidR="00A90898" w:rsidRDefault="00A90898" w:rsidP="00A90898">
      <w:pPr>
        <w:pStyle w:val="TextoNormal"/>
      </w:pPr>
    </w:p>
    <w:p w:rsidR="00A90898" w:rsidRDefault="00A90898" w:rsidP="00A90898">
      <w:pPr>
        <w:pStyle w:val="TextoNormal"/>
      </w:pPr>
      <w:r w:rsidRPr="00A90898">
        <w:rPr>
          <w:rStyle w:val="NumeroAFNegritaCaracter"/>
        </w:rPr>
        <w:t>5</w:t>
      </w:r>
      <w:r>
        <w:t>. En nombre de la Administración general del Estado el Abogado del Estado, por medio de escrito presentado el día 11 de enero de 2013, interesó que se declarase no admisible el recurso de amparo por no haberse justificado debidamente su especial trascendencia constitucional. Sobre los señalamientos para las vistas de los procedimientos abreviados en el orden contencioso-administrativo hay una sobrada doctrina constitucional: SSTC 93/2008, de 21 de julio; 94/2008, de 21 de julio; 141/2010, de 21 de diciembre, y 142/2010, de 21 de diciembre. La existencia de casos anteriores que el actor pretende hacer pasar por similares al suyo no es razón para reconocer en este una especial trascendencia constitucional, sino todo lo contrario: muestra que hay doctrina constitucional más que suficiente sobre la hipotética infracción constitucional en que se funda la demanda de amparo. Por otra parte, la alegación de la verosimilitud de la lesión y de su especial intensidad confunde el requisito de la especial trascendencia constitucional con la lesión del derecho fundamental, en contra de la doctrina sentada, entre otras, en las SSTC 69/2011, de 16 de mayo; 143/2011, de 26 de septiembre; 176/2012, de 15 de octubre; y 178/2012, de 15 de octubre. Ningún desacato de la jurisprudencia constitucional hay en los decretos impugnados, que se limitan a advertir que se sigue el orden legal de señalamientos conforme a los criterios del Magistrado, habida cuenta de la sobrecarga de asuntos que pesa sobre el Juzgado. No supone ello desacato alguno, sino simple descripción de una situación que no se puede corregir, y menos aún en un panorama de crisis financiera pública. Recuerda el Abogado del Estado que la STC 94/2008, de 21 de julio, FJ3, declaró que no se podía invocar el derecho a un proceso sin dilaciones indebidas para obtener una mejora singular en la atención temporal del propio caso, sino para que se le preste atención en los términos usuales o normales, vistos el tipo de asunto y demás circunstancias del caso.</w:t>
      </w:r>
    </w:p>
    <w:p w:rsidR="00A90898" w:rsidRDefault="00A90898" w:rsidP="00A90898">
      <w:pPr>
        <w:pStyle w:val="TextoNormal"/>
      </w:pPr>
    </w:p>
    <w:p w:rsidR="00A90898" w:rsidRDefault="00A90898" w:rsidP="00A90898">
      <w:pPr>
        <w:pStyle w:val="TextoNormal"/>
      </w:pPr>
      <w:r>
        <w:t xml:space="preserve">Subsidiariamente, pidió el Abogado del Estado que el recurso fuera desestimado. Con cita de la STC 94/2008, entre otras, expone que para apreciar si se han producido retrasos indebidos en la marcha de los procesos han de valorarse el interés arriesgado en el pleito, la duración de los litigios del mismo tipo y la conducta procesal de litigante. El acto impugnado en el recurso contencioso-administrativo es el traslado del demandante desde un puesto de trabajo desempeñado en adscripción provisional durante más de cinco años, sin tener en cuenta que tal adscripción es, por naturaleza, una situación precaria e inestable. Los eventuales perjuicios derivados de la posible falta de efectividad del recurso si la sentencia fuera estimatoria y repusiera al demandante en el puesto de trabajo o no se producirían o se deberían a decisiones libres del recurrente con cuyas consecuencias debe pechar. En la fecha de la vista —a la que sigue en pocos días la Sentencia— el recurrente tendrá 62 años cumplidos. La edad de jubilación de los funcionarios es de 65 años, con posible prórroga hasta los 70, hasta ahora normalmente concedida. Desde el 25 de abril de 2013 le quedarían al actor hasta su jubilación casi dos años y medio (sin prórroga) o siete años y medio (con ella). Por </w:t>
      </w:r>
      <w:r>
        <w:lastRenderedPageBreak/>
        <w:t>otro lado, el tomar en obligada consideración la edad de jubilación o cualquier otra circunstancia de la carrera funcionarial haría virtualmente imposible la existencia de criterios objetivos para el señalamiento de vistas, pues para cualquier justiciable su pleito es el más importante y el que requiere ser anticipado a los demás. Por lo demás, los muy hipotéticos perjuicios de la falta de reposición en el puesto de trabajo podrían ser indemnizados, como la propia demanda contencioso-administrativa pretende. Para el otro perjuicio —la casa en Tánger, de cuya existencia y propiedad no se ha aportado ni un principio de prueba— valen las mismas consideraciones sobre la impracticabilidad de unos criterios de señalamientos basados en circunstancias tan particulares como la alegada. Además, la resolución del recurso administrativo de reposición evidencia que el actor ha estado cobrando una indemnización precisamente porque Tánger es ciudad que se encuentra en país distinto al suyo de residencia.</w:t>
      </w:r>
    </w:p>
    <w:p w:rsidR="00A90898" w:rsidRDefault="00A90898" w:rsidP="00A90898">
      <w:pPr>
        <w:pStyle w:val="TextoNormal"/>
      </w:pPr>
    </w:p>
    <w:p w:rsidR="00A90898" w:rsidRDefault="00A90898" w:rsidP="00A90898">
      <w:pPr>
        <w:pStyle w:val="TextoNormal"/>
      </w:pPr>
      <w:r>
        <w:t>En cuanto a la conducta de procesal del demandante señala el Abogado del Estado que su representación no solicitó medida cautelar alguna ni en vía administrativa ni en la jurisdiccional en relación con el cese en el puesto de trabajo y el posterior traslado a los servicios centrales del Ministerio, clara demostración de que la importancia de los perjuicios que se alegan no debía ser tan alta.</w:t>
      </w:r>
    </w:p>
    <w:p w:rsidR="00A90898" w:rsidRDefault="00A90898" w:rsidP="00A90898">
      <w:pPr>
        <w:pStyle w:val="TextoNormal"/>
      </w:pPr>
    </w:p>
    <w:p w:rsidR="00A90898" w:rsidRDefault="00A90898" w:rsidP="00A90898">
      <w:pPr>
        <w:pStyle w:val="TextoNormal"/>
      </w:pPr>
      <w:r>
        <w:t>En relación la duración normal de los litigios del mismo tipo, dice el representante de la Administración que un lapso de algo menos de dos años entre el decreto de admisión de la demanda y la fecha de la vista no está fuera de los márgenes ordinarios de duración de los procedimientos contencioso-administrativos abreviados, más aún ante juzgados de ese orden jurisdiccional notoriamente sobrecargados de litigiosidad como los centrales, tal y como indicó el Secretario al desestimar la reposición. Por lo tanto, la fecha para la celebración de la vista no entraña dilación indebida alguna. El Abogado del Estado, para el caso de que estimaran excedidos los márgenes normales de duración del asunto, defiende que se matice la doctrina constitucional (recordada en la STC 93/2008, FJ 4) según la cual la circunstancia de que las demoras en la tramitación de los litigios se deban a deficiencias estructurales no impide la concesión del amparo por vulneración del derecho a un proceso sin dilaciones indebidas. A su juicio, solo las deficiencias estructurales que pudieran ser corregidas o eliminadas a corto plazo con un uso más racional y eficiente de los medios humanos y materiales disponibles, que el demandante deberá identificar mínimamente, que debieran determinar la concesión del amparo; es poco realista comparar el sistema judicial existente con una especie de ideal de funcionamiento que no se alcanzaría por mucho que se incrementara la inversión en organización judicial; por el contrario, las deficiencias estructurales deberían medirse en relación con el estándar de la prestación razonablemente exigible a un servicio público, cuya concreta configuración debe tener en cuenta lo que de modo realista pueda esperar un usuario atendido al nivel medio de prestación del servicio a los demás. Con este matiz resulta dudoso que en este caso exista una deficiencia estructural determinante de la concesión del amparo. Concluye el Abogado del Estado señalando que, de acuerdo con nuestra doctrina de que el derecho a un proceso sin dilaciones indebidas no está al servicio de la obtención de mejoras singulares en la atención temporal del propio caso (STC 94/2008, FJ 3), no podía acogerse la pretensión de que se ordene al Juzgado que proceda a un nuevo señalamiento de la vista.</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El procurador Sr. Escrivá de Romaní Vereterra, en un escrito presentado el 17 de enero de 2013 en representación de don Carlos Sánchez Tárrago, se ratificó en la demanda y </w:t>
      </w:r>
      <w:r>
        <w:lastRenderedPageBreak/>
        <w:t xml:space="preserve">reiteró las alegaciones en ella formuladas a la vista de que las actuaciones remitidas por el Juzgado Central de lo Contencioso-Administrativo núm. 4 confirmaban la realidad de la vulneración de los derechos fundamentales denunciada. Precisó que puesto que la pretensión, formulada en la demanda, de que ordenáramos al Juzgado que procediera a un nuevo señalamiento era de imposible ejecución debido al tiempo invertido en la tramitación de este recurso de amparo, y que, con arreglo a nuestra jurisprudencia no era viable que la Sentencia concediendo el amparo reconociera una indemnización por la imposibilidad de reparar </w:t>
      </w:r>
      <w:r w:rsidRPr="00A90898">
        <w:rPr>
          <w:i/>
        </w:rPr>
        <w:t>in natura</w:t>
      </w:r>
      <w:r>
        <w:t xml:space="preserve"> la lesión, deberíamos declarar la existencia de la vulneración de los derechos fundamentales invocados y reservar el derecho de su representado a obtener la correspondiente indemnización por el cauce legalmente previsto.</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El Fiscal, que presentó sus alegaciones el 31 de enero de 2013, interesó en primer lugar que nos pronunciáramos sobre la concurrencia de la causa de inadmisibilidad derivada de no haberse de agotado todos los medios de impugnación, pues el recurso de amparo se había interpuesto directamente contra los decretos del Secretario del Juzgado Central de lo Contencioso-Administrativo núm. 4. Expone el Fiscal que el apartado 2 del art. 102 </w:t>
      </w:r>
      <w:r w:rsidRPr="00A90898">
        <w:rPr>
          <w:i/>
        </w:rPr>
        <w:t>bis</w:t>
      </w:r>
      <w:r>
        <w:t xml:space="preserve"> de la Ley reguladora de la jurisdicción contencioso-administrativa (LJCA) no contempla la posibilidad de recurso de revisión contra los decretos de los Secretarios que resuelven recursos de reposición más que si así está previsto expresamente o si tales decretos ponen fin al procedimiento o impiden su continuación. Según el Fiscal cabría considerar que el demandante ha agotado los medios de impugnación, pues denunció la supuesta lesión de su derecho a un proceso sin dilaciones indebidas en el recurso de reposición que interpuso contra el decreto de 16 de mayo de 2011, sin que contra la decisión desestimatoria de ese recurso de reposición, que la ley atribuye al Secretario, quepa nuevo recurso.</w:t>
      </w:r>
    </w:p>
    <w:p w:rsidR="00A90898" w:rsidRDefault="00A90898" w:rsidP="00A90898">
      <w:pPr>
        <w:pStyle w:val="TextoNormal"/>
      </w:pPr>
    </w:p>
    <w:p w:rsidR="00A90898" w:rsidRDefault="00A90898" w:rsidP="00A90898">
      <w:pPr>
        <w:pStyle w:val="TextoNormal"/>
      </w:pPr>
      <w:r>
        <w:t xml:space="preserve">Pero, según el Fiscal, la imposibilidad de obtener la revisión judicial de un decreto del secretario del que deriva la supuesta lesión de un derecho fundamental es sólo aparente; del preámbulo de la Ley 13/2009, de 3 de noviembre, de reforma de la legislación procesal para la implantación de la nueva oficina judicial, que estableció la redacción del art. 102 </w:t>
      </w:r>
      <w:r w:rsidRPr="00A90898">
        <w:rPr>
          <w:i/>
        </w:rPr>
        <w:t>bis</w:t>
      </w:r>
      <w:r>
        <w:t xml:space="preserve"> LJCA, se desprende que no puede quedar fuera del control judicial la revisión de las resoluciones de los secretarios cuando las mismas puedan afectar a los derechos fundamentales invocados por los ciudadanos a través de los mecanismos procesales oportunos. La falta de previsión legal expresa acerca de la revisión judicial de las resoluciones de los Secretarios no puede suponer, desde la perspectiva de protección de los derechos fundamentales por los tribunales ordinarios, la imposibilidad de control judicial. Cuando el art. 44.1 LOTC establece la posibilidad de recurrir en amparo frente a la lesión de derechos fundamentales causada directamente por actos y omisiones de los órganos judiciales, se está refiriendo a los actos y omisiones del órgano judicial en sentido estricto, como el órgano que ejerce la función jurisdiccional, y no en un sentido amplio, comprensivo de los actos y decisiones que puedan ser adoptados por el personal al servicio de la Administración de Justicia que integra la oficina judicial, a cuyo frente se encuentran los secretarios. Para el Fiscal es evidente que la impugnación de una resolución del Secretario Judicial a la que se achaque la vulneración de un derecho fundamental no puede ser resuelta por el propio Secretario. El preámbulo de la Ley 13/2009, de 3 de noviembre, pone de manifiesto que fue intención del legislador que las nuevas atribuciones de los secretarios no afectaran a la función estrictamente jurisdiccional.</w:t>
      </w:r>
    </w:p>
    <w:p w:rsidR="00A90898" w:rsidRDefault="00A90898" w:rsidP="00A90898">
      <w:pPr>
        <w:pStyle w:val="TextoNormal"/>
      </w:pPr>
    </w:p>
    <w:p w:rsidR="00A90898" w:rsidRDefault="00A90898" w:rsidP="00A90898">
      <w:pPr>
        <w:pStyle w:val="TextoNormal"/>
      </w:pPr>
      <w:r>
        <w:lastRenderedPageBreak/>
        <w:t>Por otro lado, un recurso de amparo directo contra resoluciones del Secretario que no han sido objeto de revisión judicial resulta contrario a la naturaleza subsidiaria de aquél. Además, no es coherente exigir, para pedir amparo frente a una decisión judicial vulneradora de derechos fundamentales, el haber agotado todos los recursos previstos en las leyes procesales o, en su caso, promovido el incidente de nulidad de actuaciones, y entender, en cambio, que puede articularse directamente el amparo constitucional, sin necesidad de control judicial previo, si la resolución procede de un Secretario Judicial.</w:t>
      </w:r>
    </w:p>
    <w:p w:rsidR="00A90898" w:rsidRDefault="00A90898" w:rsidP="00A90898">
      <w:pPr>
        <w:pStyle w:val="TextoNormal"/>
      </w:pPr>
    </w:p>
    <w:p w:rsidR="00A90898" w:rsidRDefault="00A90898" w:rsidP="00A90898">
      <w:pPr>
        <w:pStyle w:val="TextoNormal"/>
      </w:pPr>
      <w:r>
        <w:t xml:space="preserve">En este caso hay que entender que el Secretario no era competente para conocer de la impugnación de su decreto, en cuanto se alegaba la vulneración del derecho fundamental a un proceso sin dilaciones indebidas, debiendo haber dado traslado al Juez para que la resolviera. Al no ser imputable al demandante la falta de agotamiento, interesó el Fiscal que declarásemos la nulidad del decreto del Secretario de 13 de junio de 2011 que desestimó el recurso de reposición, a fin de que dicha impugnación fuera resuelta por el Juez, en ejercicio de su potestad jurisdiccional. Alternativamente, y para el caso de que se entendiera que la reforma introducida por la Ley 13/2009, de 3 de noviembre impide la reparación por los jueces de la lesión de derechos fundamentales en resoluciones de los secretarios judiciales (art. 102 </w:t>
      </w:r>
      <w:r w:rsidRPr="00A90898">
        <w:rPr>
          <w:i/>
        </w:rPr>
        <w:t>bis</w:t>
      </w:r>
      <w:r>
        <w:t xml:space="preserve"> LJCA en relación con el 78.3 de la misma Ley), no siendo posible la interpretación de la norma procesal </w:t>
      </w:r>
      <w:r w:rsidRPr="00A90898">
        <w:rPr>
          <w:i/>
        </w:rPr>
        <w:t>secundum Constitutione</w:t>
      </w:r>
      <w:r>
        <w:t>, propuso que, con suspensión del plazo para dictar sentencia, se elevara la cuestión al Pleno, con arreglo a los arts. 35 y ss. LOTC.</w:t>
      </w:r>
    </w:p>
    <w:p w:rsidR="00A90898" w:rsidRDefault="00A90898" w:rsidP="00A90898">
      <w:pPr>
        <w:pStyle w:val="TextoNormal"/>
      </w:pPr>
    </w:p>
    <w:p w:rsidR="00A90898" w:rsidRDefault="00A90898" w:rsidP="00A90898">
      <w:pPr>
        <w:pStyle w:val="TextoNormal"/>
      </w:pPr>
      <w:r>
        <w:t>Si se entendiera admisible el recurso de amparo, considera el Fiscal que debería ser desestimado, pues no se han vulnerado los derechos invocados. Expone en este punto el Fiscal que, con arreglo a nuestra jurisprudencia, para valorar si las dilaciones procesales han de ser consideradas indebidas es necesario confrontar las circunstancias concretas del caso con criterios objetivos tales como la complejidad del litigio, los márgenes ordinarios de duración de los litigios del mismo tipo, el interés que en aquél se arriesga, la conducta procesal de la parte y el proceder de las autoridades. Aunque los casi dos años de demora que supone la celebración de la vista en la fecha señalada en el decreto impugnado es objetivamente una dilación excesiva, máxime si se tiene en cuenta que se trata de un pleito sin complejidad y que la actuación procesal del recurrente no ha obstaculizado su normal devenir, a juicio del Fiscal ni la pretensión deducida en el recurso contencioso-administrativo ni el interés en juego se presentan como especialmente relevantes. En efecto, el funcionario recurrente se encontraba ocupando un puesto de trabajo libre designación en adscripción provisional, hasta que dicho puesto se cubriera mediante la correspondiente convocatoria; el recurrente conocía, cuando fue adscrito a ese puesto, el carácter provisional de la adscripción y que el mismo debía cubrirse por el procedimiento de libre designación y por un periodo de cinco años no prorrogables. Esta circunstancia determina que no pueda acogerse como interés arriesgado el cambio de domicilio inherente al cese. Además la celebración de la vista en abril de 2013 no haría perder al recurso su total virtualidad, puesto que en esa fecha el recurrente no habría alcanzado la edad de jubilación. Todo ello impide, según el Fiscal, que el señalamiento para celebrar la vista en la fecha indicada, que el Secretario Judicial justificó por la carga de trabajo que soporta el Juzgado, pueda considerarse una dilación indebida. Ello determina que tampoco deba apreciarse la alegada lesión del derecho a la tutela judicial efectiva, que se denuncia como mera consecuencia de la del derecho a un proceso sin dilaciones indebidas, que a juicio del Fiscal no se ha producido.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Por providencia de 14 de julio de 2016 se señaló para deliberación y votación de la presente Sentencia el día 18 de dicho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dirige contra el decreto del Secretario Judicial (Letrado de la Administración de Justicia, en su denominación actual tras la Ley Orgánica 7/2015) del Juzgado Central de lo Contencioso-Administrativo núm. 4 de 13 de junio de 2011, que desestima el recurso de reposición interpuesto contra el previo decreto del mismo Secretario Judicial de 16 de mayo de 2011, por el que se señala el día 25 de abril de 2013 para la celebración de la vista del recurso contencioso-administrativo interpuesto el 9 de mayo de 2011 contra la orden de la Ministra de Asuntos Exteriores y de Cooperación de 7 de marzo de 2011 que había desestimado el recurso de reposición interpuesto contra la de 20 de diciembre de 2010 que dispuso su cese como jefe de negociado de visados en el Consulado General de España en Tánger (Marruecos).</w:t>
      </w:r>
    </w:p>
    <w:p w:rsidR="00A90898" w:rsidRDefault="00A90898" w:rsidP="00A90898">
      <w:pPr>
        <w:pStyle w:val="TextoNormal"/>
      </w:pPr>
    </w:p>
    <w:p w:rsidR="00A90898" w:rsidRDefault="00A90898" w:rsidP="00A90898">
      <w:pPr>
        <w:pStyle w:val="TextoNormal"/>
      </w:pPr>
      <w:r>
        <w:t>Considera el actor que fijar la celebración de la vista para casi dos años después de la interposición del recurso contencioso-administrativo vulnera su derecho a un proceso sin dilaciones indebidas del art. 24.2 CE y es contrario a la doctrina sentada por este Tribunal en casos precedentes, como el resuelto en la STC 142/2010, de 21 diciembre, de acuerdo con la cual el volumen de trabajo del órgano judicial de ningún modo justifica el retraso. Añade que concurre también en su caso la vulneración al derecho a la tutela judicial efectiva, porque aunque el derecho fundamental a un proceso sin dilaciones indebidas goza de autonomía respecto del derecho a la tutela judicial efectiva, no puede entenderse desligado del tiempo en que la tutela judicial debe prestarse. Finaliza impetrando que se declare que los decretos impugnados han vulnerado sus derechos a un proceso sin dilaciones indebidas y a la tutela judicial efectiva, se anulen, dejando sin efecto del señalamiento efectuado para el día 25 de abril de 2013, y que se devuelvan las actuaciones al Juzgado para que proceda a un nuevo señalamiento.</w:t>
      </w:r>
    </w:p>
    <w:p w:rsidR="00A90898" w:rsidRDefault="00A90898" w:rsidP="00A90898">
      <w:pPr>
        <w:pStyle w:val="TextoNormal"/>
      </w:pPr>
    </w:p>
    <w:p w:rsidR="00A90898" w:rsidRDefault="00A90898" w:rsidP="00A90898">
      <w:pPr>
        <w:pStyle w:val="TextoNormal"/>
      </w:pPr>
      <w:r>
        <w:t xml:space="preserve">El Abogado del Estado, como ha quedado expuesto con más detalle en los antecedentes, ha interesado la inadmisión del recurso de amparo por falta de justificación de la especial trascendencia constitucional, y, subsidiariamente, su desestimación. Por su parte, el Ministerio Fiscal solicita primeramente un pronunciamiento expreso de este Tribunal sobre la concurrencia del defecto procesal de falta de agotamiento de los recursos procesales, señalando sin embargo que no es imputable al recurrente esa falta de agotamiento y, consecuentemente, que se declare la nulidad del decreto impugnado que desestimó el recurso de reposición en el que se alegó la vulneración del derecho a un proceso sin dilaciones indebidas, para que dicha impugnación sea objeto de revisión por el Juez en el ejercicio de la potestad jurisdiccional. Alternativamente, para el caso de que el Tribunal entendiera que no es posible efectuar una interpretación conforme a la Constitución de los preceptos de la Ley de la jurisdicción contencioso-administrativa que, tras la reforma operada por la Ley 13/2009, establecen el mecanismo de recursos frente a las resoluciones del Secretario Judicial, que se acuda al mecanismo previsto en el art. 55.2 de la Ley Orgánica del Tribunal Constitucional (LOTC) autoplanteándose una cuestión de inconstitucionalidad con carácter previo a resolver sobre el fondo de la cuestión planteada. Subsidiariamente, si se considera por este Tribunal que no concurre defecto procesal determinante de la inadmisión del recurso ni </w:t>
      </w:r>
      <w:r>
        <w:lastRenderedPageBreak/>
        <w:t>lesión de derechos producida directamente por el sistema de recursos frente a resoluciones del Secretario Judicial, el Fiscal solicita el dictado de una Sentencia desestimatoria del amparo instado por el recurrente que declare que no se ha producido la vulneración del derecho a un juicio justo y sin dilaciones indebidas que establece el art. 24.2 CE ni tampoco la lesión del derecho a la tutela judicial efectiva.</w:t>
      </w:r>
    </w:p>
    <w:p w:rsidR="00A90898" w:rsidRDefault="00A90898" w:rsidP="00A90898">
      <w:pPr>
        <w:pStyle w:val="TextoNormal"/>
      </w:pPr>
    </w:p>
    <w:p w:rsidR="00A90898" w:rsidRDefault="00A90898" w:rsidP="00A90898">
      <w:pPr>
        <w:pStyle w:val="TextoNormal"/>
      </w:pPr>
      <w:r w:rsidRPr="00A90898">
        <w:rPr>
          <w:rStyle w:val="NumeroAFNegritaCaracter"/>
        </w:rPr>
        <w:t>2</w:t>
      </w:r>
      <w:r>
        <w:t>. Como se ha expresado, el Abogado del Estado ha opuesto un óbice procesal, y afirma que el recurso debe ser inadmitido por falta de justificación de la especial transcendencia constitucional.</w:t>
      </w:r>
    </w:p>
    <w:p w:rsidR="00A90898" w:rsidRDefault="00A90898" w:rsidP="00A90898">
      <w:pPr>
        <w:pStyle w:val="TextoNormal"/>
      </w:pPr>
    </w:p>
    <w:p w:rsidR="00A90898" w:rsidRDefault="00A90898" w:rsidP="00A90898">
      <w:pPr>
        <w:pStyle w:val="TextoNormal"/>
      </w:pPr>
      <w:r>
        <w:t xml:space="preserve">Como se ha expuesto con anterioridad, el recurrente razona específicamente que concurre especial transcendencia constitucional, con cita de la STC 155/2009, alegando que nuestra doctrina sobre el derecho fundamental alegado está siendo incumplida de modo general y reiterado por la jurisdicción ordinaria y que el órgano judicial </w:t>
      </w:r>
      <w:r w:rsidRPr="00A90898">
        <w:rPr>
          <w:i/>
        </w:rPr>
        <w:t>a quo</w:t>
      </w:r>
      <w:r>
        <w:t xml:space="preserve"> incurre en una negativa manifiesta de su deber de acatamiento de la misma.</w:t>
      </w:r>
    </w:p>
    <w:p w:rsidR="00A90898" w:rsidRDefault="00A90898" w:rsidP="00A90898">
      <w:pPr>
        <w:pStyle w:val="TextoNormal"/>
      </w:pPr>
    </w:p>
    <w:p w:rsidR="00A90898" w:rsidRDefault="00A90898" w:rsidP="00A90898">
      <w:pPr>
        <w:pStyle w:val="TextoNormal"/>
      </w:pPr>
      <w:r>
        <w:t>De esta forma, puede apreciarse un esfuerzo argumental tendente a cumplimentar la carga procesal exigida en el art. 49.1 LOTC, puesto que se disocian suficientemente en la demanda de amparo los argumentos destinados a probar la existencia de las vulneraciones de derechos que se aducen de aquellos otros argumentos enderezados a justificar la especial transcendencia constitucional del recurso, que coinciden con los expresados en nuestra doctrina citada.</w:t>
      </w:r>
    </w:p>
    <w:p w:rsidR="00A90898" w:rsidRDefault="00A90898" w:rsidP="00A90898">
      <w:pPr>
        <w:pStyle w:val="TextoNormal"/>
      </w:pPr>
    </w:p>
    <w:p w:rsidR="00A90898" w:rsidRDefault="00A90898" w:rsidP="00A90898">
      <w:pPr>
        <w:pStyle w:val="TextoNormal"/>
      </w:pPr>
      <w:r>
        <w:t>En lo que se refiere, no ya a la justificación formal de la especial transcendencia constitucional sino a la apreciación de si concurre efectivamente en el recurso de amparo, hemos declarado en la STC 54/2015, de 16 de marzo, entre otras muchas, que corresponde únicamente a este Tribunal apreciar en cada caso la existencia o inexistencia de esa “especial transcendencia constitucional”, esto es si, dado el contenido del recurso, se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A90898" w:rsidRDefault="00A90898" w:rsidP="00A90898">
      <w:pPr>
        <w:pStyle w:val="TextoNormal"/>
      </w:pPr>
    </w:p>
    <w:p w:rsidR="00A90898" w:rsidRDefault="00A90898" w:rsidP="00A90898">
      <w:pPr>
        <w:pStyle w:val="TextoNormal"/>
      </w:pPr>
      <w:r>
        <w:t xml:space="preserve">En el presente caso, este Tribunal aprecia que el recurso plantea dos aspectos que le otorgan especial trascendencia constitucional: por una parte, la propia causa alegada por el actor, que resulta corroborada por recientes pronunciamientos estimatorios de este Tribunal en materia de dilaciones indebidas (SSTC 54/2014, de 10 de abril; 58/2014, de 5 de mayo; 99/2014, de 23 de junio; 74/2015, de 27 de abril; 87/2015, de 11 de mayo, y 88/2015, de 11 de mayo, así como, respecto de los Juzgados Centrales de lo Contencioso-Administrativo, la STC 142/2010, de 21 de diciembre). Por otra parte, porque se plantea aquí el mismo problema suscitado en el recurso de amparo 4577-2011, derivado de la exclusión de la intervención judicial, conforme al art. 102 </w:t>
      </w:r>
      <w:r w:rsidRPr="00A90898">
        <w:rPr>
          <w:i/>
        </w:rPr>
        <w:t>bis</w:t>
      </w:r>
      <w:r>
        <w:t xml:space="preserve">.2 de la Ley reguladora de la jurisdicción contencioso-administrativa (LJCA), en el control de determinadas decisiones de los secretarios judiciales, lo que impedía la observancia del principio de subsidiariedad del recurso de amparo ante este Tribunal, y correlativo cumplimiento de la exigencia establecida en el art. 44.1 a) LOTC. En aquel caso, ello motivó el planteamiento de una cuestión interna de inconstitucionalidad, resuelta en sentido estimatorio por el Pleno en STC 58/2016, de 17 de marzo. La STC 63/2016, de 11 de abril, FJ 2 hizo extensiva su valoración sobre la especial transcendencia constitucional a los “otros cinco recursos de amparo” de esta misma serie </w:t>
      </w:r>
      <w:r>
        <w:lastRenderedPageBreak/>
        <w:t>“admitidos a trámite y pendientes de Sentencia” (esto es, recursos de amparo interpuestos contra decretos del Secretario Judicial señalando la vista de recursos contencioso-administrativos contra sanciones en materia de extranjería por vulneración del derecho a un proceso sin dilaciones indebidas). Uno de esos recursos es el que ahora resolvemos. El resto de los recursos de amparo han sido resueltos ya por las SSTC 63/2016, de 11 de abril; 75/2016, 76/2016 y 77/2016, todas ellas de 25 de abril; STC 89/2016, de 9 de mayo, y STC 103/2016, de 6 de junio.</w:t>
      </w:r>
    </w:p>
    <w:p w:rsidR="00A90898" w:rsidRDefault="00A90898" w:rsidP="00A90898">
      <w:pPr>
        <w:pStyle w:val="TextoNormal"/>
      </w:pPr>
    </w:p>
    <w:p w:rsidR="00A90898" w:rsidRDefault="00A90898" w:rsidP="00A90898">
      <w:pPr>
        <w:pStyle w:val="TextoNormal"/>
      </w:pPr>
      <w:r>
        <w:t xml:space="preserve">Las anteriores precisiones sobre la especial trascendencia constitucional se formulan “en salvaguarda del principio de seguridad jurídica que, conforme a la Sentencia del Tribunal Europeo de Derechos Humanos de 20 de enero de 2015, dictada en el asunto </w:t>
      </w:r>
      <w:r w:rsidRPr="00A90898">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A90898" w:rsidRDefault="00A90898" w:rsidP="00A90898">
      <w:pPr>
        <w:pStyle w:val="TextoNormal"/>
      </w:pPr>
    </w:p>
    <w:p w:rsidR="00A90898" w:rsidRDefault="00A90898" w:rsidP="00A90898">
      <w:pPr>
        <w:pStyle w:val="TextoNormal"/>
      </w:pPr>
      <w:r w:rsidRPr="00A90898">
        <w:rPr>
          <w:rStyle w:val="NumeroAFNegritaCaracter"/>
        </w:rPr>
        <w:t>3</w:t>
      </w:r>
      <w:r>
        <w:t>. Esta segunda causa de especial trascendencia constitucional apuntada nos conduce a tratar una segunda posible causa de inadmisibilidad suscitada, en este caso por el Fiscal. Como ha quedado reflejado con detalle en los antecedentes, cuestiona el Ministerio público el cumplimiento del requisito del agotamiento de los recursos utilizables en la vía judicial ordinaria [art. 44.1 a) LOTC], necesario para preservar el carácter subsidiario del recurso de amparo ante el Tribunal Constitucional derivado del art. 53.2 CE, teniendo en cuenta que el recurso de amparo se dirige contra un decreto del Letrado de la Administración de Justicia que por expresa disposición legal (art. 102 bis.2 LJCA) no podía recurrirse en aquel momento ante el titular del órgano jurisdiccional. Por ello, el Fiscal puntualiza que esa falta de agotamiento no sería imputable al recurrente, de modo que no propone la inadmisión del recurso por esa falta de agotamiento, sino la nulidad del decreto resolutorio de la reposición interpuesta contra el decreto que señala la vista y la vuelta del procedimiento a sede judicial, para que sea el Magistrado quien resuelva el recurso contra esta última resolución del Letrado de la Administración de Justicia.</w:t>
      </w:r>
    </w:p>
    <w:p w:rsidR="00A90898" w:rsidRDefault="00A90898" w:rsidP="00A90898">
      <w:pPr>
        <w:pStyle w:val="TextoNormal"/>
      </w:pPr>
    </w:p>
    <w:p w:rsidR="00A90898" w:rsidRDefault="00A90898" w:rsidP="00A90898">
      <w:pPr>
        <w:pStyle w:val="TextoNormal"/>
      </w:pPr>
      <w:r>
        <w:t xml:space="preserve">En cualquier caso, al demandante de amparo, ante la clara previsión del art. 102 </w:t>
      </w:r>
      <w:r w:rsidRPr="00A90898">
        <w:rPr>
          <w:i/>
        </w:rPr>
        <w:t>bis</w:t>
      </w:r>
      <w:r>
        <w:t xml:space="preserve">.2 LJCA, y la consiguiente necesidad de cumplir el plazo legalmente previsto para la interposición del recurso de amparo, no le quedaba otra vía que acudir directamente ante este Tribunal Constitucional, sin haber podido someter previamente a la consideración del Juez la lesión de su derecho a un proceso sin dilaciones indebidas. A pesar de que ello resultara contrario al principio de subsidiariedad que informa el planteamiento del amparo, ya que, como se señala, entre otras muchas, en la STC 152/2015, de 6 de julio, FJ 2, “en virtud de lo dispuesto en el art. 53.2 CE, la tutela general de los derechos y libertades corresponde, en primer lugar, a los órganos del Poder Judicial”, y, como consecuencia de ello, “cuando existe un recurso susceptible de ser utilizado y adecuado por su carácter y naturaleza para tutelar la libertad o derecho que se entiende vulnerado, tal recurso ha de interponerse antes de acudir a este Tribunal”. En el presente caso resultaba imposible de observar el respeto a la subsidiariedad del amparo, dado el tenor legal del referido art. 102 </w:t>
      </w:r>
      <w:r w:rsidRPr="00A90898">
        <w:rPr>
          <w:i/>
        </w:rPr>
        <w:t>bis</w:t>
      </w:r>
      <w:r>
        <w:t>.2 LJCA.</w:t>
      </w:r>
    </w:p>
    <w:p w:rsidR="00A90898" w:rsidRDefault="00A90898" w:rsidP="00A90898">
      <w:pPr>
        <w:pStyle w:val="TextoNormal"/>
      </w:pPr>
    </w:p>
    <w:p w:rsidR="00A90898" w:rsidRDefault="00A90898" w:rsidP="00A90898">
      <w:pPr>
        <w:pStyle w:val="TextoNormal"/>
      </w:pPr>
      <w:r>
        <w:t xml:space="preserve">A la vista de dicha situación, y ante la existencia de una amplia serie de recursos de amparo referidos a la misma materia en los que se suscitaba idéntica problemática, esta Sala </w:t>
      </w:r>
      <w:r>
        <w:lastRenderedPageBreak/>
        <w:t xml:space="preserve">acordó plantear cuestión interna de inconstitucionalidad respecto al art. 102 </w:t>
      </w:r>
      <w:r w:rsidRPr="00A90898">
        <w:rPr>
          <w:i/>
        </w:rPr>
        <w:t>bis</w:t>
      </w:r>
      <w:r>
        <w:t xml:space="preserve">.2 LJCA por medio del ATC 163/2013, de 9 de septiembre, actuación que resultaba imprescindible, a pesar de que haya producido como inevitable efecto un lamentable retraso en la resolución del presente recurso de amparo y de otros afectados por la misma problemática. Dicha cuestión ha sido estimada por la recentísima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LOPJ;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w:t>
      </w:r>
      <w:r w:rsidRPr="00A90898">
        <w:rPr>
          <w:i/>
        </w:rPr>
        <w:t>bis</w:t>
      </w:r>
      <w:r>
        <w:t>.2 LJCA.</w:t>
      </w:r>
    </w:p>
    <w:p w:rsidR="00A90898" w:rsidRDefault="00A90898" w:rsidP="00A90898">
      <w:pPr>
        <w:pStyle w:val="TextoNormal"/>
      </w:pPr>
    </w:p>
    <w:p w:rsidR="00A90898" w:rsidRDefault="00A90898" w:rsidP="00A90898">
      <w:pPr>
        <w:pStyle w:val="TextoNormal"/>
      </w:pPr>
      <w:r>
        <w:t>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fundamento jurídico 7 de dicha Sentencia, porque el proceso se encuentra ya concluso, lo que no haría sino perjudicar al actor, añadiendo nuevas dilaciones a las ya padecidas.</w:t>
      </w:r>
    </w:p>
    <w:p w:rsidR="00A90898" w:rsidRDefault="00A90898" w:rsidP="00A90898">
      <w:pPr>
        <w:pStyle w:val="TextoNormal"/>
      </w:pPr>
    </w:p>
    <w:p w:rsidR="00A90898" w:rsidRDefault="00A90898" w:rsidP="00A90898">
      <w:pPr>
        <w:pStyle w:val="TextoNormal"/>
      </w:pPr>
      <w:r>
        <w:t xml:space="preserve">La solución constitucionalmente adecuada, dada la declaración de inconstitucionalidad del art. 102 </w:t>
      </w:r>
      <w:r w:rsidRPr="00A90898">
        <w:rPr>
          <w:i/>
        </w:rPr>
        <w:t>bis</w:t>
      </w:r>
      <w:r>
        <w:t xml:space="preserve">.2 LJCA, es proceder a examinar la queja de fondo articulada en el presente recurso de amparo, pues fue la propia Ley la que impidió la intervención del Magistrado-Juez Central de lo Contencioso-Administrativo núm. 4 de Madrid, en ejercicio de su función jurisdiccional de tutela de los derechos fundamentales, lo cual justifica que este Tribunal intervenga para reparar la lesión del derecho a un proceso sin dilaciones indebidas del actor. Por lo demás, no es la primera vez que en la vía de amparo se convierte en objeto de enjuiciamiento la actuación de un Secretario Judicial (actualmente Letrado de la Administración de Justicia), pues ya en la STC 208/2015, de 5 de octubre, nos vimos obligados a examinar </w:t>
      </w:r>
      <w:r>
        <w:lastRenderedPageBreak/>
        <w:t>sendas resoluciones procesales de un Secretario Judicial que, extralimitándose en su competencia, negó a la parte demandante de amparo en aquel asunto la condición de parte en el procedimiento judicial a quo, rechazándole los escritos presentados, entre ellos, uno promoviendo un incidente de nulidad de actuaciones, lo que, en aquel supuesto, impidió que el Juez pudiera desarrollar su función jurisdiccional en protección del derecho fundamental a la tutela judicial efectiva sin indefensión, en su variante de acceso a la jurisdicción, de forma similar a lo que aquí acontece.</w:t>
      </w:r>
    </w:p>
    <w:p w:rsidR="00A90898" w:rsidRDefault="00A90898" w:rsidP="00A90898">
      <w:pPr>
        <w:pStyle w:val="TextoNormal"/>
      </w:pPr>
    </w:p>
    <w:p w:rsidR="00A90898" w:rsidRDefault="00A90898" w:rsidP="00A90898">
      <w:pPr>
        <w:pStyle w:val="TextoNormal"/>
      </w:pPr>
      <w:r w:rsidRPr="00A90898">
        <w:rPr>
          <w:rStyle w:val="NumeroAFNegritaCaracter"/>
        </w:rPr>
        <w:t>4</w:t>
      </w:r>
      <w:r>
        <w:t>. Una vez aclarados los anteriores extremos, procede abordar el fondo de la queja planteada, siguiendo para ello las pautas establecidas en la STC 54/2014, de 10 de abril (FJ 4).</w:t>
      </w:r>
    </w:p>
    <w:p w:rsidR="00A90898" w:rsidRDefault="00A90898" w:rsidP="00A90898">
      <w:pPr>
        <w:pStyle w:val="TextoNormal"/>
      </w:pPr>
    </w:p>
    <w:p w:rsidR="00A90898" w:rsidRDefault="00A90898" w:rsidP="00A90898">
      <w:pPr>
        <w:pStyle w:val="TextoNormal"/>
      </w:pPr>
      <w:r>
        <w:t>Como recordamos en dicha resolución, el juicio sobre el contenido concreto de las dilaciones, y sobre si son o no indebidas, debe ser el resultado de la aplicación a las circunstancias específicas de cada caso de los criterios objetivos que a lo largo de nuestra jurisprudencia se han ido precisando. Dichos criterios son: (i) la complejidad del litigio, (ii) los márgenes ordinarios de duración de los litigios del mismo tipo, (iii) el interés que arriesga el demandante de amparo, (iv) su conducta procesal y (v) la conducta de las autoridades.</w:t>
      </w:r>
    </w:p>
    <w:p w:rsidR="00A90898" w:rsidRDefault="00A90898" w:rsidP="00A90898">
      <w:pPr>
        <w:pStyle w:val="TextoNormal"/>
      </w:pPr>
    </w:p>
    <w:p w:rsidR="00A90898" w:rsidRDefault="00A90898" w:rsidP="00A90898">
      <w:pPr>
        <w:pStyle w:val="TextoNormal"/>
      </w:pPr>
      <w:r>
        <w:t>Atendiendo a los referidos criterios, podemos afirmar que las dilaciones han sido indebidas, pues:</w:t>
      </w:r>
    </w:p>
    <w:p w:rsidR="00A90898" w:rsidRDefault="00A90898" w:rsidP="00A90898">
      <w:pPr>
        <w:pStyle w:val="TextoNormal"/>
      </w:pPr>
    </w:p>
    <w:p w:rsidR="00A90898" w:rsidRDefault="00A90898" w:rsidP="00A90898">
      <w:pPr>
        <w:pStyle w:val="TextoNormal"/>
      </w:pPr>
      <w:r>
        <w:t>(i) El asunto planteado, como se dice en la demanda, no revestía una especial complejidad, al tratarse de un recurso interpuesto contra una resolución dictada por el Ministerio de Asuntos Exteriores y Cooperación en la que se desestimaba el recurso de reposición interpuesto contra un previo acuerdo de cese del interesado en el puesto de Jefe de Visados en el Consulado de España en Tánger, que venía ocupando con carácter provisional tras haber transcurrido con creces el plazo máximo de permanencia. Teniendo en cuenta esa materia no parece razonable que su señalamiento y resolución se haya diferido, con evidente perjuicio del recurrente, a una fecha tan lejana: dos años después, aproximadamente, de la interposición del recurso contencioso-administrativo. Ello ha supuesto para el demandante una larga espera antes de poder saber si podría permanecer ocupando su destino que, por otro lado, se encontraba fuera del territorio nacional.</w:t>
      </w:r>
    </w:p>
    <w:p w:rsidR="00A90898" w:rsidRDefault="00A90898" w:rsidP="00A90898">
      <w:pPr>
        <w:pStyle w:val="TextoNormal"/>
      </w:pPr>
    </w:p>
    <w:p w:rsidR="00A90898" w:rsidRDefault="00A90898" w:rsidP="00A90898">
      <w:pPr>
        <w:pStyle w:val="TextoNormal"/>
      </w:pPr>
      <w:r>
        <w:t xml:space="preserve">(ii) En cuanto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similares en cuanto a complejidad al que se ventilaba en este pleito. Concretamente, en el supuesto analizado en la STC 142/2010, de 21 de diciembre, el señalamiento de la vista se fijó para año y medio después, respecto a la interposición del recurso contencioso-administrativo frente a una denegación de solicitud de asilo, que precisamente debía conocer un Juzgado Central de lo Contencioso Administrativo. En otros supuestos de impugnación de resoluciones de expulsión, este Tribunal apreció la existencia de dilaciones, entre otras muchas, en la STC 54/2014, de 10 de abril, por un señalamiento fijado para dos años y seis meses posteriores a la interposición del recurso; en la STC 99/2014, de 23 de junio, por un señalamiento posterior en algo más de dos años a la interposición del recurso; y en la STC 88/2015, de 11 de mayo, el señalamiento tuvo un retraso similar al anterior. Finalmente, analizando lo ocurrido en un caso de impugnación de la denegación de una autorización de residencia, la STC 74/2015, de 27 de abril, apreció la existencia de </w:t>
      </w:r>
      <w:r>
        <w:lastRenderedPageBreak/>
        <w:t>dilaciones indebidas por un retraso en el señalamiento de la vista de dos años y medio. Por consiguiente, cabe apreciar que el presente caso se inscribe también en lo que nuestra doctrina ha calificado como demora constitutiva de una dilación indebida.</w:t>
      </w:r>
    </w:p>
    <w:p w:rsidR="00A90898" w:rsidRDefault="00A90898" w:rsidP="00A90898">
      <w:pPr>
        <w:pStyle w:val="TextoNormal"/>
      </w:pPr>
    </w:p>
    <w:p w:rsidR="00A90898" w:rsidRDefault="00A90898" w:rsidP="00A90898">
      <w:pPr>
        <w:pStyle w:val="TextoNormal"/>
      </w:pPr>
      <w:r>
        <w:t>(iii) El interés que arriesga el recurrente en el pleito es el de obtener una resolución judicial que determine si era o no ajustada a Derecho una resolución en la que se acordaba su cese en un puesto de trabajo a desarrollar fuera de territorio español. Por ello, afectaba necesariamente a un ámbito preferente de sus derechos e intereses legítimos, relacionado con la organización de su vida familiar y social, pues del resultado del litigio dependía su permanencia en Tánger.</w:t>
      </w:r>
    </w:p>
    <w:p w:rsidR="00A90898" w:rsidRDefault="00A90898" w:rsidP="00A90898">
      <w:pPr>
        <w:pStyle w:val="TextoNormal"/>
      </w:pPr>
    </w:p>
    <w:p w:rsidR="00A90898" w:rsidRDefault="00A90898" w:rsidP="00A90898">
      <w:pPr>
        <w:pStyle w:val="TextoNormal"/>
      </w:pPr>
      <w:r>
        <w:t>(iv) Ha de excluirse que la conducta del demandante merezca reproche alguno, dado que, además de no haber propiciado el retraso en cuestión, ha denunciado ante el órgano judicial la concurrencia de las supuestas dilaciones, recurriendo de manera particular el decreto de señalamiento de la vista que ha desembocado en este amparo.</w:t>
      </w:r>
    </w:p>
    <w:p w:rsidR="00A90898" w:rsidRDefault="00A90898" w:rsidP="00A90898">
      <w:pPr>
        <w:pStyle w:val="TextoNormal"/>
      </w:pPr>
    </w:p>
    <w:p w:rsidR="00A90898" w:rsidRDefault="00A90898" w:rsidP="00A90898">
      <w:pPr>
        <w:pStyle w:val="TextoNormal"/>
      </w:pPr>
      <w:r>
        <w:t>(v) Finalmente, debe reseñarse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 en tanto que el ciudadano es ajeno a esas circunstancias.</w:t>
      </w:r>
    </w:p>
    <w:p w:rsidR="00A90898" w:rsidRDefault="00A90898" w:rsidP="00A90898">
      <w:pPr>
        <w:pStyle w:val="TextoNormal"/>
      </w:pPr>
    </w:p>
    <w:p w:rsidR="00A90898" w:rsidRDefault="00A90898" w:rsidP="00A90898">
      <w:pPr>
        <w:pStyle w:val="TextoNormal"/>
      </w:pPr>
      <w:r>
        <w:t xml:space="preserve">Como afirmamos en la ya citada STC 54/2014, por referencia a la doctrina contenida en la STC 142/2010, de 21 de diciembre,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Este es también el criterio del Tribunal Europeo de Derechos Humanos cuando en su Sentencia caso </w:t>
      </w:r>
      <w:r w:rsidRPr="00A90898">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A90898">
        <w:rPr>
          <w:i/>
        </w:rPr>
        <w:t>Lenaerts c.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w:t>
      </w:r>
      <w:r>
        <w:lastRenderedPageBreak/>
        <w:t>del "derecho a obtener una decisión definitiva dentro de un plazo razonable” (FJ 6). Atendiendo a esta circunstancia, esto es, las causas estructurales que provocaron las dilaciones indebidas, la Sala considera necesario dar traslado de esta Sentencia al Consejo General del Poder Judicial y al Ministerio de Justicia, a los efectos que procedan.</w:t>
      </w:r>
    </w:p>
    <w:p w:rsidR="00A90898" w:rsidRDefault="00A90898" w:rsidP="00A90898">
      <w:pPr>
        <w:pStyle w:val="TextoNormal"/>
      </w:pPr>
    </w:p>
    <w:p w:rsidR="00A90898" w:rsidRDefault="00A90898" w:rsidP="00A90898">
      <w:pPr>
        <w:pStyle w:val="TextoNormal"/>
      </w:pPr>
      <w:r w:rsidRPr="00A90898">
        <w:rPr>
          <w:rStyle w:val="NumeroAFNegritaCaracter"/>
        </w:rPr>
        <w:t>5</w:t>
      </w:r>
      <w:r>
        <w:t>.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el otorgamiento del amparo debe limitarse a la declaración de la violación del derecho fundamental.</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don Carlos Sánchez Tárrago, y, en su virtud, declarar que se ha vulnerado su derecho a un proceso sin dilaciones indebidas (art. 24.2 CE).</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 w:name="SENTENCIA_2016_130"/>
      <w:r>
        <w:lastRenderedPageBreak/>
        <w:t>SENTENCIA 130/2016, de 18 de julio de 2016</w:t>
      </w:r>
    </w:p>
    <w:bookmarkEnd w:id="9"/>
    <w:p w:rsidR="00A90898" w:rsidRDefault="00A90898" w:rsidP="00A90898">
      <w:pPr>
        <w:pStyle w:val="TtuloResolucin"/>
      </w:pPr>
      <w:r>
        <w:t>Sala Primera</w:t>
      </w:r>
    </w:p>
    <w:p w:rsidR="00A90898" w:rsidRDefault="00A90898" w:rsidP="00A90898">
      <w:pPr>
        <w:pStyle w:val="TtuloBOE"/>
      </w:pPr>
      <w:r>
        <w:t>(BOE núm. 196, de 15 de agosto de 2016)</w:t>
      </w:r>
    </w:p>
    <w:p w:rsidR="00A90898" w:rsidRDefault="00A90898" w:rsidP="00A90898">
      <w:pPr>
        <w:pStyle w:val="TextoNormalCentrado"/>
      </w:pPr>
      <w:r>
        <w:t>ECLI:ES:TC:2016:130</w:t>
      </w:r>
    </w:p>
    <w:p w:rsidR="00A90898" w:rsidRDefault="00A90898" w:rsidP="00A90898">
      <w:pPr>
        <w:pStyle w:val="TextoNormalCentrado"/>
      </w:pPr>
    </w:p>
    <w:p w:rsidR="00A90898" w:rsidRDefault="00A90898" w:rsidP="00A90898">
      <w:pPr>
        <w:pStyle w:val="SntesisDescriptiva"/>
      </w:pPr>
      <w:r>
        <w:t>Recurso de amparo 624-2013. Promovido por doña Garazi Rodríguez Rubio en relación con las resoluciones de la Audiencia Provincial y de un Juzgado de Instrucción de Madrid que archivaron las diligencias previas por un delito de torturas.</w:t>
      </w:r>
    </w:p>
    <w:p w:rsidR="00A90898" w:rsidRDefault="00A90898" w:rsidP="00A90898">
      <w:pPr>
        <w:pStyle w:val="SntesisDescriptiva"/>
      </w:pPr>
    </w:p>
    <w:p w:rsidR="00A90898" w:rsidRDefault="00A90898" w:rsidP="00A90898">
      <w:pPr>
        <w:pStyle w:val="SntesisAnaltica"/>
      </w:pPr>
      <w:r>
        <w:t>Vulneración del derecho a la tutela judicial efectiva en relación con el derecho a no ser sometido a torturas ni a tratos inhumanos o degradantes: investigación insuficiente de una denuncia de torturas que se dicen sufridas bajo custodia policial (STC 34/2008).</w:t>
      </w:r>
    </w:p>
    <w:p w:rsidR="00A90898" w:rsidRDefault="00A90898" w:rsidP="00A90898">
      <w:pPr>
        <w:pStyle w:val="SntesisAnaltica"/>
      </w:pPr>
    </w:p>
    <w:p w:rsidR="00A90898" w:rsidRDefault="00A90898" w:rsidP="00A90898">
      <w:pPr>
        <w:pStyle w:val="Extracto"/>
      </w:pPr>
      <w:r>
        <w:t>1.</w:t>
      </w:r>
      <w:r>
        <w:tab/>
        <w:t>No cabe el archivo de la investigación judicial de una denuncia por torturas o tratos inhumanos o degradantes sin haber desarrollado una exhaustiva investigación agotando todos los medios razonables y eficaces de indagación. (SSTC 12/2013; 153/2013) [FJ 5].</w:t>
      </w:r>
    </w:p>
    <w:p w:rsidR="00A90898" w:rsidRDefault="00A90898" w:rsidP="00A90898">
      <w:pPr>
        <w:pStyle w:val="Extracto"/>
      </w:pPr>
    </w:p>
    <w:p w:rsidR="00A90898" w:rsidRDefault="00A90898" w:rsidP="00A90898">
      <w:pPr>
        <w:pStyle w:val="Extracto"/>
      </w:pPr>
      <w:r>
        <w:t>2.</w:t>
      </w:r>
      <w:r>
        <w:tab/>
        <w:t>En materia de denuncias sobre tortura y/o tratos inhumanos o degradantes existe un especial mandato de desarrollar una exhaustiva investigación agotando cuantas posibilidades de indagación resulten útiles para aclarar los hechos, habida cuenta de que es necesario acentuar las garantías en los supuestos en que el valor superior de la dignidad humana puede verse comprometido con motivo de una situación especial en la que el ciudadano se encuentra provisionalmente bajo la custodia física del Estado (SSTC 12/2013; 153/2013) [FJ 2].</w:t>
      </w:r>
    </w:p>
    <w:p w:rsidR="00A90898" w:rsidRDefault="00A90898" w:rsidP="00A90898">
      <w:pPr>
        <w:pStyle w:val="Extracto"/>
      </w:pPr>
    </w:p>
    <w:p w:rsidR="00A90898" w:rsidRDefault="00A90898" w:rsidP="00A90898">
      <w:pPr>
        <w:pStyle w:val="Extracto"/>
      </w:pPr>
      <w:r>
        <w:t>3.</w:t>
      </w:r>
      <w:r>
        <w:tab/>
        <w:t>En materia de denuncias sobre tortura y/o tratos inhumanos o degradantes hay que atender a las circunstancias concretas de cada caso y hacerlo siempre teniendo presente la escasez de pruebas que de ordinario existen en este tipo de delitos (SSTC 12/2013; 153/2013) [FJ 2].</w:t>
      </w:r>
    </w:p>
    <w:p w:rsidR="00A90898" w:rsidRDefault="00A90898" w:rsidP="00A90898">
      <w:pPr>
        <w:pStyle w:val="Extracto"/>
      </w:pPr>
    </w:p>
    <w:p w:rsidR="00A90898" w:rsidRDefault="00A90898" w:rsidP="00A90898">
      <w:pPr>
        <w:pStyle w:val="Extracto"/>
      </w:pPr>
      <w:r>
        <w:t>4.</w:t>
      </w:r>
      <w:r>
        <w:tab/>
        <w:t>El maltrato psicológico u otras conductas con secuelas menos  reveladoras que en el maltrato físico, son de más difícil apreciación por lo que es preciso atender al panorama indiciario que puede derivarse de diversas fuentes: declaración del denunciante, reconocimientos médicos que se realizan a todo detenido, manifestaciones efectuadas en cuanto el detenido pasa a disposición judicial; y se recibe la primera declaración por el Juez, así como la de otros intervinientes que hayan entrado en contacto con el detenido, como el profesional del turno de oficio que debe prestar la asistencia letrada obligatoria (SSTC 12/2013; 153/2013) [FJ 2].</w:t>
      </w:r>
    </w:p>
    <w:p w:rsidR="00A90898" w:rsidRDefault="00A90898" w:rsidP="00A90898">
      <w:pPr>
        <w:pStyle w:val="Extracto"/>
      </w:pPr>
    </w:p>
    <w:p w:rsidR="00A90898" w:rsidRDefault="00A90898" w:rsidP="00A90898">
      <w:pPr>
        <w:pStyle w:val="Extracto"/>
      </w:pPr>
      <w:r>
        <w:t>5.</w:t>
      </w:r>
      <w:r>
        <w:tab/>
        <w:t>El correcto encuadramiento de las quejas referidas a las decisiones judiciales de sobreseimiento y archivo de instrucciones penales incoadas por denuncia de torturas o tratos inhumanos o degradantes, afecta al derecho a la tutela judicial efectiva (art. 24.1 CE), pero su relación con el derecho a no ser sometido a tortura o tratos inhumanos o degradantes (art. 15 CE), conlleva que la suficiencia de la indagación judicial dependa no solo de que las mencionadas decisiones judiciales estén motivadas y jurídicamente fundadas, sino también de que sean acordes con la prohibición absoluta de aquellas conductas (SSTC 69/2008; 153/2013) [FJ 2].</w:t>
      </w:r>
    </w:p>
    <w:p w:rsidR="00A90898" w:rsidRDefault="00A90898" w:rsidP="00A90898">
      <w:pPr>
        <w:pStyle w:val="Extracto"/>
      </w:pPr>
    </w:p>
    <w:p w:rsidR="00A90898" w:rsidRDefault="00A90898" w:rsidP="00A90898">
      <w:pPr>
        <w:pStyle w:val="Extracto"/>
      </w:pPr>
      <w:r>
        <w:t>6.</w:t>
      </w:r>
      <w:r>
        <w:tab/>
        <w:t>En materia de denuncias sobre tortura y/o tratos inhumanos o degradantes, que un recurrente presente su denuncia varios meses después de haberse supuestamente producido los hechos y sin que previamente hubiera dicho nada sobre ellos en su primera comparecencia judicial no es razón determinante para negar toda credibilidad a la denuncia (SSTC 107/2008; 12/2013)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624-2013, promovido por doña Garazi Rodríguez Rubio, representada por la Procuradora de los Tribunales doña Ana Isabel Lobera Argüelles, bajo la dirección de la Letrada doña Irune Aguirre Martínez, contra el Auto de la Sección Vigesimonovena de la Audiencia Provincial de Madrid de 22 de noviembre de 2012, dictado en el rollo de apelación núm. 499-2012, por el que se desestima el recurso de apelación interpuesto contra el Auto del Juzgado de Instrucción núm. 29 de Madrid de 13 de junio de 2012, por el que se desestima el recurso de reforma interpuesto contra el Auto de 22 de diciembre de 2010, de sobreseimiento provisional y archivo de las diligencias previas núm. 4995-2010, incoadas por denuncia de torturas. Ha intervenido el Ministerio Fiscal. Ha sido Ponente el Magistrado don Juan Antonio Xiol Ríos,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Procuradora de los Tribunales doña Ana Isabel Lobera Argüelles, en nombre y representación de doña Garazi Rodríguez Rubio, y bajo la dirección de la Letrada doña Irune Aguirre Martínez, interpuso demanda de amparo contra las resoluciones judiciales citadas en el encabezamiento, mediante escrito registrado en este Tribunal el 1 de febrero de 2013.</w:t>
      </w:r>
    </w:p>
    <w:p w:rsidR="00A90898" w:rsidRDefault="00A90898" w:rsidP="00A90898">
      <w:pPr>
        <w:pStyle w:val="TextoNormal"/>
      </w:pPr>
    </w:p>
    <w:p w:rsidR="00A90898" w:rsidRDefault="00A90898" w:rsidP="00A90898">
      <w:pPr>
        <w:pStyle w:val="TextoNormal"/>
      </w:pPr>
      <w:r w:rsidRPr="00A90898">
        <w:rPr>
          <w:rStyle w:val="NumeroAFNegritaCaracter"/>
        </w:rPr>
        <w:t>2</w:t>
      </w:r>
      <w:r>
        <w:t>. El recurso tiene su origen en los siguientes antecedentes:</w:t>
      </w:r>
    </w:p>
    <w:p w:rsidR="00A90898" w:rsidRDefault="00A90898" w:rsidP="00A90898">
      <w:pPr>
        <w:pStyle w:val="TextoNormal"/>
      </w:pPr>
    </w:p>
    <w:p w:rsidR="00A90898" w:rsidRDefault="00A90898" w:rsidP="00A90898">
      <w:pPr>
        <w:pStyle w:val="TextoNormal"/>
      </w:pPr>
      <w:r>
        <w:t>a) La recurrente, mediante escrito presentado el 5 de julio de 2010 ante el Juzgado de Instrucción en turno de guardia de Donostia-San Sebastián, puso en conocimiento de la autoridad judicial diversos hechos por considerar que podrían ser constitutivos de un delito de torturas. En el escrito relataba de manera minuciosa determinados hechos acontecidos durante el tiempo que estuvo bajo custodia policial en régimen de detención incomunicada.</w:t>
      </w:r>
    </w:p>
    <w:p w:rsidR="00A90898" w:rsidRDefault="00A90898" w:rsidP="00A90898">
      <w:pPr>
        <w:pStyle w:val="TextoNormal"/>
      </w:pPr>
    </w:p>
    <w:p w:rsidR="00A90898" w:rsidRDefault="00A90898" w:rsidP="00A90898">
      <w:pPr>
        <w:pStyle w:val="TextoNormal"/>
      </w:pPr>
      <w:r>
        <w:lastRenderedPageBreak/>
        <w:t>Así, exponía en la denuncia que, tras ser detenida en su domicilio el 23 de noviembre de 2009, fue trasladada a la sede del Gobierno Civil de Donostia-San Sebastián en que, al negarse a someterse a una prueba de ADN, “un policía (encapuchado) me empezó a amenazar y a hablarme de un modo muy agresivo, diciéndome que estaba obligada a hacer la prueba … En todo momento todos los policías mantuvieron la capucha puesta, excepto uno de ellos, a quien llamaban ‘jefe’ y que estuvo presente en todos los días sucesivos”. Ese día fue trasladada a los Juzgados de Donostia-San Sebastián, donde fue reconocida por los médicos forenses sin presencia de la policía. Posteriormente, fue trasladada a una comisaría en Madrid. Allí, el primer día fue sacada del calabozo a una habitación en que fue interrogada por tres policías que eran, el que llamaban “jefe”, el moreno y otro llamado “Rafa”, que era catalán. Al no declarar nada “vino uno encapuchado, no muy alto y bastante delgado. Desde el principio me empezó a chillar, a ver desde cuando era de SEGI, y yo guardaba silencio. Al rato me ordeno que me pusiera de cuclillas, con la cabeza hacia abajo y las manos detrás del cuello. En esa posición pasé mucho tiempo en ese interrogatorio, así como los días siguientes. Estando en dicha posición, constantemente me amenazaban e insultaban chillándome, me decía a grito limpio al oído, ‘puta’, ‘comepollas’, ‘fea de mierda’, ‘asquerosa’ y cosas similares. Al permanecer bastante tiempo en esa postura me empecé a caer e inmediatamente me ordenó que me levantara, mientras me propinaba patadas en las piernas”. En el escrito de denuncia también se relata que fue objeto de un segundo interrogatorio pocas horas después del anterior, en que el mismo policía encapuchado nuevamente le gritaba con expresiones como “puta, asquerosa, la has cagado…”, ordenándola que se pusiera en la misma postura. La recurrente relata en su denuncia que en el marco de ese interrogatorio “entró un nuevo policía en la habitación. Estaba sin capucha, era un hombre que rondaría los 50 años, grueso, bajito, con el pelo engominado hacia atrás y la camisa bastante abierta. Vino directamente adonde mí y enseguida comenzó a propinarme golpes en la cabeza con la mano abierta, reiteradamente y mientras me gritaba ‘¡puta, puta, puta! ¡que cantes de una puta vez! ¡que te mato!’ y expresiones similares. Además empezó a tirarme del pelo, de un lado a otro de la habitación, cogía el pelo en la mano y empezaba a darle vueltas al pelo, hasta apretarlo bien”.</w:t>
      </w:r>
    </w:p>
    <w:p w:rsidR="00A90898" w:rsidRDefault="00A90898" w:rsidP="00A90898">
      <w:pPr>
        <w:pStyle w:val="TextoNormal"/>
      </w:pPr>
    </w:p>
    <w:p w:rsidR="00A90898" w:rsidRDefault="00A90898" w:rsidP="00A90898">
      <w:pPr>
        <w:pStyle w:val="TextoNormal"/>
      </w:pPr>
      <w:r>
        <w:t>La recurrente relataba en la denuncia que, en lo que cree que era el segundo día, fue de nuevo interrogada en varias ocasiones en esa misma posición de cuclillas y que en una de esas ocasiones “estando yo en la postura anteriormente descrita, entró un policía (no lo vi, porque tenía que mantener la cabeza mirando al suelo) y empezó a darme pequeños golpes con el dedo en la cabeza y a hablarme al oído, amenazándome, como hasta entonces, diciendo ‘puta, la has cagado, no vales una mierda, asquerosa, fea….’. Luego me agarró de la cabeza y, estado yo en cuclillas, empezó a moverme de un lado a otro, al principio suavemente pero cada vez más violentamente, hasta que veía todo borroso, mientras él me susurraba amenazas al oído”.</w:t>
      </w:r>
    </w:p>
    <w:p w:rsidR="00A90898" w:rsidRDefault="00A90898" w:rsidP="00A90898">
      <w:pPr>
        <w:pStyle w:val="TextoNormal"/>
      </w:pPr>
    </w:p>
    <w:p w:rsidR="00A90898" w:rsidRDefault="00A90898" w:rsidP="00A90898">
      <w:pPr>
        <w:pStyle w:val="TextoNormal"/>
      </w:pPr>
      <w:r>
        <w:t xml:space="preserve">En relación con los hechos del tercer día, exponía en la denuncia que, estando en una habitación de interrogatorios y habiéndole pedido que firmara la prórroga de la incomunicación. “entró un policía corriendo, como loco y gritando: ‘¿Cómo que no vas a firmar? ¡Firma de una puta vez! ¡Me cago en Dios, que te mato! ¡puta, asquerosa!¡estoy hasta los cojones de ti, zorra!’ y similares. Mientras tanto, me daba bofetadas en la cara con la mano abierta”. Igualmente ponía de manifiesto que, tras ser llevada a otra habitación para mostrarle a una compañera detenida que estaba en el suelo llorando, “me dijeron que estaban aburridos con mi actitud y me ordenaron que me desnudara. Empecé a desnudarme y cuando </w:t>
      </w:r>
      <w:r>
        <w:lastRenderedPageBreak/>
        <w:t>estaba en bragas entró un policía joven corriendo, chillando y como loco, y vino adonde mí directamente y empezó a abrazarme y a besarme, frotándose contra mí y tocándome los pechos. No duró mucho tiempo, unos segundos y los otros policías lo separaron de mí y lo llevaron a la fuerza al exterior, mientras él chillaba y me miraba como loco. Aquel policía era joven y creo que tenía rastas largas. Entonces el policía me dijo que me desnudara, que me quitara las bragas. En aquel momento habría unos cinco policías en la habitación conmigo, entre ellos el `jefe´ y la chica encapuchada. El que me ordenó que me desnudara me dijo que empezara a decir nombres, que si no ya sabía lo que vendría y que no controlaría al policía con pelo rasta … Yo, entonces, hice una autoinculpación contra mí … Al final me dijo que hasta que no diera nombres de miembros de SEGI superiores a la comarca no podría ponerme las bragas ni ninguna otra prenda”.</w:t>
      </w:r>
    </w:p>
    <w:p w:rsidR="00A90898" w:rsidRDefault="00A90898" w:rsidP="00A90898">
      <w:pPr>
        <w:pStyle w:val="TextoNormal"/>
      </w:pPr>
    </w:p>
    <w:p w:rsidR="00A90898" w:rsidRDefault="00A90898" w:rsidP="00A90898">
      <w:pPr>
        <w:pStyle w:val="TextoNormal"/>
      </w:pPr>
      <w:r>
        <w:t>En la denuncia se afirmaba que el cuarto día tras realizar la declaración policial no le sacaron más a la sala de interrogatorios, que en esa declaración estuvo presente el abogado de oficio, y que el médico forense, que fue el mismo en todas las ocasiones, iba dos veces todos los días, por la mañana y al anochecer y la examinaba estando siempre solos. “No obstante, por miedo no le conté nada, ya que los policías estaban escuchando al otro lado de la puerta. No me preguntó sobre el trato, pero me dijo que estaba muy nerviosa, que los latidos del corazón los tenía muy acelerados. Para mejorarlo me dio pastillas contra la ansiedad”. Por último, también se reseñaba en la denuncia que ante el Juez “denuncié malos tratos y le expliqué palabra por palabra todo lo relatados en la presente denuncia. Sólo en un momento me hizo una pregunta sobre la tortura, a ver si me tocaron los pechos. A parte de eso no dijo nada más sobre ese tema. Al denunciar las torturas rompí a llorar, estaba totalmente destrozada…”.</w:t>
      </w:r>
    </w:p>
    <w:p w:rsidR="00A90898" w:rsidRDefault="00A90898" w:rsidP="00A90898">
      <w:pPr>
        <w:pStyle w:val="TextoNormal"/>
      </w:pPr>
    </w:p>
    <w:p w:rsidR="00A90898" w:rsidRDefault="00A90898" w:rsidP="00A90898">
      <w:pPr>
        <w:pStyle w:val="TextoNormal"/>
      </w:pPr>
      <w:r>
        <w:t>La denuncia finaliza solicitando que se le tome declaración como denunciante, se le realice un examen médico para estudiar la existencia de lesiones o secuelas físicas o psicológicas, se unan a la causa los informes emitidos por los médicos forenses en las sedes de la policía y se tome declaración como testigos a los médicos forenses, se unan a la causa las grabaciones de cámara realizadas en todos los días en que duró la incomunicación y se identifique a los policías que practicaron diligencias y desarrollaron los interrogatorios.</w:t>
      </w:r>
    </w:p>
    <w:p w:rsidR="00A90898" w:rsidRDefault="00A90898" w:rsidP="00A90898">
      <w:pPr>
        <w:pStyle w:val="TextoNormal"/>
      </w:pPr>
    </w:p>
    <w:p w:rsidR="00A90898" w:rsidRDefault="00A90898" w:rsidP="00A90898">
      <w:pPr>
        <w:pStyle w:val="TextoNormal"/>
      </w:pPr>
      <w:r>
        <w:t>b) La denuncia dio lugar a la incoación de las diligencias previas núm. 1746-2010 por el Juzgado de Instrucción núm. 4 de San Sebastián, quien por Auto de 27 de julio de 2010 se inhibió a favor de los Juzgados de Instrucción de Madrid. El Juzgado de Instrucción núm. 29 de Madrid por Auto de 7 de noviembre de 2010 incoó las diligencias previas núm. 4995-2010 y acordó practicar las diligencias consistentes en solicitar del Juzgado Central de Instrucción que corresponda testimonio del atestado e informes médicos y forenses relativos a la denunciante con motivo de la detención que fue objeto el 23 de noviembre de 2009, lo que se tuvo por cumplimentado por diligencia de 30 de noviembre de 2010, dándose traslado al Ministerio Fiscal, a fin de que informara lo que a su derecho conviniera.</w:t>
      </w:r>
    </w:p>
    <w:p w:rsidR="00A90898" w:rsidRDefault="00A90898" w:rsidP="00A90898">
      <w:pPr>
        <w:pStyle w:val="TextoNormal"/>
      </w:pPr>
    </w:p>
    <w:p w:rsidR="00A90898" w:rsidRDefault="00A90898" w:rsidP="00A90898">
      <w:pPr>
        <w:pStyle w:val="TextoNormal"/>
      </w:pPr>
      <w:r>
        <w:t xml:space="preserve">Los informes médico-forenses emitidos en Madrid que se adjuntan en las actuaciones fueron un total de 7. En el informe del día 24 de noviembre, referido a la visita de las 22:30 horas, se hace constar que manifiesta estar cansada, que “ha tomado solo un zumo, ya que no tiene apetito y ha recibido un trato correcto”, que “preguntada si quiere ser reconocida manifiesta que no; solo quiere que le tome el pulso radial, 80 p.m.”. En el informe del día 25 de noviembre, referido a la visita de las 9:55 horas, se hace constar que “refiere estar </w:t>
      </w:r>
      <w:r>
        <w:lastRenderedPageBreak/>
        <w:t>bien pero preocupada por la situación y a veces con nervios, por eso ha dormido poco. No ha querido desayunar y tiene zumo y galletas en su celda. Manifiesta que no ha sufrido maltrato. Preguntada, si quiere ser reconocida, manifiesta que no; sólo quiere que se tome el pulso radial, 80 p.m. … Ansiedad acorde a circunstancias. Se indica que le faciliten … un Lexatin 1,5”. En el informe del día 25 de noviembre, referido a la visita de las 20:00 horas, se hace constar que “refiere que sí le han facilitado Lexatin y le ha venido bien, ha tomado galletas y zumo, no ha querido lentejas. Que esta tarde le han interrogado dos veces y que el trato ha sido correcto. A veces tiene nervios. Preguntada, si quiere ser reconocida, manifiesta que no; sólo quiere que se tome el pulso radial, 88 p.m. … Ansiedad acorde a circunstancias. Se le facilitara otro Lexatin 1,5 a la cena”. En el informe del día 26 de noviembre, referido a la visita de las 10:00 horas, se hace constar que “refiere que está cansada de la situación, que ha dormido poco por estar nerviosa, no quiso cenar y ha desayunado zumo y galletas. Que no ha sufrido maltrato … Llora durante la entrevista, quiere que le de la mano y en el transcurso de la misma se tranquiliza. Ansiedad acorde a circunstancias. Se indica que se facilite un Lexatin 1,5”. En el informe del día 26 de noviembre, referido a la visita de las 20:00 horas, se hace constar que “refiere que está mejor, más tranquila, ha tomado galletas, zumo y potito de manzana … Que no ha sufrido maltrato … Se indica que se le facilite un Lexatin 1,5 a la cena”. En el informe del día 27 de noviembre, referido a la visita de las 10:00 horas, se hace constar que “refiere que estaba dormida que todavía no ha desayunado, que no quiso cenar y sí le facilitaron el Lexatin, que está tranquila (…). Se le facilitará un Lexatin, si lo solicita”. En el informe del día 27 de noviembre, referido a la visita de las 20:00 horas, se hace constar que “se encuentra tumbada sobre la colchoneta y tapada con mantas, sólo ha querido tomar una galletas y zumo (tiene el pack de la comida sin abrir en su celda). Que no ha sufrido maltrato. Dice que tiene ansiedad, que no quiere ser explorada, sólo quiere le tome el pulso, siendo este de 88 p.m. Se observa … con ansiedad acorde a la situación.</w:t>
      </w:r>
    </w:p>
    <w:p w:rsidR="00A90898" w:rsidRDefault="00A90898" w:rsidP="00A90898">
      <w:pPr>
        <w:pStyle w:val="TextoNormal"/>
      </w:pPr>
    </w:p>
    <w:p w:rsidR="00A90898" w:rsidRDefault="00A90898" w:rsidP="00A90898">
      <w:pPr>
        <w:pStyle w:val="TextoNormal"/>
      </w:pPr>
      <w:r>
        <w:t>Se indica que se le facilite un Lexatin 1,5”.</w:t>
      </w:r>
    </w:p>
    <w:p w:rsidR="00A90898" w:rsidRDefault="00A90898" w:rsidP="00A90898">
      <w:pPr>
        <w:pStyle w:val="TextoNormal"/>
      </w:pPr>
    </w:p>
    <w:p w:rsidR="00A90898" w:rsidRDefault="00A90898" w:rsidP="00A90898">
      <w:pPr>
        <w:pStyle w:val="TextoNormal"/>
      </w:pPr>
      <w:r>
        <w:t>c) El Ministerio Fiscal, mediante informe de 17 de diciembre de 2010, evacuó el traslado conferido afirmando que “a la vista de los informes forenses incorporados a la presente causa que se corresponden con los días que estuvo detenida en la Audiencia Nacional en los que se hace constar que la propia denunciante manifestó en unas ocasiones que no había sido maltratada y en otras que el trato recibido era correcto, no concurren indicios de la comisión de los hechos denunciados, procediendo el sobreseimiento provisional conforme al artículo 641.1 de la Ley de enjuiciamiento criminal”.</w:t>
      </w:r>
    </w:p>
    <w:p w:rsidR="00A90898" w:rsidRDefault="00A90898" w:rsidP="00A90898">
      <w:pPr>
        <w:pStyle w:val="TextoNormal"/>
      </w:pPr>
    </w:p>
    <w:p w:rsidR="00A90898" w:rsidRDefault="00A90898" w:rsidP="00A90898">
      <w:pPr>
        <w:pStyle w:val="TextoNormal"/>
      </w:pPr>
      <w:r>
        <w:t>Por Auto de 22 de diciembre de 2010 se acordó el sobreseimiento provisional y el archivo de la causa, argumentándose en su fundamento jurídico único que “de lo actuado no aparece debidamente justificada la perpetración del delito que ha dado motivo a la formación de la causa, dado que los informes forenses correspondientes con los días que estuvo detenida en la Audiencia Nacional obrantes en autos, no concurren indicios de la comisión de los hechos denunciados a tenor de las propias manifestaciones de la denunciante que refirió en ocasiones no haber sido maltratada y en otras que el trato recibido era correcto, por lo que de acuerdo con lo dispuesto en el artículo 779.1.1 de la Ley de enjuiciamiento criminal, en relación con el art. 641.1 del mismo texto legal, procede decretar el sobreseimiento provisional de las actuaciones”. En el Auto se acordó que se pusiera la resolución en conocimiento del Ministerio Fiscal y las demás partes personadas.</w:t>
      </w:r>
    </w:p>
    <w:p w:rsidR="00A90898" w:rsidRDefault="00A90898" w:rsidP="00A90898">
      <w:pPr>
        <w:pStyle w:val="TextoNormal"/>
      </w:pPr>
    </w:p>
    <w:p w:rsidR="00A90898" w:rsidRDefault="00A90898" w:rsidP="00A90898">
      <w:pPr>
        <w:pStyle w:val="TextoNormal"/>
      </w:pPr>
      <w:r>
        <w:t>La recurrente, mediante escrito dirigido al Juzgado Decano de Instrucción de Madrid registrado el 13 de abril de 2012, solicitó que se comunicara cuál era el órgano judicial en que había recaído el procedimiento tras la inhibición del Juzgado de Instrucción núm. 4 de Donostia-San Sebastián, ya que hasta ese momento no se había tenido ningún conocimiento sobre el particular. Por providencia de 9 de mayo de 2012 se acordó notificar la decisión de sobreseimiento.</w:t>
      </w:r>
    </w:p>
    <w:p w:rsidR="00A90898" w:rsidRDefault="00A90898" w:rsidP="00A90898">
      <w:pPr>
        <w:pStyle w:val="TextoNormal"/>
      </w:pPr>
    </w:p>
    <w:p w:rsidR="00A90898" w:rsidRDefault="00A90898" w:rsidP="00A90898">
      <w:pPr>
        <w:pStyle w:val="TextoNormal"/>
      </w:pPr>
      <w:r>
        <w:t>d) La recurrente, mediante escrito registrado el 31 de mayo de 2012, interpuso recurso de reforma y subsidiario de apelación, argumentando que los hechos denunciados son de especial gravedad merecedores de una exhaustiva investigación en aras a una real y efectiva erradicación de las prácticas de la tortura, ya que en defecto de ello se vulnera el derecho a la integridad física y moral (art. 15 CE), a la tutela judicial efectiva (art. 24.1 CE) y a un proceso con todas las garantías y al uso de los medios pertinentes de prueba para la defensa (art. 24.2 CE). A esos efectos, se afirma la deficiente instrucción judicial desarrollada, habida cuenta de la gravedad del delito denunciado, ya que restaban por practicar diligencias de averiguación relevantes como era la propia declaración de la denunciante, su reconocimiento médico sobre eventuales secuelas, que se tomara declaración a los médicos forenses en calidad de testigos; copia de la declaración de la recurrente ante el Juzgado Central de Instrucción, habida cuenta de que en la denuncia se afirmaba que existió un relato explícito del trato dispensado cuando se compareció ante la autoridad judicial; aportación de las grabaciones realizadas durante el periodo de identificación; y la identificación de los agentes que practicaron diligencias con la detenida, así como que se informara sobre dichas diligencias.</w:t>
      </w:r>
    </w:p>
    <w:p w:rsidR="00A90898" w:rsidRDefault="00A90898" w:rsidP="00A90898">
      <w:pPr>
        <w:pStyle w:val="TextoNormal"/>
      </w:pPr>
    </w:p>
    <w:p w:rsidR="00A90898" w:rsidRDefault="00A90898" w:rsidP="00A90898">
      <w:pPr>
        <w:pStyle w:val="TextoNormal"/>
      </w:pPr>
      <w:r>
        <w:t>El recurso de reforma fue desestimado por Auto de 13 de junio de 2012, afirmando en su fundamento jurídico único que las alegaciones del recurso no desvirtúan la legalidad de la resolución impugnada, que debe ser confirmada al no queda acreditada la existencia de indicios de criminalidad en relación con los hechos denunciados.</w:t>
      </w:r>
    </w:p>
    <w:p w:rsidR="00A90898" w:rsidRDefault="00A90898" w:rsidP="00A90898">
      <w:pPr>
        <w:pStyle w:val="TextoNormal"/>
      </w:pPr>
    </w:p>
    <w:p w:rsidR="00A90898" w:rsidRDefault="00A90898" w:rsidP="00A90898">
      <w:pPr>
        <w:pStyle w:val="TextoNormal"/>
      </w:pPr>
      <w:r>
        <w:t>e) La recurrente, en su escrito de alegaciones en el recurso de apelación, afirmó que el Auto impugnado vulneraba el art. 24.1 CE al no disponer de una motivación suficiente, reiterando, con numerosa cita de jurisprudencia constitucional y del Tribunal Europeo de Derechos Humanos, la necesidad de que, de conformidad con lo previsto en el art. 15 CE, la investigación de los delitos de tortura se desarrolle con la debida diligencia judicial, lo que no habría concurrido en este caso, ya que no se había producido una investigación efectiva y completa, insistiendo en que restaban por practicarse medios de investigación judicial básicos.</w:t>
      </w:r>
    </w:p>
    <w:p w:rsidR="00A90898" w:rsidRDefault="00A90898" w:rsidP="00A90898">
      <w:pPr>
        <w:pStyle w:val="TextoNormal"/>
      </w:pPr>
    </w:p>
    <w:p w:rsidR="00A90898" w:rsidRDefault="00A90898" w:rsidP="00A90898">
      <w:pPr>
        <w:pStyle w:val="TextoNormal"/>
      </w:pPr>
      <w:r>
        <w:t xml:space="preserve">La Sección Vigesimonovena de la Audiencia Provincial de Madrid, por Auto de 22 de noviembre de 2012, dictado en el rollo de apelación 499-2012, desestimó el recurso, poniendo de manifiesto “que los argumentos que se exponen en el recurso son insuficientes para dejar sin efecto el auto impugnado cuya fundamentación resulta asumible en esta alzada”. A esos efectos se afirma, en primer lugar, que en los informes médicos realizados por el médico forense los días 25, 26 y 27 en las dos ocasiones diarias en las que reconoció a la recurrente se hizo constar que la detenida refirió no haber sufrido maltrato y haber recibido un trato correcto. Se argumenta que la alegación de que el miedo le habría llevado a no denunciar en ese momento al forense la situación de torturas que estaba padeciendo, </w:t>
      </w:r>
      <w:r>
        <w:lastRenderedPageBreak/>
        <w:t>no se puede compartir, “primero, porque una vez superada esa invocada situación de miedo, es decir, una vez finalizado el periodo de detención, la denunciante no puso de manifiesto en su nuevo entorno, esto es, en prisión, esas torturas de las que supuestamente había sido víctima … y, segundo, porque resulta cuando menos improbable que un médico forense, durante cinco días consecutivos, no detecte una situación tan grave como la descrita en la denuncia más allá del cansancio o la ansiedad ‘acorde a las circunstancias’ que se hace constar en los informes…”.</w:t>
      </w:r>
    </w:p>
    <w:p w:rsidR="00A90898" w:rsidRDefault="00A90898" w:rsidP="00A90898">
      <w:pPr>
        <w:pStyle w:val="TextoNormal"/>
      </w:pPr>
    </w:p>
    <w:p w:rsidR="00A90898" w:rsidRDefault="00A90898" w:rsidP="00A90898">
      <w:pPr>
        <w:pStyle w:val="TextoNormal"/>
      </w:pPr>
      <w:r>
        <w:t>En segundo lugar, y respecto de la alegación de los medios de investigación judicial que quedarían por desarrollar, se argumenta que el derecho a la prueba no es absoluto y no tiene por qué ser admitida toda la solicitada por las partes cuando resulte innecesaria como era el caso, toda vez que “no parece que la denunciante pudiera aportar con su declaración ante el Juez algo más de lo que ya consta en las actuaciones; igual sucede con la declaración de los médicos forenses que asistieron a la denunciante, pues los informes que han sido unidos al procedimiento tiene un contenido fácilmente inteligible, sin perjuicio desde luego de su valoración; y respecto a las restantes diligencias solicitadas lo cierto es que nada nos permite pensar que su resultado pudiera dar lugar a una resolución distinta del proceso”.</w:t>
      </w:r>
    </w:p>
    <w:p w:rsidR="00A90898" w:rsidRDefault="00A90898" w:rsidP="00A90898">
      <w:pPr>
        <w:pStyle w:val="TextoNormal"/>
      </w:pPr>
    </w:p>
    <w:p w:rsidR="00A90898" w:rsidRDefault="00A90898" w:rsidP="00A90898">
      <w:pPr>
        <w:pStyle w:val="TextoNormal"/>
      </w:pPr>
      <w:r>
        <w:t>El Auto concluye señalando que “una vez que, practicadas una serie de diligencias, se observe la improcedencia de la continuación del procedimiento se debe acordar su archivo y sobreseimiento, como ha acaecido en este supuesto en el que no se archivó de plano la denuncia sino que se han practicado unas diligencias que no corroboran sino más bien al contrario contradicen el relato contenido en dicha denuncia”.</w:t>
      </w:r>
    </w:p>
    <w:p w:rsidR="00A90898" w:rsidRDefault="00A90898" w:rsidP="00A90898">
      <w:pPr>
        <w:pStyle w:val="TextoNormal"/>
      </w:pPr>
    </w:p>
    <w:p w:rsidR="00A90898" w:rsidRDefault="00A90898" w:rsidP="00A90898">
      <w:pPr>
        <w:pStyle w:val="TextoNormal"/>
      </w:pPr>
      <w:r w:rsidRPr="00A90898">
        <w:rPr>
          <w:rStyle w:val="NumeroAFNegritaCaracter"/>
        </w:rPr>
        <w:t>3</w:t>
      </w:r>
      <w:r>
        <w:t>. La recurrente aduce en su demanda de amparo que se han vulnerado sus derechos a la integridad física y moral (art. 15 CE), a la tutela judicial efectiva (art. 24.1 CE) y a un proceso con todas la garantías y uso de los medios pertinentes de prueba para la defensa (art. 24.2 CE). La primera queja la fundamenta en que, habiéndose denunciado diversas agresiones físicas y maltrato de palabra durante la situación de detención sufrida, no ha existido un procedimiento judicial que haya permitido una reparación jurídica suficiente. Las dos restantes quejas, en relación con la anterior, las fundamenta, citando jurisprudencia constitucional y del Tribunal Europeo de Derechos Humanos, en que no se ha desarrollado una actividad judicial suficiente en averiguación de los hechos denunciados, al no haberse practicado diversas diligencias que resultaban relevantes como son la propia declaración de la denunciante, su reconocimiento médico sobre eventuales secuelas, que se tomara declaración a los médicos forenses en calidad de testigos; aportación de las grabaciones realizadas durante el periodo de identificación; la identificación de los agentes que practicaron diligencias con la detenida, así como que se informara sobre dichas diligencias; copia de la declaración de la recurrente ante el Juzgado Central de Instrucción, en la que ya se denunció el trato dispensado y que se tomara declaración al abogado que asistió de oficio a la recurrente.</w:t>
      </w:r>
    </w:p>
    <w:p w:rsidR="00A90898" w:rsidRDefault="00A90898" w:rsidP="00A90898">
      <w:pPr>
        <w:pStyle w:val="TextoNormal"/>
      </w:pPr>
    </w:p>
    <w:p w:rsidR="00A90898" w:rsidRDefault="00A90898" w:rsidP="00A90898">
      <w:pPr>
        <w:pStyle w:val="TextoNormal"/>
      </w:pPr>
      <w:r>
        <w:t>Por último, en la demanda se pone de manifiesto que la misma tiene especial trascendencia constitucional porque la doctrina aplicable al caso concreto está siendo incumplida con carácter general y, además, la resolución que se adopte no afectará exclusivamente a la resolución del caso sino que supondrá un refuerzo de la jurisprudencia constitucional aplicable al caso impidiendo futuros sobreseimientos en relación con hechos de una gran trascendencia social por ser la tortura una lacra que envilece y deslegitima a un Estado democrático.</w:t>
      </w:r>
    </w:p>
    <w:p w:rsidR="00A90898" w:rsidRDefault="00A90898" w:rsidP="00A90898">
      <w:pPr>
        <w:pStyle w:val="TextoNormal"/>
      </w:pPr>
    </w:p>
    <w:p w:rsidR="00A90898" w:rsidRDefault="00A90898" w:rsidP="00A90898">
      <w:pPr>
        <w:pStyle w:val="TextoNormal"/>
      </w:pPr>
      <w:r w:rsidRPr="00A90898">
        <w:rPr>
          <w:rStyle w:val="NumeroAFNegritaCaracter"/>
        </w:rPr>
        <w:t>4</w:t>
      </w:r>
      <w:r>
        <w:t>. La Secretaría de Justicia de la Sección Primera de este Tribunal, por diligencia de ordenación de 12 de noviembre de 2013, conforme a lo previsto en el art. 88 de la Ley Orgánica del Tribunal Constitucional (LOTC), requirió de los órganos judiciales correspondientes la remisión del testimonio de las actuaciones que dieron lugar al presente procedimiento.</w:t>
      </w:r>
    </w:p>
    <w:p w:rsidR="00A90898" w:rsidRDefault="00A90898" w:rsidP="00A90898">
      <w:pPr>
        <w:pStyle w:val="TextoNormal"/>
      </w:pPr>
    </w:p>
    <w:p w:rsidR="00A90898" w:rsidRDefault="00A90898" w:rsidP="00A90898">
      <w:pPr>
        <w:pStyle w:val="TextoNormal"/>
      </w:pPr>
      <w:r w:rsidRPr="00A90898">
        <w:rPr>
          <w:rStyle w:val="NumeroAFNegritaCaracter"/>
        </w:rPr>
        <w:t>5</w:t>
      </w:r>
      <w:r>
        <w:t>. La Sala Primera de este Tribunal acordó, por providencia de 30 de noviembre de 2015, admitir a trámite la demanda de amparo, apreciando que concurre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Igualmente, se acordó que, encontrándose en este Tribunal testimonio íntegro de las actuaciones y no existiendo más partes en la vía judicial previa, a tenor del art. 52 LOTC, se diera vista de las actuaciones al Ministerio Fiscal y a la parte recurrente en amparo por plazo común de 20 días para que pudieran presentar las alegaciones que a su derecho convinieran.</w:t>
      </w:r>
    </w:p>
    <w:p w:rsidR="00A90898" w:rsidRDefault="00A90898" w:rsidP="00A90898">
      <w:pPr>
        <w:pStyle w:val="TextoNormal"/>
      </w:pPr>
    </w:p>
    <w:p w:rsidR="00A90898" w:rsidRDefault="00A90898" w:rsidP="00A90898">
      <w:pPr>
        <w:pStyle w:val="TextoNormal"/>
      </w:pPr>
      <w:r w:rsidRPr="00A90898">
        <w:rPr>
          <w:rStyle w:val="NumeroAFNegritaCaracter"/>
        </w:rPr>
        <w:t>6</w:t>
      </w:r>
      <w:r>
        <w:t>. El Ministerio Fiscal, en escrito registrado el 5 de febrero de 2016, interesó que se otorgara el amparo por vulneración del derecho a la tutela judicial efectiva (art. 24.1 CE), en relación con el derecho a no ser sometido a torturas ni a tratos inhumanos o degradantes (art. 15 CE), y se declare la nulidad de las resoluciones impugnadas con retroacción de actuaciones “a fin de que se practiquen las diligencias oportunas con respeto a los derechos fundamentales vulnerados”.</w:t>
      </w:r>
    </w:p>
    <w:p w:rsidR="00A90898" w:rsidRDefault="00A90898" w:rsidP="00A90898">
      <w:pPr>
        <w:pStyle w:val="TextoNormal"/>
      </w:pPr>
    </w:p>
    <w:p w:rsidR="00A90898" w:rsidRDefault="00A90898" w:rsidP="00A90898">
      <w:pPr>
        <w:pStyle w:val="TextoNormal"/>
      </w:pPr>
      <w:r>
        <w:t>El Ministerio Fiscal expone, con cita de las SSTC 63/2010, de 18 de octubre, y 12/2013, de 28 de enero, que es jurisprudencia constitucional consolidada que el derecho a la tutela judicial efectiva de quien denuncia haber sido víctima de tratos prohibidos por el art. 15 CE exige que no se clausure la instrucción cuando existan sospechas razonables de que ha podido cometerse el delito que se denuncia y cuando dichas sospechas sean susceptibles de ser despejadas a través de la actividad instructora. A esos efectos debe tomarse en consideración tanto la probable escasez de pruebas y los obstáculos de la víctima de aportarlas como las mayores dificultades que ofrecen los casos en que lo denunciado son actos intimidatorios o de tortura psicológica, y se concluye que existe un mandato constitucional de agotar cuantas posibilidades razonables de indagación resulten útiles para aclarar los hechos.</w:t>
      </w:r>
    </w:p>
    <w:p w:rsidR="00A90898" w:rsidRDefault="00A90898" w:rsidP="00A90898">
      <w:pPr>
        <w:pStyle w:val="TextoNormal"/>
      </w:pPr>
    </w:p>
    <w:p w:rsidR="00A90898" w:rsidRDefault="00A90898" w:rsidP="00A90898">
      <w:pPr>
        <w:pStyle w:val="TextoNormal"/>
      </w:pPr>
      <w:r>
        <w:t>El Ministerio Fiscal afirma que, teniendo en cuenta los hechos denunciados, caracterizados por actos de agresión física superficial, un desnudo no justificado, determinados abusos sexuales, amenazas e insultos, no susceptibles de dejar rastros objetivables, la argumentación judicial desarrollada para justificar el sobreseimiento de la causa no es conforme con la doctrina constitucional sobre el particular. Así, se argumenta que la ausencia de signos físicos de agresión, por la naturaleza de los hechos denunciados, carece de fuerza suficiente para despejar las sospechas, al igual que la ausencia de denuncia de malos tratos al médico forense mientras se mantenía la situación de detención incomunicada bajo exclusiva custodia policial, por ser justificado el temor a un posible riesgo cuando se encuentre exclusiva y nuevamente ante los responsables de su custodia.</w:t>
      </w:r>
    </w:p>
    <w:p w:rsidR="00A90898" w:rsidRDefault="00A90898" w:rsidP="00A90898">
      <w:pPr>
        <w:pStyle w:val="TextoNormal"/>
      </w:pPr>
    </w:p>
    <w:p w:rsidR="00A90898" w:rsidRDefault="00A90898" w:rsidP="00A90898">
      <w:pPr>
        <w:pStyle w:val="TextoNormal"/>
      </w:pPr>
      <w:r>
        <w:lastRenderedPageBreak/>
        <w:t>Frente a ello, el Ministerio Fiscal destaca la persistencia de determinados indicios que sustentan la existencia de sospechas razonables de que podía haberse cometido el delito que eran susceptibles de ser despejados con la prosecución de la instrucción de la causa. Así, se afirma que en los informes del médico forense se consigna un diagnóstico de ansiedad, recetándose un ansiolítico; las referencias de que no come o que come poco; que se señala por el médico que “llora durante la entrevista, quiere que le de la mano y en el transcurso de la misma se tranquiliza”; o que pide que se le tome el pulso; o que, a pesar de que la denunciante reseñó en su denuncia que había relatados los diferentes episodios de malos tratos cuando pasó a disposición judicial, “no se practicó una diligencia esencial y coherente con dichas manifestaciones, como es la incorporación de dicha declaración judicial, que hubiera podido acreditar o descartar fácilmente la veracidad de las afirmaciones de la denunciante”. En relación con ello, el Ministerio Fiscal expone que la obligación constitucional de desarrollar una investigación eficaz no se ha cumplido en este caso ya que se omitieron actos de investigación especialmente aptos para despegar las sospechas razonables que se planteaban como eran la incorporación de la primera declaración judicial de la denunciante y de los reconocimientos médicos a partir de su ingreso en prisión; la declaración del médico forense para que aclarara las causas por las que se recetaba un tranquilizante y la situación de nerviosismo o lloros; la propia declaración de la recurrente; y, eventualmente, la declaración del abogado de oficio que le asistió en dos de las declaraciones prestadas y sin que pueda tampoco descartarse, en atención a la doctrina sentada en la STEDH de 16 de octubre de 2012, la declaración de los agentes encargados de la custodia durante la detención.</w:t>
      </w:r>
    </w:p>
    <w:p w:rsidR="00A90898" w:rsidRDefault="00A90898" w:rsidP="00A90898">
      <w:pPr>
        <w:pStyle w:val="TextoNormal"/>
      </w:pPr>
    </w:p>
    <w:p w:rsidR="00A90898" w:rsidRDefault="00A90898" w:rsidP="00A90898">
      <w:pPr>
        <w:pStyle w:val="TextoNormal"/>
      </w:pPr>
      <w:r w:rsidRPr="00A90898">
        <w:rPr>
          <w:rStyle w:val="NumeroAFNegritaCaracter"/>
        </w:rPr>
        <w:t>7</w:t>
      </w:r>
      <w:r>
        <w:t>. La recurrente, en escrito registrado el 8 de enero de 2006, solicita que se den por reproducidas las alegaciones formuladas la demanda de amparo.</w:t>
      </w:r>
    </w:p>
    <w:p w:rsidR="00A90898" w:rsidRDefault="00A90898" w:rsidP="00A90898">
      <w:pPr>
        <w:pStyle w:val="TextoNormal"/>
      </w:pPr>
    </w:p>
    <w:p w:rsidR="00A90898" w:rsidRDefault="00A90898" w:rsidP="00A90898">
      <w:pPr>
        <w:pStyle w:val="TextoNormal"/>
      </w:pPr>
      <w:r w:rsidRPr="00A90898">
        <w:rPr>
          <w:rStyle w:val="NumeroAFNegritaCaracter"/>
        </w:rPr>
        <w:t>8</w:t>
      </w:r>
      <w:r>
        <w:t>. Mediante providencia de 14 de julio de 2016, se señaló para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objeto de este recurso de amparo es determinar si las resoluciones judiciales impugnadas han vulnerado los derechos de la recurrente a la integridad física y moral (art. 15 CE), a la tutela judicial efectiva (art. 24.1 CE) y a un proceso con todas la garantías y uso de los medios pertinentes de prueba para la defensa (art. 24.2 CE), por haber acordado el sobreseimiento y archivo provisional de unas diligencias penales incoadas por una denuncia de torturas sin haberse practicado todas las diligencias que podrían haber sido relevantes para la adopción de una decisión de esas características.</w:t>
      </w:r>
    </w:p>
    <w:p w:rsidR="00A90898" w:rsidRDefault="00A90898" w:rsidP="00A90898">
      <w:pPr>
        <w:pStyle w:val="TextoNormal"/>
      </w:pPr>
    </w:p>
    <w:p w:rsidR="00A90898" w:rsidRDefault="00A90898" w:rsidP="00A90898">
      <w:pPr>
        <w:pStyle w:val="TextoNormal"/>
      </w:pPr>
      <w:r w:rsidRPr="00A90898">
        <w:rPr>
          <w:rStyle w:val="NumeroAFNegritaCaracter"/>
        </w:rPr>
        <w:t>2</w:t>
      </w:r>
      <w:r>
        <w:t>. El Tribunal ha sentado una consolidada jurisprudencia sobre las exigencias constitucionales relativas a las decisiones judiciales de sobreseimiento y archivo de instrucciones penales incoadas por denuncia de torturas o tratos inhumanos o degradantes mediante numerosas resoluciones (así, SSTC 224/2007, de 22 de octubre; 34/2008, de 25 de febrero; 52/2008, de 14 de abril; 63/2008, de 26 de mayo; 69/2008, de 23 de junio; 107/2008, de 22 de septiembre; 123/2008, de 20 de octubre; 40/2010, de 19 de julio; 63/2010, de 18 de octubre; 131/2012, de 18 de junio; 182/2012, de 17 de octubre; 12/2013, de 28 de enero, y 153/2013, de 9 de septiembre).</w:t>
      </w:r>
    </w:p>
    <w:p w:rsidR="00A90898" w:rsidRDefault="00A90898" w:rsidP="00A90898">
      <w:pPr>
        <w:pStyle w:val="TextoNormal"/>
      </w:pPr>
    </w:p>
    <w:p w:rsidR="00A90898" w:rsidRDefault="00A90898" w:rsidP="00A90898">
      <w:pPr>
        <w:pStyle w:val="TextoNormal"/>
      </w:pPr>
      <w:r>
        <w:t xml:space="preserve">Esta jurisprudencia constitucional afirma que el correcto encuadramiento de las quejas referidas a este tipo de decisiones judiciales afecta al derecho a la tutela judicial efectiva (art. 24.1 CE), pero que su relación con el derecho a no ser sometido a tortura o tratos inhumanos o degradantes (art. 15 CE), conlleva que la suficiencia de la indagación judicial dependa no solo de que las decisiones de sobreseimiento y archivo de las diligencias penales estén motivadas y jurídicamente fundadas, sino también de que sean acordes con la prohibición absoluta de aquellas conductas (así, por ejemplo, SSTC 69/2008, FJ 2; 63/2010, FJ 2; o 131/2012, FJ 2). A esos efectos, en las SSTC 12/2013, FJ 2, y 153/2013, FJ 3, se recuerda que el art. 12 de la Convención contra la tortura y otros tratos o penas crueles, inhumanos y degradantes, hecha en Nueva York el 10 de diciembre de 1984, que entró en vigor en España el 20 de noviembre de 1987, establece que “[t]odo Estado Parte velará porque, siempre que haya motivos razonables para creer que dentro de su jurisdicción se ha cometido un acto de tortura, las autoridades competentes procedan a una investigación pronta e imparcial”. Igualmente, dichos pronunciamientos hacen una extensa referencia a la jurisprudencia del Tribunal Europeo de Derechos Humanos sobre el particular, de acuerdo con la cual cuando una persona afirma de forma creíble o de forma defendible haber sufrido por parte de la policía u otros servicios del Estado tratos contrarios al art. 3 del Convenio europeo para la protección de los derechos humanos y de las libertades fundamentales (CEDH), resulta necesario que se realice una investigación oficial eficaz para encontrar alguna prueba que confirme o contradiga el relato de los hechos ofrecidos por los demandantes, ya que el art. 3 CEDH tiene una doble vertiente sustantiva y procesal, y puede producirse una violación de esta última cuando la imposibilidad de determinar más allá de toda duda razonable que el demandante fue sometido a malos tratos se desprende en gran medida de la ausencia de una investigación profunda y efectiva por las autoridades nacionales tras la denuncia presentada (así, por ejemplo, solo por citar las resoluciones relativas a España, SSTEDH de 2 de noviembre de 2004, </w:t>
      </w:r>
      <w:r w:rsidRPr="00A90898">
        <w:rPr>
          <w:i/>
        </w:rPr>
        <w:t>Martínez Sala y otros c. España</w:t>
      </w:r>
      <w:r>
        <w:t xml:space="preserve">; de 28 de septiembre de 2010, </w:t>
      </w:r>
      <w:r w:rsidRPr="00A90898">
        <w:rPr>
          <w:i/>
        </w:rPr>
        <w:t>San Argimiro Isasa c. España</w:t>
      </w:r>
      <w:r>
        <w:t xml:space="preserve">; de 8 de marzo de 2011, </w:t>
      </w:r>
      <w:r w:rsidRPr="00A90898">
        <w:rPr>
          <w:i/>
        </w:rPr>
        <w:t>Beristain Ukar c. España</w:t>
      </w:r>
      <w:r>
        <w:t xml:space="preserve">; o de 16 de octubre de 2012, </w:t>
      </w:r>
      <w:r w:rsidRPr="00A90898">
        <w:rPr>
          <w:i/>
        </w:rPr>
        <w:t>Otamendi Egiguren c. España</w:t>
      </w:r>
      <w:r>
        <w:t>).</w:t>
      </w:r>
    </w:p>
    <w:p w:rsidR="00A90898" w:rsidRDefault="00A90898" w:rsidP="00A90898">
      <w:pPr>
        <w:pStyle w:val="TextoNormal"/>
      </w:pPr>
    </w:p>
    <w:p w:rsidR="00A90898" w:rsidRDefault="00A90898" w:rsidP="00A90898">
      <w:pPr>
        <w:pStyle w:val="TextoNormal"/>
      </w:pPr>
      <w:r>
        <w:t>La jurisprudencia constitucional en la materia también ha insistido en que existe un especial mandato de desarrollar una exhaustiva investigación agotando cuantas posibilidades de indagación resulten útiles para aclarar los hechos, habida cuenta de que es necesario acentuar las garantías en los supuestos en que el valor superior de la dignidad humana puede verse comprometido con motivo de una situación especial en la que el ciudadano se encuentra provisionalmente bajo la custodia física del Estado. A esos efectos, las citadas SSTC 12/2013, FJ 3, y 153/2013, FJ 4, ponen de manifiesto que hay que atender a las circunstancias concretas de cada caso y hacerlo siempre teniendo presente la escasez de pruebas que de ordinario existen en este tipo de delitos; y que así como los maltratos físicos suelen dejar un rastro perceptible por el menoscabo corporal en el que consisten, cuando se denuncia un maltrato psicológico u otros tipo de conductas que no supongan ese menoscabo las secuelas reveladoras del mismo son de más difícil apreciación, por lo que resulta necesario atender al panorama indiciario que puede derivarse de una pluralidad de fuentes como son, al margen de la propia declaración del denunciante, los reconocimientos médicos que se realizan a todo detenido, las manifestaciones efectuadas en cuanto el detenido pasa a disposición judicial y se le recibe la primera declaración por el Juez, así como la de otros intervinientes que hubieran entrado en contacto con el detenido como el profesional del turno de oficio que debe prestar la asistencia letrada obligatoria.</w:t>
      </w:r>
    </w:p>
    <w:p w:rsidR="00A90898" w:rsidRDefault="00A90898" w:rsidP="00A90898">
      <w:pPr>
        <w:pStyle w:val="TextoNormal"/>
      </w:pPr>
    </w:p>
    <w:p w:rsidR="00A90898" w:rsidRDefault="00A90898" w:rsidP="00A90898">
      <w:pPr>
        <w:pStyle w:val="TextoNormal"/>
      </w:pPr>
      <w:r>
        <w:t xml:space="preserve">En relación con esta doctrina, es preciso poner de manifiesto que las recientes SSTEDH de 7 de octubre de 2014, </w:t>
      </w:r>
      <w:r w:rsidRPr="00A90898">
        <w:rPr>
          <w:i/>
        </w:rPr>
        <w:t>Ataun Rojo c. España</w:t>
      </w:r>
      <w:r>
        <w:t xml:space="preserve">; de 7 de octubre de 2014, asunto </w:t>
      </w:r>
      <w:r w:rsidRPr="00A90898">
        <w:rPr>
          <w:i/>
        </w:rPr>
        <w:t>Etxebarria Caballero c España</w:t>
      </w:r>
      <w:r>
        <w:t xml:space="preserve">; de 5 de mayo de 2015, asunto </w:t>
      </w:r>
      <w:r w:rsidRPr="00A90898">
        <w:rPr>
          <w:i/>
        </w:rPr>
        <w:t>Arratibel Garciandia c. España</w:t>
      </w:r>
      <w:r>
        <w:t xml:space="preserve">; y de 31 de mayo de 2016, asunto </w:t>
      </w:r>
      <w:r w:rsidRPr="00A90898">
        <w:rPr>
          <w:i/>
        </w:rPr>
        <w:t>Beortegui Martínez c. España</w:t>
      </w:r>
      <w:r>
        <w:t xml:space="preserve">, han incidido en que cuando las denuncias por tortura se produzcan en el marco de situaciones de detención incomunicada a que habilita la legislación procesal penal española es exigible un mayor rigor en la investigación judicial. En tales casos resulta necesario, para dar un exacto cumplimiento al deber de investigación eficaz establecido en el art. 3 CEDH, que el órgano judicial de instrucción oiga a los agentes a cargo de la vigilancia del denunciante durante su periodo de detención incomunicada. En efecto, en la STEDH de 7 de octubre de 2014, asunto </w:t>
      </w:r>
      <w:r w:rsidRPr="00A90898">
        <w:rPr>
          <w:i/>
        </w:rPr>
        <w:t>Etxebarria Caballero c. España</w:t>
      </w:r>
      <w:r>
        <w:t xml:space="preserve">, se afirma que “en el presente caso, el Tribunal Europeo de Derechos Humanos señala que la demandante fue puesta en detención preventiva incomunicada durante cinco días, en los que no ha podido informar de su detención a ninguna persona de su elección, ni comunicarle el lugar de detención y no la pudo asistir ningún abogado libremente elegido por ella, ni entrevistarse en privado con el abogado que le había sido asignado de oficio” (§ 44). En relación con ello, esta Sentencia establece que “una investigación efectiva se impone sin embargo con mayor rigor, máxime cuando, como en el presente caso, la demandante se encontraba, en el período de tiempo en que se habrían producido los alegados malos tratos, en una situación de aislamiento y de total ausencia de comunicación con el exterior, un tal contexto exige un mayor esfuerzo, por parte de las autoridades internas, para determinar los hechos denunciados. El Tribunal Europeo de Derechos Humanos opina que la práctica de los medios de prueba adicionales sugeridos por la demandante, y muy particularmente el consistente en interrogar a los agentes a cargo de su vigilancia durante su detención preventiva, hubieran podido contribuir al esclarecimiento de los hechos, tal como lo exige la jurisprudencia del Tribunal Europeo de Derechos Humanos (apartado 34 anterior)” (§ 47). También se recuerda que “el Tribunal Europeo de Derechos Humanos insiste, además, sobre la importancia de adoptar las medidas recomendadas por el Comité Europeo para la Prevención de la Tortura y de las Penas o Tratos inhumanos o Degradantes (CPT) para mejorar la calidad del reconocimiento médico forense de las personas sometidas a un régimen de detención incomunicada (apartado 28 y siguientes anteriores y Otamendi, anteriormente citado § 41). Estima que la situación de particular vulnerabilidad de las personas detenidas en régimen de incomunicación exige que la Ley de Enjuiciamiento Criminal prevea medidas de vigilancia adecuadas y que éstas se apliquen de forma rigurosa con el fin de evitar los abusos y de proteger la integridad física de los detenidos (apartado 30 anterior). El Tribunal Europeo de Derechos Humanos suscribe las recomendaciones del CPT, que hizo suyas el Comisario de Derechos Humanos del Consejo de Europa en su informe del 9 de octubre de 2013 (apartado 32 anterior) así como las observaciones del tercero interviniente (apartado 42 anterior) en lo que atañe tanto a las garantías a asegurar en este supuesto, como al principio mismo de la posibilidad de detención de una persona en régimen de incomunicación en España” (§ 48). Estos mismos pronunciamientos aparecen de forma paralela en la STEDH de 7 de octubre de 2014, asunto </w:t>
      </w:r>
      <w:r w:rsidRPr="00A90898">
        <w:rPr>
          <w:i/>
        </w:rPr>
        <w:t>Ataun Rojo c. España</w:t>
      </w:r>
      <w:r>
        <w:t xml:space="preserve">, en los §§ 35, 37 y 38, en la STEDH de 5 de mayo de 2015, asunto </w:t>
      </w:r>
      <w:r w:rsidRPr="00A90898">
        <w:rPr>
          <w:i/>
        </w:rPr>
        <w:t>Arratibel Garciandia c. España</w:t>
      </w:r>
      <w:r>
        <w:t xml:space="preserve">, §§ 36, 39 y 40; y en la STEDH de 31 de mayo de 2016, asunto </w:t>
      </w:r>
      <w:r w:rsidRPr="00A90898">
        <w:rPr>
          <w:i/>
        </w:rPr>
        <w:t>Beortegui Martínez c. España</w:t>
      </w:r>
      <w:r>
        <w:t>, §§ 38, 45 y 46.</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En el presente caso, como ha sido expuesto con más detenimiento en los antecedentes, han quedado acreditados los siguientes extremos: (i) que en la denuncia se ponía de manifiesto de manera detallada una serie de conductas de las que había sido objeto la ahora demandante de amparo por parte de diversos agentes de policía que la custodiaban durante el tiempo que estuvo sometida a detención incomunicada consistentes en insultos, amenazas, maltrato físico, desnudo integral no justificado, abuso sexual, permanencia prolongada en posición de cuclillas, sometimiento a interrogatorio sin presencia de abogado, etc.; (ii) que la recurrente también afirmó haber hecho una detallada descripción de estos hechos ante el juez de instrucción en cuanto fue puesta a disposición judicial tras sufrir la situación de detención incomunicada; (iii) que reconoció no haber comentado estos tratos al médico-forense en sus repetidas visitas, a pesar de haberse realizado sin la presencia de agentes de la policía, por miedo y porque los policías estaban escuchando al otro lado de la puerta; y (iv) que en los siete informes médico-forenses que constan emitidos en las actuaciones durante su estancia en las dependencias policiales en Madrid, si bien en todos ellos aparecen menciones explícitas a que no ha recibido ningún maltrato o a que el trato estaba siendo correcto, también se hace constar en todos ellos las referencias a falta de apetito; en los referidos a los días 26 a 27 de noviembre, una situación de “ansiedad acorde a las circunstancias”, que provoca que se sistematice la prescripción de Lexatin 1,5; llegando a describirse por el médico en uno de sus informes que “llora durante la entrevista, quiere que le dé la mano y en el transcurso de la misma se tranquiliza”.</w:t>
      </w:r>
    </w:p>
    <w:p w:rsidR="00A90898" w:rsidRDefault="00A90898" w:rsidP="00A90898">
      <w:pPr>
        <w:pStyle w:val="TextoNormal"/>
      </w:pPr>
    </w:p>
    <w:p w:rsidR="00A90898" w:rsidRDefault="00A90898" w:rsidP="00A90898">
      <w:pPr>
        <w:pStyle w:val="TextoNormal"/>
      </w:pPr>
      <w:r>
        <w:t>Frente a esta situación indiciaria, los órganos judiciales clausuraron la instrucción del procedimiento mediante su archivo por sobreseimiento provisional, con la única diligencia de investigación consistente en solicitar el testimonio del atestado policial e informes médico-forenses relativos a la denunciante con motivo de la detención incomunicada de la que fue objeto. A partir de esta única diligencia, el órgano judicial de instrucción afirmó que no aparecía debidamente justificada la perpetración del delito con el argumento de que los informes forenses recogían las propias manifestaciones de la denunciante de que no había sido maltratada y de que el trato recibido era correcto. Esta decisión de inadmisión fue confirmada por el órgano judicial de apelación insistiendo en que en los diferentes informes médicos realizados por el médico forense los días 25, 26 y 27 en las dos ocasiones diarias en las que se reconoció a la recurrente se hizo constar que la detenida refirió no haber sufrido maltrato y haber recibido un trato correcto. Se argumenta que la alegación de que el miedo le habría llevado a no denunciar en ese momento al forense la situación de torturas que estaba padeciendo no se puede compartir, ya que (i) una vez superada esa invocada situación de miedo, es decir, una vez finalizado el periodo de detención, la denunciante no puso de manifiesto en su nuevo entorno, esto es, en prisión, esas torturas de las que supuestamente había sido víctima; y (ii) porque resulta cuando menos improbable que un médico forense, durante cinco días consecutivos, no detecte una situación tan grave como la descrita en la denuncia más allá del cansancio o la ansiedad ‘acorde a las circunstancias’ que se hace constar en los informes.</w:t>
      </w:r>
    </w:p>
    <w:p w:rsidR="00A90898" w:rsidRDefault="00A90898" w:rsidP="00A90898">
      <w:pPr>
        <w:pStyle w:val="TextoNormal"/>
      </w:pPr>
    </w:p>
    <w:p w:rsidR="00A90898" w:rsidRDefault="00A90898" w:rsidP="00A90898">
      <w:pPr>
        <w:pStyle w:val="TextoNormal"/>
      </w:pPr>
      <w:r>
        <w:t xml:space="preserve">Por otro lado, y respecto de la alegación de los medios de investigación judicial que quedarían por desarrollar, se argumenta que el derecho a la prueba no es absoluto y no tiene por qué ser admitida toda la solicitada por las partes cuando resulte innecesaria como era el caso, ya que (i) no parece que la denunciante pudiera aportar con su declaración ante el Juez algo más de lo que ya consta en las actuaciones; (ii) tampoco sería relevante la declaración </w:t>
      </w:r>
      <w:r>
        <w:lastRenderedPageBreak/>
        <w:t>de los médicos forenses que asistieron a la denunciante, pues los informes unidos al procedimiento tiene un contenido fácilmente inteligible, sin perjuicio de su valoración; y (iii) respecto de las restantes diligencias solicitadas nada permitiría pensar que su resultado pudiera dar lugar a una resolución distinta del proceso.</w:t>
      </w:r>
    </w:p>
    <w:p w:rsidR="00A90898" w:rsidRDefault="00A90898" w:rsidP="00A90898">
      <w:pPr>
        <w:pStyle w:val="TextoNormal"/>
      </w:pPr>
    </w:p>
    <w:p w:rsidR="00A90898" w:rsidRDefault="00A90898" w:rsidP="00A90898">
      <w:pPr>
        <w:pStyle w:val="TextoNormal"/>
      </w:pPr>
      <w:r w:rsidRPr="00A90898">
        <w:rPr>
          <w:rStyle w:val="NumeroAFNegritaCaracter"/>
        </w:rPr>
        <w:t>4</w:t>
      </w:r>
      <w:r>
        <w:t>. La aplicación al caso de la anteriormente expuesta doctrina constitucional sobre esta materia determina que deba concluirse que la decisión de archivar las diligencias penales abiertas como consecuencia de la denuncia por torturas de la recurrente no pueda considerarse conforme con las exigencias derivadas del deber de tutela judicial sobre este tipo de denuncias. En el momento del cierre de la instrucción, tal como también ha señalado el Ministerio Fiscal, existían todavía medios de investigación disponibles para tratar de despejar, en el sentido que fuera, la realidad de los hechos denunciados por la demandante de amparo.</w:t>
      </w:r>
    </w:p>
    <w:p w:rsidR="00A90898" w:rsidRDefault="00A90898" w:rsidP="00A90898">
      <w:pPr>
        <w:pStyle w:val="TextoNormal"/>
      </w:pPr>
    </w:p>
    <w:p w:rsidR="00A90898" w:rsidRDefault="00A90898" w:rsidP="00A90898">
      <w:pPr>
        <w:pStyle w:val="TextoNormal"/>
      </w:pPr>
      <w:r>
        <w:t>En efecto, en el presente caso la veracidad de los hechos denunciados pudiera no ser contundente si se enfrentan a la no discutible circunstancia de que la ahora recurrente no solo no afirmó en las siete ocasiones en que fue reconocida por el médico forense haber sido objeto de cualquier trato inadecuado, sino que expresamente negó esa circunstancia. No obstante, desde la perspectiva y enjuiciamiento de esta jurisdicción de amparo, la gravedad de los hechos denunciados y el carácter absoluto de la prohibición del sometimiento a tortura y tratos inhumanos o degradantes eran suficientes para que, de conformidad con la jurisprudencia de este Tribunal y la del Tribunal Europeo de Derechos Humanos, debiera haberse perseverado en una indagación judicial apenas iniciada, ya que la única actividad instructora desarrollada fue solicitar el testimonio del atestado policial e informes médico-forenses relativos a la denunciante con motivo de la detención incomunicada de la que fue objeto.</w:t>
      </w:r>
    </w:p>
    <w:p w:rsidR="00A90898" w:rsidRDefault="00A90898" w:rsidP="00A90898">
      <w:pPr>
        <w:pStyle w:val="TextoNormal"/>
      </w:pPr>
    </w:p>
    <w:p w:rsidR="00A90898" w:rsidRDefault="00A90898" w:rsidP="00A90898">
      <w:pPr>
        <w:pStyle w:val="TextoNormal"/>
      </w:pPr>
      <w:r>
        <w:t>Así, en primer lugar, no cabe admitir como argumento para una clausura anticipada de la instrucción de un delito por torturas que la denunciante negara haber sufrido malos tratos en sus repetidos reconocimientos por el médico forense, ya que, como ha sido reiterado en numerosos pronunciamientos por este Tribunal, “tampoco es un argumento suficientemente concluyente el que el recurrente haya manifestado al médico forense no haber sufrido violencia física o psíquica, o que el trato policial ha sido correcto. Como destaca el Ministerio Fiscal, el recurrente justificó su actuación ante el forense argumentando que tenía miedo a los policías, bajo cuya custodia seguiría en régimen de incomunicación cuando se fuera el médico, y constituye una exigencia de racionalidad que la valoración las declaraciones previas del denunciante ante los médicos, la policía o los órganos judiciales repare en que ‘el efecto de la violencia ejercida sobre la libertad y las posibilidades de autodeterminación del individuo no deja de producirse en el momento en el que físicamente cesa aquélla, sino que su virtualidad coactiva puede pervivir, y normalmente lo hará, más allá de su práctica efectiva’ (entre las más recientes, SSTC 34/2008, de 25 de febrero, FJ 7; 52/2008, de 14 de abril, FJ 2; 69/2008, de 23 de junio, FJ 2; y 63/2010, de 18 de octubre, FJ 3)” (STC 131/2012, de 18 de junio, FJ 4).</w:t>
      </w:r>
    </w:p>
    <w:p w:rsidR="00A90898" w:rsidRDefault="00A90898" w:rsidP="00A90898">
      <w:pPr>
        <w:pStyle w:val="TextoNormal"/>
      </w:pPr>
    </w:p>
    <w:p w:rsidR="00A90898" w:rsidRDefault="00A90898" w:rsidP="00A90898">
      <w:pPr>
        <w:pStyle w:val="TextoNormal"/>
      </w:pPr>
      <w:r>
        <w:t xml:space="preserve">En relación con ello, además, tampoco el argumento utilizado por el órgano judicial de apelación —para contrarrestar la alegación de que el miedo la habría llevado a no denunciar en ese momento al forense la situación— de que una vez finalizado el periodo de detención no denunció esa circunstancia tampoco resulta asumible desde una perspectiva constitucional. Por un lado, debe recordarse que este Tribunal ha establecido que “el que el recurrente </w:t>
      </w:r>
      <w:r>
        <w:lastRenderedPageBreak/>
        <w:t>presentara su denuncia varios meses después de haberse supuestamente producido los hechos y sin que previamente hubiera dicho nada sobre ellos en su primera comparecencia judicial no es tampoco razón determinante para negar toda credibilidad a la denuncia” (así, STC 107/2008, de 22 de septiembre, FJ 3; o STC 12/2013, de 28 de enero, FJ 4); y, por otro, debe tomarse en consideración no solo que (i) fue expresamente hecho constar por la denunciante en su escrito que hizo un detallado relato del contenido de su denuncia ante el Juez Central de Instrucción en cuanto fue puesta a su disposición y, por tanto, con carácter absolutamente inmediato; sino que, además, (ii) la propia denuncia se produjo apenas ocho meses después de que se hubieran supuestamente cometido los hechos denunciados.</w:t>
      </w:r>
    </w:p>
    <w:p w:rsidR="00A90898" w:rsidRDefault="00A90898" w:rsidP="00A90898">
      <w:pPr>
        <w:pStyle w:val="TextoNormal"/>
      </w:pPr>
    </w:p>
    <w:p w:rsidR="00A90898" w:rsidRDefault="00A90898" w:rsidP="00A90898">
      <w:pPr>
        <w:pStyle w:val="TextoNormal"/>
      </w:pPr>
      <w:r>
        <w:t>En segundo lugar, tampoco puede resultar determinante hasta provocar el efecto preclusivo de una investigación sin perseverar en otras diligencias judiciales de investigación la afirmación de que resultaría improbable que un médico forense durante cinco días consecutivos no detecte una situación tan grave como la descrita en la denuncia más allá del cansancio o la ansiedad “acorde a las circunstancias” que se hace constar en los informes. Este Tribunal ha afirmado que “constituyen indicios que obligan al juez a perseverar en la investigación todos aquellos datos reflejados en partes médicos emitidos durante el periodo de detención que puedan avalar la sospecha de la existencia de maltrato físico o psíquico. Pero no puede afirmarse sin más que la inexistencia de los mismos (o su debilidad para sustentar la condena) excluya la necesidad de investigar, pues puede existir otro tipo de datos que —desde la perspectiva del deber de profundizar en la investigación— genere un panorama sospechoso potencialmente conectado con la existencia de torturas o malos tratos, incluso aunque los mismos fueran claramente insuficientes para sustentar una condena penal por delito de torturas o malos tratos (por ejemplo, la existencia de irregularidades o la quiebra de ciertas garantías del detenido, como son las visitas y los informes del médico forense, orientadas a preservar su derecho a la integridad física y moral), pues de lo que se trata en este momento es de precisar la obligación del Juez de investigar en estos casos” (así, SSTC 123/2008, de 20 de octubre, FJ 3; 182/2012, de 17 de octubre, FJ 5, o 12/2013, de 28 de enero, FJ 3).</w:t>
      </w:r>
    </w:p>
    <w:p w:rsidR="00A90898" w:rsidRDefault="00A90898" w:rsidP="00A90898">
      <w:pPr>
        <w:pStyle w:val="TextoNormal"/>
      </w:pPr>
    </w:p>
    <w:p w:rsidR="00A90898" w:rsidRDefault="00A90898" w:rsidP="00A90898">
      <w:pPr>
        <w:pStyle w:val="TextoNormal"/>
      </w:pPr>
      <w:r>
        <w:t xml:space="preserve">En el presente caso, como también afirma el Ministerio Fiscal, la lectura de los informes médico-forenses pone de manifiesto la existencia de determinados aspectos objetivos que, aun siendo compatibles con las circunstancias de estrés propias de una privación de libertad incomunicada con sometimiento a interrogatorio, no por ello permiten descartar otras etiologías concomitantes o concurrentes al modo en que se podía estar desarrollando la situación de privación de libertad y esos interrogatorios, especialmente teniendo en cuenta que los malos tratos denunciados no son tanto de cariz físico como psíquico. Así, cabe citar, por ejemplo, las reiteradas referencias a falta de apetito y a que se encontraba comida sin consumir en la celda; las menciones en los diversos informes de los días 26 a 27 de noviembre, a una situación de “ansiedad acorde a las circunstancias”, que provoca que se sistematice la prescripción de Lexatin 1,5; o que llegara a describirse por el médico en uno de sus informes como un hecho relevante para poner en conocimiento del juez que autorizó la detención incomunicada que “llora durante la entrevista, quiere que le dé la mano y en el transcurso de la misma se tranquiliza”. Pues bien, y hay que insistir en ello, lo determinante de estas circunstancias relatadas en los informes médicos forenses no es tanto que pudieran resultar compatibles o acorde con las circunstancias de la privación de libertad incomunicada a la </w:t>
      </w:r>
      <w:r>
        <w:lastRenderedPageBreak/>
        <w:t>que estaba sometida la recurrente, sino que, en sí misma consideradas, lo que tampoco permiten es descartar una etiología compatible o acorde con los hechos relatados en la denuncia.</w:t>
      </w:r>
    </w:p>
    <w:p w:rsidR="00A90898" w:rsidRDefault="00A90898" w:rsidP="00A90898">
      <w:pPr>
        <w:pStyle w:val="TextoNormal"/>
      </w:pPr>
    </w:p>
    <w:p w:rsidR="00A90898" w:rsidRDefault="00A90898" w:rsidP="00A90898">
      <w:pPr>
        <w:pStyle w:val="TextoNormal"/>
      </w:pPr>
      <w:r>
        <w:t>Por tanto, de todo lo expuesto hay que concluir que en el momento del cierre de la instrucción no cabía considerar despejadas las dudas que pervivían acerca de la posible comisión de los hechos denunciados, en tanto que, desde una perspectiva constitucional, los argumentos utilizados en la vía judicial no resultaban decisivos para un cierre anticipado de la investigación judicial de una denuncia por malos tratos policiales.</w:t>
      </w:r>
    </w:p>
    <w:p w:rsidR="00A90898" w:rsidRDefault="00A90898" w:rsidP="00A90898">
      <w:pPr>
        <w:pStyle w:val="TextoNormal"/>
      </w:pPr>
    </w:p>
    <w:p w:rsidR="00A90898" w:rsidRDefault="00A90898" w:rsidP="00A90898">
      <w:pPr>
        <w:pStyle w:val="TextoNormal"/>
      </w:pPr>
      <w:r w:rsidRPr="00A90898">
        <w:rPr>
          <w:rStyle w:val="NumeroAFNegritaCaracter"/>
        </w:rPr>
        <w:t>5</w:t>
      </w:r>
      <w:r>
        <w:t>. Como ya se ha expuesto, la jurisprudencia constitucional, al igual que la del Tribunal Europeo de Derechos Humanos, también ha hecho especial incidencia en que no cabe el archivo de la investigación judicial de una denuncia por torturas o tratos inhumanos o degradantes sin haber desarrollado una exhaustiva investigación agotando todos los medios razonables y eficaces de indagación.</w:t>
      </w:r>
    </w:p>
    <w:p w:rsidR="00A90898" w:rsidRDefault="00A90898" w:rsidP="00A90898">
      <w:pPr>
        <w:pStyle w:val="TextoNormal"/>
      </w:pPr>
    </w:p>
    <w:p w:rsidR="00A90898" w:rsidRDefault="00A90898" w:rsidP="00A90898">
      <w:pPr>
        <w:pStyle w:val="TextoNormal"/>
      </w:pPr>
      <w:r>
        <w:t xml:space="preserve">Tampoco desde esta perspectiva se puede afirmar que la tutela prestada por los órganos judiciales haya sido constitucionalmente suficiente. La falta de credibilidad de la denuncia basada en que el miedo no podía ser una causa confiable de la falta de puesta en conocimiento del médico forense de los malos tratos, ya que la ahora demandante de amparo no había denunciado esa circunstancia una vez finalizada la privación de libertad, podría haber sido desmentida o corroborada por el testimonio inmediato de la denunciante, que constituye, como antes se ha señalado, un medio de indagación particularmente idóneo al respecto. Del mismo modo, tomando en consideración que (i) la denunciante había afirmado que sí relató los malos tratos tan pronto fue puesta a disposición del Juzgado Central de Instrucción que había autorizado su detención incomunicada; y (ii) que pidió expresamente como una diligencia judicial más para acreditar ese extremo que se solicitara testimonio de esa concreta declaración, y se insistió en ello en los sucesivos recursos de reforma y apelación, no es acorde con la doctrina constitucional que no se hubiera practicado esta diligencia de requerir testimonio de esta declaración para verificar la realidad de lo relatado en la denuncia sobre ese particular. De utilidad instructora podría resultar también, en este contexto típico de escasez probatoria, por ejemplo, (i) la declaración del médico forense que practicó los diferentes reconocimientos médicos en indagación de la etiología de las circunstancias referidas a la situación de la denunciante que se recogían en los informes médicos; (ii) la declaración del Abogado de oficio que asistió a la detenida y que, por lo tanto, percibió su situación física y pudo ser destinatario de alguna afirmación relevante del mismo acerca del trato recibido; (iii) la emisión de ulteriores informes forenses sobre eventuales indicios de secuelas compatibles con el padecimiento de las conductas objetos de denuncia; y, desde luego, (iv) tomando en consideración las recientes SSTEDH de 7 de octubre de 2014, </w:t>
      </w:r>
      <w:r w:rsidRPr="00A90898">
        <w:rPr>
          <w:i/>
        </w:rPr>
        <w:t>Ataun Rojo c. España</w:t>
      </w:r>
      <w:r>
        <w:t xml:space="preserve">; de 7 de octubre de 2014, asunto </w:t>
      </w:r>
      <w:r w:rsidRPr="00A90898">
        <w:rPr>
          <w:i/>
        </w:rPr>
        <w:t>Etxebarria Caballero c. España</w:t>
      </w:r>
      <w:r>
        <w:t xml:space="preserve">; de 5 de mayo de 2015, asunto </w:t>
      </w:r>
      <w:r w:rsidRPr="00A90898">
        <w:rPr>
          <w:i/>
        </w:rPr>
        <w:t>Arratibel Garciandia c. España; y</w:t>
      </w:r>
      <w:r>
        <w:t xml:space="preserve"> de 31 de mayo de 2016, asunto </w:t>
      </w:r>
      <w:r w:rsidRPr="00A90898">
        <w:rPr>
          <w:i/>
        </w:rPr>
        <w:t>Beortegui Martínez c. España</w:t>
      </w:r>
      <w:r>
        <w:t>, en la medida en que las denuncias por tortura se han producido en el marco de una situación de detención incomunicada, la declaración de los agentes a cargo de la vigilancia del denunciante durante ese periodo de detención respecto de los hechos relatados y la práctica de eventuales acciones en el marco de esas detenciones incomunicadas, incluyendo el hecho de interrogatorios sin presencia del letrado de oficio o la permanencia en determinadas situaciones posturales.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En conclusión, habida cuenta de que frente a la denuncia de torturas no se produjo una investigación judicial exhaustiva y eficaz, ya que, aunque se emprendió prontamente la investigación judicial y tuvo cierto contenido, se clausuró cuando existían aún medios de instrucción disponibles para continuar con la investigación sobre la realidad de los hechos denunciados, procede otorgar el amparo por vulneración del derecho a la tutela judicial efectiva (art. 24.1 CE), en relación con el derecho a no ser sometido a tortura o tratos inhumanos o degradantes (art. 15 CE).</w:t>
      </w:r>
    </w:p>
    <w:p w:rsidR="00A90898" w:rsidRDefault="00A90898" w:rsidP="00A90898">
      <w:pPr>
        <w:pStyle w:val="TextoNormal"/>
      </w:pPr>
    </w:p>
    <w:p w:rsidR="00A90898" w:rsidRDefault="00A90898" w:rsidP="00A90898">
      <w:pPr>
        <w:pStyle w:val="TextoNormal"/>
      </w:pPr>
      <w:r>
        <w:t>El restablecimiento de la recurrente en la integridad de su derecho exige, tal como se viene argumentando en la jurisprudencia constitucional en la materia, la anulación de los Autos impugnados y la retroacción de actuaciones para que se dispense a la recurrente la tutela judicial demandada (así, SSTC 153/2013, de 9 de septiembre, FJ 7; 131/2012, de 18 de junio, FJ 6; 63/2010, de 18 de octubre, FJ 4; 107/2008, de 22 de septiembre, FJ 4; 69/2008, de 23 de junio, FJ 6, o 52/2008, de 14 de abril, FJ 6).</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doña Garazi Rodríguez Rubio y, en su virtud:</w:t>
      </w:r>
    </w:p>
    <w:p w:rsidR="00A90898" w:rsidRDefault="00A90898" w:rsidP="00A90898">
      <w:pPr>
        <w:pStyle w:val="TextoNormal"/>
      </w:pPr>
    </w:p>
    <w:p w:rsidR="00A90898" w:rsidRDefault="00A90898" w:rsidP="00A90898">
      <w:pPr>
        <w:pStyle w:val="TextoNormal"/>
      </w:pPr>
      <w:r>
        <w:t>1º Declarar que ha sido vulnerado el derecho fundamental de la demandante a la tutela judicial efectiva sin indefensión (art. 24.1 CE), en relación con el derecho a no ser sometido a torturas ni a tratos inhumanos o degradantes (art. 15 CE).</w:t>
      </w:r>
    </w:p>
    <w:p w:rsidR="00A90898" w:rsidRDefault="00A90898" w:rsidP="00A90898">
      <w:pPr>
        <w:pStyle w:val="TextoNormal"/>
      </w:pPr>
    </w:p>
    <w:p w:rsidR="00A90898" w:rsidRDefault="00A90898" w:rsidP="00A90898">
      <w:pPr>
        <w:pStyle w:val="TextoNormal"/>
      </w:pPr>
      <w:r>
        <w:t>2º Restablecerle en su derecho y, en consecuencia, declarar la nulidad de los Autos del Juzgado de Instrucción núm. 29 de Madrid de 22 de diciembre de 2010 y 13 de junio de 2012, dictados en las diligencias previas núm. 4995-2010, y el Auto de la Sección Vigesimonovena de la Audiencia Provincial de Madrid de 22 de noviembre de 2012, dictado en el rollo de apelación núm. 499-2012.</w:t>
      </w:r>
    </w:p>
    <w:p w:rsidR="00A90898" w:rsidRDefault="00A90898" w:rsidP="00A90898">
      <w:pPr>
        <w:pStyle w:val="TextoNormal"/>
      </w:pPr>
    </w:p>
    <w:p w:rsidR="00A90898" w:rsidRDefault="00A90898" w:rsidP="00A90898">
      <w:pPr>
        <w:pStyle w:val="TextoNormal"/>
      </w:pPr>
      <w:r>
        <w:t>3º Retrotraer las actuaciones al momento inmediatamente anterior al pronunciamiento de la primera de las citadas resoluciones para que el Juzgado de Instrucción núm. 29 de Madrid dicte una nueva respetuosa con el derecho fundamental vulnerado.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 w:name="SENTENCIA_2016_131"/>
      <w:r>
        <w:lastRenderedPageBreak/>
        <w:t>SENTENCIA 131/2016, de 18 de julio de 2016</w:t>
      </w:r>
    </w:p>
    <w:bookmarkEnd w:id="10"/>
    <w:p w:rsidR="00A90898" w:rsidRDefault="00A90898" w:rsidP="00A90898">
      <w:pPr>
        <w:pStyle w:val="TtuloResolucin"/>
      </w:pPr>
      <w:r>
        <w:t>Sala Segunda</w:t>
      </w:r>
    </w:p>
    <w:p w:rsidR="00A90898" w:rsidRDefault="00A90898" w:rsidP="00A90898">
      <w:pPr>
        <w:pStyle w:val="TtuloBOE"/>
      </w:pPr>
      <w:r>
        <w:t>(BOE núm. 196, de 15 de agosto de 2016)</w:t>
      </w:r>
    </w:p>
    <w:p w:rsidR="00A90898" w:rsidRDefault="00A90898" w:rsidP="00A90898">
      <w:pPr>
        <w:pStyle w:val="TextoNormalCentrado"/>
      </w:pPr>
      <w:r>
        <w:t>ECLI:ES:TC:2016:131</w:t>
      </w:r>
    </w:p>
    <w:p w:rsidR="00A90898" w:rsidRDefault="00A90898" w:rsidP="00A90898">
      <w:pPr>
        <w:pStyle w:val="TextoNormalCentrado"/>
      </w:pPr>
    </w:p>
    <w:p w:rsidR="00A90898" w:rsidRDefault="00A90898" w:rsidP="00A90898">
      <w:pPr>
        <w:pStyle w:val="SntesisDescriptiva"/>
      </w:pPr>
      <w:r>
        <w:t>Recurso de amparo 5646-2014. Promovido por don Boujemaa Akabli en relación con la Sentencia del Tribunal Superior de Justicia de la Comunidad Valenciana desestimatoria, en apelación, del recurso interpuesto frente a resolución sancionadora en materia de extranjería dictada por la Subdelegación del Gobierno en Valencia.</w:t>
      </w:r>
    </w:p>
    <w:p w:rsidR="00A90898" w:rsidRDefault="00A90898" w:rsidP="00A90898">
      <w:pPr>
        <w:pStyle w:val="SntesisDescriptiva"/>
      </w:pPr>
    </w:p>
    <w:p w:rsidR="00A90898" w:rsidRDefault="00A90898" w:rsidP="00A90898">
      <w:pPr>
        <w:pStyle w:val="SntesisAnaltica"/>
      </w:pPr>
      <w:r>
        <w:t>Vulneración del derecho a la tutela judicial efectiva: resoluciones administrativa y judicial que no ponderan las circunstancias familiares y de arraigo al acordar la expulsión de un extranjero del territorio nacional (STC 140/2009).</w:t>
      </w:r>
    </w:p>
    <w:p w:rsidR="00A90898" w:rsidRDefault="00A90898" w:rsidP="00A90898">
      <w:pPr>
        <w:pStyle w:val="SntesisAnaltica"/>
      </w:pPr>
    </w:p>
    <w:p w:rsidR="00A90898" w:rsidRDefault="00A90898" w:rsidP="00A90898">
      <w:pPr>
        <w:pStyle w:val="Extracto"/>
      </w:pPr>
      <w:r>
        <w:t>1.</w:t>
      </w:r>
      <w:r>
        <w:tab/>
        <w:t>La imposición de una sanción de expulsión no depende de la absoluta discrecionalidad de la Administración, sino que la ley establece ciertos presupuestos objetivos y subjetivos que la condicionan normativamente, en concreción del principio de proporcionalidad y de los criterios de graduación de la sanción a aplicar [FJ 4].</w:t>
      </w:r>
    </w:p>
    <w:p w:rsidR="00A90898" w:rsidRDefault="00A90898" w:rsidP="00A90898">
      <w:pPr>
        <w:pStyle w:val="Extracto"/>
      </w:pPr>
    </w:p>
    <w:p w:rsidR="00A90898" w:rsidRDefault="00A90898" w:rsidP="00A90898">
      <w:pPr>
        <w:pStyle w:val="Extracto"/>
      </w:pPr>
      <w:r>
        <w:t>2.</w:t>
      </w:r>
      <w:r>
        <w:tab/>
        <w:t xml:space="preserve">El deber motivación de los actos administrativos es un mandato derivado de normas que se mueven en el ámbito de la legalidad ordinaria; y alcanza una dimensión constitucional que lo hace objeto de control a través del recurso de amparo cuando se trate de resoluciones en las que la Administración ejerza potestades sancionadoras. El deber de motivación en el ámbito del ejercicio del </w:t>
      </w:r>
      <w:r w:rsidRPr="00A90898">
        <w:rPr>
          <w:i/>
        </w:rPr>
        <w:t>ius puniendi</w:t>
      </w:r>
      <w:r>
        <w:t xml:space="preserve"> incluye no sólo la obligación de fundamentar los hechos y la calificación jurídica, sino también la sanción a imponer (STC 140/2009) [FJ 5].</w:t>
      </w:r>
    </w:p>
    <w:p w:rsidR="00A90898" w:rsidRDefault="00A90898" w:rsidP="00A90898">
      <w:pPr>
        <w:pStyle w:val="Extracto"/>
      </w:pPr>
    </w:p>
    <w:p w:rsidR="00A90898" w:rsidRDefault="00A90898" w:rsidP="00A90898">
      <w:pPr>
        <w:pStyle w:val="Extracto"/>
      </w:pPr>
      <w:r>
        <w:t>3.</w:t>
      </w:r>
      <w:r>
        <w:tab/>
        <w:t>El margen de discrecionalidad otorgado por la norma sancionadora no constituye por sí mismo justificación suficiente de la decisión finalmente adoptada, sino que, por el contrario, el ejercicio de la facultad de sancionar viene condicionado estrechamente por la exigencia de que la resolución esté motivada, pues sólo así puede procederse a su control posterior en evitación de toda arbitrariedad (STC 140/2009) [FJ 5].</w:t>
      </w:r>
    </w:p>
    <w:p w:rsidR="00A90898" w:rsidRDefault="00A90898" w:rsidP="00A90898">
      <w:pPr>
        <w:pStyle w:val="Extracto"/>
      </w:pPr>
    </w:p>
    <w:p w:rsidR="00A90898" w:rsidRDefault="00A90898" w:rsidP="00A90898">
      <w:pPr>
        <w:pStyle w:val="Extracto"/>
      </w:pPr>
      <w:r>
        <w:t>4.</w:t>
      </w:r>
      <w:r>
        <w:tab/>
        <w:t>La Administración se limita a rechazar las alegaciones del recurrente mediante fórmulas estereotipadas, en lugar de llevar a cabo una motivación más detallada y apegada al caso, en la que se ponderaran de manera constitucionalmente adecuada los derechos en juego y sus circunstancias personales y familiares [FJ 5].</w:t>
      </w:r>
    </w:p>
    <w:p w:rsidR="00A90898" w:rsidRDefault="00A90898" w:rsidP="00A90898">
      <w:pPr>
        <w:pStyle w:val="Extracto"/>
      </w:pPr>
    </w:p>
    <w:p w:rsidR="00A90898" w:rsidRDefault="00A90898" w:rsidP="00A90898">
      <w:pPr>
        <w:pStyle w:val="Extracto"/>
      </w:pPr>
      <w:r>
        <w:t>5.</w:t>
      </w:r>
      <w:r>
        <w:tab/>
        <w:t>Tanto la resolución administrativa como la Sentencia de apelación vulneraron el derecho a la tutela judicial efectiva del recurrente; en consecuencia, procede declarar la nulidad de la Sentencia de apelación, lo que comporta la firmeza de la Sentencia del Juzgado de lo Contencioso-Administrativo que anuló la resolución administrativa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 xml:space="preserve">La Sala Segunda del Tribunal Constitucional, compuesta por doña Adela Asua Batarrita, Presidenta, don Fernando Valdés Dal-Ré, don Juan José González Rivas, don Pedro José </w:t>
      </w:r>
      <w:r>
        <w:lastRenderedPageBreak/>
        <w:t>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5646-2014, promovido por don Boujemaa Akabli, representado por la Procuradora de los Tribunales doña Eugenia Merelo Fos, bajo la dirección de la Letrada doña Farah Attari Stouti, contra la resolución de la Subdelegación del Gobierno en Valencia, de 11 de octubre de 2011, que acordó imponer al actor la sanción de expulsión del territorio nacional, con prohibición de entrada en el mismo por un período de cinco años, así como contra la Sentencia de la Sección Primera de la Sala de lo Contencioso-Administrativo del Tribunal Superior de Justicia de la Comunidad Valenciana, de fecha 23 de julio de 2014, que estimó el recurso de apelación interpuesto por la Abogada del Estado contra la Sentencia del Juzgado de lo Contencioso-Administrativo núm. 5 de Valencia, de 4 de diciembre de 2012, estimatoria del recurso contencioso-administrativo formulado por el demandante contra la reseñada resolución administrativa. Ha sido parte la Abogada del Estado, en la representación que ostenta, y ha intervenido el Ministerio Fiscal.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escrito presentado en el Registro Único de Valencia el 11 de septiembre de 2014, don Boujemaa Akabli, representado por la Procuradora de los Tribunales doña Eugenia Merelo Fos, bajo la dirección de la Letrada doña Farah Attari Stouti, interpuso recurso de amparo contra las resoluciones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La demanda trae causa de los siguientes hechos:</w:t>
      </w:r>
    </w:p>
    <w:p w:rsidR="00A90898" w:rsidRDefault="00A90898" w:rsidP="00A90898">
      <w:pPr>
        <w:pStyle w:val="TextoNormal"/>
      </w:pPr>
    </w:p>
    <w:p w:rsidR="00A90898" w:rsidRDefault="00A90898" w:rsidP="00A90898">
      <w:pPr>
        <w:pStyle w:val="TextoNormal"/>
      </w:pPr>
      <w:r>
        <w:t xml:space="preserve">a) Con fecha de 5 de octubre de 2011, el demandante fue detenido por poder encontrarse incurso en el ámbito de aplicación del artículo 57.2 de la Ley Orgánica 4/2000, de 11 de enero, sobre derechos y libertades de los extranjeros en España y su integración social, y en esa misma fecha se acordó la incoación de un procedimiento preferente de expulsión, caracterizándolo como expediente sancionador y haciendo constar que, consultados los servicios informáticos de la Dirección General de la Policía y la Guardia Civil, “le constan dos prohibiciones de entrada, una por Bélgica y otra por Holanda, así mismo fue condenado por las autoridades de Bélgica a una pena de prisión de tres años” (en mayúsculas en el original). También se hizo constar que el detenido tenía concedida autorización de residencia permanente datada el 27 de enero de 2006, que quedaría extinguida con la expulsión, de acuerdo a lo previsto en el artículo 57.4 de la Ley Orgánica 4/2000. En ese mismo momento se le concedió un plazo de 48 horas para formular las alegaciones que tuviera por convenientes y para proponer la prueba que considerase necesaria. Asimismo, se acordó en igual fecha la </w:t>
      </w:r>
      <w:r>
        <w:lastRenderedPageBreak/>
        <w:t>medida cautelar de retirada de la tarjeta de residencia y la presentación periódica ante la Brigada Local de Extranjería y Fronteras de Gandía los lunes de cada mes.</w:t>
      </w:r>
    </w:p>
    <w:p w:rsidR="00A90898" w:rsidRDefault="00A90898" w:rsidP="00A90898">
      <w:pPr>
        <w:pStyle w:val="TextoNormal"/>
      </w:pPr>
    </w:p>
    <w:p w:rsidR="00A90898" w:rsidRDefault="00A90898" w:rsidP="00A90898">
      <w:pPr>
        <w:pStyle w:val="TextoNormal"/>
      </w:pPr>
      <w:r>
        <w:t>En ese expediente consta también un primer documento de Sirene España, datado el 19 de septiembre de 2011, en el que figura la respuesta informática emitida por Sirene Bélgica a una previa solicitud de información sobre el ahora demandante de amparo, en la que se indica que “la persona de que se trata era culpable de venta y/o posesión de narcóticos, conspiración criminal. Él fue metido en el sistema SIS el 14.08.2007 con fecha de finalización: 07.10.2017”. Un segundo documento, de la misma procedencia, y fechado el 27 de septiembre de 2009, contiene el siguiente texto: “El 27 de abril de 2007, Akabli fue condenado a una sentencia definitiva de 3 años de prisión (con una suspensión temporal de la pena/un indulto, de 5 años excepto 2 años efectivos) por haber reincidido en hacer, guardar, vender y ofrecer, dar o comprar drogas, tales como heroína y cocaína. Esta ofensa es un acto de participación en la actividad principal o complementaria de una conspiración criminal. Las autoridades españolas se negaron a traer a la persona una vez puesta en libertad. Más allá de esta negativa de las autoridades españolas, fu repatriado a Casablanca e introducido en el SIS”.</w:t>
      </w:r>
    </w:p>
    <w:p w:rsidR="00A90898" w:rsidRDefault="00A90898" w:rsidP="00A90898">
      <w:pPr>
        <w:pStyle w:val="TextoNormal"/>
      </w:pPr>
    </w:p>
    <w:p w:rsidR="00A90898" w:rsidRDefault="00A90898" w:rsidP="00A90898">
      <w:pPr>
        <w:pStyle w:val="TextoNormal"/>
      </w:pPr>
      <w:r>
        <w:t>En el procedimiento tramitado constan dos escritos de alegaciones del demandante de amparo, si bien sólo aparece firmado y sellado el presentado el 7 de octubre de 2011, en el que manifestó, en síntesis, que tenía previsto solicitar la nacionalidad española, que tenía permiso de residencia porque vivía en España desde hacía 15 años e indicaba que la orden de expulsión vulneraba su derecho a la defensa, dado que se debía haber revocado con carácter previo su permiso de residencia. Además, señaló que la pena por la que se le condenó en Bélgica fue de ocho meses y no de tres años, y que no se había comprobado si la misma estaba cancelada o no y por qué tiempo, ya que no constaba en el expediente ningún documento al respecto. Igualmente, manifestó que vivía en Gandía con su familia, acompañando libro de familia, tarjeta de residencia de su esposa y sus dos hijos, tarjeta censal como autónomo y declaración de la renta, así como cuenta bancaria, añadiendo que disponía de capacidad económica para atender sus necesidades e, incluso, la sanción que se le pudiera imponer. Por ello manifestaba que tenía arraigo en España y que se debía archivar el procedimiento de expulsión. En su calidad de residente en el país, invocaba la aplicación de los derechos y obligaciones constitucionales, en especial, el art. 14 CE, en relación con el 13. Finalmente se refería a la jurisprudencia según la cual sólo se puede expulsar a un extranjero del territorio nacional después de un proceso y con una decisión conforme a la ley, y con todas las garantías, entre ellas que se siga el procedimiento legalmente establecido, con la práctica de pruebas que justifiquen la decisión y mediante resolución motivada.</w:t>
      </w:r>
    </w:p>
    <w:p w:rsidR="00A90898" w:rsidRDefault="00A90898" w:rsidP="00A90898">
      <w:pPr>
        <w:pStyle w:val="TextoNormal"/>
      </w:pPr>
    </w:p>
    <w:p w:rsidR="00A90898" w:rsidRDefault="00A90898" w:rsidP="00A90898">
      <w:pPr>
        <w:pStyle w:val="TextoNormal"/>
      </w:pPr>
      <w:r>
        <w:t xml:space="preserve">b) El Subdelegado del Gobierno en Valencia dictó Resolución el 11 de octubre de 2011, en la que acordó: “Imponer a D./Dª Boujemaa Akabli la sanción de expulsión del territorio nacional, con la consiguiente prohibición de entrada en el mismo por período de 5 años”. En los antecedentes de hecho de la resolución, además de reflejar que le constan dos prohibiciones de entrada, una por Bélgica y otra por Holanda, y que fue condenado en Bélgica a una pena de prisión de tres años, se hizo constar que “presentó alegaciones dentro del plazo de 48 horas legalmente establecido, la cual (sic) fueron consideradas improcedentes al no desvirtuar los hechos que motivaron la apertura del presente expediente”. Como hechos probados figuraban en la resolución los siguientes: “El/La ciudadano de Marruecos Boujemaa Akabli ha sido detenido en numerosas ocasiones habiendo sido condenado en España </w:t>
      </w:r>
      <w:r>
        <w:lastRenderedPageBreak/>
        <w:t>por una conducta dolosa que constituye en nuestro país delito sancionado con una pena privativa de libertad superior a un año. Lo anterior constituye una infracción tipificada en el Art. 57.2 de la L.O. 4/2000, de 11 de enero y sus reformas, sobre derechos y libertades de los extranjeros en España y su integración social”.</w:t>
      </w:r>
    </w:p>
    <w:p w:rsidR="00A90898" w:rsidRDefault="00A90898" w:rsidP="00A90898">
      <w:pPr>
        <w:pStyle w:val="TextoNormal"/>
      </w:pPr>
    </w:p>
    <w:p w:rsidR="00A90898" w:rsidRDefault="00A90898" w:rsidP="00A90898">
      <w:pPr>
        <w:pStyle w:val="TextoNormal"/>
      </w:pPr>
      <w:r>
        <w:t>c) Contra la mencionada resolución, el interesado formuló recurso contencioso-administrativo, en el que solicitó la medida cautelar de suspensión del acto impugnado, que fue denegada por el Juzgado de lo Contencioso-Administrativo núm. 5 de Valencia. No obstante, la Sala de lo Contencioso-Administrativo del Tribunal Superior de Justicia de la Comunidad Valenciana la concedió en apelación. El recurso contencioso-administrativo fue estimado por Sentencia del Juzgado de lo Contencioso-Administrativo núm. 5 de Valencia de 4 de diciembre de 2012, que anuló la resolución administrativa impugnada. Aplica la Sentencia lo dispuesto en el artículo 57.5 de la Ley 4/2000, deduciendo que a los residentes de larga duración no se les puede imponer la sanción de expulsión salvo que hubieren cometido una infracción muy grave de las previstas en el art. 54.1 a) de la misma Ley Orgánica, es decir, salvo que hubieren participado en actividades contrarias a la seguridad nacional o que pudieren perjudicar las relaciones de España con otros países o estuvieren implicados en actividades contrarias al orden público previstas como infracciones muy graves en los arts. 23 y 24 de la Ley Orgánica sobre protección de la seguridad ciudadana. Y continúa afirmando la Sentencia que, en el caso enjuiciado, aunque consta que al recurrente se le había impuesto por Sentencia de los tribunales belgas una pena de tres años por la comisión de un delito contra la salud pública, no se había acreditado por la Administración que los hechos por los que fue condenado fueran constitutivos de la infracción del art. 23 de la Ley Orgánica sobre protección de la seguridad ciudadana. En consecuencia, dado que era residente de larga duración, no podía ser acordada su expulsión. La Sentencia se apoya en otra dictada por el Tribunal Superior de Justicia de Cantabria que, invocando jurisprudencia del Tribunal de Justicia de la Unión Europea y la Directiva 2003/109/CE, llegaba a la conclusión de que el artículo 57.2 de la Ley 4/2000 no puede ser interpretado en el sentido de permitir la expulsión automática, y que al residente de larga duración sólo se le puede expulsar de territorio nacional cuando represente una amenaza real y suficientemente grave para el orden público o la seguridad pública, y siempre valorando previamente las circunstancias personales de la persona afectada y las consecuencias de la expulsión para ella y su familia. A ello añade la Sentencia del Juzgado que, en el caso enjuiciado, resulta acreditado el arraigo familiar y social del recurrente, sin que exista constancia de que se haya visto implicado en causas penales distintas a la comentada.</w:t>
      </w:r>
    </w:p>
    <w:p w:rsidR="00A90898" w:rsidRDefault="00A90898" w:rsidP="00A90898">
      <w:pPr>
        <w:pStyle w:val="TextoNormal"/>
      </w:pPr>
    </w:p>
    <w:p w:rsidR="00A90898" w:rsidRDefault="00A90898" w:rsidP="00A90898">
      <w:pPr>
        <w:pStyle w:val="TextoNormal"/>
      </w:pPr>
      <w:r>
        <w:t xml:space="preserve">d) La Abogacía del Estado interpuso recurso de apelación contra la mencionada Sentencia, que fue estimado por la Sección Primera de la Sala de lo Contencioso-Administrativo del Tribunal Superior de Justicia de la Comunidad Valenciana, en Sentencia dictada el 23 de julio de 2014. Argumentó la Sala que la circunstancia de ser titular de una autorización de residencia permanente no impedía a la Administración acordar la expulsión al amparo del art. 57.2 de la Ley Orgánica 4/2000, porque dicha expulsión no tiene carácter sancionatorio, a pesar de que así se indique en la resolución administrativa, sino que es una medida que se acuerda legítimamente por el Estado español en el marco de su política de extranjería, y que se aplica a aquellos extranjeros que se encuentren en territorio español y sean condenados por delito doloso sancionado en España con pena privativa de libertad superior a un año. Por esa razón no es aplicable lo establecido en la Ley Orgánica 4/2000 para las sanciones, y, en particular, el art. 57.5, que impide la expulsión a los residentes de larga duración, </w:t>
      </w:r>
      <w:r>
        <w:lastRenderedPageBreak/>
        <w:t>ya que esa previsión únicamente es extensiva a los casos en los que se trata de una expulsión como medida sancionatoria. Tampoco resulta aplicable el principio de proporcionalidad (art. 55.3), ni es preciso analizar el posible arraigo de la persona a la que se va a aplicar la medida no sancionatoria de expulsión. Por ello, concluye la Sala, el pretendido arraigo del recurrente no impedía a la Administración acordar su expulsión al amparo del artículo 57.2 precitado, pues no tiene “tal circunstancia ninguna relevancia respecto a ese motivo de expulsión”.</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La demanda de amparo indica que se trata de una petición de amparo mixto, por cuanto imputa vulneraciones constitucionales a la resolución administrativa dictada por el Subdelegado del Gobierno en Valencia y también a la sentencia dictada por el Tribunal Superior de Justicia de la Comunidad Valenciana que estimó el recurso de apelación interpuesto por la Abogada del Estado contra la emitida por el Juzgado. Entiende que se ha vulnerado el derecho a la tutela judicial efectiva y el derecho a la defensa por la falta de motivación y acreditación de la concurrencia de los presupuestos para la aplicación del artículo 57.2 de la Ley Orgánica 4/2000, así como por la falta de valoración de lo establecido en el artículo 57.5 de la misma Ley, y también por la falta de ponderación de las circunstancias personales y especiales del supuesto que nos ocupa, en especial su arraigo familiar, pues tiene hijos escolarizados en España, su arraigo laboral, el tiempo de residencia en España, la existencia vínculos creados en nuestro país y la inexistencia de antecedentes en España, además de que, afirma, ni siquiera existe un documento oficial de los tribunales belgas que acredite efectivamente el delito por el que fue condenado, ni la pena impuesta, la fecha o el periodo para su cancelación. Añade que se aplica automáticamente la causa de expulsión prevista en el art. 57.2 de la Ley Orgánica 4/2000 sin tener en cuenta la doctrina del Tribunal Europeo de Derechos Humanos y del Tribunal de Justicia de la Unión Europea, que exige para la expulsión que la condena penal ponga de manifiesto un comportamiento que constituya una amenaza actual para el orden público, citando a tal efecto las Sentencias de 27 de octubre de 1997, </w:t>
      </w:r>
      <w:r w:rsidRPr="00A90898">
        <w:rPr>
          <w:i/>
        </w:rPr>
        <w:t>Boucherau</w:t>
      </w:r>
      <w:r>
        <w:t xml:space="preserve">, 30/77, Rec. P. 1999; de 19 de enero de 1999, </w:t>
      </w:r>
      <w:r w:rsidRPr="00A90898">
        <w:rPr>
          <w:i/>
        </w:rPr>
        <w:t>Calfa, C</w:t>
      </w:r>
      <w:r>
        <w:t xml:space="preserve">-348/96, Rec. P. I-11, y de 7 de junio de 2007, </w:t>
      </w:r>
      <w:r w:rsidRPr="00A90898">
        <w:rPr>
          <w:i/>
        </w:rPr>
        <w:t>Comision/Países Bajos, C</w:t>
      </w:r>
      <w:r>
        <w:t xml:space="preserve">-50/06, Rec. P. I-0000, e indicando que la reserva de orden público constituye una excepción al principio fundamental de la libre circulación de personas, que debe ser interpretada de manera restrictiva y cuyo alcance no puede ser determinado por los Estados miembros unilateralmente (Sentencia de 28 de octubre de 1975, </w:t>
      </w:r>
      <w:r w:rsidRPr="00A90898">
        <w:rPr>
          <w:i/>
        </w:rPr>
        <w:t>Rutili</w:t>
      </w:r>
      <w:r>
        <w:t xml:space="preserve">, 36/75, Rec. 1219, de 27 de abril de 2006, </w:t>
      </w:r>
      <w:r w:rsidRPr="00A90898">
        <w:rPr>
          <w:i/>
        </w:rPr>
        <w:t>Comisión/Alemania, C</w:t>
      </w:r>
      <w:r>
        <w:t xml:space="preserve">-441/02, Rec. P. I-3449), para concluir que, de acuerdo con una jurisprudencia europea reiterada, la utilización por parte de una autoridad nacional del concepto de orden público, aparte de la perturbación social que constituye toda infracción de la ley, requiere que exista una amenaza real y suficientemente grave que afecte a un interés fundamental de la sociedad, según la sentencia de 29 de abril de 2004, </w:t>
      </w:r>
      <w:r w:rsidRPr="00A90898">
        <w:rPr>
          <w:i/>
        </w:rPr>
        <w:t>Orfanopolousy Oliveri</w:t>
      </w:r>
      <w:r>
        <w:t xml:space="preserve">, C-482/01 y C-493/01, Rec. P. I-5257. Finaliza este apartado indicando que la sentencia del Tribunal Superior de Justicia tampoco tiene en cuenta las Directivas 2001/40/CE y 2003/109/CE, que fueron incorporadas a nuestro ordenamiento por la Ley Orgánica 2/2009. También transcribe parcialmente nuestra STC 46/2014, de 7 de abril, la STJUE de 23 de noviembre, de 2011, asunto </w:t>
      </w:r>
      <w:r w:rsidRPr="00A90898">
        <w:rPr>
          <w:i/>
        </w:rPr>
        <w:t>Tsaorudis</w:t>
      </w:r>
      <w:r>
        <w:t xml:space="preserve"> y otras resoluciones del Tribunal Europeo de Derechos Humanos.</w:t>
      </w:r>
    </w:p>
    <w:p w:rsidR="00A90898" w:rsidRDefault="00A90898" w:rsidP="00A90898">
      <w:pPr>
        <w:pStyle w:val="TextoNormal"/>
      </w:pPr>
    </w:p>
    <w:p w:rsidR="00A90898" w:rsidRDefault="00A90898" w:rsidP="00A90898">
      <w:pPr>
        <w:pStyle w:val="TextoNormal"/>
      </w:pPr>
      <w:r>
        <w:t xml:space="preserve">En segundo lugar, señala el recurrente en amparo que se ha vulnerado su derecho a la intimidad familiar del art. 18 CE, en relación con el art. 39 CE, al no haberse valorado las circunstancias de arraigo familiar del interesado en España, especialmente en relación a sus </w:t>
      </w:r>
      <w:r>
        <w:lastRenderedPageBreak/>
        <w:t>hijos, y cita el art. 3.1 de la Convención de las Naciones Unidas de 20 de noviembre de 1989, sobre derechos del niño.</w:t>
      </w:r>
    </w:p>
    <w:p w:rsidR="00A90898" w:rsidRDefault="00A90898" w:rsidP="00A90898">
      <w:pPr>
        <w:pStyle w:val="TextoNormal"/>
      </w:pPr>
    </w:p>
    <w:p w:rsidR="00A90898" w:rsidRDefault="00A90898" w:rsidP="00A90898">
      <w:pPr>
        <w:pStyle w:val="TextoNormal"/>
      </w:pPr>
      <w:r>
        <w:t>Por último, aduce que se ha vulnerado su derecho a la igualdad del art. 14 CE, fundándose en que, en casos idénticos al presente, se han dictado resoluciones distintas por los Tribunales Superiores de Justicia, incluso dentro del propio Tribunal Superior de Justicia de la Comunidad Valenciana, en el que la Sección Primera de la Sala de lo Contencioso-Administrativo está resolviendo en sentido diferente a la Sección Cuarta.</w:t>
      </w:r>
    </w:p>
    <w:p w:rsidR="00A90898" w:rsidRDefault="00A90898" w:rsidP="00A90898">
      <w:pPr>
        <w:pStyle w:val="TextoNormal"/>
      </w:pPr>
    </w:p>
    <w:p w:rsidR="00A90898" w:rsidRDefault="00A90898" w:rsidP="00A90898">
      <w:pPr>
        <w:pStyle w:val="TextoNormal"/>
      </w:pPr>
      <w:r>
        <w:t>En cuanto a la especial transcendencia constitucional del recurso, indica el demandante, en primer lugar, que ésta viene dada por la absoluta falta de respeto de la jurisprudencia constitucional en cuanto al deber de motivación de las resoluciones administrativas en el procedimiento sancionador, pero luego añade la necesidad de establecer una unidad de criterios en la materia, dada la variada doctrina y la existencia de sentencias contradictorias de los Tribunales Superiores de Justicia, ante supuestos idénticos (citando diversos pronunciamientos de varios Tribunales Superiores de Justicia), en respuesta a la expulsión prevista en el art. 57.2 de la Ley Orgánica 4/2000, especialmente en el caso de residentes de larga duración. Indica, también, que se trata de una cuestión no resuelta por este Tribunal y que trasciende del caso concreto, ya que plantea una cuestión jurídica de relevante y general repercusión social. Destaca la demanda, asimismo, que la redacción dada al art. 57 de la Ley Orgánica 4/2000 por la Ley Orgánica 2/2009 realiza la trasposición de la Directiva 2003/109/CE, de 25 de noviembre de 2003, relativa al estatuto de los nacionales de terceros países residentes de larga duración, que está siendo gravemente incumplida, a pesar de ser de obligado cumplimiento, en cuanto respecta a la aplicación de la discutida expulsión del art. 57.2, con descomedimiento de la doctrina establecida sobre el particular por el Tribunal Europeo de Derechos Humanos y por el Tribunal de Justicia de la Unión Europea. Por fin, afirma que se está desatendiendo la doctrina establecida por el Tribunal Europeo de Derechos Humanos, que configura el derecho a la vida familiar del art. 8 del Convenio europeo para la protección de los derechos humanos y de las libertades fundamentales (CEDH) como un límite a las expulsiones de los extranjeros, incluso en los casos en los que ha existido sanción penal.</w:t>
      </w:r>
    </w:p>
    <w:p w:rsidR="00A90898" w:rsidRDefault="00A90898" w:rsidP="00A90898">
      <w:pPr>
        <w:pStyle w:val="TextoNormal"/>
      </w:pPr>
    </w:p>
    <w:p w:rsidR="00A90898" w:rsidRDefault="00A90898" w:rsidP="00A90898">
      <w:pPr>
        <w:pStyle w:val="TextoNormal"/>
      </w:pPr>
      <w:r>
        <w:t>De acuerdo con todo lo expuesto, el demandante impetra que se reconozca el derecho a la tutela judicial efectiva, el derecho a la intimidad y el derecho a la igualdad, se declare la nulidad de la resolución administrativa que acordó la expulsión y de la Sentencia del Tribunal Superior de Justicia y que se le restablezca en la integridad de su derecho, acordando el mantenimiento del permiso de residencia de larga duración. Por medio de otrosí se solicita la suspensión de la resolución administrativa de expulsión.</w:t>
      </w:r>
    </w:p>
    <w:p w:rsidR="00A90898" w:rsidRDefault="00A90898" w:rsidP="00A90898">
      <w:pPr>
        <w:pStyle w:val="TextoNormal"/>
      </w:pPr>
    </w:p>
    <w:p w:rsidR="00A90898" w:rsidRDefault="00A90898" w:rsidP="00A90898">
      <w:pPr>
        <w:pStyle w:val="TextoNormal"/>
      </w:pPr>
      <w:r>
        <w:t>Con la demanda aporta el recurrente una certificación de antecedentes penales expedida por el fichero judicial central del Servicio Público Federal de Justicia de Bélgica, según la cual no le consta ningún antecedente penal hasta la fecha de 22 de agosto de 2014.</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Por medio de providencia de 2 de febrero de 2016, la Sección Tercera de este Tribunal acordó admitir a trámite el recurso de amparo apreciando que en el mismo concurre una especial trascendencia constitucional, porque el recurso puede dar ocasión al Tribunal para aclarar o cambiar su doctrina, como consecuencia de un proceso de reflexión interna [STC 155/2009, FJ 2 b)],porque la posible vulneración del derecho fundamental que se denuncia </w:t>
      </w:r>
      <w:r>
        <w:lastRenderedPageBreak/>
        <w:t>pudiera traer causa de una reiterada interpretación jurisprudencial de la ley que este Tribunal pudiera considerar lesiva del derecho fundamental [STC 155/2009, FJ 2 d)] y el asunto suscitado trasciende del caso concreto porque plantea una cuestión jurídica de relevante y general repercusión social o económica [STC 155/2009, FJ 2 g)]. Asimismo, en aplicación de lo dispuesto en el art. 51 de la Ley Orgánica del Tribunal Constitucional (LOTC), se ordenó dirigir atenta comunicación a la Sección Primera de la Sala de lo Contencioso-Administrativo del Tribunal Superior de Justicia de la Comunidad Valenciana y al Juzgado de lo Contencioso-Administrativo núm. 5 de Valencia, a fin de que, en el plazo de diez días, remitieran certificación o fotocopia adverada, respectivamente, de las actuaciones correspondientes al rollo de apelación núm. 190-2013 y al procedimiento abreviado núm. 723-2011, previo emplazamiento, por parte del Juzgado, a quienes hubieran sido parte en el procedimiento, excepto la parte recurrente en amparo, para que en el plazo de diez días pudieran comparecer en el recurso de amparo. En la misma providencia se acordó formar pieza separada para la tramitación del incidente de suspensión.</w:t>
      </w:r>
    </w:p>
    <w:p w:rsidR="00A90898" w:rsidRDefault="00A90898" w:rsidP="00A90898">
      <w:pPr>
        <w:pStyle w:val="TextoNormal"/>
      </w:pPr>
    </w:p>
    <w:p w:rsidR="00A90898" w:rsidRDefault="00A90898" w:rsidP="00A90898">
      <w:pPr>
        <w:pStyle w:val="TextoNormal"/>
      </w:pPr>
      <w:r w:rsidRPr="00A90898">
        <w:rPr>
          <w:rStyle w:val="NumeroAFNegritaCaracter"/>
        </w:rPr>
        <w:t>5</w:t>
      </w:r>
      <w:r>
        <w:t>. A través de providencia de la misma fecha, la Sección acordó conceder un plazo común de tres días al Ministerio Fiscal y a la parte recurrente en amparo para que alegaran lo que estimaran pertinente sobre la suspensión. Por ATC 47/2016, de 29 de febrero, la Sala Segunda acordó la suspensión de la ejecución de la resolución de la Subdelegación del Gobierno en Valencia de 11 de octubre de 2011, así como de la Sentencia de la Sección Primera de la Sala de lo Contencioso-Administrativo del Tribunal Superior de Justicia, de 23 de julio de 2014.</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presentado el 12 de febrero de 2016, la Abogada del Estado se personó en el presente procedimiento en la representación que ostenta.</w:t>
      </w:r>
    </w:p>
    <w:p w:rsidR="00A90898" w:rsidRDefault="00A90898" w:rsidP="00A90898">
      <w:pPr>
        <w:pStyle w:val="TextoNormal"/>
      </w:pPr>
    </w:p>
    <w:p w:rsidR="00A90898" w:rsidRDefault="00A90898" w:rsidP="00A90898">
      <w:pPr>
        <w:pStyle w:val="TextoNormal"/>
      </w:pPr>
      <w:r w:rsidRPr="00A90898">
        <w:rPr>
          <w:rStyle w:val="NumeroAFNegritaCaracter"/>
        </w:rPr>
        <w:t>7</w:t>
      </w:r>
      <w:r>
        <w:t>. Por medio de diligencia de ordenación de 3 de marzo de 2016 se tuvo por personado y parte en el procedimiento la Abogada del Estado y se acordó dar vista de las actuaciones recibidas a las partes personadas y al Ministerio Fiscal por plazo común de 20 días, dentro de los cuales podrían presentar las alegaciones que estimaran pertinentes.</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La Abogada del Estado, por medio de escrito presentado el 11 de abril de 2016, interesó que se declarase inadmisible el recurso de amparo en cuanto a la vulneración del artículo 18 CE en relación con el art. 39 CE, en lo que se refiere a la vulneración del derecho a la vida familiar. Entiende que el recurrente considera que tanto la resolución administrativa de expulsión como la Sentencia del Tribunal Superior de la Comunidad Valenciana son contrarias a la jurisprudencia del Tribunal Europeo de Derechos Humanos recaída sobre el art. 8 CEDH, que ha configurado el derecho a la vida familiar como un límite a las expulsiones de los extranjeros, incluso en los casos derivados de una sanción penal. Y continúa razonando que ese derecho consagrado en el art. 8 del CEDH no tiene el mismo contenido que el art. 18 CE. Y aduce en apoyo de su tesis el caso resuelto por la STC 186/2013, de 4 de noviembre, sobre una ciudadana argentina con permiso de residencia de larga duración, expulsada con base en el art. 57.2 de la Ley Orgánica sobre derechos y libertades de los extranjeros en España y su integración social (LOEx), Sentencia que indicó que el derecho a la vida familiar y las relaciones paterno-filiales no aparecen protegidas por ningún precepto constitucional exigible en amparo. Subsidiariamente, solicita la Abogada del Estado que se desestime la demanda en su integridad. Y ello, en primer lugar, porque no se ha </w:t>
      </w:r>
      <w:r>
        <w:lastRenderedPageBreak/>
        <w:t>producido la vulneración del derecho a la tutela judicial efectiva reconocido en el art. 24 CE, en cuanto al derecho a la defensa y el derecho a no padecer indefensión. Indica a este respecto que tanto la resolución administrativa como la Sentencia están debidamente motivadas pues se afirma en ellas que la medida de expulsión prevista en el art. 57.2 LOEx es una medida de policía adoptada por el Estado, sin que la misma tenga carácter sancionador, tal y como se manifiesta, en el ámbito administrativo, en la contestación que desde la Delegación del Gobierno en Valencia se dio al Defensor del Pueblo, que obra en el expediente administrativo. Además, consta que Bélgica incluyó en el SIS el hecho de que el interesado había reincidido en hacer, guardar, vender y ofrecer, dar o comprar drogas, tales como cocaína o heroína y que fue incluido en el Sistema el 14 de agosto de 2007, con fecha de finalización 7 de octubre de 2017, siendo repatriado a Casablanca y condenado a una pena de prisión de dos años. Otro tanto puede afirmarse de la Sentencia del Tribunal Superior de Justicia de la Comunidad Valenciana, en cuanto a su adecuada motivación, según entiende la Abogacía del Estado, ya que esta resolución indica que la medida de expulsión acordada al amparo del art. 57.2 LOEx no es una medida sancionadora, sino que se acuerda legítimamente por el Estado en el marco de su política de extranjería. De este modo, no se valoran las circunstancias personales y familiares del recurrente porque la Administración y el Tribunal entienden que no deben valorarse en este supuesto. Por ello, no se ha vulnerado el derecho a la tutela judicial efectiva en su vertiente del derecho a la motivación. Finaliza su escrito la Abogacía del Estado indicando que no se vulnera tampoco el principio de igualdad ante la ley porque las Sentencias que cita el demandante no han sido dictadas por la misma Sala y Sección, como exige la doctrina de este Tribunal Constitucional.</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El Ministerio Fiscal presentó sus alegaciones el 27 de abril de 2016, y en ellas solicitó que se declarase la vulneración del derecho del demandante a la tutela judicial efectiva y se le restableciera en su derecho y, a tal fin, se anulara la Sentencia de la Sección Primera de la Sala de lo Contencioso-Administrativo del Tribunal Superior de Justicia de la Comunidad Valenciana, de 23 de julio de 2014, dictada en el rollo de apelación núm. 190-2013. Entiende el Ministerio público que la cuestión nuclear se mueve en torno a la aplicación al demandante de amparo de la causa de expulsión contemplada en el art. 57.2 LOEx. El aspecto a enjuiciar pivotaría sobre si desde la perspectiva constitucional tal causa de expulsión puede ser objeto de una aplicación prácticamente automática y por tanto, basta la constatación de la existencia de una condena penal por tiempo superior a un año —en este caso, en Bélgica— o si, por el contrario, resulta necesario en todo caso proceder a una ponderación de las circunstancias concurrentes, especialmente en el supuesto de existencia de arraigo familiar, laboral, social y económico, valorando la proporcionalidad de la medida de expulsión en relación con dichas circunstancias del interesado. Indica que existen dos corrientes jurisprudenciales al respecto, de una de las cuales sería exponente la Sentencia del Juzgado y de la otra la Sentencia del Tribunal Superior de Justicia. Señala que para resolver la cuestión las sentencias a analizar son las SSTC 236/2007, 140/2009 y 186/2013. Frente a la argumentación de la Sentencia del Tribunal Superior de Justicia, entiende el Fiscal que la primera de esas resoluciones constitucionales, la STC 236/2007, no priva de carácter sancionador a la medida de expulsión prevista en el art. 57.2 LOEx, sino que, a los meros efectos de la aplicación del </w:t>
      </w:r>
      <w:r w:rsidRPr="00A90898">
        <w:rPr>
          <w:i/>
        </w:rPr>
        <w:t>non bis in ídem</w:t>
      </w:r>
      <w:r>
        <w:t xml:space="preserve">, la Sentencia de este Tribunal Constitucional, llega a la conclusión de que esa medida y una sanción penal no tienen el mismo fundamento, pero sin pronunciarse sobre la naturaleza sancionadora o de otra índole de ese tipo de medidas de expulsión. Por su parte, la STC 140/2009 entendió que la negativa a valorar las circunstancias personales, arraigo y petición de aplicación del principio de proporcionalidad debe ser </w:t>
      </w:r>
      <w:r>
        <w:lastRenderedPageBreak/>
        <w:t>considerada una decisión arbitraria, máxime teniendo en cuenta que la situación personal alegada por el recurrente está en conexión con intereses de indudable relevancia constitucional, por lo que su ponderación, si así es solicitado, resultaba obligada. Por último, entiende que resultan decisivos para la solución del caso los pronunciamientos de la STC 186/2013, dictada en un supuesto en el que la expulsión se acordaba, entre otros motivos, por la causa establecida en el art. 57.2 LOEx. En dicha Sentencia se reafirmó que “nuestra Constitución no reconoce un derecho a la vida familiar en los mismos términos en que la jurisprudencia del Tribunal Europeo de Derechos Humanos ha interpretado el art, 8.1 CEDH”, reafirmando que tal derecho no forma parte del derecho a la intimidad garantizado por el art. 18.1 CE. Sin embargo, recordó que su protección dentro de nuestra Constitución se encuentra en los principios que garantizan el libre desarrollo de la personalidad (art. 10.1 CE), y que aseguran la protección social, económica y jurídica de la familia (art. 39.1 CE). De ello deduce el Fiscal que habiéndose alegado en el proceso subyacente una situación de arraigo familiar, laboral y social y económico, la posición de la Sentencia del Tribunal Superior de Justicia aquí cuestionada resulta vulneradora del art. 24.1 CE, en cuanto realiza una aplicación del art. 57.2 LOEx automática, inmediata y sin mayor análisis ni ponderación de las circunstancias concurrentes en el caso, debiendo calificarse esa interpretación como rigorista y textual.</w:t>
      </w:r>
    </w:p>
    <w:p w:rsidR="00A90898" w:rsidRDefault="00A90898" w:rsidP="00A90898">
      <w:pPr>
        <w:pStyle w:val="TextoNormal"/>
      </w:pPr>
    </w:p>
    <w:p w:rsidR="00A90898" w:rsidRDefault="00A90898" w:rsidP="00A90898">
      <w:pPr>
        <w:pStyle w:val="TextoNormal"/>
      </w:pPr>
      <w:r>
        <w:t>Esa apreciación, en opinión del Fiscal, hace innecesario el análisis de las ulteriores invocaciones sobre la vulneración de los derechos fundamentales de naturaleza material proclamados en los arts. 18 y 14 CE, aunque deja constancia somera de que el primero no sería apreciable dada la imposibilidad de reconocer el derecho a la vida familiar como parte del contenido del derecho a la intimidad familiar garantizado por el art. 18.1 CE. Tampoco cabría acoger el argumento de la presunta vulneración del derecho a la igualdad debido a la ausencia de identidad del órgano judicial emisor de las resoluciones que se mencionan como término de comparación.</w:t>
      </w:r>
    </w:p>
    <w:p w:rsidR="00A90898" w:rsidRDefault="00A90898" w:rsidP="00A90898">
      <w:pPr>
        <w:pStyle w:val="TextoNormal"/>
      </w:pPr>
    </w:p>
    <w:p w:rsidR="00A90898" w:rsidRDefault="00A90898" w:rsidP="00A90898">
      <w:pPr>
        <w:pStyle w:val="TextoNormal"/>
      </w:pPr>
      <w:r>
        <w:t>Por todo ello, propone el Fiscal que se otorgue el amparo precisando que lo procedente sería limitarse a anular la Sentencia del Tribunal Superior de Justicia de la Comunidad Valenciana, dictada en grado de apelación, dado que la cuestión central es la falta de motivación y ponderación para decretar la expulsión, y teniendo en cuenta además que la decisión administrativa de expulsión había sido anulada por el Juzgado, cuya Sentencia debería ser declarada firme, haciendo entonces innecesario anular la resolución administrativa.</w:t>
      </w:r>
    </w:p>
    <w:p w:rsidR="00A90898" w:rsidRDefault="00A90898" w:rsidP="00A90898">
      <w:pPr>
        <w:pStyle w:val="TextoNormal"/>
      </w:pPr>
    </w:p>
    <w:p w:rsidR="00A90898" w:rsidRDefault="00A90898" w:rsidP="00A90898">
      <w:pPr>
        <w:pStyle w:val="TextoNormal"/>
      </w:pPr>
      <w:r w:rsidRPr="00A90898">
        <w:rPr>
          <w:rStyle w:val="NumeroAFNegritaCaracter"/>
        </w:rPr>
        <w:t>10</w:t>
      </w:r>
      <w:r>
        <w:t>. No ha presentado escrito de alegaciones la parte demandante de amparo.</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14 de julio de 2016 se señaló para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Se dirige el presente recurso de amparo contra la Sentencia de la Sección Primera de la Sala de lo Contencioso-Administrativo del Tribunal Superior de Justicia de la Comunidad Valenciana, de fecha 23 de julio de 2014, que estimó el recurso de apelación interpuesto por la Abogacía del Estado contra la Sentencia del Juzgado de lo Contencioso-Administrativo núm. 5 de Valencia, de 4 de diciembre de 2012, que, a su vez, había estimado el recurso </w:t>
      </w:r>
      <w:r>
        <w:lastRenderedPageBreak/>
        <w:t>contencioso-administrativo interpuesto por el actor contra la resolución de la Subdelegación del Gobierno en Valencia de 11 de octubre de 2011, en la que se acordaba la expulsión de territorio nacional del recurrente, así como contra esta última resolución administrativa.</w:t>
      </w:r>
    </w:p>
    <w:p w:rsidR="00A90898" w:rsidRDefault="00A90898" w:rsidP="00A90898">
      <w:pPr>
        <w:pStyle w:val="TextoNormal"/>
      </w:pPr>
    </w:p>
    <w:p w:rsidR="00A90898" w:rsidRDefault="00A90898" w:rsidP="00A90898">
      <w:pPr>
        <w:pStyle w:val="TextoNormal"/>
      </w:pPr>
      <w:r>
        <w:t>Considera el demandante que se ha vulnerado su derecho a la tutela judicial efectiva y, también, su derecho a la defensa, por la falta de motivación y acreditación de la concurrencia de los presupuestos para la aplicación del artículo 57.2 de la Ley Orgánica 4/2000 (en adelante, LOEx), así como por la falta de valoración de lo establecido en el artículo 57.5 de la misma Ley, y por la ausencia de ponderación de sus circunstancias personales, en especial su arraigo familiar, pues tiene hijos escolarizados en España, su arraigo laboral, el tiempo de residencia en España, la existencia de vínculos creados en nuestro país y la inexistencia de antecedentes en España. Añade que se aplica automáticamente la causa de expulsión prevista en el art. 57.2 LOEx sin tener en cuenta la normativa europea así como la doctrina del Tribunal Europeo de Derechos Humanos y del Tribunal de Justicia de la Unión Europea. También entiende el recurrente en amparo que se ha vulnerado su derecho a la intimidad familiar del artículo 18 CE, en relación con el art. 39 CE, al no haberse valorado el arraigo familiar del interesado en España, especialmente en relación con sus hijos, con cita del art. 3.1 de la Convención de las Naciones Unidas sobre los Derechos del Niño. Por último, aduce que se ha vulnerado su derecho a la igualdad del art. 14 CE, que fundamenta en que, en casos idénticos al presente, se han dictado resoluciones contrarias por los distintos Tribunales Superiores de Justicia. Afirma que, incluso dentro del propio Tribunal Superior de Justicia de la Comunidad Valenciana, unas Secciones de su Sala de lo Contencioso-Administrativo resuelven en sentido contrario a otras.</w:t>
      </w:r>
    </w:p>
    <w:p w:rsidR="00A90898" w:rsidRDefault="00A90898" w:rsidP="00A90898">
      <w:pPr>
        <w:pStyle w:val="TextoNormal"/>
      </w:pPr>
    </w:p>
    <w:p w:rsidR="00A90898" w:rsidRDefault="00A90898" w:rsidP="00A90898">
      <w:pPr>
        <w:pStyle w:val="TextoNormal"/>
      </w:pPr>
      <w:r>
        <w:t>La Abogada del Estado, en los términos reseñados en los antecedentes, solicita la inadmisión parcial del recurso, por lo que hace a la invocación del art. 18 CE en relación al art. 39 CE, por cuanto el derecho consagrado en el art. 8 del Convenio europeo para la protección de los derechos humanos y de las libertades fundamentales (CEDH) no tiene el mismo contenido que el art. 18 CE. Y solicita subsidiariamente la desestimación en su integridad de la demanda, indicando que no concurre vulneración del artículo 24.1 CE, en su vertiente del derecho a la motivación de las resoluciones judiciales, ni del art. 14 CE, por faltar el requisito de identidad en las resoluciones aportadas como término de comparación.</w:t>
      </w:r>
    </w:p>
    <w:p w:rsidR="00A90898" w:rsidRDefault="00A90898" w:rsidP="00A90898">
      <w:pPr>
        <w:pStyle w:val="TextoNormal"/>
      </w:pPr>
    </w:p>
    <w:p w:rsidR="00A90898" w:rsidRDefault="00A90898" w:rsidP="00A90898">
      <w:pPr>
        <w:pStyle w:val="TextoNormal"/>
      </w:pPr>
      <w:r>
        <w:t>Por su parte, el Ministerio Fiscal, con el detalle descrito en los antecedentes, pide la estimación del recurso al apreciar que se ha vulnerado el art. 24.1 CE por haber realizado la Sala de lo Contencioso-Administrativo del Tribunal Superior de Justicia de la Comunidad Valenciana una interpretación automática, rigorista y textual del art. 57.2 LOEx, sin ponderar las circunstancias personales del interesado. Impetra por ello que se anule la Sentencia dictada en apelación, dejando firme la recaída en la instancia, que había anulado la Resolución administrativa, por lo que no es necesario acordar la anulación de esta última en esta sede.</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análisis de las distintas quejas que se formulan en la demanda, es preciso abordar el estudio del óbice procesal opuesto por la Abogada del Estado que, como ya se ha indicado, considera que el recurso debe inadmitirse en cuanto a la queja que denuncia la vulneración del art. 18 CE, porque considera que este precepto no tiene el mismo contenido que el art. 8 CEDH, invocado por el actor, por lo que no se trata de un derecho susceptible de amparo.</w:t>
      </w:r>
    </w:p>
    <w:p w:rsidR="00A90898" w:rsidRDefault="00A90898" w:rsidP="00A90898">
      <w:pPr>
        <w:pStyle w:val="TextoNormal"/>
      </w:pPr>
    </w:p>
    <w:p w:rsidR="00A90898" w:rsidRDefault="00A90898" w:rsidP="00A90898">
      <w:pPr>
        <w:pStyle w:val="TextoNormal"/>
      </w:pPr>
      <w:r>
        <w:t>El óbice debe ser rechazado de plano, dado que lo que plantea la Abogada del Estado es, en realidad, una cuestión de fondo, que, en su caso, deberá ser dilucidada al analizar la queja articulada por el actor, determinando en ese momento si el art. 18 CE tutela o no la vertiente del derecho a la intimidad familiar que se invoca en la demanda.</w:t>
      </w:r>
    </w:p>
    <w:p w:rsidR="00A90898" w:rsidRDefault="00A90898" w:rsidP="00A90898">
      <w:pPr>
        <w:pStyle w:val="TextoNormal"/>
      </w:pPr>
    </w:p>
    <w:p w:rsidR="00A90898" w:rsidRDefault="00A90898" w:rsidP="00A90898">
      <w:pPr>
        <w:pStyle w:val="TextoNormal"/>
      </w:pPr>
      <w:r>
        <w:t>Procede ahora abordar la posible concurrencia de un óbice procesal que podría afectar a una de las quejas planteadas en la demanda, que impida un pronunciamiento sobre ella, a pesar de no haber sido suscitado por ninguna de las partes,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(por todas, SSTC 44/2013, de 25 de febrero, FJ 2; 126/2013, de 3 de junio, FJ 2, y 2/2015, de 19 de enero, FJ 2).</w:t>
      </w:r>
    </w:p>
    <w:p w:rsidR="00A90898" w:rsidRDefault="00A90898" w:rsidP="00A90898">
      <w:pPr>
        <w:pStyle w:val="TextoNormal"/>
      </w:pPr>
    </w:p>
    <w:p w:rsidR="00A90898" w:rsidRDefault="00A90898" w:rsidP="00A90898">
      <w:pPr>
        <w:pStyle w:val="TextoNormal"/>
      </w:pPr>
      <w:r>
        <w:t xml:space="preserve">En el presente supuesto se aprecia el óbice relativo a la falta de cumplimiento del requisito del agotamiento de la vía judicial previa [art. 44.1 a) de la Ley Orgánica del Tribunal Constitucional (LOTC)] en relación con la queja que denuncia la vulneración del art. 14 CE. En efecto, la demanda dirige dicha queja exclusivamente contra la Sentencia dictada en apelación por la Sección Primera de la Sala de lo Contencioso-Administrativo del Tribunal Superior de Justicia de la Comunidad Valenciana, por haberse apartado del pronunciamiento previo de la Sección Cuarta de dicha Sala y de los efectuados por otros órganos judiciales. Dado que la resolución impugnada en amparo no era susceptible de recurso alguno, el demandante debería haber interpuesto frente a la misma un incidente de nulidad de actuaciones para agotar debidamente la vía judicial previa antes de acudir en amparo ante este Tribunal. El incidente de nulidad era claramente ejercitable </w:t>
      </w:r>
      <w:r w:rsidRPr="00A90898">
        <w:rPr>
          <w:i/>
        </w:rPr>
        <w:t>ex</w:t>
      </w:r>
      <w:r>
        <w:t xml:space="preserve"> art. 241.1 de la Ley Orgánica del Poder Judicial (LOPJ) “sin necesidad de superar unas dificultades interpretativas mayores de lo exigible razonablemente” (entre otras, SSTC 57/2003, de 24 de marzo, FJ 2; 249/2006, de 24 de julio, FJ 1; 75/2007, de 16 de abril, FJ 2, y 76/2007, de 16 de abril, FJ 2), por lo que debió interponerse como único medio para poner en conocimiento de la jurisdicción ordinaria la lesión y posibilitar su reparación. Por ello, no ha quedado satisfecho el requisito de agotamiento de la vía judicial previa respecto de la queja relativa a la vulneración del art. 14 CE.</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Antes de proceder al análisis de las quejas constitucionales planteadas, es preciso hacer referencia a la existencia de especial transcendencia constitucional en este recurso de amparo. A pesar de que ninguna de las partes comparecidas ha puesto en duda la concurrencia de dicho presupuesto, que es requisito para su admisión, de conformidad con los arts. 49.1 y 50.1 b) LOTC, y, por consiguiente, de orden público procesal (entre otras, STC 44/2016, de 14 de marzo, FJ 2), exigencias de certeza y buena administración de justicia (STEDH de 20 de enero de 2015, </w:t>
      </w:r>
      <w:r w:rsidRPr="00A90898">
        <w:rPr>
          <w:i/>
        </w:rPr>
        <w:t>caso Arribas Antón c. España</w:t>
      </w:r>
      <w:r>
        <w:t>, § 46) obligan a explicitar el cumplimiento del mismo a fin de hacer así recognoscibles los criterios empleados al efecto por este Tribunal.</w:t>
      </w:r>
    </w:p>
    <w:p w:rsidR="00A90898" w:rsidRDefault="00A90898" w:rsidP="00A90898">
      <w:pPr>
        <w:pStyle w:val="TextoNormal"/>
      </w:pPr>
    </w:p>
    <w:p w:rsidR="00A90898" w:rsidRDefault="00A90898" w:rsidP="00A90898">
      <w:pPr>
        <w:pStyle w:val="TextoNormal"/>
      </w:pPr>
      <w:r>
        <w:t xml:space="preserve">Como tenemos declarado, entre otras muchas, en la STC 54/2015, de 16 de marzo, FJ 4, corresponde únicamente a este Tribunal Constitucional apreciar en cada caso la existencia o inexistencia de esa “especial trascendencia constitucional”, esto es, si el contenido del </w:t>
      </w:r>
      <w:r>
        <w:lastRenderedPageBreak/>
        <w:t>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A90898" w:rsidRDefault="00A90898" w:rsidP="00A90898">
      <w:pPr>
        <w:pStyle w:val="TextoNormal"/>
      </w:pPr>
    </w:p>
    <w:p w:rsidR="00A90898" w:rsidRDefault="00A90898" w:rsidP="00A90898">
      <w:pPr>
        <w:pStyle w:val="TextoNormal"/>
      </w:pPr>
      <w:r>
        <w:t>Pues bien, en el presente caso, este Tribunal ha apreciado en la providencia de admisión a trámite del recurso que el mismo cuenta con especial trascendencia constitucional ya que puede dar ocasión al Tribunal para aclarar o cambiar su doctrina, como consecuencia de un proceso de reflexión interna [STC 155/2009, FJ 2 b)], porque la posible vulneración del derecho fundamental que se denuncia pudiera traer causa de una reiterada interpretación jurisprudencial de la ley que este Tribunal pudiera considerar lesiva del derecho fundamental [STC 155/2009, FJ 2 d)], y, finalmente, dado que el asunto suscitado trasciende del caso concreto porque plantea una cuestión jurídica de relevante y general repercusión social o económica [STC 155/2009, FJ 2 g)]. En el presente amparo nos encontramos ante un supuesto que ofrece trascendencia social dado que la presente cuestión afecta potencialmente a numerosos residentes de terceros países inmersos en un proceso de expulsión en el caso de que fueran objeto de una condena a pena privativa de libertad superior a un año por una conducta dolosa, con independencia de sus circunstancias personales, familiares, laborales y sociales.</w:t>
      </w:r>
    </w:p>
    <w:p w:rsidR="00A90898" w:rsidRDefault="00A90898" w:rsidP="00A90898">
      <w:pPr>
        <w:pStyle w:val="TextoNormal"/>
      </w:pPr>
    </w:p>
    <w:p w:rsidR="00A90898" w:rsidRDefault="00A90898" w:rsidP="00A90898">
      <w:pPr>
        <w:pStyle w:val="TextoNormal"/>
      </w:pPr>
      <w:r w:rsidRPr="00A90898">
        <w:rPr>
          <w:rStyle w:val="NumeroAFNegritaCaracter"/>
        </w:rPr>
        <w:t>4</w:t>
      </w:r>
      <w:r>
        <w:t>. Sentada la concurrencia en el presente caso de los presupuestos procesales que permiten a este Tribunal abordar las cuestiones de fondo suscitadas en este recurso, nos hallamos ya en condiciones de analizar las quejas suscitadas. Para ello hay que partir de que en el presente caso nos encontramos ante un recurso de los denominados mixtos, dado que junto a la vulneración que se imputa autónomamente y únicamente a la resolución judicial que pone fin al proceso, existen otras que se imputan esencialmente a la Resolución administrativa que acordó la expulsión y, en la medida en que la confirmó, a la resolución judicial impugnada. La inadmisión de la queja que se dirige contra la resolución judicial solventa el problema de tener que dilucidar el orden de análisis de las vulneraciones, mas, en todo caso, en estos supuestos tiene establecido este Tribunal que “el carácter prioritario de la impugnación del acto administrativo, origen y fin del proceso judicial posterior, y la facilitación de una solución más temprana al amparo impetrado, aconsejan que examinemos primero las quejas referidas a aquel acto” (por todas, SSTC 113/2008, de 29 de septiembre, FJ 2, y 140/2009, de 15 de junio, FJ 1).</w:t>
      </w:r>
    </w:p>
    <w:p w:rsidR="00A90898" w:rsidRDefault="00A90898" w:rsidP="00A90898">
      <w:pPr>
        <w:pStyle w:val="TextoNormal"/>
      </w:pPr>
    </w:p>
    <w:p w:rsidR="00A90898" w:rsidRDefault="00A90898" w:rsidP="00A90898">
      <w:pPr>
        <w:pStyle w:val="TextoNormal"/>
      </w:pPr>
      <w:r w:rsidRPr="00A90898">
        <w:rPr>
          <w:rStyle w:val="NumeroAFNegritaCaracter"/>
        </w:rPr>
        <w:t>5</w:t>
      </w:r>
      <w:r>
        <w:t>. Comienza el demandante su alegato afirmando la presunta vulneración de su derecho a la tutela judicial efectiva y de su derecho de defensa, por la ausencia de motivación y acreditación de la concurrencia de los presupuestos del art. 57.2 LOEx y por la falta de ponderación de las alegaciones formuladas por el recurrente respecto a sus circunstancias personales y de arraigo, en que habría incurrido la resolución de la Subdelegación del Gobierno en Valencia y, por extensión, la Sentencia dictada en apelación por el Tribunal Superior de Justicia de la Comunidad Valenciana.</w:t>
      </w:r>
    </w:p>
    <w:p w:rsidR="00A90898" w:rsidRDefault="00A90898" w:rsidP="00A90898">
      <w:pPr>
        <w:pStyle w:val="TextoNormal"/>
      </w:pPr>
    </w:p>
    <w:p w:rsidR="00A90898" w:rsidRDefault="00A90898" w:rsidP="00A90898">
      <w:pPr>
        <w:pStyle w:val="TextoNormal"/>
      </w:pPr>
      <w:r>
        <w:t>En realidad, la queja que se formula tiene su más correcto encaje en el derecho a la tutela judicial efectiva, sin que, por otra parte, la infracción del derecho a la defensa (art. 24.1 CE) cuente con un especial desarrollo en la demanda, constituyendo una invocación más bien retórica, carente de argumentación, por lo que no procede entrar en su examen (entre otras, SSTC 99/2004, de 27 de mayo, FJ 3; 23/2005, de 14 de febrero, FJ 2, y 212/2009, de 26 de noviembre, FJ 1).</w:t>
      </w:r>
    </w:p>
    <w:p w:rsidR="00A90898" w:rsidRDefault="00A90898" w:rsidP="00A90898">
      <w:pPr>
        <w:pStyle w:val="TextoNormal"/>
      </w:pPr>
    </w:p>
    <w:p w:rsidR="00A90898" w:rsidRDefault="00A90898" w:rsidP="00A90898">
      <w:pPr>
        <w:pStyle w:val="TextoNormal"/>
      </w:pPr>
      <w:r>
        <w:t xml:space="preserve">Este Tribunal tiene establecido que, si bien el deber motivación de los actos administrativos es un mandato derivado de normas que se mueven en el ámbito de la legalidad ordinaria, tal deber alcanza una dimensión constitucional, que lo hace objeto de control a través del recurso de amparo, cuando se trate de resoluciones en las que la Administración ejerza potestades sancionadoras. Y el deber de motivación en el ámbito del ejercicio del </w:t>
      </w:r>
      <w:r w:rsidRPr="00A90898">
        <w:rPr>
          <w:i/>
        </w:rPr>
        <w:t>ius puniendi</w:t>
      </w:r>
      <w:r>
        <w:t xml:space="preserve"> incluye no sólo la obligación de fundamentar los hechos y la calificación jurídica, sino también la sanción a imponer, toda vez que el margen de discrecionalidad otorgado por la norma sancionadora no constituye por sí mismo justificación suficiente de la decisión finalmente adoptada, sino que, por el contrario, el ejercicio de la facultad de sancionar viene condicionado estrechamente por la exigencia de que la resolución esté motivada, pues sólo así puede procederse a su control posterior en evitación de toda arbitrariedad (STC 140/2009, de 15 de junio, FJ 3).</w:t>
      </w:r>
    </w:p>
    <w:p w:rsidR="00A90898" w:rsidRDefault="00A90898" w:rsidP="00A90898">
      <w:pPr>
        <w:pStyle w:val="TextoNormal"/>
      </w:pPr>
    </w:p>
    <w:p w:rsidR="00A90898" w:rsidRDefault="00A90898" w:rsidP="00A90898">
      <w:pPr>
        <w:pStyle w:val="TextoNormal"/>
      </w:pPr>
      <w:r>
        <w:t>Más en concreto, en relación con la potestad sancionadora en materia de extranjería, este Tribunal ha reiterado que la imposición de la sanción de expulsión no depende de la absoluta discrecionalidad de la Administración, sino que la ley establece unos presupuestos objetivos y subjetivos, así como unos criterios de aplicación que condicionan normativamente a la Administración, como son los previstos en el art. 55.3 de la Ley Orgánica 4/2000, al establecer criterios para la aplicación de dicha sanción, y en el art. 50 de esa misma norma, que remite a lo establecido en el art. 131 de la Ley 30/1992, en concreción del principio de proporcionalidad y de los criterios de graduación de la sanción a aplicar en el curso de un procedimiento administrativo, que deberá acomodarse a las exigencias del art. 20.2 de la citada Ley Orgánica 4/2000 (por todas, STC 140/2009, de 15 de junio, FJ 3).</w:t>
      </w:r>
    </w:p>
    <w:p w:rsidR="00A90898" w:rsidRDefault="00A90898" w:rsidP="00A90898">
      <w:pPr>
        <w:pStyle w:val="TextoNormal"/>
      </w:pPr>
    </w:p>
    <w:p w:rsidR="00A90898" w:rsidRDefault="00A90898" w:rsidP="00A90898">
      <w:pPr>
        <w:pStyle w:val="TextoNormal"/>
      </w:pPr>
      <w:r>
        <w:t>Como se ha expuesto anteriormente, el demandante aduce que no se han tenido en cuenta las alegaciones que formuló en el procedimiento administrativo acerca de sus circunstancias personales y de arraigo, en particular, el tiempo de residencia en España del interesado, los vínculos con nuestro país, la inexistencia de antecedentes en España, el hecho de que en el momento en que se dictó la resolución tenía dos hijos escolarizados en un colegio público de Gandía, y que tenía un negocio propio desde 2008. Esas circunstancias se pusieron de manifiesto a la Administración en escrito datado el 7 de octubre de 2011, al que acompañaba copia del libro de familia, permiso de residencia de su esposa e hijos, tarjeta censal de autónomo, copia de la declaración del impuesto sobre la renta, y también permiso de residencia. Y añadía que tenía cuenta bancaria abierta para atender a sus necesidades y a la sanción que se le pudiera imponer, manifestando también que no constaba en el expediente ningún documento en relación con la condena en Bélgica, ni si había sido cancelada o no (según ha acreditado el actor ante este Tribunal, por medio de certificación oficial de la correspondiente oficina belga, a agosto de 2014 carece de antecedentes penales en Bélgica).</w:t>
      </w:r>
    </w:p>
    <w:p w:rsidR="00A90898" w:rsidRDefault="00A90898" w:rsidP="00A90898">
      <w:pPr>
        <w:pStyle w:val="TextoNormal"/>
      </w:pPr>
    </w:p>
    <w:p w:rsidR="00A90898" w:rsidRDefault="00A90898" w:rsidP="00A90898">
      <w:pPr>
        <w:pStyle w:val="TextoNormal"/>
      </w:pPr>
      <w:r>
        <w:t xml:space="preserve">Sin embargo, nada de lo anterior ha sido tenido en cuenta por la Administración, en un procedimiento que podríamos tachar de formulario, dirigido al claro objetivo de expulsar al actor sin tomar en consideración ninguna otra circunstancia que no fueran las que permitían la aplicación del art. 57.2 LOEx. En este sentido, resulta ilustrativo de esa naturaleza formularia y estereotipada del procedimiento el hecho de que el acuerdo de incoación del procedimiento sancionador preferente de expulsión, a pesar de reconocer que el actor contaba con permiso de residencia, resuelve iniciar el expediente a la vista de las circunstancias personales del extranjero, que “no acredita ser titular de autorización que le habilite para </w:t>
      </w:r>
      <w:r>
        <w:lastRenderedPageBreak/>
        <w:t>permanecer o residir en Territorio Nacional, tampoco acreditando a juicio de esta Instrucción una situación de arraigo; no disponiendo por otra parte, de medios económicos suficientes … ni está en disposición de obtenerlos legalmente (a través de una autorización de trabajo y residencia concedido como marca la Ley)”.</w:t>
      </w:r>
    </w:p>
    <w:p w:rsidR="00A90898" w:rsidRDefault="00A90898" w:rsidP="00A90898">
      <w:pPr>
        <w:pStyle w:val="TextoNormal"/>
      </w:pPr>
    </w:p>
    <w:p w:rsidR="00A90898" w:rsidRDefault="00A90898" w:rsidP="00A90898">
      <w:pPr>
        <w:pStyle w:val="TextoNormal"/>
      </w:pPr>
      <w:r>
        <w:t>Por su parte, la propuesta de resolución, de 10 de octubre de 2011, manifestaba que al interesado le constaban dos prohibiciones de entrada, una por Bélgica y otra por Holanda, y que fue condenado por las autoridades de Bélgica a una pena de prisión de tres años y se añadía que le constaba autorización de residencia permanente con fecha de 27 de enero de 2006. También se indicaba que en el plazo legalmente establecido se recibieron alegaciones y “una vez analizadas estas, en nada desvirtúan el presente procedimiento y por otra parte, el citado no acredita disponer de medios suficientes”, apreciación ésta que se formula en los mismos términos que en el acuerdo de incoación, añadiendo a continuación: “toda vez que según la jurisprudencia en su art. 57.2, se trata de una situación fáctica en la que no ha lugar a modificación en el transcurso del procedimiento sancionador” (en mayúsculas en el original). Por último, es significativo que el instructor manifieste que “en el procedimiento no se han tenido en cuenta otros hechos, circunstancias, alegaciones ni pruebas aducidas por el interesado”. Es decir, que nada de lo alegado o aportado por el recurrente fue tenido en cuenta.</w:t>
      </w:r>
    </w:p>
    <w:p w:rsidR="00A90898" w:rsidRDefault="00A90898" w:rsidP="00A90898">
      <w:pPr>
        <w:pStyle w:val="TextoNormal"/>
      </w:pPr>
    </w:p>
    <w:p w:rsidR="00A90898" w:rsidRDefault="00A90898" w:rsidP="00A90898">
      <w:pPr>
        <w:pStyle w:val="TextoNormal"/>
      </w:pPr>
      <w:r>
        <w:t>Finalmente, el expediente concluyó con la resolución de la Subdelegación del Gobierno en Valencia, fechada el día siguiente al de la propuesta de resolución, en la que se señalaba la existencia de las dos prohibiciones de entrada por Holanda y Bélgica (dato que no aparece adverado por ningún documento en el procedimiento) y la condena por las autoridades belgas a una pena de prisión de tres años, sin concretar por qué delito, y la existencia de “una solicitud” de autorización permanente, que quedaba extinguida por la resolución. En relación con las alegaciones formuladas por el interesado, se limitaba a indicar que “fueron consideradas improcedentes al no desvirtuar los hechos que motivaron la apertura del presente expediente”, sin ninguna otra explicación. Aparte de ello, la resolución añade, como hechos probados, circunstancias nuevas no acreditadas en ningún momento en el expediente, como que el actor ha sido detenido en numerosas ocasiones o que ha sido objeto de condena penal en España.</w:t>
      </w:r>
    </w:p>
    <w:p w:rsidR="00A90898" w:rsidRDefault="00A90898" w:rsidP="00A90898">
      <w:pPr>
        <w:pStyle w:val="TextoNormal"/>
      </w:pPr>
    </w:p>
    <w:p w:rsidR="00A90898" w:rsidRDefault="00A90898" w:rsidP="00A90898">
      <w:pPr>
        <w:pStyle w:val="TextoNormal"/>
      </w:pPr>
      <w:r>
        <w:t>En definitiva, existe una clara negativa de la Administración a valorar las circunstancias alegadas por el actor, ya que se limita a rechazar las alegaciones mediante fórmulas estereotipadas, en lugar de llevar a cabo una motivación más detallada y apegada al caso, en la que se ponderaran de manera constitucionalmente adecuada los derechos en juego y las circunstancias personales y familiares del actor.</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w:t>
      </w:r>
      <w:r w:rsidRPr="00A90898">
        <w:rPr>
          <w:i/>
        </w:rPr>
        <w:t>A priori</w:t>
      </w:r>
      <w:r>
        <w:t xml:space="preserve">, la constatación de las carencias de la resolución administrativa impugnada debería conducirnos a reconocer que se ha producido efectivamente la vulneración del derecho a la tutela judicial efectiva del actor por la ausencia de motivación de aquélla. No obstante, dado que la Administración ha incoado, tramitado y concluido el procedimiento como un expediente sancionador, ha tipificado la conducta del demandante de amparo como una infracción y ha resuelto imponerle “la sanción de expulsión del territorio nacional”, el debate procesal se ha extendido en el presente recurso a la discusión de la naturaleza de la medida de expulsión prevista en el art. 57.2 LOEx. Así la Abogada del Estado considera </w:t>
      </w:r>
      <w:r>
        <w:lastRenderedPageBreak/>
        <w:t xml:space="preserve">que tal medida no se acuerda en el ejercicio del </w:t>
      </w:r>
      <w:r w:rsidRPr="00A90898">
        <w:rPr>
          <w:i/>
        </w:rPr>
        <w:t>ius puniendi</w:t>
      </w:r>
      <w:r>
        <w:t xml:space="preserve"> del Estado, y que, en consecuencia, no serían aplicables las exigencias de motivación que se han expuesto.</w:t>
      </w:r>
    </w:p>
    <w:p w:rsidR="00A90898" w:rsidRDefault="00A90898" w:rsidP="00A90898">
      <w:pPr>
        <w:pStyle w:val="TextoNormal"/>
      </w:pPr>
    </w:p>
    <w:p w:rsidR="00A90898" w:rsidRDefault="00A90898" w:rsidP="00A90898">
      <w:pPr>
        <w:pStyle w:val="TextoNormal"/>
      </w:pPr>
      <w:r>
        <w:t>No obstante, debe subrayarse que el deber de motivación en el ámbito administrativo con relevancia constitucional no sólo se produce en el supuesto de las sanciones administrativas, pues, como se señala en la STC 17/2009, de 26 de enero, FJ 2,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En esta misma línea se pronuncia la STC 46/2014, de 7 de abril, FJ 4 (relativa a un supuesto de denegación de la renovación de la autorización de residencia), al afirmar que “cuando se coarta ... el libre ejercicio de los derechos reconocidos por la Constitución, el acto es tan grave que necesita encontrar una especial causalización y el hecho o el conjunto de hechos que lo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 (STC 26/1981, de 17 de julio, FJ 14; doctrina reiterada, por todas, en las SSTC 236/2007, de 7 de noviembre, FJ 12, y 17/2009, de 26 de enero, FJ 2). Y, en este caso, encontraríamos una clara limitación a derechos fundamentales del actor que, como consecuencia de acordarse su expulsión del territorio nacional, se ha visto privado de su autorización de residencia, lo que implica la alteración de su propia condición de ciudadano y de la posibilidad del ejercicio de los derechos y libertades inherentes a la misma, aparte de las consecuencias que la medida tiene en su vida familiar y, especialmente, en el cumplimiento de los deberes derivados de las relaciones paterno filiales, particularmente por cuanto, como consta en las actuaciones, sus dos hijos menores dependen económicamente de él.</w:t>
      </w:r>
    </w:p>
    <w:p w:rsidR="00A90898" w:rsidRDefault="00A90898" w:rsidP="00A90898">
      <w:pPr>
        <w:pStyle w:val="TextoNormal"/>
      </w:pPr>
    </w:p>
    <w:p w:rsidR="00A90898" w:rsidRDefault="00A90898" w:rsidP="00A90898">
      <w:pPr>
        <w:pStyle w:val="TextoNormal"/>
      </w:pPr>
      <w:r>
        <w:t xml:space="preserve">En cualquier caso, si no fuera así, esto es, si la resolución administrativa impugnada no pudiera vulnerar el art. 24 CE por no tener carácter sancionador, el deber de motivación del art. 24.1 CE alcanzaría ineludiblemente a las resoluciones judiciales que han enjuiciado la actuación administrativa, y, más en concreto, a la dictada en apelación que, bajo el entendimiento de que el art. 57.2 LOEx contempla una medida adoptada legítimamente por el Estado español en el marco de su política de extranjería, sin que sea aplicable lo establecido en la LOEx para las sanciones, y, en particular, el art. 57.5, ni tampoco el art. 55.3 sobre el principio de proporcionalidad, consideró que no cabía valorar las circunstancias personales del actor ni su arraigo, porque tal circunstancia no tiene “ninguna relevancia respecto a ese motivo de expulsión”. Es decir, la Sentencia del Tribunal Superior de Justicia de la Comunidad Valenciana ha incurrido efectivamente en la vulneración del derecho a la tutela judicial efectiva del demandante de amparo, al haberse opuesto, en su labor de fiscalización de los actos administrativos recurridos, a la ponderación de las circunstancias personales del recurrente bajo una interpretación de la norma que no respeta el canon constitucional de motivación del citado derecho fundamental. Al estar en juego, asociados a derechos fundamentales como los contemplados en los arts. 18.1 y 24.2 CE (STC 46/2014, FJ 7), una pluralidad de intereses constitucionales como el de protección social, económica y jurídica de la familia (art. 39.1 CE) en relación con el mandato del art. 10.2 CE, así como el art. 3.1 de la Convención de las Naciones Unidas de 20 de noviembre de 1989, sobre los derechos del </w:t>
      </w:r>
      <w:r>
        <w:lastRenderedPageBreak/>
        <w:t>niño, al que conduce la previsión del art. 39.4 CE, el órgano judicial debió ponderar las “circunstancias de cada supuesto” y “tener en cuenta la gravedad de los hechos”, sin que pudiera ampararse, como hizo, en la imposibilidad legal de realizar tal ponderación (STC 46/2014, FJ 7). En el mismo sentido se pronuncia la STC 186/2013, de 4 de noviembre, FJ 7, que en un caso similar, ante la presencia de derechos e intereses constitucionales de esa naturaleza, entre los que se incluían el derecho a la vida familiar derivado de los art. 8.1 CEDH y 7 de la Carta de los derechos fundamentales de la Unión Europea, que se encuentra, dentro de nuestro sistema constitucional “en los principios de nuestra Carta Magna que garantizan el libre desarrollo de la personalidad (art. 10.1 CE) y que aseguran la protección social, económica y jurídica de la familia (art. 39.1 CE) y de los niños (art. 39.4 CE)”, manifestó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La demanda de amparo fundamenta también la vulneración del art. 24 CE en que la ausencia de motivación y de ponderación de las circunstancias personales y familiares del actor por parte de la Administración y de la Sentencia dictada en apelación no se ajusta a las previsiones de las Directivas 2001/40/CE, del Consejo, de 28 de mayo de 2001, y 2003/109/CE, del Consejo, de 25 de noviembre de 2003, ni a la jurisprudencia del Tribunal de Justicia de la Unión Europea sobre la citada normativa, que sí fueron tenidas en cuenta por la Sentencia de primera instancia, que fundamentó su decisión sobre las citadas Directivas y sobre la doctrina del Tribunal de Justicia de la Unión Europea, especialmente en la Sentencia de 8 de diciembre de 2011, asunto </w:t>
      </w:r>
      <w:r w:rsidRPr="00A90898">
        <w:rPr>
          <w:i/>
        </w:rPr>
        <w:t>Ziebell</w:t>
      </w:r>
      <w:r>
        <w:t>. Pero una vez que ya ha quedado constatada, como se ha expuesto en el fundamento jurídico 5 de esta Sentencia, la lesión del art. 24.1 CE por ausencia de suficiente motivación, resulta innecesario adentrarnos en tal alegación. Efectivamente, la Sentencia de apelación vulneró el derecho a la tutela judicial efectiva del recurrente por las razones expuestas, y, en consecuencia, tampoco es necesario continuar con el análisis del resto de las quejas planteadas en la demanda de amparo.</w:t>
      </w:r>
    </w:p>
    <w:p w:rsidR="00A90898" w:rsidRDefault="00A90898" w:rsidP="00A90898">
      <w:pPr>
        <w:pStyle w:val="TextoNormal"/>
      </w:pPr>
    </w:p>
    <w:p w:rsidR="00A90898" w:rsidRDefault="00A90898" w:rsidP="00A90898">
      <w:pPr>
        <w:pStyle w:val="TextoNormal"/>
      </w:pPr>
      <w:r>
        <w:t>Dada la singularidad procedimental del caso, lo procedente, de acuerdo con lo alegado por el Ministerio Fiscal, es la declaración de nulidad de la Sentencia dictada en apelación por la Sala de lo Contencioso-Administrativo del Tribunal Superior de Justicia de la Comunidad Valenciana, lo que comporta la firmeza de la Sentencia del Juzgado de lo Contencioso-Administrativo núm. 5 de Valencia, pronunciada en el procedimiento abreviado núm. 723-2011, que anuló la resolución administrativa dictada por el Subdelegado del Gobierno en Valencia el 11 de octubre de 2011; anulación que queda así definitivamente ratificada.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Estimar parcialmente el recurso de amparo interpuesto por don Boujemaa Akabli y, en consecuencia:</w:t>
      </w:r>
    </w:p>
    <w:p w:rsidR="00A90898" w:rsidRDefault="00A90898" w:rsidP="00A90898">
      <w:pPr>
        <w:pStyle w:val="TextoNormal"/>
      </w:pPr>
    </w:p>
    <w:p w:rsidR="00A90898" w:rsidRDefault="00A90898" w:rsidP="00A90898">
      <w:pPr>
        <w:pStyle w:val="TextoNormal"/>
      </w:pPr>
      <w:r>
        <w:t>1º Declarar vulnerado su derecho a la tutela judicial efectiva (art. 24.1 CE).</w:t>
      </w:r>
    </w:p>
    <w:p w:rsidR="00A90898" w:rsidRDefault="00A90898" w:rsidP="00A90898">
      <w:pPr>
        <w:pStyle w:val="TextoNormal"/>
      </w:pPr>
    </w:p>
    <w:p w:rsidR="00A90898" w:rsidRDefault="00A90898" w:rsidP="00A90898">
      <w:pPr>
        <w:pStyle w:val="TextoNormal"/>
      </w:pPr>
      <w:r>
        <w:t>2º Restablecerlo en su derecho, y, a tal fin, anular la Sentencia de la Sección Primera de la Sala de lo Contencioso-Administrativo del Tribunal Superior de Justicia de la Comunidad Valenciana de 23 de julio de 2014, dictada en el rollo de apelación núm. 190-2013.</w:t>
      </w:r>
    </w:p>
    <w:p w:rsidR="00A90898" w:rsidRDefault="00A90898" w:rsidP="00A90898">
      <w:pPr>
        <w:pStyle w:val="TextoNormal"/>
      </w:pPr>
    </w:p>
    <w:p w:rsidR="00A90898" w:rsidRDefault="00A90898" w:rsidP="00A90898">
      <w:pPr>
        <w:pStyle w:val="TextoNormal"/>
      </w:pPr>
      <w:r>
        <w:t>3º Declarar la firmeza de la Sentencia del Juzgado de lo Contencioso-Administrativo núm. 5 de Valencia, dictada el 4 de diciembre de 2012 en el procedimiento abreviado núm. 723-2011.</w:t>
      </w:r>
    </w:p>
    <w:p w:rsidR="00A90898" w:rsidRDefault="00A90898" w:rsidP="00A90898">
      <w:pPr>
        <w:pStyle w:val="TextoNormal"/>
      </w:pPr>
    </w:p>
    <w:p w:rsidR="00A90898" w:rsidRDefault="00A90898" w:rsidP="00A90898">
      <w:pPr>
        <w:pStyle w:val="TextoNormal"/>
      </w:pPr>
      <w:r>
        <w:t>4º Inadmitir el recurso en cuanto a la queja relativa a la vulneración del art. 14 CE.</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1" w:name="SENTENCIA_2016_132"/>
      <w:r>
        <w:lastRenderedPageBreak/>
        <w:t>SENTENCIA 132/2016, de 18 de julio de 2016</w:t>
      </w:r>
    </w:p>
    <w:bookmarkEnd w:id="11"/>
    <w:p w:rsidR="00A90898" w:rsidRDefault="00A90898" w:rsidP="00A90898">
      <w:pPr>
        <w:pStyle w:val="TtuloResolucin"/>
      </w:pPr>
      <w:r>
        <w:t>Sala Primera</w:t>
      </w:r>
    </w:p>
    <w:p w:rsidR="00A90898" w:rsidRDefault="00A90898" w:rsidP="00A90898">
      <w:pPr>
        <w:pStyle w:val="TtuloBOE"/>
      </w:pPr>
      <w:r>
        <w:t>(BOE núm. 196, de 15 de agosto de 2016)</w:t>
      </w:r>
    </w:p>
    <w:p w:rsidR="00A90898" w:rsidRDefault="00A90898" w:rsidP="00A90898">
      <w:pPr>
        <w:pStyle w:val="TextoNormalCentrado"/>
      </w:pPr>
      <w:r>
        <w:t>ECLI:ES:TC:2016:132</w:t>
      </w:r>
    </w:p>
    <w:p w:rsidR="00A90898" w:rsidRDefault="00A90898" w:rsidP="00A90898">
      <w:pPr>
        <w:pStyle w:val="TextoNormalCentrado"/>
      </w:pPr>
    </w:p>
    <w:p w:rsidR="00A90898" w:rsidRDefault="00A90898" w:rsidP="00A90898">
      <w:pPr>
        <w:pStyle w:val="SntesisDescriptiva"/>
      </w:pPr>
      <w:r>
        <w:t>Recurso de amparo 5671-2014. Promovido por el Ministerio Fiscal respecto de los Autos dictados por la Audiencia Provincial de Las Palmas y un Juzgado de Primera Instancia de Telde sobre internamiento involuntario por trastorno psiquiátrico.</w:t>
      </w:r>
    </w:p>
    <w:p w:rsidR="00A90898" w:rsidRDefault="00A90898" w:rsidP="00A90898">
      <w:pPr>
        <w:pStyle w:val="SntesisDescriptiva"/>
      </w:pPr>
    </w:p>
    <w:p w:rsidR="00A90898" w:rsidRDefault="00A90898" w:rsidP="00A90898">
      <w:pPr>
        <w:pStyle w:val="SntesisAnaltica"/>
      </w:pPr>
      <w:r>
        <w:t>Vulneración del derecho a la libertad personal: resoluciones judiciales que no adoptaron, de oficio, la medida cautelar de internamiento en proceso de incapacitación (STC 34/2016).</w:t>
      </w:r>
    </w:p>
    <w:p w:rsidR="00A90898" w:rsidRDefault="00A90898" w:rsidP="00A90898">
      <w:pPr>
        <w:pStyle w:val="SntesisAnaltica"/>
      </w:pPr>
    </w:p>
    <w:p w:rsidR="00A90898" w:rsidRDefault="00A90898" w:rsidP="00A90898">
      <w:pPr>
        <w:pStyle w:val="Extracto"/>
      </w:pPr>
      <w:r>
        <w:t>1.</w:t>
      </w:r>
      <w:r>
        <w:tab/>
        <w:t>Asunto sustancialmente idéntico al resuelto por la STC 34/2016, en relación con la doctrina sobre el procedimiento constitucionalmente adecuado para internamientos de personas con trastorno psiquiátrico en centros asistenciales o sociosanitarios [FFJJ 3, 6].</w:t>
      </w:r>
    </w:p>
    <w:p w:rsidR="00A90898" w:rsidRDefault="00A90898" w:rsidP="00A90898">
      <w:pPr>
        <w:pStyle w:val="Extracto"/>
      </w:pPr>
    </w:p>
    <w:p w:rsidR="00A90898" w:rsidRDefault="00A90898" w:rsidP="00A90898">
      <w:pPr>
        <w:pStyle w:val="Extracto"/>
      </w:pPr>
      <w:r>
        <w:t>2.</w:t>
      </w:r>
      <w:r>
        <w:tab/>
        <w:t>La especial trascendencia constitucional reside en la ausencia de doctrina previa sobre esta faceta del derecho fundamental a la libertad personal [FJ 2 b)].</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5671-2014, promovido por el Ministerio Fiscal, contra el Auto de 8 de mayo de 2014 del Juzgado de Primera Instancia núm. 4 de Telde, dictado en procedimiento de internamiento involuntario núm. 374-2014, y contra el Auto de la Sección Tercera de la Audiencia Provincial de Las Palmas, de 25 de julio de 2014, que desestimó el recurso de apelación núm. 488-2014, interpuesto contra el anterior.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22 de septiembre de 2014, el Ministerio Fiscal interpuso recurso de amparo contra las resoluciones judiciales a las que se ha hecho referencia en el encabezamiento.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Los hechos con relevancia para la resolución del presente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El 4 de abril de 2014 la directora de la residencia Taliarte, sita en la localidad de Telde (Gran Canaria), remitió escrito a los Juzgados de Primera Instancia del partido judicial de Telde solicitando la ratificación del internamiento involuntario por razón de trastorno psíquico de doña C.C.H., conforme a lo dispuesto en el art. 763 de la Ley de enjuiciamiento civil (LEC); la interesada, “como consecuencia de su falta de capacidad, no puede manifestar por sí misma su voluntad de ingreso y permanencia en este centro”. Señala que doña C.C.H. se encuentra ingresada en la residencia desde el día anterior a iniciativa de su nieta, quien ha realizado los trámites pertinentes; considera conveniente su permanencia allí porque “debido al estado de dependencia actual, doña C.C.H. requiere una total atención para realizar las actividades más básicas de la vida diaria, siendo el recurso más adecuado un centro sociosanitario”.</w:t>
      </w:r>
    </w:p>
    <w:p w:rsidR="00A90898" w:rsidRDefault="00A90898" w:rsidP="00A90898">
      <w:pPr>
        <w:pStyle w:val="TextoNormal"/>
      </w:pPr>
    </w:p>
    <w:p w:rsidR="00A90898" w:rsidRDefault="00A90898" w:rsidP="00A90898">
      <w:pPr>
        <w:pStyle w:val="TextoNormal"/>
      </w:pPr>
      <w:r>
        <w:t>Se adjunta a la solicitud de la directora de la residencia geriátrica un informe médico fechado el 3 de abril de 2014, en el que la facultativa que lo expide hace constar que doña C.C.H., nacida el 9 de mayo de 1919, tiene diagnosticadas las siguientes patologías: “arritmia cardiaca”, “demencia senil (simple o no complicada)” e “incontinencia de orina”; asimismo señala la facultativa en su informe que en el momento del ingreso en la residencia la paciente “evidencia claros síntomas de deterioro cognitivo y una manifiesta incapacidad para la toma de decisiones. Presenta una dependencia absoluta para las actividades básicas de la vida diaria. Es imprescindible que se le preste atención, cuidados y supervisión las 24 horas del día”.</w:t>
      </w:r>
    </w:p>
    <w:p w:rsidR="00A90898" w:rsidRDefault="00A90898" w:rsidP="00A90898">
      <w:pPr>
        <w:pStyle w:val="TextoNormal"/>
      </w:pPr>
    </w:p>
    <w:p w:rsidR="00A90898" w:rsidRDefault="00A90898" w:rsidP="00A90898">
      <w:pPr>
        <w:pStyle w:val="TextoNormal"/>
      </w:pPr>
      <w:r>
        <w:t>b) La anterior comunicación de la directora de la residencia fue registrada el 7 de abril de 2014 en el Juzgado de Primera Instancia núm. 4 de Telde, el cual, tras incoar el expediente de internamiento núm. 295-2014, dictó Auto el 9 de abril de 2014 acordando inadmitir a trámite la solicitud de ratificación de internamiento urgente de doña C.C.H. formulada por aquella. Considera el Juzgado que no se cumplen los presupuestos del art. 763 LEC y la doctrina constitucional al respecto (cita la STC 141/2012, de 2 de julio), para acordar la ratificación de la medida que se interesa; el internamiento no tiene el carácter de urgente que exige el precepto legal y “la intervención judicial debió en su caso solicitarse con carácter previo al ingreso, de apreciarse que doña C.C.H. estaba imposibilitada para prestar de forma voluntaria su consentimiento para el ingreso, y no con posterioridad como se pretende, atribuyendo el carácter de urgencia a una situación que desde luego no lo es”.</w:t>
      </w:r>
    </w:p>
    <w:p w:rsidR="00A90898" w:rsidRDefault="00A90898" w:rsidP="00A90898">
      <w:pPr>
        <w:pStyle w:val="TextoNormal"/>
      </w:pPr>
    </w:p>
    <w:p w:rsidR="00A90898" w:rsidRDefault="00A90898" w:rsidP="00A90898">
      <w:pPr>
        <w:pStyle w:val="TextoNormal"/>
      </w:pPr>
      <w:r>
        <w:t>c) Notificado dicho Auto a la Fiscalía el 16 de abril de 2014, el Ministerio Fiscal presentó escrito el 6 de mayo de 2014 ante el Juzgado de Primera Instancia de los del partido judicial de Telde que por turno corresponda, instando la incoación de procedimiento de internamiento no voluntario por razón de trastorno psíquico de doña C.C.H.</w:t>
      </w:r>
    </w:p>
    <w:p w:rsidR="00A90898" w:rsidRDefault="00A90898" w:rsidP="00A90898">
      <w:pPr>
        <w:pStyle w:val="TextoNormal"/>
      </w:pPr>
    </w:p>
    <w:p w:rsidR="00A90898" w:rsidRDefault="00A90898" w:rsidP="00A90898">
      <w:pPr>
        <w:pStyle w:val="TextoNormal"/>
      </w:pPr>
      <w:r>
        <w:t xml:space="preserve">El Ministerio Fiscal fundamentaba su solicitud en el art. 763 LEC, así como en los arts. 12, 14, 18 y 19 de la Convención de las Naciones Unidas sobre los derechos de las personas con discapacidad, de 13 de diciembre de 2006, y en el art. 4.2, apartados 7 y 8, de la Ley 39/2006, de 14 de diciembre, de promoción de la autonomía personal y atención a las personas en situación de dependencia. Por otra parte, destacaba que de la información facilitada por el centro sociosanitario en que la paciente está ingresada no se aprecia que se encuentre </w:t>
      </w:r>
      <w:r>
        <w:lastRenderedPageBreak/>
        <w:t>en una situación de desprotección que justifique la interposición de la correspondiente demanda de determinación de la incapacidad. Concluía el Fiscal su escrito solicitando del Juzgado que regularizase la situación en la que se hallaba doña C.C.H. y autorizara su ingreso no voluntario en la residencia Taliarte o en cualquier otro centro adecuado a su patología, conforme a lo previsto en el citado art. 763 LEC y de acuerdo con las garantías y controles establecidos en dicho precepto legal.</w:t>
      </w:r>
    </w:p>
    <w:p w:rsidR="00A90898" w:rsidRDefault="00A90898" w:rsidP="00A90898">
      <w:pPr>
        <w:pStyle w:val="TextoNormal"/>
      </w:pPr>
    </w:p>
    <w:p w:rsidR="00A90898" w:rsidRDefault="00A90898" w:rsidP="00A90898">
      <w:pPr>
        <w:pStyle w:val="TextoNormal"/>
      </w:pPr>
      <w:r>
        <w:t>d) El anterior escrito de la Fiscalía fue turnado y registrado, en fecha 6 de mayo de 2014, en el Juzgado de Primera Instancia núm. 4 de Telde, el cual, tras incoar el procedimiento de internamiento involuntario núm. 374-2014, dictó Auto el 8 de mayo de 2014 acordando inadmitir a trámite la solicitud de procedimiento especial de internamiento no voluntario de doña C.C.H., promovida por el Ministerio Fiscal. Razona el Juzgado que “la situación sometida a consideración de este órgano no tiene encaje en los supuestos regulados por el artículo 763 [LEC], pues, como consta en la documental aportada, doña C.C.H. ingresó en el centro el día tres de abril, sin que hubiera previa autorización y sin que concurrieran las razones de urgencia que justificaran su posterior ratificación, situación no prevista en el referido artículo quizá porque el legislador no lo quiso prever. Siendo así, la situación que ahora se presenta, es una situación nacida o producida extramuros de la regulación legal, y la regularización que se postula vendría a dar cobertura legal a una situación que no la tiene, acaso porque el legislador no quiso que, salvo en los supuestos de urgencia, se produjeran internamientos no voluntarios sin la preceptiva y previa autorización judicial. Por todo lo expuesto, y reiterando lo ya razonado, procede rechazar la solicitud planteada, toda vez que la intervención judicial debió en su caso solicitarse con carácter previo al ingreso, de apreciarse que doña C.C.H. estaba imposibilitada para prestar de forma voluntaria su consentimiento para el ingreso, y no con posterioridad como se pretende, cuando no concurren los requisitos legales para su ratificación”.</w:t>
      </w:r>
    </w:p>
    <w:p w:rsidR="00A90898" w:rsidRDefault="00A90898" w:rsidP="00A90898">
      <w:pPr>
        <w:pStyle w:val="TextoNormal"/>
      </w:pPr>
    </w:p>
    <w:p w:rsidR="00A90898" w:rsidRDefault="00A90898" w:rsidP="00A90898">
      <w:pPr>
        <w:pStyle w:val="TextoNormal"/>
      </w:pPr>
      <w:r>
        <w:t>e) Interpuesto contra el referido Auto recurso de apelación por el Ministerio Fiscal, la Sección Tercera de la Audiencia Provincial de Las Palmas lo desestimó mediante Auto de 25 de julio de 2014 (rollo de apelación núm. 488-2014).</w:t>
      </w:r>
    </w:p>
    <w:p w:rsidR="00A90898" w:rsidRDefault="00A90898" w:rsidP="00A90898">
      <w:pPr>
        <w:pStyle w:val="TextoNormal"/>
      </w:pPr>
    </w:p>
    <w:p w:rsidR="00A90898" w:rsidRDefault="00A90898" w:rsidP="00A90898">
      <w:pPr>
        <w:pStyle w:val="TextoNormal"/>
      </w:pPr>
      <w:r>
        <w:t>Después de reproducir los antecedentes más relevantes, la Audiencia Provincial se remite en su Auto a lo argumentado en anteriores resoluciones que cita, en las que ha resuelto cuestiones similares a la planteada en el recurso por la Fiscalía. Entiende que el procedimiento del art. 763 LEC es idóneo para conseguir el control judicial del internamiento involuntario de personas ancianas afectadas por enfermedades degenerativas que inciden en sus facultades cognitivas y volitivas, privándoles de capacidad de autodeterminación de su voluntad respecto a la conveniencia del internamiento en centros sociosanitarios. De conformidad con el art. 763 LEC, cabe diferenciar dos modalidades de internamiento, el ordinario, en el que la autorización es previa, y el urgente, en el que primero se practica el ingreso por razones de urgencia y luego inmediatamente el responsable del centro solicita la ratificación del mismo. En el supuesto enjuiciado, el procedimiento instado por el Fiscal es el ordinario, pues no existe urgencia en el internamiento, pero no cabe tramitar el procedimiento ordinario precisamente porque solo está previsto para el supuesto de que la autorización sea “previa al internamiento”. Cuando el internamiento ya se ha producido, no cabe pues tramitar el expediente para autorizar en forma ordinaria el internamiento. Concluye la Audiencia Provincial razonando que sí sería posible que el Fiscal instara las medidas cau</w:t>
      </w:r>
      <w:r>
        <w:lastRenderedPageBreak/>
        <w:t>telares del art. 762 LEC, “si bien hay que tener en cuenta que se trata de medidas solo posibles cuando se aprecie en la persona una posible causa de incapacitación, por lo que, aunque sea en fase posterior, debería iniciarse un proceso de incapacitación para la adecuada y definitiva protección de los intereses del presunto incapaz”.</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Ministerio Fiscal, tras exponer detalladamente las razones destinadas a cumplir la carga de justificar la especial trascendencia constitucional del recurso de amparo, conforme a los arts. 49.1 </w:t>
      </w:r>
      <w:r w:rsidRPr="00A90898">
        <w:rPr>
          <w:i/>
        </w:rPr>
        <w:t>in fine</w:t>
      </w:r>
      <w:r>
        <w:t xml:space="preserve"> y 50.1 b) LOTC, alega en su demanda que las resoluciones judiciales impugnadas han lesionado el derecho fundamental a la libertad personal del art. 17.1 CE, conforme a los razonamientos que seguidamente se resumen:</w:t>
      </w:r>
    </w:p>
    <w:p w:rsidR="00A90898" w:rsidRDefault="00A90898" w:rsidP="00A90898">
      <w:pPr>
        <w:pStyle w:val="TextoNormal"/>
      </w:pPr>
    </w:p>
    <w:p w:rsidR="00A90898" w:rsidRDefault="00A90898" w:rsidP="00A90898">
      <w:pPr>
        <w:pStyle w:val="TextoNormal"/>
      </w:pPr>
      <w:r>
        <w:t>Las argumentaciones contenidas en las resoluciones impugnadas no pueden compartirse, pues son fruto de una interpretación excesivamente formalista del art. 763 LEC y presentan un carácter circular que conduce de forma irremediable, como consecuencia última, a una situación jurídica de total ausencia de control judicial de los internamientos no voluntarios en centros sociosanitarios cuando la persona ingresada padece una situación de grave deterioro cognitivo que le impide decidir libremente sobre su internamiento y permanencia en el centro, como sucede en el presente caso.</w:t>
      </w:r>
    </w:p>
    <w:p w:rsidR="00A90898" w:rsidRDefault="00A90898" w:rsidP="00A90898">
      <w:pPr>
        <w:pStyle w:val="TextoNormal"/>
      </w:pPr>
    </w:p>
    <w:p w:rsidR="00A90898" w:rsidRDefault="00A90898" w:rsidP="00A90898">
      <w:pPr>
        <w:pStyle w:val="TextoNormal"/>
      </w:pPr>
      <w:r>
        <w:t xml:space="preserve">El internamiento no voluntario por razón de trastorno psíquico es una medida privativa de libertad, que comporta una afectación del derecho fundamental a la libertad personal (art. 17.1 CE) y se encuentra sujeta a las garantías previstas tanto por el art. 763 LEC como por el art. 5, apartados 1 e) y 4 del Convenio europeo para la protección de los derechos humanos y libertades fundamentales (CEDH), y el art. 9.1 del Pacto internacional de los derechos civiles y políticos, según la interpretación dada a este precepto por el Comité de Derechos Humanos de la ONU. La doctrina del Tribunal Constitucional ha destacado la incidencia de esta modalidad de internamiento sobre el derecho fundamental del art. 17.1 CE (se citan las SSTC 104/1990, FJ 2; 129/1999, FJ 2; 131/2010, FJ 2; 132/2010, FJ 2, y 141/2012, FJ 3), mientras que la jurisprudencia del Tribunal Europeo de Derechos Humanos exige que el procedimiento respete los principios que dimanan de la noción de proceso justo del art. 6.1 CEDH (se citan las SSTEDH asuntos </w:t>
      </w:r>
      <w:r w:rsidRPr="00A90898">
        <w:rPr>
          <w:i/>
        </w:rPr>
        <w:t>Wassink c. Holanda</w:t>
      </w:r>
      <w:r>
        <w:t xml:space="preserve">, de 27 de septiembre de 1990, § 24; </w:t>
      </w:r>
      <w:r w:rsidRPr="00A90898">
        <w:rPr>
          <w:i/>
        </w:rPr>
        <w:t>Benham c, Reino Unido</w:t>
      </w:r>
      <w:r>
        <w:t xml:space="preserve">, 10 junio 1996, § 40; </w:t>
      </w:r>
      <w:r w:rsidRPr="00A90898">
        <w:rPr>
          <w:i/>
        </w:rPr>
        <w:t>S. c. Estonia</w:t>
      </w:r>
      <w:r>
        <w:t xml:space="preserve">, de 4 octubre 2011, § 41, y </w:t>
      </w:r>
      <w:r w:rsidRPr="00A90898">
        <w:rPr>
          <w:i/>
        </w:rPr>
        <w:t>Winterwerp c. Holanda</w:t>
      </w:r>
      <w:r>
        <w:t>, de 24 de octubre 1979, §§ 44 y 60).</w:t>
      </w:r>
    </w:p>
    <w:p w:rsidR="00A90898" w:rsidRDefault="00A90898" w:rsidP="00A90898">
      <w:pPr>
        <w:pStyle w:val="TextoNormal"/>
      </w:pPr>
    </w:p>
    <w:p w:rsidR="00A90898" w:rsidRDefault="00A90898" w:rsidP="00A90898">
      <w:pPr>
        <w:pStyle w:val="TextoNormal"/>
      </w:pPr>
      <w:r>
        <w:t>Afirma seguidamente que el procedimiento del art. 763 LEC y, por tanto, la exigencia de autorización o control judicial del internamiento, se vienen aplicando de forma habitual en los casos de ingresos en centros o unidades psiquiátricas, con una finalidad curativa o de tratamiento temporal de la enfermedad mental, cuando a causa de su salud mental la persona no se encuentra en condiciones de decidir por sí misma. Es precisamente la situación de discapacidad psíquica o mental de la persona la que torna en ineludible la exigencia de autorización (previa) o ratificación judicial (posterior) de su ingreso. Conforme a esta premisa no hay razón alguna por la que deba prescindirse de este control judicial cuando el ingreso se lleva a cabo en centros sociosanitarios o geriátricos, ante la imposibilidad de que la persona ingresada pueda cubrir fuera del entorno residencial sus necesidades más elementales, a consecuencia del deterioro cognitivo que padece. Lo verdaderamente relevante, a efectos de exigir el control judicial, no es el tipo de centro o unidad en donde tiene lugar el ingreso, ni su finalidad (curativa, terapéutica o asistencial), ni siquiera su vocación temporal o per</w:t>
      </w:r>
      <w:r>
        <w:lastRenderedPageBreak/>
        <w:t>manente, sino la clase de trastorno psíquico que sufre la persona; que la misma no se encuentre en condiciones de decidir por sí misma, como dispone expresamente el citado art. 763 LEC, que habla de “centro”, sin ningún calificativo más: no lo restringe, por tanto, a los centros o unidades psiquiátricas.</w:t>
      </w:r>
    </w:p>
    <w:p w:rsidR="00A90898" w:rsidRDefault="00A90898" w:rsidP="00A90898">
      <w:pPr>
        <w:pStyle w:val="TextoNormal"/>
      </w:pPr>
    </w:p>
    <w:p w:rsidR="00A90898" w:rsidRDefault="00A90898" w:rsidP="00A90898">
      <w:pPr>
        <w:pStyle w:val="TextoNormal"/>
      </w:pPr>
      <w:r>
        <w:t>El Fiscal se refiere luego a las circunstancias del presente caso, precisando que la dirección de la residencia en la que fue ingresada doña C.C.H. solicitó inmediatamente al Juez la incoación de procedimiento especial de internamiento no voluntario, conforme a lo previsto en el art. 763 LEC, al considerar, de acuerdo con el examen médico al que la paciente fue sometida el mismo día de su ingreso, que no podía manifestar por sí misma su voluntad de ingreso y permanencia en el centro, dado el grave deterioro cognitivo que padece. La inadmisión a trámite de dicha solicitud, por Auto de 9 de abril de 2014 del Juzgado de Primera Instancia núm. 4 de Telde, motivó que la Fiscalía instase, sin éxito, la incoación del procedimiento de internamiento no voluntario por razón de trastorno psíquico de doña C.C.H.</w:t>
      </w:r>
    </w:p>
    <w:p w:rsidR="00A90898" w:rsidRDefault="00A90898" w:rsidP="00A90898">
      <w:pPr>
        <w:pStyle w:val="TextoNormal"/>
      </w:pPr>
    </w:p>
    <w:p w:rsidR="00A90898" w:rsidRDefault="00A90898" w:rsidP="00A90898">
      <w:pPr>
        <w:pStyle w:val="TextoNormal"/>
      </w:pPr>
      <w:r>
        <w:t>Reconoce el Fiscal que en el presente caso, a diferencia de otros supuestos, la Audiencia Provincial de Las Palmas, en su Auto de 25 de julio de 2014 por el que desestima la apelación de la Fiscalía, admitió la idoneidad del procedimiento regulado en el art. 763 LEC para conseguir el control judicial del internamiento involuntario en centros sociosanitarios de personas que tienen afectadas sus facultades cognitivas y volitivas. Pronunciamiento este que, por tanto, no es objeto de censura ni impugnación en este recurso amparo, al coincidir con el criterio que ha defendido en esta materia.</w:t>
      </w:r>
    </w:p>
    <w:p w:rsidR="00A90898" w:rsidRDefault="00A90898" w:rsidP="00A90898">
      <w:pPr>
        <w:pStyle w:val="TextoNormal"/>
      </w:pPr>
    </w:p>
    <w:p w:rsidR="00A90898" w:rsidRDefault="00A90898" w:rsidP="00A90898">
      <w:pPr>
        <w:pStyle w:val="TextoNormal"/>
      </w:pPr>
      <w:r>
        <w:t xml:space="preserve">No obstante, no se comparten los argumentos utilizados por los órganos judiciales para inadmitir </w:t>
      </w:r>
      <w:r w:rsidRPr="00A90898">
        <w:rPr>
          <w:i/>
        </w:rPr>
        <w:t>a limine</w:t>
      </w:r>
      <w:r>
        <w:t xml:space="preserve"> la solicitud planteada por la Fiscalía de regularización judicial del internamiento de doña C.C.H. y desestimar, con posterioridad, su recurso de apelación, por entender que no concurría una situación de urgencia, lo que impide tramitar el procedimiento de internamiento no voluntario por la vía ordinaria, pues la paciente ya se encontraba ingresada en un centro. Considera el Fiscal que estos razonamientos suponen una interpretación del procedimiento regulado en el art. 763 LEC lesiva del derecho fundamental a la libertad (art. 17.1 CE). La solicitud dirigida a obtener la ratificación y control judicial del internamiento de doña C.C.H. no vino motivada por su avanzada edad, sino por el grave deterioro cognitivo que padece y que le impide tomar decisiones por sí misma (lo que consta en el informe médico emitido). Esto encaja plenamente en el concepto de “trastorno psíquico” del art. 763 LEC, a los efectos del pertinente control judicial del internamiento. Constatada esa inicial situación de trastorno psíquico de doña C.C.H., no parece correcto inadmitir </w:t>
      </w:r>
      <w:r w:rsidRPr="00A90898">
        <w:rPr>
          <w:i/>
        </w:rPr>
        <w:t>a limine</w:t>
      </w:r>
      <w:r>
        <w:t xml:space="preserve"> la solicitud de control judicial de su ingreso en el centro residencial en el que fue internada a instancias de su nieta, sin practicar las diligencias establecidas en el propio art. 763 LEC, como garantías de carácter constitucional, singularmente el examen de la persona ingresada por parte del Juez y su exploración por un facultativo de designación judicial, a los efectos de constatar si estaba o no en condiciones de consentir su ingreso por razón del deterioro cognitivo que presentaba. Más aún cuando el concepto de “urgencia” presenta un significado esencialmente médico y no jurídico.</w:t>
      </w:r>
    </w:p>
    <w:p w:rsidR="00A90898" w:rsidRDefault="00A90898" w:rsidP="00A90898">
      <w:pPr>
        <w:pStyle w:val="TextoNormal"/>
      </w:pPr>
    </w:p>
    <w:p w:rsidR="00A90898" w:rsidRDefault="00A90898" w:rsidP="00A90898">
      <w:pPr>
        <w:pStyle w:val="TextoNormal"/>
      </w:pPr>
      <w:r>
        <w:t xml:space="preserve">Ciertamente, de la documentación obrante en las actuaciones resulta acreditado que no se solicitó con carácter previo autorización judicial para el ingreso de doña C.C.H. en la residencia geriátrica, ocurrido el 3 de abril de 2014. Sin embargo, esta pretendida “irregularidad” no puede utilizarse como argumento para excluir todo tipo de control judicial del </w:t>
      </w:r>
      <w:r>
        <w:lastRenderedPageBreak/>
        <w:t xml:space="preserve">internamiento. Además, debe tenerse en cuenta que la dirección del centro cumplió cabalmente la obligación de comunicación a la autoridad judicial en el plazo de 24 horas que establece el art. 763 LEC. La comunicación se produjo al día siguiente del ingreso y fue registrada en el Decanato de los Juzgados de Primera Instancia de Telde ese mismo día 4 de abril de 2014, si bien no fue repartida por el Decanato ni registrada en el Juzgado de Primera Instancia núm. 4 de Telde hasta el 7 de abril. Por tanto, en el momento en que este Juzgado resuelve por Auto de 9 de abril de 2014 inadmitir a trámite la solicitud de ratificación de internamiento urgente de doña C.C.H., ya había vencido el plazo de 72 horas que preceptúa el art. 763 LEC. No es pues correcto utilizar como argumento para sostener la inadmisión de la incoación del procedimiento el incumplimiento de los plazos legales; como hace el posterior Auto de 8 de mayo de 2014 del mismo Juzgado, cuando indica que el plazo de 24 horas del art. 763 LEC se había sobrepasado notablemente, lo que no es cierto: ese plazo legal de comunicación fue escrupulosamente respetado por la dirección del centro. Fue el Juzgado, por el contrario, quien incumplió el plazo de 72 horas que establece dicho precepto. Además, acordó la inadmisión </w:t>
      </w:r>
      <w:r w:rsidRPr="00A90898">
        <w:rPr>
          <w:i/>
        </w:rPr>
        <w:t>a limine</w:t>
      </w:r>
      <w:r>
        <w:t xml:space="preserve"> de la solicitud argumentando que no concurrían razones de urgencia, sin comprobar siquiera el estado en que se encontraba la paciente.</w:t>
      </w:r>
    </w:p>
    <w:p w:rsidR="00A90898" w:rsidRDefault="00A90898" w:rsidP="00A90898">
      <w:pPr>
        <w:pStyle w:val="TextoNormal"/>
      </w:pPr>
    </w:p>
    <w:p w:rsidR="00A90898" w:rsidRDefault="00A90898" w:rsidP="00A90898">
      <w:pPr>
        <w:pStyle w:val="TextoNormal"/>
      </w:pPr>
      <w:r>
        <w:t xml:space="preserve">Las resoluciones judiciales recurridas en amparo olvidan la justificación teleológica del control judicial de las situaciones de ingreso no voluntario del art. 763 LEC; que no es otra que garantizar la legalidad de una medida que incuestionablemente supone una restricción del derecho a la libertad (art. 17.1 CE), así como el cumplimiento de las condiciones exigidas por la doctrina del Tribunal Constitucional y la jurisprudencia del Tribunal Europeo de Derechos Humanos. De este modo, la decisión adoptada en el presente caso por los órganos judiciales produce </w:t>
      </w:r>
      <w:r w:rsidRPr="00A90898">
        <w:rPr>
          <w:i/>
        </w:rPr>
        <w:t>de facto</w:t>
      </w:r>
      <w:r>
        <w:t xml:space="preserve"> la renuncia al control judicial y, por tanto, como efecto jurídico, la perpetuación de una situación de privación de libertad que el propio Juzgado de Primera Instancia núm. 4 de Telde califica de “nacida o producida extramuros de la regulación legal”; lo que hace que las resoluciones judiciales impugnadas carezcan de toda razonabilidad constitucional.</w:t>
      </w:r>
    </w:p>
    <w:p w:rsidR="00A90898" w:rsidRDefault="00A90898" w:rsidP="00A90898">
      <w:pPr>
        <w:pStyle w:val="TextoNormal"/>
      </w:pPr>
    </w:p>
    <w:p w:rsidR="00A90898" w:rsidRDefault="00A90898" w:rsidP="00A90898">
      <w:pPr>
        <w:pStyle w:val="TextoNormal"/>
      </w:pPr>
      <w:r>
        <w:t>La propia situación de especial vulnerabilidad en que se encuentra el colectivo de personas mayores ingresadas en residencias, que por sufrir un deterioro cognitivo progresivo carecen de la capacidad de autodeterminación, obliga a los órganos judiciales a interpretar el art. 763 LEC adaptándolo a las concretas circunstancias concurrentes, introduciendo aquellos ajustes que sean razonables para proteger su derecho a la libertad, de acuerdo con las exigencias de los textos internacionales sobre derechos humanos a los que se ha hecho referencia, así como de la jurisprudencia del Tribunal Constitucional y del Tribunal Europeo de Derechos Humanos ya citada.</w:t>
      </w:r>
    </w:p>
    <w:p w:rsidR="00A90898" w:rsidRDefault="00A90898" w:rsidP="00A90898">
      <w:pPr>
        <w:pStyle w:val="TextoNormal"/>
      </w:pPr>
    </w:p>
    <w:p w:rsidR="00A90898" w:rsidRDefault="00A90898" w:rsidP="00A90898">
      <w:pPr>
        <w:pStyle w:val="TextoNormal"/>
      </w:pPr>
      <w:r>
        <w:t xml:space="preserve">Concluye el Ministerio Fiscal sus alegaciones refiriéndose a la posibilidad apuntada en las resoluciones impugnadas de regularizar la situación de doña C.C.H. no a través de la vía procesal del art. 763 LEC, sino del proceso de incapacitación del art. 762 LEC. Considera el Fiscal que tal fórmula “deviene una solución contraria a los principios que inspiran el actual modelo de protección de las personas con discapacidad, según resulta de la Convención sobre derechos de las personas con discapacidad. Modelo que descansa, como ejes vertebradores, en el respeto de sus derechos, en la promoción y favorecimiento de su autonomía personal y en el reconocimiento de su capacidad jurídica y la adopción de apoyos y salvaguardas adecuadas y proporcionales que aseguren su ejercicio" (art. 12 de la Convención). El nuevo modelo de “apoyos y asistencia en la toma de decisiones” que impone el </w:t>
      </w:r>
      <w:r>
        <w:lastRenderedPageBreak/>
        <w:t>texto convencional conlleva una superación del modelo clásico de incapacitación y tutela judicial. En terminología tradicional, la Sección Tercera de la Audiencia Provincial de Las Palmas confunde internamiento e incapacitación, sin tener en cuenta que son dos realidades distintas y que tratan de dar respuesta jurídica a supuestos diferentes. Así, no todo internamiento de una persona debe provocar, necesariamente, su “incapacitación judicial”, ni toda “incapacitación judicial” debe dar lugar a un internamiento de la persona, como así se expuso por la Fiscalía en su recurso de apelación.</w:t>
      </w:r>
    </w:p>
    <w:p w:rsidR="00A90898" w:rsidRDefault="00A90898" w:rsidP="00A90898">
      <w:pPr>
        <w:pStyle w:val="TextoNormal"/>
      </w:pPr>
    </w:p>
    <w:p w:rsidR="00A90898" w:rsidRDefault="00A90898" w:rsidP="00A90898">
      <w:pPr>
        <w:pStyle w:val="TextoNormal"/>
      </w:pPr>
      <w:r>
        <w:t>Por todo ello solicita el Fiscal el otorgamiento del amparo por vulneración del derecho a la libertad personal (art. 17.1 CE), declarando la nulidad de los Autos recurridos y ordenando la retroacción de actuaciones al momento inmediatamente anterior a dictarse el Auto de 8 de mayo de 2014 del Juzgado de Primera Instancia núm. 4 de Telde, con el fin de que por este órgano judicial se dicte una nueva resolución respetuosa con el derecho a la libertad personal.</w:t>
      </w:r>
    </w:p>
    <w:p w:rsidR="00A90898" w:rsidRDefault="00A90898" w:rsidP="00A90898">
      <w:pPr>
        <w:pStyle w:val="TextoNormal"/>
      </w:pPr>
    </w:p>
    <w:p w:rsidR="00A90898" w:rsidRDefault="00A90898" w:rsidP="00A90898">
      <w:pPr>
        <w:pStyle w:val="TextoNormal"/>
      </w:pPr>
      <w:r w:rsidRPr="00A90898">
        <w:rPr>
          <w:rStyle w:val="NumeroAFNegritaCaracter"/>
        </w:rPr>
        <w:t>4</w:t>
      </w:r>
      <w:r>
        <w:t>. Con fecha 14 de marzo de 2016, la Sala Primera de este Tribunal dictó providencia admitiendo a trámite la demanda de amparo, “apreciando que concurre en el mismo una especial trascendencia constitucional (art. 50.1 LOTC) porque el recurso plantea un problema o afecta a una faceta de un derecho fundamental sobre el que no hay doctrina de este Tribunal [STC 155/2009, FJ 2 a)]”. Asimismo se acordó, conforme a lo dispuesto en el art. 51 LOTC, dirigir atenta comunicación a la Sección Tercera de la Audiencia Provincial de Las Palmas y al Juzgado de Primera Instancia núm. 4 de Telde, a fin de que, en plazo que no exceda de diez días, remitieran certificación o copia adverada de las actuaciones correspondientes al rollo de apelación núm. 488-2014 y al procedimiento de internamiento involuntario núm. 374-2014, respectivamente; con emplazamiento por dicho Juzgado a quienes hubiesen sido parte en el procedimiento, con el fin de poder comparecer en el presente recurso, si lo desearen, en un plazo de diez días. Asimismo, conforme a lo previsto en el art. 46.2 LOTC, se ordenó publicar la admisión del recurso en el “Boletín Oficial del Estado”, a efectos de comparecencia de otros posibles interesados que podrán personarse ante este Tribunal dentro de los diez días siguientes a la publicación del edicto.</w:t>
      </w:r>
    </w:p>
    <w:p w:rsidR="00A90898" w:rsidRDefault="00A90898" w:rsidP="00A90898">
      <w:pPr>
        <w:pStyle w:val="TextoNormal"/>
      </w:pPr>
    </w:p>
    <w:p w:rsidR="00A90898" w:rsidRDefault="00A90898" w:rsidP="00A90898">
      <w:pPr>
        <w:pStyle w:val="TextoNormal"/>
      </w:pPr>
      <w:r w:rsidRPr="00A90898">
        <w:rPr>
          <w:rStyle w:val="NumeroAFNegritaCaracter"/>
        </w:rPr>
        <w:t>5</w:t>
      </w:r>
      <w:r>
        <w:t>. La Secretaría de Justicia de la Sala Primera de este Tribunal dictó diligencia de ordenación el 28 de abril de 2016, teniendo por recibidos los testimonios de actuaciones remitidos por la Sección Tercera de la Audiencia Provincial de Las Palmas y el Juzgado de Primera Instancia núm. 4 de Telde. Asimismo acordó, conforme a lo dispuesto en el art. 52 LOTC, dar vista de las actuaciones por un plazo de veinte días al Ministerio Fiscal, única parte que ha comparecido, para que en dicho término pueda presentar las alegaciones que a su derecho convengan.</w:t>
      </w:r>
    </w:p>
    <w:p w:rsidR="00A90898" w:rsidRDefault="00A90898" w:rsidP="00A90898">
      <w:pPr>
        <w:pStyle w:val="TextoNormal"/>
      </w:pPr>
    </w:p>
    <w:p w:rsidR="00A90898" w:rsidRDefault="00A90898" w:rsidP="00A90898">
      <w:pPr>
        <w:pStyle w:val="TextoNormal"/>
      </w:pPr>
      <w:r w:rsidRPr="00A90898">
        <w:rPr>
          <w:rStyle w:val="NumeroAFNegritaCaracter"/>
        </w:rPr>
        <w:t>6</w:t>
      </w:r>
      <w:r>
        <w:t>. El Ministerio Fiscal presentó su escrito de alegaciones el 9 de junio de 2016, reiterando las argumentaciones contenidas en la demanda de amparo, a lo que añade que la tesis que en esta se sostiene ha sido avalada por este Tribunal en la STC 34/2016, de 29 de febrero, en un supuesto sustancialmente idéntico al presente, y a cuya doctrina el Fiscal hace referencia por extenso en su escrito de alegaciones. Por todo ello, interesa la estimación del recurso de amparo.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7</w:t>
      </w:r>
      <w:r>
        <w:t>. Por providencia de 14 de julio de 2016, se señaló para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Se interpone el presente recurso de amparo por el Ministerio Fiscal contra el Auto de 8 de mayo de 2014 del Juzgado de Primera Instancia núm. 4 de Telde, dictado en procedimiento de internamiento involuntario núm. 374-2014, que acordó inadmitir la solicitud de internamiento no voluntario de doña C.C.H., promovida por la Fiscalía. También contra el Auto de la Sección Tercera de la Audiencia Provincial de Las Palmas, de 25 de julio de 2014, que desestimó el recurso de apelación núm. 488-2014, interpuesto frente a aquella resolución. En síntesis, se alega que dichas resoluciones judiciales han vulnerado el derecho fundamental a la libertad personal (art. 17.1 CE) de la persona internada, por cuanto no se ha ejercitado el necesario control judicial respecto de una situación que resulta privativa de su libertad. El Fiscal entiende que se cumplían en el presente caso los requisitos para que procediera el internamiento por razones de trastorno psíquico de doña C.C.H., mediando la ratificación del Juez a través del procedimiento especial regulado en el art. 763 de la Ley de enjuiciamiento civil (LEC).</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entrar a examinar la cuestión planteada por el Ministerio Fiscal debemos efectuar las precisiones siguientes.</w:t>
      </w:r>
    </w:p>
    <w:p w:rsidR="00A90898" w:rsidRDefault="00A90898" w:rsidP="00A90898">
      <w:pPr>
        <w:pStyle w:val="TextoNormal"/>
      </w:pPr>
    </w:p>
    <w:p w:rsidR="00A90898" w:rsidRDefault="00A90898" w:rsidP="00A90898">
      <w:pPr>
        <w:pStyle w:val="TextoNormal"/>
      </w:pPr>
      <w:r>
        <w:t>a) En primer lugar, que el Fiscal ante este Tribunal Constitucional actúa como promotor del presente recurso de amparo, con la legitimación que le conceden los arts. 162.1 b) CE, 46.1 b) de la Ley Orgánica del Tribunal Constitucional (LOTC) y 3.11 de la Ley 50/1981, de 30 de diciembre, que aprueba el Estatuto Orgánico del Ministerio Fiscal, en cuanto esta institución es portadora de un interés público para velar por la integridad y efectividad de los derechos de los ciudadanos [por todas, SSTC 17/2006, de 30 de enero, FJ 4; 182/2015, de 7 de septiembre, FJ 2, y 34/2016, de 29 de febrero, FJ 2 a)].</w:t>
      </w:r>
    </w:p>
    <w:p w:rsidR="00A90898" w:rsidRDefault="00A90898" w:rsidP="00A90898">
      <w:pPr>
        <w:pStyle w:val="TextoNormal"/>
      </w:pPr>
    </w:p>
    <w:p w:rsidR="00A90898" w:rsidRDefault="00A90898" w:rsidP="00A90898">
      <w:pPr>
        <w:pStyle w:val="TextoNormal"/>
      </w:pPr>
      <w:r>
        <w:t>b) En segundo lugar, que la admisión a trámite del recurso de amparo fue acordada al apreciarse su especial trascendencia constitucional [art. 50.1 b) LOTC], porque el recurso plantea un problema o afecta a una faceta del derecho fundamental a la libertad personal (art. 17.1 CE) sobre el que no existe doctrina específica de este Tribunal [STC 155/2009, de 25 de junio FJ 2, a)]; en concreto, acerca de cuál ha de ser el procedimiento constitucionalmente adecuado para el control judicial del internamiento en centros asistenciales o sociosanitarios de personas ancianas que, por sufrir un deterioro severo de sus facultades cognitivas, carecen de la capacidad de decidir libremente sobre su ingreso o permanencia en dichos centros.</w:t>
      </w:r>
    </w:p>
    <w:p w:rsidR="00A90898" w:rsidRDefault="00A90898" w:rsidP="00A90898">
      <w:pPr>
        <w:pStyle w:val="TextoNormal"/>
      </w:pPr>
    </w:p>
    <w:p w:rsidR="00A90898" w:rsidRDefault="00A90898" w:rsidP="00A90898">
      <w:pPr>
        <w:pStyle w:val="TextoNormal"/>
      </w:pPr>
      <w:r>
        <w:t xml:space="preserve">La anterior precisión se formula “en salvaguarda del principio de seguridad jurídica que, conforme a la Sentencia del Tribunal Europeo de Derechos Humanos de 20 de enero de 2015, dictada en el asunto </w:t>
      </w:r>
      <w:r w:rsidRPr="00A90898">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A90898" w:rsidRDefault="00A90898" w:rsidP="00A90898">
      <w:pPr>
        <w:pStyle w:val="TextoNormal"/>
      </w:pPr>
    </w:p>
    <w:p w:rsidR="00A90898" w:rsidRDefault="00A90898" w:rsidP="00A90898">
      <w:pPr>
        <w:pStyle w:val="TextoNormal"/>
      </w:pPr>
      <w:r>
        <w:t>c) Debemos asimismo indicar que, de acuerdo con las potestades atribuidas a este Tribunal por el art. 86.3 LOTC y el Acuerdo del Pleno de 23 de julio de 2015, en materia de protección de datos de carácter personal en el ámbito de la publicación y difusión de sus resoluciones jurisdiccionales, la presente Sentencia no incluye la identificación completa de la persona sometida a internamiento por razón de trastorno psíquico, cuyos derechos ha tutelado el Ministerio Fiscal mediante la interposición del presente recurso de amparo, con el fin de proteger así su intimidad “teniendo en cuenta los hechos del caso (SSTC 114/2006, de 5 de abril, FJ 7; 176/2008, de 22 de diciembre, FJ 9; y 77/2009, de 23 de marzo, FJ 5)” [STC 141/2012, de 2 de julio, FJ 8; en el mismo sentido, SSTC 182/2015, de 7 de septiembre, FJ 2; 13/2016, de 1 de febrero, FJ 1, y 34/2016, de 29 de febrero, FJ 1, entre otras].</w:t>
      </w:r>
    </w:p>
    <w:p w:rsidR="00A90898" w:rsidRDefault="00A90898" w:rsidP="00A90898">
      <w:pPr>
        <w:pStyle w:val="TextoNormal"/>
      </w:pPr>
    </w:p>
    <w:p w:rsidR="00A90898" w:rsidRDefault="00A90898" w:rsidP="00A90898">
      <w:pPr>
        <w:pStyle w:val="TextoNormal"/>
      </w:pPr>
      <w:r w:rsidRPr="00A90898">
        <w:rPr>
          <w:rStyle w:val="NumeroAFNegritaCaracter"/>
        </w:rPr>
        <w:t>3</w:t>
      </w:r>
      <w:r>
        <w:t>. Sentadas las precisiones que anteceden, entramos a examinar la cuestión planteada en la demanda de amparo por el Ministerio Fiscal, quien considera que las resoluciones judiciales impugnadas han vulnerado el derecho fundamental a la libertad personal (art. 17.1 CE) de doña C.C.H. al inadmitir la solicitud de internamiento no voluntario de doña C.C.H., promovida por la Fiscalía por los trámites del art. 763 LEC, con fundamento en una interpretación de este precepto que el Fiscal considera excesivamente formalista y que conduce a una situación de ausencia de control judicial de los internamientos en centros sociosanitarios cuando la persona ingresada padece un grave deterioro cognitivo que le impide decidir libremente sobre su internamiento y permanencia en el centro, como sucede en el presente caso.</w:t>
      </w:r>
    </w:p>
    <w:p w:rsidR="00A90898" w:rsidRDefault="00A90898" w:rsidP="00A90898">
      <w:pPr>
        <w:pStyle w:val="TextoNormal"/>
      </w:pPr>
    </w:p>
    <w:p w:rsidR="00A90898" w:rsidRDefault="00A90898" w:rsidP="00A90898">
      <w:pPr>
        <w:pStyle w:val="TextoNormal"/>
      </w:pPr>
      <w:r>
        <w:t>Para el Fiscal, esa autorización judicial ha de concederse a través del proceso especial del art. 763 LEC, y toda negativa a otorgarla por esta vía supone vulnerar el derecho a la libertad (art. 17.1 CE) de la persona afectada. En cambio, las resoluciones judiciales recurridas, sin negar que se trate de una situación privativa de libertad que debe ser sujeta a control judicial, sostienen el criterio de que la autorización correspondiente ha de instarse dentro del proceso para la declaración de incapacidad de los arts. 756 a 762 LEC; nunca por los trámites del procedimiento del art. 763 LEC, pues faltaría en casos como el presente, en el que ya se ha producido el ingreso en el centro correspondiente, el requisito de la “urgencia” que exige este precepto como uno de sus presupuestos de procedencia.</w:t>
      </w:r>
    </w:p>
    <w:p w:rsidR="00A90898" w:rsidRDefault="00A90898" w:rsidP="00A90898">
      <w:pPr>
        <w:pStyle w:val="TextoNormal"/>
      </w:pPr>
    </w:p>
    <w:p w:rsidR="00A90898" w:rsidRDefault="00A90898" w:rsidP="00A90898">
      <w:pPr>
        <w:pStyle w:val="TextoNormal"/>
      </w:pPr>
      <w:r>
        <w:t>Así planteado el problema constitucional que se somete a nuestra consideración, debemos señalar que, como el propio Ministerio Fiscal advierte en su escrito de alegaciones del art. 52 LOTC, estamos ante una cuestión sobre la que ya nos hemos pronunciado en la reciente STC 34/2016, de 29 de febrero, en un supuesto que guarda notoria similitud con el presente. Allí se dijo que para responder adecuadamente a la cuestión que se plantea han de analizarse dos problemas conectados entre sí: en primer lugar, si cabe hablar en nuestro ordenamiento de la posibilidad de “regularización” de internamientos involuntarios por causa de trastorno psíquico que ya se han consumado. En segundo lugar (y en función de lo anterior), si resulta correcta desde la perspectiva del derecho fundamental a la libertad (art. 17.1 CE) la decisión adoptada en este caso por los órganos judiciales de rechazar la idoneidad del procedimiento del art. 763 LEC, instado por la Fiscalía, para controlar la regularidad del internamiento de doña C.C.H. en la residencia en que se encontraba ingresada.</w:t>
      </w:r>
    </w:p>
    <w:p w:rsidR="00A90898" w:rsidRDefault="00A90898" w:rsidP="00A90898">
      <w:pPr>
        <w:pStyle w:val="TextoNormal"/>
      </w:pPr>
    </w:p>
    <w:p w:rsidR="00A90898" w:rsidRDefault="00A90898" w:rsidP="00A90898">
      <w:pPr>
        <w:pStyle w:val="TextoNormal"/>
      </w:pPr>
      <w:r>
        <w:t xml:space="preserve">Abordaremos, en consecuencia, la cuestión que se plantea en el presente recurso de amparo a la luz de la doctrina sentada en la citada STC 34/2016, no sin antes recordar que, </w:t>
      </w:r>
      <w:r>
        <w:lastRenderedPageBreak/>
        <w:t>como ya dijimos en la también citada STC 13/2016, FJ 3 (y reiterado en la misma STC 34/2016, FJ 5), “nada obsta a que una residencia geriátrica pueda ser el ‘centro’ al que se refiere el art. 763.1 LEC, siempre que, además de cumplir con todos los requerimientos legales y administrativos para su funcionamiento, se halle en condiciones de cumplir con esas condiciones imprescindibles para el tratamiento psiquiátrico” a las que alude la propia STC 13/2016, FJ 3 (“si el centro dispone de médicos psiquiatras que puedan emitir informe que diagnostique el trastorno mental del afectado y motive en su caso la necesidad del internamiento, y si el centro cuenta con los equipos y recursos materiales … que se requieran para el cuidado integral del interno y para iniciar el tratamiento terapéutico que precise”).</w:t>
      </w:r>
    </w:p>
    <w:p w:rsidR="00A90898" w:rsidRDefault="00A90898" w:rsidP="00A90898">
      <w:pPr>
        <w:pStyle w:val="TextoNormal"/>
      </w:pPr>
    </w:p>
    <w:p w:rsidR="00A90898" w:rsidRDefault="00A90898" w:rsidP="00A90898">
      <w:pPr>
        <w:pStyle w:val="TextoNormal"/>
      </w:pPr>
      <w:r w:rsidRPr="00A90898">
        <w:rPr>
          <w:rStyle w:val="NumeroAFNegritaCaracter"/>
        </w:rPr>
        <w:t>4</w:t>
      </w:r>
      <w:r>
        <w:t>. Por lo que se refiere a la posibilidad de “regularización” de situaciones consumadas de internamientos de personas por trastornos psíquicos, en contra de su voluntad o sin contar con ella porque el afectado no es consciente de la realidad que le rodea o está impedido para comunicarse y expresar su parecer, la STC 34/2016, FJ 4, tras recordar la doctrina sentada por este Tribunal acerca de la exigencia de control judicial en este ámbito —en la STC 141/2012, de 2 de julio (con cita a su vez de la anterior STC 129/1999, de 1 de julio)—, razona que se sigue de esta doctrina “que, con la excepción de que se cumplan los requisitos y garantías que permiten llevar a cabo un internamiento involuntario urgente directamente por el centro médico o asistencial (con los controles legales y judiciales que le son inherentes), resultará imprescindible que la medida se acuerde previamente por el Juez y siempre respecto de una persona que ha de encontrarse en ese momento en libertad. En este segundo caso, el internamiento no urgente podrá solicitarse por los trámites del art. 763 LEC y sin el condicionante de las 72 horas para que el Juez resuelva, siempre que la adopción de dicha medida constituya el objeto exclusivo de tutela que se pretende en favor del afectado. Por el contrario, si existen datos que desde el principio permitan sostener que el padecimiento mental que sufre la persona, por sus características y visos de larga duración o irreversibilidad, deben dar lugar a un régimen jurídico de protección más completo, declarando su discapacidad e imponiendo un tutor o curador para que complete su capacidad, con los consiguientes controles del órgano judicial en cuanto a los actos realizados por uno u otro, el internamiento podrá acordarse como medida cautelar (art. 762.1 LEC), o como medida ejecutiva en la sentencia (art. 760.1 LEC), en un proceso declarativo instado por los trámites del art. 756 y ss. LEC”.</w:t>
      </w:r>
    </w:p>
    <w:p w:rsidR="00A90898" w:rsidRDefault="00A90898" w:rsidP="00A90898">
      <w:pPr>
        <w:pStyle w:val="TextoNormal"/>
      </w:pPr>
    </w:p>
    <w:p w:rsidR="00A90898" w:rsidRDefault="00A90898" w:rsidP="00A90898">
      <w:pPr>
        <w:pStyle w:val="TextoNormal"/>
      </w:pPr>
      <w:r>
        <w:t>Al igual que en el supuesto enjuiciado en la citada STC 34/2016, las circunstancias concretas del caso de doña C.C.H. “coinciden de manera sustancial con el de otras muchas personas que debido a su edad avanzada sufren una enfermedad neurodegenerativa y se encuentran recluidas en una residencia sin poder salir de ella, como medida de prevención. Han sido traídas allí por alguien de su entorno cercano, o a iniciativa de los servicios sociales; incluso en ocasiones se trata de un ingreso voluntario con el fin de recibir los cuidados de manutención y salud necesarios y, con el paso del tiempo, el afectado pierde la consciencia necesaria para emitir su voluntad de permanecer allí. La cuestión es que estos centros tienen bajo su cargo a personas que están privadas de su libertad ambulatoria y lo están, con cierta frecuencia en la práctica, sin ningún conocimiento ni autorización de la autoridad judicial” (STC 34/2016, FJ 5).</w:t>
      </w:r>
    </w:p>
    <w:p w:rsidR="00A90898" w:rsidRDefault="00A90898" w:rsidP="00A90898">
      <w:pPr>
        <w:pStyle w:val="TextoNormal"/>
      </w:pPr>
    </w:p>
    <w:p w:rsidR="00A90898" w:rsidRDefault="00A90898" w:rsidP="00A90898">
      <w:pPr>
        <w:pStyle w:val="TextoNormal"/>
      </w:pPr>
      <w:r>
        <w:t xml:space="preserve">En todo caso, sin perjuicio de reconocer los esfuerzos que, al amparo de la normativa vigente en la materia “vienen haciendo en los últimos años las Administraciones públicas </w:t>
      </w:r>
      <w:r>
        <w:lastRenderedPageBreak/>
        <w:t>competentes para atender de manera objetiva y ordenada las demandas de personas necesitadas de cuidados integrales en residencias en régimen de internamiento, iniciativa ésta en sí misma digna de respaldo en el marco de nuestro Estado social y democrático de derecho (arts. 1 y 49 CE)”, ha de advertirse que tales políticas públicas asistenciales no pueden servir en modo alguno de cobertura “a situaciones privativas de libertad sin la previa autorización judicial o, por excepción, sin haber recabado el responsable del centro dicha autorización en el plazo urgente de 24 horas que dispone el art. 763 LEC, cumpliendo los demás requisitos de este precepto … En definitiva, por tanto, no resulta posible hablar de la ‘regularización’ de un internamiento involuntario que se prolonga durante días, semanas o meses sin autorización del Juez, sea en un hospital, centro sociosanitario o en su caso residencia geriátrica … No cabe ‘regularizar’ lo que no es mera subsanación de formalidades administrativas, sino directa vulneración de un derecho fundamental (art. 17.1 CE)” (STC 34/2016, FJ 5).</w:t>
      </w:r>
    </w:p>
    <w:p w:rsidR="00A90898" w:rsidRDefault="00A90898" w:rsidP="00A90898">
      <w:pPr>
        <w:pStyle w:val="TextoNormal"/>
      </w:pPr>
    </w:p>
    <w:p w:rsidR="00A90898" w:rsidRDefault="00A90898" w:rsidP="00A90898">
      <w:pPr>
        <w:pStyle w:val="TextoNormal"/>
      </w:pPr>
      <w:r w:rsidRPr="00A90898">
        <w:rPr>
          <w:rStyle w:val="NumeroAFNegritaCaracter"/>
        </w:rPr>
        <w:t>5</w:t>
      </w:r>
      <w:r>
        <w:t>. Teniendo en cuenta cuanto se acaba de exponer, habremos de examinar a continuación si puede considerarse respetuosa con el derecho fundamental a la libertad personal la decisión adoptada por el Juzgado de Primera Instancia núm. 4 de Telde, confirmada en apelación por la Audiencia Provincial de Las Palmas, de inadmitir a trámite la solicitud de internamiento no voluntario de doña C.C.H. promovida por el Ministerio Fiscal por la vía del art. 763.1 LEC, rechazando en consecuencia la adecuación del procedimiento especial previsto en dicho precepto para controlar la regularidad del internamiento de aquella en la residencia en la que fue ingresada a iniciativa de un familiar.</w:t>
      </w:r>
    </w:p>
    <w:p w:rsidR="00A90898" w:rsidRDefault="00A90898" w:rsidP="00A90898">
      <w:pPr>
        <w:pStyle w:val="TextoNormal"/>
      </w:pPr>
    </w:p>
    <w:p w:rsidR="00A90898" w:rsidRDefault="00A90898" w:rsidP="00A90898">
      <w:pPr>
        <w:pStyle w:val="TextoNormal"/>
      </w:pPr>
      <w:r>
        <w:t>Para dar respuesta a esta cuestión, hemos de empezar recordando que la Fiscalía instó la vía del internamiento involuntario del art. 763 LEC una vez que tuvo conocimiento de que el Juzgado de Primera Instancia núm. 4 de Telde había dictado el Auto el 9 de abril de 2014 acordando inadmitir a trámite la solicitud de ratificación de internamiento involuntario por razón de trastorno psíquico de doña C.C.H., formulada por la directora de la residencia en la que aquella se encontraba ingresada a instancias de su nieta, quien realizó los trámites pertinentes para el ingreso.</w:t>
      </w:r>
    </w:p>
    <w:p w:rsidR="00A90898" w:rsidRDefault="00A90898" w:rsidP="00A90898">
      <w:pPr>
        <w:pStyle w:val="TextoNormal"/>
      </w:pPr>
    </w:p>
    <w:p w:rsidR="00A90898" w:rsidRDefault="00A90898" w:rsidP="00A90898">
      <w:pPr>
        <w:pStyle w:val="TextoNormal"/>
      </w:pPr>
      <w:r>
        <w:t>Conviene también advertir que, como ha puesto de relieve en sus alegaciones el Ministerio Fiscal, la directora del centro cumplió puntualmente la obligación de comunicación del internamiento a la autoridad judicial dentro del plazo de veinticuatro horas que establece el art. 763.1 LEC; dicha comunicación al Juzgado se produjo al día siguiente del ingreso de doña C.C.H. en el centro. En su solicitud de ratificación del internamiento involuntario y como fundamento del mismo, la directora de la residencia manifestaba que doña C.C.H., “como consecuencia de su falta de capacidad, no puede manifestar por sí misma su voluntad de ingreso y permanencia en este centro”. Adjuntaba al efecto un informe médico expedido por la facultativa que examinó a doña C.C.H. el mismo día de su ingreso (3 de abril de 2014), en el que se hace constar, entre otros extremos, que la paciente sufre “demencia senil (simple o no complicada)” y “evidencia claros síntomas de deterioro cognitivo y una manifiesta incapacidad para la toma de decisiones. Presenta una dependencia absoluta para las actividades básicas de la vida diaria. Es imprescindible que se le preste atención, cuidados y supervisión las 24 horas del día”.</w:t>
      </w:r>
    </w:p>
    <w:p w:rsidR="00A90898" w:rsidRDefault="00A90898" w:rsidP="00A90898">
      <w:pPr>
        <w:pStyle w:val="TextoNormal"/>
      </w:pPr>
    </w:p>
    <w:p w:rsidR="00A90898" w:rsidRDefault="00A90898" w:rsidP="00A90898">
      <w:pPr>
        <w:pStyle w:val="TextoNormal"/>
      </w:pPr>
      <w:r>
        <w:lastRenderedPageBreak/>
        <w:t xml:space="preserve">Rechazada por el Juzgado la solicitud de ratificación del internamiento involuntario de doña C.C.H. que había formulado la directora del centro en el que aquella se hallaba ingresada, la Fiscalía instó el procedimiento de internamiento involuntario del art. 763 LEC. Esta norma como ya indicamos, recoge dos modalidades de control judicial: “la del internamiento ordinario o no urgente, donde la autorización del Juez siempre ha de ser previa a la adopción de la medida; y la segunda, excepcional, el internamiento urgente </w:t>
      </w:r>
      <w:r w:rsidRPr="00A90898">
        <w:rPr>
          <w:i/>
        </w:rPr>
        <w:t>ex</w:t>
      </w:r>
      <w:r>
        <w:t xml:space="preserve"> art. 763.1, donde el centro médico o asistencial materializa la medida pero ésta ha de comunicarse al Juzgado en el plazo improrrogable de 24 horas para su ratificación” (STC 34/2016, FJ 6). De las dos modalidades la Fiscalía optó por solicitar el internamiento urgente del art. 763.1 LEC, al poner de manifiesto en su escrito que doña C.C.H. ya se encontraba en la Residencia Taliarte al tiempo de formalizarse la solicitud ante el Juzgado. El Juzgado lo conocía perfectamente por la previa solicitud de ratificación del internamiento voluntario que había presentado la directora de la residencia dentro del plazo de veinticuatro horas siguientes al ingreso de doña C.C.H.</w:t>
      </w:r>
    </w:p>
    <w:p w:rsidR="00A90898" w:rsidRDefault="00A90898" w:rsidP="00A90898">
      <w:pPr>
        <w:pStyle w:val="TextoNormal"/>
      </w:pPr>
    </w:p>
    <w:p w:rsidR="00A90898" w:rsidRDefault="00A90898" w:rsidP="00A90898">
      <w:pPr>
        <w:pStyle w:val="TextoNormal"/>
      </w:pPr>
      <w:r>
        <w:t>Las resoluciones judiciales impugnadas no ponen en cuestión la concurrencia de uno de los presupuestos para acudir a la vía procedimental del art. 763.1 LEC, como es la existencia de un trastorno psíquico con entidad suficiente para justificar una medida de internamiento forzoso. El problema se centra en el cumplimiento del otro presupuesto de la modalidad procesal a la que acude la Fiscalía: la “urgencia” del internamiento; cuya existencia en el presente caso rechazan los órganos judiciales, justamente porque doña C.C.H. ya se encontraba ingresada en el centro sociosanitario antes de formalizarse la solicitud de la Fiscalía ante el Juzgado (e incluso con anterioridad, cuando la solicitud fue formulada por la dirección del centro).</w:t>
      </w:r>
    </w:p>
    <w:p w:rsidR="00A90898" w:rsidRDefault="00A90898" w:rsidP="00A90898">
      <w:pPr>
        <w:pStyle w:val="TextoNormal"/>
      </w:pPr>
    </w:p>
    <w:p w:rsidR="00A90898" w:rsidRDefault="00A90898" w:rsidP="00A90898">
      <w:pPr>
        <w:pStyle w:val="TextoNormal"/>
      </w:pPr>
      <w:r>
        <w:t>Conforme a la doctrina sentada en la STC 34/2016, FJ 6, a la que procede remitirse, no cabe reputar de irrazonable la decisión de los órganos judiciales, en las resoluciones impugnadas, de considerar que no concurre el presupuesto de la “urgencia” del internamiento, consustancial a la modalidad procedimental del internamiento involuntario urgente del art. 763.1 LEC, que fue la seguida en este caso por la Fiscalía.</w:t>
      </w:r>
    </w:p>
    <w:p w:rsidR="00A90898" w:rsidRDefault="00A90898" w:rsidP="00A90898">
      <w:pPr>
        <w:pStyle w:val="TextoNormal"/>
      </w:pPr>
    </w:p>
    <w:p w:rsidR="00A90898" w:rsidRDefault="00A90898" w:rsidP="00A90898">
      <w:pPr>
        <w:pStyle w:val="TextoNormal"/>
      </w:pPr>
      <w:r>
        <w:t>Llegados a este punto, el Ministerio Fiscal viene a sostener que cualquier otra respuesta jurisdiccional que no sea admitir la vía del internamiento urgente del art. 763.1 LEC equivale a una falta de control judicial y a sumir a doña C.C.H. en un “limbo jurídico”. La Audiencia Provincial, en cambio, lo que entiende en su Auto por el que desestima la apelación del Fiscal, es que el control judicial sí es posible, pero debe efectuarse a través de un procedimiento de incapacitación (arts. 756 y ss. LEC); sin perjuicio de que el Fiscal pueda instar las medidas cautelares del art. 762 LEC, iniciando a continuación un proceso de incapacitación para la adecuada y definitiva protección de los intereses del presunto incapaz.</w:t>
      </w:r>
    </w:p>
    <w:p w:rsidR="00A90898" w:rsidRDefault="00A90898" w:rsidP="00A90898">
      <w:pPr>
        <w:pStyle w:val="TextoNormal"/>
      </w:pPr>
    </w:p>
    <w:p w:rsidR="00A90898" w:rsidRDefault="00A90898" w:rsidP="00A90898">
      <w:pPr>
        <w:pStyle w:val="TextoNormal"/>
      </w:pPr>
      <w:r>
        <w:t xml:space="preserve">Conforme a la doctrina sentada en la STC 34/2016, FJ 6, desde el canon de control constitucional que nos compete, tampoco puede objetarse en este punto la </w:t>
      </w:r>
      <w:r w:rsidRPr="00A90898">
        <w:rPr>
          <w:i/>
        </w:rPr>
        <w:t>ratio decidendi</w:t>
      </w:r>
      <w:r>
        <w:t xml:space="preserve"> del Auto que se analiza.</w:t>
      </w:r>
    </w:p>
    <w:p w:rsidR="00A90898" w:rsidRDefault="00A90898" w:rsidP="00A90898">
      <w:pPr>
        <w:pStyle w:val="TextoNormal"/>
      </w:pPr>
    </w:p>
    <w:p w:rsidR="00A90898" w:rsidRDefault="00A90898" w:rsidP="00A90898">
      <w:pPr>
        <w:pStyle w:val="TextoNormal"/>
      </w:pPr>
      <w:r>
        <w:t xml:space="preserve">En primer lugar, la patología que se ha diagnosticado a doña C.C.H., conforme ha quedado expuesto en los antecedentes, parece permitir </w:t>
      </w:r>
      <w:r w:rsidRPr="00A90898">
        <w:rPr>
          <w:i/>
        </w:rPr>
        <w:t>prima facie</w:t>
      </w:r>
      <w:r>
        <w:t xml:space="preserve"> su subsunción en el concepto </w:t>
      </w:r>
      <w:r>
        <w:lastRenderedPageBreak/>
        <w:t>de “enfermedad o deficiencia persistente de carácter psíquico que impida a la persona gobernarse por sí misma”, según el art. 200 del Código civil, que define el presupuesto objetivo del proceso de incapacitación.</w:t>
      </w:r>
    </w:p>
    <w:p w:rsidR="00A90898" w:rsidRDefault="00A90898" w:rsidP="00A90898">
      <w:pPr>
        <w:pStyle w:val="TextoNormal"/>
      </w:pPr>
    </w:p>
    <w:p w:rsidR="00A90898" w:rsidRDefault="00A90898" w:rsidP="00A90898">
      <w:pPr>
        <w:pStyle w:val="TextoNormal"/>
      </w:pPr>
      <w:r>
        <w:t xml:space="preserve">En segundo término, ningún argumento de orden legal o jurisprudencial ofrece la demanda de amparo para inferir que no resulte posible que el Juez autorice el internamiento como medida cautelar en un proceso de declaración de incapacidad </w:t>
      </w:r>
      <w:r w:rsidRPr="00A90898">
        <w:rPr>
          <w:i/>
        </w:rPr>
        <w:t>ex</w:t>
      </w:r>
      <w:r>
        <w:t xml:space="preserve"> art. 762 LEC (sin que ello, insistimos, implique dar validez a cualquier internamiento ilícito anterior).</w:t>
      </w:r>
    </w:p>
    <w:p w:rsidR="00A90898" w:rsidRDefault="00A90898" w:rsidP="00A90898">
      <w:pPr>
        <w:pStyle w:val="TextoNormal"/>
      </w:pPr>
    </w:p>
    <w:p w:rsidR="00A90898" w:rsidRDefault="00A90898" w:rsidP="00A90898">
      <w:pPr>
        <w:pStyle w:val="TextoNormal"/>
      </w:pPr>
      <w:r>
        <w:t>Por último, pocas dudas ofrece que el proceso de incapacitación (arts. 756 y ss. LEC) resulta el más adecuado desde una perspectiva de protección jurídica integral de la parte en él demandada, en este caso para tutelar la situación de doña C.C.H. Las medidas que pueden acordarse por el Juez en dicho proceso no conciernen única y exclusivamente a su persona, sino también al aseguramiento de su patrimonio, ámbito este cuya importancia ha destacado la Fiscalía General del Estado en su Instrucción 4/2008 “Sobre el control y vigilancia por el Ministerio Fiscal de las tutelas de personas discapaces”. Por otra parte, las invocaciones que formula la demanda de amparo a los convenios internacionales en materia de derechos de personas discapacitadas, a favor de facilitar la igualdad de derechos de estas con los demás ciudadanos y su mejor integración en la sociedad, junto con la elección de aquel régimen de representación o de asistencia que mejor se adapte a las circunstancias personales de cada afectado son aspectos que no quedan en absoluto descuidados en el proceso de los arts. 756 y ss. LEC. A esta cuestión se refiere por su lado la Instrucción de la Fiscalía General del Estado 3/2010, “Sobre la necesaria fundamentación individualizada de las medidas de protección o apoyo en los procedimientos sobre determinación de la capacidad de las personas”. No existe motivo fundado para dudar que fueran tenidos en consideración por el Juez competente al que correspondiera conocer de dicho proceso en relación con doña C.C.H., en su caso.</w:t>
      </w:r>
    </w:p>
    <w:p w:rsidR="00A90898" w:rsidRDefault="00A90898" w:rsidP="00A90898">
      <w:pPr>
        <w:pStyle w:val="TextoNormal"/>
      </w:pPr>
    </w:p>
    <w:p w:rsidR="00A90898" w:rsidRDefault="00A90898" w:rsidP="00A90898">
      <w:pPr>
        <w:pStyle w:val="TextoNormal"/>
      </w:pPr>
      <w:r w:rsidRPr="00A90898">
        <w:rPr>
          <w:rStyle w:val="NumeroAFNegritaCaracter"/>
        </w:rPr>
        <w:t>6</w:t>
      </w:r>
      <w:r>
        <w:t>. Como consecuencia de todo lo expuesto debemos concluir, al igual que en el asunto resuelto por la citada STC 34/2016, que las resoluciones judiciales impugnadas no han vulnerado el derecho fundamental de doña C.C.H. a la libertad (art. 17.1 CE) por los concretos motivos que ha alegado el Ministerio Fiscal en su demanda de amparo. Sin embargo, poner fin en este punto a nuestro enjuiciamiento supondría desconocer un hecho esencial: la propia situación personal de la persona afectada por la medida de internamiento forzoso. Sobre ella no se adopta decisión alguna en los Autos impugnados: ponerla en libertad, en su caso, e inmediatamente proveer a su protección a través del proceso de declaración de incapacidad de los arts. 756 y ss. LEC (STC 34/2016, FJ 7).</w:t>
      </w:r>
    </w:p>
    <w:p w:rsidR="00A90898" w:rsidRDefault="00A90898" w:rsidP="00A90898">
      <w:pPr>
        <w:pStyle w:val="TextoNormal"/>
      </w:pPr>
    </w:p>
    <w:p w:rsidR="00A90898" w:rsidRDefault="00A90898" w:rsidP="00A90898">
      <w:pPr>
        <w:pStyle w:val="TextoNormal"/>
      </w:pPr>
      <w:r>
        <w:t>La constatación por los Autos impugnados en amparo de que no se había instado el proceso adecuado para tutelar la situación personal de doña C.C.H., no impedía sino que obligaba a que se diera una solución que pusiera fin a la ilicitud de su internamiento. Resulta significativo que el Juzgado de Primera Instancia núm. 4 de Telde, que desde un principio optó por no sustanciar el procedimiento dentro del plazo judicial de 72 horas del art. 763.1 LEC, no dispusiera nada con este fin al dictar su Auto de 8 de mayo de 2014; como tampoco lo hiciera previamente al inadmitir en su Auto de 9 de abril de 2014 la solicitud que le dirigió la directora del centro en el que se hallaba ingresada doña C.C.H. La Audiencia Provincial de Las Palmas no remedió esta omisión.</w:t>
      </w:r>
    </w:p>
    <w:p w:rsidR="00A90898" w:rsidRDefault="00A90898" w:rsidP="00A90898">
      <w:pPr>
        <w:pStyle w:val="TextoNormal"/>
      </w:pPr>
    </w:p>
    <w:p w:rsidR="00A90898" w:rsidRDefault="00A90898" w:rsidP="00A90898">
      <w:pPr>
        <w:pStyle w:val="TextoNormal"/>
      </w:pPr>
      <w:r>
        <w:lastRenderedPageBreak/>
        <w:t xml:space="preserve">Sin diferimiento a un momento posterior, el Juzgado (y en su defecto la Audiencia Provincial), debió proveer a la debida protección de los derechos de doña C.C.H. mediante la apertura del proceso de incapacitación. Actuando con la potestad </w:t>
      </w:r>
      <w:r w:rsidRPr="00A90898">
        <w:rPr>
          <w:i/>
        </w:rPr>
        <w:t>ex officio</w:t>
      </w:r>
      <w:r>
        <w:t xml:space="preserve"> que a los órganos judiciales les confiere el art. 762.1 LEC, y con fundamento en el informe médico del que se disponía, bien el Juzgado o bien la Audiencia Provincial al resolver la apelación, debieron acordar la adopción inmediata del internamiento como medida cautelar, procediendo por su parte el Ministerio Fiscal a promover la correspondiente demanda de incapacitación de doña C.C.H., en caso de no hacerlo la propia afectada —lo que en este supuesto no parece posible— ni los parientes legitimados a tal efecto por la ley (art. 757 LEC).</w:t>
      </w:r>
    </w:p>
    <w:p w:rsidR="00A90898" w:rsidRDefault="00A90898" w:rsidP="00A90898">
      <w:pPr>
        <w:pStyle w:val="TextoNormal"/>
      </w:pPr>
    </w:p>
    <w:p w:rsidR="00A90898" w:rsidRDefault="00A90898" w:rsidP="00A90898">
      <w:pPr>
        <w:pStyle w:val="TextoNormal"/>
      </w:pPr>
      <w:r>
        <w:t>Procede, por esta razón, estimar la demanda de amparo interpuesta por el Ministerio Fiscal, reconociendo la vulneración del derecho a la libertad (art. 17.1 CE) de doña C.C.H. y declarando la nulidad de los Autos impugnados, en la medida en que los órganos judiciales no han adoptado ninguna decisión sobre la situación personal de aquella; procede asimismo acordar la retroacción de las actuaciones, con el fin de que el Juzgado de Primera Instancia núm. 4 de Telde provea a la tutela del derecho fundamental vulnerado de doña C.C.H., mediante los cauces procesales que se indican en este mismo fundamento jurídico.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el Ministerio Fiscal y, en consecuencia:</w:t>
      </w:r>
    </w:p>
    <w:p w:rsidR="00A90898" w:rsidRDefault="00A90898" w:rsidP="00A90898">
      <w:pPr>
        <w:pStyle w:val="TextoNormal"/>
      </w:pPr>
    </w:p>
    <w:p w:rsidR="00A90898" w:rsidRDefault="00A90898" w:rsidP="00A90898">
      <w:pPr>
        <w:pStyle w:val="TextoNormal"/>
      </w:pPr>
      <w:r>
        <w:t>1º Declarar que se ha vulnerado el derecho fundamental a la libertad personal (art. 17.1 CE) de doña C.C.H.</w:t>
      </w:r>
    </w:p>
    <w:p w:rsidR="00A90898" w:rsidRDefault="00A90898" w:rsidP="00A90898">
      <w:pPr>
        <w:pStyle w:val="TextoNormal"/>
      </w:pPr>
    </w:p>
    <w:p w:rsidR="00A90898" w:rsidRDefault="00A90898" w:rsidP="00A90898">
      <w:pPr>
        <w:pStyle w:val="TextoNormal"/>
      </w:pPr>
      <w:r>
        <w:t>2º Restablecerla en la integridad de su derecho y, a tal fin, declarar la nulidad del Auto de 8 de mayo de 2014 del Juzgado de Primera Instancia núm. 4 de Telde, dictado en procedimiento de internamiento involuntario núm. 374-2014, así como del Auto de la Sección Tercera de la Audiencia Provincial de Las Palmas de 25 de julio de 2014, dictado en el rollo de apelación núm. 488-2014, en cuanto dichas resoluciones no resuelven sobre la situación personal de doña C.C.H.</w:t>
      </w:r>
    </w:p>
    <w:p w:rsidR="00A90898" w:rsidRDefault="00A90898" w:rsidP="00A90898">
      <w:pPr>
        <w:pStyle w:val="TextoNormal"/>
      </w:pPr>
    </w:p>
    <w:p w:rsidR="00A90898" w:rsidRDefault="00A90898" w:rsidP="00A90898">
      <w:pPr>
        <w:pStyle w:val="TextoNormal"/>
      </w:pPr>
      <w:r>
        <w:t>3º Acordar la retroacción de actuaciones para que el Juzgado de Primera Instancia núm. 4 de Telde dicte de forma inmediata resolución respetuosa con el derecho fundamental a la libertad personal de doña C.C.H., en los términos indicados en el fundamento jurídico 6 de esta Sentencia.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2" w:name="SENTENCIA_2016_133"/>
      <w:r>
        <w:lastRenderedPageBreak/>
        <w:t>SENTENCIA 133/2016, de 18 de julio de 2016</w:t>
      </w:r>
    </w:p>
    <w:bookmarkEnd w:id="12"/>
    <w:p w:rsidR="00A90898" w:rsidRDefault="00A90898" w:rsidP="00A90898">
      <w:pPr>
        <w:pStyle w:val="TtuloResolucin"/>
      </w:pPr>
      <w:r>
        <w:t>Sala Primera</w:t>
      </w:r>
    </w:p>
    <w:p w:rsidR="00A90898" w:rsidRDefault="00A90898" w:rsidP="00A90898">
      <w:pPr>
        <w:pStyle w:val="TtuloBOE"/>
      </w:pPr>
      <w:r>
        <w:t>(BOE núm. 196, de 15 de agosto de 2016)</w:t>
      </w:r>
    </w:p>
    <w:p w:rsidR="00A90898" w:rsidRDefault="00A90898" w:rsidP="00A90898">
      <w:pPr>
        <w:pStyle w:val="TextoNormalCentrado"/>
      </w:pPr>
      <w:r>
        <w:t>ECLI:ES:TC:2016:133</w:t>
      </w:r>
    </w:p>
    <w:p w:rsidR="00A90898" w:rsidRDefault="00A90898" w:rsidP="00A90898">
      <w:pPr>
        <w:pStyle w:val="TextoNormalCentrado"/>
      </w:pPr>
    </w:p>
    <w:p w:rsidR="00A90898" w:rsidRDefault="00A90898" w:rsidP="00A90898">
      <w:pPr>
        <w:pStyle w:val="SntesisDescriptiva"/>
      </w:pPr>
      <w:r>
        <w:t>Recurso de amparo 5814-2014, 475-2015. Promovidos ambos por la mercantil Andorcio, S.L., en relación con las Sentencias dictadas por la Sala de lo Contencioso-Administrativo del Tribunal Superior de Justicia de Asturias desestimatorias de la impugnación de la liquidación de los impuestos sobre el valor añadido y de sociedades correspondiente a los ejercicios 2005 y 2006.</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interpretación de la normativa aplicable que extiende al recurso contencioso-administrativo las limitaciones de cognición del recurso tributario de anulación (STC 23/2011).</w:t>
      </w:r>
    </w:p>
    <w:p w:rsidR="00A90898" w:rsidRDefault="00A90898" w:rsidP="00A90898">
      <w:pPr>
        <w:pStyle w:val="SntesisAnaltica"/>
      </w:pPr>
    </w:p>
    <w:p w:rsidR="00A90898" w:rsidRDefault="00A90898" w:rsidP="00A90898">
      <w:pPr>
        <w:pStyle w:val="Extracto"/>
      </w:pPr>
      <w:r>
        <w:t>1.</w:t>
      </w:r>
      <w:r>
        <w:tab/>
        <w:t>El órgano judicial, al limitar en las sentencias impugnadas su enjuiciamiento a las resoluciones por las que se desestimaron los recursos de anulación, y no pronunciarse sobre el resto de los motivos de fondo que fueron suscitados en los recursos contencioso-administrativos, ha dejado de dar respuesta a “todas las cuestiones controvertidas en el proceso” (art. 67.1 LJCA), sin que exista una causa legal que fundamente su decisión de no pronunciamiento, limitando en términos incompatibles con el art. 24.1 CE el derecho de la entidad demandante de amparo al acceso a una resolución de fondo [FJ 6].</w:t>
      </w:r>
    </w:p>
    <w:p w:rsidR="00A90898" w:rsidRDefault="00A90898" w:rsidP="00A90898">
      <w:pPr>
        <w:pStyle w:val="Extracto"/>
      </w:pPr>
    </w:p>
    <w:p w:rsidR="00A90898" w:rsidRDefault="00A90898" w:rsidP="00A90898">
      <w:pPr>
        <w:pStyle w:val="Extracto"/>
      </w:pPr>
      <w:r>
        <w:t>2.</w:t>
      </w:r>
      <w:r>
        <w:tab/>
        <w:t>Lo relevante no es que se haya obtenido una respuesta motivada en la vía administrativa, algo que no es controvertido en este pleito, sino que ésta se haya obtenido en la vía jurisdiccional, pues es ahí donde deben abordarse todas las cuestiones planteadas, en los términos que dispuso la STC 23/2011, conocida por el órgano jurisdiccional ya que fue expresamente invocada por la demandante en el incidente de nulidad interpuesto [FJ 6].</w:t>
      </w:r>
    </w:p>
    <w:p w:rsidR="00A90898" w:rsidRDefault="00A90898" w:rsidP="00A90898">
      <w:pPr>
        <w:pStyle w:val="Extracto"/>
      </w:pPr>
    </w:p>
    <w:p w:rsidR="00A90898" w:rsidRDefault="00A90898" w:rsidP="00A90898">
      <w:pPr>
        <w:pStyle w:val="Extracto"/>
      </w:pPr>
      <w:r>
        <w:t>3.</w:t>
      </w:r>
      <w:r>
        <w:tab/>
        <w:t xml:space="preserve">Doctrina sobre el alcance del principio </w:t>
      </w:r>
      <w:r w:rsidRPr="00A90898">
        <w:rPr>
          <w:i/>
        </w:rPr>
        <w:t>pro actione</w:t>
      </w:r>
      <w:r>
        <w:t xml:space="preserve"> en relación con las decisiones de inadmisión o de no pronunciamiento sobre el fondo (SSTC 25/2010, 155/2012, 186/2015 y 91/2016) [FJ 3].</w:t>
      </w:r>
    </w:p>
    <w:p w:rsidR="00A90898" w:rsidRDefault="00A90898" w:rsidP="00A90898">
      <w:pPr>
        <w:pStyle w:val="Extracto"/>
      </w:pPr>
    </w:p>
    <w:p w:rsidR="00A90898" w:rsidRDefault="00A90898" w:rsidP="00A90898">
      <w:pPr>
        <w:pStyle w:val="Extracto"/>
      </w:pPr>
      <w:r>
        <w:t>4.</w:t>
      </w:r>
      <w:r>
        <w:tab/>
        <w:t xml:space="preserve">El recurso de anulación establecido en la Ley general tributaria, cuyos motivos están tasados, tiene por objeto hacer innecesario el planteamiento de un ulterior recurso, éste ya de plena </w:t>
      </w:r>
      <w:r w:rsidRPr="00A90898">
        <w:rPr>
          <w:i/>
        </w:rPr>
        <w:t>cognitio</w:t>
      </w:r>
      <w:r>
        <w:t xml:space="preserve">; por ello, carecería de sentido que un remedio, basado en motivos tasados y que tiene como finalidad evitar un recurso posterior, en caso de quedar frustrada tal finalidad, provocara para éste, que no ha podido evitarse, la misma limitación de la </w:t>
      </w:r>
      <w:r w:rsidRPr="00A90898">
        <w:rPr>
          <w:i/>
        </w:rPr>
        <w:t>cognitio</w:t>
      </w:r>
      <w:r>
        <w:t xml:space="preserve"> que es propia del remedio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lastRenderedPageBreak/>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los recursos de amparo acumulados núms. 5814-2014 y 475-2015, promovidos ambos por la sociedad mercantil Andorcio, S.L., representada por la Procuradora de los Tribunales doña Isabel Juliá Corujo y defendida por el Abogado don Luis Carlos Albo Aguirre. El primero de los recursos ha sido interpuesto contra la Sentencia de la Sala de lo Contencioso-Administrativo del Tribunal Superior de Justicia de Asturias, de 26 de mayo de 2014, que desestimó el recurso contencioso-administrativo 88-2013; y contra el Auto que desestimó el incidente de nulidad de actuaciones, dictado por la misma Sala el 11 de julio de 2014. El segundo recurso de amparo, registrado con el número 475-2015, ha sido interpuesto contra la Sentencia de la Sala de lo Contencioso-Administrativo del Tribunal Superior de Justicia de Asturias, de 27 de octubre de 2014, que desestimó el recurso contencioso-administrativo 89-2013, y contra el Auto que desestimó el incidente de nulidad de actuaciones, dictado por la misma Sala el 5 de diciembre de 2014. Han intervenido el Ministerio Fiscal y el Abogado del Estado.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26 de septiembre de 2014, la Procuradora de los Tribunales doña Isabel Juliá Corujo, en nombre y representación de Andorcio, S.L., interpuso recurso de amparo, turnado a la Sala Primera con el núm. 5814-2014, contra las resoluciones judiciales referenciadas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escrito registrado en este Tribunal el 26 de enero de 2015, la Procuradora de los Tribunales doña Isabel Juliá Corujo, en nombre y representación de Andorcio, S.L., interpuso recurso de amparo, turnado a la Sala Primera con el núm. 475-2015, contra las resoluciones judiciales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3</w:t>
      </w:r>
      <w:r>
        <w:t>. Los hechos en los que se fundamentan los recursos son, sucintamente, los siguientes:</w:t>
      </w:r>
    </w:p>
    <w:p w:rsidR="00A90898" w:rsidRDefault="00A90898" w:rsidP="00A90898">
      <w:pPr>
        <w:pStyle w:val="TextoNormal"/>
      </w:pPr>
    </w:p>
    <w:p w:rsidR="00A90898" w:rsidRDefault="00A90898" w:rsidP="00A90898">
      <w:pPr>
        <w:pStyle w:val="TextoNormal"/>
      </w:pPr>
      <w:r>
        <w:t xml:space="preserve">a) El 17 de agosto de 2009 se notificó a la entidad recurrente, Andorcio, S.L., el inicio de actuaciones de comprobación e investigación por los conceptos “impuesto sobre el valor añadido (IVA)” (periodo comprendido entre el primer trimestre de 2005 y el cuarto de 2006) e “impuesto sobre sociedades” (ejercicios 2005 y 2006), que culminaron en la incoación de sendas actas de disconformidad, levantadas por la inspección de los tributos, de fecha 30 de junio de 2010, y que dieron lugar después a que se dictaran acuerdos de liquidación, en fecha de 28 de septiembre de 2010, correspondientes a los impuestos y ejercicios citados, así como a la imposición de una sanción tributaria, en la misma fecha, en relación con la </w:t>
      </w:r>
      <w:r>
        <w:lastRenderedPageBreak/>
        <w:t>liquidación del impuesto sobre sociedades. Todas las liquidaciones giradas por la Administración tributaria traen causa de los mismos hechos, hechos que tienen consecuencias en ambos tributos.</w:t>
      </w:r>
    </w:p>
    <w:p w:rsidR="00A90898" w:rsidRDefault="00A90898" w:rsidP="00A90898">
      <w:pPr>
        <w:pStyle w:val="TextoNormal"/>
      </w:pPr>
    </w:p>
    <w:p w:rsidR="00A90898" w:rsidRDefault="00A90898" w:rsidP="00A90898">
      <w:pPr>
        <w:pStyle w:val="TextoNormal"/>
      </w:pPr>
      <w:r>
        <w:t>b) Frente a los anteriores acuerdos de liquidación y de imposición de sanción, Andorcio, S.L., interpuso sendas reclamaciones económico-administrativas. En relación con las liquidaciones alegó, entre otros argumentos, prescripción de la deuda tributaria correspondiente a una permuta realizada, oposición a su clasificación como sociedad patrimonial, así como otros vicios que se imputaban a la resolución administrativa.</w:t>
      </w:r>
    </w:p>
    <w:p w:rsidR="00A90898" w:rsidRDefault="00A90898" w:rsidP="00A90898">
      <w:pPr>
        <w:pStyle w:val="TextoNormal"/>
      </w:pPr>
    </w:p>
    <w:p w:rsidR="00A90898" w:rsidRDefault="00A90898" w:rsidP="00A90898">
      <w:pPr>
        <w:pStyle w:val="TextoNormal"/>
      </w:pPr>
      <w:r>
        <w:t>c) Las reclamaciones económico-administrativas fueron desestimadas mediante dos Resoluciones del Tribunal Económico Administrativo Regional de Asturias, ambas de 30 de noviembre de 2012, referidas a los expedientes número 33/3522/2010, (liquidación de IVA); y expedientes acumulados 33/3520/2010 y 33/3521/2010 (liquidación del impuesto sobre sociedades y la sanción impuesta). En los pie de recursos se ofreció a la demandante la posibilidad de interponer el recurso de anulación previsto en el art. 239.6 de la Ley 58/2003, general tributaria (LGT, en lo que sigue).</w:t>
      </w:r>
    </w:p>
    <w:p w:rsidR="00A90898" w:rsidRDefault="00A90898" w:rsidP="00A90898">
      <w:pPr>
        <w:pStyle w:val="TextoNormal"/>
      </w:pPr>
    </w:p>
    <w:p w:rsidR="00A90898" w:rsidRDefault="00A90898" w:rsidP="00A90898">
      <w:pPr>
        <w:pStyle w:val="TextoNormal"/>
      </w:pPr>
      <w:r>
        <w:t>d) Frente a la Resolución del Tribunal Económico-Administrativo Regional de Asturias dictada el 30 de noviembre de 2012 en el expediente número 33/3522/2010, y referida a la liquidación de IVA, se interpuso recurso de anulación del art. 239.6 LGT, frente a cuya desestimación presunta se interpuso recurso contencioso-administrativo del Tribunal Superior de Justicia del Principado de Asturias que se tramitó en el procedimiento ordinario número 88-2013. Posteriormente, el Tribunal Económico-Administrativo Regional dictó resolución expresa con fecha 23 de enero de 2013, acordando desestimar el recurso de anulación interpuesto.</w:t>
      </w:r>
    </w:p>
    <w:p w:rsidR="00A90898" w:rsidRDefault="00A90898" w:rsidP="00A90898">
      <w:pPr>
        <w:pStyle w:val="TextoNormal"/>
      </w:pPr>
    </w:p>
    <w:p w:rsidR="00A90898" w:rsidRDefault="00A90898" w:rsidP="00A90898">
      <w:pPr>
        <w:pStyle w:val="TextoNormal"/>
      </w:pPr>
      <w:r>
        <w:t>e) Frente a la Resolución del Tribunal Económico-Administrativo Regional de Asturias dictada en la misma fecha, 30 de noviembre de 2012, en los expedientes acumulados 33/3520/2010 y 33/3521/2010, referidos a la liquidación del Impuesto sobre Sociedades y la sanción impuesta, la demandante presentó igualmente recurso de anulación, siguiendo la misma vía del art. 239.6 LGT, frente a cuya desestimación, también inicialmente presunta, se interpuso recurso contencioso-administrativo del Tribunal Superior de Justicia del Principado de Asturias que se tramitó en el procedimiento ordinario número 89/2013. Igualmente en este caso el Tribunal Económico-Administrativo dictó después resolución expresa, con fecha 23 de enero de 2013, acordando desestimar el recurso de anulación interpuesto.</w:t>
      </w:r>
    </w:p>
    <w:p w:rsidR="00A90898" w:rsidRDefault="00A90898" w:rsidP="00A90898">
      <w:pPr>
        <w:pStyle w:val="TextoNormal"/>
      </w:pPr>
    </w:p>
    <w:p w:rsidR="00A90898" w:rsidRDefault="00A90898" w:rsidP="00A90898">
      <w:pPr>
        <w:pStyle w:val="TextoNormal"/>
      </w:pPr>
      <w:r>
        <w:t>f) Las anteriores resoluciones presuntas fueron recurridas mediante la interposición de sendos recursos contencioso-administrativos, alegando la entidad demandante lo que a su derecho convino en relación con las liquidaciones y sanción impuesta. En relación con las liquidaciones del IVA, se alegaron diversos motivos referidos a la prescripción del impuesto aplicable a la permuta, la calificación de la entidad demandante como sociedad patrimonial y otros vicios de la resolución; y en relación con la liquidación del impuesto sobre sociedades, error en la valoración actuarial, ganancia patrimonial inexistente y gastos recogidos en contabilidad. Finalmente, en relación con la sanción impuesta: principio de responsabilidad, calificación de las infracciones tributarias y vicios de la resolución.</w:t>
      </w:r>
    </w:p>
    <w:p w:rsidR="00A90898" w:rsidRDefault="00A90898" w:rsidP="00A90898">
      <w:pPr>
        <w:pStyle w:val="TextoNormal"/>
      </w:pPr>
    </w:p>
    <w:p w:rsidR="00A90898" w:rsidRDefault="00A90898" w:rsidP="00A90898">
      <w:pPr>
        <w:pStyle w:val="TextoNormal"/>
      </w:pPr>
      <w:r>
        <w:lastRenderedPageBreak/>
        <w:t>g) El Tribunal Superior de Justicia del Principado de Asturias dictó sendas Sentencias desestimatorias de las pretensiones deducidas, de fechas 26 de mayo (recurso contencioso-administrativo 88-2013); y 27 de octubre de 2014, (recurso contencioso-administrativo 89-2013), argumentando en ambas que el objeto del recurso lo constituía la impugnación de la desestimación presunta del recurso de anulación interpuesto al amparo de art. 239.6 LGT, y 60 del Real Decreto 520/2005, de 13 de mayo, por el que se aprueba el Reglamento general de desarrollo de la Ley general tributaria, en materia de revisión en vía administrativa. En consecuencia, considera que dado que el recurso de anulación solo cabe en los supuestos tasados que se contemplan, y puesto que no se ha acreditado la concurrencia de ninguno de los motivos tasados, no procede entrar en la resolución de la liquidación ya que para ello, razona la sentencia, habría que previamente estimar el recurso de anulación, de manera que una vez desestimado éste, no cabe entrar en la revisión jurisdiccional de la resolución de la liquidación.</w:t>
      </w:r>
    </w:p>
    <w:p w:rsidR="00A90898" w:rsidRDefault="00A90898" w:rsidP="00A90898">
      <w:pPr>
        <w:pStyle w:val="TextoNormal"/>
      </w:pPr>
    </w:p>
    <w:p w:rsidR="00A90898" w:rsidRDefault="00A90898" w:rsidP="00A90898">
      <w:pPr>
        <w:pStyle w:val="TextoNormal"/>
      </w:pPr>
      <w:r>
        <w:t>h) Frente a las resoluciones judiciales citadas se interpusieron sendos incidentes de nulidad de actuaciones. En ambos recursos la demanda alegó que se había vulnerado la doctrina contenida en la STC 23/2011, de 14 marzo, al limitarse indebidamente el ámbito de cognición en el ámbito jurisdiccional. Los incidentes fueron desestimados mediante los Autos 11 de julio y de 27 de octubre de 2014, en los que se razona que este supuesto no es enteramente igual al decidido en la citada STC 23/2011, pues en el caso allí enjuiciado el recurso de anulación se había inadmitido, mientras que en éste se ha producido una desestimación de dicho recurso de anulación.</w:t>
      </w:r>
    </w:p>
    <w:p w:rsidR="00A90898" w:rsidRDefault="00A90898" w:rsidP="00A90898">
      <w:pPr>
        <w:pStyle w:val="TextoNormal"/>
      </w:pPr>
    </w:p>
    <w:p w:rsidR="00A90898" w:rsidRDefault="00A90898" w:rsidP="00A90898">
      <w:pPr>
        <w:pStyle w:val="TextoNormal"/>
      </w:pPr>
      <w:r w:rsidRPr="00A90898">
        <w:rPr>
          <w:rStyle w:val="NumeroAFNegritaCaracter"/>
        </w:rPr>
        <w:t>4</w:t>
      </w:r>
      <w:r>
        <w:t>. La entidad recurrente, en las dos demandas de amparo y con el mismo razonamiento, denuncia que las Sentencias recurridas vulneraron su derecho de acceso a la jurisdicción (art. 24.1 CE). Razona así que se ha impedido a la recurrente obtener respuesta sobre todos los motivos invocados frente a las liquidaciones tributarias. La consecuencia es que no se habría obtenido una respuesta judicial sobre la legalidad de dichas liquidaciones pese a haber seguido el camino procedimental marcado por la ley interponiendo, en tiempo y forma, los recursos administrativos que le fueron ofrecidos en pie de recurso, entre los que expresamente se encontraba el recurso de anulación. Asimismo, la demandante consideró que el Tribunal Superior de Justicia de Asturias se había apartado voluntariamente de la doctrina del Tribunal Constitucional contenida en la STC 23/2011, de 14 marzo, que otorgó el amparo al entender que una limitación del asunto al enjuiciamiento de los motivos por los cuales se admite o inadmite un recurso de anulación sin entrar al fondo, supone una vulneración de lo dispuesto en el artículo 67, apartado uno de la Ley 29/1998, de 13 de julio, reguladora de la jurisdicción contencioso-administrativa.</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providencias de 15 y 1 de febrero de 2016, la Sala Primera de este Tribunal acordó la admisión a trámite de las demandas de amparo formuladas por Andorcio, S.L., que quedaron registradas con los números 5814-2014 y 475-2015. En sendas providencias, la Sala apreció que concurría, en ambos recursos, una especial trascendencia constitucional [art. 50.1 de la Ley Orgánica del Tribunal Constitucional (LOTC)] como consecuencia de que la posible vulneración del derecho fundamental que se denuncia pudiera traer causa de una reiterada interpretación jurisprudencial de la ley que este Tribunal pudiera considerar lesiva del derecho fundamental [STC 155/2009, FJ 2, d)]. Asimismo, en virtud del art. 51 LOTC, se requirió a la Sala de lo Contencioso-Administrativo (Sección Única) del Tribunal Superior de Justicia de Asturias, para que remitiera  testimonio de los recursos contencioso-</w:t>
      </w:r>
      <w:r>
        <w:lastRenderedPageBreak/>
        <w:t>administrativos núms. 88-2013 y 89-2013, así como al Tribunal Económico Administrativo Regional de Asturias para que remitiera lo propio con respecto de las actuaciones correspondientes a las reclamaciones económico-administrativas núm. 33/3522/2010.</w:t>
      </w:r>
    </w:p>
    <w:p w:rsidR="00A90898" w:rsidRDefault="00A90898" w:rsidP="00A90898">
      <w:pPr>
        <w:pStyle w:val="TextoNormal"/>
      </w:pPr>
    </w:p>
    <w:p w:rsidR="00A90898" w:rsidRDefault="00A90898" w:rsidP="00A90898">
      <w:pPr>
        <w:pStyle w:val="TextoNormal"/>
      </w:pPr>
      <w:r>
        <w:t>Las diligencias de ordenación de la Secretaría de Justicia de la Sala Primera, de 7 de abril y 18 de febrero de 2016, tuvieron por recibidos los testimonios de las actuaciones solicitadas y por personado al Abogado del Estado, en la representación legal que respectivamente ostentan, acordándose igualmente, en virtud de lo dispuesto en el art. 52 LOTC, otorgar un plazo común de veinte días al Ministerio Fiscal y a las partes personadas, para que dentro de dicho término alegaran lo que a su derecho conviniera.</w:t>
      </w:r>
    </w:p>
    <w:p w:rsidR="00A90898" w:rsidRDefault="00A90898" w:rsidP="00A90898">
      <w:pPr>
        <w:pStyle w:val="TextoNormal"/>
      </w:pPr>
    </w:p>
    <w:p w:rsidR="00A90898" w:rsidRDefault="00A90898" w:rsidP="00A90898">
      <w:pPr>
        <w:pStyle w:val="TextoNormal"/>
      </w:pPr>
      <w:r w:rsidRPr="00A90898">
        <w:rPr>
          <w:rStyle w:val="NumeroAFNegritaCaracter"/>
        </w:rPr>
        <w:t>6</w:t>
      </w:r>
      <w:r>
        <w:t>. En sendos escritos que tuvieron entrada en el Registro General de este Tribunal el 6 de mayo y el 18 de marzo de 2016, el Abogado del Estado formuló sus alegaciones, respectivamente, en los recursos de amparo núms. 5814-2014 y 475-2015, solicitando la inadmisión de ambos por los mismos razonamientos, que se resumen a continuación.</w:t>
      </w:r>
    </w:p>
    <w:p w:rsidR="00A90898" w:rsidRDefault="00A90898" w:rsidP="00A90898">
      <w:pPr>
        <w:pStyle w:val="TextoNormal"/>
      </w:pPr>
    </w:p>
    <w:p w:rsidR="00A90898" w:rsidRDefault="00A90898" w:rsidP="00A90898">
      <w:pPr>
        <w:pStyle w:val="TextoNormal"/>
      </w:pPr>
      <w:r>
        <w:t>Tras referirse de forma sucinta a los antecedentes de hecho recalca que hubo resolución expresa en vía administrativa, que fue objeto de valoración en el recurso contencioso administrativo de manera que en su Sentencia el Tribunal Superior de Justicia de Asturias enjuició, como no podía ser de otro modo, la resolución del Tribunal Económico Administrativo Regional de Asturias de 23 enero 2013 por la cual se resolvió de forma expresa el recurso de anulación interpuesto. Siendo cierto que en un primer momento se produjo una desestimación presunta del recurso de anulación interpuesto, posteriormente se dictó resolución expresa en la que se analiza el motivo de impugnación de acuerdo con la naturaleza del recurso interpuesto, esto es, el recurso de anulación, que se desestima de manera motivada. Se confirma así de manera motivada la resolución económico-administrativa recurrida, de 30 noviembre 2012, resolución en cuyos fundamentos tercero a séptimo se exponen de forma extensa las razones de fondo por las que se estimaban correctas las apreciaciones efectuadas por la Agencia Estatal de Administración Tributaria, estando también adecuadamente motivada la resolución económico-administrativa de 23 enero 2013, fundamentos segundo a sexto.</w:t>
      </w:r>
    </w:p>
    <w:p w:rsidR="00A90898" w:rsidRDefault="00A90898" w:rsidP="00A90898">
      <w:pPr>
        <w:pStyle w:val="TextoNormal"/>
      </w:pPr>
    </w:p>
    <w:p w:rsidR="00A90898" w:rsidRDefault="00A90898" w:rsidP="00A90898">
      <w:pPr>
        <w:pStyle w:val="TextoNormal"/>
      </w:pPr>
      <w:r>
        <w:t xml:space="preserve">A partir de lo anterior razona que no hubo en este caso restricción de la </w:t>
      </w:r>
      <w:r w:rsidRPr="00A90898">
        <w:rPr>
          <w:i/>
        </w:rPr>
        <w:t>cognitio</w:t>
      </w:r>
      <w:r>
        <w:t>, toda vez que el Tribunal Superior de Justicia resolvió en la Sentencia, conforme al principio de rogación, respecto del motivo invocado por la demandante. Insiste en ese sentido en que lo impugnado era el recurso de anulación interpuesto, considerando el indicado en el apartado b) del artículo 239.6 LGT, motivo que se refiere sólo a cuando se hayan declarado inexistentes las alegaciones o las pruebas oportunamente presentadas, lo que en este caso y tal y como indica la resolución expresa del Tribunal Económico-Administrativo Regional de Asturias, luego confirmada por la Sentencia, no había sucedido ya que las pruebas no se había detenido por inexistentes, insistiéndose en este punto en que en la Resolución de 23 enero 2013 se valoran las aportadas.</w:t>
      </w:r>
    </w:p>
    <w:p w:rsidR="00A90898" w:rsidRDefault="00A90898" w:rsidP="00A90898">
      <w:pPr>
        <w:pStyle w:val="TextoNormal"/>
      </w:pPr>
    </w:p>
    <w:p w:rsidR="00A90898" w:rsidRDefault="00A90898" w:rsidP="00A90898">
      <w:pPr>
        <w:pStyle w:val="TextoNormal"/>
      </w:pPr>
      <w:r>
        <w:t>Todo lo anterior le lleva a concluir que se trata de una confirmación en vía judicial de una resolución administrativa, sin que se haya producido lesión alguna del artículo 24 CE, toda vez que consta que ha habido análisis del motivo tasado sobre el que se basó la interposición del recurso de anulación en vía económico-administrativa.</w:t>
      </w:r>
    </w:p>
    <w:p w:rsidR="00A90898" w:rsidRDefault="00A90898" w:rsidP="00A90898">
      <w:pPr>
        <w:pStyle w:val="TextoNormal"/>
      </w:pPr>
    </w:p>
    <w:p w:rsidR="00A90898" w:rsidRDefault="00A90898" w:rsidP="00A90898">
      <w:pPr>
        <w:pStyle w:val="TextoNormal"/>
      </w:pPr>
      <w:r>
        <w:lastRenderedPageBreak/>
        <w:t>En definitiva, considera el Abogado del Estado que no es adecuada la doctrina constitucional contenida en la STC 23/2011, de 14 marzo, ya que en primer lugar no se ha inadmitido la demanda, como sí había sucedido en la Sentencia citada, a lo que se añade que en este caso estamos ante una cuestión de prueba de los hechos acaecidos, siendo así que el Tribunal desestima la demanda al entender que la prueba presentada por el recurrente se había tomado ya efectivamente en consideración por el Tribunal Económico-Administrativo Regional de Asturias, si bien había sido desestimada al entender que no se desvirtuaban las razones que sustentaron la liquidación en su día practicada.</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escritos que tuvieron entrada en el Registro General de este Tribunal el 5 de mayo y el 11 de abril de 2016, el Ministerio Fiscal formuló sus alegaciones, respectivamente, en los recursos de amparo núms. 5814-2014 y 475-2015, solicitando el otorgamiento del amparo a la sociedad recurrente, con los razonamientos, esencialmente coincidentes, que seguidamente se resumen.</w:t>
      </w:r>
    </w:p>
    <w:p w:rsidR="00A90898" w:rsidRDefault="00A90898" w:rsidP="00A90898">
      <w:pPr>
        <w:pStyle w:val="TextoNormal"/>
      </w:pPr>
    </w:p>
    <w:p w:rsidR="00A90898" w:rsidRDefault="00A90898" w:rsidP="00A90898">
      <w:pPr>
        <w:pStyle w:val="TextoNormal"/>
      </w:pPr>
      <w:r>
        <w:t>Tras exponer detalladamente los antecedentes, y recoger la doctrina sobre el derecho de acceso a la jurisdicción, contenida tanto en la STC 23/2011, de 14 marzo, como en las SSTC 75/2008, de 23 junio (FJ 2); y 155/2012, de 16 julio (FJ 3), se refiere a las Sentencias recurridas y considera que las sentencias recurridas al negarse a examinar cualquier cuestión ajena a la procedencia o no del recurso de anulación, han dejado de afrontar la valoración de las cuestiones de fondo planteadas primero en vía administrativa y después en vía jurisdiccional que, en definitiva, se referían a la corrección de la resolución del Tribunal Económico-Administrativo Regional de Asturias y por tanto a los acuerdos de liquidación y sanción que se habían impugnado y que habían sido objeto de las resoluciones de 30 noviembre 2012.</w:t>
      </w:r>
    </w:p>
    <w:p w:rsidR="00A90898" w:rsidRDefault="00A90898" w:rsidP="00A90898">
      <w:pPr>
        <w:pStyle w:val="TextoNormal"/>
      </w:pPr>
    </w:p>
    <w:p w:rsidR="00A90898" w:rsidRDefault="00A90898" w:rsidP="00A90898">
      <w:pPr>
        <w:pStyle w:val="TextoNormal"/>
      </w:pPr>
      <w:r>
        <w:t>Lo anterior supone que se ha limitado el conocimiento de la reclamación al objeto del recurso de anulación y por lo tanto, como se afirmó en la STC 75/2008, se ha partido de una anticuada y extremadamente rígida concepción del carácter revisor de la jurisdicción contencioso-administrativa y, alejada de la que se derivaba ya incluso de la Ley de 27 diciembre 1956, y de la que hoy acoge la propia Ley 29/1998, de 13 julio, reguladora de la jurisdicción contencioso-administrativa, concepción que ha producido en este caso el resultado de eliminar de forma injustificada el derecho constitucional de la entidad recurrente a que un órgano judicial conozca y resuelva el derecho sobre la pretensión que a él se le somete.</w:t>
      </w:r>
    </w:p>
    <w:p w:rsidR="00A90898" w:rsidRDefault="00A90898" w:rsidP="00A90898">
      <w:pPr>
        <w:pStyle w:val="TextoNormal"/>
      </w:pPr>
    </w:p>
    <w:p w:rsidR="00A90898" w:rsidRDefault="00A90898" w:rsidP="00A90898">
      <w:pPr>
        <w:pStyle w:val="TextoNormal"/>
      </w:pPr>
      <w:r>
        <w:t>Insiste asimismo en que el recurso de anulación regulado en el art. 239 de la Ley general tributaria constituye una alternativa previa al recurso jurisdiccional, pero nunca una sustitución del mismo, siendo así que de persistir una interpretación como la aquí aplicada por el Tribunal Superior de Justicia de Asturias, la acción a la que el recurrente se vería abocado sería la de elegir entre la vía administrativa, recurso de anulación, por el recurso jurisdiccional, contencioso-administrativo, lo que implicaría tanto como renunciar de forma anticipada al recurso de anulación ante la mínima duda sobre su viabilidad si el resultado de su desestimación es la preclusión de la vía jurisdiccional.</w:t>
      </w:r>
    </w:p>
    <w:p w:rsidR="00A90898" w:rsidRDefault="00A90898" w:rsidP="00A90898">
      <w:pPr>
        <w:pStyle w:val="TextoNormal"/>
      </w:pPr>
    </w:p>
    <w:p w:rsidR="00A90898" w:rsidRDefault="00A90898" w:rsidP="00A90898">
      <w:pPr>
        <w:pStyle w:val="TextoNormal"/>
      </w:pPr>
      <w:r>
        <w:t xml:space="preserve">Añade a lo anterior que el artículo 60 del Reglamento en materia de revisión avala de hecho la interpretación contraria, toda vez que su apartado cuarto establece que “[l]a resolución que se dicte como consecuencia del recurso de anulación sólo podrá ser impugnada </w:t>
      </w:r>
      <w:r>
        <w:lastRenderedPageBreak/>
        <w:t xml:space="preserve">en el mismo recurso que pudiera proceder contra el acuerdo o la resolución de la reclamación”. Esto significa, como concluyó la STC 23/2011 al examinar dicho precepto, que el recurso de anulación no sólo no influye, recortándolo, en el ámbito objetivo de la </w:t>
      </w:r>
      <w:r w:rsidRPr="00A90898">
        <w:rPr>
          <w:i/>
        </w:rPr>
        <w:t>cognitio</w:t>
      </w:r>
      <w:r>
        <w:t xml:space="preserve"> del ulterior recurso, sino que, al contrario, es la resolución del recurso de anulación la que pierde su individualidad pues se engloba, para su impugnación, dentro del contenido más amplio de este recurso posterior. Además avala lo anterior el propio tenor del vigente artículo 241 de la Ley general tributaria, tras su modificación por la Ley 34/2015, que además de reiterar y precisar el contenido sustancial del citado artículo 60 del Reglamento, admite abiertamente que el posterior recurso pueda examinar tanto esta resolución como la dictada antes sobre el fondo.</w:t>
      </w:r>
    </w:p>
    <w:p w:rsidR="00A90898" w:rsidRDefault="00A90898" w:rsidP="00A90898">
      <w:pPr>
        <w:pStyle w:val="TextoNormal"/>
      </w:pPr>
    </w:p>
    <w:p w:rsidR="00A90898" w:rsidRDefault="00A90898" w:rsidP="00A90898">
      <w:pPr>
        <w:pStyle w:val="TextoNormal"/>
      </w:pPr>
      <w:r>
        <w:t>En definitiva, considerar que sólo se puede resolver sobre la estimación o no del recurso de anulación, tal y como hace la sentencia impugnada, implica anudar a la interposición del recurso de anulación un efecto que no está previsto en la Ley y dejar además con ello de cumplir lo dispuesto en el art. 67.1 de la Ley reguladora de la jurisdicción contencioso-administrativa.</w:t>
      </w:r>
    </w:p>
    <w:p w:rsidR="00A90898" w:rsidRDefault="00A90898" w:rsidP="00A90898">
      <w:pPr>
        <w:pStyle w:val="TextoNormal"/>
      </w:pPr>
    </w:p>
    <w:p w:rsidR="00A90898" w:rsidRDefault="00A90898" w:rsidP="00A90898">
      <w:pPr>
        <w:pStyle w:val="TextoNormal"/>
      </w:pPr>
      <w:r>
        <w:t>Lo anterior conduce a la conclusión de que se ha producido la lesión alegada, por lo que se propone que se otorgue el amparo solicitado.</w:t>
      </w:r>
    </w:p>
    <w:p w:rsidR="00A90898" w:rsidRDefault="00A90898" w:rsidP="00A90898">
      <w:pPr>
        <w:pStyle w:val="TextoNormal"/>
      </w:pPr>
    </w:p>
    <w:p w:rsidR="00A90898" w:rsidRDefault="00A90898" w:rsidP="00A90898">
      <w:pPr>
        <w:pStyle w:val="TextoNormal"/>
      </w:pPr>
      <w:r w:rsidRPr="00A90898">
        <w:rPr>
          <w:rStyle w:val="NumeroAFNegritaCaracter"/>
        </w:rPr>
        <w:t>8</w:t>
      </w:r>
      <w:r>
        <w:t>. Mediante escritos que tuvieron entrada en el Registro General de este Tribunal el 10 de mayo y el 21 de marzo de 2016, la Procuradora de los Tribunales doña Isabel Juliá Corujo, en nombre y representación de Andorcio, S.L., formuló alegaciones respectivamente en los recursos de amparo núms. 5814-2014 y 475-2015, ratificándose íntegramente en los argumentos expuestos en la demanda de amparo.</w:t>
      </w:r>
    </w:p>
    <w:p w:rsidR="00A90898" w:rsidRDefault="00A90898" w:rsidP="00A90898">
      <w:pPr>
        <w:pStyle w:val="TextoNormal"/>
      </w:pPr>
    </w:p>
    <w:p w:rsidR="00A90898" w:rsidRDefault="00A90898" w:rsidP="00A90898">
      <w:pPr>
        <w:pStyle w:val="TextoNormal"/>
      </w:pPr>
      <w:r w:rsidRPr="00A90898">
        <w:rPr>
          <w:rStyle w:val="NumeroAFNegritaCaracter"/>
        </w:rPr>
        <w:t>9</w:t>
      </w:r>
      <w:r>
        <w:t>. Mediante diligencia de ordenación de 12 de mayo de 2016 de la Secretaría de Justicia de la Sala Primera, se confirió un plazo común de diez días al Ministerio Fiscal, al Abogado del Estado, y a la Procuradora de los Tribunales doña Isabel Juliá Corujo, para que dentro de dicho plazo, de conformidad con el art. 83 LOTC, manifestara su posición respecto a una posible acumulación al recurso de amparo núm. 5814-2014 del recurso de amparo tramitado ante la misma Sala con el núm. 475-2015.</w:t>
      </w:r>
    </w:p>
    <w:p w:rsidR="00A90898" w:rsidRDefault="00A90898" w:rsidP="00A90898">
      <w:pPr>
        <w:pStyle w:val="TextoNormal"/>
      </w:pPr>
    </w:p>
    <w:p w:rsidR="00A90898" w:rsidRDefault="00A90898" w:rsidP="00A90898">
      <w:pPr>
        <w:pStyle w:val="TextoNormal"/>
      </w:pPr>
      <w:r w:rsidRPr="00A90898">
        <w:rPr>
          <w:rStyle w:val="NumeroAFNegritaCaracter"/>
        </w:rPr>
        <w:t>10</w:t>
      </w:r>
      <w:r>
        <w:t>. Evacuado este trámite de alegaciones, en el que todas las partes personadas solicitaron la acumulación de ambos recursos de amparo por la identidad existente entre ellos, la Sala Primera de este Tribunal, mediante Auto de 20 de junio de 2016, acordó la acumulación del recurso de amparo núm. 475-2015 al recurso de amparo núm. 5814-2014, para la resolución, también única, de los mismos por esta Sala.</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14 de julio de 2016, se señaló para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lastRenderedPageBreak/>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Los recursos de amparo acumulados tienen por objeto determinar si las resoluciones judiciales impugnadas en ellos han vulnerado el derecho de la sociedad demandante a la tutela judicial efectiva (art. 24.1 CE), en su vertiente de derecho de acceso a la jurisdicción.</w:t>
      </w:r>
    </w:p>
    <w:p w:rsidR="00A90898" w:rsidRDefault="00A90898" w:rsidP="00A90898">
      <w:pPr>
        <w:pStyle w:val="TextoNormal"/>
      </w:pPr>
    </w:p>
    <w:p w:rsidR="00A90898" w:rsidRDefault="00A90898" w:rsidP="00A90898">
      <w:pPr>
        <w:pStyle w:val="TextoNormal"/>
      </w:pPr>
      <w:r>
        <w:t>Como ha quedado expuesto en los antecedentes de hecho de la presente Sentencia, la recurrente invoca en apoyo de sus denuncias la STC 23/2011, de 14 marzo, que concedió el amparo en un caso que ésta reputa idéntico al que nos plantea.</w:t>
      </w:r>
    </w:p>
    <w:p w:rsidR="00A90898" w:rsidRDefault="00A90898" w:rsidP="00A90898">
      <w:pPr>
        <w:pStyle w:val="TextoNormal"/>
      </w:pPr>
    </w:p>
    <w:p w:rsidR="00A90898" w:rsidRDefault="00A90898" w:rsidP="00A90898">
      <w:pPr>
        <w:pStyle w:val="TextoNormal"/>
      </w:pPr>
      <w:r>
        <w:t>El Ministerio Fiscal interesa que se conceda el amparo y se anulen las resoluciones judiciales impugnadas. Frente a ello, el Abogado del Estado considera que las demandas de amparo deben ser desestimadas, pues a su juicio en las sentencias se ha respondido motivadamente a lo que se pedía en las correspondientes demandas.</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abordar el fondo de la controversia, procede ahondar en la razón por la que se admitió a trámite la misma, que ya quedó recogida en las providencias de 15 y 1 de febrero de 2016.</w:t>
      </w:r>
    </w:p>
    <w:p w:rsidR="00A90898" w:rsidRDefault="00A90898" w:rsidP="00A90898">
      <w:pPr>
        <w:pStyle w:val="TextoNormal"/>
      </w:pPr>
    </w:p>
    <w:p w:rsidR="00A90898" w:rsidRDefault="00A90898" w:rsidP="00A90898">
      <w:pPr>
        <w:pStyle w:val="TextoNormal"/>
      </w:pPr>
      <w:r>
        <w:t>Entonces se apreció que, en los recursos de amparo interpuestos, concurre una especial trascendencia constitucional [art. 50.1 de la Ley Orgánica del Tribunal Constitucional (LOTC)], porque la posible vulneración del derecho fundamental de acceso a la jurisdicción que se denuncia, puede traer causa de una reiterada interpretación jurisprudencial de la ley que este Tribunal ha considerado lesiva del derecho fundamental [STC 155/2009, de 25 de junio, FJ 2 d)]. Se constata que el asunto que se plantea en ambos recursos de amparo tiene su origen en las resoluciones de la Sala de lo Contencioso-Administrativo del Tribunal Superior de Justicia de Asturias, en las que se plantea idéntica cuestión, que como se expondrá, guarda relación de semejanza con la que fue objeto de la STC 23/2011, de 14 marzo. En consecuencia, puede manifestarse también la posible reiteración en el incumplimiento de la doctrina del Tribunal Constitucional en la materia objeto del amparo (STC 186/2015, de 21 de septiembre, FJ 2), por lo que la admisión de este asunto ha de servir para garantizar el mejor cumplimiento de nuestra doctrina, abundando en sus parámetros generales y en su concreción aplicativa, en los términos que se exponen a continuación.</w:t>
      </w:r>
    </w:p>
    <w:p w:rsidR="00A90898" w:rsidRDefault="00A90898" w:rsidP="00A90898">
      <w:pPr>
        <w:pStyle w:val="TextoNormal"/>
      </w:pPr>
    </w:p>
    <w:p w:rsidR="00A90898" w:rsidRDefault="00A90898" w:rsidP="00A90898">
      <w:pPr>
        <w:pStyle w:val="TextoNormal"/>
      </w:pPr>
      <w:r w:rsidRPr="00A90898">
        <w:rPr>
          <w:rStyle w:val="NumeroAFNegritaCaracter"/>
        </w:rPr>
        <w:t>3</w:t>
      </w:r>
      <w:r>
        <w:t>. Entrando ya en el fondo de la controversia, y a la vista de los términos en que han sido planteados los presentes recursos de amparo, su objeto se circunscribe a determinar si las resoluciones judiciales recurridas han supuesto una vulneración del derecho de acceso a la jurisdicción.</w:t>
      </w:r>
    </w:p>
    <w:p w:rsidR="00A90898" w:rsidRDefault="00A90898" w:rsidP="00A90898">
      <w:pPr>
        <w:pStyle w:val="TextoNormal"/>
      </w:pPr>
    </w:p>
    <w:p w:rsidR="00A90898" w:rsidRDefault="00A90898" w:rsidP="00A90898">
      <w:pPr>
        <w:pStyle w:val="TextoNormal"/>
      </w:pPr>
      <w:r>
        <w:t xml:space="preserve">En este caso, las resoluciones judiciales impugnadas contienen expresamente una decisión de no pronunciamiento sobre el fondo. Por tanto, el control constitucional, como sucede también con las decisiones de inadmisión, debe ser particularmente intenso, ya que como se ha reiterado, el principio </w:t>
      </w:r>
      <w:r w:rsidRPr="00A90898">
        <w:rPr>
          <w:i/>
        </w:rPr>
        <w:t>pro actione</w:t>
      </w:r>
      <w:r>
        <w:t>, de obligada observancia por los Jueces y Tribunales, impide que determinadas interpretaciones y aplicaciones de los requisitos establecidos legalmente para acceder al proceso “eliminen u obstaculicen injustificadamente el derecho a que un órgano judicial conozca y resuelva en Derecho sobre la pretensión a él sometida” (SSTC 25/2010, de 27 de abril, FJ 3; y 155/2012, de 16 julio, FJ 3, entre otras muchas).</w:t>
      </w:r>
    </w:p>
    <w:p w:rsidR="00A90898" w:rsidRDefault="00A90898" w:rsidP="00A90898">
      <w:pPr>
        <w:pStyle w:val="TextoNormal"/>
      </w:pPr>
    </w:p>
    <w:p w:rsidR="00A90898" w:rsidRDefault="00A90898" w:rsidP="00A90898">
      <w:pPr>
        <w:pStyle w:val="TextoNormal"/>
      </w:pPr>
      <w:r>
        <w:t>De esta manera, y si bien el mencionado principio no exige al órgano jurisdiccional seleccionar la interpretación más favorable a la admisión o a la resolución del problema de fondo, de entre todas las posibles de las normas que la regulan, sí implica en todo caso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SSTC 186/2015, de 21 de septiembre, FJ 3; 91/2016, de 9 de mayo, FJ 3, y 25/2010, de 27 de abril, FJ 3; con cita de muchas otras).</w:t>
      </w:r>
    </w:p>
    <w:p w:rsidR="00A90898" w:rsidRDefault="00A90898" w:rsidP="00A90898">
      <w:pPr>
        <w:pStyle w:val="TextoNormal"/>
      </w:pPr>
    </w:p>
    <w:p w:rsidR="00A90898" w:rsidRDefault="00A90898" w:rsidP="00A90898">
      <w:pPr>
        <w:pStyle w:val="TextoNormal"/>
      </w:pPr>
      <w:r w:rsidRPr="00A90898">
        <w:rPr>
          <w:rStyle w:val="NumeroAFNegritaCaracter"/>
        </w:rPr>
        <w:t>4</w:t>
      </w:r>
      <w:r>
        <w:t>. Concretado así el derecho invocado, el canon de enjuiciamiento constitucional de la queja planteada se encuentra recogido en la citada STC 23/2011, en la que se enjuició un caso que guarda semejanzas con el presente.</w:t>
      </w:r>
    </w:p>
    <w:p w:rsidR="00A90898" w:rsidRDefault="00A90898" w:rsidP="00A90898">
      <w:pPr>
        <w:pStyle w:val="TextoNormal"/>
      </w:pPr>
    </w:p>
    <w:p w:rsidR="00A90898" w:rsidRDefault="00A90898" w:rsidP="00A90898">
      <w:pPr>
        <w:pStyle w:val="TextoNormal"/>
      </w:pPr>
      <w:r>
        <w:t xml:space="preserve">El fundamento jurídico 4 de la STC 23/2011 concluye que el recurso de anulación establecido en el art. 239.6 de la Ley 58/2003, de 17 de diciembre, general tributaria (LGT, en lo que sigue), cuyos motivos están tasados, tiene por objeto hacer innecesario el planteamiento de un ulterior recurso, éste ya de plena </w:t>
      </w:r>
      <w:r w:rsidRPr="00A90898">
        <w:rPr>
          <w:i/>
        </w:rPr>
        <w:t>cognitio</w:t>
      </w:r>
      <w:r>
        <w:t xml:space="preserve">. Por ello se afirmaba que “carecería de sentido que un remedio, basado en motivos tasados y que tiene como finalidad evitar un recurso posterior, en caso de quedar frustrada tal finalidad, provocara para éste, que no ha podido evitarse, la misma limitación de la </w:t>
      </w:r>
      <w:r w:rsidRPr="00A90898">
        <w:rPr>
          <w:i/>
        </w:rPr>
        <w:t>cognitio</w:t>
      </w:r>
      <w:r>
        <w:t xml:space="preserve"> que es propia del remedio. Éste no sólo habría fracasado sino que, además, habría cercenado el contenido natural del recurso posterior que no había conseguido hacer innecesario”.</w:t>
      </w:r>
    </w:p>
    <w:p w:rsidR="00A90898" w:rsidRDefault="00A90898" w:rsidP="00A90898">
      <w:pPr>
        <w:pStyle w:val="TextoNormal"/>
      </w:pPr>
    </w:p>
    <w:p w:rsidR="00A90898" w:rsidRDefault="00A90898" w:rsidP="00A90898">
      <w:pPr>
        <w:pStyle w:val="TextoNormal"/>
      </w:pPr>
      <w:r>
        <w:t xml:space="preserve">Esta interpretación se ve además avalada, según se constata, por el Real Decreto 520/2005, de 13 de mayo, por el que se aprueba el Reglamento general de desarrollo de la Ley general tributaria, en materia de revisión en vía administrativa, cuyo art. 60 confirma que la interposición de un recurso de anulación “no sólo no influye, recortándolo, en el ámbito objetivo de la </w:t>
      </w:r>
      <w:r w:rsidRPr="00A90898">
        <w:rPr>
          <w:i/>
        </w:rPr>
        <w:t>cognitio</w:t>
      </w:r>
      <w:r>
        <w:t xml:space="preserve"> del ulterior recurso, sino que, al contrario, es la resolución del recurso de anulación la que pierde su sustantividad, pues se engloba, para su impugnación, dentro del contenido más amplio de ese recurso posterior” (STC 23/2011, FJ 4).</w:t>
      </w:r>
    </w:p>
    <w:p w:rsidR="00A90898" w:rsidRDefault="00A90898" w:rsidP="00A90898">
      <w:pPr>
        <w:pStyle w:val="TextoNormal"/>
      </w:pPr>
    </w:p>
    <w:p w:rsidR="00A90898" w:rsidRDefault="00A90898" w:rsidP="00A90898">
      <w:pPr>
        <w:pStyle w:val="TextoNormal"/>
      </w:pPr>
      <w:r>
        <w:t xml:space="preserve">A partir de lo anterior, en el fundamento jurídico 5 de la STC 23/2011 se consideró que trasladar la limitación de la </w:t>
      </w:r>
      <w:r w:rsidRPr="00A90898">
        <w:rPr>
          <w:i/>
        </w:rPr>
        <w:t>cognitio</w:t>
      </w:r>
      <w:r>
        <w:t xml:space="preserve"> del recurso de anulación al posterior recurso contencioso-administrativo es una interpretación del art. 239.6 LGT “claramente desproporcionada, habida cuenta de que la finalidad perseguida por el recurso de anulación, que es la de evitar la interposición de un ulterior recurso, para nada exige que éste quede sometido a la misma limitación de la </w:t>
      </w:r>
      <w:r w:rsidRPr="00A90898">
        <w:rPr>
          <w:i/>
        </w:rPr>
        <w:t>cognitio</w:t>
      </w:r>
      <w:r>
        <w:t xml:space="preserve"> que afecta a aquél, con lo que ha venido a crearse una causa de no pronunciamiento sobre el fondo del asunto desprovista de base legal”.</w:t>
      </w:r>
    </w:p>
    <w:p w:rsidR="00A90898" w:rsidRDefault="00A90898" w:rsidP="00A90898">
      <w:pPr>
        <w:pStyle w:val="TextoNormal"/>
      </w:pPr>
    </w:p>
    <w:p w:rsidR="00A90898" w:rsidRDefault="00A90898" w:rsidP="00A90898">
      <w:pPr>
        <w:pStyle w:val="TextoNormal"/>
      </w:pPr>
      <w:r>
        <w:t>Lo anterior llevó a concluir, en aquel proceso, que el órgano judicial que había limitado su enjuiciamiento a la resolución administrativa que inadmitió el recurso de anulación, había con ello dejado de dar respuesta a “todas las cuestiones controvertidas en el proceso”, como establece el art. 67.1 de Ley 29/1998, de 13 julio, reguladora de la jurisdicción contencioso-administrativa (LJCA). Se entendió así que, al no existir causa legal para tal decisión de no pronunciamiento, se había vulnerado el derecho de la recurrente en amparo a la tutela judicial efectiva, en su vertiente de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t>5</w:t>
      </w:r>
      <w:r>
        <w:t>. Como se ha expuesto en el relato de antecedentes, ha quedado acreditado que la sociedad demandante de amparo, atendiendo el ofrecimiento de recursos que le había hecho el Tribunal Económico-Administrativo Regional de Asturias en sus resoluciones dictadas el 30 de noviembre de 2012 (expedientes número 33/3522/2010; y acumulados 33/3520/2010 y 33/3521/2010), interpuso sendos recursos de anulación de acuerdo con lo previsto en el art. 239.6 LGT. Dichos recursos fueron desestimados primero de forma presunta, y luego de forma expresa, mediante sendas resoluciones de igual fecha, 23 de enero de 2013, en las que se acordó desestimar el recurso de anulación interpuesto.</w:t>
      </w:r>
    </w:p>
    <w:p w:rsidR="00A90898" w:rsidRDefault="00A90898" w:rsidP="00A90898">
      <w:pPr>
        <w:pStyle w:val="TextoNormal"/>
      </w:pPr>
    </w:p>
    <w:p w:rsidR="00A90898" w:rsidRDefault="00A90898" w:rsidP="00A90898">
      <w:pPr>
        <w:pStyle w:val="TextoNormal"/>
      </w:pPr>
      <w:r>
        <w:t>Interpuesto recurso contencioso-administrativo por el procedimiento ordinario frente a las anteriores resoluciones del Tribunal Económico-Administrativo Regional, la Sala de lo Contencioso-Administrativo del Tribunal Superior de Justicia del Principado de Asturias, en las dos Sentencias recurridas, consideró que sólo podía conocer de la resolución del Tribunal Económico-Administrativo Regional de Asturias por la que se había desestimado el recurso de anulación interpuesto. Entendió así la Sala que en el recurso contencioso-administrativo el Tribunal debía limitarse a analizar si concurría el motivo de anulación que había sido invocado ante el Tribunal Económico-Administrativo Regional de Asturias. Resolvieron en consecuencia ambas Sentencias que no era procedente examinar las resoluciones impugnadas en anulación, ni por tanto analizar el fondo de las demás infracciones del ordenamiento jurídico que habían sido alegadas por la demandante. En concreto, en ambas Sentencias la Sala razonó que la demanda no había acreditado la concurrencia del motivo en que basó el recurso de nulidad, de manera que tal recurso había de ser desestimado en los términos que argumentó la Administración, añadiendo que en todo caso las resoluciones dictadas en 30 de noviembre de 2012 no podían ser objeto del recurso contencioso-administrativo toda vez que “para entrar en la resolución de liquidación, que es lo que en el fondo se pretende en la demanda, habría que estimar el recurso de anulación, y por tanto, desestimado éste, no cabe entrar en la revisión jurisdiccional de aquél, lo que lleva a desestimar el recurso”.</w:t>
      </w:r>
    </w:p>
    <w:p w:rsidR="00A90898" w:rsidRDefault="00A90898" w:rsidP="00A90898">
      <w:pPr>
        <w:pStyle w:val="TextoNormal"/>
      </w:pPr>
    </w:p>
    <w:p w:rsidR="00A90898" w:rsidRDefault="00A90898" w:rsidP="00A90898">
      <w:pPr>
        <w:pStyle w:val="TextoNormal"/>
      </w:pPr>
      <w:r>
        <w:t>Frente a las citadas Sentencias, la demandante interpuso sendos incidentes de nulidad de actuaciones, que fueron desestimados con idéntico razonamiento, al estimar la Sala que el supuesto no era idéntico al recogido en nuestra doctrina, de manera que “pese a que el tema puede ser controvertido”, la STC 23/2011 “no contempla un supuesto de desestimación motivada del recurso de anulación sino de inadmisión del mismo”, concluyendo por ello que, una vez que ha sido desestimado el recurso de anulación, éste ya ha resuelto las cuestiones planteadas.</w:t>
      </w:r>
    </w:p>
    <w:p w:rsidR="00A90898" w:rsidRDefault="00A90898" w:rsidP="00A90898">
      <w:pPr>
        <w:pStyle w:val="TextoNormal"/>
      </w:pPr>
    </w:p>
    <w:p w:rsidR="00A90898" w:rsidRDefault="00A90898" w:rsidP="00A90898">
      <w:pPr>
        <w:pStyle w:val="TextoNormal"/>
      </w:pPr>
      <w:r w:rsidRPr="00A90898">
        <w:rPr>
          <w:rStyle w:val="NumeroAFNegritaCaracter"/>
        </w:rPr>
        <w:t>6</w:t>
      </w:r>
      <w:r>
        <w:t>. La conclusión en este asunto no puede ser diferente a la alcanzada en la STC 23/2011, por lo que procede aquí también estimar el amparo, a partir de las siguientes consideraciones.</w:t>
      </w:r>
    </w:p>
    <w:p w:rsidR="00A90898" w:rsidRDefault="00A90898" w:rsidP="00A90898">
      <w:pPr>
        <w:pStyle w:val="TextoNormal"/>
      </w:pPr>
    </w:p>
    <w:p w:rsidR="00A90898" w:rsidRDefault="00A90898" w:rsidP="00A90898">
      <w:pPr>
        <w:pStyle w:val="TextoNormal"/>
      </w:pPr>
      <w:r>
        <w:t xml:space="preserve">Efectivamente, en esta última Sentencia se trataba de un asunto en el que el recurso de anulación interpuesto en la vía administrativa había sido inadmitido. Frente a ello, en este caso los recursos de anulación fueron desestimados mediante sendas resoluciones del Tribunal Económico-Administrativo Regional de Asturias. Esta diferencia es la que conduce al Abogado del Estado, como también a la Sala en su respuesta a los incidentes de nulidad de actuaciones, a argumentar que la demandante ya obtuvo una respuesta motivada sobre el </w:t>
      </w:r>
      <w:r>
        <w:lastRenderedPageBreak/>
        <w:t>fondo de las pretensiones, pues tanto las resoluciones del Tribunal Económico-Administrativo Regional de Asturias de 30 de noviembre de 2012, como las que desestiman el recurso de anulación, habrían examinado y desestimado de forma motivada, todas las pretensiones.</w:t>
      </w:r>
    </w:p>
    <w:p w:rsidR="00A90898" w:rsidRDefault="00A90898" w:rsidP="00A90898">
      <w:pPr>
        <w:pStyle w:val="TextoNormal"/>
      </w:pPr>
    </w:p>
    <w:p w:rsidR="00A90898" w:rsidRDefault="00A90898" w:rsidP="00A90898">
      <w:pPr>
        <w:pStyle w:val="TextoNormal"/>
      </w:pPr>
      <w:r>
        <w:t>Esta alegación no altera, sin embargo, la conclusión alcanzada. De acuerdo con nuestra doctrina, lo relevante no es que se haya obtenido una respuesta motivada en la vía administrativa, algo que no es controvertido en este pleito, sino que ésta se haya obtenido en la vía jurisdiccional, pues es ahí donde deben abordarse todas las cuestiones planteadas, en los términos que dispuso la STC 23/2011, conocida por el órgano jurisdiccional ya que fue expresamente invocada por la demandante en el incidente de nulidad interpuesto.</w:t>
      </w:r>
    </w:p>
    <w:p w:rsidR="00A90898" w:rsidRDefault="00A90898" w:rsidP="00A90898">
      <w:pPr>
        <w:pStyle w:val="TextoNormal"/>
      </w:pPr>
    </w:p>
    <w:p w:rsidR="00A90898" w:rsidRDefault="00A90898" w:rsidP="00A90898">
      <w:pPr>
        <w:pStyle w:val="TextoNormal"/>
      </w:pPr>
      <w:r>
        <w:t>Por todo ello, debe concluirse que el órgano judicial, al limitar en las sentencias impugnadas su enjuiciamiento a las resoluciones por las que se desestimaron los recursos de anulación, y no pronunciarse sobre el resto de los motivos de fondo que fueron suscitados en los recursos contencioso-administrativos, ha dejado de dar respuesta a “todas las cuestiones controvertidas en el proceso” (art. 67.1 LJCA), sin que exista una causa legal que fundamente su decisión de no pronunciamiento, limitando en términos incompatibles con el art. 24.1 CE el derecho de la entidad demandante de amparo al acceso a una resolución de fondo.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los recursos de amparo acumulados números 5814-2014 y 475-2015 interpuestos por Andorcio, S.L., y, en consecuencia:</w:t>
      </w:r>
    </w:p>
    <w:p w:rsidR="00A90898" w:rsidRDefault="00A90898" w:rsidP="00A90898">
      <w:pPr>
        <w:pStyle w:val="TextoNormal"/>
      </w:pPr>
    </w:p>
    <w:p w:rsidR="00A90898" w:rsidRDefault="00A90898" w:rsidP="00A90898">
      <w:pPr>
        <w:pStyle w:val="TextoNormal"/>
      </w:pPr>
      <w:r>
        <w:t>1º Declarar que ha sido vulnerado el derecho fundamental de la entidad recurrente a la tutela judicial efectiva sin indefensión (art. 24.1 CE).</w:t>
      </w:r>
    </w:p>
    <w:p w:rsidR="00A90898" w:rsidRDefault="00A90898" w:rsidP="00A90898">
      <w:pPr>
        <w:pStyle w:val="TextoNormal"/>
      </w:pPr>
    </w:p>
    <w:p w:rsidR="00A90898" w:rsidRDefault="00A90898" w:rsidP="00A90898">
      <w:pPr>
        <w:pStyle w:val="TextoNormal"/>
      </w:pPr>
      <w:r>
        <w:t>2º Restablecerla en su derecho y, a tal fin:</w:t>
      </w:r>
    </w:p>
    <w:p w:rsidR="00A90898" w:rsidRDefault="00A90898" w:rsidP="00A90898">
      <w:pPr>
        <w:pStyle w:val="TextoNormal"/>
      </w:pPr>
    </w:p>
    <w:p w:rsidR="00A90898" w:rsidRDefault="00A90898" w:rsidP="00A90898">
      <w:pPr>
        <w:pStyle w:val="TextoNormal"/>
      </w:pPr>
      <w:r>
        <w:t>- Declarar la nulidad de la Sentencia de la Sala de lo Contencioso-Administrativo del Tribunal Superior de Justicia de Asturias, de 26 de mayo de 2014, dictada en el recurso 88/13; así como del Auto de 11 de julio de 2014, por el que el mismo órgano judicial desestimó la solicitud de nulidad de actuaciones formulada por el demandante de amparo.</w:t>
      </w:r>
    </w:p>
    <w:p w:rsidR="00A90898" w:rsidRDefault="00A90898" w:rsidP="00A90898">
      <w:pPr>
        <w:pStyle w:val="TextoNormal"/>
      </w:pPr>
    </w:p>
    <w:p w:rsidR="00A90898" w:rsidRDefault="00A90898" w:rsidP="00A90898">
      <w:pPr>
        <w:pStyle w:val="TextoNormal"/>
      </w:pPr>
      <w:r>
        <w:t>- Declarar la nulidad de la Sentencia de la Sala de lo Contencioso-Administrativo del Tribunal Superior de Justicia de Asturias, de 27 de octubre de 2014, dictada en el recurso 89-2013, así como del Auto 5 de diciembre de 2014, por el que el mismo órgano desestimó el incidente de nulidad de actuaciones.</w:t>
      </w:r>
    </w:p>
    <w:p w:rsidR="00A90898" w:rsidRDefault="00A90898" w:rsidP="00A90898">
      <w:pPr>
        <w:pStyle w:val="TextoNormal"/>
      </w:pPr>
    </w:p>
    <w:p w:rsidR="00A90898" w:rsidRDefault="00A90898" w:rsidP="00A90898">
      <w:pPr>
        <w:pStyle w:val="TextoNormal"/>
      </w:pPr>
      <w:r>
        <w:t>3º Retrotraer las actuaciones judiciales al momento inmediatamente anterior al de dictarse las dos Sentencias anteriores, para que el órgano judicial, con respeto al derecho fundamental reconocido, dicte la resolución que proceda.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3" w:name="SENTENCIA_2016_134"/>
      <w:r>
        <w:lastRenderedPageBreak/>
        <w:t>SENTENCIA 134/2016, de 18 de julio de 2016</w:t>
      </w:r>
    </w:p>
    <w:bookmarkEnd w:id="13"/>
    <w:p w:rsidR="00A90898" w:rsidRDefault="00A90898" w:rsidP="00A90898">
      <w:pPr>
        <w:pStyle w:val="TtuloResolucin"/>
      </w:pPr>
      <w:r>
        <w:t>Sala Segunda</w:t>
      </w:r>
    </w:p>
    <w:p w:rsidR="00A90898" w:rsidRDefault="00A90898" w:rsidP="00A90898">
      <w:pPr>
        <w:pStyle w:val="TtuloBOE"/>
      </w:pPr>
      <w:r>
        <w:t>(BOE núm. 196, de 15 de agosto de 2016)</w:t>
      </w:r>
    </w:p>
    <w:p w:rsidR="00A90898" w:rsidRDefault="00A90898" w:rsidP="00A90898">
      <w:pPr>
        <w:pStyle w:val="TextoNormalCentrado"/>
      </w:pPr>
      <w:r>
        <w:t>ECLI:ES:TC:2016:134</w:t>
      </w:r>
    </w:p>
    <w:p w:rsidR="00A90898" w:rsidRDefault="00A90898" w:rsidP="00A90898">
      <w:pPr>
        <w:pStyle w:val="TextoNormalCentrado"/>
      </w:pPr>
    </w:p>
    <w:p w:rsidR="00A90898" w:rsidRDefault="00A90898" w:rsidP="00A90898">
      <w:pPr>
        <w:pStyle w:val="SntesisDescriptiva"/>
      </w:pPr>
      <w:r>
        <w:t>Cuestión de inconstitucionalidad 824-2015. Planteada por la Sala de lo Social del Tribunal Superior de Justicia de Murcia en relación con los artículos 2 del Real Decreto-ley 20/2012, de 13 de julio, de medidas para garantizar la estabilidad presupuestaria y de fomento de la competitividad, y 2.1 de la Ley de la Región de Murcia 9/2012, de 8 de noviembre, de adaptación de la normativa regional en materia de función pública al Real Decreto-ley 20/2012.</w:t>
      </w:r>
    </w:p>
    <w:p w:rsidR="00A90898" w:rsidRDefault="00A90898" w:rsidP="00A90898">
      <w:pPr>
        <w:pStyle w:val="SntesisDescriptiva"/>
      </w:pPr>
    </w:p>
    <w:p w:rsidR="00A90898" w:rsidRDefault="00A90898" w:rsidP="00A90898">
      <w:pPr>
        <w:pStyle w:val="SntesisAnaltica"/>
      </w:pPr>
      <w:r>
        <w:t>Principio de irretroactividad de las normas restrictivas de derechos individuales: inadmisión parcial de la cuestión de inconstitucionalidad por inadecuada formulación del juicio de aplicabilidad y relevancia e incorrecta realización del trámite de audiencia a las partes; extinción parcial, por pérdida de objeto (STC 83/2015).</w:t>
      </w:r>
    </w:p>
    <w:p w:rsidR="00A90898" w:rsidRDefault="00A90898" w:rsidP="00A90898">
      <w:pPr>
        <w:pStyle w:val="SntesisAnaltica"/>
      </w:pPr>
    </w:p>
    <w:p w:rsidR="00A90898" w:rsidRDefault="00A90898" w:rsidP="00A90898">
      <w:pPr>
        <w:pStyle w:val="Extracto"/>
      </w:pPr>
      <w:r>
        <w:t>1.</w:t>
      </w:r>
      <w:r>
        <w:tab/>
        <w:t>Asunto sustancialmente idéntico al resuelto por la STC 83/2016, que determinó la extinción por pérdida sobrevenida de objeto en la recuperación de la paga extraordinaria de diciembre de 2012, que había sido suprimida por el Real Decreto-ley 20/2012 para todo el personal del sector público, por haberse satisfecho extraprocesalmente la pretensión [FFJJ 3, 4].</w:t>
      </w:r>
    </w:p>
    <w:p w:rsidR="00A90898" w:rsidRDefault="00A90898" w:rsidP="00A90898">
      <w:pPr>
        <w:pStyle w:val="Extracto"/>
      </w:pPr>
    </w:p>
    <w:p w:rsidR="00A90898" w:rsidRDefault="00A90898" w:rsidP="00A90898">
      <w:pPr>
        <w:pStyle w:val="Extracto"/>
      </w:pPr>
      <w:r>
        <w:t>2.</w:t>
      </w:r>
      <w:r>
        <w:tab/>
        <w:t>Procede inadmitir la cuestión respecto del art. 2.1 de la Ley de la Región de Murcia 9/2012: de un lado, porque el órgano promotor no ha exteriorizado el juicio de aplicabilidad y relevancia y, de otro, porque la resolución que abrió el trámite de audiencia del art. 35.2 de la Ley Orgánica del Tribunal Constitucional no hizo mención alguna de dicho precepto [FJ 2].</w:t>
      </w:r>
    </w:p>
    <w:p w:rsidR="00A90898" w:rsidRDefault="00A90898" w:rsidP="00A90898">
      <w:pPr>
        <w:pStyle w:val="Extracto"/>
      </w:pPr>
    </w:p>
    <w:p w:rsidR="00A90898" w:rsidRDefault="00A90898" w:rsidP="00A90898">
      <w:pPr>
        <w:pStyle w:val="Extracto"/>
      </w:pPr>
      <w:r>
        <w:t>3.</w:t>
      </w:r>
      <w:r>
        <w:tab/>
        <w:t>Doctrina sobre el juicio de aplicabilidad y relevancia que deben exteriorizar los jueces y tribunales ordinarios al elevar cuestión de inconstitucionalidad ante el Tribunal Constitucional (SSTC 166/2012, 221/2015) [FJ 2].</w:t>
      </w:r>
    </w:p>
    <w:p w:rsidR="00A90898" w:rsidRDefault="00A90898" w:rsidP="00A90898">
      <w:pPr>
        <w:pStyle w:val="Extracto"/>
      </w:pPr>
    </w:p>
    <w:p w:rsidR="00A90898" w:rsidRDefault="00A90898" w:rsidP="00A90898">
      <w:pPr>
        <w:pStyle w:val="Extracto"/>
      </w:pPr>
      <w:r>
        <w:t>4.</w:t>
      </w:r>
      <w:r>
        <w:tab/>
        <w:t>Doctrina sobre la necesidad de identificar los preceptos sobre los que versará la cuestión de inconstitucionalidad en el trámite de audiencia ante el Tribunal Constitucional (STC 33/2009; ATC 183/2015)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la cuestión de inconstitucionalidad núm. 824-2015, promovida por la Sala de lo Social del Tribunal Superior de Justicia de Murcia, en relación con los arts. 2 del Real Decreto-ley 20/2012, de 13 de julio, de medidas para garantizar la estabilidad presupuestaria y de fomento de la competitividad, y 2.1 de la Ley de la Región de Murcia 9/2012, de 8 de noviembre, de adaptación de la normativa regional en materia de función pública al Real Decreto-ley 20/2012. Han comparecido y formulado alegaciones el Abogado del Estado, el Fiscal General del Estado y el Consejo de Gobierno de la Región de Murcia.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día 11 de febrero de 2015 tuvo entrada en el Registro General de este Tribunal escrito del Tribunal Superior de Justicia Murcia, Sala de lo Social, al que se acompaña, además del testimonio del correspondiente procedimiento, el Auto de 10 de diciembre de 2014 por el que plantea cuestión de inconstitucionalidad en relación con los arts. 2 del Real Decreto-ley 20/2012, de 13 de julio, de medidas para garantizar la estabilidad presupuestaria y de fomento de la competitividad, y 2.1 de la Ley de la Región de Murcia 9/2012, de 8 de noviembre, de adaptación de la normativa regional en materia de función pública al Real Decreto-ley 20/2012.</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hecho del planteamiento de la presente cuestión de inconstitucionalidad son, sucintamente expuestos, los siguientes:</w:t>
      </w:r>
    </w:p>
    <w:p w:rsidR="00A90898" w:rsidRDefault="00A90898" w:rsidP="00A90898">
      <w:pPr>
        <w:pStyle w:val="TextoNormal"/>
      </w:pPr>
    </w:p>
    <w:p w:rsidR="00A90898" w:rsidRDefault="00A90898" w:rsidP="00A90898">
      <w:pPr>
        <w:pStyle w:val="TextoNormal"/>
      </w:pPr>
      <w:r>
        <w:t>a) El presente procedimiento deriva de la demanda de conflicto colectivo seguido a instancia de diversos sindicatos contra la Universidad de Murcia, en relación con la supresión de la paga extraordinaria de diciembre de 2012 al personal laboral de administración y servicios. Solicitaron los demandantes el planteamiento de cuestión de inconstitucionalidad por vulneración de los arts. 86.1, 134, 37.1, 28.1, 9.3, 31.1, 33.3 y 131.1 CE, causada por el Real Decreto-ley 20/2012; en su defecto, la revocación de la decisión de no abonar la paga extraordinaria del mes de diciembre de 2012, o, subsidiariamente aún a lo anterior, el reconocimiento del derecho a percibir la parte proporcional de la misma por el periodo de 1 de enero a 14 de julio de 2012.</w:t>
      </w:r>
    </w:p>
    <w:p w:rsidR="00A90898" w:rsidRDefault="00A90898" w:rsidP="00A90898">
      <w:pPr>
        <w:pStyle w:val="TextoNormal"/>
      </w:pPr>
    </w:p>
    <w:p w:rsidR="00A90898" w:rsidRDefault="00A90898" w:rsidP="00A90898">
      <w:pPr>
        <w:pStyle w:val="TextoNormal"/>
      </w:pPr>
      <w:r>
        <w:t>La parte demandante basa este último cálculo en lo establecido en el I convenio colectivo del personal laboral de administración y servicios de la Universidad de Murcia, suscrito en 2001 y actualmente vigente, cuyo art. 40.3) estipula: “Pagas extraordinarias: Serán dos, una en junio y otra en diciembre, por importe cada una de una mensualidad de sueldo y trienios. Cuando la prestación laboral no comprenda la totalidad del año, las pagas extraordinarias se abonarán proporcionalmente al tiempo trabajado en los doce meses anteriores”.</w:t>
      </w:r>
    </w:p>
    <w:p w:rsidR="00A90898" w:rsidRDefault="00A90898" w:rsidP="00A90898">
      <w:pPr>
        <w:pStyle w:val="TextoNormal"/>
      </w:pPr>
    </w:p>
    <w:p w:rsidR="00A90898" w:rsidRDefault="00A90898" w:rsidP="00A90898">
      <w:pPr>
        <w:pStyle w:val="TextoNormal"/>
      </w:pPr>
      <w:r>
        <w:t xml:space="preserve">b) Por Auto de 31 de octubre de 2014, la Sala de lo Social del Tribunal Superior de Justicia de Murcia abrió el trámite del art. 35 y ss. de la Ley Orgánica del Tribunal Constitucional (LOTC). Señaló que, aunque en casos esencialmente iguales entró en el fondo del asunto, el hecho de que el Tribunal Constitucional haya admitido a trámite cuestiones de inconstitucionalidad sobre el particular condiciona que la Sala deba oír a las partes y al </w:t>
      </w:r>
      <w:r>
        <w:lastRenderedPageBreak/>
        <w:t>Ministerio Fiscal en un plazo común e improrrogable de diez días para que alegasen lo que a su derecho conviniera sobre si procede plantear cuestión de inconstitucionalidad en relación con el art. 2 del Real Decreto-ley 20/2012, que acuerda suprimir la paga extra de diciembre de 2012, por ser contrario al art. 9.3 CE.</w:t>
      </w:r>
    </w:p>
    <w:p w:rsidR="00A90898" w:rsidRDefault="00A90898" w:rsidP="00A90898">
      <w:pPr>
        <w:pStyle w:val="TextoNormal"/>
      </w:pPr>
    </w:p>
    <w:p w:rsidR="00A90898" w:rsidRDefault="00A90898" w:rsidP="00A90898">
      <w:pPr>
        <w:pStyle w:val="TextoNormal"/>
      </w:pPr>
      <w:r>
        <w:t>c) Las representaciones de STERM-I y de CCOO manifestaron la necesidad de plantear la cuestión de inconstitucionalidad, como ya dijeran en la demanda rectora de las actuaciones, manifestando igualmente su parecer favorable la Universidad de Murcia y el Ministerio Fiscal.</w:t>
      </w:r>
    </w:p>
    <w:p w:rsidR="00A90898" w:rsidRDefault="00A90898" w:rsidP="00A90898">
      <w:pPr>
        <w:pStyle w:val="TextoNormal"/>
      </w:pPr>
    </w:p>
    <w:p w:rsidR="00A90898" w:rsidRDefault="00A90898" w:rsidP="00A90898">
      <w:pPr>
        <w:pStyle w:val="TextoNormal"/>
      </w:pPr>
      <w:r>
        <w:t>d) Por Auto de 10 de diciembre de 2014, la Sala de lo Social del Tribunal Superior de Justicia de Murcia acordó promover cuestión de inconstitucionalidad contra los arts. 2 del Real Decreto-ley 20/2012 y 2.1 de la Ley autonómica 9/2012, “por posible infracción de la prohibición de retroactividad de las normas restrictivas de derechos individuales que garantiza el artículo 9.3 de la CE, en relación con el principio de seguridad jurídica del mismo precepto”.</w:t>
      </w:r>
    </w:p>
    <w:p w:rsidR="00A90898" w:rsidRDefault="00A90898" w:rsidP="00A90898">
      <w:pPr>
        <w:pStyle w:val="TextoNormal"/>
      </w:pPr>
    </w:p>
    <w:p w:rsidR="00A90898" w:rsidRDefault="00A90898" w:rsidP="00A90898">
      <w:pPr>
        <w:pStyle w:val="TextoNormal"/>
      </w:pPr>
      <w:r w:rsidRPr="00A90898">
        <w:rPr>
          <w:rStyle w:val="NumeroAFNegritaCaracter"/>
        </w:rPr>
        <w:t>3</w:t>
      </w:r>
      <w:r>
        <w:t>. En el Auto de planteamiento, la Sala promotora señala que en sentencias anteriores, dictadas en procesos con objeto similar, estimó que la retroactividad dispuesta por el Real Decreto-ley 20/2012 no era expresa, por lo que rechazó el planteamiento de la cuestión de inconstitucionalidad y condenó a la parte demandada a abonar la parte proporcional de la paga extraordinaria de 2012 ya devengada. No obstante, la admisión a trámite por el Tribunal Constitucional de diversas cuestiones de inconstitucionalidad con el mismo objeto, “determina que, con el fin de garantizar la igualdad en la aplicación de la ley, esta Sala deba cambiar de criterio”.</w:t>
      </w:r>
    </w:p>
    <w:p w:rsidR="00A90898" w:rsidRDefault="00A90898" w:rsidP="00A90898">
      <w:pPr>
        <w:pStyle w:val="TextoNormal"/>
      </w:pPr>
    </w:p>
    <w:p w:rsidR="00A90898" w:rsidRDefault="00A90898" w:rsidP="00A90898">
      <w:pPr>
        <w:pStyle w:val="TextoNormal"/>
      </w:pPr>
      <w:r>
        <w:t>La duda de constitucionalidad, basada en la vulneración del principio de irretroactividad de las disposiciones sancionadoras no favorables o restrictivas de derechos individuales que garantiza el art. 9.3 CE, se fundamenta en el Auto de planteamiento en que la retribución denominada “paga extraordinaria”, que se regula en el art. 31 de la Ley del estatuto de los trabajadores (LET), tiene naturaleza salarial (art. 26 LET). La jurisprudencia del Tribunal Supremo (con cita de diversas Sentencias) interpreta la paga extra como de devengo diario y cobro aplazado. El derecho del trabajador a percibir la parte proporcional de la paga extraordinaria devengada y no pagada debe calificarse como derecho individual. La doctrina del Tribunal Constitucional ha establecido que los derechos a una retribución ya generada, aunque no percibida, son derechos individuales a los efectos del art. 9.3 CE (AATC 179/2011, de 13 de diciembre, y 8/2013, de 15 de enero).</w:t>
      </w:r>
    </w:p>
    <w:p w:rsidR="00A90898" w:rsidRDefault="00A90898" w:rsidP="00A90898">
      <w:pPr>
        <w:pStyle w:val="TextoNormal"/>
      </w:pPr>
    </w:p>
    <w:p w:rsidR="00A90898" w:rsidRDefault="00A90898" w:rsidP="00A90898">
      <w:pPr>
        <w:pStyle w:val="TextoNormal"/>
      </w:pPr>
      <w:r>
        <w:t>Los términos del art. 2 del Real Decreto-ley 20/2012 son claros en cuanto que este precepto viene a suprimir la percepción de la paga extraordinaria del mes de diciembre del año 2012 para el personal laboral del sector público. Ello se confirma en el art. 6, donde además se afirma que la supresión se refiere a todo el año 2012, corroborando la naturaleza retroactiva de la supresión acordada por el artículo 2 y excluyendo la interpretación de que la supresión tan solo alcanza a la parte de la paga extraordinaria devengada con posterioridad a la entrada en vigor del Real Decreto-ley 20/2012.</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Por providencia de 23 de junio de 2015 el Pleno, a propuesta de la Sección Cuarta, acordó admitir a trámite la cuestión de inconstitucionalidad; deferir su conocimiento a la </w:t>
      </w:r>
      <w:r>
        <w:lastRenderedPageBreak/>
        <w:t>Sala Segunda, a la que por turno objetivo le ha correspondido, conforme al art. 10.1 c) LOTC; dar traslado de las actuaciones recibidas, de acuerdo con el art. 37.3 LOTC, al Congreso de los Diputados, al Senado, al Gobierno, al Fiscal General del Estado, al Gobierno de la Comunidad Autónoma de la Región de Murcia y a la Asamblea Regional de Murcia, para que en el plazo de 15 días pudieran personarse en el procedimiento y formular las alegaciones que estimasen convenientes; comunicar esta resolución a la Sala de lo Social del Tribunal Superior de Justicia de Murcia a fin de que, de conformidad con el art. 35.3 LOTC, permaneciese suspendido el proceso hasta la resolución de la presente cuestión; y publicar su incoación en el “Boletín Oficial del Estado” y en el “Boletín Oficial de la Región de Murcia”.</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sendos escritos registrados los días 1, 3 y 15 de julio de 2015, el Presidente del Senado, el Presidente del Congreso de los Diputados y la Presidenta de la Asamblea Regional de Murcia comunicaron los respectivos acuerdos de las Mesas de las Cámaras de personarse en el presente proceso constitucional, ofreciendo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registrado en este Tribunal el 15 de julio de 2015, el Abogado del Estado se personó en el presente proceso constitucional, instando la desestimación de la cuestión en atención a las alegaciones que a continuación se sintetizan.</w:t>
      </w:r>
    </w:p>
    <w:p w:rsidR="00A90898" w:rsidRDefault="00A90898" w:rsidP="00A90898">
      <w:pPr>
        <w:pStyle w:val="TextoNormal"/>
      </w:pPr>
    </w:p>
    <w:p w:rsidR="00A90898" w:rsidRDefault="00A90898" w:rsidP="00A90898">
      <w:pPr>
        <w:pStyle w:val="TextoNormal"/>
      </w:pPr>
      <w:r>
        <w:t>a) Aunque el Auto de planteamiento cuestiona la totalidad del art. 2 del Real Decreto-ley 20/2012, se refiere solo a su apartado 2.2, es decir, a la aplicación de la supresión de la paga extraordinaria de diciembre al personal laboral del sector público. Además, no se cuestiona genéricamente la referida supresión, sino que tan solo se reprocha al legislador el que no haya incluido una disposición transitoria por la cual se hubiera exceptuado de la mencionada supresión la parte proporcional que se entiende devengada del 1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y el 15 de julio de 2012.</w:t>
      </w:r>
    </w:p>
    <w:p w:rsidR="00A90898" w:rsidRDefault="00A90898" w:rsidP="00A90898">
      <w:pPr>
        <w:pStyle w:val="TextoNormal"/>
      </w:pPr>
    </w:p>
    <w:p w:rsidR="00A90898" w:rsidRDefault="00A90898" w:rsidP="00A90898">
      <w:pPr>
        <w:pStyle w:val="TextoNormal"/>
      </w:pPr>
      <w:r>
        <w:t>b) El precepto cuestionado no constituye una “disposición sancionadora no favorable o restrictiva de derechos individuales” en el sentido del art. 9.3 CE, según la interpretación del Tribunal (SSTC 90/2009, de 20 de abril, FJ 4,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00A90898" w:rsidRDefault="00A90898" w:rsidP="00A90898">
      <w:pPr>
        <w:pStyle w:val="TextoNormal"/>
      </w:pPr>
    </w:p>
    <w:p w:rsidR="00A90898" w:rsidRDefault="00A90898" w:rsidP="00A90898">
      <w:pPr>
        <w:pStyle w:val="TextoNormal"/>
      </w:pPr>
      <w:r>
        <w:t>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(SSTC 227/1988, de 29 de noviembre, FJ 7, y 112/2006, de 5 de abril, FJ 17, entre otras).</w:t>
      </w:r>
    </w:p>
    <w:p w:rsidR="00A90898" w:rsidRDefault="00A90898" w:rsidP="00A90898">
      <w:pPr>
        <w:pStyle w:val="TextoNormal"/>
      </w:pPr>
    </w:p>
    <w:p w:rsidR="00A90898" w:rsidRDefault="00A90898" w:rsidP="00A90898">
      <w:pPr>
        <w:pStyle w:val="TextoNormal"/>
      </w:pPr>
      <w:r>
        <w:t>La regulación legal de las pagas extraordinarias (art. 31 LET)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Al contrario, es la jurisprudencia la que tiene que adaptarse a lo que disponga el legislador. El precepto cuestionado ha entendido, precisamente, que las gratificaciones extraordinarias se devengan en el momento del pago, concepción perfectamente conforme con los arts. 26 y 31 LET, así como con la doctrina constitucional relativa a los tributos de hecho imponible duradero (STC 176/2011, de 8 de noviembre, FJ 5). Trasladada esta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propia eficacia retroactiva, dado que el Real Decreto-ley 20/2012 incide sobre una paga extraordinaria que todavía no se ha percibido.</w:t>
      </w:r>
    </w:p>
    <w:p w:rsidR="00A90898" w:rsidRDefault="00A90898" w:rsidP="00A90898">
      <w:pPr>
        <w:pStyle w:val="TextoNormal"/>
      </w:pPr>
    </w:p>
    <w:p w:rsidR="00A90898" w:rsidRDefault="00A90898" w:rsidP="00A90898">
      <w:pPr>
        <w:pStyle w:val="TextoNormal"/>
      </w:pPr>
      <w:r>
        <w:t xml:space="preserve">d) Aún en el caso de que se considerase que la norma establece una retroactividad de grado máximo, ésta se justifica por la concurrencia de exigencias de interés público, conectadas con la situación de auténtica excepción fiscal que vivía España en el momento de la aprobación del Real Decreto-ley 20/2012. De conformidad con la jurisprudencia constitucional [SSTC 182/1997, de 28 de octubre, FJ 13 A), y 176/2011, FJ 5], que a su vez cita la del Tribunal de Justicia de la Unión Europa (Sentencia de 26 de abril de 2005, C-376/02), pueden reputarse conformes a la Constitución modificaciones con cualquier grado de retroactividad cuando existan claras exigencias de interés general. Aplicando tal doctrina al presente caso, la medida cuestionada encontraría su justificación en un interés público relevante, como lo es el de la necesidad de realizar fuertes ajustes presupuestarios en el marco de una crisis económica sin precedentes, siendo la reducción de las retribuciones una medida extraordinaria de “contención de gastos de personal” que tiene por finalidad “contribuir a la consecución del inexcusable objetivo de estabilidad presupuestaria derivado del marco constitucional y de la Unión Europea”, como se señala en el preámbulo del Real Decreto-ley 20/2012 y en el debate de convalidación de la norma, así como en los sucesivos informes anuales del Banco de España de 2008, 2009, 2010 y 2011. En la senda de consolidación fiscal pactada con los órganos de la Unión Europea, España se ha visto obligada a una fuerte reducción del déficit (del 8,9 por 100 del PIB en 2011 al 6,3 por 100 del PIB en 2012), lo que ha exigido adoptar importantes medidas de reducción del gasto público, sin olvidar que la estabilidad presupuestaria es actualmente un principio constitucional que vincula a todos </w:t>
      </w:r>
      <w:r>
        <w:lastRenderedPageBreak/>
        <w:t>los poderes públicos. 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00A90898" w:rsidRDefault="00A90898" w:rsidP="00A90898">
      <w:pPr>
        <w:pStyle w:val="TextoNormal"/>
      </w:pPr>
    </w:p>
    <w:p w:rsidR="00A90898" w:rsidRDefault="00A90898" w:rsidP="00A90898">
      <w:pPr>
        <w:pStyle w:val="TextoNormal"/>
      </w:pPr>
      <w:r>
        <w:t>La doctrina constitucional ha señalado que basta con la concurrencia de cualificadas exigencias del bien común o de interés general para admitir modificaciones con cualquier grado de retroactividad (por ejemplo, para evitar operaciones de elusión fiscal). Así las cosas, no existe razón para negar la concurrencia de un interés general dada la situación descrita de grave crisis económica (al borde, incluso, del rescate financiero de España cuando se adoptó la medida cuestionada).</w:t>
      </w:r>
    </w:p>
    <w:p w:rsidR="00A90898" w:rsidRDefault="00A90898" w:rsidP="00A90898">
      <w:pPr>
        <w:pStyle w:val="TextoNormal"/>
      </w:pPr>
    </w:p>
    <w:p w:rsidR="00A90898" w:rsidRDefault="00A90898" w:rsidP="00A90898">
      <w:pPr>
        <w:pStyle w:val="TextoNormal"/>
      </w:pPr>
      <w:r>
        <w:t>e) Las Sentencias del Tribunal Europeo de Derechos Humanos no pueden servir para avalar la tesis mantenida en el Auto de planteamiento, ya que allí se alegaron intereses difusos que no justificaban la aplicación retroactiva desde la perspectiva de la proporcionalidad. Por el contrario, en el presente caso no existen motivos “difusos”, sino concretos de interés general.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ante el interés público que se trata de atender, resulta absolutamente proporcionado que únicamente se exija como sacrificio a los empleados públicos el aplazamiento temporal del abono de la parte proporcional de la paga extraordinaria correspondiente a los días 1 a 15 de julio, que es lo único que se discute en la presente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7</w:t>
      </w:r>
      <w:r>
        <w:t>. Con fecha 20 de julio de 2015 tuvo entrada en el Registro General de este Tribunal escrito de la Letrada de la Comunidad Autónoma de la Región de Murcia, personándose en el proceso en nombre de su Consejo de Gobierno e instando la inadmisión o, subsidiariamente, la desestimación de la cuestión de inconstitucionalidad, en atención a las razones que seguidamente se sintetizan.</w:t>
      </w:r>
    </w:p>
    <w:p w:rsidR="00A90898" w:rsidRDefault="00A90898" w:rsidP="00A90898">
      <w:pPr>
        <w:pStyle w:val="TextoNormal"/>
      </w:pPr>
    </w:p>
    <w:p w:rsidR="00A90898" w:rsidRDefault="00A90898" w:rsidP="00A90898">
      <w:pPr>
        <w:pStyle w:val="TextoNormal"/>
      </w:pPr>
      <w:r>
        <w:t>a) En la demanda de conflicto colectivo, origen de la presente cuestión de inconstitucionalidad, única y exclusivamente se plantea la cuestión de la irretroactividad o no del Real Decreto-ley 20/2012, y no de la Ley autonómica 9/2012. Por el contrario, el Auto de planteamiento extiende el objeto de la cuestión al art. 2.1 de la Ley autonómica 9/2012, sin especificar y justificar en qué medida la decisión del conflicto colectivo planteado depende de la validez de la tan citada Ley 9/2012.</w:t>
      </w:r>
    </w:p>
    <w:p w:rsidR="00A90898" w:rsidRDefault="00A90898" w:rsidP="00A90898">
      <w:pPr>
        <w:pStyle w:val="TextoNormal"/>
      </w:pPr>
    </w:p>
    <w:p w:rsidR="00A90898" w:rsidRDefault="00A90898" w:rsidP="00A90898">
      <w:pPr>
        <w:pStyle w:val="TextoNormal"/>
      </w:pPr>
      <w:r>
        <w:t>Con independencia de los efectos que una eventual declaración de inconstitucionalidad del artículo 2 del Real Decreto-ley 20/2012 pudieran o no tener sobre la aplicabilidad del artículo 2.1 de la Ley autonómica 9/2012, el Auto no cumple la exigencia de razonar la relevancia, impuesta por el art. 35.1 LOTC. Se limita a transcribir el precepto autonómico y a incluirlo en el acuerdo de planteamiento de la cuestión de inconstitucionalidad, sin explicitar ni detallar en qué medida este precepto influye o puede influir de modo concreto en el resultado del pleito en cuestión.</w:t>
      </w:r>
    </w:p>
    <w:p w:rsidR="00A90898" w:rsidRDefault="00A90898" w:rsidP="00A90898">
      <w:pPr>
        <w:pStyle w:val="TextoNormal"/>
      </w:pPr>
    </w:p>
    <w:p w:rsidR="00A90898" w:rsidRDefault="00A90898" w:rsidP="00A90898">
      <w:pPr>
        <w:pStyle w:val="TextoNormal"/>
      </w:pPr>
      <w:r>
        <w:lastRenderedPageBreak/>
        <w:t>Incurre por ello en causa de inadmisibilidad, que puede apreciarse en Sentencia (por todas, SSTC 64/2003, de 27 de marzo, FFJJ 5 y ss.; 224/2006, de 6 de julio, FJ 5, y 166/2007, de 4 de julio, FJ 7).</w:t>
      </w:r>
    </w:p>
    <w:p w:rsidR="00A90898" w:rsidRDefault="00A90898" w:rsidP="00A90898">
      <w:pPr>
        <w:pStyle w:val="TextoNormal"/>
      </w:pPr>
    </w:p>
    <w:p w:rsidR="00A90898" w:rsidRDefault="00A90898" w:rsidP="00A90898">
      <w:pPr>
        <w:pStyle w:val="TextoNormal"/>
      </w:pPr>
      <w:r>
        <w:t>b) En desarrollo de la disposición adicional duodécima de la Ley 36/2014, de 26 de diciembre, de presupuestos generales del Estado para 2015, la disposición adicional vigésima séptima de la Ley 13/2014, de 23 de diciembre, de presupuestos generales de la Comunidad Autónoma de la Región de Murcia para el ejercicio 2015, determinó para el sector público regional el abono de las cantidades correspondientes a 44 días de la paga extraordinaria y equivalentes, en concepto de recuperación de los importes efectivamente dejados de percibir por aplicación del Real Decreto-ley 20/2012. Por Acuerdo del Consejo de Gobierno de 6 de febrero de 2015 (“BORM” de 19 de febrero de 2015), se adoptaron las medidas necesarias en cumplimiento de esta disposición legal, habiendo sido abonadas en marzo de 2015.</w:t>
      </w:r>
    </w:p>
    <w:p w:rsidR="00A90898" w:rsidRDefault="00A90898" w:rsidP="00A90898">
      <w:pPr>
        <w:pStyle w:val="TextoNormal"/>
      </w:pPr>
    </w:p>
    <w:p w:rsidR="00A90898" w:rsidRDefault="00A90898" w:rsidP="00A90898">
      <w:pPr>
        <w:pStyle w:val="TextoNormal"/>
      </w:pPr>
      <w:r>
        <w:t>De ello se colige que la cuestión de inconstitucionalidad ha perdido objeto, procediendo en consecuencia la inadmisión de esta cuestión de inconstitucionalidad.</w:t>
      </w:r>
    </w:p>
    <w:p w:rsidR="00A90898" w:rsidRDefault="00A90898" w:rsidP="00A90898">
      <w:pPr>
        <w:pStyle w:val="TextoNormal"/>
      </w:pPr>
    </w:p>
    <w:p w:rsidR="00A90898" w:rsidRDefault="00A90898" w:rsidP="00A90898">
      <w:pPr>
        <w:pStyle w:val="TextoNormal"/>
      </w:pPr>
      <w:r>
        <w:t>c) No obstante lo anterior, y de acuerdo con la doctrina constitucional (SSTC 6/1983, de 4 de febrero, y 42/1986, de 10 de abril), la limitación del art. 9.3 CE respecto de la posibilidad de aprobar normas restrictivas de derechos individuales se refiere, exclusivamente, a aquellas que afecten a los derechos fundamentales y las libertadas públicas recogidas en la sección I del capítulo II del título I. Dado que el derecho al percibo de la paga extra en un determinado mes no aparece incluido entre estos derechos, el Real Decreto-ley 20/2012, no puede considerarse contrario, en modo alguno, al art. 9.3 CE.</w:t>
      </w:r>
    </w:p>
    <w:p w:rsidR="00A90898" w:rsidRDefault="00A90898" w:rsidP="00A90898">
      <w:pPr>
        <w:pStyle w:val="TextoNormal"/>
      </w:pPr>
    </w:p>
    <w:p w:rsidR="00A90898" w:rsidRDefault="00A90898" w:rsidP="00A90898">
      <w:pPr>
        <w:pStyle w:val="TextoNormal"/>
      </w:pPr>
      <w:r>
        <w:t>Tanto el Tribunal Constitucional como el Tribunal Supremo han reiterado la posibilidad de que las normas puedan incidir en situaciones preexistentes, a fin de evitar la petrificación del ordenamiento jurídico, de modo que sólo se puede considerar ilícita la norma si afecta a situaciones ya consumadas (STS de 2 de julio de 2004 y SSTC 27/1981, de 20 de julio, 6/1983, de 4 de febrero, 108/1985, de 29 de julio, 97/1990, de 24 de mayo, 182/1997, de 28 de octubre). La prohibición de retroactividad se predica de la nueva norma cuando ésta incide en los efectos jurídicos ya producidos, pero resulta extraña cuando la norma se proyecta hacia el futuro, pues el art. 9.3 CE no protege la frustración de las expectativas. No se infringe cuando la retroactividad de la norma es de grado mínimo, por aplicarse a situaciones nacidas con anterioridad a su vigencia, pero respecto a efectos jurídicos que surgen después de haber entrado en vigor la norma.</w:t>
      </w:r>
    </w:p>
    <w:p w:rsidR="00A90898" w:rsidRDefault="00A90898" w:rsidP="00A90898">
      <w:pPr>
        <w:pStyle w:val="TextoNormal"/>
      </w:pPr>
    </w:p>
    <w:p w:rsidR="00A90898" w:rsidRDefault="00A90898" w:rsidP="00A90898">
      <w:pPr>
        <w:pStyle w:val="TextoNormal"/>
      </w:pPr>
      <w:r>
        <w:t>Cuando entró en vigor el Real Decreto-ley 20/2012, los trabajadores de la Comunidad Autónoma de la Región de Murcia aún no habían incorporado a su patrimonio el derecho al percibo de la paga extraordinaria del mes de diciembre de 2012, es decir, no habían perfeccionado su derecho al cobro de tal complemento, puesto que se devenga a día 1 de diciembre. Hasta esta fecha, los trabajadores sólo contaban con la expectativa de percibir unos conceptos salariales, sin que hubieran perfeccionado el derecho al percibo de tales retribuciones, ya fuese en su integridad o solo en la parte generada durante el periodo comprendido entre el 1 de junio y el 14 de julio de 2012, teniendo en cuenta que antes de la fecha de devengo inicialmente prevista (1 de diciembre de 2012), tuvo lugar una modificación legislativa que impidió el pago de tales retribuciones.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La Fiscal General del Estado evacuó el trámite de alegaciones mediante escrito registrado en este Tribunal el día 10 de septiembre de 2015.</w:t>
      </w:r>
    </w:p>
    <w:p w:rsidR="00A90898" w:rsidRDefault="00A90898" w:rsidP="00A90898">
      <w:pPr>
        <w:pStyle w:val="TextoNormal"/>
      </w:pPr>
    </w:p>
    <w:p w:rsidR="00A90898" w:rsidRDefault="00A90898" w:rsidP="00A90898">
      <w:pPr>
        <w:pStyle w:val="TextoNormal"/>
      </w:pPr>
      <w:r>
        <w:t xml:space="preserve">Entiende que, tras el dictado de la STC 83/2015, de 30 de abril, que declaró la pérdida de objeto de la cuestión de inconstitucionalidad allí planteada, al suscitarse la oposición del mismo precepto estatal aquí cuestionado al art. 9.3 CE, no cabe sino reiterar los términos de la citada resolución, a su vez reproducidos en las SSTC 100/2015, de 25 de mayo, 113/2015, de 8 de junio, y 114/2015, de 8 de junio. En el fundamento jurídico 3 de la citada STC 83/2015, se puso de manifiesto la innegable incidencia que tenía la medida contenida en la disposición adicional duodécima de la Ley 36/2014, de presupuestos generales del Estado para 2015, sobre la pretensión deducida en el pleito </w:t>
      </w:r>
      <w:r w:rsidRPr="00A90898">
        <w:rPr>
          <w:i/>
        </w:rPr>
        <w:t>a quo</w:t>
      </w:r>
      <w:r>
        <w:t>, “que afecta de modo determinante a la subsistencia del presente proceso constitucional, dada la estrecha vinculación existente entre toda cuestión de inconstitucionalidad y el procedimiento judicial de que dimana”.</w:t>
      </w:r>
    </w:p>
    <w:p w:rsidR="00A90898" w:rsidRDefault="00A90898" w:rsidP="00A90898">
      <w:pPr>
        <w:pStyle w:val="TextoNormal"/>
      </w:pPr>
    </w:p>
    <w:p w:rsidR="00A90898" w:rsidRDefault="00A90898" w:rsidP="00A90898">
      <w:pPr>
        <w:pStyle w:val="TextoNormal"/>
      </w:pPr>
      <w:r>
        <w:t>Por lo anterior, y siendo idéntico el objeto de la presente cuestión de inconstitucionalidad, considera que debiera procederse a declarar la extinción de la presente cuestión de inconstitucionalidad por desaparición sobrevenida de su objeto.</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14 de julio de 2016 se señaló para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Sala de lo Social del Tribunal Superior de Justicia de Murcia plantea cuestión de inconstitucionalidad respecto del art. 2 del Real Decreto-ley 20/2012, de 13 de julio, de medidas para garantizar la estabilidad presupuestaria y de fomento de la competitividad, y 2.1 de la Ley de la Región de Murcia 9/2012, de 8 de noviembre, de adaptación de la normativa regional en materia de función pública al Real Decreto-ley 20/2012. Para el órgano promotor, al haberse suprimido la paga extraordinaria de diciembre de 2012 sin contemplar excepción alguna respecto de las cuantías ya devengadas al momento de su entrada en vigor, las citadas disposiciones pueden haber incurrido en “posible infracción de la prohibición de retroactividad de las normas restrictivas de derechos individuales que garantiza el art. 9.3 CE, en relación con el principio de seguridad jurídica del mismo precepto”.</w:t>
      </w:r>
    </w:p>
    <w:p w:rsidR="00A90898" w:rsidRDefault="00A90898" w:rsidP="00A90898">
      <w:pPr>
        <w:pStyle w:val="TextoNormal"/>
      </w:pPr>
    </w:p>
    <w:p w:rsidR="00A90898" w:rsidRDefault="00A90898" w:rsidP="00A90898">
      <w:pPr>
        <w:pStyle w:val="TextoNormal"/>
      </w:pPr>
      <w:r>
        <w:t>Como se ha detallado en los antecedentes de esta Sentencia, la Fiscal General del Estado insta la inadmisión de la cuestión de inconstitucionalidad por desaparición sobrevenida del objeto, mientras que el Abogado del Estado solicita su desestimación. Por su parte, la Letrada del Consejo de Gobierno de la Región de Murcia insta la inadmisión por falta de cumplimiento del juicio de relevancia respecto del art. 2.1 de la Ley de la Región de Murcia 9/2012, y por pérdida de objeto en el caso del art. 2 del Real Decreto-ley 20/2012; subsidiariamente, solicita la desestimación de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análisis de la cuestión planteada conviene realizar una serie de precisiones para acotar debidamente el objeto de la misma y el alcance de nuestro enjuiciamiento.</w:t>
      </w:r>
    </w:p>
    <w:p w:rsidR="00A90898" w:rsidRDefault="00A90898" w:rsidP="00A90898">
      <w:pPr>
        <w:pStyle w:val="TextoNormal"/>
      </w:pPr>
    </w:p>
    <w:p w:rsidR="00A90898" w:rsidRDefault="00A90898" w:rsidP="00A90898">
      <w:pPr>
        <w:pStyle w:val="TextoNormal"/>
      </w:pPr>
      <w:r>
        <w:lastRenderedPageBreak/>
        <w:t>a) Procede inadmitir la cuestión respecto del art. 2.1 de la Ley de la Región de Murcia 9/2012. De una parte, lleva razón la Letrada del Consejo de Gobierno de la Región de Murcia cuando objeta que respecto de este precepto el órgano promotor no ha exteriorizado el juicio de aplicabilidad y relevancia. Una carga que le incumbe siempre pues, por más que se pueda advertir sin especial dificultad la estrecha relación de este precepto con el art. 2 del Real Decreto-ley 20/2012, sobre el que gira toda la argumentación del Auto de planteamiento,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 (STC 221/2015, de 22 de octubre, FJ 2).</w:t>
      </w:r>
    </w:p>
    <w:p w:rsidR="00A90898" w:rsidRDefault="00A90898" w:rsidP="00A90898">
      <w:pPr>
        <w:pStyle w:val="TextoNormal"/>
      </w:pPr>
    </w:p>
    <w:p w:rsidR="00A90898" w:rsidRDefault="00A90898" w:rsidP="00A90898">
      <w:pPr>
        <w:pStyle w:val="TextoNormal"/>
      </w:pPr>
      <w:r>
        <w:t>De otra parte, la resolución que abrió el trámite de audiencia del art. 35.2 de la Ley Orgánica del Tribunal Constitucional (LOTC) no hizo mención alguna del art. 2.1 de la Ley de la Región de Murcia 9/2012. En términos del ATC 183/2015, de 3 de noviembre: “La regla general, según la doctrina constitucional (por todas, STC 33/2009, de 27 de enero, FJ 2), es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 No hacerlo, como ocurre en este caso, donde no se identifican correctamente ni los preceptos legales sobre cuya constitucionalidad se albergan dudas ni las normas de la Constitución que se consideren vulneradas, supondría, en aplicación de esta regla general, la inadmisión de la cuestión de inconstitucionalidad por falta de requisitos procesales” (FJ 2). En el fundamento jurídico 3 del mismo ATC 183/2015 recordábamos que la doctrina constitucional ha admitido excepciones, esto es, que las variaciones en la identificación del objeto de la cuestión de inconstitucionalidad no deben conducir inexorablemente a la inadmisión de la misma por falta de los requisitos procesales. Pero ello exige, entre otros extremos, que el trámite de audiencia haya sido evacuado por todas las partes en los términos que luego el órgano promotor trasladó a su auto de planteamiento, lo que no ha sucedido en este caso, como se desprende de los autos.</w:t>
      </w:r>
    </w:p>
    <w:p w:rsidR="00A90898" w:rsidRDefault="00A90898" w:rsidP="00A90898">
      <w:pPr>
        <w:pStyle w:val="TextoNormal"/>
      </w:pPr>
    </w:p>
    <w:p w:rsidR="00A90898" w:rsidRDefault="00A90898" w:rsidP="00A90898">
      <w:pPr>
        <w:pStyle w:val="TextoNormal"/>
      </w:pPr>
      <w:r>
        <w:t>La señalada falta de los requisitos procesales exigidos por el art. 35 LOTC, que no solo puede ser examinada en el trámite de admisión previsto en el art. 37 LOTC, sino también en Sentencia (por todas, STC 254/2015, de 30 de noviembre, FJ 2), determina en consecuencia la inadmisión de la cuestión en lo relativo al art 2.1 de la Ley de la Región de Murcia 9/2012.</w:t>
      </w:r>
    </w:p>
    <w:p w:rsidR="00A90898" w:rsidRDefault="00A90898" w:rsidP="00A90898">
      <w:pPr>
        <w:pStyle w:val="TextoNormal"/>
      </w:pPr>
    </w:p>
    <w:p w:rsidR="00A90898" w:rsidRDefault="00A90898" w:rsidP="00A90898">
      <w:pPr>
        <w:pStyle w:val="TextoNormal"/>
      </w:pPr>
      <w:r>
        <w:t xml:space="preserve">b) Respecto del art. 2 del Real Decreto-ley 20/2012, resulta obligado advertir, en consonancia con lo manifestado en sus alegaciones por el Abogado del Estado, que si bien el órgano promotor plantea la cuestión de inconstitucionalidad sobre el precepto en su integridad, lo cierto es que de los razonamientos que se contienen en el Auto de planteamiento se infiere sin dificultad que no se cuestiona todo el precepto, sino sólo “en cuanto viene a suprimir la percepción de la paga extraordinaria del mes de diciembre del año 2012 para el personal laboral del sector público”. Ello se conecta lógicamente con el juicio de relevancia, </w:t>
      </w:r>
      <w:r>
        <w:lastRenderedPageBreak/>
        <w:t>pues la cuestión de inconstitucionalidad trae causa de un proceso de conflicto colectivo promovido por la supresión de la paga extraordinaria del mes de diciembre de 2012 al personal laboral de administración y servicios de la Universidad de Murcia.</w:t>
      </w:r>
    </w:p>
    <w:p w:rsidR="00A90898" w:rsidRDefault="00A90898" w:rsidP="00A90898">
      <w:pPr>
        <w:pStyle w:val="TextoNormal"/>
      </w:pPr>
    </w:p>
    <w:p w:rsidR="00A90898" w:rsidRDefault="00A90898" w:rsidP="00A90898">
      <w:pPr>
        <w:pStyle w:val="TextoNormal"/>
      </w:pPr>
      <w:r>
        <w:t>De este modo, en los términos en los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A90898" w:rsidRDefault="00A90898" w:rsidP="00A90898">
      <w:pPr>
        <w:pStyle w:val="TextoNormal"/>
      </w:pPr>
    </w:p>
    <w:p w:rsidR="00A90898" w:rsidRDefault="00A90898" w:rsidP="00A90898">
      <w:pPr>
        <w:pStyle w:val="TextoNormal"/>
      </w:pPr>
      <w:r>
        <w:t xml:space="preserve">c) No se cuestiona por la Sala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(planteada a partir de la pretensión subsidiaria en el proceso </w:t>
      </w:r>
      <w:r w:rsidRPr="00A90898">
        <w:rPr>
          <w:i/>
        </w:rPr>
        <w:t>a quo</w:t>
      </w:r>
      <w:r>
        <w:t>) deberá, pues, ceñirse nuestro enjuiciamiento.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Delimitado el alcance de nuestra decisión, debemos remitirnos a lo dicho en nuestra STC 83/2015, de 29 de abril, sobre la pérdida de objeto de una cuestión de inconstitucionalidad análoga a la aquí enjuiciada. 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w:t>
      </w:r>
      <w:r w:rsidRPr="00A90898">
        <w:rPr>
          <w:i/>
        </w:rPr>
        <w:t>a quo</w:t>
      </w:r>
      <w:r>
        <w:t>, “que afecta de modo determinante a la subsistencia del presente proceso constitucional, dada la estrecha vinculación existente entre toda cuestión de inconstitucionalidad y el procedimiento judicial de que dimana.”</w:t>
      </w:r>
    </w:p>
    <w:p w:rsidR="00A90898" w:rsidRDefault="00A90898" w:rsidP="00A90898">
      <w:pPr>
        <w:pStyle w:val="TextoNormal"/>
      </w:pPr>
    </w:p>
    <w:p w:rsidR="00A90898" w:rsidRDefault="00A90898" w:rsidP="00A90898">
      <w:pPr>
        <w:pStyle w:val="TextoNormal"/>
      </w:pPr>
      <w:r>
        <w:t xml:space="preserve">En esta cuestión de inconstitucionalidad, se plantea si contraviene el art. 9.3 CE la supresión del derecho del personal laboral de administración y servicios de la Universidad de Murcia a percibir la parte proporcional de la paga extra de diciembre de 2012, en las cuantías que se entendieran ya devengadas al momento de la entrada en vigor del Real Decreto-Ley 20/2012. En el proceso </w:t>
      </w:r>
      <w:r w:rsidRPr="00A90898">
        <w:rPr>
          <w:i/>
        </w:rPr>
        <w:t>a quo</w:t>
      </w:r>
      <w:r>
        <w:t>, la parte demandante reclama el reconocimiento del derecho a percibir la parte proporcional de la misma por el periodo comprendido entre el 1 de enero y el 14 de julio de 2012, con base en lo estipulado en el art. 40.3 del convenio colectivo del personal laboral de administración y servicios de la Universidad de Murcia, que determina el carácter anual de las pagas extraordinarias, y que ha quedado íntegramente transcrito en los antecedentes.</w:t>
      </w:r>
    </w:p>
    <w:p w:rsidR="00A90898" w:rsidRDefault="00A90898" w:rsidP="00A90898">
      <w:pPr>
        <w:pStyle w:val="TextoNormal"/>
      </w:pPr>
    </w:p>
    <w:p w:rsidR="00A90898" w:rsidRDefault="00A90898" w:rsidP="00A90898">
      <w:pPr>
        <w:pStyle w:val="TextoNormal"/>
      </w:pPr>
      <w:r>
        <w:t>Siguiendo el mismo criterio de la STC 83/2015, en este caso hemos de tener en cuenta la incidencia de las siguientes disposiciones y resoluciones:</w:t>
      </w:r>
    </w:p>
    <w:p w:rsidR="00A90898" w:rsidRDefault="00A90898" w:rsidP="00A90898">
      <w:pPr>
        <w:pStyle w:val="TextoNormal"/>
      </w:pPr>
    </w:p>
    <w:p w:rsidR="00A90898" w:rsidRDefault="00A90898" w:rsidP="00A90898">
      <w:pPr>
        <w:pStyle w:val="TextoNormal"/>
      </w:pPr>
      <w:r>
        <w:lastRenderedPageBreak/>
        <w:t>a)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el 24,04 por 100 de la cuantía total.</w:t>
      </w:r>
    </w:p>
    <w:p w:rsidR="00A90898" w:rsidRDefault="00A90898" w:rsidP="00A90898">
      <w:pPr>
        <w:pStyle w:val="TextoNormal"/>
      </w:pPr>
    </w:p>
    <w:p w:rsidR="00A90898" w:rsidRDefault="00A90898" w:rsidP="00A90898">
      <w:pPr>
        <w:pStyle w:val="TextoNormal"/>
      </w:pPr>
      <w:r>
        <w:t>La disposición adicional vigésima séptima de la Ley 13/2014, de 23 de diciembre, de presupuestos generales de la Comunidad Autónoma de la Región de Murcia para el ejercicio 2015, determinó el abono de dicha cantidad para el personal del sector público regional, en concepto de recuperación de los importes efectivamente dejados de percibir por aplicación del Real Decreto-ley 20/2012. Las medidas para su cumplimiento se adoptaron por Acuerdo del Consejo de Gobierno de 6 de febrero de 2015 (“BORM” de 19 de febrero de 2015).</w:t>
      </w:r>
    </w:p>
    <w:p w:rsidR="00A90898" w:rsidRDefault="00A90898" w:rsidP="00A90898">
      <w:pPr>
        <w:pStyle w:val="TextoNormal"/>
      </w:pPr>
    </w:p>
    <w:p w:rsidR="00A90898" w:rsidRDefault="00A90898" w:rsidP="00A90898">
      <w:pPr>
        <w:pStyle w:val="TextoNormal"/>
      </w:pPr>
      <w:r>
        <w:t>Una y otro son de aplicación al “personal al servicio del sector público regional definido en el artículo 22.1 de la Ley 6/2011, de 26 de noviembre, de Presupuestos Generales de la Comunidad Autónoma de la Región de Murcia para el año 2012”, cuyo apartado f) incluye en dicho sector a las universidades de titularidad pública competencia de la Comunidad Autónoma de la Región de Murcia.</w:t>
      </w:r>
    </w:p>
    <w:p w:rsidR="00A90898" w:rsidRDefault="00A90898" w:rsidP="00A90898">
      <w:pPr>
        <w:pStyle w:val="TextoNormal"/>
      </w:pPr>
    </w:p>
    <w:p w:rsidR="00A90898" w:rsidRDefault="00A90898" w:rsidP="00A90898">
      <w:pPr>
        <w:pStyle w:val="TextoNormal"/>
      </w:pPr>
      <w:r>
        <w:t>b) El art. 1 del Real Decreto-Ley 10/2015, de 11 de septiembre, por el que se conceden créditos extraordinarios y suplementos de crédito en el presupuesto del Estado y se adoptan otras medidas en materia de empleo público y de estímulo a la economía, establece, en su apartado 1.1, que las distintas Administraciones públicas, así como sus entes dependientes y vinculados, abonarán dentro del ejercicio 2015, y por una sola vez, una retribución de carácter extraordinario cuyo importe será el equivalente a 48 días o al 26,23 por 100 de los importes dejados de percibir como consecuencia de la supresión de la paga extraordinaria correspondientes al mes de diciembre de 2012.</w:t>
      </w:r>
    </w:p>
    <w:p w:rsidR="00A90898" w:rsidRDefault="00A90898" w:rsidP="00A90898">
      <w:pPr>
        <w:pStyle w:val="TextoNormal"/>
      </w:pPr>
    </w:p>
    <w:p w:rsidR="00A90898" w:rsidRDefault="00A90898" w:rsidP="00A90898">
      <w:pPr>
        <w:pStyle w:val="TextoNormal"/>
      </w:pPr>
      <w:r>
        <w:t>c) La disposición adicional duodécima de la Ley 48/2015, de 29 de octubre, de presupuestos Generales del Estado para el año 2016, con la estructura de la precedente Ley 36/2014, establece, en su apartado 1, que cada Administración pública, en su ámbito, podrá aprobar dentro del ejercicio 2016 el abono de cantidades aún no recuperadas de los importes efectivamente dejados de percibir como consecuencia de la supresión de la paga extraordinaria de diciembre de 2012, por aplicación del Real Decreto-ley 20/2012.</w:t>
      </w:r>
    </w:p>
    <w:p w:rsidR="00A90898" w:rsidRDefault="00A90898" w:rsidP="00A90898">
      <w:pPr>
        <w:pStyle w:val="TextoNormal"/>
      </w:pPr>
    </w:p>
    <w:p w:rsidR="00A90898" w:rsidRDefault="00A90898" w:rsidP="00A90898">
      <w:pPr>
        <w:pStyle w:val="TextoNormal"/>
      </w:pPr>
      <w:r>
        <w:t>d) Con remisión a lo establecido en el citado marco normativo estatal, la disposición adicional vigésima cuarta de la Ley 1/2016, de 5 de febrero, de presupuestos generales de la Comunidad Autónoma de la Región de Murcia para el ejercicio 2016, ha regulado la recuperación de la paga extraordinaria y pagas adicionales del mes de diciembre de 2012 en el sector público regional, con el ámbito subjetivo ya indicado, diferenciando tres tramos:</w:t>
      </w:r>
    </w:p>
    <w:p w:rsidR="00A90898" w:rsidRDefault="00A90898" w:rsidP="00A90898">
      <w:pPr>
        <w:pStyle w:val="TextoNormal"/>
      </w:pPr>
    </w:p>
    <w:p w:rsidR="00A90898" w:rsidRDefault="00A90898" w:rsidP="00A90898">
      <w:pPr>
        <w:pStyle w:val="TextoNormal"/>
      </w:pPr>
      <w:r>
        <w:t>(i) Abono en 2016, por una sola vez, de una retribución de carácter extraordinario cuyo importe será el equivalente a 48 días o al 26,23 por 100 de los importes dejados de percibir, cuantía coincidente con la prevista en el Real Decreto-ley 10/2015.</w:t>
      </w:r>
    </w:p>
    <w:p w:rsidR="00A90898" w:rsidRDefault="00A90898" w:rsidP="00A90898">
      <w:pPr>
        <w:pStyle w:val="TextoNormal"/>
      </w:pPr>
    </w:p>
    <w:p w:rsidR="00A90898" w:rsidRDefault="00A90898" w:rsidP="00A90898">
      <w:pPr>
        <w:pStyle w:val="TextoNormal"/>
      </w:pPr>
      <w:r>
        <w:lastRenderedPageBreak/>
        <w:t>(ii) Abono de las cantidades equivalentes a la parte proporcional correspondiente a 22 días o al 12,02 por 100 de los importes dejados de percibir.</w:t>
      </w:r>
    </w:p>
    <w:p w:rsidR="00A90898" w:rsidRDefault="00A90898" w:rsidP="00A90898">
      <w:pPr>
        <w:pStyle w:val="TextoNormal"/>
      </w:pPr>
    </w:p>
    <w:p w:rsidR="00A90898" w:rsidRDefault="00A90898" w:rsidP="00A90898">
      <w:pPr>
        <w:pStyle w:val="TextoNormal"/>
      </w:pPr>
      <w:r>
        <w:t>La propia norma dispone que el abono de estas dos cuantías habrá de ser efectivo en la nómina del mes siguiente a la fecha de entrada en vigor de esta ley (que se produjo el 7 de febrero de 2016). Las medidas para su cumplimiento se adoptaron por Acuerdo del Consejo de Gobierno de 10 de febrero de 2016 (“BORM” de 22 de febrero de 2016), en el que se especifica que el importe total máximo de la retribución de carácter extraordinario a percibir será equivalente a 70 días o al 38,25 por 100 de las cantidades dejadas de percibir como consecuencia de la supresión de la paga extraordinaria.</w:t>
      </w:r>
    </w:p>
    <w:p w:rsidR="00A90898" w:rsidRDefault="00A90898" w:rsidP="00A90898">
      <w:pPr>
        <w:pStyle w:val="TextoNormal"/>
      </w:pPr>
    </w:p>
    <w:p w:rsidR="00A90898" w:rsidRDefault="00A90898" w:rsidP="00A90898">
      <w:pPr>
        <w:pStyle w:val="TextoNormal"/>
      </w:pPr>
      <w:r>
        <w:t>(iii) Abono en el mes de diciembre de 2016 de las cantidades equivalentes a la parte proporcional correspondiente a 69 días o al 37,71 por 100 de los importes dejados de percibir.</w:t>
      </w:r>
    </w:p>
    <w:p w:rsidR="00A90898" w:rsidRDefault="00A90898" w:rsidP="00A90898">
      <w:pPr>
        <w:pStyle w:val="TextoNormal"/>
      </w:pPr>
    </w:p>
    <w:p w:rsidR="00A90898" w:rsidRDefault="00A90898" w:rsidP="00A90898">
      <w:pPr>
        <w:pStyle w:val="TextoNormal"/>
      </w:pPr>
      <w:r>
        <w:t xml:space="preserve">En consecuencia, a la fecha en que se dicta esta resolución, la aplicación sucesiva de las normas y resoluciones citadas ha supuesto para el personal del sector público regional de la Comunidad Autónoma de Murcia, en el que está comprendido el personal afectado por el conflicto colectivo que ha dado lugar a este proceso constitucional, el abono efectivo del 62,29 por 100 de la paga extraordinaria suprimida en 2012. El importe que ya ha sido efectivamente recuperado supera al considerado devengado en la pretensión subsidiaria en el proceso </w:t>
      </w:r>
      <w:r w:rsidRPr="00A90898">
        <w:rPr>
          <w:i/>
        </w:rPr>
        <w:t>a quo</w:t>
      </w:r>
      <w:r>
        <w:t>, por el periodo transcurrido entre el 1 de enero y el 14 de julio de 2012 (un 53,95 por 100), según la regla de cómputo a utilizar con arreglo al convenio colectivo aplicable al personal laboral de administración y servicios de la Universidad de Murcia.</w:t>
      </w:r>
    </w:p>
    <w:p w:rsidR="00A90898" w:rsidRDefault="00A90898" w:rsidP="00A90898">
      <w:pPr>
        <w:pStyle w:val="TextoNormal"/>
      </w:pPr>
    </w:p>
    <w:p w:rsidR="00A90898" w:rsidRDefault="00A90898" w:rsidP="00A90898">
      <w:pPr>
        <w:pStyle w:val="TextoNormal"/>
      </w:pPr>
      <w:r w:rsidRPr="00A90898">
        <w:rPr>
          <w:rStyle w:val="NumeroAFNegritaCaracter"/>
        </w:rPr>
        <w:t>4</w:t>
      </w:r>
      <w:r>
        <w:t>. En los términos en que ha sido planteada esta cuestión de inconstitucionalidad, es obligado concluir, como hicimos en la STC 83/2015, que la sucesiva recuperación por el personal laboral de administración y servicios de la Universidad de Murcia de las cantidades reconocidas en las normas citadas en el anterior fundamento jurídico, y hecha efectiva a través de las también citadas resoluciones,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90898" w:rsidRDefault="00A90898" w:rsidP="00A90898">
      <w:pPr>
        <w:pStyle w:val="TextoNormal"/>
      </w:pPr>
    </w:p>
    <w:p w:rsidR="00A90898" w:rsidRDefault="00A90898" w:rsidP="00A90898">
      <w:pPr>
        <w:pStyle w:val="TextoNormal"/>
      </w:pPr>
      <w:r>
        <w:t>Ello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Inadmitir la cuestión de inconstitucionalidad formulada en relación con el art. 2.1 Ley 9/2012, de 8 de noviembre, de la Comunidad Autónoma de la Región de Murcia, de adaptación de la normativa regional en materia de función pública al Real Decreto-ley 20/2012, de 13 de julio.</w:t>
      </w:r>
    </w:p>
    <w:p w:rsidR="00A90898" w:rsidRDefault="00A90898" w:rsidP="00A90898">
      <w:pPr>
        <w:pStyle w:val="TextoNormal"/>
      </w:pPr>
    </w:p>
    <w:p w:rsidR="00A90898" w:rsidRDefault="00A90898" w:rsidP="00A90898">
      <w:pPr>
        <w:pStyle w:val="TextoNormal"/>
      </w:pPr>
      <w:r>
        <w:t>2º Declarar la extinción de la presente cuestión de inconstitucionalidad por desaparición sobrevenida de su objeto, respecto del art. 2 del Real Decreto-ley 20/2012, de 13 de julio, de medidas para garantizar la estabilidad presupuestaria y de fomento de la competitividad.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4" w:name="SENTENCIA_2016_135"/>
      <w:r>
        <w:lastRenderedPageBreak/>
        <w:t>SENTENCIA 135/2016, de 18 de julio de 2016</w:t>
      </w:r>
    </w:p>
    <w:bookmarkEnd w:id="14"/>
    <w:p w:rsidR="00A90898" w:rsidRDefault="00A90898" w:rsidP="00A90898">
      <w:pPr>
        <w:pStyle w:val="TtuloResolucin"/>
      </w:pPr>
      <w:r>
        <w:t>Sala Segunda</w:t>
      </w:r>
    </w:p>
    <w:p w:rsidR="00A90898" w:rsidRDefault="00A90898" w:rsidP="00A90898">
      <w:pPr>
        <w:pStyle w:val="TtuloBOE"/>
      </w:pPr>
      <w:r>
        <w:t>(BOE núm. 196, de 15 de agosto de 2016)</w:t>
      </w:r>
    </w:p>
    <w:p w:rsidR="00A90898" w:rsidRDefault="00A90898" w:rsidP="00A90898">
      <w:pPr>
        <w:pStyle w:val="TextoNormalCentrado"/>
      </w:pPr>
      <w:r>
        <w:t>ECLI:ES:TC:2016:135</w:t>
      </w:r>
    </w:p>
    <w:p w:rsidR="00A90898" w:rsidRDefault="00A90898" w:rsidP="00A90898">
      <w:pPr>
        <w:pStyle w:val="TextoNormalCentrado"/>
      </w:pPr>
    </w:p>
    <w:p w:rsidR="00A90898" w:rsidRDefault="00A90898" w:rsidP="00A90898">
      <w:pPr>
        <w:pStyle w:val="SntesisDescriptiva"/>
      </w:pPr>
      <w:r>
        <w:t>Cuestión de inconstitucionalidad 1372-2015. Planteada por la Sala de lo Social del Tribunal Superior de Justicia del País Vasco en relación con el apartado 1 de la disposición adicional sexagésima sexta del texto refundido de la Ley general de la Seguridad Social, aprobado por Real Decreto Legislativo 1/1994, de 20 de junio, incorporada por la Ley 22/2013, de 23 de diciembre, de presupuestos generales del Estado para 2014, que establece el régimen de protección por desempleo de los liberados de prisión.</w:t>
      </w:r>
    </w:p>
    <w:p w:rsidR="00A90898" w:rsidRDefault="00A90898" w:rsidP="00A90898">
      <w:pPr>
        <w:pStyle w:val="SntesisDescriptiva"/>
      </w:pPr>
    </w:p>
    <w:p w:rsidR="00A90898" w:rsidRDefault="00A90898" w:rsidP="00A90898">
      <w:pPr>
        <w:pStyle w:val="SntesisAnaltica"/>
      </w:pPr>
      <w:r>
        <w:t>Principio de seguridad jurídica y derechos a la tutela judicial efectiva y a la legalidad sancionadora (non bis in idem); límites materiales de las leyes de presupuestos: STC 123/2016 (pérdida de objeto de la cuestión de inconstitucionalidad).</w:t>
      </w:r>
    </w:p>
    <w:p w:rsidR="00A90898" w:rsidRDefault="00A90898" w:rsidP="00A90898">
      <w:pPr>
        <w:pStyle w:val="SntesisAnaltica"/>
      </w:pPr>
    </w:p>
    <w:p w:rsidR="00A90898" w:rsidRDefault="00A90898" w:rsidP="00A90898">
      <w:pPr>
        <w:pStyle w:val="Extracto"/>
      </w:pPr>
      <w:r>
        <w:t>1.</w:t>
      </w:r>
      <w:r>
        <w:tab/>
        <w:t>La duda de constitucionalidad planteada por el órgano judicial fue resuelta por la STC 123/2016, en la que se declaró inconstitucional y nulo el apartado legal cuestionado, considerando a la vista de la doctrina constitucional que el mismo no forma parte del ‘contenido esencial’ de la ley de presupuestos, que es la previsión de ingresos y la autorización de gastos del sector público estatal (art. 134.2 CE), y que tampoco podría encuadrarse en el denominado ‘contenido eventual’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1372-2015, promovida por la Sala de lo Social del Tribunal Superior de Justicia del País Vasco en relación con el apartado 1 de la disposición adicional sexagésima sexta del texto refundido de la Ley general de la Seguridad Social, aprobado por Real Decreto Legislativo 1/1994, de 20 de junio, incorporada por la disposición final cuarta.8, de la Ley 22/2013, de 23 de diciembre, de presupuestos generales del Estado para 2014. Han intervenido y formulado alegaciones el Abogado del Estado y el Fiscal General del Estado.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10 de marzo de 2015 tuvo entrada en el Registro General de este Tribunal el Auto de la Sala de lo Social del Tribunal Superior de Justicia del País Vasco de 20 de febrero de 2015, al que se adjunta testimonio del recurso de suplicación núm. 2083-2014, por el que se acuerda plantear cuestión de inconstitucionalidad respecto del apartado 1 de la disposición adicional sexagésima sexta del texto refundido de la Ley general de la Seguridad Social (en adelante, LGSS) aprobado por Real Decreto Legislativo 1/1994, de 20 de junio, incorporada por la disposición final cuarta.8, de la Ley 22/2013, de 23 de diciembre, de presupuestos generales del Estado para 2014, por su eventual contradicción con los arts. 9.3, 14, 24.1, 25.1 y 25.2 CE.</w:t>
      </w:r>
    </w:p>
    <w:p w:rsidR="00A90898" w:rsidRDefault="00A90898" w:rsidP="00A90898">
      <w:pPr>
        <w:pStyle w:val="TextoNormal"/>
      </w:pPr>
    </w:p>
    <w:p w:rsidR="00A90898" w:rsidRDefault="00A90898" w:rsidP="00A90898">
      <w:pPr>
        <w:pStyle w:val="TextoNormal"/>
      </w:pPr>
      <w:r>
        <w:t>El precepto cuestionado dice:</w:t>
      </w:r>
    </w:p>
    <w:p w:rsidR="00A90898" w:rsidRDefault="00A90898" w:rsidP="00A90898">
      <w:pPr>
        <w:pStyle w:val="TextoNormal"/>
      </w:pPr>
    </w:p>
    <w:p w:rsidR="00A90898" w:rsidRDefault="00A90898" w:rsidP="00A90898">
      <w:pPr>
        <w:pStyle w:val="TextoNormal"/>
      </w:pPr>
      <w:r>
        <w:t>“Sexagésima sexta. Protección por desempleo de los liberados de prisión</w:t>
      </w:r>
    </w:p>
    <w:p w:rsidR="00A90898" w:rsidRDefault="00A90898" w:rsidP="00A90898">
      <w:pPr>
        <w:pStyle w:val="TextoNormal"/>
      </w:pPr>
    </w:p>
    <w:p w:rsidR="00A90898" w:rsidRDefault="00A90898" w:rsidP="00A90898">
      <w:pPr>
        <w:pStyle w:val="TextoNormal"/>
      </w:pPr>
      <w:r>
        <w:t>Los liberados de prisión que hubieran sido condenados por la comisión de los delitos relacionados en los párrafos a), b), c) o d) del apartado 2 del art. 36 del Código Penal sólo podrán obtener el subsidio por desempleo previsto en los apartados 1.1. d) y 1.2 del art. 215 de esta Ley cuando, además de reunir las condiciones establecidas en este último artículo, acrediten, mediante la oportuna certificación de la Administración penitenciaria, los siguientes extremos:</w:t>
      </w:r>
    </w:p>
    <w:p w:rsidR="00A90898" w:rsidRDefault="00A90898" w:rsidP="00A90898">
      <w:pPr>
        <w:pStyle w:val="TextoNormal"/>
      </w:pPr>
    </w:p>
    <w:p w:rsidR="00A90898" w:rsidRDefault="00A90898" w:rsidP="00A90898">
      <w:pPr>
        <w:pStyle w:val="TextoNormal"/>
      </w:pPr>
      <w:r>
        <w:t>1. En el caso de los liberados de prisión condenados por los delitos contemplados en las letras a) o b) del apartado 2 del art. 36 del Código Penal, que han cumplido los requisitos exigidos en el apartado seis del art. 72 de la Ley Orgánica 1/1979, de 26 de septiembre, General Penitenciaria.”</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que interesa destacar a los efectos de este proceso constitucional son los siguientes:</w:t>
      </w:r>
    </w:p>
    <w:p w:rsidR="00A90898" w:rsidRDefault="00A90898" w:rsidP="00A90898">
      <w:pPr>
        <w:pStyle w:val="TextoNormal"/>
      </w:pPr>
    </w:p>
    <w:p w:rsidR="00A90898" w:rsidRDefault="00A90898" w:rsidP="00A90898">
      <w:pPr>
        <w:pStyle w:val="TextoNormal"/>
      </w:pPr>
      <w:r>
        <w:t xml:space="preserve">a) El 8 de julio de 2014 el Juzgado de lo Social de Eibar dictó Sentencia desestimando la demanda deducida por los Sres. Zabarte y Acaiturri contra las resoluciones, de 31 de enero y 11 de febrero de 2014, por las que el Servicio Público de Empleo Estatal revocó la aprobación de solicitud de subsidio de desempleo por excarcelación de los actores, por no cumplir los requisitos adicionales que para acceder a esa modalidad de subsidio introdujo la norma impugnada. Obran en el expediente remitido a este Tribunal junto con el auto de planteamiento sendas certificaciones de la Administración penitenciaria que afirman, respecto de cada uno de los actores en el pleito </w:t>
      </w:r>
      <w:r w:rsidRPr="00A90898">
        <w:rPr>
          <w:i/>
        </w:rPr>
        <w:t>a quo</w:t>
      </w:r>
      <w:r>
        <w:t>, que “ha cumplido condena por delito/s contemplado/s en el art. 36.2 apartados a) o b) del Código Penal” y que “no cumple los requisitos exigidos en el apartado 6 del art. 72 de la L.O. General Penitenciaria” (LGP, en adelante). Frente a esta Sentencia se dedujo recurso de suplicación ante la Sala de lo Social del Tribunal Superior de Justicia del País Vasco.</w:t>
      </w:r>
    </w:p>
    <w:p w:rsidR="00A90898" w:rsidRDefault="00A90898" w:rsidP="00A90898">
      <w:pPr>
        <w:pStyle w:val="TextoNormal"/>
      </w:pPr>
    </w:p>
    <w:p w:rsidR="00A90898" w:rsidRDefault="00A90898" w:rsidP="00A90898">
      <w:pPr>
        <w:pStyle w:val="TextoNormal"/>
      </w:pPr>
      <w:r>
        <w:t xml:space="preserve">b) Concluso el procedimiento, y antes de dictar Sentencia, la referida Sala dictó providencia de 2 de diciembre de 2014 por la que, al amparo de lo previsto en el art. 35.2 de la Ley Orgánica del Tribunal Constitucional LOTC, acordó oír a las partes y al Ministerio </w:t>
      </w:r>
      <w:r>
        <w:lastRenderedPageBreak/>
        <w:t>Fiscal por el plazo común de diez días acerca de la posible inconstitucionalidad del apartado 1 de la disposición adicional sexagésima sexta LGSS, incorporada por la disposición final cuarta.8, de la Ley 22/2013, de 23 de diciembre, de presupuestos generales del Estado para 2014, por su eventual contradicción con los arts. 9.3, 14, 24.1, 25.1 y 25.2 CE.</w:t>
      </w:r>
    </w:p>
    <w:p w:rsidR="00A90898" w:rsidRDefault="00A90898" w:rsidP="00A90898">
      <w:pPr>
        <w:pStyle w:val="TextoNormal"/>
      </w:pPr>
    </w:p>
    <w:p w:rsidR="00A90898" w:rsidRDefault="00A90898" w:rsidP="00A90898">
      <w:pPr>
        <w:pStyle w:val="TextoNormal"/>
      </w:pPr>
      <w:r>
        <w:t>c) El Abogado del Estado, en escrito de 29 de diciembre de 2014, se opuso al planteamiento de la cuestión. El Fiscal evacuó el trámite el día 30 de diciembre de 2014 y sostuvo que, entendiendo “que concurren los requisitos exigidos en el art. 35 de la Ley Orgánica del Tribunal Constitucional, no nos oponemos a su planteamiento sin perjuicio del informe que, en su día, pudiera emitirse por el Fiscal General del Estado”. Los actores registraron sus alegaciones el 2 de enero de 2015, participando de la necesidad de elevar la cuestión de inconstitucionalidad.</w:t>
      </w:r>
    </w:p>
    <w:p w:rsidR="00A90898" w:rsidRDefault="00A90898" w:rsidP="00A90898">
      <w:pPr>
        <w:pStyle w:val="TextoNormal"/>
      </w:pPr>
    </w:p>
    <w:p w:rsidR="00A90898" w:rsidRDefault="00A90898" w:rsidP="00A90898">
      <w:pPr>
        <w:pStyle w:val="TextoNormal"/>
      </w:pPr>
      <w:r>
        <w:t>d) La Sala de lo Social del Tribunal Superior de Justicia del País Vasco dictó Auto de 3 de febrero de 2015, rectificado después por error de transcripción, al amparo del art. 214.1 de la Ley 1/2000, de 7 de enero, de enjuiciamiento civil, por el Auto de 20 de febrero de 2015 por el que acuerda plantear cuestión de inconstitucionalidad respecto del apartado 1 de la disposición adicional sexagésima sexta LGSS, incorporada por la disposición final cuarta.8, de la Ley 22/2013, de 23 de diciembre, de presupuestos generales del Estado para 2014, por su eventual contradicción con los arts. 9.3, 14, 24.1, 25.1 y 25.2 CE.</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auto de planteamiento, tras recoger los hechos del caso, destina el primer razonamiento jurídico a los requisitos procesales </w:t>
      </w:r>
      <w:r w:rsidRPr="00A90898">
        <w:rPr>
          <w:i/>
        </w:rPr>
        <w:t>ex</w:t>
      </w:r>
      <w:r>
        <w:t xml:space="preserve"> art. 35 LOTC: a) “la disposición de cuya constitucionalidad se duda … está incorporada a una norma con rango de ley”; b) “la referida disposición adicional resulta de aplicación al supuesto de autos a tenor de lo previsto en la disposición transitoria sexta de la Ley 22/2013, en tanto preceptúa que lo previsto en aquélla se aplicará a partir de la entrada en vigor de la Ley 22/2013 y afectará a los solicitantes del subsidio al que se refiere el apartado 3 del artículo 205 de la LGSS que en ese momento no hayan perfeccionado los requisitos establecidos en el número 1 del apartado 1 de su artículo 215. Y ello teniendo en cuenta los siguientes datos: 1°) los recurrentes cumplieron condena por la comisión de delitos referentes a organizaciones y grupos terroristas y delitos de terrorismo a los que hace alusión la letra a) del artículo 36 del Código Penal; 2°) uno de ellos se inscribió como demandante de empleo el 2 de diciembre de 2013 finalizando el plazo de espera de un mes el 1 de enero de 2014; y 3°) los actores no han dado cumplimiento a los requisitos exigidos en el apartado seis del artículo 72 de la Ley Orgánica 1/1979, de 26 de septiembre, General Penitenciaria, lo que ha determinado la denegación del subsidio de excarcelación por parte del Servicio Público de Empleo Estatal”; c) “De la validez de la norma cuya validez se somete a examen y decisión del Tribunal Constitucional, depende el fallo del presente recurso de suplicación, pues en el caso hipotético de que se declarase su nulidad, habría de estimarse aquél, con la consiguiente revocación de la sentencia impugnada y acogimiento de la pretensión deducida en la demanda origen de las actuaciones”; d) “la cuestión se ha suscitado en el momento procesal oportuno, una vez concluida la tramitación procedimental del recurso de suplicación” ; y e) “se ha observado el preceptivo trámite de audiencia a las partes y al Ministerio Fiscal”.</w:t>
      </w:r>
    </w:p>
    <w:p w:rsidR="00A90898" w:rsidRDefault="00A90898" w:rsidP="00A90898">
      <w:pPr>
        <w:pStyle w:val="TextoNormal"/>
      </w:pPr>
    </w:p>
    <w:p w:rsidR="00A90898" w:rsidRDefault="00A90898" w:rsidP="00A90898">
      <w:pPr>
        <w:pStyle w:val="TextoNormal"/>
      </w:pPr>
      <w:r>
        <w:t xml:space="preserve">El segundo razonamiento jurídico expone las dudas de constitucionalidad. Inicia con la relativa a la vulneración del art. 24.1 CE, “en su especial contenido de garantía de indemnidad”. La Sala afirma que la aprobación de la disposición cuestionada fue una réplica a la </w:t>
      </w:r>
      <w:r>
        <w:lastRenderedPageBreak/>
        <w:t>Sentencia del Tribunal Europeo de Derechos Humanos [STEDH (Gran Sala) de 21 de octubre de 2013], para evitar uno de los efectos secundarios de la excarcelación de los presos de ETA afectados por la doctrina sentada en dicha resolución. Y también que se trata de una “medida que no se habría adoptado si no se hubiese articulado esa acción ante los órganos jurisdiccionales y constitucionales internos primero y ante el Tribunal Europeo después”.</w:t>
      </w:r>
    </w:p>
    <w:p w:rsidR="00A90898" w:rsidRDefault="00A90898" w:rsidP="00A90898">
      <w:pPr>
        <w:pStyle w:val="TextoNormal"/>
      </w:pPr>
    </w:p>
    <w:p w:rsidR="00A90898" w:rsidRDefault="00A90898" w:rsidP="00A90898">
      <w:pPr>
        <w:pStyle w:val="TextoNormal"/>
      </w:pPr>
      <w:r>
        <w:t>Sentado que la norma cuestionada sería a su juicio una acción reactiva frente a la STEDH (Gran Sala) de 21 de octubre de 2013, dice después: “el siguiente punto a dilucidar es si la garantía de indemnidad … opera frente al poder legislativo”. Y el auto aduce que “no encontramos argumentos —que la Abogacía del Estado tampoco esgrime— para darle una respuesta negativa. Cuestión distinta es que el legislador esté facultado para excepcionar la efectividad de la garantía de indemnidad, como de cualquier otro derecho fundamental, con la finalidad de salvaguardar otros bienes constitucionalmente protegidos, siempre que su sacrificio resulte justificado en tanto que proporcionado”. Coherentemente con ello, afirma que “el tercer paso del razonamiento se ha de referir a la proporcionalidad de la disposición de cuya inconstitucionalidad se sospecha”, destacando que, a su criterio, “la medida en cuestión no se presentaba como necesaria atendiendo a los efectos ... del fallo del Tribunal Europeo, limitados a un colectivo reducido de presos por delitos de terrorismo… Las dudas aumentan … al no apreciarse el exigible equilibrio y ponderación entre los beneficios que se pretenden obtener con el endurecimiento de los requisitos de acceso al subsidio de desempleo … y el sacrificio de la garantía de indemnidad”.</w:t>
      </w:r>
    </w:p>
    <w:p w:rsidR="00A90898" w:rsidRDefault="00A90898" w:rsidP="00A90898">
      <w:pPr>
        <w:pStyle w:val="TextoNormal"/>
      </w:pPr>
    </w:p>
    <w:p w:rsidR="00A90898" w:rsidRDefault="00A90898" w:rsidP="00A90898">
      <w:pPr>
        <w:pStyle w:val="TextoNormal"/>
      </w:pPr>
      <w:r>
        <w:t>Rechaza, para terminar con esta primera duda de constitucionalidad, que la única persona respecto de la que se podría declarar la existencia de tal lesión fuera “la demandante en el asunto que concluyó con la sentencia del Tribunal Europeo de Derechos Humanos”, pues “es hecho notorio que la allí accionante no fue la única que recurrió ante esa instancia, y que si dicho órgano no llegó a dictar nuevas sentencias fue porque a partir del auto de 25 de octubre de 2013 (ejecutoria 32/90), pronunciado por el Pleno de la Sala de lo Penal de la Audiencia Nacional, este órgano acordó aplicar la doctrina del Tribunal Europeo a todos los reclusos que se encontrasen en su misma situación”.</w:t>
      </w:r>
    </w:p>
    <w:p w:rsidR="00A90898" w:rsidRDefault="00A90898" w:rsidP="00A90898">
      <w:pPr>
        <w:pStyle w:val="TextoNormal"/>
      </w:pPr>
    </w:p>
    <w:p w:rsidR="00A90898" w:rsidRDefault="00A90898" w:rsidP="00A90898">
      <w:pPr>
        <w:pStyle w:val="TextoNormal"/>
      </w:pPr>
      <w:r>
        <w:t xml:space="preserve">La segunda duda alude al art. 25.1 CE, en su vertiente de prohibición del </w:t>
      </w:r>
      <w:r w:rsidRPr="00A90898">
        <w:rPr>
          <w:i/>
        </w:rPr>
        <w:t>bis in idem</w:t>
      </w:r>
      <w:r>
        <w:t>, ya que la Sala considera que la conducta de los actores de no satisfacer la responsabilidad civil derivada del delito y no desvincularse de ETA “les impidió obtener beneficios penitenciarios, cuya privación absorbió todo el reproche que su actuación merecía. No obstante, en virtud de una Ley aprobada después de su excarcelación, ese mismo comportamiento desplegó nuevos efectos negativos imposibilitándoles el acceso al subsidio de desempleo”. Con cita de la STC 121/2010, de 29 de noviembre, referida específicamente a los recargos tributarios y de Seguridad Social, argumenta que los requisitos adicionales impuestos por la norma cuestionada representan una sanción, toda vez que “el propósito que late tras esas exigencias es represaliar o castigar a los terroristas que no se desvinculan de la organización criminal”. Y termina diciendo: “no resultando problemática la identidad subjetiva y en el fundamento de las medidas punitivas contrastadas, entendemos que también concurre la indispensable identidad fáctica, al tratarse de un hecho único aunque mantenido en el tiempo”.</w:t>
      </w:r>
    </w:p>
    <w:p w:rsidR="00A90898" w:rsidRDefault="00A90898" w:rsidP="00A90898">
      <w:pPr>
        <w:pStyle w:val="TextoNormal"/>
      </w:pPr>
    </w:p>
    <w:p w:rsidR="00A90898" w:rsidRDefault="00A90898" w:rsidP="00A90898">
      <w:pPr>
        <w:pStyle w:val="TextoNormal"/>
      </w:pPr>
      <w:r>
        <w:t xml:space="preserve">En tercer lugar, luego de recordar que, según las SSTC 206/2013 y 217/2013, de 5 y 19 de diciembre, y 152/2014, de 25 de septiembre, el principio de seguridad jurídica </w:t>
      </w:r>
      <w:r w:rsidRPr="00A90898">
        <w:rPr>
          <w:i/>
        </w:rPr>
        <w:t>ex</w:t>
      </w:r>
      <w:r>
        <w:t xml:space="preserve"> art. 9.3 </w:t>
      </w:r>
      <w:r>
        <w:lastRenderedPageBreak/>
        <w:t>CE exige que una ley de contenido definido constitucionalmente, como la de presupuestos generales del Estado, no contenga más disposiciones que las que guardan debida correspondencia con su función específica, la Sala reputa contrario a ese principio constitucional “que la Ley de Presupuestos pueda servir de vehículo para un cambio normativo que aún pudiendo determinar una reducción del gasto público, obedece en exclusiva a una causa, explicitada en el debate parlamentario, completamente alejada de ese objetivo, máxime cuando la reforma operada repercute negativamente en derechos básicos de los ciudadanos”.</w:t>
      </w:r>
    </w:p>
    <w:p w:rsidR="00A90898" w:rsidRDefault="00A90898" w:rsidP="00A90898">
      <w:pPr>
        <w:pStyle w:val="TextoNormal"/>
      </w:pPr>
    </w:p>
    <w:p w:rsidR="00A90898" w:rsidRDefault="00A90898" w:rsidP="00A90898">
      <w:pPr>
        <w:pStyle w:val="TextoNormal"/>
      </w:pPr>
      <w:r>
        <w:t>La Sala entiende, en cuarto lugar, que la norma cuestionada contraría “el art. 25.2 CE, en tanto contiene un mandato dirigido al legislador para que oriente el sistema de ejecución de las penas privativas de libertad y de las instituciones que los integran, a la reeducación y reinserción social efectivas”. Parte de que “la función primordial de la modalidad de subsidio de desempleo objeto de consideración es procurar al excarcelado que al salir de prisión carece de rentas para hacer frente a sus necesidades vitales básicas y, en su caso, a las de los familiares que de él dependen, una ayuda económica mientras encuentra un empleo, que no sólo le permitirá subsistir, sino que contribuirá a su reinserción en la sociedad, lo que obliga a valorarla en el marco del sistema de reinserción social de los penados del que es una pieza fundamental”.</w:t>
      </w:r>
    </w:p>
    <w:p w:rsidR="00A90898" w:rsidRDefault="00A90898" w:rsidP="00A90898">
      <w:pPr>
        <w:pStyle w:val="TextoNormal"/>
      </w:pPr>
    </w:p>
    <w:p w:rsidR="00A90898" w:rsidRDefault="00A90898" w:rsidP="00A90898">
      <w:pPr>
        <w:pStyle w:val="TextoNormal"/>
      </w:pPr>
      <w:r>
        <w:t>Y concluye que, siendo el art. 25.2 CE parámetro de constitucionalidad de las leyes (SSTC 160/2012. de 20 de septiembre, y 128/2013, de 3 de junio), “la Disposición cuestionada en tanto excluye de la prestación de desempleo a los penados por determinados delitos con base en exigencias que o bien resultan imposibles de cumplir por carecer de medios para ello, o bien afectan a aspectos emocionales, ideológicos y morales, no respeta el principio constitucional orientador de la reinserción”, precisando que “el rumbo que marca el art. 25.2 CE, y el diseño legal de la medida objeto de análisis, no pueden verse alterados, atendiendo al mandato constitucional, en función de la clase y gravedad del delito, pues la norma fundamental no hace distinción alguna al respecto y la necesidad de adoptar medidas de rehabilitación social es mayor conforme aumenta el tiempo de estancia en prisión, y tampoco por actitudes del excarcelado que no guardan relación con la situación protegida, afectan a aspectos emocionales, ideológicos y morales, y no pueden ser valoradas necesariamente como muestra de la falta de voluntad de reintegración efectiva en una sociedad democrática entre cuyas señas de identidad figura el diálogo, la tolerancia y la convivencia pacífica y la no utilización de la violencia para imponer las propias ideas, máxime si se tiene en cuenta que en ocasiones no siempre son libres para tomar sus propias decisiones”.</w:t>
      </w:r>
    </w:p>
    <w:p w:rsidR="00A90898" w:rsidRDefault="00A90898" w:rsidP="00A90898">
      <w:pPr>
        <w:pStyle w:val="TextoNormal"/>
      </w:pPr>
    </w:p>
    <w:p w:rsidR="00A90898" w:rsidRDefault="00A90898" w:rsidP="00A90898">
      <w:pPr>
        <w:pStyle w:val="TextoNormal"/>
      </w:pPr>
      <w:r>
        <w:t>Frente a la coincidencia de contenidos con el art. 72.6 LGP, que el Abogado del Estado suscita, sostiene que “prevalece la disparidad entre el momento en que se aplica una y otra medida y la finalidad a la que responden. La clasificación en tercer grado es un medio para potenciar las posibilidades de reintegración social una vez se ha cumplido la pena, que depende del pronóstico favorable de reinserción, lo que explica tales exigencias, sin cuya observancia el interno debe redimir íntegramente su castigo en régimen ordinario, mientras que el subsidio de desempleo pretende subvenir las necesidades básicas de quienes han permanecido en prisión preventiva o definitiva durante más de seis meses, y su papel resocializador está ligado a la provisión de los medios de subsistencia para atender esas necesidades”.</w:t>
      </w:r>
    </w:p>
    <w:p w:rsidR="00A90898" w:rsidRDefault="00A90898" w:rsidP="00A90898">
      <w:pPr>
        <w:pStyle w:val="TextoNormal"/>
      </w:pPr>
    </w:p>
    <w:p w:rsidR="00A90898" w:rsidRDefault="00A90898" w:rsidP="00A90898">
      <w:pPr>
        <w:pStyle w:val="TextoNormal"/>
      </w:pPr>
      <w:r>
        <w:lastRenderedPageBreak/>
        <w:t>La Sala también duda de la conformidad de la norma con el art. 14 CE, pues la diferencia de trato que establece “entre los liberados de prisión, en función del tipo de delito por el que han cumplido condena, podría resultar contraria al principio de igualdad, al introducir una diferencia de trato peyorativa que no resulta objetivamente justificada por una razón vinculada a la función específica que cumple la modalidad de subsidio de desempleo que regula y a la situación de necesidad que trata de proteger, y no es proporcionada, al privar a los beneficiarios que carecen de rentas, del acceso a una prestación del régimen público de Seguridad Social que, según ordena el artículo 41 de la Constitución, debe garantizar la asistencia y prestaciones sociales ante situaciones de necesidad, especialmente en caso de desempleo, estado de necesidad mucho más acusado cuando se ha estado recluido en prisión durante un largo período de tiempo —22 y 29 años en el caso de los actores—, y se ha obtenido la libertad a una edad que hace mucho más difícil encontrar medios de vida con los que satisfacer las necesidades más básicas”. Añade “que si bien el art. 41 CE no obliga a los poderes públicos a establecer una prestación asistencial a favor de los liberados de prisión, una vez que deciden proteger esa contingencia, no pueden hacerlo imponiendo requisitos más rigurosos a quienes habiendo cumplido pena por determinados delitos se encuentran en una situación de necesidad similar, o incluso más acusada, que los restantes, por cuanto que la gravedad del delito no es un criterio que el legislador haya tomado en consideración a la hora de articular la protección …  lo que además ocasiona un daño desproporcionado, como es la imposibilidad de lucrar la prestación, que no se puede justificar por la falta de acreditación de unos requisitos que o bien resultan imposibles de cumplir por carecer el interesado de medios para ello, o bien afectan a aspectos emocionales, ideológicos y morales que ya fueron tenidos en cuenta en el momento de cumplimiento de la pena”. Termina su razonamiento sobre esta duda de constitucionalidad señalando “que si la condición de ex-recluso halla encaje en las ‘otras condiciones’ a las que alude el art. 14 CE, la norma cuestionada podría venir a introducir una diferencia de trato injustificada y desproporcionada entre las personas que ostentan esa condición, a las que el art. 73.1 de la Ley General Penitenciaria reconoce, sin salvedad ni excepción alguna, el derecho a ser plenamente reintegrados en el ejercicio de sus derechos como ciudadanos”.</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21 de julio de 2015, el Pleno del Tribunal, a propuesta de la Sección Cuarta, acordó admitir a trámite la cuestión planteada por la Sala de lo Social del Tribunal Superior de Justicia del País Vasco en relación con el apartado 1 de la disposición adicional sexagésima sexta del texto refundido de la Ley general de la Seguridad Social aprobado por Real Decreto Legislativo 1/1994, de 20 de junio, incorporada por la disposición final cuarta.8, de la Ley 22/2013, de 23 de diciembre, de presupuestos generales del Estado para 2014, por posible vulneración de los arts. 9.3, 14, 24.1, 25.1 y 25.2 CE. El Pleno acordó también deferir a la Sala Segunda el conocimiento de la presente cuestión, así como dar traslado de las actuaciones recibidas (art. 37.3 LOTC) al Congreso de los Diputados y al Senado, al Gobierno y al Fiscal General del Estado, al objeto de que, en el improrrogable plazo de 15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Mediante escrito de 25 de agosto de 2015, registrado en el Tribunal el siguiente día 26, el Presidente del Senado comunicó al Tribunal el acuerdo de la Mesa de la Cámara, de </w:t>
      </w:r>
      <w:r>
        <w:lastRenderedPageBreak/>
        <w:t>igual fecha, en orden a que se tuviera por personada a la Cámara en el procedimiento y por ofrecida su colaboración a los efectos del artículo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de 8 de septiembre de 2015, registrado en el Tribunal el siguiente día 10, el Presidente del Congreso de los Diputados comunicó el acuerdo de la Mesa de la Cámara, de igual fecha, en orden a que se tuviera por personada a la Cámara en el procedimiento y por ofrecida su colaboración a los efectos del artículo 88.1 LOTC, así como remitir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7</w:t>
      </w:r>
      <w:r>
        <w:t>. El 11 de septiembre de 2015 tuvo entrada en este Tribunal el escrito de alegaciones del Abogado del Estado, en representación del Gobierno de la Nación. En él niega que se hayan producido las vulneraciones suscitadas por la Sala cuestionante y defiende la plena constitucionalidad de la norma impugnada.</w:t>
      </w:r>
    </w:p>
    <w:p w:rsidR="00A90898" w:rsidRDefault="00A90898" w:rsidP="00A90898">
      <w:pPr>
        <w:pStyle w:val="TextoNormal"/>
      </w:pPr>
    </w:p>
    <w:p w:rsidR="00A90898" w:rsidRDefault="00A90898" w:rsidP="00A90898">
      <w:pPr>
        <w:pStyle w:val="TextoNormal"/>
      </w:pPr>
      <w:r>
        <w:t xml:space="preserve">a) Por lo que se refiere a la vulneración del art. 24.1 CE, comienza alegando que la vinculación de la norma cuestionada con la anulación de la llamada “doctrina Parot” por la STEDH </w:t>
      </w:r>
      <w:r w:rsidRPr="00A90898">
        <w:rPr>
          <w:i/>
        </w:rPr>
        <w:t>Del Rio Prada</w:t>
      </w:r>
      <w:r>
        <w:t xml:space="preserve"> es una apreciación singular del órgano proponente y una mera hipótesis no acreditada. En cualquier caso, añade, aun confirmada esa hipótesis, ese motivo no resultaría fiscalizable por constituir una razón de política legislativa. Sostiene que no corresponde a este Tribunal Constitucional enjuiciar el acierto u oportunidad política de la reforma, ni si las razones que motivan las medidas legislativas son adecuadas o no al interés general. La motivación de la norma podrá o no compartirse, pero de ello no se deriva la inconstitucionalidad de una ley. Termina matizando que, de cualquier modo y conforme a la doctrina constitucional, la garantía de indemnidad derivada del art. 24.1 CE podría excluir las denominadas leyes autoaplicativas, dictadas para evitar, respecto de un caso concreto, la ejecución de una sentencia firme, pero no puede privar a la ley formal de su fuerza derivada de su misma naturaleza. Los límites a las leyes se encuentran en la Constitución, y ésta no prohíbe el establecimiento de una nueva regulación. Y la aquí cuestionada, concluye, ni tiende a evitar la ejecución de una sentencia firme ni imposibilita jurídica o materialmente la ejecución de sentencias o resoluciones judiciales ya dictadas.</w:t>
      </w:r>
    </w:p>
    <w:p w:rsidR="00A90898" w:rsidRDefault="00A90898" w:rsidP="00A90898">
      <w:pPr>
        <w:pStyle w:val="TextoNormal"/>
      </w:pPr>
    </w:p>
    <w:p w:rsidR="00A90898" w:rsidRDefault="00A90898" w:rsidP="00A90898">
      <w:pPr>
        <w:pStyle w:val="TextoNormal"/>
      </w:pPr>
      <w:r>
        <w:t xml:space="preserve">b) Respecto a la vulneración del art. 25.1 CE por vulneración del principio </w:t>
      </w:r>
      <w:r w:rsidRPr="00A90898">
        <w:rPr>
          <w:i/>
        </w:rPr>
        <w:t>non bis in ídem</w:t>
      </w:r>
      <w:r>
        <w:t>, comienza señalando que la norma cuestionada no contiene ninguna sanción, sino que se trata de la ley que regula las prestaciones de la seguridad social. A ello añade que no se cumple la triple identidad de sujeto, hecho y fundamento exigida por la doctrina constitucional respecto de aquella vertiente del derecho aducido. Así, el hecho causante del subsidio no es el delito ni la pena, sino el cumplimiento de los requisitos establecidos por la norma para acceder a ese derecho; y el fundamento de la eventual no concesión no lo es tampoco el delito ni la pena, sino la actitud posterior del sujeto en relación con quienes fueron víctimas del delito. Por otra parte, subraya que la reinserción social perseguida por la reforma es, además, un fin constitucionalmente lícito, conforme al art. 25.2 CE.</w:t>
      </w:r>
    </w:p>
    <w:p w:rsidR="00A90898" w:rsidRDefault="00A90898" w:rsidP="00A90898">
      <w:pPr>
        <w:pStyle w:val="TextoNormal"/>
      </w:pPr>
    </w:p>
    <w:p w:rsidR="00A90898" w:rsidRDefault="00A90898" w:rsidP="00A90898">
      <w:pPr>
        <w:pStyle w:val="TextoNormal"/>
      </w:pPr>
      <w:r>
        <w:t xml:space="preserve">c) Niega asimismo que la norma examinada afecte negativamente a la seguridad jurídica o a la claridad de las normas, o tenga efecto retroactivo (art. 9.3 CE). La norma, a su juicio, guarda una relación directa con el objeto de la ley de presupuestos, como ha exigido la doctrina de este Tribunal. Examina adicionalmente si concurre o no la supuesta inseguridad jurídica que imputa a la norma el auto de planteamiento por afectar a sujetos que, según esa </w:t>
      </w:r>
      <w:r>
        <w:lastRenderedPageBreak/>
        <w:t>misma resolución, habrían ya asumido la percepción del subsidio de desempleo una vez liberados. Y sostiene sobre ello que no hay aplicación retroactiva de la nueva norma ni se modifica ninguna situación previa consolidada jurídicamente; esa convicción, a lo más, era una simple expectativa de derecho.</w:t>
      </w:r>
    </w:p>
    <w:p w:rsidR="00A90898" w:rsidRDefault="00A90898" w:rsidP="00A90898">
      <w:pPr>
        <w:pStyle w:val="TextoNormal"/>
      </w:pPr>
    </w:p>
    <w:p w:rsidR="00A90898" w:rsidRDefault="00A90898" w:rsidP="00A90898">
      <w:pPr>
        <w:pStyle w:val="TextoNormal"/>
      </w:pPr>
      <w:r>
        <w:t>d) Para el representante del Gobierno tampoco puede considerarse contraria la norma al art. 14 CE, en relación con el art. 41 CE. Tiene, según él, una justificación objetiva y razonable, que es lo que exige la doctrina constitucional sobre la igualdad ante la ley. No todas las personas han realizado los mismos hechos, han atacado los mismos bienes jurídicos, han causado los mismos daños y dolor a las víctimas y a la sociedad y han formado parte de los mismos entramados delictivos. Todos estos factores objetivos, que puede legítimamente tomar en cuenta el legislador, diferencian a los destinatarios de esta medida de otros liberados de prisión. Reitera que las condiciones exigidas guardan además relación con la función reeducadora de la pena establecida en el art. 25.2 CE (aun recordando que el precepto no regula una sanción).</w:t>
      </w:r>
    </w:p>
    <w:p w:rsidR="00A90898" w:rsidRDefault="00A90898" w:rsidP="00A90898">
      <w:pPr>
        <w:pStyle w:val="TextoNormal"/>
      </w:pPr>
    </w:p>
    <w:p w:rsidR="00A90898" w:rsidRDefault="00A90898" w:rsidP="00A90898">
      <w:pPr>
        <w:pStyle w:val="TextoNormal"/>
      </w:pPr>
      <w:r>
        <w:t>Por todo ello termina solicitando la desestimación de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8</w:t>
      </w:r>
      <w:r>
        <w:t>. El 17 de septiembre de 2015 tuvo entrada en este Tribunal el escrito de alegaciones de la Fiscal General del Estado. Tras una pormenorizada exposición de los antecedentes y del contenido del Auto impugnado, el Ministerio público se pronuncia sobre los diferentes motivos de inconstitucionalidad planteados.</w:t>
      </w:r>
    </w:p>
    <w:p w:rsidR="00A90898" w:rsidRDefault="00A90898" w:rsidP="00A90898">
      <w:pPr>
        <w:pStyle w:val="TextoNormal"/>
      </w:pPr>
    </w:p>
    <w:p w:rsidR="00A90898" w:rsidRDefault="00A90898" w:rsidP="00A90898">
      <w:pPr>
        <w:pStyle w:val="TextoNormal"/>
      </w:pPr>
      <w:r>
        <w:t xml:space="preserve">a) Niega, en primer lugar, que la norma pueda ser contraria a la garantía de indemnidad (art. 24.1 CE) porque, matiza, no ha impedido la plena eficacia de la STEDH </w:t>
      </w:r>
      <w:r w:rsidRPr="00A90898">
        <w:rPr>
          <w:i/>
        </w:rPr>
        <w:t>Del Río Prada</w:t>
      </w:r>
      <w:r>
        <w:t xml:space="preserve"> que, según el auto de planteamiento, habría estado en el origen de la reacción legislativa del Parlamento. Sostiene, asimismo, que las motivaciones de la reforma podrán ser o no compartidas, pero ello no convierte una norma en inconstitucional.</w:t>
      </w:r>
    </w:p>
    <w:p w:rsidR="00A90898" w:rsidRDefault="00A90898" w:rsidP="00A90898">
      <w:pPr>
        <w:pStyle w:val="TextoNormal"/>
      </w:pPr>
    </w:p>
    <w:p w:rsidR="00A90898" w:rsidRDefault="00A90898" w:rsidP="00A90898">
      <w:pPr>
        <w:pStyle w:val="TextoNormal"/>
      </w:pPr>
      <w:r>
        <w:t xml:space="preserve">b) Por lo que respecta a la vulneración del </w:t>
      </w:r>
      <w:r w:rsidRPr="00A90898">
        <w:rPr>
          <w:i/>
        </w:rPr>
        <w:t>bis in ídem</w:t>
      </w:r>
      <w:r>
        <w:t xml:space="preserve"> (art. 25.1 CE), recuerda la incuestionada naturaleza de seguridad social de la norma de cuya constitucionalidad se duda. A partir de ahí, le parece que la irrelevancia del derecho esgrimido resulta palmaria.</w:t>
      </w:r>
    </w:p>
    <w:p w:rsidR="00A90898" w:rsidRDefault="00A90898" w:rsidP="00A90898">
      <w:pPr>
        <w:pStyle w:val="TextoNormal"/>
      </w:pPr>
    </w:p>
    <w:p w:rsidR="00A90898" w:rsidRDefault="00A90898" w:rsidP="00A90898">
      <w:pPr>
        <w:pStyle w:val="TextoNormal"/>
      </w:pPr>
      <w:r>
        <w:t>c) En cuanto a la vulneración del principio de seguridad jurídica por haber sido aprobada la norma en una ley de presupuestos, razona que la vinculación con los presupuestos del Estado no es negada por el órgano proponente, y de hecho aparece conectada directamente por la norma, cuya finalidad clara es imposibilitar que determinados presos cobren la prestación. Lo que implica en sí mismo una reducción del gasto público, concluye.</w:t>
      </w:r>
    </w:p>
    <w:p w:rsidR="00A90898" w:rsidRDefault="00A90898" w:rsidP="00A90898">
      <w:pPr>
        <w:pStyle w:val="TextoNormal"/>
      </w:pPr>
    </w:p>
    <w:p w:rsidR="00A90898" w:rsidRDefault="00A90898" w:rsidP="00A90898">
      <w:pPr>
        <w:pStyle w:val="TextoNormal"/>
      </w:pPr>
      <w:r>
        <w:t>d) Con relación a la posible contradicción del mandato del art. 25.2 CE, recuerda que el ámbito de ese mandato es el de la ejecución de las penas y medidas de seguridad privativas de libertad, tal y como resulta de la doctrina constitucional (cita las SSTC 160/2012, FFJJ 3 y 4, y 40/2012, FJ 11) y del propio tenor del precepto. A partir de ahí, como la norma cuestionada entra en juego precisamente una vez que las penas privativas de libertad se han extinguido y el sujeto deja de depender de la Administración penitenciaria, se desprende con naturalidad que no puede entorpecer ni menoscabar la reeducación y reinserción social de los penados, al no aplicarse a los mismos.</w:t>
      </w:r>
    </w:p>
    <w:p w:rsidR="00A90898" w:rsidRDefault="00A90898" w:rsidP="00A90898">
      <w:pPr>
        <w:pStyle w:val="TextoNormal"/>
      </w:pPr>
    </w:p>
    <w:p w:rsidR="00A90898" w:rsidRDefault="00A90898" w:rsidP="00A90898">
      <w:pPr>
        <w:pStyle w:val="TextoNormal"/>
      </w:pPr>
      <w:r>
        <w:lastRenderedPageBreak/>
        <w:t>e) Finalmente aborda la posible inconstitucionalidad por contravención del art. 14 CE. Critica el planteamiento de la Sala promotora, para quien todas las personas que han extinguido su condena penal se encontrarían en la misma situación a la hora de percibir una pensión no contributiva. Sin embargo, le parece claro que no es así y que existen circunstancias que pueden ser tenidas en cuenta por la norma, pues no todas las personas han cometidos los mismos hechos, han atacado los mismos bienes jurídicos, han causado los mismos daños a las víctimas y a la sociedad y han formado parte de los mismos entramados delictivos. Le parece lícito que el legislador pueda tener en cuenta estas desigualdades existentes a la hora de otorgarles una pensión no contributiva, de libre configuración legal, para, además de exigirles una determinada situación de necesidad, imponerles algún tipo de comportamiento que no es además de imposible cumplimiento. En definitiva, ni las situaciones comparadas son idénticas a los efectos del art. 14 CE, ni la diferenciación establecida carece de justificación objetiva y razonable.</w:t>
      </w:r>
    </w:p>
    <w:p w:rsidR="00A90898" w:rsidRDefault="00A90898" w:rsidP="00A90898">
      <w:pPr>
        <w:pStyle w:val="TextoNormal"/>
      </w:pPr>
    </w:p>
    <w:p w:rsidR="00A90898" w:rsidRDefault="00A90898" w:rsidP="00A90898">
      <w:pPr>
        <w:pStyle w:val="TextoNormal"/>
      </w:pPr>
      <w:r>
        <w:t>Por todo lo expuesto solicita la desestimación de la presente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14 de julio de 2016 se acordó señalar para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La Sala de lo Social del Tribunal Superior de Justicia del País Vasco plantea cuestión de inconstitucionalidad respecto del apartado 1 de la disposición adicional sexagésima sexta del texto refundido de la Ley general de la Seguridad Social aprobado por Real Decreto Legislativo 1/1994, de 20 de junio, incorporada por la disposición final cuarta.8, de la Ley 22/2013, de 23 de diciembre, de presupuestos generales del Estado para 2014, por su eventual contradicción con los arts. 9.3, 14, 24.1, 25.1 y 25.2 CE. La citada disposición adicional, aplicable al proceso </w:t>
      </w:r>
      <w:r w:rsidRPr="00A90898">
        <w:rPr>
          <w:i/>
        </w:rPr>
        <w:t>a quo</w:t>
      </w:r>
      <w:r>
        <w:t xml:space="preserve"> por razones temporales, ha sido derogada y se corresponde con el vigente art. 274.2 a) del Real Decreto Legislativo 8/2015, de 30 de octubre, por el que se aprueba el texto refundido de la Ley general de la Seguridad Social, (LGSS) pero ello no determina la pérdida de objeto de la presente cuestión de inconstitucionalidad (por todas, STC 29/2015, de 19 de febrero, FJ 2, con cita de otras).</w:t>
      </w:r>
    </w:p>
    <w:p w:rsidR="00A90898" w:rsidRDefault="00A90898" w:rsidP="00A90898">
      <w:pPr>
        <w:pStyle w:val="TextoNormal"/>
      </w:pPr>
    </w:p>
    <w:p w:rsidR="00A90898" w:rsidRDefault="00A90898" w:rsidP="00A90898">
      <w:pPr>
        <w:pStyle w:val="TextoNormal"/>
      </w:pPr>
      <w:r>
        <w:t>En el antecedente 1 de esta resolución ha quedado recogido el tenor del precepto cuestionado. En lo que a este proceso importa, dicha previsión legal ha venido a añadir requisitos adicionales a los generalmente exigidos en el art. 215.1.1, d) LGSS para que los liberados de prisión, condenados por determinados delitos —entre ellos, y por lo que aquí importa, delitos de terrorismo—, puedan percibir el subsidio por desempleo previsto con carácter general en aquel precepto.</w:t>
      </w:r>
    </w:p>
    <w:p w:rsidR="00A90898" w:rsidRDefault="00A90898" w:rsidP="00A90898">
      <w:pPr>
        <w:pStyle w:val="TextoNormal"/>
      </w:pPr>
    </w:p>
    <w:p w:rsidR="00A90898" w:rsidRDefault="00A90898" w:rsidP="00A90898">
      <w:pPr>
        <w:pStyle w:val="TextoNormal"/>
      </w:pPr>
      <w:r>
        <w:t xml:space="preserve">Los recurrentes ante el órgano promotor fueron condenados por delitos de la clase mencionada, y una vez liberados de prisión vieron denegada su pretensión de obtener el citado subsidio, por la Administración primero y por el Juzgado de lo Social de Eibar después, en aplicación del precepto que se cuestiona. Fue la Sala de ese orden jurisdiccional del Tribunal Superior de Justicia del País Vasco la que, al examinar el recurso de suplicación deducido </w:t>
      </w:r>
      <w:r>
        <w:lastRenderedPageBreak/>
        <w:t>por aquéllos, acordó formular la presente cuestión de inconstitucionalidad al amparo del art. 163 CE.</w:t>
      </w:r>
    </w:p>
    <w:p w:rsidR="00A90898" w:rsidRDefault="00A90898" w:rsidP="00A90898">
      <w:pPr>
        <w:pStyle w:val="TextoNormal"/>
      </w:pPr>
    </w:p>
    <w:p w:rsidR="00A90898" w:rsidRDefault="00A90898" w:rsidP="00A90898">
      <w:pPr>
        <w:pStyle w:val="TextoNormal"/>
      </w:pPr>
      <w:r w:rsidRPr="00A90898">
        <w:rPr>
          <w:rStyle w:val="NumeroAFNegritaCaracter"/>
        </w:rPr>
        <w:t>2</w:t>
      </w:r>
      <w:r>
        <w:t>. Se hace preciso recordar que la duda de constitucionalidad planteada por el órgano judicial ha sido resuelta por la reciente STC 123/2016, de 23 de junio, en la que hemos declarado inconstitucional y nulo el apartado legal cuestionado, considerando a la vista de nuestra doctrina —que allí se reproduce con transcripción parcial de la STC 152/2014, de 25 de septiembre— que es claro que el mismo “no forma parte del ‘contenido esencial’ de la ley de presupuestos, que es la previsión de ingresos y la autorización de gastos del sector público estatal (art. 134.2 CE)”, y que tampoco podría encuadrarse en el denominado “contenido eventual”.</w:t>
      </w:r>
    </w:p>
    <w:p w:rsidR="00A90898" w:rsidRDefault="00A90898" w:rsidP="00A90898">
      <w:pPr>
        <w:pStyle w:val="TextoNormal"/>
      </w:pPr>
    </w:p>
    <w:p w:rsidR="00A90898" w:rsidRDefault="00A90898" w:rsidP="00A90898">
      <w:pPr>
        <w:pStyle w:val="TextoNormal"/>
      </w:pPr>
      <w:r>
        <w:t>De una parte, establecemos en ese pronunciamiento de referencia que este Tribunal ha insistido en que no basta con que la medida aprobada implique una reducción de gastos, pues “es evidente que toda medida legislativa tendrá siempre algún efecto presupuestario, porque requerirá un incremento de gasto presupuestario o la dotación de una partida, o porque supondrá, por el contrario, una reducción del gasto o un incremento de los ingresos”. No pueden, por tanto, incluirse en aquélla normas “cuya incidencia en la ordenación del programa anual de ingresos y gastos es sólo accidental y secundaria y por ende insuficiente para legitimar su inclusión en la Ley de presupuestos” [STC 152/2014, FJ 4 a), antes citada].</w:t>
      </w:r>
    </w:p>
    <w:p w:rsidR="00A90898" w:rsidRDefault="00A90898" w:rsidP="00A90898">
      <w:pPr>
        <w:pStyle w:val="TextoNormal"/>
      </w:pPr>
    </w:p>
    <w:p w:rsidR="00A90898" w:rsidRDefault="00A90898" w:rsidP="00A90898">
      <w:pPr>
        <w:pStyle w:val="TextoNormal"/>
      </w:pPr>
      <w:r>
        <w:t>De otra parte, lo anterior sentado, se examinó si había, aparte de ese efecto propio e intrínseco de reducción de gastos, alguna otra razón que justificase la inclusión de la norma cuestionada en la ley de presupuestos por guardar con ella “la suficiente conexión económica (relación directa con los ingresos o gastos del Estado o vehículo director de la política económica del Gobierno) o presupuestaria (para una mayor inteligencia o mejor ejecución del presupuesto)”. Y la respuesta a este interrogante fue también negativa, en los términos siguientes:</w:t>
      </w:r>
    </w:p>
    <w:p w:rsidR="00A90898" w:rsidRDefault="00A90898" w:rsidP="00A90898">
      <w:pPr>
        <w:pStyle w:val="TextoNormal"/>
      </w:pPr>
    </w:p>
    <w:p w:rsidR="00A90898" w:rsidRDefault="00A90898" w:rsidP="00A90898">
      <w:pPr>
        <w:pStyle w:val="TextoNormal"/>
      </w:pPr>
      <w:r>
        <w:t>“En primer lugar, de los antecedentes legislativos expuestos … resulta de un modo manifiesto que no fue la necesidad de reducir el gasto la que llevó al grupo parlamentario popular en el Senado a introducir las enmiendas núm. 3046 y 3048 que terminaron dando lugar a la disposición cuya constitucionalidad ahora se cuestiona. Tanto es así que, de hecho, en la justificación de esas enmiendas en el Senado, transcrita en parte en el Auto de planteamiento, no se hace referencia alguna al ahorro que podría representar la medida, sino que se alude al ‘tiempo transcurrido desde la implantación del subsidio por desempleo a favor de los liberados de prisión a través de la Ley 31/1984, de 2 de agosto’, lo cual ‘aconseja’, según los proponentes de la enmienda, ‘una revisión en profundidad de la normativa reguladora de dicho subsidio’. Revisión dirigida como ya se dijo a ‘cohonestar debidamente la asistencia social que se presta mediante éste a los liberados de prisión, con la reparación justa y debida a las víctimas del delito y a la propia sociedad mediante la satisfacción previa de la responsabilidad civil derivada del delito’, es decir, a exigencias de justicia, pues se tacha de ‘injusto’ el sistema anterior, sobre todo en relación con ‘determinadas manifestaciones particularmente graves de delincuencia como el terrorismo y la criminalidad organizada’ (‘Boletín Oficial de las Cortes Generales. Senado’, X Legislatura, núm. 278, de 2 de diciembre de 2013, pág. 2319).</w:t>
      </w:r>
    </w:p>
    <w:p w:rsidR="00A90898" w:rsidRDefault="00A90898" w:rsidP="00A90898">
      <w:pPr>
        <w:pStyle w:val="TextoNormal"/>
      </w:pPr>
    </w:p>
    <w:p w:rsidR="00A90898" w:rsidRDefault="00A90898" w:rsidP="00A90898">
      <w:pPr>
        <w:pStyle w:val="TextoNormal"/>
      </w:pPr>
      <w:r>
        <w:lastRenderedPageBreak/>
        <w:t>Tampoco se aprecia, por otra parte, que la disposición cuestionada responda ‘a los criterios de política económica del Gobierno’ ni se dirija ‘a una mayor inteligencia o mejor ejecución del presupuesto’, que son, aparte de la ‘relación directa’, los otros dos vínculos con el contenido esencial de la ley de presupuestos que la doctrina de este Tribunal ha admitido para permitir la inclusión de una norma no estrictamente presupuestaria.</w:t>
      </w:r>
    </w:p>
    <w:p w:rsidR="00A90898" w:rsidRDefault="00A90898" w:rsidP="00A90898">
      <w:pPr>
        <w:pStyle w:val="TextoNormal"/>
      </w:pPr>
    </w:p>
    <w:p w:rsidR="00A90898" w:rsidRDefault="00A90898" w:rsidP="00A90898">
      <w:pPr>
        <w:pStyle w:val="TextoNormal"/>
      </w:pPr>
      <w:r>
        <w:t>Finalmente, en relación con el caso de la STC 65/1990, citado por el Abogado del Estado como indicativo de que la reducción de gastos justifica sin más la inserción de una medida de ahorro en la ley de presupuestos, hemos de destacar, en primer lugar, que las normas allí examinadas contenían una vocación de generalidad que aquí no se aprecia. Efectivamente, las normas examinadas en aquel caso declaraban la incompatibilidad de cualquier pensión de jubilación con el ejercicio de cualquier actividad retribuida en cualquier Administración pública. Frente a ello, la disposición aquí examinada opera justamente como una excepción singular a la norma general del art. 215.1 1) d) LGSS para determinadas clases de delitos: los de los párrafos a) y b) del art. 36.2 del Código penal. Además, justamente por esa vocación de generalidad de la norma, la STC 65/1990 apreció que ésta tenía ‘un efecto claro sobre la dimensión del gasto público, puesto que ambas disposiciones representan medidas tendentes a la reducción del mismo, y se presentan como específicamente vinculadas al equilibrio de las previsiones presupuestarias para los ejercicios correspondientes a 1984 y 1985, respectivamente, por lo que, como ya se dijera en la STC 65/1987, fundamento jurídico 7, resulta indiscutible la vinculación de estos preceptos a la materia presupuestaria en grado suficiente para considerar que su inclusión en la Ley de Presupuestos se encuentra constitucionalmente justificada por la conexión existente entre su contenido y los criterios de política económica que inspiran la normativa presupuestaria en que se incardinan’ (FJ 3). Es evidente, sin embargo, que esa íntima relación no se produce en este caso, hasta tal punto que ni en el procedimiento legislativo ni por parte del Gobierno en sus alegaciones ante este Tribunal se ha efectuado alegato alguno acerca del ahorro efectivamente producido con la medida, que en todo caso aparenta ser más bien escaso.”</w:t>
      </w:r>
    </w:p>
    <w:p w:rsidR="00A90898" w:rsidRDefault="00A90898" w:rsidP="00A90898">
      <w:pPr>
        <w:pStyle w:val="TextoNormal"/>
      </w:pPr>
    </w:p>
    <w:p w:rsidR="00A90898" w:rsidRDefault="00A90898" w:rsidP="00A90898">
      <w:pPr>
        <w:pStyle w:val="TextoNormal"/>
      </w:pPr>
      <w:r w:rsidRPr="00A90898">
        <w:rPr>
          <w:rStyle w:val="NumeroAFNegritaCaracter"/>
        </w:rPr>
        <w:t>3</w:t>
      </w:r>
      <w:r>
        <w:t>. Las consideraciones anteriores llevaron a estimar la cuestión de inconstitucionalidad que allí se resolvía, planteada por el mismo órgano judicial que inició el presente proceso constitucional, declarando la consiguiente nulidad de la disposición impugnada. Consecuentemente, como la norma cuestionada por el órgano judicial en este proceso constitucional ya quedó expulsada del ordenamiento, una vez anulada por inconstitucional, se impone apreciar, conforme a reiterada doctrina constitucional, la desaparición sobrevenida del objeto de la presente cuestión de inconstitucionalidad (por todas, junto a las que ella cita, STC 149/2014, de 22 de septiembre, FJ 4).</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Declarar la pérdida de objeto de la presente cuestión de inconstitucionalidad.</w:t>
      </w:r>
    </w:p>
    <w:p w:rsidR="00A90898" w:rsidRDefault="00A90898" w:rsidP="00A90898">
      <w:pPr>
        <w:pStyle w:val="TextoNormal"/>
      </w:pPr>
    </w:p>
    <w:p w:rsidR="00A90898" w:rsidRDefault="00A90898" w:rsidP="00A90898">
      <w:pPr>
        <w:pStyle w:val="TextoNormal"/>
      </w:pPr>
      <w:r>
        <w:lastRenderedPageBreak/>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5" w:name="SENTENCIA_2016_136"/>
      <w:r>
        <w:lastRenderedPageBreak/>
        <w:t>SENTENCIA 136/2016, de 18 de julio de 2016</w:t>
      </w:r>
    </w:p>
    <w:bookmarkEnd w:id="15"/>
    <w:p w:rsidR="00A90898" w:rsidRDefault="00A90898" w:rsidP="00A90898">
      <w:pPr>
        <w:pStyle w:val="TtuloResolucin"/>
      </w:pPr>
      <w:r>
        <w:t>Sala Segunda</w:t>
      </w:r>
    </w:p>
    <w:p w:rsidR="00A90898" w:rsidRDefault="00A90898" w:rsidP="00A90898">
      <w:pPr>
        <w:pStyle w:val="TtuloBOE"/>
      </w:pPr>
      <w:r>
        <w:t>(BOE núm. 196, de 15 de agosto de 2016)</w:t>
      </w:r>
    </w:p>
    <w:p w:rsidR="00A90898" w:rsidRDefault="00A90898" w:rsidP="00A90898">
      <w:pPr>
        <w:pStyle w:val="TextoNormalCentrado"/>
      </w:pPr>
      <w:r>
        <w:t>ECLI:ES:TC:2016:136</w:t>
      </w:r>
    </w:p>
    <w:p w:rsidR="00A90898" w:rsidRDefault="00A90898" w:rsidP="00A90898">
      <w:pPr>
        <w:pStyle w:val="TextoNormalCentrado"/>
      </w:pPr>
    </w:p>
    <w:p w:rsidR="00A90898" w:rsidRDefault="00A90898" w:rsidP="00A90898">
      <w:pPr>
        <w:pStyle w:val="SntesisDescriptiva"/>
      </w:pPr>
      <w:r>
        <w:t>Recurso de amparo 3136-2015. Promovido por don Manuel Tena Gallench respecto de los Autos dictados por un Juzgado de Instrucción de Madrid desestimatorios de la impugnación de la denegación de asistencia jurídica gratuita.</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denegación de la asistencia jurídica gratuita fundada en un pretendido abuso del derecho.</w:t>
      </w:r>
    </w:p>
    <w:p w:rsidR="00A90898" w:rsidRDefault="00A90898" w:rsidP="00A90898">
      <w:pPr>
        <w:pStyle w:val="SntesisAnaltica"/>
      </w:pPr>
    </w:p>
    <w:p w:rsidR="00A90898" w:rsidRDefault="00A90898" w:rsidP="00A90898">
      <w:pPr>
        <w:pStyle w:val="Extracto"/>
      </w:pPr>
      <w:r>
        <w:t>1.</w:t>
      </w:r>
      <w:r>
        <w:tab/>
        <w:t>Toda persona física que sea titular del derecho a la tutela judicial efectiva habrá de gozar del derecho a la gratuidad de la justicia si carece de los recursos suficientes para litigar, en los términos en los que este concepto jurídico indeterminado sea configurado por el legislador ordinario. Y la privación del derecho a la gratuidad de la justicia implica una lesión del derecho fundamental a la tutela judicial efectiva al que, de forma instrumental, ha de servir el desarrollo legislativo del art. 119 CE, pues si no se reconociese este derecho el derecho a la tutela judicial efectiva resultaría meramente teórico y carecería de efectividad (SSTC 95/2003 y  9/2008) [FJ 4].</w:t>
      </w:r>
    </w:p>
    <w:p w:rsidR="00A90898" w:rsidRDefault="00A90898" w:rsidP="00A90898">
      <w:pPr>
        <w:pStyle w:val="Extracto"/>
      </w:pPr>
    </w:p>
    <w:p w:rsidR="00A90898" w:rsidRDefault="00A90898" w:rsidP="00A90898">
      <w:pPr>
        <w:pStyle w:val="Extracto"/>
      </w:pPr>
      <w:r>
        <w:t>2.</w:t>
      </w:r>
      <w:r>
        <w:tab/>
        <w:t>El art. 119 CE consagra un derecho constitucional de carácter instrumental respecto del derecho de acceso a la jurisdicción,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(SSTC 16/1994 y 9/2008) [FJ 4].</w:t>
      </w:r>
    </w:p>
    <w:p w:rsidR="00A90898" w:rsidRDefault="00A90898" w:rsidP="00A90898">
      <w:pPr>
        <w:pStyle w:val="Extracto"/>
      </w:pPr>
    </w:p>
    <w:p w:rsidR="00A90898" w:rsidRDefault="00A90898" w:rsidP="00A90898">
      <w:pPr>
        <w:pStyle w:val="Extracto"/>
      </w:pPr>
      <w:r>
        <w:t>3.</w:t>
      </w:r>
      <w:r>
        <w:tab/>
        <w:t xml:space="preserve">Del mismo modo que una pretensión deducida ante un tribunal por un ciudadano no puede ser inadmitida </w:t>
      </w:r>
      <w:r w:rsidRPr="00A90898">
        <w:rPr>
          <w:i/>
        </w:rPr>
        <w:t>a limine</w:t>
      </w:r>
      <w:r>
        <w:t xml:space="preserve"> sin vulnerar el derecho de acceso a la jurisdicción por el mero hecho de que ese mismo ciudadano ya se haya dirigido anteriormente a los órganos del Poder Judicial para deducir otras pretensiones distintas, tampoco puede denegarse el derecho de justicia gratuita, del que depende directamente la posibilidad de acceder a los tribunales, con idéntico argumento sin causar el mismo sacrificio indebido del derecho fundamental que contempla el art. 24.1 CE [FJ 5].</w:t>
      </w:r>
    </w:p>
    <w:p w:rsidR="00A90898" w:rsidRDefault="00A90898" w:rsidP="00A90898">
      <w:pPr>
        <w:pStyle w:val="Extracto"/>
      </w:pPr>
    </w:p>
    <w:p w:rsidR="00A90898" w:rsidRDefault="00A90898" w:rsidP="00A90898">
      <w:pPr>
        <w:pStyle w:val="Extracto"/>
      </w:pPr>
      <w:r>
        <w:t>4.</w:t>
      </w:r>
      <w:r>
        <w:tab/>
        <w:t>El número de veces en que, con amparo en el beneficio de justicia gratuita se ha litigado o pretendido litigar con anterioridad por parte del recurrente, no puede erigirse en razón para desestimar la tutela judicial solicitada por quien, invocando la carencia de recursos económicos para ello, insta de la Administración la concesión de tal beneficio [FJ 5].</w:t>
      </w:r>
    </w:p>
    <w:p w:rsidR="00A90898" w:rsidRDefault="00A90898" w:rsidP="00A90898">
      <w:pPr>
        <w:pStyle w:val="Extracto"/>
      </w:pPr>
    </w:p>
    <w:p w:rsidR="00A90898" w:rsidRDefault="00A90898" w:rsidP="00A90898">
      <w:pPr>
        <w:pStyle w:val="Extracto"/>
      </w:pPr>
      <w:r>
        <w:t>5.</w:t>
      </w:r>
      <w:r>
        <w:tab/>
        <w:t xml:space="preserve">Por más que la demanda se funde formalmente en un único motivo de amparo, resulta evidente que dicho motivo se desdobla de inmediato en dos impugnaciones distintas, una relativa a la indebida denegación del beneficio de asistencia jurídica </w:t>
      </w:r>
      <w:r>
        <w:lastRenderedPageBreak/>
        <w:t>gratuita por parte de la Administración, y la otra, atinente a la motivación empleada por las resoluciones judiciales que mantuvieron dicha decisión administrativa [FJ 2].</w:t>
      </w:r>
    </w:p>
    <w:p w:rsidR="00A90898" w:rsidRDefault="00A90898" w:rsidP="00A90898">
      <w:pPr>
        <w:pStyle w:val="Extracto"/>
      </w:pPr>
    </w:p>
    <w:p w:rsidR="00A90898" w:rsidRDefault="00A90898" w:rsidP="00A90898">
      <w:pPr>
        <w:pStyle w:val="Extracto"/>
      </w:pPr>
      <w:r>
        <w:t>6.</w:t>
      </w:r>
      <w:r>
        <w:tab/>
        <w:t>El servicio común de notificaciones es una “oficina o servicio de registro central” de un tribunal civil, por lo que el escrito presentado ante aquél, a los efectos de interponer recurso de amparo, tiene plena validez sin necesidad siquiera de acudir a la doctrina que permite, en circunstancias excepcionales, atemperar el cumplimiento del requisito de forma relativo al lugar de presentación de escritos ante el Tribunal Constitucional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3136-2015, promovido por don Manuel Tena Gallench, representado por la Procuradora de los Tribunales doña Olga Romojaro Casado y asistido por el Letrado don José Ramón Ventura Arias, contra el Auto de 24 de marzo de 2015, dictado por el Juzgado de Instrucción núm. 20 de Madrid, desestimatorio del incidente de nulidad de actuaciones promovido contra el precedente Auto de 14 de octubre de 2014, dictado por el mismo órgano judicial en las diligencias “indeterminadas” 590-2014, desestimatorio, a su vez, de la impugnación formulada contra la resolución de la Comisión de Asistencia Jurídica Gratuita de la Comunidad de Madrid de 27 de diciembre de 2013, recaída en el expediente E-75967-2013. Ha intervenido el Ministerio Fiscal.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escrito que tuvo entrada en el Servicio Común de los Juzgado de Denia el día 15 de mayo de 2015 y que fue registrado en este Tribunal en fecha 1 de junio de 2015, don Manuel Tena Gallench manifestó su voluntad de interponer recurso de amparo contra las resoluciones reseñadas en el encabezamiento de la presente Sentencia, solicitando que le fuesen designados a tal efecto abogado y procurador de oficio.</w:t>
      </w:r>
    </w:p>
    <w:p w:rsidR="00A90898" w:rsidRDefault="00A90898" w:rsidP="00A90898">
      <w:pPr>
        <w:pStyle w:val="TextoNormal"/>
      </w:pPr>
    </w:p>
    <w:p w:rsidR="00A90898" w:rsidRDefault="00A90898" w:rsidP="00A90898">
      <w:pPr>
        <w:pStyle w:val="TextoNormal"/>
      </w:pPr>
      <w:r>
        <w:t xml:space="preserve">Recibidos los despachos de los colegios de abogados y procuradores, por diligencia de ordenación de la Secretaría de Justicia de la Sala Segunda, de fecha 16 de septiembre 2015, se tuvieron por designados a la Procuradora de los Tribunales doña Olga Romojaro Casado </w:t>
      </w:r>
      <w:r>
        <w:lastRenderedPageBreak/>
        <w:t>para la representación del recurrente, y al Abogado don José Ramón Ventura Arias para su defensa, confiriéndose a la citada Procuradora un plazo de 30 días para que, bajo la dirección del Abogado mencionado, presentara la correspondiente demanda de amparo, que tuvo efectivamente su entrada en el Registro General de este Tribunal el día 4 de noviembre de 2015.</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de amparo son, en síntesis, los siguientes:</w:t>
      </w:r>
    </w:p>
    <w:p w:rsidR="00A90898" w:rsidRDefault="00A90898" w:rsidP="00A90898">
      <w:pPr>
        <w:pStyle w:val="TextoNormal"/>
      </w:pPr>
    </w:p>
    <w:p w:rsidR="00A90898" w:rsidRDefault="00A90898" w:rsidP="00A90898">
      <w:pPr>
        <w:pStyle w:val="TextoNormal"/>
      </w:pPr>
      <w:r>
        <w:t>a) El demandante de amparo presentó ante el Ilustre Colegio de Abogados de Madrid una solicitud, registrada el día 5 de septiembre de 2009, para el reconocimiento del derecho de justicia gratuita a efectos de que le fuera designado abogado y, en su caso, procurador de oficio para presentar, según señalaba expresamente, “querella” por “presunta falsedad documental a interponer en la jurisdicción de Madrid”. Tras ser requerido por el departamento del turno de oficio del referido Colegio profesional para que especificara el “lugar de comisión del delito” y el “nombre del querellado”, el demandante presentó un escrito de fecha 1 de octubre de 2013 señalando lo siguiente: “se trata de la interposición de una querella contra […], ex directora de Instituciones Penitenciarias por presunta falsedad documental incorporada al tráfico jurídico, tipificada como infracción penal (conocida como falsedad ideológica) en el art. 390.1.4 CP”.</w:t>
      </w:r>
    </w:p>
    <w:p w:rsidR="00A90898" w:rsidRDefault="00A90898" w:rsidP="00A90898">
      <w:pPr>
        <w:pStyle w:val="TextoNormal"/>
      </w:pPr>
    </w:p>
    <w:p w:rsidR="00A90898" w:rsidRDefault="00A90898" w:rsidP="00A90898">
      <w:pPr>
        <w:pStyle w:val="TextoNormal"/>
      </w:pPr>
      <w:r>
        <w:t>b) En fecha 27 de diciembre de 2013, la Comisión de Asistencia Jurídica Gratuita de la Comunidad de Madrid resolvió desestimar la petición formulada. En la fundamentación jurídica de esta resolución, el órgano aludido, tras realizar unas consideraciones genéricas sobre el concepto de abuso de derecho, afirmaba de modo textual lo siguiente: “el solicitante ha formulado 21 solicitudes. En 15 de ellas se ha reconocido el derecho de asistencia jurídica gratuita y 6 se le han denegado. Se le ha denegado en anteriores ocasiones el derecho a la justicia gratuita por abuso de derecho habiendo sido confirmada la resolución por el órgano judicial… En los dos expedientes … el Colegio de Abogados no designa abogado de oficio ya que anteriormente se ha denegado justicia gratuita por abuso de derecho. En estos expedientes las partes contrarias son el D. General de la Guardia Civil y la ex directora de Instituciones Penitenciarias”. Seguidamente, se recogía en la resolución el siguiente tenor literal: “esta Comisión considera y le consta que existe un manifiesto abuso de derecho en la solicitud de asistencia jurídica gratuita formulada por el solicitante, excediendo la actuación del interesado del contenido del derecho contemplado en el art. 119 de la Constitución Española, en relación con lo dispuesto en el art. 7 del Código Civil y 11.2 de la Ley Orgánica del Poder Judicial”, consideración que llevaba al mencionado órgano a concluir que “no se dan las circunstancias exigidas en los preceptos que se han expuesto en los apartados anteriores para reconocer el derecho a la asistencia jurídica gratuita”.</w:t>
      </w:r>
    </w:p>
    <w:p w:rsidR="00A90898" w:rsidRDefault="00A90898" w:rsidP="00A90898">
      <w:pPr>
        <w:pStyle w:val="TextoNormal"/>
      </w:pPr>
    </w:p>
    <w:p w:rsidR="00A90898" w:rsidRDefault="00A90898" w:rsidP="00A90898">
      <w:pPr>
        <w:pStyle w:val="TextoNormal"/>
      </w:pPr>
      <w:r>
        <w:t xml:space="preserve">c) El día 30 de enero de 2014 tuvo entrada en el Decanato de los Juzgados de Denia, para su ulterior remisión al mismo Decanato de los Juzgados de Madrid, el escrito de impugnación de la resolución adoptada por la Comisión de Asistencia Jurídica Gratuita, escrito en el que el ahora demandante de amparo, tras una extensa descripción de las circunstancias de su caso, en el que afirmaba, entre otras cosas, que concurrían en aquél los requisitos económicos que determinan la concesión del beneficio solicitado−, vino a sostener que “la resolución ahora recurrida no se ajusta a Derecho, incumpliendo lo preceptuado en el art. 119 CE y por ende vulnerando los derechos fundamentales que amparan el art. 24.2 CE en la modalidad de indefensión de mis derechos legítimos y no permitir ejercer el derecho pro accione [sic], quedando en un total desamparo, lo que expresamente se invoca a los efectos </w:t>
      </w:r>
      <w:r>
        <w:lastRenderedPageBreak/>
        <w:t>oportunos, por imperativo de lo preceptuado en el art. 41 de la Ley Orgánica 2/73 [sic], de 3 de octubre del Tribunal Constitucional modificada por la Ley Orgánica 6/2007 de 24 de mayo”.</w:t>
      </w:r>
    </w:p>
    <w:p w:rsidR="00A90898" w:rsidRDefault="00A90898" w:rsidP="00A90898">
      <w:pPr>
        <w:pStyle w:val="TextoNormal"/>
      </w:pPr>
    </w:p>
    <w:p w:rsidR="00A90898" w:rsidRDefault="00A90898" w:rsidP="00A90898">
      <w:pPr>
        <w:pStyle w:val="TextoNormal"/>
      </w:pPr>
      <w:r>
        <w:t>d) En fecha 14 de octubre de 2014, el Juzgado de Instrucción núm. 20 de Madrid, al que por turno de reparto había correspondido conocer de la citada impugnación, dictó Auto en el seno de las diligencias indeterminadas núm. 590-2014, desestimando la impugnación planteada. Dicha resolución contiene un primer fundamento jurídico expresivo de los requisitos generales fijados en los arts. 3 y 4 de la Ley de asistencia jurídica gratuita (LAJG) y un segundo fundamento del siguiente tenor:</w:t>
      </w:r>
    </w:p>
    <w:p w:rsidR="00A90898" w:rsidRDefault="00A90898" w:rsidP="00A90898">
      <w:pPr>
        <w:pStyle w:val="TextoNormal"/>
      </w:pPr>
    </w:p>
    <w:p w:rsidR="00A90898" w:rsidRDefault="00A90898" w:rsidP="00A90898">
      <w:pPr>
        <w:pStyle w:val="TextoNormal"/>
      </w:pPr>
      <w:r>
        <w:t>“En el presente caso, examinadas las actuaciones y las alegaciones formuladas por el solicitante, no se han visto modificadas las circunstancias que en su día dieron lugar a la denegación de la pretendida obtención del beneficio de justicia gratuita por lo cual procede desestimar la impugnación confirmando la resolución de 7 de enero de 2014” [fecha esta última de la remisión al interesado de la resolución administrativa dictada].</w:t>
      </w:r>
    </w:p>
    <w:p w:rsidR="00A90898" w:rsidRDefault="00A90898" w:rsidP="00A90898">
      <w:pPr>
        <w:pStyle w:val="TextoNormal"/>
      </w:pPr>
    </w:p>
    <w:p w:rsidR="00A90898" w:rsidRDefault="00A90898" w:rsidP="00A90898">
      <w:pPr>
        <w:pStyle w:val="TextoNormal"/>
      </w:pPr>
      <w:r>
        <w:t>e) En fecha 7 de noviembre de 2014 tuvo entrada en el Juzgado el escrito del actor por el que promovía incidente de nulidad de actuaciones contra el Auto desestimatorio de su impugnación. En dicho escrito, el demandante consideraba que el Auto dictado carecía “de forma patente y palmaria” de toda motivación por lo que conculcaba “el derecho fundamental que ampara el art. 24.1 y 2 CE … en las modalidades de acceso a la jurisdicción, indefensión y falta de tutela judicial efectiva”.</w:t>
      </w:r>
    </w:p>
    <w:p w:rsidR="00A90898" w:rsidRDefault="00A90898" w:rsidP="00A90898">
      <w:pPr>
        <w:pStyle w:val="TextoNormal"/>
      </w:pPr>
    </w:p>
    <w:p w:rsidR="00A90898" w:rsidRDefault="00A90898" w:rsidP="00A90898">
      <w:pPr>
        <w:pStyle w:val="TextoNormal"/>
      </w:pPr>
      <w:r>
        <w:t>f) Mediante Auto de 24 de marzo de 2015, el Juzgado acordó “no haber lugar a la nulidad de las presentes actuaciones manteniéndose íntegro y en todas sus partes el auto dictado de fecha 14 de octubre de 2014”. La fundamentación jurídica de la resolución es, en su integridad, la siguiente:</w:t>
      </w:r>
    </w:p>
    <w:p w:rsidR="00A90898" w:rsidRDefault="00A90898" w:rsidP="00A90898">
      <w:pPr>
        <w:pStyle w:val="TextoNormal"/>
      </w:pPr>
    </w:p>
    <w:p w:rsidR="00A90898" w:rsidRDefault="00A90898" w:rsidP="00A90898">
      <w:pPr>
        <w:pStyle w:val="TextoNormal"/>
      </w:pPr>
      <w:r>
        <w:t>“La resolución de la Comisión de Asistencia Jurídica Gratuita deniega el derecho del solicitante al apreciar abuso de derecho, al haber formulado 21 solicitudes similares, siendo reconocido en 15 de estas.</w:t>
      </w:r>
    </w:p>
    <w:p w:rsidR="00A90898" w:rsidRDefault="00A90898" w:rsidP="00A90898">
      <w:pPr>
        <w:pStyle w:val="TextoNormal"/>
      </w:pPr>
    </w:p>
    <w:p w:rsidR="00A90898" w:rsidRDefault="00A90898" w:rsidP="00A90898">
      <w:pPr>
        <w:pStyle w:val="TextoNormal"/>
      </w:pPr>
      <w:r>
        <w:t>Todo ello de conformidad con lo dispuesto en el art. 6.4 del Decreto 86/2003 de 19 de junio por el que se regula la asistencia jurídica gratuita en el ámbito de la comunidad de Madrid, que permite a la Comisión de Asistencia Jurídica Gratuita denegar el derecho a la justicia gratuita cuando aprecien [sic] que la petición se funda con manifiesto abuso de derecho, tal como ocurre en el presente caso.</w:t>
      </w:r>
    </w:p>
    <w:p w:rsidR="00A90898" w:rsidRDefault="00A90898" w:rsidP="00A90898">
      <w:pPr>
        <w:pStyle w:val="TextoNormal"/>
      </w:pPr>
    </w:p>
    <w:p w:rsidR="00A90898" w:rsidRDefault="00A90898" w:rsidP="00A90898">
      <w:pPr>
        <w:pStyle w:val="TextoNormal"/>
      </w:pPr>
      <w:r>
        <w:t>De todo ello se desprende que Manuel Tena Gallench obtuvo una resolución fundada en Derecho, por la que se deniega el derecho solicitado, y posteriormente tras la impugnación de la misma se desestimó esta mediante auto de 14 de octubre de 2014.</w:t>
      </w:r>
    </w:p>
    <w:p w:rsidR="00A90898" w:rsidRDefault="00A90898" w:rsidP="00A90898">
      <w:pPr>
        <w:pStyle w:val="TextoNormal"/>
      </w:pPr>
    </w:p>
    <w:p w:rsidR="00A90898" w:rsidRDefault="00A90898" w:rsidP="00A90898">
      <w:pPr>
        <w:pStyle w:val="TextoNormal"/>
      </w:pPr>
      <w:r>
        <w:t>Consecuentemente no concurre ningún motivo para declarar la nulidad de actuaciones pretendida de conformidad con lo dispuesto en el art. 238 y siguientes de la LOPJ.”</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En su escrito de demanda, el actor plantea, como motivo único de amparo la “vulneración del derecho a la tutela judicial efectiva (art. 24.1 CE), en su vertiente de acceso a la jurisdicción y falta de motivación”.</w:t>
      </w:r>
    </w:p>
    <w:p w:rsidR="00A90898" w:rsidRDefault="00A90898" w:rsidP="00A90898">
      <w:pPr>
        <w:pStyle w:val="TextoNormal"/>
      </w:pPr>
    </w:p>
    <w:p w:rsidR="00A90898" w:rsidRDefault="00A90898" w:rsidP="00A90898">
      <w:pPr>
        <w:pStyle w:val="TextoNormal"/>
      </w:pPr>
      <w:r>
        <w:t>En lo relativo a la lesión del art. 24.1 CE, en su modalidad de derecho de acceso al proceso, el actor estima que el derecho de asistencia jurídica gratuita “incide plenamente en el derecho a la tutela judicial efectiva, concretamente en el derecho de acceso a la jurisdicción, pues a menudo su reconocimiento constituye la única manera de que el ciudadano con escasos recursos económicos pueda obtener resoluciones de los órganos judiciales respecto de los asuntos que inciden en su esfera de interés legítimo”. En cita de la STC 187/2004, de 2 de noviembre, el demandante afirma que “existe … un contenido constitucional indisponible para el legislador que obliga a reconocer el derecho a la asistencia jurídica gratuita necesariamente a quienes acreditan insuficiencia de recursos económicos”. Por ello “acreditado el cumplimiento de los requisitos económicos … resulta obligatorio el reconocimiento del derecho a la asistencia jurídica gratuita”.</w:t>
      </w:r>
    </w:p>
    <w:p w:rsidR="00A90898" w:rsidRDefault="00A90898" w:rsidP="00A90898">
      <w:pPr>
        <w:pStyle w:val="TextoNormal"/>
      </w:pPr>
    </w:p>
    <w:p w:rsidR="00A90898" w:rsidRDefault="00A90898" w:rsidP="00A90898">
      <w:pPr>
        <w:pStyle w:val="TextoNormal"/>
      </w:pPr>
      <w:r>
        <w:t xml:space="preserve">En el caso planteado, la denegación del beneficio no tiene, según afirma el demandante, “fundamento en el incumplimiento … de los requisitos económicos para su reconocimiento”. De hecho, las resoluciones dictadas admiten que dicho derecho se le ha reconocido en quince ocasiones, sin que hayan variado las circunstancias personales del recurrente. La </w:t>
      </w:r>
      <w:r w:rsidRPr="00A90898">
        <w:rPr>
          <w:i/>
        </w:rPr>
        <w:t>ratio</w:t>
      </w:r>
      <w:r>
        <w:t xml:space="preserve"> de la denegación es, en cambio, un supuesto “abuso de derecho”, que, en todo caso, debería ser apreciado, en opinión del recurrente, en las resoluciones judiciales relativas a la concreta pretensión formulada o a través de los trámites legales que habilitan al letrado designado para excusarse por razón de la insostenibilidad de la pretensión. Denegar por dicho motivo, cuando los requisitos económicos se cumplen, supone una violación del derecho a la tutela judicial efectiva, en su vertiente del derecho de acceso a la jurisdicción. Concluye el recurrente su alegato sobre la violación de esta concreta modalidad del art. 24.1 CE afirmando que “[p]roceder de este modo significaría que existiría una justicia para ricos y otra para pobres, pues los primeros no tendrían problemas para interponer sus acciones judiciales, a las que no se sometería al filtro ex ante del abuso de derecho”.</w:t>
      </w:r>
    </w:p>
    <w:p w:rsidR="00A90898" w:rsidRDefault="00A90898" w:rsidP="00A90898">
      <w:pPr>
        <w:pStyle w:val="TextoNormal"/>
      </w:pPr>
    </w:p>
    <w:p w:rsidR="00A90898" w:rsidRDefault="00A90898" w:rsidP="00A90898">
      <w:pPr>
        <w:pStyle w:val="TextoNormal"/>
      </w:pPr>
      <w:r>
        <w:t>En cuanto a la vertiente del art. 24.1CE, relativa al deber de motivación de las resoluciones judiciales, el actor estima que “aun cuando fuera posible apreciar el abuso de derecho en el trámite de reconocimiento del derecho a la asistencia jurídica gratuita” una decisión de este tipo debe ser fundamentada “de manera rigurosa”. Sin embargo, las resoluciones dictadas “nada manifiestan del motivo por el que consideran que estamos ante un supuesto abuso de derecho manifiesto”, pues “la mera referencia al número de solicitudes formuladas, concedidas y denegadas, sin ningún otro factor adicional a tales datos, no puede considerarse como un razonamiento fundado de una denegación de un derecho tan íntimamente ligado al derecho fundamental a la tutela judicial efectiva”, ligazón que determina una “necesidad de motivación reforzada” que no puede entenderse cumplida.</w:t>
      </w:r>
    </w:p>
    <w:p w:rsidR="00A90898" w:rsidRDefault="00A90898" w:rsidP="00A90898">
      <w:pPr>
        <w:pStyle w:val="TextoNormal"/>
      </w:pPr>
    </w:p>
    <w:p w:rsidR="00A90898" w:rsidRDefault="00A90898" w:rsidP="00A90898">
      <w:pPr>
        <w:pStyle w:val="TextoNormal"/>
      </w:pPr>
      <w:r>
        <w:t>Finalmente, la demanda incluye un “otrosí digo” en el que el recurrente solicita la “medida cautelar de concesión provisional del derecho a la asistencia jurídica gratuita”.</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Por providencia de 1 de marzo de 2016, la Sala Segunda acordó admitir a trámite la demanda, y, en aplicación de lo dispuesto en el art. 51 de la Ley Orgánica del Tribunal Constitucional (LOTC), dirigir atenta comunicación a la Comisión de Asistencia Jurídica </w:t>
      </w:r>
      <w:r>
        <w:lastRenderedPageBreak/>
        <w:t>Gratuita de la Comunidad de Madrid a fin de que, en plazo que no excediera de diez días, remitiera fotocopia adverada de las actuaciones correspondientes al expediente 0-0111453/13, interesándose al propio tiempo del Juzgado de Instrucción núm. 20 de Madrid que remitiera las actuaciones judiciales dimanantes de dicho expediente e incluidas en las diligencias indeterminadas 590-2014 y que emplazara a quienes hubieran sido parte en el procedimiento, excepto a la parte recurrente en amparo, para que pudieran comparecer en el plazo de diez días.</w:t>
      </w:r>
    </w:p>
    <w:p w:rsidR="00A90898" w:rsidRDefault="00A90898" w:rsidP="00A90898">
      <w:pPr>
        <w:pStyle w:val="TextoNormal"/>
      </w:pPr>
    </w:p>
    <w:p w:rsidR="00A90898" w:rsidRDefault="00A90898" w:rsidP="00A90898">
      <w:pPr>
        <w:pStyle w:val="TextoNormal"/>
      </w:pPr>
      <w:r>
        <w:t>La aludida providencia aclara que el recurso de amparo “ofrece especial trascendencia constitucional (art. 50.1 LOTC)” porque “puede dar ocasión al Tribunal para aclarar o cambiar su doctrina, como consecuencia de un proceso de reflexión interna [STC 155/2009, FJ 2, b)]” y porque “el órgano judicial podría haber incurrido en una negativa manifiesta del deber de acatamiento de la doctrina de este Tribunal [STC 155/2009, FJ 2 f)]”.</w:t>
      </w:r>
    </w:p>
    <w:p w:rsidR="00A90898" w:rsidRDefault="00A90898" w:rsidP="00A90898">
      <w:pPr>
        <w:pStyle w:val="TextoNormal"/>
      </w:pPr>
    </w:p>
    <w:p w:rsidR="00A90898" w:rsidRDefault="00A90898" w:rsidP="00A90898">
      <w:pPr>
        <w:pStyle w:val="TextoNormal"/>
      </w:pPr>
      <w:r>
        <w:t>En la misma resolución se acordaba la formación de pieza separada para la tramitación de la medida cautelar de concesión provisional del derecho a la asistencia jurídica gratuita, medida que fue finalmente desestimada mediante Auto de la Sala Segunda de este Tribunal de 11 de abril de 2016.</w:t>
      </w:r>
    </w:p>
    <w:p w:rsidR="00A90898" w:rsidRDefault="00A90898" w:rsidP="00A90898">
      <w:pPr>
        <w:pStyle w:val="TextoNormal"/>
      </w:pPr>
    </w:p>
    <w:p w:rsidR="00A90898" w:rsidRDefault="00A90898" w:rsidP="00A90898">
      <w:pPr>
        <w:pStyle w:val="TextoNormal"/>
      </w:pPr>
      <w:r w:rsidRPr="00A90898">
        <w:rPr>
          <w:rStyle w:val="NumeroAFNegritaCaracter"/>
        </w:rPr>
        <w:t>5</w:t>
      </w:r>
      <w:r>
        <w:t>. Una vez recibidos los testimonios solicitados y cumplimentados los emplazamientos requeridos, la Sala Segunda, por diligencia de ordenación de su Secretaría de Justicia de fecha 13 de abril de 2016, tuvo por comparecida en el procedimiento a la Letrada de la Comunidad de Madrid en nombre de la Comisión de Asistencia Jurídica Gratuita, tal y como dicha letrada había solicitado en escrito registrado en este Tribunal el 18 de marzo de 2016, y, asimismo, acordó dar vista de las actuaciones a las partes personadas y al Ministerio Fiscal, por plazo común de 20 días, para que formularan las alegaciones que estimaran pertinentes, conforme determina el art. 52.1 LOTC.</w:t>
      </w:r>
    </w:p>
    <w:p w:rsidR="00A90898" w:rsidRDefault="00A90898" w:rsidP="00A90898">
      <w:pPr>
        <w:pStyle w:val="TextoNormal"/>
      </w:pPr>
    </w:p>
    <w:p w:rsidR="00A90898" w:rsidRDefault="00A90898" w:rsidP="00A90898">
      <w:pPr>
        <w:pStyle w:val="TextoNormal"/>
      </w:pPr>
      <w:r w:rsidRPr="00A90898">
        <w:rPr>
          <w:rStyle w:val="NumeroAFNegritaCaracter"/>
        </w:rPr>
        <w:t>6</w:t>
      </w:r>
      <w:r>
        <w:t>. El Ministerio Fiscal presentó sus alegaciones mediante escrito de fecha 6 de mayo de 2016, en el que interesa la inadmisión de la demanda de amparo por concurrir el óbice de extemporaneidad [arts. 44.2 y 50.1 a) LOTC] y, subsidiariamente, el otorgamiento del amparo solicitado por el recurrente.</w:t>
      </w:r>
    </w:p>
    <w:p w:rsidR="00A90898" w:rsidRDefault="00A90898" w:rsidP="00A90898">
      <w:pPr>
        <w:pStyle w:val="TextoNormal"/>
      </w:pPr>
    </w:p>
    <w:p w:rsidR="00A90898" w:rsidRDefault="00A90898" w:rsidP="00A90898">
      <w:pPr>
        <w:pStyle w:val="TextoNormal"/>
      </w:pPr>
      <w:r>
        <w:t>El Ministerio Fiscal señala que el acuerdo adoptado el 18 de junio de 1996 por el Pleno del Tribunal Constitucional impone a los demandantes de amparo que impugnan las resoluciones denegatorias del beneficio de justicia gratuita el deber de “dirigir temporáneamente un escrito al Tribunal Constitucional manifestando su propósito de interponer recurso de amparo (ATC 97/2010)”. En el caso que nos ocupa, la Fiscal afirma que “[e]l demandante ha remitido ese escrito al Tribunal Constitucional pero el mismo ha tenido entrada cuando ya ha transcurrido en exceso el plazo previsto en la LOTC”. El recurso de amparo sería, pues, extemporáneo.</w:t>
      </w:r>
    </w:p>
    <w:p w:rsidR="00A90898" w:rsidRDefault="00A90898" w:rsidP="00A90898">
      <w:pPr>
        <w:pStyle w:val="TextoNormal"/>
      </w:pPr>
    </w:p>
    <w:p w:rsidR="00A90898" w:rsidRDefault="00A90898" w:rsidP="00A90898">
      <w:pPr>
        <w:pStyle w:val="TextoNormal"/>
      </w:pPr>
      <w:r>
        <w:t xml:space="preserve">Subsidiariamente, para el caso de que el óbice no sea apreciado, la Fiscal ante el Tribunal Constitucional interesa el otorgamiento de amparo, pues “la mera constatación del número de veces que una persona ha solicitado la asistencia jurídica gratuita ni aun el extremo de que en precedentes ocasiones se haya apreciado el abuso de derecho, pueden servir de fundamento a la denegación de la asistencia jurídica gratuita de quien carece de recursos para litigar, pues ni se acomoda al art. 119 CE ni a la Ley 1/1996 de Asistencia Jurídica Gratuita </w:t>
      </w:r>
      <w:r>
        <w:lastRenderedPageBreak/>
        <w:t>ni a la doctrina del Tribunal Constitucional”. Añade la Fiscal que “la mera pluralidad de las solicitudes no puede considerarse exponente de un ejercicio abusivo, sin ningún otro argumento más del que pudieran derivarse algunos de los criterios recogidos en el art. 7.2 del Código Civil, esto es, que por la intención del autor o por su objeto o por las circunstancias en que se realiza se sobrepase manifiestamente los límites normales del ejercicio del derecho”. En las resoluciones impugnadas “[n]o se contiene ningún argumento que se añade al extremo de la mera reiteración de las solicitantes [sic], de haberse denegado en algún supuesto previo, ninguna alusión hay a la concreta causa para la que se solicitaba la asistencia jurídica gratuita, eso es, que fuese un supuesto idéntico a otros en que ya se hubiese apreciado la insostenibilidad, o tratarse de causas archivadas en que se hubieran examinado ya sus pretensiones o supuestos similares en los que tal vez pudiera apreciarse el ejercicio abusivo, sin necesidad de que se hubiese de pasar el filtro de la insostenibilidad, tras el pertinente examen de la pretensión”.</w:t>
      </w:r>
    </w:p>
    <w:p w:rsidR="00A90898" w:rsidRDefault="00A90898" w:rsidP="00A90898">
      <w:pPr>
        <w:pStyle w:val="TextoNormal"/>
      </w:pPr>
    </w:p>
    <w:p w:rsidR="00A90898" w:rsidRDefault="00A90898" w:rsidP="00A90898">
      <w:pPr>
        <w:pStyle w:val="TextoNormal"/>
      </w:pPr>
      <w:r>
        <w:t>En suma, opina el Ministerio Fiscal que “[l]a pluralidad de procedimientos en que puede verse envuelta una persona no puede alzarse en obstáculo para conceder la asistencia jurídica gratuita, cuando se justifica ser acreedora del derecho, por concurrir los requisitos legalmente exigidos”.</w:t>
      </w:r>
    </w:p>
    <w:p w:rsidR="00A90898" w:rsidRDefault="00A90898" w:rsidP="00A90898">
      <w:pPr>
        <w:pStyle w:val="TextoNormal"/>
      </w:pPr>
    </w:p>
    <w:p w:rsidR="00A90898" w:rsidRDefault="00A90898" w:rsidP="00A90898">
      <w:pPr>
        <w:pStyle w:val="TextoNormal"/>
      </w:pPr>
      <w:r w:rsidRPr="00A90898">
        <w:rPr>
          <w:rStyle w:val="NumeroAFNegritaCaracter"/>
        </w:rPr>
        <w:t>7</w:t>
      </w:r>
      <w:r>
        <w:t>. El recurrente presentó sus alegaciones en fecha 18 de mayo de 2016, remitiéndose a las ya efectuadas en la propia demanda.</w:t>
      </w:r>
    </w:p>
    <w:p w:rsidR="00A90898" w:rsidRDefault="00A90898" w:rsidP="00A90898">
      <w:pPr>
        <w:pStyle w:val="TextoNormal"/>
      </w:pPr>
    </w:p>
    <w:p w:rsidR="00A90898" w:rsidRDefault="00A90898" w:rsidP="00A90898">
      <w:pPr>
        <w:pStyle w:val="TextoNormal"/>
      </w:pPr>
      <w:r w:rsidRPr="00A90898">
        <w:rPr>
          <w:rStyle w:val="NumeroAFNegritaCaracter"/>
        </w:rPr>
        <w:t>8</w:t>
      </w:r>
      <w:r>
        <w:t>. La Letrada de la Comunidad de Madrid dejó expirar el plazo conferido sin formular alegaciones.</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14 de julio de 2016, se señaló para la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Como ha quedado expuesto en los antecedentes, el recurrente de amparo considera que la resolución de 27 de diciembre de 2013, dictada por la Comisión de Asistencia Jurídica Gratuita de la Comunidad de Madrid, así como los Autos de 14 de octubre de 2014 y 24 de marzo de 2015, dictados por el Juzgado de Instrucción núm. 20 de Madrid vulneran su derecho a la tutela judicial efectiva. El demandante de amparo considera que las resoluciones dictadas le deniegan indebidamente el beneficio de justicia gratuita, que había solicitado para la interposición de una querella criminal por falsedad documental. En opinión del recurrente, dos dimensiones distintas del indicado derecho fundamental habrían resultado vulneradas: (i) de un lado, la vertiente de la tutela judicial efectiva que garantiza a todo ciudadano el acceso a la jurisdicción, ya que la denegación del beneficio de justicia gratuita no se fundó en la suficiencia de recursos económicos, sino en una situación de abuso de derecho completamente ajena a los requisitos que determinan legalmente su reconocimiento; y (ii) de otro lado, la faceta de la tutela judicial efectiva que otorga al justiciable un derecho a obtener una respuesta judicial motivada para las pretensiones deducidas en un proceso, ya que el abuso de derecho apreciado por los órganos actuantes se basó, apodícticamente, en el elevado número de solicitudes previamente presentadas por el actor, circunstancia que, </w:t>
      </w:r>
      <w:r>
        <w:lastRenderedPageBreak/>
        <w:t>por sí misma, nada determina sobre un ejercicio abusivo o antisocial del derecho reconocido en el art. 119 CE.</w:t>
      </w:r>
    </w:p>
    <w:p w:rsidR="00A90898" w:rsidRDefault="00A90898" w:rsidP="00A90898">
      <w:pPr>
        <w:pStyle w:val="TextoNormal"/>
      </w:pPr>
    </w:p>
    <w:p w:rsidR="00A90898" w:rsidRDefault="00A90898" w:rsidP="00A90898">
      <w:pPr>
        <w:pStyle w:val="TextoNormal"/>
      </w:pPr>
      <w:r>
        <w:t>El Ministerio Fiscal interesa, por su parte, la inadmisión del recurso de amparo, por considerarlo extemporáneo, y, subsidiariamente, la estimación de la demanda por las razones que han quedado expuestas en los antecedentes.</w:t>
      </w:r>
    </w:p>
    <w:p w:rsidR="00A90898" w:rsidRDefault="00A90898" w:rsidP="00A90898">
      <w:pPr>
        <w:pStyle w:val="TextoNormal"/>
      </w:pPr>
    </w:p>
    <w:p w:rsidR="00A90898" w:rsidRDefault="00A90898" w:rsidP="00A90898">
      <w:pPr>
        <w:pStyle w:val="TextoNormal"/>
      </w:pPr>
      <w:r w:rsidRPr="00A90898">
        <w:rPr>
          <w:rStyle w:val="NumeroAFNegritaCaracter"/>
        </w:rPr>
        <w:t>2</w:t>
      </w:r>
      <w:r>
        <w:t>. Nuestro examen ha de comenzar por el óbice de admisibilidad planteado por el Ministerio Fiscal, ya que, de concurrir el mismo, procedería, sin necesidad de ulterior análisis y sin que a ello se oponga que el procedimiento haya alcanzado el trámite de Sentencia, la inadmisión de la demanda de amparo (por todas, las SSTC 44/2013, de 25 de febrero, FJ 2; 126/2013, de 3 de junio, FJ 2, y 2/2015, de 19 de enero, FJ 2).</w:t>
      </w:r>
    </w:p>
    <w:p w:rsidR="00A90898" w:rsidRDefault="00A90898" w:rsidP="00A90898">
      <w:pPr>
        <w:pStyle w:val="TextoNormal"/>
      </w:pPr>
    </w:p>
    <w:p w:rsidR="00A90898" w:rsidRDefault="00A90898" w:rsidP="00A90898">
      <w:pPr>
        <w:pStyle w:val="TextoNormal"/>
      </w:pPr>
      <w:r>
        <w:t>Debe aclarase, en primer lugar, que el Ministerio Fiscal no discute la aplicación al presente caso del plazo de 30 días previsto en el art. 44.2 de la Ley Orgánica del Tribunal Constitucional (LOTC), pues éste deriva, a las claras, de la naturaleza mixta de las impugnaciones formuladas, que se proyectan, tanto sobre la resolución administrativa dictada por la Comisión de Asistencia Jurídica Gratuita, como sobre la motivación específicamente empleada por la resolución judicial, que, en el trámite previsto en el art. 20 de la Ley de asistencia jurídica gratuita (LAJG), resolvió sobre su adecuación a Derecho. En efecto, por más que la demanda se funde formalmente en un único motivo de amparo, resulta evidente que dicho motivo se desdobla de inmediato en dos impugnaciones distintas, una relativa a la indebida denegación del beneficio de asistencia jurídica gratuita por parte de la Administración, y la otra, atinente a la motivación empleada por las resoluciones judiciales que mantuvieron dicha decisión administrativa.</w:t>
      </w:r>
    </w:p>
    <w:p w:rsidR="00A90898" w:rsidRDefault="00A90898" w:rsidP="00A90898">
      <w:pPr>
        <w:pStyle w:val="TextoNormal"/>
      </w:pPr>
    </w:p>
    <w:p w:rsidR="00A90898" w:rsidRDefault="00A90898" w:rsidP="00A90898">
      <w:pPr>
        <w:pStyle w:val="TextoNormal"/>
      </w:pPr>
      <w:r>
        <w:t>En cuanto a la primera vulneración alegada, este Tribunal ha tenido la oportunidad de aclarar que la lesión del derecho a la tutela judicial efectiva (art. 24.1 CE) que puede resultar de la indebida desestimación de una solicitud de asistencia justicia gratuita es directamente imputable a la resolución administrativa dictada por el órgano administrativo competente. Como hemos señalado en repetidas ocasiones, la opción de política legislativa que llevó a la Ley de 1996 a la “desjudicialización del procedimiento de reconocimiento del derecho de asistencia jurídica gratuita” y que atribuyó esta función “a un órgano administrativo, dependiente de la Administración del Estado o, en su caso, de las Comunidades Autónomas y regido en su funcionamiento por las normas que regulan el procedimiento administrativo”, nos sitúa ante “una función administrativa conceptualmente previa y sustancialmente autónoma respecto de la función jurisdiccional”. Por ello, la eventual resolución denegatoria dictada por la Comisión de Asistencia Jurídica Gratuita, “aun siendo un acto que no proviene del órgano judicial, es susceptible de lesionar el derecho a la tutela judicial efectiva” [STC 90/2015, de 11 de mayo (FJ 2)]. En coherencia con estas afirmaciones, hemos señalado que una demanda de amparo exclusivamente basada en la improcedencia de la decisión de no conceder el beneficio de justicia gratuita “debe ser ubicada en el ámbito del art. 43 LOTC” [STC 128/2014, de 21 de julio, FJ 2 b)].</w:t>
      </w:r>
    </w:p>
    <w:p w:rsidR="00A90898" w:rsidRDefault="00A90898" w:rsidP="00A90898">
      <w:pPr>
        <w:pStyle w:val="TextoNormal"/>
      </w:pPr>
    </w:p>
    <w:p w:rsidR="00A90898" w:rsidRDefault="00A90898" w:rsidP="00A90898">
      <w:pPr>
        <w:pStyle w:val="TextoNormal"/>
      </w:pPr>
      <w:r>
        <w:t xml:space="preserve">En nuestro caso, sin embargo, a la impugnación concretamente referida a la indebida desestimación de la petición de justicia gratuita se suma una queja adicional que versa sobre la motivación concretamente empleada por el órgano judicial. En otras palabras, el demandante no sólo se queja de la decisión denegatoria del beneficio interesado —entendiendo </w:t>
      </w:r>
      <w:r>
        <w:lastRenderedPageBreak/>
        <w:t>que, una vez acreditados los requisitos económicos, no podía acudirse al instituto del abuso de derecho (que, en su caso, podía ser apreciado en el trámite de insostenibilidad de la pretensión o en la decisión del órgano jurisdiccional competente relativa a la admisión de la querella)—, sino que plantea, además, que la apreciación de dicho ejercicio abusivo del derecho no se apoyó en una motivación acorde con los estándares constitucionales dimanantes del propio art. 24.1 CE. En particular, considera que el órgano judicial dictó una resolución sobre este extremo, el Auto de 14 de octubre de 2014, carente de cualquier motivación.</w:t>
      </w:r>
    </w:p>
    <w:p w:rsidR="00A90898" w:rsidRDefault="00A90898" w:rsidP="00A90898">
      <w:pPr>
        <w:pStyle w:val="TextoNormal"/>
      </w:pPr>
    </w:p>
    <w:p w:rsidR="00A90898" w:rsidRDefault="00A90898" w:rsidP="00A90898">
      <w:pPr>
        <w:pStyle w:val="TextoNormal"/>
      </w:pPr>
      <w:r>
        <w:t>La naturaleza mixta del recurso lleva igualmente a concluir que la utilización por parte del actor del incidente de nulidad de actuaciones contra la resolución judicial dictada fue completamente pertinente, pues de ese modo pudo denunciar la lesión específicamente atribuida al Auto de 14 de octubre de 2014, dando al órgano judicial la oportunidad de repararla.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Aclarado, pues, que el plazo aplicable al presente recurso de amparo es el de 30 días fijado en el art. 44.2 CE porque, como ha tenido ocasión de declarar de modo reiterado la doctrina de este Tribunal (AATC 211/2009, de 8 de julio, FJ 2, y 272/2009, de 26 de noviembre, FJ 1), dicho plazo es el señalado para los recursos de amparo mixtos, que debe comenzar a computarse en el caso de autos desde la notificación al recurrente de la resolución desestimatoria del incidente de nulidad, el examen de las actuaciones pone de manifiesto que la notificación de dicho auto al demandante se efectuó por correo certificado el día 10 de abril de 2015. Esta fecha es, por tanto, el </w:t>
      </w:r>
      <w:r w:rsidRPr="00A90898">
        <w:rPr>
          <w:i/>
        </w:rPr>
        <w:t>dies a quo</w:t>
      </w:r>
      <w:r>
        <w:t xml:space="preserve"> del plazo previsto para recurrir en amparo, circunstancia que permite constatar que el escrito que anunciaba el recurso de amparo se presentó temporáneamente el 15 de mayo de 2015 en el servicio común de notificaciones de los Juzgados de Denia, recibiéndose, sin embargo, en este Tribunal el día 1 de junio de 2015, cuando el plazo del art. 44.2 LOTC ya había expirado.</w:t>
      </w:r>
    </w:p>
    <w:p w:rsidR="00A90898" w:rsidRDefault="00A90898" w:rsidP="00A90898">
      <w:pPr>
        <w:pStyle w:val="TextoNormal"/>
      </w:pPr>
    </w:p>
    <w:p w:rsidR="00A90898" w:rsidRDefault="00A90898" w:rsidP="00A90898">
      <w:pPr>
        <w:pStyle w:val="TextoNormal"/>
      </w:pPr>
      <w:r>
        <w:t>La cuestión a dilucidar es, por tanto, si la fecha de entrada en el registro de los Juzgados de Denia del escrito que anunciaba el recurso de amparo puede tenerse en cuenta a efectos de entender cumplido el plazo previsto en el art. 44.2 LOTC. En este punto, nuestro acuerdo plenario de 18 de junio de 1996 señala, en su disposición adicional primera (relativa específicamente al supuesto que nos ocupa, esto es, al recurso de amparo contra la resolución judicial dictada en el trámite del art. 20 LAJG), que el escrito de anuncio del recurso de amparo debe dirigirse al Tribunal Constitucional dentro del plazo previsto en el art. 44 LOTC. Dicha disposición debe ponerse en conexión con el art. 85.2 LOTC, conforme al cual “[l]os escritos de iniciación del proceso se presentarán en la sede del Tribunal Constitucional dentro del plazo legalmente establecido. Los recursos de amparo podrán también presentarse hasta las 15 horas del día hábil siguiente al del vencimiento del plazo de interposición, en el registro del Tribunal Constitucional, o en la oficina o servicio de registro central de los tribunales civiles de cualquier localidad, de conformidad con lo establecido en el artículo 135.1 de la Ley 1/2000, de 7 de enero, de Enjuiciamiento Civil”.</w:t>
      </w:r>
    </w:p>
    <w:p w:rsidR="00A90898" w:rsidRDefault="00A90898" w:rsidP="00A90898">
      <w:pPr>
        <w:pStyle w:val="TextoNormal"/>
      </w:pPr>
    </w:p>
    <w:p w:rsidR="00A90898" w:rsidRDefault="00A90898" w:rsidP="00A90898">
      <w:pPr>
        <w:pStyle w:val="TextoNormal"/>
      </w:pPr>
      <w:r>
        <w:t>Es evidente que el servicio común de notificaciones de los Juzgados de Denia es una “oficina o servicio de registro central” de un tribunal civil, por lo que el escrito presentado aquél, a los efectos de interponer recurso de amparo, tiene plena validez sin necesidad siquiera de acudir a la doctrina de este Tribunal que permite, en circunstancias excepcionales, atemperar el cumplimiento del requisito de forma relativo al lugar de presentación de escri</w:t>
      </w:r>
      <w:r>
        <w:lastRenderedPageBreak/>
        <w:t>tos ante el Tribunal Constitucional. El supuesto que se nos plantea difiere, pues, del abordado en el Auto 97/2010, de 19 de julio, que cita el Ministerio Fiscal, ya que, en el supuesto afrontado en dicha resolución, el problema no radicaba en que el recurrente se hubiera dirigido al servicio común de notificaciones de un tribunal (en aquel supuesto, al de los Juzgados de Jerez), sino en que el escrito presentado en dicho lugar, expresamente contemplado en el art. 85.2 LOTC, contenía únicamente “una solicitud de asistencia jurídica gratuita y una solicitud de suspensión del curso del proceso fundamentada en el art. 16 de la Ley 1/1996, de 10 de enero, de asistencia jurídica gratuita, dirigida al Juzgado de Primera Instancia núm. 1 de Jerez de la Frontera” sin que mencionara en ningún momento “la intención de interponer recurso de amparo, sino que la petición se refiere al juicio ordinario núm. 1386-2008” (FJ 2). Era, pues, la inidoneidad del contenido del escrito y no la del lugar de presentación, la que determinaba la extemporaneidad.</w:t>
      </w:r>
    </w:p>
    <w:p w:rsidR="00A90898" w:rsidRDefault="00A90898" w:rsidP="00A90898">
      <w:pPr>
        <w:pStyle w:val="TextoNormal"/>
      </w:pPr>
    </w:p>
    <w:p w:rsidR="00A90898" w:rsidRDefault="00A90898" w:rsidP="00A90898">
      <w:pPr>
        <w:pStyle w:val="TextoNormal"/>
      </w:pPr>
      <w:r>
        <w:t>En el caso de autos, el escrito presentado por el actor ante los Juzgados de Denia expresa de forma inequívoca, de acuerdo con lo exigido en la disposición adicional primera del acuerdo de 18 de junio de 1996, la voluntad del recurrente de interponer recurso de amparo ante el Tribunal Constitucional. El escrito, pues, no adolece de defecto alguno, ni de forma, ni de lugar, ni tampoco de plazo. El óbice opuesto por el Ministerio Fiscal ha de ser, por ello, desestimado, ya que debe concluirse que el recurso fue presentado temporáneamente.</w:t>
      </w:r>
    </w:p>
    <w:p w:rsidR="00A90898" w:rsidRDefault="00A90898" w:rsidP="00A90898">
      <w:pPr>
        <w:pStyle w:val="TextoNormal"/>
      </w:pPr>
    </w:p>
    <w:p w:rsidR="00A90898" w:rsidRDefault="00A90898" w:rsidP="00A90898">
      <w:pPr>
        <w:pStyle w:val="TextoNormal"/>
      </w:pPr>
      <w:r w:rsidRPr="00A90898">
        <w:rPr>
          <w:rStyle w:val="NumeroAFNegritaCaracter"/>
        </w:rPr>
        <w:t>4</w:t>
      </w:r>
      <w:r>
        <w:t>. El examen de fondo debe comenzar por la primera queja formulada, relativa a la posible vulneración del derecho a la tutela judicial efectiva en su vertiente del derecho de acceso al proceso, en cuanto supone una mayor retroacción (y con ello una mayor tutela de los intereses del recurrente) al afectar directamente, según se ha expuesto, a la resolución administrativa dictada por la Comisión de Asistencia Jurídica Gratuita.</w:t>
      </w:r>
    </w:p>
    <w:p w:rsidR="00A90898" w:rsidRDefault="00A90898" w:rsidP="00A90898">
      <w:pPr>
        <w:pStyle w:val="TextoNormal"/>
      </w:pPr>
    </w:p>
    <w:p w:rsidR="00A90898" w:rsidRDefault="00A90898" w:rsidP="00A90898">
      <w:pPr>
        <w:pStyle w:val="TextoNormal"/>
      </w:pPr>
      <w:r>
        <w:t>En este punto, hemos de recordar que la relación que existe entre el derecho a la asistencia jurídica gratuita de quienes carecen de recursos económicos para litigar (art. 119 CE) y el derecho a la tutela judicial efectiva (art. 24.1 CE) ha sido reiteradamente asumida por la doctrina de este Tribunal. Así, hemos afirmado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w:t>
      </w:r>
      <w:r w:rsidRPr="00A90898">
        <w:rPr>
          <w:i/>
        </w:rPr>
        <w:t>ex multis</w:t>
      </w:r>
      <w:r>
        <w:t>, SSTC 16/1994, de 20 de enero, FJ 3, y 9/2008, de 21 de enero, FJ 2). Por ello, aunque hayamos calificado el derecho a la asistencia jurídica gratuita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afirmado también que la amplia libertad de configuración legal que resulta del primer inciso del art. 119 CE no es, sin embargo, absoluta, pues el inciso segundo de dicho precepto establece un “contenido constitucional indisponible” para el legislador, que obliga a reconocer el derecho a la justicia gratuita necesariamente a “quienes acrediten insuficiencia de recursos económicos para litigar” (SSTC 16/1994, de 20 de enero, FJ 3; 117/1998, de 2 de junio, FJ 3; 144/2001, de 18 de julio, FJ 2; 183/2001, de 17 de septiembre, FJ 2; 95/2003, de 2 de mayo, FJ 3; 180/2003, de 13 de octubre, FJ 2; 127/2005, de 23 de mayo, FJ 3; 217/2007, de 8 de octubre, FJ 2, y 9/2008, de 21 de enero, FJ 2).</w:t>
      </w:r>
    </w:p>
    <w:p w:rsidR="00A90898" w:rsidRDefault="00A90898" w:rsidP="00A90898">
      <w:pPr>
        <w:pStyle w:val="TextoNormal"/>
      </w:pPr>
    </w:p>
    <w:p w:rsidR="00A90898" w:rsidRDefault="00A90898" w:rsidP="00A90898">
      <w:pPr>
        <w:pStyle w:val="TextoNormal"/>
      </w:pPr>
      <w:r>
        <w:t>En palabras de la STC 16/1994, de 20 de enero, FJ 3, esta fórmula constitucional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la familia, al objeto de que nadie quede privado del acceso a la justicia por falta de recursos económicos. Dicho en otras palabras, deben sufragarse los gastos procesales de quienes, de exigirse ese pago, se verían en la alternativa de dejar de litigar o poner en peligro ese mínimo de subsistencia personal o familiar”.</w:t>
      </w:r>
    </w:p>
    <w:p w:rsidR="00A90898" w:rsidRDefault="00A90898" w:rsidP="00A90898">
      <w:pPr>
        <w:pStyle w:val="TextoNormal"/>
      </w:pPr>
    </w:p>
    <w:p w:rsidR="00A90898" w:rsidRDefault="00A90898" w:rsidP="00A90898">
      <w:pPr>
        <w:pStyle w:val="TextoNormal"/>
      </w:pPr>
      <w:r>
        <w:t>De lo anteriormente expuesto hemos deducido que “toda persona física que sea titular del derecho a la tutela judicial efectiva habrá de gozar del derecho a la gratuidad de la justicia si carece de los recursos suficientes para litigar, en los términos en los que este concepto jurídico indeterminado sea configurado por el legislador ordinario”. Y que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(SSTC 95/2003, de 22 de mayo, FJ 4, y 9/2008, de 21 de enero).</w:t>
      </w:r>
    </w:p>
    <w:p w:rsidR="00A90898" w:rsidRDefault="00A90898" w:rsidP="00A90898">
      <w:pPr>
        <w:pStyle w:val="TextoNormal"/>
      </w:pPr>
    </w:p>
    <w:p w:rsidR="00A90898" w:rsidRDefault="00A90898" w:rsidP="00A90898">
      <w:pPr>
        <w:pStyle w:val="TextoNormal"/>
      </w:pPr>
      <w:r w:rsidRPr="00A90898">
        <w:rPr>
          <w:rStyle w:val="NumeroAFNegritaCaracter"/>
        </w:rPr>
        <w:t>5</w:t>
      </w:r>
      <w:r>
        <w:t>. En el presente caso, la denegación del derecho a la asistencia jurídica gratuita no se ha fundado en la cuestión relativa a la “insuficiencia de recursos económicos para litigar”, sino en un pretendido abuso de derecho o ejercicio antisocial del mismo derivado de la siguiente apreciación del órgano administrativo, asumida después por el órgano judicial, de forma implícita en el Auto de 14 de octubre de 2014, y explícita en el posterior Auto de 24 de marzo de 2015 que “el solicitante ha formulado 21 solicitudes. En 15 de ellas se ha reconocido el derecho de asistencia jurídica gratuita y 6 se le han denegado. Se le ha denegado en anteriores ocasiones el derecho a la justicia gratuita por abuso de derecho habiendo sido confirmada la resolución por el órgano judicial”.</w:t>
      </w:r>
    </w:p>
    <w:p w:rsidR="00A90898" w:rsidRDefault="00A90898" w:rsidP="00A90898">
      <w:pPr>
        <w:pStyle w:val="TextoNormal"/>
      </w:pPr>
    </w:p>
    <w:p w:rsidR="00A90898" w:rsidRDefault="00A90898" w:rsidP="00A90898">
      <w:pPr>
        <w:pStyle w:val="TextoNormal"/>
      </w:pPr>
      <w:r>
        <w:t>La fundamentación indicada pone de relieve que, más allá de la cobertura formal que aporta la calificación jurídica como “abuso”, la razón de la denegación de la solicitud de justicia gratuita es, exclusivamente, la circunstancia de que se han formulado numerosas solicitudes anteriores, relativas a asuntos distintos, seis de las cuales han resultado denegadas. En otras palabras, se niega la posibilidad de acceder al derecho de justicia gratuita (y con ello al proceso correspondiente), en atención al número total de peticiones formuladas y a la circunstancia de que algunas de ellas (muchas menos, por cierto, de las que sí han sido reconocidas) no han prosperado finalmente.</w:t>
      </w:r>
    </w:p>
    <w:p w:rsidR="00A90898" w:rsidRDefault="00A90898" w:rsidP="00A90898">
      <w:pPr>
        <w:pStyle w:val="TextoNormal"/>
      </w:pPr>
    </w:p>
    <w:p w:rsidR="00A90898" w:rsidRDefault="00A90898" w:rsidP="00A90898">
      <w:pPr>
        <w:pStyle w:val="TextoNormal"/>
      </w:pPr>
      <w:r>
        <w:t xml:space="preserve">Esa interpretación supone una restricción injustificada y contraria a las exigencias constitucionales de los términos en que se encuentra legalmente reconocido el derecho a la asistencia jurídica gratuita, sin que sea necesario dilucidar, para llegar a esa conclusión, si una situación de abuso de derecho puede ser apreciada en un trámite distinto al de “insostenibilidad de la pretensión”, cuestión procedimental que, en realidad, es más bien propia de la legalidad ordinaria. La razón es clara: del mismo modo que una pretensión deducida ante un tribunal por un ciudadano no puede ser inadmitida </w:t>
      </w:r>
      <w:r w:rsidRPr="00A90898">
        <w:rPr>
          <w:i/>
        </w:rPr>
        <w:t>a limine</w:t>
      </w:r>
      <w:r>
        <w:t xml:space="preserve"> sin vulnerar el derecho de </w:t>
      </w:r>
      <w:r>
        <w:lastRenderedPageBreak/>
        <w:t>acceso a la jurisdicción (art. 24.1 CE) por el mero hecho de que ese mismo ciudadano ya se haya dirigido anteriormente a los órganos del Poder Judicial para deducir otras pretensiones distintas, tampoco puede denegarse el derecho de justicia gratuita, del que depende directamente la posibilidad de acceder a los tribunales, con idéntico argumento sin causar el mismo sacrificio indebido del derecho fundamental que contempla el art. 24.1 CE.</w:t>
      </w:r>
    </w:p>
    <w:p w:rsidR="00A90898" w:rsidRDefault="00A90898" w:rsidP="00A90898">
      <w:pPr>
        <w:pStyle w:val="TextoNormal"/>
      </w:pPr>
    </w:p>
    <w:p w:rsidR="00A90898" w:rsidRDefault="00A90898" w:rsidP="00A90898">
      <w:pPr>
        <w:pStyle w:val="TextoNormal"/>
      </w:pPr>
      <w:r>
        <w:t>Es evidente que tal diferenciación conduciría a que unos ciudadanos, los que disponen de recursos, pudieran dirigir a los tribunales cuantas pretensiones tuvieran por conveniente, mientras que otros, los que carecen de los medios necesarios, sólo podrían acudir a los órganos del Poder Judicial un número determinado de veces (las que la Administración o el órgano judicial consideraran, a su arbitrio, suficientes). Tal postulado resulta constitucionalmente inasumible.</w:t>
      </w:r>
    </w:p>
    <w:p w:rsidR="00A90898" w:rsidRDefault="00A90898" w:rsidP="00A90898">
      <w:pPr>
        <w:pStyle w:val="TextoNormal"/>
      </w:pPr>
    </w:p>
    <w:p w:rsidR="00A90898" w:rsidRDefault="00A90898" w:rsidP="00A90898">
      <w:pPr>
        <w:pStyle w:val="TextoNormal"/>
      </w:pPr>
      <w:r>
        <w:t>Ningún razonamiento relativo a las concretas circunstancias de la pretensión deducida por el recurrente puede encontrarse, sin embargo, en las resoluciones dictadas, como bien destaca el Ministerio Fiscal. Por tanto, la esencia de la violación del derecho de acceso a la jurisdicción no radica, en el caso que nos ocupa, en la inidoneidad del trámite en el que se ha apreciado la causa determinante de la denegación de la justicia gratuita, sino en que dicha causa que, al margen de la denominación formal de “abuso de derecho” sobre la que ha apoyado su decisión denegatoria, se refiere exclusivamente al número de veces en que ese ciudadano ha solicitado con anterioridad el derecho de justicia gratuita, es claramente inidónea para impedir que aquél ejerza su derecho fundamental a impetrar la tutela de los tribunales en defensa de sus derechos subjetivos e intereses legítimos, de acuerdo con lo dispuesto en el art. 24.1 de nuestra Constitución. El número de veces en que, con amparo en el beneficio de justicia gratuita se ha litigado o pretendido litigar con anterioridad por parte del recurrente, no puede erigirse en razón para desestimar la tutela judicial solicitada por quien, invocando la carencia de recursos económicos para ello, insta de la Administración la concesión de tal beneficio, que, de conformidad con nuestra doctrina, únicamente puede serle denegado cuando no cumpla el solicitante las exigencias legamente establecidas para su concesión y así haya quedado debidamente razonada su no concurrencia en la resolución desestimatoria.</w:t>
      </w:r>
    </w:p>
    <w:p w:rsidR="00A90898" w:rsidRDefault="00A90898" w:rsidP="00A90898">
      <w:pPr>
        <w:pStyle w:val="TextoNormal"/>
      </w:pPr>
    </w:p>
    <w:p w:rsidR="00A90898" w:rsidRDefault="00A90898" w:rsidP="00A90898">
      <w:pPr>
        <w:pStyle w:val="TextoNormal"/>
      </w:pPr>
      <w:r>
        <w:t>El primer motivo de amparo ha de ser, por tanto, estimado, lo que hace innecesario cualquier pronunciamiento sobre la segunda queja formulada por el recurrente.</w:t>
      </w:r>
    </w:p>
    <w:p w:rsidR="00A90898" w:rsidRDefault="00A90898" w:rsidP="00A90898">
      <w:pPr>
        <w:pStyle w:val="TextoNormal"/>
      </w:pPr>
    </w:p>
    <w:p w:rsidR="00A90898" w:rsidRDefault="00A90898" w:rsidP="00A90898">
      <w:pPr>
        <w:pStyle w:val="TextoNormal"/>
      </w:pPr>
      <w:r w:rsidRPr="00A90898">
        <w:rPr>
          <w:rStyle w:val="NumeroAFNegritaCaracter"/>
        </w:rPr>
        <w:t>6</w:t>
      </w:r>
      <w:r>
        <w:t>. Por todo ello, debe otorgarse el amparo solicitado por el recurrente y reconocer su derecho a la tutela judicial efectiva (art. 24.1 CE), en su vertiente del derecho de acceso a la jurisdicción en lo que respecta al derecho a la justicia gratuita (art. 119 CE). Y, en consecuencia, debemos anular las resoluciones impugnadas en el presente amparo, así como retrotraer las actuaciones a fin de que el recurrente obtenga una respuesta acorde con los derechos fundamentales referidos.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Estimar el recurso de amparo interpuesto por don Manuel Tena Gallench, y, en su virtud:</w:t>
      </w:r>
    </w:p>
    <w:p w:rsidR="00A90898" w:rsidRDefault="00A90898" w:rsidP="00A90898">
      <w:pPr>
        <w:pStyle w:val="TextoNormal"/>
      </w:pPr>
    </w:p>
    <w:p w:rsidR="00A90898" w:rsidRDefault="00A90898" w:rsidP="00A90898">
      <w:pPr>
        <w:pStyle w:val="TextoNormal"/>
      </w:pPr>
      <w:r>
        <w:t>1º Reconocer el derecho del recurrente a la tutela judicial efectiva, reconocida en el art. 24 CE, en su vertiente del derecho de acceso a la jurisdicción, en relación con el derecho a la gratuidad de la justicia, contenido en el art. 119 CE.</w:t>
      </w:r>
    </w:p>
    <w:p w:rsidR="00A90898" w:rsidRDefault="00A90898" w:rsidP="00A90898">
      <w:pPr>
        <w:pStyle w:val="TextoNormal"/>
      </w:pPr>
    </w:p>
    <w:p w:rsidR="00A90898" w:rsidRDefault="00A90898" w:rsidP="00A90898">
      <w:pPr>
        <w:pStyle w:val="TextoNormal"/>
      </w:pPr>
      <w:r>
        <w:t>2º Restablecer al recurrente en su derecho y, a tal fin, anular la resolución de la Comisión de Asistencia Jurídica Gratuita de la Comunidad de Madrid de 27 de diciembre de 2013, denegatoria del beneficio de justicia gratuita solicitada por el recurrente, así como los Autos de 14 de octubre de 2014 y de 24 de marzo de 2015 del Juzgado de Instrucción núm. 20 de Madrid, desestimatorio el primero de la impugnación planteada contra la resolución administrativa señalada, y el segundo del incidente de nulidad de actuaciones promovido por el recurrente.</w:t>
      </w:r>
    </w:p>
    <w:p w:rsidR="00A90898" w:rsidRDefault="00A90898" w:rsidP="00A90898">
      <w:pPr>
        <w:pStyle w:val="TextoNormal"/>
      </w:pPr>
    </w:p>
    <w:p w:rsidR="00A90898" w:rsidRDefault="00A90898" w:rsidP="00A90898">
      <w:pPr>
        <w:pStyle w:val="TextoNormal"/>
      </w:pPr>
      <w:r>
        <w:t>3º Retrotraer las actuaciones al momento anterior al de dictarse la primera de las mencionadas resoluciones para que la Comisión de Asistencia Jurídica de la Comunidad de Madrid dicte otra que sea respetuosa con los derechos fundamentales reconocidos.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6" w:name="SENTENCIA_2016_137"/>
      <w:r>
        <w:lastRenderedPageBreak/>
        <w:t>SENTENCIA 137/2016, de 18 de julio de 2016</w:t>
      </w:r>
    </w:p>
    <w:bookmarkEnd w:id="16"/>
    <w:p w:rsidR="00A90898" w:rsidRDefault="00A90898" w:rsidP="00A90898">
      <w:pPr>
        <w:pStyle w:val="TtuloResolucin"/>
      </w:pPr>
      <w:r>
        <w:t>Sala Segunda</w:t>
      </w:r>
    </w:p>
    <w:p w:rsidR="00A90898" w:rsidRDefault="00A90898" w:rsidP="00A90898">
      <w:pPr>
        <w:pStyle w:val="TtuloBOE"/>
      </w:pPr>
      <w:r>
        <w:t>(BOE núm. 196, de 15 de agosto de 2016)</w:t>
      </w:r>
    </w:p>
    <w:p w:rsidR="00A90898" w:rsidRDefault="00A90898" w:rsidP="00A90898">
      <w:pPr>
        <w:pStyle w:val="TextoNormalCentrado"/>
      </w:pPr>
      <w:r>
        <w:t>ECLI:ES:TC:2016:137</w:t>
      </w:r>
    </w:p>
    <w:p w:rsidR="00A90898" w:rsidRDefault="00A90898" w:rsidP="00A90898">
      <w:pPr>
        <w:pStyle w:val="TextoNormalCentrado"/>
      </w:pPr>
    </w:p>
    <w:p w:rsidR="00A90898" w:rsidRDefault="00A90898" w:rsidP="00A90898">
      <w:pPr>
        <w:pStyle w:val="SntesisDescriptiva"/>
      </w:pPr>
      <w:r>
        <w:t>Recurso de amparo 4120-2015. Promovido por don Edwing Monroy Hernández respecto de las resoluciones dictadas por la Sala de lo Penal del Tribunal Supremo y la Audiencia Provincial de Cuenca sobre liquidación de condena.</w:t>
      </w:r>
    </w:p>
    <w:p w:rsidR="00A90898" w:rsidRDefault="00A90898" w:rsidP="00A90898">
      <w:pPr>
        <w:pStyle w:val="SntesisDescriptiva"/>
      </w:pPr>
    </w:p>
    <w:p w:rsidR="00A90898" w:rsidRDefault="00A90898" w:rsidP="00A90898">
      <w:pPr>
        <w:pStyle w:val="SntesisAnaltica"/>
      </w:pPr>
      <w:r>
        <w:t>Vulneración del derecho a la libertad personal: resoluciones judiciales que no ponderaron adecuadamente el tiempo servido en prisión con antelación a la reforma del régimen de abono de la prisión preventiva (STC 261/2015).</w:t>
      </w:r>
    </w:p>
    <w:p w:rsidR="00A90898" w:rsidRDefault="00A90898" w:rsidP="00A90898">
      <w:pPr>
        <w:pStyle w:val="SntesisAnaltica"/>
      </w:pPr>
    </w:p>
    <w:p w:rsidR="00A90898" w:rsidRDefault="00A90898" w:rsidP="00A90898">
      <w:pPr>
        <w:pStyle w:val="Extracto"/>
      </w:pPr>
      <w:r>
        <w:t>1.</w:t>
      </w:r>
      <w:r>
        <w:tab/>
        <w:t>Asunto sustancialmente idéntico al resuelto por la STC 261/2015, en relación con la doctrina sobre el abono de la prisión provisional a internos mixtos [FFJJ 2,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Dal-Re,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4120-2015, promovido por don Edwing Monroy Hernández, representado por la Procuradora de los Tribunales doña Elena Rueda Sanz y bajo la dirección de la Letrada doña Concepción Núñez Marrupe, contra las siguientes resoluciones: i) el Auto de la Sala Segunda del Tribunal Supremo núm. 944-2015, de 11 de junio, por el que se acuerda no haber lugar a la admisión del recurso de casación núm. 10236-2015; ii) el Auto de la Sección Primera de la Audiencia Provincial de Cuenca recaído en la ejecutoria núm. 14-2011, en fecha 16 de enero de 2015, en cuya virtud se desestima el recurso de súplica interpuesto por el demandante contra la resolución que a continuación se indica; iii) y el Auto dictado por el órgano último citado, en fecha 1 de octubre de 2014, por el que se deniega el abono, en la ejecutoria núm. 14-2011, del tiempo que el demandante estuvo privado de libertad en calidad de preso preventivo por la causa que dio lugar a la citada ejecutoria y, a su vez, como penado por la ejecutoria núm. 19-2009 del órgano judicial antes indicado. Ha intervenido el Ministerio Fiscal.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En fecha 26 de octubre de 2015, la Procuradora de los Tribunales doña Elena Rueda Sanz, en nombre y representación de don Edwing Monroy Hernández y bajo la dirección de la Letrada doña Concepción Núñez Marrupe, interpuso demanda de amparo contra las resoluciones judiciales que se mencionan en el encabezamiento de esta resolución.</w:t>
      </w:r>
    </w:p>
    <w:p w:rsidR="00A90898" w:rsidRDefault="00A90898" w:rsidP="00A90898">
      <w:pPr>
        <w:pStyle w:val="TextoNormal"/>
      </w:pPr>
    </w:p>
    <w:p w:rsidR="00A90898" w:rsidRDefault="00A90898" w:rsidP="00A90898">
      <w:pPr>
        <w:pStyle w:val="TextoNormal"/>
      </w:pPr>
      <w:r w:rsidRPr="00A90898">
        <w:rPr>
          <w:rStyle w:val="NumeroAFNegritaCaracter"/>
        </w:rPr>
        <w:t>2</w:t>
      </w:r>
      <w:r>
        <w:t>. El presente recurso trae causa de los siguientes antecedentes:</w:t>
      </w:r>
    </w:p>
    <w:p w:rsidR="00A90898" w:rsidRDefault="00A90898" w:rsidP="00A90898">
      <w:pPr>
        <w:pStyle w:val="TextoNormal"/>
      </w:pPr>
    </w:p>
    <w:p w:rsidR="00A90898" w:rsidRDefault="00A90898" w:rsidP="00A90898">
      <w:pPr>
        <w:pStyle w:val="TextoNormal"/>
      </w:pPr>
      <w:r>
        <w:t>a) Del 29 al 30 de marzo de 2008, en calidad de detenido, y desde el 31 de marzo de 2008 hasta el 19 de octubre de 2009, como preso preventivo, el recurrente de amparo estuvo privado de libertad por su presunta participación en los hechos que dieron lugar a la incoación de los siguientes procedimientos: las diligencias previas núm. 660-2008, del Juzgado de Primera Instancia e Instrucción núm. 2 de Tarancón, y las diligencias previas núm. 234-2008 del indicado órgano judicial, ulteriormente transformadas en el procedimiento de la Ley del jurado núm. 1-2008.</w:t>
      </w:r>
    </w:p>
    <w:p w:rsidR="00A90898" w:rsidRDefault="00A90898" w:rsidP="00A90898">
      <w:pPr>
        <w:pStyle w:val="TextoNormal"/>
      </w:pPr>
    </w:p>
    <w:p w:rsidR="00A90898" w:rsidRDefault="00A90898" w:rsidP="00A90898">
      <w:pPr>
        <w:pStyle w:val="TextoNormal"/>
      </w:pPr>
      <w:r>
        <w:t>b) El día 20 de octubre del 2009, el demandante comenzó a cumplir la pena de tres años y nueve meses de prisión, que le fue impuesta por Sentencia de fecha 30 de septiembre de 2009 de la Sección Primera de la Audiencia Provincial de Cuenca, que fue dictada tras el enjuiciamiento de los hechos instruidos en las diligencias previas núm. 660-2008 ya citadas. Una vez firme, la citada Sentencia dio lugar a la incoación de la ejecutoria núm. 19-2009, en la cual se le abonaron al demandante los días de privación preventiva de libertad a que se ha hecho mención en el anterior apartado.</w:t>
      </w:r>
    </w:p>
    <w:p w:rsidR="00A90898" w:rsidRDefault="00A90898" w:rsidP="00A90898">
      <w:pPr>
        <w:pStyle w:val="TextoNormal"/>
      </w:pPr>
    </w:p>
    <w:p w:rsidR="00A90898" w:rsidRDefault="00A90898" w:rsidP="00A90898">
      <w:pPr>
        <w:pStyle w:val="TextoNormal"/>
      </w:pPr>
      <w:r>
        <w:t>c) Por Auto de fecha 26 de octubre de 2011, la Sección Primera de la Audiencia Provincial de Cuenca declaró la firmeza de la Sentencia, de fecha 28 de diciembre de 2010, recaída en el procedimiento de la Ley del jurado 1-2008 ya referido; y ello, tras la sustanciación de los recursos de apelación interpuestos contra la misma, que fueron desestimados por Sentencia de fecha 4 de octubre de 2011, dictada por la Sala de lo Civil y Penal del Tribunal Superior de Castilla-La Mancha. A fin de proceder al cumplimiento de la pena impuesta en dicha causa, a saber de siete años, seis meses y un día de prisión, el Tribunal sentenciador incoó la ejecutoria núm. 14-2011.</w:t>
      </w:r>
    </w:p>
    <w:p w:rsidR="00A90898" w:rsidRDefault="00A90898" w:rsidP="00A90898">
      <w:pPr>
        <w:pStyle w:val="TextoNormal"/>
      </w:pPr>
    </w:p>
    <w:p w:rsidR="00A90898" w:rsidRDefault="00A90898" w:rsidP="00A90898">
      <w:pPr>
        <w:pStyle w:val="TextoNormal"/>
      </w:pPr>
      <w:r>
        <w:t>d) Mediante Auto de fecha 26 de enero de 2012, el Tribunal ya mencionado aprobó la liquidación de condena practicada respecto de la pena ya referida en el anterior apartado, en la cual, al demandante no se le abonó ningún día de privación preventiva de libertad. Conforme a la referida liquidación, el día 24 de diciembre de 2011 se inicia el cumplimiento de la pena y ésta quedará extinguida el día 20 de junio de 2019.</w:t>
      </w:r>
    </w:p>
    <w:p w:rsidR="00A90898" w:rsidRDefault="00A90898" w:rsidP="00A90898">
      <w:pPr>
        <w:pStyle w:val="TextoNormal"/>
      </w:pPr>
    </w:p>
    <w:p w:rsidR="00A90898" w:rsidRDefault="00A90898" w:rsidP="00A90898">
      <w:pPr>
        <w:pStyle w:val="TextoNormal"/>
      </w:pPr>
      <w:r>
        <w:t>e) Por escrito de fecha 4 de julio de 2012, el Director del centro penitenciario “Ocaña II” en el que, a la sazón, se hallaba ingresado el demandante, interesó el abono del tiempo en que el este último ostentó la doble condición de preso preventivo y penado, a saber, desde el 19 de octubre del 2009 hasta el 7 de noviembre del 2011 o, en su caso, desde la data indicada en primer lugar hasta el 23 de diciembre de 2010, fecha esta en la que entró en vigor la Ley Orgánica 5/2010, de 22 de junio, en cuya virtud se modifica el contenido del art. 58 del Código penal (CP).</w:t>
      </w:r>
    </w:p>
    <w:p w:rsidR="00A90898" w:rsidRDefault="00A90898" w:rsidP="00A90898">
      <w:pPr>
        <w:pStyle w:val="TextoNormal"/>
      </w:pPr>
    </w:p>
    <w:p w:rsidR="00A90898" w:rsidRDefault="00A90898" w:rsidP="00A90898">
      <w:pPr>
        <w:pStyle w:val="TextoNormal"/>
      </w:pPr>
      <w:r>
        <w:t>Mediante Auto de fecha 26 de septiembre de 2012, la Sección Primera de la Audiencia Provincial de Cuenca rechazó la mencionada solicitud y, en consecuencia, resolvió no abonar el tiempo de privación de libertad interesado por la dirección del centro penitenciario.</w:t>
      </w:r>
    </w:p>
    <w:p w:rsidR="00A90898" w:rsidRDefault="00A90898" w:rsidP="00A90898">
      <w:pPr>
        <w:pStyle w:val="TextoNormal"/>
      </w:pPr>
    </w:p>
    <w:p w:rsidR="00A90898" w:rsidRDefault="00A90898" w:rsidP="00A90898">
      <w:pPr>
        <w:pStyle w:val="TextoNormal"/>
      </w:pPr>
      <w:r>
        <w:t>f) Por escrito presentado el 2 de septiembre de 2014, el recurrente solicitó que le fuera abonado, en la ejecutoria 14-2011, el periodo de privación de libertad comprendido entre el 28 de abril de 2008, que es la fecha de la STC 57/2008, y el 23 de diciembre de 2010, data de la entrada en vigor de la Ley Orgánica 5/2010, 22 de junio, por la que se modifica la redacción del art. 58 CP.</w:t>
      </w:r>
    </w:p>
    <w:p w:rsidR="00A90898" w:rsidRDefault="00A90898" w:rsidP="00A90898">
      <w:pPr>
        <w:pStyle w:val="TextoNormal"/>
      </w:pPr>
    </w:p>
    <w:p w:rsidR="00A90898" w:rsidRDefault="00A90898" w:rsidP="00A90898">
      <w:pPr>
        <w:pStyle w:val="TextoNormal"/>
      </w:pPr>
      <w:r>
        <w:t>Por Auto de fecha 1 de octubre de 2014, la Sección Primera de la Audiencia Provincial de Cuenca desestima lo pedido por el demandante. En la fundamentación jurídica de la referida resolución, el órgano judicial considera factible pronunciarse sobre esta nueva petición, pese a lo ya resuelto por Auto de fecha 26 de septiembre de 2012, dado que el demandante hace referencia a periodos de tiempo parcialmente distintos.</w:t>
      </w:r>
    </w:p>
    <w:p w:rsidR="00A90898" w:rsidRDefault="00A90898" w:rsidP="00A90898">
      <w:pPr>
        <w:pStyle w:val="TextoNormal"/>
      </w:pPr>
    </w:p>
    <w:p w:rsidR="00A90898" w:rsidRDefault="00A90898" w:rsidP="00A90898">
      <w:pPr>
        <w:pStyle w:val="TextoNormal"/>
      </w:pPr>
      <w:r>
        <w:t>g) Mediante escrito de fecha 29 de diciembre de 2014, la representación procesal del demandante interpuso recurso de súplica, contra la resolución anteriormente indicada. En él se denuncia la absoluta falta de motivación de la resolución recurrida y, a su vez, se interesa el abono del tiempo de privación de libertad comprendido entre el 19 de octubre del 2009 y el 7 de noviembre de 2011 o, subsidiariamente, hasta el 23 de diciembre de 2010.</w:t>
      </w:r>
    </w:p>
    <w:p w:rsidR="00A90898" w:rsidRDefault="00A90898" w:rsidP="00A90898">
      <w:pPr>
        <w:pStyle w:val="TextoNormal"/>
      </w:pPr>
    </w:p>
    <w:p w:rsidR="00A90898" w:rsidRDefault="00A90898" w:rsidP="00A90898">
      <w:pPr>
        <w:pStyle w:val="TextoNormal"/>
      </w:pPr>
      <w:r>
        <w:t>Por Auto de 16 de enero de 2015, el órgano judicial desestima el recurso deducido. En esencia considera que, conforme a una consolidada doctrina jurisprudencial (STS de 17 de mayo de 2012), los efectos derivados de la STC 57/2008 se despliegan respecto de situaciones anteriores a la entrada en vigor del modificado art. 58 CP, pero dejan de producirse, por voluntad del legislador, cuando en el procedimiento recae Sentencia condenatoria con posterioridad a la vigencia del precepto indicado. En relación con el caso enjuiciado, el órgano judicial entiende que, al haber recaído Sentencia con posterioridad a la reforma del art. 58 CP, no resulta procedente acceder a la pretensión del demandante.</w:t>
      </w:r>
    </w:p>
    <w:p w:rsidR="00A90898" w:rsidRDefault="00A90898" w:rsidP="00A90898">
      <w:pPr>
        <w:pStyle w:val="TextoNormal"/>
      </w:pPr>
    </w:p>
    <w:p w:rsidR="00A90898" w:rsidRDefault="00A90898" w:rsidP="00A90898">
      <w:pPr>
        <w:pStyle w:val="TextoNormal"/>
      </w:pPr>
      <w:r>
        <w:t>h) El recurrente de amparo preparó recurso de casación, mediante escrito de fecha 25 de febrero de 2015, el cual fue registrado con el núm. 10236-2015 y, tras la sustanciación pertinente, el recurso fue interpuesto en fecha 28 de abril de 2015. Resumidamente, el demandante aduce que la no aplicación al caso de la doctrina dimanante de la STC 57/2008, es decir el doble cómputo de la privación de libertad durante el tiempo en que ostentó simultáneamente la condición de peso preventivo y penado, conculca el derecho a la libertad y a la seguridad jurídica (arts. 17.1 y 9.3 CE), amén de infringir de lo dispuesto en el art. 58.1 CP, en su redacción anterior a la reforma operada por la Ley Orgánica 5/2010. Por ello interesa que, previa estimación del recurso, se acuerde el abono de la prisión preventiva, en los términos expuestos en el recurso de súplica.</w:t>
      </w:r>
    </w:p>
    <w:p w:rsidR="00A90898" w:rsidRDefault="00A90898" w:rsidP="00A90898">
      <w:pPr>
        <w:pStyle w:val="TextoNormal"/>
      </w:pPr>
    </w:p>
    <w:p w:rsidR="00A90898" w:rsidRDefault="00A90898" w:rsidP="00A90898">
      <w:pPr>
        <w:pStyle w:val="TextoNormal"/>
      </w:pPr>
      <w:r>
        <w:t>i) Dicho recurso fue inadmitido por Auto de fecha 11 de junio de 2015, dictado por la Sala Segunda el Tribunal Supremo. El Alto Tribunal compendia los antecedentes más relevantes para la solución del recurso entablado y funda su decisión en los argumentos siguientes:</w:t>
      </w:r>
    </w:p>
    <w:p w:rsidR="00A90898" w:rsidRDefault="00A90898" w:rsidP="00A90898">
      <w:pPr>
        <w:pStyle w:val="TextoNormal"/>
      </w:pPr>
    </w:p>
    <w:p w:rsidR="00A90898" w:rsidRDefault="00A90898" w:rsidP="00A90898">
      <w:pPr>
        <w:pStyle w:val="TextoNormal"/>
      </w:pPr>
      <w:r>
        <w:lastRenderedPageBreak/>
        <w:t>“[l]a pretensión de que se aplique el criterio establecido en la sentencia del Tribunal Constitucional con referencia 57/2008 de computar doblemente el tiempo coincidente de penado en la ejecutoria 19/09 y preventivo en las diligencias previas 234/08, posteriormente ejecutoria 14/11, para abonar dicho lapso temporal en esta última, no puede prosperar; ya que la sentencia dictada en las diligencias previas 234/08 lo fue el 28 de diciembre de 2010, esto es, cuando ya estaba en vigor la nueva redacción del artículo 58 del Código Penal, introducida por la Ley Orgánica 5/2010. Es jurisprudencia reiterada de esta Sala (SSTS 413/2012 y 12/2013) que la previsión introducida por este nuevo precepto no afecta a los supuestos de condenas múltiples impuestas con anterioridad a su entrada en vigor, de lo que se puede inferir que afecta a las sentencias dictadas después de su entrada en vigor.</w:t>
      </w:r>
    </w:p>
    <w:p w:rsidR="00A90898" w:rsidRDefault="00A90898" w:rsidP="00A90898">
      <w:pPr>
        <w:pStyle w:val="TextoNormal"/>
      </w:pPr>
    </w:p>
    <w:p w:rsidR="00A90898" w:rsidRDefault="00A90898" w:rsidP="00A90898">
      <w:pPr>
        <w:pStyle w:val="TextoNormal"/>
      </w:pPr>
      <w:r>
        <w:t>Mantener el criterio anterior en la ejecución de las sentencias dictadas con posterioridad a la entrada en vigor de la clarificación introducida por este precepto equivaldría a vulnerar el mandato legal, claro y expreso, sobre la prohibición del doble cómputo de un mismo periodo de privación de libertad, con el indebido fundamento de una improcedente ultractividad de la vieja doctrina. Doctrina que, obviamente, sigue siendo de aplicación en la ejecución de todas las sentencias dictadas antes de la entrada en vigor de la nueva norma.</w:t>
      </w:r>
    </w:p>
    <w:p w:rsidR="00A90898" w:rsidRDefault="00A90898" w:rsidP="00A90898">
      <w:pPr>
        <w:pStyle w:val="TextoNormal"/>
      </w:pPr>
    </w:p>
    <w:p w:rsidR="00A90898" w:rsidRDefault="00A90898" w:rsidP="00A90898">
      <w:pPr>
        <w:pStyle w:val="TextoNormal"/>
      </w:pPr>
      <w:r>
        <w:t>Por tanto, ningún abono de prisión preventiva procede para el recurrente, respecto del citado período de prisión provisional simultaneada con prisión en calidad de penado, conforme hemos visto. Ni siquiera con relación al período de preventiva anterior a la entrada en vigor el 23 de diciembre de 2010 de la citada Ley Orgánica 5/2010. La sentencia recaída en la causa en donde se pretende tal abono fue dictada, y su firmeza fue declarada, vigente ya la nueva redacción del citado art. 58 del Código Penal y en tal momento, esto es, en momento posterior a la vigencia de la modificación del Código Penal, se ha de aplicar el marco legal que sea procedente para dar cumplimiento a una pena que, dicho sea de paso, también se ha constituido en condena en momento posterior a la vigencia de la repetida Ley Orgánica 5/2010.”</w:t>
      </w:r>
    </w:p>
    <w:p w:rsidR="00A90898" w:rsidRDefault="00A90898" w:rsidP="00A90898">
      <w:pPr>
        <w:pStyle w:val="TextoNormal"/>
      </w:pPr>
    </w:p>
    <w:p w:rsidR="00A90898" w:rsidRDefault="00A90898" w:rsidP="00A90898">
      <w:pPr>
        <w:pStyle w:val="TextoNormal"/>
      </w:pPr>
      <w:r>
        <w:t>Más adelante, el órgano casacional también descarta la lesión del derecho fundamental a la libertad individual. Sobre ese particular, el Auto parcialmente transcrito ofrece el siguiente razonamiento:</w:t>
      </w:r>
    </w:p>
    <w:p w:rsidR="00A90898" w:rsidRDefault="00A90898" w:rsidP="00A90898">
      <w:pPr>
        <w:pStyle w:val="TextoNormal"/>
      </w:pPr>
    </w:p>
    <w:p w:rsidR="00A90898" w:rsidRDefault="00A90898" w:rsidP="00A90898">
      <w:pPr>
        <w:pStyle w:val="TextoNormal"/>
      </w:pPr>
      <w:r>
        <w:t>“Finalmente, conforme a los razonamientos expresados anteriormente, no resulta procedente estimar que se haya vulnerado el derecho a la libertad individual reconocido en numerosos instrumentos internacionales suscritos por España, como la propia Declaración Universal de los Derechos del Hombre de Nueva York o el Convenio para la Salvaguardia de los Derechos y Libertades Fundamentales. La libertad individual, concebida como un derecho inalienable de la persona, no tiene otras restricciones que aquellas que se reconozcan como tales en las leyes, y, prototípicamente, las privaciones de libertad acordadas en virtud de penas puestas por la comisión de delitos por Tribunales independientes con respeto a las garantías esenciales de un proceso justo. La legalidad de la imposición de una pena privativa de libertad queda condicionada al propio tenor de las leyes y a la interpretación que de ellas hagan los Tribunales y, en particular, el Tribunal Supremo en el ejercicio de su función de complementación e interpretación de la ley mediante la elaboración de jurisprudencia. En el caso presente, las penas impuestas al acusado lo fueron en virtud de procedimientos penales y de acuerdo a la interpretación dada sobre los distintos preceptos relativos a la ejecución de las penas privativas de libertad y que no puede tacharse de arbitraria.”</w:t>
      </w:r>
    </w:p>
    <w:p w:rsidR="00A90898" w:rsidRDefault="00A90898" w:rsidP="00A90898">
      <w:pPr>
        <w:pStyle w:val="TextoNormal"/>
      </w:pPr>
    </w:p>
    <w:p w:rsidR="00A90898" w:rsidRDefault="00A90898" w:rsidP="00A90898">
      <w:pPr>
        <w:pStyle w:val="TextoNormal"/>
      </w:pPr>
      <w:r w:rsidRPr="00A90898">
        <w:rPr>
          <w:rStyle w:val="NumeroAFNegritaCaracter"/>
        </w:rPr>
        <w:t>3</w:t>
      </w:r>
      <w:r>
        <w:t>. En su demanda de amparo, el recurrente alega que las resoluciones judiciales impugnadas han vulnerado su derecho a la libertad personal (art. 17.1 CE), por haber alargado ilegítimamente la privación de libertad sufrida, dada la inaplicación al caso de la doctrina fijada en la STC 57/2008. Ello ha supuesto que no se le haya abonado, para el cumplimiento de la pena de prisión que dio lugar a la ejecutoria 14-2011, de la Sección Primera de la Audiencia Provincial de Cuenca, el tiempo en que el demandante simultaneó la situación de preso preventivo, en el procedimiento del que trajo causa la referida ejecutoria, y la condición de penado en la ejecutoria 19-2009; periodo este que se inicia el 19 de octubre del 2009 y finaliza el 7 de noviembre del 2011.</w:t>
      </w:r>
    </w:p>
    <w:p w:rsidR="00A90898" w:rsidRDefault="00A90898" w:rsidP="00A90898">
      <w:pPr>
        <w:pStyle w:val="TextoNormal"/>
      </w:pPr>
    </w:p>
    <w:p w:rsidR="00A90898" w:rsidRDefault="00A90898" w:rsidP="00A90898">
      <w:pPr>
        <w:pStyle w:val="TextoNormal"/>
      </w:pPr>
      <w:r>
        <w:t>Añade que el Tribunal Supremo no tuvo en cuenta, al desestimar el recurso de casación, lo establecido en la disposición transitoria primera de la Ley Orgánica 5/2010. En tal sentido sostiene que, de acuerdo con el contenido de la citada disposición transitoria, cuando la prisión provisional ha sido acordada con anterioridad a la entrada en vigor de la referida Ley Orgánica, entonces resulta de aplicación el art. 58 CP en su anterior redacción, pues lo contrario supondría vulnerar el mandato legal y, consecuentemente, el derecho fundamental invocado. Por todo ello, interesa que se reconozca la vulneración del derecho a la libertad personal (art. 17.1 CE) y que restablezca al demandante en la integridad de su derecho, mediante la declaración de nulidad del Auto acordado por la Sala de lo Penal del Tribunal Supremo, a fin de que dicho órgano dicte una nueva resolución que sea respetuosa con el derecho fundamental indicado.</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fecha 14 de abril de 2016, la Sección Tercera del Tribunal Constitucional resolvió admitir a trámite la demanda de amparo, apreciando que concurre especial transcendencia constitucional [art. 50.1 de la Ley Orgánica del Tribunal Constitucional (LOTC)], porque el recurso puede dar ocasión al Tribunal para aclarar o cambiar su doctrina, como consecuencia de un proceso de reflexión interna [STC 155/2009, FJ 2 b)]. En aplicación de lo dispuesto en el art. 51 LOTC se acordó requerir a la Sala Segunda del Tribunal Supremo, a fin de que, en plazo que no exceda de diez días, remita certificación o copia adverada de las actuaciones correspondientes al recurso de casación núm. 10.236-2015. Asimismo, resolvió dirigir comunicación a la Sección Primera de la Audiencia Provincial de Cuenca, a fin de que, en el plazo antes indicado, emplace a quienes hubieran sido parte en la ejecutoria núm. 14-2014 por si desean comparecer en 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Por diligencia de ordenación de la Secretaría de la Sala Segunda de este Tribunal, de fecha 13 de mayo de 2016, se resolvió dar vista de las actuaciones a la parte recurrente y al Ministerio Fiscal, por plazo común de veinte días, para que puedan presentar las alegaciones que estimen pertinentes, conforme a lo dispuesto en el art. 52.1 LOTC.</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Por medio de escrito presentado en fecha 13 de junio de 2016, formuló sus alegaciones el Ministerio Fiscal. Tras compendiar los antecedentes de mayor relieve y sintetizar los fundamentos y pretensiones expuestos en la demanda de amparo, el Fiscal trae a colación las recientes SSTC 261/2015 y 48/2016, las cuales desautorizan la doctrina seguida por la Sala Segunda del Tribunal Supremo en asuntos en que se suscitaba la misma problemática, en tanto que sendas Sentencias consideran aplicable la doctrina sobre el doble cómputo fijada </w:t>
      </w:r>
      <w:r>
        <w:lastRenderedPageBreak/>
        <w:t>por la STC 57/2008 hasta el 23 de diciembre de 2010, fecha de la entrada en vigor de la Ley Orgánica 5/2010.</w:t>
      </w:r>
    </w:p>
    <w:p w:rsidR="00A90898" w:rsidRDefault="00A90898" w:rsidP="00A90898">
      <w:pPr>
        <w:pStyle w:val="TextoNormal"/>
      </w:pPr>
    </w:p>
    <w:p w:rsidR="00A90898" w:rsidRDefault="00A90898" w:rsidP="00A90898">
      <w:pPr>
        <w:pStyle w:val="TextoNormal"/>
      </w:pPr>
      <w:r>
        <w:t>En relación con el presente recurso, el Fiscal considera que no cabe asumir el criterio seguido por los órganos judiciales en las resoluciones impugnadas, pues propicia la vulneración del derecho a la libertad del demandante (art. 17. 1 CE). Por todo ello, estima procedente otorgar el amparo interesado, declarar la nulidad de las resoluciones impugnadas y retrotraer las actuaciones al momento anterior al dictado del Auto de fecha 1 de octubre de 2014, a fin de que se dicte una nueva resolución que sea respetuosa con el derecho fundamental lesionado y, conforme a la doctrina constitucional citada, acuerde el abono de la prisión preventiva, para el cumplimiento de la pena dio lugar a la ejecutoria núm. 14-2011, que va desde el 19 de octubre de 2009 hasta el 23 de diciembre de 2010.</w:t>
      </w:r>
    </w:p>
    <w:p w:rsidR="00A90898" w:rsidRDefault="00A90898" w:rsidP="00A90898">
      <w:pPr>
        <w:pStyle w:val="TextoNormal"/>
      </w:pPr>
    </w:p>
    <w:p w:rsidR="00A90898" w:rsidRDefault="00A90898" w:rsidP="00A90898">
      <w:pPr>
        <w:pStyle w:val="TextoNormal"/>
      </w:pPr>
      <w:r w:rsidRPr="00A90898">
        <w:rPr>
          <w:rStyle w:val="NumeroAFNegritaCaracter"/>
        </w:rPr>
        <w:t>7</w:t>
      </w:r>
      <w:r>
        <w:t>. Mediante escrito de fecha 15 de junio de 2016 formuló sus alegaciones el demandante de amparo. En síntesis, ratifica lo ya expuesto e interesado en el escrito de demanda.</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14 de julio de 2016 se señaló para la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interpone: i) contra el Auto de fecha 1 de octubre de 2014, de la Sección Primera de la Audiencia Provincial de Cuenca, en cuya virtud se deniega el abono, en la ejecutoria núm. 14-2011, del tiempo que el demandante estuvo privado de libertad en su condición de preso preventivo por la causa que dio lugar a la citada ejecutoria y, a su vez, como penado en la ejecutoria núm. 19-2009; ii) contra el Auto de fecha 16 de enero de 2015, que desestima el recurso de súplica presentado por el demandante contra el Auto de fecha 1 de octubre de 2014; iii) y contra el Auto de la Sala Segunda del Tribunal Supremo núm. 944-2015, de 11 de junio, que resuelve no haber lugar a la admisión del recurso de casación núm. 10236-2015, que fue interpuesto contra el Auto desestimatorio del recurso de súplica ya indicado.</w:t>
      </w:r>
    </w:p>
    <w:p w:rsidR="00A90898" w:rsidRDefault="00A90898" w:rsidP="00A90898">
      <w:pPr>
        <w:pStyle w:val="TextoNormal"/>
      </w:pPr>
    </w:p>
    <w:p w:rsidR="00A90898" w:rsidRDefault="00A90898" w:rsidP="00A90898">
      <w:pPr>
        <w:pStyle w:val="TextoNormal"/>
      </w:pPr>
      <w:r>
        <w:t>Para el demandante las resoluciones impugnadas vulneran el derecho a libertad personal, al no haber aplicado al caso la doctrina expuesta en la STC 57/2008, de 28 de abril, que admite la viabilidad del doble cómputo en supuestos de privación de libertad derivada del cumplimiento de una pena y, a la vez, de la sujeción a la medida de prisión provisional. Y ello al considerar inviable la aplicación de esa doctrina al presente supuesto, ya que recayó Sentencia condenatoria con posterioridad a la entrada en vigor de la Ley Orgánica 5/2010, de 22 de junio, norma esta que modifica el tenor del art. 58 CP, en el sentido de impedir la aplicación del doble cómputo.</w:t>
      </w:r>
    </w:p>
    <w:p w:rsidR="00A90898" w:rsidRDefault="00A90898" w:rsidP="00A90898">
      <w:pPr>
        <w:pStyle w:val="TextoNormal"/>
      </w:pPr>
    </w:p>
    <w:p w:rsidR="00A90898" w:rsidRDefault="00A90898" w:rsidP="00A90898">
      <w:pPr>
        <w:pStyle w:val="TextoNormal"/>
      </w:pPr>
      <w:r>
        <w:t>Para el Ministerio Fiscal la demanda de amparo debe ser estimada, toda vez que, que, conforme a la reciente doctrina fijada por este Tribunal, aun cuando la Sentencia condenatoria se haya dictado con posterioridad a la vigencia de la Ley Orgánica 5/2010 ya citada, la doctrina sobre el doble cómputo recogida en la STC 57/2008 debe aplicarse hasta la entrada en vigor de la referida norma.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La problemática suscitada en el presente recurso de amparo ya ha sido dirimida en la STC 261/2015, de 14 de diciembre, cuya doctrina también recoge la reciente STC 48/2016, de 14 de marzo. En la referida STC 261/2015, FJ 7, reconocimos la posibilidad de aplicar el doble cómputo en los términos expuestos en la STC 57/2008, incluso cuando hubiera recaído Sentencia con posterioridad a la modificación del art. 58.1 del Código penal, operada por la Ley Orgánica 5/2010, eso sí, con el límite de la fecha de entrada en vigor de esta última norma. Por ello, en el indicado fundamento desautorizamos la interpretación seguida por los órganos judiciales, al no ser compatible con derecho a la libertad personal reconocido en el art. 17.1 CE: “[l]as consideraciones anteriores sobre la naturaleza del presupuesto de hecho de la norma legal, conducen a sentar que el cómputo del doble abono se genera momento a momento —por días completos en nuestra práctica penal y penitenciaria—, a medida que la situación se hubiera prolongado en el tiempo. Debe tenerse en cuenta que durante gran parte de este periodo en que el demandante simultaneó la condición de preso preventivo y penado, la reforma legal no había entrado en vigor. Durante esa fase o tramo, anterior a la entrada en vigor de dicha modificación, podía albergar el demandante la razonable expectativa, fundada en la vigencia de una norma legal y de una doctrina interpretativa de este Tribunal, de que el tiempo ‘pasado’ en prisión provisional le sería abonado para el cumplimiento de la pena, expectativa que sólo se desvaneció en el momento en que entró en vigor la modificación normativa. Es decir, hasta ese momento pudo el interesado prever de modo razonable, utilizando las palabras empleadas por el Tribunal Europeo de Derechos Humanos, que la situación de prisión preventiva que estaba sufriendo le sería abonada.</w:t>
      </w:r>
    </w:p>
    <w:p w:rsidR="00A90898" w:rsidRDefault="00A90898" w:rsidP="00A90898">
      <w:pPr>
        <w:pStyle w:val="TextoNormal"/>
      </w:pPr>
    </w:p>
    <w:p w:rsidR="00A90898" w:rsidRDefault="00A90898" w:rsidP="00A90898">
      <w:pPr>
        <w:pStyle w:val="TextoNormal"/>
      </w:pPr>
      <w:r>
        <w:t xml:space="preserve">La modificación legislativa no supone desconocer los beneficios del doble abono ya generados —‘adquiridos’, según la expresión contenida en la STC 31/1999, de 8 de marzo, FJ 6, en relación con los beneficios de redención de penas por el trabajo—, ni implica tampoco la aplicación de la norma derogada hacia el futuro, en que el que el precepto ya no se encuentra vigente; y no merma unas expectativas que habrían desaparecido. Este entendimiento acorde con el espíritu de la norma, excluye la ‘ultractividad’ a que se refiere la resolución judicial inmediatamente impugnada, y se ajusta a las exigencias de previsibilidad, a la luz de la doctrina del Tribunal Europeo de Derechos Humanos, y al principio </w:t>
      </w:r>
      <w:r w:rsidRPr="00A90898">
        <w:rPr>
          <w:i/>
        </w:rPr>
        <w:t>favor libertatis</w:t>
      </w:r>
      <w:r>
        <w:t>.</w:t>
      </w:r>
    </w:p>
    <w:p w:rsidR="00A90898" w:rsidRDefault="00A90898" w:rsidP="00A90898">
      <w:pPr>
        <w:pStyle w:val="TextoNormal"/>
      </w:pPr>
    </w:p>
    <w:p w:rsidR="00A90898" w:rsidRDefault="00A90898" w:rsidP="00A90898">
      <w:pPr>
        <w:pStyle w:val="TextoNormal"/>
      </w:pPr>
      <w:r>
        <w:t xml:space="preserve">La consecuencia de cuanto llevamos expuesto es que las resoluciones impugnadas han optado, en el supuesto examinado, por una interpretación que no cumple con los parámetros constitucionales de razonabilidad, previsibilidad y </w:t>
      </w:r>
      <w:r w:rsidRPr="00A90898">
        <w:rPr>
          <w:i/>
        </w:rPr>
        <w:t>favor libertatis</w:t>
      </w:r>
      <w:r>
        <w:t>, lo que nos lleva al otorgamiento del amparo por haber vulnerado el derecho del recurrente a la libertad personal (art. 17.1 CE)”.</w:t>
      </w:r>
    </w:p>
    <w:p w:rsidR="00A90898" w:rsidRDefault="00A90898" w:rsidP="00A90898">
      <w:pPr>
        <w:pStyle w:val="TextoNormal"/>
      </w:pPr>
    </w:p>
    <w:p w:rsidR="00A90898" w:rsidRDefault="00A90898" w:rsidP="00A90898">
      <w:pPr>
        <w:pStyle w:val="TextoNormal"/>
      </w:pPr>
      <w:r>
        <w:t>Finalmente, de acuerdo con la doctrina expuesta delimitamos la repercusión del amparo otorgado, en los siguientes términos: “[e]n efecto, el demandante de amparo se encontró en la situación de prisión preventiva y simultáneo cumplimiento de una condena de prisión, por una pena impuesta en otra causa distinta, desde el 7 de enero de 2010 hasta el 8 de marzo de 2011 (un total de 426 días). Durante este periodo de tiempo tuvo lugar la modificación del art. 58 CP, que entró en vigor el 22 (sic) de diciembre de 2010. Únicamente a partir de dicha fecha le resultaba aplicable la nueva redacción, por lo que, en cuanto al tramo anterior debió aplicarse el criterio sentado en la STC 57/2008”.</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De conformidad con la doctrina transcrita en el fundamento anterior, afirmamos que el derecho a la libertad personal (art. 17.1 CE) del recurrente ha sido vulnerado por las resoluciones judiciales objeto de impugnación y, por ende, refutamos la argumentación que éstas emplearon para rechazar la aplicación al caso de la doctrina estatuida en la STC 57/2008. Si bien la Sentencia que dio lugar a la ejecutoria núm. 14-2011 es de fecha posterior a la entrada en vigor del actual art. 58 CP, ello no empece que sea procedente abonar el tiempo que el demandante compaginó la situación de preso preventivo, por el procedimiento que dio lugar a la incoación de la ejecutoria núm. 14-2011, con la condición de penado por la ejecutoria núm. 19-2009.</w:t>
      </w:r>
    </w:p>
    <w:p w:rsidR="00A90898" w:rsidRDefault="00A90898" w:rsidP="00A90898">
      <w:pPr>
        <w:pStyle w:val="TextoNormal"/>
      </w:pPr>
    </w:p>
    <w:p w:rsidR="00A90898" w:rsidRDefault="00A90898" w:rsidP="00A90898">
      <w:pPr>
        <w:pStyle w:val="TextoNormal"/>
      </w:pPr>
      <w:r>
        <w:t>Ahora bien, la anterior consideración no implica que deba abonarse la totalidad del tiempo en que el demandante simultaneó esa situación, pues, de acuerdo con nuestra doctrina, sólo procede tal abono desde la fecha el inicio del cumplimiento de la pena que dio lugar a la ejecutoria núm. 19-2009, es decir desde la fecha de inicio del doble cómputo, hasta la entrada en vigor del actual art. 58 CP, según redacción dada por la Ley Orgánica 5/2010, de 22 junio, momento a partir del cual queda vedada la aplicación del referido doble cómputo.</w:t>
      </w:r>
    </w:p>
    <w:p w:rsidR="00A90898" w:rsidRDefault="00A90898" w:rsidP="00A90898">
      <w:pPr>
        <w:pStyle w:val="TextoNormal"/>
      </w:pPr>
    </w:p>
    <w:p w:rsidR="00A90898" w:rsidRDefault="00A90898" w:rsidP="00A90898">
      <w:pPr>
        <w:pStyle w:val="TextoNormal"/>
      </w:pPr>
      <w:r w:rsidRPr="00A90898">
        <w:rPr>
          <w:rStyle w:val="NumeroAFNegritaCaracter"/>
        </w:rPr>
        <w:t>4</w:t>
      </w:r>
      <w:r>
        <w:t>. Los razonamientos expuestos, de conformidad con el art. 55.1 de la Ley Orgánica del Tribunal Constitucional, conducen a estimar el recurso de amparo por vulneración del derecho a la libertad personal (art. 17.1 CE). Tal estimación ha de comportar la anulación de las resoluciones judiciales mencionadas en el encabezamiento, así como la retroacción de las actuaciones al momento anterior al dictado del Auto de fecha 1 de octubre de 2014, a fin de que la Sección Primera de la Audiencia Provincial de Cuenca dicte nueva resolución que sea respetuosa con el derecho fundamental reconocido, en los términos expuestos en el fundamento jurídico anterior.</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don Edwing Monroy Hernández y, en su virtud:</w:t>
      </w:r>
    </w:p>
    <w:p w:rsidR="00A90898" w:rsidRDefault="00A90898" w:rsidP="00A90898">
      <w:pPr>
        <w:pStyle w:val="TextoNormal"/>
      </w:pPr>
    </w:p>
    <w:p w:rsidR="00A90898" w:rsidRDefault="00A90898" w:rsidP="00A90898">
      <w:pPr>
        <w:pStyle w:val="TextoNormal"/>
      </w:pPr>
      <w:r>
        <w:t>1º Declarar que ha sido vulnerado el derecho fundamental del demandante de amparo a la libertad personal (art. 17.1 CE).</w:t>
      </w:r>
    </w:p>
    <w:p w:rsidR="00A90898" w:rsidRDefault="00A90898" w:rsidP="00A90898">
      <w:pPr>
        <w:pStyle w:val="TextoNormal"/>
      </w:pPr>
    </w:p>
    <w:p w:rsidR="00A90898" w:rsidRDefault="00A90898" w:rsidP="00A90898">
      <w:pPr>
        <w:pStyle w:val="TextoNormal"/>
      </w:pPr>
      <w:r>
        <w:t>2º Restablecerle en su derecho y, en consecuencia, declarar la nulidad del Auto de la Sección Primera de la Audiencia Provincial de Cuenca, de fecha 1 de octubre del 2014, dictado en la ejecutoria núm. 14-2011; del Auto recaído en la citada ejecutoria, en fecha 16 de enero de 2015; y del Auto de la Sala Segunda del Tribunal Supremo núm. 944- 2015, de 11 de junio, dictado en el recurso de casación núm. 10236-2015.</w:t>
      </w:r>
    </w:p>
    <w:p w:rsidR="00A90898" w:rsidRDefault="00A90898" w:rsidP="00A90898">
      <w:pPr>
        <w:pStyle w:val="TextoNormal"/>
      </w:pPr>
    </w:p>
    <w:p w:rsidR="00A90898" w:rsidRDefault="00A90898" w:rsidP="00A90898">
      <w:pPr>
        <w:pStyle w:val="TextoNormal"/>
      </w:pPr>
      <w:r>
        <w:lastRenderedPageBreak/>
        <w:t>3º Retrotraer las actuaciones al momento inmediatamente anterior al pronunciamiento de la primera de las citadas resoluciones, para que la Sección Primera de la Audiencia Provincial de Cuenca dicte una nueva resolución que sea respetuosa con el derecho fundamental vulnerado, en los términos expuestos en el fundamento jurídico tercero.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7" w:name="SENTENCIA_2016_138"/>
      <w:r>
        <w:lastRenderedPageBreak/>
        <w:t>SENTENCIA 138/2016, de 18 de julio de 2016</w:t>
      </w:r>
    </w:p>
    <w:bookmarkEnd w:id="17"/>
    <w:p w:rsidR="00A90898" w:rsidRDefault="00A90898" w:rsidP="00A90898">
      <w:pPr>
        <w:pStyle w:val="TtuloResolucin"/>
      </w:pPr>
      <w:r>
        <w:t>Sala Segunda</w:t>
      </w:r>
    </w:p>
    <w:p w:rsidR="00A90898" w:rsidRDefault="00A90898" w:rsidP="00A90898">
      <w:pPr>
        <w:pStyle w:val="TtuloBOE"/>
      </w:pPr>
      <w:r>
        <w:t>(BOE núm. 196, de 15 de agosto de 2016)</w:t>
      </w:r>
    </w:p>
    <w:p w:rsidR="00A90898" w:rsidRDefault="00A90898" w:rsidP="00A90898">
      <w:pPr>
        <w:pStyle w:val="TextoNormalCentrado"/>
      </w:pPr>
      <w:r>
        <w:t>ECLI:ES:TC:2016:138</w:t>
      </w:r>
    </w:p>
    <w:p w:rsidR="00A90898" w:rsidRDefault="00A90898" w:rsidP="00A90898">
      <w:pPr>
        <w:pStyle w:val="TextoNormalCentrado"/>
      </w:pPr>
    </w:p>
    <w:p w:rsidR="00A90898" w:rsidRDefault="00A90898" w:rsidP="00A90898">
      <w:pPr>
        <w:pStyle w:val="SntesisDescriptiva"/>
      </w:pPr>
      <w:r>
        <w:t>Recurso de amparo 5664-2015. Promovido por doña Elisa Isabel Cataluña Lacreu, don Francisco Ignacio Cortina Saus y la mercantil Técnicos en Planes Parciales, S.L., en relación con las Sentencias dictadas por la Audiencia Provincial y un Juzgado de lo Penal de Valencia en proceso por delito contra la hacienda pública.</w:t>
      </w:r>
    </w:p>
    <w:p w:rsidR="00A90898" w:rsidRDefault="00A90898" w:rsidP="00A90898">
      <w:pPr>
        <w:pStyle w:val="SntesisDescriptiva"/>
      </w:pPr>
    </w:p>
    <w:p w:rsidR="00A90898" w:rsidRDefault="00A90898" w:rsidP="00A90898">
      <w:pPr>
        <w:pStyle w:val="SntesisAnaltica"/>
      </w:pPr>
      <w:r>
        <w:t>Vulneración del derecho a la tutela judicial efectiva (resolución fundada en Derecho): Sentencias que se apartan conscientemente de una doctrina reiterada y conocida del Tribunal Constitucional (STC 63/2005).</w:t>
      </w:r>
    </w:p>
    <w:p w:rsidR="00A90898" w:rsidRDefault="00A90898" w:rsidP="00A90898">
      <w:pPr>
        <w:pStyle w:val="SntesisAnaltica"/>
      </w:pPr>
    </w:p>
    <w:p w:rsidR="00A90898" w:rsidRDefault="00A90898" w:rsidP="00A90898">
      <w:pPr>
        <w:pStyle w:val="Extracto"/>
      </w:pPr>
      <w:r>
        <w:t>1.</w:t>
      </w:r>
      <w:r>
        <w:tab/>
        <w:t>La interpretación del Art. 132.2 del Código Penal (CP),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Y la determinación de la intensidad o calidad de dicha actuación judicial para entender interrumpido el lapso prescriptivo de las infracciones penales corresponde a la jurisdicción ordinaria (SSTC 59/2010, 133/2011, 2/2013 y 51/2016) [FJ 3].</w:t>
      </w:r>
    </w:p>
    <w:p w:rsidR="00A90898" w:rsidRDefault="00A90898" w:rsidP="00A90898">
      <w:pPr>
        <w:pStyle w:val="Extracto"/>
      </w:pPr>
    </w:p>
    <w:p w:rsidR="00A90898" w:rsidRDefault="00A90898" w:rsidP="00A90898">
      <w:pPr>
        <w:pStyle w:val="Extracto"/>
      </w:pPr>
      <w:r>
        <w:t>2.</w:t>
      </w:r>
      <w:r>
        <w:tab/>
        <w:t>El art. 132.2 CP debe interpretarse en el sentido de que la querella o denuncia de un tercero es una solicitud de iniciación del procedimiento, pero no un procedimiento ya iniciado; razón por la cual aquella querella o denuncia no tiene por sí sola eficacia interruptora del cómputo del plazo prescripción, pues la interrupción requiere un acto de interposición judicial o de dirección procesal del procedimiento contra el culpable (STC 63/2005 y 29/2008) [FJ 3].</w:t>
      </w:r>
    </w:p>
    <w:p w:rsidR="00A90898" w:rsidRDefault="00A90898" w:rsidP="00A90898">
      <w:pPr>
        <w:pStyle w:val="Extracto"/>
      </w:pPr>
    </w:p>
    <w:p w:rsidR="00A90898" w:rsidRDefault="00A90898" w:rsidP="00A90898">
      <w:pPr>
        <w:pStyle w:val="Extracto"/>
      </w:pPr>
      <w:r>
        <w:t>3.</w:t>
      </w:r>
      <w:r>
        <w:tab/>
        <w:t>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(STC 112/2015) [FJ 4].</w:t>
      </w:r>
    </w:p>
    <w:p w:rsidR="00A90898" w:rsidRDefault="00A90898" w:rsidP="00A90898">
      <w:pPr>
        <w:pStyle w:val="Extracto"/>
      </w:pPr>
    </w:p>
    <w:p w:rsidR="00A90898" w:rsidRDefault="00A90898" w:rsidP="00A90898">
      <w:pPr>
        <w:pStyle w:val="Extracto"/>
      </w:pPr>
      <w:r>
        <w:t>4.</w:t>
      </w:r>
      <w:r>
        <w:tab/>
        <w:t xml:space="preserve">Sólo cabe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w:t>
      </w:r>
      <w:r w:rsidRPr="00A90898">
        <w:rPr>
          <w:i/>
        </w:rPr>
        <w:t>iter</w:t>
      </w:r>
      <w:r>
        <w:t xml:space="preserve"> discursivo que conduce de la prueba al hecho probado (STC 189/1998) [FJ 4].</w:t>
      </w:r>
    </w:p>
    <w:p w:rsidR="00A90898" w:rsidRDefault="00A90898" w:rsidP="00A90898">
      <w:pPr>
        <w:pStyle w:val="Extracto"/>
      </w:pPr>
    </w:p>
    <w:p w:rsidR="00A90898" w:rsidRDefault="00A90898" w:rsidP="00A90898">
      <w:pPr>
        <w:pStyle w:val="Extracto"/>
      </w:pPr>
      <w:r>
        <w:t>5.</w:t>
      </w:r>
      <w:r>
        <w:tab/>
        <w:t xml:space="preserve">En sede constitucional se controla exclusivamente la razonabilidad del discurso que une la actividad probatoria y el relato fáctico que resulta, porque el recurso de amparo no es un recurso de apelación, ni este Tribunal una tercera instancia, </w:t>
      </w:r>
      <w:r>
        <w:lastRenderedPageBreak/>
        <w:t>de modo que tampoco es posible que entremos en el análisis de otras posibles inferencias distintas a las efectuadas por los órganos judiciales (SSTC 126/2000; 16/2016)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5664-2015, promovido por doña Elisa Isabel Cataluña Lacreu, don Francisco Ignacio Cortina Saus y la mercantil Técnicos en Planes Parciales, S.L., representados por el Procurador de los Tribunales don José Enrique Ríos Fernández y asistidos por la Letrada doña María Victoria Navarro Hidalgo, contra la Sentencia de 3 de septiembre de 2015 dictada por la Sección Cuarta de la Audiencia Provincial de Valencia, recaída en el rollo de apelación núm. 248-2015-E, y contra la dictada por el Juzgado de lo Penal núm. 10 de Valencia en fecha 9 de marzo de 2015 en los autos de procedimiento abreviado núm. 334-2014. Han intervenido el Ministerio Fiscal y el Abogado del Estado, en la representación que ostentan.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8 de octubre de 2015, el Procurador de los Tribunales don José Enrique Ríos Fernández, en nombre y representación de doña Elisa Isabel Cataluña Lacreu, de don Francisco Ignacio Cortina Saus y de la mercantil Técnicos en Planes Parciales, S.L., asistidos por la Letrada doña María Victoria Navarro Hidalgo, interpuso recurso de amparo contra las resoluciones judiciales referidas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que se fundamenta la demanda de amparo son, en esencia, los siguientes:</w:t>
      </w:r>
    </w:p>
    <w:p w:rsidR="00A90898" w:rsidRDefault="00A90898" w:rsidP="00A90898">
      <w:pPr>
        <w:pStyle w:val="TextoNormal"/>
      </w:pPr>
    </w:p>
    <w:p w:rsidR="00A90898" w:rsidRDefault="00A90898" w:rsidP="00A90898">
      <w:pPr>
        <w:pStyle w:val="TextoNormal"/>
      </w:pPr>
      <w:r>
        <w:t>a) En los autos de procedimiento abreviado seguidos ante el Juzgado de lo Penal núm. 10 de Valencia con el número 334-2014, procedente del Juzgado de Instrucción núm. 16 de Valencia (procedimiento abreviado 47-2014), el Ministerio Fiscal y la Abogacía del Estado ejercieron la acusación contra doña Elisa Isabel Cataluña Lacreu y don Francisco Ignacio Cortina Saus como autores de dos delitos contra la hacienda pública, interesando asimismo considerar como responsable civil subsidiaria a la entidad Técnicos en Planes Parciales, S.L.</w:t>
      </w:r>
    </w:p>
    <w:p w:rsidR="00A90898" w:rsidRDefault="00A90898" w:rsidP="00A90898">
      <w:pPr>
        <w:pStyle w:val="TextoNormal"/>
      </w:pPr>
    </w:p>
    <w:p w:rsidR="00A90898" w:rsidRDefault="00A90898" w:rsidP="00A90898">
      <w:pPr>
        <w:pStyle w:val="TextoNormal"/>
      </w:pPr>
      <w:r>
        <w:t>b) Con fecha 9 de marzo de 2015, el Juzgado de lo Penal núm. 10 de Valencia dictó la Sentencia núm. 111/2015 en la que condenó a don Francisco Ignacio Cortina Saus y a doña Elisa Isabel Cataluña Lacreu como autores responsables de dos delitos contra la hacienda pública, referidos al impuesto sobre el valor añadido (en adelante, IVA) de los años 2007 y 2008, sin la concurrencia de circunstancias modificativas de la responsabilidad penal.</w:t>
      </w:r>
    </w:p>
    <w:p w:rsidR="00A90898" w:rsidRDefault="00A90898" w:rsidP="00A90898">
      <w:pPr>
        <w:pStyle w:val="TextoNormal"/>
      </w:pPr>
    </w:p>
    <w:p w:rsidR="00A90898" w:rsidRDefault="00A90898" w:rsidP="00A90898">
      <w:pPr>
        <w:pStyle w:val="TextoNormal"/>
      </w:pPr>
      <w:r>
        <w:t>Conforme a ello, el fallo de la Sentencia impuso a ambos condenados la pena de un año de prisión por cada uno de los dos delitos, accesoria de inhabilitación especial para el derecho de sufragio durante el tiempo de la condena, pérdida de la posibilidad de obtener subvenciones o ayudas públicas y del derecho a gozar de beneficios fiscales o de Seguridad Social durante un período de tres años, y el pago, de forma solidaria y conjunta, en concepto de responsabilidad civil, de 209.790,93 €, por el impuesto de 2007 y 211.578,24 €, por el impuesto de 2008, sumas a las que habrá que añadir los intereses de demora tributarios devengados desde la finalización del plazo de presentación de la liquidación anual del IVA, así como al abono de las costas procesales por mitades.</w:t>
      </w:r>
    </w:p>
    <w:p w:rsidR="00A90898" w:rsidRDefault="00A90898" w:rsidP="00A90898">
      <w:pPr>
        <w:pStyle w:val="TextoNormal"/>
      </w:pPr>
    </w:p>
    <w:p w:rsidR="00A90898" w:rsidRDefault="00A90898" w:rsidP="00A90898">
      <w:pPr>
        <w:pStyle w:val="TextoNormal"/>
      </w:pPr>
      <w:r>
        <w:t>Del importe de dicha responsabilidad civil se declaraba responsable civil subsidiaria a la mercantil Técnicos en Planes Parciales, S.L.</w:t>
      </w:r>
    </w:p>
    <w:p w:rsidR="00A90898" w:rsidRDefault="00A90898" w:rsidP="00A90898">
      <w:pPr>
        <w:pStyle w:val="TextoNormal"/>
      </w:pPr>
    </w:p>
    <w:p w:rsidR="00A90898" w:rsidRDefault="00A90898" w:rsidP="00A90898">
      <w:pPr>
        <w:pStyle w:val="TextoNormal"/>
      </w:pPr>
      <w:r>
        <w:t xml:space="preserve">En cuanto a la prescripción del IVA de 2007, la Sentencia señalaba en su fundamento de Derecho quinto, que “se considera que, al amparo de la anterior normativa, resulta más razonable la interpretación que del art. 132.2 del Código Penal vino a realizar la Sala Segunda del Tribunal Supremo, entendiendo que la presentación de la querella, siempre que </w:t>
      </w:r>
      <w:r w:rsidRPr="00A90898">
        <w:rPr>
          <w:i/>
        </w:rPr>
        <w:t>ex post</w:t>
      </w:r>
      <w:r>
        <w:t xml:space="preserve"> hubiera sido admitida, interrumpía la prescripción; y ello frente al criterio emanado del Tribunal Constitucional, especialmente a raíz de la STC núm. 63/2005 en la cual, conociendo de un recurso de amparo, el Tribunal Constitucional expresó que la prescripción solo se interrumpía con la interposición o dictada de un auto del Juez pues solo un acto del Juez suponía ‘dirigir el procedimiento contra el culpable’. A pesar de ello, el Tribunal Supremo, sobre la base de que la interpretación de la ley penal sustantiva (como lo son las normas atinentes a la prescripción) es una cuestión de legalidad ordinaria y por lo tanto competencia exclusiva de la jurisdicción penal, mantuvo su anterior postura insistiendo en que el Tribunal Constitucional se había extralimitado en las funciones que la CE y la ley le asignan. Y sin desconocer la existencia de resoluciones en sentido contrario al aquí expuesto … lo cierto es que se entiende en este caso que la interpretación de la normativa anterior sostenida por el Tribunal Supremo es la que resulta aplicable al caso”. A lo que añadía, ya a mayor abundamiento pero sin deducir de ello ninguna consecuencia concreta en cuanto a la interrupción de la prescripción, que “la nueva regulación del art. 132.2 del Código penal (introducido por la Ley Orgánica 5/2010) con carácter general resultaría más beneficiosa al reo”.</w:t>
      </w:r>
    </w:p>
    <w:p w:rsidR="00A90898" w:rsidRDefault="00A90898" w:rsidP="00A90898">
      <w:pPr>
        <w:pStyle w:val="TextoNormal"/>
      </w:pPr>
    </w:p>
    <w:p w:rsidR="00A90898" w:rsidRDefault="00A90898" w:rsidP="00A90898">
      <w:pPr>
        <w:pStyle w:val="TextoNormal"/>
      </w:pPr>
      <w:r>
        <w:t>c) Contra la anterior Sentencia los condenados interpusieron recurso de apelación. Concretamente, alegaron la prescripción del delito correspondiente al ejercicio fiscal de 2007, y la vulneración de la presunción de inocencia en relación con el dolo criminal exigido por la figura penal.</w:t>
      </w:r>
    </w:p>
    <w:p w:rsidR="00A90898" w:rsidRDefault="00A90898" w:rsidP="00A90898">
      <w:pPr>
        <w:pStyle w:val="TextoNormal"/>
      </w:pPr>
    </w:p>
    <w:p w:rsidR="00A90898" w:rsidRDefault="00A90898" w:rsidP="00A90898">
      <w:pPr>
        <w:pStyle w:val="TextoNormal"/>
      </w:pPr>
      <w:r>
        <w:t xml:space="preserve">d) Con fecha 3 de septiembre de 2015, la Sección Cuarta de la Audiencia Provincial de Valencia dictó Sentencia núm. 544/2015, en la que desestimó el recurso de apelación. El órgano judicial de apelación compartió el criterio utilizado por el Juez de lo Penal respecto </w:t>
      </w:r>
      <w:r>
        <w:lastRenderedPageBreak/>
        <w:t xml:space="preserve">del cómputo del plazo del </w:t>
      </w:r>
      <w:r w:rsidRPr="00A90898">
        <w:rPr>
          <w:i/>
        </w:rPr>
        <w:t>dies ad quem</w:t>
      </w:r>
      <w:r>
        <w:t xml:space="preserve"> relacionado con la eficacia interruptora de la prescripción, por la interposición de la querella, y aplicó, tras exponer las distintas interpretaciones del Tribunal Supremo y del Tribunal Constitucional sobre la materia, el criterio del acuerdo del Pleno no jurisdiccional del Tribunal Supremo de 25 de abril de 2006, en contra del establecido en la STC 63/2005, de 14 de marzo.</w:t>
      </w:r>
    </w:p>
    <w:p w:rsidR="00A90898" w:rsidRDefault="00A90898" w:rsidP="00A90898">
      <w:pPr>
        <w:pStyle w:val="TextoNormal"/>
      </w:pPr>
    </w:p>
    <w:p w:rsidR="00A90898" w:rsidRDefault="00A90898" w:rsidP="00A90898">
      <w:pPr>
        <w:pStyle w:val="TextoNormal"/>
      </w:pPr>
      <w:r>
        <w:t>Así, la Sala afirmó en su fundamento jurídico 1 que “su tratamiento es bien sencillo, la discusión gira en torno a la opción entre aplicar el artículo 132.2 del Código penal atendiendo a la interpretación jurisprudencial del mismo al tiempo de comisión del hecho, o asumir la doctrina sentada por el Tribunal Constitucional en la sentencia 63/2005. En el primer caso los hechos no estarían prescritos según la doctrina consolidada de la Sala II al entonces, que establecía el valor de la denuncia o querella para interrumpir la prescripción en el instante de su presentación … El Tribunal Constitucional sostuvo una interpretación distinta del precepto señalado y apuntó a la necesidad de que obrara una decisión judicial posterior a la mera presentación de la denuncia o la querella para entender satisfecho el requisito de haberse dirigido el procedimiento contra el culpable … La respuesta a esta dicotomía no se encuentra, como pretenden los apelantes, en el reconocimiento o la negación de la superioridad del Tribunal Constitucional en materia de garantías constitucionales, una cuestión fuera de toda discusión jurídica, sino en la aceptación de la doctrina que el propio Tribunal Supremo generó a raíz del Tribunal Constitucional, que mientras no sea declarada inconstitucional forma parte del acervo complementador del ordenamiento jurídico aplicable por los Tribunales inferiores”.</w:t>
      </w:r>
    </w:p>
    <w:p w:rsidR="00A90898" w:rsidRDefault="00A90898" w:rsidP="00A90898">
      <w:pPr>
        <w:pStyle w:val="TextoNormal"/>
      </w:pPr>
    </w:p>
    <w:p w:rsidR="00A90898" w:rsidRDefault="00A90898" w:rsidP="00A90898">
      <w:pPr>
        <w:pStyle w:val="TextoNormal"/>
      </w:pPr>
      <w:r>
        <w:t>Para explicar el contenido de esta última, prosigue diciendo la Sentencia que: “[E]sta doctrina está contenida en el Acuerdo del Pleno de 12 de mayo de 2005 (desarrollado en la sentencia 774/2005, de 2 de junio), en el que se indica que: 'El Tribunal Constitucional insiste en la extensión de la jurisdicción constitucional basándose en una interpretación de la tutela judicial efectiva que, prácticamente, vacía de contenido el artículo 123 de la CE que establece que el Tribunal Supremo es el órgano jurisdiccional superior en todos los órdenes salvo lo dispuesto en materia de garantías constitucionales, por lo que, consiguientemente, le incumbe la interpretación en última instancia de las normas penales’, reiterando en el Acuerdo de Pleno de 25 de abril de 2006 que ‘se mantiene la actual jurisprudencia sobre la interrupción de la prescripción pese a la sentencia del Tribunal Constitucional 63/2005', acuerdo desarrollado también en la sentencia 597/2006, de 11 de mayo. Por ello, hemos de estar al tratamiento jurisprudencial vigente con posterioridad a la irrupción del criterio constitucional, basado en la consideración del hecho debatido como una simple cuestión de legalidad que ubica su interpretación dentro de los tribunales ordinarios”.</w:t>
      </w:r>
    </w:p>
    <w:p w:rsidR="00A90898" w:rsidRDefault="00A90898" w:rsidP="00A90898">
      <w:pPr>
        <w:pStyle w:val="TextoNormal"/>
      </w:pPr>
    </w:p>
    <w:p w:rsidR="00A90898" w:rsidRDefault="00A90898" w:rsidP="00A90898">
      <w:pPr>
        <w:pStyle w:val="TextoNormal"/>
      </w:pPr>
      <w:r>
        <w:t>De este modo, la Sala consideró suficiente la presentación de la querella dentro del plazo de prescripción del delito para interrumpir ésta, sin exigir un posterior acto de interposición judicial dictado dentro de aquel periodo.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Se alega en la demanda de amparo, en primer lugar, que el recurso tiene especial trascendencia constitucional porque las resoluciones recurridas condenan por el delito fiscal correspondiente al ejercicio del año 2007, contraviniendo así la doctrina reiterada de este Tribunal en cuanto a la falta de efecto interruptor de la prescripción por la sola interposición de querella o denuncia, lo que supone una quiebra del mandato del art. 5.1 de la Ley Orgánica del Poder Judicial y pone de relieve la “negativa manifiesta del deber de acatamiento </w:t>
      </w:r>
      <w:r>
        <w:lastRenderedPageBreak/>
        <w:t xml:space="preserve">de la doctrina del Tribunal Constitucional”, por lo que se cumple el requisito de los arts. 49.1 </w:t>
      </w:r>
      <w:r w:rsidRPr="00A90898">
        <w:rPr>
          <w:i/>
        </w:rPr>
        <w:t>in fine</w:t>
      </w:r>
      <w:r>
        <w:t xml:space="preserve"> y 50.1 b) de la Ley Orgánica del Tribunal Constitucional (LOTC). Siguen luego otras consideraciones de la demanda también sobre la especial trascendencia constitucional, relacionadas directamente con las lesiones de fondo.</w:t>
      </w:r>
    </w:p>
    <w:p w:rsidR="00A90898" w:rsidRDefault="00A90898" w:rsidP="00A90898">
      <w:pPr>
        <w:pStyle w:val="TextoNormal"/>
      </w:pPr>
    </w:p>
    <w:p w:rsidR="00A90898" w:rsidRDefault="00A90898" w:rsidP="00A90898">
      <w:pPr>
        <w:pStyle w:val="TextoNormal"/>
      </w:pPr>
      <w:r>
        <w:t xml:space="preserve">En cuanto a estas últimas, se plantean dos motivos de infracción constitucional que, de forma extractada, son los siguientes: el primero, la vulneración del derecho a la tutela judicial efectiva del art. 24.1 CE en relación con el derecho a la libertad (art. 17 CE), por no haberse apreciado la prescripción del delito contra la Hacienda pública correspondiente al periodo 2007, apartándose los órganos judiciales de la doctrina constitucional sobre el cómputo de la prescripción del delito. Consideran los recurrentes que el </w:t>
      </w:r>
      <w:r w:rsidRPr="00A90898">
        <w:rPr>
          <w:i/>
        </w:rPr>
        <w:t>dies ad quem</w:t>
      </w:r>
      <w:r>
        <w:t xml:space="preserve"> para la prescripción del delito fiscal de 2007 era el 30 de enero de 2013, y que si bien la querella del Ministerio Fiscal se presentó el 11 de enero de 2013, el primer acto de interposición judicial no tuvo lugar hasta el 27 de febrero de 2013, cuando los hechos ya estaban prescritos.</w:t>
      </w:r>
    </w:p>
    <w:p w:rsidR="00A90898" w:rsidRDefault="00A90898" w:rsidP="00A90898">
      <w:pPr>
        <w:pStyle w:val="TextoNormal"/>
      </w:pPr>
    </w:p>
    <w:p w:rsidR="00A90898" w:rsidRDefault="00A90898" w:rsidP="00A90898">
      <w:pPr>
        <w:pStyle w:val="TextoNormal"/>
      </w:pPr>
      <w:r>
        <w:t>El segundo motivo es la vulneración del derecho a la presunción de inocencia (art. 24.2 CE) y del principio de legalidad penal (art. 25.1 CE), por haber resultado condenados los recurrentes sin la existencia de prueba de cargo suficiente, por el mero hecho de ser los administradores legales de la sociedad mercantil, recurriéndose de manera extravagante a la teoría de la “ignorancia deliberada” como modo de soslayar la necesaria acreditación del dolo. Y ello porque la prueba practicada en el juicio oral habría acreditado que el administrador de hecho y verdadero dueño de la voluntad social era don César, el padre de la recurrente doña Elisa Isabel.</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19 de enero de 2016 la Sección Cuarta de este Tribunal acordó la admisión a trámite de la demanda de amparo presentada, por apreciar la concurrencia de una especial trascendencia constitucional, como consecuencia de que el órgano judicial pudiera haber incurrido en una negativa manifiesta del deber de acatamiento de la doctrina de este Tribunal. Asimismo, de conformidad con lo dispuesto en el art. 51 LOTC, decidió dirigir atenta comunicación a la Sección Cuarta de la Audiencia Provincial de Valencia y al Juzgado de lo Penal núm. 10 de Valencia para que remitieran respectivamente certificación o fotocopia adverada de las actuaciones correspondientes al recurso de apelación núm. 248-2015 y de los autos de juicio oral núm. 334-2014, y se emplazase a quienes hubieran sido parte en el citado procedimiento para que en el plazo de diez días pudieran comparecer en este proceso constitucional de amparo, excepto la parte recurrente en amparo, ya comparecida.</w:t>
      </w:r>
    </w:p>
    <w:p w:rsidR="00A90898" w:rsidRDefault="00A90898" w:rsidP="00A90898">
      <w:pPr>
        <w:pStyle w:val="TextoNormal"/>
      </w:pPr>
    </w:p>
    <w:p w:rsidR="00A90898" w:rsidRDefault="00A90898" w:rsidP="00A90898">
      <w:pPr>
        <w:pStyle w:val="TextoNormal"/>
      </w:pPr>
      <w:r w:rsidRPr="00A90898">
        <w:rPr>
          <w:rStyle w:val="NumeroAFNegritaCaracter"/>
        </w:rPr>
        <w:t>5</w:t>
      </w:r>
      <w:r>
        <w:t>. Por diligencia de ordenación de fecha 31 de marzo de 2016 de la Secretaría de Justicia de la Sección Cuarta de este Tribunal, se acordó tener por recibidos los testimonios y por personado y parte al Abogado del Estado. En la misma resolución se acordó dar traslado al Ministerio Fiscal y a las partes personadas por plazo común de veinte días para que, a tenor de lo dispuesto en el art. 51.2 LOTC, pudieran presentar las alegaciones que estimaran oportunas.</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Por escrito registrado en fecha 3 de mayo de 2016 el Abogado del Estado presentó alegaciones afirmando que concurre una causa de especial trascendencia constitucional del </w:t>
      </w:r>
      <w:r>
        <w:lastRenderedPageBreak/>
        <w:t>recurso distinta a la sostenida por la demanda. A su vez, considera inexistente la invocada por esta última, razón por la que solicita la inadmisión del motivo en que se funda; y subsidiariamente en cuanto al fondo, interesa la desestimación íntegra de la demanda de amparo.</w:t>
      </w:r>
    </w:p>
    <w:p w:rsidR="00A90898" w:rsidRDefault="00A90898" w:rsidP="00A90898">
      <w:pPr>
        <w:pStyle w:val="TextoNormal"/>
      </w:pPr>
    </w:p>
    <w:p w:rsidR="00A90898" w:rsidRDefault="00A90898" w:rsidP="00A90898">
      <w:pPr>
        <w:pStyle w:val="TextoNormal"/>
      </w:pPr>
      <w:r>
        <w:t>El Abogado del Estado estima, en primer lugar, que la doctrina de este Tribunal dictada en materia de prescripción del delito, lo ha sido en relación con el art. 132 (en adelante, CP) en su redacción anterior a su reforma por la Ley Orgánica 5/2010, pero en el caso resuelto por las Sentencias impugnadas resultaba de aplicación el precepto ya modificado por esta última que regula los requisitos para interrumpir la prescripción de la infracción, y sobre el que no existe doctrina. Por esta razón considera que existe una causa de especial trascendencia constitucional del recurso no apreciada por los recurrentes, puesto que este Tribunal, “a la vista de la nueva redacción del art. 132.2 del Código Penal podría revisar su criterio doctrinal anterior a la reforma operada por la LO 5/2010 en dicho artículo”. En segundo lugar, en cuanto a lo que entiende es el motivo de especial trascendencia constitucional invocado en la demanda, alega que existe doctrina constitucional consolidada sobre la necesidad de acreditar el elemento subjetivo en las condenas penales, porque la cuestión planteada tampoco es relevante y de general repercusión social, y puesto que, en cuanto a la incidencia del transcurso del tiempo entre el hecho y la condena, ni siquiera se ha alegado la vulneración del derecho a la tutela judicial efectiva por existir dilaciones indebidas.</w:t>
      </w:r>
    </w:p>
    <w:p w:rsidR="00A90898" w:rsidRDefault="00A90898" w:rsidP="00A90898">
      <w:pPr>
        <w:pStyle w:val="TextoNormal"/>
      </w:pPr>
    </w:p>
    <w:p w:rsidR="00A90898" w:rsidRDefault="00A90898" w:rsidP="00A90898">
      <w:pPr>
        <w:pStyle w:val="TextoNormal"/>
      </w:pPr>
      <w:r>
        <w:t>Sobre la cuestión de fondo relativa a la prescripción, afirma el Abogado del Estado que el Juzgado de lo Penal núm. 10 de Valencia aplicó la nueva redacción del art. 132.2 CP, introducido por la Ley Orgánica 5/2010, que con carácter general resultaría más beneficiosa al reo, y que, propiamente hablando, no sería una aplicación retroactiva de una reforma penal, sino la superación de las discrepancias interpretativas existentes con el fin último de la seguridad jurídica. De esta manera, las sentencias impugnadas “con fundamento en la nueva redacción dada al art. 132.2 del Código penal por la Ley Orgánica 5/2010, consideran que el legislador está interpretando lo que ya existía con anterioridad a tal reforma y que, por tanto, se ha interrumpido la prescripción con la interposición de la querella dentro del plazo de prescripción del delito y el dictado del Auto de incoación de diligencias previas dentro del plazo de 6 meses establecido en la nueva redacción de dicho artículo”.</w:t>
      </w:r>
    </w:p>
    <w:p w:rsidR="00A90898" w:rsidRDefault="00A90898" w:rsidP="00A90898">
      <w:pPr>
        <w:pStyle w:val="TextoNormal"/>
      </w:pPr>
    </w:p>
    <w:p w:rsidR="00A90898" w:rsidRDefault="00A90898" w:rsidP="00A90898">
      <w:pPr>
        <w:pStyle w:val="TextoNormal"/>
      </w:pPr>
      <w:r>
        <w:t>Finalmente, considera que las lesiones alegadas por los recurrentes son inexistentes. En cuanto a la presunción de inocencia, los órganos judiciales contaron con la declaración de los peritos de ambas partes, y con una extensa prueba documental y testifical valorada de modo “acorde con la lógica, la experiencia y el sentido común y perfectamente motivada”. Y en relación con la tutela judicial efectiva, no puede decirse que la sentencia “resulte poco razonada o no exprese con claridad las conclusiones que obtiene tras la valoración de la prueba obrante en autos”.</w:t>
      </w:r>
    </w:p>
    <w:p w:rsidR="00A90898" w:rsidRDefault="00A90898" w:rsidP="00A90898">
      <w:pPr>
        <w:pStyle w:val="TextoNormal"/>
      </w:pPr>
    </w:p>
    <w:p w:rsidR="00A90898" w:rsidRDefault="00A90898" w:rsidP="00A90898">
      <w:pPr>
        <w:pStyle w:val="TextoNormal"/>
      </w:pPr>
      <w:r w:rsidRPr="00A90898">
        <w:rPr>
          <w:rStyle w:val="NumeroAFNegritaCaracter"/>
        </w:rPr>
        <w:t>7</w:t>
      </w:r>
      <w:r>
        <w:t>. La representación de doña Elisa Isabel Cataluña Lacreu, don Francisco Ignacio Cortina Saus y Técnicos en Planes Parciales, S.L., formuló alegaciones en fecha 4 de mayo de 2016, ratificándose en las realizadas en la demanda de amparo.</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El Ministerio Fiscal presentó sus alegaciones en fecha 6 de mayo de 2016. Respecto de la prescripción del IVA de 2007 afirma que “ambos órganos judiciales parecen decidir sobre la base de una opción aplicativa entre las ofertadas por las dos más altas magistraturas”, opción que le parece inadmisible por el carácter vinculante de la doctrina emanada del </w:t>
      </w:r>
      <w:r>
        <w:lastRenderedPageBreak/>
        <w:t>Tribunal Constitucional en materia de derechos fundamentales. Así, teniendo en cuenta la legislación vigente en enero de 2008, la doctrina constitucional exigía un acto de interposición judicial. Sin embargo, en la fecha determinante —que era el 30 de enero de 2013— sólo se había producido la querella del Ministerio Fiscal, presentada el 11 de enero, pero el primer acto judicial válido para el efecto interruptor no se dictó hasta el 27 de febrero, ya superado el lapso temporal de cinco años.</w:t>
      </w:r>
    </w:p>
    <w:p w:rsidR="00A90898" w:rsidRDefault="00A90898" w:rsidP="00A90898">
      <w:pPr>
        <w:pStyle w:val="TextoNormal"/>
      </w:pPr>
    </w:p>
    <w:p w:rsidR="00A90898" w:rsidRDefault="00A90898" w:rsidP="00A90898">
      <w:pPr>
        <w:pStyle w:val="TextoNormal"/>
      </w:pPr>
      <w:r>
        <w:t>En cuanto a la presunción de inocencia, considera el Ministerio Fiscal que no puede prosperar esta alegación, ya que el recurso en realidad lo que pretende es una nueva valoración de las pruebas practicadas, como si el Tribunal Constitucional fuera una tercera instancia. Y porque, desde la función de control constitucional, no se puede calificar la valoración de la prueba que realizan las sentencias recurridas de irracionales o ilógicas.</w:t>
      </w:r>
    </w:p>
    <w:p w:rsidR="00A90898" w:rsidRDefault="00A90898" w:rsidP="00A90898">
      <w:pPr>
        <w:pStyle w:val="TextoNormal"/>
      </w:pPr>
    </w:p>
    <w:p w:rsidR="00A90898" w:rsidRDefault="00A90898" w:rsidP="00A90898">
      <w:pPr>
        <w:pStyle w:val="TextoNormal"/>
      </w:pPr>
      <w:r>
        <w:t>Concluye sus alegaciones el Ministerio Fiscal interesando de la Sala que dicte Sentencia por la que se otorgue parcialmente el amparo solicitado y, en consecuencia: 1) se declare que se ha vulnerado el derecho fundamental de los demandantes de amparo a la tutela judicial efectiva del art. 24.1 CE por no haberse apreciado la prescripción extintiva de la responsabilidad penal en relación con el delito contra la hacienda pública, correspondiente al periodo impositivo 2007 del IVA; 2) que se declare la nulidad parcial de las sentencias recurridas a este efecto; y 3) se inadmita el recurso en el motivo referente a la denuncia de vulneración del principio de presunción de inocencia (art. 24.2 CE).</w:t>
      </w:r>
    </w:p>
    <w:p w:rsidR="00A90898" w:rsidRDefault="00A90898" w:rsidP="00A90898">
      <w:pPr>
        <w:pStyle w:val="TextoNormal"/>
      </w:pPr>
    </w:p>
    <w:p w:rsidR="00A90898" w:rsidRDefault="00A90898" w:rsidP="00A90898">
      <w:pPr>
        <w:pStyle w:val="TextoNormal"/>
      </w:pPr>
      <w:r w:rsidRPr="00A90898">
        <w:rPr>
          <w:rStyle w:val="NumeroAFNegritaCaracter"/>
        </w:rPr>
        <w:t>9</w:t>
      </w:r>
      <w:r>
        <w:t>. En la demanda de amparo se solicitó, por medio de “Otrosí digo”, la suspensión de la ejecución de las resoluciones impugnadas. En la misma fecha en la que se acordó la admisión a trámite del recurso, 19 de enero de 2016, la Sección Cuarta dictó providencia acordando formar la oportuna pieza para la tramitación del incidente de suspensión, concediendo un plazo común de tres días a la parte recurrente y al Ministerio Fiscal para que formularan alegaciones al respecto.</w:t>
      </w:r>
    </w:p>
    <w:p w:rsidR="00A90898" w:rsidRDefault="00A90898" w:rsidP="00A90898">
      <w:pPr>
        <w:pStyle w:val="TextoNormal"/>
      </w:pPr>
    </w:p>
    <w:p w:rsidR="00A90898" w:rsidRDefault="00A90898" w:rsidP="00A90898">
      <w:pPr>
        <w:pStyle w:val="TextoNormal"/>
      </w:pPr>
      <w:r>
        <w:t>Por escrito registrado el 27 de enero de 2016, la representación procesal de los recurrentes mantuvo su solicitud de suspensión. Por su parte, el Fiscal ante este Tribunal Constitucional presentó escrito el 27 de enero de 2016, interesando se acceda a la suspensión de la pena de un prisión impuesta a los recurrentes doña Elisa y don Francisco.</w:t>
      </w:r>
    </w:p>
    <w:p w:rsidR="00A90898" w:rsidRDefault="00A90898" w:rsidP="00A90898">
      <w:pPr>
        <w:pStyle w:val="TextoNormal"/>
      </w:pPr>
    </w:p>
    <w:p w:rsidR="00A90898" w:rsidRDefault="00A90898" w:rsidP="00A90898">
      <w:pPr>
        <w:pStyle w:val="TextoNormal"/>
      </w:pPr>
      <w:r>
        <w:t>Finalmente, la Sala Segunda de este Tribunal dictó Auto el 15 de febrero de 2016 con el siguiente fallo: “Suspender la ejecución de la Sentencia del Juzgado de lo Penal núm. 10 de Valencia, de 9 de marzo de 2015, confirmada por Sentencia de la Sección Cuarta de la Audiencia Provincial de Valencia, de 7 de septiembre de 2015, única y exclusivamente en cuanto a las penas de prisión y la accesoria de inhabilitación especial para el ejercicio del derecho de sufragio pasivo durante el tiempo de la condena en prisión, impuestas a doña Elisa Isabel Cataluña Lacreu y don Ignacio Cortina Saus”.</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14 de julio de 2016, se señaló para deliberación y votación de la presente Sentencia el día 18 del mismo mes y año.</w:t>
      </w:r>
    </w:p>
    <w:p w:rsidR="00A90898" w:rsidRDefault="00A90898" w:rsidP="00A90898">
      <w:pPr>
        <w:pStyle w:val="TextoNormal"/>
      </w:pPr>
    </w:p>
    <w:p w:rsidR="00A90898" w:rsidRDefault="00A90898" w:rsidP="00A90898">
      <w:pPr>
        <w:pStyle w:val="TextoNormalNegritaCentrado"/>
        <w:keepNext/>
      </w:pPr>
      <w:r>
        <w:lastRenderedPageBreak/>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dirige contra la Sentencia de 3 de septiembre de 2015 dictada por la Sección Cuarta de la Audiencia Provincial de Valencia, recaída el rollo de apelación núm. 248-2015, que desestima el recurso de apelación interpuesto contra la Sentencia dictada por el Juzgado de lo Penal núm. 10 de Valencia en fecha 9 de marzo de 2015 en los autos procedimiento abreviado núm. 334-2014, así como contra esta última sentencia.</w:t>
      </w:r>
    </w:p>
    <w:p w:rsidR="00A90898" w:rsidRDefault="00A90898" w:rsidP="00A90898">
      <w:pPr>
        <w:pStyle w:val="TextoNormal"/>
      </w:pPr>
    </w:p>
    <w:p w:rsidR="00A90898" w:rsidRDefault="00A90898" w:rsidP="00A90898">
      <w:pPr>
        <w:pStyle w:val="TextoNormal"/>
      </w:pPr>
      <w:r>
        <w:t>En la demanda de amparo se denuncia, con la argumentación que ha quedado expuesta en los antecedentes de esta resolución, la vulneración del derecho fundamental a la tutela judicial efectiva sin indefensión del artículo 24.1 CE en relación con el derecho a la libertad (art. 17.1 CE), por no haberse apreciado la prescripción del delito fiscal correspondiente al periodo 2007. Asimismo se alega la vulneración del derecho a la presunción de inocencia (art. 24.2 CE) y del principio de legalidad penal (art. 25.1 CE) por haber resultado condenados los recurrentes sin existencia de prueba de cargo suficiente, por el mero hecho de ser administradores legales de la sociedad mercantil, aplicándoseles, con utilización de pautas extravagantes, la teoría de la “ignorancia deliberada” como forma de obviar la acreditación del dolo.</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análisis de las cuestiones de fondo planteadas, es preciso abordar el estudio del óbice procesal opuesto por el Abogado del Estado, relativo, no al incumplimiento de la carga [art. 49.1 de la Ley Orgánica del Tribunal Constitucional (LOTC)] de argumentar sobre la especial trascendencia constitucional del recurso de amparo, sino en cuanto a la falta material de dicho requisito [art. 50.1 b) LOTC], en los términos que se alegan en la demanda.</w:t>
      </w:r>
    </w:p>
    <w:p w:rsidR="00A90898" w:rsidRDefault="00A90898" w:rsidP="00A90898">
      <w:pPr>
        <w:pStyle w:val="TextoNormal"/>
      </w:pPr>
    </w:p>
    <w:p w:rsidR="00A90898" w:rsidRDefault="00A90898" w:rsidP="00A90898">
      <w:pPr>
        <w:pStyle w:val="TextoNormal"/>
      </w:pPr>
      <w:r>
        <w:t>El óbice ha de ser desestimado, pues los recurrentes sustentan la especial trascendencia constitucional de su recurso en la negativa manifiesta del deber de acatamiento de la doctrina de este Tribunal en torno a la prescripción del delito, en la que incurren la Sentencia del Juzgado de lo Penal y la de la Sección competente de la Audiencia Provincial, impugnadas. En efecto, tal como se ha expuesto en el antecedente 2, apartados b) y d) respectivamente, ambas resoluciones optan por aplicar la jurisprudencia de la Sala Segunda del Tribunal Supremo, inmediatamente posterior y contraria a los postulados de la doctrina de nuestra STC 63/2005, de 14 de marzo, en torno a la insuficiencia de la mera presentación de una denuncia o querella para considerar interrumpida la prescripción del delito. En el caso del Juzgado, éste justifica su preferencia por la consideración del asunto como “cuestión de legalidad ordinaria” en la que no cabe inmiscuirse este Tribunal, desvirtuando con ello el tratamiento constitucional que damos al instituto de la prescripción. Mientras, la Audiencia aduce que la jurisprudencia de la Sala Segunda del Tribunal Supremo debe prevalecer mientras no la declaremos “inconstitucional”, omitiendo con ello la realidad de una serie de Sentencias estimatorias de recursos de amparo, a los que ahora se hará mención, donde no solamente se declaran nulas las resoluciones que no acatan nuestra precitada doctrina, alguna incluso dictada por la Sala Segunda del Alto Tribunal (STC 195/2009), sino que hemos venido considerando tal reiterada rebeldía como expresiva de una negativa manifiesta del deber de acatamiento de nuestra doctrina.</w:t>
      </w:r>
    </w:p>
    <w:p w:rsidR="00A90898" w:rsidRDefault="00A90898" w:rsidP="00A90898">
      <w:pPr>
        <w:pStyle w:val="TextoNormal"/>
      </w:pPr>
    </w:p>
    <w:p w:rsidR="00A90898" w:rsidRDefault="00A90898" w:rsidP="00A90898">
      <w:pPr>
        <w:pStyle w:val="TextoNormal"/>
      </w:pPr>
      <w:r>
        <w:lastRenderedPageBreak/>
        <w:t>No solamente, pues, el motivo que alega la demanda integra uno de los supuestos de especial trascendencia constitucional por nuestra STC 155/2009, de 25 de junio, FJ 2 (concretamente, apartado “f”), sino que en relación con la doctrina de referencia, este Tribunal, en los casos en que se han producido pronunciamientos judiciales contrarios a nuestra interpretación sobre la naturaleza de la prescripción y el modo de considerar interrumpido su cómputo con base en el art. 132.2 del Código penal (CP) vigente antes de su reforma por la Ley Orgánica 5/2010 (que es el precepto que expresamente aplican las resoluciones aquí impugnadas), ha concluido que tales pronunciamientos incurren en manifiesto desconocimiento del deber de acatamiento de la doctrina del Tribunal Constitucional, lo cual supone una quiebra patente del mandato recogido en el art. 5.1 de la Ley Orgánica del Poder Judicial, de la que deriva la consiguiente lesión del derecho a la tutela judicial efectiva consagrado en el art. 24.1 CE (así, SSTC 147/2009, de 15 de junio, FJ 2; 195/2009, de 28 de septiembre, FJ 5; 206/2009, de 23 de noviembre, FJ 3; 59/2010, de 4 de octubre, FJ 4; 95/2010, de 15 de noviembre, FJ 5; y 133/2011, de 18 de julio, FJ 3; 1/2013, de 14 de enero; FJ 3; 2/2013, de 14 de enero; FJ 7; 32/2013, de 11 de febrero, FJ 4, y 51/2016, de 14 de marzo, FJ 2).</w:t>
      </w:r>
    </w:p>
    <w:p w:rsidR="00A90898" w:rsidRDefault="00A90898" w:rsidP="00A90898">
      <w:pPr>
        <w:pStyle w:val="TextoNormal"/>
      </w:pPr>
    </w:p>
    <w:p w:rsidR="00A90898" w:rsidRDefault="00A90898" w:rsidP="00A90898">
      <w:pPr>
        <w:pStyle w:val="TextoNormal"/>
      </w:pPr>
      <w:r>
        <w:t>Ello dota al recurso de especial trascendencia constitucional, tal como se expresó ya en la providencia de admisión dictada por la Sección Cuarta de este Tribunal el 19 de enero de 2016, sin que tenga importancia a estos efectos que la demanda se haya extendido también a otras consideraciones más cercanas a la cuestión de fondo, ni que el Abogado del Estado haya propuesto un motivo adicional de especial trascendencia, para el que por cierto parte de una premisa en la que no cabe entrar, como es la de la aplicación al caso del art. 132.2 CP en su redacción por la Ley Orgánica 5/2010.</w:t>
      </w:r>
    </w:p>
    <w:p w:rsidR="00A90898" w:rsidRDefault="00A90898" w:rsidP="00A90898">
      <w:pPr>
        <w:pStyle w:val="TextoNormal"/>
      </w:pPr>
    </w:p>
    <w:p w:rsidR="00A90898" w:rsidRDefault="00A90898" w:rsidP="00A90898">
      <w:pPr>
        <w:pStyle w:val="TextoNormal"/>
      </w:pPr>
      <w:r w:rsidRPr="00A90898">
        <w:rPr>
          <w:rStyle w:val="NumeroAFNegritaCaracter"/>
        </w:rPr>
        <w:t>3</w:t>
      </w:r>
      <w:r>
        <w:t>. Resuelta la excepción procesal mencionada, es obligado justificar el tratamiento y el orden que se acoge en el examen de las pretensiones de la parte recurrente. Hemos de comenzar por el análisis de la posible prescripción del delito de defraudación del impuesto sobre el valor añadido (IVA) de 2007, pues de ser estimada harían innecesario el pronunciamiento sobre las restantes quejas respecto de ese periodo, que sólo deberían ser abordadas en relación con el de 2008.</w:t>
      </w:r>
    </w:p>
    <w:p w:rsidR="00A90898" w:rsidRDefault="00A90898" w:rsidP="00A90898">
      <w:pPr>
        <w:pStyle w:val="TextoNormal"/>
      </w:pPr>
    </w:p>
    <w:p w:rsidR="00A90898" w:rsidRDefault="00A90898" w:rsidP="00A90898">
      <w:pPr>
        <w:pStyle w:val="TextoNormal"/>
      </w:pPr>
      <w:r>
        <w:t>Procede acceder entonces en el examen de fondo del primero de los motivos de la demanda de amparo se alega por los demandantes la vulneración del derecho a la tutela judicial efectiva (art. 24.1 CE), en relación con el derecho a la libertad personal (art. 17 CE), por considerar que no se ha apreciado la prescripción de la responsabilidad criminal del delito por defraudación del IVA del ejercicio de 2007, con infracción del art. 132.2 Código penal (CP), en su redacción anterior a la Ley Orgánica 5/2010, aquí aplicable, y de la jurisprudencia constitucional sobre el particular.</w:t>
      </w:r>
    </w:p>
    <w:p w:rsidR="00A90898" w:rsidRDefault="00A90898" w:rsidP="00A90898">
      <w:pPr>
        <w:pStyle w:val="TextoNormal"/>
      </w:pPr>
    </w:p>
    <w:p w:rsidR="00A90898" w:rsidRDefault="00A90898" w:rsidP="00A90898">
      <w:pPr>
        <w:pStyle w:val="TextoNormal"/>
      </w:pPr>
      <w:r>
        <w:t xml:space="preserve">El análisis de esta queja nos lleva, en primer lugar, a recordar que el art. 132.2 CP, en la redacción vigente al momento de cometerse los hechos que han dado lugar a las Sentencias recurridas, disponía que la prescripción “se interrumpirá, quedando sin efecto el tiempo transcurrido cuando el procedimiento se dirija contra el culpable”. Este precepto ha sido interpretado por este Tribunal en el sentido de entender que la querella o denuncia de un tercero “es una solicitud de iniciación del procedimiento” (SSTC 63/2005, de 14 de marzo, FJ 8, y 29/2008, de 20 de febrero, FJ 10), pero “no un procedimiento ya iniciado” (precisa la STC 29/2008, de 20 de febrero, FJ 10), razón por la cual aquella querella o denuncia no </w:t>
      </w:r>
      <w:r>
        <w:lastRenderedPageBreak/>
        <w:t>tiene por sí sola eficacia interruptora del cómputo del plazo prescripción, pues la interrupción requiere un “acto de interposición judicial” [STC 29/2008, de 20 de febrero, FJ 12 c)] o de “dirección procesal del procedimiento contra el culpable” (STC 63/2005, de 14 de marzo, FJ 5).</w:t>
      </w:r>
    </w:p>
    <w:p w:rsidR="00A90898" w:rsidRDefault="00A90898" w:rsidP="00A90898">
      <w:pPr>
        <w:pStyle w:val="TextoNormal"/>
      </w:pPr>
    </w:p>
    <w:p w:rsidR="00A90898" w:rsidRDefault="00A90898" w:rsidP="00A90898">
      <w:pPr>
        <w:pStyle w:val="TextoNormal"/>
      </w:pPr>
      <w:r>
        <w:t>Como consecuencia, la interpretación de aquel precepto legal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[SSTC 59/2010, de 4 de octubre, FJ 2 a); 2/2013, de 14 de enero, FJ 7, y 51/2016, de 14 de marzo, FJ 2]. También ha declarado este Tribunal que “la determinación de la intensidad o calidad de dicha actuación judicial para entender interrumpido el lapso prescriptivo de las infracciones penales corresponde a la jurisdicción ordinaria” (SSTC 59/2010, de 4 de octubre, FJ 2, y 133/2011, de 18 de julio, FJ 3).</w:t>
      </w:r>
    </w:p>
    <w:p w:rsidR="00A90898" w:rsidRDefault="00A90898" w:rsidP="00A90898">
      <w:pPr>
        <w:pStyle w:val="TextoNormal"/>
      </w:pPr>
    </w:p>
    <w:p w:rsidR="00A90898" w:rsidRDefault="00A90898" w:rsidP="00A90898">
      <w:pPr>
        <w:pStyle w:val="TextoNormal"/>
      </w:pPr>
      <w:r>
        <w:t xml:space="preserve">En el caso analizado, y en relación con la prescripción de la responsabilidad criminal correspondiente al IVA del ejercicio de 2007, como señalan los órganos judiciales, el </w:t>
      </w:r>
      <w:r w:rsidRPr="00A90898">
        <w:rPr>
          <w:i/>
        </w:rPr>
        <w:t>dies a quo</w:t>
      </w:r>
      <w:r>
        <w:t xml:space="preserve"> para el cómputo de la prescripción era el 31 de enero del 2008 y el </w:t>
      </w:r>
      <w:r w:rsidRPr="00A90898">
        <w:rPr>
          <w:i/>
        </w:rPr>
        <w:t>dies ad quem</w:t>
      </w:r>
      <w:r>
        <w:t xml:space="preserve"> el 31 de enero de 2013, conforme al plazo de prescripción de cinco años previsto en el art. 131.1 CP, en la redacción aplicable al presente caso. Pues bien, la querella del Ministerio Fiscal (solicitud de iniciación del procedimiento) se repartió al Juzgado de Instrucción en fecha de 11 de enero de 2013, esto es, antes de que concluyese el plazo de prescripción respecto al IVA del ejercicio de 2007, y el primer acto de interposición judicial con virtualidad interruptora fue el Auto de 26 de febrero de 2013, de incoación de diligencias previas y de admisión de querella.</w:t>
      </w:r>
    </w:p>
    <w:p w:rsidR="00A90898" w:rsidRDefault="00A90898" w:rsidP="00A90898">
      <w:pPr>
        <w:pStyle w:val="TextoNormal"/>
      </w:pPr>
    </w:p>
    <w:p w:rsidR="00A90898" w:rsidRDefault="00A90898" w:rsidP="00A90898">
      <w:pPr>
        <w:pStyle w:val="TextoNormal"/>
      </w:pPr>
      <w:r>
        <w:t>El análisis precedente, extraído del examen de las actuaciones, permite constatar que la Sección Cuarta de la Audiencia Provincial de Valencia y el Juzgado de lo Penal núm. 10 inaplican la doctrina de este Tribunal en la materia, debiendo recordarse que el art. 5.1 de la Ley Orgánica del Poder Judicial (LOPJ), dentro del título preliminar y bajo el rótulo “Del Poder Judicial y del ejercicio de la potestad jurisdiccional” dispone expresamente que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p w:rsidR="00A90898" w:rsidRDefault="00A90898" w:rsidP="00A90898">
      <w:pPr>
        <w:pStyle w:val="TextoNormal"/>
      </w:pPr>
    </w:p>
    <w:p w:rsidR="00A90898" w:rsidRDefault="00A90898" w:rsidP="00A90898">
      <w:pPr>
        <w:pStyle w:val="TextoNormal"/>
      </w:pPr>
      <w:r>
        <w:t xml:space="preserve">Las Sentencias impugnadas, al considerar no prescrita la responsabilidad criminal respecto al ejercicio 2007, sobre la base de la idoneidad de la querella como acto interruptor del cómputo del plazo de prescripción de la acción penal, con base en la jurisprudencia de la Sala Segunda del Tribunal Supremo dictada a raíz de nuestra STC 63/2005, se oponen a la interpretación realizada por este Tribunal del alcance del art. 132.2 CP, en su redacción anterior a la Ley Orgánica 5/2010. En este caso, como resulta de los razonamientos expresos de ambas Sentencias impugnadas, reproducidos en el antecedente 2, letras b) y d), el precepto aplicado ha sido justamente el anterior a la mencionada reforma legal (Ley Orgánica 5/2010, de 22 de junio), por lo que tal negativa al acatamiento de nuestra doctrina supone una quiebra del mandato recogido en el citado art. 5.1 LOPJ de la que deriva la consiguiente lesión de los derechos de los demandantes a la tutela judicial efectiva consagrada en el art. </w:t>
      </w:r>
      <w:r>
        <w:lastRenderedPageBreak/>
        <w:t>24.1 CE, en coherencia con la doctrina de este Tribunal (por todas, las SSTC 29/2008, de 20 de febrero, FJ 10; 147/2009, de 15 de junio, FJ 2; 195/2009, de 28 de septiembre, FJ 6; 206/2009, de 23 de noviembre, FJ 3; 37/2010 de 19 de julio, FJ 2; 133/2011, de 18 de julio, FJ 3; 2/2013, de 14 de enero, FJ 7, y 51/2016, de 14 de marzo, FJ 1).</w:t>
      </w:r>
    </w:p>
    <w:p w:rsidR="00A90898" w:rsidRDefault="00A90898" w:rsidP="00A90898">
      <w:pPr>
        <w:pStyle w:val="TextoNormal"/>
      </w:pPr>
    </w:p>
    <w:p w:rsidR="00A90898" w:rsidRDefault="00A90898" w:rsidP="00A90898">
      <w:pPr>
        <w:pStyle w:val="TextoNormal"/>
      </w:pPr>
      <w:r>
        <w:t>Por lo expuesto, el motivo ha de ser estimado, otorgando el amparo en este extremo.</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En el segundo motivo de la demanda de amparo se denuncia la vulneración del derecho a la presunción de inocencia del art. 24.2 CE, respecto del ejercicio fiscal de 2008. Consideran los recurrentes que la prueba practicada en el juicio oral acreditó que la persona que gestionaba y administraba de hecho la sociedad Técnicos en Planes Parciales, S.L., era don César, padre de la recurrente doña Elisa Isabel, fallecido antes del juicio oral, quien era el verdadero dueño de la voluntad social y el que presentaba las declaraciones fiscales, lo que evidenciaba la ausencia de culpabilidad de los recurrentes. Es más, según la prueba practicada, quien firmó las declaraciones fiscales fue doña Pilar, madre del recurrente don Francisco Ignacio, asesora fiscal de profesión. Ante esta carencia de prueba del dolo, añaden los recurrentes, el Juez </w:t>
      </w:r>
      <w:r w:rsidRPr="00A90898">
        <w:rPr>
          <w:i/>
        </w:rPr>
        <w:t>a quo</w:t>
      </w:r>
      <w:r>
        <w:t xml:space="preserve"> recurrió a la doctrina del “desconocimiento deliberado” para presumir este dolo ausente; recurso que, en el caso concreto, constituía una pauta extravagante de interpretación.</w:t>
      </w:r>
    </w:p>
    <w:p w:rsidR="00A90898" w:rsidRDefault="00A90898" w:rsidP="00A90898">
      <w:pPr>
        <w:pStyle w:val="TextoNormal"/>
      </w:pPr>
    </w:p>
    <w:p w:rsidR="00A90898" w:rsidRDefault="00A90898" w:rsidP="00A90898">
      <w:pPr>
        <w:pStyle w:val="TextoNormal"/>
      </w:pPr>
      <w:r>
        <w:t xml:space="preserve">Para resolver el motivo, cabe recordar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 STC 112/2015, de 8 de junio, FJ 7), de modo que, como declaró la STC 189/1998, de 28 de septiembre, FJ 2,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w:t>
      </w:r>
      <w:r w:rsidRPr="00A90898">
        <w:rPr>
          <w:i/>
        </w:rPr>
        <w:t>iter</w:t>
      </w:r>
      <w:r>
        <w:t xml:space="preserve"> discursivo que conduce de la prueba al hecho probado”.</w:t>
      </w:r>
    </w:p>
    <w:p w:rsidR="00A90898" w:rsidRDefault="00A90898" w:rsidP="00A90898">
      <w:pPr>
        <w:pStyle w:val="TextoNormal"/>
      </w:pPr>
    </w:p>
    <w:p w:rsidR="00A90898" w:rsidRDefault="00A90898" w:rsidP="00A90898">
      <w:pPr>
        <w:pStyle w:val="TextoNormal"/>
      </w:pPr>
      <w:r>
        <w:t>En dicho ámbito, a este Tribunal le corresponde realizar “un control de la virtualidad incriminatoria de las pruebas practicadas, que exige la razonabilidad y mínima consistencia de las inferencias o deducciones realizadas por los tribunales ordinarios para considerar acreditados los hechos incriminadores del finalmente condenado” (SSTC 5/2000, de 17 de enero, FJ 2, y 186/2005, de 4 de julio, FJ 7). Es decir, puede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(SSTC 126/2000, de 16 de mayo, FJ 12; 278/2000, de 27 de noviembre, FJ 8; 22/2013, de 31 de enero, FJ 4, y 16/2016, de 1 de febrero, FJ 5).</w:t>
      </w:r>
    </w:p>
    <w:p w:rsidR="00A90898" w:rsidRDefault="00A90898" w:rsidP="00A90898">
      <w:pPr>
        <w:pStyle w:val="TextoNormal"/>
      </w:pPr>
    </w:p>
    <w:p w:rsidR="00A90898" w:rsidRDefault="00A90898" w:rsidP="00A90898">
      <w:pPr>
        <w:pStyle w:val="TextoNormal"/>
      </w:pPr>
      <w:r>
        <w:t xml:space="preserve">Al aplicar esta doctrina al caso concreto hay que partir de que la sociedad limitada a la que se le imputa la defraudación en el pago del IVA del periodo 2008 no dejaba de ser una </w:t>
      </w:r>
      <w:r>
        <w:lastRenderedPageBreak/>
        <w:t>sociedad de reducidas dimensiones, en la que tenían algún poder de gestión los dos recurrentes, doña Elisa Isabel y don Francisco Ignacio, así como el padre de ella, don César, y la madre de él, doña Pilar. No obstante, desde el año 1999 hasta el año 2013, estos últimos han ostentado la condición de administradores mancomunados de la mercantil, lo que incluye el periodo 2008, que es el enjuiciado en la causa.</w:t>
      </w:r>
    </w:p>
    <w:p w:rsidR="00A90898" w:rsidRDefault="00A90898" w:rsidP="00A90898">
      <w:pPr>
        <w:pStyle w:val="TextoNormal"/>
      </w:pPr>
    </w:p>
    <w:p w:rsidR="00A90898" w:rsidRDefault="00A90898" w:rsidP="00A90898">
      <w:pPr>
        <w:pStyle w:val="TextoNormal"/>
      </w:pPr>
      <w:r>
        <w:t xml:space="preserve">Según se desprende de la Sentencia del Juez de lo Penal, la línea argumental de la defensa se basó en que el administrador de hecho de la sociedad era el fallecido don César, mientras que los recurrentes no pasaban de ser unos meros testaferros. Sin embargo, el Juez de lo Penal rechazó esta tesis. En su opinión, los poderes que aquél tenía no eran más amplios que los que tenían doña Pilar y los propios recurrentes, los cuales acudían a la notaría en cuantas ocasiones eran requeridos para firmar las correspondientes escrituras de compraventa de inmuebles en relación con las promociones llevadas a cabo por la sociedad, o para otorgar poderes de representación o gestión a terceros sobre aspectos relevantes de la mercantil. La Sentencia de la instancia, resalta que el propio notario manifestó que los recurrentes en amparo no eran meros testaferros, pues acudían de forma consciente y responsable al otorgamiento de cuantas escrituras llegaban a la notaría. Y añadió que eran conocedores de sus obligaciones, dado que ella era licenciada en Derecho y él tenía conocimientos empresariales, y que él les advertía de las obligaciones fiscales en cada compraventa. Por otra parte, tenían acceso a las cuentas, en las que había notables ingresos (en 2008, 3.576.186,40 € por ventas de inmuebles). Ante estos hechos, el Juez </w:t>
      </w:r>
      <w:r w:rsidRPr="00A90898">
        <w:rPr>
          <w:i/>
        </w:rPr>
        <w:t>a quo</w:t>
      </w:r>
      <w:r>
        <w:t xml:space="preserve"> consideró que no podían beneficiarse de una situación de ignorancia no acreditada, y que, en todo caso, vendría alentada por su propia conducta.</w:t>
      </w:r>
    </w:p>
    <w:p w:rsidR="00A90898" w:rsidRDefault="00A90898" w:rsidP="00A90898">
      <w:pPr>
        <w:pStyle w:val="TextoNormal"/>
      </w:pPr>
    </w:p>
    <w:p w:rsidR="00A90898" w:rsidRDefault="00A90898" w:rsidP="00A90898">
      <w:pPr>
        <w:pStyle w:val="TextoNormal"/>
      </w:pPr>
      <w:r>
        <w:t>Al contrario, cabe concluir que tenían conocimiento de que la sociedad estaba obligada a cumplir con sus obligaciones tributarias. En concreto, Francisco Ignacio García Saus participaba en el día a día de la gestión de la sociedad, por lo que no podía escudarse en un desconocimiento de sus actividades, y prueba de ello son los poderes que tenía conforme a la escritura de 21 de noviembre de 2007, que le otorgaba poderes tan amplios como a don César. En cuanto a Elisa Isabel Cataluña Lacreu, también intervino en las operaciones de compraventa, y tenía, por su cargo de administradora mancomunada, la obligación de velar por el cumplimiento de las obligaciones fiscales, de las que era perfecta conocedora.</w:t>
      </w:r>
    </w:p>
    <w:p w:rsidR="00A90898" w:rsidRDefault="00A90898" w:rsidP="00A90898">
      <w:pPr>
        <w:pStyle w:val="TextoNormal"/>
      </w:pPr>
    </w:p>
    <w:p w:rsidR="00A90898" w:rsidRDefault="00A90898" w:rsidP="00A90898">
      <w:pPr>
        <w:pStyle w:val="TextoNormal"/>
      </w:pPr>
      <w:r>
        <w:t>En la segunda instancia, cuando resolvió el recurso de apelación, la Audiencia Provincial consideró que la argumentación del Juez de lo Penal correspondía a “un criterio lógico absoluto”, y añadió que, en 2008, el fraude fiscal era flagrante, pues se ingresaron 3.576.186 € y sin embargo no se declaró ninguna cantidad a la hacienda pública.</w:t>
      </w:r>
    </w:p>
    <w:p w:rsidR="00A90898" w:rsidRDefault="00A90898" w:rsidP="00A90898">
      <w:pPr>
        <w:pStyle w:val="TextoNormal"/>
      </w:pPr>
    </w:p>
    <w:p w:rsidR="00A90898" w:rsidRDefault="00A90898" w:rsidP="00A90898">
      <w:pPr>
        <w:pStyle w:val="TextoNormal"/>
      </w:pPr>
      <w:r>
        <w:t>Por consiguiente, existió prueba de cargo suficiente, y la valoración de la prueba es lógica y razonable.</w:t>
      </w:r>
    </w:p>
    <w:p w:rsidR="00A90898" w:rsidRDefault="00A90898" w:rsidP="00A90898">
      <w:pPr>
        <w:pStyle w:val="TextoNormal"/>
      </w:pPr>
    </w:p>
    <w:p w:rsidR="00A90898" w:rsidRDefault="00A90898" w:rsidP="00A90898">
      <w:pPr>
        <w:pStyle w:val="TextoNormal"/>
      </w:pPr>
      <w:r>
        <w:t xml:space="preserve">Queda por analizar la queja que realizan los recurrentes, referida a la aplicación de la doctrina de la “ignorancia deliberada”, que tratan de llevar al ámbito del principio de legalidad penal. Sin embargo, como dice el Ministerio Fiscal en su escrito de alegaciones, las referencias que hace la Sentencia de instancia a esta construcción jurídica sólo son un plus en el razonamiento, puesto que ni siquiera el Juez </w:t>
      </w:r>
      <w:r w:rsidRPr="00A90898">
        <w:rPr>
          <w:i/>
        </w:rPr>
        <w:t>a quo</w:t>
      </w:r>
      <w:r>
        <w:t xml:space="preserve"> dice que ésta sea la base de la condena, que aclara suficientemente en el amplio fundamento que le destina.</w:t>
      </w:r>
    </w:p>
    <w:p w:rsidR="00A90898" w:rsidRDefault="00A90898" w:rsidP="00A90898">
      <w:pPr>
        <w:pStyle w:val="TextoNormal"/>
      </w:pPr>
    </w:p>
    <w:p w:rsidR="00A90898" w:rsidRDefault="00A90898" w:rsidP="00A90898">
      <w:pPr>
        <w:pStyle w:val="TextoNormal"/>
      </w:pPr>
      <w:r>
        <w:lastRenderedPageBreak/>
        <w:t>Como consecuencia, este motivo ha de ser desestimado.</w:t>
      </w:r>
    </w:p>
    <w:p w:rsidR="00A90898" w:rsidRDefault="00A90898" w:rsidP="00A90898">
      <w:pPr>
        <w:pStyle w:val="TextoNormal"/>
      </w:pPr>
    </w:p>
    <w:p w:rsidR="00A90898" w:rsidRDefault="00A90898" w:rsidP="00A90898">
      <w:pPr>
        <w:pStyle w:val="TextoNormal"/>
      </w:pPr>
      <w:r w:rsidRPr="00A90898">
        <w:rPr>
          <w:rStyle w:val="NumeroAFNegritaCaracter"/>
        </w:rPr>
        <w:t>5</w:t>
      </w:r>
      <w:r>
        <w:t>. En el presente caso, tal como se ha expuesto más ampliamente en los antecedentes, ha quedado acreditado que las resoluciones judiciales impugnadas han concluido que el delito de defraudación tributaria referido al IVA del ejercicio 2007 por el que han sido condenados los recurrentes no había prescrito, con el único argumento de que la presentación de la querella por parte del Ministerio Fiscal produjo la interrupción de la prescripción.</w:t>
      </w:r>
    </w:p>
    <w:p w:rsidR="00A90898" w:rsidRDefault="00A90898" w:rsidP="00A90898">
      <w:pPr>
        <w:pStyle w:val="TextoNormal"/>
      </w:pPr>
    </w:p>
    <w:p w:rsidR="00A90898" w:rsidRDefault="00A90898" w:rsidP="00A90898">
      <w:pPr>
        <w:pStyle w:val="TextoNormal"/>
      </w:pPr>
      <w:r>
        <w:t>Por tanto, tal como también solicita el Ministerio Fiscal, la negativa manifiesta al deber de acatamiento de esta concreta jurisprudencia constitucional por parte de las resoluciones impugnadas es determinante para que se otorgue el amparo por la vulneración del derecho a la tutela judicial efectiva (art. 24.1 CE), para cuyo restablecimiento es suficiente con declarar la nulidad parcial de las resoluciones impugnadas, sin necesidad de acordar la retroacción de actuaciones.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Otorgar parcialmente el amparo solicitado por los recurrentes Elisa Isabel Cataluña Lacreu, Francisco Ignacio Cortina Saus y Técnicos en Planes Parciales, S.L., y, en consecuencia:</w:t>
      </w:r>
    </w:p>
    <w:p w:rsidR="00A90898" w:rsidRDefault="00A90898" w:rsidP="00A90898">
      <w:pPr>
        <w:pStyle w:val="TextoNormal"/>
      </w:pPr>
    </w:p>
    <w:p w:rsidR="00A90898" w:rsidRDefault="00A90898" w:rsidP="00A90898">
      <w:pPr>
        <w:pStyle w:val="TextoNormal"/>
      </w:pPr>
      <w:r>
        <w:t>1º Reconocer su derecho fundamental a la tutela judicial efectiva (art. 24.1 CE).</w:t>
      </w:r>
    </w:p>
    <w:p w:rsidR="00A90898" w:rsidRDefault="00A90898" w:rsidP="00A90898">
      <w:pPr>
        <w:pStyle w:val="TextoNormal"/>
      </w:pPr>
    </w:p>
    <w:p w:rsidR="00A90898" w:rsidRDefault="00A90898" w:rsidP="00A90898">
      <w:pPr>
        <w:pStyle w:val="TextoNormal"/>
      </w:pPr>
      <w:r>
        <w:t>2º Declarar la nulidad de la Sentencia de la Sección Cuarta de la Audiencia Provincial de Valencia, de 3 de septiembre de 2015 (recaída en el recurso de apelación núm. 248-2015), y la del Juzgado de lo Penal núm. 10 de Valencia, de 9 de marzo de 2015 (procedimiento abreviado núm. 334-2014), en relación con la condena penal y el pronunciamiento de responsabilidad civil contra las citados demandantes de amparo, derivados del delito fiscal correspondientes al IVA del ejercicio de 2007.</w:t>
      </w:r>
    </w:p>
    <w:p w:rsidR="00A90898" w:rsidRDefault="00A90898" w:rsidP="00A90898">
      <w:pPr>
        <w:pStyle w:val="TextoNormal"/>
      </w:pPr>
    </w:p>
    <w:p w:rsidR="00A90898" w:rsidRDefault="00A90898" w:rsidP="00A90898">
      <w:pPr>
        <w:pStyle w:val="TextoNormal"/>
      </w:pPr>
      <w:r>
        <w:t>3º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dieciocho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8" w:name="SENTENCIA_2016_139"/>
      <w:r>
        <w:lastRenderedPageBreak/>
        <w:t>SENTENCIA 139/2016, de 21 de julio de 2016</w:t>
      </w:r>
    </w:p>
    <w:bookmarkEnd w:id="18"/>
    <w:p w:rsidR="00A90898" w:rsidRDefault="00A90898" w:rsidP="00A90898">
      <w:pPr>
        <w:pStyle w:val="TtuloResolucin"/>
      </w:pPr>
      <w:r>
        <w:t>Pleno</w:t>
      </w:r>
    </w:p>
    <w:p w:rsidR="00A90898" w:rsidRDefault="00A90898" w:rsidP="00A90898">
      <w:pPr>
        <w:pStyle w:val="TtuloBOE"/>
      </w:pPr>
      <w:r>
        <w:t>(BOE núm. 196, de 15 de agosto de 2016)</w:t>
      </w:r>
    </w:p>
    <w:p w:rsidR="00A90898" w:rsidRDefault="00A90898" w:rsidP="00A90898">
      <w:pPr>
        <w:pStyle w:val="TextoNormalCentrado"/>
      </w:pPr>
      <w:r>
        <w:t>ECLI:ES:TC:2016:139</w:t>
      </w:r>
    </w:p>
    <w:p w:rsidR="00A90898" w:rsidRDefault="00A90898" w:rsidP="00A90898">
      <w:pPr>
        <w:pStyle w:val="TextoNormalCentrado"/>
      </w:pPr>
    </w:p>
    <w:p w:rsidR="00A90898" w:rsidRDefault="00A90898" w:rsidP="00A90898">
      <w:pPr>
        <w:pStyle w:val="SntesisDescriptiva"/>
      </w:pPr>
      <w:r>
        <w:t>Recurso de inconstitucionalidad 4123-2012. Interpuesto por el Parlamento de Navarra en relación con diversos preceptos del Real Decreto-ley 16/2012, de 20 de abril, de medidas urgentes para garantizar la sostenibilidad del Sistema Nacional de Salud y mejorar la calidad y seguridad de sus prestaciones.</w:t>
      </w:r>
    </w:p>
    <w:p w:rsidR="00A90898" w:rsidRDefault="00A90898" w:rsidP="00A90898">
      <w:pPr>
        <w:pStyle w:val="SntesisDescriptiva"/>
      </w:pPr>
    </w:p>
    <w:p w:rsidR="00A90898" w:rsidRDefault="00A90898" w:rsidP="00A90898">
      <w:pPr>
        <w:pStyle w:val="SntesisAnaltica"/>
      </w:pPr>
      <w:r>
        <w:t>Límites de los decretos-leyes, derecho a la salud y competencias sanitarias, derecho a la protección de datos de carácter personal: nulidad del precepto legal que remite en blanco al reglamento la determinación del nivel de ingresos que no deben superar quienes, sin tener vínculo alguno con el sistema de Seguridad Social, aspiren a acceder a la condición de asegurados. Votos particulares.</w:t>
      </w:r>
    </w:p>
    <w:p w:rsidR="00A90898" w:rsidRDefault="00A90898" w:rsidP="00A90898">
      <w:pPr>
        <w:pStyle w:val="SntesisAnaltica"/>
      </w:pPr>
    </w:p>
    <w:p w:rsidR="00A90898" w:rsidRDefault="00A90898" w:rsidP="00A90898">
      <w:pPr>
        <w:pStyle w:val="Extracto"/>
      </w:pPr>
      <w:r>
        <w:t>1.</w:t>
      </w:r>
      <w:r>
        <w:tab/>
        <w:t>De la exposición de motivos de la norma cuestionada y del ulterior debate parlamentario de convalidación cabe concluir que el Gobierno cumplió con la exigencia de explicitar de forma suficiente la existencia de una situación de extraordinaria y urgente necesidad que fundamenta la necesidad de dictar el Real Decreto-ley 16/2012; razón basada en la existencia de una situación de grave dificultad económica sin precedentes desde la creación del Sistema Nacional de Salud, de manera que las reformas que se proponen tratan de hacer frente a una situación excepcional, actuando para impedir que la situación económica del mencionado Sistema se vuelva irreversible [FJ 5].</w:t>
      </w:r>
    </w:p>
    <w:p w:rsidR="00A90898" w:rsidRDefault="00A90898" w:rsidP="00A90898">
      <w:pPr>
        <w:pStyle w:val="Extracto"/>
      </w:pPr>
    </w:p>
    <w:p w:rsidR="00A90898" w:rsidRDefault="00A90898" w:rsidP="00A90898">
      <w:pPr>
        <w:pStyle w:val="Extracto"/>
      </w:pPr>
      <w:r>
        <w:t>2.</w:t>
      </w:r>
      <w:r>
        <w:tab/>
        <w:t>La regulación guarda relación directa con la situación que se trata de afrontar de modo que existe conexión de sentido entre la situación de urgencia, derivada de las dificultades por las que atraviesa el sistema sanitario público, y la medida adoptada, en cuanto que persigue la reducción de los gastos que se financian con cargo a dicho sistema y se relaciona, por tanto, con su sostenibilidad [FJ 5].</w:t>
      </w:r>
    </w:p>
    <w:p w:rsidR="00A90898" w:rsidRDefault="00A90898" w:rsidP="00A90898">
      <w:pPr>
        <w:pStyle w:val="Extracto"/>
      </w:pPr>
    </w:p>
    <w:p w:rsidR="00A90898" w:rsidRDefault="00A90898" w:rsidP="00A90898">
      <w:pPr>
        <w:pStyle w:val="Extracto"/>
      </w:pPr>
      <w:r>
        <w:t>3.</w:t>
      </w:r>
      <w:r>
        <w:tab/>
        <w:t>Doctrina para determinar la concurrencia del presupuesto habilitante para dictar decretos-leyes (SSTC 100/2012, 237/2012, 39/2013, 332/2005, 1/2012, 182/1997, 142/2014, 29/1982, 96/2014, 183/2014, 29/1982, 182/1997, 11/2002, 137/2003, 29/1982, 29/2016, 31/2011, 137/2011, 100/2012, 137/2011, 183/2014) [FJ 3].</w:t>
      </w:r>
    </w:p>
    <w:p w:rsidR="00A90898" w:rsidRDefault="00A90898" w:rsidP="00A90898">
      <w:pPr>
        <w:pStyle w:val="Extracto"/>
      </w:pPr>
    </w:p>
    <w:p w:rsidR="00A90898" w:rsidRDefault="00A90898" w:rsidP="00A90898">
      <w:pPr>
        <w:pStyle w:val="Extracto"/>
      </w:pPr>
      <w:r>
        <w:t>4.</w:t>
      </w:r>
      <w:r>
        <w:tab/>
        <w:t>El art. 43.1 CE reconoce el derecho a la protección de la salud cuya organización y tutela se encomienda a los poderes públicos a través de medidas preventivas y de prestaciones y servicios necesarios, atribuyéndose al legislador el establecimiento de los derechos y deberes de todos al respecto (art. 43.2); este precepto se ubica entre los principios rectores de la política social y económica que formalmente, disfrutan de las garantías previstas en el art. 53.3 CE, por lo que su reconocimiento, respeto y protección informarán la legislación positiva, la práctica judicial y la actuación de los poderes públicos, estatales y autonómicos y sólo se pueden alegar ante la jurisdicción ordinaria [FJ 6].</w:t>
      </w:r>
    </w:p>
    <w:p w:rsidR="00A90898" w:rsidRDefault="00A90898" w:rsidP="00A90898">
      <w:pPr>
        <w:pStyle w:val="Extracto"/>
      </w:pPr>
    </w:p>
    <w:p w:rsidR="00A90898" w:rsidRDefault="00A90898" w:rsidP="00A90898">
      <w:pPr>
        <w:pStyle w:val="Extracto"/>
      </w:pPr>
      <w:r>
        <w:lastRenderedPageBreak/>
        <w:t>5.</w:t>
      </w:r>
      <w:r>
        <w:tab/>
        <w:t>El art. 86.1 CE no prohíbe que mediante el decreto-ley pueda afectarse a cualquiera de las materias tratadas en los preceptos del Título I de la Constitución, sino únicamente a los que contienen una consagración de “derechos, deberes y libertades de los ciudadanos”. Atendiendo a su ubicación sistemática, el art. 43 CE se configura como un principio rector, razón por la que carece de contenido constitucionalmente esencial que pueda ser afectado por la legislación de urgencia; en consecuencia, el art. 43 CE no ostenta las características de derecho, cuya regulación por decreto-ley impide el art. 86.1 CE [FJ 6].</w:t>
      </w:r>
    </w:p>
    <w:p w:rsidR="00A90898" w:rsidRDefault="00A90898" w:rsidP="00A90898">
      <w:pPr>
        <w:pStyle w:val="Extracto"/>
      </w:pPr>
    </w:p>
    <w:p w:rsidR="00A90898" w:rsidRDefault="00A90898" w:rsidP="00A90898">
      <w:pPr>
        <w:pStyle w:val="Extracto"/>
      </w:pPr>
      <w:r>
        <w:t>6.</w:t>
      </w:r>
      <w:r>
        <w:tab/>
        <w:t>Doctrina sobre el límite material de los decretos-leyes relativo a la prohibición de afectación de los derechos de los ciudadanos reconocidos en el Título I CE (ATC 179/2011) [FJ 6].</w:t>
      </w:r>
    </w:p>
    <w:p w:rsidR="00A90898" w:rsidRDefault="00A90898" w:rsidP="00A90898">
      <w:pPr>
        <w:pStyle w:val="Extracto"/>
      </w:pPr>
    </w:p>
    <w:p w:rsidR="00A90898" w:rsidRDefault="00A90898" w:rsidP="00A90898">
      <w:pPr>
        <w:pStyle w:val="Extracto"/>
      </w:pPr>
      <w:r>
        <w:t>7.</w:t>
      </w:r>
      <w:r>
        <w:tab/>
        <w:t>La prohibición de ‘afectar’ a los derechos, deberes y libertades de los ciudadanos por Decretos-leyes (art. 86.1 de la Constitución) no coincide en su objeto con la necesidad de disciplinar por Ley Orgánica el ‘desarrollo’ de los derechos fundamentales y libertades públicas (STC 127/1994), pues este último ámbito es por fuerza más restringido, ya que tan sólo cubre el desarrollo general de un derecho o, en todo caso, la regulación de aspectos esenciales de dicho desarrollo. Por tanto, en la medida en que no se regula con carácter general el derecho fundamental a la protección de datos de carácter personal (</w:t>
      </w:r>
      <w:r w:rsidRPr="00A90898">
        <w:rPr>
          <w:i/>
        </w:rPr>
        <w:t>ex</w:t>
      </w:r>
      <w:r>
        <w:t xml:space="preserve"> art. 18.4 CE), debe desestimarse este motivo de inconstitucionalidad [FJ 6].</w:t>
      </w:r>
    </w:p>
    <w:p w:rsidR="00A90898" w:rsidRDefault="00A90898" w:rsidP="00A90898">
      <w:pPr>
        <w:pStyle w:val="Extracto"/>
      </w:pPr>
    </w:p>
    <w:p w:rsidR="00A90898" w:rsidRDefault="00A90898" w:rsidP="00A90898">
      <w:pPr>
        <w:pStyle w:val="Extracto"/>
      </w:pPr>
      <w:r>
        <w:t>8.</w:t>
      </w:r>
      <w:r>
        <w:tab/>
        <w:t>El Decreto-Ley no afecta el régimen constitucional ni atribuye o delimita con carácter general la esfera de competencias de las Comunidades Autónomas, de modo que su regulación se mueve dentro de los límites constitucionales del art. 86.1 CE, en cuanto que la norma no persigue una delimitación directa y positiva de las competencias autonómicas (SSTC 23/1993, 332/2005, 18/2016) [FJ 6].</w:t>
      </w:r>
    </w:p>
    <w:p w:rsidR="00A90898" w:rsidRDefault="00A90898" w:rsidP="00A90898">
      <w:pPr>
        <w:pStyle w:val="Extracto"/>
      </w:pPr>
    </w:p>
    <w:p w:rsidR="00A90898" w:rsidRDefault="00A90898" w:rsidP="00A90898">
      <w:pPr>
        <w:pStyle w:val="Extracto"/>
      </w:pPr>
      <w:r>
        <w:t>9.</w:t>
      </w:r>
      <w:r>
        <w:tab/>
        <w:t>Doctrina sobre los límites materiales del decreto ley en relación con la vulneración del régimen de las Comunidades Autónomas (STC 182/2013) [FJ 6].</w:t>
      </w:r>
    </w:p>
    <w:p w:rsidR="00A90898" w:rsidRDefault="00A90898" w:rsidP="00A90898">
      <w:pPr>
        <w:pStyle w:val="Extracto"/>
      </w:pPr>
    </w:p>
    <w:p w:rsidR="00A90898" w:rsidRDefault="00A90898" w:rsidP="00A90898">
      <w:pPr>
        <w:pStyle w:val="Extracto"/>
      </w:pPr>
      <w:r>
        <w:t>10.</w:t>
      </w:r>
      <w:r>
        <w:tab/>
        <w:t>Que los poderes públicos deban organizar las prestaciones y servicios necesarios para garantizar la protección de la salud, no significa que estas prestaciones hayan de ser necesariamente gratuitas para todos sus potenciales destinatarios: será la legislación la que en cada momento determine el alcance y la graduación de esa gratuidad, así como de las bonificaciones económicas en las prestaciones sanitarias de acuerdo con las exigencias derivadas de las circunstancias cambiantes, respetando los límites constitucionales [FJ 8].</w:t>
      </w:r>
    </w:p>
    <w:p w:rsidR="00A90898" w:rsidRDefault="00A90898" w:rsidP="00A90898">
      <w:pPr>
        <w:pStyle w:val="Extracto"/>
      </w:pPr>
    </w:p>
    <w:p w:rsidR="00A90898" w:rsidRDefault="00A90898" w:rsidP="00A90898">
      <w:pPr>
        <w:pStyle w:val="Extracto"/>
      </w:pPr>
      <w:r>
        <w:t>11.</w:t>
      </w:r>
      <w:r>
        <w:tab/>
        <w:t>La universalidad, en lo que significa como derecho de acceso y la correlativa obligación de los servicios sanitarios del Sistema Nacional de Salud de atender a los usuarios que reclaman atención sanitaria, no puede confundirse con un derecho a la gratuidad en las prestaciones y los servicios sanitarios [FJ 8].</w:t>
      </w:r>
    </w:p>
    <w:p w:rsidR="00A90898" w:rsidRDefault="00A90898" w:rsidP="00A90898">
      <w:pPr>
        <w:pStyle w:val="Extracto"/>
      </w:pPr>
    </w:p>
    <w:p w:rsidR="00A90898" w:rsidRDefault="00A90898" w:rsidP="00A90898">
      <w:pPr>
        <w:pStyle w:val="Extracto"/>
      </w:pPr>
      <w:r>
        <w:t>12.</w:t>
      </w:r>
      <w:r>
        <w:tab/>
        <w:t>Doctrina sobre los condicionantes económicos respecto del modelo de Seguridad Social (SSTC 65/1987, 37/1994, 78/2004; ATC 96/2011) [FJ 8].</w:t>
      </w:r>
    </w:p>
    <w:p w:rsidR="00A90898" w:rsidRDefault="00A90898" w:rsidP="00A90898">
      <w:pPr>
        <w:pStyle w:val="Extracto"/>
      </w:pPr>
    </w:p>
    <w:p w:rsidR="00A90898" w:rsidRDefault="00A90898" w:rsidP="00A90898">
      <w:pPr>
        <w:pStyle w:val="Extracto"/>
      </w:pPr>
      <w:r>
        <w:lastRenderedPageBreak/>
        <w:t>13.</w:t>
      </w:r>
      <w:r>
        <w:tab/>
        <w:t>Disponer una remisión en blanco para la determinación del nivel mínimo de ingresos, que constituye el núcleo esencial que configura legalmente el derecho de acceso a las prestaciones sanitarias financiadas con fondos públicos para determinados españoles, incurre en vicio de inconstitucionalidad, pues supone remitir totalmente al reglamento la concreción cuantitativa del umbral económico hasta el que se garantiza la cobertura de la gratuidad o la bonificación de las prestaciones sanitarias, sin que se incluya ninguna regla que permita identificar quiénes podrían ostentar la condición de asegurados, lo que produce una insuficiencia manifiesta en el contenido mínimo exigible a la configuración legal del art. 43 CE [FJ 9].</w:t>
      </w:r>
    </w:p>
    <w:p w:rsidR="00A90898" w:rsidRDefault="00A90898" w:rsidP="00A90898">
      <w:pPr>
        <w:pStyle w:val="Extracto"/>
      </w:pPr>
    </w:p>
    <w:p w:rsidR="00A90898" w:rsidRDefault="00A90898" w:rsidP="00A90898">
      <w:pPr>
        <w:pStyle w:val="Extracto"/>
      </w:pPr>
      <w:r>
        <w:t>14.</w:t>
      </w:r>
      <w:r>
        <w:tab/>
        <w:t>El derecho de los extranjeros a beneficiarse de la asistencia sanitaria será determinado y podrá ser limitado por las normas correspondientes. El legislador puede tomar en consideración el dato de su situación legal y administrativa en España, y, por ello, exigir a los extranjeros la autorización de su estancia o residencia como presupuesto para el ejercicio de algunos derechos constitucionales que por su propia naturaleza hacen imprescindible el cumplimiento de los requisitos que la misma ley establece para entrar y permanecer en territorio español [FJ 10].</w:t>
      </w:r>
    </w:p>
    <w:p w:rsidR="00A90898" w:rsidRDefault="00A90898" w:rsidP="00A90898">
      <w:pPr>
        <w:pStyle w:val="Extracto"/>
      </w:pPr>
    </w:p>
    <w:p w:rsidR="00A90898" w:rsidRDefault="00A90898" w:rsidP="00A90898">
      <w:pPr>
        <w:pStyle w:val="Extracto"/>
      </w:pPr>
      <w:r>
        <w:t>15.</w:t>
      </w:r>
      <w:r>
        <w:tab/>
        <w:t>Dentro del margen del legislador de establecer sus prioridades, la norma examinada no responde a una opción arbitraria, sino a la preservación de bienes o intereses constitucionalmente protegidos, como el mantenimiento del sistema sanitario público, sin desconocer las posibilidades del sistema en un momento de intensas complicaciones económicas, observándose, en la distinción entre extranjeros con autorización de residencia y los que carecen de ella, la debida proporcionalidad y dando cumplimiento a las obligaciones internacionales en la materia [FJ 10].</w:t>
      </w:r>
    </w:p>
    <w:p w:rsidR="00A90898" w:rsidRDefault="00A90898" w:rsidP="00A90898">
      <w:pPr>
        <w:pStyle w:val="Extracto"/>
      </w:pPr>
    </w:p>
    <w:p w:rsidR="00A90898" w:rsidRDefault="00A90898" w:rsidP="00A90898">
      <w:pPr>
        <w:pStyle w:val="Extracto"/>
      </w:pPr>
      <w:r>
        <w:t>16.</w:t>
      </w:r>
      <w:r>
        <w:tab/>
        <w:t>Respecto a las quejas formuladas sobre la deslegalización de la aportación de los usuarios para la financiación de determinadas prestaciones sanitarias, es patente que la participación en el coste que deben pagar los usuarios por los medicamentos y productos sanitarios que les proporcione el Sistema Nacional de Salud se regula de conformidad con los criterios recogidos en la legislación previa, siendo habitual la colaboración reglamentaria en esta materia [FJ 11].</w:t>
      </w:r>
    </w:p>
    <w:p w:rsidR="00A90898" w:rsidRDefault="00A90898" w:rsidP="00A90898">
      <w:pPr>
        <w:pStyle w:val="Extracto"/>
      </w:pPr>
    </w:p>
    <w:p w:rsidR="00A90898" w:rsidRDefault="00A90898" w:rsidP="00A90898">
      <w:pPr>
        <w:pStyle w:val="Extracto"/>
      </w:pPr>
      <w:r>
        <w:t>17.</w:t>
      </w:r>
      <w:r>
        <w:tab/>
        <w:t>En cuanto a la reforma del régimen de aportación de los usuarios en la prestación farmacéutica ambulatoria, dado el rango normativo utilizado para dicha modificación, no se ha infringido reserva legal alguna, pues el Decreto-ley es una fuente del derecho intercambiable con la ley formal, dentro de los límites constitucionales a los que está sometido [FJ 11].</w:t>
      </w:r>
    </w:p>
    <w:p w:rsidR="00A90898" w:rsidRDefault="00A90898" w:rsidP="00A90898">
      <w:pPr>
        <w:pStyle w:val="Extracto"/>
      </w:pPr>
    </w:p>
    <w:p w:rsidR="00A90898" w:rsidRDefault="00A90898" w:rsidP="00A90898">
      <w:pPr>
        <w:pStyle w:val="Extracto"/>
      </w:pPr>
      <w:r>
        <w:t>18.</w:t>
      </w:r>
      <w:r>
        <w:tab/>
        <w:t xml:space="preserve">La exigencia de que las Comunidades Autónomas acrediten condiciones de suficiencia financiera en el marco del principio de estabilidad presupuestaria deriva directamente del art. 135 CE, al disponer que todas las Administraciones Públicas adecuarán sus actuaciones al principio de estabilidad presupuestaria; estamos ante un mandato constitucional que, como tal, vincula a todos los poderes públicos y que por tanto, en su sentido principal, queda fuera de la disponibilidad —de la </w:t>
      </w:r>
      <w:r>
        <w:lastRenderedPageBreak/>
        <w:t>competencia— del Estado y de las Comunidades Autónomas” (STC 157/2011) [FJ 12].</w:t>
      </w:r>
    </w:p>
    <w:p w:rsidR="00A90898" w:rsidRDefault="00A90898" w:rsidP="00A90898">
      <w:pPr>
        <w:pStyle w:val="Extracto"/>
      </w:pPr>
    </w:p>
    <w:p w:rsidR="00A90898" w:rsidRDefault="00A90898" w:rsidP="00A90898">
      <w:pPr>
        <w:pStyle w:val="Extracto"/>
      </w:pPr>
      <w:r>
        <w:t>19.</w:t>
      </w:r>
      <w:r>
        <w:tab/>
        <w:t>La obligación de que las Comunidades Autónomas asuman, con cargo a sus propios presupuestos, todos los costes de aplicación de la cartera de servicios complementaria a las personas que tengan la condición de asegurado o de beneficiario del mismo no vulnera sus competencias: no se prohíbe la introducción de aportaciones de los usuarios en dichas prestaciones, sino que se limita a exigir que aquellos servicios que no estén contemplados en la cartera común del Sistema Nacional de Salud sean sufragados con cargo a los recursos que disponga la Comunidad Autónoma [FJ 12].</w:t>
      </w:r>
    </w:p>
    <w:p w:rsidR="00A90898" w:rsidRDefault="00A90898" w:rsidP="00A90898">
      <w:pPr>
        <w:pStyle w:val="Extracto"/>
      </w:pPr>
    </w:p>
    <w:p w:rsidR="00A90898" w:rsidRDefault="00A90898" w:rsidP="00A90898">
      <w:pPr>
        <w:pStyle w:val="Extracto"/>
      </w:pPr>
      <w:r>
        <w:t>20.</w:t>
      </w:r>
      <w:r>
        <w:tab/>
        <w:t>La queja sobre cesión de información tributaria sin consentimiento del interesado para su incorporación a la tarjeta individual sanitaria no se admite por: a) la LOPD admite la disposición de datos sin consentimiento del afectado, si se autoriza por ley; b) el dato que se cede no es estrictamente tributario, sino que es relativo al nivel de aportación que corresponde a los usuarios; c) en la cesión concurre una finalidad legítima y se limita a los datos necesarios para determinar si el interesado puede obtener la prestación sanitaria; y d) no se produce la vulneración de las competencias de Navarra en materia tributaria y financiera, pues la norma impugnada se limita a modificar la Ley general tributaria [FJ 13].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4123-2012, interpuesto por el Parlamento de Navarra contra los arts. 1.1 y, por conexión, 1.2; 2.2, 3 y 5; 4.12, 13 y 14 y disposiciones adicional tercera y transitoria primera del Real Decreto-ley 16/2012, de 20 de abril, de medidas urgentes para garantizar la sostenibilidad del Sistema Nacional de Salud y mejorar la calidad y seguridad de sus prestaciones. Ha comparecido y formulado alegaciones el Abogado del Estado.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5 de julio de 2012 la Letrada del Parlamento de Navarra, en la representación que legalmente ostenta, promueve recurso de inconstitucionalidad contra los arts. 1.1 y, por conexión, 1.2; 2.2, 3 y 5; 4.12, 13 y 14 y disposiciones adicional tercera y transitoria primera del Real Decreto-ley 16/2012, de 20 de abril, de medidas urgentes para garantizar la sostenibilidad del Sistema Nacional de Salud y mejorar la calidad y seguridad de sus prestaciones.</w:t>
      </w:r>
    </w:p>
    <w:p w:rsidR="00A90898" w:rsidRDefault="00A90898" w:rsidP="00A90898">
      <w:pPr>
        <w:pStyle w:val="TextoNormal"/>
      </w:pPr>
    </w:p>
    <w:p w:rsidR="00A90898" w:rsidRDefault="00A90898" w:rsidP="00A90898">
      <w:pPr>
        <w:pStyle w:val="TextoNormal"/>
      </w:pPr>
      <w:r w:rsidRPr="00A90898">
        <w:rPr>
          <w:rStyle w:val="NumeroAFNegritaCaracter"/>
        </w:rPr>
        <w:t>2</w:t>
      </w:r>
      <w:r>
        <w:t>. Los motivos del recurso son, sucintamente expuestos, los siguientes:</w:t>
      </w:r>
    </w:p>
    <w:p w:rsidR="00A90898" w:rsidRDefault="00A90898" w:rsidP="00A90898">
      <w:pPr>
        <w:pStyle w:val="TextoNormal"/>
      </w:pPr>
    </w:p>
    <w:p w:rsidR="00A90898" w:rsidRDefault="00A90898" w:rsidP="00A90898">
      <w:pPr>
        <w:pStyle w:val="TextoNormal"/>
      </w:pPr>
      <w:r>
        <w:t>Tras aludir a la legitimación del Parlamento de Navarra para la interposición del presente recurso y el cumplimiento de los restantes requisitos procesales, la demanda argumenta que la norma impugnada infringe el art. 86.1 CE tanto en lo que se refiere a los límites materiales de una norma de este tipo como respecto a la concurrencia de una situación de extraordinaria y urgente necesidad.</w:t>
      </w:r>
    </w:p>
    <w:p w:rsidR="00A90898" w:rsidRDefault="00A90898" w:rsidP="00A90898">
      <w:pPr>
        <w:pStyle w:val="TextoNormal"/>
      </w:pPr>
    </w:p>
    <w:p w:rsidR="00A90898" w:rsidRDefault="00A90898" w:rsidP="00A90898">
      <w:pPr>
        <w:pStyle w:val="TextoNormal"/>
      </w:pPr>
      <w:r>
        <w:t>a) Plantea en primer lugar la inconstitucionalidad de los preceptos impugnados por infracción de los límites materiales del art. 86 CE, por cuanto el mismo afectaría al derecho a la protección de la salud, alterando sustancialmente la posición de los ciudadanos en relación con el mencionado derecho. Señala la Letrada del Parlamento de Navarra que el Tribunal Constitucional ha ratificado la validez de algunos decretos-leyes cuando a través de ellos no se desarrollan de forma directa los derechos fundamentales o cuando tampoco hay una verdadera regulación de las condiciones de su ejercicio, considerando que este tipo de regulaciones no suponen una “afectación” en el sentido constitucional del término y, por lo tanto, no franquean los límites materiales impuestos por el art. 86.1 CE. En este caso, se altera sustancialmente la posición de los ciudadanos en relación con el derecho a la protección de la salud del art. 43 CE, por cuanto, en primer lugar, la norma impugnada convierte un sistema universalista de protección de la salud y acceso a la asistencia sanitaria pública en un sistema de aseguramiento, con el que se excluye a españoles residentes en España del derecho a la asistencia sanitaria pública sufragada con fondos públicos, exigiéndoles el pago de las prestaciones o la suscripción de un convenio especial, infringiendo además el principio de igualdad ante la ley del art. 14 CE. Alega la demanda que la determinación de las vías que van a posibilitar el acceso a la asistencia sanitaria pública constituyen una parte esencial del derecho que no puede ser regulado por decreto-ley y menos aún si la regulación se limita a remitirse a una determinación de ingresos que además se establecerá reglamentariamente. En segundo lugar, el art. 1.1 modifica sustancialmente el sistema de protección de la salud del que disfrutaban los inmigrantes por cuanto excluye a aquellos que no disponen de autorización de residencia del derecho a una asistencia sanitaria normalizada que tenían reconocido en virtud del art. 12 de la Ley Orgánica 4/2000, de 11 de enero, sobre derechos y libertades de los extranjeros en España y su integración social. Asimismo, la norma modifica, en los extremos impugnados de su art. 2, la cartera de servicios del Sistema Nacional de Salud, estableciendo un sistema de aportaciones económicas en la prestación farmacéutica de los pensionistas (art. 4.12 y 13), así como en otras prestaciones en las que, hasta la fecha, no se contemplaba tal sistema.</w:t>
      </w:r>
    </w:p>
    <w:p w:rsidR="00A90898" w:rsidRDefault="00A90898" w:rsidP="00A90898">
      <w:pPr>
        <w:pStyle w:val="TextoNormal"/>
      </w:pPr>
    </w:p>
    <w:p w:rsidR="00A90898" w:rsidRDefault="00A90898" w:rsidP="00A90898">
      <w:pPr>
        <w:pStyle w:val="TextoNormal"/>
      </w:pPr>
      <w:r>
        <w:lastRenderedPageBreak/>
        <w:t>El mismo reproche de afectar a un derecho fundamental, en este caso, la protección de datos de carácter personal, se formula al art. 4.14 pues, para su regulación se requeriría Ley Orgánica, de manera que el Real Decreto-ley se habría introducido en un ámbito que le está constitucionalmente vedado.</w:t>
      </w:r>
    </w:p>
    <w:p w:rsidR="00A90898" w:rsidRDefault="00A90898" w:rsidP="00A90898">
      <w:pPr>
        <w:pStyle w:val="TextoNormal"/>
      </w:pPr>
    </w:p>
    <w:p w:rsidR="00A90898" w:rsidRDefault="00A90898" w:rsidP="00A90898">
      <w:pPr>
        <w:pStyle w:val="TextoNormal"/>
      </w:pPr>
      <w:r>
        <w:t>En suma, para la demanda, todos los aspectos anteriores constituyen elementos esenciales del derecho de acceso a las prestaciones sanitarias públicas a que se refiere el art. 43.2 CE. Ninguno de ellos puede ser regulado mediante un decreto ley, como, sin embargo, ha sucedido en este caso. Ello determina que el Real Decreto-ley 16/2012 incurra en inconstitucionalidad al infringir las limitaciones establecidas en el art. 86.1 CE en lo que se refiere a la imposibilidad de afectar a los elementos esenciales de los derechos del título I CE, no respetándose la exigencia de ley que establece el apartado 2 del art. 43 CE.</w:t>
      </w:r>
    </w:p>
    <w:p w:rsidR="00A90898" w:rsidRDefault="00A90898" w:rsidP="00A90898">
      <w:pPr>
        <w:pStyle w:val="TextoNormal"/>
      </w:pPr>
    </w:p>
    <w:p w:rsidR="00A90898" w:rsidRDefault="00A90898" w:rsidP="00A90898">
      <w:pPr>
        <w:pStyle w:val="TextoNormal"/>
      </w:pPr>
      <w:r>
        <w:t>Un segundo motivo de vulneración del art. 86.1 CE, en relación con los límites materiales de este tipo de norma, vendría dado porque el Real Decreto-ley 16/2012 afectaría al régimen de las Comunidades Autónomas, pues invade las competencias de la Comunidad Foral de Navarra, reproche que se formula al art. 2.5, en la regulación de la denominada cartera complementaria, y a la disposición adicional tercera en lo relativo a la cesión de datos tributarios por parte de la hacienda foral.</w:t>
      </w:r>
    </w:p>
    <w:p w:rsidR="00A90898" w:rsidRDefault="00A90898" w:rsidP="00A90898">
      <w:pPr>
        <w:pStyle w:val="TextoNormal"/>
      </w:pPr>
    </w:p>
    <w:p w:rsidR="00A90898" w:rsidRDefault="00A90898" w:rsidP="00A90898">
      <w:pPr>
        <w:pStyle w:val="TextoNormal"/>
      </w:pPr>
      <w:r>
        <w:t>b) Igualmente se discute la concurrencia del presupuesto de hecho habilitante, es decir, la existencia de una extraordinaria y urgente necesidad, por cuanto se afirma que el objetivo fundamental de la norma es afrontar una reforma estructural del Sistema Nacional de Salud para responder a un problema de falta de eficacia en la gestión. Se trata, entonces, de una normativa con visos de permanencia. Alude en este sentido a la doctrina de la STC 137/2011 en relación con la competencia del Tribunal Constitucional “para verificar, la adecuación de la respuesta normativa a la situación de urgente necesidad que constituye el presupuesto de legitimación de estos instrumentos normativos lo que le permite anular por inconstitucionales los preceptos que por resultar excesivos y desproporcionados en relación con las circunstancias de hecho constatadas y el problema que se pretende resolver, vaya más allá de lo que es propio de una norma extraordinaria y provisional”. Señala al respecto, tras aludir a la memoria del Real Decreto-ley 16/2012, a su exposición de motivos y al debate parlamentario de convalidación, que el objetivo perseguido por la norma impugnada es afrontar una reforma estructural del Sistema Nacional de Salud dotándolo de solvencia y viabilidad y reforzando las medidas de cohesión para hacerlo sostenible en el tiempo, lo que hace necesario que éstas se apliquen con mayor urgencia posible. Se afirma que con estas medidas se garantiza el mantenimiento del modelo español del Sistema Nacional de Salud, que se sustenta en la financiación pública, la universalidad y la gratuidad de los servicios sanitarios. También se sostiene que las medidas adoptadas permitirán reforzar la sostenibilidad, mejorar la eficiencia en la gestión, promover el ahorro y las economías de escala, ganar en cohesión territorial, coordinar los servicios sanitarios y garantizar la igualdad de trato en todo el territorio nacional con una cartera de servicios comunes. Consideraciones todas ellas que la Letrada del Parlamento de Navarra califica de “sumamente generales para justificar la adopción de un instrumento normativo excepcional”.</w:t>
      </w:r>
    </w:p>
    <w:p w:rsidR="00A90898" w:rsidRDefault="00A90898" w:rsidP="00A90898">
      <w:pPr>
        <w:pStyle w:val="TextoNormal"/>
      </w:pPr>
    </w:p>
    <w:p w:rsidR="00A90898" w:rsidRDefault="00A90898" w:rsidP="00A90898">
      <w:pPr>
        <w:pStyle w:val="TextoNormal"/>
      </w:pPr>
      <w:r>
        <w:t>En concreto, indica que en toda la tramitación seguida para la aprobación de la norma no se da ninguna explicación sobre las modificaciones que se abordan y que implican la exclu</w:t>
      </w:r>
      <w:r>
        <w:lastRenderedPageBreak/>
        <w:t>sión de los extranjeros sin recursos que viven en España, aunque sin autorización para residir, para acceder a la asistencia sanitaria pública, que tenían reconocida por la Ley Orgánica 4/2000. No se ofrece tampoco ninguna razón para justificar la exclusión de la asistencia sanitaria sufragada con fondos públicos de los españoles residentes en España que, a pesar de participar en el mantenimiento económico de dicha asistencia, quedan excluidos de aquella, lo que entiende contrario al proceso de culminación de la universalización de la asistencia sanitaria derivado de la disposición adicional sexta de la Ley 33/2011, de 4 de octubre, general de salud pública. Argumenta también que la determinación de qué personas tienen reconocido el derecho de acceso a la asistencia sanitaria pública no puede quedar en manos de lo que se determine reglamentariamente en cada momento, ya que afecta a un derecho —el de protección de la salud— que es lo suficientemente importante como para que la Constitución Española exija que se regule por ley formal.</w:t>
      </w:r>
    </w:p>
    <w:p w:rsidR="00A90898" w:rsidRDefault="00A90898" w:rsidP="00A90898">
      <w:pPr>
        <w:pStyle w:val="TextoNormal"/>
      </w:pPr>
    </w:p>
    <w:p w:rsidR="00A90898" w:rsidRDefault="00A90898" w:rsidP="00A90898">
      <w:pPr>
        <w:pStyle w:val="TextoNormal"/>
      </w:pPr>
      <w:r>
        <w:t>También cuestiona la existencia de una conexión de sentido entre la situación definida y las medidas que se adoptan para conseguir los objetivos perseguidos, las cuales se demoran más de tres meses, sin que modifiquen inmediatamente la situación jurídica preexistente. La conclusión a la que llega la Letrada del Parlamento de Navarra es que “en realidad no existían unas circunstancias extraordinarias, imprevisibles que justificasen la utilización de este instrumento normativo, ni tampoco que exista una conexión de sentido o relación de adecuación entre esa situación y las medidas que se adoptan”. A la vista de todo ello afirma que “hay que concluir que la utilización del real decreto-ley en este caso no está justificada adecuadamente, tal como se ha expuesto, no habiéndose acreditado la existencia del presupuesto de hecho habilitante, la extraordinaria y urgente necesidad, que exige el artículo 86.1 CE para la utilización de este instrumento normativo, incurriendo en inconstitucionalidad por este motivo”.</w:t>
      </w:r>
    </w:p>
    <w:p w:rsidR="00A90898" w:rsidRDefault="00A90898" w:rsidP="00A90898">
      <w:pPr>
        <w:pStyle w:val="TextoNormal"/>
      </w:pPr>
    </w:p>
    <w:p w:rsidR="00A90898" w:rsidRDefault="00A90898" w:rsidP="00A90898">
      <w:pPr>
        <w:pStyle w:val="TextoNormal"/>
      </w:pPr>
      <w:r>
        <w:t>c) Examina a continuación el reconocimiento constitucional del derecho a la protección de la salud estableciendo que del art. 43.1 CE deriva un mandato a los poderes públicos para que establezcan un servicio público que preste la asistencia sanitaria a la población, sin diferencias o exclusiones. Este principio de igualdad presente, según la demanda, en el art. 43 CE se garantizaba con el establecimiento por el Estado de un catálogo de prestaciones mínimas que, con carácter general y de forma gratuita, se dispensaban en todo el territorio nacional, sin perjuicio de que las Comunidades Autónomas, en el ejercicio de sus propias competencias, ampliasen dicho listado en función de sus propias políticas sanitario-asistenciales. Esta concepción se habría plasmado en la Ley 14/1986, de 25 de abril, general de sanidad (LGS) de la que se desprende el diseño de un sistema de salud universalista y no contributivo que se presta a través del Sistema Nacional de Salud, compuesto por el conjunto de los servicios de salud del Estado y de las Comunidades Autónomas. La Ley general de sanidad sentó las bases de la universalización de la asistencia sanitaria, anteriormente ligada a la acción protectora de la Seguridad Social, universalización a la que también se refieren otras normas, como la Ley Orgánica 4/2000 que reconoció ese derecho a los extranjeros inscritos en los padrones municipales, o las Leyes 16/2003, de 28 de mayo, de cohesión y calidad del Sistema Nacional de Salud y 33/2011, de 4 de octubre, general de salud pública.</w:t>
      </w:r>
    </w:p>
    <w:p w:rsidR="00A90898" w:rsidRDefault="00A90898" w:rsidP="00A90898">
      <w:pPr>
        <w:pStyle w:val="TextoNormal"/>
      </w:pPr>
    </w:p>
    <w:p w:rsidR="00A90898" w:rsidRDefault="00A90898" w:rsidP="00A90898">
      <w:pPr>
        <w:pStyle w:val="TextoNormal"/>
      </w:pPr>
      <w:r>
        <w:t xml:space="preserve">Tras aludir al régimen de financiación de las prestaciones sanitarias, la Letrada del Parlamento de Navarra indica que, a efectos competenciales, la asistencia sanitaria se enmarca en el art. 149.1.16 CE, correspondiendo a Navarra las competencias que se contemplan en </w:t>
      </w:r>
      <w:r>
        <w:lastRenderedPageBreak/>
        <w:t>el art. 53 de la Ley Orgánica de reintegración y amejoramiento del régimen foral de Navarra (LORAFNA). Finaliza este apartado haciendo referencia a varios tratados internacionales ratificados por España, en los que se reconoce el derecho a la protección de la salud, como el art. 25 de la Declaración Universal de Derechos Humanos, el art. 12 del Pacto internacional de derechos económicos, sociales y culturales de 1966 o el art. 35 de la Carta de derechos fundamentales de la Unión Europea.</w:t>
      </w:r>
    </w:p>
    <w:p w:rsidR="00A90898" w:rsidRDefault="00A90898" w:rsidP="00A90898">
      <w:pPr>
        <w:pStyle w:val="TextoNormal"/>
      </w:pPr>
    </w:p>
    <w:p w:rsidR="00A90898" w:rsidRDefault="00A90898" w:rsidP="00A90898">
      <w:pPr>
        <w:pStyle w:val="TextoNormal"/>
      </w:pPr>
      <w:r>
        <w:t xml:space="preserve">d) Entrando ya en el examen de los apartados del Real Decreto-ley 16/2012 que son objeto de recurso, comienza por el art. 1, en el que, modificando la Ley 16/2003, se establece una nueva regulación que exige ostentar la condición de asegurado o de beneficiario para acceder a la asistencia sanitaria prestada con fondos públicos y regula cómo se accede a dicha condición. La consecuencia de la nueva regulación es que quedan fuera de este sistema de “aseguramiento” necesario para recibir asistencia sanitaria con cargo a fondos públicos, entre otros, los españoles residentes en España de 26 años o mayores de esa edad que no coticen a la Seguridad Social, las personas que viven de sus rentas, los profesionales liberales, los religiosos y los divorciados que no dependan de su cónyuge. A tales personas se les exigirá, para poder recibir asistencia sanitaria con cargo a fondos públicos, el pago de la correspondiente contraprestación o la suscripción de un convenio especial con el abono de la cuota correspondiente, lo que, para la Letrada del Parlamento de Navarra, implica un trato discriminatorio que incurre en inconstitucionalidad por infracción del art. 43 CE en relación con el principio de igualdad del art. 14 CE. Argumenta también que la determinación de los requisitos necesarios que van a posibilitar el acceso a la asistencia sanitaria pública, constituye una parte esencial del derecho a la protección de la salud que no puede ser regulado por decreto-ley. Este aspecto del real decreto-ley incurre en inconstitucionalidad por infracción del ámbito reservado a la ley y por la remisión en blanco a un reglamento para regular aspectos esenciales de un derecho del título I CE. Ambos vicios de inconstitucionalidad se trasladan por conexión al nuevo art. 3 </w:t>
      </w:r>
      <w:r w:rsidRPr="00A90898">
        <w:rPr>
          <w:i/>
        </w:rPr>
        <w:t>bis</w:t>
      </w:r>
      <w:r>
        <w:t xml:space="preserve"> de la Ley 16/2003 en el que se establece que el reconocimiento y control de la condición de asegurado o de beneficiario, corresponderá al Instituto Nacional de la Seguridad Social o, en su caso, el Instituto Social de la Marina y se hará de forma automática en los supuestos previstos en el apartado 2 del art. 3 de la Ley. Y por conexión también la disposición transitoria primera, con la que solamente se garantiza hasta el 31 de agosto de 2012, la asistencia sanitaria que algunas de las personas afectadas por estas medidas tienen reconocida por la legislación vigente.</w:t>
      </w:r>
    </w:p>
    <w:p w:rsidR="00A90898" w:rsidRDefault="00A90898" w:rsidP="00A90898">
      <w:pPr>
        <w:pStyle w:val="TextoNormal"/>
      </w:pPr>
    </w:p>
    <w:p w:rsidR="00A90898" w:rsidRDefault="00A90898" w:rsidP="00A90898">
      <w:pPr>
        <w:pStyle w:val="TextoNormal"/>
      </w:pPr>
      <w:r>
        <w:t xml:space="preserve">e) El segundo aspecto analizado es el relativo a la asistencia sanitaria a los inmigrantes sin recursos que carezcan de permiso de residencia. Con la nueva regulación se reconoce a los extranjeros no registrados o no autorizados a residir en España el derecho a la asistencia sanitaria de urgencia por enfermedad grave o accidente hasta la situación de alta médica y la asistencia al embarazo, parto y posparto y a los menores extranjeros de 18 años el derecho a la asistencia sanitaria en las mismas condiciones que a los españoles. Los inmigrantes en situación irregular, es decir los residentes en España, sin autorización de residencia no pueden acceder a la condición de asegurados. Con la regulación anterior, contenida en el hoy derogado art. 12 de la Ley Orgánica 4/2000, los extranjeros empadronados tenían derecho a la asistencia sanitaria en las mismas condiciones que los españoles. La demanda alude a la doctrina de la STC 236/2007, en relación con el margen del que dispone el legislador para determinar el contenido de los derechos de los extranjeros en España y la trascendencia que sobre este tema tienen los tratados internacionales ratificados por España. De la citada STC 236/2007 concluye que la dignidad de la persona, que encabeza el título I CE (art. 10.1) </w:t>
      </w:r>
      <w:r>
        <w:lastRenderedPageBreak/>
        <w:t xml:space="preserve">constituye un primer límite a la libertad del legislador a la hora de regular </w:t>
      </w:r>
      <w:r w:rsidRPr="00A90898">
        <w:rPr>
          <w:i/>
        </w:rPr>
        <w:t>ex</w:t>
      </w:r>
      <w:r>
        <w:t xml:space="preserve"> art. 13 CE los derechos y libertades de los extranjeros en España. El grado de conexión de un concreto derecho con la dignidad debe determinarse a partir de su contenido y naturaleza, siguiendo para ello la Declaración Universal de Derechos Humanos y los tratados y acuerdos internacionales a los que remite el art. 10.2 CE. El legislador contemplado en el art. 13 CE se encuentra asimismo limitado al regular aquellos derechos que la Constitución Española reconoce directamente a los extranjeros, lo que implica, de entrada, que el legislador no puede negarles tales derechos, aunque sí puede establecer condicionamientos adicionales respecto a su ejercicio por parte de aquéllos. En este supuesto se encontraría, según la demanda, el derecho a la protección de la salud, en cuya configuración el legislador puede modular las condiciones de ejercicio en función de la nacionalidad, introduciendo tratamientos desiguales entre españoles y extranjeros, si bien tal libertad no es absoluta ya que el legislador ha de respetar lo dispuesto en el artículo 10.1, en relación a la garantía de la dignidad humana. Por otra parte, la libertad del legislador se ve asimismo restringida por cuanto las condiciones de ejercicio que establezca respecto de los derechos y libertades de los extranjeros en España sólo serán constitucionalmente válidas si, respetando su contenido esencial (art. 53.1 CE), se dirigen a preservar otros derechos, bienes o intereses constitucionalmente protegidos y guardan adecuada proporcionalidad con la finalidad perseguida. En suma, el legislador puede tomar en consideración el dato de su situación legal y administrativa en España, y exigir a los extranjeros la autorización de su estancia o residencia como presupuesto para el ejercicio de algunos derechos constitucionales cuando se trate de derechos que por su propia naturaleza hacen imprescindible el cumplimiento de los requisitos que la misma Ley establece para entrar y permanecer en territorio español. Dicha opción está sometida a límites, puesto que el incumplimiento de los requisitos de estancia o residencia en España por parte de los extranjeros, no permite al legislador privarles de los derechos que les corresponden constitucionalmente en su condición de persona, con independencia de su situación administrativa. La decisión del legislador deberá, pues, tener en cuenta, en primer lugar, el grado de conexión de los concretos derechos con la garantía de la dignidad humana; en segundo lugar, el contenido preceptivo del derecho cuando éste venga reconocido a los extranjeros directamente por la Constitución; en tercer lugar, y en todo caso, el contenido delimitado para el derecho por la Constitución y los tratados internacionales. Por último, las condiciones de ejercicio establecidas por la Ley deberán dirigirse a preservar otros derechos, bienes o intereses constitucionalmente protegidos, y guardar adecuada proporcionalidad con la finalidad perseguida.</w:t>
      </w:r>
    </w:p>
    <w:p w:rsidR="00A90898" w:rsidRDefault="00A90898" w:rsidP="00A90898">
      <w:pPr>
        <w:pStyle w:val="TextoNormal"/>
      </w:pPr>
    </w:p>
    <w:p w:rsidR="00A90898" w:rsidRDefault="00A90898" w:rsidP="00A90898">
      <w:pPr>
        <w:pStyle w:val="TextoNormal"/>
      </w:pPr>
      <w:r>
        <w:t xml:space="preserve">En el análisis de la constitucionalidad del art. 3.3 de la Ley 16/2003, en la redacción dada por el art. 1.1 del Real Decreto-ley 16/2012, en la medida en que excluye a los extranjeros sin recursos económicos, que viven en España, de la asistencia sanitaria normalizada sufragada con fondos públicos si no disponen de una autorización para residir, hay que partir de la idea de que el derecho a la protección de la salud del art. 43 CE está íntimamente relacionado con otros derechos fundamentales, como son el derecho a la vida y el derecho a la integridad física, reconocidos por el art. 15 CE a todas las personas sin excepción. Además, según la Letrada del Parlamento de Navarra, “el derecho a la protección de la salud es un derecho social tanto en su aspecto de protección de la salud pública como en el de asistencia sanitaria, mediante el que se garantiza la salud, indispensable para el ejercicio de los demás derechos fundamentales, por lo que fácilmente se puede entender que se trata de un derecho que pertenece a las personas en cuanto tales y no como ciudadanos, un derecho imprescindible para la garantía de la dignidad humana y por lo tanto no resulta posible un tratamiento </w:t>
      </w:r>
      <w:r>
        <w:lastRenderedPageBreak/>
        <w:t>desigual de los extranjeros respecto de los españoles ni tampoco entre extranjeros en función de si estos últimos disponen o no de una autorización para residir”.</w:t>
      </w:r>
    </w:p>
    <w:p w:rsidR="00A90898" w:rsidRDefault="00A90898" w:rsidP="00A90898">
      <w:pPr>
        <w:pStyle w:val="TextoNormal"/>
      </w:pPr>
    </w:p>
    <w:p w:rsidR="00A90898" w:rsidRDefault="00A90898" w:rsidP="00A90898">
      <w:pPr>
        <w:pStyle w:val="TextoNormal"/>
      </w:pPr>
      <w:r>
        <w:t>La Letrada del Parlamento de Navarra argumenta también que, aunque se admitiera, a efectos dialécticos, que el legislador pudiera tener un mayor margen de actuación, dicho margen estaría restringido, pues solo estaría justificado si además de respetar el contenido esencial del derecho, se dirigiese a preservar otros derechos, bienes o intereses constitucionalmente protegidos, guardando la debida proporcionalidad con la finalidad perseguida. Señala que si la única razón de esta modificación está fundada en motivos económicos es evidente que no supera el examen de constitucionalidad: no está dirigida a preservar otros bienes o derechos constitucionalmente protegidos, ni tampoco es proporcional. Por otra parte, la modificación no respetaría el contenido del derecho a la protección de la salud que se reconoce como derecho en diversos textos internacionales ratificados por España. En concreto, la Letrada del Parlamento de Navarra argumenta que los inmigrantes en situación irregular que viven en España no pueden ser excluidos de la asistencia sanitaria que la norma reconoce a los regularizados sin recursos, pues sería una diferencia de trato injustificada y no razonable, proscrita por el art. 14 CE. Esta regulación carece de justificación alguna ya que ni respeta el contenido esencial de los derechos, ni se dirige a preservar otros derechos, bienes o intereses constitucionalmente protegidos, ni tampoco guarda la adecuada proporcionalidad con la finalidad perseguida, pues coloca a los extranjeros sin recursos en situación irregular, en una situación incompatible con su dignidad impidiéndoles ser asistidos normalmente por el sistema sanitario público, limitándoles el acceso a prestaciones imprescindibles para mantener su estado de salud, poniendo en peligro su salud y también la de otras personas si no pueden ser tratados de determinadas enfermedades en el momento adecuado y no solo cuando estas tengan carácter grave. Exclusión que va más allá de lo que sería la simple respuesta a situaciones de enfermedad pues las actuaciones de las Administraciones públicas en materia sanitaria están dirigidas, conforme el art. 6 de la Ley 16/2003, a promover la salud y la educación sanitaria, a la prevención de enfermedades y no solo a la curación de las mismas, a garantizar la asistencia sanitaria en todos los casos de pérdida de salud, y a promover la rehabilitación funcional y reinserción social del paciente.</w:t>
      </w:r>
    </w:p>
    <w:p w:rsidR="00A90898" w:rsidRDefault="00A90898" w:rsidP="00A90898">
      <w:pPr>
        <w:pStyle w:val="TextoNormal"/>
      </w:pPr>
    </w:p>
    <w:p w:rsidR="00A90898" w:rsidRDefault="00A90898" w:rsidP="00A90898">
      <w:pPr>
        <w:pStyle w:val="TextoNormal"/>
      </w:pPr>
      <w:r>
        <w:t>La Letrada del Parlamento de Navarra cierra su argumentación en este apartado señalando la similitud que, en su criterio, presenta este caso con el derecho de acceso a la educación contemplado en la STC 236/2007 y señalando la inconstitucionalidad por conexión, de la disposición transitoria primera del Real Decreto-ley 16/2012, en la medida en que solo garantiza hasta el 31 de agosto de 2012, la asistencia sanitaria que tenían reconocida de acuerdo con la legislación anteriormente vigente a los extranjeros que residen en España, sin autorización administrativa y que carecen de recursos económicos.</w:t>
      </w:r>
    </w:p>
    <w:p w:rsidR="00A90898" w:rsidRDefault="00A90898" w:rsidP="00A90898">
      <w:pPr>
        <w:pStyle w:val="TextoNormal"/>
      </w:pPr>
    </w:p>
    <w:p w:rsidR="00A90898" w:rsidRDefault="00A90898" w:rsidP="00A90898">
      <w:pPr>
        <w:pStyle w:val="TextoNormal"/>
      </w:pPr>
      <w:r>
        <w:t>f) En cuanto al art. 2 señala que modifica la Ley 16/2003 para que la cartera común de servicios del Sistema Nacional de Salud se articule en torno a tres modalidades: la cartera común básica de servicios asistenciales del Sistema Nacional de Salud; la cartera común suplementaria del Sistema Nacional de Salud, que comprende todas aquellas prestaciones cuya provisión se realiza mediante dispensación ambulatoria y están sujetas a aportación del usuario y la cartera común de servicios accesorios del Sistema Nacional de Salud que incluye todas aquellas actividades, servicios o técnicas, sin carácter de prestación, que no se consideran esenciales y/o que son coadyuvantes o de apoyo para la mejora de una patología de carácter crónico, estando sujetas a aportación y/o reembolso por parte del usuario.</w:t>
      </w:r>
    </w:p>
    <w:p w:rsidR="00A90898" w:rsidRDefault="00A90898" w:rsidP="00A90898">
      <w:pPr>
        <w:pStyle w:val="TextoNormal"/>
      </w:pPr>
    </w:p>
    <w:p w:rsidR="00A90898" w:rsidRDefault="00A90898" w:rsidP="00A90898">
      <w:pPr>
        <w:pStyle w:val="TextoNormal"/>
      </w:pPr>
      <w:r>
        <w:t>La introducción de la aportación del usuario (en relación con las prestaciones de la cartera común suplementaria del Sistema Nacional de Salud y con las de la cartera común de servicios accesorios del Sistema) supone un cambio sustancial del sistema de asistencia sanitaria, que no puede ser abordado mediante un decreto-ley, incurriendo en motivo de inconstitucionalidad por infracción de lo dispuesto en el art. 86 CE que prohíbe la utilización de este instrumento normativo para regular aspectos que afectan a un derecho del título I CE, como es el derecho a la protección de la salud (art. 43 CE). Igualmente lo cuestiona desde el punto de vista de afectación al sistema tributario (art. 31.1 CE), en la medida en que supone en realidad una mayor carga económica para los usuarios del sistema.</w:t>
      </w:r>
    </w:p>
    <w:p w:rsidR="00A90898" w:rsidRDefault="00A90898" w:rsidP="00A90898">
      <w:pPr>
        <w:pStyle w:val="TextoNormal"/>
      </w:pPr>
    </w:p>
    <w:p w:rsidR="00A90898" w:rsidRDefault="00A90898" w:rsidP="00A90898">
      <w:pPr>
        <w:pStyle w:val="TextoNormal"/>
      </w:pPr>
      <w:r>
        <w:t>Por otro lado, en relación a la denominada cartera de servicios complementaria de las Comunidades Autónomas, cuestiona que, para la aprobación de dicha cartera, sea precisa la garantía previa de suficiencia financiera en el marco del cumplimiento de los criterios de estabilidad presupuestaria. Con esta condición se limita, recorta y condiciona la capacidad de desarrollo legislativo de las bases que el art. 53 LORAFNA atribuye a la Comunidad Foral, por lo que deviene inconstitucional, y ello teniendo en cuenta además las especialidades que en cuanto al procedimiento para su aplicación se derivan de lo establecido en la disposición final tercera de la Ley Orgánica 2/2012, de 27 de abril, de estabilidad presupuestaria y sostenibilidad financiera, en lo que a Navarra se refiere (STC 148/2006). También resulta inconstitucional el apartado 7 del nuevo art. 8.</w:t>
      </w:r>
      <w:r w:rsidRPr="00A90898">
        <w:rPr>
          <w:i/>
        </w:rPr>
        <w:t>quinquies</w:t>
      </w:r>
      <w:r>
        <w:t xml:space="preserve"> de la Ley 16/2003 (art. 2.5 del Real Decreto-ley), en el que se obliga a las Comunidades Autónomas a asumir todos los costes de aplicación de la cartera de servicios complementarios, prohibiéndoles la introducción de aportaciones de los usuarios en las prestaciones complementarias que se puedan establecer en el ámbito autonómico. Esta previsión invade las competencias de desarrollo de la legislación básica del Estado que ostenta la Comunidad Foral en materia de sanidad, incurriendo en inconstitucionalidad por este motivo y también por infracción del art. 86 CE al estar establecida esta previsión por decreto-ley.</w:t>
      </w:r>
    </w:p>
    <w:p w:rsidR="00A90898" w:rsidRDefault="00A90898" w:rsidP="00A90898">
      <w:pPr>
        <w:pStyle w:val="TextoNormal"/>
      </w:pPr>
    </w:p>
    <w:p w:rsidR="00A90898" w:rsidRDefault="00A90898" w:rsidP="00A90898">
      <w:pPr>
        <w:pStyle w:val="TextoNormal"/>
      </w:pPr>
      <w:r>
        <w:t xml:space="preserve">g) En cuanto a la modificación de la aportación de los usuarios en la prestación farmacéutica, la demanda argumenta que el nuevo art. 94.1 (art. 4.12 del Real Decreto-ley 16/2012) deslegaliza un aspecto nuclear de la prestación farmacéutica que afecta a los derechos de los usuarios en su relación al servicio público sanitario, ya que implica un remisión en blanco al reglamento para “revisar periódicamente la participación en el pago a satisfacer por los ciudadanos por la prestación farmacéutica íntegra con cargo a fondos públicos”, y en el nuevo art. 94 </w:t>
      </w:r>
      <w:r w:rsidRPr="00A90898">
        <w:rPr>
          <w:i/>
        </w:rPr>
        <w:t>bis</w:t>
      </w:r>
      <w:r>
        <w:t xml:space="preserve"> (art. 4.13) se acomete una reforma importante de las aportaciones de los usuarios en la prestación farmacéutica ambulatoria. Ambas previsiones afectan a los derechos y obligaciones de los usuarios que deben ser regulados por ley, a tenor de lo dispuesto en el art. 43.2 CE, por lo que incurren en inconstitucionalidad.</w:t>
      </w:r>
    </w:p>
    <w:p w:rsidR="00A90898" w:rsidRDefault="00A90898" w:rsidP="00A90898">
      <w:pPr>
        <w:pStyle w:val="TextoNormal"/>
      </w:pPr>
    </w:p>
    <w:p w:rsidR="00A90898" w:rsidRDefault="00A90898" w:rsidP="00A90898">
      <w:pPr>
        <w:pStyle w:val="TextoNormal"/>
      </w:pPr>
      <w:r>
        <w:t xml:space="preserve">h) Finalmente, se cuestiona la cesión de información tributaria sin consentimiento del interesado para su incorporación a la tarjeta individual sanitaria que lleva a cabo el art. 4.14, que introduce un nuevo art. 94 </w:t>
      </w:r>
      <w:r w:rsidRPr="00A90898">
        <w:rPr>
          <w:i/>
        </w:rPr>
        <w:t>ter</w:t>
      </w:r>
      <w:r>
        <w:t xml:space="preserve">. en la Ley 29/2006, de 26 de julio, de garantías y uso racional de los medicamentos y productos sanitarios. Conforme a esa regulación, el dato relativo al nivel de aportación de los usuarios del Sistema Nacional de Salud, es decir si su nivel de renta se sitúa por debajo de los 18.000 € o entre esta cantidad y la de 100.000 € o por encima, es un dato que se incorpora a la tarjeta individual sanitaria. Esta incorporación </w:t>
      </w:r>
      <w:r>
        <w:lastRenderedPageBreak/>
        <w:t>de los tramos de renta a la tarjeta individual sanitaria, que implica una cesión de datos personales, se realiza sin solicitar el consentimiento del interesado, que expresamente se excluye, y sin que exista una previsión legal que la autorice, incumpliendo lo dispuesto en el art. 11 de la Ley Orgánica 15/1999, de 13 de diciembre, de protección de datos de carácter personal, por lo que incurre en inconstitucionalidad por infracción de lo dispuesto en el art. 81 CE. Igualmente inconstitucional sería la disposición adicional tercera del Real Decreto-ley 16/2012 en cuanto que establece la cesión de datos tributarios por parte de la administración tributaria correspondiente, previsión que, en la medida en que se pudiera entender de aplicación en el ámbito de la Comunidad Foral de Navarra, resultaría inconstitucional al infringir el art. 45 LORAFNA en el que se establece que la actividad tributaria y financiera de Navarra se regulará por el sistema tradicional de convenio económico y la disposición adicional primera CE. La cesión de datos tributarios en el caso de Navarra está regulada por la legislación foral sin que la normativa estatal pueda interferir en ello.</w:t>
      </w:r>
    </w:p>
    <w:p w:rsidR="00A90898" w:rsidRDefault="00A90898" w:rsidP="00A90898">
      <w:pPr>
        <w:pStyle w:val="TextoNormal"/>
      </w:pPr>
    </w:p>
    <w:p w:rsidR="00A90898" w:rsidRDefault="00A90898" w:rsidP="00A90898">
      <w:pPr>
        <w:pStyle w:val="TextoNormal"/>
      </w:pPr>
      <w:r w:rsidRPr="00A90898">
        <w:rPr>
          <w:rStyle w:val="NumeroAFNegritaCaracter"/>
        </w:rPr>
        <w:t>3</w:t>
      </w:r>
      <w:r>
        <w:t>. Por providencia del Pleno del Tribunal Constitucional de 16 de julio de 2012 se acordó admitir a trámite el recurso de inconstitucionalidad en relación con el art. 1.1 y, por conexión, 1.2; 2.2, 3 y 5; 4.12, 13 y 14 y disposición adicional tercera y transitoria primera del Real Decreto-ley 16/2012, de 20 de abril, de medidas urgentes para garantizar la sostenibilidad del Sistema Nacional de Salud y mejorar la calidad y seguridad de sus prestaciones,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Igualmente se acordó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4</w:t>
      </w:r>
      <w:r>
        <w:t>. El Abogado del Estado, mediante escrito registrado en fecha 20 de julio de 2012, se personó en el proceso en nombre del Gobierno, solicitando una prórroga de ocho días en el plazo para formular alegaciones, prórroga que le fue concedida por providencia del Pleno de 25 de julio de 2012.</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con fecha 27 de julio de 2012, el Presidente del Congreso de los Diputados comunicó el acuerdo de la Mesa de la Cámara de personarse en el procedimiento y ofrecer su colaboración a los efectos del art. 88.1 LOTC. Lo mismo hizo el Presidente del Senado en escrito registrado el 5 de septiembre de 2012.</w:t>
      </w:r>
    </w:p>
    <w:p w:rsidR="00A90898" w:rsidRDefault="00A90898" w:rsidP="00A90898">
      <w:pPr>
        <w:pStyle w:val="TextoNormal"/>
      </w:pPr>
    </w:p>
    <w:p w:rsidR="00A90898" w:rsidRDefault="00A90898" w:rsidP="00A90898">
      <w:pPr>
        <w:pStyle w:val="TextoNormal"/>
      </w:pPr>
      <w:r w:rsidRPr="00A90898">
        <w:rPr>
          <w:rStyle w:val="NumeroAFNegritaCaracter"/>
        </w:rPr>
        <w:t>6</w:t>
      </w:r>
      <w:r>
        <w:t>. Con fecha 21 de septiembre de 2012, el Abogado del Estado presentó su escrito de alegaciones solicitando la desestimación del recurso por los motivos que seguidamente se sintetizan.</w:t>
      </w:r>
    </w:p>
    <w:p w:rsidR="00A90898" w:rsidRDefault="00A90898" w:rsidP="00A90898">
      <w:pPr>
        <w:pStyle w:val="TextoNormal"/>
      </w:pPr>
    </w:p>
    <w:p w:rsidR="00A90898" w:rsidRDefault="00A90898" w:rsidP="00A90898">
      <w:pPr>
        <w:pStyle w:val="TextoNormal"/>
      </w:pPr>
      <w:r>
        <w:t xml:space="preserve">a) Comienza señalando la necesidad de delimitar el objeto del recurso pues, pese a que la demanda en su encabezamiento dice dirigir el recurso de inconstitucionalidad contra el art. 1.1 y, por conexión, 1.2, 3 y 5; 4.12, 13 y 14 y disposición adicional tercera y transitoria primera del Real Decreto-ley 16/2012 en el suplico se señala que el recurso se dirige contra el Real Decreto-ley 16/2012 “por infringir el artículo 86 de la Constitución y contra los artículos antes señalados”. Entiende, no obstante que la providencia de admisión delimita correctamente el ámbito del recurso, ya que en el cuerpo de la demanda no se encuentra </w:t>
      </w:r>
      <w:r>
        <w:lastRenderedPageBreak/>
        <w:t>argumento justificativo alguno respecto a la inconstitucionalidad del Real Decreto-ley 16/2012 en su conjunto. Entiende, por tanto, que el proceso ha de quedar circunscrito a los preceptos mencionados en la providencia de admisión a trámite.</w:t>
      </w:r>
    </w:p>
    <w:p w:rsidR="00A90898" w:rsidRDefault="00A90898" w:rsidP="00A90898">
      <w:pPr>
        <w:pStyle w:val="TextoNormal"/>
      </w:pPr>
    </w:p>
    <w:p w:rsidR="00A90898" w:rsidRDefault="00A90898" w:rsidP="00A90898">
      <w:pPr>
        <w:pStyle w:val="TextoNormal"/>
      </w:pPr>
      <w:r>
        <w:t>Describe a continuación el contenido del Real Decreto-ley 16/2012 así como la evolución normativa de la delimitación del ámbito subjetivo de cobertura en el Sistema Nacional de Salud. Así señala, en primer lugar, que, con anterioridad a la vigencia del Real Decreto-ley 16/2012, el derecho a la asistencia sanitaria se ha venido regulando de forma diferente para los españoles, los nacionales de Estados miembros de la Unión Europea y los extranjeros (nacionales de Estados no miembros de la Unión Europea). En el caso de los españoles, la asistencia sanitaria se configuró como una prestación contributiva de la Seguridad Social, a la que tenían derecho quienes se encontraban afiliados y dados de alta en el sistema y contribuían o habían contribuido económicamente a su mantenimiento mediante cotizaciones. La Ley general de sanidad consagró el derecho a la protección de la salud y a la asistencia sanitaria de “todos los españoles ... que tengan establecida su residencia en territorio nacional”, en lo que se conoce como “principio de universalidad” en el acceso a la sanidad pública. A impulsos de este principio, el art. 80 LGS encomendó al Gobierno la regulación de la cobertura de la asistencia sanitaria del Sistema de Seguridad Social para las personas no incluidas en el mismo que carecieran de recursos económicos suficientes (art. 9.3 de la Ley 37/1988, de 28 de diciembre, de presupuestos generales del Estado para 1989, y Real Decreto 1088/1989, de 8 de septiembre, posteriormente desarrollado por Orden de 13 de noviembre de 1989). Dichas decisiones extendieron la cobertura de la asistencia sanitaria de la Seguridad Social a “los españoles que tengan establecida su residencia en territorio nacional y carezcan de recursos económicos suficientes”, entendiéndose comprendidas aquellas personas “cuyas rentas, de cualquier naturaleza, sean iguales o inferiores en cómputo anual al salario mínimo interprofesional”. De lo anterior deduce el Abogado del Estado que el reconocimiento del principio de universalidad de la asistencia sanitaria en la Ley general de sanidad no se tradujo, sin embargo, en un acceso incondicionado de los españoles a esta prestación con cargo a fondos públicos, ya que este derecho continuó atribuyéndose únicamente a quienes estuvieran afiliados a la Seguridad Social como trabajador, pensionista o perceptor de prestaciones periódicas o a quienes, no estando afiliados a la Seguridad Social, carecieran de recursos económicos suficientes, sin perjuicio de determinados colectivos a quienes por norma singular se había reconocido ese derecho a lo largo del tiempo.</w:t>
      </w:r>
    </w:p>
    <w:p w:rsidR="00A90898" w:rsidRDefault="00A90898" w:rsidP="00A90898">
      <w:pPr>
        <w:pStyle w:val="TextoNormal"/>
      </w:pPr>
    </w:p>
    <w:p w:rsidR="00A90898" w:rsidRDefault="00A90898" w:rsidP="00A90898">
      <w:pPr>
        <w:pStyle w:val="TextoNormal"/>
      </w:pPr>
      <w:r>
        <w:t xml:space="preserve">La Ley 49/1998, de 30 de diciembre, de presupuestos generales del Estado para 1999 desvinculó la prestación de asistencia sanitaria de las cotizaciones de la Seguridad Social. Con ello se consagró el principio de “financiación pública” de la asistencia sanitaria en España. Los principios de universalidad y financiación pública de la asistencia sanitaria fueron recogidos en el art. 2, apartados b) y e) de la Ley 16/2003. El art. 3.l a) de esta Ley reiteró que “todos los españoles” son titulares de los derechos a la protección de la salud y a la asistencia sanitaria. Pero el principio de universalidad tampoco se llevó hasta sus últimas consecuencias, por cuanto el acceso a la asistencia sanitaria siguió condicionado a la afiliación al Sistema de Seguridad Social o a la acreditación de falta de recursos económicos suficientes, sin perjuicio de determinados colectivos a quienes por norma singular se había reconocido ese derecho a lo largo del tiempo. El hito final en la realización de este principio vino dado por la disposición adicional sexta de la Ley 33/2011, de 4 de octubre, general de salud pública. En cumplimiento de este principio de universalidad, extendió la asistencia sanitaria pública, a partir del 1 de enero de 2012, a las personas “que hayan agotado la </w:t>
      </w:r>
      <w:r>
        <w:lastRenderedPageBreak/>
        <w:t>prestación o subsidio de desempleo”, y previó esta misma extensión a las personas que “ejerzan actividades por cuenta propia”, atendiendo a la evolución de las cuentas públicas, en el plazo de seis meses.</w:t>
      </w:r>
    </w:p>
    <w:p w:rsidR="00A90898" w:rsidRDefault="00A90898" w:rsidP="00A90898">
      <w:pPr>
        <w:pStyle w:val="TextoNormal"/>
      </w:pPr>
    </w:p>
    <w:p w:rsidR="00A90898" w:rsidRDefault="00A90898" w:rsidP="00A90898">
      <w:pPr>
        <w:pStyle w:val="TextoNormal"/>
      </w:pPr>
      <w:r>
        <w:t>Como conclusión, el Abogado del Estado señala que, tras la aprobación de la Ley 33/2011, la cobertura de la asistencia sanitaria con cargo a fondos públicos correspondía a tres grandes colectivos: a las personas afiliadas al Sistema de Seguridad Social (como trabajador por cuenta propia o ajena, pensionista o perceptor de prestaciones periódicas); a quienes hayan agotado la prestación o subsidio de desempleo (a partir del 1 de enero de 2012); y a los que, no estando en ninguno de los supuestos anteriores, carezcan de recursos económicos suficientes. El derecho a la asistencia sanitaria en el Sistema Nacional de Salud con cargo a fondos públicos de quienes ejercían “actividades por cuenta propia” quedó condicionado a un ulterior desarrollo normativo.</w:t>
      </w:r>
    </w:p>
    <w:p w:rsidR="00A90898" w:rsidRDefault="00A90898" w:rsidP="00A90898">
      <w:pPr>
        <w:pStyle w:val="TextoNormal"/>
      </w:pPr>
    </w:p>
    <w:p w:rsidR="00A90898" w:rsidRDefault="00A90898" w:rsidP="00A90898">
      <w:pPr>
        <w:pStyle w:val="TextoNormal"/>
      </w:pPr>
      <w:r>
        <w:t>En cuanto a los nacionales pertenecientes a Estados miembros de la Unión Europea indica que, conforme a la normativa comunitaria, estén asegurados en su país de origen, tendrán acceso a la asistencia sanitaria pública en España en las mismas condiciones que los españoles, de modo que, el desplazamiento del asegurado a otro país de la Unión Europea no conlleva el derecho a recibir la misma asistencia sanitaria que tenía en su país de origen, sino la que disponga el país de destino.</w:t>
      </w:r>
    </w:p>
    <w:p w:rsidR="00A90898" w:rsidRDefault="00A90898" w:rsidP="00A90898">
      <w:pPr>
        <w:pStyle w:val="TextoNormal"/>
      </w:pPr>
    </w:p>
    <w:p w:rsidR="00A90898" w:rsidRDefault="00A90898" w:rsidP="00A90898">
      <w:pPr>
        <w:pStyle w:val="TextoNormal"/>
      </w:pPr>
      <w:r>
        <w:t>Por lo que respecta a los extranjeros no pertenecientes a Estados miembros de la Unión Europea, el Abogado del Estado menciona que, conforme al art. 12 de la Ley Orgánica 4/2000, de 11 de enero, sobre derechos y libertades de los extranjeros en España y su integración social, la asistencia sanitaria de los extranjeros se regulaba de forma diferente en función de que tuvieran o no residencia habitual en España y estuvieran inscritos en el padrón municipal. Los primeros tenían derecho a la asistencia sanitaria “en las mismas condiciones que los españoles”, mientras que a los no inscritos se les garantizaba la asistencia sanitaria pública de urgencia ante la contracción de enfermedades graves o accidentes, y los menores de dieciocho años “tienen derecho a la asistencia sanitaria en las mismas condiciones que los españoles”; y si se trata de extranjeras embarazadas “tendrán derecho a la asistencia sanitaria durante el embarazo, parto y postparto”. Indica finalmente que España tiene suscritos veinte convenios internacionales de Seguridad Social con terceros países, si bien solo en algunos de ellos se prevé el derecho a recibir asistencia sanitaria en el país de destino; en estos casos, los gastos ocasionados por la asistencia sanitaria se liquidarán por el sistema de reembolso, en función de la posición acreedora o deudora de los países firmantes de los convenios.</w:t>
      </w:r>
    </w:p>
    <w:p w:rsidR="00A90898" w:rsidRDefault="00A90898" w:rsidP="00A90898">
      <w:pPr>
        <w:pStyle w:val="TextoNormal"/>
      </w:pPr>
    </w:p>
    <w:p w:rsidR="00A90898" w:rsidRDefault="00A90898" w:rsidP="00A90898">
      <w:pPr>
        <w:pStyle w:val="TextoNormal"/>
      </w:pPr>
      <w:r>
        <w:t xml:space="preserve">En cuanto al régimen jurídico del derecho a la asistencia sanitaria tras el Real Decreto-ley 16/2012, el Abogado del Estado destaca que la norma precisa los conceptos de “asegurado” y “beneficiario” a efectos de la asistencia sanitaria en España, con cargo a fondos públicos a través del Sistema Nacional de Salud, tratando así de clarificar las personas que pueden acceder a la misma y los requisitos que éstas deben cumplir, ya sea como asegurados o como beneficiarios. En cuanto a las notas que definen la nueva regulación señala que, para el caso de los españoles, la condición de asegurado se define en los mismos términos que la normativa anterior, mientras que se introduce una limitación en la condición de beneficiario en el caso de los descendientes. Igualmente afirma que se respeta el principio de igualdad de trato en el acceso a la asistencia sanitaria de los nacionales de otros Estados miembros </w:t>
      </w:r>
      <w:r>
        <w:lastRenderedPageBreak/>
        <w:t>de la Unión Europea, de forma que los nacionales comunitarios podrán acceder a la asistencia sanitaria, con cargo a fondos públicos, a través del Sistema Nacional de Salud en las mismas condiciones que los españoles. En cuanto a los extranjeros no pertenecientes a Estados miembros de la Unión Europea, tendrán acceso a la asistencia sanitaria en el Sistema Nacional de Salud, con cargo a fondos públicos, si se les reconoce la condición de “asegurado” o “beneficiario”, para lo que deberán contar con la previa autorización de residencia, manteniendo para los extranjeros no autorizados a residir en España los mismos tres casos especiales de asistencia sanitaria que se contemplaban en el art. 12 de la Ley Orgánica 4/2000. Menciona, además, el Abogado del Estado el desarrollo reglamentario de la norma, llevado a cabo por el Real Decreto 1192/2012, de 3 de agosto, del que se desprende que tienen acceso al Sistema Nacional de Salud todos aquellos ciudadanos que, no estando asegurados “por otra vía”, no superen la renta de cien mil euros anuales, calculada en los términos que especifica el artículo 2.3 del mismo texto.</w:t>
      </w:r>
    </w:p>
    <w:p w:rsidR="00A90898" w:rsidRDefault="00A90898" w:rsidP="00A90898">
      <w:pPr>
        <w:pStyle w:val="TextoNormal"/>
      </w:pPr>
    </w:p>
    <w:p w:rsidR="00A90898" w:rsidRDefault="00A90898" w:rsidP="00A90898">
      <w:pPr>
        <w:pStyle w:val="TextoNormal"/>
      </w:pPr>
      <w:r>
        <w:t>b) El Abogado del Estado descarta la existencia de infracción del art. 86.1 CE por falta del presupuesto habilitante. Para ello recuerda la doctrina constitucional respecto a la valoración de la concurrencia del presupuesto habilitante, teniendo en cuenta que el canon de enjuiciamiento se ciñe a corregir una eventual valoración abusiva o arbitraria por parte de los poderes políticos de la necesidad concurrente.</w:t>
      </w:r>
    </w:p>
    <w:p w:rsidR="00A90898" w:rsidRDefault="00A90898" w:rsidP="00A90898">
      <w:pPr>
        <w:pStyle w:val="TextoNormal"/>
      </w:pPr>
    </w:p>
    <w:p w:rsidR="00A90898" w:rsidRDefault="00A90898" w:rsidP="00A90898">
      <w:pPr>
        <w:pStyle w:val="TextoNormal"/>
      </w:pPr>
      <w:r>
        <w:t>Defiende que los órganos políticos han cumplido con la exigencia de exteriorizar las razones de urgencia que legitiman la utilización de esta figura normativa. Esos motivos se sintetizan en: la existencia de una crisis económica sin precedentes que exige de fuertes ajustes presupuestarios y que ha afectado a la sanidad pública hasta el punto de poner en riesgo su sostenibilidad; la importancia del gasto sanitario en las medidas de control de déficit público sin que quepa desconocer la importancia relativa del gasto sanitario en el conjunto del gasto público y la propia situación del Sistema Nacional de Salud que se encuentra ante unas dificultades económicas sin precedentes desde su creación.</w:t>
      </w:r>
    </w:p>
    <w:p w:rsidR="00A90898" w:rsidRDefault="00A90898" w:rsidP="00A90898">
      <w:pPr>
        <w:pStyle w:val="TextoNormal"/>
      </w:pPr>
    </w:p>
    <w:p w:rsidR="00A90898" w:rsidRDefault="00A90898" w:rsidP="00A90898">
      <w:pPr>
        <w:pStyle w:val="TextoNormal"/>
      </w:pPr>
      <w:r>
        <w:t xml:space="preserve">Además, en la exposición de motivos de la norma y en el debate de convalidación se justificó la conexión entre la necesidad y las medidas adoptadas. Así, en cuanto a la definición de asegurado, se señaló en el debate que “la falta de concreción de los requisitos para acceder a la prestación sanitaria ha abierto las puertas a los abusos del llamado turismo sanitario y ha ocasionado gastos indebidos por valor de más de 1.000 millones de euros en un solo ejercicio económico, en el año 2009”. Alude también a que la memoria de la norma señala que “teniendo en cuenta que unos 676.000 ciudadanos europeos han accedido a la tarjeta sanitaria sin derecho a ella, las medidas incluidas en este ámbito supondrán un ahorro aproximado de 917 millones de euros”. En cuanto a las medidas orientadas a garantizar el uso racional del medicamento, señala que, en el debate de convalidación se apuntó la necesidad de reducir un gasto calificado como insostenible. En apoyo de tales consideraciones adjunta un informe de carácter económico elaborado por la Dirección General de Cartera Básica de Servicios del Sistema Nacional de Salud y Farmacia que, a partir de la evolución del gasto sanitario, corrobora tanto la existencia de un elevado montante de deuda en productos farmacéuticos y sanitarios del Sistema Nacional de Salud, como la existencia de una grave situación de morosidad en el pago a proveedores. Todo ello lleva al Abogado del Estado a señalar que “la grave crisis económica en que se encuentra España ha colocado al Sistema Nacional de Salud en grave riesgo de insolvencia y de desabastecimiento en el </w:t>
      </w:r>
      <w:r>
        <w:lastRenderedPageBreak/>
        <w:t>suministro por lo que se hacía extraordinariamente urgente abordar la situación para garantizar la sostenibilidad del sistema Además, la senda de consolidación del déficit público comprometido por España con la Unión Europea obligaba a fuertes ajustes que necesariamente debían adoptarse urgentemente, para que tuvieran incidencia ya en 2012, y que habían de incidir en uno de los componentes más importantes en el gasto público: el gasto en la sanidad pública”.</w:t>
      </w:r>
    </w:p>
    <w:p w:rsidR="00A90898" w:rsidRDefault="00A90898" w:rsidP="00A90898">
      <w:pPr>
        <w:pStyle w:val="TextoNormal"/>
      </w:pPr>
    </w:p>
    <w:p w:rsidR="00A90898" w:rsidRDefault="00A90898" w:rsidP="00A90898">
      <w:pPr>
        <w:pStyle w:val="TextoNormal"/>
      </w:pPr>
      <w:r>
        <w:t>De todo lo expuesto concluye que se habrían concretado las razones de la excepcional urgencia y tampoco habría impedimento en que se aborde una reforma estructural mediante un decreto-ley, pues de la doctrina constitucional no se infiere que los decretos-leyes hayan de tener una vigencia limitada a abordar una determinada coyuntura.</w:t>
      </w:r>
    </w:p>
    <w:p w:rsidR="00A90898" w:rsidRDefault="00A90898" w:rsidP="00A90898">
      <w:pPr>
        <w:pStyle w:val="TextoNormal"/>
      </w:pPr>
    </w:p>
    <w:p w:rsidR="00A90898" w:rsidRDefault="00A90898" w:rsidP="00A90898">
      <w:pPr>
        <w:pStyle w:val="TextoNormal"/>
      </w:pPr>
      <w:r>
        <w:t>c) En cuanto a la infracción de los límites materiales del decreto-ley, señala el Abogado del Estado que los reproches de la demanda cabe sintetizarlos en cuatro apartados: el Real Decreto-ley 16/2012 regula elementos esenciales del derecho a la salud, por lo que “afecta” a este derecho del título I; no es constitucionalmente admisible que por Real Decreto-ley se “establezca” o se “aumente” la “aportación económica” por la prestación farmacéutica; el Real Decreto-ley afecta al régimen de las Comunidades Autónomas; y, por último, en su artículo 4.14 regula cuestiones reservadas a la Ley Orgánica.</w:t>
      </w:r>
    </w:p>
    <w:p w:rsidR="00A90898" w:rsidRDefault="00A90898" w:rsidP="00A90898">
      <w:pPr>
        <w:pStyle w:val="TextoNormal"/>
      </w:pPr>
    </w:p>
    <w:p w:rsidR="00A90898" w:rsidRDefault="00A90898" w:rsidP="00A90898">
      <w:pPr>
        <w:pStyle w:val="TextoNormal"/>
      </w:pPr>
      <w:r>
        <w:t>Respecto a lo primero, recuerda la doctrina constitucional sobre la extensión del término “afectar”, con cita de la STC 111/1983, de 2 de diciembre, FJ 8, y concluye que no “afecta” al derecho a la salud en el sentido del art. 86.1 CE. Argumenta al respecto que el art. 43 CE no configura un derecho subjetivo para los ciudadanos, dada su condición de principio rector cuyos destinatarios son los órganos cuyas decisiones están dotadas de un amplio margen de libertad conformadora (especialmente, el legislador). Además, buena parte del contenido de los arts. 39 a 52 CE son también mandatos constitucionales de optimización, principios que imponen que la decisión valorativa que aquellos preceptos constitucionales contienen se realice en cada momento en la medida de lo jurídica y fácticamente posible, tal y como ha declarado la doctrina constitucional, por ejemplo, en relación con los arts. 41 y 50 CE sobre el sistema de Seguridad Social. En suma, para el Abogado del Estado, estos mandatos de optimización no suponen una prohibición constitucional de disminución de los niveles de protección alcanzados (por ejemplo, minoración de la cuantía de las pensiones previstas en los arts. 41 y 50 CE), si la medida de lo posible en un momento dado, como consecuencia, por ejemplo, de un empeoramiento de la coyuntura económica general, hace necesario ese descenso del nivel de protección. Por tanto, en la configuración del derecho a la “protección de la salud” el legislador ordinario tiene una gran libertad de configuración. Por eso, resulta claro que el artículo impugnado del Real Decreto-ley 16/2012 respeta los límites materiales del art. 86.1 CE, en cuanto que no regula el régimen general del derecho a la salud, sino que se limita a modificar un elemento puntual del mismo, relativo a los requisitos para tener acceso a la prestación sanitaria de financiación pública. Tampoco el artículo impugnado contraviene el contenido esencial del principio rector, dado el amplísimo margen de configuración del que goza el legislador ordinario, que sólo resulta constitucionalmente limitado por la proscripción general de la arbitrariedad y de la discriminación, que no es lo aquí discutido.</w:t>
      </w:r>
    </w:p>
    <w:p w:rsidR="00A90898" w:rsidRDefault="00A90898" w:rsidP="00A90898">
      <w:pPr>
        <w:pStyle w:val="TextoNormal"/>
      </w:pPr>
    </w:p>
    <w:p w:rsidR="00A90898" w:rsidRDefault="00A90898" w:rsidP="00A90898">
      <w:pPr>
        <w:pStyle w:val="TextoNormal"/>
      </w:pPr>
      <w:r>
        <w:t xml:space="preserve">En cuanto a la posibilidad de aumentar por decreto-ley la “aportación económica” por la prestación farmacéutica, señala que, simplemente, se fija la contribución de cada usuario, </w:t>
      </w:r>
      <w:r>
        <w:lastRenderedPageBreak/>
        <w:t>en función de su renta, al pago de la prestación farmacéutica. Además, de acuerdo con la doctrina sentada en la STC 182/1997, de 28 de octubre, FJ 15, resulta ciertamente dudoso que la aportación del usuario de la prestación farmacéutica pueda configurarse como una carga tributaria, en cuanto no es “una prestación patrimonial coactiva” que se satisfaga “directa o indirectamente a los entes públicos con la finalidad de contribuir al sostenimiento de los gastos públicos”.</w:t>
      </w:r>
    </w:p>
    <w:p w:rsidR="00A90898" w:rsidRDefault="00A90898" w:rsidP="00A90898">
      <w:pPr>
        <w:pStyle w:val="TextoNormal"/>
      </w:pPr>
    </w:p>
    <w:p w:rsidR="00A90898" w:rsidRDefault="00A90898" w:rsidP="00A90898">
      <w:pPr>
        <w:pStyle w:val="TextoNormal"/>
      </w:pPr>
      <w:r>
        <w:t>También niega el Abogado del Estado que se afecte al régimen de las Comunidades Autónomas, pues es factible la utilización de este tipo de norma para establecer normas básicas, sin que el Real Decreto-ley 16/2012 tenga por finalidad directa definir las competencias de las Comunidades Autónomas, sino establecer la regulación que al Estado corresponde en un determinado sector material.</w:t>
      </w:r>
    </w:p>
    <w:p w:rsidR="00A90898" w:rsidRDefault="00A90898" w:rsidP="00A90898">
      <w:pPr>
        <w:pStyle w:val="TextoNormal"/>
      </w:pPr>
    </w:p>
    <w:p w:rsidR="00A90898" w:rsidRDefault="00A90898" w:rsidP="00A90898">
      <w:pPr>
        <w:pStyle w:val="TextoNormal"/>
      </w:pPr>
      <w:r>
        <w:t>Finalmente, argumenta que el art. 4.14 no regula cuestiones reservadas a la ley orgánica y no afecta al derecho a la protección de datos de carácter personal. El precepto regula la cesión de los datos económicos de los particulares entre diversos organismos de una misma Administración territorial, estrictamente indispensables para poder ejercer sus competencias de determinar el nivel de aportación en la prestación farmacéutica extrahospitalaria de cada usuario del Sistema Nacional de Salud. Por tanto no se trata de datos relativos a la salud, sino de datos de régimen común, respecto a los que es posible la cesión de datos cuando una norma de rango legal lo establezca. Recuerda también que los derechos fundamentales pueden ceder ante bienes e intereses constitucionalmente relevantes, siempre que el recorte que experimenten sea necesario para lograr el fin legítimo previsto, proporcionado para alcanzarlo y, en todo caso, sea respetuoso con el contenido esencial del derecho fundamental restringido. El Tribunal ha considerado que la distribución equitativa del sostenimiento del gasto público y las actividades de control en materia tributaria son bienes y finalidades constitucionales legítimas capaces de restringir los derechos del art. 18.1 y 4 CE. Por otra parte, no se afecta al derecho fundamental, ya que solo prevé un supuesto muy puntual de limitación directamente conectada con el sentido y finalidad del Real Decreto-ley 16/2012.</w:t>
      </w:r>
    </w:p>
    <w:p w:rsidR="00A90898" w:rsidRDefault="00A90898" w:rsidP="00A90898">
      <w:pPr>
        <w:pStyle w:val="TextoNormal"/>
      </w:pPr>
    </w:p>
    <w:p w:rsidR="00A90898" w:rsidRDefault="00A90898" w:rsidP="00A90898">
      <w:pPr>
        <w:pStyle w:val="TextoNormal"/>
      </w:pPr>
      <w:r>
        <w:t>d) Respecto a la denunciada violación del principio rector de protección de la salud del art. 43 CE, el Abogado del Estado alude a la doctrina general del Tribunal respecto al valor de tales principios rectores, señalando que constituyen mandatos de actuación, ponderación y regulación, para cuya concreción el legislador tiene un amplio margen. El art. 43 CE no impondría, por tanto, un único modelo sanitario, ni tampoco que el Estado deba garantizar una plena prestación sanitaria pública para toda persona que resida, regular o irregularmente, en España. Tampoco considera procedente el Abogado del Estado la invocación de determinados convenios internacionales, pues su valor se refiere a la mejor identificación del contenido de los derechos, sin constituir un canon autónomo de validez de las normas y los mismos imponen un deber de actuación a los poderes públicos que ha de concretarse en la medida de las posibilidades de cada momento.</w:t>
      </w:r>
    </w:p>
    <w:p w:rsidR="00A90898" w:rsidRDefault="00A90898" w:rsidP="00A90898">
      <w:pPr>
        <w:pStyle w:val="TextoNormal"/>
      </w:pPr>
    </w:p>
    <w:p w:rsidR="00A90898" w:rsidRDefault="00A90898" w:rsidP="00A90898">
      <w:pPr>
        <w:pStyle w:val="TextoNormal"/>
      </w:pPr>
      <w:r>
        <w:t xml:space="preserve">En cuanto a las concretas quejas formuladas respecto a los preceptos impugnados señala, sobre el art. 1, que es erróneo afirmar que antes del Real Decreto-ley 16/2012 existía una mayor cobertura sanitaria pública de los ciudadanos españoles. El Real Decreto-ley 16/2012, junto con el Real Decreto 1192/2012, suponen la universalización de la asistencia sanitaria pública a los ciudadanos españoles, pues, el art. 2.1 b) del Real Decreto 1192/2012 permite que las personas que no se encuentren en alguno de los supuestos concretos de </w:t>
      </w:r>
      <w:r>
        <w:lastRenderedPageBreak/>
        <w:t>aseguramiento del art. 3.2 de la Ley 16/2003, puedan obtener la condición de asegurado si sus ingresos brutos anuales no superan los cien mil euros. Lo elevado de esta cifra hace que pueda afirmarse, según el Abogado del Estado, que resulta absolutamente razonable, desde una perspectiva constitucional, la diferenciación en la norma, para la optimización de los recursos disponibles, de manera que quienes superan el nivel de rentas de 100.000 € sin tener ningún tipo de afiliación a la Seguridad Social y, por tanto, tienen capacidad económica, deban sufragarse mediante el oportuno convenio y si así lo desean, la asistencia sanitaria pública. Sobre la “remisión en blanco” a la norma reglamentaria, destaca que es aquí muy amplio el campo de actuación del reglamento. En particular, la cuestión de la cobertura sanitaria pública de los españoles residentes en territorio nacional que no estuvieran afiliados al sistema de la Seguridad Social y que tuvieran insuficiencia de recursos, siempre se ha considerado dentro del ámbito propio del reglamento. Estamos, argumenta el Abogado del Estado, ante el ámbito natural de colaboración entre la ley y el reglamento, en que éste complementa a la ley en cuestiones que, por su carácter técnico o variable, resultan impropias de su tratamiento en un texto de la rigidez formal de las normas con rango legal.</w:t>
      </w:r>
    </w:p>
    <w:p w:rsidR="00A90898" w:rsidRDefault="00A90898" w:rsidP="00A90898">
      <w:pPr>
        <w:pStyle w:val="TextoNormal"/>
      </w:pPr>
    </w:p>
    <w:p w:rsidR="00A90898" w:rsidRDefault="00A90898" w:rsidP="00A90898">
      <w:pPr>
        <w:pStyle w:val="TextoNormal"/>
      </w:pPr>
      <w:r>
        <w:t>En cuanto a la asistencia sanitaria a inmigrantes en situación irregular, señala que el derecho a la salud se cuenta entre aquellos en los que es posible que la Ley establezca diferencias de trato entre extranjeros y nacionales. En esta configuración legal, según la STC 236/2007, el legislador no puede afectar al contenido del derecho que resulta imprescindible para la dignidad humana, no al contenido delimitado por la Constitución o los tratados internacionales y, además, las limitaciones introducidas solo serán constitucionalmente válidas si, respetando su contenido esencial (art. 53.1 CE), se dirigen a preservar otros derechos, bienes o intereses constitucionalmente protegidos y guardan adecuada proporcionalidad con la finalidad perseguida. Menciona a continuación el régimen de acceso a la sanidad con cargo a fondos públicos de los extranjeros irregulares en los países de nuestro entorno. Para ello se basa en el informe de la European Union Agency for Fundamental Rights (FRA), “</w:t>
      </w:r>
      <w:r w:rsidRPr="00A90898">
        <w:rPr>
          <w:i/>
        </w:rPr>
        <w:t>Migrants in an irregular situation: access to healthcare in 10 European Union Member States</w:t>
      </w:r>
      <w:r>
        <w:t>”, que adjunta a la demanda, y en el que se estudia el acceso efectivo a la sanidad de los inmigrantes en situación irregular en Bélgica, Francia, Alemania, Grecia, Hungría, Irlanda, Italia, Polonia, España y Suecia, tomando en cuenta la legislación y la práctica administrativa en 2010-2011. Concluye que de los países examinados, sólo España y Francia otorgaban acceso a los inmigrantes irregulares a la sanidad con cargo a fondos públicos, con el simple requisito de la residencia de hecho. Asimismo señala que “en países que comparten con nosotros una misma cultura en la defensa y protección de los derechos humanos no puede afirmarse que exista uniformidad en el modo de abordar la financiación pública de la sanidad que se presta a los inmigrantes en situación irregular. Sí parece existir consenso en que el tratamiento de urgencia debe otorgarse a los inmigrantes, cualquiera que sea su situación legal, en cuanto conecta con la protección de la vida y de la integridad física de la persona, si bien en gran parte de los países de nuestro entorno, al inmigrante irregular se le exige el pago del coste de esa asistencia”.</w:t>
      </w:r>
    </w:p>
    <w:p w:rsidR="00A90898" w:rsidRDefault="00A90898" w:rsidP="00A90898">
      <w:pPr>
        <w:pStyle w:val="TextoNormal"/>
      </w:pPr>
    </w:p>
    <w:p w:rsidR="00A90898" w:rsidRDefault="00A90898" w:rsidP="00A90898">
      <w:pPr>
        <w:pStyle w:val="TextoNormal"/>
      </w:pPr>
      <w:r>
        <w:t xml:space="preserve">Defiende seguidamente el Abogado del Estado la plena conformidad a la Constitución Española del régimen del Real Decreto-ley 16/2012, por cuanto la diversidad de regímenes de cobertura sanitaria pública a españoles y extranjeros ha existido en España bajo la vigencia de la Constitución Española que admite, en esta materia, diversas opciones legislativas en su configuración. No impone que se garantice a todos los residentes, regulares o irregulares, ni siquiera a todos los españoles una asistencia sanitaria plena y con cargo por entero </w:t>
      </w:r>
      <w:r>
        <w:lastRenderedPageBreak/>
        <w:t>a fondos públicos, sino que, en la concreción legal del derecho a la salud, la Constitución Española autoriza al legislador a establecer condiciones de ejercicio para los extranjeros distintas de las que rigen para los españoles e incluso a tomar en consideración el dato de su situación legal en España.</w:t>
      </w:r>
    </w:p>
    <w:p w:rsidR="00A90898" w:rsidRDefault="00A90898" w:rsidP="00A90898">
      <w:pPr>
        <w:pStyle w:val="TextoNormal"/>
      </w:pPr>
    </w:p>
    <w:p w:rsidR="00A90898" w:rsidRDefault="00A90898" w:rsidP="00A90898">
      <w:pPr>
        <w:pStyle w:val="TextoNormal"/>
      </w:pPr>
      <w:r>
        <w:t>Para que sea admisible esa diferencia de trato, el Tribunal ha exigido: (i) Que el precepto impugnado no afecte al contenido del derecho imprescindible para la garantía de la dignidad humana. Para el Abogado del Estado la asistencia sanitaria conecta con la dignidad humana en lo relativo a la atención de urgencia, a la que el legislador ha añadido la plena asistencia sanitaria al menor de edad, cualquiera que sea su situación legal, y la atención a la embarazada durante el embarazo, el parto y el postparto. Este círculo, identificado por el Abogado del Estado como el núcleo indisponible, es el que se garantizaba a los extranjeros no empadronados antes de la reforma. (ii) Que la distinción entre españoles y extranjeros o entre extranjeros en función de su situación administrativa se dirija a preservar otros derechos, bienes o intereses constitucionalmente protegidos. Señala aquí que los principios rectores deben realizarse en función de las posibilidades económicas de cada momento y que el art. 135 CE incorpora la estabilidad presupuestaria como principio constitucional, lo que, claramente constituye un bien o interés constitucionalmente protegido. (iii) Que la medida sea proporcional al fin perseguido y además esté en conformidad con la razón de ser de la distinción entre inmigrantes regulares e irregulares. Recuerda al respecto el régimen de asistencia sanitaria de los extranjeros irregulares, así como que la prevención sanitaria queda cubierta en España por la Ley general de salud pública, en los términos en ella previstos. Por otro lado, a los extranjeros en situación irregular se les reconoce plena asistencia sanitaria con cargo a fondos públicos, cuando así lo establezcan los convenios internacionales suscritos con sus países de origen.</w:t>
      </w:r>
    </w:p>
    <w:p w:rsidR="00A90898" w:rsidRDefault="00A90898" w:rsidP="00A90898">
      <w:pPr>
        <w:pStyle w:val="TextoNormal"/>
      </w:pPr>
    </w:p>
    <w:p w:rsidR="00A90898" w:rsidRDefault="00A90898" w:rsidP="00A90898">
      <w:pPr>
        <w:pStyle w:val="TextoNormal"/>
      </w:pPr>
      <w:r>
        <w:t>El modelo articulado es proporcional en cuanto otorga a todos la protección vinculada a la dignidad humana con cargo a fondos públicos. Además es coherente con la distinción entre inmigrante regular e irregular, en cuanto otorga a éste el tratamiento previsto en la redacción original de la Ley Orgánica 4/2000 para los extranjeros que se encontraban en España sin estar empadronados, por cuanto esta provisionalidad en la estancia en España es la que permitía distinguir entre la asistencia a extranjeros empadronados y no empadronados. Antes de la reforma, el legislador entendía que el simple empadronamiento otorgaba una suerte de estabilidad en la estancia que hacía que el inmigrante pudiera recibir asistencia sanitaria con cargo a fondos públicos, a diferencia del extranjero que se encontraba en España sin empadronamiento. Tras la reforma, de modo igualmente razonable, el legislador entiende que es el permiso de residencia el que dota a la estancia de la estabilidad necesaria para justificar el pleno acceso a la atención sanitaria con cargo a fondos públicos, privando de consecuencias a estos efectos al simple empadronamiento. Ambas soluciones tienen, a juicio del Abogado del Estado, pleno acomodo en los márgenes constitucionales.</w:t>
      </w:r>
    </w:p>
    <w:p w:rsidR="00A90898" w:rsidRDefault="00A90898" w:rsidP="00A90898">
      <w:pPr>
        <w:pStyle w:val="TextoNormal"/>
      </w:pPr>
    </w:p>
    <w:p w:rsidR="00A90898" w:rsidRDefault="00A90898" w:rsidP="00A90898">
      <w:pPr>
        <w:pStyle w:val="TextoNormal"/>
      </w:pPr>
      <w:r>
        <w:t xml:space="preserve">e) En cuanto a las restantes alegaciones de la demanda, respecto al art. 2.5, relativo a la cartera de servicios complementaria, indica que del precepto únicamente se deduce que será la Comunidad Autónoma quien, con cargo a sus presupuestos, deba financiar la cartera de servicios complementaria, sin aportaciones adicionales del Estado o del sistema de financiación autonómica. En tales presupuestos autonómicos puede figurar la previsión de ingresos por prestaciones patrimoniales de carácter público que las Comunidades impongan, dentro de sus competencias, a los prestatarios de los servicios. Sobre el apartado 3, estima que </w:t>
      </w:r>
      <w:r>
        <w:lastRenderedPageBreak/>
        <w:t>la previa garantía de suficiencia financiera está en perfecta línea de conexión con el art. 135.1 CE que impone a “'todas las Administraciones Públicas” que adecuen “sus actuaciones al principio de estabilidad presupuestaria”. Por otro lado, el apartado impugnado sólo es una concreción del principio de sostenibilidad financiera recogido en el art. 4 de la Ley Orgánica 2/2012, de 27 de abril, de estabilidad presupuestaria y sostenibilidad financiera y resulta totalmente conforme con la doctrina de la STC 134/2011, de 20 julio, FJ 8.</w:t>
      </w:r>
    </w:p>
    <w:p w:rsidR="00A90898" w:rsidRDefault="00A90898" w:rsidP="00A90898">
      <w:pPr>
        <w:pStyle w:val="TextoNormal"/>
      </w:pPr>
    </w:p>
    <w:p w:rsidR="00A90898" w:rsidRDefault="00A90898" w:rsidP="00A90898">
      <w:pPr>
        <w:pStyle w:val="TextoNormal"/>
      </w:pPr>
      <w:r w:rsidRPr="00A90898">
        <w:rPr>
          <w:rStyle w:val="NumeroAFNegritaCaracter"/>
        </w:rPr>
        <w:t>7</w:t>
      </w:r>
      <w:r>
        <w:t>. Mediante providencia de 19 de julio de 2016, se señaló para deliberación y votación de la presente Sentencia el día 21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el Parlamento de Navarra contra el Real Decreto-ley 16/2012, de 20 de abril, de medidas urgentes para garantizar la sostenibilidad del Sistema Nacional de Salud y mejorar la calidad y seguridad de sus prestaciones, y, específicamente, contra los arts. 1.1 y, por conexión, 1.2 y disposición transitoria primera; 2.2, 3 y 5; 4.12, 13 y 14 y disposición adicional tercera.</w:t>
      </w:r>
    </w:p>
    <w:p w:rsidR="00A90898" w:rsidRDefault="00A90898" w:rsidP="00A90898">
      <w:pPr>
        <w:pStyle w:val="TextoNormal"/>
      </w:pPr>
    </w:p>
    <w:p w:rsidR="00A90898" w:rsidRDefault="00A90898" w:rsidP="00A90898">
      <w:pPr>
        <w:pStyle w:val="TextoNormal"/>
      </w:pPr>
      <w:r>
        <w:t>Tal y como ha quedado expuesto en los antecedentes el Parlamento Foral plantea dos órdenes de cuestiones. La primera relacionada con la utilización del Decreto-ley cuestionando la concurrencia de la extraordinaria y urgente necesidad exigida por el art. 86.1 CE, puesto que entiende que esa utilización obedece a problemas de gestión. Alega que las medidas que establece no tienen carácter coyuntural, sino que persiguen reformas estructurales y permanentes, no siendo además imprevisibles, ni tampoco urgentes, y, además, entiende vulnerados los límites materiales aplicables al Decreto-ley por afectar a los derechos, deberes y libertades constitucionales y al régimen de las Comunidades Autónomas.</w:t>
      </w:r>
    </w:p>
    <w:p w:rsidR="00A90898" w:rsidRDefault="00A90898" w:rsidP="00A90898">
      <w:pPr>
        <w:pStyle w:val="TextoNormal"/>
      </w:pPr>
    </w:p>
    <w:p w:rsidR="00A90898" w:rsidRDefault="00A90898" w:rsidP="00A90898">
      <w:pPr>
        <w:pStyle w:val="TextoNormal"/>
      </w:pPr>
      <w:r>
        <w:t>Desde el punto de vista sustantivo la Letrada del Parlamento de Navarra denuncia que los arts. 1.1 y, por conexión, 2, y la disposición transitoria primera infringen el art. 43 CE, lo que también sucedería en el caso del art. 2.2 y 3 y del art. 4.12 y 13, en relación con el régimen de aportación de los usuarios en determinadas prestaciones sanitarias. La vulneración del orden de distribución de competencias entre el Estado y la Comunidad Foral de Navarra se residencia en el art. 2.5 y en la disposición adicional tercera. Por último, al art. 4.14 le reprocha la vulneración de la reserva de ley orgánica en relación con el derecho fundamental a la protección de datos de carácter personal del art. 18.4 CE.</w:t>
      </w:r>
    </w:p>
    <w:p w:rsidR="00A90898" w:rsidRDefault="00A90898" w:rsidP="00A90898">
      <w:pPr>
        <w:pStyle w:val="TextoNormal"/>
      </w:pPr>
    </w:p>
    <w:p w:rsidR="00A90898" w:rsidRDefault="00A90898" w:rsidP="00A90898">
      <w:pPr>
        <w:pStyle w:val="TextoNormal"/>
      </w:pPr>
      <w:r>
        <w:t>El Abogado del Estado, por las razones que han quedado expuestas en los antecedentes, interesa la desestimación íntegra del recurso.</w:t>
      </w:r>
    </w:p>
    <w:p w:rsidR="00A90898" w:rsidRDefault="00A90898" w:rsidP="00A90898">
      <w:pPr>
        <w:pStyle w:val="TextoNormal"/>
      </w:pPr>
    </w:p>
    <w:p w:rsidR="00A90898" w:rsidRDefault="00A90898" w:rsidP="00A90898">
      <w:pPr>
        <w:pStyle w:val="TextoNormal"/>
      </w:pPr>
      <w:r>
        <w:t>Analizaremos todas estas cuestiones, de forma sucesiva.</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Antes de comenzar, debe examinarse el modo en que las tachas anteriores se plantean en la demanda, que, en algunos puntos, carece de una fundamentación suficiente. La STC 72/2014, de 8 de mayo, FJ 4, exige una fundamentación que contenga un análisis y una argumentación suficientes en la demanda, ya que constituye una carga de los recurrentes, “[no] sólo abrir la vía para que el Tribunal pueda pronunciarse, sino también colaborar con </w:t>
      </w:r>
      <w:r>
        <w:lastRenderedPageBreak/>
        <w:t>la justicia del Tribunal mediante un pormenorizado análisis de las cuestiones que se suscitan, por lo cual, si no se atiende esta exigencia, se falta a la diligencia procesalmente requerida” por la concurrencia de la presunción de constitucionalidad [SSTC 204/2011, de 15 de diciembre, FJ 2 b); 22/2012, de 16 de febrero, FJ 2 b), y 165/2013, de 26 de septiembre de 2013, FJ 13 a)].</w:t>
      </w:r>
    </w:p>
    <w:p w:rsidR="00A90898" w:rsidRDefault="00A90898" w:rsidP="00A90898">
      <w:pPr>
        <w:pStyle w:val="TextoNormal"/>
      </w:pPr>
    </w:p>
    <w:p w:rsidR="00A90898" w:rsidRDefault="00A90898" w:rsidP="00A90898">
      <w:pPr>
        <w:pStyle w:val="TextoNormal"/>
      </w:pPr>
      <w:r>
        <w:t>En aplicación de tal criterio, se aprecia que, pese a lo que la demanda afirma, la vulneración del art. 86.1 CE no se razona respecto a toda la norma, sino exclusivamente en relación con los concretos preceptos que han sido recurridos, pues solamente respecto de ellos, y en los términos que se expondrán, se cumple la carga alegatoria exigida en la doctrina que se ha resumido. Por ello, nuestro análisis se centrará básicamente en los artículos objeto de impugnación, respecto a los que se ha proporcionado una fundamentación suficiente de la denunciada vulneración del art. 86.1 CE.</w:t>
      </w:r>
    </w:p>
    <w:p w:rsidR="00A90898" w:rsidRDefault="00A90898" w:rsidP="00A90898">
      <w:pPr>
        <w:pStyle w:val="TextoNormal"/>
      </w:pPr>
    </w:p>
    <w:p w:rsidR="00A90898" w:rsidRDefault="00A90898" w:rsidP="00A90898">
      <w:pPr>
        <w:pStyle w:val="TextoNormal"/>
      </w:pPr>
      <w:r>
        <w:t>Tales preceptos son los siguientes: (i) por desconocer los límites materiales del decreto-ley, afectando al art. 43 CE, se cuestiona la regulación del art. 1.1 y 2 y la de la disposición transitoria primera, estos dos últimos por conexión, en cuanto a la denuncia de que se transforma un sistema universalista en un sistema de aseguramiento, que exige el pago de las prestaciones o la suscripción de un convenio especial con abono de las correspondientes cuotas; (ii) igualmente, ha de entenderse cuestionado el art. 1.1, en cuanto alteraría sustancialmente el sistema de protección de la salud del que venían disfrutando los inmigrantes, por cuanto excluye del derecho a una asistencia sanitaria normalizada a quienes no disponen de autorización de residencia, aunque lo tenían reconocido en virtud del art. 12 de la Ley Orgánica 4/2000, de 11 de enero, sobre derechos y libertades de los extranjeros en España y su integración social. Desde la perspectiva de la vulneración de los límites materiales del decreto-ley se formula la misma queja de afectación al art. 43 CE respecto de la modificación de la cartera de servicios del Sistema Nacional de Salud en el art. 2, así como del sistema de aportaciones económicas en la prestación farmacéutica de los pensionistas (art. 4.12 y 13), y en otras prestaciones en las que, hasta la fecha, no se contemplaba tal sistema de aportaciones; (iii) contra el art. 4.14 se formula el reproche de afectar a la regulación de un derecho fundamental, en este caso, la protección de datos de carácter personal; (iv) un último motivo es la afectación al régimen de las Comunidades Autónomas. En particular, se sostiene que el art. 2.5 limita las competencias autonómicas para establecer una cartera de servicios complementaria, en la medida en que exige que se garantice previamente la suficiencia financiera en el marco del cumplimiento de los criterios de estabilidad presupuestaria y a la disposición adicional tercera, en cuanto que permite la cesión de información tributaria sin consentimiento del interesado para su incorporación a la tarjeta individual sanitaria y resultarían de aplicación a la hacienda pública de Navarra.</w:t>
      </w:r>
    </w:p>
    <w:p w:rsidR="00A90898" w:rsidRDefault="00A90898" w:rsidP="00A90898">
      <w:pPr>
        <w:pStyle w:val="TextoNormal"/>
      </w:pPr>
    </w:p>
    <w:p w:rsidR="00A90898" w:rsidRDefault="00A90898" w:rsidP="00A90898">
      <w:pPr>
        <w:pStyle w:val="TextoNormal"/>
      </w:pPr>
      <w:r>
        <w:t>Finalmente, la Letrada del Parlamento Foral sostiene que se vulnera lo dispuesto en el art. 86.1 CE, por no concurrir la “extraordinaria y urgente necesidad”, tal como se ha resumido ya en el antecedente 1. Esta queja se ha fundamentado en relación con el art. 1.1, por el que se modifica el art. 3 de la Ley 16/2003, de 28 de mayo, de cohesión y calidad del sistema de salud en relación con la disposición transitoria primera.</w:t>
      </w:r>
    </w:p>
    <w:p w:rsidR="00A90898" w:rsidRDefault="00A90898" w:rsidP="00A90898">
      <w:pPr>
        <w:pStyle w:val="TextoNormal"/>
      </w:pPr>
    </w:p>
    <w:p w:rsidR="00A90898" w:rsidRDefault="00A90898" w:rsidP="00A90898">
      <w:pPr>
        <w:pStyle w:val="TextoNormal"/>
      </w:pPr>
      <w:r>
        <w:t>Con respecto a tales quejas, el Abogado del Estado justifica la situación de extraordinaria y urgente necesidad en la existencia de una crisis económica sin precedentes que ha afectado al Sistema Nacional de Salud, con los argumentos resumidos en el antecedente 6.</w:t>
      </w:r>
    </w:p>
    <w:p w:rsidR="00A90898" w:rsidRDefault="00A90898" w:rsidP="00A90898">
      <w:pPr>
        <w:pStyle w:val="TextoNormal"/>
      </w:pPr>
    </w:p>
    <w:p w:rsidR="00A90898" w:rsidRDefault="00A90898" w:rsidP="00A90898">
      <w:pPr>
        <w:pStyle w:val="TextoNormal"/>
      </w:pPr>
      <w:r w:rsidRPr="00A90898">
        <w:rPr>
          <w:rStyle w:val="NumeroAFNegritaCaracter"/>
        </w:rPr>
        <w:t>3</w:t>
      </w:r>
      <w:r>
        <w:t>. Se van a examinar en primer lugar las vulneraciones del art. 86.1 CE.</w:t>
      </w:r>
    </w:p>
    <w:p w:rsidR="00A90898" w:rsidRDefault="00A90898" w:rsidP="00A90898">
      <w:pPr>
        <w:pStyle w:val="TextoNormal"/>
      </w:pPr>
    </w:p>
    <w:p w:rsidR="00A90898" w:rsidRDefault="00A90898" w:rsidP="00A90898">
      <w:pPr>
        <w:pStyle w:val="TextoNormal"/>
      </w:pPr>
      <w:r>
        <w:t>Nuestro análisis ha de centrarse en el examen de la concurrencia del presupuesto habilitante en relación con el art. 1.1 y, por conexión, 1.2 y disposición transitoria primera, en la medida en que modifican la regulación de la Ley 16/2003. Estos preceptos introducen los conceptos de asegurado y beneficiario de la asistencia sanitaria en España con cargo a fondos públicos, sin que, a juicio del Parlamento de Navarra, concurran circunstancias que autoricen a llevar a cabo esa modificación por decreto-ley.</w:t>
      </w:r>
    </w:p>
    <w:p w:rsidR="00A90898" w:rsidRDefault="00A90898" w:rsidP="00A90898">
      <w:pPr>
        <w:pStyle w:val="TextoNormal"/>
      </w:pPr>
    </w:p>
    <w:p w:rsidR="00A90898" w:rsidRDefault="00A90898" w:rsidP="00A90898">
      <w:pPr>
        <w:pStyle w:val="TextoNormal"/>
      </w:pPr>
      <w:r>
        <w:t>Hay que partir del sentido y alcance que el presupuesto legitimador de la extraordinaria y urgente necesidad tiene en la doctrina de este Tribunal, que se resume a continuación:</w:t>
      </w:r>
    </w:p>
    <w:p w:rsidR="00A90898" w:rsidRDefault="00A90898" w:rsidP="00A90898">
      <w:pPr>
        <w:pStyle w:val="TextoNormal"/>
      </w:pPr>
    </w:p>
    <w:p w:rsidR="00A90898" w:rsidRDefault="00A90898" w:rsidP="00A90898">
      <w:pPr>
        <w:pStyle w:val="TextoNormal"/>
      </w:pPr>
      <w:r>
        <w:t>1º)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w:t>
      </w:r>
    </w:p>
    <w:p w:rsidR="00A90898" w:rsidRDefault="00A90898" w:rsidP="00A90898">
      <w:pPr>
        <w:pStyle w:val="TextoNormal"/>
      </w:pPr>
    </w:p>
    <w:p w:rsidR="00A90898" w:rsidRDefault="00A90898" w:rsidP="00A90898">
      <w:pPr>
        <w:pStyle w:val="TextoNormal"/>
      </w:pPr>
      <w:r>
        <w:t>2º)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 por lo que la fiscalización de este Órgano constitucional es “un control externo, en el sentido de que debe verificar, pero no sustituir, el juicio político o de oportunidad que corresponde al Gobierno” (STC 182/1997, de 28 de octubre, FJ 3).</w:t>
      </w:r>
    </w:p>
    <w:p w:rsidR="00A90898" w:rsidRDefault="00A90898" w:rsidP="00A90898">
      <w:pPr>
        <w:pStyle w:val="TextoNormal"/>
      </w:pPr>
    </w:p>
    <w:p w:rsidR="00A90898" w:rsidRDefault="00A90898" w:rsidP="00A90898">
      <w:pPr>
        <w:pStyle w:val="TextoNormal"/>
      </w:pPr>
      <w:r>
        <w:t xml:space="preserve">3º) Este Tribunal efectúa un control jurisdiccional </w:t>
      </w:r>
      <w:r w:rsidRPr="00A90898">
        <w:rPr>
          <w:i/>
        </w:rPr>
        <w:t>ex post</w:t>
      </w:r>
      <w:r>
        <w:t>, y tiene por misión velar por 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w:t>
      </w:r>
    </w:p>
    <w:p w:rsidR="00A90898" w:rsidRDefault="00A90898" w:rsidP="00A90898">
      <w:pPr>
        <w:pStyle w:val="TextoNormal"/>
      </w:pPr>
    </w:p>
    <w:p w:rsidR="00A90898" w:rsidRDefault="00A90898" w:rsidP="00A90898">
      <w:pPr>
        <w:pStyle w:val="TextoNormal"/>
      </w:pPr>
      <w:r>
        <w:t>4º)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(así, desde un principio, STC 29/1982, de 31 de mayo, FJ 3; hasta las más recientes SSTC 96/2014, de 12 de junio, FJ 5, y 183/2014, de 6 de noviembre, FJ 4).</w:t>
      </w:r>
    </w:p>
    <w:p w:rsidR="00A90898" w:rsidRDefault="00A90898" w:rsidP="00A90898">
      <w:pPr>
        <w:pStyle w:val="TextoNormal"/>
      </w:pPr>
    </w:p>
    <w:p w:rsidR="00A90898" w:rsidRDefault="00A90898" w:rsidP="00A90898">
      <w:pPr>
        <w:pStyle w:val="TextoNormal"/>
      </w:pPr>
      <w:r>
        <w:lastRenderedPageBreak/>
        <w:t>5º) En cuanto a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A90898" w:rsidRDefault="00A90898" w:rsidP="00A90898">
      <w:pPr>
        <w:pStyle w:val="TextoNormal"/>
      </w:pPr>
    </w:p>
    <w:p w:rsidR="00A90898" w:rsidRDefault="00A90898" w:rsidP="00A90898">
      <w:pPr>
        <w:pStyle w:val="TextoNormal"/>
      </w:pPr>
      <w:r>
        <w:t>6º) En cuanto a la segunda dimensión del presupuesto habilitante de la legislación de urgencia —conexión de sentido entre la situación de necesidad definida y las medidas que en el real decreto-ley se adoptan—, nuestra doctrina ha establecido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29/2016, de 18 de febrero, FJ 2, con cita de otras).</w:t>
      </w:r>
    </w:p>
    <w:p w:rsidR="00A90898" w:rsidRDefault="00A90898" w:rsidP="00A90898">
      <w:pPr>
        <w:pStyle w:val="TextoNormal"/>
      </w:pPr>
    </w:p>
    <w:p w:rsidR="00A90898" w:rsidRDefault="00A90898" w:rsidP="00A90898">
      <w:pPr>
        <w:pStyle w:val="TextoNormal"/>
      </w:pPr>
      <w:r>
        <w:t>7º) Generalmente, este Tribunal ha venido admitiendo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00A90898" w:rsidRDefault="00A90898" w:rsidP="00A90898">
      <w:pPr>
        <w:pStyle w:val="TextoNormal"/>
      </w:pPr>
    </w:p>
    <w:p w:rsidR="00A90898" w:rsidRDefault="00A90898" w:rsidP="00A90898">
      <w:pPr>
        <w:pStyle w:val="TextoNormal"/>
      </w:pPr>
      <w:r>
        <w:t>Finalmente, frente a lo sostenido por la Letrada del Parlamento de Navarra, también se debe advertir que el hecho de que se considere una reforma estructural del Sistema Nacional de Salud no impide, por sí sola, la utilización de la figura del decreto-ley, pues el posible carácter estructural del problema que se pretende atajar no excluye que dicho problema pueda convertirse en un momento dado en un supuesto de extraordinaria y urgente necesidad, que justifique la aprobación de un decreto-ley, lo que deberá ser determinado atendiendo a las circunstancias concurrentes en cada caso (STC 137/2011, FJ 6, reiterado en la STC 183/2014, FJ 5).</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Con arreglo a esta doctrina, se debe comprobar si en los preceptos impugnados del Real Decreto-ley 16/2012 concurre el presupuesto habilitante de la “extraordinaria y urgente necesidad”, exigido por el art. 86.1 CE. Debemos por tanto analizar dos elementos: a) en primer lugar, la presentación explícita y razonada de los motivos que han sido tenidos en cuenta por el Gobierno en su aprobación atendiendo a la exposición de motivos de la norma, al debate parlamentario de convalidación y, en su caso, al expediente de elaboración; b) En </w:t>
      </w:r>
      <w:r>
        <w:lastRenderedPageBreak/>
        <w:t>segundo lugar, la existencia de una necesaria conexión entre la situación de urgencia definida y la medida concreta adoptada para afrontarla.</w:t>
      </w:r>
    </w:p>
    <w:p w:rsidR="00A90898" w:rsidRDefault="00A90898" w:rsidP="00A90898">
      <w:pPr>
        <w:pStyle w:val="TextoNormal"/>
      </w:pPr>
    </w:p>
    <w:p w:rsidR="00A90898" w:rsidRDefault="00A90898" w:rsidP="00A90898">
      <w:pPr>
        <w:pStyle w:val="TextoNormal"/>
      </w:pPr>
      <w:r>
        <w:t>a) En primer lugar se analizan los motivos explicitados por el Gobierno para la aprobación del Real Decreto-ley 16/2012. La exposición de motivos, tras destacar que el Sistema Nacional de Salud “ha sido uno de los grandes logros de nuestro Estado del bienestar” señala que “la ausencia de normas comunes sobre el aseguramiento en todo el territorio nacional, el crecimiento desigual en las prestaciones del catálogo, la falta de adecuación de algunas de ellas a la realidad socioeconómica y la propia falta de rigor y énfasis en la eficiencia del sistema han conducido al Sistema Nacional de Salud a una situación de grave dificultad económica sin precedentes desde su creación. Se ha perdido eficacia en la gestión de los recursos disponibles, lo que se ha traducido en una alta morosidad y en un insostenible déficit en las cuentas públicas sanitarias. Se hace, pues, imprescindible la adopción de medidas urgentes que garanticen su futuro y que contribuyan a evitar que este problema persista”.</w:t>
      </w:r>
    </w:p>
    <w:p w:rsidR="00A90898" w:rsidRDefault="00A90898" w:rsidP="00A90898">
      <w:pPr>
        <w:pStyle w:val="TextoNormal"/>
      </w:pPr>
    </w:p>
    <w:p w:rsidR="00A90898" w:rsidRDefault="00A90898" w:rsidP="00A90898">
      <w:pPr>
        <w:pStyle w:val="TextoNormal"/>
      </w:pPr>
      <w:r>
        <w:t>Destaca también que las medidas adoptadas “tienen como objetivo fundamental afrontar una reforma estructural del Sistema Nacional de Salud dotándolo de solvencia, viabilidad y reforzando las medidas de cohesión para hacerlo sostenible en el tiempo, lo que hace necesario que éstas se apliquen con la mayor urgencia posible. Se hace preciso, en el actual contexto socioeconómico, que dichas medidas se materialicen en un instrumento normativo de efecto inmediato que dé respuesta, sin demora, a las demandas internas de mejora de la equidad que exige la ciudadanía, de eficiencia que exige el Tribunal de Cuentas y de seguridad que exige el sector sanitario, y a las externas de transparencia y viabilidad que exige la Unión Europea”.</w:t>
      </w:r>
    </w:p>
    <w:p w:rsidR="00A90898" w:rsidRDefault="00A90898" w:rsidP="00A90898">
      <w:pPr>
        <w:pStyle w:val="TextoNormal"/>
      </w:pPr>
    </w:p>
    <w:p w:rsidR="00A90898" w:rsidRDefault="00A90898" w:rsidP="00A90898">
      <w:pPr>
        <w:pStyle w:val="TextoNormal"/>
      </w:pPr>
      <w:r>
        <w:t>Así, la reforma del Sistema Nacional de Salud obedece en su conjunto a un doble orden de finalidades. Por un lado, la existencia de una situación de grave dificultad económica en el Sistema Nacional de Salud sin precedentes desde su creación, con una alta morosidad y un insostenible déficit en las cuentas públicas sanitarias; por otro, responde a la necesidad “inaplazable” de “hacer frente a los retos actuales de la asistencia sanitaria” derivados del envejecimiento de la población y de los avances y progresos médicos y farmacéuticos (medicina molecular, innovaciones terapéuticas, desarrollo de la genómica y proteómica, nuevos fármacos, etc.) que “van a suponer, sin duda, un incremento del gasto sanitario”.</w:t>
      </w:r>
    </w:p>
    <w:p w:rsidR="00A90898" w:rsidRDefault="00A90898" w:rsidP="00A90898">
      <w:pPr>
        <w:pStyle w:val="TextoNormal"/>
      </w:pPr>
    </w:p>
    <w:p w:rsidR="00A90898" w:rsidRDefault="00A90898" w:rsidP="00A90898">
      <w:pPr>
        <w:pStyle w:val="TextoNormal"/>
      </w:pPr>
      <w:r>
        <w:t xml:space="preserve">En relación con las dos cuestiones concretas aquí suscitadas, la exposición de motivos afirma que “a la vista de los informes emitidos por el Tribunal de Cuentas, resulta imprescindible regular, sin más demora, la condición de asegurado con el fin de evitar algunas situaciones de prestación de asistencia sanitaria que se están produciendo en la actualidad y que están debilitando de forma alarmante la sostenibilidad del Sistema Nacional de Salud”. Argumenta en este sentido que las Comunidades Autónomas han extendido el derecho de cobertura sanitaria de forma diversa y sin tener en cuenta la legislación europea en materia de aseguramiento, poniendo en riesgo la solvencia del propio Sistema Nacional de Salud y abocándolo a procedimientos de infracción por parte de la Comisión Europea. Aludiendo al dictamen motivado 2009/2341 de la Comisión Europea resalta que se “ha puesto de manifiesto la fragilidad del mecanismo de reconocimiento del derecho a la protección de la salud en nuestro país”. Menciona el Reglamento (CE) 883/2004 del Parlamento Europeo y del Consejo, de 29 de abril de 2004, sobre la coordinación de los sistemas de seguridad social, </w:t>
      </w:r>
      <w:r>
        <w:lastRenderedPageBreak/>
        <w:t>y el Reglamento (CE) 987/2009 del Parlamento Europeo y del Consejo, de 16 de septiembre de 2009, por el que se adoptan las normas de aplicación, indicando que ambas normas “hacen efectivo el principio de igualdad de trato en las prestaciones derivadas de la acción protectora de la seguridad social entre los ciudadanos comunitarios europeos, sea cual sea su lugar de origen, asimilando éstas a las de los ciudadanos del país donde se presten”.</w:t>
      </w:r>
    </w:p>
    <w:p w:rsidR="00A90898" w:rsidRDefault="00A90898" w:rsidP="00A90898">
      <w:pPr>
        <w:pStyle w:val="TextoNormal"/>
      </w:pPr>
    </w:p>
    <w:p w:rsidR="00A90898" w:rsidRDefault="00A90898" w:rsidP="00A90898">
      <w:pPr>
        <w:pStyle w:val="TextoNormal"/>
      </w:pPr>
      <w:r>
        <w:t>La exposición de motivos recalca esta misma idea vinculándola a la deficiente trasposición de la Directiva 2004/38/CE, del Parlamento Europeo y del Consejo, de 29 de abril de 2004, relativa al derecho de los ciudadanos de la Unión y de los miembros de sus familias a circular y residir libremente en el territorio de los Estados miembros, circunstancia que supone “un grave perjuicio económico para España, especialmente en cuanto a la imposibilidad de garantizar los retornos de los gastos ocasionados por la prestación de servicios sanitarios y sociales a ciudadanos europeos”. Apela nuevamente al Tribunal de Cuentas señalando que este órgano ha puesto de manifiesto que el Sistema Nacional de Salud está asumiendo, con cargo a sus presupuestos, la asistencia sanitaria de personas que la tienen ya cubierta. Por eso, “se impone, pues, una clarificación armonizada de la condición de asegurado, a efectos de la prestación de servicios sanitarios y sociosanitarios, de tal forma que ésta quede vinculada de forma efectiva a la financiación por impuestos y al carácter de solidaridad social que el esquema progresivo de los mismos tiene en nuestro país.”.</w:t>
      </w:r>
    </w:p>
    <w:p w:rsidR="00A90898" w:rsidRDefault="00A90898" w:rsidP="00A90898">
      <w:pPr>
        <w:pStyle w:val="TextoNormal"/>
      </w:pPr>
    </w:p>
    <w:p w:rsidR="00A90898" w:rsidRDefault="00A90898" w:rsidP="00A90898">
      <w:pPr>
        <w:pStyle w:val="TextoNormal"/>
      </w:pPr>
      <w:r>
        <w:t>Concluye la exposición de motivos señalando en relación a esta cuestión que “es, precisamente, esta materia la que se encuentra regulada en el Capítulo I de este real decreto-ley, donde se regula la condición de asegurado, en su Disposición final tercera, por la que se modifica el artículo 12 de la Ley Orgánica 4/2000, de 11 de enero, sobre derechos y libertades de los extranjeros en España y su integración social, precepto que no tiene naturaleza orgánica según establece la disposición final cuarta de dicha ley, así como en su Disposición final quinta en la que se modifica el artículo 7 del Real Decreto 240/2007, de 16 de febrero”.</w:t>
      </w:r>
    </w:p>
    <w:p w:rsidR="00A90898" w:rsidRDefault="00A90898" w:rsidP="00A90898">
      <w:pPr>
        <w:pStyle w:val="TextoNormal"/>
      </w:pPr>
    </w:p>
    <w:p w:rsidR="00A90898" w:rsidRDefault="00A90898" w:rsidP="00A90898">
      <w:pPr>
        <w:pStyle w:val="TextoNormal"/>
      </w:pPr>
      <w:r>
        <w:t xml:space="preserve">b) En el debate de convalidación del Real Decreto-ley 16/2012 (“Diario de Sesiones. Congreso de los Diputados”, núm. 31, de 17 de mayo, correspondiente a la sesión plenaria núm. 30), la Sra. Ministra de Sanidad, Servicios Sociales e Igualdad, afirmó que la reforma trata de hacer frente a una situación excepcional, actuando con urgencia y determinación para impedir que la situación económica del Sistema Nacional de Salud se vuelva irreversible. La representante del Gobierno situó también el énfasis en tres factores que configurarían el presupuesto habilitante: i) una situación de especial relevancia y gravedad que afecta a la sostenibilidad y la viabilidad económica del Sistema Nacional de Salud y que requiere una reforma estructural de amplio alcance que debe abordarse con carácter inaplazable e inminente; ii) respecto a las dos cuestiones que estamos examinando, indicó la existencia de problemas vinculados con “la ausencia de normas claras respecto a la universalización de la asistencia sanitaria en todo el territorio español y de los procedimientos para hacerla efectiva”; iii) aludió también a que la “falta de adaptación de la legislación española a la normativa europea ha abierto las puertas a los abusos del llamado turismo sanitario y ha ocasionado gastos indebidos por valor de más de 1.000 millones de euros en un solo ejercicio económico, en el año 2009”. En relación con ello, afirmó la Sra. Ministra que las medidas propuestas mejoran los procedimientos para el acceso a la asistencia sanitaria “para evitar el descontrol que suponía que cualquier persona, sin concurrir los requisitos legales y por el mero hecho de empadronarse en nuestro país, tuviese acceso a la tarjeta sanitaria. Esto es lo que ha permitido, entre otras cosas, que determinadas personas viajasen a nuestro país a </w:t>
      </w:r>
      <w:r>
        <w:lastRenderedPageBreak/>
        <w:t>sacarse la tarjeta sanitaria, volviesen al suyo para operarse, por ejemplo, y la sanidad española se hiciera cargo de pagar esa operación”. Sobre esta misma cuestión también afirma que “con las mismas garantías que tienen los españoles es como se va a aplicar el procedimiento para los ciudadanos de otras nacionalidades que obtengan la condición de asegurados. A ellos les serán de aplicación específica las normas europeas, los convenios bilaterales o las exigencias de extranjería que se requieran según el caso. Con esta medida nos equipararemos a los países de nuestro entorno y evitaremos determinados abusos que se venían produciendo sobre nuestro Sistema Nacional de Salud”. Abundando en el abuso que ha representado el llamado turismo sanitario, la Sra. Ministra se remitió a los informes del Tribunal de Cuentas, y expuso que el sistema sanitario español estaba asumiendo indebidamente, con cargo a sus presupuestos, la asistencia sanitaria de personas que ya la tenían cubierta, bien por sus instituciones de Seguridad Social en su país de origen, o bien por un esquema de seguros privados. Este hecho se ha ocasionado por no haberse incorporado al Derecho español el art. 7 de la Directiva 2004/38/CE.</w:t>
      </w:r>
    </w:p>
    <w:p w:rsidR="00A90898" w:rsidRDefault="00A90898" w:rsidP="00A90898">
      <w:pPr>
        <w:pStyle w:val="TextoNormal"/>
      </w:pPr>
    </w:p>
    <w:p w:rsidR="00A90898" w:rsidRDefault="00A90898" w:rsidP="00A90898">
      <w:pPr>
        <w:pStyle w:val="TextoNormal"/>
      </w:pPr>
      <w:r>
        <w:t>Finalmente, en el debate posterior a su intervención inicial, la Sra. Ministra recalcó la imposibilidad de equiparar los derechos de las personas en situación de legalidad con los de aquellas que están en situación irregular. Destacó también que “la atención que se presta en otros países europeos a las personas que no tienen cobertura sanitaria es infinitamente menor que la que se va a prestar en España”, señalando, por último, que “lo que en definitiva hace este decreto es corregir una práctica de concesión de la tarjeta sanitaria sin más, que ha provocado que la sanidad pública tenga que pagar independientemente el derecho y también se pueda pagar esa sanidad en otros países”.</w:t>
      </w:r>
    </w:p>
    <w:p w:rsidR="00A90898" w:rsidRDefault="00A90898" w:rsidP="00A90898">
      <w:pPr>
        <w:pStyle w:val="TextoNormal"/>
      </w:pPr>
    </w:p>
    <w:p w:rsidR="00A90898" w:rsidRDefault="00A90898" w:rsidP="00A90898">
      <w:pPr>
        <w:pStyle w:val="TextoNormal"/>
      </w:pPr>
      <w:r w:rsidRPr="00A90898">
        <w:rPr>
          <w:rStyle w:val="NumeroAFNegritaCaracter"/>
        </w:rPr>
        <w:t>5</w:t>
      </w:r>
      <w:r>
        <w:t>. Con arreglo al canon que hemos expuesto, hay que valorar a continuación si concurre el presupuesto habilitante exigido en el art. 86.1 CE, tanto en lo que se refiere a la situación de urgencia que pretende afrontarse, como en lo relativo a la necesaria conexión entre la situación de urgencia definida y las medidas adoptadas para subvenir a la misma.</w:t>
      </w:r>
    </w:p>
    <w:p w:rsidR="00A90898" w:rsidRDefault="00A90898" w:rsidP="00A90898">
      <w:pPr>
        <w:pStyle w:val="TextoNormal"/>
      </w:pPr>
    </w:p>
    <w:p w:rsidR="00A90898" w:rsidRDefault="00A90898" w:rsidP="00A90898">
      <w:pPr>
        <w:pStyle w:val="TextoNormal"/>
      </w:pPr>
      <w:r>
        <w:t xml:space="preserve">a) De la exposición de motivos de la norma cuestionada y del ulterior debate parlamentario de convalidación cabe concluir, sin entrar en un juicio político que este Tribunal tiene vedado, que el Gobierno ha cumplido la exigencia de explicitar y razonar de forma suficiente, la existencia de una situación de “extraordinaria y urgente necesidad” que fundamenta la necesidad de dictar el Real Decreto-ley 16/2012. En efecto, se ha ofrecido una justificación general basada en la existencia de una situación de grave dificultad económica sin precedentes desde la creación del Sistema Nacional de Salud, según los argumentos expuestos en el fundamento jurídico 4. De ello se desprende que las reformas que se proponen tratan de hacer frente a una situación excepcional, actuando para impedir que la situación económica del Sistema Nacional de Salud se vuelva irreversible. El carácter relevante o grave de la situación, invocado por el Gobierno, resulta así justificado, pues, de acuerdo con los argumentos ya resumidos, el sistema sanitario público se encuentra sometido desde hace años a una importante situación de déficit que hace peligrar su viabilidad, situación agravada por el actual contexto de crisis económica en el que la norma se aprueba, que ha incrementado la precariedad de su financiación. Por ello, podemos considerar de la situación de extraordinaria y urgente necesidad y la necesidad de adoptar medidas inmediatas para corregirla ha sido justificada por el Gobierno de forma explícita y razonada. Nada afecta a la anterior consideración el hecho de que, en todo o en parte, pudiera pretenderse resolver una situación de carácter estructural y no coyuntural, pues ya hemos indicado que eso no es, por </w:t>
      </w:r>
      <w:r>
        <w:lastRenderedPageBreak/>
        <w:t>sí mismo, determinante para estimar que se haya hecho un uso constitucionalmente inadecuado de la figura del decreto-ley.</w:t>
      </w:r>
    </w:p>
    <w:p w:rsidR="00A90898" w:rsidRDefault="00A90898" w:rsidP="00A90898">
      <w:pPr>
        <w:pStyle w:val="TextoNormal"/>
      </w:pPr>
    </w:p>
    <w:p w:rsidR="00A90898" w:rsidRDefault="00A90898" w:rsidP="00A90898">
      <w:pPr>
        <w:pStyle w:val="TextoNormal"/>
      </w:pPr>
      <w:r>
        <w:t>b) El examen del segundo elemento de nuestro canon, es decir, la existencia de una necesaria conexión entre la situación de urgencia definida y las medidas que en el Decreto-ley se adoptan, en una relación directa o de congruencia con la situación que se trata de afrontar (STC 29/1982, de 31 de mayo, FJ 3; 182/1997, de 20 de octubre, FJ 3, y 137/2003, de 3 de julio, FJ 4), ha de realizarse en relación con las dos medidas discutidas por la Letrada del Parlamento de Navarra.</w:t>
      </w:r>
    </w:p>
    <w:p w:rsidR="00A90898" w:rsidRDefault="00A90898" w:rsidP="00A90898">
      <w:pPr>
        <w:pStyle w:val="TextoNormal"/>
      </w:pPr>
    </w:p>
    <w:p w:rsidR="00A90898" w:rsidRDefault="00A90898" w:rsidP="00A90898">
      <w:pPr>
        <w:pStyle w:val="TextoNormal"/>
      </w:pPr>
      <w:r>
        <w:t>Para comprobar si se cumple o no este segundo elemento del presupuesto habilitante debe analizarse el contenido de las medidas que se adoptan y verificar si guardan relación con la situación excepcional que se encara y constituyen una acción normativa inmediata, que no podía esperar ni siquiera a la aprobación de una ley por el procedimiento de urgencia.</w:t>
      </w:r>
    </w:p>
    <w:p w:rsidR="00A90898" w:rsidRDefault="00A90898" w:rsidP="00A90898">
      <w:pPr>
        <w:pStyle w:val="TextoNormal"/>
      </w:pPr>
    </w:p>
    <w:p w:rsidR="00A90898" w:rsidRDefault="00A90898" w:rsidP="00A90898">
      <w:pPr>
        <w:pStyle w:val="TextoNormal"/>
      </w:pPr>
      <w:r>
        <w:t xml:space="preserve">El art. 1 del Real Decreto-ley 16/2012, modifica el art. 3 de la Ley 16/2003, en relación con los requisitos para la adquisición de la condición de asegurado y de beneficiario del Sistema Nacional de Salud. Configura el régimen de acceso a la asistencia sanitaria en España con cargo a los fondos públicos, partiendo del principio de que la condición de asegurado deriva de la relación o del vínculo de la persona con la Seguridad Social. Según el apartado uno del art. 1, que modifica el apartado 2 del art. 3 de la Ley 16/2003, tienen la condición de asegurado: (i)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(ii) el apartado 3 del mismo art.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fijado en ingresos superiores en cómputo anual a cien mil euros por el art. 3.1 b) del Real Decreto 1192/2012, de 3 de agosto, por el que se regula la condición de asegurado y de beneficiario a efectos de la asistencia sanitaria en España con cargo a fondos públicos, a través del Sistema Nacional de Salud; (iii) el apartado 4 extiende la cobertura a personas que tampoco mantienen una vinculación personal directa con el Sistema de la Seguridad Social, como son los “beneficiarios”, categoría que comprende a los cónyuges y a las personas con una relación asimilada jurídicamente; a los excónyuges a cargo del asegurado; a los descendientes y personas asimiladas que sean menores de 26 años o que tengan una discapacidad de grado igual o superior al 65 por 100; (iv) el apartado 5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y en el apartado 6 se mantiene el régimen específico de gestión indirecta de la asistencia sanitaria para las personas titulares o beneficiarias de los regímenes especiales de la Seguridad Social gestionados por diversas mutualidades, y (v) finalmente, la disposición transitoria primera prevé que las personas que tenían acceso a la asistencia sanitaria a España antes de la entrada </w:t>
      </w:r>
      <w:r>
        <w:lastRenderedPageBreak/>
        <w:t>en vigor del Real Decreto-ley lo continuarán teniendo hasta el 31 de agosto de 2012, sin necesidad de acreditar la condición de asegurado o beneficiario.</w:t>
      </w:r>
    </w:p>
    <w:p w:rsidR="00A90898" w:rsidRDefault="00A90898" w:rsidP="00A90898">
      <w:pPr>
        <w:pStyle w:val="TextoNormal"/>
      </w:pPr>
    </w:p>
    <w:p w:rsidR="00A90898" w:rsidRDefault="00A90898" w:rsidP="00A90898">
      <w:pPr>
        <w:pStyle w:val="TextoNormal"/>
      </w:pPr>
      <w:r>
        <w:t>Como ya hemos visto, la Letrada del Parlamento de Navarra entiende que esta regulación produce el efecto de excluir de la asistencia sanitaria prestada con cargo a fondos públicos a algunos españoles (aquellos que no tengan la condición de asegurado o beneficiario y cuenten con ingresos anuales superiores a cien mil euros, en los términos del Real Decreto 1192/2012) y de los extranjeros empadronados que no dispongan de autorización de residencia.</w:t>
      </w:r>
    </w:p>
    <w:p w:rsidR="00A90898" w:rsidRDefault="00A90898" w:rsidP="00A90898">
      <w:pPr>
        <w:pStyle w:val="TextoNormal"/>
      </w:pPr>
    </w:p>
    <w:p w:rsidR="00A90898" w:rsidRDefault="00A90898" w:rsidP="00A90898">
      <w:pPr>
        <w:pStyle w:val="TextoNormal"/>
      </w:pPr>
      <w:r>
        <w:t>El examen que corresponde a este Tribunal sobre la conexión de sentido o relación de adecuación entre la situación definida que constituye el presupuesto de hecho habilitante y las medidas que en el decreto-ley se adoptan, ha de realizarse, lógicamente, en relación con el contenido positivo del precepto. Así el precepto no contempla esos dos supuestos en los que la Letrada del Parlamento Foral centra su queja sino que tiene un contenido muy determinado en cuanto que, mediante los conceptos de asegurado y beneficiario, delimita el ámbito subjetivo del derecho a la atención sanitaria financiada con cargo a fondos públicos, produciendo el efecto de exclusión de determinados supuestos, sobre los que se ha centrado el debate. Tanto en la exposición de motivos como en el debate de convalidación se viene a justificar que esa delimitación tiene por objeto fijar pautas claras en relación con el régimen de acceso a la asistencia sanitaria pública y gratuita en un momento de especiales dificultades para el Sistema Nacional de Salud. De hecho la exposición de motivos alude a “la ausencia de normas comunes sobre el aseguramiento como uno de los factores que han conducido al Sistema Nacional de Salud a una situación de grave dificultad económica sin precedentes desde su creación”. Por tanto, es posible concluir que la regulación que ahora se examina es una opción adoptada por el Gobierno con la finalidad de concretar, en aras al ahorro de costes y a la mejora de la eficiencia del sistema, los sujetos que tienen la condición de asegurados o beneficiarios del Sistema Nacional de Salud, así como también, para definir, dentro de este ámbito, aquellos colectivos que quedan extramuros de la asistencia sanitaria financiada con fondos públicos. Por tanto, sin entrar en valoraciones que no nos corresponden en relación con el grado de consecución del objetivo de ahorro pretendido, la nueva concepción de asegurado y beneficiario en relación con la asistencia sanitaria sostenida con fondos públicos acredita las debidas condiciones de coherencia y congruencia, en relación con los problemas que se persigue solucionar y la situación económica deficitaria que se pretende controlar. Se aprecia así que estas normas guardan relación directa con la situación que se trata de afrontar de modo que existe conexión de sentido entre la situación de urgencia, derivada de las dificultades por las que atraviesa el sistema sanitario público, y la medida adoptada, en cuanto que persigue la reducción de los gastos que se financian con cargo a dicho sistema y se relaciona, por tanto, con su sostenibilidad.</w:t>
      </w:r>
    </w:p>
    <w:p w:rsidR="00A90898" w:rsidRDefault="00A90898" w:rsidP="00A90898">
      <w:pPr>
        <w:pStyle w:val="TextoNormal"/>
      </w:pPr>
    </w:p>
    <w:p w:rsidR="00A90898" w:rsidRDefault="00A90898" w:rsidP="00A90898">
      <w:pPr>
        <w:pStyle w:val="TextoNormal"/>
      </w:pPr>
      <w:r>
        <w:t xml:space="preserve">La conclusión anterior no se ve modificada por el hecho de que, conforme a la disposición transitoria primera, la implantación de este régimen de acceso a la asistencia sanitaria en España quede demorada para determinadas personas hasta el día 31 de agosto de 2012. Por un lado el Real Decreto-ley 16/2012 entró en vigor el mismo día de su publicación oficial y la disposición transitoria primera sólo demora la aplicación respecto a “las personas que, con anterioridad a la entrada en vigor de este real decreto-ley, tuvieran acceso a la asistencia sanitaria en España”, de manera que la medida modifica de manera instantánea la situación jurídica existente en cuanto que es inmediatamente aplicable a los extranjeros no </w:t>
      </w:r>
      <w:r>
        <w:lastRenderedPageBreak/>
        <w:t>comunitarios que en el momento de la publicación de la norma no disfrutaban de esa asistencia así como a los que entren en España a partir de entonces y no reúnan los requisitos exigidos por la norma. Por otra parte, la demora que deriva de mencionada disposición transitoria primera es únicamente la necesaria en relación con el cambio que se introduce, el cual requiere un periodo de necesaria adaptación, razonable por lo demás, por parte de los potenciales usuarios o excluidos del nuevo sistema. Esa transitoriedad no es constitucionalmente cuestionable, pues no supone un retraso tal como para desvirtuar la urgencia declarada en la adopción de las medidas (en un sentido similar, STC 61/2016, de 17 de marzo, FJ 3).</w:t>
      </w:r>
    </w:p>
    <w:p w:rsidR="00A90898" w:rsidRDefault="00A90898" w:rsidP="00A90898">
      <w:pPr>
        <w:pStyle w:val="TextoNormal"/>
      </w:pPr>
    </w:p>
    <w:p w:rsidR="00A90898" w:rsidRDefault="00A90898" w:rsidP="00A90898">
      <w:pPr>
        <w:pStyle w:val="TextoNormal"/>
      </w:pPr>
      <w:r>
        <w:t>Consecuentemente, este primer motivo de inconstitucionalidad ha de ser desestimado.</w:t>
      </w:r>
    </w:p>
    <w:p w:rsidR="00A90898" w:rsidRDefault="00A90898" w:rsidP="00A90898">
      <w:pPr>
        <w:pStyle w:val="TextoNormal"/>
      </w:pPr>
    </w:p>
    <w:p w:rsidR="00A90898" w:rsidRDefault="00A90898" w:rsidP="00A90898">
      <w:pPr>
        <w:pStyle w:val="TextoNormal"/>
      </w:pPr>
      <w:r w:rsidRPr="00A90898">
        <w:rPr>
          <w:rStyle w:val="NumeroAFNegritaCaracter"/>
        </w:rPr>
        <w:t>6</w:t>
      </w:r>
      <w:r>
        <w:t>. Se examinan a continuación las restantes vulneraciones de los límites materiales que el art. 86.1 CE impone al decreto-ley, comenzando por la relativa a la prohibición de afectación a los derechos de los ciudadanos reconocidos en el título I CE, reproche que, en relación con el art. 43 CE, se formula mínimamente argumentado respecto al art. 1.1 y 2, en cuanto a la determinación de los beneficiarios; al art. 2.3 y 5 y art. 4.13, en lo relativo la aportación de los usuarios, queja que se conecta con la vulneración de los límites materiales desde la perspectiva del art. 31.1 CE, y que, por infracción del art. 18.4 CE, se formula al art. 4.14.</w:t>
      </w:r>
    </w:p>
    <w:p w:rsidR="00A90898" w:rsidRDefault="00A90898" w:rsidP="00A90898">
      <w:pPr>
        <w:pStyle w:val="TextoNormal"/>
      </w:pPr>
    </w:p>
    <w:p w:rsidR="00A90898" w:rsidRDefault="00A90898" w:rsidP="00A90898">
      <w:pPr>
        <w:pStyle w:val="TextoNormal"/>
      </w:pPr>
      <w:r>
        <w:t>La doctrina de este Tribunal en relación con este punto está recogida en el ATC 179/2011, de 13 de diciembre, FJ 7, de la que se desprende lo siguiente:</w:t>
      </w:r>
    </w:p>
    <w:p w:rsidR="00A90898" w:rsidRDefault="00A90898" w:rsidP="00A90898">
      <w:pPr>
        <w:pStyle w:val="TextoNormal"/>
      </w:pPr>
    </w:p>
    <w:p w:rsidR="00A90898" w:rsidRDefault="00A90898" w:rsidP="00A90898">
      <w:pPr>
        <w:pStyle w:val="TextoNormal"/>
      </w:pPr>
      <w:r>
        <w:t>1º) El art. 86.1 CE impide que con el decreto-ley queden afectados los derechos, deberes y libertades de los ciudadanos regulados en el título I CE, pero este Tribunal ha rechazado una interpretación extensiva de dicho límite que supondría el vaciamiento de la figura del decreto-ley, haciéndolo “inservible para regular con mayor o menor incidencia cualquier aspecto concerniente a las materias incluidas en el título I de la Constitución”.</w:t>
      </w:r>
    </w:p>
    <w:p w:rsidR="00A90898" w:rsidRDefault="00A90898" w:rsidP="00A90898">
      <w:pPr>
        <w:pStyle w:val="TextoNormal"/>
      </w:pPr>
    </w:p>
    <w:p w:rsidR="00A90898" w:rsidRDefault="00A90898" w:rsidP="00A90898">
      <w:pPr>
        <w:pStyle w:val="TextoNormal"/>
      </w:pPr>
      <w:r>
        <w:t>2º) La cláusula restrictiva debe ser entendida de modo que no se reduzca a la nada la figura del decreto-ley, de suerte que lo que se prohíbe constitucionalmente es que se regule un régimen general de estos derechos, deberes y libertades o que vaya en contra del contenido o elementos esenciales de algunos de tales derechos (STC 111/1983, de 2 de diciembre, FJ 8, confirmada por otras posteriores).</w:t>
      </w:r>
    </w:p>
    <w:p w:rsidR="00A90898" w:rsidRDefault="00A90898" w:rsidP="00A90898">
      <w:pPr>
        <w:pStyle w:val="TextoNormal"/>
      </w:pPr>
    </w:p>
    <w:p w:rsidR="00A90898" w:rsidRDefault="00A90898" w:rsidP="00A90898">
      <w:pPr>
        <w:pStyle w:val="TextoNormal"/>
      </w:pPr>
      <w:r>
        <w:t>3º) El Tribunal no debe fijarse únicamente en el modo en que se manifiesta el principio de reserva de ley en una determinada materia, sino más bien ha de examinar si ha existido “afectación” por el decreto-ley de un derecho, deber o libertad regulado en el título I CE, lo que exigirá tener en cuenta la configuración constitucional del derecho, deber o libertad afectado en cada caso e incluso su ubicación sistemática en el texto constitucional y la naturaleza y alcance de la concreta regulación de que se trate.</w:t>
      </w:r>
    </w:p>
    <w:p w:rsidR="00A90898" w:rsidRDefault="00A90898" w:rsidP="00A90898">
      <w:pPr>
        <w:pStyle w:val="TextoNormal"/>
      </w:pPr>
    </w:p>
    <w:p w:rsidR="00A90898" w:rsidRDefault="00A90898" w:rsidP="00A90898">
      <w:pPr>
        <w:pStyle w:val="TextoNormal"/>
      </w:pPr>
      <w:r>
        <w:t xml:space="preserve">Dos criterios básicos deben retenerse a efectos de determinar el alcance de la mencionada cláusula restrictiva sobre el decreto-ley: (i) que la legislación de urgencia no regule el régimen general de los derechos, deberes y libertades del título I CE y que la interpretación constitucionalmente adecuada tenga en cuenta la configuración constitucional de los derechos en cuestión, su ubicación sistemática, en el título I CE; (ii) el mayor o menor grado de </w:t>
      </w:r>
      <w:r>
        <w:lastRenderedPageBreak/>
        <w:t>intensidad o rigor de las garantías de las que disfrutan, en virtud de lo que establece el artículo 53 CE.</w:t>
      </w:r>
    </w:p>
    <w:p w:rsidR="00A90898" w:rsidRDefault="00A90898" w:rsidP="00A90898">
      <w:pPr>
        <w:pStyle w:val="TextoNormal"/>
      </w:pPr>
    </w:p>
    <w:p w:rsidR="00A90898" w:rsidRDefault="00A90898" w:rsidP="00A90898">
      <w:pPr>
        <w:pStyle w:val="TextoNormal"/>
      </w:pPr>
      <w:r>
        <w:t>Por tanto, se debe examinar el tratamiento constitucional del derecho a la protección de la salud al que hace referencia el art. 43 CE, para así contestar a las quejas relacionadas con este precepto constitucional, partiendo de que su colocación en el texto constitucional en una u otra de las diversas secciones y capítulos de su título I, le dota de mayor o menor rigor protector a los efectos de valorar la concurrencia de este límite material.</w:t>
      </w:r>
    </w:p>
    <w:p w:rsidR="00A90898" w:rsidRDefault="00A90898" w:rsidP="00A90898">
      <w:pPr>
        <w:pStyle w:val="TextoNormal"/>
      </w:pPr>
    </w:p>
    <w:p w:rsidR="00A90898" w:rsidRDefault="00A90898" w:rsidP="00A90898">
      <w:pPr>
        <w:pStyle w:val="TextoNormal"/>
      </w:pPr>
      <w:r>
        <w:t>a) El art. 43.1 CE reconoce el derecho a la protección de la salud cuya organización y tutela se encomienda a los poderes públicos a través de medidas preventivas y de las prestaciones y servicios necesarios, atribuyéndose al legislador el establecimiento de los derechos y deberes de todos al respecto (art. 43.2). El precepto constitucional se ubica entre los principios rectores de la política social y económica, los cuales, formalmente, disfrutan de las garantías previstas en el art. 53.3 CE, por lo que su reconocimiento, respeto y protección “informarán la legislación positiva, la práctica judicial y la actuación de los poderes públicos”, estatales y autonómicos. Asimismo, sólo se pueden alegar ante la jurisdicción ordinaria de acuerdo con lo dispuesto en las leyes que los desarrollen. Atendiendo, por tanto, a su ubicación sistemática, el art. 43 CE se configura como un principio rector, razón por la que carece de contenido constitucionalmente esencial que pueda ser afectado por la legislación de urgencia.</w:t>
      </w:r>
    </w:p>
    <w:p w:rsidR="00A90898" w:rsidRDefault="00A90898" w:rsidP="00A90898">
      <w:pPr>
        <w:pStyle w:val="TextoNormal"/>
      </w:pPr>
    </w:p>
    <w:p w:rsidR="00A90898" w:rsidRDefault="00A90898" w:rsidP="00A90898">
      <w:pPr>
        <w:pStyle w:val="TextoNormal"/>
      </w:pPr>
      <w:r>
        <w:t>Debe partirse, en consecuencia, de que el art. 43 CE no ostenta las características de derecho cuya regulación por decreto-ley impide el art. 86.1 CE.</w:t>
      </w:r>
    </w:p>
    <w:p w:rsidR="00A90898" w:rsidRDefault="00A90898" w:rsidP="00A90898">
      <w:pPr>
        <w:pStyle w:val="TextoNormal"/>
      </w:pPr>
    </w:p>
    <w:p w:rsidR="00A90898" w:rsidRDefault="00A90898" w:rsidP="00A90898">
      <w:pPr>
        <w:pStyle w:val="TextoNormal"/>
      </w:pPr>
      <w:r>
        <w:t>b) De acuerdo con lo anterior, debemos analizar las quejas formuladas por la infracción de los límites materiales del decreto-ley, comenzando por la afectación a los derechos y deberes regulados en el título I CE.</w:t>
      </w:r>
    </w:p>
    <w:p w:rsidR="00A90898" w:rsidRDefault="00A90898" w:rsidP="00A90898">
      <w:pPr>
        <w:pStyle w:val="TextoNormal"/>
      </w:pPr>
    </w:p>
    <w:p w:rsidR="00A90898" w:rsidRDefault="00A90898" w:rsidP="00A90898">
      <w:pPr>
        <w:pStyle w:val="TextoNormal"/>
      </w:pPr>
      <w:r>
        <w:t>En primer lugar la denuncia de afectación al art. 43 CE que se reprocha al art. 1.1 y 2, en cuanto regulan las condiciones de acceso a la asistencia sanitaria sufragada con fondos públicos a partir de los conceptos de asegurado y beneficiario del Sistema Nacional de Salud no puede ser estimada en razón de la naturaleza de principio rector del referido precepto constitucional.</w:t>
      </w:r>
    </w:p>
    <w:p w:rsidR="00A90898" w:rsidRDefault="00A90898" w:rsidP="00A90898">
      <w:pPr>
        <w:pStyle w:val="TextoNormal"/>
      </w:pPr>
    </w:p>
    <w:p w:rsidR="00A90898" w:rsidRDefault="00A90898" w:rsidP="00A90898">
      <w:pPr>
        <w:pStyle w:val="TextoNormal"/>
      </w:pPr>
      <w:r>
        <w:t>c) Se impugnan también los arts. 2.3 y 5, y el art. 4.13, en lo relativo la aportación de los usuarios en la financiación de determinadas prestaciones sanitarias.</w:t>
      </w:r>
    </w:p>
    <w:p w:rsidR="00A90898" w:rsidRDefault="00A90898" w:rsidP="00A90898">
      <w:pPr>
        <w:pStyle w:val="TextoNormal"/>
      </w:pPr>
    </w:p>
    <w:p w:rsidR="00A90898" w:rsidRDefault="00A90898" w:rsidP="00A90898">
      <w:pPr>
        <w:pStyle w:val="TextoNormal"/>
      </w:pPr>
      <w:r>
        <w:t>No cabe estimar, por lo ya expuesto, que la norma de urgencia afecte al art. 43 CE en forma vedada al Decreto-ley.</w:t>
      </w:r>
    </w:p>
    <w:p w:rsidR="00A90898" w:rsidRDefault="00A90898" w:rsidP="00A90898">
      <w:pPr>
        <w:pStyle w:val="TextoNormal"/>
      </w:pPr>
    </w:p>
    <w:p w:rsidR="00A90898" w:rsidRDefault="00A90898" w:rsidP="00A90898">
      <w:pPr>
        <w:pStyle w:val="TextoNormal"/>
      </w:pPr>
      <w:r>
        <w:t xml:space="preserve">Respecto a la queja relacionada con el límite del art. 31.1 CE, “es necesario recordar que, aun cuando la Constitución autoriza el establecimiento de prestaciones patrimoniales de carácter público, no lo hace sin limitación alguna, sino ‘con arreglo a la ley’ (art. 31.3 CE). Con esta previsión, el texto constitucional está consagrando el principio de reserva de ley, de manera que el establecimiento de cualquier prestación patrimonial de carácter público, de naturaleza tributaria o no, debe hacerse por la propia ley o con arreglo a lo dispuesto en la misma. Ahora bien, de la misma manera que la Constitución ha sometido al imperio de </w:t>
      </w:r>
      <w:r>
        <w:lastRenderedPageBreak/>
        <w:t>la ley, con carácter general, el establecimiento de prestaciones patrimoniales de carácter público, cuando tienen naturaleza tributaria ha condicionado los instrumentos normativos a través de los cuales se puede cumplir con aquella reserva pues no sólo limita el uso del decreto-ley a aquellos supuestos en los que no se afecte a los deberes de los ciudadanos regulados en el título I (art. 86.1 CE) y, concretamente, al deber de contribuir de todos al sostenimiento de los gastos públicos (art. 31.1 CE)” (STC 83/2014, de 29 de mayo, FJ 3). Así, el fundamento jurídico 3 de la STC 185/1995, de 14 de diciembre, ya señaló que una interpretación sistemática de la Constitución, “lleva necesariamente a no considerar como sinónimas la expresión ‘tributos’ del art. 133.1 CE y la más genérica de ‘prestaciones patrimoniales de carácter público’ del art. 31.3 CE”. De manera que, si bien puede afirmarse que todo tributo es una “prestación patrimonial de carácter público”, no todas estas prestaciones patrimoniales, para cuyo establecimiento el art. 31.3 CE exige la intervención de una Ley, tienen naturaleza tributaria. No existe, pues, ningún inconveniente para que a través de un decreto-ley se puedan establecer, modificar o derogar, prestaciones patrimoniales de carácter público, siempre y cuando, claro está, concurra una situación de extraordinaria urgencia que justifique el uso de este particular instrumento normativo, y, a su través, no se afecte al deber de contribuir al sostenimiento de los gastos públicos consagrado en el título I de la Constitución, art. 31.1 CE (SSTC 111/1983, de 2 de diciembre, FJ 8; 60/1986, de 20 de mayo, FJ 4; 182/1997, de 18 de octubre, FJ 6; 137/2003, de 3 de julio, FJ 6; 108/2004, de 30 de junio, FJ 7; y 189/2005, de 7 de julio, FJ 7), lo que sucedería con “cualquier intervención o innovación normativa que, por su entidad cualitativa o cuantitativa, altere sensiblemente la posición del obligado a contribuir según su capacidad económica en el conjunto del sistema tributario” (SSTC 182/1997, de 28 de octubre, FJ 7; 137/2003, de 3 de julio, FJ 6; 108/2004, de 30 de junio, FJ 7; 189/2005, de 7 de julio, FJ 7, y 100/2012, de 8 de mayo, FJ 9).</w:t>
      </w:r>
    </w:p>
    <w:p w:rsidR="00A90898" w:rsidRDefault="00A90898" w:rsidP="00A90898">
      <w:pPr>
        <w:pStyle w:val="TextoNormal"/>
      </w:pPr>
    </w:p>
    <w:p w:rsidR="00A90898" w:rsidRDefault="00A90898" w:rsidP="00A90898">
      <w:pPr>
        <w:pStyle w:val="TextoNormal"/>
      </w:pPr>
      <w:r>
        <w:t>La STC 83/2014, FJ 3, recuerda que “son prestaciones patrimoniales de carácter público las impuestas coactivamente, esto es, las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(SSTC 185/1995, de 14 de diciembre, FJ 3; 182/1997, de 28 de octubre, FJ 15, y 233/1999, de 16 de diciembre, FJ 33). Para determinar cuándo puede considerarse que una prestación patrimonial resulta coactivamente impuesta es necesario concretar, en primer lugar, ‘si el supuesto de hecho que da lugar a la obligación ha sido o no realizado de forma libre y espontánea por el sujeto obligado’ [STC 185/1995, de 5 de diciembre, FJ 3 a)], y, en segundo lugar, si la libertad o la espontaneidad exigida en la realización del supuesto de hecho y en la decisión de obligarse es real y efectiva [STC 185/1995, de 5 de diciembre, FJ 3 b)]. Eso sí, calificada una determinada prestación como patrimonial de carácter público, además, tendrá naturaleza tributaria si, habiendo sido coactivamente impuesta, ‘se satisfacen, directa o indirectamente, a los entes públicos con la finalidad de contribuir al sostenimiento de los gastos públicos’ (SSTC 182/1997, de 28 de octubre, FJ 15; y 102/2005, de 20 de abril, FJ 6), sometiendo a gravamen un presupuesto de hecho o hecho imponible revelador de capacidad económica (SSTC 276/2000, de 16 de diciembre, FJ 4; y 193/2004, de 4 de noviembre, FJ 4)”.</w:t>
      </w:r>
    </w:p>
    <w:p w:rsidR="00A90898" w:rsidRDefault="00A90898" w:rsidP="00A90898">
      <w:pPr>
        <w:pStyle w:val="TextoNormal"/>
      </w:pPr>
    </w:p>
    <w:p w:rsidR="00A90898" w:rsidRDefault="00A90898" w:rsidP="00A90898">
      <w:pPr>
        <w:pStyle w:val="TextoNormal"/>
      </w:pPr>
      <w:r>
        <w:t xml:space="preserve">Atendiendo a su configuración, la regulación de la aportación de los usuarios en el caso de determinadas prestaciones del Sistema Nacional de Salud reviste la naturaleza de una </w:t>
      </w:r>
      <w:r>
        <w:lastRenderedPageBreak/>
        <w:t>prestación pecuniaria, impuesta coactiva y unilateralmente por el poder público sin la concurrencia de la voluntad del sujeto obligado a su pago, en tanto que el supuesto de hecho que da lugar al mismo no se realiza de forma libre y espontánea por el sujeto obligado dado que se relaciona directamente con la garantía de la protección de la salud a la que alude el art. 43 CE [al respecto, STC 185/1995, FJ 3 b), acerca de las denominadas prestaciones impuestas]. Así, aunque la regulación de las aportaciones de los usuarios en determinadas prestaciones sanitarias queda sometida al principio de reserva de ley del art. 31.3 CE, no toda prestación impuesta tiene que ser necesariamente una expresión concreta del deber de contribuir del art. 31.1 CE, como sucede cuando con ella no se persigue derechamente buscar una nueva forma de allegar medios económicos con los que financiar el gasto público, aunque tenga como efecto económico indirecto el de servir también a dicha financiación. Pueden existir medidas, entonces, en las que, aun siendo prestaciones impuestas, su finalidad principal, no sea tributaria sino que, pretenda efectuar una asignación de los recursos públicos que responda a los criterios de eficiencia y de economía (art. 31.2 CE). Con la regulación controvertida el Estado ha puesto su poder de gasto al servicio de una concreta política no sólo con la finalidad de garantizar un uso racional de las prestaciones y servicios necesarios para tutelar la salud pública (art. 43 CE), sino también con el objetivo de llevar a cabo una adecuada y razonable distribución de unos recursos públicos escasos frente a necesidades de protección siempre crecientes (art. 31.2 CE), fines ambos de inequívoco interés público (en un sentido similar, STC 83/2014, FJ 3).</w:t>
      </w:r>
    </w:p>
    <w:p w:rsidR="00A90898" w:rsidRDefault="00A90898" w:rsidP="00A90898">
      <w:pPr>
        <w:pStyle w:val="TextoNormal"/>
      </w:pPr>
    </w:p>
    <w:p w:rsidR="00A90898" w:rsidRDefault="00A90898" w:rsidP="00A90898">
      <w:pPr>
        <w:pStyle w:val="TextoNormal"/>
      </w:pPr>
      <w:r>
        <w:t>Por tanto, el hecho de que el precepto cuestionado regule una prestación patrimonial de carácter público que, conforme al art. 31.3 CE, sólo puede establecerse “con arreglo a la ley”, no significa que haya incidido en un ámbito material que le esté constitucionalmente vedado. Es evidente que el art. 86.1 CE no prohíbe que mediante estos actos con fuerza de ley pueda afectarse a cualquiera de las materias tratadas en los preceptos del título I de la Constitución, sino únicamente a los que contienen una consagración de “derechos, deberes y libertades de los ciudadanos”. Y aunque, ciertamente, entre tales deberes hay que incluir el de contribuir al sostenimiento de los gastos públicos mediante un sistema tributario en los términos antes expuestos, no puede entenderse que concurra dicha circunstancia en las aportaciones que se regulan en el Decreto-ley impugnado (en un sentido similar, STC 182/1997, FJ 16).</w:t>
      </w:r>
    </w:p>
    <w:p w:rsidR="00A90898" w:rsidRDefault="00A90898" w:rsidP="00A90898">
      <w:pPr>
        <w:pStyle w:val="TextoNormal"/>
      </w:pPr>
    </w:p>
    <w:p w:rsidR="00A90898" w:rsidRDefault="00A90898" w:rsidP="00A90898">
      <w:pPr>
        <w:pStyle w:val="TextoNormal"/>
      </w:pPr>
      <w:r>
        <w:t>Por ello, teniendo en cuenta “la configuración constitucional del derecho o deber afectado en cada caso y la naturaleza y alcance de la concreta regulación de que se trate” (SSTC 100/2012, de 8 de mayo, FJ 9, entre otras muchas), se concluye que no existe la afectación excluida por el art. 86.1 CE.</w:t>
      </w:r>
    </w:p>
    <w:p w:rsidR="00A90898" w:rsidRDefault="00A90898" w:rsidP="00A90898">
      <w:pPr>
        <w:pStyle w:val="TextoNormal"/>
      </w:pPr>
    </w:p>
    <w:p w:rsidR="00A90898" w:rsidRDefault="00A90898" w:rsidP="00A90898">
      <w:pPr>
        <w:pStyle w:val="TextoNormal"/>
      </w:pPr>
      <w:r>
        <w:t xml:space="preserve">d) El recurso denuncia que el derecho fundamental a la protección de datos de carácter personal </w:t>
      </w:r>
      <w:r w:rsidRPr="00A90898">
        <w:rPr>
          <w:i/>
        </w:rPr>
        <w:t>ex</w:t>
      </w:r>
      <w:r>
        <w:t xml:space="preserve"> art. 18.4 CE ha sido afectado por el art. 4.14, aunque no se aprecia en la demanda la mínima argumentación al respecto. Esta se limita a señalar que esta regulación le está vedada al Decreto-ley por requerir Ley Orgánica. Para contestar a tan genérica queja basta recordar la doctrina de este Tribunal según la cual “la prohibición de ‘afectar’ a los derechos, deberes y libertades de los ciudadanos por Decretos-leyes (art. 86.1 de la Constitución) no coincide en su objeto con la necesidad de disciplinar por Ley Orgánica el ‘desarrollo’ de los derechos fundamentales y libertades públicas” [STC 127/1994, de 5 de mayo, FJ 3 B)], pues este último ámbito es por fuerza más restringido, ya que tan sólo cubre el desarrollo general de un derecho o, en todo caso, la regulación de aspectos esenciales de dicho desarrollo. Por </w:t>
      </w:r>
      <w:r>
        <w:lastRenderedPageBreak/>
        <w:t>tanto, en la medida en que no se regula con carácter general el derecho fundamental a la protección de datos de carácter personal, debe desestimarse este motivo de inconstitucionalidad.</w:t>
      </w:r>
    </w:p>
    <w:p w:rsidR="00A90898" w:rsidRDefault="00A90898" w:rsidP="00A90898">
      <w:pPr>
        <w:pStyle w:val="TextoNormal"/>
      </w:pPr>
    </w:p>
    <w:p w:rsidR="00A90898" w:rsidRDefault="00A90898" w:rsidP="00A90898">
      <w:pPr>
        <w:pStyle w:val="TextoNormal"/>
      </w:pPr>
      <w:r>
        <w:t>e) La última denuncia vinculada con la infracción de los límites materiales del Decreto-ley se formula en relación con la vulneración del régimen de las Comunidades Autónomas. Según la demanda, el art. 2.5, en la regulación de la denominada cartera de servicios complementaria de las Comunidades Autónomas, y la disposición adicional tercera, en lo relativo a la cesión de datos tributarios por la hacienda foral, invaden las competencias de la Comunidad Foral de Navarra.</w:t>
      </w:r>
    </w:p>
    <w:p w:rsidR="00A90898" w:rsidRDefault="00A90898" w:rsidP="00A90898">
      <w:pPr>
        <w:pStyle w:val="TextoNormal"/>
      </w:pPr>
    </w:p>
    <w:p w:rsidR="00A90898" w:rsidRDefault="00A90898" w:rsidP="00A90898">
      <w:pPr>
        <w:pStyle w:val="TextoNormal"/>
      </w:pPr>
      <w:r>
        <w:t>Respecto a este límite material de la legislación de urgencia, la STC 182/2013, FJ 3, dice que “hemos señalado que la expresión ‘régimen de las Comunidades Autónomas’ utilizada en el art. 86.1 CE ha de ser interpretada en el sentido de que el Decreto-ley no puede afectar al régimen constitucional de las Comunidades Autónomas, del que forman parte los Estatutos de Autonomía y otras leyes estatales atributivas de competencias que integran el bloque de la constitucionalidad. Pero, ‘[m]ás allá de ese ‘régimen constitucional’ el campo normativo de los Decretos-leyes se corresponde con la competencia legislativa del Estado, de modo que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También hemos señalado [STC 81/2015, de 30 de abril, FJ 6 b)] que este límite “no podría nunca llegar a comprender cualquier medida que de algún modo pudiese afectar a las Comunidades Autónomas, o a una Comunidad Autónoma (y no al ‘régimen de las Comunidades Autónomas’ diseñado en general en la Constitución), pues de ser así, y teniendo en cuenta el desarrollo que ha alcanzado la distribución de competencias entre el Estado y las Comunidades Autónomas esbozada en el título VIII de la Constitución, se haría imposible la utilización de ese instrumento normativo por parte del Gobierno de la Nación, comprometiendo incluso el ejercicio de las funciones que también le asigna esa misma Constitución”.</w:t>
      </w:r>
    </w:p>
    <w:p w:rsidR="00A90898" w:rsidRDefault="00A90898" w:rsidP="00A90898">
      <w:pPr>
        <w:pStyle w:val="TextoNormal"/>
      </w:pPr>
    </w:p>
    <w:p w:rsidR="00A90898" w:rsidRDefault="00A90898" w:rsidP="00A90898">
      <w:pPr>
        <w:pStyle w:val="TextoNormal"/>
      </w:pPr>
      <w:r>
        <w:t xml:space="preserve">Conforme a esta doctrina, este motivo de inconstitucionalidad no puede prosperar. Este límite material debe entenderse en el sentido de que el decreto-ley no puede afectar al régimen jurídico-constitucional de las Comunidades Autónomas, incluida la posición institucional que les otorga la Constitución Española, y que del mismo forman parte los Estatutos de Autonomía, pero también otras leyes estatales atributivas de competencias, que constituyen el bloque de la constitucionalidad. En este, caso las normas ahora impugnadas ni afectan al régimen constitucional, ni atribuyen o delimitan con carácter general la esfera de competencias de las Comunidades Autónomas, por lo que, sin perjuicio de la valoración que merezca desde la perspectiva competencial, se mueven dentro de los límites constitucionales que este Tribunal ha establecido en su interpretación del art. 86.1 CE, en cuanto que la norma no persigue una delimitación directa y positiva de las competencias autonómicas, sin perjuicio de que pueda incidir en las mismas. (STC 23/1993, de 21 de enero, FJ 2; en el mismo sentido, STC 332/2005, de 15 de diciembre, FJ 8). De otro modo, se vaciarían prácticamente de contenido los ámbitos de regulación sobre los que el Decreto-ley puede proyectarse, puesto que es muy difícil encontrar un objeto normativo en el que no incida de uno </w:t>
      </w:r>
      <w:r>
        <w:lastRenderedPageBreak/>
        <w:t>u otro modo alguna competencia autonómica [STC 18/2016, de 4 de febrero, FJ 5 b), y las que allí se citan].</w:t>
      </w:r>
    </w:p>
    <w:p w:rsidR="00A90898" w:rsidRDefault="00A90898" w:rsidP="00A90898">
      <w:pPr>
        <w:pStyle w:val="TextoNormal"/>
      </w:pPr>
    </w:p>
    <w:p w:rsidR="00A90898" w:rsidRDefault="00A90898" w:rsidP="00A90898">
      <w:pPr>
        <w:pStyle w:val="TextoNormal"/>
      </w:pPr>
      <w:r w:rsidRPr="00A90898">
        <w:rPr>
          <w:rStyle w:val="NumeroAFNegritaCaracter"/>
        </w:rPr>
        <w:t>7</w:t>
      </w:r>
      <w:r>
        <w:t>. Resueltas las tachas relacionadas con el art. 86.1 CE, procede dar respuesta a los reproches materiales que se formulan a algunos de los preceptos del Real Decreto-ley 16/2012.</w:t>
      </w:r>
    </w:p>
    <w:p w:rsidR="00A90898" w:rsidRDefault="00A90898" w:rsidP="00A90898">
      <w:pPr>
        <w:pStyle w:val="TextoNormal"/>
      </w:pPr>
    </w:p>
    <w:p w:rsidR="00A90898" w:rsidRDefault="00A90898" w:rsidP="00A90898">
      <w:pPr>
        <w:pStyle w:val="TextoNormal"/>
      </w:pPr>
      <w:r>
        <w:t>Se van a examinar las alegaciones formuladas por los demandantes, respecto a diversos artículos del Decreto-ley impugnado, que se han resumido en el antecedente 2 de esta Sentencia. Primero analizaremos las tachas relativas a la infracción del art. 43 CE y, a continuación, las relacionadas con el orden de distribución de competencias y con la reserva de ley orgánica del art. 81 CE.</w:t>
      </w:r>
    </w:p>
    <w:p w:rsidR="00A90898" w:rsidRDefault="00A90898" w:rsidP="00A90898">
      <w:pPr>
        <w:pStyle w:val="TextoNormal"/>
      </w:pPr>
    </w:p>
    <w:p w:rsidR="00A90898" w:rsidRDefault="00A90898" w:rsidP="00A90898">
      <w:pPr>
        <w:pStyle w:val="TextoNormal"/>
      </w:pPr>
      <w:r w:rsidRPr="00A90898">
        <w:rPr>
          <w:rStyle w:val="NumeroAFNegritaCaracter"/>
        </w:rPr>
        <w:t>8</w:t>
      </w:r>
      <w:r>
        <w:t>. Comenzaremos nuestro enjuiciamiento examinando el art. 1.1 del Real Decreto-ley 16/2012. Este precepto, que modifica el apartado 2 del art. 3 de la Ley 16/2003, al referirse a los requisitos para la adquisición de la condición de asegurado y de beneficiario del Sistema Nacional de Salud, es el que configura el régimen de acceso a la asistencia sanitaria en España con cargo a los fondos públicos, que se hace efectivo mediante la cartera común de los servicios del Sistema Nacional de Salud, tal como ya se ha examinado en el fundamento jurídico 5 a).</w:t>
      </w:r>
    </w:p>
    <w:p w:rsidR="00A90898" w:rsidRDefault="00A90898" w:rsidP="00A90898">
      <w:pPr>
        <w:pStyle w:val="TextoNormal"/>
      </w:pPr>
    </w:p>
    <w:p w:rsidR="00A90898" w:rsidRDefault="00A90898" w:rsidP="00A90898">
      <w:pPr>
        <w:pStyle w:val="TextoNormal"/>
      </w:pPr>
      <w:r>
        <w:t>La Letrada del Parlamento Foral entiende que esa regulación es contraria al mandato del art. 43 CE al menos en dos aspectos: i) la exclusión injustificada de la asistencia sanitaria de los españoles que no ostentan la condición de asegurado o beneficiario, que, en la medida en que se determina por remisión a una norma reglamentaria, se entiende también contraria a la reserva de ley del artículo 43.2; ii) la modificación del sistema de protección de la salud del que venían disfrutando los inmigrantes en nuestro país, modificación que contravendría el mandato de universalización de la asistencia sanitaria que deriva del citado precepto constitucional. El Abogado del Estado ha rechazado las quejas formuladas, señalando, respecto de los españoles, que del Real Decreto-ley y su desarrollo reglamentario se deduce que los únicos excluidos de la asistencia sanitaria con cargo a fondos públicos son aquellos con ingresos superiores en cómputo anual a cien mil euros que no tuvieran la condición de asegurado o beneficiario, sin que la colaboración reglamentaria en esta materia infrinja la reserva legal del art. 43.2 CE. En cuanto a los extranjeros sin autorización de residencia, considera que, siendo un derecho de configuración legal, es posible establecer diferencias entre españoles y extranjeros conforme al art. 13 CE, sin que la regulación ahora cuestionada afecte al límite que supone la garantía de la dignidad humana en los términos del art. 10 CE.</w:t>
      </w:r>
    </w:p>
    <w:p w:rsidR="00A90898" w:rsidRDefault="00A90898" w:rsidP="00A90898">
      <w:pPr>
        <w:pStyle w:val="TextoNormal"/>
      </w:pPr>
    </w:p>
    <w:p w:rsidR="00A90898" w:rsidRDefault="00A90898" w:rsidP="00A90898">
      <w:pPr>
        <w:pStyle w:val="TextoNormal"/>
      </w:pPr>
      <w:r>
        <w:t xml:space="preserve">La norma cuestionada adopta un modelo que se sustenta principalmente en la conexión entre la cotización al sistema de la Seguridad Social y el derecho a recibir las correspondientes prestaciones sanitarias en condiciones de gratuidad o de bonificación. La nueva regulación de la condición de asegurado del Sistema Nacional de Salud supone un cambio en la política de progresiva extensión de la asistencia sanitaria gratuita o bonificada, que se aprecia a partir de la creación del Sistema Nacional de Salud y de la gradual incorporación como titulares de las prestaciones de colectivos a los que no alcanzaba la condición de asegurado de la Seguridad Social. Como es evidente, el sólo hecho del cambio de criterio del legislador en nada afecta a la constitucionalidad de la medida, ya que la Constitución no ha </w:t>
      </w:r>
      <w:r>
        <w:lastRenderedPageBreak/>
        <w:t>prefigurado directamente un contenido prestacional que el legislador deba reconocer necesariamente a cualquier persona, sino que el art. 43.2 CE impone un mandato a los poderes públicos, y en particular al legislador, para establecer los derechos derivados del apartado 1 de ese mismo precepto. Como ya se ha señalado, se trata de un derecho de configuración legal y que, por tanto, permite al legislador redefinir los derechos y obligaciones de los titulares del mismo.</w:t>
      </w:r>
    </w:p>
    <w:p w:rsidR="00A90898" w:rsidRDefault="00A90898" w:rsidP="00A90898">
      <w:pPr>
        <w:pStyle w:val="TextoNormal"/>
      </w:pPr>
    </w:p>
    <w:p w:rsidR="00A90898" w:rsidRDefault="00A90898" w:rsidP="00A90898">
      <w:pPr>
        <w:pStyle w:val="TextoNormal"/>
      </w:pPr>
      <w:r>
        <w:t>Importa señalar, en todo caso, que la universalización del acceso a las prestaciones sanitarias sufragadas con fondos públicos, ha sido, desde la Ley 14/1986, de 25 de abril, general de sanidad (LGS), un objetivo a perseguir en el que no se ha llegado ni a la desvinculación absoluta con respecto a la Seguridad Social ni a un acceso incondicionado y gratuito para todos los residentes en territorio español. En ese contexto debe entenderse la disposición transitoria quinta LGS, cuando establece, sin mayor concreción, que “la extensión de la asistencia sanitaria pública a la que se refieren los artículos 3.2, y 20 de la presente de la Ley se efectuará de forma progresiva”. En la búsqueda de ese objetivo de universalización de la asistencia sanitaria prestada con cargo a fondos públicos se dictaron normas específicas en relación a determinados colectivos y grupos de personas, como, por ejemplo, pensionistas de clases pasivas (art. 55 de la Ley 37/1988, de 28 de diciembre); personas sin recursos económicos suficientes (Real Decreto 1088/1989, de 8 de septiembre); perceptores de prestaciones no contributivas (Ley 26/1990, de 20 de diciembre); menores de edad (art. 3 de la Ley Orgánica 1/1996, de 15 de enero); extranjeros en territorio español (art. 12 de la Ley Orgánica 4/2000, de 11 de enero); trabajadores por cuenta ajena, que sean españoles de origen residentes en el exterior, que se desplacen temporalmente a España, o los retornados de más de 65 años o pensionistas, en determinadas circunstancias (Real Decreto 8/2008, de 11 de enero). Esta normativa se completa con las previsiones de la legislación en materia de Seguridad Social, que extiende su acción protectora a la asistencia sanitaria de carácter no contributivo y universal para los casos de enfermedad común [art. 42.1 a) y 109.3 b) del texto refundido de la Ley general de la Seguridad Social, aprobado por Real Decreto Legislativo 8/2015, de 30 de octubre]. Por último, la disposición adicional sexta de la Ley 33/2011, de 4 de octubre, general de salud pública, regula la extensión del derecho de acceso a la asistencia sanitaria pública “a todos los españoles residentes en territorio nacional, a los que no pudiera serles reconocido en aplicación de otras normas del ordenamiento jurídico”. Este último inciso condiciona la extensión del derecho a la inexistencia de otros títulos de reconocimiento y aun así dicha extensión no se realiza incondicionalmente en la medida en que se contempla la exigencia de las correspondientes obligaciones a aquellos terceros legalmente obligados al pago de dicha asistencia de acuerdo con lo establecido en la Ley general de sanidad, en el texto refundido de la Ley general de la Seguridad Social y de lo dispuesto en los reglamentos comunitarios europeos y convenios internacionales en la materia.</w:t>
      </w:r>
    </w:p>
    <w:p w:rsidR="00A90898" w:rsidRDefault="00A90898" w:rsidP="00A90898">
      <w:pPr>
        <w:pStyle w:val="TextoNormal"/>
      </w:pPr>
    </w:p>
    <w:p w:rsidR="00A90898" w:rsidRDefault="00A90898" w:rsidP="00A90898">
      <w:pPr>
        <w:pStyle w:val="TextoNormal"/>
      </w:pPr>
      <w:r>
        <w:t xml:space="preserve">Del análisis de las distintas regulaciones legales, se desprende que el reconocimiento del derecho precisa de un título jurídico, bien la previa vinculación con la Seguridad Social o bien el reconocimiento expreso a determinados colectivos. Es claro que el proceso que se inicia con la Ley general de sanidad ha venido determinado por diversos condicionantes, entre ellos los económicos, dada la necesidad de asegurar la viabilidad de la universalización del derecho a la prestación de asistencia sanitaria financiada con fondos públicos, según las circunstancias económicas y sociales y la legítima libertad de elección de las políticas públicas en cada momento. Así pues, el legislador, de acuerdo con el inherente componente </w:t>
      </w:r>
      <w:r>
        <w:lastRenderedPageBreak/>
        <w:t>de flexibilidad que caracteriza el marco constitucional, dispone de un amplio margen de configuración con relación al art. 43 CE, en tanto que precepto incluido en el capítulo III del título I CE.</w:t>
      </w:r>
    </w:p>
    <w:p w:rsidR="00A90898" w:rsidRDefault="00A90898" w:rsidP="00A90898">
      <w:pPr>
        <w:pStyle w:val="TextoNormal"/>
      </w:pPr>
    </w:p>
    <w:p w:rsidR="00A90898" w:rsidRDefault="00A90898" w:rsidP="00A90898">
      <w:pPr>
        <w:pStyle w:val="TextoNormal"/>
      </w:pPr>
      <w:r>
        <w:t>Ahora bien, la naturaleza del derecho a la salud como principio rector no implica que el art. 43 CE constituya una norma únicamente programática, vacía de contenido, sin referencias que lo informen, especialmente con relación al legislador, que debe configurarlo en virtud del mandato del art. 43.2 CE para que establezca las prestaciones necesarias para tutelar la salud pública. (STC 233/2007, de 5 de noviembre, FJ 7; 154/2006, de 22 de mayo, FJ 8, y 14/1997, de 28 de enero, FJ 11). En consecuencia, el art. 43 CE debe ser considerado como un principio rector constitucional dirigido a orientar y determinar la actuación de los poderes públicos (ATC 221/2009, de 21 de julio, FJ 4), expresivo de “un valor de indudable relevancia constitucional” (ATC 96/2011, FJ 5), lo que se traduce en su obligación “de organizar” la salud pública y de “tutelarla a través de las medidas, las prestaciones y los servicios necesarios” (STC 95/2000, de 10 de abril, FJ 3). En suma, el desarrollo del art. 43 CE y la articulación del derecho a la protección de la salud requieren que el legislador regule las condiciones y términos en los que acceden los ciudadanos a las prestaciones y servicios sanitarios, respetando el contenido del mandato constitucional. Debe tenerse presente que, dada la ubicación sistemática del art. 43 CE, nos encontramos ante una remisión a la libertad de configuración del legislador ordinario que deriva de lo dispuesto en el art. 53.3 en relación con el art. 43.2 CE.</w:t>
      </w:r>
    </w:p>
    <w:p w:rsidR="00A90898" w:rsidRDefault="00A90898" w:rsidP="00A90898">
      <w:pPr>
        <w:pStyle w:val="TextoNormal"/>
      </w:pPr>
    </w:p>
    <w:p w:rsidR="00A90898" w:rsidRDefault="00A90898" w:rsidP="00A90898">
      <w:pPr>
        <w:pStyle w:val="TextoNormal"/>
      </w:pPr>
      <w:r>
        <w:t>Hemos de analizar si la norma cuestionada, en su aplicación a determinados españoles y a los extranjeros sin autorización de residencia, implica una lesión del art. 43 CE. Conforme al art. 1.2 LGS, el derecho a la protección de la salud y a la atención sanitaria es universal, en lo que implica de acceso a las prestaciones sanitarias públicas y en la medida en que no puede excluirse a ninguna persona del derecho a ser atendido. Pero ese derecho se configura y concreta de acuerdo con lo que dispone la Ley, que debe regular las distintas condiciones y términos en los que se accede a las prestaciones y servicios sanitarios. Es posible, en términos constitucionales, la falta de identidad entre el derecho al acceso universal al sistema de salud pública de ese “todos” del art. 43 CE, con que ese acceso a la sanidad pública incluya beneficiarse de un concreto régimen de prestaciones sanitarias gratuitas o bonificadas con cargo a fondos públicos. El que los poderes públicos deban organizar las prestaciones y servicios necesarios para garantizar la protección de la salud, no significa que estas prestaciones hayan de ser necesariamente gratuitas para todos sus potenciales destinatarios. Será la legislación la que en cada momento determine el alcance y la graduación de esa gratuidad, así como de las bonificaciones económicas en las prestaciones sanitarias de acuerdo con las exigencias derivadas de las circunstancias cambiantes, respetando los límites constitucionales.</w:t>
      </w:r>
    </w:p>
    <w:p w:rsidR="00A90898" w:rsidRDefault="00A90898" w:rsidP="00A90898">
      <w:pPr>
        <w:pStyle w:val="TextoNormal"/>
      </w:pPr>
    </w:p>
    <w:p w:rsidR="00A90898" w:rsidRDefault="00A90898" w:rsidP="00A90898">
      <w:pPr>
        <w:pStyle w:val="TextoNormal"/>
      </w:pPr>
      <w:r>
        <w:t xml:space="preserve">Es cierto que, desde la óptica del principio de universalidad, resulta claro el contraste resultante que se produce entre la nueva regulación de la condición de asegurado y la limitación de la cobertura que resulta de las modificaciones introducidas por el Real Decreto-ley 16/2012 y el marco normativo preexistente. Supone un giro en la anterior política de progresiva extensión de la asistencia sanitaria gratuita o bonificada, a partir de la creación del Sistema Nacional de Salud. Sin embargo, ya hemos señalado que la universalización legislativamente proclamada ha sido más bien un objetivo a conseguir, atendiendo a las </w:t>
      </w:r>
      <w:r>
        <w:lastRenderedPageBreak/>
        <w:t>circunstancias, entre las que ocupan un lugar destacado las económicas (en el mismo sentido, el ya citado ATC 96/2011, FJ 6). La pretensión de universalidad acogida por el art. 43 CE se ha articulado de acuerdo con las previsiones legales existentes en cada momento, sin que hasta el momento haya significado el derecho incondicionado de toda persona residente o transeúnte que se halle en España a obtener gratuitamente todo tipo de prestaciones sanitarias. La universalidad, en lo que significa como derecho de acceso y la correlativa obligación de los servicios sanitarios del Sistema Nacional de Salud de atender a los usuarios que reclaman atención sanitaria, no puede, en suma, confundirse con un derecho a la gratuidad en las prestaciones y los servicios sanitarios. Esta consecuencia no se deriva de manera inmediata de la Constitución Española, sino que ha de ser, en su caso, apreciada por el legislador atendiendo a las circunstancias concurrentes (en un sentido similar, para el sistema de Seguridad Social, SSTC 41/2013, de 14 de febrero, y 49/2015, de 5 de marzo). Este Tribunal se ha pronunciado reiteradamente sobre los condicionantes económicos y, en concreto, respecto del modelo de la Seguridad Social (art. 41 CE; SSTC 65/1987, de 21 de mayo, FJ 17; 37/1994, de 10 de febrero, FJ 3, o 78/2004, de 29 de abril, FJ 3). Además, ha señalado que “la sostenibilidad del sistema sanitario público impone a los poderes públicos la necesidad de adoptar medidas de racionalización del gasto sanitario, necesarias en una situación caracterizada por una exigente reducción del gasto público, de manera que las administraciones públicas competentes tienen la obligación de distribuir equitativamente los recursos públicos disponibles y favorecer un uso racional de este Sistema” (ATC 96/2011, de 21 de junio, FJ 6).</w:t>
      </w:r>
    </w:p>
    <w:p w:rsidR="00A90898" w:rsidRDefault="00A90898" w:rsidP="00A90898">
      <w:pPr>
        <w:pStyle w:val="TextoNormal"/>
      </w:pPr>
    </w:p>
    <w:p w:rsidR="00A90898" w:rsidRDefault="00A90898" w:rsidP="00A90898">
      <w:pPr>
        <w:pStyle w:val="TextoNormal"/>
      </w:pPr>
      <w:r w:rsidRPr="00A90898">
        <w:rPr>
          <w:rStyle w:val="NumeroAFNegritaCaracter"/>
        </w:rPr>
        <w:t>9</w:t>
      </w:r>
      <w:r>
        <w:t>. Procede examinar a continuación las quejas relacionadas con la exclusión de determinados españoles de la asistencia sanitaria prestada con cargo a fondos públicos. Se centran en la exclusión de aquellos españoles que no ostentan la condición de asegurado o beneficiario, que, en la medida en que en algunas ocasiones se determina por remisión a una norma reglamentaria, se entiende también contraria a la reserva de ley del art. 43.2 CE.</w:t>
      </w:r>
    </w:p>
    <w:p w:rsidR="00A90898" w:rsidRDefault="00A90898" w:rsidP="00A90898">
      <w:pPr>
        <w:pStyle w:val="TextoNormal"/>
      </w:pPr>
    </w:p>
    <w:p w:rsidR="00A90898" w:rsidRDefault="00A90898" w:rsidP="00A90898">
      <w:pPr>
        <w:pStyle w:val="TextoNormal"/>
      </w:pPr>
      <w:r>
        <w:t>La inconstitucionalidad que plantea la Letrada del Parlamento de Navarra se funda en que el art. 3.3 de la Ley 16/2003 Sistema Nacional de Salud, en la redacción dada por el art. 1.1 del Real Decreto-ley 16/2012, amplía el colectivo que puede acceder a la condición de asegurado, incluyendo a personas que, en principio tampoco tienen vínculo con el sistema de la Seguridad Social (personas que tengan la nacionalidad española o de algún otro estado de la Unión Europea, del Espacio Económico Europeo o de Suiza, y a los extranjeros titulares de una autorización para residir en territorio español) “siempre que acrediten que no superan el límite de ingresos determinado reglamentariamente”, restricción que estima contraria al art. 14 CE en relación con el art. 43 y a la propia reserva de ley que deriva del mismo art. 43.2 CE.</w:t>
      </w:r>
    </w:p>
    <w:p w:rsidR="00A90898" w:rsidRDefault="00A90898" w:rsidP="00A90898">
      <w:pPr>
        <w:pStyle w:val="TextoNormal"/>
      </w:pPr>
    </w:p>
    <w:p w:rsidR="00A90898" w:rsidRDefault="00A90898" w:rsidP="00A90898">
      <w:pPr>
        <w:pStyle w:val="TextoNormal"/>
      </w:pPr>
      <w:r>
        <w:t xml:space="preserve">Se examina en primer lugar la queja relacionada con la vulneración de la reserva de ley. A tal efecto la STC 111/2014, de 26 de junio, FJ 4, recuerda que “es doctrina reiterada de este Tribunal que la reserva de ley es compatible con la colaboración reglamentaria. Hemos excluido, sin embargo, ‘que tales remisiones hagan posible una regulación independiente y no claramente subordinada a la Ley, lo que supondría una degradación de la reserva formulada por la Constitución a favor del legislador (STC 83/1984, de 23 de julio, FJ 4, confirmado, por todos, en el fundamento jurídico 14 de la STC 292/2000, de 30 de noviembre). Las habilitaciones o remisiones legales a la potestad reglamentaria deben, según nuestra doctrina allí expresada, restringir el ejercicio de dicha potestad ‘a un complemento de la </w:t>
      </w:r>
      <w:r>
        <w:lastRenderedPageBreak/>
        <w:t>regulación legal que sea indispensable por motivos técnicos o para optimizar el cumplimiento de las finalidades propuestas por la Constitución o por la propia Ley’, criterio ‘contradicho con evidencia mediante cláusulas legales …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 (STC 112/2006, de 5 de abril, FJ 5)”.</w:t>
      </w:r>
    </w:p>
    <w:p w:rsidR="00A90898" w:rsidRDefault="00A90898" w:rsidP="00A90898">
      <w:pPr>
        <w:pStyle w:val="TextoNormal"/>
      </w:pPr>
    </w:p>
    <w:p w:rsidR="00A90898" w:rsidRDefault="00A90898" w:rsidP="00A90898">
      <w:pPr>
        <w:pStyle w:val="TextoNormal"/>
      </w:pPr>
      <w:r>
        <w:t xml:space="preserve">El nuevo art. 3.3 de la Ley 16/2003 incurre en el vicio denunciado, pues contiene una patente deslegalización que sacrifica la reserva de ley </w:t>
      </w:r>
      <w:r w:rsidRPr="00A90898">
        <w:rPr>
          <w:i/>
        </w:rPr>
        <w:t>ex</w:t>
      </w:r>
      <w:r>
        <w:t xml:space="preserve"> art. 43.2 CE, y, por este motivo, debe ser declarado inconstitucional y nulo. La norma dispone una remisión en blanco para la determinación de un elemento, consistente en un nivel mínimo de ingresos, que constituye el núcleo esencial en torno al que se configura legalmente el derecho de acceso a las prestaciones sanitarias financiadas con fondos públicos para las personas que se encuentran en las situaciones contempladas en el art. 3.3 de la Ley 16/2003. Con la literalidad de la norma es imposible determinar quiénes van a tener dicha condición, dada la ausencia de criterio alguno respecto al límite de ingresos exigible. Eso deja la decisión en manos, no del legislador con la colaboración del reglamento (cosa que, por ejemplo sucedía con el concepto de carencia de recursos económicos del art. 80 LGS en relación con el art. 1 del Real Decreto 1088/1989), sino exclusivamente a disposición de la determinación reglamentaria del Gobierno. De hecho, el art. 2.1 b) del Real Decreto 1192/2012 dispone que ese límite de ingresos se sitúa en una cuantía inferior a cien mil euros en cómputo anual, sin que tampoco se justifiquen las razones de dicha opción. De esta manera, la norma remite totalmente al reglamento la concreción o la fijación cuantitativa del umbral económico hasta el que se garantiza la cobertura de la gratuidad o la bonificación de las prestaciones sanitarias, sin que se incluya ninguna regla que permita identificar quiénes podrían ostentar la condición de asegurados, lo que a su vez produce una insuficiencia manifiesta en el contenido mínimo exigible a la configuración legal del art. 43 CE.</w:t>
      </w:r>
    </w:p>
    <w:p w:rsidR="00A90898" w:rsidRDefault="00A90898" w:rsidP="00A90898">
      <w:pPr>
        <w:pStyle w:val="TextoNormal"/>
      </w:pPr>
    </w:p>
    <w:p w:rsidR="00A90898" w:rsidRDefault="00A90898" w:rsidP="00A90898">
      <w:pPr>
        <w:pStyle w:val="TextoNormal"/>
      </w:pPr>
      <w:r>
        <w:t>Por lo expuesto, el inciso “siempre que acrediten que no superan el límite de ingresos determinado reglamentariamente” del art. 3.3 de la Ley 16/2003, en la redacción dada al mismo por el art. 1.1 del Real Decreto-ley 16/2012 es inconstitucional y nulo, sin que, por tanto, resulte necesario pronunciarnos sobre la restante tacha de inconstitucionalidad que se le ha formulado.</w:t>
      </w:r>
    </w:p>
    <w:p w:rsidR="00A90898" w:rsidRDefault="00A90898" w:rsidP="00A90898">
      <w:pPr>
        <w:pStyle w:val="TextoNormal"/>
      </w:pPr>
    </w:p>
    <w:p w:rsidR="00A90898" w:rsidRDefault="00A90898" w:rsidP="00A90898">
      <w:pPr>
        <w:pStyle w:val="TextoNormal"/>
      </w:pPr>
      <w:r w:rsidRPr="00A90898">
        <w:rPr>
          <w:rStyle w:val="NumeroAFNegritaCaracter"/>
        </w:rPr>
        <w:t>10</w:t>
      </w:r>
      <w:r>
        <w:t>. Deben examinarse seguidamente los cambios en el régimen de asistencia sanitaria a los extranjeros empadronados, sin autorización de residencia en España.</w:t>
      </w:r>
    </w:p>
    <w:p w:rsidR="00A90898" w:rsidRDefault="00A90898" w:rsidP="00A90898">
      <w:pPr>
        <w:pStyle w:val="TextoNormal"/>
      </w:pPr>
    </w:p>
    <w:p w:rsidR="00A90898" w:rsidRDefault="00A90898" w:rsidP="00A90898">
      <w:pPr>
        <w:pStyle w:val="TextoNormal"/>
      </w:pPr>
      <w:r>
        <w:t>El punto de partida para el examen de esta cuestión ha de ser la distinción tripartita en cuanto a la titularidad y ejercicio de los derechos fundamentales de los extranjeros en España (STC 17/2013, de 31 de enero, FJ 2). Así pues, es posible afirmar que, como se deduce de los pronunciamientos de este Tribunal, existen derechos que, en tanto que inherentes a la dignidad humana, corresponden por igual a españoles y extranjeros. Igualmente existen derechos, como los reconocidos en el art. 23 CE en relación con el 13.2 CE, que no pertenecen en modo alguno a los extranjeros. Finalmente, un tercer grupo serían aquellos derechos que pertenecerán o no a los extranjeros según lo dispongan los tratados y las leyes, siendo entonces admisible la diferencia de trato con los españoles en cuanto a su ejercicio.</w:t>
      </w:r>
    </w:p>
    <w:p w:rsidR="00A90898" w:rsidRDefault="00A90898" w:rsidP="00A90898">
      <w:pPr>
        <w:pStyle w:val="TextoNormal"/>
      </w:pPr>
    </w:p>
    <w:p w:rsidR="00A90898" w:rsidRDefault="00A90898" w:rsidP="00A90898">
      <w:pPr>
        <w:pStyle w:val="TextoNormal"/>
      </w:pPr>
      <w:r>
        <w:lastRenderedPageBreak/>
        <w:t>Este sería el caso de la protección de la salud, que, es un derecho de configuración legal, que corresponde regular al legislador respetando los valores y los principios constitucionales, así como el contenido que se desprende del art. 43 CE en lo que atañe a las condiciones de acceso a las prestaciones sanitarias. Es, por tanto, un derecho susceptible de ser modulado en su aplicación a los extranjeros (STC 236/2007, FJ 4, con cita de otras).</w:t>
      </w:r>
    </w:p>
    <w:p w:rsidR="00A90898" w:rsidRDefault="00A90898" w:rsidP="00A90898">
      <w:pPr>
        <w:pStyle w:val="TextoNormal"/>
      </w:pPr>
    </w:p>
    <w:p w:rsidR="00A90898" w:rsidRDefault="00A90898" w:rsidP="00A90898">
      <w:pPr>
        <w:pStyle w:val="TextoNormal"/>
      </w:pPr>
      <w:r>
        <w:t>En suma, conforme a nuestra doctrina, el derecho de los extranjeros a beneficiarse de la asistencia sanitaria será determinado y podrá ser limitado por las normas correspondientes. El legislador puede tomar en consideración el dato de su situación legal y administrativa en España, y, por ello, exigir a los extranjeros la autorización de su estancia o residencia como presupuesto para el ejercicio de algunos derechos constitucionales que “por su propia naturaleza hacen imprescindible el cumplimiento de los requisitos que la misma ley establece para entrar y permanecer en territorio español”.</w:t>
      </w:r>
    </w:p>
    <w:p w:rsidR="00A90898" w:rsidRDefault="00A90898" w:rsidP="00A90898">
      <w:pPr>
        <w:pStyle w:val="TextoNormal"/>
      </w:pPr>
    </w:p>
    <w:p w:rsidR="00A90898" w:rsidRDefault="00A90898" w:rsidP="00A90898">
      <w:pPr>
        <w:pStyle w:val="TextoNormal"/>
      </w:pPr>
      <w:r>
        <w:t>De hecho, el acceso a las prestaciones sanitarias con cargo a los fondos públicos ya estaba vinculado, en la regulación anterior, a una determinada situación jurídica, como era la inscripción en el padrón del municipio de residencia. En efecto, la Ley Orgánica 4/2000, en su redacción original, extendía el derecho de asistencia sanitaria a los extranjeros “que se encuentren en España inscritos en el padrón del Municipio en el que residan habitualmente, en las mismas condiciones que los españoles”. Asimismo, tenían derecho a la asistencia sanitaria pública de urgencia ante la contracción de enfermedades graves o accidentes, cualquiera que sea su causa, y a la continuidad de dicha atención hasta la situación de alta médica. Los extranjeros menores de dieciocho años tenían derecho a la asistencia sanitaria en las mismas condiciones que los españoles; y las extranjeras embarazadas que se encontraran en España, tendrían derecho a la asistencia sanitaria durante el embarazo, parto y postparto (art. 12).</w:t>
      </w:r>
    </w:p>
    <w:p w:rsidR="00A90898" w:rsidRDefault="00A90898" w:rsidP="00A90898">
      <w:pPr>
        <w:pStyle w:val="TextoNormal"/>
      </w:pPr>
    </w:p>
    <w:p w:rsidR="00A90898" w:rsidRDefault="00A90898" w:rsidP="00A90898">
      <w:pPr>
        <w:pStyle w:val="TextoNormal"/>
      </w:pPr>
      <w:r>
        <w:t>Por su parte, el Real Decreto-ley 16/2012 dispone que los extranjeros tienen derecho a la asistencia sanitaria en los términos previstos en la legislación vigente en materia sanitaria. Ello reenvía al art. 3 de la Ley 16/2003 que lo vincula a la obtención de la condición de asegurado o beneficiario. Si conforme a este precepto no pudieran adquirir tal condición, el apartado 3 permitía que los extranjeros titulares de una autorización para residir en territorio español puedan ostentar tal condición siempre que acreditasen que no superaban el límite de ingresos determinado reglamentariamente y, conforme al apartado 5 “aquellas personas que no tengan la condición de asegurado o de beneficiario del mismo podrán obtener la prestación de asistencia sanitaria mediante el pago de la correspondiente contraprestación o cuota derivada de la suscripción de un convenio especial”, regulado en el Real Decreto 576/2013, de 26 de julio, por el que se establecen los requisitos básicos del convenio especial de prestación de asistencia sanitaria a personas que no tengan la condición de aseguradas ni de beneficiarias del Sistema Nacional de Salud y se modifica el Real Decreto 1192/2012.</w:t>
      </w:r>
    </w:p>
    <w:p w:rsidR="00A90898" w:rsidRDefault="00A90898" w:rsidP="00A90898">
      <w:pPr>
        <w:pStyle w:val="TextoNormal"/>
      </w:pPr>
    </w:p>
    <w:p w:rsidR="00A90898" w:rsidRDefault="00A90898" w:rsidP="00A90898">
      <w:pPr>
        <w:pStyle w:val="TextoNormal"/>
      </w:pPr>
      <w:r>
        <w:t xml:space="preserve">Tales normas se completan con el nuevo art. 3 </w:t>
      </w:r>
      <w:r w:rsidRPr="00A90898">
        <w:rPr>
          <w:i/>
        </w:rPr>
        <w:t>ter</w:t>
      </w:r>
      <w:r>
        <w:t xml:space="preserve">, añadido por el art. 1.3 del Real Decreto-ley 16/2012, que, bajo el título “asistencia sanitaria en situaciones especiales”, dispone lo siguiente: “los extranjeros no registrados ni autorizados como residentes en España, recibirán asistencia sanitaria en las siguientes modalidades: a) De urgencia por enfermedad grave o accidente, cualquiera que sea su causa, hasta la situación de alta médica; b) De </w:t>
      </w:r>
      <w:r>
        <w:lastRenderedPageBreak/>
        <w:t xml:space="preserve">asistencia al embarazo, parto y postparto. En todo caso, los extranjeros menores de dieciocho años recibirán asistencia sanitaria en las mismas condiciones que los españoles”. El Real Decreto-ley 16/2012 contempla la asistencia a las embarazadas y equipara a los menores extranjeros en situación irregular con la de los menores españoles (lo que es conforme con el art. 24 de la Convención de los Derechos del Niño de 1989). Por otro lado, también se presta asistencia en casos de enfermedad grave y accidente, preserva la asistencia en casos de peligro grave y cierto para la salud del afectado y, por tanto, atiende a situaciones de mayor riesgo y de más intensa conexión del derecho a la salud con el derecho a la integridad física (lo que es conforme con línea jurisprudencial de las SSTC 5/2000, de 14 de enero; 119/2001, de 24 de mayo; 220/2005, de 12 de septiembre, y 5/2002, de 14 de enero). Las urgencias a las que se refiere el nuevo artículo 3 </w:t>
      </w:r>
      <w:r w:rsidRPr="00A90898">
        <w:rPr>
          <w:i/>
        </w:rPr>
        <w:t>ter</w:t>
      </w:r>
      <w:r>
        <w:t xml:space="preserve"> Ley 16/2003 se entienden prestadas en supuestos de riesgo grave para la salud e incluso para la vida, de manera que conectarían con el contenido mínimo que hace reconocible el mandato imperativo que los poderes públicos deben asegurar y prestar (art. 43 CE) en cualquier circunstancia a cualquier persona con el fin de preservar el derecho fundamental a la vida y la integridad física contenido en el art. 15 CE.</w:t>
      </w:r>
    </w:p>
    <w:p w:rsidR="00A90898" w:rsidRDefault="00A90898" w:rsidP="00A90898">
      <w:pPr>
        <w:pStyle w:val="TextoNormal"/>
      </w:pPr>
    </w:p>
    <w:p w:rsidR="00A90898" w:rsidRDefault="00A90898" w:rsidP="00A90898">
      <w:pPr>
        <w:pStyle w:val="TextoNormal"/>
      </w:pPr>
      <w:r>
        <w:t>Del régimen aplicable se concluye que dentro del margen del legislador de establecer sus prioridades, la norma examinada no responde a una opción arbitraria, sino a la preservación de bienes o intereses constitucionalmente protegidos, como el mantenimiento del sistema sanitario público, sin desconocer las posibilidades del sistema en un momento de intensas complicaciones económicas, observándose, en la distinción entre extranjeros con autorización de residencia y los que carecen de ella, la debida proporcionalidad y dando cumplimiento a las obligaciones internacionales en la materia.</w:t>
      </w:r>
    </w:p>
    <w:p w:rsidR="00A90898" w:rsidRDefault="00A90898" w:rsidP="00A90898">
      <w:pPr>
        <w:pStyle w:val="TextoNormal"/>
      </w:pPr>
    </w:p>
    <w:p w:rsidR="00A90898" w:rsidRDefault="00A90898" w:rsidP="00A90898">
      <w:pPr>
        <w:pStyle w:val="TextoNormal"/>
      </w:pPr>
      <w:r>
        <w:t>Por ello, no es constitucionalmente reprochable que se contemple la asistencia a las embarazadas y la equiparación de los menores extranjeros en situación irregular con la de los menores españoles y lo mismo sucede en el caso de la asistencia en casos de enfermedad grave y accidente. Igualmente ha de advertirse que la norma no excluye el acceso a las prestaciones sanitarias en los restantes supuestos sino que, únicamente, toma el dato de la ausencia o no de residencia legal en España para exigir la correspondiente contraprestación en los términos del ya citado Real Decreto 576/2013.</w:t>
      </w:r>
    </w:p>
    <w:p w:rsidR="00A90898" w:rsidRDefault="00A90898" w:rsidP="00A90898">
      <w:pPr>
        <w:pStyle w:val="TextoNormal"/>
      </w:pPr>
    </w:p>
    <w:p w:rsidR="00A90898" w:rsidRDefault="00A90898" w:rsidP="00A90898">
      <w:pPr>
        <w:pStyle w:val="TextoNormal"/>
      </w:pPr>
      <w:r>
        <w:t>Tampoco se ve afectado el límite relativo al contenido del derecho a la salud delimitado por los tratados internacionales, al que nos remite el art. 13 CE. Conforme a nuestra doctrina, los tratados y convenios internacionales no son, en sí mismos, canon de constitucionalidad de los preceptos recurridos. Las normas legales impugnadas deben ser contrastadas con los correspondientes preceptos constitucionales que proclaman los derechos y libertades de los extranjeros en España, interpretados de acuerdo con el contenido de dichos tratados o convenios. En consecuencia, “sólo podrá declararse su inconstitucionalidad si aquellas normas con rango de Ley vulneran el contenido constitucionalmente declarado de tales derechos y libertades” (STC 236/2007, de 7 de noviembre, FJ 5).</w:t>
      </w:r>
    </w:p>
    <w:p w:rsidR="00A90898" w:rsidRDefault="00A90898" w:rsidP="00A90898">
      <w:pPr>
        <w:pStyle w:val="TextoNormal"/>
      </w:pPr>
    </w:p>
    <w:p w:rsidR="00A90898" w:rsidRDefault="00A90898" w:rsidP="00A90898">
      <w:pPr>
        <w:pStyle w:val="TextoNormal"/>
      </w:pPr>
      <w:r>
        <w:t>Esa circunstancia no concurre aquí. El Pacto de derechos económicos sociales y culturales que aborda la protección de la salud en su artículo 12.1, ha señalado previamente, en su artículo 2.1, que “cada uno de los Estados Partes en el presente Pacto se compromete a adoptar medidas, tanto por separado como mediante la asistencia y la cooperación interna</w:t>
      </w:r>
      <w:r>
        <w:lastRenderedPageBreak/>
        <w:t>cionales, especialmente económicas y técnicas, hasta el máximo de los recursos de que disponga, para lograr progresivamente, por todos los medios apropiados, inclusive en particular la adopción de medidas legislativas, la plena efectividad de los derechos aquí reconocidos”. Además, su artículo 4 reconoce que los derechos garantizados podrán ser sometidos a limitaciones legales “sólo en la medida compatible con la naturaleza de esos derechos” y, finalmente, conviene advertir que el artículo 12.1 alude al “el derecho de toda persona al disfrute del más alto nivel posible de salud física y mental”, pero no que las prestaciones en las que ese derecho se materializa hayan de ser, siempre y en todo caso, gratuitas para sus destinatarios.</w:t>
      </w:r>
    </w:p>
    <w:p w:rsidR="00A90898" w:rsidRDefault="00A90898" w:rsidP="00A90898">
      <w:pPr>
        <w:pStyle w:val="TextoNormal"/>
      </w:pPr>
    </w:p>
    <w:p w:rsidR="00A90898" w:rsidRDefault="00A90898" w:rsidP="00A90898">
      <w:pPr>
        <w:pStyle w:val="TextoNormal"/>
      </w:pPr>
      <w:r>
        <w:t>Por su parte, el art. 35 de la Carta de los derechos fundamentales de la Unión Europea, remite el derecho de toda persona a la prevención sanitaria y a beneficiarse de la atención sanitaria a las condiciones establecidas por las legislaciones y prácticas nacionales. En ese sentido, en relación con el reconocimiento de prestaciones por parte de los Estados miembros, es jurisprudencia reiterada del Tribunal de Justicia de la Unión Europea que “la necesidad de salvaguardar las finanzas del Estado miembro de acogida justifica en principio la posibilidad de comprobar la regularidad de la residencia en el momento del reconocimiento de una prestación social, especialmente en el caso de las personas procedentes de otros Estados miembros y que no ejercen actividades económicas, ya que tal reconocimiento puede tener consecuencias sobre el nivel global de la ayuda que pueda conceder dicho Estado” (STJUE, Sala Primera, de 14 junio de 2016, y doctrina allí citada).</w:t>
      </w:r>
    </w:p>
    <w:p w:rsidR="00A90898" w:rsidRDefault="00A90898" w:rsidP="00A90898">
      <w:pPr>
        <w:pStyle w:val="TextoNormal"/>
      </w:pPr>
    </w:p>
    <w:p w:rsidR="00A90898" w:rsidRDefault="00A90898" w:rsidP="00A90898">
      <w:pPr>
        <w:pStyle w:val="TextoNormal"/>
      </w:pPr>
      <w:r>
        <w:t>La Carta Social Europea también se refiere en su artículo 13 al derecho a la asistencia médica. En el apartado 4 de dicho artículo 13 se indica el compromiso de las partes de aplicar este derecho en condiciones de igualdad con sus nacionales a los de las restantes partes contratantes “que se encuentren legalmente en su territorio”. A su vez, el anexo a la Carta Social fija su ámbito de aplicación, indicando que los artículos 1 a 17 sólo comprenden a extranjeros de otras partes contratantes que “residan legalmente o trabajen regularmente dentro del territorio de la parte contratante interesada”.</w:t>
      </w:r>
    </w:p>
    <w:p w:rsidR="00A90898" w:rsidRDefault="00A90898" w:rsidP="00A90898">
      <w:pPr>
        <w:pStyle w:val="TextoNormal"/>
      </w:pPr>
    </w:p>
    <w:p w:rsidR="00A90898" w:rsidRDefault="00A90898" w:rsidP="00A90898">
      <w:pPr>
        <w:pStyle w:val="TextoNormal"/>
      </w:pPr>
      <w:r>
        <w:t>Por último es también necesario advertir que, “en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(STC 45/1989, de 20 de febrero, FJ 4), de manera que esa inconstitucionalidad por omisión “sólo puede entenderse producida cuando es la propia Constitución la que impone al legislador la necesidad de integrar su texto en aspectos no contemplados por ella” (STC 317/1994, de 28 de noviembre, FJ 4), lo que es patente que no ocurre en este caso.</w:t>
      </w:r>
    </w:p>
    <w:p w:rsidR="00A90898" w:rsidRDefault="00A90898" w:rsidP="00A90898">
      <w:pPr>
        <w:pStyle w:val="TextoNormal"/>
      </w:pPr>
    </w:p>
    <w:p w:rsidR="00A90898" w:rsidRDefault="00A90898" w:rsidP="00A90898">
      <w:pPr>
        <w:pStyle w:val="TextoNormal"/>
      </w:pPr>
      <w:r>
        <w:t>En suma la regulación examinada responde a una lícita opción del legislador que queda dentro de su margen de configuración que le es propio, sin que con ello se vulnere el art. 43 en relación con el art. 13 CE.</w:t>
      </w:r>
    </w:p>
    <w:p w:rsidR="00A90898" w:rsidRDefault="00A90898" w:rsidP="00A90898">
      <w:pPr>
        <w:pStyle w:val="TextoNormal"/>
      </w:pPr>
    </w:p>
    <w:p w:rsidR="00A90898" w:rsidRDefault="00A90898" w:rsidP="00A90898">
      <w:pPr>
        <w:pStyle w:val="TextoNormal"/>
      </w:pPr>
      <w:r w:rsidRPr="00A90898">
        <w:rPr>
          <w:rStyle w:val="NumeroAFNegritaCaracter"/>
        </w:rPr>
        <w:t>11</w:t>
      </w:r>
      <w:r>
        <w:t xml:space="preserve">. Respecto a las quejas que se formulan al artículo 4.12, deslegalización de la aportación de los usuarios para la financiación de determinadas prestaciones sanitarias, y artículo 4.13, reforma de las aportaciones de los usuarios en la prestación farmacéutica ambulatoria </w:t>
      </w:r>
      <w:r>
        <w:lastRenderedPageBreak/>
        <w:t xml:space="preserve">al margen del art. 43 CE, debe partirse de lo dispuesto en el vigente Real Decreto Legislativo 1/2015, de 24 de julio, por el que se aprueba el texto refundido de la Ley de garantías y uso racional de los medicamentos y productos sanitarios, norma que reproduce lo regulado en la Ley 29/2006, de 26 de julio. La mera reproducción de los preceptos impugnados que lleva a cabo el Real Decreto Legislativo 1/2015 junto con el carácter abstracto propio del recurso de inconstitucionalidad nos lleva a concluir que el recurso no ha perdido objeto en este punto, dado que las normas impugnadas continúan materialmente vigentes. La Ley 29/2006 regula en sus arts. 94 y 94 </w:t>
      </w:r>
      <w:r w:rsidRPr="00A90898">
        <w:rPr>
          <w:i/>
        </w:rPr>
        <w:t>bis</w:t>
      </w:r>
      <w:r>
        <w:t xml:space="preserve"> (materialmente coincidentes con los arts. 101 y 102 del Real Decreto Legislativo 1/2015), los supuestos y las cuantías en los que procede la aportación de los usuarios; esto es, una modalidad de “copago”. El artículo 94.1 establece que “[e]l Gobierno revisará periódicamente la participación en el pago a satisfacer por los ciudadanos por la prestación farmacéutica incluida en la cartera común suplementaria del Sistema Nacional de Salud, y los supuestos de financiación íntegra con cargo a fondos públicos”; el apartado 2 establece los criterios de modulación del pago, incluyendo la capacidad de pago [letra a)], la racionalización del gasto público [letra e)]. Y, finalmente, el artículo 94 </w:t>
      </w:r>
      <w:r w:rsidRPr="00A90898">
        <w:rPr>
          <w:i/>
        </w:rPr>
        <w:t>bis</w:t>
      </w:r>
      <w:r>
        <w:t xml:space="preserve"> regula el importe de la aportación por los usuarios y sus beneficiarios.</w:t>
      </w:r>
    </w:p>
    <w:p w:rsidR="00A90898" w:rsidRDefault="00A90898" w:rsidP="00A90898">
      <w:pPr>
        <w:pStyle w:val="TextoNormal"/>
      </w:pPr>
    </w:p>
    <w:p w:rsidR="00A90898" w:rsidRDefault="00A90898" w:rsidP="00A90898">
      <w:pPr>
        <w:pStyle w:val="TextoNormal"/>
      </w:pPr>
      <w:r>
        <w:t>Este Tribunal ha declarado (STC 71/2014, de 6 de mayo, FJ 7) que “cabe considerar como básica la definición del sistema de financiación de la sanidad, lo que incluye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En efecto,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 (STC 136/2012, FJ 5; con cita de las SSTC 98/2004, de 25 de mayo, y 22/2012, de 16 de febrero, FJ 3)”.</w:t>
      </w:r>
    </w:p>
    <w:p w:rsidR="00A90898" w:rsidRDefault="00A90898" w:rsidP="00A90898">
      <w:pPr>
        <w:pStyle w:val="TextoNormal"/>
      </w:pPr>
    </w:p>
    <w:p w:rsidR="00A90898" w:rsidRDefault="00A90898" w:rsidP="00A90898">
      <w:pPr>
        <w:pStyle w:val="TextoNormal"/>
      </w:pPr>
      <w:r>
        <w:t>Con estos criterios se analizarán las quejas formuladas por los recurrentes en este punto: i) en cuanto a la vulneración de la reserva de ley, es patente que la participación en el coste que deben pagar los usuarios por los medicamentos y productos sanitarios que les proporcione el Sistema Nacional de Salud se regula de conformidad con los criterios recogidos en el Real Decreto Legislativo 1/2015, y antes en la Ley 29/2006, siendo por lo demás habitual la colaboración reglamentaria en esta materia (así, por ejemplo, anexo V.3 del Real Decreto 1030/2006, de 15 de septiembre, por el que se establece la cartera de servicios comunes del Sistema Nacional de Salud y el procedimiento para su actualización); ii) respecto a la segunda, es manifiesto que en el alegato de la Letrada del Parlamento de Navarra late la legítima discrepancia con la modificación del régimen de aportación de los usuarios en el caso de la prestación farmacéutica obligatoria, pero es asimismo claro que, dado el rango normativo utilizado para dicha modificación, no se ha infringido reserva legal alguna, pues el Decreto-ley es una fuente del derecho intercambiable con la ley formal, dentro de los límites constitucionales a los que está sometido.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12</w:t>
      </w:r>
      <w:r>
        <w:t>. Examinaremos ahora las tachas relacionadas con la vulneración de las competencias de la Comunidad Foral de Navarra en las que, a juicio de la Letrada del Parlamento, incurre en el art. 2.5 del Real Decreto-ley 16/2012.</w:t>
      </w:r>
    </w:p>
    <w:p w:rsidR="00A90898" w:rsidRDefault="00A90898" w:rsidP="00A90898">
      <w:pPr>
        <w:pStyle w:val="TextoNormal"/>
      </w:pPr>
    </w:p>
    <w:p w:rsidR="00A90898" w:rsidRDefault="00A90898" w:rsidP="00A90898">
      <w:pPr>
        <w:pStyle w:val="TextoNormal"/>
      </w:pPr>
      <w:r>
        <w:t>La primera de ellas es la relativa a que, para la aprobación de la cartera de servicios complementaria de una Comunidad Autónoma, resulte preceptiva “la garantía previa de suficiencia financiera de la misma en el marco del cumplimiento de los criterios de estabilidad presupuestaria”, lo que limitaría la capacidad de desarrollo legislativo de las bases estatales derivado del art. 53 de la Ley Orgánica de reintegración y amejoramiento del régimen foral de Navarra (LORAFNA) y las especialidades que para Navarra se desprenden de la disposición final tercera de la Ley Orgánica 2/2012, de 27 de abril, de estabilidad presupuestaria y sostenibilidad financiera. El Abogado del Estado ha defendido que la mencionada garantía responde a las exigencias del art. 135.1 CE y se ajusta a la doctrina constitucional en materia de estabilidad presupuestaria.</w:t>
      </w:r>
    </w:p>
    <w:p w:rsidR="00A90898" w:rsidRDefault="00A90898" w:rsidP="00A90898">
      <w:pPr>
        <w:pStyle w:val="TextoNormal"/>
      </w:pPr>
    </w:p>
    <w:p w:rsidR="00A90898" w:rsidRDefault="00A90898" w:rsidP="00A90898">
      <w:pPr>
        <w:pStyle w:val="TextoNormal"/>
      </w:pPr>
      <w:r>
        <w:t>Esta queja no puede ser atendida, ya que no es posible apreciar la vulneración que se denuncia.</w:t>
      </w:r>
    </w:p>
    <w:p w:rsidR="00A90898" w:rsidRDefault="00A90898" w:rsidP="00A90898">
      <w:pPr>
        <w:pStyle w:val="TextoNormal"/>
      </w:pPr>
    </w:p>
    <w:p w:rsidR="00A90898" w:rsidRDefault="00A90898" w:rsidP="00A90898">
      <w:pPr>
        <w:pStyle w:val="TextoNormal"/>
      </w:pPr>
      <w:r>
        <w:t>La exigencia de que las Comunidades Autónomas acrediten condiciones de suficiencia financiera en el marco del principio de estabilidad presupuestaria deriva directamente del art. 135 CE, al disponer que “todas las Administraciones Públicas adecuarán sus actuaciones al principio de estabilidad presupuestaria”. Según la STC 157/2011, de 18 de octubre, FJ 3 “estamos, pues, ante un mandato constitucional que, como tal, vincula a todos los poderes públicos y que por tanto, en su sentido principal, queda fuera de la disponibilidad —de la competencia— del Estado y de las Comunidades Autónomas”. Por otra parte, la STC 215/2014, de 18 de diciembre, FJ a), recuerda que “la imposición de límites presupuestarios a las Comunidades Autónomas no sólo ‘encuentra su apoyo en la competencia estatal de dirección de la actividad económica general (</w:t>
      </w:r>
      <w:r w:rsidRPr="00A90898">
        <w:rPr>
          <w:i/>
        </w:rPr>
        <w:t>ex</w:t>
      </w:r>
      <w:r>
        <w:t xml:space="preserve"> art. 149.1.13), estando su establecimiento ‘encaminado a la consecución de la estabilidad económica y la gradual recuperación del equilibrio presupuestario’, sino que ‘encuentra su fundamento en el límite a la autonomía financiera que establece el principio de coordinación con la Hacienda estatal del art. 156.1 CE’, sobre todo, al corresponderle al Estado ‘la responsabilidad de garantizar el equilibrio económico general’” [STC 134/2011, de 20 de julio, FJ 8 a)], límites de la autonomía financiera de las Comunidades Autónomas “que han de reputarse constitucionales cuando se deriven de las prescripciones de la propia Constitución o de la ley orgánica a la que aquélla remite (art. 157.3 CE)’ [STC 134/2011, de 20 de julio, FJ 10]”. En todo caso, dicha garantía se vincula, en el caso concreto, a la necesidad de establecer los recursos adicionales necesarios para la implantación de la ya mencionada cartera complementaria de servicios así como a su no inclusión en la financiación general de las prestaciones del Sistema Nacional de Salud.</w:t>
      </w:r>
    </w:p>
    <w:p w:rsidR="00A90898" w:rsidRDefault="00A90898" w:rsidP="00A90898">
      <w:pPr>
        <w:pStyle w:val="TextoNormal"/>
      </w:pPr>
    </w:p>
    <w:p w:rsidR="00A90898" w:rsidRDefault="00A90898" w:rsidP="00A90898">
      <w:pPr>
        <w:pStyle w:val="TextoNormal"/>
      </w:pPr>
      <w:r>
        <w:t xml:space="preserve">Tampoco es admisible, a estos efectos, la invocación de la disposición final tercera de la Ley Orgánica 2/2012, que establece su aplicación en Navarra “según lo establecido en el artículo 64 de la Ley Orgánica de Reintegración y Amejoramiento del Régimen Foral de Navarra, conforme a lo dispuesto en el Convenio Económico entre el Estado y la Comunidad Foral de Navarra”. En cuanto a la referencia al Convenio, porque no contiene normas sobre la cuestión y, sobre la cita del art. 64 LORAFNA, la STC 148/2006, de 11 de mayo, FJ 7, ya dejó sentado que la autonomía de gasto de la Comunidad Foral se encuentra limitada </w:t>
      </w:r>
      <w:r>
        <w:lastRenderedPageBreak/>
        <w:t>materialmente por los principios de coordinación con la hacienda estatal y de solidaridad entre todos los españoles que derivan del art. 156.1 CE, e igualmente resaltó el contenido esencialmente tributario del Convenio económico, que no contiene normas especiales relativas a su autonomía de gasto. Sentó así un criterio que sigue siendo plenamente aplicable, según el cual “la aprobación de la Ley general de estabilidad presupuestaria por parte de las Cortes Generales (Ley 18/2001, de 12 de diciembre) y de su Ley complementaria (Ley Orgánica 5/2001, de 13 de diciembre) tampoco han introducido cambios en este sentido, puesto que las alusiones contenidas en ambos casos a que su aplicación en la Comunidad Foral de Navarra se llevará a cabo conforme a lo establecido en el art. 64 LORAFNA no se traducen en una vinculación menos intensa a las obligaciones derivadas de ambos textos, sino en una participación más directa de la Comunidad foral (básicamente a través de la comisión coordinadora integrada por representantes de la Administración del Estado y la Administración foral) en su aplicación”. Conclusión ratificada en el fundamento jurídico 8 de la misma cuando se indica que “así, la alusión a que las relaciones entre ambas Administraciones se establecerán conforme a la naturaleza del régimen foral tiene su ámbito natural de proyección en el ejercicio de las competencias y, singularmente, en la vertiente participativa bilateral o multilateral, y no en el alcance de las competencias del Estado (singularmente las básicas) y de la Comunidad foral”. Por tanto, el régimen de convenio económico no opera como una excepción al marco competencial aplicable, tal como ya ha recordado la doctrina del Tribunal Constitucional [así, SSTC 31/2016, de 3 de marzo, FJ 3, y 171/2014, de 23 de octubre, FJ 6 a), en relación con el sistema de atención a la dependencia y a las normas aplicables a los límites de endeudamiento de las entidades locales, respectivamente].</w:t>
      </w:r>
    </w:p>
    <w:p w:rsidR="00A90898" w:rsidRDefault="00A90898" w:rsidP="00A90898">
      <w:pPr>
        <w:pStyle w:val="TextoNormal"/>
      </w:pPr>
    </w:p>
    <w:p w:rsidR="00A90898" w:rsidRDefault="00A90898" w:rsidP="00A90898">
      <w:pPr>
        <w:pStyle w:val="TextoNormal"/>
      </w:pPr>
      <w:r>
        <w:t xml:space="preserve">La segunda queja de índole competencial que se formula al art. 2.5 se relaciona con el apartado 7 del nuevo art. 8 </w:t>
      </w:r>
      <w:r w:rsidRPr="00A90898">
        <w:rPr>
          <w:i/>
        </w:rPr>
        <w:t>quinquies</w:t>
      </w:r>
      <w:r>
        <w:t xml:space="preserve"> de la Ley 16/2003, el cual dispone que “las comunidades autónomas asumirán, con cargo a sus propios presupuestos, todos los costes de aplicación de la cartera de servicios complementaria a las personas que tengan la condición de asegurado o de beneficiario del mismo”. Según la Letrada del Parlamento Foral, este precepto obliga a las Comunidades Autónomas a asumir todos los costes de aplicación de la cartera de servicios complementarios prohibiéndoles la introducción de aportaciones de los usuarios en las prestaciones complementarias que se puedan establecer en el ámbito autonómico. Sin embargo, como apunta el Abogado del Estado, no es esa la consecuencia que se desprende del tenor literal del precepto que, en coherencia con el reconocimiento de que las Comunidades Autónomas podrán incorporar en sus carteras de servicios una técnica, tecnología o procedimiento no contemplado en la cartera común de servicios del Sistema Nacional de Salud, se limita a exigir que la misma sea sufragada “con cargo a sus propios presupuestos”, o, lo que es lo mismo, con cargo a los recursos que al efecto disponga la Comunidad Autónoma que, evidentemente, pueden venir dados, entre otros, por el producto de las prestaciones patrimoniales de carácter público que, en el ámbito sus competencias, establezca la Comunidad Foral.</w:t>
      </w:r>
    </w:p>
    <w:p w:rsidR="00A90898" w:rsidRDefault="00A90898" w:rsidP="00A90898">
      <w:pPr>
        <w:pStyle w:val="TextoNormal"/>
      </w:pPr>
    </w:p>
    <w:p w:rsidR="00A90898" w:rsidRDefault="00A90898" w:rsidP="00A90898">
      <w:pPr>
        <w:pStyle w:val="TextoNormal"/>
      </w:pPr>
      <w:r w:rsidRPr="00A90898">
        <w:rPr>
          <w:rStyle w:val="NumeroAFNegritaCaracter"/>
        </w:rPr>
        <w:t>13</w:t>
      </w:r>
      <w:r>
        <w:t>. Resta finalmente por enjuiciar la cuestión relativa a la cesión de información tributaria sin consentimiento del interesado para su incorporación a la tarjeta individual sanitaria, así como la cesión de datos tributarios en el caso de la Hacienda pública de Navarra establecidas respectivamente en el artículo 4.14 y en la disposición adicional tercera, con los argumentos reproducidos en los antecedentes 2 h) y 3 e) que resumen los argumentos de la Letrada del Parlamento de Navarra y del Abogado del Estado.</w:t>
      </w:r>
    </w:p>
    <w:p w:rsidR="00A90898" w:rsidRDefault="00A90898" w:rsidP="00A90898">
      <w:pPr>
        <w:pStyle w:val="TextoNormal"/>
      </w:pPr>
    </w:p>
    <w:p w:rsidR="00A90898" w:rsidRDefault="00A90898" w:rsidP="00A90898">
      <w:pPr>
        <w:pStyle w:val="TextoNormal"/>
      </w:pPr>
      <w:r>
        <w:lastRenderedPageBreak/>
        <w:t>La queja formulada al artículo 4.14 no puede ser admitida, por los siguientes argumentos:</w:t>
      </w:r>
    </w:p>
    <w:p w:rsidR="00A90898" w:rsidRDefault="00A90898" w:rsidP="00A90898">
      <w:pPr>
        <w:pStyle w:val="TextoNormal"/>
      </w:pPr>
    </w:p>
    <w:p w:rsidR="00A90898" w:rsidRDefault="00A90898" w:rsidP="00A90898">
      <w:pPr>
        <w:pStyle w:val="TextoNormal"/>
      </w:pPr>
      <w:r>
        <w:t>a) El art. 11.2 a) de la Ley Orgánica de protección de datos de carácter personal (LOPD) admite el poder de disposición de determinados datos sin el consentimiento de la persona afectada siempre y cuando dicha cesión esté autorizada por una ley. De acuerdo con el art. 53.1 CE, el ejercicio de los derechos y libertades reconocidos en el capítulo segundo, del título I, solo podrá regularse por ley, por lo que hay que deducir que si bien los límites al derecho a consentir la cesión de datos para fines distintos para los que fueron recabados está sometido a reserva de ley, no se requiere de ley orgánica. Esta condición se cumple dada la naturaleza del Real Decreto-ley impugnado.</w:t>
      </w:r>
    </w:p>
    <w:p w:rsidR="00A90898" w:rsidRDefault="00A90898" w:rsidP="00A90898">
      <w:pPr>
        <w:pStyle w:val="TextoNormal"/>
      </w:pPr>
    </w:p>
    <w:p w:rsidR="00A90898" w:rsidRDefault="00A90898" w:rsidP="00A90898">
      <w:pPr>
        <w:pStyle w:val="TextoNormal"/>
      </w:pPr>
      <w:r>
        <w:t xml:space="preserve">b) Frente a lo que en su queja afirma la Letrada del Parlamento de Navarra, el dato que se cede no es estrictamente tributario, sino que es el relativo al nivel de aportación que corresponde a los usuarios conforme a la escala prevista inicialmente en el art. 94 </w:t>
      </w:r>
      <w:r w:rsidRPr="00A90898">
        <w:rPr>
          <w:i/>
        </w:rPr>
        <w:t>bis</w:t>
      </w:r>
      <w:r>
        <w:t>.5 de la Ley 29/2006, introducido por el art. 4.13 del Real Decreto-ley 16/2012 (reproducido en el art. 102.5 del Real Decreto Legislativo 1/2015).</w:t>
      </w:r>
    </w:p>
    <w:p w:rsidR="00A90898" w:rsidRDefault="00A90898" w:rsidP="00A90898">
      <w:pPr>
        <w:pStyle w:val="TextoNormal"/>
      </w:pPr>
    </w:p>
    <w:p w:rsidR="00A90898" w:rsidRDefault="00A90898" w:rsidP="00A90898">
      <w:pPr>
        <w:pStyle w:val="TextoNormal"/>
      </w:pPr>
      <w:r>
        <w:t xml:space="preserve">c) En la cesión concurre una finalidad legítima que consiste en la obtención de la información y los datos necesarios para hacer posible la materialización efectiva del modelo universal de salud pública que prevé la contribución progresiva de los ciudadanos asegurados o de sus beneficiarios del Sistema Nacional de Salud, según su nivel de renta, a las prestaciones sanitarias y farmacéuticas. La cesión se limita exclusivamente a los datos necesarios para poder determinar si el interesado se encuentra en cada uno de los supuestos previstos en los apartados a) a c) del art. 94 </w:t>
      </w:r>
      <w:r w:rsidRPr="00A90898">
        <w:rPr>
          <w:i/>
        </w:rPr>
        <w:t>bis</w:t>
      </w:r>
      <w:r>
        <w:t xml:space="preserve">.5 de la Ley 29/2006 (actualmente art. 102.5 del Real Decreto Legislativo 1/2015). En este mismo sentido este dato será el único necesario para determinar el nivel de aportación o devolución que proceda, en relación con quienes tengan la condición de pensionista conforme a lo dispuesto en los apartados 5 d) y 6 del citado art. 94 </w:t>
      </w:r>
      <w:r w:rsidRPr="00A90898">
        <w:rPr>
          <w:i/>
        </w:rPr>
        <w:t>bis</w:t>
      </w:r>
      <w:r>
        <w:t xml:space="preserve"> [arts. 102.5 d) y 6 del Real Decreto Legislativo 1/2015]. En consecuencia, la comunicación de datos limitada a la mera indicación del tramo de entre los tres previstos en que se halla el usuario, se encuentra amparada por el art. 11.2 a) LOPD, en conexión con el art. 94 </w:t>
      </w:r>
      <w:r w:rsidRPr="00A90898">
        <w:rPr>
          <w:i/>
        </w:rPr>
        <w:t>ter</w:t>
      </w:r>
      <w:r>
        <w:t xml:space="preserve"> de la Ley 29/2006 (art. 103 del Real Decreto Legislativo 1/2015).</w:t>
      </w:r>
    </w:p>
    <w:p w:rsidR="00A90898" w:rsidRDefault="00A90898" w:rsidP="00A90898">
      <w:pPr>
        <w:pStyle w:val="TextoNormal"/>
      </w:pPr>
    </w:p>
    <w:p w:rsidR="00A90898" w:rsidRDefault="00A90898" w:rsidP="00A90898">
      <w:pPr>
        <w:pStyle w:val="TextoNormal"/>
      </w:pPr>
      <w:r>
        <w:t>d) No se produce la vulneración de las competencias de Navarra en materia tributaria y financiera que se reprocha a la disposición adicional tercera, por establecerse unas obligaciones de cesión de datos tributarios que no se contemplan en la legislación foral. Dicha norma regula un aspecto instrumental para la realización de lo sustantivo, la aportación de los usuarios en la financiación de las prestaciones de la cartera común de servicios del Sistema Nacional de Salud, que es de indiscutible competencia estatal (STC 136/2012, FJ 5). Por lo demás, la normativa tributaria de la Comunidad Foral no se ve directamente afectada, pues el Real Decreto-ley 16/2012 se limita a modificar la Ley 58/2003, de 17 de diciembre, general tributaria (disposición final cuarta), correspondiendo lógicamente a Navarra en uso de sus competencias derivadas del art. 45 LORAFNA, la modificación de su propia normativa tributaria, cosa que efectivamente se produjo mediante la Ley Foral 10/2012, de 15 de junio, de medidas tributarias dirigidas a incrementar los ingresos públicos.</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inconstitucional y nulo el inciso “siempre que acrediten que no superan el límite de ingresos determinado reglamentariamente” del art. 3.3 de la Ley 16/2003, de 28 de mayo, de cohesión y calidad del Sistema Nacional de Salud, en la redacción dada al mismo por el art. 1.1 del Real Decreto-ley 16/2012.</w:t>
      </w:r>
    </w:p>
    <w:p w:rsidR="00A90898" w:rsidRDefault="00A90898" w:rsidP="00A90898">
      <w:pPr>
        <w:pStyle w:val="TextoNormal"/>
      </w:pPr>
    </w:p>
    <w:p w:rsidR="00A90898" w:rsidRDefault="00A90898" w:rsidP="00A90898">
      <w:pPr>
        <w:pStyle w:val="TextoNormal"/>
      </w:pPr>
      <w:r>
        <w:t>2º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veintiuno de julio de dos mil dieciséis.</w:t>
      </w:r>
    </w:p>
    <w:p w:rsidR="00A90898" w:rsidRDefault="00A90898" w:rsidP="00A90898">
      <w:pPr>
        <w:pStyle w:val="ParrafoNormal"/>
      </w:pPr>
    </w:p>
    <w:p w:rsidR="00A90898" w:rsidRDefault="00A90898" w:rsidP="00A90898">
      <w:pPr>
        <w:pStyle w:val="TextoNormalNegritaCentrado"/>
        <w:keepNext/>
      </w:pPr>
      <w:r>
        <w:t>Voto particular que formula el Magistrado don Fernando Valdés Dal-Ré a la Sentencia dictada en el recurso de inconstitucionalidad núm. 4123-2012, y al que se adhiere la Magistrada doña Adela Asua Batarrita.</w:t>
      </w:r>
    </w:p>
    <w:p w:rsidR="00A90898" w:rsidRDefault="00A90898" w:rsidP="00A90898">
      <w:pPr>
        <w:pStyle w:val="TextoNormalNegritaCentrado"/>
        <w:keepNext/>
      </w:pPr>
    </w:p>
    <w:p w:rsidR="00A90898" w:rsidRDefault="00A90898" w:rsidP="00A90898">
      <w:pPr>
        <w:pStyle w:val="TextoNormal"/>
      </w:pPr>
      <w:r>
        <w:t>Como tuve ocasión de expresar durante las deliberaciones del presente proceso constitucional, disiento de la decisión finalmente adoptada. Al amparo de la facultad que me confiere el art. 90.2 de la Ley Orgánica del Tribunal Constitucional y con pleno respeto al sentir de la mayoría del Tribunal, expreso mi discrepancia con el fallo y la fundamentación jurídica de la Sentencia dictada que, a mi juicio, debió declarar la nulidad, al menos parcial, del Real Decreto-ley 16/2012 por una manifiesta vulneración de dos de los requisitos de obligado cumplimiento por la legislación de urgencia (art. 86.1 CE). Me refiero, de un lado, al presupuesto que habilita al Gobierno para dictar una norma con fuerza y rango de ley y, de otro, a los límites materiales que no pueden ser transgredidos en el ejercicio de este poder legislativo excepcional. No obstante y en la medida en que la Sentencia ha avalado la constitucionalidad del citado Real Decreto-ley, me parece de todo punto pertinente dejar igualmente constancia de una segunda divergencia, relativa ahora a la declaración de constitucionalidad del art. 1.3 de la norma impugnada que limita el acceso de los extranjeros “no registrados ni autorizados como residentes en España” a las prestaciones sanitarias. En mi opinión y por las razones que expondré en su momento, este pasaje debió de ser calificado inconstitucional y nulo, al margen del escrutinio recaído sobre el art. 86.1 de nuestra Carta Magna.</w:t>
      </w:r>
    </w:p>
    <w:p w:rsidR="00A90898" w:rsidRDefault="00A90898" w:rsidP="00A90898">
      <w:pPr>
        <w:pStyle w:val="TextoNormal"/>
      </w:pPr>
    </w:p>
    <w:p w:rsidR="00A90898" w:rsidRDefault="00A90898" w:rsidP="00A90898">
      <w:pPr>
        <w:pStyle w:val="TextoNormal"/>
      </w:pPr>
      <w:r>
        <w:t>I. Sobre la concurrencia del presupuesto habilitante de la extraordinaria y urgente necesidad y la justificación de dicha concurrencia en el supuesto concreto.</w:t>
      </w:r>
    </w:p>
    <w:p w:rsidR="00A90898" w:rsidRDefault="00A90898" w:rsidP="00A90898">
      <w:pPr>
        <w:pStyle w:val="TextoNormal"/>
      </w:pPr>
    </w:p>
    <w:p w:rsidR="00A90898" w:rsidRDefault="00A90898" w:rsidP="00A90898">
      <w:pPr>
        <w:pStyle w:val="TextoNormal"/>
      </w:pPr>
      <w:r>
        <w:t xml:space="preserve">1. En aras de la brevedad, me remito a lo que he argumentado en anteriores ocasiones sobre el control que este Tribunal ha de ejercitar a fin de verificar rigurosamente el cumplimiento por el poder ejecutivo de los requisitos que le facultan para dictar unas disposiciones legislativas que adoptan la forma de real decreto-ley (entre otros, en los Votos particulares a las SSTC 170/2012, de 4 de octubre; 233/2012, de 13 de diciembre; 199/2014, de 24 de </w:t>
      </w:r>
      <w:r>
        <w:lastRenderedPageBreak/>
        <w:t>septiembre; 12/2015, de 5 de febrero, y 48/2015, de 5 de marzo y al ATC 43/2012, de 12 de febrero).</w:t>
      </w:r>
    </w:p>
    <w:p w:rsidR="00A90898" w:rsidRDefault="00A90898" w:rsidP="00A90898">
      <w:pPr>
        <w:pStyle w:val="TextoNormal"/>
      </w:pPr>
    </w:p>
    <w:p w:rsidR="00A90898" w:rsidRDefault="00A90898" w:rsidP="00A90898">
      <w:pPr>
        <w:pStyle w:val="TextoNormal"/>
      </w:pPr>
      <w:r>
        <w:t>2. En su fundamento jurídico 2, la Sentencia de la que me aparto, haciendo suyo un alegato del Abogado del Estado, manifiesta que, “pese a lo que la demanda afirma”, la lesión del art. 86.1 CE no se razona respecto a todo el Real Decreto-ley sino, con carácter más limitado, a los concretos preceptos recurridos, de modo que no se ha cumplido la “carga alegatoria” exigida por la doctrina de este Tribunal. En consecuencia, el análisis se centra en los pasajes legales objeto de impugnación.</w:t>
      </w:r>
    </w:p>
    <w:p w:rsidR="00A90898" w:rsidRDefault="00A90898" w:rsidP="00A90898">
      <w:pPr>
        <w:pStyle w:val="TextoNormal"/>
      </w:pPr>
    </w:p>
    <w:p w:rsidR="00A90898" w:rsidRDefault="00A90898" w:rsidP="00A90898">
      <w:pPr>
        <w:pStyle w:val="TextoNormal"/>
      </w:pPr>
      <w:r>
        <w:t>Es esta una aproximación metodológica que en modo alguno es dable compartir a la luz, precisamente, de un examen, mínimamente superficial, de los términos de la fundamentación, por la parte recurrente, de la violación del art. 86.1 CE. Aun cuando probablemente la sistemática del escrito de demanda incurre en alguna deficiencia en el orden de exposición de los requisitos a los que ha de atenerse el dictado de toda norma de urgencia, el apartado 2, que se abre con el título “Inconstitucionalidad del Real Decreto-ley por infracción del art. 86 de la Constitución”, se estructura en dos subapartados: “a) infracción de los límites materiales que establece la CE para la utilización del decreto-ley” y “b) El presupuesto de hecho habilitante: la existencia de una extraordinaria y urgente necesidad” (subrayados en el texto). A su vez, los razonamientos de este segundo punto, que es el que aquí interesa, se desarrollan a lo largo de casi 10 páginas (pp.15-24).</w:t>
      </w:r>
    </w:p>
    <w:p w:rsidR="00A90898" w:rsidRDefault="00A90898" w:rsidP="00A90898">
      <w:pPr>
        <w:pStyle w:val="TextoNormal"/>
      </w:pPr>
    </w:p>
    <w:p w:rsidR="00A90898" w:rsidRDefault="00A90898" w:rsidP="00A90898">
      <w:pPr>
        <w:pStyle w:val="TextoNormal"/>
      </w:pPr>
      <w:r>
        <w:t>Una lectura ni apresurada ni predeterminada por óbices de parte evidencia sin margen alguno para la incertidumbre que las valoraciones formuladas acerca de la concurrencia del presupuesto habilitante tienen un carácter general, estando destinadas a fundamentar la inexistencia de ese presupuesto por la norma impugnada en su globalidad. El escrito, en efecto, pasa revista a los motivos que pudieren justificar el efectivo cumplimiento de este requisito, examinando con el debido detalle las fuentes de conocimiento que, conforme a una bien conocida doctrina de este Tribunal (entre otras, SSTC 29/1989, de 31 de mayo, FJ 4; 182/1997, de 28 de octubre, FJ 4; y 11/2001, de 17 de enero, FJ 4), pueden y deben manejarse para identificar las razones explicativas de la extraordinaria y urgente necesidad; a saber: la exposición de motivos de la norma, el debate parlamentario de convalidación y, en fin, la memoria que se hubiese elaborado. Más aún, conforme se hace constar en el escrito, la parte recurrente solicitó del Congreso de los Diputados el expediente del Real Decreto-ley, petición que, como no podía ser de otro modo, fue atendida. Efectuado ese análisis, la conclusión que se extrae no puede ser más clara en relación al objeto de la impugnación:</w:t>
      </w:r>
    </w:p>
    <w:p w:rsidR="00A90898" w:rsidRDefault="00A90898" w:rsidP="00A90898">
      <w:pPr>
        <w:pStyle w:val="TextoNormal"/>
      </w:pPr>
    </w:p>
    <w:p w:rsidR="00A90898" w:rsidRDefault="00A90898" w:rsidP="00A90898">
      <w:pPr>
        <w:pStyle w:val="TextoNormal"/>
      </w:pPr>
      <w:r>
        <w:t xml:space="preserve">“Ni en el texto del Real Decreto-ley, ni en sus antecedentes, ni en el debate parlamentario, existe explicación alguna sobre la existencia de circunstancia alguna que impidiera la tramitación de esta reforma sanitaria siguiendo un procedimiento parlamentario. La implantación del nuevo sistema se demora más de tres meses, las medidas que se adoptan no modifican inmediatamente la situación jurídica preexistente, se ha publicado una corrección de errores que ha modificado sustancialmente diversos preceptos y disposiciones fundamentales del Real Decreto-ley, para justificar algunas medidas se hace referencia incluso a reivindicaciones históricas o a informes que hay que elaborar, lo que unido todo ello al hecho de </w:t>
      </w:r>
      <w:r>
        <w:lastRenderedPageBreak/>
        <w:t>que se haya negado la tramitación de la reforma como proyecto de ley expresamente solicitada, llevan a la conclusión de que el presupuesto de la existencia de una situación de extraordinaria y urgente necesidad exigido en el artículo CE no se ha justificado” (pág. 23).</w:t>
      </w:r>
    </w:p>
    <w:p w:rsidR="00A90898" w:rsidRDefault="00A90898" w:rsidP="00A90898">
      <w:pPr>
        <w:pStyle w:val="TextoNormal"/>
      </w:pPr>
    </w:p>
    <w:p w:rsidR="00A90898" w:rsidRDefault="00A90898" w:rsidP="00A90898">
      <w:pPr>
        <w:pStyle w:val="TextoNormal"/>
      </w:pPr>
      <w:r>
        <w:t>Desde luego, se podrá cuestionar el fondo de los argumentos aportados para fundamentar la queja vertida; pero lo que no resulta en modo alguno razonable es reducir los términos en los que la parte recurrente plantea su alegato, referidos al Real Decreto-ley 16/2012 en su integridad.</w:t>
      </w:r>
    </w:p>
    <w:p w:rsidR="00A90898" w:rsidRDefault="00A90898" w:rsidP="00A90898">
      <w:pPr>
        <w:pStyle w:val="TextoNormal"/>
      </w:pPr>
    </w:p>
    <w:p w:rsidR="00A90898" w:rsidRDefault="00A90898" w:rsidP="00A90898">
      <w:pPr>
        <w:pStyle w:val="TextoNormal"/>
      </w:pPr>
      <w:r>
        <w:t xml:space="preserve">3. Con todo, mis objeciones metodológicas al análisis que la Sentencia lleva a cabo de la presunta vulneración por la norma de urgencia del presupuesto habilitante </w:t>
      </w:r>
      <w:r w:rsidRPr="00A90898">
        <w:rPr>
          <w:i/>
        </w:rPr>
        <w:t>ex</w:t>
      </w:r>
      <w:r>
        <w:t xml:space="preserve"> art. 86.1 CE van más allá de lo que vengo de exponer. Una exacta inteligencia del razonamiento que apenas he anticipado pide, como preliminar útil, efectuar dos recordatorios directamente deducidos de una muy asentada doctrina de este Tribunal, el segundo de los cuales, por cierto, la Sentencia orilla al resumir esa doctrina. Por lo pronto, el juicio sobre la regularidad constitucional de la cláusula de la “extraordinaria y urgente necesidad” ha de superar un doble canon: de un lado, la necesidad del Gobierno de identificar de manera clara, explícita y razonada la concurrencia de esa singular situación, determinante de la presencia del presupuesto habilitante; de otro, la existencia de una conexión de sentido o relación de adecuación entre ese presupuesto y las medidas contenidas en la norma de urgencia. El segundo recordatorio, a su vez, se concreta en que, cuando la parte recurrente efectúa una impugnación parcial de un real decreto-ley, en lugar de total, tal como la Sentencia hace constar que acontece en el caso a examen, el control sobre el concurso del tan mencionado presupuesto habilitante ha de resultar congruente con el objeto de la censura, debiendo examinarse las dos dimensiones que definen el propio control de constitucionalidad desde esa singular perspectiva: la formal (identificación de los motivos alegados) y la sustantiva (conexión de sentido o relación de adecuación). En semejante hipótesis, el control de constitucionalidad no puede dar por buenas las argumentaciones globales ni para avalar la explicitación (dimensión formal) ni para reconocer la conexión de sentido (dimensión material).</w:t>
      </w:r>
    </w:p>
    <w:p w:rsidR="00A90898" w:rsidRDefault="00A90898" w:rsidP="00A90898">
      <w:pPr>
        <w:pStyle w:val="TextoNormal"/>
      </w:pPr>
    </w:p>
    <w:p w:rsidR="00A90898" w:rsidRDefault="00A90898" w:rsidP="00A90898">
      <w:pPr>
        <w:pStyle w:val="TextoNormal"/>
      </w:pPr>
      <w:r>
        <w:t xml:space="preserve">La Sentencia de la que discrepo se ha apartado de la doctrina de este Tribunal tan sumariamente recordada. En primer lugar y contrariando de manera ostensible la delimitación objetiva de la impugnación relativa al art. 86.1 CE, el escrutinio de la vertiente formal de la concurrencia del presupuesto habilitante no procede a un análisis pormenorizado de las razones determinantes de la regulación de las materias tratadas por los plurales preceptos recurridos, limitándose a traer a colación, por una parte, las dos grandes finalidades a las que obedece, con carácter general, la reforma del Sistema Nacional de Salud (existencia de una situación de grave dificultad económica y necesidad de hacer frente a los “retos actuales de la asistencia sanitaria”) y, por otra, la opción en favor de la vinculación de la condición de beneficiario a la de asegurado. Las genéricas referencias a los informes emitidos por el Tribunal de Cuentas y al derecho comunitario enunciadas por la exposición de motivos de la norma de urgencia evidencian el tratamiento global desde el que se aborda esta primera vertiente. Cierto es que este tratamiento se modera en términos escasamente significativos con la alusión a las modificaciones introducidas en el acceso a la prestación sanitaria de los extranjeros [último párrafo, FJ 4 a)]; pero es más cierto que la Sentencia renuncia a analizar con el obligado detalle si, respecto de los preceptos que entiende expresamente recurridos, el Gobierno ha ofrecido una explicación clara, precisa y razonada de la concurrencia de la </w:t>
      </w:r>
      <w:r>
        <w:lastRenderedPageBreak/>
        <w:t>extraordinaria y urgente necesidad. Por este lado, la Sentencia de mi disentimiento contradice la premisa que delimita el análisis de la vulneración del art. 86.1 CE. La lectura del fundamento jurídico 5 a) confirma sin sombra de duda esta primera conclusión.</w:t>
      </w:r>
    </w:p>
    <w:p w:rsidR="00A90898" w:rsidRDefault="00A90898" w:rsidP="00A90898">
      <w:pPr>
        <w:pStyle w:val="TextoNormal"/>
      </w:pPr>
    </w:p>
    <w:p w:rsidR="00A90898" w:rsidRDefault="00A90898" w:rsidP="00A90898">
      <w:pPr>
        <w:pStyle w:val="TextoNormal"/>
      </w:pPr>
      <w:r>
        <w:t>4. Al aval que merece el escrutinio formal de la concurrencia del presupuesto habilitante le subsigue la confirmación de la conexión de sentido entre las finalidades perseguidas por la norma de urgencia y las medidas adoptadas, de modo que estas guardan una relación directa o de adecuación con la situación que se trata de abordar.</w:t>
      </w:r>
    </w:p>
    <w:p w:rsidR="00A90898" w:rsidRDefault="00A90898" w:rsidP="00A90898">
      <w:pPr>
        <w:pStyle w:val="TextoNormal"/>
      </w:pPr>
    </w:p>
    <w:p w:rsidR="00A90898" w:rsidRDefault="00A90898" w:rsidP="00A90898">
      <w:pPr>
        <w:pStyle w:val="TextoNormal"/>
      </w:pPr>
      <w:r>
        <w:t>En este orden de consideraciones e instalando mi razonamiento en el, a mi juicio, errado punto de partida del examen del presupuesto habilitante, la Sentencia de mi discrepancia intenta justificar nuevamente esa relación de congruencia con fundamento en las genéricas motivaciones formuladas en las fuentes de conocimiento para la reforma del Sistema Nacional de Salud. Por decirlo en sus propias palabras, la opción adoptada por el Gobierno de modificar la delimitación del ámbito subjetivo de la asistencia sanitaria mantiene una conexión de sentido “con los problemas que se persigue solucionar y la situación económica deficitaria que se pretende controlar” o, en otros términos, “entre la situación de urgencia, derivada de las dificultades por las que atraviesa el sistema sanitario público, y la medida adoptada, en cuanto que persigue la reducción de los gastos que se financian con cargo a dicho sistema y se relacionan, por tanto, con su sostenibilidad” [FJ 5 b)]. No es ésta, sin embargo, una afirmación que pueda compartirse.</w:t>
      </w:r>
    </w:p>
    <w:p w:rsidR="00A90898" w:rsidRDefault="00A90898" w:rsidP="00A90898">
      <w:pPr>
        <w:pStyle w:val="TextoNormal"/>
      </w:pPr>
    </w:p>
    <w:p w:rsidR="00A90898" w:rsidRDefault="00A90898" w:rsidP="00A90898">
      <w:pPr>
        <w:pStyle w:val="TextoNormal"/>
      </w:pPr>
      <w:r>
        <w:t xml:space="preserve">La línea argumental de la Sentencia se basa, como se viene de exponer, en una alusión genérica a la situación de crisis económica o, como hace constar la exposición de motivos de la norma impugnada, “a una situación de grave dificultad económica” del Sistema Nacional de Salud (apartado I). Esta hipótesis podría acaso considerarse reforzada por las explicaciones que la propia exposición de motivos hace respecto de los problemas derivados de la aplicación del derecho comunitario de compensación sanitaria así como con la invocación de los informes del Tribunal de Cuentas sobre la indebida asunción del coste de la asistencia sanitaria del Sistema Nacional de Salud de determinadas personas (apartado II). Ninguno de estos argumentos, sin embargo, —la crisis económica, la aplicación del derecho comunitario y las recomendaciones del Tribunal de Cuentas— ofrecen argumentos concretos para justificar las razones de los preceptos que reforman el ámbito subjetivo del Sistema Nacional de Salud —que son los únicos que, en el decir de la Sentencia, constituyen el objeto de la impugnación </w:t>
      </w:r>
      <w:r w:rsidRPr="00A90898">
        <w:rPr>
          <w:i/>
        </w:rPr>
        <w:t>ex</w:t>
      </w:r>
      <w:r>
        <w:t xml:space="preserve"> art. 86.1 CE— y que afectan a dos concretos colectivos: los españoles mayores de 26 años que dispongan de un nivel de renta que habrá de determinarse reglamentariamente y los extranjeros sin permiso de residencia.</w:t>
      </w:r>
    </w:p>
    <w:p w:rsidR="00A90898" w:rsidRDefault="00A90898" w:rsidP="00A90898">
      <w:pPr>
        <w:pStyle w:val="TextoNormal"/>
      </w:pPr>
    </w:p>
    <w:p w:rsidR="00A90898" w:rsidRDefault="00A90898" w:rsidP="00A90898">
      <w:pPr>
        <w:pStyle w:val="TextoNormal"/>
      </w:pPr>
      <w:r>
        <w:t xml:space="preserve">Por lo pronto y en relación con las dificultades económicas y la necesidad de racionalizar los costes, las fuentes de conocimiento no ofrecen ni estimación ni explicación siquiera, incluso somera y general, del impacto y de la cuantía de la reducción del gasto que pueden generar esas concretas medidas así como del modo en que podría garantizarse a su través la solvencia del sistema sanitario público. En cuanto a la segunda razón alegada, relativa a la coordinación de nuestro sistema con el derecho comunitario, su aplicación no es predicable ni de los españoles mayores de 26 años con determinados niveles de renta ni, menos aún, de los extranjeros no comunitarios. El legislador de urgencia no ha hecho esfuerzo alguno para elaborar la relación de congruencia entre las medidas adoptadas y las finalidades que </w:t>
      </w:r>
      <w:r>
        <w:lastRenderedPageBreak/>
        <w:t>las mismas han de cumplir, sin que pueda servir, como argumenta la Sentencia de mi disenso, el ahorro económico, que, como ya se ha hecho constar, no aparece concretado. Por lo demás, y no es lo de menos, esta ausencia de justificación sobre la adecuación entre la situación de extraordinaria necesidad y la regulación establecida es especialmente censurable si se valora la naturaleza de la norma impugnada. Conforme razonara la STC 119/2011, de 5 de julio, a propósito de una utilización indebida del derecho de enmienda en el procedimiento legislativo, la desatención a los “límites constitucionales bajo el paraguas de la urgencia normativa no deja de ser una lesión constitucional por mucho que pueda parecer conveniente coyunturalmente” (FJ 7). Una política legislativa comprometida con la calidad democrática del ejercicio de los poderes normativos viene obligada a evitar esa lesión.</w:t>
      </w:r>
    </w:p>
    <w:p w:rsidR="00A90898" w:rsidRDefault="00A90898" w:rsidP="00A90898">
      <w:pPr>
        <w:pStyle w:val="TextoNormal"/>
      </w:pPr>
    </w:p>
    <w:p w:rsidR="00A90898" w:rsidRDefault="00A90898" w:rsidP="00A90898">
      <w:pPr>
        <w:pStyle w:val="TextoNormal"/>
      </w:pPr>
      <w:r>
        <w:t>II. Sobre la vulneración de los límites materiales del art. 86.1 CE, en particular la prohibición de “afectar a los derechos de los ciudadanos reconocidos en el Título I CE”.</w:t>
      </w:r>
    </w:p>
    <w:p w:rsidR="00A90898" w:rsidRDefault="00A90898" w:rsidP="00A90898">
      <w:pPr>
        <w:pStyle w:val="TextoNormal"/>
      </w:pPr>
    </w:p>
    <w:p w:rsidR="00A90898" w:rsidRDefault="00A90898" w:rsidP="00A90898">
      <w:pPr>
        <w:pStyle w:val="TextoNormal"/>
      </w:pPr>
      <w:r>
        <w:t>1. Además de reprochar al Real Decreto-ley 16/2012 la vulneración del art. 86.1 CE por ausencia de su presupuesto habilitante, la parte recurrente imputa a la disposición legal cuestionada una segunda lesión de ese mismo precepto constitucional al entender que la materia objeto de tratamiento normativo le está expresamente vedada, por “afectar a los derechos, deberes y libertades de los ciudadanos regulados en el Título I”.</w:t>
      </w:r>
    </w:p>
    <w:p w:rsidR="00A90898" w:rsidRDefault="00A90898" w:rsidP="00A90898">
      <w:pPr>
        <w:pStyle w:val="TextoNormal"/>
      </w:pPr>
    </w:p>
    <w:p w:rsidR="00A90898" w:rsidRDefault="00A90898" w:rsidP="00A90898">
      <w:pPr>
        <w:pStyle w:val="TextoNormal"/>
      </w:pPr>
      <w:r>
        <w:t>Tras resumir la doctrina de este Tribunal recaída en relación con el ámbito sustantivo que no puede ser sobrepasado por la legislación de urgencia, la Sentencia de la que disiento, en su fundamento jurídico 6, desestima esta nueva queja, analizando la aplicación del presente límite material, de dimensión constitucional, en relación con los tres derechos que, en su decir, son los invocados en la demanda: derecho a la salud (art. 43 CE), establecimiento de cargas tributarias de acuerdo con la capacidad económica (art. 31.1 CE) y protección de datos de carácter personal (art. 18.4 CE).</w:t>
      </w:r>
    </w:p>
    <w:p w:rsidR="00A90898" w:rsidRDefault="00A90898" w:rsidP="00A90898">
      <w:pPr>
        <w:pStyle w:val="TextoNormal"/>
      </w:pPr>
    </w:p>
    <w:p w:rsidR="00A90898" w:rsidRDefault="00A90898" w:rsidP="00A90898">
      <w:pPr>
        <w:pStyle w:val="TextoNormal"/>
      </w:pPr>
      <w:r>
        <w:t>Ninguna objeción me merecen los razonamientos enderezados a descartar que la norma de urgencia no haya respetado, al entrar a regular los derechos mencionados en los arts. 31.1 y 18.4 del texto constitucional, los límites materiales enunciados en el art. 86.1 CE, tal y como los mismos han sido interpretados por este Tribunal. No es ésta, sin embargo, una conclusión que pueda compartir en modo alguno respecto del derecho a la salud. Más aún, también discrepo del razonamiento que sustenta la conclusión.</w:t>
      </w:r>
    </w:p>
    <w:p w:rsidR="00A90898" w:rsidRDefault="00A90898" w:rsidP="00A90898">
      <w:pPr>
        <w:pStyle w:val="TextoNormal"/>
      </w:pPr>
    </w:p>
    <w:p w:rsidR="00A90898" w:rsidRDefault="00A90898" w:rsidP="00A90898">
      <w:pPr>
        <w:pStyle w:val="TextoNormal"/>
      </w:pPr>
      <w:r>
        <w:t>Sin perjuicio de ofrecer de inmediato las razones de esta discrepancia, lo primero que llama la atención es la poco comprensible falta de correspondencia argumental entre la respuesta de la Sentencia a la queja y la elaboración de la queja. Pero más allá de este dato, de tono muy menor, lo que en verdad llama la atención es el sumario argumento que fundamenta la desestimación; a saber: el derecho a la salud consagrado en el art. 43 CE, dada su ubicación sistemática en el texto constitucional, “no ostenta las características de derecho cuya regulación por decreto-ley impide el art. 86.1 CE” [párrafo segundo, FJ 6 a)].</w:t>
      </w:r>
    </w:p>
    <w:p w:rsidR="00A90898" w:rsidRDefault="00A90898" w:rsidP="00A90898">
      <w:pPr>
        <w:pStyle w:val="TextoNormal"/>
      </w:pPr>
    </w:p>
    <w:p w:rsidR="00A90898" w:rsidRDefault="00A90898" w:rsidP="00A90898">
      <w:pPr>
        <w:pStyle w:val="TextoNormal"/>
      </w:pPr>
      <w:r>
        <w:t>Con un alegato semejante, en el que la conclusión y el argumento se encuentran fundidos, la Sentencia se instala en la preocupante senda abierta por este Tribunal en fechas recientes, preferentemente aplicable en relación con derechos sociales, consistente en reinterpretar una anterior doctrina de manera silenciosa, entendida la expresión en un doble sentido: sin anunciar el cambio y sin aprestar los motivos justificativos del propio cambio.</w:t>
      </w:r>
    </w:p>
    <w:p w:rsidR="00A90898" w:rsidRDefault="00A90898" w:rsidP="00A90898">
      <w:pPr>
        <w:pStyle w:val="TextoNormal"/>
      </w:pPr>
    </w:p>
    <w:p w:rsidR="00A90898" w:rsidRDefault="00A90898" w:rsidP="00A90898">
      <w:pPr>
        <w:pStyle w:val="TextoNormal"/>
      </w:pPr>
      <w:r>
        <w:t>De conformidad con una constante inteligencia constitucional, iniciada ya en la época fundacional, este Tribunal ha descartado las interpretaciones restrictivas del límite material establecido por el art. 86.1 CE, que pudieron haber estado amparadas tanto por el sentido gramatical del verbo afectar (“menoscabar, perjudicar o influir desfavorablemente”) como por la comprensión práctica del término en el ordenamiento privado (imposición de un gravamen u obligación). Y, en su lugar, optó por una interpretación más vinculada a cánones de índole contextual y finalista; por una interpretación que, en el fondo, atiende al sistema de poderes y contrapoderes constitucionalmente instituidos y a la conveniencia de no impedir al Ejecutivo el uso de un instrumento que puede ser útil y necesario para la gobernación del país en situaciones de relativa imprevisibilidad. La prohibición de afectación no define, pues, un campo vedado a la actividad legislativa del Gobierno; su función, bien otra, es actuar como límite interno tanto de la estructura de la norma como del contenido normado por la disposición legal de urgencia. De ahí, los dos condicionantes que, siempre de acuerdo a la uniforme doctrina de este Tribunal, delimitan el ámbito normativo del decreto-ley: de un lado, se permiten las ordenaciones singulares, pero quedan proscritas las ordenaciones generales y, de otro, se consienten las regulaciones sobre los elementos accidentales o secundarios de los derechos, deberes y libertades de los ciudadanos mencionado en el título I, pero se prohíben aquellas otras que alteren sus elementos estructurales o sustanciales (entre otras muchas, SSTC 111/1983, de 2 de diciembre; 60/1986, de 20 de mayo; 3/1988, de 21 de enero, y 182/1997, de 28 de octubre).</w:t>
      </w:r>
    </w:p>
    <w:p w:rsidR="00A90898" w:rsidRDefault="00A90898" w:rsidP="00A90898">
      <w:pPr>
        <w:pStyle w:val="TextoNormal"/>
      </w:pPr>
    </w:p>
    <w:p w:rsidR="00A90898" w:rsidRDefault="00A90898" w:rsidP="00A90898">
      <w:pPr>
        <w:pStyle w:val="TextoNormal"/>
      </w:pPr>
      <w:r>
        <w:t>Lo anterior reseñado, es obligado dejar constancia de que, hasta la actualidad, ninguna resolución de este Tribunal ha procedido a excluir del ámbito de aplicación de la cláusula de “no afectación” los principios rectores enunciados en el capítulo III, título I, CE; o, por expresar la misma idea desde la otra vertiente, este Tribunal, en su ya dilatada trayectoria jurisdiccional, no ha limitado la operatividad de dicha cláusula a los derechos, deberes y libertades consagrados —parece ser ese el alcance de la Sentencia de mi discrepancia— en el capítulo II, de ese mismo título I.</w:t>
      </w:r>
    </w:p>
    <w:p w:rsidR="00A90898" w:rsidRDefault="00A90898" w:rsidP="00A90898">
      <w:pPr>
        <w:pStyle w:val="TextoNormal"/>
      </w:pPr>
    </w:p>
    <w:p w:rsidR="00A90898" w:rsidRDefault="00A90898" w:rsidP="00A90898">
      <w:pPr>
        <w:pStyle w:val="TextoNormal"/>
      </w:pPr>
      <w:r>
        <w:t>Una modificación de tanta intensidad como la ahora defendida en la presente resolución hubiera demandado, de seguro, un relevante desarrollo argumentativo. Y no solo ni tanto por llevar asociada un cambio o, al menos, una reinterpretación en la doctrina hasta ahora mantenida por este Tribunal. Esa exigencia viene fundada, además y señaladamente, por los efectos restrictivos que ese cambio o reinterpretación producen en la protección de los derechos y principios constitucionales o, lo que es igual, por los efectos expansivos de un poder normativo de carácter excepcional. La preferencia expresada por la Sentencia a favor de la eliminación de trabas al ejercicio de este poder, pretiriendo la opción enderezada a salvaguardar las posiciones jurídicas de los ciudadanos, se distancia, sin justificación alguna, de la tutela y preservación de la cláusula social (art. 1.1 CE), debilitando la calidad democrática de nuestro sistema de monarquía parlamentaria.</w:t>
      </w:r>
    </w:p>
    <w:p w:rsidR="00A90898" w:rsidRDefault="00A90898" w:rsidP="00A90898">
      <w:pPr>
        <w:pStyle w:val="TextoNormal"/>
      </w:pPr>
    </w:p>
    <w:p w:rsidR="00A90898" w:rsidRDefault="00A90898" w:rsidP="00A90898">
      <w:pPr>
        <w:pStyle w:val="TextoNormal"/>
      </w:pPr>
      <w:r>
        <w:t xml:space="preserve">Las consideraciones que siguen pretenden ofrecer las razones por las que, de un lado, el derecho a la salud no puede quedar excluido de la prohibición de afectación </w:t>
      </w:r>
      <w:r w:rsidRPr="00A90898">
        <w:rPr>
          <w:i/>
        </w:rPr>
        <w:t>ex</w:t>
      </w:r>
      <w:r>
        <w:t xml:space="preserve"> art. 86.1 CE y, de otro, determinados preceptos del Real Decreto-ley 16/2012, al no respetar el límite material enunciado en ese pasaje constitucional, debieron de ser declarados inconstitucionales y nulos. Y ello, incluso aceptando a efectos meramente dialécticos la tesis sobre la concurrencia del presupuesto formal sustentada por la Sentencia de mi disentimiento.</w:t>
      </w:r>
    </w:p>
    <w:p w:rsidR="00A90898" w:rsidRDefault="00A90898" w:rsidP="00A90898">
      <w:pPr>
        <w:pStyle w:val="TextoNormal"/>
      </w:pPr>
    </w:p>
    <w:p w:rsidR="00A90898" w:rsidRDefault="00A90898" w:rsidP="00A90898">
      <w:pPr>
        <w:pStyle w:val="TextoNormal"/>
      </w:pPr>
      <w:r>
        <w:t xml:space="preserve">2. Con la finalidad de contestar a las quejas relacionadas con el art. 43 CE y, en particular, a la denuncia sobre las vulneraciones de los límites materiales que el art. 86.1 CE impone, la Sentencia efectúa un análisis de la naturaleza del derecho a la protección de la salud, concluyendo en que, como ya se ha hecho constar, no se encuentra, por razón de su ubicación sistemática, en el catálogo de aquellos derechos cuya regulación por decreto-ley deba someterse al ámbito aplicativo de los citados límites materiales instituido en aquel pasaje constitucional. Al margen de ignorar la doctrina de este Tribunal, semejante conclusión obvia las dos ideas básicas que han contribuido a la progresiva maduración y consolidación de la noción de derechos </w:t>
      </w:r>
      <w:r w:rsidRPr="00A90898">
        <w:rPr>
          <w:i/>
        </w:rPr>
        <w:t>tout court</w:t>
      </w:r>
      <w:r>
        <w:t xml:space="preserve">; de un lado, la indivisibilidad (o unidad) de todos los derechos, al margen de su contenido (civil, político, económico, cultural y social), tal y como afirma el art. 2.1 de la Declaración Universal de Derechos Humanos y sostiene indefectiblemente el Tribunal Europeo de Derechos Humanos desde la sentencia del caso </w:t>
      </w:r>
      <w:r w:rsidRPr="00A90898">
        <w:rPr>
          <w:i/>
        </w:rPr>
        <w:t>Airey c. Irlanda</w:t>
      </w:r>
      <w:r>
        <w:t xml:space="preserve"> (STEDH de 9 de octubre de 1979) y, de otro, la conexión e instrumentalidad de determinados derechos o principios constitucionales “no fundamentales” respecto de otros que sí lo son por ubicarse en el capítulo II del título I.</w:t>
      </w:r>
    </w:p>
    <w:p w:rsidR="00A90898" w:rsidRDefault="00A90898" w:rsidP="00A90898">
      <w:pPr>
        <w:pStyle w:val="TextoNormal"/>
      </w:pPr>
    </w:p>
    <w:p w:rsidR="00A90898" w:rsidRDefault="00A90898" w:rsidP="00A90898">
      <w:pPr>
        <w:pStyle w:val="TextoNormal"/>
      </w:pPr>
      <w:r>
        <w:t>La comprobación del soslayo de estas dos ideas por la Sentencia de mi divergencia no ofrece dificultades; antes al contrario, es una tarea bien sencilla. En la misma se define el derecho a la protección de la salud contenido en el art. 43 CE como un derecho prestacional “de configuración legal”, trayendo al caso una expresión formulada por la jurisprudencia constitucional en relación con la asistencia jurídica gratuita y empleada hasta la fecha en ese contexto (entre otras muchas, SSTC 16/1994, de 20 de enero; 12/1998, de 15 de enero; 183/2001, de 17 de septiembre; 95/2003, de 22 de mayo; 217/2007, de 8 de octubre 118/2014, de 8 de julio y, en fin, 124/2015, de 8 de junio). Pero al asumir tal concepto obvia buena parte de la doctrina construida en torno al derecho a la asistencia jurídica gratuita, aplicable de manera paradigmática también a este otro derecho, al derecho a la salud.</w:t>
      </w:r>
    </w:p>
    <w:p w:rsidR="00A90898" w:rsidRDefault="00A90898" w:rsidP="00A90898">
      <w:pPr>
        <w:pStyle w:val="TextoNormal"/>
      </w:pPr>
    </w:p>
    <w:p w:rsidR="00A90898" w:rsidRDefault="00A90898" w:rsidP="00A90898">
      <w:pPr>
        <w:pStyle w:val="TextoNormal"/>
      </w:pPr>
      <w:r>
        <w:t>La doctrina de este Tribunal ha venido haciendo constar, en efecto, que la conexión entre el derecho a la asistencia jurídica gratuita de quienes carecen de recursos económicos para litigar (art. 119 CE) y el derecho a la tutela judicial efectiva (art. 24.1 CE) fundamenta la tesis de que el art. 119 CE consagra un derecho constitucional de carácter instrumental respecto del derecho de acceso a la jurisdicción reconocido en el art. 24.1 CE. De otro lado, también ha afirmado que corresponde al legislador delimitar el contenido y las concretas condiciones de ejercicio del derecho a la asistencia jurídica gratuita, “atendiendo a los intereses públicos y privados implicados y a las concretas disponibilidades presupuestarias” (STC 90/2015, de 11 de mayo, FJ 3), asumiendo que tal libertad de configuración legal, aunque es amplia, no es absoluta y no permite excluir de su disfrute a los extranjeros en situación irregular. La ya citada STC 95/2003 sostiene “la conexión instrumental entre el derecho a la asistencia jurídica gratuita y el derecho a la tutela judicial efectiva” (FJ 3), reconociendo la titularidad del derecho a la tutela judicial efectiva por parte de los extranjeros, “con independencia de su situación jurídica” (FFJJ 5 y 6). A la misma conclusión llegará, igualmente, la STC 236/2007, de 7 de noviembre (FJ 13).</w:t>
      </w:r>
    </w:p>
    <w:p w:rsidR="00A90898" w:rsidRDefault="00A90898" w:rsidP="00A90898">
      <w:pPr>
        <w:pStyle w:val="TextoNormal"/>
      </w:pPr>
    </w:p>
    <w:p w:rsidR="00A90898" w:rsidRDefault="00A90898" w:rsidP="00A90898">
      <w:pPr>
        <w:pStyle w:val="TextoNormal"/>
      </w:pPr>
      <w:r>
        <w:t xml:space="preserve">La Sentencia de la que discrepo prescinde de traer a la argumentación la totalidad de los razonamientos que acaban de ser expuestos y que son perfectamente trasladables al caso. Al estilo del derecho a la asistencia jurídica gratuita, también el derecho a la salud recogido en el art. 43 CE se sitúa extramuros del núcleo de los derechos fundamentales y cívicos que </w:t>
      </w:r>
      <w:r>
        <w:lastRenderedPageBreak/>
        <w:t xml:space="preserve">se contienen en las secciones primera y segunda del capítulo II del título I. Pero desarrolla una relación de instrumentalidad de un derecho tan fundamental como el consagrado en el art. 15 CE, que proclama que “todos tienen derecho a la vida y a la integridad física y moral, sin que, en ningún caso, puedan ser sometidos a tortura ni a penas o tratos inhumanos o degradantes”. Esta conexión instrumental se esboza en los AATC 239/2012, de 12 de diciembre, FJ 5; 114/2014, de 8 de abril, FJ 8; y 54/2016, de 1 de marzo, FJ 5, que declaran expresamente que el derecho a la salud y el derecho a la integridad física de las personas afectadas por la exclusión del sistema sanitario, “así como la conveniencia de evitar riesgos para la salud del conjunto de la sociedad, poseen una importancia singular en el marco constitucional, que no puede verse desvirtuada por la mera consideración de un eventual ahorro económico que no ha podido ser concretado”. De su lado, el ATC 239/2012 reconoce además que el Tribunal ya ha tenido en cuenta “la vinculación entre el principio rector del art. 43 CE y el art. 15 CE que recoge el derecho fundamental a la vida y a la integridad física y moral, en el sentido de lo reconocido por el Tribunal Europeo de Derechos Humanos (por todos, asunto </w:t>
      </w:r>
      <w:r w:rsidRPr="00A90898">
        <w:rPr>
          <w:i/>
        </w:rPr>
        <w:t>VO c. Francia</w:t>
      </w:r>
      <w:r>
        <w:t xml:space="preserve"> de 8 de julio de 2004)” y que “los intereses generales y públicos, vinculados a la promoción y garantía del derecho a la salud, son intereses asociados a la defensa de bienes constitucionales particularmente sensibles”.</w:t>
      </w:r>
    </w:p>
    <w:p w:rsidR="00A90898" w:rsidRDefault="00A90898" w:rsidP="00A90898">
      <w:pPr>
        <w:pStyle w:val="TextoNormal"/>
      </w:pPr>
    </w:p>
    <w:p w:rsidR="00A90898" w:rsidRDefault="00A90898" w:rsidP="00A90898">
      <w:pPr>
        <w:pStyle w:val="TextoNormal"/>
      </w:pPr>
      <w:r>
        <w:t xml:space="preserve">Pero, más allá del esbozo, la conexión adopta un reconocimiento expreso si se acude, tal y como dispone con carácter obligatorio el art. 10.2 CE, a los convenios internacionales de derechos humanos firmados por España y a la interpretación jurisprudencial que de ellos hacen los órganos competentes. Sin ir muy lejos, el Tribunal Europeo de Derechos Humanos entiende que la ausencia de cuidados médicos apropiados de la que resulta la muerte de una persona vulnera el art. 2 (derecho a la vida) del Convenio europeo para la protección de los derechos humanos y las libertades fundamentales (CEDH; STEDH en el asunto </w:t>
      </w:r>
      <w:r w:rsidRPr="00A90898">
        <w:rPr>
          <w:i/>
        </w:rPr>
        <w:t>Valentín Câmpeanu c. Rumanía</w:t>
      </w:r>
      <w:r>
        <w:t xml:space="preserve">, 17 de julio de 2014); que un Estado falta a sus deberes positivos de proteger la vida de sus ciudadanos (art. 2 CEDH) cuando no se legisla ni se toman medidas prácticas para protegerles y proporcionarles información de los riesgos para su salud a los que les exponen determinadas actividades (STEDH en el asunto </w:t>
      </w:r>
      <w:r w:rsidRPr="00A90898">
        <w:rPr>
          <w:i/>
        </w:rPr>
        <w:t>Brincat y otros c. Malta</w:t>
      </w:r>
      <w:r>
        <w:t xml:space="preserve">, 24 de julio de 2014); que se vulnera la prohibición de someter a tratos inhumanos y degradantes (art. 3 CEDH) cuando se acuerda la expulsión de una persona extranjera dependiente de un tratamiento médico cuya interrupción le colocaría en riesgo de asumir grandes sufrimientos físicos y reducir su esperanza de vida (STEDH asunto </w:t>
      </w:r>
      <w:r w:rsidRPr="00A90898">
        <w:rPr>
          <w:i/>
        </w:rPr>
        <w:t>D. c Reino Unido</w:t>
      </w:r>
      <w:r>
        <w:t xml:space="preserve"> de 2 de mayo de 1997, jurisprudencia revisada después y pendiente de la solución que debe dar la Gran Sala al asunto </w:t>
      </w:r>
      <w:r w:rsidRPr="00A90898">
        <w:rPr>
          <w:i/>
        </w:rPr>
        <w:t>Paposhvili c. Belgica</w:t>
      </w:r>
      <w:r>
        <w:t xml:space="preserve"> num. 41738/10); que se vulnera el derecho a la vida (art. 2 CEDH) cuando se niega la gratuidad de una asistencia médica o unas prestaciones farmacéuticas a las que el sujeto tiene derecho por reconocimiento legal o judicial (SSTEDH asuntos </w:t>
      </w:r>
      <w:r w:rsidRPr="00A90898">
        <w:rPr>
          <w:i/>
        </w:rPr>
        <w:t>Nitecki c. Polonia</w:t>
      </w:r>
      <w:r>
        <w:t xml:space="preserve">, de 21 de marzo de 2002, y </w:t>
      </w:r>
      <w:r w:rsidRPr="00A90898">
        <w:rPr>
          <w:i/>
        </w:rPr>
        <w:t>Panaitescu c. Rumanía</w:t>
      </w:r>
      <w:r>
        <w:t xml:space="preserve"> de 10 de abril de 2012), así como cuando el Estado no responde a las obligaciones positivas de protección de la salud y de prestación de una adecuada asistencia sanitaria que derivan de ese precepto allí donde esas obligaciones son exigibles (SSTEDH en los asuntos </w:t>
      </w:r>
      <w:r w:rsidRPr="00A90898">
        <w:rPr>
          <w:i/>
        </w:rPr>
        <w:t>Oyal c. Turquía</w:t>
      </w:r>
      <w:r>
        <w:t xml:space="preserve">, de 23 de marzo de 2010, </w:t>
      </w:r>
      <w:r w:rsidRPr="00A90898">
        <w:rPr>
          <w:i/>
        </w:rPr>
        <w:t>Mehmet Sentürk y Bekir Sentürk c. Turquía</w:t>
      </w:r>
      <w:r>
        <w:t xml:space="preserve">, de 9 de abril de 2013, </w:t>
      </w:r>
      <w:r w:rsidRPr="00A90898">
        <w:rPr>
          <w:i/>
        </w:rPr>
        <w:t>Asiye Genc c. Turquía</w:t>
      </w:r>
      <w:r>
        <w:t xml:space="preserve"> de 27 de enero de 2015, entre otras).</w:t>
      </w:r>
    </w:p>
    <w:p w:rsidR="00A90898" w:rsidRDefault="00A90898" w:rsidP="00A90898">
      <w:pPr>
        <w:pStyle w:val="TextoNormal"/>
      </w:pPr>
    </w:p>
    <w:p w:rsidR="00A90898" w:rsidRDefault="00A90898" w:rsidP="00A90898">
      <w:pPr>
        <w:pStyle w:val="TextoNormal"/>
      </w:pPr>
      <w:r>
        <w:t xml:space="preserve">Por tanto, la conexión entre el derecho a la salud y a la asistencia sanitaria que actúa como garante de la salud individual y colectiva y el derecho a la vida y la integridad física no puede ser negado, ni puede ser obviado sin más, si atendemos a la obligación de interpretar tanto el art. 15 de la Constitución española como el art. 43 del mismo texto a la luz </w:t>
      </w:r>
      <w:r>
        <w:lastRenderedPageBreak/>
        <w:t xml:space="preserve">de los convenios y tratados de derechos humanos de los que España es parte, siendo uno de los básicos el Convenio europeo para la protección de los derechos humanos y de las libertades fundamentales interpretado por el Tribunal de Estrasburgo. Ninguna razón jurídica se opone al reconocimiento de esta noción de conexión o de indivisibilidad de los derechos, máxime cuando la jurisprudencia de este Tribunal lo ha hecho ya con el derecho a la asistencia jurídica gratuita, como se ha apuntado, y con el derecho al medio ambiente (STC 16/2004, de 23 de febrero, en la que se citan, entre otras, la conocida STEDH de 19 de febrero de 1998, asunto </w:t>
      </w:r>
      <w:r w:rsidRPr="00A90898">
        <w:rPr>
          <w:i/>
        </w:rPr>
        <w:t>López Ostra c. España</w:t>
      </w:r>
      <w:r>
        <w:t>). Si se ha admitido que ciertos daños ambientales, como el ruido, incluso cuando no pongan en riesgo la salud de las personas, pueden atentar contra el derecho al respeto de su vida privada y familiar, y sin duda atentan contra el derecho a la integridad física y moral cuando “la exposición continuada a unos niveles intensos de ruido ponga en grave peligro la salud de las personas” (STC 16/2004, de 23 de febrero, FJ 4), ninguna razón hay para negar que los riesgos para la salud derivados de una determinada política pública, pueden asimismo afectar al derecho a la integridad física y moral y, eventualmente, al propio y fundamental derecho a la vida de los individuos. El razonamiento es equivalente.</w:t>
      </w:r>
    </w:p>
    <w:p w:rsidR="00A90898" w:rsidRDefault="00A90898" w:rsidP="00A90898">
      <w:pPr>
        <w:pStyle w:val="TextoNormal"/>
      </w:pPr>
    </w:p>
    <w:p w:rsidR="00A90898" w:rsidRDefault="00A90898" w:rsidP="00A90898">
      <w:pPr>
        <w:pStyle w:val="TextoNormal"/>
      </w:pPr>
      <w:r>
        <w:t>De las anteriores afirmaciones se infiere que la interdicción de afectar por medio de un decreto-ley “a los derechos de los ciudadanos reconocidos en el Título I CE” se proyecta indefectiblemente al derecho a la salud, sin necesidad de entrar a valorar si se trata de un derecho fundamental, un principio rector, un valor de relevancia constitucional o una mera orientación dirigida al legislador. Poco importa cómo se defina o conceptualice el derecho a la salud, porque, por encima de todas esas consideraciones, se halla la conexión instrumental e innegable que se deriva del recurso interpretativo al art. 10.2 CE entre los arts. 43 y 15 de la Constitución, recurso que supone que cualquier afectación normativa del derecho a la asistencia sanitaria y a la salud ha de proyectarse, necesariamente, sobre el derecho a la vida y la integridad física y moral de los individuos.</w:t>
      </w:r>
    </w:p>
    <w:p w:rsidR="00A90898" w:rsidRDefault="00A90898" w:rsidP="00A90898">
      <w:pPr>
        <w:pStyle w:val="TextoNormal"/>
      </w:pPr>
    </w:p>
    <w:p w:rsidR="00A90898" w:rsidRDefault="00A90898" w:rsidP="00A90898">
      <w:pPr>
        <w:pStyle w:val="TextoNormal"/>
      </w:pPr>
      <w:r>
        <w:t>3. La conclusión de los razonamientos que se vienen de exponer es de enunciado sencillo: sea cual fuere la inteligencia que se mantenga del ámbito aplicativo asignado a la cláusula de no “afectación” enunciada en el art. 86.1 CE —bien la estrecha de la Sentencia o la más amplia, acorde con la doctrina tradicional de este Tribunal—, la regulación por una norma de urgencia del derecho a la salud ha de respetar el límite material ahí formulado.</w:t>
      </w:r>
    </w:p>
    <w:p w:rsidR="00A90898" w:rsidRDefault="00A90898" w:rsidP="00A90898">
      <w:pPr>
        <w:pStyle w:val="TextoNormal"/>
      </w:pPr>
    </w:p>
    <w:p w:rsidR="00A90898" w:rsidRDefault="00A90898" w:rsidP="00A90898">
      <w:pPr>
        <w:pStyle w:val="TextoNormal"/>
      </w:pPr>
      <w:r>
        <w:t>Desde esta básica conclusión, la cuestión que de inmediato es necesario plantear y dar respuesta es de fácil formulación, consistiendo en discernir si el Real Decreto-ley 16/2012 ha observado o no las condiciones que definen la estructura y el contenido normado de las disposiciones legales dictadas con carácter excepcional por el Gobierno, al amparo de una situación de extraordinaria y urgente necesidad.</w:t>
      </w:r>
    </w:p>
    <w:p w:rsidR="00A90898" w:rsidRDefault="00A90898" w:rsidP="00A90898">
      <w:pPr>
        <w:pStyle w:val="TextoNormal"/>
      </w:pPr>
    </w:p>
    <w:p w:rsidR="00A90898" w:rsidRDefault="00A90898" w:rsidP="00A90898">
      <w:pPr>
        <w:pStyle w:val="TextoNormal"/>
      </w:pPr>
      <w:r>
        <w:t>Por lo pronto, no resulta discutible que la estructura de esta norma de urgencia carece de una vocación de regular de forma general el derecho a la salud. Así se deduce, sin esfuerzo alguno, del simple cómputo de los preceptos objeto de modificación de la Ley 16/2003, de 28 de mayo, de cohesión y calidad del Sistema Nacional de Salud, que es, sin sombra de duda, la disposición que, con carácter prevalente, contiene el régimen general del derecho consagrado en el art. 43 CE. Pero además de proscribir las ordenaciones generales, la cláusula de “no afectación” también prohíbe las regulaciones de los elementos esenciales de los derechos, prohibición que no ha sido respetada por la norma de urgencia a examen.</w:t>
      </w:r>
    </w:p>
    <w:p w:rsidR="00A90898" w:rsidRDefault="00A90898" w:rsidP="00A90898">
      <w:pPr>
        <w:pStyle w:val="TextoNormal"/>
      </w:pPr>
    </w:p>
    <w:p w:rsidR="00A90898" w:rsidRDefault="00A90898" w:rsidP="00A90898">
      <w:pPr>
        <w:pStyle w:val="TextoNormal"/>
      </w:pPr>
      <w:r>
        <w:t xml:space="preserve">Haciendo alarde de un incomprensible desconocimiento de la doctrina de este Tribunal, la exposición de motivos del decreto-ley cuestionado ofrece la prueba más evidente de la transgresión por su contenido normativo de la proscripción de entrar a regular elementos esenciales del derecho protegido por la tan citada cláusula de “no afectación”. Sin reparo alguno, en efecto, el preámbulo afirma que “las medidas que se aplican en el presente real decreto-ley tienen como objetivo fundamental afrontar una reforma </w:t>
      </w:r>
      <w:r w:rsidRPr="00A90898">
        <w:rPr>
          <w:i/>
        </w:rPr>
        <w:t>estructural</w:t>
      </w:r>
      <w:r>
        <w:t xml:space="preserve"> del Sistema Nacional de Salud…” (penúltimo párrafo, apartado II); esto es, una reforma esencial, sustantiva, básica, fundamental o principal del derecho a la salud.</w:t>
      </w:r>
    </w:p>
    <w:p w:rsidR="00A90898" w:rsidRDefault="00A90898" w:rsidP="00A90898">
      <w:pPr>
        <w:pStyle w:val="TextoNormal"/>
      </w:pPr>
    </w:p>
    <w:p w:rsidR="00A90898" w:rsidRDefault="00A90898" w:rsidP="00A90898">
      <w:pPr>
        <w:pStyle w:val="TextoNormal"/>
      </w:pPr>
      <w:r>
        <w:t>Por lo demás, un examen de las concretas modificaciones introducidas por la tan citada norma de urgencia en la ya mencionada Ley 16/2003 corrobora la voluntad del legislador excepcional de alterar algunos de los pilares más estructurales y estructuradores del derecho a la salud. En concreto y, al menos, los tres siguientes: i) el ámbito subjetivo de aplicación de la asistencia sanitaria en España (artículo 1 y disposición transitoria primera); ii) el ámbito objetivo de los servicios del Sistema Nacional de Salud (artículo 2 y disposición transitoria segunda) y iii) la contribución económica de los beneficiarios en el sostenimiento de los medicamentos y productos sanitarios (disposición transitoria tercera).</w:t>
      </w:r>
    </w:p>
    <w:p w:rsidR="00A90898" w:rsidRDefault="00A90898" w:rsidP="00A90898">
      <w:pPr>
        <w:pStyle w:val="TextoNormal"/>
      </w:pPr>
    </w:p>
    <w:p w:rsidR="00A90898" w:rsidRDefault="00A90898" w:rsidP="00A90898">
      <w:pPr>
        <w:pStyle w:val="TextoNormal"/>
      </w:pPr>
      <w:r>
        <w:t>En atención a las razones expuestas, la Sentencia de la que discrepo debió declarar la inconstitucionalidad y nulidad de los preceptos de la norma de urgencia reguladores de elementos esenciales del derecho a la salud.</w:t>
      </w:r>
    </w:p>
    <w:p w:rsidR="00A90898" w:rsidRDefault="00A90898" w:rsidP="00A90898">
      <w:pPr>
        <w:pStyle w:val="TextoNormal"/>
      </w:pPr>
    </w:p>
    <w:p w:rsidR="00A90898" w:rsidRDefault="00A90898" w:rsidP="00A90898">
      <w:pPr>
        <w:pStyle w:val="TextoNormal"/>
      </w:pPr>
      <w:r>
        <w:t>III. Sobre la infracción por el Real Decreto-ley 16/2012 del art. 43 CE en lo relativo a la modificación del sistema de protección de la salud del que venían disfrutando los extranjeros sin permiso de residencia.</w:t>
      </w:r>
    </w:p>
    <w:p w:rsidR="00A90898" w:rsidRDefault="00A90898" w:rsidP="00A90898">
      <w:pPr>
        <w:pStyle w:val="TextoNormal"/>
      </w:pPr>
    </w:p>
    <w:p w:rsidR="00A90898" w:rsidRDefault="00A90898" w:rsidP="00A90898">
      <w:pPr>
        <w:pStyle w:val="TextoNormal"/>
      </w:pPr>
      <w:r>
        <w:t>1. Como ya he hecho constar, la presente resolución, origen de mi disentimiento, no estima las quejas sobre las lesiones por el decreto-ley de las garantías que ordenan el poder normativo excepcional ejercitado por el Gobierno. Esta decisión obliga, como no puede ser de otro modo, a examinar y valorar el resto de argumentos de fondo planteados por la parte recurrente.</w:t>
      </w:r>
    </w:p>
    <w:p w:rsidR="00A90898" w:rsidRDefault="00A90898" w:rsidP="00A90898">
      <w:pPr>
        <w:pStyle w:val="TextoNormal"/>
      </w:pPr>
    </w:p>
    <w:p w:rsidR="00A90898" w:rsidRDefault="00A90898" w:rsidP="00A90898">
      <w:pPr>
        <w:pStyle w:val="TextoNormal"/>
      </w:pPr>
      <w:r>
        <w:t>En relación con este control, mi disenso se centra exclusivamente en la cuestión relativa a la infracción del art. 43 CE llevada a cabo por la norma impugnada a resultas de la modificación del sistema de protección de la salud del que venían disfrutando, hasta la entrada en vigor del Real Decreto-ley 16/2012, los extranjeros sin permiso de residencia en España. Esa modificación —y se trata de una constatación necesaria de todo punto para entender el núcleo de mi discrepancia— es claramente regresiva en la medida en que excluye del sistema de prestación sanitaria pública y gratuita a los citados extranjeros, salvo a los menores y a las mujeres embarazadas y en situación de post-parto y en los supuestos de urgencias médicas.</w:t>
      </w:r>
    </w:p>
    <w:p w:rsidR="00A90898" w:rsidRDefault="00A90898" w:rsidP="00A90898">
      <w:pPr>
        <w:pStyle w:val="TextoNormal"/>
      </w:pPr>
    </w:p>
    <w:p w:rsidR="00A90898" w:rsidRDefault="00A90898" w:rsidP="00A90898">
      <w:pPr>
        <w:pStyle w:val="TextoNormal"/>
      </w:pPr>
      <w:r>
        <w:t xml:space="preserve">No estará de más comenzar por recordar que el art. 3.1 a) de la Ley 16/2003, de cohesión y calidad del Sistema Nacional de Salud en su versión anterior, remitía al art. 12 de la Ley Orgánica sobre derechos y libertades de los extranjeros en España (LOEx) que, en la redacción dada por la Ley Orgánica 2/2009, reconocía el derecho a la asistencia sanitaria en las </w:t>
      </w:r>
      <w:r>
        <w:lastRenderedPageBreak/>
        <w:t>mismas condiciones que los españoles a los extranjeros que se encontrasen en España, siempre que estuvieran inscritos en el padrón del municipio en el que tuvieran su domicilio habitual. La disposición final tercera del Real Decreto-ley 16/2012, de 20 de abril, apresta una nueva redacción del art. 12 LOEx, que dispone que los extranjeros tienen derecho a la asistencia sanitaria en los términos previstos en la legislación vigente en materia sanitaria. Por este lado, se ha producido una inversión del anterior reenvío, debiendo ahora acudirse al art. 3 de la Ley 16/2003, que también queda modificada por el Real Decreto-ley 16/2012, en los términos cuyo regularidad constitucional se discute, y que redefine la condición de asegurado.</w:t>
      </w:r>
    </w:p>
    <w:p w:rsidR="00A90898" w:rsidRDefault="00A90898" w:rsidP="00A90898">
      <w:pPr>
        <w:pStyle w:val="TextoNormal"/>
      </w:pPr>
    </w:p>
    <w:p w:rsidR="00A90898" w:rsidRDefault="00A90898" w:rsidP="00A90898">
      <w:pPr>
        <w:pStyle w:val="TextoNormal"/>
      </w:pPr>
      <w:r>
        <w:t>Esta redefinición pretende lograr que el Sistema Nacional de Salud no asuma la asistencia sanitaria de personas que ya la tienen cubierta bien por sus instituciones de seguridad social en origen (en el caso de los ciudadanos comunitarios), bien por esquemas de seguros privados. Pero dicha redefinición lleva aparejada como consecuencia inmediata la exclusión del Sistema Nacional de Salud de los extranjeros sin permiso de residencia, con la salvedad de las excepciones apuntadas.</w:t>
      </w:r>
    </w:p>
    <w:p w:rsidR="00A90898" w:rsidRDefault="00A90898" w:rsidP="00A90898">
      <w:pPr>
        <w:pStyle w:val="TextoNormal"/>
      </w:pPr>
    </w:p>
    <w:p w:rsidR="00A90898" w:rsidRDefault="00A90898" w:rsidP="00A90898">
      <w:pPr>
        <w:pStyle w:val="TextoNormal"/>
      </w:pPr>
      <w:r>
        <w:t>Por tanto, la regulación es claramente regresiva y este Tribunal debería haber realizado, tarea que sencillamente elude, un esfuerzo de motivación para explicar las razones que pueden dotar de la obligada cobertura constitucional a la reversibilidad de los ámbitos subjetivo y objetivo de un derecho social ya alcanzado, como acontece con la universalidad del sistema sanitario público. Vale la pena citar aquí una de las primeras Sentencias del Tribunal en la que, refiriéndose a las conquistas de la mujer en materia de derechos laborales, se argumentaba que “dado el carácter social y democrático del Estado de Derecho que nuestra Constitución erige y la obligación que al Estado imponen los arts. 9.2 y 35 de la Constitución de promover la condiciones para que la igualdad de los individuos y los grupos sean reales y efectivas y la promoción a través del trabajo, sin que en ningún caso pueda hacerse discriminación por razón del sexo, debe entenderse que no se puede privar al trabajador sin razón suficiente para ello de las conquistas sociales ya conseguidas” (STC 81/1982, de 21 de diciembre, FJ 3).</w:t>
      </w:r>
    </w:p>
    <w:p w:rsidR="00A90898" w:rsidRDefault="00A90898" w:rsidP="00A90898">
      <w:pPr>
        <w:pStyle w:val="TextoNormal"/>
      </w:pPr>
    </w:p>
    <w:p w:rsidR="00A90898" w:rsidRDefault="00A90898" w:rsidP="00A90898">
      <w:pPr>
        <w:pStyle w:val="TextoNormal"/>
      </w:pPr>
      <w:r>
        <w:t>Cierto es que en el presente caso no estamos ante un supuesto de discriminación por razón de género en el contexto laboral; pero es más cierto que nos encontramos ante una manifiesta expresión de reversibilidad de un derecho social que, como ya he apuntado y de inmediato he de razonar con más detalle, exige un esfuerzo de motivación a la hora de adoptar determinadas medidas normativas. Así se deduce de los tratados internacionales firmados por España que, en virtud del art. 96 CE, forman parte integrante de nuestro ordenamiento jurídico, algunos de los cuales, precisamente los relativos de derechos humanos, han de actuar como pauta interpretativa obligatoria de los derechos contenidos en el título I CE.</w:t>
      </w:r>
    </w:p>
    <w:p w:rsidR="00A90898" w:rsidRDefault="00A90898" w:rsidP="00A90898">
      <w:pPr>
        <w:pStyle w:val="TextoNormal"/>
      </w:pPr>
    </w:p>
    <w:p w:rsidR="00A90898" w:rsidRDefault="00A90898" w:rsidP="00A90898">
      <w:pPr>
        <w:pStyle w:val="TextoNormal"/>
      </w:pPr>
      <w:r>
        <w:t xml:space="preserve">2. La Sentencia de la que discrepo parte de una falacia al afirmar que el art. 43 CE implica un principio de universalidad del derecho a la salud que se asocia al libre y general acceso a las prestaciones sanitarias públicas, pero que no supone la identificación de un acceso universal al sistema de salud pública de forma gratuita o bonificada con cargo a fondos públicos. No es ese el problema suscitado; no se trata de disociar el derecho de acceso al sistema público sanitario de la gratuidad del modelo de prestaciones sanitarias a fin de afirmar que no se está excluyendo a los extranjeros “irregulares” del derecho de acceso al sistema sanitario, porque “apenas” se les está privando de la condición de gratuidad que no </w:t>
      </w:r>
      <w:r>
        <w:lastRenderedPageBreak/>
        <w:t>forma parte integrante del derecho. Esta condición formará parte o no del derecho a la salud en virtud de una serie de parámetros que la Sentencia no parece tener en cuenta, y que tienen que ver con la disponibilidad de medios económicos de quienes quedan excluidos del sistema y no tienen ninguna alternativa de acceder a prestaciones sanitarias básicas vinculadas a la atención primaria.</w:t>
      </w:r>
    </w:p>
    <w:p w:rsidR="00A90898" w:rsidRDefault="00A90898" w:rsidP="00A90898">
      <w:pPr>
        <w:pStyle w:val="TextoNormal"/>
      </w:pPr>
    </w:p>
    <w:p w:rsidR="00A90898" w:rsidRDefault="00A90898" w:rsidP="00A90898">
      <w:pPr>
        <w:pStyle w:val="TextoNormal"/>
      </w:pPr>
      <w:r>
        <w:t xml:space="preserve">La cuestión no es si el legislador (en este caso el Gobierno ejerciendo funciones de legislador de urgencia) puede imponer el pago de los servicios sanitarios públicos o no. Desde luego, puede hacerlo y de hecho lo hace también para los españoles a través del mecanismo de copago, sin que a ello obste la redacción del art. 43 CE, que no impone un determinado modelo de prestación pública sanitaria, como bien explica la ponencia. La cuestión es si, una vez previsto un sistema universal y gratuito (sea la gratuidad absoluta o relativa) o de altas bonificaciones públicas de acceso a las prestaciones sanitarias destinadas a asegurar un adecuado derecho a la salud, puede excluirse de ese modelo a determinado colectivo cuyos integrantes deberán pagar por los servicios públicos, como si de un prestador privado de servicios sanitarios se tratase, o deberán dirigirse directamente a un servicio privado de salud. Yendo algo más allá en el razonamiento, el tema esencial, el que nos coloca de verdad ante el dilema de la constitucionalidad de la medida que aquí se discute, es si la exclusión de un determinado colectivo puede basarse en un criterio como el origen nacional o la condición administrativa vinculada a la residencia legal, circunstancias éstas que ninguna conexión tienen con la capacidad económica que, al menos </w:t>
      </w:r>
      <w:r w:rsidRPr="00A90898">
        <w:rPr>
          <w:i/>
        </w:rPr>
        <w:t>a priori</w:t>
      </w:r>
      <w:r>
        <w:t>, debería ser la condición determinante para exigir o no el pago de determinados servicios.</w:t>
      </w:r>
    </w:p>
    <w:p w:rsidR="00A90898" w:rsidRDefault="00A90898" w:rsidP="00A90898">
      <w:pPr>
        <w:pStyle w:val="TextoNormal"/>
      </w:pPr>
    </w:p>
    <w:p w:rsidR="00A90898" w:rsidRDefault="00A90898" w:rsidP="00A90898">
      <w:pPr>
        <w:pStyle w:val="TextoNormal"/>
      </w:pPr>
      <w:r>
        <w:t>Para dar respuesta a esta interrogante, la Sentencia expone una argumentación de la que discrepo radicalmente y que acude a la clásica, e inoperante aquí, distinción tripartita en materia de titularidad y ejercicio de los derechos fundamentales de los extranjeros en España, remitiéndose a nuestra jurisprudencia previa y en particular al fundamento jurídico 4 de la STC 236/2007. En este pronunciamiento se reconoció que el art. 13 CE autoriza al legislador a establecer restricciones y limitaciones a algunos derechos, “pero esta posibilidad no es incondicionada por cuanto no podrá afectar a aquellos derechos que son imprescindibles para la garantía de la dignidad de la humana que, conforme al art. 10.1 CE, constituye fundamento del orden político español”, ni “adicionalmente, al contenido delimitado para el derecho por la Constitución o los tratados internacionales suscritos por España” (STC 242/1994, de 20 de julio, FJ 4). De nuestra jurisprudencia se deduce que éste sería el régimen jurídico de derechos tales como el derecho al trabajo (STC 107/1984, de 23 de noviembre, FJ 4), el derecho a la salud (STC 95/2000, de 10 de abril, FJ 3), el derecho a percibir una prestación de desempleo (STC 130/1995, de 11 de septiembre, FJ 2) y también, aunque con matizaciones, el derecho de residencia y desplazamiento en España (SSTC 94/1993, de 22 de marzo, FJ 3; 242/1994, de 20 de julio, FJ 4; 24/2000, de 31 de enero, FJ 4).</w:t>
      </w:r>
    </w:p>
    <w:p w:rsidR="00A90898" w:rsidRDefault="00A90898" w:rsidP="00A90898">
      <w:pPr>
        <w:pStyle w:val="TextoNormal"/>
      </w:pPr>
    </w:p>
    <w:p w:rsidR="00A90898" w:rsidRDefault="00A90898" w:rsidP="00A90898">
      <w:pPr>
        <w:pStyle w:val="TextoNormal"/>
      </w:pPr>
      <w:r>
        <w:t xml:space="preserve">Partiendo del argumento expuesto, la Sentencia concluye que, “conforme a nuestra doctrina, el derecho de los extranjeros a beneficiarse de la asistencia sanitaria será determinado y podrá ser limitado por las normas correspondientes”. El legislador puede tomar en consideración el dato de su situación legal y administrativa en España, y, por ello, exigir a los extranjeros la autorización de su estancia o residencia como presupuesto para el ejercicio de algunos derechos constitucionales que “por su propia naturaleza hacen imprescindible el </w:t>
      </w:r>
      <w:r>
        <w:lastRenderedPageBreak/>
        <w:t>cumplimiento de los requisitos que la misma ley establece para entrar y permanecer en territorio español” (FJ 10). Pero, de nuevo, obvia que el fundamento jurídico 4 de la STC 236/2007, de 7 de noviembre, afirma que “la libertad del legislador se ve asimismo restringida por cuanto las condiciones de ejercicio que establezca respecto de los derechos y libertades de los extranjeros en España sólo serán constitucionalmente válidas si, respetando su contenido esencial (art. 53.1 CE), se dirigen a preservar otros derechos, bienes o intereses constitucionalmente protegidos y guardan adecuada proporcionalidad con la finalidad perseguida”.</w:t>
      </w:r>
    </w:p>
    <w:p w:rsidR="00A90898" w:rsidRDefault="00A90898" w:rsidP="00A90898">
      <w:pPr>
        <w:pStyle w:val="TextoNormal"/>
      </w:pPr>
    </w:p>
    <w:p w:rsidR="00A90898" w:rsidRDefault="00A90898" w:rsidP="00A90898">
      <w:pPr>
        <w:pStyle w:val="TextoNormal"/>
      </w:pPr>
      <w:r>
        <w:t>De este modo, puede calificarse de inconcluso el razonamiento de la Sentencia. Pudiendo estar eventualmente de acuerdo con la idea de que es posible establecer restricciones y limitaciones a las condiciones de ejercicio por los extranjeros de algunos derechos, entre ellos el derecho a la salud, en su vertiente del derecho a la asistencia sanitaria gratuita, la cuestión pendiente y no resuelta adecuadamente por nuestra jurisprudencia previa es discernir si la limitación del derecho en cuestión, en este caso la que se establece en el Decreto-ley 16/2012, es constitucionalmente admisible.</w:t>
      </w:r>
    </w:p>
    <w:p w:rsidR="00A90898" w:rsidRDefault="00A90898" w:rsidP="00A90898">
      <w:pPr>
        <w:pStyle w:val="TextoNormal"/>
      </w:pPr>
    </w:p>
    <w:p w:rsidR="00A90898" w:rsidRDefault="00A90898" w:rsidP="00A90898">
      <w:pPr>
        <w:pStyle w:val="TextoNormal"/>
      </w:pPr>
      <w:r>
        <w:t>Y en esa determinación no ayuda, sino que confunde, la idea presente en la STC 236/2007 y repetida hasta la saciedad después, de que cabe una gradación en la conexión entre derechos y dignidad humana (art. 10 CE) que justifica la mayor o menor injerencia legal en los mismos; en particular cuando se trata de configurar su titularidad por parte de los extranjeros. Esa gradación es sencillamente imposible y no se puede defender desde un planteamiento universalista de los derechos humanos, de los derechos fundamentales, porque todos son igualmente determinantes para garantizar la dignidad humana, sin distinciones ni gradaciones. Y es que para determinar si la exclusión de los inmigrantes sin permiso de residencia del sistema público sanitario es compatible con el reconocimiento del derecho a la salud, resulta más razonable admitir que, pudiendo introducirse límites al ejercicio de los derechos, es preciso que los mismos estén previstos en ley, sean necesarios en una sociedad democrática y sean proporcionales al fin que persiguen, tal y como se apunta en el fundamento jurídico 4 de la STC 236/2007, y en la línea del canon a que somete el Tribunal Europeo de Derechos Humanos las medidas limitativas de derechos sujetas a su supervisión.</w:t>
      </w:r>
    </w:p>
    <w:p w:rsidR="00A90898" w:rsidRDefault="00A90898" w:rsidP="00A90898">
      <w:pPr>
        <w:pStyle w:val="TextoNormal"/>
      </w:pPr>
    </w:p>
    <w:p w:rsidR="00A90898" w:rsidRDefault="00A90898" w:rsidP="00A90898">
      <w:pPr>
        <w:pStyle w:val="TextoNormal"/>
      </w:pPr>
      <w:r>
        <w:t>3. Puede aceptarse que, en el caso a examen, los límites al ejercicio del derecho están previstos en la ley, entendida en sentido amplio y sin perjuicio de las observaciones realizadas en relación con la improcedencia del decreto-ley para regular la materia. Y también pueden entenderse esas restricciones como necesarias en una sociedad democrática, ya que la garantía de la sostenibilidad financiera del sistema público sanitario es un obligado presupuesto para la existencia de ese sistema. Ahora bien, el elemento ausente consiste en que los límites impuestos, la exclusión declarada, no es proporcional al fin que se dice perseguido, que remite a la sostenibilidad financiera del sistema público sanitario.</w:t>
      </w:r>
    </w:p>
    <w:p w:rsidR="00A90898" w:rsidRDefault="00A90898" w:rsidP="00A90898">
      <w:pPr>
        <w:pStyle w:val="TextoNormal"/>
      </w:pPr>
    </w:p>
    <w:p w:rsidR="00A90898" w:rsidRDefault="00A90898" w:rsidP="00A90898">
      <w:pPr>
        <w:pStyle w:val="TextoNormal"/>
      </w:pPr>
      <w:r>
        <w:t xml:space="preserve">En primer término porque a la medida le falta la mínima coherencia con la finalidad pretendida, o al menos declarada, que es garantizar la sostenibilidad del sistema, al no haber tenido en cuenta la capacidad económica de aquellos a quienes se excluye. Quien carece de medios económicos para subvenir a sus necesidades sanitarias ni va a pagar la asistencia en el servicio público, ni va a derivar a un servicio privado, terminando en numerosas ocasiones por hacer uso del servicio público de urgencias, que sí está previsto independientemente de la situación económica y de la condición administrativa del usuario. En el ATC 239/2012, </w:t>
      </w:r>
      <w:r>
        <w:lastRenderedPageBreak/>
        <w:t>de 12 de diciembre, FJ 5, el Pleno del Tribunal Constitucional reconoció esta posibilidad, así como la dificultad de cuantificar en términos económicos los perjuicios asociados al mantenimiento de los extranjeros “irregulares” en el marco del sistema público sanitario. Esta idea abunda en nuestro argumento: si no fue posible para el Estado, representado en el procedimiento incidental que resolvió el ATC 239/2012, cuantificar el perjuicio económico derivado del hecho de que la Comunidad Autónoma del País Vasco mantuviera a los extranjeros sin permiso de residencia en el sistema de salud ¿cómo puede calificarse la medida de exclusión coherente y proporcionada con la finalidad de estabilidad financiera del modelo de prestación sanitaria pública? Es sencillamente imposible y el argumento de la Sentencia se basa en un simple voluntarismo o, si se prefiere, en un acto de fe con las afirmaciones proclamadas por el legislador de urgencia.</w:t>
      </w:r>
    </w:p>
    <w:p w:rsidR="00A90898" w:rsidRDefault="00A90898" w:rsidP="00A90898">
      <w:pPr>
        <w:pStyle w:val="TextoNormal"/>
      </w:pPr>
    </w:p>
    <w:p w:rsidR="00A90898" w:rsidRDefault="00A90898" w:rsidP="00A90898">
      <w:pPr>
        <w:pStyle w:val="TextoNormal"/>
      </w:pPr>
      <w:r>
        <w:t xml:space="preserve">Además, la medida normativa cuya constitucionalidad se cuestiona deja fuera del sistema de prestaciones públicas sanitarias a un colectivo particularmente vulnerable por su condición administrativa y por su situación económica, un colectivo en riesgo de exclusión social, sin tener en cuenta que su falta de recursos económicos les dejará extramuros de cualquier fórmula de asistencia sanitaria, poniendo en riesgo su salud y su integridad física. Quizá ese riesgo no sea grave, porque en esos casos pueden acudir a la asistencia de urgencia; pero esta valoración sólo puede contrastarse </w:t>
      </w:r>
      <w:r w:rsidRPr="00A90898">
        <w:rPr>
          <w:i/>
        </w:rPr>
        <w:t>a posteriori</w:t>
      </w:r>
      <w:r>
        <w:t>, cuando el daño en la salud ya se haya producido, daño éste que, en muchas ocasiones, puede ser ya irreversible.</w:t>
      </w:r>
    </w:p>
    <w:p w:rsidR="00A90898" w:rsidRDefault="00A90898" w:rsidP="00A90898">
      <w:pPr>
        <w:pStyle w:val="TextoNormal"/>
      </w:pPr>
    </w:p>
    <w:p w:rsidR="00A90898" w:rsidRDefault="00A90898" w:rsidP="00A90898">
      <w:pPr>
        <w:pStyle w:val="TextoNormal"/>
      </w:pPr>
      <w:r>
        <w:t xml:space="preserve">Es en este punto donde conviene recordar las obligaciones positivas de los Estados derivadas del art. 2 del Convenio de Roma. El Tribunal de Estrasburgo viene manifestando de manera tan reiterada como constante —y esta Sentencia parece olvidarlo— que el mencionado pasaje del Convenio europeo para la protección de los derechos humanos y de las libertades fundamentales insta a los Estados firmantes no sólo a abstenerse de provocar la muerte de manera intencional e ilegalmente, sino que además les obliga a tomar medidas apropiadas para salvaguardar el derecho a la vida de las personas que se sitúan bajo su jurisdicción, por lo que no puede excluirse que actos y omisiones de las autoridades en el ámbito de la política de salud puedan, en ciertas circunstancias, comprometer su responsabilidad conforme al artículo 2 (entre otras, las SSTEDH </w:t>
      </w:r>
      <w:r w:rsidRPr="00A90898">
        <w:rPr>
          <w:i/>
        </w:rPr>
        <w:t>Powell c. Reino Unido</w:t>
      </w:r>
      <w:r>
        <w:t xml:space="preserve">, 4 de mayo de 2000, y </w:t>
      </w:r>
      <w:r w:rsidRPr="00A90898">
        <w:rPr>
          <w:i/>
        </w:rPr>
        <w:t>Nitecki c. Polonia</w:t>
      </w:r>
      <w:r>
        <w:t xml:space="preserve"> de 21 de marzo de 2002). En consecuencia, la decisión de excluir a determinado colectivo del sistema de prestaciones sanitarias gratuitas, aunque resulte una opción posible dentro de la determinación de la política nacional de salud y por justificado que pueda estar desde el ámbito de la eficiencia económica del modelo, puede comprometer la responsabilidad del Estado conforme al art. 2 CEDH en los términos descritos. Un informe del año 2011 de la Agencia de Derechos Fundamentales de la Unión Europea (</w:t>
      </w:r>
      <w:r w:rsidRPr="00A90898">
        <w:rPr>
          <w:i/>
        </w:rPr>
        <w:t>L’accès aux soins de santé des migrants en situation irrégulière dans 1’ États membres de l’Union européenne/ Migrants in an irregular situation: access to healthcare in 10 European Union Member States</w:t>
      </w:r>
      <w:r>
        <w:t>) ha puesto de relieve los riesgos reales de la exclusión y su impacto en los derechos a la vida y la integridad física de las personas migrantes.</w:t>
      </w:r>
    </w:p>
    <w:p w:rsidR="00A90898" w:rsidRDefault="00A90898" w:rsidP="00A90898">
      <w:pPr>
        <w:pStyle w:val="TextoNormal"/>
      </w:pPr>
    </w:p>
    <w:p w:rsidR="00A90898" w:rsidRDefault="00A90898" w:rsidP="00A90898">
      <w:pPr>
        <w:pStyle w:val="TextoNormal"/>
      </w:pPr>
      <w:r>
        <w:t xml:space="preserve">Por otra parte, el Comité Europeo de Derechos Sociales, encargado de vigilar el cumplimiento de la Carta Social Europea (vigente en España desde su publicación en el “BOE” de 26 de junio de 1980), en las Conclusiones XX-2 referidas a España y datadas en noviembre del año 2014, al hilo de su valoración del Real Decreto-ley 16/2012, recuerda al Estado español cuáles son sus obligaciones positivas en relación con el acceso a la salud de los inmigrantes cualquiera que sea su estatuto jurídico, y apunta que la exclusión de los adultos </w:t>
      </w:r>
      <w:r>
        <w:lastRenderedPageBreak/>
        <w:t>extranjeros “irregulares” del sistema sanitario podría ser contrario al art. 11 de la Carta revisada de 1996.</w:t>
      </w:r>
    </w:p>
    <w:p w:rsidR="00A90898" w:rsidRDefault="00A90898" w:rsidP="00A90898">
      <w:pPr>
        <w:pStyle w:val="TextoNormal"/>
      </w:pPr>
    </w:p>
    <w:p w:rsidR="00A90898" w:rsidRDefault="00A90898" w:rsidP="00A90898">
      <w:pPr>
        <w:pStyle w:val="TextoNormal"/>
      </w:pPr>
      <w:r>
        <w:t>Un argumento adicional debe ser expuesto. Aceptando con un propósito puramente dialéctico que la decisión de excluir a todos los extranjeros sin permiso de residencia del sistema público sanitario, independientemente de su capacidad individual para procurarse una asistencia sanitaria básica, responde a una finalidad legítima y es proporcional a la consecución de tal finalidad, hubiera sido exigible que el legislador —en este caso el Gobierno que se atribuye la potestad legislativa— hubiera aportado una motivación reforzada en sustento de la asunción de la medida en liza. Y ello, por tratarse de una medida regresiva a la que es aplicable la doctrina del Comité del Pacto internacional de derechos económicos sociales y culturales que, en su condición de órgano encargado de vigilar el cumplimiento del Pacto, del que es parte España y que es norma vigente de nuestro ordenamiento desde su publicación en el “BOE” de 30 de abril de 1977, ha señalado, en su observación núm. 14, la necesidad de que los Estados aporten una justificación de las medidas regresivas. Lo hace en los siguientes términos: “§ 32. Al igual que en el caso de los demás derechos enunciados en el Pacto, existe una fuerte presunción de que no son permisibles las medidas regresivas adoptadas en relación con el derecho a la salud. Si se adoptan cualesquiera medidas deliberadamente regresivas, corresponde al Estado Parte demostrar que se han aplicado tras el examen más exhaustivo de todas las alternativas posibles y que esas medidas están debidamente justificadas por referencia a la totalidad de los derechos enunciados en el Pacto en relación con la plena utilización de los recursos máximos disponibles del Estado Parte”. Ninguna justificación de este tipo concurre en este caso, de modo que el Gobierno ha contravenido de manera manifiesta la doctrina predicable de un tratado internacional del que es parte, doctrina que se proyecta sobre la interpretación del art. 43 CE. Desatendiendo los dictados del tratado, se desatienden los límites que se oponen a la injerencia en el precepto constitucional.</w:t>
      </w:r>
    </w:p>
    <w:p w:rsidR="00A90898" w:rsidRDefault="00A90898" w:rsidP="00A90898">
      <w:pPr>
        <w:pStyle w:val="TextoNormal"/>
      </w:pPr>
    </w:p>
    <w:p w:rsidR="00A90898" w:rsidRDefault="00A90898" w:rsidP="00A90898">
      <w:pPr>
        <w:pStyle w:val="TextoNormal"/>
      </w:pPr>
      <w:r>
        <w:t>Por lo demás, y no es lo de menos, no es aceptable el argumento, esgrimido también en la Sentencia, de que el “acceso a las prestaciones sanitarias con cargo a los fondos públicos ya estaba vinculado, en la regulación anterior, a una determinada situación jurídica, como era la inscripción en el padrón del municipio de residencia” (FJ 10). La situación contemplada no era excluyente del ejercicio del derecho, con independencia de que algunas prácticas administrativas inadecuadas impidiesen el acceso de los extranjeros a la inscripción en el padrón, fuera cual fuera su situación administrativa. La inscripción en el padrón se conformaba como mero requisito formal, preordenado a la mejor gestión y organización de los servicios sanitarios públicos, pero no como una condición de ejercicio del derecho.</w:t>
      </w:r>
    </w:p>
    <w:p w:rsidR="00A90898" w:rsidRDefault="00A90898" w:rsidP="00A90898">
      <w:pPr>
        <w:pStyle w:val="TextoNormal"/>
      </w:pPr>
    </w:p>
    <w:p w:rsidR="00A90898" w:rsidRDefault="00A90898" w:rsidP="00A90898">
      <w:pPr>
        <w:pStyle w:val="TextoNormal"/>
      </w:pPr>
      <w:r>
        <w:t xml:space="preserve">Por último, no estará de más recordar que el art. 10. 2 CE es un mandato de ajuste mínimo a los estándares internacionales de protección de los derechos humanos que no debe servir de argumento para no expandir más allá el alcance de los derechos, o para justificar una reversión en el estándar de protección de los derechos reconocidos en nuestra Constitución. El art. 10.2 CE confiere una base de mínimos a partir de la cual los poderes públicos pueden elevar el estándar de protección constitucional de los derechos fundamentales. Pero lo que no es razonable es que la reducción de los estándares de garantía pretenda fundamentarse con la cobertura del art. 10.2 CE. Que los estándares internacionales de protección de los derechos humanos no impongan una serie de medidas positivas a los Estados en un ámbito, </w:t>
      </w:r>
      <w:r>
        <w:lastRenderedPageBreak/>
        <w:t>no justifica la reducción de los estándares internos para ajustarse a los mínimos internacionales.</w:t>
      </w:r>
    </w:p>
    <w:p w:rsidR="00A90898" w:rsidRDefault="00A90898" w:rsidP="00A90898">
      <w:pPr>
        <w:pStyle w:val="TextoNormal"/>
      </w:pPr>
    </w:p>
    <w:p w:rsidR="00A90898" w:rsidRDefault="00A90898" w:rsidP="00A90898">
      <w:pPr>
        <w:pStyle w:val="TextoNormal"/>
      </w:pPr>
      <w:r>
        <w:t xml:space="preserve">Por este conjunto de razones, entiendo que la Sentencia debió declarar la inconstitucional y nulidad del art. </w:t>
      </w:r>
      <w:r w:rsidRPr="00A90898">
        <w:rPr>
          <w:i/>
        </w:rPr>
        <w:t>3 t</w:t>
      </w:r>
      <w:r>
        <w:t>er de la Ley 16/2003, en la redacción establecida por el art. 1.3 del Real Decreto-ley 16/2012, de 20 de abril.</w:t>
      </w:r>
    </w:p>
    <w:p w:rsidR="00A90898" w:rsidRDefault="00A90898" w:rsidP="00A90898">
      <w:pPr>
        <w:pStyle w:val="TextoNormal"/>
      </w:pPr>
    </w:p>
    <w:p w:rsidR="00A90898" w:rsidRDefault="00A90898" w:rsidP="00A90898">
      <w:pPr>
        <w:pStyle w:val="TextoNormal"/>
      </w:pPr>
      <w:r>
        <w:t>Y en este sentido emito mi Voto particular.</w:t>
      </w:r>
    </w:p>
    <w:p w:rsidR="00A90898" w:rsidRDefault="00A90898" w:rsidP="00A90898">
      <w:pPr>
        <w:pStyle w:val="TextoNormal"/>
      </w:pPr>
    </w:p>
    <w:p w:rsidR="00A90898" w:rsidRDefault="00A90898" w:rsidP="00A90898">
      <w:pPr>
        <w:pStyle w:val="TextoNormal"/>
      </w:pPr>
      <w:r>
        <w:t>Madrid, a veintiuno de julio de dos mil dieciséis.</w:t>
      </w:r>
    </w:p>
    <w:p w:rsidR="00A90898" w:rsidRDefault="00A90898" w:rsidP="00A90898">
      <w:pPr>
        <w:pStyle w:val="TextoNormal"/>
      </w:pPr>
    </w:p>
    <w:p w:rsidR="00A90898" w:rsidRDefault="00A90898" w:rsidP="00A90898">
      <w:pPr>
        <w:pStyle w:val="TextoNormalNegritaCentrado"/>
        <w:keepNext/>
      </w:pPr>
      <w:r>
        <w:t>Voto particular que formula el Magistrado don Juan Antonio Xiol Ríos a la Sentencia dictada en el recurso de inconstitucionalidad núm. 4123-2012.</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Pleno en la que se sustenta la Sentencia, manifiesto mi discrepancia con la fundamentación jurídica y con el fallo, que considero que hubiera debido ser parcialmente estimatorio.</w:t>
      </w:r>
    </w:p>
    <w:p w:rsidR="00A90898" w:rsidRDefault="00A90898" w:rsidP="00A90898">
      <w:pPr>
        <w:pStyle w:val="TextoNormal"/>
      </w:pPr>
    </w:p>
    <w:p w:rsidR="00A90898" w:rsidRDefault="00A90898" w:rsidP="00A90898">
      <w:pPr>
        <w:pStyle w:val="TextoNormal"/>
      </w:pPr>
      <w:r>
        <w:t>1. Inconstitucionalidad del Real Decreto-ley por vulneración del art. 86.1 CE, ya que la urgencia y extraordinaria necesidad invocadas para su promulgación no justifica la exclusión de la asistencia sanitaria de determinados colectivos.</w:t>
      </w:r>
    </w:p>
    <w:p w:rsidR="00A90898" w:rsidRDefault="00A90898" w:rsidP="00A90898">
      <w:pPr>
        <w:pStyle w:val="TextoNormal"/>
      </w:pPr>
    </w:p>
    <w:p w:rsidR="00A90898" w:rsidRDefault="00A90898" w:rsidP="00A90898">
      <w:pPr>
        <w:pStyle w:val="TextoNormal"/>
      </w:pPr>
      <w:r>
        <w:t>A mi juicio, hubiera debido estimarse la impugnación relativa al art.1.1 y, por conexión, la del art. 1.2, la de la disposición transitoria primera y la de la disposición final tercera, pues considero que, en relación con estos preceptos, no existe la debida conexión de sentido entre la situación de urgencia que, según el Gobierno, justifica dictar el Decreto-ley y las medidas que los referidos preceptos establecen. Por este motivo, respecto de los preceptos indicados, no puede, a mi juicio, considerarse que concurra la extraordinaria y urgente necesidad que exige el art. 86.1 CE para que el Gobierno pueda dictar este tipo de normas.</w:t>
      </w:r>
    </w:p>
    <w:p w:rsidR="00A90898" w:rsidRDefault="00A90898" w:rsidP="00A90898">
      <w:pPr>
        <w:pStyle w:val="TextoNormal"/>
      </w:pPr>
    </w:p>
    <w:p w:rsidR="00A90898" w:rsidRDefault="00A90898" w:rsidP="00A90898">
      <w:pPr>
        <w:pStyle w:val="TextoNormal"/>
      </w:pPr>
      <w:r>
        <w:t>El art. 1.1 tiene como objeto modificar el art. 3 de la Ley 16/2003, de 28 de mayo, de cohesión y calidad del Sistema Nacional de Salud y efectuar una nueva regulación de la condición de asegurado. Esta nueva regulación determina que queden excluidos de la asistencia sanitaria prestada con fondos públicos por el Sistema Nacional de Salud los extranjeros en situación de irregularidad migratoria (salvo que sean menores de edad o si son mayores edad la asistencia sanitaria sea urgente o sea asistencia durante el embarazo, parto o postparto) y los españoles y extranjeros que residan legalmente en España que no tengan la condición de asegurado o beneficiarios —por no encontrarse en ningún de los supuestos que según el artículo 3.2 de esta norma determinan esta condición— y cuenten con unos ingresos anuales superiores a 100.000 € (Real Decreto 1192/2012 en relación con el nuevo art. 3.3 de la Ley 16/2003).</w:t>
      </w:r>
    </w:p>
    <w:p w:rsidR="00A90898" w:rsidRDefault="00A90898" w:rsidP="00A90898">
      <w:pPr>
        <w:pStyle w:val="TextoNormal"/>
      </w:pPr>
    </w:p>
    <w:p w:rsidR="00A90898" w:rsidRDefault="00A90898" w:rsidP="00A90898">
      <w:pPr>
        <w:pStyle w:val="TextoNormal"/>
      </w:pPr>
      <w:r>
        <w:t xml:space="preserve">La opinión mayoritaria en la que se sustenta la Sentencia considera que esta nueva definición de la condición de asegurados y beneficiario del Sistema Nacional de Salud y la consiguiente exclusión de los colectivos a los que se acaba de hacer referencia de la asistencia sanitaria prestada con cargo a fondos públicos es una medida adecuada para hacer frente a la situación de urgencia y necesidad en la que el Gobierno justifica el dictar el Real </w:t>
      </w:r>
      <w:r>
        <w:lastRenderedPageBreak/>
        <w:t>Decreto-ley, al apreciar que esta regulación tiene como finalidad “concretar, en aras al ahorro de costes y a la mejora de la eficacia del sistema, los sujetos que tienen la condición de asegurados del Sistema Nacional de Salud”. Por ello se sostiene que existe “la conexión de sentido entre la situación de urgencia, derivada de las dificultades por las que atraviesa el sistema sanitario público, y la medida adoptada, en cuanto persigue la reducción de los gastos que se financian con cargo a dicho sistema y se relaciona, por tanto, con su sostenibilidad”.</w:t>
      </w:r>
    </w:p>
    <w:p w:rsidR="00A90898" w:rsidRDefault="00A90898" w:rsidP="00A90898">
      <w:pPr>
        <w:pStyle w:val="TextoNormal"/>
      </w:pPr>
    </w:p>
    <w:p w:rsidR="00A90898" w:rsidRDefault="00A90898" w:rsidP="00A90898">
      <w:pPr>
        <w:pStyle w:val="TextoNormal"/>
      </w:pPr>
      <w:r>
        <w:t>Como he adelantado no comparto esta conclusión. A mi juicio, en este caso para considerar que existe la conexión de sentido entre la medida adoptada y la situación de urgencia que legitima su adopción no basta con apreciar que a través de la misma se pueden reducir gastos, pues las razones por las que el Gobierno ha considerado “imprescindible regular, sin más demora la condición de asegurado” no es que la asunción del coste de la asistencia sanitaria que se presta a esos colectivos no puede ser asumida por el sistema, dadas las dificultades económicas por las que atraviesa, sino que se invocan razones muy distintas. Estas razones, según el preámbulo del Real Decreto-ley impugnado, son, por una parte, que el Tribunal de Cuentas ha puesto “de manifiesto que el Sistema Nacional de Salud está asumiendo, con cargo a sus presupuestos, la asistencia sanitaria de personas que la tienen ya cubierta, bien por sus instituciones de seguridad social en origen, bien por esquemas de seguros privados, lo cual está erosionando enormemente su capacidad financiera e impidiendo que sus gestores puedan seguir realizando mejoras en los servicios”. Junto a ello se alude a los problemas suscitados en relación con el reconocimiento del derecho de asistencia sanitaria a ciudadanos de la Unión Europea. Según se afirma, las Comunidades Autónomas “han extendido el derecho de cobertura sanitaria de forma muy diversa y sin tener en cuenta la legislación europea en materia de aseguramiento, poniendo en riesgo la solvencia del propio Sistema Nacional de Salud y abocándolo a procedimientos de infracción por parte de la Comisión Europea que reclama la aplicación efectiva del principio de igualdad de trato” y también se hace referencia a los problemas que suscita la aplicación del régimen comunitario de compensación sanitaria. Por todo ello, según se afirma en el preámbulo del Real Decreto-ley, “[s]e impone … una clarificación armonizada de la condición de asegurado, a efectos de la prestación de servicios sanitarios y sociosanitarios, de tal forma que ésta quede vinculada de forma efectiva a la financiación por impuestos y al carácter de solidaridad social que el esquema progresivo de los mismos tiene en nuestro país” (apartados II y III del preámbulo del Real Decreto-ley 16/2012).</w:t>
      </w:r>
    </w:p>
    <w:p w:rsidR="00A90898" w:rsidRDefault="00A90898" w:rsidP="00A90898">
      <w:pPr>
        <w:pStyle w:val="TextoNormal"/>
      </w:pPr>
    </w:p>
    <w:p w:rsidR="00A90898" w:rsidRDefault="00A90898" w:rsidP="00A90898">
      <w:pPr>
        <w:pStyle w:val="TextoNormal"/>
      </w:pPr>
      <w:r>
        <w:t>Y razones muy similares fueron las aducidas por la ministra en el debate de convalidación del Real Decreto-ley ahora impugnado en las que, como se recoge en el fundamento jurídico 4 de la Sentencia, se hace expresa referencia a la necesidad de evitar el llamado “turismo sanitario”.</w:t>
      </w:r>
    </w:p>
    <w:p w:rsidR="00A90898" w:rsidRDefault="00A90898" w:rsidP="00A90898">
      <w:pPr>
        <w:pStyle w:val="TextoNormal"/>
      </w:pPr>
    </w:p>
    <w:p w:rsidR="00A90898" w:rsidRDefault="00A90898" w:rsidP="00A90898">
      <w:pPr>
        <w:pStyle w:val="TextoNormal"/>
      </w:pPr>
      <w:r>
        <w:t xml:space="preserve">De ahí que para que pueda apreciarse la necesaria conexión de sentido entre la medida adoptada —la definición de la condición de asegurado y beneficiario— y la situación de urgencia que la justifican —evitar el llamado “turismo sanitario” y que el Sistema Nacional de Salud tenga que asumir el coste de la asistencia sanitaria de personas que ya la tienen cubierta en sus países de origen— sería preciso que mediante la nueva regulación de la condición de usuario que el art. 1.1 del Real Decreto 16/2012 efectúa pudieran solventarse alguno de estos problemas. Sin embargo, la reforma que lleva a cabo este concreto precepto (el art. 1.1) no establece ninguna previsión sobre tales extremos, pues no adopta ninguna </w:t>
      </w:r>
      <w:r>
        <w:lastRenderedPageBreak/>
        <w:t>medida que esté destinada a cumplir ninguna de esas finalidades. La única medida que se deriva de la nueva regulación es la exclusión de los dos colectivos anteriormente señalados [los extranjeros en situación de irregularidad migratoria y la de aquellos españoles o extranjeros que residen legalmente en España que, por no encontrarse en ninguna de las circunstancias que prevé el nuevo art. 3.2 de la Ley 16/2003, no tienen la condición de asegurado o beneficiario del Sistema Nacional de Salud y superan el límite de ingresos que reglamentariamente se establezca (actualmente 100.000 €)] y, como es evidente, esta medida no es adecuada para corregir ni los problemas originados por el “turismo sanitario” ni soluciona los problemas que pueden plantear la asistencia sanitaria a las ciudadanos comunitarios, pues los asistencia sanitaria que se prestaba a los colectivos ahora excluidos no planteaba ninguno de esos problemas.</w:t>
      </w:r>
    </w:p>
    <w:p w:rsidR="00A90898" w:rsidRDefault="00A90898" w:rsidP="00A90898">
      <w:pPr>
        <w:pStyle w:val="TextoNormal"/>
      </w:pPr>
    </w:p>
    <w:p w:rsidR="00A90898" w:rsidRDefault="00A90898" w:rsidP="00A90898">
      <w:pPr>
        <w:pStyle w:val="TextoNormal"/>
      </w:pPr>
      <w:r>
        <w:t>Por todo ello considero que, aunque el presente caso el Gobierno justifique la adopción de este Real Decreto-ley en la graves dificultades económicas por las que atraviesa el Sistema Nacional de Salud, esta justificación de carácter general de la situación de extraordinaria y urgente necesidad que le legitima para adoptar esta norma no permite entender que la exclusión de los referidos colectivos de la asistencia sanitaria prestada con fondos públicos sea una medida que, aunque pueda conllevar un ahorro económico para el Sistema Nacional de Salud, tenga conexión de sentido con la situación de urgencia declarada. Ha de tenerse cuenta que, en este caso, el Gobierno no solo no ha alegado que las razones que le llevan a modificar la condición de asegurado sea reducir gastos, sino que, lo que a estos efectos es más importante, ha fundamentado este cambio normativo en una medidas completamente distintas y que nada tienen que ver con el coste económico que la prestación sanitaria a los colectivos excluidos tienen para el sistema. Por ello, la nueva regulación de la condición de asegurado, al no adecuarse a los fines que según el propio Gobierno ha de cumplir esta regulación —ni tiende a evitar el turismo sanitario ni corrige los problemas que pueda suscitar la prestación de asistencia sanitara a los ciudadanos comunitarios— carece de la necesaria conexión de sentido con la situación de urgencia definida.</w:t>
      </w:r>
    </w:p>
    <w:p w:rsidR="00A90898" w:rsidRDefault="00A90898" w:rsidP="00A90898">
      <w:pPr>
        <w:pStyle w:val="TextoNormal"/>
      </w:pPr>
    </w:p>
    <w:p w:rsidR="00A90898" w:rsidRDefault="00A90898" w:rsidP="00A90898">
      <w:pPr>
        <w:pStyle w:val="TextoNormal"/>
      </w:pPr>
      <w:r>
        <w:t>La circunstancia de que la medida adoptada, al contribuir “al ahorro de costes y a la mejora de la eficiencia del Sistema” puede coadyuvar a la consecución de los fines genéricos que justifican la adopción de este Real Decreto-ley, que es la razón en la que la opinión mayoritaria en la que se sustenta la Sentencia justifica que se cumple el requisito de la conexión de sentido, no es, en mi opinión, argumento bastante para considerar cumplida la referida exigencia. El juicio que a estos efectos realice este Tribunal no puede sustituir, como se ha afirmado reiteradamente, el juicio político del Gobierno, y en este caso el Gobierno ha declarado que la finalidad pretendida con la modificación del régimen jurídico que regula condición de asegurado del sistema de seguridad social era solventar unos problemas que la regulación de la condición de asegurado que establece este Real Decreto-ley no entra a resolver.</w:t>
      </w:r>
    </w:p>
    <w:p w:rsidR="00A90898" w:rsidRDefault="00A90898" w:rsidP="00A90898">
      <w:pPr>
        <w:pStyle w:val="TextoNormal"/>
      </w:pPr>
    </w:p>
    <w:p w:rsidR="00A90898" w:rsidRDefault="00A90898" w:rsidP="00A90898">
      <w:pPr>
        <w:pStyle w:val="TextoNormal"/>
      </w:pPr>
      <w:r>
        <w:t xml:space="preserve">Por todo ello considero que hubiera debido declararse la inconstitucionalidad y nulidad del art. 1.1 del Decreto-ley 16/2012, por el que se modifica el art. 3 de la Ley 16/2003, de 28 de mayo, de cohesión y calidad del Sistema Nacional de Salud y, además, por conexión, la del art. 1.2, la de la disposición transitoria primera y la de la disposición final tercera que modifica el art. 12 de la Ley Orgánica 4/2000, de 11 de enero, sobre derechos y libertades de los extranjeros en España y su integración social. La declaración de nulidad de esta disposición final, aunque no la solicita el Parlamento recurrente, hubiera sido esencial para no </w:t>
      </w:r>
      <w:r>
        <w:lastRenderedPageBreak/>
        <w:t>crear un vacío jurídico en relación con los derechos a la asistencia sanitaria de los extranjeros, que hubiera conllevado la declaración de inconstitucionalidad del referido precepto si mi tesis hubiera prosperado. Debe tenerse en cuenta que si se hubiera anulado el art. 1.1 del Real Decreto-ley 16/2012, no se llevaría a cabo la modificación del art. 3 de la ley 16/2003 y, en consecuencia “reviviría” la redacción anterior de esta norma que reconocía el derecho a la asistencia sanitaria en los términos establecidos en el art. 12 de la Ley de extranjería; precepto que, antes de su modificación por la disposición final 3 de este Decreto-ley, establecía que tenían derecho a la asistencia sanitaria los extranjeros inscritos en el padrón municipal. Por ello, al existir una clara conexión entre el art. 1.1 y la disposición final tercera de este Decreto-ley (conexión que se reconoce expresamente en el apartado III de la exposición de motivos del Real Decreto-ley) hubiera habido que declarar inconstitucional también la referida disposición final.</w:t>
      </w:r>
    </w:p>
    <w:p w:rsidR="00A90898" w:rsidRDefault="00A90898" w:rsidP="00A90898">
      <w:pPr>
        <w:pStyle w:val="TextoNormal"/>
      </w:pPr>
    </w:p>
    <w:p w:rsidR="00A90898" w:rsidRDefault="00A90898" w:rsidP="00A90898">
      <w:pPr>
        <w:pStyle w:val="TextoNormal"/>
      </w:pPr>
      <w:r>
        <w:t>Agotado así el razonamiento formal, me interesa ahora subrayar, finalmente, que el Real Decreto-ley, como medida legislativa de carácter excepcional, está sujeto no solo al control jurídico por parte de este Tribunal, sino, muy señaladamente, al control político por parte del Parlamento, a quien corresponde su convalidación, y de la opinión pública. Por esto resulta esencial que el Gobierno exprese correctamente la situación de extraordinaria y urgente necesidad en que funda la necesidad de su intervención como legislador extraordinario. No es aceptable, especialmente ante medidas de la importancia de la que he venido enunciando, una desviación en la expresión de la urgencia alegada respecto de la que hipotéticamente podría justificar una medida de tal naturaleza. Este defecto, calificado tradicionalmente en el lenguaje propio del Tribunal como “falta de conexión de sentido”, tiene, en este caso, un significado cuya especial importancia salta a la vista.</w:t>
      </w:r>
    </w:p>
    <w:p w:rsidR="00A90898" w:rsidRDefault="00A90898" w:rsidP="00A90898">
      <w:pPr>
        <w:pStyle w:val="TextoNormal"/>
      </w:pPr>
    </w:p>
    <w:p w:rsidR="00A90898" w:rsidRDefault="00A90898" w:rsidP="00A90898">
      <w:pPr>
        <w:pStyle w:val="TextoNormal"/>
      </w:pPr>
      <w:r>
        <w:t>2. Inconstitucionalidad del Real Decreto-ley por vulneración del art. 43 CE, ya que resulta desproporcionado privar del derecho a la protección de la salud a los extranjeros en situación de irregularidad migratoria.</w:t>
      </w:r>
    </w:p>
    <w:p w:rsidR="00A90898" w:rsidRDefault="00A90898" w:rsidP="00A90898">
      <w:pPr>
        <w:pStyle w:val="TextoNormal"/>
      </w:pPr>
    </w:p>
    <w:p w:rsidR="00A90898" w:rsidRDefault="00A90898" w:rsidP="00A90898">
      <w:pPr>
        <w:pStyle w:val="TextoNormal"/>
      </w:pPr>
      <w:r>
        <w:t>El segundo motivo que considero que debería haber llevado a estimar el recurso de inconstitucionalidad, en lo relativo a la completa privación de la asistencia sanitaria al colectivo de extranjeros en situación de irregularidad migratoria —con las excepciones ya reiteradas de la asistencia en casos de minoría de edad, atención de urgencia y en situación de embarazo, parto y postparto—, es que esta modificación legislativa vulnera el art. 43 CE, por suponer un sacrificio desproporcionado del derecho a la protección de la salud de este colectivo.</w:t>
      </w:r>
    </w:p>
    <w:p w:rsidR="00A90898" w:rsidRDefault="00A90898" w:rsidP="00A90898">
      <w:pPr>
        <w:pStyle w:val="TextoNormal"/>
      </w:pPr>
    </w:p>
    <w:p w:rsidR="00A90898" w:rsidRDefault="00A90898" w:rsidP="00A90898">
      <w:pPr>
        <w:pStyle w:val="TextoNormal"/>
      </w:pPr>
      <w:r>
        <w:t>Las razones por las que discrepo con la opinión mayoritaria en la que se sustenta la sentencia sobre este particular son enteramente coincidentes con las expuestas en el apartado “III. Sobre la infracción por el Real Decreto-ley 16/2012 del art. 43 CE en lo relativo a la modificación del sistema de protección de la salud del que venían disfrutando los extranjeros sin permiso de residencia” del Voto particular formulado por el Magistrado don Fernando Valdés Dal-Ré al que me adhiero.</w:t>
      </w:r>
    </w:p>
    <w:p w:rsidR="00A90898" w:rsidRDefault="00A90898" w:rsidP="00A90898">
      <w:pPr>
        <w:pStyle w:val="TextoNormal"/>
      </w:pPr>
    </w:p>
    <w:p w:rsidR="00A90898" w:rsidRDefault="00A90898" w:rsidP="00A90898">
      <w:pPr>
        <w:pStyle w:val="TextoNormal"/>
      </w:pPr>
      <w:r>
        <w:t>Madrid, a veintiuno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9" w:name="SENTENCIA_2016_140"/>
      <w:r>
        <w:lastRenderedPageBreak/>
        <w:t>SENTENCIA 140/2016, de 21 de julio de 2016</w:t>
      </w:r>
    </w:p>
    <w:bookmarkEnd w:id="19"/>
    <w:p w:rsidR="00A90898" w:rsidRDefault="00A90898" w:rsidP="00A90898">
      <w:pPr>
        <w:pStyle w:val="TtuloResolucin"/>
      </w:pPr>
      <w:r>
        <w:t>Pleno</w:t>
      </w:r>
    </w:p>
    <w:p w:rsidR="00A90898" w:rsidRDefault="00A90898" w:rsidP="00A90898">
      <w:pPr>
        <w:pStyle w:val="TtuloBOE"/>
      </w:pPr>
      <w:r>
        <w:t>(BOE núm. 196, de 15 de agosto de 2016)</w:t>
      </w:r>
    </w:p>
    <w:p w:rsidR="00A90898" w:rsidRDefault="00A90898" w:rsidP="00A90898">
      <w:pPr>
        <w:pStyle w:val="TextoNormalCentrado"/>
      </w:pPr>
      <w:r>
        <w:t>ECLI:ES:TC:2016:140</w:t>
      </w:r>
    </w:p>
    <w:p w:rsidR="00A90898" w:rsidRDefault="00A90898" w:rsidP="00A90898">
      <w:pPr>
        <w:pStyle w:val="TextoNormalCentrado"/>
      </w:pPr>
    </w:p>
    <w:p w:rsidR="00A90898" w:rsidRDefault="00A90898" w:rsidP="00A90898">
      <w:pPr>
        <w:pStyle w:val="SntesisDescriptiva"/>
      </w:pPr>
      <w:r>
        <w:t>Recurso de inconstitucionalidad 973-2013. Interpuesto por ciento nueve Diputados del Grupo Parlamentario Socialista en el Congreso de los Diputados respecto de diversos preceptos de la Ley 10/2012, de 20 de noviembre, por la que se regulan determinadas tasas en el ámbito de la Administración de Justicia y del Instituto Nacional de Toxicología y Ciencias Forenses.</w:t>
      </w:r>
    </w:p>
    <w:p w:rsidR="00A90898" w:rsidRDefault="00A90898" w:rsidP="00A90898">
      <w:pPr>
        <w:pStyle w:val="SntesisDescriptiva"/>
      </w:pPr>
    </w:p>
    <w:p w:rsidR="00A90898" w:rsidRDefault="00A90898" w:rsidP="00A90898">
      <w:pPr>
        <w:pStyle w:val="SntesisAnaltica"/>
      </w:pPr>
      <w:r>
        <w:t>Derechos a la tutela judicial efectiva (acceso a la justicia y acceso al recurso) y a la igualdad en la ley; principio de capacidad económica y control de legalidad de la actividad administrativa: nulidad del precepto legal que determina la cuota tributaria de la tasa por el ejercicio de la potestad jurisdiccional en los órdenes civil (recursos de apelación, casación y extraordinario por infracción procesal), contencioso-administrativo y social.</w:t>
      </w:r>
    </w:p>
    <w:p w:rsidR="00A90898" w:rsidRDefault="00A90898" w:rsidP="00A90898">
      <w:pPr>
        <w:pStyle w:val="SntesisAnaltica"/>
      </w:pPr>
    </w:p>
    <w:p w:rsidR="00A90898" w:rsidRDefault="00A90898" w:rsidP="00A90898">
      <w:pPr>
        <w:pStyle w:val="Extracto"/>
      </w:pPr>
      <w:r>
        <w:t>1.</w:t>
      </w:r>
      <w:r>
        <w:tab/>
        <w:t>En nuestro Estado social y democrático de Derecho, que propugna entre otros valores superiores de su ordenamiento jurídico la justicia y la igualdad (art. 1.1 CE), el pago de un tributo no puede obstaculizar el ejercicio de un derecho fundamental. Se declara por tanto que la cuota variable prevista en la norma impugnada resulta inconstitucional por infringir el derecho fundamental de acceso a la jurisdicción y al recurso (art. 24.1 CE), para personas jurídicas [FJ 13].</w:t>
      </w:r>
    </w:p>
    <w:p w:rsidR="00A90898" w:rsidRDefault="00A90898" w:rsidP="00A90898">
      <w:pPr>
        <w:pStyle w:val="Extracto"/>
      </w:pPr>
    </w:p>
    <w:p w:rsidR="00A90898" w:rsidRDefault="00A90898" w:rsidP="00A90898">
      <w:pPr>
        <w:pStyle w:val="Extracto"/>
      </w:pPr>
      <w:r>
        <w:t>2.</w:t>
      </w:r>
      <w:r>
        <w:tab/>
        <w:t>En lo que atañe al pago de tasa judicial por parte de las personas físicas, cabe apreciar la pérdida sobrevenida parcial de objeto del recurso, como consecuencia de la entrada en vigor del Real Decreto-ley 1/2015 y de la Ley 25/2015 [FJ 2].</w:t>
      </w:r>
    </w:p>
    <w:p w:rsidR="00A90898" w:rsidRDefault="00A90898" w:rsidP="00A90898">
      <w:pPr>
        <w:pStyle w:val="Extracto"/>
      </w:pPr>
    </w:p>
    <w:p w:rsidR="00A90898" w:rsidRDefault="00A90898" w:rsidP="00A90898">
      <w:pPr>
        <w:pStyle w:val="Extracto"/>
      </w:pPr>
      <w:r>
        <w:t>3.</w:t>
      </w:r>
      <w:r>
        <w:tab/>
        <w:t>La gratuidad de la justicia es un derecho de configuración legal, por lo que puede ser modulado en función del orden jurisdiccional afectado, del tipo de proceso y de los recursos económicos de los que la Administración de Justicia disponga en cada momento [FJ 3].</w:t>
      </w:r>
    </w:p>
    <w:p w:rsidR="00A90898" w:rsidRDefault="00A90898" w:rsidP="00A90898">
      <w:pPr>
        <w:pStyle w:val="Extracto"/>
      </w:pPr>
    </w:p>
    <w:p w:rsidR="00A90898" w:rsidRDefault="00A90898" w:rsidP="00A90898">
      <w:pPr>
        <w:pStyle w:val="Extracto"/>
      </w:pPr>
      <w:r>
        <w:t>4.</w:t>
      </w:r>
      <w:r>
        <w:tab/>
        <w:t>La inconstitucionalidad de las tasas judiciales no deriva propiamente del mero hecho de su imposición, sino del eventual carácter excesivo de su cuantía [FJ 3].</w:t>
      </w:r>
    </w:p>
    <w:p w:rsidR="00A90898" w:rsidRDefault="00A90898" w:rsidP="00A90898">
      <w:pPr>
        <w:pStyle w:val="Extracto"/>
      </w:pPr>
    </w:p>
    <w:p w:rsidR="00A90898" w:rsidRDefault="00A90898" w:rsidP="00A90898">
      <w:pPr>
        <w:pStyle w:val="Extracto"/>
      </w:pPr>
      <w:r>
        <w:t>5.</w:t>
      </w:r>
      <w:r>
        <w:tab/>
        <w:t>La eficacia del control judicial de la actividad administrativa se anuda a la necesidad de que no se entorpezca injustificadamente la promoción de las correspondientes acciones por quienes ostenten título de legitimación activa para impetrarlas [FJ 3].</w:t>
      </w:r>
    </w:p>
    <w:p w:rsidR="00A90898" w:rsidRDefault="00A90898" w:rsidP="00A90898">
      <w:pPr>
        <w:pStyle w:val="Extracto"/>
      </w:pPr>
    </w:p>
    <w:p w:rsidR="00A90898" w:rsidRDefault="00A90898" w:rsidP="00A90898">
      <w:pPr>
        <w:pStyle w:val="Extracto"/>
      </w:pPr>
      <w:r>
        <w:t>6.</w:t>
      </w:r>
      <w:r>
        <w:tab/>
        <w:t>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20/2012) [FJ 5].</w:t>
      </w:r>
    </w:p>
    <w:p w:rsidR="00A90898" w:rsidRDefault="00A90898" w:rsidP="00A90898">
      <w:pPr>
        <w:pStyle w:val="Extracto"/>
      </w:pPr>
    </w:p>
    <w:p w:rsidR="00A90898" w:rsidRDefault="00A90898" w:rsidP="00A90898">
      <w:pPr>
        <w:pStyle w:val="Extracto"/>
      </w:pPr>
      <w:r>
        <w:lastRenderedPageBreak/>
        <w:t>7.</w:t>
      </w:r>
      <w:r>
        <w:tab/>
        <w:t>El derecho de acceso a un tribunal no es un derecho absoluto, sino que puede comportar restricciones proporcionadas que persigan un objetivo legítimo y no menoscaben el contenido esencial de la tutela judicial efectiva [FJ 5].</w:t>
      </w:r>
    </w:p>
    <w:p w:rsidR="00A90898" w:rsidRDefault="00A90898" w:rsidP="00A90898">
      <w:pPr>
        <w:pStyle w:val="Extracto"/>
      </w:pPr>
    </w:p>
    <w:p w:rsidR="00A90898" w:rsidRDefault="00A90898" w:rsidP="00A90898">
      <w:pPr>
        <w:pStyle w:val="Extracto"/>
      </w:pPr>
      <w:r>
        <w:t>8.</w:t>
      </w:r>
      <w:r>
        <w:tab/>
        <w:t>Las medidas de flexibilidad establecidas en relación con la forma de pago del tributo evitan que su exigencia anticipada pueda representar un obstáculo insuperable para el acceso a la justicia [FJ 6].</w:t>
      </w:r>
    </w:p>
    <w:p w:rsidR="00A90898" w:rsidRDefault="00A90898" w:rsidP="00A90898">
      <w:pPr>
        <w:pStyle w:val="Extracto"/>
      </w:pPr>
    </w:p>
    <w:p w:rsidR="00A90898" w:rsidRDefault="00A90898" w:rsidP="00A90898">
      <w:pPr>
        <w:pStyle w:val="Extracto"/>
      </w:pPr>
      <w:r>
        <w:t>9.</w:t>
      </w:r>
      <w:r>
        <w:tab/>
        <w:t>La proporcionalidad de la medida queda garantizada: si no se lesiona el valor fundamental de la justicia; si no concurre un desequilibrio patente y excesivo o irrazonable entre la medida y la finalidad de la norma; si de la misma se derivan más beneficios o ventajas para el interés general que perjuicios sobre otros intereses en conflicto [FJ 10].</w:t>
      </w:r>
    </w:p>
    <w:p w:rsidR="00A90898" w:rsidRDefault="00A90898" w:rsidP="00A90898">
      <w:pPr>
        <w:pStyle w:val="Extracto"/>
      </w:pPr>
    </w:p>
    <w:p w:rsidR="00A90898" w:rsidRDefault="00A90898" w:rsidP="00A90898">
      <w:pPr>
        <w:pStyle w:val="Extracto"/>
      </w:pPr>
      <w:r>
        <w:t>10.</w:t>
      </w:r>
      <w:r>
        <w:tab/>
        <w:t xml:space="preserve">En el acceso a la justicia funciona con toda su intensidad el principio </w:t>
      </w:r>
      <w:r w:rsidRPr="00A90898">
        <w:rPr>
          <w:i/>
        </w:rPr>
        <w:t>pro actione</w:t>
      </w:r>
      <w:r>
        <w:t>, sin embargo, dicha intensidad disminuye cuando se trata de los posteriores grados procesales que, eventualmente puedan configurarse (STC 37/1995) [FJ 12].</w:t>
      </w:r>
    </w:p>
    <w:p w:rsidR="00A90898" w:rsidRDefault="00A90898" w:rsidP="00A90898">
      <w:pPr>
        <w:pStyle w:val="Extracto"/>
      </w:pPr>
    </w:p>
    <w:p w:rsidR="00A90898" w:rsidRDefault="00A90898" w:rsidP="00A90898">
      <w:pPr>
        <w:pStyle w:val="Extracto"/>
      </w:pPr>
      <w:r>
        <w:t>11.</w:t>
      </w:r>
      <w:r>
        <w:tab/>
        <w:t>La desproporción de la tasa se aprecia desde una perspectiva de disuasión general y previsible del derecho al recurso, sin condicionarla al previo examen de la situación económica de una o varias personas (físicas o jurídicas) recurrentes, ni del importe resultante de aplicar dicho porcentaje a cada recurso concreto. Semejante exigencia hubiera tornado inviable nuestro control en un proceso de objeto abstracto como es el recurso de inconstitucionalidad, en contra de lo dispuesto por la Constitución [art. 161.1 a)] y por nuestra Ley Orgánica [arts. 2.1 a); 10.1 b); y 31 a 34; 38.1, 38.2, 39 y 40 LOTC] [FJ 10].</w:t>
      </w:r>
    </w:p>
    <w:p w:rsidR="00A90898" w:rsidRDefault="00A90898" w:rsidP="00A90898">
      <w:pPr>
        <w:pStyle w:val="Extracto"/>
      </w:pPr>
    </w:p>
    <w:p w:rsidR="00A90898" w:rsidRDefault="00A90898" w:rsidP="00A90898">
      <w:pPr>
        <w:pStyle w:val="Extracto"/>
      </w:pPr>
      <w:r>
        <w:t>12.</w:t>
      </w:r>
      <w:r>
        <w:tab/>
        <w:t>La constitucionalidad de la tasa está supeditada a que se acredite que se haya tenido en cuenta que las cuantías establecidas se adecúan a una capacidad económica que no excede de la que pueda poseer el obligado al pago [FJ 12].</w:t>
      </w:r>
    </w:p>
    <w:p w:rsidR="00A90898" w:rsidRDefault="00A90898" w:rsidP="00A90898">
      <w:pPr>
        <w:pStyle w:val="Extracto"/>
      </w:pPr>
    </w:p>
    <w:p w:rsidR="00A90898" w:rsidRDefault="00A90898" w:rsidP="00A90898">
      <w:pPr>
        <w:pStyle w:val="Extracto"/>
      </w:pPr>
      <w:r>
        <w:t>13.</w:t>
      </w:r>
      <w:r>
        <w:tab/>
        <w:t>El criterio del valor del litigio no guarda relación con el coste del ejercicio de la función jurisdiccional y produce un efecto inhibidor o disuasorio del derecho de interposición de la demanda o recurso correspondiente [FJ 13].</w:t>
      </w:r>
    </w:p>
    <w:p w:rsidR="00A90898" w:rsidRDefault="00A90898" w:rsidP="00A90898">
      <w:pPr>
        <w:pStyle w:val="Extracto"/>
      </w:pPr>
    </w:p>
    <w:p w:rsidR="00A90898" w:rsidRDefault="00A90898" w:rsidP="00A90898">
      <w:pPr>
        <w:pStyle w:val="Extracto"/>
      </w:pPr>
      <w:r>
        <w:t>14.</w:t>
      </w:r>
      <w:r>
        <w:tab/>
        <w:t>Las tasas impugnadas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 [FJ 15].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w:t>
      </w:r>
      <w:r>
        <w:lastRenderedPageBreak/>
        <w:t>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973-2013, interpuesto por ciento nueve Diputados del Grupo Parlamentario Socialista en el Congreso de los Diputados, contra los arts. 1, 2, 3, 5, 6, 7 y 11 de la Ley 10/2012, de 20 de noviembre, por la que se regulan determinadas tasas en el ámbito de la Administración de Justicia y del Instituto Nacional de Toxicología y Ciencias Forenses. Ha intervenido el Abogado del Estado, en la representación que legalmente ostenta.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día 19 de febrero de 2013 tuvo entrada en el Registro General de este Tribunal Constitucional, un escrito presentado por la Procuradora de los Tribunales doña Virginia Aragón Segura, actuando en representación de ciento nueve Diputados, todos ellos debidamente identificados, del Grupo Parlamentario Socialista en el Congreso de los Diputados, por el que se interpuso recurso de inconstitucionalidad contra determinados preceptos de la Ley 10/2012, de 20 de noviembre, por la que se regulan determinadas tasas en el ámbito de la Administración de Justicia y del Instituto Nacional de Toxicología y Ciencias Forenses. En concreto sus arts. 1 (ámbito de aplicación de la tasa), 2 (hecho imponible), 3 (sujeto pasivo), 5 (devengo), 6 (base imponible), 7 (determinación de la cuota tributaria) y 11 (vinculación de la tasa al sistema de justicia gratuita).</w:t>
      </w:r>
    </w:p>
    <w:p w:rsidR="00A90898" w:rsidRDefault="00A90898" w:rsidP="00A90898">
      <w:pPr>
        <w:pStyle w:val="TextoNormal"/>
      </w:pPr>
    </w:p>
    <w:p w:rsidR="00A90898" w:rsidRDefault="00A90898" w:rsidP="00A90898">
      <w:pPr>
        <w:pStyle w:val="TextoNormal"/>
      </w:pPr>
      <w:r>
        <w:t>La fundamentación jurídico-material del recurso se articula en cuatro motivos, a los cuales precede una consideración de carácter general. Según ésta, la Ley 10/2012 supone en su conjunto la vulneración “de diversos preceptos constitucionales, singularmente la del derecho a la tutela judicial efectiva del art. 24.1”, algo no imputable “aisladamente a concretos preceptos legales sino al efecto combinado de los mismos, en tanto que sistema cerrado de recaudación tributaria, que … limita de forma irrazonable y discriminatoria el ejercicio de derechos fundamentales, incorporando soluciones frontalmente contrarias a principios establecidos en el texto constitucional”.</w:t>
      </w:r>
    </w:p>
    <w:p w:rsidR="00A90898" w:rsidRDefault="00A90898" w:rsidP="00A90898">
      <w:pPr>
        <w:pStyle w:val="TextoNormal"/>
      </w:pPr>
    </w:p>
    <w:p w:rsidR="00A90898" w:rsidRDefault="00A90898" w:rsidP="00A90898">
      <w:pPr>
        <w:pStyle w:val="TextoNormal"/>
      </w:pPr>
      <w:r>
        <w:t xml:space="preserve">a) El primer motivo del recurso se titula: “legitimidad del establecimiento de un sistema de tasas en el servicio público de justicia y límites constitucionales” y está dividido a su vez en dos apartados. En el primero de ellos, titulado “1.1. Acceso al Juez y Estado de Derecho”, los recurrentes defienden la importancia que tiene en nuestra “cultura jurídica” la atribución al Estado-Poder Judicial de la función de hetero-composición de los conflictos jurídicos, en vez de optar por el fomento de mecanismos alternativos a la jurisdicción como el arbitraje </w:t>
      </w:r>
      <w:r>
        <w:lastRenderedPageBreak/>
        <w:t>o la mediación, como sucede en los países anglosajones. Como consecuencia, denuncian que la falta de acceso a la jurisdicción produce, además de una vulneración del derecho fundamental a la tutela judicial efectiva del art. 24.1 CE, “una quiebra objetiva del Estado de derecho, que la Constitución incorpora como uno de sus fundamentos (art. 1.1 CE)”.</w:t>
      </w:r>
    </w:p>
    <w:p w:rsidR="00A90898" w:rsidRDefault="00A90898" w:rsidP="00A90898">
      <w:pPr>
        <w:pStyle w:val="TextoNormal"/>
      </w:pPr>
    </w:p>
    <w:p w:rsidR="00A90898" w:rsidRDefault="00A90898" w:rsidP="00A90898">
      <w:pPr>
        <w:pStyle w:val="TextoNormal"/>
      </w:pPr>
      <w:r>
        <w:t>Sostienen los recurrentes que la Ley aquí impugnada se aparta de la línea seguida en estos años por el legislador democrático, tendente a eliminar barreras normativas de acceso al Juez, mientras que esta Ley “inaugura una nueva [línea], de sentido contrario, en la que el argumento de la necesidad de financiación combinado con la naturaleza prestacional del derecho, sirven de pretexto para constreñir el acceso a la jurisdicción por razones exclusivamente económicas, con graves consecuencias para la ciudadanía”.</w:t>
      </w:r>
    </w:p>
    <w:p w:rsidR="00A90898" w:rsidRDefault="00A90898" w:rsidP="00A90898">
      <w:pPr>
        <w:pStyle w:val="TextoNormal"/>
      </w:pPr>
    </w:p>
    <w:p w:rsidR="00A90898" w:rsidRDefault="00A90898" w:rsidP="00A90898">
      <w:pPr>
        <w:pStyle w:val="TextoNormal"/>
      </w:pPr>
      <w:r>
        <w:t>La demanda reconoce que no cabe cuestionar que la financiación de los servicios públicos se lleve a cabo no solamente a través de la vía más habitual de los impuestos, sino también mediante otras figuras tributarias como la tasa, siempre y cuando ello no violente ninguna previsión constitucional, “ni la del artículo 1 (Estado de Derecho), ni la del 24.1 (tutela judicial) ni, en fin, el principio de capacidad económica del artículo 31.1”. Se afirma que la Ley 10/2012 desprecia las cautelas adoptadas en su día tanto por la Ley 25/1986, de 24 de diciembre, “de Supresión de las Tasas Judiciales”, que resolvió abolir éstas, como por la posterior Ley 53/2002, de 30 de diciembre, “de Medidas Fiscales, Administrativas y del Orden Social”, cuyo art. 35 reguló una “tasa por el ejercicio de la potestad jurisdiccional en los órdenes civil y contencioso-administrativo” pero que supuso su reintroducción sólo limitada. En cambio, la Ley que aquí se impugna generaliza la obligación del pago de la tasa judicial, ampliando el hecho imponible a todos los órdenes jurisdiccionales salvo el penal y como sujeto obligado a todas las personas físicas y jurídicas; mientras que la cuantía del tributo se eleva “sin mesura ni fórmulas adecuadas de ponderación y determinación,” lo que vulnera el derecho de acceso a la justicia (art. 24.1 CE).</w:t>
      </w:r>
    </w:p>
    <w:p w:rsidR="00A90898" w:rsidRDefault="00A90898" w:rsidP="00A90898">
      <w:pPr>
        <w:pStyle w:val="TextoNormal"/>
      </w:pPr>
    </w:p>
    <w:p w:rsidR="00A90898" w:rsidRDefault="00A90898" w:rsidP="00A90898">
      <w:pPr>
        <w:pStyle w:val="TextoNormal"/>
      </w:pPr>
      <w:r>
        <w:t>El segundo apartado dentro del primer motivo del recurso, titulado “1.2. La sintonía de la jurisprudencia constitucional y europea con las cautelas hasta entonces observadas por el legislador,” pasa revista a los pronunciamientos efectuados, tanto por este Tribunal en la STC 20/2012, de 16 de febrero, al enjuiciar la constitucionalidad del mencionado art. 35 de la Ley 53/2002 que reimplantó “la tasa por el ejercicio de la potestad jurisdiccional”; como por el Tribunal Europeo de Derechos Humanos (TEDH) en casos de exigencia por el Estado de una tasa para el acceso a la justicia (art. 6.1 del Convenio europeo para la protección de los derechos humanos y de las libertades fundamentales: CEDH). Con base en ellos, afirma la demanda que gravar a las personas físicas convierte a la Ley 10/2012 en una categoría sospechosa desde la perspectiva del derecho fundamental de acceso a la jurisdicción (art. 24.1 CE) y de la garantía de gratuidad de la justicia establecida en el art. 119 CE.</w:t>
      </w:r>
    </w:p>
    <w:p w:rsidR="00A90898" w:rsidRDefault="00A90898" w:rsidP="00A90898">
      <w:pPr>
        <w:pStyle w:val="TextoNormal"/>
      </w:pPr>
    </w:p>
    <w:p w:rsidR="00A90898" w:rsidRDefault="00A90898" w:rsidP="00A90898">
      <w:pPr>
        <w:pStyle w:val="TextoNormal"/>
      </w:pPr>
      <w:r>
        <w:t xml:space="preserve">En el ámbito material, se recuerda que el fundamento jurídico 4 de la STC 20/2012 advirtió sobre las especiales características de los distintos órdenes jurisdiccionales distintos al civil, en orden a la protección del acceso a la justicia; centrando sus críticas a la Ley 10/2012 en la exigencia de tasas en los órdenes contencioso-administrativo y social. En el primero de ellos (contencioso-administrativo), tras afirmar que “[e]s evidente que las tasas no son una prohibición legal expresa, ni un impedimento ‘absoluto e incondicional’ en el acceso a la jurisdicción contencioso-administrativa”, se considera que la imposición de su pago se acuerda “sin atender o modular la especificidad constitucional derivada del mandato </w:t>
      </w:r>
      <w:r>
        <w:lastRenderedPageBreak/>
        <w:t>contenido en el art. 106.1 CE”, especialmente cuando se trata de impugnar actuaciones constitutivas de vías de hecho y disposiciones generales: en el primer caso, porque “cuando la Administración actúa desprovista de título jurídico alguno (vía de hecho) no es razonable exigir a quien en su defensa accede a la jurisdicción el pago anticipado de las tasas judiciales en función de la cuantía del litigio”. Y en el segundo de ellos, porque la Ley impugnada no tiene en cuenta que la interposición de un recurso directo contra una disposición general, por quien se considera afectado por ella, permite, “no sólo la defensa del interés individual del actor sino también una función nomofiláctica y de depuración del ordenamiento jurídico a favor de todos los destinatarios de la norma”. Añadiendo la demanda en este punto, que la regulación de la tasa judicial “no contempla ninguna adaptación de este gravamen a las peculiaridades impugnatorias propias del orden contencioso-administrativo, manteniendo exclusivamente el criterio de la cuantía del asunto, lo que genera, en supuestos como los arriba descritos, situaciones en las que la exigencia del pago de las tasas actúa como una desproporcionada barrera económica en el acceso a la jurisdicción con vulneración del derecho a una tutela judicial efectiva del artículo 24.1 CE”.</w:t>
      </w:r>
    </w:p>
    <w:p w:rsidR="00A90898" w:rsidRDefault="00A90898" w:rsidP="00A90898">
      <w:pPr>
        <w:pStyle w:val="TextoNormal"/>
      </w:pPr>
    </w:p>
    <w:p w:rsidR="00A90898" w:rsidRDefault="00A90898" w:rsidP="00A90898">
      <w:pPr>
        <w:pStyle w:val="TextoNormal"/>
      </w:pPr>
      <w:r>
        <w:t xml:space="preserve">Se recuerda que este Tribunal, en las Sentencias 20/2012, FJ 9; y 190/2012, FJ 2, declaró incompatible la tasa por promover el ejercicio de la potestad jurisdiccional cuando lo elevado de su cuantía impide “en la práctica el ejercicio del derecho fundamental o lo obstaculiza en un caso concreto en términos irrazonables”. Posición que concuerda, se añade en la demanda, con lo declarado en la jurisprudencia del Tribunal Europeo de Derechos Humanos, citando como apoyo varias de sus resoluciones (asunto </w:t>
      </w:r>
      <w:r w:rsidRPr="00A90898">
        <w:rPr>
          <w:i/>
        </w:rPr>
        <w:t>Kreutz contra Polonia</w:t>
      </w:r>
      <w:r>
        <w:t xml:space="preserve">; 26 de julio de 2005, </w:t>
      </w:r>
      <w:r w:rsidRPr="00A90898">
        <w:rPr>
          <w:i/>
        </w:rPr>
        <w:t>Kniat contra Polonia; Weissman y otros contra Rumanía; Lorga contra Rumanía</w:t>
      </w:r>
      <w:r>
        <w:t xml:space="preserve">; 18 de noviembre de 2008, </w:t>
      </w:r>
      <w:r w:rsidRPr="00A90898">
        <w:rPr>
          <w:i/>
        </w:rPr>
        <w:t>Serin contra Turquía</w:t>
      </w:r>
      <w:r>
        <w:t xml:space="preserve">; 7 de febrero de 2008, </w:t>
      </w:r>
      <w:r w:rsidRPr="00A90898">
        <w:rPr>
          <w:i/>
        </w:rPr>
        <w:t>Beian contra Rumanía</w:t>
      </w:r>
      <w:r>
        <w:t xml:space="preserve"> y 4 de marzo de 2008, </w:t>
      </w:r>
      <w:r w:rsidRPr="00A90898">
        <w:rPr>
          <w:i/>
        </w:rPr>
        <w:t>Polejowski contra Polonia</w:t>
      </w:r>
      <w:r>
        <w:t>).</w:t>
      </w:r>
    </w:p>
    <w:p w:rsidR="00A90898" w:rsidRDefault="00A90898" w:rsidP="00A90898">
      <w:pPr>
        <w:pStyle w:val="TextoNormal"/>
      </w:pPr>
    </w:p>
    <w:p w:rsidR="00A90898" w:rsidRDefault="00A90898" w:rsidP="00A90898">
      <w:pPr>
        <w:pStyle w:val="TextoNormal"/>
      </w:pPr>
      <w:r>
        <w:t>b) El segundo motivo del recurso de inconstitucionalidad presentado, lleva por título: “la Ley 10/2012, de 20 de noviembre, por la que se regulan determinadas tasas en el ámbito de la Administración de Justicia y del Instituto Nacional de Toxicología y Ciencias Forenses vulnera los artículos 1, 9.2, 24.1, 106 y 119 de la Constitución”; el cual se divide a su vez en tres apartados.</w:t>
      </w:r>
    </w:p>
    <w:p w:rsidR="00A90898" w:rsidRDefault="00A90898" w:rsidP="00A90898">
      <w:pPr>
        <w:pStyle w:val="TextoNormal"/>
      </w:pPr>
    </w:p>
    <w:p w:rsidR="00A90898" w:rsidRDefault="00A90898" w:rsidP="00A90898">
      <w:pPr>
        <w:pStyle w:val="TextoNormal"/>
      </w:pPr>
      <w:r>
        <w:t>El numerado como 2.1, que se titula: “el efecto disuasorio de la Ley 10/2012 como factor lesivo del derecho a la tutela”, sostiene que la tasa regulada por la Ley 10/2012 produce, por su “extensión y cuantía”, un efecto disuasorio que lesiona el derecho fundamental de acceso. Sostiene para ello que dicho canon de valoración (el posible efecto inhibidor o disuasorio del ejercicio del derecho fundamental) no resulta ajeno a la doctrina de este Tribunal Constitucional, siendo de habitual aplicación en el ámbito del derecho a la igualdad ante la ley y a la no discriminación (art. 14 CE), a propósito de regulaciones normativas o actos de aplicación que causan, por vía indirecta, la lesión del derecho fundamental de que se trate. Dice la demanda que en esta óptica se inscribe “el denominado ‘efecto escalofrío’ (</w:t>
      </w:r>
      <w:r w:rsidRPr="00A90898">
        <w:rPr>
          <w:i/>
        </w:rPr>
        <w:t>chilling effect</w:t>
      </w:r>
      <w:r>
        <w:t>) o efecto inhibidor que algunas sanciones o cargas legales pueden tener sobre el ejercicio de un derecho fundamental, que cuenta con múltiples y estudiadas manifestaciones en la jurisprudencia norteamericana, especialmente en relación con la libertad de expresión”.</w:t>
      </w:r>
    </w:p>
    <w:p w:rsidR="00A90898" w:rsidRDefault="00A90898" w:rsidP="00A90898">
      <w:pPr>
        <w:pStyle w:val="TextoNormal"/>
      </w:pPr>
    </w:p>
    <w:p w:rsidR="00A90898" w:rsidRDefault="00A90898" w:rsidP="00A90898">
      <w:pPr>
        <w:pStyle w:val="TextoNormal"/>
      </w:pPr>
      <w:r>
        <w:t xml:space="preserve">En referencia a la imposición de la tasa impugnada a la generalidad de las personas físicas, se recuerda que no existen fórmulas “ponderativas de la cuota tributaria según la renta </w:t>
      </w:r>
      <w:r>
        <w:lastRenderedPageBreak/>
        <w:t>disponible” y que al regir el principio del vencimiento en materia de costas procesales, “muchos ciudadanos optarán por no defender sus derechos e intereses legítimos ante el juez”.</w:t>
      </w:r>
    </w:p>
    <w:p w:rsidR="00A90898" w:rsidRDefault="00A90898" w:rsidP="00A90898">
      <w:pPr>
        <w:pStyle w:val="TextoNormal"/>
      </w:pPr>
    </w:p>
    <w:p w:rsidR="00A90898" w:rsidRDefault="00A90898" w:rsidP="00A90898">
      <w:pPr>
        <w:pStyle w:val="TextoNormal"/>
      </w:pPr>
      <w:r>
        <w:t>En el apartado siguiente, “2.2. La evidencia de los casos concretos”, la demanda argumenta que el funcionamiento de la tasa judicial impugnada producirá dos efectos “absolutamente rechazables”: el primero es que “va a impedir a determinados ciudadanos acceder a los tribunales de justicia como consecuencia de la ausencia de capacidad económica para hacer frente al pago de la tasa”; y el segundo, que resultará “económicamente más gravoso acudir a los tribunales en el ámbito de determinadas reclamaciones puesto que la cantidad necesaria … va a ser superior al contenido de la reclamación”.</w:t>
      </w:r>
    </w:p>
    <w:p w:rsidR="00A90898" w:rsidRDefault="00A90898" w:rsidP="00A90898">
      <w:pPr>
        <w:pStyle w:val="TextoNormal"/>
      </w:pPr>
    </w:p>
    <w:p w:rsidR="00A90898" w:rsidRDefault="00A90898" w:rsidP="00A90898">
      <w:pPr>
        <w:pStyle w:val="TextoNormal"/>
      </w:pPr>
      <w:r>
        <w:t>En cuanto al primer efecto tildado de “rechazable”, el de la falta de recursos económicos suficientes, la demanda afirma que conforme al vigente art. 3.1 la Ley de asistencia jurídica gratuita, han de satisfacer la tasa recurrida quienes “reciban un salario mensual superior a 1.290,60 € mensuales en la unidad familiar de la que forman parte”, por lo que con arreglo a la tabla de cuantías establecida en el art. 7 de la Ley 10/2012, el acceso a la jurisdicción “se ha convertido ya en un imposible para un número muy importante de ciudadanos”. Se destaca por los recurrentes la diferencia que existe entre un recurso de inconstitucionalidad y de amparo, pues mientras estos dos últimos sólo proceden frente a lesiones reales, efectivas y concretas de los derechos protegibles, los recursos de inconstitucionalidad —como es éste— conllevan un “mecanismo de control abstracto” que no requiere verificar lesiones concretas con carácter previo a poder acordar su estimación.</w:t>
      </w:r>
    </w:p>
    <w:p w:rsidR="00A90898" w:rsidRDefault="00A90898" w:rsidP="00A90898">
      <w:pPr>
        <w:pStyle w:val="TextoNormal"/>
      </w:pPr>
    </w:p>
    <w:p w:rsidR="00A90898" w:rsidRDefault="00A90898" w:rsidP="00A90898">
      <w:pPr>
        <w:pStyle w:val="TextoNormal"/>
      </w:pPr>
      <w:r>
        <w:t>Como ejemplos del segundo “efecto rechazable” (el derivado de la desproporción entre el importe de lo reclamado en el proceso y el importe de la tasa), se menciona la inhibición que producirá para la impugnación de sanciones en materia de tráfico y las reclamaciones contra actos municipales de pequeña cuantía. Tal disuasión se considera que conculca los arts. 103.1 y 106.1 CE, por imposibilitar el control de legalidad de la actividad administrativa. También en los casos de reclamaciones por una suma elevada, como sucede por ejemplo en las demandas por responsabilidad extracontractual de la Administración pública por negligencia médica o en materia de daños sufridos en accidentes de circulación de vehículos.</w:t>
      </w:r>
    </w:p>
    <w:p w:rsidR="00A90898" w:rsidRDefault="00A90898" w:rsidP="00A90898">
      <w:pPr>
        <w:pStyle w:val="TextoNormal"/>
      </w:pPr>
    </w:p>
    <w:p w:rsidR="00A90898" w:rsidRDefault="00A90898" w:rsidP="00A90898">
      <w:pPr>
        <w:pStyle w:val="TextoNormal"/>
      </w:pPr>
      <w:r>
        <w:t>Se critica en tercer lugar el efecto disuasorio de la cuantía de la tasa para poder recurrir sentencias, poniéndose como ejemplo la que hay que pagar para impugnar la inadmisión de un recurso contencioso-administrativo, mientras que en el orden social, además de entender insuficiente la exención del 60 por 100 para los trabajadores en los recursos de suplicación y casación, se hace cita de la STC 3/1983 que declaró desproporcionado el recargo al empresario para poder recurrir sentencias de condena.</w:t>
      </w:r>
    </w:p>
    <w:p w:rsidR="00A90898" w:rsidRDefault="00A90898" w:rsidP="00A90898">
      <w:pPr>
        <w:pStyle w:val="TextoNormal"/>
      </w:pPr>
    </w:p>
    <w:p w:rsidR="00A90898" w:rsidRDefault="00A90898" w:rsidP="00A90898">
      <w:pPr>
        <w:pStyle w:val="TextoNormal"/>
      </w:pPr>
      <w:r>
        <w:t xml:space="preserve">El último apartado en que se articula el segundo motivo del recurso, titulado “2.3. La vulneración del artículo 47 de la Carta de derechos fundamentales de la Unión Europea, en relación con el artículo 10.2 de la Constitución española”, sirve a los recurrentes para afirmar que se ha infringido el art. 47 de la Carta de derechos fundamentales de la Unión Europea que recoge el derecho a la tutela jurisdiccional, desatendiendo con ello la doctrina de este Tribunal que, por la vía del art. 10.2 CE, ha extendido la interpretación de los derechos fundamentales a aquellas normas de Derecho comunitario que los consagran. Cita al efecto </w:t>
      </w:r>
      <w:r>
        <w:lastRenderedPageBreak/>
        <w:t>las SSTC 28/1991, FJ 5; 64/1991, FJ 4; y 292/2000, así como la Declaración de este Tribunal 1/2004, de 13 de diciembre, sobre el Tratado por el que se establecía una Constitución para Europa. Se reproducen además varios párrafos de la Sentencia del Tribunal de Justicia de la Unión Europea de 22 de diciembre de 2010, con la remisión que en ella se hace a la jurisprudencia del Tribunal Europeo de Derechos Humanos, la cual también se habría vulnerado según los recurrentes, insistiendo en lo que ya han indicado al respecto.</w:t>
      </w:r>
    </w:p>
    <w:p w:rsidR="00A90898" w:rsidRDefault="00A90898" w:rsidP="00A90898">
      <w:pPr>
        <w:pStyle w:val="TextoNormal"/>
      </w:pPr>
    </w:p>
    <w:p w:rsidR="00A90898" w:rsidRDefault="00A90898" w:rsidP="00A90898">
      <w:pPr>
        <w:pStyle w:val="TextoNormal"/>
      </w:pPr>
      <w:r>
        <w:t>c) La demanda plantea luego como tercer motivo, la “vulneración del derecho a la igualdad del artículo 14 CE”, causada a su parecer por el sistema de tasas judiciales de la Ley 10/2012. Sostiene en este punto que el derecho fundamental a la igualdad queda afectado tanto desde la vertiente del art. 9.2 CE, como la del art. 14 CE, en cuanto comporta un deber prestacional del Estado para la consecución de la igualdad material o sustancial, deber que ha quedado incumplido. Los recurrentes afirman que la Ley impugnada “al establecer una intensa diferencia entre los ciudadanos a la hora de acceder a los Tribunales de Justicia, distinguiendo entre los que tienen suficiencia de recursos para hacer frente a unas elevadas tasas y los que no, infringe totalmente lo dispuesto en los artículos 14 y 9.2 de la Constitución Española”, sin que exista para ello “ninguna justificación objetiva y razonable”, puesto que “ni para financiar el sistema de Justicia Gratuita ni para financiar el sistema judicial tiene sentido la expulsión de una parte de la ciudadanía del acceso a los Tribunales de Justicia”. La demanda conecta esta censura con la inobservancia de la cláusula del Estado Social y Democrático de Derecho del art. 1.1 CE y el valor superior de la Justicia, constituida ésta como una de las “prestaciones mínimas” que debe de proporcionar el Estado social a sus ciudadanos.</w:t>
      </w:r>
    </w:p>
    <w:p w:rsidR="00A90898" w:rsidRDefault="00A90898" w:rsidP="00A90898">
      <w:pPr>
        <w:pStyle w:val="TextoNormal"/>
      </w:pPr>
    </w:p>
    <w:p w:rsidR="00A90898" w:rsidRDefault="00A90898" w:rsidP="00A90898">
      <w:pPr>
        <w:pStyle w:val="TextoNormal"/>
      </w:pPr>
      <w:r>
        <w:t>Desde la óptica del art. 14 CE, se aprecian por los recurrentes supuestos tanto de violaciones directas como de “discriminaciones indirectas” de la igualdad. Empieza por las del segundo tipo, criticando el informe de valoración de impacto de género incluido en la memoria del análisis de impacto normativo del proyecto de ley, por “absolutamente insuficiente” que despacha la cuestión en “dos renglones”, y porque no toma en cuenta la repercusión que tiene el establecimiento de la tasa judicial en “procesos de familia derivados o vinculados con acciones penales o con situaciones en las que la mujer fuese víctima de violencia de género”.</w:t>
      </w:r>
    </w:p>
    <w:p w:rsidR="00A90898" w:rsidRDefault="00A90898" w:rsidP="00A90898">
      <w:pPr>
        <w:pStyle w:val="TextoNormal"/>
      </w:pPr>
    </w:p>
    <w:p w:rsidR="00A90898" w:rsidRDefault="00A90898" w:rsidP="00A90898">
      <w:pPr>
        <w:pStyle w:val="TextoNormal"/>
      </w:pPr>
      <w:r>
        <w:t>Añaden en este punto que pagar unas elevadas tasas judiciales en procesos civiles de divorcio, separación o de alimentos, cuando la mujer se encuentra a menudo en una situación real de inferioridad de ingresos debido a las condiciones del mercado de trabajo, hace que la barrera económica creada por la tasa objeto de impugnación sea mayor para ellas. Al no establecer diferencias en su cuantía por razón del género, ni “un trámite que permita al juzgador aminorarla en función de la particular situación de la mujer en el proceso”, la Ley impugnada incurre en discriminación por razón de sexo, de forma indirecta pero prohibida por el art. 14 CE.</w:t>
      </w:r>
    </w:p>
    <w:p w:rsidR="00A90898" w:rsidRDefault="00A90898" w:rsidP="00A90898">
      <w:pPr>
        <w:pStyle w:val="TextoNormal"/>
      </w:pPr>
    </w:p>
    <w:p w:rsidR="00A90898" w:rsidRDefault="00A90898" w:rsidP="00A90898">
      <w:pPr>
        <w:pStyle w:val="TextoNormal"/>
      </w:pPr>
      <w:r>
        <w:t xml:space="preserve">Por su lado, en cuanto a la “existencia de discriminaciones directas”, se dice en la demanda que pese a las exenciones objetivas previstas en el art. 4.1 a) de la Ley 10/2012, se produce una discriminación entre las uniones no matrimoniales y las que sí lo son, en perjuicio de estas últimas, porque “para plantear cualquier medida relacionada con la guarda y custodia de los hijos menores o alimentos sobre los mismos, constante el matrimonio, se ha de acudir necesariamente a un proceso matrimonial de separación, divorcio o nulidad y, una </w:t>
      </w:r>
      <w:r>
        <w:lastRenderedPageBreak/>
        <w:t>vez dentro del procedimiento matrimonial, solicitar las medidas correspondientes relativas a los hijos menores. Por tanto las parejas unidas por vínculo matrimonial tienen que abonar las tasas correspondientes. Contrariamente las parejas de hecho, al no existir vínculo sobre el que el juzgador tenga que pronunciarse, podrán interponer demanda de reclamación de alimentos o guarda y custodia de los hijos menores de forma exclusiva, siéndoles de aplicación la exención del pago de las tasas prevista en la Ley. Estamos pues, en presencia de una norma que directamente contraviene el derecho a la igualdad en la ley del artículo 14 CE”.</w:t>
      </w:r>
    </w:p>
    <w:p w:rsidR="00A90898" w:rsidRDefault="00A90898" w:rsidP="00A90898">
      <w:pPr>
        <w:pStyle w:val="TextoNormal"/>
      </w:pPr>
    </w:p>
    <w:p w:rsidR="00A90898" w:rsidRDefault="00A90898" w:rsidP="00A90898">
      <w:pPr>
        <w:pStyle w:val="TextoNormal"/>
      </w:pPr>
      <w:r>
        <w:t>d) Finalmente, el recurso de inconstitucionalidad se cierra con un cuarto motivo, titulado “La regulación de las tasas judiciales tampoco se ajusta al principio de capacidad económica previsto en el artículo 31.1 de la Constitución”.</w:t>
      </w:r>
    </w:p>
    <w:p w:rsidR="00A90898" w:rsidRDefault="00A90898" w:rsidP="00A90898">
      <w:pPr>
        <w:pStyle w:val="TextoNormal"/>
      </w:pPr>
    </w:p>
    <w:p w:rsidR="00A90898" w:rsidRDefault="00A90898" w:rsidP="00A90898">
      <w:pPr>
        <w:pStyle w:val="TextoNormal"/>
      </w:pPr>
      <w:r>
        <w:t>En línea con lo defendido previamente, la demanda empieza este apartado recordando que las cuantías de las tasas de la Ley 10/2012 “impiden u obstaculizan de forma irrazonable, en la práctica, el ejercicio del derecho fundamental a la tutela judicial efectiva, por lo que tal conjunto normativo debe ser considerado incompatible con el artículo 24.1 CE”. Prosigue diciendo el escrito que conforme a jurisprudencia del Tribunal Europeo de Derechos Humanos, la capacidad económica del justiciable “es un elemento esencial a la hora de enjuiciar la legitimidad de las tasas judiciales” y que, “si bien es cierto que el sistema tributario justo no se agota en el principio de capacidad económica sino que, en nuestro sistema constitucional, debe tener presente a sus correlatos, en especial el de igualdad y progresividad (artículo 31.1), no es menos cierto que este principio de capacidad económica y sus correlatos inseparables no se agota en los impuestos directos y personales, en especial IRPF, sino que, en nuestro sistema constitucional, se predican, todos ellos, del conjunto del sistema tributario”. De ello deducen dos notas distintivas: “que la capacidad económica no tiene como única manifestación la renta de la persona física” y que “en nuestro sistema constitucional no se puede prescindir del principio de capacidad económica, en la interpretación dada por ese Tribunal y que arranca del conocido e importante FJ 4 de la STC 27/1981”, si bien hay que reconocer, con la STC 221/1992, FJ 5, “que su presencia es diferente en unos tributos u otros”. Aceptando que “en materia de tasas, los principios de capacidad económica y progresividad deben ser matizados”, al ser menos idónea para asegurar la carga tributaria “que exige un sistema tributario para poder ser considerado justo”, ello no quiere decir “que respecto de esta figura tributaria no sea aplicable el artículo 31.1 CE”.</w:t>
      </w:r>
    </w:p>
    <w:p w:rsidR="00A90898" w:rsidRDefault="00A90898" w:rsidP="00A90898">
      <w:pPr>
        <w:pStyle w:val="TextoNormal"/>
      </w:pPr>
    </w:p>
    <w:p w:rsidR="00A90898" w:rsidRDefault="00A90898" w:rsidP="00A90898">
      <w:pPr>
        <w:pStyle w:val="TextoNormal"/>
      </w:pPr>
      <w:r>
        <w:t>En todo caso, prosiguen los recurrentes, “si, como hemos visto, las tasas impugnadas producen incluso una específica infracción del derecho a la tutela judicial efectiva… sea cual sea el alcance” de los principios de capacidad económica y progresividad en relación con las tasas, “lo que no puede hacer la ley es desconocer, en este caso concreto, que un tributo no puede impedir el ejercicio de derechos fundamentales, pues si así lo hiciera, tan incongruente efecto no podrá considerarse que cumple con las exigencias derivadas de lo dispuesto en el artículo 31.1 CE”.</w:t>
      </w:r>
    </w:p>
    <w:p w:rsidR="00A90898" w:rsidRDefault="00A90898" w:rsidP="00A90898">
      <w:pPr>
        <w:pStyle w:val="TextoNormal"/>
      </w:pPr>
    </w:p>
    <w:p w:rsidR="00A90898" w:rsidRDefault="00A90898" w:rsidP="00A90898">
      <w:pPr>
        <w:pStyle w:val="TextoNormal"/>
      </w:pPr>
      <w:r>
        <w:t>La regulación impugnada, por tal motivo, “no supera así el juicio de proporcionalidad que es exigible en esta materia, con infracción de los principios de capacidad económica y progresividad y, en definitiva, con infracción de los principios que definen el constitucional deber de contribuir, produciéndose un resultado ‘especialmente gravoso o desmedido’ en el reparto de la carga tributaria para el sostenimiento de los gastos públicos”.</w:t>
      </w:r>
    </w:p>
    <w:p w:rsidR="00A90898" w:rsidRDefault="00A90898" w:rsidP="00A90898">
      <w:pPr>
        <w:pStyle w:val="TextoNormal"/>
      </w:pPr>
    </w:p>
    <w:p w:rsidR="00A90898" w:rsidRDefault="00A90898" w:rsidP="00A90898">
      <w:pPr>
        <w:pStyle w:val="TextoNormal"/>
      </w:pPr>
      <w:r>
        <w:lastRenderedPageBreak/>
        <w:t>Por último, el suplico de la demanda solicita que se tenga por presentado recurso de inconstitucionalidad “contra los artículos 1, 2, 3, 5, 6, 7 y 11 de la Ley 10/2012”, dictándose sentencia “por la que se declare la inconstitucionalidad y consecuente nulidad de los preceptos mencionados”.</w:t>
      </w:r>
    </w:p>
    <w:p w:rsidR="00A90898" w:rsidRDefault="00A90898" w:rsidP="00A90898">
      <w:pPr>
        <w:pStyle w:val="TextoNormal"/>
      </w:pPr>
    </w:p>
    <w:p w:rsidR="00A90898" w:rsidRDefault="00A90898" w:rsidP="00A90898">
      <w:pPr>
        <w:pStyle w:val="TextoNormal"/>
      </w:pPr>
      <w:r w:rsidRPr="00A90898">
        <w:rPr>
          <w:rStyle w:val="NumeroAFNegritaCaracter"/>
        </w:rPr>
        <w:t>2</w:t>
      </w:r>
      <w:r>
        <w:t>. El Pleno de este Tribunal acordó admitir a trámite el recurso mediante providencia de 12 de marzo de 2013, dando traslado de la demanda y documentos presentados al Congreso de los Diputados y al Senado, por conducto de sus Presidentes, y al Gobierno a través del Ministro de Justicia, conforme establece el art. 34 de la Ley Orgánica del Tribunal Constitucional (LOTC), para que en el plazo de quince días pudieran personarse en el procedimiento y formular las alegaciones que estimaren convenientes. Todo ello con publicación en el “Boletín Oficial del Estado” (núm. 71, de 23 de marzo de 2013).</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día 27 de marzo de 2013, el Abogado del Estado, en la representación que legalmente ostenta, se personó ante este Tribunal y solicitó prórroga por el máximo legal concedido para formular alegaciones, “habida cuenta del número de asuntos que penden ante esta Abogacía”. En virtud de providencia del Pleno de 1 de abril de 2013, se accedió a lo solicitado acordándose la prórroga en ocho días más del plazo para alegaciones.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presentado en el Registro General de este Tribunal el día 4 de abril de 2013, el Vicepresidente Primero del Senado dio traslado del acuerdo de la Mesa de la Cámara adoptado el 2 de abril de 2013, dándose por personada en el procedimiento “y por ofrecida su colaboración a los efectos del art. 88.1 de la Ley Orgánica del Tribunal Constitucional”.</w:t>
      </w:r>
    </w:p>
    <w:p w:rsidR="00A90898" w:rsidRDefault="00A90898" w:rsidP="00A90898">
      <w:pPr>
        <w:pStyle w:val="TextoNormal"/>
      </w:pPr>
    </w:p>
    <w:p w:rsidR="00A90898" w:rsidRDefault="00A90898" w:rsidP="00A90898">
      <w:pPr>
        <w:pStyle w:val="TextoNormal"/>
      </w:pPr>
      <w:r w:rsidRPr="00A90898">
        <w:rPr>
          <w:rStyle w:val="NumeroAFNegritaCaracter"/>
        </w:rPr>
        <w:t>5</w:t>
      </w:r>
      <w:r>
        <w:t>. Con idéntica finalidad, tuvo entrada en este Tribunal el 5 de abril de 2013 un escrito del Presidente del Congreso de los Diputados, de 2 de abril de 2013, por el que da traslado del acuerdo adoptado en la misma fecha por la Mesa de dicha Cámara para su personación en el procedimiento y ofrecer su colaboración, a los efectos del art. 88.1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el día 6 de septiembre 2013, el Abogado del Estado presentó sus alegaciones interesando la inadmisión parcial del recurso y la desestimación del mismo en todo lo demás.</w:t>
      </w:r>
    </w:p>
    <w:p w:rsidR="00A90898" w:rsidRDefault="00A90898" w:rsidP="00A90898">
      <w:pPr>
        <w:pStyle w:val="TextoNormal"/>
      </w:pPr>
    </w:p>
    <w:p w:rsidR="00A90898" w:rsidRDefault="00A90898" w:rsidP="00A90898">
      <w:pPr>
        <w:pStyle w:val="TextoNormal"/>
      </w:pPr>
      <w:r>
        <w:t>Referente a la inadmisión, el escrito plantea tres óbices de procedimiento:</w:t>
      </w:r>
    </w:p>
    <w:p w:rsidR="00A90898" w:rsidRDefault="00A90898" w:rsidP="00A90898">
      <w:pPr>
        <w:pStyle w:val="TextoNormal"/>
      </w:pPr>
    </w:p>
    <w:p w:rsidR="00A90898" w:rsidRDefault="00A90898" w:rsidP="00A90898">
      <w:pPr>
        <w:pStyle w:val="TextoNormal"/>
      </w:pPr>
      <w:r>
        <w:t>a) En primer lugar, en cuanto a la delimitación del objeto del recurso, se aduce que la demanda contiene varias referencias al art. 4 de la Ley 10/2012, pese a que dicho precepto no ha sido formalmente impugnado, lo que impide que este Tribunal pueda efectuar un pronunciamiento de validez sobre él. Se alega asimismo que la demanda no contiene ningún razonamiento de inconstitucionalidad sobre los arts. 5, 6 y 11 de la misma Ley, pese a que estos sí aparecen formalmente impugnados, de modo que al no haber levantado la carga que le incumbe a la parte actora en este punto, no cabe tampoco una decisión de fondo sobre ellos.</w:t>
      </w:r>
    </w:p>
    <w:p w:rsidR="00A90898" w:rsidRDefault="00A90898" w:rsidP="00A90898">
      <w:pPr>
        <w:pStyle w:val="TextoNormal"/>
      </w:pPr>
    </w:p>
    <w:p w:rsidR="00A90898" w:rsidRDefault="00A90898" w:rsidP="00A90898">
      <w:pPr>
        <w:pStyle w:val="TextoNormal"/>
      </w:pPr>
      <w:r>
        <w:lastRenderedPageBreak/>
        <w:t>b) En segundo lugar, en el contexto de una primera consideración general que el escrito titula “Objeto del recurso. Reforma de la Ley 10/2012 por el Real Decreto-ley 3/2013, de 22 de febrero, por el que se modifica el régimen de las tasas en el ámbito de la Administración de Justicia y el sistema de asistencia jurídica gratuita”, el Abogado del Estado sostiene que “en el tiempo que media entre la interposición del presente recurso de inconstitucionalidad y estas alegaciones, la Ley 10/2012 ha sido objeto de una profunda reforma por parte del Real Decreto-ley 3/2013, de 22 de febrero”, reforma que “priva de todo fundamento a las alegaciones de la demanda”.</w:t>
      </w:r>
    </w:p>
    <w:p w:rsidR="00A90898" w:rsidRDefault="00A90898" w:rsidP="00A90898">
      <w:pPr>
        <w:pStyle w:val="TextoNormal"/>
      </w:pPr>
    </w:p>
    <w:p w:rsidR="00A90898" w:rsidRDefault="00A90898" w:rsidP="00A90898">
      <w:pPr>
        <w:pStyle w:val="TextoNormal"/>
      </w:pPr>
      <w:r>
        <w:t>Trae a colación en ese sentido la exposición de motivos de dicho Real Decreto-ley, en cuanto al fin de evitar que la cuantía de la tasa “en casos concretos e individualizados” que resultaban de la Ley original resultase excesiva, lo que se cohonesta con la reforma del beneficio de justicia gratuita incluida en su texto. Atendiendo con ello, dice, a las recomendaciones realizadas por el Defensor del Pueblo en su informe el 12 de febrero de 2013, el legislador ha acordado una disminución para las personas físicas de la escala variable; un límite máximo de la tasa del 50 por 100 si se trata de recurrir sanciones administrativas e, insiste, una reforma además de la Ley 1/1996, previendo la exención de tasas para los beneficiarios de la justicia gratuita y el aumento de los umbrales de renta para obtener ésta.</w:t>
      </w:r>
    </w:p>
    <w:p w:rsidR="00A90898" w:rsidRDefault="00A90898" w:rsidP="00A90898">
      <w:pPr>
        <w:pStyle w:val="TextoNormal"/>
      </w:pPr>
    </w:p>
    <w:p w:rsidR="00A90898" w:rsidRDefault="00A90898" w:rsidP="00A90898">
      <w:pPr>
        <w:pStyle w:val="TextoNormal"/>
      </w:pPr>
      <w:r>
        <w:t>c) Luego de concluir con las consideraciones generales al fondo del recurso —de las que de inmediato se hará resumen— y antes de entrar en el examen particularizado de los preceptos impugnados, el Abogado del Estado alega una tercera objeción de índole procesal, consistente en que la demanda “no razona, como le incumbiría, la inconstitucionalidad de cada uno de los preceptos que impugna, sino que se limita a realizar una alegación de conjunto que no concreta en precepto alguno”, lo que resulta contrario a las exigencias de este Tribunal (cita las SSTC 49/2008, de 9 de abril, FJ 4, y 34/2013, de 14 de febrero FJ 9).</w:t>
      </w:r>
    </w:p>
    <w:p w:rsidR="00A90898" w:rsidRDefault="00A90898" w:rsidP="00A90898">
      <w:pPr>
        <w:pStyle w:val="TextoNormal"/>
      </w:pPr>
    </w:p>
    <w:p w:rsidR="00A90898" w:rsidRDefault="00A90898" w:rsidP="00A90898">
      <w:pPr>
        <w:pStyle w:val="TextoNormal"/>
      </w:pPr>
      <w:r>
        <w:t>Ya sobre las cuestiones de fondo del recurso interpuesto, en una consideración general primera, el escrito del Abogado del Estado pasa revista a cada uno de los preceptos de la Ley 10/2012 objeto de reforma por el Real-Decreto ley 3/2013.</w:t>
      </w:r>
    </w:p>
    <w:p w:rsidR="00A90898" w:rsidRDefault="00A90898" w:rsidP="00A90898">
      <w:pPr>
        <w:pStyle w:val="TextoNormal"/>
      </w:pPr>
    </w:p>
    <w:p w:rsidR="00A90898" w:rsidRDefault="00A90898" w:rsidP="00A90898">
      <w:pPr>
        <w:pStyle w:val="TextoNormal"/>
      </w:pPr>
      <w:r>
        <w:t>A continuación, la consideración general segunda, titulada: “Doctrina constitucional relevante”, da cuenta de los postulados de las SSTC 20/2012, de 16 de febrero, y 79/2012, de 17 de abril, así como la jurisprudencia del Tribunal Europeo de Derechos Humanos y del Tribunal de Justicia de la Unión Europea analizadas en la primera de ellas, la STC 20/2012, en su fundamento jurídico 10, de los que, dice, se extraen varias consecuencias. La primera, que la tasa judicial sólo llegaría a afectar al núcleo del derecho de acceso (art. 24.1 CE) si su cuantía resulta “desproporcionada o irrazonable”. Segunda, que debe distinguirse el diferente grado de protección brindado por la Constitución en el acceso a la jurisdicción y al recurso.</w:t>
      </w:r>
    </w:p>
    <w:p w:rsidR="00A90898" w:rsidRDefault="00A90898" w:rsidP="00A90898">
      <w:pPr>
        <w:pStyle w:val="TextoNormal"/>
      </w:pPr>
    </w:p>
    <w:p w:rsidR="00A90898" w:rsidRDefault="00A90898" w:rsidP="00A90898">
      <w:pPr>
        <w:pStyle w:val="TextoNormal"/>
      </w:pPr>
      <w:r>
        <w:t xml:space="preserve">Y tercera, que en relación al orden contencioso-administrativo “la STC 20/2012, FJ 4, no apreció ninguna especialidad en materia de tasas judiciales”, sino que se limitó a hacer referencia a la plenitud del sometimiento de la actuación administrativa a la ley y al Derecho (art. 103.1 CE), así como a la inexistencia de zonas inmunes al control judicial (art. 106.1 CE). Lo que “prohíbe el art. 24 CE es que el legislador, en términos absolutos e incondicionales, excluya del enjuiciamiento por los Tribunales determinados ámbitos de actuación de </w:t>
      </w:r>
      <w:r>
        <w:lastRenderedPageBreak/>
        <w:t>las Administraciones Públicas”. Resultando también aplicable para este orden jurisdiccional, un distinto canon de control constitucional cuando se trata del derecho de acceso a la jurisdicción y el de acceso al recurso (con cita de la STC 177/2011, FJ 3).</w:t>
      </w:r>
    </w:p>
    <w:p w:rsidR="00A90898" w:rsidRDefault="00A90898" w:rsidP="00A90898">
      <w:pPr>
        <w:pStyle w:val="TextoNormal"/>
      </w:pPr>
    </w:p>
    <w:p w:rsidR="00A90898" w:rsidRDefault="00A90898" w:rsidP="00A90898">
      <w:pPr>
        <w:pStyle w:val="TextoNormal"/>
      </w:pPr>
      <w:r>
        <w:t>Sobre la exigencia de la tasa de la Ley 10/2012 en el orden social, el Abogado del Estado reproduce el pasaje de la STC 20/2012, FJ 4, en el que se formulaba una precisión sobre este ámbito de la Justicia, sin que quepa inferir de ello, precisa, una prohibición a su establecimiento, sin que quepa tampoco denunciar una discriminación por indiferenciación en materia de tasas, conforme tiene dicho el ATC 71/2008, de 26 de febrero, FJ 4.</w:t>
      </w:r>
    </w:p>
    <w:p w:rsidR="00A90898" w:rsidRDefault="00A90898" w:rsidP="00A90898">
      <w:pPr>
        <w:pStyle w:val="TextoNormal"/>
      </w:pPr>
    </w:p>
    <w:p w:rsidR="00A90898" w:rsidRDefault="00A90898" w:rsidP="00A90898">
      <w:pPr>
        <w:pStyle w:val="TextoNormal"/>
      </w:pPr>
      <w:r>
        <w:t>Un tercer bloque de alegaciones generales se titula “Finalidad legítima de las tasas judiciales introducidas por la Ley 10/2012”, donde se defienden los fines que han inspirado la regulación generalizada de la tasa judicial. Partiendo del preámbulo de la Ley, en el que se habla de la mejora de la financiación del sistema judicial y en particular de la asistencia jurídica gratuita, el Abogado del Estado considera necesario tener en cuenta las “excepcionales circunstancias en que se adopta la Ley 10/2012”, las mismas que han conducido a constitucionalizar el principio de estabilidad presupuestaria en el art. 135 CE, en relación con los objetivos de déficit público para los próximos años. En todo caso, con cita del dictamen del Consejo de Estado, que se refiere a los datos de la memoria del análisis del impacto normativo del proyecto de ley, añade el Abogado del Estado que la cantidad estimada por ingresos de tasas judiciales está alejada del total del presupuesto general del Ministerio.</w:t>
      </w:r>
    </w:p>
    <w:p w:rsidR="00A90898" w:rsidRDefault="00A90898" w:rsidP="00A90898">
      <w:pPr>
        <w:pStyle w:val="TextoNormal"/>
      </w:pPr>
    </w:p>
    <w:p w:rsidR="00A90898" w:rsidRDefault="00A90898" w:rsidP="00A90898">
      <w:pPr>
        <w:pStyle w:val="TextoNormal"/>
      </w:pPr>
      <w:r>
        <w:t>La cuarta alegación de su escrito, titulada “Planteamiento general de esta contestación”, señala que si bien en la demanda se estiman como infringidos los arts. 14, 24, 31, 103, 106 y 116 [</w:t>
      </w:r>
      <w:r w:rsidRPr="00A90898">
        <w:rPr>
          <w:i/>
        </w:rPr>
        <w:t>rectius</w:t>
      </w:r>
      <w:r>
        <w:t>: 119] de la Constitución, en realidad todas las vulneraciones se reconducen a la de su art. 24 (acceso a la tutela judicial efectiva), lo que lleva a estudiar los preceptos impugnados “desde ese canon de enjuiciamiento, que es el seguido por nuestro Tribunal Constitucional y por el TEDH”. A partir de aquí, el escrito va deteniéndose entonces (alegaciones quinta a décima, inclusive), en cada uno de los preceptos recurridos en la demanda, defendiendo la constitucionalidad de todos ellos:</w:t>
      </w:r>
    </w:p>
    <w:p w:rsidR="00A90898" w:rsidRDefault="00A90898" w:rsidP="00A90898">
      <w:pPr>
        <w:pStyle w:val="TextoNormal"/>
      </w:pPr>
    </w:p>
    <w:p w:rsidR="00A90898" w:rsidRDefault="00A90898" w:rsidP="00A90898">
      <w:pPr>
        <w:pStyle w:val="TextoNormal"/>
      </w:pPr>
      <w:r>
        <w:t>a) En cuanto al art. 1 de la Ley 10/2012, se advierte que al no aparecer en la demanda ningún cuestionamiento sobre la competencia del Estado para la fijación de las tasas por el ejercicio de la potestad jurisdiccional, cabe entender que este precepto se impugna únicamente por su extensión al orden social, “aunque también parece discutirse su imposición en el orden contencioso-administrativo”. Ninguna tacha le merece sin embargo al Abogado del Estado tal disposición, insistiendo en que de la doctrina de este Tribunal y la del Tribunal Europeo de Derechos Humanos, resulta “la plena legitimidad” de su imposición en ambos órdenes jurisdiccionales.</w:t>
      </w:r>
    </w:p>
    <w:p w:rsidR="00A90898" w:rsidRDefault="00A90898" w:rsidP="00A90898">
      <w:pPr>
        <w:pStyle w:val="TextoNormal"/>
      </w:pPr>
    </w:p>
    <w:p w:rsidR="00A90898" w:rsidRDefault="00A90898" w:rsidP="00A90898">
      <w:pPr>
        <w:pStyle w:val="TextoNormal"/>
      </w:pPr>
      <w:r>
        <w:t xml:space="preserve">b) En relación con el artículo 2 (hecho imponible de la tasa), el escrito de alegaciones replica que la demanda no haya razonado su inconstitucionalidad sino que se ha limitado a poner ejemplos que debieron dar lugar a la exención de su pago, recogiendo los recurrentes ciertas sugerencias hechas por el Consejo de Estado. Afirma que el legislador no obstante goza de libertad de configuración para exigir dicho pago o declararlo exento en aquellos ámbitos de la Justicia administrativa que considere pertinentes, en el primer caso (imposición) gravando los recursos contencioso-administrativo contra vías de hecho o en su caso disposiciones generales y, en el segundo supuesto declarando exentos los recursos que se </w:t>
      </w:r>
      <w:r>
        <w:lastRenderedPageBreak/>
        <w:t>interpongan en caso de silencio negativo e inactividad prestacional de la Administración, conforme al art. 4.1 f) de la Ley impugnada.</w:t>
      </w:r>
    </w:p>
    <w:p w:rsidR="00A90898" w:rsidRDefault="00A90898" w:rsidP="00A90898">
      <w:pPr>
        <w:pStyle w:val="TextoNormal"/>
      </w:pPr>
    </w:p>
    <w:p w:rsidR="00A90898" w:rsidRDefault="00A90898" w:rsidP="00A90898">
      <w:pPr>
        <w:pStyle w:val="TextoNormal"/>
      </w:pPr>
      <w:r>
        <w:t>En el orden civil, por su parte, tras la redacción del art. 4.1 a) de la propia Ley 10/2012 por el Real Decreto-ley 3/2013, se alega por el Abogado del Estado que han quedado exentos del pago de la tasa los procesos matrimoniales excepto para reclamaciones pecuniarias, se deduzcan éstas de manera exclusiva o junto a otras pretensiones de diversa naturaleza. Demuestra con ello el legislador la “diligencia especial” que le reclamaba el Tribunal Europeo de Derechos Humanos cuando se trata de asuntos exclusivamente no patrimoniales en materia de familia (cita al respecto la STED</w:t>
      </w:r>
      <w:r w:rsidRPr="00A90898">
        <w:rPr>
          <w:i/>
        </w:rPr>
        <w:t>H Kniat contra Polon</w:t>
      </w:r>
      <w:r>
        <w:t>ia).</w:t>
      </w:r>
    </w:p>
    <w:p w:rsidR="00A90898" w:rsidRDefault="00A90898" w:rsidP="00A90898">
      <w:pPr>
        <w:pStyle w:val="TextoNormal"/>
      </w:pPr>
    </w:p>
    <w:p w:rsidR="00A90898" w:rsidRDefault="00A90898" w:rsidP="00A90898">
      <w:pPr>
        <w:pStyle w:val="TextoNormal"/>
      </w:pPr>
      <w:r>
        <w:t>c) Del art. 3.1 de la Ley (sujeto obligado), el escrito de alegaciones no ve tacha específica de inconstitucionalidad sino una queja de los recurrentes por no haber previsto una exención a las personas físicas en general y, subsidiariamente en particular, a los trabajadores en el orden social. Sobre el primer aspecto (exigencia generalizada a las personas físicas), se afirma que el Real Decreto-ley 3/2013 ha acordado una rebaja sustancial de la cantidad variable que deben de pagar y que el art. 3.1 de la Ley 1/1996, asimismo, ha elevado los umbrales de renta que excluyen el derecho al beneficio de justicia gratuita. Además, el art. 5.1 de esta última Ley faculta a la Comisión de asistencia jurídica gratuita competente en cada caso, para conceder el beneficio a quienes dispongan de ingresos que no excedan del quíntuplo del indicador público de renta de efectos múltiples.</w:t>
      </w:r>
    </w:p>
    <w:p w:rsidR="00A90898" w:rsidRDefault="00A90898" w:rsidP="00A90898">
      <w:pPr>
        <w:pStyle w:val="TextoNormal"/>
      </w:pPr>
    </w:p>
    <w:p w:rsidR="00A90898" w:rsidRDefault="00A90898" w:rsidP="00A90898">
      <w:pPr>
        <w:pStyle w:val="TextoNormal"/>
      </w:pPr>
      <w:r>
        <w:t>En cuanto a la exención del 60 por 100 a los trabajadores para los recursos de suplicación y casación laborales, considera el Abogado del Estado que con ello se protege adecuadamente el criterio de corrección de la desigualdad originaria que existe entre trabajadores y empresarios, con respeto a la doctrina de este Tribunal. También que al gravar los recursos con una mayor cuantía que la tasa aplicable a los procesos en primera o única instancia, se atiende a la doctrina constitucional que distingue el diferente nivel de tutela entre el derecho de acceso a la jurisdicción y a los recursos.</w:t>
      </w:r>
    </w:p>
    <w:p w:rsidR="00A90898" w:rsidRDefault="00A90898" w:rsidP="00A90898">
      <w:pPr>
        <w:pStyle w:val="TextoNormal"/>
      </w:pPr>
    </w:p>
    <w:p w:rsidR="00A90898" w:rsidRDefault="00A90898" w:rsidP="00A90898">
      <w:pPr>
        <w:pStyle w:val="TextoNormal"/>
      </w:pPr>
      <w:r>
        <w:t>d) El escrito de alegaciones del representante del Gobierno de la Nación pasa después a defender las distintas exenciones objetivas y subjetivas del art. 4 de la Ley recurrida, ante la eventualidad de que este precepto haya querido ser cuestionado por los recurrentes. Destaca en este punto el reconocimiento del beneficio de justicia gratuita a las víctimas en procesos de violencia de género, mediante la reforma del art. 2 g) de la Ley 1/1996 operada por el Real Decreto-ley 3/2013. En todo caso, entiende que la demanda no ofrece argumentación alguna para sostener su inconstitucionalidad.</w:t>
      </w:r>
    </w:p>
    <w:p w:rsidR="00A90898" w:rsidRDefault="00A90898" w:rsidP="00A90898">
      <w:pPr>
        <w:pStyle w:val="TextoNormal"/>
      </w:pPr>
    </w:p>
    <w:p w:rsidR="00A90898" w:rsidRDefault="00A90898" w:rsidP="00A90898">
      <w:pPr>
        <w:pStyle w:val="TextoNormal"/>
      </w:pPr>
      <w:r>
        <w:t>e) Agrupados en la alegación novena, el Abogado del Estado reitera que sobre los arts. 5, 6 y 11 de la Ley 10/2012 formalmente impugnados por los recurrentes, la demanda no contiene tampoco ninguna motivación para sostener su disconformidad con la Constitución.</w:t>
      </w:r>
    </w:p>
    <w:p w:rsidR="00A90898" w:rsidRDefault="00A90898" w:rsidP="00A90898">
      <w:pPr>
        <w:pStyle w:val="TextoNormal"/>
      </w:pPr>
    </w:p>
    <w:p w:rsidR="00A90898" w:rsidRDefault="00A90898" w:rsidP="00A90898">
      <w:pPr>
        <w:pStyle w:val="TextoNormal"/>
      </w:pPr>
      <w:r>
        <w:t xml:space="preserve">f) Se detiene el escrito de alegaciones, a renglón seguido, en la defensa del art. 7 de la Ley 10/2012 referido a la cuantía de la tasa judicial (alegación décima), precepto éste, precisa, “donde cabría centrar las hipotéticas dudas de constitucionalidad que pudiera plantear” sobre la Ley impugnada. Se cuestiona ante todo la estrategia de la demanda de presentar una serie de casos como expresivos de la desproporción de los importes fijados en el art. 7, </w:t>
      </w:r>
      <w:r>
        <w:lastRenderedPageBreak/>
        <w:t>cuando el enjuiciamiento de la constitucionalidad de la Ley debe hacerse “tomando en consideración el caso normal y no las posibles excepciones en la norma” (cita las SSTC 111/2006, de 5 de abril, FJ 8, y 113/2006, de 5 abril, FJ 9, además de las anteriores que éstas reseñan). Dicho esto, el escrito de contestación entra a cuestionar cada uno de los ejemplos puestos por la demanda, negando en todos la falta de proporcionalidad, si bien precisa que para “supuestos excepcionales, el Real Decreto-ley 3/2013 introduce en el art. 5 de la Ley 1/1996 la cláusula de cierre de todo el sistema que implica que el umbral de renta se eleva al quíntuplo del indicador público de renta de efectos múltiples”.</w:t>
      </w:r>
    </w:p>
    <w:p w:rsidR="00A90898" w:rsidRDefault="00A90898" w:rsidP="00A90898">
      <w:pPr>
        <w:pStyle w:val="TextoNormal"/>
      </w:pPr>
    </w:p>
    <w:p w:rsidR="00A90898" w:rsidRDefault="00A90898" w:rsidP="00A90898">
      <w:pPr>
        <w:pStyle w:val="TextoNormal"/>
      </w:pPr>
      <w:r>
        <w:t>Una última consideración dedica el Abogado del Estado al efecto disuasorio que según los recurrentes tendrían el importe de las tasas en las reclamaciones de escasa cuantía, tanto en el orden civil como en el orden contencioso-administrativo, deteniéndose especialmente en este último. Niega tal efecto insistiendo en que la Constitución en sus arts. 103.1, 106.1 y 24, no prohíbe la imposición de una tasa siempre que la misma “no suponga una barrera desproporcionada”, límite éste que no se rompe en la Ley impugnada. Señala además que “el artículo 35 seis 1 de la Ley 53/2002, de 30 de diciembre, ya impuso una tasa para la interposición del recurso contencioso administrativo en el procedimiento abreviado de 120 euros, lo que también suponía que la tasa superara el objeto del proceso cuando este fuera inferior a 120 euros. Sin embargo, entonces no se entendió que ello implicara que una parte de la actividad administrativa quedara fuera sin control”.</w:t>
      </w:r>
    </w:p>
    <w:p w:rsidR="00A90898" w:rsidRDefault="00A90898" w:rsidP="00A90898">
      <w:pPr>
        <w:pStyle w:val="TextoNormal"/>
      </w:pPr>
    </w:p>
    <w:p w:rsidR="00A90898" w:rsidRDefault="00A90898" w:rsidP="00A90898">
      <w:pPr>
        <w:pStyle w:val="TextoNormal"/>
      </w:pPr>
      <w:r>
        <w:t>Critica que los recurrentes no discutan que haya que abonar gastos de postulación, que son superiores a los de las tasas y considera que el pago de una “tasa de escasa cuantía” de 200 € para la interposición de un recurso contencioso-administrativo se justifica pensando en quienes “ejerciten pretensiones bien fundadas, en las que exista una probabilidad alta de estimación y, por tanto, de recuperar la tasa vía costes”. A su vez, prosigue, esa posible condena en costas a la Administración incentiva a ésta a reconocer en la vía previa a la judicial aquellas pretensiones que estén fundadas o, en su caso, a allanarse totalmente a ellas una vez interpuesto el recurso contencioso, en cuyo caso la persona obtiene una devolución del 60 por 100 de la tasa según el art. 8.5 Ley 10/2012.</w:t>
      </w:r>
    </w:p>
    <w:p w:rsidR="00A90898" w:rsidRDefault="00A90898" w:rsidP="00A90898">
      <w:pPr>
        <w:pStyle w:val="TextoNormal"/>
      </w:pPr>
    </w:p>
    <w:p w:rsidR="00A90898" w:rsidRDefault="00A90898" w:rsidP="00A90898">
      <w:pPr>
        <w:pStyle w:val="TextoNormal"/>
      </w:pPr>
      <w:r>
        <w:t>g) Como penúltimo motivo de alegaciones, el Abogado del Estado rechaza la invocada vulneración por los recurrentes del principio de capacidad económica del art. 31.1 CE, con cita del ATC 71/2008 y de la STC 296/1994, afirmando que las tasas no tienen necesariamente que recoger dicho principio constitucional por cuanto éste se predica solamente del conjunto del sistema tributario, destacando así su distinción con los impuestos.</w:t>
      </w:r>
    </w:p>
    <w:p w:rsidR="00A90898" w:rsidRDefault="00A90898" w:rsidP="00A90898">
      <w:pPr>
        <w:pStyle w:val="TextoNormal"/>
      </w:pPr>
    </w:p>
    <w:p w:rsidR="00A90898" w:rsidRDefault="00A90898" w:rsidP="00A90898">
      <w:pPr>
        <w:pStyle w:val="TextoNormal"/>
      </w:pPr>
      <w:r>
        <w:t>h) Finalmente, el Abogado del Estado hace una valoración conjunta de la Ley 10/2012 y de la Ley 1/1996 de asistencia jurídica gratuita, encontrando en ellas un “irreprochable equilibrio entre el respeto al derecho fundamental a la tutela judicial efectiva del art. 24 y la necesaria observancia del principio constitucional de estabilidad presupuestaria del art. 135 CE”. Recapitula a renglón seguido las alegaciones ya vertidas en su escrito y reitera que el sistema de justicia gratuita incluye como “cláusula de cierre” la posibilidad de conceder el beneficio “a quienes tengan rentas que no superen el quíntuplo del indicador público de renta de efectos múltiples precisamente en atención a la concreta cuantía de las tasas judiciales”.</w:t>
      </w:r>
    </w:p>
    <w:p w:rsidR="00A90898" w:rsidRDefault="00A90898" w:rsidP="00A90898">
      <w:pPr>
        <w:pStyle w:val="TextoNormal"/>
      </w:pPr>
    </w:p>
    <w:p w:rsidR="00A90898" w:rsidRDefault="00A90898" w:rsidP="00A90898">
      <w:pPr>
        <w:pStyle w:val="TextoNormal"/>
      </w:pPr>
      <w:r>
        <w:lastRenderedPageBreak/>
        <w:t>7. Por providencia de 19 de julio de 2016 se señaló para deliberación y votación de la presente Sentencia el día 21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Se interpone el presente recurso de inconstitucionalidad por ciento nueve Diputados del Grupo Parlamentario Socialista en el Congreso de los Diputados, contra los arts. 1 (ámbito de aplicación de la tasa), 2 (hecho imponible de la tasa), 3 (en concreto el apartado 1, sujeto pasivo de la tasa), 5 (devengo de la tasa), 6 (base imponible de la tasa), 7 (determinación de la cuota tributaria) y 11 (vinculación de la tasa al sistema de justicia gratuita) de la Ley 10/2012, de 20 de noviembre, por la que se regulan determinadas tasas en el ámbito de la Administración de Justicia y del Instituto Nacional de Toxicología y Ciencias Forenses. Esta Ley ha supuesto la derogación del art. 35 de la Ley 53/2002, de 30 de diciembre, de medidas fiscales, administrativas y del orden social, que regulaba la exacción, para ciertas entidades mercantiles, de una tasa “por el ejercicio de la potestad jurisdiccional en los órdenes civil y contencioso-administrativo”.</w:t>
      </w:r>
    </w:p>
    <w:p w:rsidR="00A90898" w:rsidRDefault="00A90898" w:rsidP="00A90898">
      <w:pPr>
        <w:pStyle w:val="TextoNormal"/>
      </w:pPr>
    </w:p>
    <w:p w:rsidR="00A90898" w:rsidRDefault="00A90898" w:rsidP="00A90898">
      <w:pPr>
        <w:pStyle w:val="TextoNormal"/>
      </w:pPr>
      <w:r>
        <w:t>En síntesis y a criterio de los recurrentes, la Ley aquí impugnada vulnera el derecho fundamental a la tutela judicial efectiva (art. 24.1 CE), en sus vertientes de acceso a la jurisdicción y acceso al recurso, por dos razones esenciales: la primera, por exigirse dicha tasa a la generalidad de las personas físicas y jurídicas; y la segunda, por mantenerse y en su caso elevarse las cuantías fijadas en el art. 35 de la Ley 53/2002, previéndose además de manera novedosa su imposición para poder interponer los recursos de suplicación y casación en el orden social, con el resultado de impedir en unos casos y de disuadir en otros, el ejercicio del mencionado derecho de acceso. Además de la infracción del art. 24.1 CE, la demanda alega que la Ley 10/2012 propicia situaciones contrarias tanto al derecho fundamental de igualdad ante la ley del art. 14 CE, como a los principios de los arts. 31.1, 103.1 y 106.1 CE.</w:t>
      </w:r>
    </w:p>
    <w:p w:rsidR="00A90898" w:rsidRDefault="00A90898" w:rsidP="00A90898">
      <w:pPr>
        <w:pStyle w:val="TextoNormal"/>
      </w:pPr>
    </w:p>
    <w:p w:rsidR="00A90898" w:rsidRDefault="00A90898" w:rsidP="00A90898">
      <w:pPr>
        <w:pStyle w:val="TextoNormal"/>
      </w:pPr>
      <w:r>
        <w:t>Por su parte, el escrito del Abogado del Estado, actuando en representación del Gobierno de la Nación, interesa la inadmisión parcial del recurso y, en cuanto al fondo, que el mismo se desestime por no estar acreditadas las conculcaciones constitucionales que se aducen.</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entrar en el análisis de los distintos motivos que fundamentan la solicitud de declaración de inconstitucionalidad de los recurrentes, procede dar respuesta a las causas de inadmisión invocadas de contrario, por cuanto la eventual estimación de alguna de ellas podría impedir o al menos condicionar el subsiguiente debate sobre el fondo:</w:t>
      </w:r>
    </w:p>
    <w:p w:rsidR="00A90898" w:rsidRDefault="00A90898" w:rsidP="00A90898">
      <w:pPr>
        <w:pStyle w:val="TextoNormal"/>
      </w:pPr>
    </w:p>
    <w:p w:rsidR="00A90898" w:rsidRDefault="00A90898" w:rsidP="00A90898">
      <w:pPr>
        <w:pStyle w:val="TextoNormal"/>
      </w:pPr>
      <w:r>
        <w:t>a) La primera de esas objeciones procesales concierne a la correcta delimitación de la controversia, sosteniendo el Abogado del Estado que la demanda incurre en un doble defecto: de un lado, parece que se impugna el art. 4 de la Ley 10/2012 pese a no solicitarse así de manera formal en la demanda. De otro lado, los recurrentes no ofrecen ninguna fundamentación en torno a la posible inconstitucionalidad de los arts. 5, 6 y 11 de la misma Ley, los cuales sí se impugnan.</w:t>
      </w:r>
    </w:p>
    <w:p w:rsidR="00A90898" w:rsidRDefault="00A90898" w:rsidP="00A90898">
      <w:pPr>
        <w:pStyle w:val="TextoNormal"/>
      </w:pPr>
    </w:p>
    <w:p w:rsidR="00A90898" w:rsidRDefault="00A90898" w:rsidP="00A90898">
      <w:pPr>
        <w:pStyle w:val="TextoNormal"/>
      </w:pPr>
      <w:r>
        <w:t xml:space="preserve">Siguiendo este mismo orden de exposición no es de compartir, ante todo, la tesis de que el recurso pretenda atacar el listado de exenciones objetivas y subjetivas del art. 4 de la Ley </w:t>
      </w:r>
      <w:r>
        <w:lastRenderedPageBreak/>
        <w:t>10/2012. Este precepto no se incluye en el suplico de la demanda, ni en el cuerpo de ésta se exponen argumentos para controvertir su conformidad con la Constitución. Cuestión distinta es que en la demanda se afirme que las consecuencias negativas a que conduce la aplicación de otros preceptos de la Ley que sí están impugnados, hubieran podido evitarse con un mayor elenco de exenciones.</w:t>
      </w:r>
    </w:p>
    <w:p w:rsidR="00A90898" w:rsidRDefault="00A90898" w:rsidP="00A90898">
      <w:pPr>
        <w:pStyle w:val="TextoNormal"/>
      </w:pPr>
    </w:p>
    <w:p w:rsidR="00A90898" w:rsidRDefault="00A90898" w:rsidP="00A90898">
      <w:pPr>
        <w:pStyle w:val="TextoNormal"/>
      </w:pPr>
      <w:r>
        <w:t>En segundo lugar, tiene razón el Abogado del Estado cuando sostiene que la demanda no alega ningún motivo de inconstitucionalidad concreta sobre los arts. 5, 6 y 11 de la Ley pese a estar recurridos; preceptos en los que, respectivamente, se fija el momento del devengo del tributo, la determinación de su base imponible, y la vinculación de lo recaudado por la tasa con destino a financiar el sistema de justicia gratuita.</w:t>
      </w:r>
    </w:p>
    <w:p w:rsidR="00A90898" w:rsidRDefault="00A90898" w:rsidP="00A90898">
      <w:pPr>
        <w:pStyle w:val="TextoNormal"/>
      </w:pPr>
    </w:p>
    <w:p w:rsidR="00A90898" w:rsidRDefault="00A90898" w:rsidP="00A90898">
      <w:pPr>
        <w:pStyle w:val="TextoNormal"/>
      </w:pPr>
      <w:r>
        <w:t>La misma falta de argumentos se aprecia respecto del impugnado art. 2 de la misma Ley 10/2012, el cual delimita el hecho imponible, si bien nada se objeta sobre ello en el escrito de alegaciones del Abogado del Estado, acaso porque en su análisis de fondo este último reconduce a dicho precepto algunas consideraciones que la demanda parece referir más bien al artículo 1, como luego se verá.</w:t>
      </w:r>
    </w:p>
    <w:p w:rsidR="00A90898" w:rsidRDefault="00A90898" w:rsidP="00A90898">
      <w:pPr>
        <w:pStyle w:val="TextoNormal"/>
      </w:pPr>
    </w:p>
    <w:p w:rsidR="00A90898" w:rsidRDefault="00A90898" w:rsidP="00A90898">
      <w:pPr>
        <w:pStyle w:val="TextoNormal"/>
      </w:pPr>
      <w:r>
        <w:t>Como consecuencia de lo expuesto, no cabe que nos pronunciemos sobre la validez constitucional de los arts. 2, 5, 6 y 11 de la Ley 10/2012, pues otra cosa llevaría a una reconstrucción de oficio de la demanda, tarea que nos está vedada [STC 160/2013, de 26 de septiembre, FJ 4 e)]. En cambio, sí procede dar una respuesta de fondo a los demás preceptos que se recurren de dicha Ley (los arts. 1, 3.1 y 7), sin perjuicio de lo que resta por indicar en cuanto a los óbices de procedimiento.</w:t>
      </w:r>
    </w:p>
    <w:p w:rsidR="00A90898" w:rsidRDefault="00A90898" w:rsidP="00A90898">
      <w:pPr>
        <w:pStyle w:val="TextoNormal"/>
      </w:pPr>
    </w:p>
    <w:p w:rsidR="00A90898" w:rsidRDefault="00A90898" w:rsidP="00A90898">
      <w:pPr>
        <w:pStyle w:val="TextoNormal"/>
      </w:pPr>
      <w:r>
        <w:t>b) La segunda objeción procesal efectuada por el Abogado del Estado se refiere al hecho de que la Ley 10/2012 ha sido parcialmente reformada por el Real Decreto-ley 3/2013, de 22 de febrero, “por el que se modifica el régimen de las tasas en el ámbito de la Administración de Justicia y el sistema de asistencia jurídica gratuita” (convalidado por acuerdo del Congreso de los Diputados de 14 de marzo de 2013, publicado en el “BOE” núm. 69, del 21 de marzo). Modificación ésta que, a su parecer, “priva de todo fundamento a las alegaciones de la demanda”.</w:t>
      </w:r>
    </w:p>
    <w:p w:rsidR="00A90898" w:rsidRDefault="00A90898" w:rsidP="00A90898">
      <w:pPr>
        <w:pStyle w:val="TextoNormal"/>
      </w:pPr>
    </w:p>
    <w:p w:rsidR="00A90898" w:rsidRDefault="00A90898" w:rsidP="00A90898">
      <w:pPr>
        <w:pStyle w:val="TextoNormal"/>
      </w:pPr>
      <w:r>
        <w:t>Cabe precisar que únicamente quedarían afectados por la citada reforma los arts. 3 y 7 de la Ley. En el primero de ellos, el art. 3, se ha sustituido el término original de “demanda”, por el de “escrito ejercitando el acto procesal que constituye el hecho imponible” (apartado dos del art. 1 del Real Decreto-ley 3/2013).</w:t>
      </w:r>
    </w:p>
    <w:p w:rsidR="00A90898" w:rsidRDefault="00A90898" w:rsidP="00A90898">
      <w:pPr>
        <w:pStyle w:val="TextoNormal"/>
      </w:pPr>
    </w:p>
    <w:p w:rsidR="00A90898" w:rsidRDefault="00A90898" w:rsidP="00A90898">
      <w:pPr>
        <w:pStyle w:val="TextoNormal"/>
      </w:pPr>
      <w:r>
        <w:t>A su vez el artículo 7, que determina la cuota tributaria a pagar, se modifica concretamente en dos aspectos:</w:t>
      </w:r>
    </w:p>
    <w:p w:rsidR="00A90898" w:rsidRDefault="00A90898" w:rsidP="00A90898">
      <w:pPr>
        <w:pStyle w:val="TextoNormal"/>
      </w:pPr>
    </w:p>
    <w:p w:rsidR="00A90898" w:rsidRDefault="00A90898" w:rsidP="00A90898">
      <w:pPr>
        <w:pStyle w:val="TextoNormal"/>
      </w:pPr>
      <w:r>
        <w:t>(i) Se introduce en su apartado 1, referido a las cuotas fijas, un límite del 50 por 100 del importe de la sanción, justamente cuando se trate de impugnar este tipo de actos por medio de un recurso contencioso-administrativo (art. 1.6 del Real Decreto-ley 3/2013).</w:t>
      </w:r>
    </w:p>
    <w:p w:rsidR="00A90898" w:rsidRDefault="00A90898" w:rsidP="00A90898">
      <w:pPr>
        <w:pStyle w:val="TextoNormal"/>
      </w:pPr>
    </w:p>
    <w:p w:rsidR="00A90898" w:rsidRDefault="00A90898" w:rsidP="00A90898">
      <w:pPr>
        <w:pStyle w:val="TextoNormal"/>
      </w:pPr>
      <w:r>
        <w:t xml:space="preserve">(ii) Se mantiene en el apartado 2 la imposición de una segunda cuota, variable, calculada sobre el valor de la pretensión deducida en juicio (por remisión a lo dispuesto en el artículo 6, base imponible), sin modificar para las personas jurídicas la escala de porcentajes (el 0,5 </w:t>
      </w:r>
      <w:r>
        <w:lastRenderedPageBreak/>
        <w:t>por 100 o en su caso el 0,25 por 100) y límite máximo (10.000 €) previstos en el texto original de la Ley 10/2012.</w:t>
      </w:r>
    </w:p>
    <w:p w:rsidR="00A90898" w:rsidRDefault="00A90898" w:rsidP="00A90898">
      <w:pPr>
        <w:pStyle w:val="TextoNormal"/>
      </w:pPr>
    </w:p>
    <w:p w:rsidR="00A90898" w:rsidRDefault="00A90898" w:rsidP="00A90898">
      <w:pPr>
        <w:pStyle w:val="TextoNormal"/>
      </w:pPr>
      <w:r>
        <w:t>En cuanto a las personas físicas (originalmente incluidas en el apartado 2, de manera indistinta con las personas jurídicas), también se sigue exigiendo una cuota variable con arreglo a la base imponible, ahora en un nuevo apartado 3, cuyo último inciso reduce la escala para ellas, fijando un tipo único del 0,10 por 100, con un máximo de 2.000 €.</w:t>
      </w:r>
    </w:p>
    <w:p w:rsidR="00A90898" w:rsidRDefault="00A90898" w:rsidP="00A90898">
      <w:pPr>
        <w:pStyle w:val="TextoNormal"/>
      </w:pPr>
    </w:p>
    <w:p w:rsidR="00A90898" w:rsidRDefault="00A90898" w:rsidP="00A90898">
      <w:pPr>
        <w:pStyle w:val="TextoNormal"/>
      </w:pPr>
      <w:r>
        <w:t>Ha de determinarse entonces si estos cambios provocados por el Real Decreto-ley 3/2013, impiden que podamos pronunciarnos sobre la constitucionalidad de ambos preceptos. Al respecto, este Tribunal tiene fijada doctrina en relación con la pérdida sobrevenida del objeto del proceso en el ámbito de los recursos de inconstitucionalidad de las leyes, de acuerdo con la cual, dado que se trata de “un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este Tribunal se pronunciase ‘sobre normas que el mismo legislador ha expulsado ya de dicho ordenamiento … de modo total, sin ultraactividad’” (últimamente, entre otras, SSTC 223/2012, de 29 de noviembre, FJ 3; 131/2013, de 5 de junio, FJ 3; 158/2013, de 26 de septiembre, FJ 3; 160/2013, de 26 de septiembre, FJ 3; 165/2013, de 26 de septiembre, FJ 10; 120/2014, de 17 de julio, FJ 4; 214/2014, de 18 de diciembre, FJ 2; 237/2015, de 19 de noviembre, FJ 3, y 270/2015, de 17 de diciembre, FJ 2).</w:t>
      </w:r>
    </w:p>
    <w:p w:rsidR="00A90898" w:rsidRDefault="00A90898" w:rsidP="00A90898">
      <w:pPr>
        <w:pStyle w:val="TextoNormal"/>
      </w:pPr>
    </w:p>
    <w:p w:rsidR="00A90898" w:rsidRDefault="00A90898" w:rsidP="00A90898">
      <w:pPr>
        <w:pStyle w:val="TextoNormal"/>
      </w:pPr>
      <w:r>
        <w:t>Sin embargo, hemos establecido como excepciones a esta doctrina general, por un lado aquellos casos en que el recurso de inconstitucionalidad versa sobre una controversia de carácter competencial y ésta no ha desaparecido con la nueva norma [entre otras, SSTC 134/2011, de 20 de julio, FJ 2 b); 7/2012, de 18 de enero, FJ 2; 96/2013, de 26 de abril, FJ 2; 142/2014, de 11 de septiembre, FJ 2, y 230/2015, de 5 de noviembre, FJ 3 b)], Y también cuando el motivo alegado en el recurso afecta al procedimiento legislativo de aprobación de la disposición con rango de ley y a su contenido posible [entre otras, SSTC 60/1986, de 20 de mayo, FJ 1; 137/2003, de 3 de julio, FJ 2; 108/2004, de 30 de junio, FJ 4; 136/2011, de 13 de septiembre, FJ 2; 47/2015, de 25 de marzo, FJ 2 c), y 106/2015, de 28 de mayo, FJ 2].</w:t>
      </w:r>
    </w:p>
    <w:p w:rsidR="00A90898" w:rsidRDefault="00A90898" w:rsidP="00A90898">
      <w:pPr>
        <w:pStyle w:val="TextoNormal"/>
      </w:pPr>
    </w:p>
    <w:p w:rsidR="00A90898" w:rsidRDefault="00A90898" w:rsidP="00A90898">
      <w:pPr>
        <w:pStyle w:val="TextoNormal"/>
      </w:pPr>
      <w:r>
        <w:t>La aplicación de la doctrina de referencia comporta el siguiente resultado:</w:t>
      </w:r>
    </w:p>
    <w:p w:rsidR="00A90898" w:rsidRDefault="00A90898" w:rsidP="00A90898">
      <w:pPr>
        <w:pStyle w:val="TextoNormal"/>
      </w:pPr>
    </w:p>
    <w:p w:rsidR="00A90898" w:rsidRDefault="00A90898" w:rsidP="00A90898">
      <w:pPr>
        <w:pStyle w:val="TextoNormal"/>
      </w:pPr>
      <w:r>
        <w:t>(i) En el caso del art. 3.1 de la Ley 10/2012, la reforma operada por el Real Decreto-ley 3/2013, en el sentido de modificar el término “demanda” por el de “escrito ejercitando el acto procesal que constituye el hecho imponible”, aunque se mantenga la previsión de quien es el sujeto pasivo de la tasa (aspecto cuestionado en la demanda), determina la pérdida sobrevenida de objeto en cuanto a la impugnación de este precepto.</w:t>
      </w:r>
    </w:p>
    <w:p w:rsidR="00A90898" w:rsidRDefault="00A90898" w:rsidP="00A90898">
      <w:pPr>
        <w:pStyle w:val="TextoNormal"/>
      </w:pPr>
    </w:p>
    <w:p w:rsidR="00A90898" w:rsidRDefault="00A90898" w:rsidP="00A90898">
      <w:pPr>
        <w:pStyle w:val="TextoNormal"/>
      </w:pPr>
      <w:r>
        <w:t>(ii) En cuanto al artículo 7.2 que regula la cuota variable de la tasa, hay que distinguir entre la que resulta aplicable a las personas jurídicas y a las físicas. La de las primeras —</w:t>
      </w:r>
      <w:r>
        <w:lastRenderedPageBreak/>
        <w:t>personas jurídicas— no ha sido objeto de modificación, por lo que sigue siendo materia del recurso sobre la que debemos pronunciarnos.</w:t>
      </w:r>
    </w:p>
    <w:p w:rsidR="00A90898" w:rsidRDefault="00A90898" w:rsidP="00A90898">
      <w:pPr>
        <w:pStyle w:val="TextoNormal"/>
      </w:pPr>
    </w:p>
    <w:p w:rsidR="00A90898" w:rsidRDefault="00A90898" w:rsidP="00A90898">
      <w:pPr>
        <w:pStyle w:val="TextoNormal"/>
      </w:pPr>
      <w:r>
        <w:t>Respecto de la cuota variable para las personas físicas, su previsión se mantuvo tras entrar en vigor el citado Real Decreto-ley 3/2013, como ya se ha dicho, si bien regulada formalmente en un nuevo apartado dentro del propio artículo 7. Sin embargo, como se explicará en el siguiente apartado, la inclusión por el Real Decreto-ley 1/2015 de todas las personas físicas como sujetos exentos del pago de la tasa, obliga a apreciar la pérdida de objeto en lo que concierne a la impugnación que plantea el presente recurso de inconstitucionalidad sobre el citado art. 7 de la Ley, respecto de las personas físicas.</w:t>
      </w:r>
    </w:p>
    <w:p w:rsidR="00A90898" w:rsidRDefault="00A90898" w:rsidP="00A90898">
      <w:pPr>
        <w:pStyle w:val="TextoNormal"/>
      </w:pPr>
    </w:p>
    <w:p w:rsidR="00A90898" w:rsidRDefault="00A90898" w:rsidP="00A90898">
      <w:pPr>
        <w:pStyle w:val="TextoNormal"/>
      </w:pPr>
      <w:r>
        <w:t>c) Sin abandonar el análisis de la posible pérdida de objeto del recurso, hemos de referirnos también a las modificaciones a la Ley 10/2012, de 20 de noviembre, que introduce el art. 11 del Real Decreto-ley 1/2015, de 27 de febrero, de “mecanismos de segunda oportunidad, reducción de carga financiera y otras medidas de orden social” (convalidado por acuerdo del Congreso de los Diputados, de 12 de marzo de 2015, publicado en el “BOE” núm. 66, de 18 de marzo).</w:t>
      </w:r>
    </w:p>
    <w:p w:rsidR="00A90898" w:rsidRDefault="00A90898" w:rsidP="00A90898">
      <w:pPr>
        <w:pStyle w:val="TextoNormal"/>
      </w:pPr>
    </w:p>
    <w:p w:rsidR="00A90898" w:rsidRDefault="00A90898" w:rsidP="00A90898">
      <w:pPr>
        <w:pStyle w:val="TextoNormal"/>
      </w:pPr>
      <w:r>
        <w:t>En concreto y por lo que aquí importa, éste modifica (art. 11.1) el apartado a) del art. 4.2 de la Ley 10/2012, para incluir a “las personas físicas” como exentas del pago de la tasa. Por su parte, para las personas jurídicas se mantiene la exención únicamente cuando se les haya reconocido el beneficio de justicia gratuita según su normativa reguladora, lo que ahora se especifica en la nueva redacción dada al apartado b) del mismo artículo 4.2.</w:t>
      </w:r>
    </w:p>
    <w:p w:rsidR="00A90898" w:rsidRDefault="00A90898" w:rsidP="00A90898">
      <w:pPr>
        <w:pStyle w:val="TextoNormal"/>
      </w:pPr>
    </w:p>
    <w:p w:rsidR="00A90898" w:rsidRDefault="00A90898" w:rsidP="00A90898">
      <w:pPr>
        <w:pStyle w:val="TextoNormal"/>
      </w:pPr>
      <w:r>
        <w:t>Y como consecuencia de la exención referida del art. 4.2 a), este Real Decreto-ley (art. 11.3) por un lado elimina la indicación que traía el art. 7.2 sobre la persona jurídica (“cuando el sujeto pasivo sea persona jurídica se satisfará”), especificación innecesaria al pasar a ser el único sujeto pasivo del tributo; y de otro lado suprime el apartado 3, que contenía la cuota variable y escala para las personas físicas.</w:t>
      </w:r>
    </w:p>
    <w:p w:rsidR="00A90898" w:rsidRDefault="00A90898" w:rsidP="00A90898">
      <w:pPr>
        <w:pStyle w:val="TextoNormal"/>
      </w:pPr>
    </w:p>
    <w:p w:rsidR="00A90898" w:rsidRDefault="00A90898" w:rsidP="00A90898">
      <w:pPr>
        <w:pStyle w:val="TextoNormal"/>
      </w:pPr>
      <w:r>
        <w:t>Las modificaciones indicadas han sido asumidas después por la Ley 25/2015, de 28 de julio, “de mecanismo de segunda oportunidad, reducción de la carga financiera y otras medidas de orden social”, en su art. 10, apartados 1 y 3 respectivamente. Ley que entró en vigor el 30 de julio de 2015, día siguiente al de su publicación en el “BOE” núm. 180, del día 29.</w:t>
      </w:r>
    </w:p>
    <w:p w:rsidR="00A90898" w:rsidRDefault="00A90898" w:rsidP="00A90898">
      <w:pPr>
        <w:pStyle w:val="TextoNormal"/>
      </w:pPr>
    </w:p>
    <w:p w:rsidR="00A90898" w:rsidRDefault="00A90898" w:rsidP="00A90898">
      <w:pPr>
        <w:pStyle w:val="TextoNormal"/>
      </w:pPr>
      <w:r>
        <w:t>De tal modo, la principal novedad de estas normas que afecta al objeto del presente recurso, es la exención al pago de la tasa judicial para la totalidad de las personas físicas. Y siendo ello así, debe por fuerza traerse a colación la consolidada doctrina general de este Tribunal enunciada en el apartado anterior, lo que conduce a declarar la pérdida sobrevenida parcial del objeto del recurso en cuanto concierne a la imposición de la tasa de la Ley 10/2012 a las personas físicas, puesto que no se trata de una simple modificación de las condiciones en que la misma ha de ser satisfecha por ellas, sino que tales reglas dejan de serles aplicables, a salvo, lógicamente, aquella que contempla la exención [art. 4.2 a)]. Además, no existe dato alguno que permita inferir que la medida de exención introducida resulte meramente coyuntural, y no nos encontramos tampoco dentro de las excepciones reconocidas a la indicada doctrina general (temas competenciales o de depuración del procedimiento legislativo), que permitiera considerar viva la controversia en este punto.</w:t>
      </w:r>
    </w:p>
    <w:p w:rsidR="00A90898" w:rsidRDefault="00A90898" w:rsidP="00A90898">
      <w:pPr>
        <w:pStyle w:val="TextoNormal"/>
      </w:pPr>
    </w:p>
    <w:p w:rsidR="00A90898" w:rsidRDefault="00A90898" w:rsidP="00A90898">
      <w:pPr>
        <w:pStyle w:val="TextoNormal"/>
      </w:pPr>
      <w:r>
        <w:lastRenderedPageBreak/>
        <w:t xml:space="preserve">Todo ello, sin perjuicio de advertir que actualmente hay admitidas a trámite por este Tribunal varias cuestiones de inconstitucionalidad planteadas por diversos órganos judiciales sobre los preceptos que se hallan impugnados en este recurso, y que algunas se refieren al pago de la tasa por personas físicas en el respectivo proceso </w:t>
      </w:r>
      <w:r w:rsidRPr="00A90898">
        <w:rPr>
          <w:i/>
        </w:rPr>
        <w:t>a quo</w:t>
      </w:r>
      <w:r>
        <w:t>, lo que llevará a este Tribunal en el marco de esos procesos constitucionales, a resolver lo que proceda sobre su exigencia a dichas personas.</w:t>
      </w:r>
    </w:p>
    <w:p w:rsidR="00A90898" w:rsidRDefault="00A90898" w:rsidP="00A90898">
      <w:pPr>
        <w:pStyle w:val="TextoNormal"/>
      </w:pPr>
    </w:p>
    <w:p w:rsidR="00A90898" w:rsidRDefault="00A90898" w:rsidP="00A90898">
      <w:pPr>
        <w:pStyle w:val="TextoNormal"/>
      </w:pPr>
      <w:r>
        <w:t>Como conclusión, cabe apreciar la pérdida sobrevenida parcial de objeto del presente recurso con motivo de la entrada en vigor del art. 11 del Real Decreto-ley 1/2015 y la del posterior art. 10 de la Ley 25/2015, de 28 de julio, respecto de la impugnación de los arts. 1 y 7 de la Ley 10/2012, en lo que atañe al pago de esta tasa por las personas físicas, debiendo sin embargo proseguir su estudio y resolución respecto de lo que esos mismos preceptos ordenan en cuanto a su devengo por las personas jurídicas.</w:t>
      </w:r>
    </w:p>
    <w:p w:rsidR="00A90898" w:rsidRDefault="00A90898" w:rsidP="00A90898">
      <w:pPr>
        <w:pStyle w:val="TextoNormal"/>
      </w:pPr>
    </w:p>
    <w:p w:rsidR="00A90898" w:rsidRDefault="00A90898" w:rsidP="00A90898">
      <w:pPr>
        <w:pStyle w:val="TextoNormal"/>
      </w:pPr>
      <w:r>
        <w:t>En todo caso, conforme tiene asentado este Tribunal, el enjuiciamiento de todas las cuestiones de fondo deberá llevarse a cabo teniendo en cuenta el conjunto de disposiciones vigentes a la fecha en que esta Sentencia se dicta. Específicamente, aquellas normas que invocadas o no por las partes en sus escritos de alegaciones, guarden “relevancia interpretativa para la controversia” [SSTC 8/2012, de 18 de enero, FJ 2 b), y 72/2014, de 8 de mayo, FJ 2].</w:t>
      </w:r>
    </w:p>
    <w:p w:rsidR="00A90898" w:rsidRDefault="00A90898" w:rsidP="00A90898">
      <w:pPr>
        <w:pStyle w:val="TextoNormal"/>
      </w:pPr>
    </w:p>
    <w:p w:rsidR="00A90898" w:rsidRDefault="00A90898" w:rsidP="00A90898">
      <w:pPr>
        <w:pStyle w:val="TextoNormal"/>
      </w:pPr>
      <w:r>
        <w:t>d) El último óbice procesal denunciado por el Abogado del Estado, indica que la demanda no se articula mediante razonamientos separados para cada uno de los preceptos recurridos, sino que los recurrentes se limitan a realizar alegaciones de conjunto carentes, se dice, de la necesaria concreción.</w:t>
      </w:r>
    </w:p>
    <w:p w:rsidR="00A90898" w:rsidRDefault="00A90898" w:rsidP="00A90898">
      <w:pPr>
        <w:pStyle w:val="TextoNormal"/>
      </w:pPr>
    </w:p>
    <w:p w:rsidR="00A90898" w:rsidRDefault="00A90898" w:rsidP="00A90898">
      <w:pPr>
        <w:pStyle w:val="TextoNormal"/>
      </w:pPr>
      <w:r>
        <w:t>En un plano formal cabe apreciar, en efecto, que el recurso se estructura mediante bloques generales que se dividen en motivos, y estos en apartados, correspondiendo cada uno a áreas temáticas distintas. Primero los recurrentes exponen los parámetros que consideran de necesario respeto para asegurar la constitucionalidad de una normativa sobre tasas judiciales, para luego centrarse en lo que serían los aspectos inconstitucionales de la Ley cuestionada.</w:t>
      </w:r>
    </w:p>
    <w:p w:rsidR="00A90898" w:rsidRDefault="00A90898" w:rsidP="00A90898">
      <w:pPr>
        <w:pStyle w:val="TextoNormal"/>
      </w:pPr>
    </w:p>
    <w:p w:rsidR="00A90898" w:rsidRDefault="00A90898" w:rsidP="00A90898">
      <w:pPr>
        <w:pStyle w:val="TextoNormal"/>
      </w:pPr>
      <w:r>
        <w:t>Ahora bien, siendo esto cierto no lo es menos que una vez situados en los argumentos que articulan cada uno de esos motivos y apartados, resulta posible distinguir sin dificultad dialéctica cuál es, en cada momento, el artículo de la Ley que se cuestiona. El propio escrito de alegaciones del Abogado del Estado, tras dedicar unos epígrafes al planteamiento general de la controversia, pasa después a referirse de manera individualizada a los preceptos impugnados, dando respuesta precisamente a los razonamientos expuestos por la demanda sobre cada uno.</w:t>
      </w:r>
    </w:p>
    <w:p w:rsidR="00A90898" w:rsidRDefault="00A90898" w:rsidP="00A90898">
      <w:pPr>
        <w:pStyle w:val="TextoNormal"/>
      </w:pPr>
    </w:p>
    <w:p w:rsidR="00A90898" w:rsidRDefault="00A90898" w:rsidP="00A90898">
      <w:pPr>
        <w:pStyle w:val="TextoNormal"/>
      </w:pPr>
      <w:r>
        <w:t xml:space="preserve">En este caso, pues, ha de considerarse cumplida la carga que pesa sobre la parte actora no solamente en cuanto a identificar los artículos impugnados sobre los que se hace solicitud expresa de su declaración de inconstitucionalidad, sino también y según venimos exigiendo, a “que en el cuerpo del recurso se contenga la argumentación específica o razonamientos que fundamenten la presunta contradicción de éstos con la Norma Fundamental” [entre otras, SSTC 158/2011, de 19 de octubre, FJ 4; 82/2013, de 11 de abril, FJ 2; 97/2013, de 23 de abril, FJ 2; 146/2013, de 11 de julio, FJ 2; 108/2014, de 26 de junio, FJ 2 b); 104/2015, </w:t>
      </w:r>
      <w:r>
        <w:lastRenderedPageBreak/>
        <w:t>de 28 de mayo, FJ 11, y 55/2016, de 17 de marzo, FJ 2]. Excepción hecha, claro está, de aquellos preceptos que antes hemos excluido del debate por carecer de toda argumentación (los arts. 2, 5, 6 y 11, formalmente impugnados).</w:t>
      </w:r>
    </w:p>
    <w:p w:rsidR="00A90898" w:rsidRDefault="00A90898" w:rsidP="00A90898">
      <w:pPr>
        <w:pStyle w:val="TextoNormal"/>
      </w:pPr>
    </w:p>
    <w:p w:rsidR="00A90898" w:rsidRDefault="00A90898" w:rsidP="00A90898">
      <w:pPr>
        <w:pStyle w:val="TextoNormal"/>
      </w:pPr>
      <w:r>
        <w:t>Se desestima por tanto este último óbice.</w:t>
      </w:r>
    </w:p>
    <w:p w:rsidR="00A90898" w:rsidRDefault="00A90898" w:rsidP="00A90898">
      <w:pPr>
        <w:pStyle w:val="TextoNormal"/>
      </w:pPr>
    </w:p>
    <w:p w:rsidR="00A90898" w:rsidRDefault="00A90898" w:rsidP="00A90898">
      <w:pPr>
        <w:pStyle w:val="TextoNormal"/>
      </w:pPr>
      <w:r w:rsidRPr="00A90898">
        <w:rPr>
          <w:rStyle w:val="NumeroAFNegritaCaracter"/>
        </w:rPr>
        <w:t>3</w:t>
      </w:r>
      <w:r>
        <w:t>. Sentado lo que antecede, nos encontramos ya en condiciones de afrontar el examen de los motivos de fondo del recurso, siguiendo para ello el orden de los preceptos recurridos.</w:t>
      </w:r>
    </w:p>
    <w:p w:rsidR="00A90898" w:rsidRDefault="00A90898" w:rsidP="00A90898">
      <w:pPr>
        <w:pStyle w:val="TextoNormal"/>
      </w:pPr>
    </w:p>
    <w:p w:rsidR="00A90898" w:rsidRDefault="00A90898" w:rsidP="00A90898">
      <w:pPr>
        <w:pStyle w:val="TextoNormal"/>
      </w:pPr>
      <w:r>
        <w:t>Aparece así, en primer término, el art. 1 de la Ley 10/2012, de 20 de noviembre, cuyo texto es el siguiente:</w:t>
      </w:r>
    </w:p>
    <w:p w:rsidR="00A90898" w:rsidRDefault="00A90898" w:rsidP="00A90898">
      <w:pPr>
        <w:pStyle w:val="TextoNormal"/>
      </w:pPr>
    </w:p>
    <w:p w:rsidR="00A90898" w:rsidRDefault="00A90898" w:rsidP="00A90898">
      <w:pPr>
        <w:pStyle w:val="TextoNormal"/>
      </w:pPr>
      <w:r>
        <w:t>“Ámbito de aplicación de la tasa por el ejercicio de la potestad jurisdiccional en los órdenes civil, contencioso-administrativo y social. La tasa por el ejercicio de la potestad jurisdiccional en los órdenes civil, contencioso-administrativo y social tiene carácter estatal y será exigible por igual en todo el territorio nacional en los supuestos previstos en esta Ley, sin perjuicio de las tasas y demás tributos que puedan exigir las Comunidades Autónomas en el ejercicio de sus respectivas competencias financieras, los cuales no podrán gravar los mismos hechos imponibles.”</w:t>
      </w:r>
    </w:p>
    <w:p w:rsidR="00A90898" w:rsidRDefault="00A90898" w:rsidP="00A90898">
      <w:pPr>
        <w:pStyle w:val="TextoNormal"/>
      </w:pPr>
    </w:p>
    <w:p w:rsidR="00A90898" w:rsidRDefault="00A90898" w:rsidP="00A90898">
      <w:pPr>
        <w:pStyle w:val="TextoNormal"/>
      </w:pPr>
      <w:r>
        <w:t>En la demanda, con cita de nuestra STC 20/2012, de 16 de febrero, se reconoce que resulta incuestionable la decisión del legislador de instrumentar la financiación del servicio público de la Justicia no solamente a través de impuestos sino también mediante tasas, siempre y cuando, precisa, no se violente con ello ninguna previsión constitucional. Sin embargo, consideran que a espaldas de las cautelas adoptadas en el pasado por el legislador, aboliendo o como mucho regulando una tasa judicial limitada en su ámbito de aplicación, la aquí impugnada Ley 10/2012 ha previsto su exigencia en todos los órdenes jurisdiccionales excepto el penal; decisión que puede tener incidencia no solo desde la óptica del derecho de acceso a la justicia (art. 24.1 CE) sino también, se añade en la demanda, desde aquella del art. 106.1 CE, porque la desproporción que evidencia la cuantía de la tasa impuesta viene a propiciar que dejen de interponerse recursos contencioso-administrativos, en concreto cuando se trata de impugnar vías de hecho y la ilicitud de disposiciones generales, por estar vinculado su pago al de la cuantía del litigio, quedando así sin control judicial. Añaden que con esta decisión la Ley recurrida prescinde de las advertencias formuladas por la STC 20/2012, FJ 4, en cuanto a las especialidades que presenta la tutela de los derechos en los demás órdenes jurisdiccionales distintos al civil.</w:t>
      </w:r>
    </w:p>
    <w:p w:rsidR="00A90898" w:rsidRDefault="00A90898" w:rsidP="00A90898">
      <w:pPr>
        <w:pStyle w:val="TextoNormal"/>
      </w:pPr>
    </w:p>
    <w:p w:rsidR="00A90898" w:rsidRDefault="00A90898" w:rsidP="00A90898">
      <w:pPr>
        <w:pStyle w:val="TextoNormal"/>
      </w:pPr>
      <w:r>
        <w:t xml:space="preserve">Por su parte, el Abogado del Estado señala que la STC 20/2012 “no apreció ninguna especialidad en materia de tasas judiciales”, y que la prohibición que pesa sobre el legislador para no crear impedimentos “en términos absolutos e incondicionales” en el acceso al proceso, cuando está en juego el control judicial de la actividad administrativa </w:t>
      </w:r>
      <w:r w:rsidRPr="00A90898">
        <w:rPr>
          <w:i/>
        </w:rPr>
        <w:t>ex</w:t>
      </w:r>
      <w:r>
        <w:t xml:space="preserve"> art. 106.1 CE, no resulta inconciliable con el establecimiento de esta tasa.</w:t>
      </w:r>
    </w:p>
    <w:p w:rsidR="00A90898" w:rsidRDefault="00A90898" w:rsidP="00A90898">
      <w:pPr>
        <w:pStyle w:val="TextoNormal"/>
      </w:pPr>
    </w:p>
    <w:p w:rsidR="00A90898" w:rsidRDefault="00A90898" w:rsidP="00A90898">
      <w:pPr>
        <w:pStyle w:val="TextoNormal"/>
      </w:pPr>
      <w:r>
        <w:t xml:space="preserve">Así expuesto, como punto previo, hay que observar que en el caso del orden contencioso-administrativo la Ley 10/2012 no innova, sino que sigue la senda ya trazada por el art. 35 de la Ley 53/2002, siendo éste uno de los dos únicos órdenes jurisdiccionales gravados por la tasa regulada por esta última Ley. En cuanto al orden social, es cierto que no se previó su </w:t>
      </w:r>
      <w:r>
        <w:lastRenderedPageBreak/>
        <w:t>exigencia en la Ley 53/2002, aunque los procesos laborales generaron tasa judicial en primera instancia y en vía de recursos durante décadas, hasta ser abolidas por la antes citada Ley 25/1986, de 24 de diciembre. La norma que las había creado, el Decreto 1035/1959, de 18 de junio, “por el que se convalida y regula la exacción de tasas judiciales”, gravó toda clase de procesos en primera instancia y grados superiores, previendo solamente exenciones subjetivas en su artículo tercero.</w:t>
      </w:r>
    </w:p>
    <w:p w:rsidR="00A90898" w:rsidRDefault="00A90898" w:rsidP="00A90898">
      <w:pPr>
        <w:pStyle w:val="TextoNormal"/>
      </w:pPr>
    </w:p>
    <w:p w:rsidR="00A90898" w:rsidRDefault="00A90898" w:rsidP="00A90898">
      <w:pPr>
        <w:pStyle w:val="TextoNormal"/>
      </w:pPr>
      <w:r>
        <w:t>Hecha esta precisión y dado que los recurrentes sostienen que es inconstitucional pagar una tasa por el acceso a la Justicia (art. 24.1 CE), en su doble vertiente de acceso a la jurisdicción y de acceso al recurso, en los órdenes contencioso-administrativo y social, la queja debe ser respondida partiendo del contenido y límites del derecho previsto en el art. 119 CE, a cuyo tenor “la justicia será gratuita cuando así lo disponga la ley y, en todo caso, respecto de quienes acrediten insuficiencia de recursos para litigar”.</w:t>
      </w:r>
    </w:p>
    <w:p w:rsidR="00A90898" w:rsidRDefault="00A90898" w:rsidP="00A90898">
      <w:pPr>
        <w:pStyle w:val="TextoNormal"/>
      </w:pPr>
    </w:p>
    <w:p w:rsidR="00A90898" w:rsidRDefault="00A90898" w:rsidP="00A90898">
      <w:pPr>
        <w:pStyle w:val="TextoNormal"/>
      </w:pPr>
      <w:r>
        <w:t>La doctrina de este Tribunal tiene asentado, así, que el derecho a una justicia gratuita deviene instrumental del ejercicio del derecho fundamental a la tutela judicial efectiva (por todas, SSTC 9/2008, de 21 de enero, FJ 2, y 10/2008, de 21 de enero, FJ 2, así como las que en ellas se citan). Ahora bien, el art. 119 CE consagra un derecho de configuración legal, en cuya consecuencia ha de reconocerse libertad al legislador para regular los requisitos de su otorgamiento, pudiendo “modular la gratuidad en función del orden jurisdiccional afectado —penal, laboral, civil, etc.— o incluso del tipo concreto de proceso y, por supuesto, en función de los recursos económicos de los que pueda disponer en cada momento” (STC 16/1994, de 20 de enero, FJ 3).</w:t>
      </w:r>
    </w:p>
    <w:p w:rsidR="00A90898" w:rsidRDefault="00A90898" w:rsidP="00A90898">
      <w:pPr>
        <w:pStyle w:val="TextoNormal"/>
      </w:pPr>
    </w:p>
    <w:p w:rsidR="00A90898" w:rsidRDefault="00A90898" w:rsidP="00A90898">
      <w:pPr>
        <w:pStyle w:val="TextoNormal"/>
      </w:pPr>
      <w:r>
        <w:t xml:space="preserve">Ciertamente, hemos identificado dentro del enunciado de este derecho un “núcleo indisponible” para el legislador, el cual atiende solamente a una circunstancia personal, que es la insuficiencia de recursos para litigar del solicitante (STC 16/1994, de 20 de enero, FJ 3). El art. 119 CE no reconoce un derecho a la gratuidad de la justicia en atención a la naturaleza de los derechos e intereses legítimos controvertidos o al tipo de proceso que permite su tutela. Ningún orden jurisdiccional, ni siquiera el penal, tiene garantizado </w:t>
      </w:r>
      <w:r w:rsidRPr="00A90898">
        <w:rPr>
          <w:i/>
        </w:rPr>
        <w:t>ex Constitutione</w:t>
      </w:r>
      <w:r>
        <w:t xml:space="preserve"> la gratuidad para quienes entablan acciones o recursos en ellos.</w:t>
      </w:r>
    </w:p>
    <w:p w:rsidR="00A90898" w:rsidRDefault="00A90898" w:rsidP="00A90898">
      <w:pPr>
        <w:pStyle w:val="TextoNormal"/>
      </w:pPr>
    </w:p>
    <w:p w:rsidR="00A90898" w:rsidRDefault="00A90898" w:rsidP="00A90898">
      <w:pPr>
        <w:pStyle w:val="TextoNormal"/>
      </w:pPr>
      <w:r>
        <w:t>En la STC 20/2012, de 16 de febrero, declaramos que la tasa judicial del art. 35 de la Ley 53/2002 no era contraria al derecho de acceso a la jurisdicción (art. 24.1 CE), no solamente porque su cuantía no resultaba desproporcionada en función de la alta capacidad económica que se atribuye a las entidades que venían sujetas a su pago, sino porque con ella se perseguía una finalidad legítima, la de “financiar el servicio público de la Administración de Justicia con cargo a los justiciables que más se benefician de la actividad jurisdiccional, disminuyendo correlativamente la financiación procedente de los impuestos” (FJ 8). Esa misma finalidad legítima está presente también en la Ley aquí impugnada.</w:t>
      </w:r>
    </w:p>
    <w:p w:rsidR="00A90898" w:rsidRDefault="00A90898" w:rsidP="00A90898">
      <w:pPr>
        <w:pStyle w:val="TextoNormal"/>
      </w:pPr>
    </w:p>
    <w:p w:rsidR="00A90898" w:rsidRDefault="00A90898" w:rsidP="00A90898">
      <w:pPr>
        <w:pStyle w:val="TextoNormal"/>
      </w:pPr>
      <w:r>
        <w:t xml:space="preserve">La indicada STC 20/2012, resolutoria de una cuestión de inconstitucionalidad sobre aquella tasa judicial (la del art. 35 de la Ley 53/2002), declaró procedente su exigencia en el orden jurisdiccional civil, criterio que la posterior STC 116/2012, de 4 de junio, FJ 5, juzgando en amparo, extendió al orden contencioso-administrativo. En todo caso, en ambas Sentencias y fundamentos jurídicos citados dijimos que el recurso contencioso-administrativo “ofrece peculiaridades desde el punto de vista constitucional, consecuencia del mandato </w:t>
      </w:r>
      <w:r>
        <w:lastRenderedPageBreak/>
        <w:t>contenido en el art. 106.1 CE que ordena y garantiza el control jurisdiccional de la Administración por parte de los Tribunales”. Aludíamos con ello a los dos fines esenciales que se cumplen en la Justicia administrativa: proveer a la tutela de derechos subjetivos e intereses legítimos y llevar a cabo el control de las Administraciones públicas, asegurando la sujeción de éstas al imperio de la Ley.</w:t>
      </w:r>
    </w:p>
    <w:p w:rsidR="00A90898" w:rsidRDefault="00A90898" w:rsidP="00A90898">
      <w:pPr>
        <w:pStyle w:val="TextoNormal"/>
      </w:pPr>
    </w:p>
    <w:p w:rsidR="00A90898" w:rsidRDefault="00A90898" w:rsidP="00A90898">
      <w:pPr>
        <w:pStyle w:val="TextoNormal"/>
      </w:pPr>
      <w:r>
        <w:t xml:space="preserve">En esa segunda tarea, los ciudadanos juegan un papel decisivo al impetrar la intervención jurisdiccional, dado que los procesos del orden contencioso-administrativo se rigen como es sabido por el principio dispositivo o de justicia rogada, el cual si bien hemos matizado en alguna fase de su desarrollo y finalización (SSTC 95/1998, de 4 de mayo, FJ 3, y 96/1998, de 4 de mayo, FJ 3, a propósito de los medios de autocomposición del objeto litigioso), opera sin embargo con toda su intensidad al inicio de las actuaciones, requiriendo siempre la iniciativa de parte para su apertura </w:t>
      </w:r>
      <w:r w:rsidRPr="00A90898">
        <w:rPr>
          <w:i/>
        </w:rPr>
        <w:t>(nemo iudex sine actore</w:t>
      </w:r>
      <w:r>
        <w:t>).</w:t>
      </w:r>
    </w:p>
    <w:p w:rsidR="00A90898" w:rsidRDefault="00A90898" w:rsidP="00A90898">
      <w:pPr>
        <w:pStyle w:val="TextoNormal"/>
      </w:pPr>
    </w:p>
    <w:p w:rsidR="00A90898" w:rsidRDefault="00A90898" w:rsidP="00A90898">
      <w:pPr>
        <w:pStyle w:val="TextoNormal"/>
      </w:pPr>
      <w:r>
        <w:t>Este elemento configurador de la Justicia administrativa debe conectarse a su vez con los pronunciamientos que ha hecho este Tribunal en cuanto a la necesidad de preservar la eficacia del mandato constitucional del art. 106.1 CE, garantizando el control judicial de la actividad administrativa, con sujeción plena de ésta a la ley y al Derecho (art. 103 CE), sin permitir zonas de inmunidad de jurisdicción. Así lo recuerda la STC 20/2012, de 16 de febrero, FJ 4; con cita de las SSTC 294/1994, de 7 de noviembre, FJ 3; y 177/2011, de 8 de noviembre, FJ 3; pudiendo destacarse también ahora, en este mismo sentido, las SSTC 219/2004, de 29 de noviembre, FJ 6; 17/2009, de 26 de enero, FJ 5; 203/2013, de 5 de diciembre, FJ 8, y 52/2014, de 10 de abril, FJ 2. En esta última se precisa que los criterios para el enjuiciamiento constitucional de aquellas normas que regulan el acceso a la jurisdicción (criterios tales como el reconocimiento de la libertad inicial del legislador para establecer límites a su ejercicio, siempre que estos resulten constitucionalmente válidos en función de los derechos, bienes o intereses protegidos y su proporcionalidad), “deben operar de forma más incisiva en los supuestos, como el presente, en que el acceso a la justicia sirve para asegurar el control judicial de la actividad administrativa”. Con ese propósito también, la doctrina de este Tribunal ha optado por la ruptura de la concepción tradicional del carácter revisor del contencioso-administrativo, permitiendo así el debate ante el órgano judicial de motivos nuevos para la estimación o desestimación del recurso (según la parte que los plantee), no tratados en la vía administrativa previa (SSTC 58/2009, de 9 de marzo, FJ 5; 29/2010, de 27 de abril, FJ 2, y 155/2012, de 16 de julio, FJ 3, así como las que en ellas se citan).</w:t>
      </w:r>
    </w:p>
    <w:p w:rsidR="00A90898" w:rsidRDefault="00A90898" w:rsidP="00A90898">
      <w:pPr>
        <w:pStyle w:val="TextoNormal"/>
      </w:pPr>
    </w:p>
    <w:p w:rsidR="00A90898" w:rsidRDefault="00A90898" w:rsidP="00A90898">
      <w:pPr>
        <w:pStyle w:val="TextoNormal"/>
      </w:pPr>
      <w:r>
        <w:t xml:space="preserve">Pues bien, la eficacia del control judicial de la actividad administrativa, por lo que acaba de decirse, se anuda a la necesidad de que no se entorpezca injustificadamente la promoción de las correspondientes acciones por quienes, en cada caso concreto, ostenten título de legitimación activa para impetrarlas </w:t>
      </w:r>
      <w:r w:rsidRPr="00A90898">
        <w:rPr>
          <w:i/>
        </w:rPr>
        <w:t>ex</w:t>
      </w:r>
      <w:r>
        <w:t xml:space="preserve"> art. 19 de la Ley reguladora de la jurisdicción contencioso-administrativa (LJCA) 29/1998, incluyendo en su ámbito de actuación las entidades representativas de intereses colectivos y difusos (consumidores y usuarios, de protección del medio ambiente, etc.); el Ministerio Fiscal y las propias Administraciones públicas —con las limitaciones del art. 20 LJCA—, si bien estos dos últimos, en lo que aquí importa, no pagan tasa judicial (art. 4.2. de la Ley 10/2012).</w:t>
      </w:r>
    </w:p>
    <w:p w:rsidR="00A90898" w:rsidRDefault="00A90898" w:rsidP="00A90898">
      <w:pPr>
        <w:pStyle w:val="TextoNormal"/>
      </w:pPr>
    </w:p>
    <w:p w:rsidR="00A90898" w:rsidRDefault="00A90898" w:rsidP="00A90898">
      <w:pPr>
        <w:pStyle w:val="TextoNormal"/>
      </w:pPr>
      <w:r>
        <w:t xml:space="preserve">En el escrito de demanda, de cuyo marco argumental obviamente no podemos separarnos a fuerza de incurrir en una improcedente reconstrucción de oficio de la pretensión deducida, </w:t>
      </w:r>
      <w:r>
        <w:lastRenderedPageBreak/>
        <w:t>se formula un reproche a la instauración de la tasa de la Ley 10/2012 en el orden contencioso-administrativo, pero no en términos totalizantes (“[e]s evidente que las tasas no son una prohibición legal expresa, ni un impedimento ‘absoluto e incondicional’ en el acceso a la jurisdicción contencioso-administrativa”), y ni siquiera con el propósito de excluir su pago respecto del control judicial de ámbitos enteros de la actividad administrativa, solamente por tratarse de ellos. La demanda se centra, antes bien, en dos supuestos concretos: (i) la exigencia de la tasa cuando se acciona judicialmente contra una vía de hecho, exigiéndose “el pago anticipado … en función de la cuantía del litigio”, (ii) y la interposición de recurso directo contra disposiciones generales, de nuevo haciendo hincapié en el perjuicio que supone un gravamen fijado “exclusivamente [por] el criterio de la cuantía del asunto”.</w:t>
      </w:r>
    </w:p>
    <w:p w:rsidR="00A90898" w:rsidRDefault="00A90898" w:rsidP="00A90898">
      <w:pPr>
        <w:pStyle w:val="TextoNormal"/>
      </w:pPr>
    </w:p>
    <w:p w:rsidR="00A90898" w:rsidRDefault="00A90898" w:rsidP="00A90898">
      <w:pPr>
        <w:pStyle w:val="TextoNormal"/>
      </w:pPr>
      <w:r>
        <w:t>La demanda por tanto no pretende argumentar que, con independencia del importe de la tasa y en todo caso, resultaría inconstitucional imponer este tributo a quien resulta gravado con su pago, teniendo en cuenta que se trata, como ya se indicó antes con cita de nuestra anterior STC 20/2012, de la persona que más se beneficia de la actividad jurisdiccional, por impetrarla justamente para la protección de un derecho o interés legítimo propio e individualizado, con independencia de los efectos que traiga consigo la estimación de su pretensión cuando se trata de recursos directos e indirectos contra disposiciones generales.</w:t>
      </w:r>
    </w:p>
    <w:p w:rsidR="00A90898" w:rsidRDefault="00A90898" w:rsidP="00A90898">
      <w:pPr>
        <w:pStyle w:val="TextoNormal"/>
      </w:pPr>
    </w:p>
    <w:p w:rsidR="00A90898" w:rsidRDefault="00A90898" w:rsidP="00A90898">
      <w:pPr>
        <w:pStyle w:val="TextoNormal"/>
      </w:pPr>
      <w:r>
        <w:t>Tampoco se ofrecen razones para cuestionar su imposición en abstracto para las vías de hecho, habiendo declarado por cierto este Tribunal que la calificación de si se está ante una vía de hecho o, si por el contrario existe un acto administrativo que respalda la actuación material denunciada, comporta un juicio de legalidad ordinaria que han de efectuar los tribunales ordinarios [SSTC 160/1991, de 18 de julio, FJ 4; 274/2006, de 25 de septiembre, FJ 3, y 104/2014, de 23 de junio, antecedente 2 a) y b) y FJ 1], el cual constituye precisamente el objeto del proceso que se insta.</w:t>
      </w:r>
    </w:p>
    <w:p w:rsidR="00A90898" w:rsidRDefault="00A90898" w:rsidP="00A90898">
      <w:pPr>
        <w:pStyle w:val="TextoNormal"/>
      </w:pPr>
    </w:p>
    <w:p w:rsidR="00A90898" w:rsidRDefault="00A90898" w:rsidP="00A90898">
      <w:pPr>
        <w:pStyle w:val="TextoNormal"/>
      </w:pPr>
      <w:r>
        <w:t xml:space="preserve">Aparte de los dos supuestos mencionados, por lo que respecta a la interposición de recurso contencioso-administrativo en casos de silencio negativo e inactividad prestacional de la Administración, procede apuntar que ambos se hallan exentos del pago de la tasa, </w:t>
      </w:r>
      <w:r w:rsidRPr="00A90898">
        <w:rPr>
          <w:i/>
        </w:rPr>
        <w:t>ex</w:t>
      </w:r>
      <w:r>
        <w:t xml:space="preserve"> art. 4.1 d) de la propia Ley 10/2012; exención que se ha mantenido invariable desde su texto original —entonces, art. 4.1 f)—.</w:t>
      </w:r>
    </w:p>
    <w:p w:rsidR="00A90898" w:rsidRDefault="00A90898" w:rsidP="00A90898">
      <w:pPr>
        <w:pStyle w:val="TextoNormal"/>
      </w:pPr>
    </w:p>
    <w:p w:rsidR="00A90898" w:rsidRDefault="00A90898" w:rsidP="00A90898">
      <w:pPr>
        <w:pStyle w:val="TextoNormal"/>
      </w:pPr>
      <w:r>
        <w:t>En definitiva, la conculcación constitucional de la que alertan los recurrentes en su demanda, deriva propiamente no del mero hecho de la imposición de la tasa, sino del eventual carácter excesivo de su cuantía, vinculada al valor económico del litigio. Pero tal aspecto no afecta sin embargo ya a la constitucionalidad de este art. 1 de la Ley 10/2012 que ahora se examina sino, en su caso, a la del art. 7 de la Ley, precepto también impugnado en el presente recurso y al que más adelante se prestará la debida atención.</w:t>
      </w:r>
    </w:p>
    <w:p w:rsidR="00A90898" w:rsidRDefault="00A90898" w:rsidP="00A90898">
      <w:pPr>
        <w:pStyle w:val="TextoNormal"/>
      </w:pPr>
    </w:p>
    <w:p w:rsidR="00A90898" w:rsidRDefault="00A90898" w:rsidP="00A90898">
      <w:pPr>
        <w:pStyle w:val="TextoNormal"/>
      </w:pPr>
      <w:r>
        <w:t xml:space="preserve">Otro tanto cabe decir respecto de la exigencia de la tasa en el orden social. La STC 20/2012, FJ 4, hizo advertencia entonces de las “especiales características que protegen el acceso a la justicia en materia … social”, con cita de las precedentes SSTC 3/1983, de 25 de enero, FJ 3; 118/1987, de 8 de julio, FJ 3, y 48/1995, de 14 de febrero, FJ 3, queriendo destacar con las dos últimas el carácter no rigurosamente formalista del proceso laboral y, con la primera de ellas, que si bien no existe un derecho constitucional de gratuidad de la justicia en este ámbito, el fin que hemos atribuido a dicho proceso como instrumento corrector de desigualdades entre el trabajador y el empresario, no puede quedar comprometido </w:t>
      </w:r>
      <w:r>
        <w:lastRenderedPageBreak/>
        <w:t>por la exigencia de un esfuerzo económico excesivo en la satisfacción de un tributo para su acceso.</w:t>
      </w:r>
    </w:p>
    <w:p w:rsidR="00A90898" w:rsidRDefault="00A90898" w:rsidP="00A90898">
      <w:pPr>
        <w:pStyle w:val="TextoNormal"/>
      </w:pPr>
    </w:p>
    <w:p w:rsidR="00A90898" w:rsidRDefault="00A90898" w:rsidP="00A90898">
      <w:pPr>
        <w:pStyle w:val="TextoNormal"/>
      </w:pPr>
      <w:r>
        <w:t>La constatación de si esta última cautela ha sido atendida por la Ley 10/2012 que se impugna, en relación con los importes fijados para interponer los recursos de suplicación y casación laborales, queda postergada igualmente al estudio de constitucionalidad del artículo 7.</w:t>
      </w:r>
    </w:p>
    <w:p w:rsidR="00A90898" w:rsidRDefault="00A90898" w:rsidP="00A90898">
      <w:pPr>
        <w:pStyle w:val="TextoNormal"/>
      </w:pPr>
    </w:p>
    <w:p w:rsidR="00A90898" w:rsidRDefault="00A90898" w:rsidP="00A90898">
      <w:pPr>
        <w:pStyle w:val="TextoNormal"/>
      </w:pPr>
      <w:r>
        <w:t>En definitiva, el art. 1 de la Ley 10/2012, de 20 de noviembre, no es inconstitucional dado que no vulnera los arts. 24.1, 106.1 y 119 CE.</w:t>
      </w:r>
    </w:p>
    <w:p w:rsidR="00A90898" w:rsidRDefault="00A90898" w:rsidP="00A90898">
      <w:pPr>
        <w:pStyle w:val="TextoNormal"/>
      </w:pPr>
    </w:p>
    <w:p w:rsidR="00A90898" w:rsidRDefault="00A90898" w:rsidP="00A90898">
      <w:pPr>
        <w:pStyle w:val="TextoNormal"/>
      </w:pPr>
      <w:r w:rsidRPr="00A90898">
        <w:rPr>
          <w:rStyle w:val="NumeroAFNegritaCaracter"/>
        </w:rPr>
        <w:t>4</w:t>
      </w:r>
      <w:r>
        <w:t>. Los demandantes sostienen que resulta contrario a la Constitución el art. 7 de la Ley 10/2012, de 20 de noviembre:</w:t>
      </w:r>
    </w:p>
    <w:p w:rsidR="00A90898" w:rsidRDefault="00A90898" w:rsidP="00A90898">
      <w:pPr>
        <w:pStyle w:val="TextoNormal"/>
      </w:pPr>
    </w:p>
    <w:p w:rsidR="00A90898" w:rsidRDefault="00A90898" w:rsidP="00A90898">
      <w:pPr>
        <w:pStyle w:val="TextoNormal"/>
      </w:pPr>
      <w:r>
        <w:t>“Determinación de la cuota tributaria: 1. Sin perjuicio de su modificación en la forma prevista en el artículo 8, será exigible la cantidad fija que, en función de cada clase de proceso, se determina en la siguiente tabla: En el orden jurisdiccional civil: Verbal y cambiario: 150 €; Ordinario: 300 €; Monitorio, monitorio europeo y demanda incidental en el proceso concursal: 100 €; Ejecución extrajudicial y oposición a la ejecución de títulos judiciales: 200 €; Concurso necesario: 200 €; Apelación: 800 €; Casación y extraordinario por infracción procesal: 1.200 €.</w:t>
      </w:r>
    </w:p>
    <w:p w:rsidR="00A90898" w:rsidRDefault="00A90898" w:rsidP="00A90898">
      <w:pPr>
        <w:pStyle w:val="TextoNormal"/>
      </w:pPr>
    </w:p>
    <w:p w:rsidR="00A90898" w:rsidRDefault="00A90898" w:rsidP="00A90898">
      <w:pPr>
        <w:pStyle w:val="TextoNormal"/>
      </w:pPr>
      <w:r>
        <w:t>Cuando después de la oposición del deudor en un monitorio se siga un proceso ordinario se descontará de la tasa la cantidad ya abonada en el proceso monitorio.</w:t>
      </w:r>
    </w:p>
    <w:p w:rsidR="00A90898" w:rsidRDefault="00A90898" w:rsidP="00A90898">
      <w:pPr>
        <w:pStyle w:val="TextoNormal"/>
      </w:pPr>
    </w:p>
    <w:p w:rsidR="00A90898" w:rsidRDefault="00A90898" w:rsidP="00A90898">
      <w:pPr>
        <w:pStyle w:val="TextoNormal"/>
      </w:pPr>
      <w:r>
        <w:t>En el orden jurisdiccional contencioso-administrativo: Abreviado: 200 €; Ordinario: 350 €; Apelación: 800 €; Casación: 1.200 €.</w:t>
      </w:r>
    </w:p>
    <w:p w:rsidR="00A90898" w:rsidRDefault="00A90898" w:rsidP="00A90898">
      <w:pPr>
        <w:pStyle w:val="TextoNormal"/>
      </w:pPr>
    </w:p>
    <w:p w:rsidR="00A90898" w:rsidRDefault="00A90898" w:rsidP="00A90898">
      <w:pPr>
        <w:pStyle w:val="TextoNormal"/>
      </w:pPr>
      <w:r>
        <w:t>En el orden social: Suplicación: 500 €; Casación: 750 €.</w:t>
      </w:r>
    </w:p>
    <w:p w:rsidR="00A90898" w:rsidRDefault="00A90898" w:rsidP="00A90898">
      <w:pPr>
        <w:pStyle w:val="TextoNormal"/>
      </w:pPr>
    </w:p>
    <w:p w:rsidR="00A90898" w:rsidRDefault="00A90898" w:rsidP="00A90898">
      <w:pPr>
        <w:pStyle w:val="TextoNormal"/>
      </w:pPr>
      <w:r>
        <w:t>2. Deberá satisfacerse, además, la cantidad que resulte de aplicar a la base imponible determinada con arreglo a lo dispuesto en el artículo anterior el tipo de gravamen que corresponda, según la siguiente escala: De: 0 A: 1.000.000 €: Tipo por 100: 0,5; Resto: Tipo por 100: 0,25; Máximo variable: 10.000 €.”</w:t>
      </w:r>
    </w:p>
    <w:p w:rsidR="00A90898" w:rsidRDefault="00A90898" w:rsidP="00A90898">
      <w:pPr>
        <w:pStyle w:val="TextoNormal"/>
      </w:pPr>
    </w:p>
    <w:p w:rsidR="00A90898" w:rsidRDefault="00A90898" w:rsidP="00A90898">
      <w:pPr>
        <w:pStyle w:val="TextoNormal"/>
      </w:pPr>
      <w:r>
        <w:t>El recurso sostiene que la cuantía excesiva de las tasas que se fijan en este precepto produce diversas vulneraciones constitucionales, primordialmente la de los derechos fundamentales de acceso a la jurisdicción y al recurso (art. 24.1 CE), así como también la del derecho a la igualdad ante la ley (art. 14 CE) y la de los principios tributarios de capacidad económica y progresividad en materia tributaria (art. 31 CE). Así expuesto, procede anteponer el examen de la segunda de las tres quejas mencionadas, en cuanto se halla afectada de un óbice procesal en los términos que ahora se explicarán, prosiguiendo después con el examen de fondo de la alegada vulneración del derecho a la tutela judicial efectiva.</w:t>
      </w:r>
    </w:p>
    <w:p w:rsidR="00A90898" w:rsidRDefault="00A90898" w:rsidP="00A90898">
      <w:pPr>
        <w:pStyle w:val="TextoNormal"/>
      </w:pPr>
    </w:p>
    <w:p w:rsidR="00A90898" w:rsidRDefault="00A90898" w:rsidP="00A90898">
      <w:pPr>
        <w:pStyle w:val="TextoNormal"/>
      </w:pPr>
      <w:r>
        <w:t>Así, en primer lugar, la demanda habla de conculcación del derecho fundamental a la igualdad ante la ley (art. 14 CE), afirmando que la dificultad en pagar la tasa genera discriminaciones de tipo indirecto y directo:</w:t>
      </w:r>
    </w:p>
    <w:p w:rsidR="00A90898" w:rsidRDefault="00A90898" w:rsidP="00A90898">
      <w:pPr>
        <w:pStyle w:val="TextoNormal"/>
      </w:pPr>
    </w:p>
    <w:p w:rsidR="00A90898" w:rsidRDefault="00A90898" w:rsidP="00A90898">
      <w:pPr>
        <w:pStyle w:val="TextoNormal"/>
      </w:pPr>
      <w:r>
        <w:lastRenderedPageBreak/>
        <w:t>a) Como se hizo constar en los antecedentes, se sostiene que con desconocimiento de la prohibición contenida en el inciso segundo del art. 14 CE, la norma impugnada produce una discriminación indirecta por razón de sexo, en concreto en perjuicio de la mujer, porque no ha tomado en cuenta la repercusión que tiene la exigencia de la tasa en los “procesos de familia derivados o vinculados con acciones penales o con situaciones en las que la mujer fuese víctima de violencia de género”, ni tampoco en procesos civiles de “divorcio, separación o alimentos, cuando la mujer, dadas las condiciones objetivas de nuestro mercado de trabajo, se encuentra a menudo en una situación real de menores ingresos”, lo que trae consigo, añade, que “la barrera económica de las tasas” resulte mayor para ellas. Se objeta que la Ley no prevé una menor cuantía de la tasa en razón del género, ni un trámite para su reducción en casos concretos “en función de la particular situación de la mujer en el proceso”. El Abogado del Estado contestó a esta cuestión recordando la extensión del beneficio de justicia gratuita a las víctimas de violencia de género, operada por el Real Decreto-ley 3/2013.</w:t>
      </w:r>
    </w:p>
    <w:p w:rsidR="00A90898" w:rsidRDefault="00A90898" w:rsidP="00A90898">
      <w:pPr>
        <w:pStyle w:val="TextoNormal"/>
      </w:pPr>
    </w:p>
    <w:p w:rsidR="00A90898" w:rsidRDefault="00A90898" w:rsidP="00A90898">
      <w:pPr>
        <w:pStyle w:val="TextoNormal"/>
      </w:pPr>
      <w:r>
        <w:t>b) Por su parte, la denuncia de discriminación directa (art. 14 CE) por razón de la condición social, se refiere a los procesos donde se dirimen medidas sobre guarda y custodia de hijos menores o de satisfacción de alimentos en nombre de éstos, entre las parejas unidas por vínculo matrimonial y las que no lo están.</w:t>
      </w:r>
    </w:p>
    <w:p w:rsidR="00A90898" w:rsidRDefault="00A90898" w:rsidP="00A90898">
      <w:pPr>
        <w:pStyle w:val="TextoNormal"/>
      </w:pPr>
    </w:p>
    <w:p w:rsidR="00A90898" w:rsidRDefault="00A90898" w:rsidP="00A90898">
      <w:pPr>
        <w:pStyle w:val="TextoNormal"/>
      </w:pPr>
      <w:r>
        <w:t>Pues bien, en ambos casos y dada la naturaleza de la controversia, quienes estaban obligados originalmente a satisfacer la tasa eran siempre personas físicas, de modo que, en coherencia con la exención que se acuerda para todas ellas de su pago respecto de todo tipo de procesos [art. 4.2 a)], el propio Real Decreto-ley 1/2015 modificó también el art. 4.1 a), eliminando del catálogo de exenciones objetivas la que concernía a aquellos procesos de familia. Se produce en, consecuencia, también aquí, la pérdida sobrevenida de objeto del recurso.</w:t>
      </w:r>
    </w:p>
    <w:p w:rsidR="00A90898" w:rsidRDefault="00A90898" w:rsidP="00A90898">
      <w:pPr>
        <w:pStyle w:val="TextoNormal"/>
      </w:pPr>
    </w:p>
    <w:p w:rsidR="00A90898" w:rsidRDefault="00A90898" w:rsidP="00A90898">
      <w:pPr>
        <w:pStyle w:val="TextoNormal"/>
      </w:pPr>
      <w:r w:rsidRPr="00A90898">
        <w:rPr>
          <w:rStyle w:val="NumeroAFNegritaCaracter"/>
        </w:rPr>
        <w:t>5</w:t>
      </w:r>
      <w:r>
        <w:t>. Abordamos a continuación la queja formulada por los demandantes contra el mismo art. 7 de la Ley recurrida, ahora en relación con las cuantías de la tasa judicial: la vulneración del derecho fundamental a la tutela judicial efectiva (art. 24.1 CE), en sus vertientes de acceso a la jurisdicción y acceso al recurso legalmente establecido.</w:t>
      </w:r>
    </w:p>
    <w:p w:rsidR="00A90898" w:rsidRDefault="00A90898" w:rsidP="00A90898">
      <w:pPr>
        <w:pStyle w:val="TextoNormal"/>
      </w:pPr>
    </w:p>
    <w:p w:rsidR="00A90898" w:rsidRDefault="00A90898" w:rsidP="00A90898">
      <w:pPr>
        <w:pStyle w:val="TextoNormal"/>
      </w:pPr>
      <w:r>
        <w:t>Este motivo impugnatorio se bifurca en dos direcciones: en primer lugar, se sostiene por la demanda que la Ley 10/2012 no tiene en cuenta la situación de aquellos que carecen de “capacidad económica” (suficiencia de recursos) para satisfacer la tasa, lo que trae consigo la imposibilidad de ejercicio del derecho a la tutela judicial en tales supuestos, añadiendo en este punto que “ni para financiar el sistema de Justicia Gratuita ni para financiar el sistema judicial tiene sentido la expulsión de una parte de la ciudadanía del acceso a los Tribunales de Justicia”. A ello se opone el Abogado del Estado diciendo que se tratarían de casos excepcionales, lo que no puede servir como criterio para medir la constitucionalidad de la norma.</w:t>
      </w:r>
    </w:p>
    <w:p w:rsidR="00A90898" w:rsidRDefault="00A90898" w:rsidP="00A90898">
      <w:pPr>
        <w:pStyle w:val="TextoNormal"/>
      </w:pPr>
    </w:p>
    <w:p w:rsidR="00A90898" w:rsidRDefault="00A90898" w:rsidP="00A90898">
      <w:pPr>
        <w:pStyle w:val="TextoNormal"/>
      </w:pPr>
      <w:r>
        <w:t xml:space="preserve">En segundo lugar, se sostiene por los recurrentes que las desproporcionadas cuantías de la tasa judicial (cuota fija y cuota variable con sus escalas) produce, además de lo anterior, un efecto disuasorio o inhibidor para impetrar el auxilio de los tribunales, poniendo como ejemplos la interposición de recursos contencioso-administrativos contra disposiciones generales, vías de hecho, imposición de sanciones de pequeña cuantía y reclamaciones por </w:t>
      </w:r>
      <w:r>
        <w:lastRenderedPageBreak/>
        <w:t>responsabilidad extracontractual (civil o administrativa) de importe elevado. El Abogado del Estado niega esta falta de proporcionalidad, recordando que una cuota similar para el acceso al orden contencioso-administrativo ya se preveía en el art. 35 de la Ley 53/2002; que mayor carga económica comporta la asunción de los gastos de abogado y procurador frente a los de la tasa; y que el actual sistema favorece que paguen la tasa quienes “ejercitan pretensiones bien fundadas”, al tiempo que propicia que la Administración reconozca éstas (las pretensiones bien fundadas) en vía administrativa o, en su caso, se allane a la demanda para evitar su condena en costas.</w:t>
      </w:r>
    </w:p>
    <w:p w:rsidR="00A90898" w:rsidRDefault="00A90898" w:rsidP="00A90898">
      <w:pPr>
        <w:pStyle w:val="TextoNormal"/>
      </w:pPr>
    </w:p>
    <w:p w:rsidR="00A90898" w:rsidRDefault="00A90898" w:rsidP="00A90898">
      <w:pPr>
        <w:pStyle w:val="TextoNormal"/>
      </w:pPr>
      <w:r>
        <w:t>El recurso, sin embargo, no se extiende a considerar la eventual vulneración del derecho de acceso (art. 24.1 CE) desde la óptica, no ya de la mera instauración de la tasa judicial, o de su cuantía, sino de la posibilidad de archivo del proceso en caso de impago del tributo, cuestión ésta que la Ley 10/2012 recoge dentro de ciertos condicionantes en su artículo 8.2, pero el cual no ha sido impugnado por los recurrentes, lo que nos impide efectuar aquí un pronunciamiento sobre su validez constitucional.</w:t>
      </w:r>
    </w:p>
    <w:p w:rsidR="00A90898" w:rsidRDefault="00A90898" w:rsidP="00A90898">
      <w:pPr>
        <w:pStyle w:val="TextoNormal"/>
      </w:pPr>
    </w:p>
    <w:p w:rsidR="00A90898" w:rsidRDefault="00A90898" w:rsidP="00A90898">
      <w:pPr>
        <w:pStyle w:val="TextoNormal"/>
      </w:pPr>
      <w:r>
        <w:t>Aclarado lo que antecede, trataremos cada una de las dos quejas deducidas siguiendo el mismo orden de su exposición:</w:t>
      </w:r>
    </w:p>
    <w:p w:rsidR="00A90898" w:rsidRDefault="00A90898" w:rsidP="00A90898">
      <w:pPr>
        <w:pStyle w:val="TextoNormal"/>
      </w:pPr>
    </w:p>
    <w:p w:rsidR="00A90898" w:rsidRDefault="00A90898" w:rsidP="00A90898">
      <w:pPr>
        <w:pStyle w:val="TextoNormal"/>
      </w:pPr>
      <w:r>
        <w:t>a) En relación, en primer lugar, con el problema de la insuficiencia económica del obligado al pago de la tasa judicial, este Tribunal viene afirmando de manera reiterada que si bien el derecho de acceso a la jurisdicción, vertiente de aquel más general a la tutela judicial efectiva (art. 24.1 CE), es un derecho fundamental de configuración legal que, en virtud de este último carácter, conlleva un grado de libertad de actuación en el legislador para definir las condiciones y requisitos determinantes de dicho acceso en los distintos órdenes, esa tarea de configuración no se encuentra sin embargo exenta de limitaciones.</w:t>
      </w:r>
    </w:p>
    <w:p w:rsidR="00A90898" w:rsidRDefault="00A90898" w:rsidP="00A90898">
      <w:pPr>
        <w:pStyle w:val="TextoNormal"/>
      </w:pPr>
    </w:p>
    <w:p w:rsidR="00A90898" w:rsidRDefault="00A90898" w:rsidP="00A90898">
      <w:pPr>
        <w:pStyle w:val="TextoNormal"/>
      </w:pPr>
      <w:r>
        <w:t>De esta manera,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(STC 4/1988, de 21 de enero, FJ 5; en el mismo sentido SSTC 48/1995, de 14 de febrero, FJ 2; 76/1996, de 30 de abril, FJ 2; 138/2005, de 26 de mayo, FJ 4; 273/2005, de 27 de octubre, FJ 5, y 20/2012, de 16 de febrero, FJ 5).</w:t>
      </w:r>
    </w:p>
    <w:p w:rsidR="00A90898" w:rsidRDefault="00A90898" w:rsidP="00A90898">
      <w:pPr>
        <w:pStyle w:val="TextoNormal"/>
      </w:pPr>
    </w:p>
    <w:p w:rsidR="00A90898" w:rsidRDefault="00A90898" w:rsidP="00A90898">
      <w:pPr>
        <w:pStyle w:val="TextoNormal"/>
      </w:pPr>
      <w:r>
        <w:t>En aplicación de esta doctrina, nuestra STC 20/2012, FJ 10, fijó el criterio en relación con las tasas (cuotas fija y variable) del art. 35 de la Ley 53/2002, de que, la posible contradicción de su exigencia con el derecho fundamental de acceso a la jurisdicción, solo se produciría, si dichas tasas resultaran “tan elevadas que impiden en la práctica el acceso a la jurisdicción o lo obstaculizan en un caso concreto en términos irrazonables”. Criterio que reiteramos en la STC 79/2012, de 17 de abril, FJ 5, esta vez a propósito del derecho de acceso al recurso [también, sobre este último, STC 190/2012, de 29 de octubre, FJ 2 a)].</w:t>
      </w:r>
    </w:p>
    <w:p w:rsidR="00A90898" w:rsidRDefault="00A90898" w:rsidP="00A90898">
      <w:pPr>
        <w:pStyle w:val="TextoNormal"/>
      </w:pPr>
    </w:p>
    <w:p w:rsidR="00A90898" w:rsidRDefault="00A90898" w:rsidP="00A90898">
      <w:pPr>
        <w:pStyle w:val="TextoNormal"/>
      </w:pPr>
      <w:r>
        <w:t>La alta capacidad económica atribuida al sujeto obligado por aquel tributo (art. 35 de la Ley 53/2002), merced al importe neto anual de su volumen de negocios conforme luego se dirá, hacía prever no obstante que las hipótesis de imposibilidad de pago de las cuotas fijadas resultaría más bien remota en la práctica, como ya se ha indicado en el anterior fundamento jurídico 2 c), a salvo situaciones de insolvencia de la entidad.</w:t>
      </w:r>
    </w:p>
    <w:p w:rsidR="00A90898" w:rsidRDefault="00A90898" w:rsidP="00A90898">
      <w:pPr>
        <w:pStyle w:val="TextoNormal"/>
      </w:pPr>
    </w:p>
    <w:p w:rsidR="00A90898" w:rsidRDefault="00A90898" w:rsidP="00A90898">
      <w:pPr>
        <w:pStyle w:val="TextoNormal"/>
      </w:pPr>
      <w:r>
        <w:t xml:space="preserve">En el caso que dio lugar al planteamiento de la cuestión de inconstitucionalidad resuelta por aquella STC 20/2012, de hecho, el problema suscitado no fue el de la falta de recursos económicos de la empresa actora para su pago, sino la conformidad con el art. 24.1 CE del efecto procesal de archivo del procedimiento, por no subsanarse en plazo la falta de aportación del justificante de pago de la tasa (tema que no forma parte del objeto del presente recurso, como ya se dijo). Todas las demás Sentencias que hemos dictado después han incidido en este mismo punto, ya no en relación con el derecho de acceso a la jurisdicción sino con el de acceso al recurso, lo que relevó de la necesidad de examinar la situación económica de las entidades recurrentes: así sucedió en las restantes cuestiones de inconstitucionalidad del art. 35 de la Ley Orgánica del Tribunal Constitucional (LOTC) que resolvimos (SSTC 79/2012, de 17 de abril, y 85/2012, de 18 de abril); en las cuestiones internas de inconstitucionalidad </w:t>
      </w:r>
      <w:r w:rsidRPr="00A90898">
        <w:rPr>
          <w:i/>
        </w:rPr>
        <w:t>ex</w:t>
      </w:r>
      <w:r>
        <w:t xml:space="preserve"> art. 55.2 LOTC (SSTC 103/2012, de 9 de mayo, y 104/2012, de 10 de mayo) y también en los recursos de amparo (SSTC 115/2012, de 4 de junio; 125/2012 de 18 de junio —estas dos primeras, resolviendo los recursos que dieron lugar al planteamiento de aquellas cuestiones internas de inconstitucionalidad—; 164/2012 de 1 de octubre; 190/2012 de 29 de octubre; 218/2012 de 26 de noviembre, y 149/2015, de 6 de julio).</w:t>
      </w:r>
    </w:p>
    <w:p w:rsidR="00A90898" w:rsidRDefault="00A90898" w:rsidP="00A90898">
      <w:pPr>
        <w:pStyle w:val="TextoNormal"/>
      </w:pPr>
    </w:p>
    <w:p w:rsidR="00A90898" w:rsidRDefault="00A90898" w:rsidP="00A90898">
      <w:pPr>
        <w:pStyle w:val="TextoNormal"/>
      </w:pPr>
      <w:r>
        <w:t>En el escenario de aplicación generalizada de la tasa judicial que plantea la Ley 10/2012, de 20 de noviembre, se hace obligado determinar si esta última adopta, en su propio articulado o por remisión a otras leyes, las medidas necesarias para evitar que la exigencia de su pago pueda traducirse en un obstáculo real de acceso a la Justicia (art. 24.1 CE), por causa de insuficiencia económica del sujeto obligado a satisfacerla.</w:t>
      </w:r>
    </w:p>
    <w:p w:rsidR="00A90898" w:rsidRDefault="00A90898" w:rsidP="00A90898">
      <w:pPr>
        <w:pStyle w:val="TextoNormal"/>
      </w:pPr>
    </w:p>
    <w:p w:rsidR="00A90898" w:rsidRDefault="00A90898" w:rsidP="00A90898">
      <w:pPr>
        <w:pStyle w:val="TextoNormal"/>
      </w:pPr>
      <w:r>
        <w:t>b) La necesidad de evitar que la insuficiencia económica del sujeto pasivo de esta tasa se erija en obstáculo de acceso a la Justicia se refuerza por la exigencia del mismo tipo emanada de la jurisprudencia del Tribunal Europeo de Derechos Humanos en materia de vulneración del derecho de acceso a los tribunales (derecho a que su causa sea oída por un tribunal) del art. 6.1 del Convenio europeo para la protección de los derechos humanos y de las libertades fundamentales (CEDH), causada por la imposición de una tasa o timbre fiscal del Estado en asuntos “civiles”.</w:t>
      </w:r>
    </w:p>
    <w:p w:rsidR="00A90898" w:rsidRDefault="00A90898" w:rsidP="00A90898">
      <w:pPr>
        <w:pStyle w:val="TextoNormal"/>
      </w:pPr>
    </w:p>
    <w:p w:rsidR="00A90898" w:rsidRDefault="00A90898" w:rsidP="00A90898">
      <w:pPr>
        <w:pStyle w:val="TextoNormal"/>
      </w:pPr>
      <w:r>
        <w:t>No se trata de dilucidar con ello, ha de aclararse, si la Ley aquí impugnada ha infringido el Convenio de Roma de 1950, como sostienen los recurrentes en su demanda, ya que no le corresponde a este Tribunal dirimir tal cuestión ni siquiera con base en la cláusula del art. 10.2 CE, la cual recoge un criterio interpretativo de los derechos fundamentales, pero sin que quepa considerar la existencia de una lesión autónoma de esta directriz sino siempre la del derecho fundamental concernido, bien que “agravada por el hecho que tal vulneración pondría de manifiesto la falta de respeto al único criterio interpretativo del texto constitucional que recoge expresamente la propia Constitución” [STC 198/2012, de 6 de noviembre, FJ 2 b)].</w:t>
      </w:r>
    </w:p>
    <w:p w:rsidR="00A90898" w:rsidRDefault="00A90898" w:rsidP="00A90898">
      <w:pPr>
        <w:pStyle w:val="TextoNormal"/>
      </w:pPr>
    </w:p>
    <w:p w:rsidR="00A90898" w:rsidRDefault="00A90898" w:rsidP="00A90898">
      <w:pPr>
        <w:pStyle w:val="TextoNormal"/>
      </w:pPr>
      <w:r>
        <w:t xml:space="preserve">Igual aclaración se impone respecto de la alegada vulneración del art. 47 de la Carta de los derechos fundamentales de la Unión Europea, vigente desde el 1 de diciembre de 2009. El Derecho de la Unión Europea “no integra en sí mismo el canon de constitucionalidad bajo el que hayan de examinarse las leyes del Estado español, ni siquiera en el caso de que la supuesta contradicción sirviera para fundamentar la pretensión de inconstitucionalidad de una ley por oposición a un derecho fundamental, atendiendo a lo dispuesto en el art. 10.2 </w:t>
      </w:r>
      <w:r>
        <w:lastRenderedPageBreak/>
        <w:t>CE” (STC 61/2013, de 14 de marzo, FJ 5). Ello sin perjuicio de que en el ámbito concreto de las llamadas vulneraciones indirectas, “para precisar cuáles son, en concreto, los derechos, facultades o facetas contenidas en el correspondiente contenido absoluto de un derecho fundamental cuya lesión determina una vulneración indirecta de aquel por parte de los poderes públicos españoles, hemos destacado la decisiva relevancia que adquieren los tratados y acuerdos internacionales sobre protección de los derechos fundamentales y las libertades públicas ratificados por España (STC 91/2000, de 30 de marzo, FJ 7)” (STC 26/2014, de 13 de febrero, FJ 4).</w:t>
      </w:r>
    </w:p>
    <w:p w:rsidR="00A90898" w:rsidRDefault="00A90898" w:rsidP="00A90898">
      <w:pPr>
        <w:pStyle w:val="TextoNormal"/>
      </w:pPr>
    </w:p>
    <w:p w:rsidR="00A90898" w:rsidRDefault="00A90898" w:rsidP="00A90898">
      <w:pPr>
        <w:pStyle w:val="TextoNormal"/>
      </w:pPr>
      <w:r>
        <w:t xml:space="preserve">Además, en el caso concreto de la Ley 10/2012, de 20 de noviembre, la Sentencia del Tribunal de Justicia de la Unión Europea, de 27 de marzo de 2014, asunto </w:t>
      </w:r>
      <w:r w:rsidRPr="00A90898">
        <w:rPr>
          <w:i/>
        </w:rPr>
        <w:t>Torralbo Marcos</w:t>
      </w:r>
      <w:r>
        <w:t xml:space="preserve"> (núm. C-265/13), respondiendo a una cuestión prejudicial formulada por el Juzgado núm. 2 de Terrassa, ha señalado que la Ley 10/2012, de 20 de noviembre, “no tiene por objeto aplicar disposiciones del Derecho de la Unión. Por otro lado, este último Derecho no contiene ninguna normativa específica en la materia o que pueda afectar a la normativa nacional” (apartado 32). Esto ha llevado a dicho Tribunal a declararse no competente para responder a las cuestiones prejudiciales suscitadas. La aplicación de la Ley aquí recurrida no puede entrañar la conculcación, por tanto y en lo que aquí importa, del art. 47 de la Carta de derechos fundamentales.</w:t>
      </w:r>
    </w:p>
    <w:p w:rsidR="00A90898" w:rsidRDefault="00A90898" w:rsidP="00A90898">
      <w:pPr>
        <w:pStyle w:val="TextoNormal"/>
      </w:pPr>
    </w:p>
    <w:p w:rsidR="00A90898" w:rsidRDefault="00A90898" w:rsidP="00A90898">
      <w:pPr>
        <w:pStyle w:val="TextoNormal"/>
      </w:pPr>
      <w:r>
        <w:t xml:space="preserve">Con carácter general, además, el propio Tribunal de Justicia ha declarado en su reciente Sentencia de 30 de junio de 2016, asunto </w:t>
      </w:r>
      <w:r w:rsidRPr="00A90898">
        <w:rPr>
          <w:i/>
        </w:rPr>
        <w:t>Vasile Toma</w:t>
      </w:r>
      <w:r>
        <w:t xml:space="preserve"> (núm. C-205-15), que “el derecho de acceso a un tribunal no es un derecho absoluto, sino que puede comportar restricciones proporcionadas que persigan un objetivo legítimo y no menoscaben dicho derecho en su esencia, inclusive las ligadas al pago de tasas judiciales (véanse, en este sentido, las sentencias de 22 de diciembre de 2010, </w:t>
      </w:r>
      <w:r w:rsidRPr="00A90898">
        <w:rPr>
          <w:i/>
        </w:rPr>
        <w:t>DEB</w:t>
      </w:r>
      <w:r>
        <w:t xml:space="preserve">, C 279/09, EU:C:2010:811, apartados 45, 52 y 60, y de 6 de octubre de 2015, </w:t>
      </w:r>
      <w:r w:rsidRPr="00A90898">
        <w:rPr>
          <w:i/>
        </w:rPr>
        <w:t>Orizzonte Salute</w:t>
      </w:r>
      <w:r>
        <w:t xml:space="preserve">, C 61/14, EU:C:2015:655, apartados 72 y 79” (apartado 44). Teniendo en cuenta además, conforme precisa la misma Sentencia, que “las tasas judiciales contribuyen, en principio, al buen funcionamiento del sistema jurisdiccional, en la medida en que constituyen una fuente de financiación de la actividad judicial de los Estados miembros (sentencia de 6 octubre de 2015, </w:t>
      </w:r>
      <w:r w:rsidRPr="00A90898">
        <w:rPr>
          <w:i/>
        </w:rPr>
        <w:t>Orizzonte Salute</w:t>
      </w:r>
      <w:r>
        <w:t>, C 61/14, EU:C:2015:655, apartado 73)” (apartado 49).</w:t>
      </w:r>
    </w:p>
    <w:p w:rsidR="00A90898" w:rsidRDefault="00A90898" w:rsidP="00A90898">
      <w:pPr>
        <w:pStyle w:val="TextoNormal"/>
      </w:pPr>
    </w:p>
    <w:p w:rsidR="00A90898" w:rsidRDefault="00A90898" w:rsidP="00A90898">
      <w:pPr>
        <w:pStyle w:val="TextoNormal"/>
      </w:pPr>
      <w:r>
        <w:t xml:space="preserve">Aclarado lo anterior, y atendiendo entonces, como se anticipaba, al valor como criterio interpretativo de la jurisprudencia del Tribunal Europeo de Derechos Humanos en el ámbito que aquí nos ocupa, el de la imposición de una tasa para el acceso a la Justicia, cabe decir que algunas de sus resoluciones ya fueron objeto de cita en nuestra STC 20/2012, de 16 de febrero, FJ 10, incluyendo la que da inicio a esa jurisprudencia, la dictada el 19 de junio de 2001 en el caso </w:t>
      </w:r>
      <w:r w:rsidRPr="00A90898">
        <w:rPr>
          <w:i/>
        </w:rPr>
        <w:t>Kreuz contra Polonia</w:t>
      </w:r>
      <w:r>
        <w:t xml:space="preserve"> (§§ 60 y 66). El Tribunal Europeo de Derechos Humanos, en síntesis, reconoce de manera reiterada que el derecho de acceso no es absoluto, que los Estados pueden introducir limitaciones a su ejercicio incluso de orden “financiero” siempre que, con tales medidas, se persiga un fin legítimo y exista una relación de razonable proporcionalidad entre los medios empleados y dicho fin. En concreto, cabe la exacción de tasas para financiar la justicia siempre que las que se apliquen no resulten excesivas a la luz de las circunstancias concretas del caso, hasta el punto de impedir el disfrute del derecho de acceso; debiendo emplearse para ello dos factores de ponderación: la suficiencia económica del recurrente (</w:t>
      </w:r>
      <w:r w:rsidRPr="00A90898">
        <w:rPr>
          <w:i/>
        </w:rPr>
        <w:t>ability to pay</w:t>
      </w:r>
      <w:r>
        <w:t xml:space="preserve">, en la versión inglesa de estas Sentencias; </w:t>
      </w:r>
      <w:r w:rsidRPr="00A90898">
        <w:rPr>
          <w:i/>
        </w:rPr>
        <w:t>solvabilité</w:t>
      </w:r>
      <w:r>
        <w:t xml:space="preserve">, en la versión francesa) y la fase del proceso —primera instancia o recurso— en la que se impuso </w:t>
      </w:r>
      <w:r>
        <w:lastRenderedPageBreak/>
        <w:t xml:space="preserve">su pago. Últimamente, SSTEDH de 14 de octubre de 2010, asunto </w:t>
      </w:r>
      <w:r w:rsidRPr="00A90898">
        <w:rPr>
          <w:i/>
        </w:rPr>
        <w:t>Pedro Ramos contra Suiza</w:t>
      </w:r>
      <w:r>
        <w:t xml:space="preserve">, § 37; 9 de diciembre de 2010, asunto </w:t>
      </w:r>
      <w:r w:rsidRPr="00A90898">
        <w:rPr>
          <w:i/>
        </w:rPr>
        <w:t>Urbanek contra Austria</w:t>
      </w:r>
      <w:r>
        <w:t xml:space="preserve">, §§ 50 y 51; 7 de febrero de 2012, asunto </w:t>
      </w:r>
      <w:r w:rsidRPr="00A90898">
        <w:rPr>
          <w:i/>
        </w:rPr>
        <w:t>Alkan contra Turquía</w:t>
      </w:r>
      <w:r>
        <w:t xml:space="preserve">, § 24; 16 de octubre de 2012, asunto </w:t>
      </w:r>
      <w:r w:rsidRPr="00A90898">
        <w:rPr>
          <w:i/>
        </w:rPr>
        <w:t>Pietka contra Polonia</w:t>
      </w:r>
      <w:r>
        <w:t xml:space="preserve">, § 57; y 8 de enero de 2013, asunto </w:t>
      </w:r>
      <w:r w:rsidRPr="00A90898">
        <w:rPr>
          <w:i/>
        </w:rPr>
        <w:t>Dimitrov contra Bulgaria, No</w:t>
      </w:r>
      <w:r>
        <w:t>. 2, § 24.</w:t>
      </w:r>
    </w:p>
    <w:p w:rsidR="00A90898" w:rsidRDefault="00A90898" w:rsidP="00A90898">
      <w:pPr>
        <w:pStyle w:val="TextoNormal"/>
      </w:pPr>
    </w:p>
    <w:p w:rsidR="00A90898" w:rsidRDefault="00A90898" w:rsidP="00A90898">
      <w:pPr>
        <w:pStyle w:val="TextoNormal"/>
      </w:pPr>
      <w:r>
        <w:t xml:space="preserve">Dicha jurisprudencia ha resuelto en su mayoría quejas relacionadas con el acceso a la jurisdicción (primera o única instancia) en procesos de declaración. No obstante, el Tribunal ha proclamado también esta garantía, declarando en su caso la vulneración del Convenio, a propósito del acceso a los recursos: SSTEDH de 26 julio de 2005, asunto </w:t>
      </w:r>
      <w:r w:rsidRPr="00A90898">
        <w:rPr>
          <w:i/>
        </w:rPr>
        <w:t>Kniat contra Polonia</w:t>
      </w:r>
      <w:r>
        <w:t xml:space="preserve">, §§ 46 y 47; 26 de julio de 2005, asunto </w:t>
      </w:r>
      <w:r w:rsidRPr="00A90898">
        <w:rPr>
          <w:i/>
        </w:rPr>
        <w:t>Podbielski and Ppu Polpure contra Polonia</w:t>
      </w:r>
      <w:r>
        <w:t xml:space="preserve">, §§ 68, 69 y 70; 7 de julio de 2009, asunto </w:t>
      </w:r>
      <w:r w:rsidRPr="00A90898">
        <w:rPr>
          <w:i/>
        </w:rPr>
        <w:t>Kata contra Polonia</w:t>
      </w:r>
      <w:r>
        <w:t xml:space="preserve">, § 41; 3 de marzo de 2009, asunto </w:t>
      </w:r>
      <w:r w:rsidRPr="00A90898">
        <w:rPr>
          <w:i/>
        </w:rPr>
        <w:t>Cibicki contra Polonia</w:t>
      </w:r>
      <w:r>
        <w:t xml:space="preserve">, §§ 30, 34 y 35; 26 de mayo de 2009, asunto </w:t>
      </w:r>
      <w:r w:rsidRPr="00A90898">
        <w:rPr>
          <w:i/>
        </w:rPr>
        <w:t>Kordos contra Polonia</w:t>
      </w:r>
      <w:r>
        <w:t xml:space="preserve">, § 39; 20 de abril de 2010, asunto </w:t>
      </w:r>
      <w:r w:rsidRPr="00A90898">
        <w:rPr>
          <w:i/>
        </w:rPr>
        <w:t>Bek contra Turquía</w:t>
      </w:r>
      <w:r>
        <w:t xml:space="preserve">, § 24; y 14 de octubre de 2010, asunto </w:t>
      </w:r>
      <w:r w:rsidRPr="00A90898">
        <w:rPr>
          <w:i/>
        </w:rPr>
        <w:t>Pedro Ramos contra Suiza</w:t>
      </w:r>
      <w:r>
        <w:t>, §§ 34 y 35.</w:t>
      </w:r>
    </w:p>
    <w:p w:rsidR="00A90898" w:rsidRDefault="00A90898" w:rsidP="00A90898">
      <w:pPr>
        <w:pStyle w:val="TextoNormal"/>
      </w:pPr>
    </w:p>
    <w:p w:rsidR="00A90898" w:rsidRDefault="00A90898" w:rsidP="00A90898">
      <w:pPr>
        <w:pStyle w:val="TextoNormal"/>
      </w:pPr>
      <w:r>
        <w:t xml:space="preserve">Y en algún caso también, respecto del derecho de acceso al proceso de ejecución (STEDH de 28 noviembre 2006, asunto </w:t>
      </w:r>
      <w:r w:rsidRPr="00A90898">
        <w:rPr>
          <w:i/>
        </w:rPr>
        <w:t>Apostol contra Georgia</w:t>
      </w:r>
      <w:r>
        <w:t>, §§ 54, 57, 59 y 65).</w:t>
      </w:r>
    </w:p>
    <w:p w:rsidR="00A90898" w:rsidRDefault="00A90898" w:rsidP="00A90898">
      <w:pPr>
        <w:pStyle w:val="TextoNormal"/>
      </w:pPr>
    </w:p>
    <w:p w:rsidR="00A90898" w:rsidRDefault="00A90898" w:rsidP="00A90898">
      <w:pPr>
        <w:pStyle w:val="TextoNormal"/>
      </w:pPr>
      <w:r>
        <w:t xml:space="preserve">En cuanto a la titularidad de este derecho, si bien la mayor parte de los casos conciernen a personas físicas, el Tribunal Europeo no excluye su protección a las personas jurídicas: SSTEDH de 10 enero de 2006, asunto </w:t>
      </w:r>
      <w:r w:rsidRPr="00A90898">
        <w:rPr>
          <w:i/>
        </w:rPr>
        <w:t>Teltronic-CATV contra Polonia</w:t>
      </w:r>
      <w:r>
        <w:t xml:space="preserve">, §§ 63 y 64; 24 de septiembre de 2009, asunto </w:t>
      </w:r>
      <w:r w:rsidRPr="00A90898">
        <w:rPr>
          <w:i/>
        </w:rPr>
        <w:t>Agromodel Ood contra Bulgaria</w:t>
      </w:r>
      <w:r>
        <w:t xml:space="preserve">, §§ 48 y 49; y 23 de febrero de 2010, asunto </w:t>
      </w:r>
      <w:r w:rsidRPr="00A90898">
        <w:rPr>
          <w:i/>
        </w:rPr>
        <w:t>S.C. Silvogrecu Com. S.R.L contra Rumanía</w:t>
      </w:r>
      <w:r>
        <w:t>, §§ 42 y 43.</w:t>
      </w:r>
    </w:p>
    <w:p w:rsidR="00A90898" w:rsidRDefault="00A90898" w:rsidP="00A90898">
      <w:pPr>
        <w:pStyle w:val="TextoNormal"/>
      </w:pPr>
    </w:p>
    <w:p w:rsidR="00A90898" w:rsidRDefault="00A90898" w:rsidP="00A90898">
      <w:pPr>
        <w:pStyle w:val="TextoNormal"/>
      </w:pPr>
      <w:r>
        <w:t xml:space="preserve">A los efectos del presente recurso, interesa destacar que el Tribunal Europeo de Derechos Humanos reiteradamente declara que existe lesión del derecho de acceso a un tribunal de justicia (art. 6.1 CEDH) si la norma reguladora del tributo de que se trate no contempla medidas de flexibilización, incluyendo la exención de su importe, en situaciones de insuficiencia económica del obligado, debiendo implementar el Estado un procedimiento dirigido a resolver este tipo de solicitudes: SSTEDH de 26 julio 2005, asunto </w:t>
      </w:r>
      <w:r w:rsidRPr="00A90898">
        <w:rPr>
          <w:i/>
        </w:rPr>
        <w:t>Kniat contra Polonia</w:t>
      </w:r>
      <w:r>
        <w:t xml:space="preserve">, §§ 43 y 47; 23 de enero de 2007, asunto </w:t>
      </w:r>
      <w:r w:rsidRPr="00A90898">
        <w:rPr>
          <w:i/>
        </w:rPr>
        <w:t>Kozlowski contra Polonia</w:t>
      </w:r>
      <w:r>
        <w:t xml:space="preserve">, §§ 38 y 41; 4 de marzo de 2008, asunto </w:t>
      </w:r>
      <w:r w:rsidRPr="00A90898">
        <w:rPr>
          <w:i/>
        </w:rPr>
        <w:t>Polejowski contra Polonia</w:t>
      </w:r>
      <w:r>
        <w:t xml:space="preserve">, §§ 36 y 38; 21 de julio de 2009, asunto </w:t>
      </w:r>
      <w:r w:rsidRPr="00A90898">
        <w:rPr>
          <w:i/>
        </w:rPr>
        <w:t>Brezeanu contra Rumanía</w:t>
      </w:r>
      <w:r>
        <w:t xml:space="preserve">, § 23; 24 de septiembre de 2009, asunto </w:t>
      </w:r>
      <w:r w:rsidRPr="00A90898">
        <w:rPr>
          <w:i/>
        </w:rPr>
        <w:t>Agromodel Ood contra Bulgaria</w:t>
      </w:r>
      <w:r>
        <w:t xml:space="preserve">, § 47; 9 de diciembre de 2010, asunto </w:t>
      </w:r>
      <w:r w:rsidRPr="00A90898">
        <w:rPr>
          <w:i/>
        </w:rPr>
        <w:t>Urbanek contra Austria</w:t>
      </w:r>
      <w:r>
        <w:t xml:space="preserve">, §§ 63 y 64; 8 de enero de 2013, asunto </w:t>
      </w:r>
      <w:r w:rsidRPr="00A90898">
        <w:rPr>
          <w:i/>
        </w:rPr>
        <w:t>Dimitrov contra Bulgaria, No</w:t>
      </w:r>
      <w:r>
        <w:t xml:space="preserve">. 2), § 26; 16 de diciembre de 2014, asunto </w:t>
      </w:r>
      <w:r w:rsidRPr="00A90898">
        <w:rPr>
          <w:i/>
        </w:rPr>
        <w:t>Onar contra Turquía</w:t>
      </w:r>
      <w:r>
        <w:t>, §§ 26 y 27; y la de 27 de enero de 2015, asunt</w:t>
      </w:r>
      <w:r w:rsidRPr="00A90898">
        <w:rPr>
          <w:i/>
        </w:rPr>
        <w:t>o Coskun contra Turqu</w:t>
      </w:r>
      <w:r>
        <w:t>ía, §§ 25 y 26.</w:t>
      </w:r>
    </w:p>
    <w:p w:rsidR="00A90898" w:rsidRDefault="00A90898" w:rsidP="00A90898">
      <w:pPr>
        <w:pStyle w:val="TextoNormal"/>
      </w:pPr>
    </w:p>
    <w:p w:rsidR="00A90898" w:rsidRDefault="00A90898" w:rsidP="00A90898">
      <w:pPr>
        <w:pStyle w:val="TextoNormal"/>
      </w:pPr>
      <w:r>
        <w:t xml:space="preserve">También señala que la obligación del pago de la tasa tiene como límite la satisfacción de las necesidades básicas del solicitante y, en su caso y si fuere una unidad familiar, también la cobertura de las necesidades básicas de sus parientes dependientes (SSTEDH de 26 de julio de 2005, asunto </w:t>
      </w:r>
      <w:r w:rsidRPr="00A90898">
        <w:rPr>
          <w:i/>
        </w:rPr>
        <w:t>Kniat contra Polonia</w:t>
      </w:r>
      <w:r>
        <w:t xml:space="preserve">, § 44; 23 de enero de 2007, asunto </w:t>
      </w:r>
      <w:r w:rsidRPr="00A90898">
        <w:rPr>
          <w:i/>
        </w:rPr>
        <w:t>Kozlowski contra Polonia</w:t>
      </w:r>
      <w:r>
        <w:t xml:space="preserve">, § 38; 6 septiembre 2007, asunto </w:t>
      </w:r>
      <w:r w:rsidRPr="00A90898">
        <w:rPr>
          <w:i/>
        </w:rPr>
        <w:t>Kijewska contra Polonia</w:t>
      </w:r>
      <w:r>
        <w:t xml:space="preserve">, § 43; 3 de marzo de 2009, asunto </w:t>
      </w:r>
      <w:r w:rsidRPr="00A90898">
        <w:rPr>
          <w:i/>
        </w:rPr>
        <w:t>Cibicki contra Polonia</w:t>
      </w:r>
      <w:r>
        <w:t xml:space="preserve">, § 32; y 26 de mayo de 2009, </w:t>
      </w:r>
      <w:r w:rsidRPr="00A90898">
        <w:rPr>
          <w:i/>
        </w:rPr>
        <w:t>asunto Kordos c. Polonia</w:t>
      </w:r>
      <w:r>
        <w:t>, § 36).</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Cabe verificar entonces hasta qué punto estas medidas de protección a las personas jurídicas (únicas sobre las que debemos pronunciarnos, una vez declarada la pérdida parcial </w:t>
      </w:r>
      <w:r>
        <w:lastRenderedPageBreak/>
        <w:t>de objeto del recurso en cuanto a las personas físicas), exigidas por nuestra doctrina y por la jurisprudencia del Tribunal Europeo de Derechos Humanos, quedan debidamente garantizadas por la Ley 10/2012, directamente en su texto o por remisión a otras leyes:</w:t>
      </w:r>
    </w:p>
    <w:p w:rsidR="00A90898" w:rsidRDefault="00A90898" w:rsidP="00A90898">
      <w:pPr>
        <w:pStyle w:val="TextoNormal"/>
      </w:pPr>
    </w:p>
    <w:p w:rsidR="00A90898" w:rsidRDefault="00A90898" w:rsidP="00A90898">
      <w:pPr>
        <w:pStyle w:val="TextoNormal"/>
      </w:pPr>
      <w:r>
        <w:t>a) En primer lugar, hay que hacer referencia al catálogo de exenciones previsto por la propia Ley 10/2012 en su artículo 4. Así, en cuanto a exenciones objetivas, el apartado 1 del precepto recoge una serie de procesos que por razón de la materia quedan excluidos del pago de la tasa y que serían aplicables también a las personas jurídicas. En concreto:</w:t>
      </w:r>
    </w:p>
    <w:p w:rsidR="00A90898" w:rsidRDefault="00A90898" w:rsidP="00A90898">
      <w:pPr>
        <w:pStyle w:val="TextoNormal"/>
      </w:pPr>
    </w:p>
    <w:p w:rsidR="00A90898" w:rsidRDefault="00A90898" w:rsidP="00A90898">
      <w:pPr>
        <w:pStyle w:val="TextoNormal"/>
      </w:pPr>
      <w:r>
        <w:t>(i) Procesos civiles, contencioso-administrativos o laborales para la protección de derechos fundamentales y libertades públicas —en la medida de su reconocimiento a las personas jurídicas— [actualmente, art. 4.1 a)].</w:t>
      </w:r>
    </w:p>
    <w:p w:rsidR="00A90898" w:rsidRDefault="00A90898" w:rsidP="00A90898">
      <w:pPr>
        <w:pStyle w:val="TextoNormal"/>
      </w:pPr>
    </w:p>
    <w:p w:rsidR="00A90898" w:rsidRDefault="00A90898" w:rsidP="00A90898">
      <w:pPr>
        <w:pStyle w:val="TextoNormal"/>
      </w:pPr>
      <w:r>
        <w:t>(ii) Reclamaciones dinerarias en juicio verbal y monitorio civil que no superen los 2.000 euros —salvo que se funden en título ejecutivo extrajudicial— [actual art. 4.1 c)].</w:t>
      </w:r>
    </w:p>
    <w:p w:rsidR="00A90898" w:rsidRDefault="00A90898" w:rsidP="00A90898">
      <w:pPr>
        <w:pStyle w:val="TextoNormal"/>
      </w:pPr>
    </w:p>
    <w:p w:rsidR="00A90898" w:rsidRDefault="00A90898" w:rsidP="00A90898">
      <w:pPr>
        <w:pStyle w:val="TextoNormal"/>
      </w:pPr>
      <w:r>
        <w:t>(iii) La interposición de recurso contencioso-administrativo en los casos de silencio negativo, y de inactividad prestacional de la Administración del art. 29 de la Ley 29/1998, ya indicados [actual art. 4.1 d)].</w:t>
      </w:r>
    </w:p>
    <w:p w:rsidR="00A90898" w:rsidRDefault="00A90898" w:rsidP="00A90898">
      <w:pPr>
        <w:pStyle w:val="TextoNormal"/>
      </w:pPr>
    </w:p>
    <w:p w:rsidR="00A90898" w:rsidRDefault="00A90898" w:rsidP="00A90898">
      <w:pPr>
        <w:pStyle w:val="TextoNormal"/>
      </w:pPr>
      <w:r>
        <w:t>(iv) La demanda de ejecución de laudos dictados por las Juntas arbitrales de consumo y por las juntas arbitrales de transporte, en este último caso si la cuantía por la que se pide ejecución es inferior a 2.000 € [introducido el primer supuesto por el Real Decreto-ley 3/2013 y ampliado al segundo por la Ley 15/2015, actual art. 4.1 e)].</w:t>
      </w:r>
    </w:p>
    <w:p w:rsidR="00A90898" w:rsidRDefault="00A90898" w:rsidP="00A90898">
      <w:pPr>
        <w:pStyle w:val="TextoNormal"/>
      </w:pPr>
    </w:p>
    <w:p w:rsidR="00A90898" w:rsidRDefault="00A90898" w:rsidP="00A90898">
      <w:pPr>
        <w:pStyle w:val="TextoNormal"/>
      </w:pPr>
      <w:r>
        <w:t>(v) Así como también, los procedimientos de división judicial de patrimonio donde no haya controversia [actual, art. 4.1 g)].</w:t>
      </w:r>
    </w:p>
    <w:p w:rsidR="00A90898" w:rsidRDefault="00A90898" w:rsidP="00A90898">
      <w:pPr>
        <w:pStyle w:val="TextoNormal"/>
      </w:pPr>
    </w:p>
    <w:p w:rsidR="00A90898" w:rsidRDefault="00A90898" w:rsidP="00A90898">
      <w:pPr>
        <w:pStyle w:val="TextoNormal"/>
      </w:pPr>
      <w:r>
        <w:t>(vi) La exención de la tasa en varios ámbitos del proceso concursal. El art. 4.1 c) de la Ley 10/2012, ya en su versión original, incluía la solicitud de concurso voluntario por el deudor como supuesto excluido de su pago, mientras que el Real Decreto-ley 3/2013 añadió un nuevo apartado “h”, extendiendo la exención a todas las “acciones que, en interés de la masa del concurso y previa autorización del Juez de lo Mercantil, se interpongan por los administradores concursales”. Con el art. 11.1 del Real Decreto-ley 1/2015, de 27 de febrero, y el art. 10.1 de la Ley 25/2015, de 28 de julio, han pasado a ser respectivamente, los apartados b) y f), del mismo art. 4.1 de la Ley 10/2012. Cabe recordar que conforme con el art. 1.1 de la Ley concursal 22/2003, de 9 de julio, el concepto de deudor comprende tanto a personas jurídicas como naturales. El alcance de la exención de la tasa judicial en los procesos concursales, por tanto, si bien no es total sí que deviene significativa.</w:t>
      </w:r>
    </w:p>
    <w:p w:rsidR="00A90898" w:rsidRDefault="00A90898" w:rsidP="00A90898">
      <w:pPr>
        <w:pStyle w:val="TextoNormal"/>
      </w:pPr>
    </w:p>
    <w:p w:rsidR="00A90898" w:rsidRDefault="00A90898" w:rsidP="00A90898">
      <w:pPr>
        <w:pStyle w:val="TextoNormal"/>
      </w:pPr>
      <w:r>
        <w:t>b) Desde el punto de vista subjetivo, el texto original del apartado 2, letra a), del art. 4 de la Ley 10/2012, declaraba exentas del pago de la tasa judicial a “[l]as personas a las que se les haya reconocido el derecho a la asistencia jurídica gratuita, acreditando que cumplen los requisitos para ello de acuerdo con su normativa reguladora”, lo que suponía garantizar el mismo nivel de protección que se concede por nuestro ordenamiento para sufragar los demás gastos necesarios para la defensa en juicio (prestaciones del art. 6 de la Ley 1/1996, cuyo apartado 5 incluye expresamente las tasas judiciales).</w:t>
      </w:r>
    </w:p>
    <w:p w:rsidR="00A90898" w:rsidRDefault="00A90898" w:rsidP="00A90898">
      <w:pPr>
        <w:pStyle w:val="TextoNormal"/>
      </w:pPr>
    </w:p>
    <w:p w:rsidR="00A90898" w:rsidRDefault="00A90898" w:rsidP="00A90898">
      <w:pPr>
        <w:pStyle w:val="TextoNormal"/>
      </w:pPr>
      <w:r>
        <w:lastRenderedPageBreak/>
        <w:t xml:space="preserve">Tras la ya citada exención del pago de la tasa a las personas físicas por el Real Decreto-ley 1/2015 [art. 4.1 a)] de la Ley, en lo que hace a las personas jurídicas el art. 4.2 b) de la Ley 10/2012 se remite a las condiciones para el otorgamiento del beneficio de justicia gratuita por la Ley 1/1996, de 10 de enero, que lo regula (LAJG). Se contempla en ésta un primer criterio que es el de la insuficiencia de recursos para litigar; y otro segundo en el que, prescindiendo de la situación económica de la persona jurídica solicitante, se atiende al bien jurídico tutelado en el proceso y al carácter con que actúa la persona dentro de éste. En ambas situaciones la Ley de asistencia jurídica gratuita interviene con un alcance más limitado que en el caso de las personas físicas, a falta de un imperativo constitucional que reconozca un núcleo indisponible de cobertura, como sucede con estas últimas </w:t>
      </w:r>
      <w:r w:rsidRPr="00A90898">
        <w:rPr>
          <w:i/>
        </w:rPr>
        <w:t>ex</w:t>
      </w:r>
      <w:r>
        <w:t xml:space="preserve"> art. 119 CE. Para aquellas otras, en cambio, el legislador opera selectivamente dentro de su libertad de configuración, atendiendo a la escasez de los recursos públicos disponibles:</w:t>
      </w:r>
    </w:p>
    <w:p w:rsidR="00A90898" w:rsidRDefault="00A90898" w:rsidP="00A90898">
      <w:pPr>
        <w:pStyle w:val="TextoNormal"/>
      </w:pPr>
    </w:p>
    <w:p w:rsidR="00A90898" w:rsidRDefault="00A90898" w:rsidP="00A90898">
      <w:pPr>
        <w:pStyle w:val="TextoNormal"/>
      </w:pPr>
      <w:r>
        <w:t>(i) Así, respecto del criterio de la insuficiencia de recursos, la exclusión del pago de costas y, dentro de las mismas, la de las tasas judiciales, supone que se garantiza en todo caso y conforme con el art. 2 c) de dicha LAJG, tanto a las asociaciones declaradas de utilidad pública de acuerdo con el art. 32 de la Ley Orgánica 1/2002, de 22 de marzo, como a las fundaciones inscritas en registro público; siempre que unas u otras acrediten dicha insuficiencia económica.</w:t>
      </w:r>
    </w:p>
    <w:p w:rsidR="00A90898" w:rsidRDefault="00A90898" w:rsidP="00A90898">
      <w:pPr>
        <w:pStyle w:val="TextoNormal"/>
      </w:pPr>
    </w:p>
    <w:p w:rsidR="00A90898" w:rsidRDefault="00A90898" w:rsidP="00A90898">
      <w:pPr>
        <w:pStyle w:val="TextoNormal"/>
      </w:pPr>
      <w:r>
        <w:t>Ésta última quedaba definida en el apartado 6 del art. 3 de la misma Ley 1/1996 del texto original, para todo caso en que la base imponible de la persona jurídica “en el impuesto de sociedades fuese inferior a la cantidad equivalente al triple del salario mínimo interprofesional en cómputo anual”. El art. 2.2 del Real Decreto-ley 3/2013 suprimió este apartado, disponiendo en el apartado 5, todavía vigente, que la insuficiencia se acredita “cuando careciendo de patrimonio suficiente el resultado contable de la entidad en cómputo anual fuese inferior a la cantidad equivalente al triple del indicador público de renta de efectos múltiples”.</w:t>
      </w:r>
    </w:p>
    <w:p w:rsidR="00A90898" w:rsidRDefault="00A90898" w:rsidP="00A90898">
      <w:pPr>
        <w:pStyle w:val="TextoNormal"/>
      </w:pPr>
    </w:p>
    <w:p w:rsidR="00A90898" w:rsidRDefault="00A90898" w:rsidP="00A90898">
      <w:pPr>
        <w:pStyle w:val="TextoNormal"/>
      </w:pPr>
      <w:r>
        <w:t>El mencionado indicador de renta de efectos múltiples, que fija la Ley de presupuestos generales del Estado de cada año, ha tenido el mismo importe de 532,51 euros mensuales en los años 2013, 2014, 2015 y 2016 (conforme, respectivamente, a lo establecido en la disposición adicional octogésima segunda de la Ley 17/2012, de 27 de diciembre, de presupuestos generales del Estado para 2013; la disposición adicional octogésima de la Ley 22/2013, de 23 de diciembre, de presupuestos generales del Estado para 2014; la disposición adicional octogésima cuarta de la Ley 36/2014, de 26 de diciembre, de presupuestos generales del Estado para 2015; y la disposición adicional octogésima cuarta de la Ley 48/2015, de 29 de octubre, de presupuestos generales del Estado para 2016).</w:t>
      </w:r>
    </w:p>
    <w:p w:rsidR="00A90898" w:rsidRDefault="00A90898" w:rsidP="00A90898">
      <w:pPr>
        <w:pStyle w:val="TextoNormal"/>
      </w:pPr>
    </w:p>
    <w:p w:rsidR="00A90898" w:rsidRDefault="00A90898" w:rsidP="00A90898">
      <w:pPr>
        <w:pStyle w:val="TextoNormal"/>
      </w:pPr>
      <w:r>
        <w:t xml:space="preserve">(ii) De otro lado y prescindiendo de la insuficiencia de medios, la disposición adicional segunda de la misma Ley de asistencia jurídica gratuita, desde su dicción original, concede el citado beneficio a la Cruz Roja Española; así como a las asociaciones de consumidores y usuarios en el ámbito de actuación procesal legalmente previsto para ellas (actualmente, art. 24 del texto refundido de la Ley general para la defensa de los consumidores y usuarios y otras leyes complementarias, aprobado por Real Decreto Legislativo 1/2007, de 16 de noviembre). Y tras añadirse un párrafo tercero a esta disposición adicional segunda, por el artículo único, 8, de la Ley 16/2005, de 18 de julio “por la que se modifica la Ley 1/1996, de 10 de enero, de asistencia jurídica gratuita, para regular las especialidades de los litigios </w:t>
      </w:r>
      <w:r>
        <w:lastRenderedPageBreak/>
        <w:t xml:space="preserve">transfronterizos civiles y mercantiles en la Unión Europea”, también se les reconoce el beneficio a las asociaciones de utilidad pública constituidas para la promoción y defensa de los derechos de las personas con discapacidad, </w:t>
      </w:r>
      <w:r w:rsidRPr="00A90898">
        <w:rPr>
          <w:i/>
        </w:rPr>
        <w:t>ex</w:t>
      </w:r>
      <w:r>
        <w:t xml:space="preserve"> art. 1.2 de la Ley 51/2003.</w:t>
      </w:r>
    </w:p>
    <w:p w:rsidR="00A90898" w:rsidRDefault="00A90898" w:rsidP="00A90898">
      <w:pPr>
        <w:pStyle w:val="TextoNormal"/>
      </w:pPr>
    </w:p>
    <w:p w:rsidR="00A90898" w:rsidRDefault="00A90898" w:rsidP="00A90898">
      <w:pPr>
        <w:pStyle w:val="TextoNormal"/>
      </w:pPr>
      <w:r>
        <w:t xml:space="preserve">c) Otras normas de nuestro ordenamiento, determinan igualmente el otorgamiento del beneficio de justicia gratuita a ciertas personas jurídicas. Así, el art. 23.2 de la Ley 27/2006, de 18 de julio, por la que se regulan los derechos de acceso a la información, de participación pública y de acceso a la justicia en materia de medio ambiente, indica que las organizaciones de defensa del medio ambiente sin ánimo de lucro tendrán derecho al beneficio de justicia gratuita, “en los términos previstos en la Ley 1/1996”, esto es, con la carga de acreditar la insuficiencia económica en los términos exigidos por dicha Ley de asistencia jurídica gratuita y que ya vimos. Aquella Ley 27/2006 ha sido dictada en aplicación del Convenio de Aarhus de 25 de junio de 1998 (instrumento de ratificación de 15 de noviembre de 2004, “BOE” núm. 40 de 16 de febrero de 2005) y de la Directiva 2003/35/CE del Parlamento Europeo y del Consejo de 26 de mayo de 2003. Sobre esta última se ha pronunciado a su vez la STJUE de 11 de abril de 2013, desde la óptica del derecho de acceso a la justicia del art. 47 de la Carta de derechos fundamentales (asunto </w:t>
      </w:r>
      <w:r w:rsidRPr="00A90898">
        <w:rPr>
          <w:i/>
        </w:rPr>
        <w:t>Edwards y Pallikaropoulos</w:t>
      </w:r>
      <w:r>
        <w:t>, núm. C-260/11, apartado 33).</w:t>
      </w:r>
    </w:p>
    <w:p w:rsidR="00A90898" w:rsidRDefault="00A90898" w:rsidP="00A90898">
      <w:pPr>
        <w:pStyle w:val="TextoNormal"/>
      </w:pPr>
    </w:p>
    <w:p w:rsidR="00A90898" w:rsidRDefault="00A90898" w:rsidP="00A90898">
      <w:pPr>
        <w:pStyle w:val="TextoNormal"/>
      </w:pPr>
      <w:r>
        <w:t>d) Como medidas ya no de exención de la tasa judicial, sino de flexibilización de su pago para situaciones de insuficiencia económica transitoria del obligado, sea persona física como jurídica, ha de tenerse en cuenta que el devengo de la tasa judicial genera una deuda de naturaleza tributaria, por lo que nada obsta a poder solicitar su aplazamiento o en su caso el fraccionamiento de la cantidad a pagar, en los términos del art. 65 de la Ley general tributaria y cumpliendo con los requisitos establecidos a su vez en los arts. 44 y siguientes del Reglamento general de recaudación (Real Decreto 939/2005, de 29 de julio, que lo aprueba). El art. 2 de la Orden EHA/1030/2009, de 23 de abril, dispensó de la obligación de prestar garantías en las solicitudes de aplazamiento o fraccionamiento, para deudas de importe no superior a los 18.000 €; cantidad que el art. 2 de la Orden HAP/2178/2015, de 9 de octubre, ha elevado a los 30.000 €.</w:t>
      </w:r>
    </w:p>
    <w:p w:rsidR="00A90898" w:rsidRDefault="00A90898" w:rsidP="00A90898">
      <w:pPr>
        <w:pStyle w:val="TextoNormal"/>
      </w:pPr>
    </w:p>
    <w:p w:rsidR="00A90898" w:rsidRDefault="00A90898" w:rsidP="00A90898">
      <w:pPr>
        <w:pStyle w:val="TextoNormal"/>
      </w:pPr>
      <w:r>
        <w:t xml:space="preserve">Ha de recordarse al respecto que este Tribunal, en la STC 20/2012, de 16 de febrero, FJ 10, con cita de la STJUE de 22 de diciembre de 2010, asunto </w:t>
      </w:r>
      <w:r w:rsidRPr="00A90898">
        <w:rPr>
          <w:i/>
        </w:rPr>
        <w:t>DEB Deutsche Energiehandels-und Beratungsgesellschaft mbH contra Bundesrepublik Deutschland</w:t>
      </w:r>
      <w:r>
        <w:t xml:space="preserve"> (núm. C-279/09), apartado 61 y fallo, dictada en relación con el derecho de acceso a la justicia que consagra el art. 47 de la Carta de derechos fundamentales de la Unión Europea), ya advirtió de la necesidad de implementar también medidas de flexibilidad no ya en cuanto al importe, sino en relación a la forma de pago de la prestación exigida, a fin de evitar que su exigencia anticipada pueda representar “un obstáculo insuperable para el acceso a la justicia”.</w:t>
      </w:r>
    </w:p>
    <w:p w:rsidR="00A90898" w:rsidRDefault="00A90898" w:rsidP="00A90898">
      <w:pPr>
        <w:pStyle w:val="TextoNormal"/>
      </w:pPr>
    </w:p>
    <w:p w:rsidR="00A90898" w:rsidRDefault="00A90898" w:rsidP="00A90898">
      <w:pPr>
        <w:pStyle w:val="TextoNormal"/>
      </w:pPr>
      <w:r>
        <w:t>En conclusión y a la vista de todos los supuestos de exención y de pago flexible de la tasa judicial a las que pueden acogerse las personas jurídicas, no cabe concluir que el artículo 7 o los demás preceptos de la Ley 10/2012, de 20 de noviembre, conculquen el derecho de acceso (a la jurisdicción o al recurso) del art. 24.1 CE, en virtud de una supuesta desprotección ante situaciones de insuficiencia económica del obligado a su pago.</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La segunda queja vertida por la demanda en relación con la conculcación del derecho de acceso (art. 24.1 CE) dentro de la órbita del art. 7 de la Ley recurrida, es que la tasa en </w:t>
      </w:r>
      <w:r>
        <w:lastRenderedPageBreak/>
        <w:t>cuestión se traduce en una barrera económica que, “desproporcionadamente” inhibe o disuade a muchos ciudadanos de ejercitar aquel derecho fundamental en el orden contencioso-administrativo, cuando se trata de reclamaciones de pequeña cuantía; o bien de impugnar la ilegalidad de disposiciones generales y contra las vías de hecho, y cuando se tratan de demandas de importe elevado (responsabilidad civil y administrativa). También resulta disuasoria la tasa fijada para los recursos.</w:t>
      </w:r>
    </w:p>
    <w:p w:rsidR="00A90898" w:rsidRDefault="00A90898" w:rsidP="00A90898">
      <w:pPr>
        <w:pStyle w:val="TextoNormal"/>
      </w:pPr>
    </w:p>
    <w:p w:rsidR="00A90898" w:rsidRDefault="00A90898" w:rsidP="00A90898">
      <w:pPr>
        <w:pStyle w:val="TextoNormal"/>
      </w:pPr>
      <w:r>
        <w:t>Para analizar este motivo desde el prisma de la proporcionalidad que se nos solicita, hemos de partir de nuestra doctrina en torno a los presupuestos que debe cumplir toda norma con rango de ley que resulte limitadora de un derecho fundamental, los cuales son, “de un lado, el consistente en perseguir una finalidad constitucionalmente legítima … y, de otro, el relativo al cumplimiento del principio de proporcionalidad, cuya verificación exige, conforme a nuestra doctrina (STC 66/1995, de 8 de mayo, FFJJ 4 y 5; 55/1996, de 28 de marzo, FFJJ 6 y ss.; 161/1997, de 2 de octubre, FFJJ 8 y ss.; y 136/1999, de 20 de julio, FJ 23), comprobar sucesivamente el cumplimiento de los tres requisitos siguientes. En primer lugar, la medida debe ser idónea o adecuada para la consecución de los fines que persigue… En segundo lugar, la medida debe ser también necesaria, de tal manera que no resulte evidente la existencia de medidas menos restrictivas de los principios y derechos constitucionales que resultan limitados… ‘para la consecución igualmente eficaz de las finalidades deseadas por el legislador’… Y, finalmente, la medida debe ser proporcionada en sentido estricto, de modo que no concurra un ‘desequilibrio patente y excesivo o irrazonable’ … entre el alcance de la restricción de los principios y derechos constitucionales que resultan afectados, de un lado, y el grado de satisfacción de los fines perseguidos con ella por el legislador, de otro” [STC 60/2010, de 7 de octubre, FJ 9; y las anteriores resoluciones que cita; en el mismo sentido, SSTC 215/1994, de 14 de julio, FFJJ 4 b) y 5, y 48/2005, de 3 de marzo, FJ 7].</w:t>
      </w:r>
    </w:p>
    <w:p w:rsidR="00A90898" w:rsidRDefault="00A90898" w:rsidP="00A90898">
      <w:pPr>
        <w:pStyle w:val="TextoNormal"/>
      </w:pPr>
    </w:p>
    <w:p w:rsidR="00A90898" w:rsidRDefault="00A90898" w:rsidP="00A90898">
      <w:pPr>
        <w:pStyle w:val="TextoNormal"/>
      </w:pPr>
      <w:r>
        <w:t>Siguiendo este postulado analizaremos cada uno de los dos presupuestos que se han mencionado: 1) el del fin constitucionalmente legítimo y 2) el de la proporcionalidad, esta última determinada a su vez por tres requisitos: (i) idoneidad, (ii) necesidad y (iii) proporcionalidad en sentido estricto. En el bien entendido de que ese enunciado sigue un orden lógico, concurrente y sucesivo, es decir, cada uno de esos presupuestos y requisitos actúa a modo de esclusa del siguiente, de manera que la ausencia de cualquiera de ellos relevaría de la necesidad de examinar los restantes.</w:t>
      </w:r>
    </w:p>
    <w:p w:rsidR="00A90898" w:rsidRDefault="00A90898" w:rsidP="00A90898">
      <w:pPr>
        <w:pStyle w:val="TextoNormal"/>
      </w:pPr>
    </w:p>
    <w:p w:rsidR="00A90898" w:rsidRDefault="00A90898" w:rsidP="00A90898">
      <w:pPr>
        <w:pStyle w:val="TextoNormal"/>
      </w:pPr>
      <w:r>
        <w:t>Por lo que atañe entonces, en primer lugar, a la existencia de un fin constitucionalmente legítimo, el epígrafe I, párrafo último, del preámbulo de la Ley 10/2012, de 20 de noviembre, concreta expresamente los dos fines perseguidos por el Estado con la imposición de esta tasa judicial: “Con esta asunción por los ciudadanos que recurren a los tribunales de parte del coste que ello implica se pretende racionalizar el ejercicio de la potestad jurisdiccional, al mismo tiempo que la tasa aportará unos mayores recursos que permitirán una mejora en la financiación del sistema judicial y, en particular, de la asistencia jurídica gratuita”.</w:t>
      </w:r>
    </w:p>
    <w:p w:rsidR="00A90898" w:rsidRDefault="00A90898" w:rsidP="00A90898">
      <w:pPr>
        <w:pStyle w:val="TextoNormal"/>
      </w:pPr>
    </w:p>
    <w:p w:rsidR="00A90898" w:rsidRDefault="00A90898" w:rsidP="00A90898">
      <w:pPr>
        <w:pStyle w:val="TextoNormal"/>
      </w:pPr>
      <w:r>
        <w:t>Procede hacer referencia a cada uno de ellos:</w:t>
      </w:r>
    </w:p>
    <w:p w:rsidR="00A90898" w:rsidRDefault="00A90898" w:rsidP="00A90898">
      <w:pPr>
        <w:pStyle w:val="TextoNormal"/>
      </w:pPr>
    </w:p>
    <w:p w:rsidR="00A90898" w:rsidRDefault="00A90898" w:rsidP="00A90898">
      <w:pPr>
        <w:pStyle w:val="TextoNormal"/>
      </w:pPr>
      <w:r>
        <w:t>a) En cuanto al primer fin expresamente proclamado por la Ley 10/2012, el de “racionalizar el ejercicio de la potestad jurisdiccional”, el preámbulo nada más aclara sobre el signi</w:t>
      </w:r>
      <w:r>
        <w:lastRenderedPageBreak/>
        <w:t>ficado de esta expresión, debiendo indagarse la misma en las justificaciones dadas al respecto por el Ministerio de Justicia, concretamente en la memoria del análisis de impacto normativo del proyecto de ley, alegada en la demanda como documento de justificación de la norma enjuiciada, sobre cuyo examen ninguna objeción plantea el Abogado del Estado en sus alegaciones, llegando incluso a apoyarse en ella (al referirse al cumplimiento por la Ley 10/2012 del principio de estabilidad presupuestaria), y cuya elaboración por cierto resulta preceptiva para la tramitación de todo proyecto de Ley, conforme a lo previsto en el todavía vigente art. 22.2 de la Ley 50/1997, de 27 de noviembre, del Gobierno (exigencia que se traslada al art. 26.3 de esta misma Ley, con entrada en vigor el 2 de octubre de 2016 tras las modificaciones introducidas por la disposición final tercera de la Ley 40/2015, de 1 de octubre, de régimen jurídico del sector público) y, en su desarrollo, el Real Decreto 1083/2009, de 3 de julio, por el que se regula la memoria del análisis de impacto normativo.</w:t>
      </w:r>
    </w:p>
    <w:p w:rsidR="00A90898" w:rsidRDefault="00A90898" w:rsidP="00A90898">
      <w:pPr>
        <w:pStyle w:val="TextoNormal"/>
      </w:pPr>
    </w:p>
    <w:p w:rsidR="00A90898" w:rsidRDefault="00A90898" w:rsidP="00A90898">
      <w:pPr>
        <w:pStyle w:val="TextoNormal"/>
      </w:pPr>
      <w:r>
        <w:t>Pues bien, se dice sobre el particular en esta Memoria, que: “es preciso racionalizar el uso de los medios y buscar la máxima eficacia de los mismos, evitando situaciones de abuso constatables generadas por aquellos que litigan, no buscando un[a] justa tutela de sus derechos, sino ventajas indebidas e ilegítimas al abrigo de nuestra normativa procesal, retrasando la respuesta de los Tribunales” (apartado II, 1, b, pág. 6); “racionalizar el uso de la Administración de Justicia, especialmente en el ámbito de la segunda instancia …. Con el reforzamiento de la tasa judicial se logra que una parte de tales costes sea soportada por la persona que utiliza la vía judicial, y no por el resto de los ciudadanos, especialmente cuando no ha lugar a estimar su pretensión o cuando no se conforma con un primer pronunciamiento judicial” (</w:t>
      </w:r>
      <w:r w:rsidRPr="00A90898">
        <w:rPr>
          <w:i/>
        </w:rPr>
        <w:t>ibid</w:t>
      </w:r>
      <w:r>
        <w:t>, pág. 7).</w:t>
      </w:r>
    </w:p>
    <w:p w:rsidR="00A90898" w:rsidRDefault="00A90898" w:rsidP="00A90898">
      <w:pPr>
        <w:pStyle w:val="TextoNormal"/>
      </w:pPr>
    </w:p>
    <w:p w:rsidR="00A90898" w:rsidRDefault="00A90898" w:rsidP="00A90898">
      <w:pPr>
        <w:pStyle w:val="TextoNormal"/>
      </w:pPr>
      <w:r>
        <w:t>De los pasajes que se reproducen de la Memoria, se extrae que la racionalización de la Justicia va referida a evitar la interposición de recursos infundados (se habla de la segunda instancia, pero lógicamente también comprende aquellos recursos extraordinarios a los que grava la norma) para dilatar el cumplimiento de resoluciones judiciales de condena. El fin perseguido es, por tanto, atajar una patología concreta, la del abuso del derecho al recurso al ser utilizado éste como táctica dilatoria.</w:t>
      </w:r>
    </w:p>
    <w:p w:rsidR="00A90898" w:rsidRDefault="00A90898" w:rsidP="00A90898">
      <w:pPr>
        <w:pStyle w:val="TextoNormal"/>
      </w:pPr>
    </w:p>
    <w:p w:rsidR="00A90898" w:rsidRDefault="00A90898" w:rsidP="00A90898">
      <w:pPr>
        <w:pStyle w:val="TextoNormal"/>
      </w:pPr>
      <w:r>
        <w:t xml:space="preserve">Bajo esa perspectiva, ha de decirse que este específico fin, asignado a la tasa creada por la Ley 10/2012, resulta constitucionalmente legítimo. En efecto, además de que con carácter general tenemos dicho que uno de los límites al ejercicio de todo derecho fundamental viene dado, justamente, por su abuso o extralimitación (SSTC 284/2005, de 7 de noviembre, FFJJ 3 y 4, y 193/2011, de 12 de diciembre, FJ 3; y 24/2015, de 16 de febrero, FJ 2), hemos tenido también la oportunidad de sentar doctrina específica en este campo de los instrumentos legales para la disuasión de acciones y recursos judiciales infundados, instrumentos que hemos declarado compatibles con el derecho fundamental de acceso, siempre que el obstáculo impuesto por el legislador obedezca, según tenemos delimitado: “‘a razonables finalidades de protección de bienes e intereses constitucionales protegidos y que deberá guardar una notoria proporcionalidad con la carga de diligencia exigible a los justiciables’ (STC 158/1987, de 20 de octubre, fundamento jurídico 4). Entre las finalidades atendibles de esos obstáculos cabe incluir la de prevenir los resultados distorsionadores del entero sistema judicial que se derivarían de una excesiva litigiosidad, como en el ATC 171/1986, de 19 de febrero, de este Tribunal (recurso de amparo 1223-1985), se sostuvo, o sancionar el ejercicio abusivo, temerario o de mala fe del propio derecho de acceso a la justicia, finalidades ambas que, juntamente o por separado, persiguen medidas como la condena en costas, la pérdida </w:t>
      </w:r>
      <w:r>
        <w:lastRenderedPageBreak/>
        <w:t>de depósitos y fianzas, la imposición de multas por temeridad u otras semejantes. La variedad de supuestos a que cabría referirse revela que estas condiciones o consecuencias, que actúan en desfavor de quien acciona jurisdiccionalmente, pueden tener diversa naturaleza o distintos efectos” (STC 206/1987, de 21 de diciembre, FJ 5; en el mismo sentido STC 147/1989, de 21 de septiembre, FJ 5).</w:t>
      </w:r>
    </w:p>
    <w:p w:rsidR="00A90898" w:rsidRDefault="00A90898" w:rsidP="00A90898">
      <w:pPr>
        <w:pStyle w:val="TextoNormal"/>
      </w:pPr>
    </w:p>
    <w:p w:rsidR="00A90898" w:rsidRDefault="00A90898" w:rsidP="00A90898">
      <w:pPr>
        <w:pStyle w:val="TextoNormal"/>
      </w:pPr>
      <w:r>
        <w:t>Este Tribunal, por tanto, acepta que uno de los fines limitativos del derecho de acceso tanto a la jurisdicción como al recurso, sea el de la prevención o disuasión de comportamientos abusivos en su ejercicio. Por ende resulta constitucionalmente legítimo en relación con la Ley aquí impugnada.</w:t>
      </w:r>
    </w:p>
    <w:p w:rsidR="00A90898" w:rsidRDefault="00A90898" w:rsidP="00A90898">
      <w:pPr>
        <w:pStyle w:val="TextoNormal"/>
      </w:pPr>
    </w:p>
    <w:p w:rsidR="00A90898" w:rsidRDefault="00A90898" w:rsidP="00A90898">
      <w:pPr>
        <w:pStyle w:val="TextoNormal"/>
      </w:pPr>
      <w:r>
        <w:t>b) El segundo de los dos fines que se indican en el pasaje antes transcrito del preámbulo de la Ley 10/2012, el de financiación de la Justicia mediante tasas, supone una continuación del paso dado por el art. 35 de la Ley 53/2002 en cuanto a la reintroducción del sistema mixto que había abolido la ya citada Ley 25/1986, atribuyendo una parte de sus gastos de funcionamiento a quienes impetran la acción de los tribunales, si bien la vía principal de financiación sigue siendo la de los impuestos, a cargo de la generalidad de los contribuyentes. Esta decisión del legislador ya la hemos declarado constitucionalmente legítima en el anterior fundamento jurídico 3, entendida también como instrumento para alcanzar el objetivo de estabilidad presupuestaria recogido en el art. 135 CE, tal y como alega el Abogado del Estado.</w:t>
      </w:r>
    </w:p>
    <w:p w:rsidR="00A90898" w:rsidRDefault="00A90898" w:rsidP="00A90898">
      <w:pPr>
        <w:pStyle w:val="TextoNormal"/>
      </w:pPr>
    </w:p>
    <w:p w:rsidR="00A90898" w:rsidRDefault="00A90898" w:rsidP="00A90898">
      <w:pPr>
        <w:pStyle w:val="TextoNormal"/>
      </w:pPr>
      <w:r>
        <w:t>Con todo, cabe observar que el preámbulo se refiere a la Administración de Justicia como prestadora de “servicios” (I, párrafo 3; II, párrafo 1; III, párrafo 2). Esta calificación tan restrictiva no es, sin embargo, la que hemos identificado como el hecho imponible propio de esta tasa judicial, habiendo reiteradamente declarado en este punto que “la regulación de la tasa por el Estado se justifica porque el hecho imponible se hace recaer, no ya sobre el servicio público de la Administración de Justicia, que puede ser asignado a las Comunidades Autónomas, que lo gestionan en cuanto a la dotación y financiación de los medios personales y materiales precisos, sino, específicamente, sobre ‘el ejercicio de la potestad jurisdiccional’ que es una actividad típica e indeclinablemente estatal, en cuanto manifestación de uno de los poderes del Estado ante el que se ha puesto en marcha un proceso o instado su continuación” (SSTC 162/2012, de 20 de septiembre, FJ 5; y 71/2014, de 6 de mayo, FJ 4).</w:t>
      </w:r>
    </w:p>
    <w:p w:rsidR="00A90898" w:rsidRDefault="00A90898" w:rsidP="00A90898">
      <w:pPr>
        <w:pStyle w:val="TextoNormal"/>
      </w:pPr>
    </w:p>
    <w:p w:rsidR="00A90898" w:rsidRDefault="00A90898" w:rsidP="00A90898">
      <w:pPr>
        <w:pStyle w:val="TextoNormal"/>
      </w:pPr>
      <w:r>
        <w:t>La consecución de los procesos en los distintos órdenes jurisdiccionales permite materializar a diario la función que nuestra Constitución encomienda con carácter exclusivo (art. 117.3 CE) a los órganos de un poder del Estado, definido así expresamente por la Constitución como es el Poder Judicial (título VI CE), mediante la resolución de los conflictos de intereses y el aseguramiento del Estado de Derecho (art. 1.1 CE) y la paz social de los ciudadanos, así como la protección de éstos frente al poder de la autoridad (SSTC 175/2001, de 26 de julio, FJ 6; 56/2002, de 11 de marzo, FJ 3, y 155/2011, de 17 de octubre, FJ 2).</w:t>
      </w:r>
    </w:p>
    <w:p w:rsidR="00A90898" w:rsidRDefault="00A90898" w:rsidP="00A90898">
      <w:pPr>
        <w:pStyle w:val="TextoNormal"/>
      </w:pPr>
    </w:p>
    <w:p w:rsidR="00A90898" w:rsidRDefault="00A90898" w:rsidP="00A90898">
      <w:pPr>
        <w:pStyle w:val="TextoNormal"/>
      </w:pPr>
      <w:r>
        <w:t xml:space="preserve">Esto lleva a considerar que el objetivo de financiación mixta de la Justicia a cargo de las tasas judiciales, si bien en sí mismo legítimo como ya está dicho, no deviene prioritario ni puede traer consigo mediante la implantación de unas tasas excesivas, la imposibilidad de ejercicio de un derecho fundamental (art. 24.1 CE), con la consiguiente inacción de la propia función atribuida a juzgados y tribunales por la Constitución. Valga esta consideración para </w:t>
      </w:r>
      <w:r>
        <w:lastRenderedPageBreak/>
        <w:t>lo que ha de tratarse a continuación, en torno al control del presupuesto de la proporcionalidad del tributo impugnado.</w:t>
      </w:r>
    </w:p>
    <w:p w:rsidR="00A90898" w:rsidRDefault="00A90898" w:rsidP="00A90898">
      <w:pPr>
        <w:pStyle w:val="TextoNormal"/>
      </w:pPr>
    </w:p>
    <w:p w:rsidR="00A90898" w:rsidRDefault="00A90898" w:rsidP="00A90898">
      <w:pPr>
        <w:pStyle w:val="TextoNormal"/>
      </w:pPr>
      <w:r w:rsidRPr="00A90898">
        <w:rPr>
          <w:rStyle w:val="NumeroAFNegritaCaracter"/>
        </w:rPr>
        <w:t>8</w:t>
      </w:r>
      <w:r>
        <w:t>. La proporcionalidad en la limitación de un derecho fundamental y, en este caso, del derecho de acceso a la jurisdicción y al recurso (art. 24.1 CE), comporta la concurrencia como se dijo antes de tres requisitos, el primero de los cuales es el de la “idoneidad” de la medida adoptada, en el sentido de que ésta ha de resultar adecuada para conseguir el objetivo propuesto por el legislador. El control de su observancia ha de hacerse en el presente caso, de acuerdo con los dos fines de la Ley 10/2012 que antes acabamos de identificar.</w:t>
      </w:r>
    </w:p>
    <w:p w:rsidR="00A90898" w:rsidRDefault="00A90898" w:rsidP="00A90898">
      <w:pPr>
        <w:pStyle w:val="TextoNormal"/>
      </w:pPr>
    </w:p>
    <w:p w:rsidR="00A90898" w:rsidRDefault="00A90898" w:rsidP="00A90898">
      <w:pPr>
        <w:pStyle w:val="TextoNormal"/>
      </w:pPr>
      <w:r>
        <w:t>Así, en lo que concierne en primer término al fin de “racionalización” de la Justicia, el cual equivale a hablar, como veíamos, de un efecto preventivo o disuasorio frente a recursos infundados, las tasas que sirven en teoría a este propósito son las que contempla el art. 7 de la Ley 10/2012 para la interposición de recursos. Siendo así, resulta que su pago se impone de manera igual para la universalidad de justiciables que pretenden impugnar sentencias en los tres órdenes jurisdiccionales gravados.</w:t>
      </w:r>
    </w:p>
    <w:p w:rsidR="00A90898" w:rsidRDefault="00A90898" w:rsidP="00A90898">
      <w:pPr>
        <w:pStyle w:val="TextoNormal"/>
      </w:pPr>
    </w:p>
    <w:p w:rsidR="00A90898" w:rsidRDefault="00A90898" w:rsidP="00A90898">
      <w:pPr>
        <w:pStyle w:val="TextoNormal"/>
      </w:pPr>
      <w:r>
        <w:t>Es claro que en este marco de indiferenciación, en el que todos abonan el mismo importe por la tasa indicada, el efecto preventivo o disuasorio se diluye para todo aquel que dispone de medios económicos suficientes, sin que pueda sentirse concernido por admonición alguna si su intención fuera la de interponer un recurso infundado, toda vez que se le exige exactamente el mismo esfuerzo económico que a los demás. Tal situación perjudica a su vez al justiciable que ejercita correctamente su derecho a recurrir; es decir, todo aquel cuya intención no es dilatar el cumplimiento de una sentencia dictada en su contra sino impugnarla porque la considera disconforme a Derecho, pero a quien, entonces, se le obliga a pagar esa misma tasa cuya cuantía elevada se ha fijado por la norma, precisamente, para erradicar un comportamiento procesal indebido que en realidad le resulta ajeno.</w:t>
      </w:r>
    </w:p>
    <w:p w:rsidR="00A90898" w:rsidRDefault="00A90898" w:rsidP="00A90898">
      <w:pPr>
        <w:pStyle w:val="TextoNormal"/>
      </w:pPr>
    </w:p>
    <w:p w:rsidR="00A90898" w:rsidRDefault="00A90898" w:rsidP="00A90898">
      <w:pPr>
        <w:pStyle w:val="TextoNormal"/>
      </w:pPr>
      <w:r>
        <w:t xml:space="preserve">La imposibilidad de implementar un control </w:t>
      </w:r>
      <w:r w:rsidRPr="00A90898">
        <w:rPr>
          <w:i/>
        </w:rPr>
        <w:t>ex ante</w:t>
      </w:r>
      <w:r>
        <w:t xml:space="preserve"> para determinar cuándo un recurso puede reputarse objetivamente infundado, control que este Tribunal únicamente ha admitido en el supuesto de insostenibilidad de la pretensión como causa para denegar el beneficio de justicia gratuita (SSTC 12/1998, de 15 de enero, FJ 4; 182/2002, de 14 de octubre, FJ 4; 7/2008, de 21 de enero, FJ 2, y ATC 252/2013, de 4 de noviembre, FJ 1), no puede justificar la imposición indiscriminada de esta tasa, bajo el sustento de un propósito disuasorio frente a una patología a fin de cuentas minoritaria.</w:t>
      </w:r>
    </w:p>
    <w:p w:rsidR="00A90898" w:rsidRDefault="00A90898" w:rsidP="00A90898">
      <w:pPr>
        <w:pStyle w:val="TextoNormal"/>
      </w:pPr>
    </w:p>
    <w:p w:rsidR="00A90898" w:rsidRDefault="00A90898" w:rsidP="00A90898">
      <w:pPr>
        <w:pStyle w:val="TextoNormal"/>
      </w:pPr>
      <w:r>
        <w:t>A esa falta de idoneidad, en los términos expuestos, se une además otra circunstancia. Nuestro ordenamiento jurídico ya preveía con anterioridad a la entrada en vigor de la Ley 10/2012, un instrumento disuasorio de recursos infundados como es el depósito para recurrir.</w:t>
      </w:r>
    </w:p>
    <w:p w:rsidR="00A90898" w:rsidRDefault="00A90898" w:rsidP="00A90898">
      <w:pPr>
        <w:pStyle w:val="TextoNormal"/>
      </w:pPr>
    </w:p>
    <w:p w:rsidR="00A90898" w:rsidRDefault="00A90898" w:rsidP="00A90898">
      <w:pPr>
        <w:pStyle w:val="TextoNormal"/>
      </w:pPr>
      <w:r>
        <w:t xml:space="preserve">Se encuentran en esta categoría, ante todo, aquellos previstos en ámbitos materiales concretos, a través de los cuales el legislador incide en la tutela de los derechos de terceros que pueden resultar especialmente afectados por una dilación ejecutiva de la resolución dictada: este es el caso de los trabajadores (SSTC 3/1983, de 25 de enero, FJ 4, y 100/1983, de 18 de noviembre, FJ 2); las víctimas de accidentes de circulación (SSTC 84/1992, de 28 de mayo, FJ 3; 119/1994, de 25 de abril, FJ 3, y 226/1999, de 13 de diciembre, FJ 3) y los arrendadores (SSTC 104/1984, de 14 de noviembre, FJ 4; 87/1992, de 8 de junio, FJ 3; </w:t>
      </w:r>
      <w:r>
        <w:lastRenderedPageBreak/>
        <w:t>344/1993 y 346/1993, ambas de 22 de noviembre, FJ 2; 26/1996, de 13 de febrero, FJ 3, y 204/1998, de 26 de octubre, FJ 2).</w:t>
      </w:r>
    </w:p>
    <w:p w:rsidR="00A90898" w:rsidRDefault="00A90898" w:rsidP="00A90898">
      <w:pPr>
        <w:pStyle w:val="TextoNormal"/>
      </w:pPr>
    </w:p>
    <w:p w:rsidR="00A90898" w:rsidRDefault="00A90898" w:rsidP="00A90898">
      <w:pPr>
        <w:pStyle w:val="TextoNormal"/>
      </w:pPr>
      <w:r>
        <w:t>Pero existe también un depósito para recurrir de alcance general, incluso mayor que el que tiene la tasa aquí en examen (porque aquél se exige también a la acusación popular en el proceso penal), con importes variables (entre 30 y 50 €) por la interposición de recursos de toda clase y para demandas de revisión y rescisión de sentencias firmes a instancia del rebelde. Es el depósito regulado en la disposición adicional decimoquinta de la Ley Orgánica del Poder Judicial (LOPJ), del que este Tribunal se ha ocupado a propósito de su régimen de subsanación en casos de falta de constitución o de falta de acreditación documental (doctrina de las SSTC 129/2012 y 130/2012, ambas de 18 de junio, FJ 2 y siguientes). En el preámbulo, apartado V de la Ley Orgánica 1/2009, de 3 de noviembre, que introdujo dicha disposición adicional decimoquinta LOPJ, se aclara que el fin principal de este depósito “es disuadir a quienes recurran sin fundamento jurídico alguno, para que no prolonguen indebidamente el tiempo de resolución del proceso en perjuicio del derecho a la tutela judicial efectiva de las otras partes personadas en el proceso”.</w:t>
      </w:r>
    </w:p>
    <w:p w:rsidR="00A90898" w:rsidRDefault="00A90898" w:rsidP="00A90898">
      <w:pPr>
        <w:pStyle w:val="TextoNormal"/>
      </w:pPr>
    </w:p>
    <w:p w:rsidR="00A90898" w:rsidRDefault="00A90898" w:rsidP="00A90898">
      <w:pPr>
        <w:pStyle w:val="TextoNormal"/>
      </w:pPr>
      <w:r>
        <w:t>En este contexto, la aplicación de un nuevo instrumento disuasorio de recursos infundados mediante la tasa de la Ley 10/2012 (a diferencia de la regulada en el art. 35 de la Ley 53/2002, de naturaleza exclusivamente recaudatoria: STC 20/2012, FJ 8), no sólo no resulta idónea a este fin, según se ha dicho, sino que vendría a servir a un objetivo ya cubierto por la exigencia de dichos depósitos, sin que se aporten razones objetivas que permitan justificar la introducción de la tasa debido a una supuesta falta o insuficiencia de esa misma eficacia disuasoria respecto, se insiste, de los distintos depósitos regulados por el ordenamiento jurídico; cuestión que la memoria del análisis de impacto normativo del proyecto de la Ley 10/2012 no explica ni acompaña con datos.</w:t>
      </w:r>
    </w:p>
    <w:p w:rsidR="00A90898" w:rsidRDefault="00A90898" w:rsidP="00A90898">
      <w:pPr>
        <w:pStyle w:val="TextoNormal"/>
      </w:pPr>
    </w:p>
    <w:p w:rsidR="00A90898" w:rsidRDefault="00A90898" w:rsidP="00A90898">
      <w:pPr>
        <w:pStyle w:val="TextoNormal"/>
      </w:pPr>
      <w:r>
        <w:t>Por lo demás, a diferencia de los depósitos, la Ley impugnada no permite la devolución de la tasa judicial si se llega a estimar el recurso, pese a ser tal hecho claramente indicativo de que el así interpuesto no devenía infundado.</w:t>
      </w:r>
    </w:p>
    <w:p w:rsidR="00A90898" w:rsidRDefault="00A90898" w:rsidP="00A90898">
      <w:pPr>
        <w:pStyle w:val="TextoNormal"/>
      </w:pPr>
    </w:p>
    <w:p w:rsidR="00A90898" w:rsidRDefault="00A90898" w:rsidP="00A90898">
      <w:pPr>
        <w:pStyle w:val="TextoNormal"/>
      </w:pPr>
      <w:r>
        <w:t>Sentado esto, en cuanto toca al segundo fin pretendido por la Ley impugnada, el de la financiación mixta de la Justicia con cargo a la exigencia de tasas, basta decir que no cabe duda de que la imposición de este tributo sí se ofrece como mecanismo plenamente idóneo para el indicado fin, tal como ya ha sucedido en el pasado con el funcionamiento de una tasa de naturaleza similar.</w:t>
      </w:r>
    </w:p>
    <w:p w:rsidR="00A90898" w:rsidRDefault="00A90898" w:rsidP="00A90898">
      <w:pPr>
        <w:pStyle w:val="TextoNormal"/>
      </w:pPr>
    </w:p>
    <w:p w:rsidR="00A90898" w:rsidRDefault="00A90898" w:rsidP="00A90898">
      <w:pPr>
        <w:pStyle w:val="TextoNormal"/>
      </w:pPr>
      <w:r>
        <w:t>Todo lo dicho nos conduce a considerar, en resumen, que la tasa aquí impugnada se muestra idónea para alcanzar el fin constitucionalmente legítimo de mantener un modelo de financiación mixta de la Justicia, pero no reúne la idoneidad necesaria para aquel otro fin trazado por la Ley 10/2012 (en sí mismo, igualmente legítimo), como es el de disuadir de la interposición abusiva de recursos.</w:t>
      </w:r>
    </w:p>
    <w:p w:rsidR="00A90898" w:rsidRDefault="00A90898" w:rsidP="00A90898">
      <w:pPr>
        <w:pStyle w:val="TextoNormal"/>
      </w:pPr>
    </w:p>
    <w:p w:rsidR="00A90898" w:rsidRDefault="00A90898" w:rsidP="00A90898">
      <w:pPr>
        <w:pStyle w:val="TextoNormal"/>
      </w:pPr>
      <w:r w:rsidRPr="00A90898">
        <w:rPr>
          <w:rStyle w:val="NumeroAFNegritaCaracter"/>
        </w:rPr>
        <w:t>9</w:t>
      </w:r>
      <w:r>
        <w:t>. Solamente desde la perspectiva recaudatoria, por tanto, es como cabe proseguir el análisis de constitucionalidad para verificar si concurren los atributos de necesidad y proporcionalidad en sentido estricto.</w:t>
      </w:r>
    </w:p>
    <w:p w:rsidR="00A90898" w:rsidRDefault="00A90898" w:rsidP="00A90898">
      <w:pPr>
        <w:pStyle w:val="TextoNormal"/>
      </w:pPr>
    </w:p>
    <w:p w:rsidR="00A90898" w:rsidRDefault="00A90898" w:rsidP="00A90898">
      <w:pPr>
        <w:pStyle w:val="TextoNormal"/>
      </w:pPr>
      <w:r>
        <w:lastRenderedPageBreak/>
        <w:t>Al respecto, en lo que concierne a la “necesidad” de la medida, ésta no ofrece dificultad de comprensión bajo el parámetro de valoración que se ha venido exponiendo. En efecto, una vez que el legislador ha asumido dentro del margen de libertad del que dispone, que un porcentaje de los gastos que se derivan del funcionamiento de la justicia deben ser sufragados por quienes precisamente promueven la tutela de los tribunales, aunque siga siendo mayoritaria la aportación del conjunto de los contribuyentes por la vía de los impuestos, no cabe cuestionar la elección de la tasa aquí impugnada como instrumento recaudatorio, ni los recurrentes niegan en sí misma la validez de este sistema de financiación mixta de la Justicia, frente al que no cabe oponer un mandato constitucional que, en sentido contrario, únicamente permita sufragar el funcionamiento de la actividad de los juzgados y tribunales por la vía general de los tributos que paga la ciudadanía.</w:t>
      </w:r>
    </w:p>
    <w:p w:rsidR="00A90898" w:rsidRDefault="00A90898" w:rsidP="00A90898">
      <w:pPr>
        <w:pStyle w:val="TextoNormal"/>
      </w:pPr>
    </w:p>
    <w:p w:rsidR="00A90898" w:rsidRDefault="00A90898" w:rsidP="00A90898">
      <w:pPr>
        <w:pStyle w:val="TextoNormal"/>
      </w:pPr>
      <w:r>
        <w:t>Se trata, en definitiva, de la materialización de una opción política en la que no cabe injerirse, pues conforme tenemos asentado en doctrina reiterada: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solamente será aplicable cuando ‘las medidas alternativas [sean] palmariamente de menor intensidad coactiva y de una funcionalidad manifiestamente similar a la que se critique por desproporcionada (STC 161/1997, fundamento jurídico 11)’ (STC 136/1999, de 20 de julio, FJ 28)” (STC 60/2010, de 7 de octubre, FJ 14; también AATC 233/2004, de 7 de junio, FJ 6; 395/2005, de 19 de octubre, FJ 3; 400/2004, de 27 de octubre, FJ 6, y 332/2005, de 13 de septiembre, FJ 6).</w:t>
      </w:r>
    </w:p>
    <w:p w:rsidR="00A90898" w:rsidRDefault="00A90898" w:rsidP="00A90898">
      <w:pPr>
        <w:pStyle w:val="TextoNormal"/>
      </w:pPr>
    </w:p>
    <w:p w:rsidR="00A90898" w:rsidRDefault="00A90898" w:rsidP="00A90898">
      <w:pPr>
        <w:pStyle w:val="TextoNormal"/>
      </w:pPr>
      <w:r>
        <w:t>Es evidente que desde la perspectiva de la finalidad por la que se instaura la tasa judicial de la Ley 10/2012, que es la de fijar una corresponsabilidad económica por parte de todo aquel que genera la actividad procesal cuya realización produce un coste para el Estado, no hay —ni se alega por los recurrentes— una medida alternativa que sirva a su eficaz consecución.</w:t>
      </w:r>
    </w:p>
    <w:p w:rsidR="00A90898" w:rsidRDefault="00A90898" w:rsidP="00A90898">
      <w:pPr>
        <w:pStyle w:val="TextoNormal"/>
      </w:pPr>
    </w:p>
    <w:p w:rsidR="00A90898" w:rsidRDefault="00A90898" w:rsidP="00A90898">
      <w:pPr>
        <w:pStyle w:val="TextoNormal"/>
      </w:pPr>
      <w:r>
        <w:t>Mayores problemas suscita, por el contrario, el aspecto de la proporcionalidad estricta de las tasas impugnadas, al que de inmediato prestamos atención.</w:t>
      </w:r>
    </w:p>
    <w:p w:rsidR="00A90898" w:rsidRDefault="00A90898" w:rsidP="00A90898">
      <w:pPr>
        <w:pStyle w:val="TextoNormal"/>
      </w:pPr>
    </w:p>
    <w:p w:rsidR="00A90898" w:rsidRDefault="00A90898" w:rsidP="00A90898">
      <w:pPr>
        <w:pStyle w:val="TextoNormal"/>
      </w:pPr>
      <w:r w:rsidRPr="00A90898">
        <w:rPr>
          <w:rStyle w:val="NumeroAFNegritaCaracter"/>
        </w:rPr>
        <w:t>10</w:t>
      </w:r>
      <w:r>
        <w:t xml:space="preserve">. Debemos todavía determinar, en efecto, si las tasas que fija el art. 7 de la Ley 10/2012 tanto para acceder a la jurisdicción, como para poder promover recursos, resultan desproporcionadas </w:t>
      </w:r>
      <w:r w:rsidRPr="00A90898">
        <w:rPr>
          <w:i/>
        </w:rPr>
        <w:t>stricto sensu</w:t>
      </w:r>
      <w:r>
        <w:t xml:space="preserve"> por su cuantía, como afirma la demanda, en el sentido de provocar que quienes disponen de medios económicos suficientes para afrontar su pago, dejen sin embargo de ejercitar la acción o recurso que tenían por ley a su alcance, dado el valor económico del objeto controvertido puesto en relación con el importe de la tasa.</w:t>
      </w:r>
    </w:p>
    <w:p w:rsidR="00A90898" w:rsidRDefault="00A90898" w:rsidP="00A90898">
      <w:pPr>
        <w:pStyle w:val="TextoNormal"/>
      </w:pPr>
    </w:p>
    <w:p w:rsidR="00A90898" w:rsidRDefault="00A90898" w:rsidP="00A90898">
      <w:pPr>
        <w:pStyle w:val="TextoNormal"/>
      </w:pPr>
      <w:r>
        <w:t xml:space="preserve">Si anteriormente nos hemos situado en el plano de los fines constitucionalmente legítimos por los que puede limitarse el ejercicio del derecho de acceso a la tutela judicial efectiva, para incluir dentro de ellos la disuasión en el ejercicio abusivo del derecho al recurso —interposición de recursos infundados—; en este otro ámbito en el que ahora nos adentramos, el de la proporcionalidad en sentido estricto, el efecto disuasorio de la tasa en examen </w:t>
      </w:r>
      <w:r>
        <w:lastRenderedPageBreak/>
        <w:t>cobra un significado diferente, puesto que lo alegado por los recurrentes y que congruentemente tendremos que determinar, es si su elevada cuantía se traduce en un obstáculo injustificado para el correcto ejercicio del derecho fundamental indicado, en sus dos vertientes reconocidas, acceso a la jurisdicción y al recurso.</w:t>
      </w:r>
    </w:p>
    <w:p w:rsidR="00A90898" w:rsidRDefault="00A90898" w:rsidP="00A90898">
      <w:pPr>
        <w:pStyle w:val="TextoNormal"/>
      </w:pPr>
    </w:p>
    <w:p w:rsidR="00A90898" w:rsidRDefault="00A90898" w:rsidP="00A90898">
      <w:pPr>
        <w:pStyle w:val="TextoNormal"/>
      </w:pPr>
      <w:r>
        <w:t>Lo que la demanda propone, por tanto, es que utilicemos como canon de ponderación de la proporcionalidad en sentido estricto, el del efecto disuasorio de la medida tributaria impugnada sobre el ejercicio del derecho fundamental de acceso al proceso (jurisdicción y recurso) de los gravados con ella. Así planteado, ha de distinguirse entre la aplicación del principio de proporcionalidad en sentido estricto en cuanto a la fijación de la tasa judicial para impetrar el ejercicio de la potestad jurisdiccional en primera o única instancia; y la posibilidad o no de aplicación de dicho principio en relación a las tasas para recurrir resoluciones judiciales. Se adelanta ya una respuesta negativa a esta segunda cuestión, que trataremos en el posterior fundamento 12. Nos centramos ahora en la tasa para el acceso a la jurisdicción, a cuyo efecto deben de formularse algunas consideraciones previas a fin de esclarecer la viabilidad de tal método:</w:t>
      </w:r>
    </w:p>
    <w:p w:rsidR="00A90898" w:rsidRDefault="00A90898" w:rsidP="00A90898">
      <w:pPr>
        <w:pStyle w:val="TextoNormal"/>
      </w:pPr>
    </w:p>
    <w:p w:rsidR="00A90898" w:rsidRDefault="00A90898" w:rsidP="00A90898">
      <w:pPr>
        <w:pStyle w:val="TextoNormal"/>
      </w:pPr>
      <w:r>
        <w:t>a) Este Tribunal ha precisado que el juicio de proporcionalidad en sentido estricto, debe ser fijado siempre “en atención a las circunstancias de cada caso (SSTC 341/1993, fundamento jurídico 7; 50/1995, fundamento jurídico 7)” [STC 239/1999, de 20 de diciembre, FJ 5]. Sin perjuicio de ello hemos ido ofreciendo claves para esa subsunción concreta, tales como verificar que no se lesione “el valor fundamental de la justicia propio de un Estado de Derecho y de una actividad pública no arbitraria y respetuosa con la dignidad de la persona [SSTC 66/1985, fundamento jurídico 1; 65/1986, fundamento jurídico 2; 160/1987, fundamento jurídico 6 b); 111/1993, fundamento jurídico 9 50/1995, fundamento jurídico 7]” (STC 55/1996, de 28 de marzo, FJ 9); que no concurra un “desequilibrio patente y excesivo o irrazonable” entre la medida y la finalidad de la norma (STC 55/1996, FJ 9); constituyendo límite objetivo de esa proporcionalidad, “la interdicción de la arbitrariedad de los poderes públicos (art. 9.3 CE)” (STC 239/1999, FJ 5); importando sobre todo que se deriven de la aplicación de la medida, “más beneficios o ventajas para el interés general que perjuicios sobre otros bienes o intereses en conflicto” (STC 48/2005, de 3 de marzo, FJ 7). Si bien, en fin, “no cualquier desproporción o falta de equilibrio habrá de ser, desde la perspectiva que nos ocupa, constitucionalmente relevante, sino que sólo lo será aquélla en la que el exceso resulte verdaderamente manifiesto o evidente” (STC 60/2010, de 7 de octubre, FJ 16).</w:t>
      </w:r>
    </w:p>
    <w:p w:rsidR="00A90898" w:rsidRDefault="00A90898" w:rsidP="00A90898">
      <w:pPr>
        <w:pStyle w:val="TextoNormal"/>
      </w:pPr>
    </w:p>
    <w:p w:rsidR="00A90898" w:rsidRDefault="00A90898" w:rsidP="00A90898">
      <w:pPr>
        <w:pStyle w:val="TextoNormal"/>
      </w:pPr>
      <w:r>
        <w:t xml:space="preserve">b) La demanda fundamenta en este punto sus pretensiones, partiendo de una invocación a la jurisprudencia norteamericana relativa al conocido como </w:t>
      </w:r>
      <w:r w:rsidRPr="00A90898">
        <w:rPr>
          <w:i/>
        </w:rPr>
        <w:t>chilling effect</w:t>
      </w:r>
      <w:r>
        <w:t xml:space="preserve">, (efecto escalofrío), disuasorio o de desaliento al ejercicio del derecho, surgida a partir del asunto </w:t>
      </w:r>
      <w:r w:rsidRPr="00A90898">
        <w:rPr>
          <w:i/>
        </w:rPr>
        <w:t>U.S. Supreme Court, Wieman</w:t>
      </w:r>
      <w:r>
        <w:t xml:space="preserve"> v. </w:t>
      </w:r>
      <w:r w:rsidRPr="00A90898">
        <w:rPr>
          <w:i/>
        </w:rPr>
        <w:t>Updegraft, 344, US</w:t>
      </w:r>
      <w:r>
        <w:t xml:space="preserve"> 183 (1952), que pondera la posible inhibición que alcanza sobre el ejercicio de ciertos derechos fundamentales, especialmente el de libertad de expresión, la imposición de sanciones excesivas de orden penal o administrativo.</w:t>
      </w:r>
    </w:p>
    <w:p w:rsidR="00A90898" w:rsidRDefault="00A90898" w:rsidP="00A90898">
      <w:pPr>
        <w:pStyle w:val="TextoNormal"/>
      </w:pPr>
    </w:p>
    <w:p w:rsidR="00A90898" w:rsidRDefault="00A90898" w:rsidP="00A90898">
      <w:pPr>
        <w:pStyle w:val="TextoNormal"/>
      </w:pPr>
      <w:r>
        <w:t xml:space="preserve">De tal jurisprudencia se ha hecho eco el Tribunal Europeo de Derechos Humanos —incluso empleando habitualmente aquella expresión—, de manera preferente al tratar sobre los derechos a la libertad de expresión y reunión de los arts. 10 y 11 del Convenio de 1950. A título de ejemplo, SSTEDH de 20 de mayo de 1999, asunto </w:t>
      </w:r>
      <w:r w:rsidRPr="00A90898">
        <w:rPr>
          <w:i/>
        </w:rPr>
        <w:t>Bladet Tromsø</w:t>
      </w:r>
      <w:r>
        <w:t xml:space="preserve"> and Stensaas, § 64; 28 de octubre de 1999, asunto </w:t>
      </w:r>
      <w:r w:rsidRPr="00A90898">
        <w:rPr>
          <w:i/>
        </w:rPr>
        <w:t>Wille contra Liechtenstein</w:t>
      </w:r>
      <w:r>
        <w:t xml:space="preserve">, § 50; 21 de marzo de 2002, asunto </w:t>
      </w:r>
      <w:r w:rsidRPr="00A90898">
        <w:rPr>
          <w:i/>
        </w:rPr>
        <w:t>Nikula contra Finlandia</w:t>
      </w:r>
      <w:r>
        <w:t xml:space="preserve">, § 54; 15 de diciembre de 2005, asunto </w:t>
      </w:r>
      <w:r w:rsidRPr="00A90898">
        <w:rPr>
          <w:i/>
        </w:rPr>
        <w:t xml:space="preserve">Kyprianou contra </w:t>
      </w:r>
      <w:r w:rsidRPr="00A90898">
        <w:rPr>
          <w:i/>
        </w:rPr>
        <w:lastRenderedPageBreak/>
        <w:t>Chipre</w:t>
      </w:r>
      <w:r>
        <w:t xml:space="preserve">, §§ 175, 181 a 183; 21 de julio de 2011, asunto </w:t>
      </w:r>
      <w:r w:rsidRPr="00A90898">
        <w:rPr>
          <w:i/>
        </w:rPr>
        <w:t>Heinisch contra Alemania</w:t>
      </w:r>
      <w:r>
        <w:t xml:space="preserve">, §§ 91 y 92; 3 de octubre de 2013, asunto </w:t>
      </w:r>
      <w:r w:rsidRPr="00A90898">
        <w:rPr>
          <w:i/>
        </w:rPr>
        <w:t>Kasparov y otros contra Rusia</w:t>
      </w:r>
      <w:r>
        <w:t xml:space="preserve">), § 84; 15 de mayo de 2014, asunto </w:t>
      </w:r>
      <w:r w:rsidRPr="00A90898">
        <w:rPr>
          <w:i/>
        </w:rPr>
        <w:t>Taranenko contra Russia</w:t>
      </w:r>
      <w:r>
        <w:t xml:space="preserve">), §§ 95 y 96; 14 de octubre de 2014, asunto </w:t>
      </w:r>
      <w:r w:rsidRPr="00A90898">
        <w:rPr>
          <w:i/>
        </w:rPr>
        <w:t>Yilmaz Yildiz y otros contra Turquía</w:t>
      </w:r>
      <w:r>
        <w:t xml:space="preserve">, § 33; y 15 de octubre de 2015, asunto </w:t>
      </w:r>
      <w:r w:rsidRPr="00A90898">
        <w:rPr>
          <w:i/>
        </w:rPr>
        <w:t>Gafgaz Mammadov contra Azerbayan</w:t>
      </w:r>
      <w:r>
        <w:t>, § 50.</w:t>
      </w:r>
    </w:p>
    <w:p w:rsidR="00A90898" w:rsidRDefault="00A90898" w:rsidP="00A90898">
      <w:pPr>
        <w:pStyle w:val="TextoNormal"/>
      </w:pPr>
    </w:p>
    <w:p w:rsidR="00A90898" w:rsidRDefault="00A90898" w:rsidP="00A90898">
      <w:pPr>
        <w:pStyle w:val="TextoNormal"/>
      </w:pPr>
      <w:r>
        <w:t>En lo que aquí nos importa, también este Tribunal Constitucional ha hecho uso del efecto disuasorio como canon de ponderación del principio de proporcionalidad en sentido estricto, casi siempre en relación con medidas restrictivas al ejercicio de derechos fundamentales sustantivos. Así ha sucedido en casos donde se cuestiona la aplicación de sanciones penales que se consideran, por su naturaleza y extensión, desproporcionadas en el sentido de producir un desaliento a terceros para ejercer distintos derechos fundamentales —libertad de expresión, libertad sindical, etc.— [entre otras, SSTC 136/1999, de 20 de julio, FFJJ 20 y 29 c); 110/2000, de 5 de mayo, FJ 5; 88/2003, de 19 de mayo, FJ 8; 185/2003, de 27 de octubre, FJ 5; 108/2008, de 22 de septiembre, FJ 3, y 104/2011, de 20 de junio, FJ 6]. También cuando el efecto se causa por medidas de control administrativo [STC 37/1998, de 17 de febrero, FFJJ 6 a 8; y 148/2015, de 6 de julio, FJ 3, iii)]; y en su caso también, por actos de sujetos privados pero que repercuten en derechos fundamentales [SSTC 189/1993, de 14 de junio, FJ 5; y 148/2015, de 6 de julio, FJ 3, ii)].</w:t>
      </w:r>
    </w:p>
    <w:p w:rsidR="00A90898" w:rsidRDefault="00A90898" w:rsidP="00A90898">
      <w:pPr>
        <w:pStyle w:val="TextoNormal"/>
      </w:pPr>
    </w:p>
    <w:p w:rsidR="00A90898" w:rsidRDefault="00A90898" w:rsidP="00A90898">
      <w:pPr>
        <w:pStyle w:val="TextoNormal"/>
      </w:pPr>
      <w:r>
        <w:t xml:space="preserve">c) Respecto del ejercicio del derecho de acceso a la tutela jurisdiccional, nuestra doctrina también se refiere al efecto disuasorio, al tener establecido que “puede constituir una violación del citado derecho fundamental la imposición de requisitos o consecuencias ... meramente limitativas o disuasorias del ejercicio de las acciones y recursos legalmente habilitados para la defensa jurisdiccional de derechos e intereses legítimos; pero, con mayor razón, tal violación constitucional sólo es pensable si los requisitos o consecuencias legales del ejercicio de la acción o recurso fueran irrazonables o desproporcionados o el resultado limitativo </w:t>
      </w:r>
      <w:r w:rsidRPr="00A90898">
        <w:rPr>
          <w:i/>
        </w:rPr>
        <w:t>o disuasorio</w:t>
      </w:r>
      <w:r>
        <w:t xml:space="preserve"> que de ellos deriva supusiera un impedimento real a dicho ejercicio” (STC 206/1987, de 21 de diciembre, FJ 5; en el mismo sentido STC 147/1989, de 21 de septiembre, FJ 5).</w:t>
      </w:r>
    </w:p>
    <w:p w:rsidR="00A90898" w:rsidRDefault="00A90898" w:rsidP="00A90898">
      <w:pPr>
        <w:pStyle w:val="TextoNormal"/>
      </w:pPr>
    </w:p>
    <w:p w:rsidR="00A90898" w:rsidRDefault="00A90898" w:rsidP="00A90898">
      <w:pPr>
        <w:pStyle w:val="TextoNormal"/>
      </w:pPr>
      <w:r>
        <w:t>En concreto, en la STC 3/1983 de 25 de enero, este Tribunal declaró inconstitucional, por falta de la debida proporcionalidad, el inciso del párrafo primero del art. 170 del Real Decreto Legislativo 1568/1980, aprobatorio del texto refundido de la Ley de procedimiento laboral, en el que se establecía para el empresario un recargo del 20 por 100 sobre la suma objeto de condena, en orden a la constitución del depósito necesario para recurrir la Sentencia. Dijimos entonces, pese a tratarse de un depósito reintegrable en caso de estimación del recurso, que además de no aparecer dicho recargo vinculado a una actuación procesal previa de la parte que pudiera calificarse de mala fe o temeridad, lo que la convertía en una sanción objetiva, su cuantía resultaba en todo caso “ciertamente desproporcionada y gravosa, especialmente en condenas elevadas hoy tan frecuentes, impidiendo o dificultando gravemente el derecho al recurso que forma parte del contenido del art. 24.1 de la CE” (FJ 6).</w:t>
      </w:r>
    </w:p>
    <w:p w:rsidR="00A90898" w:rsidRDefault="00A90898" w:rsidP="00A90898">
      <w:pPr>
        <w:pStyle w:val="TextoNormal"/>
      </w:pPr>
    </w:p>
    <w:p w:rsidR="00A90898" w:rsidRDefault="00A90898" w:rsidP="00A90898">
      <w:pPr>
        <w:pStyle w:val="TextoNormal"/>
      </w:pPr>
      <w:r>
        <w:t xml:space="preserve">La desproporción del recargo se aprecia por tanto desde una perspectiva de disuasión general y previsible del derecho al recurso, sin condicionarla al previo examen de la situación económica de una o varias personas (físicas o jurídicas) recurrentes, ni del importe resultante de aplicar dicho porcentaje a cada recurso concreto. Semejante exigencia hubiera tornado inviable nuestro control en un proceso de objeto abstracto como es el recurso de </w:t>
      </w:r>
      <w:r>
        <w:lastRenderedPageBreak/>
        <w:t>inconstitucionalidad, en contra de lo dispuesto por la Constitución [art. 161.1 a)] y nuestra Ley Orgánica [arts. 2.1 a); 10.1 b); y 31 a 34; 38.1, 38.2, 39 y 40 LOTC]. Otro tanto ha de decirse, desde luego, respecto de la norma aquí en examen.</w:t>
      </w:r>
    </w:p>
    <w:p w:rsidR="00A90898" w:rsidRDefault="00A90898" w:rsidP="00A90898">
      <w:pPr>
        <w:pStyle w:val="TextoNormal"/>
      </w:pPr>
    </w:p>
    <w:p w:rsidR="00A90898" w:rsidRDefault="00A90898" w:rsidP="00A90898">
      <w:pPr>
        <w:pStyle w:val="TextoNormal"/>
      </w:pPr>
      <w:r>
        <w:t>d) Aceptada entonces la posibilidad de hacer uso, como canon de ponderación de la falta de proporcionalidad en sentido estricto, del efecto disuasorio al ejercicio del derecho de acceso (art. 24.1 CE) provocado según los recurrentes por la cuantía de la cuota fija y variable del impugnado art. 7 de la Ley 10/2012, en su aplicación a las personas jurídicas, procede referirse ya a los factores susceptibles de acreditar, de manera general y previsible, dicha disuasión.</w:t>
      </w:r>
    </w:p>
    <w:p w:rsidR="00A90898" w:rsidRDefault="00A90898" w:rsidP="00A90898">
      <w:pPr>
        <w:pStyle w:val="TextoNormal"/>
      </w:pPr>
    </w:p>
    <w:p w:rsidR="00A90898" w:rsidRDefault="00A90898" w:rsidP="00A90898">
      <w:pPr>
        <w:pStyle w:val="TextoNormal"/>
      </w:pPr>
      <w:r>
        <w:t>En este punto, hay que constatar ante todo que el preámbulo de la Ley 10/2012 no contiene referencia alguna a los criterios que han llevado a la asignación de los importes de las respectivas cuotas. Por su parte, la “Memoria del Análisis de Impacto Normativo” del entonces proyecto de Ley, en su epígrafe IV, “Análisis de Impactos”; apartado 2, “Impacto económico y presupuestario”; letra d), “Impacto presupuestario y relación con el coste del servicio. Tasas judiciales”, estimaba unos ingresos en el primer año de su entrada en vigor por importe de 306.091.358,50 € (descontando los procesos con justicia gratuita, que no la generan). A su vez, los gastos presupuestados para el funcionamiento total de juzgados y tribunales ascendían en 2011 (año que toma como referencia la Memoria) a 1.313.848.311,180 €, una suma más de cuatro veces superior.</w:t>
      </w:r>
    </w:p>
    <w:p w:rsidR="00A90898" w:rsidRDefault="00A90898" w:rsidP="00A90898">
      <w:pPr>
        <w:pStyle w:val="TextoNormal"/>
      </w:pPr>
    </w:p>
    <w:p w:rsidR="00A90898" w:rsidRDefault="00A90898" w:rsidP="00A90898">
      <w:pPr>
        <w:pStyle w:val="TextoNormal"/>
      </w:pPr>
      <w:r>
        <w:t>Lo dicho sin embargo no resulta suficiente para resolver el problema que se analiza (proporcionalidad en sentido estricto). Como indicamos en el anterior fundamento jurídico 8 de esta Sentencia, la actividad jurisdiccional no representa solamente la materialización de un servicio público, sino la expresión de un Poder del Estado y, en lo que ahora importa resaltar, el instrumento para la satisfacción de un derecho fundamental. La alternativa de que este último (el derecho de acceso, art. 24.1 CE) no se ejercite por motivos económicos, obliga a verificar en qué casos ese riesgo real de disuasión existe, más allá de que resulte indiscutido que en el actual sistema de financiación mixta, el sujeto obligado al pago de la tasa judicial aporta un porcentaje minoritario del coste total de su proceso.</w:t>
      </w:r>
    </w:p>
    <w:p w:rsidR="00A90898" w:rsidRDefault="00A90898" w:rsidP="00A90898">
      <w:pPr>
        <w:pStyle w:val="TextoNormal"/>
      </w:pPr>
    </w:p>
    <w:p w:rsidR="00A90898" w:rsidRDefault="00A90898" w:rsidP="00A90898">
      <w:pPr>
        <w:pStyle w:val="TextoNormal"/>
      </w:pPr>
      <w:r>
        <w:t>A tal fin hemos a referirnos a cada uno de los dos módulos que trae la norma para el cálculo de la cuota a pagar: la cantidad fija y la variable, partiendo de los concretos supuestos que han sido impugnados por la demanda del recurso.</w:t>
      </w:r>
    </w:p>
    <w:p w:rsidR="00A90898" w:rsidRDefault="00A90898" w:rsidP="00A90898">
      <w:pPr>
        <w:pStyle w:val="TextoNormal"/>
      </w:pPr>
    </w:p>
    <w:p w:rsidR="00A90898" w:rsidRDefault="00A90898" w:rsidP="00A90898">
      <w:pPr>
        <w:pStyle w:val="TextoNormal"/>
      </w:pPr>
      <w:r w:rsidRPr="00A90898">
        <w:rPr>
          <w:rStyle w:val="NumeroAFNegritaCaracter"/>
        </w:rPr>
        <w:t>11</w:t>
      </w:r>
      <w:r>
        <w:t>. En cuanto a la cuota fija, la demanda sostiene que la imposición de la tasa en sus actuales importes, puede comportar una medida de efectos inhibidores o disuasorios y, por ello injustificadamente desproporcionado, en los siguientes ámbitos de tutela jurisdiccional donde su pago se muestra especialmente gravoso: (i) las demandas de pequeña cuantía en el orden contencioso-administrativo y (ii) la interposición de recursos (segunda instancia y recursos extraordinarios) en los tres órdenes jurisdiccionales donde la misma es exigible, conforme se explicará de inmediato.</w:t>
      </w:r>
    </w:p>
    <w:p w:rsidR="00A90898" w:rsidRDefault="00A90898" w:rsidP="00A90898">
      <w:pPr>
        <w:pStyle w:val="TextoNormal"/>
      </w:pPr>
    </w:p>
    <w:p w:rsidR="00A90898" w:rsidRDefault="00A90898" w:rsidP="00A90898">
      <w:pPr>
        <w:pStyle w:val="TextoNormal"/>
      </w:pPr>
      <w:r>
        <w:t xml:space="preserve">Importa precisar, por tanto, que la demanda no formula cuestión alguna sobre la cuota fija establecida en el art. 7.1 de la Ley 10/2012 para los procesos civiles en primera o única instancia (su importe, en función del tipo de proceso, oscila entre los 100 € del proceso monitorio y los 300 € del juicio ordinario), lo que nos impide pronunciarnos sobre ella. En </w:t>
      </w:r>
      <w:r>
        <w:lastRenderedPageBreak/>
        <w:t>todo caso, no puede obviarse el hecho ya reseñado en el anterior fundamento jurídico 7, de que el art. 4.1 c) de la misma Ley declara exentos del pago de la tasa a los procesos civiles por reclamación de cantidad hasta los 2.000 €, salvo cuando se trate de la ejecución de títulos extrajudiciales. Medida que ya figuraba en la dicción original de la Ley [entonces, art. 4.1 e)] y que no ha sufrido variación con posterioridad, lo que revela una voluntad legislativa de integrarlo como límite estructural de este tributo en el ámbito de la justicia civil, algo que no ofrece desde luego reproche desde la perspectiva constitucional que se examina (art. 24.1 CE). Pasamos entonces a referirnos a las reclamaciones de pequeña cuantía en el orden contencioso-administrativo.</w:t>
      </w:r>
    </w:p>
    <w:p w:rsidR="00A90898" w:rsidRDefault="00A90898" w:rsidP="00A90898">
      <w:pPr>
        <w:pStyle w:val="TextoNormal"/>
      </w:pPr>
    </w:p>
    <w:p w:rsidR="00A90898" w:rsidRDefault="00A90898" w:rsidP="00A90898">
      <w:pPr>
        <w:pStyle w:val="TextoNormal"/>
      </w:pPr>
      <w:r>
        <w:t>Se ha recordado antes en esta Sentencia (fundamento jurídico 3) y no hace falta insistir en ello, que lo que está en juego en todos los procesos del orden contencioso-administrativo no es, únicamente —aunque ya sería bastante—, el ejercicio de un derecho fundamental con el fin de impetrar la protección de derechos subjetivos o intereses legítimos en conflicto, sino la propia efectividad del mandato constitucional de los arts. 103.1 y 106.1, con los que se asegura el sometimiento de las Administraciones públicas al imperio de la ley y el control de su actividad. Existen, pues, poderosas razones de orden público contrarias a desestimular a los ciudadanos para que dejen de promover el control de la legalidad ante los tribunales contencioso-administrativos.</w:t>
      </w:r>
    </w:p>
    <w:p w:rsidR="00A90898" w:rsidRDefault="00A90898" w:rsidP="00A90898">
      <w:pPr>
        <w:pStyle w:val="TextoNormal"/>
      </w:pPr>
    </w:p>
    <w:p w:rsidR="00A90898" w:rsidRDefault="00A90898" w:rsidP="00A90898">
      <w:pPr>
        <w:pStyle w:val="TextoNormal"/>
      </w:pPr>
      <w:r>
        <w:t>Cuestión distinta —como hemos dicho también—, es que las leyes establezcan consecuencias para quien abuse de su derecho de acceso, a la jurisdicción o al recurso, por mala fe o temeridad, en términos de posible condena en costas por esta causa o a través de la imposición de una multa del art. 247 de la Ley de enjuiciamiento civil (LEC). Además, en el recurso contencioso-administrativo el régimen de condena en costas, en primera o única instancia, se ha equiparado al proceso civil (art. 139.1 LJCA, reformado por el art. 3.11 de la Ley 37/2011, de 10 de octubre), por lo que con carácter general rige el principio del vencimiento salvo que se trate de estimación parcial de la demanda o incluso estimación total, si el asunto presenta a criterio del Juez serias dudas de hecho o de derecho.</w:t>
      </w:r>
    </w:p>
    <w:p w:rsidR="00A90898" w:rsidRDefault="00A90898" w:rsidP="00A90898">
      <w:pPr>
        <w:pStyle w:val="TextoNormal"/>
      </w:pPr>
    </w:p>
    <w:p w:rsidR="00A90898" w:rsidRDefault="00A90898" w:rsidP="00A90898">
      <w:pPr>
        <w:pStyle w:val="TextoNormal"/>
      </w:pPr>
      <w:r>
        <w:t xml:space="preserve">La justificación del importe de la tasa en los procesos contencioso-administrativos, ya sea en general y menos si cabe en reclamaciones de pequeña cuantía, no puede sostenerse en la afirmación defendida por el Abogado del Estado en su escrito de alegaciones, de que la tasa va dirigida a quienes deducen pretensiones con una “alta probabilidad de estimación”, cuestión ésta, en realidad, </w:t>
      </w:r>
      <w:r w:rsidRPr="00A90898">
        <w:rPr>
          <w:i/>
        </w:rPr>
        <w:t>a priori</w:t>
      </w:r>
      <w:r>
        <w:t xml:space="preserve"> imposible de garantizar. Tampoco hay datos para inferir, como señala igualmente el representante del Gobierno, que la cuantía de la tasa judicial sirva para estimular a la Administración a reconocer las pretensiones del afectado en la vía administrativa o, como muy tarde, a allanarse a la demanda que este último presente.</w:t>
      </w:r>
    </w:p>
    <w:p w:rsidR="00A90898" w:rsidRDefault="00A90898" w:rsidP="00A90898">
      <w:pPr>
        <w:pStyle w:val="TextoNormal"/>
      </w:pPr>
    </w:p>
    <w:p w:rsidR="00A90898" w:rsidRDefault="00A90898" w:rsidP="00A90898">
      <w:pPr>
        <w:pStyle w:val="TextoNormal"/>
      </w:pPr>
      <w:r>
        <w:t>Por otro lado, el legislador ha reducido la posibilidad de sometimiento a arbitraje en los conflictos administrativos, solamente a los planteados entre sus propios órganos (disposición adicional única de la Ley 11/2011, de 20 de mayo, de reforma de la Ley 60/2003).</w:t>
      </w:r>
    </w:p>
    <w:p w:rsidR="00A90898" w:rsidRDefault="00A90898" w:rsidP="00A90898">
      <w:pPr>
        <w:pStyle w:val="TextoNormal"/>
      </w:pPr>
    </w:p>
    <w:p w:rsidR="00A90898" w:rsidRDefault="00A90898" w:rsidP="00A90898">
      <w:pPr>
        <w:pStyle w:val="TextoNormal"/>
      </w:pPr>
      <w:r>
        <w:t xml:space="preserve">En consecuencia, la tutela dispensada por los tribunales de justicia es la única vía que tienen los ciudadanos para lograr el control de la actividad administrativa contraria a Derecho. Y que en las demandas de poca cuantía, en no pocas ocasiones incluye el cuestionamiento de disposiciones generales por el cauce de los recursos indirectos, cuya estimación </w:t>
      </w:r>
      <w:r>
        <w:lastRenderedPageBreak/>
        <w:t>da lugar al planteamiento de la cuestión de ilegalidad de los arts. 27 y 123-126 LJCA, para su remoción del orden jurídico.</w:t>
      </w:r>
    </w:p>
    <w:p w:rsidR="00A90898" w:rsidRDefault="00A90898" w:rsidP="00A90898">
      <w:pPr>
        <w:pStyle w:val="TextoNormal"/>
      </w:pPr>
    </w:p>
    <w:p w:rsidR="00A90898" w:rsidRDefault="00A90898" w:rsidP="00A90898">
      <w:pPr>
        <w:pStyle w:val="TextoNormal"/>
      </w:pPr>
      <w:r>
        <w:t>El Real Decreto-ley 3/2013 incorporó al apartado 1 del art. 7 de la Ley 10/2012, el límite por pago de la tasa, del 50 por 100 del importe de la sanción económica recurrida. Sucede, sin embargo y en primer lugar, que la imposición de una multa no agota el catálogo de posibles reclamaciones a la Administración, de modo que esta reducción objetivamente resulta parcial y limitada, ignorándose el criterio legislativo que ha conducido a hacer esta específica selección, en estos términos (el epígrafe III de la exposición de motivos de aquel Real Decreto-ley apenas informa de su introducción).</w:t>
      </w:r>
    </w:p>
    <w:p w:rsidR="00A90898" w:rsidRDefault="00A90898" w:rsidP="00A90898">
      <w:pPr>
        <w:pStyle w:val="TextoNormal"/>
      </w:pPr>
    </w:p>
    <w:p w:rsidR="00A90898" w:rsidRDefault="00A90898" w:rsidP="00A90898">
      <w:pPr>
        <w:pStyle w:val="TextoNormal"/>
      </w:pPr>
      <w:r>
        <w:t xml:space="preserve">En segundo lugar, el límite incorporado no desactiva en ese ámbito sancionador el efecto indebidamente disuasorio que genera ya sea, </w:t>
      </w:r>
      <w:r w:rsidRPr="00A90898">
        <w:rPr>
          <w:i/>
        </w:rPr>
        <w:t>ex</w:t>
      </w:r>
      <w:r>
        <w:t xml:space="preserve"> art. 7.1 de la Ley, la tasa de 200 € si el asunto debe conocerse por los trámites del proceso abreviado, como tampoco la tasa de 350 € si ha de ventilarse por el proceso ordinario (de acuerdo a cuál sea el órgano judicial competente para conocer el recurso, arts. 8 y siguientes LJCA 29/1998, en relación con el art. 78), teniendo en cuenta que al pago del tributo hay que unir los gastos de honorarios de abogado y, en su caso, aranceles de procurador cuando este último actúa (art. 23 LJCA).</w:t>
      </w:r>
    </w:p>
    <w:p w:rsidR="00A90898" w:rsidRDefault="00A90898" w:rsidP="00A90898">
      <w:pPr>
        <w:pStyle w:val="TextoNormal"/>
      </w:pPr>
    </w:p>
    <w:p w:rsidR="00A90898" w:rsidRDefault="00A90898" w:rsidP="00A90898">
      <w:pPr>
        <w:pStyle w:val="TextoNormal"/>
      </w:pPr>
      <w:r>
        <w:t xml:space="preserve">Asimismo, la reducción del importe de la sanción en caso de pago voluntario, prevista tanto en materia tributaria (art. 188 de la Ley 58/2003, de 17 de diciembre, general tributaria), como de tráfico (arts. 93 y 94 del Real Decreto Legislativo 6/2015, de 30 de octubre, que aprueba el texto refundido de la Ley sobre tráfico, circulación de vehículos a motor y seguridad), no representa en muchos casos una verdadera opción en el caso de pequeñas cuantías, más bien la única salida en términos económicos que tiene el afectado, incluso aunque esté convencido de la ilicitud del acto sancionador, puesto que reclamar judicialmente le supone sufragar una suma igual o superior a la de la propia multa. Todo esto facilita </w:t>
      </w:r>
      <w:r w:rsidRPr="00A90898">
        <w:rPr>
          <w:i/>
        </w:rPr>
        <w:t>de facto</w:t>
      </w:r>
      <w:r>
        <w:t xml:space="preserve"> una inmunidad de jurisdicción a la Administración pública autora de esas resoluciones.</w:t>
      </w:r>
    </w:p>
    <w:p w:rsidR="00A90898" w:rsidRDefault="00A90898" w:rsidP="00A90898">
      <w:pPr>
        <w:pStyle w:val="TextoNormal"/>
      </w:pPr>
    </w:p>
    <w:p w:rsidR="00A90898" w:rsidRDefault="00A90898" w:rsidP="00A90898">
      <w:pPr>
        <w:pStyle w:val="TextoNormal"/>
      </w:pPr>
      <w:r>
        <w:t>Por si lo dicho no fuera suficiente, ya hemos mencionado que el art. 4.1 de la Ley 10/2012 ha establecido la exención de la tasa judicial para las demandas de reclamación de cantidad en procesos civiles, verbales y monitorios, que no superen los 2.000 €; sin que exista una justificación objetiva para excluir una medida de esta misma índole en el ámbito contencioso-administrativo, por las razones que ya se han indicado.</w:t>
      </w:r>
    </w:p>
    <w:p w:rsidR="00A90898" w:rsidRDefault="00A90898" w:rsidP="00A90898">
      <w:pPr>
        <w:pStyle w:val="TextoNormal"/>
      </w:pPr>
    </w:p>
    <w:p w:rsidR="00A90898" w:rsidRDefault="00A90898" w:rsidP="00A90898">
      <w:pPr>
        <w:pStyle w:val="TextoNormal"/>
      </w:pPr>
      <w:r>
        <w:t>De acuerdo con lo expuesto, tanto la tasa de 200 € para la interposición del recurso contencioso-administrativo abreviado, como la de 350 € para la interposición del recurso contencioso-administrativo ordinario, ambas previstas para las personas jurídicas en el art. 7.1 de la Ley recurrida, resultan desproporcionadas y por ello contrarias al derecho de acceso a la jurisdicción (art. 24.1 CE).</w:t>
      </w:r>
    </w:p>
    <w:p w:rsidR="00A90898" w:rsidRDefault="00A90898" w:rsidP="00A90898">
      <w:pPr>
        <w:pStyle w:val="TextoNormal"/>
      </w:pPr>
    </w:p>
    <w:p w:rsidR="00A90898" w:rsidRDefault="00A90898" w:rsidP="00A90898">
      <w:pPr>
        <w:pStyle w:val="TextoNormal"/>
      </w:pPr>
      <w:r w:rsidRPr="00A90898">
        <w:rPr>
          <w:rStyle w:val="NumeroAFNegritaCaracter"/>
        </w:rPr>
        <w:t>12</w:t>
      </w:r>
      <w:r>
        <w:t>. El segundo supuesto de efectos disuasorios o inhibidores de la tasa fija de la Ley 10/2012 que plantea la demanda, es el de la interposición de recursos contra sentencias.</w:t>
      </w:r>
    </w:p>
    <w:p w:rsidR="00A90898" w:rsidRDefault="00A90898" w:rsidP="00A90898">
      <w:pPr>
        <w:pStyle w:val="TextoNormal"/>
      </w:pPr>
    </w:p>
    <w:p w:rsidR="00A90898" w:rsidRDefault="00A90898" w:rsidP="00A90898">
      <w:pPr>
        <w:pStyle w:val="TextoNormal"/>
      </w:pPr>
      <w:r>
        <w:t xml:space="preserve">Una puntualización previa resulta necesaria y es que ya nuestra STC 20/2012, de 16 de febrero, FJ 5, declaró conforme con el art. 24.1 CE la fijación de una tasa para recurrir, de cuantía superior a la exigida para promover procesos en primera o única instancia. Ahora </w:t>
      </w:r>
      <w:r>
        <w:lastRenderedPageBreak/>
        <w:t>bien, el problema que se nos plantea aquí no es el de la previsión de una distinta cuantía entre ambos peldaños de la protección judicial, extremo aceptado por los recurrentes, sino el de si puede apreciarse la inconstitucionalidad, por desproporción, del importe de la tasa fija impuesta por la Ley 10/2012 para poder recurrir.</w:t>
      </w:r>
    </w:p>
    <w:p w:rsidR="00A90898" w:rsidRDefault="00A90898" w:rsidP="00A90898">
      <w:pPr>
        <w:pStyle w:val="TextoNormal"/>
      </w:pPr>
    </w:p>
    <w:p w:rsidR="00A90898" w:rsidRDefault="00A90898" w:rsidP="00A90898">
      <w:pPr>
        <w:pStyle w:val="TextoNormal"/>
      </w:pPr>
      <w:r>
        <w:t xml:space="preserve">La respuesta a esta cuestión, esto es, la utilización del canon de la proporcionalidad, ha de ser negativa. Este Tribunal, en su STC 37/1995, de 7 de febrero, dictada en un recurso de amparo en el que se cuestionaba la resolución de la Sala Primera del Tribunal Supremo inadmitiendo un recurso de casación, declaró en su fundamento jurídico 5 que en el acceso a la justicia: “funciona con toda su intensidad el principio </w:t>
      </w:r>
      <w:r w:rsidRPr="00A90898">
        <w:rPr>
          <w:i/>
        </w:rPr>
        <w:t>pro actione</w:t>
      </w:r>
      <w:r>
        <w:t xml:space="preserve"> que, sin embargo, ha de ser matizado cuando se trata de los siguientes grados procesales que, eventualmente puedan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No se olviden al respecto los procesos en única instancia, muy frecuentes en el esquema de competencias de todos los Tribunales Supremos. Pues bien, en el diseño del sistema de recursos se utilizan variadas modalidades y diversos tipos, cuya consideración desde la perspectiva constitucional no puede ser la misma … Como consecuencia de ello, el principio hermenéutico </w:t>
      </w:r>
      <w:r w:rsidRPr="00A90898">
        <w:rPr>
          <w:i/>
        </w:rPr>
        <w:t>pro actione</w:t>
      </w:r>
      <w:r>
        <w:t xml:space="preserv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(STC 3/1983 y 294/1994)’.”</w:t>
      </w:r>
    </w:p>
    <w:p w:rsidR="00A90898" w:rsidRDefault="00A90898" w:rsidP="00A90898">
      <w:pPr>
        <w:pStyle w:val="TextoNormal"/>
      </w:pPr>
    </w:p>
    <w:p w:rsidR="00A90898" w:rsidRDefault="00A90898" w:rsidP="00A90898">
      <w:pPr>
        <w:pStyle w:val="TextoNormal"/>
      </w:pPr>
      <w:r>
        <w:t>El canon de ponderación aplicable, conforme doctrina reiterada, ha de ser entonces el de limitarse a comprobar si las resoluciones de inadmisión “se apoyan en una causa legal (STC 168/1998, de 21 de julio, FJ 2) ‘o si han incurrido en error material patente, en arbitrariedad o en manifiesta irrazonabilidad (SSTC 258/2000, de 30 de octubre, FJ 2; 6/2001, de 15 de enero, FJ 3; 112/2002, de 6 de mayo, FJ 2; 46/2004, de 23 de marzo, FJ 4; 91/2005, de 18 de abril, FJ 2; y 107/2005, de 9 de mayo, FJ 4)’ (STC 270/2005, de 24 de octubre, FJ 3)”.</w:t>
      </w:r>
    </w:p>
    <w:p w:rsidR="00A90898" w:rsidRDefault="00A90898" w:rsidP="00A90898">
      <w:pPr>
        <w:pStyle w:val="TextoNormal"/>
      </w:pPr>
    </w:p>
    <w:p w:rsidR="00A90898" w:rsidRDefault="00A90898" w:rsidP="00A90898">
      <w:pPr>
        <w:pStyle w:val="TextoNormal"/>
      </w:pPr>
      <w:r>
        <w:t xml:space="preserve">En este caso no nos encontramos ante una regla legal de admisión de un recurso inserta en el ordenamiento procesal correspondiente, sino ante la previsión de un tributo regulado en una ley específica (Ley 10/2012, de 20 de noviembre, por la que se regulan determinadas tasas en el ámbito de la Administración de Justicia…), cuya exigencia de pago obligatorio </w:t>
      </w:r>
      <w:r>
        <w:lastRenderedPageBreak/>
        <w:t>para poder impetrar el ejercicio de la actividad jurisdiccional de segunda instancia, casación o suplicación, se dice que puede obstaculizar el acceso a tales recursos. Tal obstaculización ha sido examinada por este Tribunal desde la concreta perspectiva de la vulneración del art. 24.1 CE causada por el efecto de cierre del proceso derivado del impago de la tasa, en la STC 79/2012, de 17 de abril, a propósito del entonces vigente apartado 7 del art. 35 de la Ley 53/2002, de 30 de diciembre, de medidas fiscales, administrativas y del orden social. A los efectos de resolver la cuestión de inconstitucionalidad ahí planteada, señalamos con cita de la anterior STC 20/2012 (ésta, en relación con el derecho de acceso a la jurisdicción), que “la tasa que grava el ejercicio de la potestad jurisdiccional … persigue el legítimo interés de contribuir a financiar el servicio público de la administración de justicia con cargo a los justiciables que más se benefician de la actividad jurisdiccional, disminuyendo correlativamente la financiación procedente de los impuestos, a cargo de todos los contribuyentes; y lo hace en unos términos plenamente respetuosos con las previsiones constitucionales sobre la gratuidad de la justicia (STC 20/2012, FFJJ 8, 9 y 10). Esta conclusión general sólo podría verse modificada si se mostrase que la cuantía de las tasas establecidas por la Ley 53/2002, de 30 de diciembre, son tan elevadas que impiden en la práctica el ejercicio del derecho fundamental o lo obstaculizan en un caso concreto en términos irrazonables (STC 20/2012, FJ 10). Sin embargo, el Auto que ha planteado la cuestión de inconstitucionalidad no alberga duda alguna sobre la capacidad económica de la entidad litigante” (STC 79/2012, FJ 5), destacándose asimismo como elemento importante para concluir en la constitucionalidad del precepto, la existencia de una oportunidad de subsanación de los defectos cometidos al liquidar o acreditar la liquidación de la tasa (STC 79/2012, FFJJ 6 y 7).</w:t>
      </w:r>
    </w:p>
    <w:p w:rsidR="00A90898" w:rsidRDefault="00A90898" w:rsidP="00A90898">
      <w:pPr>
        <w:pStyle w:val="TextoNormal"/>
      </w:pPr>
    </w:p>
    <w:p w:rsidR="00A90898" w:rsidRDefault="00A90898" w:rsidP="00A90898">
      <w:pPr>
        <w:pStyle w:val="TextoNormal"/>
      </w:pPr>
      <w:r>
        <w:t>Dicho esto, en el presente supuesto donde el problema no radica en examinar el efecto de cierre del proceso, sino en si la propia cuantía de la demanda determina la restricción en el ejercicio del derecho al recurso, consideramos que debe ser aplicable aquí el canon antes derivado de la STC 37/1995, adaptado al ámbito de control de la norma, entendido como la verificación de que el legislador ha justificado los criterios conforme a los cuales fija el importe de cada una de las tasas para recurrir. Esos criterios no aparecen expresados ni en el preámbulo de la Ley 10/2012 ni en la memoria del análisis del impacto normativo, limitándose a presentar las cifras presupuestarias ya comentadas. Tampoco esa justificación puede extraerse de la consideración de las circunstancias concurrentes en la actualidad y a las que ahora se hará referencia, sea en comparación con el importe y destinatarios de la anterior tasa judicial de la Ley 53/2002, sea en cuanto a las condiciones subjetivas de los actuales destinatarios (personas jurídicas) y la naturaleza de los recursos judiciales gravados con ella:</w:t>
      </w:r>
    </w:p>
    <w:p w:rsidR="00A90898" w:rsidRDefault="00A90898" w:rsidP="00A90898">
      <w:pPr>
        <w:pStyle w:val="TextoNormal"/>
      </w:pPr>
    </w:p>
    <w:p w:rsidR="00A90898" w:rsidRDefault="00A90898" w:rsidP="00A90898">
      <w:pPr>
        <w:pStyle w:val="TextoNormal"/>
      </w:pPr>
      <w:r>
        <w:t>a) En primer lugar, partiendo del dato evidente de que la Ley actual ha tenido como referente inmediato la regulación de la tasa judicial que ha regido durante diez años con la reintroducción de ésta por mor del art. 35 de la Ley 53/2002, no parece haber tomado en cuenta el legislador el cambio que ha supuesto exigir su pago a la generalidad de las personas físicas y jurídicas, viniendo a fijar unas cuantías muy superiores a las que se habían aplicado a las empresas gravadas con la tasa de aquel artículo 35.</w:t>
      </w:r>
    </w:p>
    <w:p w:rsidR="00A90898" w:rsidRDefault="00A90898" w:rsidP="00A90898">
      <w:pPr>
        <w:pStyle w:val="TextoNormal"/>
      </w:pPr>
    </w:p>
    <w:p w:rsidR="00A90898" w:rsidRDefault="00A90898" w:rsidP="00A90898">
      <w:pPr>
        <w:pStyle w:val="TextoNormal"/>
      </w:pPr>
      <w:r>
        <w:t>Como tuvimos ocasión de declarar en la STC 20/2012 y lo hemos recordado también varias veces aquí, la tasa de la Ley 53/2002 obligaba únicamente a entidades cuya alta ca</w:t>
      </w:r>
      <w:r>
        <w:lastRenderedPageBreak/>
        <w:t>pacidad económica se presumía al no tener “la consideración de entidades de reducida dimensión de acuerdo con lo previsto en la normativa reguladora del Impuesto sobre Sociedades” [art. 35.3.2 d) de la Ley 53/2002].</w:t>
      </w:r>
    </w:p>
    <w:p w:rsidR="00A90898" w:rsidRDefault="00A90898" w:rsidP="00A90898">
      <w:pPr>
        <w:pStyle w:val="TextoNormal"/>
      </w:pPr>
    </w:p>
    <w:p w:rsidR="00A90898" w:rsidRDefault="00A90898" w:rsidP="00A90898">
      <w:pPr>
        <w:pStyle w:val="TextoNormal"/>
      </w:pPr>
      <w:r>
        <w:t xml:space="preserve">A la fecha de entrada en vigor de aquel art. 35 de la Ley 53/2002, el 1 de enero de 2003, ello implicaba que la persona jurídica debía contar con un importe neto “de la cifra de negocios habida en el periodo impositivo inmediato anterior”, no inferior a los cinco millones de euros, </w:t>
      </w:r>
      <w:r w:rsidRPr="00A90898">
        <w:rPr>
          <w:i/>
        </w:rPr>
        <w:t>ex</w:t>
      </w:r>
      <w:r>
        <w:t xml:space="preserve"> art. 122.1 de la Ley 43/1995, de 27 de diciembre, del impuesto sobre sociedades (en la redacción dada por el art. 2.40, de la Ley 24/2001, de 27 de diciembre, de medidas fiscales, administrativas y del orden social). Pero además, durante los diez años en que estuvo en funcionamiento dicha tasa, el importe de su cuota fija nunca fue revisado al alza (tampoco el de la variable); de hecho se aprobó reducir la de 90 € para la presentación de demandas en juicio monitorio, hasta dejarla en 50 € (disposición final segunda de la Ley 37/2011, de 10 de octubre, de medidas de agilización procesal).</w:t>
      </w:r>
    </w:p>
    <w:p w:rsidR="00A90898" w:rsidRDefault="00A90898" w:rsidP="00A90898">
      <w:pPr>
        <w:pStyle w:val="TextoNormal"/>
      </w:pPr>
    </w:p>
    <w:p w:rsidR="00A90898" w:rsidRDefault="00A90898" w:rsidP="00A90898">
      <w:pPr>
        <w:pStyle w:val="TextoNormal"/>
      </w:pPr>
      <w:r>
        <w:t>En cambio, este tributo cada vez fue aplicándose a menos empresas, pues lo que sí hizo el legislador sustantivo fue ir elevando el umbral que delimitaba el concepto de entidades de reducida dimensión. Así, a partir del 27 de abril de 2003, el importe neto de la cifra de negocios para ser excluida de esta categoría, pasó a ser al menos de seis millones de euros (art. 2 del Real Decreto-ley 2/2003, de 25 de abril, de medidas de reforma económica), subiendo luego a los ocho millones de euros (art. 62.1, de la Ley 2/2004, de 27 de diciembre, de presupuestos generales del Estado para el año 2005), ya como art. 108.1 del texto refundido de la Ley de impuesto sobre sociedades (Real Decreto Legislativo 4/2004, de 5 de marzo); hasta alcanzar los diez millones de euros por mor del art. 1.2, del Real Decreto-ley 13/2010, de 3 de diciembre, de actuaciones en el ámbito fiscal, laboral y liberalizadoras para fomentar la inversión y la creación de empleo. En la actualidad el concepto de “entidad de reducida dimensión” está previsto en el art. 101 de la Ley 27/2014, de 27 de noviembre, del impuesto sobre sociedades (se mantiene el límite en los diez millones de euros), si bien la Ley 10/2012 no contiene ya ninguna remisión a dicha normativa.</w:t>
      </w:r>
    </w:p>
    <w:p w:rsidR="00A90898" w:rsidRDefault="00A90898" w:rsidP="00A90898">
      <w:pPr>
        <w:pStyle w:val="TextoNormal"/>
      </w:pPr>
    </w:p>
    <w:p w:rsidR="00A90898" w:rsidRDefault="00A90898" w:rsidP="00A90898">
      <w:pPr>
        <w:pStyle w:val="TextoNormal"/>
      </w:pPr>
      <w:r>
        <w:t>Sirviendo pues este último importe (diez millones de euros) como umbral de referencia subjetiva para el pago de la tasa del art. 35 de la Ley 53/2002, desde el 3 de diciembre de 2010 hasta el último día de su vigencia, el 22 de noviembre de 2012, cuando quedó derogado aquel art. 35 por la entrada en vigor de la Ley 10/2012 (disposición derogatoria única y disposición final séptima de esta última).</w:t>
      </w:r>
    </w:p>
    <w:p w:rsidR="00A90898" w:rsidRDefault="00A90898" w:rsidP="00A90898">
      <w:pPr>
        <w:pStyle w:val="TextoNormal"/>
      </w:pPr>
    </w:p>
    <w:p w:rsidR="00A90898" w:rsidRDefault="00A90898" w:rsidP="00A90898">
      <w:pPr>
        <w:pStyle w:val="TextoNormal"/>
      </w:pPr>
      <w:r>
        <w:t xml:space="preserve">Pues bien, pese a la evidencia de que la mayor parte de sus destinatarios, en este caso las personas jurídicas, no tienen una capacidad económica presunta siquiera aproximada a las de aquellas empresas, la Ley 10/2012 no solamente no ha impuesto unas cuantías inferiores, sino que la tasa fija en el caso de los recursos ha aumentado en un 166,66 por 100 tratándose de la apelación, que ha pasado de los 300 a los 800 €; y en un 100 por 100 los de casación —en cualquiera de sus modalidades— y extraordinario por infracción procesal, al pasar de 600 a 1.200 €; aparte de gravar </w:t>
      </w:r>
      <w:r w:rsidRPr="00A90898">
        <w:rPr>
          <w:i/>
        </w:rPr>
        <w:t>ex novo</w:t>
      </w:r>
      <w:r>
        <w:t xml:space="preserve"> los recursos devolutivos del proceso laboral, en cuantías también altas: suplicación (500 €) y casación (750 €).</w:t>
      </w:r>
    </w:p>
    <w:p w:rsidR="00A90898" w:rsidRDefault="00A90898" w:rsidP="00A90898">
      <w:pPr>
        <w:pStyle w:val="TextoNormal"/>
      </w:pPr>
    </w:p>
    <w:p w:rsidR="00A90898" w:rsidRDefault="00A90898" w:rsidP="00A90898">
      <w:pPr>
        <w:pStyle w:val="TextoNormal"/>
      </w:pPr>
      <w:r>
        <w:t xml:space="preserve">La justificación dada por la memoria del análisis normativo del proyecto de Ley, para la cuantificación de estas tasas, no puede reputarse suficiente. De un lado, se limita a poner de manifiesto (página 17) la legitimidad de establecerlas por encima de las que cabe exigir para </w:t>
      </w:r>
      <w:r>
        <w:lastRenderedPageBreak/>
        <w:t>la primera instancia, al afectarse, añade, el derecho de acceso al recurso y no a la jurisdicción, lo que sin embargo ya hemos aclarado antes, no es el problema a resolver. De otro lado, se defiende en la memoria (pág. 32) que lo que pueda ingresarse por este concepto no permitirá cubrir el coste de la segunda instancia, limitándose a dar datos globales de las partidas previstas para retribuciones y gastos en bienes y servicios. Sin embargo, esas cifras no se acompañan siquiera de un estudio económico que permita comprender el porqué de la cuantía de la tasa asignada a cada uno de los distintos recursos.</w:t>
      </w:r>
    </w:p>
    <w:p w:rsidR="00A90898" w:rsidRDefault="00A90898" w:rsidP="00A90898">
      <w:pPr>
        <w:pStyle w:val="TextoNormal"/>
      </w:pPr>
    </w:p>
    <w:p w:rsidR="00A90898" w:rsidRDefault="00A90898" w:rsidP="00A90898">
      <w:pPr>
        <w:pStyle w:val="TextoNormal"/>
      </w:pPr>
      <w:r>
        <w:t>En todo caso, como ya se ha venido indicando insistentemente, el objetivo de financiación mixta de la Justicia no puede traer consigo el sacrificio de un derecho fundamental, como es el de acceso a la Justicia (art. 24.1 CE), en cualquiera de sus vertientes.</w:t>
      </w:r>
    </w:p>
    <w:p w:rsidR="00A90898" w:rsidRDefault="00A90898" w:rsidP="00A90898">
      <w:pPr>
        <w:pStyle w:val="TextoNormal"/>
      </w:pPr>
    </w:p>
    <w:p w:rsidR="00A90898" w:rsidRDefault="00A90898" w:rsidP="00A90898">
      <w:pPr>
        <w:pStyle w:val="TextoNormal"/>
      </w:pPr>
      <w:r>
        <w:t>b) Se constata también que la cuantía de las tasas para recurrir resoluciones judiciales del art. 7.1 de la Ley 10/2012, no atiende a la realidad económica de una mayoría significativa de sus destinatarios, para los cuales resulta excesiva. Tratándose de personas jurídicas, para ilustrar esta afirmación con datos obtenidos de estadísticas oficiales, método de valoración empleado por este Tribunal en supuestos de vulneración de derechos fundamentales [SSTC 109/1993, de 25 de marzo, FJ 6; 253/2004, de 22 de diciembre, FJ 8; 233/2007, de 5 de noviembre, FJ 6, y 61/2013, de 14 de marzo, FJ 3 a)], se tiene información de un sector representativo como es el del comercio (actividades incluidas dentro de la sección G de la clasificación nacional de actividades económicas 2009 —CNAE-2009—, aprobada por Real Decreto 475/2007, de 13 de abril). Al cierre de 2014 (último computado), un 48,9 por 100 son empresas que tenían menos de una persona ocupada, con una cifra de negocios de apenas el 5,3 por 100 del total, mientras que otro 46,5 por 100 corresponde a microempresas que ocupan de 2-9 personas, cuya cifra de negocios es el 23,6 por 100 del total. Estos dos segmentos concentran el 95,4 por 100 del sector (Fuente: INE: “Encuesta Anual de Comercio. Estadística de Productos en el sector Comercio. Año 2014, 18 de diciembre de 2015”).</w:t>
      </w:r>
    </w:p>
    <w:p w:rsidR="00A90898" w:rsidRDefault="00A90898" w:rsidP="00A90898">
      <w:pPr>
        <w:pStyle w:val="TextoNormal"/>
      </w:pPr>
    </w:p>
    <w:p w:rsidR="00A90898" w:rsidRDefault="00A90898" w:rsidP="00A90898">
      <w:pPr>
        <w:pStyle w:val="TextoNormal"/>
      </w:pPr>
      <w:r>
        <w:t>Si se atiende a datos más globales, como el de las empresas inscritas en la seguridad social (personas físicas y jurídicas), las cifras son similares en su atomización: a 31 de diciembre de 2014, del total de empresas inscritas (1.255.613) un 56,54 por 100 cuentan con 1-2 trabajadores, otro 22,10 por 100 son empresas de 3-5 trabajadores y el 9,25 por 100 tienen de 6-9 trabajadores, por aludir a las de menor tamaño. Y en mayo de 2016, último registrado, las cifras a partir del total (1.299.108 empresas) son, respectivamente, del 55,47 por 100; 22,11 por 100 y 9,51 por 100 (Fuente: Ministerio de Empleo y Seguridad Social. Secretaría General Técnica. Subdirección General de Estadística: “Estadística de Empresas inscritas en la Seguridad Social”, mayo de 2016).</w:t>
      </w:r>
    </w:p>
    <w:p w:rsidR="00A90898" w:rsidRDefault="00A90898" w:rsidP="00A90898">
      <w:pPr>
        <w:pStyle w:val="TextoNormal"/>
      </w:pPr>
    </w:p>
    <w:p w:rsidR="00A90898" w:rsidRDefault="00A90898" w:rsidP="00A90898">
      <w:pPr>
        <w:pStyle w:val="TextoNormal"/>
      </w:pPr>
      <w:r>
        <w:t>En este contexto, se colige que el esfuerzo económico que se exige también a la mayor parte de las personas jurídicas para la satisfacción de la tasa para la interposición de recursos contra resoluciones judiciales, resulta desproporcionado.</w:t>
      </w:r>
    </w:p>
    <w:p w:rsidR="00A90898" w:rsidRDefault="00A90898" w:rsidP="00A90898">
      <w:pPr>
        <w:pStyle w:val="TextoNormal"/>
      </w:pPr>
    </w:p>
    <w:p w:rsidR="00A90898" w:rsidRDefault="00A90898" w:rsidP="00A90898">
      <w:pPr>
        <w:pStyle w:val="TextoNormal"/>
      </w:pPr>
      <w:r>
        <w:t xml:space="preserve">c) La expectativa de una condena en costas a favor de la parte recurrente que ha abonado la tasa, permitiendo así su devolución, es una hipótesis incierta en la primera o única instancia, como ya explicamos (pues no procede necesariamente en caso de vencimiento total de la pretensión y, desde luego, no si este fuere parcial a menos que se apreciara mala fe o temeridad), pero se torna del todo inexistente en vía de recurso, puesto que las diversas leyes </w:t>
      </w:r>
      <w:r>
        <w:lastRenderedPageBreak/>
        <w:t>procesales únicamente imponen la condena en costas al recurrente que ve rechazado el recurso que ha interpuesto; no se declaran en favor de aquel cuyo recurso sí se ha estimado [art. 398 LEC; art. 139.2 LJCA; art. 235 de la Ley reguladora de la jurisdicción social (LJS), con las excepciones ahí contempladas].</w:t>
      </w:r>
    </w:p>
    <w:p w:rsidR="00A90898" w:rsidRDefault="00A90898" w:rsidP="00A90898">
      <w:pPr>
        <w:pStyle w:val="TextoNormal"/>
      </w:pPr>
    </w:p>
    <w:p w:rsidR="00A90898" w:rsidRDefault="00A90898" w:rsidP="00A90898">
      <w:pPr>
        <w:pStyle w:val="TextoNormal"/>
      </w:pPr>
      <w:r>
        <w:t>d) Los criterios establecidos por el legislador para poder acudir a cada uno de los recursos gravados con la tasa, son de diversa índole y muchos de ellos no atienden siquiera al valor económico del proceso:</w:t>
      </w:r>
    </w:p>
    <w:p w:rsidR="00A90898" w:rsidRDefault="00A90898" w:rsidP="00A90898">
      <w:pPr>
        <w:pStyle w:val="TextoNormal"/>
      </w:pPr>
    </w:p>
    <w:p w:rsidR="00A90898" w:rsidRDefault="00A90898" w:rsidP="00A90898">
      <w:pPr>
        <w:pStyle w:val="TextoNormal"/>
      </w:pPr>
      <w:r>
        <w:t>(i) En el orden civil son recurribles en apelación las sentencias dictadas en procedimientos seguidos, no sólo por razón de la cuantía (más de 3.000 €) sino por razón de la materia.</w:t>
      </w:r>
    </w:p>
    <w:p w:rsidR="00A90898" w:rsidRDefault="00A90898" w:rsidP="00A90898">
      <w:pPr>
        <w:pStyle w:val="TextoNormal"/>
      </w:pPr>
    </w:p>
    <w:p w:rsidR="00A90898" w:rsidRDefault="00A90898" w:rsidP="00A90898">
      <w:pPr>
        <w:pStyle w:val="TextoNormal"/>
      </w:pPr>
      <w:r>
        <w:t>El recurso de casación, a su vez, cabe tanto por razón de la cuantía (más de 600.000 €), que no presupone la capacidad económica de las partes, como también por interés casacional, que justamente prescinde del criterio económico de la pretensión en los diversos supuestos que recoge el art. 477 LEC.</w:t>
      </w:r>
    </w:p>
    <w:p w:rsidR="00A90898" w:rsidRDefault="00A90898" w:rsidP="00A90898">
      <w:pPr>
        <w:pStyle w:val="TextoNormal"/>
      </w:pPr>
    </w:p>
    <w:p w:rsidR="00A90898" w:rsidRDefault="00A90898" w:rsidP="00A90898">
      <w:pPr>
        <w:pStyle w:val="TextoNormal"/>
      </w:pPr>
      <w:r>
        <w:t>Tampoco puede olvidarse la existencia de algunas leyes procesales autonómicas que articulan un recurso de casación civil propio, en las que el criterio de la cuantía deviene irrelevante (así, art. 2.2 de la Ley 5/2005, de 25 de abril, del Parlamento de Galicia: “Las sentencias objeto de casación no estarán sometidas a limitación alguna por causa de su cuantía litigiosa”), especialidad procesal que ya contemplaba la Ley 11/1993, de 15 de julio, art. 1 a), declarada en ese punto constitucional por la STC 47/2004, de 25 de marzo, FJ 11, teniendo en cuenta las “cuantías litigiosas escasas” de los pleitos suscitados en el marco de sus instituciones jurídico-privadas y de la costumbre; o en su caso es el propio de una apelación (art. 2.1 de la Ley 4/2005, de 14 de junio, de las Cortes de Aragón: “Cuando la cuantía del asunto exceda de tres mil euros o sea imposible de calcular ni siquiera de modo relativo”); además de prescindir de él cuando procede también por causa de interés casacional (art. 2.2 y art. 3 de la citada Ley aragonesa 4/2005).</w:t>
      </w:r>
    </w:p>
    <w:p w:rsidR="00A90898" w:rsidRDefault="00A90898" w:rsidP="00A90898">
      <w:pPr>
        <w:pStyle w:val="TextoNormal"/>
      </w:pPr>
    </w:p>
    <w:p w:rsidR="00A90898" w:rsidRDefault="00A90898" w:rsidP="00A90898">
      <w:pPr>
        <w:pStyle w:val="TextoNormal"/>
      </w:pPr>
      <w:r>
        <w:t xml:space="preserve">(ii) Por lo que toca al orden contencioso-administrativo, cabe apelación </w:t>
      </w:r>
      <w:r w:rsidRPr="00A90898">
        <w:rPr>
          <w:i/>
        </w:rPr>
        <w:t>ex</w:t>
      </w:r>
      <w:r>
        <w:t xml:space="preserve"> art. 81 LJCA además del criterio de la cuantía (más de 30.000 €), los que se interpongan contra sentencias que declaran la inadmisibilidad del recurso contencioso-administrativo en esos mismos asuntos, y cuando la sentencia dirima la impugnación indirecta de disposiciones generales.</w:t>
      </w:r>
    </w:p>
    <w:p w:rsidR="00A90898" w:rsidRDefault="00A90898" w:rsidP="00A90898">
      <w:pPr>
        <w:pStyle w:val="TextoNormal"/>
      </w:pPr>
    </w:p>
    <w:p w:rsidR="00A90898" w:rsidRDefault="00A90898" w:rsidP="00A90898">
      <w:pPr>
        <w:pStyle w:val="TextoNormal"/>
      </w:pPr>
      <w:r>
        <w:t>El recurso de casación regulado en el todavía vigente art. 86 LJCA, a su vez, procede en asuntos superiores a 600.000 € (la situación es idéntica en este aspecto que para la casación civil nacional), pero también cuando la sentencia resuelve sobre el nacimiento o extinción de la relación funcionarial del recurrente, así como las dictadas sobre la validez de una disposición de carácter general, donde no rige la cuantía. Estas materias, y el supuesto que configura el recurso de casación para la unificación de doctrina (arts. 96 y 99 LJCA), resultan todos objetivamente relevantes desde la óptica del control de la legalidad administrativa (arts. 103 y 106 CE).</w:t>
      </w:r>
    </w:p>
    <w:p w:rsidR="00A90898" w:rsidRDefault="00A90898" w:rsidP="00A90898">
      <w:pPr>
        <w:pStyle w:val="TextoNormal"/>
      </w:pPr>
    </w:p>
    <w:p w:rsidR="00A90898" w:rsidRDefault="00A90898" w:rsidP="00A90898">
      <w:pPr>
        <w:pStyle w:val="TextoNormal"/>
      </w:pPr>
      <w:r>
        <w:t xml:space="preserve">Sin embargo, la reforma del recurso de casación en este orden jurisdiccional, aprobada por la Ley Orgánica 7/2015, de 21 de julio, que modifica la Ley Orgánica 6/1985, de 1 de julio, del Poder Judicial, cuya entrada en vigor se producirá esta misma semana, el 22 de julio del presente año (disposición final décima, que lo fija al año de su publicación en el </w:t>
      </w:r>
      <w:r>
        <w:lastRenderedPageBreak/>
        <w:t xml:space="preserve">“BOE”; núm. 174, de 22 de julio de 2015), determina la desaparición del criterio de la cuantía para su acceso, quedando únicamente el del interés casacional, </w:t>
      </w:r>
      <w:r w:rsidRPr="00A90898">
        <w:rPr>
          <w:i/>
        </w:rPr>
        <w:t>ex</w:t>
      </w:r>
      <w:r>
        <w:t xml:space="preserve"> art. 88 LJCA (disposición final tercera, 1 de la Ley Orgánica 7/2015), al tiempo que se suprimen las modalidades de casación unificadora (disposición final tercera, 2 de la Ley Orgánica 7/2015).</w:t>
      </w:r>
    </w:p>
    <w:p w:rsidR="00A90898" w:rsidRDefault="00A90898" w:rsidP="00A90898">
      <w:pPr>
        <w:pStyle w:val="TextoNormal"/>
      </w:pPr>
    </w:p>
    <w:p w:rsidR="00A90898" w:rsidRDefault="00A90898" w:rsidP="00A90898">
      <w:pPr>
        <w:pStyle w:val="TextoNormal"/>
      </w:pPr>
      <w:r>
        <w:t>(iii) En el orden social, en fin, la ley procesal parte de la procedencia del recurso de suplicación contra las Sentencias de los Juzgados de lo Social, salvo excepciones (art. 191 LJS), lo mismo que en la casación respecto de las Sentencias dictadas por las Salas competentes de los Tribunales Superiores de Justicia o la Audiencia Nacional (art. 205 LJS); mientras que la casación para la unificación de doctrina cabe para las Sentencias dictadas en suplicación siempre que se amolde a su objeto específico (arts. 218 y 219 LJS). La importancia de los derechos subjetivos que se dirimen en estas controversias, de carácter individual y colectivo, enlaza, recordamos, con el papel atribuido por este Tribunal Constitucional a los procesos laborales como instrumento corrector de desigualdades, en favor de los trabajadores (STC 3/1983, de 25 de enero, FJ 3).</w:t>
      </w:r>
    </w:p>
    <w:p w:rsidR="00A90898" w:rsidRDefault="00A90898" w:rsidP="00A90898">
      <w:pPr>
        <w:pStyle w:val="TextoNormal"/>
      </w:pPr>
    </w:p>
    <w:p w:rsidR="00A90898" w:rsidRDefault="00A90898" w:rsidP="00A90898">
      <w:pPr>
        <w:pStyle w:val="TextoNormal"/>
      </w:pPr>
      <w:r>
        <w:t>En definitiva, no se aprecia razón y justificación alguna que acredite que se haya tenido en cuenta que las cuantías establecidas por el art. 7 de la Ley 10/2012, para la interposición de recursos, se adecuen a una capacidad económica que no exceda de la que pueda poseer una persona jurídica; razón por la que esas tasas resultan contrarias al art. 24.1 CE.</w:t>
      </w:r>
    </w:p>
    <w:p w:rsidR="00A90898" w:rsidRDefault="00A90898" w:rsidP="00A90898">
      <w:pPr>
        <w:pStyle w:val="TextoNormal"/>
      </w:pPr>
    </w:p>
    <w:p w:rsidR="00A90898" w:rsidRDefault="00A90898" w:rsidP="00A90898">
      <w:pPr>
        <w:pStyle w:val="TextoNormal"/>
      </w:pPr>
      <w:r w:rsidRPr="00A90898">
        <w:rPr>
          <w:rStyle w:val="NumeroAFNegritaCaracter"/>
        </w:rPr>
        <w:t>13</w:t>
      </w:r>
      <w:r>
        <w:t>. Corresponde referirnos en último lugar desde la misma perspectiva de vulneración del derecho a la tutela judicial efectiva (art. 24.1 CE), a la queja de falta de proporcionalidad de la cuota variable prevista, tanto para procesos de primera o única instancia como respecto de la interposición de recursos, en el apartado 2 del propio art. 7 de la Ley 10/2012, una vez más referida a su exigencia a las personas jurídicas, tras la pérdida parcial de objeto del recurso.</w:t>
      </w:r>
    </w:p>
    <w:p w:rsidR="00A90898" w:rsidRDefault="00A90898" w:rsidP="00A90898">
      <w:pPr>
        <w:pStyle w:val="TextoNormal"/>
      </w:pPr>
    </w:p>
    <w:p w:rsidR="00A90898" w:rsidRDefault="00A90898" w:rsidP="00A90898">
      <w:pPr>
        <w:pStyle w:val="TextoNormal"/>
      </w:pPr>
      <w:r>
        <w:t>Dicha cuota variable comporta recaudar una segunda cantidad en función de un porcentaje determinado sobre el valor económico del litigio, siempre que sea calculable dicho valor conforme a las reglas de procedimiento y, de no ser así, aplicando a estos efectos un valor ficticio de 18.000 €, conforme determina previamente el art. 6.2 de la propia Ley 10/2012.</w:t>
      </w:r>
    </w:p>
    <w:p w:rsidR="00A90898" w:rsidRDefault="00A90898" w:rsidP="00A90898">
      <w:pPr>
        <w:pStyle w:val="TextoNormal"/>
      </w:pPr>
    </w:p>
    <w:p w:rsidR="00A90898" w:rsidRDefault="00A90898" w:rsidP="00A90898">
      <w:pPr>
        <w:pStyle w:val="TextoNormal"/>
      </w:pPr>
      <w:r>
        <w:t>Así regulada, esta cuota variable eleva innecesariamente la carga económica de la entidad actora o recurrente en todos los grados de la jurisdicción en los que satisface su pago, sin que sea posible discernir a qué criterio responde su exigencia, puesto que la memoria del análisis de impacto normativo nada aclara sobre el particular:</w:t>
      </w:r>
    </w:p>
    <w:p w:rsidR="00A90898" w:rsidRDefault="00A90898" w:rsidP="00A90898">
      <w:pPr>
        <w:pStyle w:val="TextoNormal"/>
      </w:pPr>
    </w:p>
    <w:p w:rsidR="00A90898" w:rsidRDefault="00A90898" w:rsidP="00A90898">
      <w:pPr>
        <w:pStyle w:val="TextoNormal"/>
      </w:pPr>
      <w:r>
        <w:t>a) Si se trata de presumir como riqueza patrimonial, la mera solicitud de una tutela judicial concreta no puede estimarse un parámetro objetivamente adecuado. En muchas ocasiones lo que se solicita a diario a un tribunal de justicia es la reparación de una pérdida patrimonial ya sufrida (así, las demandas por daños y perjuicios), la evitación de esa pérdida (una tutela declarativa con el único fin de proteger un bien o derecho ante actuaciones de terceros; las reclamaciones contencioso-administrativas contra la imposición de prestaciones pecuniarias o sanciones ilícitas); la condena al pago de créditos civiles o mercantiles no satisfechos con los cuales poder hacer frente a gastos corrientes de la empresa; o, en fin, el poder oponerse a una ejecución que se entiende indebidamente despachada en su contra, etc.</w:t>
      </w:r>
    </w:p>
    <w:p w:rsidR="00A90898" w:rsidRDefault="00A90898" w:rsidP="00A90898">
      <w:pPr>
        <w:pStyle w:val="TextoNormal"/>
      </w:pPr>
    </w:p>
    <w:p w:rsidR="00A90898" w:rsidRDefault="00A90898" w:rsidP="00A90898">
      <w:pPr>
        <w:pStyle w:val="TextoNormal"/>
      </w:pPr>
      <w:r>
        <w:t>Gran parte de esos casos no comportan en modo alguno un enriquecimiento para la entidad que deduce la demanda, el recurso o la oposición a la ejecución. Pero incluso cuando la estimación de lo pretendido pudiera llevar consigo un aumento neto de su patrimonio, se precisa primero de una sentencia favorable que así lo declare y que además devenga firme, extremo éste que ni ha concurrido todavía al momento (inicial) de tener que pagar la tasa, ni puede, de hecho, que llegue a producirse si no vence en juicio. Pese a ello, se la grava con una suma adicional que comporta cientos o miles de euros, a abonar junto con la tasa fija.</w:t>
      </w:r>
    </w:p>
    <w:p w:rsidR="00A90898" w:rsidRDefault="00A90898" w:rsidP="00A90898">
      <w:pPr>
        <w:pStyle w:val="TextoNormal"/>
      </w:pPr>
    </w:p>
    <w:p w:rsidR="00A90898" w:rsidRDefault="00A90898" w:rsidP="00A90898">
      <w:pPr>
        <w:pStyle w:val="TextoNormal"/>
      </w:pPr>
      <w:r>
        <w:t>b) Tampoco el criterio del valor del litigio guarda relación con el coste del ejercicio de la función jurisdiccional, sino que además las desigualdades se producen en un mismo tipo de procedimiento. De este modo, personas jurídicas que ventilan sus derechos por el mismo cauce judicial y cuya pretensión de tutela trae consigo esencialmente idénticos “costes generados por la actividad jurisdiccional que conlleva juzgar las demandas” (STC 71/2014, de 6 de mayo, FJ 4), satisfacen sin embargo una tasa distinta, con diferencias entre sí de hasta varios miles de euros. Esto da lugar a una desigualdad de trato entre justiciables carente de justificación objetiva y razonable, operando un efecto inhibidor o disuasorio del derecho de interposición de la demanda o recurso correspondiente.</w:t>
      </w:r>
    </w:p>
    <w:p w:rsidR="00A90898" w:rsidRDefault="00A90898" w:rsidP="00A90898">
      <w:pPr>
        <w:pStyle w:val="TextoNormal"/>
      </w:pPr>
    </w:p>
    <w:p w:rsidR="00A90898" w:rsidRDefault="00A90898" w:rsidP="00A90898">
      <w:pPr>
        <w:pStyle w:val="TextoNormal"/>
      </w:pPr>
      <w:r>
        <w:t>Cabe concluir de modo más general, que en nuestro Estado social y democrático de Derecho, el cual propugna entre otros valores superiores de su ordenamiento jurídico la justicia y la igualdad (art. 1.1 CE), el pago de un tributo no puede obstaculizar el ejercicio de un derecho fundamental.</w:t>
      </w:r>
    </w:p>
    <w:p w:rsidR="00A90898" w:rsidRDefault="00A90898" w:rsidP="00A90898">
      <w:pPr>
        <w:pStyle w:val="TextoNormal"/>
      </w:pPr>
    </w:p>
    <w:p w:rsidR="00A90898" w:rsidRDefault="00A90898" w:rsidP="00A90898">
      <w:pPr>
        <w:pStyle w:val="TextoNormal"/>
      </w:pPr>
      <w:r>
        <w:t>Se declara por tanto que la cuota variable prevista en el art. 7.2 de la Ley 10/2012, de 20 de noviembre, resulta inconstitucional por infringir el derecho fundamental de acceso a la jurisdicción y al recurso (art. 24.1 CE), para personas jurídicas, sin necesidad de entrar a valorar los porcentajes y límite de la escala variable vigente para estas últimas.</w:t>
      </w:r>
    </w:p>
    <w:p w:rsidR="00A90898" w:rsidRDefault="00A90898" w:rsidP="00A90898">
      <w:pPr>
        <w:pStyle w:val="TextoNormal"/>
      </w:pPr>
    </w:p>
    <w:p w:rsidR="00A90898" w:rsidRDefault="00A90898" w:rsidP="00A90898">
      <w:pPr>
        <w:pStyle w:val="TextoNormal"/>
      </w:pPr>
      <w:r w:rsidRPr="00A90898">
        <w:rPr>
          <w:rStyle w:val="NumeroAFNegritaCaracter"/>
        </w:rPr>
        <w:t>14</w:t>
      </w:r>
      <w:r>
        <w:t>. La demanda sostiene, como última queja, que el importe excesivo de las tasas infringe no solamente el derecho a la tutela judicial efectiva (derecho de acceso), sino también los principios tributarios de capacidad económica y de progresividad consagrados en el art. 31 CE. Se alega, en síntesis, que si bien la doctrina de este Tribunal ha matizado la exigencia de tales principios, éstos no se limitan a los impuestos directos y personales sino que se predican del conjunto del sistema tributario; y que, de todos modos, “lo que no puede hacer la ley es desconocer, en este caso concreto, que un tributo no puede impedir el ejercicio de derechos fundamentales”.</w:t>
      </w:r>
    </w:p>
    <w:p w:rsidR="00A90898" w:rsidRDefault="00A90898" w:rsidP="00A90898">
      <w:pPr>
        <w:pStyle w:val="TextoNormal"/>
      </w:pPr>
    </w:p>
    <w:p w:rsidR="00A90898" w:rsidRDefault="00A90898" w:rsidP="00A90898">
      <w:pPr>
        <w:pStyle w:val="TextoNormal"/>
      </w:pPr>
      <w:r>
        <w:t>Así planteada la cuestión, dado que la demanda se está refiriendo a las tasas del art. 7 de la Ley 10/2012 que ya hemos declarado inconstitucionales y nulas por vulnerar el derecho a la tutela judicial efectiva (art. 24.1 CE), pues no hace referencia a supuestos distintos de los que sirvieron de fundamento a su pretensión ya estimada, resulta por ello innecesario pronunciarnos sobre este último motivo del recurso de inconstitucionalidad, al haber sido ya erradicadas dichas tasas del ordenamiento jurídico, conforme doctrina reiterada de este Tribunal (entre otras, SSTC 16/1996, de 1 de febrero, FJ 7; 238/2015, de 19 de noviembre, FJ 8, y 82/2016, de 28 de abril, FJ 7).</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15</w:t>
      </w:r>
      <w:r>
        <w:t>. Este último fundamento jurídico de la Sentencia ha de servir para concretar el alcance que se deriva de las declaraciones de inconstitucionalidad formuladas hasta ahora:</w:t>
      </w:r>
    </w:p>
    <w:p w:rsidR="00A90898" w:rsidRDefault="00A90898" w:rsidP="00A90898">
      <w:pPr>
        <w:pStyle w:val="TextoNormal"/>
      </w:pPr>
    </w:p>
    <w:p w:rsidR="00A90898" w:rsidRDefault="00A90898" w:rsidP="00A90898">
      <w:pPr>
        <w:pStyle w:val="TextoNormal"/>
      </w:pPr>
      <w:r>
        <w:t>a) En primer lugar, supone la nulidad del apartado 1 del art. 7 de la Ley 10/2012, de 20 de noviembre, en los distintos incisos que prevén, de manera separada, las cuotas fijas siguientes, en este caso a las personas jurídicas: (i) la de 200 € para interponer el recurso contencioso-administrativo abreviado y la de 350 € para interponer el recurso contencioso-administrativo ordinario; (ii) la de 800 € para promover recurso de apelación y de 1.200 € para los recursos de casación y extraordinario por infracción procesal, en el orden civil; (iii) la de 800 € para el recurso de apelación y 1.200 € para el recurso de casación en cualquiera de sus modalidades, en el orden contencioso-administrativo; (iv) así como también la nulidad de la tasa de 500 € para el recurso de suplicación y 750 € para el de casación en cualquiera de sus modalidades, ambos del orden social.</w:t>
      </w:r>
    </w:p>
    <w:p w:rsidR="00A90898" w:rsidRDefault="00A90898" w:rsidP="00A90898">
      <w:pPr>
        <w:pStyle w:val="TextoNormal"/>
      </w:pPr>
    </w:p>
    <w:p w:rsidR="00A90898" w:rsidRDefault="00A90898" w:rsidP="00A90898">
      <w:pPr>
        <w:pStyle w:val="TextoNormal"/>
      </w:pPr>
      <w:r>
        <w:t>b) Y en segundo lugar, se declara la nulidad de la cuota variable para las personas jurídicas, recogida en el apartado 2 del mismo art. 7 de la Ley recurrida.</w:t>
      </w:r>
    </w:p>
    <w:p w:rsidR="00A90898" w:rsidRDefault="00A90898" w:rsidP="00A90898">
      <w:pPr>
        <w:pStyle w:val="TextoNormal"/>
      </w:pPr>
    </w:p>
    <w:p w:rsidR="00A90898" w:rsidRDefault="00A90898" w:rsidP="00A90898">
      <w:pPr>
        <w:pStyle w:val="TextoNormal"/>
      </w:pPr>
      <w:r>
        <w:t>Respecto de ambos pronunciamientos de nulidad,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anterior 54/2002, de 27 de febrero, FJ 9—; 161/2012, de 20 de septiembre, FJ 7; y 104/2013, de 25 de abril, FJ 4).</w:t>
      </w:r>
    </w:p>
    <w:p w:rsidR="00A90898" w:rsidRDefault="00A90898" w:rsidP="00A90898">
      <w:pPr>
        <w:pStyle w:val="TextoNormal"/>
      </w:pPr>
    </w:p>
    <w:p w:rsidR="00A90898" w:rsidRDefault="00A90898" w:rsidP="00A90898">
      <w:pPr>
        <w:pStyle w:val="TextoNormal"/>
      </w:pPr>
      <w:r>
        <w:t>En particular,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parcialmente el presente recurso de inconstitucionalidad y, en consecuencia:</w:t>
      </w:r>
    </w:p>
    <w:p w:rsidR="00A90898" w:rsidRDefault="00A90898" w:rsidP="00A90898">
      <w:pPr>
        <w:pStyle w:val="TextoNormal"/>
      </w:pPr>
    </w:p>
    <w:p w:rsidR="00A90898" w:rsidRDefault="00A90898" w:rsidP="00A90898">
      <w:pPr>
        <w:pStyle w:val="TextoNormal"/>
      </w:pPr>
      <w:r>
        <w:t>1º Declarar la pérdida sobrevenida del objeto del presente recurso, en lo que se refiere a la impugnación del art. 3.1 de la Ley 10/2012, de 20 de noviembre.</w:t>
      </w:r>
    </w:p>
    <w:p w:rsidR="00A90898" w:rsidRDefault="00A90898" w:rsidP="00A90898">
      <w:pPr>
        <w:pStyle w:val="TextoNormal"/>
      </w:pPr>
    </w:p>
    <w:p w:rsidR="00A90898" w:rsidRDefault="00A90898" w:rsidP="00A90898">
      <w:pPr>
        <w:pStyle w:val="TextoNormal"/>
      </w:pPr>
      <w:r>
        <w:t>2º Declarar la pérdida sobrevenida del objeto del presente recurso en lo que se refiere a la impugnación de los arts. 1 y 7, en su aplicación a las personas físicas.</w:t>
      </w:r>
    </w:p>
    <w:p w:rsidR="00A90898" w:rsidRDefault="00A90898" w:rsidP="00A90898">
      <w:pPr>
        <w:pStyle w:val="TextoNormal"/>
      </w:pPr>
    </w:p>
    <w:p w:rsidR="00A90898" w:rsidRDefault="00A90898" w:rsidP="00A90898">
      <w:pPr>
        <w:pStyle w:val="TextoNormal"/>
      </w:pPr>
      <w:r>
        <w:t>3º Declarar la inconstitucionalidad y nulidad del art. 7, apartado 1, de la Ley 10/2012, de 20 de noviembre, en los siguientes incisos: “en el orden jurisdiccional civil: … apelación: 800 €; casación y extraordinario por infracción procesal: 1.200 €”; “en el orden jurisdiccional contencioso-administrativo: abreviado: 200 €; ordinario: 350 €; apelación: 800 €; casación: 1.200 €”; y “en el orden social: suplicación: 500 €; casación: 750 €”; con los efectos indicados en el anterior fundamento jurídico 15.</w:t>
      </w:r>
    </w:p>
    <w:p w:rsidR="00A90898" w:rsidRDefault="00A90898" w:rsidP="00A90898">
      <w:pPr>
        <w:pStyle w:val="TextoNormal"/>
      </w:pPr>
    </w:p>
    <w:p w:rsidR="00A90898" w:rsidRDefault="00A90898" w:rsidP="00A90898">
      <w:pPr>
        <w:pStyle w:val="TextoNormal"/>
      </w:pPr>
      <w:r>
        <w:t>4º Declarar la inconstitucionalidad y nulidad del art. 7, apartado 2, de la Ley 10/2012, de 20 de noviembre, con los efectos indicados en el anterior fundamento jurídico 15.</w:t>
      </w:r>
    </w:p>
    <w:p w:rsidR="00A90898" w:rsidRDefault="00A90898" w:rsidP="00A90898">
      <w:pPr>
        <w:pStyle w:val="TextoNormal"/>
      </w:pPr>
    </w:p>
    <w:p w:rsidR="00A90898" w:rsidRDefault="00A90898" w:rsidP="00A90898">
      <w:pPr>
        <w:pStyle w:val="TextoNormal"/>
      </w:pPr>
      <w:r>
        <w:t>5º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veintiuno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0" w:name="SENTENCIA_2016_141"/>
      <w:r>
        <w:lastRenderedPageBreak/>
        <w:t>SENTENCIA 141/2016, de 21 de julio de 2016</w:t>
      </w:r>
    </w:p>
    <w:bookmarkEnd w:id="20"/>
    <w:p w:rsidR="00A90898" w:rsidRDefault="00A90898" w:rsidP="00A90898">
      <w:pPr>
        <w:pStyle w:val="TtuloResolucin"/>
      </w:pPr>
      <w:r>
        <w:t>Pleno</w:t>
      </w:r>
    </w:p>
    <w:p w:rsidR="00A90898" w:rsidRDefault="00A90898" w:rsidP="00A90898">
      <w:pPr>
        <w:pStyle w:val="TtuloBOE"/>
      </w:pPr>
      <w:r>
        <w:t>(BOE núm. 196, de 15 de agosto de 2016)</w:t>
      </w:r>
    </w:p>
    <w:p w:rsidR="00A90898" w:rsidRDefault="00A90898" w:rsidP="00A90898">
      <w:pPr>
        <w:pStyle w:val="TextoNormalCentrado"/>
      </w:pPr>
      <w:r>
        <w:t>ECLI:ES:TC:2016:141</w:t>
      </w:r>
    </w:p>
    <w:p w:rsidR="00A90898" w:rsidRDefault="00A90898" w:rsidP="00A90898">
      <w:pPr>
        <w:pStyle w:val="TextoNormalCentrado"/>
      </w:pPr>
    </w:p>
    <w:p w:rsidR="00A90898" w:rsidRDefault="00A90898" w:rsidP="00A90898">
      <w:pPr>
        <w:pStyle w:val="SntesisDescriptiva"/>
      </w:pPr>
      <w:r>
        <w:t>Conflicto positivo de competencia 4911-2013. Planteado por el Gobierno de la Generalitat de Cataluña respecto de diversos preceptos del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 y 2006/193/CE, de la Comisión.</w:t>
      </w:r>
    </w:p>
    <w:p w:rsidR="00A90898" w:rsidRDefault="00A90898" w:rsidP="00A90898">
      <w:pPr>
        <w:pStyle w:val="SntesisDescriptiva"/>
      </w:pPr>
    </w:p>
    <w:p w:rsidR="00A90898" w:rsidRDefault="00A90898" w:rsidP="00A90898">
      <w:pPr>
        <w:pStyle w:val="SntesisAnaltica"/>
      </w:pPr>
      <w:r>
        <w:t>Competencias sobre ordenación general de la economía y medio ambiente: nulidad de los preceptos reglamentarios estatales en los que se regula el ejercicio y supervisión de la actividad de los verificadores medioambientales, el régimen transitorio de ejercicio de la actividad de los verificadores acreditados al momento de aprobarse el reglamento y se invoca la competencia sobre ordenación general de la economía.</w:t>
      </w:r>
    </w:p>
    <w:p w:rsidR="00A90898" w:rsidRDefault="00A90898" w:rsidP="00A90898">
      <w:pPr>
        <w:pStyle w:val="SntesisAnaltica"/>
      </w:pPr>
    </w:p>
    <w:p w:rsidR="00A90898" w:rsidRDefault="00A90898" w:rsidP="00A90898">
      <w:pPr>
        <w:pStyle w:val="Extracto"/>
      </w:pPr>
      <w:r>
        <w:t>1.</w:t>
      </w:r>
      <w:r>
        <w:tab/>
        <w:t>Aunque se diese por bueno que la norma europea exige un único órgano de acreditación o autorización en materia de verificadores medioambientales, es evidente que el Derecho de la Unión Europea no ha impuesto que tal órgano sea designado necesariamente por el poder central. Al atribuirse en exclusiva a la Entidad Nacional de Acreditación la acreditación de los verificadores medioambientales, se invade las competencias ejecutivas de la Generalitat de Cataluña en materia de medio ambiente y vulnera por tanto el orden constitucional de distribución de competencias (arts. 149.1.23 CE y 144.1 EAC) [FJ 7].</w:t>
      </w:r>
    </w:p>
    <w:p w:rsidR="00A90898" w:rsidRDefault="00A90898" w:rsidP="00A90898">
      <w:pPr>
        <w:pStyle w:val="Extracto"/>
      </w:pPr>
    </w:p>
    <w:p w:rsidR="00A90898" w:rsidRDefault="00A90898" w:rsidP="00A90898">
      <w:pPr>
        <w:pStyle w:val="Extracto"/>
      </w:pPr>
      <w:r>
        <w:t>2.</w:t>
      </w:r>
      <w:r>
        <w:tab/>
        <w:t>Sin perjuicio de que el orden de distribución de competencias obedezca exclusivamente a las pautas del Derecho interno, ha de tomarse en consideración el Derecho de la Unión Europea como elemento interpretativo necesario para el análisis de las disposiciones objeto de este proceso [FJ 3].</w:t>
      </w:r>
    </w:p>
    <w:p w:rsidR="00A90898" w:rsidRDefault="00A90898" w:rsidP="00A90898">
      <w:pPr>
        <w:pStyle w:val="Extracto"/>
      </w:pPr>
    </w:p>
    <w:p w:rsidR="00A90898" w:rsidRDefault="00A90898" w:rsidP="00A90898">
      <w:pPr>
        <w:pStyle w:val="Extracto"/>
      </w:pPr>
      <w:r>
        <w:t>3.</w:t>
      </w:r>
      <w:r>
        <w:tab/>
        <w:t>Habrá de ser el legislador quien, a la vista del Reglamento europeo, explore la forma de hacer compatible el cumplimiento de las exigencias que éste impone con el régimen de distribución competencial, teniendo en cuenta el principio constitucional de colaboración, implícito en el sistema de las autonomías [FJ 7].</w:t>
      </w:r>
    </w:p>
    <w:p w:rsidR="00A90898" w:rsidRDefault="00A90898" w:rsidP="00A90898">
      <w:pPr>
        <w:pStyle w:val="Extracto"/>
      </w:pPr>
    </w:p>
    <w:p w:rsidR="00A90898" w:rsidRDefault="00A90898" w:rsidP="00A90898">
      <w:pPr>
        <w:pStyle w:val="Extracto"/>
      </w:pPr>
      <w:r>
        <w:t>4.</w:t>
      </w:r>
      <w:r>
        <w:tab/>
        <w:t>Se reitera la STC 33/2005 en relación con las exigencias que ha de respetar la normativa básica [FJ 6].</w:t>
      </w:r>
    </w:p>
    <w:p w:rsidR="00A90898" w:rsidRDefault="00A90898" w:rsidP="00A90898">
      <w:pPr>
        <w:pStyle w:val="Extracto"/>
      </w:pPr>
    </w:p>
    <w:p w:rsidR="00A90898" w:rsidRDefault="00A90898" w:rsidP="00A90898">
      <w:pPr>
        <w:pStyle w:val="Extracto"/>
      </w:pPr>
      <w:r>
        <w:t>5.</w:t>
      </w:r>
      <w:r>
        <w:tab/>
        <w:t>Doctrina sobre la aplicación en el ordenamiento español del sistema comunitario de gestión y auditoría medioambientales y sobre la designación de las entidades de acreditación de los verificadores medioambientales (STC 33/2005) [FJ 2].</w:t>
      </w:r>
    </w:p>
    <w:p w:rsidR="00A90898" w:rsidRDefault="00A90898" w:rsidP="00A90898">
      <w:pPr>
        <w:pStyle w:val="Extracto"/>
      </w:pPr>
    </w:p>
    <w:p w:rsidR="00A90898" w:rsidRDefault="00A90898" w:rsidP="00A90898">
      <w:pPr>
        <w:pStyle w:val="Extracto"/>
      </w:pPr>
      <w:r>
        <w:lastRenderedPageBreak/>
        <w:t>6.</w:t>
      </w:r>
      <w:r>
        <w:tab/>
        <w:t>El Estado puede apoyar en el art. 149.1.23 CE una regulación básica de las infracciones y sanciones que se deriven del incumplimiento por los verificadores medioambientales de las disposiciones del Reglamento (CE) núm. 1221/2009 y del Real Decreto 239/2013 [FJ 9].</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conflicto positivo de competencia núm. 4911-2013, promovido por el Gobierno de la Generalitat de Cataluña contra diversos preceptos del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 y 2006/193/CE, de la Comisión. Ha comparecido y formulado alegaciones el Abogado del Estado.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día 2 de agosto de 2013, la Abogada de la Generalitat de Cataluña, en la representación que legalmente ostenta, promovió conflicto positivo de competencia contra los arts. 9.1 y 2, 11.1 y 2, 12.1 y 4, 13.2, la disposición transitoria primera y la disposición final tercera del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 y 2006/193/CE de la Comisión.</w:t>
      </w:r>
    </w:p>
    <w:p w:rsidR="00A90898" w:rsidRDefault="00A90898" w:rsidP="00A90898">
      <w:pPr>
        <w:pStyle w:val="TextoNormal"/>
      </w:pPr>
    </w:p>
    <w:p w:rsidR="00A90898" w:rsidRDefault="00A90898" w:rsidP="00A90898">
      <w:pPr>
        <w:pStyle w:val="TextoNormal"/>
      </w:pPr>
      <w:r>
        <w:t>La Letrada autonómica, tras poner de manifiesto que el requerimiento de incompetencia presentado por la Generalitat de Cataluña fue desestimado por el Consejo de Ministros el 5 de julio de 2013, fundamenta el planteamiento del conflicto positivo de competencia en los motivos que a continuación se sintetizan:</w:t>
      </w:r>
    </w:p>
    <w:p w:rsidR="00A90898" w:rsidRDefault="00A90898" w:rsidP="00A90898">
      <w:pPr>
        <w:pStyle w:val="TextoNormal"/>
      </w:pPr>
    </w:p>
    <w:p w:rsidR="00A90898" w:rsidRDefault="00A90898" w:rsidP="00A90898">
      <w:pPr>
        <w:pStyle w:val="TextoNormal"/>
      </w:pPr>
      <w:r>
        <w:t>a) El conjunto de preceptos recurridos reservan al Estado funciones de ejecución en materia de medio ambiente, vulnerando así las competencias de la Generalitat de Cataluña de acuerdo con la distribución constitucional (art. 149.1.23 CE) y estatutaria [art. 144.1 del Estatuto de Autonomía de Cataluña (EAC)] establecida. El Real Decreto 239/2013 incorpora a nuestro ordenamiento las novedades en el sistema comunitario de gestión y auditoría medioambientales (EMAS) que se derivan del Reglamento (CE) núm. 1221/2009, del Parlamento Europeo y del Consejo, de 25 de noviembre de 2009, relativo a la participación voluntaria de organizaciones en un sistema comunitario de gestión y auditoría medioambientales. Igualmente incorpora el nuevo régimen jurídico de actuación y supervisión de los verificadores medioambientales para adaptarse a lo previsto en el Reglamento (CE) núm. 765/2008, del Parlamento Europeo y del Consejo, de 9 de julio de 2008, por el que el que se establecen los requisitos de acreditación y vigilancia de mercado relativos a la comercialización de productos y por el que se deroga el Reglamento (CEE) núm. 339/93. En este contexto, la regulación del art. 9.1 y 2 del Real Decreto 239/2013 se refiere al procedimiento de inscripción en el registro EMAS; los arts. 11.1 y 2, 12.1 y 4 y 13.2, así como la disposición transitoria primera, se refieren al régimen de actuación y supervisión de los verificadores medioambientales.</w:t>
      </w:r>
    </w:p>
    <w:p w:rsidR="00A90898" w:rsidRDefault="00A90898" w:rsidP="00A90898">
      <w:pPr>
        <w:pStyle w:val="TextoNormal"/>
      </w:pPr>
    </w:p>
    <w:p w:rsidR="00A90898" w:rsidRDefault="00A90898" w:rsidP="00A90898">
      <w:pPr>
        <w:pStyle w:val="TextoNormal"/>
      </w:pPr>
      <w:r>
        <w:t>Como antecedentes normativos y jurisprudenciales relevantes en el momento de la interposición del conflicto, la Letrada autonómica destaca que la regulación del sistema de gestión ambiental EMAS se inició con el Reglamento (CE) 1836/1993, de 29 de junio, por el que se permite que las empresas del sector industrial se adhieran con carácter voluntario a un sistema comunitario de gestión y auditoría medioambientales. La ejecución del sistema EMAS al ordenamiento jurídico de España se llevó a cabo por el Real Decreto 85/1996, de 26 de enero, por el que se establecen normas para la aplicación del Reglamento (CEE) núm. 1836/1993, del Consejo, de 29 de junio, que permiten que las empresas del sector industrial se adhieran con carácter voluntario a un sistema comunitario de gestión y auditoría medioambientales.</w:t>
      </w:r>
    </w:p>
    <w:p w:rsidR="00A90898" w:rsidRDefault="00A90898" w:rsidP="00A90898">
      <w:pPr>
        <w:pStyle w:val="TextoNormal"/>
      </w:pPr>
    </w:p>
    <w:p w:rsidR="00A90898" w:rsidRDefault="00A90898" w:rsidP="00A90898">
      <w:pPr>
        <w:pStyle w:val="TextoNormal"/>
      </w:pPr>
      <w:r>
        <w:t>Previamente se había regulado la acreditación de seguridad industrial en el Real Decreto 2200/1995, de 28 de diciembre, que aprobó el Reglamento de la infraestructura para la calidad y la seguridad industrial. Establece la obligación de que los organismos que realizaran actividades de auditoría o supervisión en el ámbito de la seguridad industrial fueran acreditados con carácter previo por una entidad de las reguladas en el propio Reglamento y extendió esta obligación a los verificadores medioambientales. Se designaba a su vez como tal a la Entidad Nacional de Acreditación, la cual podía también ocuparse de los verificadores medioambientales. Conforme a esta normativa, se atribuía tanto a la Administración General del Estado como a las Comunidades Autónomas competencia para designar entidades de acreditación de verificadores medioambientales.</w:t>
      </w:r>
    </w:p>
    <w:p w:rsidR="00A90898" w:rsidRDefault="00A90898" w:rsidP="00A90898">
      <w:pPr>
        <w:pStyle w:val="TextoNormal"/>
      </w:pPr>
    </w:p>
    <w:p w:rsidR="00A90898" w:rsidRDefault="00A90898" w:rsidP="00A90898">
      <w:pPr>
        <w:pStyle w:val="TextoNormal"/>
      </w:pPr>
      <w:r>
        <w:t>En relación con esta normativa, la STC 33/2005, de 17 de febrero, declaró que la designación de entidades de acreditación de verificadores medioambientales se inscribe en el ámbito de la función ejecutiva o aplicativa. Por tanto, de conformidad con la distribución de competencias derivada del art. 149.1.23 CE y del art. 10.1.6 del Estatuto de Autonomía de Cataluña correspondía a la Generalitat el ejercicio de esta competencia. Concluyó, asi</w:t>
      </w:r>
      <w:r>
        <w:lastRenderedPageBreak/>
        <w:t>mismo, que la Entidad Nacional de Acreditación —como organismo nacional de acreditación— solo podía actuar en el ámbito de la seguridad industrial y no en el ámbito de los verificadores medioambientales.</w:t>
      </w:r>
    </w:p>
    <w:p w:rsidR="00A90898" w:rsidRDefault="00A90898" w:rsidP="00A90898">
      <w:pPr>
        <w:pStyle w:val="TextoNormal"/>
      </w:pPr>
    </w:p>
    <w:p w:rsidR="00A90898" w:rsidRDefault="00A90898" w:rsidP="00A90898">
      <w:pPr>
        <w:pStyle w:val="TextoNormal"/>
      </w:pPr>
      <w:r>
        <w:t>Posteriormente, con motivo de la adopción de nuevas disposiciones comunitarias en esta materia, el problema de la acreditación de verificadores medioambientales se aborda de nuevo en el Real Decreto 1715/2010, de 17 de diciembre, por el que se designa a la Entidad Nacional de Acreditación como único organismo nacional de acreditación de acuerdo con lo establecido en el Reglamento (CE) núm. 765/2008, del Parlamento Europeo y del Consejo, de 9 de julio, en el que se va a considerar también a la Entidad Nacional de Acreditación competente para acreditar verificadores medioambientales. En su preámbulo se argumentaba que la interpretación conjunta del art. 4.1 del Reglamento (CE) núm. 765/2008 y del art. 28.1 del Reglamento (CE) núm. 1221/2009 de que no exista más de un organismo nacional de acreditación, obliga también a los verificadores medioambientales a acreditarse ante un único organismo nacional de acreditación. En congruencia con ello, en la disposición final primera se invocaba también como título competencial el art. 149.1.23 CE.</w:t>
      </w:r>
    </w:p>
    <w:p w:rsidR="00A90898" w:rsidRDefault="00A90898" w:rsidP="00A90898">
      <w:pPr>
        <w:pStyle w:val="TextoNormal"/>
      </w:pPr>
    </w:p>
    <w:p w:rsidR="00A90898" w:rsidRDefault="00A90898" w:rsidP="00A90898">
      <w:pPr>
        <w:pStyle w:val="TextoNormal"/>
      </w:pPr>
      <w:r>
        <w:t>La Letrada autonómica señala que el Gobierno de la Generalitat, al considerar que el Real Decreto 1715/2010 no respetaba sus competencias ejecutivas, planteó frente al mismo conflicto positivo de competencia que fue admitido a trámite por el Tribunal Constitucional con el núm. 2511-2011. Se remite en su escrito a los argumentos de la Generalitat ya expuestos en aquel conflicto (que fue resuelto por la STC 20/2014, de 10 de febrero). Se basan, en esencia, en la idea de que el cumplimiento de la normativa comunitaria no impone la obligación a los Estados miembros de designar una única entidad nacional de acreditación de verificadores medioambientales, ya que este planteamiento del Estado “parte de una interpretación parcial y sesgada de dicha normativa, dado que la interpretación conjunta de ambos Reglamentos comunitarios permite afirmar que prevén dos sistemas de selección de los organismos de evaluación: a saber, primer sistema, creación de un único organismo nacional que acredite entidades de evaluación designado por el Estado; segundo sistema, autorización de las entidades de evaluación por las autoridades públicas nacionales”. Se afirma, en conclusión, que los aludidos reglamentos comunitarios prevén expresamente la posibilidad de que sean las autoridades nacionales las que seleccionen y, en consecuencia, autoricen a los verificadores medioambientales, siendo este segundo sistema respetuoso con las competencias de la Generalitat de Cataluña.</w:t>
      </w:r>
    </w:p>
    <w:p w:rsidR="00A90898" w:rsidRDefault="00A90898" w:rsidP="00A90898">
      <w:pPr>
        <w:pStyle w:val="TextoNormal"/>
      </w:pPr>
    </w:p>
    <w:p w:rsidR="00A90898" w:rsidRDefault="00A90898" w:rsidP="00A90898">
      <w:pPr>
        <w:pStyle w:val="TextoNormal"/>
      </w:pPr>
      <w:r>
        <w:t>b) A continuación, procede la Letrada autonómica a determinar el ámbito material y el marco competencial de las normas objeto de este conflicto. Constata que el Real Decreto 239/2013 se ampara globalmente en el art. 149.1.23 CE, que atribuye al Estado la competencia para establecer la legislación básica sobre protección del medio ambiente, sin perjuicio de las facultades de las Comunidades Autónomas de establecer normas adicionales de protección. Además, el contenido del art. 11.1 y conexos del Real Decreto 239/2013 se amparan también en el art. 149.1.13 CE, que otorga al Estado la competencia para establecer las bases y coordinación de la planificación económica.</w:t>
      </w:r>
    </w:p>
    <w:p w:rsidR="00A90898" w:rsidRDefault="00A90898" w:rsidP="00A90898">
      <w:pPr>
        <w:pStyle w:val="TextoNormal"/>
      </w:pPr>
    </w:p>
    <w:p w:rsidR="00A90898" w:rsidRDefault="00A90898" w:rsidP="00A90898">
      <w:pPr>
        <w:pStyle w:val="TextoNormal"/>
      </w:pPr>
      <w:r>
        <w:t xml:space="preserve">Teniendo en cuenta los antecedentes expuestos, señala que es por todos aceptado que las disposiciones del Real Decreto 239/2013, objeto del conflicto, se encuadran en la materia de medio ambiente, surgiendo la discrepancia en relación con la incidencia de la regulación </w:t>
      </w:r>
      <w:r>
        <w:lastRenderedPageBreak/>
        <w:t xml:space="preserve">de la normativa europea en el esquema de distribución de competencias delimitado y enjuiciado ya por la STC 33/2005, ya que el Gobierno de la Nación considera que la normativa europea aprobada con posterioridad a la STC 33/2005 obliga a calificar como básica la designación de la Entidad Nacional de Acreditación. También hay discrepancia en el amparo competencial adicional </w:t>
      </w:r>
      <w:r w:rsidRPr="00A90898">
        <w:rPr>
          <w:i/>
        </w:rPr>
        <w:t>ex</w:t>
      </w:r>
      <w:r>
        <w:t xml:space="preserve"> art. 149.1.13 CE, invocado por la disposición final tercera del Real Decreto 239/2013, en relación con su art. 11.1 y conexos; así como en las facultades que el art. 93 CE otorga al Estado.</w:t>
      </w:r>
    </w:p>
    <w:p w:rsidR="00A90898" w:rsidRDefault="00A90898" w:rsidP="00A90898">
      <w:pPr>
        <w:pStyle w:val="TextoNormal"/>
      </w:pPr>
    </w:p>
    <w:p w:rsidR="00A90898" w:rsidRDefault="00A90898" w:rsidP="00A90898">
      <w:pPr>
        <w:pStyle w:val="TextoNormal"/>
      </w:pPr>
      <w:r>
        <w:t>La Letrada de la Generalitat invoca, a este respecto, la doctrina constitucional según la cual el hecho de que una competencia suponga la ejecución del Derecho comunitario no prejuzga cual sea la instancia territorial a la que corresponde su ejercicio, porque ni la Constitución ni los Estatutos de Autonomía prevén una competencia específica para la ejecución del Derecho europeo bien en el plano normativo, bien en el puramente aplicativo. Por tanto, se ha de dilucidar caso por caso, teniendo en cuenta los criterios constitucionales y estatutarios de reparto de competencias entre el Estado y las Comunidades Autónomas en las materias afectadas (STC 236/1991); ello sin perjuicio de que sea necesario prestar atención a cómo se ha configurado una institución por la normativa europea para proyectar sobre ella el esquema interno de distribución de competencias (STC 33/2005).</w:t>
      </w:r>
    </w:p>
    <w:p w:rsidR="00A90898" w:rsidRDefault="00A90898" w:rsidP="00A90898">
      <w:pPr>
        <w:pStyle w:val="TextoNormal"/>
      </w:pPr>
    </w:p>
    <w:p w:rsidR="00A90898" w:rsidRDefault="00A90898" w:rsidP="00A90898">
      <w:pPr>
        <w:pStyle w:val="TextoNormal"/>
      </w:pPr>
      <w:r>
        <w:t>En relación con la configuración de la acreditación de verificadores medioambientales por la normativa comunitaria, la Letrada autonómica se remite nuevamente a la interpretación formulada por la Generalitat de Cataluña en el escrito de alegaciones del conflicto de competencias núm. 2511/2011, que ya ha sido sintetizada. Rechaza el criterio del Estado según la cual de la interpretación conjunta del art. 4.1 del Reglamento (CE) núm. 765/2008 y del art. 28.1 del Reglamento (CE) núm. 1221/2009 se deriva la obligación de designar un único organismo nacional de acreditación, lo que incluye también a los verificadores medioambientales.</w:t>
      </w:r>
    </w:p>
    <w:p w:rsidR="00A90898" w:rsidRDefault="00A90898" w:rsidP="00A90898">
      <w:pPr>
        <w:pStyle w:val="TextoNormal"/>
      </w:pPr>
    </w:p>
    <w:p w:rsidR="00A90898" w:rsidRDefault="00A90898" w:rsidP="00A90898">
      <w:pPr>
        <w:pStyle w:val="TextoNormal"/>
      </w:pPr>
      <w:r>
        <w:t>Destaca, en particular, que el Reglamento (CE) núm. 1221/2009 regula de una forma más precisa los dos sistemas, el de acreditación y el de autorización, definiéndose en el art. 2.30 “Organismo de acreditación nacional” como el designado de conformidad con el art. 4 del Reglamento (CE) núm. 765/2008 y en el art. 2.31 “Organismo de autorización” como el designado de conformidad con el art. 5.2 del Reglamento (CE) núm. 765/2008. La justificación de que la designación de la Entidad Nacional de Acreditación se hace en cumplimiento de la normativa europea no tiene en cuenta que el Reglamento (CE) núm. 765/2008 señala que la creación de un organismo nacional de acreditación uniforme debe realizarse sin perjuicio del reparto de funciones en el seno de los Estados miembros y que la interpretación conjunta de ambos Reglamentos comunitarios da cabida al sistema de autorización de verificadores medioambientales por la autoridad competente del Estado miembro, siendo este sistema respetuoso con el esquema de distribución de competencias en materia de medio ambiente.</w:t>
      </w:r>
    </w:p>
    <w:p w:rsidR="00A90898" w:rsidRDefault="00A90898" w:rsidP="00A90898">
      <w:pPr>
        <w:pStyle w:val="TextoNormal"/>
      </w:pPr>
    </w:p>
    <w:p w:rsidR="00A90898" w:rsidRDefault="00A90898" w:rsidP="00A90898">
      <w:pPr>
        <w:pStyle w:val="TextoNormal"/>
      </w:pPr>
      <w:r>
        <w:t>La Letrada de la Generalitat de Cataluña considera que esta interpretación de los Reglamentos comunitarios resulta confirmada en la carta que la Comisión Europea envió con fecha de 28 de julio de 2011 al Ministerio de Medio Ambiente y Medio Rural y Marino, como respuesta a una consulta realizada por este sobre la interpretación del Reglamento (CE) núm. 765/2008. En ella dicha institución europea pone de manifiesto que el Regla</w:t>
      </w:r>
      <w:r>
        <w:lastRenderedPageBreak/>
        <w:t>mento no impone la acreditación como única solución, de tal manera que si un Estado miembro “no considera apropiada la acreditación en determinadas situaciones nacionales, dicho Estado miembro deberá facilitar todas las pruebas documentales necesarias para la verificación de la competencia de los organismos de evaluación de la conformidad, equivalente a la llevada a cabo por el organismo de acreditación”.</w:t>
      </w:r>
    </w:p>
    <w:p w:rsidR="00A90898" w:rsidRDefault="00A90898" w:rsidP="00A90898">
      <w:pPr>
        <w:pStyle w:val="TextoNormal"/>
      </w:pPr>
    </w:p>
    <w:p w:rsidR="00A90898" w:rsidRDefault="00A90898" w:rsidP="00A90898">
      <w:pPr>
        <w:pStyle w:val="TextoNormal"/>
      </w:pPr>
      <w:r>
        <w:t>De ello deduce la Letrada autonómica que la Comisión está indicando que en estos casos se debe actuar como determina el art. 5.2 del Reglamento (CE) núm. 765/2008. En la referida carta la Comisión señala también que el organismo de autorización para llevar a cabo su actuación deberá tener también “jurisdicción nacional”; referencia esta que, según la Letrada autonómica —contrariamente a lo que entiende el Gobierno de la Nación en la respuesta al requerimiento de incompetencia— no implica que deba ser una única autoridad para todo el territorio nacional, sino que la autoridad, sea la que sea, pueda operar en todo el territorio nacional, invocando a tal efecto la doctrina de la STC 33/2005, FJ 11, según la cual “el hecho de que los actos de las Comunidades Autónomas puedan originar consecuencias más allá de sus límites territoriales no puede dar lugar a que se las despoje de las facultades que les corresponden, porque ello equivaldría necesariamente a privarlas, pura y simplemente, de toda capacidad de actuación”.</w:t>
      </w:r>
    </w:p>
    <w:p w:rsidR="00A90898" w:rsidRDefault="00A90898" w:rsidP="00A90898">
      <w:pPr>
        <w:pStyle w:val="TextoNormal"/>
      </w:pPr>
    </w:p>
    <w:p w:rsidR="00A90898" w:rsidRDefault="00A90898" w:rsidP="00A90898">
      <w:pPr>
        <w:pStyle w:val="TextoNormal"/>
      </w:pPr>
      <w:r>
        <w:t>Considera asimismo la Letrada de la Generalitat de Cataluña que el Gobierno de la Nación no puede considerar apropiada la acreditación en materia de medio ambiente, por cuanto la distribución de competencias que deriva de la Constitución y del Estatuto de Autonomía no lo permite. Por el contrario, el orden constitucional de distribución de competencias sí que permite el sistema de autorización, de modo que habría de ser la autoridad de cada Comunidad Autónoma la que autorice a los verificadores medioambientales y estas autorizaciones han de tener validez en todo el territorio español. En este sentido insiste en que el art. 20 del Reglamento (CE) núm. 1221/2009, que regula el sistema EMAS, prevé que el candidato a verificador medioambiental obtenga la acreditación o la autorización con arreglo a cualquiera de los dos sistemas (acreditación o autorización).</w:t>
      </w:r>
    </w:p>
    <w:p w:rsidR="00A90898" w:rsidRDefault="00A90898" w:rsidP="00A90898">
      <w:pPr>
        <w:pStyle w:val="TextoNormal"/>
      </w:pPr>
    </w:p>
    <w:p w:rsidR="00A90898" w:rsidRDefault="00A90898" w:rsidP="00A90898">
      <w:pPr>
        <w:pStyle w:val="TextoNormal"/>
      </w:pPr>
      <w:r>
        <w:t>Afirma también la Letrada de la Generalitat de Cataluña que la materia de medio ambiente es una competencia de naturaleza compartida que atribuye al Estado la legislación básica (art. 149.1.23 CE) y a las Comunidades Autónomas la legislación de desarrollo y la ejecución, además de poder establecer normas adicionales de protección; y que, a su vez, el art. 144 EAC asigna a la Generalitat el desarrollo legislativo y la ejecución en materia de protección del medio ambiente. Esta deberá desarrollarse en el marco de la legislación básica del Estado y en los términos que la misma establezca, sin perjuicio de las facultades de la Generalitat de establecer normas adicionales de protección. Cita asimismo la doctrina de este Tribunal en cuanto al requisito formal, precisando que por regla general se han de fijar las bases en normas con rango de ley (STC 101/2005, FJ 5) y más aún en este caso, cuando se declara como básica una regulación en contra de la doctrina constitucional. En cuanto al requisito material que debe respetar la normativa básica (SSTC 48/1998, FJ 3, y 223/2000, FJ 6), recuerda en particular que las funciones ejecutivas o de gestión en esta materia corresponden a las Comunidades Autónomas (SSTC 329/1993 y 33/2005) y que solo excepcionalmente se podrá justificar el carácter básico de las funciones ejecutivas, lo que considera que no acontece en este caso.</w:t>
      </w:r>
    </w:p>
    <w:p w:rsidR="00A90898" w:rsidRDefault="00A90898" w:rsidP="00A90898">
      <w:pPr>
        <w:pStyle w:val="TextoNormal"/>
      </w:pPr>
    </w:p>
    <w:p w:rsidR="00A90898" w:rsidRDefault="00A90898" w:rsidP="00A90898">
      <w:pPr>
        <w:pStyle w:val="TextoNormal"/>
      </w:pPr>
      <w:r>
        <w:lastRenderedPageBreak/>
        <w:t>c) El siguiente apartado del escrito se dedica a exponer las causas de inconstitucionalidad, por invasión competencial, de los preceptos objeto del conflicto.</w:t>
      </w:r>
    </w:p>
    <w:p w:rsidR="00A90898" w:rsidRDefault="00A90898" w:rsidP="00A90898">
      <w:pPr>
        <w:pStyle w:val="TextoNormal"/>
      </w:pPr>
    </w:p>
    <w:p w:rsidR="00A90898" w:rsidRDefault="00A90898" w:rsidP="00A90898">
      <w:pPr>
        <w:pStyle w:val="TextoNormal"/>
      </w:pPr>
      <w:r>
        <w:t>El art. 9 del Real Decreto 239/2013 establece las normas del procedimiento de tramitación, suspensión y cancelación de inscripciones en el registro EMAS. Pese a que en el apartado 4 del propio art. 9 se dispone que las Comunidades Autónomas establecerán su propio procedimiento —lo que pudiera indicar que los apartados impugnados, el 1 y el 2, solo serán de aplicación a los supuestos en que el órgano competente para resolver sobre la inscripción es de la Administración del Estado— considera la Letrada de la Generalitat de Cataluña que su redacción induce a interpretar que son normas comunes de procedimiento para todas las solicitudes de inscripción que culminan con la resolución de la Secretaría de Estado de Medio Ambiente. Por tanto, resultarían inconstitucionales en cuanto establecen normas para llevar a cabo una función ejecutiva que corresponde a la Generalitat, a menos que de forma expresa se precise que los apartados 1 y 2 solo son de aplicación a los supuestos previstos en el art. 8.2 d) del propio Real Decreto 239/2013, que son aquellos que debe resolver el correspondiente órgano de la Administración General del Estado.</w:t>
      </w:r>
    </w:p>
    <w:p w:rsidR="00A90898" w:rsidRDefault="00A90898" w:rsidP="00A90898">
      <w:pPr>
        <w:pStyle w:val="TextoNormal"/>
      </w:pPr>
    </w:p>
    <w:p w:rsidR="00A90898" w:rsidRDefault="00A90898" w:rsidP="00A90898">
      <w:pPr>
        <w:pStyle w:val="TextoNormal"/>
      </w:pPr>
      <w:r>
        <w:t>El art. 11.1 del Real Decreto 239/2013 dispone que los verificadores medioambientales deben obtener la acreditación de la Entidad Nacional de Acreditación, como organismo designado por el Real Decreto 1715/2010, de 17 de diciembre. El Estado volvería a vulnerar las competencias de la Generalitat en materia de medio ambiente, al imponer que los verificadores medioambientales deban ser acreditados únicamente por la Entidad Nacional de Acreditación, puesto que las actuaciones de acreditación son actividades de naturaleza ejecutiva o aplicativa y corresponden a la Comunidad Autónoma con carácter exclusivo.</w:t>
      </w:r>
    </w:p>
    <w:p w:rsidR="00A90898" w:rsidRDefault="00A90898" w:rsidP="00A90898">
      <w:pPr>
        <w:pStyle w:val="TextoNormal"/>
      </w:pPr>
    </w:p>
    <w:p w:rsidR="00A90898" w:rsidRDefault="00A90898" w:rsidP="00A90898">
      <w:pPr>
        <w:pStyle w:val="TextoNormal"/>
      </w:pPr>
      <w:r>
        <w:t>La inconstitucionalidad del art. 11.1 comporta automáticamente la de los preceptos conexos: arts. 11.2), 12.1 y 4), y 13.2) y la de la regulación del régimen transitorio (disposición transitoria primera, que atribuye la competencia para la renovación de las acreditaciones de los verificadores medioambientales a la Entidad Nacional de Acreditación).</w:t>
      </w:r>
    </w:p>
    <w:p w:rsidR="00A90898" w:rsidRDefault="00A90898" w:rsidP="00A90898">
      <w:pPr>
        <w:pStyle w:val="TextoNormal"/>
      </w:pPr>
    </w:p>
    <w:p w:rsidR="00A90898" w:rsidRDefault="00A90898" w:rsidP="00A90898">
      <w:pPr>
        <w:pStyle w:val="TextoNormal"/>
      </w:pPr>
      <w:r>
        <w:t>Así, el art. 11.2 establece la obligación de inscribir a los verificadores ambientales acreditados por la Entidad Nacional de Acreditación en un registro estatal de industria, creado al amparo de la Ley 21/1992, de 16 de julio, de Industria y desarrollado por el Real Decreto 559/2010, siendo una función ejecutiva en el ámbito de medio ambiente que corresponde a la Comunidad autónoma, por lo que dicha inscripción, en el caso de ser necesaria, debería llevarse a cabo en los registros de las Comunidades Autónomas.</w:t>
      </w:r>
    </w:p>
    <w:p w:rsidR="00A90898" w:rsidRDefault="00A90898" w:rsidP="00A90898">
      <w:pPr>
        <w:pStyle w:val="TextoNormal"/>
      </w:pPr>
    </w:p>
    <w:p w:rsidR="00A90898" w:rsidRDefault="00A90898" w:rsidP="00A90898">
      <w:pPr>
        <w:pStyle w:val="TextoNormal"/>
      </w:pPr>
      <w:r>
        <w:t>El art. 12.1 atribuye a la Entidad Nacional de Acreditación funciones ejecutivas que corresponden a la Generalitat de Cataluña, como la supervisión de los verificadores medioambientales acreditados en España y acreditados o autorizados en otros Estados miembros. A su vez, el art. 12.4 establece las normas de comunicación de los verificadores medioambientales con el organismo de supervisión, en este caso la Entidad Nacional de Acreditación.</w:t>
      </w:r>
    </w:p>
    <w:p w:rsidR="00A90898" w:rsidRDefault="00A90898" w:rsidP="00A90898">
      <w:pPr>
        <w:pStyle w:val="TextoNormal"/>
      </w:pPr>
    </w:p>
    <w:p w:rsidR="00A90898" w:rsidRDefault="00A90898" w:rsidP="00A90898">
      <w:pPr>
        <w:pStyle w:val="TextoNormal"/>
      </w:pPr>
      <w:r>
        <w:t xml:space="preserve">El art. 13.2 vincula los incumplimientos de los verificadores medioambientales, en lo relativo a su acreditación, al régimen sancionador de la Ley 21/1992, de Industria, y las normas de desarrollo que le sean de aplicación, lo que tampoco se ajusta a los fundamentos de la STC 33/2005, ni el título competencial de la disposición final tercera del Real Decreto 239/2013, ya que encuadra esta regulación en la materia de industria en lugar de medio </w:t>
      </w:r>
      <w:r>
        <w:lastRenderedPageBreak/>
        <w:t>ambiente; el Estado carece de competencia para establecer las normas que regulan el incumplimiento de la acreditación de los verificadores medioambientales, porque se trata de una función ejecutiva.</w:t>
      </w:r>
    </w:p>
    <w:p w:rsidR="00A90898" w:rsidRDefault="00A90898" w:rsidP="00A90898">
      <w:pPr>
        <w:pStyle w:val="TextoNormal"/>
      </w:pPr>
    </w:p>
    <w:p w:rsidR="00A90898" w:rsidRDefault="00A90898" w:rsidP="00A90898">
      <w:pPr>
        <w:pStyle w:val="TextoNormal"/>
      </w:pPr>
      <w:r>
        <w:t>Por último, y en relación con la disposición final tercera, que fundamenta adicionalmente el art. 11.1 en el art. 149.1.13 CE, ni se justifica el contenido económico de esa norma, ni la incidencia directa y significativa sobre la actividad económica general; por tanto, no se cumplen los requisitos que señala la doctrina constitucional dictada en interpretación del alcance de este título competencial (SSTC 112/1995, 21/1999 y 128/1999).</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escrito presentado en el Registro General de este Tribunal el 2 de agosto de 2013, el Gobierno de la Generalitat de Cataluña formula incidente de recusación del Presidente del Tribunal Constitucional en una serie de procesos, entre los que se incluye el presente conflicto positivo de competencia, por las causas 9 y 10 del art. 219 LOPJ, en relación con el art. 80 de la Ley Orgánica del Tribunal Constitucional (LOTC).</w:t>
      </w:r>
    </w:p>
    <w:p w:rsidR="00A90898" w:rsidRDefault="00A90898" w:rsidP="00A90898">
      <w:pPr>
        <w:pStyle w:val="TextoNormal"/>
      </w:pPr>
    </w:p>
    <w:p w:rsidR="00A90898" w:rsidRDefault="00A90898" w:rsidP="00A90898">
      <w:pPr>
        <w:pStyle w:val="TextoNormal"/>
      </w:pPr>
      <w:r>
        <w:t>Por ATC 180/2013, de 17 de septiembre, se acuerda la inadmisión a trámite de las recusaciones promovidas. Formulado recurso de súplica contra este Auto por la Generalitat de Cataluña, el Pleno acordó su inadmisión por providencia de 2 de octubre de 2013.</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providencia de 22 de octubre de 2013, el Pleno de este Tribunal, a propuesta de la Sección Segunda, acordó admitir a trámite el presente conflicto positivo de competencia; atribuir su conocimiento, de conformidad con lo dispuesto en el art. 10.2 LOTC, a la Sala Primera, a la que por turno objetivo le ha correspondido; dar traslado de la demanda y documentos presentados al Gobierno de la Nación, por conducto de su Presidente, al objeto de presentar alegaciones en el plazo de 20 días; comunicar la incoación del conflicto a la Sala de lo Contencioso-Administrativo del Tribunal Supremo, a los efectos del art. 61.2 LOTC; y publicar la incoación del conflicto en el “Boletín Oficial del Estado” y en el “Diari Oficial de la Generalitat de Catalunya”.</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presentado el 30 de octubre de 2013, el Abogado del Estado, en la representación que legalmente ostenta, solicitó prórroga del plazo inicialmente concedido para formular alegaciones, prórroga que le fue concedida por providencia de la Sala Primera de 4 de noviembre de 2011.</w:t>
      </w:r>
    </w:p>
    <w:p w:rsidR="00A90898" w:rsidRDefault="00A90898" w:rsidP="00A90898">
      <w:pPr>
        <w:pStyle w:val="TextoNormal"/>
      </w:pPr>
    </w:p>
    <w:p w:rsidR="00A90898" w:rsidRDefault="00A90898" w:rsidP="00A90898">
      <w:pPr>
        <w:pStyle w:val="TextoNormal"/>
      </w:pPr>
      <w:r w:rsidRPr="00A90898">
        <w:rPr>
          <w:rStyle w:val="NumeroAFNegritaCaracter"/>
        </w:rPr>
        <w:t>5</w:t>
      </w:r>
      <w:r>
        <w:t>. El Abogado del Estado presentó su escrito de alegaciones el 9 de diciembre de 2013, en el que insta la desestimación del conflicto en atención a los razonamientos que seguidamente se resumen:</w:t>
      </w:r>
    </w:p>
    <w:p w:rsidR="00A90898" w:rsidRDefault="00A90898" w:rsidP="00A90898">
      <w:pPr>
        <w:pStyle w:val="TextoNormal"/>
      </w:pPr>
    </w:p>
    <w:p w:rsidR="00A90898" w:rsidRDefault="00A90898" w:rsidP="00A90898">
      <w:pPr>
        <w:pStyle w:val="TextoNormal"/>
      </w:pPr>
      <w:r>
        <w:t xml:space="preserve">a) En relación con el objeto del conflicto, identifica como núcleo de la controversia competencial el art. 11.1 del Real Decreto 239/2013, de 5 de abril (y, por conexión, los arts. 12.1 y 4, 13.2, así como la disposición transitoria primera y la disposición final tercera), en tanto que determina que los verificadores medioambientales deberán obtener acreditación de la Entidad Nacional de Acreditación, designada como único organismo nacional de acreditación en virtud del Real Decreto 1715/2010, de 17 de diciembre. Señala, asimismo, como precedente directo de este conflicto, el interpuesto también por la Generalitat en relación </w:t>
      </w:r>
      <w:r>
        <w:lastRenderedPageBreak/>
        <w:t>con el Real Decreto 1715/2010, de 17 de diciembre, ya mencionado (que fue resuelto por STC 20/2014).</w:t>
      </w:r>
    </w:p>
    <w:p w:rsidR="00A90898" w:rsidRDefault="00A90898" w:rsidP="00A90898">
      <w:pPr>
        <w:pStyle w:val="TextoNormal"/>
      </w:pPr>
    </w:p>
    <w:p w:rsidR="00A90898" w:rsidRDefault="00A90898" w:rsidP="00A90898">
      <w:pPr>
        <w:pStyle w:val="TextoNormal"/>
      </w:pPr>
      <w:r>
        <w:t>b) Argumenta que la proyección supraterritorial de la norma puede condicionar, de manera excepcional, el alcance de la competencia. Señala que la jurisprudencia de este Tribunal, si bien establece que las actuaciones ejecutivas autonómicas no revierten al Estado por el hecho de que generen consecuencias más allá del territorio de las Comunidades Autónomas que hubieran de adoptarlas, también sienta el criterio, de que “a ese traslado de la titularidad de la competencia en sí puede llegarse cuando —y de manera excepcional— además del alcance supraterritorial de la competencia, la actividad pública que se ejerza sobre él no sea susceptible de fraccionamiento, sino que, por el contrario, requiera un grado de homogeneidad que sólo pueda garantizar su atribución a un solo titular, que forzosamente deba ser el Estado” (STC 306/2000, FJ, 18), situación que se produce, en su opinión, en este caso. Se cumplen, además, las previsiones del art. 189.2 EAC, pues resulta evidente que no existen mecanismos de colaboración o coordinación que puedan emplearse para la ejecución y cumplimiento del art. 4.1 del Reglamento (CE) núm. 765/2008, siendo necesaria la adopción por parte del Estado de una medida de alcance nacional, cual es la designación de la Entidad Nacional de Acreditación.</w:t>
      </w:r>
    </w:p>
    <w:p w:rsidR="00A90898" w:rsidRDefault="00A90898" w:rsidP="00A90898">
      <w:pPr>
        <w:pStyle w:val="TextoNormal"/>
      </w:pPr>
    </w:p>
    <w:p w:rsidR="00A90898" w:rsidRDefault="00A90898" w:rsidP="00A90898">
      <w:pPr>
        <w:pStyle w:val="TextoNormal"/>
      </w:pPr>
      <w:r>
        <w:t>c) El Reglamento comunitario objeto de aplicación es claro en su contenido en cuanto a la sola existencia de un único organismo nacional, y es una disposición normativa con “efecto directo”. El artículo único del Real Decreto 1715/2010 da cumplimiento a la exigencia del art. 4, inciso 1, del Reglamento (CE) núm. 765/2008, en virtud del cual “cada Estado miembro designará a un único organismo nacional de acreditación”.</w:t>
      </w:r>
    </w:p>
    <w:p w:rsidR="00A90898" w:rsidRDefault="00A90898" w:rsidP="00A90898">
      <w:pPr>
        <w:pStyle w:val="TextoNormal"/>
      </w:pPr>
    </w:p>
    <w:p w:rsidR="00A90898" w:rsidRDefault="00A90898" w:rsidP="00A90898">
      <w:pPr>
        <w:pStyle w:val="TextoNormal"/>
      </w:pPr>
      <w:r>
        <w:t xml:space="preserve">Argumenta el Abogado del Estado que la voluntad del legislador europeo de que exista un único organismo de acreditación de los verificadores medioambientales se ve reafirmada por el inciso 2 del mismo artículo, según el cual si un Estado miembro no considera económicamente viable disponer de un organismo nacional de acreditación, recurrirá, en la medida de lo posible, al organismo nacional de acreditación de otro Estado miembro. La norma establecida en el Reglamento (CE) núm. 765/2008 es la de la exigencia de un único organismo de acreditación, no de varios con eficacia única para todo el territorio español; la pluralidad de organismos de acreditación contravendría la determinación establecida por el Reglamento comunitario. Por su parte, el Reglamento (CE) núm. 1221/2009, establece, en su art. 28.1, que “los organismos de acreditación designados por los Estados miembros de conformidad con el artículo 4 del Reglamento (CE) núm. 765/2008 serán responsables de la acreditación de verificadores medioambientales y de la supervisión de las actividades realizadas por los verificadores medioambientales con arreglo al presente Reglamento”. En el marco de esta interpretación de las disposiciones de los Reglamentos comunitarios, invoca la doctrina constitucional relacionada con la distribución de competencias en materia de medio ambiente (SSTC 64/1982, FJ 4; 102/1995, FJ 7; 14/2004, FJ 10, y 138/2010, FJ 4), así como la relacionada con el alcance de la legislación básica en este ámbito, en la que se considera la adecuación excepcional al concepto de norma básica de normas reglamentarias e incluso de ciertos actos de ejecución cuando, por la naturaleza de la materia, resultan complemento necesario para garantizar la consecución de la finalidad objetiva a que responde la competencia estatal sobre las bases. Concluye el Abogado del Estado que este es </w:t>
      </w:r>
      <w:r>
        <w:lastRenderedPageBreak/>
        <w:t>el caso que nos ocupa, porque “la designación del organismo único de acreditación de verificadores resulta ser algo que de por sí es exigido o demandado por la correcta aplicación y efectividad jurídica de la normativa europea”.</w:t>
      </w:r>
    </w:p>
    <w:p w:rsidR="00A90898" w:rsidRDefault="00A90898" w:rsidP="00A90898">
      <w:pPr>
        <w:pStyle w:val="TextoNormal"/>
      </w:pPr>
    </w:p>
    <w:p w:rsidR="00A90898" w:rsidRDefault="00A90898" w:rsidP="00A90898">
      <w:pPr>
        <w:pStyle w:val="TextoNormal"/>
      </w:pPr>
      <w:r>
        <w:t>d) Por lo que respecta a la consulta realizada por el Ministerio de Medio Ambiente a la Comisión Europea, relativa a la interpretación del art. 5.2 del Reglamento (CE) núm. 765/2008, en relación con el sistema EMAS y la acreditación o autorización de los verificadores medioambientales, afirma el Abogado del Estado que dicha institución señala, en su contestación mediante carta de fecha 28 de julio de 2011, que el Reglamento (CE) núm. 765/2008 promueve que cada Estado miembro tenga un solo órgano de acreditación y que tanto el sistema de acreditación como el de autorización, en su caso, deben operar en todo el territorio nacional de los Estados miembros. Si un Estado miembro establece una entidad de autorización, esta deberá también tener ámbito nacional.</w:t>
      </w:r>
    </w:p>
    <w:p w:rsidR="00A90898" w:rsidRDefault="00A90898" w:rsidP="00A90898">
      <w:pPr>
        <w:pStyle w:val="TextoNormal"/>
      </w:pPr>
    </w:p>
    <w:p w:rsidR="00A90898" w:rsidRDefault="00A90898" w:rsidP="00A90898">
      <w:pPr>
        <w:pStyle w:val="TextoNormal"/>
      </w:pPr>
      <w:r>
        <w:t>Entiende el Abogado del Estado, en consecuencia, que en el actual contexto no podría haber prosperado la doctrina constitucional recaída en la STC 33/2005, invocada por la Generalitat de Cataluña, remitiéndose también a las consideraciones expuestas en el dictamen 119/2013, del Consejo de Estado. En síntesis, ponen de manifiesto que “en aquel momento el Derecho comunitario no imponía la obligación de que existiera un solo organismo nacional de acreditación, como en la actualidad lo exige el Reglamento de 2008”. Asimismo ha de tenerse en cuenta la doctrina constitucional sobre la ejecución del Derecho europeo, según la cual si bien “el hecho de que una competencia suponga ejecución del Derecho comunitario no prejuzga cuál sea la instancia territorial a la que corresponda su ejercicio” (STC 115/1991, 80/1993, 13/1998 y 33/2005, entre otras), tampoco cabe ignorar “la necesidad de proporcionar al Gobierno los instrumentos indispensables para desempeñar la función que le atribuye el art. 93 CE” (STC 252/1988, FJ 2) y que “sin perjuicio de que el orden de distribución de competencias obedezca exclusivamente a las pautas del Derecho interno, la normativa comunitaria pueda ser utilizada como elemento interpretativo útil para encuadrar materialmente la cuestión” (STC 33/2005, FJ 3). De lo anterior el Consejo de Estado (y el Abogado del Estado) infiere que los preceptos estatutarios y constitucionales deben interpretarse “siempre de forma que se permita al Estado garantizar el cumplimiento y ejecución del Derecho comunitario, garantía esta que, en este caso, solo puede ofrecerse si es el Estado el que designa un único organismo nacional de acreditación”.</w:t>
      </w:r>
    </w:p>
    <w:p w:rsidR="00A90898" w:rsidRDefault="00A90898" w:rsidP="00A90898">
      <w:pPr>
        <w:pStyle w:val="TextoNormal"/>
      </w:pPr>
    </w:p>
    <w:p w:rsidR="00A90898" w:rsidRDefault="00A90898" w:rsidP="00A90898">
      <w:pPr>
        <w:pStyle w:val="TextoNormal"/>
      </w:pPr>
      <w:r>
        <w:t>Concluye el Abogado del Estado que la designación de la Entidad Nacional de Acreditación como único organismo nacional de acreditación no vulnera las competencias autonómicas ni en materia de seguridad industrial ni en materia de medio ambiente y que la Entidad Nacional de Acreditación debe ser el organismo nacional que acredite a los verificadores medioambientales, los cuales, una vez acreditados, podrán ejercer su actividad en cualquier parte del territorio nacional (a la vez que en otros Estados miembros y en terceros países). En consecuencia, defiende que cabe considerar que el art. 11.1 del Real Decreto 239/2013 se ha dictado en ejercicio de las competencias que atribuye al Estado el art. 149.1.13 y 23 CE, y que dicha consideración debe extenderse a los arts. 11.2, 12.1 y 4 y 13.2, así como a la disposición transitoria primera y a la disposición final tercera.</w:t>
      </w:r>
    </w:p>
    <w:p w:rsidR="00A90898" w:rsidRDefault="00A90898" w:rsidP="00A90898">
      <w:pPr>
        <w:pStyle w:val="TextoNormal"/>
      </w:pPr>
    </w:p>
    <w:p w:rsidR="00A90898" w:rsidRDefault="00A90898" w:rsidP="00A90898">
      <w:pPr>
        <w:pStyle w:val="TextoNormal"/>
      </w:pPr>
      <w:r>
        <w:t xml:space="preserve">e) Por último, en cuanto a los incisos 1 y 2 del art. 9 del Real Decreto 239/2013, señala el Abogado del Estado que se limitan a reiterar normas de procedimiento establecidas en la Ley 30/1992, de 26 de noviembre, de régimen jurídico de las Administraciones públicas y </w:t>
      </w:r>
      <w:r>
        <w:lastRenderedPageBreak/>
        <w:t>del procedimiento administrativo común (arts. 71, 116 y 117), aprobada por el Estado en ejercicio de la competencia para establecer el procedimiento administrativo común en virtud del art. 149.1.18 CE, siendo de aplicación por todas las Administraciones públicas.</w:t>
      </w:r>
    </w:p>
    <w:p w:rsidR="00A90898" w:rsidRDefault="00A90898" w:rsidP="00A90898">
      <w:pPr>
        <w:pStyle w:val="TextoNormal"/>
      </w:pPr>
    </w:p>
    <w:p w:rsidR="00A90898" w:rsidRDefault="00A90898" w:rsidP="00A90898">
      <w:pPr>
        <w:pStyle w:val="TextoNormal"/>
      </w:pPr>
      <w:r>
        <w:t>El inciso 1 del art. 9 claramente especifica que será de aplicación a la Secretaría de Estado de Medio Ambiente, y el inciso 4 dispone que las Comunidades Autónomas establecerán el procedimiento para la tramitación, suspensión y cancelación de la inscripción en el registro de organizaciones, por lo que no existe vulneración de las competencias autonómicas. Así lo corrobora, además de la definición como compartidas de las competencias en materia de medio ambiente (art. 144 EAC), el precepto estatutario relativo a la regulación del procedimiento administrativo (art. 159 EAC), que atribuye a la Generalitat la competencia exclusiva en “lo no afectado por el artículo 149.1.18 de la Constitución”. En fin, las atribuciones al Estado en los preceptos impugnados en orden al funcionamiento del registro resultan aspectos esenciales de procedimiento administrativo (configuración de la solicitud al organismo estatal y su subsanación, plazo de resolución y del silencio negativo, y sistema de recursos).</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providencia de 12 de abril de 2016, el Pleno del Tribunal Constitucional, conforme establece el art. 10.1 n) LOTC y a propuesta de la Sala Primera, acordó recabar para sí el conocimiento del presente conflicto positivo de competencia promovido por el Gobierno de la Generalitat de Cataluña que se tramita en dicha Sala bajo el núm. 4911-2013.</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19 de julio de 2016, se acordó señalar para deliberación y votación de la presente Sentencia el día 21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conflicto positivo de competencia, promovido por el Gobierno de la Generalitat de Cataluña, impugna los arts. 9.1 y 2, 11.1 y 2, 12.1 y 4, y 13.2, la disposición transitoria primera y la disposición final tercera del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 y 2006/193/CE de la Comisión.</w:t>
      </w:r>
    </w:p>
    <w:p w:rsidR="00A90898" w:rsidRDefault="00A90898" w:rsidP="00A90898">
      <w:pPr>
        <w:pStyle w:val="TextoNormal"/>
      </w:pPr>
    </w:p>
    <w:p w:rsidR="00A90898" w:rsidRDefault="00A90898" w:rsidP="00A90898">
      <w:pPr>
        <w:pStyle w:val="TextoNormal"/>
      </w:pPr>
      <w:r>
        <w:t>De conformidad con los antecedentes que se han resumido, el Gobierno de la Generalitat de Cataluña fundamenta su impugnación en la vulneración de las competencias que, en materia de medio ambiente, atribuye a la Comunidad Autónoma el art. 144 del Estatuto de Autonomía de Cataluña (EAC), en tanto que los preceptos impugnados atribuyen al Estado funciones de ejecución en materia de medio ambiente, al designar a la Entidad Nacional de Acreditación como único organismo nacional de acreditación de verificadores medioambientales (art. 11.1). En conexión con la misma, establecen la inscripción de los verificadores ambientales en un registro estatal de industria (art. 11.2), la competencia de la Entidad Nacional de Acreditación para supervisar la actividad de los verificadores medioambienta</w:t>
      </w:r>
      <w:r>
        <w:lastRenderedPageBreak/>
        <w:t>les (art. 12), el régimen sancionador relativo al incumplimiento de los verificadores medioambientales en relación con la acreditación ante la Entidad Nacional de Acreditación (art. 13), la regulación del régimen transitorio del procedimiento (disposición transitoria primera), así como normas de procedimiento que invaden la competencia autonómica en la materia (art. 9.1. y 2). Impugna asimismo, la invocación que realiza la disposición final tercera del art. 149.1.13 CE como título competencial adicional para fundamentar el art. 11.1 y conexos.</w:t>
      </w:r>
    </w:p>
    <w:p w:rsidR="00A90898" w:rsidRDefault="00A90898" w:rsidP="00A90898">
      <w:pPr>
        <w:pStyle w:val="TextoNormal"/>
      </w:pPr>
    </w:p>
    <w:p w:rsidR="00A90898" w:rsidRDefault="00A90898" w:rsidP="00A90898">
      <w:pPr>
        <w:pStyle w:val="TextoNormal"/>
      </w:pPr>
      <w:r>
        <w:t>Por su parte, el Abogado del Estado se opone al planteamiento del Gobierno de la Generalitat, afirmando que no resulta contrario al orden constitucional de competencias atribuir al Estado la designación del único organismo nacional de acreditación de los verificadores medioambientales, con eficacia en todo del territorio nacional, puesto que la unidad de designación y de eficacia de sus resoluciones vienen exigidas por el Reglamento comunitario que aplica el Real Decreto 239/2013, objeto del presente conflicto, cuyas disposiciones encuentran cobertura en las competencias que el art. 149.1.13 y 23 CE reserva al Estado.</w:t>
      </w:r>
    </w:p>
    <w:p w:rsidR="00A90898" w:rsidRDefault="00A90898" w:rsidP="00A90898">
      <w:pPr>
        <w:pStyle w:val="TextoNormal"/>
      </w:pPr>
    </w:p>
    <w:p w:rsidR="00A90898" w:rsidRDefault="00A90898" w:rsidP="00A90898">
      <w:pPr>
        <w:pStyle w:val="TextoNormal"/>
      </w:pPr>
      <w:r w:rsidRPr="00A90898">
        <w:rPr>
          <w:rStyle w:val="NumeroAFNegritaCaracter"/>
        </w:rPr>
        <w:t>2</w:t>
      </w:r>
      <w:r>
        <w:t>. Expuesto en estos términos el debate, para su correcto enjuiciamiento ha de partirse del hecho, no cuestionado por ninguna de las partes, de que el objeto del presente conflicto de competencias está estrechamente vinculado a los que fueron resueltos mediante la STC 33/2005, de 17 de febrero, y la STC 20/2014, de 10 de febrero. Ambos fueron planteados también por el Gobierno de la Generalitat de Cataluña en relación con la aplicación en nuestro ordenamiento del sistema comunitario sobre gestión y auditoría medioambientales (EMAS) y, en particular, con la designación de las entidades de acreditación de los verificadores medioambientales.</w:t>
      </w:r>
    </w:p>
    <w:p w:rsidR="00A90898" w:rsidRDefault="00A90898" w:rsidP="00A90898">
      <w:pPr>
        <w:pStyle w:val="TextoNormal"/>
      </w:pPr>
    </w:p>
    <w:p w:rsidR="00A90898" w:rsidRDefault="00A90898" w:rsidP="00A90898">
      <w:pPr>
        <w:pStyle w:val="TextoNormal"/>
      </w:pPr>
      <w:r>
        <w:t>En la STC 33/2005 este Tribunal abordó la adecuación al orden constitucional de competencias de la normativa estatal adoptada para la aplicación en nuestro ordenamiento jurídico del Reglamento (CEE) núm. 1836/1993, del Consejo, de 29 de junio, en el que se regulaba por vez primera el sistema comunitario de gestión y auditoría medioambiental [dirigido, conforme a su art. 1.1 a) “la participación voluntaria de las empresas que desarrollen actividades industriales, para la evaluación y mejora de los resultados de las actividades industriales en relación con el medio ambiente y la facilitación de la correspondiente información al público”]. Entre las disposiciones impugnadas se encontraban el artículo 2 y la disposición adicional segunda del Real Decreto 85/1996, de 26 de enero, por el que se establecían las normas para la aplicación del Reglamento (CEE) núm. 1836/1993: el artículo 2 atribuía de forma concurrente a la Administración General del Estado y a las Comunidades Autónomas la designación de entidades de acreditación de verificadores ambientales; la disposición adicional segunda procedía a designar como entidad de acreditación de verificadores ambientales a la Entidad Nacional de Acreditación, sin perjuicio de las que designaran las Comunidades Autónomas.</w:t>
      </w:r>
    </w:p>
    <w:p w:rsidR="00A90898" w:rsidRDefault="00A90898" w:rsidP="00A90898">
      <w:pPr>
        <w:pStyle w:val="TextoNormal"/>
      </w:pPr>
    </w:p>
    <w:p w:rsidR="00A90898" w:rsidRDefault="00A90898" w:rsidP="00A90898">
      <w:pPr>
        <w:pStyle w:val="TextoNormal"/>
      </w:pPr>
      <w:r>
        <w:t>La STC 33/2005, FJ 5, declaró, a la vista del contenido y finalidad de la regulación de los verificadores medioambientales y de las entidades que debían acreditarlos, “que, desde su configuración por la reglamentación comunitaria, la normativa considerada en el marco de dicho conflicto de competencias presenta una conexión más estrecha con la materia de ‘medio ambiente’ que con la de ‘industria’”.</w:t>
      </w:r>
    </w:p>
    <w:p w:rsidR="00A90898" w:rsidRDefault="00A90898" w:rsidP="00A90898">
      <w:pPr>
        <w:pStyle w:val="TextoNormal"/>
      </w:pPr>
    </w:p>
    <w:p w:rsidR="00A90898" w:rsidRDefault="00A90898" w:rsidP="00A90898">
      <w:pPr>
        <w:pStyle w:val="TextoNormal"/>
      </w:pPr>
      <w:r>
        <w:lastRenderedPageBreak/>
        <w:t>Partiendo de tal encuadre, este Tribunal examinó el esquema constitucional de distribución de competencias en materia de medio ambiente conforme al art. 149.1.23 CE —que atribuye al Estado la competencia para dictar la “legislación básica sobre protección del medio ambiente, sin perjuicio de las facultades de las Comunidades Autónomas de establecer normas adicionales de protección”— y al entonces art. 10.1.6 del Estatuto de Autonomía de Cataluña (…), que asignaba a la Comunidad Autónoma el desarrollo legislativo y la ejecución en materia de protección del medio ambiente, concluyendo que la actividad de reconocimiento y consiguiente designación de las entidades de acreditación “se inscribe en el ámbito de la función ejecutiva o aplicativa”, por lo que la atribución a la Administración General del Estado de la facultad para designar entidades de acreditación de verificadores medioambientales, y la efectiva designación de la Entidad Nacional de Acreditación, era contrario al orden constitucional de competencias, de acuerdo con lo previsto en los arts. 149.1.23 CE y 10.1.6 EAC (STC 33/2005, FJ 11).</w:t>
      </w:r>
    </w:p>
    <w:p w:rsidR="00A90898" w:rsidRDefault="00A90898" w:rsidP="00A90898">
      <w:pPr>
        <w:pStyle w:val="TextoNormal"/>
      </w:pPr>
    </w:p>
    <w:p w:rsidR="00A90898" w:rsidRDefault="00A90898" w:rsidP="00A90898">
      <w:pPr>
        <w:pStyle w:val="TextoNormal"/>
      </w:pPr>
      <w:r>
        <w:t>Por otra parte, declaró también que la designación de la Entidad Nacional de Acreditación afectaba a ámbitos distintos al medioambiental, único en el que se planteaba la controversia competencial, por lo que las disposiciones cuestionadas, interpretadas en el sentido de que no tenían efectos en relación con la esfera medioambiental, no invadían la competencia autonómica (STC 33/2005, FFJJ 8 y 9).</w:t>
      </w:r>
    </w:p>
    <w:p w:rsidR="00A90898" w:rsidRDefault="00A90898" w:rsidP="00A90898">
      <w:pPr>
        <w:pStyle w:val="TextoNormal"/>
      </w:pPr>
    </w:p>
    <w:p w:rsidR="00A90898" w:rsidRDefault="00A90898" w:rsidP="00A90898">
      <w:pPr>
        <w:pStyle w:val="TextoNormal"/>
      </w:pPr>
      <w:r>
        <w:t>Posteriormente, en la STC 20/2014 se resolvió el conflicto positivo de competencia núm. 2511/2011 que, tal y como se ha puesto de manifiesto en el relato de antecedentes, fue interpuesto por el Gobierno de la Generalitat de Cataluña contra determinadas disposiciones del Real Decreto 1715/2010, de 17 de diciembre, por el que se designa a la Entidad Nacional de Acreditación como organismo nacional de acreditación de acuerdo con lo establecido en el Reglamento (CE) núm. 765/2008, del Parlamento Europeo y el Consejo, de 9 de julio de 2008.</w:t>
      </w:r>
    </w:p>
    <w:p w:rsidR="00A90898" w:rsidRDefault="00A90898" w:rsidP="00A90898">
      <w:pPr>
        <w:pStyle w:val="TextoNormal"/>
      </w:pPr>
    </w:p>
    <w:p w:rsidR="00A90898" w:rsidRDefault="00A90898" w:rsidP="00A90898">
      <w:pPr>
        <w:pStyle w:val="TextoNormal"/>
      </w:pPr>
      <w:r>
        <w:t>En la STC 20/2014 este Tribunal declaró que los razonamientos de la STC 33/2005 antes expuestos eran enteramente aplicables a ese proceso. Se remitía a la misma, con la única salvedad lógica de que, tras la Ley Orgánica 6/2006, de 19 de julio, de reforma del Estatuto de Autonomía de Cataluña, la disposición estatutaria vulnerada pasaba a ser ahora el art. 144 EAC.</w:t>
      </w:r>
    </w:p>
    <w:p w:rsidR="00A90898" w:rsidRDefault="00A90898" w:rsidP="00A90898">
      <w:pPr>
        <w:pStyle w:val="TextoNormal"/>
      </w:pPr>
    </w:p>
    <w:p w:rsidR="00A90898" w:rsidRDefault="00A90898" w:rsidP="00A90898">
      <w:pPr>
        <w:pStyle w:val="TextoNormal"/>
      </w:pPr>
      <w:r>
        <w:t>La STC 20/2014 confirmó que el Real Decreto 1715/2010 no predetermina la opción abierta por el Reglamento (CE) núm. 1221/2009 entre un sistema de acreditación o un sistema de autorización, por lo que “será la norma reglamentaria que desarrolle dicho precepto comunitario la que, en su caso, deba someterse al correspondiente pronunciamiento constitucional” —en concreto, el Real Decreto 239/2013 ahora enjuiciado—, concluyendo que “cabe interpretar que el artículo único del Real Decreto 1715/2010 no regula la acreditación de los verificadores medioambientales” y que, en línea con la STC 33/2005, “así interpretado, el precepto no vulnera las competencias de la Generalitat de Cataluña en materia de medio ambiente” [STC 20/2014, FJ 3 b)].</w:t>
      </w:r>
    </w:p>
    <w:p w:rsidR="00A90898" w:rsidRDefault="00A90898" w:rsidP="00A90898">
      <w:pPr>
        <w:pStyle w:val="TextoNormal"/>
      </w:pPr>
    </w:p>
    <w:p w:rsidR="00A90898" w:rsidRDefault="00A90898" w:rsidP="00A90898">
      <w:pPr>
        <w:pStyle w:val="TextoNormal"/>
      </w:pPr>
      <w:r>
        <w:t xml:space="preserve">Una vez circunscrito el objeto del Real Decreto 1715/2010 a la acreditación de organismos de evaluación de conformidad distintos de los verificadores medioambientales, la STC 20/2014 afirmó también que el título competencial habilitante en el ámbito de la seguridad </w:t>
      </w:r>
      <w:r>
        <w:lastRenderedPageBreak/>
        <w:t>industrial es el art. 149.1.13 CE. Procedió, en consecuencia, a declarar la inconstitucionalidad y nulidad de la disposición final primera de dicho Real Decreto “en la medida en que invoca indebidamente el art. 149.1.23 CE como título competencial que habilita al Estado para su aprobación” [STC 20/2014, FJ 3 c)].</w:t>
      </w:r>
    </w:p>
    <w:p w:rsidR="00A90898" w:rsidRDefault="00A90898" w:rsidP="00A90898">
      <w:pPr>
        <w:pStyle w:val="TextoNormal"/>
      </w:pPr>
    </w:p>
    <w:p w:rsidR="00A90898" w:rsidRDefault="00A90898" w:rsidP="00A90898">
      <w:pPr>
        <w:pStyle w:val="TextoNormal"/>
      </w:pPr>
      <w:r w:rsidRPr="00A90898">
        <w:rPr>
          <w:rStyle w:val="NumeroAFNegritaCaracter"/>
        </w:rPr>
        <w:t>3</w:t>
      </w:r>
      <w:r>
        <w:t>. El Real Decreto 239/2013 se adopta, como su propio título indica, en ejecución del Reglamento (CE) núm. 1221/2009, del Parlamento Europeo y del Consejo, de 25 de noviembre de 2009, relativo a la participación voluntaria de organizaciones en un sistema comunitario de gestión y auditoría medioambientales (EMAS).</w:t>
      </w:r>
    </w:p>
    <w:p w:rsidR="00A90898" w:rsidRDefault="00A90898" w:rsidP="00A90898">
      <w:pPr>
        <w:pStyle w:val="TextoNormal"/>
      </w:pPr>
    </w:p>
    <w:p w:rsidR="00A90898" w:rsidRDefault="00A90898" w:rsidP="00A90898">
      <w:pPr>
        <w:pStyle w:val="TextoNormal"/>
      </w:pPr>
      <w:r>
        <w:t>Es preciso partir en este caso de la doctrina de este Tribunal (recordada por la STC 33/2005) según la cual “en el ámbito de la resolución de disputas competenciales, bien sea en conflictos de competencias o en procesos de inconstitucionalidad,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si bien “tampoco cabe ignorar ‘la necesidad de proporcionar al Gobierno los instrumentos indispensables para desempeñar la función que le atribuye el art. 93 CE’ (STC 252/1988, FJ 2) ...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que sea “imprescindible una interpretación sistemática de todos estos preceptos, máxime en materias de competencia compartida o concurrente entre el Estado y las Comunidades Autónomas, ‘que deben resolverse exclusivamente conforme a las normas constitucionales y estatutarias de distribución de competencias’ (STC 79/1992, de 28 de mayo, FFJJ 1 y 2)” (STC 33/2005, FJ 3, y las allí citadas).</w:t>
      </w:r>
    </w:p>
    <w:p w:rsidR="00A90898" w:rsidRDefault="00A90898" w:rsidP="00A90898">
      <w:pPr>
        <w:pStyle w:val="TextoNormal"/>
      </w:pPr>
    </w:p>
    <w:p w:rsidR="00A90898" w:rsidRDefault="00A90898" w:rsidP="00A90898">
      <w:pPr>
        <w:pStyle w:val="TextoNormal"/>
      </w:pPr>
      <w:r>
        <w:t>Además, tal y como se reitera a su vez en la STC 20/2014, “las exigencias derivadas del Derecho de la Unión no pueden ser irrelevantes a la hora de establecer los márgenes constitucionalmente admisibles de libertad de apreciación política de que gozan los órganos constitucionales … En la incorporación de las directivas al ordenamiento interno como, en general, en la ejecución del Derecho de la Unión por los poderes públicos españoles se deben conciliar, en la mayor medida posible, el orden interno de distribución de poderes, por un lado, y el cumplimiento pleno y tempestivo de las obligaciones del Estado en el seno de la Unión, por otro. Como ha reiterado este Tribunal, el desarrollo normativo del Derecho de la Unión Europea en el ordenamiento interno debe realizarse desde el pleno respeto de la estructura territorial del Estado” (STC 20/2014, FJ 3, y las allí citadas).</w:t>
      </w:r>
    </w:p>
    <w:p w:rsidR="00A90898" w:rsidRDefault="00A90898" w:rsidP="00A90898">
      <w:pPr>
        <w:pStyle w:val="TextoNormal"/>
      </w:pPr>
    </w:p>
    <w:p w:rsidR="00A90898" w:rsidRDefault="00A90898" w:rsidP="00A90898">
      <w:pPr>
        <w:pStyle w:val="TextoNormal"/>
      </w:pPr>
      <w:r>
        <w:t>Por todo ello, y en casos como el presente, “prestar atención a cómo se ha configurado una institución por la normativa comunitaria puede ser no sólo útil, sino incluso obligado para proyectar correctamente sobre ella el esquema interno de distribución competencial” (STC 33/2005, FJ 4). Sin perjuicio de que el orden de distribución de competencias obedezca exclusivamente a las pautas del Derecho interno, hemos de tomar en consideración el Derecho de la Unión Europea como elemento interpretativo necesario para el análisis de las disposiciones objeto de este proceso.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Como pone de manifiesto el preámbulo del Real Decreto 239/2013, el Reglamento (CE) núm. 1221/2009 introdujo importantes novedades en la regulación del sistema comunitario de auditoría y gestión medioambiental (EMAS). Entre ellas el nuevo régimen jurídico de actuación y supervisión de los verificadores medioambientales, que se adapta a lo previsto en el Reglamento (CE) núm. 765/2008, del Parlamento Europeo y del Consejo, de 9 de julio de 2008, por el que se establecen los requisitos de acreditación y vigilancia de mercado relativos a la comercialización de los productos y por el que se deroga el Reglamento (CEE) núm. 339/1993.</w:t>
      </w:r>
    </w:p>
    <w:p w:rsidR="00A90898" w:rsidRDefault="00A90898" w:rsidP="00A90898">
      <w:pPr>
        <w:pStyle w:val="TextoNormal"/>
      </w:pPr>
    </w:p>
    <w:p w:rsidR="00A90898" w:rsidRDefault="00A90898" w:rsidP="00A90898">
      <w:pPr>
        <w:pStyle w:val="TextoNormal"/>
      </w:pPr>
      <w:r>
        <w:t>El sistema EMAS previsto en el Reglamento (CE) núm. 1221/2009 permite en la actualidad que cualquier organización o sus centros, situados dentro o fuera de la Unión Europea, puedan solicitar ser inscritos en el registro EMAS y utilizar el logotipo EMAS siempre que cumplan con una serie de requisitos, entre los que se encuentra el establecimiento y aplicación de sistemas de gestión medioambiental y la evaluación de tales sistemas, los cuales deben someterse a la supervisión de un “verificador medioambiental” (art. 4). Los candidatos que aspiren a ser verificadores medioambientales deben cumplir, a su vez, los requisitos previstos en los arts. 20 y 21 del Reglamento (CE) núm. 1221/2009 para poder obtener una acreditación o una autorización que les permita operar como tales.</w:t>
      </w:r>
    </w:p>
    <w:p w:rsidR="00A90898" w:rsidRDefault="00A90898" w:rsidP="00A90898">
      <w:pPr>
        <w:pStyle w:val="TextoNormal"/>
      </w:pPr>
    </w:p>
    <w:p w:rsidR="00A90898" w:rsidRDefault="00A90898" w:rsidP="00A90898">
      <w:pPr>
        <w:pStyle w:val="TextoNormal"/>
      </w:pPr>
      <w:r>
        <w:t>En relación con la regulación de dicha acreditación o autorización, el art. 28 del Reglamento (CE) núm. 1221/2009 se remite al sistema general regulado en el Reglamento (CE) núm. 765/2008, por el que se establecen los requisitos de acreditación y vigilancia del mercado relativos a la comercialización de los productos. Su artículo 4 dispone que “cada Estado miembro designará a un único organismo nacional de acreditación” (apartado 1); y prevé también que “si un Estado miembro no considera económicamente justificado o viable disponer de un organismo nacional de acreditación u ofrecer determinados servicios de acreditación, deberá recurrir en la medida de lo posible a un organismo nacional de acreditación de otro Estado miembro” (apartado 2).</w:t>
      </w:r>
    </w:p>
    <w:p w:rsidR="00A90898" w:rsidRDefault="00A90898" w:rsidP="00A90898">
      <w:pPr>
        <w:pStyle w:val="TextoNormal"/>
      </w:pPr>
    </w:p>
    <w:p w:rsidR="00A90898" w:rsidRDefault="00A90898" w:rsidP="00A90898">
      <w:pPr>
        <w:pStyle w:val="TextoNormal"/>
      </w:pPr>
      <w:r>
        <w:t xml:space="preserve">La acreditación de los verificadores medioambientales por un único organismo nacional, independiente y dotado de autoridad pública, se considera en el Reglamento (CE) núm. 1221/2009 como el “medio preferente de demostrar la competencia técnica de dichos organismos de evaluación de la conformidad”, si bien permite también que “las autoridades nacionales pueden estimar que cuentan con los medios adecuados para llevar a cabo esta evaluación por sí solas” (considerando 12). En relación con esta alternativa, que implica el establecimiento de un sistema de autorización en vez de acreditación, el art. 28.2 del Reglamento (CE) núm. 1221/2009 dispone, para los casos en que se decida no utilizar la acreditación, que “los Estados miembros podrán designar un organismo de autorización, de conformidad con el artículo 5, apartado 2, del Reglamento (CE) núm. 765/2008, que será responsable de la concesión de autorizaciones a los verificadores medioambientales y de la supervisión de los mismos”. Dicho art. 5, apartado 2, dispone que “cuando un Estado miembro decida no usar acreditación, facilitará a la Comisión y a los otros Estados miembros todas las pruebas documentales necesarias para verificar la competencia del organismo de evaluación de la conformidad que seleccione para la aplicación de la legislación comunitaria de armonización correspondiente”. En definitiva, el art. 28 del Reglamento (CE) núm. 1221/2009 contempla la posibilidad de que los verificadores ambientales puedan ser tanto acreditados por el organismo nacional de acreditación designado por cada Estado conforme </w:t>
      </w:r>
      <w:r>
        <w:lastRenderedPageBreak/>
        <w:t>al art. 4.1 del Reglamento (CE) núm. 765/2008, como autorizados por “un organismo de autorización” de conformidad con el art. 5.2 del Reglamento (CE) núm. 765/2008.</w:t>
      </w:r>
    </w:p>
    <w:p w:rsidR="00A90898" w:rsidRDefault="00A90898" w:rsidP="00A90898">
      <w:pPr>
        <w:pStyle w:val="TextoNormal"/>
      </w:pPr>
    </w:p>
    <w:p w:rsidR="00A90898" w:rsidRDefault="00A90898" w:rsidP="00A90898">
      <w:pPr>
        <w:pStyle w:val="TextoNormal"/>
      </w:pPr>
      <w:r>
        <w:t>Atendiendo a estos cambios en el Derecho de la Unión Europea se dictó el Real Decreto 239/2013, que derogó y sustituyó al Real Decreto 85/1996. Uno de los puntos centrales de este conflicto de competencias gira de nuevo en torno a la regulación de la actividad de los verificadores ambientales, los cuales, conforme al art. 11.1 del Real Decreto 239/2013 “deberán obtener acreditación de la Entidad Nacional de Acreditación, organismo nacional de acreditación designado por Real Decreto 1715/2010, de 17 de diciembre”. La principal discrepancia entre las partes en torno a esta cuestión está directamente relacionada con el alcance de la nueva normativa de la Unión Europea y su adecuada aplicación en el ordenamiento interno conforme al sistema interno de distribución de competencias, tal como fue delimitado por la STC 33/2005.</w:t>
      </w:r>
    </w:p>
    <w:p w:rsidR="00A90898" w:rsidRDefault="00A90898" w:rsidP="00A90898">
      <w:pPr>
        <w:pStyle w:val="TextoNormal"/>
      </w:pPr>
    </w:p>
    <w:p w:rsidR="00A90898" w:rsidRDefault="00A90898" w:rsidP="00A90898">
      <w:pPr>
        <w:pStyle w:val="TextoNormal"/>
      </w:pPr>
      <w:r w:rsidRPr="00A90898">
        <w:rPr>
          <w:rStyle w:val="NumeroAFNegritaCaracter"/>
        </w:rPr>
        <w:t>5</w:t>
      </w:r>
      <w:r>
        <w:t>. Entrando ya en el análisis de fondo de las disposiciones objeto de controversia, hemos de proceder en primer lugar al encuadramiento competencial. Como se ha expuesto en los antecedentes, según la disposición final tercera del Real Decreto 239/2013, “este real decreto tiene el carácter de legislación básica de protección del medio ambiente, sin perjuicio de las facultades de las comunidades autónomas de establecer normas adicionales de protección, de conformidad con lo establecido en el artículo 149.1.23 de la Constitución.” No obstante, el artículo 11.1 que determina el sistema de acreditación de verificadores y conexos, se dicta, “además, al amparo del artículo 149.1 13, que atribuye al Estado la competencia exclusiva para establecer las bases y coordinación de la planificación general de la actividad económica”.</w:t>
      </w:r>
    </w:p>
    <w:p w:rsidR="00A90898" w:rsidRDefault="00A90898" w:rsidP="00A90898">
      <w:pPr>
        <w:pStyle w:val="TextoNormal"/>
      </w:pPr>
    </w:p>
    <w:p w:rsidR="00A90898" w:rsidRDefault="00A90898" w:rsidP="00A90898">
      <w:pPr>
        <w:pStyle w:val="TextoNormal"/>
      </w:pPr>
      <w:r>
        <w:t>Ninguna de las partes discute que el Real Decreto 239/2013 tenga el carácter de legislación básica de protección del medio ambiente conforme al art. 149.1.23 CE, pero la Generalitat de Cataluña cuestiona que el Estado invoque también el art. 149.1.13 CE para amparar adicionalmente la designación de la Entidad Nacional de Acreditación (art. 11.1 y regulación conexa, esto es, los arts. 11.2, 12.1 y 4 y 13.2 y la disposición transitoria primera) como único organismo a efectos de obtener la acreditación como verificador medioambiental. Por el contrario, el Abogado del Estado afirma (tomando en cuenta el marco normativo establecido por la Unión Europea en esta materia) que cabe considerar que el art. 11.1 del Real Decreto 239/2013 se ha dictado en ejercicio de las competencias que el art. 149.1.13 y 23 CE atribuye al Estado y que dicha consideración debe extenderse a los artículos. 11.2, 12.1 y 4, y 13.2, así como a la disposición transitoria primera y a la disposición final tercera.</w:t>
      </w:r>
    </w:p>
    <w:p w:rsidR="00A90898" w:rsidRDefault="00A90898" w:rsidP="00A90898">
      <w:pPr>
        <w:pStyle w:val="TextoNormal"/>
      </w:pPr>
    </w:p>
    <w:p w:rsidR="00A90898" w:rsidRDefault="00A90898" w:rsidP="00A90898">
      <w:pPr>
        <w:pStyle w:val="TextoNormal"/>
      </w:pPr>
      <w:r>
        <w:t xml:space="preserve">En relación con esta cuestión resultan plenamente aplicables al presente conflicto los razonamientos de la STC 33/2005 sobre el contenido y finalidad de la regulación de los verificadores medioambientales y de las entidades que han de acreditarlos, que condujeron entonces a la conclusión de que “desde su configuración por la reglamentación comunitaria, la normativa considerada presenta una conexión más estrecha con la materia de ‘medio ambiente’ que con la de ‘industria’, pues es evidente que el sistema comunitario de gestión y auditoría medioambientales está destinado a prevenir los efectos perjudiciales o nocivos que las actividades producen sobre el entorno ambiental y sobre los seres vivos, incluyendo el régimen de aspectos cuya finalidad directa es la protección de dicho entorno, cuestiones que, como se dijo en la STC 14/2004, de 12 de febrero, FJ 10, son propias de la materia ‘medio ambiente’, y no responden a la ordenación del sector industrial o a la regulación de </w:t>
      </w:r>
      <w:r>
        <w:lastRenderedPageBreak/>
        <w:t>los requisitos técnicos que han de cumplirse en los procesos de producción industrial” (STC 33/2005, FJ 5).</w:t>
      </w:r>
    </w:p>
    <w:p w:rsidR="00A90898" w:rsidRDefault="00A90898" w:rsidP="00A90898">
      <w:pPr>
        <w:pStyle w:val="TextoNormal"/>
      </w:pPr>
    </w:p>
    <w:p w:rsidR="00A90898" w:rsidRDefault="00A90898" w:rsidP="00A90898">
      <w:pPr>
        <w:pStyle w:val="TextoNormal"/>
      </w:pPr>
      <w:r>
        <w:t>Partiendo de este encuadramiento material, conforme a la extensa argumentación llevada a cabo en la STC 33/2005 a la que nos remitimos en este punto sin necesidad de reproducirla aquí de forma más amplia, el título competencial prevalente para la adopción de las disposiciones objeto de controversia en este conflicto es el previsto en el art. 149.1.23 CE. Ello conduce a declarar la inconstitucionalidad y nulidad del segundo inciso de la disposición final tercera del Real Decreto 239/2013, en cuanto invoca indebidamente el art. 149.1.13 CE como título competencial que concurre (adicionalmente el art. 149.1.23 CE) en la habilitación al Estado para adoptar el art. 11.1 y conexos del Real Decreto 239/2013.</w:t>
      </w:r>
    </w:p>
    <w:p w:rsidR="00A90898" w:rsidRDefault="00A90898" w:rsidP="00A90898">
      <w:pPr>
        <w:pStyle w:val="TextoNormal"/>
      </w:pPr>
    </w:p>
    <w:p w:rsidR="00A90898" w:rsidRDefault="00A90898" w:rsidP="00A90898">
      <w:pPr>
        <w:pStyle w:val="TextoNormal"/>
      </w:pPr>
      <w:r w:rsidRPr="00A90898">
        <w:rPr>
          <w:rStyle w:val="NumeroAFNegritaCaracter"/>
        </w:rPr>
        <w:t>6</w:t>
      </w:r>
      <w:r>
        <w:t>. Procede analizar a continuación si las disposiciones objeto de controversia satisfacen o no las exigencias que, conforme a la doctrina de este Tribunal, ha de respetar la normativa básica.</w:t>
      </w:r>
    </w:p>
    <w:p w:rsidR="00A90898" w:rsidRDefault="00A90898" w:rsidP="00A90898">
      <w:pPr>
        <w:pStyle w:val="TextoNormal"/>
      </w:pPr>
    </w:p>
    <w:p w:rsidR="00A90898" w:rsidRDefault="00A90898" w:rsidP="00A90898">
      <w:pPr>
        <w:pStyle w:val="TextoNormal"/>
      </w:pPr>
      <w:r>
        <w:t>Como se recuerda en la STC 33/2005 en relación con los requisitos formales que el Estado ha de garantizar,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33/2005, FJ 6 y las allí citadas).</w:t>
      </w:r>
    </w:p>
    <w:p w:rsidR="00A90898" w:rsidRDefault="00A90898" w:rsidP="00A90898">
      <w:pPr>
        <w:pStyle w:val="TextoNormal"/>
      </w:pPr>
    </w:p>
    <w:p w:rsidR="00A90898" w:rsidRDefault="00A90898" w:rsidP="00A90898">
      <w:pPr>
        <w:pStyle w:val="TextoNormal"/>
      </w:pPr>
      <w:r>
        <w:t>En cuanto al alcance de la garantía material “hay que partir de la consideración, recogida en la STC 102/1995, de 26 de junio, FFJJ 8 y 9, de que lo básico, como propio de la competencia estatal en la materia de medio ambiente, cumple una función de ordenación mediante mínimos que han de respetarse en todo caso, pero que deben permitir que las Comunidades Autónomas con competencias en la materia establezcan niveles de protección más altos, como ya se dijo en la STC 170/1989, de 19 de octubre. Asimismo, hemos subrayado que el contenido normativo de lo básico en esta materia no significa la exclusión de otro tipo de actuaciones que exijan la intervención estatal. Entre ellas pueden incluirse funciones ejecutivas, ésta es una solución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Se produce así la metamorfosis del título habilitante de tales actuaciones, cuyo asiento se encontraría en la competencia residual del Estado (art. 149.3 CE), mientras que en situación de normalidad las facultades ejecutivas o de gestión en materia de medio ambiente corresponden a las Comunidades Autónomas dentro de su ámbito espacial y no al Estado (STC 329/1993)’” (STC 33/2005, FJ 6).</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Al analizar si los preceptos cuestionados cumplen con dichos requisitos, es preciso comenzar por el art. 11.1 del Real Decreto 239/2013, que resulta central en este conflicto </w:t>
      </w:r>
      <w:r>
        <w:lastRenderedPageBreak/>
        <w:t>por cuanto prescribe que la acreditación de los verificadores medioambientales deberá realizarse por la Entidad Nacional de Acreditación, que se configura así como organismo nacional de acreditación.</w:t>
      </w:r>
    </w:p>
    <w:p w:rsidR="00A90898" w:rsidRDefault="00A90898" w:rsidP="00A90898">
      <w:pPr>
        <w:pStyle w:val="TextoNormal"/>
      </w:pPr>
    </w:p>
    <w:p w:rsidR="00A90898" w:rsidRDefault="00A90898" w:rsidP="00A90898">
      <w:pPr>
        <w:pStyle w:val="TextoNormal"/>
      </w:pPr>
      <w:r>
        <w:t>En relación con esta disposición, hay que partir de la declaración contenida en la STC 33/2005, FJ 10, según la cual “la actividad de designación de las entidades de acreditación se inscribe en el ámbito de la función ejecutiva o aplicativa”. En la STC 33/2005, este Tribunal concluyó que, de conformidad con la distribución de competencias derivada del art. 149.1.23 CE y del entonces art. 10.1.6 EAC, correspondía a la Generalitat de Cataluña el ejercicio de esta competencia ejecutiva y que la Entidad Nacional de Acreditación —como organismo nacional de acreditación— solo podía actuar en el ámbito de la seguridad industrial y no en el de los verificadores medioambientales (STC 33/2005, FJ 11). Tal doctrina, trasladada al presente caso, supone que el art. 11.1 del Real Decreto 239/2013, al atribuir en exclusiva a la Entidad Nacional de Acreditación la acreditación de los verificadores medioambientales, ha invadido competencias ejecutivas que pertenecen al Gobierno de la Generalitat de Cataluña, tal como éste ha razonado al plantear el presente conflicto positivo de competencia.</w:t>
      </w:r>
    </w:p>
    <w:p w:rsidR="00A90898" w:rsidRDefault="00A90898" w:rsidP="00A90898">
      <w:pPr>
        <w:pStyle w:val="TextoNormal"/>
      </w:pPr>
    </w:p>
    <w:p w:rsidR="00A90898" w:rsidRDefault="00A90898" w:rsidP="00A90898">
      <w:pPr>
        <w:pStyle w:val="TextoNormal"/>
      </w:pPr>
      <w:r>
        <w:t>Sin embargo, el Abogado del Estado considera que no hay vulneración del orden constitucional de distribución competencial (arts. 149.1.23 CE y 144.1 EAC). Sostiene que, conforme al art. 93 CE, corresponde al Estado garantizar el cumplimiento del Reglamento (CE) núm. 1221/2009, que es una disposición normativa con “efecto directo”, de acuerdo con el Derecho originario de la Unión Europea. Sobre esta premisa, alega que la designación de la Entidad Nacional de Acreditación como único organismo de acreditación de verificadores medioambientales sería necesaria para asegurar el cumplimiento del art. 28.1 del indicado Reglamento, en conexión con el art. 4.1 del Reglamento (CE) núm. 765/2008. De modo que el Derecho de la Unión Europea habría impuesto inequívocamente la solución que acoge el Real Decreto controvertido.</w:t>
      </w:r>
    </w:p>
    <w:p w:rsidR="00A90898" w:rsidRDefault="00A90898" w:rsidP="00A90898">
      <w:pPr>
        <w:pStyle w:val="TextoNormal"/>
      </w:pPr>
    </w:p>
    <w:p w:rsidR="00A90898" w:rsidRDefault="00A90898" w:rsidP="00A90898">
      <w:pPr>
        <w:pStyle w:val="TextoNormal"/>
      </w:pPr>
      <w:r>
        <w:t>Los indicados Reglamentos de la Unión Europea, en lo que aquí importa, es claro que no han pretendido limitar la autonomía institucional de los Estados miembros de la Unión Europea exigiendo indefectiblemente que haya una única autoridad de acreditación o autorización de ámbito nacional y que esta sea designada por el poder central. Así se desprende del propio Reglamento (CE) núm. 765/2008 —al que se remite el núm. 1221/2009— cuando afirma expresamente que la creación en su caso de un organismo nacional de acreditación uniforme “debe realizarse sin perjuicio del reparto de funciones en el seno de los Estados miembros” (considerando 11).</w:t>
      </w:r>
    </w:p>
    <w:p w:rsidR="00A90898" w:rsidRDefault="00A90898" w:rsidP="00A90898">
      <w:pPr>
        <w:pStyle w:val="TextoNormal"/>
      </w:pPr>
    </w:p>
    <w:p w:rsidR="00A90898" w:rsidRDefault="00A90898" w:rsidP="00A90898">
      <w:pPr>
        <w:pStyle w:val="TextoNormal"/>
      </w:pPr>
      <w:r>
        <w:t xml:space="preserve">A la vista del art. 4.9 del Reglamento (CE) núm. 765/2008 (“Cada Estado miembro garantizará que sus organismos nacionales de acreditación tengan los recursos financieros y humanos adecuados para cumplir bien sus funciones, incluida la realización de tareas especiales, como actividades en el ámbito de la cooperación europea e internacional en materia de acreditación y actividades que sean requeridas para respaldar políticas públicas y que no se auto financien”), no resulta </w:t>
      </w:r>
      <w:r w:rsidRPr="00A90898">
        <w:rPr>
          <w:i/>
        </w:rPr>
        <w:t>prima facie</w:t>
      </w:r>
      <w:r>
        <w:t xml:space="preserve"> descartable la interpretación de que son posibles varios organismos de acreditación dentro de un mismo Estado miembro. Si bien, otras previsiones podrían dar a entender lo contrario (art. 4.1: “Cada Estado miembro designará a un único organismo nacional de acreditación”), no puede perderse de vista que el Reglamento </w:t>
      </w:r>
      <w:r>
        <w:lastRenderedPageBreak/>
        <w:t>(CE) núm. 1221/2009 prevé un sistema alternativo a la acreditación. Este sistema de autorización, como argumenta la Generalitat de Cataluña, permitiría una pluralidad de Administraciones públicas autorizadoras y, por tanto, que en España sean las Comunidades Autónomas quienes —en cuanto titulares, como regla, de las competencias de gestión en materia medioambiental— autoricen a las entidades de verificación. A su vez, aunque se diese por bueno que el mencionado Reglamento europeo exige un único órgano de acreditación o autorización en materia de verificadores medioambientales, es evidente que el Derecho de la Unión Europea no ha impuesto que tal órgano sea designado necesariamente por el poder central. Cabe contemplar pues una variedad de mecanismos de cooperación con que conciliar aquella —hipotética— exigencia del Reglamento (CE) núm. 1221/2009 con el sistema interno de distribución de competencias.</w:t>
      </w:r>
    </w:p>
    <w:p w:rsidR="00A90898" w:rsidRDefault="00A90898" w:rsidP="00A90898">
      <w:pPr>
        <w:pStyle w:val="TextoNormal"/>
      </w:pPr>
    </w:p>
    <w:p w:rsidR="00A90898" w:rsidRDefault="00A90898" w:rsidP="00A90898">
      <w:pPr>
        <w:pStyle w:val="TextoNormal"/>
      </w:pPr>
      <w:r>
        <w:t>A este Tribunal no le corresponde establecer cuál sea la interpretación correcta del Reglamento (CE) núm. 1221/2009, sino resolver el conflicto de competencias que ha suscitado el Real Decreto 239/2013 entre el Gobierno de la Generalitat de Cataluña y el del Estado. Teniendo en cuenta la regulación del mencionado Reglamento europeo es claro que el Real Decreto controvertido no ha atendido a la obligación de “conciliar, en la mayor medida posible, el orden interno de distribución de poderes, por un lado, y el cumplimiento pleno y tempestivo de las obligaciones del Estado en el seno de la Unión, por otro”; por otra parte “el desarrollo normativo del Derecho de la Unión Europea en el ordenamiento interno debe realizarse desde el pleno respeto de la estructura territorial del Estado” (STC 20/2014, FJ 3, y las allí citadas). Resulta pues indiscutible que el Reglamento (CE) núm. 1221/2009 no obliga a que el poder central de cada Estado miembro designe una única autoridad de acreditación o autorización; habrá de ser el legislador quien, a la vista del Reglamento europeo, explore la forma de hacer compatible el cumplimiento de las exigencias que éste impone con el régimen de distribución competencial, teniendo en cuenta el principio constitucional de colaboración, implícito en el sistema de las autonomías (entre muchas, STC 152/1988, de 20 de julio, FJ 10). El correcto funcionamiento del sistema autonómico depende en buena medida de que el Estado y las Comunidades Autónomas desarrollen fórmulas racionales de cooperación, acuerdo o concertación (por todas, SSTC 247/2007, de 12 de diciembre, FJ 23, y 20/2016, de 4 de febrero, FJ 2).</w:t>
      </w:r>
    </w:p>
    <w:p w:rsidR="00A90898" w:rsidRDefault="00A90898" w:rsidP="00A90898">
      <w:pPr>
        <w:pStyle w:val="TextoNormal"/>
      </w:pPr>
    </w:p>
    <w:p w:rsidR="00A90898" w:rsidRDefault="00A90898" w:rsidP="00A90898">
      <w:pPr>
        <w:pStyle w:val="TextoNormal"/>
      </w:pPr>
      <w:r>
        <w:t>Por consiguiente ha de concluirse que el art. 11.1 del Real Decreto 239/2013, al atribuir en exclusiva a la Entidad Nacional de Acreditación la acreditación de los verificadores medioambientales, invade las competencias ejecutivas de la Generalitat de Cataluña en materia de medio ambiente y vulnera por tanto el orden constitucional de distribución de competencias (arts. 149.1.23 CE y 144.1 EAC). La inconstitucionalidad del art. 11.1 comporta, por la misma razón, la de la regulación conexa: art. 11.2 (obligación de inscribir a los verificadores medioambientales en un registro estatal de industria); art. 12.1 y 4 (competencia de la Entidad Nacional de Acreditación para supervisar la actividad de los verificadores medioambientales) y disposición transitoria primera (que atribuye la competencia para la renovación de las acreditaciones de los verificadores medioambientales a la Entidad Nacional de Acreditación).</w:t>
      </w:r>
    </w:p>
    <w:p w:rsidR="00A90898" w:rsidRDefault="00A90898" w:rsidP="00A90898">
      <w:pPr>
        <w:pStyle w:val="TextoNormal"/>
      </w:pPr>
    </w:p>
    <w:p w:rsidR="00A90898" w:rsidRDefault="00A90898" w:rsidP="00A90898">
      <w:pPr>
        <w:pStyle w:val="TextoNormal"/>
      </w:pPr>
      <w:r>
        <w:t>En conclusión, corresponde declarar la inconstitucionalidad y nulidad de los arts. 11, apartados 1 y 2, y 12, apartados 1 y 4, así como de la disposición transitoria primera, todos del Real Decreto 239/2013.</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Sentada la conclusión que antecede, pasamos a examinar seguidamente los apartados 1 y 2 del art. 9 del Real Decreto 239/2013. Dicho precepto regula el procedimiento de tramitación, suspensión y cancelación de inscripciones de las organizaciones que voluntariamente se adhieren al sistema EMAS.</w:t>
      </w:r>
    </w:p>
    <w:p w:rsidR="00A90898" w:rsidRDefault="00A90898" w:rsidP="00A90898">
      <w:pPr>
        <w:pStyle w:val="TextoNormal"/>
      </w:pPr>
    </w:p>
    <w:p w:rsidR="00A90898" w:rsidRDefault="00A90898" w:rsidP="00A90898">
      <w:pPr>
        <w:pStyle w:val="TextoNormal"/>
      </w:pPr>
      <w:r>
        <w:t>El art. 9.1 aborda, en concreto, el trámite de subsanación en caso de solicitudes de inscripción que sean defectuosas o incompletas, así como el plazo de resolución y notificación por parte de la Secretaría de Estado de Medio Ambiente, en los siguientes términos:</w:t>
      </w:r>
    </w:p>
    <w:p w:rsidR="00A90898" w:rsidRDefault="00A90898" w:rsidP="00A90898">
      <w:pPr>
        <w:pStyle w:val="TextoNormal"/>
      </w:pPr>
    </w:p>
    <w:p w:rsidR="00A90898" w:rsidRDefault="00A90898" w:rsidP="00A90898">
      <w:pPr>
        <w:pStyle w:val="TextoNormal"/>
      </w:pPr>
      <w:r>
        <w:t>“1. En caso de que la solicitud fuera defectuosa o incompleta, se requerirá al solicitante para que subsane los defectos advertidos o aporte la documentación complementaria en el plazo de 10 días.</w:t>
      </w:r>
    </w:p>
    <w:p w:rsidR="00A90898" w:rsidRDefault="00A90898" w:rsidP="00A90898">
      <w:pPr>
        <w:pStyle w:val="TextoNormal"/>
      </w:pPr>
    </w:p>
    <w:p w:rsidR="00A90898" w:rsidRDefault="00A90898" w:rsidP="00A90898">
      <w:pPr>
        <w:pStyle w:val="TextoNormal"/>
      </w:pPr>
      <w:r>
        <w:t>Transcurrido dicho plazo sin que el solicitante subsane dichos defectos o presente la documentación complementaria, se acordará el archivo del expediente notificándoselo al solicitante. En el caso de que el solicitante subsane los defectos o presente la documentación complementaria en el tiempo previsto, se procederá a continuar con la tramitación.</w:t>
      </w:r>
    </w:p>
    <w:p w:rsidR="00A90898" w:rsidRDefault="00A90898" w:rsidP="00A90898">
      <w:pPr>
        <w:pStyle w:val="TextoNormal"/>
      </w:pPr>
    </w:p>
    <w:p w:rsidR="00A90898" w:rsidRDefault="00A90898" w:rsidP="00A90898">
      <w:pPr>
        <w:pStyle w:val="TextoNormal"/>
      </w:pPr>
      <w:r>
        <w:t>Una vez valorada la solicitud, la Secretaría de Estado de Medio Ambiente, notificará su decisión de forma motivada al solicitante, en el plazo máximo de tres meses desde la fecha de recepción de la solicitud en la Secretaría de Estado de Medio Ambiente, poniendo fin a la vía administrativa.”</w:t>
      </w:r>
    </w:p>
    <w:p w:rsidR="00A90898" w:rsidRDefault="00A90898" w:rsidP="00A90898">
      <w:pPr>
        <w:pStyle w:val="TextoNormal"/>
      </w:pPr>
    </w:p>
    <w:p w:rsidR="00A90898" w:rsidRDefault="00A90898" w:rsidP="00A90898">
      <w:pPr>
        <w:pStyle w:val="TextoNormal"/>
      </w:pPr>
      <w:r>
        <w:t>En el art. 9.2 se prevé el régimen de silencio positivo para las solicitudes de inscripción, y se remite a la Ley 30/1992, de 26 de noviembre, de régimen jurídico de las administraciones públicas y del procedimiento administrativo común, y a la Ley 29/1998, de 13 de julio, de la jurisdicción contencioso-administrativa, respecto al recurso potestativo de reposición y al recurso contencioso administrativo contra la resolución que se dicte:</w:t>
      </w:r>
    </w:p>
    <w:p w:rsidR="00A90898" w:rsidRDefault="00A90898" w:rsidP="00A90898">
      <w:pPr>
        <w:pStyle w:val="TextoNormal"/>
      </w:pPr>
    </w:p>
    <w:p w:rsidR="00A90898" w:rsidRDefault="00A90898" w:rsidP="00A90898">
      <w:pPr>
        <w:pStyle w:val="TextoNormal"/>
      </w:pPr>
      <w:r>
        <w:t>“2. Transcurrido el plazo máximo de tres meses sin haberse notificado resolución expresa, se entenderá estimada su inscripción. Conforme a lo dispuesto en el artículo 116 de la citada Ley 30/1992, de 26 de noviembre, la resolución podrá ser recurrida potestativamente en reposición ante el mismo órgano que los hubiera dictado o ser impugnados directamente ante el orden jurisdiccional contencioso-administrativo. Los plazos para la interposición del recurso potestativo de reposición serán los establecidos en el artículo 117 de la citada Ley 30/1992, de 26 de noviembre, y para el recurso contencioso-administrativo, los establecidos en el artículo 46 de la Ley 29/1998, de 13 de julio, de la jurisdicción contencioso-administrativa.”</w:t>
      </w:r>
    </w:p>
    <w:p w:rsidR="00A90898" w:rsidRDefault="00A90898" w:rsidP="00A90898">
      <w:pPr>
        <w:pStyle w:val="TextoNormal"/>
      </w:pPr>
    </w:p>
    <w:p w:rsidR="00A90898" w:rsidRDefault="00A90898" w:rsidP="00A90898">
      <w:pPr>
        <w:pStyle w:val="TextoNormal"/>
      </w:pPr>
      <w:r>
        <w:t xml:space="preserve">En relación con estas disposiciones, la Abogada de la Generalitat de Cataluña alega que son inconstitucionales en cuanto establecen normas para llevar a cabo una función ejecutiva que corresponde a la Generalitat; a menos que de forma expresa se precise que los apartados 1 y 2 del art. 9 del Real Decreto 239/2013 solo son de aplicación a los supuestos previstos en el art. 8.2 d) del propio Real Decreto 239/2013, que son aquellos que corresponden resolver a la Administración General del Estado. Por su parte, el Abogado del Estado argumenta que estas disposiciones se limitan a reiterar normas de procedimiento establecidas en la Ley 30/1992, de 26 de noviembre (arts. 71, 116 y 117), aprobada por el Estado en ejercicio de la competencia para establecer el procedimiento administrativo común en virtud del art. </w:t>
      </w:r>
      <w:r>
        <w:lastRenderedPageBreak/>
        <w:t>149.1.18 CE y de aplicación por todas las Administraciones públicas. Además, el apartado 1 del art. 9 del Real Decreto 239/2013 claramente especifica que serán de aplicación a la Secretaría de Estado de Medio Ambiente y el inciso 4 del art. 9 dispone que las Comunidades Autónomas establecerán el procedimiento para la tramitación, suspensión y cancelación de la inscripción en el registro de organizaciones, por lo que no existe vulneración de las competencias autonómicas.</w:t>
      </w:r>
    </w:p>
    <w:p w:rsidR="00A90898" w:rsidRDefault="00A90898" w:rsidP="00A90898">
      <w:pPr>
        <w:pStyle w:val="TextoNormal"/>
      </w:pPr>
    </w:p>
    <w:p w:rsidR="00A90898" w:rsidRDefault="00A90898" w:rsidP="00A90898">
      <w:pPr>
        <w:pStyle w:val="TextoNormal"/>
      </w:pPr>
      <w:r>
        <w:t>Del tenor de los apartados 1 y 2 del art. 9 del Real Decreto 239/2013 se deriva sin dificultad que sus previsiones son de aplicación a la Secretaría de Estado de Medio Ambiente en su ámbito de competencias y no a las Comunidades Autónomas. Así se evidencia, además, de la interpretación sistemática de dichos apartados en relación con el apartado 4 del mismo art. 9, que dispone que las Comunidades Autónomas establecerán el procedimiento para la tramitación, suspensión y cancelación de la inscripción en el registro de organizaciones; así como del art. 8, que establece las reglas a las que deben atenerse las solicitudes presentadas en España, precisando su apartado 2 d) los casos en que dichas solicitudes deben dirigirse a la Secretaría de Estado de Medio Ambiente. En conclusión, los apartados 1 y 2 del art. 9 del Real Decreto 239/2013, que regulan determinados aspectos del procedimiento de tramitación, suspensión y cancelación de inscripciones de las organizaciones que voluntariamente se adhieren al sistema EMAS, no vulneran el sistema de distribución de competencias entre el Estado y la Generalitat de Cataluña.</w:t>
      </w:r>
    </w:p>
    <w:p w:rsidR="00A90898" w:rsidRDefault="00A90898" w:rsidP="00A90898">
      <w:pPr>
        <w:pStyle w:val="TextoNormal"/>
      </w:pPr>
    </w:p>
    <w:p w:rsidR="00A90898" w:rsidRDefault="00A90898" w:rsidP="00A90898">
      <w:pPr>
        <w:pStyle w:val="TextoNormal"/>
      </w:pPr>
      <w:r w:rsidRPr="00A90898">
        <w:rPr>
          <w:rStyle w:val="NumeroAFNegritaCaracter"/>
        </w:rPr>
        <w:t>9</w:t>
      </w:r>
      <w:r>
        <w:t>. Hemos de examinar, en fin, la impugnación del art. 13.2 del Real Decreto 239/2013, que regula el régimen sancionador relativo al incumplimiento de los verificadores medioambientales en sus actuaciones derivadas del Reglamento (CE) núm. 1221/2009 en los siguientes términos:</w:t>
      </w:r>
    </w:p>
    <w:p w:rsidR="00A90898" w:rsidRDefault="00A90898" w:rsidP="00A90898">
      <w:pPr>
        <w:pStyle w:val="TextoNormal"/>
      </w:pPr>
    </w:p>
    <w:p w:rsidR="00A90898" w:rsidRDefault="00A90898" w:rsidP="00A90898">
      <w:pPr>
        <w:pStyle w:val="TextoNormal"/>
      </w:pPr>
      <w:r>
        <w:t>“2. Los incumplimientos de los verificadores medioambientales en sus actuaciones derivadas del Reglamento (CE) núm. 1221/2009, del Parlamento Europeo y del Consejo, de 25 de noviembre de 2009, y de este real decreto, así como en su acreditación serán sancionados de conformidad con la Ley 21/1992, de 16 de julio, de Industria, y las normas de desarrollo que les sean de aplicación.”</w:t>
      </w:r>
    </w:p>
    <w:p w:rsidR="00A90898" w:rsidRDefault="00A90898" w:rsidP="00A90898">
      <w:pPr>
        <w:pStyle w:val="TextoNormal"/>
      </w:pPr>
    </w:p>
    <w:p w:rsidR="00A90898" w:rsidRDefault="00A90898" w:rsidP="00A90898">
      <w:pPr>
        <w:pStyle w:val="TextoNormal"/>
      </w:pPr>
      <w:r>
        <w:t>En relación con esta disposición la Letrada de la Generalitat de Cataluña argumenta que no se ajusta a los fundamentos de la STC 33/2005 ni al título competencial de la disposición final tercera del Real Decreto 239/2013, ya que en definitiva encuadra esta regulación en la materia de industria, en lugar de la de medio ambiente, siendo “obvio que el Estado carece de competencia para establecer las normas que regulan el incumplimiento de la acreditación de los verificadores medioambientales, porque se trata de una función ejecutiva”.</w:t>
      </w:r>
    </w:p>
    <w:p w:rsidR="00A90898" w:rsidRDefault="00A90898" w:rsidP="00A90898">
      <w:pPr>
        <w:pStyle w:val="TextoNormal"/>
      </w:pPr>
    </w:p>
    <w:p w:rsidR="00A90898" w:rsidRDefault="00A90898" w:rsidP="00A90898">
      <w:pPr>
        <w:pStyle w:val="TextoNormal"/>
      </w:pPr>
      <w:r>
        <w:t xml:space="preserve">Conviene advertir en este punto que, conforme al esquema constitucional de distribución de competencias ya expuesto, el Estado puede apoyar en el art. 149.1.23 CE una regulación básica de las infracciones y sanciones que se deriven del incumplimiento por los verificadores medioambientales de las disposiciones del Reglamento (CE) núm. 1221/2009 y del Real Decreto 239/2013. Regulación que es precisa, por otra parte, para dar cumplimiento a lo establecido con carácter general en el art. 40 del mismo Reglamento (CE) núm. 1221/2009, según el cual “los Estados miembros adoptarán las medidas legales o administrativas adecuadas en caso de incumplimiento del presente Reglamento”. Nótese, por otra </w:t>
      </w:r>
      <w:r>
        <w:lastRenderedPageBreak/>
        <w:t>parte, que el art. 29 del mismo Reglamento atribuye al organismo de acreditación o autorización que designe cada Estado miembro la competencia para acordar medidas tales como la suspensión o retirada de la acreditación o autorización otorgada por el mismo.</w:t>
      </w:r>
    </w:p>
    <w:p w:rsidR="00A90898" w:rsidRDefault="00A90898" w:rsidP="00A90898">
      <w:pPr>
        <w:pStyle w:val="TextoNormal"/>
      </w:pPr>
    </w:p>
    <w:p w:rsidR="00A90898" w:rsidRDefault="00A90898" w:rsidP="00A90898">
      <w:pPr>
        <w:pStyle w:val="TextoNormal"/>
      </w:pPr>
      <w:r>
        <w:t xml:space="preserve">Por consiguiente, no puede estimarse que la remisión que hace el art. 13.2 del Real Decreto 239/2013 a las disposiciones de la Ley 21/1992, de 16 de julio, de industria, en la que se regula con carácter general las infracciones y sanciones de los organismos de acreditación y de los organismos de control de la calidad, así como a otras normas de desarrollo que le sean de aplicación, conculque </w:t>
      </w:r>
      <w:r w:rsidRPr="00A90898">
        <w:rPr>
          <w:i/>
        </w:rPr>
        <w:t>per se</w:t>
      </w:r>
      <w:r>
        <w:t xml:space="preserve"> las competencias ejecutivas de la Generalitat de Cataluña en materia de medio ambiente, por lo que debe rechazarse también la tacha que se dirige al art. 13.2 del Real Decreto 239/2013.</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que los arts. 11, apartados 1 y 2, y 12, apartados 1 y 4, así como la disposición transitoria primera y el segundo inciso de la disposición final tercera (“No obstante el artículo 11.1 que determina el sistema de acreditación de verificadores y conexos, se dictan, además, al amparo del artículo 149.1 13, que atribuye al Estado la competencia exclusiva para establecer las bases y coordinación de la planificación general de la actividad económica”), todos del Real Decreto 239/2013, de 5 de abril, son contrarios al orden constitucional de distribución de competencias y, por tanto, inconstitucionales y nulos.</w:t>
      </w:r>
    </w:p>
    <w:p w:rsidR="00A90898" w:rsidRDefault="00A90898" w:rsidP="00A90898">
      <w:pPr>
        <w:pStyle w:val="TextoNormal"/>
      </w:pPr>
    </w:p>
    <w:p w:rsidR="00A90898" w:rsidRDefault="00A90898" w:rsidP="00A90898">
      <w:pPr>
        <w:pStyle w:val="TextoNormal"/>
      </w:pPr>
      <w:r>
        <w:t>2º Desestimar el conflicto positivo de competencia en lo restante.</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veintiuno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1" w:name="SENTENCIA_2016_142"/>
      <w:r>
        <w:lastRenderedPageBreak/>
        <w:t>SENTENCIA 142/2016, de 21 de julio de 2016</w:t>
      </w:r>
    </w:p>
    <w:bookmarkEnd w:id="21"/>
    <w:p w:rsidR="00A90898" w:rsidRDefault="00A90898" w:rsidP="00A90898">
      <w:pPr>
        <w:pStyle w:val="TtuloResolucin"/>
      </w:pPr>
      <w:r>
        <w:t>Pleno</w:t>
      </w:r>
    </w:p>
    <w:p w:rsidR="00A90898" w:rsidRDefault="00A90898" w:rsidP="00A90898">
      <w:pPr>
        <w:pStyle w:val="TtuloBOE"/>
      </w:pPr>
      <w:r>
        <w:t>(BOE núm. 196, de 15 de agosto de 2016)</w:t>
      </w:r>
    </w:p>
    <w:p w:rsidR="00A90898" w:rsidRDefault="00A90898" w:rsidP="00A90898">
      <w:pPr>
        <w:pStyle w:val="TextoNormalCentrado"/>
      </w:pPr>
      <w:r>
        <w:t>ECLI:ES:TC:2016:142</w:t>
      </w:r>
    </w:p>
    <w:p w:rsidR="00A90898" w:rsidRDefault="00A90898" w:rsidP="00A90898">
      <w:pPr>
        <w:pStyle w:val="TextoNormalCentrado"/>
      </w:pPr>
    </w:p>
    <w:p w:rsidR="00A90898" w:rsidRDefault="00A90898" w:rsidP="00A90898">
      <w:pPr>
        <w:pStyle w:val="SntesisDescriptiva"/>
      </w:pPr>
      <w:r>
        <w:t>Recurso de inconstitucionalidad 6014-2015. Interpuesto por la Generalitat de Cataluña en relación con diversos preceptos de la Ley 28/2015, de 30 de julio, para la defensa de la calidad alimentaria.</w:t>
      </w:r>
    </w:p>
    <w:p w:rsidR="00A90898" w:rsidRDefault="00A90898" w:rsidP="00A90898">
      <w:pPr>
        <w:pStyle w:val="SntesisDescriptiva"/>
      </w:pPr>
    </w:p>
    <w:p w:rsidR="00A90898" w:rsidRDefault="00A90898" w:rsidP="00A90898">
      <w:pPr>
        <w:pStyle w:val="SntesisAnaltica"/>
      </w:pPr>
      <w:r>
        <w:t>Competencias sobre ordenación general de la economía, agricultura y sector agroalimentario: nulidad de los preceptos legales estatales relativos a los principios generales y período transitorio del régimen sancionador, la clasificación de infracciones, responsabilidad y publicidad de las sanciones, multas coercitivas, sanciones accesorias y régimen sancionador en materia de clasificación de canales de vacuno y porcino.</w:t>
      </w:r>
    </w:p>
    <w:p w:rsidR="00A90898" w:rsidRDefault="00A90898" w:rsidP="00A90898">
      <w:pPr>
        <w:pStyle w:val="SntesisAnaltica"/>
      </w:pPr>
    </w:p>
    <w:p w:rsidR="00A90898" w:rsidRDefault="00A90898" w:rsidP="00A90898">
      <w:pPr>
        <w:pStyle w:val="Extracto"/>
      </w:pPr>
      <w:r>
        <w:t>1.</w:t>
      </w:r>
      <w:r>
        <w:tab/>
        <w:t>La tipificación de las infracciones en materia de calidad alimentaria y clasificación de canales vacuno y porcino, y su aplicación en supuestos de incumplimiento de normas autonómicas, por su alto grado de minuciosidad y detalle, excede del carácter de norma básica, vaciando de contenido la competencia autonómica sancionadora en la materia [FFJJ 5, 11].</w:t>
      </w:r>
    </w:p>
    <w:p w:rsidR="00A90898" w:rsidRDefault="00A90898" w:rsidP="00A90898">
      <w:pPr>
        <w:pStyle w:val="Extracto"/>
      </w:pPr>
    </w:p>
    <w:p w:rsidR="00A90898" w:rsidRDefault="00A90898" w:rsidP="00A90898">
      <w:pPr>
        <w:pStyle w:val="Extracto"/>
      </w:pPr>
      <w:r>
        <w:t>2.</w:t>
      </w:r>
      <w:r>
        <w:tab/>
        <w:t>La norma estatal que, en materia de calidad alimentaria, establece la cuantía concreta de las multas coercitivas, y su periodicidad, invade la competencia autonómica, vaciándola de contenido [FJ 6].</w:t>
      </w:r>
    </w:p>
    <w:p w:rsidR="00A90898" w:rsidRDefault="00A90898" w:rsidP="00A90898">
      <w:pPr>
        <w:pStyle w:val="Extracto"/>
      </w:pPr>
    </w:p>
    <w:p w:rsidR="00A90898" w:rsidRDefault="00A90898" w:rsidP="00A90898">
      <w:pPr>
        <w:pStyle w:val="Extracto"/>
      </w:pPr>
      <w:r>
        <w:t>3.</w:t>
      </w:r>
      <w:r>
        <w:tab/>
        <w:t>La fijación del concreto plazo de duración de la sanción accesoria de inhabilitación para contratar con las Administraciones públicas, sin darle el carácter de plazo máximo, agota la regulación sancionadora por lo que invade la competencia autonómica en materia agroalimentaria [FJ 8].</w:t>
      </w:r>
    </w:p>
    <w:p w:rsidR="00A90898" w:rsidRDefault="00A90898" w:rsidP="00A90898">
      <w:pPr>
        <w:pStyle w:val="Extracto"/>
      </w:pPr>
    </w:p>
    <w:p w:rsidR="00A90898" w:rsidRDefault="00A90898" w:rsidP="00A90898">
      <w:pPr>
        <w:pStyle w:val="Extracto"/>
      </w:pPr>
      <w:r>
        <w:t>4.</w:t>
      </w:r>
      <w:r>
        <w:tab/>
        <w:t>La regulación estatal de la publicidad de las sanciones procedentes en materia de calidad alimentaria, que establece los concretos datos a incluir, y los medios para realizarla, invade la competencia autonómica al agotar prácticamente la regulación de la materia [FJ 8].</w:t>
      </w:r>
    </w:p>
    <w:p w:rsidR="00A90898" w:rsidRDefault="00A90898" w:rsidP="00A90898">
      <w:pPr>
        <w:pStyle w:val="Extracto"/>
      </w:pPr>
    </w:p>
    <w:p w:rsidR="00A90898" w:rsidRDefault="00A90898" w:rsidP="00A90898">
      <w:pPr>
        <w:pStyle w:val="Extracto"/>
      </w:pPr>
      <w:r>
        <w:t>5.</w:t>
      </w:r>
      <w:r>
        <w:tab/>
        <w:t>No cabe en el régimen sancionador básico la regulación transitoria sobre toma de muestras y análisis, al ser su contenido tan detallado y concreto que vacía la competencia autonómica en materia agroalimentaria [FJ 12].</w:t>
      </w:r>
    </w:p>
    <w:p w:rsidR="00A90898" w:rsidRDefault="00A90898" w:rsidP="00A90898">
      <w:pPr>
        <w:pStyle w:val="Extracto"/>
      </w:pPr>
    </w:p>
    <w:p w:rsidR="00A90898" w:rsidRDefault="00A90898" w:rsidP="00A90898">
      <w:pPr>
        <w:pStyle w:val="Extracto"/>
      </w:pPr>
      <w:r>
        <w:t>6.</w:t>
      </w:r>
      <w:r>
        <w:tab/>
        <w:t>La aplicación supletoria del procedimiento sancionador común en tanto que no se desarrolle un procedimiento propio en el sector agroalimentario incurre en vicio de incompetencia, al no encontrar fundamento en la competencia estatal sobre las bases de la planificación general de la economía [FJ 13].</w:t>
      </w:r>
    </w:p>
    <w:p w:rsidR="00A90898" w:rsidRDefault="00A90898" w:rsidP="00A90898">
      <w:pPr>
        <w:pStyle w:val="Extracto"/>
      </w:pPr>
    </w:p>
    <w:p w:rsidR="00A90898" w:rsidRDefault="00A90898" w:rsidP="00A90898">
      <w:pPr>
        <w:pStyle w:val="Extracto"/>
      </w:pPr>
      <w:r>
        <w:t>7.</w:t>
      </w:r>
      <w:r>
        <w:tab/>
        <w:t>La regulación estatal de los límites máximos y mínimos de las sanciones procedentes en materia de calidad alimentaria y clasificación de canales vacuno y porcino resulta bastante amplia para preservar el margen de desarrollo legislativo autonómico (STC 227/1988, ATC 385/1993) [FFJJ 7, 11].</w:t>
      </w:r>
    </w:p>
    <w:p w:rsidR="00A90898" w:rsidRDefault="00A90898" w:rsidP="00A90898">
      <w:pPr>
        <w:pStyle w:val="Extracto"/>
      </w:pPr>
    </w:p>
    <w:p w:rsidR="00A90898" w:rsidRDefault="00A90898" w:rsidP="00A90898">
      <w:pPr>
        <w:pStyle w:val="Extracto"/>
      </w:pPr>
      <w:r>
        <w:t>8.</w:t>
      </w:r>
      <w:r>
        <w:tab/>
        <w:t>La previsión estatal de las sanciones accesorias procedentes en materia de calidad alimentaria no vulnera la competencia autonómica sancionadora, pues estas sanciones se configuran como potestativas, por lo que se deja en libertad al órgano competente no solo para imponerlas o no, sino para legislar lo que estime oportuno sobre ellas [FFJJ 7, 9].</w:t>
      </w:r>
    </w:p>
    <w:p w:rsidR="00A90898" w:rsidRDefault="00A90898" w:rsidP="00A90898">
      <w:pPr>
        <w:pStyle w:val="Extracto"/>
      </w:pPr>
    </w:p>
    <w:p w:rsidR="00A90898" w:rsidRDefault="00A90898" w:rsidP="00A90898">
      <w:pPr>
        <w:pStyle w:val="Extracto"/>
      </w:pPr>
      <w:r>
        <w:t>9.</w:t>
      </w:r>
      <w:r>
        <w:tab/>
        <w:t>El establecimiento de los plazos de prescripción de las infracciones y sanciones, y caducidad de la acción, cabe en el régimen sancionador básico en materia de calidad alimentaria, pues, en cuanto determinante de la extinción de la responsabilidad, debe necesariamente ser objeto de tratamiento unitario (SSTC 102/1995, 148/2011) [FJ 10].</w:t>
      </w:r>
    </w:p>
    <w:p w:rsidR="00A90898" w:rsidRDefault="00A90898" w:rsidP="00A90898">
      <w:pPr>
        <w:pStyle w:val="Extracto"/>
      </w:pPr>
    </w:p>
    <w:p w:rsidR="00A90898" w:rsidRDefault="00A90898" w:rsidP="00A90898">
      <w:pPr>
        <w:pStyle w:val="Extracto"/>
      </w:pPr>
      <w:r>
        <w:t>10.</w:t>
      </w:r>
      <w:r>
        <w:tab/>
        <w:t>La competencia para establecer un régimen de infracciones y sanciones administrativas en una materia determinada corresponde a quien la tiene para regularla sustantivamente (STC 130/2013) [FJ 3].</w:t>
      </w:r>
    </w:p>
    <w:p w:rsidR="00A90898" w:rsidRDefault="00A90898" w:rsidP="00A90898">
      <w:pPr>
        <w:pStyle w:val="Extracto"/>
      </w:pPr>
    </w:p>
    <w:p w:rsidR="00A90898" w:rsidRDefault="00A90898" w:rsidP="00A90898">
      <w:pPr>
        <w:pStyle w:val="Extracto"/>
      </w:pPr>
      <w:r>
        <w:t>11.</w:t>
      </w:r>
      <w:r>
        <w:tab/>
        <w:t>La capacidad del Estado para dictar normas básicas sustantivas en virtud del art. 149.1.13 sobre el sector agroalimentario conduce a reconocer que el propio Estado pueda dictar normas básicas sancionadoras en dicho ámbito (STC 82/2013) [FFJJ 3, 4].</w:t>
      </w:r>
    </w:p>
    <w:p w:rsidR="00A90898" w:rsidRDefault="00A90898" w:rsidP="00A90898">
      <w:pPr>
        <w:pStyle w:val="Extracto"/>
      </w:pPr>
    </w:p>
    <w:p w:rsidR="00A90898" w:rsidRDefault="00A90898" w:rsidP="00A90898">
      <w:pPr>
        <w:pStyle w:val="Extracto"/>
      </w:pPr>
      <w:r>
        <w:t>12.</w:t>
      </w:r>
      <w:r>
        <w:tab/>
        <w:t>Excede del contenido básico toda aquella ordenación que, por su minuciosidad y detalle, no deja espacio alguno a la competencia autonómica de desarrollo legislativo, produciéndose un resultado de vulneración competencial que priva a lo presentado como básico de su condición de tal (STC 147/1991) [FJ 3].</w:t>
      </w:r>
    </w:p>
    <w:p w:rsidR="00A90898" w:rsidRDefault="00A90898" w:rsidP="00A90898">
      <w:pPr>
        <w:pStyle w:val="Extracto"/>
      </w:pPr>
    </w:p>
    <w:p w:rsidR="00A90898" w:rsidRDefault="00A90898" w:rsidP="00A90898">
      <w:pPr>
        <w:pStyle w:val="Extracto"/>
      </w:pPr>
      <w:r>
        <w:t>13.</w:t>
      </w:r>
      <w:r>
        <w:tab/>
        <w:t>El necesario cumplimiento de la normativa comunitaria no es título atributivo de competencias al Estado. Tampoco cabe invocar para justificar la competencia estatal en una determinada materia, ni la seguridad jurídica, ni la transparencia comercial, dado que no constituyen títulos atributivos de competencias [FFJJ 4, 11].</w:t>
      </w:r>
    </w:p>
    <w:p w:rsidR="00A90898" w:rsidRDefault="00A90898" w:rsidP="00A90898">
      <w:pPr>
        <w:pStyle w:val="Extracto"/>
      </w:pPr>
    </w:p>
    <w:p w:rsidR="00A90898" w:rsidRDefault="00A90898" w:rsidP="00A90898">
      <w:pPr>
        <w:pStyle w:val="Extracto"/>
      </w:pPr>
      <w:r>
        <w:t>14.</w:t>
      </w:r>
      <w:r>
        <w:tab/>
        <w:t>Al carecer de toda competencia sobre procedimiento sancionador en el sector agroalimentario, el Estado no puede dictar normas con eficacia meramente supletoria, ya que la regla de supletoriedad no constituye una cláusula universal atributiva de competencia (SSTC 118/1996, 139/2011) [FJ 13].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lastRenderedPageBreak/>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6014-2015 interpuesto por la Generalitat de Cataluña contra los arts. 12.1 y 2; 13; 14; 15; 17.1; 19.1 y 2; 20; 22; 23.1 y 2; 24.1, 2, 4 y 5; disposición adicional primera; disposición transitoria única y disposición final quinta de la Ley 28/2015, de 30 de julio, para la defensa de la calidad alimentaria. Ha comparecido y formulado alegaciones el Abogado del Estado. Ha sido Ponente el Magistrado don Pedro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28 de octubre de 2015, se ha promovido recurso de inconstitucionalidad por el Gobierno de la Generalitat de Cataluña contra los arts. 12.1 y 2; 13; 14; 15; 17.1; 19.1 y 2; 20; 22; 23.1 y 2; 24.1, 2, 4 y 5; disposición adicional primera; disposición transitoria única y disposición final quinta de la Ley 28/2015, de 30 de julio, para la defensa de la calidad alimentaria. La impugnación se fundamenta en los motivos que, en síntesis, se exponen a continuación:</w:t>
      </w:r>
    </w:p>
    <w:p w:rsidR="00A90898" w:rsidRDefault="00A90898" w:rsidP="00A90898">
      <w:pPr>
        <w:pStyle w:val="TextoNormal"/>
      </w:pPr>
    </w:p>
    <w:p w:rsidR="00A90898" w:rsidRDefault="00A90898" w:rsidP="00A90898">
      <w:pPr>
        <w:pStyle w:val="TextoNormal"/>
      </w:pPr>
      <w:r>
        <w:t>a) Los preceptos recurridos, dice la recurrente, configuran dos regímenes sancionadores en materia de calidad alimentaria y una regulación transitoria que no respetan el esquema de reparto competencial de la Constitución y del Estatuto de Autonomía de Cataluña (EAC).</w:t>
      </w:r>
    </w:p>
    <w:p w:rsidR="00A90898" w:rsidRDefault="00A90898" w:rsidP="00A90898">
      <w:pPr>
        <w:pStyle w:val="TextoNormal"/>
      </w:pPr>
    </w:p>
    <w:p w:rsidR="00A90898" w:rsidRDefault="00A90898" w:rsidP="00A90898">
      <w:pPr>
        <w:pStyle w:val="TextoNormal"/>
      </w:pPr>
      <w:r>
        <w:t>Tras resumir el preámbulo de la Ley 28/2015, la actora sostiene que, de los arts. 2 y 4 de la Ley 28/2015, resulta que esta norma es aplicable a todos los productos alimenticios o alimentos, según la definición del Reglamento (CE) núm. 178/2002, del Parlamento Europeo y del Consejo, de 28 de enero, y a las instalaciones que enumera, con las excepciones que especifica. Señala que la calidad alimentaria es el conjunto de propiedades y características de un producto alimenticio o alimento relativas a las materias primas o ingredientes utilizados en su elaboración, así como a los procesos de elaboración, almacenamiento, envasado y comercialización. No obstante, tales propiedades y características no se definen en la Ley 28/2015 que, en su art. 4 b), se remite a las recogidas en la normativa de calidad alimentaria de obligado cumplimiento dictada por las Administraciones competentes en cada sector, así como en la normativa horizontal de aplicación.</w:t>
      </w:r>
    </w:p>
    <w:p w:rsidR="00A90898" w:rsidRDefault="00A90898" w:rsidP="00A90898">
      <w:pPr>
        <w:pStyle w:val="TextoNormal"/>
      </w:pPr>
    </w:p>
    <w:p w:rsidR="00A90898" w:rsidRDefault="00A90898" w:rsidP="00A90898">
      <w:pPr>
        <w:pStyle w:val="TextoNormal"/>
      </w:pPr>
      <w:r>
        <w:t>Destaca que el dictamen del Consejo de Estado sobre la Ley 28/2015, consideró imprecisa la definición de la materia regulada, por lo que formuló una observación sobre la inclusión de un anexo con un listado de las normas y reglamentaciones técnicas a las que sería de aplicación la Ley 28/2015, lo que no se hizo. Al margen de ello, concluye la Generalitat que, a los efectos del recurso, la Ley 28/2015 establece un régimen sancionador único, aplicable a los incumplimientos en materia de calidad alimentaria cuya regulación puede estar en cualquier normativa, también en la autonómica, salvo las exclusiones enumeradas en el art. 2 b) de la Ley 28/2015.</w:t>
      </w:r>
    </w:p>
    <w:p w:rsidR="00A90898" w:rsidRDefault="00A90898" w:rsidP="00A90898">
      <w:pPr>
        <w:pStyle w:val="TextoNormal"/>
      </w:pPr>
    </w:p>
    <w:p w:rsidR="00A90898" w:rsidRDefault="00A90898" w:rsidP="00A90898">
      <w:pPr>
        <w:pStyle w:val="TextoNormal"/>
      </w:pPr>
      <w:r>
        <w:t>b) Puesto que el título competencial estatal en que se basa la Ley 28/2015 (disposición final quinta), es el art. 149.1.13 CE, se invoca la doctrina constitucional relativa a éste (SSTC 34/2013, 6/2014 y 74/2014). A partir de ella, se admite que el Estado puede fijar directrices para la ordenación del sector alimentario en su conjunto, pero sin llegar al extremo de incluir cualquier acción económica sin incidencia significativa en el sector, so pena de vaciar las competencias autonómicas. Por ello, es decisivo atender a la finalidad de la norma teniendo en cuenta que el art. 149.1.13 CE ampara todas las normas y actuaciones dirigidas a esa finalidad.</w:t>
      </w:r>
    </w:p>
    <w:p w:rsidR="00A90898" w:rsidRDefault="00A90898" w:rsidP="00A90898">
      <w:pPr>
        <w:pStyle w:val="TextoNormal"/>
      </w:pPr>
    </w:p>
    <w:p w:rsidR="00A90898" w:rsidRDefault="00A90898" w:rsidP="00A90898">
      <w:pPr>
        <w:pStyle w:val="TextoNormal"/>
      </w:pPr>
      <w:r>
        <w:t>c) Según el art. 116 EAC, la Generalitat de Cataluña ostenta competencia exclusiva en materia de agricultura y ganadería, respetando lo que disponga el Estado en ejercicio de la competencia del art. 149.1.13 y 16 CE. Dentro de ésta, el art. 116.1 a) EAC, distingue el sector agroalimentario de los sectores agrícola y ganadero, con lo que incluye cualquier alimento o producto alimenticio. Del art. 116.1 b) EAC resulta que la regulación del sector agroalimentario incluye todas las actividades relacionadas con la producción de alimentos y productos alimenticios, tanto la fase primaria como la distribución y transformación industrial y la lucha contra los fraudes en la producción y la comercialización agroalimentarias que conlleva las actividades de control, inspección y sanción.</w:t>
      </w:r>
    </w:p>
    <w:p w:rsidR="00A90898" w:rsidRDefault="00A90898" w:rsidP="00A90898">
      <w:pPr>
        <w:pStyle w:val="TextoNormal"/>
      </w:pPr>
    </w:p>
    <w:p w:rsidR="00A90898" w:rsidRDefault="00A90898" w:rsidP="00A90898">
      <w:pPr>
        <w:pStyle w:val="TextoNormal"/>
      </w:pPr>
      <w:r>
        <w:t>En ejercicio de sus competencias, la Generalitat de Cataluña aprobó la Ley 14/2003, de 13 de junio, de calidad agroalimentaria, que incluye el régimen sancionador en la materia. El Consejo de Estado ya advirtió que la Ley 28/2015 ocupa un espacio competencialmente asumido por las Comunidades Autónomas.</w:t>
      </w:r>
    </w:p>
    <w:p w:rsidR="00A90898" w:rsidRDefault="00A90898" w:rsidP="00A90898">
      <w:pPr>
        <w:pStyle w:val="TextoNormal"/>
      </w:pPr>
    </w:p>
    <w:p w:rsidR="00A90898" w:rsidRDefault="00A90898" w:rsidP="00A90898">
      <w:pPr>
        <w:pStyle w:val="TextoNormal"/>
      </w:pPr>
      <w:r>
        <w:t>En definitiva, según el art. 116.1 EAC, la Generalitat ha asumido competencia exclusiva en la submateria alimentaria que engloba las características de los alimentos, su producción y logística, en ejercicio de la cual ha aprobado ya la Ley 14/2003, en la que el Estado puede incidir al amparo del art. 149.1.13 CE, pero solo en el marco expresado.</w:t>
      </w:r>
    </w:p>
    <w:p w:rsidR="00A90898" w:rsidRDefault="00A90898" w:rsidP="00A90898">
      <w:pPr>
        <w:pStyle w:val="TextoNormal"/>
      </w:pPr>
    </w:p>
    <w:p w:rsidR="00A90898" w:rsidRDefault="00A90898" w:rsidP="00A90898">
      <w:pPr>
        <w:pStyle w:val="TextoNormal"/>
      </w:pPr>
      <w:r>
        <w:t>d) Expone a continuación la doctrina constitucional según la cual la competencia sancionadora es adjetiva de la competencia sustantiva material, por lo que el art. 149.1.13 CE permite al Estado incidir en el régimen sancionador solo si la relevancia de la regulación exige su aplicación en el conjunto de España. Incluso en este caso, que no concurre, la normación no podría exceder de principios generales que permitan la regulación de detalle autonómica.</w:t>
      </w:r>
    </w:p>
    <w:p w:rsidR="00A90898" w:rsidRDefault="00A90898" w:rsidP="00A90898">
      <w:pPr>
        <w:pStyle w:val="TextoNormal"/>
      </w:pPr>
    </w:p>
    <w:p w:rsidR="00A90898" w:rsidRDefault="00A90898" w:rsidP="00A90898">
      <w:pPr>
        <w:pStyle w:val="TextoNormal"/>
      </w:pPr>
      <w:r>
        <w:t xml:space="preserve">e) Los artículos recurridos, dice la recurrente, son prácticamente todos los del título III de la Ley 28/2015, sobre régimen sancionador, pues lo que cuestiona es la competencia estatal </w:t>
      </w:r>
      <w:r w:rsidRPr="00A90898">
        <w:rPr>
          <w:i/>
        </w:rPr>
        <w:t>ex</w:t>
      </w:r>
      <w:r>
        <w:t xml:space="preserve"> art. 149.1.13 CE para dictar ese régimen sustrayendo a la Generalitat su competencia adjetiva sancionadora en una materia sustantiva (calidad alimentaria), de su exclusiva competencia.</w:t>
      </w:r>
    </w:p>
    <w:p w:rsidR="00A90898" w:rsidRDefault="00A90898" w:rsidP="00A90898">
      <w:pPr>
        <w:pStyle w:val="TextoNormal"/>
      </w:pPr>
    </w:p>
    <w:p w:rsidR="00A90898" w:rsidRDefault="00A90898" w:rsidP="00A90898">
      <w:pPr>
        <w:pStyle w:val="TextoNormal"/>
      </w:pPr>
      <w:r>
        <w:t xml:space="preserve">Ya el dictamen del Consejo de Estado, a partir de la STC 136/1991, concluye que, el anteproyecto de la Ley 28/2015 debería haber previsto una regulación de sanciones mínimas que las Comunidades Autónomas pudiesen concretar. Esta conclusión del dictamen es inequívoca y no se contrarresta con sus consideraciones posteriores sobre la insuficiencia de las sanciones de la Ley catalana 14/2003 y otras leyes autonómicas para la efectividad </w:t>
      </w:r>
      <w:r>
        <w:lastRenderedPageBreak/>
        <w:t xml:space="preserve">del Derecho comunitario. En todo caso, ello ampararía la actualización por el Estado, </w:t>
      </w:r>
      <w:r w:rsidRPr="00A90898">
        <w:rPr>
          <w:i/>
        </w:rPr>
        <w:t>ex</w:t>
      </w:r>
      <w:r>
        <w:t xml:space="preserve"> art. 149.1.13 CE, de los criterios generales sobre la cuantía de las sanciones, pero no el establecimiento del régimen sancionador.</w:t>
      </w:r>
    </w:p>
    <w:p w:rsidR="00A90898" w:rsidRDefault="00A90898" w:rsidP="00A90898">
      <w:pPr>
        <w:pStyle w:val="TextoNormal"/>
      </w:pPr>
    </w:p>
    <w:p w:rsidR="00A90898" w:rsidRDefault="00A90898" w:rsidP="00A90898">
      <w:pPr>
        <w:pStyle w:val="TextoNormal"/>
      </w:pPr>
      <w:r>
        <w:t>El Derecho comunitario no predetermina la instancia del Estado miembro que ha de regular las sanciones en materia de calidad alimentaria, pues es reiterada la doctrina constitucional según la cual este Derecho no altera los criterios constitucionales de reparto interno de competencias. Además, aunque la normativa europea pretenda homogeneizar los ordenamientos y tenga efecto directo, ello no supone que las normas estatales que la adapten a nuestro ordenamiento deban ser necesariamente básicas. En cualquier caso, el Consejo de Estado puso de relieve que el anteproyecto de la Ley 28/2015 no transpone, ni desarrolla, el derecho de la Unión Europea.</w:t>
      </w:r>
    </w:p>
    <w:p w:rsidR="00A90898" w:rsidRDefault="00A90898" w:rsidP="00A90898">
      <w:pPr>
        <w:pStyle w:val="TextoNormal"/>
      </w:pPr>
    </w:p>
    <w:p w:rsidR="00A90898" w:rsidRDefault="00A90898" w:rsidP="00A90898">
      <w:pPr>
        <w:pStyle w:val="TextoNormal"/>
      </w:pPr>
      <w:r>
        <w:t>Formalmente, se alega que, en la tramitación de la Ley 28/2015, no se oyó al Consejo Económico y Social, como también dijo el Consejo de Estado, lo que, a juicio de la recurrente, desautoriza el amparo competencial de la norma en el art. 149.1.13 CE.</w:t>
      </w:r>
    </w:p>
    <w:p w:rsidR="00A90898" w:rsidRDefault="00A90898" w:rsidP="00A90898">
      <w:pPr>
        <w:pStyle w:val="TextoNormal"/>
      </w:pPr>
    </w:p>
    <w:p w:rsidR="00A90898" w:rsidRDefault="00A90898" w:rsidP="00A90898">
      <w:pPr>
        <w:pStyle w:val="TextoNormal"/>
      </w:pPr>
      <w:r>
        <w:t>f) El recurso examina los fines de la Ley 28/2015 (art. 3) y concluye que no justifican el régimen sancionador uniforme que se impugna. Señala que, la discordancia entre esos fines y la supuesta necesidad de un régimen sancionador para todo el Estado, demuestra que no existe una conexión relevante con los fines de orientación general de la economía. Considera que el régimen sancionador, en cualquier sector económico, es un mecanismo de última garantía del cumplimiento de la ordenación sustantiva y, si esta puede ser diferente en las distintas Comunidades Autónomas, la uniformidad del régimen sancionador no tiene base.</w:t>
      </w:r>
    </w:p>
    <w:p w:rsidR="00A90898" w:rsidRDefault="00A90898" w:rsidP="00A90898">
      <w:pPr>
        <w:pStyle w:val="TextoNormal"/>
      </w:pPr>
    </w:p>
    <w:p w:rsidR="00A90898" w:rsidRDefault="00A90898" w:rsidP="00A90898">
      <w:pPr>
        <w:pStyle w:val="TextoNormal"/>
      </w:pPr>
      <w:r>
        <w:t>g) Tras decir que la falta de amparo competencial en el art. 149.1.13 CE afecta a todos los preceptos impugnados, se analizan separadamente cada uno de ellos.</w:t>
      </w:r>
    </w:p>
    <w:p w:rsidR="00A90898" w:rsidRDefault="00A90898" w:rsidP="00A90898">
      <w:pPr>
        <w:pStyle w:val="TextoNormal"/>
      </w:pPr>
    </w:p>
    <w:p w:rsidR="00A90898" w:rsidRDefault="00A90898" w:rsidP="00A90898">
      <w:pPr>
        <w:pStyle w:val="TextoNormal"/>
      </w:pPr>
      <w:r>
        <w:t>El art. 12. 1 y 2 de la Ley 28/2015, se considera inconstitucional porque prevé la aplicación del régimen sancionador de la Ley 28/2015 por el incumplimiento de las normas de calidad alimentaria de las Administraciones competentes, entre ellas, la Generalitat. Por ello, vulnera la doctrina sobre conexión entre la competencia sustantiva y la sancionadora adjetiva, y vacía de contenido el régimen sancionador de la Ley catalana 14/2003. Infringe así los arts. 116.1 a) y b) y 159 EAC.</w:t>
      </w:r>
    </w:p>
    <w:p w:rsidR="00A90898" w:rsidRDefault="00A90898" w:rsidP="00A90898">
      <w:pPr>
        <w:pStyle w:val="TextoNormal"/>
      </w:pPr>
    </w:p>
    <w:p w:rsidR="00A90898" w:rsidRDefault="00A90898" w:rsidP="00A90898">
      <w:pPr>
        <w:pStyle w:val="TextoNormal"/>
      </w:pPr>
      <w:r>
        <w:t>h) Los arts. 13, 14 y 15 de la Ley 28/2015 tipifican las infracciones leves, graves y muy graves. Su lectura revela, según la recurrente, la minuciosidad de la regulación estatal que no deja espacio a la legislación autonómica para prever nuevos tipos, ni concretar los existentes. Prueba de ello, dice, es que gran parte de las infracciones tipificadas en estos artículos, lo están ya en parecidos términos en la Ley catalana 14/2003. Por tanto, se infringen los arts. 149.1.13 CE y 116.1 EAC.</w:t>
      </w:r>
    </w:p>
    <w:p w:rsidR="00A90898" w:rsidRDefault="00A90898" w:rsidP="00A90898">
      <w:pPr>
        <w:pStyle w:val="TextoNormal"/>
      </w:pPr>
    </w:p>
    <w:p w:rsidR="00A90898" w:rsidRDefault="00A90898" w:rsidP="00A90898">
      <w:pPr>
        <w:pStyle w:val="TextoNormal"/>
      </w:pPr>
      <w:r>
        <w:t>El art. 17.1 de la Ley 28/2015 es inconstitucional en cuanto se remite a las infracciones tipificadas en los arts. 13, 14 y 15 con lo que adolece de las mismas tachas de inconstitucionalidad.</w:t>
      </w:r>
    </w:p>
    <w:p w:rsidR="00A90898" w:rsidRDefault="00A90898" w:rsidP="00A90898">
      <w:pPr>
        <w:pStyle w:val="TextoNormal"/>
      </w:pPr>
    </w:p>
    <w:p w:rsidR="00A90898" w:rsidRDefault="00A90898" w:rsidP="00A90898">
      <w:pPr>
        <w:pStyle w:val="TextoNormal"/>
      </w:pPr>
      <w:r>
        <w:t xml:space="preserve">i) El art. 19. 1 y 2, sobre multas coercitivas, nuevamente según el recurso, es tan detallado que vacía la competencia de la Generalitat, a diferencia del art. 99 de la Ley 30/1992, de </w:t>
      </w:r>
      <w:r>
        <w:lastRenderedPageBreak/>
        <w:t>régimen jurídico de las Administraciones públicas y del procedimiento administrativo común (LPC), al que se remite. Por tanto, el art. 19.1 y 2 también vulnera el art. 116.1 EAC.</w:t>
      </w:r>
    </w:p>
    <w:p w:rsidR="00A90898" w:rsidRDefault="00A90898" w:rsidP="00A90898">
      <w:pPr>
        <w:pStyle w:val="TextoNormal"/>
      </w:pPr>
    </w:p>
    <w:p w:rsidR="00A90898" w:rsidRDefault="00A90898" w:rsidP="00A90898">
      <w:pPr>
        <w:pStyle w:val="TextoNormal"/>
      </w:pPr>
      <w:r>
        <w:t>j) El art. 20.1 y 2, cuantifica las sanciones y fija su cuantía mínima, de forma que impide a la Generalitat graduarlas. Por ello, vulnera los arts. 149.1.13 CE y 116 EAC.</w:t>
      </w:r>
    </w:p>
    <w:p w:rsidR="00A90898" w:rsidRDefault="00A90898" w:rsidP="00A90898">
      <w:pPr>
        <w:pStyle w:val="TextoNormal"/>
      </w:pPr>
    </w:p>
    <w:p w:rsidR="00A90898" w:rsidRDefault="00A90898" w:rsidP="00A90898">
      <w:pPr>
        <w:pStyle w:val="TextoNormal"/>
      </w:pPr>
      <w:r>
        <w:t>La misma infracción se imputa al art.22 de la Ley 28/2015, sobre publicidad de las sanciones, al que se considera otro ejemplo de regulación detallada que invade la competencia de la Generalitat que debería, a su juicio, poder determinar la conveniencia de una disposición de este tipo.</w:t>
      </w:r>
    </w:p>
    <w:p w:rsidR="00A90898" w:rsidRDefault="00A90898" w:rsidP="00A90898">
      <w:pPr>
        <w:pStyle w:val="TextoNormal"/>
      </w:pPr>
    </w:p>
    <w:p w:rsidR="00A90898" w:rsidRDefault="00A90898" w:rsidP="00A90898">
      <w:pPr>
        <w:pStyle w:val="TextoNormal"/>
      </w:pPr>
      <w:r>
        <w:t>El art. 23.1 y 2, sobre las sanciones accesorias, se dirige directamente a la Administración autonómica, impidiéndole establecer políticas legislativas propias, con nueva vulneración de los arts. 149.1.13 CE y 116 EAC.</w:t>
      </w:r>
    </w:p>
    <w:p w:rsidR="00A90898" w:rsidRDefault="00A90898" w:rsidP="00A90898">
      <w:pPr>
        <w:pStyle w:val="TextoNormal"/>
      </w:pPr>
    </w:p>
    <w:p w:rsidR="00A90898" w:rsidRDefault="00A90898" w:rsidP="00A90898">
      <w:pPr>
        <w:pStyle w:val="TextoNormal"/>
      </w:pPr>
      <w:r>
        <w:t>k) El art. 24. 1, 2 y 4, prevé un régimen obligatorio de prescripción de las infracciones y sanciones que se separa, según la recurrente, de la norma básica del art. 132 LPC que solo prevé un sistema general subsidiario. Lo mismo se dice del apartado 5 que, a su juicio, regula la caducidad de la acción para perseguir las infracciones más allá de lo previsto en la Ley de régimen jurídico de las Administraciones públicas y del procedimiento administrativo común.</w:t>
      </w:r>
    </w:p>
    <w:p w:rsidR="00A90898" w:rsidRDefault="00A90898" w:rsidP="00A90898">
      <w:pPr>
        <w:pStyle w:val="TextoNormal"/>
      </w:pPr>
    </w:p>
    <w:p w:rsidR="00A90898" w:rsidRDefault="00A90898" w:rsidP="00A90898">
      <w:pPr>
        <w:pStyle w:val="TextoNormal"/>
      </w:pPr>
      <w:r>
        <w:t>l) La disposición adicional primera de la Ley 28/2015 establece un régimen sancionador específico en materia de clasificación de canales de vacuno y porcino que, según su preámbulo, pretende garantizar el cumplimiento de las disposiciones comunitarias [art. 10 del Reglamento (UE) 1308/2013, de 17 de diciembre], sobre organización común de mercados de los productos agrarios, pero que no predetermina la instancia estatal que debe aplicarlo. Este Reglamento, dice la Generalitat, derogó el Reglamento (CE) 1234/2004, de 22 de octubre, a partir del cual, en ejercicio de sus competencias, aprobó el Decreto 85/2010, de 29 de junio, sobre pesaje, clasificación y marcaje de los canales porcinos que remitía al régimen sancionador de la Ley 14/2003. Tampoco en este caso los fines de la Ley 28/2015 justifican la necesidad de la norma, que no tiene trascendencia para la ordenación general de la economía y que, dado su exhaustivo contenido, vacía la competencia autonómica asumida en el art. 116.1 EAC.</w:t>
      </w:r>
    </w:p>
    <w:p w:rsidR="00A90898" w:rsidRDefault="00A90898" w:rsidP="00A90898">
      <w:pPr>
        <w:pStyle w:val="TextoNormal"/>
      </w:pPr>
    </w:p>
    <w:p w:rsidR="00A90898" w:rsidRDefault="00A90898" w:rsidP="00A90898">
      <w:pPr>
        <w:pStyle w:val="TextoNormal"/>
      </w:pPr>
      <w:r>
        <w:t>m) La disposición transitoria única de la Ley 28/2015 se recurre porque dispone que se seguirán aplicando, hasta el desarrollo reglamentario de la Ley, los arts. 15 y 16 del Real Decreto 1945/1983 sobre infracciones y sanciones en materia de defensa del consumidor y de la producción agroalimentaria y el Reglamento 1398/1993, del procedimiento para el ejercicio de la potestad sancionadora. Así, se inserta en la regulación del régimen sancionador del título III de la Ley 28/2015 por lo que se dan por reproducidos los argumentos expuestos sobre falta de cobertura competencial de la norma en el art. 149.1.13 CE.</w:t>
      </w:r>
    </w:p>
    <w:p w:rsidR="00A90898" w:rsidRDefault="00A90898" w:rsidP="00A90898">
      <w:pPr>
        <w:pStyle w:val="TextoNormal"/>
      </w:pPr>
    </w:p>
    <w:p w:rsidR="00A90898" w:rsidRDefault="00A90898" w:rsidP="00A90898">
      <w:pPr>
        <w:pStyle w:val="TextoNormal"/>
      </w:pPr>
      <w:r>
        <w:t xml:space="preserve">La Generalitat de Cataluña, según el art. 159.1 EAC, puede legislar sobre el procedimiento sancionador en los ámbitos de su competencia. Por ello, aprobó el Decreto 278/1993, de 9 de noviembre, aplicable mientras no se completen las disposiciones del art. 60 y siguientes de la Ley 14/2003. Por tanto, el apartado 2 de la disposición transitoria de la Ley </w:t>
      </w:r>
      <w:r>
        <w:lastRenderedPageBreak/>
        <w:t>28/2015, al excluir la aplicación de esta norma autonómica, vulnera también los arts. 116.1 d) y 159 EAC.</w:t>
      </w:r>
    </w:p>
    <w:p w:rsidR="00A90898" w:rsidRDefault="00A90898" w:rsidP="00A90898">
      <w:pPr>
        <w:pStyle w:val="TextoNormal"/>
      </w:pPr>
    </w:p>
    <w:p w:rsidR="00A90898" w:rsidRDefault="00A90898" w:rsidP="00A90898">
      <w:pPr>
        <w:pStyle w:val="TextoNormal"/>
      </w:pPr>
      <w:r>
        <w:t>n) Por último, la disposición final quinta, relativa al título competencial que ampara la Ley 28/2015 (art. 149.1.13 CE), es inconstitucional por atribuir carácter básico a los preceptos impugnados cuya inconstitucionalidad, por tanto, se proyecta sobre ella.</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18 de noviembre de 2015, el Pleno, a propuesta de la Sección Tercera, acordó admitir a trámite el recurso de inconstitucionalidad del Gobierno de Cataluña contra los arts. 12.1 y 2; 13; 14; 15; 17.1; 19.1 y 2; 20; 22; 23.1 y 2; 24.1, 2, 4 y 5; disposición adicional primera; disposición transitoria única y disposición final quinta de la Ley 28/2015, de 30 de julio, para la defensa de la calidad alimentaria;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15 días, puedan personarse en el proceso y formular las alegaciones que estimaren convenientes, así como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Con fecha de 24 de noviembre de 2015, compareció en el proceso el Abogado del Estado en la representación que legalmente ostenta, para que el Tribunal le tenga por personado en el recurso de inconstitucionalidad en nombre del Gobierno, al tiempo que solicitó una prórroga del plazo concedido para formular sus alegaciones.</w:t>
      </w:r>
    </w:p>
    <w:p w:rsidR="00A90898" w:rsidRDefault="00A90898" w:rsidP="00A90898">
      <w:pPr>
        <w:pStyle w:val="TextoNormal"/>
      </w:pPr>
    </w:p>
    <w:p w:rsidR="00A90898" w:rsidRDefault="00A90898" w:rsidP="00A90898">
      <w:pPr>
        <w:pStyle w:val="TextoNormal"/>
      </w:pPr>
      <w:r w:rsidRPr="00A90898">
        <w:rPr>
          <w:rStyle w:val="NumeroAFNegritaCaracter"/>
        </w:rPr>
        <w:t>4</w:t>
      </w:r>
      <w:r>
        <w:t>. El Pleno, mediante diligencia de ordenación de 25 de noviembre de 2015, acordó tener por personado al Abogado del Estado y prorrogar en ocho días el plazo en su día concedido para presentar sus alegaciones.</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en este Tribunal el 26 de noviembre de 2015, el Presidente del Congreso de los Diputados comunicó el acuerdo de la Mesa de la Cámara de personarse en el procedimiento y ofrecer su colaboración a los efectos del art. 88.1 LOTC. Lo mismo hizo el Presidente del Senado, por escrito registrado en este Tribunal el 24 de noviembre del mismo año.</w:t>
      </w:r>
    </w:p>
    <w:p w:rsidR="00A90898" w:rsidRDefault="00A90898" w:rsidP="00A90898">
      <w:pPr>
        <w:pStyle w:val="TextoNormal"/>
      </w:pPr>
    </w:p>
    <w:p w:rsidR="00A90898" w:rsidRDefault="00A90898" w:rsidP="00A90898">
      <w:pPr>
        <w:pStyle w:val="TextoNormal"/>
      </w:pPr>
      <w:r w:rsidRPr="00A90898">
        <w:rPr>
          <w:rStyle w:val="NumeroAFNegritaCaracter"/>
        </w:rPr>
        <w:t>6</w:t>
      </w:r>
      <w:r>
        <w:t>. El escrito de alegaciones del Abogado del Estado, interesando la desestimación del recurso de inconstitucionalidad, tuvo entrada en este Tribunal el día 23 de diciembre de 2015. La Abogacía del Estado basa su oposición al recurso en los argumentos siguientes:</w:t>
      </w:r>
    </w:p>
    <w:p w:rsidR="00A90898" w:rsidRDefault="00A90898" w:rsidP="00A90898">
      <w:pPr>
        <w:pStyle w:val="TextoNormal"/>
      </w:pPr>
    </w:p>
    <w:p w:rsidR="00A90898" w:rsidRDefault="00A90898" w:rsidP="00A90898">
      <w:pPr>
        <w:pStyle w:val="TextoNormal"/>
      </w:pPr>
      <w:r>
        <w:t>a) La Ley 28/2015 se dicta por el Estado al amparo del art. 149.1.13 CE siendo su ámbito material, únicamente, el aspecto económico de la calidad alimentaria y no el aspecto sanitario cuya competencia es de tales autoridades. Por eso, la memoria de análisis de impacto normativo del anteproyecto, de la que adjunta copia, consideró innecesario invocar como título competencial de cobertura el art. 149.1.16 CE. La misma memoria, dice el representante del Estado, pone de relieve que la Ley 28/2015 es necesaria para conseguir una unidad de mercado real en el sector de la alimentación y bebidas, en lo que se refiere al sistema de control y sancionador.</w:t>
      </w:r>
    </w:p>
    <w:p w:rsidR="00A90898" w:rsidRDefault="00A90898" w:rsidP="00A90898">
      <w:pPr>
        <w:pStyle w:val="TextoNormal"/>
      </w:pPr>
    </w:p>
    <w:p w:rsidR="00A90898" w:rsidRDefault="00A90898" w:rsidP="00A90898">
      <w:pPr>
        <w:pStyle w:val="TextoNormal"/>
      </w:pPr>
      <w:r>
        <w:lastRenderedPageBreak/>
        <w:t>Destaca que el preámbulo de la Ley 28/2015 dice que su contenido es esencialmente económico y recuerda que, tras la STC 34/2013, el Tribunal Constitucional ha diferenciado explícitamente el alcance de lo básico en el título competencial del art. 149.1.13 CE y en el resto de competencias del art. 149.1 CE, que reservan al Estado la aprobación de las bases en una materia concreta.</w:t>
      </w:r>
    </w:p>
    <w:p w:rsidR="00A90898" w:rsidRDefault="00A90898" w:rsidP="00A90898">
      <w:pPr>
        <w:pStyle w:val="TextoNormal"/>
      </w:pPr>
    </w:p>
    <w:p w:rsidR="00A90898" w:rsidRDefault="00A90898" w:rsidP="00A90898">
      <w:pPr>
        <w:pStyle w:val="TextoNormal"/>
      </w:pPr>
      <w:r>
        <w:t>b) La Generalitat de Cataluña tiene competencia en materia de calidad alimentaria según el art. 116 EAC, pero éste deja expresamente a salvo las competencias estatales del art. 149.1.13 y 16 CE. Además, la jurisprudencia constitucional ha declarado que la atribución de una competencia como exclusiva en un precepto estatutario no impide la aplicación del Derecho del Estado emanado de competencias concurrentes de éste sobre el mismo espacio. Invoca a este respecto la STC 31/2010, FJ 64.</w:t>
      </w:r>
    </w:p>
    <w:p w:rsidR="00A90898" w:rsidRDefault="00A90898" w:rsidP="00A90898">
      <w:pPr>
        <w:pStyle w:val="TextoNormal"/>
      </w:pPr>
    </w:p>
    <w:p w:rsidR="00A90898" w:rsidRDefault="00A90898" w:rsidP="00A90898">
      <w:pPr>
        <w:pStyle w:val="TextoNormal"/>
      </w:pPr>
      <w:r>
        <w:t>c) Las SSTC 34/2013 y 123/2013 confirman que la competencia estatal del art. 149.1.13 CE no es propiamente una competencia compartida clásica, pues hace posible la intervención del Estado, a través de medidas económicas, incluso en sectores materialmente atribuidos a la competencia de las Comunidades Autónomas. Se trata de una regla transversal en el orden económico (STC 130/2013) que permite, tanto normas estatales que fijen directrices y criterios globales de ordenación de sectores económicos concretos, como medidas singulares necesarias para alcanzar los fines propuestos, entre los que la doctrina constitucional sitúa el de garantizar la unidad de mercado o unidad económica. Cita también las SSTC 140/2011, 207/2012 y 69/2013.</w:t>
      </w:r>
    </w:p>
    <w:p w:rsidR="00A90898" w:rsidRDefault="00A90898" w:rsidP="00A90898">
      <w:pPr>
        <w:pStyle w:val="TextoNormal"/>
      </w:pPr>
    </w:p>
    <w:p w:rsidR="00A90898" w:rsidRDefault="00A90898" w:rsidP="00A90898">
      <w:pPr>
        <w:pStyle w:val="TextoNormal"/>
      </w:pPr>
      <w:r>
        <w:t>Aplicando la doctrina expuesta a los objetivos de la Ley 28/2015, entiende el Abogado del Estado que la ordenación básica del sector es claramente la razón de ser de esta Ley. Así lo deduce de su memoria de la que destaca las expresiones que indican que la Ley 28/2015 pretende desarrollar el marco legal básico del sector alimentario español, para conseguir que haya unos mínimos comunes en el control oficial y actualizar el régimen sancionador para dar respuesta a los compromisos con la Comisión Europea en el marco del Reglamento europeo de controles. Ello no se ve desvirtuado por la STC 6/2014, que cita la recurrente, que confirma que el Estado puede dictar directrices generales aún en materia de competencia exclusiva autonómica.</w:t>
      </w:r>
    </w:p>
    <w:p w:rsidR="00A90898" w:rsidRDefault="00A90898" w:rsidP="00A90898">
      <w:pPr>
        <w:pStyle w:val="TextoNormal"/>
      </w:pPr>
    </w:p>
    <w:p w:rsidR="00A90898" w:rsidRDefault="00A90898" w:rsidP="00A90898">
      <w:pPr>
        <w:pStyle w:val="TextoNormal"/>
      </w:pPr>
      <w:r>
        <w:t>d) La doctrina constitucional también es favorable, según esta parte, a la competencia básica del Estado en materia sancionadora con base en el art. 149.1.1 CE. Invoca la STC 136/1991 que declaró ajustado a la Constitución el Real Decreto 1945/1983, que hasta la Ley 28/2015 regulaba el régimen sancionador en materia de defensa del consumidor y producción agroalimentaria. De esta Sentencia deduce el Abogado del Estado que, la igualdad fundamental que debe concurrir en el ordenamiento sancionador, se refiere a todas las materias, incluida la calidad alimentaria.</w:t>
      </w:r>
    </w:p>
    <w:p w:rsidR="00A90898" w:rsidRDefault="00A90898" w:rsidP="00A90898">
      <w:pPr>
        <w:pStyle w:val="TextoNormal"/>
      </w:pPr>
    </w:p>
    <w:p w:rsidR="00A90898" w:rsidRDefault="00A90898" w:rsidP="00A90898">
      <w:pPr>
        <w:pStyle w:val="TextoNormal"/>
      </w:pPr>
      <w:r>
        <w:t>Añade que la materia sancionatoria, frente a lo que alega el recurso, no puede regularse en forma de principios generales cuando se refiere a una concreta materia sectorial. Cita la doctrina constitucional sobre el art. 25.1 CE que, como garantía material, conlleva que la norma punitiva permita predecir con suficiente certeza las conductas infractoras y sus sanciones.</w:t>
      </w:r>
    </w:p>
    <w:p w:rsidR="00A90898" w:rsidRDefault="00A90898" w:rsidP="00A90898">
      <w:pPr>
        <w:pStyle w:val="TextoNormal"/>
      </w:pPr>
    </w:p>
    <w:p w:rsidR="00A90898" w:rsidRDefault="00A90898" w:rsidP="00A90898">
      <w:pPr>
        <w:pStyle w:val="TextoNormal"/>
      </w:pPr>
      <w:r>
        <w:lastRenderedPageBreak/>
        <w:t>Afirma asimismo que el título III de la Ley 28/2015 contempla un régimen sancionador básico cuyo desarrollo normativo y ejecución compete a las Comunidades Autónomas, pero cuyo margen es limitado por la necesidad de evitar tratos desiguales. En todo caso, se establece un marco normativo unitario que admite matizaciones de las legislaciones autonómicas. Por ejemplo, se prevén cuantías máximas de las sanciones y se contemplan solo dos sanciones accesorias, con margen para otras.</w:t>
      </w:r>
    </w:p>
    <w:p w:rsidR="00A90898" w:rsidRDefault="00A90898" w:rsidP="00A90898">
      <w:pPr>
        <w:pStyle w:val="TextoNormal"/>
      </w:pPr>
    </w:p>
    <w:p w:rsidR="00A90898" w:rsidRDefault="00A90898" w:rsidP="00A90898">
      <w:pPr>
        <w:pStyle w:val="TextoNormal"/>
      </w:pPr>
      <w:r>
        <w:t>e) El Abogado del Estado comienza el análisis particularizado de los preceptos impugnados, a partir de la doctrina constitucional expuesta, con el examen del art. 12 de la Ley 28/2015. Afirma que este precepto responde al criterio doctrinal, pues su carácter abierto o de mínimo común denominador resulta de su tenor, ya que se remite, al referirse a los incumplimientos normativos considerados infracciones, a la normativa de las Administraciones competentes.</w:t>
      </w:r>
    </w:p>
    <w:p w:rsidR="00A90898" w:rsidRDefault="00A90898" w:rsidP="00A90898">
      <w:pPr>
        <w:pStyle w:val="TextoNormal"/>
      </w:pPr>
    </w:p>
    <w:p w:rsidR="00A90898" w:rsidRDefault="00A90898" w:rsidP="00A90898">
      <w:pPr>
        <w:pStyle w:val="TextoNormal"/>
      </w:pPr>
      <w:r>
        <w:t>En cuanto a los arts. 13, 14 y 15 de la Ley 28/2015, que tipifican las infracciones, su tenor literal presupone la competencia autonómica de ejecución y, aunque el objeto del recurso es más bien el plano normativo, entiende el Abogado del Estado que, dentro de la deseable unidad de tratamiento, también en éste se deja margen al legislador autonómico. La misma memoria de la Ley 28/2015 puso de manifiesto la existencia de leyes autonómicas reguladoras del régimen sancionador en materia de calidad agroalimentaria y señaló que la implantación de la Ley 28/2015 dependerá del grado de discrepancia con ellas. Por eso, varios apartados de los arts. 13, 14 y 15 de la Ley 28/2015 mencionan obligaciones legales, normativa de aplicación o reglamentos de aplicación que, dice esta parte procesal, serán del Estado o de las Comunidades Autónomas según el caso.</w:t>
      </w:r>
    </w:p>
    <w:p w:rsidR="00A90898" w:rsidRDefault="00A90898" w:rsidP="00A90898">
      <w:pPr>
        <w:pStyle w:val="TextoNormal"/>
      </w:pPr>
    </w:p>
    <w:p w:rsidR="00A90898" w:rsidRDefault="00A90898" w:rsidP="00A90898">
      <w:pPr>
        <w:pStyle w:val="TextoNormal"/>
      </w:pPr>
      <w:r>
        <w:t>f) Tampoco en el art. 16 de la Ley 28/2015 se aprecia la exhaustividad regulatoria denunciada. Según el Abogado del Estado, el precepto contiene concreciones de seguridad jurídica y de aplicación universal de los postulados del art. 25 CE, citado en el mismo artículo.</w:t>
      </w:r>
    </w:p>
    <w:p w:rsidR="00A90898" w:rsidRDefault="00A90898" w:rsidP="00A90898">
      <w:pPr>
        <w:pStyle w:val="TextoNormal"/>
      </w:pPr>
    </w:p>
    <w:p w:rsidR="00A90898" w:rsidRDefault="00A90898" w:rsidP="00A90898">
      <w:pPr>
        <w:pStyle w:val="TextoNormal"/>
      </w:pPr>
      <w:r>
        <w:t>g) Lo mismo se afirma respecto del art. 17 de la Ley 28/2015 cuyas prescripciones se consideran criterios o normas generales del régimen jurídico sancionador, derivadas de la Constitución, que muy difícilmente podrían configurarse legalmente de otro modo en el marco constitucional y en el de los principios rectores recogidos en el título IX LPC.</w:t>
      </w:r>
    </w:p>
    <w:p w:rsidR="00A90898" w:rsidRDefault="00A90898" w:rsidP="00A90898">
      <w:pPr>
        <w:pStyle w:val="TextoNormal"/>
      </w:pPr>
    </w:p>
    <w:p w:rsidR="00A90898" w:rsidRDefault="00A90898" w:rsidP="00A90898">
      <w:pPr>
        <w:pStyle w:val="TextoNormal"/>
      </w:pPr>
      <w:r>
        <w:t>h) La regulación de las multas coercitivas del art. 19 de la Ley 28/2015 se ajusta a la norma básica del art. 99.1 LPC. La declaración de compatibilidad con las sanciones del apartado 3 es propia de la naturaleza de estas multas y la limitación de cuantía del apartado 2 es lógica desde una perspectiva constitucional garantista. El artículo regula además un plazo mínimo para su aplicación que deja margen a la regulación autonómica para contemplar uno mayor.</w:t>
      </w:r>
    </w:p>
    <w:p w:rsidR="00A90898" w:rsidRDefault="00A90898" w:rsidP="00A90898">
      <w:pPr>
        <w:pStyle w:val="TextoNormal"/>
      </w:pPr>
    </w:p>
    <w:p w:rsidR="00A90898" w:rsidRDefault="00A90898" w:rsidP="00A90898">
      <w:pPr>
        <w:pStyle w:val="TextoNormal"/>
      </w:pPr>
      <w:r>
        <w:t>i) El art. 20.1 de la Ley 28/2015, que cuantifica las sanciones, deja también margen a las Comunidades Autónomas para sancionar dentro de la horquilla que establece y además, por las remisiones a normativa que puede ser autonómica que hacen los arts.13,14 y 15, cabría infracciones tipificadas por las Comunidades Autónomas respecto de las cuales podrían prever las correspondientes sanciones. Se reitera que algunas Comunidades tienen legislación propia.</w:t>
      </w:r>
    </w:p>
    <w:p w:rsidR="00A90898" w:rsidRDefault="00A90898" w:rsidP="00A90898">
      <w:pPr>
        <w:pStyle w:val="TextoNormal"/>
      </w:pPr>
    </w:p>
    <w:p w:rsidR="00A90898" w:rsidRDefault="00A90898" w:rsidP="00A90898">
      <w:pPr>
        <w:pStyle w:val="TextoNormal"/>
      </w:pPr>
      <w:r>
        <w:t>Tampoco es inconstitucional el artículo 20.2, relativo a las medidas accesorias, pues las prescritas son lógicas y por naturaleza esenciales para la protección del orden general dañado.</w:t>
      </w:r>
    </w:p>
    <w:p w:rsidR="00A90898" w:rsidRDefault="00A90898" w:rsidP="00A90898">
      <w:pPr>
        <w:pStyle w:val="TextoNormal"/>
      </w:pPr>
    </w:p>
    <w:p w:rsidR="00A90898" w:rsidRDefault="00A90898" w:rsidP="00A90898">
      <w:pPr>
        <w:pStyle w:val="TextoNormal"/>
      </w:pPr>
      <w:r>
        <w:t>j) El art. 22 de la Ley 28/2015, regula la publicidad de las sanciones como posibilidad que puede acordar la autoridad competente, que puede ser la autonómica. Es una medida que precisa un régimen jurídico uniforme circunscrito a las circunstancias de gravedad que pueden motivar la publicidad y los plazos y concretos datos personales objeto de la misma en su caso.</w:t>
      </w:r>
    </w:p>
    <w:p w:rsidR="00A90898" w:rsidRDefault="00A90898" w:rsidP="00A90898">
      <w:pPr>
        <w:pStyle w:val="TextoNormal"/>
      </w:pPr>
    </w:p>
    <w:p w:rsidR="00A90898" w:rsidRDefault="00A90898" w:rsidP="00A90898">
      <w:pPr>
        <w:pStyle w:val="TextoNormal"/>
      </w:pPr>
      <w:r>
        <w:t>k) Las sanciones accesorias del art. 23 de la Ley 28/2015 son una opción del legislador en aras de la protección del interés general y, una vez que se opta por imponerlas, el principio de tipicidad exige un estricto detalle en la regulación de sus elementos mínimos imprescindibles.</w:t>
      </w:r>
    </w:p>
    <w:p w:rsidR="00A90898" w:rsidRDefault="00A90898" w:rsidP="00A90898">
      <w:pPr>
        <w:pStyle w:val="TextoNormal"/>
      </w:pPr>
    </w:p>
    <w:p w:rsidR="00A90898" w:rsidRDefault="00A90898" w:rsidP="00A90898">
      <w:pPr>
        <w:pStyle w:val="TextoNormal"/>
      </w:pPr>
      <w:r>
        <w:t>l) La regulación de la prescripción y caducidad de los apartados impugnados del art. 24 de la Ley 28/2015, por su naturaleza, exige un alto grado de uniformidad y concreción siendo un aspecto nuclear del régimen sancionador. La regla de cómputo de plazos del apartado 2 no puede variar sustancialmente desde la perspectiva de las garantías del presunto responsable. Además, el art. 24 de la Ley 28/2015, se remite al art. 132 LPC, norma básica indiscutida. También el apartado 5 responde a la idea de configuración uniforme en aras de la seguridad jurídica del afectado.</w:t>
      </w:r>
    </w:p>
    <w:p w:rsidR="00A90898" w:rsidRDefault="00A90898" w:rsidP="00A90898">
      <w:pPr>
        <w:pStyle w:val="TextoNormal"/>
      </w:pPr>
    </w:p>
    <w:p w:rsidR="00A90898" w:rsidRDefault="00A90898" w:rsidP="00A90898">
      <w:pPr>
        <w:pStyle w:val="TextoNormal"/>
      </w:pPr>
      <w:r>
        <w:t>m) La disposición adicional primera de la Ley 28/2015 responde a la misma estructura y configuración básica de los arts. 13, 14 y 15, dejando margen a la legislación autonómica como resulta de su tenor en varios apartados. Las sanciones también se disponen en una horquilla dentro de la que puede moverse la legislación autonómica si no se genera desigualdad irrazonable. Las sanciones accesorias del apartado 6, son medidas lógicas en aras del interés general.</w:t>
      </w:r>
    </w:p>
    <w:p w:rsidR="00A90898" w:rsidRDefault="00A90898" w:rsidP="00A90898">
      <w:pPr>
        <w:pStyle w:val="TextoNormal"/>
      </w:pPr>
    </w:p>
    <w:p w:rsidR="00A90898" w:rsidRDefault="00A90898" w:rsidP="00A90898">
      <w:pPr>
        <w:pStyle w:val="TextoNormal"/>
      </w:pPr>
      <w:r>
        <w:t>n) Finalmente, dice que la disposición transitoria única de la Ley 28/2015, es lógica en su contenido.</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19 de julio de 2016 se señaló para deliberación y votación de la presente Sentencia el día 21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proceso constitucional tiene por objeto resolver el recurso de inconstitucionalidad interpuesto por la Generalitat de Cataluña contra los arts. 12.1 y 2; 13; 14; 15; 17.1; 19.1 y 2; 20; 22; 23.1 y 2; 24.1, 2, 4 y 5; disposición adicional primera; disposición transitoria única y disposición final quinta de la Ley 28/2015, de 30 de julio, para la defensa de la calidad alimentaria.</w:t>
      </w:r>
    </w:p>
    <w:p w:rsidR="00A90898" w:rsidRDefault="00A90898" w:rsidP="00A90898">
      <w:pPr>
        <w:pStyle w:val="TextoNormal"/>
      </w:pPr>
    </w:p>
    <w:p w:rsidR="00A90898" w:rsidRDefault="00A90898" w:rsidP="00A90898">
      <w:pPr>
        <w:pStyle w:val="TextoNormal"/>
      </w:pPr>
      <w:r>
        <w:t xml:space="preserve">La Comunidad Autónoma recurrente, en los términos indicados en los antecedentes, considera en síntesis que los preceptos impugnados de la Ley 28/2015 exceden la competencia </w:t>
      </w:r>
      <w:r>
        <w:lastRenderedPageBreak/>
        <w:t xml:space="preserve">exclusiva sobre bases y coordinación de la planificación general de la actividad económica que corresponde al Estado </w:t>
      </w:r>
      <w:r w:rsidRPr="00A90898">
        <w:rPr>
          <w:i/>
        </w:rPr>
        <w:t>ex</w:t>
      </w:r>
      <w:r>
        <w:t xml:space="preserve"> art. 149.1.13 CE en materia de calidad alimentaria y, al regular de forma exhaustiva y completa el régimen sancionador en esta materia, invaden la competencia exclusiva que en materia de agricultura, sub-materia sector agroalimentario, le atribuye el art. 116 del Estatuto de Autonomía de Cataluña (EAC).</w:t>
      </w:r>
    </w:p>
    <w:p w:rsidR="00A90898" w:rsidRDefault="00A90898" w:rsidP="00A90898">
      <w:pPr>
        <w:pStyle w:val="TextoNormal"/>
      </w:pPr>
    </w:p>
    <w:p w:rsidR="00A90898" w:rsidRDefault="00A90898" w:rsidP="00A90898">
      <w:pPr>
        <w:pStyle w:val="TextoNormal"/>
      </w:pPr>
      <w:r>
        <w:t>El Abogado del Estado rechaza la vulneración denunciada y considera que la Ley 28/2015 encuentra adecuado fundamento en el art. 149.1.13 CE y en la doctrina constitucional, puesto que trata de garantizar una unidad de mercado real en el sector de la alimentación y bebidas, en lo que se refiere al sistema de control y sancionador.</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abordar el examen de fondo de la controversia suscitada, y con el fin de delimitar adecuadamente su objeto, interesa destacar que todos los preceptos impugnados, incluidas la disposición adicional, la transitoria y la final recurridas, lo son por su inclusión en el régimen sancionador regulado en la Ley 28/2015, o por su relación con dicho régimen.</w:t>
      </w:r>
    </w:p>
    <w:p w:rsidR="00A90898" w:rsidRDefault="00A90898" w:rsidP="00A90898">
      <w:pPr>
        <w:pStyle w:val="TextoNormal"/>
      </w:pPr>
    </w:p>
    <w:p w:rsidR="00A90898" w:rsidRDefault="00A90898" w:rsidP="00A90898">
      <w:pPr>
        <w:pStyle w:val="TextoNormal"/>
      </w:pPr>
      <w:r>
        <w:t>Por tanto, aunque la Ley 28/2015 tiene un objeto más amplio, pues pretende, como dice su art. 1: “establecer la regulación básica en materia de defensa de la calidad alimentaria, incluyendo el régimen sancionador”, solo se cuestiona la constitucionalidad de este último. No se pone pues en duda que el Estado, al amparo del art. 149.1.13 CE, que se invoca como título de cobertura de la totalidad de la Ley, pueda dictar las normas sustantivas en relación a los “sistemas de control de la calidad alimentaria” de su título II, que incluyen el control oficial realizado por las autoridades competentes y el autocontrol a realizar por los operadores, con previsiones relativas a las actuaciones de inspección (art. 7), obligaciones de los interesados (art. 8), medidas cautelares (art. 9), autocontrol y trazabilidad (art. 10), y comprobación del autocontrol del operador en cadena alimentaria (art. 11). Tampoco se cuestionan las normas incluidas en el título IV de la Ley 28/2015 sobre cooperación entre Administraciones, ni el resto de disposiciones adicionales y finales de la Ley. El contenido esencial de estas normas, en lo que respecta al control oficial, se dirige a reforzar la función de inspección, que se realizará por funcionarios públicos (a los que se reconoce la condición de agentes de la autoridad) regulando sus atribuciones (entre ellas, la posible adopción de medidas cautelares como la inmovilización de productos y el cierre temporal de instalaciones) y la obligación de colaboración de los afectados. En cuanto al autocontrol, se concreta su contenido mínimo (que exige la existencia de procedimientos documentados de los procesos, plan de muestreo y análisis y procedimiento de trazabilidad) y se enumeran los requisitos que han de cumplir las entidades de inspección o certificación.</w:t>
      </w:r>
    </w:p>
    <w:p w:rsidR="00A90898" w:rsidRDefault="00A90898" w:rsidP="00A90898">
      <w:pPr>
        <w:pStyle w:val="TextoNormal"/>
      </w:pPr>
    </w:p>
    <w:p w:rsidR="00A90898" w:rsidRDefault="00A90898" w:rsidP="00A90898">
      <w:pPr>
        <w:pStyle w:val="TextoNormal"/>
      </w:pPr>
      <w:r>
        <w:t xml:space="preserve">Asimismo, los argumentos que se esgrimen para fundar la inconstitucionalidad de los preceptos impugnados no se refieren a una hipotética falta de conexión entre el régimen sancionador y la regulación sustantiva no recurrida, aspecto al que no se hace alusión concreta alguna, sino a la exhaustividad en la regulación de dicho régimen que, se dice, es tal, que vacía la competencia autonómica </w:t>
      </w:r>
      <w:r w:rsidRPr="00A90898">
        <w:rPr>
          <w:i/>
        </w:rPr>
        <w:t>ex</w:t>
      </w:r>
      <w:r>
        <w:t xml:space="preserve"> art. 116 EAC, al no dejar a la Generalitat margen alguno para dictar su propia normativa sancionadora (que el mismo recurso reconoce que ya existe y está recogida en la Ley autonómica 14/2003). Únicamente se esgrime una supuesta falta de conexión del régimen sancionador con los fines de la Ley, que se analizará más adelante.</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Expuesto lo anterior, estamos ya en condiciones de enmarcar la cuestión planteada en la doctrina constitucional relativa a los títulos competenciales supuestamente vulnerados.</w:t>
      </w:r>
    </w:p>
    <w:p w:rsidR="00A90898" w:rsidRDefault="00A90898" w:rsidP="00A90898">
      <w:pPr>
        <w:pStyle w:val="TextoNormal"/>
      </w:pPr>
    </w:p>
    <w:p w:rsidR="00A90898" w:rsidRDefault="00A90898" w:rsidP="00A90898">
      <w:pPr>
        <w:pStyle w:val="TextoNormal"/>
      </w:pPr>
      <w:r>
        <w:t>Puesto que los preceptos impugnados son de naturaleza sancionadora, hemos de partir de nuestra doctrina en relación con estas normas, en la que hemos reiterado (STC 130/2013, de 4 de junio, FJ 13): “la conexión existente entre la competencia sobre la materia específica de que se trate y la competencia para establecer el régimen sancionador propio de dicha materia. De esta manera, la competencia del Estado para regular el régimen sancionador en una materia determinada tendrá el alcance que tenga su competencia normativa —básica o de legislación plena— en dicha materia. Correlativamente, ‘las Comunidades Autónomas pueden adoptar normas administrativas sancionadoras cuando, teniendo competencia sobre la materia sustantiva de que se trate, tales disposiciones se acomoden a las garantías constitucionales dispuestas en este ámbito del derecho sancionador (art. 25.1 CE, básicamente), y no introduzcan divergencias irrazonables y desproporcionadas al fin perseguido respecto del régimen jurídico aplicable en otras partes del territorio (art. 149.1.1)’ (STC 87/1985, de 16 de julio, FJ 8)”.</w:t>
      </w:r>
    </w:p>
    <w:p w:rsidR="00A90898" w:rsidRDefault="00A90898" w:rsidP="00A90898">
      <w:pPr>
        <w:pStyle w:val="TextoNormal"/>
      </w:pPr>
    </w:p>
    <w:p w:rsidR="00A90898" w:rsidRDefault="00A90898" w:rsidP="00A90898">
      <w:pPr>
        <w:pStyle w:val="TextoNormal"/>
      </w:pPr>
      <w:r>
        <w:t>De forma similar, ya en la STC 82/2013, de 11 de abril, FJ 6, con cita de la STC 34/2013 afirmamos que “como regla general, la competencia para establecer un régimen de infracciones y sanciones administrativas en una materia determinada corresponde a quien la tiene para regularla sustantivamente, de modo que, en la medida en que los fundamentos jurídicos previos hemos reconocido la capacidad del Estado para dictar normas básicas sustantivas en virtud del art. 149.1.13 CE sobre el sector vitivinícola, ello conduce a reconocer que el propio Estado pueda dictar normas básicas sancionadoras en esa materia. Así, en el terreno sancionador es posible declarar básicos preceptos que tipifiquen concretas infracciones y les asignen las correspondientes sanciones, de modo que sean directamente aplicables por el órgano al que corresponda la ejecución”.</w:t>
      </w:r>
    </w:p>
    <w:p w:rsidR="00A90898" w:rsidRDefault="00A90898" w:rsidP="00A90898">
      <w:pPr>
        <w:pStyle w:val="TextoNormal"/>
      </w:pPr>
    </w:p>
    <w:p w:rsidR="00A90898" w:rsidRDefault="00A90898" w:rsidP="00A90898">
      <w:pPr>
        <w:pStyle w:val="TextoNormal"/>
      </w:pPr>
      <w:r>
        <w:t xml:space="preserve">Por tanto, y dado que, en el presente supuesto, el título estatal que da cobertura a la regulación sustantiva de la Ley 28/2015 es el del art. 149.1.13 CE, la competencia del Estado para regular el régimen sancionador en la materia, tendrá el alcance que resulta de este título competencial. Esta regla competencial ha sido objeto de una exhaustiva interpretación por este Tribunal, habiendo fijado una doctrina que, de forma resumida, se recoge, entre otras, en la STC 6/2014, de 7 de junio, FJ 4.a) en donde afirmamos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de 10 de junio, y 213/1994, de 14 de julio) …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También lo es, sin embargo, que dichas facultades de supervisión no pueden suponer en ningún caso que se desfigure un reparto constitucional y estatutario de competencias en el que las Comunidades Autónomas han recibido importantes responsabilidades en materia económica. Como tantas veces ocurre, y es aún más cierto en estas materias conectadas con la existencia de una mercado único en el que todos los factores del mismo están fuertemente interrelacionados, el diseño del texto constitucional propugna un equilibrio entre los diferentes sujetos constitucionales en presencia, que deberán repartirse </w:t>
      </w:r>
      <w:r>
        <w:lastRenderedPageBreak/>
        <w:t>facultades sin en ningún caso anular a los otros y teniendo siempre presente la necesidad de cooperación entre ellos”.</w:t>
      </w:r>
    </w:p>
    <w:p w:rsidR="00A90898" w:rsidRDefault="00A90898" w:rsidP="00A90898">
      <w:pPr>
        <w:pStyle w:val="TextoNormal"/>
      </w:pPr>
    </w:p>
    <w:p w:rsidR="00A90898" w:rsidRDefault="00A90898" w:rsidP="00A90898">
      <w:pPr>
        <w:pStyle w:val="TextoNormal"/>
      </w:pPr>
      <w:r>
        <w:t>En todo caso, y como recuerda la STC 5/2016, de 21 de enero, FJ 4: “también hemos advertido que el art. 149.1.13 CE exige una lectura restrictiva, puesto que una excesivamente amplia podría constreñir e incluso vaciar las competencias sectoriales legítimas de las Comunidades Autónomas (SSTC 29/1986, FJ 4; y 141/2014). Así, no toda medida por el mero hecho de tener una incidencia económica puede incardinarse en este título; es preciso que tenga ‘una incidencia directa y significativa sobre la actividad económica general’”. En este sentido,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(STC 147/1991, de 4 de julio, FJ 4).</w:t>
      </w:r>
    </w:p>
    <w:p w:rsidR="00A90898" w:rsidRDefault="00A90898" w:rsidP="00A90898">
      <w:pPr>
        <w:pStyle w:val="TextoNormal"/>
      </w:pPr>
    </w:p>
    <w:p w:rsidR="00A90898" w:rsidRDefault="00A90898" w:rsidP="00A90898">
      <w:pPr>
        <w:pStyle w:val="TextoNormal"/>
      </w:pPr>
      <w:r>
        <w:t>Por lo que se refiere, en concreto, al ámbito material ahora controvertido, hemos señalado que en el sector agropecuario, como en cualquier otro sector económico, “corresponde al Estado, en virtud de su competencia de ordenación general de la economía, establecer las directrices globales de ordenación y regulación del mercado agropecuario nacional …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ganadería propias no supongan interferencia negativa o distorsión de la ordenación general establecida por el Estado, sino más bien que sean coadyuvantes o inocuas para esta ordenación estatal. (STC 158/2011, de 19 de octubre, FJ 8, con cita de la STC 14/1989, de 26 de enero, FJ 3)” [STC 6/2014, de 7 de junio, FJ 5 a)].</w:t>
      </w:r>
    </w:p>
    <w:p w:rsidR="00A90898" w:rsidRDefault="00A90898" w:rsidP="00A90898">
      <w:pPr>
        <w:pStyle w:val="TextoNormal"/>
      </w:pPr>
    </w:p>
    <w:p w:rsidR="00A90898" w:rsidRDefault="00A90898" w:rsidP="00A90898">
      <w:pPr>
        <w:pStyle w:val="TextoNormal"/>
      </w:pPr>
      <w:r>
        <w:t xml:space="preserve">Por su parte, la competencia autonómica exclusiva sobre agricultura y ganadería, en el subsector agroalimentario, se recoge en el art. 116 EAC, a cuyo tenor corresponde a esta Comunidad Autónoma la competencia exclusiva en materia de agricultura y ganadería, “respetando lo establecido por el Estado en el ejercicio de las competencias que le atribuye el art. 149.1.13 y 16 de la Constitución”; esta competencia incluye, entre otras facetas, la “regulación y el desarrollo de la agricultura, la ganadería y el sector agroalimentario” (apartado a); y “la regulación y la ejecución sobre la calidad, trazabilidad y las condiciones de los productos agrícolas y ganaderos, así como la lucha contra los fraudes en el ámbito de la producción y la comercialización agroalimentarias” (apartado b). Esta competencia, como ya dijimos en la STC 85/2015, de 30 de abril, FJ 2, debe ser entendida respetando las competencias exclusivas del Estado </w:t>
      </w:r>
      <w:r w:rsidRPr="00A90898">
        <w:rPr>
          <w:i/>
        </w:rPr>
        <w:t>ex</w:t>
      </w:r>
      <w:r>
        <w:t xml:space="preserve"> art. 149.1.13 y 16 CE como declaró la STC 31/2010, de 28 de junio, FFJJ 59 y 64.</w:t>
      </w:r>
    </w:p>
    <w:p w:rsidR="00A90898" w:rsidRDefault="00A90898" w:rsidP="00A90898">
      <w:pPr>
        <w:pStyle w:val="TextoNormal"/>
      </w:pPr>
    </w:p>
    <w:p w:rsidR="00A90898" w:rsidRDefault="00A90898" w:rsidP="00A90898">
      <w:pPr>
        <w:pStyle w:val="TextoNormal"/>
      </w:pPr>
      <w:r w:rsidRPr="00A90898">
        <w:rPr>
          <w:rStyle w:val="NumeroAFNegritaCaracter"/>
        </w:rPr>
        <w:t>4</w:t>
      </w:r>
      <w:r>
        <w:t>. A partir de lo dicho, como ya se ha señalado, la recurrente no cuestiona la competencia del Estado para dictar normas básicas de ordenación global en materia de calidad alimentaria al amparo del art. 149.1.13 CE. Tampoco cuestiona que tengan este carácter los preceptos sustantivos relativos a las funciones de inspección en este ámbito, los sistemas de autocontrol que deben articular los operadores y las entidades de inspección y certificación. Lo que discute es que, al amparo de dicho título competencial, se pueda establecer un régimen sancionador que la actora califica de “completo y cerrado”.</w:t>
      </w:r>
    </w:p>
    <w:p w:rsidR="00A90898" w:rsidRDefault="00A90898" w:rsidP="00A90898">
      <w:pPr>
        <w:pStyle w:val="TextoNormal"/>
      </w:pPr>
    </w:p>
    <w:p w:rsidR="00A90898" w:rsidRDefault="00A90898" w:rsidP="00A90898">
      <w:pPr>
        <w:pStyle w:val="TextoNormal"/>
      </w:pPr>
      <w:r>
        <w:t>Así enmarcado el debate, resulta claro que el mismo tiene una naturaleza exclusivamente competencial, por lo que hemos de examinar si el contenido de los preceptos impugnados tiene, desde una perspectiva material, la consideración de medida básica de ordenación general del sector agroalimentario, pues, conforme a la doctrina constitucional expuesta, si el Estado tiene competencia para dictar normas básicas sustantivas en el sector de la calidad alimentaria, la tiene también para dictar normas básicas sancionadoras, Ello nos obliga a examinar si las normas sancionadoras recurridas tienen este carácter básico y, por tanto, pueden considerarse, en el ámbito sancionador en el que se incardinan, líneas directrices o criterios globales mínimos a partir de los fines que inspiran la ordenación sustantiva básica del sector.</w:t>
      </w:r>
    </w:p>
    <w:p w:rsidR="00A90898" w:rsidRDefault="00A90898" w:rsidP="00A90898">
      <w:pPr>
        <w:pStyle w:val="TextoNormal"/>
      </w:pPr>
    </w:p>
    <w:p w:rsidR="00A90898" w:rsidRDefault="00A90898" w:rsidP="00A90898">
      <w:pPr>
        <w:pStyle w:val="TextoNormal"/>
      </w:pPr>
      <w:r>
        <w:t>Al analizar los fines de la Ley, lo primero que se ha de señalar es que, tanto las normas sustantivas como el régimen sancionador incluido en la Ley 28/2015 objeto de este recurso, pretenden, como dice el mismo art. 1 de la Ley 28/2015, “dar cumplimiento a la obligación establecida en el art. 55 del Reglamento (CE) núm. 882/2004, del Parlamento Europeo y del Consejo, de 29 de abril de 2004, sobre los controles oficiales efectuados para garantizar la verificación del cumplimiento de la legislación en materia de piensos y alimentos y la normativa sobre salud animal y bienestar de los animales…”. Este Reglamento, a su vez, como dice su art. 1: “… establece normas generales para la realización de controles oficiales a fin de comprobar el cumplimiento de las normas orientadas en particular a: a) prevenir, eliminar o reducir a niveles aceptables los riesgos que amenazan directamente o a través del medio ambiente a las personas y los animales; b) garantizar prácticas equitativas en el comercio de piensos y alimentos y proteger los intereses de los consumidores, incluidos el etiquetado de piensos y alimentos y otras modalidades de información al consumidor” y, en su art. 55, dispone que “los Estados miembros establecerán las normas sobre las sanciones aplicables a las infracciones de la legislación en materia de piensos y alimentos y de otras disposiciones comunitarias sobre la protección de la salud animal y el bienestar de los animales y tomarán todas las medidas necesarias para garantizar su aplicación. Las sanciones establecidas deberán ser eficaces, proporcionadas y disuasorias”. El preámbulo del Reglamento 882/2004 parte así, como consideraciones iniciales, de la premisa de que “los piensos y los alimentos deben ser seguros y salubres” y de que “los Estados miembros deben velar porque se cumplan la legislación sobre piensos y alimentos…y hacer el correspondiente seguimiento” de forma que “para ello deben organizarse controles oficiales”.</w:t>
      </w:r>
    </w:p>
    <w:p w:rsidR="00A90898" w:rsidRDefault="00A90898" w:rsidP="00A90898">
      <w:pPr>
        <w:pStyle w:val="TextoNormal"/>
      </w:pPr>
    </w:p>
    <w:p w:rsidR="00A90898" w:rsidRDefault="00A90898" w:rsidP="00A90898">
      <w:pPr>
        <w:pStyle w:val="TextoNormal"/>
      </w:pPr>
      <w:r>
        <w:t xml:space="preserve">Por su parte, el preámbulo de la Ley 28/2015 concreta sus fines destacando la trascendencia del sector alimentario “en términos sociales, económicos y medio ambientales” y su “carácter estratégico, tanto en España como en toda la Unión Europea”. Alude, en cuanto al régimen sancionador, a sus antecedentes legislativos, contenidos en el Real Decreto 1945/1983, de 22 de junio, parte de cuyo objeto inicial (como las infracciones sanitarias) se encuentra hoy regulado en otras normas, y señala que “en aras de la seguridad jurídica y debido a la necesidad de un nuevo marco sancionador con valor y efectividad actual, así como la necesidad de establecer un marco normativo unitario que sea de aplicación a todo el territorio nacional y asegure un tratamiento uniforme a todos los operadores incluidos en el ámbito de aplicación se ha considerado necesario elaborar la presente ley”. También menciona la unidad de mercado y las libertades de establecimiento y circulación así como la existencia de “múltiples y dispares normas autonómicas”, por lo que dice: “articula un sistema armónico que viene a constituir un mínimo denominador común en que quepan los </w:t>
      </w:r>
      <w:r>
        <w:lastRenderedPageBreak/>
        <w:t>diferentes intereses respectivos en la materia en cada una de las comunidades autónomas” y “transita en la senda de la homogeneización en el trato de las empresas alimentarias en todo el territorio español desde el punto de vista del control de claridad y de la aplicación del régimen sancionador”.</w:t>
      </w:r>
    </w:p>
    <w:p w:rsidR="00A90898" w:rsidRDefault="00A90898" w:rsidP="00A90898">
      <w:pPr>
        <w:pStyle w:val="TextoNormal"/>
      </w:pPr>
    </w:p>
    <w:p w:rsidR="00A90898" w:rsidRDefault="00A90898" w:rsidP="00A90898">
      <w:pPr>
        <w:pStyle w:val="TextoNormal"/>
      </w:pPr>
      <w:r>
        <w:t>A tales efectos, el art. 3 de la Ley 28/2015 recoge, como fines de la Ley, los siguientes: “a) Contribuir a generar un alto nivel de confianza en los productos alimenticios mediante los necesarios procedimientos para defender su calidad; b) Proporcionar condiciones leales en el marco de su actividad entre los operadores de la cadena alimentaria; c) Proteger los derechos de los operadores de la industria alimentaria y de los consumidores, garantizando el cumplimiento del principio general de veracidad y demostrabilidad de la información que figure en el etiquetado de los productos alimenticios; d) Contribuir a la unidad de mercado y a la competitividad, además de a la transparencia y claridad del sector alimentario español; e) Garantizar la coordinación del control ejercido sobre la calidad alimentaria por las autoridades competentes; f) Vigilar que los procesos de elaboración y transformación de los productos alimenticios se ajusten a la normativa vigente en la Unión Europea; g) Establecer la necesaria colaboración con la industria alimentaria para abordar cuestiones que afecten a los objetivos de esta ley”.</w:t>
      </w:r>
    </w:p>
    <w:p w:rsidR="00A90898" w:rsidRDefault="00A90898" w:rsidP="00A90898">
      <w:pPr>
        <w:pStyle w:val="TextoNormal"/>
      </w:pPr>
    </w:p>
    <w:p w:rsidR="00A90898" w:rsidRDefault="00A90898" w:rsidP="00A90898">
      <w:pPr>
        <w:pStyle w:val="TextoNormal"/>
      </w:pPr>
      <w:r>
        <w:t>La recurrente considera que existe una discordancia entre los fines de la Ley 28/2015 que acabamos de transcribir y la supuesta necesidad de regular un régimen sancionador uniforme para todo el Estado en materia de calidad alimentaria, al que se refiere aquí en términos generales. Abordando la cuestión en estos mismos términos, cabe afirmar, sin embargo, que el establecimiento de un régimen sancionador básico puede ser un instrumento relevante para la consecución de los objetivos señalados en un sector, como el alimentario, de incidencia significativa sobre la actividad económica general.</w:t>
      </w:r>
    </w:p>
    <w:p w:rsidR="00A90898" w:rsidRDefault="00A90898" w:rsidP="00A90898">
      <w:pPr>
        <w:pStyle w:val="TextoNormal"/>
      </w:pPr>
    </w:p>
    <w:p w:rsidR="00A90898" w:rsidRDefault="00A90898" w:rsidP="00A90898">
      <w:pPr>
        <w:pStyle w:val="TextoNormal"/>
      </w:pPr>
      <w:r>
        <w:t>En relación con el cumplimiento de las obligaciones de Derecho comunitario, hemos declarado (por ejemplo, en la STC 58/2015, de 18 de marzo, FJ 2) que “el reparto interno de competencias no viene prejuzgado por el Derecho comunitario europeo que, salvo excepción, reconoce a los Estados miembros plena autonomía para ordenar la organización interna y el procedimiento destinado al desarrollo y ejecución del Derecho europeo conforme a las propias normas nacionales”. Ello no supone desconocer que cuando, como en este caso, en el marco de un Reglamento de la Unión Europea, se trata de reducir a niveles aceptables los riesgos asociados a la comercialización de piensos y alimentos, estableciendo un sistema de controles oficiales, reforzado con un sistema de sanciones, la configuración de ese sistema sancionador a nivel nacional, a partir de unas bases o líneas directrices comunes, podrá contribuir a la consecución de los objetivos propuestos.</w:t>
      </w:r>
    </w:p>
    <w:p w:rsidR="00A90898" w:rsidRDefault="00A90898" w:rsidP="00A90898">
      <w:pPr>
        <w:pStyle w:val="TextoNormal"/>
      </w:pPr>
    </w:p>
    <w:p w:rsidR="00A90898" w:rsidRDefault="00A90898" w:rsidP="00A90898">
      <w:pPr>
        <w:pStyle w:val="TextoNormal"/>
      </w:pPr>
      <w:r>
        <w:t>Cabe señalar que, en las SSTC 87/1985 y 136/1991, en las que enjuiciamos la constitucionalidad de normas sancionadoras autonómicas por recoger sanciones distintas de las previstas en el Real Decreto 1945/1983, de 22 de junio (antecedente normativo del régimen sancionador ahora cuestionado), partimos ya de la existencia de un régimen sancionador unitario estatal en materia agroalimentaria, aunque no nos pronunciáramos expresamente sobre su cobertura competencial. Así, en el fundamento jurídico 1 de la STC 136/1991, dijimos que el art. 149.1.1 CE, como “límite a la normación sancionadora autonómica”, implica que, aunque la legislación autonómica “pueda modular tipos y sanciones, al hacerlo no debe romper la unidad fundamental del esquema sancionatorio”.</w:t>
      </w:r>
    </w:p>
    <w:p w:rsidR="00A90898" w:rsidRDefault="00A90898" w:rsidP="00A90898">
      <w:pPr>
        <w:pStyle w:val="TextoNormal"/>
      </w:pPr>
    </w:p>
    <w:p w:rsidR="00A90898" w:rsidRDefault="00A90898" w:rsidP="00A90898">
      <w:pPr>
        <w:pStyle w:val="TextoNormal"/>
      </w:pPr>
      <w:r>
        <w:t xml:space="preserve">Las consideraciones anteriores apuntan a que no cabe excluir </w:t>
      </w:r>
      <w:r w:rsidRPr="00A90898">
        <w:rPr>
          <w:i/>
        </w:rPr>
        <w:t>a priori</w:t>
      </w:r>
      <w:r>
        <w:t xml:space="preserve"> la aprobación por el Estado de normas sancionadoras básicas en el ámbito que nos ocupa. De hecho, la propia recurrente admite implícitamente esta posibilidad pues, aunque impugna la mayoría de los preceptos de la Ley 28/2015 incluidos en el título III sobre “régimen sancionador”, no recurre todos ellos. Así, no se recurren: el artículo 16 sobre “concurrencia de infracciones”; el artículo 17, apartados 2 a 7 sobre “responsabilidad por las infracciones”; el artículo 18 sobre “medidas complementarias”; ni el artículo 21 sobre “graduación de las sanciones”.</w:t>
      </w:r>
    </w:p>
    <w:p w:rsidR="00A90898" w:rsidRDefault="00A90898" w:rsidP="00A90898">
      <w:pPr>
        <w:pStyle w:val="TextoNormal"/>
      </w:pPr>
    </w:p>
    <w:p w:rsidR="00A90898" w:rsidRDefault="00A90898" w:rsidP="00A90898">
      <w:pPr>
        <w:pStyle w:val="TextoNormal"/>
      </w:pPr>
      <w:r>
        <w:t>Ahora bien, cuestión distinta es si el concreto régimen sancionador unitario, diseñado en los preceptos impugnados en este recurso, tiene o no materialmente la condición de básico y, por lo tanto, si invade o no las competencias autonómicas. Ello nos obliga a examinar los artículos recurridos al hilo de los argumentos esgrimidos por la parte recurrente.</w:t>
      </w:r>
    </w:p>
    <w:p w:rsidR="00A90898" w:rsidRDefault="00A90898" w:rsidP="00A90898">
      <w:pPr>
        <w:pStyle w:val="TextoNormal"/>
      </w:pPr>
    </w:p>
    <w:p w:rsidR="00A90898" w:rsidRDefault="00A90898" w:rsidP="00A90898">
      <w:pPr>
        <w:pStyle w:val="TextoNormal"/>
      </w:pPr>
      <w:r w:rsidRPr="00A90898">
        <w:rPr>
          <w:rStyle w:val="NumeroAFNegritaCaracter"/>
        </w:rPr>
        <w:t>5</w:t>
      </w:r>
      <w:r>
        <w:t>. Procede pues analizar los argumentos esgrimidos frente a los concretos artículos recurridos, comenzando por los arts. 12,1 y 2; 13; 14; 15 y 17.1 de la Ley 28/2015 cuya impugnación puede resolverse conjuntamente.</w:t>
      </w:r>
    </w:p>
    <w:p w:rsidR="00A90898" w:rsidRDefault="00A90898" w:rsidP="00A90898">
      <w:pPr>
        <w:pStyle w:val="TextoNormal"/>
      </w:pPr>
    </w:p>
    <w:p w:rsidR="00A90898" w:rsidRDefault="00A90898" w:rsidP="00A90898">
      <w:pPr>
        <w:pStyle w:val="TextoNormal"/>
      </w:pPr>
      <w:r>
        <w:t>En aras de la claridad del análisis, examinaremos primero los arts. 13, 14 y 15 de la Ley 28/2015 que enumeran las infracciones leves, graves y muy graves. A juicio de la recurrente, estos preceptos tienen, en conjunto, un contenido exhaustivo y cerrado, por lo que no admiten un desarrollo legislativo ulterior por la Comunidad Autónoma. Frente a ello, el Abogado del Estado esgrime las frecuentes remisiones que los preceptos realizan a la normativa o reglamentos de aplicación, lo que, a su juicio, conlleva el reconocimiento de las competencias autonómicas de desarrollo. Ambas partes plantean el debate en términos globales, sin deslindar o analizar separadamente las distintas infracciones que estos preceptos tipifican, en función de su mayor o menor conexión con la regulación sustantiva recogida en la Ley aunque ello sea un aspecto importante a tener en cuenta, dada la instrumentalidad de la competencia sancionadora.</w:t>
      </w:r>
    </w:p>
    <w:p w:rsidR="00A90898" w:rsidRDefault="00A90898" w:rsidP="00A90898">
      <w:pPr>
        <w:pStyle w:val="TextoNormal"/>
      </w:pPr>
    </w:p>
    <w:p w:rsidR="00A90898" w:rsidRDefault="00A90898" w:rsidP="00A90898">
      <w:pPr>
        <w:pStyle w:val="TextoNormal"/>
      </w:pPr>
      <w:r>
        <w:t>A partir de esta premisa, y sin que sea necesario reproducir ahora los preceptos citados, dada su extensión, su lectura revela un contenido ciertamente exhaustivo, completo y cerrado en la regulación del régimen sancionador en materia de calidad agroalimentaria y, al mismo tiempo, omnicomprensivo, pues permite que, en cada una de las infracciones tipificadas, tengan cabida numerosos incumplimientos normativos.</w:t>
      </w:r>
    </w:p>
    <w:p w:rsidR="00A90898" w:rsidRDefault="00A90898" w:rsidP="00A90898">
      <w:pPr>
        <w:pStyle w:val="TextoNormal"/>
      </w:pPr>
    </w:p>
    <w:p w:rsidR="00A90898" w:rsidRDefault="00A90898" w:rsidP="00A90898">
      <w:pPr>
        <w:pStyle w:val="TextoNormal"/>
      </w:pPr>
      <w:r>
        <w:t>El artículo 13, enumera las infracciones que el legislador estatal considera leves y relaciona doce categorías de comportamientos que abarcan, desde la ausencia en el establecimiento de certificados o documentos obligatorios, hasta la aplicación de tratamientos o procesos de forma distinta a la dispuesta en la normativa, pasando por simples irregularidades en la observaciones de obligaciones prescritas en las normas sobre la materia. El artículo 14, por su parte, que tipifica las infracciones graves, cuenta con 25 apartados que incluyen, desde el ejercicio sin autorización de actividades relacionadas con todas las etapas del proceso de elaboración y comercialización de productos alimenticios, hasta la falta de inscripción de productos cuando sea legalmente exigible; inexactitudes y omisiones documentales varias; fraudes en las características de los productos; deficiencias en el etiquetaje; inexactitudes en la información, etc. El artículo 15, tipifica las infracciones muy graves, principal</w:t>
      </w:r>
      <w:r>
        <w:lastRenderedPageBreak/>
        <w:t>mente a partir de las infracciones graves cuya calificación se agrava en función de los perjuicios u otras circunstancias, añadiendo infracciones adicionales, concebidas también en términos amplios, como la falsificación de productos o comercialización de los falsificados y el suministro de ingredientes o sustancias prohibidas. Asimismo, tanto el artículo 14 [apartado 25)], como el artículo 15 [apartado 3)] tipifican como infracción, grave o muy grave, la reincidencia en la comisión de infracciones de menor graduación, especificando exactamente cuándo concurre ésta y como se computará el plazo al efecto.</w:t>
      </w:r>
    </w:p>
    <w:p w:rsidR="00A90898" w:rsidRDefault="00A90898" w:rsidP="00A90898">
      <w:pPr>
        <w:pStyle w:val="TextoNormal"/>
      </w:pPr>
    </w:p>
    <w:p w:rsidR="00A90898" w:rsidRDefault="00A90898" w:rsidP="00A90898">
      <w:pPr>
        <w:pStyle w:val="TextoNormal"/>
      </w:pPr>
      <w:r>
        <w:t>La conclusión que alcanzamos es que la normativa impugnada difícilmente deja espacio al legislador autonómico para ejercer su competencia sancionadora en esta materia. De hecho, como alega la recurrente, numerosas infracciones tipificadas en los preceptos impugnados coinciden con las ya recogidas en el art. 53 de la Ley catalana 14/2003, de 13 de junio, de calidad agroalimentaria, tanto en su descripción como en su nivel de detalle, lo que confirma que los preceptos estatales van más allá del carácter mínimo, directriz y global, que hemos asociado a las normas básicas.</w:t>
      </w:r>
    </w:p>
    <w:p w:rsidR="00A90898" w:rsidRDefault="00A90898" w:rsidP="00A90898">
      <w:pPr>
        <w:pStyle w:val="TextoNormal"/>
      </w:pPr>
    </w:p>
    <w:p w:rsidR="00A90898" w:rsidRDefault="00A90898" w:rsidP="00A90898">
      <w:pPr>
        <w:pStyle w:val="TextoNormal"/>
      </w:pPr>
      <w:r>
        <w:t xml:space="preserve">El título competencial básico invocado, y el criterio de interpretación restrictiva del art. 149.1.13 CE que hemos mantenido, no facultan al Estado para dictar el completo régimen sancionador en la materia, ignorando la distribución de competencias constitucionalmente consagrada entre el Estado y la Comunidad Autónoma, pues se trata de una competencia conexa a la que ostenta uno y otra en la regulación del régimen sustantivo de las diversas actividades o servicios de la Administración (por todas, STC 124/2003, de 19 de junio, FJ 8). Así, aunque no ha lugar al examen pormenorizado de las distintas infracciones tipificadas en los preceptos impugnados, puesto que las partes procesales no lo abordan, no podemos desconocer que la regulación impugnada, en un análisis preliminar, desborda frecuentemente el contenido material de la regulación básica sustantiva. Bastantes infracciones de las descritas en los arts. 13, 14 y 15 de la Ley 28/2015, van más allá de las obligaciones derivadas del ejercicio de las funciones de inspección y de las impuestas en relación con los controles internos, cuyo incumplimiento el Estado habría podido abordar desde el punto de vista sancionador, en el ámbito de su competencia </w:t>
      </w:r>
      <w:r w:rsidRPr="00A90898">
        <w:rPr>
          <w:i/>
        </w:rPr>
        <w:t>ex</w:t>
      </w:r>
      <w:r>
        <w:t xml:space="preserve"> art. 149.1.13 CE.</w:t>
      </w:r>
    </w:p>
    <w:p w:rsidR="00A90898" w:rsidRDefault="00A90898" w:rsidP="00A90898">
      <w:pPr>
        <w:pStyle w:val="TextoNormal"/>
      </w:pPr>
    </w:p>
    <w:p w:rsidR="00A90898" w:rsidRDefault="00A90898" w:rsidP="00A90898">
      <w:pPr>
        <w:pStyle w:val="TextoNormal"/>
      </w:pPr>
      <w:r>
        <w:t>En definitiva, los arts. 13, 14 y 15 de la Ley 28/2015, contienen una tipificación de las infracciones en materia de calidad alimentaria que, dado su carácter amplio y omnicomprensivo, combinado con su alto grado de minuciosidad y detalle, considerando también su aparente falta de conexión (en numerosos casos) con el régimen sustantivo básico contenido en la propia Ley, vacía de contenido la competencia normativa autonómica del art. 116.1 EAC. Por todo ello, exceden la competencia estatal del art. 149.1.13 CE y son inconstitucionales y nulos.</w:t>
      </w:r>
    </w:p>
    <w:p w:rsidR="00A90898" w:rsidRDefault="00A90898" w:rsidP="00A90898">
      <w:pPr>
        <w:pStyle w:val="TextoNormal"/>
      </w:pPr>
    </w:p>
    <w:p w:rsidR="00A90898" w:rsidRDefault="00A90898" w:rsidP="00A90898">
      <w:pPr>
        <w:pStyle w:val="TextoNormal"/>
      </w:pPr>
      <w:r>
        <w:t>A partir de lo expuesto, podemos ya analizar el art. 12 de la Ley 28/2015 sobre “principios generales” del régimen sancionador, también recurrido. Los apartados 1 y 2 de este precepto, se impugnan solo en cuanto anuncian que las infracciones y sanciones que la Ley recoge en los artículos siguientes podrán ser aplicables por incumplimiento de las normas autonómicas. Se afirma que, de esta forma, se deja vacío de contenido el régimen sancionador autonómico incluido en la Ley catalana 14/2003. El tenor de los apartados 1 y 2 del art. 12 de la Ley 28/2015 es el siguiente:</w:t>
      </w:r>
    </w:p>
    <w:p w:rsidR="00A90898" w:rsidRDefault="00A90898" w:rsidP="00A90898">
      <w:pPr>
        <w:pStyle w:val="TextoNormal"/>
      </w:pPr>
    </w:p>
    <w:p w:rsidR="00A90898" w:rsidRDefault="00A90898" w:rsidP="00A90898">
      <w:pPr>
        <w:pStyle w:val="TextoNormal"/>
      </w:pPr>
      <w:r>
        <w:lastRenderedPageBreak/>
        <w:t>“1. El incumplimiento de lo dispuesto en la legislación alimentaria de aplicación que recoge la normativa de calidad alimentaria de obligado cumplimiento dictada por las Administraciones competentes en cada sector y la normativa horizontal aplicable, así como los preceptos recogidos en esta ley, será considerado infracción administrativa, que se calificará como leve, grave o muy grave de acuerdo con la tipificación de infracciones realizada en este título.</w:t>
      </w:r>
    </w:p>
    <w:p w:rsidR="00A90898" w:rsidRDefault="00A90898" w:rsidP="00A90898">
      <w:pPr>
        <w:pStyle w:val="TextoNormal"/>
      </w:pPr>
    </w:p>
    <w:p w:rsidR="00A90898" w:rsidRDefault="00A90898" w:rsidP="00A90898">
      <w:pPr>
        <w:pStyle w:val="TextoNormal"/>
      </w:pPr>
      <w:r>
        <w:t>2. Las sanciones aplicables a las infracciones serán las establecidas en este título en función de su calificación.”</w:t>
      </w:r>
    </w:p>
    <w:p w:rsidR="00A90898" w:rsidRDefault="00A90898" w:rsidP="00A90898">
      <w:pPr>
        <w:pStyle w:val="TextoNormal"/>
      </w:pPr>
    </w:p>
    <w:p w:rsidR="00A90898" w:rsidRDefault="00A90898" w:rsidP="00A90898">
      <w:pPr>
        <w:pStyle w:val="TextoNormal"/>
      </w:pPr>
      <w:r>
        <w:t>Puesto que ya hemos declarado la inconstitucionalidad de los arts. 13, 14 y 15, el art. 12.1 de la Ley 28/2015, en la medida en que se remite a las infracciones tipificadas en la Ley (recogidas en los preceptos anulados), es inconstitucional y nulo. Por tanto, la nulidad afecta al inciso “de acuerdo con la tipificación de infracciones realizada en este título”. Por idénticos motivos la declaración de inconstitucionalidad y nulidad se extiende también al inciso “en la presente ley”, del artículo 17.</w:t>
      </w:r>
      <w:r w:rsidRPr="00A90898">
        <w:rPr>
          <w:i/>
        </w:rPr>
        <w:t>1 in fi</w:t>
      </w:r>
      <w:r>
        <w:t>ne.</w:t>
      </w:r>
    </w:p>
    <w:p w:rsidR="00A90898" w:rsidRDefault="00A90898" w:rsidP="00A90898">
      <w:pPr>
        <w:pStyle w:val="TextoNormal"/>
      </w:pPr>
    </w:p>
    <w:p w:rsidR="00A90898" w:rsidRDefault="00A90898" w:rsidP="00A90898">
      <w:pPr>
        <w:pStyle w:val="TextoNormal"/>
      </w:pPr>
      <w:r>
        <w:t>En cuanto al apartado 2 del art. 12, puesto que se remite a las sanciones reguladas en la Ley 28/2015, realizaremos su análisis posteriormente, una vez examinado el art. 20 de la Ley 28/2015 que se refiere a ellas y que también es objeto del recurso.</w:t>
      </w:r>
    </w:p>
    <w:p w:rsidR="00A90898" w:rsidRDefault="00A90898" w:rsidP="00A90898">
      <w:pPr>
        <w:pStyle w:val="TextoNormal"/>
      </w:pPr>
    </w:p>
    <w:p w:rsidR="00A90898" w:rsidRDefault="00A90898" w:rsidP="00A90898">
      <w:pPr>
        <w:pStyle w:val="TextoNormal"/>
      </w:pPr>
      <w:r w:rsidRPr="00A90898">
        <w:rPr>
          <w:rStyle w:val="NumeroAFNegritaCaracter"/>
        </w:rPr>
        <w:t>6</w:t>
      </w:r>
      <w:r>
        <w:t>. El art. 19.1 y 2 de la Ley 28/2015 se impugna porque, a juicio de la actora, contiene unas determinaciones muy detalladas sobre las multas coercitivas que regula, estableciendo “cantidades, porcentajes y plazos concretos”. Por ello, afirma que el precepto no se ajusta al concepto de bases y vacía la competencia de la Generalitat sobre el régimen sancionador en el ámbito alimentario.</w:t>
      </w:r>
    </w:p>
    <w:p w:rsidR="00A90898" w:rsidRDefault="00A90898" w:rsidP="00A90898">
      <w:pPr>
        <w:pStyle w:val="TextoNormal"/>
      </w:pPr>
    </w:p>
    <w:p w:rsidR="00A90898" w:rsidRDefault="00A90898" w:rsidP="00A90898">
      <w:pPr>
        <w:pStyle w:val="TextoNormal"/>
      </w:pPr>
      <w:r>
        <w:t>Este artículo, dice lo siguiente:</w:t>
      </w:r>
    </w:p>
    <w:p w:rsidR="00A90898" w:rsidRDefault="00A90898" w:rsidP="00A90898">
      <w:pPr>
        <w:pStyle w:val="TextoNormal"/>
      </w:pPr>
    </w:p>
    <w:p w:rsidR="00A90898" w:rsidRDefault="00A90898" w:rsidP="00A90898">
      <w:pPr>
        <w:pStyle w:val="TextoNormal"/>
      </w:pPr>
      <w:r>
        <w:t>“1. Cuando el interesado no cumpla la obligación personalísima establecida en la presente ley o lo haga de forma incompleta, podrán imponerse multas coercitivas a fin de que se cumpla íntegramente la obligación, en los supuestos previstos en el artículo 99.1 de la Ley 30/1992, de 26 de noviembre, de Régimen Jurídico de las Administraciones Públicas y del Procedimiento Administrativo Común.</w:t>
      </w:r>
    </w:p>
    <w:p w:rsidR="00A90898" w:rsidRDefault="00A90898" w:rsidP="00A90898">
      <w:pPr>
        <w:pStyle w:val="TextoNormal"/>
      </w:pPr>
    </w:p>
    <w:p w:rsidR="00A90898" w:rsidRDefault="00A90898" w:rsidP="00A90898">
      <w:pPr>
        <w:pStyle w:val="TextoNormal"/>
      </w:pPr>
      <w:r>
        <w:t>La multa coercitiva será de 100 euros por cada mes de retraso cuando la obligación no estuviera relacionada con el valor de la mercancía y el 1 % del valor de la mercancía por cada mes de retraso cuando la obligación impuesta estuviera relacionada con ésta.</w:t>
      </w:r>
    </w:p>
    <w:p w:rsidR="00A90898" w:rsidRDefault="00A90898" w:rsidP="00A90898">
      <w:pPr>
        <w:pStyle w:val="TextoNormal"/>
      </w:pPr>
    </w:p>
    <w:p w:rsidR="00A90898" w:rsidRDefault="00A90898" w:rsidP="00A90898">
      <w:pPr>
        <w:pStyle w:val="TextoNormal"/>
      </w:pPr>
      <w:r>
        <w:t>2. En el caso de incumplimiento de la obligación, las multas coercitivas se impondrán con una periodicidad de al menos tres meses hasta el cumplimiento total de la sanción a que se refieran.”</w:t>
      </w:r>
    </w:p>
    <w:p w:rsidR="00A90898" w:rsidRDefault="00A90898" w:rsidP="00A90898">
      <w:pPr>
        <w:pStyle w:val="TextoNormal"/>
      </w:pPr>
    </w:p>
    <w:p w:rsidR="00A90898" w:rsidRDefault="00A90898" w:rsidP="00A90898">
      <w:pPr>
        <w:pStyle w:val="TextoNormal"/>
      </w:pPr>
      <w:r>
        <w:t>El primer párrafo del apartado 1 del precepto transcrito, en cuanto contempla la mera posibilidad de multas coercitivas, como medida de ejecución forzosa de los actos administrativos, remitiéndose a lo previsto en la legislación estatal reguladora del procedimiento administrativo común, no invade las competencias de la Generalitat.</w:t>
      </w:r>
    </w:p>
    <w:p w:rsidR="00A90898" w:rsidRDefault="00A90898" w:rsidP="00A90898">
      <w:pPr>
        <w:pStyle w:val="TextoNormal"/>
      </w:pPr>
    </w:p>
    <w:p w:rsidR="00A90898" w:rsidRDefault="00A90898" w:rsidP="00A90898">
      <w:pPr>
        <w:pStyle w:val="TextoNormal"/>
      </w:pPr>
      <w:r>
        <w:lastRenderedPageBreak/>
        <w:t>En cambio, el párrafo segundo del precepto, al establecer la cuantía concreta de dichas multas y su periodicidad, invade la competencia autonómica, vaciándola de contenido. Por tanto, el segundo párrafo del art. 19.1 de la Ley 28/2015 es inconstitucional y nulo.</w:t>
      </w:r>
    </w:p>
    <w:p w:rsidR="00A90898" w:rsidRDefault="00A90898" w:rsidP="00A90898">
      <w:pPr>
        <w:pStyle w:val="TextoNormal"/>
      </w:pPr>
    </w:p>
    <w:p w:rsidR="00A90898" w:rsidRDefault="00A90898" w:rsidP="00A90898">
      <w:pPr>
        <w:pStyle w:val="TextoNormal"/>
      </w:pPr>
      <w:r>
        <w:t>La inconstitucionalidad que apreciamos no se hace extensiva al apartado 2 del art. 19 de la Ley 28/2015. Su interpretación conjunta con el apartado 1, permite concluir que se refiere a los supuestos, dentro de los previstos en la legislación estatal de procedimiento administrativo común, en que la autoridad competente decida acudir al mecanismo de las multas coercitivas. En estos supuestos, se limita a establecer una periodicidad mínima que deja margen de actuación a las Comunidades Autónomas.</w:t>
      </w:r>
    </w:p>
    <w:p w:rsidR="00A90898" w:rsidRDefault="00A90898" w:rsidP="00A90898">
      <w:pPr>
        <w:pStyle w:val="TextoNormal"/>
      </w:pPr>
    </w:p>
    <w:p w:rsidR="00A90898" w:rsidRDefault="00A90898" w:rsidP="00A90898">
      <w:pPr>
        <w:pStyle w:val="TextoNormal"/>
      </w:pPr>
      <w:r w:rsidRPr="00A90898">
        <w:rPr>
          <w:rStyle w:val="NumeroAFNegritaCaracter"/>
        </w:rPr>
        <w:t>7</w:t>
      </w:r>
      <w:r>
        <w:t>. El art. 20 de la Ley 28/2015 se considera inconstitucional en sus dos apartados porque, entiende la Generalitat de Cataluña, no deja margen al legislador autonómico ni para graduar las sanciones, ni para configurar las sanciones accesorias de forma distinta a la prevista en el precepto. Se añade que la cuantía mínima de las sanciones es tan alta que impide a la Generalitat graduarlas.</w:t>
      </w:r>
    </w:p>
    <w:p w:rsidR="00A90898" w:rsidRDefault="00A90898" w:rsidP="00A90898">
      <w:pPr>
        <w:pStyle w:val="TextoNormal"/>
      </w:pPr>
    </w:p>
    <w:p w:rsidR="00A90898" w:rsidRDefault="00A90898" w:rsidP="00A90898">
      <w:pPr>
        <w:pStyle w:val="TextoNormal"/>
      </w:pPr>
      <w:r>
        <w:t>El precepto, que no se reproduce íntegramente en aras de la brevedad, contempla en su apartado 1, una horquilla para las sanciones que se pueden imponer por la “autoridad competente en su ámbito correspondiente” de: hasta 4.000 € para las infracciones leves; entre 4.001 y 150.000 € para las graves y 150.001 y 3.000.000 € para las muy graves. Añade, en el apartado 1.d): “La sanción que se imponga en ningún caso podrá ser inferior en su cuantía al beneficio ilícito obtenido por la comisión de las infracciones”.</w:t>
      </w:r>
    </w:p>
    <w:p w:rsidR="00A90898" w:rsidRDefault="00A90898" w:rsidP="00A90898">
      <w:pPr>
        <w:pStyle w:val="TextoNormal"/>
      </w:pPr>
    </w:p>
    <w:p w:rsidR="00A90898" w:rsidRDefault="00A90898" w:rsidP="00A90898">
      <w:pPr>
        <w:pStyle w:val="TextoNormal"/>
      </w:pPr>
      <w:r>
        <w:t>En cuanto a las sanciones accesorias, el apartado 2 del art. 20, dispone que “el órgano competente para resolver podrá imponer como sanción accesoria alguna de las siguientes medidas: a) Medidas de corrección, seguridad o control que impidan la continuidad en la producción del daño. b) Decomiso de los productos no identificados o de las mercancías, productos, envases, etiquetas u otros elementos no conformes. c) Clausura temporal, parcial o total, de la empresa sancionada por un periodo máximo de cinco años. d) La retirada del mercado del producto falsificado, cuando la infracción se refiera a falsificación del producto por sustitución de la especie, variedad o raza”.</w:t>
      </w:r>
    </w:p>
    <w:p w:rsidR="00A90898" w:rsidRDefault="00A90898" w:rsidP="00A90898">
      <w:pPr>
        <w:pStyle w:val="TextoNormal"/>
      </w:pPr>
    </w:p>
    <w:p w:rsidR="00A90898" w:rsidRDefault="00A90898" w:rsidP="00A90898">
      <w:pPr>
        <w:pStyle w:val="TextoNormal"/>
      </w:pPr>
      <w:r>
        <w:t>El precepto transcrito fija pues unas líneas directrices sobre la cuantía de las sanciones procedentes en materia de calidad alimentaria que, partiendo de la fundamental unidad del esquema sancionatorio (STC 136/1991, citada) y, aunque supongan un incremento sustancial de las sanciones actualmente previstas en la Ley catalana de 2003, son lo bastante amplias para preservar el margen autonómico.</w:t>
      </w:r>
    </w:p>
    <w:p w:rsidR="00A90898" w:rsidRDefault="00A90898" w:rsidP="00A90898">
      <w:pPr>
        <w:pStyle w:val="TextoNormal"/>
      </w:pPr>
    </w:p>
    <w:p w:rsidR="00A90898" w:rsidRDefault="00A90898" w:rsidP="00A90898">
      <w:pPr>
        <w:pStyle w:val="TextoNormal"/>
      </w:pPr>
      <w:r>
        <w:t xml:space="preserve">En efecto, el art. 20.1 de la Ley 28/2015, establece una cuantía mínima de las sanciones, en función de la gravedad de la infracción, que parte de cero en las infracciones leves y regula horquillas sucesivas, de considerable amplitud. Por ello, no podemos compartir la afirmación de la recurrente según la cual la cuantía mínima de las sanciones es tan alta que impide la graduación por la Comunidad Autónoma y tampoco apreciamos vaciamiento de la competencia sancionadora autonómica. Como ya dijimos en el fundamento jurídico 32 de la STC 102/1995, de 26 de junio, refiriéndonos al régimen sancionador básico establecido en la Ley 4/1989, de 27 de marzo, de conservación de espacios naturales protegidos y, en concreto, a la escala cuantitativa para las multas que se preveía en dicha Ley: “hemos </w:t>
      </w:r>
      <w:r>
        <w:lastRenderedPageBreak/>
        <w:t>llegado en ocasiones anteriores a la doble conclusión de que tales límites máximos y mínimos de las sanciones no sólo pueden tener carácter básico (STC 227/1988) sino que además, por lo mismo, ‘no vacían de contenido la competencia legiferante al respecto’ de las Comunidades Autónomas (STC 385/1993)”.</w:t>
      </w:r>
    </w:p>
    <w:p w:rsidR="00A90898" w:rsidRDefault="00A90898" w:rsidP="00A90898">
      <w:pPr>
        <w:pStyle w:val="TextoNormal"/>
      </w:pPr>
    </w:p>
    <w:p w:rsidR="00A90898" w:rsidRDefault="00A90898" w:rsidP="00A90898">
      <w:pPr>
        <w:pStyle w:val="TextoNormal"/>
      </w:pPr>
      <w:r>
        <w:t>Las sanciones accesorias, por su parte, se configuran como potestativas, por lo que se deja en libertad al órgano competente, no solo para imponerlas o no, sino para legislar lo que estime oportuno sobre ellas, definiéndolas en términos más o menos amplios u omitiéndolas. Si bien es cierto que, para la sanción accesoria de clausura temporal de la empresa se establece un plazo máximo, este plazo es consecuente con la naturaleza misma de la medida, y puede considerarse como exigencia mínima común ya que, dada su duración, deja margen de acción al legislador autonómico.</w:t>
      </w:r>
    </w:p>
    <w:p w:rsidR="00A90898" w:rsidRDefault="00A90898" w:rsidP="00A90898">
      <w:pPr>
        <w:pStyle w:val="TextoNormal"/>
      </w:pPr>
    </w:p>
    <w:p w:rsidR="00A90898" w:rsidRDefault="00A90898" w:rsidP="00A90898">
      <w:pPr>
        <w:pStyle w:val="TextoNormal"/>
      </w:pPr>
      <w:r>
        <w:t>Por tanto, no se aprecia reproche de inconstitucionalidad en el art. 20 de la Ley 28/2015.</w:t>
      </w:r>
    </w:p>
    <w:p w:rsidR="00A90898" w:rsidRDefault="00A90898" w:rsidP="00A90898">
      <w:pPr>
        <w:pStyle w:val="TextoNormal"/>
      </w:pPr>
    </w:p>
    <w:p w:rsidR="00A90898" w:rsidRDefault="00A90898" w:rsidP="00A90898">
      <w:pPr>
        <w:pStyle w:val="TextoNormal"/>
      </w:pPr>
      <w:r>
        <w:t xml:space="preserve">Al hilo de la conclusión alcanzada, enlazando con lo razonado en el fundamento jurídico 5 anterior </w:t>
      </w:r>
      <w:r w:rsidRPr="00A90898">
        <w:rPr>
          <w:i/>
        </w:rPr>
        <w:t>in fine</w:t>
      </w:r>
      <w:r>
        <w:t>, podemos ya desestimar el recurso contra el art. 12.2 de la Ley 28/2015, en cuanto se limita a remitirse a las sanciones previstas en la Ley, frente a las cuales, por lo que se acaba de razonar, no apreciamos reproche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8</w:t>
      </w:r>
      <w:r>
        <w:t>. El art. 22 de la Ley 28/2015, sobre publicidad de las sanciones, se recurre también al considerar que su regulación es detallada en exceso. El tenor del precepto es el siguiente:</w:t>
      </w:r>
    </w:p>
    <w:p w:rsidR="00A90898" w:rsidRDefault="00A90898" w:rsidP="00A90898">
      <w:pPr>
        <w:pStyle w:val="TextoNormal"/>
      </w:pPr>
    </w:p>
    <w:p w:rsidR="00A90898" w:rsidRDefault="00A90898" w:rsidP="00A90898">
      <w:pPr>
        <w:pStyle w:val="TextoNormal"/>
      </w:pPr>
      <w:r>
        <w:t>“Por razones de ejemplaridad o en caso de reincidencia en infracciones de naturaleza análoga o acreditada intencionalidad en la infracción, la autoridad que resuelva el expediente podrá acordar la publicación de las sanciones impuestas como consecuencia de lo establecido en esta ley.</w:t>
      </w:r>
    </w:p>
    <w:p w:rsidR="00A90898" w:rsidRDefault="00A90898" w:rsidP="00A90898">
      <w:pPr>
        <w:pStyle w:val="TextoNormal"/>
      </w:pPr>
    </w:p>
    <w:p w:rsidR="00A90898" w:rsidRDefault="00A90898" w:rsidP="00A90898">
      <w:pPr>
        <w:pStyle w:val="TextoNormal"/>
      </w:pPr>
      <w:r>
        <w:t>Para llevar a cabo dicha medida se esperará el tiempo necesario hasta que se cumpla el plazo de interposición de recurso; de no presentarse éste, se procederá a dar la mencionada publicidad.</w:t>
      </w:r>
    </w:p>
    <w:p w:rsidR="00A90898" w:rsidRDefault="00A90898" w:rsidP="00A90898">
      <w:pPr>
        <w:pStyle w:val="TextoNormal"/>
      </w:pPr>
    </w:p>
    <w:p w:rsidR="00A90898" w:rsidRDefault="00A90898" w:rsidP="00A90898">
      <w:pPr>
        <w:pStyle w:val="TextoNormal"/>
      </w:pPr>
      <w:r>
        <w:t>Cuando haya interposición de recurso contencioso-administrativo se esperará a que la sanción haya adquirido firmeza en sede judicial.</w:t>
      </w:r>
    </w:p>
    <w:p w:rsidR="00A90898" w:rsidRDefault="00A90898" w:rsidP="00A90898">
      <w:pPr>
        <w:pStyle w:val="TextoNormal"/>
      </w:pPr>
    </w:p>
    <w:p w:rsidR="00A90898" w:rsidRDefault="00A90898" w:rsidP="00A90898">
      <w:pPr>
        <w:pStyle w:val="TextoNormal"/>
      </w:pPr>
      <w:r>
        <w:t>En la publicidad se incluirán los nombres, apellidos, denominación o razón social de las personas naturales o jurídicas responsables y la índole y naturaleza de las infracciones, que se insertará en el ‘Boletín Oficial del Estado’, en el boletín de la comunidad autónoma correspondiente donde tuviera su razón social el infractor, y en los medios de comunicación social que se consideren oportunos.</w:t>
      </w:r>
    </w:p>
    <w:p w:rsidR="00A90898" w:rsidRDefault="00A90898" w:rsidP="00A90898">
      <w:pPr>
        <w:pStyle w:val="TextoNormal"/>
      </w:pPr>
    </w:p>
    <w:p w:rsidR="00A90898" w:rsidRDefault="00A90898" w:rsidP="00A90898">
      <w:pPr>
        <w:pStyle w:val="TextoNormal"/>
      </w:pPr>
      <w:r>
        <w:t>La publicación de las referidas sanciones se realizará como máximo en el plazo de tres meses a contar desde la notificación de la firmeza de la resolución.”</w:t>
      </w:r>
    </w:p>
    <w:p w:rsidR="00A90898" w:rsidRDefault="00A90898" w:rsidP="00A90898">
      <w:pPr>
        <w:pStyle w:val="TextoNormal"/>
      </w:pPr>
    </w:p>
    <w:p w:rsidR="00A90898" w:rsidRDefault="00A90898" w:rsidP="00A90898">
      <w:pPr>
        <w:pStyle w:val="TextoNormal"/>
      </w:pPr>
      <w:r>
        <w:t xml:space="preserve">Visto el tenor de la norma transcrita, su párrafo primero, en cuanto contempla la posible publicidad de las sanciones por razones de ejemplaridad, reincidencia o intencionalidad, tiene cabida dentro del régimen sancionador básico de la Ley 28/2015. Se constata a este respecto una relación directa entre la publicidad de las sanciones, como criterio orientador </w:t>
      </w:r>
      <w:r>
        <w:lastRenderedPageBreak/>
        <w:t>general en esta materia y los fines pretendidos de refuerzo del sistema de controles, eficacia y disuasión.</w:t>
      </w:r>
    </w:p>
    <w:p w:rsidR="00A90898" w:rsidRDefault="00A90898" w:rsidP="00A90898">
      <w:pPr>
        <w:pStyle w:val="TextoNormal"/>
      </w:pPr>
    </w:p>
    <w:p w:rsidR="00A90898" w:rsidRDefault="00A90898" w:rsidP="00A90898">
      <w:pPr>
        <w:pStyle w:val="TextoNormal"/>
      </w:pPr>
      <w:r>
        <w:t>Los párrafos segundo y tercero del art. 22 de la Ley 28/2015, en la medida en que vienen a decir que no se dará publicidad a las sanciones hasta que sean firmes, regulan un aspecto de la publicidad (el momento de la misma) que, una vez decidida ésta, es consustancial a su efectividad y que ha de ser, en cuanto tal, objeto de tratamiento uniforme. Por tanto, no son inconstitucionales. Esta conclusión se hace extensiva al párrafo quinto del precepto que establece un plazo máximo, desde la notificación de la firmeza de la resolución, para realizar la publicidad. Asimismo, este plazo, al ser máximo, deja margen a las Comunidades Autónomas para establecer uno menor.</w:t>
      </w:r>
    </w:p>
    <w:p w:rsidR="00A90898" w:rsidRDefault="00A90898" w:rsidP="00A90898">
      <w:pPr>
        <w:pStyle w:val="TextoNormal"/>
      </w:pPr>
    </w:p>
    <w:p w:rsidR="00A90898" w:rsidRDefault="00A90898" w:rsidP="00A90898">
      <w:pPr>
        <w:pStyle w:val="TextoNormal"/>
      </w:pPr>
      <w:r>
        <w:t>Sin embargo, el párrafo cuarto de este artículo, contiene una serie de normas sobre los concretos datos a incluir en la publicidad y los medios para realizarla que, dado su nivel de detalle, agotan prácticamente la regulación de la materia. Por tanto, el párrafo cuarto del art. 22 de la Ley 28/2015 es inconstitucional y nulo en cuanto invade la competencia exclusiva de la Generalitat de Cataluña en la regulación del sector agroalimentario que le atribuye el art. 116 EAC.</w:t>
      </w:r>
    </w:p>
    <w:p w:rsidR="00A90898" w:rsidRDefault="00A90898" w:rsidP="00A90898">
      <w:pPr>
        <w:pStyle w:val="TextoNormal"/>
      </w:pPr>
    </w:p>
    <w:p w:rsidR="00A90898" w:rsidRDefault="00A90898" w:rsidP="00A90898">
      <w:pPr>
        <w:pStyle w:val="TextoNormal"/>
      </w:pPr>
      <w:r w:rsidRPr="00A90898">
        <w:rPr>
          <w:rStyle w:val="NumeroAFNegritaCaracter"/>
        </w:rPr>
        <w:t>9</w:t>
      </w:r>
      <w:r>
        <w:t>. El art. 23.1 de la Ley 28/2015 se impugna al considerar la Generalitat que no tiene la estructura de un precepto básico, pues señala que las autoridades competentes podrán proponer, para las distintas infracciones, la supresión, cancelación o suspensión de ayudas oficiales lo que, se dice, no deja margen al legislador catalán. Igual tacha de inconstitucionalidad se imputa al apartado 2 en cuanto impone a la autoridad competente la sanción de inhabilitación y su plazo.</w:t>
      </w:r>
    </w:p>
    <w:p w:rsidR="00A90898" w:rsidRDefault="00A90898" w:rsidP="00A90898">
      <w:pPr>
        <w:pStyle w:val="TextoNormal"/>
      </w:pPr>
    </w:p>
    <w:p w:rsidR="00A90898" w:rsidRDefault="00A90898" w:rsidP="00A90898">
      <w:pPr>
        <w:pStyle w:val="TextoNormal"/>
      </w:pPr>
      <w:r>
        <w:t>A partir de lo anterior, lo primero que se ha de destacar es que los reproches de inconstitucionalidad no se dirigen frente a la totalidad de los apartados 1 y 2 del precepto, que tienen un contenido más amplio que el impugnado. Así, el tenor de estos apartados es el siguiente:</w:t>
      </w:r>
    </w:p>
    <w:p w:rsidR="00A90898" w:rsidRDefault="00A90898" w:rsidP="00A90898">
      <w:pPr>
        <w:pStyle w:val="TextoNormal"/>
      </w:pPr>
    </w:p>
    <w:p w:rsidR="00A90898" w:rsidRDefault="00A90898" w:rsidP="00A90898">
      <w:pPr>
        <w:pStyle w:val="TextoNormal"/>
      </w:pPr>
      <w:r>
        <w:t>“1. Con independencia de las sanciones impuestas, las autoridades competentes podrán proponer en su ámbito competencial, para las infracciones graves y muy graves, la supresión, cancelación o suspensión total o parcial de toda clase de ayudas oficiales, tales como créditos, subvenciones y otros que hubiere solicitado o solicitase en el futuro la empresa sancionada, en un plazo de cinco años. La citada autoridad competente decidirá a este respecto de acuerdo con las circunstancias que, en cada caso, concurran, incluyendo el tiempo que se mantendrá dicha supresión, cancelación o suspensión.</w:t>
      </w:r>
    </w:p>
    <w:p w:rsidR="00A90898" w:rsidRDefault="00A90898" w:rsidP="00A90898">
      <w:pPr>
        <w:pStyle w:val="TextoNormal"/>
      </w:pPr>
    </w:p>
    <w:p w:rsidR="00A90898" w:rsidRDefault="00A90898" w:rsidP="00A90898">
      <w:pPr>
        <w:pStyle w:val="TextoNormal"/>
      </w:pPr>
      <w:r>
        <w:t>Los infractores se incluirán en una base de datos del Ministerio de Agricultura, Alimentación y Medio Ambiente que se nutrirá de las incorporaciones de datos que realicen las comunidades autónomas y el propio Ministerio, para su consulta exclusiva por los organismos concernidos, y de la que se dará de baja al infractor cuando haya pasado el periodo correspondiente, siempre que éste haya satisfecho la cuantía de la sanción impuesta. Los datos a incluir en la mencionada lista se establecerán reglamentariamente. Se preservarán con el grado de confidencialidad requerida en la Ley Orgánica 15/1999, de 13 de diciembre, de protección de datos de carácter personal.</w:t>
      </w:r>
    </w:p>
    <w:p w:rsidR="00A90898" w:rsidRDefault="00A90898" w:rsidP="00A90898">
      <w:pPr>
        <w:pStyle w:val="TextoNormal"/>
      </w:pPr>
    </w:p>
    <w:p w:rsidR="00A90898" w:rsidRDefault="00A90898" w:rsidP="00A90898">
      <w:pPr>
        <w:pStyle w:val="TextoNormal"/>
      </w:pPr>
      <w:r>
        <w:lastRenderedPageBreak/>
        <w:t>2. En los casos de infracciones graves y muy graves, la autoridad competente para imponer la sanción, con independencia de la misma, inhabilitará a las empresas u operadores sancionados para contratar con las Administraciones públicas, total o parcialmente, durante un plazo de cinco años.”</w:t>
      </w:r>
    </w:p>
    <w:p w:rsidR="00A90898" w:rsidRDefault="00A90898" w:rsidP="00A90898">
      <w:pPr>
        <w:pStyle w:val="TextoNormal"/>
      </w:pPr>
    </w:p>
    <w:p w:rsidR="00A90898" w:rsidRDefault="00A90898" w:rsidP="00A90898">
      <w:pPr>
        <w:pStyle w:val="TextoNormal"/>
      </w:pPr>
      <w:r>
        <w:t>De lo expuesto se desprende que, aunque el recurso pide la declaración de inconstitucionalidad del art. 23.1 de la Ley 28/2015 en su totalidad, no se cuestiona en absoluto, ni tan siquiera se menciona, el párrafo segundo de este apartado sobre la base de datos de infractores que, por esta razón, no es necesario analizar.</w:t>
      </w:r>
    </w:p>
    <w:p w:rsidR="00A90898" w:rsidRDefault="00A90898" w:rsidP="00A90898">
      <w:pPr>
        <w:pStyle w:val="TextoNormal"/>
      </w:pPr>
    </w:p>
    <w:p w:rsidR="00A90898" w:rsidRDefault="00A90898" w:rsidP="00A90898">
      <w:pPr>
        <w:pStyle w:val="TextoNormal"/>
      </w:pPr>
      <w:r>
        <w:t>El párrafo primero del art. 23.1, que sí se recurre, no excede del ámbito del art. 149.1.13 CE y, por tanto, de lo que cabe considerar régimen sancionador básico en materia de calidad alimentaria aprobado al amparo de este título. El precepto solo contempla, como posible sanción accesoria, la propuesta de supresión, cancelación o suspensión total o parcial de las ayudas oficiales de las que da algunos ejemplos, sin mayores concreciones (salvo la de indicar que se hayan solicitado o soliciten en un plazo de cinco años). Por tanto, no obsta a que los legisladores autonómicos puedan o no contemplar dichas sanciones accesorias y concretar sus términos como estimen oportuno. Por ello, ha de desestimarse el recurso en este punto.</w:t>
      </w:r>
    </w:p>
    <w:p w:rsidR="00A90898" w:rsidRDefault="00A90898" w:rsidP="00A90898">
      <w:pPr>
        <w:pStyle w:val="TextoNormal"/>
      </w:pPr>
    </w:p>
    <w:p w:rsidR="00A90898" w:rsidRDefault="00A90898" w:rsidP="00A90898">
      <w:pPr>
        <w:pStyle w:val="TextoNormal"/>
      </w:pPr>
      <w:r>
        <w:t>En cuanto a la sanción accesoria de inhabilitación para contratar con las Administraciones públicas, que recoge el apartado segundo del precepto, su misma naturaleza prohibitiva y su vinculación a un aspecto básico de la contratación administrativa, como es la capacidad para contratar, justifica la uniformidad de su previsión a nivel general para las infracciones graves y muy graves. Es pues coherente con el carácter unitario del régimen sancionador básico controvertido. En todo caso, se contempla que la inhabilitación para contratar pueda ser total o parcial.</w:t>
      </w:r>
    </w:p>
    <w:p w:rsidR="00A90898" w:rsidRDefault="00A90898" w:rsidP="00A90898">
      <w:pPr>
        <w:pStyle w:val="TextoNormal"/>
      </w:pPr>
    </w:p>
    <w:p w:rsidR="00A90898" w:rsidRDefault="00A90898" w:rsidP="00A90898">
      <w:pPr>
        <w:pStyle w:val="TextoNormal"/>
      </w:pPr>
      <w:r>
        <w:t>En cambio, el establecimiento del concreto plazo de duración de la sanción accesoria de inhabilitación para contratar, que el artículo 23.2 fija de forma específica, sin darle el carácter de plazo máximo, agota la regulación de la materia por lo que invade la competencia autonómica.</w:t>
      </w:r>
    </w:p>
    <w:p w:rsidR="00A90898" w:rsidRDefault="00A90898" w:rsidP="00A90898">
      <w:pPr>
        <w:pStyle w:val="TextoNormal"/>
      </w:pPr>
    </w:p>
    <w:p w:rsidR="00A90898" w:rsidRDefault="00A90898" w:rsidP="00A90898">
      <w:pPr>
        <w:pStyle w:val="TextoNormal"/>
      </w:pPr>
      <w:r>
        <w:t>Por tanto, el inciso final del art. 23.2 de la Ley 28/2015, “durante un plazo de cinco años”, es inconstitucional y nulo.</w:t>
      </w:r>
    </w:p>
    <w:p w:rsidR="00A90898" w:rsidRDefault="00A90898" w:rsidP="00A90898">
      <w:pPr>
        <w:pStyle w:val="TextoNormal"/>
      </w:pPr>
    </w:p>
    <w:p w:rsidR="00A90898" w:rsidRDefault="00A90898" w:rsidP="00A90898">
      <w:pPr>
        <w:pStyle w:val="TextoNormal"/>
      </w:pPr>
      <w:r w:rsidRPr="00A90898">
        <w:rPr>
          <w:rStyle w:val="NumeroAFNegritaCaracter"/>
        </w:rPr>
        <w:t>10</w:t>
      </w:r>
      <w:r>
        <w:t>. Del art. 24 de la Ley 28/2015, relativo a la prescripción y caducidad de las infracciones y sanciones, se recurren todos los apartados menos el tercero. Los apartados impugnados disponen lo siguiente:</w:t>
      </w:r>
    </w:p>
    <w:p w:rsidR="00A90898" w:rsidRDefault="00A90898" w:rsidP="00A90898">
      <w:pPr>
        <w:pStyle w:val="TextoNormal"/>
      </w:pPr>
    </w:p>
    <w:p w:rsidR="00A90898" w:rsidRDefault="00A90898" w:rsidP="00A90898">
      <w:pPr>
        <w:pStyle w:val="TextoNormal"/>
      </w:pPr>
      <w:r>
        <w:t>“1. Las infracciones y sanciones muy graves prescribirán a los seis años, las graves a los cuatro años, y las leves a los dos años.</w:t>
      </w:r>
    </w:p>
    <w:p w:rsidR="00A90898" w:rsidRDefault="00A90898" w:rsidP="00A90898">
      <w:pPr>
        <w:pStyle w:val="TextoNormal"/>
      </w:pPr>
    </w:p>
    <w:p w:rsidR="00A90898" w:rsidRDefault="00A90898" w:rsidP="00A90898">
      <w:pPr>
        <w:pStyle w:val="TextoNormal"/>
      </w:pPr>
      <w:r>
        <w:t xml:space="preserve">2. Para el cómputo de los plazos de prescripción de infracciones y sanciones se estará a lo dispuesto en el artículo 132, apartados 2 y 3, de la Ley 30/1992, de 26 de noviembre. En los supuestos de infracciones continuadas el plazo de prescripción comenzará a contar desde el momento de la finalización de la actividad o del último acto con el que la infracción se </w:t>
      </w:r>
      <w:r>
        <w:lastRenderedPageBreak/>
        <w:t>consuma. En el caso de que los hechos o actividades constitutivos de infracción fueran desconocidos por carecer de signos externos, dicho plazo se computará desde que estos se manifiesten.</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4. La falta de resolución en dicho plazo conllevará la caducidad del expediente, pudiendo reabrirse, siempre que la infracción no hubiera prescrito, conservándose la toma de muestras, los análisis efectuados, así como los actos, documentos y trámites cuyo contenido se hubiere mantenido igual de no haber caducado el procedimiento anterior.</w:t>
      </w:r>
    </w:p>
    <w:p w:rsidR="00A90898" w:rsidRDefault="00A90898" w:rsidP="00A90898">
      <w:pPr>
        <w:pStyle w:val="TextoNormal"/>
      </w:pPr>
    </w:p>
    <w:p w:rsidR="00A90898" w:rsidRDefault="00A90898" w:rsidP="00A90898">
      <w:pPr>
        <w:pStyle w:val="TextoNormal"/>
      </w:pPr>
      <w:r>
        <w:t>5. Caducará la acción para perseguir las infracciones cuando, conocida por la Administración la existencia de una infracción y finalizadas las diligencias dirigidas al esclarecimiento de los hechos, que en el caso de un acta con toma de muestras se considerará la fecha del boletín de análisis inicial, hubiera transcurrido más de un año sin que la autoridad competente hubiera ordenado incoar el oportuno procedimiento.”</w:t>
      </w:r>
    </w:p>
    <w:p w:rsidR="00A90898" w:rsidRDefault="00A90898" w:rsidP="00A90898">
      <w:pPr>
        <w:pStyle w:val="TextoNormal"/>
      </w:pPr>
    </w:p>
    <w:p w:rsidR="00A90898" w:rsidRDefault="00A90898" w:rsidP="00A90898">
      <w:pPr>
        <w:pStyle w:val="TextoNormal"/>
      </w:pPr>
      <w:r>
        <w:t>Aunque el recurso pide que se declaren inconstitucionales y se anulen en su integridad los cuatro apartados trascritos, la argumentación de la recurrente únicamente se refiere a los plazos de prescripción de las infracciones y sanciones establecidos en el apartado 1 y al plazo de un año de caducidad de la acción del apartado 5. Por tanto, ceñiremos nuestro análisis exclusivamente a estos extremos.</w:t>
      </w:r>
    </w:p>
    <w:p w:rsidR="00A90898" w:rsidRDefault="00A90898" w:rsidP="00A90898">
      <w:pPr>
        <w:pStyle w:val="TextoNormal"/>
      </w:pPr>
    </w:p>
    <w:p w:rsidR="00A90898" w:rsidRDefault="00A90898" w:rsidP="00A90898">
      <w:pPr>
        <w:pStyle w:val="TextoNormal"/>
      </w:pPr>
      <w:r>
        <w:t xml:space="preserve">La Generalitat de Cataluña considera que los plazos de prescripción de las infracciones y sanciones previstos en el art. 24.1 de la Ley 28/2015, invaden sus competencias al ir más allá de lo señalado en la Ley de régimen jurídico de las Administraciones públicas y del procedimiento administrativo común (LPC), que establece unos plazos mínimos, sin perjuicio de lo que dispongan las leyes sectoriales. Frente a este razonamiento, siendo cierto que el Estado, en ejercicio de su competencia de regulación del procedimiento administrativo común </w:t>
      </w:r>
      <w:r w:rsidRPr="00A90898">
        <w:rPr>
          <w:i/>
        </w:rPr>
        <w:t>ex</w:t>
      </w:r>
      <w:r>
        <w:t xml:space="preserve"> art. 149.1.18 CE reguló en el art. 132 LPC, unos plazos de prescripción de las infracciones y sanciones aplicables en defecto de previsión expresa “en las leyes que las establezcan”, ello no obsta a que esas leyes a que se remite la norma procedimental básica, puedan ser estatales o autonómicas, lo que estará en función de la titularidad de la competencia en cada caso.</w:t>
      </w:r>
    </w:p>
    <w:p w:rsidR="00A90898" w:rsidRDefault="00A90898" w:rsidP="00A90898">
      <w:pPr>
        <w:pStyle w:val="TextoNormal"/>
      </w:pPr>
    </w:p>
    <w:p w:rsidR="00A90898" w:rsidRDefault="00A90898" w:rsidP="00A90898">
      <w:pPr>
        <w:pStyle w:val="TextoNormal"/>
      </w:pPr>
      <w:r>
        <w:t>Por tanto, nuevamente se trata de dilucidar si la regulación de los plazos de prescripción de las infracciones y sanciones puede considerarse parte del régimen sancionador básico en materia de calidad alimentaria. La respuesta a esta cuestión ha de ser afirmativa, ya que la prescripción, en cuanto determinante de la extinción de la responsabilidad, debe necesariamente ser objeto de tratamiento unitario. Así lo entendimos ya en la STC 124/2003, de 19 de junio, en la que basamos la competencia estatal para dictar una norma similar a la presente en el art. 149.1.1CE.</w:t>
      </w:r>
    </w:p>
    <w:p w:rsidR="00A90898" w:rsidRDefault="00A90898" w:rsidP="00A90898">
      <w:pPr>
        <w:pStyle w:val="TextoNormal"/>
      </w:pPr>
    </w:p>
    <w:p w:rsidR="00A90898" w:rsidRDefault="00A90898" w:rsidP="00A90898">
      <w:pPr>
        <w:pStyle w:val="TextoNormal"/>
      </w:pPr>
      <w:r>
        <w:t xml:space="preserve">Asimismo, en la STC 148/2011, de 28 de septiembre, declaramos inconstitucional un precepto autonómico que fijaba un plazo de prescripción de determinadas infracciones graves, por diferir de, regulado en la legislación estatal del sector eléctrico que, en esa misma Sentencia, consideramos de carácter básico. En concreto, en el fundamento jurídico 11 de </w:t>
      </w:r>
      <w:r>
        <w:lastRenderedPageBreak/>
        <w:t xml:space="preserve">la STC 148/2011, declaramos que “por lo que respecta al plazo de prescripción de las infracciones ya hemos establecido (SSTC 102/1995, de 26 de junio, FJ 32; y 124/2003, de 19 de junio, FJ 8) que ha de tenerse en cuenta que el legislador estatal, cuando estableció los principios de la potestad sancionadora de las Administraciones públicas en el ejercicio de la competencia exclusiva que la Constitución le reconoce </w:t>
      </w:r>
      <w:r w:rsidRPr="00A90898">
        <w:rPr>
          <w:i/>
        </w:rPr>
        <w:t>ex</w:t>
      </w:r>
      <w:r>
        <w:t xml:space="preserve"> art. 149.1.18, defirió, en principio, su regulación a posteriores previsiones legales. En el presente caso, el art. 67 de la Ley del sector eléctrico ha establecido un plazo de prescripción de tres años para las infracciones graves, regla que tiene carácter básico, con fundamento en las competencias estatales sobre el sector eléctrico, en la medida en que establece un plazo de prescripción para las infracciones muy graves que no puede ser acortado por las Comunidades Autónomas. A ello ha de añadirse que la reducción de los plazos de prescripción respecto a los previstos por el legislador básico estatal supone una reducción del nivel sancionador establecido por la ley estatal en beneficio del infractor, lo que resulta constitucionalmente improcedente (STC 196/1996, de 28 de noviembre, FJ 2)”.</w:t>
      </w:r>
    </w:p>
    <w:p w:rsidR="00A90898" w:rsidRDefault="00A90898" w:rsidP="00A90898">
      <w:pPr>
        <w:pStyle w:val="TextoNormal"/>
      </w:pPr>
    </w:p>
    <w:p w:rsidR="00A90898" w:rsidRDefault="00A90898" w:rsidP="00A90898">
      <w:pPr>
        <w:pStyle w:val="TextoNormal"/>
      </w:pPr>
      <w:r>
        <w:t>Aun con mayor contundencia, en la STC 102/1995 precitada, FJ 32, dijimos que “el señalamiento de los plazos de prescripción de las infracciones, acomodados a su gravedad, conviene a la seguridad jurídica y, sobre todo, la uniformidad en esta materia procura la igualdad de todos los españoles en el ejercicio de los derechos y en el cumplimiento de los deberes constitucionales cuya garantía, en su dimensión normativa, sólo puede conseguirse mediante la regulación de sus condiciones básicas (art. 149.1.1 CE.)”.</w:t>
      </w:r>
    </w:p>
    <w:p w:rsidR="00A90898" w:rsidRDefault="00A90898" w:rsidP="00A90898">
      <w:pPr>
        <w:pStyle w:val="TextoNormal"/>
      </w:pPr>
    </w:p>
    <w:p w:rsidR="00A90898" w:rsidRDefault="00A90898" w:rsidP="00A90898">
      <w:pPr>
        <w:pStyle w:val="TextoNormal"/>
      </w:pPr>
      <w:r>
        <w:t>Lo anterior se hace extensivo, a partir del mismo razonamiento, al plazo de caducidad de un año del apartado 5 del art. 24 de la Ley 28/2015.</w:t>
      </w:r>
    </w:p>
    <w:p w:rsidR="00A90898" w:rsidRDefault="00A90898" w:rsidP="00A90898">
      <w:pPr>
        <w:pStyle w:val="TextoNormal"/>
      </w:pPr>
    </w:p>
    <w:p w:rsidR="00A90898" w:rsidRDefault="00A90898" w:rsidP="00A90898">
      <w:pPr>
        <w:pStyle w:val="TextoNormal"/>
      </w:pPr>
      <w:r>
        <w:t>Por tanto, se rechaza el recurso contra los apartados 1, 2, 4 y 5 del art. 24 de la Ley 28/2015.</w:t>
      </w:r>
    </w:p>
    <w:p w:rsidR="00A90898" w:rsidRDefault="00A90898" w:rsidP="00A90898">
      <w:pPr>
        <w:pStyle w:val="TextoNormal"/>
      </w:pPr>
    </w:p>
    <w:p w:rsidR="00A90898" w:rsidRDefault="00A90898" w:rsidP="00A90898">
      <w:pPr>
        <w:pStyle w:val="TextoNormal"/>
      </w:pPr>
      <w:r w:rsidRPr="00A90898">
        <w:rPr>
          <w:rStyle w:val="NumeroAFNegritaCaracter"/>
        </w:rPr>
        <w:t>11</w:t>
      </w:r>
      <w:r>
        <w:t>. Se impugna a continuación la disposición adicional primera de la Ley 28/2015 en cuanto contempla un régimen sancionador en materia de clasificación de canales de vacuno y porcino que la recurrente considera también completo y excluyente de toda regulación autonómica.</w:t>
      </w:r>
    </w:p>
    <w:p w:rsidR="00A90898" w:rsidRDefault="00A90898" w:rsidP="00A90898">
      <w:pPr>
        <w:pStyle w:val="TextoNormal"/>
      </w:pPr>
    </w:p>
    <w:p w:rsidR="00A90898" w:rsidRDefault="00A90898" w:rsidP="00A90898">
      <w:pPr>
        <w:pStyle w:val="TextoNormal"/>
      </w:pPr>
      <w:r>
        <w:t>El apartado 1 de la disposición adicional primera recurrida, dice lo siguiente:</w:t>
      </w:r>
    </w:p>
    <w:p w:rsidR="00A90898" w:rsidRDefault="00A90898" w:rsidP="00A90898">
      <w:pPr>
        <w:pStyle w:val="TextoNormal"/>
      </w:pPr>
    </w:p>
    <w:p w:rsidR="00A90898" w:rsidRDefault="00A90898" w:rsidP="00A90898">
      <w:pPr>
        <w:pStyle w:val="TextoNormal"/>
      </w:pPr>
      <w:r>
        <w:t>“El régimen sancionador por los incumplimientos de la normativa aplicable en materia de clasificación de canales de vacuno, porcino, derivada del artículo 10 del Reglamento (UE) núm. 1308/2013 del Parlamento Europeo y del Consejo, de 17 de diciembre de 2013, por el que se crea la organización común de mercados de los productos agrarios y por el que se derogan los Reglamentos (CEE) núm. 922/72, (CEE) núm. 234/79, (CE) núm. 1037/2001 y (CE) núm. 1234/2007, será el establecido en esta disposición.”</w:t>
      </w:r>
    </w:p>
    <w:p w:rsidR="00A90898" w:rsidRDefault="00A90898" w:rsidP="00A90898">
      <w:pPr>
        <w:pStyle w:val="TextoNormal"/>
      </w:pPr>
    </w:p>
    <w:p w:rsidR="00A90898" w:rsidRDefault="00A90898" w:rsidP="00A90898">
      <w:pPr>
        <w:pStyle w:val="TextoNormal"/>
      </w:pPr>
      <w:r>
        <w:t>A continuación, los apartados 2, 3 y 4 de la misma disposición, tipifican las infracciones leves, graves y muy graves en la materia y sus apartados 5 y 6, se refieren a las sanciones principales y accesorias.</w:t>
      </w:r>
    </w:p>
    <w:p w:rsidR="00A90898" w:rsidRDefault="00A90898" w:rsidP="00A90898">
      <w:pPr>
        <w:pStyle w:val="TextoNormal"/>
      </w:pPr>
    </w:p>
    <w:p w:rsidR="00A90898" w:rsidRDefault="00A90898" w:rsidP="00A90898">
      <w:pPr>
        <w:pStyle w:val="TextoNormal"/>
      </w:pPr>
      <w:r>
        <w:t xml:space="preserve">El preámbulo de la Ley 28/2015 afirma, a este respecto, que “se hace necesario establecer un régimen de infracciones y sanciones específico en este ámbito, para el caso de ganado </w:t>
      </w:r>
      <w:r>
        <w:lastRenderedPageBreak/>
        <w:t>vacuno y porcino”, “para garantizar el correcto cumplimiento de las disposiciones recogidas en la normativa comunitaria y en aras de una mayor transparencia comercial y seguridad jurídica de los operadores” lo que, sigue diciendo: “no resulta necesario para el ganado ovino y caprino, al no ser, por el momento, obligatoria su aplicación en España”.</w:t>
      </w:r>
    </w:p>
    <w:p w:rsidR="00A90898" w:rsidRDefault="00A90898" w:rsidP="00A90898">
      <w:pPr>
        <w:pStyle w:val="TextoNormal"/>
      </w:pPr>
    </w:p>
    <w:p w:rsidR="00A90898" w:rsidRDefault="00A90898" w:rsidP="00A90898">
      <w:pPr>
        <w:pStyle w:val="TextoNormal"/>
      </w:pPr>
      <w:r>
        <w:t xml:space="preserve">En relación con ello, como hemos señalado </w:t>
      </w:r>
      <w:r w:rsidRPr="00A90898">
        <w:rPr>
          <w:i/>
        </w:rPr>
        <w:t>ut supra</w:t>
      </w:r>
      <w:r>
        <w:t>, el necesario cumplimiento de la normativa comunitaria no es título atributivo de competencias al Estado. Tampoco cabe invocar para justificar la competencia estatal en una determinada materia, ni la seguridad jurídica, ni la transparencia comercial a las que alude el preámbulo de la Ley 28/2015, dado que no constituyen títulos atributivos de competencias.</w:t>
      </w:r>
    </w:p>
    <w:p w:rsidR="00A90898" w:rsidRDefault="00A90898" w:rsidP="00A90898">
      <w:pPr>
        <w:pStyle w:val="TextoNormal"/>
      </w:pPr>
    </w:p>
    <w:p w:rsidR="00A90898" w:rsidRDefault="00A90898" w:rsidP="00A90898">
      <w:pPr>
        <w:pStyle w:val="TextoNormal"/>
      </w:pPr>
      <w:r>
        <w:t>Por tanto, como en los preceptos anteriormente examinados, el análisis también en este caso, debe realizarse partiendo de la competencia estatal resultante del art. 149.1.13 CE que permite al Estado establecer un régimen sancionador básico siempre y cuando tenga realmente este carácter y, en definitiva, siempre que se limite a establecer un mínimo denominador común unitario que deje margen a las Comunidades Autónomas para el ejercicio de sus competencias. Igualmente, como también ocurría en la impugnación de los artículos 13, 14 y 15, el debate se plantea por las partes examinando las infracciones de la disposición adicional primera en su conjunto, sin aludir a una hipotética conexión con la regulación sustantiva de la Ley, por lo que éste habrá de ser esencialmente nuestro enfoque.</w:t>
      </w:r>
    </w:p>
    <w:p w:rsidR="00A90898" w:rsidRDefault="00A90898" w:rsidP="00A90898">
      <w:pPr>
        <w:pStyle w:val="TextoNormal"/>
      </w:pPr>
    </w:p>
    <w:p w:rsidR="00A90898" w:rsidRDefault="00A90898" w:rsidP="00A90898">
      <w:pPr>
        <w:pStyle w:val="TextoNormal"/>
      </w:pPr>
      <w:r>
        <w:t>Delimitado así el problema, las infracciones tipificadas en los apartados 2, 3 y 4 de la disposición que nos ocupa, de forma similar a lo que hemos apreciado en relación con los arts. 13, 14 y 15 de la Ley, tienen un carácter específico y detallado que excede del contenido propio, genérico y mínimo, de una regulación básica y a la vez, en muchas ocasiones, no parecen guardar conexión alguna con el régimen sustantivo recogido en la Ley 28/2015. Si bien no reproducimos estos preceptos dada su extensión, su mera lectura permite constatar la referida falta de conexión y que su exhaustividad es tal que no deja margen para el ejercicio de la competencia autonómica en la materia. Así, se tipifican en ellos todo tipo de actuaciones irregulares relacionadas con el faenado de la canal, su marcado, su presentación y su clasificación. El apartado 2 e) de la disposición, llega incluso a cuantificar el número de errores en el peso o clasificación de la canal, detectados en la visita de inspección, que permitirán apreciar la concurrencia de errores que se tipifica como infracción leve. También tipifican como infracción, de modo similar a lo ya dicho sobre los artículos 14 y 15, la reiteración en la comisión de faltas de gravedad menor, indicando su número y el plazo.</w:t>
      </w:r>
    </w:p>
    <w:p w:rsidR="00A90898" w:rsidRDefault="00A90898" w:rsidP="00A90898">
      <w:pPr>
        <w:pStyle w:val="TextoNormal"/>
      </w:pPr>
    </w:p>
    <w:p w:rsidR="00A90898" w:rsidRDefault="00A90898" w:rsidP="00A90898">
      <w:pPr>
        <w:pStyle w:val="TextoNormal"/>
      </w:pPr>
      <w:r>
        <w:t xml:space="preserve">Por tanto, los apartados 2, 3 y 4 de la disposición adicional primera de la Ley 28/2015, son inconstitucionales en cuanto exceden la competencia estatal básica del art. 149.1.13 CE e invaden la competencia que corresponde a la Generalitat de Cataluña </w:t>
      </w:r>
      <w:r w:rsidRPr="00A90898">
        <w:rPr>
          <w:i/>
        </w:rPr>
        <w:t>ex</w:t>
      </w:r>
      <w:r>
        <w:t xml:space="preserve"> art. 116 EAC.</w:t>
      </w:r>
    </w:p>
    <w:p w:rsidR="00A90898" w:rsidRDefault="00A90898" w:rsidP="00A90898">
      <w:pPr>
        <w:pStyle w:val="TextoNormal"/>
      </w:pPr>
    </w:p>
    <w:p w:rsidR="00A90898" w:rsidRDefault="00A90898" w:rsidP="00A90898">
      <w:pPr>
        <w:pStyle w:val="TextoNormal"/>
      </w:pPr>
      <w:r>
        <w:t>En cuanto al resto de apartados de la disposición adicional primera, el apartado 5 prevé una escala, con una horquilla de sanciones mínimas y máximas, que deja margen de regulación a las Comunidades Autónomas. Esta escala, por otra parte, es igual a la recogida en el artículo 20.1 cuya inconstitucionalidad hemos rechazado. Lo mismo cabe afirmar respecto de las sanciones accesorias del apartado 6, parcialmente coincidentes con las reguladas en el art. 20.2 de la Ley 28/2015. Nos remitimos pues a los argumentos expuestos en relación con dicho artículo 20 para desestimar el recurso en relación con estos dos apartados.</w:t>
      </w:r>
    </w:p>
    <w:p w:rsidR="00A90898" w:rsidRDefault="00A90898" w:rsidP="00A90898">
      <w:pPr>
        <w:pStyle w:val="TextoNormal"/>
      </w:pPr>
    </w:p>
    <w:p w:rsidR="00A90898" w:rsidRDefault="00A90898" w:rsidP="00A90898">
      <w:pPr>
        <w:pStyle w:val="TextoNormal"/>
      </w:pPr>
      <w:r>
        <w:lastRenderedPageBreak/>
        <w:t xml:space="preserve">En cuanto al apartado primero de la disposición adicional primera, reproducido </w:t>
      </w:r>
      <w:r w:rsidRPr="00A90898">
        <w:rPr>
          <w:i/>
        </w:rPr>
        <w:t>ut supra</w:t>
      </w:r>
      <w:r>
        <w:t>, puesto que se remite al régimen sancionador en ella establecido y hemos anulado los apartados 2, 3 y 4 de la misma, debe entenderse referido a los apartados 5 y 6, subsistentes.</w:t>
      </w:r>
    </w:p>
    <w:p w:rsidR="00A90898" w:rsidRDefault="00A90898" w:rsidP="00A90898">
      <w:pPr>
        <w:pStyle w:val="TextoNormal"/>
      </w:pPr>
    </w:p>
    <w:p w:rsidR="00A90898" w:rsidRDefault="00A90898" w:rsidP="00A90898">
      <w:pPr>
        <w:pStyle w:val="TextoNormal"/>
      </w:pPr>
      <w:r>
        <w:t>Se estima pues parcialmente el recurso dirigido contra la disposición adicional primera de la Ley 28/2015, en los términos expuestos.</w:t>
      </w:r>
    </w:p>
    <w:p w:rsidR="00A90898" w:rsidRDefault="00A90898" w:rsidP="00A90898">
      <w:pPr>
        <w:pStyle w:val="TextoNormal"/>
      </w:pPr>
    </w:p>
    <w:p w:rsidR="00A90898" w:rsidRDefault="00A90898" w:rsidP="00A90898">
      <w:pPr>
        <w:pStyle w:val="TextoNormal"/>
      </w:pPr>
      <w:r w:rsidRPr="00A90898">
        <w:rPr>
          <w:rStyle w:val="NumeroAFNegritaCaracter"/>
        </w:rPr>
        <w:t>12</w:t>
      </w:r>
      <w:r>
        <w:t>. El recurso se dirige también contra los dos apartados de la disposición transitoria única de la Ley 28/2015 cuyo tenor es el siguiente:</w:t>
      </w:r>
    </w:p>
    <w:p w:rsidR="00A90898" w:rsidRDefault="00A90898" w:rsidP="00A90898">
      <w:pPr>
        <w:pStyle w:val="TextoNormal"/>
      </w:pPr>
    </w:p>
    <w:p w:rsidR="00A90898" w:rsidRDefault="00A90898" w:rsidP="00A90898">
      <w:pPr>
        <w:pStyle w:val="TextoNormal"/>
      </w:pPr>
      <w:r>
        <w:t>“1. El Real Decreto 1945/1983, de 22 de junio, por el que se regulan las infracciones y sanciones en materia de defensa del consumidor y de la producción agro-alimentaria, no será de aplicación a los aspectos regulados en el ámbito de esta ley, excepto los artículos 15 y 16, que seguirán aplicándose en tanto se desarrolle reglamentariamente la presente ley.</w:t>
      </w:r>
    </w:p>
    <w:p w:rsidR="00A90898" w:rsidRDefault="00A90898" w:rsidP="00A90898">
      <w:pPr>
        <w:pStyle w:val="TextoNormal"/>
      </w:pPr>
    </w:p>
    <w:p w:rsidR="00A90898" w:rsidRDefault="00A90898" w:rsidP="00A90898">
      <w:pPr>
        <w:pStyle w:val="TextoNormal"/>
      </w:pPr>
      <w:r>
        <w:t>2. En tanto no se desarrolle un procedimiento sancionador propio, se aplicará el procedimiento general regulado en el Real Decreto 1398/1993, de 4 de agosto, por el que se aprueba el Reglamento del procedimiento para el ejercicio de la Potestad Sancionadora.”</w:t>
      </w:r>
    </w:p>
    <w:p w:rsidR="00A90898" w:rsidRDefault="00A90898" w:rsidP="00A90898">
      <w:pPr>
        <w:pStyle w:val="TextoNormal"/>
      </w:pPr>
    </w:p>
    <w:p w:rsidR="00A90898" w:rsidRDefault="00A90898" w:rsidP="00A90898">
      <w:pPr>
        <w:pStyle w:val="TextoNormal"/>
      </w:pPr>
      <w:r>
        <w:t>En cuanto al apartado 1 transcrito, se afirma por la recurrente que vulnera sus competencias, al dejar vigentes los arts. 15 y 16 del Real Decreto 1945/1983, que establecen unas concretas pautas de toma de muestras y análisis que no dejan margen a la regulación autonómica.</w:t>
      </w:r>
    </w:p>
    <w:p w:rsidR="00A90898" w:rsidRDefault="00A90898" w:rsidP="00A90898">
      <w:pPr>
        <w:pStyle w:val="TextoNormal"/>
      </w:pPr>
    </w:p>
    <w:p w:rsidR="00A90898" w:rsidRDefault="00A90898" w:rsidP="00A90898">
      <w:pPr>
        <w:pStyle w:val="TextoNormal"/>
      </w:pPr>
      <w:r>
        <w:t>Para resolver este punto del recurso, hemos de tener en cuenta que el Real Decreto 1945/1983, lleva en este aspecto más de treinta años vigente, sin que haya sido recurrido. De hecho, este Tribunal lo ha aplicado, sin entrar a analizar su constitucionalidad, en las SSTC 87/1985 y 136/1991 citadas. Ello no obstante, hemos declarado que el recurso de inconstitucionalidad “es un recurso abstracto dirigido a la depuración del ordenamiento” por lo que “el hecho de que una norma reproduzca otra norma anterior no recurrida no impide la impugnación de la primera” (STC 108/2014, FJ 2, con cita de otras anteriores).</w:t>
      </w:r>
    </w:p>
    <w:p w:rsidR="00A90898" w:rsidRDefault="00A90898" w:rsidP="00A90898">
      <w:pPr>
        <w:pStyle w:val="TextoNormal"/>
      </w:pPr>
    </w:p>
    <w:p w:rsidR="00A90898" w:rsidRDefault="00A90898" w:rsidP="00A90898">
      <w:pPr>
        <w:pStyle w:val="TextoNormal"/>
      </w:pPr>
      <w:r>
        <w:t>Trasladado lo anterior al caso presente, puesto que la norma transitoria impugnada afirma que seguirán aplicándose, en el ámbito de la Ley, los arts. 15 y 16 del Real Decreto 1945/1983, en la práctica, está reproduciendo su regulación, aunque sea con una vigencia temporalmente limitada. Por tanto, hemos de examinar si el Estado puede, al amparo de la competencia del art. 149.1.13 CE, disponer la aplicación de esa normativa.</w:t>
      </w:r>
    </w:p>
    <w:p w:rsidR="00A90898" w:rsidRDefault="00A90898" w:rsidP="00A90898">
      <w:pPr>
        <w:pStyle w:val="TextoNormal"/>
      </w:pPr>
    </w:p>
    <w:p w:rsidR="00A90898" w:rsidRDefault="00A90898" w:rsidP="00A90898">
      <w:pPr>
        <w:pStyle w:val="TextoNormal"/>
      </w:pPr>
      <w:r>
        <w:t>Llegados a este punto, y analizados los preceptos mencionados, su contenido resulta detallado y concreto, hasta el punto de excluir, prácticamente, cualquier margen de desarrollo normativo por parte de las Comunidades Autónomas. Así, el art. 15 del Real Decreto (al regular la toma de muestras) especifica, desde la forma en que ha de documentarse, hasta el número de ejemplares y las cantidades en que ha de consistir. Respecto a los análisis, el art. 16 del Real Decreto, consta de diez apartados, con sus correspondientes subapartados, que contemplan, desde donde habrán de realizarse dichos análisis, hasta el plazo de su emisión, su contenido y los análisis contradictorios.</w:t>
      </w:r>
    </w:p>
    <w:p w:rsidR="00A90898" w:rsidRDefault="00A90898" w:rsidP="00A90898">
      <w:pPr>
        <w:pStyle w:val="TextoNormal"/>
      </w:pPr>
    </w:p>
    <w:p w:rsidR="00A90898" w:rsidRDefault="00A90898" w:rsidP="00A90898">
      <w:pPr>
        <w:pStyle w:val="TextoNormal"/>
      </w:pPr>
      <w:r>
        <w:lastRenderedPageBreak/>
        <w:t>En definitiva, nuevamente apreciamos una extralimitación competencial por parte del Estado en este punto, al ser el contenido de las normas cuya vigencia reitera en la disposición transitoria única.1 de la Ley 28/2015 tan amplio, que vacía la competencia de la Generalitat de Cataluña del art. 116.1 EAC. Por ello, se declara inconstitucional el inciso “excepto los artículos 15 y 16, que seguirán aplicándose” de la disposición citada.</w:t>
      </w:r>
    </w:p>
    <w:p w:rsidR="00A90898" w:rsidRDefault="00A90898" w:rsidP="00A90898">
      <w:pPr>
        <w:pStyle w:val="TextoNormal"/>
      </w:pPr>
    </w:p>
    <w:p w:rsidR="00A90898" w:rsidRDefault="00A90898" w:rsidP="00A90898">
      <w:pPr>
        <w:pStyle w:val="TextoNormal"/>
      </w:pPr>
      <w:r>
        <w:t>La inconstitucionalidad, sin embargo, no se hace extensiva a la previsión de un futuro desarrollo reglamentario de la Ley 28/2015 que se anuncia pues, sin conocer su contenido no cabe excluir, desde el punto de vista constitucional, que el Estado tenga competencia para aprobarlo.</w:t>
      </w:r>
    </w:p>
    <w:p w:rsidR="00A90898" w:rsidRDefault="00A90898" w:rsidP="00A90898">
      <w:pPr>
        <w:pStyle w:val="TextoNormal"/>
      </w:pPr>
    </w:p>
    <w:p w:rsidR="00A90898" w:rsidRDefault="00A90898" w:rsidP="00A90898">
      <w:pPr>
        <w:pStyle w:val="TextoNormal"/>
      </w:pPr>
      <w:r w:rsidRPr="00A90898">
        <w:rPr>
          <w:rStyle w:val="NumeroAFNegritaCaracter"/>
        </w:rPr>
        <w:t>13</w:t>
      </w:r>
      <w:r>
        <w:t>. Respecto al apartado 2 de la disposición transitoria única de la Ley 28/2015, el mismo establece, en los términos expuestos, la aplicación supletoria del procedimiento sancionador establecido en el Real Decreto 1398/1993, mientras no se desarrolle un procedimiento sancionador propio.</w:t>
      </w:r>
    </w:p>
    <w:p w:rsidR="00A90898" w:rsidRDefault="00A90898" w:rsidP="00A90898">
      <w:pPr>
        <w:pStyle w:val="TextoNormal"/>
      </w:pPr>
    </w:p>
    <w:p w:rsidR="00A90898" w:rsidRDefault="00A90898" w:rsidP="00A90898">
      <w:pPr>
        <w:pStyle w:val="TextoNormal"/>
      </w:pPr>
      <w:r>
        <w:t>Si bien la Ley 39/2015, de 1 de octubre, del procedimiento administrativo común de las Administraciones públicas, en vigor a partir del 2 de octubre de 2016, dictada por el Estado al amparo del art. 149.1.18 CE, deroga el Real Decreto 1398/1993 y, por tanto, éste dejará de estar vigente en la fecha de entrada en vigor de dicha Ley, el mismo se encuentra todavía vigente en este momento por lo que hemos de pronunciarnos sobre la cuestión planteada.</w:t>
      </w:r>
    </w:p>
    <w:p w:rsidR="00A90898" w:rsidRDefault="00A90898" w:rsidP="00A90898">
      <w:pPr>
        <w:pStyle w:val="TextoNormal"/>
      </w:pPr>
    </w:p>
    <w:p w:rsidR="00A90898" w:rsidRDefault="00A90898" w:rsidP="00A90898">
      <w:pPr>
        <w:pStyle w:val="TextoNormal"/>
      </w:pPr>
      <w:r>
        <w:t>Estamos ante una previsión en la que el legislador estatal contempla la aplicación supletoria de su propia normativa, en materia de procedimiento sancionador, en un ámbito, el agroalimentario, en el que la competencia legislativa y de ejecución (sin perjuicio del respeto a las bases estatales) corresponde a la Generalitat de Cataluña. Ello supone que incumbe a ésta la regulación del procedimiento sancionador correspondiente, sin perjuicio de que haya de ajustarse al “procedimiento administrativo común”, cuya configuración es de exclusiva competencia estatal (art. 149.1.18 CE).</w:t>
      </w:r>
    </w:p>
    <w:p w:rsidR="00A90898" w:rsidRDefault="00A90898" w:rsidP="00A90898">
      <w:pPr>
        <w:pStyle w:val="TextoNormal"/>
      </w:pPr>
    </w:p>
    <w:p w:rsidR="00A90898" w:rsidRDefault="00A90898" w:rsidP="00A90898">
      <w:pPr>
        <w:pStyle w:val="TextoNormal"/>
      </w:pPr>
      <w:r>
        <w:t xml:space="preserve">Hemos declarado a este respecto que “el Estado no puede dictar normas con eficacia meramente supletoria, en materias sobre las cuales carece de todo título competencial; el legislador estatal no puede apoyarse en la regla de la supletoriedad para dictar tales normas, por no constituir una cláusula universal atributiva de competencias” sin perjuicio de que, en la medida en que la legislación autonómica ofrezca lagunas “los aplicadores del Derecho deberán integrarlas de conformidad con las reglas usuales de interpretación, incluida la cláusula de supletoriedad del Derecho estatal del art. 149.3, </w:t>
      </w:r>
      <w:r w:rsidRPr="00A90898">
        <w:rPr>
          <w:i/>
        </w:rPr>
        <w:t>in fine</w:t>
      </w:r>
      <w:r>
        <w:t>, CE. Pero la supletoriedad resultará predicable, por disponerlo así la Norma fundamental, de las normas dictadas válidamente por el Estado en materias de su competencia” (STC 118/1996, FFJ 6 y 7 con cita de otras anteriores, reiterada en SSTC 109/2004, FJ 8, y 139/2011, FJ 4).</w:t>
      </w:r>
    </w:p>
    <w:p w:rsidR="00A90898" w:rsidRDefault="00A90898" w:rsidP="00A90898">
      <w:pPr>
        <w:pStyle w:val="TextoNormal"/>
      </w:pPr>
    </w:p>
    <w:p w:rsidR="00A90898" w:rsidRDefault="00A90898" w:rsidP="00A90898">
      <w:pPr>
        <w:pStyle w:val="TextoNormal"/>
      </w:pPr>
      <w:r>
        <w:t>Por tanto, a partir de las anteriores consideraciones, la previsión expresa de aplicación supletoria del Real Decreto 1398/1993 que contiene la disposición transitoria única, 2 de la Ley 28/2015, incurre en vicio de incompetencia, por lo que dicho apartado 2 es inconstitucional y nulo.</w:t>
      </w:r>
    </w:p>
    <w:p w:rsidR="00A90898" w:rsidRDefault="00A90898" w:rsidP="00A90898">
      <w:pPr>
        <w:pStyle w:val="TextoNormal"/>
      </w:pPr>
    </w:p>
    <w:p w:rsidR="00A90898" w:rsidRDefault="00A90898" w:rsidP="00A90898">
      <w:pPr>
        <w:pStyle w:val="TextoNormal"/>
      </w:pPr>
      <w:r w:rsidRPr="00A90898">
        <w:rPr>
          <w:rStyle w:val="NumeroAFNegritaCaracter"/>
        </w:rPr>
        <w:t>14</w:t>
      </w:r>
      <w:r>
        <w:t xml:space="preserve">. Finalmente, se afirma la inconstitucionalidad de la disposición final quinta de la Ley 28/2015, que se limita a afirmar que la Ley se dicta al amparo del art. 149.1.13 CE, en </w:t>
      </w:r>
      <w:r>
        <w:lastRenderedPageBreak/>
        <w:t>cuanto, según la recurrente, debe proyectarse sobre ella la inconstitucionalidad del resto de preceptos impugnados. Dado que hemos admitido que dicho título competencial ampara los preceptos cuya inconstitucionalidad se ha rechazado, procede desestimar el recurso contra esta disposición. En todo caso, a mayor abundamiento, el título competencial estatal citado habilitaría al Estado para dictar los restantes preceptos de la Ley 28/2015 no impugnados.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la inconstitucionalidad y nulidad del inciso “de acuerdo con la tipificación de infracciones realizada en este título” del art. 12.1.; los arts. 13, 14 y 15; el inciso “en la presente ley” del art. 17.1.; el segundo párrafo del art. 19.1; el párrafo cuarto del art. 22; el inciso “durante un plazo de cinco años” del art. 23.2; los apartados 2, 3 y 4 de la disposición adicional primera; el inciso “excepto los artículos 15 y 16, que seguirán aplicándose” de la disposición transitoria única, apartado 1 y el apartado 2 de la misma disposición transitoria única de la citada Ley.</w:t>
      </w:r>
    </w:p>
    <w:p w:rsidR="00A90898" w:rsidRDefault="00A90898" w:rsidP="00A90898">
      <w:pPr>
        <w:pStyle w:val="TextoNormal"/>
      </w:pPr>
    </w:p>
    <w:p w:rsidR="00A90898" w:rsidRDefault="00A90898" w:rsidP="00A90898">
      <w:pPr>
        <w:pStyle w:val="TextoNormal"/>
      </w:pPr>
      <w:r>
        <w:t>2º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veintiuno de julio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2" w:name="SENTENCIA_2016_143"/>
      <w:r>
        <w:lastRenderedPageBreak/>
        <w:t>SENTENCIA 143/2016, de 19 de septiembre de 2016</w:t>
      </w:r>
    </w:p>
    <w:bookmarkEnd w:id="22"/>
    <w:p w:rsidR="00A90898" w:rsidRDefault="00A90898" w:rsidP="00A90898">
      <w:pPr>
        <w:pStyle w:val="TtuloResolucin"/>
      </w:pPr>
      <w:r>
        <w:t>Sala Primera</w:t>
      </w:r>
    </w:p>
    <w:p w:rsidR="00A90898" w:rsidRDefault="00A90898" w:rsidP="00A90898">
      <w:pPr>
        <w:pStyle w:val="TtuloBOE"/>
      </w:pPr>
      <w:r>
        <w:t>(BOE núm. 263, de 31 de octubre de 2016)</w:t>
      </w:r>
    </w:p>
    <w:p w:rsidR="00A90898" w:rsidRDefault="00A90898" w:rsidP="00A90898">
      <w:pPr>
        <w:pStyle w:val="TextoNormalCentrado"/>
      </w:pPr>
      <w:r>
        <w:t>ECLI:ES:TC:2016:143</w:t>
      </w:r>
    </w:p>
    <w:p w:rsidR="00A90898" w:rsidRDefault="00A90898" w:rsidP="00A90898">
      <w:pPr>
        <w:pStyle w:val="TextoNormalCentrado"/>
      </w:pPr>
    </w:p>
    <w:p w:rsidR="00A90898" w:rsidRDefault="00A90898" w:rsidP="00A90898">
      <w:pPr>
        <w:pStyle w:val="SntesisDescriptiva"/>
      </w:pPr>
      <w:r>
        <w:t>Recurso de amparo 773-2013. Promovido por el Grupo Parlamentario Foro Asturias de la Junta General del Principado de Asturias respecto de los acuerdos de la Mesa de la Junta General del Principado de Asturias que aprobaron el cronograma del proyecto de Ley del Principado de Asturias de presupuestos generales para 2013.</w:t>
      </w:r>
    </w:p>
    <w:p w:rsidR="00A90898" w:rsidRDefault="00A90898" w:rsidP="00A90898">
      <w:pPr>
        <w:pStyle w:val="SntesisDescriptiva"/>
      </w:pPr>
    </w:p>
    <w:p w:rsidR="00A90898" w:rsidRDefault="00A90898" w:rsidP="00A90898">
      <w:pPr>
        <w:pStyle w:val="SntesisAnaltica"/>
      </w:pPr>
      <w:r>
        <w:t>Supuesta vulneración del derecho al ejercicio de las funciones públicas: reducción de plazo para la tramitación de un proyecto de ley presupuestaria que no alteró de manera sustancial el ejercicio de la función representativa.</w:t>
      </w:r>
    </w:p>
    <w:p w:rsidR="00A90898" w:rsidRDefault="00A90898" w:rsidP="00A90898">
      <w:pPr>
        <w:pStyle w:val="SntesisAnaltica"/>
      </w:pPr>
    </w:p>
    <w:p w:rsidR="00A90898" w:rsidRDefault="00A90898" w:rsidP="00A90898">
      <w:pPr>
        <w:pStyle w:val="Extracto"/>
      </w:pPr>
      <w:r>
        <w:t>1.</w:t>
      </w:r>
      <w:r>
        <w:tab/>
        <w:t>Cualquier infracción del estatuto del parlamentario no representa, por sí sola, una lesión del derecho fundamental, sino que para que se produzca una lesión con relevancia constitucional es necesario que queden afectados derechos o facultades que pertenezcan al núcleo de la función representativa parlamentaria [FJ 3].</w:t>
      </w:r>
    </w:p>
    <w:p w:rsidR="00A90898" w:rsidRDefault="00A90898" w:rsidP="00A90898">
      <w:pPr>
        <w:pStyle w:val="Extracto"/>
      </w:pPr>
    </w:p>
    <w:p w:rsidR="00A90898" w:rsidRDefault="00A90898" w:rsidP="00A90898">
      <w:pPr>
        <w:pStyle w:val="Extracto"/>
      </w:pPr>
      <w:r>
        <w:t>2.</w:t>
      </w:r>
      <w:r>
        <w:tab/>
        <w:t>Solo cabe apreciar una vulneración del art. 23.2 CE si los órganos de las Asambleas impiden o coartan ilegítimamente el núcleo esencial de la función representativa o adoptan decisiones jurídicamente reprobables que contraríen la naturaleza de la representación o la igualdad de los representantes [FJ 3].</w:t>
      </w:r>
    </w:p>
    <w:p w:rsidR="00A90898" w:rsidRDefault="00A90898" w:rsidP="00A90898">
      <w:pPr>
        <w:pStyle w:val="Extracto"/>
      </w:pPr>
    </w:p>
    <w:p w:rsidR="00A90898" w:rsidRDefault="00A90898" w:rsidP="00A90898">
      <w:pPr>
        <w:pStyle w:val="Extracto"/>
      </w:pPr>
      <w:r>
        <w:t>3.</w:t>
      </w:r>
      <w:r>
        <w:tab/>
        <w:t>El control de la actividad parlamentaria que debe desarrollarse en la jurisdicción de amparo no solo debe realizarse exclusivamente desde la perspectiva de los derechos fundamentales, sino también empleando un parámetro de control que tenga muy en cuenta la naturaleza de las mesas de los parlamentos y las funciones que desarrollan [FJ 3].</w:t>
      </w:r>
    </w:p>
    <w:p w:rsidR="00A90898" w:rsidRDefault="00A90898" w:rsidP="00A90898">
      <w:pPr>
        <w:pStyle w:val="Extracto"/>
      </w:pPr>
    </w:p>
    <w:p w:rsidR="00A90898" w:rsidRDefault="00A90898" w:rsidP="00A90898">
      <w:pPr>
        <w:pStyle w:val="Extracto"/>
      </w:pPr>
      <w:r>
        <w:t>4.</w:t>
      </w:r>
      <w:r>
        <w:tab/>
        <w:t>Una reducción del tiempo de tramitación no priva a las Cámaras del ejercicio de su función legislativa, ya que incide solo sobre su cronología, ni tiene por qué traducirse en merma alguna de los principios constitucionales que han de informar el procedimiento legislativo en cuanto procedimiento de formación de la voluntad del órgano [FJ 3].</w:t>
      </w:r>
    </w:p>
    <w:p w:rsidR="00A90898" w:rsidRDefault="00A90898" w:rsidP="00A90898">
      <w:pPr>
        <w:pStyle w:val="Extracto"/>
      </w:pPr>
    </w:p>
    <w:p w:rsidR="00A90898" w:rsidRDefault="00A90898" w:rsidP="00A90898">
      <w:pPr>
        <w:pStyle w:val="Extracto"/>
      </w:pPr>
      <w:r>
        <w:t>5.</w:t>
      </w:r>
      <w:r>
        <w:tab/>
        <w:t>La reducción del tiempo de tramitación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[FJ 3].</w:t>
      </w:r>
    </w:p>
    <w:p w:rsidR="00A90898" w:rsidRDefault="00A90898" w:rsidP="00A90898">
      <w:pPr>
        <w:pStyle w:val="Extracto"/>
      </w:pPr>
    </w:p>
    <w:p w:rsidR="00A90898" w:rsidRDefault="00A90898" w:rsidP="00A90898">
      <w:pPr>
        <w:pStyle w:val="Extracto"/>
      </w:pPr>
      <w:r>
        <w:t>6.</w:t>
      </w:r>
      <w:r>
        <w:tab/>
        <w:t xml:space="preserve">Los acuerdos impugnados, al interpretar y aplicar el reglamento de la cámara, considerando que la prohibición de tramitación urgente del Reglamento parlamentario no suponía un obstáculo para la aplicación del mismo y que concurría una situación habilitante de excepcionalidad, se han movido, en el ejercicio de una función que le es propia, dentro de parámetros interpretativos de esa legalidad </w:t>
      </w:r>
      <w:r>
        <w:lastRenderedPageBreak/>
        <w:t>parlamentaria que no caben ser censurados desde una perspectiva constitucional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773-2013, promovido por el Grupo Parlamentario Foro Asturias de la Junta General del Principado de Asturias, representado por el Procurador de los Tribunales don Manuel Lanchares Perlado, contra el Acuerdo de la Mesa de la Junta General del Principado de Asturias de 17 de diciembre de 2012, por el que se desestima la solicitud de reconsideración formulada contra el Acuerdo de 5 de diciembre de 2012, por el que se aprobó el cronograma del Proyecto de Ley del Principado de Asturias de Presupuestos Generales para 2013. Ha comparecido la Junta General del Principado de Asturias. Ha intervenido el Ministerio Fiscal. Ha sido Ponente el Magistrado don Juan Antonio Xiol Ríos, quien expresa el parecer de la Sala.</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Procurador de los Tribunales don Manuel Lanchares Perlado, en nombre y representación del Grupo Parlamentario Foro Asturias de la Junta General del Principado de Asturias, interpuso demanda de amparo contra los acuerdos parlamentarios que se mencionan en el encabezamiento de esta Sentencia mediante escrito registrado en este Tribunal el día 8 de febrero de 2013.</w:t>
      </w:r>
    </w:p>
    <w:p w:rsidR="00A90898" w:rsidRDefault="00A90898" w:rsidP="00A90898">
      <w:pPr>
        <w:pStyle w:val="TextoNormal"/>
      </w:pPr>
    </w:p>
    <w:p w:rsidR="00A90898" w:rsidRDefault="00A90898" w:rsidP="00A90898">
      <w:pPr>
        <w:pStyle w:val="TextoNormal"/>
      </w:pPr>
      <w:r w:rsidRPr="00A90898">
        <w:rPr>
          <w:rStyle w:val="NumeroAFNegritaCaracter"/>
        </w:rPr>
        <w:t>2</w:t>
      </w:r>
      <w:r>
        <w:t>. El recurso tiene su origen en los siguientes antecedentes:</w:t>
      </w:r>
    </w:p>
    <w:p w:rsidR="00A90898" w:rsidRDefault="00A90898" w:rsidP="00A90898">
      <w:pPr>
        <w:pStyle w:val="TextoNormal"/>
      </w:pPr>
    </w:p>
    <w:p w:rsidR="00A90898" w:rsidRDefault="00A90898" w:rsidP="00A90898">
      <w:pPr>
        <w:pStyle w:val="TextoNormal"/>
      </w:pPr>
      <w:r>
        <w:t xml:space="preserve">a) La Mesa de la Junta General del Principado de Asturias aprobó el cronograma del proyecto de Ley del Principado de Asturias de presupuestos generales para 2013 mediante acuerdo de 5 de diciembre de 2012, al amparo de los artículos 37.1 g), 120.2, 122 y 123 del Reglamento de la Junta General del Principado de Asturias. El acuerdo establece, entre otros extremos, que los plazos previstos para el desarrollo del procedimiento de aprobación de la Ley del Principado de Asturias de presupuestos generales para 2013 serían de (i) seis horas para los trámites de solicitud de comparecencias, ya que el fin de plazo se establecía a las 18:00 horas de ese mismo día 5 de diciembre de 2012; (ii) cinco días para su celebración, ya que se fijaron las eventuales comparecencias de cada una de las Consejerías para los días 10, 11, 12, 13 y 17 de diciembre de 2012; (iii) dos días para la presentación de enmiendas a </w:t>
      </w:r>
      <w:r>
        <w:lastRenderedPageBreak/>
        <w:t>la totalidad, ya que el plazo finalizaba a las 10:00 horas del día 19 de diciembre de 2012; (iv) seis días para las enmiendas parciales, ya que el plazo finalizaba a las 12:00 horas del día 24 de diciembre de 2012; y (vi) una hora para el trámite de ponencia.</w:t>
      </w:r>
    </w:p>
    <w:p w:rsidR="00A90898" w:rsidRDefault="00A90898" w:rsidP="00A90898">
      <w:pPr>
        <w:pStyle w:val="TextoNormal"/>
      </w:pPr>
    </w:p>
    <w:p w:rsidR="00A90898" w:rsidRDefault="00A90898" w:rsidP="00A90898">
      <w:pPr>
        <w:pStyle w:val="TextoNormal"/>
      </w:pPr>
      <w:r>
        <w:t>b) El Grupo Parlamentario Foro Asturias formuló una solicitud de reconsideración, de conformidad con lo previsto en el art. 37.2 del Reglamento de la Junta General del Principado de Asturias, invocando el art. 23.2 CE por entender que el acuerdo de la Mesa vulneraba el derecho de representación política de los miembros del grupo parlamentario, ya que el art. 138 del Reglamento no permite una reducción de plazos tan radical como la acordada en la medida en que también el art. 158.2 del Reglamento prohíbe la tramitación de la ley de presupuestos por el procedimiento de urgencia. También se incidió en el hecho de que la composición parlamentaria era más amplia respecto de legislaturas anteriores, lo que alargaba la duración de los trámites parlamentarios, siendo necesario disponer de más tiempo para estudiar y analizar con rigor toda la documentación en atención a la coyuntura económica.</w:t>
      </w:r>
    </w:p>
    <w:p w:rsidR="00A90898" w:rsidRDefault="00A90898" w:rsidP="00A90898">
      <w:pPr>
        <w:pStyle w:val="TextoNormal"/>
      </w:pPr>
    </w:p>
    <w:p w:rsidR="00A90898" w:rsidRDefault="00A90898" w:rsidP="00A90898">
      <w:pPr>
        <w:pStyle w:val="TextoNormal"/>
      </w:pPr>
      <w:r>
        <w:t>c) La Mesa de la Cámara desestimó la solicitud de reconsideración por acuerdo de 17 de diciembre de 2012, argumentando, en lo que se refiere a la aprobación del cronograma, que si bien los plazos son perentorios (i) es una práctica habitual en el Parlamento asturiano, siendo similares los plazos previstos y aprobados en el cronograma del proyecto de Ley de presupuestos de los años 2009, 2010 y 2011, entre otros; (ii) “la brevedad de los plazos no es puro arbitrio de la Cámara. Los proyectos de ley vienen siendo presentados por los sucesivos Consejos de Gobierno muy tardíamente (los proyectos para 2009 y 2010, por ejemplo entraron en la Cámara el 1 y el 2 de diciembre de 2008 y 2009, respectivamente; por tanto, solo tres y dos días antes que el proyecto en curso) inobservando el artículo 47.2 del Estatuto de Autonomía, con arreglo al cual el proyecto de presupuestos debe de presentarse en la Cámara ‘antes del último trimestre del año’. Lo que la Junta General hace con el cronograma —la práctica de elaborar cronogramas presupuestarios se remonta a la IV Legislatura— es administrar el breve tiempo que la Cámara dispone de modo tal que, al menos en lo que esté de su parte, pueda cumplirse el objetivo de que la aprobación de Presupuesto, que, según el artículo 47.4 del Estatuto de Autonomía es de su competencia, tenga lugar antes del primer día del ejercicio económico siguiente, evitando con ello la situación de prórroga presupuestaria que, en otro caso, activa automáticamente el artículo 47.4 del Estatuto de Autonomía y que, dadas las limitaciones propias de esa situación, priva al Presupuesto de una buena parte de su eficacia como ‘vehículo de dirección y orientación de la política económica’ (STC 27/1981, FJ 2), respecto de la que el Presupuesto tiene ‘carácter instrumental’(ibidem), ante lo cual el sacrifico de la duración reglamentaria de los plazos ha venido siendo considerado en la Cámara, hasta ahora sin impugnaciones formales, un mal menor frente al superior de contar, por su importancia económica, con un Presupuesto en fecha”: y (iii) “se abrevian plazos, sí, pero no se suprimen trámites, ni se dispensa un trato distinto a unos Grupos y a otros, ni está, en fin, acreditado, que los Grupos y Diputados no puedan participar en cada una de las fases del procedimiento legislativo”.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Grupo Parlamentario recurrente alega que las decisiones de la Mesa han vulnerado el derecho de participación política (art. 23 CE) por aprobar un cronograma para el desarrollo del procedimiento de tramitación de la Ley del Principado de Asturias de presupuestos generales para 2013 que (i) incumple el Reglamento de la Cámara y (ii) afecta al ejercicio </w:t>
      </w:r>
      <w:r>
        <w:lastRenderedPageBreak/>
        <w:t xml:space="preserve">de las funciones de examen, enmienda, aprobación y control que forman parte del </w:t>
      </w:r>
      <w:r w:rsidRPr="00A90898">
        <w:rPr>
          <w:i/>
        </w:rPr>
        <w:t>ius in officium</w:t>
      </w:r>
      <w:r>
        <w:t xml:space="preserve"> de los representantes parlamentarios.</w:t>
      </w:r>
    </w:p>
    <w:p w:rsidR="00A90898" w:rsidRDefault="00A90898" w:rsidP="00A90898">
      <w:pPr>
        <w:pStyle w:val="TextoNormal"/>
      </w:pPr>
    </w:p>
    <w:p w:rsidR="00A90898" w:rsidRDefault="00A90898" w:rsidP="00A90898">
      <w:pPr>
        <w:pStyle w:val="TextoNormal"/>
      </w:pPr>
      <w:r>
        <w:t>El Grupo Parlamentario recurrente afirma que los acuerdos recurridos han infringido la legalidad parlamentaria “por cuanto aprueban y deciden la ordenación temporal y consecución del procedimiento legislativo para la aprobación del proyecto de Ley de presupuestos generales del Principado de Asturias para 2013 a través de una fugaz y apretada sucesión de trámites cuya duración contraría radicalmente la normativa parlamentaria hasta el punto de convertir el especial procedimiento legislativo presupuestario previsto por el Reglamento de la Cámara asturiana en una mera formalidad que ha coartado por entero el desarrollo de las funciones que corresponde ejercer a los miembros de la Junta General del Principado”. A esos efectos, señala que los plazos previstos en el cronograma “fueron de seis horas para los trámites de solicitud de comparecencias y cinco días para su celebración, dos días para la presentación de enmiendas de totalidad y seis para las enmiendas parciales y el trámite de ponencia resultó simbólicamente reducido a una hora. Sin embargo, los plazos establecidos para cada uno de dichos trámites habrían de haber sido según disponen los artículos 139.1, 139.2 y 142 del Reglamento de la Junta General del Principado de Asturias de seis días para la solicitud de comparecencias, quince días para su celebración, diez días para presentar enmiendas tanto de totalidad como parciales y siete días para el trámite de ponencia”.</w:t>
      </w:r>
    </w:p>
    <w:p w:rsidR="00A90898" w:rsidRDefault="00A90898" w:rsidP="00A90898">
      <w:pPr>
        <w:pStyle w:val="TextoNormal"/>
      </w:pPr>
    </w:p>
    <w:p w:rsidR="00A90898" w:rsidRDefault="00A90898" w:rsidP="00A90898">
      <w:pPr>
        <w:pStyle w:val="TextoNormal"/>
      </w:pPr>
      <w:r>
        <w:t>También destaca que, en atención a la singularidad de la legislación presupuestaria, el art. 158.2 del Reglamento parlamentario prohíbe expresamente la declaración de urgencia para la tramitación del proyecto de ley presupuestaria, “esto es, la normativa parlamentaria asturiana no permite que de acuerdo con lo previsto en los artículos 122 y 123 del RJC los plazos establecidos con carácter ordinario para los diferentes trámites que conforman el procedimiento legislativo que ha de desarrollarse para la aprobación de los Presupuestos Generales de la Comunidad Autónoma se acorten a la mitad de la duración prevista en el propio Reglamento para su realización”. A pesar de esta prohibición, “sin embargo, a raíz de los Acuerdos recurridos, el tiempo acordado para el desarrollo de los sucesivos trámites que conforman el procedimiento legislativo presupuestario en el Principado de Asturias fue incluso sustancialmente inferior al que dichos trámites hubieran tenido en el supuesto de que se atendiera un (ilegal) procedimiento de urgencia”.</w:t>
      </w:r>
    </w:p>
    <w:p w:rsidR="00A90898" w:rsidRDefault="00A90898" w:rsidP="00A90898">
      <w:pPr>
        <w:pStyle w:val="TextoNormal"/>
      </w:pPr>
    </w:p>
    <w:p w:rsidR="00A90898" w:rsidRDefault="00A90898" w:rsidP="00A90898">
      <w:pPr>
        <w:pStyle w:val="TextoNormal"/>
      </w:pPr>
      <w:r>
        <w:t>El Grupo parlamentario recurrente, ante la expresa prohibición de la tramitación por el procedimiento de urgencia afirma que “cabe colegir que el desarrollo del particular procedimiento acordado para el proyecto de ley del Principado de Asturias de Presupuestos Generales para 2013 … encontraría entonces su justificación en el artículo 120 del Reglamento de la Junta General del Principado de Asturias”. Este precepto permite a la Mesa de la Cámara reducir los plazos establecidos en el Reglamento y, salvo casos excepcionales, esa reducción no puede ser en menos de la mitad. Sin embargo, expone que no se atisba “ninguna razón que justifique una eventual excepcionalidad del asunto ni, en suma, una argumentación que despeje las objeciones a la contravención normativa predicable de los Acuerdos recurridos”. A esos efectos, afirma que la argumentación expuesta en el acuerdo de desestimación de la solicitud de reconsideración sobre la necesidad de sacrificar la duración reglamentaria de los plazos para contar con la aprobación del presupuesto antes del primer día del ejercicio económico siguiente no resulta atendible, ya que ello se derivó de la des</w:t>
      </w:r>
      <w:r>
        <w:lastRenderedPageBreak/>
        <w:t>atención del ejecutivo autonómico en el cumplimiento de la presentación en el plazo establecido estatutariamente del proyecto de ley de presupuestos antes del último trimestre del año. Así, concluye que “tan solo cabría que hubiera reducido los plazos de tramitación ordinarios del Proyecto de ley de Presupuestos presentado por el Ejecutivo asturiano en el supuesto de que estuviéramos ante un caso excepcional, pero, desde luego, no a raíz de una valoración propia entre los fines a los que responde la tramitación de la aprobación de la Ley de Presupuestos Generales y la repercusión económica que podría suponer que dicha Ley no fuera aprobada antes del primer día del ejercicio económico siguiente”. Por último, el Grupo Parlamentario recurrente afirma que la invocación que hace el acuerdo desestimatorio de la solicitud de reconsideración a la existencia de precedentes en el acortamiento de plazos en el procedimiento de tramitación no resulta suficiente en la medida en que suponga una práctica contraria al Reglamento y que obstaculice desproporcionadamente las facultades reconocidas a los parlamentarios en el ejercicio de sus funciones constitucionalmente garantizadas.</w:t>
      </w:r>
    </w:p>
    <w:p w:rsidR="00A90898" w:rsidRDefault="00A90898" w:rsidP="00A90898">
      <w:pPr>
        <w:pStyle w:val="TextoNormal"/>
      </w:pPr>
    </w:p>
    <w:p w:rsidR="00A90898" w:rsidRDefault="00A90898" w:rsidP="00A90898">
      <w:pPr>
        <w:pStyle w:val="TextoNormal"/>
      </w:pPr>
      <w:r>
        <w:t xml:space="preserve">El Grupo Parlamentario recurrente afirma que los acuerdos impugnados, además de incumplir el Reglamento de la Cámara, han afectado al ejercicio de las funciones de examen, enmienda, aprobación y control que forman parte del </w:t>
      </w:r>
      <w:r w:rsidRPr="00A90898">
        <w:rPr>
          <w:i/>
        </w:rPr>
        <w:t>ius in officium</w:t>
      </w:r>
      <w:r>
        <w:t xml:space="preserve"> de los representantes parlamentarios. Expone, en primer lugar, la importancia de la ley de presupuestos y el control democrático que los diversos grupos parlamentarios hacen de la acción del Gobierno en el procedimiento para su aprobación, concluyendo que la reducción hasta el absurdo de la duración de los plazos reglamentariamente previstos para su tramitación impide un estudio detallado por parte de los miembros de la Cámara y, por tanto, su fiscalización. Afirma que la restricción más allá de un término razonable de la duración del plazo para solicitar las comparecencias de quienes los grupos parlamentarios de la minoría consideran que pueden aportar elementos para el ejercicio de la función de control incide en el núcleo básico de la función parlamentaria garantizado por el art. 23.2 CE, ya que no es razonable un plazo de seis horas para estudiar y proponer a las personas que resultaría adecuado escuchar para desarrollar un control de los presupuestos. Esas mismas consideraciones se hace en relación con el trámite de enmiendas, cuya reducción de plazos provocó un ineficaz desarrollo del ejercicio del derecho de enmienda propio de los Diputados, lo que unido a la limitación absoluta del trámite de ponencia, reducido a una hora, explica la razón de que ni una sola de las enmiendas formuladas por la oposición fuera aceptada.</w:t>
      </w:r>
    </w:p>
    <w:p w:rsidR="00A90898" w:rsidRDefault="00A90898" w:rsidP="00A90898">
      <w:pPr>
        <w:pStyle w:val="TextoNormal"/>
      </w:pPr>
    </w:p>
    <w:p w:rsidR="00A90898" w:rsidRDefault="00A90898" w:rsidP="00A90898">
      <w:pPr>
        <w:pStyle w:val="TextoNormal"/>
      </w:pPr>
      <w:r>
        <w:t xml:space="preserve">En conclusión, el grupo parlamentario recurrente afirma que la inobservancia del procedimiento reglamentariamente previsto para la aprobación de la ley de presupuestos generales, entendido como cauce que permite a la Cámara una fiscalización del proyecto económico del ejecutivo y una reflexión previa a la toma de decisión, implica una alteración sustancial del proceso de formación de la voluntad de la Cámara y menoscaba las funciones de los diputados en la aprobación del presupuesto. El desarrollo de la función legislativa exige que se facilite a los diputados un tiempo suficiente para el examen del proyecto de ley de presupuestos, a fin de que puedan intervenir en la mejora del texto propuesto, sin que resulte admisible que se limite el tiempo de modo que se evite un detallado conocimiento del proyecto y se haga imposible la presentación de iniciativas parlamentarias preparadas con el debido sosiego, lo que vulnera abiertamente el </w:t>
      </w:r>
      <w:r w:rsidRPr="00A90898">
        <w:rPr>
          <w:i/>
        </w:rPr>
        <w:t>ius in officium</w:t>
      </w:r>
      <w:r>
        <w:t xml:space="preserve"> de los miembros del Grupo Parlamentario recurrente y, por ello, el derecho reconocido en el art. 23.2 C.E, haciendo ineficaz el derecho de los ciudadanos a participar en los asuntos públicos a través de sus representantes, consagrado en el art. 23.1 CE.</w:t>
      </w:r>
    </w:p>
    <w:p w:rsidR="00A90898" w:rsidRDefault="00A90898" w:rsidP="00A90898">
      <w:pPr>
        <w:pStyle w:val="TextoNormal"/>
      </w:pPr>
    </w:p>
    <w:p w:rsidR="00A90898" w:rsidRDefault="00A90898" w:rsidP="00A90898">
      <w:pPr>
        <w:pStyle w:val="TextoNormal"/>
      </w:pPr>
      <w:r w:rsidRPr="00A90898">
        <w:rPr>
          <w:rStyle w:val="NumeroAFNegritaCaracter"/>
        </w:rPr>
        <w:t>4</w:t>
      </w:r>
      <w:r>
        <w:t>. La Sala Primera de este Tribunal, por providencia de 13 de abril de 2015, acordó admitir a trámite la demanda de amparo, apreciando que concurre una especial trascendencia constitucional (art. 50.1 de la Ley Orgánica del Tribunal Constitucional: LOTC) porque el asunto suscitado trasciende del caso concreto pues pudiera tener unas consecuencias políticas generales [STC 155/2009, FJ 2 g)] y, en aplicación de lo dispuesto en el art. 51 LOTC, acordó requerir a la Mesa de la Junta General del Principado de Asturias la remisión del testimonio de las actuaciones, acompañándose copia de la demanda a los efectos de su personación en el presente proceso.</w:t>
      </w:r>
    </w:p>
    <w:p w:rsidR="00A90898" w:rsidRDefault="00A90898" w:rsidP="00A90898">
      <w:pPr>
        <w:pStyle w:val="TextoNormal"/>
      </w:pPr>
    </w:p>
    <w:p w:rsidR="00A90898" w:rsidRDefault="00A90898" w:rsidP="00A90898">
      <w:pPr>
        <w:pStyle w:val="TextoNormal"/>
      </w:pPr>
      <w:r w:rsidRPr="00A90898">
        <w:rPr>
          <w:rStyle w:val="NumeroAFNegritaCaracter"/>
        </w:rPr>
        <w:t>5</w:t>
      </w:r>
      <w:r>
        <w:t>. La Secretaría de Justicia de la Sala Primera de este Tribunal, por diligencia de ordenación de 20 de mayo de 2015, acordó tener por personado y parte al Letrado Mayor de la Junta General del Principado de Asturias y dar vista de las actuaciones al Ministerio Fiscal y a las partes personadas por plazo común de veinte días para presentar las alegaciones que estimasen pertinentes, de conformidad con el art. 52 LOTC.</w:t>
      </w:r>
    </w:p>
    <w:p w:rsidR="00A90898" w:rsidRDefault="00A90898" w:rsidP="00A90898">
      <w:pPr>
        <w:pStyle w:val="TextoNormal"/>
      </w:pPr>
    </w:p>
    <w:p w:rsidR="00A90898" w:rsidRDefault="00A90898" w:rsidP="00A90898">
      <w:pPr>
        <w:pStyle w:val="TextoNormal"/>
      </w:pPr>
      <w:r w:rsidRPr="00A90898">
        <w:rPr>
          <w:rStyle w:val="NumeroAFNegritaCaracter"/>
        </w:rPr>
        <w:t>6</w:t>
      </w:r>
      <w:r>
        <w:t>. El Ministerio Fiscal, por escrito registrado el 29 de junio de 2015, formuló alegaciones interesando la desestimación del recurso de amparo.</w:t>
      </w:r>
    </w:p>
    <w:p w:rsidR="00A90898" w:rsidRDefault="00A90898" w:rsidP="00A90898">
      <w:pPr>
        <w:pStyle w:val="TextoNormal"/>
      </w:pPr>
    </w:p>
    <w:p w:rsidR="00A90898" w:rsidRDefault="00A90898" w:rsidP="00A90898">
      <w:pPr>
        <w:pStyle w:val="TextoNormal"/>
      </w:pPr>
      <w:r>
        <w:t>El Ministerio Fiscal afirma que la limitación temporal de los plazos previstos para el procedimiento legislativo está regulada en el Reglamento de la Cámara y tiene su reflejo en el art. 120 del Reglamento de la Junta General del Principado de Asturias que dispone que “1. La Mesa de la Cámara podrá acordar la prórroga o reducción de los plazos establecidos en este Reglamento. 2. Salvo casos excepcionales, los plazos no podrán prorrogarse en más del doble de su duración reglamentaria ni reducirse en menos de la mitad”. A partir de ello, concluye que “la norma reglamentaria habilita a la Mesa para reducir los plazos del procedimiento legislativo sin introducir ningún tipo de restricción según la naturaleza del proyecto de ley, lo que no excluye, por tanto, al proyecto de ley de presupuestos que puede, por razones excepcionales, ver reducidos los plazos de su tramitación por el procedimiento legislativo común”, por lo que es conforme a la legalidad parlamentaria de la Junta General del Principado de Asturias el acortamiento de los plazos acordado por la Mesa de la Cámara. A esos efectos, pone de manifiesto como en el acuerdo de desestimación de la solicitud de reconsideración, la Mesa expuso las razones por las que apreciaba una situación de excepcionalidad que, en última instancia, justificaba al amparo del art. 120.2 del Reglamento de la Junta General del Principado de Asturias una reducción de plazos incluso por debajo de la mitad de los previstos reglamentariamente, como era “la necesidad de aprobar los presupuestos en el plazo legalmente señalado; la importancia económica del Presupuesto para la Comunidad Autónoma; evitar la prórroga presupuestaria; impedir que la prórroga prive al presupuesto de buena parte de su eficacia”.</w:t>
      </w:r>
    </w:p>
    <w:p w:rsidR="00A90898" w:rsidRDefault="00A90898" w:rsidP="00A90898">
      <w:pPr>
        <w:pStyle w:val="TextoNormal"/>
      </w:pPr>
    </w:p>
    <w:p w:rsidR="00A90898" w:rsidRDefault="00A90898" w:rsidP="00A90898">
      <w:pPr>
        <w:pStyle w:val="TextoNormal"/>
      </w:pPr>
      <w:r>
        <w:t xml:space="preserve">El Ministerio Fiscal expone que no se ha suprimido ninguno de los trámites procedimentalmente previstos para la tramitación y aprobación o rechazo del proyecto de ley de presupuestos y los demandantes no concretan ni acreditan qué comparecencias no pudieron solicitar y cómo un aumento de los plazos hubieran permitido al Grupo parlamentario el adecuado y eficiente control que reclama. También afirma que la reducción del plazo para el trámite de enmienda es mínimo, de solo dos días, por lo que “no tiene incidencia en el </w:t>
      </w:r>
      <w:r>
        <w:lastRenderedPageBreak/>
        <w:t xml:space="preserve">derecho de participación del grupo Parlamentario y en las facultades que asisten a sus parlamentarios en el ejercicio del </w:t>
      </w:r>
      <w:r w:rsidRPr="00A90898">
        <w:rPr>
          <w:i/>
        </w:rPr>
        <w:t>ius in officium</w:t>
      </w:r>
      <w:r>
        <w:t>” y aunque comparte con los demandantes que el plazo de Ponencia señalado en el cronograma presenta rasgos de ser meramente simbólico, insiste en que en la demanda no se señala cuál hubiera sido la ponencia resultante si se hubiera observado el plazo legal y cómo afectó a la acción legislativa del grupo en la fiscalización del presupuesto.</w:t>
      </w:r>
    </w:p>
    <w:p w:rsidR="00A90898" w:rsidRDefault="00A90898" w:rsidP="00A90898">
      <w:pPr>
        <w:pStyle w:val="TextoNormal"/>
      </w:pPr>
    </w:p>
    <w:p w:rsidR="00A90898" w:rsidRDefault="00A90898" w:rsidP="00A90898">
      <w:pPr>
        <w:pStyle w:val="TextoNormal"/>
      </w:pPr>
      <w:r>
        <w:t>Por tanto, el Ministerio Fiscal sostiene que no se ha vulnerado la legalidad parlamentaria y que la reducción de plazos tampoco ha afectado al derecho de participación del grupo parlamentario recurrente en la tramitación del proyecto de ley de presupuestos para el año 2013 del Principado de Asturias, ya que ha tenido la posibilidad de pedir comparecencias, ha presentado enmiendas y ha participado en los debates de elaboración de la ley, por lo que cabe hablar de una participación activa en la configuración de la ley presupuestaria.</w:t>
      </w:r>
    </w:p>
    <w:p w:rsidR="00A90898" w:rsidRDefault="00A90898" w:rsidP="00A90898">
      <w:pPr>
        <w:pStyle w:val="TextoNormal"/>
      </w:pPr>
    </w:p>
    <w:p w:rsidR="00A90898" w:rsidRDefault="00A90898" w:rsidP="00A90898">
      <w:pPr>
        <w:pStyle w:val="TextoNormal"/>
      </w:pPr>
      <w:r w:rsidRPr="00A90898">
        <w:rPr>
          <w:rStyle w:val="NumeroAFNegritaCaracter"/>
        </w:rPr>
        <w:t>7</w:t>
      </w:r>
      <w:r>
        <w:t>. La Junta General del Principado de Asturias, mediante escrito registrado el 8 de junio de 2014, formuló alegaciones solicitando la desestimación del recurso de amparo.</w:t>
      </w:r>
    </w:p>
    <w:p w:rsidR="00A90898" w:rsidRDefault="00A90898" w:rsidP="00A90898">
      <w:pPr>
        <w:pStyle w:val="TextoNormal"/>
      </w:pPr>
    </w:p>
    <w:p w:rsidR="00A90898" w:rsidRDefault="00A90898" w:rsidP="00A90898">
      <w:pPr>
        <w:pStyle w:val="TextoNormal"/>
      </w:pPr>
      <w:r>
        <w:t>El representante de la Junta General del Principado de Asturias comienza su escrito de alegaciones constatando que, con arreglo al cronograma impugnado y según acredita la documentación adjunta, tres de los cuatro representantes del Grupo Parlamentario Foro Asturias en la Comisión de Hacienda y Sector Público solicitaron 94 comparecencias; la Comisión dedicó a la celebración de las comparecencias un total de 37 horas y 23 minutos; el Grupo parlamentario recurrente presentó 77 enmiendas, una la totalidad y 76 parciales y, finalmente, al trámite de informe de la ponencia se dedicó una hora y 25 minutos.</w:t>
      </w:r>
    </w:p>
    <w:p w:rsidR="00A90898" w:rsidRDefault="00A90898" w:rsidP="00A90898">
      <w:pPr>
        <w:pStyle w:val="TextoNormal"/>
      </w:pPr>
    </w:p>
    <w:p w:rsidR="00A90898" w:rsidRDefault="00A90898" w:rsidP="00A90898">
      <w:pPr>
        <w:pStyle w:val="TextoNormal"/>
      </w:pPr>
      <w:r>
        <w:t>La Junta General del Principado de Asturias, en relación con la aducida vulneración de la legalidad parlamentaria, afirma que (i) es lícito que la Mesa tome en consideración elementos y criterios de oportunidad política en la ordenación temporal del quehacer legislativo en tanto que el art. 37.1 g) del Reglamento de la Junta General del Principado de Asturias atribuye a la Mesa la función de “programar las líneas generales de actuación de la Cámara, fijar el calendario de actividades del Pleno y de las Comisiones para cada periodo de sesiones y coordinar los trabajos de sus distintos órganos”; (ii) la aprobación del Presupuesto de la Comunidad Autónoma no es una cuestión que incumba exclusivamente al Consejo de Gobierno, sino que es una responsabilidad compartida con la Junta General, en tanto que el art. 47.1 del Estatuto de Autonomía atribuye al primero la competencia de la elaboración y al segundo su examen, enmienda, aprobación y control; y (iii) la reducción de plazos se fundamenta en la previsión del art. 120.2 del Reglamento parlamentario que permite en casos excepcionales hacerlo en menos de la mitad, justificándose en este caso esa excepcionalidad en el hecho de que el supuesto ordinario es que la aprobación del presupuesto se produzca antes del 1 de enero de cada año para evitar una prórroga, que lo es únicamente en sus créditos iniciales y no en los consolidados, y que, en este caso, además, el Principado de Asturias se había pasado ya todo el año 2012 en situación de prórroga presupuestaria en relación con el presupuesto de 2011. Igualmente, justifica esa situación excepcional en el hecho de que se había aprobado la Ley Orgánica 2/2012, de 27 de abril, de estabilidad presupuestaria y sostenibilidad financiera, que fijaba nuevas reglas preceptivas para la elaboración y aprobación de los presupuestos autonómicos que el elaborado para 2011 y ya prorrogado durante 2012 difícilmente habrían podido prever.</w:t>
      </w:r>
    </w:p>
    <w:p w:rsidR="00A90898" w:rsidRDefault="00A90898" w:rsidP="00A90898">
      <w:pPr>
        <w:pStyle w:val="TextoNormal"/>
      </w:pPr>
    </w:p>
    <w:p w:rsidR="00A90898" w:rsidRDefault="00A90898" w:rsidP="00A90898">
      <w:pPr>
        <w:pStyle w:val="TextoNormal"/>
      </w:pPr>
      <w:r>
        <w:lastRenderedPageBreak/>
        <w:t>La Junta General del Principado de Asturias considera que la reducción de plazos tampoco habría lesionado el ejercicio del derecho de la función representativa de los Diputados integrados en el Grupo parlamentario recurrente. Afirma, en primer lugar, (i) que en el Reglamento de la Cámara reducir los plazos no es lo mismo que declarar la urgencia, ya que si bien esta comporta una reducción de plazos, esta reducción puede hacerse al amparo del art. 120 del Reglamento de la Junta General del Principado de Asturias sin declarar la urgencia; (ii) que el acuerdo aprobatorio del cronograma no declaró la situación de urgencia; y (iii) que la reducción de plazos no afecto a toda la tramitación del proyecto bien porque no todos los trámites están sometidos a plazo, bien porque no siempre la reducción de plazos traspasó el umbral de la urgencia que se establece en la mitad. Así, pone de manifiesto pues si bien el trámite para solicitar comparecencias se redujo en más de la mitad, no se transgredió el tiempo marcado por el Reglamento para celebrarlas “dentro de los quince días siguientes al traslado de su solicitud”, concluyendo que “si bien se celebraron bastante seguidas, nada dice el Reglamento del tiempo que debe mediar entre cada una de ellas”. También sostiene que el Reglamento establece, con carácter general para todo procedimiento legislativo, que la documentación de las sesiones debe estar disponible “con al menos cuarenta y ocho horas de antelación” (art. 93 del Reglamento), y el cronograma impugnado “dejó más de cuarenta y ocho horas entre la distribución del Proyecto y el inicio, a la semana siguiente, de las comparecencias”, añadiendo que los tiempos previstos en el reglamento para el desarrollo de cada comparecencia no sufrieron recorte alguno: una hora de preguntas y cinco minutos para la fijación de posición por cada Grupo Parlamentario. En cuanto a las enmiendas, el cronograma habilitaba seis días para la presentación de las parciales (un día más de la mitad del plazo reglamentario total de diez días según el art. 139.2 del Reglamento para las enmiendas totales y parciales) sin traspasar, a su juicio, el umbral de la urgencia del artículo 123 del Reglamento y, por lo que se refiere a la reunión de la Ponencia, si bien duró una hora y 25 minutos, el Reglamento se limita a fijar para los trabajos de la ponencia un máximo de siete días (art. 142 del Reglamento de la Junta General del Principado de Asturias), pero sin señalar ningún mínimo.</w:t>
      </w:r>
    </w:p>
    <w:p w:rsidR="00A90898" w:rsidRDefault="00A90898" w:rsidP="00A90898">
      <w:pPr>
        <w:pStyle w:val="TextoNormal"/>
      </w:pPr>
    </w:p>
    <w:p w:rsidR="00A90898" w:rsidRDefault="00A90898" w:rsidP="00A90898">
      <w:pPr>
        <w:pStyle w:val="TextoNormal"/>
      </w:pPr>
      <w:r>
        <w:t>No obstante lo anterior, el Letrado Mayor concluye que “aun admitiendo, a efectos meramente dialécticos, que la reducción de plazos que operó el cronograma impugnado pudiera equivaler de hecho a una tramitación del proyecto de ley presupuestario por el procedimiento de urgencia prohibido por el artículo 158.2 del Reglamento, no por ello, y pese a ello, es forzoso concluir que ha resultado vulnerado el artículo 23 de la Constitución”, toda vez que, en este caso, la reducción de los plazos del cronograma impugnado no dañó el núcleo de la función representativa de los Diputados recurrentes, pues los plazos fueron los mismos para todos los grupos parlamentarios y, por otra parte, los recurrentes no acreditan ningún daño real y efectivo en el núcleo de su función representativa, citando la doctrina del Tribunal Constitucional según la cual para que la reducción de los plazos reglamentarios en la tramitación de proyectos de ley pudiera fundar un reproche jurídico con trascendencia constitucional sería necesario acreditar que se “hubiese alterado, no de cualquier manera, sino de forma sustancial, el proceso de formación de la voluntad de una Cámara, habiendo afectado, en consecuencia, al ejercicio de la función representativa inherente al estatuto del parlamentario (STC 209/2012, FJ 2 con cita de las SSTC 136/2011, FJ 10, y 176/2011, FJ 2 y más recientemente la STC 44/2015, FJ 2)”.</w:t>
      </w:r>
    </w:p>
    <w:p w:rsidR="00A90898" w:rsidRDefault="00A90898" w:rsidP="00A90898">
      <w:pPr>
        <w:pStyle w:val="TextoNormal"/>
      </w:pPr>
    </w:p>
    <w:p w:rsidR="00A90898" w:rsidRDefault="00A90898" w:rsidP="00A90898">
      <w:pPr>
        <w:pStyle w:val="TextoNormal"/>
      </w:pPr>
      <w:r w:rsidRPr="00A90898">
        <w:rPr>
          <w:rStyle w:val="NumeroAFNegritaCaracter"/>
        </w:rPr>
        <w:t>8</w:t>
      </w:r>
      <w:r>
        <w:t>. El Grupo Parlamentario recurrente, en escrito registrado el 22 de junio de 2015, presentó su escrito de alegaciones, reproduciendo las formuladas en la demanda de amparo.</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15 de septiembre de 2016, se señaló para la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objeto de este recurso de amparo, interpuesto por la vía del art. 42 de la Ley Orgánica del Tribunal Constitucional (LOTC), es determinar si los acuerdos de la Mesa de la Junta General del Principado de Asturias por los que se establece el cronograma para la tramitación del proyecto de ley del Principado de Asturias de presupuestos generales para 2013 han vulnerado el derecho de representación política (art. 23 CE) del Grupo parlamentario recurrente, por haberse establecido unos plazos inferiores a los previstos reglamentariamente, limitando con ello el ejercicio de las funciones de examen, enmienda, aprobación y control, que conforma el </w:t>
      </w:r>
      <w:r w:rsidRPr="00A90898">
        <w:rPr>
          <w:i/>
        </w:rPr>
        <w:t>ius in officium</w:t>
      </w:r>
      <w:r>
        <w:t xml:space="preserve"> [derecho al cargo] de los representantes parlamentarios.</w:t>
      </w:r>
    </w:p>
    <w:p w:rsidR="00A90898" w:rsidRDefault="00A90898" w:rsidP="00A90898">
      <w:pPr>
        <w:pStyle w:val="TextoNormal"/>
      </w:pPr>
    </w:p>
    <w:p w:rsidR="00A90898" w:rsidRDefault="00A90898" w:rsidP="00A90898">
      <w:pPr>
        <w:pStyle w:val="TextoNormal"/>
      </w:pPr>
      <w:r w:rsidRPr="00A90898">
        <w:rPr>
          <w:rStyle w:val="NumeroAFNegritaCaracter"/>
        </w:rPr>
        <w:t>2</w:t>
      </w:r>
      <w:r>
        <w:t>. La especial transcendencia constitucional del presente recurso, que es requisito para su admisión de conformidad con los arts. 49.1 y 50.1 b) LOTC, radica en que el asunto suscitado trasciende del caso concreto, toda vez que pudiera tener unas consecuencias políticas generales [STC 155/2009, de 25 de junio, FJ 2 g)]. Así se puso de manifiesto en la providencia de admisión, para cumplir con exigencias de certeza y buena administración de justicia que permiten hacer reconocibles los criterios empleados al efecto por el Tribunal Constitucional (STEDH de 20 de enero de 2015, caso Arribas Antón c. España, § 46).</w:t>
      </w:r>
    </w:p>
    <w:p w:rsidR="00A90898" w:rsidRDefault="00A90898" w:rsidP="00A90898">
      <w:pPr>
        <w:pStyle w:val="TextoNormal"/>
      </w:pPr>
    </w:p>
    <w:p w:rsidR="00A90898" w:rsidRDefault="00A90898" w:rsidP="00A90898">
      <w:pPr>
        <w:pStyle w:val="TextoNormal"/>
      </w:pPr>
      <w:r>
        <w:t>La jurisprudencia constitucional ha expuesto que los amparos parlamentarios del art. 42 LOTC tienen una particularidad respecto del resto de los recursos de amparo, pues no existe una vía jurisdiccional previa a esta jurisdicción de amparo que posibilite la reparación de los derechos fundamentales que el art. 23 CE reconoce a los representantes políticos (por ejemplo, STC 200/2014, de 15 de diciembre, FJ 2). Además, los amparos parlamentarios, dada la repercusión general que tiene el ejercicio de la función representativa y que excede del ámbito particular del parlamentario y del grupo en el que se integra, cuentan también con una dimensión e interés objetivo que, a los efectos de su admisibilidad, determinan la concurrencia de su especial trascendencia constitucional (STC 155/2009, FJ 2), especialmente en un caso como el presente en que se plantea una cuestión, como es el acortamiento excepcional de plazos en la tramitación de leyes presupuestarias, sobre la que era preciso establecer un pronunciamiento constitucional.</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La jurisprudencia constitucional ha declarado que el derecho de acceso en condiciones de igualdad a las funciones y cargos públicos (art. 23.2 CE) incorpora el derecho de los parlamentarios y de los grupos en que se integran a ejercer sus funciones en condiciones de igualdad dentro de la legalidad parlamentaria. Este </w:t>
      </w:r>
      <w:r w:rsidRPr="00A90898">
        <w:rPr>
          <w:i/>
        </w:rPr>
        <w:t>ius in officium</w:t>
      </w:r>
      <w:r>
        <w:t xml:space="preserve"> es definido como un derecho de configuración legal, en el sentido de que compete básicamente a los Reglamentos de las Cámaras fijar y ordenar los derechos y atribuciones que corresponden a los parlamentarios, de modo que, una vez reconocidos y configurados aquellos derechos y facultades, se integran en su estatus representativo. Igualmente, este Tribunal tiene declarado que cual</w:t>
      </w:r>
      <w:r>
        <w:lastRenderedPageBreak/>
        <w:t>quier infracción del estatuto del parlamentario no representa, por sí sola, una lesión del derecho fundamental, sino que para que se produzca una lesión con relevancia constitucional es necesario que queden afectados derechos o facultades que pertenezcan al núcleo de la función representativa parlamentaria. Asimismo, se concluye que solo cabe apreciar una vulneración del art. 23.2 CE si los órganos de las Asambleas impiden o coartan ilegítimamente el núcleo esencial de la función representativa o adoptan decisiones jurídicamente reprobables que contraríen la naturaleza de la representación o la igualdad de los representantes (por ejemplo, SSTC 119/2011, de 5 de julio, FJ 3, o 191/2013, de 18 de noviembre, FJ 3).</w:t>
      </w:r>
    </w:p>
    <w:p w:rsidR="00A90898" w:rsidRDefault="00A90898" w:rsidP="00A90898">
      <w:pPr>
        <w:pStyle w:val="TextoNormal"/>
      </w:pPr>
    </w:p>
    <w:p w:rsidR="00A90898" w:rsidRDefault="00A90898" w:rsidP="00A90898">
      <w:pPr>
        <w:pStyle w:val="TextoNormal"/>
      </w:pPr>
      <w:r>
        <w:t>En relación con ello, la jurisprudencia constitucional ha establecido que la autonomía parlamentaria garantizada constitucionalmente (art. 72 CE) y la propia naturaleza del art. 23.2 CE como derecho de configuración legal también obligan a otorgar a los Parlamentos y, significativamente, a sus órganos rectores, un margen de aplicación en la interpretación de la legalidad parlamentaria que este Tribunal no puede desconocer, lo que ha llevado a afirmar que el control de la actividad parlamentaria que debe desarrollarse en la jurisdicción de amparo por la vía del art. 42 LOTC no solo debe realizarse exclusivamente desde la perspectiva de los derechos fundamentales, sino también empleando un parámetro de control que tenga muy en cuenta la naturaleza de las mesas de los parlamentos y las funciones que desarrollan [por ejemplo, SSTC 78/2006, de 13 de marzo, FJ 3 a), o 129/2006, de 24 de abril, FJ 2]. Ahora bien, el hecho de que mediante las decisiones de los órganos parlamentarios pueda verse afectado el ejercicio de funciones representativas impone a estos una interpretación restrictiva de todas aquellas normas que puedan suponer una limitación al ejercicio de aquellos derechos o atribuciones que integran el estatus constitucionalmente relevante del representante público y el deber de motivar las razones de su aplicación, so pena, no solo de vulnerar el derecho fundamental del representante de los ciudadanos a ejercer su cargo (art. 23.2 CE), sino también de infringir el de estos a participar en los asuntos públicos (art. 23.1 CE); por ejemplo, SSTC 361/2006, de 18 de diciembre, FJ 2; 1/2015, de 19 de enero, FJ 3, y 23/2015, de 16 de febrero, FJ 3.</w:t>
      </w:r>
    </w:p>
    <w:p w:rsidR="00A90898" w:rsidRDefault="00A90898" w:rsidP="00A90898">
      <w:pPr>
        <w:pStyle w:val="TextoNormal"/>
      </w:pPr>
    </w:p>
    <w:p w:rsidR="00A90898" w:rsidRDefault="00A90898" w:rsidP="00A90898">
      <w:pPr>
        <w:pStyle w:val="TextoNormal"/>
      </w:pPr>
      <w:r>
        <w:t xml:space="preserve">Específicamente, por lo que se refiere a las decisiones de las mesas de las Cámaras referidas al acortamiento de los plazos de tramitaciones legislativas —bien derivadas de la declaración de tramitación por vía de urgencia, bien por el procedimiento de lectura única, bien por la concurrencia de causas excepcionales, o por mero incumplimiento de los plazos establecidos reglamentariamente— la jurisprudencia constitucional ha declarado que (i) no está constitucionalizado ningún procedimiento legislativo abreviado para la tramitación de proyectos normativos caracterizados por la urgencia, salvo una regla temporal para la tramitación en el Senado de los proyectos declarados urgentes por el Gobierno o por el Congreso de los Diputados (art. 90.3 CE), por lo que dicha regulación queda, entonces, encomendada a los reglamentos de las Cámaras [STC 136/2011, de 13 de septiembre, FJ 10 e)]; (ii) que una reducción del tiempo de tramitación no priva a las Cámaras del ejercicio de su función legislativa, ya que incide solo sobre su cronología, ni tiene por qué traducirse en merma alguna de los principios constitucionales que han de informar el procedimiento legislativo en cuanto procedimiento de formación de la voluntad del órgano (STC 234/2000, de 3 de octubre, FJ 13); (iii) que una decisión de esas características debe tener una aplicación tal que afecte por igual a todas las fuerzas políticas con representación parlamentaria en evitación de que se ocasione un tratamiento desigual o discriminatorio (ATC 35/2001, de 23 de febrero, FJ 5) y (iv) que tal reducción del tiempo de tramitación solo podrá llegar </w:t>
      </w:r>
      <w:r>
        <w:lastRenderedPageBreak/>
        <w:t>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[SSTC 136/2011, de 13 de septiembre, FJ 10 e), y 44/2015, de 5 de marzo, FJ 2].</w:t>
      </w:r>
    </w:p>
    <w:p w:rsidR="00A90898" w:rsidRDefault="00A90898" w:rsidP="00A90898">
      <w:pPr>
        <w:pStyle w:val="TextoNormal"/>
      </w:pPr>
    </w:p>
    <w:p w:rsidR="00A90898" w:rsidRDefault="00A90898" w:rsidP="00A90898">
      <w:pPr>
        <w:pStyle w:val="TextoNormal"/>
      </w:pPr>
      <w:r>
        <w:t>Más en concreto, en relación con supuestos, como el que se plantea en este recurso de amparo, en que se acuerda una reducción de plazos superior a la mitad de los que corresponderían en caso de declaración de urgencia con fundamento en una expresa previsión reglamentaria que lo permita por la concurrencia de circunstancias excepcionales, la jurisprudencia constitucional ha establecido que, sin perjuicio de la necesidad de que se expongan dichas circunstancias, resulta necesario acreditar que dicha reducción afectó esencialmente al proceso de formación de la voluntad de los parlamentarios (así, ATC 9/2012, de 13 de enero, FJ 4 —“BOE” núm. 36, de 11 de febrero de 2012—, y STC 238/2012, de 13 de diciembre, FJ 5).</w:t>
      </w:r>
    </w:p>
    <w:p w:rsidR="00A90898" w:rsidRDefault="00A90898" w:rsidP="00A90898">
      <w:pPr>
        <w:pStyle w:val="TextoNormal"/>
      </w:pPr>
    </w:p>
    <w:p w:rsidR="00A90898" w:rsidRDefault="00A90898" w:rsidP="00A90898">
      <w:pPr>
        <w:pStyle w:val="TextoNormal"/>
      </w:pPr>
      <w:r>
        <w:t xml:space="preserve">Por tanto, en atención a la jurisprudencia expuesta, el control de constitucionalidad que debe desarrollarse en este caso debe concentrase, en primer lugar, en determinar si el cronograma aprobado por la Mesa de la Junta General del Principado de Asturias para la tramitación del proyecto de Ley de presupuestos generales para 2013 contaba con la necesaria cobertura legal o supuso una infracción reglamentaria por incumplimiento de los plazos previstos en el art. 139 del Reglamento de la Junta General del Principado de Asturias y, en su caso, si la reducción de plazos incidió de tal manera en el ejercicio de las funciones de examen, enmienda, aprobación y control de los representantes parlamentarios que quedó afectado el núcleo esencial de su </w:t>
      </w:r>
      <w:r w:rsidRPr="00A90898">
        <w:rPr>
          <w:i/>
        </w:rPr>
        <w:t>ius in officium</w:t>
      </w:r>
      <w:r>
        <w:t>.</w:t>
      </w:r>
    </w:p>
    <w:p w:rsidR="00A90898" w:rsidRDefault="00A90898" w:rsidP="00A90898">
      <w:pPr>
        <w:pStyle w:val="TextoNormal"/>
      </w:pPr>
    </w:p>
    <w:p w:rsidR="00A90898" w:rsidRDefault="00A90898" w:rsidP="00A90898">
      <w:pPr>
        <w:pStyle w:val="TextoNormal"/>
      </w:pPr>
      <w:r w:rsidRPr="00A90898">
        <w:rPr>
          <w:rStyle w:val="NumeroAFNegritaCaracter"/>
        </w:rPr>
        <w:t>4</w:t>
      </w:r>
      <w:r>
        <w:t>. El Grupo Parlamentario recurrente alega que el cronograma aprobado ha infringido la legalidad parlamentaria. Argumenta que los artículos 139.1, 139.2 y 142 del Reglamento de la Junta General del Principado de Asturias establecen los plazos que hay que seguir en la tramitación por el procedimiento ordinario del proyecto de ley de presupuestos generales, prohibiendo expresamente el art. 158.2 del Reglamento la declaración de urgencia para la tramitación de este tipo de Proyectos de Ley presupuestaria que reduce esos plazos a la mitad. De ello concluye que una reducción de plazos como la contenida en los acuerdos impugnados, que en algunos casos es sustancialmente inferior al que dichos trámites hubieran tenido en el supuesto de que se hubiera podido tramitar por el procedimiento de urgencia, no tiene cobertura reglamentaria. Igualmente, alega que, ante esa prohibición de tramitación urgente de este tipo de proyectos, el cronograma solo puede encontrar justificación reglamentaria en el artículo 120.2 del Reglamento parlamentario, pero que en los acuerdos impugnados no se acredita la concurrencia de ninguna situación excepcional que haga necesario sacrificar la duración reglamentaria de los plazos para su aprobación antes del 1 de enero, ya que esa situación se deriva de la desatención del ejecutivo autonómico en el cumplimiento de la presentación en el plazo del proyecto.</w:t>
      </w:r>
    </w:p>
    <w:p w:rsidR="00A90898" w:rsidRDefault="00A90898" w:rsidP="00A90898">
      <w:pPr>
        <w:pStyle w:val="TextoNormal"/>
      </w:pPr>
    </w:p>
    <w:p w:rsidR="00A90898" w:rsidRDefault="00A90898" w:rsidP="00A90898">
      <w:pPr>
        <w:pStyle w:val="TextoNormal"/>
      </w:pPr>
      <w:r>
        <w:t>Tal como han sustentado de manera coincidente la Junta General del Principado y el Ministerio Fiscal, en la posición del control que cabe desarrollar por este Tribunal en esta jurisdicción de amparo no puede afirmarse que los acuerdos impugnados carezcan de la necesaria cobertura reglamentaria. En efecto, en el presente caso, como ha sido expuesto más detalladamente en los antecedentes, han quedado acreditados los siguientes extremos:</w:t>
      </w:r>
    </w:p>
    <w:p w:rsidR="00A90898" w:rsidRDefault="00A90898" w:rsidP="00A90898">
      <w:pPr>
        <w:pStyle w:val="TextoNormal"/>
      </w:pPr>
    </w:p>
    <w:p w:rsidR="00A90898" w:rsidRDefault="00A90898" w:rsidP="00A90898">
      <w:pPr>
        <w:pStyle w:val="TextoNormal"/>
      </w:pPr>
      <w:r>
        <w:t>(i) el Consejo de Gobierno del Principado de Asturias remitió a la Junta General del Principado el 4 de diciembre de 2012 el proyecto de ley del Principado de Asturias de presupuestos generales para 2013 y la Mesa de la Junta General del Principado de Asturias aprobó mediante acuerdo de 5 de diciembre de 2012, el cronograma para la tramitación de dicho proyecto con una reducción de plazos respecto de los establecidos en el procedimiento ordinario, con expresa invocación del art. 120.2 del Reglamento de la Junta General del Principado de Asturias, que establece que la Mesa de la Cámara, salvo casos excepcionales, no podrá reducir los plazos establecidos en el Reglamento en menos de la mitad. En concreto, se acordó que los plazos previstos serían de seis horas para los trámites de solicitud de comparecencias y cinco días para su celebración —en vez de seis y 15 días que se establecen en el art. 139.1 del Reglamento—; dos días para la presentación de enmiendas a la totalidad y seis días para las enmiendas parciales -en vez de diez días que, sin distinción de si son a la totalidad o parciales, establece el art. 139.2 del Reglamento —; y una hora para el trámite de ponencia, cuando el art. 142 del Reglamento establece que “finalizado el debate de totalidad si lo hubiere habido, y en todo caso, el plazo de presentación de enmiendas, la Comisión nombrará en su seno una Ponencia para que a la vista del texto y de las enmiendas presentadas al articulado, redacte un informe en el plazo de siete días, que la Mesa de la Cámara podrá prorrogar por no más del doble cuando la trascendencia o complejidad del proyecto lo requiera”.</w:t>
      </w:r>
    </w:p>
    <w:p w:rsidR="00A90898" w:rsidRDefault="00A90898" w:rsidP="00A90898">
      <w:pPr>
        <w:pStyle w:val="TextoNormal"/>
      </w:pPr>
    </w:p>
    <w:p w:rsidR="00A90898" w:rsidRDefault="00A90898" w:rsidP="00A90898">
      <w:pPr>
        <w:pStyle w:val="TextoNormal"/>
      </w:pPr>
      <w:r>
        <w:t>(ii) El Grupo Parlamentario Foro Asturias formuló una solicitud de reconsideración, invocando el art. 23.2 CE, argumentando que el reglamento de la Cámara no permite una reducción de plazos tan radical como la acordada en la medida en que el artículo 158.2 del Reglamento de la Junta General del Principado de Asturias prohíbe la tramitación de la Ley de presupuestos por el procedimiento de urgencia y que esa reducción afectaba al núcleo esencial de la función de representación política.</w:t>
      </w:r>
    </w:p>
    <w:p w:rsidR="00A90898" w:rsidRDefault="00A90898" w:rsidP="00A90898">
      <w:pPr>
        <w:pStyle w:val="TextoNormal"/>
      </w:pPr>
    </w:p>
    <w:p w:rsidR="00A90898" w:rsidRDefault="00A90898" w:rsidP="00A90898">
      <w:pPr>
        <w:pStyle w:val="TextoNormal"/>
      </w:pPr>
      <w:r>
        <w:t xml:space="preserve">(iii) La Mesa de la Cámara desestimó la solicitud de reconsideración por Acuerdo de 17 de diciembre de 2012, argumentando, por lo que se refiere a la aprobación del cronograma, que si bien los plazos son perentorios, es una práctica habitual en el Parlamento asturiano, siendo similares los plazos previstos y aprobados en el cronograma del proyecto de ley de presupuestos de los años 2009, 2010 y 2011, entre otros. Igualmente argumenta que la brevedad de los plazos no es puro arbitrio de la Cámara, sino que, ante la inobservancia por parte del Consejo de Gobierno del mandato del artículo 47.2 del Estatuto de Autonomía de que el proyecto de presupuestos debe de presentarse en la Cámara “antes del último trimestre del año”, la decisión de la Mesa lo que hace es administrar el breve tiempo de que la Cámara dispone para dar cumplimiento al mandato del art. 47.4 del Estatuto de Autonomía de que la aprobación del presupuesto tenga lugar antes del primer día del ejercicio económico siguiente, evitando con ello la situación de prórroga presupuestaria. Por último, también expone que la Cámara tradicionalmente ha venido considerando que este acortamiento de los plazos es un mal menor frente al superior de contar, por su importancia económica, con un presupuesto en fecha y que esa reducción de plazos ni supone una supresión de trámites ni impide a los Grupos y Diputados participar en cada una de las fases del procedimiento legislativo. Posteriormente, la Junta General del Principado en su escrito de alegaciones afirma que también queda justificada en este caso esa situación de excepcionalidad que permite una reducción de plazos en la tramitación en que el mecanismo de prórroga presupuestaria lo es únicamente en sus créditos iniciales y no en los consolidados, y que, en </w:t>
      </w:r>
      <w:r>
        <w:lastRenderedPageBreak/>
        <w:t>este caso, además, el Principado de Asturias se había pasado ya todo el año 2012 en situación de prórroga presupuestaria en relación con el presupuesto de 2011. Igualmente, destaca el hecho de que se había aprobado la Ley Orgánica 2/2012, de 27 de abril, de estabilidad presupuestaria y sostenibilidad financiera, que fijaba nuevas reglas preceptivas para la elaboración y aprobación de los presupuestos autonómicos que el elaborado para 2011 y ya prorrogado durante 2012 no habían podido prever.</w:t>
      </w:r>
    </w:p>
    <w:p w:rsidR="00A90898" w:rsidRDefault="00A90898" w:rsidP="00A90898">
      <w:pPr>
        <w:pStyle w:val="TextoNormal"/>
      </w:pPr>
    </w:p>
    <w:p w:rsidR="00A90898" w:rsidRDefault="00A90898" w:rsidP="00A90898">
      <w:pPr>
        <w:pStyle w:val="TextoNormal"/>
      </w:pPr>
      <w:r w:rsidRPr="00A90898">
        <w:rPr>
          <w:rStyle w:val="NumeroAFNegritaCaracter"/>
        </w:rPr>
        <w:t>5</w:t>
      </w:r>
      <w:r>
        <w:t>. De estos antecedentes cabe derivar que (i) no ha existido una vulneración formal del art. 158.2 del Reglamento de la Junta General del Principado de Asturias ya que, en ningún caso, los acuerdos impugnados decidieron la tramitación por el procedimiento de urgencia. El acortamiento de los plazos se fundamentó expresamente en los acuerdos impugnados en la previsión del art. 120.2 del Reglamento. (ii) Tampoco ha existido una vulneración del art. 120.2 del Reglamento parlamentario, ya que en el acuerdo de resolución de la reconsideración se hicieron expresas determinadas razones para justificar la concurrencia de una situación excepcional que justificaba el acortamiento de plazos en la tramitación.</w:t>
      </w:r>
    </w:p>
    <w:p w:rsidR="00A90898" w:rsidRDefault="00A90898" w:rsidP="00A90898">
      <w:pPr>
        <w:pStyle w:val="TextoNormal"/>
      </w:pPr>
    </w:p>
    <w:p w:rsidR="00A90898" w:rsidRDefault="00A90898" w:rsidP="00A90898">
      <w:pPr>
        <w:pStyle w:val="TextoNormal"/>
      </w:pPr>
      <w:r>
        <w:t xml:space="preserve">(i) Ciertamente, tal como plantea el Grupo Parlamentario recurrente, la aplicación al caso del art. 120.2 del Reglamento de la Junta General del Principado de Asturias ha tenido un efecto material reductor de los plazos de tramitación no solo semejante sino, respecto de algunos de ellos, incluso superior al de una prohibida tramitación por el procedimiento de urgencia. Frente a ello, la representación de la Junta General sostiene en su escrito de alegaciones que la existencia de una prohibición expresa en el art. 158.2 del Reglamento parlamentario de que la aprobación del proyecto de ley de presupuestos se produzca mediante el trámite de urgencia no puede interpretarse necesariamente como la imposibilidad de aplicar durante esta tramitación las reglas generales que sobre reducción de plazos reglamentarios se establecen en el art. 120 del Reglamento y, singularmente, la reducción de plazos prevista en el art. 120.2 del Reglamento de la Junta General del Principado de Asturias para supuestos excepcionales. A esos efectos, destaca que en el reglamento de la Cámara reducir los plazos no es lo mismo que declarar la urgencia, siendo diferentes sus efectos, y, precisamente por ello, la reducción de plazos acordada no afectó a toda la tramitación del proyecto como hubiera sucedido con una proscrita declaración de urgencia, bien porque no todos los trámites están sometidos a plazo, bien porque no siempre la reducción de plazos traspasó el umbral de la urgencia que se establece en la mitad. Así, pone de manifiesto que si bien el trámite para solicitar comparecencias se redujo en más de la mitad, no se transgredió el tiempo marcado por el reglamento para celebrarlas “dentro de los quince días siguientes al traslado de su solicitud”, concluyendo que “si bien se celebraron bastante seguidas, nada dice el reglamento del tiempo que debe mediar entre cada una de ellas”. También sostiene que el reglamento establece, con carácter general para todo procedimiento legislativo, que la documentación de las sesiones debe estar disponible “con al menos cuarenta y ocho horas de antelación” (art. 93 del Reglamento de la Junta General del Principado de Asturias), y el cronograma impugnado “dejó más de cuarenta y ocho horas entre la distribución del Proyecto y el inicio, a la semana siguiente, de las comparecencias”, añadiendo que los tiempos previstos en el reglamento para el desarrollo de cada comparecencia no sufrieron recorte alguno: una hora de preguntas y cinco minutos para la fijación de posición por cada grupo parlamentario. En cuanto a las enmiendas, el cronograma habilitaba seis días para la presentación de las parciales (un día más de la mitad del plazo reglamentario total de diez días según el art. 139.2 del Reglamento para las enmiendas totales y parciales) sin traspasar, a su juicio, el umbral de la urgencia del artículo 123 del Reglamento y, por lo que </w:t>
      </w:r>
      <w:r>
        <w:lastRenderedPageBreak/>
        <w:t>se refiere a la reunión de la ponencia, si bien duró una hora y 25 minutos, el reglamento se limita a fijar para los trabajos de la ponencia un máximo de siete días (art. 142 del Reglamento de la Junta General del Principado de Asturias), pero sin señalar ningún mínimo.</w:t>
      </w:r>
    </w:p>
    <w:p w:rsidR="00A90898" w:rsidRDefault="00A90898" w:rsidP="00A90898">
      <w:pPr>
        <w:pStyle w:val="TextoNormal"/>
      </w:pPr>
    </w:p>
    <w:p w:rsidR="00A90898" w:rsidRDefault="00A90898" w:rsidP="00A90898">
      <w:pPr>
        <w:pStyle w:val="TextoNormal"/>
      </w:pPr>
      <w:r>
        <w:t>Pues bien, desde la limitada perspectiva de control que puede desarrollar este Tribunal en esta jurisdicción de amparo parlamentario y en respeto a la autonomía de la Cámara en el ejercicio de sus funciones de interpretación de su propia normativa, hay que concluir que, aunque quepan soluciones distintas sobre la relación entre la prohibición del art. 158.2 del Reglamento de la Junta General del Principado de Asturias y la habilitación del art. 120 del Reglamento, la posición jurídica mantenida por la Cámara cuenta con una fundamentación sustentada en criterios hermenéuticos aceptados y reconocibles en la comunidad jurídica que impide que pueda afirmarse que sea una decisión que carece de la necesaria cobertura reglamentaria. No cabe apreciar que es una interpretación ajena a parámetros de razonabilidad considerar que ambas regulaciones son autónomas y no excluyentes si se atiende, por ejemplo, (i) a los diferentes presupuestos jurídicos habilitantes de la declaración de urgencia en una tramitación parlamentaria del art. 158.2 del Reglamento, que radica en la perentoriedad, y de acortamiento de los plazos por menos de la mitad de lo establecido reglamentariamente del art. 120.2 del Reglamento, que radica en la excepcionalidad; (ii) a la diferencia de sujetos legitimados para instar uno u otro y (iii) a que no existe una declaración expresa en el art. 120 del Reglamento de su inaplicabilidad a la tramitación de la aprobación parlamentaria del proyecto de ley de presupuestos, a diferencia de lo que ocurre en el art. 158.2 del Reglamento. Por otro lado, la acreditación de un uso parlamentario, puesto también de manifiesto y reconocido por ambas partes, de aplicación de la reducción de plazos del art. 120.2 del Reglamento parlamentario a los supuestos de tramitación parlamentaria de los proyectos de Ley de presupuestos en situaciones previas es otro elemento que debe tomarse en consideración en defensa de que se está ante una interpretación y aplicación de la normativa parlamentaria que cuenta con sustento en la comunidad jurídica parlamentaria. En efecto, este Tribunal ya ha reconocido que si bien los usos y prácticas parlamentarios constituyen un instrumento normativo dentro del ámbito de organización y funcionamiento de las Cámaras nunca pueden esgrimirse en contra de lo dispuesto por los reglamentos de las Cámaras (así, STC 57/2011, de 3 de mayo, FJ 7). En el presente caso, este uso parlamentario, que en ningún caso puede ser interpretado como contrario a las previsiones expresas sobre acortamiento de plazos establecidos en el reglamento de la Junta General del Principado, sí que sirve, ante la duda hermenéutica planteada, como elemento confirmatoria de la viabilidad de una interpretación autónoma de los arts. 120.1 y 158.2 del Reglamento de la Junta General del Principado de Asturias.</w:t>
      </w:r>
    </w:p>
    <w:p w:rsidR="00A90898" w:rsidRDefault="00A90898" w:rsidP="00A90898">
      <w:pPr>
        <w:pStyle w:val="TextoNormal"/>
      </w:pPr>
    </w:p>
    <w:p w:rsidR="00A90898" w:rsidRDefault="00A90898" w:rsidP="00A90898">
      <w:pPr>
        <w:pStyle w:val="TextoNormal"/>
      </w:pPr>
      <w:r>
        <w:t xml:space="preserve">(ii) Los acuerdos impugnados invocaron expresamente el artículo 120.2 del Reglamento de la Junta General del Principado de Asturias como habilitante de la reducción de plazos y en el acuerdo de resolución de la reconsideración se hicieron expresas determinadas razones económicas y jurídicas —que han sido ampliadas posteriormente en el trámite de alegaciones— para justificar la perentoriedad de unos plazos, vinculadas a la necesidad de que la aprobación del proyecto de ley se produjera antes del comienzo del nuevo ejercicio presupuestario, y la insuficiencia que, a efectos económicos y jurídicos —incluyendo la necesaria adaptación a las previsiones de la nueva Ley Orgánica 2/2012—, tenía la mera prórroga del presupuesto hasta entonces vigente. Pueden legítimamente discreparse sobre la suficiencia de esas razones para justificar la excepcionalidad del caso y, por tanto, de la aplicación del art. 120.2 del Reglamento parlamentario. Sin embargo, desde la perspectiva de control que </w:t>
      </w:r>
      <w:r>
        <w:lastRenderedPageBreak/>
        <w:t>puede desarrollar este Tribunal en esta jurisdicción de amparo parlamentario y en respeto a la autonomía de la Cámara en el ejercicio de sus funciones de interpretación y aplicación de su propia normativa, hay que concluir que la actuación de la Mesa de la Cámara contaba con la necesaria cobertura legal, al identificarse el art. 120.2 del Reglamento de la Junta General del Principado de Asturias como habilitante de la medida, dar cumplimiento a la exigencia formal de exponer la justificación de la excepcionalidad del caso y a la material de identificar dicha excepcionalidad con una situación que, ponderando los intereses en conflicto, podía ser solventada con un acortamiento de los plazos de tramitación.</w:t>
      </w:r>
    </w:p>
    <w:p w:rsidR="00A90898" w:rsidRDefault="00A90898" w:rsidP="00A90898">
      <w:pPr>
        <w:pStyle w:val="TextoNormal"/>
      </w:pPr>
    </w:p>
    <w:p w:rsidR="00A90898" w:rsidRDefault="00A90898" w:rsidP="00A90898">
      <w:pPr>
        <w:pStyle w:val="TextoNormal"/>
      </w:pPr>
      <w:r>
        <w:t xml:space="preserve">En efecto, desde la perspectiva constitucional, ningún reproche cabe hacer a la decisión de un órgano parlamentario de considerar concurrente una situación de excepcionalidad, como presupuesto habilitante para aplicar un precepto reglamentario que permite un ajuste de plazos de tramitación, ante la presencia de una conjunción de circunstancias puestas de manifiesto por la propia Mesa de la Cámara, que se cifra en las siguientes consideraciones: (i) Existe un precepto estatutario (art. 47 Estatuto de Autonomía para Asturias) que establece la competencia, entre otras, para el examen, enmienda y aprobación de los presupuestos del Principado con carácter anual, y presupone que la Ley del presupuesto debe ser aprobada antes del primer día del ejercicio económico correspondiente. El hecho de que el Consejo de Gobierno, por su parte, hubiera incumplido su obligación estatutaria de presentar el proyecto de presupuesto a la Junta antes del último trimestre del año no implica, como pretende el Grupo Parlamentario recurrente, que la Mesa de la Junta General quede desapoderada de apreciar la excepcionalidad a que se refiere el art. 120.2 del Reglamento de la Junta General del Principado de Asturias para dar cumplimiento a una obligación de aprobación en el plazo que tiene estatutariamente reservada. (ii) El mecanismo de prórroga presupuestaria hasta la aprobación de un nuevo presupuesto, que en sí mismo es un remedio excepcional previsto estatutariamente, no aportaba en este caso una solución enteramente adecuada y satisfactoria; no solo por la ruptura del principio de la anualidad y porque la prórroga presupuestaria lo es únicamente en sus créditos iniciales y no en los consolidados, sino porque, en este caso, además, el Principado ya había tenido durante todo el año 2012 una prórroga presupuestaria de los presupuestos de 2011. Esto hubiera implicado que el año 2013 se hubiera iniciado con una prórroga de un presupuesto aprobado en su versión inicial —que hubiera sido la aplicable—, en diciembre del año 2010. (iii) Con motivo de la reforma del art. 135 CE, se había aprobado la Ley Orgánica 2/2012, de 27 de abril, de estabilidad presupuestaria y sostenibilidad financiera, que fija nuevas reglas preceptivas para la elaboración y aprobación de los presupuestos autonómicos para dar cumplimiento a este nueva previsión constitucional de estabilidad presupuestaria y a la que solo se le podía dar cumplimiento con la evitación de una nueva prórroga presupuestaria. Ante esta suma de elementos, la decisión de la Mesa de la Cámara de —en aplicación de un concreto precepto reglamentario que la habilita para ello— identificar una situación de excepcionalidad en la necesidad de evitar una nueva prórroga presupuestaria que podía ser solventada con un ajuste de los plazos de tramitación implica una decisión que, sin perjuicio del posterior análisis de cómo pudo verse afectado el </w:t>
      </w:r>
      <w:r w:rsidRPr="00A90898">
        <w:rPr>
          <w:i/>
        </w:rPr>
        <w:t>ius in officium</w:t>
      </w:r>
      <w:r>
        <w:t xml:space="preserve"> del Grupo Parlamentario recurrente con el acortamiento de los plazos, supone una valoración ponderada de los intereses en conflicto que no puede ser reprochada constitucionalmente desde la perspectiva de la aplicación de la legalidad parlamentaria.</w:t>
      </w:r>
    </w:p>
    <w:p w:rsidR="00A90898" w:rsidRDefault="00A90898" w:rsidP="00A90898">
      <w:pPr>
        <w:pStyle w:val="TextoNormal"/>
      </w:pPr>
    </w:p>
    <w:p w:rsidR="00A90898" w:rsidRDefault="00A90898" w:rsidP="00A90898">
      <w:pPr>
        <w:pStyle w:val="TextoNormal"/>
      </w:pPr>
      <w:r>
        <w:t xml:space="preserve">En conclusión, no es incontrovertible que se haya producido una infracción de la legalidad parlamentaria como la denunciada por el Grupo Parlamentario recurrente. Los acuerdos </w:t>
      </w:r>
      <w:r>
        <w:lastRenderedPageBreak/>
        <w:t>impugnados, al interpretar y aplicar el reglamento de la cámara, considerando que la prohibición de tramitación urgente del art. 158.2 del Reglamento de la Junta General del Principado de Asturias no suponía un obstáculo para la aplicación del art. 120.2 del Reglamento y que concurría una situación habilitante de excepcionalidad, se han movido, en el ejercicio de una función que le es propia, dentro de parámetros interpretativos de esa legalidad parlamentaria que no caben ser censurados desde una perspectiva constitucional.</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Con independencia de lo anterior, y tal como también defienden de manera coincidente la representación de la Junta General del Principado de Asturias y el Ministerio Fiscal, tampoco puede afirmarse que el acortamiento de plazos contenido en el cronograma aprobado en los acuerdos impugnados para la tramitación del proyecto de ley de presupuestos del Principado de Asturias para 2013 incidió de tal manera en el ejercicio de las funciones de examen, enmienda, aprobación y control de los representantes parlamentarios que quedara afectado el núcleo esencial de su </w:t>
      </w:r>
      <w:r w:rsidRPr="00A90898">
        <w:rPr>
          <w:i/>
        </w:rPr>
        <w:t>ius in officium</w:t>
      </w:r>
      <w:r>
        <w:t>.</w:t>
      </w:r>
    </w:p>
    <w:p w:rsidR="00A90898" w:rsidRDefault="00A90898" w:rsidP="00A90898">
      <w:pPr>
        <w:pStyle w:val="TextoNormal"/>
      </w:pPr>
    </w:p>
    <w:p w:rsidR="00A90898" w:rsidRDefault="00A90898" w:rsidP="00A90898">
      <w:pPr>
        <w:pStyle w:val="TextoNormal"/>
      </w:pPr>
      <w:r>
        <w:t>Tal como se ha expuesto en los antecedentes, en el presente caso han quedado acreditados los siguientes extremos: (i) la aprobación del cronograma de tramitación se produjo por la Mesa de la Junta General el día 5 de diciembre de 2012, un día después de que fuera presentado ante esta junta el proyecto de ley por el Consejo de Gobierno; (ii) el cronograma extendía la tramitación desde el mismo miércoles 5 de diciembre hasta el viernes 28 de diciembre de 2012; (iii) en el cronograma se incluían un plazo de seis horas para los trámites de solicitud de comparecencias y cinco días para su celebración; dos y seis días para la presentación de enmiendas a la totalidad y parciales, respectivamente; y una hora para el trámite de ponencia; y (iv) miembros del Grupo Parlamentario Foro Asturias en la Comisión de Hacienda y Sector Público solicitaron 94 comparecencias, dedicando dicha Comisión a su celebración un total de 37 horas y 23 minutos a lo largo de los días 10, 11, 12, 13 y 17 de diciembre de 2012; el grupo parlamentario recurrente presentó 77 enmiendas, una de totalidad y 76 parciales y, finalmente, al trámite de informe de la ponencia se dedicó una hora y 25 minutos.</w:t>
      </w:r>
    </w:p>
    <w:p w:rsidR="00A90898" w:rsidRDefault="00A90898" w:rsidP="00A90898">
      <w:pPr>
        <w:pStyle w:val="TextoNormal"/>
      </w:pPr>
    </w:p>
    <w:p w:rsidR="00A90898" w:rsidRDefault="00A90898" w:rsidP="00A90898">
      <w:pPr>
        <w:pStyle w:val="TextoNormal"/>
      </w:pPr>
      <w:r>
        <w:t>El Grupo Parlamentario recurrente se ha limitado en su demanda a alegar el carácter irrisorio o irrazonable de los plazos establecidos en el cronograma para desarrollar la labor de las funciones de examen, enmienda, aprobación y control respecto de una ley de la importancia de la presupuestaria, exponiendo de manera genérica que estos plazos han supuestos limitaciones al ejercicio eficaz de sus funciones parlamentarias. Sin embargo, no se han concretado aquellos aspectos en que esa reducción ha impedido o limitado ese ejercicio y, a tenor de la actividad concretamente desarrollada en esa tramitación, se acredita una activa participación durante todo su desarrollo, ya que ha tenido la posibilidad efectiva de pedir numerosas comparecencias y participar en las mismas, ha presentado enmiendas a la totalidad y parciales y ha participado en los debates de elaboración de la Ley. En estas condiciones, verificado que el acortamiento de plazos lo fue en relación con todos los grupos parlamentarios, no se ha omitido ningún trámite parlamentario, no se ha excluido la posibilidad de participación del grupo recurrente y ante la falta de acreditación de la existencia de un daño real y efectivo en el núcleo de su función representativa en el sentido de que se hubiese alterado, no de cualquier manera, sino de forma sustancial, el ejercicio de la función representativa inherente al estatuto del parlamentario, que hay que concluir que no ha concurrido la vulneración alegada del art. 23.2 CE.</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recurso de amparo interpuesto por el Grupo Parlamentario Foro Asturias de la Junta General de Principado de Asturias.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3" w:name="SENTENCIA_2016_144"/>
      <w:r>
        <w:lastRenderedPageBreak/>
        <w:t>SENTENCIA 144/2016, de 19 de septiembre de 2016</w:t>
      </w:r>
    </w:p>
    <w:bookmarkEnd w:id="23"/>
    <w:p w:rsidR="00A90898" w:rsidRDefault="00A90898" w:rsidP="00A90898">
      <w:pPr>
        <w:pStyle w:val="TtuloResolucin"/>
      </w:pPr>
      <w:r>
        <w:t>Sala Primera</w:t>
      </w:r>
    </w:p>
    <w:p w:rsidR="00A90898" w:rsidRDefault="00A90898" w:rsidP="00A90898">
      <w:pPr>
        <w:pStyle w:val="TtuloBOE"/>
      </w:pPr>
      <w:r>
        <w:t>(BOE núm. 263, de 31 de octubre de 2016)</w:t>
      </w:r>
    </w:p>
    <w:p w:rsidR="00A90898" w:rsidRDefault="00A90898" w:rsidP="00A90898">
      <w:pPr>
        <w:pStyle w:val="TextoNormalCentrado"/>
      </w:pPr>
      <w:r>
        <w:t>ECLI:ES:TC:2016:144</w:t>
      </w:r>
    </w:p>
    <w:p w:rsidR="00A90898" w:rsidRDefault="00A90898" w:rsidP="00A90898">
      <w:pPr>
        <w:pStyle w:val="TextoNormalCentrado"/>
      </w:pPr>
    </w:p>
    <w:p w:rsidR="00A90898" w:rsidRDefault="00A90898" w:rsidP="00A90898">
      <w:pPr>
        <w:pStyle w:val="SntesisDescriptiva"/>
      </w:pPr>
      <w:r>
        <w:t>Recurso de amparo 2443-2013. Promovido por doña Irati Mujika Larreta en relación con las resoluciones de la Audiencia Provincial y de un Juzgado de Instrucción de Madrid que archivaron las diligencias previas incoadas por un delito de torturas.</w:t>
      </w:r>
    </w:p>
    <w:p w:rsidR="00A90898" w:rsidRDefault="00A90898" w:rsidP="00A90898">
      <w:pPr>
        <w:pStyle w:val="SntesisDescriptiva"/>
      </w:pPr>
    </w:p>
    <w:p w:rsidR="00A90898" w:rsidRDefault="00A90898" w:rsidP="00A90898">
      <w:pPr>
        <w:pStyle w:val="SntesisAnaltica"/>
      </w:pPr>
      <w:r>
        <w:t>Vulneración del derecho a la tutela judicial efectiva en relación con el derecho a no ser sometido a torturas ni a tratos inhumanos o degradantes: investigación insuficiente de una denuncia de torturas que se dicen sufridas bajo custodia policial (STC 34/2008).</w:t>
      </w:r>
    </w:p>
    <w:p w:rsidR="00A90898" w:rsidRDefault="00A90898" w:rsidP="00A90898">
      <w:pPr>
        <w:pStyle w:val="SntesisAnaltica"/>
      </w:pPr>
    </w:p>
    <w:p w:rsidR="00A90898" w:rsidRDefault="00A90898" w:rsidP="00A90898">
      <w:pPr>
        <w:pStyle w:val="Extracto"/>
      </w:pPr>
      <w:r>
        <w:t>1.</w:t>
      </w:r>
      <w:r>
        <w:tab/>
        <w:t>Doctrina sobre las exigencias constitucionales, derivadas tanto del art. 15 CE como del art. 24 CE, relativas a las decisiones judiciales de sobreseimiento y archivo de instrucciones penales incoadas por denuncia de torturas o tratos inhumanos o degradantes (STC 130/2016) [FJ 2].</w:t>
      </w:r>
    </w:p>
    <w:p w:rsidR="00A90898" w:rsidRDefault="00A90898" w:rsidP="00A90898">
      <w:pPr>
        <w:pStyle w:val="Extracto"/>
      </w:pPr>
    </w:p>
    <w:p w:rsidR="00A90898" w:rsidRDefault="00A90898" w:rsidP="00A90898">
      <w:pPr>
        <w:pStyle w:val="Extracto"/>
      </w:pPr>
      <w:r>
        <w:t>2.</w:t>
      </w:r>
      <w:r>
        <w:tab/>
        <w:t>La falta de corroboración del maltrato denunciado en los informes médicos esgrimida como elemento central desacreditador de la verosimilitud de las sevicias denunciadas, no invalida tal sospecha en tanto se denuncian hechos susceptibles de no dejar huella visible, como son amenazas, tocamientos o desnudos, pero también sentadillas o posturas como permanecer de pie con la cabeza agachada; incluso en lo relativo a la práctica asfixiante de la bolsa, es probable, pero no segura, la presencia ulterior de petequias. Unos malos tratos como los denunciados no dejarían necesariamente señales de su comisión, por lo que la ausencia de signos de agresiones físicas no es concluyente (SSTC 107/2008, 131/2012) [FJ 3].</w:t>
      </w:r>
    </w:p>
    <w:p w:rsidR="00A90898" w:rsidRDefault="00A90898" w:rsidP="00A90898">
      <w:pPr>
        <w:pStyle w:val="Extracto"/>
      </w:pPr>
    </w:p>
    <w:p w:rsidR="00A90898" w:rsidRDefault="00A90898" w:rsidP="00A90898">
      <w:pPr>
        <w:pStyle w:val="Extracto"/>
      </w:pPr>
      <w:r>
        <w:t>3.</w:t>
      </w:r>
      <w:r>
        <w:tab/>
        <w:t>La inexistencia de datos en los informes médicos que avalen la sospecha de maltrato (o su debilidad para sustentar la condena) no excluye la necesidad de investigar, pues puede existir otro tipo de datos que —desde la perspectiva del deber de profundizar en la investigación— genere un panorama sospechoso potencialmente conectado con la existencia de torturas o malos tratos, incluso aunque los mismos fueran claramente insuficientes para sustentar una condena penal por delito de torturas o malos tratos (SSTC 123/2008; 153/2013) [FJ 3].</w:t>
      </w:r>
    </w:p>
    <w:p w:rsidR="00A90898" w:rsidRDefault="00A90898" w:rsidP="00A90898">
      <w:pPr>
        <w:pStyle w:val="Extracto"/>
      </w:pPr>
    </w:p>
    <w:p w:rsidR="00A90898" w:rsidRDefault="00A90898" w:rsidP="00A90898">
      <w:pPr>
        <w:pStyle w:val="Extracto"/>
      </w:pPr>
      <w:r>
        <w:t>4.</w:t>
      </w:r>
      <w:r>
        <w:tab/>
        <w:t xml:space="preserve">El efecto de la violencia ejercida sobre la libertad y las posibilidades de autodeterminación del individuo no deja de producirse en el momento en el que físicamente cesa aquélla, sino que su virtualidad coactiva puede pervivir, lo que puede explicar la ausencia de denuncia (SSTC 34/2008; 131/2012); y, al contrario, la denuncia de los malos tratos policiales en la primera comparecencia judicial avala </w:t>
      </w:r>
      <w:r w:rsidRPr="00A90898">
        <w:rPr>
          <w:i/>
        </w:rPr>
        <w:t>prima facie</w:t>
      </w:r>
      <w:r>
        <w:t xml:space="preserve"> la sostenibilidad inicial de la denuncia, sin que la ausencia de precisión en el relato sea un elemento razonable para fundar la incredibilidad (STC 52/2008) [FJ 3].</w:t>
      </w:r>
    </w:p>
    <w:p w:rsidR="00A90898" w:rsidRDefault="00A90898" w:rsidP="00A90898">
      <w:pPr>
        <w:pStyle w:val="Extracto"/>
      </w:pPr>
    </w:p>
    <w:p w:rsidR="00A90898" w:rsidRDefault="00A90898" w:rsidP="00A90898">
      <w:pPr>
        <w:pStyle w:val="Extracto"/>
      </w:pPr>
      <w:r>
        <w:t>5.</w:t>
      </w:r>
      <w:r>
        <w:tab/>
        <w:t xml:space="preserve">No resulta razonable inferir la falta de objetividad de la denuncia del mero transcurso de cierto tiempo entre los hechos y la interposición de la denuncia, pues la permanencia de la situación de coerción psíquica de la víctima, las circunstancias procesales sobre todo si, como es el caso, se ingresa en prisión, o la espera a las </w:t>
      </w:r>
      <w:r>
        <w:lastRenderedPageBreak/>
        <w:t>consecuencias de la denuncia efectuada en sede judicial pueden explicar esa demora (SSTC 107/2008; 63/2010)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2443-2013, promovido por doña Irati Mujika Larreta, representada por la Procuradora de los Tribunales doña Ana Isabel Lobera Argüelles y asistida por la Abogada doña Lorea Bilbao Gredilla, contra el Auto dictado por la Sección Tercera de la Audiencia Provincial de Madrid de 7 de marzo de 2013, que desestimó el recurso de apelación contra el Auto del Juzgado de Instrucción núm. 14 de Madrid de 2 de octubre de 2012, confirmado en reforma por Auto de 21 de enero de 2013, por el que se acordaba el sobreseimiento provisional y el archivo de las diligencias previas núm. 3129-2010, incoadas por una denuncia de torturas. Ha intervenido el Ministerio Fiscal.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23 de abril de 2013, la Procuradora de los Tribunales doña Ana Isabel Lobera Argüelles, en nombre y representación de doña Irati Mujika Larreta y bajo la dirección de la Letrada doña Lorea Bilbao Gredilla, interpuso demanda de amparo contra las resoluciones judiciales que se mencionan en el encabezamiento de esta Sentencia.</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de amparo son, en síntesis, los siguientes:</w:t>
      </w:r>
    </w:p>
    <w:p w:rsidR="00A90898" w:rsidRDefault="00A90898" w:rsidP="00A90898">
      <w:pPr>
        <w:pStyle w:val="TextoNormal"/>
      </w:pPr>
    </w:p>
    <w:p w:rsidR="00A90898" w:rsidRDefault="00A90898" w:rsidP="00A90898">
      <w:pPr>
        <w:pStyle w:val="TextoNormal"/>
      </w:pPr>
      <w:r>
        <w:t xml:space="preserve">a) La recurrente en amparo fue detenida por agentes de la Guardia Civil en Amezketa (Gipuzkoa) sobre la 1:30 horas del día 24 de noviembre de 2009. Tras su detención asistió al registro de la casa de sus padres y de otra vivienda en la que había vivido. Posteriormente fue trasladada a dependencias de la comandancia de la Guardia Civil de Pamplona, donde fue vista por el médico forense a las 11:35 horas, y después a dependencias de la Dirección General de la Guardia Civil en Madrid, donde permaneció en régimen de detención incomunicada hasta el 27 de noviembre de 2009. Sobre las 10:15 horas del 26 de noviembre de 2009 prestó declaración ante la Guardia Civil con asistencia del Abogado designado de oficio. Al día siguiente, 27 de noviembre, fue puesta a disposición del Juzgado Central de Instrucción núm. 3, que decretó su ingreso en prisión tras prestar declaración. Durante los </w:t>
      </w:r>
      <w:r>
        <w:lastRenderedPageBreak/>
        <w:t>días en que estuvo detenida, la recurrente fue visitada en diferentes momentos por un médico forense.</w:t>
      </w:r>
    </w:p>
    <w:p w:rsidR="00A90898" w:rsidRDefault="00A90898" w:rsidP="00A90898">
      <w:pPr>
        <w:pStyle w:val="TextoNormal"/>
      </w:pPr>
    </w:p>
    <w:p w:rsidR="00A90898" w:rsidRDefault="00A90898" w:rsidP="00A90898">
      <w:pPr>
        <w:pStyle w:val="TextoNormal"/>
      </w:pPr>
      <w:r>
        <w:t>b) El 8 de abril de 2010, la demandante formuló denuncia ante el Juzgado de guardia de San Sebastián por estimar que los hechos narrados en ella, sucedidos durante su detención, pueden ser constitutivos de un delito de torturas.</w:t>
      </w:r>
    </w:p>
    <w:p w:rsidR="00A90898" w:rsidRDefault="00A90898" w:rsidP="00A90898">
      <w:pPr>
        <w:pStyle w:val="TextoNormal"/>
      </w:pPr>
    </w:p>
    <w:p w:rsidR="00A90898" w:rsidRDefault="00A90898" w:rsidP="00A90898">
      <w:pPr>
        <w:pStyle w:val="TextoNormal"/>
      </w:pPr>
      <w:r>
        <w:t>En la denuncia se narra que hacia el mediodía del día 24 de noviembre de 2009 [martes], la metieron en un coche para su traslado a Madrid con las manos atadas por una cuerda, en lugar de esposas, y la colocaron entre dos hombres con dos capuchas en la cabeza. Al ver que no hablaba, “empezaron a preguntar tonterías, cosas que no tenían importancia para que empezara a decir mis primeras palabras. Que era mejor que contestara a esas cosas, que al final hablaría y que cuanto más tarde lo hiciera sería peor. Me preguntaron si estaba con la regla, si la había pasado recientemente o si me tocaba enseguida (el de la izquierda fue el que estuvo casi todo el tiempo preguntando). Se empeñaron con esa pregunta, que si no me tocaba ellos harían que se me bajara. Al final que si no contestaba él lo comprobaría y empezó a meter la mano en las bragas. Entonces le dije que no, que no tenía. Me empezaron a vacilar, diciendo que ya sabía hablar”.</w:t>
      </w:r>
    </w:p>
    <w:p w:rsidR="00A90898" w:rsidRDefault="00A90898" w:rsidP="00A90898">
      <w:pPr>
        <w:pStyle w:val="TextoNormal"/>
      </w:pPr>
    </w:p>
    <w:p w:rsidR="00A90898" w:rsidRDefault="00A90898" w:rsidP="00A90898">
      <w:pPr>
        <w:pStyle w:val="TextoNormal"/>
      </w:pPr>
      <w:r>
        <w:t>La denunciante refiere que en el viaje y posteriormente le “recordaban continuamente ‘que somos la puta guardia civil’, ‘que somos torturadores, más que los nacionales’, y me dejaron claro que pasaría mucho peor que con la policía nacional”. Al final del viaje, según expone, “empezaron con la bolsa de plástico, primeramente vacilando y posteriormente me colocaron en la cabeza… No apretaron demasiado, la llevé puesta prácticamente hasta que llegamos. Pero dos pasamontañas (con los ojos cubiertos) y una bolsa resultaron bastante asfixiantes en aquel día soleado”.</w:t>
      </w:r>
    </w:p>
    <w:p w:rsidR="00A90898" w:rsidRDefault="00A90898" w:rsidP="00A90898">
      <w:pPr>
        <w:pStyle w:val="TextoNormal"/>
      </w:pPr>
    </w:p>
    <w:p w:rsidR="00A90898" w:rsidRDefault="00A90898" w:rsidP="00A90898">
      <w:pPr>
        <w:pStyle w:val="TextoNormal"/>
      </w:pPr>
      <w:r>
        <w:t>Ya en las dependencias de Madrid, según la denuncia, permaneció casi todo el tiempo con los ojos cubiertos, con una capucha o un antifaz, que le quitaban cuando no estaba en el calabozo. La primera parte de los interrogatorios —sigue diciéndose— se produjo entre el miércoles y jueves por la tarde (25 y 26 de noviembre). Se afirma que la “obligaron a realizar ejercicios físicos, sentadillas, hasta que las rodillas me hacían ‘clac’ agachándome y levantándome” y, si paraba, “me bajaban ellos y me levantaban tirándome del pelo. Alguna vez realicé los ejercicios envuelta en una manta, por lo que sudé una barbaridad”. Durante ese tiempo, continúa la denunciante, “me apretaron más de una vez la bolsa de plástico. Intentaba tranquilizarme y aguantar con el mínimo de aire pero siempre llegaba el momento que prevalecía la sensación de ahogo. Moviendo la cabeza intentaba romper la bolsa a mordiscos. Alguna vez me dejé caer pero no llegué a perder el conocimiento”. Y añade que también cuando jadeaba después de realizar las sentadillas, “me pusieron la bolsa … aunque no la apretaron. Aparte del ahogo me informaron sobre las consecuencias que puede acarrear la bolsa, que la falta de oxígeno afecta a la cabeza… Aunque recibí algún golpe, no fue lo más habitual … Intentaban asustarme acercándose a mi lado, echándome el aliento, colocándose junto a mí, gritándome al oído”.</w:t>
      </w:r>
    </w:p>
    <w:p w:rsidR="00A90898" w:rsidRDefault="00A90898" w:rsidP="00A90898">
      <w:pPr>
        <w:pStyle w:val="TextoNormal"/>
      </w:pPr>
    </w:p>
    <w:p w:rsidR="00A90898" w:rsidRDefault="00A90898" w:rsidP="00A90898">
      <w:pPr>
        <w:pStyle w:val="TextoNormal"/>
      </w:pPr>
      <w:r>
        <w:t xml:space="preserve">Respecto a esa primera parte de la estancia, se relata en la denuncia que no vio a nadie, puesto que estaba encapuchada, y que, en general, se recuperaba algo entre un interrogatorio y otro. También que la luz permaneció casi todo el tiempo encendida, pero procuraba descansar y, aunque en un intervalo la obligaron a permanecer de pie, se sentaba cuando no </w:t>
      </w:r>
      <w:r>
        <w:lastRenderedPageBreak/>
        <w:t>había nadie vigilando, estando en tensión todo el tiempo. Detalla que le daban de comer y agua, y que comió algo y bebió todo el agua que pudo, especificando que en los interrogatorios le ofrecían agua como premio cuando decía algo que ellos querían. Tenía que tomar dos medicamentos de homeopatía y se los dieron sin problema.</w:t>
      </w:r>
    </w:p>
    <w:p w:rsidR="00A90898" w:rsidRDefault="00A90898" w:rsidP="00A90898">
      <w:pPr>
        <w:pStyle w:val="TextoNormal"/>
      </w:pPr>
    </w:p>
    <w:p w:rsidR="00A90898" w:rsidRDefault="00A90898" w:rsidP="00A90898">
      <w:pPr>
        <w:pStyle w:val="TextoNormal"/>
      </w:pPr>
      <w:r>
        <w:t>A continuación se rememora en la denuncia que el jueves por la tarde o al anochecer [26 de noviembre] le propusieron un trato, “[s]i declaraba lo que ellos querían … me dejarían en paz”, a lo que accedió para ganar tiempo, dejándole descansar tras la preparación de la declaración, que se produjo la mañana siguiente delante de dos guardias civiles con el ordenador y con un abogado de oficio al lado, que no dijo nada.</w:t>
      </w:r>
    </w:p>
    <w:p w:rsidR="00A90898" w:rsidRDefault="00A90898" w:rsidP="00A90898">
      <w:pPr>
        <w:pStyle w:val="TextoNormal"/>
      </w:pPr>
    </w:p>
    <w:p w:rsidR="00A90898" w:rsidRDefault="00A90898" w:rsidP="00A90898">
      <w:pPr>
        <w:pStyle w:val="TextoNormal"/>
      </w:pPr>
      <w:r>
        <w:t>Después cuenta que, cuando creía que la dejarían en paz y estaba “tranquila” en el calabozo, empezó el interrogatorio más duro de todos. Describe la denunciante que, desde que le preguntaron por segunda vez, le colocaron la bolsa y más tarde le dijeron que se quitara la ropa, empezando a quitársela porque ella no se movía hasta dejarla en bragas y calcetines con los ojos cubiertos. Relata que no la tocaron, pero sí la amenazaron con que la iban a violar, diciendo además que el primero, bueno, pero que cómo iba a estar para cuando llegara el turno del último. Añade después que la envolvieron con una manta y otra vez a sudar, tumbándola envuelta en el suelo boca abajo; y mientras uno la sujetaba por la parte de la cintura y otro por los pies, un tercero le apretaba la bolsa en el cuello y, cuando consiguió romper la primera bolsa, le dijeron “¡tranquila, que por bolsas no va a ser!”, y le colocaron la otra. La denunciante manifiesta que ese fue el momento en que peor lo pasó, pero no duró mucho tiempo. Después de ese episodio la dejaron en paz y “cuando subimos al forense simulé al guardia civil que estaba muy mal, y me dijo que estuviera tranquila, que a la mañana siguiente (viernes) me iban a llevar a la Audiencia”.</w:t>
      </w:r>
    </w:p>
    <w:p w:rsidR="00A90898" w:rsidRDefault="00A90898" w:rsidP="00A90898">
      <w:pPr>
        <w:pStyle w:val="TextoNormal"/>
      </w:pPr>
    </w:p>
    <w:p w:rsidR="00A90898" w:rsidRDefault="00A90898" w:rsidP="00A90898">
      <w:pPr>
        <w:pStyle w:val="TextoNormal"/>
      </w:pPr>
      <w:r>
        <w:t>Tras una noche en la que, según refiere, lloró, se tranquilizó y descansó bien, fue llevada por la mañana a la Audiencia, donde “al Juez (Marlasca) le dije que me habían torturado (no le conté cómo), que como consecuencia de ello realicé la declaración policial y que lo negaba todo. El Fiscal pasó, el abogado de oficio que garantía ofrecía para la libertad condicional, me costó mucho entender la pregunta y como no sabía qué contestar no dije nada”.</w:t>
      </w:r>
    </w:p>
    <w:p w:rsidR="00A90898" w:rsidRDefault="00A90898" w:rsidP="00A90898">
      <w:pPr>
        <w:pStyle w:val="TextoNormal"/>
      </w:pPr>
    </w:p>
    <w:p w:rsidR="00A90898" w:rsidRDefault="00A90898" w:rsidP="00A90898">
      <w:pPr>
        <w:pStyle w:val="TextoNormal"/>
      </w:pPr>
      <w:r>
        <w:t>La denuncia explica a continuación que el médico que examinó a la denunciante en el cuartel de Pamplona le enseño la acreditación así como lo hizo el médico que la examinaba dos veces al día en el cuartel de Madrid. Se recoge que este último le tomaba siempre la tensión y no le pedía mucho más porque no tenía golpes ni marcas, si bien alguna vez le mencionó lo del cuello, porque lo tenía dolorido de mantener la cabeza agachada, y después de tocar un poco le decía que no tenía nada. Se destaca que en la Audiencia solicitó que la examinara el forense y vino la misma mujer [que en el cuartel de Madrid], a la que pidió que le “mirara la cadera y la pelvis, puesto que las tenía doloridas al haber estado tumbada en el suelo, y como tenía enrojecido pensé ‘aprovechar’, ya que eso era lo único que se podía ver”.</w:t>
      </w:r>
    </w:p>
    <w:p w:rsidR="00A90898" w:rsidRDefault="00A90898" w:rsidP="00A90898">
      <w:pPr>
        <w:pStyle w:val="TextoNormal"/>
      </w:pPr>
    </w:p>
    <w:p w:rsidR="00A90898" w:rsidRDefault="00A90898" w:rsidP="00A90898">
      <w:pPr>
        <w:pStyle w:val="TextoNormal"/>
      </w:pPr>
      <w:r>
        <w:t xml:space="preserve">La denunciante solicitó la realización de las siguientes diligencias: (i) aportación de los informes médico-forenses realizados durante su detención y en la Audiencia Nacional y su declaración como testigos; (ii) declaración de la denunciante y examen médico-forense para analizar sus posibles secuelas físicas y psíquicas; (iii) unión de las grabaciones que se realizaron por cámara los días en que permaneció incomunicada para ver si existen indicios de </w:t>
      </w:r>
      <w:r>
        <w:lastRenderedPageBreak/>
        <w:t>delito; (iv) identificación de los agentes que practicaron diligencias o tuvieron contacto con ella para conocer qué policías participaron en los interrogatorios ilegales.</w:t>
      </w:r>
    </w:p>
    <w:p w:rsidR="00A90898" w:rsidRDefault="00A90898" w:rsidP="00A90898">
      <w:pPr>
        <w:pStyle w:val="TextoNormal"/>
      </w:pPr>
    </w:p>
    <w:p w:rsidR="00A90898" w:rsidRDefault="00A90898" w:rsidP="00A90898">
      <w:pPr>
        <w:pStyle w:val="TextoNormal"/>
      </w:pPr>
      <w:r>
        <w:t>c) La instrucción correspondió al Juzgado núm. 4 de San Sebastián, que incoó las diligencias previas núm. 858-2010 y, tras ordenar la traducción de la denuncia al castellano, se inhibió favor de los Juzgados de Instrucción de Madrid por Auto de 26 de abril de 2010. La causa fue turnada al Juzgado de Instrucción núm. 14 de Madrid, que por Auto de 31 de mayo de 2010 incoó las diligencias previas núm. 3129-2010 y acordó interesar la remisión de los informes médico-forenses emitidos por los forenses de Pamplona y Madrid y oír en declaración a los mismos sobre los hechos denunciados, así como recabar el testimonio de las declaraciones de la denunciante que obren en la Audiencia Nacional. Posteriormente se acordó que el Juzgado Central de Instrucción núm. 3 informara de la resolución adoptada tras la declaración judicial de la denunciante, donde manifestó haber sido torturada, y remitiera testimonio del atestado por el que se incoaron diligencias previas contra ella.</w:t>
      </w:r>
    </w:p>
    <w:p w:rsidR="00A90898" w:rsidRDefault="00A90898" w:rsidP="00A90898">
      <w:pPr>
        <w:pStyle w:val="TextoNormal"/>
      </w:pPr>
    </w:p>
    <w:p w:rsidR="00A90898" w:rsidRDefault="00A90898" w:rsidP="00A90898">
      <w:pPr>
        <w:pStyle w:val="TextoNormal"/>
      </w:pPr>
      <w:r>
        <w:t>Fruto de las diligencias realizadas, se incorporó a las actuaciones el atestado de 13 de octubre de 2009, donde consta diligencia de declaración de la ahora recurrente ante la Guardia Civil en Madrid sobre las 10:15 horas del día 26 de noviembre de 2009 en la que se autoinculpa.</w:t>
      </w:r>
    </w:p>
    <w:p w:rsidR="00A90898" w:rsidRDefault="00A90898" w:rsidP="00A90898">
      <w:pPr>
        <w:pStyle w:val="TextoNormal"/>
      </w:pPr>
    </w:p>
    <w:p w:rsidR="00A90898" w:rsidRDefault="00A90898" w:rsidP="00A90898">
      <w:pPr>
        <w:pStyle w:val="TextoNormal"/>
      </w:pPr>
      <w:r>
        <w:t>Se incorporó también su declaración ante el Juzgado Central de Instrucción núm. 3, en la que afirma “que no es cierto todo lo que está puesto en la declaración que le ha sido leída y que la misma se tomó con torturas y bajo amenazas. Que quiere hacer constar que hizo esa declaración contra su propia voluntad”; y la subsiguiente acta de comparecencia del art. 505 LECrim (Ley de enjuiciamiento criminal), donde manifiesta que “quiere dejar constancia que ha estado bajo amenazas de la Guardia Civil que ha sido torturada en dependencias policiales de la Guardia Civil y bajo estas torturas ha prestado una declaración en contra de su voluntad y quiere interesar que la misma no sea tomada en consideración por estas circunstancias”.</w:t>
      </w:r>
    </w:p>
    <w:p w:rsidR="00A90898" w:rsidRDefault="00A90898" w:rsidP="00A90898">
      <w:pPr>
        <w:pStyle w:val="TextoNormal"/>
      </w:pPr>
    </w:p>
    <w:p w:rsidR="00A90898" w:rsidRDefault="00A90898" w:rsidP="00A90898">
      <w:pPr>
        <w:pStyle w:val="TextoNormal"/>
      </w:pPr>
      <w:r>
        <w:t>Asimismo el Juzgado Central de Instrucción núm. 3 informó de que, a la vista de las anteriores declaraciones (tortura), “no se adoptó ninguna resolución ni se acordó deducir testimonio de la misma”.</w:t>
      </w:r>
    </w:p>
    <w:p w:rsidR="00A90898" w:rsidRDefault="00A90898" w:rsidP="00A90898">
      <w:pPr>
        <w:pStyle w:val="TextoNormal"/>
      </w:pPr>
    </w:p>
    <w:p w:rsidR="00A90898" w:rsidRDefault="00A90898" w:rsidP="00A90898">
      <w:pPr>
        <w:pStyle w:val="TextoNormal"/>
      </w:pPr>
      <w:r>
        <w:t>Se incorporaron los siete informes forenses extendidos durante el tiempo en que se prolongó la detención (del 24 al 27 de noviembre de 2009), el primero en Pamplona y los otros seis en Madrid, de los que cabe destacar el siguiente contenido:</w:t>
      </w:r>
    </w:p>
    <w:p w:rsidR="00A90898" w:rsidRDefault="00A90898" w:rsidP="00A90898">
      <w:pPr>
        <w:pStyle w:val="TextoNormal"/>
      </w:pPr>
    </w:p>
    <w:p w:rsidR="00A90898" w:rsidRDefault="00A90898" w:rsidP="00A90898">
      <w:pPr>
        <w:pStyle w:val="TextoNormal"/>
      </w:pPr>
      <w:r>
        <w:t>- En el informe emitido en Pamplona el 24 de noviembre (11:35 horas) consta que “tras la detención … el trato ha sido correcto … Dolores y trastornos menstruación, tratamiento con medicación homeopática: pulsatilla y stapisaghria… Superficie corporal sin lesiones. Salvo las picaduras de pulga [contacto con perros]”.</w:t>
      </w:r>
    </w:p>
    <w:p w:rsidR="00A90898" w:rsidRDefault="00A90898" w:rsidP="00A90898">
      <w:pPr>
        <w:pStyle w:val="TextoNormal"/>
      </w:pPr>
    </w:p>
    <w:p w:rsidR="00A90898" w:rsidRDefault="00A90898" w:rsidP="00A90898">
      <w:pPr>
        <w:pStyle w:val="TextoNormal"/>
      </w:pPr>
      <w:r>
        <w:t>- Por lo que atañe a los informes realizados durante la custodia policial en Madrid, el practicado el 24 de noviembre (20:00 horas) expone que refiere “hasta el momento haber recibido un trato correcto … le han ofrecido alimento y dice no ha dormido casi nada desde la detención. No quiere desnudarse para ser reconocida, dice que se encuentra bien y se deja tomar la TA que es de 11/7. Tranquila y bien orientada”.</w:t>
      </w:r>
    </w:p>
    <w:p w:rsidR="00A90898" w:rsidRDefault="00A90898" w:rsidP="00A90898">
      <w:pPr>
        <w:pStyle w:val="TextoNormal"/>
      </w:pPr>
    </w:p>
    <w:p w:rsidR="00A90898" w:rsidRDefault="00A90898" w:rsidP="00A90898">
      <w:pPr>
        <w:pStyle w:val="TextoNormal"/>
      </w:pPr>
      <w:r>
        <w:t>- El informe realizado el 25 de noviembre (8:15 horas) refiere que “dice encontrarse bien, haber dormido casi de un tirón y haber recibido alimento … no desea desnudarse para ser reconocida. TA 11/6.5. Respecto del trato dice que le han obligado a ‘hacer sentadillas y cuando me cansaba me ponían la bolsa’. Preguntada en que consiste una sentadilla lo demuestra agachándose varias veces sin ningún problema, signos de fatiga, dolor o molestia. Conjuntivas y mucosa bucal sin lesiones, lengua saburral”.</w:t>
      </w:r>
    </w:p>
    <w:p w:rsidR="00A90898" w:rsidRDefault="00A90898" w:rsidP="00A90898">
      <w:pPr>
        <w:pStyle w:val="TextoNormal"/>
      </w:pPr>
    </w:p>
    <w:p w:rsidR="00A90898" w:rsidRDefault="00A90898" w:rsidP="00A90898">
      <w:pPr>
        <w:pStyle w:val="TextoNormal"/>
      </w:pPr>
      <w:r>
        <w:t>- En el informe de 25 de noviembre (20:00 horas) consta que “la informada dice encontrarse bien y haber recibido alimento regularmente … Refiere malos tratos consistentes en que ‘he estado envuelta en una manta con una bolsa en la cabeza’, preguntada sobre ello primero dice que más de una vez, luego que solo un rato, que no sabe si mucho. No refiere golpes pero dice le duele el cuello de tener la cabeza gacha. No se aprecian señales de violencia ni de contractura a nivel cervical, la movilidad es normal y no dolorosa. No desea desnudarse para ser reconocida. TA 10.5/6,5. Tranquila y bien orientada”.</w:t>
      </w:r>
    </w:p>
    <w:p w:rsidR="00A90898" w:rsidRDefault="00A90898" w:rsidP="00A90898">
      <w:pPr>
        <w:pStyle w:val="TextoNormal"/>
      </w:pPr>
    </w:p>
    <w:p w:rsidR="00A90898" w:rsidRDefault="00A90898" w:rsidP="00A90898">
      <w:pPr>
        <w:pStyle w:val="TextoNormal"/>
      </w:pPr>
      <w:r>
        <w:t>- El informe practicado el 26 de noviembre (8:15 horas) refleja que “dice estar bien, haber cenado y dormido a ratos, no ha pasado frío … Respecto del trato recibido contesta que desde la última visita de anoche ‘bien’. No desea desnudarse para ser reconocida, ‘no hace falta’. TA 10,5/6,5. Tranquila y bien orientada”.</w:t>
      </w:r>
    </w:p>
    <w:p w:rsidR="00A90898" w:rsidRDefault="00A90898" w:rsidP="00A90898">
      <w:pPr>
        <w:pStyle w:val="TextoNormal"/>
      </w:pPr>
    </w:p>
    <w:p w:rsidR="00A90898" w:rsidRDefault="00A90898" w:rsidP="00A90898">
      <w:pPr>
        <w:pStyle w:val="TextoNormal"/>
      </w:pPr>
      <w:r>
        <w:t>- El informe de 26 de noviembre (20.00 horas) refiere que “[l]a informada dice estar ‘muy mal’ y que ‘me duele todo’. Dice que ha recibido alimento regularmente … que ha dormido algo a lo largo del día … Respecto al trato recibido desde la visita de la mañana contesta que ‘lo he pasado mal, no podía respirar’ que fue por una bolsa y que no sabe si antes o después de comer, que es lo único que ha pasado. No desea desnudarse para ser reconocida ‘solo el cuello’. No se aprecian señales de violencia a nivel cervical, superior o torácico, retroauricular, cara, conjuntivas (ocular y palpebral) ni en labios o mucosa bucal. La movilidad del cuello es normal y no dolorosa. Tampoco se aprecian dificultad a la marcha o al sentarse o levantarse de la silla. TA 10,5/6,5. Está bien orientada en tiempo y espacio”.</w:t>
      </w:r>
    </w:p>
    <w:p w:rsidR="00A90898" w:rsidRDefault="00A90898" w:rsidP="00A90898">
      <w:pPr>
        <w:pStyle w:val="TextoNormal"/>
      </w:pPr>
    </w:p>
    <w:p w:rsidR="00A90898" w:rsidRDefault="00A90898" w:rsidP="00A90898">
      <w:pPr>
        <w:pStyle w:val="TextoNormal"/>
      </w:pPr>
      <w:r>
        <w:t>- Por último, en el informe forense practicado el 27 de noviembre (no consta hora), se recoge que “dice encontrarse bien aunque alega le duele a nivel cresta iliaca izquierda y en pubis que achaca a que ayer por la tarde la tuvieron tumbada en el suelo, boca abajo, envuelta con una manta… Que desde anoche el trato ha sido correcto. Se deja reconocer. Movilidad normal, no dolor a la presión en sínfisis pubiana no caderas o crestas ilíacas, no señal de enrojecimiento a ese nivel, no se aprecian señales de violencia en superficie corporal, cuero cabelludo, conjuntivas, labios o mucosa bucal. TA 11/6,5. Tranquila y bien orientada en tiempo y espacio. En el momento actual reúne condiciones para prestar declaración”.</w:t>
      </w:r>
    </w:p>
    <w:p w:rsidR="00A90898" w:rsidRDefault="00A90898" w:rsidP="00A90898">
      <w:pPr>
        <w:pStyle w:val="TextoNormal"/>
      </w:pPr>
    </w:p>
    <w:p w:rsidR="00A90898" w:rsidRDefault="00A90898" w:rsidP="00A90898">
      <w:pPr>
        <w:pStyle w:val="TextoNormal"/>
      </w:pPr>
      <w:r>
        <w:t xml:space="preserve">En la investigación se practicó la declaración testifical de los médicos forenses. El 11 de junio de 2010 el médico forense que reconoció a la demandante en Pamplona reiteró la información consignada en su informe de 24 de noviembre de 2009. La médico forense de Madrid declaró el 18 de septiembre de 2012, ratificándose en sus informes, en especial sobre cuándo se negó o aceptó ser reconocida. Declara que el día 27 se dejó reconocer en la Audiencia Nacional antes de su declaración (los agentes están fuera y la puerta cerrada). Se le exploraron las partes visibles y a nivel de mucosa, conjuntivas, no apreciándose petequias </w:t>
      </w:r>
      <w:r>
        <w:lastRenderedPageBreak/>
        <w:t>ni marca alguna y que, de habérsele aplicado el procedimiento de “la bolsa”, se la habrían apreciado con alta probabilidad. En cuanto al cuerpo, expone que, si hubiera habido golpes, habría habido hematomas o enrojecimientos y, si se hubiera dejado reconocer, se habría podido determinar en función del grado de coloración y su antigüedad. En todo caso, agrega, reconocida el día 27, no se apreciaban señales de violencia en la superficie corporal. Sobre el reconocimiento del día 25, indica que la denunciante dice haber sido obligada a hacer sentadillas, pero la declarante no le apreció signos de fatiga, agujetas ni síntoma alguno que recomendara hacer algún tipo de análisis. Además desea añadir que si una persona realiza voluntariamente ejercicio físico excesivo también pude aumentar las transaminasas y fundamentalmente los distintos tipos de CPK. Añade que no presentaba signos de sujeción en el cuello, que siempre les pregunta por el trato recibido, si ha habido algún problema físico o psíquico y cuál ha sido el que ha habido. En este caso concreto no hubo ninguna circunstancia que le llamara la atención para llamar inmediatamente al Juzgado.</w:t>
      </w:r>
    </w:p>
    <w:p w:rsidR="00A90898" w:rsidRDefault="00A90898" w:rsidP="00A90898">
      <w:pPr>
        <w:pStyle w:val="TextoNormal"/>
      </w:pPr>
    </w:p>
    <w:p w:rsidR="00A90898" w:rsidRDefault="00A90898" w:rsidP="00A90898">
      <w:pPr>
        <w:pStyle w:val="TextoNormal"/>
      </w:pPr>
      <w:r>
        <w:t>d) En fecha 2 de octubre de 2012 el Juzgado de Instrucción núm. 14 de Madrid dictó Auto decretando el sobreseimiento provisional de acuerdo con el art. 779.1.1 LECrim. Dicho Auto argumenta en su razonamiento jurídico único lo siguiente:</w:t>
      </w:r>
    </w:p>
    <w:p w:rsidR="00A90898" w:rsidRDefault="00A90898" w:rsidP="00A90898">
      <w:pPr>
        <w:pStyle w:val="TextoNormal"/>
      </w:pPr>
    </w:p>
    <w:p w:rsidR="00A90898" w:rsidRDefault="00A90898" w:rsidP="00A90898">
      <w:pPr>
        <w:pStyle w:val="TextoNormal"/>
      </w:pPr>
      <w:r>
        <w:t>“Llama la atención que en su primera declaración ante el Juzgado no detalla en modo alguno las circunstancias en las que sufrió los referidos hechos que luego pormenoriza en su denuncia llevada a cabo dos meses después.</w:t>
      </w:r>
    </w:p>
    <w:p w:rsidR="00A90898" w:rsidRDefault="00A90898" w:rsidP="00A90898">
      <w:pPr>
        <w:pStyle w:val="TextoNormal"/>
      </w:pPr>
    </w:p>
    <w:p w:rsidR="00A90898" w:rsidRDefault="00A90898" w:rsidP="00A90898">
      <w:pPr>
        <w:pStyle w:val="TextoNormal"/>
      </w:pPr>
      <w:r>
        <w:t>Por si fuera poco lo anterior, tampoco permitió ser explorada por la médico forense de la Audiencia Nacional, lo que habría permitido evidenciar las huellas o secuelas de las lesiones o malos tratos que dijo haber sufrido.</w:t>
      </w:r>
    </w:p>
    <w:p w:rsidR="00A90898" w:rsidRDefault="00A90898" w:rsidP="00A90898">
      <w:pPr>
        <w:pStyle w:val="TextoNormal"/>
      </w:pPr>
    </w:p>
    <w:p w:rsidR="00A90898" w:rsidRDefault="00A90898" w:rsidP="00A90898">
      <w:pPr>
        <w:pStyle w:val="TextoNormal"/>
      </w:pPr>
      <w:r>
        <w:t>Cuando el día 27 accedió a desnudarse para poder ser completamente examinada, la facultativa no apreció rojeces, hematomas u otros síntomas reveladores de que se hubieran propinado golpes ni ningún otro síntoma que hubiera aconsejado realizar estudios más profundos.</w:t>
      </w:r>
    </w:p>
    <w:p w:rsidR="00A90898" w:rsidRDefault="00A90898" w:rsidP="00A90898">
      <w:pPr>
        <w:pStyle w:val="TextoNormal"/>
      </w:pPr>
    </w:p>
    <w:p w:rsidR="00A90898" w:rsidRDefault="00A90898" w:rsidP="00A90898">
      <w:pPr>
        <w:pStyle w:val="TextoNormal"/>
      </w:pPr>
      <w:r>
        <w:t>Y en cuanto al denominado procedimiento de la bolsa, consistente en la colocación de la misma en la cabeza a fin de sofocarle y producirle dificultades en la respiración y consiguiente asfixia, en caso de haberse producido, habría dejado como secuelas petequias en los ojos que tampoco fueron advertidas por el médico forense en todos los exámenes que uno o dos veces al día se le practicaron desde su ingreso en los calabozos de la Audiencia Nacional.</w:t>
      </w:r>
    </w:p>
    <w:p w:rsidR="00A90898" w:rsidRDefault="00A90898" w:rsidP="00A90898">
      <w:pPr>
        <w:pStyle w:val="TextoNormal"/>
      </w:pPr>
    </w:p>
    <w:p w:rsidR="00A90898" w:rsidRDefault="00A90898" w:rsidP="00A90898">
      <w:pPr>
        <w:pStyle w:val="TextoNormal"/>
      </w:pPr>
      <w:r>
        <w:t>En estas circunstancias y apurada al máximo la instrucción no aparece el más leve indicio de que se hayan perpetrado los hechos denunciados, por lo que de acuerdo con lo dispuesto en el artículo 779-1.1 a de la Ley de Enjuiciamiento Criminal, reformada por Ley 38/02 procede decretar el sobreseimiento provisional de las actuaciones.”</w:t>
      </w:r>
    </w:p>
    <w:p w:rsidR="00A90898" w:rsidRDefault="00A90898" w:rsidP="00A90898">
      <w:pPr>
        <w:pStyle w:val="TextoNormal"/>
      </w:pPr>
    </w:p>
    <w:p w:rsidR="00A90898" w:rsidRDefault="00A90898" w:rsidP="00A90898">
      <w:pPr>
        <w:pStyle w:val="TextoNormal"/>
      </w:pPr>
      <w:r>
        <w:t xml:space="preserve">e) La demandante de amparo interpuso recurso de reforma y subsidiario de apelación, donde alegó, en síntesis, que no se habían apurado al máximo las diligencias que exige la investigación de este tipo de delitos, máxime cuando su perpetración ha quedado acreditada por el relato de la denunciante y las diligencia practicadas, recordando que la ausencia de una investigación eficaz es lesiva, entre otros, de los arts. 15 y 24 CE. Por ello considera </w:t>
      </w:r>
      <w:r>
        <w:lastRenderedPageBreak/>
        <w:t>que quedan pendientes de practicar diligencias de averiguación en orden al esclarecimiento de los hechos. A tal fin, reitera la solicitud de práctica de las diligencias relacionadas en la denuncia no atendidas, a las que añade la toma de declaración a los Letrados que la asistieron de oficio en sede policial y judicial.</w:t>
      </w:r>
    </w:p>
    <w:p w:rsidR="00A90898" w:rsidRDefault="00A90898" w:rsidP="00A90898">
      <w:pPr>
        <w:pStyle w:val="TextoNormal"/>
      </w:pPr>
    </w:p>
    <w:p w:rsidR="00A90898" w:rsidRDefault="00A90898" w:rsidP="00A90898">
      <w:pPr>
        <w:pStyle w:val="TextoNormal"/>
      </w:pPr>
      <w:r>
        <w:t>f) Por Auto de 21 de enero de 2013 el Juzgado de Instrucción núm. 14 de Madrid desestimó el recurso de reforma, pudiendo leerse en su fundamento jurídico único que “[n]o habiéndose desvirtuado los fundamentos de Derecho que estimó de aplicación al caso este Juzgado para dictar la resolución recurrida, es procedente denegar el recurso de reforma interpuesto, manteniéndose en todas sus partes la resolución recurrida”.</w:t>
      </w:r>
    </w:p>
    <w:p w:rsidR="00A90898" w:rsidRDefault="00A90898" w:rsidP="00A90898">
      <w:pPr>
        <w:pStyle w:val="TextoNormal"/>
      </w:pPr>
    </w:p>
    <w:p w:rsidR="00A90898" w:rsidRDefault="00A90898" w:rsidP="00A90898">
      <w:pPr>
        <w:pStyle w:val="TextoNormal"/>
      </w:pPr>
      <w:r>
        <w:t>g) Por Auto de 7 de marzo de 2013 de la Sección Tercera de la Audiencia Provincial de Madrid se desestimó el recurso de apelación y se confirmó el Auto recurrido tras razonarse en el fundamento jurídico primero como sigue:</w:t>
      </w:r>
    </w:p>
    <w:p w:rsidR="00A90898" w:rsidRDefault="00A90898" w:rsidP="00A90898">
      <w:pPr>
        <w:pStyle w:val="TextoNormal"/>
      </w:pPr>
    </w:p>
    <w:p w:rsidR="00A90898" w:rsidRDefault="00A90898" w:rsidP="00A90898">
      <w:pPr>
        <w:pStyle w:val="TextoNormal"/>
      </w:pPr>
      <w:r>
        <w:t>“Al respecto señalar que la denuncia se interpone en Abril de 2010, transcurridos casi cinco meses desde que tiene lugar la detención de Irati Mujika y en ella relata las torturas físicas y psicológicas que le infligieron los agentes de Guardia Civil y Policía Nacional en el tiempo que duró la detención y que comenzó el día 24 de noviembre de 2009.</w:t>
      </w:r>
    </w:p>
    <w:p w:rsidR="00A90898" w:rsidRDefault="00A90898" w:rsidP="00A90898">
      <w:pPr>
        <w:pStyle w:val="TextoNormal"/>
      </w:pPr>
    </w:p>
    <w:p w:rsidR="00A90898" w:rsidRDefault="00A90898" w:rsidP="00A90898">
      <w:pPr>
        <w:pStyle w:val="TextoNormal"/>
      </w:pPr>
      <w:r>
        <w:t>Frente a ello a lo largo de la instrucción y diligencias practicadas durante casi tres años constatamos que los médicos que atendieron a la detenida en varias ocasiones durante el lapso de tiempo que duró la detención y puesta a disposición judicial … no se aprecian señales de violencia o enrojecimiento en superficie corporal, cuero cabelludo, conjuntivas, labios o mucosa labial, ni tan siquiera tras el reconocimiento que se le efectúa desnuda el día 27. Es en base a ello por lo que deviene absolutamente impertinente el reconocimiento médico para constatar unas lesiones que no presentaba cinco meses antes (ahora tres años más tarde).</w:t>
      </w:r>
    </w:p>
    <w:p w:rsidR="00A90898" w:rsidRDefault="00A90898" w:rsidP="00A90898">
      <w:pPr>
        <w:pStyle w:val="TextoNormal"/>
      </w:pPr>
    </w:p>
    <w:p w:rsidR="00A90898" w:rsidRDefault="00A90898" w:rsidP="00A90898">
      <w:pPr>
        <w:pStyle w:val="TextoNormal"/>
      </w:pPr>
      <w:r>
        <w:t>Además las manifestaciones de la denunciante, referidas en la comparecencia de prisión efectuada el día 27 de noviembre de 2009 (folio 75) o (11030) y según la cual la declaración que prestó ante la Guardia Civil y a presencia de Letrado la efectuó bajo torturas, carece de credibilidad precisamente por la presencia de dicho profesional.</w:t>
      </w:r>
    </w:p>
    <w:p w:rsidR="00A90898" w:rsidRDefault="00A90898" w:rsidP="00A90898">
      <w:pPr>
        <w:pStyle w:val="TextoNormal"/>
      </w:pPr>
    </w:p>
    <w:p w:rsidR="00A90898" w:rsidRDefault="00A90898" w:rsidP="00A90898">
      <w:pPr>
        <w:pStyle w:val="TextoNormal"/>
      </w:pPr>
      <w:r>
        <w:t>Todo lo expuesto conlleva ante la falta de datos objetivos que corroboren el contenido de la declaración efectuada por Irati Mujika Larreta a considerar que su testimonio no reúne los requisitos de ausencia de incredibilidad subjetiva y verosimilitud que exige la Jurisprudencia pues su reiteración en los hechos denunciados obviando la verosimilitud de datos objetivos constatados no aportan indicio alguno que permitan considerar necesaria la práctica de otras diligencias y por ello entendemos que no queda suficientemente acreditada la perpetración del hecho delictivo.”</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denuncia la vulneración de los derechos a la integridad física y moral (art. 15 CE), a la tutela judicial efectiva (art. 24.1 CE) y a un proceso con todas las garantías y uso de los medios pertinentes de prueba para la defensa (art. 24.2 CE).</w:t>
      </w:r>
    </w:p>
    <w:p w:rsidR="00A90898" w:rsidRDefault="00A90898" w:rsidP="00A90898">
      <w:pPr>
        <w:pStyle w:val="TextoNormal"/>
      </w:pPr>
    </w:p>
    <w:p w:rsidR="00A90898" w:rsidRDefault="00A90898" w:rsidP="00A90898">
      <w:pPr>
        <w:pStyle w:val="TextoNormal"/>
      </w:pPr>
      <w:r>
        <w:t xml:space="preserve">La recurrente aduce en primer lugar la vulneración del derecho a la integridad física y moral recogido en el art. 15 CE, que prohíbe absolutamente la tortura y que ha tenido su </w:t>
      </w:r>
      <w:r>
        <w:lastRenderedPageBreak/>
        <w:t>trasunto en el art. 174 CP, que devendría de la inexistencia de un procedimiento judicial frente a la denuncia por torturas, que le hubiera permitido alcanzar, al menos, una reparación jurídica suficiente.</w:t>
      </w:r>
    </w:p>
    <w:p w:rsidR="00A90898" w:rsidRDefault="00A90898" w:rsidP="00A90898">
      <w:pPr>
        <w:pStyle w:val="TextoNormal"/>
      </w:pPr>
    </w:p>
    <w:p w:rsidR="00A90898" w:rsidRDefault="00A90898" w:rsidP="00A90898">
      <w:pPr>
        <w:pStyle w:val="TextoNormal"/>
      </w:pPr>
      <w:r>
        <w:t>Conectado con el motivo anterior, plantea como segundo motivo de amparo la vulneración del derecho a la tutela judicial efectiva (art. 24.1 CE), a un proceso con todas las garantías (art. 24.2 CE) y a utilizar los medios de prueba pertinentes para su defensa (art. 24.2 CE), en que habrían incurrido los órganos judiciales al haber archivado la denuncia sin practicar las diligencias de prueba imprescindibles para haber garantizado la tutela judicial efectiva en el contexto de una denuncia por torturas, invocando jurisprudencia constitucional y del Tribunal Europeo de Derechos Humanos. En concreto, destaca que no se ha llevado a cabo la declaración de la denunciante, tan importante en estos delitos según reconoce el Tribunal Constitucional, sin que, además, el Juez de la Audiencia Nacional o el Fiscal o el Abogado designado de oficio interesaran pregunta alguna al respecto cuando la demandante declaró en esa sede que había sufrido tortura. Tampoco fue reconocida física y psicológicamente para valorar las posibles lesiones y secuelas, siendo el examen imprescindible para poder establecer una relación entre los signos físicos y/o psicológicos observados y la denuncia de tortura, ni se ha solicitado la aportación de las grabaciones que pudieran existir del período de detención incomunicada, ni, en fin, se ha impulsado la identificación de las personas intervinientes en la detención o encargadas de su custodia, todas ellas diligencias idóneas, a juicio de la demandante, para despejar cualquier duda sobre los hechos denunciados.</w:t>
      </w:r>
    </w:p>
    <w:p w:rsidR="00A90898" w:rsidRDefault="00A90898" w:rsidP="00A90898">
      <w:pPr>
        <w:pStyle w:val="TextoNormal"/>
      </w:pPr>
    </w:p>
    <w:p w:rsidR="00A90898" w:rsidRDefault="00A90898" w:rsidP="00A90898">
      <w:pPr>
        <w:pStyle w:val="TextoNormal"/>
      </w:pPr>
      <w:r>
        <w:t>La recurrente efectúa después un repaso por las recomendaciones internacionales en materia de tortura y malos tratos y se opone a los argumentos manejados por los órganos judiciales en las resoluciones impugnadas. Así, frente al argumento de la demora en denuncias opone que ya denunció los hechos ante el médico forense en dependencias policiales y después antes el Juez de la Audiencia Nacional, quien, sin embargo, omitió toda actuación posterior. Rechaza que la presencia de un Letrado de oficio en la declaración policial sea garantía que merme la credibilidad de su afirmación respecto a que declaró bajo amenaza, pues la persona detenida incomunicada no tiene derecho a mantener una entrevista con el mismo, ni previa ni posterior a la declaración. Por último, advierte que la ausencia de señales de violencia carece de fuerza suficiente para despejar toda sospecha, como reconoce el Tribunal Constitucional, pues los malos tratos denunciados pueden no dejar marcas o señales.</w:t>
      </w:r>
    </w:p>
    <w:p w:rsidR="00A90898" w:rsidRDefault="00A90898" w:rsidP="00A90898">
      <w:pPr>
        <w:pStyle w:val="TextoNormal"/>
      </w:pPr>
    </w:p>
    <w:p w:rsidR="00A90898" w:rsidRDefault="00A90898" w:rsidP="00A90898">
      <w:pPr>
        <w:pStyle w:val="TextoNormal"/>
      </w:pPr>
      <w:r>
        <w:t>Al final de la demanda se justifica la especial trascendencia constitucional con dos argumentos. De un lado, por cuanto la doctrina aplicable está siendo incumplida con carácter general, recordando acto seguido los ejes de la doctrina constitucional pertinente, que se incumple al sobreseer prematuramente. De otro lado, por cuanto el asunto trasciende del caso concreto, pues vendría a reforzar la doctrina ya existente en relación con unos hechos extraordinariamente graves de gran trascendencia social, pues la tortura es una lacra que envilece y deslegitima a un Estado democrático.</w:t>
      </w:r>
    </w:p>
    <w:p w:rsidR="00A90898" w:rsidRDefault="00A90898" w:rsidP="00A90898">
      <w:pPr>
        <w:pStyle w:val="TextoNormal"/>
      </w:pPr>
    </w:p>
    <w:p w:rsidR="00A90898" w:rsidRDefault="00A90898" w:rsidP="00A90898">
      <w:pPr>
        <w:pStyle w:val="TextoNormal"/>
      </w:pPr>
      <w:r w:rsidRPr="00A90898">
        <w:rPr>
          <w:rStyle w:val="NumeroAFNegritaCaracter"/>
        </w:rPr>
        <w:t>4</w:t>
      </w:r>
      <w:r>
        <w:t>. La Sala Primera de este Tribunal acordó, por providencia de 30 de noviembre de 2015, admitir a trámite la demanda de amparo, tras apreciar que concurre en el mismo una especial trascendencia constitucional [art. 50.1 de la Ley Orgánica del Tribunal Constitucional (LOTC)] como consecuencia de que la doctrina de este Tribunal sobre el derecho funda</w:t>
      </w:r>
      <w:r>
        <w:lastRenderedPageBreak/>
        <w:t>mental que se alega podría estar siendo incumplida de modo general y reiterado por la jurisdicción ordinaria o pudieran existir resoluciones judiciales contradictorias sobre el derecho fundamental [STC 155/2009, FJ 2 e)].</w:t>
      </w:r>
    </w:p>
    <w:p w:rsidR="00A90898" w:rsidRDefault="00A90898" w:rsidP="00A90898">
      <w:pPr>
        <w:pStyle w:val="TextoNormal"/>
      </w:pPr>
    </w:p>
    <w:p w:rsidR="00A90898" w:rsidRDefault="00A90898" w:rsidP="00A90898">
      <w:pPr>
        <w:pStyle w:val="TextoNormal"/>
      </w:pPr>
      <w:r>
        <w:t>En aplicación de lo dispuesto en el art. 51 LOTC, también acordó requerir atentamente a la Sección Tercera de la Audiencia Provincial de Madrid la remisión del testimonio de las actuaciones correspondientes al rollo RT 154-2013. Asimismo, constando remitidas las actuaciones correspondientes al Juzgado de Instrucción núm. 14 de Madrid, acordó dirigirle comunicación a fin de que proceda a emplazar a quienes hubieran sido parte en el procedimiento, a excepción de la parte recurrente en amparo, para que pudiesen comparecer en el plazo de diez días.</w:t>
      </w:r>
    </w:p>
    <w:p w:rsidR="00A90898" w:rsidRDefault="00A90898" w:rsidP="00A90898">
      <w:pPr>
        <w:pStyle w:val="TextoNormal"/>
      </w:pPr>
    </w:p>
    <w:p w:rsidR="00A90898" w:rsidRDefault="00A90898" w:rsidP="00A90898">
      <w:pPr>
        <w:pStyle w:val="TextoNormal"/>
      </w:pPr>
      <w:r w:rsidRPr="00A90898">
        <w:rPr>
          <w:rStyle w:val="NumeroAFNegritaCaracter"/>
        </w:rPr>
        <w:t>5</w:t>
      </w:r>
      <w:r>
        <w:t>. Recibidas las actuaciones, la Secretaría de Justicia de la Sala Primera de este Tribunal, por diligencia de 25 de enero de 2016, acordó dar vista de las actuaciones a la parte recurrente y al Ministerio fiscal por plazo común de veinte días para presentar las alegaciones que estimasen pertinentes, de conformidad con el art. 52.1 LOTC.</w:t>
      </w:r>
    </w:p>
    <w:p w:rsidR="00A90898" w:rsidRDefault="00A90898" w:rsidP="00A90898">
      <w:pPr>
        <w:pStyle w:val="TextoNormal"/>
      </w:pPr>
    </w:p>
    <w:p w:rsidR="00A90898" w:rsidRDefault="00A90898" w:rsidP="00A90898">
      <w:pPr>
        <w:pStyle w:val="TextoNormal"/>
      </w:pPr>
      <w:r w:rsidRPr="00A90898">
        <w:rPr>
          <w:rStyle w:val="NumeroAFNegritaCaracter"/>
        </w:rPr>
        <w:t>6</w:t>
      </w:r>
      <w:r>
        <w:t>. La recurrente, en escrito registrado el 5 de febrero de 2016, presentó alegaciones en las que reiteró y dio por reproducidas las expresadas en la demanda de amparo.</w:t>
      </w:r>
    </w:p>
    <w:p w:rsidR="00A90898" w:rsidRDefault="00A90898" w:rsidP="00A90898">
      <w:pPr>
        <w:pStyle w:val="TextoNormal"/>
      </w:pPr>
    </w:p>
    <w:p w:rsidR="00A90898" w:rsidRDefault="00A90898" w:rsidP="00A90898">
      <w:pPr>
        <w:pStyle w:val="TextoNormal"/>
      </w:pPr>
      <w:r w:rsidRPr="00A90898">
        <w:rPr>
          <w:rStyle w:val="NumeroAFNegritaCaracter"/>
        </w:rPr>
        <w:t>7</w:t>
      </w:r>
      <w:r>
        <w:t>. El Fiscal ante el Tribunal Constitucional, en escrito registrado el 7 de marzo de 2016, interesó que se otorgue el amparo por vulneración del derecho a la tutela judicial efectiva sin indefensión (art. 24.1 CE) en relación con el derecho a no ser sometido a torturas ni a tratos inhumanos o degradantes (art. 15 CE) y se declare la nulidad de las resoluciones judiciales impugnadas con retroacción de las actuaciones.</w:t>
      </w:r>
    </w:p>
    <w:p w:rsidR="00A90898" w:rsidRDefault="00A90898" w:rsidP="00A90898">
      <w:pPr>
        <w:pStyle w:val="TextoNormal"/>
      </w:pPr>
    </w:p>
    <w:p w:rsidR="00A90898" w:rsidRDefault="00A90898" w:rsidP="00A90898">
      <w:pPr>
        <w:pStyle w:val="TextoNormal"/>
      </w:pPr>
      <w:r>
        <w:t>Expone, con amplia cita de las SSTC 63/2010, de 18 de octubre, y 12/2013, de 28 de enero, que es jurisprudencia constitucional consolidada, coincidente con la jurisprudencia del Tribunal Europeo de Derechos Humanos, que el derecho a la tutela judicial efectiva en este ámbito se vulnera cuando se clausura la instrucción a pesar de que existan sospechas razonables de que ha podido cometerse el delito que se denuncia, siempre que dichas sospechas sean susceptibles de ser despejadas a mediante una investigación eficaz, lo que exige agotar las posibilidades razonables de investigación útiles para aclarar los hechos. Para valorar la concurrencia de ese doble presupuesto, deben tomarse en consideración las circunstancias concretas de cada caso y la probable escasez de pruebas, sobre todo cuando se denuncian actos intimidatorios o de tortura psicológica, destacando la idoneidad de las diligencias con origen ajeno a las instituciones afectadas y, singularmente, de los testimonios del denunciante, siempre desde la premisa de su condicionamiento por las circunstancias de la privación de libertad.</w:t>
      </w:r>
    </w:p>
    <w:p w:rsidR="00A90898" w:rsidRDefault="00A90898" w:rsidP="00A90898">
      <w:pPr>
        <w:pStyle w:val="TextoNormal"/>
      </w:pPr>
    </w:p>
    <w:p w:rsidR="00A90898" w:rsidRDefault="00A90898" w:rsidP="00A90898">
      <w:pPr>
        <w:pStyle w:val="TextoNormal"/>
      </w:pPr>
      <w:r>
        <w:t xml:space="preserve">El Ministerio Fiscal rebate los argumentos ofrecidos por las resoluciones judiciales para fundar la decisión de sobreseer, que no responden a la doctrina constitucional. Por lo que se refiere a la falta de corroboración de los hechos en los informes médicos, recuerda que unos malos tratos como los denunciados no dejarían marcas o señales de su comisión, por lo que la ausencia de signos de agresiones físicas no es concluyente. Al tiempo insiste en que la concordancia entre la denuncia, los datos expuestos en los reconocimientos forenses y su relación con la fecha en que se produjeron las declaraciones revela circunstancias que no </w:t>
      </w:r>
      <w:r>
        <w:lastRenderedPageBreak/>
        <w:t>serían incompatibles con los malos tratos denunciados. La falta de denuncia ante la policía, aun con presencia de Letrado de oficio, no puede mermar la credibilidad de la recurrente, pues sí denunció ante el médico forense y en sede judicial, sin que parezca razonable exigir una expresa manifestación de los malos tratos a quien se encuentra bajo absoluto control policial detenido e incomunicado. Por último, rechaza que el tiempo transcurrido en interponer la denuncia sea excesivamente prolongado conforme a los parámetros manejados en la jurisprudencia constitucional, máxime cuando no se conoce el tiempo que permaneció en prisión y vino precedida de manifestaciones sobre tales episodios tanto a la médico forense mientras estuvo detenida, como ante el Magistrado de la Audiencia Nacional, que no adoptó resolución alguna al respecto.</w:t>
      </w:r>
    </w:p>
    <w:p w:rsidR="00A90898" w:rsidRDefault="00A90898" w:rsidP="00A90898">
      <w:pPr>
        <w:pStyle w:val="TextoNormal"/>
      </w:pPr>
    </w:p>
    <w:p w:rsidR="00A90898" w:rsidRDefault="00A90898" w:rsidP="00A90898">
      <w:pPr>
        <w:pStyle w:val="TextoNormal"/>
      </w:pPr>
      <w:r>
        <w:t>A la luz de lo anterior concluye el Fiscal que no se agotó la investigación razonablemente pertinente, pues las diligencias practicadas no despejaron toda sospecha. A su juicio, debió optarse por la práctica de diligencias más idóneas, en particular, la declaración de la ahora recurrente, pues la evaluación de la credibilidad de la denunciante requiere que se efectúe a presencia judicial; sin que pueda descartase tampoco la identificación y, en su caso, declaración de los agentes encargados de la custodia durante la detención o la declaración, al menos, del abogado de oficio que asistió a las dos declaraciones prestadas por la denunciante en sede policial y judicial.</w:t>
      </w:r>
    </w:p>
    <w:p w:rsidR="00A90898" w:rsidRDefault="00A90898" w:rsidP="00A90898">
      <w:pPr>
        <w:pStyle w:val="TextoNormal"/>
      </w:pPr>
    </w:p>
    <w:p w:rsidR="00A90898" w:rsidRDefault="00A90898" w:rsidP="00A90898">
      <w:pPr>
        <w:pStyle w:val="TextoNormal"/>
      </w:pPr>
      <w:r w:rsidRPr="00A90898">
        <w:rPr>
          <w:rStyle w:val="NumeroAFNegritaCaracter"/>
        </w:rPr>
        <w:t>8</w:t>
      </w:r>
      <w:r>
        <w:t>. Mediante providencia de 15 de septiembre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Se impugna en el recurso de amparo el Auto de la Sección Tercera de la Audiencia Provincial de Madrid de 7 de marzo de 2013 (rollo núm. 154-2013), que confirmó en apelación el Auto del Juzgado de Instrucción núm. 14 de Madrid de 2 de octubre de 2012, previamente confirmado en reforma por Auto de 21 de enero de 2013, por el que se acordaba el sobreseimiento provisional y el archivo de las diligencias previas núm. 3129-2010 iniciadas tras la denuncia de la recurrente por torturas.</w:t>
      </w:r>
    </w:p>
    <w:p w:rsidR="00A90898" w:rsidRDefault="00A90898" w:rsidP="00A90898">
      <w:pPr>
        <w:pStyle w:val="TextoNormal"/>
      </w:pPr>
    </w:p>
    <w:p w:rsidR="00A90898" w:rsidRDefault="00A90898" w:rsidP="00A90898">
      <w:pPr>
        <w:pStyle w:val="TextoNormal"/>
      </w:pPr>
      <w:r>
        <w:t>La demandante, con invocación de amplia jurisprudencia constitucional y del Tribunal Europeo de Derechos Humanos, considera vulnerados sus derechos a la integridad física y moral (art. 15 CE), a la tutela judicial efectiva (art. 24.1 CE) y a un proceso con todas las garantías y uso de los medios pertinentes de prueba para la defensa (art. 24.2 CE) por la falta de una investigación judicial suficiente de los hechos denunciados.</w:t>
      </w:r>
    </w:p>
    <w:p w:rsidR="00A90898" w:rsidRDefault="00A90898" w:rsidP="00A90898">
      <w:pPr>
        <w:pStyle w:val="TextoNormal"/>
      </w:pPr>
    </w:p>
    <w:p w:rsidR="00A90898" w:rsidRDefault="00A90898" w:rsidP="00A90898">
      <w:pPr>
        <w:pStyle w:val="TextoNormal"/>
      </w:pPr>
      <w:r>
        <w:t>El Ministerio Fiscal interesa que se otorgue el amparo solicitado por vulneración del derecho a la tutela judicial efectiva (art. 24.1 CE) en relación con el derecho a no ser sometido a tortura o tratos inhumanos o degradantes (art. 15 CE) en su vertiente procesal, en tanto la denuncia de torturas no fue seguida de una investigación acorde con el estándar de tutela judicial reforzada que rige en estos casos.</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El Tribunal ha sentado jurisprudencia que está ya consolidada sobre las exigencias constitucionales, derivadas tanto del art. 15 CE como del art. 24 CE, relativas a las decisiones judiciales de sobreseimiento y archivo de instrucciones penales incoadas por denuncia </w:t>
      </w:r>
      <w:r>
        <w:lastRenderedPageBreak/>
        <w:t>de torturas o tratos inhumanos o degradantes. Dicha doctrina ha sido recogida de forma extensa en la STC 130/2016, de 18 de julio, a cuyo fundamento jurídico 2 nos remitimos.</w:t>
      </w:r>
    </w:p>
    <w:p w:rsidR="00A90898" w:rsidRDefault="00A90898" w:rsidP="00A90898">
      <w:pPr>
        <w:pStyle w:val="TextoNormal"/>
      </w:pPr>
    </w:p>
    <w:p w:rsidR="00A90898" w:rsidRDefault="00A90898" w:rsidP="00A90898">
      <w:pPr>
        <w:pStyle w:val="TextoNormal"/>
      </w:pPr>
      <w:r w:rsidRPr="00A90898">
        <w:rPr>
          <w:rStyle w:val="NumeroAFNegritaCaracter"/>
        </w:rPr>
        <w:t>3</w:t>
      </w:r>
      <w:r>
        <w:t>. El análisis de la acomodación de los Autos impugnados a los estándares fijados por la citada doctrina constitucional debe partir de los antecedentes fácticos expuestos con detalle en los antecedentes de hecho, pudiendo concluir que la aplicación de la doctrina constitucional referida resulta suficiente para apreciar que, en el presente caso, la decisión de archivar las diligencias penales abiertas como consecuencia de la denuncia por torturas de la recurrente no puede considerarse conforme con las exigencias derivadas del deber de tutela judicial sobre este tipo de denuncias y que, por ello, resulta lesiva del derecho a la tutela judicial efectiva (art. 24.1 CE) en relación con el derecho a la integridad física y moral (art. 15 CE). Los argumentos utilizados por los órganos judiciales para cerrar la instrucción no reflejan una investigación oficial eficaz como sinónimo de agotar cuantas posibilidades razonables de indagación resulten útiles para aclarar los hechos.</w:t>
      </w:r>
    </w:p>
    <w:p w:rsidR="00A90898" w:rsidRDefault="00A90898" w:rsidP="00A90898">
      <w:pPr>
        <w:pStyle w:val="TextoNormal"/>
      </w:pPr>
    </w:p>
    <w:p w:rsidR="00A90898" w:rsidRDefault="00A90898" w:rsidP="00A90898">
      <w:pPr>
        <w:pStyle w:val="TextoNormal"/>
      </w:pPr>
      <w:r>
        <w:t>El punto de partida, como destaca el Fiscal ante el Tribunal Constitucional, es que existe una concordancia entre la denuncia, los datos expuestos en los reconocimientos forenses y su relación con la fecha en que se produjeron las declaraciones, lo que revela circunstancias que no serían incompatibles con los malos tratos denunciados. Al comienzo de la detención, la recurrente manifestó al médico que el trato había sido correcto y sólo antes de tener lugar la declaración y ser puesta a disposición judicial manifiesta la recurrente a la médico forense que el trato vuelve a ser bueno. Entretanto refiere episodios de malos tratos que se intensifican antes de preparar la declaración policial y después de realizarla, con la particularidad de que los hechos denunciados, aptos para generar un clima de intimidación e inseguridad que incida en la voluntad de la detenida de cara a preparar y realizar una declaración policial dirigida y autoinculpatoria, son de tal naturaleza que no son susceptibles de corroboración por la presencia de señales físicas. Frente a tales indicios, las diligencias practicadas en instrucción no despejan la posibilidad de malos tratos, que eran susceptibles de ser investigados ulteriormente con diligencias idóneas, y los argumentos ofrecidos con base en ellas para sobreseer no satisfacen el deber de motivación reforzada.</w:t>
      </w:r>
    </w:p>
    <w:p w:rsidR="00A90898" w:rsidRDefault="00A90898" w:rsidP="00A90898">
      <w:pPr>
        <w:pStyle w:val="TextoNormal"/>
      </w:pPr>
    </w:p>
    <w:p w:rsidR="00A90898" w:rsidRDefault="00A90898" w:rsidP="00A90898">
      <w:pPr>
        <w:pStyle w:val="TextoNormal"/>
      </w:pPr>
      <w:r>
        <w:t xml:space="preserve">1) La falta de corroboración del maltrato denunciado en los informes médicos esgrimida como elemento central desacreditador de la verosimilitud de las sevicias denunciadas, no invalida tal sospecha en tanto se denuncian hechos susceptibles de no dejar huella visible, como son amenazas, tocamientos o desnudos, pero también sentadillas o posturas como permanecer de pie con la cabeza agachada por parte de una mujer sana de 24 años. Incluso en lo relativo a la práctica asfixiante de la bolsa, según declara la médico forense, es probable, pero no segura, la presencia ulterior de petequias. En suma, unos malos tratos como los denunciados no dejarían necesariamente marcas o señales de su comisión, por lo que la ausencia de signos de agresiones físicas no es concluyente (SSTC 107/2008, de 22 de septiembre, FJ 3; 40/2010, FJ 3; 60/2010, FJ 3, y 131/2012, FJ 4). En tal medida, no puede ser determinante de la negación de un panorama indiciario la ausencia de signos de maltrato o de fatiga o de falta de movilidad apreciada en los informes forenses, como fue el caso. Hemos resaltado que la inexistencia de datos en los informes médicos que avalen la sospecha de maltrato (o su debilidad para sustentar la condena) no excluye la necesidad de investigar, pues puede existir otro tipo de datos que —desde la perspectiva del deber de profundizar en la investigación— genere un panorama sospechoso potencialmente conectado con la existencia de torturas o malos tratos, incluso aunque los mismos fueran claramente insuficientes </w:t>
      </w:r>
      <w:r>
        <w:lastRenderedPageBreak/>
        <w:t>para sustentar una condena penal por delito de torturas o malos tratos (SSTC 123/2008, de 20 de octubre, FJ 3; 12/2013, de 28 de enero, FJ 3, y 153/2013, de 9 de septiembre, FJ 4). Las modalidades de conducta denunciadas, por otra parte, ponen de manifiesto la racionalidad de no someterse a un reconocimiento médico completo salvo, como indica la demandante en su denuncia, cuando había posibilidad de que exista alguna marca o signo físico visible, como ocurre tras las prácticas físicamente más intensas descritas en la denuncia en relación a la última tarde-noche de la detención, tras las que solicitó la mañana siguiente un reconocimiento en sede judicial.</w:t>
      </w:r>
    </w:p>
    <w:p w:rsidR="00A90898" w:rsidRDefault="00A90898" w:rsidP="00A90898">
      <w:pPr>
        <w:pStyle w:val="TextoNormal"/>
      </w:pPr>
    </w:p>
    <w:p w:rsidR="00A90898" w:rsidRDefault="00A90898" w:rsidP="00A90898">
      <w:pPr>
        <w:pStyle w:val="TextoNormal"/>
      </w:pPr>
      <w:r>
        <w:t>2) Desde la perspectiva de las especiales exigencias de tutela judicial efectiva en este ámbito, igualmente inidóneo como diligencia concluyente de la falta de verosimilitud de la denuncia resulta ser la referencia a la falta de detalle de la queja de tortura en el Juzgado Central de Instrucción y la posterior tardanza (algo más de cuatro meses) en presentar la denuncia.</w:t>
      </w:r>
    </w:p>
    <w:p w:rsidR="00A90898" w:rsidRDefault="00A90898" w:rsidP="00A90898">
      <w:pPr>
        <w:pStyle w:val="TextoNormal"/>
      </w:pPr>
    </w:p>
    <w:p w:rsidR="00A90898" w:rsidRDefault="00A90898" w:rsidP="00A90898">
      <w:pPr>
        <w:pStyle w:val="TextoNormal"/>
      </w:pPr>
      <w:r>
        <w:t>Por lo que se refiere a la parquedad de la denuncia en sede judicial, hay que recordar el énfasis que pone la jurisprudencia de este Tribunal, en sintonía con la del Tribunal Europeo de Derechos Humanos, en que constituye una exigencia de racionalidad que la valoración de las declaraciones previas del denunciante ante los médicos, la policía o los órganos judiciales repare en que “el efecto de la violencia ejercida sobre la libertad y las posibilidades de autodeterminación del individuo no deja de producirse en el momento en el que físicamente cesa aquélla, sino que su virtualidad coactiva puede pervivir, y normalmente lo hará, más allá de su práctica efectiva”, lo que puede explicar la ausencia de denuncia (SSTC 34/2008, FJ 7; 52/2008, FJ 2; 69/2008, FJ 2; 63/2010, FJ 3, y 131/2012, FJ 4). Por el contrario, la denuncia de los malos tratos policiales en la primera comparecencia judicial avala prima facie la sostenibilidad inicial de la denuncia (STC 52/2008, FJ 3), sin que la ausencia de precisión en el relato sea un elemento razonable para fundar la incredibilidad, habida cuenta que las manifestaciones de la recurrente encontraron nulo eco en el Magistrado del Juzgado Central de Instrucción, el Fiscal o, incluso, su Abogado de oficio.</w:t>
      </w:r>
    </w:p>
    <w:p w:rsidR="00A90898" w:rsidRDefault="00A90898" w:rsidP="00A90898">
      <w:pPr>
        <w:pStyle w:val="TextoNormal"/>
      </w:pPr>
    </w:p>
    <w:p w:rsidR="00A90898" w:rsidRDefault="00A90898" w:rsidP="00A90898">
      <w:pPr>
        <w:pStyle w:val="TextoNormal"/>
      </w:pPr>
      <w:r>
        <w:t>3) Por lo que atañe a la aducida demora en (volver) a denunciar, como ha reiterado recientemente el Tribunal Europeo de Derechos Humanos (STEDH de 31 de mayo de 2016, Beortegui Martínez c. España, §§ 43 y 44) y es doctrina asentada de este Tribunal (SSTC 107/2008, FJ 3, y 63/2010, FJ 3), no resulta razonable inferir la falta de objetividad de la denuncia del mero transcurso de cierto tiempo entre los hechos y la interposición de la denuncia, pues la permanencia de la situación de coerción psíquica de la víctima antes aludida, las circunstancias procesales posteriores, sobre todo si, como es el caso, se ingresa en prisión, o la espera a las consecuencias de la denuncia efectuada en sede judicial pueden explicar esa demora. En este asunto, los más de cuatro meses transcurridos en interponer la denuncia no suponen un tiempo excesivamente prolongado conforme a los parámetros manejados en la jurisprudencia constitucional, máxime cuando no se conoce el tiempo que permaneció en prisión y vino precedida de manifestaciones sobre tales episodios tanto a la médico forense mientras estuvo detenida como ante el Magistrado de la Audiencia Nacional, que no adoptó resolución alguna al respecto en contra del necesario papel proactivo que corresponde a los jueces competentes en detenciones en régimen de incomunicación (STEDH de 31 de mayo de 2016, Beortegui Martínez c. España, § 46).</w:t>
      </w:r>
    </w:p>
    <w:p w:rsidR="00A90898" w:rsidRDefault="00A90898" w:rsidP="00A90898">
      <w:pPr>
        <w:pStyle w:val="TextoNormal"/>
      </w:pPr>
    </w:p>
    <w:p w:rsidR="00A90898" w:rsidRDefault="00A90898" w:rsidP="00A90898">
      <w:pPr>
        <w:pStyle w:val="TextoNormal"/>
      </w:pPr>
      <w:r>
        <w:lastRenderedPageBreak/>
        <w:t>4) Por último, tampoco resulta conforme con una motivación acorde con el derecho proclamado en el art. 15 CE la que apela a la presencia de un Abogado de oficio en la declaración en sede policial como elemento neutralizador de la credibilidad de la denuncia de haberla efectuado fruto de los malos tratos. Cabe recordar que la modalidad de detención incomunicada limita, entre otras, la garantía del detenido de contar con un Letrado de su confianza e, incluso, la posibilidad de una entrevista previa o posterior a la asistencia, en este caso, a la declaración. Si a esa falta de confianza y de ocasión de una comunicación privada se une el mantenimiento de la custodia por parte de los supuestos actores de las torturas que sirvieron a la preparación de la declaración, resulta irrazonable pretender fundar la ausencia de toda sospecha de previa coerción a ella en la omisa referencia en ese momento al maltrato y en la presencia del Letrado de oficio, quien, además, no fue llamado a declarar, pese a haberse solicitado así de forma reiterada por la demandante. Como resume el Ministerio Fiscal, la falta de denuncia ante la policía, aun con presencia de Letrado de oficio, no puede mermar la credibilidad de la recurrente, que sí denunció ante el médico forense y en sede judicial, sin que parezca razonable exigir una expresa manifestación de los malos tratos a quien se encuentra bajo absoluto control policial detenido e incomunicado.</w:t>
      </w:r>
    </w:p>
    <w:p w:rsidR="00A90898" w:rsidRDefault="00A90898" w:rsidP="00A90898">
      <w:pPr>
        <w:pStyle w:val="TextoNormal"/>
      </w:pPr>
    </w:p>
    <w:p w:rsidR="00A90898" w:rsidRDefault="00A90898" w:rsidP="00A90898">
      <w:pPr>
        <w:pStyle w:val="TextoNormal"/>
      </w:pPr>
      <w:r>
        <w:t>A la vista de lo expuesto y frente a lo sostenido en el Auto de 2 de octubre de 2012 que acordó el sobreseimiento provisional, debe concluirse que no se apuró al máximo la instrucción y, por ende, resulta precipitada la afirmación de que no existen indicios de la perpetración de los hechos denunciados, pues las razones ofrecidas por los órganos judiciales para llegar a tal afirmación no resultan concluyentes desde el deber de motivación reforzada, constitucionalmente exigible en esos casos y era necesario continuar con la investigación.</w:t>
      </w:r>
    </w:p>
    <w:p w:rsidR="00A90898" w:rsidRDefault="00A90898" w:rsidP="00A90898">
      <w:pPr>
        <w:pStyle w:val="TextoNormal"/>
      </w:pPr>
    </w:p>
    <w:p w:rsidR="00A90898" w:rsidRDefault="00A90898" w:rsidP="00A90898">
      <w:pPr>
        <w:pStyle w:val="TextoNormal"/>
      </w:pPr>
      <w:r w:rsidRPr="00A90898">
        <w:rPr>
          <w:rStyle w:val="NumeroAFNegritaCaracter"/>
        </w:rPr>
        <w:t>4</w:t>
      </w:r>
      <w:r>
        <w:t>. Ciertamente, las sospechas de veracidad de los hechos denunciados pudieran no ser contundentes por la falta de signos de maltrato corroboradores en los informes forenses. Sin embargo, desde la perspectiva y enjuiciamiento de esta jurisdicción de amparo, atenta a la naturaleza de las conductas denunciadas, a su gravedad y a la difícil presencia de signos que las evidencien, eran suficientes para que debiera perseverarse en una indagación judicial adecuada, que exige un esfuerzo extraordinario para apurar las posibilidades de investigación para despejar las sospechas, en el sentido que fuera. Pese a ello, la limitada instrucción desenvuelta por el órgano judicial (incorporación de los informes médicos, del atestado y de las declaraciones en sede judicial de la recurrente así como la declaración de los facultativos) no agota las posibilidades razonables y eficaces de investigación, sino que existían diligencias disponibles e idóneas para el esclarecimiento de los hechos solicitadas por la recurrente, cuya práctica no se acordó.</w:t>
      </w:r>
    </w:p>
    <w:p w:rsidR="00A90898" w:rsidRDefault="00A90898" w:rsidP="00A90898">
      <w:pPr>
        <w:pStyle w:val="TextoNormal"/>
      </w:pPr>
    </w:p>
    <w:p w:rsidR="00A90898" w:rsidRDefault="00A90898" w:rsidP="00A90898">
      <w:pPr>
        <w:pStyle w:val="TextoNormal"/>
      </w:pPr>
      <w:r>
        <w:t>Entre ellas se cuenta, de forma destacada, la declaración de la ahora demandante, diligencia que constituye, según reiteradísima jurisprudencia, un medio de indagación especialmente idóneo en la averiguación de las denuncias por malos tratos. Con ella debió enfrentarse su renuencia a ser reconocida o la falta de corroboración de los informes forenses o el retraso en denunciar (argumentos ofrecidos por los órganos judiciales para fundar el archivo), pues la evaluación de la credibilidad de la denuncia y de su impulsora exigía valorar directamente —con inmediación— su testimonio sobre los hechos a presencia judicial, sin que se adivine obstáculo alguno a la práctica de tal diligencia en el caso (SSTC 107/2008, FJ 4; 63/2010, FJ 3; 131/2012, FJ 5, y 153/2013, FJ 6, o STEDH de 16 de octubre de 2012, as. Otamendi Egiguren c. España, § 41).</w:t>
      </w:r>
    </w:p>
    <w:p w:rsidR="00A90898" w:rsidRDefault="00A90898" w:rsidP="00A90898">
      <w:pPr>
        <w:pStyle w:val="TextoNormal"/>
      </w:pPr>
    </w:p>
    <w:p w:rsidR="00A90898" w:rsidRDefault="00A90898" w:rsidP="00A90898">
      <w:pPr>
        <w:pStyle w:val="TextoNormal"/>
      </w:pPr>
      <w:r>
        <w:lastRenderedPageBreak/>
        <w:t>De la misma manera, nada parece objetable a la declaración del Letrado de oficio que asistió a la denunciante en sede policial y judicial, quien podía haber expuesto su percepción de la situación como único tercero presente en esa declaración policial de la que se desdice la recurrente con la acusación de que fue preparada y se obtuvo tras previos malos tratos y torturas policiales (STC 52/2008, FJ 5).</w:t>
      </w:r>
    </w:p>
    <w:p w:rsidR="00A90898" w:rsidRDefault="00A90898" w:rsidP="00A90898">
      <w:pPr>
        <w:pStyle w:val="TextoNormal"/>
      </w:pPr>
    </w:p>
    <w:p w:rsidR="00A90898" w:rsidRDefault="00A90898" w:rsidP="00A90898">
      <w:pPr>
        <w:pStyle w:val="TextoNormal"/>
      </w:pPr>
      <w:r>
        <w:t>Pero también, habida cuenta del contexto procesal de detención incomunicada en que se sitúan los hechos denunciados, donde el fin de eficacia policial debe cohonestarse con la prevención de abusos y su represión, hubiera podido procederse a identificar y tomar declaración a los agentes implicados en su custodia, siguiendo la exigencia de agotamiento de las medidas útiles de investigación en tales supuestos reivindicada por el Tribunal de Estrasburgo (SSTEDH de 7 de octubre de 2014, Ataun Rojo c España; de 7 de octubre de 2014, as. Etxebarria Caballero c España; de 5 de mayo de 2015, as. Arratibel Garciandia c España; y de 31 de mayo de 2016, as. Beortegui Martínez c España), y cuya pertinencia ha sido destacada también por este Tribunal, salvo previa justificación de que ello supusiera un riesgo para su vida o integridad (SSTC 107/2008, FJ 4, y 40/2010, FJ 3).</w:t>
      </w:r>
    </w:p>
    <w:p w:rsidR="00A90898" w:rsidRDefault="00A90898" w:rsidP="00A90898">
      <w:pPr>
        <w:pStyle w:val="TextoNormal"/>
      </w:pPr>
    </w:p>
    <w:p w:rsidR="00A90898" w:rsidRDefault="00A90898" w:rsidP="00A90898">
      <w:pPr>
        <w:pStyle w:val="TextoNormal"/>
      </w:pPr>
      <w:r>
        <w:t>Frente a ese abanico de medidas de investigación en principio disponibles para indagar eficazmente sobre los hechos denunciados con insistencia por la recurrente de forma creíble se sitúa un panorama instructor insuficiente, donde se acuerda el sobreseimiento con la sola base de los informes y las declaraciones de los médicos forenses y las copias de las declaraciones de la demandante. Y donde ni siquiera se argumenta por los órganos judiciales de forma expresa el rechazo a practicar ulteriores diligencias, conforme solicitó la denunciante, salvo en la afirmación de que nada aportaría un nuevo reconocimiento médico a efectos de constatar unas lesiones no presentes durante la detención. Cabe suponer que esa omisa consideración a las diligencias propuestas nace del entendimiento de que la previa decisión de que no existen indicios de los hechos denunciados amparaba implícitamente la clausura de la investigación; premisa que, sin embargo, resulta contraria al art. 24.1 CE en relación con el art. 15 CE conforme a lo aquí argumentado en tanto no se agoten las posibilidades razonables de indagación útiles para aclarar los hechos.</w:t>
      </w:r>
    </w:p>
    <w:p w:rsidR="00A90898" w:rsidRDefault="00A90898" w:rsidP="00A90898">
      <w:pPr>
        <w:pStyle w:val="TextoNormal"/>
      </w:pPr>
    </w:p>
    <w:p w:rsidR="00A90898" w:rsidRDefault="00A90898" w:rsidP="00A90898">
      <w:pPr>
        <w:pStyle w:val="TextoNormal"/>
      </w:pPr>
      <w:r w:rsidRPr="00A90898">
        <w:rPr>
          <w:rStyle w:val="NumeroAFNegritaCaracter"/>
        </w:rPr>
        <w:t>5</w:t>
      </w:r>
      <w:r>
        <w:t>. En conclusión, habida cuenta de que frente a la denuncia de torturas no se produjo una investigación judicial eficaz, ya que se clausuró cuando existían aún medios de instrucción disponibles para continuar con la investigación sobre la realidad de los hechos denunciados, procede otorgar el amparo por vulneración del derecho a la tutela judicial efectiva (art. 24.1 CE), en relación con el derecho a no ser sometido a tortura o tratos inhumanos o degradantes (art. 15 CE).</w:t>
      </w:r>
    </w:p>
    <w:p w:rsidR="00A90898" w:rsidRDefault="00A90898" w:rsidP="00A90898">
      <w:pPr>
        <w:pStyle w:val="TextoNormal"/>
      </w:pPr>
    </w:p>
    <w:p w:rsidR="00A90898" w:rsidRDefault="00A90898" w:rsidP="00A90898">
      <w:pPr>
        <w:pStyle w:val="TextoNormal"/>
      </w:pPr>
      <w:r>
        <w:t>El restablecimiento de la recurrente en la integridad de su derecho exige, tal como se viene argumentando en la jurisprudencia constitucional en la materia, la anulación de los Autos impugnados y la retroacción de actuaciones para que se dispense a la recurrente la tutela judicial demandada (así, SSTC 153/2013, de 9 de septiembre, FJ 7; 131/2012, de 18 de junio, FJ 6; 63/2010, de 18 de octubre, FJ 4; 107/2008, de 22 de septiembre, FJ 4; 69/2008, de 23 de junio, FJ 6; 52/2008, de 14 de abril, FJ 6, o 34/2008, de 25 de febrero, FJ 9).</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doña Irati Mujika Larreta y, en su virtud:</w:t>
      </w:r>
    </w:p>
    <w:p w:rsidR="00A90898" w:rsidRDefault="00A90898" w:rsidP="00A90898">
      <w:pPr>
        <w:pStyle w:val="TextoNormal"/>
      </w:pPr>
    </w:p>
    <w:p w:rsidR="00A90898" w:rsidRDefault="00A90898" w:rsidP="00A90898">
      <w:pPr>
        <w:pStyle w:val="TextoNormal"/>
      </w:pPr>
      <w:r>
        <w:t>1º Reconocer que ha sido vulnerado el derecho fundamental de la demandante a la tutela judicial efectiva sin indefensión (art. 24.1 CE) en relación con su derecho a la integridad física y moral y a no ser sometido a torturas ni a tratos inhumanos o degradantes (art. 15 CE).</w:t>
      </w:r>
    </w:p>
    <w:p w:rsidR="00A90898" w:rsidRDefault="00A90898" w:rsidP="00A90898">
      <w:pPr>
        <w:pStyle w:val="TextoNormal"/>
      </w:pPr>
    </w:p>
    <w:p w:rsidR="00A90898" w:rsidRDefault="00A90898" w:rsidP="00A90898">
      <w:pPr>
        <w:pStyle w:val="TextoNormal"/>
      </w:pPr>
      <w:r>
        <w:t>2º Declarar la nulidad de los Autos del Juzgado de Instrucción núm. 14 de Madrid de 2 de octubre de 2012 y 21 de enero de 2013, dictados en las diligencias previas núm. 3129-2010, y el Auto de la Sección Tercera de la Audiencia Provincial de Madrid de 7 de marzo de 2013, dictado en el rollo de apelación núm. 154-2013.</w:t>
      </w:r>
    </w:p>
    <w:p w:rsidR="00A90898" w:rsidRDefault="00A90898" w:rsidP="00A90898">
      <w:pPr>
        <w:pStyle w:val="TextoNormal"/>
      </w:pPr>
    </w:p>
    <w:p w:rsidR="00A90898" w:rsidRDefault="00A90898" w:rsidP="00A90898">
      <w:pPr>
        <w:pStyle w:val="TextoNormal"/>
      </w:pPr>
      <w:r>
        <w:t>3º Retrotraer las actuaciones al momento anterior al dictado del primero de los Autos anulados para que el Juzgado de Instrucción núm. 14 de Madrid proceda en términos respetuosos con el derecho fundamental vulnerado.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4" w:name="SENTENCIA_2016_145"/>
      <w:r>
        <w:lastRenderedPageBreak/>
        <w:t>SENTENCIA 145/2016, de 19 de septiembre de 2016</w:t>
      </w:r>
    </w:p>
    <w:bookmarkEnd w:id="24"/>
    <w:p w:rsidR="00A90898" w:rsidRDefault="00A90898" w:rsidP="00A90898">
      <w:pPr>
        <w:pStyle w:val="TtuloResolucin"/>
      </w:pPr>
      <w:r>
        <w:t>Sala Segunda</w:t>
      </w:r>
    </w:p>
    <w:p w:rsidR="00A90898" w:rsidRDefault="00A90898" w:rsidP="00A90898">
      <w:pPr>
        <w:pStyle w:val="TtuloBOE"/>
      </w:pPr>
      <w:r>
        <w:t>(BOE núm. 263, de 31 de octubre de 2016)</w:t>
      </w:r>
    </w:p>
    <w:p w:rsidR="00A90898" w:rsidRDefault="00A90898" w:rsidP="00A90898">
      <w:pPr>
        <w:pStyle w:val="TextoNormalCentrado"/>
      </w:pPr>
      <w:r>
        <w:t>ECLI:ES:TC:2016:145</w:t>
      </w:r>
    </w:p>
    <w:p w:rsidR="00A90898" w:rsidRDefault="00A90898" w:rsidP="00A90898">
      <w:pPr>
        <w:pStyle w:val="TextoNormalCentrado"/>
      </w:pPr>
    </w:p>
    <w:p w:rsidR="00A90898" w:rsidRDefault="00A90898" w:rsidP="00A90898">
      <w:pPr>
        <w:pStyle w:val="SntesisDescriptiva"/>
      </w:pPr>
      <w:r>
        <w:t>Cuestión de inconstitucionalidad 1947-2014. Planteada por el Juzgado de lo Social núm. 5 de Santa Cruz de Tenerife en relación con el artículo 2 del Real Decreto-ley 20/2012, de 13 de julio, de medidas para garantizar la estabilidad presupuestaria y de fomento de la competitividad.</w:t>
      </w:r>
    </w:p>
    <w:p w:rsidR="00A90898" w:rsidRDefault="00A90898" w:rsidP="00A90898">
      <w:pPr>
        <w:pStyle w:val="SntesisDescriptiva"/>
      </w:pPr>
    </w:p>
    <w:p w:rsidR="00A90898" w:rsidRDefault="00A90898" w:rsidP="00A90898">
      <w:pPr>
        <w:pStyle w:val="SntesisAnaltica"/>
      </w:pPr>
      <w:r>
        <w:t>Principio de irretroactividad de las normas restrictivas de derechos individuales y expropiación de derechos económicos: extinción, por pérdida de objeto, de la cuestión de inconstitucionalidad (STC 83/2015).</w:t>
      </w:r>
    </w:p>
    <w:p w:rsidR="00A90898" w:rsidRDefault="00A90898" w:rsidP="00A90898">
      <w:pPr>
        <w:pStyle w:val="SntesisAnaltica"/>
      </w:pPr>
    </w:p>
    <w:p w:rsidR="00A90898" w:rsidRDefault="00A90898" w:rsidP="00A90898">
      <w:pPr>
        <w:pStyle w:val="Extracto"/>
      </w:pPr>
      <w:r>
        <w:t>1.</w:t>
      </w:r>
      <w:r>
        <w:tab/>
        <w:t>Asunto sustancialmente idéntico al resuelto por la STC 83/2015, relativa a la pérdida de objeto de la cuestión de inconstitucionalidad como consecuencia de la satisfacción extraprocesal de la pretensión [FFJJ 1,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1947-2014, promovida por el Juzgado de lo Social núm. 5 de Santa Cruz de Tenerife contra el art. 2 del Real Decreto-ley 20/2012, de 13 de julio, de medidas para garantizar la estabilidad presupuestaria y de fomento de la competitividad, por posible vulneración de los arts. 9.3 y 33 CE. Han formulado alegaciones el Fiscal General del Estado y el Abogado del Estado.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27 de marzo de 2014 tuvo entrada en el Registro General de este Tribunal un oficio del Juzgado de lo Social núm. 5 de Santa Cruz de Tenerife al que se acompaña, junto con el testimonio del procedimiento núm. 1207-2013, el Auto de 17 de marzo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w:t>
      </w:r>
      <w:r>
        <w:lastRenderedPageBreak/>
        <w:t>posible lesión del art. 9.3 CE, sobre el principio de irretroactividad de disposiciones restrictivas de derechos individuales en relación con el art. 33.3 CE, por supresión de un derecho patrimonial sin compensación adecuada.</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procesales de la cuestión de inconstitucionalidad planteada son, sucintamente expuestos, los siguientes:</w:t>
      </w:r>
    </w:p>
    <w:p w:rsidR="00A90898" w:rsidRDefault="00A90898" w:rsidP="00A90898">
      <w:pPr>
        <w:pStyle w:val="TextoNormal"/>
      </w:pPr>
    </w:p>
    <w:p w:rsidR="00A90898" w:rsidRDefault="00A90898" w:rsidP="00A90898">
      <w:pPr>
        <w:pStyle w:val="TextoNormal"/>
      </w:pPr>
      <w:r>
        <w:t>a) Cuatro trabajadores de Gestión insular para el deporte, la cultura y el ocio, S.A., Unipersonal del Cabildo Insular de Tenerife, interpusieron demanda sobre derecho y cantidad contra la decisión de esta empresa de suprimir la paga extra de Navidad de 2012, en aplicación del Real Decreto-ley 20/2012, de 13 de julio. Dicha comunicación empresarial añadía que, en el caso de los trabajadores que tuvieran dicha paga extra prorrateada, la supresión se aplicaría desde la nómina de julio, lo que, según indican los demandantes, supuso que la empresa procedió a descontar en las nóminas de julio a diciembre la parte proporcional de la paga extra de Navidad que ya se había abonado en los meses de enero a junio. En la demanda presentada se reclamaba que se reintegrara a los demandantes el importe del prorrateo de la citada paga extra devengado desde el 1 de enero de 2012 hasta el 15 de julio de 2012 —fecha de entrada en vigor del Real Decreto-ley 20/2012—.</w:t>
      </w:r>
    </w:p>
    <w:p w:rsidR="00A90898" w:rsidRDefault="00A90898" w:rsidP="00A90898">
      <w:pPr>
        <w:pStyle w:val="TextoNormal"/>
      </w:pPr>
    </w:p>
    <w:p w:rsidR="00A90898" w:rsidRDefault="00A90898" w:rsidP="00A90898">
      <w:pPr>
        <w:pStyle w:val="TextoNormal"/>
      </w:pPr>
      <w:r>
        <w:t>b) Conclusas las actuaciones y dentro del plazo para dictar sentencia, el Juzgado de lo Social núm. 5 de Santa Cruz de Tenerife dictó providencia de 19 de febrero de 2014, por la que acordó oír a las partes y al Ministerio Fiscal en el plazo común e improrrogable de diez días, para que alegasen sobre la pertinencia de plantear cuestión de inconstitucionalidad o sobre el fondo de la misma, en relación con el art. 2 del Real Decreto-ley 20/2012, por posible infracción de los arts. 9.3 y 33.3 CE, en la medida en que la supresión de la totalidad de la paga extra de diciembre de 2012, sin excepcionar la parte proporcional de la misma devengada hasta el momento de entrada en vigor de dicho Real Decreto-ley, podría considerarse una norma retroactiva restrictiva de derechos individuales y una expropiación forzosa de un derecho patrimonial sin verse acompañada de la correspondiente indemnización.</w:t>
      </w:r>
    </w:p>
    <w:p w:rsidR="00A90898" w:rsidRDefault="00A90898" w:rsidP="00A90898">
      <w:pPr>
        <w:pStyle w:val="TextoNormal"/>
      </w:pPr>
    </w:p>
    <w:p w:rsidR="00A90898" w:rsidRDefault="00A90898" w:rsidP="00A90898">
      <w:pPr>
        <w:pStyle w:val="TextoNormal"/>
      </w:pPr>
      <w:r>
        <w:t>c) Por escrito registrado el 10 de marzo de 2014, la parte demandante expuso que si bien algunos órganos judiciales habían planteado cuestión de inconstitucionalidad sobre el precepto controvertido, otras Salas de Tribunales Superiores de Justicia no consideraban necesario dicho planteamiento pues interpretan que la norma no tiene carácter retroactivo y que los trabajadores mantienen el derecho a que se les abone la parte proporcional de la paga extra de Navidad devengada hasta el 15 de julio. Por ello, pide que se dicte sentencia conforme a lo solicitado en el suplico de la demanda.</w:t>
      </w:r>
    </w:p>
    <w:p w:rsidR="00A90898" w:rsidRDefault="00A90898" w:rsidP="00A90898">
      <w:pPr>
        <w:pStyle w:val="TextoNormal"/>
      </w:pPr>
    </w:p>
    <w:p w:rsidR="00A90898" w:rsidRDefault="00A90898" w:rsidP="00A90898">
      <w:pPr>
        <w:pStyle w:val="TextoNormal"/>
      </w:pPr>
      <w:r>
        <w:t>d) Mediante escrito registrado el 13 de marzo de 2014, y sin entrar en el fondo, el Fiscal consideró procedente formalmente el planteamiento de la cuestión de inconstitucionalidad.</w:t>
      </w:r>
    </w:p>
    <w:p w:rsidR="00A90898" w:rsidRDefault="00A90898" w:rsidP="00A90898">
      <w:pPr>
        <w:pStyle w:val="TextoNormal"/>
      </w:pPr>
    </w:p>
    <w:p w:rsidR="00A90898" w:rsidRDefault="00A90898" w:rsidP="00A90898">
      <w:pPr>
        <w:pStyle w:val="TextoNormal"/>
      </w:pPr>
      <w:r>
        <w:t>No consta que la parte demandada presentara escrito de alegaciones.</w:t>
      </w:r>
    </w:p>
    <w:p w:rsidR="00A90898" w:rsidRDefault="00A90898" w:rsidP="00A90898">
      <w:pPr>
        <w:pStyle w:val="TextoNormal"/>
      </w:pPr>
    </w:p>
    <w:p w:rsidR="00A90898" w:rsidRDefault="00A90898" w:rsidP="00A90898">
      <w:pPr>
        <w:pStyle w:val="TextoNormal"/>
      </w:pPr>
      <w:r w:rsidRPr="00A90898">
        <w:rPr>
          <w:rStyle w:val="NumeroAFNegritaCaracter"/>
        </w:rPr>
        <w:t>3</w:t>
      </w:r>
      <w:r>
        <w:t>. Por Auto de 17 de marzo de 2014, el Juzgado de lo Social núm. 5 de Santa Cruz de Tenerife acordó plantear la presente cuestión de inconstitucionalidad y del análisis de su contenido interesa destacar los siguientes puntos:</w:t>
      </w:r>
    </w:p>
    <w:p w:rsidR="00A90898" w:rsidRDefault="00A90898" w:rsidP="00A90898">
      <w:pPr>
        <w:pStyle w:val="TextoNormal"/>
      </w:pPr>
    </w:p>
    <w:p w:rsidR="00A90898" w:rsidRDefault="00A90898" w:rsidP="00A90898">
      <w:pPr>
        <w:pStyle w:val="TextoNormal"/>
      </w:pPr>
      <w:r>
        <w:lastRenderedPageBreak/>
        <w:t>a) De entrada, el Juzgado de lo Social afirma que el art. 2 del Real Decreto-ley 20/2012 resulta aplicable al caso, y es esencial para su resolución, por cuanto que fue el aplicado por la sociedad demandada, íntegramente participada por un organismo público —el Cabildo Insular de Tenerife—, para no abonar a su personal laboral importe alguno en concepto de segunda paga extra de 2012, y en su caso, efectuar descuentos de 1/14 de las retribuciones a los trabajadores que no cobraban pagas extras o las percibían prorrateadas.</w:t>
      </w:r>
    </w:p>
    <w:p w:rsidR="00A90898" w:rsidRDefault="00A90898" w:rsidP="00A90898">
      <w:pPr>
        <w:pStyle w:val="TextoNormal"/>
      </w:pPr>
    </w:p>
    <w:p w:rsidR="00A90898" w:rsidRDefault="00A90898" w:rsidP="00A90898">
      <w:pPr>
        <w:pStyle w:val="TextoNormal"/>
      </w:pPr>
      <w:r>
        <w:t>b) Razona el Juzgado que el precepto cuestionado es meridianamente claro cuando establece la suspensión de pago de la totalidad de la paga extra, sin hacer excepción alguna de la parte proporcional que en su caso ya pudiera haberse devengado —de hecho, para quienes percibieran prorrateada la paga extra, se prevé una reducción en una catorceava parte de las retribuciones anuales totales—. Añade que, conforme a reiterada jurisprudencia del Tribunal Supremo, la paga extra es de devengo diario y cobro aplazado, sin que el legislador pueda dejar retroactivamente sin efecto tal jurisprudencia, sin motivos justificados de interés general, y en su caso, mediando la indemnización adecuada de conformidad con el art. 33.3 CE, cuando la retroactividad afecta a derechos de contenido patrimonial concretos (STEDH 6 octubre 2005, caso Draon contra Francia). A su juicio, si se considera que el Real Decreto-ley 20/2012 suprime la totalidad de la paga extra de diciembre de 2012, incluyendo la parte proporcional de la misma devengada (pero no cobrada) antes de la entrada en vigor de dicha norma, se estaría afectando a un derecho económico ya devengado que formaba parte del patrimonio de los trabajadores demandantes. Sobre este punto, da enteramente por reproducida la fundamentación del Auto de la Sala de lo Social de la Audiencia Nacional de 1 de marzo de 2013, por el que se planteó cuestión de inconstitucionalidad sobre el mismo precepto.</w:t>
      </w:r>
    </w:p>
    <w:p w:rsidR="00A90898" w:rsidRDefault="00A90898" w:rsidP="00A90898">
      <w:pPr>
        <w:pStyle w:val="TextoNormal"/>
      </w:pPr>
    </w:p>
    <w:p w:rsidR="00A90898" w:rsidRDefault="00A90898" w:rsidP="00A90898">
      <w:pPr>
        <w:pStyle w:val="TextoNormal"/>
      </w:pPr>
      <w:r>
        <w:t>c) No obstante, plantea el Auto la posibilidad de una interpretación del precepto cuestionado que salvaría las dudas de constitucionalidad. De acuerdo con esa interpretación, el art. 2 del Real Decreto-ley 20/2012 no estaría suprimiendo la paga extraordinaria de diciembre de 2012 —incluidas las partes proporcionales ya devengadas—, sino que estaría estableciendo una reducción de las retribuciones anuales del personal del sector público para 2012, pendientes de devengarse con posterioridad a la entrada en vigor del Real Decreto-ley 20/2012, en cuantía igual al importe de la paga extraordinaria. Así entendido, indica, el no abono de la paga extra en el mes correspondiente de pago sería, simplemente, una forma de ejecutar esa reducción (procedimiento menos gravoso que una reducción prorrateada en las nóminas de julio a diciembre de 2012). Con esta interpretación, indica el Juzgado, la reducción de las retribuciones de 2012 no estaría afectando a la parte proporcional ya devengada de la paga extra de diciembre de 2012, sino a todas las mensualidades ordinarias y extraordinarias pendientes de devengo a partir de 14 de julio de 2012, es decir, a derechos económicos aún no devengados y, en consecuencia, no incorporados al patrimonio de los trabajadores cuando entró en vigor la norma cuestionada. En opinión del Magistrado-Juez, esta interpretación haría conforme el precepto legal controvertido con los arts. 9.3 y 33.3 CE y dejaría incólume la jurisprudencia sobre el devengo de las pagas extraordinarias, añadiendo que esta lectura de la norma encuentra apoyo en el tenor del art. 2 del Real Decreto-ley 20/2012, con mención específica al contenido de sus apartados 1, 2, 5 y 6. Asimismo, el Juzgado considera que dicha interpretación sería más conforme con el principio de igualdad, dado que el sacrificio económico sería igual para el personal que percibe pagas extras únicamente en el mes de su vencimiento y para el personal que no cobra pagas extras o las percibe prorrateadas.</w:t>
      </w:r>
    </w:p>
    <w:p w:rsidR="00A90898" w:rsidRDefault="00A90898" w:rsidP="00A90898">
      <w:pPr>
        <w:pStyle w:val="TextoNormal"/>
      </w:pPr>
    </w:p>
    <w:p w:rsidR="00A90898" w:rsidRDefault="00A90898" w:rsidP="00A90898">
      <w:pPr>
        <w:pStyle w:val="TextoNormal"/>
      </w:pPr>
      <w:r>
        <w:t>Con todo, atendiendo a que la anterior interpretación no es inequívoca, el órgano judicial estima procedente mantener el planteamiento de la cuestión de inconstitucionalidad en los siguientes términos:</w:t>
      </w:r>
    </w:p>
    <w:p w:rsidR="00A90898" w:rsidRDefault="00A90898" w:rsidP="00A90898">
      <w:pPr>
        <w:pStyle w:val="TextoNormal"/>
      </w:pPr>
    </w:p>
    <w:p w:rsidR="00A90898" w:rsidRDefault="00A90898" w:rsidP="00A90898">
      <w:pPr>
        <w:pStyle w:val="TextoNormal"/>
      </w:pPr>
      <w:r>
        <w:t>“Si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en relación el 33.3 de la Constitución respecto a la supresión de un derecho patrimonial sin compensación adecuada.”</w:t>
      </w:r>
    </w:p>
    <w:p w:rsidR="00A90898" w:rsidRDefault="00A90898" w:rsidP="00A90898">
      <w:pPr>
        <w:pStyle w:val="TextoNormal"/>
      </w:pPr>
    </w:p>
    <w:p w:rsidR="00A90898" w:rsidRDefault="00A90898" w:rsidP="00A90898">
      <w:pPr>
        <w:pStyle w:val="TextoNormal"/>
      </w:pPr>
      <w:r w:rsidRPr="00A90898">
        <w:rPr>
          <w:rStyle w:val="NumeroAFNegritaCaracter"/>
        </w:rPr>
        <w:t>4</w:t>
      </w:r>
      <w:r>
        <w:t>.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Social núm. 5 de Santa Cruz de Tenerife,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t>Mediante escrito registrado el 28 de mayo de 2014, el Presidente del Senado comunicó a este Tribunal el acuerdo de la Mesa para que se diera por personada a la Cámara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El Fiscal General del Estado presentó escrito de alegaciones ante este Tribunal el 23 de mayo de 2014 interesando la estimación de la presente cuestión de inconstitucionalidad.</w:t>
      </w:r>
    </w:p>
    <w:p w:rsidR="00A90898" w:rsidRDefault="00A90898" w:rsidP="00A90898">
      <w:pPr>
        <w:pStyle w:val="TextoNormal"/>
      </w:pPr>
    </w:p>
    <w:p w:rsidR="00A90898" w:rsidRDefault="00A90898" w:rsidP="00A90898">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90898" w:rsidRDefault="00A90898" w:rsidP="00A90898">
      <w:pPr>
        <w:pStyle w:val="TextoNormal"/>
      </w:pPr>
    </w:p>
    <w:p w:rsidR="00A90898" w:rsidRDefault="00A90898" w:rsidP="00A90898">
      <w:pPr>
        <w:pStyle w:val="TextoNormal"/>
      </w:pPr>
      <w:r>
        <w:t>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90898" w:rsidRDefault="00A90898" w:rsidP="00A90898">
      <w:pPr>
        <w:pStyle w:val="TextoNormal"/>
      </w:pPr>
    </w:p>
    <w:p w:rsidR="00A90898" w:rsidRDefault="00A90898" w:rsidP="00A90898">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90898" w:rsidRDefault="00A90898" w:rsidP="00A90898">
      <w:pPr>
        <w:pStyle w:val="TextoNormal"/>
      </w:pPr>
    </w:p>
    <w:p w:rsidR="00A90898" w:rsidRDefault="00A90898" w:rsidP="00A90898">
      <w:pPr>
        <w:pStyle w:val="TextoNormal"/>
      </w:pPr>
      <w: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del Juzgado de lo Social núm. 5 de Santa Cruz de Tenerife (referido en exclusiva a personal laboral y no a personal funcionario o estatutario). Asimismo, en cuanto a los efectos de la </w:t>
      </w:r>
      <w:r>
        <w:lastRenderedPageBreak/>
        <w:t>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90898" w:rsidRDefault="00A90898" w:rsidP="00A90898">
      <w:pPr>
        <w:pStyle w:val="TextoNormal"/>
      </w:pPr>
    </w:p>
    <w:p w:rsidR="00A90898" w:rsidRDefault="00A90898" w:rsidP="00A90898">
      <w:pPr>
        <w:pStyle w:val="TextoNormal"/>
      </w:pPr>
      <w:r w:rsidRPr="00A90898">
        <w:rPr>
          <w:rStyle w:val="NumeroAFNegritaCaracter"/>
        </w:rPr>
        <w:t>7</w:t>
      </w:r>
      <w:r>
        <w:t>. El Abogado del Estado, mediante escrito de alegaciones registrado el 30 de mayo de 2014, se personó interesando la desestimación de la cuestión de inconstitucionalidad por las razones que, resumidamente, se exponen a continuación.</w:t>
      </w:r>
    </w:p>
    <w:p w:rsidR="00A90898" w:rsidRDefault="00A90898" w:rsidP="00A90898">
      <w:pPr>
        <w:pStyle w:val="TextoNormal"/>
      </w:pPr>
    </w:p>
    <w:p w:rsidR="00A90898" w:rsidRDefault="00A90898" w:rsidP="00A90898">
      <w:pPr>
        <w:pStyle w:val="TextoNormal"/>
      </w:pPr>
      <w:r>
        <w:t>Comienza señalando que aunque el Auto de planteamiento cuestiona la totalidad del extenso art. 2 del Real Decreto-ley 20/2012, sin embargo se refiere en realidad solo al apartado 2.2 del artículo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A90898" w:rsidRDefault="00A90898" w:rsidP="00A90898">
      <w:pPr>
        <w:pStyle w:val="TextoNormal"/>
      </w:pPr>
    </w:p>
    <w:p w:rsidR="00A90898" w:rsidRDefault="00A90898" w:rsidP="00A90898">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90898" w:rsidRDefault="00A90898" w:rsidP="00A90898">
      <w:pPr>
        <w:pStyle w:val="TextoNormal"/>
      </w:pPr>
    </w:p>
    <w:p w:rsidR="00A90898" w:rsidRDefault="00A90898" w:rsidP="00A90898">
      <w:pPr>
        <w:pStyle w:val="TextoNormal"/>
      </w:pPr>
      <w: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w:t>
      </w:r>
      <w:r>
        <w:lastRenderedPageBreak/>
        <w:t>Decreto-ley 20/2012, o si, por el contrario, se trataba de una expectativa de derecho o de un derecho futuro o condicionado.</w:t>
      </w:r>
    </w:p>
    <w:p w:rsidR="00A90898" w:rsidRDefault="00A90898" w:rsidP="00A90898">
      <w:pPr>
        <w:pStyle w:val="TextoNormal"/>
      </w:pPr>
    </w:p>
    <w:p w:rsidR="00A90898" w:rsidRDefault="00A90898" w:rsidP="00A90898">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90898" w:rsidRDefault="00A90898" w:rsidP="00A90898">
      <w:pPr>
        <w:pStyle w:val="TextoNormal"/>
      </w:pPr>
    </w:p>
    <w:p w:rsidR="00A90898" w:rsidRDefault="00A90898" w:rsidP="00A90898">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90898" w:rsidRDefault="00A90898" w:rsidP="00A90898">
      <w:pPr>
        <w:pStyle w:val="TextoNormal"/>
      </w:pPr>
    </w:p>
    <w:p w:rsidR="00A90898" w:rsidRDefault="00A90898" w:rsidP="00A90898">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producto interior bruto en 2012, lo que ha exigido adoptar importantes medidas de reducción </w:t>
      </w:r>
      <w:r>
        <w:lastRenderedPageBreak/>
        <w:t>del gasto público. Se recuerda, asimismo, que la estabilidad presupuestaria es un principio constitucional que vincula a todos los poderes públicos y, en fin, que el análisis de la norma cuestionada ha de partir del contexto recesivo descrito.</w:t>
      </w:r>
    </w:p>
    <w:p w:rsidR="00A90898" w:rsidRDefault="00A90898" w:rsidP="00A90898">
      <w:pPr>
        <w:pStyle w:val="TextoNormal"/>
      </w:pPr>
    </w:p>
    <w:p w:rsidR="00A90898" w:rsidRDefault="00A90898" w:rsidP="00A90898">
      <w:pPr>
        <w:pStyle w:val="TextoNormal"/>
      </w:pPr>
      <w:r>
        <w:t>Por todo ello, se interesa la desestimación de la cuestión.</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28 de mayo de 2015 la Sala Segunda acordó, de conformidad con lo dispuesto en el art. 88.1 LOTC, dirigir atenta comunicación al Cabildo Insular de Tenerife, a fin de que indique si, en atención a lo previsto en la disposición adicional duodécima de la Ley 36/2014, de presupuestos generales del Estado para el año 2015, o por cualquier otra circunstancia, ha satisfecho al personal laboral de la empresa Gestión Insular para el Deporte, la Cultura y el Ocio, S.A., Unipersonal,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90898" w:rsidRDefault="00A90898" w:rsidP="00A90898">
      <w:pPr>
        <w:pStyle w:val="TextoNormal"/>
      </w:pPr>
    </w:p>
    <w:p w:rsidR="00A90898" w:rsidRDefault="00A90898" w:rsidP="00A90898">
      <w:pPr>
        <w:pStyle w:val="TextoNormal"/>
      </w:pPr>
      <w:r w:rsidRPr="00A90898">
        <w:rPr>
          <w:rStyle w:val="NumeroAFNegritaCaracter"/>
        </w:rPr>
        <w:t>9</w:t>
      </w:r>
      <w:r>
        <w:t>. En respuesta a la citada providencia, por escrito registrado el 30 de junio de 2015, la Directora Jurídica de Gestión Insular para el Deporte, la Cultura y el Ocio, S.A., emitió el siguiente informe: “en cumplimiento de lo previsto en el acuerdo del Consejo del Gobierno Insular de 22 de septiembre de 2014, se elevó a nuestro Consejo de Administración y acordó abonar al personal de Gestión Insular para el Deporte, la Cultura y el Ocio, S.A., la parte proporcional equivalente a 44 días de la paga extraordinaria de Navidad no abonada en el año 2012, entendido dicho pago como a cuenta y reintegrable en función de la Sentencia que en su día dicte el Tribunal Constitucional” y añadiendo que, “el abono de este importe se llevó a cabo en el mes de noviembre de 2014, percibiéndola 128 trabajadores de los 145 en plantilla en dicho mes. Las causas por las que 17 trabajadores no recibieron este importe fue como consecuencia de no estar conformes con la devolución exclusivamente de esta cuantía, por encontrarse en excedencia, por no pertenecer a la plantilla de personal de la Sociedad en esa fecha, o por tener judicializada la reclamación”.</w:t>
      </w:r>
    </w:p>
    <w:p w:rsidR="00A90898" w:rsidRDefault="00A90898" w:rsidP="00A90898">
      <w:pPr>
        <w:pStyle w:val="TextoNormal"/>
      </w:pPr>
    </w:p>
    <w:p w:rsidR="00A90898" w:rsidRDefault="00A90898" w:rsidP="00A90898">
      <w:pPr>
        <w:pStyle w:val="TextoNormal"/>
      </w:pPr>
      <w:r w:rsidRPr="00A90898">
        <w:rPr>
          <w:rStyle w:val="NumeroAFNegritaCaracter"/>
        </w:rPr>
        <w:t>10</w:t>
      </w:r>
      <w:r>
        <w:t>. Por escrito de 13 de noviembre de 2015 la Secretaria de Justicia del Pleno del Tribunal Constitucional solicitó complemento del escrito de 30 de junio de 2015, con el ruego de que se indicara a este Tribunal si con posterioridad a esa fecha y en atención a lo previsto en el Real Decreto-ley 10/2015, ha sido abonada alguna otra cantidad y el número de días de la referida paga a la que corresponde la cuantía abonada.</w:t>
      </w:r>
    </w:p>
    <w:p w:rsidR="00A90898" w:rsidRDefault="00A90898" w:rsidP="00A90898">
      <w:pPr>
        <w:pStyle w:val="TextoNormal"/>
      </w:pPr>
    </w:p>
    <w:p w:rsidR="00A90898" w:rsidRDefault="00A90898" w:rsidP="00A90898">
      <w:pPr>
        <w:pStyle w:val="TextoNormal"/>
      </w:pPr>
      <w:r>
        <w:t>Por diligencia de 11 de mayo de 2016 se reiteró nuevamente la comunicación remitida el 13 de noviembre de 2015 al Presidente del Cabildo Insular de Tenerife.</w:t>
      </w:r>
    </w:p>
    <w:p w:rsidR="00A90898" w:rsidRDefault="00A90898" w:rsidP="00A90898">
      <w:pPr>
        <w:pStyle w:val="TextoNormal"/>
      </w:pPr>
    </w:p>
    <w:p w:rsidR="00A90898" w:rsidRDefault="00A90898" w:rsidP="00A90898">
      <w:pPr>
        <w:pStyle w:val="TextoNormal"/>
      </w:pPr>
      <w:r w:rsidRPr="00A90898">
        <w:rPr>
          <w:rStyle w:val="NumeroAFNegritaCaracter"/>
        </w:rPr>
        <w:t>11</w:t>
      </w:r>
      <w:r>
        <w:t xml:space="preserve">. Por escrito registrado en este Tribunal el 16 de agosto de 2016 el Letrado del Excmo. Cabildo Insular de Tenerife, actuando en nombre de la entidad mercantil Gestión Insular para el Deporte, la Cultura y el Ocio, S.A., comunicó que “el pasado mes de julio de 2016 se procedió a la devolución del resto del importe de la paga extra de Navidad no abonada en el año 2012, por lo que a la fecha actual se ha devuelto a los trabajadores el 100 por 100 del importe total”. Según consta en el informe que se acompaña emitido por el Consejo Delegado de Gestión Insular para el Deporte, la Cultura y el Ocio, S.A., en diciembre de </w:t>
      </w:r>
      <w:r>
        <w:lastRenderedPageBreak/>
        <w:t>2015 se abonó al personal de Gestión Insular para el Deporte, la Cultura y el Ocio, S.A., un nuevo importe con cargo a la paga extra de 2012 detraída, de tal forma que sumada esta cantidad a la anteriormente abonada, se devolvió a los trabajadores el 51,23 por 100 del importe total detraído. En el mes de julio de 2016 se procedió a la devolución del resto del importe de la paga extra de Navidad no abonada en el año 2012.</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15 de septiembre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2002).</w:t>
      </w:r>
    </w:p>
    <w:p w:rsidR="00A90898" w:rsidRDefault="00A90898" w:rsidP="00A90898">
      <w:pPr>
        <w:pStyle w:val="TextoNormal"/>
      </w:pPr>
    </w:p>
    <w:p w:rsidR="00A90898" w:rsidRDefault="00A90898" w:rsidP="00A90898">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90898" w:rsidRDefault="00A90898" w:rsidP="00A90898">
      <w:pPr>
        <w:pStyle w:val="TextoNormal"/>
      </w:pPr>
    </w:p>
    <w:p w:rsidR="00A90898" w:rsidRDefault="00A90898" w:rsidP="00A90898">
      <w:pPr>
        <w:pStyle w:val="TextoNormal"/>
      </w:pPr>
      <w:r w:rsidRPr="00A90898">
        <w:rPr>
          <w:rStyle w:val="NumeroAFNegritaCaracter"/>
        </w:rPr>
        <w:t>2</w:t>
      </w:r>
      <w:r>
        <w:t>. Como consta en los antecedentes de esta resolución, la entidad mercantil Gestión Insular para el Deporte, la Cultura y el Ocio, S.A., ha abonado a su personal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00A90898" w:rsidRDefault="00A90898" w:rsidP="00A90898">
      <w:pPr>
        <w:pStyle w:val="TextoNormal"/>
      </w:pPr>
    </w:p>
    <w:p w:rsidR="00A90898" w:rsidRDefault="00A90898" w:rsidP="00A90898">
      <w:pPr>
        <w:pStyle w:val="TextoNormal"/>
      </w:pPr>
      <w:r>
        <w:t xml:space="preserve">La recuperación del importe de la paga extra de diciembre de 2012 por el personal de Gestión Insular para el Deporte, la Cultura y el Ocio, S.A.,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w:t>
      </w:r>
      <w:r>
        <w:lastRenderedPageBreak/>
        <w:t>juicio de constitucionalidad en concreto, al que se refiere el art. 163 CE, sino en abstracto, sin efectos para el caso, lo que resulta improcedente en toda cuestión de inconstitucionalidad” (STC 83/2015, FJ 3).</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Declarar la extinción de la presente cuestión de inconstitucionalidad núm. 1947-2014 por desaparición sobrevenida de su objeto.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5" w:name="SENTENCIA_2016_146"/>
      <w:r>
        <w:lastRenderedPageBreak/>
        <w:t>SENTENCIA 146/2016, de 19 de septiembre de 2016</w:t>
      </w:r>
    </w:p>
    <w:bookmarkEnd w:id="25"/>
    <w:p w:rsidR="00A90898" w:rsidRDefault="00A90898" w:rsidP="00A90898">
      <w:pPr>
        <w:pStyle w:val="TtuloResolucin"/>
      </w:pPr>
      <w:r>
        <w:t>Sala Primera</w:t>
      </w:r>
    </w:p>
    <w:p w:rsidR="00A90898" w:rsidRDefault="00A90898" w:rsidP="00A90898">
      <w:pPr>
        <w:pStyle w:val="TtuloBOE"/>
      </w:pPr>
      <w:r>
        <w:t>(BOE núm. 263, de 31 de octubre de 2016)</w:t>
      </w:r>
    </w:p>
    <w:p w:rsidR="00A90898" w:rsidRDefault="00A90898" w:rsidP="00A90898">
      <w:pPr>
        <w:pStyle w:val="TextoNormalCentrado"/>
      </w:pPr>
      <w:r>
        <w:t>ECLI:ES:TC:2016:146</w:t>
      </w:r>
    </w:p>
    <w:p w:rsidR="00A90898" w:rsidRDefault="00A90898" w:rsidP="00A90898">
      <w:pPr>
        <w:pStyle w:val="TextoNormalCentrado"/>
      </w:pPr>
    </w:p>
    <w:p w:rsidR="00A90898" w:rsidRDefault="00A90898" w:rsidP="00A90898">
      <w:pPr>
        <w:pStyle w:val="SntesisDescriptiva"/>
      </w:pPr>
      <w:r>
        <w:t>Recurso de amparo 4160-2014. Promovido por don Djanel Daho respecto de las resoluciones dictadas por el Tribunal Superior de Justicia y un Juzgado de lo Contencioso-Administrativo de Madrid declarando su falta de competencia territorial para conocer del recurso interpuesto frente a una resolución de la Delegación del Gobierno en las Illes Balears en materia de extranjería.</w:t>
      </w:r>
    </w:p>
    <w:p w:rsidR="00A90898" w:rsidRDefault="00A90898" w:rsidP="00A90898">
      <w:pPr>
        <w:pStyle w:val="SntesisDescriptiva"/>
      </w:pPr>
    </w:p>
    <w:p w:rsidR="00A90898" w:rsidRDefault="00A90898" w:rsidP="00A90898">
      <w:pPr>
        <w:pStyle w:val="SntesisAnaltica"/>
      </w:pPr>
      <w:r>
        <w:t>Alegada vulneración del derecho a la tutela judicial efectiva (acceso a la justicia): inadmisión del recurso de amparo que no contiene justificación de su especial trascendencia constitucional. Voto particular.</w:t>
      </w:r>
    </w:p>
    <w:p w:rsidR="00A90898" w:rsidRDefault="00A90898" w:rsidP="00A90898">
      <w:pPr>
        <w:pStyle w:val="SntesisAnaltica"/>
      </w:pPr>
    </w:p>
    <w:p w:rsidR="00A90898" w:rsidRDefault="00A90898" w:rsidP="00A90898">
      <w:pPr>
        <w:pStyle w:val="Extracto"/>
      </w:pPr>
      <w:r>
        <w:t>1.</w:t>
      </w:r>
      <w:r>
        <w:tab/>
        <w:t>La demanda de amparo no contiene una justificación suficiente de la ‘especial trascendencia constitucional’, dado que el recurrente únicamente la identifica con la lesión misma del derecho fundamental que invoca: considera justificación bastante de aquella, parafraseando el tenor del art. 50.1 b) LOTC, “la aplicación y general eficacia de los arts. 24 y 25 CE y a efectos de la adecuada determinación de su contenido y alcance”, para luego añadir que, en cualquier caso, debe considerarse que la mera apariencia de lesión de un derecho fundamental ha de entenderse suficiente para apreciar que el recurso de amparo reviste especial trascendencia constitucional (SSTC 69/2011 y  140/2013) [FJ 3].</w:t>
      </w:r>
    </w:p>
    <w:p w:rsidR="00A90898" w:rsidRDefault="00A90898" w:rsidP="00A90898">
      <w:pPr>
        <w:pStyle w:val="Extracto"/>
      </w:pPr>
    </w:p>
    <w:p w:rsidR="00A90898" w:rsidRDefault="00A90898" w:rsidP="00A90898">
      <w:pPr>
        <w:pStyle w:val="Extracto"/>
      </w:pPr>
      <w:r>
        <w:t>2.</w:t>
      </w:r>
      <w:r>
        <w:tab/>
        <w:t>Doctrina sobre la justificación de la especial trascendencia constitucional en el recurso de amparo (SSTC 133/2002, 29/2004, 7/2007, 242/2007, 43/2008, 155/2009, 17/2011, 28/2011, 69/2011, 143/2011, 168/2012, 176/2012, 178/2012, 140/2013; AATC 188/2008, 289/2008, 290/2008, 252/2009, 264/2009, 154/2010, 187/2010)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4160-2014, promovido por don Djanel Daho, representado por el Procurador de los Tribunales don Carlos Sáez Silvestre y asistido por el Letrado don </w:t>
      </w:r>
      <w:r>
        <w:lastRenderedPageBreak/>
        <w:t>Manuel Fernando Calvo Pastrana, contra el Auto del Juzgado de lo Contencioso-administrativo núm. 11 de Madrid de 31 de julio de 2013 dictado en el procedimiento abreviado núm. 212/2013, que declaró la falta de competencia territorial para conocer del recurso contencioso-administrativo interpuesto por el recurrente contra la resolución administrativa por la que se acuerda su expulsión del territorio nacional y contra la Sentencia de la Sección Sexta de la Sala de lo Contencioso-administrativo del Tribunal Superior de Justicia de Madrid de 14 de marzo de 2014, que desestimó el recurso de apelación interpuesto contra el Auto anterior. Han intervenido el Abogado del Estado y el Ministerio Fiscal.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escrito registrado en este Tribunal el 24 de junio de 2014, don Djanel Daho, representado por el Procurador de los Tribunales don Carlos Sáez Silvestre y asistido por el Letrado don Fernando Calvo Pastrana, interpuso recurso de amparo contra las resoluciones judiciales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La demanda de amparo tiene su origen en los siguientes antecedentes:</w:t>
      </w:r>
    </w:p>
    <w:p w:rsidR="00A90898" w:rsidRDefault="00A90898" w:rsidP="00A90898">
      <w:pPr>
        <w:pStyle w:val="TextoNormal"/>
      </w:pPr>
    </w:p>
    <w:p w:rsidR="00A90898" w:rsidRDefault="00A90898" w:rsidP="00A90898">
      <w:pPr>
        <w:pStyle w:val="TextoNormal"/>
      </w:pPr>
      <w:r>
        <w:t>a) Por resolución de 21 de octubre de 2010, la Delegación del Gobierno en Illes Balears acordó la expulsión del territorio español de don Djanel Daho, de nacionalidad argelina, con prohibición de entrada en España por un periodo de cuatro años, en aplicación del art. 57.2 de la Ley Orgánica 4/2000, de 11 de enero, sobre derechos y libertades de los extranjeros en España y su integración social, como consecuencia de haber sido condenado en nuestro país por delitos dolosos sancionados con pena privativa de libertad superior a un año.</w:t>
      </w:r>
    </w:p>
    <w:p w:rsidR="00A90898" w:rsidRDefault="00A90898" w:rsidP="00A90898">
      <w:pPr>
        <w:pStyle w:val="TextoNormal"/>
      </w:pPr>
    </w:p>
    <w:p w:rsidR="00A90898" w:rsidRDefault="00A90898" w:rsidP="00A90898">
      <w:pPr>
        <w:pStyle w:val="TextoNormal"/>
      </w:pPr>
      <w:r>
        <w:t>b) El 24 de mayo de 2013, el interesado, asistido de Letrado de oficio, interpuso recurso contencioso-administrativo contra la citada resolución de expulsión ante los Juzgados del referido orden jurisdiccional de Madrid. En su recurso alegaba en primer lugar que solo había tenido conocimiento de la citada resolución de expulsión el día 10 de mayo de 2013, cuando fue detenido por la policía en el municipio de Sepúlveda (provincia de Segovia), lugar a donde se había trasladado desde su domicilio en Alicante, a fin de realizar una serie de trabajos. Continuaba argumentando que, aunque en el expediente administrativo constaba la notificación de la resolución al interesado en su domicilio de Alfas del Pi (Alicante) el 16 de diciembre de 2010, ese extremo era “absolutamente falso”; la firma que aparecía en la citada diligencia no era la suya y además en esas fechas no se encontraba en ese lugar sino en Tenerife. Lo intentaba demostrar aportando documentos relativos a un viaje de Alicante a Tenerife el 6 de diciembre de 2010, así como un contrato de alquiler de un vehículo el 11 de diciembre de 2010, un recibo de prestaciones odontológicas fechado el 14 de diciembre de 2010 y el resguardo de un giro postal remitido desde Playa de los Cristianos (Tenerife) el 18 de diciembre de 2010.</w:t>
      </w:r>
    </w:p>
    <w:p w:rsidR="00A90898" w:rsidRDefault="00A90898" w:rsidP="00A90898">
      <w:pPr>
        <w:pStyle w:val="TextoNormal"/>
      </w:pPr>
    </w:p>
    <w:p w:rsidR="00A90898" w:rsidRDefault="00A90898" w:rsidP="00A90898">
      <w:pPr>
        <w:pStyle w:val="TextoNormal"/>
      </w:pPr>
      <w:r>
        <w:t>Alegaba también que, como consecuencia de su detención y puesta a disposición judicial, el Juzgado de Instrucción núm. 1 de Sepúlveda había acordado su internamiento en el centro de internamiento de extranjeros de Madrid donde “actualmente” se encuentra, “con la posibilidad real e inminente de ser expulsado de España en cualquier momento”; aporta certificación acreditativa de este extremo emitida por el director del mencionado centro.</w:t>
      </w:r>
    </w:p>
    <w:p w:rsidR="00A90898" w:rsidRDefault="00A90898" w:rsidP="00A90898">
      <w:pPr>
        <w:pStyle w:val="TextoNormal"/>
      </w:pPr>
    </w:p>
    <w:p w:rsidR="00A90898" w:rsidRDefault="00A90898" w:rsidP="00A90898">
      <w:pPr>
        <w:pStyle w:val="TextoNormal"/>
      </w:pPr>
      <w:r>
        <w:t>En cuanto al fondo, tras hacer mención a su arraigo en España, alegaba la caducidad del expediente sancionador, la nulidad de la resolución por haberse dictado prescindiendo total y absolutamente del procedimiento establecido, la falta de motivación y la desproporción de la sanción impuesta. Solicitaba asimismo, como medida provisionalísima del art. 135 de la Ley reguladora de la jurisdicción contencioso-administrativa (LJCA), la suspensión de la ejecución del acto impugnado.</w:t>
      </w:r>
    </w:p>
    <w:p w:rsidR="00A90898" w:rsidRDefault="00A90898" w:rsidP="00A90898">
      <w:pPr>
        <w:pStyle w:val="TextoNormal"/>
      </w:pPr>
    </w:p>
    <w:p w:rsidR="00A90898" w:rsidRDefault="00A90898" w:rsidP="00A90898">
      <w:pPr>
        <w:pStyle w:val="TextoNormal"/>
      </w:pPr>
      <w:r>
        <w:t>Turnada la demanda y la solicitud de medidas cautelares al Juzgado de lo Contencioso-Administrativo núm. 11 de Madrid, este acordó incoar la pieza separada de medidas cautelares y dar a la pieza principal el curso legal (procedimiento abreviado núm. 212-2013).</w:t>
      </w:r>
    </w:p>
    <w:p w:rsidR="00A90898" w:rsidRDefault="00A90898" w:rsidP="00A90898">
      <w:pPr>
        <w:pStyle w:val="TextoNormal"/>
      </w:pPr>
    </w:p>
    <w:p w:rsidR="00A90898" w:rsidRDefault="00A90898" w:rsidP="00A90898">
      <w:pPr>
        <w:pStyle w:val="TextoNormal"/>
      </w:pPr>
      <w:r>
        <w:t>En la pieza de medidas cautelares el Juzgado dictó Auto el mismo día 24 de mayo de 2013 acordando suspender la ejecutividad del acto administrativo impugnado. En ese mismo Auto se acordó dar traslado a la Administración demandada para la formulación de alegaciones sobre el levantamiento o mantenimiento de la medida acordada, en aplicación del citado art. 135 LJCA. Presentadas estas alegaciones por el Abogado del Estado, el Juzgado resolvió por Auto de 3 de junio de 2013 levantar la suspensión previamente acordada.</w:t>
      </w:r>
    </w:p>
    <w:p w:rsidR="00A90898" w:rsidRDefault="00A90898" w:rsidP="00A90898">
      <w:pPr>
        <w:pStyle w:val="TextoNormal"/>
      </w:pPr>
    </w:p>
    <w:p w:rsidR="00A90898" w:rsidRDefault="00A90898" w:rsidP="00A90898">
      <w:pPr>
        <w:pStyle w:val="TextoNormal"/>
      </w:pPr>
      <w:r>
        <w:t>c) Por su parte, en la pieza principal del recurso contencioso-administrativo el Juzgado, tras requerir al interesado para que procediese a subsanar algunas deficiencias observadas en su primera comparecencia. Subsanadas estas, dictó providencia el 14 de junio de 2013 en la que, “entendiendo que en el presente recurso existe causa de inadmisibilidad por incompetencia de este Juzgado”, acordó, de conformidad con lo previsto en el art. 51.4 LJCA, dar traslado a las partes y al Ministerio Fiscal para que alegasen lo que estimasen conveniente al respecto.</w:t>
      </w:r>
    </w:p>
    <w:p w:rsidR="00A90898" w:rsidRDefault="00A90898" w:rsidP="00A90898">
      <w:pPr>
        <w:pStyle w:val="TextoNormal"/>
      </w:pPr>
    </w:p>
    <w:p w:rsidR="00A90898" w:rsidRDefault="00A90898" w:rsidP="00A90898">
      <w:pPr>
        <w:pStyle w:val="TextoNormal"/>
      </w:pPr>
      <w:r>
        <w:t>d) Cumplimentando el traslado conferido presentaron sus alegaciones el Abogado del Estado y el Ministerio Fiscal, manifestando ambos que el Juzgado carecía de competencia territorial, conforme al art. 14.1.2 LJCA. La defensa del recurrente no presentó alegaciones.</w:t>
      </w:r>
    </w:p>
    <w:p w:rsidR="00A90898" w:rsidRDefault="00A90898" w:rsidP="00A90898">
      <w:pPr>
        <w:pStyle w:val="TextoNormal"/>
      </w:pPr>
    </w:p>
    <w:p w:rsidR="00A90898" w:rsidRDefault="00A90898" w:rsidP="00A90898">
      <w:pPr>
        <w:pStyle w:val="TextoNormal"/>
      </w:pPr>
      <w:r>
        <w:t>e) Por Auto de 31 de julio de 2013, el Juzgado de lo Contencioso-Administrativo núm. 11 de Madrid declaró su “incompetencia territorial” para conocer del recurso presentado contra la orden de expulsión, por entender que esa competencia correspondería a los Juzgados de lo Contencioso-Administrativo de Alicante, al constar en dicha provincia el domicilio del recurrente, “sin que el centro de internamiento de extranjeros de Madrid constituya domicilio a efecto de determinar la competencia de los Juzgados de lo Contencioso-administrativo”. En consecuencia, el Auto acuerda que, una vez sea firme, se remitan las actuaciones al Juzgado de lo Contencioso-Administrativo de Alicante que por turno corresponda, previo emplazamiento de las partes en el plazo de 30 días.</w:t>
      </w:r>
    </w:p>
    <w:p w:rsidR="00A90898" w:rsidRDefault="00A90898" w:rsidP="00A90898">
      <w:pPr>
        <w:pStyle w:val="TextoNormal"/>
      </w:pPr>
    </w:p>
    <w:p w:rsidR="00A90898" w:rsidRDefault="00A90898" w:rsidP="00A90898">
      <w:pPr>
        <w:pStyle w:val="TextoNormal"/>
      </w:pPr>
      <w:r>
        <w:t xml:space="preserve">f) La representación del demandante interpuso recurso de apelación contra el citado Auto. En el escrito de interposición del recurso alegaba que, al tratarse de una sanción administrativa, operaba el fuero electivo del art. 14.1.2 LJCA, de modo que el demandante podía optar por presentar su recurso ante los Juzgados en cuya circunscripción estuviera la sede del órgano autor del acto impugnado o ante los de su “domicilio”, encontrándose este </w:t>
      </w:r>
      <w:r>
        <w:lastRenderedPageBreak/>
        <w:t>en Madrid por ser la ciudad en la que se encontraba internado, de conformidad con lo alegado en la demanda. El Abogado del Estado presentó escrito oponiéndose al recurso de apelación y solicitando su desestimación.</w:t>
      </w:r>
    </w:p>
    <w:p w:rsidR="00A90898" w:rsidRDefault="00A90898" w:rsidP="00A90898">
      <w:pPr>
        <w:pStyle w:val="TextoNormal"/>
      </w:pPr>
    </w:p>
    <w:p w:rsidR="00A90898" w:rsidRDefault="00A90898" w:rsidP="00A90898">
      <w:pPr>
        <w:pStyle w:val="TextoNormal"/>
      </w:pPr>
      <w:r>
        <w:t>La Sección Sexta de la Sala de lo Contencioso-Administrativo del Tribunal Superior de Justicia de Madrid, a la que fue turnado el recurso (núm. 37-2014), dictó Sentencia el 14 de marzo de 2014 desestimando el recurso de apelación. Según explica la Sentencia, el art. 14.1.2 LJCA “concedía al sancionado la posibilidad de acudir a los Juzgados de Alicante o, en su caso, a los de Baleares, mas no a los de Madrid, pues no puede considerarse domicilio a los efectos de esta norma el centro de internamiento de extranjeros. Téngase en cuenta —continúa diciendo la Sentencia— que en el mismo escrito de demanda con el que se inició el proceso se reconoce de manera expresa el domicilio en Alicante … hecho además corroborado por distintos documentos obrantes en autos y en el expediente administrativo que lo sitúan en concreto en la localidad de L’Alfás del Pi (certificación de matrimonio del registro civil de esa localidad, libro de familia, certificación de nacimiento de un hijo, certificado de empadronamiento…)”.</w:t>
      </w:r>
    </w:p>
    <w:p w:rsidR="00A90898" w:rsidRDefault="00A90898" w:rsidP="00A90898">
      <w:pPr>
        <w:pStyle w:val="TextoNormal"/>
      </w:pPr>
    </w:p>
    <w:p w:rsidR="00A90898" w:rsidRDefault="00A90898" w:rsidP="00A90898">
      <w:pPr>
        <w:pStyle w:val="TextoNormal"/>
      </w:pPr>
      <w:r>
        <w:t>g) Recibido testimonio de la anterior Sentencia en el Juzgado de lo Contencioso-Administrativo núm. 11 de Madrid, este, por diligencia de ordenación de 4 de junio de 2014, acordó acusar recibo de la comunicación recibida y “cumplir con lo acordado en el Auto firme, dictado por este Juzgado en fecha 31.07.13 y remitir las actuaciones al decanato de los Juzgados de lo Contencioso-Administrativo de Alicante para su reparto al que por turno corresponda, previo emplazamiento de las partes en el plazo de 30 días”.</w:t>
      </w:r>
    </w:p>
    <w:p w:rsidR="00A90898" w:rsidRDefault="00A90898" w:rsidP="00A90898">
      <w:pPr>
        <w:pStyle w:val="TextoNormal"/>
      </w:pPr>
    </w:p>
    <w:p w:rsidR="00A90898" w:rsidRDefault="00A90898" w:rsidP="00A90898">
      <w:pPr>
        <w:pStyle w:val="TextoNormal"/>
      </w:pPr>
      <w:r w:rsidRPr="00A90898">
        <w:rPr>
          <w:rStyle w:val="NumeroAFNegritaCaracter"/>
        </w:rPr>
        <w:t>3</w:t>
      </w:r>
      <w:r>
        <w:t>. En la demanda de amparo, interpuesta por la vía del art. 44 de la Ley Orgánica del Tribunal Constitucional (LOTC), se solicita a este Tribunal que reconozca al demandante su derecho a la tutela judicial efectiva y que declare la nulidad de las resoluciones judiciales recurridas, ordenando retrotraer las actuaciones al momento procesal oportuno para que se dicte la resolución que proceda con respeto al derecho fundamental vulnerado.</w:t>
      </w:r>
    </w:p>
    <w:p w:rsidR="00A90898" w:rsidRDefault="00A90898" w:rsidP="00A90898">
      <w:pPr>
        <w:pStyle w:val="TextoNormal"/>
      </w:pPr>
    </w:p>
    <w:p w:rsidR="00A90898" w:rsidRDefault="00A90898" w:rsidP="00A90898">
      <w:pPr>
        <w:pStyle w:val="TextoNormal"/>
      </w:pPr>
      <w:r>
        <w:t>Alega el demandante de amparo que la interpretación de la legalidad procesal sostenida por las resoluciones judiciales impugnadas vulnera su derecho a la tutela judicial efectiva (art. 24.1 CE), tanto en su vertiente de acceso a la jurisdicción como en su manifestación de derecho a obtener una respuesta razonada de los órganos jurisdiccionales.</w:t>
      </w:r>
    </w:p>
    <w:p w:rsidR="00A90898" w:rsidRDefault="00A90898" w:rsidP="00A90898">
      <w:pPr>
        <w:pStyle w:val="TextoNormal"/>
      </w:pPr>
    </w:p>
    <w:p w:rsidR="00A90898" w:rsidRDefault="00A90898" w:rsidP="00A90898">
      <w:pPr>
        <w:pStyle w:val="TextoNormal"/>
      </w:pPr>
      <w:r>
        <w:t>Por lo que se refiere a la primera vertiente del derecho a la tutela judicial efectiva, recuerda que según doctrina reiterada del Tribunal Constitucional el control de la concurrencia de los presupuestos procesales de los que depende la válida constitución del proceso es, en principio, competencia de los órganos judiciales, de acuerdo con el art. 117.3 CE. No obstante, cuando las causas de inadmisibilidad resulten de una interpretación rigorista, excesivamente formalista o desproporcionada en relación con los fines que preservan y los intereses que se sacrifican, se produce una vulneración del art. 24.1 CE que este Tribunal debe amparar.</w:t>
      </w:r>
    </w:p>
    <w:p w:rsidR="00A90898" w:rsidRDefault="00A90898" w:rsidP="00A90898">
      <w:pPr>
        <w:pStyle w:val="TextoNormal"/>
      </w:pPr>
    </w:p>
    <w:p w:rsidR="00A90898" w:rsidRDefault="00A90898" w:rsidP="00A90898">
      <w:pPr>
        <w:pStyle w:val="TextoNormal"/>
      </w:pPr>
      <w:r>
        <w:t xml:space="preserve">En cuanto a la segunda vertiente del derecho a la tutela judicial efectiva, la doctrina constitucional también ha declarado que, aun siendo la interpretación de las leyes competencia </w:t>
      </w:r>
      <w:r>
        <w:lastRenderedPageBreak/>
        <w:t>de los órganos de la jurisdicción ordinaria, este Tribunal debe amparar al recurrente en aquellos casos en que esa interpretación sea arbitraria, manifiestamente irrazonable o incurra en un error patente.</w:t>
      </w:r>
    </w:p>
    <w:p w:rsidR="00A90898" w:rsidRDefault="00A90898" w:rsidP="00A90898">
      <w:pPr>
        <w:pStyle w:val="TextoNormal"/>
      </w:pPr>
    </w:p>
    <w:p w:rsidR="00A90898" w:rsidRDefault="00A90898" w:rsidP="00A90898">
      <w:pPr>
        <w:pStyle w:val="TextoNormal"/>
      </w:pPr>
      <w:r>
        <w:t>Aunando ambos aspectos, se alega en la demanda de amparo que la decisión judicial de declarar la incompetencia territorial de los Juzgados de Madrid resulta “manifiestamente infundada e irrazonable, además de contraria al ordenamiento jurídico, por lo que incurre en arbitrariedad, vulnerando el derecho fundamental a la tutela judicial efectiva”. Lesión que se produciría “doblemente”; en primer lugar por no cumplir los Autos impugnados en amparo los requisitos exigibles a ese tipo de resoluciones judiciales y, en segundo lugar, por impedir con ello el legítimo acceso del demandante al Juez o Tribunal legalmente competente a fin de que resuelva su recurso contencioso-administrativo.</w:t>
      </w:r>
    </w:p>
    <w:p w:rsidR="00A90898" w:rsidRDefault="00A90898" w:rsidP="00A90898">
      <w:pPr>
        <w:pStyle w:val="TextoNormal"/>
      </w:pPr>
    </w:p>
    <w:p w:rsidR="00A90898" w:rsidRDefault="00A90898" w:rsidP="00A90898">
      <w:pPr>
        <w:pStyle w:val="TextoNormal"/>
      </w:pPr>
      <w:r>
        <w:t>Reproduce la demanda de amparo el art. 14.1 LJCA y argumenta que, tratándose de un recurso contra una sanción, el demandante podía optar, de acuerdo con el referido precepto, por presentar la demanda ante los Juzgados de su “domicilio”. Y razona al respecto que desde el mismo momento en que es detenido y trasladado al centro de internamiento de extranjeros de Madrid, es claro que su domicilio pasa a encontrarse allí, que es donde reside por decisión de un juzgado de instrucción. La Ley reguladora de la jurisdicción contencioso-administrativa no habla de domicilio habitual por lo se entiende que, a los efectos de competencia, es perfectamente sostenible la situación del domicilio actual (en el momento de la presentación del recurso) para la interposición del recurso contencioso-administrativo ante los Juzgados de Madrid. Además en la diligencia de apoderamiento aportada al Juzgado consta como domicilio el Centro de internamiento de extranjeros de Madrid. Por otra parte, existía constancia de un recurso contencioso-administrativo interpuesto ante el Juzgado de lo Contencioso-Administrativo núm. 3 de Palma de Mallorca relativo igualmente a la resolución de expulsión dictada, por lo que, en todo caso, el Juzgado territorialmente competente sería éste y nunca el de Alicante.</w:t>
      </w:r>
    </w:p>
    <w:p w:rsidR="00A90898" w:rsidRDefault="00A90898" w:rsidP="00A90898">
      <w:pPr>
        <w:pStyle w:val="TextoNormal"/>
      </w:pPr>
    </w:p>
    <w:p w:rsidR="00A90898" w:rsidRDefault="00A90898" w:rsidP="00A90898">
      <w:pPr>
        <w:pStyle w:val="TextoNormal"/>
      </w:pPr>
      <w:r>
        <w:t>Aduce finalmente que el recurso de amparo tiene especial trascendencia constitucional “en atención a la aplicación y general eficacia de los arts. 24 y 25 CE y a efectos de la adecuada determinación de su contenido y alcance”, entendiendo que en el presente caso concurren “al menos, los apartados de las letras d), f) y g)” de la STC 155/2009, de 25 de junio, FJ 2.</w:t>
      </w:r>
    </w:p>
    <w:p w:rsidR="00A90898" w:rsidRDefault="00A90898" w:rsidP="00A90898">
      <w:pPr>
        <w:pStyle w:val="TextoNormal"/>
      </w:pPr>
    </w:p>
    <w:p w:rsidR="00A90898" w:rsidRDefault="00A90898" w:rsidP="00A90898">
      <w:pPr>
        <w:pStyle w:val="TextoNormal"/>
      </w:pPr>
      <w:r w:rsidRPr="00A90898">
        <w:rPr>
          <w:rStyle w:val="NumeroAFNegritaCaracter"/>
        </w:rPr>
        <w:t>4</w:t>
      </w:r>
      <w:r>
        <w:t>. La Sala Primera de este Tribunal acordó, mediante providencia de 21 de septiembre de 2015, admitir a trámite el recurso presentado, apreciando que concurre en el mismo una especial trascendencia constitucional (art. 50.1 LOTC) porque el recurso plantea un problema o afecta a una faceta de un derecho fundamental sobre el que no hay doctrina constitucional [STC 155/2009, FJ 2 a)]. En la misma providencia acordó, conforme a lo previsto en el art. 51 LOTC, dirigir atenta comunicación al Tribunal Superior de Justicia de Madrid y al Juzgado de lo Contencioso-Administrativo núm. 11 de Madrid a fin de que, en plazo que no exceda de diez días, remitieran certificación o fotocopia adverada de las actuaciones correspondientes, debiendo además el Juzgado emplazar a quienes hubieran sido parte en el procedimiento, excepto al recurrente, para que en el plazo de diez días puedan comparecer, si lo desean, en el recurso de amparo.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5</w:t>
      </w:r>
      <w:r>
        <w:t>. Por diligencia de ordenación de la Secretaría de Justicia de la Sala Primera de este Tribunal de 16 de noviembre de 2015 se tuvo por personado y parte en el procedimiento al Abogado del Estado y, conforme determina el art. 52.1 LOTC, se acordó dar vista de las actuaciones testimoniadas y recibidas a las partes personadas y al Ministerio Fiscal, por plazo común de 20 días, para que pudieran presentar alegaciones.</w:t>
      </w:r>
    </w:p>
    <w:p w:rsidR="00A90898" w:rsidRDefault="00A90898" w:rsidP="00A90898">
      <w:pPr>
        <w:pStyle w:val="TextoNormal"/>
      </w:pPr>
    </w:p>
    <w:p w:rsidR="00A90898" w:rsidRDefault="00A90898" w:rsidP="00A90898">
      <w:pPr>
        <w:pStyle w:val="TextoNormal"/>
      </w:pPr>
      <w:r w:rsidRPr="00A90898">
        <w:rPr>
          <w:rStyle w:val="NumeroAFNegritaCaracter"/>
        </w:rPr>
        <w:t>6</w:t>
      </w:r>
      <w:r>
        <w:t>. El Abogado del Estado presentó sus alegaciones por escrito registrado en este Tribunal el 16 de diciembre de 2015, interesando la inadmisión o, subsidiariamente, la desestimación del presente recurso de amparo.</w:t>
      </w:r>
    </w:p>
    <w:p w:rsidR="00A90898" w:rsidRDefault="00A90898" w:rsidP="00A90898">
      <w:pPr>
        <w:pStyle w:val="TextoNormal"/>
      </w:pPr>
    </w:p>
    <w:p w:rsidR="00A90898" w:rsidRDefault="00A90898" w:rsidP="00A90898">
      <w:pPr>
        <w:pStyle w:val="TextoNormal"/>
      </w:pPr>
      <w:r>
        <w:t>a) Comienza el Abogado del Estado afirmando la concurrencia de tres causas de inadmisibilidad.</w:t>
      </w:r>
    </w:p>
    <w:p w:rsidR="00A90898" w:rsidRDefault="00A90898" w:rsidP="00A90898">
      <w:pPr>
        <w:pStyle w:val="TextoNormal"/>
      </w:pPr>
    </w:p>
    <w:p w:rsidR="00A90898" w:rsidRDefault="00A90898" w:rsidP="00A90898">
      <w:pPr>
        <w:pStyle w:val="TextoNormal"/>
      </w:pPr>
      <w:r>
        <w:t>En primer lugar, señala que la decisión de incompetencia fue adoptada por el Juzgado de lo Contencioso-Administrativo núm. 11 de Madrid en su Auto de 31 de julio de 2013, pese a lo cual el recurso de amparo se dirige solamente contra la Sentencia de la Sala de lo Contencioso-Administrativo del Tribunal Superior de Justicia de Madrid. El recurrente debería haber alegado la vulneración del art. 24.1 CE en su recurso de apelación contra el mencionado Auto; al no hacerlo, entiende que concurre el óbice de falta de invocación en la vía judicial del derecho vulnerado, exigido por el art. 44.1 c) LOTC.</w:t>
      </w:r>
    </w:p>
    <w:p w:rsidR="00A90898" w:rsidRDefault="00A90898" w:rsidP="00A90898">
      <w:pPr>
        <w:pStyle w:val="TextoNormal"/>
      </w:pPr>
    </w:p>
    <w:p w:rsidR="00A90898" w:rsidRDefault="00A90898" w:rsidP="00A90898">
      <w:pPr>
        <w:pStyle w:val="TextoNormal"/>
      </w:pPr>
      <w:r>
        <w:t>En segundo lugar considera que, dado que el recurrente imputa a la Sentencia de la Sala de lo Contencioso-Administrativo del Tribunal Superior de Justicia de Madrid la vulneración del art. 24.1 CE, debería haber presentado incidente de nulidad de actuaciones para cumplir con el requisito de agotamiento de los medios de impugnación previstos por las normas procesales dentro de la vía judicial, exigido por el art. 44.1 a) LOTC.</w:t>
      </w:r>
    </w:p>
    <w:p w:rsidR="00A90898" w:rsidRDefault="00A90898" w:rsidP="00A90898">
      <w:pPr>
        <w:pStyle w:val="TextoNormal"/>
      </w:pPr>
    </w:p>
    <w:p w:rsidR="00A90898" w:rsidRDefault="00A90898" w:rsidP="00A90898">
      <w:pPr>
        <w:pStyle w:val="TextoNormal"/>
      </w:pPr>
      <w:r>
        <w:t>Finalmente, considera que el recurrente ha incumplido su obligación de justificar la especial trascendencia constitucional de su recurso. La cita que hace la demanda de los supuestos de las letras “d), f) y g)” de la STC 155/2009, FJ 2, “sin más justificación”, resulta insuficiente a los efectos de cumplir con la preceptiva justificación de este requisito de admisión establecido en el art. 49.1 LOTC, según la Abogacía del Estado.</w:t>
      </w:r>
    </w:p>
    <w:p w:rsidR="00A90898" w:rsidRDefault="00A90898" w:rsidP="00A90898">
      <w:pPr>
        <w:pStyle w:val="TextoNormal"/>
      </w:pPr>
    </w:p>
    <w:p w:rsidR="00A90898" w:rsidRDefault="00A90898" w:rsidP="00A90898">
      <w:pPr>
        <w:pStyle w:val="TextoNormal"/>
      </w:pPr>
      <w:r>
        <w:t>b) Con carácter subsidiario, para el caso de que sean desestimadas las alegaciones anteriores sobre la inadmisibilidad del recurso de amparo, sostiene el Abogado del Estado que la Sentencia del Tribunal Superior de Justicia de Madrid que confirma la decisión del Juzgado lo Contencioso-Administrativo núm. 11 sobre la incompetencia territorial de los Juzgados de Madrid, no contiene una interpretación irracional o ilógica de lo dispuesto en el art. 14.1.2 LJCA que resulte censurable por la jurisdicción constitucional.</w:t>
      </w:r>
    </w:p>
    <w:p w:rsidR="00A90898" w:rsidRDefault="00A90898" w:rsidP="00A90898">
      <w:pPr>
        <w:pStyle w:val="TextoNormal"/>
      </w:pPr>
    </w:p>
    <w:p w:rsidR="00A90898" w:rsidRDefault="00A90898" w:rsidP="00A90898">
      <w:pPr>
        <w:pStyle w:val="TextoNormal"/>
      </w:pPr>
      <w:r>
        <w:t>Sostiene que no se ha producido una denegación del acceso a la jurisdicción y que la discusión sobre las normas de competencia territorial es una cuestión de legalidad ordinaria. Esto sentado, le parece que la efectuada por la Sentencia recurrida es una interpretación racional y coherente con las pruebas existentes y las alegaciones de las partes, sin que puedan considerarse arbitrarias las distintas interpretaciones posibles acerca de si el centro de internamiento de extranjeros constituye o no domicilio a los efectos del art. 14.1 2 LJCA.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7</w:t>
      </w:r>
      <w:r>
        <w:t>. El 17 de diciembre de 2015 tuvieron entrada en este Tribunal las alegaciones de la representación procesal del demandante de amparo, ratificándose íntegramente en el contenido de la demanda, que da por reproducida a fin de evitar repeticiones innecesarias.</w:t>
      </w:r>
    </w:p>
    <w:p w:rsidR="00A90898" w:rsidRDefault="00A90898" w:rsidP="00A90898">
      <w:pPr>
        <w:pStyle w:val="TextoNormal"/>
      </w:pPr>
    </w:p>
    <w:p w:rsidR="00A90898" w:rsidRDefault="00A90898" w:rsidP="00A90898">
      <w:pPr>
        <w:pStyle w:val="TextoNormal"/>
      </w:pPr>
      <w:r w:rsidRPr="00A90898">
        <w:rPr>
          <w:rStyle w:val="NumeroAFNegritaCaracter"/>
        </w:rPr>
        <w:t>8</w:t>
      </w:r>
      <w:r>
        <w:t>. El Ministerio Fiscal presentó sus alegaciones por escrito registrado en este Tribunal el 29 de diciembre de 2015. Tras hacer una detallada exposición de los antecedentes y de las alegaciones del demandante, recuerda que, según reiterada doctrina constitucional, las decisiones judiciales de inadmisión, que impiden entrar en el fondo del asunto, deben ser motivadas y proporcionadas en relación con los fines constitucionalmente protegibles que los requisitos procesales apreciados pretendan atender (STC 29/2005, de 14 de febrero, FJ 4). En cuanto al derecho a obtener una resolución fundada en derecho, recuerda asimismo que según doctrina constitucional consolidada este derecho garantiza, en primer lugar, que la resolución judicial esté motivada; esto es, que contenga los elementos y razones de juicio que permitan conocer cuáles han sido los criterios jurídicos que fundamentan la decisión. En segundo lugar, la motivación ha de estar fundada en derecho, no en una mera declaración de voluntad; de modo que sea consecuencia de una exégesis racional del ordenamiento y no fruto de la arbitrariedad (STC 146/2005, de 6 de junio, FJ 7).</w:t>
      </w:r>
    </w:p>
    <w:p w:rsidR="00A90898" w:rsidRDefault="00A90898" w:rsidP="00A90898">
      <w:pPr>
        <w:pStyle w:val="TextoNormal"/>
      </w:pPr>
    </w:p>
    <w:p w:rsidR="00A90898" w:rsidRDefault="00A90898" w:rsidP="00A90898">
      <w:pPr>
        <w:pStyle w:val="TextoNormal"/>
      </w:pPr>
      <w:r>
        <w:t>Esto sentado, puntualiza que los órganos judiciales no han aplicado en el presente caso una causa de inadmisión, sino que han resuelto sobre la competencia territorial para conocer del recurso contencioso-administrativo, razonando sobre si el centro de internamiento de extranjeros debe ser considerado o no domicilio a los efectos del art. 14 LJCA. Conforme una reiterada doctrina constitucional, la interpretación de las normas que regulan la competencia es materia propia de la jurisdicción ordinaria (SSTC 183/1999, de 11 de octubre, y 49/1999, de 5 de abril, entre otras), sin que corresponda al Tribunal Constitucional corregir esa interpretación, salvo que incurra en arbitrariedad, irrazonabilidad o error patente.</w:t>
      </w:r>
    </w:p>
    <w:p w:rsidR="00A90898" w:rsidRDefault="00A90898" w:rsidP="00A90898">
      <w:pPr>
        <w:pStyle w:val="TextoNormal"/>
      </w:pPr>
    </w:p>
    <w:p w:rsidR="00A90898" w:rsidRDefault="00A90898" w:rsidP="00A90898">
      <w:pPr>
        <w:pStyle w:val="TextoNormal"/>
      </w:pPr>
      <w:r>
        <w:t>A juicio del Fiscal, la respuesta dada en las resoluciones judiciales a la pretensión del recurrente debe calificarse de “insuficientemente motivada y manifiestamente irrazonable, en la medida en que no responde a una exégesis racional del ordenamiento”. La motivación de la decisión judicial acerca de por qué no puede considerarse domicilio el centro de internamiento donde efectivamente se encuentra el recurrente es apodíctica; no explica por qué ese lugar no puede ser entendido como elemento de conexión para el fuero electivo reconocido por el art. 14.1.2 LJCA a quien se ve sometido a una sanción. El resultado es que se obliga al recurrente a litigar ante un órgano de otro territorio que le resulta más lejano, con las dificultades que ello conlleva a todos los niveles.</w:t>
      </w:r>
    </w:p>
    <w:p w:rsidR="00A90898" w:rsidRDefault="00A90898" w:rsidP="00A90898">
      <w:pPr>
        <w:pStyle w:val="TextoNormal"/>
      </w:pPr>
    </w:p>
    <w:p w:rsidR="00A90898" w:rsidRDefault="00A90898" w:rsidP="00A90898">
      <w:pPr>
        <w:pStyle w:val="TextoNormal"/>
      </w:pPr>
      <w:r>
        <w:t>Considera además el Fiscal que, siendo el sentido del art. 14.1.2 LJCA brindar al recurrente la posibilidad de elegir el órgano judicial “más próximo a su efectiva residencia”, resulta “no solo desproporcionado, riguroso o formalista, sino incluso manifiestamente irrazonable”, que los órganos judiciales hayan rechazado el conocimiento del asunto “defiriéndolo y difiriéndolo” a los de otra demarcación, pese a la evidencia de que ese domicilio previo no es “real ni efectivo al tiempo de iniciarse el proceso”.</w:t>
      </w:r>
    </w:p>
    <w:p w:rsidR="00A90898" w:rsidRDefault="00A90898" w:rsidP="00A90898">
      <w:pPr>
        <w:pStyle w:val="TextoNormal"/>
      </w:pPr>
    </w:p>
    <w:p w:rsidR="00A90898" w:rsidRDefault="00A90898" w:rsidP="00A90898">
      <w:pPr>
        <w:pStyle w:val="TextoNormal"/>
      </w:pPr>
      <w:r>
        <w:t xml:space="preserve">Por todo ello estima el Fiscal que se ha producido una vulneración del derecho a la tutela judicial efectiva del recurrente en su vertiente de derecho a obtener una respuesta fundada en derecho (art. 24.1 CE), al haberse efectuado una interpretación de la legalidad procesal irrazonable y desproporcionada con el fin que persigue el art. 14.1.2 LJCA. Por ello interesa </w:t>
      </w:r>
      <w:r>
        <w:lastRenderedPageBreak/>
        <w:t>el otorgamiento del amparo, debiendo declararse la nulidad de la Sentencia impugnada y retrotraerse las actuaciones al momento inmediatamente anterior al dictado de la misma, para que se dicte otra resolución respetuosa con el derecho vulnerado.</w:t>
      </w:r>
    </w:p>
    <w:p w:rsidR="00A90898" w:rsidRDefault="00A90898" w:rsidP="00A90898">
      <w:pPr>
        <w:pStyle w:val="TextoNormal"/>
      </w:pPr>
    </w:p>
    <w:p w:rsidR="00A90898" w:rsidRDefault="00A90898" w:rsidP="00A90898">
      <w:pPr>
        <w:pStyle w:val="TextoNormal"/>
      </w:pPr>
      <w:r w:rsidRPr="00A90898">
        <w:rPr>
          <w:rStyle w:val="NumeroAFNegritaCaracter"/>
        </w:rPr>
        <w:t>9</w:t>
      </w:r>
      <w:r>
        <w:t>. Por acuerdo del Presidente de 15 de septiembre de 2016, habiendo declinado la ponencia el Magistrado don Francisco Pérez de los Cobos Orihuel, en uso de las facultades que le confiere el art. 80 de la Ley Orgánica del Tribunal Constitucional en relación con el art. 206 de la Ley Orgánica del Poder Judicial, designó como nuevo Ponente al Magistrado don Andrés Ollero Tassara.</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15 de septiembre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recurrente en amparo, de nacionalidad argelina, denuncia que las resoluciones judiciales objeto del presente recurso de amparo, que declararon en primera y segunda instancia la incompetencia territorial de los Juzgados de Madrid para conocer del recurso contencioso-administrativo interpuesto por aquel contra la resolución de la Delegación del Gobierno en las Illes Balears que acordaba su expulsión del territorio nacional, han vulnerado su derecho a la tutela judicial efectiva (art. 24.1 CE), en su doble vertiente de derecho de acceso a la jurisdicción y derecho a obtener una respuesta judicial motivada y fundada en derecho.</w:t>
      </w:r>
    </w:p>
    <w:p w:rsidR="00A90898" w:rsidRDefault="00A90898" w:rsidP="00A90898">
      <w:pPr>
        <w:pStyle w:val="TextoNormal"/>
      </w:pPr>
    </w:p>
    <w:p w:rsidR="00A90898" w:rsidRDefault="00A90898" w:rsidP="00A90898">
      <w:pPr>
        <w:pStyle w:val="TextoNormal"/>
      </w:pPr>
      <w:r>
        <w:t>Sostiene el recurrente (y en el mismo sentido se pronuncia el Ministerio Fiscal) que las resoluciones judiciales impugnadas han declarado su incompetencia territorial para conocer del recurso contencioso-administrativo con fundamento en una interpretación irrazonable y arbitraria. Le priva, además, del derecho a que su recurso sea resuelto sobre el fondo, al rechazar que el centro de internamiento de extranjeros de Madrid, donde se encontraba recluido a la espera de que fuera ejecutada la resolución administrativa de expulsión, pueda ser considerado como domicilio a los efectos del art. 14.1.2 de la Ley reguladora de la jurisdicción contencioso-administrativa (LJCA).</w:t>
      </w:r>
    </w:p>
    <w:p w:rsidR="00A90898" w:rsidRDefault="00A90898" w:rsidP="00A90898">
      <w:pPr>
        <w:pStyle w:val="TextoNormal"/>
      </w:pPr>
    </w:p>
    <w:p w:rsidR="00A90898" w:rsidRDefault="00A90898" w:rsidP="00A90898">
      <w:pPr>
        <w:pStyle w:val="TextoNormal"/>
      </w:pPr>
      <w:r>
        <w:t>El Abogado del Estado ha opuesto varios óbices a la admisibilidad de este recurso, interesando subsidiariamente su desestimación, conforme ha quedado expuesto en el relato de antecedentes de esta Sentencia.</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entrar a examinar la queja que se formula en la demanda de amparo, resulta obligado abordar las objeciones que sobre la admisibilidad del recurso se plantean por el Abogado del Estado, pues la estimación de alguno de esos óbices impediría cualquier pronunciamiento sobre el fondo de la cuestión planteada.</w:t>
      </w:r>
    </w:p>
    <w:p w:rsidR="00A90898" w:rsidRDefault="00A90898" w:rsidP="00A90898">
      <w:pPr>
        <w:pStyle w:val="TextoNormal"/>
      </w:pPr>
    </w:p>
    <w:p w:rsidR="00A90898" w:rsidRDefault="00A90898" w:rsidP="00A90898">
      <w:pPr>
        <w:pStyle w:val="TextoNormal"/>
      </w:pPr>
      <w:r>
        <w:t xml:space="preserve">Este análisis no encuentra obstáculo en el momento procesal en que nos hallamos pues, según este Tribunal ha declarado repetidamente, los defectos insubsanables de que pudiera estar afectado el recurso de amparo no resultan sanados porque la demanda haya sido inicialmente admitida. La comprobación de los presupuestos procesales para la viabilidad de </w:t>
      </w:r>
      <w:r>
        <w:lastRenderedPageBreak/>
        <w:t>la acción puede siempre abordarse en la Sentencia, de oficio o a instancia de parte, pudiendo dar lugar a un pronunciamiento de inadmisión por falta de tales presupuestos, sin que sea obstáculo para ello el carácter tasado de los pronunciamientos previstos en el art. 53 de la Ley Orgánica del Tribunal Constitucional: LOTC (por todas, SSTC 133/2002, de 3 de junio, FJ 2; 29/2004, de 4 de marzo, FJ 2; 7/2007, de 15 de enero, FJ 2; 242/2007, de 10 de diciembre, FJ 2; 43/2008, de 10 de marzo, FJ 2; 28/2011, de 14 de marzo, FJ 3, y 168/2012, de 1 de octubre, FJ 3).</w:t>
      </w:r>
    </w:p>
    <w:p w:rsidR="00A90898" w:rsidRDefault="00A90898" w:rsidP="00A90898">
      <w:pPr>
        <w:pStyle w:val="TextoNormal"/>
      </w:pPr>
    </w:p>
    <w:p w:rsidR="00A90898" w:rsidRDefault="00A90898" w:rsidP="00A90898">
      <w:pPr>
        <w:pStyle w:val="TextoNormal"/>
      </w:pPr>
      <w:r>
        <w:t xml:space="preserve">Este criterio rige también, naturalmente, cuando, como en el presente caso, se trata de verificar si el demandante ha cumplido con la carga de justificar la especial trascendencia constitucional del recurso (SSTC 69/2011, de 16 de mayo, FJ 2; 143/2011, de 26 de septiembre, FJ 2; 176/2012, de 15 de octubre, FJ 3; 178/2012, de 15 de octubre, FJ 2, y 140/2013, de 8 de julio, FJ 2). Como ha quedado expuesto en el relato de antecedentes, la Abogacía del Estado sostiene que la mera cita que se hace en la demanda de amparo de los supuestos de las letras d), f) y g) de la STC 155/2009, de 25 de junio, FJ 2, resulta insuficiente a efectos de entender satisfecha el requisito de justificar la especial trascendencia constitucional que exige el art. 49.1 </w:t>
      </w:r>
      <w:r w:rsidRPr="00A90898">
        <w:rPr>
          <w:i/>
        </w:rPr>
        <w:t>in fine</w:t>
      </w:r>
      <w:r>
        <w:t xml:space="preserve"> LOTC para la admisión del recurso.</w:t>
      </w:r>
    </w:p>
    <w:p w:rsidR="00A90898" w:rsidRDefault="00A90898" w:rsidP="00A90898">
      <w:pPr>
        <w:pStyle w:val="TextoNormal"/>
      </w:pPr>
    </w:p>
    <w:p w:rsidR="00A90898" w:rsidRDefault="00A90898" w:rsidP="00A90898">
      <w:pPr>
        <w:pStyle w:val="TextoNormal"/>
      </w:pPr>
      <w:r>
        <w:t>Este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00A90898" w:rsidRDefault="00A90898" w:rsidP="00A90898">
      <w:pPr>
        <w:pStyle w:val="TextoNormal"/>
      </w:pPr>
    </w:p>
    <w:p w:rsidR="00A90898" w:rsidRDefault="00A90898" w:rsidP="00A90898">
      <w:pPr>
        <w:pStyle w:val="TextoNormal"/>
      </w:pPr>
      <w:r>
        <w:t>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w:t>
      </w:r>
    </w:p>
    <w:p w:rsidR="00A90898" w:rsidRDefault="00A90898" w:rsidP="00A90898">
      <w:pPr>
        <w:pStyle w:val="TextoNormal"/>
      </w:pPr>
    </w:p>
    <w:p w:rsidR="00A90898" w:rsidRDefault="00A90898" w:rsidP="00A90898">
      <w:pPr>
        <w:pStyle w:val="TextoNormal"/>
      </w:pPr>
      <w:r>
        <w:t xml:space="preserve">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w:t>
      </w:r>
      <w:r>
        <w:lastRenderedPageBreak/>
        <w:t>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(por todas, SSTC 69/2011, FJ 3, y 176/2012, FJ 3, y ATC 187/2010, de 29 de noviembre, FJ único).</w:t>
      </w:r>
    </w:p>
    <w:p w:rsidR="00A90898" w:rsidRDefault="00A90898" w:rsidP="00A90898">
      <w:pPr>
        <w:pStyle w:val="TextoNormal"/>
      </w:pPr>
    </w:p>
    <w:p w:rsidR="00A90898" w:rsidRDefault="00A90898" w:rsidP="00A90898">
      <w:pPr>
        <w:pStyle w:val="TextoNormal"/>
      </w:pPr>
      <w:r w:rsidRPr="00A90898">
        <w:rPr>
          <w:rStyle w:val="NumeroAFNegritaCaracter"/>
        </w:rPr>
        <w:t>3</w:t>
      </w:r>
      <w:r>
        <w:t>. Aplicando la doctrina expuesta al presente caso, hemos de dar la razón al Abogado del Estado y concluir que la demanda de amparo no contiene una justificación suficiente de su especial trascendencia constitucional conforme exige el art. 49.1 LOTC.</w:t>
      </w:r>
    </w:p>
    <w:p w:rsidR="00A90898" w:rsidRDefault="00A90898" w:rsidP="00A90898">
      <w:pPr>
        <w:pStyle w:val="TextoNormal"/>
      </w:pPr>
    </w:p>
    <w:p w:rsidR="00A90898" w:rsidRDefault="00A90898" w:rsidP="00A90898">
      <w:pPr>
        <w:pStyle w:val="TextoNormal"/>
      </w:pPr>
      <w:r>
        <w:t xml:space="preserve">En la demanda de amparo, tras la exposición de los antecedentes de hecho, de la vulneración del derecho fundamental a la tutela judicial efectiva (art. 24.1 CE) que se entiende cometida por las resoluciones judiciales impugnadas y del concreto amparo solicitado, se introduce un apartado específico en los razonamientos jurídicos, referido a la especial trascendencia constitucional del recurso. En él se reproducen los casos enunciados en la citada STC 155/2009, FJ 2, y se argumenta que el recurso de amparo reviste especial trascendencia constitucional “en atención a la aplicación y general eficacia de los arts. 24 y 25 CE y a efectos de la adecuada determinación de su contenido y alcance”; se entiende que en el presente caso concurren “al menos, los apartados de las letras d), f) y g)” del listado de la STC 155/2009, FJ 2, “y ello con independencia de que toda demanda de amparo que, como es el caso, </w:t>
      </w:r>
      <w:r w:rsidRPr="00A90898">
        <w:rPr>
          <w:i/>
        </w:rPr>
        <w:t>prima facie</w:t>
      </w:r>
      <w:r>
        <w:t>, exponga una probable violación de libertades y derechos fundamentales es siempre constitucionalmente interesante o, en otros términos, siempre comporta una ‘especial trascendencia constitucional’ y debería de merecer, por tanto, una sentencia sobre el fondo”.</w:t>
      </w:r>
    </w:p>
    <w:p w:rsidR="00A90898" w:rsidRDefault="00A90898" w:rsidP="00A90898">
      <w:pPr>
        <w:pStyle w:val="TextoNormal"/>
      </w:pPr>
    </w:p>
    <w:p w:rsidR="00A90898" w:rsidRDefault="00A90898" w:rsidP="00A90898">
      <w:pPr>
        <w:pStyle w:val="TextoNormal"/>
      </w:pPr>
      <w:r>
        <w:t xml:space="preserve">De modo semejante a otros ya citados en los que este Tribunal ha apreciado que la demanda de amparo no contiene una justificación suficiente de la especial trascendencia constitucional (así, por todas, SSTC 69/2011, 178/2012 y 140/2013), en el presente caso se evidencia que el recurrente identifica la especial trascendencia constitucional de su recurso con la lesión misma del derecho fundamental que invoca en su demanda; considera justificación bastante de aquella, parafraseando el tenor del art. 50.1 b) LOTC, “la aplicación y general eficacia de los arts. 24 y 25 CE y a efectos de la adecuada determinación de su contenido y alcance”, para luego añadir que, en cualquier caso, debe considerarse que la mera apariencia de lesión de un derecho fundamental ha de entenderse suficiente para apreciar que el recurso de amparo reviste especial trascendencia constitucional. Semejante razonamiento, implica desconocer que tras la reforma introducida por la Ley Orgánica 6/2007, de 24 de mayo, ya no basta, para que el recurso de amparo pueda ser admitido, con razonar la existencia de la vulneración de un derecho fundamental; es preciso, además, justificar que el recurso presenta especial trascendencia constitucional en atención a los criterios que señala el art. 50.1 </w:t>
      </w:r>
      <w:r>
        <w:lastRenderedPageBreak/>
        <w:t xml:space="preserve">b) LOTC. Para ello la demanda del recurrente habrá de disociar adecuadamente la argumentación dirigida a acreditar la existencia de la lesión del derecho fundamental que se alega y los razonamientos específicamente dirigidos a satisfacer la carga de justificar la especial trascendencia constitucional, como exige expresamente el art. 49.1 </w:t>
      </w:r>
      <w:r w:rsidRPr="00A90898">
        <w:rPr>
          <w:i/>
        </w:rPr>
        <w:t>in fine</w:t>
      </w:r>
      <w:r>
        <w:t xml:space="preserve"> LOTC.</w:t>
      </w:r>
    </w:p>
    <w:p w:rsidR="00A90898" w:rsidRDefault="00A90898" w:rsidP="00A90898">
      <w:pPr>
        <w:pStyle w:val="TextoNormal"/>
      </w:pPr>
    </w:p>
    <w:p w:rsidR="00A90898" w:rsidRDefault="00A90898" w:rsidP="00A90898">
      <w:pPr>
        <w:pStyle w:val="TextoNormal"/>
      </w:pPr>
      <w:r>
        <w:t xml:space="preserve">Las alegaciones del recurrente identifican especial trascendencia constitucional con lesión del derecho fundamental; de forma abstracta, se refieren a la relevancia para “la aplicación y general eficacia de los arts. 24 y 25 CE”, así como para “la adecuada determinación de su contenido y alcance”, sin realizar argumentación específica al respecto. No satisfacen, pues, conforme a la doctrina constitucional expuesta, la justificación que el art. 49.1 </w:t>
      </w:r>
      <w:r w:rsidRPr="00A90898">
        <w:rPr>
          <w:i/>
        </w:rPr>
        <w:t>in fine</w:t>
      </w:r>
      <w:r>
        <w:t xml:space="preserve"> LOTC requiere.</w:t>
      </w:r>
    </w:p>
    <w:p w:rsidR="00A90898" w:rsidRDefault="00A90898" w:rsidP="00A90898">
      <w:pPr>
        <w:pStyle w:val="TextoNormal"/>
      </w:pPr>
    </w:p>
    <w:p w:rsidR="00A90898" w:rsidRDefault="00A90898" w:rsidP="00A90898">
      <w:pPr>
        <w:pStyle w:val="TextoNormal"/>
      </w:pPr>
      <w:r>
        <w:t>Tampoco la genérica alusión del recurrente a “los apartados de las letras d), f) y g)” del listado de la STC 155/2009, FJ 2, cuyo contenido se trascribe en la demanda de amparo, puede entenderse suficiente para satisfacer la carga de justificar la especial trascendencia constitucional del recurso; como se ha señalado, al recurrente le es exigible un razonable esfuerzo argumental que enlace las infracciones constitucionales denunciadas con alguno de los criterios expresados en el art. 50.1 b) LOTC. No basta para entender cumplida esa exigencia afirmar que el recurso posee especial trascendencia constitucional mediante la mera cita de alguno de los supuestos enunciados en la STC 155/2009, FJ 2, desprovista de los imprescindibles razonamientos específicos dirigidos a justificar de qué modo concurren esos concretos supuestos de especial trascendencia constitucional invocados en la demanda.</w:t>
      </w:r>
    </w:p>
    <w:p w:rsidR="00A90898" w:rsidRDefault="00A90898" w:rsidP="00A90898">
      <w:pPr>
        <w:pStyle w:val="TextoNormal"/>
      </w:pPr>
    </w:p>
    <w:p w:rsidR="00A90898" w:rsidRDefault="00A90898" w:rsidP="00A90898">
      <w:pPr>
        <w:pStyle w:val="TextoNormal"/>
      </w:pPr>
      <w:r>
        <w:t xml:space="preserve">En definitiva, las alegaciones del recurrente no satisfacen, conforme a la doctrina constitucional expuesta, la carga de justificar la especial trascendencia constitucional del recurso que exige el art. 49.1 </w:t>
      </w:r>
      <w:r w:rsidRPr="00A90898">
        <w:rPr>
          <w:i/>
        </w:rPr>
        <w:t>in fine</w:t>
      </w:r>
      <w:r>
        <w:t xml:space="preserve"> LOTC. No permiten comprobar por qué el contenido del recurso de amparo merece una decisión sobre el fondo conforme a los criterios establecidos en el art. 50.1 b), más allá del interés propio de la reparación de la eventual lesión de derechos fundamentales en ese caso concreto (por todas, STC 69/2011, FJ 4; 143/2011, FJ 2; 176/2012, FJ 4, y 178/2012, FJ 4). Consecuentemente, el presente recurso debe inadmitirse por incumplimiento del art. 49.1 </w:t>
      </w:r>
      <w:r w:rsidRPr="00A90898">
        <w:rPr>
          <w:i/>
        </w:rPr>
        <w:t>in fine</w:t>
      </w:r>
      <w:r>
        <w:t xml:space="preserve"> LOTC.</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Inadmitir el recurso de amparo interpuesto por don Djanel Daho.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dieciséis de septiembre de dos mil dieciséis. a diecinueve de septiembre de dos mil dieciséis.</w:t>
      </w:r>
    </w:p>
    <w:p w:rsidR="00A90898" w:rsidRDefault="00A90898" w:rsidP="00A90898">
      <w:pPr>
        <w:pStyle w:val="ParrafoNormal"/>
      </w:pPr>
    </w:p>
    <w:p w:rsidR="00A90898" w:rsidRDefault="00A90898" w:rsidP="00A90898">
      <w:pPr>
        <w:pStyle w:val="TextoNormalNegritaCentrado"/>
        <w:keepNext/>
      </w:pPr>
      <w:r>
        <w:lastRenderedPageBreak/>
        <w:t>Voto particular que formula el Magistrado don Juan Antonio Xiol Ríos a la Sentencia dictada en el recurso de amparo núm. 4160-2014.</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Sala en la que se sustenta la Sentencia, manifiesto mi discrepancia con la fundamentación jurídica y el fallo de inadmisión de esta. Considero que hubiera debido ser estimatoria por vulneración del derecho a la tutela judicial efectiva (art. 24.1 CE).</w:t>
      </w:r>
    </w:p>
    <w:p w:rsidR="00A90898" w:rsidRDefault="00A90898" w:rsidP="00A90898">
      <w:pPr>
        <w:pStyle w:val="TextoNormal"/>
      </w:pPr>
    </w:p>
    <w:p w:rsidR="00A90898" w:rsidRDefault="00A90898" w:rsidP="00A90898">
      <w:pPr>
        <w:pStyle w:val="TextoNormal"/>
      </w:pPr>
      <w:r>
        <w:t>1. No concurre ningún supuesto excepcional que permita inadmitir en sentencia el presente recurso por falta de justificación suficiente de su especial transcendencia constitucional.</w:t>
      </w:r>
    </w:p>
    <w:p w:rsidR="00A90898" w:rsidRDefault="00A90898" w:rsidP="00A90898">
      <w:pPr>
        <w:pStyle w:val="TextoNormal"/>
      </w:pPr>
    </w:p>
    <w:p w:rsidR="00A90898" w:rsidRDefault="00A90898" w:rsidP="00A90898">
      <w:pPr>
        <w:pStyle w:val="TextoNormal"/>
      </w:pPr>
      <w:r>
        <w:t>La opinión mayoritaria en la que se sustenta la Sentencia concluye que concurre la causa de inadmisión prevista en el art. 49.1, inciso final, de la Ley Orgánica del Tribunal Constitucional (LOTC) porque el recurrente ha incumplido la carga procesal de justificar suficientemente la especial transcendencia constitucional del recurso de amparo formulado. Mi discrepancia con esta conclusión radica en que considero que no debía haberse apreciado esta causa de inadmisión en sentencia por aplicación de la reiterada y consolidada jurisprudencia de este Tribunal sobre la prudencia y excepcionalidad con que debe aplicarse la falta justificación de la especial transcendencia constitucional en Sentencia.</w:t>
      </w:r>
    </w:p>
    <w:p w:rsidR="00A90898" w:rsidRDefault="00A90898" w:rsidP="00A90898">
      <w:pPr>
        <w:pStyle w:val="TextoNormal"/>
      </w:pPr>
    </w:p>
    <w:p w:rsidR="00A90898" w:rsidRDefault="00A90898" w:rsidP="00A90898">
      <w:pPr>
        <w:pStyle w:val="TextoNormal"/>
      </w:pPr>
      <w:r>
        <w:t xml:space="preserve">El Tribunal ha establecido que la especial transcendencia constitucional (i) es un requisito material de admisibilidad cuyo momento procesal idóneo para el análisis de su cumplimiento es el trámite de admisión de la demanda de amparo (así, SSTC 191/2013, de 18 de noviembre, FJ 2; 77/2015, de 27 de abril, FJ 1; y 148/2015, de 6 de julio, FJ 2); (ii) es un requisito de admisibilidad que corresponde únicamente apreciar al Tribunal Constitucional, para lo que cuenta con un amplio margen decisorio, debido al carácter notablemente abierto e indeterminado, tanto de la noción de especial trascendencia constitucional, como de los criterios legalmente establecidos para su apreciación [así, SSTC 89/2011, de 6 de junio, FJ 2 c); 127/2013, de 3 de junio, FJ 2 a), y 77/2015, de 27 de abril, FJ 1]; y (iii) que las exigencias de certeza y buena administración de justicia, invocadas por la STEDH de 20 de enero de 2015, caso </w:t>
      </w:r>
      <w:r w:rsidRPr="00A90898">
        <w:rPr>
          <w:i/>
        </w:rPr>
        <w:t>Arribas Antón contra España</w:t>
      </w:r>
      <w:r>
        <w:t>, § 46, obligan a explicitar el cumplimiento de ese requisito para hacer así reconocibles los criterios empleados al efecto por este Tribunal (así, STC 103/2016, de 6 de junio, FJ 2).</w:t>
      </w:r>
    </w:p>
    <w:p w:rsidR="00A90898" w:rsidRDefault="00A90898" w:rsidP="00A90898">
      <w:pPr>
        <w:pStyle w:val="TextoNormal"/>
      </w:pPr>
    </w:p>
    <w:p w:rsidR="00A90898" w:rsidRDefault="00A90898" w:rsidP="00A90898">
      <w:pPr>
        <w:pStyle w:val="TextoNormal"/>
      </w:pPr>
      <w:r>
        <w:t xml:space="preserve">El Tribunal también ha afirmado, en relación con este requisito material de admisibilidad, que (i) el art. 49.1, inciso final, LOTC exige, de forma inequívoca, que la demanda justifique la especial trascendencia constitucional, para cuya satisfacción es preciso que en la demanda se disocie adecuadamente la argumentación tendente a evidenciar la existencia de la lesión de un derecho fundamental y los razonamientos específicamente dirigidos a justificar que el recurso presenta especial trascendencia constitucional (así, SSTC 17/2011, de 28 de febrero, FJ 2; y 77/2016, de 25 de abril, FJ 2); y (ii) el deber de justificar de modo suficiente la especial trascendencia constitucional del recurso tiene un alcance instrumental, en cuanto se dirige a proporcionar al Tribunal elementos de juicio para decidir sobre la admisibilidad de la demanda, ya que el legislador ha querido que la valoración del Tribunal acerca de la especial trascendencia constitucional de cada recurso venga siempre precedida de la iniciativa y apreciaciones de la parte, recogidas en su escrito de demanda (así, SSTC </w:t>
      </w:r>
      <w:r>
        <w:lastRenderedPageBreak/>
        <w:t>107/2012, de 21 de mayo, FJ 2; 212/2013, de 16 de diciembre, FJ 2; 128/2014, de 21 de julio, FJ 2, o 77/2015, de 27 de abril, FJ 1).</w:t>
      </w:r>
    </w:p>
    <w:p w:rsidR="00A90898" w:rsidRDefault="00A90898" w:rsidP="00A90898">
      <w:pPr>
        <w:pStyle w:val="TextoNormal"/>
      </w:pPr>
    </w:p>
    <w:p w:rsidR="00A90898" w:rsidRDefault="00A90898" w:rsidP="00A90898">
      <w:pPr>
        <w:pStyle w:val="TextoNormal"/>
      </w:pPr>
      <w:r>
        <w:t xml:space="preserve">Con estos presupuestos, el Tribunal concluye que si (i) el deber de justificar de modo suficiente la especial trascendencia constitucional del recurso tiene una finalidad meramente instrumental de coadyuvar con el Tribunal proporcionando elementos de juicio para que decida sobre la concurrencia del requisito material de admisibilidad de la especial trascendencia constitucional; y (ii) esa decisión debe ser adoptada por el Tribunal en la fase de admisibilidad; (ii) entonces la conclusión que se sigue es que, habiendo agotado el Tribunal esa decisión en el momento de decidir sobre la admisibilidad, debe hacerse un uso prudente de la facultad de inadmitir posteriormente la demanda por ese defecto procesal de justificación, de manera que solo se modificará esa apreciación inicial al dictar sentencia cuando existan razones que así lo exijan (así, SSTC 145/2011, de 26 de septiembre, FJ 2; 212/2013, de 16 de diciembre, FJ 2, y 77/2015, de 27 de abril, FJ 1). Esta conclusión sobre la excepcionalidad de la posibilidad de inadmitir en Sentencia por falta de justificación de la especial trascendencia constitucional debe considerarse especialmente reforzada en la actualidad, ya que tras la ya citada STEDH de 20 de enero de 2015, caso </w:t>
      </w:r>
      <w:r w:rsidRPr="00A90898">
        <w:rPr>
          <w:i/>
        </w:rPr>
        <w:t>Arribas Antón contra España</w:t>
      </w:r>
      <w:r>
        <w:t>, el Tribunal hace expresa en sus providencias de admisión la concreta causa en que considera que se fundamenta la especial transcendencia constitucional del recurso.</w:t>
      </w:r>
    </w:p>
    <w:p w:rsidR="00A90898" w:rsidRDefault="00A90898" w:rsidP="00A90898">
      <w:pPr>
        <w:pStyle w:val="TextoNormal"/>
      </w:pPr>
    </w:p>
    <w:p w:rsidR="00A90898" w:rsidRDefault="00A90898" w:rsidP="00A90898">
      <w:pPr>
        <w:pStyle w:val="TextoNormal"/>
      </w:pPr>
      <w:r>
        <w:t>En el presente caso, como aparece reflejado en los antecedentes de la Sentencia, (i) el recurrente dedicó un apartado específico de su demanda a justificar la especial transcendencia constitucional del recurso, haciendo mención expresa a determinadas circunstancias vinculadas con los supuestos citados en la STC 155/2009, de 25 de junio, FJ 2; y (ii) la Sala Primera de este Tribunal acordó, mediante providencia de 21 de septiembre de 2015, admitir a trámite el presente recurso de amparo, expresando que concurre en el mismo una especial trascendencia constitucional porque plantea un problema o afecta a una faceta de un derecho fundamental sobre el que no hay doctrina constitucional [STC 155/2009, FJ 2 a)].</w:t>
      </w:r>
    </w:p>
    <w:p w:rsidR="00A90898" w:rsidRDefault="00A90898" w:rsidP="00A90898">
      <w:pPr>
        <w:pStyle w:val="TextoNormal"/>
      </w:pPr>
    </w:p>
    <w:p w:rsidR="00A90898" w:rsidRDefault="00A90898" w:rsidP="00A90898">
      <w:pPr>
        <w:pStyle w:val="TextoNormal"/>
      </w:pPr>
      <w:r>
        <w:t>Ante la evidencia de la citada doctrina constitucional me veo obligado a discrepar de la opinión mayoritaria en la que se sustenta la Sentencia, toda vez que (i) ha omitido hacer expresas las razones excepcionales en que se fundamenta su decisión de modificar el inicial acuerdo de admisibilidad que esta misma Sala adoptó en la providencia de 25 de septiembre de 2015, en la que ya se estableció, aceptando la justificación aportada por el recurrente, la concreta causa de especial trascendencia constitucional que se entendió concurrente; y (ii) tampoco alcanzo a apreciar ninguna causa excepcional que pudiera justificarlo. Creo que este es un supuesto de interpretación y aplicación formalista y enervante de los requisitos procesales de admisibilidad, cuya finalidad es la mejor ordenación del proceso y no alzarse como un obstáculo para conseguir un pronunciamiento sobre el fondo de pretensiones legítimamente deducidas.</w:t>
      </w:r>
    </w:p>
    <w:p w:rsidR="00A90898" w:rsidRDefault="00A90898" w:rsidP="00A90898">
      <w:pPr>
        <w:pStyle w:val="TextoNormal"/>
      </w:pPr>
    </w:p>
    <w:p w:rsidR="00A90898" w:rsidRDefault="00A90898" w:rsidP="00A90898">
      <w:pPr>
        <w:pStyle w:val="TextoNormal"/>
      </w:pPr>
      <w:r>
        <w:t>2. La resolución judicial impugnada lesiona el derecho a la tutela judicial efectiva del recurrente.</w:t>
      </w:r>
    </w:p>
    <w:p w:rsidR="00A90898" w:rsidRDefault="00A90898" w:rsidP="00A90898">
      <w:pPr>
        <w:pStyle w:val="TextoNormal"/>
      </w:pPr>
    </w:p>
    <w:p w:rsidR="00A90898" w:rsidRDefault="00A90898" w:rsidP="00A90898">
      <w:pPr>
        <w:pStyle w:val="TextoNormal"/>
      </w:pPr>
      <w:r>
        <w:t>La decisión de inadmisión concluida por la opinión mayoritaria en la que se sustenta la Sentencia permitiría no tener que entrar en la cuestión de fondo planteada en el recurso. No obstante, creo necesario hacer expresa, aunque sea de manera sucinta, a mi posición respecto de la invocación del art. 24.1 CE.</w:t>
      </w:r>
    </w:p>
    <w:p w:rsidR="00A90898" w:rsidRDefault="00A90898" w:rsidP="00A90898">
      <w:pPr>
        <w:pStyle w:val="TextoNormal"/>
      </w:pPr>
    </w:p>
    <w:p w:rsidR="00A90898" w:rsidRDefault="00A90898" w:rsidP="00A90898">
      <w:pPr>
        <w:pStyle w:val="TextoNormal"/>
      </w:pPr>
      <w:r>
        <w:t>Considero, de manera coincidente con lo sustentado por el Ministerio Fiscal en su informe, que se ha producido la vulneración alegada del derecho a la tutela judicial efectiva del recurrente, desde la perspectiva del deber de motivación de las resoluciones judiciales firmes, ya que la respuesta judicial obtenida por el recurrente de no considerar Madrid como su domicilio a pesar de estar privado de libertad por orden judicial en el centro de internamiento de extranjeros de esa ciudad, fue “insuficientemente motivada y manifiestamente irrazonable, en la medida en que no responde a una exégesis racional del ordenamiento”.</w:t>
      </w:r>
    </w:p>
    <w:p w:rsidR="00A90898" w:rsidRDefault="00A90898" w:rsidP="00A90898">
      <w:pPr>
        <w:pStyle w:val="TextoNormal"/>
      </w:pPr>
    </w:p>
    <w:p w:rsidR="00A90898" w:rsidRDefault="00A90898" w:rsidP="00A90898">
      <w:pPr>
        <w:pStyle w:val="TextoNormal"/>
      </w:pPr>
      <w:r>
        <w:t>El art. 14.1.2 de la Ley reguladora de la jurisdicción contencioso-administrativa establece que cuando el recurso contencioso-administrativo tenga por objeto actos de la Administración en materia, entre otras, sancionadora será competente, a elección del demandante, el juzgado o el tribunal en cuya circunscripción tenga aquel su domicilio o se halle la sede del órgano autor del acto originario impugnado. El sentido de esta previsión legal es facilitar el control judicial de la actividad administrativa a iniciativa de los ciudadanos posibilitando que seleccione como foro de competencia territorial judicial el más próximo a su efectiva residencia. En este caso, quedaba acreditado (i) que la resolución sancionadora de expulsión se adoptó por el Delegado del Gobierno en las Illes Balears y (ii) que, aunque estuviera empadronado formalmente en una localidad de Alicante, en el momento de impugnar la resolución sancionadora estaba privado de libertad por orden judicial en el centro de internamiento de extranjeros de Madrid.</w:t>
      </w:r>
    </w:p>
    <w:p w:rsidR="00A90898" w:rsidRDefault="00A90898" w:rsidP="00A90898">
      <w:pPr>
        <w:pStyle w:val="TextoNormal"/>
      </w:pPr>
    </w:p>
    <w:p w:rsidR="00A90898" w:rsidRDefault="00A90898" w:rsidP="00A90898">
      <w:pPr>
        <w:pStyle w:val="TextoNormal"/>
      </w:pPr>
      <w:r>
        <w:t>Pues bien, la decisión judicial de considerar territorialmente incompetentes los órganos judiciales de Madrid por no ser esa ciudad el lugar de residencia del recurrente al estar empadronado en otro municipio no está suficientemente motivada, ya que no da respuesta a por qué Madrid no puede ser entendido como domicilio, a pesar de ser el lugar en que se ve compelido a residir por una resolución judicial. La interpretación no resulta razonable en términos de sentido común ni desde la perspectiva de la finalidad perseguida por la norma, ya que adopta un criterio interpretativo cuya aplicación supone determinar la competencia territorial de un órgano judicial con el que por la decisión de otro órgano judicial ya no se mantiene ninguna conexión territorial de cercanía y dificulta, contrariamente a lo que quiere la ley, hasta hacerlo prácticamente imposible, el acceso al control judicial pretendido.</w:t>
      </w:r>
    </w:p>
    <w:p w:rsidR="00A90898" w:rsidRDefault="00A90898" w:rsidP="00A90898">
      <w:pPr>
        <w:pStyle w:val="TextoNormal"/>
      </w:pPr>
    </w:p>
    <w:p w:rsidR="00A90898" w:rsidRDefault="00A90898" w:rsidP="00A90898">
      <w:pPr>
        <w:pStyle w:val="TextoNormal"/>
      </w:pPr>
      <w:r>
        <w:t>Estas son las razones por las que considero que (i) no concurría la causa de inadmisión afirmada por la opinión mayoritaria en la que se sustenta la sentencia y (ii) debía haberse estimado el recurso por vulneración del derecho a la tutela judicial efectiva del recurrente con los efectos de nulidad y retroacción de actuaciones inherentes a esa estimación.</w:t>
      </w:r>
    </w:p>
    <w:p w:rsidR="00A90898" w:rsidRDefault="00A90898" w:rsidP="00A90898">
      <w:pPr>
        <w:pStyle w:val="TextoNormal"/>
      </w:pPr>
    </w:p>
    <w:p w:rsidR="00A90898" w:rsidRDefault="00A90898" w:rsidP="00A90898">
      <w:pPr>
        <w:pStyle w:val="TextoNormal"/>
      </w:pPr>
      <w:r>
        <w:t>Madrid, a diecinueve de septiembre de dos mil dieciséis.- Juan Antonio Xiol Ríos.-Firmado y rubricado.</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6" w:name="SENTENCIA_2016_147"/>
      <w:r>
        <w:lastRenderedPageBreak/>
        <w:t>SENTENCIA 147/2016, de 19 de septiembre de 2016</w:t>
      </w:r>
    </w:p>
    <w:bookmarkEnd w:id="26"/>
    <w:p w:rsidR="00A90898" w:rsidRDefault="00A90898" w:rsidP="00A90898">
      <w:pPr>
        <w:pStyle w:val="TtuloResolucin"/>
      </w:pPr>
      <w:r>
        <w:t>Sala Segunda</w:t>
      </w:r>
    </w:p>
    <w:p w:rsidR="00A90898" w:rsidRDefault="00A90898" w:rsidP="00A90898">
      <w:pPr>
        <w:pStyle w:val="TtuloBOE"/>
      </w:pPr>
      <w:r>
        <w:t>(BOE núm. 263, de 31 de octubre de 2016)</w:t>
      </w:r>
    </w:p>
    <w:p w:rsidR="00A90898" w:rsidRDefault="00A90898" w:rsidP="00A90898">
      <w:pPr>
        <w:pStyle w:val="TextoNormalCentrado"/>
      </w:pPr>
      <w:r>
        <w:t>ECLI:ES:TC:2016:147</w:t>
      </w:r>
    </w:p>
    <w:p w:rsidR="00A90898" w:rsidRDefault="00A90898" w:rsidP="00A90898">
      <w:pPr>
        <w:pStyle w:val="TextoNormalCentrado"/>
      </w:pPr>
    </w:p>
    <w:p w:rsidR="00A90898" w:rsidRDefault="00A90898" w:rsidP="00A90898">
      <w:pPr>
        <w:pStyle w:val="SntesisDescriptiva"/>
      </w:pPr>
      <w:r>
        <w:t>Recurso de amparo 5750-2014. Promovido por doña Ángela Coello Amores en relación con la Sentencia de la Sala de lo Social del Tribunal Supremo que estimó el recurso de casación para la unificación de doctrina interpuesto por el Ayuntamiento de Parla en proceso por despido.</w:t>
      </w:r>
    </w:p>
    <w:p w:rsidR="00A90898" w:rsidRDefault="00A90898" w:rsidP="00A90898">
      <w:pPr>
        <w:pStyle w:val="SntesisDescriptiva"/>
      </w:pPr>
    </w:p>
    <w:p w:rsidR="00A90898" w:rsidRDefault="00A90898" w:rsidP="00A90898">
      <w:pPr>
        <w:pStyle w:val="SntesisAnaltica"/>
      </w:pPr>
      <w:r>
        <w:t>Vulneración del derecho a la tutela judicial efectiva (derecho al recurso): sentencia de casación que dejó imprejuzgada la alegación fundamental de falta de competencia del órgano administrativo que acordó la amortización, entre otras, de la plaza controvertida.</w:t>
      </w:r>
    </w:p>
    <w:p w:rsidR="00A90898" w:rsidRDefault="00A90898" w:rsidP="00A90898">
      <w:pPr>
        <w:pStyle w:val="SntesisAnaltica"/>
      </w:pPr>
    </w:p>
    <w:p w:rsidR="00A90898" w:rsidRDefault="00A90898" w:rsidP="00A90898">
      <w:pPr>
        <w:pStyle w:val="Extracto"/>
      </w:pPr>
      <w:r>
        <w:t>1.</w:t>
      </w:r>
      <w:r>
        <w:tab/>
        <w:t>La Sentencia de casación que no considera la alegación de falta de competencia del órgano administrativo que acordó la amortización de la plaza controvertida, a pesar de que el tema haya sido objeto de debate a lo largo del proceso, vulnera el derecho a la tutela judicial efectiva, en su vertiente de derecho al recurso, entendido como derecho a una sentencia de fondo que resuelva las pretensiones planteadas por ambas partes [FJ 6].</w:t>
      </w:r>
    </w:p>
    <w:p w:rsidR="00A90898" w:rsidRDefault="00A90898" w:rsidP="00A90898">
      <w:pPr>
        <w:pStyle w:val="Extracto"/>
      </w:pPr>
    </w:p>
    <w:p w:rsidR="00A90898" w:rsidRDefault="00A90898" w:rsidP="00A90898">
      <w:pPr>
        <w:pStyle w:val="Extracto"/>
      </w:pPr>
      <w:r>
        <w:t>2.</w:t>
      </w:r>
      <w:r>
        <w:tab/>
        <w:t>La decisión del Tribunal Supremo de excluir uno de los puntos de la controversia, ya resuelto en instancias anteriores, limitando indebidamente el debate en sede de casación, partió de premisas erróneas: (i) falta de alegación por la recurrente de dicho punto en sus escritos —y vista— de instancia y suplicación; (ii) falta de pronunciamiento en la Sentencia de suplicación al respecto; y (iii) falta de mención por la recurrente en su escrito de impugnación al recurso de casación. La solución excluyente que alcanza la Sala es contraria al canon de resolución jurídicamente fundada (SSTC 214/1999, 183/2011)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5750-2014, promovido por doña Ángela Coello Amores, representada por la Procuradora de los Tribunales doña Carmen Armesto Tinoco y asistida por la Abogada doña Inmaculada Martínez López, contra la Sentencia de la Sala de lo Social del Tribunal Supremo, de 13 de enero de 2014, estimatoria del recurso de casación para la </w:t>
      </w:r>
      <w:r>
        <w:lastRenderedPageBreak/>
        <w:t>unificación de doctrina núm. 430-2013 promovido por el Ayuntamiento de Parla; y contra el Auto de la misma Sala, de 7 de julio de 2014, desestimatorio del incidente de nulidad planteado por la aquí recurrente contra aquella Sentencia. Ha intervenido el Ministerio Fiscal.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24 de septiembre de 2014, la Procuradora de los Tribunales doña Carmen Armesto Tinoco, actuando en nombre de doña Ángela Coello Amores,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el presente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Con fecha 13 de diciembre de 2011 se registró en el Juzgado de lo Social, delegación del Decanato de Madrid, escrito de la recurrente en amparo por la que formuló demanda por “despido nulo o, subsidiariamente improcedente, contra el Ayuntamiento de Parla” (Madrid).</w:t>
      </w:r>
    </w:p>
    <w:p w:rsidR="00A90898" w:rsidRDefault="00A90898" w:rsidP="00A90898">
      <w:pPr>
        <w:pStyle w:val="TextoNormal"/>
      </w:pPr>
    </w:p>
    <w:p w:rsidR="00A90898" w:rsidRDefault="00A90898" w:rsidP="00A90898">
      <w:pPr>
        <w:pStyle w:val="TextoNormal"/>
      </w:pPr>
      <w:r>
        <w:t>Se relata en el apartado de hechos, que la actora prestaba servicios en el mencionado Ayuntamiento desde el 1 de julio de 1991 y que con fecha 27 de octubre de 2011 le fue notificado el decreto del Consejero Delegado del área de personal y régimen interior, por el que se procedía a la extinción de su contrato de trabajo indefinido no fijo, por amortización de la plaza. En sus fundamentos de Derecho la demanda de instancia afirma, entre otras cuestiones, que “respecto de la amortización del puesto, se requiere la modificación no de la Relación de puesto de trabajo sino la necesaria modificación de la plantilla y del presupuesto, lo que no se ha hecho, por lo que se incumple tanto la Ley de bases del Régimen Local, como la Ley Reguladora de las Haciendas Locales. Igualmente no es competente la Junta de Gobierno para la modificación de plantillas en los términos que se ha llevado a cabo, por lo que el órgano administrativo es incompetente”.</w:t>
      </w:r>
    </w:p>
    <w:p w:rsidR="00A90898" w:rsidRDefault="00A90898" w:rsidP="00A90898">
      <w:pPr>
        <w:pStyle w:val="TextoNormal"/>
      </w:pPr>
    </w:p>
    <w:p w:rsidR="00A90898" w:rsidRDefault="00A90898" w:rsidP="00A90898">
      <w:pPr>
        <w:pStyle w:val="TextoNormal"/>
      </w:pPr>
      <w:r>
        <w:t>La demanda suplicaba al Juzgado de lo Social que dictase Sentencia declarando el despido nulo, con condena al Ayuntamiento demandado a readmitir a la demandante en su puesto de trabajo y demás efectos a ello inherente o, subsidiariamente, declarar la improcedencia del despido, en tal caso también con los efectos previstos en la ley.</w:t>
      </w:r>
    </w:p>
    <w:p w:rsidR="00A90898" w:rsidRDefault="00A90898" w:rsidP="00A90898">
      <w:pPr>
        <w:pStyle w:val="TextoNormal"/>
      </w:pPr>
    </w:p>
    <w:p w:rsidR="00A90898" w:rsidRDefault="00A90898" w:rsidP="00A90898">
      <w:pPr>
        <w:pStyle w:val="TextoNormal"/>
      </w:pPr>
      <w:r>
        <w:t>Como medios de prueba se solicitaba, entre otros, la documental consistente en el expediente administrativo sobre extinciones de los contratos de trabajo acordados por el Ayuntamiento; resultando admitida la prueba por Auto de 26 de diciembre de 2011 del Juzgado de lo Social núm. 40 de Madrid, al que correspondió el conocimiento del asunto (procedimiento: despido núm. 1358-2011).</w:t>
      </w:r>
    </w:p>
    <w:p w:rsidR="00A90898" w:rsidRDefault="00A90898" w:rsidP="00A90898">
      <w:pPr>
        <w:pStyle w:val="TextoNormal"/>
      </w:pPr>
    </w:p>
    <w:p w:rsidR="00A90898" w:rsidRDefault="00A90898" w:rsidP="00A90898">
      <w:pPr>
        <w:pStyle w:val="TextoNormal"/>
      </w:pPr>
      <w:r>
        <w:t xml:space="preserve">Dicha documental quedó unida a las actuaciones luego de su remisión por el Ayuntamiento demandado. En concreto, el documento núm. 15 del expediente corresponde al </w:t>
      </w:r>
      <w:r>
        <w:lastRenderedPageBreak/>
        <w:t>acuerdo de la Junta de gobierno local adoptado por mayoría de sus miembros el 20 de octubre de 2011, por el que se aprobó la amortización de los puestos de trabajo que se relacionan en un listado adjunto. En éste aparece un grupo de 47 trabajadores incluidos en la relación de puestos de trabajo (RPT) de la corporación, el último de los cuales es la aquí recurrente en amparo, y otro grupo de 9 trabajadores no incluidos en la RPT.</w:t>
      </w:r>
    </w:p>
    <w:p w:rsidR="00A90898" w:rsidRDefault="00A90898" w:rsidP="00A90898">
      <w:pPr>
        <w:pStyle w:val="TextoNormal"/>
      </w:pPr>
    </w:p>
    <w:p w:rsidR="00A90898" w:rsidRDefault="00A90898" w:rsidP="00A90898">
      <w:pPr>
        <w:pStyle w:val="TextoNormal"/>
      </w:pPr>
      <w:r>
        <w:t>b) El juicio oral se celebró el 17 de abril de 2012, según acta levantada en la misma fecha y que obra en las actuaciones. Reproducido el DVD de grabación, a los efectos que interesa resaltar en este amparo se constata que en el trámite de alegaciones la Abogada de la actora, doña Inmaculada Martínez López, impugnó el acuerdo de amortización de puestos de trabajo ya citado, tanto por no haberse seguido el procedimiento previsto en el art. 51 de la Ley del estatuto de los trabajadores (LET) para despidos colectivos, como por haberse adoptado el acuerdo por la Junta de gobierno y no por el Pleno de la Corporación, que es el órgano competente para aprobar la modificación de la plantilla según las normas que al efecto invoca (hora: 11:43 a 11:46 de la grabación).</w:t>
      </w:r>
    </w:p>
    <w:p w:rsidR="00A90898" w:rsidRDefault="00A90898" w:rsidP="00A90898">
      <w:pPr>
        <w:pStyle w:val="TextoNormal"/>
      </w:pPr>
    </w:p>
    <w:p w:rsidR="00A90898" w:rsidRDefault="00A90898" w:rsidP="00A90898">
      <w:pPr>
        <w:pStyle w:val="TextoNormal"/>
      </w:pPr>
      <w:r>
        <w:t>Por su parte, el abogado del Ayuntamiento de Parla, don Rafael Mateo Alcántara, se opuso a dicha impugnación afirmando que no era necesario seguir el procedimiento indicado, y que la Junta de Gobierno tenía la facultad para acordar la amortización del puesto de trabajo de la actora, de acuerdo con la normativa aplicable a los municipios de gran población (hora: 11:50 a 11:53 de la grabación).</w:t>
      </w:r>
    </w:p>
    <w:p w:rsidR="00A90898" w:rsidRDefault="00A90898" w:rsidP="00A90898">
      <w:pPr>
        <w:pStyle w:val="TextoNormal"/>
      </w:pPr>
    </w:p>
    <w:p w:rsidR="00A90898" w:rsidRDefault="00A90898" w:rsidP="00A90898">
      <w:pPr>
        <w:pStyle w:val="TextoNormal"/>
      </w:pPr>
      <w:r>
        <w:t>c) Con fecha 23 de abril de 2012, el Juzgado de lo Social dictó Sentencia con la siguiente dispositiva:</w:t>
      </w:r>
    </w:p>
    <w:p w:rsidR="00A90898" w:rsidRDefault="00A90898" w:rsidP="00A90898">
      <w:pPr>
        <w:pStyle w:val="TextoNormal"/>
      </w:pPr>
    </w:p>
    <w:p w:rsidR="00A90898" w:rsidRDefault="00A90898" w:rsidP="00A90898">
      <w:pPr>
        <w:pStyle w:val="TextoNormal"/>
      </w:pPr>
      <w:r>
        <w:t>“Que estimando la demanda formulada por Doña Ángela Coello Amores contra el Ayuntamiento de Parla debo declarar y declaro la nulidad de la extinción contractual condenando, en su consecuencia, a la parte demandada a estar y pasar por esta declaración, y a que proceda a la inmediata readmisión de la actora en su puesto de trabajo en las mismas condiciones que regían con anterioridad así como a que le abone los salarios dejados de percibir desde la fecha de su efectividad hasta que, finalmente, la readmisión tenga lugar.”</w:t>
      </w:r>
    </w:p>
    <w:p w:rsidR="00A90898" w:rsidRDefault="00A90898" w:rsidP="00A90898">
      <w:pPr>
        <w:pStyle w:val="TextoNormal"/>
      </w:pPr>
    </w:p>
    <w:p w:rsidR="00A90898" w:rsidRDefault="00A90898" w:rsidP="00A90898">
      <w:pPr>
        <w:pStyle w:val="TextoNormal"/>
      </w:pPr>
      <w:r>
        <w:t>En lo que interesa a este recurso de amparo, la Sentencia declara como hechos probados quinto y noveno los siguientes:</w:t>
      </w:r>
    </w:p>
    <w:p w:rsidR="00A90898" w:rsidRDefault="00A90898" w:rsidP="00A90898">
      <w:pPr>
        <w:pStyle w:val="TextoNormal"/>
      </w:pPr>
    </w:p>
    <w:p w:rsidR="00A90898" w:rsidRDefault="00A90898" w:rsidP="00A90898">
      <w:pPr>
        <w:pStyle w:val="TextoNormal"/>
      </w:pPr>
      <w:r>
        <w:t>“QUINTO: En fecha 20.10.11 tuvo lugar Acuerdo de la Junta de Gobierno en el que se procede a la supresión de los puestos de trabajo de la RPT del Ayuntamiento de Parla que se relacionan en el Decreto emitido por el Consejero Delegado de Área de personal dando cumplimiento a dicho Acuerdo en fecha 27.10.11, entre los que se encuentra el ocupado por la actora con número RPT 386 del grupo C, alegándose al efecto que no es necesario acudir a los procedimientos previstos en los artículos 51 y 53 ET, al haberlo así declarado la doctrina jurisprudencia y resolviéndose al amparo de ello y resolviéndose al amparo de ello la extinción del contrato de la actora y de esos otros trabajadores, 56 en total, 47 incluidos en la RPT y 9 no incluidos. La amortización de los puestos se publicó en el BOCM de 23.11.11. El referido decreto y acuerdo de extinción de su contrato de trabajo se notifica a la actora el 27-10-11.”</w:t>
      </w:r>
    </w:p>
    <w:p w:rsidR="00A90898" w:rsidRDefault="00A90898" w:rsidP="00A90898">
      <w:pPr>
        <w:pStyle w:val="TextoNormal"/>
      </w:pPr>
    </w:p>
    <w:p w:rsidR="00A90898" w:rsidRDefault="00A90898" w:rsidP="00A90898">
      <w:pPr>
        <w:pStyle w:val="TextoNormal"/>
      </w:pPr>
      <w:r>
        <w:lastRenderedPageBreak/>
        <w:t>“NOVENO: En sesión del pleno del Ayuntamiento de fecha 8 de noviembre se acordó por mayoría aprobar la proposición de IU-LV sobre revocación del expediente de regulación de la plantilla municipal desestimando el Acuerdo de la Junta de Gobierno extraordinaria de fecha 20.10.11 que aprobaba el expediente de regulación de personal, dejándolo, en consecuencia sin efecto, y acordando impulsar la puesta en marcha de un plan general de organización municipal.”</w:t>
      </w:r>
    </w:p>
    <w:p w:rsidR="00A90898" w:rsidRDefault="00A90898" w:rsidP="00A90898">
      <w:pPr>
        <w:pStyle w:val="TextoNormal"/>
      </w:pPr>
    </w:p>
    <w:p w:rsidR="00A90898" w:rsidRDefault="00A90898" w:rsidP="00A90898">
      <w:pPr>
        <w:pStyle w:val="TextoNormal"/>
      </w:pPr>
      <w:r>
        <w:t>Ya en el fundamento de Derecho segundo se recogen los motivos de la demanda para impugnar el acuerdo de despido, dándoles respuesta. En cuanto al primero de ellos, el relativo a la falta de competencia de la Junta de gobierno, el Juzgado lo desestima al entender, con base en las normas que cita, que la decisión de cesar a la actora por amortización de su puesto de trabajo sí entraba dentro de las competencias de dicho órgano:</w:t>
      </w:r>
    </w:p>
    <w:p w:rsidR="00A90898" w:rsidRDefault="00A90898" w:rsidP="00A90898">
      <w:pPr>
        <w:pStyle w:val="TextoNormal"/>
      </w:pPr>
    </w:p>
    <w:p w:rsidR="00A90898" w:rsidRDefault="00A90898" w:rsidP="00A90898">
      <w:pPr>
        <w:pStyle w:val="TextoNormal"/>
      </w:pPr>
      <w:r>
        <w:t>“Examinadas las competencias del Pleno y las de la Junta previstas en los arts. 123 y 127 y 99, respectivamente de la Ley de Bases de Régimen Local se ha de concluir que el Acuerdo de cese de la actora por amortización de su puesto de trabajo compete a esta última al corresponderle la aprobación de la relación de puestos de trabajo, la oferta de empleo público, las bases de convocatoria de selección y provisión de puestos de trabajo, el número y régimen del personal eventual, el despido del personal laboral, el régimen disciplinario y demás decisiones en materia de personal no atribuidas expresamente a otro órgano.”</w:t>
      </w:r>
    </w:p>
    <w:p w:rsidR="00A90898" w:rsidRDefault="00A90898" w:rsidP="00A90898">
      <w:pPr>
        <w:pStyle w:val="TextoNormal"/>
      </w:pPr>
    </w:p>
    <w:p w:rsidR="00A90898" w:rsidRDefault="00A90898" w:rsidP="00A90898">
      <w:pPr>
        <w:pStyle w:val="TextoNormal"/>
      </w:pPr>
      <w:r>
        <w:t>Pasa después el Juzgado en el mismo fundamento segundo a enjuiciar el carácter de la relación de prestación de servicios que unía a la actora con el Ayuntamiento, a la cual califica de contrato de trabajo indefinido no fijo. En el fundamento tercero señala los requisitos para el despido de aquélla atendiendo a las disposiciones y jurisprudencia aplicables, concluyendo en el fundamento cuarto que “por todo ello, resultando incumplidos los requisitos previsto[s] en el art. 51 [ET] para la extinción colectiva de contratos procede declarar la nulidad de la decisión extintiva (Art. 124 LRJS)”.</w:t>
      </w:r>
    </w:p>
    <w:p w:rsidR="00A90898" w:rsidRDefault="00A90898" w:rsidP="00A90898">
      <w:pPr>
        <w:pStyle w:val="TextoNormal"/>
      </w:pPr>
    </w:p>
    <w:p w:rsidR="00A90898" w:rsidRDefault="00A90898" w:rsidP="00A90898">
      <w:pPr>
        <w:pStyle w:val="TextoNormal"/>
      </w:pPr>
      <w:r>
        <w:t>d) El 12 de junio de 2012, el abogado del Ayuntamiento de Parla, actuando en nombre y representación de este último, formalizó escrito de interposición de recurso de suplicación contra la anterior Sentencia. El recurso se dirige a atacar los pronunciamientos referidos a la naturaleza del contrato laboral de la actora y al procedimiento necesario para su despido, si bien puntualiza en uno de los párrafos del motivo primero, que “la Junta de Gobierno local, que ostenta según el art. 126 de la LBRL las funciones ejecutivas como municipio de gran población, acuerda la amortización de puesto de trabajo, adoptándose el acuerdo con los informes previos y tramitación pertinente con intervención de los sindicatos, todo ello según consta en el expediente administrativo”.</w:t>
      </w:r>
    </w:p>
    <w:p w:rsidR="00A90898" w:rsidRDefault="00A90898" w:rsidP="00A90898">
      <w:pPr>
        <w:pStyle w:val="TextoNormal"/>
      </w:pPr>
    </w:p>
    <w:p w:rsidR="00A90898" w:rsidRDefault="00A90898" w:rsidP="00A90898">
      <w:pPr>
        <w:pStyle w:val="TextoNormal"/>
      </w:pPr>
      <w:r>
        <w:t>e) Admitido a trámite el recurso por la Sección Segunda de la Sala de lo Social del Tribunal Superior de Justicia de Madrid (recurso de suplicación núm. 5767-2012), se le dio traslado a la actora en la instancia, ahora parte recurrida, quien a través su letrada presentó el 20 de julio de 2012, escrito de impugnación del recurso de suplicación.</w:t>
      </w:r>
    </w:p>
    <w:p w:rsidR="00A90898" w:rsidRDefault="00A90898" w:rsidP="00A90898">
      <w:pPr>
        <w:pStyle w:val="TextoNormal"/>
      </w:pPr>
    </w:p>
    <w:p w:rsidR="00A90898" w:rsidRDefault="00A90898" w:rsidP="00A90898">
      <w:pPr>
        <w:pStyle w:val="TextoNormal"/>
      </w:pPr>
      <w:r>
        <w:t xml:space="preserve">En congruencia con lo planteado por la contraria, este último se dedicó a defender la conformidad a Derecho de los razonamientos de la Sentencia del Juzgado </w:t>
      </w:r>
      <w:r w:rsidRPr="00A90898">
        <w:rPr>
          <w:i/>
        </w:rPr>
        <w:t>a quo</w:t>
      </w:r>
      <w:r>
        <w:t xml:space="preserve"> que habían sido cuestionados. No obstante y además de esto, en el primer motivo de su escrito alegó que “el Acuerdo de la Junta de Gobierno, y el posterior Decreto del Concejal competente, </w:t>
      </w:r>
      <w:r>
        <w:lastRenderedPageBreak/>
        <w:t>vulneran expresamente las normas administrativas y las laborales … Los actos administrativos deben respetar los preceptos de otras normas de rango superior (artículo 51 de la Ley 30/1992 de 26 de noviembre), deben producirse por el órgano competente ajustándose al procedimiento establecido”.</w:t>
      </w:r>
    </w:p>
    <w:p w:rsidR="00A90898" w:rsidRDefault="00A90898" w:rsidP="00A90898">
      <w:pPr>
        <w:pStyle w:val="TextoNormal"/>
      </w:pPr>
    </w:p>
    <w:p w:rsidR="00A90898" w:rsidRDefault="00A90898" w:rsidP="00A90898">
      <w:pPr>
        <w:pStyle w:val="TextoNormal"/>
      </w:pPr>
      <w:r>
        <w:t>f) La Sección competente del Tribunal Superior de Justicia de Madrid dictó Sentencia el 23 de enero de 2013, con la siguiente dispositiva:</w:t>
      </w:r>
    </w:p>
    <w:p w:rsidR="00A90898" w:rsidRDefault="00A90898" w:rsidP="00A90898">
      <w:pPr>
        <w:pStyle w:val="TextoNormal"/>
      </w:pPr>
    </w:p>
    <w:p w:rsidR="00A90898" w:rsidRDefault="00A90898" w:rsidP="00A90898">
      <w:pPr>
        <w:pStyle w:val="TextoNormal"/>
      </w:pPr>
      <w:r>
        <w:t>“Fallamos: Que desestimando el recurso de suplicación formulado por el Ayuntamiento de Parla contra la sentencia núm. 142/12 de fecha 23 de abril de 2012 dictada por el Juzgado de lo Social núm. 40, debemos confirmar y confirmamos la citada resolución. Se condena a la parte recurrente a las costas por importe de 400 euros.”</w:t>
      </w:r>
    </w:p>
    <w:p w:rsidR="00A90898" w:rsidRDefault="00A90898" w:rsidP="00A90898">
      <w:pPr>
        <w:pStyle w:val="TextoNormal"/>
      </w:pPr>
    </w:p>
    <w:p w:rsidR="00A90898" w:rsidRDefault="00A90898" w:rsidP="00A90898">
      <w:pPr>
        <w:pStyle w:val="TextoNormal"/>
      </w:pPr>
      <w:r>
        <w:t>La Sala, en su fundamento de Derecho primero, afirma que ha de resolver el recurso aplicando la solución dada a “idéntica cuestión” en sus Sentencias de 29 de octubre y 2 de noviembre de 2012, transcribiendo al efecto gran parte de la fundamentación contenida en la última de ellas, la cual se ocupa sobre todo de dilucidar la naturaleza del vínculo laboral que une a los ahí recurrentes con el Ayuntamiento de Parla (trabajadores indefinidos no fijos) y la consecuencia de serles de obligada aplicación las formalidades previstas en el art. 51 LET, en caso de despido colectivo.</w:t>
      </w:r>
    </w:p>
    <w:p w:rsidR="00A90898" w:rsidRDefault="00A90898" w:rsidP="00A90898">
      <w:pPr>
        <w:pStyle w:val="TextoNormal"/>
      </w:pPr>
    </w:p>
    <w:p w:rsidR="00A90898" w:rsidRDefault="00A90898" w:rsidP="00A90898">
      <w:pPr>
        <w:pStyle w:val="TextoNormal"/>
      </w:pPr>
      <w:r>
        <w:t>Con todo, el fundamento décimo de la Sentencia reproducida que, por ende, hace suya la Sala para resolver el presente recurso de suplicación, se refiere también a la nulidad del despido por haberse acordado por órgano administrativo incompetente:</w:t>
      </w:r>
    </w:p>
    <w:p w:rsidR="00A90898" w:rsidRDefault="00A90898" w:rsidP="00A90898">
      <w:pPr>
        <w:pStyle w:val="TextoNormal"/>
      </w:pPr>
    </w:p>
    <w:p w:rsidR="00A90898" w:rsidRDefault="00A90898" w:rsidP="00A90898">
      <w:pPr>
        <w:pStyle w:val="TextoNormal"/>
      </w:pPr>
      <w:r>
        <w:t>“A mayor abundamiento, y si como se desprende del hecho probado sexto de la sentencia de instancia, el acuerdo de extinción del contrato del actor y resto de trabajadores afectados fue dejado sin efecto por el Pleno del Ayuntamiento, órgano competente y superior a la Junta de Gobierno que lo adoptó, mal cabe justificar un cese por amortización que acertadamente ha sido calificado como nulo al eludirse las normas establecidas por los despidos colectivos, en los casos a que se refiere el último párrafo del art. 51.1 del Texto Refundido de la Ley del Estatuto de los Trabajadores, tal como disponía el artículo 220.1 b) de la LPL entonces vigente.”</w:t>
      </w:r>
    </w:p>
    <w:p w:rsidR="00A90898" w:rsidRDefault="00A90898" w:rsidP="00A90898">
      <w:pPr>
        <w:pStyle w:val="TextoNormal"/>
      </w:pPr>
    </w:p>
    <w:p w:rsidR="00A90898" w:rsidRDefault="00A90898" w:rsidP="00A90898">
      <w:pPr>
        <w:pStyle w:val="TextoNormal"/>
      </w:pPr>
      <w:r>
        <w:t>Con arreglo a lo expuesto, la Sala concluye en el fundamento segundo de su Sentencia de 23 de enero de 2013, que “evidentes razones de seguridad jurídica y coherencia obligan a estar al anterior criterio, debiendo el recurso ser desestimado confirmándose la sentencia de instancia”.</w:t>
      </w:r>
    </w:p>
    <w:p w:rsidR="00A90898" w:rsidRDefault="00A90898" w:rsidP="00A90898">
      <w:pPr>
        <w:pStyle w:val="TextoNormal"/>
      </w:pPr>
    </w:p>
    <w:p w:rsidR="00A90898" w:rsidRDefault="00A90898" w:rsidP="00A90898">
      <w:pPr>
        <w:pStyle w:val="TextoNormal"/>
      </w:pPr>
      <w:r>
        <w:t xml:space="preserve">g) El Ayuntamiento de Parla interpuso recurso de casación para la unificación de doctrina. En el escrito, presentado el 12 de febrero de 2013, se alegan como puntos de contradicción los relativos: “1. A la equiparación entre contratos indefinidos no fijos y de interinidad por vacante efectuada por la jurisprudencia y 2. A la posibilidad de que dichos contratos pueden resolverse sin necesidad de acudir al procedimiento establecido para los despidos objetivos. Estas dos cuestiones han sido resueltas en sentido distinto por la sentencia de contraste invocada en el escrito de preparación del recurso y por la sentencia recurrida”. El análisis subsiguiente del escrito versa exclusivamente sobre esta disparidad de criterios, ofreciendo como sentencia de contraste una dictada por la Sala de lo Social del Tribunal </w:t>
      </w:r>
      <w:r>
        <w:lastRenderedPageBreak/>
        <w:t>Superior de Justicia de Cataluña el 24 de mayo de 2005, a propósito de un acuerdo de amortización de plazas del Ayuntamiento de Martorell.</w:t>
      </w:r>
    </w:p>
    <w:p w:rsidR="00A90898" w:rsidRDefault="00A90898" w:rsidP="00A90898">
      <w:pPr>
        <w:pStyle w:val="TextoNormal"/>
      </w:pPr>
    </w:p>
    <w:p w:rsidR="00A90898" w:rsidRDefault="00A90898" w:rsidP="00A90898">
      <w:pPr>
        <w:pStyle w:val="TextoNormal"/>
      </w:pPr>
      <w:r>
        <w:t>La Secretaría de Justicia de la Sala de lo Social del Tribunal Supremo, dictó diligencia de ordenación el 5 de marzo de 2013 por la que acordó formar rollo de Sala, procedente del órgano de instancia; teniendo por personados al Ayuntamiento de Parla y a la aquí recurrente en amparo como partes; y acordó iniciar los trámites sobre instrucción y admisibilidad del recurso.</w:t>
      </w:r>
    </w:p>
    <w:p w:rsidR="00A90898" w:rsidRDefault="00A90898" w:rsidP="00A90898">
      <w:pPr>
        <w:pStyle w:val="TextoNormal"/>
      </w:pPr>
    </w:p>
    <w:p w:rsidR="00A90898" w:rsidRDefault="00A90898" w:rsidP="00A90898">
      <w:pPr>
        <w:pStyle w:val="TextoNormal"/>
      </w:pPr>
      <w:r>
        <w:t>h) La Sala de lo Social del Tribunal Supremo dictó providencia el 9 de julio de 2013, admitiendo a trámite el recurso (núm. 430-2013).</w:t>
      </w:r>
    </w:p>
    <w:p w:rsidR="00A90898" w:rsidRDefault="00A90898" w:rsidP="00A90898">
      <w:pPr>
        <w:pStyle w:val="TextoNormal"/>
      </w:pPr>
    </w:p>
    <w:p w:rsidR="00A90898" w:rsidRDefault="00A90898" w:rsidP="00A90898">
      <w:pPr>
        <w:pStyle w:val="TextoNormal"/>
      </w:pPr>
      <w:r>
        <w:t>Mediante diligencia de ordenación de la Secretaría de Justicia de dicha Sala, el propio 9 de julio de 2013, se ordenó dar traslado del escrito de interposición del recurso de casación a la aquí demandante de amparo, para que pudiese formalizar su impugnación al mismo en el plazo de 15 días.</w:t>
      </w:r>
    </w:p>
    <w:p w:rsidR="00A90898" w:rsidRDefault="00A90898" w:rsidP="00A90898">
      <w:pPr>
        <w:pStyle w:val="TextoNormal"/>
      </w:pPr>
    </w:p>
    <w:p w:rsidR="00A90898" w:rsidRDefault="00A90898" w:rsidP="00A90898">
      <w:pPr>
        <w:pStyle w:val="TextoNormal"/>
      </w:pPr>
      <w:r>
        <w:t>i) En su respuesta, la representación procesal de la recurrente en amparo presentó escrito el 24 de septiembre de 2013, impugnando el recurso de casación interpuesto. En el antecedente tercero, el escrito pone de manifiesto que la Sentencia de suplicación había establecido que “[l]a decisión de suprimir 56 contratos de trabajo … no puede quedar comprendida en las competencias relativas a la Junta de Gobierno … solo al Pleno”.</w:t>
      </w:r>
    </w:p>
    <w:p w:rsidR="00A90898" w:rsidRDefault="00A90898" w:rsidP="00A90898">
      <w:pPr>
        <w:pStyle w:val="TextoNormal"/>
      </w:pPr>
    </w:p>
    <w:p w:rsidR="00A90898" w:rsidRDefault="00A90898" w:rsidP="00A90898">
      <w:pPr>
        <w:pStyle w:val="TextoNormal"/>
      </w:pPr>
      <w:r>
        <w:t>Más adelante, en el análisis jurídico de fondo, entre otras argumentaciones el escrito niega que la Junta de gobierno hubiera seguido las normas por las que debía regirse el despido colectivo de trabajadores del consistorio, diciendo entre otras cosas, que “el Acuerdo de la Junta de Gobierno, y el posterior Decreto del Concejal competente, vulneran expresamente las normas administrativas y las laborales … Si una administración pública decide amortizar un puesto de trabajo de la RPT y ello conlleva la extinción del contrato del trabajador que la ocupaba, tal decisión debe estar justificada y debe adoptarse por los procedimientos establecidos en el ordenamiento laboral de aplicación. Los actos administrativos deben respetar los preceptos de otras normas de rango superior (artículo 51 de la Ley 30/1992 de 26 de noviembre), deben producirse por el órgano competente ciñéndose al procedimiento establecido, se ajustará a lo dispuesto por el ordenamiento jurídico y será determinado y adecuado a los fines de aquéllos”.</w:t>
      </w:r>
    </w:p>
    <w:p w:rsidR="00A90898" w:rsidRDefault="00A90898" w:rsidP="00A90898">
      <w:pPr>
        <w:pStyle w:val="TextoNormal"/>
      </w:pPr>
    </w:p>
    <w:p w:rsidR="00A90898" w:rsidRDefault="00A90898" w:rsidP="00A90898">
      <w:pPr>
        <w:pStyle w:val="TextoNormal"/>
      </w:pPr>
      <w:r>
        <w:t>j) La Sala de lo Social del Alto Tribunal resolvió el recurso mediante Sentencia de 13 de enero de 2014, con la siguiente dispositiva:</w:t>
      </w:r>
    </w:p>
    <w:p w:rsidR="00A90898" w:rsidRDefault="00A90898" w:rsidP="00A90898">
      <w:pPr>
        <w:pStyle w:val="TextoNormal"/>
      </w:pPr>
    </w:p>
    <w:p w:rsidR="00A90898" w:rsidRDefault="00A90898" w:rsidP="00A90898">
      <w:pPr>
        <w:pStyle w:val="TextoNormal"/>
      </w:pPr>
      <w:r>
        <w:t xml:space="preserve">“Estimamos el recurso de casación para la unificación de doctrina interpuesto por el Ayuntamiento de Parla frente a la sentencia dictada el 23 de enero de 2.013 por la Sala de lo Social del Tribunal Superior de Justicia de Madrid, en recurso de suplicación número 5767-2012. Casamos y anulamos la sentencia recurrida y, resolviendo el debate suscitado en suplicación, estimamos el recurso de tal clase interpuesto por el Ayuntamiento demandado, desestimando la demanda y declarando la procedencia de la extinción contractual del demandante efectuada por dicho empleador en fecha 27 de octubre de 2011, con derecho a recibir a cargo del Ayuntamiento una indemnización de cuantía de ocho días de salario por </w:t>
      </w:r>
      <w:r>
        <w:lastRenderedPageBreak/>
        <w:t>año trabajado, a cuyo abono se le condena, y se entenderá al actor en situación de desempleo por causa a él no imputable. Sin imposición de costas en ambos recursos.”</w:t>
      </w:r>
    </w:p>
    <w:p w:rsidR="00A90898" w:rsidRDefault="00A90898" w:rsidP="00A90898">
      <w:pPr>
        <w:pStyle w:val="TextoNormal"/>
      </w:pPr>
    </w:p>
    <w:p w:rsidR="00A90898" w:rsidRDefault="00A90898" w:rsidP="00A90898">
      <w:pPr>
        <w:pStyle w:val="TextoNormal"/>
      </w:pPr>
      <w:r>
        <w:t>Para alcanzar esta decisión, la Sala efectúa en sus fundamentos de Derecho primero y segundo una delimitación previa del objeto del debate, aclarando que nos encontramos ante un asunto que ya ha sido resuelto por ella anteriormente en otros recursos de casación afectantes a compañeros de la recurrente despedidos por el mismo acuerdo de la Junta de gobierno del Ayuntamiento de Parla; pero con la diferencia, observa, de que en el actual recurso no se ha planteado el problema de la falta de competencia del órgano administrativo para la adopción del acuerdo, por lo no procede entrar en consideración de fondo alguna al respecto:</w:t>
      </w:r>
    </w:p>
    <w:p w:rsidR="00A90898" w:rsidRDefault="00A90898" w:rsidP="00A90898">
      <w:pPr>
        <w:pStyle w:val="TextoNormal"/>
      </w:pPr>
    </w:p>
    <w:p w:rsidR="00A90898" w:rsidRDefault="00A90898" w:rsidP="00A90898">
      <w:pPr>
        <w:pStyle w:val="TextoNormal"/>
      </w:pPr>
      <w:r>
        <w:t>“PRIMERO.- La cuestión que se plantea en el presente recurso de casación para la unificación de doctrina consiste únicamente en determinar los requisitos laboralmente exigibles para proceder a la amortización puestos de trabajo desempeñados por trabajadores indefinidos no fijos al servicio de la Administración pública municipal empleadora y las consecuencias que de ellos se deriven, partiendo de la existencia de un acuerdo administrativo de amortización de plazas, formalmente válido.</w:t>
      </w:r>
    </w:p>
    <w:p w:rsidR="00A90898" w:rsidRDefault="00A90898" w:rsidP="00A90898">
      <w:pPr>
        <w:pStyle w:val="TextoNormal"/>
      </w:pPr>
    </w:p>
    <w:p w:rsidR="00A90898" w:rsidRDefault="00A90898" w:rsidP="00A90898">
      <w:pPr>
        <w:pStyle w:val="TextoNormal"/>
      </w:pPr>
      <w:r>
        <w:t>En este supuesto, y a diferencia de otros casos conocidos per la Sala con motivo de recursos interpuestos por el Ayuntamiento demandado en despidos de otros trabajadores indefinidos no fijos, no se ha debatido en la sentencia de instancia ni en la de suplicación impugnada el problema jurídico referido a la competencia del órgano administrativo que debió adoptar la decisión extintiva plural de los contratos de trabajo, si debió ser la Junta de Gobierno Local o el Pleno del Ayuntamiento.</w:t>
      </w:r>
    </w:p>
    <w:p w:rsidR="00A90898" w:rsidRDefault="00A90898" w:rsidP="00A90898">
      <w:pPr>
        <w:pStyle w:val="TextoNormal"/>
      </w:pPr>
    </w:p>
    <w:p w:rsidR="00A90898" w:rsidRDefault="00A90898" w:rsidP="00A90898">
      <w:pPr>
        <w:pStyle w:val="TextoNormal"/>
      </w:pPr>
      <w:r>
        <w:t>La sentencia de instancia, dictada por el Juzgado de lo Social núm. 40 de los de Madrid, sin que, como se ha dicho, las partes se cuestionaran en ningún momento la validez formal del acuerdo de amortización efectuado por la Junta de Gobierno Local, estimó la demanda de despido formulada per la trabajadora demandante, que prestaba servicios por contrato de trabajo indefinido no fijo hasta la fecha de su despido, realizado el 27 de octubre de 2011, por entender que era necesario acudir a los procedimientos previstos en los articulas 51 y 52 del Estatuto de los Trabajadores para extinguir ese contrato de trabajo, al superarse los umbrales previstos en el primero de tales preceptos en razón del número de ceses acordados.</w:t>
      </w:r>
    </w:p>
    <w:p w:rsidR="00A90898" w:rsidRDefault="00A90898" w:rsidP="00A90898">
      <w:pPr>
        <w:pStyle w:val="TextoNormal"/>
      </w:pPr>
    </w:p>
    <w:p w:rsidR="00A90898" w:rsidRDefault="00A90898" w:rsidP="00A90898">
      <w:pPr>
        <w:pStyle w:val="TextoNormal"/>
      </w:pPr>
      <w:r>
        <w:t>La decisión de instancia fue recurrida en suplicación por el Ayuntamiento demandado, dictándose por la Sala de lo Social del Tribunal Superior de Justicia de Madrid la sentencia de fecha 23 de enero de 2.013, que ahora recurre el demandado en casación para la unificación de doctrina, en la que se desestima el recurso, asumiendo los razonamientos de una sentencia anterior de la propia sala de Madrid, para confirmar la decisión de instancia.</w:t>
      </w:r>
    </w:p>
    <w:p w:rsidR="00A90898" w:rsidRDefault="00A90898" w:rsidP="00A90898">
      <w:pPr>
        <w:pStyle w:val="TextoNormal"/>
      </w:pPr>
    </w:p>
    <w:p w:rsidR="00A90898" w:rsidRDefault="00A90898" w:rsidP="00A90898">
      <w:pPr>
        <w:pStyle w:val="TextoNormal"/>
      </w:pPr>
      <w:r>
        <w:t xml:space="preserve">SEGUNDO.- El recurso de casación para la unificación de doctrina lo plantea ahora en este caso el Ayuntamiento demandado -la diferencia de otros recursos por ceses acordados en las mismas circunstancias- sobre un único motivo de casación, invocando como vía procesal para ello de manera inadecuada por errónea el artículo 193.c) de la Ley Reguladora de la Jurisdicción Social (LRJS), relativo al recurso de suplicación, lo cual habrá que entenderse referido al art. 224.1 y 2 en relación con el art. 207 c) LRJS, en que se recoge la </w:t>
      </w:r>
      <w:r>
        <w:lastRenderedPageBreak/>
        <w:t>infracción de las normas del ordenamiento jurídico o de la jurisprudencia que fueren aplicables para resolver las cuestiones objeto de debate.”</w:t>
      </w:r>
    </w:p>
    <w:p w:rsidR="00A90898" w:rsidRDefault="00A90898" w:rsidP="00A90898">
      <w:pPr>
        <w:pStyle w:val="TextoNormal"/>
      </w:pPr>
    </w:p>
    <w:p w:rsidR="00A90898" w:rsidRDefault="00A90898" w:rsidP="00A90898">
      <w:pPr>
        <w:pStyle w:val="TextoNormal"/>
      </w:pPr>
      <w:r>
        <w:t>Sobre esta base, precisa la Sentencia en el fundamento de Derecho tercero que la infracción que articula el Ayuntamiento recurrente como motivo para acudir a la casación unificadora en este caso, es solamente el de la adecuación del despido colectivo por los trámites del procedimiento del art. 51 LET. Y partiendo de esta base, dice la Sala:</w:t>
      </w:r>
    </w:p>
    <w:p w:rsidR="00A90898" w:rsidRDefault="00A90898" w:rsidP="00A90898">
      <w:pPr>
        <w:pStyle w:val="TextoNormal"/>
      </w:pPr>
    </w:p>
    <w:p w:rsidR="00A90898" w:rsidRDefault="00A90898" w:rsidP="00A90898">
      <w:pPr>
        <w:pStyle w:val="TextoNormal"/>
      </w:pPr>
      <w:r>
        <w:t>“La cuestión que así se nos plantea ha sido resuelta en la STS de 22 de julio de 2013, dictada por el Pleno de esta Sala en el rcud 1380-2012 en lo que se refiere a la posibilidad de amortización de las plazas los trabajadores de las Administraciones con contratos de Indefinidos no fijos, y en relación con el propio Ayuntamiento de Parla, en supuestos idénticos, en nuestras SS.TS de 14-10-2013 (rcud 681-2013), 15-10•2013 (rcud 383-2013) y 23-10-2013 (rcud 408-2013 y 804-2013).</w:t>
      </w:r>
    </w:p>
    <w:p w:rsidR="00A90898" w:rsidRDefault="00A90898" w:rsidP="00A90898">
      <w:pPr>
        <w:pStyle w:val="TextoNormal"/>
      </w:pPr>
    </w:p>
    <w:p w:rsidR="00A90898" w:rsidRDefault="00A90898" w:rsidP="00A90898">
      <w:pPr>
        <w:pStyle w:val="TextoNormal"/>
      </w:pPr>
      <w:r>
        <w:t>En esas sentencias se sigue la doctrina contenida en la primera de ellas en la que se he reconocido que las Administraciones públicas pueden amortizar los puestos de trabajo ocupados por trabajadores indefinidos no fijos sin necesidad de acudir a la vía extintiva prevista en los arts. 51 o 52 ET y, por consiguiente, sin derecho a la indemnización prevista en tales preceptos.”</w:t>
      </w:r>
    </w:p>
    <w:p w:rsidR="00A90898" w:rsidRDefault="00A90898" w:rsidP="00A90898">
      <w:pPr>
        <w:pStyle w:val="TextoNormal"/>
      </w:pPr>
    </w:p>
    <w:p w:rsidR="00A90898" w:rsidRDefault="00A90898" w:rsidP="00A90898">
      <w:pPr>
        <w:pStyle w:val="TextoNormal"/>
      </w:pPr>
      <w:r>
        <w:t>Luego de reproducir los razonamientos contenidos en la jurisprudencia que refiere, la Sentencia aquí recurrida resuelve en el fundamento cuarto el derecho de la recurrente a la indemnización por su despido, declarada “la procedencia de la decisión extintiva empresarial”. Concluye la Sala en el fundamento de Derecho quinto, con la deducción de los efectos de la estimación del recurso, que luego traslada al fallo cuyos términos arriba se han reproducido.</w:t>
      </w:r>
    </w:p>
    <w:p w:rsidR="00A90898" w:rsidRDefault="00A90898" w:rsidP="00A90898">
      <w:pPr>
        <w:pStyle w:val="TextoNormal"/>
      </w:pPr>
    </w:p>
    <w:p w:rsidR="00A90898" w:rsidRDefault="00A90898" w:rsidP="00A90898">
      <w:pPr>
        <w:pStyle w:val="TextoNormal"/>
      </w:pPr>
      <w:r>
        <w:t>k) Frente a la Sentencia dictada por la Sala de lo Social del Tribunal Supremo, por escrito presentado el 6 de marzo de 2014 la representación procesal de la aquí demandante de amparo, interpuso incidente de nulidad de actuaciones (art. 241 de la Ley Orgánica del Poder Judicial: LOPJ). En el bloque de los antecedentes, apartado VII, se señala la existencia de otras Sentencias anteriores a la impugnada, en las que la Sala ha “analizado los despidos realizados por el Ayuntamiento de Parla con fundamento en el Acuerdo de modificación de la RPT y de amortización de puestos de trabajo adoptado por la Junta de Gobierno de dicho Ayuntamiento”. Los asuntos que cita son:</w:t>
      </w:r>
    </w:p>
    <w:p w:rsidR="00A90898" w:rsidRDefault="00A90898" w:rsidP="00A90898">
      <w:pPr>
        <w:pStyle w:val="TextoNormal"/>
      </w:pPr>
    </w:p>
    <w:p w:rsidR="00A90898" w:rsidRDefault="00A90898" w:rsidP="00A90898">
      <w:pPr>
        <w:pStyle w:val="TextoNormal"/>
      </w:pPr>
      <w:r>
        <w:t>- “Sentencia dictada en R.C.U.D. núm. 3287-2012, el día 14/10/13. Ponente Excmo. Sr. Fernando Salinas Molina”.</w:t>
      </w:r>
    </w:p>
    <w:p w:rsidR="00A90898" w:rsidRDefault="00A90898" w:rsidP="00A90898">
      <w:pPr>
        <w:pStyle w:val="TextoNormal"/>
      </w:pPr>
    </w:p>
    <w:p w:rsidR="00A90898" w:rsidRDefault="00A90898" w:rsidP="00A90898">
      <w:pPr>
        <w:pStyle w:val="TextoNormal"/>
      </w:pPr>
      <w:r>
        <w:t>- “Sentencia dictada en R.C.U.D. núm. 3290-2012, el día 14/10/13. Ponente Excma. Sra. Milagros Calvo Ibarlucea”.</w:t>
      </w:r>
    </w:p>
    <w:p w:rsidR="00A90898" w:rsidRDefault="00A90898" w:rsidP="00A90898">
      <w:pPr>
        <w:pStyle w:val="TextoNormal"/>
      </w:pPr>
    </w:p>
    <w:p w:rsidR="00A90898" w:rsidRDefault="00A90898" w:rsidP="00A90898">
      <w:pPr>
        <w:pStyle w:val="TextoNormal"/>
      </w:pPr>
      <w:r>
        <w:t>- “Sentencia dictada en R.C.U.D. núm. 3291-2012, el día 22/10/13. Ponente Excmo. Sr. Miguel A. Luelmo Millán”.</w:t>
      </w:r>
    </w:p>
    <w:p w:rsidR="00A90898" w:rsidRDefault="00A90898" w:rsidP="00A90898">
      <w:pPr>
        <w:pStyle w:val="TextoNormal"/>
      </w:pPr>
    </w:p>
    <w:p w:rsidR="00A90898" w:rsidRDefault="00A90898" w:rsidP="00A90898">
      <w:pPr>
        <w:pStyle w:val="TextoNormal"/>
      </w:pPr>
      <w:r>
        <w:t>- “Sentencia dictada en R.C.U.D. núm. 390-2013, el día 16/01/14 Ponente Excmo. Sr. Jesús Gullón Rodríguez”.</w:t>
      </w:r>
    </w:p>
    <w:p w:rsidR="00A90898" w:rsidRDefault="00A90898" w:rsidP="00A90898">
      <w:pPr>
        <w:pStyle w:val="TextoNormal"/>
      </w:pPr>
    </w:p>
    <w:p w:rsidR="00A90898" w:rsidRDefault="00A90898" w:rsidP="00A90898">
      <w:pPr>
        <w:pStyle w:val="TextoNormal"/>
      </w:pPr>
      <w:r>
        <w:t>(Conforme al número del recurso, se corresponde en realidad con la dictada por la Sala en la fecha que se indica, siendo Ponente la Excma. Sra. María Lourdes Arastey Sahun).</w:t>
      </w:r>
    </w:p>
    <w:p w:rsidR="00A90898" w:rsidRDefault="00A90898" w:rsidP="00A90898">
      <w:pPr>
        <w:pStyle w:val="TextoNormal"/>
      </w:pPr>
    </w:p>
    <w:p w:rsidR="00A90898" w:rsidRDefault="00A90898" w:rsidP="00A90898">
      <w:pPr>
        <w:pStyle w:val="TextoNormal"/>
      </w:pPr>
      <w:r>
        <w:t>- “Sentencia dictada en R.C.U.D. núm. 845-2013, el día 03/02/2013. Ponente Excmo. Sr. Fernando Salinas Molina”.</w:t>
      </w:r>
    </w:p>
    <w:p w:rsidR="00A90898" w:rsidRDefault="00A90898" w:rsidP="00A90898">
      <w:pPr>
        <w:pStyle w:val="TextoNormal"/>
      </w:pPr>
    </w:p>
    <w:p w:rsidR="00A90898" w:rsidRDefault="00A90898" w:rsidP="00A90898">
      <w:pPr>
        <w:pStyle w:val="TextoNormal"/>
      </w:pPr>
      <w:r>
        <w:t>(Conforme al número del recurso, se corresponde en realidad con la dictada por la Sala el 3 de febrero de 2014, Ponente Excmo. Sr. Miguel Ángel Luelmo Millán).</w:t>
      </w:r>
    </w:p>
    <w:p w:rsidR="00A90898" w:rsidRDefault="00A90898" w:rsidP="00A90898">
      <w:pPr>
        <w:pStyle w:val="TextoNormal"/>
      </w:pPr>
    </w:p>
    <w:p w:rsidR="00A90898" w:rsidRDefault="00A90898" w:rsidP="00A90898">
      <w:pPr>
        <w:pStyle w:val="TextoNormal"/>
      </w:pPr>
      <w:r>
        <w:t>- “Sentencia dictada en R.C.U.D. núm. 911-2013, el día 23/12/13. Ponente Excma. Sra. Mª Lourdes Arastey Sahún”.</w:t>
      </w:r>
    </w:p>
    <w:p w:rsidR="00A90898" w:rsidRDefault="00A90898" w:rsidP="00A90898">
      <w:pPr>
        <w:pStyle w:val="TextoNormal"/>
      </w:pPr>
    </w:p>
    <w:p w:rsidR="00A90898" w:rsidRDefault="00A90898" w:rsidP="00A90898">
      <w:pPr>
        <w:pStyle w:val="TextoNormal"/>
      </w:pPr>
      <w:r>
        <w:t>- “Sentencia dictada en R.C.UD. núm. 1118-2013, el día 23/12/13. Ponente Excmo. Sr. Rosa Mª Virolés Piñol”.</w:t>
      </w:r>
    </w:p>
    <w:p w:rsidR="00A90898" w:rsidRDefault="00A90898" w:rsidP="00A90898">
      <w:pPr>
        <w:pStyle w:val="TextoNormal"/>
      </w:pPr>
    </w:p>
    <w:p w:rsidR="00A90898" w:rsidRDefault="00A90898" w:rsidP="00A90898">
      <w:pPr>
        <w:pStyle w:val="TextoNormal"/>
      </w:pPr>
      <w:r>
        <w:t>(El número del recurso no guarda correspondencia con la serie que se alega. Sí la tiene el recurso núm. 118-2013, resuelto por la Sala en Sentencia de 18 de diciembre de 2013, con la misma Excma. Sra. Magistrada Ponente que se indica).</w:t>
      </w:r>
    </w:p>
    <w:p w:rsidR="00A90898" w:rsidRDefault="00A90898" w:rsidP="00A90898">
      <w:pPr>
        <w:pStyle w:val="TextoNormal"/>
      </w:pPr>
    </w:p>
    <w:p w:rsidR="00A90898" w:rsidRDefault="00A90898" w:rsidP="00A90898">
      <w:pPr>
        <w:pStyle w:val="TextoNormal"/>
      </w:pPr>
      <w:r>
        <w:t>Precisa así el escrito, que en tales Sentencias: “ese Tribunal ha desestimado el recurso promovido por el Ayuntamiento recurrente, al quedar firme que el acto de amortización de puestos de trabajo llevado a cabo por la Junta de Gobierno de la corporación no era válido y ha sido dejado sin efecto. Circunstancia esta que es, por tanto, notoria y sobradamente conocida por la Sala que ha dictado la presente Resolución”.</w:t>
      </w:r>
    </w:p>
    <w:p w:rsidR="00A90898" w:rsidRDefault="00A90898" w:rsidP="00A90898">
      <w:pPr>
        <w:pStyle w:val="TextoNormal"/>
      </w:pPr>
    </w:p>
    <w:p w:rsidR="00A90898" w:rsidRDefault="00A90898" w:rsidP="00A90898">
      <w:pPr>
        <w:pStyle w:val="TextoNormal"/>
      </w:pPr>
      <w:r>
        <w:t>Ya en el bloque de fundamentos jurídicos, el escrito alega en síntesis tres vulneraciones constitucionales: (i) la del derecho a la tutela judicial efectiva, art. 24.1 CE (aunque por error se invoca el art. 24.2 CE), por haber incurrido aquélla en incongruencia omisiva, ya que “uno de los objeto[s] del debate a lo largo de todo el procedimiento lo ha sido el de la regularidad del Acuerdo de la Junta de gobierno de 20 de octubre de 2011, que es la resolución que sirve de fundamento a la extinción del contrato de trabajo, tanto en cuanto a la competencia del órgano que la dictó, la regularidad del procedimiento y su ulterior revocación”; (ii) “infracción del art. 24.2 en relación con el art. 14 de la Constitución española”, por adoptarse una decisión distinta a la dictada por la misma Sala respecto de otros trabajadores cesados por idéntico acuerdo de la Junta de Gobierno del Ayuntamiento de Parla, lo que supone una lesión del derecho a la igualdad en aplicación de la ley, y (iii) motivación arbitraria de dicha Sentencia de casación (con cita del art. 24.1 CE, en relación con los arts. 9.3 y 23.2 CE), por asignar al contrato laboral suscrito por la recurrente, unos efectos jurídicos que son propios de otra modalidad contractual, legalizando con ello una situación de fraude a cargo de la Administración.</w:t>
      </w:r>
    </w:p>
    <w:p w:rsidR="00A90898" w:rsidRDefault="00A90898" w:rsidP="00A90898">
      <w:pPr>
        <w:pStyle w:val="TextoNormal"/>
      </w:pPr>
    </w:p>
    <w:p w:rsidR="00A90898" w:rsidRDefault="00A90898" w:rsidP="00A90898">
      <w:pPr>
        <w:pStyle w:val="TextoNormal"/>
      </w:pPr>
      <w:r>
        <w:t xml:space="preserve">l) Tras la tramitación del incidente, el 7 de julio de 2014 la Sala de lo Social del Tribunal Supremo dictó Auto desestimando la nulidad solicitada. En relación al primer motivo invocado, el de la incongruencia omisiva, la Sala lo aborda en el razonamiento jurídico primero, empezando por reproducir el fundamento de Derecho primero de su Sentencia de 13 de enero de 2014, donde afirmaba que el problema jurídico de la incompetencia del órgano administrativo no se había incluido como objeto de debate en la instancia ni tampoco en la </w:t>
      </w:r>
      <w:r>
        <w:lastRenderedPageBreak/>
        <w:t>suplicación. El Auto sí reconoce que “la sentencia de instancia resuelve de forma colateral el problema en el fundamento de derecho segundo, en el sentido de que, a juicio del Juzgado, era la Junta de Gobierno del Ayuntamiento la competente para acordar los ceses”.</w:t>
      </w:r>
    </w:p>
    <w:p w:rsidR="00A90898" w:rsidRDefault="00A90898" w:rsidP="00A90898">
      <w:pPr>
        <w:pStyle w:val="TextoNormal"/>
      </w:pPr>
    </w:p>
    <w:p w:rsidR="00A90898" w:rsidRDefault="00A90898" w:rsidP="00A90898">
      <w:pPr>
        <w:pStyle w:val="TextoNormal"/>
      </w:pPr>
      <w:r>
        <w:t>Pero observa que el Juzgado declaró la nulidad “de los despidos” (</w:t>
      </w:r>
      <w:r w:rsidRPr="00A90898">
        <w:rPr>
          <w:i/>
        </w:rPr>
        <w:t>rectius</w:t>
      </w:r>
      <w:r>
        <w:t>: el de la recurrente) por no haberse seguido el procedimiento del art. 51 LET, por lo que “[n]o incidió en ningún momento en esa decisión la naturaleza del órgano que tom[ó] la decisión extintiva”. Respecto de lo resuelto en suplicación y casación unificadora, sigue diciendo el Auto:</w:t>
      </w:r>
    </w:p>
    <w:p w:rsidR="00A90898" w:rsidRDefault="00A90898" w:rsidP="00A90898">
      <w:pPr>
        <w:pStyle w:val="TextoNormal"/>
      </w:pPr>
    </w:p>
    <w:p w:rsidR="00A90898" w:rsidRDefault="00A90898" w:rsidP="00A90898">
      <w:pPr>
        <w:pStyle w:val="TextoNormal"/>
      </w:pPr>
      <w:r>
        <w:t>“[T]ampoco aparece ningún motivo de impugnación del recurso de suplicación que planteara la parte recurrida en relación con el problema de la competenci</w:t>
      </w:r>
      <w:r w:rsidRPr="00A90898">
        <w:rPr>
          <w:i/>
        </w:rPr>
        <w:t>a</w:t>
      </w:r>
      <w:r>
        <w:t xml:space="preserve"> y la infracción de las normas que la regulan en relación con la decisión tomada por el Ayuntamiento.</w:t>
      </w:r>
    </w:p>
    <w:p w:rsidR="00A90898" w:rsidRDefault="00A90898" w:rsidP="00A90898">
      <w:pPr>
        <w:pStyle w:val="TextoNormal"/>
      </w:pPr>
    </w:p>
    <w:p w:rsidR="00A90898" w:rsidRDefault="00A90898" w:rsidP="00A90898">
      <w:pPr>
        <w:pStyle w:val="TextoNormal"/>
      </w:pPr>
      <w:r>
        <w:t>En consecuencia, la sentencia de suplicación de la sala de Madrid no podría resolver un problema jurídico no suscitado en el recurso o en la impugnación, como efectivamente ocurrió, sin perjuicio que en la técnica de su redacción se acudiera a la inserción integra de la doctrina contenida en otra sentencia de la Sala de Madrid en la que se daba respuesta a otro recurso de suplicación en el que si se planteó el problema de la competencia. Pero esa inserción literal en modo alguno puede llevarnos a una conclusión distinta de que la doctrina que se transcribía en la sentencia de la Sala de Madrid y qua resultaba aplicable al caso fuese otra que la que procesalmente se correspondía con los términos del recurso de suplicación y de su impugnación.</w:t>
      </w:r>
    </w:p>
    <w:p w:rsidR="00A90898" w:rsidRDefault="00A90898" w:rsidP="00A90898">
      <w:pPr>
        <w:pStyle w:val="TextoNormal"/>
      </w:pPr>
    </w:p>
    <w:p w:rsidR="00A90898" w:rsidRDefault="00A90898" w:rsidP="00A90898">
      <w:pPr>
        <w:pStyle w:val="TextoNormal"/>
      </w:pPr>
      <w:r>
        <w:t>Por ello no podía en ella darse respuesta a un tema -el de la competencia- no discutido y que por ello procesalmente fue absolutamente correcto no tomar en consideración, aunque de oficio hubiera podido hacerse. Pero la realidad es que, como se ha razonado, realmente nunca se abordó el problema competencial en la sentencia después recurrida en casación para la unificación de doctrina, tal y como dijimos en nuestra sentencia que resolvía ese recurso y que ahora se pretende anular por incongruencia omisiva.</w:t>
      </w:r>
    </w:p>
    <w:p w:rsidR="00A90898" w:rsidRDefault="00A90898" w:rsidP="00A90898">
      <w:pPr>
        <w:pStyle w:val="TextoNormal"/>
      </w:pPr>
    </w:p>
    <w:p w:rsidR="00A90898" w:rsidRDefault="00A90898" w:rsidP="00A90898">
      <w:pPr>
        <w:pStyle w:val="TextoNormal"/>
      </w:pPr>
      <w:r>
        <w:t>Tampoco en ese recurso de casación para la unificación de doctrina ni en la impugnación del mismo se planteó ese problema competencial administrativo, ni podría haberse planteado, porque, como se ha dicho, la sentencia de suplicación realmente no lo abordó ni lo decidió.</w:t>
      </w:r>
    </w:p>
    <w:p w:rsidR="00A90898" w:rsidRDefault="00A90898" w:rsidP="00A90898">
      <w:pPr>
        <w:pStyle w:val="TextoNormal"/>
      </w:pPr>
    </w:p>
    <w:p w:rsidR="00A90898" w:rsidRDefault="00A90898" w:rsidP="00A90898">
      <w:pPr>
        <w:pStyle w:val="TextoNormal"/>
      </w:pPr>
      <w:r>
        <w:t>De lo razonado se desprende que no hubo por tanto incongruencia omisiva ni vulneración del artículo 24.2 CE en nuestra STS de 13 de enero de 2.014, tal y como afirma el Ministerio Fiscal en su informe.”</w:t>
      </w:r>
    </w:p>
    <w:p w:rsidR="00A90898" w:rsidRDefault="00A90898" w:rsidP="00A90898">
      <w:pPr>
        <w:pStyle w:val="TextoNormal"/>
      </w:pPr>
    </w:p>
    <w:p w:rsidR="00A90898" w:rsidRDefault="00A90898" w:rsidP="00A90898">
      <w:pPr>
        <w:pStyle w:val="TextoNormal"/>
      </w:pPr>
      <w:r>
        <w:t>En cuanto al segundo motivo de nulidad, el de la lesión del derecho a la igualdad en aplicación de la ley, fundada en que la Sala ha desestimado otros recursos de casación para la unificación de doctrina interpuestos por el Ayuntamiento de Parla, en relación con los despidos adoptados bajo el mismo acuerdo de la Junta de gobierno que aquí se cuestiona, el Auto lo desestima en su razonamiento jurídico segundo con la siguiente argumentación:</w:t>
      </w:r>
    </w:p>
    <w:p w:rsidR="00A90898" w:rsidRDefault="00A90898" w:rsidP="00A90898">
      <w:pPr>
        <w:pStyle w:val="TextoNormal"/>
      </w:pPr>
    </w:p>
    <w:p w:rsidR="00A90898" w:rsidRDefault="00A90898" w:rsidP="00A90898">
      <w:pPr>
        <w:pStyle w:val="TextoNormal"/>
      </w:pPr>
      <w:r>
        <w:t xml:space="preserve">“Debe recordarse entonces que en todos los asuntos tramitados y relacionados con los pretendidos despidos de los trabajadores del Ayuntamiento de Parta que vieron extinguidos sus contratos de trabajo por amortización de sus plazas, las sentencia[s] de la Sala de Madrid </w:t>
      </w:r>
      <w:r>
        <w:lastRenderedPageBreak/>
        <w:t>declararon la nulidad de esos ceses, en unos casos, como en el presente, por considerar que la Administración debió acudir al procedimiento previsto en el art. 51 ET, como antes se ha dicho, y en otros directamente se decidía la nulidad por haberse acordado por la Junta de Gobierno, órgano incompetente para ello, pues debió ser el Pleno, se dice en esas resoluciones.</w:t>
      </w:r>
    </w:p>
    <w:p w:rsidR="00A90898" w:rsidRDefault="00A90898" w:rsidP="00A90898">
      <w:pPr>
        <w:pStyle w:val="TextoNormal"/>
      </w:pPr>
    </w:p>
    <w:p w:rsidR="00A90898" w:rsidRDefault="00A90898" w:rsidP="00A90898">
      <w:pPr>
        <w:pStyle w:val="TextoNormal"/>
      </w:pPr>
      <w:r>
        <w:t>Pues bien, ante ello el Ayuntamiento articuló dos formas de recurrir, dos clases de recursos. En los asuntos en los que no se discutía la competencia del órgano que acordó los ceses, como es éste caso, el recurso de casación para la unificación de doctrina contenía un único motivo en el que se razonaba sobre la amortización de las plazas como sistema de extinción de los contratos de los trabajadores indefinidos no fijos, sin necesidad de acudir a la vía del art. 51 ET. Como se ha visto, en estos recursos las sentencias de ésta Sala, como la que ahora se pretende anular, acogieron las pretensiones del Ayuntamiento y estimaron el recurso aplicando la doctrina de la Sala establecida para los casos anteriores a la entrada en vigor [d]el RDL 3/2012, si bien reconociendo una indemnización de 8 días por año de antigüedad.</w:t>
      </w:r>
    </w:p>
    <w:p w:rsidR="00A90898" w:rsidRDefault="00A90898" w:rsidP="00A90898">
      <w:pPr>
        <w:pStyle w:val="TextoNormal"/>
      </w:pPr>
    </w:p>
    <w:p w:rsidR="00A90898" w:rsidRDefault="00A90898" w:rsidP="00A90898">
      <w:pPr>
        <w:pStyle w:val="TextoNormal"/>
      </w:pPr>
      <w:r>
        <w:t>Para los otros recursos de casación se instrumentaron por el Ayuntamiento recurrente tres motivos distintos. En el primero se invocaba la infracción del art. 9.4 LOPJ (Ley Orgánica 6/1985, de 1 de julio, del Poder Judicial), por entender que la jurisdicción social no era competente [para] acordar la nulidad de un acuerdo de modificación de Relación de Puestos de trabajo (RPT) llevada a cabo por un órgano administrativo, en concreto la Junta de Gobierno local del Ayuntamiento recurrente. Este primer motivo fue desestimado por falta de contradicción en todos los casos entre la sentencia recurrida y la ofrecida como contradictoria.</w:t>
      </w:r>
    </w:p>
    <w:p w:rsidR="00A90898" w:rsidRDefault="00A90898" w:rsidP="00A90898">
      <w:pPr>
        <w:pStyle w:val="TextoNormal"/>
      </w:pPr>
    </w:p>
    <w:p w:rsidR="00A90898" w:rsidRDefault="00A90898" w:rsidP="00A90898">
      <w:pPr>
        <w:pStyle w:val="TextoNormal"/>
      </w:pPr>
      <w:r>
        <w:t>En el segundo motivo se intentaba abordar el problema de la competencia dentro del Ayuntamiento para acordar los ceses, combatiendo la nulidad de los despidos decidida por la Sala de Madrid con base precisamente en esa incompetencia de la Junta de Gobierno local. También éste motivo fue desestimado por falta de contradicción, de lo que se desprende con absoluta claridad que ésta Sala en ningún momento se ha pronunciado sobre ese tema, sobre el alcance de las competencias de ese órgano en relación con el Pleno del Ayuntamiento.</w:t>
      </w:r>
    </w:p>
    <w:p w:rsidR="00A90898" w:rsidRDefault="00A90898" w:rsidP="00A90898">
      <w:pPr>
        <w:pStyle w:val="TextoNormal"/>
      </w:pPr>
    </w:p>
    <w:p w:rsidR="00A90898" w:rsidRDefault="00A90898" w:rsidP="00A90898">
      <w:pPr>
        <w:pStyle w:val="TextoNormal"/>
      </w:pPr>
      <w:r>
        <w:t>Y el tercer motivo, sobre el fondo del asunto, una vez confirmado el pronunciamiento de nulidad de los ceses en la forma analizada en el motivo anterior, no cabía hacer otros pronunciamientos sobre el alcance del art. 51 ET y las amortizaciones de las plazas de los indefinidos no fijos.</w:t>
      </w:r>
    </w:p>
    <w:p w:rsidR="00A90898" w:rsidRDefault="00A90898" w:rsidP="00A90898">
      <w:pPr>
        <w:pStyle w:val="TextoNormal"/>
      </w:pPr>
    </w:p>
    <w:p w:rsidR="00A90898" w:rsidRDefault="00A90898" w:rsidP="00A90898">
      <w:pPr>
        <w:pStyle w:val="TextoNormal"/>
      </w:pPr>
      <w:r>
        <w:t>De esta forma, es cierto que en los recursos que interpuso el Ayuntamiento que denominaríamos con ‘tres motivos’ por vía de la falta de contradicción se desestimaron tales recursos, con lo que se dejaban firmes la sentencias de la Sala de Madrid que decidieron la nulidad de los despidos por haberse llevado a cabo por órgano incompetente, frente al otro grupo de recursos de ‘un solo motivo’ en los que no se planteaba ese tema de la incompetencia y que terminaron con la estimación de la posición del Ayuntamiento.</w:t>
      </w:r>
    </w:p>
    <w:p w:rsidR="00A90898" w:rsidRDefault="00A90898" w:rsidP="00A90898">
      <w:pPr>
        <w:pStyle w:val="TextoNormal"/>
      </w:pPr>
    </w:p>
    <w:p w:rsidR="00A90898" w:rsidRDefault="00A90898" w:rsidP="00A90898">
      <w:pPr>
        <w:pStyle w:val="TextoNormal"/>
      </w:pPr>
      <w:r>
        <w:t xml:space="preserve">De lo anterior se desprende ya con claridad que no hubo en absoluto una situación igual de la que se derivaran decisiones contrapuestas que atentaran contra el principio de igualdad </w:t>
      </w:r>
      <w:r>
        <w:lastRenderedPageBreak/>
        <w:t>en la aplicación de la Ley, defecto que igualmente podría haber invocado el Ayuntamiento en relación con los despidos que de una manera indirecta quedaron firmes como nulos, desde el momento en que los recursos a los que hubo de dar respuesta la Sala fueron distintos, al proceder de sentencia con un contenido también diferente, tal y como se ha visto con anterioridad. Este segundo motivo de nulidad ha de desestimarse también, al no haberse producido en nuestra sentencia las vulneraciones de los derechos fundamentales invocados y denunciados.”</w:t>
      </w:r>
    </w:p>
    <w:p w:rsidR="00A90898" w:rsidRDefault="00A90898" w:rsidP="00A90898">
      <w:pPr>
        <w:pStyle w:val="TextoNormal"/>
      </w:pPr>
    </w:p>
    <w:p w:rsidR="00A90898" w:rsidRDefault="00A90898" w:rsidP="00A90898">
      <w:pPr>
        <w:pStyle w:val="TextoNormal"/>
      </w:pPr>
      <w:r>
        <w:t>Finalmente, la desestimación del tercer motivo del escrito de nulidad —la arbitrariedad de la Sentencia por una indebida equiparación de efectos jurídicos a figuras contractuales laborales distintas—, tiene lugar en el razonamiento tercero:</w:t>
      </w:r>
    </w:p>
    <w:p w:rsidR="00A90898" w:rsidRDefault="00A90898" w:rsidP="00A90898">
      <w:pPr>
        <w:pStyle w:val="TextoNormal"/>
      </w:pPr>
    </w:p>
    <w:p w:rsidR="00A90898" w:rsidRDefault="00A90898" w:rsidP="00A90898">
      <w:pPr>
        <w:pStyle w:val="TextoNormal"/>
      </w:pPr>
      <w:r>
        <w:t>“También este motivo de nulidad ha de rechazarse porque no se han producido la vulneración de los derechos fundamentales invocados, desde el momento en que lo que realmente se trata en el mismo es de hacer reconsiderar, discrepar de la doctrina que específicamente se recoge en el Fundamento tercero de la sentencia, con el que la parte promotora del incidente de nulidad se muestra en completo desacuerdo. Con independencia de ello, lo cierto es que la sentencia no resulta arbitraria, sino plenamente razonada y ajustada además a la doctrina consolidada de la Sala sobre esa materia desde una situación de hecho en la que esa doctrina resultaba plenamente aplicable, tal y como antes se ha podi[d]o ver.”</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de amparo se articula en tres motivos:</w:t>
      </w:r>
    </w:p>
    <w:p w:rsidR="00A90898" w:rsidRDefault="00A90898" w:rsidP="00A90898">
      <w:pPr>
        <w:pStyle w:val="TextoNormal"/>
      </w:pPr>
    </w:p>
    <w:p w:rsidR="00A90898" w:rsidRDefault="00A90898" w:rsidP="00A90898">
      <w:pPr>
        <w:pStyle w:val="TextoNormal"/>
      </w:pPr>
      <w:r>
        <w:t>a) El primero de ellos plantea la infracción del derecho a la igualdad en la aplicación de la ley del art. 14 CE, que se pone en relación con el art. 24.1 CE. Se reprocha a la Sentencia recurrida no haber resuelto el recurso de casación para la unificación de doctrina planteado, en los mismos términos que otros recursos de casación del mismo tipo promovidos por el Ayuntamiento de Parla, donde la Sala sí tuvo en cuenta que el acuerdo de la Junta de Gobierno de dicho consistorio, de 20 de octubre de 2011, que resolvió la amortización de los 56 puestos de trabajo, entre ellos el de la recurrente, era nulo y fue revocado por el Pleno municipal en sesión celebrada el 8 de noviembre de ese mismo año, al ser aquella Junta incompetente. Algo que la Sala sabía cuando dictó la Sentencia recurrida, como reconoce en el fundamento de Derecho segundo del Auto de 7 de julio de 2014, y se evidencia de los recursos y Sentencias reseñados en el antecedente VII de su escrito de nulidad y ahora de la demanda de amparo [antecedente 2 j)]. Afirma que aquella cuestión sí fue objeto de debate en la instancia y por la Sentencia de suplicación; que el acto administrativo era único y para una pluralidad de destinatarios; y que la decisión de la Sala es contraria al principio de búsqueda de la verdad material. Rechaza también la demanda que el Auto de desestimación del incidente de nulidad justifique la desigualdad de trato en la unidad o pluralidad de motivos aducidos por el Ayuntamiento en los distintos recursos presentados, siendo éste el que “marca la pauta de la Sala”, de modo que “los trabajadores del Ayuntamiento de Parla, despedidos todos ellos en virtud de un mismo acuerdo de la Junta de Gobierno, obtienen resoluciones diferentes del Tribunal Supremo en unificación de doctrina: de despido nulo o procedente en función de que el Ayuntamiento de Parla realice los Recursos de Casación con tres o un motivo”.</w:t>
      </w:r>
    </w:p>
    <w:p w:rsidR="00A90898" w:rsidRDefault="00A90898" w:rsidP="00A90898">
      <w:pPr>
        <w:pStyle w:val="TextoNormal"/>
      </w:pPr>
    </w:p>
    <w:p w:rsidR="00A90898" w:rsidRDefault="00A90898" w:rsidP="00A90898">
      <w:pPr>
        <w:pStyle w:val="TextoNormal"/>
      </w:pPr>
      <w:r>
        <w:t xml:space="preserve">b) El segundo motivo de la demanda de amparo denuncia la vulneración del art. 24.2 CE (en realidad, la del art. 24.1 CE) por incongruencia omisiva de la Sentencia, por cuanto “uno </w:t>
      </w:r>
      <w:r>
        <w:lastRenderedPageBreak/>
        <w:t>de los objeto[s] del debate a lo largo de todo el procedimiento lo ha sido el de la regularidad del Acuerdo de la Junta de gobierno de 20 de octubre de 2011, que es la resolución que sirve de fundamento a la extinción del contrato de trabajo, tanto en cuanto a la competencia del órgano que la dictó, la regularidad del procedimiento y su ulterior revocación”. Alega que esta cuestión fue planteada en la demanda de instancia y resuelta por la Sentencia del Juzgado de lo Social —aunque en sentido desestimatorio—; introducida después en su escrito de impugnación al recurso de suplicación del Ayuntamiento, y respondida por la Sala competente del Tribunal Superior de Justicia en la Sentencia resolutoria de este último recurso, “en idéntico sentido a la resolución del Pleno de la Sala del Tribunal Superior de Justicia de Madrid de 29 de octubre de 2012”.</w:t>
      </w:r>
    </w:p>
    <w:p w:rsidR="00A90898" w:rsidRDefault="00A90898" w:rsidP="00A90898">
      <w:pPr>
        <w:pStyle w:val="TextoNormal"/>
      </w:pPr>
    </w:p>
    <w:p w:rsidR="00A90898" w:rsidRDefault="00A90898" w:rsidP="00A90898">
      <w:pPr>
        <w:pStyle w:val="TextoNormal"/>
      </w:pPr>
      <w:r>
        <w:t>De todo ello se deduce, según la recurrente, que al afirmar la Sentencia de casación impugnada que el tema de la competencia de la Junta de Gobierno no fue objeto de debate en el proceso, incurre en un vicio de incongruencia. Esto es, la Sentencia impugnada ha revocado la recaída en suplicación “sin que por parte de la Sala, se haya realizado ningún razonamiento respecto de este concreto particular (la validez o nulidad del acto extintivo. Existe por ello un defecto que, a nuestro juicio, debió conducir de entrada a la inadmisión del Recurso de Casación para Unificación de Doctrina” por falta de la debida contradicción y, en todo caso, añade que se ha producido “una incongruencia omisiva, dado que el núcleo esencial de la Resolución no ha sido valorado”; con falta de motivación y resultado de indefensión (cita la STC 92/2008, de 21 de julio). Lesión que no ha reparado la Sala, concluye en este punto la demanda de amparo, el posterior Auto que desestima el incidente de nulidad de actuaciones contra su Sentencia.</w:t>
      </w:r>
    </w:p>
    <w:p w:rsidR="00A90898" w:rsidRDefault="00A90898" w:rsidP="00A90898">
      <w:pPr>
        <w:pStyle w:val="TextoNormal"/>
      </w:pPr>
    </w:p>
    <w:p w:rsidR="00A90898" w:rsidRDefault="00A90898" w:rsidP="00A90898">
      <w:pPr>
        <w:pStyle w:val="TextoNormal"/>
      </w:pPr>
      <w:r>
        <w:t>c) El tercer y último motivo del recurso sostiene la vulneración del “principio de igualdad en la aplicación de la ley por vicio en la motivación de la Sentencia de la Sala de lo Social del Tribunal Supremo de 13 de enero de 2014 que, a nuestro juicio, puede resultar arbitraria”, refiriéndose a las consideraciones de legalidad ordinaria que efectúa la Sentencia recurrida sobre la calificación legal del contrato de trabajo de la actora, y de sus consecuencias jurídicas en orden al procedimiento exigible para acordar su despido, declarando conforme este último.</w:t>
      </w:r>
    </w:p>
    <w:p w:rsidR="00A90898" w:rsidRDefault="00A90898" w:rsidP="00A90898">
      <w:pPr>
        <w:pStyle w:val="TextoNormal"/>
      </w:pPr>
    </w:p>
    <w:p w:rsidR="00A90898" w:rsidRDefault="00A90898" w:rsidP="00A90898">
      <w:pPr>
        <w:pStyle w:val="TextoNormal"/>
      </w:pPr>
      <w:r>
        <w:t>Ya en el suplico, la recurrente pide que este Tribunal dicte Sentencia que otorgue el amparo, anule la Sentencia y Auto del Tribunal Supremo impugnados, así como todo lo actuado “desde el momento de la admisión a trámite del Recu[r]so de Casación para la Unificación de doctrina presentado por el Ayuntamiento de Parla, que ha de inadmitirse por falta de contradicción. Subsidiariamente, se anule todo lo actuado desde el momento de dictar Sentencia por la Sala de lo Social del Tribunal Supremo para que por el mismo se dicte la Resolución que en Derecho corresponda salvando los defectos de nulidad observados”.</w:t>
      </w:r>
    </w:p>
    <w:p w:rsidR="00A90898" w:rsidRDefault="00A90898" w:rsidP="00A90898">
      <w:pPr>
        <w:pStyle w:val="TextoNormal"/>
      </w:pPr>
    </w:p>
    <w:p w:rsidR="00A90898" w:rsidRDefault="00A90898" w:rsidP="00A90898">
      <w:pPr>
        <w:pStyle w:val="TextoNormal"/>
      </w:pPr>
      <w:r w:rsidRPr="00A90898">
        <w:rPr>
          <w:rStyle w:val="NumeroAFNegritaCaracter"/>
        </w:rPr>
        <w:t>4</w:t>
      </w:r>
      <w:r>
        <w:t>. . La Secretaría de Justicia de la Sección Cuarta de este Tribunal dictó diligencia de ordenación el 30 de septiembre de 2014, por la que acordó conceder a la representación procesal de la recurrente el plazo de diez días para que aportase copia de las resoluciones impugnadas, acreditase fehacientemente la fecha de notificación de la última resolución recurrida en amparo, y presentase escritura de poder original relativa a la representación que dice ostentar, con apercibimiento de inadmitir el recurso en caso de no atender a este requerimiento.</w:t>
      </w:r>
    </w:p>
    <w:p w:rsidR="00A90898" w:rsidRDefault="00A90898" w:rsidP="00A90898">
      <w:pPr>
        <w:pStyle w:val="TextoNormal"/>
      </w:pPr>
    </w:p>
    <w:p w:rsidR="00A90898" w:rsidRDefault="00A90898" w:rsidP="00A90898">
      <w:pPr>
        <w:pStyle w:val="TextoNormal"/>
      </w:pPr>
      <w:r>
        <w:lastRenderedPageBreak/>
        <w:t xml:space="preserve">Con fecha 9 de octubre de 2014 la Secretaría de Justicia de la Sala Segunda de este Tribunal, levantó acta de apoderamiento </w:t>
      </w:r>
      <w:r w:rsidRPr="00A90898">
        <w:rPr>
          <w:i/>
        </w:rPr>
        <w:t>apud acta</w:t>
      </w:r>
      <w:r>
        <w:t>, por la que la recurrente en amparo otorgó dicha representación en favor de la Procuradora hasta entonces actuante, doña Carmen Armesto Tinoco quien, estando presente en el acto, manifestó aceptar su designación.</w:t>
      </w:r>
    </w:p>
    <w:p w:rsidR="00A90898" w:rsidRDefault="00A90898" w:rsidP="00A90898">
      <w:pPr>
        <w:pStyle w:val="TextoNormal"/>
      </w:pPr>
    </w:p>
    <w:p w:rsidR="00A90898" w:rsidRDefault="00A90898" w:rsidP="00A90898">
      <w:pPr>
        <w:pStyle w:val="TextoNormal"/>
      </w:pPr>
      <w:r>
        <w:t>El 15 de octubre de 2014, la citada representación procesal de la recurrente presentó escrito para acreditar los demás requisitos exigidos en el requerimiento de 30 de septiembre de 2014.</w:t>
      </w:r>
    </w:p>
    <w:p w:rsidR="00A90898" w:rsidRDefault="00A90898" w:rsidP="00A90898">
      <w:pPr>
        <w:pStyle w:val="TextoNormal"/>
      </w:pPr>
    </w:p>
    <w:p w:rsidR="00A90898" w:rsidRDefault="00A90898" w:rsidP="00A90898">
      <w:pPr>
        <w:pStyle w:val="TextoNormal"/>
      </w:pPr>
      <w:r w:rsidRPr="00A90898">
        <w:rPr>
          <w:rStyle w:val="NumeroAFNegritaCaracter"/>
        </w:rPr>
        <w:t>5</w:t>
      </w:r>
      <w:r>
        <w:t>. Antes de pronunciarse este Tribunal sobre la admisión a trámite del recurso, la Secretaría de Justicia de la Sección Cuarta dictó diligencia de ordenación el 23 de marzo de 2015, por la que se acordó dirigir atenta comunicación a la Sala de lo Social del Tribunal Supremo, a la Sala de lo Social del Tribunal Superior de Justicia de Madrid y al Juzgado de lo Social núm. 40 de Madrid, para que remitieran certificación o fotocopia adverada de las actuaciones relativas, respectivamente, al rollo de casación núm. 430-2013; al rollo de suplicación núm. 5767-2012; y al procedimiento de despido, núm. 1358-2011. El requerimiento resultó cumplimentado por las respectivas Secretarías de Justicia mediante oficios, respectivamente, de 1 de abril de 2015, 6 de abril de 2015, y 10 de abril de 2015.</w:t>
      </w:r>
    </w:p>
    <w:p w:rsidR="00A90898" w:rsidRDefault="00A90898" w:rsidP="00A90898">
      <w:pPr>
        <w:pStyle w:val="TextoNormal"/>
      </w:pPr>
    </w:p>
    <w:p w:rsidR="00A90898" w:rsidRDefault="00A90898" w:rsidP="00A90898">
      <w:pPr>
        <w:pStyle w:val="TextoNormal"/>
      </w:pPr>
      <w:r w:rsidRPr="00A90898">
        <w:rPr>
          <w:rStyle w:val="NumeroAFNegritaCaracter"/>
        </w:rPr>
        <w:t>6</w:t>
      </w:r>
      <w:r>
        <w:t>. Con fecha 9 de julio de 2015, la Sección Cuarta de este Tribunal dictó providencia admitiendo a trámite la demanda de amparo, “apreciando que concurre en el mismo una especial trascendencia constitucional (art. 50.1 LOTC) porque el recurso plantea un problema o afecta a una faceta de un derecho fundamental sobre el que no hay doctrina de este Tribunal [STC 155/2009, FJ 2 a)]”. Asimismo, acordó dirigir atenta comunicación al Juzgado de lo Social núm. 40 de Madrid para que, en plazo que no excediera de diez días, procediera al emplazamiento de quienes hubiesen sido partes en el procedimiento núm. 1358-2011, excepto a la parte recurrente en amparo, para su comparecencia si lo desean en el presente recurso, en un plazo de diez días. Se acordó también comunicar la presente resolución a la Sala de lo Social del Tribunal Supremo, en méritos a su recurso de casación para la unificación de doctrina núm. 430-2013, y a la Sala de lo Social del Tribunal Superior de Justicia de Madrid, en méritos a su recurso de suplicación núm. 5767-2012.</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registrado el 8 de septiembre de 2015, don Mariano Salinas García, letrado del Ilustre Colegio de Abogados de Madrid, afirmando actuar en representación del Ayuntamiento de Parla “como consta acreditado en el poder que se adjunta”, solicitó se le tuviera por personado y parte ante esta Sala, en nombre y representación de dicha corporación local, entendiéndose con él las sucesivas diligencias y notificaciones. No consta sin embargo que hubiere acompañado a dicho escrito, el poder notarial acreditando su representación.</w:t>
      </w:r>
    </w:p>
    <w:p w:rsidR="00A90898" w:rsidRDefault="00A90898" w:rsidP="00A90898">
      <w:pPr>
        <w:pStyle w:val="TextoNormal"/>
      </w:pPr>
    </w:p>
    <w:p w:rsidR="00A90898" w:rsidRDefault="00A90898" w:rsidP="00A90898">
      <w:pPr>
        <w:pStyle w:val="TextoNormal"/>
      </w:pPr>
      <w:r w:rsidRPr="00A90898">
        <w:rPr>
          <w:rStyle w:val="NumeroAFNegritaCaracter"/>
        </w:rPr>
        <w:t>8</w:t>
      </w:r>
      <w:r>
        <w:t>. La Secretaría de Justicia de la Sala Segunda de este Tribunal dictó diligencia de ordenación el 9 de septiembre de 2015, teniendo por personado y parte en el procedimiento al mencionado letrado, pero condicionado a que “en el plazo de diez días, se acredite documentalmente la representación que dice ostentar, al no acompañarse documento alguno que acredite dicha condición”. Todo ello con el resultado al que más adelante se hará referencia.</w:t>
      </w:r>
    </w:p>
    <w:p w:rsidR="00A90898" w:rsidRDefault="00A90898" w:rsidP="00A90898">
      <w:pPr>
        <w:pStyle w:val="TextoNormal"/>
      </w:pPr>
    </w:p>
    <w:p w:rsidR="00A90898" w:rsidRDefault="00A90898" w:rsidP="00A90898">
      <w:pPr>
        <w:pStyle w:val="TextoNormal"/>
      </w:pPr>
      <w:r>
        <w:lastRenderedPageBreak/>
        <w:t>Asimismo, se acordó dar vista de las actuaciones a las partes personadas y al Ministerio Fiscal por plazo común de veinte días, a fin de que pudieran presentar las alegaciones que estimasen pertinentes, conforme a lo previsto en el art. 52.1 LOTC.</w:t>
      </w:r>
    </w:p>
    <w:p w:rsidR="00A90898" w:rsidRDefault="00A90898" w:rsidP="00A90898">
      <w:pPr>
        <w:pStyle w:val="TextoNormal"/>
      </w:pPr>
    </w:p>
    <w:p w:rsidR="00A90898" w:rsidRDefault="00A90898" w:rsidP="00A90898">
      <w:pPr>
        <w:pStyle w:val="TextoNormal"/>
      </w:pPr>
      <w:r w:rsidRPr="00A90898">
        <w:rPr>
          <w:rStyle w:val="NumeroAFNegritaCaracter"/>
        </w:rPr>
        <w:t>9</w:t>
      </w:r>
      <w:r>
        <w:t>. El 25 de septiembre de 2015, la representación procesal de la recurrente en amparo presentó escrito de alegaciones por el que se ratificó en su integridad en la demanda presentada.</w:t>
      </w:r>
    </w:p>
    <w:p w:rsidR="00A90898" w:rsidRDefault="00A90898" w:rsidP="00A90898">
      <w:pPr>
        <w:pStyle w:val="TextoNormal"/>
      </w:pPr>
    </w:p>
    <w:p w:rsidR="00A90898" w:rsidRDefault="00A90898" w:rsidP="00A90898">
      <w:pPr>
        <w:pStyle w:val="TextoNormal"/>
      </w:pPr>
      <w:r>
        <w:t>Por su parte, el Ministerio Fiscal presentó sus alegaciones mediante escrito registrado el 16 de octubre de 2015, interesando la desestimación del recurso. Tras pasar revista a los hechos del caso, y afirmar que lo planteado en la demanda de amparo es una impugnación a la admisión del recurso de casación del Ayuntamiento, el escrito pasa a referirse a las lesiones denunciadas en la demanda de amparo:</w:t>
      </w:r>
    </w:p>
    <w:p w:rsidR="00A90898" w:rsidRDefault="00A90898" w:rsidP="00A90898">
      <w:pPr>
        <w:pStyle w:val="TextoNormal"/>
      </w:pPr>
    </w:p>
    <w:p w:rsidR="00A90898" w:rsidRDefault="00A90898" w:rsidP="00A90898">
      <w:pPr>
        <w:pStyle w:val="TextoNormal"/>
      </w:pPr>
      <w:r>
        <w:t>a) En cuanto a la vulneración del derecho a la igualdad en la aplicación de la ley, dice el Fiscal que en la demanda “parece desconocerse la especial naturaleza del recurso de casación uniformadora y el condicionamiento de la revisión de la doctrina sentada, a la exigencia de la propia contradicción entre resoluciones —art. 272 LPL—. Se pretende que el Tribunal Supremo valide y acepte de forma implícita lo fallado en sentencias anteriores de la Sala de lo Social del Tribunal Superior de Justicia de Madrid (señaladamente la nulidad del acto administrativo dictado por la Junta de gobierno) cuando, precisamente por haberse desestimado los recursos de casación formulados frente a aquellas, jamás llegó a su censura la cuestión referida a la nulidad o no del acto administrativo, no habiendo tenido por tanto oportunidad de confirmar o variar ninguna doctrina anterior”. Considera que ambas resoluciones impugnadas son motivadas y niega que la Sentencia de suplicación hubiese declarado la nulidad del acuerdo, puesto que la misma se limitó a citar otra suya anterior, “de 29 de octubre de 2012 que se toma como precedente en su argumentación jurídica”. Añade que en los anteriores recursos de casación para la unificación de doctrina promovidos por el Ayuntamiento de Parla, lo resuelto por la Sala “fue declarar la desestimación del recurso por falta de contradicción entre la sentencia del Tribunal Superior de Justicia allí impugnada, y las ofrecidas de contraste … el Tribunal Supremo ni siquiera habría entrado en el fondo del asunto, no habiéndose nunca pronunciado por lo tanto en relación con la alegada invalidez del acto administrativo”. Y que el Pleno de la Sala Cuarta del Tribunal Supremo había dictado nueva doctrina en Sentencia de 22 de julio de 2013 “en relación con la amortización de puestos de trabajo en las Administraciones públicas, que es la que se ve obligadamente la propia Sala a aplicar después al presente caso”. Por ello resulta “evidente la disimilitud entre los supuestos analizados por parte del Tribunal Supremo, de manera que si en unos hubo de rechazar la existencia de contradicción cuando lo que debía examinar era la nulidad o validez de un determinado acto administrativo, en el caso del proceso subyacente —en el que se parte en instancia y en suplicación de la validez de dicho acto administrativo— el Tribunal Supremo solo le resta entonces examinar la contradicción en lo que afecta al modo de llevarse a cabo la amortización de un puesto de trabajo”.</w:t>
      </w:r>
    </w:p>
    <w:p w:rsidR="00A90898" w:rsidRDefault="00A90898" w:rsidP="00A90898">
      <w:pPr>
        <w:pStyle w:val="TextoNormal"/>
      </w:pPr>
    </w:p>
    <w:p w:rsidR="00A90898" w:rsidRDefault="00A90898" w:rsidP="00A90898">
      <w:pPr>
        <w:pStyle w:val="TextoNormal"/>
      </w:pPr>
      <w:r>
        <w:t xml:space="preserve">b) Prosigue el escrito de alegaciones oponiéndose a lo dicho por la demanda sobre el Auto que resuelve el incidente de nulidad de actuaciones sobre la indebida desigualdad en función de los motivos de los recursos siendo el mismo problema jurídico y acto administrativo declarado nulo; de nuevo sin embargo la demanda desconoce la “especial naturaleza del recurso de casación para la unificación de doctrina”, la Sala se ajustó a los límites en los </w:t>
      </w:r>
      <w:r>
        <w:lastRenderedPageBreak/>
        <w:t>que se encuentra planteado el debate procesal. Y niega que el fin de dicho recurso de casación, en contra de lo que postula la demanda de amparo, sea la búsqueda de la verdad material en el proceso laboral, sino solo la unificación de doctrina.</w:t>
      </w:r>
    </w:p>
    <w:p w:rsidR="00A90898" w:rsidRDefault="00A90898" w:rsidP="00A90898">
      <w:pPr>
        <w:pStyle w:val="TextoNormal"/>
      </w:pPr>
    </w:p>
    <w:p w:rsidR="00A90898" w:rsidRDefault="00A90898" w:rsidP="00A90898">
      <w:pPr>
        <w:pStyle w:val="TextoNormal"/>
      </w:pPr>
      <w:r>
        <w:t>c) Se refiere el escrito del Fiscal a continuación a la queja que la demanda califica de incongruencia omisiva de la Sentencia de casación, remitiéndose para su respuesta “a las consideraciones vertidas más arriba en relación con la invocación del derecho a la igualdad en la aplicación de la ley, pues se trata del mismo tema, esto es, la oportunidad para la Sala Cuarta del Tribunal Supremo de adentrarse en el conocimiento de materia que no ha sido cuestionada ni en la instancia ni en suplicación cual es la de la nulidad o no del acto administrativo por falta de competencia funcional de la Junta de Gobierno. El juicio de contradicción no versa sobre ese extremo y por ello difícilmente podría entrar a conocer sobre el fondo de tal concreta pretensión”.</w:t>
      </w:r>
    </w:p>
    <w:p w:rsidR="00A90898" w:rsidRDefault="00A90898" w:rsidP="00A90898">
      <w:pPr>
        <w:pStyle w:val="TextoNormal"/>
      </w:pPr>
    </w:p>
    <w:p w:rsidR="00A90898" w:rsidRDefault="00A90898" w:rsidP="00A90898">
      <w:pPr>
        <w:pStyle w:val="TextoNormal"/>
      </w:pPr>
      <w:r>
        <w:t>El escrito de alegaciones se cierra reflexionando sobre si la recurrente en amparo debió impugnar la Sentencia de suplicación, dado que le causaba un perjuicio efectivo como se demostró, dice, al ser admitido el del Ayuntamiento y resolverse éste aplicando la Sala su doctrina de la Sentencia de 22 de julio de 2013; un desenlace que “podría la actora haber previsto”. No obstante, añade que también podría haber aprovechado el trámite de la impugnación al recurso de casación del Ayuntamiento para deducir en su escrito “alguna pretensión relativa al examen de las invocadas nulidades que se habían deducido en la inicial demanda del pleito subyacente”; lo que sin embargo entiende que dicha parte no hizo, limitándose a alegar en relación “con el tema referido a la necesidad o no de suscitar en el ámbito de la Administración Pública un Expediente de Regulación de Empleo”. Ante tal omisión, termina diciendo, “difícilmente podría ahora sustentarse una posible quiebra del derecho de la actora a la tutela judicial efectiva sin sufrir indefensión”.</w:t>
      </w:r>
    </w:p>
    <w:p w:rsidR="00A90898" w:rsidRDefault="00A90898" w:rsidP="00A90898">
      <w:pPr>
        <w:pStyle w:val="TextoNormal"/>
      </w:pPr>
    </w:p>
    <w:p w:rsidR="00A90898" w:rsidRDefault="00A90898" w:rsidP="00A90898">
      <w:pPr>
        <w:pStyle w:val="TextoNormal"/>
      </w:pPr>
      <w:r w:rsidRPr="00A90898">
        <w:rPr>
          <w:rStyle w:val="NumeroAFNegritaCaracter"/>
        </w:rPr>
        <w:t>10</w:t>
      </w:r>
      <w:r>
        <w:t>. El 20 de octubre de 2015, la Sección Cuarta de este Tribunal dictó providencia por la que, constatando que el Letrado señor Salinas García no había dado cumplimiento a lo acordado en la diligencia de ordenación del 9 de septiembre anterior, se le tuvo “en la representación que dice ostentar, por decaído en la personación pretendida en estas actuaciones, continuando la tramitación de las mismas respecto del resto de partes personadas”.</w:t>
      </w:r>
    </w:p>
    <w:p w:rsidR="00A90898" w:rsidRDefault="00A90898" w:rsidP="00A90898">
      <w:pPr>
        <w:pStyle w:val="TextoNormal"/>
      </w:pPr>
    </w:p>
    <w:p w:rsidR="00A90898" w:rsidRDefault="00A90898" w:rsidP="00A90898">
      <w:pPr>
        <w:pStyle w:val="TextoNormal"/>
      </w:pPr>
      <w:r>
        <w:t>Consta efectuada la notificación de esta providencia en el Colegio de Procuradores de Madrid, con fecha 26 de octubre de 2015. Previamente, el 23 de octubre de 2015, el referido Letrado había presentado escrito de alegaciones en nombre del Ayuntamiento de Parla, dentro del trámite del art. 52 LOTC.</w:t>
      </w:r>
    </w:p>
    <w:p w:rsidR="00A90898" w:rsidRDefault="00A90898" w:rsidP="00A90898">
      <w:pPr>
        <w:pStyle w:val="TextoNormal"/>
      </w:pPr>
    </w:p>
    <w:p w:rsidR="00A90898" w:rsidRDefault="00A90898" w:rsidP="00A90898">
      <w:pPr>
        <w:pStyle w:val="TextoNormal"/>
      </w:pPr>
      <w:r>
        <w:t>A su vez, por nuevo escrito registrado el 4 de noviembre de 2015, el mismo Letrado, ya en relación a lo resuelto por la Sección Cuarta de este Tribunal el 20 de octubre anterior, alegó tener la representación que decía ostentar de acuerdo con un poder general para pleitos que, añade, aportó con su escrito de personación y cuya fotocopia acompaña. Con cita del art. 551 LOPJ, afirma que “[e]n este caso y al amparo del citado artículo asumo defensa y representación acreditada con el citado poder”, solicitando se le tenga por “personado, comparecido y por parte ante esta Sala, en nombre y representación de[l] Ayuntamiento de Parla”.</w:t>
      </w:r>
    </w:p>
    <w:p w:rsidR="00A90898" w:rsidRDefault="00A90898" w:rsidP="00A90898">
      <w:pPr>
        <w:pStyle w:val="TextoNormal"/>
      </w:pPr>
    </w:p>
    <w:p w:rsidR="00A90898" w:rsidRDefault="00A90898" w:rsidP="00A90898">
      <w:pPr>
        <w:pStyle w:val="TextoNormal"/>
      </w:pPr>
      <w:r>
        <w:lastRenderedPageBreak/>
        <w:t>En respuesta a lo solicitado, la Sección Cuarta dictó providencia el 12 de noviembre de 2015 por la que, con unión a las actuaciones del escrito y documentación presentada por el letrado señor Salinas García, decidió “estar a lo que viene acordado por providencia de fecha 20 de octubre de 2015”. Esto es, la exclusión del Ayuntamiento de Parla como parte en este recurso de amparo.</w:t>
      </w:r>
    </w:p>
    <w:p w:rsidR="00A90898" w:rsidRDefault="00A90898" w:rsidP="00A90898">
      <w:pPr>
        <w:pStyle w:val="TextoNormal"/>
      </w:pPr>
    </w:p>
    <w:p w:rsidR="00A90898" w:rsidRDefault="00A90898" w:rsidP="00A90898">
      <w:pPr>
        <w:pStyle w:val="TextoNormal"/>
      </w:pPr>
      <w:r w:rsidRPr="00A90898">
        <w:rPr>
          <w:rStyle w:val="NumeroAFNegritaCaracter"/>
        </w:rPr>
        <w:t>11</w:t>
      </w:r>
      <w:r>
        <w:t>. Mediante providencia de fecha 15 de septiembre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Se interpone el presente recurso de amparo contra la Sentencia de la Sala de lo Social del Tribunal Supremo, de 13 de enero de 2014, que estimó el recurso de casación para la unificación de doctrina interpuesto por el Ayuntamiento de Parla, contra la Sentencia dictada por la Sección Segunda de la Sala de lo Social del Tribunal Superior de Justicia de Madrid, confirmatoria de otra anterior dictada por el Juzgado de lo Social núm. 40 de Madrid, la cual, a su vez, estimaba la demanda presentada por la aquí recurrente, declarando nulo su despido, que había sido acordado por decreto del Delegado del área de personal y régimen interior de aquella corporación local, en cumplimiento del acuerdo adoptado por la Junta de gobierno de 20 de octubre de 2011, sobre amortización de 56 plazas de trabajadores a su servicio.</w:t>
      </w:r>
    </w:p>
    <w:p w:rsidR="00A90898" w:rsidRDefault="00A90898" w:rsidP="00A90898">
      <w:pPr>
        <w:pStyle w:val="TextoNormal"/>
      </w:pPr>
    </w:p>
    <w:p w:rsidR="00A90898" w:rsidRDefault="00A90898" w:rsidP="00A90898">
      <w:pPr>
        <w:pStyle w:val="TextoNormal"/>
      </w:pPr>
      <w:r>
        <w:t xml:space="preserve">Como consecuencia de la Sentencia recaída en casación, la Sala Cuarta del Alto Tribunal revocó la impugnada, “resolviendo el debate en suplicación” y, con estimación de dicho recurso, igualmente interpuesto por el Ayuntamiento de Parla, declaró procedente el despido de la actora y el derecho a recibir una indemnización de ocho días de salario por año trabajado. Se solicita también el amparo frente al Auto de la misma Sala </w:t>
      </w:r>
      <w:r w:rsidRPr="00A90898">
        <w:rPr>
          <w:i/>
        </w:rPr>
        <w:t>ad quem</w:t>
      </w:r>
      <w:r>
        <w:t>, de 7 de julio de 2014, que desestimó el incidente de nulidad de actuaciones promovido por la recurrente contra la Sentencia de casación ya indicada.</w:t>
      </w:r>
    </w:p>
    <w:p w:rsidR="00A90898" w:rsidRDefault="00A90898" w:rsidP="00A90898">
      <w:pPr>
        <w:pStyle w:val="TextoNormal"/>
      </w:pPr>
    </w:p>
    <w:p w:rsidR="00A90898" w:rsidRDefault="00A90898" w:rsidP="00A90898">
      <w:pPr>
        <w:pStyle w:val="TextoNormal"/>
      </w:pPr>
      <w:r>
        <w:t xml:space="preserve">La demanda de amparo, en síntesis, atribuye a las dos resoluciones que impugna tres vulneraciones constitucionales: (i) la del derecho a la igualdad en aplicación de la ley (art. 14 CE), por haber resuelto la Sala en sentido contrario a siete recursos de casación para la unificación de doctrina interpuestos por el mismo Ayuntamiento de Parla en relación a trabajadores despedidos en ejecución del mismo acuerdo de la Junta de Gobierno de 20 de octubre de 2011, siendo todos ellos desestimados porque a diferencia de la Sentencia de contraste, en la impugnada del Tribunal Superior de Justicia de Madrid se declaró la incompetencia de aquella Junta de Gobierno; recursos con los que guarda la debida identidad el de la recurrente, pues así igualmente consta en la Sentencia de suplicación del mismo Tribunal Superior impugnada por el Ayuntamiento; (ii) la del derecho a la tutela judicial efectiva (art. 24.1 CE), que la demanda tacha de incongruencia omisiva, por haber resuelto la Sala el recurso de casación en el que es parte recurrida, excluyendo de su análisis el dato de la nulidad del referido acuerdo de la Junta de Gobierno, pese a haber sido objeto de debate en todo el proceso, y constarle además su existencia con ocasión de los otros recursos de casación fallados previamente; y (iii) finalmente, lo que la demanda califica como lesión “del derecho a la igualdad en la aplicación de la ley, por vicio en la motivación de la Sentencia”, y que parece concernir más bien al derecho a una resolución jurídicamente fundada </w:t>
      </w:r>
      <w:r>
        <w:lastRenderedPageBreak/>
        <w:t>(art. 24.1 CE), pues se denuncia el empleo de una argumentación arbitraria por la Sentencia de casación para deducir efectos jurídicos propios de un tipo de contrato laboral, de distinta naturaleza a aquel que unía a la recurrente con el Ayuntamiento recurrente.</w:t>
      </w:r>
    </w:p>
    <w:p w:rsidR="00A90898" w:rsidRDefault="00A90898" w:rsidP="00A90898">
      <w:pPr>
        <w:pStyle w:val="TextoNormal"/>
      </w:pPr>
    </w:p>
    <w:p w:rsidR="00A90898" w:rsidRDefault="00A90898" w:rsidP="00A90898">
      <w:pPr>
        <w:pStyle w:val="TextoNormal"/>
      </w:pPr>
      <w:r>
        <w:t xml:space="preserve">El Ministerio Fiscal, como se dejó dicho en los antecedentes, estima que el recurso debe ser desestimado pues, de un lado, la Sala </w:t>
      </w:r>
      <w:r w:rsidRPr="00A90898">
        <w:rPr>
          <w:i/>
        </w:rPr>
        <w:t>ad quem</w:t>
      </w:r>
      <w:r>
        <w:t xml:space="preserve"> se atuvo al objeto y especial naturaleza del recurso de casación para la unificación de doctrina que le tocó resolver, con aplicación de una doctrina sentada por ella misma en Sentencia de 22 de julio de 2013. Y de otro lado, porque la nulidad del despido por falta de competencia de la Junta de Gobierno del Ayuntamiento de Parla en relación al citado acuerdo de 20 de octubre de 2011 que acordó las amortizaciones, no fue apreciada por la Sentencia de suplicación, ni la recurrente en amparo alegó nada al respecto en su escrito de impugnación al recurso de casación de aquella entidad local.</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entrar en el examen de los motivos de la demanda, debemos efectuar una precisión previa, y luego determinar el correcto orden para el enjuiciamiento de las quejas planteadas. En cuanto a lo primero, y pese a que la demanda de amparo en alguno de sus pasajes reproche a la Sala de lo Social del Tribunal Supremo el haber admitido el recurso de casación núm. 430-2013 promovido por el Ayuntamiento de Parla, e incluso solicite en el suplico la retroacción de actuaciones a esta fase del recurso y subsidiariamente a la de dictarse sentencia, es evidente que tal alegación deviene puntual y complementaria frente a las impugnaciones que se dirigen contra la decisión de fondo del recurso de casación, vertidas tanto en la Sentencia definitiva como en el Auto posterior que desestimó su nulidad.</w:t>
      </w:r>
    </w:p>
    <w:p w:rsidR="00A90898" w:rsidRDefault="00A90898" w:rsidP="00A90898">
      <w:pPr>
        <w:pStyle w:val="TextoNormal"/>
      </w:pPr>
    </w:p>
    <w:p w:rsidR="00A90898" w:rsidRDefault="00A90898" w:rsidP="00A90898">
      <w:pPr>
        <w:pStyle w:val="TextoNormal"/>
      </w:pPr>
      <w:r>
        <w:t>Respecto, en segundo lugar, al orden de enjuiciamiento de las quejas, este Tribunal tiene doctrina reiterada por la cual ha de conocerse primero aquella cuya estimación acarrearía la retroacción de las actuaciones, haciendo innecesario el estudio de las demás vulneraciones cuya reparación no precise de semejante medida [SSTC 156/2006, de 22 de mayo, FJ 2; 25/2008, de 11 de febrero, FJ 2, y 167/2014, de 22 de octubre, FJ 3]. En este caso, sin embargo, la doctrina de referencia no resulta determinante, porque la estimación de cualesquiera de las tres quejas planteadas por la demanda obligaría a retrotraer las actuaciones a idéntico momento procesal, el inmediatamente anterior al de dictarse la Sentencia de casación para la unificación de doctrina impugnada.</w:t>
      </w:r>
    </w:p>
    <w:p w:rsidR="00A90898" w:rsidRDefault="00A90898" w:rsidP="00A90898">
      <w:pPr>
        <w:pStyle w:val="TextoNormal"/>
      </w:pPr>
    </w:p>
    <w:p w:rsidR="00A90898" w:rsidRDefault="00A90898" w:rsidP="00A90898">
      <w:pPr>
        <w:pStyle w:val="TextoNormal"/>
      </w:pPr>
      <w:r>
        <w:t>Ese orden debe fijarse, más bien, en función de la parcela del juicio jurisdiccional que se alega en cada caso como afectada. Así, se constata que de los tres motivos en que se articula la demanda, dos de ellos atañen a pronunciamientos efectuados por las resoluciones impugnadas sobre la propia cuestión de fondo: uno lo impugna desde la perspectiva de la lesión del derecho a la igualdad en aplicación de la ley, art. 14 CE y el otro desde la del derecho a una resolución judicial no arbitraria ni irrazonable, art. 24.1 CE [en lo tocante a la calificación del contrato laboral de la actora y no exigencia del procedimiento del art. 51 de la Ley del estatuto de los trabajadores (LET) para su despido].</w:t>
      </w:r>
    </w:p>
    <w:p w:rsidR="00A90898" w:rsidRDefault="00A90898" w:rsidP="00A90898">
      <w:pPr>
        <w:pStyle w:val="TextoNormal"/>
      </w:pPr>
    </w:p>
    <w:p w:rsidR="00A90898" w:rsidRDefault="00A90898" w:rsidP="00A90898">
      <w:pPr>
        <w:pStyle w:val="TextoNormal"/>
      </w:pPr>
      <w:r>
        <w:t xml:space="preserve">En cambio, como cuestión previa a la censura del propio juicio de fondo aparece la queja relativa a la indebida exclusión de uno de los temas objeto de debate, esto es, la que se corresponde con el segundo motivo de la demanda por presunta incongruencia omisiva de la Sentencia de casación, el cual de este modo resultaría lógico abordar en primer término. </w:t>
      </w:r>
      <w:r>
        <w:lastRenderedPageBreak/>
        <w:t>Su eventual estimación, además, puede comportar —no nos toca determinar con qué resultado— una modificación de la propia decisión de fondo que deba dictarse, lo que dejaría sin efecto a su vez aquellas otras quejas. Por lo expuesto, iniciaremos nuestro análisis por el motivo segundo de la demanda.</w:t>
      </w:r>
    </w:p>
    <w:p w:rsidR="00A90898" w:rsidRDefault="00A90898" w:rsidP="00A90898">
      <w:pPr>
        <w:pStyle w:val="TextoNormal"/>
      </w:pPr>
    </w:p>
    <w:p w:rsidR="00A90898" w:rsidRDefault="00A90898" w:rsidP="00A90898">
      <w:pPr>
        <w:pStyle w:val="TextoNormal"/>
      </w:pPr>
      <w:r w:rsidRPr="00A90898">
        <w:rPr>
          <w:rStyle w:val="NumeroAFNegritaCaracter"/>
        </w:rPr>
        <w:t>3</w:t>
      </w:r>
      <w:r>
        <w:t>. La recurrente afirma que la nulidad del acuerdo de la Junta de Gobierno del Ayuntamiento de Parla de 20 de octubre de 2011 que acordó la amortización de las plazas, por incompetencia de aquel órgano administrativo y su revocación por el Pleno de dicha corporación municipal el 8 de noviembre de 2011, fue uno de los motivos de nulidad del despido que formaron parte del debate planteado, “a lo largo de todo el procedimiento”. Al no haberlo tenido en cuenta así la Sala de casación, por razones que la demanda combate, ésta entiende que la Sala incurrió en incongruencia omisiva en sus resoluciones.</w:t>
      </w:r>
    </w:p>
    <w:p w:rsidR="00A90898" w:rsidRDefault="00A90898" w:rsidP="00A90898">
      <w:pPr>
        <w:pStyle w:val="TextoNormal"/>
      </w:pPr>
    </w:p>
    <w:p w:rsidR="00A90898" w:rsidRDefault="00A90898" w:rsidP="00A90898">
      <w:pPr>
        <w:pStyle w:val="TextoNormal"/>
      </w:pPr>
      <w:r>
        <w:t>Expuesto en estos términos, es preciso definir cuál es la vertiente del derecho a la tutela judicial efectiva (art. 24.1 CE) realmente concernida. En realidad no cabe hablar propiamente de incongruencia, pues la Sentencia de la Sala de lo Social del Tribunal Supremo dedica el fundamento de derecho primero y parte del segundo a justificar por qué excluye el tema de la incompetencia de la Junta de Gobierno del acuerdo de Parla, como punto de contraste entre la Sentencia de suplicación recurrida y la del Tribunal Superior de Justicia de Cataluña que se ofrece al efecto [fundamentos transcritos en nuestro antecedente 2 j)], argumentación en la que insiste en el posterior Auto por el que rechaza el incidente de nulidad.</w:t>
      </w:r>
    </w:p>
    <w:p w:rsidR="00A90898" w:rsidRDefault="00A90898" w:rsidP="00A90898">
      <w:pPr>
        <w:pStyle w:val="TextoNormal"/>
      </w:pPr>
    </w:p>
    <w:p w:rsidR="00A90898" w:rsidRDefault="00A90898" w:rsidP="00A90898">
      <w:pPr>
        <w:pStyle w:val="TextoNormal"/>
      </w:pPr>
      <w:r>
        <w:t>Conforme a doctrina de este Tribunal Constitucional concretamente dictada en el ámbito de los recursos, este tipo de respuesta por la que el órgano judicial motiva el por qué no va a resolver sobre un punto planteado por una de las partes, no afecta al derecho a una resolución congruente, sino en realidad a otra faceta del mismo derecho fundamental a la tutela judicial efectiva (art. 24.1 CE), la del derecho al recurso, entendido como derecho a obtener una resolución de fondo sobre las pretensiones deducidas en el mismo. Así, en la STC 30/2003, de 13 de febrero, FJ 2, razonamos que “no nos hallamos ante un caso de incongruencia omisiva en estricto sentido, pues la Sentencia de apelación no ha dejado de considerar el objeto procesal planteado por los apelantes … sino que ha considerado dicho objeto procesal y le ha dado expresa respuesta, tal como la contenida en el fundamento jurídico primero de la Sentencia, si bien aquella ha consistido en calificar dicha pretensión subsidiaria como una mera solicitud de aclaración o rectificación de la Sentencia apelada, para la que, aparte de considerarla extemporánea, se declaraba incompetente el Tribunal de apelación, dejándola así imprejuzgada en cuanto a su fondo o contenido”.</w:t>
      </w:r>
    </w:p>
    <w:p w:rsidR="00A90898" w:rsidRDefault="00A90898" w:rsidP="00A90898">
      <w:pPr>
        <w:pStyle w:val="TextoNormal"/>
      </w:pPr>
    </w:p>
    <w:p w:rsidR="00A90898" w:rsidRDefault="00A90898" w:rsidP="00A90898">
      <w:pPr>
        <w:pStyle w:val="TextoNormal"/>
      </w:pPr>
      <w:r>
        <w:t>En este supuesto, cabe añadir, el canon de control que nos corresponde aplicar es el de la resolución arbitraria, irrazonable o incursa en error patente [SSTC 92/2008, de 21 de julio, FJ 6; 35/2011, de 28 de marzo, FJ 3; y 7/2015, de 22 de enero, FJ 2 A a), todas ellas en relación con resoluciones dictadas por el Tribunal Supremo en casación].</w:t>
      </w:r>
    </w:p>
    <w:p w:rsidR="00A90898" w:rsidRDefault="00A90898" w:rsidP="00A90898">
      <w:pPr>
        <w:pStyle w:val="TextoNormal"/>
      </w:pPr>
    </w:p>
    <w:p w:rsidR="00A90898" w:rsidRDefault="00A90898" w:rsidP="00A90898">
      <w:pPr>
        <w:pStyle w:val="TextoNormal"/>
      </w:pPr>
      <w:r w:rsidRPr="00A90898">
        <w:rPr>
          <w:rStyle w:val="NumeroAFNegritaCaracter"/>
        </w:rPr>
        <w:t>4</w:t>
      </w:r>
      <w:r>
        <w:t>. Aclarado lo que antecede y entrando ya en el estudio de la queja, para verificar si es cierto, según afirma la recurrente, que el tema de la incompetencia de la Junta de Gobierno del Ayuntamiento de Parla como motivo de nulidad de su despido, formó parte del objeto controvertido en los procedimientos de instancia, suplicación y casación unificadora, procede atender al resultado de las actuaciones judiciales practicadas:</w:t>
      </w:r>
    </w:p>
    <w:p w:rsidR="00A90898" w:rsidRDefault="00A90898" w:rsidP="00A90898">
      <w:pPr>
        <w:pStyle w:val="TextoNormal"/>
      </w:pPr>
    </w:p>
    <w:p w:rsidR="00A90898" w:rsidRDefault="00A90898" w:rsidP="00A90898">
      <w:pPr>
        <w:pStyle w:val="TextoNormal"/>
      </w:pPr>
      <w:r>
        <w:t>a) Proceso en la instancia: como se expuso en el antecedente 2 a) de la presente Sentencia, la recurrente basó la pretensión de nulidad de su despido en varios motivos, y uno de ellos expresamente fue el de la incompetencia de la Junta de Gobierno; alegación ésta que reiteró su Abogada en el acto de la vista, y contestó oponiéndose a la misma el abogado defensor del Ayuntamiento de Parla [antecedente 2 b)]. En congruencia con lo así planteado por las partes, la Sentencia del Juzgado de lo Social recogió en sus hechos probados quinto y noveno la existencia del acuerdo de la Junta de Gobierno de 20 de octubre de 2011 y su posterior revocación por el Pleno el 8 de noviembre de 2011, mientras que en su fundamento de Derecho segundo resolvió específicamente sobre esta cuestión, si bien desestimándola por entender que la Junta sí era competente con arreglo a las normas administrativas aplicables. No obstante, el Juzgado estimó la demanda y declaró nulo el despido de la recurrente por no haberse seguido el procedimiento establecido en el art. 51 LET, dada la naturaleza de la relación laboral discutida: contrato de trabajo indefinido no fijo [antecedente 2 c) de esta Sentencia].</w:t>
      </w:r>
    </w:p>
    <w:p w:rsidR="00A90898" w:rsidRDefault="00A90898" w:rsidP="00A90898">
      <w:pPr>
        <w:pStyle w:val="TextoNormal"/>
      </w:pPr>
    </w:p>
    <w:p w:rsidR="00A90898" w:rsidRDefault="00A90898" w:rsidP="00A90898">
      <w:pPr>
        <w:pStyle w:val="TextoNormal"/>
      </w:pPr>
      <w:r>
        <w:t>b) Recurso de suplicación: al haber obtenido una Sentencia que le era favorable, la actora en la instancia —que lo es ahora en amparo— no interpuso recurso contra ella. Ciertamente, el Juzgado no había acordado la nulidad del despido por todos los motivos aducidos en su demanda, pero no lo es menos que la estimación de uno de ellos le había permitió obtener ya el resultado que pretendía. Dicho de otro modo: la Sentencia no le hubiera reconocido mayores efectos, de carácter económico o de otra especie, si en vez de estimar solamente la nulidad por la inadecuación de procedimiento, lo hubiera hecho también por la incompetencia de la Junta y posterior revocación del acuerdo por el Pleno del Ayuntamiento.</w:t>
      </w:r>
    </w:p>
    <w:p w:rsidR="00A90898" w:rsidRDefault="00A90898" w:rsidP="00A90898">
      <w:pPr>
        <w:pStyle w:val="TextoNormal"/>
      </w:pPr>
    </w:p>
    <w:p w:rsidR="00A90898" w:rsidRDefault="00A90898" w:rsidP="00A90898">
      <w:pPr>
        <w:pStyle w:val="TextoNormal"/>
      </w:pPr>
      <w:r>
        <w:t xml:space="preserve">En todo caso, de las normas procesales vigentes no se deduce </w:t>
      </w:r>
      <w:r w:rsidRPr="00A90898">
        <w:rPr>
          <w:i/>
        </w:rPr>
        <w:t>prima facie</w:t>
      </w:r>
      <w:r>
        <w:t xml:space="preserve"> una carga de recurrir semejante: con carácter general el art. 17.5 de la Ley 36/2011, de 10 de octubre, reguladora de la jurisdicción social (LJS), habla de la legitimación para interponer recurso a quien vea desestimada “cualquiera de sus pretensiones o excepciones”, siendo que aquí la pretensión de nulidad del despido, se insiste, había sido estimada, y los distintos motivos de nulidad alegados no son técnicamente “excepciones”. Por otro lado, en las disposiciones propias del recurso de suplicación (arts. 190-204 LJS) tampoco aparece la carga de interponer dicho recurso a quien ha visto estimada su pretensión por la Sentencia del Juzgado; siendo por cierto doctrina constitucional reiterada, la de que “no se puede imponer a quien obtuvo Sentencia favorable a sus pretensiones la ‘carga desproporcionada’ de recurrir, STC 227/2002, de 9 de diciembre, FJ 4, y STC 196/2003, de 27 de octubre, FJ 8)” [STC 91/2010, de 15 de noviembre, FJ 8 —las dos que ésta cita, son relativas a recursos de suplicación—].</w:t>
      </w:r>
    </w:p>
    <w:p w:rsidR="00A90898" w:rsidRDefault="00A90898" w:rsidP="00A90898">
      <w:pPr>
        <w:pStyle w:val="TextoNormal"/>
      </w:pPr>
    </w:p>
    <w:p w:rsidR="00A90898" w:rsidRDefault="00A90898" w:rsidP="00A90898">
      <w:pPr>
        <w:pStyle w:val="TextoNormal"/>
      </w:pPr>
      <w:r>
        <w:t xml:space="preserve">Importa igualmente destacar que, de acuerdo con el art. 197 LJS, en el escrito de impugnación al recurso de suplicación la parte recurrida podrá alegar “motivos de inadmisibilidad del recurso, así como eventuales rectificaciones de hecho o causas de oposición subsidiarias aunque no hubieran sido estimadas en la sentencia, con análogos requisitos a los indicados en el artículo anterior” (esto es, con la debida fundamentación). Esto es justamente lo que hizo la demandante de amparo, pese a lo sostenido en sentido contrario por el Fiscal en sus alegaciones: aquélla se opuso al recurso de suplicación del Ayuntamiento de Parla, tanto en aquello que este último impugnaba —el pronunciamiento del Juzgado sobre la omisión del procedimiento exigible para el despido—, como en cuanto a la incompetencia de la Junta </w:t>
      </w:r>
      <w:r>
        <w:lastRenderedPageBreak/>
        <w:t>de gobierno para adoptar el acuerdo de amortizaciones, del que la aquí recurrente en amparo afirmó en su escrito que vulneraba “expresamente las normas administrativas”, porque “los actos administrativos deben respetar los preceptos de otras normas de rango superior … deben producirse por el órgano competente”. De este párrafo, ya transcrito en el antecedente 2 e) de esta Sentencia, se infiere la deducción de causa de oposición subsidiaria no estimada en la sentencia de instancia (art. 197 LJS), integrando así este motivo uno de los temas a decidir dentro de dicha suplicación.</w:t>
      </w:r>
    </w:p>
    <w:p w:rsidR="00A90898" w:rsidRDefault="00A90898" w:rsidP="00A90898">
      <w:pPr>
        <w:pStyle w:val="TextoNormal"/>
      </w:pPr>
    </w:p>
    <w:p w:rsidR="00A90898" w:rsidRDefault="00A90898" w:rsidP="00A90898">
      <w:pPr>
        <w:pStyle w:val="TextoNormal"/>
      </w:pPr>
      <w:r>
        <w:t>Eso explica, según se dejó constancia en el antecedente 2 f) de la presente Sentencia, que la Sección Segunda de la Sala de lo Social del Tribunal Superior de Justicia de Madrid, al desestimar el recurso interpuesto acudiendo para ello a la técnica de la motivación por remisión (aceptada ésta por la doctrina constitucional: entre otras, SSTC 105/1997, de 2 de junio, FJ 7, y 171/2002, de 30 de septiembre, FJ 2), incluyera entre los fundamentos jurídicos de otra Sentencia suya de 2 de noviembre de 2012, cuyo criterio sigue, aquel en el que tras declarar que resultaba exigible el procedimiento del art. 51 LET, señaló también como motivo de nulidad del despido, que “a mayor abundamiento … el acuerdo de extinción del contrato del actor y resto de trabajadores afectados fue dejado sin efecto por el Pleno del Ayuntamiento, órgano competente y superior a la Junta de Gobierno que lo adoptó, mal cabe justificar un cese por amortización que acertadamente ha sido calificado como nulo”. Ante este pronunciamiento, no era la recurrente en amparo sino el Ayuntamiento de Parla el que tenía la carga de impugnarlo en el recurso de casación para la unificación de doctrina que articuló contra la Sentencia de suplicación en otro de sus puntos —el del procedimiento para el despido—.</w:t>
      </w:r>
    </w:p>
    <w:p w:rsidR="00A90898" w:rsidRDefault="00A90898" w:rsidP="00A90898">
      <w:pPr>
        <w:pStyle w:val="TextoNormal"/>
      </w:pPr>
    </w:p>
    <w:p w:rsidR="00A90898" w:rsidRDefault="00A90898" w:rsidP="00A90898">
      <w:pPr>
        <w:pStyle w:val="TextoNormal"/>
      </w:pPr>
      <w:r>
        <w:t>c) Recurso de casación para la unificación de doctrina: de nuevo la aquí demandante de amparo, esta vez dentro del trámite previsto en el art. 226.2 LJS, formalizó escrito de impugnación a este recurso señalando que el acuerdo de la Junta de Gobierno causante de su despido vulneraba expresamente las normas administrativas, entre otros aspectos, porque los actos “deben producirse por el órgano competente, ciñéndose al procedimiento establecido” [antecedente 2 i)].</w:t>
      </w:r>
    </w:p>
    <w:p w:rsidR="00A90898" w:rsidRDefault="00A90898" w:rsidP="00A90898">
      <w:pPr>
        <w:pStyle w:val="TextoNormal"/>
      </w:pPr>
    </w:p>
    <w:p w:rsidR="00A90898" w:rsidRDefault="00A90898" w:rsidP="00A90898">
      <w:pPr>
        <w:pStyle w:val="TextoNormal"/>
      </w:pPr>
      <w:r>
        <w:t>La Sala de lo Social del Tribunal Supremo estimó el recurso de la corporación recurrente por Sentencia de 13 de enero de 2014, como se expuso en los antecedentes, haciendo constar que “…a diferencia de otros casos conocidos por la Sala con motivo de recursos interpuestos por el Ayuntamiento demandado en despidos de otros trabajadores indefinidos no fijos”, en éste “no se ha debatido en la sentencia de instancia ni en la de suplicación impugnada el problema jurídico referido a la competencia del órgano administrativo que debió adoptar la decisión extintiva plural de los contratos de trabajo, si debió ser la Junta de Gobierno Local o el Pleno del Ayuntamiento”. Afirmando incluso que el Juzgado de lo Social había estimado la demanda “sin que … las partes se cuestionaran en ningún momento la validez formal del acuerdo de amortización efectuado por la Junta de Gobierno Local” [antecedente 2 j) de esta Sentencia]. Línea argumental mantenida en el Auto desestimatorio de la nulidad de actuaciones contra esta Sentencia, como igualmente se reprodujo.</w:t>
      </w:r>
    </w:p>
    <w:p w:rsidR="00A90898" w:rsidRDefault="00A90898" w:rsidP="00A90898">
      <w:pPr>
        <w:pStyle w:val="TextoNormal"/>
      </w:pPr>
    </w:p>
    <w:p w:rsidR="00A90898" w:rsidRDefault="00A90898" w:rsidP="00A90898">
      <w:pPr>
        <w:pStyle w:val="TextoNormal"/>
      </w:pPr>
      <w:r>
        <w:t xml:space="preserve">Pues bien: ya se ha indicado que la representación procesal de la recurrente sí cumplió con la carga de alegar, a lo largo de los tres grados jurisdiccionales por los que ha atravesado la causa, el motivo de nulidad de su despido por falta de competencia de la Junta de Gobierno del Ayuntamiento de Parla para adoptar el acuerdo de amortizaciones de plazas el 20 </w:t>
      </w:r>
      <w:r>
        <w:lastRenderedPageBreak/>
        <w:t>de octubre de 2011, revocado por el Pleno del consistorio el 8 de noviembre de 2011, y que tanto la Sentencia del Juzgado (desestimando la demanda en ese punto), como la del Tribunal Superior de Justicia (estimándolo), resolvieron expresamente sobre él.</w:t>
      </w:r>
    </w:p>
    <w:p w:rsidR="00A90898" w:rsidRDefault="00A90898" w:rsidP="00A90898">
      <w:pPr>
        <w:pStyle w:val="TextoNormal"/>
      </w:pPr>
    </w:p>
    <w:p w:rsidR="00A90898" w:rsidRDefault="00A90898" w:rsidP="00A90898">
      <w:pPr>
        <w:pStyle w:val="TextoNormal"/>
      </w:pPr>
      <w:r>
        <w:t xml:space="preserve">Al reconocer la Sala de </w:t>
      </w:r>
      <w:r w:rsidRPr="00A90898">
        <w:rPr>
          <w:i/>
        </w:rPr>
        <w:t>ad quem</w:t>
      </w:r>
      <w:r>
        <w:t xml:space="preserve"> que ya había resuelto otros recursos de casación para la unificación de doctrina, promovidos por el mismo Ayuntamiento de Parla respecto de trabajadores despedidos gracias al mismo cuestionado acuerdo de la Junta de Gobierno, no existía impedimento alguno para integrar este tema dentro del objeto de debate del recurso núm. 430-2013.</w:t>
      </w:r>
    </w:p>
    <w:p w:rsidR="00A90898" w:rsidRDefault="00A90898" w:rsidP="00A90898">
      <w:pPr>
        <w:pStyle w:val="TextoNormal"/>
      </w:pPr>
    </w:p>
    <w:p w:rsidR="00A90898" w:rsidRDefault="00A90898" w:rsidP="00A90898">
      <w:pPr>
        <w:pStyle w:val="TextoNormal"/>
      </w:pPr>
      <w:r>
        <w:t xml:space="preserve">En consecuencia, la Sala tomó la decisión de excluir este punto de la controversia, limitando indebidamente el debate en dicha sede de casación unificadora, partiendo para ello de premisas erróneas, como fueron: (i) la falta de alegación por la recurrente de este punto en sus escritos —y vista— de instancia y suplicación; (ii) la falta de pronunciamiento expreso de la Sentencia de suplicación al respecto, y (iii) la falta de mención por la recurrente en su escrito de impugnación al recurso de casación. La solución que alcanza la Sala a partir de esas premisas erróneas (la exclusión de dicho </w:t>
      </w:r>
      <w:r w:rsidRPr="00A90898">
        <w:rPr>
          <w:i/>
        </w:rPr>
        <w:t>thema decidendi</w:t>
      </w:r>
      <w:r>
        <w:t>), resulta por tanto contraria al canon de resolución jurídicamente fundada (SSTC 214/1999, de 29 de noviembre, FJ 4; 164/2002, de 17 de septiembre, FJ 4; 59/2006, de 27 de febrero, FFJJ 3 y 4, o 183/2011, de 21 de noviembre, FFJJ 5 y 7).</w:t>
      </w:r>
    </w:p>
    <w:p w:rsidR="00A90898" w:rsidRDefault="00A90898" w:rsidP="00A90898">
      <w:pPr>
        <w:pStyle w:val="TextoNormal"/>
      </w:pPr>
    </w:p>
    <w:p w:rsidR="00A90898" w:rsidRDefault="00A90898" w:rsidP="00A90898">
      <w:pPr>
        <w:pStyle w:val="TextoNormal"/>
      </w:pPr>
      <w:r w:rsidRPr="00A90898">
        <w:rPr>
          <w:rStyle w:val="NumeroAFNegritaCaracter"/>
        </w:rPr>
        <w:t>5</w:t>
      </w:r>
      <w:r>
        <w:t>. El Ministerio Fiscal, en sus alegaciones, considera no obstante que en atención a la peculiar naturaleza y objeto del recurso de casación para la unificación de doctrina, la Sala de lo Social del Tribunal Supremo no tenía posibilidad de resolver si la Junta de gobierno del Ayuntamiento de Parla era o no competente para dictar el acuerdo de amortización, sino que su labor revisora se circunscribía a dirimir la contradicción de criterios judiciales (doctrina) entre las resoluciones que se le sometían a contraste, lo que justifica que no entrara a valorar aquel dato. Se suscita con ello la duda de si existía algún impedimento legal para que la Sala de lo Social pudiera apreciar la causa de nulidad del despido, varias veces referida.</w:t>
      </w:r>
    </w:p>
    <w:p w:rsidR="00A90898" w:rsidRDefault="00A90898" w:rsidP="00A90898">
      <w:pPr>
        <w:pStyle w:val="TextoNormal"/>
      </w:pPr>
    </w:p>
    <w:p w:rsidR="00A90898" w:rsidRDefault="00A90898" w:rsidP="00A90898">
      <w:pPr>
        <w:pStyle w:val="TextoNormal"/>
      </w:pPr>
      <w:r>
        <w:t>Para dar una respuesta adecuada a esta cuestión, resulta obligado atender a las Sentencias de la misma Sala de lo Social del Tribunal Supremo que la recurrente en amparo invoca en el epígrafe VII de los antecedentes de su escrito de nulidad de actuaciones y de su demanda de amparo, de las que se hizo reseña en el antecedente 2 k). Esas Sentencias presentan importancia por cuanto, además de haber sido dictadas por idéntico órgano judicial que la aquí impugnada (ya que la Sala de lo Social del Tribunal Supremo no actúa dividida en Secciones, en fase de sentencia), resolvieron recursos de casación para la unificación de doctrina instados por la misma corporación local, y respecto del mismo asunto jurídico planteado por la aquí recurrente en amparo.</w:t>
      </w:r>
    </w:p>
    <w:p w:rsidR="00A90898" w:rsidRDefault="00A90898" w:rsidP="00A90898">
      <w:pPr>
        <w:pStyle w:val="TextoNormal"/>
      </w:pPr>
    </w:p>
    <w:p w:rsidR="00A90898" w:rsidRDefault="00A90898" w:rsidP="00A90898">
      <w:pPr>
        <w:pStyle w:val="TextoNormal"/>
      </w:pPr>
      <w:r>
        <w:t>Además, de las siete Sentencias que se invocan, cinco de ellas se dictaron con anterioridad a recaer la aquí impugnada el 13 de enero de 2014, por lo que el criterio vertido en ellas ya era sobradamente conocido para entonces por la Sala. En concreto, dos Sentencias de fecha 14 de octubre de 2013 (recursos de casación para la unificación de doctrina núms. 3287-2012 y 3290-2012); una de 22 de octubre de 2013 (recurso núm. 3291-2012); otra de 18 de diciembre de 2013 (recurso núm. 118-2013) y la última de 23 de diciembre de 2013 (recurso núm. 911/2013).</w:t>
      </w:r>
    </w:p>
    <w:p w:rsidR="00A90898" w:rsidRDefault="00A90898" w:rsidP="00A90898">
      <w:pPr>
        <w:pStyle w:val="TextoNormal"/>
      </w:pPr>
    </w:p>
    <w:p w:rsidR="00A90898" w:rsidRDefault="00A90898" w:rsidP="00A90898">
      <w:pPr>
        <w:pStyle w:val="TextoNormal"/>
      </w:pPr>
      <w:r>
        <w:t xml:space="preserve">En esas Sentencias se explica, con razonamientos que prácticamente no varían en ninguna de ellas, que falta la contradicción de doctrina propuesta por el Ayuntamiento de Parla y debe por tanto desestimarse el respectivo recurso, porque la Sentencia de suplicación que éste ofrece de contraste, entre otros puntos, no había declarado que la Junta de Gobierno municipal fuese incompetente para adoptar las amortizaciones de trabajadores, cosa que sí sucede, aclara la Sala </w:t>
      </w:r>
      <w:r w:rsidRPr="00A90898">
        <w:rPr>
          <w:i/>
        </w:rPr>
        <w:t>ad quem</w:t>
      </w:r>
      <w:r>
        <w:t>, con el mentado acuerdo del 20 de octubre de 2011 del Ayuntamiento de Parla, según la declaración efectuada a su vez por las respectivas Sentencias del Tribunal Superior de Justicia de Madrid impugnadas en cada uno de dichos recursos de casación unificadora. A modo de muestra, la recaída el 14 de octubre de 2013 (recurso núm. 3287-2012), afirma en su fundamento de Derecho cuarto.4:</w:t>
      </w:r>
    </w:p>
    <w:p w:rsidR="00A90898" w:rsidRDefault="00A90898" w:rsidP="00A90898">
      <w:pPr>
        <w:pStyle w:val="TextoNormal"/>
      </w:pPr>
    </w:p>
    <w:p w:rsidR="00A90898" w:rsidRDefault="00A90898" w:rsidP="00A90898">
      <w:pPr>
        <w:pStyle w:val="TextoNormal"/>
      </w:pPr>
      <w:r>
        <w:t>“En el citado recurso, ni en consecuencia en la sentencia invocada como contradictoria, no se plantea ni se resuelve sobre si la amortización de la plaza ocupada por la trabajadora interina era competencia de la Junta de Gobierno Local o del Pleno del Ayuntamiento, por lo que, como igualmente destaca el Ministerio Fiscal en su informe, esta circunstancia impide apreciar la contradicción dado que en la sentencia impugnada el debate consistió en atribuir la competencia al Pleno del Ayuntamiento o a la Junta de Gobierno Local, cuestión ésta ausente en la sentencia de contraste, donde se declara que fue la Junta de Gobierno Local la que aprobó el acuerdo de amortización sin analizar las posibles competencias de otros órganos del Ayuntamiento sobre tal extremo.”</w:t>
      </w:r>
    </w:p>
    <w:p w:rsidR="00A90898" w:rsidRDefault="00A90898" w:rsidP="00A90898">
      <w:pPr>
        <w:pStyle w:val="TextoNormal"/>
      </w:pPr>
    </w:p>
    <w:p w:rsidR="00A90898" w:rsidRDefault="00A90898" w:rsidP="00A90898">
      <w:pPr>
        <w:pStyle w:val="TextoNormal"/>
      </w:pPr>
      <w:r>
        <w:t>A estas Sentencias sin duda se refiere la impugnada en el presente recurso de amparo cuando, aun sin citar sus datos, puntualiza en el fundamento de Derecho segundo que su objeto se “diferencia de otros casos conocidos por la Sala con motivo de recursos interpuestos por el Ayuntamiento demandado en despidos de otros trabajadores indefinidos no fijos”. Y después también en el razonamiento jurídico segundo de su Auto de 7 de julio de 2014, al desestimar el incidente de nulidad de actuaciones interpuesto contra aquélla.</w:t>
      </w:r>
    </w:p>
    <w:p w:rsidR="00A90898" w:rsidRDefault="00A90898" w:rsidP="00A90898">
      <w:pPr>
        <w:pStyle w:val="TextoNormal"/>
      </w:pPr>
    </w:p>
    <w:p w:rsidR="00A90898" w:rsidRDefault="00A90898" w:rsidP="00A90898">
      <w:pPr>
        <w:pStyle w:val="TextoNormal"/>
      </w:pPr>
      <w:r>
        <w:t>Si bien tiene razón el Fiscal al decir que no correspondía a la Sala de lo Social del Tribunal Supremo decidir la validez del Acuerdo de la Junta de Gobierno de 20-10-2011, no lo es menos sin embargo, que la Sala tenía el deber de resolver dicho recurso partiendo de lo declarado por la Sentencia de suplicación, en la que sí se incluía como hemos visto un pronunciamiento sobre la nulidad del Acuerdo de la Junta, declarando ser una de las causas de la nulidad del despido de la recurrente.</w:t>
      </w:r>
    </w:p>
    <w:p w:rsidR="00A90898" w:rsidRDefault="00A90898" w:rsidP="00A90898">
      <w:pPr>
        <w:pStyle w:val="TextoNormal"/>
      </w:pPr>
    </w:p>
    <w:p w:rsidR="00A90898" w:rsidRDefault="00A90898" w:rsidP="00A90898">
      <w:pPr>
        <w:pStyle w:val="TextoNormal"/>
      </w:pPr>
      <w:r>
        <w:t>Constituye jurisprudencia reiterada de la misma Sala de lo Social del Tribunal Supremo aquella en cuya virtud, al resolver el recurso de casación para la unificación de doctrina: “pese a que hayamos de limitarnos al examen de las infracciones legales denunciadas, cuando no coincidamos exactamente con la tesis mantenida en las sentencias contrastadas, es posible que apliquemos la doctrina que entendemos correcta, pues ‘superado el requisito de la contradicción, es evidente que esta Sala no queda obligada a aceptar una de las dos doctrinas formuladas por las sentencias comparadas’, sino que ‘debe pronunciarse sobre la solución más ajustada a Derecho para el caso controvertido’ …; solución que no incurre en incongruencia, dada la naturaleza peculiar del recurso de casación para la unificación de doctrina: ‘Resulta claro que el Tribunal Supremo no tiene la carga de tener que optar por una de las dos opciones contrarias, pudiendo recrear una doctrina propia totalmente dife</w:t>
      </w:r>
      <w:r>
        <w:lastRenderedPageBreak/>
        <w:t>rente de las mantenidas por los Tribunales inferiores’, siempre que resuelva ‘el debate planteado en suplicación’ (STC 172/1994, de 7/Junio , FJ 3)” [STS núm. 356/2016, de 28 de abril de 2016, recurso núm. 552-2015].</w:t>
      </w:r>
    </w:p>
    <w:p w:rsidR="00A90898" w:rsidRDefault="00A90898" w:rsidP="00A90898">
      <w:pPr>
        <w:pStyle w:val="TextoNormal"/>
      </w:pPr>
    </w:p>
    <w:p w:rsidR="00A90898" w:rsidRDefault="00A90898" w:rsidP="00A90898">
      <w:pPr>
        <w:pStyle w:val="TextoNormal"/>
      </w:pPr>
      <w:r>
        <w:t xml:space="preserve">En este caso, pese a la ausencia en el recurso de casación interpuesto por el Ayuntamiento de Parla, de un motivo específico dedicado a atacar el pronunciamiento de nulidad del despido por incompetencia de la Junta de Gobierno para adoptar el acuerdo de amortizaciones —y su posterior revocación por el Pleno de la misma corporación local—, la Sala </w:t>
      </w:r>
      <w:r w:rsidRPr="00A90898">
        <w:rPr>
          <w:i/>
        </w:rPr>
        <w:t>ad quem</w:t>
      </w:r>
      <w:r>
        <w:t>, una vez apreciada la concurrencia de los presupuestos del recurso, debía resolver el debate en los términos en que éste se había planteado y resuelto en la Sentencia de suplicación impugnada y en los que figuraba precisamente aquel motivo de nulidad, dictando una decisión de fondo sin prescindir de sus propios pronunciamientos recaídos en los recursos de casación para la unificación de doctrina promovidos por la misma corporación local, en los cuales sí se dio contestación a ese punto, en concreto las Sentencias citadas en este mismo fundamento jurídico. Todo ello a fin de evitar que se produzcan situaciones de desigualdad respecto de un mismo colectivo de trabajadores, afectados por idéntico acuerdo administrativo. Al no suceder esto, una de las pretensiones deducidas por la parte recurrida en el recurso de casación para la unificación de doctrina, ahora demandante de amparo, quedó sin una respuesta de fondo.</w:t>
      </w:r>
    </w:p>
    <w:p w:rsidR="00A90898" w:rsidRDefault="00A90898" w:rsidP="00A90898">
      <w:pPr>
        <w:pStyle w:val="TextoNormal"/>
      </w:pPr>
    </w:p>
    <w:p w:rsidR="00A90898" w:rsidRDefault="00A90898" w:rsidP="00A90898">
      <w:pPr>
        <w:pStyle w:val="TextoNormal"/>
      </w:pPr>
      <w:r w:rsidRPr="00A90898">
        <w:rPr>
          <w:rStyle w:val="NumeroAFNegritaCaracter"/>
        </w:rPr>
        <w:t>6</w:t>
      </w:r>
      <w:r>
        <w:t>. Ha de concluirse, por tanto, que la Sentencia impugnada en este amparo, dictada el 13 de enero de 2014 por la Sala de lo Social del Tribunal Supremo, vulneró el derecho a la tutela judicial efectiva (art. 24.1 CE) de la recurrente, en su vertiente de derecho al recurso, entendido como derecho a una sentencia de fondo que resuelva las pretensiones planteadas por ambas partes; lesión que no fue reparada por dicha Sala en el trámite de incidente de nulidad de actuaciones, manteniendo su criterio en el Auto de 7 de julio de 2014.</w:t>
      </w:r>
    </w:p>
    <w:p w:rsidR="00A90898" w:rsidRDefault="00A90898" w:rsidP="00A90898">
      <w:pPr>
        <w:pStyle w:val="TextoNormal"/>
      </w:pPr>
    </w:p>
    <w:p w:rsidR="00A90898" w:rsidRDefault="00A90898" w:rsidP="00A90898">
      <w:pPr>
        <w:pStyle w:val="TextoNormal"/>
      </w:pPr>
      <w:r>
        <w:t>Procede en consecuencia otorgar el amparo que se interesa, sin necesidad de entrar en el examen de los restantes motivos de la demanda. Declaramos la nulidad de las dos resoluciones impugnadas, con retroacción de las actuaciones al momento inmediatamente anterior al de dictarse la Sentencia del recurso de casación para la unificación de doctrina promovida por el Ayuntamiento de Parla, con el fin de que la Sala dicte nueva resolución que resulte respetuosa con el derecho fundamental de la recurrente que ha sido declarado.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amparo interpuesto por doña Ángela Coello Amores y, en su virtud:</w:t>
      </w:r>
    </w:p>
    <w:p w:rsidR="00A90898" w:rsidRDefault="00A90898" w:rsidP="00A90898">
      <w:pPr>
        <w:pStyle w:val="TextoNormal"/>
      </w:pPr>
    </w:p>
    <w:p w:rsidR="00A90898" w:rsidRDefault="00A90898" w:rsidP="00A90898">
      <w:pPr>
        <w:pStyle w:val="TextoNormal"/>
      </w:pPr>
      <w:r>
        <w:t>1º Declarar que ha sido vulnerado su derecho fundamental a la tutela judicial efectiva (art. 24.1 CE).</w:t>
      </w:r>
    </w:p>
    <w:p w:rsidR="00A90898" w:rsidRDefault="00A90898" w:rsidP="00A90898">
      <w:pPr>
        <w:pStyle w:val="TextoNormal"/>
      </w:pPr>
    </w:p>
    <w:p w:rsidR="00A90898" w:rsidRDefault="00A90898" w:rsidP="00A90898">
      <w:pPr>
        <w:pStyle w:val="TextoNormal"/>
      </w:pPr>
      <w:r>
        <w:lastRenderedPageBreak/>
        <w:t>2º Restablecerla en la integridad de su derecho y, a tal fin, declarar la nulidad de la Sentencia de la Sala de lo Social del Tribunal Supremo, de 13 de enero de 2014 (recurso de casación para la unificación de doctrina núm. 430-2013), así como también la nulidad del Auto de la misma Sala, de 7 de julio de 2014, desestimatorio del incidente del incidente de nulidad interpuesto contra dicha Sentencia.</w:t>
      </w:r>
    </w:p>
    <w:p w:rsidR="00A90898" w:rsidRDefault="00A90898" w:rsidP="00A90898">
      <w:pPr>
        <w:pStyle w:val="TextoNormal"/>
      </w:pPr>
    </w:p>
    <w:p w:rsidR="00A90898" w:rsidRDefault="00A90898" w:rsidP="00A90898">
      <w:pPr>
        <w:pStyle w:val="TextoNormal"/>
      </w:pPr>
      <w:r>
        <w:t>3º Retrotraer las actuaciones hasta el momento inmediatamente anterior al de dictarse Sentencia en el recurso de casación mencionado, para que la Sala dicte nueva resolución que resulte respetuosa con el derecho fundamental que ha sido declarado.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7" w:name="SENTENCIA_2016_148"/>
      <w:r>
        <w:lastRenderedPageBreak/>
        <w:t>SENTENCIA 148/2016, de 19 de septiembre de 2016</w:t>
      </w:r>
    </w:p>
    <w:bookmarkEnd w:id="27"/>
    <w:p w:rsidR="00A90898" w:rsidRDefault="00A90898" w:rsidP="00A90898">
      <w:pPr>
        <w:pStyle w:val="TtuloResolucin"/>
      </w:pPr>
      <w:r>
        <w:t>Sala Segunda</w:t>
      </w:r>
    </w:p>
    <w:p w:rsidR="00A90898" w:rsidRDefault="00A90898" w:rsidP="00A90898">
      <w:pPr>
        <w:pStyle w:val="TtuloBOE"/>
      </w:pPr>
      <w:r>
        <w:t>(BOE núm. 263, de 31 de octubre de 2016)</w:t>
      </w:r>
    </w:p>
    <w:p w:rsidR="00A90898" w:rsidRDefault="00A90898" w:rsidP="00A90898">
      <w:pPr>
        <w:pStyle w:val="TextoNormalCentrado"/>
      </w:pPr>
      <w:r>
        <w:t>ECLI:ES:TC:2016:148</w:t>
      </w:r>
    </w:p>
    <w:p w:rsidR="00A90898" w:rsidRDefault="00A90898" w:rsidP="00A90898">
      <w:pPr>
        <w:pStyle w:val="TextoNormalCentrado"/>
      </w:pPr>
    </w:p>
    <w:p w:rsidR="00A90898" w:rsidRDefault="00A90898" w:rsidP="00A90898">
      <w:pPr>
        <w:pStyle w:val="SntesisDescriptiva"/>
      </w:pPr>
      <w:r>
        <w:t>Recurso de amparo 7120-2014. Promovido por don Jorge Pacheco Cordero y doña Raquel Blanco Ruiz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archivo de las actuaciones por litispendencia resultante de una interpretación irrazonable de la ley procesal (STC 106/2013)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(TJUE) [FJ 6].</w:t>
      </w:r>
    </w:p>
    <w:p w:rsidR="00A90898" w:rsidRDefault="00A90898" w:rsidP="00A90898">
      <w:pPr>
        <w:pStyle w:val="Extracto"/>
      </w:pPr>
    </w:p>
    <w:p w:rsidR="00A90898" w:rsidRDefault="00A90898" w:rsidP="00A90898">
      <w:pPr>
        <w:pStyle w:val="Extracto"/>
      </w:pPr>
      <w:r>
        <w:t>2.</w:t>
      </w:r>
      <w:r>
        <w:tab/>
        <w:t>La Ley en ninguna de sus normas impuso ni impone la suspensión o el archivo de los procesos de nulidad individual una vez admitida a trámite una demanda de cesación, en la que se impugne la cláusula de la misma entidad [FJ 4].</w:t>
      </w:r>
    </w:p>
    <w:p w:rsidR="00A90898" w:rsidRDefault="00A90898" w:rsidP="00A90898">
      <w:pPr>
        <w:pStyle w:val="Extracto"/>
      </w:pPr>
    </w:p>
    <w:p w:rsidR="00A90898" w:rsidRDefault="00A90898" w:rsidP="00A90898">
      <w:pPr>
        <w:pStyle w:val="Extracto"/>
      </w:pPr>
      <w:r>
        <w:t>3.</w:t>
      </w:r>
      <w:r>
        <w:tab/>
        <w:t>El criterio del TJUE se funda en las diferencias que existen entre las acciones de cesación y las acciones individuales, pues siendo las primeras de carácter preventivo y finalidad disuasoria, ambas tienen, en el marco de la Directiva 93/13, objetos y efectos jurídicos diferentes, sin que la articulación de esas diferentes acciones deba conducir a una merma de la protección de los consumidores [FJ 5].</w:t>
      </w:r>
    </w:p>
    <w:p w:rsidR="00A90898" w:rsidRDefault="00A90898" w:rsidP="00A90898">
      <w:pPr>
        <w:pStyle w:val="Extracto"/>
      </w:pPr>
    </w:p>
    <w:p w:rsidR="00A90898" w:rsidRDefault="00A90898" w:rsidP="00A90898">
      <w:pPr>
        <w:pStyle w:val="Extracto"/>
      </w:pPr>
      <w:r>
        <w:t>4.</w:t>
      </w:r>
      <w:r>
        <w:tab/>
        <w:t>El TJUE recuerda que, si bien corresponde al ordenamiento jurídico interno de cada Estado miembro establecer las reglas que regulen las relaciones entre ambas clases de acciones -individuales y de cesación-, dichas reglas deben cumplir tanto con el principio de equivalencia -no sean menos favorables que las que rigen situaciones similares sometidas al Derecho interno-, como el de efectividad -que no hagan imposible en la práctica o excesivamente difícil el ejercicio de los derechos que el Derecho de la Unión confiere a los consumidores- [FJ 5].</w:t>
      </w:r>
    </w:p>
    <w:p w:rsidR="00A90898" w:rsidRDefault="00A90898" w:rsidP="00A90898">
      <w:pPr>
        <w:pStyle w:val="Extracto"/>
      </w:pPr>
    </w:p>
    <w:p w:rsidR="00A90898" w:rsidRDefault="00A90898" w:rsidP="00A90898">
      <w:pPr>
        <w:pStyle w:val="Extracto"/>
      </w:pPr>
      <w:r>
        <w:t>5.</w:t>
      </w:r>
      <w:r>
        <w:tab/>
        <w:t>El consumidor individual no necesita estar presente en las actuaciones del proceso colectivo y, por ello mismo, puede actuar al margen de él ejercitando la acción de nulidad individual en un proceso autónomo [FJ 4].</w:t>
      </w:r>
    </w:p>
    <w:p w:rsidR="00A90898" w:rsidRDefault="00A90898" w:rsidP="00A90898">
      <w:pPr>
        <w:pStyle w:val="Extracto"/>
      </w:pPr>
    </w:p>
    <w:p w:rsidR="00A90898" w:rsidRDefault="00A90898" w:rsidP="00A90898">
      <w:pPr>
        <w:pStyle w:val="Extracto"/>
      </w:pPr>
      <w:r>
        <w:lastRenderedPageBreak/>
        <w:t>6.</w:t>
      </w:r>
      <w:r>
        <w:tab/>
        <w:t>El derecho a la tutela judicial efectiva puede satisfacerse con una decisión de inadmisión, siempre y cuando esta respuesta sea consecuencia de la aplicación razonada y proporcionada de una causa legal en la que se prevea tal consecuencia (STC 49/2016) [FJ 3].</w:t>
      </w:r>
    </w:p>
    <w:p w:rsidR="00A90898" w:rsidRDefault="00A90898" w:rsidP="00A90898">
      <w:pPr>
        <w:pStyle w:val="Extracto"/>
      </w:pPr>
    </w:p>
    <w:p w:rsidR="00A90898" w:rsidRDefault="00A90898" w:rsidP="00A90898">
      <w:pPr>
        <w:pStyle w:val="Extracto"/>
      </w:pPr>
      <w:r>
        <w:t>7.</w:t>
      </w:r>
      <w:r>
        <w:tab/>
        <w:t xml:space="preserve">Como efectos propios de la estimación del amparo por vulneración del derecho de acceso a la jurisdicción de los recurrentes, se declara la nulidad de los Autos recurridos y la retroacción de las actuaciones al momento inmediatamente anterior al de haberse dictado el primero, para que el Juzgado de lo Mercantil </w:t>
      </w:r>
      <w:r w:rsidRPr="00A90898">
        <w:rPr>
          <w:i/>
        </w:rPr>
        <w:t>a quo</w:t>
      </w:r>
      <w:r>
        <w:t xml:space="preserve"> provea en términos que resulten respetuosos con el derecho fundamental declarado; esto es, ordenando la continuación del procedimiento en primera instancia, hasta su resolución por Sentencia que resuelva el fondo de las pretensiones deducidas por las partes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7120-2014, promovido por don Jorge Pacheco Cordero y doña Raquel Blanco Ruiz, representados por la Procuradora de los Tribunales doña María José Rodríguez Teijeiro y asistidos por la abogada doña Montse Andrés Sabaté, contra el Auto del Juzgado de lo Mercantil núm. 4 de Barcelona, de 24 de julio de 2013 (procedimiento ordinario núm. 779-2012) y contra el Auto de la Sección Decimoquinta de la Audiencia Provincial de Barcelona, de 9 de octubre de 2014, que desestimó el recurso de apelación (rollo núm. 500-2013) promovido contra la resolución anterior. Ha actuado como parte la entidad Catalunya Banc SA, representada por el Procurador don Argimiro Vázquez Guillén y asistida por el abogado don Ignasi Fernández de Senespleda. Ha intervenido el Ministerio Fiscal.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25 de noviembre de 2014, la Procuradora de los Tribunales doña María José Rodríguez Teijeiro, actuando en nombre de don Jorge Pacheco Cordero y doña Raquel Blanco Ruiz,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Con fecha 23 de noviembre de 2012, los ahora recurrentes en amparo interpusieron demanda de juicio ordinario frente a la entidad Catalunya Banc, S.A., ejercitando conjuntamente una acción declarativa de nulidad de una condición general de la contratación y otra de reclamación de cantidad. Se alegaba por los recurrentes que, tras la constitución el día 10 de marzo de 2006 de una hipoteca sobre la vivienda de su propiedad con el fin de garantizar la devolución del préstamo otorgado a su favor por la entidad Caixa D’Estalvis de Manresa, se acordó entre ambas partes una modificación posterior de las condiciones de dicho préstamo mediante escritura pública de 8 de octubre de 2009 (aportada como documento 2 de la demanda). En lo que es aquí de interés, se incluyó entre dichas modificaciones la del tipo de interés aplicable a la vida del préstamo, que consistía en la aplicación, en una primera etapa, de un interés a tipo fijo o “predeterminado” del 3,50 por 100 nominal anual, que abarcaba desde el día de la firma de la escritura hasta el 8 de octubre de 2010 inclusive; y otra segunda etapa, “de interés variable”, comprendida desde el día siguiente al de finalización de la primera etapa hasta el día de vencimiento del préstamo, con la inclusión de una estipulación cuarta, apartado B de la escritura, que tenía el siguiente tenor literal: “se pacta expresamente que el tipo de interés aplicable al devengo de los intereses ordinarios no podrá ser, en ningún caso, superior al 15,00 por 100 nominal anual ni inferior al 3,50 por 100 nominal anual”.</w:t>
      </w:r>
    </w:p>
    <w:p w:rsidR="00A90898" w:rsidRDefault="00A90898" w:rsidP="00A90898">
      <w:pPr>
        <w:pStyle w:val="TextoNormal"/>
      </w:pPr>
    </w:p>
    <w:p w:rsidR="00A90898" w:rsidRDefault="00A90898" w:rsidP="00A90898">
      <w:pPr>
        <w:pStyle w:val="TextoNormal"/>
      </w:pPr>
      <w:r>
        <w:t>La demanda de los actores combatía precisamente el extremo de esa estipulación que hacía referencia al límite mínimo del 3,50 por 100 nominal anual, en referencia a lo que se conoce como “cláusula suelo”. Argumentaban aquéllos que dicha cláusula es nula de pleno derecho por abusiva, al no haber podido negociarse individualmente, resultar contraria a las exigencias de la buena fe y causar un desequilibrio contractual en su perjuicio, teniendo en cuenta su condición jurídica de consumidores. Por ello, solicitaban, además de su nulidad, la devolución de lo pagado en exceso durante la vigencia de dicha estipulación, al no haber podido acogerse a las fluctuaciones del mercado, daño que cuantificaban en la cantidad de seis mil ochocientos setenta euros con noventa y ocho céntimos (6.870,98 €), con los intereses legales devengados “desde la fecha de cada cobro”.</w:t>
      </w:r>
    </w:p>
    <w:p w:rsidR="00A90898" w:rsidRDefault="00A90898" w:rsidP="00A90898">
      <w:pPr>
        <w:pStyle w:val="TextoNormal"/>
      </w:pPr>
    </w:p>
    <w:p w:rsidR="00A90898" w:rsidRDefault="00A90898" w:rsidP="00A90898">
      <w:pPr>
        <w:pStyle w:val="TextoNormal"/>
      </w:pPr>
      <w:r>
        <w:t xml:space="preserve">b) La demanda “sobre acción declarativa de nulidad de condición general de la contratación y acción de reclamación de cantidad” fue turnada al Juzgado de lo Mercantil núm. 4 de Barcelona y admitida a trámite en virtud de decreto de su Secretaría de 17 de enero de 2013. Conferido traslado de la misma a la parte demandada, la entidad Catalunya Banc, S.A., su representación procesal presentó contestación en fecha 18 de febrero siguiente interesando, con carácter previo y como primer óbice procesal, la apreciación de la excepción procesal de prejudicialidad civil de los “arts. 43 y 405.3 LEC”, alegando que dicha entidad había sido demandada con anterioridad a este procedimiento por parte de la Asociación de usuarios de Bancos, Cajas de Ahorros y Seguros de España (ADICAE), en el que había instado un proceso para la protección de derechos e intereses colectivos y difusos de consumidores y usuarios. Añadía a lo expuesto que la demanda había sido admitida a trámite por el Juzgado de lo Mercantil núm. 11 de Madrid (procedimiento ordinario núm. 471-2010) y que la misma contenía en el apartado segundo del suplico la misma petición que la demanda presentada por los actores, de ahí que concluyera solicitando la suspensión de la tramitación </w:t>
      </w:r>
      <w:r>
        <w:lastRenderedPageBreak/>
        <w:t>del pleito por la concurrencia de un supuesto de prejudicialidad civil hasta que el Juzgado de Madrid dilucidara la controversia allí planteada.</w:t>
      </w:r>
    </w:p>
    <w:p w:rsidR="00A90898" w:rsidRDefault="00A90898" w:rsidP="00A90898">
      <w:pPr>
        <w:pStyle w:val="TextoNormal"/>
      </w:pPr>
    </w:p>
    <w:p w:rsidR="00A90898" w:rsidRDefault="00A90898" w:rsidP="00A90898">
      <w:pPr>
        <w:pStyle w:val="TextoNormal"/>
      </w:pPr>
      <w:r>
        <w:t>Seguidamente, suscitó, como segundo óbice procesal, la constatación de que existía “litispendencia de causa civil (400.2, 405.3, 410, 416.1.2 y 421 LEC)”. Aceptando la calificación como consumidor de los actores, se sostenía que “ejercitada con anterioridad una demanda que dio lugar a un procedimiento en la que se ofreció la posibilidad de ser parte en el mismo mediante la publicación de edictos en el periódico ‘El País’, como señala el decreto de admisión de la demanda, no es procedente abrir un nuevo procedimiento separado cuyo objeto es el mismo. Todo ello, evidentemente, sin perjuicio de la facultad que tiene el demandante de participar en aquel procedimiento en la fase de ejecución como beneficiario de la sentencia, al amparo de lo previsto en el artículo 519 LEC”.</w:t>
      </w:r>
    </w:p>
    <w:p w:rsidR="00A90898" w:rsidRDefault="00A90898" w:rsidP="00A90898">
      <w:pPr>
        <w:pStyle w:val="TextoNormal"/>
      </w:pPr>
    </w:p>
    <w:p w:rsidR="00A90898" w:rsidRDefault="00A90898" w:rsidP="00A90898">
      <w:pPr>
        <w:pStyle w:val="TextoNormal"/>
      </w:pPr>
      <w:r>
        <w:t>Finalmente la parte se oponía al fondo de las pretensiones suscitadas en la demanda y concluía con la desestimación íntegra de esta.</w:t>
      </w:r>
    </w:p>
    <w:p w:rsidR="00A90898" w:rsidRDefault="00A90898" w:rsidP="00A90898">
      <w:pPr>
        <w:pStyle w:val="TextoNormal"/>
      </w:pPr>
    </w:p>
    <w:p w:rsidR="00A90898" w:rsidRDefault="00A90898" w:rsidP="00A90898">
      <w:pPr>
        <w:pStyle w:val="TextoNormal"/>
      </w:pPr>
      <w:r>
        <w:t>c) Con posterioridad, en el decurso de las actuaciones, tuvo lugar la celebración de vista oral del procedimiento el día 21 de marzo de 2013 y, ulteriormente, mediante providencia de 17 de junio de 2013, en acatamiento “de la doctrina conformada por la STS Pleno Sala de lo Civil de 9 de mayo de 2013”, se acordó citar a las partes a una comparecencia en la sede del Juzgado el día 11 de julio siguiente “a fin y efecto de ‘someter a las partes todos los factores que puedan incidir en la declaración de abusividad de la cláusula o cláusulas eventualmente nulas, a fin de facilitarles la defensa de sus intereses…’ (f. 126 de la citada Sentencia)…”, la que se llevó a efecto en la fecha indicada.</w:t>
      </w:r>
    </w:p>
    <w:p w:rsidR="00A90898" w:rsidRDefault="00A90898" w:rsidP="00A90898">
      <w:pPr>
        <w:pStyle w:val="TextoNormal"/>
      </w:pPr>
    </w:p>
    <w:p w:rsidR="00A90898" w:rsidRDefault="00A90898" w:rsidP="00A90898">
      <w:pPr>
        <w:pStyle w:val="TextoNormal"/>
      </w:pPr>
      <w:r>
        <w:t>d) Con fecha 24 de julio de 2013, el Juzgado dictó Auto acordando estimar la excepción de prejudicialidad civil planteada por la representación de Catalunya Banc, S.A., y la suspensión del procedimiento hasta que recayera resolución firme en el proceso seguido ante el Juzgado de lo Mercantil núm. 11 de Madrid. En su fundamentación, el Juzgado, luego de reconocer la complejidad de la cuestión que le había sido suscitada por la dificultad de tener que ”compatibilizar los diferentes intereses en juego” y de señalar que, de una parte, el art. 11.1 de la Ley de enjuiciamiento civil (LEC) reconocía legitimación a las asociaciones de consumidores y usuarios para defender los intereses de éstos, pero también, de otra, confería legitimación activa a los consumidores individuales para defender sus propios intereses, permitiendo extender los efectos de la cosa juzgada material a los consumidores no litigantes, destacaba de modo textual en su fundamento jurídico 3 que tal circunstancia “implicaría que promovido un pleito con las misma [sic] pretensiones por una asociación de consumidores no pudieran plantearse acciones individuales o las que se plantearan fueran sobreseídas, art. 421 LEC, mientras que se [sic] la coincidencia no es total sino parcial, el procedimiento tendría que suspenderse por prejudicialidad civil, art. 421.1 y 43 LEC”. Por ello y, según refería la resolución, para evitar “resoluciones contradictorias” y con apoyo, también, en un precedente Auto de la Sección Decimoquinta de la Audiencia Provincial de Barcelona (de 11 de junio de 2013), que, según razonaba el Juzgado, era similar al de autos, estimó procedente la existencia de una prejudicialidad civil, conforme prevé el art. 43 LEC, y acordó la suspensión del procedimiento hasta tanto fuera resuelto el seguido ante el Juzgado de lo Mercantil núm. 11 de Madrid.</w:t>
      </w:r>
    </w:p>
    <w:p w:rsidR="00A90898" w:rsidRDefault="00A90898" w:rsidP="00A90898">
      <w:pPr>
        <w:pStyle w:val="TextoNormal"/>
      </w:pPr>
    </w:p>
    <w:p w:rsidR="00A90898" w:rsidRDefault="00A90898" w:rsidP="00A90898">
      <w:pPr>
        <w:pStyle w:val="TextoNormal"/>
      </w:pPr>
      <w:r>
        <w:lastRenderedPageBreak/>
        <w:t>e) Contra el indicado Auto, la parte actora interpuso recurso de apelación en el que, además de alegar en el plano de la legalidad ordinaria la infracción del art. 43 LEC y argumentar que el ejercicio de la acción colectiva por parte de ADICAE no impedía a los interesados ejercitar las acciones individuales que tuvieran por conveniente con base en lo previsto en el art. 11.1 LEC, los recurrentes sostuvieron que la tesis del Juzgado conducía “al absurdo de que una medida legal creada para reforzar la defensa de los consumidores y usuarios, como son las acciones colectivas, son contraproducentes para la defensa individual de esos consumidores … lo que estaría vulnerando un derecho fundamental cual es el de la tutela judicial efectiva consagrado en el art. 24 CE”.</w:t>
      </w:r>
    </w:p>
    <w:p w:rsidR="00A90898" w:rsidRDefault="00A90898" w:rsidP="00A90898">
      <w:pPr>
        <w:pStyle w:val="TextoNormal"/>
      </w:pPr>
    </w:p>
    <w:p w:rsidR="00A90898" w:rsidRDefault="00A90898" w:rsidP="00A90898">
      <w:pPr>
        <w:pStyle w:val="TextoNormal"/>
      </w:pPr>
      <w:r>
        <w:t>f) La Sección Decimoquinta de la Audiencia Provincial de Barcelona (rollo de apelación núm. 500-2013) dictó Auto el día 9 de octubre de 2014, en el seno del rollo de apelación 500-2013,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 sin expresa imposición de costas por apreciar “dudas de derecho”.</w:t>
      </w:r>
    </w:p>
    <w:p w:rsidR="00A90898" w:rsidRDefault="00A90898" w:rsidP="00A90898">
      <w:pPr>
        <w:pStyle w:val="TextoNormal"/>
      </w:pPr>
    </w:p>
    <w:p w:rsidR="00A90898" w:rsidRDefault="00A90898" w:rsidP="00A90898">
      <w:pPr>
        <w:pStyle w:val="TextoNormal"/>
      </w:pPr>
      <w:r>
        <w:t>Los argumentos desplegados por el Auto de referencia (fundamentos jurídicos 3 a 5) para tomar su decisión fueron, en síntesis, los siguientes:</w:t>
      </w:r>
    </w:p>
    <w:p w:rsidR="00A90898" w:rsidRDefault="00A90898" w:rsidP="00A90898">
      <w:pPr>
        <w:pStyle w:val="TextoNormal"/>
      </w:pPr>
    </w:p>
    <w:p w:rsidR="00A90898" w:rsidRDefault="00A90898" w:rsidP="00A90898">
      <w:pPr>
        <w:pStyle w:val="TextoNormal"/>
      </w:pPr>
      <w:r>
        <w:t xml:space="preserve">En primer lugar (FJ 3), con apoyo en el art. 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artículo 15 LEC, esto es, intervenir en el proceso, o bien solicitar la acumulación de la acción individual a la colectiva (siempre que se cumplan los requisitos que exige el artículo 76.2.1 LEC) o interesar la extensión de los efectos del pronunciamiento en fase de ejecución (artículo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ya que cosa juzgada y litispendencia no son más que dos aspectos de una misma cuestión separados por una perspectiva temporal. La litispendencia se produce de forma provisional en los mismos supuestos en los que vendrá a operar el efecto negativo de la cosa juzgada, impidiendo la apertura del proceso o su continuación una vez iniciado. De manera que tiene razón la recurrente cuando alega que no se cumplen en el supuesto enjuiciado los presupuestos establecidos en el art. 43 LEC, norma que regula la prejudicialidad civil, sino que lo que existe es identidad de objeto”. A la vista de este razonamiento, llega a la conclusión de que “existe identidad de objeto en el supuesto enjuiciado porque la condición general impugnada en ambos en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w:t>
      </w:r>
      <w:r>
        <w:lastRenderedPageBreak/>
        <w:t>los afectados, o (ii) en la fase de ejecución, en el caso de que en la sentencia no se hubiera hecho aquella concreción”.</w:t>
      </w:r>
    </w:p>
    <w:p w:rsidR="00A90898" w:rsidRDefault="00A90898" w:rsidP="00A90898">
      <w:pPr>
        <w:pStyle w:val="TextoNormal"/>
      </w:pPr>
    </w:p>
    <w:p w:rsidR="00A90898" w:rsidRDefault="00A90898" w:rsidP="00A90898">
      <w:pPr>
        <w:pStyle w:val="TextoNormal"/>
      </w:pPr>
      <w:r>
        <w:t>En segundo término (FJ 4), la Sala arguye que, aun cuando el art. 11.1 LEC reconozca legitimación activa a los perjudicados titulares de acciones individuales, tal circunstancia no se opone a la apreciación de litispendencia, pues sostiene que el hecho de que “tengan legitimación activa los particulares afectados no significa que deban mantener abierta de forma incondicional la posibilidad de actuar en un proceso separado. Iniciada la acción colectiva de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sino que únicamente se condiciona el ejercicio de las acciones individuales de una forma concreta y determinada (acumulada a otras, las colectivas), de manera que permite conciliar esos derechos individuales con los de los demás afectados”. Se trataría, por tanto, de “normas de organización procesal que pretenden salvaguardar el interés general (los intereses colectivos) respetando el buen orden procesal (la cosa juzgada)”.</w:t>
      </w:r>
    </w:p>
    <w:p w:rsidR="00A90898" w:rsidRDefault="00A90898" w:rsidP="00A90898">
      <w:pPr>
        <w:pStyle w:val="TextoNormal"/>
      </w:pPr>
    </w:p>
    <w:p w:rsidR="00A90898" w:rsidRDefault="00A90898" w:rsidP="00A90898">
      <w:pPr>
        <w:pStyle w:val="TextoNormal"/>
      </w:pPr>
      <w:r>
        <w:t>Finalmente, concluye la Sala (FJ 5) afirmando que “la cuestión objeto de este recurso forma parte del orden público procesal, de forma que tanto el órgano de la primera instancia como el de la segunda pueden apreciarla de oficio. Ello nos autoriza a ir más allá de lo que los términos del recurso permiten para modificar el contenido del pronunciamiento recurrido y establecerlo en términos más onerosos incluso para la parte recurrente, dado que lo procedente no es solo la suspensión del proceso sino su archivo, consecuencia de la apreciación de la concurrencia de litispendencia”. Insiste en este sentido, en la tesis de que “el principio de prohibición de la reforma peyorativa debe ceder ante cuestiones de orden público procesal como la que enjuiciamos. Si nos limitáramos a desestimar el recurso y confirmar la resolución recurrida, estaríamos dando lugar a un equívoco inadmisible, por incompatible con el efecto negativo de la cosa juzgada: cuando finalice el pleito anterior como consecuencia de haber recaído una sentencia firme no podrá reiniciarse este proceso sea cual sea el resultado de la acción colectiva. Por ello estimamos que no podemos dar lugar a la creación de una situación equívoca que nada favorecería los intereses de los consumidores afectados”.</w:t>
      </w:r>
    </w:p>
    <w:p w:rsidR="00A90898" w:rsidRDefault="00A90898" w:rsidP="00A90898">
      <w:pPr>
        <w:pStyle w:val="TextoNormal"/>
      </w:pPr>
    </w:p>
    <w:p w:rsidR="00A90898" w:rsidRDefault="00A90898" w:rsidP="00A90898">
      <w:pPr>
        <w:pStyle w:val="TextoNormal"/>
      </w:pPr>
      <w:r>
        <w:t xml:space="preserve">g) Notificado el Auto a la parte apelante, se promovió por ésta incidente de nulidad de actuaciones mediante escrito de fecha 11 de noviembre de 2014, en el que alegó que dicha resolución judicial había optado por la interpretación “más gravosa … cual es el archivo de su recurso, prohibiéndole a mi representado acceder a la tutela judicial efectiva”; e insistiendo en el derecho de los consumidores al ejercicio de las acciones individuales </w:t>
      </w:r>
      <w:r w:rsidRPr="00A90898">
        <w:rPr>
          <w:i/>
        </w:rPr>
        <w:t>ex</w:t>
      </w:r>
      <w:r>
        <w:t xml:space="preserve"> art. 11.1 LEC. Sin embargo, el 24 de noviembre siguiente el representante procesal de los apelantes presentó otro escrito ante la Audiencia manifestando que dicha parte “procede a desistir del recurso de nulidad de actuaciones interpuesto”; dictando la Secretaría de la Sección Decimoquinta, decreto de 1 de diciembre de 2014 por el que tuvo por desistida a la parte de dicho incidente.</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Seguidamente, los actores formalizaron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00A90898" w:rsidRDefault="00A90898" w:rsidP="00A90898">
      <w:pPr>
        <w:pStyle w:val="TextoNormal"/>
      </w:pPr>
    </w:p>
    <w:p w:rsidR="00A90898" w:rsidRDefault="00A90898" w:rsidP="00A90898">
      <w:pPr>
        <w:pStyle w:val="TextoNormal"/>
      </w:pPr>
      <w:r>
        <w:t>Más adelante, en el bloque de fundamentos de derecho procesales, en concreto en el epígrafe dedicado al requisito del debido agotamiento de la vía judicial previa al amparo, art. 44.1.a) de la Ley Orgánica del Tribunal Constitucional (LOTC), la demanda explica que dicha parte actora “ha tenido serias dificultades” para su cumplimiento. Que, siendo el Auto de la Audiencia Provincial firme y no caber contra él recurso alguno, “parecía claro que la vía judicial previa al recurso de amparo se agotaba con la interposición del recurso de nulidad de actuaciones ante el órgano que dictó dicha resolución”; incidente que, en efecto, los recurrentes promovieron. Sin embargo, prosigue diciendo la demanda, “dicha interpretación, fue pacífica hasta que el Tribunal Constitucional, en Pleno, dictó la STC 216/2013, de 19 de diciembre”, de la que reproduce su fundamento jurídico 2 d), donde se declara que, para el agotamiento de la vía judicial previa, “basta comprobar que los órganos judiciales han tenido la oportunidad de pronunciarse sobre los derechos fundamentales luego invocados en vía de amparo constitucional, para estimar cumplido el mencionado requisito”, por lo que “cuando el objeto del proceso consista en el estudio de la lesión directa del derecho … consecuencia de la revocación de las Sentencias de las instancias previas, no requiere la necesaria interposición del incidente de nulidad”. Añade el escrito que la disyuntiva entre interponer el incidente o no hacerlo “no es baladí, ya que optar por la interposición del recurso sin ser necesario conllevaría una interposición extemporánea del recurso de amparo, y no interponerlo siendo preceptivo conllevaría una inadmisión del recurso por no cumplir el requisito del agotamiento previo de la vía judicial”. Y finaliza en este punto la demanda diciendo que: “En consecuencia, esta parte ha llegado a la conclusión que en este supuesto no es necesaria la interposición del recurso [</w:t>
      </w:r>
      <w:r w:rsidRPr="00A90898">
        <w:rPr>
          <w:i/>
        </w:rPr>
        <w:t>sic</w:t>
      </w:r>
      <w:r>
        <w:t>] de nulidad de actuaciones y que, por tanto, debemos interponer directamente el presente recurso de amparo, habida cuenta que el órgano judicial que dictó el Auto, recurrido ahora en amparo, ya tuvo oportunidad de pronunciarse sobre la vulneración del derecho fundamental objeto de la presente demanda (art. 24. CE) entendiendo que no existía ‘afectación alguna relevante desde la perspectiva del art. 24 CE’, por ende, ha de concluirse que se han agotado todos los recursos preceptivos de la vía judicial. Esta parte ha procedido a desistir, antes de que la demandada haya presentado alegaciones, del recurso de nulidad de actuaciones que interpuso en su día”.</w:t>
      </w:r>
    </w:p>
    <w:p w:rsidR="00A90898" w:rsidRDefault="00A90898" w:rsidP="00A90898">
      <w:pPr>
        <w:pStyle w:val="TextoNormal"/>
      </w:pPr>
    </w:p>
    <w:p w:rsidR="00A90898" w:rsidRDefault="00A90898" w:rsidP="00A90898">
      <w:pPr>
        <w:pStyle w:val="TextoNormal"/>
      </w:pPr>
      <w: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w:t>
      </w:r>
      <w:r>
        <w:lastRenderedPageBreak/>
        <w:t xml:space="preserve">del canon del principio </w:t>
      </w:r>
      <w:r w:rsidRPr="00A90898">
        <w:rPr>
          <w:i/>
        </w:rPr>
        <w:t>pro actione</w:t>
      </w:r>
      <w:r>
        <w:t xml:space="preserve">,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y, desde ese punto de vista, excluir la procedencia de las excepciones planteadas por la entidad bancaria”. Tras citar la recomendación de 11 de junio de 2013 de la Comisión Europea, defiende que no hay peligro en estos casos de sentencias contradictorias “pues los intereses en juego en cada una de las acciones es distinto y tanto más cuando, como es el caso, mis representados no forman parte del elenco de los concretos intereses defendidos en el otro proceso ni tan siquiera que hayan sido llamados a ese proceso lo que, en todo caso, no puede constituirse ni en una obligación ni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w:t>
      </w:r>
      <w:r w:rsidRPr="00A90898">
        <w:rPr>
          <w:i/>
        </w:rPr>
        <w:t>causa petendi</w:t>
      </w:r>
      <w:r>
        <w:t xml:space="preserve"> entre la acción ejercida por esta parte y la acción colectiva interpuesta por ADICAE y que se sustancia en el Juzgado Mercantil núm. 11 de Madrid”. Insiste finalmente en una lectura integrada de los arts. 11.1 LEC y 24.1 CE, para no excluir el ejercicio de las acciones individuales.</w:t>
      </w:r>
    </w:p>
    <w:p w:rsidR="00A90898" w:rsidRDefault="00A90898" w:rsidP="00A90898">
      <w:pPr>
        <w:pStyle w:val="TextoNormal"/>
      </w:pPr>
    </w:p>
    <w:p w:rsidR="00A90898" w:rsidRDefault="00A90898" w:rsidP="00A90898">
      <w:pPr>
        <w:pStyle w:val="TextoNormal"/>
      </w:pPr>
      <w:r>
        <w:t>El suplico de la demanda solicita la declaración de nulidad del Auto de la Sección Decimoquinta de la Audiencia Provincial de Barcelona, de 9 de octubre de 2014 y que, como consecuencia de ello, “se ordene la emisión de una sentencia sobre el fondo según las pretensiones y peticiones de las partes que constan en los autos, restableciendo de este modo los derechos a la tutela judicial efectiva de los recurrentes”.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diligencia de ordenación de 17 de diciembre de 2014, la Secretaría de Justicia de la Sección Cuarta de este Tribunal requirió al Procurador de los recurrentes para que aportara copia del Auto dictado por el Juzgado de lo Mercantil núm. 4 de Barcelona, así como el poder original acreditativo de la representación que dice ostentar. El requerimiento fue cumplimentado por dicha representación procesal, a través de escrito de 26 de diciembre de 2014.</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Con fecha 22 de junio de 2015, la Sección Cuarta, Sala Segunda, de este Tribunal, dictó providencia admitiendo a trámite la demanda de amparo, “apreciando que ofrece especial trascendencia constitucional (art. 50.1 LOTC), toda vez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4 de Barcelona, para que remitieran certificación o fotocopia adverada de las actuaciones correspondientes, </w:t>
      </w:r>
      <w:r>
        <w:lastRenderedPageBreak/>
        <w:t>con emplazamiento a quienes hubiesen sido partes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Por medio de escrito presentado el día 10 de julio de 2015, el Procurador de los Tribunales don Argimiro Vázquez Guillén vino a personarse en nombre y representación de la entidad Catalunya Banc, S.A., solicitando se entendieran con él las sucesivas diligencias y notificaciones.</w:t>
      </w:r>
    </w:p>
    <w:p w:rsidR="00A90898" w:rsidRDefault="00A90898" w:rsidP="00A90898">
      <w:pPr>
        <w:pStyle w:val="TextoNormal"/>
      </w:pPr>
    </w:p>
    <w:p w:rsidR="00A90898" w:rsidRDefault="00A90898" w:rsidP="00A90898">
      <w:pPr>
        <w:pStyle w:val="TextoNormal"/>
      </w:pPr>
      <w:r w:rsidRPr="00A90898">
        <w:rPr>
          <w:rStyle w:val="NumeroAFNegritaCaracter"/>
        </w:rPr>
        <w:t>7</w:t>
      </w:r>
      <w:r>
        <w:t>. La Secretaría de Justicia de la Sala Segunda de este Tribunal dictó diligencia de ordenación el día 14 de julio de 2015, por la que tuvo por personado y parte en el procedimiento al Procurador indicado, en nombre y representación de Catalunya Banc S.A., si bien con la condición de que en el plazo de diez días aportase la escritura de poder acreditativa de tal representación, lo que efectuó el día 17 de julio siguiente. Asimismo, en la diligencia de ordenación del día 14 de julio se acordó abrir trámite de audiencia por 20 días a las partes personadas y al Ministerio Fiscal, a fin de que pudieran presentar alegaciones conforme determina el art. 52.1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día 31 de julio de 2015, la representante procesal de los recurrentes en amparo presentó sus alegaciones, informando que ante el Tribunal de Justicia de la Unión Europea pendía una cuestión prejudicial relativa a la interpretación de la Directiva 91/13/CEE [</w:t>
      </w:r>
      <w:r w:rsidRPr="00A90898">
        <w:rPr>
          <w:i/>
        </w:rPr>
        <w:t>sic</w:t>
      </w:r>
      <w:r>
        <w:t>], del Consejo, de 5 de abril de 1993, sobre las cláusulas abusivas en los contratos celebrados con consumidores, en la que se plantea “si el art. 7 de dicha Directiva se opone a una normativa procesal nacional según la cual los procedimientos judiciales individuales sobre cláusulas abusivas, entablados paralelamente a procedimientos colectivos, deben suspenderse, por existir prejudicialidad civil, hasta que recaiga sentencia firme en los procedimientos colectivos, quedando también vinculados a lo que se decida en dicha sentencia”. En relación a dicho procedimiento, se aportó informe del Servicio Jurídico de la Comisión Europea en los asuntos acumulados C-381/14 y C-385/14, cuyo criterio “es relevante y debe ser conocido por este Alto Tribunal”, acompañando copia del mismo, y reproduciendo varios de sus apartados así como su conclusión, según la cual una norma nacional que prevea suspender los procedimientos individuales hasta que recaiga sentencia firme en los procesos colectivos, se opone al art. 7 de la Directiva 93/13/CEE.</w:t>
      </w:r>
    </w:p>
    <w:p w:rsidR="00A90898" w:rsidRDefault="00A90898" w:rsidP="00A90898">
      <w:pPr>
        <w:pStyle w:val="TextoNormal"/>
      </w:pPr>
    </w:p>
    <w:p w:rsidR="00A90898" w:rsidRDefault="00A90898" w:rsidP="00A90898">
      <w:pPr>
        <w:pStyle w:val="TextoNormal"/>
      </w:pPr>
      <w:r w:rsidRPr="00A90898">
        <w:rPr>
          <w:rStyle w:val="NumeroAFNegritaCaracter"/>
        </w:rPr>
        <w:t>9</w:t>
      </w:r>
      <w:r>
        <w:t>. El Ministerio Fiscal formalizó su escrito de alegaciones con fecha 1 de septiembre de 2015, interesando la estimación del amparo “por entender que el Auto dictado por el Juzgado de lo Mercantil … y el Auto … de la Audiencia Provincial de Barcelona desestimando el recurso de apelación contra el anterior han vulnerado el art. 24.1 CE que tutela el acceso al proceso y a obtener una resolución de fondo, restableciendo a los demandantes en amparo en su derecho fundamental”.</w:t>
      </w:r>
    </w:p>
    <w:p w:rsidR="00A90898" w:rsidRDefault="00A90898" w:rsidP="00A90898">
      <w:pPr>
        <w:pStyle w:val="TextoNormal"/>
      </w:pPr>
    </w:p>
    <w:p w:rsidR="00A90898" w:rsidRDefault="00A90898" w:rsidP="00A90898">
      <w:pPr>
        <w:pStyle w:val="TextoNormal"/>
      </w:pPr>
      <w:r>
        <w:t>Tras exponer los antecedentes de hecho y precisar que el recurso se dirige contra el Auto que resuelve la apelación pero, “implícitamente también”, contra el Auto dictado en primera instancia, ambos por vulneración del derecho de acceso al proceso (art. 24.1 CE) al impedirse una resolución sobre el fondo, el Fiscal razona, en primer término, sobre la eventual concurrencia de un óbice procesal por falta de agotamiento de la vía judicial previa, al haber desistido la parte del incidente de nulidad de actuaciones promovido contra el Auto de ape</w:t>
      </w:r>
      <w:r>
        <w:lastRenderedPageBreak/>
        <w:t xml:space="preserve">lación, teniendo en cuenta que, respecto de lo resuelto previamente por el Juzgado, la resolución de la Audiencia “va más allá y de oficio y con base en un principio de orden público procesal acuerda la concurrencia de litispendencia y el archivo del proceso”. Sin embargo y de inmediato rechaza la concurrencia del óbice por cuatro razones: “De un lado, porque, aunque aparezca </w:t>
      </w:r>
      <w:r w:rsidRPr="00A90898">
        <w:rPr>
          <w:i/>
        </w:rPr>
        <w:t>nominatim</w:t>
      </w:r>
      <w:r>
        <w:t xml:space="preserve"> la cita del Auto de apelación en el encabezamiento y sobre todo en el suplico final, lo cierto es que si se anulara dicha resolución aún subsistiría la de instancia que comportaba la aceptación de la prejudicialidad y la suspensión del proceso, que fue el origen de formular contra ese Auto dictado por el Juzgado de lo Mercantil núm. 4 de Barcelona, el recurso mentado de apelación. En segundo lugar porque el Auto de apelación desestima expresamente dicho recurso lo que implica un juicio confirmatorio de la resolución de instancia aunque el Auto vaya más allá y acuerde estimar la concurrencia de litispendencia. Tercero, porque los argumentos esgrimidos en la demanda de amparo lo son in genere sobre las decisiones judiciales que impiden acceder a una resolución de fondo tanto sea de prejudicialidad como de litispendencia sin fiscalizar exclusivamente el rechazo sobre esta última. Cuarto, porque como hemos visto la demanda de amparo no suscita la cuestión de la incongruencia </w:t>
      </w:r>
      <w:r w:rsidRPr="00A90898">
        <w:rPr>
          <w:i/>
        </w:rPr>
        <w:t>extra petita</w:t>
      </w:r>
      <w:r>
        <w:t xml:space="preserve"> anudada a la indefensión por falta de audiencia a las partes”. Por todo ello, descarta la exigencia del incidente de nulidad de actuaciones, pasando al examen del tema de fondo.</w:t>
      </w:r>
    </w:p>
    <w:p w:rsidR="00A90898" w:rsidRDefault="00A90898" w:rsidP="00A90898">
      <w:pPr>
        <w:pStyle w:val="TextoNormal"/>
      </w:pPr>
    </w:p>
    <w:p w:rsidR="00A90898" w:rsidRDefault="00A90898" w:rsidP="00A90898">
      <w:pPr>
        <w:pStyle w:val="TextoNormal"/>
      </w:pPr>
      <w:r>
        <w:t>A este respecto, el Ministerio público se centra, en primer lugar, en los razonamientos dados en el Auto del Juzgado de lo Mercantil núm. 4 de Barcelona, y critica la solución de suspender el procedimiento hasta que recaiga Sentencia firme en la causa seguida por ADICAE ante el Juzgado de lo Mercantil núm. 11 de Madrid. Centrándose en el art. 11 LEC, del que observa que la legitimación para ejercitar acciones en defensa de los intereses generales de los consumidores y usuarios se concede, tanto a las asociaciones de consumidores y usuarios en el apartado 1, como al Ministerio Fiscal en el apartado 5, considera que la legitimación de aquéllas “no puede impedir, y así lo reconoce el propio art. 11.1 LEC la legitimación individual de los perjudicados”.</w:t>
      </w:r>
    </w:p>
    <w:p w:rsidR="00A90898" w:rsidRDefault="00A90898" w:rsidP="00A90898">
      <w:pPr>
        <w:pStyle w:val="TextoNormal"/>
      </w:pPr>
    </w:p>
    <w:p w:rsidR="00A90898" w:rsidRDefault="00A90898" w:rsidP="00A90898">
      <w:pPr>
        <w:pStyle w:val="TextoNormal"/>
      </w:pPr>
      <w:r>
        <w:t>Esta última legitimación, razona, se diferencia a su vez de la prevista en el mismo precepto para ejercitar acciones de reclamación de daños, donde se distingue según que los consumidores afectados estén determinados o sean de fácil determinación (art. 11.2), o por el contrario sean indeterminados o de difícil determinación (art. 11.3 LEC); reglas que a su vez se complementan con otras sobre publicidad del procedimiento en el art. 15 de la misma LEC 1/2000. Así las cosas, 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 xml:space="preserve">A su parecer, además, la resolución del Juzgado adolece de una deficiente fundamentación, por dos causas: “En primer lugar porque en ningún momento se ha aportado en el proceso ni el Juzgado y luego ante la Sección en apelación, ni lo aportó la entidad demandada, que eran a los que correspondía hacerlo, la documentación del proceso preexistente </w:t>
      </w:r>
      <w:r>
        <w:lastRenderedPageBreak/>
        <w:t xml:space="preserve">que permitiera de manera cierta documentar no sólo la litis del mismo y el alcance final de esta sino asimismo las relaciones procesales existentes en aquél, el momento procesal y lo actuado hasta ese momento así como los llamamientos a quienes pudieran ser parte en el mismo al tenor de los arts. 11 y 15 LEC. Y lo mismo cabe decir del art. 43 LEC para poder decidir si concurría o no prejudicialidad civil … en ningún momento concreta ni razona cuales sean las similitudes y las diferencias que le permitan llegar a esa conclusión; un déficit argumentativo y fundamentador que es de alcance grave para con una decisión de tanta relevancia como lo es la suspensión de un proceso y el impedimento, al menos momentáneo, de que prospere el </w:t>
      </w:r>
      <w:r w:rsidRPr="00A90898">
        <w:rPr>
          <w:i/>
        </w:rPr>
        <w:t>petitum</w:t>
      </w:r>
      <w:r>
        <w:t xml:space="preserve"> de los demandantes”.</w:t>
      </w:r>
    </w:p>
    <w:p w:rsidR="00A90898" w:rsidRDefault="00A90898" w:rsidP="00A90898">
      <w:pPr>
        <w:pStyle w:val="TextoNormal"/>
      </w:pPr>
    </w:p>
    <w:p w:rsidR="00A90898" w:rsidRDefault="00A90898" w:rsidP="00A90898">
      <w:pPr>
        <w:pStyle w:val="TextoNormal"/>
      </w:pPr>
      <w:r>
        <w:t>Y en segundo lugar, prosigue diciendo, porque tampoco el Auto del Juzgado motiva por qué no era posible acordar la acumulación de procesos antes de tener que llegar a la solución de declarar la prejudicialidad, lo que supone “un nuevo ataque al deber de fundamentación de una resolución cuya exigencia de motivación es alta y exigente por las consecuencias anudadas a la misma”, conforme “la constante jurisprudencia constitucional en relación con el art. 24.1 CE”.</w:t>
      </w:r>
    </w:p>
    <w:p w:rsidR="00A90898" w:rsidRDefault="00A90898" w:rsidP="00A90898">
      <w:pPr>
        <w:pStyle w:val="TextoNormal"/>
      </w:pPr>
    </w:p>
    <w:p w:rsidR="00A90898" w:rsidRDefault="00A90898" w:rsidP="00A90898">
      <w:pPr>
        <w:pStyle w:val="TextoNormal"/>
      </w:pPr>
      <w:r>
        <w:t>De la resolución de apelación, considera a su vez el Fiscal que incurre “en los mismos defectos constitucionales que hemos atribuido a la de instancia”.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al efecto las consideraciones efectuadas ya a propósito del Auto del Juzgado.</w:t>
      </w:r>
    </w:p>
    <w:p w:rsidR="00A90898" w:rsidRDefault="00A90898" w:rsidP="00A90898">
      <w:pPr>
        <w:pStyle w:val="TextoNormal"/>
      </w:pPr>
    </w:p>
    <w:p w:rsidR="00A90898" w:rsidRDefault="00A90898" w:rsidP="00A90898">
      <w:pPr>
        <w:pStyle w:val="TextoNormal"/>
      </w:pPr>
      <w:r>
        <w:t xml:space="preserve">A continuación, cuestiona la declaración de oficio de la litispendencia hecha por la Audiencia, lo que “podría suponer la vulneración del derecho a no padecer indefensión anudada a incongruencia </w:t>
      </w:r>
      <w:r w:rsidRPr="00A90898">
        <w:rPr>
          <w:i/>
        </w:rPr>
        <w:t>extra petita</w:t>
      </w:r>
      <w:r>
        <w:t xml:space="preserve"> (art. 24.1 CE) e incluso del proceso debido (art. 24.2 CE)”, si bien esta queja queda afectada por el desistimiento del incidente de nulidad de actuaciones formulado por la parte. De otro lado,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10</w:t>
      </w:r>
      <w:r>
        <w:t xml:space="preserve">. Con fecha 9 de septiembre de 2015 se formalizó escrito de alegaciones por el representante procesal de la entidad Catalunya Banc, S.A. Así, tras solicitar la suspensión del trámite del presente recurso a la espera de la decisión del Tribunal de Justicia de la Unión Europea sobre la cuestión prejudicial a la que hacía referencia la parte actora, se sostiene en el escrito en cuanto al fondo de la demanda de amparo, que la crítica de los recurrentes deviene propia de la legalidad ordinaria y que el Auto de la Audiencia abordó “de forma </w:t>
      </w:r>
      <w:r>
        <w:lastRenderedPageBreak/>
        <w:t>muy razonada y argumentada” la concurrencia de la excepción de litispendencia. Hace, en su apoyo, una extensa cita del fundamento jurídico 3 de la STC 12/2009, de 12 de enero, para considerar conforme con el art. 24.1 CE la preferencia de la acción colectiva sobre la individual; sostiene que el recurrente Sr. Pacheco tuvo la oportunidad de personarse en el proceso colectivo seguido a instancias de ADICAE, y que, en todo caso, la falta de acción individual no le impide acudir a la vía de la ejecución de Sentencia que se dicte en su día en dicha acción colectiva.</w:t>
      </w:r>
    </w:p>
    <w:p w:rsidR="00A90898" w:rsidRDefault="00A90898" w:rsidP="00A90898">
      <w:pPr>
        <w:pStyle w:val="TextoNormal"/>
      </w:pPr>
    </w:p>
    <w:p w:rsidR="00A90898" w:rsidRDefault="00A90898" w:rsidP="00A90898">
      <w:pPr>
        <w:pStyle w:val="TextoNormal"/>
      </w:pPr>
      <w:r w:rsidRPr="00A90898">
        <w:rPr>
          <w:rStyle w:val="NumeroAFNegritaCaracter"/>
        </w:rPr>
        <w:t>11</w:t>
      </w:r>
      <w:r>
        <w:t xml:space="preserve">. La Secretaría de Justicia de la Sala Segunda de este Tribunal dictó diligencia de ordenación el 20 de julio de 2016, requiriendo al Juzgado de lo Mercantil núm. 4 de Barcelona, a fin de que remitieran a esta Sala, certificación o fotocopia adverada “de los documentos a que se refiere el folio 2 del escrito de contestación a la demanda”. En concreto, se trataba del escrito de demanda presentado por ADICAE ante el Juzgado de lo Mercantil núm. 11 de Madrid en la acción colectiva del procedimiento ordinario 471-2010, y el decreto de admisión a trámite de dicha demanda. El Juzgado </w:t>
      </w:r>
      <w:r w:rsidRPr="00A90898">
        <w:rPr>
          <w:i/>
        </w:rPr>
        <w:t>a quo</w:t>
      </w:r>
      <w:r>
        <w:t xml:space="preserve"> contestó a este requerimiento mediante diligencia de ordenación de la Letrada de la Administración de Justicia de 5 de septiembre de 2016, remitida por fax, donde se indica que una vez comprobadas las actuaciones, “no consta que se haya aportado a la contestación de demanda” aquella documentación. Sí se remitió junto a la diligencia, copia del escrito de interposición del recurso de apelación, enviado originalmente de manera incompleta.</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15 de septiembre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demanda de amparo solicita en su suplico, por los motivos que expone en sus fundamentos y que luego se analizarán, que este Tribunal declare la nulidad del Auto de la Sección Decimoquinta de la Audiencia Provincial de Barcelona dictado el 9 de octubre de 2014, por vulnerar el derecho de acceso a la jurisdicción (art. 24.1 CE) de los recurrentes, al haber estimado la excepción procesal de litispendencia respecto del procedimiento abierto a su instancia contra la entidad Catalunya Banc, S.A., para la nulidad de la cláusula suelo incluida en el contrato de préstamo suscrito entre ambas partes; en favor del procedimiento instado a su vez en el año 2010 por la Asociación de usuarios de Bancos, Cajas de Ahorros y Seguros de España (ADICAE) contra diversas entidades financieras —entre ellas la aquí demandada—,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t xml:space="preserve">Ahora bien, aunque no en el suplico, el escrito de demanda sí que hace referencia en sus fundamentos a que el Juzgado de lo Mercantil núm. 4 de Barcelona había dictado Auto el 24 de julio de 2013, acordando estimar la excepción de prejudicialidad del art. 43 de la Ley de enjuiciamiento civil (LEC) planteada por la entidad demandada, en relación con aquel otro proceso seguido a instancias de ADICAE, trayendo consigo que se suspendieran las actuaciones hasta recaer Sentencia firme en este último, a fin de estar a lo resuelto en el mismo para dilucidar la controversia aquí planteada. Esta decisión judicial propició, según explica la propia demanda, la interposición de un recurso de apelación en el que, aparte de </w:t>
      </w:r>
      <w:r>
        <w:lastRenderedPageBreak/>
        <w:t>otros argumentos, se hizo expresa invocación del art. 24.1 CE, al entenderse como impeditiva del derecho de los recurrentes a obtener una resolución de fondo sobre sus pretensiones.</w:t>
      </w:r>
    </w:p>
    <w:p w:rsidR="00A90898" w:rsidRDefault="00A90898" w:rsidP="00A90898">
      <w:pPr>
        <w:pStyle w:val="TextoNormal"/>
      </w:pPr>
    </w:p>
    <w:p w:rsidR="00A90898" w:rsidRDefault="00A90898" w:rsidP="00A90898">
      <w:pPr>
        <w:pStyle w:val="TextoNormal"/>
      </w:pPr>
      <w:r>
        <w:t xml:space="preserve">A la vista de esa denuncia, y dado que la demanda en ningún momento afirma que el Auto de la Audiencia hubiere reparado la lesión producida por el Juzgado </w:t>
      </w:r>
      <w:r w:rsidRPr="00A90898">
        <w:rPr>
          <w:i/>
        </w:rPr>
        <w:t>a quo</w:t>
      </w:r>
      <w:r>
        <w:t>, ha de 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Aclarado lo que antecede y antes de entrar en el examen del fondo del recurso, hemos de dar, aunque sea de modo sucinto, debida respuesta al óbice procesal de falta de agotamiento de la vía judicial previa al amparo, </w:t>
      </w:r>
      <w:r w:rsidRPr="00A90898">
        <w:rPr>
          <w:i/>
        </w:rPr>
        <w:t>ex</w:t>
      </w:r>
      <w:r>
        <w:t xml:space="preserve"> art. 44.1 a) de la Ley Orgánica del Tribunal Constitucional (LOTC), suscitado inicialmente por el Ministerio Fiscal aunque luego descartado por el mismo, en base a las razones que aquél esgrime y que han sido reflejadas en los antecedentes de esta Sentencia.</w:t>
      </w:r>
    </w:p>
    <w:p w:rsidR="00A90898" w:rsidRDefault="00A90898" w:rsidP="00A90898">
      <w:pPr>
        <w:pStyle w:val="TextoNormal"/>
      </w:pPr>
    </w:p>
    <w:p w:rsidR="00A90898" w:rsidRDefault="00A90898" w:rsidP="00A90898">
      <w:pPr>
        <w:pStyle w:val="TextoNormal"/>
      </w:pPr>
      <w:r>
        <w:t>Al respecto hay que señalar que, en su escrito de alegaciones, el Ministerio público había hecho inicial referencia a la necesidad de promoción del incidente de nulidad de actuaciones [art. 241 de la Ley Orgánica del Poder Judicial (LOPJ)] contra el Auto de apelación, en cuanto que eventualmente podría imputarse al mismo una lesión autónoma del derecho fundamental a la tutela judicial efectiva, por lo que habría debido darse a la Sección de la Audiencia Provincial de Barcelona la oportunidad de repararla. Además, en el supuesto de autos hubo concurrido la circunstancia de que el incidente había sido inicialmente formalizado por los ahora demandantes de amparo, si bien aquéllos habían desistido en fechas inmediatamente posteriores, y, en todo caso, antes de su resolución por la Sala, que accedió a dicho desistimiento.</w:t>
      </w:r>
    </w:p>
    <w:p w:rsidR="00A90898" w:rsidRDefault="00A90898" w:rsidP="00A90898">
      <w:pPr>
        <w:pStyle w:val="TextoNormal"/>
      </w:pPr>
    </w:p>
    <w:p w:rsidR="00A90898" w:rsidRDefault="00A90898" w:rsidP="00A90898">
      <w:pPr>
        <w:pStyle w:val="TextoNormal"/>
      </w:pPr>
      <w:r>
        <w:t>Pues bien, para dar respuesta a la cuestión suscitada, ha de tenerse en cuenta que la demanda de amparo alega como único motivo la vulneración de su derecho a la tutela judicial efectiva en su vertiente del derecho de acceso a la Jurisdicción (art. 24.1 CE), que, a su parecer, se ha conculcado por una interpretación de la legalidad procesal que, en su sustrato, comparten, tanto el Juzgado como la Audiencia, como es la negación a que se dicte Sentencia de fondo resolviendo las pretensiones de las partes con arreglo a la razón de pedir expuestas por éstas en sus escritos y con ponderación de las concretas circunstancias concurrentes en el caso. A partir de esta afirmación, es cierto que los dos órganos judiciales han llegado a soluciones distintas, puesto que, mientras que el Juzgado apreció la existencia de prejudicialidad civil y acordó suspender el curso de las actuaciones hasta que fuera resuelto el proceso de acción colectiva seguido en otro Juzgado de Madrid, la Audiencia Provincial decidió estimar, en cambio, la litispendencia y archivar las actuaciones. Pero, en ambas instancias, lo que, al final, aconteció es que los ahora demandantes de amparo vieron impedido su acceso a la Jurisdicción y, por ende, la decisión judicial de fondo que resolviera sobre sus pretensiones, de ahí que este pedido es lo que constituye la única razón de ser de su demanda de amparo, sin que hayan deducido en su demanda ninguna otra pretensión ni aducido vulneración del mismo o de otro derecho fundamental por distintos argumentos a los expuestos.</w:t>
      </w:r>
    </w:p>
    <w:p w:rsidR="00A90898" w:rsidRDefault="00A90898" w:rsidP="00A90898">
      <w:pPr>
        <w:pStyle w:val="TextoNormal"/>
      </w:pPr>
    </w:p>
    <w:p w:rsidR="00A90898" w:rsidRDefault="00A90898" w:rsidP="00A90898">
      <w:pPr>
        <w:pStyle w:val="TextoNormal"/>
      </w:pPr>
      <w:r>
        <w:t xml:space="preserve">Por ello, ha de entenderse correctamente agotada la vía jurisdiccional previa pues los demandantes han acudido a este Tribunal esgrimiendo una única petición, la de tener acceso a la Jurisdicción y poder ejercitar individualmente ante los tribunales de justicia una acción de declaración de cláusula abusiva y reclamación de cantidad subsiguiente, con obtención de una resolución judicial de fondo a sus pretensiones; en definitiva, la única vulneración de derechos fundamentales que han alegado es la de su denuncia del derecho a la tutela judicial efectiva en su vertiente del derecho de acceso a la Jurisdicción y esta pretensión la han invocado a lo largo de todo el </w:t>
      </w:r>
      <w:r w:rsidRPr="00A90898">
        <w:rPr>
          <w:i/>
        </w:rPr>
        <w:t>iter</w:t>
      </w:r>
      <w:r>
        <w:t xml:space="preserve"> judicial, tanto en la primera instancia como en el trámite de apelación ante la Sala Provincial, de ahí que la vía judicial previa se entienda agotada sin necesidad en este caso de tener que promover un incidente de nulidad de actuaciones.</w:t>
      </w:r>
    </w:p>
    <w:p w:rsidR="00A90898" w:rsidRDefault="00A90898" w:rsidP="00A90898">
      <w:pPr>
        <w:pStyle w:val="TextoNormal"/>
      </w:pPr>
    </w:p>
    <w:p w:rsidR="00A90898" w:rsidRDefault="00A90898" w:rsidP="00A90898">
      <w:pPr>
        <w:pStyle w:val="TextoNormal"/>
      </w:pPr>
      <w:r>
        <w:t>En consecuencia, procede rechazar el óbice procesal enjuiciado, lo que, por otra parte, así lo entendió también el Ministerio Fiscal, que, en su escrito de alegaciones, no lo planteó finalmente, pese a suscitarlo de modo inicial.</w:t>
      </w:r>
    </w:p>
    <w:p w:rsidR="00A90898" w:rsidRDefault="00A90898" w:rsidP="00A90898">
      <w:pPr>
        <w:pStyle w:val="TextoNormal"/>
      </w:pPr>
    </w:p>
    <w:p w:rsidR="00A90898" w:rsidRDefault="00A90898" w:rsidP="00A90898">
      <w:pPr>
        <w:pStyle w:val="TextoNormal"/>
      </w:pPr>
      <w:r w:rsidRPr="00A90898">
        <w:rPr>
          <w:rStyle w:val="NumeroAFNegritaCaracter"/>
        </w:rPr>
        <w:t>3</w:t>
      </w:r>
      <w:r>
        <w:t>. Adentrándonos ya en el análisis de la cuestión de fondo suscitada en la demanda, ha de determinarse ahora el derecho fundamental que se denuncia en el recurso, así como el canon de control a seguir por este Tribunal, partiendo para ello de la situación jurídica de los recurrentes resultante de su paso por la vía judicial previa, la cual, como ya se ha dicho, se cerró con el dictado del Auto de la Audiencia Provincial que archivó las actuaciones por litispendencia.</w:t>
      </w:r>
    </w:p>
    <w:p w:rsidR="00A90898" w:rsidRDefault="00A90898" w:rsidP="00A90898">
      <w:pPr>
        <w:pStyle w:val="TextoNormal"/>
      </w:pPr>
    </w:p>
    <w:p w:rsidR="00A90898" w:rsidRDefault="00A90898" w:rsidP="00A90898">
      <w:pPr>
        <w:pStyle w:val="TextoNormal"/>
      </w:pPr>
      <w:r>
        <w:t>Sobre el contenido esencial del derecho de acceso a la jurisdicción, hemos recordado recientemente, con cita de otras resoluciones anteriores, que “este Tribunal Constitucional ha mantenido de forma constante que el derecho a la tutela judicial efectiva, ‘que incluye el derecho a obtener una resolución judicial de fondo cuando no existen obstáculos legales para ello’ (STC 107/1993, de 22 de marzo, FJ 2), puede satisfacerse igualmente con ‘una decisión de inadmisión, siempre y cuando esta respuesta sea consecuencia de la aplicación razonada y proporcionada de una causa legal en la que se prevea tal consecuencia’” (STC 49/2016, de 14 de marzo, FJ 3). Para ponderar su posible vulneración judicial, nuestro canon de control aplicable, como precisa la STC 106/2013, de 6 de mayo, FJ 4, no se limita a verificar si la resolución impugnada “incurre en arbitrariedad, irrazonabilidad o error patente, sino que también comprende el análisis de si resulta o no desproporcionada por su rigorismo o formalismo excesivos, debiendo ponderarse en ese juicio de proporcionalidad, de una parte, los fines que ha de preservar la resolución cuestionada, y, de otra, los intereses que con ella se sacrifican”. De cualquier modo, también dejamos ahí advertido que “no es función de este Tribunal determinar qué interpretación de la legislación procesal debe llevarse a cabo por los órganos judiciales, puesto que implicaría una invasión del ámbito propio de su jurisdicción en la aplicación de la legalidad ordinaria. Lo que nos compete es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En aplicación de la doctrina de referencia, un examen </w:t>
      </w:r>
      <w:r w:rsidRPr="00A90898">
        <w:rPr>
          <w:i/>
        </w:rPr>
        <w:t>prima facie</w:t>
      </w:r>
      <w:r>
        <w:t xml:space="preserve"> de las normas que regulan en nuestro ordenamiento, de manera por cierto algo dispersa, la llamada acción co</w:t>
      </w:r>
      <w:r>
        <w:lastRenderedPageBreak/>
        <w:t>lectiva de cesación de cláusulas contractuales, no permite sustentar la tesis del desplazamiento o exclusión de la acción individual de nulidad de cláusulas abusivas, en beneficio de la referida acción de cesación:</w:t>
      </w:r>
    </w:p>
    <w:p w:rsidR="00A90898" w:rsidRDefault="00A90898" w:rsidP="00A90898">
      <w:pPr>
        <w:pStyle w:val="TextoNormal"/>
      </w:pPr>
    </w:p>
    <w:p w:rsidR="00A90898" w:rsidRDefault="00A90898" w:rsidP="00A90898">
      <w:pPr>
        <w:pStyle w:val="TextoNormal"/>
      </w:pPr>
      <w:r>
        <w:t>a) Ley de condiciones generales de la contratación: la acción de cesación de cláusulas se configura como instrumento de tutela jurisdiccional para la defensa de intereses colectivos en el ámbito contractual, con una primera regulación que se mantiene con pocos cambios hasta hoy, en la Ley 7/1998, de 13 de abril, sobre condiciones generales de la contratación. Como reconoce el preámbulo de la exposición de motivos de esta Ley, se trataba de transponer a nuestro ordenamiento la Directiva 93/13/CEE, del Consejo, de 5 de abril, “sobre cláusulas abusivas en los contratos con consumidores”, en la cual sin embargo no se articula un proceso de estas características, si bien el art. 7 de dicha Directiva señala lo siguiente:</w:t>
      </w:r>
    </w:p>
    <w:p w:rsidR="00A90898" w:rsidRDefault="00A90898" w:rsidP="00A90898">
      <w:pPr>
        <w:pStyle w:val="TextoNormal"/>
      </w:pPr>
    </w:p>
    <w:p w:rsidR="00A90898" w:rsidRDefault="00A90898" w:rsidP="00A90898">
      <w:pPr>
        <w:pStyle w:val="TextoNormal"/>
      </w:pPr>
      <w:r>
        <w:t>“1. Los Estados miembros velarán por que, en interés de los consumidores y de los competidores profesionales, existan medios adecuados y eficaces para que cese el uso de cláusulas abusivas en los contratos celebrados entre profesionales y consumidores.</w:t>
      </w:r>
    </w:p>
    <w:p w:rsidR="00A90898" w:rsidRDefault="00A90898" w:rsidP="00A90898">
      <w:pPr>
        <w:pStyle w:val="TextoNormal"/>
      </w:pPr>
    </w:p>
    <w:p w:rsidR="00A90898" w:rsidRDefault="00A90898" w:rsidP="00A90898">
      <w:pPr>
        <w:pStyle w:val="TextoNormal"/>
      </w:pPr>
      <w:r>
        <w:t>2. Los medios contemplados en el apartado 1 incluirán disposiciones que permitan a las personas y organizaciones que, con arreglo a la legislación nacional, tengan un interés legítimo en la protección de los consumidores, acudir según el derecho nacional a los órganos judiciales o administrativos competentes con el fin de que éstos determinen si ciertas cláusulas contractuales, redactadas con vistas a su utilización general, tienen carácter abusivo y apliquen los medios adecuados y eficaces para que cese la aplicación de dichas cláusulas.”</w:t>
      </w:r>
    </w:p>
    <w:p w:rsidR="00A90898" w:rsidRDefault="00A90898" w:rsidP="00A90898">
      <w:pPr>
        <w:pStyle w:val="TextoNormal"/>
      </w:pPr>
    </w:p>
    <w:p w:rsidR="00A90898" w:rsidRDefault="00A90898" w:rsidP="00A90898">
      <w:pPr>
        <w:pStyle w:val="TextoNormal"/>
      </w:pPr>
      <w:r>
        <w:t>En desarrollo de esta previsión del art. 7.2, el 30 de octubre de 1997 se aprobó la posición común (CE) núm. 48/1997, del Consejo, “con vistas a la adopción de la Directiva 97/.../CE del Parlamento Europeo y del Consejo, de… relativa a las acciones de cesación en materia de protección de los intereses de los consumidores” (DOCE núm. C 389 de 22 de diciembre de 1997, pág. 0051). En su texto se recogían ya los caracteres básicos de este proceso especial, que finalmente se plasmarían en la Directiva 98/27, del Parlamento Europeo y del Consejo, de 19 de mayo.</w:t>
      </w:r>
    </w:p>
    <w:p w:rsidR="00A90898" w:rsidRDefault="00A90898" w:rsidP="00A90898">
      <w:pPr>
        <w:pStyle w:val="TextoNormal"/>
      </w:pPr>
    </w:p>
    <w:p w:rsidR="00A90898" w:rsidRDefault="00A90898" w:rsidP="00A90898">
      <w:pPr>
        <w:pStyle w:val="TextoNormal"/>
      </w:pPr>
      <w:r>
        <w:t>Sobre la base, pues, del art. 7 de la Directiva 93/13/CEE y de la posición común (CE) núm. 48/1997, del Consejo, la Ley 7/1998, de 13 de abril optó en sus arts. 12 y ss. por regular el ejercicio de tres acciones colectivas (de cesación, retractación y declarativa) “contra la utilización o recomendación de condiciones generales que resulten contrarias a lo dispuesto en esta Ley, o en otras leyes imperativas o prohibitivas”; fuesen cláusulas (de adhesión) ofertadas a profesionales o a consumidores, pero reservando el control de nulidad por abuso únicamente a los contratos dirigidos a estos últimos (art. 8.2).</w:t>
      </w:r>
    </w:p>
    <w:p w:rsidR="00A90898" w:rsidRDefault="00A90898" w:rsidP="00A90898">
      <w:pPr>
        <w:pStyle w:val="TextoNormal"/>
      </w:pPr>
    </w:p>
    <w:p w:rsidR="00A90898" w:rsidRDefault="00A90898" w:rsidP="00A90898">
      <w:pPr>
        <w:pStyle w:val="TextoNormal"/>
      </w:pPr>
      <w:r>
        <w:t>Interesa destacar aquí dos aspectos: (i) en el subjetivo, la legitimación activa para promover cualquiera de estas acciones se circunscribe a las entidades de clase, organizaciones de derecho público e instituciones, incluido el Ministerio Fiscal, señaladas en el art. 16. No se otorga legitimación a adherentes individuales.</w:t>
      </w:r>
    </w:p>
    <w:p w:rsidR="00A90898" w:rsidRDefault="00A90898" w:rsidP="00A90898">
      <w:pPr>
        <w:pStyle w:val="TextoNormal"/>
      </w:pPr>
    </w:p>
    <w:p w:rsidR="00A90898" w:rsidRDefault="00A90898" w:rsidP="00A90898">
      <w:pPr>
        <w:pStyle w:val="TextoNormal"/>
      </w:pPr>
      <w:r>
        <w:t xml:space="preserve">(ii) En cuanto al objeto, el art. 12.2, primer apartado, señala que la acción de cesación “se dirige a obtener una sentencia por medio de la cual se condene al demandado a eliminar de sus condiciones generales las que se reputen nulas y a abstenerse de utilizarlas en lo </w:t>
      </w:r>
      <w:r>
        <w:lastRenderedPageBreak/>
        <w:t>sucesivo”. El proceso no tiene por fin enjuiciar contratos ya suscritos, basta acreditar que la cláusula impugnada figura en los contratos que en la práctica comercializa u ofrece el demandado (control abstracto).</w:t>
      </w:r>
    </w:p>
    <w:p w:rsidR="00A90898" w:rsidRDefault="00A90898" w:rsidP="00A90898">
      <w:pPr>
        <w:pStyle w:val="TextoNormal"/>
      </w:pPr>
    </w:p>
    <w:p w:rsidR="00A90898" w:rsidRDefault="00A90898" w:rsidP="00A90898">
      <w:pPr>
        <w:pStyle w:val="TextoNormal"/>
      </w:pPr>
      <w:r>
        <w:t>En el apartado segundo del mismo art. 12.2, su redacción original dejaba abierta sin más precisiones, la posibilidad de exigir al profesional en trámite de ejecución de sentencia la devolución de las cantidades cobradas con ocasión de cláusulas nulas, una vez estimada judicialmente la (demanda) de cesación.</w:t>
      </w:r>
    </w:p>
    <w:p w:rsidR="00A90898" w:rsidRDefault="00A90898" w:rsidP="00A90898">
      <w:pPr>
        <w:pStyle w:val="TextoNormal"/>
      </w:pPr>
    </w:p>
    <w:p w:rsidR="00A90898" w:rsidRDefault="00A90898" w:rsidP="00A90898">
      <w:pPr>
        <w:pStyle w:val="TextoNormal"/>
      </w:pPr>
      <w:r>
        <w:t>En todo caso, la Ley en ninguna de sus normas impuso ni impone la suspensión o el archivo de los procesos de nulidad individual una vez admitida a trámite una demanda de cesación, en la que se impugne la cláusula de la misma entidad. Al contrario, la exposición de motivos de la Ley 7/1998 reafirma la efectividad del derecho a la acción de nulidad individual, frente a las acciones del art. 12, al ser distintas y no excluyentes entre sí:</w:t>
      </w:r>
    </w:p>
    <w:p w:rsidR="00A90898" w:rsidRDefault="00A90898" w:rsidP="00A90898">
      <w:pPr>
        <w:pStyle w:val="TextoNormal"/>
      </w:pPr>
    </w:p>
    <w:p w:rsidR="00A90898" w:rsidRDefault="00A90898" w:rsidP="00A90898">
      <w:pPr>
        <w:pStyle w:val="TextoNormal"/>
      </w:pPr>
      <w:r>
        <w:t>“Esta nulidad, al igual que la contravención de cualquier otra norma imperativa o prohibitiva, podrá ser invocada, en su caso, por los contratantes conforme a las reglas generales de la nulidad contractual, sin que puedan confundirse tales acciones individuales con las acciones colectivas de cesación o retractación reconocidas con carácter general a las entidades o corporaciones legitimadas para ello en el capítulo IV y que tienen un breve plazo de prescripción.” (Exposición de motivos, II).</w:t>
      </w:r>
    </w:p>
    <w:p w:rsidR="00A90898" w:rsidRDefault="00A90898" w:rsidP="00A90898">
      <w:pPr>
        <w:pStyle w:val="TextoNormal"/>
      </w:pPr>
    </w:p>
    <w:p w:rsidR="00A90898" w:rsidRDefault="00A90898" w:rsidP="00A90898">
      <w:pPr>
        <w:pStyle w:val="TextoNormal"/>
      </w:pPr>
      <w:r>
        <w:t>“EI capítulo IV regula las acciones colectivas encaminadas a impedir la utilización de condiciones generales que sean contrarias a la ley, como son la acción de cesación … la de retractación … y la declarativa. Todo ello sin perjuicio de la posibilidad de ejercitar las acciones individuales de nulidad conforme a las reglas comunes de la nulidad contractual o la de no incorporación de determinadas cláusulas generales.” (Exposición de motivos, IV).</w:t>
      </w:r>
    </w:p>
    <w:p w:rsidR="00A90898" w:rsidRDefault="00A90898" w:rsidP="00A90898">
      <w:pPr>
        <w:pStyle w:val="TextoNormal"/>
      </w:pPr>
    </w:p>
    <w:p w:rsidR="00A90898" w:rsidRDefault="00A90898" w:rsidP="00A90898">
      <w:pPr>
        <w:pStyle w:val="TextoNormal"/>
      </w:pPr>
      <w:r>
        <w:t>Menos de dos años después de su entrada en vigor, la disposición final sexta de la Ley 1/2000, de 7 de enero, de enjuiciamiento civil, modificó, entre otros, el citado art. 12 de la Ley 7/1998, quedando así redactado:</w:t>
      </w:r>
    </w:p>
    <w:p w:rsidR="00A90898" w:rsidRDefault="00A90898" w:rsidP="00A90898">
      <w:pPr>
        <w:pStyle w:val="TextoNormal"/>
      </w:pPr>
    </w:p>
    <w:p w:rsidR="00A90898" w:rsidRDefault="00A90898" w:rsidP="00A90898">
      <w:pPr>
        <w:pStyle w:val="TextoNormal"/>
      </w:pPr>
      <w:r>
        <w:t>“12.2. La acción de cesación se dirige a obtener una sentencia que condene al demandado a eliminar de sus condiciones generales las que se reputen nulas y a abstenerse de utilizarlas en lo sucesivo, determinando o aclarando, cuando sea necesario, el contenido del contrato que ha de considerarse válido y eficaz.</w:t>
      </w:r>
    </w:p>
    <w:p w:rsidR="00A90898" w:rsidRDefault="00A90898" w:rsidP="00A90898">
      <w:pPr>
        <w:pStyle w:val="TextoNormal"/>
      </w:pPr>
    </w:p>
    <w:p w:rsidR="00A90898" w:rsidRDefault="00A90898" w:rsidP="00A90898">
      <w:pPr>
        <w:pStyle w:val="TextoNormal"/>
      </w:pPr>
      <w:r>
        <w:t>A la acción de cesación podrá acumularse, como accesoria, la de devolución de cantidades que se hubiesen cobrado en virtud de las condiciones a que afecte la sentencia y la de indemnización de daños y perjuicios que hubiere causado la aplicación de dichas condiciones.”</w:t>
      </w:r>
    </w:p>
    <w:p w:rsidR="00A90898" w:rsidRDefault="00A90898" w:rsidP="00A90898">
      <w:pPr>
        <w:pStyle w:val="TextoNormal"/>
      </w:pPr>
    </w:p>
    <w:p w:rsidR="00A90898" w:rsidRDefault="00A90898" w:rsidP="00A90898">
      <w:pPr>
        <w:pStyle w:val="TextoNormal"/>
      </w:pPr>
      <w:r>
        <w:t xml:space="preserve">El primer apartado mantiene, con retoques técnicos, el objeto propio y principal de dicha acción, que sigue siendo de control abstracto de las cláusulas, sin perjuicio —con arreglo a lo que viene a prever el apartado segundo— de que puedan aportarse por la parte actora algunos contratos concretos (si los afectados ponen su caso a disposición de la entidad legitimada). El apartado segundo permite ahora deducir dentro de la demanda de cesación, para su resolución en sentencia, la posible solicitud —siempre por alguna de las entidades del </w:t>
      </w:r>
      <w:r>
        <w:lastRenderedPageBreak/>
        <w:t>art. 16, de manera cerrada— de devolución de las cantidades cobradas en aplicación de las cláusulas y la indemnización de daños y perjuicios. Pretensión ésta a la que el mismo precepto califica de “accesoria”, y que, cabe reiterar, no excluye ni restringe la interposición de acciones de nulidad individual por los interesados, excepto, claro, que éstos hayan confiado su defensa a la entidad legitimada en dicho proceso de cesación, y tal acumulación de pretensiones haya sido admitida por el tribunal competente.</w:t>
      </w:r>
    </w:p>
    <w:p w:rsidR="00A90898" w:rsidRDefault="00A90898" w:rsidP="00A90898">
      <w:pPr>
        <w:pStyle w:val="TextoNormal"/>
      </w:pPr>
    </w:p>
    <w:p w:rsidR="00A90898" w:rsidRDefault="00A90898" w:rsidP="00A90898">
      <w:pPr>
        <w:pStyle w:val="TextoNormal"/>
      </w:pPr>
      <w:r>
        <w:t>b) Ley de enjuiciamiento civil: en su tenor original, la Ley 1/2000 no hizo mención a las acciones de cesación de cláusulas contractuales. Con todo, su art. 11 en su apartado 1, señala que: “Sin perjuicio de la legitimación individual de los perjudicados”, se confiere legitimación a las asociaciones de consumidores y usuarios legalmente constituidas para “defender en juicio… los intereses generales de los consumidores y usuarios”. En este ámbito cabe enmarcar sin dificultad dialéctica, como hacen los recurrentes y el Ministerio Fiscal, a las acciones de cesación de cláusulas contractuales, y por tanto este art. 11.1 LEC garantiza el ejercicio de las acciones individuales de nulidad.</w:t>
      </w:r>
    </w:p>
    <w:p w:rsidR="00A90898" w:rsidRDefault="00A90898" w:rsidP="00A90898">
      <w:pPr>
        <w:pStyle w:val="TextoNormal"/>
      </w:pPr>
    </w:p>
    <w:p w:rsidR="00A90898" w:rsidRDefault="00A90898" w:rsidP="00A90898">
      <w:pPr>
        <w:pStyle w:val="TextoNormal"/>
      </w:pPr>
      <w:r>
        <w:t>En un plano distinto, como precisa asimismo el Fiscal en su escrito de alegaciones, los apartados 2 y 3 del mismo art. 11 LEC regulan el ejercicio de acciones colectivas para la reclamación de daños y perjuicios causados a una pluralidad de consumidores y usuarios, concediendo legitimación a las asociaciones de consumidores, a las entidades constituidas para la defensa de los afectados, y en su caso (si son consumidores determinados o determinables) al propio grupo de afectados (ente sin personalidad jurídica que ostenta la condición de parte —art. 6.1.7 LEC— y actúa en juicio a través de un representante —art. 7.7—).</w:t>
      </w:r>
    </w:p>
    <w:p w:rsidR="00A90898" w:rsidRDefault="00A90898" w:rsidP="00A90898">
      <w:pPr>
        <w:pStyle w:val="TextoNormal"/>
      </w:pPr>
    </w:p>
    <w:p w:rsidR="00A90898" w:rsidRDefault="00A90898" w:rsidP="00A90898">
      <w:pPr>
        <w:pStyle w:val="TextoNormal"/>
      </w:pPr>
      <w:r>
        <w:t xml:space="preserve">Mas sucede que en estas acciones de reclamación de daños sí se prevé expresamente la intervención como parte de los consumidores individuales, tanto </w:t>
      </w:r>
      <w:r w:rsidRPr="00A90898">
        <w:rPr>
          <w:i/>
        </w:rPr>
        <w:t>ab initio</w:t>
      </w:r>
      <w:r>
        <w:t xml:space="preserve"> (siendo defendidos por la asociación actora, o formando parte del grupo de afectados constituido como tal), como con posterioridad a su admisión a trámite, lo que se logra con las reglas de llamamiento al proceso y publicidad contenidas en el art. 15 LEC, de donde derivan precisamente las reglas especiales dictadas en cuanto a la extensión de los efectos subjetivos de estas Sentencias, en los arts. 221, 222 y 519 de la misma LEC.</w:t>
      </w:r>
    </w:p>
    <w:p w:rsidR="00A90898" w:rsidRDefault="00A90898" w:rsidP="00A90898">
      <w:pPr>
        <w:pStyle w:val="TextoNormal"/>
      </w:pPr>
    </w:p>
    <w:p w:rsidR="00A90898" w:rsidRDefault="00A90898" w:rsidP="00A90898">
      <w:pPr>
        <w:pStyle w:val="TextoNormal"/>
      </w:pPr>
      <w:r>
        <w:t>Transcurrido poco más de un año desde la entrada en vigor de la Ley de enjuiciamiento civil, el legislador español acometió la transposición de la Directiva 98/27/CE, del Parlamento Europeo y del Consejo, de 19 de mayo de 1998, “relativa a las acciones de cesación en materia de protección de los intereses de los consumidores”, aprobando al respecto la Ley 39/2002, de 28 de octubre, que también sirvió para incluir diversas referencias a dicha acción en la Ley de enjuiciamiento civil (art. 1 de la Ley 39/2002).</w:t>
      </w:r>
    </w:p>
    <w:p w:rsidR="00A90898" w:rsidRDefault="00A90898" w:rsidP="00A90898">
      <w:pPr>
        <w:pStyle w:val="TextoNormal"/>
      </w:pPr>
    </w:p>
    <w:p w:rsidR="00A90898" w:rsidRDefault="00A90898" w:rsidP="00A90898">
      <w:pPr>
        <w:pStyle w:val="TextoNormal"/>
      </w:pPr>
      <w:r>
        <w:t>La más importante de esas modificaciones, a los efectos que aquí tratamos, es la adición de un apartado 4 al artículo 15 LEC, con la finalidad de excluir las reglas de publicidad del proceso (aplicables, acaba de indicarse, a las reclamaciones colectivas de daños de los arts. 11.2 y 11.3) cuando se trate del ejercicio de las acciones de cesación, tanto de nulidad de cláusulas, como las entabladas contra conductas ilícitas empresariales, modalidad esta última de cesación que dicha Ley 39/2002 introdujo, a su vez, en el articulado de la legislación de consumidores, como enseguida se verá. El art. 15.4 LEC señala, desde entonces, que:</w:t>
      </w:r>
    </w:p>
    <w:p w:rsidR="00A90898" w:rsidRDefault="00A90898" w:rsidP="00A90898">
      <w:pPr>
        <w:pStyle w:val="TextoNormal"/>
      </w:pPr>
    </w:p>
    <w:p w:rsidR="00A90898" w:rsidRDefault="00A90898" w:rsidP="00A90898">
      <w:pPr>
        <w:pStyle w:val="TextoNormal"/>
      </w:pPr>
      <w:r>
        <w:lastRenderedPageBreak/>
        <w:t>“Quedan exceptuados de lo dispuesto en los apartados anteriores los procesos iniciados mediante el ejercicio de una acción de cesación para la defensa de los intereses colectivos y de los intereses difusos de los consumidores y usuarios.”</w:t>
      </w:r>
    </w:p>
    <w:p w:rsidR="00A90898" w:rsidRDefault="00A90898" w:rsidP="00A90898">
      <w:pPr>
        <w:pStyle w:val="TextoNormal"/>
      </w:pPr>
    </w:p>
    <w:p w:rsidR="00A90898" w:rsidRDefault="00A90898" w:rsidP="00A90898">
      <w:pPr>
        <w:pStyle w:val="TextoNormal"/>
      </w:pPr>
      <w:r>
        <w:t>La exposición de motivos de la Ley 39/2002 justificó este añadido en razones de celeridad procesal (apartado II). En cualquier caso, resulta evidente que al eliminarse las medidas de publicidad del proceso para las acciones de cesación,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w:t>
      </w:r>
    </w:p>
    <w:p w:rsidR="00A90898" w:rsidRDefault="00A90898" w:rsidP="00A90898">
      <w:pPr>
        <w:pStyle w:val="TextoNormal"/>
      </w:pPr>
    </w:p>
    <w:p w:rsidR="00A90898" w:rsidRDefault="00A90898" w:rsidP="00A90898">
      <w:pPr>
        <w:pStyle w:val="TextoNormal"/>
      </w:pPr>
      <w:r>
        <w:t>c) Ley de consumidores y usuarios: En lo que aquí importa destacar, el vigente texto refundido de la Ley general para la defensa de los consumidores y usuarios y otras leyes complementarias, aprobado por Real Decreto Legislativo 1/2007, de 16 de noviembre, ha optado por unificar en un único precepto, el art. 53, las dos modalidades de acción de cesación (de nulidad contractual y contra conductas ilícitas) que contemplaba la anterior normativa sobre la materia (Ley 26/1984, de 19 de julio, general para la defensa de los consumidores y usuarios, que en esta cuestión, había sido modificada por la Ley 39/2002, de 28 de octubre), derogada por aquél.</w:t>
      </w:r>
    </w:p>
    <w:p w:rsidR="00A90898" w:rsidRDefault="00A90898" w:rsidP="00A90898">
      <w:pPr>
        <w:pStyle w:val="TextoNormal"/>
      </w:pPr>
    </w:p>
    <w:p w:rsidR="00A90898" w:rsidRDefault="00A90898" w:rsidP="00A90898">
      <w:pPr>
        <w:pStyle w:val="TextoNormal"/>
      </w:pPr>
      <w:r>
        <w:t>Así, en el art. 53, primer apartado se dispone que “la acción de cesación se dirige a obtener una sentencia que condene al demandado a cesar en la conducta y a prohibir su reiteración futura. Asimismo, la acción podrá ejercerse para prohibir la realización de una conducta cuando esta haya finalizado al tiempo de ejercitar la acción, si existen indicios suficientes que hagan temer su reiteración de modo inmediato”.</w:t>
      </w:r>
    </w:p>
    <w:p w:rsidR="00A90898" w:rsidRDefault="00A90898" w:rsidP="00A90898">
      <w:pPr>
        <w:pStyle w:val="TextoNormal"/>
      </w:pPr>
    </w:p>
    <w:p w:rsidR="00A90898" w:rsidRDefault="00A90898" w:rsidP="00A90898">
      <w:pPr>
        <w:pStyle w:val="TextoNormal"/>
      </w:pPr>
      <w:r>
        <w:t>En lo que importa a la acción de cesación contractual, los dos apartados siguientes del precepto consolidan la posibilidad de acumular pretensiones distintas a la nulidad en abstracto de la cláusula: solicitudes “de anulabilidad… de incumplimiento de obligaciones… de resolución o rescisión contractual y la de restitución de cantidades que se hubiesen cobrado en virtud de la realización de las… estipulaciones o condiciones generales declaradas abusivas o no transparentes, así como la de indemnización de daños y perjuicios que hubiere causado la aplicación de tales cláusulas”.</w:t>
      </w:r>
    </w:p>
    <w:p w:rsidR="00A90898" w:rsidRDefault="00A90898" w:rsidP="00A90898">
      <w:pPr>
        <w:pStyle w:val="TextoNormal"/>
      </w:pPr>
    </w:p>
    <w:p w:rsidR="00A90898" w:rsidRDefault="00A90898" w:rsidP="00A90898">
      <w:pPr>
        <w:pStyle w:val="TextoNormal"/>
      </w:pPr>
      <w:r>
        <w:t>Pero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w:t>
      </w:r>
    </w:p>
    <w:p w:rsidR="00A90898" w:rsidRDefault="00A90898" w:rsidP="00A90898">
      <w:pPr>
        <w:pStyle w:val="TextoNormal"/>
      </w:pPr>
    </w:p>
    <w:p w:rsidR="00A90898" w:rsidRDefault="00A90898" w:rsidP="00A90898">
      <w:pPr>
        <w:pStyle w:val="TextoNormal"/>
      </w:pPr>
      <w:r>
        <w:t>En resumen,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5</w:t>
      </w:r>
      <w:r>
        <w:t>. Resta todavía por hacer referencia al tratamiento que recibe la acción de cesación en el ámbito del Derecho comunitario, pues en él tiene su origen este proceso diseñado con una naturaleza y función muy definidos, que el legislador español ha transpuesto a nuestro Derecho interno con el resultado ya examinado. Como recordamos recientemente en la STC 232/2015, de 5 de noviembre, FJ 4: “ni el principio de primacía del Derecho de la Unión que rige las relaciones entre ambos ordenamientos, han dotado a las normas del Derecho de la Unión Europea, originario o derivado, ‘de rango y fuerza constitucionales’ [por todas, STC 215/2014, de 18 de diciembre, FJ 3 a), con cita de otras]. Ahora bien, ello no significa, obviamente, que este Tribunal deba abstenerse de cualquier valoración sobre un acto de los poderes públicos ante él recurrido cuando el mismo aplica Derecho de la Unión Europea o, al contrario, se plantee su posible contradicción con éste,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a los derechos fundamentales y libertades públicas cuya tutela tenemos encomendada, de conformidad con los preceptos constitucionales antes citados, que son los únicos que vinculan a este Tribunal como recuerda el art. 1.1 de la Ley Orgánica del Tribunal Constitucional (LOTC). En este sentido, la STC 58/2004, FJ 11, con cita de la STC 64/1991, de 22 de marzo, FJ 4 a)”. Para alcanzar este propósito debemos atender a lo que disponen los propios instrumentos jurídicos comunitarios sobre el problema que nos ocupa, así como a la jurisprudencia del Tribunal de Justicia de la Unión Europea:</w:t>
      </w:r>
    </w:p>
    <w:p w:rsidR="00A90898" w:rsidRDefault="00A90898" w:rsidP="00A90898">
      <w:pPr>
        <w:pStyle w:val="TextoNormal"/>
      </w:pPr>
    </w:p>
    <w:p w:rsidR="00A90898" w:rsidRDefault="00A90898" w:rsidP="00A90898">
      <w:pPr>
        <w:pStyle w:val="TextoNormal"/>
      </w:pPr>
      <w:r>
        <w:t>a) En primer lugar, la lectura de la normativa comunitaria resulta en este aspecto bastante reveladora: así, la Directiva 98/27/CE relativa a las acciones de cesación, ya citada, aclara en su Consideración 2 que “por intereses colectivos se entiende los intereses que no son una acumulación de intereses de particulares que se hayan visto perjudicados por una infracción; que esto no obsta a las acciones particulares ejercitadas por particulares que se hayan visto perjudicados por una infracción”.</w:t>
      </w:r>
    </w:p>
    <w:p w:rsidR="00A90898" w:rsidRDefault="00A90898" w:rsidP="00A90898">
      <w:pPr>
        <w:pStyle w:val="TextoNormal"/>
      </w:pPr>
    </w:p>
    <w:p w:rsidR="00A90898" w:rsidRDefault="00A90898" w:rsidP="00A90898">
      <w:pPr>
        <w:pStyle w:val="TextoNormal"/>
      </w:pPr>
      <w:r>
        <w:t>El objeto de la acción, que no se ciñe al control de nulidad del clausulado sino a la “cesación o prohibición de toda infracción” [art. 2.1 a)], entendida esta última como “todo acto contrario a las Directivas” dictadas en materias de consumidores que figuran en su anexo (art. 1.2), no incluye la posibilidad de fijar ningún pronunciamiento a favor de consumidores concretos, ni la condena a la devolución de lo pagado o la indemnización de daños y perjuicios. Únicamente se prevé la alternativa de imponer una multa coercitiva a la parte demandada si incumple la decisión, “a abonar al Tesoro Público o al beneficiario designado por la legislación nacional” [art. 2.1 c)].</w:t>
      </w:r>
    </w:p>
    <w:p w:rsidR="00A90898" w:rsidRDefault="00A90898" w:rsidP="00A90898">
      <w:pPr>
        <w:pStyle w:val="TextoNormal"/>
      </w:pPr>
    </w:p>
    <w:p w:rsidR="00A90898" w:rsidRDefault="00A90898" w:rsidP="00A90898">
      <w:pPr>
        <w:pStyle w:val="TextoNormal"/>
      </w:pPr>
      <w:r>
        <w:t>Este mismo esquema se traslada a la actual Directiva 2009/22/CE del Parlamento Europeo y del Consejo, de 23 de abril de 2009, “relativa a las acciones de cesación en materia de protección de los intereses de los consumidores”, la cual derogó aquella de 1998; pasando la anterior consideración 2 a tener el numeral 3, y conservando su texto los arts. 1 y 2 ya citados.</w:t>
      </w:r>
    </w:p>
    <w:p w:rsidR="00A90898" w:rsidRDefault="00A90898" w:rsidP="00A90898">
      <w:pPr>
        <w:pStyle w:val="TextoNormal"/>
      </w:pPr>
    </w:p>
    <w:p w:rsidR="00A90898" w:rsidRDefault="00A90898" w:rsidP="00A90898">
      <w:pPr>
        <w:pStyle w:val="TextoNormal"/>
      </w:pPr>
      <w:r>
        <w:t xml:space="preserve">El enfoque de control abstracto y preventivo de la acción de cesación queda patente en la recomendación de la comisión de 11 de junio de 2013, “sobre los principios comunes aplicables a los mecanismos de recurso colectivo de cesación o de indemnización en los </w:t>
      </w:r>
      <w:r>
        <w:lastRenderedPageBreak/>
        <w:t xml:space="preserve">Estados miembros en caso de violación de los derechos reconocidos por el Derecho de la Unión” (DOCE L 201/60, de 26 de julio de 2013). Como se desprende de su propio título, la comisión identifica como instrumentos de tutela colectiva distintos, la acción de cesación —prevista en la Directiva 2009/22/CE— y las acciones de indemnización de daños y perjuicios implementadas por los Estados, hasta el punto de que tras unos “principios comunes” a ambos mecanismos, la comisión separa las recomendaciones destinadas a cada uno de ellos (el de cesación, en el epígrafe IV, recs. 19 y 20). En lo que importa destacar aquí, la recomendación reitera la importancia de las acciones individuales, hasta el punto de que la consideración 8 valora su ejercicio por los afectados como el medio “habitual para resolver los conflictos, evitar daños y reclamar una indemnización”; reconociendo más adelante en la consideración 11, que “el procedimiento de cesación introducido por la Directiva no permite obtener una indemnización a las personas que aleguen haber sufrido perjuicio”. Destaca además la recomendación, que la integración del afectado individual en acciones colectivas, iniciativa que debe ser siempre voluntaria (sistema </w:t>
      </w:r>
      <w:r w:rsidRPr="00A90898">
        <w:rPr>
          <w:i/>
        </w:rPr>
        <w:t>opt-in</w:t>
      </w:r>
      <w:r>
        <w:t>), se incardina dentro de las acciones colectivas de indemnización (epígrafe V, Recs. 21 a 24), pues es ahí donde sitúa las pretensiones de condena para la adopción de medidas reparadoras del derecho en beneficio de personas concretas.</w:t>
      </w:r>
    </w:p>
    <w:p w:rsidR="00A90898" w:rsidRDefault="00A90898" w:rsidP="00A90898">
      <w:pPr>
        <w:pStyle w:val="TextoNormal"/>
      </w:pPr>
    </w:p>
    <w:p w:rsidR="00A90898" w:rsidRDefault="00A90898" w:rsidP="00A90898">
      <w:pPr>
        <w:pStyle w:val="TextoNormal"/>
      </w:pPr>
      <w:r>
        <w:t>Se evidencia de lo dicho, que la acción de cesación creada por las Directivas comunitarias no pretende erigirse en mecanismo sustitutivo del ejercicio de las acciones individuales en el ámbito de los consumidores; tampoco en materia de nulidad contractual. El ordenamiento español, como ya se constató, ciertamente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w:t>
      </w:r>
    </w:p>
    <w:p w:rsidR="00A90898" w:rsidRDefault="00A90898" w:rsidP="00A90898">
      <w:pPr>
        <w:pStyle w:val="TextoNormal"/>
      </w:pPr>
    </w:p>
    <w:p w:rsidR="00A90898" w:rsidRDefault="00A90898" w:rsidP="00A90898">
      <w:pPr>
        <w:pStyle w:val="TextoNormal"/>
      </w:pPr>
      <w:r>
        <w:t>b) Adquiere además particular relevancia a los efectos del presente amparo, la Sentencia del Tribunal de Justicia de la Unión Europea de 14 de abril de 2016, relativa a las cuestiones prejudiciales suscitadas en relación con el art. 7 de la Directiva 93/13/CEE, asuntos acumulados C-381/14 (Jorge Sales Sinués y Caixabank, S.A.) y C-385/14 (Youssouf Drame Ba y Catalunya Caixa, S.A.), planteadas por el Juzgado de lo Mercantil núm. 9 de Barcelona, en torno justamente al problema que aquí nos ocupa, bien que desde la óptica de la infracción del ordenamiento comunitario. A dichas cuestiones prejudiciales se han referido las partes en los escritos del presente recurso, según se ha dejado mención antes, y en todo caso y conforme a nuestra doctrina “corresponde a este Tribunal velar por el respeto del principio de primacía del Derecho de la Unión cuando, como aquí ocurre según hemos avanzado ya,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[SSTC 145/2012, de 2 de julio, FFJJ 5 y 6, y 232/2015, FJ 5 c)]”.</w:t>
      </w:r>
    </w:p>
    <w:p w:rsidR="00A90898" w:rsidRDefault="00A90898" w:rsidP="00A90898">
      <w:pPr>
        <w:pStyle w:val="TextoNormal"/>
      </w:pPr>
    </w:p>
    <w:p w:rsidR="00A90898" w:rsidRDefault="00A90898" w:rsidP="00A90898">
      <w:pPr>
        <w:pStyle w:val="TextoNormal"/>
      </w:pPr>
      <w:r>
        <w:t xml:space="preserve">En ambos asuntos se trata del ejercicio de acciones individuales de nulidad de cláusula suelo incorporada en contratos de préstamo, que se impugnan por abusivas, y en ambos la entidad financiera demandada solicitó la suspensión de los procedimientos por estar admitida a trámite la ya aludida demanda de cesación interpuesta por la asociación ADICAE ante </w:t>
      </w:r>
      <w:r>
        <w:lastRenderedPageBreak/>
        <w:t>el Juzgado de lo Mercantil núm. 11 de Madrid, entre las que figuraban cláusulas con el mismo contenido que aquéllas. El Juzgado promotor de las cuestiones prejudiciales accedió a la suspensión solicitada aplicando el art. 43 LEC, esto es, apreciando prejudicialidad, que no litispendencia (no, por tanto, el efecto más intenso de archivo definitivo de las actuaciones), y elevó al Tribunal de Justicia la consulta de si la interpretación que sostiene de aquel precepto, con la consecuencia de suspender el procedimiento individual hasta que recaiga Sentencia firme en el proceso de cesación colectivo, puede considerarse o no un “medio eficaz” de tutela de los derechos de los consumidores, en orden a lo previsto en el art. 7 de la Directiva 93/13/CEE.</w:t>
      </w:r>
    </w:p>
    <w:p w:rsidR="00A90898" w:rsidRDefault="00A90898" w:rsidP="00A90898">
      <w:pPr>
        <w:pStyle w:val="TextoNormal"/>
      </w:pPr>
    </w:p>
    <w:p w:rsidR="00A90898" w:rsidRDefault="00A90898" w:rsidP="00A90898">
      <w:pPr>
        <w:pStyle w:val="TextoNormal"/>
      </w:pPr>
      <w:r>
        <w:t>Conviene aclarar que el Tribunal de Justicia no se pronuncia sobre la eventual contradicción del art. 43 LEC con el Derecho comunitario, sino acerca de la interpretación judicial del mismo ofrecida por el órgano judicial que suscita la cuestión: “…tal como se desprende de la interpretación del órgano judicial remitente, en circunstancias como las que concurren en este caso, ese órgano jurisdiccional está obligado, en virtud del artículo 43 de la Ley de enjuiciamiento civil, a suspender la acción individual de la que conoce hasta que se resuelva mediante sentencia firme la acción colectiva cuya solución pueda aplicarse respecto de la acción individual y, de ese modo, el consumidor no puede hacer valer de forma individual los derechos reconocidos por la Directiva 93/13 desvinculándose de dicha acción colectiva” (STJUE, apartado 35; en términos similares también el apartado 38).</w:t>
      </w:r>
    </w:p>
    <w:p w:rsidR="00A90898" w:rsidRDefault="00A90898" w:rsidP="00A90898">
      <w:pPr>
        <w:pStyle w:val="TextoNormal"/>
      </w:pPr>
    </w:p>
    <w:p w:rsidR="00A90898" w:rsidRDefault="00A90898" w:rsidP="00A90898">
      <w:pPr>
        <w:pStyle w:val="TextoNormal"/>
      </w:pPr>
      <w:r>
        <w:t>El criterio del Tribunal de Justicia de la Unión Europea resulta contrario a considerar respetuosa tal exégesis, con el art. 7 de la Directiva indicada. Se funda para ello en las diferencias que existen entre las acciones de cesación y las acciones individuales, pues siendo las primeras de “carácter preventivo y… finalidad disuasoria” (apartado 29), ambas “tienen, en el marco de la Directiva 93/13, objetos y efectos jurídicos diferentes…sin que la articulación de esas diferentes acciones deba conducir a una merma de la protección de los consumidores, tal como está prevista en la Directiva 93/13” (apartado 30). Y recuerda que si bien “corresponde al ordenamiento jurídico interno de cada Estado miembro establecer” las reglas que regulen las relaciones entre ambas clases de acciones, dichas reglas deben cumplir tanto con el principio de equivalencia (“no sean menos favorables que las que rigen situaciones similares sometidas al Derecho interno”), como el de efectividad (“que no hagan imposible en la práctica o excesivamente difícil el ejercicio de los derechos que el Derecho de la Unión confiere a los consumidores”: apartado 32).</w:t>
      </w:r>
    </w:p>
    <w:p w:rsidR="00A90898" w:rsidRDefault="00A90898" w:rsidP="00A90898">
      <w:pPr>
        <w:pStyle w:val="TextoNormal"/>
      </w:pPr>
    </w:p>
    <w:p w:rsidR="00A90898" w:rsidRDefault="00A90898" w:rsidP="00A90898">
      <w:pPr>
        <w:pStyle w:val="TextoNormal"/>
      </w:pPr>
      <w:r>
        <w:t>Es este segundo principio el que se considera inobservado por el Tribunal, pues la solución propuesta “puede redundar en perjuicio de la efectividad de la protección prevista por esta Directiva a la luz de las diferencias en cuanto al objeto y la naturaleza de los mecanismos de protección de los consumidores que se materializan en esas acciones” (apartado 36), dado que “el consumidor queda obligatoriamente vinculado por el resultado de la acción colectiva, incluso cuando decida no participar en la misma, y la obligación que el artículo 43 de la Ley de enjuiciamiento civil impone al Juez nacional impide a éste realizar un análisis propio de las circunstancias que concurren en el asunto del que conoce. En particular, no serán determinantes a efectos de la resolución del litigio individual ni la cuestión de la negociación individual de la cláusula respecto de la que se alega el carácter abusivo, ni la naturaleza de los bienes o de los servicios objeto del contrato en cuestión” (apartado 37).</w:t>
      </w:r>
    </w:p>
    <w:p w:rsidR="00A90898" w:rsidRDefault="00A90898" w:rsidP="00A90898">
      <w:pPr>
        <w:pStyle w:val="TextoNormal"/>
      </w:pPr>
    </w:p>
    <w:p w:rsidR="00A90898" w:rsidRDefault="00A90898" w:rsidP="00A90898">
      <w:pPr>
        <w:pStyle w:val="TextoNormal"/>
      </w:pPr>
      <w:r>
        <w:lastRenderedPageBreak/>
        <w:t>Se quiere con ello referir la Sentencia a la previsión del art. 4.1 de la Directiva 93/13/CEE, por mor de la cual “el carácter abusivo de una cláusula contractual se apreciará teniendo en cuenta la naturaleza de los bienes o servicios que sean objeto del contrato y considerando, en el momento de la celebración del mismo, todas las circunstancias que concurran en su celebración, así como todas las demás cláusulas del contrato, o de otro contrato del que dependa”.</w:t>
      </w:r>
    </w:p>
    <w:p w:rsidR="00A90898" w:rsidRDefault="00A90898" w:rsidP="00A90898">
      <w:pPr>
        <w:pStyle w:val="TextoNormal"/>
      </w:pPr>
    </w:p>
    <w:p w:rsidR="00A90898" w:rsidRDefault="00A90898" w:rsidP="00A90898">
      <w:pPr>
        <w:pStyle w:val="TextoNormal"/>
      </w:pPr>
      <w:r>
        <w:t>Cabe apuntar que esta misma cuestión fue objeto de reflexión en la Sentencia del Pleno de la Sala Primera del Tribunal Supremo núm. 241/2013, de 9 de mayo, FFJJ 235 a 238 y 246, reconociendo que en el ámbito de la acción de cesación, de control abstracto de la cláusula, esta regla de enjuiciamiento en atención a las circunstancias del caso —regla contenida también, precisa nuestro Alto Tribunal, en el art. 82.3 del texto refundido de la Ley general para la defensa de los consumidores y usuarios—, debe “matizarse”.</w:t>
      </w:r>
    </w:p>
    <w:p w:rsidR="00A90898" w:rsidRDefault="00A90898" w:rsidP="00A90898">
      <w:pPr>
        <w:pStyle w:val="TextoNormal"/>
      </w:pPr>
    </w:p>
    <w:p w:rsidR="00A90898" w:rsidRDefault="00A90898" w:rsidP="00A90898">
      <w:pPr>
        <w:pStyle w:val="TextoNormal"/>
      </w:pPr>
      <w:r>
        <w:t xml:space="preserve">Otro aspecto relacionado con esta merma del principio de efectividad, es la prerrogativa que la jurisprudencia del Tribunal de Justicia de la Unión Europea le reconoce al consumidor para renunciar a sus derechos, incluyendo el de impugnar la nulidad de aquella cláusula abusiva que le afecta: “No obstante, en caso de que el juez nacional aprecie que una cláusula es abusiva, el derecho a una protección efectiva del consumidor comprende la facultad de renunciar a hacer valer sus derechos, de forma que el juez nacional debe tener en cuenta, en su caso, la voluntad manifestada por el consumidor cuando, consciente del carácter no vinculante de una cláusula abusiva, manifiesta, sin embargo, que es contrario a que se excluya, otorgando así un consentimiento libre e informado a dicha cláusula” (apartado 25). A partir de este postulado, pues, la STJUE entronca con el principio de efectividad declarando que con la adhesión de un consumidor a la acción colectiva: “pierde necesariamente los derechos que le serían reconocidos en el marco de una acción individual, esto es, la toma en consideración de todas las circunstancias que caracterizan su causa, y la posibilidad de renunciar a que no se aplique una cláusula abusiva, </w:t>
      </w:r>
      <w:r w:rsidRPr="00A90898">
        <w:rPr>
          <w:i/>
        </w:rPr>
        <w:t>a fortiori</w:t>
      </w:r>
      <w:r>
        <w:t xml:space="preserve"> si no puede desvincularse de la acción colectiva” (apartado 40).</w:t>
      </w:r>
    </w:p>
    <w:p w:rsidR="00A90898" w:rsidRDefault="00A90898" w:rsidP="00A90898">
      <w:pPr>
        <w:pStyle w:val="TextoNormal"/>
      </w:pPr>
    </w:p>
    <w:p w:rsidR="00A90898" w:rsidRDefault="00A90898" w:rsidP="00A90898">
      <w:pPr>
        <w:pStyle w:val="TextoNormal"/>
      </w:pPr>
      <w:r>
        <w:t>El alcance de la facultad de renuncia a la nulidad de la cláusula abusiva, se recoge también en la indicada Sentencia de la Sala Primera del Tribunal Supremo núm. 241/2013, en los fundamentos jurídicos 117 a 119, con cita de resoluciones anteriores del Tribunal de Justicia de la Unión Europea.</w:t>
      </w:r>
    </w:p>
    <w:p w:rsidR="00A90898" w:rsidRDefault="00A90898" w:rsidP="00A90898">
      <w:pPr>
        <w:pStyle w:val="TextoNormal"/>
      </w:pPr>
    </w:p>
    <w:p w:rsidR="00A90898" w:rsidRDefault="00A90898" w:rsidP="00A90898">
      <w:pPr>
        <w:pStyle w:val="TextoNormal"/>
      </w:pPr>
      <w:r>
        <w:t>Como consecuencia de lo expuesto, colige el Tribunal de Justicia de la Unión Europea en su Sentencia de 14 de abril de este año, que: “…esa regla nacional resulta incompleta e insuficiente y no constituye un medio adecuado ni eficaz para que cese el uso de cláusulas abusivas, en contra de lo dispuesto en el artículo 7, apartado 1, de la Directiva 93/13” (apartado 39). Sin que obste a tal apreciación el peligro de sentencias contradictorias, razona, ya que “la diferente naturaleza del control judicial ejercido en el marco de una acción colectiva y en el marco de una acción individual debería, en principio, evitar el riesgo” (apartado 41); así como tampoco la sobrecarga de trabajo de los tribunales, pues “el ejercicio efectivo de los derechos subjetivos que la Directiva 93/13 reconoce a los consumidores no puede quedar obstaculizado por consideraciones vinculadas a la organización judicial de un Estado miembro” (apartado 42). Como resultado, declara en su parte dispositiva:</w:t>
      </w:r>
    </w:p>
    <w:p w:rsidR="00A90898" w:rsidRDefault="00A90898" w:rsidP="00A90898">
      <w:pPr>
        <w:pStyle w:val="TextoNormal"/>
      </w:pPr>
    </w:p>
    <w:p w:rsidR="00A90898" w:rsidRDefault="00A90898" w:rsidP="00A90898">
      <w:pPr>
        <w:pStyle w:val="TextoNormal"/>
      </w:pPr>
      <w:r>
        <w:lastRenderedPageBreak/>
        <w:t>“El artículo 7 de la Directiva 93/13/CEE del Consejo, de 5 de abril de 1993, sobre las cláusulas abusivas en los contratos celebrados con consumidores, debe interpretarse en el sentido de que se opone a una normativa nacional, como la de los litigios principales, que obliga al juez que conoce de una acción individual de un consumidor, dirigida a que se declare el carácter abusivo de una cláusula de un contrato que le une a un profesional, a suspender automáticamente la tramitación de esa acción en espera de que exista sentencia firme en relación con una acción colectiva que se encuentra pendiente, ejercitada por una asociación de consumidores de conformidad con el apartado segundo del citado artículo con el fin de que cese el uso, en contratos del mismo tipo, de cláusulas análogas a aquella contra la que se dirige dicha acción individual, sin que pueda tomarse en consideración si es pertinente esa suspensión desde la perspectiva de la protección del consumidor que presentó una demanda judicial individual ante el juez y sin que ese consumidor pueda decidir desvincularse de la acción colectiva.”</w:t>
      </w:r>
    </w:p>
    <w:p w:rsidR="00A90898" w:rsidRDefault="00A90898" w:rsidP="00A90898">
      <w:pPr>
        <w:pStyle w:val="TextoNormal"/>
      </w:pPr>
    </w:p>
    <w:p w:rsidR="00A90898" w:rsidRDefault="00A90898" w:rsidP="00A90898">
      <w:pPr>
        <w:pStyle w:val="TextoNormal"/>
      </w:pPr>
      <w:r>
        <w:t>La decisión manifestada por el Tribunal de Justicia de la Unión Europea, cabe insistir de nuevo, lo es a propósito de una interpretación de las normas —propuesta por el Juez español— que conduce a la suspensión de la causa por tiempo indeterminado de varios años, pero sin archivo definitivo. Es evidente, por tanto, que esta doctrina resulta aplicable con igual o mayor fuerza, cuando la respuesta jurisdiccional ha sido la de poner fin al litigio, como aquí ha hecho la Sección Decimoquinta de la Audiencia Provincial de Barcelona, al declarar la litispendencia.</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Llegados a este punto, estamos en condiciones ya de dar respuesta a la denuncia planteada por la demanda. La lectura de los Autos impugnados evidencia que, prescindiendo del marco normativo propio de las acciones colectivas de cesación al que debía atenderse, tanto el Juzgado, que en esto declara seguir el criterio que entonces conocía de la propia Sección </w:t>
      </w:r>
      <w:r w:rsidRPr="00A90898">
        <w:rPr>
          <w:i/>
        </w:rPr>
        <w:t>ad quem</w:t>
      </w:r>
      <w:r>
        <w:t xml:space="preserve">, como sobre todo esta última,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de la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 </w:t>
      </w:r>
    </w:p>
    <w:p w:rsidR="00A90898" w:rsidRDefault="00A90898" w:rsidP="00A90898">
      <w:pPr>
        <w:pStyle w:val="TextoNormal"/>
      </w:pPr>
    </w:p>
    <w:p w:rsidR="00A90898" w:rsidRDefault="00A90898" w:rsidP="00A90898">
      <w:pPr>
        <w:pStyle w:val="TextoNormal"/>
      </w:pPr>
      <w:r>
        <w:t xml:space="preserve">En consecuencia, si los aquí recurrentes no eran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w:t>
      </w:r>
    </w:p>
    <w:p w:rsidR="00A90898" w:rsidRDefault="00A90898" w:rsidP="00A90898">
      <w:pPr>
        <w:pStyle w:val="TextoNormal"/>
      </w:pPr>
    </w:p>
    <w:p w:rsidR="00A90898" w:rsidRDefault="00A90898" w:rsidP="00A90898">
      <w:pPr>
        <w:pStyle w:val="TextoNormal"/>
      </w:pPr>
      <w:r>
        <w:lastRenderedPageBreak/>
        <w:t xml:space="preserve">A mayor abundamiento, resulta que ni siquiera en las actuaciones del proceso ordinario instado por los recurrentes, la entidad demandada aportó la documentación del proceso de cesación de ADICAE ante el Juzgado de lo Mercantil núm. 11 de Madrid, como acertadamente advierte el Fiscal en su escrito de alegaciones y corrobora la diligencia de ordenación de la Secretaría del Juzgado </w:t>
      </w:r>
      <w:r w:rsidRPr="00A90898">
        <w:rPr>
          <w:i/>
        </w:rPr>
        <w:t>a quo</w:t>
      </w:r>
      <w:r>
        <w:t>, de 5 de septiembre de este año, en contestación al previo requerimiento de este Tribunal. Por otro lado, deviene irrelevante que la demanda de cesación mencionada hubiere sido publicada en medios de comunicación nacional, por acordarlo así el Juzgado competente,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w:t>
      </w:r>
    </w:p>
    <w:p w:rsidR="00A90898" w:rsidRDefault="00A90898" w:rsidP="00A90898">
      <w:pPr>
        <w:pStyle w:val="TextoNormal"/>
      </w:pPr>
    </w:p>
    <w:p w:rsidR="00A90898" w:rsidRDefault="00A90898" w:rsidP="00A90898">
      <w:pPr>
        <w:pStyle w:val="TextoNormal"/>
      </w:pPr>
      <w:r>
        <w:t xml:space="preserve">La identidad —que no mera similitud— de objeto entre ambos procesos, de otro lado, resulta cuanto menos dudosa.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w:t>
      </w:r>
      <w:r w:rsidRPr="00A90898">
        <w:rPr>
          <w:i/>
        </w:rPr>
        <w:t>a quo</w:t>
      </w:r>
      <w:r>
        <w:t>, al dictar Sentencia sobre el fondo, deba de tener en cuenta los pronunciamientos ante todo del Tribunal Supremo, máximo intérprete de la legalidad ordinaria (art. 123 CE), en torno a la validez o nulidad de este tipo de cláusula.</w:t>
      </w:r>
    </w:p>
    <w:p w:rsidR="00A90898" w:rsidRDefault="00A90898" w:rsidP="00A90898">
      <w:pPr>
        <w:pStyle w:val="TextoNormal"/>
      </w:pPr>
    </w:p>
    <w:p w:rsidR="00A90898" w:rsidRDefault="00A90898" w:rsidP="00A90898">
      <w:pPr>
        <w:pStyle w:val="TextoNormal"/>
      </w:pPr>
      <w:r>
        <w:t>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w:t>
      </w:r>
    </w:p>
    <w:p w:rsidR="00A90898" w:rsidRDefault="00A90898" w:rsidP="00A90898">
      <w:pPr>
        <w:pStyle w:val="TextoNormal"/>
      </w:pPr>
    </w:p>
    <w:p w:rsidR="00A90898" w:rsidRDefault="00A90898" w:rsidP="00A90898">
      <w:pPr>
        <w:pStyle w:val="TextoNormal"/>
      </w:pPr>
      <w:r>
        <w:t>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w:t>
      </w:r>
    </w:p>
    <w:p w:rsidR="00A90898" w:rsidRDefault="00A90898" w:rsidP="00A90898">
      <w:pPr>
        <w:pStyle w:val="TextoNormal"/>
      </w:pPr>
    </w:p>
    <w:p w:rsidR="00A90898" w:rsidRDefault="00A90898" w:rsidP="00A90898">
      <w:pPr>
        <w:pStyle w:val="TextoNormal"/>
      </w:pPr>
      <w:r>
        <w:t xml:space="preserve">En cuanto a la invocación de la STC 12/2009, realizada en el escrito de alegaciones de la entidad financiera personada en este amparo, resulta inconducente a los efectos que aquí se tratan, puesto que, al margen de referirse al proceso laboral, el asunto concierne al intento </w:t>
      </w:r>
      <w:r>
        <w:lastRenderedPageBreak/>
        <w:t>de personación de un trabajador individual en un proceso de conflicto colectivo cuya legitimación activa correspondía únicamente, a falta de un interés singularizado, a entidades representativas (sindicatos y asociaciones empresariales). La Sentencia desestimó el amparo, pero lo hizo recalcando el derecho que tenía el entonces recurrente para ejercitar todas las acciones individuales que sirvieran a la defensa de sus derechos (FJ 5). Que es, justamente, lo que aquí ha venido a negarse a los actores en su demanda de nulidad por cláusula abusiva.</w:t>
      </w:r>
    </w:p>
    <w:p w:rsidR="00A90898" w:rsidRDefault="00A90898" w:rsidP="00A90898">
      <w:pPr>
        <w:pStyle w:val="TextoNormal"/>
      </w:pPr>
    </w:p>
    <w:p w:rsidR="00A90898" w:rsidRDefault="00A90898" w:rsidP="00A90898">
      <w:pPr>
        <w:pStyle w:val="TextoNormal"/>
      </w:pPr>
      <w:r w:rsidRPr="00A90898">
        <w:rPr>
          <w:rStyle w:val="NumeroAFNegritaCaracter"/>
        </w:rPr>
        <w:t>7</w:t>
      </w:r>
      <w:r>
        <w:t>. En definitiva, empleando palabras de la STC 106/2013 ya citada, FJ 5, del “examen de las resoluciones impugnadas se desprende que los órganos judiciales han realizado una interpretación de la ley procesal, principalmente de los artículos mencionados, que, superando su tenor literal, han impedido a la parte recurrente obtener una resolución de fondo sobre determinadas pretensiones”. En este caso, además, de modo contrario al Derecho comunitario aplicable, conforme con la doctrina del Tribunal de Justicia de la Unión Europea antes examinada.</w:t>
      </w:r>
    </w:p>
    <w:p w:rsidR="00A90898" w:rsidRDefault="00A90898" w:rsidP="00A90898">
      <w:pPr>
        <w:pStyle w:val="TextoNormal"/>
      </w:pPr>
    </w:p>
    <w:p w:rsidR="00A90898" w:rsidRDefault="00A90898" w:rsidP="00A90898">
      <w:pPr>
        <w:pStyle w:val="TextoNormal"/>
      </w:pPr>
      <w:r>
        <w:t>Ello determina la estimación del amparo solicitado, por vulneración del derecho de acceso a la jurisdicción (art. 24.1 CE) de los recurrentes, por carecer de base legal las resoluciones recurridas.</w:t>
      </w:r>
    </w:p>
    <w:p w:rsidR="00A90898" w:rsidRDefault="00A90898" w:rsidP="00A90898">
      <w:pPr>
        <w:pStyle w:val="TextoNormal"/>
      </w:pPr>
    </w:p>
    <w:p w:rsidR="00A90898" w:rsidRDefault="00A90898" w:rsidP="00A90898">
      <w:pPr>
        <w:pStyle w:val="TextoNormal"/>
      </w:pPr>
      <w:r>
        <w:t xml:space="preserve">Como efectos propios de la estimación del amparo por vulneración del derecho de acceso a la jurisdicción de los recurrentes, declaramos la nulidad de los Autos recurridos y la retroacción de las actuaciones al momento inmediatamente anterior al de haberse dictado el Auto de 24 de julio de 2013, para que el Juzgado de lo Mercantil </w:t>
      </w:r>
      <w:r w:rsidRPr="00A90898">
        <w:rPr>
          <w:i/>
        </w:rPr>
        <w:t>a quo</w:t>
      </w:r>
      <w:r>
        <w:t xml:space="preserve"> provea en términos que resulten respetuosos con el derecho fundamental declarado. Esto es, ordenando la continuación del procedimiento en primera instancia (juicio ordinario 779-2012)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amparo interpuesto por don Jorge Pacheco Cordero y doña Raquel Blanco Ruiz, y, en su virtud:</w:t>
      </w:r>
    </w:p>
    <w:p w:rsidR="00A90898" w:rsidRDefault="00A90898" w:rsidP="00A90898">
      <w:pPr>
        <w:pStyle w:val="TextoNormal"/>
      </w:pPr>
    </w:p>
    <w:p w:rsidR="00A90898" w:rsidRDefault="00A90898" w:rsidP="00A90898">
      <w:pPr>
        <w:pStyle w:val="TextoNormal"/>
      </w:pPr>
      <w:r>
        <w:t>1º Declarar que ha sido vulnerado su derecho fundamental a la tutela judicial efectiva.</w:t>
      </w:r>
    </w:p>
    <w:p w:rsidR="00A90898" w:rsidRDefault="00A90898" w:rsidP="00A90898">
      <w:pPr>
        <w:pStyle w:val="TextoNormal"/>
      </w:pPr>
    </w:p>
    <w:p w:rsidR="00A90898" w:rsidRDefault="00A90898" w:rsidP="00A90898">
      <w:pPr>
        <w:pStyle w:val="TextoNormal"/>
      </w:pPr>
      <w:r>
        <w:t>2º Restablecerlos en la integridad de su derecho y, a tal fin, declarar la nulidad del Auto del Juzgado de lo Mercantil núm. 4 de Barcelona, de 24 de julio de 2013 (procedimiento ordinario núm. 779-2012); así como la nulidad del Auto de la Sección Decimoquinta de la Audiencia Provincial de Barcelona, de 9 de octubre de 2014 (rollo de apelación núm. 500-2013).</w:t>
      </w:r>
    </w:p>
    <w:p w:rsidR="00A90898" w:rsidRDefault="00A90898" w:rsidP="00A90898">
      <w:pPr>
        <w:pStyle w:val="TextoNormal"/>
      </w:pPr>
    </w:p>
    <w:p w:rsidR="00A90898" w:rsidRDefault="00A90898" w:rsidP="00A90898">
      <w:pPr>
        <w:pStyle w:val="TextoNormal"/>
      </w:pPr>
      <w:r>
        <w:lastRenderedPageBreak/>
        <w:t xml:space="preserve">3º Retrotraer las actuaciones hasta el momento inmediatamente anterior al de dictarse el Auto de 24 de julio de 2013, para que el Juzgado de lo Mercantil </w:t>
      </w:r>
      <w:r w:rsidRPr="00A90898">
        <w:rPr>
          <w:i/>
        </w:rPr>
        <w:t>a quo</w:t>
      </w:r>
      <w:r>
        <w:t xml:space="preserve"> provea a las actuaciones de una manera que resulte respetuosa con el derecho fundamental declarado, en los términos que fijamos en el anterior fundamento jurídico 7.</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8" w:name="SENTENCIA_2016_149"/>
      <w:r>
        <w:lastRenderedPageBreak/>
        <w:t>SENTENCIA 149/2016, de 19 de septiembre de 2016</w:t>
      </w:r>
    </w:p>
    <w:bookmarkEnd w:id="28"/>
    <w:p w:rsidR="00A90898" w:rsidRDefault="00A90898" w:rsidP="00A90898">
      <w:pPr>
        <w:pStyle w:val="TtuloResolucin"/>
      </w:pPr>
      <w:r>
        <w:t>Sala Segunda</w:t>
      </w:r>
    </w:p>
    <w:p w:rsidR="00A90898" w:rsidRDefault="00A90898" w:rsidP="00A90898">
      <w:pPr>
        <w:pStyle w:val="TtuloBOE"/>
      </w:pPr>
      <w:r>
        <w:t>(BOE núm. 263, de 31 de octubre de 2016)</w:t>
      </w:r>
    </w:p>
    <w:p w:rsidR="00A90898" w:rsidRDefault="00A90898" w:rsidP="00A90898">
      <w:pPr>
        <w:pStyle w:val="TextoNormalCentrado"/>
      </w:pPr>
      <w:r>
        <w:t>ECLI:ES:TC:2016:149</w:t>
      </w:r>
    </w:p>
    <w:p w:rsidR="00A90898" w:rsidRDefault="00A90898" w:rsidP="00A90898">
      <w:pPr>
        <w:pStyle w:val="TextoNormalCentrado"/>
      </w:pPr>
    </w:p>
    <w:p w:rsidR="00A90898" w:rsidRDefault="00A90898" w:rsidP="00A90898">
      <w:pPr>
        <w:pStyle w:val="SntesisDescriptiva"/>
      </w:pPr>
      <w:r>
        <w:t>Recurso de amparo 4700-2015. Promovido por doña Elisabeth Flores Donado respecto del Auto dictado por el Tribunal Superior de Justicia del País Vasco inadmitiendo el recurso de suplicación interpuesto frente a la Sentencia dictada por un Juzgado de lo Social de Bilbao en proceso sobre tutela de derechos fundamentales.</w:t>
      </w:r>
    </w:p>
    <w:p w:rsidR="00A90898" w:rsidRDefault="00A90898" w:rsidP="00A90898">
      <w:pPr>
        <w:pStyle w:val="SntesisDescriptiva"/>
      </w:pPr>
    </w:p>
    <w:p w:rsidR="00A90898" w:rsidRDefault="00A90898" w:rsidP="00A90898">
      <w:pPr>
        <w:pStyle w:val="SntesisAnaltica"/>
      </w:pPr>
      <w:r>
        <w:t>Vulneración del derecho a la tutela judicial efectiva (acceso al recurso): inadmisión del recurso de suplicación basada en una interpretación de la ley procesal que reduce las garantías jurisdiccionales de los derechos fundamentales (STC 257/2000).</w:t>
      </w:r>
    </w:p>
    <w:p w:rsidR="00A90898" w:rsidRDefault="00A90898" w:rsidP="00A90898">
      <w:pPr>
        <w:pStyle w:val="SntesisAnaltica"/>
      </w:pPr>
    </w:p>
    <w:p w:rsidR="00A90898" w:rsidRDefault="00A90898" w:rsidP="00A90898">
      <w:pPr>
        <w:pStyle w:val="Extracto"/>
      </w:pPr>
      <w:r>
        <w:t>1.</w:t>
      </w:r>
      <w:r>
        <w:tab/>
        <w:t>En cualquier proceso en el que se interese la tutela de derechos fundamentales y libertades públicas, procede la suplicación, con independencia de la modalidad procesal que se haya seguido [FJ 4].</w:t>
      </w:r>
    </w:p>
    <w:p w:rsidR="00A90898" w:rsidRDefault="00A90898" w:rsidP="00A90898">
      <w:pPr>
        <w:pStyle w:val="Extracto"/>
      </w:pPr>
    </w:p>
    <w:p w:rsidR="00A90898" w:rsidRDefault="00A90898" w:rsidP="00A90898">
      <w:pPr>
        <w:pStyle w:val="Extracto"/>
      </w:pPr>
      <w:r>
        <w:t>2.</w:t>
      </w:r>
      <w:r>
        <w:tab/>
        <w:t>No puede otorgarse a un mismo derecho fundamental una menor garantía jurisdiccional en función de cuál sea el acto o conducta del que pueda haberse derivado la lesión que se alega [FJ 5].</w:t>
      </w:r>
    </w:p>
    <w:p w:rsidR="00A90898" w:rsidRDefault="00A90898" w:rsidP="00A90898">
      <w:pPr>
        <w:pStyle w:val="Extracto"/>
      </w:pPr>
    </w:p>
    <w:p w:rsidR="00A90898" w:rsidRDefault="00A90898" w:rsidP="00A90898">
      <w:pPr>
        <w:pStyle w:val="Extracto"/>
      </w:pPr>
      <w:r>
        <w:t>3.</w:t>
      </w:r>
      <w:r>
        <w:tab/>
        <w:t>No sólo se encuentra en juego el derecho a la tutela judicial efectiva sino que la denegación del recurso puede producir, además, un efecto derivado o reflejo sobre la reparación del derecho fundamental invocado [FJ 5].</w:t>
      </w:r>
    </w:p>
    <w:p w:rsidR="00A90898" w:rsidRDefault="00A90898" w:rsidP="00A90898">
      <w:pPr>
        <w:pStyle w:val="Extracto"/>
      </w:pPr>
    </w:p>
    <w:p w:rsidR="00A90898" w:rsidRDefault="00A90898" w:rsidP="00A90898">
      <w:pPr>
        <w:pStyle w:val="Extracto"/>
      </w:pPr>
      <w:r>
        <w:t>4.</w:t>
      </w:r>
      <w:r>
        <w:tab/>
        <w:t>El sistema de recursos se incorpora a la tutela judicial en la configuración que le dé cada una de las leyes de enjuiciamiento, sin que ni siquiera exista un derecho constitucional a disponer de tales medios (SSTC 140/1985, 106/1988)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4700-2015, promovido por doña Elisabeth Flores Donado, representada por la Procuradora de los Tribunales doña Victoria Brualla Gómez de la Torre y asistida por el Abogado don Iñigo Molina Martínez, contra el Auto de 2 de junio de 2015 de la Sala de lo Social del Tribunal Superior de Justicia del País Vasco, dictado en el recurso </w:t>
      </w:r>
      <w:r>
        <w:lastRenderedPageBreak/>
        <w:t>de queja núm. 412-2015, que tuvo por no anunciado el recurso de suplicación contra la Sentencia dictada el 2 de octubre de 2014 en los autos núm. 319-2014 del Juzgado de lo Social núm. 2 de Bilbao, confirmando el Auto de este último órgano judicial de fecha 11 de febrero de 2015. Ha intervenido el Ministerio Fiscal. Ha comparecido el Procurador de los Tribunales don Joaquín Fanjul de Antonio, en nombre y representación de Ataco, S.L.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que tuvo entrada en el Registro General de este Tribunal el día 4 de agosto de 2015, la Procuradora de los Tribunales doña Victoria Brualla Gómez de la Torre, actuando en nombre y representación de doña Elisabeth Flores Donado, presentó recurso de amparo constitucional contra el Auto de 2 de junio de 2015 de la Sala de lo Social del Tribunal Superior de Justicia del País Vasco, dictado en el recurso de queja núm. 412-2015, que tuvo por no anunciado el recurso de suplicación contra la Sentencia dictada el 2 de octubre de 2014 en los autos núm. 319-2014 del Juzgado de lo Social núm. 2 de Bilbao, confirmando el Auto de este último órgano judicial de fecha 11 de febrero de 2015.</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son, en síntesis, los siguientes:</w:t>
      </w:r>
    </w:p>
    <w:p w:rsidR="00A90898" w:rsidRDefault="00A90898" w:rsidP="00A90898">
      <w:pPr>
        <w:pStyle w:val="TextoNormal"/>
      </w:pPr>
    </w:p>
    <w:p w:rsidR="00A90898" w:rsidRDefault="00A90898" w:rsidP="00A90898">
      <w:pPr>
        <w:pStyle w:val="TextoNormal"/>
      </w:pPr>
      <w:r>
        <w:t>a) La recurrente en amparo interpuso demanda en materia de modificación sustancial de las condiciones de trabajo contra la empresa Ataco, S.L., solicitando que se declarasen vulnerados sus derechos fundamentales a la igualdad y no discriminación, a la garantía de indemnidad y a la libertad sindical (respectivamente, arts. 14, 24.1 y 28.1 CE), así como la nulidad radical de la conducta empresarial, o subsidiariamente su improcedencia, condenando a la empresa a la inmediata reposición en las condiciones de trabajo que venía disfrutando la demandante con anterioridad, a las demás consecuencias inherentes a dicha declaración, al pago de la cantidad de tres mil euros en razón del daño moral sufrido por la vulneración de derechos fundamentales cometida y a los daños y perjuicios causados por los días no trabajados como consecuencia de la modificación sustancial impugnada. El litigio nacía de discrepancias entre la empresa y la trabajadora sobre el régimen horario, de jornada y lugar de la prestación de servicios en relación con una situación de reducción de jornada por guarda legal [art. 37.5 de la Ley del estatuto de los trabajadores (LET)].</w:t>
      </w:r>
    </w:p>
    <w:p w:rsidR="00A90898" w:rsidRDefault="00A90898" w:rsidP="00A90898">
      <w:pPr>
        <w:pStyle w:val="TextoNormal"/>
      </w:pPr>
    </w:p>
    <w:p w:rsidR="00A90898" w:rsidRDefault="00A90898" w:rsidP="00A90898">
      <w:pPr>
        <w:pStyle w:val="TextoNormal"/>
      </w:pPr>
      <w:r>
        <w:t>b) La demanda fue turnada al Juzgado de lo Social núm. 2 de Bilbao, que dictó Sentencia de 2 de octubre de 2014 desestimando la pretensión actora. Razonaba el juzgador que la modificación sustancial de las condiciones de trabajo nunca llegó a aplicarse, al acordar las partes dejarla sin efecto, y que carecía la demandante, en consecuencia, de acción. Rechazaba asimismo la lesión de derechos fundamentales, apreciando en el alegato meras conjeturas pero no indicios de vulneración de los derechos invocados. En la correspondiente instrucción contenida en el pronunciamiento judicial se señalaba que contra la Sentencia no cabía interponer recurso alguno, por lo que era firme desde la fecha de su dictado, en virtud de lo dispuesto en el art. 191.2 de la Ley 36/2011, de 10 de octubre, reguladora de la jurisdicción social (LJS).</w:t>
      </w:r>
    </w:p>
    <w:p w:rsidR="00A90898" w:rsidRDefault="00A90898" w:rsidP="00A90898">
      <w:pPr>
        <w:pStyle w:val="TextoNormal"/>
      </w:pPr>
    </w:p>
    <w:p w:rsidR="00A90898" w:rsidRDefault="00A90898" w:rsidP="00A90898">
      <w:pPr>
        <w:pStyle w:val="TextoNormal"/>
      </w:pPr>
      <w:r>
        <w:lastRenderedPageBreak/>
        <w:t>c) El letrado de la parte actora presentó, en fecha 16 de octubre de 2014, escrito anunciando recurso de suplicación al amparo de los arts. 178.2 y 184 LJS, toda vez que, afirmaba, “en todas aquellas modalidades procesales en las que se invoque la lesión de derechos fundamentales serán de aplicación ‘las reglas y garantías previstas’ para la modalidad especial de tutela de derechos fundamentales… Lo que significa que el procedimiento alternativo al de tutela (en este caso de modificación sustancial) tendrá las mismas garantías que el de tutela, incluida la citación como parte del Ministerio Fiscal, así como que dicha sentencia tendrá acceso a la suplicación de conformidad con el art. 178.2, 184 y 191.3 f) LJS”.</w:t>
      </w:r>
    </w:p>
    <w:p w:rsidR="00A90898" w:rsidRDefault="00A90898" w:rsidP="00A90898">
      <w:pPr>
        <w:pStyle w:val="TextoNormal"/>
      </w:pPr>
    </w:p>
    <w:p w:rsidR="00A90898" w:rsidRDefault="00A90898" w:rsidP="00A90898">
      <w:pPr>
        <w:pStyle w:val="TextoNormal"/>
      </w:pPr>
      <w:r>
        <w:t>El recurso de suplicación se tuvo por anunciado por diligencia de ordenación de 17 de octubre de 2014, pero recurrida que fue por la empresa en atención, entre otros, a los arts. 138 y 191.2 e) LJS, quedó revocada por decreto de 28 de noviembre de 2014, decisión que finalmente confirmaría el Auto de 11 de febrero de 2015, resolutorio del sucesivo recurso de reposición articulado por la trabajadora contra el indicado decreto.</w:t>
      </w:r>
    </w:p>
    <w:p w:rsidR="00A90898" w:rsidRDefault="00A90898" w:rsidP="00A90898">
      <w:pPr>
        <w:pStyle w:val="TextoNormal"/>
      </w:pPr>
    </w:p>
    <w:p w:rsidR="00A90898" w:rsidRDefault="00A90898" w:rsidP="00A90898">
      <w:pPr>
        <w:pStyle w:val="TextoNormal"/>
      </w:pPr>
      <w:r>
        <w:t xml:space="preserve">Dicho Auto contiene el siguiente fundamento de derecho único: </w:t>
      </w:r>
    </w:p>
    <w:p w:rsidR="00A90898" w:rsidRDefault="00A90898" w:rsidP="00A90898">
      <w:pPr>
        <w:pStyle w:val="TextoNormal"/>
      </w:pPr>
    </w:p>
    <w:p w:rsidR="00A90898" w:rsidRDefault="00A90898" w:rsidP="00A90898">
      <w:pPr>
        <w:pStyle w:val="TextoNormal"/>
      </w:pPr>
      <w:r>
        <w:t>“El recurso de reposición interpuesto frente al decreto de 28 de noviembre de 2014 debe ser íntegramente desestimado.</w:t>
      </w:r>
    </w:p>
    <w:p w:rsidR="00A90898" w:rsidRDefault="00A90898" w:rsidP="00A90898">
      <w:pPr>
        <w:pStyle w:val="TextoNormal"/>
      </w:pPr>
    </w:p>
    <w:p w:rsidR="00A90898" w:rsidRDefault="00A90898" w:rsidP="00A90898">
      <w:pPr>
        <w:pStyle w:val="TextoNormal"/>
      </w:pPr>
      <w:r>
        <w:t xml:space="preserve">Como se señala en el decreto recurrido los procesos seguidos en materia de modificación sustancial de condiciones de trabajo no tienen acceso al recurso de suplicación; siendo que en el supuesto de </w:t>
      </w:r>
      <w:r w:rsidRPr="00A90898">
        <w:rPr>
          <w:i/>
        </w:rPr>
        <w:t>litis</w:t>
      </w:r>
      <w:r>
        <w:t xml:space="preserve"> el procedimiento elegido por la parte actora ha sido el de modificación sustancial de condiciones de trabajo, razón por la cual la sentencia dictada no es susceptible de recurso de suplicación. Art. 138 LJS.”</w:t>
      </w:r>
    </w:p>
    <w:p w:rsidR="00A90898" w:rsidRDefault="00A90898" w:rsidP="00A90898">
      <w:pPr>
        <w:pStyle w:val="TextoNormal"/>
      </w:pPr>
    </w:p>
    <w:p w:rsidR="00A90898" w:rsidRDefault="00A90898" w:rsidP="00A90898">
      <w:pPr>
        <w:pStyle w:val="TextoNormal"/>
      </w:pPr>
      <w:r>
        <w:t>d) La recurrente en amparo formalizó recurso de queja, solicitando que, a tenor de lo dispuesto en los arts. 178.2, 184 y 191.3 f) LJS, en relación con el art. 24 CE, se tuviera por anunciado el recurso de suplicación y se le diera el trámite correspondiente.</w:t>
      </w:r>
    </w:p>
    <w:p w:rsidR="00A90898" w:rsidRDefault="00A90898" w:rsidP="00A90898">
      <w:pPr>
        <w:pStyle w:val="TextoNormal"/>
      </w:pPr>
    </w:p>
    <w:p w:rsidR="00A90898" w:rsidRDefault="00A90898" w:rsidP="00A90898">
      <w:pPr>
        <w:pStyle w:val="TextoNormal"/>
      </w:pPr>
      <w:r>
        <w:t>En dicho recurso alegó, entre otros motivos, la vulneración de la doctrina constitucional relativa a las garantías del procedimiento especial de tutela de derechos fundamentales, enunciada en la STC 257/2000, de 30 de octubre, aduciendo que a la vista de lo que en ella se establece no puede existir una menor garantía jurisdiccional de un mismo derecho fundamental en función de la modalidad procesal seguida por razón de la materia en litigio o el acto o conducta del que pueda haberse derivado la lesión que se alegue. La legislación procesal, así, decía en su escrito, cuando en los arts. 178.2 y 184 dispone que en todas las modalidades procesales en las que se invoque la lesión de derechos fundamentales serán de aplicación “las reglas y garantías previstas” en la modalidad de tutela de los arts. 177 y ss. LJS, opta por la “exportabilidad de las garantías” o el “efecto migratorio de las reglas y garantías del procedimiento”, en consonancia con lo declarado por el Tribunal Constitucional.</w:t>
      </w:r>
    </w:p>
    <w:p w:rsidR="00A90898" w:rsidRDefault="00A90898" w:rsidP="00A90898">
      <w:pPr>
        <w:pStyle w:val="TextoNormal"/>
      </w:pPr>
    </w:p>
    <w:p w:rsidR="00A90898" w:rsidRDefault="00A90898" w:rsidP="00A90898">
      <w:pPr>
        <w:pStyle w:val="TextoNormal"/>
      </w:pPr>
      <w:r>
        <w:t>Una vez impugnado el recurso por la representación de la empleadora, que reiteró los razonamientos expuestos en los previos trámites procesales, la queja fue desestimada por el Auto de 2 de junio de 2015 de la Sala de lo Social del Tribunal Superior de Justicia del País Vasco, ahora recurrido en amparo.</w:t>
      </w:r>
    </w:p>
    <w:p w:rsidR="00A90898" w:rsidRDefault="00A90898" w:rsidP="00A90898">
      <w:pPr>
        <w:pStyle w:val="TextoNormal"/>
      </w:pPr>
    </w:p>
    <w:p w:rsidR="00A90898" w:rsidRDefault="00A90898" w:rsidP="00A90898">
      <w:pPr>
        <w:pStyle w:val="TextoNormal"/>
      </w:pPr>
      <w:r>
        <w:lastRenderedPageBreak/>
        <w:t>Dicho Auto contiene los siguientes fundamentos de Derecho para razonar la decisión desestimatoria: El apartado 2 del artículo 178 LJS viene a señalar que “cuando la tutela del derecho deba necesariamente realizarse a través de las modalidades procesales a que se refiere el artículo 184, se aplicarán en cuanto a las pretensiones de tutela de derechos fundamentales y libertades públicas las reglas y garantías previstas en este Capítulo, incluida la citación como parte al Ministerio Fiscal”.</w:t>
      </w:r>
    </w:p>
    <w:p w:rsidR="00A90898" w:rsidRDefault="00A90898" w:rsidP="00A90898">
      <w:pPr>
        <w:pStyle w:val="TextoNormal"/>
      </w:pPr>
    </w:p>
    <w:p w:rsidR="00A90898" w:rsidRDefault="00A90898" w:rsidP="00A90898">
      <w:pPr>
        <w:pStyle w:val="TextoNormal"/>
      </w:pPr>
      <w:r>
        <w:t>Y el art. 184 del mismo texto legal dispone que “no obstante lo dispuesto en los artículos anteriores y sin perjuicio de lo dispuesto en el apartado 2 del artículo 178, las demandas por despido y por las demás causas de extinción del contrato de trabajo, las de modificaciones sustanciales de condiciones de trabajo, las de suspensión del contrato y reducción de jornada por causas económicas, técnicas, organizativas o de producción o derivadas de fuerza mayor, las de disfrute de vacaciones, las de materia electoral, las de impugnación de estatutos de los sindicatos o de su modificación, las de movilidad geográfica, las de derechos de conciliación de la vida personal, familiar y laboral a las que se refiere el artículo 139, las de impugnación de convenios colectivos y las de sanciones impuestas por los empresarios a los trabajadores en que se invoque lesión de derechos fundamentales y libertades públicas se tramitarán inexcusablemente, con arreglo a la modalidad procesal correspondiente a cada una de ellas, dando carácter preferente a dichos procesos y acumulando en ellos, según lo dispuesto en el apartado 2 del artículo 26, las pretensiones de tutela de derechos fundamentales y libertades públicas con las propias de la modalidad procesal respectiva”.</w:t>
      </w:r>
    </w:p>
    <w:p w:rsidR="00A90898" w:rsidRDefault="00A90898" w:rsidP="00A90898">
      <w:pPr>
        <w:pStyle w:val="TextoNormal"/>
      </w:pPr>
    </w:p>
    <w:p w:rsidR="00A90898" w:rsidRDefault="00A90898" w:rsidP="00A90898">
      <w:pPr>
        <w:pStyle w:val="TextoNormal"/>
      </w:pPr>
      <w:r>
        <w:t>De la redacción dada a los preceptos anteriores se deriva que, en aquellos supuestos en los que en las demandas por alguna de las acciones referidas en el art. 184 LJS se les acumule, por mor de su art. 26.2, otra de tutela de derechos fundamentales o libertades públicas, sin perjuicio de que a la tramitación de esta última se le apliquen las reglas y garantías que le son propias, incluida la citación como parte al Ministerio Fiscal (a lo cual se dio cumplimiento por el Juzgado), se dará preferencia en cuanto a la tramitación a la modalidad procesal de la acción predominante, es decir, la de aquella que da origen a la demanda aunque luego se le acumule la de tutela, que en este caso es la modificación sustancial de las condiciones de trabajo, tal como resulta del encabezamiento y del suplico de la demanda.</w:t>
      </w:r>
    </w:p>
    <w:p w:rsidR="00A90898" w:rsidRDefault="00A90898" w:rsidP="00A90898">
      <w:pPr>
        <w:pStyle w:val="TextoNormal"/>
      </w:pPr>
    </w:p>
    <w:p w:rsidR="00A90898" w:rsidRDefault="00A90898" w:rsidP="00A90898">
      <w:pPr>
        <w:pStyle w:val="TextoNormal"/>
      </w:pPr>
      <w:r>
        <w:t>No puede negarse, como ya señalamos en el Auto de fecha 10 de junio de 2014, dictado en el recurso de queja 730-2014, que resolvía sobre un supuesto totalmente asimilable al presente, que al derivarse del art. 184 la naturaleza mixta de la demanda articulada, podríamos reconducirnos al art. 191.3 f) LJS en que se establece la recurribilidad en suplicación de los procesos relativos a la tutela de derechos fundamentales y libertades públicas, lo que nos llevaría a acoger la tesis de la recurrente, pero al enlazarlo con el art. 192.2 párrafo segundo de la misma Ley, en el que se dice que procederá el recurso de suplicación cuando se ejerciten acciones acumuladas de las que sólo alguna sea recurrible a través de dicho recurso, como seguidamente se matiza esta posibilidad con la frase “salvo expresa disposición en contrario”, en este caso operaría como tal, en virtud de la modalidad procesal preferente prevista en el art. 184, el art. 138.6 LJS, que es inequívoco tanto a la hora de establecer la inexistencia de suplicación con carácter general en la modalidad de modificación sustancial de condiciones de trabajo, como para configurar los supuestos que lo excepcionan y entre los cuales no figura el que nos ocupa.</w:t>
      </w:r>
    </w:p>
    <w:p w:rsidR="00A90898" w:rsidRDefault="00A90898" w:rsidP="00A90898">
      <w:pPr>
        <w:pStyle w:val="TextoNormal"/>
      </w:pPr>
    </w:p>
    <w:p w:rsidR="00A90898" w:rsidRDefault="00A90898" w:rsidP="00A90898">
      <w:pPr>
        <w:pStyle w:val="TextoNormal"/>
      </w:pPr>
      <w:r>
        <w:lastRenderedPageBreak/>
        <w:t>En el mismo Auto antes referido se añadió que “es cierto que en una primera aproximación el resultado procesal que hemos expuesto pudiera parecer injustificado, vista la importancia de los valores sometidos a litigio. Incluso pudiera hacernos dudar de la constitucionalidad de esa limitación dada la materia de que se trata y en conjunción del principio ‘pro actione’. Sin embargo, no llegamos a obtener la necesaria motivación para plantear cuestión de inconstitucionalidad al respecto, y todo ello sin perjuicio de aquellas acciones que la actora pudiera individualmente articular”.</w:t>
      </w:r>
    </w:p>
    <w:p w:rsidR="00A90898" w:rsidRDefault="00A90898" w:rsidP="00A90898">
      <w:pPr>
        <w:pStyle w:val="TextoNormal"/>
      </w:pPr>
    </w:p>
    <w:p w:rsidR="00A90898" w:rsidRDefault="00A90898" w:rsidP="00A90898">
      <w:pPr>
        <w:pStyle w:val="TextoNormal"/>
      </w:pPr>
      <w:r w:rsidRPr="00A90898">
        <w:rPr>
          <w:rStyle w:val="NumeroAFNegritaCaracter"/>
        </w:rPr>
        <w:t>3</w:t>
      </w:r>
      <w:r>
        <w:t>. A juicio de la recurrente en amparo se ha vulnerado el art. 24.1 CE, en su vertiente de derecho de acceso a los recursos legalmente previstos. Para sustentar su queja invoca resoluciones de este Tribunal, señaladamente las SSTC 90/1997, de 6 de mayo; 257/2000, de 30 de octubre; 10/2001, de 29 de enero, y 66/2002, de 21 de marzo. En su opinión, la remisión legal que efectúa el art. 184 LJS a específicas modalidades procesales en función del objeto del proceso en modo alguno consiente una distinta protección de un mismo derecho fundamental, como resulta del Auto recurrido en amparo, que negó el derecho a la suplicación laboral a la demandante con base en un pretendido mandato legal contenido en aquel precepto de la Ley procesal, en su relación con el art. 138.6 del mismo texto normativo. Antes al contrario, la jurisprudencia constitucional aludida y los arts. 178.2 y 184 LJS determinan la aplicación de “las reglas y garantías previstas” para la modalidad especial de tutela de derechos fundamentales en las correspondientes modalidades procesales a las que su regulación remite en atención al objeto del litigio. El procedimiento alternativo al de tutela que opere por razón de la remisión deberá contar, en suma, con las mismas garantías que aquél, incluido el acceso a la suplicación [art. 191.3 f) en conexión con los arts. 178.2 y 184 LJS].</w:t>
      </w:r>
    </w:p>
    <w:p w:rsidR="00A90898" w:rsidRDefault="00A90898" w:rsidP="00A90898">
      <w:pPr>
        <w:pStyle w:val="TextoNormal"/>
      </w:pPr>
    </w:p>
    <w:p w:rsidR="00A90898" w:rsidRDefault="00A90898" w:rsidP="00A90898">
      <w:pPr>
        <w:pStyle w:val="TextoNormal"/>
      </w:pPr>
      <w:r>
        <w:t>Por ello, concluye, como quiera que en el caso enjuiciado se impugnaba una modificación sustancial de condiciones de trabajo adoptada con vulneración de diversos derechos fundamentales, aducidos en el proceso, la regulación del art. 184 LJS no podía conducir a la privación del recurso de suplicación, ya que debe atenderse a la “exportabilidad de las garantías” o el “efecto migratorio de las reglas y garantías del procedimiento” especial de tutela a todas las modalidades procesales remitidas. En otras palabras, argumentar como hace el Auto recurrido que la regla general del art. 192.2, párrafo segundo, LJS queda enervada por el régimen del art. 184 en relación con el art. 138 del mismo texto legal provoca un resultado absurdo y contrario a las garantías de los derechos fundamentales.</w:t>
      </w:r>
    </w:p>
    <w:p w:rsidR="00A90898" w:rsidRDefault="00A90898" w:rsidP="00A90898">
      <w:pPr>
        <w:pStyle w:val="TextoNormal"/>
      </w:pPr>
    </w:p>
    <w:p w:rsidR="00A90898" w:rsidRDefault="00A90898" w:rsidP="00A90898">
      <w:pPr>
        <w:pStyle w:val="TextoNormal"/>
      </w:pPr>
      <w:r>
        <w:t>Solicita por lo expuesto la nulidad del Auto recurrido, en tanto que contrario al art. 24.1 CE, y la retroacción de las actuaciones a la fase de anuncio del recurso de suplicación, declarándose el derecho de la recurrente a su interposición.</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En virtud de providencia de la Sección Cuarta de la Sala Segunda de este Tribunal, de 1 de marzo de 2016, se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 51 de la Ley Orgánica del Tribunal Constitucional (LOTC), dirigir atenta comunicación a la Sala de lo Social del Tribunal Superior de Justicia del País Vasco y al Juzgado de lo Social núm. 2 de Bilbao a fin de que, en plazo que no excediera de diez días, remitieran certificación o fotocopia adverada de las actuaciones correspondientes y, </w:t>
      </w:r>
      <w:r>
        <w:lastRenderedPageBreak/>
        <w:t>por el último órgano judicial citado, se emplazase a quienes hubieran sido parte en el procedimiento, excepto a la recurrente en amparo, para que en el plazo de diez días pudieran comparecer en el presente proceso constitucional.</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en este Tribunal el día 15 de abril de 2016, el Procurador don Joaquín Fanjul de Antonio solicitó que se le tuviera por personado en nombre y representación de Ataco, S.L.</w:t>
      </w:r>
    </w:p>
    <w:p w:rsidR="00A90898" w:rsidRDefault="00A90898" w:rsidP="00A90898">
      <w:pPr>
        <w:pStyle w:val="TextoNormal"/>
      </w:pPr>
    </w:p>
    <w:p w:rsidR="00A90898" w:rsidRDefault="00A90898" w:rsidP="00A90898">
      <w:pPr>
        <w:pStyle w:val="TextoNormal"/>
      </w:pPr>
      <w:r w:rsidRPr="00A90898">
        <w:rPr>
          <w:rStyle w:val="NumeroAFNegritaCaracter"/>
        </w:rPr>
        <w:t>6</w:t>
      </w:r>
      <w:r>
        <w:t>. Por diligencia de ordenación de la Secretaría de Justicia de la Sala Segunda de este Tribunal, de 26 de abril de 2016, se tuvo por personado y parte en la representación que ostenta al Procurador citado y se acordó, asimismo, abrir el plazo común de veinte días al Ministerio Fiscal y a las partes personadas, de conformidad con el art. 52.1 LOTC, para que pudieran presentar las alegaciones que a su derecho conviniere, dando a tal fin vista de las actuaciones recibidas.</w:t>
      </w:r>
    </w:p>
    <w:p w:rsidR="00A90898" w:rsidRDefault="00A90898" w:rsidP="00A90898">
      <w:pPr>
        <w:pStyle w:val="TextoNormal"/>
      </w:pPr>
    </w:p>
    <w:p w:rsidR="00A90898" w:rsidRDefault="00A90898" w:rsidP="00A90898">
      <w:pPr>
        <w:pStyle w:val="TextoNormal"/>
      </w:pPr>
      <w:r w:rsidRPr="00A90898">
        <w:rPr>
          <w:rStyle w:val="NumeroAFNegritaCaracter"/>
        </w:rPr>
        <w:t>7</w:t>
      </w:r>
      <w:r>
        <w:t>. Presentó su escrito de alegaciones el Ministerio Fiscal con fecha 20 de mayo de 2016, interesando el otorgamiento del amparo. Tras citar y reproducir jurisprudencia constitucional sobre el derecho de acceso al recurso legalmente previsto y pronunciamientos de la Sala de lo Social del Tribunal Supremo, razona que las resoluciones judiciales no han tomado en consideración que se sustanciaba una pretensión de tutela de derechos fundamentales y libertades públicas en un proceso de naturaleza mixta, ni tampoco que en procesos donde está en juego la tutela de derechos de esa naturaleza está previsto el recurso de suplicación. La Sala de lo Social soslayó, en definitiva, que el art. 191.3 f) LJS constituye una regla específica de procedencia del recurso y que, a tenor de ello, el art. 192 párrafo segundo LJS que cita el Auto que cerró el proceso admite otras lecturas que evitan resultados paradójicos.</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Evacuó el trámite el Procurador don Joaquín Fanjul de Antonio por escrito registrado el día 31 de mayo de 2016. En oposición a la pretensión de la recurrente, aduce que el mero hecho de referir o enunciar en la demanda rectora del proceso determinados derechos fundamentales no implica necesariamente que quede encuadrada la pretensión en el procedimiento especial de tutela de derechos fundamentales y libertades públicas (capítulo XI, del título II, del libro II LJS), ni tampoco que se hayan ejercitado dos acciones acumuladas (esto es, </w:t>
      </w:r>
      <w:r w:rsidRPr="00A90898">
        <w:rPr>
          <w:i/>
        </w:rPr>
        <w:t>ad casum</w:t>
      </w:r>
      <w:r>
        <w:t>, la de modificación sustancial de condiciones de trabajo y la de tutela de los derechos fundamentales invocados —arts. 14, 24.1 y 28.1 CE—).</w:t>
      </w:r>
    </w:p>
    <w:p w:rsidR="00A90898" w:rsidRDefault="00A90898" w:rsidP="00A90898">
      <w:pPr>
        <w:pStyle w:val="TextoNormal"/>
      </w:pPr>
    </w:p>
    <w:p w:rsidR="00A90898" w:rsidRDefault="00A90898" w:rsidP="00A90898">
      <w:pPr>
        <w:pStyle w:val="TextoNormal"/>
      </w:pPr>
      <w:r>
        <w:t>En suma, el derecho a la tutela judicial efectiva en modo alguno se ha visto conculcado. Ese derecho no supone garantizar a la parte la obtención de dos sentencias judiciales en un procedimiento, según ha declarado en numerosas ocasiones el Tribunal Constitucional. Es el legislador el que establece las reglas que determinan los recursos que proceden o no frente a las resoluciones judiciales, correspondiendo a los órganos de la jurisdicción ordinaria la interpretación de tales reglas. Y en el presente caso la respuesta judicial está debidamente motivada, no siendo manifiestamente arbitraria o irrazonable, por lo que no puede prosperar el amparo interesado.</w:t>
      </w:r>
    </w:p>
    <w:p w:rsidR="00A90898" w:rsidRDefault="00A90898" w:rsidP="00A90898">
      <w:pPr>
        <w:pStyle w:val="TextoNormal"/>
      </w:pPr>
    </w:p>
    <w:p w:rsidR="00A90898" w:rsidRDefault="00A90898" w:rsidP="00A90898">
      <w:pPr>
        <w:pStyle w:val="TextoNormal"/>
      </w:pPr>
      <w:r w:rsidRPr="00A90898">
        <w:rPr>
          <w:rStyle w:val="NumeroAFNegritaCaracter"/>
        </w:rPr>
        <w:t>9</w:t>
      </w:r>
      <w:r>
        <w:t>. No formuló alegaciones la representación procesal de la recurrente, según se hace constar en diligencia de la Secretaria de Justicia de la Sala Segunda, de 3 de junio de 2016.</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10</w:t>
      </w:r>
      <w:r>
        <w:t>. Por providencia de 15 de septiembre de 2016 se señaló para la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entenderla contraria al derecho a la tutela judicial efectiva en su vertiente de derecho de acceso a los recursos legalmente establecidos (art. 24.1 CE), la demandante impugna en amparo la decisión judicial de no tener por anunciado el recurso de suplicación interpuesto contra la Sentencia de 2 de octubre de 2014, dictada en los autos núm. 319-2014 del Juzgado de lo Social núm. 2 de Bilbao, acordada en el Auto de este último órgano judicial de fecha 11 de febrero de 2015 y confirmada en la sucesiva queja por el Auto de 2 de junio de 2015 de la Sala de lo Social del Tribunal Superior de Justicia del País Vasco (recurso de queja núm. 412-2015).</w:t>
      </w:r>
    </w:p>
    <w:p w:rsidR="00A90898" w:rsidRDefault="00A90898" w:rsidP="00A90898">
      <w:pPr>
        <w:pStyle w:val="TextoNormal"/>
      </w:pPr>
    </w:p>
    <w:p w:rsidR="00A90898" w:rsidRDefault="00A90898" w:rsidP="00A90898">
      <w:pPr>
        <w:pStyle w:val="TextoNormal"/>
      </w:pPr>
      <w:r>
        <w:t>Aunque la recurrente afirme dirigir su pretensión contra el último Auto citado, el objeto de este proceso constitucional debe entenderse extendido a los pronunciamientos que el Auto resolutorio de la queja vino a confirmar. En efecto, es doctrina reiterada de este Tribunal que cuando se impugna en el recurso de amparo una resolución judicial confirmatoria de otras que han sido lógica y cronológicamente presupuesto de aquélla, han de considerarse también recurridas esas precedentes resoluciones (por todas, STC 182/1990, de 15 de noviembre, FJ 2, o recientemente STC 149/2015, de 6 de julio, FJ 1).</w:t>
      </w:r>
    </w:p>
    <w:p w:rsidR="00A90898" w:rsidRDefault="00A90898" w:rsidP="00A90898">
      <w:pPr>
        <w:pStyle w:val="TextoNormal"/>
      </w:pPr>
    </w:p>
    <w:p w:rsidR="00A90898" w:rsidRDefault="00A90898" w:rsidP="00A90898">
      <w:pPr>
        <w:pStyle w:val="TextoNormal"/>
      </w:pPr>
      <w:r>
        <w:t>En su opinión, la remisión legal contenida en el art. 184 LJS a específicas modalidades procesales en función del objeto del proceso en modo alguno consiente una distinta protección de un mismo derecho fundamental. Los procedimientos excluyentes del de tutela de derechos fundamentales y libertades públicas (arts. 177 y siguientes LJS) al que la norma remite en aquel precepto en función del objeto del litigio, como ocurre con la modalidad procesal de modificación sustancial de condiciones de trabajo, deberán contar con las mismas garantías que aquél, incluido el acceso a la suplicación [art. 191.3 f) en relación con los arts. 178.2 y 184 LJS], pues se deduce de la jurisprudencia constitucional y de la propia regulación procesal la “exportabilidad de las garantías” o el “efecto migratorio de las reglas y garantías del procedimiento”, a fin de que en todas las modalidades procesales citadas por el art. 184 LJS operen “las reglas y garantías previstas” de la modalidad especial de tutela, cuando se trate de procesos en las que se invoque la lesión de derechos fundamentales.</w:t>
      </w:r>
    </w:p>
    <w:p w:rsidR="00A90898" w:rsidRDefault="00A90898" w:rsidP="00A90898">
      <w:pPr>
        <w:pStyle w:val="TextoNormal"/>
      </w:pPr>
    </w:p>
    <w:p w:rsidR="00A90898" w:rsidRDefault="00A90898" w:rsidP="00A90898">
      <w:pPr>
        <w:pStyle w:val="TextoNormal"/>
      </w:pPr>
      <w:r>
        <w:t>En el trámite de alegaciones el Ministerio Fiscal ha interesado la estimación del recurso, con otorgamiento del amparo solicitado, en contra de lo que ha sostenido la representación procesal de la sociedad empleadora, personada en este proceso constitucional, según se relató con detalle en los antecedentes de la presente resolución.</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comparecidas ha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(STEDH de 20 de enero de 2015, caso </w:t>
      </w:r>
      <w:r w:rsidRPr="00A90898">
        <w:rPr>
          <w:i/>
        </w:rPr>
        <w:t>Arribas Antón c. España</w:t>
      </w:r>
      <w:r>
        <w:t>, § 46) obligan a explicitar el cumplimiento del mismo para hacer así recognoscibles los criterios empleados al efecto por este Tribunal.</w:t>
      </w:r>
    </w:p>
    <w:p w:rsidR="00A90898" w:rsidRDefault="00A90898" w:rsidP="00A90898">
      <w:pPr>
        <w:pStyle w:val="TextoNormal"/>
      </w:pPr>
    </w:p>
    <w:p w:rsidR="00A90898" w:rsidRDefault="00A90898" w:rsidP="00A90898">
      <w:pPr>
        <w:pStyle w:val="TextoNormal"/>
      </w:pPr>
      <w:r>
        <w:t xml:space="preserve">La decisión de admitir el recurso, apreciando que concurría en el mismo especial trascendencia constitucional, se fundó en que da ocasión al Tribunal para aclarar o cambiar su doctrina como consecuencia de un proceso de reflexión interna [STC 155/2009, de 25 de junio, FJ 2 b)]. Y, en efecto, es constitucionalmente relevante despejar sin sombra de duda doctrinal si </w:t>
      </w:r>
      <w:r w:rsidRPr="00A90898">
        <w:rPr>
          <w:i/>
        </w:rPr>
        <w:t>ex</w:t>
      </w:r>
      <w:r>
        <w:t xml:space="preserve"> art. 24.1 CE, en su vertiente de derecho de acceso a los recursos legalmente establecidos, queda garantizado el derecho a recurrir en suplicación previsto en el art. 191.3 f) LJS cuando la pretensión sustanciada en el proceso se fundamente en lesiones de derechos fundamentales y libertades públicas, acumulada con las pretensiones propias de la modalidad procesal respectiva (arts. 26.2 y 184 </w:t>
      </w:r>
      <w:r w:rsidRPr="00A90898">
        <w:rPr>
          <w:i/>
        </w:rPr>
        <w:t>in fine</w:t>
      </w:r>
      <w:r>
        <w:t xml:space="preserve"> LJS), con independencia de lo que disponga con carácter general en materia de recursos la regulación de la modalidad procesal a la que el art. 184 LJS se remita en cada caso.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 este respecto no podemos sino recordar la doctrina sentada por el Pleno de este Tribunal, que inauguró una línea constante y ya consolidada en nuestra jurisprudencia en materia de acceso al recurso. La STC 37/1995, de 7 de febrero, recoge esa posición reiterada y estable en la actualidad, que diferencia la tutela constitucional de distintas vertientes o derechos comprendidos en el genérico derecho a la tutela judicial efectiva (art. 24.1 CE), señaladamente la correspondiente al acceso a la jurisdicción y al derecho de acceso a los recursos. Destacábamos entonces el acceso a la justicia como elemento esencial del contenido de la tutela judicial, consistente en provocar la actividad jurisdiccional que desemboque en la decisión de un Juez, y que en dicho acceso, o entrada, funciona con toda su intensidad el principio </w:t>
      </w:r>
      <w:r w:rsidRPr="00A90898">
        <w:rPr>
          <w:i/>
        </w:rPr>
        <w:t>pro actione</w:t>
      </w:r>
      <w:r>
        <w:t xml:space="preserve"> que, sin embargo, ha de ser matizado cuando se trata de los siguientes grados procesales que, eventualmente, puedan configurarse, puesto que el derecho a poder dirigirse a un Juez en busca de protección para hacer valer el derecho de cada quien tiene naturaleza constitucional por nacer directamente de la propia Ley suprema, mientras que, una vez recaída la primera respuesta judicial, que es el núcleo de la tutela, el derecho a seguir manteniendo viva la controversia se defiere a las leyes. Son, por tanto, cualitativa y cuantitativamente distintos, concluíamos, el acceso a la jurisdicción y el derecho a los recursos.</w:t>
      </w:r>
    </w:p>
    <w:p w:rsidR="00A90898" w:rsidRDefault="00A90898" w:rsidP="00A90898">
      <w:pPr>
        <w:pStyle w:val="TextoNormal"/>
      </w:pPr>
    </w:p>
    <w:p w:rsidR="00A90898" w:rsidRDefault="00A90898" w:rsidP="00A90898">
      <w:pPr>
        <w:pStyle w:val="TextoNormal"/>
      </w:pPr>
      <w:r>
        <w:t xml:space="preserve">De ahí se deduce una conclusión principal, que reproducimos en los términos literales de aquel pronunciamiento (FJ 5): “El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Como consecuencia de la anterior configuración, añadíamos más tarde: “el principio hermenéutico </w:t>
      </w:r>
      <w:r w:rsidRPr="00A90898">
        <w:rPr>
          <w:i/>
        </w:rPr>
        <w:t>pro actione</w:t>
      </w:r>
      <w:r>
        <w:t xml:space="preserv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w:t>
      </w:r>
      <w:r>
        <w:lastRenderedPageBreak/>
        <w:t>extraordinario contra una Sentencia anterior dictada en un proceso celebrado con todas las garantías (SSTC 3/1983 y 294/1994)”.</w:t>
      </w:r>
    </w:p>
    <w:p w:rsidR="00A90898" w:rsidRDefault="00A90898" w:rsidP="00A90898">
      <w:pPr>
        <w:pStyle w:val="TextoNormal"/>
      </w:pPr>
    </w:p>
    <w:p w:rsidR="00A90898" w:rsidRDefault="00A90898" w:rsidP="00A90898">
      <w:pPr>
        <w:pStyle w:val="TextoNormal"/>
      </w:pPr>
      <w:r>
        <w:t>A partir de ese parámetro de constitucionalidad, conforme hemos sentado también con reiteración, cuando diversos resultados interpretativos sean posibles sobre los requisitos procesales para el acceso a un recurso, cualquiera que fuere su grado de exactitud relativa respecto de la voluntad objetivada de la ley o la subjetiva del legislador,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 (por todas, de nuevo, STC 37/1995, FJ 6).</w:t>
      </w:r>
    </w:p>
    <w:p w:rsidR="00A90898" w:rsidRDefault="00A90898" w:rsidP="00A90898">
      <w:pPr>
        <w:pStyle w:val="TextoNormal"/>
      </w:pPr>
    </w:p>
    <w:p w:rsidR="00A90898" w:rsidRDefault="00A90898" w:rsidP="00A90898">
      <w:pPr>
        <w:pStyle w:val="TextoNormal"/>
      </w:pPr>
      <w:r>
        <w:t xml:space="preserve">La reciente STC 149/2015, de 6 de julio, FJ 3, insiste en el contenido del canon de constitucionalidad en la materia: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w:t>
      </w:r>
      <w:r w:rsidRPr="00A90898">
        <w:rPr>
          <w:i/>
        </w:rPr>
        <w:t>intuitu personae</w:t>
      </w:r>
      <w:r>
        <w:t>, o incurriendo en error patente (SSTC 128/1998, de 16 de junio, FJ 4; 65/2002, de 11 de marzo, FJ 3, o 167/2003, de 29 de septiembre, entre otras). No se trata, por tanto, de interpretar las normas procesales en juego, sino de ver si la interpretación dada en el caso es compatible con el derecho fundamental”.</w:t>
      </w:r>
    </w:p>
    <w:p w:rsidR="00A90898" w:rsidRDefault="00A90898" w:rsidP="00A90898">
      <w:pPr>
        <w:pStyle w:val="TextoNormal"/>
      </w:pPr>
    </w:p>
    <w:p w:rsidR="00A90898" w:rsidRDefault="00A90898" w:rsidP="00A90898">
      <w:pPr>
        <w:pStyle w:val="TextoNormal"/>
      </w:pPr>
      <w:r>
        <w:t>En suma, con excepción del derecho a la revisión en materia penal en los concretos y matizados términos que ha precisado nuestra doctrina, el derecho a los recursos tiene su fuente en la configuración legal, sin que exista un imperativo o mandato constitucional de una segunda instancia; tampoco —y es éste un dato relevante— cuando en el objeto del litigio tenga protagonismo central la posible vulneración de derechos fundamentales.</w:t>
      </w:r>
    </w:p>
    <w:p w:rsidR="00A90898" w:rsidRDefault="00A90898" w:rsidP="00A90898">
      <w:pPr>
        <w:pStyle w:val="TextoNormal"/>
      </w:pPr>
    </w:p>
    <w:p w:rsidR="00A90898" w:rsidRDefault="00A90898" w:rsidP="00A90898">
      <w:pPr>
        <w:pStyle w:val="TextoNormal"/>
      </w:pPr>
      <w:r>
        <w:t>Así, en definitiva, que una resolución judicial niegue la admisión de un recurso no la hace sólo por ello constitucionalmente sospechosa, más aún si tenemos en cuenta que, en atención a lo ya expuesto, ni siquiera una interpretación de los requisitos de acceso a un recurso caracterizada por su severidad o rigor es, en principio, contraria a la Constitución (STC 71/2002, de 8 de abril, FJ 6, por todas), siempre que constituya una de las posibles lecturas de la norma y que, se comparta o no, no resulte arbitraria, manifiestamente irrazonable ni incursa en error patente, no pudiendo este Tribunal Constitucional inclinarse por otra también admisible en Derecho, ni siquiera —decíamos en la Sentencia recién citada— si respondiese más plenamente a los valores incorporados al art. 24.1 CE, pues con ello rebasaríamos los límites trazados a nuestra jurisdicción.</w:t>
      </w:r>
    </w:p>
    <w:p w:rsidR="00A90898" w:rsidRDefault="00A90898" w:rsidP="00A90898">
      <w:pPr>
        <w:pStyle w:val="TextoNormal"/>
      </w:pPr>
    </w:p>
    <w:p w:rsidR="00A90898" w:rsidRDefault="00A90898" w:rsidP="00A90898">
      <w:pPr>
        <w:pStyle w:val="TextoNormal"/>
      </w:pPr>
      <w:r w:rsidRPr="00A90898">
        <w:rPr>
          <w:rStyle w:val="NumeroAFNegritaCaracter"/>
        </w:rPr>
        <w:t>4</w:t>
      </w:r>
      <w:r>
        <w:t>. La cuestión que se nos plantea exige atender, en suma, no tanto al sentido del pronunciamiento judicial impugnado —la denegación de la suplicación laboral en una determinada materia litigiosa resulta constitucionalmente posible—, sino al razonamiento seguido para alcanzarlo. Es precisamente en este contexto, el de la motivación de la decisión de inadmisión del recurso de suplicación en el presente supuesto de hecho, donde encuentra acomodo la tesis favorable al otorgamiento del amparo.</w:t>
      </w:r>
    </w:p>
    <w:p w:rsidR="00A90898" w:rsidRDefault="00A90898" w:rsidP="00A90898">
      <w:pPr>
        <w:pStyle w:val="TextoNormal"/>
      </w:pPr>
    </w:p>
    <w:p w:rsidR="00A90898" w:rsidRDefault="00A90898" w:rsidP="00A90898">
      <w:pPr>
        <w:pStyle w:val="TextoNormal"/>
      </w:pPr>
      <w:r>
        <w:lastRenderedPageBreak/>
        <w:t>Tal y como se ha relatado en los antecedentes de esta Sentencia, con reproducción literal del Auto que cerró el proceso, el órgano judicial sostiene en su interpretación de la regulación legal que: (i) cuando la tutela del derecho deba necesariamente realizarse a través de las modalidades procesales a las que se remite el art. 184 LJS, se aplicarán en cuanto a las pretensiones de tutela de derechos fundamentales y libertades públicas las reglas y garantías referidas en el apartado 2 del art. 178 LJS; (ii) los casos remitidos por el mencionado art. 184, sin perjuicio de la garantía recién señalada, se tramitarán con arreglo a la modalidad procesal correspondiente, dando carácter preferente a dichos procesos y acumulando en ellos, según lo dispuesto en el apartado 2 del art. 26 LJS, las pretensiones de tutela de derechos fundamentales y libertades públicas con las propias de la modalidad procesal respectiva; (iii) una lectura integrada o sistemática de los arts. 191.3 f) LJS (en el que se establece la recurribilidad en suplicación de los procesos relativos a la tutela de derechos fundamentales y libertades públicas) y 192.2 párrafo segundo de la misma Ley (en el que se dispone que “salvo expresa disposición en contrario” procederá el recurso de suplicación también cuando se ejerciten acciones acumuladas de las que sólo alguna sea recurrible a través de dicho recurso) determina que prevalezca en esta ocasión, como “expresa disposición en contrario”, el art. 138.6 LJS, “que es inequívoco tanto a la hora de establecer la inexistencia de suplicación con carácter general en la modalidad de modificación sustancial de condiciones de trabajo, como para configurar los supuestos que lo excepcionan y entre los cuales no figura el que nos ocupa”.</w:t>
      </w:r>
    </w:p>
    <w:p w:rsidR="00A90898" w:rsidRDefault="00A90898" w:rsidP="00A90898">
      <w:pPr>
        <w:pStyle w:val="TextoNormal"/>
      </w:pPr>
    </w:p>
    <w:p w:rsidR="00A90898" w:rsidRDefault="00A90898" w:rsidP="00A90898">
      <w:pPr>
        <w:pStyle w:val="TextoNormal"/>
      </w:pPr>
      <w:r>
        <w:t>La reseñada interpretación, sin embargo, no es compatible con las exigencias del derecho fundamental invocado (art. 24.1 CE).</w:t>
      </w:r>
    </w:p>
    <w:p w:rsidR="00A90898" w:rsidRDefault="00A90898" w:rsidP="00A90898">
      <w:pPr>
        <w:pStyle w:val="TextoNormal"/>
      </w:pPr>
    </w:p>
    <w:p w:rsidR="00A90898" w:rsidRDefault="00A90898" w:rsidP="00A90898">
      <w:pPr>
        <w:pStyle w:val="TextoNormal"/>
      </w:pPr>
      <w:r>
        <w:t>Para llegar a esa conclusión desde el prisma del derecho de acceso a los recursos (art. 24.1 CE) no podríamos basarnos exclusivamente en la jurisprudencia ordinaria, pues ya se dijo anteriormente que la balanza constitucional no puede inclinarse en ningún sentido para optar entre dos soluciones igualmente razonables sin interferir en el núcleo de la potestad de juzgar, cuya independencia de criterio predica la Constitución en el ámbito de la legalidad.</w:t>
      </w:r>
    </w:p>
    <w:p w:rsidR="00A90898" w:rsidRDefault="00A90898" w:rsidP="00A90898">
      <w:pPr>
        <w:pStyle w:val="TextoNormal"/>
      </w:pPr>
    </w:p>
    <w:p w:rsidR="00A90898" w:rsidRDefault="00A90898" w:rsidP="00A90898">
      <w:pPr>
        <w:pStyle w:val="TextoNormal"/>
      </w:pPr>
      <w:r>
        <w:t xml:space="preserve">Pese a ello no es inoportuno dar cuenta de que la Sala de lo Social del Tribunal Supremo, señaladamente en la STS de 3 de noviembre de 2015 (rec. 2753-2014), en un asunto sobre vacaciones y tutela de derechos fundamentales, coincidente por tanto con el actual en cuanto al juego de la remisión del art. 184 LJS, ha considerado recurrible en suplicación toda sentencia que resuelva una demanda que verse sobre tutela de derechos fundamentales, con independencia de la modalidad procesal que se haya seguido. Así, señala el Alto Tribunal: (i) que el tenor literal del art. 191.3 LJS, con su expresión “en todo caso”, únicamente puede significar que, en cualquier proceso en el que se interese la tutela de derechos fundamentales y libertades públicas, procede la suplicación [letra f)], aunque en dicho proceso se ejercite una acción que esté excluida de la suplicación; (ii) que la finalidad de la regla enmarcada en el art. 191.3 f), al conceder recurso de suplicación, obedece a la preeminencia que la protección de los derechos fundamentales y libertades públicas tiene en nuestro ordenamiento jurídico, manifestada en la regulación contenida en el art. 53 CE; (iii) que la imposibilidad de acudir a la modalidad procesal de tutela de los derechos fundamentales y libertades públicas en las materias que cita el art. 184 LJS resultaría restrictiva de derechos si implicara impedir el acceso al recurso de suplicación y, por el contrario, este recurso se concediera a quien ejercite únicamente la acción de tutela de derechos fundamentales por el </w:t>
      </w:r>
      <w:r>
        <w:lastRenderedPageBreak/>
        <w:t>cauce de la modalidad especial prevista a ese fin; (iv) que si a las acciones que se ejerciten por el cauce procesal que prevé el art. 184 LJS se les aplican todas las reglas y garantías del proceso de tutela de derechos fundamentales y libertades públicas, habrá de aplicárseles también, por identidad de razón, la regla que establece la recurribilidad de la sentencia recaída en el proceso de tutela; y, (v) en fin, que la procedencia del recurso de suplicación no se establece en el art. 191.3 f) LJS contra las sentencias dictadas en la modalidad procesal de tutela de derechos fundamentales y libertades públicas, sino respecto a las sentencias dictadas en materia de tutela de derechos fundamentales, por lo que procede el recurso de suplicación siempre que el objeto del pleito verse sobre tutela de derechos fundamentales, con independencia de la modalidad procesal que se haya seguido.</w:t>
      </w:r>
    </w:p>
    <w:p w:rsidR="00A90898" w:rsidRDefault="00A90898" w:rsidP="00A90898">
      <w:pPr>
        <w:pStyle w:val="TextoNormal"/>
      </w:pPr>
    </w:p>
    <w:p w:rsidR="00A90898" w:rsidRDefault="00A90898" w:rsidP="00A90898">
      <w:pPr>
        <w:pStyle w:val="TextoNormal"/>
      </w:pPr>
      <w:r>
        <w:t>Ya hemos hecho constar que el respeto que con carácter general ha de guardarse a la decisión de los Jueces y Tribunales adoptada en la aplicación e interpretación de la legalidad ordinaria debe ser, si cabe, aún más escrupuloso cuando el juicio se refiere a resoluciones del Tribunal Supremo, a quien está conferida la función de interpretar la legalidad ordinaria con el carácter complementario que le atribuye el art. 1.6 del Código civil (por todas, STC 83/2016, de 28 de abril, FJ 5). No obstante, la deferencia hacia el máximo intérprete de la legalidad ordinaria (art. 123.1 CE), que como se ha expuesto ha sentado en la materia controvertida una jurisprudencia contraria a la que ha acogido la resolución recurrida en amparo, debe conciliarse en el presente caso con el canon de constitucionalidad que opera, y que anteriormente definimos (FJ 3), en el derecho de acceso a los recursos legalmente establecidos (art. 24.1 CE). Y este canon no coincide —y es ésta la aproximación que nos corresponde— con un control de corrección jurídica en la interpretación de la norma, pues los derechos y garantías previstos en el art. 24 CE (también el derecho de acceso a los recursos) no garantizan la justicia de la decisión o la corrección jurídica de la actuación o interpretación llevada a cabo por los órganos judiciales comunes, ya que no existe un derecho al acierto judicial, ni tampoco aseguran la satisfacción de la pretensión de ninguna de las partes.</w:t>
      </w:r>
    </w:p>
    <w:p w:rsidR="00A90898" w:rsidRDefault="00A90898" w:rsidP="00A90898">
      <w:pPr>
        <w:pStyle w:val="TextoNormal"/>
      </w:pPr>
    </w:p>
    <w:p w:rsidR="00A90898" w:rsidRDefault="00A90898" w:rsidP="00A90898">
      <w:pPr>
        <w:pStyle w:val="TextoNormal"/>
      </w:pPr>
      <w:r w:rsidRPr="00A90898">
        <w:rPr>
          <w:rStyle w:val="NumeroAFNegritaCaracter"/>
        </w:rPr>
        <w:t>5</w:t>
      </w:r>
      <w:r>
        <w:t>. Es la STC 257/2000, de 30 de octubre, la que ofrece el soporte argumental que debemos trasladar al actual recurso. Analizaba ese pronunciamiento una resolución judicial que había denegado el derecho de un sindicato a comparecer en un procedimiento por despido en calidad de coadyuvante. Un derecho que había sido solicitado conforme a lo previsto en los arts. 175.2 y 182 de la entonces vigente Ley de procedimiento laboral (LPL), Ley que —como ahora hace la Ley reguladora de la jurisdicción social en su art.184— remitía a la modalidad procesal de despido las causas por extinción contractual con invocación de derechos fundamentales; esto es, una remisión que, en aquel caso, reconducía a un procedimiento (el de despido) que, a diferencia de lo previsto en la de tutela de derechos fundamentales, no preveía la presencia del sindicato en la condición de coadyuvante. En dicho examen, que no era sino un juicio sobre la extensión de las garantías del proceso de tutela de derechos fundamentales y libertades públicas a otras modalidades procesales, anotamos en relación con la Ley de procedimiento laboral unos parámetros del todo apropiados para ser traídos a colación en este nuevo recurso de amparo. Conviene por ese motivo una reproducción parcial de nuestra Sentencia:</w:t>
      </w:r>
    </w:p>
    <w:p w:rsidR="00A90898" w:rsidRDefault="00A90898" w:rsidP="00A90898">
      <w:pPr>
        <w:pStyle w:val="TextoNormal"/>
      </w:pPr>
    </w:p>
    <w:p w:rsidR="00A90898" w:rsidRDefault="00A90898" w:rsidP="00A90898">
      <w:pPr>
        <w:pStyle w:val="TextoNormal"/>
      </w:pPr>
      <w:r>
        <w:t>“5. La modalidad procesal laboral de tutela de derechos fundamentales presenta una serie de singularidades orientadas genéricamente a procurar una más eficaz protección jurisdic</w:t>
      </w:r>
      <w:r>
        <w:lastRenderedPageBreak/>
        <w:t>cional de aquéllos en diversos aspectos, integrando las distintas manifestaciones de los principios de preferencia y sumariedad que lo inspiran (arts. 64, 70, 177.1, 179.1 y 3, 178 LPL), la preceptiva intervención del Ministerio Fiscal (art. 175.3 LPL), la referencia expresa a la prueba indiciaria (art. 179.2 LPL), la viabilidad en cualquier caso del recurso de suplicación [art. 189.1 f) LPL], la inmediata ejecutividad de la Sentencia (art. 301 LPL) y, en fin, la posibilidad de que el Sindicato intervenga como coadyuvante, según se viene repitiendo. Estas singularidades procesales no aparecen expresamente previstas para el resto de las modalidades que, según la materia objeto de la pretensión, deban servir de cauce a otras demandas en las que eventualmente se alegue también la lesión de un derecho fundamental. Desde esta perspectiva, la Confederación demandante ha defendido en la vía judicial previa al amparo y en su demanda ante este Tribunal, la tesis interpretativa según la cual, al menos algunas de aquellas particularidades habrían de ser también aplicadas en otras modalidades distintas a la de tutela cuando lo que se pretende es la protección de un derecho fundamental, tesis que el Juzgado de lo Social ha rechazado según las razones que se han expuesto.</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6. Así delimitada la cuestión que se somete a nuestro juicio, la conclusión no puede ser otra que la de que el órgano judicial ha denegado injustificadamente, desde la perspectiva del art. 28.1 CE, la presencia del Sindicato en el procedimiento por despido de su Delegado Sindical.</w:t>
      </w:r>
    </w:p>
    <w:p w:rsidR="00A90898" w:rsidRDefault="00A90898" w:rsidP="00A90898">
      <w:pPr>
        <w:pStyle w:val="TextoNormal"/>
      </w:pPr>
    </w:p>
    <w:p w:rsidR="00A90898" w:rsidRDefault="00A90898" w:rsidP="00A90898">
      <w:pPr>
        <w:pStyle w:val="TextoNormal"/>
      </w:pPr>
      <w:r>
        <w:t>Las razones en que aquél se ha fundado se concentran únicamente en la distinción que el texto procesal laboral realiza entre las diversas modalidades procesales que en él se prevén responde a distintos objetos de conocimiento y obliga a tramitar la demanda con arreglo a los trámites procesales previstos legalmente para cada una.</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En efecto, cuando el legislador del art.182 LPL remite a las modalidades procesales correspondientes el conocimiento de las demandas que allí se citan lo hace en función justamente de la materia en litigio para una mejor atención de aquélla y por diversas razones que justifican la propia existencia de una distinta modalidad procesal o la extensión del objeto de conocimiento, pero no, desde luego, porque pueda otorgarse a un mismo derecho fundamental una menor garantía jurisdiccional en función de cuál sea el acto o conducta del que pueda haberse derivado la lesión que se alega. Desde esta perspectiva, el interés del Sindicato a intervenir como coadyuvante en un proceso en el que el trabajador afirma vulnerado su derecho de libertad sindical no se altera, obviamente, según la naturaleza del acto lesivo; lo contrario supondría, como bien afirma el recurrente, un resultado absurdo, como el de que podría intervenir en una reclamación salarial tramitada con arreglo a la modalidad de tutela pero no en un despido vulnerador del art. 28.1 CE de un afiliado, que virtualmente afectaría de manera más grave los intereses propios del Sindicato.”</w:t>
      </w:r>
    </w:p>
    <w:p w:rsidR="00A90898" w:rsidRDefault="00A90898" w:rsidP="00A90898">
      <w:pPr>
        <w:pStyle w:val="TextoNormal"/>
      </w:pPr>
    </w:p>
    <w:p w:rsidR="00A90898" w:rsidRDefault="00A90898" w:rsidP="00A90898">
      <w:pPr>
        <w:pStyle w:val="TextoNormal"/>
      </w:pPr>
      <w:r>
        <w:t xml:space="preserve">No es difícil sobre esas bases de nuestra doctrina concluir en el otorgamiento del amparo. En efecto, aunque no exista un mandato constitucional que asegure el acceso a los recursos en materia de derechos fundamentales, una vez que (configuración legal) ha sido prevista la suplicación por la norma “en todo caso” contra sentencias dictadas en procedimientos de </w:t>
      </w:r>
      <w:r>
        <w:lastRenderedPageBreak/>
        <w:t>tutela de derechos fundamentales y libertades públicas [art. 191.3 f) LJS], no cabe interpretar que la remisión del legislador a las modalidades procesales correspondientes del conocimiento de las demandas que allí se citan, sin dar opción al demandante, en función de la materia en litigio y para una mejor atención del objeto del proceso, pueda dar como resultado una menor garantía jurisdiccional de un mismo derecho fundamental. Es la línea señalada por la STC 257/2000, trasladada ahora al derecho de acceso a los recursos (art. 24.1 CE), con independencia de que cada órgano judicial llegue a ello de acuerdo a los criterios interpretativos sentados por el Tribunal Supremo, a la vista del tenor literal de los preceptos comprometidos en estos casos, o de acuerdo a una lógica de directa atención o plena asunción de la denominada tesis integrativa, enderezada a no fracturar o diversificar la protección jurisdiccional de los derechos fundamentales en el ámbito laboral.</w:t>
      </w:r>
    </w:p>
    <w:p w:rsidR="00A90898" w:rsidRDefault="00A90898" w:rsidP="00A90898">
      <w:pPr>
        <w:pStyle w:val="TextoNormal"/>
      </w:pPr>
    </w:p>
    <w:p w:rsidR="00A90898" w:rsidRDefault="00A90898" w:rsidP="00A90898">
      <w:pPr>
        <w:pStyle w:val="TextoNormal"/>
      </w:pPr>
      <w:r>
        <w:t xml:space="preserve">Otra interpretación, limitativa del derecho a la suplicación, ni es la única potencial lectura de la Ley, como expone la elaborada construcción de la Sala de lo Social del Tribunal Supremo, ni atiende a un factor decisivo en un enfoque de constitucionalidad, a saber: que el deber de motivación judicial se refuerza y nuestra revisión se convierte en un control material más exigente cuando la decisión, aunque afecte aparentemente solo a la admisibilidad de un recurso, se proyecta sobre un proceso en la que se invocan lesiones de derechos fundamentales. Cuando se trata de la protección jurisdiccional de éstos, el control del pronunciamiento judicial requiere un mayor rigor. Acogiendo </w:t>
      </w:r>
      <w:r w:rsidRPr="00A90898">
        <w:rPr>
          <w:i/>
        </w:rPr>
        <w:t>mutatis mutandis</w:t>
      </w:r>
      <w:r>
        <w:t xml:space="preserve"> la línea marcada en la STC 105/1997, de 2 de junio, FJ 3, es obligado destacar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(art. 24.1 CE) sino que la denegación del recurso puede producir, además, un efecto derivado o reflejo sobre la reparación del derecho fundamental cuya invocación sostenía la pretensión ante el órgano judicial —con independencia de que la declaración de la lesión fuera sólo una de las hipótesis—.</w:t>
      </w:r>
    </w:p>
    <w:p w:rsidR="00A90898" w:rsidRDefault="00A90898" w:rsidP="00A90898">
      <w:pPr>
        <w:pStyle w:val="TextoNormal"/>
      </w:pPr>
    </w:p>
    <w:p w:rsidR="00A90898" w:rsidRDefault="00A90898" w:rsidP="00A90898">
      <w:pPr>
        <w:pStyle w:val="TextoNormal"/>
      </w:pPr>
      <w:r>
        <w:t>En consecuencia, deben ser anuladas las resoluciones impugnadas, que han lesionado el derecho fundamental del art. 24.1 CE, en su vertiente de acceso a los recursos, mediante una interpretación que desatiende los márgenes de la norma procesal y provoca una menor garantía jurisdiccional a un mismo derecho fundamental, soslayando la trascendencia de los derechos fundamentales sustanciados en el litigio.</w:t>
      </w:r>
    </w:p>
    <w:p w:rsidR="00A90898" w:rsidRDefault="00A90898" w:rsidP="00A90898">
      <w:pPr>
        <w:pStyle w:val="TextoNormal"/>
      </w:pPr>
    </w:p>
    <w:p w:rsidR="00A90898" w:rsidRDefault="00A90898" w:rsidP="00A90898">
      <w:pPr>
        <w:pStyle w:val="TextoNormal"/>
      </w:pPr>
      <w:r w:rsidRPr="00A90898">
        <w:rPr>
          <w:rStyle w:val="NumeroAFNegritaCaracter"/>
        </w:rPr>
        <w:t>6</w:t>
      </w:r>
      <w:r>
        <w:t>. El otorgamiento del amparo a la demandante por vulneración del derecho a la tutela judicial efectiva (art. 24.1 CE) debe comportar (art. 55.1 de la Ley Orgánica del Tribunal Constitucional) el reconocimiento del derecho fundamental vulnerado. Asimismo, procederá declarar la nulidad de las resoluciones judiciales impugnadas, con retroacción de actuaciones en los términos que expresa el fallo de esta Sentencia.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Estimar la demanda de amparo promovida por doña Elisabeth Flores Donado y, en consecuencia:</w:t>
      </w:r>
    </w:p>
    <w:p w:rsidR="00A90898" w:rsidRDefault="00A90898" w:rsidP="00A90898">
      <w:pPr>
        <w:pStyle w:val="TextoNormal"/>
      </w:pPr>
    </w:p>
    <w:p w:rsidR="00A90898" w:rsidRDefault="00A90898" w:rsidP="00A90898">
      <w:pPr>
        <w:pStyle w:val="TextoNormal"/>
      </w:pPr>
      <w:r>
        <w:t>1º Declarar vulnerado el derecho fundamental de la recurrente a la tutela judicial efectiva sin indefensión (art. 24.1 CE), en su vertiente de acceso a los recursos legalmente previstos.</w:t>
      </w:r>
    </w:p>
    <w:p w:rsidR="00A90898" w:rsidRDefault="00A90898" w:rsidP="00A90898">
      <w:pPr>
        <w:pStyle w:val="TextoNormal"/>
      </w:pPr>
    </w:p>
    <w:p w:rsidR="00A90898" w:rsidRDefault="00A90898" w:rsidP="00A90898">
      <w:pPr>
        <w:pStyle w:val="TextoNormal"/>
      </w:pPr>
      <w:r>
        <w:t>2º Restablecerla en su derecho y, a tal fin, declarar la nulidad del Auto de 2 de junio de 2015 de la Sala de lo Social del Tribunal Superior de Justicia del País Vasco, dictado en el recurso de queja núm. 412-2015, y de los pronunciamientos que dicho Auto vino a confirmar.</w:t>
      </w:r>
    </w:p>
    <w:p w:rsidR="00A90898" w:rsidRDefault="00A90898" w:rsidP="00A90898">
      <w:pPr>
        <w:pStyle w:val="TextoNormal"/>
      </w:pPr>
    </w:p>
    <w:p w:rsidR="00A90898" w:rsidRDefault="00A90898" w:rsidP="00A90898">
      <w:pPr>
        <w:pStyle w:val="TextoNormal"/>
      </w:pPr>
      <w:r>
        <w:t>3º Retrotraer las actuaciones al momento en el que, por diligencia de ordenación de 17 de octubre de 2014, el recurso de suplicación se tuvo por anunciado, para que el mismo siga la tramitación procesal que corresponda.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29" w:name="SENTENCIA_2016_150"/>
      <w:r>
        <w:lastRenderedPageBreak/>
        <w:t>SENTENCIA 150/2016, de 19 de septiembre de 2016</w:t>
      </w:r>
    </w:p>
    <w:bookmarkEnd w:id="29"/>
    <w:p w:rsidR="00A90898" w:rsidRDefault="00A90898" w:rsidP="00A90898">
      <w:pPr>
        <w:pStyle w:val="TtuloResolucin"/>
      </w:pPr>
      <w:r>
        <w:t>Sala Segunda</w:t>
      </w:r>
    </w:p>
    <w:p w:rsidR="00A90898" w:rsidRDefault="00A90898" w:rsidP="00A90898">
      <w:pPr>
        <w:pStyle w:val="TtuloBOE"/>
      </w:pPr>
      <w:r>
        <w:t>(BOE núm. 263, de 31 de octubre de 2016)</w:t>
      </w:r>
    </w:p>
    <w:p w:rsidR="00A90898" w:rsidRDefault="00A90898" w:rsidP="00A90898">
      <w:pPr>
        <w:pStyle w:val="TextoNormalCentrado"/>
      </w:pPr>
      <w:r>
        <w:t>ECLI:ES:TC:2016:150</w:t>
      </w:r>
    </w:p>
    <w:p w:rsidR="00A90898" w:rsidRDefault="00A90898" w:rsidP="00A90898">
      <w:pPr>
        <w:pStyle w:val="TextoNormalCentrado"/>
      </w:pPr>
    </w:p>
    <w:p w:rsidR="00A90898" w:rsidRDefault="00A90898" w:rsidP="00A90898">
      <w:pPr>
        <w:pStyle w:val="SntesisDescriptiva"/>
      </w:pPr>
      <w:r>
        <w:t>Recurso de amparo 5532-2015. Promovido por don Alan Waite y doña Elaine Patricia Waite en relación con el Auto dictado por un Juzgado de Primera Instancia de Cartagena, que denegó su solicitud de nulidad de actuaciones en procedimiento de ejecución hipotecaria.</w:t>
      </w:r>
    </w:p>
    <w:p w:rsidR="00A90898" w:rsidRDefault="00A90898" w:rsidP="00A90898">
      <w:pPr>
        <w:pStyle w:val="SntesisDescriptiva"/>
      </w:pPr>
    </w:p>
    <w:p w:rsidR="00A90898" w:rsidRDefault="00A90898" w:rsidP="00A90898">
      <w:pPr>
        <w:pStyle w:val="SntesisAnaltica"/>
      </w:pPr>
      <w:r>
        <w:t>Vulneración del derecho a la tutela judicial sin indefensión: emplazamiento mediante edictos de demandados cuyo domicilio en el Reino Unido figuraba en las actuaciones (STC 122/2013).</w:t>
      </w:r>
    </w:p>
    <w:p w:rsidR="00A90898" w:rsidRDefault="00A90898" w:rsidP="00A90898">
      <w:pPr>
        <w:pStyle w:val="SntesisAnaltica"/>
      </w:pPr>
    </w:p>
    <w:p w:rsidR="00A90898" w:rsidRDefault="00A90898" w:rsidP="00A90898">
      <w:pPr>
        <w:pStyle w:val="Extracto"/>
      </w:pPr>
      <w:r>
        <w:t>1.</w:t>
      </w:r>
      <w:r>
        <w:tab/>
        <w:t>Asunto sustancialmente idéntico al resuelto por la STC 122/2013, relativa a la doctrina sobre el deber de agotar las posibilidades de notificación personal al demandado antes de acudir al emplazamiento por edictos [FFJJ 2 a 4].</w:t>
      </w:r>
    </w:p>
    <w:p w:rsidR="00A90898" w:rsidRDefault="00A90898" w:rsidP="00A90898">
      <w:pPr>
        <w:pStyle w:val="Extracto"/>
      </w:pPr>
    </w:p>
    <w:p w:rsidR="00A90898" w:rsidRDefault="00A90898" w:rsidP="00A90898">
      <w:pPr>
        <w:pStyle w:val="Extracto"/>
      </w:pPr>
      <w:r>
        <w:t>2.</w:t>
      </w:r>
      <w:r>
        <w:tab/>
        <w:t xml:space="preserve">Al cumplimiento del deber de diligencia que le correspondía al Juzgado no cabe oponer el hecho de que los demandados tuvieran su domicilio real en Inglaterra, pues al margen de la mayor complejidad derivada de tener que acordar la comunicación por los mecanismos de cooperación judicial entre España y el Reino Unido que resultaban de aplicación, tal cosa no entrañaba un despliegue de actividad “desmesurado y [que] excediera de lo razonable”. Esto con independencia de que no consta en la resolución impugnada que dicho factor fuese considerado por el Juzgado como </w:t>
      </w:r>
      <w:r w:rsidRPr="00A90898">
        <w:rPr>
          <w:i/>
        </w:rPr>
        <w:t>ratio decidendi</w:t>
      </w:r>
      <w:r>
        <w:t xml:space="preserve"> de su decisión, limitándose éste en realidad a aplicar literalmente la entonces vigente LEC, sin otra consideración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5532-2015, promovido por don Alan Waite y doña Elaine Patricia Waite, representados por la Procuradora de los Tribunales doña Ana Llorens Pardo y asistidos por el Abogado don Jordi Mauri Solé, contra el Auto de 20 de julio de 2015 del Juzgado de Primera Instancia núm. 5 de Cartagena (Murcia), que desestimó el incidente de nulidad de actuaciones interpuesto en los Autos de ejecución hipotecaria núm. 113-2012. Ha sido parte la entidad Caixabank, S.A., representada por la Procuradora de los Tribunales doña Elena Medina Cuadros y asistida por el Abogado don Antonio Morenilla Moreno. Ha </w:t>
      </w:r>
      <w:r>
        <w:lastRenderedPageBreak/>
        <w:t>intervenido el Ministerio Fiscal.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 de octubre de 2015, doña Ana Llorens Pardo, Procuradora de los Tribunales y de don Alan Waite y doña Elaine Patricia Waite, interpuso recurso de amparo contra las resoluciones judiciales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los que se funda la demanda, relevantes para la resolución del caso son los siguientes:</w:t>
      </w:r>
    </w:p>
    <w:p w:rsidR="00A90898" w:rsidRDefault="00A90898" w:rsidP="00A90898">
      <w:pPr>
        <w:pStyle w:val="TextoNormal"/>
      </w:pPr>
    </w:p>
    <w:p w:rsidR="00A90898" w:rsidRDefault="00A90898" w:rsidP="00A90898">
      <w:pPr>
        <w:pStyle w:val="TextoNormal"/>
      </w:pPr>
      <w:r>
        <w:t>a) En fecha de 7 de marzo de 2012, Caixabank, S.A., interpuso demanda de ejecución hipotecaria frente a los ahora recurrentes en amparo. En ella se hacía constar como domicilio de los demandados la finca hipotecada sita en la Urbanización Las Higueras, núm.47, La Manga Club, Los Belones de Cartagena (Murcia). Este domicilio era el que constaba a efectos de requerimientos y notificaciones en la escritura pública de préstamo hipotecario objeto de ejecución, en la que además figuraba que los Sres. Waite se encontraban “domiciliados en 30 Cobb Close, Strood, Rochester, Kent, ME2 3TY, Reino Unido”.</w:t>
      </w:r>
    </w:p>
    <w:p w:rsidR="00A90898" w:rsidRDefault="00A90898" w:rsidP="00A90898">
      <w:pPr>
        <w:pStyle w:val="TextoNormal"/>
      </w:pPr>
    </w:p>
    <w:p w:rsidR="00A90898" w:rsidRDefault="00A90898" w:rsidP="00A90898">
      <w:pPr>
        <w:pStyle w:val="TextoNormal"/>
      </w:pPr>
      <w:r>
        <w:t>Con carácter previo, la entidad bancaria había remitido a la dirección de los Belones sendos burofaxes (documentos 3 a 8 de la demanda) por los que, ante el impago de ciertas mensualidades del crédito, lo daba por vencido anticipadamente y notificaba a los recurrentes el saldo deudor, requiriéndoles de cumplimiento.</w:t>
      </w:r>
    </w:p>
    <w:p w:rsidR="00A90898" w:rsidRDefault="00A90898" w:rsidP="00A90898">
      <w:pPr>
        <w:pStyle w:val="TextoNormal"/>
      </w:pPr>
    </w:p>
    <w:p w:rsidR="00A90898" w:rsidRDefault="00A90898" w:rsidP="00A90898">
      <w:pPr>
        <w:pStyle w:val="TextoNormal"/>
      </w:pPr>
      <w:r>
        <w:t>Estos burofaxes, sin embargo, no fueron recibidos por los interesados, dado que, conforme señalaba el acuse de recibo, se encontraban ausentes.</w:t>
      </w:r>
    </w:p>
    <w:p w:rsidR="00A90898" w:rsidRDefault="00A90898" w:rsidP="00A90898">
      <w:pPr>
        <w:pStyle w:val="TextoNormal"/>
      </w:pPr>
    </w:p>
    <w:p w:rsidR="00A90898" w:rsidRDefault="00A90898" w:rsidP="00A90898">
      <w:pPr>
        <w:pStyle w:val="TextoNormal"/>
      </w:pPr>
      <w:r>
        <w:t>b) Repartida la demanda al Juzgado de Primera Instancia núm. 5 de Cartagena y una vez despachada ejecución por Auto de 20 de abril de 2012, el órgano judicial acordó citar por telegrama a los demandados a fin de que comparecieran ante él para ser notificados de la demanda y requeridos judicialmente de pago.</w:t>
      </w:r>
    </w:p>
    <w:p w:rsidR="00A90898" w:rsidRDefault="00A90898" w:rsidP="00A90898">
      <w:pPr>
        <w:pStyle w:val="TextoNormal"/>
      </w:pPr>
    </w:p>
    <w:p w:rsidR="00A90898" w:rsidRDefault="00A90898" w:rsidP="00A90898">
      <w:pPr>
        <w:pStyle w:val="TextoNormal"/>
      </w:pPr>
      <w:r>
        <w:t>Los telegramas fueron remitidos en fechas de 20 de abril y 6 de junio de 2012, en ambos casos sin éxito. Según el acuse del último de ellos, los destinatarios se encontraban ausentes.</w:t>
      </w:r>
    </w:p>
    <w:p w:rsidR="00A90898" w:rsidRDefault="00A90898" w:rsidP="00A90898">
      <w:pPr>
        <w:pStyle w:val="TextoNormal"/>
      </w:pPr>
    </w:p>
    <w:p w:rsidR="00A90898" w:rsidRDefault="00A90898" w:rsidP="00A90898">
      <w:pPr>
        <w:pStyle w:val="TextoNormal"/>
      </w:pPr>
      <w:r>
        <w:t>c) Por diligencia de ordenación de 20 de julio de 2012, el Juzgado resolvió que los demandados fuesen emplazados en la finca hipotecada, por el funcionario de auxilio judicial que correspondiese.</w:t>
      </w:r>
    </w:p>
    <w:p w:rsidR="00A90898" w:rsidRDefault="00A90898" w:rsidP="00A90898">
      <w:pPr>
        <w:pStyle w:val="TextoNormal"/>
      </w:pPr>
    </w:p>
    <w:p w:rsidR="00A90898" w:rsidRDefault="00A90898" w:rsidP="00A90898">
      <w:pPr>
        <w:pStyle w:val="TextoNormal"/>
      </w:pPr>
      <w:r>
        <w:t>En la diligencia llevada a cabo el 4 de octubre de 2012 aquéllos no fueron hallados, haciendo constar el funcionario que la practicó que, tal y como informaba una empresa gestora de extranjeros, “estas personas nunca han vivido en La Manga; que compraron viviendas para su reventa, pero que no vienen por España y no saben dónde localizarlas.”</w:t>
      </w:r>
    </w:p>
    <w:p w:rsidR="00A90898" w:rsidRDefault="00A90898" w:rsidP="00A90898">
      <w:pPr>
        <w:pStyle w:val="TextoNormal"/>
      </w:pPr>
    </w:p>
    <w:p w:rsidR="00A90898" w:rsidRDefault="00A90898" w:rsidP="00A90898">
      <w:pPr>
        <w:pStyle w:val="TextoNormal"/>
      </w:pPr>
      <w:r>
        <w:lastRenderedPageBreak/>
        <w:t>d) Seguidamente, por diligencia de ordenación de 9 de octubre de 2012, el órgano judicial acordó que la demanda fuese notificada a don Alan y doña Elaine Patricia Waite y que éstos fueran requeridos de pago a través de edictos, los cuales debían ser —y fueron, desde la misma fecha— fijados en el tablón de anuncios del Juzgado.</w:t>
      </w:r>
    </w:p>
    <w:p w:rsidR="00A90898" w:rsidRDefault="00A90898" w:rsidP="00A90898">
      <w:pPr>
        <w:pStyle w:val="TextoNormal"/>
      </w:pPr>
    </w:p>
    <w:p w:rsidR="00A90898" w:rsidRDefault="00A90898" w:rsidP="00A90898">
      <w:pPr>
        <w:pStyle w:val="TextoNormal"/>
      </w:pPr>
      <w:r>
        <w:t>e) Por Auto de 6 de marzo de 2013, el Juez, previa audiencia al ejecutante, declaró de oficio abusiva la cláusula del préstamo hipotecario relativa a los intereses de demora.</w:t>
      </w:r>
    </w:p>
    <w:p w:rsidR="00A90898" w:rsidRDefault="00A90898" w:rsidP="00A90898">
      <w:pPr>
        <w:pStyle w:val="TextoNormal"/>
      </w:pPr>
    </w:p>
    <w:p w:rsidR="00A90898" w:rsidRDefault="00A90898" w:rsidP="00A90898">
      <w:pPr>
        <w:pStyle w:val="TextoNormal"/>
      </w:pPr>
      <w:r>
        <w:t>f) El procedimiento de ejecución continuó sin la intervención de los recurrentes, quienes se personaron en él el 9 de octubre de 2014 e interpusieron incidente de nulidad de actuaciones por escrito presentado el 9 de diciembre del mismo año.</w:t>
      </w:r>
    </w:p>
    <w:p w:rsidR="00A90898" w:rsidRDefault="00A90898" w:rsidP="00A90898">
      <w:pPr>
        <w:pStyle w:val="TextoNormal"/>
      </w:pPr>
    </w:p>
    <w:p w:rsidR="00A90898" w:rsidRDefault="00A90898" w:rsidP="00A90898">
      <w:pPr>
        <w:pStyle w:val="TextoNormal"/>
      </w:pPr>
      <w:r>
        <w:t>Según este último, los Sres. Waite no habían tenido conocimiento del proceso hipotecario, sino a raíz de otro pleito que por su parte mantenían contra Caixabank, en el que el Letrado que allí les defendía supo de esta ejecución y de otra, también hipotecaria, que se seguía por la entidad contra ellos, con el número 114-2012.</w:t>
      </w:r>
    </w:p>
    <w:p w:rsidR="00A90898" w:rsidRDefault="00A90898" w:rsidP="00A90898">
      <w:pPr>
        <w:pStyle w:val="TextoNormal"/>
      </w:pPr>
    </w:p>
    <w:p w:rsidR="00A90898" w:rsidRDefault="00A90898" w:rsidP="00A90898">
      <w:pPr>
        <w:pStyle w:val="TextoNormal"/>
      </w:pPr>
      <w:r>
        <w:t>Esto se debía —según el escrito— a que el órgano judicial no les había notificado personalmente la demanda de la presente ejecución, sino que les había emplazado y requerido de pago por edictos, pese a que en la escritura de préstamo constaba —además del domicilio a efectos de notificaciones, que el banco, como predisponente, les había obligado a señalar en la finca hipotecada—, su domicilio real en Reino Unido. A este último el Juzgado no se había dirigido en absoluto, como tampoco había tratado, por ninguno de los medios a su alcance, de averiguar un domicilio alternativo en que poder emplazar con efectividad a los ahora recurrentes.</w:t>
      </w:r>
    </w:p>
    <w:p w:rsidR="00A90898" w:rsidRDefault="00A90898" w:rsidP="00A90898">
      <w:pPr>
        <w:pStyle w:val="TextoNormal"/>
      </w:pPr>
    </w:p>
    <w:p w:rsidR="00A90898" w:rsidRDefault="00A90898" w:rsidP="00A90898">
      <w:pPr>
        <w:pStyle w:val="TextoNormal"/>
      </w:pPr>
      <w:r>
        <w:t>Caixabank, sostenían los ejecutados, tenía perfecto conocimiento de este domicilio en Inglaterra, que constituye la vivienda habitual de los Sres. Waite, pues al mismo había remitido las comunicaciones derivadas del préstamo incluso después de haber iniciado la ejecución en el Juzgado. Con todo —terminaba el escrito— la falta de diligencia era sobre todo imputable al órgano judicial, el cual no debió acudir a la notificación edictal de la demanda, sino después de haber intentado al menos localizar a los demandantes de amparo en este otro domicilio que constaba en las actuaciones, como reiteradamente había exigido el Tribunal Constitucional, del que citaba sus Sentencias 97/1992, de 11 de junio; 193/1993, de 14 de junio; 29/1997, de 24 de febrero; 49/1997, de 11 de marzo; 65/2000, de 13 de marzo, y 254/2000, de 30 de octubre.</w:t>
      </w:r>
    </w:p>
    <w:p w:rsidR="00A90898" w:rsidRDefault="00A90898" w:rsidP="00A90898">
      <w:pPr>
        <w:pStyle w:val="TextoNormal"/>
      </w:pPr>
    </w:p>
    <w:p w:rsidR="00A90898" w:rsidRDefault="00A90898" w:rsidP="00A90898">
      <w:pPr>
        <w:pStyle w:val="TextoNormal"/>
      </w:pPr>
      <w:r>
        <w:t>En consecuencia —concluía el escrito de interposición del incidente— en las actuaciones judiciales se había ocasionado la indefensión de los recurrentes, quienes, al no tener conocimiento de la ejecución hipotecaria, habían sido privados de la posibilidad de oponerse a ella en la forma y por las causas que la Ley de enjuiciamiento civil (LEC) permite al deudor, por lo que suplicaba que fuesen declaradas nulas todas ellas desde el Auto que la despachó.</w:t>
      </w:r>
    </w:p>
    <w:p w:rsidR="00A90898" w:rsidRDefault="00A90898" w:rsidP="00A90898">
      <w:pPr>
        <w:pStyle w:val="TextoNormal"/>
      </w:pPr>
    </w:p>
    <w:p w:rsidR="00A90898" w:rsidRDefault="00A90898" w:rsidP="00A90898">
      <w:pPr>
        <w:pStyle w:val="TextoNormal"/>
      </w:pPr>
      <w:r>
        <w:t>g) El incidente de nulidad, tras ser tramitado en forma, fue desestimado por Auto de 20 de julio de 2015.</w:t>
      </w:r>
    </w:p>
    <w:p w:rsidR="00A90898" w:rsidRDefault="00A90898" w:rsidP="00A90898">
      <w:pPr>
        <w:pStyle w:val="TextoNormal"/>
      </w:pPr>
    </w:p>
    <w:p w:rsidR="00A90898" w:rsidRDefault="00A90898" w:rsidP="00A90898">
      <w:pPr>
        <w:pStyle w:val="TextoNormal"/>
      </w:pPr>
      <w:r>
        <w:t xml:space="preserve">Según la resolución judicial, el importe de la deuda había sido notificado conforme al art. 682.2 LEC, en el domicilio señalado a tal fin en la escritura pública de constitución de </w:t>
      </w:r>
      <w:r>
        <w:lastRenderedPageBreak/>
        <w:t>la hipoteca, sin que los demandados hubieran comunicado a la entidad bancaria el cambio de dicho domicilio con arreglo al art. 683 de la misma Ley. Por esta razón, no cabía entender que se hubiese ocasionado su indefensión: la demanda se había notificado en el único lugar en que, según interpretación que dice es “unánime” de las Audiencias, el órgano judicial debió llevar a cabo el emplazamiento. Como ejemplo, reproduce un Auto de la Audiencia Provincial de Murcia, Sección Quinta, de 6 de febrero de 2007 y otro de su Sección Segunda, de 29 de junio de 2004; así como un Auto de la Sección Tercera de la Audiencia Provincial de Valladolid, de 23 de noviembre de 2002, expresándose en este último que no hay indefensión si la parte deja de mostrar la diligencia debida, según la doctrina reiterada de este Tribunal Constitucional. Sin más razonamiento luego de esa transcripción de resoluciones, el Auto desestima el incidente.</w:t>
      </w:r>
    </w:p>
    <w:p w:rsidR="00A90898" w:rsidRDefault="00A90898" w:rsidP="00A90898">
      <w:pPr>
        <w:pStyle w:val="TextoNormal"/>
      </w:pPr>
    </w:p>
    <w:p w:rsidR="00A90898" w:rsidRDefault="00A90898" w:rsidP="00A90898">
      <w:pPr>
        <w:pStyle w:val="TextoNormal"/>
      </w:pPr>
      <w:r w:rsidRPr="00A90898">
        <w:rPr>
          <w:rStyle w:val="NumeroAFNegritaCaracter"/>
        </w:rPr>
        <w:t>3</w:t>
      </w:r>
      <w:r>
        <w:t>. En la demanda de amparo, la representación de los recurrentes se queja de la indefensión padecida por éstos (lesión del art. 24.1 CE), al haberse tramitado el procedimiento de ejecución hipotecaria de referencia inaudita parte, debido a que, ante el resultado negativo de la única diligencia de notificación personal a los ejecutados y ahora recurrentes llevada a cabo por el órgano judicial, éste acordó que se llevase a cabo por edictos, sin intentar previamente el emplazamiento en su vivienda habitual sita en Inglaterra, de la que tenía conocimiento la entidad actora y que constaba, de hecho, en las actuaciones, en la escritura objeto de ejecución.</w:t>
      </w:r>
    </w:p>
    <w:p w:rsidR="00A90898" w:rsidRDefault="00A90898" w:rsidP="00A90898">
      <w:pPr>
        <w:pStyle w:val="TextoNormal"/>
      </w:pPr>
    </w:p>
    <w:p w:rsidR="00A90898" w:rsidRDefault="00A90898" w:rsidP="00A90898">
      <w:pPr>
        <w:pStyle w:val="TextoNormal"/>
      </w:pPr>
      <w:r>
        <w:t>Tal supuesto de hecho es idéntico —según la demanda— al que fue objeto de la STC 122/2013, de 20 de mayo, cuyos FFJJ 2, 3 y 5 reproduce, en la que este Tribunal reconoció por esta misma razón que el derecho a la tutela judicial efectiva de los entonces demandantes de amparo había sido vulnerado.</w:t>
      </w:r>
    </w:p>
    <w:p w:rsidR="00A90898" w:rsidRDefault="00A90898" w:rsidP="00A90898">
      <w:pPr>
        <w:pStyle w:val="TextoNormal"/>
      </w:pPr>
    </w:p>
    <w:p w:rsidR="00A90898" w:rsidRDefault="00A90898" w:rsidP="00A90898">
      <w:pPr>
        <w:pStyle w:val="TextoNormal"/>
      </w:pPr>
      <w:r>
        <w:t>En lógica consecuencia, suplica que se otorgue el amparo a los Sres. Waite, reconociendo que ha sido vulnerado su derecho a no padecer indefensión (art. 24 CE) y declarando la nulidad de las actuaciones a partir del Auto por el que se despachó ejecución, de 20 de abril de 2012, a fin de que éste les fuese notificado en forma.</w:t>
      </w:r>
    </w:p>
    <w:p w:rsidR="00A90898" w:rsidRDefault="00A90898" w:rsidP="00A90898">
      <w:pPr>
        <w:pStyle w:val="TextoNormal"/>
      </w:pPr>
    </w:p>
    <w:p w:rsidR="00A90898" w:rsidRDefault="00A90898" w:rsidP="00A90898">
      <w:pPr>
        <w:pStyle w:val="TextoNormal"/>
      </w:pPr>
      <w:r w:rsidRPr="00A90898">
        <w:rPr>
          <w:rStyle w:val="NumeroAFNegritaCaracter"/>
        </w:rPr>
        <w:t>4</w:t>
      </w:r>
      <w:r>
        <w:t>. Por diligencia de ordenación, de 4 de noviembre de 2015, la Secretaria de Justicia de la Sala Segunda de este Tribunal acordó, antes de entrar a resolver sobre la admisibilidad del recurso, dirigir atenta comunicación al Juzgado de Primera Instancia núm. 5 de Cartagena a fin de que, a la mayor brevedad posible, remitiera certificación o fotocopia adverada de todas las actuaciones correspondientes al procedimiento de ejecución hipotecaria núm. 113-2012.</w:t>
      </w:r>
    </w:p>
    <w:p w:rsidR="00A90898" w:rsidRDefault="00A90898" w:rsidP="00A90898">
      <w:pPr>
        <w:pStyle w:val="TextoNormal"/>
      </w:pPr>
    </w:p>
    <w:p w:rsidR="00A90898" w:rsidRDefault="00A90898" w:rsidP="00A90898">
      <w:pPr>
        <w:pStyle w:val="TextoNormal"/>
      </w:pPr>
      <w:r w:rsidRPr="00A90898">
        <w:rPr>
          <w:rStyle w:val="NumeroAFNegritaCaracter"/>
        </w:rPr>
        <w:t>5</w:t>
      </w:r>
      <w:r>
        <w:t>. En virtud de providencia de 1 de marzo de 2016, la Sección Cuarta de este Tribunal acordó admitir a trámite la demanda de amparo, apreciando especial trascendencia constitucional (art.50 de la Ley Orgánica del Tribunal Constitucional: LOTC), derivada de que el órgano judicial pudiera haber incurrido en negativa manifiesta del deber de acatamiento de la doctrina de este Tribunal [STC 155/2009, FJ 2 f)].</w:t>
      </w:r>
    </w:p>
    <w:p w:rsidR="00A90898" w:rsidRDefault="00A90898" w:rsidP="00A90898">
      <w:pPr>
        <w:pStyle w:val="TextoNormal"/>
      </w:pPr>
    </w:p>
    <w:p w:rsidR="00A90898" w:rsidRDefault="00A90898" w:rsidP="00A90898">
      <w:pPr>
        <w:pStyle w:val="TextoNormal"/>
      </w:pPr>
      <w:r>
        <w:t xml:space="preserve">Por ello, en aplicación de lo dispuesto por el art. 51 de la Ley Orgánica del Tribunal Constitucional, se ordenó también dirigir atenta comunicación al mismo Juzgado, a fin de que en plazo que no debía exceder de diez días, emplazase a quienes hubieran sido parte en </w:t>
      </w:r>
      <w:r>
        <w:lastRenderedPageBreak/>
        <w:t>el procedimiento, excepto la parte recurrente en amparo, para que pudieran comparecer, si lo deseaban, en este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Una vez recibidos los escritos de personación, la Secretaría de Justicia de la Sala Segunda de este Tribunal, mediante diligencia de ordenación de 12 de abril de 2016, acordó tener como parte en el recurso a Caixabank, S.A., y dar vista de las actuaciones recibidas a las partes personadas por plazo común de veinte días, conforme al art. 52.1 LOTC, para que pudieran presentar las alegaciones que a su derecho conviniera.</w:t>
      </w:r>
    </w:p>
    <w:p w:rsidR="00A90898" w:rsidRDefault="00A90898" w:rsidP="00A90898">
      <w:pPr>
        <w:pStyle w:val="TextoNormal"/>
      </w:pPr>
    </w:p>
    <w:p w:rsidR="00A90898" w:rsidRDefault="00A90898" w:rsidP="00A90898">
      <w:pPr>
        <w:pStyle w:val="TextoNormal"/>
      </w:pPr>
      <w:r w:rsidRPr="00A90898">
        <w:rPr>
          <w:rStyle w:val="NumeroAFNegritaCaracter"/>
        </w:rPr>
        <w:t>7</w:t>
      </w:r>
      <w:r>
        <w:t>. Evacuando el referido trámite, la representación procesal de Caixabank, S.A., presentó escrito de alegaciones el 13 de mayo de 2016, en el que se solicitaba la desestimación del recurso.</w:t>
      </w:r>
    </w:p>
    <w:p w:rsidR="00A90898" w:rsidRDefault="00A90898" w:rsidP="00A90898">
      <w:pPr>
        <w:pStyle w:val="TextoNormal"/>
      </w:pPr>
    </w:p>
    <w:p w:rsidR="00A90898" w:rsidRDefault="00A90898" w:rsidP="00A90898">
      <w:pPr>
        <w:pStyle w:val="TextoNormal"/>
      </w:pPr>
      <w:r>
        <w:t>Según la entidad bancaria, ni ésta había ocultado dolosamente al Juzgado el domicilio de los recurrentes en Reino Unido, ni el órgano judicial había incurrido en falta de diligencia alguna al proceder por vía de edictos a la notificación de la demanda y requerimiento de pago. La indefensión, por el contrario, sólo obedecía a la pasividad de los demandantes de amparo, quienes no comunicaron a Caixabank el cambio del domicilio a efectos de notificaciones que se había designado en la escritura de préstamo.</w:t>
      </w:r>
    </w:p>
    <w:p w:rsidR="00A90898" w:rsidRDefault="00A90898" w:rsidP="00A90898">
      <w:pPr>
        <w:pStyle w:val="TextoNormal"/>
      </w:pPr>
    </w:p>
    <w:p w:rsidR="00A90898" w:rsidRDefault="00A90898" w:rsidP="00A90898">
      <w:pPr>
        <w:pStyle w:val="TextoNormal"/>
      </w:pPr>
      <w:r>
        <w:t>El escrito cita los arts. 682.2 y 683.2 LEC, el primero referido a los requisitos para la procedencia del proceso ejecutivo hipotecario, que incluyen la designación en la escritura de constitución de la hipoteca, de un domicilio a efecto de practicar los oportunos requerimientos y notificaciones; y el segundo, la regulación de los supuestos en que se permite el cambio posterior del domicilio indicado. Asimismo, se invoca el art. 686.3 LEC tras su reforma por la Ley 13/2009, que entiende fue la aplicada al caso, según el cual: “intentado sin efecto el requerimiento en el domicilio que resulte del Registro, no pudiendo ser realizado el mismo con las personas a las que se refiere el apartado anterior, se procederá a ordenar la publicación de edictos en la forma prevista en el artículo 164”.</w:t>
      </w:r>
    </w:p>
    <w:p w:rsidR="00A90898" w:rsidRDefault="00A90898" w:rsidP="00A90898">
      <w:pPr>
        <w:pStyle w:val="TextoNormal"/>
      </w:pPr>
    </w:p>
    <w:p w:rsidR="00A90898" w:rsidRDefault="00A90898" w:rsidP="00A90898">
      <w:pPr>
        <w:pStyle w:val="TextoNormal"/>
      </w:pPr>
      <w:r>
        <w:t>De estos preceptos deduce la representación de Caixabank que el único objetivo de la Ley es evitar la demora de los procesos de ejecución hipotecaria debido a problemas de notificación y requerimiento a los deudores, de forma que aquéllos que hubieran designado un domicilio a efectos de notificaciones en la escritura de constitución de hipoteca están legalmente obligados a comunicar al acreedor su cambio, debiendo pechar en otro caso con la validez de la notificación efectuada en el domicilio inicialmente designado en caso de no ser hallados en él. Es el propio deudor el que debe emprender las actuaciones necesarias para que las notificaciones relativas al contrato puedan llevarse a cabo con éxito y, por tanto, quien debe asumir las consecuencias de que estas notificaciones no puedan efectuarse por causa no imputable al acreedor. La tutela judicial efectiva del ejecutado —añade la entidad en su escrito— queda así garantizada en la propia escritura de préstamo al señalar en ella un domicilio concreto a efectos de notificaciones que, en cualquier momento y a su petición, puede ser modificado.</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de 13 de mayo de 2016, la representación procesal de los demandantes de amparo dio por reproducidos íntegramente los hechos, fundamentos y alegaciones del escrito de demanda y reiteró la petición de estimación del amparo.</w:t>
      </w:r>
    </w:p>
    <w:p w:rsidR="00A90898" w:rsidRDefault="00A90898" w:rsidP="00A90898">
      <w:pPr>
        <w:pStyle w:val="TextoNormal"/>
      </w:pPr>
    </w:p>
    <w:p w:rsidR="00A90898" w:rsidRDefault="00A90898" w:rsidP="00A90898">
      <w:pPr>
        <w:pStyle w:val="TextoNormal"/>
      </w:pPr>
      <w:r w:rsidRPr="00A90898">
        <w:rPr>
          <w:rStyle w:val="NumeroAFNegritaCaracter"/>
        </w:rPr>
        <w:t>9</w:t>
      </w:r>
      <w:r>
        <w:t>. El Ministerio Fiscal, en escrito registrado el 20 de mayo de 2016, interesó el otorgamiento del amparo solicitado.</w:t>
      </w:r>
    </w:p>
    <w:p w:rsidR="00A90898" w:rsidRDefault="00A90898" w:rsidP="00A90898">
      <w:pPr>
        <w:pStyle w:val="TextoNormal"/>
      </w:pPr>
    </w:p>
    <w:p w:rsidR="00A90898" w:rsidRDefault="00A90898" w:rsidP="00A90898">
      <w:pPr>
        <w:pStyle w:val="TextoNormal"/>
      </w:pPr>
      <w:r>
        <w:t>Tras exponer los antecedentes de hecho del caso y la pretensión de los demandantes en el presente recurso de amparo, el Fiscal recordó la doctrina de este Tribunal en materia de tutela judicial efectiva y notificación edictal, con cita de la STC 150/2008, de 17 de noviembre, FJ 2, destacando la importancia que tienen los actos de notificación a la parte demandada para que éste conozca la existencia del procedimiento y pueda defenderse en él, debiendo prevalecer en este sentido la notificación personal y sólo de manera supletoria y excepcional, la efectuada a través de edictos. De esto deriva el deber del órgano judicial, añade el Fiscal, de “extremar la diligencia para la averiguación del paradero o domicilio de los interesados, y para ello deberá utilizar los medios de averiguación que estén razonablemente a su alcance”, con cita en cuanto a esto último, de la STC 78/2008, de 7 de julio, FJ 2.</w:t>
      </w:r>
    </w:p>
    <w:p w:rsidR="00A90898" w:rsidRDefault="00A90898" w:rsidP="00A90898">
      <w:pPr>
        <w:pStyle w:val="TextoNormal"/>
      </w:pPr>
    </w:p>
    <w:p w:rsidR="00A90898" w:rsidRDefault="00A90898" w:rsidP="00A90898">
      <w:pPr>
        <w:pStyle w:val="TextoNormal"/>
      </w:pPr>
      <w:r>
        <w:t>No obstante, prosigue diciendo, dado que para hablar de vulneración del derecho a la tutela judicial efectiva se exige la concurrencia de una indefensión material, ésta desaparece, según declara la misma doctrina de este Tribunal, si el interesado llega a tener conocimiento del proceso y no se persona en él, o bien cuando voluntariamente hubiera creado la situación de indefensión, “por ejemplo porque se hubiere constituido a propósito en paradero desconocido”, de nuevo con cita de la STC 78/2002, ahora en su fundamento jurídico 3.</w:t>
      </w:r>
    </w:p>
    <w:p w:rsidR="00A90898" w:rsidRDefault="00A90898" w:rsidP="00A90898">
      <w:pPr>
        <w:pStyle w:val="TextoNormal"/>
      </w:pPr>
    </w:p>
    <w:p w:rsidR="00A90898" w:rsidRDefault="00A90898" w:rsidP="00A90898">
      <w:pPr>
        <w:pStyle w:val="TextoNormal"/>
      </w:pPr>
      <w:r>
        <w:t>Sintetizada esa doctrina, se pregunta el Fiscal de inmediato si su exigencia podría haberse visto afectada por la reforma del art. 686 LEC, llevada a cabo por la Ley 13/2009, de 23 de noviembre, la cual dio nueva redacción a su apartado tercero, que es el “precepto vigente en el momento en que el órgano judicial resolvió la cuestión, tanto al dictar el auto despachando la ejecución, como al denegar el incidente de nulidad” y cuyo texto, acota en su escrito de alegaciones, “parece automatizar la posibilidad de acudir al expediente de citación por la vía edictal cuando, intentada la notificación en el domicilio pactado, esta ha devenido imposible”. Así formulado, considera sin embargo el Fiscal que no hay tal afectación de la doctrina referida, pues el propio Tribunal así lo ha descartado al declarar que en caso de duda sobre la idoneidad del domicilio señalado en la escritura de hipoteca para la práctica de las pertinentes notificaciones, el órgano judicial debe agotar su deber de diligencia para intentar el emplazamiento personal del demandado en la ejecución, tal como le impone el art. 24.1 CE. Concretamente así lo ha dicho, precisa, en la STC 122/2013, de 20 de mayo, FJ 5, que al efecto reproduce.</w:t>
      </w:r>
    </w:p>
    <w:p w:rsidR="00A90898" w:rsidRDefault="00A90898" w:rsidP="00A90898">
      <w:pPr>
        <w:pStyle w:val="TextoNormal"/>
      </w:pPr>
    </w:p>
    <w:p w:rsidR="00A90898" w:rsidRDefault="00A90898" w:rsidP="00A90898">
      <w:pPr>
        <w:pStyle w:val="TextoNormal"/>
      </w:pPr>
      <w:r>
        <w:t>Con traslado de todo ello al proceso de ejecución objeto de la queja, el escrito de alegaciones del Ministerio público concluye que el derecho fundamental de los aquí recurrentes a no padecer indefensión (art. 24 CE) fue vulnerado, pues el órgano judicial, siendo consciente a raíz de las diligencias de notificación personal emprendidas de que el domicilio ofrecido en la demanda de ejecución no era válido para conseguir el conocimiento personal de ésta por los ejecutados, acudió a su notificación edictal de forma inmediata, sin llevar a cabo una mínima diligencia para averiguar un domicilio alternativo al que figuraba en la escritura de préstamo hipotecario y donde realmente pudieran ser hallados los demandados, en una aplicación extremadamente literal de la normativa aplicable.</w:t>
      </w:r>
    </w:p>
    <w:p w:rsidR="00A90898" w:rsidRDefault="00A90898" w:rsidP="00A90898">
      <w:pPr>
        <w:pStyle w:val="TextoNormal"/>
      </w:pPr>
    </w:p>
    <w:p w:rsidR="00A90898" w:rsidRDefault="00A90898" w:rsidP="00A90898">
      <w:pPr>
        <w:pStyle w:val="TextoNormal"/>
      </w:pPr>
      <w:r>
        <w:lastRenderedPageBreak/>
        <w:t>Observa en todo caso el Fiscal, que la circunstancia de que “el domicilio se encontrara en Inglaterra, y que por tanto su citación en aquel lugar fuera más compleja por su lejanía y diversidad idiomática, no debe ser obstáculo suficiente para considerar que el despliegue de actividad que tuviera que hacer el órgano judicial fuera desmesurado y excediera de lo razonable, pues el acceso a los intervinientes que residen en el extranjero no puede ser hoy en día calificado así”. Si bien advierte que tal cosa “no nos consta que se lo hubiere planteado siquiera el órgano judicial, ya que nada ha motivado al respecto”.</w:t>
      </w:r>
    </w:p>
    <w:p w:rsidR="00A90898" w:rsidRDefault="00A90898" w:rsidP="00A90898">
      <w:pPr>
        <w:pStyle w:val="TextoNormal"/>
      </w:pPr>
    </w:p>
    <w:p w:rsidR="00A90898" w:rsidRDefault="00A90898" w:rsidP="00A90898">
      <w:pPr>
        <w:pStyle w:val="TextoNormal"/>
      </w:pPr>
      <w:r>
        <w:t>En consecuencia, el Fiscal interesa que se otorgue el amparo, se reconozca que el derecho de los demandantes ha sido vulnerado y que se les restablezca en el mismo, acordando la nulidad del Auto de 20 de julio de 2015, con retroacción de las actuaciones al momento inmediatamente anterior al requerimiento de pago a los demandantes de amparo para que se les comunique el despacho de la ejecución en legal forma.</w:t>
      </w:r>
    </w:p>
    <w:p w:rsidR="00A90898" w:rsidRDefault="00A90898" w:rsidP="00A90898">
      <w:pPr>
        <w:pStyle w:val="TextoNormal"/>
      </w:pPr>
    </w:p>
    <w:p w:rsidR="00A90898" w:rsidRDefault="00A90898" w:rsidP="00A90898">
      <w:pPr>
        <w:pStyle w:val="TextoNormal"/>
      </w:pPr>
      <w:r w:rsidRPr="00A90898">
        <w:rPr>
          <w:rStyle w:val="NumeroAFNegritaCaracter"/>
        </w:rPr>
        <w:t>10</w:t>
      </w:r>
      <w:r>
        <w:t>. En la misma fecha en que se admitió a trámite la demanda, el 1 de marzo de 2016, la Sección Cuarta de este Tribunal acordó mediante otra providencia, que se formara la correspondiente pieza separada de suspensión a fin de proveer a la medida solicitada por la parte recurrente por otrosí digo de su demanda. Tras su tramitación, la Sección dictó Auto de 11 de abril de 2016 en el que se ordenó suspender la ejecución del Auto dictado por el Juzgado de Primera Instancia núm. 5 de Cartagena el 20 de julio de 2015, en el procedimiento de ejecución hipotecaria núm. 113-2012; con suspensión igualmente del acto de subasta previsto para el día 15 de abril de 2016, y las demás actuaciones relativas a dicha ejecución.</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15 de septiembre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interpone contra el Auto de 20 de julio de 2015 dictado por el Juzgado de Primera Instancia núm. 5 de Cartagena, que desestimó el incidente de nulidad de actuaciones interpuesto por los ahora recurrentes en el procedimiento de ejecución hipotecaria núm. 113-2012 de dicho Juzgado, al considerar que en él había sido vulnerado su derecho a la tutela judicial efectiva sin indefensión (art. 24.1 CE). En dicho incidente y ahora en el presente recurso, se sostiene que no tuvieron conocimiento del desarrollo del proceso y, por lo tanto, no pudieron hacer valer en él los medios de oposición que la Ley les confiere, dado que el órgano judicial les notificó la demanda de ejecución y les requirió de pago por edictos, en lugar de hacerlo en su domicilio real sito en Reino Unido, que constaba en las actuaciones.</w:t>
      </w:r>
    </w:p>
    <w:p w:rsidR="00A90898" w:rsidRDefault="00A90898" w:rsidP="00A90898">
      <w:pPr>
        <w:pStyle w:val="TextoNormal"/>
      </w:pPr>
    </w:p>
    <w:p w:rsidR="00A90898" w:rsidRDefault="00A90898" w:rsidP="00A90898">
      <w:pPr>
        <w:pStyle w:val="TextoNormal"/>
      </w:pPr>
      <w:r>
        <w:t xml:space="preserve">En el mencionado Auto el órgano judicial entendió que la indefensión había sido ocasionada sólo por los demandantes de amparo, quienes no notificaron a la entidad ejecutante, con arreglo al art. 686,3 de la Ley de enjuiciamiento civil (LEC), el cambio de domicilio a efectos de notificaciones consignado en la escritura de constitución de hipoteca. En consecuencia, puesto que el Juzgado había llevado a cabo la notificación personal de la demanda en el domicilio designado en la escritura, único lugar en el que la Ley exige que sea buscado </w:t>
      </w:r>
      <w:r>
        <w:lastRenderedPageBreak/>
        <w:t>el ejecutado con carácter previo a la notificación edictal (art. 686.1 y 3 LEC), no cabía considerar que se hubiese incurrido en vulneración alguna de aquel derecho fundamental.</w:t>
      </w:r>
    </w:p>
    <w:p w:rsidR="00A90898" w:rsidRDefault="00A90898" w:rsidP="00A90898">
      <w:pPr>
        <w:pStyle w:val="TextoNormal"/>
      </w:pPr>
    </w:p>
    <w:p w:rsidR="00A90898" w:rsidRDefault="00A90898" w:rsidP="00A90898">
      <w:pPr>
        <w:pStyle w:val="TextoNormal"/>
      </w:pPr>
      <w:r w:rsidRPr="00A90898">
        <w:rPr>
          <w:rStyle w:val="NumeroAFNegritaCaracter"/>
        </w:rPr>
        <w:t>2</w:t>
      </w:r>
      <w:r>
        <w:t>. Cabe entrar ya en el examen de fondo del recurso debiendo indicarse, como punto previo, que el precepto aplicado por la resolución impugnada y en relación al cual ha de identificarse la doctrina constitucional pertinente, es el apartado tercero del art. 686 LEC, en la redacción dada al mismo por la Ley 13/2009, de 3 de noviembre, de reforma de la legislación procesal para la implantación de la nueva oficina judicial (art. 15.304 de ésta), el cual señala: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00A90898" w:rsidRDefault="00A90898" w:rsidP="00A90898">
      <w:pPr>
        <w:pStyle w:val="TextoNormal"/>
      </w:pPr>
    </w:p>
    <w:p w:rsidR="00A90898" w:rsidRDefault="00A90898" w:rsidP="00A90898">
      <w:pPr>
        <w:pStyle w:val="TextoNormal"/>
      </w:pPr>
      <w:r>
        <w:t>A partir de este dato se comprueba que este Tribunal, en su STC 122/2013, de 20 de mayo, se ha ocupado precisamente del problema aquí planteado, en torno a si el art. 686.3 LEC en su redacción por la Ley 13/2009, dispensa al órgano judicial del deber de intentar la notificación personal del demandado en el proceso de ejecución hipotecaria en caso de no ser posible ésta en el domicilio que figure en la escritura de constitución de la hipoteca, pudiendo así acordar la notificación por edictos sin ninguna otra diligencia de averiguación.</w:t>
      </w:r>
    </w:p>
    <w:p w:rsidR="00A90898" w:rsidRDefault="00A90898" w:rsidP="00A90898">
      <w:pPr>
        <w:pStyle w:val="TextoNormal"/>
      </w:pPr>
    </w:p>
    <w:p w:rsidR="00A90898" w:rsidRDefault="00A90898" w:rsidP="00A90898">
      <w:pPr>
        <w:pStyle w:val="TextoNormal"/>
      </w:pPr>
      <w:r>
        <w:t>En el fundamento jurídico 3 de dicha Sentencia hicimos resumen de nuestra doctrina general en la materia, de acuerdo con la cual:</w:t>
      </w:r>
    </w:p>
    <w:p w:rsidR="00A90898" w:rsidRDefault="00A90898" w:rsidP="00A90898">
      <w:pPr>
        <w:pStyle w:val="TextoNormal"/>
      </w:pPr>
    </w:p>
    <w:p w:rsidR="00A90898" w:rsidRDefault="00A90898" w:rsidP="00A90898">
      <w:pPr>
        <w:pStyle w:val="TextoNormal"/>
      </w:pPr>
      <w:r>
        <w:t>“[E]l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00A90898" w:rsidRDefault="00A90898" w:rsidP="00A90898">
      <w:pPr>
        <w:pStyle w:val="TextoNormal"/>
      </w:pPr>
    </w:p>
    <w:p w:rsidR="00A90898" w:rsidRDefault="00A90898" w:rsidP="00A90898">
      <w:pPr>
        <w:pStyle w:val="TextoNormal"/>
      </w:pPr>
      <w:r>
        <w:t xml:space="preserve">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w:t>
      </w:r>
      <w:r>
        <w:lastRenderedPageBreak/>
        <w:t>de 28 de febrero, FJ 2; 293/2005, de 21 de noviembre, FJ 2, y 245/2006, de 24 de julio, FJ 2).”</w:t>
      </w:r>
    </w:p>
    <w:p w:rsidR="00A90898" w:rsidRDefault="00A90898" w:rsidP="00A90898">
      <w:pPr>
        <w:pStyle w:val="TextoNormal"/>
      </w:pPr>
    </w:p>
    <w:p w:rsidR="00A90898" w:rsidRDefault="00A90898" w:rsidP="00A90898">
      <w:pPr>
        <w:pStyle w:val="TextoNormal"/>
      </w:pPr>
      <w:r>
        <w:t>Precisando a continuación en ese mismo fundamento jurídico 3, que dicha doctrina había resultado de aplicación también en el procedimiento de ejecución hipotecaria, lo cual significa:</w:t>
      </w:r>
    </w:p>
    <w:p w:rsidR="00A90898" w:rsidRDefault="00A90898" w:rsidP="00A90898">
      <w:pPr>
        <w:pStyle w:val="TextoNormal"/>
      </w:pPr>
    </w:p>
    <w:p w:rsidR="00A90898" w:rsidRDefault="00A90898" w:rsidP="00A90898">
      <w:pPr>
        <w:pStyle w:val="TextoNormal"/>
      </w:pPr>
      <w:r>
        <w:t>“[Q]ue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w:t>
      </w:r>
    </w:p>
    <w:p w:rsidR="00A90898" w:rsidRDefault="00A90898" w:rsidP="00A90898">
      <w:pPr>
        <w:pStyle w:val="TextoNormal"/>
      </w:pPr>
    </w:p>
    <w:p w:rsidR="00A90898" w:rsidRDefault="00A90898" w:rsidP="00A90898">
      <w:pPr>
        <w:pStyle w:val="TextoNormal"/>
      </w:pPr>
      <w:r>
        <w:t>Sin que encontráramos motivos para modificar estos criterios, con ocasión de lo previsto en el art. 686.3 LEC (resultante de la Ley 13/2009), pues frente a su literalidad razonamos que debe prevalecer una interpretación sistemática del precepto, que permita su aplicación judicial respetando el deber de averiguación del domicilio real del demandado por los medios que dispone la ley, de no ser posible la comunicación personal en aquel designado en la escritura (fundamento jurídico 5 de la misma STC 122/2013):</w:t>
      </w:r>
    </w:p>
    <w:p w:rsidR="00A90898" w:rsidRDefault="00A90898" w:rsidP="00A90898">
      <w:pPr>
        <w:pStyle w:val="TextoNormal"/>
      </w:pPr>
    </w:p>
    <w:p w:rsidR="00A90898" w:rsidRDefault="00A90898" w:rsidP="00A90898">
      <w:pPr>
        <w:pStyle w:val="TextoNormal"/>
      </w:pPr>
      <w:r>
        <w:t>“[D]esde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00A90898" w:rsidRDefault="00A90898" w:rsidP="00A90898">
      <w:pPr>
        <w:pStyle w:val="TextoNormal"/>
      </w:pPr>
    </w:p>
    <w:p w:rsidR="00A90898" w:rsidRDefault="00A90898" w:rsidP="00A90898">
      <w:pPr>
        <w:pStyle w:val="TextoNormal"/>
      </w:pPr>
      <w:r>
        <w:t>Esta doctrina específica ha sido reiterada en las SSTC 131/2014, de 21 de julio, FJ 4; 137/2014, de 8 de septiembre, FJ 3, y 89/2015, de 11 de mayo, FJ 3, todas relativas a procedimientos de ejecución hipotecaria. Por cierto, el precepto en cuestión ha sido objeto de modificación por la posterior Ley 19/2015, de 13 de julio (en su artículo 1.25), que entró en vigor el 15 de octubre de 2015, incluyendo ahora expresamente la necesidad de que se efectúen las averiguaciones para la localización del demandado, en caso de no ser hallado en el domicilio que conste en el Registro de la Propiedad.</w:t>
      </w:r>
    </w:p>
    <w:p w:rsidR="00A90898" w:rsidRDefault="00A90898" w:rsidP="00A90898">
      <w:pPr>
        <w:pStyle w:val="TextoNormal"/>
      </w:pPr>
    </w:p>
    <w:p w:rsidR="00A90898" w:rsidRDefault="00A90898" w:rsidP="00A90898">
      <w:pPr>
        <w:pStyle w:val="TextoNormal"/>
      </w:pPr>
      <w:r w:rsidRPr="00A90898">
        <w:rPr>
          <w:rStyle w:val="NumeroAFNegritaCaracter"/>
        </w:rPr>
        <w:t>3</w:t>
      </w:r>
      <w:r>
        <w:t>. Con aplicación de esta doctrina al caso de autos, la vulneración del derecho fundamental a la tutela judicial efectiva como consecuencia del indebido recurso a la notificación edictal, se desprende con claridad del relato de hechos de esta Sentencia.</w:t>
      </w:r>
    </w:p>
    <w:p w:rsidR="00A90898" w:rsidRDefault="00A90898" w:rsidP="00A90898">
      <w:pPr>
        <w:pStyle w:val="TextoNormal"/>
      </w:pPr>
    </w:p>
    <w:p w:rsidR="00A90898" w:rsidRDefault="00A90898" w:rsidP="00A90898">
      <w:pPr>
        <w:pStyle w:val="TextoNormal"/>
      </w:pPr>
      <w:r>
        <w:t xml:space="preserve">Una vez que resultó infructuoso el intento de notificación personal de los ejecutados en el domicilio vigente según el Registro de la Propiedad, el Juzgado de Primera Instancia núm. 5 de Cartagena ordenó, sin más trámite, que aquéllos fuesen notificados de la demanda y </w:t>
      </w:r>
      <w:r>
        <w:lastRenderedPageBreak/>
        <w:t>requeridos de pago por edictos, de los que, no se discute en esta sede, no tuvieron conocimiento.</w:t>
      </w:r>
    </w:p>
    <w:p w:rsidR="00A90898" w:rsidRDefault="00A90898" w:rsidP="00A90898">
      <w:pPr>
        <w:pStyle w:val="TextoNormal"/>
      </w:pPr>
    </w:p>
    <w:p w:rsidR="00A90898" w:rsidRDefault="00A90898" w:rsidP="00A90898">
      <w:pPr>
        <w:pStyle w:val="TextoNormal"/>
      </w:pPr>
      <w:r>
        <w:t>Pese a que en la escritura de constitución de la hipoteca aportada a los autos constaba el domicilio de los recurrentes en Reino Unido, no se intentó llevar a cabo ninguna notificación en él como tampoco intentó el Juzgado averiguar, por cualquier medio a su alcance, otro domicilio en que poder emplazar a los recurrentes en amparo. Realizando una interpretación literal del art. 686.3 LEC, proscrita por este Tribunal Constitucional —y después derogada la norma por el legislador— como ya se ha dicho, apoyándose el Juzgado en resoluciones de las Audiencias Provinciales que por su antigüedad no podían ni siquiera referirse al precepto aplicado, ordenó, sin más, la notificación edictal de la demanda de ejecución, ocasionando así que los Sres. Waite no tuvieran conocimiento ni, por ende, posibilidad de intervenir en su defensa en el proceso.</w:t>
      </w:r>
    </w:p>
    <w:p w:rsidR="00A90898" w:rsidRDefault="00A90898" w:rsidP="00A90898">
      <w:pPr>
        <w:pStyle w:val="TextoNormal"/>
      </w:pPr>
    </w:p>
    <w:p w:rsidR="00A90898" w:rsidRDefault="00A90898" w:rsidP="00A90898">
      <w:pPr>
        <w:pStyle w:val="TextoNormal"/>
      </w:pPr>
      <w:r>
        <w:t xml:space="preserve">Como correctamente afirma el Fiscal en su escrito de alegaciones, al cumplimiento del deber de diligencia que le correspondía al Juzgado no cabe oponer el hecho de que los demandados tuvieran su domicilio real en Inglaterra, pues al margen de la mayor complejidad derivada de tener que acordar la comunicación por los mecanismos de cooperación judicial entre España y el Reino Unido que resultaban de aplicación, tal cosa no entrañaba un despliegue de actividad “desmesurado y [que] excediera de lo razonable”. Esto con independencia, como igualmente razona el Fiscal, de que no consta en la resolución impugnada que dicho factor fuese considerado por el Juzgado como </w:t>
      </w:r>
      <w:r w:rsidRPr="00A90898">
        <w:rPr>
          <w:i/>
        </w:rPr>
        <w:t xml:space="preserve">ratio decidendi </w:t>
      </w:r>
      <w:r>
        <w:t>de su decisión, limitándose éste en realidad a aplicar literalmente el entonces vigente art. 686.3 LEC, sin otra consideración.</w:t>
      </w:r>
    </w:p>
    <w:p w:rsidR="00A90898" w:rsidRDefault="00A90898" w:rsidP="00A90898">
      <w:pPr>
        <w:pStyle w:val="TextoNormal"/>
      </w:pPr>
    </w:p>
    <w:p w:rsidR="00A90898" w:rsidRDefault="00A90898" w:rsidP="00A90898">
      <w:pPr>
        <w:pStyle w:val="TextoNormal"/>
      </w:pPr>
      <w:r w:rsidRPr="00A90898">
        <w:rPr>
          <w:rStyle w:val="NumeroAFNegritaCaracter"/>
        </w:rPr>
        <w:t>4</w:t>
      </w:r>
      <w:r>
        <w:t>. Por razón de todo lo expuesto procede la estimación del recurso de amparo, con nulidad del Auto dictado el 20 de julio de 2015 por el Juzgado de Primera Instancia núm. 5 de Cartagena, en el procedimiento de ejecución hipotecaria núm. 113-2012.</w:t>
      </w:r>
    </w:p>
    <w:p w:rsidR="00A90898" w:rsidRDefault="00A90898" w:rsidP="00A90898">
      <w:pPr>
        <w:pStyle w:val="TextoNormal"/>
      </w:pPr>
    </w:p>
    <w:p w:rsidR="00A90898" w:rsidRDefault="00A90898" w:rsidP="00A90898">
      <w:pPr>
        <w:pStyle w:val="TextoNormal"/>
      </w:pPr>
      <w:r>
        <w:t>Asimismo, como medida de restablecimiento del derecho, hemos de acordar la retroacción de las actuaciones hasta el momento inmediatamente siguiente al de dictarse el Auto despachando ejecución, a fin de que se provea por el órgano judicial a la notificación de la demanda ejecutiva y el requerimiento de pago a los recurrentes, en términos respetuosos con su derecho fundamental a la tutela judicial efectiva sin indefensión (art. 24.1 CE).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la presente demanda de amparo interpuesta por don Alan Waite y doña Elaine Patricia Waite y, en su virtud:</w:t>
      </w:r>
    </w:p>
    <w:p w:rsidR="00A90898" w:rsidRDefault="00A90898" w:rsidP="00A90898">
      <w:pPr>
        <w:pStyle w:val="TextoNormal"/>
      </w:pPr>
    </w:p>
    <w:p w:rsidR="00A90898" w:rsidRDefault="00A90898" w:rsidP="00A90898">
      <w:pPr>
        <w:pStyle w:val="TextoNormal"/>
      </w:pPr>
      <w:r>
        <w:t>1º Declarar que se ha vulnerado el derecho de los demandantes de amparo a la tutela judicial efectiva, en su vertiente de prohibición de indefensión (art. 24.1 CE).</w:t>
      </w:r>
    </w:p>
    <w:p w:rsidR="00A90898" w:rsidRDefault="00A90898" w:rsidP="00A90898">
      <w:pPr>
        <w:pStyle w:val="TextoNormal"/>
      </w:pPr>
    </w:p>
    <w:p w:rsidR="00A90898" w:rsidRDefault="00A90898" w:rsidP="00A90898">
      <w:pPr>
        <w:pStyle w:val="TextoNormal"/>
      </w:pPr>
      <w:r>
        <w:t>2º Restablecerlos en su derecho y, a tal fin, declarar la nulidad del Auto de 20 de julio de 2015 del Juzgado de Primera Instancia núm. 5 de Cartagena (proceso de ejecución hipotecaria núm. 113-2012).</w:t>
      </w:r>
    </w:p>
    <w:p w:rsidR="00A90898" w:rsidRDefault="00A90898" w:rsidP="00A90898">
      <w:pPr>
        <w:pStyle w:val="TextoNormal"/>
      </w:pPr>
    </w:p>
    <w:p w:rsidR="00A90898" w:rsidRDefault="00A90898" w:rsidP="00A90898">
      <w:pPr>
        <w:pStyle w:val="TextoNormal"/>
      </w:pPr>
      <w:r>
        <w:t>3º Acordar la retroacción de las actuaciones en dicho procedimiento, hasta el momento inmediatamente siguiente al de dictarse el Auto por el que se despachó ejecución, a fin de que se provea por el Juzgado a la notificación de la demanda de ejecución hipotecaria y del requerimiento de pago a los recurrentes, en términos respetuosos con su derecho fundamental.</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0" w:name="SENTENCIA_2016_151"/>
      <w:r>
        <w:lastRenderedPageBreak/>
        <w:t>SENTENCIA 151/2016, de 19 de septiembre de 2016</w:t>
      </w:r>
    </w:p>
    <w:bookmarkEnd w:id="30"/>
    <w:p w:rsidR="00A90898" w:rsidRDefault="00A90898" w:rsidP="00A90898">
      <w:pPr>
        <w:pStyle w:val="TtuloResolucin"/>
      </w:pPr>
      <w:r>
        <w:t>Sala Segunda</w:t>
      </w:r>
    </w:p>
    <w:p w:rsidR="00A90898" w:rsidRDefault="00A90898" w:rsidP="00A90898">
      <w:pPr>
        <w:pStyle w:val="TtuloBOE"/>
      </w:pPr>
      <w:r>
        <w:t>(BOE núm. 263, de 31 de octubre de 2016)</w:t>
      </w:r>
    </w:p>
    <w:p w:rsidR="00A90898" w:rsidRDefault="00A90898" w:rsidP="00A90898">
      <w:pPr>
        <w:pStyle w:val="TextoNormalCentrado"/>
      </w:pPr>
      <w:r>
        <w:t>ECLI:ES:TC:2016:151</w:t>
      </w:r>
    </w:p>
    <w:p w:rsidR="00A90898" w:rsidRDefault="00A90898" w:rsidP="00A90898">
      <w:pPr>
        <w:pStyle w:val="TextoNormalCentrado"/>
      </w:pPr>
    </w:p>
    <w:p w:rsidR="00A90898" w:rsidRDefault="00A90898" w:rsidP="00A90898">
      <w:pPr>
        <w:pStyle w:val="SntesisDescriptiva"/>
      </w:pPr>
      <w:r>
        <w:t>Recurso de amparo 5956-2015. Promovido por don Alan Waite y doña Elaine Patricia Waite en relación con el Auto dictado por un Juzgado de Primera Instancia de Cartagena, que denegó su solicitud de nulidad de actuaciones en procedimiento de ejecución hipotecaria.</w:t>
      </w:r>
    </w:p>
    <w:p w:rsidR="00A90898" w:rsidRDefault="00A90898" w:rsidP="00A90898">
      <w:pPr>
        <w:pStyle w:val="SntesisDescriptiva"/>
      </w:pPr>
    </w:p>
    <w:p w:rsidR="00A90898" w:rsidRDefault="00A90898" w:rsidP="00A90898">
      <w:pPr>
        <w:pStyle w:val="SntesisAnaltica"/>
      </w:pPr>
      <w:r>
        <w:t>Vulneración del derecho a la tutela judicial sin indefensión: emplazamiento mediante edictos de demandados cuyo domicilio en el Reino Unido figuraba en las actuaciones (STC 122/2013).</w:t>
      </w:r>
    </w:p>
    <w:p w:rsidR="00A90898" w:rsidRDefault="00A90898" w:rsidP="00A90898">
      <w:pPr>
        <w:pStyle w:val="SntesisAnaltica"/>
      </w:pPr>
    </w:p>
    <w:p w:rsidR="00A90898" w:rsidRDefault="00A90898" w:rsidP="00A90898">
      <w:pPr>
        <w:pStyle w:val="Extracto"/>
      </w:pPr>
      <w:r>
        <w:t>1.</w:t>
      </w:r>
      <w:r>
        <w:tab/>
        <w:t>Asunto sustancialmente idéntico al resuelto por la STC 122/2013, relativa a la doctrina sobre el deber de agotar las posibilidades de notificación personal al demandado antes de acudir al emplazamiento por edictos [FFJJ 2 a 4].</w:t>
      </w:r>
    </w:p>
    <w:p w:rsidR="00A90898" w:rsidRDefault="00A90898" w:rsidP="00A90898">
      <w:pPr>
        <w:pStyle w:val="Extracto"/>
      </w:pPr>
    </w:p>
    <w:p w:rsidR="00A90898" w:rsidRDefault="00A90898" w:rsidP="00A90898">
      <w:pPr>
        <w:pStyle w:val="Extracto"/>
      </w:pPr>
      <w:r>
        <w:t>2.</w:t>
      </w:r>
      <w:r>
        <w:tab/>
        <w:t xml:space="preserve">Al cumplimiento del deber de diligencia que le correspondía al Juzgado no cabe oponer el hecho de que los demandados tuvieran su domicilio real en Inglaterra, pues al margen de la mayor complejidad derivada de tener que acordar la comunicación por los mecanismos de cooperación judicial entre España y el Reino Unido que resultaban de aplicación, tal cosa no entrañaba un despliegue de actividad “desmesurado y [que] excediera de lo razonable”. Esto con independencia de que no consta en la resolución impugnada que dicho factor fuese considerado por el Juzgado como </w:t>
      </w:r>
      <w:r w:rsidRPr="00A90898">
        <w:rPr>
          <w:i/>
        </w:rPr>
        <w:t xml:space="preserve">ratio decidendi </w:t>
      </w:r>
      <w:r>
        <w:t>de su decisión, limitándose éste en realidad a aplicar literalmente la entonces vigente LEC, sin otra consideración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Asúa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5956-2015, promovido por don Alan Waite y doña Elaine Patricia Waite, representados por la Procuradora de los Tribunales doña Ana Llorens Pardo y asistidos por el Abogado don Jordi Mauri Solé, contra el Auto de 10 de septiembre de 2015 del Juzgado de Primera Instancia núm. 5 de Cartagena (Murcia), que desestimó el incidente de nulidad de actuaciones interpuesto en los Autos de ejecución hipotecaria núm. 114-2012. Han sido parte Caixabank, S.A., y Buildingcenter, S.A.U., ambas representadas por la Procuradora de los Tribunales doña Elena Medina Cuadros y asistidas por el Abogado </w:t>
      </w:r>
      <w:r>
        <w:lastRenderedPageBreak/>
        <w:t>don Antonio Morenilla Moreno. Ha intervenido el Ministerio Fiscal.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26 de octubre de 2015, doña Ana Llorens Pardo, Procuradora de los Tribunales y de don Alan Waite y doña Elaine Patricia Waite, interpuso recurso de amparo contra las resoluciones judiciales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los que se funda la demanda, relevantes para la resolución del caso son los siguientes:</w:t>
      </w:r>
    </w:p>
    <w:p w:rsidR="00A90898" w:rsidRDefault="00A90898" w:rsidP="00A90898">
      <w:pPr>
        <w:pStyle w:val="TextoNormal"/>
      </w:pPr>
    </w:p>
    <w:p w:rsidR="00A90898" w:rsidRDefault="00A90898" w:rsidP="00A90898">
      <w:pPr>
        <w:pStyle w:val="TextoNormal"/>
      </w:pPr>
      <w:r>
        <w:t>a) En fecha de 7 de marzo de 2012, Caixabank, S.A., interpuso demanda de ejecución hipotecaria frente a los ahora recurrentes en amparo. En ella se hacía constar como domicilio de los demandados la finca hipotecada sita en la Urbanización Los Molinos, vivienda 110, núcleo Campo de Golf, Paraje de Atamaría, de Cartagena (Murcia). Este domicilio era el que constaba a efectos de requerimientos y notificaciones en la escritura pública del préstamo hipotecario objeto de ejecución, en la que además figuraba que los Sres. Waite se encontraban “domiciliados en 30 Cobb Close, Strood, Rochester, Kent, ME2 3T4, Reino Unido”.</w:t>
      </w:r>
    </w:p>
    <w:p w:rsidR="00A90898" w:rsidRDefault="00A90898" w:rsidP="00A90898">
      <w:pPr>
        <w:pStyle w:val="TextoNormal"/>
      </w:pPr>
    </w:p>
    <w:p w:rsidR="00A90898" w:rsidRDefault="00A90898" w:rsidP="00A90898">
      <w:pPr>
        <w:pStyle w:val="TextoNormal"/>
      </w:pPr>
      <w:r>
        <w:t>Con carácter previo, la entidad bancaria había remitido a la dirección de Los Molinos sendos burofaxes (documentos 4 a 8 de la demanda) por los que, ante el impago de ciertas mensualidades del crédito, lo daba por vencido anticipadamente y notificaba a los recurrentes el saldo deudor, requiriéndoles para su abono.</w:t>
      </w:r>
    </w:p>
    <w:p w:rsidR="00A90898" w:rsidRDefault="00A90898" w:rsidP="00A90898">
      <w:pPr>
        <w:pStyle w:val="TextoNormal"/>
      </w:pPr>
    </w:p>
    <w:p w:rsidR="00A90898" w:rsidRDefault="00A90898" w:rsidP="00A90898">
      <w:pPr>
        <w:pStyle w:val="TextoNormal"/>
      </w:pPr>
      <w:r>
        <w:t>La entrega de los burofaxes se intentó los días 6 y 9 de febrero del mismo año. Éstos, sin embargo, no fueron entregados a los interesados, dado que, conforme señalaba el acuse de recibo, se encontraban ausentes.</w:t>
      </w:r>
    </w:p>
    <w:p w:rsidR="00A90898" w:rsidRDefault="00A90898" w:rsidP="00A90898">
      <w:pPr>
        <w:pStyle w:val="TextoNormal"/>
      </w:pPr>
    </w:p>
    <w:p w:rsidR="00A90898" w:rsidRDefault="00A90898" w:rsidP="00A90898">
      <w:pPr>
        <w:pStyle w:val="TextoNormal"/>
      </w:pPr>
      <w:r>
        <w:t>b) Repartida la demanda al Juzgado de Primera Instancia núm. 5 de Cartagena y una vez despachada ejecución por Auto de 28 de marzo de 2012, el órgano judicial acordó citar por telegrama a los demandados a fin de que comparecieran ante él para ser notificados de la demanda y requeridos judicialmente de pago.</w:t>
      </w:r>
    </w:p>
    <w:p w:rsidR="00A90898" w:rsidRDefault="00A90898" w:rsidP="00A90898">
      <w:pPr>
        <w:pStyle w:val="TextoNormal"/>
      </w:pPr>
    </w:p>
    <w:p w:rsidR="00A90898" w:rsidRDefault="00A90898" w:rsidP="00A90898">
      <w:pPr>
        <w:pStyle w:val="TextoNormal"/>
      </w:pPr>
      <w:r>
        <w:t>Estos telegramas tampoco pudieron ser entregados. Según rezaba el acuse, la casa se encontraba cerrada, por lo que se había dejado aviso.</w:t>
      </w:r>
    </w:p>
    <w:p w:rsidR="00A90898" w:rsidRDefault="00A90898" w:rsidP="00A90898">
      <w:pPr>
        <w:pStyle w:val="TextoNormal"/>
      </w:pPr>
    </w:p>
    <w:p w:rsidR="00A90898" w:rsidRDefault="00A90898" w:rsidP="00A90898">
      <w:pPr>
        <w:pStyle w:val="TextoNormal"/>
      </w:pPr>
      <w:r>
        <w:t>c) El Juzgado resolvió entonces, por diligencia de ordenación de 8 de junio de 2012, que los demandados fuesen emplazados en la finca hipotecada, por el funcionario de auxilio judicial que correspondiese. No consta en las actuaciones, sin embargo, que esta diligencia se llevase a cabo.</w:t>
      </w:r>
    </w:p>
    <w:p w:rsidR="00A90898" w:rsidRDefault="00A90898" w:rsidP="00A90898">
      <w:pPr>
        <w:pStyle w:val="TextoNormal"/>
      </w:pPr>
    </w:p>
    <w:p w:rsidR="00A90898" w:rsidRDefault="00A90898" w:rsidP="00A90898">
      <w:pPr>
        <w:pStyle w:val="TextoNormal"/>
      </w:pPr>
      <w:r>
        <w:t>d) Por Auto de 6 de marzo de 2013, el Juez, previa audiencia al ejecutante, declaró de oficio abusiva la cláusula del préstamo hipotecario relativa a los intereses de demora.</w:t>
      </w:r>
    </w:p>
    <w:p w:rsidR="00A90898" w:rsidRDefault="00A90898" w:rsidP="00A90898">
      <w:pPr>
        <w:pStyle w:val="TextoNormal"/>
      </w:pPr>
    </w:p>
    <w:p w:rsidR="00A90898" w:rsidRDefault="00A90898" w:rsidP="00A90898">
      <w:pPr>
        <w:pStyle w:val="TextoNormal"/>
      </w:pPr>
      <w:r>
        <w:lastRenderedPageBreak/>
        <w:t>e) Por escrito presentado el 6 de octubre de 2013, el procurador de la entidad bancaria solicitó practicar personalmente la notificación de la demanda a los demandantes de amparo.</w:t>
      </w:r>
    </w:p>
    <w:p w:rsidR="00A90898" w:rsidRDefault="00A90898" w:rsidP="00A90898">
      <w:pPr>
        <w:pStyle w:val="TextoNormal"/>
      </w:pPr>
    </w:p>
    <w:p w:rsidR="00A90898" w:rsidRDefault="00A90898" w:rsidP="00A90898">
      <w:pPr>
        <w:pStyle w:val="TextoNormal"/>
      </w:pPr>
      <w:r>
        <w:t>El Juzgado accedió a la petición, informando el mismo procurador en fecha de 19 de abril de 2013 del resultado negativo de la diligencia, que se había intentado el día 1 de abril. “Los vecinos informan que la vivienda se encuentra cerrada y deshabitada y que desconocen el actual paradero de los demandados”, decía el acta firmada por el referido procurador y los testigos que intentaron la notificación.</w:t>
      </w:r>
    </w:p>
    <w:p w:rsidR="00A90898" w:rsidRDefault="00A90898" w:rsidP="00A90898">
      <w:pPr>
        <w:pStyle w:val="TextoNormal"/>
      </w:pPr>
    </w:p>
    <w:p w:rsidR="00A90898" w:rsidRDefault="00A90898" w:rsidP="00A90898">
      <w:pPr>
        <w:pStyle w:val="TextoNormal"/>
      </w:pPr>
      <w:r>
        <w:t>En el mismo escrito se solicitaba, en consecuencia, que se llevase a cabo el emplazamiento de los ejecutados por edictos, a lo que el órgano judicial accedió por diligencia de ordenación de 9 de mayo de 2013, fecha en que los edictos fueron fijados en el tablón de anuncios del Juzgado.</w:t>
      </w:r>
    </w:p>
    <w:p w:rsidR="00A90898" w:rsidRDefault="00A90898" w:rsidP="00A90898">
      <w:pPr>
        <w:pStyle w:val="TextoNormal"/>
      </w:pPr>
    </w:p>
    <w:p w:rsidR="00A90898" w:rsidRDefault="00A90898" w:rsidP="00A90898">
      <w:pPr>
        <w:pStyle w:val="TextoNormal"/>
      </w:pPr>
      <w:r>
        <w:t>f) Por diligencia de ordenación de 19 de diciembre de 2013 se acordó llevar a cabo la subasta electrónica del inmueble. Asimismo, por diligencia de 21 de marzo de 2014, se señaló para su celebración el día 6 de junio del mismo año, resolución que se notificó a los allí demandados también por edictos.</w:t>
      </w:r>
    </w:p>
    <w:p w:rsidR="00A90898" w:rsidRDefault="00A90898" w:rsidP="00A90898">
      <w:pPr>
        <w:pStyle w:val="TextoNormal"/>
      </w:pPr>
    </w:p>
    <w:p w:rsidR="00A90898" w:rsidRDefault="00A90898" w:rsidP="00A90898">
      <w:pPr>
        <w:pStyle w:val="TextoNormal"/>
      </w:pPr>
      <w:r>
        <w:t>g) Al no comparecer ningún postor, Caixabank solicitó que la vivienda hipotecada le fuese adjudicada a su favor, a fin de ceder el remate a tercero.</w:t>
      </w:r>
    </w:p>
    <w:p w:rsidR="00A90898" w:rsidRDefault="00A90898" w:rsidP="00A90898">
      <w:pPr>
        <w:pStyle w:val="TextoNormal"/>
      </w:pPr>
    </w:p>
    <w:p w:rsidR="00A90898" w:rsidRDefault="00A90898" w:rsidP="00A90898">
      <w:pPr>
        <w:pStyle w:val="TextoNormal"/>
      </w:pPr>
      <w:r>
        <w:t>Tras los trámites pertinentes, el Juzgado dictó Auto de adjudicación del inmueble a favor de Buildingcenter, S.A.U., en fecha de 10 de julio de 2014, el cual también fue notificado a los Sres. Waite por edictos.</w:t>
      </w:r>
    </w:p>
    <w:p w:rsidR="00A90898" w:rsidRDefault="00A90898" w:rsidP="00A90898">
      <w:pPr>
        <w:pStyle w:val="TextoNormal"/>
      </w:pPr>
    </w:p>
    <w:p w:rsidR="00A90898" w:rsidRDefault="00A90898" w:rsidP="00A90898">
      <w:pPr>
        <w:pStyle w:val="TextoNormal"/>
      </w:pPr>
      <w:r>
        <w:t>h) Los ejecutados se personaron en el procedimiento e interpusieron incidente de nulidad de actuaciones por escrito presentado el 14 de mayo de 2015.</w:t>
      </w:r>
    </w:p>
    <w:p w:rsidR="00A90898" w:rsidRDefault="00A90898" w:rsidP="00A90898">
      <w:pPr>
        <w:pStyle w:val="TextoNormal"/>
      </w:pPr>
    </w:p>
    <w:p w:rsidR="00A90898" w:rsidRDefault="00A90898" w:rsidP="00A90898">
      <w:pPr>
        <w:pStyle w:val="TextoNormal"/>
      </w:pPr>
      <w:r>
        <w:t>Según este último, los Sres. Waite no habían tenido conocimiento del proceso hipotecario, sino a raíz de otro pleito que por su parte mantenían contra Caixabank, en el que el letrado que allí les defendía supo de esta ejecución y de otra, también hipotecaria, que se seguía en el mismo Juzgado por la entidad contra ellos, con el número 113-2012.</w:t>
      </w:r>
    </w:p>
    <w:p w:rsidR="00A90898" w:rsidRDefault="00A90898" w:rsidP="00A90898">
      <w:pPr>
        <w:pStyle w:val="TextoNormal"/>
      </w:pPr>
    </w:p>
    <w:p w:rsidR="00A90898" w:rsidRDefault="00A90898" w:rsidP="00A90898">
      <w:pPr>
        <w:pStyle w:val="TextoNormal"/>
      </w:pPr>
      <w:r>
        <w:t>Esto se debía —según el escrito— a que el órgano judicial no les había notificado personalmente la demanda de la presente ejecución, sino que les había emplazado y requerido de pago por edictos, pese a que en la escritura de préstamo constaba —además del domicilio a efectos de notificaciones, que el banco, como predisponente, les había obligado a señalar en la finca hipotecada— su domicilio real en Reino Unido. A este último el Juzgado no se había dirigido en absoluto, como tampoco había tratado, por ninguno de los medios a su alcance, de averiguar un domicilio alternativo en que poder emplazar con efectividad a los ahora recurrentes.</w:t>
      </w:r>
    </w:p>
    <w:p w:rsidR="00A90898" w:rsidRDefault="00A90898" w:rsidP="00A90898">
      <w:pPr>
        <w:pStyle w:val="TextoNormal"/>
      </w:pPr>
    </w:p>
    <w:p w:rsidR="00A90898" w:rsidRDefault="00A90898" w:rsidP="00A90898">
      <w:pPr>
        <w:pStyle w:val="TextoNormal"/>
      </w:pPr>
      <w:r>
        <w:t xml:space="preserve">Caixabank, sostenían los ejecutados, tenía perfecto conocimiento de este domicilio en Inglaterra, que constituye la vivienda habitual de los Sres. Waite, pues al mismo había remitido las comunicaciones derivadas del préstamo incluso después de haber iniciado la ejecución en el Juzgado. Con todo —terminaba el escrito— la falta de diligencia era sobre todo imputable al órgano judicial, el cual no debió acudir a la notificación edictal de la demanda, </w:t>
      </w:r>
      <w:r>
        <w:lastRenderedPageBreak/>
        <w:t>sino después de haber intentado al menos localizar a los demandantes de amparo en este otro domicilio que constaba en las actuaciones, como reiteradamente había exigido el Tribunal Constitucional (SSTC 97/1992, de 11 de junio; 193/1993, de 14 de junio; 29/1997, de 24 de febrero; 49/1997, de 11 de marzo; 65/2000, de 13 de marzo, y 254/2000, de 30 de octubre). Así, en concreto, había sido establecido respecto de los procesos de ejecución hipotecaria, en la STC 131/2014, de 21 de julio, cuyo FJ 2 reproducía, y en la que se cita la anterior STC 122/2013, de 20 de mayo, FFJJ 2 y 3.</w:t>
      </w:r>
    </w:p>
    <w:p w:rsidR="00A90898" w:rsidRDefault="00A90898" w:rsidP="00A90898">
      <w:pPr>
        <w:pStyle w:val="TextoNormal"/>
      </w:pPr>
    </w:p>
    <w:p w:rsidR="00A90898" w:rsidRDefault="00A90898" w:rsidP="00A90898">
      <w:pPr>
        <w:pStyle w:val="TextoNormal"/>
      </w:pPr>
      <w:r>
        <w:t>En consecuencia —concluía el escrito de interposición del incidente— en las actuaciones judiciales se había ocasionado la indefensión de los recurrentes, quienes, al no tener conocimiento de la ejecución hipotecaria, habían sido privados de la posibilidad de oponerse a ella en la forma y por las causas que la Ley de enjuiciamiento civil permite al deudor, por lo que suplicaba que fuesen declaradas nulas todas ellas desde el Auto que la despachó.</w:t>
      </w:r>
    </w:p>
    <w:p w:rsidR="00A90898" w:rsidRDefault="00A90898" w:rsidP="00A90898">
      <w:pPr>
        <w:pStyle w:val="TextoNormal"/>
      </w:pPr>
    </w:p>
    <w:p w:rsidR="00A90898" w:rsidRDefault="00A90898" w:rsidP="00A90898">
      <w:pPr>
        <w:pStyle w:val="TextoNormal"/>
      </w:pPr>
      <w:r>
        <w:t>i) El incidente de nulidad, tras ser tramitado en forma, fue desestimado por Auto de 10 de septiembre de 2015.</w:t>
      </w:r>
    </w:p>
    <w:p w:rsidR="00A90898" w:rsidRDefault="00A90898" w:rsidP="00A90898">
      <w:pPr>
        <w:pStyle w:val="TextoNormal"/>
      </w:pPr>
    </w:p>
    <w:p w:rsidR="00A90898" w:rsidRDefault="00A90898" w:rsidP="00A90898">
      <w:pPr>
        <w:pStyle w:val="TextoNormal"/>
      </w:pPr>
      <w:r>
        <w:t>Según la resolución judicial, el importe de la deuda había sido notificado por el Juzgado, conforme al art. 682.2 de la Ley de enjuiciamiento civil (LEC), en el domicilio señalado a tal fin en la escritura pública de constitución de la hipoteca, sin que los demandados hubieran comunicado a la entidad bancaria el cambio de dicho domicilio en la forma que a este fin preceptúa el art. 683 de la misma Ley. Por esta razón no cabía entender que se hubiese ocasionado su indefensión: la demanda se había notificado en el único lugar en que, según interpretación que dice es “unánime” de las Audiencias, el órgano judicial debió llevar a cabo el emplazamiento. Como ejemplo, reproduce un Auto de la Audiencia Provincial de Murcia, Sección Quinta, de 6 de febrero de 2007 y otro de su Sección Segunda, de 29 de junio de 2004; así como un Auto de la Sección Tercera de la Audiencia Provincial de Valladolid, de 23 de noviembre de 2002, expresándose en este último que no hay indefensión si la parte deja de mostrar la diligencia debida, según la doctrina reiterada de este Tribunal Constitucional. Sin más razonamiento luego de esa transcripción de resoluciones, el Auto desestima el incidente.</w:t>
      </w:r>
    </w:p>
    <w:p w:rsidR="00A90898" w:rsidRDefault="00A90898" w:rsidP="00A90898">
      <w:pPr>
        <w:pStyle w:val="TextoNormal"/>
      </w:pPr>
    </w:p>
    <w:p w:rsidR="00A90898" w:rsidRDefault="00A90898" w:rsidP="00A90898">
      <w:pPr>
        <w:pStyle w:val="TextoNormal"/>
      </w:pPr>
      <w:r w:rsidRPr="00A90898">
        <w:rPr>
          <w:rStyle w:val="NumeroAFNegritaCaracter"/>
        </w:rPr>
        <w:t>3</w:t>
      </w:r>
      <w:r>
        <w:t>. En la demanda de amparo, la representación de los recurrentes reitera la indefensión padecida por éstos (lesión del art. 24.1 CE), al haberse tramitado el procedimiento de ejecución hipotecaria de referencia inaudita parte, debido a que, ante el resultado negativo de la única diligencia de notificación personal a los ejecutados y ahora recurrentes llevada a cabo por el órgano judicial, éste acordó que se efectuase por edictos, sin intentar previamente su emplazamiento en su vivienda habitual sita en Inglaterra, de la que tenía conocimiento la entidad actora y que constaba, de hecho, en las actuaciones, en la escritura objeto de ejecución.</w:t>
      </w:r>
    </w:p>
    <w:p w:rsidR="00A90898" w:rsidRDefault="00A90898" w:rsidP="00A90898">
      <w:pPr>
        <w:pStyle w:val="TextoNormal"/>
      </w:pPr>
    </w:p>
    <w:p w:rsidR="00A90898" w:rsidRDefault="00A90898" w:rsidP="00A90898">
      <w:pPr>
        <w:pStyle w:val="TextoNormal"/>
      </w:pPr>
      <w:r>
        <w:t>Tal supuesto de hecho es idéntico —según la demanda— al que fue objeto de la STC 122/2013, de 20 de mayo, cuyos fundamentos jurídicos 2, 3 y 5 reproduce, en la que este Tribunal reconoció por este mismo motivo que el derecho a la tutela judicial efectiva de los entonces demandantes de amparo había sido vulnerado.</w:t>
      </w:r>
    </w:p>
    <w:p w:rsidR="00A90898" w:rsidRDefault="00A90898" w:rsidP="00A90898">
      <w:pPr>
        <w:pStyle w:val="TextoNormal"/>
      </w:pPr>
    </w:p>
    <w:p w:rsidR="00A90898" w:rsidRDefault="00A90898" w:rsidP="00A90898">
      <w:pPr>
        <w:pStyle w:val="TextoNormal"/>
      </w:pPr>
      <w:r>
        <w:t xml:space="preserve">En lógica consecuencia, suplica que se otorgue el amparo a los Sres. Waite, reconociendo que ha sido lesionado su derecho a no padecer indefensión (art. 24 CE) y declarando la </w:t>
      </w:r>
      <w:r>
        <w:lastRenderedPageBreak/>
        <w:t>nulidad de las actuaciones a partir del Auto por el que se despachó ejecución, de 28 de marzo de 2012, a fin de que éste les fuese notificado en forma, si bien a través de la procuradora que ya ostentaba su representación en el expediente.</w:t>
      </w:r>
    </w:p>
    <w:p w:rsidR="00A90898" w:rsidRDefault="00A90898" w:rsidP="00A90898">
      <w:pPr>
        <w:pStyle w:val="TextoNormal"/>
      </w:pPr>
    </w:p>
    <w:p w:rsidR="00A90898" w:rsidRDefault="00A90898" w:rsidP="00A90898">
      <w:pPr>
        <w:pStyle w:val="TextoNormal"/>
      </w:pPr>
      <w:r w:rsidRPr="00A90898">
        <w:rPr>
          <w:rStyle w:val="NumeroAFNegritaCaracter"/>
        </w:rPr>
        <w:t>4</w:t>
      </w:r>
      <w:r>
        <w:t>. Por diligencia de ordenación, de 30 de octubre de 2015, la Secretaria de Justicia de la Sala Segunda de este Tribunal acordó, antes de entrar a resolver sobre la admisibilidad del recurso, dirigir atenta comunicación al Juzgado de Primera Instancia núm. 5 de Cartagena a fin de que, a la mayor brevedad posible, remitiera certificación o fotocopia adverada de todas las actuaciones correspondientes al procedimiento de ejecución hipotecaria núm. 114-2012.</w:t>
      </w:r>
    </w:p>
    <w:p w:rsidR="00A90898" w:rsidRDefault="00A90898" w:rsidP="00A90898">
      <w:pPr>
        <w:pStyle w:val="TextoNormal"/>
      </w:pPr>
    </w:p>
    <w:p w:rsidR="00A90898" w:rsidRDefault="00A90898" w:rsidP="00A90898">
      <w:pPr>
        <w:pStyle w:val="TextoNormal"/>
      </w:pPr>
      <w:r w:rsidRPr="00A90898">
        <w:rPr>
          <w:rStyle w:val="NumeroAFNegritaCaracter"/>
        </w:rPr>
        <w:t>5</w:t>
      </w:r>
      <w:r>
        <w:t>. En virtud de providencia de 1 de marzo de 2016, la Sección Cuarta de este Tribunal acordó admitir a trámite la demanda de amparo, apreciando especial trascendencia constitucional [art. 50 de la Ley Orgánica del Tribunal Constitucional (LOTC)], derivada de que el órgano judicial pudiera haber incurrido en negativa manifiesta del deber de acatamiento de la doctrina de este Tribunal [STC 155/2009, FJ 2 f)] acordó admitir a trámite la demanda.</w:t>
      </w:r>
    </w:p>
    <w:p w:rsidR="00A90898" w:rsidRDefault="00A90898" w:rsidP="00A90898">
      <w:pPr>
        <w:pStyle w:val="TextoNormal"/>
      </w:pPr>
    </w:p>
    <w:p w:rsidR="00A90898" w:rsidRDefault="00A90898" w:rsidP="00A90898">
      <w:pPr>
        <w:pStyle w:val="TextoNormal"/>
      </w:pPr>
      <w:r>
        <w:t>Por ello, en aplicación de lo dispuesto por el art. 51 de la Ley Orgánica del Tribunal Constitucional (LOTC), se ordenó también, dirigir atenta comunicación al mismo Juzgado, a fin de que en plazo que no debía exceder de diez días, emplazase a quienes hubieran sido parte en el procedimiento, excepto la parte recurrente en amparo, para que pudieran comparecer, si lo deseaban, en este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Una vez recibidos los escritos de personación, la Secretaría de Justicia de la Sala Segunda de este Tribunal, mediante diligencia de ordenación de 12 de abril de 2016, acordó tener como partes en el recurso a Caixabank, S.A., y Buildingcenter, S.A.U., y dar vista de las actuaciones recibidas a las partes personadas por plazo común de veinte días, conforme al art. 52.1 LOTC, para que pudieran presentar las alegaciones que a su derecho conviniera.</w:t>
      </w:r>
    </w:p>
    <w:p w:rsidR="00A90898" w:rsidRDefault="00A90898" w:rsidP="00A90898">
      <w:pPr>
        <w:pStyle w:val="TextoNormal"/>
      </w:pPr>
    </w:p>
    <w:p w:rsidR="00A90898" w:rsidRDefault="00A90898" w:rsidP="00A90898">
      <w:pPr>
        <w:pStyle w:val="TextoNormal"/>
      </w:pPr>
      <w:r w:rsidRPr="00A90898">
        <w:rPr>
          <w:rStyle w:val="NumeroAFNegritaCaracter"/>
        </w:rPr>
        <w:t>7</w:t>
      </w:r>
      <w:r>
        <w:t>. Evacuando el referido trámite, la representación procesal común de Caixabank, S.A., y Buildingcenter, S.A.U., presentó escrito de alegaciones el 13 de mayo de 2016, en el que se solicitaba la desestimación del recurso.</w:t>
      </w:r>
    </w:p>
    <w:p w:rsidR="00A90898" w:rsidRDefault="00A90898" w:rsidP="00A90898">
      <w:pPr>
        <w:pStyle w:val="TextoNormal"/>
      </w:pPr>
    </w:p>
    <w:p w:rsidR="00A90898" w:rsidRDefault="00A90898" w:rsidP="00A90898">
      <w:pPr>
        <w:pStyle w:val="TextoNormal"/>
      </w:pPr>
      <w:r>
        <w:t>Según éstas, ni la entidad bancaria había ocultado dolosamente al Juzgado el domicilio de los recurrentes en Reino Unido, ni el órgano judicial había incurrido en falta de diligencia alguna al proceder por vía de edictos la notificación de la demanda y requerimiento de pago edictales. La indefensión, por el contrario, sólo obedecía a la pasividad de los demandantes de amparo, quienes no comunicaron a Caixabank el cambio del domicilio a efectos de notificaciones que se había designado en la escritura de préstamo.</w:t>
      </w:r>
    </w:p>
    <w:p w:rsidR="00A90898" w:rsidRDefault="00A90898" w:rsidP="00A90898">
      <w:pPr>
        <w:pStyle w:val="TextoNormal"/>
      </w:pPr>
    </w:p>
    <w:p w:rsidR="00A90898" w:rsidRDefault="00A90898" w:rsidP="00A90898">
      <w:pPr>
        <w:pStyle w:val="TextoNormal"/>
      </w:pPr>
      <w:r>
        <w:t xml:space="preserve">El escrito cita los arts. 682.2 y 683.2 LEC, el primero referido a los requisitos para la procedencia del proceso ejecutivo hipotecario, que incluyen la designación en la escritura de constitución de la hipoteca, de un domicilio a efecto de practicar los oportunos requerimientos y notificaciones; y el segundo, la regulación de los supuestos en que se permite el cambio posterior del domicilio indicado. Asimismo, se invoca el art. 686.3 LEC tras su reforma por la Ley 13/2009, que entiende fue la aplicada al caso, según el cual: “Intentado </w:t>
      </w:r>
      <w:r>
        <w:lastRenderedPageBreak/>
        <w:t>sin efecto el requerimiento en el domicilio que resulte del Registro, no pudiendo ser realizado el mismo con las personas a las que se refiere el apartado anterior, se procederá a ordenar la publicación de edictos en la forma prevista en el artículo 164.”</w:t>
      </w:r>
    </w:p>
    <w:p w:rsidR="00A90898" w:rsidRDefault="00A90898" w:rsidP="00A90898">
      <w:pPr>
        <w:pStyle w:val="TextoNormal"/>
      </w:pPr>
    </w:p>
    <w:p w:rsidR="00A90898" w:rsidRDefault="00A90898" w:rsidP="00A90898">
      <w:pPr>
        <w:pStyle w:val="TextoNormal"/>
      </w:pPr>
      <w:r>
        <w:t>De estos preceptos deduce la representación de Caixabank y Buildingcenter, que el único objetivo de la Ley es evitar la demora de los procesos de ejecución hipotecaria debido a problemas de notificación y requerimiento a los deudores, de forma que aquéllos que hubieran designado un domicilio a efectos de notificaciones en la escritura de constitución de hipoteca, están legalmente obligados a comunicar al acreedor su cambio, debiendo pechar en otro caso con la validez de la notificación efectuada en el domicilio inicialmente designado en caso de no ser hallados en él. Es el propio deudor el que debe emprender las actuaciones necesarias para que las notificaciones relativas al contrato puedan llevarse a cabo con éxito y, por tanto, quien debe asumir las consecuencias de que las notificaciones no puedan efectuarse por causa no imputable al acreedor. La tutela judicial efectiva del ejecutado —añade el escrito— queda así garantizada en la propia escritura de préstamo al señalar en ella un domicilio concreto a efectos de notificaciones que, en cualquier momento y a su petición, puede ser modificado.</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de 13 de mayo de 2016, la representación procesal de los demandantes de amparo dio por reproducidos íntegramente los hechos, fundamentos y alegaciones del escrito de demanda y reiteró la petición de estimación del amparo.</w:t>
      </w:r>
    </w:p>
    <w:p w:rsidR="00A90898" w:rsidRDefault="00A90898" w:rsidP="00A90898">
      <w:pPr>
        <w:pStyle w:val="TextoNormal"/>
      </w:pPr>
    </w:p>
    <w:p w:rsidR="00A90898" w:rsidRDefault="00A90898" w:rsidP="00A90898">
      <w:pPr>
        <w:pStyle w:val="TextoNormal"/>
      </w:pPr>
      <w:r w:rsidRPr="00A90898">
        <w:rPr>
          <w:rStyle w:val="NumeroAFNegritaCaracter"/>
        </w:rPr>
        <w:t>9</w:t>
      </w:r>
      <w:r>
        <w:t>. El Ministerio Fiscal, en escrito registrado el 20 de mayo de 2016, interesó el otorgamiento del amparo solicitado.</w:t>
      </w:r>
    </w:p>
    <w:p w:rsidR="00A90898" w:rsidRDefault="00A90898" w:rsidP="00A90898">
      <w:pPr>
        <w:pStyle w:val="TextoNormal"/>
      </w:pPr>
    </w:p>
    <w:p w:rsidR="00A90898" w:rsidRDefault="00A90898" w:rsidP="00A90898">
      <w:pPr>
        <w:pStyle w:val="TextoNormal"/>
      </w:pPr>
      <w:r>
        <w:t>Tras exponer los antecedentes de hecho del caso y la pretensión de los demandantes en el presente recurso de amparo, el Fiscal recordó la doctrina de este Tribunal en materia de tutela judicial efectiva y notificación edictal, con cita de la STC 150/2008, de 17 de noviembre, FJ 2, destacando la importancia que tienen los actos de notificación a la parte demandada para que éste conozca la existencia del procedimiento y pueda defenderse en él, debiendo prevalecer en este sentido la notificación personal y sólo de manera supletoria y excepcional, la efectuada a través de edictos. De esto deriva el deber del órgano judicial, añade el Fiscal, de “extremar la diligencia para la averiguación del paradero o domicilio de los interesados, y para ello deberá utilizar los medios de averiguación que estén razonablemente a su alcance”, con cita en cuanto a esto último, de la STC 78/2008, de 7 de julio, FJ 2.</w:t>
      </w:r>
    </w:p>
    <w:p w:rsidR="00A90898" w:rsidRDefault="00A90898" w:rsidP="00A90898">
      <w:pPr>
        <w:pStyle w:val="TextoNormal"/>
      </w:pPr>
    </w:p>
    <w:p w:rsidR="00A90898" w:rsidRDefault="00A90898" w:rsidP="00A90898">
      <w:pPr>
        <w:pStyle w:val="TextoNormal"/>
      </w:pPr>
      <w:r>
        <w:t>No obstante, prosigue diciendo, dado que para hablar de vulneración del derecho a la tutela judicial efectiva se exige la concurrencia de una indefensión material, ésta desaparece, según declara la misma doctrina de este Tribunal, si el interesado llega a tener conocimiento del proceso y no se persona en él, o bien cuando voluntariamente hubiera creado la situación de indefensión, “por ejemplo porque se hubiere constituido a propósito en paradero desconocido”, de nuevo con cita de la STC 78/2002, ahora en su fundamento jurídico 3.</w:t>
      </w:r>
    </w:p>
    <w:p w:rsidR="00A90898" w:rsidRDefault="00A90898" w:rsidP="00A90898">
      <w:pPr>
        <w:pStyle w:val="TextoNormal"/>
      </w:pPr>
    </w:p>
    <w:p w:rsidR="00A90898" w:rsidRDefault="00A90898" w:rsidP="00A90898">
      <w:pPr>
        <w:pStyle w:val="TextoNormal"/>
      </w:pPr>
      <w:r>
        <w:t xml:space="preserve">Sintetizada esa doctrina, se pregunta el Fiscal de inmediato si su exigencia podría haberse visto afectada por la reforma del art. 686 LEC, llevada a cabo por la Ley 13/2009, de 23 de noviembre, la cual dio nueva redacción a su apartado tercero, que es el “precepto vigente en el momento en que el órgano judicial resolvió la cuestión, tanto al dictar el auto despachando </w:t>
      </w:r>
      <w:r>
        <w:lastRenderedPageBreak/>
        <w:t>la ejecución, como al denegar el incidente de nulidad” y cuyo texto, acota en su escrito de alegaciones, “parece automatizar la posibilidad de acudir al expediente de citación por la vía edictal cuando, intentada la notificación en el domicilio pactado, esta ha devenido imposible”. Así formulado, considera sin embargo el Fiscal que no hay tal afectación de la doctrina referida, pues el propio Tribunal así lo ha descartado al declarar que en caso de duda sobre la idoneidad del domicilio señalado en la escritura de hipoteca para la práctica de las pertinentes notificaciones, el órgano judicial debe agotar su deber de diligencia para intentar el emplazamiento personal del demandado en la ejecución, tal como le impone el art. 24.1 CE. Concretamente así lo ha dicho, precisa, en la STC 122/2013, de 20 de mayo, FJ 5, que al efecto reproduce.</w:t>
      </w:r>
    </w:p>
    <w:p w:rsidR="00A90898" w:rsidRDefault="00A90898" w:rsidP="00A90898">
      <w:pPr>
        <w:pStyle w:val="TextoNormal"/>
      </w:pPr>
    </w:p>
    <w:p w:rsidR="00A90898" w:rsidRDefault="00A90898" w:rsidP="00A90898">
      <w:pPr>
        <w:pStyle w:val="TextoNormal"/>
      </w:pPr>
      <w:r>
        <w:t>Con traslado de todo ello al proceso de ejecución objeto de la queja, el escrito de alegaciones del Ministerio Público concluye que el derecho fundamental de los aquí recurrentes a no padecer indefensión (art. 24 CE) fue vulnerado, pues el órgano judicial, siendo consciente a raíz de las diligencias de notificación personal emprendidas de que el domicilio ofrecido en la demanda de ejecución no era válido para conseguir el conocimiento personal de ésta por los ejecutados, acudió a su notificación edictal de forma inmediata, sin llevar a cabo una mínima diligencia para averiguar un domicilio alternativo al que figuraba en la escritura de préstamo hipotecario y donde realmente pudieran ser hallados los demandados, en una aplicación extremadamente literal de la normativa aplicable.</w:t>
      </w:r>
    </w:p>
    <w:p w:rsidR="00A90898" w:rsidRDefault="00A90898" w:rsidP="00A90898">
      <w:pPr>
        <w:pStyle w:val="TextoNormal"/>
      </w:pPr>
    </w:p>
    <w:p w:rsidR="00A90898" w:rsidRDefault="00A90898" w:rsidP="00A90898">
      <w:pPr>
        <w:pStyle w:val="TextoNormal"/>
      </w:pPr>
      <w:r>
        <w:t>Observa en todo caso el Fiscal, que la circunstancia de que “el domicilio se encontrara en Inglaterra, y que por tanto su citación en aquel lugar fuera más compleja por su lejanía y diversidad idiomática, no debe ser obstáculo suficiente para considerar que el despliegue de actividad que tuviera que hacer el órgano judicial fuera desmesurado y excediera de lo razonable, pues el acceso a los intervinientes que residen en el extranjero no puede ser hoy en día calificado así”. Si bien advierte que tal cosa “no nos consta que se lo hubiere planteado siquiera el órgano judicial, ya que nada ha motivado al respecto”.</w:t>
      </w:r>
    </w:p>
    <w:p w:rsidR="00A90898" w:rsidRDefault="00A90898" w:rsidP="00A90898">
      <w:pPr>
        <w:pStyle w:val="TextoNormal"/>
      </w:pPr>
    </w:p>
    <w:p w:rsidR="00A90898" w:rsidRDefault="00A90898" w:rsidP="00A90898">
      <w:pPr>
        <w:pStyle w:val="TextoNormal"/>
      </w:pPr>
      <w:r>
        <w:t>En consecuencia, el Fiscal interesa que se otorgue el amparo, se reconozca que el derecho de los demandantes ha sido vulnerado y que se les restablezca en el mismo, acordando la nulidad del Auto de 10 de septiembre de 2015, con retroacción de las actuaciones al momento inmediatamente anterior al requerimiento de pago a los demandantes de amparo para que se les comunique el despacho de la ejecución en legal forma.</w:t>
      </w:r>
    </w:p>
    <w:p w:rsidR="00A90898" w:rsidRDefault="00A90898" w:rsidP="00A90898">
      <w:pPr>
        <w:pStyle w:val="TextoNormal"/>
      </w:pPr>
    </w:p>
    <w:p w:rsidR="00A90898" w:rsidRDefault="00A90898" w:rsidP="00A90898">
      <w:pPr>
        <w:pStyle w:val="TextoNormal"/>
      </w:pPr>
      <w:r w:rsidRPr="00A90898">
        <w:rPr>
          <w:rStyle w:val="NumeroAFNegritaCaracter"/>
        </w:rPr>
        <w:t>10</w:t>
      </w:r>
      <w:r>
        <w:t>. En la misma fecha en que se admitió a trámite la demanda, el 1 de marzo de 2016, la Sección Cuarta de este Tribunal acordó mediante otra providencia, que se formara la correspondiente pieza separada de suspensión a fin de proveer a la medida solicitada por la parte recurrente por otrosí digo de su demanda. Tras su tramitación, la Sección dictó Auto el 11 de abril de 2016 en el que se ordenó suspender la ejecución del Auto dictado por el Juzgado de Primera Instancia núm. 5 de Cartagena el 10 de septiembre de 2015 en el procedimiento de ejecución hipotecaria núm. 114-2012, con suspensión igualmente del acto de toma de posesión del bien inmueble ejecutado, previsto para el día 28 de junio de 2016, y las demás actuaciones relativas a dicha ejecución.</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15 de septiembre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lastRenderedPageBreak/>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interpone contra el Auto de 10 de septiembre de 2015 dictado por el Juzgado de Primera Instancia núm. 5 de Cartagena, que desestimó el incidente de nulidad de actuaciones interpuesto por los ahora recurrentes en el procedimiento de ejecución hipotecaria núm. 114-2012 de dicho Juzgado, al considerar que en él había sido vulnerado su derecho a la tutela judicial efectiva sin indefensión (art. 24.1 CE). En dicho incidente y ahora en el presente recurso se sostiene que no tuvieron conocimiento del desarrollo del proceso y que, por lo tanto, no pudieron hacer valer en él los medios de oposición que la ley les confiere, dado que el órgano judicial les notificó la demanda de ejecución y les requirió de pago por edictos, en lugar de hacerlo en su domicilio real sito en Reino Unido, que constaba en las actuaciones.</w:t>
      </w:r>
    </w:p>
    <w:p w:rsidR="00A90898" w:rsidRDefault="00A90898" w:rsidP="00A90898">
      <w:pPr>
        <w:pStyle w:val="TextoNormal"/>
      </w:pPr>
    </w:p>
    <w:p w:rsidR="00A90898" w:rsidRDefault="00A90898" w:rsidP="00A90898">
      <w:pPr>
        <w:pStyle w:val="TextoNormal"/>
      </w:pPr>
      <w:r>
        <w:t>En el mencionado Auto el órgano judicial entendió que la indefensión había sido ocasionada sólo por los demandantes de amparo, quienes no notificaron a la entidad ejecutante, con arreglo al art. 683 de la Ley de enjuiciamiento civil (LEC), el cambio de domicilio a efectos de notificaciones consignado en la escritura de constitución de hipoteca. En consecuencia, puesto que el Juzgado había llevado a cabo la notificación personal de la demanda en el domicilio designado en la escritura, único lugar en el que la Ley exige que sea buscado el ejecutado con carácter previo a la notificación edictal (art. 686.1 y 3 LEC), no cabía considerar que se hubiese incurrido en vulneración alguna de aquel derecho fundamental.</w:t>
      </w:r>
    </w:p>
    <w:p w:rsidR="00A90898" w:rsidRDefault="00A90898" w:rsidP="00A90898">
      <w:pPr>
        <w:pStyle w:val="TextoNormal"/>
      </w:pPr>
    </w:p>
    <w:p w:rsidR="00A90898" w:rsidRDefault="00A90898" w:rsidP="00A90898">
      <w:pPr>
        <w:pStyle w:val="TextoNormal"/>
      </w:pPr>
      <w:r w:rsidRPr="00A90898">
        <w:rPr>
          <w:rStyle w:val="NumeroAFNegritaCaracter"/>
        </w:rPr>
        <w:t>2</w:t>
      </w:r>
      <w:r>
        <w:t>. Cabe entrar ya en el examen de fondo del recurso debiendo indicarse, como punto previo, que el precepto aplicado por la resolución impugnada y en relación al cual ha de identificarse la doctrina constitucional pertinente, es el apartado tercero del art. 686.3 LEC, en la redacción dada al mismo por la Ley 13/2009, de 3 de noviembre, de reforma de la legislación procesal para la implantación de la nueva oficina judicial (art. 15.304 de ésta), el cual señala: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00A90898" w:rsidRDefault="00A90898" w:rsidP="00A90898">
      <w:pPr>
        <w:pStyle w:val="TextoNormal"/>
      </w:pPr>
    </w:p>
    <w:p w:rsidR="00A90898" w:rsidRDefault="00A90898" w:rsidP="00A90898">
      <w:pPr>
        <w:pStyle w:val="TextoNormal"/>
      </w:pPr>
      <w:r>
        <w:t>A partir de este dato se comprueba que este Tribunal, en su STC 122/2013, de 20 de mayo, se ha ocupado precisamente del problema aquí planteado, en torno a si el art. 686.3 LEC en su redacción por la Ley 13/2009, dispensa al órgano judicial del deber de intentar la notificación personal del demandado en el proceso de ejecución hipotecaria en caso de no ser posible ésta en el domicilio que figure en la escritura de constitución de la hipoteca, pudiendo así acordar la notificación por edictos sin ninguna otra diligencia de averiguación.</w:t>
      </w:r>
    </w:p>
    <w:p w:rsidR="00A90898" w:rsidRDefault="00A90898" w:rsidP="00A90898">
      <w:pPr>
        <w:pStyle w:val="TextoNormal"/>
      </w:pPr>
    </w:p>
    <w:p w:rsidR="00A90898" w:rsidRDefault="00A90898" w:rsidP="00A90898">
      <w:pPr>
        <w:pStyle w:val="TextoNormal"/>
      </w:pPr>
      <w:r>
        <w:t>En el fundamento jurídico 3 de dicha Sentencia hicimos resumen de nuestra doctrina general en la materia, de acuerdo con la cual:</w:t>
      </w:r>
    </w:p>
    <w:p w:rsidR="00A90898" w:rsidRDefault="00A90898" w:rsidP="00A90898">
      <w:pPr>
        <w:pStyle w:val="TextoNormal"/>
      </w:pPr>
    </w:p>
    <w:p w:rsidR="00A90898" w:rsidRDefault="00A90898" w:rsidP="00A90898">
      <w:pPr>
        <w:pStyle w:val="TextoNormal"/>
      </w:pPr>
      <w:r>
        <w:t xml:space="preserve">“[E]l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w:t>
      </w:r>
      <w:r>
        <w:lastRenderedPageBreak/>
        <w:t>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00A90898" w:rsidRDefault="00A90898" w:rsidP="00A90898">
      <w:pPr>
        <w:pStyle w:val="TextoNormal"/>
      </w:pPr>
    </w:p>
    <w:p w:rsidR="00A90898" w:rsidRDefault="00A90898" w:rsidP="00A90898">
      <w:pPr>
        <w:pStyle w:val="TextoNormal"/>
      </w:pPr>
      <w:r>
        <w:t>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A90898" w:rsidRDefault="00A90898" w:rsidP="00A90898">
      <w:pPr>
        <w:pStyle w:val="TextoNormal"/>
      </w:pPr>
    </w:p>
    <w:p w:rsidR="00A90898" w:rsidRDefault="00A90898" w:rsidP="00A90898">
      <w:pPr>
        <w:pStyle w:val="TextoNormal"/>
      </w:pPr>
      <w:r>
        <w:t>Precisando a continuación en ese mismo fundamento jurídico 3, que dicha doctrina había resultado de aplicación también en el procedimiento de ejecución hipotecaria, lo cual significa:</w:t>
      </w:r>
    </w:p>
    <w:p w:rsidR="00A90898" w:rsidRDefault="00A90898" w:rsidP="00A90898">
      <w:pPr>
        <w:pStyle w:val="TextoNormal"/>
      </w:pPr>
    </w:p>
    <w:p w:rsidR="00A90898" w:rsidRDefault="00A90898" w:rsidP="00A90898">
      <w:pPr>
        <w:pStyle w:val="TextoNormal"/>
      </w:pPr>
      <w:r>
        <w:t>“[Q]ue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w:t>
      </w:r>
    </w:p>
    <w:p w:rsidR="00A90898" w:rsidRDefault="00A90898" w:rsidP="00A90898">
      <w:pPr>
        <w:pStyle w:val="TextoNormal"/>
      </w:pPr>
    </w:p>
    <w:p w:rsidR="00A90898" w:rsidRDefault="00A90898" w:rsidP="00A90898">
      <w:pPr>
        <w:pStyle w:val="TextoNormal"/>
      </w:pPr>
      <w:r>
        <w:t>Sin que encontráramos motivos para modificar estos criterios, con ocasión de lo previsto en el art. 686.3 LEC (resultante de la Ley 13/2009), pues frente a su literalidad razonamos que debe prevalecer una interpretación sistemática del precepto, que permita su aplicación judicial respetando el deber de averiguación del domicilio real del demandado por los medios que dispone la ley, de no ser posible la comunicación personal en aquel designado en la escritura (fundamento jurídico 5 de la misma STC 122/2013):</w:t>
      </w:r>
    </w:p>
    <w:p w:rsidR="00A90898" w:rsidRDefault="00A90898" w:rsidP="00A90898">
      <w:pPr>
        <w:pStyle w:val="TextoNormal"/>
      </w:pPr>
    </w:p>
    <w:p w:rsidR="00A90898" w:rsidRDefault="00A90898" w:rsidP="00A90898">
      <w:pPr>
        <w:pStyle w:val="TextoNormal"/>
      </w:pPr>
      <w:r>
        <w:t xml:space="preserve">“[D]esde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w:t>
      </w:r>
      <w:r>
        <w:lastRenderedPageBreak/>
        <w:t>comunicación edictal en el procedimiento de ejecución hipotecaria sólo puede utilizarse cuando se hayan agotado los medios de averiguación del domicilio del deudor o ejecutado.”</w:t>
      </w:r>
    </w:p>
    <w:p w:rsidR="00A90898" w:rsidRDefault="00A90898" w:rsidP="00A90898">
      <w:pPr>
        <w:pStyle w:val="TextoNormal"/>
      </w:pPr>
    </w:p>
    <w:p w:rsidR="00A90898" w:rsidRDefault="00A90898" w:rsidP="00A90898">
      <w:pPr>
        <w:pStyle w:val="TextoNormal"/>
      </w:pPr>
      <w:r>
        <w:t>Esta doctrina específica ha sido reiterada en las SSTC 131/2014, de 21 de julio, FJ 4; 137/2014, de 8 de septiembre, FJ 3 y 89/2015, de 11 de mayo, FJ 3, todas relativas a procedimientos de ejecución hipotecaria. Por cierto, el precepto en cuestión ha sido objeto de modificación por la posterior Ley 19/2015, de 13 de julio (en su art. 1.25), que entró en vigor el 15 de octubre de 2015, incluyendo ahora expresamente la necesidad de que se efectúen las averiguaciones para la localización del demandado, en caso de no ser hallado en el domicilio que conste en el Registro de la Propiedad.</w:t>
      </w:r>
    </w:p>
    <w:p w:rsidR="00A90898" w:rsidRDefault="00A90898" w:rsidP="00A90898">
      <w:pPr>
        <w:pStyle w:val="TextoNormal"/>
      </w:pPr>
    </w:p>
    <w:p w:rsidR="00A90898" w:rsidRDefault="00A90898" w:rsidP="00A90898">
      <w:pPr>
        <w:pStyle w:val="TextoNormal"/>
      </w:pPr>
      <w:r w:rsidRPr="00A90898">
        <w:rPr>
          <w:rStyle w:val="NumeroAFNegritaCaracter"/>
        </w:rPr>
        <w:t>3</w:t>
      </w:r>
      <w:r>
        <w:t>. Con aplicación de esta doctrina al caso de autos, la vulneración del derecho fundamental a la tutela judicial efectiva como consecuencia del indebido recurso a la notificación edictal, se desprende con claridad del relato de hechos de esta Sentencia.</w:t>
      </w:r>
    </w:p>
    <w:p w:rsidR="00A90898" w:rsidRDefault="00A90898" w:rsidP="00A90898">
      <w:pPr>
        <w:pStyle w:val="TextoNormal"/>
      </w:pPr>
    </w:p>
    <w:p w:rsidR="00A90898" w:rsidRDefault="00A90898" w:rsidP="00A90898">
      <w:pPr>
        <w:pStyle w:val="TextoNormal"/>
      </w:pPr>
      <w:r>
        <w:t>Una vez que resultó infructuoso el intento de notificación personal de los ejecutados en el domicilio vigente según el Registro de la Propiedad, el Juzgado de Primera Instancia núm. 5 de Cartagena ordenó, sin más trámite, que aquéllos fuesen notificados de la demanda y requeridos de pago por edictos, de los que —no se discute en esta sede— los ejecutados no tuvieron conocimiento.</w:t>
      </w:r>
    </w:p>
    <w:p w:rsidR="00A90898" w:rsidRDefault="00A90898" w:rsidP="00A90898">
      <w:pPr>
        <w:pStyle w:val="TextoNormal"/>
      </w:pPr>
    </w:p>
    <w:p w:rsidR="00A90898" w:rsidRDefault="00A90898" w:rsidP="00A90898">
      <w:pPr>
        <w:pStyle w:val="TextoNormal"/>
      </w:pPr>
      <w:r>
        <w:t>Pese a que en la escritura de constitución de la hipoteca aportada a los autos constaba el domicilio de los recurrentes en Reino Unido, no se intentó llevar a cabo ninguna notificación en él como tampoco intentó el Juzgado averiguar, por cualquier medio a su alcance, otro domicilio en que poder emplazar a los recurrentes en amparo. Realizando una interpretación literal del art. 686.3 LEC, proscrita por este Tribunal Constitucional —y después derogada la norma por el legislador— como ya se ha dicho, apoyándose el Juzgado en resoluciones de las Audiencias Provinciales que por su antigüedad no podían ni siquiera referirse al precepto aplicado, ordenó, sin más, la notificación edictal de la demanda de ejecución, ocasionando así que los Sres. Waite no tuvieran conocimiento ni, por ende, posibilidad de intervenir en su defensa en el proceso.</w:t>
      </w:r>
    </w:p>
    <w:p w:rsidR="00A90898" w:rsidRDefault="00A90898" w:rsidP="00A90898">
      <w:pPr>
        <w:pStyle w:val="TextoNormal"/>
      </w:pPr>
    </w:p>
    <w:p w:rsidR="00A90898" w:rsidRDefault="00A90898" w:rsidP="00A90898">
      <w:pPr>
        <w:pStyle w:val="TextoNormal"/>
      </w:pPr>
      <w:r>
        <w:t xml:space="preserve">Como correctamente afirma el Fiscal en su escrito de alegaciones, al cumplimiento del deber de diligencia que le correspondía al Juzgado no cabe oponer el hecho de que los demandados tuvieran su domicilio real en Inglaterra, pues al margen de la mayor complejidad derivada de tener que acordar la comunicación por los mecanismos de cooperación judicial entre España y el Reino Unido que resultaban de aplicación, tal cosa no entrañaba un despliegue de actividad “desmesurado y [que] excediera de lo razonable”. Esto con independencia, como igualmente razona el Fiscal, de que no consta en la resolución impugnada que dicho factor fuese considerado por el Juzgado como </w:t>
      </w:r>
      <w:r w:rsidRPr="00A90898">
        <w:rPr>
          <w:i/>
        </w:rPr>
        <w:t xml:space="preserve">ratio decidendi </w:t>
      </w:r>
      <w:r>
        <w:t>de su decisión, limitándose éste en realidad a aplicar literalmente el entonces vigente art. 686.3 LEC, sin otra consideración.</w:t>
      </w:r>
    </w:p>
    <w:p w:rsidR="00A90898" w:rsidRDefault="00A90898" w:rsidP="00A90898">
      <w:pPr>
        <w:pStyle w:val="TextoNormal"/>
      </w:pPr>
    </w:p>
    <w:p w:rsidR="00A90898" w:rsidRDefault="00A90898" w:rsidP="00A90898">
      <w:pPr>
        <w:pStyle w:val="TextoNormal"/>
      </w:pPr>
      <w:r w:rsidRPr="00A90898">
        <w:rPr>
          <w:rStyle w:val="NumeroAFNegritaCaracter"/>
        </w:rPr>
        <w:t>4</w:t>
      </w:r>
      <w:r>
        <w:t>. Por razón de todo lo expuesto procede la estimación del recurso de amparo, con nulidad del Auto dictado el 10 de septiembre de 2015 por el Juzgado de Primera Instancia núm. 5 de Cartagena, en los autos de ejecución hipotecaria núm. 114-2012.</w:t>
      </w:r>
    </w:p>
    <w:p w:rsidR="00A90898" w:rsidRDefault="00A90898" w:rsidP="00A90898">
      <w:pPr>
        <w:pStyle w:val="TextoNormal"/>
      </w:pPr>
    </w:p>
    <w:p w:rsidR="00A90898" w:rsidRDefault="00A90898" w:rsidP="00A90898">
      <w:pPr>
        <w:pStyle w:val="TextoNormal"/>
      </w:pPr>
      <w:r>
        <w:lastRenderedPageBreak/>
        <w:t>Asimismo, como medida de restablecimiento del derecho, hemos de acordar la retroacción de las actuaciones hasta el momento inmediatamente siguiente al de dictarse el Auto despachando ejecución, a fin de que se provea por el órgano judicial a la notificación de la demanda ejecutiva y el requerimiento de pago a los recurrentes en términos respetuosos con su derecho fundamental a la tutela judicial efectiva sin indefensión (art. 24.1 CE).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la presente demanda de amparo interpuesta por don Alan Waite y doña Elaine Patricia Waite y, en su virtud:</w:t>
      </w:r>
    </w:p>
    <w:p w:rsidR="00A90898" w:rsidRDefault="00A90898" w:rsidP="00A90898">
      <w:pPr>
        <w:pStyle w:val="TextoNormal"/>
      </w:pPr>
    </w:p>
    <w:p w:rsidR="00A90898" w:rsidRDefault="00A90898" w:rsidP="00A90898">
      <w:pPr>
        <w:pStyle w:val="TextoNormal"/>
      </w:pPr>
      <w:r>
        <w:t>1º Declarar que se ha vulnerado el derecho de los demandantes de amparo a la tutela judicial efectiva, en su vertiente de prohibición de indefensión (art. 24.1 CE).</w:t>
      </w:r>
    </w:p>
    <w:p w:rsidR="00A90898" w:rsidRDefault="00A90898" w:rsidP="00A90898">
      <w:pPr>
        <w:pStyle w:val="TextoNormal"/>
      </w:pPr>
    </w:p>
    <w:p w:rsidR="00A90898" w:rsidRDefault="00A90898" w:rsidP="00A90898">
      <w:pPr>
        <w:pStyle w:val="TextoNormal"/>
      </w:pPr>
      <w:r>
        <w:t>2º Restablecerlos en su derecho y, a tal fin, declarar la nulidad del Auto de 10 de septiembre de 2015 del Juzgado de Primera Instancia núm. 5 de Cartagena (proceso de ejecución hipotecaria núm. 114-2012).</w:t>
      </w:r>
    </w:p>
    <w:p w:rsidR="00A90898" w:rsidRDefault="00A90898" w:rsidP="00A90898">
      <w:pPr>
        <w:pStyle w:val="TextoNormal"/>
      </w:pPr>
    </w:p>
    <w:p w:rsidR="00A90898" w:rsidRDefault="00A90898" w:rsidP="00A90898">
      <w:pPr>
        <w:pStyle w:val="TextoNormal"/>
      </w:pPr>
      <w:r>
        <w:t>3º Acordar la retroacción de las actuaciones en dicho procedimiento, hasta el momento inmediatamente siguiente al de dictarse el Auto por el que se despachó ejecución, a fin de que se provea por el Juzgado a la notificación de la demanda de ejecución hipotecaria y del requerimiento de pago a los recurrentes, en términos respetuosos con su derecho fundamental.</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1" w:name="SENTENCIA_2016_152"/>
      <w:r>
        <w:lastRenderedPageBreak/>
        <w:t>SENTENCIA 152/2016, de 22 de septiembre de 2016</w:t>
      </w:r>
    </w:p>
    <w:bookmarkEnd w:id="31"/>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ECLI:ES:TC:2016:152</w:t>
      </w:r>
    </w:p>
    <w:p w:rsidR="00A90898" w:rsidRDefault="00A90898" w:rsidP="00A90898">
      <w:pPr>
        <w:pStyle w:val="TextoNormalCentrado"/>
      </w:pPr>
    </w:p>
    <w:p w:rsidR="00A90898" w:rsidRDefault="00A90898" w:rsidP="00A90898">
      <w:pPr>
        <w:pStyle w:val="SntesisDescriptiva"/>
      </w:pPr>
      <w:r>
        <w:t>Conflicto en defensa de la autonomía local 570-2011. Planteado por el Ayuntamiento de Abrucena y otros ciento once municipios en relación con diversos preceptos de la Ley 9/2010, de 30 de julio, de aguas de Andalucía.</w:t>
      </w:r>
    </w:p>
    <w:p w:rsidR="00A90898" w:rsidRDefault="00A90898" w:rsidP="00A90898">
      <w:pPr>
        <w:pStyle w:val="SntesisDescriptiva"/>
      </w:pPr>
    </w:p>
    <w:p w:rsidR="00A90898" w:rsidRDefault="00A90898" w:rsidP="00A90898">
      <w:pPr>
        <w:pStyle w:val="SntesisAnaltica"/>
      </w:pPr>
      <w:r>
        <w:t>Autonomía local, competencias en materia de aguas: inadmisión del conflicto en cuanto se refiere a preceptos legales no sometidos a dictamen del órgano consultivo autonómico; constitucionalidad de los preceptos legales relativos a la gestión supramunicipal y redes de abastecimiento de agua de uso urbano y consideración de las entidades suministradoras como sujetos pasivos del canon de mejora de infraestructuras hidráulicas de depuración de interés de la Comunidad Autónoma.</w:t>
      </w:r>
    </w:p>
    <w:p w:rsidR="00A90898" w:rsidRDefault="00A90898" w:rsidP="00A90898">
      <w:pPr>
        <w:pStyle w:val="SntesisAnaltica"/>
      </w:pPr>
    </w:p>
    <w:p w:rsidR="00A90898" w:rsidRDefault="00A90898" w:rsidP="00A90898">
      <w:pPr>
        <w:pStyle w:val="Extracto"/>
      </w:pPr>
      <w:r>
        <w:t>1.</w:t>
      </w:r>
      <w:r>
        <w:tab/>
        <w:t>En ámbitos de competencia autonómica, corresponde a las Comunidades Autónomas especificar las atribuciones de los entes locales ponderando en todo caso el alcance o intensidad de los intereses locales y supralocales implicados (SSTC 61/1997, 51/2004). Ello supone que, en relación con los asuntos de competencia autonómica que atañen a los entes locales, la Comunidad Autónoma puede ejercer en uno u otro sentido su libertad de configuración a la hora de distribuir funciones, pero debe asegurar en todo caso el derecho de la comunidad local a participar a través de órganos propios en el gobierno y administración (STC 32/1981) [FJ 4].</w:t>
      </w:r>
    </w:p>
    <w:p w:rsidR="00A90898" w:rsidRDefault="00A90898" w:rsidP="00A90898">
      <w:pPr>
        <w:pStyle w:val="Extracto"/>
      </w:pPr>
    </w:p>
    <w:p w:rsidR="00A90898" w:rsidRDefault="00A90898" w:rsidP="00A90898">
      <w:pPr>
        <w:pStyle w:val="Extracto"/>
      </w:pPr>
      <w:r>
        <w:t>2.</w:t>
      </w:r>
      <w:r>
        <w:tab/>
        <w:t>La intensidad de la participación de los entes locales en los asuntos que les atañen ha de graduarse en función de los intereses locales y supralocales en  ciertos asuntos o materias, como es el caso, pues la Ley controvertida regula, entre otros aspectos, el establecimiento de un sistema supramunicipal de infraestructuras hidráulicas para atender a los servicios de abastecimiento y depuración de agua (STC 240/2006) [FJ 6].</w:t>
      </w:r>
    </w:p>
    <w:p w:rsidR="00A90898" w:rsidRDefault="00A90898" w:rsidP="00A90898">
      <w:pPr>
        <w:pStyle w:val="Extracto"/>
      </w:pPr>
    </w:p>
    <w:p w:rsidR="00A90898" w:rsidRDefault="00A90898" w:rsidP="00A90898">
      <w:pPr>
        <w:pStyle w:val="Extracto"/>
      </w:pPr>
      <w:r>
        <w:t>3.</w:t>
      </w:r>
      <w:r>
        <w:tab/>
        <w:t>Por autonomía local se entiende el derecho y la capacidad efectiva de las entidades locales de ordenar y gestionar una parte importante de los asuntos públicos, en el marco de la ley, bajo su propia responsabilidad y en beneficio de sus habitantes; 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(SSTC 170/1989, 240/2006) [FJ 4].</w:t>
      </w:r>
    </w:p>
    <w:p w:rsidR="00A90898" w:rsidRDefault="00A90898" w:rsidP="00A90898">
      <w:pPr>
        <w:pStyle w:val="Extracto"/>
      </w:pPr>
    </w:p>
    <w:p w:rsidR="00A90898" w:rsidRDefault="00A90898" w:rsidP="00A90898">
      <w:pPr>
        <w:pStyle w:val="Extracto"/>
      </w:pPr>
      <w:r>
        <w:t>4.</w:t>
      </w:r>
      <w:r>
        <w:tab/>
        <w:t xml:space="preserve">Este Tribunal ha tenido ocasión de delimitar el contenido y la extensión de la autonomía local reconocida en los arts. 137, 140 y 141 CE, configurándose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w:t>
      </w:r>
      <w:r>
        <w:lastRenderedPageBreak/>
        <w:t>existente entre los intereses locales y supralocales dentro de tales asuntos o materias (STC 240/2006) [FJ 3].</w:t>
      </w:r>
    </w:p>
    <w:p w:rsidR="00A90898" w:rsidRDefault="00A90898" w:rsidP="00A90898">
      <w:pPr>
        <w:pStyle w:val="Extracto"/>
      </w:pPr>
    </w:p>
    <w:p w:rsidR="00A90898" w:rsidRDefault="00A90898" w:rsidP="00A90898">
      <w:pPr>
        <w:pStyle w:val="Extracto"/>
      </w:pPr>
      <w:r>
        <w:t>5.</w:t>
      </w:r>
      <w:r>
        <w:tab/>
        <w:t>La autonomía local constitucionalmente garantizada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(STC 40/1998) [FJ 4].</w:t>
      </w:r>
    </w:p>
    <w:p w:rsidR="00A90898" w:rsidRDefault="00A90898" w:rsidP="00A90898">
      <w:pPr>
        <w:pStyle w:val="Extracto"/>
      </w:pPr>
    </w:p>
    <w:p w:rsidR="00A90898" w:rsidRDefault="00A90898" w:rsidP="00A90898">
      <w:pPr>
        <w:pStyle w:val="Extracto"/>
      </w:pPr>
      <w:r>
        <w:t>6.</w:t>
      </w:r>
      <w:r>
        <w:tab/>
        <w:t>La autonomía local permite configuraciones legales diversas debiendo limitarse el juicio de constitucionalidad a comprobar si el legislador ha respetado la garantía institucional de los elementos esenciales o del núcleo primario del autogobierno de los entes locales territoriales, que les hace reconocibles en tanto que dotados de autogobierno (STC 159/2001) [FJ 4].</w:t>
      </w:r>
    </w:p>
    <w:p w:rsidR="00A90898" w:rsidRDefault="00A90898" w:rsidP="00A90898">
      <w:pPr>
        <w:pStyle w:val="Extracto"/>
      </w:pPr>
    </w:p>
    <w:p w:rsidR="00A90898" w:rsidRDefault="00A90898" w:rsidP="00A90898">
      <w:pPr>
        <w:pStyle w:val="Extracto"/>
      </w:pPr>
      <w:r>
        <w:t>7.</w:t>
      </w:r>
      <w:r>
        <w:tab/>
        <w:t>La autonomía financiera local se identifica con la suficiencia financiera por cuanto exige la plena disposición de medios para poder ejercer, sin condicionamientos indebidos y en toda su extensión, las funciones legalmente encomendadas; dicha suficiencia ha de ser garantizada por el Estado, sin perjuicio de la contribución que las Comunidades Autónomas puedan tener en la financiación de las haciendas locales. Éstas, en virtud del art. 142 CE, se nutrirán también de la participación en tributos de las Comunidades Autónomas (STC 48/2004) [FJ 7].</w:t>
      </w:r>
    </w:p>
    <w:p w:rsidR="00A90898" w:rsidRDefault="00A90898" w:rsidP="00A90898">
      <w:pPr>
        <w:pStyle w:val="Extracto"/>
      </w:pPr>
    </w:p>
    <w:p w:rsidR="00A90898" w:rsidRDefault="00A90898" w:rsidP="00A90898">
      <w:pPr>
        <w:pStyle w:val="Extracto"/>
      </w:pPr>
      <w:r>
        <w:t>8.</w:t>
      </w:r>
      <w:r>
        <w:tab/>
        <w:t>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(STC 48/2004). De acuerdo con dicha doctrina, la exclusión de las medidas de fomento para infraestructuras del agua, su mantenimiento y explotación, no pone en cuestión la autonomía financiera de los municipios no integrados en los sistemas supramunicipales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conflicto en defensa de la autonomía local núm. 570-2011 planteado por el Ayuntamiento de Abrucena y otros ciento once municipios contra los arts. 32, 33, 78, 82.2, 91, 92, 93, 94, 95 y 96 de la Ley 9/2010, de 30 de julio, de aguas para Andalucía. Han comparecido y formulado alegaciones los Letrados de la Junta y del Parlamento de Andalucía.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día 28 de enero de 2011, don José Luis Ferrer Recuero, en representación del Ayuntamiento de Abrucena y otros 111 municipios, formalizó conflicto en defensa de la autonomía local contra los arts. 32, 33, 78, 82.2, 91, 92, 93, 94, 95 y 96 de la Ley 9/2010, de 30 de julio, de aguas de Andalucía, con fundamento en las alegaciones que se exponen a continuación.</w:t>
      </w:r>
    </w:p>
    <w:p w:rsidR="00A90898" w:rsidRDefault="00A90898" w:rsidP="00A90898">
      <w:pPr>
        <w:pStyle w:val="TextoNormal"/>
      </w:pPr>
    </w:p>
    <w:p w:rsidR="00A90898" w:rsidRDefault="00A90898" w:rsidP="00A90898">
      <w:pPr>
        <w:pStyle w:val="TextoNormal"/>
      </w:pPr>
      <w:r>
        <w:t>Tras afirmar que los arts. 137, 140 y 141 CE garantizan la autonomía de las corporaciones locales para la gestión de sus propios intereses y señalar que corresponde al Estado establecer los principios generales en materia de régimen local, pasa la demanda a mencionar las competencias municipales que entiende afectadas tal como las mismas se recogen en la normativa andaluza, analizando a continuación las concretas impugnaciones.</w:t>
      </w:r>
    </w:p>
    <w:p w:rsidR="00A90898" w:rsidRDefault="00A90898" w:rsidP="00A90898">
      <w:pPr>
        <w:pStyle w:val="TextoNormal"/>
      </w:pPr>
    </w:p>
    <w:p w:rsidR="00A90898" w:rsidRDefault="00A90898" w:rsidP="00A90898">
      <w:pPr>
        <w:pStyle w:val="TextoNormal"/>
      </w:pPr>
      <w:r>
        <w:t>a) En cuanto a los arts. 32 (sistemas de gestión supramunicipal del agua de uso urbano) y 33 (rendimiento en las redes de abastecimiento), considera la demanda que desconocen que la Ley 5/2010, de 11 de junio, de autonomía local de Andalucía, otorga a los municipios la competencia de “ordenación, gestión, ejecución y disciplina urbanística”, que conlleva la elaboración, tramitación y aprobación de los instrumentos de planeamiento general, de aquellos otros que no afectan a la ordenación estructural, así como la aprobación de los proyectos de actuación en suelo no urbanizable (art. 9.1). Asimismo se señala que, de acuerdo con dicha Ley, corresponde a los municipios la ordenación, gestión, prestación y control del abastecimiento de agua y el saneamiento o recogida de las aguas residuales y pluviales. Estas atribuciones competenciales se adecúan a lo dispuesto en el art. 25.2 d) y 1) de la Ley 7/1985, de 2 de abril, de bases de régimen local (LBRL) y no pueden ser reducidas o limitadas. Sin embargo, el art. 32.4, al establecer como “obligatoria” la gestión por los municipios de los servicios de agua de uso urbano dentro del sistema de gestión supramunicipal, cuando así lo determine la Comunidad Autónoma, hace depender de una resolución administrativa la obligación de gestión del servicio de agua dentro del sistema de gestión supramunicipal e impide a los municipios que no se integren en los sistemas supramunicipales acceder a las ayudas de apoyo para la infraestructuras del agua, vulnerando su autonomía.</w:t>
      </w:r>
    </w:p>
    <w:p w:rsidR="00A90898" w:rsidRDefault="00A90898" w:rsidP="00A90898">
      <w:pPr>
        <w:pStyle w:val="TextoNormal"/>
      </w:pPr>
    </w:p>
    <w:p w:rsidR="00A90898" w:rsidRDefault="00A90898" w:rsidP="00A90898">
      <w:pPr>
        <w:pStyle w:val="TextoNormal"/>
      </w:pPr>
      <w:r>
        <w:t xml:space="preserve">Lo mismo cabría decir de los apartados. 1 y 2 del art. 33, que excluyen a los municipios de las ayudas de la Junta de Andalucía cuando el rendimiento de las redes de abastecimiento sea inferior a los parámetros establecidos reglamentariamente, y les permiten imponer, previa audiencia de los municipios afectados, un plan de actuación de obligado cumplimiento, limitando temporalmente los incrementos de suelo urbanizable o la transformación del suelo </w:t>
      </w:r>
      <w:r>
        <w:lastRenderedPageBreak/>
        <w:t>urbanizable no sectorizado en suelo urbanizable. De lo expuesto derivaría una limitación del crecimiento urbanístico con el consiguiente vaciamiento de la competencia municipal en materia de planeamiento urbanístico, en la medida el plan de actuación viene a imponer, con carácter previo al inicio del expediente de modificación del planeamiento que prevea incrementar el suelo urbanizable, o del correspondiente expediente de plan de sectorización, que se realicen las reparaciones y obras de mejora necesarias sobre las redes de abastecimiento con rendimiento inferior al que se determine.</w:t>
      </w:r>
    </w:p>
    <w:p w:rsidR="00A90898" w:rsidRDefault="00A90898" w:rsidP="00A90898">
      <w:pPr>
        <w:pStyle w:val="TextoNormal"/>
      </w:pPr>
    </w:p>
    <w:p w:rsidR="00A90898" w:rsidRDefault="00A90898" w:rsidP="00A90898">
      <w:pPr>
        <w:pStyle w:val="TextoNormal"/>
      </w:pPr>
      <w:r>
        <w:t>b) Los arts. 91 a 96, reguladores del canon de mejora de infraestructuras hidráulicas de competencia de las entidades locales, que se configura como un tributo local, también conculcan la autonomía constitucionalmente garantizada, dado que sólo al Estado le corresponde establecer y regular los elementos esenciales de los tributos locales, de acuerdo con la doctrina del Tribunal Constitucional (STC 233/1999, FJ 22, entre otras), doctrina confirmada por la STC 31/2010 al enjuiciar el art. 218.2, segundo inciso. La demanda sostiene que la Comunidad Autónoma no puede establecer ni regular, un tributo local, cualquiera que sea su naturaleza o su carácter, invadiendo directamente la autonomía local manifestada en el ejercicio del poder tributario local derivado de la propia Constitución y desarrollado de acuerdo con el texto refundido de la Ley reguladora de las haciendas locales.</w:t>
      </w:r>
    </w:p>
    <w:p w:rsidR="00A90898" w:rsidRDefault="00A90898" w:rsidP="00A90898">
      <w:pPr>
        <w:pStyle w:val="TextoNormal"/>
      </w:pPr>
    </w:p>
    <w:p w:rsidR="00A90898" w:rsidRDefault="00A90898" w:rsidP="00A90898">
      <w:pPr>
        <w:pStyle w:val="TextoNormal"/>
      </w:pPr>
      <w:r>
        <w:t>c) Por último, sobre los arts. 78 y 82.2, reguladores, respectivamente, de la repercusión de los cánones establecidos en la Ley 9/2010 y de los obligados tributarios por el canon de mejora de infraestructuras hidráulicas de depuración de interés de la Comunidad Autónoma, el escrito de interposición señala que, sin poner en duda que la Comunidad Autónoma puede establecer y regular tributos autonómicos en el marco de la Ley Orgánica de financiación de las Comunidades Autónomas (LOFCA), dichos tributos suponen la imposición de cargas de gestión que se trasladan a los municipios a través de la figura del sustituto del contribuyente, lo que va a suponer un importante gasto de gestión que debería ser compensado. Esta falta de compensación contraviene directamente el art. 25 de la Ley 5/2010, de 11 de junio, de autonomía local de Andalucía, e indirectamente menoscaba la autonomía local en cuanto compromete el principio de suficiencia financiera de los entes locales.</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Mediante diligencia de ordenación de 24 de febrero de 2011, se requirió al Procurador para que, de acuerdo con lo preceptuado en el art. 75 </w:t>
      </w:r>
      <w:r w:rsidRPr="00A90898">
        <w:rPr>
          <w:i/>
        </w:rPr>
        <w:t>quater</w:t>
      </w:r>
      <w:r>
        <w:t>.2 de la Ley Orgánica del Tribunal Constitucional (LOTC), aportase, en el plazo de diez días, acreditación del número oficial de municipios existentes en Andalucía, y de la población oficial de Andalucía y de cada uno de los municipios promotores del conflicto. Asimismo se le requirió para que acreditara que los municipios recurrentes habían acordado en su Pleno la promoción del conflicto por mayoría absoluta. Por último, se solicitó que aportara acreditación de la fecha de entrada en el Registro del Consejo Consultivo de Andalucía de la solicitud de dictamen de dicho Consejo realizada por cada municipio promotor del conflicto.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Con fecha 11 de marzo de 2011, el Procurador adjuntó las acreditaciones relativas a dichos extremos. En concreto acreditó que el número oficial de municipios de Andalucía, según el censo del año 2001, es de 770; que, según la explotación estadística del padrón a 1 de enero de 2010, la población oficial de Andalucía es de 8.302.923 habitantes y la de los municipios promotores de 2.473.251 habitantes. Adjuntó las certificaciones solicitadas relativas a los acuerdos adoptados por el Pleno de cada Corporación. Por último, interesó del </w:t>
      </w:r>
      <w:r>
        <w:lastRenderedPageBreak/>
        <w:t>Tribunal Constitucional que librase oficio al Consejo Consultivo de Andalucía para que certificase sobre la fecha de entrada de cada una de las solicitudes del dictamen.</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diligencia de ordenación de 23 de marzo de 2011, se dirigió comunicación al Consejo Consultivo de Andalucía a fin de que remitiese a este Tribunal certificación donde se hiciera constar la fecha de entrada de cada una de las solicitudes de dictamen de los municipios promotores del conflicto que fue cumplimentada por escrito, que tuvo entrada en este Tribunal el 8 de abril de 2011, incluyendo, tanto las fechas de entrada de las solicitudes en el Consejo, como las de presentación en la oficina de correos [art. 38.4 b) y c) de la Ley 30/1992, de 26 de noviembre, de régimen jurídico de las Administraciones públicas y del procedimiento administrativo común].</w:t>
      </w:r>
    </w:p>
    <w:p w:rsidR="00A90898" w:rsidRDefault="00A90898" w:rsidP="00A90898">
      <w:pPr>
        <w:pStyle w:val="TextoNormal"/>
      </w:pPr>
    </w:p>
    <w:p w:rsidR="00A90898" w:rsidRDefault="00A90898" w:rsidP="00A90898">
      <w:pPr>
        <w:pStyle w:val="TextoNormal"/>
      </w:pPr>
      <w:r w:rsidRPr="00A90898">
        <w:rPr>
          <w:rStyle w:val="NumeroAFNegritaCaracter"/>
        </w:rPr>
        <w:t>5</w:t>
      </w:r>
      <w:r>
        <w:t>. Con fecha 1 de abril de 2011, la Secretaría del Pleno del Tribunal solicitó del Ayuntamiento de Málaga certificación de la fecha en que tuvo entrada en ese Ayuntamiento el dictamen núm. 760/2010 de 20 de diciembre de 2010, del Consejo Consultivo de Andalucía. En esta certificación, que tuvo entrada en el Registro General del Tribunal Constitucional el 13 de abril de 2011, se acredita que el dictamen del Consejo Consultivo de Andalucía tuvo entrada el día 29 de diciembre de 2010 en el Gabinete de la Alcaldía y fue registrado con el número de documento 682742-2010.</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Mediante providencia de 9 de abril de 2013 el Pleno acordó admitir a trámite el conflicto en defensa de la autonomía local y conforme dispone el art. 75 </w:t>
      </w:r>
      <w:r w:rsidRPr="00A90898">
        <w:rPr>
          <w:i/>
        </w:rPr>
        <w:t>quinque</w:t>
      </w:r>
      <w:r>
        <w:t>.2 LOTC, dar traslado de la demanda y documentos presentados al Congreso de los Diputados y Senado, así como al Gobierno y al Parlamento de Andalucía, por conducto de sus Presidentes, y al Gobierno de la Nación, por conducto del Ministro de Justicia, para que en el plazo de veinte días, puedan personarse en el proceso y formular las alegaciones que estimen pertinentes. Finalmente se acordó publicar la incoación del conflicto en el “Boletín Oficial del Estado” y en el “Boletín Oficial de la Junta de Andalucía”.</w:t>
      </w:r>
    </w:p>
    <w:p w:rsidR="00A90898" w:rsidRDefault="00A90898" w:rsidP="00A90898">
      <w:pPr>
        <w:pStyle w:val="TextoNormal"/>
      </w:pPr>
    </w:p>
    <w:p w:rsidR="00A90898" w:rsidRDefault="00A90898" w:rsidP="00A90898">
      <w:pPr>
        <w:pStyle w:val="TextoNormal"/>
      </w:pPr>
      <w:r w:rsidRPr="00A90898">
        <w:rPr>
          <w:rStyle w:val="NumeroAFNegritaCaracter"/>
        </w:rPr>
        <w:t>7</w:t>
      </w:r>
      <w:r>
        <w:t>. Mediante escrito registrado el día 19 de abril de 2013, la Abogada del Estado se persona en el proceso a efectos de que se le notifiquen las resoluciones que en su día se dicten.</w:t>
      </w:r>
    </w:p>
    <w:p w:rsidR="00A90898" w:rsidRDefault="00A90898" w:rsidP="00A90898">
      <w:pPr>
        <w:pStyle w:val="TextoNormal"/>
      </w:pPr>
    </w:p>
    <w:p w:rsidR="00A90898" w:rsidRDefault="00A90898" w:rsidP="00A90898">
      <w:pPr>
        <w:pStyle w:val="TextoNormal"/>
      </w:pPr>
      <w:r w:rsidRPr="00A90898">
        <w:rPr>
          <w:rStyle w:val="NumeroAFNegritaCaracter"/>
        </w:rPr>
        <w:t>8</w:t>
      </w:r>
      <w:r>
        <w:t>. Con fecha 24 de abril de 2013 el Presidente del Senado comunicó el acuerdo de la Mesa de la Cámara de personarse en el procedimiento y ofrecer su colaboración a los efectos del art. 88.1 LOTC. Lo mismo hizo el Presidente del Congreso de los Diputados por escrito que tuvo entrada en este Tribunal ese mismo día 24 de abril de 2013.</w:t>
      </w:r>
    </w:p>
    <w:p w:rsidR="00A90898" w:rsidRDefault="00A90898" w:rsidP="00A90898">
      <w:pPr>
        <w:pStyle w:val="TextoNormal"/>
      </w:pPr>
    </w:p>
    <w:p w:rsidR="00A90898" w:rsidRDefault="00A90898" w:rsidP="00A90898">
      <w:pPr>
        <w:pStyle w:val="TextoNormal"/>
      </w:pPr>
      <w:r w:rsidRPr="00A90898">
        <w:rPr>
          <w:rStyle w:val="NumeroAFNegritaCaracter"/>
        </w:rPr>
        <w:t>9</w:t>
      </w:r>
      <w:r>
        <w:t>. La Letrada del Parlamento de Andalucía se personó en el proceso por escrito registrado el día 30 de abril de 2013 solicitando que se completase la documentación remitida al Parlamento de Andalucía y que se le concediera un nuevo plazo para la formulación de alegaciones, plazo que le fue concedido por providencia del Pleno de 13 de mayo de 2013.</w:t>
      </w:r>
    </w:p>
    <w:p w:rsidR="00A90898" w:rsidRDefault="00A90898" w:rsidP="00A90898">
      <w:pPr>
        <w:pStyle w:val="TextoNormal"/>
      </w:pPr>
    </w:p>
    <w:p w:rsidR="00A90898" w:rsidRDefault="00A90898" w:rsidP="00A90898">
      <w:pPr>
        <w:pStyle w:val="TextoNormal"/>
      </w:pPr>
      <w:r w:rsidRPr="00A90898">
        <w:rPr>
          <w:rStyle w:val="NumeroAFNegritaCaracter"/>
        </w:rPr>
        <w:t>10</w:t>
      </w:r>
      <w:r>
        <w:t>. Por escrito registrado el día 17 de mayo de 2013 el Letrado de la Junta de Andalucía formulo sus alegaciones, en las que interesaba la desestimación del conflicto por las razones que, resumidamente, se exponen a continuación.</w:t>
      </w:r>
    </w:p>
    <w:p w:rsidR="00A90898" w:rsidRDefault="00A90898" w:rsidP="00A90898">
      <w:pPr>
        <w:pStyle w:val="TextoNormal"/>
      </w:pPr>
    </w:p>
    <w:p w:rsidR="00A90898" w:rsidRDefault="00A90898" w:rsidP="00A90898">
      <w:pPr>
        <w:pStyle w:val="TextoNormal"/>
      </w:pPr>
      <w:r>
        <w:lastRenderedPageBreak/>
        <w:t>Plantea en primer lugar la inadmisibilidad del conflicto en relación a los arts. 82.2 y 91 a 96 de la Ley 9/2010 por entender que no hay acuerdo de los Plenos de los Ayuntamientos para el planteamiento del conflicto en relación a estos preceptos, sino que su inclusión en la demanda obedece a los Votos particulares que se contienen en el dictamen del Consejo Consultivo. Por tanto, en aplicación del criterio sostenido en el ATC 9/2013, procedería declarar la inadmisibilidad parcial de esta cuestión en relación a los citados preceptos. Igualmente plantea la inadmisión del conflicto respecto de los arts. 32, 33 y 78 de la Ley 9/2010, en cuanto que la demanda se limita a citar los preceptos sin ofrecer los motivos en los que funda la impugnación.</w:t>
      </w:r>
    </w:p>
    <w:p w:rsidR="00A90898" w:rsidRDefault="00A90898" w:rsidP="00A90898">
      <w:pPr>
        <w:pStyle w:val="TextoNormal"/>
      </w:pPr>
    </w:p>
    <w:p w:rsidR="00A90898" w:rsidRDefault="00A90898" w:rsidP="00A90898">
      <w:pPr>
        <w:pStyle w:val="TextoNormal"/>
      </w:pPr>
      <w:r>
        <w:t>Entrando ya en el fondo del asunto planteado, alude al parámetro de enjuiciamiento a aplicar que viene constituido por la autonomía local constitucionalmente garantizada tal como señala la STC 240/2006, para luego excluir la vulneración de dicha autonomía local.</w:t>
      </w:r>
    </w:p>
    <w:p w:rsidR="00A90898" w:rsidRDefault="00A90898" w:rsidP="00A90898">
      <w:pPr>
        <w:pStyle w:val="TextoNormal"/>
      </w:pPr>
    </w:p>
    <w:p w:rsidR="00A90898" w:rsidRDefault="00A90898" w:rsidP="00A90898">
      <w:pPr>
        <w:pStyle w:val="TextoNormal"/>
      </w:pPr>
      <w:r>
        <w:t>Señala al respecto que la cuestión a determinar es si, aun en el ejercicio de una competencia propia por parte de la Comunidad Autónoma, se ha producido ese menoscabo o lesión de la autonomía local constitucionalmente garantizada. Esa vulneración se residencia en “la aplicación de un canon a que obliga la Junta de Andalucía para financiar obras de depuración de competencia autonómica”. Añaden que “este nuevo sistema de facturación dependerá del consumo y del número de miembros censados en cada vivienda, lo que requerirá una gran carga de trabajo administrativo por parte de los ayuntamientos y de las empresas suministradoras que incluso tendrán que modificar los actuales programas informáticos de facturación”. Finalmente, en relación con este aspecto, aducen que “el canon de mejora de infraestructuras hidráulicas de depuración de interés de la Comunidad Autónoma es un tributo autonómico que, sin embargo a partir de ahora, van a exigir y recaudar los Ayuntamientos andaluces, sin que tengan ningún margen de decisión sobre el mismo y sin que tampoco se prevea simultáneamente la dotación de recursos económicos para hacer frente a las nuevas cargas financieras que han de asumir”.</w:t>
      </w:r>
    </w:p>
    <w:p w:rsidR="00A90898" w:rsidRDefault="00A90898" w:rsidP="00A90898">
      <w:pPr>
        <w:pStyle w:val="TextoNormal"/>
      </w:pPr>
    </w:p>
    <w:p w:rsidR="00A90898" w:rsidRDefault="00A90898" w:rsidP="00A90898">
      <w:pPr>
        <w:pStyle w:val="TextoNormal"/>
      </w:pPr>
      <w:r>
        <w:t xml:space="preserve">El Letrado de la Junta de Andalucía señala que para apreciar el fondo de la cuestión lo que debemos plantearnos es si los artículos impugnados afectan a la garantía institucional recogida en los arts. 137, 140 y 141 CE. En cuanto a los arts. 78 y 82.2 el reproche que se les formula deriva de que impondrían obligaciones de recaudación sin compensación alguna contraviniendo el art. 25 de la Ley de autonomía local de Andalucía. Sin embargo, con la regulación del canon autonómico del agua lo que se hace es establecer un sujeto pasivo en calidad de sustituto del contribuyente en los términos de la Ley general tributaria. Es decir que no estamos en una relación jurídico publica entre dos entes, por la que el ente autonómico encomienda funciones que ha de sufragar de algún modo, sino en una relación entre Administración tributaria y obligado tributario, tal como ya manifestó el dictamen del Consejo Consultivo de Andalucía. En cuanto a las alegaciones sobre los arts. 91 a 96 la creación de un tributo local en modo alguno puede afectar a la autonomía local, en cuanto que no menoscaba ni afecta su competencia pues gozaría de las mismas competencias tributarias pero ahora respecto de una figura más. Con la peculiaridad además de que la aplicación de dicho tributo depende de la voluntad del Ayuntamiento pues lo que se prevé en los preceptos citados es que los Ayuntamientos puedan solicitar su establecimiento a la Comunidad Autónoma. En realidad bajo la apariencia de una impugnación en protección de la autonomía </w:t>
      </w:r>
      <w:r>
        <w:lastRenderedPageBreak/>
        <w:t>local, lo que tal motivo esconde es una impugnación basada en la supuesta inconstitucionalidad de las normas citadas por causas distintas de la violación de la garantía institucional de la autonomía local.</w:t>
      </w:r>
    </w:p>
    <w:p w:rsidR="00A90898" w:rsidRDefault="00A90898" w:rsidP="00A90898">
      <w:pPr>
        <w:pStyle w:val="TextoNormal"/>
      </w:pPr>
    </w:p>
    <w:p w:rsidR="00A90898" w:rsidRDefault="00A90898" w:rsidP="00A90898">
      <w:pPr>
        <w:pStyle w:val="TextoNormal"/>
      </w:pPr>
      <w:r>
        <w:t>Sobre el reproche referido a que los arts. 32.4 y 33.1 excluyen de las subvenciones destinadas a la financiación de infraestructuras en materia de aguas a quienes excedan un determinado porcentaje de pérdidas en su red de abastecimiento, el Letrado de la Junta recuerda que la Administración tiene reconocida la potestad de fijar discrecionalmente las condiciones de acceso a la subvención que convoca. Se trata de un objetivo legítimo para la consecución de un fin que se encuentra dentro de su círculo de competencia y que en nada afecta a la autonomía local. En todo caso, de existir esa vulneración, se encontraría en la orden de convocatoria de las correspondientes subvenciones. Otro tanto cabe decir de la exclusión de las subvenciones en la materia, cuando se haya determinado por el Gobierno la existencia de razones técnicas, económicas o ambientales para la constitución de un ente supramunicipal de gestión y este no se constituya.</w:t>
      </w:r>
    </w:p>
    <w:p w:rsidR="00A90898" w:rsidRDefault="00A90898" w:rsidP="00A90898">
      <w:pPr>
        <w:pStyle w:val="TextoNormal"/>
      </w:pPr>
    </w:p>
    <w:p w:rsidR="00A90898" w:rsidRDefault="00A90898" w:rsidP="00A90898">
      <w:pPr>
        <w:pStyle w:val="TextoNormal"/>
      </w:pPr>
      <w:r>
        <w:t>En cuanto al reproche acerca de la supuesta vulneración de las competencias autonómicas en materia de urbanismo, señala que en la demanda no se razona en qué modo se supone que se ha producido la supuesta vulneración de la autonomía local. En todo caso niega que el art. 33.2 imponga, con carácter previo al inicio del expediente de modificación del planeamiento que prevea incrementar el suelo urbanizable, o del correspondiente expediente de plan de sectorización, que se realicen las reparaciones y obras de mejora necesarias sobre las redes de abastecimiento con rendimiento inferior al que se determine. En ningún momento se impide que el Ayuntamiento inicie el expediente o proceda a la aprobación inicial de los planes correspondientes, cuestión distinta es que las competencias urbanísticas están sometidas en su ejercicio a la normativa sectorial aplicable, en este caso las normas de ordenación territorial y de planificación hidrológica.</w:t>
      </w:r>
    </w:p>
    <w:p w:rsidR="00A90898" w:rsidRDefault="00A90898" w:rsidP="00A90898">
      <w:pPr>
        <w:pStyle w:val="TextoNormal"/>
      </w:pPr>
    </w:p>
    <w:p w:rsidR="00A90898" w:rsidRDefault="00A90898" w:rsidP="00A90898">
      <w:pPr>
        <w:pStyle w:val="TextoNormal"/>
      </w:pPr>
      <w:r w:rsidRPr="00A90898">
        <w:rPr>
          <w:rStyle w:val="NumeroAFNegritaCaracter"/>
        </w:rPr>
        <w:t>11</w:t>
      </w:r>
      <w:r>
        <w:t>. Por escrito registrado el día 17 de junio de 2013 la Letrada del Parlamento de Andalucía formuló las alegaciones que se resumen a continuación.</w:t>
      </w:r>
    </w:p>
    <w:p w:rsidR="00A90898" w:rsidRDefault="00A90898" w:rsidP="00A90898">
      <w:pPr>
        <w:pStyle w:val="TextoNormal"/>
      </w:pPr>
    </w:p>
    <w:p w:rsidR="00A90898" w:rsidRDefault="00A90898" w:rsidP="00A90898">
      <w:pPr>
        <w:pStyle w:val="TextoNormal"/>
      </w:pPr>
      <w:r>
        <w:t>Señala en primer lugar que el objeto del conflicto ha de quedar circunscrito a los arts. 32, 33, 78, 82.2, 91, 92, 93, 94, 95 y 96 de la Ley 9/2010, de 30 de julio, de aguas de Andalucía, para luego considerar que el conflicto es extemporáneo, pues los recurrentes se limitan a afirmar en su escrito que se plantea en el plazo de un mes a partir de la recepción del dictamen del Consejo Consultivo, pero no acreditan cual es la fecha en la que este dictamen ha sido recibido en cada uno de los Ayuntamientos. Dado que el dictamen del Consejo Consultivo se emitió el día 20 de diciembre de 2010 y el conflicto no se plantea hasta el día 28 de enero de 2011, resulta necesario que los recurrentes acrediten el cumplimiento de este requisito y, de no hacerlo, debe inadmitirse por extemporáneo.</w:t>
      </w:r>
    </w:p>
    <w:p w:rsidR="00A90898" w:rsidRDefault="00A90898" w:rsidP="00A90898">
      <w:pPr>
        <w:pStyle w:val="TextoNormal"/>
      </w:pPr>
    </w:p>
    <w:p w:rsidR="00A90898" w:rsidRDefault="00A90898" w:rsidP="00A90898">
      <w:pPr>
        <w:pStyle w:val="TextoNormal"/>
      </w:pPr>
      <w:r>
        <w:t xml:space="preserve">Igualmente plantea la inadmisión del conflicto por falta de legitimación y por incumplimiento de los requisitos establecidos en el art. 75 </w:t>
      </w:r>
      <w:r w:rsidRPr="00A90898">
        <w:rPr>
          <w:i/>
        </w:rPr>
        <w:t>ter</w:t>
      </w:r>
      <w:r>
        <w:t xml:space="preserve">.2 y 3 LOTC. Señala en este sentido que el acuerdo adoptado para el ejercicio de la acción procesal debe tener un determinado contenido, que permita garantizar que son precisamente los sujetos legitimados y no sus representantes procesales los que deciden el alcance y objeto del concreto proceso constitucional. De ello se desprende que el correspondiente acuerdo plenario deberá precisar, no sólo los preceptos que desea impugnar, sino también los motivos o razones en los que se </w:t>
      </w:r>
      <w:r>
        <w:lastRenderedPageBreak/>
        <w:t>fundamenta la vulneración de la autonomía local, ya que en otro caso el órgano consultivo difícilmente podrá emitir su dictamen. En definitiva, no resulta posible que la concreción de estos preceptos se deje en manos de representantes legales o procesales, o que se sometan al Tribunal Constitucional pretensiones anulatorias o motivos de impugnación que no hayan sido fijados previamente por mayoría absoluta del número legal de miembros del órgano plenario de la corporación local y sobre los que no haya podido pronunciarse el Consejo Consultivo, en su dictamen previo. En este caso se constata que la voluntad de impugnar en los acuerdos plenarios se formula en términos genéricos y no se expresan los preceptos que quieren recurrir. Esa indeterminación afecta también al dictamen del Consejo consultivo “que prácticamente se ve obligado a construir el conflicto tratando de indagar cual es la verdadera voluntad de los municipios que lo promueven. Por esta razón concurre la falta de legitimación con respecto a todos los municipios y por ello el conflicto debe ser inadmitido a trámite”.</w:t>
      </w:r>
    </w:p>
    <w:p w:rsidR="00A90898" w:rsidRDefault="00A90898" w:rsidP="00A90898">
      <w:pPr>
        <w:pStyle w:val="TextoNormal"/>
      </w:pPr>
    </w:p>
    <w:p w:rsidR="00A90898" w:rsidRDefault="00A90898" w:rsidP="00A90898">
      <w:pPr>
        <w:pStyle w:val="TextoNormal"/>
      </w:pPr>
      <w:r>
        <w:t>Subsidiariamente la Letrada del Parlamento de Andalucía reclama la inadmisión del conflicto en lo que respecta al art. 34, apartados 1, 2 ,3 y párrafo primero del apartado 4, así como de los arts. 91 a 96, por falta de legitimación para recurrirlos. El contenido de estos preceptos y los motivos de su impugnación se citan por primera vez en el Voto particular formulado al dictamen del Consejo Consultivo por dos de sus miembros, y cuyo contenido literal es el que se reproduce en las alegaciones del escrito de formalización del conflicto ante el Tribunal Constitucional, sin que en los acuerdos de los Ayuntamientos ni en el dictamen del Consejo Consultivo se aluda a estas cuestiones.</w:t>
      </w:r>
    </w:p>
    <w:p w:rsidR="00A90898" w:rsidRDefault="00A90898" w:rsidP="00A90898">
      <w:pPr>
        <w:pStyle w:val="TextoNormal"/>
      </w:pPr>
    </w:p>
    <w:p w:rsidR="00A90898" w:rsidRDefault="00A90898" w:rsidP="00A90898">
      <w:pPr>
        <w:pStyle w:val="TextoNormal"/>
      </w:pPr>
      <w:r>
        <w:t>En cuanto a la constitucionalidad de los arts. 32 y 33 de la Ley 9/2010, señala que el canon de constitucionalidad de la ley impugnada es la autonomía local constitucionalmente garantizada, no la regulada o garantizada en las leyes infraconstitucionales que no pueden ser utilizados como normas de contraste en el enjuiciamiento de los preceptos impugnados. En definitiva, el canon de constitucionalidad hay que buscarlo exclusivamente en la doctrina del Tribunal Constitucional que fija el contenido de la garantía institucional de la autonomía local y en los arts. 137, 140 y 141 CE, ya que aquellos extremos de la legislación infraconstitucional que operan como canon de validez de la ley impugnada, lo hacen, no porque el legislador tenga capacidad para fijar el contenido de la autonomía local constitucionalmente garantizada, sino porque están enraizados de forma directa en los citados preceptos constitucionales y porque son una exteriorización o manifestación de ésta. Recuerda la doctrina constitucional sobre el contenido y la extensión de la autonomía local, con cita de la STC 240/2006 para pasar a analizar la impugnación del art. 32 de la Ley 9/2010.</w:t>
      </w:r>
    </w:p>
    <w:p w:rsidR="00A90898" w:rsidRDefault="00A90898" w:rsidP="00A90898">
      <w:pPr>
        <w:pStyle w:val="TextoNormal"/>
      </w:pPr>
    </w:p>
    <w:p w:rsidR="00A90898" w:rsidRDefault="00A90898" w:rsidP="00A90898">
      <w:pPr>
        <w:pStyle w:val="TextoNormal"/>
      </w:pPr>
      <w:r>
        <w:t xml:space="preserve">Indica que la razón de la impugnación de este precepto se encuentra en la imposición de la obligación a los municipios a gestionar los servicios del agua dentro del sistema de gestión supramunicipal del agua de uso urbano cuando resulte necesario por razones técnicas, económicas o ambientales y así se establezca en resolución motivada de la Consejería competente en materia de agua, lo que afecta únicamente al párrafo primero del apartado 4 de este precepto. Señala que lo que los recurrentes parecen cuestionar es que la competencia para apreciar la concurrencia de estos motivos y para establecer esta obligación se atribuya a la Consejería competente en materia de agua, esto es, a la Administración de la Junta de Andalucía. Precisa además, que frente a lo sostenido por los recurrentes, la delimitación del contenido y alcance de las competencias municipales en materia de abastecimiento de agua no se produce a través de una resolución administrativa, sino directamente por la ley. Por </w:t>
      </w:r>
      <w:r>
        <w:lastRenderedPageBreak/>
        <w:t>ello, la función que se atribuye a la consejería es una función meramente ejecutiva, consistente en comprobar si la realidad fáctica se puede subsumir en el supuesto de hecho contemplado en la norma y, si ello es así, aplicar las consecuencias jurídicas previstas en ella, mediante resolución motivada y previa audiencia de los Ayuntamientos afectados. Resalta que el hecho de que el abastecimiento y depuración de agua sea una materia sobre la que los municipios de Andalucía tienen reconocidas competencias propias no implica que en este ámbito material o funcional todas las competencias ejecutivas correspondan a los municipios, pues, en todo caso, se trata de una materia compartida con la Comunidad Autónoma, que no puede ser entendida como la delimitación de un sector de la realidad sobre el que la Comunidad Autónoma sólo puede ejercer competencias legislativas, sino como la garantía de un ámbito material y funcional en el que el que el legislador sectorial necesariamente debe atribuir competencias a los municipios. Tras hacer referencia al resto de las disposiciones de la Ley 9/2010 que regulan los sistemas de gestión supramunicipal del agua de uso urbano, concluye que la norma es respetuosa de la autonomía local, pues no elimina la participación de los Ayuntamientos en el ámbito material de la ordenación y prestación de los servicios de abastecimiento de agua y tratamiento de aguas residuales y se refiere a una cuestión que excede de los intereses estrictamente locales y que, dadas las características de las actuaciones e infraestructuras que se comprenden en estas fases de abastecimiento en alta y depuración de aguas residuales, es necesario valorar razones técnicas, económicas o ambientales que exceden del ámbito estrictamente local.</w:t>
      </w:r>
    </w:p>
    <w:p w:rsidR="00A90898" w:rsidRDefault="00A90898" w:rsidP="00A90898">
      <w:pPr>
        <w:pStyle w:val="TextoNormal"/>
      </w:pPr>
    </w:p>
    <w:p w:rsidR="00A90898" w:rsidRDefault="00A90898" w:rsidP="00A90898">
      <w:pPr>
        <w:pStyle w:val="TextoNormal"/>
      </w:pPr>
      <w:r>
        <w:t>Sobre el art. 33 de la Ley 9/2010 señala que en el escrito de interposición solamente se argumenta respecto al apartado 2. Los recurrentes consideran que este precepto vacía de contenido la competencia de los municipios para iniciar y tramitar la innovación urbanística, ya que, con carácter previo a la iniciación del procedimiento de modificación o aprobación de los correspondientes planes de ordenación urbanística, impone que se realicen las reparaciones y obras de mejora necesarias sobre las redes de abastecimiento de agua con rendimiento deficitario. Sin embargo, la norma impugnada se limita a establecer una medida tuitiva de los recursos hídricos, conectando y coordinando los crecimientos urbanos con la existencia de una red de abastecimiento de agua sin fugas y en correctas condiciones de funcionamiento, capaz de absorber los incrementos de población y de garantizar la utilización racional del agua. Atendiendo al contenido del precepto, se comprueba que no lleva a cabo una ordenación o delimitación de los usos del suelo, y que no suplanta a los Ayuntamientos en el ejercicio de sus competencias urbanísticas, las cuales no pueden entenderse en términos tan absolutos que excluyan el ejercicio de otras competencias que la Comunidad Autónoma tenga atribuidas por el propio Estatuto de Autonomía, cuando las mismas puedan incidir sobre el urbanismo.</w:t>
      </w:r>
    </w:p>
    <w:p w:rsidR="00A90898" w:rsidRDefault="00A90898" w:rsidP="00A90898">
      <w:pPr>
        <w:pStyle w:val="TextoNormal"/>
      </w:pPr>
    </w:p>
    <w:p w:rsidR="00A90898" w:rsidRDefault="00A90898" w:rsidP="00A90898">
      <w:pPr>
        <w:pStyle w:val="TextoNormal"/>
      </w:pPr>
      <w:r>
        <w:t xml:space="preserve">Tras reiterar la inadmisibilidad del conflicto respecto a los arts. 91 a 96 de la Ley 9/2010, la Letrada del Parlamento de Andalucía resalta que la demanda no parece cuestionar la creación del tributo, de modo que, subsidiariamente, responde a lo que considera que son los dos argumentos que se contienen en la demanda: la falta de competencia de la Comunidad Autónoma para crear y regular los tributos locales, ya que esta competencia corresponde al Estado, y segundo, que el canon de mejora de infraestructuras hidráulicas competencia de la entidades locales es un tributo local, que, como cualquier otra tasa o contribución especial, sólo puede ser exigido y regulado libremente por las corporaciones locales en el marco de lo dispuesto en la Ley reguladora de las haciendas locales. Con respecto a lo primero, indica que el canon que se cuestiona no es un tributo local y que, en todo caso, este motivo </w:t>
      </w:r>
      <w:r>
        <w:lastRenderedPageBreak/>
        <w:t>de impugnación queda fuera del ámbito del presente proceso constitucional ya que afecta exclusivamente a la articulación de las competencias del Estado y de la Comunidad Autónoma. En cuanto al segundo argumento, indica que el canon al que se refieren los artículos recurridos no es un tributo local sino un impuesto propio de la Comunidad Autónoma, sin que los recurrentes expongan la mínima razón por la que consideran que se trata de un tributo local. Tampoco se habrían superado los límites del poder tributario otorgado a la Comunidad Autónoma, vulnerando con ello la autonomía local, pues su hecho imponible no coincide con ninguno de los tributos locales.</w:t>
      </w:r>
    </w:p>
    <w:p w:rsidR="00A90898" w:rsidRDefault="00A90898" w:rsidP="00A90898">
      <w:pPr>
        <w:pStyle w:val="TextoNormal"/>
      </w:pPr>
    </w:p>
    <w:p w:rsidR="00A90898" w:rsidRDefault="00A90898" w:rsidP="00A90898">
      <w:pPr>
        <w:pStyle w:val="TextoNormal"/>
      </w:pPr>
      <w:r>
        <w:t>Finalmente, la Letrada del Parlamento de Andalucía alude a los arts. 78 y 82.2, los cuales, al configurar a las entidades suministradoras —en el canon de mejora de infraestructuras hidráulicas de interés de la Comunidad Autónoma— como sujetos pasivos sustitutos del contribuyente con la obligación de repercutir a éste el importe del tributo, estarían imponiendo a las entidades locales (cuando éstas sean entidades suministradoras) un importantísimo gasto de gestión que debe ser compensado. Tanto el sujeto pasivo sustituto del contribuyente como el obligado a repercutir son obligados tributarios contemplados y regulados expresamente en los arts. 35.2 b) y j), 36.3 y 38.1 de la Ley general tributaria. Se trata, por tanto, de elementos subjetivos del tributo que el legislador autonómico puede establecer legítimamente al regular sus impuestos. De la regulación que se acaba de exponer resulta también que las actuaciones que tengan que realizar las entidades locales o los supuestos gastos que, en su caso, tengan que afrontar, son una mera consecuencia del cumplimiento de las obligaciones tributarias formales, resultantes de la posición que ocupan en la relación jurídico tributaria, sin que con ello se afecte a la suficiencia financiera de las haciendas locales, afectación que, en todo caso, no aparece mínimamente fundamentada.</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20 de septiembre de 2016, se señaló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proceso constitucional debe resolver el conflicto en defensa de la autonomía local planteado por el Ayuntamiento de Abrucena y otros 111 municipios, contra los arts. 32, 33, 78, 82.2, 91, 92, 93, 94, 95 y 96 de la Ley 9/2010, de 30 de julio, de aguas de Andalucía.</w:t>
      </w:r>
    </w:p>
    <w:p w:rsidR="00A90898" w:rsidRDefault="00A90898" w:rsidP="00A90898">
      <w:pPr>
        <w:pStyle w:val="TextoNormal"/>
      </w:pPr>
    </w:p>
    <w:p w:rsidR="00A90898" w:rsidRDefault="00A90898" w:rsidP="00A90898">
      <w:pPr>
        <w:pStyle w:val="TextoNormal"/>
      </w:pPr>
      <w:r>
        <w:t>Durante la pendencia del presente proceso, la Ley 9/2010 ha sido modificada en varias ocasiones, modificaciones que no han afectado a los preceptos objeto del conflicto en defensa de la autonomía local, que subsiste en los términos en los que fue planteado.</w:t>
      </w:r>
    </w:p>
    <w:p w:rsidR="00A90898" w:rsidRDefault="00A90898" w:rsidP="00A90898">
      <w:pPr>
        <w:pStyle w:val="TextoNormal"/>
      </w:pPr>
    </w:p>
    <w:p w:rsidR="00A90898" w:rsidRDefault="00A90898" w:rsidP="00A90898">
      <w:pPr>
        <w:pStyle w:val="TextoNormal"/>
      </w:pPr>
      <w:r>
        <w:t xml:space="preserve">Procede recordar el marco legal que afecta al presente conflicto, ya que se plantea en relación con determinados preceptos de una norma que, según su exposición de motivos, “se elabora y aprueba cuando todavía es muy reciente la asunción por parte de la Comunidad Autónoma de Andalucía de la gestión de la parte andaluza de la cuenca del Guadalquivir en ejecución de lo previsto por el Estatuto de Autonomía para Andalucía. Con esa asunción, se han ampliado las competencias exclusivas de la Administración Autonómica a una gran parte del territorio andaluz, lo que tiene su reflejo en el ámbito de aplicación de la Ley y en la división en demarcaciones hidrográficas que aparece en la misma. En relación con la </w:t>
      </w:r>
      <w:r>
        <w:lastRenderedPageBreak/>
        <w:t>cuenca del río Guadalquivir, y de conformidad con lo dispuesto en el art. 51 del Estatuto de Autonomía para Andalucía (EAAnd), ello se entiende sin perjuicio de las competencias del Estado sobre la planificación general del ciclo hidrológico, las normas básicas sobre protección del medio ambiente, las obras públicas hidráulicas de interés general y de lo previsto en el artículo 149.1.22 de la Constitución”. En consecuencia, de acuerdo con ello, los arts. 2 y 3 de la Ley andaluza incluyeron en su ámbito de aplicación “las aguas de la Cuenca del Guadalquivir que transcurren por su territorio y no afectan a otra Comunidad Autónoma”, de conformidad con lo previsto por el art. 51 EAAnd, y con el traspaso llevado a cabo mediante el Real Decreto 1666/2008, de 17 de octubre. Sin embargo, la STC 30/2011, de 16 de marzo, declaró inconstitucional y nulo el citado art. 51 EAAnd y, en el mes de junio del mismo año 2011, el Tribunal Supremo anuló el Real Decreto 1666/2008. Finalmente, se dictó el Real Decreto 1498/2011, de 21 de octubre, por el que, en ejecución de sentencia, se integran en la Administración del Estado los medios personales y materiales traspasados a la Comunidad Autónoma de Andalucía por el Real Decreto 1666/2008.</w:t>
      </w:r>
    </w:p>
    <w:p w:rsidR="00A90898" w:rsidRDefault="00A90898" w:rsidP="00A90898">
      <w:pPr>
        <w:pStyle w:val="TextoNormal"/>
      </w:pPr>
    </w:p>
    <w:p w:rsidR="00A90898" w:rsidRDefault="00A90898" w:rsidP="00A90898">
      <w:pPr>
        <w:pStyle w:val="TextoNormal"/>
      </w:pPr>
      <w:r>
        <w:t>Lo anteriormente expuesto no afecta a la legitimación de los municipios promotores de este conflicto en la medida en que lo que cuestionan es una regulación concreta de la ley relacionada con la forma de prestación del servicio de abastecimiento de agua a poblaciones. Regulación que entienden lesiva de su autonomía local constitucionalmente garantizada y que no se ha visto afectada por las decisiones antes reseñadas.</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entrar en el fondo del asunto ha de analizarse si se cumplen los requisitos formales para la admisión a trámite de un proceso de este tipo, en particular, la acreditación de que los municipios recurrentes habían acordado en su Pleno la promoción del conflicto por mayoría absoluta, así como lo relativo a la fecha de entrada en el Registro del Consejo Consultivo de Andalucía de la solicitud de dictamen de dicho Consejo realizada por cada municipio promotor del conflicto y, finalmente, la fecha de recepción de dicho dictamen, extremos todos ellos, respecto a los que, como se ha expuesto en los antecedentes, se requirió su aclaración.</w:t>
      </w:r>
    </w:p>
    <w:p w:rsidR="00A90898" w:rsidRDefault="00A90898" w:rsidP="00A90898">
      <w:pPr>
        <w:pStyle w:val="TextoNormal"/>
      </w:pPr>
    </w:p>
    <w:p w:rsidR="00A90898" w:rsidRDefault="00A90898" w:rsidP="00A90898">
      <w:pPr>
        <w:pStyle w:val="TextoNormal"/>
      </w:pPr>
      <w:r>
        <w:t>A la vista de la documentación presentada, se alcanzan las siguientes conclusiones:</w:t>
      </w:r>
    </w:p>
    <w:p w:rsidR="00A90898" w:rsidRDefault="00A90898" w:rsidP="00A90898">
      <w:pPr>
        <w:pStyle w:val="TextoNormal"/>
      </w:pPr>
    </w:p>
    <w:p w:rsidR="00A90898" w:rsidRDefault="00A90898" w:rsidP="00A90898">
      <w:pPr>
        <w:pStyle w:val="TextoNormal"/>
      </w:pPr>
      <w:r>
        <w:t>a) El requisito del art. 75.</w:t>
      </w:r>
      <w:r w:rsidRPr="00A90898">
        <w:rPr>
          <w:i/>
        </w:rPr>
        <w:t>ter</w:t>
      </w:r>
      <w:r>
        <w:t>.2 de la Ley Orgánica del Tribunal Constitucional (LOTC) ha sido acreditado satisfactoriamente por todos los municipios, con excepción del de Guadalcanal, donde consta que el acuerdo del Pleno se adoptó con el voto de calidad del Alcalde, sin que el escrito de subsanación de 11 de marzo de 2011 adjuntara la certificación del Secretario del citado Ayuntamiento sobre si el acuerdo se adoptó con la mayoría absoluta del número legal de sus miembros. Debemos, por ello, concluir que el municipio de Guadalcanal no ha satisfecho los requisitos exigidos para ser promotor de este conflicto en defensa de la autonomía local.</w:t>
      </w:r>
    </w:p>
    <w:p w:rsidR="00A90898" w:rsidRDefault="00A90898" w:rsidP="00A90898">
      <w:pPr>
        <w:pStyle w:val="TextoNormal"/>
      </w:pPr>
    </w:p>
    <w:p w:rsidR="00A90898" w:rsidRDefault="00A90898" w:rsidP="00A90898">
      <w:pPr>
        <w:pStyle w:val="TextoNormal"/>
      </w:pPr>
      <w:r>
        <w:t>b) A los efectos del cumplimiento de los requisitos establecidos en los arts. 75.</w:t>
      </w:r>
      <w:r w:rsidRPr="00A90898">
        <w:rPr>
          <w:i/>
        </w:rPr>
        <w:t>ter</w:t>
      </w:r>
      <w:r>
        <w:t xml:space="preserve">.3 y 75 </w:t>
      </w:r>
      <w:r w:rsidRPr="00A90898">
        <w:rPr>
          <w:i/>
        </w:rPr>
        <w:t>quater</w:t>
      </w:r>
      <w:r>
        <w:t xml:space="preserve">.l LOTC, debe tenerse en cuenta que, aunque en la demanda no se acredita que los municipios promotores hubieran solicitado el dictamen del Consejo Consultivo de Andalucía en el plazo de tres meses contados desde el día siguiente a la publicación de la Ley, consta en la certificación remitida por ese órgano a este Tribunal que todos los municipios, salvo el de Almuñecar, han presentado en plazo la solicitud de dictamen, esto es, con la </w:t>
      </w:r>
      <w:r>
        <w:lastRenderedPageBreak/>
        <w:t>fecha límite del día 10 de noviembre de 2010. En efecto, el municipio de Almuñecar presentó la solicitud de dictamen ante el propio Consejo con fecha 14 de diciembre de 2010, sin que se hubiera presentado dicha solicitud ni en otro registro público [art. 34.4 b) de la Ley 30/1992] ni en el servicio de Correos [art. 34.4 c) de la Ley 30/1992]. Por tanto, el municipio de Almuñecar ha incumplido uno de los requisitos de orden formal exigidos para ser promotor del conflicto.</w:t>
      </w:r>
    </w:p>
    <w:p w:rsidR="00A90898" w:rsidRDefault="00A90898" w:rsidP="00A90898">
      <w:pPr>
        <w:pStyle w:val="TextoNormal"/>
      </w:pPr>
    </w:p>
    <w:p w:rsidR="00A90898" w:rsidRDefault="00A90898" w:rsidP="00A90898">
      <w:pPr>
        <w:pStyle w:val="TextoNormal"/>
      </w:pPr>
      <w:r>
        <w:t xml:space="preserve">c) A los efectos de lo establecido en el art. 75 </w:t>
      </w:r>
      <w:r w:rsidRPr="00A90898">
        <w:rPr>
          <w:i/>
        </w:rPr>
        <w:t>quater</w:t>
      </w:r>
      <w:r>
        <w:t>. 2 LOTC, tras la acreditación de que el dictamen del Consejo Consultivo tuvo entrada en el Ayuntamiento de Málaga el 29 de diciembre de 2010, y puesto que el conflicto se registró en el Tribunal Constitucional el día 28 de enero de 2011, cabe concluir que éste se ha interpuesto dentro del plazo del mes legalmente previsto, de acuerdo con la doctrina del Tribunal (STC 48/2003, de 12 de marzo, FJ 2).</w:t>
      </w:r>
    </w:p>
    <w:p w:rsidR="00A90898" w:rsidRDefault="00A90898" w:rsidP="00A90898">
      <w:pPr>
        <w:pStyle w:val="TextoNormal"/>
      </w:pPr>
    </w:p>
    <w:p w:rsidR="00A90898" w:rsidRDefault="00A90898" w:rsidP="00A90898">
      <w:pPr>
        <w:pStyle w:val="TextoNormal"/>
      </w:pPr>
      <w:r>
        <w:t xml:space="preserve">d) El conflicto se promueve por el municipio de Abrucena y otros 111 municipios. Teniendo en cuenta la legitimación exigida por el art. 75 </w:t>
      </w:r>
      <w:r w:rsidRPr="00A90898">
        <w:rPr>
          <w:i/>
        </w:rPr>
        <w:t>ter</w:t>
      </w:r>
      <w:r>
        <w:t>.1 b) LOTC, tendría que haberse planteado por, al menos, 110 municipios, que constituyen la séptima parte de los 770 municipios con que cuenta Andalucía, debiendo su población ascender al menos a 1.383.821 habitantes, la sexta parte de los 8.302.922 de habitantes de la Comunidad Autónoma. Como quiera que, como se anticipó, dos de los municipios promotores —Guadalcanal y Almuñecar— no satisfacen las exigencias de procedibilidad de la Ley Orgánica del Tribunal Constitucional, son 110 los municipios que han planteado el conflicto. A pesar de ello suponen, exactamente, un séptimo de los municipios del ámbito territorial de aplicación de la Ley impugnada, y representan más de un sexto de la población de Andalucía, pues, descontando de la población de los 112 municipios impugnantes —2.473.251 habitantes— la población de Guadalcanal y Almuñecar —2.962 y 27.703 habitantes, respectivamente— se alcanza una población de 2.442.486 habitantes.</w:t>
      </w:r>
    </w:p>
    <w:p w:rsidR="00A90898" w:rsidRDefault="00A90898" w:rsidP="00A90898">
      <w:pPr>
        <w:pStyle w:val="TextoNormal"/>
      </w:pPr>
    </w:p>
    <w:p w:rsidR="00A90898" w:rsidRDefault="00A90898" w:rsidP="00A90898">
      <w:pPr>
        <w:pStyle w:val="TextoNormal"/>
      </w:pPr>
      <w:r>
        <w:t>En conclusión, el conflicto en defensa de autonomía local planteado por 110 municipios de Andalucía satisface los requisitos de orden formal exigidos por la Ley Orgánica del Tribunal Constitucional para su admisión a trámite en lo relativo a los sujetos legitimados para interponer el conflicto, solicitud previa del dictamen del Consejo Consultivo de Andalucía y plazos de interposición.</w:t>
      </w:r>
    </w:p>
    <w:p w:rsidR="00A90898" w:rsidRDefault="00A90898" w:rsidP="00A90898">
      <w:pPr>
        <w:pStyle w:val="TextoNormal"/>
      </w:pPr>
    </w:p>
    <w:p w:rsidR="00A90898" w:rsidRDefault="00A90898" w:rsidP="00A90898">
      <w:pPr>
        <w:pStyle w:val="TextoNormal"/>
      </w:pPr>
      <w:r w:rsidRPr="00A90898">
        <w:rPr>
          <w:rStyle w:val="NumeroAFNegritaCaracter"/>
        </w:rPr>
        <w:t>3</w:t>
      </w:r>
      <w:r>
        <w:t>. Además, deben examinarse los óbices de índole procesal puestos de relieve por los Letrados de la Junta y del Parlamento de Andalucía y que deben ser sucesivamente despejados a fin de permitir el estudio del fondo del asunto.</w:t>
      </w:r>
    </w:p>
    <w:p w:rsidR="00A90898" w:rsidRDefault="00A90898" w:rsidP="00A90898">
      <w:pPr>
        <w:pStyle w:val="TextoNormal"/>
      </w:pPr>
    </w:p>
    <w:p w:rsidR="00A90898" w:rsidRDefault="00A90898" w:rsidP="00A90898">
      <w:pPr>
        <w:pStyle w:val="TextoNormal"/>
      </w:pPr>
      <w:r>
        <w:t>Uno de ellos, el de extemporaneidad formulado por la Letrada del Parlamento de Andalucía, ya ha quedado descartado en el fundamento jurídico anterior, por lo que analizaremos los restantes. Esa misma Letrada plantea que los necesarios acuerdos plenarios de los promotores del conflicto no concretan los preceptos que luego se controvierten, por lo que el conflicto planteado debería ser inadmitido. Subsidiariamente, solicita la inadmisión parcial en lo relativo a los arts. 32, apartados 1, 2, 3 y párrafo primero del apartado 4, así como de los arts. 91 a 96. De modo similar, el Letrado de la Junta de Andalucía pide la inadmisión del conflicto en lo que afecta a los arts. 82 y 91 a 96, por no contemplarse su impugnación en los acuerdos plenarios, y la de los arts. 32, 33 y 78, por falta de argumentación que sostenga la impugnación.</w:t>
      </w:r>
    </w:p>
    <w:p w:rsidR="00A90898" w:rsidRDefault="00A90898" w:rsidP="00A90898">
      <w:pPr>
        <w:pStyle w:val="TextoNormal"/>
      </w:pPr>
    </w:p>
    <w:p w:rsidR="00A90898" w:rsidRDefault="00A90898" w:rsidP="00A90898">
      <w:pPr>
        <w:pStyle w:val="TextoNormal"/>
      </w:pPr>
      <w:r>
        <w:t>La inadmisión de la totalidad del conflicto que solicita la Letrada del Parlamento de Andalucía, fundada en que los acuerdos plenarios de los municipios promotores no concretan el alcance y objeto de este proceso constitucional, no puede ser atendida. En efecto, sin perjuicio de lo que inmediatamente se dirá sobre la congruencia entre el contenido de la solicitud de dictamen y la correspondiente demanda, debemos entender aplicable al conflicto en defensa de la autonomía local la doctrina de la STC 236/2015, de 19 de noviembre, FJ 2. Allí, ante la denuncia de que el previo acuerdo impugnatorio de los Diputados que interponían un recurso de inconstitucionalidad no especificaba por sí mismo los concretos preceptos que se recurrían, sino que su determinación se dejaba al escrito de recurso, este Tribunal apreció que dicha petición “no diferencia dos planos netamente diferenciables, como son la legitimación para el ejercicio del recurso de inconstitucionalidad y la motivación del escrito por el que se inicia el proceso constitucional correspondiente” añadiendo que “dado que, según nuestra Ley Orgánica, el conjunto de Diputados que concurren en la voluntad impugnatoria deben necesariamente actuar en el proceso representados, en concreto por el miembro o miembros que designen o por un comisionado nombrado al efecto (art. 82.1 LOTC), será a ese miembro o miembros o a ese comisionado a quien le corresponderá por tanto formular el escrito que inicie el proceso constitucional, escrito que nuestra Ley Orgánica exige que sea ‘fundado’ y que en él se fije ‘con precisión y claridad lo que se pida’ (art. 85.1 LOTC)”. En ese mismo sentido, la STC 230/2015, de 5 de noviembre, FJ 2, resalta que “Nunca hemos exigido que la expresión de la voluntad impugnatoria descienda hasta los concretos preceptos objeto del recurso, ni a los argumentos que han de servirle de sustento”, pues eso supondría un rigorismo formal excesivo del que debemos huir, porque podría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 (STC 47/2005, de 3 de marzo, FJ 3)”. A la misma conclusión nos lleva la doctrina de la STC 92/2015, de 14 de mayo, FJ 2, sentada con ocasión de un conflicto en defensa de la autonomía local, en la que apreciamos que en los correspondientes acuerdos plenarios “se exponen, acaso sin demasiada precisión conceptual y terminológica, las razones en virtud de las cuales los diferentes municipios consideran contraria a la autonomía municipal constitucionalmente protegida tanto la Ley del Parlamento de Cantabria 2/2004, de aprobación del plan de ordenación del litoral, como algunos de sus contenidos normativos, en particular las referencias a las actuaciones integrales estratégicas y a los proyectos singulares de interés regional, referencias que incluyen, lógicamente, el tratamiento dispensado a estos instrumentos de planeamiento supramunicipal por la disposición adicional cuarta de la Ley recurrida. Siendo ello así y en aras de la salvaguarda del principio de proporcionalidad en la interpretación de los requisitos legales que disciplinan el acceso de los entes locales al conflicto en defensa de la autonomía local, no procede acoger esta causa de inadmisión”.</w:t>
      </w:r>
    </w:p>
    <w:p w:rsidR="00A90898" w:rsidRDefault="00A90898" w:rsidP="00A90898">
      <w:pPr>
        <w:pStyle w:val="TextoNormal"/>
      </w:pPr>
    </w:p>
    <w:p w:rsidR="00A90898" w:rsidRDefault="00A90898" w:rsidP="00A90898">
      <w:pPr>
        <w:pStyle w:val="TextoNormal"/>
      </w:pPr>
      <w:r>
        <w:t>Por tanto, en aplicación de los anteriores criterios, debemos considerar acreditada, en tiempo y forma, la manifestación de voluntad de recurrir por parte de los municipios promotores del presente conflicto.</w:t>
      </w:r>
    </w:p>
    <w:p w:rsidR="00A90898" w:rsidRDefault="00A90898" w:rsidP="00A90898">
      <w:pPr>
        <w:pStyle w:val="TextoNormal"/>
      </w:pPr>
    </w:p>
    <w:p w:rsidR="00A90898" w:rsidRDefault="00A90898" w:rsidP="00A90898">
      <w:pPr>
        <w:pStyle w:val="TextoNormal"/>
      </w:pPr>
      <w:r>
        <w:t xml:space="preserve">Cuestión distinta es la del cumplimiento de los requisitos formales exigibles para la correcta plasmación de dicha voluntad impugnatoria. En ese sentido hay que prestar ahora </w:t>
      </w:r>
      <w:r>
        <w:lastRenderedPageBreak/>
        <w:t>atención a una cuestión de orden formal, aun cuando no haya sido directamente planteada en los óbices que se han expuesto, ya que los requisitos procesales son de orden público, no se hallan a disposición de las partes y por ello pueden ser apreciados de oficio por el Tribunal.</w:t>
      </w:r>
    </w:p>
    <w:p w:rsidR="00A90898" w:rsidRDefault="00A90898" w:rsidP="00A90898">
      <w:pPr>
        <w:pStyle w:val="TextoNormal"/>
      </w:pPr>
    </w:p>
    <w:p w:rsidR="00A90898" w:rsidRDefault="00A90898" w:rsidP="00A90898">
      <w:pPr>
        <w:pStyle w:val="TextoNormal"/>
      </w:pPr>
      <w:r>
        <w:t xml:space="preserve">Nos referimos a la falta de la necesaria correlación entre los preceptos que se someten a dictamen del Consejo Consultivo de Andalucía y aquellos sobre los que se plantea finalmente el conflicto en defensa de la autonomía local. La congruencia entre ambos aspectos no está a disposición de las partes del proceso y su cumplimiento riguroso sirve precisamente para que los sujetos legitimados tengan a su disposición los elementos de juicio necesarios para formular su voluntad impugnatoria. Por esta razón no es posible incluir en el escrito de promoción del conflicto pretensiones sobre las que, por tanto, no pudo pronunciarse el dictamen del correspondiente órgano consultivo en cumplimiento del art. 75 </w:t>
      </w:r>
      <w:r w:rsidRPr="00A90898">
        <w:rPr>
          <w:i/>
        </w:rPr>
        <w:t>ter</w:t>
      </w:r>
      <w:r>
        <w:t>.3 LOTC (así, en el ATC 9/2013, de 15 de enero, FJ 3). En ese sentido se aprecia que en el escrito que los municipios promotores del conflicto dirigen al Consejo Consultivo de Andalucía, recogido en el propio dictamen, no se formula queja alguna sobre el denominado canon de mejora de las infraestructuras hidráulicas de competencia de los entes locales, mientras que la demanda, siguiendo en este punto el voto particular que se formula al citado dictamen, lo impugna en la totalidad de su regulación contenida en los arts. 91 a 96 de la Ley 9/2010.</w:t>
      </w:r>
    </w:p>
    <w:p w:rsidR="00A90898" w:rsidRDefault="00A90898" w:rsidP="00A90898">
      <w:pPr>
        <w:pStyle w:val="TextoNormal"/>
      </w:pPr>
    </w:p>
    <w:p w:rsidR="00A90898" w:rsidRDefault="00A90898" w:rsidP="00A90898">
      <w:pPr>
        <w:pStyle w:val="TextoNormal"/>
      </w:pPr>
      <w:r>
        <w:t>Consecuentemente, se debe excluir de nuestro examen la eventual vulneración de la autonomía local constitucionalmente garantizada que en el escrito promotor se vincula a los arts. 91 a 96 de la Ley 9/2010.</w:t>
      </w:r>
    </w:p>
    <w:p w:rsidR="00A90898" w:rsidRDefault="00A90898" w:rsidP="00A90898">
      <w:pPr>
        <w:pStyle w:val="TextoNormal"/>
      </w:pPr>
    </w:p>
    <w:p w:rsidR="00A90898" w:rsidRDefault="00A90898" w:rsidP="00A90898">
      <w:pPr>
        <w:pStyle w:val="TextoNormal"/>
      </w:pPr>
      <w:r>
        <w:t>En cuanto a los art. 32 y 33, es claro que la concordancia requerida a la que nos venimos refiriendo sólo se satisface respecto de sus apartados 4 y 1, respectivamente, los únicos que figuran, aun de modo disperso, en el escrito de solicitud de dictamen, que se pronuncia expresamente sobre ellos.</w:t>
      </w:r>
    </w:p>
    <w:p w:rsidR="00A90898" w:rsidRDefault="00A90898" w:rsidP="00A90898">
      <w:pPr>
        <w:pStyle w:val="TextoNormal"/>
      </w:pPr>
    </w:p>
    <w:p w:rsidR="00A90898" w:rsidRDefault="00A90898" w:rsidP="00A90898">
      <w:pPr>
        <w:pStyle w:val="TextoNormal"/>
      </w:pPr>
      <w:r>
        <w:t>Debe ser inadmitida la impugnación del art. 78 pues en el mencionado escrito de solicitud de dictamen sólo hay una referencia a este precepto, especificándose la queja de que a través del mismo “se pretende que sean los Ayuntamientos los responsables de la recaudación ante los ciudadanos”. Lo cierto es que este precepto no contiene alusión o referencia alguna a su recaudación por los Ayuntamientos, sin que el escrito de interposición tampoco aporte ninguna precisión al respecto, incumpliendo así la carga de ofrecer los motivos en los que fundan su pretensión. Debe admitirse la impugnación del art. 82.2, pues, aun cuando no se menciona expresamente, sí lo hacen las quejas que se le formulan, sin que dicha falta de mención haya impedido al Consejo Consultivo pronunciarse al respecto.</w:t>
      </w:r>
    </w:p>
    <w:p w:rsidR="00A90898" w:rsidRDefault="00A90898" w:rsidP="00A90898">
      <w:pPr>
        <w:pStyle w:val="TextoNormal"/>
      </w:pPr>
    </w:p>
    <w:p w:rsidR="00A90898" w:rsidRDefault="00A90898" w:rsidP="00A90898">
      <w:pPr>
        <w:pStyle w:val="TextoNormal"/>
      </w:pPr>
      <w:r>
        <w:t>De acuerdo con todo lo razonado, la impugnación de los arts. 78, 91, 92, 93, 94, 95 y 96 de la Ley 9/2010 no satisface las exigencias de admisibilidad. Por el contrario, no puede apreciarse que el conflicto planteado carezca de argumentación en lo que respecta a los arts. 32.4, 33.1 y 82.2, pues, aunque de modo escueto, los municipios promotores del conflicto han argumentado los vicios que se les atribuyen.</w:t>
      </w:r>
    </w:p>
    <w:p w:rsidR="00A90898" w:rsidRDefault="00A90898" w:rsidP="00A90898">
      <w:pPr>
        <w:pStyle w:val="TextoNormal"/>
      </w:pPr>
    </w:p>
    <w:p w:rsidR="00A90898" w:rsidRDefault="00A90898" w:rsidP="00A90898">
      <w:pPr>
        <w:pStyle w:val="TextoNormal"/>
      </w:pPr>
      <w:r>
        <w:t>Por lo expuesto, el objeto del presente conflicto ha de quedar limitado a los arts. 32.4, 33.1 y 82.2 de la Ley 9/2010.</w:t>
      </w:r>
    </w:p>
    <w:p w:rsidR="00A90898" w:rsidRDefault="00A90898" w:rsidP="00A90898">
      <w:pPr>
        <w:pStyle w:val="TextoNormal"/>
      </w:pPr>
    </w:p>
    <w:p w:rsidR="00A90898" w:rsidRDefault="00A90898" w:rsidP="00A90898">
      <w:pPr>
        <w:pStyle w:val="TextoNormal"/>
      </w:pPr>
      <w:r w:rsidRPr="00A90898">
        <w:rPr>
          <w:rStyle w:val="NumeroAFNegritaCaracter"/>
        </w:rPr>
        <w:t>4</w:t>
      </w:r>
      <w:r>
        <w:t>. Delimitado así el objeto del proceso, hemos de exponer ahora el canon de enjuiciamiento que debemos aplicar para resolverlo (por todos, STC 132/2014, de 22 de julio, FJ 5).</w:t>
      </w:r>
    </w:p>
    <w:p w:rsidR="00A90898" w:rsidRDefault="00A90898" w:rsidP="00A90898">
      <w:pPr>
        <w:pStyle w:val="TextoNormal"/>
      </w:pPr>
    </w:p>
    <w:p w:rsidR="00A90898" w:rsidRDefault="00A90898" w:rsidP="00A90898">
      <w:pPr>
        <w:pStyle w:val="TextoNormal"/>
      </w:pPr>
      <w:r>
        <w:t>Para ello hemos de partir de la consideración de que este proceso constitucional versa exclusivamente sobre la defensa de la autonomía local garantizada por la Constitución, de suerte que, como recuerda la STC 95/2014, de 12 de junio, FJ 5, “el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 Este Tribunal ha tenido ocasión de delimitar el contenido y la extensión de la autonomía local reconocida en los arts. 137, 140 y 141 CE, entre otras, en STC 240/2006, FJ 8, según la cual,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FJ 4), (STC 40/1998, de 19 de febrero, FJ 39). Tal como declaró la STC 159/2001, de 5 de julio, FJ 5, se trata de una noción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 … 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(STC 240/2006, de 20 de julio, FJ 8, con cita, entre otras, de la STC 170/1989, de 19 de octubre, FJ 9).</w:t>
      </w:r>
    </w:p>
    <w:p w:rsidR="00A90898" w:rsidRDefault="00A90898" w:rsidP="00A90898">
      <w:pPr>
        <w:pStyle w:val="TextoNormal"/>
      </w:pPr>
    </w:p>
    <w:p w:rsidR="00A90898" w:rsidRDefault="00A90898" w:rsidP="00A90898">
      <w:pPr>
        <w:pStyle w:val="TextoNormal"/>
      </w:pPr>
      <w:r>
        <w:t xml:space="preserve">La doctrina sobre las competencias locales la resume la STC 154/2015, de 9 de julio, FJ 6 a). Partiendo de que la Constitución no precisa las que corresponden a los entes locales (STC 32/1981, de 28 de julio, FJ 3), señala que “no obstante, el art. 137 CE delimita en alguna medida el ámbito de los diversos “poderes autónomos” al circunscribirlo a la “gestión de sus respectivos intereses”, lo que “exige que se dote a cada ente de todas las competencias propias y exclusivas que sean necesarias para satisfacer el interés respectivo” (STC 4/1981, de 2 de febrero, FJ 3). El legislador básico estatal ha establecido criterios generales [arts. 2.1, 25.2, 26 y 36 de la Ley reguladora de las bases de régimen local (LBRL)] sin descender a la fijación detallada de las competencias locales (STC 214/1989, de 21 de diciembre, FJ 3). Consecuentemente, en ámbitos de competencia autonómica, corresponde a las Comunidades Autónomas especificar las atribuciones de los entes locales ajustándose a esos criterios y ponderando en todo caso el alcance o intensidad de los intereses locales y </w:t>
      </w:r>
      <w:r>
        <w:lastRenderedPageBreak/>
        <w:t>supralocales implicados [SSTC 61/1997, de 20 de marzo, FJ 25 b); 40/1998, de 19 de febrero, FJ 39; 159/2001, de 5 de julio, FJ 12, y 51/2004, de 13 de abril, FJ 9]. Ello implica que, en relación con los asuntos de competencia autonómica que atañen a los entes locales, la Comunidad Autónoma puede ejercer en uno u otro sentido su libertad de configuración a la hora de distribuir funciones, pero debe asegurar en todo caso el “derecho de la comunidad local a participar a través de órganos propios en el gobierno y administración” (STC 32/1981, FJ 4).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w:t>
      </w:r>
    </w:p>
    <w:p w:rsidR="00A90898" w:rsidRDefault="00A90898" w:rsidP="00A90898">
      <w:pPr>
        <w:pStyle w:val="TextoNormal"/>
      </w:pPr>
    </w:p>
    <w:p w:rsidR="00A90898" w:rsidRDefault="00A90898" w:rsidP="00A90898">
      <w:pPr>
        <w:pStyle w:val="TextoNormal"/>
      </w:pPr>
      <w:r>
        <w:t>La autonomía local constitucionalmente garantizada se configura, según nuestra doctrina,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(STC 40/1998, de 19 de febrero, FJ 39). La autonomía local permite configuraciones legales diversas debiendo limitarse el juicio de constitucionalidad a comprobar si el legislador ha respetado la garantía institucional de los elementos esenciales o del núcleo primario del autogobierno de los entes locales territoriales, que les hace reconocibles en tanto que dotados de autogobierno (por todas, STC 159/2001, de 5 de julio, FJ 4). La STC 41/2016, de 3 de marzo, FJ 11 b), lo recuerda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w:t>
      </w:r>
    </w:p>
    <w:p w:rsidR="00A90898" w:rsidRDefault="00A90898" w:rsidP="00A90898">
      <w:pPr>
        <w:pStyle w:val="TextoNormal"/>
      </w:pPr>
    </w:p>
    <w:p w:rsidR="00A90898" w:rsidRDefault="00A90898" w:rsidP="00A90898">
      <w:pPr>
        <w:pStyle w:val="TextoNormal"/>
      </w:pPr>
      <w:r w:rsidRPr="00A90898">
        <w:rPr>
          <w:rStyle w:val="NumeroAFNegritaCaracter"/>
        </w:rPr>
        <w:t>5</w:t>
      </w:r>
      <w:r>
        <w:t>. Partiendo de tales premisas deben analizarse los preceptos impugnados, comenzando por el art. 32.4 de la Ley 9/2010, según el cual:</w:t>
      </w:r>
    </w:p>
    <w:p w:rsidR="00A90898" w:rsidRDefault="00A90898" w:rsidP="00A90898">
      <w:pPr>
        <w:pStyle w:val="TextoNormal"/>
      </w:pPr>
    </w:p>
    <w:p w:rsidR="00A90898" w:rsidRDefault="00A90898" w:rsidP="00A90898">
      <w:pPr>
        <w:pStyle w:val="TextoNormal"/>
      </w:pPr>
      <w:r>
        <w:t>“Será obligatoria la gestión de los servicios del agua por los municipios dentro del sistema de gestión supramunicipal del agua de uso urbano, cuando resulte necesario por razones técnicas, económicas o ambientales y así se establezca mediante resolución motivada de la persona titular de la Consejería competente en materia de agua, previa audiencia a los municipios interesados.</w:t>
      </w:r>
    </w:p>
    <w:p w:rsidR="00A90898" w:rsidRDefault="00A90898" w:rsidP="00A90898">
      <w:pPr>
        <w:pStyle w:val="TextoNormal"/>
      </w:pPr>
    </w:p>
    <w:p w:rsidR="00A90898" w:rsidRDefault="00A90898" w:rsidP="00A90898">
      <w:pPr>
        <w:pStyle w:val="TextoNormal"/>
      </w:pPr>
      <w:r>
        <w:t>En el supuesto de que una entidad local disponga de derechos de captación de aguas que sirvan para el abastecimiento de dos o más municipios, deberá obligatoriamente prestarse dicho servicio de abastecimiento dentro de un sistema de gestión supramunicipal, en la forma establecida por esta Ley, de manera que se garantice el abastecimiento en condiciones de igualdad para todos los usuarios incluidos en el ámbito territorial de dicho sistema.</w:t>
      </w:r>
    </w:p>
    <w:p w:rsidR="00A90898" w:rsidRDefault="00A90898" w:rsidP="00A90898">
      <w:pPr>
        <w:pStyle w:val="TextoNormal"/>
      </w:pPr>
    </w:p>
    <w:p w:rsidR="00A90898" w:rsidRDefault="00A90898" w:rsidP="00A90898">
      <w:pPr>
        <w:pStyle w:val="TextoNormal"/>
      </w:pPr>
      <w:r>
        <w:lastRenderedPageBreak/>
        <w:t>La falta de integración de los entes locales en los sistemas supramunicipales de gestión del agua de uso urbano, de acuerdo con lo establecido en este apartado, conllevará la imposibilidad para dichos entes de acceder a las medidas de fomento y auxilio económico para infraestructuras del agua, su mantenimiento y explotación, que se establezcan por la Administración Autonómica.”</w:t>
      </w:r>
    </w:p>
    <w:p w:rsidR="00A90898" w:rsidRDefault="00A90898" w:rsidP="00A90898">
      <w:pPr>
        <w:pStyle w:val="TextoNormal"/>
      </w:pPr>
    </w:p>
    <w:p w:rsidR="00A90898" w:rsidRDefault="00A90898" w:rsidP="00A90898">
      <w:pPr>
        <w:pStyle w:val="TextoNormal"/>
      </w:pPr>
      <w:r>
        <w:t>Lo cuestionado por la representación procesal de los municipios promotores del conflicto son los párrafos primero y tercero del precepto que se ha transcrito. Respecto al primero se cuestiona que se condiciona el ejercicio de una competencia local a lo que disponga una resolución administrativa; sobre el tercero, se afirma que se penaliza a los entes locales que no se integren en el sistema de gestión supramunicipal.</w:t>
      </w:r>
    </w:p>
    <w:p w:rsidR="00A90898" w:rsidRDefault="00A90898" w:rsidP="00A90898">
      <w:pPr>
        <w:pStyle w:val="TextoNormal"/>
      </w:pPr>
    </w:p>
    <w:p w:rsidR="00A90898" w:rsidRDefault="00A90898" w:rsidP="00A90898">
      <w:pPr>
        <w:pStyle w:val="TextoNormal"/>
      </w:pPr>
      <w:r>
        <w:t xml:space="preserve">En el examen de esta cuestión, se debe partir de que corresponde al legislador autonómico regular las competencias propias municipales en este ámbito, pues “en materias de competencia autonómica, solo las Comunidades Autónomas pueden atribuir competencias locales o prohibir que el nivel local las desarrolle, sujetándose en todo caso a las exigencias derivadas de la Constitución (singularmente, arts. 103.1, 135, 137 y 141 CE), las bases del régimen local </w:t>
      </w:r>
      <w:r w:rsidRPr="00A90898">
        <w:rPr>
          <w:i/>
        </w:rPr>
        <w:t>ex</w:t>
      </w:r>
      <w:r>
        <w:t xml:space="preserve"> art. 149.1.18 CE y, en su caso, los Estatutos de Autonomía” (STC 41/2016, FJ 9).</w:t>
      </w:r>
    </w:p>
    <w:p w:rsidR="00A90898" w:rsidRDefault="00A90898" w:rsidP="00A90898">
      <w:pPr>
        <w:pStyle w:val="TextoNormal"/>
      </w:pPr>
    </w:p>
    <w:p w:rsidR="00A90898" w:rsidRDefault="00A90898" w:rsidP="00A90898">
      <w:pPr>
        <w:pStyle w:val="TextoNormal"/>
      </w:pPr>
      <w:r>
        <w:t xml:space="preserve">El art. 92.2 d) del Estatuto de Andalucía prevé que los Ayuntamientos tienen competencias propias “en los términos que determinen las leyes” sobre “la ordenación y prestación de los siguientes servicios básicos: abastecimiento de agua y tratamiento de aguas residuales”. Además, el art. 25.2 c) LBRL dispone que el municipio ejercerá, en todo caso, competencias propias en los términos de la legislación del Estado y de las Comunidades Autónomas respecto del “Abastecimiento de agua potable a domicilio y evacuación y tratamiento de aguas residuales”. Igualmente, conforme al art. 26.1 LBRL, los municipios deben prestar los servicios de “abastecimiento domiciliario de agua potable” y “alcantarillado”, lo que significa que “están directamente habilitados (y obligados) a prestar servicios determinados que recaen sobre materias de competencia autonómica. De hecho, de acuerdo con el art. 18.1 g) LBRL (y con la consolidada doctrina del Tribunal Supremo), esta obligación impuesta al municipio por el Estado funciona directamente, sin necesidad de ulterior legislación autonómica, como un derecho subjetivo correlativo que permite al vecino impugnar el presupuesto municipal que no prevea el gasto necesario y, en general, exigir judicialmente el establecimiento del servicio” (STC 41/2016, FJ 9). Esa reserva derivada del art. 26.1 LBRL es absoluta en el sentido de que es obligatoria para todo tipo de municipios, independientemente del tamaño y situación financiera de éstos. Al respecto, el art. 26.2 LBRL dispone que en los municipios con población inferior a 20.000 habitantes será la Diputación provincial o entidad equivalente la que coordinará la prestación de, entre otros, los servicios de abastecimiento de agua potable a domicilio y evacuación y tratamiento de aguas residuales. Precepto respecto del que la STC 111/2016, de 9 de junio, ha descartado que ponga en riesgo la autonomía local constitucionalmente garantizada [FJ 12 d)] “habida cuenta de que el precepto asigna al municipio la posibilidad de oponerse a cualquiera de esas técnicas y, por tanto, también a las que pudieran limitar más fuertemente su autonomía. Conforme al art. 26.2 LBRL, la puesta en marcha de las fórmulas de gestión que planifica la provincia depende, precisamente, de la autonomía municipal. El criterio determinante no es el económico, tampoco la decisión de otras Administraciones públicas; es la voluntad municipal misma. El municipio puede dar o no su conformidad a un plan que condicionará el modo en </w:t>
      </w:r>
      <w:r>
        <w:lastRenderedPageBreak/>
        <w:t>que ha de gestionar sus servicios”. Advirtiendo más adelante que “No puede excluirse en abstracto que los planes provinciales que sean aprobados al amparo de la norma legal de referencia, eventualmente, puedan diseñar mecanismos disuasorios de tal intensidad que solo formalmente preserven los márgenes de autonomía municipal que asegura el art. 26.2 LBRL. Pero, en tal caso, el problema que tal circunstancia pudiera plantear para la autonomía municipal constitucionalmente garantizada (arts. 137 y 140 CE) afectaría estrictamente, no al impugnado art. 26.2 LBRL, sino a los planes que hubieran desvirtuado materialmente la exigencia de ‘conformidad’ que este impone”.</w:t>
      </w:r>
    </w:p>
    <w:p w:rsidR="00A90898" w:rsidRDefault="00A90898" w:rsidP="00A90898">
      <w:pPr>
        <w:pStyle w:val="TextoNormal"/>
      </w:pPr>
    </w:p>
    <w:p w:rsidR="00A90898" w:rsidRDefault="00A90898" w:rsidP="00A90898">
      <w:pPr>
        <w:pStyle w:val="TextoNormal"/>
      </w:pPr>
      <w:r>
        <w:t>La misma STC 111/2016 se ha pronunciado [FJ 12 c)] respecto al párrafo segundo del art. 36.2 a) LBRL, que dispone: “Cuando la Diputación detecte que los costes efectivos de los servicios prestados por los municipios son superiores a los de los servicios coordinados o prestados por ella, incluirá en el plan provincial fórmulas de prestación unificada o supramunicipal para reducir sus costes efectivos”, indicando que “atribuye a la provincia una potestad de cuyo ejercicio pueden resultar decisiones de obligado cumplimiento para los municipios de su ámbito territorial con relación a la gestión de los servicios de su titularidad”. Posibilidad que se admite señalando que “perfila algunos aspectos del poder de coordinación provincial a la vez que trata de proteger intereses supramunicipales”, como eran, en la lógica del precepto, los vinculados a “la eficiencia en el uso de los recursos públicos y la estabilidad presupuestaria (arts. 31.2 y 135 CE)”, advirtiendo también que existían tres modalidades de intervención municipal ya que, en primer lugar, “la coordinación tiene por objeto, naturalmente, competencias de titularidad municipal”, en segundo lugar “los municipios de la provincia ‘deben participar’ específicamente en la elaboración del plan provincial y, por tanto, en el diseño mismo de las fórmulas de coordinación [art. 36.2 a) LBRL]” y, en tercer lugar, esa participación se produce “a través de los concejales municipales que forman parte de la diputación (arts. 202 a 209 LOREG), los ayuntamientos intervienen de algún modo, no solo en la elaboración del plan de cooperación, sino también en la aplicación y desarrollo de las facultades de coordinación”. Por esas razones la STC 111/2016 concluye que “es una previsión básica que, en cuanto tal, no pretende ni puede pretender agotar la regulación de la materia. Se refiere a una submateria —competencias locales— en la que las Comunidades Autónomas disponen de amplios márgenes de desarrollo y en la que, en todo caso, concurren regulaciones sectoriales [STC 41/2016, FJ 7 c)]. Bajo esta perspectiva, la ausencia de precisión característica de la previsión impugnada no resulta en sí problemática desde la perspectiva de la autonomía municipal (arts. 137 y 140 CE). En este sentido, puede entenderse que, en ausencia de indicaciones básicas más precisas en torno al alcance de las facultades de coordinación de la diputación provincial, la legislación autonómica sobre régimen local o las regulaciones sectoriales hayan de concretarlas”. Con arreglo a lo anterior se concluye que “la previsión impugnada debe interpretarse, por tanto, en el sentido de que precisa de complementos normativos que, en todo caso, deben dejar márgenes de participación a los municipios”.</w:t>
      </w:r>
    </w:p>
    <w:p w:rsidR="00A90898" w:rsidRDefault="00A90898" w:rsidP="00A90898">
      <w:pPr>
        <w:pStyle w:val="TextoNormal"/>
      </w:pPr>
    </w:p>
    <w:p w:rsidR="00A90898" w:rsidRDefault="00A90898" w:rsidP="00A90898">
      <w:pPr>
        <w:pStyle w:val="TextoNormal"/>
      </w:pPr>
      <w:r>
        <w:t xml:space="preserve">En concordancia con dichos preceptos básicos, el apartado 1 del art. 13 de la Ley 9/2010 incluye como competencias de los municipios, los servicios de abastecimiento en alta y en baja, y de saneamiento y depuración, servicios que, conforme a lo establecido en el apartado 3 de este mismo precepto, podrán ser prestados directamente o a través las diputaciones provinciales y los entes supramunicipales, lo que implica la articulación de una colaboración vertical para la prestación de servicios públicos locales coherente con el carácter obligatorio del servicio a prestar. Ese carácter obligatorio explica la llamada bien a la colaboración </w:t>
      </w:r>
      <w:r>
        <w:lastRenderedPageBreak/>
        <w:t>intermunicipal como fórmula de prestación de servicios obligatorios, bien a una de las actividades típicas de las diputaciones enmarcable en la función de “asistencia y cooperación jurídica, económica y técnica a los municipios, especialmente los de menor capacidad económica y de gestión”, prevista como base del régimen local en el art. 36.1 b) LBRL.</w:t>
      </w:r>
    </w:p>
    <w:p w:rsidR="00A90898" w:rsidRDefault="00A90898" w:rsidP="00A90898">
      <w:pPr>
        <w:pStyle w:val="TextoNormal"/>
      </w:pPr>
    </w:p>
    <w:p w:rsidR="00A90898" w:rsidRDefault="00A90898" w:rsidP="00A90898">
      <w:pPr>
        <w:pStyle w:val="TextoNormal"/>
      </w:pPr>
      <w:r w:rsidRPr="00A90898">
        <w:rPr>
          <w:rStyle w:val="NumeroAFNegritaCaracter"/>
        </w:rPr>
        <w:t>6</w:t>
      </w:r>
      <w:r>
        <w:t>. Atendiendo a cuanto llevamos expuesto, debemos valorar si el precepto que se examina vulnera la garantía constitucional de la autonomía municipal en los aspectos denunciados por los recurrentes, el condicionamiento del ejercicio de una competencia local a lo que disponga una resolución administrativa que se imputa al primer párrafo del art. 32.4 y la penalización a los entes locales que no se integren en el sistema de gestión supramunicipal que derivaría del párrafo tercero del mismo precepto.</w:t>
      </w:r>
    </w:p>
    <w:p w:rsidR="00A90898" w:rsidRDefault="00A90898" w:rsidP="00A90898">
      <w:pPr>
        <w:pStyle w:val="TextoNormal"/>
      </w:pPr>
    </w:p>
    <w:p w:rsidR="00A90898" w:rsidRDefault="00A90898" w:rsidP="00A90898">
      <w:pPr>
        <w:pStyle w:val="TextoNormal"/>
      </w:pPr>
      <w:r>
        <w:t>Así, en cuanto a la primera queja, corresponde determinar: i) si hay intereses supralocales que justifiquen que la Comunidad Autónoma haya dictado esta regulación; ii) si el legislador autonómico ha ponderado los intereses municipales afectados; y iii)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w:t>
      </w:r>
    </w:p>
    <w:p w:rsidR="00A90898" w:rsidRDefault="00A90898" w:rsidP="00A90898">
      <w:pPr>
        <w:pStyle w:val="TextoNormal"/>
      </w:pPr>
    </w:p>
    <w:p w:rsidR="00A90898" w:rsidRDefault="00A90898" w:rsidP="00A90898">
      <w:pPr>
        <w:pStyle w:val="TextoNormal"/>
      </w:pPr>
      <w:r>
        <w:t>i) En cuanto a lo primero, las razones a las que alude el precepto en relación con la gestión supramunicipal se relacionan con competencias propias de la Comunidad Autónoma en materia de aguas, medio ambiente y régimen local en los términos previstos en los arts. 50, 57 y 60 del Estatuto de Autonomía, lo que, sin duda alguna, evidencia la existencia de intereses públicos que trascienden el ámbito municipal. Además se trata de gestionar un recurso escaso, esencial para la vida humana y las actividades económicas y con una incidencia medioambiental más que notable.</w:t>
      </w:r>
    </w:p>
    <w:p w:rsidR="00A90898" w:rsidRDefault="00A90898" w:rsidP="00A90898">
      <w:pPr>
        <w:pStyle w:val="TextoNormal"/>
      </w:pPr>
    </w:p>
    <w:p w:rsidR="00A90898" w:rsidRDefault="00A90898" w:rsidP="00A90898">
      <w:pPr>
        <w:pStyle w:val="TextoNormal"/>
      </w:pPr>
      <w:r>
        <w:t>El art. 32 de la Ley 9/2010 regula los sistemas de gestión supramunicipal del agua de uso urbano por remisión al art. 4.19 de la misma Ley. Entiende por tales el “conjunto de recursos hídricos, infraestructuras e instrumentos de gestión para la prestación de los servicios de abastecimiento en alta o aducción y de depuración de aguas residuales en un concreto ámbito superior al municipio”. La gestión de los sistemas supramunicipales así concebidos se encomienda por el art. 32.2 a los entes supramunicipales previstos en el art. 14 en su conexión con el art. 4.25 de la Ley (esto es, entidades públicas de base asociativa que adoptarán la forma de consorcio, mancomunidad u otra similar) o a las Diputaciones Provinciales. Importa señalar que el art. 29.1 d) de la Ley 9/2010 considera obras de interés de la Comunidad Autónoma de Andalucía a “las obras de abastecimiento, potabilización, desalación y depuración que expresamente se declaren por el Consejo de Gobierno”. A su vez, el art. 30.1 regula la financiación de las infraestructuras hidráulicas, determinando que “en las correspondientes encomiendas de gestión [a entidades instrumentales de la Junta de Andalucía] se preverá el régimen de financiación de las obras encomendadas, que comprenderá las aportaciones económicas por parte de la Consejería competente en materia de agua y, en su caso, de otros sujetos públicos o privados que puedan comprometerse mediante los oportunos convenios”. Asimismo, se prevé que “los instrumentos ordinarios de desarrollo y eje</w:t>
      </w:r>
      <w:r>
        <w:lastRenderedPageBreak/>
        <w:t>cución de la planificación de las infraestructuras de aducción y depuración serán los convenios de colaboración entre la Consejería competente en materia de agua y las entidades locales” (art. 31.1).</w:t>
      </w:r>
    </w:p>
    <w:p w:rsidR="00A90898" w:rsidRDefault="00A90898" w:rsidP="00A90898">
      <w:pPr>
        <w:pStyle w:val="TextoNormal"/>
      </w:pPr>
    </w:p>
    <w:p w:rsidR="00A90898" w:rsidRDefault="00A90898" w:rsidP="00A90898">
      <w:pPr>
        <w:pStyle w:val="TextoNormal"/>
      </w:pPr>
      <w:r>
        <w:t>ii) El art. 32.4 de la Ley de aguas de Andalucía, aunque limita la capacidad decisoria en un ámbito local, lo hace en atención a la indudable presencia de intereses supramunicipales y ha ponderado los intereses municipales afectados en cuanto no excluye a los municipios de su derecho a intervenir en lo relativo a la gestión del agua y de sus usos, según se deriva de las competencias que les reconoce el art. 13 de la Ley de aguas de Andalucía. Se prevé la audiencia de las entidades locales afectadas tanto para la determinación del ámbito territorial de cada sistema supramunicipal que pretenda constituirse (art. 32.3), como para la prestación del servicio mediante la constitución de un sistema de gestión supramunicipal (art. 32.4, en relación con los arts. 14 y 32.2), lo que garantiza su participación en la toma de la decisión acerca del modelo a implantar.</w:t>
      </w:r>
    </w:p>
    <w:p w:rsidR="00A90898" w:rsidRDefault="00A90898" w:rsidP="00A90898">
      <w:pPr>
        <w:pStyle w:val="TextoNormal"/>
      </w:pPr>
    </w:p>
    <w:p w:rsidR="00A90898" w:rsidRDefault="00A90898" w:rsidP="00A90898">
      <w:pPr>
        <w:pStyle w:val="TextoNormal"/>
      </w:pPr>
      <w:r>
        <w:t>iii) Las entidades locales participan en la gestión del sistema supramunicipal a través de entes supramunicipales de base asociativa (art. 14.1) o, indirectamente, a través de las Diputaciones, tratándose en ambos casos de entidades directamente relacionadas con los intereses de los municipios para la prestación de los servicios públicos de su competencia. No se priva a los municipios de la titularidad de sus competencias pues el precepto se refiere a la forma de “gestión de los servicios del agua por los municipios”, con lo que se atiende a intereses supramunicipales sin dejar de tomar en consideración los municipales. Por otra parte, participan en la ejecución de las infraestructuras de aducción y depuración mediante los correspondientes convenios con la Junta de Andalucía (art. 31.1 de la Ley de aguas de Andalucía).</w:t>
      </w:r>
    </w:p>
    <w:p w:rsidR="00A90898" w:rsidRDefault="00A90898" w:rsidP="00A90898">
      <w:pPr>
        <w:pStyle w:val="TextoNormal"/>
      </w:pPr>
    </w:p>
    <w:p w:rsidR="00A90898" w:rsidRDefault="00A90898" w:rsidP="00A90898">
      <w:pPr>
        <w:pStyle w:val="TextoNormal"/>
      </w:pPr>
      <w:r>
        <w:t>Habida cuenta de las modalidades expuestas de intervención de los municipios, hay que recordar que la antes citada STC 240/2006, FJ 8, considera, que “la intensidad de la participación” de los entes locales en los asuntos que les atañen ha de graduarse “en función de los intereses locales y supralocales dentro de tales asuntos o materias”, como es el caso, pues la Ley 9/2010 regula, entre otros aspectos, el establecimiento de un sistema supramunicipal de infraestructuras hidráulicas para atender a los servicios de abastecimiento y depuración de agua.</w:t>
      </w:r>
    </w:p>
    <w:p w:rsidR="00A90898" w:rsidRDefault="00A90898" w:rsidP="00A90898">
      <w:pPr>
        <w:pStyle w:val="TextoNormal"/>
      </w:pPr>
    </w:p>
    <w:p w:rsidR="00A90898" w:rsidRDefault="00A90898" w:rsidP="00A90898">
      <w:pPr>
        <w:pStyle w:val="TextoNormal"/>
      </w:pPr>
      <w:r>
        <w:t xml:space="preserve">En consecuencia, el art. 32.4 no vulnera la autonomía local de los municipios promotores del conflicto por la primera de las razones alegadas, pues (i) no impide o hace inviable la prestación por los municipios de los servicios de su competencia y (ii) el límite de dicha autonomía, su “derecho a intervenir” en las medidas que les afectan, se instrumenta a través de los varios cauces señalados, porque la competencias municipales sobre abastecimiento de agua no deben abarcar siempre la totalidad de las facultades posibles, al tratarse de una responsabilidad compartida entre los distintos niveles competenciales, atendiendo a la propia complejidad del servicio a prestar y a la existencia de un mapa local caracterizado por la proliferación de pequeños municipios. Ambas circunstancias pueden explicar que el legislador sectorial prefiera esta solución, atendiendo a la dificultad de la prestación de servicio y a los elevados costes que ello implica para muchas de las entidades locales afectadas, ya sea por razones de eficacia o por la carencia de los medios técnicos y materiales para </w:t>
      </w:r>
      <w:r>
        <w:lastRenderedPageBreak/>
        <w:t>prestarlo. Junto a ello existe una relación entre dichas entidades y el ejercicio de competencias propias de la Comunidad Autónoma, ya que constituyen el ámbito de actuación de la Junta de Andalucía para la ejecución de las infraestructuras de aducción y depuración.</w:t>
      </w:r>
    </w:p>
    <w:p w:rsidR="00A90898" w:rsidRDefault="00A90898" w:rsidP="00A90898">
      <w:pPr>
        <w:pStyle w:val="TextoNormal"/>
      </w:pPr>
    </w:p>
    <w:p w:rsidR="00A90898" w:rsidRDefault="00A90898" w:rsidP="00A90898">
      <w:pPr>
        <w:pStyle w:val="TextoNormal"/>
      </w:pPr>
      <w:r>
        <w:t>Además ha de repararse en que, conforme al propio tenor literal del precepto, la decisión ha de estar justificada en razones técnicas, económicas o ambientales, las cuales han de ser valoradas caso a caso y expuestas en una resolución motivada, lo que va a permitir su control por parte del orden jurisdiccional contencioso-administrativo. En definitiva, la norma fija los límites tanto formales como materiales dentro de los cuales habrán de discurrir las consecuencias jurídicas que el propio precepto contempla. En todo caso, si una concreta resolución administrativa no determinase las aludidas razones técnicas, económicas o ambientales en las que se basa para establecer la gestión de los servicios del agua por los municipios dentro del sistema de gestión supramunicipal del agua de uso urbano, la respuesta al problema que ello podría plantear desde la perspectiva de la autonomía local constitucionalmente garantizada correspondería, en su caso, a la jurisdicción ordinaria, excediendo por tanto el objeto del presente proceso constitucional [en un sentido similar, STC 41/2016, de 3 de marzo, FJ 7 c)].</w:t>
      </w:r>
    </w:p>
    <w:p w:rsidR="00A90898" w:rsidRDefault="00A90898" w:rsidP="00A90898">
      <w:pPr>
        <w:pStyle w:val="TextoNormal"/>
      </w:pPr>
    </w:p>
    <w:p w:rsidR="00A90898" w:rsidRDefault="00A90898" w:rsidP="00A90898">
      <w:pPr>
        <w:pStyle w:val="TextoNormal"/>
      </w:pPr>
      <w:r w:rsidRPr="00A90898">
        <w:rPr>
          <w:rStyle w:val="NumeroAFNegritaCaracter"/>
        </w:rPr>
        <w:t>7</w:t>
      </w:r>
      <w:r>
        <w:t>. Por otra parte, teniendo en cuenta el ya mencionado criterio de que la intensidad de la participación ha de graduarse en función de los intereses locales y supralocales que concurren, el art. 32.4, último párrafo, de la Ley 9/2010 no vulnera la autonomía local de los municipios promotores del conflicto desde la segunda perspectiva que hemos de examinar. En primer lugar, ya hemos determinado que, en las condiciones expuestas en el fundamento jurídico anterior, la integración en un sistema de gestión supramunicipal no es contraria a la autonomía local, de tal modo que el precepto se limita a prever las consecuencias que derivan del desconocimiento de dicha integración. Así, será, en todo caso, la decisión local que no acate esa integración la que determinará, como consecuencia, que el municipio en cuestión no se beneficie de las ayudas autonómicas para las nuevas infraestructuras.</w:t>
      </w:r>
    </w:p>
    <w:p w:rsidR="00A90898" w:rsidRDefault="00A90898" w:rsidP="00A90898">
      <w:pPr>
        <w:pStyle w:val="TextoNormal"/>
      </w:pPr>
    </w:p>
    <w:p w:rsidR="00A90898" w:rsidRDefault="00A90898" w:rsidP="00A90898">
      <w:pPr>
        <w:pStyle w:val="TextoNormal"/>
      </w:pPr>
      <w:r>
        <w:t xml:space="preserve">En segundo lugar, tampoco puede sostenerse que la no percepción de las ayudas autonómicas por los municipios que no se integren en los sistemas supramunicipales de gestión del agua vulnere el principio de autonomía local en su vertiente económica. Efectivamente, el precepto viene indirectamente a establecer que la financiación autonómica se dirige a instrumentar una competencia autonómica y, a su través, a financiar las infraestructuras supramunicipales, siendo legítimo que los municipios que no se integren en las infraestructuras supramunicipales no obtengan la financiación dirigida a las mismas. Esta previsión conecta con lo que antes se ha expuesto en relación con las actuaciones de la Junta de Andalucía en materia de infraestructuras hidráulicas que prescribe un criterio de preferencia en la asignación de subvenciones coherente tanto con los objetivos de política sectorial perseguidos por el legislador autonómico en el ejercicio de sus competencias en la materia, como con la necesidad de establecer prioridades en el uso de los recursos públicos. Además, según la doctrina de este Tribunal, la autonomía financiera local se identifica con la suficiencia financiera por cuanto exige la plena disposición de dichos medios para poder ejercer, sin condicionamientos indebidos y en toda su extensión, las funciones que legalmente les han sido encomendadas. Dicha suficiencia ha de ser garantizada por el Estado, pues, sin perjuicio de la contribución que las Comunidades Autónomas puedan tener en la financiación de las haciendas locales (éstas, en virtud del art. 142 CE, se nutrirán también de la participación </w:t>
      </w:r>
      <w:r>
        <w:lastRenderedPageBreak/>
        <w:t>en tributos de las Comunidades Autónomas),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(STC 48/2004, de 25 de marzo, FJ 10). De acuerdo con dicha doctrina, la exclusión de las medidas de fomento para infraestructuras del agua, su mantenimiento y explotación, no pone en cuestión la autonomía financiera de los municipios no integrados en los sistemas supramunicipales.</w:t>
      </w:r>
    </w:p>
    <w:p w:rsidR="00A90898" w:rsidRDefault="00A90898" w:rsidP="00A90898">
      <w:pPr>
        <w:pStyle w:val="TextoNormal"/>
      </w:pPr>
    </w:p>
    <w:p w:rsidR="00A90898" w:rsidRDefault="00A90898" w:rsidP="00A90898">
      <w:pPr>
        <w:pStyle w:val="TextoNormal"/>
      </w:pPr>
      <w:r>
        <w:t>En conclusión, no puede apreciarse la vulneración de la autonomía local que se denuncia del art. 32.4 de la Ley 9/2010.</w:t>
      </w:r>
    </w:p>
    <w:p w:rsidR="00A90898" w:rsidRDefault="00A90898" w:rsidP="00A90898">
      <w:pPr>
        <w:pStyle w:val="TextoNormal"/>
      </w:pPr>
    </w:p>
    <w:p w:rsidR="00A90898" w:rsidRDefault="00A90898" w:rsidP="00A90898">
      <w:pPr>
        <w:pStyle w:val="TextoNormal"/>
      </w:pPr>
      <w:r w:rsidRPr="00A90898">
        <w:rPr>
          <w:rStyle w:val="NumeroAFNegritaCaracter"/>
        </w:rPr>
        <w:t>8</w:t>
      </w:r>
      <w:r>
        <w:t>. El art. 33.1 de la Ley 9/2010 establece:</w:t>
      </w:r>
    </w:p>
    <w:p w:rsidR="00A90898" w:rsidRDefault="00A90898" w:rsidP="00A90898">
      <w:pPr>
        <w:pStyle w:val="TextoNormal"/>
      </w:pPr>
    </w:p>
    <w:p w:rsidR="00A90898" w:rsidRDefault="00A90898" w:rsidP="00A90898">
      <w:pPr>
        <w:pStyle w:val="TextoNormal"/>
      </w:pPr>
      <w:r>
        <w:t>“Las entidades locales y sus entidades instrumentales de titularidad íntegramente pública, así como las sociedades de economía mixta participadas mayoritariamente por las citadas entidades, titulares o gestoras de las redes de abastecimiento cuyo rendimiento sea inferior al que se determine reglamentariamente, en los sistemas de distribución de agua de uso urbano, no podrán ser beneficiarias de financiación de la Junta de Andalucía destinada a dichas instalaciones, así como de otras medidas de fomento establecidas con la misma finalidad. Dicha medida será aplicable, una vez transcurridos los plazos establecidos reglamentariamente.”</w:t>
      </w:r>
    </w:p>
    <w:p w:rsidR="00A90898" w:rsidRDefault="00A90898" w:rsidP="00A90898">
      <w:pPr>
        <w:pStyle w:val="TextoNormal"/>
      </w:pPr>
    </w:p>
    <w:p w:rsidR="00A90898" w:rsidRDefault="00A90898" w:rsidP="00A90898">
      <w:pPr>
        <w:pStyle w:val="TextoNormal"/>
      </w:pPr>
      <w:r>
        <w:t>El precepto determina que las redes de abastecimiento que sean de titularidad de las entidades locales o de las sociedades de economía mixta participadas por ellas o que sean gestionadas por ellas, deberán tener un determinado “rendimiento” —diferencia entre el volumen de agua que haya sido objeto de aducción y el agua distribuida y facturada a los usuarios— que será fijado reglamentariamente, con la consecuencia de que, si dicho rendimiento no se alcanzare, aquellas entidades “no podrán ser beneficiarias de financiación de la Junta de Andalucía”.</w:t>
      </w:r>
    </w:p>
    <w:p w:rsidR="00A90898" w:rsidRDefault="00A90898" w:rsidP="00A90898">
      <w:pPr>
        <w:pStyle w:val="TextoNormal"/>
      </w:pPr>
    </w:p>
    <w:p w:rsidR="00A90898" w:rsidRDefault="00A90898" w:rsidP="00A90898">
      <w:pPr>
        <w:pStyle w:val="TextoNormal"/>
      </w:pPr>
      <w:r>
        <w:t>Pues bien, los entes locales de Andalucía tienen reconocidas sus competencias sobre el abastecimiento de agua, ya tenga alcance municipal o supramunicipal (art. 13 y 34); la Comunidad Autónoma de Andalucía interviene en la financiación de las obras de abastecimiento de agua que considere de su interés y, por último, la propia Comunidad establece el rendimiento de las redes de manera que si los Entes locales —o sus sociedades instrumentales— que son titulares o gestores de dichas redes, no obtienen dichos rendimientos dejarán de beneficiarse de la financiación autonómica destinada a dichas instalaciones.</w:t>
      </w:r>
    </w:p>
    <w:p w:rsidR="00A90898" w:rsidRDefault="00A90898" w:rsidP="00A90898">
      <w:pPr>
        <w:pStyle w:val="TextoNormal"/>
      </w:pPr>
    </w:p>
    <w:p w:rsidR="00A90898" w:rsidRDefault="00A90898" w:rsidP="00A90898">
      <w:pPr>
        <w:pStyle w:val="TextoNormal"/>
      </w:pPr>
      <w:r>
        <w:t xml:space="preserve">En este marco, el art. 33.1 de la Ley de aguas de Andalucía no vulnera la autonomía local de los municipios, pues éstos mantienen su derecho a intervenir en el abastecimiento de agua. No se les priva de su gestión y la exigencia de un determinado rendimiento se acomoda a la competencia ordenadora del abastecimiento que incumbe, legítimamente, a la norma autonómica sectorial a la que debe adecuarse la competencia municipal según prevé el art. 2.1 LBRL. Es la Administración autonómica, cuando fije las bases reguladoras de las subvenciones y ayudas que conceda para actuar sobre las redes de distribución de agua, la que establecerá cuál es la proporción que ha de existir entre el agua realmente distribuida al </w:t>
      </w:r>
      <w:r>
        <w:lastRenderedPageBreak/>
        <w:t>usuario, y la que fue objeto de aducción, fomentando de esta manera el cuidado y mantenimiento de la red a fin de minimizar las pérdidas del líquido que se suministra. Nótese, además, que el art. 33.1, al remitir al reglamento para su concreción, no contiene magnitud o determinación alguna que pudiera resultar irrazonable o desproporcionada o que pudiera conducir a apreciar el menoscabo de la competencia de aquéllos. El desarrollo reglamentario podrá ser controlado en vía jurisdiccional y, de resultar procedente, repararse así el perjuicio concreto que pudiera derivarse para la competencia local de abastecimiento o depuración del agua.</w:t>
      </w:r>
    </w:p>
    <w:p w:rsidR="00A90898" w:rsidRDefault="00A90898" w:rsidP="00A90898">
      <w:pPr>
        <w:pStyle w:val="TextoNormal"/>
      </w:pPr>
    </w:p>
    <w:p w:rsidR="00A90898" w:rsidRDefault="00A90898" w:rsidP="00A90898">
      <w:pPr>
        <w:pStyle w:val="TextoNormal"/>
      </w:pPr>
      <w:r>
        <w:t>Consecuentemente, la posible exclusión de los entes locales de la financiación autonómica dirigida a estas instalaciones cuando la gestión del agua quede por debajo de unos mínimos, no vulnera la autonomía municipal pues ni priva a los entes locales de sus competencias, ni infringe su suficiencia financiera considerando la doctrina del Tribunal sobre esta cuestión, reproducida con ocasión del examen del art. 32.4 de la Ley de aguas de Andalucía.</w:t>
      </w:r>
    </w:p>
    <w:p w:rsidR="00A90898" w:rsidRDefault="00A90898" w:rsidP="00A90898">
      <w:pPr>
        <w:pStyle w:val="TextoNormal"/>
      </w:pPr>
    </w:p>
    <w:p w:rsidR="00A90898" w:rsidRDefault="00A90898" w:rsidP="00A90898">
      <w:pPr>
        <w:pStyle w:val="TextoNormal"/>
      </w:pPr>
      <w:r w:rsidRPr="00A90898">
        <w:rPr>
          <w:rStyle w:val="NumeroAFNegritaCaracter"/>
        </w:rPr>
        <w:t>9</w:t>
      </w:r>
      <w:r>
        <w:t>. Resta por examinar el art. 82.2 de la Ley 9/2010. El precepto regula los obligados al pago del denominado canon de mejora de infraestructuras hidráulicas de depuración de interés de la Comunidad Autónoma Se trata de un tributo propio de la Comunidad Autónoma, cuyos rendimientos quedan afectos a la financiación de este tipo de infraestructuras. Los obligados son las personas usuarias del agua de las redes de abastecimiento disponiendo el apartado 2 que “tendrán la consideración de sujetos pasivos, como sustitutos del contribuyente, las entidades suministradoras”.</w:t>
      </w:r>
    </w:p>
    <w:p w:rsidR="00A90898" w:rsidRDefault="00A90898" w:rsidP="00A90898">
      <w:pPr>
        <w:pStyle w:val="TextoNormal"/>
      </w:pPr>
    </w:p>
    <w:p w:rsidR="00A90898" w:rsidRDefault="00A90898" w:rsidP="00A90898">
      <w:pPr>
        <w:pStyle w:val="TextoNormal"/>
      </w:pPr>
      <w:r>
        <w:t>El sustituto tributario se configura en la Ley general tributaria (arts. 35 y 36) como “el sujeto pasivo que, por imposición de la Ley y en lugar del contribuyente, está obligado a cumplir la obligación tributaria principal, así como las obligaciones formales inherentes a la misma”. De esta forma, el sustituto ocupa la posición de contribuyente dentro de la relación jurídico tributaria, quedando obligado al cumplimiento de todas las prestaciones y deberes, sin perjuicio de que ostente el derecho de resarcirse a cargo del contribuyente final.</w:t>
      </w:r>
    </w:p>
    <w:p w:rsidR="00A90898" w:rsidRDefault="00A90898" w:rsidP="00A90898">
      <w:pPr>
        <w:pStyle w:val="TextoNormal"/>
      </w:pPr>
    </w:p>
    <w:p w:rsidR="00A90898" w:rsidRDefault="00A90898" w:rsidP="00A90898">
      <w:pPr>
        <w:pStyle w:val="TextoNormal"/>
      </w:pPr>
      <w:r>
        <w:t>Una queja similar a esta ya ha sido desestimada en la STC 85/2013, de 11 de abril, FJ 5 d), donde señalamos que “se impugna el art. 48.3 de la Ley porque se obliga a las entidades suministradoras de agua, entre ellas los Ayuntamientos, a cobrar el canon por cuenta de la Agencia Vasca del Agua. Se trata, sin embargo, de un típico instrumento de colaboración en la gestión tributaria que no merece, de suyo, tacha alguna de inconstitucionalidad”.</w:t>
      </w:r>
    </w:p>
    <w:p w:rsidR="00A90898" w:rsidRDefault="00A90898" w:rsidP="00A90898">
      <w:pPr>
        <w:pStyle w:val="TextoNormal"/>
      </w:pPr>
    </w:p>
    <w:p w:rsidR="00A90898" w:rsidRDefault="00A90898" w:rsidP="00A90898">
      <w:pPr>
        <w:pStyle w:val="TextoNormal"/>
      </w:pPr>
      <w:r>
        <w:t>Por tanto, dado el contenido del precepto, debe concluirse que no se vulnera la autonomía local constitucionalmente garantizada, en la medida en que la norma en conflicto no merma la capacidad decisoria de los entes locales respecto de las materias de su interés pues, en el presente caso, las entidades locales van a seguir ejerciendo sus competencias en relación con el suministro de agua y tratamiento de aguas residuales en la misma forma en que lo venían ejerciendo con anterioridad a la entrada en vigor de esta norma.</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Inadmitir el conflicto en defensa de la autonomía local en lo que respecta a los arts. 32, excepto su apartado 4; 33, salvo su apartado 1; 78 y 91 a 96 de la Ley 9/2010, de 30 de julio, de aguas de Andalucía.</w:t>
      </w:r>
    </w:p>
    <w:p w:rsidR="00A90898" w:rsidRDefault="00A90898" w:rsidP="00A90898">
      <w:pPr>
        <w:pStyle w:val="TextoNormal"/>
      </w:pPr>
    </w:p>
    <w:p w:rsidR="00A90898" w:rsidRDefault="00A90898" w:rsidP="00A90898">
      <w:pPr>
        <w:pStyle w:val="TextoNormal"/>
      </w:pPr>
      <w:r>
        <w:t>2º Desestimar el conflicto en defensa de la autonomía local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2" w:name="SENTENCIA_2016_153"/>
      <w:r>
        <w:lastRenderedPageBreak/>
        <w:t>SENTENCIA 153/2016, de 22 de septiembre de 2016</w:t>
      </w:r>
    </w:p>
    <w:bookmarkEnd w:id="32"/>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ECLI:ES:TC:2016:153</w:t>
      </w:r>
    </w:p>
    <w:p w:rsidR="00A90898" w:rsidRDefault="00A90898" w:rsidP="00A90898">
      <w:pPr>
        <w:pStyle w:val="TextoNormalCentrado"/>
      </w:pPr>
    </w:p>
    <w:p w:rsidR="00A90898" w:rsidRDefault="00A90898" w:rsidP="00A90898">
      <w:pPr>
        <w:pStyle w:val="SntesisDescriptiva"/>
      </w:pPr>
      <w:r>
        <w:t>Recurso de inconstitucionalidad 1067-2014. Interpuesto por más de cincuenta Diputados del Grupo Parlamentario Socialista del Congreso en relación con la Ley de las Cortes Valencianas 4/2013, de 27 de noviembre, de supresión de la prestación de los servicios de radiodifusión y televisión de ámbito autonómico, de titularidad de la Generalitat, así como de disolución y liquidación de Radiotelevisión Valenciana, S.A.U.</w:t>
      </w:r>
    </w:p>
    <w:p w:rsidR="00A90898" w:rsidRDefault="00A90898" w:rsidP="00A90898">
      <w:pPr>
        <w:pStyle w:val="SntesisDescriptiva"/>
      </w:pPr>
    </w:p>
    <w:p w:rsidR="00A90898" w:rsidRDefault="00A90898" w:rsidP="00A90898">
      <w:pPr>
        <w:pStyle w:val="SntesisAnaltica"/>
      </w:pPr>
      <w:r>
        <w:t>Principio de seguridad jurídica, derechos a la tutela judicial efectiva y de participación política, libertades de expresión  e información, competencias sobre medios públicos de comunicación social: pérdida parcial de objeto del proceso; tramitación de la iniciativa legislativa como proposición de ley que no vulneró los derechos inherentes a la función parlamentaria de los representantes de los ciudadanos.</w:t>
      </w:r>
    </w:p>
    <w:p w:rsidR="00A90898" w:rsidRDefault="00A90898" w:rsidP="00A90898">
      <w:pPr>
        <w:pStyle w:val="SntesisAnaltica"/>
      </w:pPr>
    </w:p>
    <w:p w:rsidR="00A90898" w:rsidRDefault="00A90898" w:rsidP="00A90898">
      <w:pPr>
        <w:pStyle w:val="Extracto"/>
      </w:pPr>
      <w:r>
        <w:t>1.</w:t>
      </w:r>
      <w:r>
        <w:tab/>
        <w:t>Se desestima la alegación de vulneración del procedimiento legislativo empleado para aprobar la norma impugnada, mediante proposición de ley y no mediante proyecto de ley, pues ningún obstáculo se ha establecido en el Estatuto de Autonomía o en el Reglamento de Les Corts a la capacidad de los grupos parlamentarios de presentar proposiciones de ley [FJ 3.a)].</w:t>
      </w:r>
    </w:p>
    <w:p w:rsidR="00A90898" w:rsidRDefault="00A90898" w:rsidP="00A90898">
      <w:pPr>
        <w:pStyle w:val="Extracto"/>
      </w:pPr>
    </w:p>
    <w:p w:rsidR="00A90898" w:rsidRDefault="00A90898" w:rsidP="00A90898">
      <w:pPr>
        <w:pStyle w:val="Extracto"/>
      </w:pPr>
      <w:r>
        <w:t>2.</w:t>
      </w:r>
      <w:r>
        <w:tab/>
        <w:t>La legalidad aplicable no impone límite material alguno a la iniciativa que corresponde a Les Corts por lo que no cabe exigir que una determinada norma, por el hecho de tener determinadas repercusiones sociales, económicas y jurídicas, tenga que tener su origen en un proyecto de ley del Gobierno en lugar de en una proposición de ley de Les Corts [FJ 3.a)].</w:t>
      </w:r>
    </w:p>
    <w:p w:rsidR="00A90898" w:rsidRDefault="00A90898" w:rsidP="00A90898">
      <w:pPr>
        <w:pStyle w:val="Extracto"/>
      </w:pPr>
    </w:p>
    <w:p w:rsidR="00A90898" w:rsidRDefault="00A90898" w:rsidP="00A90898">
      <w:pPr>
        <w:pStyle w:val="Extracto"/>
      </w:pPr>
      <w:r>
        <w:t>3.</w:t>
      </w:r>
      <w:r>
        <w:tab/>
        <w:t>Los trámites o requisitos a los que la Ley del Consell se refiere son los que el  ordenamiento exige a los anteproyectos de ley del Gobierno y no a las proposiciones de ley de Les Corts, por lo que no cabe tenerlos en cuenta para determinar la ausencia de los antecedentes necesarios [FJ 3.b)].</w:t>
      </w:r>
    </w:p>
    <w:p w:rsidR="00A90898" w:rsidRDefault="00A90898" w:rsidP="00A90898">
      <w:pPr>
        <w:pStyle w:val="Extracto"/>
      </w:pPr>
    </w:p>
    <w:p w:rsidR="00A90898" w:rsidRDefault="00A90898" w:rsidP="00A90898">
      <w:pPr>
        <w:pStyle w:val="Extracto"/>
      </w:pPr>
      <w:r>
        <w:t>4.</w:t>
      </w:r>
      <w:r>
        <w:tab/>
        <w:t>No resulta arbitrario interpretar —y para ello basta con la lectura de la Ley impugnada que consta de tres artículos, dos disposiciones adicionales, una disposición derogatoria y una disposición final—, que ésta reviste la característica exigida por el Reglamento de Les Corts relativa a “la simplicidad de su formulación” [FJ 3.c)].</w:t>
      </w:r>
    </w:p>
    <w:p w:rsidR="00A90898" w:rsidRDefault="00A90898" w:rsidP="00A90898">
      <w:pPr>
        <w:pStyle w:val="Extracto"/>
      </w:pPr>
    </w:p>
    <w:p w:rsidR="00A90898" w:rsidRDefault="00A90898" w:rsidP="00A90898">
      <w:pPr>
        <w:pStyle w:val="Extracto"/>
      </w:pPr>
      <w:r>
        <w:t>5.</w:t>
      </w:r>
      <w:r>
        <w:tab/>
        <w:t>Descartada la existencia de vicios en el procedimiento legislativo, debemos desestimar igualmente la impugnación por vulneración del principio de seguridad jurídica que se vincula por los recurrentes con la existencia de tales vicios; sin perjuicio de recordar que este Tribunal no es juez de la calidad técnica de las leyes [FJ 3.d)].</w:t>
      </w:r>
    </w:p>
    <w:p w:rsidR="00A90898" w:rsidRDefault="00A90898" w:rsidP="00A90898">
      <w:pPr>
        <w:pStyle w:val="Extracto"/>
      </w:pPr>
    </w:p>
    <w:p w:rsidR="00A90898" w:rsidRDefault="00A90898" w:rsidP="00A90898">
      <w:pPr>
        <w:pStyle w:val="Extracto"/>
      </w:pPr>
      <w:r>
        <w:lastRenderedPageBreak/>
        <w:t>6.</w:t>
      </w:r>
      <w:r>
        <w:tab/>
        <w:t>Se aprecia la pérdida sobrevenida de objeto del presente recurso con motivo de posteriores modificaciones legales, en la medida en que lo esencialmente cuestionado por la parte recurrente ha sido la supresión del servicio público de radiotelevisión, que ha de quedar restablecido tras la aprobación de aquellas modificaciones normativas [FJ 2.d)].</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1067/2014 interpuesto por más de cincuenta Diputados del Grupo Parlamentario Socialista del Congreso de los Diputados contra la Ley 4/2013, de 27 de noviembre, de la Generalitat, de supresión de la prestación de los servicios de radiodifusión y televisión de ámbito autonómico, de titularidad de la Generalitat, así como de disolución y liquidación de Radiotelevisión Valenciana, SAU.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Con fecha 24 de febrero de 2014 tuvo entrada en el Registro General de este Tribunal un escrito de doña Virginia Aragón Segura, Procuradora de los Tribunales, en nombre y representación de más de cincuenta Diputados del Grupo Parlamentario Socialista, mediante el cual promovió recurso de inconstitucionalidad contra la Ley 4/2013, de 27 de noviembre, de la Generalitat Valenciana, de supresión de la prestación de los servicios de radiodifusión y televisión de ámbito autonómico, de titularidad de la Generalitat, así como de disolución y liquidación de Radiotelevisión Valenciana, S.A.U., publicada en el “Diari Oficial de la Comunitat Valenciana” número 7.161, de 27 de noviembre de 2013. La fundamentación que sustenta la impugnación se resume a continuación.</w:t>
      </w:r>
    </w:p>
    <w:p w:rsidR="00A90898" w:rsidRDefault="00A90898" w:rsidP="00A90898">
      <w:pPr>
        <w:pStyle w:val="TextoNormal"/>
      </w:pPr>
    </w:p>
    <w:p w:rsidR="00A90898" w:rsidRDefault="00A90898" w:rsidP="00A90898">
      <w:pPr>
        <w:pStyle w:val="TextoNormal"/>
      </w:pPr>
      <w:r w:rsidRPr="00A90898">
        <w:rPr>
          <w:rStyle w:val="NumeroAFNegritaCaracter"/>
        </w:rPr>
        <w:t>2</w:t>
      </w:r>
      <w:r>
        <w:t>. Comienza el recurso examinando los antecedentes de la cuestión.</w:t>
      </w:r>
    </w:p>
    <w:p w:rsidR="00A90898" w:rsidRDefault="00A90898" w:rsidP="00A90898">
      <w:pPr>
        <w:pStyle w:val="TextoNormal"/>
      </w:pPr>
    </w:p>
    <w:p w:rsidR="00A90898" w:rsidRDefault="00A90898" w:rsidP="00A90898">
      <w:pPr>
        <w:pStyle w:val="TextoNormal"/>
      </w:pPr>
      <w:r>
        <w:t xml:space="preserve">a) El ente público Radiotelevisión Valenciana aprobó, en agosto de 2012, un procedimiento colectivo de reducción de la plantilla de personal del grupo Radiotelevisión Valenciana (RTVV) que implicaba la extinción de un total de 1.198 contratos de trabajo. Contra </w:t>
      </w:r>
      <w:r>
        <w:lastRenderedPageBreak/>
        <w:t>dicho procedimiento se presentaron, en septiembre de 2012, varias demandas de impugnación del expediente de regulación de empleo (ERE) colectivo acordado. El Tribunal Superior de Justicia de la Comunidad Valenciana, por la Sentencia número 2338/2013, de 4 de noviembre de 2013, estimó las pretensiones de los representantes de los trabajadores y declaró nulo el despido colectivo (ERE) acordado por Radiotelevisión Valenciana.</w:t>
      </w:r>
    </w:p>
    <w:p w:rsidR="00A90898" w:rsidRDefault="00A90898" w:rsidP="00A90898">
      <w:pPr>
        <w:pStyle w:val="TextoNormal"/>
      </w:pPr>
    </w:p>
    <w:p w:rsidR="00A90898" w:rsidRDefault="00A90898" w:rsidP="00A90898">
      <w:pPr>
        <w:pStyle w:val="TextoNormal"/>
      </w:pPr>
      <w:r>
        <w:t>b) El día 8 de noviembre de 2013 se presentó por el Grupo Parlamentario Popular de Les Corts una “Proposición de Ley de supresión de la prestación de los servicios de radiodifusión y televisión de ámbito autonómico, de titularidad de la Generalitat, así como de disolución y liquidación de RTVV, SAU”. En una breve “exposición de motivos” se refería explícitamente a la sentencia del Tribunal Superior de Justicia de la Comunidad Valenciana, que anulaba el ERE del ente público RTVV, como la causa directa que hacía necesario el cierre de RTVV.</w:t>
      </w:r>
    </w:p>
    <w:p w:rsidR="00A90898" w:rsidRDefault="00A90898" w:rsidP="00A90898">
      <w:pPr>
        <w:pStyle w:val="TextoNormal"/>
      </w:pPr>
    </w:p>
    <w:p w:rsidR="00A90898" w:rsidRDefault="00A90898" w:rsidP="00A90898">
      <w:pPr>
        <w:pStyle w:val="TextoNormal"/>
      </w:pPr>
      <w:r>
        <w:t>c) En el Pleno del 27 noviembre, se aprobó, con los votos favorables del Grupo Popular, la Ley 4/2013, de 27 de noviembre, de la Generalitat, de “Supresión de la Prestación de los Servicios de Radiodifusión y Televisión de Ámbito Autonómico, de Titularidad de la Generalitat, así como de Disolución y Liquidación de Radiotelevisión Valenciana, SAU”.</w:t>
      </w:r>
    </w:p>
    <w:p w:rsidR="00A90898" w:rsidRDefault="00A90898" w:rsidP="00A90898">
      <w:pPr>
        <w:pStyle w:val="TextoNormal"/>
      </w:pPr>
    </w:p>
    <w:p w:rsidR="00A90898" w:rsidRDefault="00A90898" w:rsidP="00A90898">
      <w:pPr>
        <w:pStyle w:val="TextoNormal"/>
      </w:pPr>
      <w:r>
        <w:t>d) Al día siguiente de la aprobación de la referida Ley 4/2013, el Consell, constituido en junta general de Radiotelevisión Valenciana, S.A.U., adoptó el acuerdo de cesar a los miembros del consejo de administración de Radiotelevisión Valenciana, incluido el director general, y de disolver, liquidar y extinguir la empresa Radiotelevisión Valenciana, S.A.U., nombrando una comisión liquidadora y autorizando al secretario del consejo de administración para que pudiese realizar los actos necesarios para la ejecución de los acuerdos adoptados.</w:t>
      </w:r>
    </w:p>
    <w:p w:rsidR="00A90898" w:rsidRDefault="00A90898" w:rsidP="00A90898">
      <w:pPr>
        <w:pStyle w:val="TextoNormal"/>
      </w:pPr>
    </w:p>
    <w:p w:rsidR="00A90898" w:rsidRDefault="00A90898" w:rsidP="00A90898">
      <w:pPr>
        <w:pStyle w:val="TextoNormal"/>
      </w:pPr>
      <w:r>
        <w:t>e) El mismo día 28, a propuesta del presidente de la Generalitat, el Consell acordó el cese de las emisiones del servicio de radiodifusión y televisión de ámbito autonómico de titularidad de la Generalitat, prestados por la empresa Radiotelevisión Valenciana, S.A.U., por cualquier medio o canal de difusión.</w:t>
      </w:r>
    </w:p>
    <w:p w:rsidR="00A90898" w:rsidRDefault="00A90898" w:rsidP="00A90898">
      <w:pPr>
        <w:pStyle w:val="TextoNormal"/>
      </w:pPr>
    </w:p>
    <w:p w:rsidR="00A90898" w:rsidRDefault="00A90898" w:rsidP="00A90898">
      <w:pPr>
        <w:pStyle w:val="TextoNormal"/>
      </w:pPr>
      <w:r w:rsidRPr="00A90898">
        <w:rPr>
          <w:rStyle w:val="NumeroAFNegritaCaracter"/>
        </w:rPr>
        <w:t>3</w:t>
      </w:r>
      <w:r>
        <w:t>. A continuación el escrito de los recurrentes sostiene la inconstitucionalidad de la norma impugnada con base en los siguientes fundamentos jurídicos.</w:t>
      </w:r>
    </w:p>
    <w:p w:rsidR="00A90898" w:rsidRDefault="00A90898" w:rsidP="00A90898">
      <w:pPr>
        <w:pStyle w:val="TextoNormal"/>
      </w:pPr>
    </w:p>
    <w:p w:rsidR="00A90898" w:rsidRDefault="00A90898" w:rsidP="00A90898">
      <w:pPr>
        <w:pStyle w:val="TextoNormal"/>
      </w:pPr>
      <w:r>
        <w:t>a) Sostiene el escrito de los recurrentes que la Ley 4/2013, de 27 de noviembre, de la Generalitat, vulnera los artículos 9.3 y 23.2 de la Constitución. La Ley habría limitado el derecho de los ciudadanos a la participación en los asuntos públicos, directamente o por medio de representantes, libremente elegidos en elecciones periódicas por sufragio universal, en el proceso de elaboración de esta norma en sede parlamentaria.</w:t>
      </w:r>
    </w:p>
    <w:p w:rsidR="00A90898" w:rsidRDefault="00A90898" w:rsidP="00A90898">
      <w:pPr>
        <w:pStyle w:val="TextoNormal"/>
      </w:pPr>
    </w:p>
    <w:p w:rsidR="00A90898" w:rsidRDefault="00A90898" w:rsidP="00A90898">
      <w:pPr>
        <w:pStyle w:val="TextoNormal"/>
      </w:pPr>
      <w:r>
        <w:t xml:space="preserve">El escrito de los recurrentes subraya que la norma trae causa de una proposición de ley que presentó el Grupo Popular de Les Corts en lugar de un proyecto de ley del Gobierno. Para los recurrentes la naturaleza de la norma y las innumerables repercusiones sociales, económicas y jurídicas de la misma parecían aconsejar la tramitación de un proyecto para poder evaluar y valorar todas estas cuestiones a través del procedimiento preceptivo propio de los proyectos de ley que permite incorporar los correspondientes informes sobre el contenido y adecuación jurídica de la norma. La presentación como proposición de ley por el </w:t>
      </w:r>
      <w:r>
        <w:lastRenderedPageBreak/>
        <w:t>Grupo Parlamentario Popular de una iniciativa que responde a la voluntad declarada del Ejecutivo constituye un auténtico fraude de ley, que sólo tiene por misión evitar la elaboración de los informes y estudios que requiere, de forma inexcusable, el art. 42 de la Ley 5/1983, del Consell, particularmente la memoria económica, para todos los proyectos que emanen del Gobierno Valenciano.</w:t>
      </w:r>
    </w:p>
    <w:p w:rsidR="00A90898" w:rsidRDefault="00A90898" w:rsidP="00A90898">
      <w:pPr>
        <w:pStyle w:val="TextoNormal"/>
      </w:pPr>
    </w:p>
    <w:p w:rsidR="00A90898" w:rsidRDefault="00A90898" w:rsidP="00A90898">
      <w:pPr>
        <w:pStyle w:val="TextoNormal"/>
      </w:pPr>
      <w:r>
        <w:t>Señala igualmente la rapidez en la tramitación de la proposición de ley, que se presentó el viernes, día 8 de noviembre, en el Registro de Les Corts y se aprobó el 27 del mismo mes.</w:t>
      </w:r>
    </w:p>
    <w:p w:rsidR="00A90898" w:rsidRDefault="00A90898" w:rsidP="00A90898">
      <w:pPr>
        <w:pStyle w:val="TextoNormal"/>
      </w:pPr>
    </w:p>
    <w:p w:rsidR="00A90898" w:rsidRDefault="00A90898" w:rsidP="00A90898">
      <w:pPr>
        <w:pStyle w:val="TextoNormal"/>
      </w:pPr>
      <w:r>
        <w:t>Consideran los recurrentes que la falta de antecedentes, tal como denunció el grupo socialista en Les Corts en un escrito de oposición a la tramitación presentado a la Mesa, impide tramitar la proposición de ley tal y como ha sido presentada, puesto que se tramitó y aprobó a partir de un preámbulo que sirvió para todo: exposición de motivos, antecedentes, etc. y con un procedimiento de lectura única que no permitió debatir ni valorar ningún tipo de informe relativo al impacto económico, social o jurídica de la norma. La tramitación de la misma, en estas condiciones, comportaría una grave vulneración del Reglamento de Les Corts que en su artículo 124 dispone la obligación de acompañar la propuesta con los antecedentes necesarios para pronunciarse sobre ella.</w:t>
      </w:r>
    </w:p>
    <w:p w:rsidR="00A90898" w:rsidRDefault="00A90898" w:rsidP="00A90898">
      <w:pPr>
        <w:pStyle w:val="TextoNormal"/>
      </w:pPr>
    </w:p>
    <w:p w:rsidR="00A90898" w:rsidRDefault="00A90898" w:rsidP="00A90898">
      <w:pPr>
        <w:pStyle w:val="TextoNormal"/>
      </w:pPr>
      <w:r>
        <w:t>Alegan los recurrentes, tal como denunció el Grupo Socialista en Les Corts en un escrito de oposición a la tramitación de la norma presentado a la Mesa, que el artículo 135 del Reglamento de Les Corts permite al Pleno acordar la tramitación, directamente y por el procedimiento de lectura única, de un proyecto o proposición de ley cuando su naturaleza lo aconseje y su simplicidad de formulación lo permita. Sin embargo, en la proposición presentada no hay una mínima fundamentación o motivación para la petición de que el trámite se realice por el procedimiento solicitado. Dado que no se justifica, ni mínimamente, el cumplimiento de los dos requisitos que exige el artículo del Reglamento citado, debió rechazarse la solicitud del Grupo Popular relativa al procedimiento, pues el procedimiento de lectura única evita el trámite de presentación de enmiendas y el debate en comisión, que se consideran normales para cualquier iniciativa legislativa. Supone, pues, una clara restricción de las posibilidades de participación de los diputados.</w:t>
      </w:r>
    </w:p>
    <w:p w:rsidR="00A90898" w:rsidRDefault="00A90898" w:rsidP="00A90898">
      <w:pPr>
        <w:pStyle w:val="TextoNormal"/>
      </w:pPr>
    </w:p>
    <w:p w:rsidR="00A90898" w:rsidRDefault="00A90898" w:rsidP="00A90898">
      <w:pPr>
        <w:pStyle w:val="TextoNormal"/>
      </w:pPr>
      <w:r>
        <w:t>Por tanto, frente a lo acaecido en la tramitación y aprobación de la Ley 4/2013, los recurrentes alegan su inconstitucionalidad habida cuenta de que entre los objetivos y obligaciones del procedimiento legislativo, el primero de ellos es conseguir que los textos aprobados alcancen la calidad técnica necesaria que cumpla con los elementos propios del principio de seguridad jurídica que la Constitución garantiza, según dispone el art. 9.3 CE. Al mismo tiempo y junto al objetivo de alcanzar una calidad técnica adecuada, el procedimiento legislativo tiene por objeto garantizar la participación de los todos los sujetos que son parte de la Cámara parlamentaria que representa a la soberanía popular. En el caso de que no sea así, la limitación de la participación en el proceso de elaboración de las normas en sede parlamentaria supone una infracción del art. 23.2 CE en el que se garantiza la participación de los ciudadanos, directamente o por medio de representantes y acceder en condiciones de igualdad.</w:t>
      </w:r>
    </w:p>
    <w:p w:rsidR="00A90898" w:rsidRDefault="00A90898" w:rsidP="00A90898">
      <w:pPr>
        <w:pStyle w:val="TextoNormal"/>
      </w:pPr>
    </w:p>
    <w:p w:rsidR="00A90898" w:rsidRDefault="00A90898" w:rsidP="00A90898">
      <w:pPr>
        <w:pStyle w:val="TextoNormal"/>
      </w:pPr>
      <w:r>
        <w:t xml:space="preserve">b) Asimismo sostiene el escrito de los recurrente que la Ley 4/2013, de 27 de noviembre, de la Generalitat, vulnera los artículos 20.3 y 23.2 de la Constitución por hurtar el derecho </w:t>
      </w:r>
      <w:r>
        <w:lastRenderedPageBreak/>
        <w:t>a la regulación por ley de la organización y el control parlamentario de los medios de comunicación social dependientes del Estado o de cualquier ente público y el derecho de los ciudadanos a la participación en los asuntos públicos, directamente o por medio de representantes.</w:t>
      </w:r>
    </w:p>
    <w:p w:rsidR="00A90898" w:rsidRDefault="00A90898" w:rsidP="00A90898">
      <w:pPr>
        <w:pStyle w:val="TextoNormal"/>
      </w:pPr>
    </w:p>
    <w:p w:rsidR="00A90898" w:rsidRDefault="00A90898" w:rsidP="00A90898">
      <w:pPr>
        <w:pStyle w:val="TextoNormal"/>
      </w:pPr>
      <w:r>
        <w:t xml:space="preserve">Para analizar la inconstitucionalidad de la Ley 4/2013 por vulneración del artículo 20.3 de la Constitución, al impedir el control parlamentario de los medios de comunicación social de titularidad pública, parte el escrito de los recurrentes de la consideración de la actividad que desarrollaba Radiotelevisión Valenciana, S.A.U., con sus emisiones de radio y televisión, de servicio público. A este respecto, la doctrina del Tribunal Constitucional es clara y rotunda, según concluyó en la Sentencia 206/1990: “la calificación de la televisión como servicio público es constitucionalmente legítima desde el momento en que el legislador la considera necesaria para garantizar determinados derechos fundamentales de la colectividad” (FJ 6). Pero es más, como concreta el Alto Tribunal, al calificar la televisión y radio pública como servicio público no es, ciertamente, una etiqueta que una vez colocada sobre el medio, permita cualquier regulación de la misma, ya que hay en juego derechos subjetivos —los de comunicar libremente el pensamiento y la información— que la </w:t>
      </w:r>
      <w:r w:rsidRPr="00A90898">
        <w:rPr>
          <w:i/>
        </w:rPr>
        <w:t>publicatio</w:t>
      </w:r>
      <w:r>
        <w:t xml:space="preserve"> limita y sacrifica a favor de otros derechos. Añadiendo, con referencia en general a los medios de comunicación y en concreto sobre los medios públicos, que entre las condiciones que hacen constitucionalmente legítima la regulación de esa actividad como servicio público, precisamente, está el preservar el pluralismo, y por ende, la regulación y el control parlamentario de estos medios, tanto en su actividad cotidiana, como en el caso que nos ocupa, al tratarse de una ley de cierre, en el proceso y momento de articular, fijar la fecha y proceder al cierre.</w:t>
      </w:r>
    </w:p>
    <w:p w:rsidR="00A90898" w:rsidRDefault="00A90898" w:rsidP="00A90898">
      <w:pPr>
        <w:pStyle w:val="TextoNormal"/>
      </w:pPr>
    </w:p>
    <w:p w:rsidR="00A90898" w:rsidRDefault="00A90898" w:rsidP="00A90898">
      <w:pPr>
        <w:pStyle w:val="TextoNormal"/>
      </w:pPr>
      <w:r>
        <w:t>Señalan los recurrentes que podría pensarse que al desaparecer la prestación del servicio público de radio y televisión también desaparece esa posibilidad y la garantía jurídica específica de control sobre RTVV. Sin embargo, la lógica constitucional parece apuntar que, precisamente, por este cierre es todavía más procedente dicha regulación del control parlamentario para todo el proceso y especialmente para la fijación de la fecha de finalización de las emisiones, constatando si se han salvaguardado los intereses de los ciudadanos. Dicho en otras palabras, si el control parlamentario es obligado para la regulación de los medios de comunicación públicos, debe serlo tanto para su creación como para su cierre, en el caso de que estén funcionando.</w:t>
      </w:r>
    </w:p>
    <w:p w:rsidR="00A90898" w:rsidRDefault="00A90898" w:rsidP="00A90898">
      <w:pPr>
        <w:pStyle w:val="TextoNormal"/>
      </w:pPr>
    </w:p>
    <w:p w:rsidR="00A90898" w:rsidRDefault="00A90898" w:rsidP="00A90898">
      <w:pPr>
        <w:pStyle w:val="TextoNormal"/>
      </w:pPr>
      <w:r>
        <w:t>En cambio en la Ley 4/2013 no se contempla ninguna previsión para mantener esa efectividad o reforzar el control parlamentario en el proceso de liquidación y cierre de RTVV, frente al mantenimiento de una posición absoluta y absolutista del Consell, que como Junta General nombra a los liquidadores y dirige todo el proceso de cierre.</w:t>
      </w:r>
    </w:p>
    <w:p w:rsidR="00A90898" w:rsidRDefault="00A90898" w:rsidP="00A90898">
      <w:pPr>
        <w:pStyle w:val="TextoNormal"/>
      </w:pPr>
    </w:p>
    <w:p w:rsidR="00A90898" w:rsidRDefault="00A90898" w:rsidP="00A90898">
      <w:pPr>
        <w:pStyle w:val="TextoNormal"/>
      </w:pPr>
      <w:r>
        <w:t>Así una ley que regula el cierre de un medio de comunicación público no puede impedir que durante dicho proceso se produzca el control parlamentario. Concluyen los recurrentes solicitando la declaración de inconstitucionalidad de la Ley 4/2013 por vulnerar los artículos 20.3 y 23.2 del texto constitucional.</w:t>
      </w:r>
    </w:p>
    <w:p w:rsidR="00A90898" w:rsidRDefault="00A90898" w:rsidP="00A90898">
      <w:pPr>
        <w:pStyle w:val="TextoNormal"/>
      </w:pPr>
    </w:p>
    <w:p w:rsidR="00A90898" w:rsidRDefault="00A90898" w:rsidP="00A90898">
      <w:pPr>
        <w:pStyle w:val="TextoNormal"/>
      </w:pPr>
      <w:r>
        <w:t xml:space="preserve">c) Alegan en tercer lugar la inconstitucionalidad de la Ley 4/2013, de 27 de noviembre, de la Generalitat, por vulneración de los artículos 20.1 a) y d), y 20.3, en relación con los artículos 9.2 y 10.1, todos ellos de la Constitución, por cercenar el derecho a la libertad de </w:t>
      </w:r>
      <w:r>
        <w:lastRenderedPageBreak/>
        <w:t>expresión y el derecho a recibir información, impidiendo el libre desarrollo de la personalidad, de los ciudadanos de la Comunitat Valenciana, e incumpliendo la obligación de los poderes públicos de promover las condiciones para que la libertad y la igualdad del individuo y de los grupos sean reales y efectivas.</w:t>
      </w:r>
    </w:p>
    <w:p w:rsidR="00A90898" w:rsidRDefault="00A90898" w:rsidP="00A90898">
      <w:pPr>
        <w:pStyle w:val="TextoNormal"/>
      </w:pPr>
    </w:p>
    <w:p w:rsidR="00A90898" w:rsidRDefault="00A90898" w:rsidP="00A90898">
      <w:pPr>
        <w:pStyle w:val="TextoNormal"/>
      </w:pPr>
      <w:r>
        <w:t>La renuncia a la prestación del servicio público de radio y televisión autonómica y el cierre de las emisiones que estaba difundiendo RTVV, supone para los recurrentes cercenar las libertades y derechos a los ciudadanos de la Comunitat Valenciana a expresarse y a recibir unos contenidos y unas informaciones sobre su propia realidad socio cultural y lingüística que, en el ámbito audiovisual, no están cubiertas por ningún otro medio público —Televisión Española apenas tiene una hora diaria de información y contenidos referidos a la Comunitat Valenciana, y Radio Nacional de España solo mantiene algunas desconexiones horarias puntuales—, ni privado —los dos concesionarios de televisión de ámbito autonómico realizan casi toda su programación en cadena, sobre contenidos de ámbito estatal y apenas dedican algunos programas a temas de la Comunitat Valenciana—.</w:t>
      </w:r>
    </w:p>
    <w:p w:rsidR="00A90898" w:rsidRDefault="00A90898" w:rsidP="00A90898">
      <w:pPr>
        <w:pStyle w:val="TextoNormal"/>
      </w:pPr>
    </w:p>
    <w:p w:rsidR="00A90898" w:rsidRDefault="00A90898" w:rsidP="00A90898">
      <w:pPr>
        <w:pStyle w:val="TextoNormal"/>
      </w:pPr>
      <w:r>
        <w:t>Por lo tanto, para los recurrentes, con lo establecido en esta Ley se están hurtando unas libertades y derechos de los ciudadanos de la Comunitat Valenciana a disfrutar de un servicio público esencial que estaban utilizando desde hacía 24 años.</w:t>
      </w:r>
    </w:p>
    <w:p w:rsidR="00A90898" w:rsidRDefault="00A90898" w:rsidP="00A90898">
      <w:pPr>
        <w:pStyle w:val="TextoNormal"/>
      </w:pPr>
    </w:p>
    <w:p w:rsidR="00A90898" w:rsidRDefault="00A90898" w:rsidP="00A90898">
      <w:pPr>
        <w:pStyle w:val="TextoNormal"/>
      </w:pPr>
      <w:r>
        <w:t>A juicio de los recurrentes el presente caso no es comparable, ni le resulta aplicable lo resuelto en la STC 86/1982, de 23 de diciembre, respecto a la Ley 11/1982, de 13 de abril, de supresión del organismo autónomo Medios de Comunicación Social del Estado, puesto que ni se debatía la misma cuestión, ni puede entenderse que el pronunciamiento sobre una ley de supresión de un organismo público de gestión, para la posterior privatización o liquidación de algunos medios impresos del Estado, sea equiparable a la renuncia a la prestación del servicio público de radio y televisión autonómica que no puede sustituirse por ningún otro medio. La existencia y el servicio público en información y contenidos que ofrecen los medios de comunicación autonómicos, en especial en las Comunidades con claras identidades históricas, culturales y lingüísticas, se necesitan en mucho mayor grado, ni siquiera son comparables con el servicio público que ofrece RTVE, cuya información y contenidos, en alguna medida, podrían entenderse sustituidos por los que ofrecen las otras cadenas privadas sin dejar de atender estas identidades.</w:t>
      </w:r>
    </w:p>
    <w:p w:rsidR="00A90898" w:rsidRDefault="00A90898" w:rsidP="00A90898">
      <w:pPr>
        <w:pStyle w:val="TextoNormal"/>
      </w:pPr>
    </w:p>
    <w:p w:rsidR="00A90898" w:rsidRDefault="00A90898" w:rsidP="00A90898">
      <w:pPr>
        <w:pStyle w:val="TextoNormal"/>
      </w:pPr>
      <w:r>
        <w:t>Para los recurrentes se impone y se necesita un pronunciamiento actualizado del Tribunal Constitucional, especialmente sobre el derecho a seguir recibiendo una información y unos contenidos que se cercenan con la Ley 4/2013, ya que no pueden recibirse de otra manera, en una clara afectación y vulneración de los derechos reconocidos en el artículo 20.1 de la Constitución en relación con los artículos 9.2 y 10.1 de la misma.</w:t>
      </w:r>
    </w:p>
    <w:p w:rsidR="00A90898" w:rsidRDefault="00A90898" w:rsidP="00A90898">
      <w:pPr>
        <w:pStyle w:val="TextoNormal"/>
      </w:pPr>
    </w:p>
    <w:p w:rsidR="00A90898" w:rsidRDefault="00A90898" w:rsidP="00A90898">
      <w:pPr>
        <w:pStyle w:val="TextoNormal"/>
      </w:pPr>
      <w:r>
        <w:t>d) En cuarto lugar se alega en el recurso presentado la inconstitucionalidad de la Ley 4/2013, de 27 de noviembre, de la Generalitat, por vulneración de los artículos 20.1 a), 20.1 d), y 20.3, en relación con el 149.1.27, así como los artículos 9.2 y 10, todos ellos de la Constitución, por cercenar el derecho a expresarse y recibir información y contenidos audiovisuales en la lengua propia de los ciudadanos de la Comunitat Valenciana.</w:t>
      </w:r>
    </w:p>
    <w:p w:rsidR="00A90898" w:rsidRDefault="00A90898" w:rsidP="00A90898">
      <w:pPr>
        <w:pStyle w:val="TextoNormal"/>
      </w:pPr>
    </w:p>
    <w:p w:rsidR="00A90898" w:rsidRDefault="00A90898" w:rsidP="00A90898">
      <w:pPr>
        <w:pStyle w:val="TextoNormal"/>
      </w:pPr>
      <w:r>
        <w:lastRenderedPageBreak/>
        <w:t>La Ley 4/2013 de la Generalitat, parece ignorar la legislación básica del Estado en la materia, sobre todo la recogida en los artículos 4.3 y 5.1 de la Ley 7/2010, general de comunicación audiovisual, que establecen en el artículo 4.3 que “los operadores de servicios de comunicación audiovisual promoverán el conocimiento y la difusión de las lenguas oficiales del Estado y de sus expresiones culturales. En este sentido, los operadores de titularidad pública contribuirán a la promoción de la industria cultural, en especial a la de creaciones audiovisuales vinculadas a las distintas lenguas y culturas existentes en el Estado” y en el artículo 5.1. “El derecho a la diversidad cultural y lingüística. 1. Todas las personas tienen el derecho a que la comunicación audiovisual incluya una programación en abierto que refleje la diversidad cultural y lingüística de la ciudadanía”. La Ley 4/2013 de la Generalitat igualmente ignora el art. 56 del Estatuto de Autonomía de la Comunitat Valenciana (EAV). El legislador autonómico suprime el servicio y, sin embargo, no regula ni prevé de qué manera llevará a cabo este mandato de la legislación básica estatal y del Estatuto de Autonomía para la Comunidad Valenciana, que hasta el momento se realizaba con las emisiones de RTVV.</w:t>
      </w:r>
    </w:p>
    <w:p w:rsidR="00A90898" w:rsidRDefault="00A90898" w:rsidP="00A90898">
      <w:pPr>
        <w:pStyle w:val="TextoNormal"/>
      </w:pPr>
    </w:p>
    <w:p w:rsidR="00A90898" w:rsidRDefault="00A90898" w:rsidP="00A90898">
      <w:pPr>
        <w:pStyle w:val="TextoNormal"/>
      </w:pPr>
      <w:r>
        <w:t>La Ley también resulta inconstitucional por ser contraria a los compromisos internacionales que España ha contraído, a tenor de lo establecido en los arts. 96 y 10.2 CE.</w:t>
      </w:r>
    </w:p>
    <w:p w:rsidR="00A90898" w:rsidRDefault="00A90898" w:rsidP="00A90898">
      <w:pPr>
        <w:pStyle w:val="TextoNormal"/>
      </w:pPr>
    </w:p>
    <w:p w:rsidR="00A90898" w:rsidRDefault="00A90898" w:rsidP="00A90898">
      <w:pPr>
        <w:pStyle w:val="TextoNormal"/>
      </w:pPr>
      <w:r>
        <w:t>En concreto con la aprobación de esta Ley se están incumpliendo los derechos reconocidos en la Carta europea de las lenguas minoritarias o regionales, firmada en Estrasburgo el 5 de noviembre de 1992 por los Estados miembros del Consejo de Europa y ratificada por España el 9 de abril de 2001 (“BOE” de 15 de septiembre de 2001), e incorporada, en virtud del art. 96 de la Constitución, a nuestro ordenamiento. Según lo preceptuado en los artículos 2 y 11 de la citada Carta europea de las lenguas minoritarias o regionales, y los compromisos contraídos por España, los países firmantes se comprometen a crear o mantener medios de comunicación para los hablantes de lenguas regionales o minoritarias, en los territorios en que se hablen dichas lenguas, según sea la situación de cada una de ellas, y en la medida en que las autoridades públicas, de manera directa o indirecta, tengan competencias en dicho ámbito, respetando al propio tiempo los principios de independencia y de autonomía de los medios de comunicación.</w:t>
      </w:r>
    </w:p>
    <w:p w:rsidR="00A90898" w:rsidRDefault="00A90898" w:rsidP="00A90898">
      <w:pPr>
        <w:pStyle w:val="TextoNormal"/>
      </w:pPr>
    </w:p>
    <w:p w:rsidR="00A90898" w:rsidRDefault="00A90898" w:rsidP="00A90898">
      <w:pPr>
        <w:pStyle w:val="TextoNormal"/>
      </w:pPr>
      <w:r>
        <w:t>Para los recurrentes con la aprobación de Ley 4/2013 de la Generalitat Valenciana, al decretar el cierre de RTVV y renunciar a la prestación del servicio público de radio y televisión en la lengua minoritaria, sin prever, contemplar, ni regular de qué manera se van a cubrir los derechos a estos ciudadanos que, conforme a los compromisos internacionales contraídos por España, tienen derecho a disfrutarlos, está incumpliendo esta normativa internacional e incurriendo en una quiebra de los derechos lingüísticos de las minorías, con una clara vulneración de los mandatos constitucionales, conforme reconoce la jurisprudencia del Tribunal Europeo de Derechos Humanos sobre esta cuestión, y que debe reconocer el Tribunal Constitucional declarando inconstitucional la Ley 4/2013.</w:t>
      </w:r>
    </w:p>
    <w:p w:rsidR="00A90898" w:rsidRDefault="00A90898" w:rsidP="00A90898">
      <w:pPr>
        <w:pStyle w:val="TextoNormal"/>
      </w:pPr>
    </w:p>
    <w:p w:rsidR="00A90898" w:rsidRDefault="00A90898" w:rsidP="00A90898">
      <w:pPr>
        <w:pStyle w:val="TextoNormal"/>
      </w:pPr>
      <w:r>
        <w:t>e) Se alega, asimismo, la inconstitucionalidad de la Ley 4/2013, de 27 de noviembre, de la Generalitat, por vulneración del artículo 20.3 de la Constitución, al limitar el acceso a los medios de comunicación públicos de la Comunitat Valenciana de los grupos sociales y políticos significativos, respetando el pluralismo de la sociedad y las diversas lenguas de España.</w:t>
      </w:r>
    </w:p>
    <w:p w:rsidR="00A90898" w:rsidRDefault="00A90898" w:rsidP="00A90898">
      <w:pPr>
        <w:pStyle w:val="TextoNormal"/>
      </w:pPr>
    </w:p>
    <w:p w:rsidR="00A90898" w:rsidRDefault="00A90898" w:rsidP="00A90898">
      <w:pPr>
        <w:pStyle w:val="TextoNormal"/>
      </w:pPr>
      <w:r>
        <w:lastRenderedPageBreak/>
        <w:t>Señalan los recurrentes que la Ley 4/2013, al disponer el cierre de la radio y la televisión pública autonómica, también está limitando el derecho específico de acceso de los grupos sociales y políticos significativos que operan en el ámbito de la Comunitat Valenciana, dado que la única programación pública de televisión que va a quedar tras el cierre de RTVV se reduce a apenas una hora al día para todos los contenidos e información que antes se ofrecían por los dos canales autonómicos, y algo parecido acurre con la radio. Con ello se coarta este acceso de los numerosos grupos sociales y políticos específicos de una Comunitat Valenciana.</w:t>
      </w:r>
    </w:p>
    <w:p w:rsidR="00A90898" w:rsidRDefault="00A90898" w:rsidP="00A90898">
      <w:pPr>
        <w:pStyle w:val="TextoNormal"/>
      </w:pPr>
    </w:p>
    <w:p w:rsidR="00A90898" w:rsidRDefault="00A90898" w:rsidP="00A90898">
      <w:pPr>
        <w:pStyle w:val="TextoNormal"/>
      </w:pPr>
      <w:r>
        <w:t>Recuerdan los recurrentes la doctrina de esta Tribunal contenida en la STC 86/1982 y solicitan su revocación en la línea de lo sostenido en el Voto particular del Magistrado Díez de Velasco. Para los recurrentes el Tribunal debe pronunciarse sobre un debate y una realidad distinta a la que se pronunciaba la STC 86/1982, que se proyectaba sobre la realidad mediática de 1982, que con la Ley 11/1982 recurrida este derecho de acceso apenas se reducía, ya que se mantenía con la posibilidad de acceder a una televisión pública estatal que era la única televisión que estaba emitiendo y a una posición mayoritaria de la radio pública, que permitían mantener con ciertas garantías dicho acceso. Sin embargo, este derecho de acceso aplicado en 2014, con el evidente proceso de concentración multimedia y referido a una Comunidad Autónoma con características culturales y lingüísticas particulares, se ve totalmente restringido con la Ley 4/2013, que cercena las posibilidades de acceso a una radio y televisión pública autonómica, reduciendo, prácticamente a la nada, el acceso de los grupos sociales y políticos significativos específicos de la Comunitat Valenciana a los medios públicos, por lo que, en estos momentos, y con esta Ley 4/21013, la quiebra de este derecho de acceso resulta inconstitucional.</w:t>
      </w:r>
    </w:p>
    <w:p w:rsidR="00A90898" w:rsidRDefault="00A90898" w:rsidP="00A90898">
      <w:pPr>
        <w:pStyle w:val="TextoNormal"/>
      </w:pPr>
    </w:p>
    <w:p w:rsidR="00A90898" w:rsidRDefault="00A90898" w:rsidP="00A90898">
      <w:pPr>
        <w:pStyle w:val="TextoNormal"/>
      </w:pPr>
      <w:r>
        <w:t>f) Alegan los recurrentes la inconstitucionalidad de la Ley 4/2013, de 27 de noviembre, de la Generalitat, por vulneración de los principios constitucionales que amparan la división de poderes y la justicia como uno de los valores superiores del ordenamiento jurídico, y en especial del artículo 9.3 que garantiza, entre otros principios, la seguridad jurídica y la no interdicción de la arbitrariedad de los poderes públicos, el artículo 24.1 al reconocer el derecho a la tutela judicial efectiva y del artículo 118, también del texto constitucional, en el que se establece la obligatoriedad del cumplimiento de las sentencias y demás resoluciones firmes de jueces y tribunales.</w:t>
      </w:r>
    </w:p>
    <w:p w:rsidR="00A90898" w:rsidRDefault="00A90898" w:rsidP="00A90898">
      <w:pPr>
        <w:pStyle w:val="TextoNormal"/>
      </w:pPr>
    </w:p>
    <w:p w:rsidR="00A90898" w:rsidRDefault="00A90898" w:rsidP="00A90898">
      <w:pPr>
        <w:pStyle w:val="TextoNormal"/>
      </w:pPr>
      <w:r>
        <w:t>Lo pretendido con la tramitación y el contenido de la Ley 4/2013, es un intento de esquivar e impedir la acción de la Justicia y el Estado de Derecho, con una actuación totalmente discrecional de la Administración y, en este caso de Les Corts, que aprueban una especie de ley singular para conseguir el efecto de cerrar RTVV y desvirtuar lo dictado en la Sentencia del Tribunal Justicia de la Comunidad Valenciana 2338/2013, en contra de la doctrina del propio Tribunal Constitucional en materia de ley singular.</w:t>
      </w:r>
    </w:p>
    <w:p w:rsidR="00A90898" w:rsidRDefault="00A90898" w:rsidP="00A90898">
      <w:pPr>
        <w:pStyle w:val="TextoNormal"/>
      </w:pPr>
    </w:p>
    <w:p w:rsidR="00A90898" w:rsidRDefault="00A90898" w:rsidP="00A90898">
      <w:pPr>
        <w:pStyle w:val="TextoNormal"/>
      </w:pPr>
      <w:r>
        <w:t>g) Alegan finalmente los recurrentes que con lo preceptuado en la disposición adicional primera de la Ley 4/2013 se ha obligado a que el cierre, en el aspecto laboral, deba efectuarse conforme al procedimiento establecido en el artículo 51 y la disposición adicional vigésima de la Ley del estatuto de los trabajadores. Es decir, se obliga a que los derechos económicos que les pueden corresponder a los trabajadores por el despido se deriven y se computen a partir de un supuesto ERE de extinción, produciéndose una afectación directa de los dere</w:t>
      </w:r>
      <w:r>
        <w:lastRenderedPageBreak/>
        <w:t>chos individuales de los trabajadores, en un claro atentado contra el derecho a la tutela judicial efectiva consagrada en el art. 24.1 CE, que incluye la llamada garantía de indemnidad, entendida como la tutela vertebrada por el ordenamiento jurídico tendente a proteger al accionante de derechos laborales o funcionariales de toda represalia que provenga de su empresa o Administración por el mero hecho de haber pretendido acceder a los tribunales para la defensa de sus derechos.</w:t>
      </w:r>
    </w:p>
    <w:p w:rsidR="00A90898" w:rsidRDefault="00A90898" w:rsidP="00A90898">
      <w:pPr>
        <w:pStyle w:val="TextoNormal"/>
      </w:pPr>
    </w:p>
    <w:p w:rsidR="00A90898" w:rsidRDefault="00A90898" w:rsidP="00A90898">
      <w:pPr>
        <w:pStyle w:val="TextoNormal"/>
      </w:pPr>
      <w:r>
        <w:t>Además, con lo establecido en la disposición adicional primera de la Ley 4/2013, se condiciona y se cercenan todas las posibilidades de negociación sobre cualquier otra solución para los trabajadores que no sea el despido por un ERE de extinción, propiciando su inconstitucionalidad por una desproporcionalidad sobre la regulación en torno a unos derechos individuales en los que ya había recaído una sentencia firme, y que no debían constituir un objetivo regulatorio conforme al objetivo pretendido de la Ley.</w:t>
      </w:r>
    </w:p>
    <w:p w:rsidR="00A90898" w:rsidRDefault="00A90898" w:rsidP="00A90898">
      <w:pPr>
        <w:pStyle w:val="TextoNormal"/>
      </w:pPr>
    </w:p>
    <w:p w:rsidR="00A90898" w:rsidRDefault="00A90898" w:rsidP="00A90898">
      <w:pPr>
        <w:pStyle w:val="TextoNormal"/>
      </w:pPr>
      <w:r>
        <w:t>Para los recurrentes resulta evidente la clara vulneración del derecho a la tutela judicial efectiva recogido en el art. 24.1 de la Constitución, y específicamente de la garantía de indemnidad de los trabajadores de RTVV, que por haber realizado una reclamación judicial previa y con una sentencia favorable a sus pretensiones, se ven abocados a un despido colectivo a través de un ERE de extinción fijado por la Ley recurrida y, con ello, a unas indemnizaciones de menor cuantía, de las que les hubiesen correspondido con la situación previa al aplicarse la Sentencia o con un cierre patronal.</w:t>
      </w:r>
    </w:p>
    <w:p w:rsidR="00A90898" w:rsidRDefault="00A90898" w:rsidP="00A90898">
      <w:pPr>
        <w:pStyle w:val="TextoNormal"/>
      </w:pPr>
    </w:p>
    <w:p w:rsidR="00A90898" w:rsidRDefault="00A90898" w:rsidP="00A90898">
      <w:pPr>
        <w:pStyle w:val="TextoNormal"/>
      </w:pPr>
      <w:r w:rsidRPr="00A90898">
        <w:rPr>
          <w:rStyle w:val="NumeroAFNegritaCaracter"/>
        </w:rPr>
        <w:t>4</w:t>
      </w:r>
      <w:r>
        <w:t>. El Pleno mediante providencia de fecha 10 de marzo de 2014, admitió a trámite el recurso de inconstitucionalidad y acordó dar traslado de la demanda y documentos presentados, conforme dispone el art. 34 de la Ley Orgánica del Tribunal Constitucional (LOTC), al Congreso de los Diputados y al Senado, al Gobierno de la Nación, así como a la Generalidad Valenciana y a las Cortes Valencianas, al objeto de que en el plazo de quince días puedan personarse en el proceso y formular alegaciones. Por último, se acordó publicar la incoación del recurso en el “Boletín Oficial del Estado” y en el “Diari Oficial de la Generalitat Valenciana”.</w:t>
      </w:r>
    </w:p>
    <w:p w:rsidR="00A90898" w:rsidRDefault="00A90898" w:rsidP="00A90898">
      <w:pPr>
        <w:pStyle w:val="TextoNormal"/>
      </w:pPr>
    </w:p>
    <w:p w:rsidR="00A90898" w:rsidRDefault="00A90898" w:rsidP="00A90898">
      <w:pPr>
        <w:pStyle w:val="TextoNormal"/>
      </w:pPr>
      <w:r w:rsidRPr="00A90898">
        <w:rPr>
          <w:rStyle w:val="NumeroAFNegritaCaracter"/>
        </w:rPr>
        <w:t>5</w:t>
      </w:r>
      <w:r>
        <w:t>. Con fecha 19 de marzo de 2014 se registra en el Tribunal un escrito del Presidente del Senado mediante el que se comunica que la Mesa de la Cámara ha adoptado el acuerdo de personarse en el proceso, poniéndose a disposición del Tribunal.</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en el Tribunal Constitucional el día 19 de marzo de 2014 el Presidente del Congreso de los Diputados comunica que la Mesa de la Cámara ha adoptado el acuerdo de personarse en el proceso, poniéndose, asimismo, a disposición del Tribunal.</w:t>
      </w:r>
    </w:p>
    <w:p w:rsidR="00A90898" w:rsidRDefault="00A90898" w:rsidP="00A90898">
      <w:pPr>
        <w:pStyle w:val="TextoNormal"/>
      </w:pPr>
    </w:p>
    <w:p w:rsidR="00A90898" w:rsidRDefault="00A90898" w:rsidP="00A90898">
      <w:pPr>
        <w:pStyle w:val="TextoNormal"/>
      </w:pPr>
      <w:r w:rsidRPr="00A90898">
        <w:rPr>
          <w:rStyle w:val="NumeroAFNegritaCaracter"/>
        </w:rPr>
        <w:t>7</w:t>
      </w:r>
      <w:r>
        <w:t>. Con fecha 26 de marzo de 2014 se registra escrito del Abogado del Estado en la representación que legalmente ostenta, en el que se persona y comunica que en el presente procedimiento no va a formular alegaciones.</w:t>
      </w:r>
    </w:p>
    <w:p w:rsidR="00A90898" w:rsidRDefault="00A90898" w:rsidP="00A90898">
      <w:pPr>
        <w:pStyle w:val="TextoNormal"/>
      </w:pPr>
    </w:p>
    <w:p w:rsidR="00A90898" w:rsidRDefault="00A90898" w:rsidP="00A90898">
      <w:pPr>
        <w:pStyle w:val="TextoNormal"/>
      </w:pPr>
      <w:r w:rsidRPr="00A90898">
        <w:rPr>
          <w:rStyle w:val="NumeroAFNegritaCaracter"/>
        </w:rPr>
        <w:t>8</w:t>
      </w:r>
      <w:r>
        <w:t>. El día 27 de marzo de 2014 el Director General de la Abogacía General de la Generalitat Valenciana, en la representación que legalmente ostenta, se dirige al Tribunal personándose en el proceso y solicita una prórroga para formular sus alegaciones.</w:t>
      </w:r>
    </w:p>
    <w:p w:rsidR="00A90898" w:rsidRDefault="00A90898" w:rsidP="00A90898">
      <w:pPr>
        <w:pStyle w:val="TextoNormal"/>
      </w:pPr>
    </w:p>
    <w:p w:rsidR="00A90898" w:rsidRDefault="00A90898" w:rsidP="00A90898">
      <w:pPr>
        <w:pStyle w:val="TextoNormal"/>
      </w:pPr>
      <w:r w:rsidRPr="00A90898">
        <w:rPr>
          <w:rStyle w:val="NumeroAFNegritaCaracter"/>
        </w:rPr>
        <w:t>9</w:t>
      </w:r>
      <w:r>
        <w:t>. El día 28 de marzo de 2014 el Pleno de este Tribunal acuerda incorporar a las actuaciones el escrito del Director General de la Abogacía General de la Generalitat Valenciana de 27 de marzo de 2014, tenerle por personado y concederle una prórroga de ocho días para formular las alegaciones.</w:t>
      </w:r>
    </w:p>
    <w:p w:rsidR="00A90898" w:rsidRDefault="00A90898" w:rsidP="00A90898">
      <w:pPr>
        <w:pStyle w:val="TextoNormal"/>
      </w:pPr>
    </w:p>
    <w:p w:rsidR="00A90898" w:rsidRDefault="00A90898" w:rsidP="00A90898">
      <w:pPr>
        <w:pStyle w:val="TextoNormal"/>
      </w:pPr>
      <w:r w:rsidRPr="00A90898">
        <w:rPr>
          <w:rStyle w:val="NumeroAFNegritaCaracter"/>
        </w:rPr>
        <w:t>10</w:t>
      </w:r>
      <w:r>
        <w:t>. El día 4 de abril de 2014 se registra en el Tribunal un escrito del Letrado de las Cortes Valencianas, en nombre y representación del mismo, en el que se solicita una prórroga para formular sus alegaciones.</w:t>
      </w:r>
    </w:p>
    <w:p w:rsidR="00A90898" w:rsidRDefault="00A90898" w:rsidP="00A90898">
      <w:pPr>
        <w:pStyle w:val="TextoNormal"/>
      </w:pPr>
    </w:p>
    <w:p w:rsidR="00A90898" w:rsidRDefault="00A90898" w:rsidP="00A90898">
      <w:pPr>
        <w:pStyle w:val="TextoNormal"/>
      </w:pPr>
      <w:r w:rsidRPr="00A90898">
        <w:rPr>
          <w:rStyle w:val="NumeroAFNegritaCaracter"/>
        </w:rPr>
        <w:t>11</w:t>
      </w:r>
      <w:r>
        <w:t>. El día 7 de abril de 2014 el Pleno de este Tribunal acuerda incorporar a las actuaciones el escrito del Letrado de las Cortes Valencianas de 4 de abril de 2014, tenerle por personado y concederle una prórroga de ocho días para formular las alegaciones.</w:t>
      </w:r>
    </w:p>
    <w:p w:rsidR="00A90898" w:rsidRDefault="00A90898" w:rsidP="00A90898">
      <w:pPr>
        <w:pStyle w:val="TextoNormal"/>
      </w:pPr>
    </w:p>
    <w:p w:rsidR="00A90898" w:rsidRDefault="00A90898" w:rsidP="00A90898">
      <w:pPr>
        <w:pStyle w:val="TextoNormal"/>
      </w:pPr>
      <w:r w:rsidRPr="00A90898">
        <w:rPr>
          <w:rStyle w:val="NumeroAFNegritaCaracter"/>
        </w:rPr>
        <w:t>12</w:t>
      </w:r>
      <w:r>
        <w:t>. Mediante escrito registrado en el Tribunal Constitucional el día 24 de abril de 2014 se registra el escrito mediante el cual el Letrado de las Cortes Valencianas formula las alegaciones que resumidamente se exponen.</w:t>
      </w:r>
    </w:p>
    <w:p w:rsidR="00A90898" w:rsidRDefault="00A90898" w:rsidP="00A90898">
      <w:pPr>
        <w:pStyle w:val="TextoNormal"/>
      </w:pPr>
    </w:p>
    <w:p w:rsidR="00A90898" w:rsidRDefault="00A90898" w:rsidP="00A90898">
      <w:pPr>
        <w:pStyle w:val="TextoNormal"/>
      </w:pPr>
      <w:r>
        <w:t>a) Tras exponer los antecedentes de la cuestión, sostiene el escrito del Letrado de las Cortes Valencianas que la Ley 4/2013, de 27 de noviembre, de la Generalitat, es conforme a los artículos 9.3 y 23.2 de la Constitución. La insistencia en que el origen de la Ley 4/2013 debiera ser un proyecto de ley supone negar la capacidad de iniciativa legislativa de los grupos parlamentarios para plantear propuestas ante la Cámara, lo que entra en contradicción directa con lo preceptuado tanto en el Estatuto de Autonomía como en el Reglamento de las Cortes Valencianas.</w:t>
      </w:r>
    </w:p>
    <w:p w:rsidR="00A90898" w:rsidRDefault="00A90898" w:rsidP="00A90898">
      <w:pPr>
        <w:pStyle w:val="TextoNormal"/>
      </w:pPr>
    </w:p>
    <w:p w:rsidR="00A90898" w:rsidRDefault="00A90898" w:rsidP="00A90898">
      <w:pPr>
        <w:pStyle w:val="TextoNormal"/>
      </w:pPr>
      <w:r>
        <w:t>El uso del procedimiento de lectura única no supone negar automáticamente a las Cámaras la posibilidad de participación de sus miembros. Los recurrentes no han acreditado que se haya producido alguna alteración del proceso de formación de la voluntad de la institución que representa la soberanía popular.</w:t>
      </w:r>
    </w:p>
    <w:p w:rsidR="00A90898" w:rsidRDefault="00A90898" w:rsidP="00A90898">
      <w:pPr>
        <w:pStyle w:val="TextoNormal"/>
      </w:pPr>
    </w:p>
    <w:p w:rsidR="00A90898" w:rsidRDefault="00A90898" w:rsidP="00A90898">
      <w:pPr>
        <w:pStyle w:val="TextoNormal"/>
      </w:pPr>
      <w:r>
        <w:t>En relación con la alegación de los recurrentes de la presunta ausencia de antecedentes, recuerda el escrito del Letrado de las Cortes que la STC 108/1986, referida en su momento al proyecto de Ley Orgánica del Poder Judicial, señalaba, como recoge la demanda presentada, que “la ausencia de un determinado precedente solo tendrá trascendencia si se hubiera privado a las cámaras de un elemento de juicio necesario para su decisión, pero en este caso, el efecto, tuvo que ser conocido de inmediato, hubiese debido ser denunciado ante las mismas cámaras y los recurrentes no alegan en ningún momento que esto ocurriese”. Señala el escrito del Letrado que el funcionamiento y la situación de la radio televisión valenciana era un tema común y constante en los debate parlamentarios, tanto como un tema específico de diferentes iniciativas como dentro de los debates de carácter general. Por ello no es posible afirmar que se careciera de información, de precedentes, que impidieran a la Cámara tener elementos de juicio necesarios para la adopción de la decisión.</w:t>
      </w:r>
    </w:p>
    <w:p w:rsidR="00A90898" w:rsidRDefault="00A90898" w:rsidP="00A90898">
      <w:pPr>
        <w:pStyle w:val="TextoNormal"/>
      </w:pPr>
    </w:p>
    <w:p w:rsidR="00A90898" w:rsidRDefault="00A90898" w:rsidP="00A90898">
      <w:pPr>
        <w:pStyle w:val="TextoNormal"/>
      </w:pPr>
      <w:r>
        <w:lastRenderedPageBreak/>
        <w:t>b) Argumenta en segundo lugar el escrito del Letrado parlamentario que la Ley 4/2013 no vulnera los artículos 20.3 y 23.2 de la Constitución, en concreto, el derecho de los ciudadanos a participar en los asuntos públicos directamente o por medio de representantes queda garantizado.</w:t>
      </w:r>
    </w:p>
    <w:p w:rsidR="00A90898" w:rsidRDefault="00A90898" w:rsidP="00A90898">
      <w:pPr>
        <w:pStyle w:val="TextoNormal"/>
      </w:pPr>
    </w:p>
    <w:p w:rsidR="00A90898" w:rsidRDefault="00A90898" w:rsidP="00A90898">
      <w:pPr>
        <w:pStyle w:val="TextoNormal"/>
      </w:pPr>
      <w:r>
        <w:t>La tesis mantenida en la demanda parece consistir en que la ausencia en la Ley 4/2013 de una previsión expresa de instrumentos de control parlamentario, supone que se renuncia o se hace imposible el ejercicio del control parlamentario de las actuaciones relacionadas con la liquidación y cierre de RTVV. Sin embargo, para el Letrado de las Cortes que no haya una previsión expresa dentro de esta Ley, no significa que no exista posibilidad de control, no supone un límite adicional al ejercicio de una función que corresponde a los parlamentarios y que “forma parte del núcleo esencial de su condición de representantes” (entre otras, ATC 215/2000).</w:t>
      </w:r>
    </w:p>
    <w:p w:rsidR="00A90898" w:rsidRDefault="00A90898" w:rsidP="00A90898">
      <w:pPr>
        <w:pStyle w:val="TextoNormal"/>
      </w:pPr>
    </w:p>
    <w:p w:rsidR="00A90898" w:rsidRDefault="00A90898" w:rsidP="00A90898">
      <w:pPr>
        <w:pStyle w:val="TextoNormal"/>
      </w:pPr>
      <w:r>
        <w:t>Los instrumentos de control de los que disponen los parlamentarios son aquellos, según el Letrado, que se encuentran previstos en el Reglamento parlamentario (preguntas, interpelaciones, comparecencias, solicitudes de información...), sin que se produzca un menoscabo, una limitación en su uso, por no existir una previsión expresa en la Ley 4/2013. La función de control no se ejercita a través de un único instrumento o una única modalidad de iniciativa, sino que hay un abanico amplio de instrumentos a través de los cuales los miembros del parlamento pueden ejercer la función de control.</w:t>
      </w:r>
    </w:p>
    <w:p w:rsidR="00A90898" w:rsidRDefault="00A90898" w:rsidP="00A90898">
      <w:pPr>
        <w:pStyle w:val="TextoNormal"/>
      </w:pPr>
    </w:p>
    <w:p w:rsidR="00A90898" w:rsidRDefault="00A90898" w:rsidP="00A90898">
      <w:pPr>
        <w:pStyle w:val="TextoNormal"/>
      </w:pPr>
      <w:r>
        <w:t>c) De acuerdo con el escrito del Letrado de las Cortes la libertad de expresión y del derecho a recibir información está, también, plenamente garantizada en la Comunitat Valenciana. Los arts. 20.1 a) y d) y 20.3 CE se encuentran adecuadamente protegidos en la Comunitat Valenciana.</w:t>
      </w:r>
    </w:p>
    <w:p w:rsidR="00A90898" w:rsidRDefault="00A90898" w:rsidP="00A90898">
      <w:pPr>
        <w:pStyle w:val="TextoNormal"/>
      </w:pPr>
    </w:p>
    <w:p w:rsidR="00A90898" w:rsidRDefault="00A90898" w:rsidP="00A90898">
      <w:pPr>
        <w:pStyle w:val="TextoNormal"/>
      </w:pPr>
      <w:r>
        <w:t>Señala el Letrado de las Cortes que la Ley 1/2006, del sector audiovisual valenciano establece un marco normativo en el que se asegura la garantía del pluralismo pero, además, la misma contempla un título específico al fomento de la actividad audiovisual, dentro de los que incluye un capítulo referido a la programación televisiva. Con la Ley 4/2013 no desaparece el marco normativo, legal y reglamentario, que permite que en el ámbito de la Comunitat Valenciana, exista el pluralismo en el sector audiovisual, sin injerencias, como reclama la sentencia, de las autoridades públicas. Éste se encuentra en la legislación general del sector audiovisual.</w:t>
      </w:r>
    </w:p>
    <w:p w:rsidR="00A90898" w:rsidRDefault="00A90898" w:rsidP="00A90898">
      <w:pPr>
        <w:pStyle w:val="TextoNormal"/>
      </w:pPr>
    </w:p>
    <w:p w:rsidR="00A90898" w:rsidRDefault="00A90898" w:rsidP="00A90898">
      <w:pPr>
        <w:pStyle w:val="TextoNormal"/>
      </w:pPr>
      <w:r>
        <w:t>La reclamación de un pronunciamiento actualizado sobre el derecho a seguir recibiendo una información y unos contenidos que se cercenan, según se dice en esta Ley 4/2013, cabe considerarla pues inapropiada e indebida.</w:t>
      </w:r>
    </w:p>
    <w:p w:rsidR="00A90898" w:rsidRDefault="00A90898" w:rsidP="00A90898">
      <w:pPr>
        <w:pStyle w:val="TextoNormal"/>
      </w:pPr>
    </w:p>
    <w:p w:rsidR="00A90898" w:rsidRDefault="00A90898" w:rsidP="00A90898">
      <w:pPr>
        <w:pStyle w:val="TextoNormal"/>
      </w:pPr>
      <w:r>
        <w:t>d) A continuación considera el escrito del Letrado de las Cortes que el derecho a expresar y recibir información y contenidos audiovisuales en lengua propia de los ciudadanos de la Comunitat Valenciana está garantizado por el Estatuto de Autonomía para la Comunidad Valenciana.</w:t>
      </w:r>
    </w:p>
    <w:p w:rsidR="00A90898" w:rsidRDefault="00A90898" w:rsidP="00A90898">
      <w:pPr>
        <w:pStyle w:val="TextoNormal"/>
      </w:pPr>
    </w:p>
    <w:p w:rsidR="00A90898" w:rsidRDefault="00A90898" w:rsidP="00A90898">
      <w:pPr>
        <w:pStyle w:val="TextoNormal"/>
      </w:pPr>
      <w:r>
        <w:t xml:space="preserve">El art. 56 EAV, dentro del marco del art. 149.1.27 CE, encontró desarrollo en la Ley 3/2012, ley que sustituía a la Ley 7/1984. El mandato que establece el precepto estatutario es que la Generalitat “podrá regular, crear y mantener televisión, radio y demás medios de </w:t>
      </w:r>
      <w:r>
        <w:lastRenderedPageBreak/>
        <w:t>comunicación social, de carácter público, para el cumplimiento de sus fines”. Lo que el art. 56 EAV establece es una habilitación para que, por parte de la Generalitat, dentro de la legislación básica, se pueda crear y mantener una televisión, radio o cualquier otro medio de comunicación público. No hay un mandato a los poderes públicos de la Generalitat para que establezcan o mantengan unos medios de comunicación.</w:t>
      </w:r>
    </w:p>
    <w:p w:rsidR="00A90898" w:rsidRDefault="00A90898" w:rsidP="00A90898">
      <w:pPr>
        <w:pStyle w:val="TextoNormal"/>
      </w:pPr>
    </w:p>
    <w:p w:rsidR="00A90898" w:rsidRDefault="00A90898" w:rsidP="00A90898">
      <w:pPr>
        <w:pStyle w:val="TextoNormal"/>
      </w:pPr>
      <w:r>
        <w:t>Considera el Letrado de las Cortes que ninguno de los compromisos internacionales señalados en la demanda se incumplen tampoco por la aprobación de la Ley 4/2013. La derogación de la ley no implica un incumplimiento, sino que éstos se pueden ejercitar por vías distintas a las que hasta ese momento podían realizarse. Las medidas de fomento, apoyo, y facilitación a las que se hace referencia no comportan el mantenimiento de unos medios de comunicación, televisión y radio que dependan directamente de la Generalitat, sino el compromiso de adoptar medidas fomento, apoyo y asistencia para los fines que se indican, que se desarrollan por medios distintos.</w:t>
      </w:r>
    </w:p>
    <w:p w:rsidR="00A90898" w:rsidRDefault="00A90898" w:rsidP="00A90898">
      <w:pPr>
        <w:pStyle w:val="TextoNormal"/>
      </w:pPr>
    </w:p>
    <w:p w:rsidR="00A90898" w:rsidRDefault="00A90898" w:rsidP="00A90898">
      <w:pPr>
        <w:pStyle w:val="TextoNormal"/>
      </w:pPr>
      <w:r>
        <w:t>e) Para el Letrado de las Cortes la Ley 4/2013, de 27 de noviembre, de la Generalitat, no limita asimismo derechos contemplados en el artículo 20.3 de la Constitución.</w:t>
      </w:r>
    </w:p>
    <w:p w:rsidR="00A90898" w:rsidRDefault="00A90898" w:rsidP="00A90898">
      <w:pPr>
        <w:pStyle w:val="TextoNormal"/>
      </w:pPr>
    </w:p>
    <w:p w:rsidR="00A90898" w:rsidRDefault="00A90898" w:rsidP="00A90898">
      <w:pPr>
        <w:pStyle w:val="TextoNormal"/>
      </w:pPr>
      <w:r>
        <w:t>Como se recuerda en el propio recurso, la STC 86/1982 viene a negar la alegación que se formula en aquel. El Tribunal Constitucional señalaba que “la ley impugnada no pueda calificarse como de desarrollo de los derechos fundamentales y libertades públicas comprendidas en el artículo 20, ya que no se refiere a ninguno de tales libertades y derechos, sino la supresión de un organismo autónomo ‘Medios de Comunicación Social del Estado’” (FJ 3). Asimismo señalaba el fundamento jurídico 4 que “el Tribunal no comparte esta interpretación del artículo 20.3 de la Constitución, que no pretende congelar la situación existente en cuanto a los medios de prensa, como ya hemos expuesto, sino garantizar que la organización, gestión y control de los medios de comunicación social que en cada momento dependan del Estado o de cualquier ente público se ajustarán a los criterios establecidos por el mencionado precepto, que no impide ni la supresión del organismo autónomo ‘Medios de Comunicación Social del Estado’, ni la enajenación de los medios de prensa actualmente integrados en el mismo”.</w:t>
      </w:r>
    </w:p>
    <w:p w:rsidR="00A90898" w:rsidRDefault="00A90898" w:rsidP="00A90898">
      <w:pPr>
        <w:pStyle w:val="TextoNormal"/>
      </w:pPr>
    </w:p>
    <w:p w:rsidR="00A90898" w:rsidRDefault="00A90898" w:rsidP="00A90898">
      <w:pPr>
        <w:pStyle w:val="TextoNormal"/>
      </w:pPr>
      <w:r>
        <w:t>Para el Letrado de las Cortes la doctrina del Tribunal Constitucional contenida en la referida STC 86/1982, de 23 de diciembre, se encuentra plenamente vigente en cuanto que el art. 20.3 CE lo que pretende es garantizar que la organización, gestión y control de los medios de comunicación social que en cada momento dependan del Estado o de cualquier ente público, se ajustará a los criterios establecidos por el precepto. Junto a ello, recuerda el Letrado de las Cortes, que la situación tecnológica del año 1982 era muy diferente de la que nos encontramos. En la actualidad, los grupos sociales y políticos no solamente pueden acceder a comunicarse con la sociedad a través de los medios tradicionales, incluyendo como tales a la televisión, sino que existen otros medios e instrumentos alternativos que permiten una comunicación eficiente, por lo que tampoco se produce una limitación al pluralismo.</w:t>
      </w:r>
    </w:p>
    <w:p w:rsidR="00A90898" w:rsidRDefault="00A90898" w:rsidP="00A90898">
      <w:pPr>
        <w:pStyle w:val="TextoNormal"/>
      </w:pPr>
    </w:p>
    <w:p w:rsidR="00A90898" w:rsidRDefault="00A90898" w:rsidP="00A90898">
      <w:pPr>
        <w:pStyle w:val="TextoNormal"/>
      </w:pPr>
      <w:r>
        <w:t>f) A continuación alega el Letrado de las Cortes Valencianas que la Ley 4/2013, de 27 de noviembre, respeta la separación de poderes, la seguridad jurídica y la tutela judicial efectiva.</w:t>
      </w:r>
    </w:p>
    <w:p w:rsidR="00A90898" w:rsidRDefault="00A90898" w:rsidP="00A90898">
      <w:pPr>
        <w:pStyle w:val="TextoNormal"/>
      </w:pPr>
    </w:p>
    <w:p w:rsidR="00A90898" w:rsidRDefault="00A90898" w:rsidP="00A90898">
      <w:pPr>
        <w:pStyle w:val="TextoNormal"/>
      </w:pPr>
      <w:r>
        <w:lastRenderedPageBreak/>
        <w:t xml:space="preserve">Señala el escrito del Letrado que el fallo del Tribunal Superior de Justicia 2338/2013 obliga a la reincorporación de los trabajadores afectados a los correspondientes puestos de trabajo. No supone que tras la reincorporación deben permanecer en la situación en que se encontraba la Radiotelevisión Valenciana previamente a los acuerdos que dieron lugar a la demanda. </w:t>
      </w:r>
      <w:r w:rsidRPr="00A90898">
        <w:rPr>
          <w:i/>
        </w:rPr>
        <w:t>A sensu contrario</w:t>
      </w:r>
      <w:r>
        <w:t>, para los recurrentes, si no hubiese existido el proceso de despido colectivo que dio lugar a la Sentencia del Tribunal Superior de Justicia, el legislador valenciano podría haber aprobado una ley como la Ley 4/2013, por la que se suprime la prestación de los servicios de radiodifusión y televisión de ámbito autonómico, de titularidad de la Generalitat, así como de disolución y liquidación de Radiotelevisión Valenciana, S.A.U.</w:t>
      </w:r>
    </w:p>
    <w:p w:rsidR="00A90898" w:rsidRDefault="00A90898" w:rsidP="00A90898">
      <w:pPr>
        <w:pStyle w:val="TextoNormal"/>
      </w:pPr>
    </w:p>
    <w:p w:rsidR="00A90898" w:rsidRDefault="00A90898" w:rsidP="00A90898">
      <w:pPr>
        <w:pStyle w:val="TextoNormal"/>
      </w:pPr>
      <w:r>
        <w:t>Para el letrado de las Cortes la Sentencia dictada por el Tribunal Superior de Justicia 2338/2013 genera consecuencias en la relación de los trabajadores con el ente público Radiotelevisión Valenciana y la sociedad Radiotelevisión Valenciana, S.A.U., pero ese marco de relaciones no supone que se limite la capacidad normativa de la Generalitat Valenciana, como se deriva de la pretensión formulada en la demanda. Ni el Consell de la Generalitat ni las Cortes Valencianas han adoptado una actitud hostil o infractora de la Sentencia dictada por el Tribunal Superior de Justicia. La Sentencia 2338/2013, de 4 de noviembre, de la Sala de lo Social del Tribunal Superior de Justicia de la Comunitat Valenciana ha sido cumplida en los términos expresados en la misma.</w:t>
      </w:r>
    </w:p>
    <w:p w:rsidR="00A90898" w:rsidRDefault="00A90898" w:rsidP="00A90898">
      <w:pPr>
        <w:pStyle w:val="TextoNormal"/>
      </w:pPr>
    </w:p>
    <w:p w:rsidR="00A90898" w:rsidRDefault="00A90898" w:rsidP="00A90898">
      <w:pPr>
        <w:pStyle w:val="TextoNormal"/>
      </w:pPr>
      <w:r>
        <w:t>La Ley 4/2013, de 27 de noviembre, de supresión de la prestación de los servicios de radiodifusión y televisión de ámbito autonómico, de titularidad de la Generalitat, así como de disolución y liquidación de Radiotelevisión Valenciana, S.A.U., es una ley cuyo único objeto es suprimir la prestación de unos servicios y la disolución y liquidación de una entidad que habían sido regulados por una ley exclusivamente destinada a tal fin, la Ley 3/2012, de 20 de julio, de estatuto de radiotelevisión valenciana. Deroga, por lo tanto, una ley que regulaba singularmente la Radiotelevisión Valenciana y la prestación del servicio prestado por la Radiotelevisión Valenciana.</w:t>
      </w:r>
    </w:p>
    <w:p w:rsidR="00A90898" w:rsidRDefault="00A90898" w:rsidP="00A90898">
      <w:pPr>
        <w:pStyle w:val="TextoNormal"/>
      </w:pPr>
    </w:p>
    <w:p w:rsidR="00A90898" w:rsidRDefault="00A90898" w:rsidP="00A90898">
      <w:pPr>
        <w:pStyle w:val="TextoNormal"/>
      </w:pPr>
      <w:r>
        <w:t>g) Recuerda el escrito del Letrado de las Cortes que el último fundamento de la demanda considera que la disposición adicional primera de la Ley 4/2013 supone una vulneración de la garantía de tutela judicial efectiva, consagrada en el art. 24.1 CE, dado que a su juicio, la Ley es una medida de represalia contra el ejercicio de los derechos de los trabajadores.</w:t>
      </w:r>
    </w:p>
    <w:p w:rsidR="00A90898" w:rsidRDefault="00A90898" w:rsidP="00A90898">
      <w:pPr>
        <w:pStyle w:val="TextoNormal"/>
      </w:pPr>
    </w:p>
    <w:p w:rsidR="00A90898" w:rsidRDefault="00A90898" w:rsidP="00A90898">
      <w:pPr>
        <w:pStyle w:val="TextoNormal"/>
      </w:pPr>
      <w:r>
        <w:t>De acuerdo con el escrito del Letrado de las Cortes la disposición adicional primera de la Ley 4/2013 dispone el procedimiento a seguir en relación a la plantilla como consecuencia del disolución, extinción y liquidación de Radiotelevisión Valenciana, S.A.U. La disposición adicional primera se limita a recoger la regulación que establece el Real Decreto Legislativo 1/1995, de 24 de marzo, por el que se aprueba el texto refundido de la Ley del estatuto de los trabajadores para los supuestos de despido colectivo (artículo 51) y la de aplicación del despido por causas económicas, técnicas, organizativas o de producción en el sector público (disposición adicional vigésima), ámbito en el que cabría encuadrar la situación que se ha producido tras la disolución y extinción de Radiotelevisión Valenciana, S.A.U. No hay una limitación de ningún derecho de los trabajadores de Radiotelevisión Valenciana, S.A.U., sino una especificación de la normativa de aplicación.</w:t>
      </w:r>
    </w:p>
    <w:p w:rsidR="00A90898" w:rsidRDefault="00A90898" w:rsidP="00A90898">
      <w:pPr>
        <w:pStyle w:val="TextoNormal"/>
      </w:pPr>
    </w:p>
    <w:p w:rsidR="00A90898" w:rsidRDefault="00A90898" w:rsidP="00A90898">
      <w:pPr>
        <w:pStyle w:val="TextoNormal"/>
      </w:pPr>
      <w:r>
        <w:lastRenderedPageBreak/>
        <w:t>Finalmente el escrito del Letrado de las Cortes responde a la afirmación de que Ley 4/2013 supone una vulneración del derecho a la tutela judicial efectiva en su vertiente a la indemnidad, pues tal concepción supondría restringir la capacidad del poder legislativo reconocido en el Estatuto de Autonomía de la Comunidad Valenciana. La decisión sobre el mantenimiento de la Radiotelevisión Valenciana no puede corresponder a quienes representan legítimos intereses de los trabajadores sino a quienes representan al conjunto de los ciudadanos de la Comunidad Valenciana.</w:t>
      </w:r>
    </w:p>
    <w:p w:rsidR="00A90898" w:rsidRDefault="00A90898" w:rsidP="00A90898">
      <w:pPr>
        <w:pStyle w:val="TextoNormal"/>
      </w:pPr>
    </w:p>
    <w:p w:rsidR="00A90898" w:rsidRDefault="00A90898" w:rsidP="00A90898">
      <w:pPr>
        <w:pStyle w:val="TextoNormal"/>
      </w:pPr>
      <w:r>
        <w:t>La Ley 4/2013, de 27 de noviembre, no es, por tanto, ninguna decisión empresarial de represalia sino el ejercicio de las competencias legislativas que le atribuye el Estatuto de Autonomía para la Comunidad Valenciana, al estimar la mayoría que el mantenimiento de la misma es insostenible.</w:t>
      </w:r>
    </w:p>
    <w:p w:rsidR="00A90898" w:rsidRDefault="00A90898" w:rsidP="00A90898">
      <w:pPr>
        <w:pStyle w:val="TextoNormal"/>
      </w:pPr>
    </w:p>
    <w:p w:rsidR="00A90898" w:rsidRDefault="00A90898" w:rsidP="00A90898">
      <w:pPr>
        <w:pStyle w:val="TextoNormal"/>
      </w:pPr>
      <w:r>
        <w:t>Concluye su escrito el Letrado de las Cortes solicitando la desestimación del recurso de inconstitucionalidad y la declaración de que la Ley 4/2013, de 27 de noviembre, de supresión de la prestación de los servicios de radiodifusión y televisión de ámbito autonómico, de titularidad de la Generalitat, así como de disolución y liquidación de Radiotelevisión Valenciana, S.A.U., es conforme al ordenamiento constitucional y estatutario.</w:t>
      </w:r>
    </w:p>
    <w:p w:rsidR="00A90898" w:rsidRDefault="00A90898" w:rsidP="00A90898">
      <w:pPr>
        <w:pStyle w:val="TextoNormal"/>
      </w:pPr>
    </w:p>
    <w:p w:rsidR="00A90898" w:rsidRDefault="00A90898" w:rsidP="00A90898">
      <w:pPr>
        <w:pStyle w:val="TextoNormal"/>
      </w:pPr>
      <w:r w:rsidRPr="00A90898">
        <w:rPr>
          <w:rStyle w:val="NumeroAFNegritaCaracter"/>
        </w:rPr>
        <w:t>13</w:t>
      </w:r>
      <w:r>
        <w:t>. Mediante escrito registrado en el Tribunal Constitucional el día 25 de abril de 2014 el Director General de la Abogacía General de la Generalitat Valenciana, en nombre y representación de la misma, formula las alegaciones que resumidamente se exponen.</w:t>
      </w:r>
    </w:p>
    <w:p w:rsidR="00A90898" w:rsidRDefault="00A90898" w:rsidP="00A90898">
      <w:pPr>
        <w:pStyle w:val="TextoNormal"/>
      </w:pPr>
    </w:p>
    <w:p w:rsidR="00A90898" w:rsidRDefault="00A90898" w:rsidP="00A90898">
      <w:pPr>
        <w:pStyle w:val="TextoNormal"/>
      </w:pPr>
      <w:r>
        <w:t>a) Comienza el escrito del Director General de la Abogacía General de la Generalitat Valenciana abordando una serie de cuestiones previas. Así niega la existencia de una obligación de los poderes públicos de mantener un servicio público de radiodifusión y televisión, pues ello es ajeno al contenido de la Constitución, al del Estatuto de Autonomía de la Comunitat Valenciana, así como al régimen jurídico contenido en la Ley básica estatal 7/2010, de 31 de marzo, general de la comunicación audiovisual. La Constitución contempla una realidad palpable anterior y coetánea a su aprobación (la existencia de medios de comunicación estatales) previendo una serie de principios que deben ser respetados, elevándolos al rango de constitucionales, pero no determina la obligatoriedad de mantener medios públicos de radiodifusión y televisión, ni los considera un servicio público de necesaria prestación por parte de los poderes públicos.</w:t>
      </w:r>
    </w:p>
    <w:p w:rsidR="00A90898" w:rsidRDefault="00A90898" w:rsidP="00A90898">
      <w:pPr>
        <w:pStyle w:val="TextoNormal"/>
      </w:pPr>
    </w:p>
    <w:p w:rsidR="00A90898" w:rsidRDefault="00A90898" w:rsidP="00A90898">
      <w:pPr>
        <w:pStyle w:val="TextoNormal"/>
      </w:pPr>
      <w:r>
        <w:t>Siguiendo con el análisis de las normas que integran el bloque de constitucionalidad, recuerda el escrito del Director General de la Abogacía General de la Generalitat Valenciana que el Estatuto de Autonomía de la Comunitat Valenciana contiene un precepto que contempla la existencia de medios de comunicación de titularidad pública. Se trata del artículo 56.2, el cual textualmente indica: “la Generalitat podrá regular, crear y mantener televisión, radio y demás medios de comunicación social, de carácter público, para el cumplimiento de sus fines”. Destaca el representante de la Generalitat el carácter disponible del que goza dicho precepto, lo cual nos aleja radicalmente de la idea de la existencia obligatoria de un servicio público de radiodifusión y televisión.</w:t>
      </w:r>
    </w:p>
    <w:p w:rsidR="00A90898" w:rsidRDefault="00A90898" w:rsidP="00A90898">
      <w:pPr>
        <w:pStyle w:val="TextoNormal"/>
      </w:pPr>
    </w:p>
    <w:p w:rsidR="00A90898" w:rsidRDefault="00A90898" w:rsidP="00A90898">
      <w:pPr>
        <w:pStyle w:val="TextoNormal"/>
      </w:pPr>
      <w:r>
        <w:t xml:space="preserve">En la misma línea se pronuncia la Ley 7/2010, de 31 de marzo, general de la comunicación audiovisual, cuyo artículo 40.2 establece: “el Estado, las Comunidades Autónomas y las Entidades Locales podrán acordar la prestación del servicio público de comunicación </w:t>
      </w:r>
      <w:r>
        <w:lastRenderedPageBreak/>
        <w:t>audiovisual con objeto de emitir en abierto canales generalistas o temáticos”. De todo ello deduce que en el presente momento, la determinación de los poderes públicos de poner en funcionamiento un medio de comunicación propio es una decisión de carácter político, no una obligación, decisión que conlleva de forma evidente tanto la posibilidad de crearlos, como la de prescindir de dichos medios por las razones que se consideren oportunas. La decisión de prescindir de un medio de comunicación de carácter público ya fue avalada por el Tribunal Constitucional en su Sentencia 86/1982, de 23 de diciembre.</w:t>
      </w:r>
    </w:p>
    <w:p w:rsidR="00A90898" w:rsidRDefault="00A90898" w:rsidP="00A90898">
      <w:pPr>
        <w:pStyle w:val="TextoNormal"/>
      </w:pPr>
    </w:p>
    <w:p w:rsidR="00A90898" w:rsidRDefault="00A90898" w:rsidP="00A90898">
      <w:pPr>
        <w:pStyle w:val="TextoNormal"/>
      </w:pPr>
      <w:r>
        <w:t>Expuestas estas iniciales apreciaciones, procede el escrito del Director General de la Abogacía General de la Generalitat Valenciana a analizar los fundamentos del recurso de inconstitucionalidad planteado contra la Ley de la Generalitat 4/2013.</w:t>
      </w:r>
    </w:p>
    <w:p w:rsidR="00A90898" w:rsidRDefault="00A90898" w:rsidP="00A90898">
      <w:pPr>
        <w:pStyle w:val="TextoNormal"/>
      </w:pPr>
    </w:p>
    <w:p w:rsidR="00A90898" w:rsidRDefault="00A90898" w:rsidP="00A90898">
      <w:pPr>
        <w:pStyle w:val="TextoNormal"/>
      </w:pPr>
      <w:r>
        <w:t>b) Con base en el Estatuto y el Reglamento de las Cortes alega el escrito del representante de la Generalitat la total legitimidad de que un grupo parlamentario inste una proposición de ley que acabó derivando, tras su tramitación, en la Ley 4/2013.</w:t>
      </w:r>
    </w:p>
    <w:p w:rsidR="00A90898" w:rsidRDefault="00A90898" w:rsidP="00A90898">
      <w:pPr>
        <w:pStyle w:val="TextoNormal"/>
      </w:pPr>
    </w:p>
    <w:p w:rsidR="00A90898" w:rsidRDefault="00A90898" w:rsidP="00A90898">
      <w:pPr>
        <w:pStyle w:val="TextoNormal"/>
      </w:pPr>
      <w:r>
        <w:t>En relación con la falta de antecedentes entiende el representante de la Generalitat que una exposición de motivos bien fundada puede ser documento suficiente para que los grupos parlamentarios puedan ejercer su función durante la tramitación del procedimiento. En el presente supuesto la justificación de la medida estaba plenamente planteada en dicha exposición de motivos. Asimismo, los datos presupuestarios globales de la Generalitat, así como los balances de situación de las empresas públicas gestoras del servicio público, eran también accesibles al público y de pleno conocimiento de los grupos parlamentarios.</w:t>
      </w:r>
    </w:p>
    <w:p w:rsidR="00A90898" w:rsidRDefault="00A90898" w:rsidP="00A90898">
      <w:pPr>
        <w:pStyle w:val="TextoNormal"/>
      </w:pPr>
    </w:p>
    <w:p w:rsidR="00A90898" w:rsidRDefault="00A90898" w:rsidP="00A90898">
      <w:pPr>
        <w:pStyle w:val="TextoNormal"/>
      </w:pPr>
      <w:r>
        <w:t>Procede a continuación a analizar la segunda cuestión que fue objeto de queja y recurso ante la Mesa de Les Corts: la decisión de tramitar la proposición de ley por el procedimiento de lectura única, lo cual entienden los recurrentes que merma sus derechos fundamentales dimanantes del art. 23.2 CE. Considera el Director General de la Abogacía General de la Generalitat Valenciana que en el Reglamento de les Corts no figura ninguna materia vetada a la utilización de este procedimiento, ni su uso está supeditado a ningún tipo de transcendencia especial en cuanto a su contenido. Los requisitos para su aplicación son bien sencillos: lo ha de aconsejar la naturaleza de la iniciativa legislativa; y permitir la simplicidad de su formulación. La naturaleza de la Ley 4/2013 no tiene un contenido de compleja realidad técnica, ni regula aspectos que requieran una profunda argumentación o conocimientos sectoriales específicos, por lo que nos encontramos ante un supuesto en el que la tramitación por el procedimiento de lectura única tiene pleno encaje.</w:t>
      </w:r>
    </w:p>
    <w:p w:rsidR="00A90898" w:rsidRDefault="00A90898" w:rsidP="00A90898">
      <w:pPr>
        <w:pStyle w:val="TextoNormal"/>
      </w:pPr>
    </w:p>
    <w:p w:rsidR="00A90898" w:rsidRDefault="00A90898" w:rsidP="00A90898">
      <w:pPr>
        <w:pStyle w:val="TextoNormal"/>
      </w:pPr>
      <w:r>
        <w:t>El adoptar la decisión de cierre de RTVV a través de una ley tiene su fundamento en la reserva de ley contenida para la regulación de su régimen jurídico; así como para la creación de este tipo de entidades en función de lo dispuesto en el art. 79.2 EAV. Parece pues evidente que si la sociedad prestadora del servicio se creó mediante la Ley de la Generalitat 3/2012, de 20 de julio, del estatuto de Radiotelevisión Valenciana, lo coherente era abordar el cese de su actividad y la prestación del servicio a través de una norma del mismo rango.</w:t>
      </w:r>
    </w:p>
    <w:p w:rsidR="00A90898" w:rsidRDefault="00A90898" w:rsidP="00A90898">
      <w:pPr>
        <w:pStyle w:val="TextoNormal"/>
      </w:pPr>
    </w:p>
    <w:p w:rsidR="00A90898" w:rsidRDefault="00A90898" w:rsidP="00A90898">
      <w:pPr>
        <w:pStyle w:val="TextoNormal"/>
      </w:pPr>
      <w:r>
        <w:t xml:space="preserve">c) A continuación procede el escrito del representante de la Generalitat a examinar la alegación relativa a que la Ley 4/2013 vulnera el contenido de los arts. 20.3 y 23.2 CE al carecer de una regulación relativa a la organización y el control parlamentario del medio de </w:t>
      </w:r>
      <w:r>
        <w:lastRenderedPageBreak/>
        <w:t>comunicación social público suprimido, lo cual impide el correcto desarrollo de las funciones públicas atribuidas en su condición de representantes de la soberanía popular.</w:t>
      </w:r>
    </w:p>
    <w:p w:rsidR="00A90898" w:rsidRDefault="00A90898" w:rsidP="00A90898">
      <w:pPr>
        <w:pStyle w:val="TextoNormal"/>
      </w:pPr>
    </w:p>
    <w:p w:rsidR="00A90898" w:rsidRDefault="00A90898" w:rsidP="00A90898">
      <w:pPr>
        <w:pStyle w:val="TextoNormal"/>
      </w:pPr>
      <w:r>
        <w:t>La finalidad perseguida por la Constitución a través de la regulación del artículo 20.3 es doble. Por un lado, busca sin duda evitar el control político de los medios de titularidad pública ejercido únicamente por el partido gobernante en cada momento. Asimismo, y en íntima conexión con lo anterior, la Constitución impone el deber de garantizar el acceso a los medios de comunicación públicos de todos los grupos sociales y políticos significativos, respetando ante todo el pluralismo de la sociedad y la diversidad de las lenguas de España. Todas estas cautelas, que no son más que garantías frente a un posible abuso perpetrado por quien puede ejercer el poder de una forma partidista, decaen pues el objeto de la Ley es el cese de la prestación del servicio.</w:t>
      </w:r>
    </w:p>
    <w:p w:rsidR="00A90898" w:rsidRDefault="00A90898" w:rsidP="00A90898">
      <w:pPr>
        <w:pStyle w:val="TextoNormal"/>
      </w:pPr>
    </w:p>
    <w:p w:rsidR="00A90898" w:rsidRDefault="00A90898" w:rsidP="00A90898">
      <w:pPr>
        <w:pStyle w:val="TextoNormal"/>
      </w:pPr>
      <w:r>
        <w:t>Así el escrito del representante de la Generalitat señala la innecesaria presencia de los miembros de los grupos parlamentarios en el órgano encargado de la liquidación de la mercantil pública que gestionaba el servicio público de radiotelevisión autonómica, ya que dicha presencia, necesaria cuando el servicio público está en funcionamiento, es intranscendente cuando el mismo ya no se presta.</w:t>
      </w:r>
    </w:p>
    <w:p w:rsidR="00A90898" w:rsidRDefault="00A90898" w:rsidP="00A90898">
      <w:pPr>
        <w:pStyle w:val="TextoNormal"/>
      </w:pPr>
    </w:p>
    <w:p w:rsidR="00A90898" w:rsidRDefault="00A90898" w:rsidP="00A90898">
      <w:pPr>
        <w:pStyle w:val="TextoNormal"/>
      </w:pPr>
      <w:r>
        <w:t>Pero es que además, el derecho que asiste a todo miembro del Parlamento autonómico a controlar la actividad desarrollada por el Ejecutivo y el sector público en general, está absolutamente salvaguardada por el marco jurídico vigente contenido en el art. 23 CE, el Estatuto de Autonomía, y el Reglamento de Les Corts.</w:t>
      </w:r>
    </w:p>
    <w:p w:rsidR="00A90898" w:rsidRDefault="00A90898" w:rsidP="00A90898">
      <w:pPr>
        <w:pStyle w:val="TextoNormal"/>
      </w:pPr>
    </w:p>
    <w:p w:rsidR="00A90898" w:rsidRDefault="00A90898" w:rsidP="00A90898">
      <w:pPr>
        <w:pStyle w:val="TextoNormal"/>
      </w:pPr>
      <w:r>
        <w:t>d) Procede a continuación el escrito del Abogado de la Generalitat a examinar conjuntamente las siguientes tres alegaciones de la demanda.</w:t>
      </w:r>
    </w:p>
    <w:p w:rsidR="00A90898" w:rsidRDefault="00A90898" w:rsidP="00A90898">
      <w:pPr>
        <w:pStyle w:val="TextoNormal"/>
      </w:pPr>
    </w:p>
    <w:p w:rsidR="00A90898" w:rsidRDefault="00A90898" w:rsidP="00A90898">
      <w:pPr>
        <w:pStyle w:val="TextoNormal"/>
      </w:pPr>
      <w:r>
        <w:t>Considera el escrito del Director General de la Abogacía General de la Generalitat Valenciana que el artículo 20.3 de la Constitución regula el control parlamentario de los medios de comunicación social con la finalidad de que el derecho a la información, tanto activa como pasiva, quede garantizado a los distintos grupos sociales y políticos significativos, sin que la disolución quede prohibida. El artículo 20.3 de la Constitución no pretende congelar la situación en cuanto a los medios existentes, sino garantizar que la organización, gestión y control de los medios de comunicación social que, en cada momento dependan del Estado o de cualquier ente público, se ajuste a los criterios establecidos por el mencionado precepto, sin que ello impida la supresión del Organismo Público.</w:t>
      </w:r>
    </w:p>
    <w:p w:rsidR="00A90898" w:rsidRDefault="00A90898" w:rsidP="00A90898">
      <w:pPr>
        <w:pStyle w:val="TextoNormal"/>
      </w:pPr>
    </w:p>
    <w:p w:rsidR="00A90898" w:rsidRDefault="00A90898" w:rsidP="00A90898">
      <w:pPr>
        <w:pStyle w:val="TextoNormal"/>
      </w:pPr>
      <w:r>
        <w:t>Ni la doctrina del Tribunal Constitucional ni la doctrina del Tribunal Europeo de Derechos Humanos avalan la tesis de la obligatoria existencia de medios de comunicación de titularidad pública, ni la de posibles vulneraciones de derechos de los ciudadanos derivadas de la inexistencia de dichos medios públicos.</w:t>
      </w:r>
    </w:p>
    <w:p w:rsidR="00A90898" w:rsidRDefault="00A90898" w:rsidP="00A90898">
      <w:pPr>
        <w:pStyle w:val="TextoNormal"/>
      </w:pPr>
    </w:p>
    <w:p w:rsidR="00A90898" w:rsidRDefault="00A90898" w:rsidP="00A90898">
      <w:pPr>
        <w:pStyle w:val="TextoNormal"/>
      </w:pPr>
      <w:r>
        <w:t xml:space="preserve">En relación con la vulneración de la Carta europea de las lenguas minoritarias o regionales alega la representación de la Generalitat que existe un acervo de normativa garantizador del idioma valenciano. Así, por ejemplo, se destaca en el escrito del Abogado de la Generalitat que los artículos 25 y 26 de la Ley 4/1983, de uso y enseñanza del valenciano, garantizan el uso del valenciano en caso de existir medios de comunicación públicos; el fomento </w:t>
      </w:r>
      <w:r>
        <w:lastRenderedPageBreak/>
        <w:t>del uso del valenciano en las emisoras de radio y televisión; así como el derecho de los ciudadanos a utilizar el valenciano en su acceso a los medios de comunicación social.</w:t>
      </w:r>
    </w:p>
    <w:p w:rsidR="00A90898" w:rsidRDefault="00A90898" w:rsidP="00A90898">
      <w:pPr>
        <w:pStyle w:val="TextoNormal"/>
      </w:pPr>
    </w:p>
    <w:p w:rsidR="00A90898" w:rsidRDefault="00A90898" w:rsidP="00A90898">
      <w:pPr>
        <w:pStyle w:val="TextoNormal"/>
      </w:pPr>
      <w:r>
        <w:t>Todos estos principios están plasmados de forma constante en la actuación de la Generalitat, y así, a modo de ejemplo, en los concursos para la adjudicación de emisoras de radio en el ámbito territorial de la Generalitat, se valora el porcentaje semanal previsto de programación emitida en valenciano. También los concursos instados por la Generalitat para la adjudicación de las televisiones digitales terrestres de ámbito autonómico contienen previsiones similares.</w:t>
      </w:r>
    </w:p>
    <w:p w:rsidR="00A90898" w:rsidRDefault="00A90898" w:rsidP="00A90898">
      <w:pPr>
        <w:pStyle w:val="TextoNormal"/>
      </w:pPr>
    </w:p>
    <w:p w:rsidR="00A90898" w:rsidRDefault="00A90898" w:rsidP="00A90898">
      <w:pPr>
        <w:pStyle w:val="TextoNormal"/>
      </w:pPr>
      <w:r>
        <w:t>Asimismo destaca el escrito del representante de la Generalitat que ésta impulsa de forma constante a través de otros cauces legalmente admitidos, el uso del valenciano y las producciones audiovisuales en el mismo idioma, mediante acciones presupuestarias de fomento que quedan plasmadas en sus presupuestos anuales.</w:t>
      </w:r>
    </w:p>
    <w:p w:rsidR="00A90898" w:rsidRDefault="00A90898" w:rsidP="00A90898">
      <w:pPr>
        <w:pStyle w:val="TextoNormal"/>
      </w:pPr>
    </w:p>
    <w:p w:rsidR="00A90898" w:rsidRDefault="00A90898" w:rsidP="00A90898">
      <w:pPr>
        <w:pStyle w:val="TextoNormal"/>
      </w:pPr>
      <w:r>
        <w:t>Así pues, entiende que la norma recurrida no guarda relación alguna con el contenido de los arts. 20.1 a) y d), y 20.3 CE, en relación con lo dispuesto en los arts. 9.2 y 10.1 del Texto Constitucional, ya que su objeto para nada afecta al derecho a expresar y difundir libremente los pensamientos, ideas y opiniones; al derecho a comunicar o recibir libremente información veraz por cualquier medio de difusión; ni afecta al derecho al acceso a los medios de comunicación públicos de los grupos sociales y políticos significativos; ni versa su contenido sobre la organización y el control parlamentario de los medios de comunicación social dependientes de un ente público.</w:t>
      </w:r>
    </w:p>
    <w:p w:rsidR="00A90898" w:rsidRDefault="00A90898" w:rsidP="00A90898">
      <w:pPr>
        <w:pStyle w:val="TextoNormal"/>
      </w:pPr>
    </w:p>
    <w:p w:rsidR="00A90898" w:rsidRDefault="00A90898" w:rsidP="00A90898">
      <w:pPr>
        <w:pStyle w:val="TextoNormal"/>
      </w:pPr>
      <w:r>
        <w:t>Igualmente señala que la Ley 4/2013 de la Generalitat no vulnera, ni puede vulnerar, los artículos 20.1 a), 20.1 d) y 20.3 en relación con los artículos. 149.1.27 y 9.2, todos ellos de la Constitución, interpretados de conformidad con la Carta, a partir de la remisión a los tratados internacionales reconocedores de derechos fundamentales y libertades públicas (art. 10.2 CE). Si la Carta no declara derechos, los preceptos de la Constitución Española no pueden interpretarse en el sentido de extender o atribuir un contenido lingüístico a los derechos constitucionales a “expresar y difundir libremente los pensamientos, ideas y opiniones mediante la palabra, el escrito o cualquier otro medio de reproducción” o “comunicar o recibir libremente información veraz por cualquier medio de difusión”. Tampoco afecta negativamente la Ley 4/2013 al “pluralismo de la sociedad y de las diversas lenguas de España”, que el art. 20.3 CE impone a las leyes reguladoras “de los medios de comunicación social dependientes ... de cualquier ente público”. Su presupuesto es la existencia de una ley reguladora de medios de comunicación social de titularidad pública, y el art. 56.2 EAV sólo contempla la posibilidad de “crear y mantener televisión, radio y demás medios de comunicación social, de carácter público” vinculados a la Generalitat.</w:t>
      </w:r>
    </w:p>
    <w:p w:rsidR="00A90898" w:rsidRDefault="00A90898" w:rsidP="00A90898">
      <w:pPr>
        <w:pStyle w:val="TextoNormal"/>
      </w:pPr>
    </w:p>
    <w:p w:rsidR="00A90898" w:rsidRDefault="00A90898" w:rsidP="00A90898">
      <w:pPr>
        <w:pStyle w:val="TextoNormal"/>
      </w:pPr>
      <w:r>
        <w:t>Finalmente considera preciso el escrito del representante de la Generalitat hacer una mención especial al compromiso de los países firmantes de la Carta europea de las lenguas minoritarias o regionales de “crear o mantener medios de comunicación para los hablantes de lenguas regionales o minoritarias” (pág. 29 de la demanda). Para el representante de la Generalitat no es posible deducir del artículo 11 de la Carta que cada Administración autonómica con lengua cooficial deba mantener medios de comunicación social de titularidad pública. El destinatario de las obligaciones del artículo 11 es el Estado en su conjunto y no cada una de las Administraciones que lo integran.</w:t>
      </w:r>
    </w:p>
    <w:p w:rsidR="00A90898" w:rsidRDefault="00A90898" w:rsidP="00A90898">
      <w:pPr>
        <w:pStyle w:val="TextoNormal"/>
      </w:pPr>
    </w:p>
    <w:p w:rsidR="00A90898" w:rsidRDefault="00A90898" w:rsidP="00A90898">
      <w:pPr>
        <w:pStyle w:val="TextoNormal"/>
      </w:pPr>
      <w:r>
        <w:t>e) Aborda, a continuación, el escrito del representante de la Generalitat los motivos sexto y séptimo de la demanda. Así considera que no es cierto que la Ley 4/2013 haya posibilitado el incumplimiento del contenido de la Sentencia del Tribunal Superior de Justicia de la Comunidad Valenciana, ya que la misma ha sido ejecutada correctamente, y por tanto, cumplida absolutamente, con independencia de lo establecido por el legislador valenciano. El efecto primordial de la declaración contenida en la Sentencia no es otro que la obligada readmisión de los trabajadores despedidos como consecuencia del resultado final del ERE, y teniendo en cuenta esta afirmación, hay que advertir que la comisión liquidadora de la mercantil pública llevó a cabo escrupulosamente dicha readmisión en su integridad.</w:t>
      </w:r>
    </w:p>
    <w:p w:rsidR="00A90898" w:rsidRDefault="00A90898" w:rsidP="00A90898">
      <w:pPr>
        <w:pStyle w:val="TextoNormal"/>
      </w:pPr>
    </w:p>
    <w:p w:rsidR="00A90898" w:rsidRDefault="00A90898" w:rsidP="00A90898">
      <w:pPr>
        <w:pStyle w:val="TextoNormal"/>
      </w:pPr>
      <w:r>
        <w:t>El pronunciamiento judicial, y en los términos en los que se emitió, no obliga al empresario a mantener necesariamente su actividad. La Sentencia impone al empleador la readmisión de los trabajadores indebidamente despedidos, circunstancia ésta que habría sido cumplida. Por ello no considera pues vulnerados los arts. 9.3, 24.1 y 118 CE.</w:t>
      </w:r>
    </w:p>
    <w:p w:rsidR="00A90898" w:rsidRDefault="00A90898" w:rsidP="00A90898">
      <w:pPr>
        <w:pStyle w:val="TextoNormal"/>
      </w:pPr>
    </w:p>
    <w:p w:rsidR="00A90898" w:rsidRDefault="00A90898" w:rsidP="00A90898">
      <w:pPr>
        <w:pStyle w:val="TextoNormal"/>
      </w:pPr>
      <w:r>
        <w:t xml:space="preserve">Recuerda el escrito del Director General de la Abogacía General de la Generalitat Valenciana que el objeto del procedimiento ante la Sala de lo Social era dilucidar la legalidad del ERE, juzgando desde la concurrencia, o no, de las causas económicas y organizativas que habían sido expuestas por el empresario, hasta el análisis de la atención al respeto de los derechos fundamentales de los trabajadores durante el procedimiento, y es muy importante recordar que, lo único que podría haber cuestionado la razón última de la verdadera intención de la Generalitat, la grave situación financiera, nunca fue puesta en duda por el Juzgador, no fue ésta la esencia de su fallo. Y considerando esta realidad, parece evidente para el representante de la Generalitat, que las justas causas exhibidas para dejar de prestar el servicio fueron asumidas por el Juzgador, no incidiendo las mismas en el contenido del fallo judicial de decretar la nulidad del ERE, pero amparándose en otros hechos y fundamentos. La Sentencia no reconoce un derecho de los trabajadores a que la empresa siga abierta </w:t>
      </w:r>
      <w:r w:rsidRPr="00A90898">
        <w:rPr>
          <w:i/>
        </w:rPr>
        <w:t>sine die</w:t>
      </w:r>
      <w:r>
        <w:t>, máxime considerando que las causas económicas y organizativas no fueron puestas en entredicho. Por todo ello, entiende el representante de la Generalitat que la decisión adoptada por ley de prescindir del servicio, que con el marco normativo descrito es prácticamente imposible llevar a cabo de otra forma, considerando la reserva de ley del Estatuto de Autonomía (artículo 79) para la creación de empresas públicas como RTVV, es totalmente ajustada al marco constitucional, está amparada en planteamientos nada arbitrarios ni ilegítimos y basados en la consecución del interés general, ni guarda relación alguna con sentimientos de revancha frente a los trabajadores que vulneren el contenido del art. 24 CE, por lo que desde estas perspectivas es totalmente ajustada la Ley 4/2013 al marco de la Constitución.</w:t>
      </w:r>
    </w:p>
    <w:p w:rsidR="00A90898" w:rsidRDefault="00A90898" w:rsidP="00A90898">
      <w:pPr>
        <w:pStyle w:val="TextoNormal"/>
      </w:pPr>
    </w:p>
    <w:p w:rsidR="00A90898" w:rsidRDefault="00A90898" w:rsidP="00A90898">
      <w:pPr>
        <w:pStyle w:val="TextoNormal"/>
      </w:pPr>
      <w:r>
        <w:t>Finaliza el representante de la Generalitat afirmando que el cauce indicado en la disposición adicional de la Ley cuestionada no es más que una mera remisión al único procedimiento de sustentación de una medida como la adoptada en la Ley (finalización del servicio y liquidación de la sociedad), según lo dispuesto en el estatuto de los trabajadores, norma que, por supuesto, ni altera ni incide en ella para nada la Ley 4/2013, y por tanto, entendemos que ningún reproche de inconstitucionalidad merece la Ley por estos motivos.</w:t>
      </w:r>
    </w:p>
    <w:p w:rsidR="00A90898" w:rsidRDefault="00A90898" w:rsidP="00A90898">
      <w:pPr>
        <w:pStyle w:val="TextoNormal"/>
      </w:pPr>
    </w:p>
    <w:p w:rsidR="00A90898" w:rsidRDefault="00A90898" w:rsidP="00A90898">
      <w:pPr>
        <w:pStyle w:val="TextoNormal"/>
      </w:pPr>
      <w:r>
        <w:t xml:space="preserve">Concluye su escrito el Director General de la Abogacía General de la Generalitat Valenciana solicitando la desestimación del recurso de inconstitucionalidad y la declaración de </w:t>
      </w:r>
      <w:r>
        <w:lastRenderedPageBreak/>
        <w:t>que la Ley 4/2013, de 27 de noviembre, de supresión de la prestación de los servicios de radiodifusión y televisión de ámbito autonómico, de titularidad de la Generalitat, así como de disolución y liquidación de Radiotelevisión Valenciana, S.A.U., es conforme al ordenamiento constitucional y estatutario.</w:t>
      </w:r>
    </w:p>
    <w:p w:rsidR="00A90898" w:rsidRDefault="00A90898" w:rsidP="00A90898">
      <w:pPr>
        <w:pStyle w:val="TextoNormal"/>
      </w:pPr>
    </w:p>
    <w:p w:rsidR="00A90898" w:rsidRDefault="00A90898" w:rsidP="00A90898">
      <w:pPr>
        <w:pStyle w:val="TextoNormal"/>
      </w:pPr>
      <w:r w:rsidRPr="00A90898">
        <w:rPr>
          <w:rStyle w:val="NumeroAFNegritaCaracter"/>
        </w:rPr>
        <w:t>14</w:t>
      </w:r>
      <w:r>
        <w:t>. Con fecha 29 de enero de 2016 se registra en el Tribunal un escrito de doña Virginia Aragón Segura, Procuradora de los Tribunales, quién en nombre y representación de los Diputados del Grupo Parlamentario Socialista que interpusieron recurso de inconstitucionalidad contra la Ley 4/2013, solicita que se acuerde la finalización del procedimiento por pérdida de objeto, toda vez que la Ley 12/2015, de 29 de diciembre, para la recuperación del servicio público de radiodifusión y televisión de ámbito autonómico, de titularidad de la Generalitat, ha derogado de manera expresa el art. 2 de la Ley 4/2013 y ha recuperado la prestación del servicio de radio difusión y televisión en el ámbito de la Comunidad.</w:t>
      </w:r>
    </w:p>
    <w:p w:rsidR="00A90898" w:rsidRDefault="00A90898" w:rsidP="00A90898">
      <w:pPr>
        <w:pStyle w:val="TextoNormal"/>
      </w:pPr>
    </w:p>
    <w:p w:rsidR="00A90898" w:rsidRDefault="00A90898" w:rsidP="00A90898">
      <w:pPr>
        <w:pStyle w:val="TextoNormal"/>
      </w:pPr>
      <w:r w:rsidRPr="00A90898">
        <w:rPr>
          <w:rStyle w:val="NumeroAFNegritaCaracter"/>
        </w:rPr>
        <w:t>15</w:t>
      </w:r>
      <w:r>
        <w:t>. Mediante escrito registrado en el Tribunal Constitucional el día 3 de mayo de 2016 la Directora General de la Abogacía General de la Generalitat Valenciana solicita que se acuerde la finalización del procedimiento por pérdida de objeto, toda vez que la Ley 12/2015, de 29 de diciembre, para la recuperación del servicio público de radiodifusión y televisión de ámbito autonómico, de titularidad de la Generalitat, ha derogado de manera expresa el art. 2 de la Ley 4/2013 y ha recuperado la prestación del servicio de radio difusión y televisión en el ámbito de la Comunidad.</w:t>
      </w:r>
    </w:p>
    <w:p w:rsidR="00A90898" w:rsidRDefault="00A90898" w:rsidP="00A90898">
      <w:pPr>
        <w:pStyle w:val="TextoNormal"/>
      </w:pPr>
    </w:p>
    <w:p w:rsidR="00A90898" w:rsidRDefault="00A90898" w:rsidP="00A90898">
      <w:pPr>
        <w:pStyle w:val="TextoNormal"/>
      </w:pPr>
      <w:r w:rsidRPr="00A90898">
        <w:rPr>
          <w:rStyle w:val="NumeroAFNegritaCaracter"/>
        </w:rPr>
        <w:t>16</w:t>
      </w:r>
      <w:r>
        <w:t>. Mediante escrito de 29 de julio de 2016 la Directora General de la Abogacía General de la Generalitat Valenciana solicita, de nuevo, que se acuerde la finalización del procedimiento por pérdida de objeto, toda vez que la reciente Ley 6/2016, de 15 de julio de la Generalitat del servicio público de radiodifusión y televisión de ámbito autonómico, de titularidad de la Generalitat que, en definitiva, tiene por objeto regular la prestación del servicio público audiovisual de titularidad de la Generalitat, así como establecer el régimen jurídico de las entidades a las que se encomienda la gestión directa de este servicio público, viene a ratificar la situación generada por la Ley 12/2015, de 29 de diciembre.</w:t>
      </w:r>
    </w:p>
    <w:p w:rsidR="00A90898" w:rsidRDefault="00A90898" w:rsidP="00A90898">
      <w:pPr>
        <w:pStyle w:val="TextoNormal"/>
      </w:pPr>
    </w:p>
    <w:p w:rsidR="00A90898" w:rsidRDefault="00A90898" w:rsidP="00A90898">
      <w:pPr>
        <w:pStyle w:val="TextoNormal"/>
      </w:pPr>
      <w:r w:rsidRPr="00A90898">
        <w:rPr>
          <w:rStyle w:val="NumeroAFNegritaCaracter"/>
        </w:rPr>
        <w:t>17</w:t>
      </w:r>
      <w:r>
        <w:t>. Por providencia de 20 de septiembre de 2016 se acordó señalar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más de cincuenta Diputados del Grupo Parlamentario Socialista del Congreso de los Diputados contra la Ley 4/2013, de 27 de noviembre, de la Generalitat Valenciana, de supresión de la prestación de los servicios de radiodifusión y televisión de ámbito autonómico, de titularidad de la Generalitat, así como de disolución y liquidación de Radiotelevisión Valenciana, S.A.U.</w:t>
      </w:r>
    </w:p>
    <w:p w:rsidR="00A90898" w:rsidRDefault="00A90898" w:rsidP="00A90898">
      <w:pPr>
        <w:pStyle w:val="TextoNormal"/>
      </w:pPr>
    </w:p>
    <w:p w:rsidR="00A90898" w:rsidRDefault="00A90898" w:rsidP="00A90898">
      <w:pPr>
        <w:pStyle w:val="TextoNormal"/>
      </w:pPr>
      <w:r>
        <w:t>Los recurrentes sostienen, como se ha desarrollado con detalle en los antecedentes, la inconstitucionalidad de la norma por vulneración de los artículos 9.3, 23.2, 20.1 a), 20.1 d) y 20.3 en relación con el art. 149.1.27, así como los arts. 9.2 y 10, 24.1 y 118, todos ellos de la Constitución.</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 realizar un enjuiciamiento del fondo, resulta necesario determinar la vigencia de la controversia planteada a la vista de las modificaciones operadas en la Ley que es objeto del presente recurso. En efecto, durante la tramitación de este procedimiento, se han dictado una serie de modificaciones legislativas que ha de determinarse si impiden que podamos pronunciarnos sobre la constitucionalidad de la norma impugnada.</w:t>
      </w:r>
    </w:p>
    <w:p w:rsidR="00A90898" w:rsidRDefault="00A90898" w:rsidP="00A90898">
      <w:pPr>
        <w:pStyle w:val="TextoNormal"/>
      </w:pPr>
    </w:p>
    <w:p w:rsidR="00A90898" w:rsidRDefault="00A90898" w:rsidP="00A90898">
      <w:pPr>
        <w:pStyle w:val="TextoNormal"/>
      </w:pPr>
      <w:r>
        <w:t>a) Al respecto, este Tribunal tiene fijada doctrina en relación con la pérdida sobrevenida del objeto del proceso en el ámbito de los recursos de inconstitucionalidad, de acuerdo con la cual, dado que se trata de “un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este Tribunal se pronunciase ‘sobre normas que el mismo legislador ha expulsado ya de dicho ordenamiento … de modo total, sin ultraactividad’” (últimamente, entre otras, SSTC 223/2012, de 29 de noviembre, FJ 3; 131/2013, de 5 de junio, FJ 3; 158/2013, de 26 de septiembre, FJ 3; 160/2013, de 26 de septiembre, FJ 3; 165/2013, de 26 de septiembre, FJ 10; 120/2014, de 17 de julio, FJ 4; 214/2014, de 18 de diciembre, FJ 2; 237/2015, de 19 de noviembre, FJ 3, 270/2015, de 17 de diciembre, FJ 2, y STC 140/2016, de 21 de julio, FJ 2).</w:t>
      </w:r>
    </w:p>
    <w:p w:rsidR="00A90898" w:rsidRDefault="00A90898" w:rsidP="00A90898">
      <w:pPr>
        <w:pStyle w:val="TextoNormal"/>
      </w:pPr>
    </w:p>
    <w:p w:rsidR="00A90898" w:rsidRDefault="00A90898" w:rsidP="00A90898">
      <w:pPr>
        <w:pStyle w:val="TextoNormal"/>
      </w:pPr>
      <w:r>
        <w:t>Como excepciones a esta doctrina general, hemos establecido aquellos casos en que el recurso de inconstitucionalidad versa sobre una controversia de carácter competencial y ésta no ha desaparecido con la nueva norma [entre otras, SSTC 134/2011, de 20 de julio, FJ 2 b); 7/2012, de 18 de enero, FJ 2; 96/2013, de 26 de abril, FJ 2; 142/2014, de 11 de septiembre, FJ 2, y 230/2015, de 5 de noviembre, FJ 3 b)]. Igualmente aquellos casos en los que se trata de controlar normas de vigencia temporal limitada como son, por ejemplo, las leyes de presupuestos, pues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SSTC 13/2007, de 18 de enero, FJ 1; y 26/2013, de 31 de enero, FJ 2, con cita de la STC 197/2012, de 6 de noviembre, FJ 2). Asimismo aquellos casos en los que el motivo alegado en el recurso afecta al procedimiento legislativo de aprobación de la disposición con rango de ley y a su contenido posible [entre otras, SSTC 60/1986, de 20 de mayo, FJ 1; 137/2003, de 3 de julio, FJ 2; 108/2004, de 30 de junio, FJ 4; 136/2011, de 13 de septiembre, FJ 2; 47/2015, de 25 de marzo, FJ 2 c); y 106/2015, de 28 de mayo, FJ 2]. Se trata, en estos supuestos, de no consagrar zonas inmunes al control de constitucionalidad de las leyes con graves consecuencias para el correcto funcionamiento del sistema de fuentes del Derecho.</w:t>
      </w:r>
    </w:p>
    <w:p w:rsidR="00A90898" w:rsidRDefault="00A90898" w:rsidP="00A90898">
      <w:pPr>
        <w:pStyle w:val="TextoNormal"/>
      </w:pPr>
    </w:p>
    <w:p w:rsidR="00A90898" w:rsidRDefault="00A90898" w:rsidP="00A90898">
      <w:pPr>
        <w:pStyle w:val="TextoNormal"/>
      </w:pPr>
      <w:r>
        <w:t>Una vez hemos recordado la doctrina de este Tribunal en relación con la pérdida sobrevenida del objeto del proceso en el ámbito de los recursos de inconstitucionalidad debemos examinar tanto el contenido de la Ley impugnada, como las modificaciones que de la misma se han producido con posterioridad a la interposición del presente recurso.</w:t>
      </w:r>
    </w:p>
    <w:p w:rsidR="00A90898" w:rsidRDefault="00A90898" w:rsidP="00A90898">
      <w:pPr>
        <w:pStyle w:val="TextoNormal"/>
      </w:pPr>
    </w:p>
    <w:p w:rsidR="00A90898" w:rsidRDefault="00A90898" w:rsidP="00A90898">
      <w:pPr>
        <w:pStyle w:val="TextoNormal"/>
      </w:pPr>
      <w:r>
        <w:lastRenderedPageBreak/>
        <w:t>b) En lo que se refiere al contenido de la Ley impugnada debemos destacar que la misma consta de tres artículos, dos disposiciones adicionales, una disposición derogatoria y una disposición final.</w:t>
      </w:r>
    </w:p>
    <w:p w:rsidR="00A90898" w:rsidRDefault="00A90898" w:rsidP="00A90898">
      <w:pPr>
        <w:pStyle w:val="TextoNormal"/>
      </w:pPr>
    </w:p>
    <w:p w:rsidR="00A90898" w:rsidRDefault="00A90898" w:rsidP="00A90898">
      <w:pPr>
        <w:pStyle w:val="TextoNormal"/>
      </w:pPr>
      <w:r>
        <w:t>El artículo 1 determina que la ley tiene por objeto suprimir la prestación de los servicios de radiodifusión y televisión, de ámbito autonómico, de titularidad de la Generalitat y autorizar al Consell la extinción, disolución y liquidación de la empresa pública Radiotelevisión Valenciana, S.A.U.</w:t>
      </w:r>
    </w:p>
    <w:p w:rsidR="00A90898" w:rsidRDefault="00A90898" w:rsidP="00A90898">
      <w:pPr>
        <w:pStyle w:val="TextoNormal"/>
      </w:pPr>
    </w:p>
    <w:p w:rsidR="00A90898" w:rsidRDefault="00A90898" w:rsidP="00A90898">
      <w:pPr>
        <w:pStyle w:val="TextoNormal"/>
      </w:pPr>
      <w:r>
        <w:t>El artículo 2 suprime la prestación del servicio público de radio y televisión de ámbito autonómico prestado por cualquier medio o canal de difusión, y de cualquier otro servicio de interés general que, en materia de radio y televisión presta la Generalitat en virtud de sus competencias estatutarias.</w:t>
      </w:r>
    </w:p>
    <w:p w:rsidR="00A90898" w:rsidRDefault="00A90898" w:rsidP="00A90898">
      <w:pPr>
        <w:pStyle w:val="TextoNormal"/>
      </w:pPr>
    </w:p>
    <w:p w:rsidR="00A90898" w:rsidRDefault="00A90898" w:rsidP="00A90898">
      <w:pPr>
        <w:pStyle w:val="TextoNormal"/>
      </w:pPr>
      <w:r>
        <w:t>El artículo 3 autoriza al Consell para la disolución y extinción de la Radiotelevisión Valenciana.</w:t>
      </w:r>
    </w:p>
    <w:p w:rsidR="00A90898" w:rsidRDefault="00A90898" w:rsidP="00A90898">
      <w:pPr>
        <w:pStyle w:val="TextoNormal"/>
      </w:pPr>
    </w:p>
    <w:p w:rsidR="00A90898" w:rsidRDefault="00A90898" w:rsidP="00A90898">
      <w:pPr>
        <w:pStyle w:val="TextoNormal"/>
      </w:pPr>
      <w:r>
        <w:t>En las disposiciones adicionales se contempla la extinción de los contratos de trabajo que afecten a la totalidad de la plantilla, la asunción por la Radiotelevisión Valenciana SAU de las consecuencias económicas resultantes del proceso de disolución y liquidación, y la responsabilidad de la Generalitat, en su caso, de las consecuencias económicas derivadas de la Sentencia 2338/2013, de 4 de noviembre, de la Sala de lo Social del Tribunal Superior de Justicia de la Comunidad Valenciana, una vez que las mismas sean líquidas, vencidas y exigibles.</w:t>
      </w:r>
    </w:p>
    <w:p w:rsidR="00A90898" w:rsidRDefault="00A90898" w:rsidP="00A90898">
      <w:pPr>
        <w:pStyle w:val="TextoNormal"/>
      </w:pPr>
    </w:p>
    <w:p w:rsidR="00A90898" w:rsidRDefault="00A90898" w:rsidP="00A90898">
      <w:pPr>
        <w:pStyle w:val="TextoNormal"/>
      </w:pPr>
      <w:r>
        <w:t>c) Con posterioridad a la interposición del presente recurso de inconstitucionalidad, las Cortes Valencianas dictaron la Ley 5/2015, de 2 de abril, de la Generalitat, del servicio público de radiotelevisión valenciana que tiene por objeto sentar los principios generales para la puesta en funcionamiento de medios de comunicación audiovisual públicos. La Ley 5/2015, de 2 de abril, no restablecía, propiamente, el servicio público de radiotelevisión, ni derogaba la Ley 4/2013, de 27 de noviembre aquí impugnada, sino que establecía la posibilidad de que tal restablecimiento se produjese “en el supuesto de que resulte factible” y sometía tal eventual restablecimiento a unos principios determinados.</w:t>
      </w:r>
    </w:p>
    <w:p w:rsidR="00A90898" w:rsidRDefault="00A90898" w:rsidP="00A90898">
      <w:pPr>
        <w:pStyle w:val="TextoNormal"/>
      </w:pPr>
    </w:p>
    <w:p w:rsidR="00A90898" w:rsidRDefault="00A90898" w:rsidP="00A90898">
      <w:pPr>
        <w:pStyle w:val="TextoNormal"/>
      </w:pPr>
      <w:r>
        <w:t>Tras las elecciones autonómicas del 24 de mayo de 2015, se aprobó por las Cortes Valencianas la Ley 12/2015, de 29 de diciembre, para la recuperación del servicio público de radiodifusión y televisión de ámbito autonómico, de titularidad de la Generalitat, que tiene por objeto, según su artículo 1, “fijar las condiciones para el restablecimiento de la prestación de los servicios de radiodifusión y televisión de ámbito autonómico”.</w:t>
      </w:r>
    </w:p>
    <w:p w:rsidR="00A90898" w:rsidRDefault="00A90898" w:rsidP="00A90898">
      <w:pPr>
        <w:pStyle w:val="TextoNormal"/>
      </w:pPr>
    </w:p>
    <w:p w:rsidR="00A90898" w:rsidRDefault="00A90898" w:rsidP="00A90898">
      <w:pPr>
        <w:pStyle w:val="TextoNormal"/>
      </w:pPr>
      <w:r>
        <w:t>La disposición derogatoria primera de la Ley 12/2015, de 29 de diciembre, deroga explícitamente la Ley 5/2015, de 2 de abril, de la Generalitat, del servicio público de radiotelevisión valenciana. La disposición derogatoria segunda de la Ley 12/2015, de 29 de diciembre, deroga explícitamente también “el artículo 2 de la Ley 4/2013, de 27 de noviembre … y cualquier otro mandato de esta ley en todo lo que se oponga a lo establecido en la presente ley”.</w:t>
      </w:r>
    </w:p>
    <w:p w:rsidR="00A90898" w:rsidRDefault="00A90898" w:rsidP="00A90898">
      <w:pPr>
        <w:pStyle w:val="TextoNormal"/>
      </w:pPr>
    </w:p>
    <w:p w:rsidR="00A90898" w:rsidRDefault="00A90898" w:rsidP="00A90898">
      <w:pPr>
        <w:pStyle w:val="TextoNormal"/>
      </w:pPr>
      <w:r>
        <w:lastRenderedPageBreak/>
        <w:t>La Ley 12/2015 deroga, así, la supresión de la prestación del servicio público de radio y televisión de ámbito autonómico llevada a cabo por la Ley 4/2013, que se impugna en el presente recurso de inconstitucionalidad 1067-2014, pero no tiene por objeto, propiamente, el restablecimiento del servicio público de radiotelevisión, pues se remite para ello a una futura ley a aprobar por Les Corts. En efecto, la disposición adicional primera de la Ley 12/2015 afirma que “corresponde a Les Corts, en el plazo máximo de seis meses desde la presentación del primer informe de situación de RTVV por los liquidadores, dictar la Ley reguladora de los servicios de radiodifusión y televisión de la Generalitat Valenciana”.</w:t>
      </w:r>
    </w:p>
    <w:p w:rsidR="00A90898" w:rsidRDefault="00A90898" w:rsidP="00A90898">
      <w:pPr>
        <w:pStyle w:val="TextoNormal"/>
      </w:pPr>
    </w:p>
    <w:p w:rsidR="00A90898" w:rsidRDefault="00A90898" w:rsidP="00A90898">
      <w:pPr>
        <w:pStyle w:val="TextoNormal"/>
      </w:pPr>
      <w:r>
        <w:t>En cumplimiento de tal previsión las Cortes Valencianas han adoptado la Ley 6/2016, de 15 de julio, de la Generalitat, del servicio público de radiodifusión y televisión de ámbito autonómico, de titularidad de la Generalitat, que tiene por objeto “regular la prestación del servicio público audiovisual de titularidad de la Generalitat, así como establecer el régimen jurídico de las entidades a las que se encomienda la gestión directa de este servicio público, de acuerdo con lo establecido en el artículo 56 del Estatuto de autonomía de la Comunitat Valenciana, y regular su control parlamentario” (artículo 2).</w:t>
      </w:r>
    </w:p>
    <w:p w:rsidR="00A90898" w:rsidRDefault="00A90898" w:rsidP="00A90898">
      <w:pPr>
        <w:pStyle w:val="TextoNormal"/>
      </w:pPr>
    </w:p>
    <w:p w:rsidR="00A90898" w:rsidRDefault="00A90898" w:rsidP="00A90898">
      <w:pPr>
        <w:pStyle w:val="TextoNormal"/>
      </w:pPr>
      <w:r>
        <w:t>d) De lo expuesto, y aplicando la doctrina general más arriba resumida, se puede deducir que las modificaciones y derogaciones del texto legal impugnado suponen la pérdida de objeto del presente recurso de inconstitucionalidad, en lo que se refiere a la parte fundamental del mismo —y a salvo de lo que a continuación diremos en relación con la vulneración de los arts. 9.3 y 23.2 CE por vicios en el procedimiento legislativo—, pues no nos encontramos dentro de las excepciones reconocidas en la indicada doctrina general que permitirían considerar viva la controversia.</w:t>
      </w:r>
    </w:p>
    <w:p w:rsidR="00A90898" w:rsidRDefault="00A90898" w:rsidP="00A90898">
      <w:pPr>
        <w:pStyle w:val="TextoNormal"/>
      </w:pPr>
    </w:p>
    <w:p w:rsidR="00A90898" w:rsidRDefault="00A90898" w:rsidP="00A90898">
      <w:pPr>
        <w:pStyle w:val="TextoNormal"/>
      </w:pPr>
      <w:r>
        <w:t>Así, en efecto, debemos apreciar la pérdida sobrevenida de objeto del presente recurso con motivo de las modificaciones legales llevadas a cabo por las Leyes 12/2015 y 6/2016, pues en la medida en que lo esencialmente cuestionado por la parte recurrente ha sido la supresión del servicio público de radiotelevisión por la Ley 4/2013, y este ha de quedar restablecido tras la aprobación de aquellas normas, ha de concluirse que la controversia planteada ha desaparecido en lo que se refiere a la impugnación de la norma por vulneración de los artículos 20.1 a), 20.1 d) y 20.3 en relación con el art. 149.1.27; 24.1 y 118; así como los arts. 9.2 y 10 de la Constitución. Todo ello, sin perjuicio de advertir que, en su caso, y en el marco de aquellos procesos que se desarrollen ante los jueces y tribunales ordinarios se podrán plantear las correspondientes solicitudes sobre los preceptos que se hallan impugnados en este recurso [STC 140/2016, de 21 de julio, FJ 2].</w:t>
      </w:r>
    </w:p>
    <w:p w:rsidR="00A90898" w:rsidRDefault="00A90898" w:rsidP="00A90898">
      <w:pPr>
        <w:pStyle w:val="TextoNormal"/>
      </w:pPr>
    </w:p>
    <w:p w:rsidR="00A90898" w:rsidRDefault="00A90898" w:rsidP="00A90898">
      <w:pPr>
        <w:pStyle w:val="TextoNormal"/>
      </w:pPr>
      <w:r>
        <w:t>La referida pérdida sobrevenida de objeto no es, sin embargo, posible apreciarla en relación con la impugnación por vulneración de los artículos 9.3 y 23.2 de la Constitución, pues no cabe duda de que, con relación a la Ley 4/2013, es necesario que este Tribunal Constitucional se pronuncie sobre aquellos motivos alegados por los Diputados recurrentes que afectan al procedimiento legislativo de aprobación de la ley, por lo que la eventual derogación o modificación de esta disposición legal no incidiría en el control de los vicios de validez en que pudiera haberse incurrido al momento de su aprobación, por ser esta una de las excepciones a las que se refiere nuestra doctrina sobre la pérdida de objeto, con lo cual subsiste el interés constitucional de velar por el recto ejercicio de la potestad legislativa.</w:t>
      </w:r>
    </w:p>
    <w:p w:rsidR="00A90898" w:rsidRDefault="00A90898" w:rsidP="00A90898">
      <w:pPr>
        <w:pStyle w:val="TextoNormal"/>
      </w:pPr>
    </w:p>
    <w:p w:rsidR="00A90898" w:rsidRDefault="00A90898" w:rsidP="00A90898">
      <w:pPr>
        <w:pStyle w:val="TextoNormal"/>
      </w:pPr>
      <w:r>
        <w:lastRenderedPageBreak/>
        <w:t xml:space="preserve">En efecto, de acuerdo con la doctrina de este Tribunal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w:t>
      </w:r>
      <w:r w:rsidRPr="00A90898">
        <w:rPr>
          <w:i/>
        </w:rPr>
        <w:t>ex origine</w:t>
      </w:r>
      <w:r>
        <w:t xml:space="preserve"> de las normas impugnadas, sin atender a su vigencia o derogación en el momento en que se pronuncia el fallo constitucional” (STC 136/2011, de 13 de septiembre, FJ 2).</w:t>
      </w:r>
    </w:p>
    <w:p w:rsidR="00A90898" w:rsidRDefault="00A90898" w:rsidP="00A90898">
      <w:pPr>
        <w:pStyle w:val="TextoNormal"/>
      </w:pPr>
    </w:p>
    <w:p w:rsidR="00A90898" w:rsidRDefault="00A90898" w:rsidP="00A90898">
      <w:pPr>
        <w:pStyle w:val="TextoNormal"/>
      </w:pPr>
      <w:r>
        <w:t>Así, afirmada la pérdida parcial sobrevenida de objeto del presente recurso, debemos entrar a examinar las impugnaciones referidas al incumplimiento de las normas del procedimiento legislativo.</w:t>
      </w:r>
    </w:p>
    <w:p w:rsidR="00A90898" w:rsidRDefault="00A90898" w:rsidP="00A90898">
      <w:pPr>
        <w:pStyle w:val="TextoNormal"/>
      </w:pPr>
    </w:p>
    <w:p w:rsidR="00A90898" w:rsidRDefault="00A90898" w:rsidP="00A90898">
      <w:pPr>
        <w:pStyle w:val="TextoNormal"/>
      </w:pPr>
      <w:r w:rsidRPr="00A90898">
        <w:rPr>
          <w:rStyle w:val="NumeroAFNegritaCaracter"/>
        </w:rPr>
        <w:t>3</w:t>
      </w:r>
      <w:r>
        <w:t>. En relación con los vicios de validez en que pudiera haberse incurrido al momento de la aprobación de la Ley 4/2013, alegan los recurrentes que, por un lado, se habría limitado el derecho de los ciudadanos a la participación en los asuntos públicos, directamente o por medio de representantes, libremente elegidos en elecciones periódicas por sufragio universal (art. 23.2 CE) y por otro se habría vulnerado el principio de seguridad jurídica que la Constitución garantiza en el artículo 9.3, habida cuenta de que entre los objetivos y obligaciones del procedimiento legislativo está el de conseguir que los textos aprobados alcancen la calidad técnica necesaria para que la norma aprobada cumpla con los elementos propios de aquel principio.</w:t>
      </w:r>
    </w:p>
    <w:p w:rsidR="00A90898" w:rsidRDefault="00A90898" w:rsidP="00A90898">
      <w:pPr>
        <w:pStyle w:val="TextoNormal"/>
      </w:pPr>
    </w:p>
    <w:p w:rsidR="00A90898" w:rsidRDefault="00A90898" w:rsidP="00A90898">
      <w:pPr>
        <w:pStyle w:val="TextoNormal"/>
      </w:pPr>
      <w:r>
        <w:t>Así, para los recurrentes la naturaleza de la norma adoptada y las innumerables repercusiones sociales, económicas y jurídicas de la misma parecían aconsejar la tramitación de un proyecto de ley, y no de una proposición de ley como fue el caso, para poder evaluar y valorar todas estas cuestiones a través del procedimiento preceptivo propio de los proyectos de ley que permite incorporar los correspondientes informes sobre el contenido y adecuación jurídica de la norma.</w:t>
      </w:r>
    </w:p>
    <w:p w:rsidR="00A90898" w:rsidRDefault="00A90898" w:rsidP="00A90898">
      <w:pPr>
        <w:pStyle w:val="TextoNormal"/>
      </w:pPr>
    </w:p>
    <w:p w:rsidR="00A90898" w:rsidRDefault="00A90898" w:rsidP="00A90898">
      <w:pPr>
        <w:pStyle w:val="TextoNormal"/>
      </w:pPr>
      <w:r>
        <w:t>Igualmente, consideran los recurrentes que la falta de antecedentes impide tramitar la proposición de ley tal y como ha sido presentada, puesto que se tramitó y aprobó a partir de un preámbulo que sirvió para todo: exposición de motivos, antecedentes, etc.</w:t>
      </w:r>
    </w:p>
    <w:p w:rsidR="00A90898" w:rsidRDefault="00A90898" w:rsidP="00A90898">
      <w:pPr>
        <w:pStyle w:val="TextoNormal"/>
      </w:pPr>
    </w:p>
    <w:p w:rsidR="00A90898" w:rsidRDefault="00A90898" w:rsidP="00A90898">
      <w:pPr>
        <w:pStyle w:val="TextoNormal"/>
      </w:pPr>
      <w:r>
        <w:t>Finalmente alegan que el procedimiento de lectura única, que no permitió debatir ni valorar ningún tipo de informe relativo al impacto económico, social o jurídico de la norma, no se adecuó a los requisitos establecidos para su utilización.</w:t>
      </w:r>
    </w:p>
    <w:p w:rsidR="00A90898" w:rsidRDefault="00A90898" w:rsidP="00A90898">
      <w:pPr>
        <w:pStyle w:val="TextoNormal"/>
      </w:pPr>
    </w:p>
    <w:p w:rsidR="00A90898" w:rsidRDefault="00A90898" w:rsidP="00A90898">
      <w:pPr>
        <w:pStyle w:val="TextoNormal"/>
      </w:pPr>
      <w:r>
        <w:t>a) En lo que se refiere a la vulneración del procedimiento legislativo por tener la norma impugnada su origen en una proposición de ley y no en un proyecto de ley no cabe sino desestimar la misma, pues ningún obstáculo se ha establecido en el Estatuto de Autonomía o en el Reglamento de Les Corts a la capacidad de los grupos parlamentarios de presentar proposiciones de ley.</w:t>
      </w:r>
    </w:p>
    <w:p w:rsidR="00A90898" w:rsidRDefault="00A90898" w:rsidP="00A90898">
      <w:pPr>
        <w:pStyle w:val="TextoNormal"/>
      </w:pPr>
    </w:p>
    <w:p w:rsidR="00A90898" w:rsidRDefault="00A90898" w:rsidP="00A90898">
      <w:pPr>
        <w:pStyle w:val="TextoNormal"/>
      </w:pPr>
      <w:r>
        <w:lastRenderedPageBreak/>
        <w:t>Así, de acuerdo con el apartado 1 del artículo 26 del Estatuto de Autonomía de la Comunidad Valenciana, “la iniciativa legislativa corresponde a Les Corts y al Consell, en la forma que determine el presente Estatuto y el Reglamento de Les Corts”.</w:t>
      </w:r>
    </w:p>
    <w:p w:rsidR="00A90898" w:rsidRDefault="00A90898" w:rsidP="00A90898">
      <w:pPr>
        <w:pStyle w:val="TextoNormal"/>
      </w:pPr>
    </w:p>
    <w:p w:rsidR="00A90898" w:rsidRDefault="00A90898" w:rsidP="00A90898">
      <w:pPr>
        <w:pStyle w:val="TextoNormal"/>
      </w:pPr>
      <w:r>
        <w:t>Por su parte, el apartado 2 de ese mismo artículo 26 dispone que “la iniciativa legislativa de Les Corts se ejercerá por los Grupos Parlamentarios y por los Diputados y Diputadas en la forma que determine el Reglamento de Les Corts.”</w:t>
      </w:r>
    </w:p>
    <w:p w:rsidR="00A90898" w:rsidRDefault="00A90898" w:rsidP="00A90898">
      <w:pPr>
        <w:pStyle w:val="TextoNormal"/>
      </w:pPr>
    </w:p>
    <w:p w:rsidR="00A90898" w:rsidRDefault="00A90898" w:rsidP="00A90898">
      <w:pPr>
        <w:pStyle w:val="TextoNormal"/>
      </w:pPr>
      <w:r>
        <w:t>El Reglamento de Les Corts, en la versión vigente cuando se tramitó la Ley impugnada, regulaba en sus artículos 124 y ss. las proposiciones de ley de Les Corts, sin establecer límite material alguno para la presentación de aquellas por parte de los grupos parlamentarios o los diputados.</w:t>
      </w:r>
    </w:p>
    <w:p w:rsidR="00A90898" w:rsidRDefault="00A90898" w:rsidP="00A90898">
      <w:pPr>
        <w:pStyle w:val="TextoNormal"/>
      </w:pPr>
    </w:p>
    <w:p w:rsidR="00A90898" w:rsidRDefault="00A90898" w:rsidP="00A90898">
      <w:pPr>
        <w:pStyle w:val="TextoNormal"/>
      </w:pPr>
      <w:r>
        <w:t>El ordenamiento jurídico no ha establecido, por tanto, restricciones para el ejercicio de la función legislativa a partir de las proposiciones de ley presentadas por los grupos parlamentarios, como de contrario sí que ha hecho, por ejemplo, en relación con las proposiciones de ley de iniciativa legislativa popular que tienen vedadas ciertas materias por remisión del art 26.2 del Estatuto a la Ley y a los términos previstos en el Reglamento de Les Corts que igualmente en su art. 126 se remite a la Ley 5/1993, de 27 de diciembre, reguladora de la iniciativa legislativa popular de la Comunitat Valenciana. La legalidad aplicable no impone límite material alguno a la iniciativa que corresponde a Les Corts por lo que no cabe exigir que una determinada norma, por el hecho de tener determinadas repercusiones sociales, económicas y jurídicas, tenga que tener su origen en un proyecto de ley del Gobierno en lugar de en una proposición de ley de Les Corts. Cuando el ordenamiento ha querido establecer la preferencia de un concreto tipo de iniciativa, así lo ha hecho explícitamente, como en el supuesto del proyecto de ley de presupuestos que de acuerdo con el art. 76 del Estatuto de Autonomía corresponde al Consell elaborar. En atención a lo expuesto debemos desestimar la alegación referida.</w:t>
      </w:r>
    </w:p>
    <w:p w:rsidR="00A90898" w:rsidRDefault="00A90898" w:rsidP="00A90898">
      <w:pPr>
        <w:pStyle w:val="TextoNormal"/>
      </w:pPr>
    </w:p>
    <w:p w:rsidR="00A90898" w:rsidRDefault="00A90898" w:rsidP="00A90898">
      <w:pPr>
        <w:pStyle w:val="TextoNormal"/>
      </w:pPr>
      <w:r>
        <w:t>b) En lo que se refiere a la vulneración del procedimiento legislativo por la falta de presentación de los antecedentes necesarios para pronunciarse sobre la proposición de ley presentada, cabe señalar que el Estatuto de Autonomía de la Comunidad Valenciana, tras disponer que la potestad legislativa dentro la Comunidad Valenciana corresponde a Les Corts (artículo 21), establece que estas aprobarán su propio Reglamento (artículo 25.1). El artículo 124 del Reglamento de Les Corts instituye que “las proposiciones de ley se presentarán acompañadas de una exposición de motivos y de los antecedentes necesarios para poder pronunciarse sobre ellas”. Este último precepto es el que cabe entender integrado en el bloque de constitucionalidad (SSTC 238/2012, de 13 de diciembre, FJ 2, y 132/2013, de 5 de junio, FJ 3), y es por tanto la norma que directamente sustenta el enjuiciamiento por este Tribunal del denunciado vicio relativo a la insuficiencia de los antecedentes que acompañaron la proposición de ley que dio lugar a los preceptos legales ahora impugnados.</w:t>
      </w:r>
    </w:p>
    <w:p w:rsidR="00A90898" w:rsidRDefault="00A90898" w:rsidP="00A90898">
      <w:pPr>
        <w:pStyle w:val="TextoNormal"/>
      </w:pPr>
    </w:p>
    <w:p w:rsidR="00A90898" w:rsidRDefault="00A90898" w:rsidP="00A90898">
      <w:pPr>
        <w:pStyle w:val="TextoNormal"/>
      </w:pPr>
      <w:r>
        <w:t>Si bien no es propiamente el art. 88 CE, sino el referido art. 124 del Reglamento de Les Corts, el que sirve de canon de constitucionalidad en la queja expuesta, la similitud de sus respectivos contenidos en el punto ahora controvertido determina que la doctrina aplicada por este Tribunal respecto al citado precepto constitucional resulte trasladable al presente examen de adecuación a la norma reglamentaria del Parlamento autonómico.</w:t>
      </w:r>
    </w:p>
    <w:p w:rsidR="00A90898" w:rsidRDefault="00A90898" w:rsidP="00A90898">
      <w:pPr>
        <w:pStyle w:val="TextoNormal"/>
      </w:pPr>
    </w:p>
    <w:p w:rsidR="00A90898" w:rsidRDefault="00A90898" w:rsidP="00A90898">
      <w:pPr>
        <w:pStyle w:val="TextoNormal"/>
      </w:pPr>
      <w:r>
        <w:lastRenderedPageBreak/>
        <w:t>Entre otros pronunciamientos, dicha doctrina puede encontrarse en las SSTC 136/2011 y 176/2011, en las que se dio respuesta a un reproche de infracción de determinadas reglas del procedimiento parlamentario —entre ellas, la relativa al deber de acompañar el proyecto de ley de los antecedentes necesarios—. En aquellas resoluciones este Tribunal procedió a rechazar la existencia de tales vicios “por no haberse acreditado que su alcance era de tal magnitud que hubiese alterado, ‘no de cualquier manera, sino de forma sustancial, el proceso de formación de la voluntad de una Cámara, habiendo afectado, en consecuencia, al ejercicio de la función representativa inherente al estatuto del parlamentario’ (STC 136/2011, de 13 de septiembre, FJ 10)” [STC 176/2011, FJ 2 f)]. Asimismo, como complemento de esta doctrina, hemos de citar la STC 68/2013, de 14 de marzo, en la cual sostuvimos que “[e]n relación con las alegaciones de vulneración del procedimiento legislativo, la doctrina de este Tribunal establece la necesidad de ‘examinar, ante todo, si se ha producido o no vulneración de la normativa reguladora de la elaboración de las leyes para, sólo después, y en su caso, valorar si aquella vulneración pudo tener relevancia para la formación de la voluntad legisladora’ [STC 238/2012, de 13 de diciembre, FJ 2 a)]”. De ahí que, como se recordó en relación con el art. 88 CE, “la ausencia de un determinado antecedente sólo tendrá trascendencia si se hubiere privado a las Cámaras de un elemento de juicio necesario para su decisión (STC 108/1986, de 28 de julio, FJ 3). Para determinar si esto último se ha producido, será relevante tener en cuenta aspectos tales como el relativo a sí un determinado informe tiene carácter facultativo o preceptivo, aspecto que fue subrayado en la STC 108/1986, de 28 de julio, FJ 3, o el rango de la norma que lo prevea, extremo que fue determinante para considerar inconstitucional en la STC 35/1984, de 13 de marzo, FJ 6, la adopción de un decreto-ley que omitió un trámite de informe previsto en la disposición adicional tercera de la Constitución” (FJ 2).</w:t>
      </w:r>
    </w:p>
    <w:p w:rsidR="00A90898" w:rsidRDefault="00A90898" w:rsidP="00A90898">
      <w:pPr>
        <w:pStyle w:val="TextoNormal"/>
      </w:pPr>
    </w:p>
    <w:p w:rsidR="00A90898" w:rsidRDefault="00A90898" w:rsidP="00A90898">
      <w:pPr>
        <w:pStyle w:val="TextoNormal"/>
      </w:pPr>
      <w:r>
        <w:t>En el presente caso, los recurrentes alegan que el art. 124 del Reglamento de Les Corts diferencia entre exposición de motivos y antecedentes de la norma, requiriendo la existencia de estos dos elementos. Afirmado lo anterior, los recurrentes identifican en su escrito los “antecedentes necesarios” con aquellos trámites o requisitos que el art. 42 de la Ley 5/1983, del Consell detalla. Para los recurrentes, la presentación como proposición de ley por el Grupo Parlamentario Popular de una iniciativa que responde a la voluntad declarada del ejecutivo constituye un auténtico fraude de ley, pues busca evitar tener que cumplir con el procedimiento exigido por la Ley 5/1983, del Consell, para los anteproyectos de ley.</w:t>
      </w:r>
    </w:p>
    <w:p w:rsidR="00A90898" w:rsidRDefault="00A90898" w:rsidP="00A90898">
      <w:pPr>
        <w:pStyle w:val="TextoNormal"/>
      </w:pPr>
    </w:p>
    <w:p w:rsidR="00A90898" w:rsidRDefault="00A90898" w:rsidP="00A90898">
      <w:pPr>
        <w:pStyle w:val="TextoNormal"/>
      </w:pPr>
      <w:r>
        <w:t xml:space="preserve">Una vez hemos rechazado en el apartado anterior que quepa establecer la preferencia de un concreto tipo de iniciativa frente a otro, es preciso subrayar que los trámites o requisitos a los que el art. 42 de la Ley 5/1983 se refiere son trámites y requisitos que el ordenamiento exige a los anteproyectos de ley del Gobierno y no a las proposiciones de ley de Les Corts, por lo que no cabe tenerlos en cuenta para determinar la ausencia de los antecedentes necesarios a los que se refiere el art. 124 del Reglamento. Así, la norma que impone que los anteproyectos de ley aprobados por el Consell se adecuen a una serie de trámites y requisitos no es directamente aplicable a las condiciones de presentación de proposiciones de ley en la Cámara parlamentaria. No cabe proyectar sobre la facultad de los grupos parlamentarios de presentar proposiciones de ley exigencias y requisitos exigidos sólo por el ordenamiento para los proyectos de ley del Gobierno [SSTC 36/2013, de 14 de febrero, FJ 4, y 111/2013, de 9 de mayo, FJ 2 b)], por ejemplo, en relación con la intervención, mediante informe, del Consejo de Estado. Las disposiciones legales que traen causa, como aquí fue el caso, de una proposición de ley no resultan inconstitucionales, en suma, por el mero hecho de que se </w:t>
      </w:r>
      <w:r>
        <w:lastRenderedPageBreak/>
        <w:t>hayan presentado ante las Cámaras sin aquellos requisitos documentales que el bloque de la constitucionalidad exige a los proyectos de ley.</w:t>
      </w:r>
    </w:p>
    <w:p w:rsidR="00A90898" w:rsidRDefault="00A90898" w:rsidP="00A90898">
      <w:pPr>
        <w:pStyle w:val="TextoNormal"/>
      </w:pPr>
    </w:p>
    <w:p w:rsidR="00A90898" w:rsidRDefault="00A90898" w:rsidP="00A90898">
      <w:pPr>
        <w:pStyle w:val="TextoNormal"/>
      </w:pPr>
      <w:r>
        <w:t>Una vez considerado que el art. 42 de la Ley 5/1983 no constituye parámetro de control de las proposiciones de ley, subsiste, no obstante, la necesidad de determinar si vulnera el art. 124 del Reglamento de Les Corts el hecho de que una proposición de ley no se presente, como afirman los recurrentes, acompañada de los estudios e informes que justifiquen su oportunidad, por ser estos aquellos antecedentes necesarios a los que se refiere el precepto.</w:t>
      </w:r>
    </w:p>
    <w:p w:rsidR="00A90898" w:rsidRDefault="00A90898" w:rsidP="00A90898">
      <w:pPr>
        <w:pStyle w:val="TextoNormal"/>
      </w:pPr>
    </w:p>
    <w:p w:rsidR="00A90898" w:rsidRDefault="00A90898" w:rsidP="00A90898">
      <w:pPr>
        <w:pStyle w:val="TextoNormal"/>
      </w:pPr>
      <w:r>
        <w:t>De acuerdo con nuestra doctrina le corresponde a la propia Mesa de la Cámara interpretar individualizadamente, de conformidad con las normas aplicables, qué materiales son imprescindibles en cada ocasión para poder realizar adecuadamente el control formal que se plasma en la calificación y en la decisión sobre la admisibilidad de las iniciativas legislativas, y para que el debate legislativo se realice con plena libertad de decisión. Debe hacerlo motivadamente y de manera razonable, siendo el control que puede realizar este Tribunal meramente externo y limitado a la suficiencia y coherencia jurídica de dicha motivación (SSTC 38/1999 y 177/2002), pues, como hemos dicho en la STC 242/2006, de 24 de julio, FJ 6, cuando se trata de enjuiciar decisiones de la mesas de una cámara parlamentaria “las consideraciones funcionales que rodean a esta institución y a su control no pueden ser desconocidas y obligan a limitar nuestro control a las decisiones arbitrarias o manifiestamente irrazonables”.</w:t>
      </w:r>
    </w:p>
    <w:p w:rsidR="00A90898" w:rsidRDefault="00A90898" w:rsidP="00A90898">
      <w:pPr>
        <w:pStyle w:val="TextoNormal"/>
      </w:pPr>
    </w:p>
    <w:p w:rsidR="00A90898" w:rsidRDefault="00A90898" w:rsidP="00A90898">
      <w:pPr>
        <w:pStyle w:val="TextoNormal"/>
      </w:pPr>
      <w:r>
        <w:t>En el presente supuesto, la Mesa, en su resolución de 25 de noviembre de 2013, consideró que la exposición de motivos contenida en la proposición de ley presentada tenía los antecedentes necesarios para pronunciarse sobre la misma, no siendo una exigencia del art. 134 del Reglamento que la exposición de motivos y los antecedentes se presenten por separado como se demuestra en la tradición parlamentaria de Les Corts. La Mesa acordó, por tanto, no reconsiderar la admisión a trámite de aquella, sin que aquel acuerdo pueda considerarse fundado en una argumentación arbitraria o manifiestamente irrazonable. Asimismo, los recurrentes, al referirse genéricamente a unos estudios e informes que justifiquen la oportunidad de la norma, utilizan un concepto equivalente al de antecedente necesario para pronunciarse sobre la iniciativa, pero sin individualizar el contenido concreto de tales estudios e informes; ni acreditar, tampoco, el menoscabo en la posición de los parlamentarios que comportaría la ausencia de un determinado antecedente. Por todo ello debemos desestimar la impugnación también en este punto.</w:t>
      </w:r>
    </w:p>
    <w:p w:rsidR="00A90898" w:rsidRDefault="00A90898" w:rsidP="00A90898">
      <w:pPr>
        <w:pStyle w:val="TextoNormal"/>
      </w:pPr>
    </w:p>
    <w:p w:rsidR="00A90898" w:rsidRDefault="00A90898" w:rsidP="00A90898">
      <w:pPr>
        <w:pStyle w:val="TextoNormal"/>
      </w:pPr>
      <w:r>
        <w:t>c) Debemos finalmente dar respuesta a la alegación de los recurrentes, según la cual, la tramitación de la Ley por el procedimiento de lectura única —sin concurrir las condiciones que el Reglamento de Les Corts asocia a la selección del procedimiento legislativo en cuestión—, habría conculcado el principio democrático y vulnerado los derechos de participación política a través de representantes, al haberse recurrido de forma inadecuada a un procedimiento especial que limita el debate público.</w:t>
      </w:r>
    </w:p>
    <w:p w:rsidR="00A90898" w:rsidRDefault="00A90898" w:rsidP="00A90898">
      <w:pPr>
        <w:pStyle w:val="TextoNormal"/>
      </w:pPr>
    </w:p>
    <w:p w:rsidR="00A90898" w:rsidRDefault="00A90898" w:rsidP="00A90898">
      <w:pPr>
        <w:pStyle w:val="TextoNormal"/>
      </w:pPr>
      <w:r>
        <w:t xml:space="preserve">El art. 135.1 del Reglamento de Les Corts, vigente cuando se tramitó la Ley impugnada, afirma que “cuando la naturaleza de un proyecto o proposición de ley lo aconseje y su simplicidad de formulación lo permita, el Pleno de Les Corts, a propuesta de la Mesa, de acuerdo con la Junta de Síndics, o a iniciativa de ésta, podrá acordar que dicho proyecto o proposición de ley se tramite directamente y en lectura única ante el Pleno o una comisión. </w:t>
      </w:r>
      <w:r>
        <w:lastRenderedPageBreak/>
        <w:t>Este acuerdo supondrá el decaimiento del derecho de presentación de enmiendas.”. La lectura única consiste en un debate sujeto a las normas establecidas para los de totalidad, que irá seguido de una sola votación. Si el resultado de la votación es favorable, será aprobado; en caso contrario, rechazado.</w:t>
      </w:r>
    </w:p>
    <w:p w:rsidR="00A90898" w:rsidRDefault="00A90898" w:rsidP="00A90898">
      <w:pPr>
        <w:pStyle w:val="TextoNormal"/>
      </w:pPr>
    </w:p>
    <w:p w:rsidR="00A90898" w:rsidRDefault="00A90898" w:rsidP="00A90898">
      <w:pPr>
        <w:pStyle w:val="TextoNormal"/>
      </w:pPr>
      <w:r>
        <w:t>Las lesiones denunciadas solo podrían traer causa del incumplimiento de los supuestos en los que el Reglamento parlamentario permite acudir a este procedimiento excepcional, esto es, cuando su naturaleza lo aconseje o la simplicidad de su formulación lo permita. La propia jurisprudencia constitucional reconoce que “la figura de los proyectos o proposiciones de ley en lectura única, típica del Derecho parlamentario... tiene precisamente su razón de ser en iniciativas legislativas cuya naturaleza o simplicidad de formulación permiten una tramitación abreviada de las mismas” (STC 274/2000, de 15 de noviembre, FJ 10).</w:t>
      </w:r>
    </w:p>
    <w:p w:rsidR="00A90898" w:rsidRDefault="00A90898" w:rsidP="00A90898">
      <w:pPr>
        <w:pStyle w:val="TextoNormal"/>
      </w:pPr>
    </w:p>
    <w:p w:rsidR="00A90898" w:rsidRDefault="00A90898" w:rsidP="00A90898">
      <w:pPr>
        <w:pStyle w:val="TextoNormal"/>
      </w:pPr>
      <w:r>
        <w:t>Señalado lo anterior, cabe igualmente recordar que “este Tribunal sólo puede realizar un control negativo, pues no le es dado reemplazar la voluntad de la Mesa al proponer la tramitación por el procedimiento de lectura única, ni la del Pleno que debe aprobarlo”, lo que nos debe llevar a que rechacemos las vulneraciones alegadas.</w:t>
      </w:r>
    </w:p>
    <w:p w:rsidR="00A90898" w:rsidRDefault="00A90898" w:rsidP="00A90898">
      <w:pPr>
        <w:pStyle w:val="TextoNormal"/>
      </w:pPr>
    </w:p>
    <w:p w:rsidR="00A90898" w:rsidRDefault="00A90898" w:rsidP="00A90898">
      <w:pPr>
        <w:pStyle w:val="TextoNormal"/>
      </w:pPr>
      <w:r>
        <w:t>En efecto, en cuanto a la naturaleza de la norma, cabe recordar que este Tribunal ha afirmado que ni siquiera la reforma constitucional ha quedado excluida del procedimiento de lectura única, pues ni de la lectura del texto constitucional en su conjunto, ni de modo especial del título X dedicado por la propia Constitución a su posible reforma, ni del Reglamento del Congreso de los Diputados, se advierte que la aprobación de la reforma constitucional haya quedado excluida del procedimiento de lectura única, pues aquellos preceptos no establecen materias vedadas a dicha tramitación, como sí sucede con el Reglamento parlamentario de alguna Asamblea autonómica (ATC 9/2012, de 13 de enero, FJ 3).</w:t>
      </w:r>
    </w:p>
    <w:p w:rsidR="00A90898" w:rsidRDefault="00A90898" w:rsidP="00A90898">
      <w:pPr>
        <w:pStyle w:val="TextoNormal"/>
      </w:pPr>
    </w:p>
    <w:p w:rsidR="00A90898" w:rsidRDefault="00A90898" w:rsidP="00A90898">
      <w:pPr>
        <w:pStyle w:val="TextoNormal"/>
      </w:pPr>
      <w:r>
        <w:t>En cuanto a la simplicidad de su formulación, no resulta arbitrario interpretar —y para ello basta con la lectura de la Ley impugnada que consta de tres artículos, dos disposiciones adicionales, una disposición derogatoria y una disposición final—, que ésta reviste la característica exigida por el Reglamento de Les Corts relativa a “la simplicidad de su formulación”. Este concepto jurídico indeterminado es, por otra parte, totalmente ajeno, en contra de lo que afirman los recurrentes, al consenso político que pudiera suscitar el proyecto de ley, a la repercusión pública que éste pueda tener, o a la complejidad material intrínseca que supone la función administrativa de aplicación del ordenamiento jurídico, que no se ha trasladado en modo alguno a la formulación de la ley [STC 129/2013, de 4 de junio, FJ 10].</w:t>
      </w:r>
    </w:p>
    <w:p w:rsidR="00A90898" w:rsidRDefault="00A90898" w:rsidP="00A90898">
      <w:pPr>
        <w:pStyle w:val="TextoNormal"/>
      </w:pPr>
    </w:p>
    <w:p w:rsidR="00A90898" w:rsidRDefault="00A90898" w:rsidP="00A90898">
      <w:pPr>
        <w:pStyle w:val="TextoNormal"/>
      </w:pPr>
      <w:r>
        <w:t>De acuerdo con las consideraciones anteriores, debe descartarse la existencia de lesión por vicios en el procedimiento de aprobación de la Ley 4/2013, de 27 de noviembre en los términos alegados por los recurrentes.</w:t>
      </w:r>
    </w:p>
    <w:p w:rsidR="00A90898" w:rsidRDefault="00A90898" w:rsidP="00A90898">
      <w:pPr>
        <w:pStyle w:val="TextoNormal"/>
      </w:pPr>
    </w:p>
    <w:p w:rsidR="00A90898" w:rsidRDefault="00A90898" w:rsidP="00A90898">
      <w:pPr>
        <w:pStyle w:val="TextoNormal"/>
      </w:pPr>
      <w:r>
        <w:t>d) Una vez hemos descartado la existencia de vicios en el procedimiento legislativo, debemos desestimar igualmente la impugnación por vulneración del principio de seguridad jurídica del art. 9.3 CE que se vincula por los recurrentes con la existencia de tales vicios; sin perjuicio de recordar que este Tribunal no es juez de la calidad técnica de las leyes (STC 102/2016, de 25 de mayo, FJ 5).</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la pérdida sobrevenida de objeto del recurso, en lo que se refiere a la vulneración de los arts. 20.1 a), 20.1 d) y 20.3, en relación con el art. 149.1.27, 24 y 118, así como los artículos 9.2 y 10 de la Constitución por la Ley 4/2013, de 27 de noviembre, de la Generalitat, de supresión de la prestación de los servicios de radiodifusión y televisión de ámbito autonómico, de titularidad de la Generalitat.</w:t>
      </w:r>
    </w:p>
    <w:p w:rsidR="00A90898" w:rsidRDefault="00A90898" w:rsidP="00A90898">
      <w:pPr>
        <w:pStyle w:val="TextoNormal"/>
      </w:pPr>
    </w:p>
    <w:p w:rsidR="00A90898" w:rsidRDefault="00A90898" w:rsidP="00A90898">
      <w:pPr>
        <w:pStyle w:val="TextoNormal"/>
      </w:pPr>
      <w:r>
        <w:t>2º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3" w:name="SENTENCIA_2016_154"/>
      <w:r>
        <w:lastRenderedPageBreak/>
        <w:t>SENTENCIA 154/2016, de 22 de septiembre de 2016</w:t>
      </w:r>
    </w:p>
    <w:bookmarkEnd w:id="33"/>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ECLI:ES:TC:2016:154</w:t>
      </w:r>
    </w:p>
    <w:p w:rsidR="00A90898" w:rsidRDefault="00A90898" w:rsidP="00A90898">
      <w:pPr>
        <w:pStyle w:val="TextoNormalCentrado"/>
      </w:pPr>
    </w:p>
    <w:p w:rsidR="00A90898" w:rsidRDefault="00A90898" w:rsidP="00A90898">
      <w:pPr>
        <w:pStyle w:val="SntesisDescriptiva"/>
      </w:pPr>
      <w:r>
        <w:t>Recurso de amparo 6144-2014. Promovido por la asociación Algeciras Acoge en relación con el Auto de un Juzgado de Instrucción de Algeciras que denegó la incoación de procedimiento de habeas corpus.</w:t>
      </w:r>
    </w:p>
    <w:p w:rsidR="00A90898" w:rsidRDefault="00A90898" w:rsidP="00A90898">
      <w:pPr>
        <w:pStyle w:val="SntesisDescriptiva"/>
      </w:pPr>
    </w:p>
    <w:p w:rsidR="00A90898" w:rsidRDefault="00A90898" w:rsidP="00A90898">
      <w:pPr>
        <w:pStyle w:val="SntesisAnaltica"/>
      </w:pPr>
      <w:r>
        <w:t>Alegada vulneración del derecho a la libertad personal en relación con el derecho a la tutela judicial efectiva: inadmisión del recurso de amparo por falta de legitimación de la asociación promotora. Voto particular.</w:t>
      </w:r>
    </w:p>
    <w:p w:rsidR="00A90898" w:rsidRDefault="00A90898" w:rsidP="00A90898">
      <w:pPr>
        <w:pStyle w:val="SntesisAnaltica"/>
      </w:pPr>
    </w:p>
    <w:p w:rsidR="00A90898" w:rsidRDefault="00A90898" w:rsidP="00A90898">
      <w:pPr>
        <w:pStyle w:val="Extracto"/>
      </w:pPr>
      <w:r>
        <w:t>1.</w:t>
      </w:r>
      <w:r>
        <w:tab/>
        <w:t>Corresponde inadmitir el recurso de amparo debido a la falta de legitimación de la asociación recurrente en amparo [FFJJ 3, 4].</w:t>
      </w:r>
    </w:p>
    <w:p w:rsidR="00A90898" w:rsidRDefault="00A90898" w:rsidP="00A90898">
      <w:pPr>
        <w:pStyle w:val="Extracto"/>
      </w:pPr>
    </w:p>
    <w:p w:rsidR="00A90898" w:rsidRDefault="00A90898" w:rsidP="00A90898">
      <w:pPr>
        <w:pStyle w:val="Extracto"/>
      </w:pPr>
      <w:r>
        <w:t>2.</w:t>
      </w:r>
      <w:r>
        <w:tab/>
        <w:t>Doctrina sobre el interés legítimo y la participación en el proceso judicial previo como presupuestos de la legitimación para interponer recurso de amparo  (SSTC 25/2010, 155/2012, 186/2015 y 91/2016) [FJ 2].</w:t>
      </w:r>
    </w:p>
    <w:p w:rsidR="00A90898" w:rsidRDefault="00A90898" w:rsidP="00A90898">
      <w:pPr>
        <w:pStyle w:val="Extracto"/>
      </w:pPr>
    </w:p>
    <w:p w:rsidR="00A90898" w:rsidRDefault="00A90898" w:rsidP="00A90898">
      <w:pPr>
        <w:pStyle w:val="Extracto"/>
      </w:pPr>
      <w:r>
        <w:t>3.</w:t>
      </w:r>
      <w:r>
        <w:tab/>
        <w:t>La asociación recurrente, al no ser titular del derecho, ni tener legitimación legal para instar el procedimiento de habeas corpus, se limitó a pedir al Juzgado que hiciera uso de su potestad jurisdiccional de iniciar de oficio un procedimiento de habeas corpus, quedando agotadas sus posibilidades procesales en el mero ejercicio de la petición y la comunicación de la decisión adoptada aunque su contenido no le fuera favorable. De este modo, a la asociación demandante en amparo no cabía reconocerle su condición de parte en el procedimiento judicial de origen, circunstancia que, por sí misma conforme a lo expuesto, sería suficiente para negarle legitimación activa en el recurso de amparo [art. 46.1 b) LOTC] [FJ 3].</w:t>
      </w:r>
    </w:p>
    <w:p w:rsidR="00A90898" w:rsidRDefault="00A90898" w:rsidP="00A90898">
      <w:pPr>
        <w:pStyle w:val="Extracto"/>
      </w:pPr>
    </w:p>
    <w:p w:rsidR="00A90898" w:rsidRDefault="00A90898" w:rsidP="00A90898">
      <w:pPr>
        <w:pStyle w:val="Extracto"/>
      </w:pPr>
      <w:r>
        <w:t>4.</w:t>
      </w:r>
      <w:r>
        <w:tab/>
        <w:t>No se reconoce a la recurrente un “interés legítimo” para acudir en amparo, dado que dicho interés, no puede residenciarse en la contribución al efectivo ejercicio del derecho a la tutela judicial efectiva de las personas extranjeras, pues no debe confundirse el “interés legítimo” [art. 162.1 b) CE], con un “interés genérico en la preservación de derechos”. Tampoco puede sustentarse el mismo en la Ley de extranjería pues, si bien el régimen legal de la legitimación corporativa puede encontrar aplicación favorable en los procesos contencioso-administrativos u otros ordinarios, no puede decirse lo mismo respecto de la intervención en el proceso de amparo (ATC 942/1985)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lastRenderedPageBreak/>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avocado núm. 6144-2014, promovido por la asociación Algeciras Acoge, representada por el Procurador de los Tribunales don Agustín Sanz Arroyo, bajo la dirección de la Letrada doña Rocío Sierra Medina, contra el Auto del Juzgado de Instrucción núm. 2 de Algeciras de 20 de agosto de 2014, por el que se deniega la incoación de oficio del procedimiento de habeas corpus núm. 6-2014. Ha intervenido el Ministerio Fiscal.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Procurador de los Tribunales don Agustín Sanz Arroyo, en nombre y representación de la asociación Algeciras Acoge, bajo la dirección de la Letrada doña Rocío Sierra Medina, interpuso demanda de amparo contra la resolución que se menciona en el encabezamiento mediante escrito registrado en este Tribunal el 13 de octubre de 2014.</w:t>
      </w:r>
    </w:p>
    <w:p w:rsidR="00A90898" w:rsidRDefault="00A90898" w:rsidP="00A90898">
      <w:pPr>
        <w:pStyle w:val="TextoNormal"/>
      </w:pPr>
    </w:p>
    <w:p w:rsidR="00A90898" w:rsidRDefault="00A90898" w:rsidP="00A90898">
      <w:pPr>
        <w:pStyle w:val="TextoNormal"/>
      </w:pPr>
      <w:r w:rsidRPr="00A90898">
        <w:rPr>
          <w:rStyle w:val="NumeroAFNegritaCaracter"/>
        </w:rPr>
        <w:t>2</w:t>
      </w:r>
      <w:r>
        <w:t>. El recurso tiene su origen en los siguientes antecedentes:</w:t>
      </w:r>
    </w:p>
    <w:p w:rsidR="00A90898" w:rsidRDefault="00A90898" w:rsidP="00A90898">
      <w:pPr>
        <w:pStyle w:val="TextoNormal"/>
      </w:pPr>
    </w:p>
    <w:p w:rsidR="00A90898" w:rsidRDefault="00A90898" w:rsidP="00A90898">
      <w:pPr>
        <w:pStyle w:val="TextoNormal"/>
      </w:pPr>
      <w:r>
        <w:t xml:space="preserve">a) La entidad recurrente registró en el Juzgado de Instrucción núm. 2 de Algeciras, en funciones de guardia, un escrito el 20 de agosto de 2014, solicitando que se “tenga por presentada denuncia por posible comisión de un delito de detención ilegal”, al mismo tiempo por otrosí digo, pedía que “este Juzgado inste procedimiento judicial de habeas corpus respecto de las personas inmigrantes que se encuentran en la localidad de Tarifa bajo el control de las FF.CC. de Seguridad del Estado y privadas de libertad”, al amparo del art. 3 de la Ley Orgánica 6/1984, de 24 de mayo, de regulación del procedimiento de habeas corpus (LOHC), que prevé la iniciación de oficio del procedimiento de habeas corpus por el Juez competente. En el escrito puso de manifiesto que en un pabellón de Tarifa permanecían bajo custodia de la Guardia Civil unos 250 inmigrantes que habían arribado a las costas españolas en diversas embarcaciones de las denominadas “pateras” los días 11 y 12 de agosto de 2014, en un total de 1.219 personas, al parecer por la permisividad de Marruecos durante el plazo de 48 horas, sin que hubieran pasado a disposición judicial en esos ocho o nueve días que llevaban privados de libertad, por lo que podía haberse cometido un delito de detención ilegal. A esos efectos, se exponía en el escrito de solicitud que el día 19 de agosto de 2015 por la tarde varios miembros de diversas asociaciones, de los que refleja su filiación y número de documento nacional de identidad ofreciendo su declaración a efectos probatorios, se desplazaron hasta estas instalaciones, afirmando los guardias civiles que custodiaban el lugar que los inmigrantes no podían salir del pabellón al estar retenidos a la espera de pasar a la comisaría de la Policía Nacional y que no habían recibido asistencia letrada alguna. Finalmente concluye que “incluso, si las autoridades españolas prevén que no es posible la devolución de estas personas (y por ello se realizan gestiones con ONG para </w:t>
      </w:r>
      <w:r>
        <w:lastRenderedPageBreak/>
        <w:t>la acogida en centros y pisos), se debió haber procedido a su puesta en libertad sin agotar el plazo de las 72 horas”.</w:t>
      </w:r>
    </w:p>
    <w:p w:rsidR="00A90898" w:rsidRDefault="00A90898" w:rsidP="00A90898">
      <w:pPr>
        <w:pStyle w:val="TextoNormal"/>
      </w:pPr>
    </w:p>
    <w:p w:rsidR="00A90898" w:rsidRDefault="00A90898" w:rsidP="00A90898">
      <w:pPr>
        <w:pStyle w:val="TextoNormal"/>
      </w:pPr>
      <w:r>
        <w:t>b) El Juzgado tramitó la solicitud con el número de procedimiento de habeas corpus 6-2014, dando traslado de la misma al Ministerio Fiscal. El Fiscal Jefe de la Fiscalía del Área de Algeciras, por informe de 20 de agosto de 2014, interesó que fuera archivado, argumentando que “falta un elemento esencial: Una privación de libertad. Nos encontramos con una denuncia genérica referente a un hecho dramático, una llegada masiva de inmigrantes a las costas de Tarifa y las medidas extraordinarias que se están adoptando para atenderles de la mejor manera posible. En ningún momento se ha detenido a estas personas, puesto que ningún delito han cometido. Por eso no hay privación de libertad y no cabe habeas corpus alguno”. Igualmente, señaló que, además, “aunque se dieran los requisitos, el habeas corpus es un expediente individual en el que hay que hacer referencia a una persona que sufre una privación de libertad relatando sus circunstancias y exponiéndolas al juez para que las valore y actúe en consecuencia. Por eso no cabe un habeas corpus colectivo”.</w:t>
      </w:r>
    </w:p>
    <w:p w:rsidR="00A90898" w:rsidRDefault="00A90898" w:rsidP="00A90898">
      <w:pPr>
        <w:pStyle w:val="TextoNormal"/>
      </w:pPr>
    </w:p>
    <w:p w:rsidR="00A90898" w:rsidRDefault="00A90898" w:rsidP="00A90898">
      <w:pPr>
        <w:pStyle w:val="TextoNormal"/>
      </w:pPr>
      <w:r>
        <w:t>c) El Juzgado de Instrucción núm. 2 de Algeciras, por Auto de 20 de agosto de 2014, acordó denegar la incoación de procedimiento de habeas corpus “respecto de las personas inmigrantes que se encuentran en la localidad de Tarifa bajo el control de las FF.CC. de Seguridad del Estado”. En su razonamiento jurídico único afirma que el art. 1 LOHC establece los supuestos en los que se considera que una persona ha sido ilegalmente detenida, y el art. 3 y 4 las personas que podrán instar y los requisitos formales para iniciar el procedimiento de habeas corpus, afirmando que examinada la solicitud formulada y el informe del Ministerio Fiscal, resulta que en el presente caso no se dan los requisitos formales determinados en la Ley Orgánica de regulación del procedimiento de habeas corpus, y por ello, conforme establece el art. 6 de la referida Ley, debe considerarse improcedente la petición efectuada. Añade que “[e]n el presente caso no se observa incorrecta la detención efectuada, y ello es así porque en primer lugar falta el elemento esencial: Una privación de libertad". A partir de ello, reitera el informe del Ministerio Fiscal refiriendo que “[n]os encontramos con una denuncia genérica referente a una llegada masiva de inmigrantes a las costas de Tarifa y las medidas extraordinarias que se están adoptando para atenderles de la mejor manera posible. No se han detenido a estas personas al no haber cometido ningún delito, por eso no hay privación de libertad relatado (sic) y no cabe habeas corpus, al no ser los hechos denunciados constitutivos de la infracción penal denunciada, sino la regularización de su situación individual de cada una de las personas que masivamente han entrado en territorio español por la costa de Tarifa. Para más abundamiento, aunque se dieran los requisitos, el habeas corpus es un expediente individual en el que hay que hacer referencia a una persona que sufre una privación de libertad relatando sus circunstancias y exponiéndolas al juez para que las valore y actúe en consecuencia.” Finalmente concluye que se estima ajustada a derecho la retención practicada y las circunstancias en que se realizó, procediéndose en consecuencia a decretar el archivo de las actuaciones sin ulterior trámite. Dicho Auto fue notificado el mismo día a la Letrado de la recurrente, sin que conste interpuesto incidente de nulidad de actuaciones contra el mismo.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La entidad demandante, con cita de los arts. 17.2, 3 y 4 y 24.1 CE, interesa la nulidad del Auto del Juzgado de Instrucción núm. 2 de Algeciras de fecha 20 de agosto de 2014. Denuncia que se ha vulnerado el derecho fundamental a la libertad en su triple vertiente de garantizar la inmediata puesta a disposición judicial de toda persona detenida ilegalmente; </w:t>
      </w:r>
      <w:r>
        <w:lastRenderedPageBreak/>
        <w:t>a que la detención preventiva no pueda durar más del tiempo estrictamente necesario sin que, en todo caso, pueda superar un plazo de 72 horas; y a ser informada de forma inmediata y de modo comprensible de sus derechos y de las razones de su detención. Igualmente considera que se ha vulnerado el derecho a la tutela judicial efectiva (art. 24.1 CE).</w:t>
      </w:r>
    </w:p>
    <w:p w:rsidR="00A90898" w:rsidRDefault="00A90898" w:rsidP="00A90898">
      <w:pPr>
        <w:pStyle w:val="TextoNormal"/>
      </w:pPr>
    </w:p>
    <w:p w:rsidR="00A90898" w:rsidRDefault="00A90898" w:rsidP="00A90898">
      <w:pPr>
        <w:pStyle w:val="TextoNormal"/>
      </w:pPr>
      <w:r>
        <w:t>La entidad recurrente fundamenta estas vulneraciones argumentando “la concurrencia de todos los requisitos que justificaban la admisión a trámite de la solicitud de incoación de oficio del habeas corpus”. Se expone que la decisión de inadmisión del procedimiento de habeas corpus se ha sustentado, en contradicción con la doctrina constitucional reiterada, por ejemplo, en la STC 12/2014, de 27 de enero, FJ 3, en razones de fondo que tienen que ver con la legalidad de la privación de libertad y no de requisitos formales que son los únicos constitucionalmente legítimos. A esos efectos se argumenta que el art. 3 LOHC establece la posibilidad de que se incoe de oficio un procedimiento de habeas corpus, en cuyo caso, de acuerdo con el art. 4 LOHC, no es preciso que conste el nombre ni las circunstancias de la persona privada de libertad. También destaca que las personas privadas de libertad eran plenamente identificables y determinables en atención a los datos de ubicación y fechas facilitadas en la solicitud, haciendo constar que no se permitió a los miembros de las asociaciones el acceso al pabellón impidiendo con ello su “individualización”. Del mismo modo, se afirma que la falta de identificación personal obedece, precisamente, a la ausencia de regularización judicial en el plazo de 72 horas que establece la ley, y a que la Guardia Civil no cumplió tampoco con la obligación previa de la puesta a disposición del Cuerpo Nacional de Policía a los efectos de identificación tal como se establece en el art. 23.2 del Real Decreto 557/2011, de 20 de abril. Por último, se pone de manifiesto que cuestionarse si debería incoarse un procedimiento de habeas corpus por cada persona privada de libertad o uno solo por todas ellas es una cuestión sin relevancia constitucional que no puede servir como argumento para neutralizar la garantía de control judicial establecida en el art. 17.4 CE.</w:t>
      </w:r>
    </w:p>
    <w:p w:rsidR="00A90898" w:rsidRDefault="00A90898" w:rsidP="00A90898">
      <w:pPr>
        <w:pStyle w:val="TextoNormal"/>
      </w:pPr>
    </w:p>
    <w:p w:rsidR="00A90898" w:rsidRDefault="00A90898" w:rsidP="00A90898">
      <w:pPr>
        <w:pStyle w:val="TextoNormal"/>
      </w:pPr>
      <w:r>
        <w:t>Se añade que el Auto impugnado (art. 17.4 CE) ha limitado el ámbito de protección del habeas corpus y del propio derecho a la libertad constitucionalmente reconocido, pues, en abierta contradicción con la jurisprudencia constitucional (STC 173/2008, de 22 de diciembre, FJ 3), afirma que el procedimiento constitucional de habeas corpus queda reducido a los supuestos de detención por la sospecha de comisión de delitos, no siendo de aplicación a las privaciones de libertad previstas en la legislación de extranjería, y que en dicha legislación se establece un plazo máximo de puesta a disposición judicial no superior a las 72 horas (arts. 58 y 61 de la Ley Orgánica 4/2000, de 11 de enero). A esos efectos, se recuerda que ya en la STC 174/1999 se estableció la aplicación del habeas corpus a los supuestos de rechazo en frontera y que la STEDH asunto Nolan y K c Rusia, de 12 de febrero de 2009, consideró que también en estos casos está afectado el derecho a la libertad.</w:t>
      </w:r>
    </w:p>
    <w:p w:rsidR="00A90898" w:rsidRDefault="00A90898" w:rsidP="00A90898">
      <w:pPr>
        <w:pStyle w:val="TextoNormal"/>
      </w:pPr>
    </w:p>
    <w:p w:rsidR="00A90898" w:rsidRDefault="00A90898" w:rsidP="00A90898">
      <w:pPr>
        <w:pStyle w:val="TextoNormal"/>
      </w:pPr>
      <w:r>
        <w:t>Finalmente considera que la recurrente se encuentra legitimada para acudir en amparo al haber sido parte en el proceso judicial anterior [art. 46.1 b) LOTC], e invocar un interés legítimo, “[s]i se otorga el amparo, se produciría en su ámbito jurídico una ventaja en sentido jurídico, cual es la posibilidad de haber accedido a esas personas y, en su caso, haber contribuido al efectivo ejercicio del derecho a la tutela judicial efectiva de las personas extranjeras a través de la legitimación que el artículo 20 LOEXIS (sic) (LO 4/2000, Ley de Extranjería) le confiere para intervenir como interesadas en los procedimientos administra</w:t>
      </w:r>
      <w:r>
        <w:lastRenderedPageBreak/>
        <w:t>tivos, caso de contar con la expresa designación. Adicionalmente, cabe destacar que la legitimación activa de las asociaciones ya ha sido reconocida por este Alto Tribunal, v. gr., la STC (Sala Primera) 184/2008 de 2 de diciembre, cuyo fundamento 3 in fine señala: ‘[…] respecto de la legitimación activa de las asociaciones en los procedimientos contencioso-administrativos en que pretendan actuar defendiendo los intereses que constituyen sus fines estatutarios, se ha destacado que en los supuestos en que exista una relación directa entre dichos fines y el motivo en que se fundamentaba la impugnación del acto administrativo, la conclusión de que la asociación carecería de interés legítimo supone una ampliación en exceso rigorista de esta exigencia legal, toda vez que no cabe alegar en este tipo de supuestos que la asociación, en atención a sus fines estatutarios, sea neutral o indiferente ante el mantenimiento de la norma o resolución recurrida (STC 282/2006, de 9 de octubre, FJ 3)’.”</w:t>
      </w:r>
    </w:p>
    <w:p w:rsidR="00A90898" w:rsidRDefault="00A90898" w:rsidP="00A90898">
      <w:pPr>
        <w:pStyle w:val="TextoNormal"/>
      </w:pPr>
    </w:p>
    <w:p w:rsidR="00A90898" w:rsidRDefault="00A90898" w:rsidP="00A90898">
      <w:pPr>
        <w:pStyle w:val="TextoNormal"/>
      </w:pPr>
      <w:r w:rsidRPr="00A90898">
        <w:rPr>
          <w:rStyle w:val="NumeroAFNegritaCaracter"/>
        </w:rPr>
        <w:t>4</w:t>
      </w:r>
      <w:r>
        <w:t>. La Sección Cuarta de este Tribunal, por providencia de 16 de abril de 2015, acordó admitir a trámite la demanda de amparo apreciando que ofrece especial trascendencia constitucional porque plantea un problema o afecta a una faceta de un derecho fundamental sobre el que no hay doctrina de este Tribunal [STC 155/2009, FJ 2 a)]; porque la doctrina de este Tribunal sobre el derecho fundamental que se alega podría estar siendo incumplida de modo general y reiterado por la jurisdicción ordinaria o pudieran existir resoluciones judiciales contradictorias sobre el derecho fundamental [STC 155/2009, FJ 2 e)]; y porque el asunto suscitado trasciende el caso concreto al plantear una cuestión jurídica de relevante y general repercusión social y económica [STC 155/2009, FJ 2 g)]. Igualmente se acordó, en aplicación de lo dispuesto en el art. 51 LOTC, requerir al órgano judicial la remisión del testimonio de las actuaciones y el emplazamiento de quienes hubieran sido parte en el procedimiento para que pudiesen comparecer en el plazo de diez días en el proceso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La Secretaría de Justicia de la Sala Segunda de este Tribunal, por diligencia de ordenación de 18 de mayo de 2015, acordó tener por recibido el testimonio de las actuaciones y dar vista de las actuaciones al Ministerio Fiscal y a la recurrente por un plazo de veinte días para presentar las alegaciones que estimasen pertinentes, de conformidad con el art. 52.1 LOTC.</w:t>
      </w:r>
    </w:p>
    <w:p w:rsidR="00A90898" w:rsidRDefault="00A90898" w:rsidP="00A90898">
      <w:pPr>
        <w:pStyle w:val="TextoNormal"/>
      </w:pPr>
    </w:p>
    <w:p w:rsidR="00A90898" w:rsidRDefault="00A90898" w:rsidP="00A90898">
      <w:pPr>
        <w:pStyle w:val="TextoNormal"/>
      </w:pPr>
      <w:r w:rsidRPr="00A90898">
        <w:rPr>
          <w:rStyle w:val="NumeroAFNegritaCaracter"/>
        </w:rPr>
        <w:t>6</w:t>
      </w:r>
      <w:r>
        <w:t>. El Ministerio Fiscal, en escrito registrado el 25 de junio de 2015, presentó sus alegaciones interesando que se otorgue el amparo por vulneración del derecho fundamental a la libertad personal (art. 17.1 y 4 CE) y que se declare la nulidad del Auto del Juzgado de Instrucción núm. 2 de Algeciras, de 20 de agosto de 2014, dictado en el procedimiento de habeas corpus núm. 6-2014.</w:t>
      </w:r>
    </w:p>
    <w:p w:rsidR="00A90898" w:rsidRDefault="00A90898" w:rsidP="00A90898">
      <w:pPr>
        <w:pStyle w:val="TextoNormal"/>
      </w:pPr>
    </w:p>
    <w:p w:rsidR="00A90898" w:rsidRDefault="00A90898" w:rsidP="00A90898">
      <w:pPr>
        <w:pStyle w:val="TextoNormal"/>
      </w:pPr>
      <w:r>
        <w:t xml:space="preserve">El Ministerio Fiscal, con carácter previo, precisa que la invocación del derecho a la tutela judicial efectiva carece de autonomía, como reconoce la propia entidad demandante, y debe ser reconducida al también invocado art. 17.4 CE, que establece la garantía judicial reforzada del procedimiento de habeas corpus como proceso judicial específico de protección del derecho a la libertad frente a su privación por la autoridad gubernativa. En segundo lugar, señala la singularidad del caso, ya que la asociación recurrente instó al órgano judicial la incoación de oficio del procedimiento de habeas corpus de conformidad con los arts. 3 y 4 LOHC y lo hizo denunciando la falta de regularización judicial de la situación de detención gubernativa de 250 personas, detenidas por aplicación de la legislación de extranjería, </w:t>
      </w:r>
      <w:r>
        <w:lastRenderedPageBreak/>
        <w:t>así como por el incumplimiento del plazo de 72 horas establecido en la ley y la ausencia de asistencia letrada.</w:t>
      </w:r>
    </w:p>
    <w:p w:rsidR="00A90898" w:rsidRDefault="00A90898" w:rsidP="00A90898">
      <w:pPr>
        <w:pStyle w:val="TextoNormal"/>
      </w:pPr>
    </w:p>
    <w:p w:rsidR="00A90898" w:rsidRDefault="00A90898" w:rsidP="00A90898">
      <w:pPr>
        <w:pStyle w:val="TextoNormal"/>
      </w:pPr>
      <w:r>
        <w:t>El Ministerio Fiscal pone de manifiesto que hace ya 30 años se elaboró una doctrina constitucional conforme a la cual las decisiones judiciales de inadmisión a limine de las peticiones de habeas corpus por razones de fondo vulneran el art. 17.4 CE, al ser una decisión que solo puede legítimamente adoptarse una vez incoado y sustanciado el procedimiento. A pesar de ello, recalca el Ministerio Fiscal, “la práctica judicial sigue evidenciando una aplicación frontalmente contraria a la misma, al persistir en la inadmisión de las peticiones de habeas corpus por razones de fondo, sin ni siquiera oír a la persona o personas detenidas. Práctica que se complementa con la utilización de formularios, ampliamente extendidos, que con la invocación formal del art. 1 LOHC, se pronuncian sobre el carácter legal de la detención gubernativa”.</w:t>
      </w:r>
    </w:p>
    <w:p w:rsidR="00A90898" w:rsidRDefault="00A90898" w:rsidP="00A90898">
      <w:pPr>
        <w:pStyle w:val="TextoNormal"/>
      </w:pPr>
    </w:p>
    <w:p w:rsidR="00A90898" w:rsidRDefault="00A90898" w:rsidP="00A90898">
      <w:pPr>
        <w:pStyle w:val="TextoNormal"/>
      </w:pPr>
      <w:r>
        <w:t xml:space="preserve">En relación con ello, el Ministerio Fiscal analiza los argumentos utilizados en el Auto impugnado para denegar la incoación del procedimiento de habeas corpus y concluye que ninguno de ellos satisface las exigencias constitucionales de motivación que permiten la inadmisión por motivos exclusivamente formales de este tipo de procedimientos. Así, en primer lugar, argumenta que la afirmación de que no existía una situación de privación de libertad por no haberse imputado ningún delito a los detenidos “supone un desconocimiento grosero de la doctrina de este Tribunal”, ya que “cualquier limitación de la libertad personal debe ser calificada, desde el plano constitucional (art. 17.1 CE), como privación de libertad (vid, entre otras, SSTC 98/1986, FJ 4; 179/2000, FJ 2)”. Así, expone que la jurisprudencia constitucional ya ha venido aplicando la garantía del habeas corpus no solo a los supuestos de privación de libertad policial por sospechas en la comisión de delitos sino también a las producidas en el marco de la legislación de extranjería (SSTC 12/1994; 21/1996; 174/1999; 179/2000; 172/2008 y 173/2008), incluyendo los procedimientos de devolución de las personas que intentan acceder de forma irregular al territorio nacional a bordo de las embarcaciones denominadas “pateras”. Igualmente, el Ministerio Fiscal cita supuestos de la jurisprudencia del Tribunal Europeo de Derechos Humanos en que se establece que es una situación de privación de libertad a los efectos del art. 5.1 del Convenio europeo para la protección de los derechos humanos y de las libertades fundamentales (CEDH), por ejemplo, el encontrarse en la zona de rechazo de un aeropuerto sin poder abandonarla bajo control y supervisión de agentes de aduanas (STEDH caso Nolan y K. c Rusia, de 12 de febrero de 2009, §§ 96 y 97) o la conducción a comisaria a los fines de identificación para determinar si se encontraban irregularmente en territorio nacional y proceder, en su caso, a su deportación (STEDH M.A. c Chipre, de 23 de julio de 2013, § 193). De ese modo, el Ministerio Fiscal —tras destacar que la asociación promotora del habeas corpus puso de manifiesto en su escrito que un grupo de 250 personas inmigrantes de origen subsahariano que habían arribado en pateras estaba internado en el pabellón polideportivo de Tarifa del que no podían salir voluntariamente, siendo custodiados de forma permanente por la Guardia Civil a la espera de ser puestos a disposición del Cuerpo Nacional de Policía para su identificación— expone que las alegadas razones humanitarias para la atención de estas personas “no son un argumento constitucionalmente válido para concluir que las personas ingresadas en el pabellón deportivo de la localidad de Tarifa no estaban real y efectivamente privadas de libertad por decisión de la autoridad gubernativa”. Por tanto, concluye que “esta situación de privación de libertad acordada por la autoridad gubernativa —con independencia del lugar </w:t>
      </w:r>
      <w:r>
        <w:lastRenderedPageBreak/>
        <w:t>donde se estaba produciendo—, estaba sometida al control judicial a través del procedimiento de habeas corpus”.</w:t>
      </w:r>
    </w:p>
    <w:p w:rsidR="00A90898" w:rsidRDefault="00A90898" w:rsidP="00A90898">
      <w:pPr>
        <w:pStyle w:val="TextoNormal"/>
      </w:pPr>
    </w:p>
    <w:p w:rsidR="00A90898" w:rsidRDefault="00A90898" w:rsidP="00A90898">
      <w:pPr>
        <w:pStyle w:val="TextoNormal"/>
      </w:pPr>
      <w:r>
        <w:t>El Ministerio Fiscal también argumenta, en relación con las invocaciones que se realizó en el escrito de solicitud de habeas corpus de los arts. 17.1 y 2 CE por el hecho de haber permanecido más de 72 horas privados de libertad sin asistencia letrada y sin pasar a disposición judicial, que la legislación de extranjería permite la devolución de quienes, como era el caso, pretenden entrar irregularmente a territorio nacional mediante resolución acordada por la autoridad gubernativa competente en el marco de un procedimiento en que se cuente con asistencia letrada y de intérprete y que, en caso de no poder ejecutarse en el plazo de 72 horas, debe solicitarse de la autoridad judicial la medida de internamiento en centros habilitados legalmente (arts. 22, 58, 61 y 62 bis de la Ley Orgánica 4/2000, de 11 de enero). En relación con ello sostiene que esta regulación legal es desarrollo del contenido del derecho a la libertad personal, según el cual nadie puede ser privado de libertad sino “en los casos y en la forma previstos en la ley” (art. 17.1 CE) y que toda persona privada de libertad cuenta con la garantía de las asistencia letrada (art. 17.3 CE). En suma, a su juicio, en la solicitud de habeas corpus se plantearon correctamente alegaciones referidas a cuestiones de fondo sobre la legalidad de la detención amparadas en el art. 1 LOHC.</w:t>
      </w:r>
    </w:p>
    <w:p w:rsidR="00A90898" w:rsidRDefault="00A90898" w:rsidP="00A90898">
      <w:pPr>
        <w:pStyle w:val="TextoNormal"/>
      </w:pPr>
    </w:p>
    <w:p w:rsidR="00A90898" w:rsidRDefault="00A90898" w:rsidP="00A90898">
      <w:pPr>
        <w:pStyle w:val="TextoNormal"/>
      </w:pPr>
      <w:r>
        <w:t>El Ministerio Fiscal también expone, en relación con el segundo argumento para inadmitir el procedimiento, relacionado con el carácter colectivo de la solicitud y la falta de identificación de las personas en cuyo favor se solicitaba, que tanto el carácter colectivo de la solicitud como la falta de identificación traen causa, precisamente, de las vulneraciones sustantivas invocadas, que eran las que no habían permitido tener identificados a los afectados y contar con la debida asistencia letrada que hubiera posibilitado articular la defensa de su derecho a la libertad. Teniendo en cuenta lo previsto en el art. 4 LOHC, en relación con el art. 3, para los casos en que se inste de oficio este procedimiento no existían problemas en cuanto al cumplimiento de los requisitos formales, toda vez que el art. 4 LOHC establece la salvedad para “cuando se incoe de oficio”.</w:t>
      </w:r>
    </w:p>
    <w:p w:rsidR="00A90898" w:rsidRDefault="00A90898" w:rsidP="00A90898">
      <w:pPr>
        <w:pStyle w:val="TextoNormal"/>
      </w:pPr>
    </w:p>
    <w:p w:rsidR="00A90898" w:rsidRDefault="00A90898" w:rsidP="00A90898">
      <w:pPr>
        <w:pStyle w:val="TextoNormal"/>
      </w:pPr>
      <w:r w:rsidRPr="00A90898">
        <w:rPr>
          <w:rStyle w:val="NumeroAFNegritaCaracter"/>
        </w:rPr>
        <w:t>7</w:t>
      </w:r>
      <w:r>
        <w:t>. La asociación recurrente, en escrito registrado el 15 de junio de 2015, presentó sus alegaciones solicitando se dieran por reproducidas las manifestaciones contenidas en su escrito de demanda.</w:t>
      </w:r>
    </w:p>
    <w:p w:rsidR="00A90898" w:rsidRDefault="00A90898" w:rsidP="00A90898">
      <w:pPr>
        <w:pStyle w:val="TextoNormal"/>
      </w:pPr>
    </w:p>
    <w:p w:rsidR="00A90898" w:rsidRDefault="00A90898" w:rsidP="00A90898">
      <w:pPr>
        <w:pStyle w:val="TextoNormal"/>
      </w:pPr>
      <w:r w:rsidRPr="00A90898">
        <w:rPr>
          <w:rStyle w:val="NumeroAFNegritaCaracter"/>
        </w:rPr>
        <w:t>8</w:t>
      </w:r>
      <w:r>
        <w:t>. El Pleno de este Tribunal, por providencia de 3 de noviembre de 2015, acordó, conforme establece el artículo 10.1 n) LOTC y a propuesta de la Sala Segunda, recabar para sí el conocimiento del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9</w:t>
      </w:r>
      <w:r>
        <w:t>. Por acuerdo del Presidente de 16 de marzo de 2016, habiendo declinado la Ponencia el Magistrado don Fernando Valdés Dal-Ré, y en uso de las facultades que le confiere el art. 80 de la Ley Orgánica del Tribunal Constitucional, en relación con el art. 206 de la Ley Orgánica del Poder Judicial, designó como nuevo Ponente al Magistrado don Santiago Martínez-Vares García.</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20 de septiembre de 2016 se señaló para la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lastRenderedPageBreak/>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objeto de este recurso de amparo es determinar si la decisión judicial de denegar la incoación de oficio del procedimiento de habeas corpus instada por la asociación recurrente, en la que afirmaba que unos 250 inmigrantes permanecían en el polideportivo de Tarifa bajo la custodia de la Guardia Civil desde hacía más de ocho días sin pasar a disposición judicial y sin la debida asistencia letrada, vulnera el derecho a la libertad personal (arts. 17.2, 3 y 4 CE) y el derecho a la tutela judicial efectiva (art. 24.1 CE).</w:t>
      </w:r>
    </w:p>
    <w:p w:rsidR="00A90898" w:rsidRDefault="00A90898" w:rsidP="00A90898">
      <w:pPr>
        <w:pStyle w:val="TextoNormal"/>
      </w:pPr>
    </w:p>
    <w:p w:rsidR="00A90898" w:rsidRDefault="00A90898" w:rsidP="00A90898">
      <w:pPr>
        <w:pStyle w:val="TextoNormal"/>
      </w:pPr>
      <w:r w:rsidRPr="00A90898">
        <w:rPr>
          <w:rStyle w:val="NumeroAFNegritaCaracter"/>
        </w:rPr>
        <w:t>2</w:t>
      </w:r>
      <w:r>
        <w:t>. Este Tribunal ha reiterado recientemente que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(STC 39/2016, de 3 de marzo, FJ 2). Por tanto, antes de proceder al examen de las vulneraciones de derechos fundamentales que constituyen la queja de la recurrente, es preciso examinar de oficio la posible concurrencia de alguna de las causas de inadmisibilidad del recurso previstas en el art. 50.1 de la Ley Orgánica del Tribunal Constitucional (LOTC), entre las que se encuentra la falta de legitimación activa, que, de constatarse, determinarían un pronunciamiento de inadmisión en el presente momento procesal.</w:t>
      </w:r>
    </w:p>
    <w:p w:rsidR="00A90898" w:rsidRDefault="00A90898" w:rsidP="00A90898">
      <w:pPr>
        <w:pStyle w:val="TextoNormal"/>
      </w:pPr>
    </w:p>
    <w:p w:rsidR="00A90898" w:rsidRDefault="00A90898" w:rsidP="00A90898">
      <w:pPr>
        <w:pStyle w:val="TextoNormal"/>
      </w:pPr>
      <w:r>
        <w:t>Los preceptos que sirven para determinar si la referida asociación ostentaba o no legitimación para acudir ante este Tribunal se encuentran en los arts. 162.1 b) CE y 46.1 b) LOTC. El primero de ellos reconoce legitimación para interponer el recurso de amparo a toda persona natural o jurídica que invoque un interés legítimo, mientras que el segundo establece que están legitimados para interponer recurso de amparo contra resoluciones de los órganos judiciales quienes hayan sido parte en el proceso judicial correspondiente. No debe ser interpretado este precepto, sin embargo, en el sentido de que baste la participación en el previo proceso judicial para ostentar la legitimación en orden al planteamiento del amparo, o en el de que la no intervención en dicha vía impida de forma absoluta acudir ante este Tribunal. Y ello, tanto porque puede suponer una restricción al requisito del “interés legítimo” enunciado en el art. 162.1 b) CE, cuanto porque el presupuesto de la intervención en el proceso judicial previo puede no ser suficiente para determinar con carácter general la existencia de legitimación (STC 158/2002, de 16 de septiembre, FJ 2).</w:t>
      </w:r>
    </w:p>
    <w:p w:rsidR="00A90898" w:rsidRDefault="00A90898" w:rsidP="00A90898">
      <w:pPr>
        <w:pStyle w:val="TextoNormal"/>
      </w:pPr>
    </w:p>
    <w:p w:rsidR="00A90898" w:rsidRDefault="00A90898" w:rsidP="00A90898">
      <w:pPr>
        <w:pStyle w:val="TextoNormal"/>
      </w:pPr>
      <w:r>
        <w:t xml:space="preserve">En efecto, hemos dicho que “el art. 46.1 b) LOTC no contempla, en modo alguno, la falta de legitimación activa, y ello por la sencilla razón de que, si así fuera, en la medida en que restringe el requisito del ‘interés legítimo’, trazado por los arts. 53.2 y 162.1 b) CE, devendría inconstitucional” (STC 140/1997, de 22 de julio, FJ 1); igualmente, hemos recordado que no se tiene legitimación activa para interponer un recurso de amparo por el sólo hecho de haber sido parte en el proceso judicial correspondiente (SSTC 257/1988, de 22 de diciembre, FJ 3; 47/1990, de 20 de marzo, FJ 2; 92/1997, de 8 de mayo, FJ 1). En la STC 84/2000, de 27 de marzo, FJ 1, tuvimos ocasión de precisar, que en los casos del artículo 44 LOTC están legitimados para el amparo quienes además de haber sido parte en el proceso judicial, invoquen un interés legítimo, es decir, aquellos “cuyo círculo jurídico pueda resultar perjudicado por la violación, por obra del poder, de un derecho fundamental, aunque la </w:t>
      </w:r>
      <w:r>
        <w:lastRenderedPageBreak/>
        <w:t>violación no se produjese en su contra”, sin que pueda confundirse dicho interés con un “interés genérico en la preservación de derechos”, debiendo ser, por el contrario, un “interés cualificado y específico” en la preservación de los derechos fundamentales cuya tutela se impetra (STC 57/2014, de 5 de mayo, FJ 3).</w:t>
      </w:r>
    </w:p>
    <w:p w:rsidR="00A90898" w:rsidRDefault="00A90898" w:rsidP="00A90898">
      <w:pPr>
        <w:pStyle w:val="TextoNormal"/>
      </w:pPr>
    </w:p>
    <w:p w:rsidR="00A90898" w:rsidRDefault="00A90898" w:rsidP="00A90898">
      <w:pPr>
        <w:pStyle w:val="TextoNormal"/>
      </w:pPr>
      <w:r>
        <w:t>En tal sentido, en relación con las asociaciones, nos hemos pronunciado al negar la legitimación activa para interponer una demanda de amparo en defensa del derecho fundamental previsto en los arts. 23.1 y 2 CE, al afirmar que si bien de un modo genérico el art. 162 CE facilita el acceso al recurso de amparo a quienes tengan para ello interés legítimo, la norma constitucional ha de entenderse necesariamente coordinada con la del art. 53 CE, que instituye el recurso como un medio para recabar la “tutela de las libertades y derechos” (ATC 942/1985, de 18 de diciembre, FJ 1).</w:t>
      </w:r>
    </w:p>
    <w:p w:rsidR="00A90898" w:rsidRDefault="00A90898" w:rsidP="00A90898">
      <w:pPr>
        <w:pStyle w:val="TextoNormal"/>
      </w:pPr>
    </w:p>
    <w:p w:rsidR="00A90898" w:rsidRDefault="00A90898" w:rsidP="00A90898">
      <w:pPr>
        <w:pStyle w:val="TextoNormal"/>
      </w:pPr>
      <w:r>
        <w:t>En este terreno el Tribunal ha tenido ocasión de señalar que “no puede perderse de vista el tipo del derecho fundamental que se cuestiona, pues así como cuando se trate por ejemplo de recabar la defensa del derecho de libertad sindical, puede este derecho reconocerse en cabeza de los ciudadanos o de las organizaciones sindicales por ellos formadas —y lo mismo podría decirse tal vez del derecho de asociación—, no nos encontramos en idéntica situación cuando se trata de derechos de ejercicio estrictamente personal … Por ello, la idea de ‘interés’ del art. 162 de la Constitución y la idea de ‘persona afectada’ que el art. 46 de la Ley Orgánica de este Tribunal utiliza al desarrollar la Norma constitucional deben ser objeto de la necesaria interpretación de reajuste según el tipo de derecho que en cada caso se ejercite.” (ATC 942/1985, FJ 1).</w:t>
      </w:r>
    </w:p>
    <w:p w:rsidR="00A90898" w:rsidRDefault="00A90898" w:rsidP="00A90898">
      <w:pPr>
        <w:pStyle w:val="TextoNormal"/>
      </w:pPr>
    </w:p>
    <w:p w:rsidR="00A90898" w:rsidRDefault="00A90898" w:rsidP="00A90898">
      <w:pPr>
        <w:pStyle w:val="TextoNormal"/>
      </w:pPr>
      <w:r w:rsidRPr="00A90898">
        <w:rPr>
          <w:rStyle w:val="NumeroAFNegritaCaracter"/>
        </w:rPr>
        <w:t>3</w:t>
      </w:r>
      <w:r>
        <w:t>. La aplicación de la doctrina expuesta lleva a negar la legitimación activa de la asociación Algeciras Acoge para interponer demanda de amparo en defensa del derecho a la libertad personal (arts. 17.2, 3 y 4 CE) y del derecho a la tutela judicial efectiva (art. 24.1 CE) frente a la decisión judicial de denegar la incoación de oficio del procedimiento de habeas corpus instado por dicha asociación.</w:t>
      </w:r>
    </w:p>
    <w:p w:rsidR="00A90898" w:rsidRDefault="00A90898" w:rsidP="00A90898">
      <w:pPr>
        <w:pStyle w:val="TextoNormal"/>
      </w:pPr>
    </w:p>
    <w:p w:rsidR="00A90898" w:rsidRDefault="00A90898" w:rsidP="00A90898">
      <w:pPr>
        <w:pStyle w:val="TextoNormal"/>
      </w:pPr>
      <w:r>
        <w:t>El art. 3 de la Ley Orgánica 6/1984, de 24 de mayo, de regulación del procedimiento de habeas corpus (LOHC) establece que sólo pueden instar este procedimiento, además del titular del derecho, esto es, el privado de libertad, su cónyuge o persona unida por análoga relación de afectividad, descendientes, ascendientes, hermanos, el Ministerio Fiscal y el Defensor del Pueblo y, finalmente respecto a los menores y personas incapacitadas, también sus representantes legales. Asimismo, lo podrá iniciar, de oficio, el Juez competente. Por tanto, no se establece en la regulación de este procedimiento ante la jurisdicción ordinaria, ningún tipo de legitimación en favor de organizaciones o asociaciones. Esa fue la razón por la que la asociación recurrente, al no ser titular del derecho, ni tener legitimación legal para instar el procedimiento de habeas corpus, se limitó a pedir al Juzgado que hiciera uso de su potestad jurisdiccional de iniciar de oficio un procedimiento de habeas corpus, quedando agotadas sus posibilidades procesales en el mero ejercicio de la petición y la comunicación de la decisión adoptada aunque su contenido no le fuera favorable. De este modo, a la asociación demandante en amparo no cabía reconocerle su condición de parte en el procedimiento judicial de origen, circunstancia que por sí misma, conforme a lo expuesto, sería suficiente para negarle legitimación activa en el recurso de amparo [art. 46.1 b) LOTC].</w:t>
      </w:r>
    </w:p>
    <w:p w:rsidR="00A90898" w:rsidRDefault="00A90898" w:rsidP="00A90898">
      <w:pPr>
        <w:pStyle w:val="TextoNormal"/>
      </w:pPr>
    </w:p>
    <w:p w:rsidR="00A90898" w:rsidRDefault="00A90898" w:rsidP="00A90898">
      <w:pPr>
        <w:pStyle w:val="TextoNormal"/>
      </w:pPr>
      <w:r>
        <w:lastRenderedPageBreak/>
        <w:t>A lo anterior se debe añadir que tampoco a la recurrente, podría reconocérsele un “interés legítimo” para acudir en amparo, en tanto que dicho interés, no puede residenciarse como afirma la demandante, en la contribución “al efectivo ejercicio del derecho a la tutela judicial efectiva de las personas extranjeras”, pues, como se ha expuesto en el fundamento anterior, no debe confundirse el “interés legítimo” [art. 162.1 b) CE], con un “interés genérico en la preservación de derechos”. Como tampoco puede sustentarse el mismo en el art. 20.3 de la Ley Orgánica 4/2000, de extranjería —al que alude la asociación recurrente—, pues, si bien “el régimen legal de la legitimación corporativa puede encontrar aplicación favorable en el campo de los procesos contencioso-administrativos u otros ordinarios, no puede decirse lo mismo respecto de la intervención en el proceso de amparo, cuando además, éste tiene por objeto derechos y libertades públicas de otro signo” (ATC 942/1985, FJ 1). Es evidente, que ni la recurrente es la titular del derecho de habeas corpus, ni del resto de los derechos fundamentales supuestamente vulnerados —titularidad que ni tan siquiera afirma—, ni puede, dada la naturaleza eminentemente personal del derecho tutelado, ampliarse en sede de amparo el restringido círculo de legitimados que reconoce el art. 3 LOHC, de suerte que quepa apreciar a favor de la asociación recurrente un interés cualificado o específico en defensa del derecho a la libertad (art. 17 CE) de terceros, pues por la desestimación del amparo no experimentaría perjuicio alguno y su estimación no incidiría en modo alguno en la esfera jurídica de la recurrente.</w:t>
      </w:r>
    </w:p>
    <w:p w:rsidR="00A90898" w:rsidRDefault="00A90898" w:rsidP="00A90898">
      <w:pPr>
        <w:pStyle w:val="TextoNormal"/>
      </w:pPr>
    </w:p>
    <w:p w:rsidR="00A90898" w:rsidRDefault="00A90898" w:rsidP="00A90898">
      <w:pPr>
        <w:pStyle w:val="TextoNormal"/>
      </w:pPr>
      <w:r w:rsidRPr="00A90898">
        <w:rPr>
          <w:rStyle w:val="NumeroAFNegritaCaracter"/>
        </w:rPr>
        <w:t>4</w:t>
      </w:r>
      <w:r>
        <w:t>. La apreciación de la falta de legitimación de la asociación recurrente nos exime de entrar a examinar si conforme a la reforma introducida en el art. 241 de la Ley Orgánica del Poder Judicial por la Ley Orgánica 6/2007, de 24 de mayo, era exigible la interposición de incidente de nulidad de actuaciones como instrumento idóneo para obtener ante la jurisdicción ordinaria la reparación de aquellas vulneraciones de los derechos fundamentales [art. 44.1 a) LOTC], así como de efectuar valoración alguna sobre el fondo de la cuestión planteada. Conviene en tal sentido recordar que al tratarse de un recurso de amparo respecto de decisiones de jueces y tribunales nuestra función se debe limitar “a concretar si se han violado derechos o libertades del demandante y a preservar o restablecer estos derechos o libertades” evitando “cualquier otra consideración sobre la actuación de los órganos jurisdiccionales” (art. 54 LOTC).</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Inadmitir el recurso de amparo interpuesto por Algeciras Acoge</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rsidP="00A90898">
      <w:pPr>
        <w:pStyle w:val="ParrafoNormal"/>
      </w:pPr>
    </w:p>
    <w:p w:rsidR="00A90898" w:rsidRDefault="00A90898" w:rsidP="00A90898">
      <w:pPr>
        <w:pStyle w:val="TextoNormalNegritaCentrado"/>
        <w:keepNext/>
      </w:pPr>
      <w:r>
        <w:t xml:space="preserve">Voto particular que formulan la Magistrada doña Adela Asua Batarrita y los Magistrados don Fernando Valdés Dal-Ré y don Juan Antonio Xiol Ríos a </w:t>
      </w:r>
      <w:r>
        <w:lastRenderedPageBreak/>
        <w:t>la Sentencia dictada en el recurso de amparo avocado núm. 6144-2014, al que se adhiere el Magistrado don Antonio Narváez Rodríguez.</w:t>
      </w:r>
    </w:p>
    <w:p w:rsidR="00A90898" w:rsidRDefault="00A90898" w:rsidP="00A90898">
      <w:pPr>
        <w:pStyle w:val="TextoNormalNegritaCentrado"/>
        <w:keepNext/>
      </w:pPr>
    </w:p>
    <w:p w:rsidR="00A90898" w:rsidRDefault="00A90898" w:rsidP="00A90898">
      <w:pPr>
        <w:pStyle w:val="TextoNormal"/>
      </w:pPr>
      <w:r>
        <w:t>Con el máximo respeto a la opinión mayoritaria de nuestros compañeros del Tribunal en la que se sustenta la Sentencia manifestamos nuestra discrepancia con la fundamentación jurídica y el fallo de esta. Consideramos que no concurre la causa de inadmisión de falta de legitimación activa de la entidad Algeciras Acoge para la interposición del recurso de amparo y que hubiera debido otorgarse el amparo por vulneración del derecho a la libertad personal (art. 17.1 y 4 CE).</w:t>
      </w:r>
    </w:p>
    <w:p w:rsidR="00A90898" w:rsidRDefault="00A90898" w:rsidP="00A90898">
      <w:pPr>
        <w:pStyle w:val="TextoNormal"/>
      </w:pPr>
    </w:p>
    <w:p w:rsidR="00A90898" w:rsidRDefault="00A90898" w:rsidP="00A90898">
      <w:pPr>
        <w:pStyle w:val="TextoNormal"/>
      </w:pPr>
      <w:r>
        <w:t>I. Los hechos puestos de manifiesto en la demanda de amparo suponen una grave vulneración del derecho a la libertad personal en su dimensión sustantiva (art. 17.1 CE) y procedimental (art. 17.4 CE).</w:t>
      </w:r>
    </w:p>
    <w:p w:rsidR="00A90898" w:rsidRDefault="00A90898" w:rsidP="00A90898">
      <w:pPr>
        <w:pStyle w:val="TextoNormal"/>
      </w:pPr>
    </w:p>
    <w:p w:rsidR="00A90898" w:rsidRDefault="00A90898" w:rsidP="00A90898">
      <w:pPr>
        <w:pStyle w:val="TextoNormal"/>
      </w:pPr>
      <w:r>
        <w:t>La opinión mayoritaria en la que se sustenta la Sentencia se ha traducido en la inadmisión del recurso de amparo por negar legitimación activa a la asociación Algeciras Acoge. Los autores del Voto particular consideramos obligado, desde la perspectiva de la garantía jurisdiccional de los derechos fundamentales que el Tribunal tiene encomendada, abordar la cuestión otorgando preferencia a los aspectos sustanciales frente a los formales.</w:t>
      </w:r>
    </w:p>
    <w:p w:rsidR="00A90898" w:rsidRDefault="00A90898" w:rsidP="00A90898">
      <w:pPr>
        <w:pStyle w:val="TextoNormal"/>
      </w:pPr>
    </w:p>
    <w:p w:rsidR="00A90898" w:rsidRDefault="00A90898" w:rsidP="00A90898">
      <w:pPr>
        <w:pStyle w:val="TextoNormal"/>
      </w:pPr>
      <w:r>
        <w:t>En consonancia con ello ponemos ante todo de manifiesto que entendemos, de manera coincidente con lo informado por el Ministerio Fiscal ante el Tribunal Constitucional, que se ha sometido a nuestro enjuiciamiento una violación suficientemente caracterizada en términos constitucionales del derecho a la libertad personal. Esta violación es especialmente grave en términos (i) cuantitativos, ya que afectó a unas 250 personas; (ii) cualitativos, ya que la privación gubernativa de libertad se prolongó durante más de ocho días sin que se prestara a los afectados siquiera la debida asistencia letrada, en un lugar, como es un polideportivo, que no reúne las condiciones materiales y jurídicas para el fin propuesto, y en relación con personas en una situación de especial vulnerabilidad; e (iii) institucionales, ya que la posición adoptada por el Ministerio Fiscal y el Juez de Instrucción en el procedimiento de habeas corpus, consistente en solicitar y acordar, respectivamente, la inadmisión de la solicitud, frustró las posibilidades de cumplir con la labor que el art. 17.4 CE asigna al procedimiento de habeas corpus como garantía de control judicial del derecho a la libertad de los ciudadanos frente a las privaciones ilegales de libertad en que incurra la autoridad gubernativa. El objeto del recurso examinado es un ejemplo de este supuesto de privación ilegal de libertad.</w:t>
      </w:r>
    </w:p>
    <w:p w:rsidR="00A90898" w:rsidRDefault="00A90898" w:rsidP="00A90898">
      <w:pPr>
        <w:pStyle w:val="TextoNormal"/>
      </w:pPr>
    </w:p>
    <w:p w:rsidR="00A90898" w:rsidRDefault="00A90898" w:rsidP="00A90898">
      <w:pPr>
        <w:pStyle w:val="TextoNormal"/>
      </w:pPr>
      <w:r>
        <w:t>No creemos que nadie —tampoco quienes han conformado la opinión mayoritaria en la que se sustenta la Sentencia— albergue alguna duda acerca de que los hechos que han dado lugar a esta demanda de amparo, tanto los imputados a la actuación de la autoridad administrativa como los desarrollados en el ámbito del procedimiento judicial, deben ser calificados como lesivos del derecho a la libertad personal, tanto en la vertiente sustantiva (art. 17.1 CE) como en la procedimental (art. 17.4 CE). Consideramos que la gravedad de la lesión merece que se le dedique la consideración y atención debidas, aunque solo pueda serlo en el marco de un voto particular y no en los pronunciamientos de la Sentencia, como era nuestro deseo acorde con la posición que mantuvimos en la deliberación.</w:t>
      </w:r>
    </w:p>
    <w:p w:rsidR="00A90898" w:rsidRDefault="00A90898" w:rsidP="00A90898">
      <w:pPr>
        <w:pStyle w:val="TextoNormal"/>
      </w:pPr>
    </w:p>
    <w:p w:rsidR="00A90898" w:rsidRDefault="00A90898" w:rsidP="00A90898">
      <w:pPr>
        <w:pStyle w:val="TextoNormal"/>
      </w:pPr>
      <w:r>
        <w:lastRenderedPageBreak/>
        <w:t>2. En el presente caso, como aparece expuesto en los antecedentes de la Sentencia, Algeciras Acoge registró el 20 de agosto de 2014 en el Juzgado que hacía las funciones de guardia y resultaba territorialmente competente —el Juzgado de Instrucción núm. 2 de Algeciras— un escrito solicitando, al amparo del art. 3 de la Ley Orgánica 6/1984, de 24 de mayo, reguladora del procedimiento de habeas corpus (LOHC), que iniciase de oficio un procedimiento de habeas corpus, ya que en un pabellón de Tarifa permanecían bajo custodia de la Guardia Civil unos 250 inmigrantes que habían arribado a las costas españolas en diversas embarcaciones los días 11 y 12 de agosto de 2014, sin que hubieran pasado a disposición judicial en esos ocho o nueve días que llevaban privados de libertad. A esos efectos, se exponía en ese escrito que el día anterior varios miembros de diversas asociaciones —cuya filiación y número de documento nacional de identidad se daba a conocer, ofreciendo su declaración a efectos probatorios— se desplazaron hasta esas instalaciones; que los guardias civiles que custodiaban el lugar afirmaron que las personas bajo custodia no podían salir del pabellón al estar retenidos a la espera de pasar a la comisaría de la Policía Nacional; y que estas no habían recibido asistencia letrada.</w:t>
      </w:r>
    </w:p>
    <w:p w:rsidR="00A90898" w:rsidRDefault="00A90898" w:rsidP="00A90898">
      <w:pPr>
        <w:pStyle w:val="TextoNormal"/>
      </w:pPr>
    </w:p>
    <w:p w:rsidR="00A90898" w:rsidRDefault="00A90898" w:rsidP="00A90898">
      <w:pPr>
        <w:pStyle w:val="TextoNormal"/>
      </w:pPr>
      <w:r>
        <w:t>El Juzgado, siguiendo las indicaciones del informe del Fiscal Jefe de la Fiscalía del Área de Algeciras, acordó denegar la incoación de procedimiento de habeas corpus “respecto de las personas inmigrantes que se encuentran en la localidad de Tarifa bajo el control de las FF.CC. de Seguridad del Estado” argumentando que “no se observa incorrecta la detención efectuada”, ya que faltaría el elemento esencial de la privación de libertad, pues se trataba de medidas extraordinarias que se estaban adoptando para atender de la mejor manera posible a los inmigrantes que habían llegado masivamente a las costas de Tarifa. Igualmente se destacaba que el habeas corpus es un expediente individual en el que hay que hacer referencia a una persona que sufre una privación de libertad. Concluía “que se estima ajustada a derecho, de conformidad con su art. 8, la retención practicada y circunstancias en que se realizó, por lo que procede en consecuencia decretar el archivo de las presentes sin ulterior trámite”.</w:t>
      </w:r>
    </w:p>
    <w:p w:rsidR="00A90898" w:rsidRDefault="00A90898" w:rsidP="00A90898">
      <w:pPr>
        <w:pStyle w:val="TextoNormal"/>
      </w:pPr>
    </w:p>
    <w:p w:rsidR="00A90898" w:rsidRDefault="00A90898" w:rsidP="00A90898">
      <w:pPr>
        <w:pStyle w:val="TextoNormal"/>
      </w:pPr>
      <w:r>
        <w:t>3. Esta argumentación, tal como informa el Ministerio Fiscal ante el Tribunal Constitucional, vulnera el art. 17.4 CE por estar en abierta contradicción con reiterada jurisprudencia constitucional. Según esta la Ley Orgánica de regulación del procedimiento de habeas corpus posibilita denegar la incoación de un procedimiento de habeas corpus, pero vulnera el art. 17.4 CE al fundamentar la decisión de no admisión en que el recurrente no se encontraba ilícitamente privado de libertad por no concurrir ninguno de los supuestos del art. 1 LOHC, ya que implica una resolución sobre el fondo que solo puede tomarse una vez sustanciado el procedimiento. Los únicos motivos constitucionalmente legítimos para no admitir un procedimiento de habeas corpus son, pues, los basados (i) en la falta del presupuesto consistente en una situación de privación de libertad no acordada judicialmente o (ii) en el incumplimiento de los requisitos formales a los que se refiere el art. 4 LOHC (así, STC 42/2015, de 2 de marzo, FJ 3).</w:t>
      </w:r>
    </w:p>
    <w:p w:rsidR="00A90898" w:rsidRDefault="00A90898" w:rsidP="00A90898">
      <w:pPr>
        <w:pStyle w:val="TextoNormal"/>
      </w:pPr>
    </w:p>
    <w:p w:rsidR="00A90898" w:rsidRDefault="00A90898" w:rsidP="00A90898">
      <w:pPr>
        <w:pStyle w:val="TextoNormal"/>
      </w:pPr>
      <w:r>
        <w:t xml:space="preserve">Los hechos relatados en el escrito de solicitud de incoación de oficio del procedimiento de habeas corpus ponían de manifiesto una vulneración del art. 17.1 CE, en relación con los arts. 58, 61 y 62 bis de la Ley Orgánica 4/2000, de 11 de enero, sobre derechos y libertades de los extranjeros en España y su integración social (LOEx) y el art. 23 del Real Decreto 557/2011, de 20 de abril, por el que se aprueba el Reglamento de la Ley Orgánica 4/2000, sobre derechos y libertades de los extranjeros en España y su integración social, tras su </w:t>
      </w:r>
      <w:r>
        <w:lastRenderedPageBreak/>
        <w:t>reforma por Ley Orgánica 2/2009. La legislación de extranjería permite, mediante una resolución acordada por la autoridad gubernativa competente, la devolución de quienes, como era el caso, son interceptados intentando entrar irregularmente en el territorio nacional, en el marco de un procedimiento en que la Guardia Civil, como fuerza de seguridad encargada de la custodia de fronteras, debe conducir a los afectados “con la mayor brevedad posible a la correspondiente comisaría del Cuerpo Nacional de Policía, para que pueda procederse a su identificación y, en su caso, a su devolución” (art. 23.2 de la Ley Orgánica 2/2009 ). Ahora bien, la legislación aplicable también hace expreso que, en caso de no poder ejecutarse la devolución en el plazo de 72 horas, la autoridad gubernativa debe solicitar de la autoridad judicial la medida de internamiento en centros habilitados legalmente (arts. 58.6 LOEx y 23.4 de la Ley Orgánica 2/2009 ).</w:t>
      </w:r>
    </w:p>
    <w:p w:rsidR="00A90898" w:rsidRDefault="00A90898" w:rsidP="00A90898">
      <w:pPr>
        <w:pStyle w:val="TextoNormal"/>
      </w:pPr>
    </w:p>
    <w:p w:rsidR="00A90898" w:rsidRDefault="00A90898" w:rsidP="00A90898">
      <w:pPr>
        <w:pStyle w:val="TextoNormal"/>
      </w:pPr>
      <w:r>
        <w:t>En contradicción con ello, el escrito de la ahora demandante de amparo ponía de manifiesto que unas doscientas cincuenta personas interceptadas en diversas embarcaciones intentando arribar a las costas españolas permanecían ochos días después bajo la custodia de la Guardia Civil (i) sin haber sido conducidas a la comisaría del Cuerpo Nacional de Policía para su identificación; (ii) sin que, transcurrido casi el triple del tiempo legalmente establecidos de 72 horas, hubieran pasado a disposición judicial para que se regularizara su situación de privación de libertad; y (iii) permaneciendo privadas de libertad en un pabellón deportivo.</w:t>
      </w:r>
    </w:p>
    <w:p w:rsidR="00A90898" w:rsidRDefault="00A90898" w:rsidP="00A90898">
      <w:pPr>
        <w:pStyle w:val="TextoNormal"/>
      </w:pPr>
    </w:p>
    <w:p w:rsidR="00A90898" w:rsidRDefault="00A90898" w:rsidP="00A90898">
      <w:pPr>
        <w:pStyle w:val="TextoNormal"/>
      </w:pPr>
      <w:r>
        <w:t>El escrito de la entidad recurrente ponía de manifiesto, además, una vulneración del art. 17.3 CE, en relación con los arts. 22 LOEx y 23 de la Ley Orgánica 2/2009. La jurisprudencia constitucional ha declarado que el derecho a la asistencia letrada a que se refiere el art. 17.3 CE es una garantía aplicable no solo a la detención gubernativa por la comisión de ilícitos penales sino a cualquier situación de privación de libertad a la que se refiere el art. 17.1 CE, incluyendo la detención en procedimientos de extranjería (STC 12/1994, de 17 de enero, FJ 3). Además, la legislación de extranjería, si bien permite la interceptación y devolución —previa la correspondiente resolución— de quienes, como era el caso, están intentando entrar irregularmente en el territorio nacional, impone que se siga un procedimiento en el que el afectado cuente con asistencia letrada —y, en su caso, de intérprete—, que será gratuita si se carece de medios económicos suficientes (arts. 22 LOEx y 23 de la Ley Orgánica 2/2009). En contradicción con ello, el escrito de la ahora demandante de amparo ponía de manifiesto que las personas que estaban bajo custodia policial no habían contado, tras ocho días de privación de libertad, con ningún tipo de asistencia letrada.</w:t>
      </w:r>
    </w:p>
    <w:p w:rsidR="00A90898" w:rsidRDefault="00A90898" w:rsidP="00A90898">
      <w:pPr>
        <w:pStyle w:val="TextoNormal"/>
      </w:pPr>
    </w:p>
    <w:p w:rsidR="00A90898" w:rsidRDefault="00A90898" w:rsidP="00A90898">
      <w:pPr>
        <w:pStyle w:val="TextoNormal"/>
      </w:pPr>
      <w:r>
        <w:t>Por tanto, es concluyente que la solicitud de incoación de oficio del proceso de habeas corpus planteaba alegaciones directamente referidas a cuestiones de fondo sobre la legalidad de la privación de libertad de los afectados amparadas en el art. 1 LOHC, como eran, al menos, una prolongación indebida del plazo de detención [art. 1 c) LOHC] y no respetar su derecho a la asistencia letrada [art. 1 d) LOHC].</w:t>
      </w:r>
    </w:p>
    <w:p w:rsidR="00A90898" w:rsidRDefault="00A90898" w:rsidP="00A90898">
      <w:pPr>
        <w:pStyle w:val="TextoNormal"/>
      </w:pPr>
    </w:p>
    <w:p w:rsidR="00A90898" w:rsidRDefault="00A90898" w:rsidP="00A90898">
      <w:pPr>
        <w:pStyle w:val="TextoNormal"/>
      </w:pPr>
      <w:r>
        <w:t xml:space="preserve">4. La respuesta judicial aportada para acordar la inadmisión del habeas corpus resulta confusa. Por una parte, se hacen afirmaciones de las que claramente se deriva la existencia de una privación de libertad —así se dice, por ejemplo, que “no se observa incorrecta la detención efectuada” y en la parte dispositiva se afirma que se deniega la incoación respecto de las personas inmigrantes que se encuentran “bajo el control de las FF.CC. de Seguridad </w:t>
      </w:r>
      <w:r>
        <w:lastRenderedPageBreak/>
        <w:t>del Estado”—. Por otra parte se declara, sin embargo, que para la incoación del procedimiento “falta el elemento esencial: una privación de libertad”. Tres son los argumentos en que se sustenta esta afirmación: (i) que la denuncia se refiere a “una llegada masiva de inmigrantes a las costas de Tarifa y las medidas extraordinarias que se están adoptando para atenderles de la mejor manera posible”; (ii) que los inmigrantes no están detenidos por la comisión de un ilícito penal; y (iii) que el habeas corpus es un expediente individual en el que hay que hacer referencia a una persona que sufre una privación de libertad relatando sus circunstancias y exponiéndolas al juez para las valore y actúe en consecuencia.</w:t>
      </w:r>
    </w:p>
    <w:p w:rsidR="00A90898" w:rsidRDefault="00A90898" w:rsidP="00A90898">
      <w:pPr>
        <w:pStyle w:val="TextoNormal"/>
      </w:pPr>
    </w:p>
    <w:p w:rsidR="00A90898" w:rsidRDefault="00A90898" w:rsidP="00A90898">
      <w:pPr>
        <w:pStyle w:val="TextoNormal"/>
      </w:pPr>
      <w:r>
        <w:t>(i) El primer argumento —según el cual se trataba de adoptar medidas extraordinarias para hacer frente a una situación excepcional de intento de acceder irregularmente a territorio español por parte un alto número de personas— no es un argumento constitucionalmente válido, tal como afirma el Ministerio Fiscal ante el Tribunal Constitucional. El hecho de que fueran medidas extraordinarias no puede provocar, como pretende la resolución impugnada, que una situación fáctica incontrovertible, como es la privación de libertad de los afectados, transforme su calificación para convertirse en una situación de no privación de libertad. Como ya se ha expuesto, ni siquiera en la resolución judicial impugnada se niega la evidencia de que había 250 personas privadas de libertad bajo custodia de la Guardia Civil. A partir de ello, lo único que puede afirmarse es que circunstancias extraordinarias pueden dar lugar a respuestas extraordinarias, como son medidas de refuerzo judicial ante la previsión de que puedan superarse los plazos legalmente previstos, pero esas respuestas no pueden consistir en la lesión del derecho fundamental a la libertad por parte de la autoridad gubernativa manteniendo a una persona privada de libertad más allá del tiempo legalmente previsto y sin respetar las garantías propias de esa situación de privación; ni en impedir o frustrar por parte de la autoridad judicial el cumplimiento de la esencial función de protección y control que concede la Constitución respecto de este derecho mediante el procedimiento de habeas corpus. El art. 17.2 CE, en relación con la detención preventiva —en una consideración que es aplicable a cualquier situación de privación de libertad no acordada judicialmente— es categórico al disponer que al finalizar el plazo máximo de privación de detención gubernativa solo existen dos soluciones constitucionalmente admisibles: “ser puestos en libertad o a disposición de la autoridad judicial”.</w:t>
      </w:r>
    </w:p>
    <w:p w:rsidR="00A90898" w:rsidRDefault="00A90898" w:rsidP="00A90898">
      <w:pPr>
        <w:pStyle w:val="TextoNormal"/>
      </w:pPr>
    </w:p>
    <w:p w:rsidR="00A90898" w:rsidRDefault="00A90898" w:rsidP="00A90898">
      <w:pPr>
        <w:pStyle w:val="TextoNormal"/>
      </w:pPr>
      <w:r>
        <w:t xml:space="preserve">(ii) Como también destaca el Ministerio Fiscal ante el Tribunal Constitucional, tampoco el segundo argumento —según el cual la privación de libertad no consiste en una detención por la comisión de un delito— resulta constitucionalmente válido. Son muy numerosas las resoluciones dictadas por el Tribunal negando que este procedimiento resulte solo de aplicación a las detenciones por la comisión de ilícitos penales. Así, el Pleno del Tribunal en la STC 303/2005, de 24 de noviembre, tiene declarado que las privaciones de libertad realizadas por la policía sin previa autorización judicial y al amparo de la normativa vigente en materia de extranjería son un “típico supuesto, pues, de privación de libertad necesitada de un control judicial a posteriori sobre su legalidad, articulado en nuestro Derecho —con carácter general y al margen de mecanismos específicos establecidos por la legislación de extranjería—, a través del procedimiento de habeas corpus” (FJ 3). En esa misma línea se pronuncia el Tribunal Europeo de Derechos Humanos, que considera como privación de libertad a los efectos del art. 5.1 f) del Convenio europeo para la protección de los derechos humanos y de las libertades fundamentales la mera situación de permanencia de una persona en la zona de tránsito de un aeropuerto, sin poder abandonar voluntariamente la habitación </w:t>
      </w:r>
      <w:r>
        <w:lastRenderedPageBreak/>
        <w:t>donde había sido ubicada y bajo el control y supervisión permanente de los agentes de aduanas (STEDH de 12 de febrero de 2009, asunto Nolan y K. c. Rusia, § 96), así como la conducción a comisaría a los fines de identificación para determinar la estancia regular a efectos migratorios (STEDH de 23 de julio de 2013, asunto M.A. c Chipre, § 193).</w:t>
      </w:r>
    </w:p>
    <w:p w:rsidR="00A90898" w:rsidRDefault="00A90898" w:rsidP="00A90898">
      <w:pPr>
        <w:pStyle w:val="TextoNormal"/>
      </w:pPr>
    </w:p>
    <w:p w:rsidR="00A90898" w:rsidRDefault="00A90898" w:rsidP="00A90898">
      <w:pPr>
        <w:pStyle w:val="TextoNormal"/>
      </w:pPr>
      <w:r>
        <w:t>(iii) Nuevamente de conformidad con lo expuesto por el Ministerio Fiscal ante el Tribunal Constitucional, también hay que concluir que no resulta respetuoso con el art. 17.4 CE, por ser de un formalismo impropio de un procedimiento de esas características, el tercer argumento, según el cual “el habeas corpus es un expediente individual en el que hay que hacer referencia a una persona que sufre una privación de libertad relatando sus circunstancias y exponiéndolas al juez para que las valore y actúe en consecuencia”. La propia naturaleza de los hechos que motivaron la solicitud de incoación de oficio del procedimiento de habeas corpus y los denunciados incumplimientos consistentes en que las personas interceptadas pretendiendo entrar irregularmente en territorio nacional no fueran conducidas “con la mayor brevedad posible a la correspondiente comisaría del Cuerpo Nacional de Policía, para que pueda procederse a su identificación” (art. 23.2 de la Ley Orgánica 2/2009) y de que no fueron provistas de la necesaria asistencia letrada (arts. 17.3 CE, 22.2 LOEX y 23.3 de la Ley Orgánica 2/2009), motivaron que la entidad ahora demandante de amparo no pudiera aportar datos identificativos concretos de las personas que llevaban, al menos, ocho días privadas de libertad bajo la custodia de la autoridad gubernativa en aquellas instalaciones deportivas. En este contexto, apreciar como causa de inadmisión de un procedimiento de habeas corpus el incumplimiento por parte de la asociación solicitante del deber de identificar nominalmente a cada una de las personas que estaban en custodia de la Guardia Civil, cuando esta le había impedido a los miembros de aquella el acceso al lugar de la detención, carece de cobertura legal y resulta rigorista y desproporcionado.</w:t>
      </w:r>
    </w:p>
    <w:p w:rsidR="00A90898" w:rsidRDefault="00A90898" w:rsidP="00A90898">
      <w:pPr>
        <w:pStyle w:val="TextoNormal"/>
      </w:pPr>
    </w:p>
    <w:p w:rsidR="00A90898" w:rsidRDefault="00A90898" w:rsidP="00A90898">
      <w:pPr>
        <w:pStyle w:val="TextoNormal"/>
      </w:pPr>
      <w:r>
        <w:t>En conclusión, en la medida en que los hechos puestos de manifiesto en la solicitud de incoación de oficio del procedimiento de habeas corpus por la entidad recurrente evidenciaban una vulneración del derecho a la libertad personal de un grupo de personas indeterminadas y de que, a pesar de ello, la decisión judicial fue la de inadmitir de plano dicha solicitud, concurre la aducida vulneración del derecho a la libertad personal tanto en su dimensión sustantiva (art. 17.1 CE) como procedimental (art. 17.4 CE).</w:t>
      </w:r>
    </w:p>
    <w:p w:rsidR="00A90898" w:rsidRDefault="00A90898" w:rsidP="00A90898">
      <w:pPr>
        <w:pStyle w:val="TextoNormal"/>
      </w:pPr>
    </w:p>
    <w:p w:rsidR="00A90898" w:rsidRDefault="00A90898" w:rsidP="00A90898">
      <w:pPr>
        <w:pStyle w:val="TextoNormal"/>
      </w:pPr>
      <w:r>
        <w:t>II. La entidad recurrente, Algeciras Acoge, ostenta un interés legítimo para la interposición de este recurso de amparo y para obtener un pronunciamiento sobre el fondo respecto de los derechos fundamentales invocados.</w:t>
      </w:r>
    </w:p>
    <w:p w:rsidR="00A90898" w:rsidRDefault="00A90898" w:rsidP="00A90898">
      <w:pPr>
        <w:pStyle w:val="TextoNormal"/>
      </w:pPr>
    </w:p>
    <w:p w:rsidR="00A90898" w:rsidRDefault="00A90898" w:rsidP="00A90898">
      <w:pPr>
        <w:pStyle w:val="TextoNormal"/>
      </w:pPr>
      <w:r>
        <w:t xml:space="preserve">5. Discrepamos de la opinión mayoritaria en la que se sustenta la Sentencia, la cual sostiene que concurre la causa de inadmisión de falta de legitimación activa de la entidad recurrente. Una interpretación y aplicación tan restrictiva de esta causa de inadmisión impide que el Tribunal tenga la oportunidad, con los efectos propios de sus decisiones en materia de garantías constitucionales, de pronunciarse sobre un supuesto en que, a la vista del desarrollo de los acontecimientos, se ha producido un fallo global en el sistema de protección y control del derecho a la libertad personal. La posición de la opinión mayoritaria acude a una causa de inadmisión que no ha sido invocada por nadie en el proceso y que impide un pronunciamiento sobre el fondo tendente no solo a declarar vulnerado el derecho sino a evitar que sucesos así puedan repetirse. A nuestro juicio, el resultado producido puede abrir el interrogante de si este Tribunal de garantías constitucionales se ha limitado en el caso a </w:t>
      </w:r>
      <w:r>
        <w:lastRenderedPageBreak/>
        <w:t>actuar como una rueda más del engranaje jurídico, social, institucional y administrativo que ha padecido en su conjunto una grave quiebra sistémica.</w:t>
      </w:r>
    </w:p>
    <w:p w:rsidR="00A90898" w:rsidRDefault="00A90898" w:rsidP="00A90898">
      <w:pPr>
        <w:pStyle w:val="TextoNormal"/>
      </w:pPr>
    </w:p>
    <w:p w:rsidR="00A90898" w:rsidRDefault="00A90898" w:rsidP="00A90898">
      <w:pPr>
        <w:pStyle w:val="TextoNormal"/>
      </w:pPr>
      <w:r>
        <w:t>6. En efecto, el art. 162.1 b) CE establece que está legitimado para interponer un recurso de amparo “toda persona natural o jurídica que invoque un interés legítimo”. En virtud de ello este Tribunal ha señalado que “la legitimación activa no se otorga exclusivamente a la víctima o al titular del derecho infringido, sino también a quien ostente un interés legítimo, categoría más amplia que la de derecho subjetivo e incluso interés directo (SSTC 60/1982, de 11 de octubre, 97/1991, de 9 de mayo, y 214/1991, de 11 de noviembre). Es suficiente que el recurrente, con respecto al derecho fundamental violado, se encuentre en una determinada situación jurídico-material identificable, no con un interés genérico en la preservación del derecho, sino con un interés en sentido propio, cualificado y específico, que debe ser valorado en atención al derecho fundamental de que en cada caso se trate (SSTC 201/1987, de 16 de diciembre, 257/1988, de 22 de diciembre, 25/1989, de 3 de febrero, 123/1989, de 6 de julio, y 25/1990, de 19 de febrero)” (STC 186/2013, de 4 de noviembre, FJ 2).</w:t>
      </w:r>
    </w:p>
    <w:p w:rsidR="00A90898" w:rsidRDefault="00A90898" w:rsidP="00A90898">
      <w:pPr>
        <w:pStyle w:val="TextoNormal"/>
      </w:pPr>
    </w:p>
    <w:p w:rsidR="00A90898" w:rsidRDefault="00A90898" w:rsidP="00A90898">
      <w:pPr>
        <w:pStyle w:val="TextoNormal"/>
      </w:pPr>
      <w:r>
        <w:t>En atención a esta doctrina, la opinión mayoritaria en la que se sustenta la Sentencia parece hacer recaer toda la fuerza argumental para defender la falta de legitimación activa de la entidad recurrente en el carácter personalísimo del derecho a la libertad que impediría a cualquiera que no fueran los directamente afectados por la privación de ese derecho acceder al recurso de amparo. En línea de principio, en caso de invocación de derechos fundamentales personalísimos, como es el derecho a la libertad, el interés legítimo que se constituye como presupuesto necesario para ostentar la legitimación activa corresponde al titular de ese derecho fundamental. Ahora bien, como ha reconocido el Tribunal, hay casos excepcionales en que, ante la posible desprotección de ese derecho personalísimo que podría derivarse de un entendimiento rigorista de este requisito de admisibilidad, resulta preciso un entendimiento pro actione [en favor de la acción], el cual se traduce en el reconocimiento —para evitar la perpetuación de una situación de lesión del derecho— de la legitimación en favor de terceros que se hallen en determinadas circunstancias.</w:t>
      </w:r>
    </w:p>
    <w:p w:rsidR="00A90898" w:rsidRDefault="00A90898" w:rsidP="00A90898">
      <w:pPr>
        <w:pStyle w:val="TextoNormal"/>
      </w:pPr>
    </w:p>
    <w:p w:rsidR="00A90898" w:rsidRDefault="00A90898" w:rsidP="00A90898">
      <w:pPr>
        <w:pStyle w:val="TextoNormal"/>
      </w:pPr>
      <w:r>
        <w:t>Ese fue el caso, por ejemplo, que se planteó en la STC 214/1991, de 11 de noviembre, en que este Tribunal reconoció a la entonces recurrente en amparo, en su condición de miembro de la religión judía, interés legítimo para recurrir en amparo frente a una lesión del derecho al honor del grupo religioso en que se integraba, con el argumento de que “habida cuenta de que los tales grupos étnicos, sociales e incluso religiosos son, por lo general, entes sin personalidad jurídica y, en cuanto tales, carecen de órganos de representación a quienes el ordenamiento pudiera atribuirles el ejercicio de las acciones, civiles y penales, en defensa de su honor colectivo, de no admitir el art. 162.1 b) CE, la legitimación activa de todos y cada uno de los tales miembros, residentes en nuestro país, para poder reaccionar jurisdiccionalmente contra las intromisiones en el honor de dichos grupos, no solo permanecerían indemnes las lesiones a este derecho fundamental que sufrirían por igual todos y cada uno de sus integrantes, sino que también el Estado español de Derecho permitiría el surgimiento de campañas discriminatorias, racistas o de carácter xenófobo, contrarias a la igualdad, que es uno de los valores superiores del ordenamiento jurídico que nuestra Constitución proclama (art. 1.1 CE)” (FJ 2).</w:t>
      </w:r>
    </w:p>
    <w:p w:rsidR="00A90898" w:rsidRDefault="00A90898" w:rsidP="00A90898">
      <w:pPr>
        <w:pStyle w:val="TextoNormal"/>
      </w:pPr>
    </w:p>
    <w:p w:rsidR="00A90898" w:rsidRDefault="00A90898" w:rsidP="00A90898">
      <w:pPr>
        <w:pStyle w:val="TextoNormal"/>
      </w:pPr>
      <w:r>
        <w:lastRenderedPageBreak/>
        <w:t>Según esta importante jurisprudencia, cuando se trata de decidir sobre la legitimación, debe prevalecer el interés legítimo si esto es indispensable para evitar situaciones jurídicas indeseables de desprotección de derechos personalísimos. Este criterio fue el que también se proyectó en la STC 184/2008, de 22 de diciembre, para reconocer que la entidad entonces recurrente, coordinadora de barrios para el seguimiento de menores y jóvenes, ostentaba la legitimación activa en un proceso contencioso-administrativo para impugnar la repatriación de un menor cuya tutela no ejercía. En aquel caso, los elementos que se consideraron relevantes fueron (i) que entre los fines estatutarios de la asociación recurrente está conseguir la integración en la sociedad y la promoción de las personas con problemas de cualquier clase de marginación social, especialmente menores y jóvenes, incluyendo el ejercicio de las acciones judiciales que se entiendan oportunas para la tutela de sus derechos y libertades fundamentales; (ii) el hecho de la directa implicación de la asociación recurrente en el seguimiento y defensa de los intereses del menor demostrativa de que su intervención no respondía únicamente a una intención de mera defensa de la legalidad y de que no era neutral o indiferente ante la resolución impugnada; y (iii) que, ante la simultánea decisión judicial de negar también capacidad procesal al menor y competencia al Juzgado para que le nombrara un defensor judicial, se abortaba completamente la posibilidad de que se pudiera obtener un pronunciamiento judicial sobre el fondo de las vulneraciones de derechos fundamentales que se aducían en el recurso.</w:t>
      </w:r>
    </w:p>
    <w:p w:rsidR="00A90898" w:rsidRDefault="00A90898" w:rsidP="00A90898">
      <w:pPr>
        <w:pStyle w:val="TextoNormal"/>
      </w:pPr>
    </w:p>
    <w:p w:rsidR="00A90898" w:rsidRDefault="00A90898" w:rsidP="00A90898">
      <w:pPr>
        <w:pStyle w:val="TextoNormal"/>
      </w:pPr>
      <w:r>
        <w:t>7. Creemos que no es necesario insistir en la analogía entre estos casos decididos por el Tribunal y el que se nos plantea en el proceso ahora enjuiciado.</w:t>
      </w:r>
    </w:p>
    <w:p w:rsidR="00A90898" w:rsidRDefault="00A90898" w:rsidP="00A90898">
      <w:pPr>
        <w:pStyle w:val="TextoNormal"/>
      </w:pPr>
    </w:p>
    <w:p w:rsidR="00A90898" w:rsidRDefault="00A90898" w:rsidP="00A90898">
      <w:pPr>
        <w:pStyle w:val="TextoNormal"/>
      </w:pPr>
      <w:r>
        <w:t>En este recurso concurren también circunstancias excepcionales que hubieran debido llevar a la opinión mayoritaria en la que se sustenta la Sentencia a reconocer un interés legítimo en la asociación recurrente en evitación de, precisamente, lo que ha provocado esa opinión mayoritaria: la desprotección y perpetuación de una grave violación del derecho a la libertad de un colectivo de doscientas cincuenta personas en situación de especial vulnerabilidad.</w:t>
      </w:r>
    </w:p>
    <w:p w:rsidR="00A90898" w:rsidRDefault="00A90898" w:rsidP="00A90898">
      <w:pPr>
        <w:pStyle w:val="TextoNormal"/>
      </w:pPr>
    </w:p>
    <w:p w:rsidR="00A90898" w:rsidRDefault="00A90898" w:rsidP="00A90898">
      <w:pPr>
        <w:pStyle w:val="TextoNormal"/>
      </w:pPr>
      <w:r>
        <w:t xml:space="preserve">Esas circunstancias excepcionales son, en primer lugar, el hecho público y notorio de que la entidad recurrente tiene como objeto asociativo, entre otros, la defensa de los derechos de los migrantes y de las condiciones de la acogida de los inmigrantes en España. En segundo lugar, también es relevante atender a la peculiaridad de la situación en que se encontraban las personas respecto de las cuales se instaba la incoación de oficio del procedimiento de habeas corpus y la concreta implicación y actuación desarrollada por la asociación recurrente en defensa de sus derechos. Los afectados por la privación de libertad, y en favor de los cuales la asociación recurrente dirigió una solicitud al órgano judicial competente para que incoase de oficio el procedimiento de habeas corpus, estaban integrados dentro de un colectivo en una situación de especial vulnerabilidad que se proyectaba también, y especialmente, en relación con su derecho fundamental a la libertad. Las circunstancias fácticas del caso, así como su evolución posterior, ponen de manifiesto que este grupo de personas carecía de todo recurso y vínculo personal conocido en territorio nacional como para acceder a las posibilidades jurídicas de actuación que, por propia iniciativa o a través de otros familiares, legitiman, de conformidad con el art. 3 a) LOHC, la petición de incoación de un habeas corpus, como procedimiento constitucionalmente establecido de protección inmediata frente a situación de privación de libertad ilegales en el art. 17.4 CE. Esa misma situación de privación de libertad en que se encontraban estas personas fue la que también impidió a la asociación recurrente, junto con otras asociaciones de defensa de los </w:t>
      </w:r>
      <w:r>
        <w:lastRenderedPageBreak/>
        <w:t>derechos humanos, y a pesar de su intento en ese sentido, poder acceder a ellas para asesorarlas sobre la posibilidad de instar el procedimiento de habeas corpus por su propia iniciativa, al ser impedida esa posibilidad por la Guardia Civil que estaba custodiando el lugar en que permanecían privadas de libertad. En este singular contexto de imposibilidad de acceder a la puesta en marcha del procedimiento de tutela constitucionalmente previsto en el art. 17.4 CE para la protección del derecho a la privación de libertad por parte de los directamente interesados, la entidad recurrente en amparo tomó la iniciativa de, en virtud de la posibilidad legal prevista en el art. 3 LOHC, instar al órgano judicial competente la iniciación de oficio del procedimiento de habeas corpus.</w:t>
      </w:r>
    </w:p>
    <w:p w:rsidR="00A90898" w:rsidRDefault="00A90898" w:rsidP="00A90898">
      <w:pPr>
        <w:pStyle w:val="TextoNormal"/>
      </w:pPr>
    </w:p>
    <w:p w:rsidR="00A90898" w:rsidRDefault="00A90898" w:rsidP="00A90898">
      <w:pPr>
        <w:pStyle w:val="TextoNormal"/>
      </w:pPr>
      <w:r>
        <w:t>Por otro lado, ha sido precisamente la falta de incoación del habeas corpus, ahora controvertida en este recurso de amparo, la que determinó que los extranjeros que se hallaban privados de libertad permanecieran en esa situación de vulnerabilidad, ya que no se procedió a su identificación. Esa falta de identificación, junto con la imposibilidad de que pudieran instar el habeas corpus, también impidió que los afectados pudieran acceder por sí a la tutela del Tribunal Constitucional de su derecho fundamental a la libertad (art. 17 CE). El derecho fundamental en juego no es el mero derecho de acceder al proceso, sino el derecho fundamental a la libertad (art. 17 CE), que también puede resultar lesionado por la falta de incoación del habeas corpus, al determinar la imposibilidad, no ya solo de tutelar el derecho fundamental sustantivo, sino de que los afectados pudieran instar por sí mismos cualquier remedio tendente a la preservación de su derecho a la libertad.</w:t>
      </w:r>
    </w:p>
    <w:p w:rsidR="00A90898" w:rsidRDefault="00A90898" w:rsidP="00A90898">
      <w:pPr>
        <w:pStyle w:val="TextoNormal"/>
      </w:pPr>
    </w:p>
    <w:p w:rsidR="00A90898" w:rsidRDefault="00A90898" w:rsidP="00A90898">
      <w:pPr>
        <w:pStyle w:val="TextoNormal"/>
      </w:pPr>
      <w:r>
        <w:t>En conclusión, las particularidades del caso, constituidas por (i) la situación de especial vulnerabilidad que presentaban las personas afectadas en relación con su derecho fundamental a la libertad; (ii) el propio objeto asociativo de la entidad recurrente en amparo; (iii) la efectiva actuación que fue desarrollada por la asociación Algeciras Acoge en la actuación judicial previa que ha dado lugar a este proceso de amparo; y (iv) la desprotección del derecho sustantivo invocado a la que se aboca con una interpretación tan rigorista de la exigencia de interés legítimo, son las que determinan que la recurrente esté con respecto al derecho fundamental invocado en este procedimiento constitucional en una situación jurídico-material identificable, no solo con un interés genérico en la preservación abstracta del derecho, sino con un interés en sentido propio, cualificado y específico en promover la tutela del Tribunal Constitucional, especialmente tomando en consideración que los directamente afectados no pueden recabarla por sí, precisamente, como consecuencia de la actuación judicial que se nos pedía que sometiéramos al análisis de constitucionalidad. En otras palabras: la necesidad de que sea un tercero el que trate de promover los mecanismos de restitución del derecho fundamental obedece a las propias circunstancias de la privación de libertad padecida, esto es, es una consecuencia ineludible de la propia lesión del derecho fundamental y esto explica que ninguna de las partes en el proceso plantease la cuestión relativa a la legitimación de la asociación recurrente.</w:t>
      </w:r>
    </w:p>
    <w:p w:rsidR="00A90898" w:rsidRDefault="00A90898" w:rsidP="00A90898">
      <w:pPr>
        <w:pStyle w:val="TextoNormal"/>
      </w:pPr>
    </w:p>
    <w:p w:rsidR="00A90898" w:rsidRDefault="00A90898" w:rsidP="00A90898">
      <w:pPr>
        <w:pStyle w:val="TextoNormal"/>
      </w:pPr>
      <w:r>
        <w:t>No podemos sino lamentar que la posición defendida por la opinión mayoritaria en la que se sustenta la Sentencia haya impedido al Tribunal, a nuestro juicio, cumplir en este caso con su labor constitucional de garante de la vigencia del derecho fundamental a la libertad personal y es nuestro deseo que la opinión de este voto particular pueda ser tenida en cuenta, si llegara el caso, para el restablecimiento de la jurisprudencia constitucional sobre legitimación procesal para la defensa de los derechos fundamentales.</w:t>
      </w:r>
    </w:p>
    <w:p w:rsidR="00A90898" w:rsidRDefault="00A90898" w:rsidP="00A90898">
      <w:pPr>
        <w:pStyle w:val="TextoNormal"/>
      </w:pPr>
    </w:p>
    <w:p w:rsidR="00A90898" w:rsidRDefault="00A90898" w:rsidP="00A90898">
      <w:pPr>
        <w:pStyle w:val="TextoNormal"/>
      </w:pPr>
      <w:r>
        <w:lastRenderedPageBreak/>
        <w:t>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4" w:name="SENTENCIA_2016_155"/>
      <w:r>
        <w:lastRenderedPageBreak/>
        <w:t>SENTENCIA 155/2016, de 22 de septiembre de 2016</w:t>
      </w:r>
    </w:p>
    <w:bookmarkEnd w:id="34"/>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ECLI:ES:TC:2016:155</w:t>
      </w:r>
    </w:p>
    <w:p w:rsidR="00A90898" w:rsidRDefault="00A90898" w:rsidP="00A90898">
      <w:pPr>
        <w:pStyle w:val="TextoNormalCentrado"/>
      </w:pPr>
    </w:p>
    <w:p w:rsidR="00A90898" w:rsidRDefault="00A90898" w:rsidP="00A90898">
      <w:pPr>
        <w:pStyle w:val="SntesisDescriptiva"/>
      </w:pPr>
      <w:r>
        <w:t>Cuestión de inconstitucionalidad 1511-2015. Planteada por la Sala de lo Contencioso-Administrativo del Tribunal Superior de Justicia de Galicia respecto de la disposición final segunda de la Ley 15/2010, de 28 de diciembre, de medidas fiscales y administrativas de la Comunidad Autónoma de Galicia.</w:t>
      </w:r>
    </w:p>
    <w:p w:rsidR="00A90898" w:rsidRDefault="00A90898" w:rsidP="00A90898">
      <w:pPr>
        <w:pStyle w:val="SntesisDescriptiva"/>
      </w:pPr>
    </w:p>
    <w:p w:rsidR="00A90898" w:rsidRDefault="00A90898" w:rsidP="00A90898">
      <w:pPr>
        <w:pStyle w:val="SntesisAnaltica"/>
      </w:pPr>
      <w:r>
        <w:t>Principios de igualdad y seguridad jurídica, competencias sobre condiciones básicas de igualdad y procedimiento administrativo: constitucionalidad del precepto legal autonómico que establece la regla del silencio negativo para determinados recursos planteados, en materia de personal, por los profesionales del Servicio Gallego de Salud.</w:t>
      </w:r>
    </w:p>
    <w:p w:rsidR="00A90898" w:rsidRDefault="00A90898" w:rsidP="00A90898">
      <w:pPr>
        <w:pStyle w:val="SntesisAnaltica"/>
      </w:pPr>
    </w:p>
    <w:p w:rsidR="00A90898" w:rsidRDefault="00A90898" w:rsidP="00A90898">
      <w:pPr>
        <w:pStyle w:val="Extracto"/>
      </w:pPr>
      <w:r>
        <w:t>1.</w:t>
      </w:r>
      <w:r>
        <w:tab/>
        <w:t>El legislador autonómico puede abrir la posibilidad de excepciones a la regla general del silencio positivo, justificadas en razones imperiosas de interés general, pues de otro modo la norma de procedimiento administrativo común, dictada por el Estado en ejercicio de la competencia que le confiere el Art. 149.1.18 CE, quedaría vacía de significado [FJ 6].</w:t>
      </w:r>
    </w:p>
    <w:p w:rsidR="00A90898" w:rsidRDefault="00A90898" w:rsidP="00A90898">
      <w:pPr>
        <w:pStyle w:val="Extracto"/>
      </w:pPr>
    </w:p>
    <w:p w:rsidR="00A90898" w:rsidRDefault="00A90898" w:rsidP="00A90898">
      <w:pPr>
        <w:pStyle w:val="Extracto"/>
      </w:pPr>
      <w:r>
        <w:t>2.</w:t>
      </w:r>
      <w:r>
        <w:tab/>
        <w:t>No se aprecia contradicción entre la disposición estatal que establece que las excepciones a la regla general del silencio positivo se han de basar en razones imperiosas de interés general y la disposición autonómica que fija la regla del silencio negativo para determinadas solicitudes planteadas por los profesionales del Servicio Gallego de Salud [FJ 6].</w:t>
      </w:r>
    </w:p>
    <w:p w:rsidR="00A90898" w:rsidRDefault="00A90898" w:rsidP="00A90898">
      <w:pPr>
        <w:pStyle w:val="Extracto"/>
      </w:pPr>
    </w:p>
    <w:p w:rsidR="00A90898" w:rsidRDefault="00A90898" w:rsidP="00A90898">
      <w:pPr>
        <w:pStyle w:val="Extracto"/>
      </w:pPr>
      <w:r>
        <w:t>3.</w:t>
      </w:r>
      <w:r>
        <w:tab/>
        <w:t>La Ley gallega hizo explícita la razón imperiosa de interés general que ha determinado la implantación del silencio negativo en los procedimientos regulados por la norma cuestionada, que no es otra que la necesidad de contención del gasto de personal en un escenario de severas restricciones presupuestarias [FJ 6].</w:t>
      </w:r>
    </w:p>
    <w:p w:rsidR="00A90898" w:rsidRDefault="00A90898" w:rsidP="00A90898">
      <w:pPr>
        <w:pStyle w:val="Extracto"/>
      </w:pPr>
    </w:p>
    <w:p w:rsidR="00A90898" w:rsidRDefault="00A90898" w:rsidP="00A90898">
      <w:pPr>
        <w:pStyle w:val="Extracto"/>
      </w:pPr>
      <w:r>
        <w:t>4.</w:t>
      </w:r>
      <w:r>
        <w:tab/>
        <w:t>La norma cuestionada no vulnera el  principio de igualdad al fijar la regla del silencio negativo sólo para las solicitudes formuladas por los profesionales del servicio de salud, manteniendo el sentido estimatorio del silencio para las solicitudes formuladas por el resto de los empleados públicos de la Comunidad Autonómica; trato diferenciado que se justifica en el régimen jurídico específico del  personal estatutario de los Servicios de Salud, quienes disponen de un estatuto marco específico que regula sus retribuciones con una estructura y contenido netamente diferenciado del correspondiente a otros colectivos de empleados públicos [FJ 7].</w:t>
      </w:r>
    </w:p>
    <w:p w:rsidR="00A90898" w:rsidRDefault="00A90898" w:rsidP="00A90898">
      <w:pPr>
        <w:pStyle w:val="Extracto"/>
      </w:pPr>
    </w:p>
    <w:p w:rsidR="00A90898" w:rsidRDefault="00A90898" w:rsidP="00A90898">
      <w:pPr>
        <w:pStyle w:val="Extracto"/>
      </w:pPr>
      <w:r>
        <w:t>5.</w:t>
      </w:r>
      <w:r>
        <w:tab/>
        <w:t xml:space="preserve">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w:t>
      </w:r>
      <w:r>
        <w:lastRenderedPageBreak/>
        <w:t>sentido de la regulación que, al incluirlas, incurre en arbitrariedad y es por eso discriminatoria (SSTC 39/2002, 125/2003) [FJ 7].</w:t>
      </w:r>
    </w:p>
    <w:p w:rsidR="00A90898" w:rsidRDefault="00A90898" w:rsidP="00A90898">
      <w:pPr>
        <w:pStyle w:val="Extracto"/>
      </w:pPr>
    </w:p>
    <w:p w:rsidR="00A90898" w:rsidRDefault="00A90898" w:rsidP="00A90898">
      <w:pPr>
        <w:pStyle w:val="Extracto"/>
      </w:pPr>
      <w:r>
        <w:t>6.</w:t>
      </w:r>
      <w:r>
        <w:tab/>
        <w:t xml:space="preserve">Sólo ante iguales supuestos de hecho actúa la prohibición de utilizar elementos de diferenciación que quepa calificar de arbitrarios o carentes de una justificación razonable.  Toda alegación del derecho fundamental a la igualdad precisa para su verificación un </w:t>
      </w:r>
      <w:r w:rsidRPr="00A90898">
        <w:rPr>
          <w:i/>
        </w:rPr>
        <w:t>tertium comparationis</w:t>
      </w:r>
      <w:r>
        <w:t xml:space="preserve"> frente al que la desigualdad se produzca, elemento de contraste que ha de consistir en ‘una situación jurídica concreta en la que se encuentren otros ciudadanos u otros grupos de ciudadanos’ (SSTC 39/2002, 125/2003; ATC 209/1985)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1511-2015, planteada por la Sección Primera de la Sala de lo Contencioso-Administrativo del Tribunal Superior de Justicia de Galicia, en el recurso de apelación núm. 331-2014, en relación con la disposición final segunda de la Ley 15/2010, de 28 de diciembre, de medidas fiscales y administrativas de la Comunidad Autónoma de Galicia, por posible infracción de los arts. 9.3, 14 y 149.1.1 y 18 de la Constitución. Han intervenido los Letrados de la Xunta de Galicia y del Parlamento de Galicia y el Fiscal General del Estado. Ha sido Ponente el Magistrado don Fernando Valdés Dal-Ré, quien expresa el parecer del Pleno.</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Con fecha 16 de marzo de 2015 tuvo entrada en el Registro General de este Tribunal oficio de la Sección Primera de la Sala de lo Contencioso-Administrativo del Tribunal Superior de Justicia de Galicia al que se acompañaba, junto con testimonio del recurso de apelación núm. 331-2014 tramitado en ese órgano judicial y del expediente administrativo, Auto de la referida Sección de 26 de febrero de 2015 por el que se acuerda elevar a este Tribunal cuestión de inconstitucionalidad con respecto a la disposición final segunda de la Ley 15/2010, de 28 de diciembre, de medidas fiscales y administrativas de la Comunidad Autónoma de Galicia, por posible infracción de los arts. 9.3, 14 y 149.1.1 y 18 CE.</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Del conjunto de las actuaciones remitidas por el órgano judicial proponente, los hechos que dan lugar al planteamiento de la cuestión son, sucintamente expuestos, los que siguen:</w:t>
      </w:r>
    </w:p>
    <w:p w:rsidR="00A90898" w:rsidRDefault="00A90898" w:rsidP="00A90898">
      <w:pPr>
        <w:pStyle w:val="TextoNormal"/>
      </w:pPr>
    </w:p>
    <w:p w:rsidR="00A90898" w:rsidRDefault="00A90898" w:rsidP="00A90898">
      <w:pPr>
        <w:pStyle w:val="TextoNormal"/>
      </w:pPr>
      <w:r>
        <w:t>a) La cuestión de inconstitucionalidad se eleva con ocasión de la tramitación del recurso de apelación promovido por don M.A.G.P., contra Sentencia, de 6 de junio de 2014, del Juzgado de lo Contencioso-Administrativo núm. 1 de Orense que inadmitió el recurso contencioso-administrativo por él interpuesto, tramitado como procedimiento abreviado núm. 76-2014, contra supuesta inactividad de la gerencia de gestión integrada de Orense, Verín y Barco de Valdeorras del Servicio Gallego de Salud de la Xunta de Galicia (SERGAS) consistente en no ejecutar, a juicio del recurrente, la estimación presunta por silencio administrativo positivo de su solicitud de pago de 6.026,40 €, más intereses, en concepto de diferencias retributivas por “5150 actividades no programadas”.</w:t>
      </w:r>
    </w:p>
    <w:p w:rsidR="00A90898" w:rsidRDefault="00A90898" w:rsidP="00A90898">
      <w:pPr>
        <w:pStyle w:val="TextoNormal"/>
      </w:pPr>
    </w:p>
    <w:p w:rsidR="00A90898" w:rsidRDefault="00A90898" w:rsidP="00A90898">
      <w:pPr>
        <w:pStyle w:val="TextoNormal"/>
      </w:pPr>
      <w:r>
        <w:t>b) El recurso fue inadmitido en la instancia, por considerar el juzgador, de conformidad con lo dispuesto en los arts. 25.1 y 51.1 c) de la Ley 29/1998, de 13 de julio, reguladora de la jurisdicción contencioso-administrativa, que su objeto era una actividad no susceptible de impugnación al no haberse agotado la vía administrativa previa.</w:t>
      </w:r>
    </w:p>
    <w:p w:rsidR="00A90898" w:rsidRDefault="00A90898" w:rsidP="00A90898">
      <w:pPr>
        <w:pStyle w:val="TextoNormal"/>
      </w:pPr>
    </w:p>
    <w:p w:rsidR="00A90898" w:rsidRDefault="00A90898" w:rsidP="00A90898">
      <w:pPr>
        <w:pStyle w:val="TextoNormal"/>
      </w:pPr>
      <w:r>
        <w:t>c) Una vez finalizada la tramitación del recurso de apelación y señalada fecha para deliberación y fallo, mediante providencia de 15 de diciembre de 2014, se acordó, de conformidad con el art. 35.2 de la Ley Orgánica del Tribunal Constitucional (LOTC), oír a las partes y al Ministerio Fiscal sobre la procedencia de plantear cuestión de inconstitucionalidad en relación con la disposición final segunda de la Ley 15/2010, de 28 de diciembre, de medidas fiscales y administrativas de la Comunidad Autónoma de Galicia por posible infracción de los arts. 9.3, 14 y 149.1.1 y 18 CE. El trámite fue evacuado por el Letrado de la Xunta de Galicia, en nombre del SERGAS, y por el Ministerio Fiscal en el sentido de considerar improcedente el planteamiento de la cuestión. El demandante en la instancia se manifestó a favor de la misma.</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Auto de 26 de febrero de 2015, la Sección Primera de la Sala lo Contencioso-Administrativo del Tribunal Superior de Justicia de Galicia acordó plantear la presente cuestión de inconstitucionalidad en los siguientes términos:</w:t>
      </w:r>
    </w:p>
    <w:p w:rsidR="00A90898" w:rsidRDefault="00A90898" w:rsidP="00A90898">
      <w:pPr>
        <w:pStyle w:val="TextoNormal"/>
      </w:pPr>
    </w:p>
    <w:p w:rsidR="00A90898" w:rsidRDefault="00A90898" w:rsidP="00A90898">
      <w:pPr>
        <w:pStyle w:val="TextoNormal"/>
      </w:pPr>
      <w:r>
        <w:t>a) Tras exponer los antecedentes del caso y resumir las alegaciones de las partes en el trámite de audiencia, afirma genéricamente el cumplimiento de los requisitos para el planteamiento de la cuestión y reproduce el precepto cuestionado.</w:t>
      </w:r>
    </w:p>
    <w:p w:rsidR="00A90898" w:rsidRDefault="00A90898" w:rsidP="00A90898">
      <w:pPr>
        <w:pStyle w:val="TextoNormal"/>
      </w:pPr>
    </w:p>
    <w:p w:rsidR="00A90898" w:rsidRDefault="00A90898" w:rsidP="00A90898">
      <w:pPr>
        <w:pStyle w:val="TextoNormal"/>
      </w:pPr>
      <w:r>
        <w:t xml:space="preserve">b) Como primera causa de posible inconstitucionalidad de la disposición final segunda de la Ley gallega 15/2010, se refiere a una inconstitucionalidad indirecta o mediata que resultaría de la infracción por dicha Ley del art. 43.1 de la Ley 30/1992, de 26 de noviembre, de régimen jurídico de las Administraciones públicas y del procedimiento administrativo común (LPC) que solo admite excepciones a la regla general del silencio positivo en procedimientos iniciados a solicitud de los interesados, si se establecen por Ley y por razones imperiosas de interés general. El art. 43.1 LPC, en la redacción dada al mismo por la Ley 25/2009, de 22 de diciembre, de modificación de diversas leyes para su adaptación a la Ley sobre libre acceso a las actividades de servicios y su ejercicio (Ley 25/2009), a juicio de la Sala proponente, es norma básica de procedimiento administrativo común dictada por el </w:t>
      </w:r>
      <w:r>
        <w:lastRenderedPageBreak/>
        <w:t xml:space="preserve">Estado al amparo de su competencia exclusiva </w:t>
      </w:r>
      <w:r w:rsidRPr="00A90898">
        <w:rPr>
          <w:i/>
        </w:rPr>
        <w:t>ex</w:t>
      </w:r>
      <w:r>
        <w:t xml:space="preserve"> art. 149.1.18 CE de manera que forma parte de dicha normativa básica tanto la exigencia de Ley para exceptuar el silencio positivo como la necesidad de que la Ley explicite las razones imperiosas de interés general. El carácter básico del art. 43.1 LPC se ve avalado por el art. 40.2 de la Ley 2/2011, de 4 de marzo, de economía sostenible, que ordena a las Comunidades Autónomas evaluar en el plazo de un año las razones imperiosas de interés general que justifiquen el mantenimiento del silencio negativo en los procedimientos regulados por normas anteriores a la Ley de régimen jurídico de las Administraciones públicas y del procedimiento administrativo común tras la Ley 25/2009.</w:t>
      </w:r>
    </w:p>
    <w:p w:rsidR="00A90898" w:rsidRDefault="00A90898" w:rsidP="00A90898">
      <w:pPr>
        <w:pStyle w:val="TextoNormal"/>
      </w:pPr>
    </w:p>
    <w:p w:rsidR="00A90898" w:rsidRDefault="00A90898" w:rsidP="00A90898">
      <w:pPr>
        <w:pStyle w:val="TextoNormal"/>
      </w:pPr>
      <w:r>
        <w:t>Se cumplen los dos requisitos de la inconstitucionalidad mediata exigidos, por ejemplo en la STC 166/2014, pues la Ley autonómica infringe una norma estatal dictada legítimamente al amparo de un título competencial del Estado (art. 149.1.18 CE) y la contradicción entre ambas normas es efectiva e insalvable. La Ley autonómica 15/2010 no justifica las razones imperiosas de interés general, pues las consideraciones de su exposición de motivos no sirven a tal efecto dado su carácter genérico. No es “imperioso” implantar el silencio negativo cuando caben otras respuestas menos gravosas como fijar un plazo mayor de resolución, mejorar los tiempos de respuesta o señalar una cuantía mínima para aplicar dicho silencio negativo. No existe tampoco “interés general” en este caso, si se tiene en cuenta el concepto que del mismo recoge la Ley 17/2009, de 23 de noviembre, sobre el libre acceso a las actividades de servicios y su ejercicio. Además, no puede calificarse de “interés general” un silencio negativo referido a un “interés particular”, singularizado del SERGAS y declarado en un ámbito que no es competencia exclusiva de la Xunta de Galicia, pues el régimen del personal estatutario de los servicios de salud es homogéneo y se regula por el Estado en su Estatuto, aprobado por Ley 55/2003, de 16 de diciembre. Finalmente, no puede una Comunidad Autónoma considerar de “interés general” las razones vinculadas a materia presupuestaria o de contención del gasto público, como parece hacer la exposición de motivos de la Ley 15/2010, pues este interés solo puede apreciarlo el Estado según el art. 135 CE invocado en la disposición final primera de la Ley Orgánica 2/2012, de 27 de abril, de estabilidad presupuestaria y sostenibilidad financiera.</w:t>
      </w:r>
    </w:p>
    <w:p w:rsidR="00A90898" w:rsidRDefault="00A90898" w:rsidP="00A90898">
      <w:pPr>
        <w:pStyle w:val="TextoNormal"/>
      </w:pPr>
    </w:p>
    <w:p w:rsidR="00A90898" w:rsidRDefault="00A90898" w:rsidP="00A90898">
      <w:pPr>
        <w:pStyle w:val="TextoNormal"/>
      </w:pPr>
      <w:r>
        <w:t>c) El Auto afirma también la invasión por la disposición cuestionada del art. 149.1.1 CE en cuanto conlleva la asunción de competencias sobre la regulación de las condiciones básicas que garanticen la igualdad de todos los españoles en el ejercicio de sus derechos puesto que, la exposición de motivos de la Ley de régimen jurídico de las Administraciones públicas y del procedimiento administrativo común, configura el silencio como una garantía que impide que los derechos de los particulares se vacíen de contenido cuando la Administración no responde.</w:t>
      </w:r>
    </w:p>
    <w:p w:rsidR="00A90898" w:rsidRDefault="00A90898" w:rsidP="00A90898">
      <w:pPr>
        <w:pStyle w:val="TextoNormal"/>
      </w:pPr>
    </w:p>
    <w:p w:rsidR="00A90898" w:rsidRDefault="00A90898" w:rsidP="00A90898">
      <w:pPr>
        <w:pStyle w:val="TextoNormal"/>
      </w:pPr>
      <w:r>
        <w:t>d) La Sala proponente añade que la disposición final segunda de la Ley gallega 15/2010 vulnera el art. 9.3 en relación con el art. 14 CE ya que el silencio negativo afecta solo a las reclamaciones de los profesionales del SERGAS y no a las del resto de empleados de la Comunidad Autónoma sin que medie una justificación objetiva y razonable de dicha diferencia. Así, tras la entrada en vigor de la Ley 7/2007, de 12 de abril, del estatuto básico del empleado público, las menciones al personal funcionario de carrera incluyen al personal estatutario de los servicios de salud (art. 2.4 de la Ley del estatuto básico del empleado público que tiene carácter básico) y sin que la Ley 55/2003, del estatuto marco de este personal, contenga especificidad sobre el particular.</w:t>
      </w:r>
    </w:p>
    <w:p w:rsidR="00A90898" w:rsidRDefault="00A90898" w:rsidP="00A90898">
      <w:pPr>
        <w:pStyle w:val="TextoNormal"/>
      </w:pPr>
    </w:p>
    <w:p w:rsidR="00A90898" w:rsidRDefault="00A90898" w:rsidP="00A90898">
      <w:pPr>
        <w:pStyle w:val="TextoNormal"/>
      </w:pPr>
      <w:r>
        <w:t>e) Por último, el Auto se refiere al juicio de relevancia, afirmando la Sala que si la Ley autonómica se considera constitucional habría que desestimar la demanda que se basa en la inexistencia de silencio negativo y si se considera inconstitucional procedería su estimación.</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28 de abril de 2015, el Pleno, a propuesta de la Sección Segunda, acordó admitir a trámite la presente cuestión de inconstitucionalidad y, de conformidad con lo dispuesto en el art. 10.1 c) de la Ley Orgánica del Tribunal Constitucional (LOTC), reservar para sí el conocimiento de la cuestión. Asimismo acordó dar traslado de las actuaciones recibidas, conforme establece el art. 37.3 LOTC, al Congreso de los Diputados y al Senado, por conducto de sus Presidentes, al Gobierno, a través del Ministro de Justicia, y al Fiscal General del Estado, así como a la Xunta de Galicia y al Parlamento de Galicia por conducto de sus Presidentes al objeto de que, en el plazo de 15 días, pudieran personarse en el proceso y formular alegaciones. Se acordó igualmente comunicar la providencia a la Sección Primera de la Sala de lo Contencioso-Administrativo del Tribunal Superior de Justicia de Galicia a los efectos previstos en el art. 35.3 LOTC y publicar la incoación del procedimiento en el “Boletín Oficial del Estado”, lo que tuvo lugar el 30 de abril de 2015 y en el “Diario Oficial de Galicia”.</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escritos registrados el 6 y 8 de mayo de 2015 respectivamente, los Presidentes del Senado y del Congreso de los Diputados comunicaron sendos acuerdos adoptados por las mesas de ambas Cámaras, de personarse en el proceso, ofreciendo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El Abogado del Estado presentó, el 22 de mayo de 2015, escrito personándose en el procedimiento a los solos efectos de ser notificado de las resoluciones que en él se dicten.</w:t>
      </w:r>
    </w:p>
    <w:p w:rsidR="00A90898" w:rsidRDefault="00A90898" w:rsidP="00A90898">
      <w:pPr>
        <w:pStyle w:val="TextoNormal"/>
      </w:pPr>
    </w:p>
    <w:p w:rsidR="00A90898" w:rsidRDefault="00A90898" w:rsidP="00A90898">
      <w:pPr>
        <w:pStyle w:val="TextoNormal"/>
      </w:pPr>
      <w:r w:rsidRPr="00A90898">
        <w:rPr>
          <w:rStyle w:val="NumeroAFNegritaCaracter"/>
        </w:rPr>
        <w:t>7</w:t>
      </w:r>
      <w:r>
        <w:t>. La Presidenta del Parlamento de Galicia, mediante escrito registrado el 26 de mayo de 2015, comunicó acuerdo de personación del citado Parlamento en el presente procedimiento adjuntando el mismo y las alegaciones formuladas por su Letrado, solicitando la desestimación de la cuestión de inconstitucionalidad por las razones que a continuación se resumen:</w:t>
      </w:r>
    </w:p>
    <w:p w:rsidR="00A90898" w:rsidRDefault="00A90898" w:rsidP="00A90898">
      <w:pPr>
        <w:pStyle w:val="TextoNormal"/>
      </w:pPr>
    </w:p>
    <w:p w:rsidR="00A90898" w:rsidRDefault="00A90898" w:rsidP="00A90898">
      <w:pPr>
        <w:pStyle w:val="TextoNormal"/>
      </w:pPr>
      <w:r>
        <w:t>a) Tras exponer los argumentos del Auto que plantea la cuestión y reproducir la disposición final segunda de la Ley gallega 15/2010, manifiesta el Letrado parlamentario que ésta entró en vigor el 1 de enero de 2011 y no fue objeto de ningún recurso de inconstitucionalidad por lo que debe presumirse su constitucionalidad.</w:t>
      </w:r>
    </w:p>
    <w:p w:rsidR="00A90898" w:rsidRDefault="00A90898" w:rsidP="00A90898">
      <w:pPr>
        <w:pStyle w:val="TextoNormal"/>
      </w:pPr>
    </w:p>
    <w:p w:rsidR="00A90898" w:rsidRDefault="00A90898" w:rsidP="00A90898">
      <w:pPr>
        <w:pStyle w:val="TextoNormal"/>
      </w:pPr>
      <w:r>
        <w:t>b) Sobre la supuesta infracción del art. 9.3 CE, señala que la Sala proponente no cita qué principios, de los enumerados en este precepto, entiende vulnerados con lo que incumple el presupuesto procesal que exige exponer las razones en que se funda la cuestión. Añade que el Ministerio Fiscal y el Letrado del SERGAS rechazaron ante la Sala esta vulneración.</w:t>
      </w:r>
    </w:p>
    <w:p w:rsidR="00A90898" w:rsidRDefault="00A90898" w:rsidP="00A90898">
      <w:pPr>
        <w:pStyle w:val="TextoNormal"/>
      </w:pPr>
    </w:p>
    <w:p w:rsidR="00A90898" w:rsidRDefault="00A90898" w:rsidP="00A90898">
      <w:pPr>
        <w:pStyle w:val="TextoNormal"/>
      </w:pPr>
      <w:r>
        <w:t xml:space="preserve">c) Rechaza también el representante del Parlamento de Galicia la vulneración del art. 14 CE. Manifestando, que como defendió el Letrado del SERGAS al oponerse al planteamiento de la cuestión, el personal estatutario y el funcionario no están sujetos al mismo régimen, siendo así que el art. 2.3 de la Ley del estatuto básico del empleado público dispone que el </w:t>
      </w:r>
      <w:r>
        <w:lastRenderedPageBreak/>
        <w:t>personal estatutario de los servicios de salud se regirá por su legislación específica y lo previsto en la Ley del estatuto básico del empleado público, salvo los preceptos que menciona. Se remite a lo alegado por el Ministerio Fiscal al oponerse a la cuestión en contra de la vulneración de este artículo. Añade que se regulan de manera distinta casos diferentes, indicando la Ley los motivos que fundamentan este régimen particular y, si no pudiera establecerse un régimen diferente para el personal estatutario, carecería de sentido su misma existencia.</w:t>
      </w:r>
    </w:p>
    <w:p w:rsidR="00A90898" w:rsidRDefault="00A90898" w:rsidP="00A90898">
      <w:pPr>
        <w:pStyle w:val="TextoNormal"/>
      </w:pPr>
    </w:p>
    <w:p w:rsidR="00A90898" w:rsidRDefault="00A90898" w:rsidP="00A90898">
      <w:pPr>
        <w:pStyle w:val="TextoNormal"/>
      </w:pPr>
      <w:r>
        <w:t>d) La disposición final segunda de la Ley 15/2010 no vulnera, a juicio del Letrado parlamentario, el art. 149.1.1CE, pues el mismo garantiza una igualdad básica o mínima en las posiciones jurídicas fundamentales pero no una rigurosa uniformidad del ordenamiento, lo que ilustra con cita de varias sentencias. Afirma que la igualdad básica no se ve alterada por la disposición cuestionada.</w:t>
      </w:r>
    </w:p>
    <w:p w:rsidR="00A90898" w:rsidRDefault="00A90898" w:rsidP="00A90898">
      <w:pPr>
        <w:pStyle w:val="TextoNormal"/>
      </w:pPr>
    </w:p>
    <w:p w:rsidR="00A90898" w:rsidRDefault="00A90898" w:rsidP="00A90898">
      <w:pPr>
        <w:pStyle w:val="TextoNormal"/>
      </w:pPr>
      <w:r>
        <w:t>e) La disposición objeto del presente proceso tampoco infringe el art. 149.1.18 CE. Tras recordar la doctrina constitucional relativa a este título competencial, el escrito del Parlamento gallego explica que el art. 43.1 LPC fue modificado por la Ley 25/2009. Por ello, como ya dijo el Juzgado de lo Contencioso-Administrativo en la Sentencia luego apelada que dio lugar al planteamiento de la cuestión y como también señalan el Fiscal y el Letrado del SERGAS, las “razones imperiosas de interés general”, a que se refiere el artículo, deben entenderse como procedimientos en que sean interesados empresarios y profesionales en el ejercicio de su actividad de servicios pero no a empleados públicos. En todo caso, el silencio negativo establecido en la Ley tendría base en razones imperiosas de interés general dados los miles de reclamaciones presentadas por el personal afectado que, de haberse estimado, habrían supuesto grave quebranto para las arcas públicas. Además, la exposición de motivos de la Ley 15/2010, aunque sucintamente, explica las razones de interés general que justifican el silencio negativo. El art. 149.1.18 CE solo se vulneraría si la Comunidad Autónoma hubiera excedido sus competencias, lo que en este caso no ocurre, aunque se pueda considerar insuficiente la justificación ofrecida por la Ley gallega sobre el silencio.</w:t>
      </w:r>
    </w:p>
    <w:p w:rsidR="00A90898" w:rsidRDefault="00A90898" w:rsidP="00A90898">
      <w:pPr>
        <w:pStyle w:val="TextoNormal"/>
      </w:pPr>
    </w:p>
    <w:p w:rsidR="00A90898" w:rsidRDefault="00A90898" w:rsidP="00A90898">
      <w:pPr>
        <w:pStyle w:val="TextoNormal"/>
      </w:pPr>
      <w:r w:rsidRPr="00A90898">
        <w:rPr>
          <w:rStyle w:val="NumeroAFNegritaCaracter"/>
        </w:rPr>
        <w:t>8</w:t>
      </w:r>
      <w:r>
        <w:t>. El Letrado de la Xunta de Galicia formuló alegaciones por escrito registrado el 28 de mayo de 2015, interesando la desestimación de la cuestión por las siguientes razones:</w:t>
      </w:r>
    </w:p>
    <w:p w:rsidR="00A90898" w:rsidRDefault="00A90898" w:rsidP="00A90898">
      <w:pPr>
        <w:pStyle w:val="TextoNormal"/>
      </w:pPr>
    </w:p>
    <w:p w:rsidR="00A90898" w:rsidRDefault="00A90898" w:rsidP="00A90898">
      <w:pPr>
        <w:pStyle w:val="TextoNormal"/>
      </w:pPr>
      <w:r>
        <w:t>a) Tras puntualizar que la disposición final segunda de la Ley 15/2010 modificó la Ley 6/2001, de 29 de junio, de adecuación de la normativa de la Comunidad Autónoma de Galicia a la Ley 4/1999, de 13 de enero, de modificación de la Ley de régimen jurídico de las Administraciones públicas y del procedimiento administrativo común que, en su anexo II, enumeraba los procedimientos que deberían entenderse resueltos por silencio negativo, entiende que, en su opinión, el debate constitucional en este caso solo puede referirse al art. 149.1.18 CE.</w:t>
      </w:r>
    </w:p>
    <w:p w:rsidR="00A90898" w:rsidRDefault="00A90898" w:rsidP="00A90898">
      <w:pPr>
        <w:pStyle w:val="TextoNormal"/>
      </w:pPr>
    </w:p>
    <w:p w:rsidR="00A90898" w:rsidRDefault="00A90898" w:rsidP="00A90898">
      <w:pPr>
        <w:pStyle w:val="TextoNormal"/>
      </w:pPr>
      <w:r>
        <w:t xml:space="preserve">b) El Tribunal Superior de Justicia de Galicia no menciona siquiera qué principio de los recogidos en el art. 9.3 CE sería el vulnerado y, puesto que se cita en relación con el art. 14 CE, procede centrarse en éste último cuya infracción se rechaza por ser distintos los casos del personal estatutario y el funcionario. El Auto de elevación de la cuestión de inconstitucionalidad cita el art. 2.4 de la Ley del estatuto básico del empleado público pero olvida, según el Letrado autonómico, el art. 2.3 que reconoce las diferencias entre ambos grupos. Razona que, si cualquier diferencia de trato entre personal estatutario y funcionario fuera </w:t>
      </w:r>
      <w:r>
        <w:lastRenderedPageBreak/>
        <w:t>contraria al art. 14 CE, habría que eliminar uno de ellos, lo que no se compadece con la legislación básica. El art. 149.1.1 CE, a juicio del Letrado de la Junta, no impide que cada Comunidad Autónoma establezca, dentro de los parámetros de la legislación básica, sus propios procedimientos con silencio negativo; y prueba de que su invocación es improcedente es el hecho de que no se cite en la disposición final primera de la Ley 25/2009, que dio redacción al art. 43.1 LPC al identificar los títulos competenciales en que se basa.</w:t>
      </w:r>
    </w:p>
    <w:p w:rsidR="00A90898" w:rsidRDefault="00A90898" w:rsidP="00A90898">
      <w:pPr>
        <w:pStyle w:val="TextoNormal"/>
      </w:pPr>
    </w:p>
    <w:p w:rsidR="00A90898" w:rsidRDefault="00A90898" w:rsidP="00A90898">
      <w:pPr>
        <w:pStyle w:val="TextoNormal"/>
      </w:pPr>
      <w:r>
        <w:t>c) La Ley autonómica no vulnera el art. 149.1.18 CE, que solo legitima al Estado para establecer las bases del procedimiento administrativo común, contenidas en la Ley de régimen jurídico de las Administraciones públicas y del procedimiento administrativo común, aunque el Tribunal podría examinar primero si el art. 43.1 es constitucionalmente básico. Es claro que cada Comunidad Autónoma puede establecer, en sus procedimientos, cuales se entenderán resueltos por silencio negativo respetando los parámetros de la legislación básica. La disposición final primera de la Ley 25/2009 deja a salvo las especialidades derivadas de la organización propia de las Comunidades Autónomas, máxime en el ámbito de sus empleados públicos. Tanto la Ley del estatuto básico del empleado público como el estatuto marco del personal estatutario de los servicios de salud son conscientes, desde su propio título, de que dictan normas básicas sin perjuicio de las políticas propias de cada Comunidad Autónoma (art. 3 del estatuto marco). El Auto que plantea la cuestión omite que el legislador estatal, en la disposición adicional cuarta de la Ley 25/2009, estableció reglas generales de silencios negativos sin explicitar razones imperiosas de interés general y, al referirse al art. 40.2 de la Ley 2/2011, ignora que solo recomienda a las Comunidades Autónomas una evaluación y, si no hubo modificación ulterior, hay que interpretar que se ratificó la concurrencia de las razones de interés general para continuar el silencio negativo.</w:t>
      </w:r>
    </w:p>
    <w:p w:rsidR="00A90898" w:rsidRDefault="00A90898" w:rsidP="00A90898">
      <w:pPr>
        <w:pStyle w:val="TextoNormal"/>
      </w:pPr>
    </w:p>
    <w:p w:rsidR="00A90898" w:rsidRDefault="00A90898" w:rsidP="00A90898">
      <w:pPr>
        <w:pStyle w:val="TextoNormal"/>
      </w:pPr>
      <w:r>
        <w:t>Considera que el art. 43.1 LPC debe interpretarse en el sentido de exigir razones imperiosas de interés general solo en los procedimientos sobre prestación o prestadores de servicios puesto que la expresión tiene origen en la Directiva de servicios y, dentro del derecho interno, en la Ley 17/2009 que, en su preámbulo, dice ya que no afecta a las disposiciones legales sobre empleo y condiciones de trabajo. El mismo título y la exposición de motivos de la Ley 25/2009 así lo confirman. Por tanto, no se acepta el planteamiento de la Sala proponente según el cual, de no existir las razones imperiosas de interés general que cita el art. 3.11 de la Ley 17/2009, no cabe establecer el silencio negativo.</w:t>
      </w:r>
    </w:p>
    <w:p w:rsidR="00A90898" w:rsidRDefault="00A90898" w:rsidP="00A90898">
      <w:pPr>
        <w:pStyle w:val="TextoNormal"/>
      </w:pPr>
    </w:p>
    <w:p w:rsidR="00A90898" w:rsidRDefault="00A90898" w:rsidP="00A90898">
      <w:pPr>
        <w:pStyle w:val="TextoNormal"/>
      </w:pPr>
      <w:r>
        <w:t>El silencio positivo es un mecanismo de protección de los ciudadanos; pero no de los empleados públicos incorporados a una relación de sujeción especial. Así lo dice la Ley de régimen jurídico de las Administraciones públicas y del procedimiento administrativo común en su exposición de motivos. Los empleados del SERGA, en cuanto tales, no necesitan la protección del silencio positivo, máxime en caso de reclamaciones retributivas. La propia Ley de régimen jurídico de las Administraciones públicas y del procedimiento administrativo común exceptúa del silencio positivo los procedimientos de impugnación de actos o disposiciones (art. 43.2).</w:t>
      </w:r>
    </w:p>
    <w:p w:rsidR="00A90898" w:rsidRDefault="00A90898" w:rsidP="00A90898">
      <w:pPr>
        <w:pStyle w:val="TextoNormal"/>
      </w:pPr>
    </w:p>
    <w:p w:rsidR="00A90898" w:rsidRDefault="00A90898" w:rsidP="00A90898">
      <w:pPr>
        <w:pStyle w:val="TextoNormal"/>
      </w:pPr>
      <w:r>
        <w:t xml:space="preserve">No es inconstitucional considerar razón imperiosa de interés general evitar el libramiento de fondos públicos a los sujetos a una relación de sujeción especial sin derecho a ello. Así, al aprobarse la Ley gallega, había más de 40.000 empleados cuyas reclamaciones podían verse afectadas. Alude a la complejidad y fragmentación del sistema retributivo del sector </w:t>
      </w:r>
      <w:r>
        <w:lastRenderedPageBreak/>
        <w:t>sanitario y señala que la mayor o menor fortuna de la Ley al explicar las razones del silencio negativo no es causa de inconstitucionalidad, al ser ajena a ésta la técnica normativa.</w:t>
      </w:r>
    </w:p>
    <w:p w:rsidR="00A90898" w:rsidRDefault="00A90898" w:rsidP="00A90898">
      <w:pPr>
        <w:pStyle w:val="TextoNormal"/>
      </w:pPr>
    </w:p>
    <w:p w:rsidR="00A90898" w:rsidRDefault="00A90898" w:rsidP="00A90898">
      <w:pPr>
        <w:pStyle w:val="TextoNormal"/>
      </w:pPr>
      <w:r>
        <w:t>El Letrado de la Junta añade que el art. 43.1 LPC no exige que la Ley explicite las razones de interés general sino solo que existan y, de todas formas, la Ley explica dichas razones en su exposición de motivos.</w:t>
      </w:r>
    </w:p>
    <w:p w:rsidR="00A90898" w:rsidRDefault="00A90898" w:rsidP="00A90898">
      <w:pPr>
        <w:pStyle w:val="TextoNormal"/>
      </w:pPr>
    </w:p>
    <w:p w:rsidR="00A90898" w:rsidRDefault="00A90898" w:rsidP="00A90898">
      <w:pPr>
        <w:pStyle w:val="TextoNormal"/>
      </w:pPr>
      <w:r>
        <w:t>Por último, sostiene que la propia Ley de régimen jurídico de las Administraciones públicas y del procedimiento administrativo común establece el silencio negativo en casos de transferencia de facultades sobre el servicio o dominio público, lo que es extensible a los fondos públicos y que la Ley 17/2009 menciona casos de preservación del equilibrio financiero como razón imperiosa de interés general. También alega que existen silencios negativos similares en el ordenamiento y que la jurisprudencia los ha avalado.</w:t>
      </w:r>
    </w:p>
    <w:p w:rsidR="00A90898" w:rsidRDefault="00A90898" w:rsidP="00A90898">
      <w:pPr>
        <w:pStyle w:val="TextoNormal"/>
      </w:pPr>
    </w:p>
    <w:p w:rsidR="00A90898" w:rsidRDefault="00A90898" w:rsidP="00A90898">
      <w:pPr>
        <w:pStyle w:val="TextoNormal"/>
      </w:pPr>
      <w:r w:rsidRPr="00A90898">
        <w:rPr>
          <w:rStyle w:val="NumeroAFNegritaCaracter"/>
        </w:rPr>
        <w:t>9</w:t>
      </w:r>
      <w:r>
        <w:t>. La Fiscal General del Estado, mediante escrito presentado el 19 de junio de 2015, solicitó la traducción al castellano de todos los documentos del proceso subyacente y alegaciones formuladas por las partes, lo que fue acordado por providencia de 23 de junio de 2015, siendo remitidas dichas traducciones que quedaron unidas a las actuaciones por providencia de 16 de septiembre de 2015 que dio a la Fiscalía nuevo trámite de alegaciones.</w:t>
      </w:r>
    </w:p>
    <w:p w:rsidR="00A90898" w:rsidRDefault="00A90898" w:rsidP="00A90898">
      <w:pPr>
        <w:pStyle w:val="TextoNormal"/>
      </w:pPr>
    </w:p>
    <w:p w:rsidR="00A90898" w:rsidRDefault="00A90898" w:rsidP="00A90898">
      <w:pPr>
        <w:pStyle w:val="TextoNormal"/>
      </w:pPr>
      <w:r w:rsidRPr="00A90898">
        <w:rPr>
          <w:rStyle w:val="NumeroAFNegritaCaracter"/>
        </w:rPr>
        <w:t>10</w:t>
      </w:r>
      <w:r>
        <w:t>. La Fiscal General del Estado presentó alegaciones el 30 de octubre de 2015, en las que solicitó la estimación de la cuestión de inconstitucionalidad por los motivos siguientes:</w:t>
      </w:r>
    </w:p>
    <w:p w:rsidR="00A90898" w:rsidRDefault="00A90898" w:rsidP="00A90898">
      <w:pPr>
        <w:pStyle w:val="TextoNormal"/>
      </w:pPr>
    </w:p>
    <w:p w:rsidR="00A90898" w:rsidRDefault="00A90898" w:rsidP="00A90898">
      <w:pPr>
        <w:pStyle w:val="TextoNormal"/>
      </w:pPr>
      <w:r>
        <w:t>a) Expone, en primer lugar, los antecedentes de la cuestión, los términos de la disposición legal cuestionada, las dudas de constitucionalidad del órgano proponente y la, a su juicio, correcta cumplimentación del trámite de audiencia y formulación de los juicios de aplicabilidad y relevancia. En cuanto al fondo, considera que la cuestión se centra principalmente en analizar si, como entiende el Tribunal Superior de Galicia, la disposición final segunda de la Ley de Galicia 15/2010 incurre en inconstitucionalidad mediata por vulnerar el art. 43.1 LPC, lo que exige examinar, a partir de la doctrina constitucional recogida en las SSTC 39/2014, 94/2014 y 166/2014, si este precepto se ha dictado válidamente al amparo del art. 149.1.18 CE y si existe una incompatibilidad real e insuperable por vía interpretativa entre ambas normas, la estatal y la autonómica.</w:t>
      </w:r>
    </w:p>
    <w:p w:rsidR="00A90898" w:rsidRDefault="00A90898" w:rsidP="00A90898">
      <w:pPr>
        <w:pStyle w:val="TextoNormal"/>
      </w:pPr>
    </w:p>
    <w:p w:rsidR="00A90898" w:rsidRDefault="00A90898" w:rsidP="00A90898">
      <w:pPr>
        <w:pStyle w:val="TextoNormal"/>
      </w:pPr>
      <w:r>
        <w:t>b) Examinado en primer lugar si el art. 43.1 LPC pertenece o no, formal y materialmente, al “procedimiento administrativo común” que el art. 149.1.18 CE reserva al Estado, señala la Fiscalía que, desde el punto de vista formal, no existe duda alguna, ya que el precepto se incluye, desde la reforma operada por la Ley 25/2009, en la Ley de régimen jurídico de las Administraciones públicas y del procedimiento administrativo común. Desde el punto de vista material, llega a la misma conclusión ya que, de las SSTC 166/2014 y 191/2012, resulta que la regulación de los efectos del silencio administrativo forma parte del modelo general de procedimiento administrativo que el Estado puede imponer en ejercicio de su competencia.</w:t>
      </w:r>
    </w:p>
    <w:p w:rsidR="00A90898" w:rsidRDefault="00A90898" w:rsidP="00A90898">
      <w:pPr>
        <w:pStyle w:val="TextoNormal"/>
      </w:pPr>
    </w:p>
    <w:p w:rsidR="00A90898" w:rsidRDefault="00A90898" w:rsidP="00A90898">
      <w:pPr>
        <w:pStyle w:val="TextoNormal"/>
      </w:pPr>
      <w:r>
        <w:t xml:space="preserve">Asimismo, considera que existe una contradicción insalvable entre el art. 43.1 LPC y la disposición autonómica cuestionada, pues ésta establece que el silencio será negativo en caso de solicitudes retributivas de profesionales del SERGAS cuando el primero dispone que la regla general será el silencio positivo y sin que el supuesto encaje en ninguna de las </w:t>
      </w:r>
      <w:r>
        <w:lastRenderedPageBreak/>
        <w:t>excepciones que la Ley estatal enumera. En concreto, no concurre la excepción consistente en el establecimiento en norma legal por razones de imperiosa necesidad que el art. 43.1 LPC recoge. A juicio de la Fiscal General del Estado, este pasaje legal no solo se refiere, como dice la Comunidad Autónoma, al ámbito estricto de las actividades de servicios, pues ya el preámbulo de la Ley 25/2009 dice que pretende extender los principios de buena regulación a sectores no afectados por la Directiva de servicios. Asimismo, la disposición adicional cuarta de la Ley 25/2009, con carácter general, establece que, a efectos del art. 43.1 LPC, se entenderá que concurren razones imperiosas de interés general en los procedimientos con silencio negativo regulados antes de su entrada en vigor. Por otro lado, puesto que la Ley 25/2009 pretende generalizar elementos aprovechables del sector servicios a otros sectores, con referencia a la Ley 17/2009, establece una conexión entre ambas leyes que supone que deba tenerse en cuenta la definición del art. 3.11 de esta última para evaluar la concurrencia de razones imperiosas de interés general.</w:t>
      </w:r>
    </w:p>
    <w:p w:rsidR="00A90898" w:rsidRDefault="00A90898" w:rsidP="00A90898">
      <w:pPr>
        <w:pStyle w:val="TextoNormal"/>
      </w:pPr>
    </w:p>
    <w:p w:rsidR="00A90898" w:rsidRDefault="00A90898" w:rsidP="00A90898">
      <w:pPr>
        <w:pStyle w:val="TextoNormal"/>
      </w:pPr>
      <w:r>
        <w:t>Rechaza el escrito de la Fiscalía que la regla general de silencio positivo no se aplique a las relaciones de sujeción especial, pues ello no resulta de la Ley 25/2009, considerando que la verdadera razón de la disposición cuestionada es la confesada complejidad y el número de reclamaciones retributivas del personal afectado, circunstancia ésta que no justifica, a su juicio, la inversión de la regla. Comparte también el Ministerio público la apreciación del Tribunal Superior de Justicia según la cual la justificación que ofrece la exposición de motivos de la Ley gallega es genérica y entiende que no tiene cabida en ninguno de los casos del art. 3.11 de la Ley 17/2009 precitado. Por tanto, concluye en que el precepto cuestionado contradice de forma insalvable el art. 43.1 LPC, por lo que incurre en inconstitucionalidad mediata o indirecta.</w:t>
      </w:r>
    </w:p>
    <w:p w:rsidR="00A90898" w:rsidRDefault="00A90898" w:rsidP="00A90898">
      <w:pPr>
        <w:pStyle w:val="TextoNormal"/>
      </w:pPr>
    </w:p>
    <w:p w:rsidR="00A90898" w:rsidRDefault="00A90898" w:rsidP="00A90898">
      <w:pPr>
        <w:pStyle w:val="TextoNormal"/>
      </w:pPr>
      <w:r>
        <w:t>c) También considera que la disposición cuestionada vulnera el art. 14 CE al contemplar el silencio negativo solo para las reclamaciones de profesionales del SERGAS sin que se aprecie una justificación objetiva y razonable para ello. Tras recordar la doctrina constitucional sobre el principio de igualdad, afirma que, aunque corresponda a la Comunidad Autónoma valorar la capacidad de su organización administrativa para asumir un trabajo, ello no le permite implementar el silencio negativo para eximirse de la obligación de resolver aunque haya una razón de ahorro en el trasfondo de la decisión. Tampoco las consecuencias para los afectados son proporcionadas especialmente teniendo en cuenta que, según el art. 2.4 de la Ley del estatuto básico del empleado público, que tiene carácter básico, las menciones al personal funcionario incluyen al personal estatutario de los servicios de salud sin que el estatuto marco de éste contenga especificidad al respecto.</w:t>
      </w:r>
    </w:p>
    <w:p w:rsidR="00A90898" w:rsidRDefault="00A90898" w:rsidP="00A90898">
      <w:pPr>
        <w:pStyle w:val="TextoNormal"/>
      </w:pPr>
    </w:p>
    <w:p w:rsidR="00A90898" w:rsidRDefault="00A90898" w:rsidP="00A90898">
      <w:pPr>
        <w:pStyle w:val="TextoNormal"/>
      </w:pPr>
      <w:r>
        <w:t>Por todo lo expuesto, la Fiscal General del Estado solicita que se estime la presente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11</w:t>
      </w:r>
      <w:r>
        <w:t>. Mediante providencia de 20 de septiembre de 2016 se señaló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La Sala de lo Contencioso-Administrativo del Tribunal Superior de Justicia de Galicia plantea cuestión de inconstitucionalidad sobre la disposición final segunda de la Ley </w:t>
      </w:r>
      <w:r>
        <w:lastRenderedPageBreak/>
        <w:t>15/2010, de 28 de diciembre, de medidas fiscales y administrativas de la Comunidad Autónoma de Galicia, por posible infracción de los arts. 9.3, 14 y 149.1.1 y 18, todos ellos de la Constitución.</w:t>
      </w:r>
    </w:p>
    <w:p w:rsidR="00A90898" w:rsidRDefault="00A90898" w:rsidP="00A90898">
      <w:pPr>
        <w:pStyle w:val="TextoNormal"/>
      </w:pPr>
    </w:p>
    <w:p w:rsidR="00A90898" w:rsidRDefault="00A90898" w:rsidP="00A90898">
      <w:pPr>
        <w:pStyle w:val="TextoNormal"/>
      </w:pPr>
      <w:r>
        <w:t>El órgano judicial entiende principalmente, según hemos expuesto, que la disposición cuestionada incurre en inconstitucionalidad mediata al vulnerar la regla general de silencio positivo establecida en el art. 43.1 de la Ley 30/1992, de 26 de noviembre, de régimen jurídico de las Administraciones públicas y del procedimiento administrativo común (LPC), dictado por el Estado al amparo del art. 149.1.18 CE. Además, considera que dicha previsión invade la competencia estatal del art. 149.1.1 CE y es contraria al principio de igualdad del art. 14 CE, en relación con el art. 9.3 CE, al referirse solo a las reclamaciones de los profesionales del Servicio Gallego de Salud de la Xunta de Galicia (SERGAS) y no a las del conjunto de empleados de la Comunidad Autónoma.</w:t>
      </w:r>
    </w:p>
    <w:p w:rsidR="00A90898" w:rsidRDefault="00A90898" w:rsidP="00A90898">
      <w:pPr>
        <w:pStyle w:val="TextoNormal"/>
      </w:pPr>
    </w:p>
    <w:p w:rsidR="00A90898" w:rsidRDefault="00A90898" w:rsidP="00A90898">
      <w:pPr>
        <w:pStyle w:val="TextoNormal"/>
      </w:pPr>
      <w:r>
        <w:t xml:space="preserve">En los términos recogidos en los antecedentes de esta Sentencia, los Letrados del Parlamento de Galicia y de la Xunta de Galicia solicitan la desestimación de la cuestión mientras que el Ministerio Fiscal coincide con el juicio de inconstitucionalidad formulado por el Tribunal </w:t>
      </w:r>
      <w:r w:rsidRPr="00A90898">
        <w:rPr>
          <w:i/>
        </w:rPr>
        <w:t>a quo</w:t>
      </w:r>
      <w:r>
        <w:t>, por lo que interesa la estimación de la misma.</w:t>
      </w:r>
    </w:p>
    <w:p w:rsidR="00A90898" w:rsidRDefault="00A90898" w:rsidP="00A90898">
      <w:pPr>
        <w:pStyle w:val="TextoNormal"/>
      </w:pPr>
    </w:p>
    <w:p w:rsidR="00A90898" w:rsidRDefault="00A90898" w:rsidP="00A90898">
      <w:pPr>
        <w:pStyle w:val="TextoNormal"/>
      </w:pPr>
      <w:r>
        <w:t>El precepto cuestionado establece lo siguiente:</w:t>
      </w:r>
    </w:p>
    <w:p w:rsidR="00A90898" w:rsidRDefault="00A90898" w:rsidP="00A90898">
      <w:pPr>
        <w:pStyle w:val="TextoNormal"/>
      </w:pPr>
    </w:p>
    <w:p w:rsidR="00A90898" w:rsidRDefault="00A90898" w:rsidP="00A90898">
      <w:pPr>
        <w:pStyle w:val="TextoNormal"/>
      </w:pPr>
      <w:r>
        <w:t>“Se añade al anexo II de la Ley 6/2001, de 29 de junio, de adecuación de la normativa de la Comunidad Autónoma de Galicia a la Ley 4/1999, de 13 de enero, de modificación de la Ley 30/1992, de 26 de noviembre, de régimen jurídico de las administraciones públicas y del procedimiento administrativo común, dentro de los procedimientos de la Consellería de Sanidad (Servicio Gallego de Salud), el siguiente texto:</w:t>
      </w:r>
    </w:p>
    <w:p w:rsidR="00A90898" w:rsidRDefault="00A90898" w:rsidP="00A90898">
      <w:pPr>
        <w:pStyle w:val="TextoNormal"/>
      </w:pPr>
    </w:p>
    <w:p w:rsidR="00A90898" w:rsidRDefault="00A90898" w:rsidP="00A90898">
      <w:pPr>
        <w:pStyle w:val="TextoNormal"/>
      </w:pPr>
      <w:r>
        <w:t>‘Tipos de procedimientos: solicitudes, reclamaciones o recursos en materia de personal, con contenido retributivo, planteados por los profesionales del Servicio Gallego de Salud, que tengan repercusión en el capítulo I de los estados de gastos de los presupuestos de las instituciones sanitarias del organismo.</w:t>
      </w:r>
    </w:p>
    <w:p w:rsidR="00A90898" w:rsidRDefault="00A90898" w:rsidP="00A90898">
      <w:pPr>
        <w:pStyle w:val="TextoNormal"/>
      </w:pPr>
    </w:p>
    <w:p w:rsidR="00A90898" w:rsidRDefault="00A90898" w:rsidP="00A90898">
      <w:pPr>
        <w:pStyle w:val="TextoNormal"/>
      </w:pPr>
      <w:r>
        <w:t>Sentido del silencio: negativo… (A continuación, enumera la disposición la ‘normativa reguladora’ de las solicitudes y reclamaciones a que se refiere, que no se reproduce por su extensión y al no ser necesario a efectos de la presente cuestión).”</w:t>
      </w:r>
    </w:p>
    <w:p w:rsidR="00A90898" w:rsidRDefault="00A90898" w:rsidP="00A90898">
      <w:pPr>
        <w:pStyle w:val="TextoNormal"/>
      </w:pPr>
    </w:p>
    <w:p w:rsidR="00A90898" w:rsidRDefault="00A90898" w:rsidP="00A90898">
      <w:pPr>
        <w:pStyle w:val="TextoNormal"/>
      </w:pPr>
      <w:r>
        <w:t>De su lado, el art. 43.1 LPC, tras la redacción dada al mismo por el art. 2. Dos de la Ley 25/2009, de 22 de diciembre, de modificación de diversas leyes para su adaptación a la Ley 17/2009, de 23 de noviembre, sobre el libre acceso a las actividades de servicios y su ejercicio, establece:</w:t>
      </w:r>
    </w:p>
    <w:p w:rsidR="00A90898" w:rsidRDefault="00A90898" w:rsidP="00A90898">
      <w:pPr>
        <w:pStyle w:val="TextoNormal"/>
      </w:pPr>
    </w:p>
    <w:p w:rsidR="00A90898" w:rsidRDefault="00A90898" w:rsidP="00A90898">
      <w:pPr>
        <w:pStyle w:val="TextoNormal"/>
      </w:pPr>
      <w:r>
        <w:t>“1. En los procedimientos iniciados a solicitud del interesado, sin perjuicio de la resolución que la Administración debe dictar en la forma prevista en el apartado 3 de este artículo, el vencimiento del plazo máximo sin haberse notificado resolución expresa legitima al interesado o interesados que hubieran deducido la solicitud para entenderla estimada por silencio administrativo, excepto en los supuestos en los que una norma con rango de ley por razones imperiosas de interés general o una norma de Derecho comunitario establezcan lo contrario.</w:t>
      </w:r>
    </w:p>
    <w:p w:rsidR="00A90898" w:rsidRDefault="00A90898" w:rsidP="00A90898">
      <w:pPr>
        <w:pStyle w:val="TextoNormal"/>
      </w:pPr>
    </w:p>
    <w:p w:rsidR="00A90898" w:rsidRDefault="00A90898" w:rsidP="00A90898">
      <w:pPr>
        <w:pStyle w:val="TextoNormal"/>
      </w:pPr>
      <w:r>
        <w:t>Asimismo, el silencio tendrá efecto desestimatorio en los procedimientos relativos al ejercicio del derecho de petición, a que se refiere el artículo 29 de la Constitución, aquellos cuya estimación tuviera como consecuencia que se transfirieran al solicitante o a terceros facultades relativas al dominio público o al servicio público, así como los procedimientos de impugnación de actos y disposiciones. No obstante, cuando el recurso de alzada se haya interpuesto contra la desestimación por silencio administrativo de una solicitud por el transcurso del plazo, se entenderá estimado el mismo si, llegado el plazo de resolución, el órgano administrativo competente no dictase resolución expresa sobre el mismo.”</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análisis de la cuestión planteada, conviene precisar que a la fecha de esta Sentencia, el art. 43.1 LPC, que se viene de transcribir, cuya infracción sirve de base a la inconstitucionalidad mediata esgrimida por el órgano judicial proponente de la cuestión, está todavía en vigor, pues la Ley de régimen jurídico de las Administraciones públicas y del procedimiento administrativo común quedará derogada a partir de la entrada en vigor de la Ley 39/2015, de 1 de octubre, del procedimiento administrativo común de las Administraciones públicas, que tendrá lugar, según su disposición final séptima, transcurrido un año de su publicación en el “Boletín Oficial del Estado”; esto es, el 2 de octubre de 2016.</w:t>
      </w:r>
    </w:p>
    <w:p w:rsidR="00A90898" w:rsidRDefault="00A90898" w:rsidP="00A90898">
      <w:pPr>
        <w:pStyle w:val="TextoNormal"/>
      </w:pPr>
    </w:p>
    <w:p w:rsidR="00A90898" w:rsidRDefault="00A90898" w:rsidP="00A90898">
      <w:pPr>
        <w:pStyle w:val="TextoNormal"/>
      </w:pPr>
      <w:r>
        <w:t xml:space="preserve">En todo caso, cabe recordar que la doctrina del </w:t>
      </w:r>
      <w:r w:rsidRPr="00A90898">
        <w:rPr>
          <w:i/>
        </w:rPr>
        <w:t>ius superveniens</w:t>
      </w:r>
      <w:r>
        <w:t>,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a las cuestiones de inconstitucionalidad (SSTC 4/2011, de 14 de febrero, FJ 3; 184/2011, de 23 de noviembre, FJ 3; 86/2012, de 18 de abril, FJ 3, y 191/2012, de 29 de octubre, FJ 2).</w:t>
      </w:r>
    </w:p>
    <w:p w:rsidR="00A90898" w:rsidRDefault="00A90898" w:rsidP="00A90898">
      <w:pPr>
        <w:pStyle w:val="TextoNormal"/>
      </w:pPr>
    </w:p>
    <w:p w:rsidR="00A90898" w:rsidRDefault="00A90898" w:rsidP="00A90898">
      <w:pPr>
        <w:pStyle w:val="TextoNormal"/>
      </w:pPr>
      <w:r>
        <w:t xml:space="preserve">La duda de inconstitucionalidad que plantea el órgano judicial deberá ser pues resuelta en todo caso a la luz de la normativa vigente en el momento en que fue planteada la cuestión en el proceso </w:t>
      </w:r>
      <w:r w:rsidRPr="00A90898">
        <w:rPr>
          <w:i/>
        </w:rPr>
        <w:t>a quo</w:t>
      </w:r>
      <w:r>
        <w:t>. No obstante, es relevante destacar que en la nueva Ley 39/2015, el art. 24.1, equivalente al art. 43.1 LPC, tiene una redacción significativamente diferente en lo que respecta al objeto de esta cuestión de inconstitucionalidad, puesto que, en lo que aquí interesa, en su párrafo 1 exige la concurrencia de razones de interés general para disponer el carácter desestimatorio del silencio únicamente cuando “el procedimiento tenga por objeto el acceso a actividades o su ejercicio”.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Analizaremos pues, en primer lugar, la supuesta inconstitucionalidad mediata de la disposición cuestionada por vulneración del art. 43.1 LPC, dictado por el Estado al amparo del art. 149.1.18 CE. “Nos encontramos pues con un caso en que la posible inconstitucionalidad de una norma autonómica no proviene de su directa confrontación con la Constitución sino de su examen a la luz de otra norma (infraconstitucional) dictada por el Estado en el ejercicio de sus competencias propias, en este caso la regulación del ‘procedimiento administrativo común’ encomendada por el art. 149.1.18 CE, habiendo señalado este Tribunal que en casos como este la existencia de la infracción constitucional denunciada precisa de las dos siguientes condiciones (entre otras, SSTC 39/2014, de 11 de marzo, FJ 3, y 94/2014, de 12 de junio, FJ 2): en primer lugar, que la norma estatal infringida por la ley autonómica haya sido dictada legítimamente al amparo de un título competencial que la Constitución haya reservado al Estado, pues de lo contrario fallaría la premisa mayor de la contradicción, </w:t>
      </w:r>
      <w:r>
        <w:lastRenderedPageBreak/>
        <w:t>que no puede ser otra que la validez misma de la norma estatal con la que se pretende confrontar la norma autonómica cuestionada; y en segundo lugar, que la contradicción entre ambas normas, la estatal y la autonómica, sea efectiva e insalvable por vía interpretativa, ya que en otro caso no habría invasión competencial porque efectivamente si la norma autonómica es compatible con el contenido de la norma estatal debe concluirse entonces que aquélla ha respetado las competencias del Estado, o lo que es lo mismo, que se ha mantenido dentro de su propio ámbito competencial, (así, SSTC 181/2012, de 15 de octubre, y 132/2013, de 6 de junio). Así pues, y de acuerdo con estas premisas, la primera tarea que debemos abordar es examinar si el art. 42.3 a) LPC pertenece o no al procedimiento administrativo común que el art. 149.1.18 CE reserva al Estado” (STC 166/2014, de 22 de octubre, FJ 3).</w:t>
      </w:r>
    </w:p>
    <w:p w:rsidR="00A90898" w:rsidRDefault="00A90898" w:rsidP="00A90898">
      <w:pPr>
        <w:pStyle w:val="TextoNormal"/>
      </w:pPr>
    </w:p>
    <w:p w:rsidR="00A90898" w:rsidRDefault="00A90898" w:rsidP="00A90898">
      <w:pPr>
        <w:pStyle w:val="TextoNormal"/>
      </w:pPr>
      <w:r>
        <w:t>Desde la perspectiva estrictamente formal, ninguna duda cabe, ya que la misma Ley 25/2009 precitada, en su disposición final primera, identifica los títulos competenciales a cuyo amparo se dicta, señalando en estos términos que la modificación del art. 43.1 LPC, obra de su art. 2.2, forma parte del procedimiento administrativo común: “Lo dispuesto en el Capítulo I del Título I se dicta en virtud del artículo 149.1.18 de la Constitución Española y tiene carácter de legislación básica sobre el régimen jurídico de las Administraciones Públicas, salvo el artículo 2.2 que constituye procedimiento administrativo común sin perjuicio de las especialidades derivadas de la organización propia de las Comunidades Autónomas”.</w:t>
      </w:r>
    </w:p>
    <w:p w:rsidR="00A90898" w:rsidRDefault="00A90898" w:rsidP="00A90898">
      <w:pPr>
        <w:pStyle w:val="TextoNormal"/>
      </w:pPr>
    </w:p>
    <w:p w:rsidR="00A90898" w:rsidRDefault="00A90898" w:rsidP="00A90898">
      <w:pPr>
        <w:pStyle w:val="TextoNormal"/>
      </w:pPr>
      <w:r>
        <w:t>Desde la perspectiva material, también consideramos que el art. 43.1 LPC, que tras la Ley 25/2009 establece la regla general del silencio positivo, salvo excepción legal basada en razones imperiosas de interés general, es norma integrante del procedimiento administrativo común que corresponde regular al Estado conforme al art. 149.1.18 CE. Cabe aquí remitirnos a la ya citada STC 166/2014, en la que, tras recordar, fundamento jurídico 4, con cita de las SSTC 227/1988, de 27 de noviembre; 98/2001, de 5 de abril, y 130/2013, de 4 de junio, nuestra doctrina general sobre el significado del concepto “procedimiento administrativo común”, afirmamos lo siguiente: “sin duda, forma parte del modelo general de procedimiento administrativo que el Estado puede imponer en ejercicio de su competencia —con el margen de apreciación y oportunidad política que ello siempre trae consigo, así, STC 191/2012, de 29 de octubre, FJ 5— el establecimiento de la obligación de dictar resolución expresa en un plazo determinado (art. 42 LPC), así como la regulación de las consecuencias que ha de generar el incumplimiento de esa obligación … pues de lo contrario aquella previsión inicial no pasaría de ser una mera declaración de principios. Desde luego, sin esas dos previsiones —la una impuesta para la efectividad de la otra— no habría procedimiento administrativo ‘común’, o, en todo caso, el modelo sería otro distinto” (FJ 6).</w:t>
      </w:r>
    </w:p>
    <w:p w:rsidR="00A90898" w:rsidRDefault="00A90898" w:rsidP="00A90898">
      <w:pPr>
        <w:pStyle w:val="TextoNormal"/>
      </w:pPr>
    </w:p>
    <w:p w:rsidR="00A90898" w:rsidRDefault="00A90898" w:rsidP="00A90898">
      <w:pPr>
        <w:pStyle w:val="TextoNormal"/>
      </w:pPr>
      <w:r>
        <w:t>En la misma línea de razonamiento, hemos de afirmar ahora que forma parte del procedimiento administrativo común una disposición como la que aquí nos ocupa, que establece que las excepciones legales a la regla general del silencio positivo se han de basar en razones imperiosas de interés general.</w:t>
      </w:r>
    </w:p>
    <w:p w:rsidR="00A90898" w:rsidRDefault="00A90898" w:rsidP="00A90898">
      <w:pPr>
        <w:pStyle w:val="TextoNormal"/>
      </w:pPr>
    </w:p>
    <w:p w:rsidR="00A90898" w:rsidRDefault="00A90898" w:rsidP="00A90898">
      <w:pPr>
        <w:pStyle w:val="TextoNormal"/>
      </w:pPr>
      <w:r w:rsidRPr="00A90898">
        <w:rPr>
          <w:rStyle w:val="NumeroAFNegritaCaracter"/>
        </w:rPr>
        <w:t>4</w:t>
      </w:r>
      <w:r>
        <w:t>. Debemos pues examinar si existe en este caso una contradicción efectiva e insalvable por vía interpretativa entre la disposición autonómica objeto de la presente cuestión de inconstitucionalidad y la norma estatal contenida en el art. 43.1 LPC.</w:t>
      </w:r>
    </w:p>
    <w:p w:rsidR="00A90898" w:rsidRDefault="00A90898" w:rsidP="00A90898">
      <w:pPr>
        <w:pStyle w:val="TextoNormal"/>
      </w:pPr>
    </w:p>
    <w:p w:rsidR="00A90898" w:rsidRDefault="00A90898" w:rsidP="00A90898">
      <w:pPr>
        <w:pStyle w:val="TextoNormal"/>
      </w:pPr>
      <w:r>
        <w:lastRenderedPageBreak/>
        <w:t>Al comparar ambos textos legales, la primera conclusión que se alcanza es que, en lo que respecta a los recursos o impugnaciones (que son términos sinónimos), ambos preceptos establecen como regla general el silencio negativo, por lo que no existe entre ellos, en este concreto punto, contradicción alguna. Así, la disposición final segunda de la Ley gallega 15/2010 dice que el silencio será negativo en los “recursos en materia de personal, con contenido retributivo, planteados por los profesionales del Servicio Gallego de Salud, que tengan repercusión en el capítulo I de los estados de gastos de los presupuestos de las instituciones sanitarias del organismo” y el art. 43.1 LPC, en el párrafo segundo, dispone que el silencio tendrá efecto desestimatorio en “los procedimientos de impugnación de actos y disposiciones”. La contradicción, por tanto, caso de existir, se limitará al supuesto de las “solicitudes” y “reclamaciones” con contenido retributivo de ese mismo personal, para las que también prevé la norma autonómica que el silencio será negativo, y que no se incluyen en la regla de silencio desestimatorio del párrafo segundo del art. 43.1 LPC.</w:t>
      </w:r>
    </w:p>
    <w:p w:rsidR="00A90898" w:rsidRDefault="00A90898" w:rsidP="00A90898">
      <w:pPr>
        <w:pStyle w:val="TextoNormal"/>
      </w:pPr>
    </w:p>
    <w:p w:rsidR="00A90898" w:rsidRDefault="00A90898" w:rsidP="00A90898">
      <w:pPr>
        <w:pStyle w:val="TextoNormal"/>
      </w:pPr>
      <w:r>
        <w:t>Lo anterior nos obliga a acudir, para el caso de las “solicitudes” y las “reclamaciones”, al párrafo primero del art. 43.1 LPC que, como se ha hecho constar, establece el silencio positivo como regla general, “excepto en los supuestos en los que una norma con rango de ley por razones imperiosas de interés general o una norma de Derecho comunitario establezcan lo contrario”.</w:t>
      </w:r>
    </w:p>
    <w:p w:rsidR="00A90898" w:rsidRDefault="00A90898" w:rsidP="00A90898">
      <w:pPr>
        <w:pStyle w:val="TextoNormal"/>
      </w:pPr>
    </w:p>
    <w:p w:rsidR="00A90898" w:rsidRDefault="00A90898" w:rsidP="00A90898">
      <w:pPr>
        <w:pStyle w:val="TextoNormal"/>
      </w:pPr>
      <w:r>
        <w:t xml:space="preserve">Llegados a este punto, la tarea de dilucidar la existencia o no de una contradicción efectiva insalvable entre la norma autonómica y la estatal plantea, a la vista de los razonamientos del Tribunal </w:t>
      </w:r>
      <w:r w:rsidRPr="00A90898">
        <w:rPr>
          <w:i/>
        </w:rPr>
        <w:t>a quo</w:t>
      </w:r>
      <w:r>
        <w:t xml:space="preserve"> y de las alegaciones de las partes, varias cuestiones. La primera es discernir si la regla general del silencio positivo de la norma estatal, salvo excepción legal basada en razones imperiosas de interés general, se refiere a todos los procedimientos o solo a los relativos al acceso a servicios y su ejercicio. La segunda es determinar si el art. 43.1 LPC exige a la Ley explicitar las razones imperiosas de interés general y, por último, si tales razones concurren en este caso.</w:t>
      </w:r>
    </w:p>
    <w:p w:rsidR="00A90898" w:rsidRDefault="00A90898" w:rsidP="00A90898">
      <w:pPr>
        <w:pStyle w:val="TextoNormal"/>
      </w:pPr>
    </w:p>
    <w:p w:rsidR="00A90898" w:rsidRDefault="00A90898" w:rsidP="00A90898">
      <w:pPr>
        <w:pStyle w:val="TextoNormal"/>
      </w:pPr>
      <w:r>
        <w:t>En cuanto al ámbito de aplicación del art. 43.1 LPC, los Letrados del Parlamento de Galicia y de la Xunta, así como el propio Juzgado de lo Contencioso-Administrativo que dictó Sentencia en primera instancia, entienden que solo se aplica a los procedimientos relacionados con el acceso y la prestación de servicios, puesto que la redacción del precepto se introdujo por la Ley 25/2009, cuyo objetivo era adaptar la regulación estatal a la Ley 17/2009, de 23 de noviembre, sobre libre acceso a las actividades de servicios y su ejercicio. Por tanto, el precepto y, en concreto, la exigencia de concurrencia de razones imperiosas de interés general que el mismo contempla, no sería aplicable a procedimientos como el que da lugar al planteamiento de la cuestión, relativos a reclamaciones retributivas en materia de personal. De ser esto correcto, lógicamente, no habría contradicción entre la norma estatal y la autonómica.</w:t>
      </w:r>
    </w:p>
    <w:p w:rsidR="00A90898" w:rsidRDefault="00A90898" w:rsidP="00A90898">
      <w:pPr>
        <w:pStyle w:val="TextoNormal"/>
      </w:pPr>
    </w:p>
    <w:p w:rsidR="00A90898" w:rsidRDefault="00A90898" w:rsidP="00A90898">
      <w:pPr>
        <w:pStyle w:val="TextoNormal"/>
      </w:pPr>
      <w:r>
        <w:t xml:space="preserve">La única novedad introducida en el art. 43.1 LPC por la Ley 25/2009 fue precisamente la referencia a las “razones imperiosas de interés general” como base de la excepción legal a la regla general del silencio positivo, puesto que éste fue ya regulado con ese carácter de regla general, salvo excepción legal, en la Ley 4/1999, de 13 de enero, que modificó la Ley de régimen jurídico de las Administraciones públicas y del procedimiento administrativo común. Esto sentado, podría en principio pensarse que, aunque el tenor literal del art. 43.1 LPC no haga esta distinción, en efecto, la excepción de las “razones imperiosas de interés </w:t>
      </w:r>
      <w:r>
        <w:lastRenderedPageBreak/>
        <w:t>general” introducida por la Ley 25/2009 solo hace referencia a los procedimientos relativos al acceso o prestación de servicios tal y como estos se definen por el art. 3.1 de la Ley 17/2009, que los identifica con “cualquier actividad económica por cuenta propia, prestada normalmente a cambio de una remuneración, contemplada en el artículo 50 del Tratado de la Comunidad Europea”. Y ello en atención a que el objeto de la Ley 25/2009, como dice en su preámbulo, era adaptar la normativa estatal de rango legal a la Ley 17/2009, y extender los principios de buena regulación a sectores no afectados por la Directiva 2006/123/CE, relativa a los servicios en el mercado interior; pero, en todo caso, refiriéndose siempre al sector de los servicios. De hecho, la modificación del art. 43.1 LPC se incluía dentro del título I de la Ley 25/2009, sobre “Medidas horizontales” referidas, según el mismo preámbulo, de forma genérica a las “actividades de servicios”, siendo pertinente recordar que el concepto jurídico indeterminado denominado “razones imperiosas de interés general” procede de la Directiva 2006/123/CE y se recoge luego en la Ley 17/2009, que lo define en su art. 3.11. Un argumento adicional que, en este análisis preliminar que estamos realizando, serviría para apoyar la idea de que las razones imperiosas de interés general a que se refiere el art. 43.1 LPC solo son aplicables a los procedimientos relacionados con el acceso o la prestación de servicios, sería la redacción del antes citado art. 24.1 de la nueva Ley 39/2015 que, aunque aún no haya entrado en vigor, tiene el valor de interpretación auténtica del legislador, y que únicamente exige la concurrencia de dichas razones imperiosas de interés general para los procedimientos que tengan por objeto “el acceso a actividades o su ejercicio”.</w:t>
      </w:r>
    </w:p>
    <w:p w:rsidR="00A90898" w:rsidRDefault="00A90898" w:rsidP="00A90898">
      <w:pPr>
        <w:pStyle w:val="TextoNormal"/>
      </w:pPr>
    </w:p>
    <w:p w:rsidR="00A90898" w:rsidRDefault="00A90898" w:rsidP="00A90898">
      <w:pPr>
        <w:pStyle w:val="TextoNormal"/>
      </w:pPr>
      <w:r w:rsidRPr="00A90898">
        <w:rPr>
          <w:rStyle w:val="NumeroAFNegritaCaracter"/>
        </w:rPr>
        <w:t>5</w:t>
      </w:r>
      <w:r>
        <w:t>. Aunque la interpretación teleológica del art. 43.1 LPC podría sugerir, frente a su interpretación literal, que el precepto solo exige la concurrencia de razones imperiosas de interés general para dar efectos negativos al silencio en caso de procedimientos relacionados con el acceso o prestación de servicios, lo cierto es que esta conclusión no se ve confirmada por otras previsiones incluidas en la misma Ley 25/2009, ni por las leyes posteriores dictadas en aplicación de la misma. Así, en primer lugar, la disposición adicional cuarta de la Ley 25/2009 señalaba que: “A los efectos previstos en el primer párrafo del artículo 43.1 de la Ley 30/1992, de 26 de noviembre, de Régimen Jurídico de las Administraciones Públicas y del Procedimiento Administrativo Común, de acuerdo con la redacción dada por la presente Ley, se entenderá que concurren razones imperiosas de interés general en aquéllos procedimientos que, habiendo sido regulados con anterioridad a la entrada en vigor de esta Ley por normas con rango de ley o de Derecho comunitario, prevean efectos desestimatorios a la falta de notificación de la resolución expresa del procedimiento en el plazo previsto”, lo que vinculaba la necesaria concurrencia de razones imperiosas de interés general a todos los procedimientos regulados en leyes preexistentes y no solo a los relativos a las actividades de servicios. Esta disposición suponía en la práctica una remisión a la disposición adicional vigesimonovena de la Ley 14/2000, de 29 de diciembre, de medidas fiscales, administrativas y del orden social, que enumeró una serie de procedimientos administrativos, en todo tipo de materias, en los que el silencio administrativo se entendía negativo.</w:t>
      </w:r>
    </w:p>
    <w:p w:rsidR="00A90898" w:rsidRDefault="00A90898" w:rsidP="00A90898">
      <w:pPr>
        <w:pStyle w:val="TextoNormal"/>
      </w:pPr>
    </w:p>
    <w:p w:rsidR="00A90898" w:rsidRDefault="00A90898" w:rsidP="00A90898">
      <w:pPr>
        <w:pStyle w:val="TextoNormal"/>
      </w:pPr>
      <w:r>
        <w:t xml:space="preserve">Posteriormente, el art. 40 de la Ley 2/2011, de 4 de marzo, de economía sostenible, a la que alude el Auto de planteamiento de la cuestión, estableció, como medida de ampliación del ámbito del silencio administrativo positivo, la obligación del Gobierno de remitir a las Cortes, en el plazo de tres meses desde su entrada en vigor, un proyecto de ley de modificación del sentido del silencio en los procedimientos que no se consideren cubiertos por razones imperiosas de interés general de acuerdo con el art. 43 LPC, así como la obligación </w:t>
      </w:r>
      <w:r>
        <w:lastRenderedPageBreak/>
        <w:t>de las Comunidades Autónomas de evaluar la existencia de razones imperiosas de interés general que justifiquen el mantenimiento del silencio negativo en procedimientos regulados por normas anteriores a la redacción del art. 43 LPC por la Ley 25/2009. Por tanto, esta Ley volvió a vincular la configuración del silencio negativo como excepción a la concurrencia de razones imperiosas de interés general en relación con todo tipo de procedimientos, no solo los relacionados con el acceso a los servicios o su prestación. En cumplimiento de este precepto, se dictó 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que, en su art. 26, señalaba que, en los procedimientos enumerados en su anexo I, se aplicaría el silencio positivo en los términos previstos en el art. 43 LPC, recogiendo dicho anexo tanto procedimientos relacionados con el acceso y la prestación de servicios en el sentido de las Leyes 17/2009 y 25/2009 como otros que no tenían esa naturaleza. El preámbulo del Real Decreto Ley 8/2011 razonaba, de forma genérica, que “[t]ras el proceso de evaluación llevado a cabo por parte de los diferentes Departamentos Ministeriales, con el presente Real Decreto-ley se cumple el mandato al proceder a modificar los preceptos de múltiples leyes, propiciando que en más de un centenar de procedimientos la Administración se vea ahora sometida al régimen del silencio positivo”.</w:t>
      </w:r>
    </w:p>
    <w:p w:rsidR="00A90898" w:rsidRDefault="00A90898" w:rsidP="00A90898">
      <w:pPr>
        <w:pStyle w:val="TextoNormal"/>
      </w:pPr>
    </w:p>
    <w:p w:rsidR="00A90898" w:rsidRDefault="00A90898" w:rsidP="00A90898">
      <w:pPr>
        <w:pStyle w:val="TextoNormal"/>
      </w:pPr>
      <w:r>
        <w:t xml:space="preserve">En suma, sin entrar en consideraciones de técnica o política legislativa que son ajenas a los cánones a los que ha de atenerse este Tribunal, en la evolución legislativa descrita puede apreciarse que el </w:t>
      </w:r>
      <w:r w:rsidRPr="00A90898">
        <w:rPr>
          <w:i/>
        </w:rPr>
        <w:t>ius superveniens</w:t>
      </w:r>
      <w:r>
        <w:t xml:space="preserve"> se ha aproximado a la tesis sostenida por los representantes procesales del Parlamento y la Xunta de Galicia, en defensa de la constitucionalidad de la disposición objeto de este proceso. No obstante, en la redacción vigente aplicable al caso al que se refiere la presente cuestión de inconstitucionalidad, parámetro de nuestro enjuiciamiento, consideramos que el art. 43.1 LPC exige que las excepciones a la regla del silencio positivo se establezcan por ley por razones imperiosas de interés general en todo tipo de procedimientos, incluidos por tanto, los iniciados por empleados públicos en materia retributiva, como es el que nos ocupa.</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A partir de lo anterior, para resolver la cuestión de inconstitucionalidad planteada es necesario dilucidar si el art. 43.1 LPC exige que la Ley autonómica explicite las razones imperiosas de interés general, cuando se trate de procedimientos en los que el silencio negativo se ha establecido con posterioridad a la entrada en vigor de la Ley 25/2009. El razonamiento en este punto debe ser análogo al que hemos acuñado en las SSTC 26/2012, de 1 de marzo, 193/2013, de 21 de noviembre, y 209/2015, de 8 de octubre, en relación con las restricciones excepcionales al libre acceso a las actividades de servicios por “razones imperiosas de interés general”. Como dijimos en la STC 193/2013, FJ 7: “Lo que supone la doctrina expresada por la STC 26/2012 es que el Tribunal considera necesario que, dado que se trata de una excepción a la regla general de la libertad de acceso a una actividad de servicio, como es la distribución comercial, el legislador autonómico aporte razones que justifiquen que los requisitos a que sujeta la localización de ciertos formatos de establecimiento comercial atienden conjuntamente a dichos objetivos de ordenación territorial y protección ambiental”, razones estas identificadas con las “razones imperiosas de interés general” referidas en la citada Ley 17/2009. En una línea similar, la STC 209/2015, FJ 5, analiza la conexión entre la concreta medida de restricción allí enjuiciada y las razones imperiosas </w:t>
      </w:r>
      <w:r>
        <w:lastRenderedPageBreak/>
        <w:t>de interés general que la posibilitan, teniendo en cuenta tanto el contenido de la regulación controvertida como la exposición de motivos.</w:t>
      </w:r>
    </w:p>
    <w:p w:rsidR="00A90898" w:rsidRDefault="00A90898" w:rsidP="00A90898">
      <w:pPr>
        <w:pStyle w:val="TextoNormal"/>
      </w:pPr>
    </w:p>
    <w:p w:rsidR="00A90898" w:rsidRDefault="00A90898" w:rsidP="00A90898">
      <w:pPr>
        <w:pStyle w:val="TextoNormal"/>
      </w:pPr>
      <w:r>
        <w:t>Trasladando el anterior razonamiento a la regulación ahora examinada, el legislador autonómico puede abrir la posibilidad de excepciones a la regla general del silencio positivo del art. 43.1 LPC justificadas en razones imperiosas de interés general, pues de otro modo la norma de procedimiento administrativo común, dictada por el Estado en ejercicio de la competencia que le confiere el art. 149.1.18 CE, quedaría vacía de significado.</w:t>
      </w:r>
    </w:p>
    <w:p w:rsidR="00A90898" w:rsidRDefault="00A90898" w:rsidP="00A90898">
      <w:pPr>
        <w:pStyle w:val="TextoNormal"/>
      </w:pPr>
    </w:p>
    <w:p w:rsidR="00A90898" w:rsidRDefault="00A90898" w:rsidP="00A90898">
      <w:pPr>
        <w:pStyle w:val="TextoNormal"/>
      </w:pPr>
      <w:r>
        <w:t>El propio contenido de la norma cuestionada ya expresa la razón de la medida adoptada por el legislador gallego: el silencio negativo se implanta respecto de las solicitudes, reclamaciones o recursos con “repercusión en el capítulo I de los estados de gastos de los presupuestos de las instituciones sanitarias del organismo”. Por su parte, la exposición de motivos de la Ley de Galicia 15/2010 señala que “se determina el carácter del silencio administrativo en determinadas solicitudes y reclamaciones formuladas por los profesionales del Servicio Gallego de Salud”, mención que, si bien escueta, ha de situarse en el contexto de la justificación común que aporta el legislador para el conjunto de las medidas reguladas en la ley: “la eficaz ejecución de la política económica diseñada en los presupuestos generales de la Comunidad Autónoma para el año 2011 [demanda] la adopción de medidas legislativas complementarias que guarden relación con los gastos e ingresos previstos en la norma presupuestaria, bien por su contenido económico-financiero bien por su incidencia en la búsqueda de una mayor eficiencia de la organización administrativa, y que se formulen con una vocación de permanencia superior a la anualidad presupuestaria … En la actual situación de incertidumbre económica resulta necesario [recuperar las conocidas como leyes de medidas] como instrumento necesario para la consecución de estas políticas y para el cumplimiento de los objetivos económicos por ellas perseguidos. Desde la perspectiva de la actividad que desarrolla la Comunidad Autónoma de Galicia, cuyos objetivos se explicitan en la Ley de presupuestos generales de la Comunidad para el año 2011, y al objeto de contribuir a una mayor eficacia y eficiencia de estos, se dicta la presente ley como norma que, por el carácter permanente de sus disposiciones, contiene un conjunto de medidas referidas a diferentes áreas de actividad que contribuyen a la consecución de determinados objetivos de orientación plurianual perseguidos por la Comunidad a través de la ejecución presupuestaria”. Ello resulta consistente, en fin, con lo alegado por los Letrados de la Xunta y del Parlamento de Galicia en relación con las numerosas reclamaciones retributivas planteadas por el personal al servicio del SERGAS.</w:t>
      </w:r>
    </w:p>
    <w:p w:rsidR="00A90898" w:rsidRDefault="00A90898" w:rsidP="00A90898">
      <w:pPr>
        <w:pStyle w:val="TextoNormal"/>
      </w:pPr>
    </w:p>
    <w:p w:rsidR="00A90898" w:rsidRDefault="00A90898" w:rsidP="00A90898">
      <w:pPr>
        <w:pStyle w:val="TextoNormal"/>
      </w:pPr>
      <w:r>
        <w:t>La Ley de Galicia 15/2010 hace de esta manera explícita la razón imperiosa de interés general que ha determinado la implantación del silencio negativo en los procedimientos regulados por la norma cuestionada, que no es otra que la necesidad de contención del gasto de personal en un escenario de severas restricciones presupuestarias. Así se deduce sin dificultad de la expresa conexión de la Ley de Galicia 15/2010 objeto de esta cuestión con la Ley 14/2010, de 27 de diciembre, de presupuestos generales de la Comunidad Autónoma de Galicia para el año 2011, según su exposición de motivos “[d]iseñados bajo condiciones financieras muy restrictivas y en un contexto económico desfavorable” por lo que “la política económica que contienen estos presupuestos es responsable con el principio de sostenibilidad de las finanzas públicas”. No cabe pues negar que concurre una razón imperiosa de interés general en una medida procedimental que tiene por finalidad explícita coadyuvar a la contención del gasto de personal.</w:t>
      </w:r>
    </w:p>
    <w:p w:rsidR="00A90898" w:rsidRDefault="00A90898" w:rsidP="00A90898">
      <w:pPr>
        <w:pStyle w:val="TextoNormal"/>
      </w:pPr>
    </w:p>
    <w:p w:rsidR="00A90898" w:rsidRDefault="00A90898" w:rsidP="00A90898">
      <w:pPr>
        <w:pStyle w:val="TextoNormal"/>
      </w:pPr>
      <w:r>
        <w:t>En conclusión, no se aprecia contradicción entre el art. 43.1 LPC y la disposición objeto de la presente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7</w:t>
      </w:r>
      <w:r>
        <w:t>. Una vez que ha quedado descartado que la norma cuestionada haya incurrido en contradicción con el art. 43.1 LPC y, con ello, desestimada la inconstitucionalidad de la norma por vulneración del art. 149.1.18 CE, procede examinar las restantes vulneraciones constitucionales alegadas por el órgano judicial proponente de la cuestión.</w:t>
      </w:r>
    </w:p>
    <w:p w:rsidR="00A90898" w:rsidRDefault="00A90898" w:rsidP="00A90898">
      <w:pPr>
        <w:pStyle w:val="TextoNormal"/>
      </w:pPr>
    </w:p>
    <w:p w:rsidR="00A90898" w:rsidRDefault="00A90898" w:rsidP="00A90898">
      <w:pPr>
        <w:pStyle w:val="TextoNormal"/>
      </w:pPr>
      <w:r>
        <w:t>a) Respecto del art. 149.1.1 CE, el órgano promotor se limita a afirmar que el desconocer “la normativa básica elaborada por el Estado, conlleva la asunción de competencias sobre la regulación de las condiciones básicas que garanticen la igualdad de todos los españoles en el ejercicio de los derechos, invadiendo la competencia exclusiva que corresponde al Estado ex artículo 149.1.1 de la Constitución”.</w:t>
      </w:r>
    </w:p>
    <w:p w:rsidR="00A90898" w:rsidRDefault="00A90898" w:rsidP="00A90898">
      <w:pPr>
        <w:pStyle w:val="TextoNormal"/>
      </w:pPr>
    </w:p>
    <w:p w:rsidR="00A90898" w:rsidRDefault="00A90898" w:rsidP="00A90898">
      <w:pPr>
        <w:pStyle w:val="TextoNormal"/>
      </w:pPr>
      <w:r>
        <w:t>La conclusión alcanzada en el fundamento jurídico precedente permite descartar esta vulneración competencial, toda vez que el texto transcrito evidencia que la duda de constitucionalidad no se plantea de forma autónoma, sino que se presenta únicamente como breve complemento a la suscitada en torno a la compatibilidad del precepto cuestionado con la normativa dictada por el Estado en el ejercicio de la competencia atribuida por el art. 149.1.18 CE, aunque el órgano promotor erróneamente identifique como normativa básica lo que, en rigor, es norma de procedimiento administrativo común.</w:t>
      </w:r>
    </w:p>
    <w:p w:rsidR="00A90898" w:rsidRDefault="00A90898" w:rsidP="00A90898">
      <w:pPr>
        <w:pStyle w:val="TextoNormal"/>
      </w:pPr>
    </w:p>
    <w:p w:rsidR="00A90898" w:rsidRDefault="00A90898" w:rsidP="00A90898">
      <w:pPr>
        <w:pStyle w:val="TextoNormal"/>
      </w:pPr>
      <w:r>
        <w:t>No requiere pues ulterior análisis, sin perjuicio de recordar que, conforme a nuestra consolidada doctrina, el art. 149.1.1 CE, dado su carácter genérico, queda desplazado por el más específico en razón de la materia, en este caso el título competencial sobre el procedimiento administrativo común recogido en el art. 149.1.18 CE.</w:t>
      </w:r>
    </w:p>
    <w:p w:rsidR="00A90898" w:rsidRDefault="00A90898" w:rsidP="00A90898">
      <w:pPr>
        <w:pStyle w:val="TextoNormal"/>
      </w:pPr>
    </w:p>
    <w:p w:rsidR="00A90898" w:rsidRDefault="00A90898" w:rsidP="00A90898">
      <w:pPr>
        <w:pStyle w:val="TextoNormal"/>
      </w:pPr>
      <w:r>
        <w:t>b) Para el Auto de planteamiento, la norma cuestionada también comportaría la vulneración del art. 9.3 CE, en relación con el art. 14 CE, ya que el silencio negativo tan solo afecta a los profesionales del Servicio Gallego de Salud, manteniendo el sentido estimatorio del silencio administrativo para las solicitudes formuladas por el resto de los empleados públicos de la Comunidad Autónoma, sin que medie una justificación objetiva y razonable para dicho trato diferenciado.</w:t>
      </w:r>
    </w:p>
    <w:p w:rsidR="00A90898" w:rsidRDefault="00A90898" w:rsidP="00A90898">
      <w:pPr>
        <w:pStyle w:val="TextoNormal"/>
      </w:pPr>
    </w:p>
    <w:p w:rsidR="00A90898" w:rsidRDefault="00A90898" w:rsidP="00A90898">
      <w:pPr>
        <w:pStyle w:val="TextoNormal"/>
      </w:pPr>
      <w:r>
        <w:t xml:space="preserve">Sin embargo, ni se identifica, como sería exigible, el principio del art. 9.3 CE que se reputa vulnerado, ni se aportan los imprescindibles elementos de comparación que han de proporcionar el inicial soporte al juicio constitucional de igualdad. En términos de la STC 156/2014, de 25 de septiembre: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w:t>
      </w:r>
      <w:r>
        <w:lastRenderedPageBreak/>
        <w:t xml:space="preserve">razón por la cual toda alegación del derecho fundamental a la igualdad precisa para su verificación un </w:t>
      </w:r>
      <w:r w:rsidRPr="00A90898">
        <w:rPr>
          <w:i/>
        </w:rPr>
        <w:t>tertium comparationis</w:t>
      </w:r>
      <w:r>
        <w:t xml:space="preserve"> frente al que la desigualdad se produzca, elemento de contraste que ha de consistir en ‘una situación jurídica concreta en la que se encuentren otros ciudadanos u otros grupos de ciudadanos’ (ATC 209/1985, de 20 de marzo, FJ 2)” (FJ 4).</w:t>
      </w:r>
    </w:p>
    <w:p w:rsidR="00A90898" w:rsidRDefault="00A90898" w:rsidP="00A90898">
      <w:pPr>
        <w:pStyle w:val="TextoNormal"/>
      </w:pPr>
    </w:p>
    <w:p w:rsidR="00A90898" w:rsidRDefault="00A90898" w:rsidP="00A90898">
      <w:pPr>
        <w:pStyle w:val="TextoNormal"/>
      </w:pPr>
      <w:r>
        <w:t>Antes al contrario, el propio Auto reconoce que el personal estatutario de los Servicios de Salud dispone de un estatuto marco específico, la Ley 55/2003, de 16 de diciembre, cuyo capítulo IX regula sus retribuciones con una estructura y contenido netamente diferenciado del correspondiente a otros colectivos de empleados públicos, señaladamente en el art. 43, dedicado a las retribuciones complementarias. El régimen retributivo diferenciado está asimismo presente en el art. 117.1 de la Ley 8/2008, de 10 de julio, de salud de Galicia, que contempla la posibilidad de establecer un modelo retributivo diferenciado, “orientado a la calidad del servicio, la incentivación de la actividad, la motivación de los profesionales, la consideración singular de actuaciones concretas en el ámbito sanitario y la consecución de los objetivos planificados, previa negociación en la mesa sectorial”.</w:t>
      </w:r>
    </w:p>
    <w:p w:rsidR="00A90898" w:rsidRDefault="00A90898" w:rsidP="00A90898">
      <w:pPr>
        <w:pStyle w:val="TextoNormal"/>
      </w:pPr>
    </w:p>
    <w:p w:rsidR="00A90898" w:rsidRDefault="00A90898" w:rsidP="00A90898">
      <w:pPr>
        <w:pStyle w:val="TextoNormal"/>
      </w:pPr>
      <w:r>
        <w:t>Por último, a tenor de lo establecido en el segundo párrafo del art. 43.1 LPC, y como ya hemos expuesto, el silencio tiene efecto desestimatorio en “los procedimientos de impugnación de actos y disposiciones”, tanto para el personal del SERGAS como para el resto del personal de la Comunidad Autónoma, por lo que en este punto tampoco existe diferencia alguna de trato que deba ser examinada por el Tribunal.</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cuestión de inconstitucionalidad núm. 1511-2015.</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5" w:name="SENTENCIA_2016_156"/>
      <w:r>
        <w:lastRenderedPageBreak/>
        <w:t>SENTENCIA 156/2016, de 22 de septiembre de 2016</w:t>
      </w:r>
    </w:p>
    <w:bookmarkEnd w:id="35"/>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ECLI:ES:TC:2016:156</w:t>
      </w:r>
    </w:p>
    <w:p w:rsidR="00A90898" w:rsidRDefault="00A90898" w:rsidP="00A90898">
      <w:pPr>
        <w:pStyle w:val="TextoNormalCentrado"/>
      </w:pPr>
    </w:p>
    <w:p w:rsidR="00A90898" w:rsidRDefault="00A90898" w:rsidP="00A90898">
      <w:pPr>
        <w:pStyle w:val="SntesisDescriptiva"/>
      </w:pPr>
      <w:r>
        <w:t>Recurso de inconstitucionalidad 5061-2015. Interpuesto por el Gobierno de la Junta de Andalucía en relación con diversos preceptos de la Ley Orgánica 6/2015, de 12 de junio, de modificación de la Ley Orgánica 8/1980, de 22 de septiembre, de financiación de las Comunidades Autónomas y de la Ley Orgánica 2/2012, de 27 de abril, de estabilidad presupuestaria y sostenibilidad financiera.</w:t>
      </w:r>
    </w:p>
    <w:p w:rsidR="00A90898" w:rsidRDefault="00A90898" w:rsidP="00A90898">
      <w:pPr>
        <w:pStyle w:val="SntesisDescriptiva"/>
      </w:pPr>
    </w:p>
    <w:p w:rsidR="00A90898" w:rsidRDefault="00A90898" w:rsidP="00A90898">
      <w:pPr>
        <w:pStyle w:val="SntesisAnaltica"/>
      </w:pPr>
      <w:r>
        <w:t>Principios de seguridad jurídica, estabilidad presupuestaria, autonomía y suficiencia financiera de las Comunidades Autónomas: constitucionalidad de los preceptos legales que contemplan la posibilidad de retención por el Estado de recursos del sistema de financiación autonómica para el pago de deudas con entidades locales, y habilitan la modificación reglamentaria de previsiones en materia de gasto farmacéutico y sanitario (STC 101/2016). Votos particulares.</w:t>
      </w:r>
    </w:p>
    <w:p w:rsidR="00A90898" w:rsidRDefault="00A90898" w:rsidP="00A90898">
      <w:pPr>
        <w:pStyle w:val="SntesisAnaltica"/>
      </w:pPr>
    </w:p>
    <w:p w:rsidR="00A90898" w:rsidRDefault="00A90898" w:rsidP="00A90898">
      <w:pPr>
        <w:pStyle w:val="Extracto"/>
      </w:pPr>
      <w:r>
        <w:t>1.</w:t>
      </w:r>
      <w:r>
        <w:tab/>
        <w:t>Asunto sustancialmente idéntico al resuelto por la STC 101/2016, sobre el establecimiento de la facultad estatal de retener recursos del sistema de financiación de las Comunidades Autónomas para pagar directamente las deudas contraídas por éstas [FJ 3].</w:t>
      </w:r>
    </w:p>
    <w:p w:rsidR="00A90898" w:rsidRDefault="00A90898" w:rsidP="00A90898">
      <w:pPr>
        <w:pStyle w:val="Extracto"/>
      </w:pPr>
    </w:p>
    <w:p w:rsidR="00A90898" w:rsidRDefault="00A90898" w:rsidP="00A90898">
      <w:pPr>
        <w:pStyle w:val="Extracto"/>
      </w:pPr>
      <w:r>
        <w:t>2.</w:t>
      </w:r>
      <w:r>
        <w:tab/>
        <w:t>La demanda no concreta qué aspectos de la regulación deberían quedar reservados a la ley, para asegurar que el eventual redactor del reglamento no rebasa ese límite. La presunción de constitucionalidad de normas con rango de ley no puede desvirtuarse sin un mínimo de argumentación (STC 43/1996); de manera que, cuando la impugnación de normas no va seguida de una fundamentación que permita conocer las razones por las cuales los recurrentes entienden que se vulnera el orden constitucional, se incumple el deber de colaboración con esta jurisdicción (SSTC 204/2011 y 13/2007)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recurso de inconstitucionalidad núm. 5061-2015, promovido por el Consejo de Gobierno de la Comunidad Autónoma de Andalucía contra el art. 1, apartado 5, y la disposición final primera, apartado 3, de la Ley Orgánica 6/2015, de 12 de junio, de modificación de la Ley Orgánica 8/1980, de 22 de septiembre, de financiación de las Comunidades Autónomas y de la Ley Orgánica 2/2012, de 27 de abril, de estabilidad presupuestaria y sostenibilidad financiera, por posible vulneración de los arts. 9.3, 135.3, 137, 150.2, 156.1 y 158.1, todos ellos de la Constitución, y de los arts. 175.2 a), b), c) y e); 183.1 y 7 y 219, todos ellos de la Ley Orgánica 2/2007, de 19 de marzo, por la que se aprueba el Estatuto de Autonomía de Andalucía. Ha comparecido el Abogado del Estado en la representación que ostenta. Ha sido Ponente el Magistrado don Andrés Ollero Tassara, que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este Tribunal el día 11 de septiembre de 2015, la Letrada de la Junta de Andalucía, en la representación que legalmente ostenta del Consejo de Gobierno de esta Comunidad Autónoma, interpuso recurso de inconstitucionalidad contra la Ley Orgánica 6/2015, de 12 de junio (en adelante, Ley Orgánica 6/2015), de modificación de la Ley Orgánica 8/1980, de 22 de septiembre, de financiación de las Comunidades Autónomas (LOFCA, en adelante) y de la Ley Orgánica 2/2012, de 27 de abril, de estabilidad presupuestaria y sostenibilidad.</w:t>
      </w:r>
    </w:p>
    <w:p w:rsidR="00A90898" w:rsidRDefault="00A90898" w:rsidP="00A90898">
      <w:pPr>
        <w:pStyle w:val="TextoNormal"/>
      </w:pPr>
    </w:p>
    <w:p w:rsidR="00A90898" w:rsidRDefault="00A90898" w:rsidP="00A90898">
      <w:pPr>
        <w:pStyle w:val="TextoNormal"/>
      </w:pPr>
      <w:r>
        <w:t>La demanda interesa que se declare la inconstitucionalidad de dos preceptos: el art. 1.5, que incorpora un nuevo apartado 5 a la disposición adicional octava LOFCA, y la disposición final primera, apartado 3, por el que se añade una nueva disposición final decimosexta a la Ley 14/1986, de 25 de abril, general de sanidad (LGS, en adelante).</w:t>
      </w:r>
    </w:p>
    <w:p w:rsidR="00A90898" w:rsidRDefault="00A90898" w:rsidP="00A90898">
      <w:pPr>
        <w:pStyle w:val="TextoNormal"/>
      </w:pPr>
    </w:p>
    <w:p w:rsidR="00A90898" w:rsidRDefault="00A90898" w:rsidP="00A90898">
      <w:pPr>
        <w:pStyle w:val="TextoNormal"/>
      </w:pPr>
      <w:r>
        <w:t>a) El primero de los preceptos impugnados modifica la LOFCA para prever la posibilidad de que el Estado deduzca o retenga de los importes satisfechos por todos los recursos de los regímenes de financiación de las Comunidades Autónomas no adheridas al fondo social del fondo de financiación a Comunidades Autónomas las cantidades necesarias para abonar las obligaciones pendientes de pago por parte de las Comunidades Autónomas con las entidades locales derivadas de transferencias y convenios suscritos en materia de gasto social, que sean vencidas, líquidas y exigibles a 31 de diciembre de 2014.</w:t>
      </w:r>
    </w:p>
    <w:p w:rsidR="00A90898" w:rsidRDefault="00A90898" w:rsidP="00A90898">
      <w:pPr>
        <w:pStyle w:val="TextoNormal"/>
      </w:pPr>
    </w:p>
    <w:p w:rsidR="00A90898" w:rsidRDefault="00A90898" w:rsidP="00A90898">
      <w:pPr>
        <w:pStyle w:val="TextoNormal"/>
      </w:pPr>
      <w:r>
        <w:t xml:space="preserve">La recurrente considera que el precepto impone a las Comunidades Autónomas una prioridad en el destino de los recursos en beneficio de las entidades locales, que opera por encima de la financiación de cualquier servicio público esencial, por lo que se limita la autonomía financiera de la que gozan las Comunidades Autónomas, vedando cualquier capacidad de decisión dentro del marco de sus competencias. Considera que esa autonomía debe traducirse en la capacidad real para disponer libremente de los recursos financieros, asignando su producto a fines concretos, mediante programas de gasto elaborados según las propias prioridades (entre otras, STC 13/1992, de 6 de febrero, FJ 7). A ello debe añadirse, según se razonó en la STC 13/2007, de 18 de enero, siguiendo los criterios de otras anteriores (como la STC 135/1992, de 5 de octubre, FJ 8), que existe una íntima vinculación del </w:t>
      </w:r>
      <w:r>
        <w:lastRenderedPageBreak/>
        <w:t>principio de suficiencia financiera con el de autonomía financiera, y la de estos con el principio de autonomía política; esto exige que las Comunidades Autónomas disfruten de la plena disposición de los medios financieros precisos para poder ejercer, sin condicionamientos indebidos y en toda su extensión, las funciones que legalmente les han sido encomendadas, posibilitándose el ejercicio de la autonomía constitucionalmente reconocida en los arts. 137 y 156 CE.</w:t>
      </w:r>
    </w:p>
    <w:p w:rsidR="00A90898" w:rsidRDefault="00A90898" w:rsidP="00A90898">
      <w:pPr>
        <w:pStyle w:val="TextoNormal"/>
      </w:pPr>
    </w:p>
    <w:p w:rsidR="00A90898" w:rsidRDefault="00A90898" w:rsidP="00A90898">
      <w:pPr>
        <w:pStyle w:val="TextoNormal"/>
      </w:pPr>
      <w:r>
        <w:t>Ahondando en lo anterior, destaca que la autonomía financiera no sólo entraña la libertad de las Comunidades Autónomas para fijar el destino y la orientación del gasto público, sino también para la cuantificación y distribución del mismo dentro del marco de sus competencias; por ello se habrían vulnerado los arts. 137 y 156.1 CE, en relación con el art. 175.2, apartados a), b) y c), del Estatuto de Autonomía de Andalucía, aprobado por Ley Orgánica 2/2007, de 19 de marzo (EAAnd, en adelante). Se insiste en que se afecta particularmente a la autonomía de gasto, aspecto central de la autonomía financiera garantizada en el art.156.1 CE, al imponerse una prioridad en el destino de los recursos —el pago a las entidades locales—, por encima del que debe destinarse a cualquier servicio público esencial. Destaca en ese sentido que aproximadamente un 70 por 100 del gasto público de las Comunidades Autónomas se destina a la prestación de servicios públicos fundamentales: educación, salud y servicios sociales; por ello la falta de disponibilidad de esos recursos del régimen de financiación causaría un obvio menoscabo de la autonomía financiera.</w:t>
      </w:r>
    </w:p>
    <w:p w:rsidR="00A90898" w:rsidRDefault="00A90898" w:rsidP="00A90898">
      <w:pPr>
        <w:pStyle w:val="TextoNormal"/>
      </w:pPr>
    </w:p>
    <w:p w:rsidR="00A90898" w:rsidRDefault="00A90898" w:rsidP="00A90898">
      <w:pPr>
        <w:pStyle w:val="TextoNormal"/>
      </w:pPr>
      <w:r>
        <w:t>Se refiere la demanda en este punto al dictamen del Consejo Consultivo de Andalucía 192/2014, de 19 de marzo, sobre un supuesto que considera análogo al presente: a la inconstitucionalidad del art. 1.6 de la Ley Orgánica 9/2013, de 20 de diciembre, de control de la deuda comercial en el sector público, por introducir en el art. 20 de la Ley Orgánica 2/2012 la posibilidad de que el Estado retenga cantidades del régimen de financiación de las Comunidades Autónomas para atender a las deudas contraídas por estas con proveedores.</w:t>
      </w:r>
    </w:p>
    <w:p w:rsidR="00A90898" w:rsidRDefault="00A90898" w:rsidP="00A90898">
      <w:pPr>
        <w:pStyle w:val="TextoNormal"/>
      </w:pPr>
    </w:p>
    <w:p w:rsidR="00A90898" w:rsidRDefault="00A90898" w:rsidP="00A90898">
      <w:pPr>
        <w:pStyle w:val="TextoNormal"/>
      </w:pPr>
      <w:r>
        <w:t>Tras recoger algunas de las consideraciones de dicho dictamen que considera aplicables a este caso, concluye que, en virtud de la disposición ahora recurrida, el Estado estaría gestionando parte del presupuesto de las Comunidades Autónomas, decidiendo el destino y aplicando fondos de estas, arrogándose así una potestad inherente a la autonomía financiera que tienen constitucionalmente reconocida. Por este motivo se vulnerarían los arts. 137, 150.2, 156.1 y 158.1 CE, en relación con el art. 175.2 a), b) y c) EAAnd, en lo relativo a los principios de autonomía y suficiencia financiera de las Comunidades Autónomas.</w:t>
      </w:r>
    </w:p>
    <w:p w:rsidR="00A90898" w:rsidRDefault="00A90898" w:rsidP="00A90898">
      <w:pPr>
        <w:pStyle w:val="TextoNormal"/>
      </w:pPr>
    </w:p>
    <w:p w:rsidR="00A90898" w:rsidRDefault="00A90898" w:rsidP="00A90898">
      <w:pPr>
        <w:pStyle w:val="TextoNormal"/>
      </w:pPr>
      <w:r>
        <w:t xml:space="preserve">La medida sería, además, desproporcionada y contraria a los principios de seguridad jurídica y de interdicción de arbitrariedad de los poderes públicos que garantiza el art. 9.3 CE. Partiendo de que los límites impuestos a la autonomía financiera deben ser, en todo caso, proporcionados a los objetivos perseguidos (STC 48/2004, de 25 de marzo), señala que con la retención que, en su caso, acordase el Estado, se mermaría la financiación de las Comunidades Autónomas, sin justificar dicha decisión en el empleo inmediato de los fondos retenidos en el pago a las entidades locales, pues la norma no garantiza el plazo en el que el Estado haría efectivos dichos abonos. Por tanto, la Comunidad Autónoma podría no percibir parcialmente las transferencias debidas por el Estado al amparo de la exigencia de pago de las deudas con las entidades locales, sin que quede asegurado que el Estado atendiese a satisfacer dichas deudas antes de lo que lo pudiera hacer aquella, ni tan siquiera cuándo lo </w:t>
      </w:r>
      <w:r>
        <w:lastRenderedPageBreak/>
        <w:t>haría. Concluye así que no cabe duda de que la retención que eventualmente pudiera acordarse por el Estado no sólo estaría mermando la financiación de las Comunidades Autónomas, sino que no estaría justificada en el empleo inmediato de los fondos retenidos en el pago a los proveedores, pues la norma no garantiza el plazo en el que el Estado haría efectivos dichos abonos.</w:t>
      </w:r>
    </w:p>
    <w:p w:rsidR="00A90898" w:rsidRDefault="00A90898" w:rsidP="00A90898">
      <w:pPr>
        <w:pStyle w:val="TextoNormal"/>
      </w:pPr>
    </w:p>
    <w:p w:rsidR="00A90898" w:rsidRDefault="00A90898" w:rsidP="00A90898">
      <w:pPr>
        <w:pStyle w:val="TextoNormal"/>
      </w:pPr>
      <w:r>
        <w:t>En segundo lugar, el nuevo apartado 5 de la disposición adicional octava LOFCA vulneraría los principios de lealtad institucional y cooperación en materia financiera, recogidos en los arts. 175.2 e), 183.1 y 7, y 219 EAAnd. Se trataría de una imposición unilateral por el Estado que le permite efectuar una retención sin negociación previa alguna con la Comunidad Autónoma afectada; pese a que existen comisiones bilaterales de cooperación con fundamento tanto en el art. 5.2 de la Ley 30/1992, de régimen jurídico de las Administraciones públicas y del procedimiento administrativo común, como, en el caso de Andalucía, en los arts. 220 EAAnd (comisión bilateral de cooperación) y 184 EAAnd (comisión mixta de asuntos económicos y fiscales).</w:t>
      </w:r>
    </w:p>
    <w:p w:rsidR="00A90898" w:rsidRDefault="00A90898" w:rsidP="00A90898">
      <w:pPr>
        <w:pStyle w:val="TextoNormal"/>
      </w:pPr>
    </w:p>
    <w:p w:rsidR="00A90898" w:rsidRDefault="00A90898" w:rsidP="00A90898">
      <w:pPr>
        <w:pStyle w:val="TextoNormal"/>
      </w:pPr>
      <w:r>
        <w:t>En tercer y último lugar, el nuevo apartado 5 de la disposición adicional octava LOFCA sería contradictorio con el art. 135.3 CE. Razona la demandante que el mecanismo de retención, con el objeto de que los fondos retenidos puedan destinarse al pago de las deudas de las entidades locales, vulnera la regla de prioridad absoluta en el pago del capital e intereses de la deuda pública establecida en el art. 135.3 CE, en la medida en que la aplicación del mencionado mecanismo de retención podría traer consigo que las entidades locales de las Comunidades Autónomas “intervenidas” tuvieran prioridad en el pago frene a los acreedores de la deuda pública. A su juicio, el mandato de respetar en la ordenación de los pagos la preferencia garantizada constitucionalmente para la deuda pública alcanza a todas las Administraciones. Del tenor literal del art. 135.3 CE parece desprenderse que el mandato lo ha de cumplir cada Administración en relación con su respectivo presupuesto. La gestión por parte de la Administración del Estado de unos recursos ajenos y, en definitiva, su subrogación en la posición de la Comunidad Autónoma, introduce la disfunción de que esta prioridad pueda no verse garantizada. En definitiva, de mantenerse el mecanismo de retención previsto en la Ley Orgánica 6/2015, el respeto de la prioridad absoluta en el pago a los titulares de la deuda pública de la Comunidad Autónoma morosa quedará al albur de las circunstancias concretas de cada caso o de la efectiva puesta en marcha de mecanismos de cooperación entre el Estado y la Comunidad Autónoma, convirtiendo en superfluo el art. 135.3 CE, más allá del valor programático que pudiera conservar.</w:t>
      </w:r>
    </w:p>
    <w:p w:rsidR="00A90898" w:rsidRDefault="00A90898" w:rsidP="00A90898">
      <w:pPr>
        <w:pStyle w:val="TextoNormal"/>
      </w:pPr>
    </w:p>
    <w:p w:rsidR="00A90898" w:rsidRDefault="00A90898" w:rsidP="00A90898">
      <w:pPr>
        <w:pStyle w:val="TextoNormal"/>
      </w:pPr>
      <w:r>
        <w:t>b) El segundo de los preceptos impugnados se reputa inconstitucional porque permite que por vía reglamentaria se modifique el contenido de los arts. 107 a 110 LGS, referidos a la delimitación del gasto farmacéutico hospitalario, del gasto en productos farmacéuticos y sanitarios por recetas médicas u orden de dispensación y del gasto en productos sanitarios sin receta médica u orden de dispensación.</w:t>
      </w:r>
    </w:p>
    <w:p w:rsidR="00A90898" w:rsidRDefault="00A90898" w:rsidP="00A90898">
      <w:pPr>
        <w:pStyle w:val="TextoNormal"/>
      </w:pPr>
    </w:p>
    <w:p w:rsidR="00A90898" w:rsidRDefault="00A90898" w:rsidP="00A90898">
      <w:pPr>
        <w:pStyle w:val="TextoNormal"/>
      </w:pPr>
      <w:r>
        <w:t>Para la demandante, el hecho de que se permita la modificación de los arts. 107 a) 110 LGS mediante orden ministerial supone la infracción de los principios de jerarquía normativa, seguridad jurídica e interdicción de la arbitrariedad de los poderes públicos, que consagra el art. 9.3 CE (cita la doctrina sentada en la STC 111/2014, de 26 de junio).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Por providencia de 6 de octubre de 2015 el Pleno del Tribunal acordó admitir a trámite el presente recurso de inconstitucionalidad, dando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con publicación de la incoación del proceso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en este Tribunal el 14 de octubre de 2015, el Presidente del Senado comunicó el acuerdo de la Mesa de la Cámara de personarse en el procedimiento y ofrecer su colaboración a los efectos del art. 88.1 LOTC. Lo mismo hizo el Presidente del Congreso de los Diputados, por escrito que tuvo entrada en el Registro General de este Tribunal el 15 de octubre de 2015.</w:t>
      </w:r>
    </w:p>
    <w:p w:rsidR="00A90898" w:rsidRDefault="00A90898" w:rsidP="00A90898">
      <w:pPr>
        <w:pStyle w:val="TextoNormal"/>
      </w:pPr>
    </w:p>
    <w:p w:rsidR="00A90898" w:rsidRDefault="00A90898" w:rsidP="00A90898">
      <w:pPr>
        <w:pStyle w:val="TextoNormal"/>
      </w:pPr>
      <w:r w:rsidRPr="00A90898">
        <w:rPr>
          <w:rStyle w:val="NumeroAFNegritaCaracter"/>
        </w:rPr>
        <w:t>4</w:t>
      </w:r>
      <w:r>
        <w:t>. El 16 de octubre de 2015 tuvo entrada en el Registro General de este Tribunal escrito del Abogado del Estado por el que suplicaba se le tuviese por personado en el presente recurso, en la representación que legalmente ostenta, solicitando una prórroga del plazo concedido para formular alegaciones por ocho días más.</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providencia de 19 de octubre de 2015 el Pleno del Tribunal acordó incorporar a las actuaciones el anterior escrito del Abogado del Estado y conceder la prórroga solicitada de ocho días, a contar desde el siguiente al de expiración del ordinario.</w:t>
      </w:r>
    </w:p>
    <w:p w:rsidR="00A90898" w:rsidRDefault="00A90898" w:rsidP="00A90898">
      <w:pPr>
        <w:pStyle w:val="TextoNormal"/>
      </w:pPr>
    </w:p>
    <w:p w:rsidR="00A90898" w:rsidRDefault="00A90898" w:rsidP="00A90898">
      <w:pPr>
        <w:pStyle w:val="TextoNormal"/>
      </w:pPr>
      <w:r w:rsidRPr="00A90898">
        <w:rPr>
          <w:rStyle w:val="NumeroAFNegritaCaracter"/>
        </w:rPr>
        <w:t>6</w:t>
      </w:r>
      <w:r>
        <w:t>. El 11 de noviembre de 2015 tuvo entrada en el Registro General de este Tribunal el escrito de alegaciones del Abogado del Estado, solicitando la desestimación del presente recurso de inconstitucionalidad, por las razones que a continuación se resumen.</w:t>
      </w:r>
    </w:p>
    <w:p w:rsidR="00A90898" w:rsidRDefault="00A90898" w:rsidP="00A90898">
      <w:pPr>
        <w:pStyle w:val="TextoNormal"/>
      </w:pPr>
    </w:p>
    <w:p w:rsidR="00A90898" w:rsidRDefault="00A90898" w:rsidP="00A90898">
      <w:pPr>
        <w:pStyle w:val="TextoNormal"/>
      </w:pPr>
      <w:r>
        <w:t>a) Comienza haciendo una referencia al marco europeo que da lugar a la normativa estatal reguladora de la estabilidad presupuestaria, así como al recurso de inconstitucionalidad núm. 1762-2014, interpuesto también por el Consejo de Gobierno de Andalucía, contra determinados preceptos de la Ley Orgánica 9/2013, de 20 de diciembre, de control de la deuda comercial del sector público. Se refiere también a la doctrina contenida en la STC 215/2014, de 18 de diciembre, que desestimó el recurso de inconstitucionalidad formulado por el Gobierno de Canarias contra varios preceptos de la Ley Orgánica 2/2012.</w:t>
      </w:r>
    </w:p>
    <w:p w:rsidR="00A90898" w:rsidRDefault="00A90898" w:rsidP="00A90898">
      <w:pPr>
        <w:pStyle w:val="TextoNormal"/>
      </w:pPr>
    </w:p>
    <w:p w:rsidR="00A90898" w:rsidRDefault="00A90898" w:rsidP="00A90898">
      <w:pPr>
        <w:pStyle w:val="TextoNormal"/>
      </w:pPr>
      <w:r>
        <w:t xml:space="preserve">Expone a continuación las distintas reformas acometidas en la LOFCA para adaptar los recursos y gastos de las Comunidades Autónomas al cumplimiento de las exigencias de estabilidad presupuestaria y sostenibilidad financiera, entre las que destaca el Real Decreto-ley 17/2014, de 26 de diciembre, de medidas de sostenibilidad financiera de las Comunidades Autónomas y entidades locales, cuya sección tercera del capítulo III del título II regula el procedimiento y condiciones para la retención de los recursos de los regímenes de financiación de las Comunidades Autónomas por aplicación del art. 57 </w:t>
      </w:r>
      <w:r w:rsidRPr="00A90898">
        <w:rPr>
          <w:i/>
        </w:rPr>
        <w:t>bis</w:t>
      </w:r>
      <w:r>
        <w:t xml:space="preserve"> de la Ley 7/1985, de 2 de abril, de bases de régimen local (introducido por la Ley 27/2013, de 27 diciembre, de racionalización y sostenibilidad de la Administración local), que se refiere a las obligaciones pendientes dc pago derivadas de normas autonómicas que deleguen competencias en materia de gasto social y de convenios suscritos en materia de gasto social.</w:t>
      </w:r>
    </w:p>
    <w:p w:rsidR="00A90898" w:rsidRDefault="00A90898" w:rsidP="00A90898">
      <w:pPr>
        <w:pStyle w:val="TextoNormal"/>
      </w:pPr>
    </w:p>
    <w:p w:rsidR="00A90898" w:rsidRDefault="00A90898" w:rsidP="00A90898">
      <w:pPr>
        <w:pStyle w:val="TextoNormal"/>
      </w:pPr>
      <w:r>
        <w:lastRenderedPageBreak/>
        <w:t>Así expuestos los antecedentes del apartado 5 de la disposición adicional octava LOFCA, añadido por la Ley Orgánica 6/2015, interesa, en primer lugar, que se declare la pérdida de objeto del presente recurso por falta de relevancia y de aplicabilidad de la norma recurrida, pues entiende que solo afectaría a las Comunidades Autónomas que no se hayan adherido al fondo social del fondo de financiación a Comunidades Autónomas previsto en el citado Real Decreto-ley 17/2014 y, además, no hayan pagado la deuda en los términos y plazos establecidos en el mismo Real Decreto-ley. Destaca así que tanto la creación del referido fondo social, como las medidas de retención de créditos, se adoptaron con el propósito conjunto de eliminar (mediante su pago) una deuda de las Comunidades Autónomas con las entidades locales de considerable cuantía que se había acumulado. Así, la norma impugnada únicamente tuvo virtualidad en un momento temporal determinado, e incluso ni tan siquiera llegó a ser aplicada. Todas las Comunidades Autónomas que tenían deudas en la materia susceptibles de retención las satisficieron o se adhirieron al fondo social, entre ellas Andalucía, que al haberse adherido a dicho fondo no estaba en el ámbito de aplicación del supuesto de retención que se impugna. Añade que las Comunidades Autónomas que no se adhirieron al fondo certificaron que no tenían este tipo de deudas por lo que, el supuesto de retención del apartado 5 de la disposición adicional octava LOFCA, cuya aplicación hubiera tenido lugar en 2015, al tratarse de deudas sociales de las Comunidades Autónomas con las entidades locales que fueran líquidas, vencidas y exigibles a 31 de diciembre de 2014, quedó en la práctica sin ámbito de aplicación posible, ni subjetivo ni objetivo ni temporal. Concluye por ello que la impugnación de esta disposición pierde su objeto, al no tener la misma ninguna aplicación ni presente, ni pasada, ni futura, de manera que en nada puede afectar a las competencias autonómicas.</w:t>
      </w:r>
    </w:p>
    <w:p w:rsidR="00A90898" w:rsidRDefault="00A90898" w:rsidP="00A90898">
      <w:pPr>
        <w:pStyle w:val="TextoNormal"/>
      </w:pPr>
    </w:p>
    <w:p w:rsidR="00A90898" w:rsidRDefault="00A90898" w:rsidP="00A90898">
      <w:pPr>
        <w:pStyle w:val="TextoNormal"/>
      </w:pPr>
      <w:r>
        <w:t>Subsidiariamente, alega el Abogado del Estado que el apartado 5 de la disposición adicional octava LOFCA no vulnera el principio de autonomía financiera. El mecanismo de retención únicamente tiene por objeto satisfacer el pago de gastos que ya han sido decididos por las Comunidades Autónomas. En ningún momento el Estado gestiona o decide cómo deben las Comunidades Autónomas gastar su presupuesto; lo único que pretende es asegurarse del pago de lo adeudado a las entidades locales por la prestación de servicios sociales respecto de aquellas deudas que fueran líquidas, vencidas y exigibles a 31 de diciembre de 2014. Tampoco se ve afectado el principio de suficiencia financiera, toda vez que la Comunidad Autónoma no percibirá menos recursos, sino que, sencillamente, una parte de los mismos se destinará al pago de obligaciones pendientes que no ha satisfecho.</w:t>
      </w:r>
    </w:p>
    <w:p w:rsidR="00A90898" w:rsidRDefault="00A90898" w:rsidP="00A90898">
      <w:pPr>
        <w:pStyle w:val="TextoNormal"/>
      </w:pPr>
    </w:p>
    <w:p w:rsidR="00A90898" w:rsidRDefault="00A90898" w:rsidP="00A90898">
      <w:pPr>
        <w:pStyle w:val="TextoNormal"/>
      </w:pPr>
      <w:r>
        <w:t>No se trata tampoco, como aduce la demandante, de una medida desproporcionada, porque en la Ley Orgánica 2/2012 se ha previsto un conjunto de medidas preventivas, correctoras y coercitivas, de aplicación sucesiva ante el incumplimiento reiterado por parte de una Comunidad Autónoma del periodo máximo de pago legalmente establecido.</w:t>
      </w:r>
    </w:p>
    <w:p w:rsidR="00A90898" w:rsidRDefault="00A90898" w:rsidP="00A90898">
      <w:pPr>
        <w:pStyle w:val="TextoNormal"/>
      </w:pPr>
    </w:p>
    <w:p w:rsidR="00A90898" w:rsidRDefault="00A90898" w:rsidP="00A90898">
      <w:pPr>
        <w:pStyle w:val="TextoNormal"/>
      </w:pPr>
      <w:r>
        <w:t>En cuanto a los principios de lealtad y cooperación institucional, descarta la Abogacía del Estado que se vean afectados, porque en el caso de la retención de recursos el Estado, amparado por el art. 135 CE y por la Ley Orgánica 6/2015, adopta esta medida ante un incumplimiento prolongado por una Comunidad Autónoma de los plazos máximos de pago legalmente establecidos, con el objeto de garantizar la sostenibilidad financiera.</w:t>
      </w:r>
    </w:p>
    <w:p w:rsidR="00A90898" w:rsidRDefault="00A90898" w:rsidP="00A90898">
      <w:pPr>
        <w:pStyle w:val="TextoNormal"/>
      </w:pPr>
    </w:p>
    <w:p w:rsidR="00A90898" w:rsidRDefault="00A90898" w:rsidP="00A90898">
      <w:pPr>
        <w:pStyle w:val="TextoNormal"/>
      </w:pPr>
      <w:r>
        <w:lastRenderedPageBreak/>
        <w:t>En fin, respecto de la denunciada infracción del art. 135.3 CE (vulneración de la regla de prioridad absoluta en el pago de la deuda pública), destaca el Abogado del Estado que precisamente la medida se enmarca en una batería de disposiciones que pretenden facilitar a las Comunidades Autónomas la liquidez necesaria para atender los vencimientos de capital que no pudieran refinanciarse a unos determinados niveles de costes; se cubrirían así las necesidades de financiación del déficit público y se contribuiría a hacer efectivo el principio de prioridad absoluta del pago de la deuda pública por las Comunidades Autónomas. De este modo, si hubiera dificultades para que una Comunidad Autónoma pudiera refinanciar cualesquiera vencimientos de capital e intereses, estos se atenderían a través del fondo social del fondo de financiación a las Comunidades Autónomas, sin que el mecanismo de retención previsto pudiera afectar al cumplimiento de las obligaciones previstas en el art. 135.3 CE.</w:t>
      </w:r>
    </w:p>
    <w:p w:rsidR="00A90898" w:rsidRDefault="00A90898" w:rsidP="00A90898">
      <w:pPr>
        <w:pStyle w:val="TextoNormal"/>
      </w:pPr>
    </w:p>
    <w:p w:rsidR="00A90898" w:rsidRDefault="00A90898" w:rsidP="00A90898">
      <w:pPr>
        <w:pStyle w:val="TextoNormal"/>
      </w:pPr>
      <w:r>
        <w:t>b) Se refiere por último el Abogado del Estado a la impugnación de la disposición final primera, apartado tres, de la Ley Orgánica 6/2015, por el que se añade una nueva disposición final decimosexta a la Ley general de sanidad, que habilita para regular reglamentariamente lo previsto en los arts. 107 a 110 de la propia Ley general de sanidad.</w:t>
      </w:r>
    </w:p>
    <w:p w:rsidR="00A90898" w:rsidRDefault="00A90898" w:rsidP="00A90898">
      <w:pPr>
        <w:pStyle w:val="TextoNormal"/>
      </w:pPr>
    </w:p>
    <w:p w:rsidR="00A90898" w:rsidRDefault="00A90898" w:rsidP="00A90898">
      <w:pPr>
        <w:pStyle w:val="TextoNormal"/>
      </w:pPr>
      <w:r>
        <w:t>Comienza con una descripción de la medida normativa, destacando que se trata de garantizar el control del gasto farmacéutico; estaría en línea con la recomendación que dirige el Consejo Europeo a España de tomar medidas en el periodo 2014-2015 para seguir aumentando la eficiencia del sistema sanitario, sobre todo aumentando la racionalización del gasto farmacéutico, con inclusión del realizado en los hospitales, todo ello con el objetivo de cumplir los principios de estabilidad presupuestaria y sostenibilidad financiera.</w:t>
      </w:r>
    </w:p>
    <w:p w:rsidR="00A90898" w:rsidRDefault="00A90898" w:rsidP="00A90898">
      <w:pPr>
        <w:pStyle w:val="TextoNormal"/>
      </w:pPr>
    </w:p>
    <w:p w:rsidR="00A90898" w:rsidRDefault="00A90898" w:rsidP="00A90898">
      <w:pPr>
        <w:pStyle w:val="TextoNormal"/>
      </w:pPr>
      <w:r>
        <w:t>Sostiene el Abogado del Estado que, una vez delimitada en una norma con rango de ley cuál es la definición de los distintos conceptos contenidos en los arts. 107 a 110 LGS, es comprensible, dado el marcado carácter técnico de los mismos, la necesidad de que se detallen de manera más concreta y específica en otro texto normativo que, con carácter subordinado a la ley y sin contradecirla, desarrolle los conceptos anteriormente señalados; lo que no supone infracción del principio de reserva de ley, ni tampoco de los principios de seguridad jurídica e interdicción de la arbitrariedad de los poderes públicos.</w:t>
      </w:r>
    </w:p>
    <w:p w:rsidR="00A90898" w:rsidRDefault="00A90898" w:rsidP="00A90898">
      <w:pPr>
        <w:pStyle w:val="TextoNormal"/>
      </w:pPr>
    </w:p>
    <w:p w:rsidR="00A90898" w:rsidRDefault="00A90898" w:rsidP="00A90898">
      <w:pPr>
        <w:pStyle w:val="TextoNormal"/>
      </w:pPr>
      <w:r>
        <w:t>Asimismo considera el Abogado del Estado que la impugnación tendría un carácter preventivo (STC 161/2014, de 7 de octubre), por cuanto se prejuzga que la orden que en el futuro se dicte va a contradecir los conceptos delimitados en los arts. 107 a 110 LGS.</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20 de septiembre de 2016 se señaló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interpuesto por el Consejo de Gobierno de Andalucía, se dirige contra la Ley Orgánica 6/2015, de 12 de junio, de la que se impugnan el apartado 5 del art. 1, que incorpora un nuevo apartado 5 a la disposición adicional octava de la Ley Orgánica 8/1980, de 22 de septiembre, de financiación de las Comunidades Autónomas (LOFCA), y el apartado 3 de la disposición final primera, que añade una nueva disposición final decimosexta a la Ley 14/1986, de 25 de abril, general de sanidad.</w:t>
      </w:r>
    </w:p>
    <w:p w:rsidR="00A90898" w:rsidRDefault="00A90898" w:rsidP="00A90898">
      <w:pPr>
        <w:pStyle w:val="TextoNormal"/>
      </w:pPr>
    </w:p>
    <w:p w:rsidR="00A90898" w:rsidRDefault="00A90898" w:rsidP="00A90898">
      <w:pPr>
        <w:pStyle w:val="TextoNormal"/>
      </w:pPr>
      <w:r w:rsidRPr="00A90898">
        <w:rPr>
          <w:rStyle w:val="NumeroAFNegritaCaracter"/>
        </w:rPr>
        <w:t>2</w:t>
      </w:r>
      <w:r>
        <w:t>. El apartado 5 del art. 1 de la Ley Orgánica 6/2015, que añade un apartado 5 a la disposición adicional octava LOFCA, tiene el siguiente tenor:</w:t>
      </w:r>
    </w:p>
    <w:p w:rsidR="00A90898" w:rsidRDefault="00A90898" w:rsidP="00A90898">
      <w:pPr>
        <w:pStyle w:val="TextoNormal"/>
      </w:pPr>
    </w:p>
    <w:p w:rsidR="00A90898" w:rsidRDefault="00A90898" w:rsidP="00A90898">
      <w:pPr>
        <w:pStyle w:val="TextoNormal"/>
      </w:pPr>
      <w:r>
        <w:t>“El Estado podrá deducir o retener de los importes satisfechos por todos los recursos de los regímenes de financiación de las Comunidades Autónomas no adheridas al compartimento Fondo Social del Fondo de Financiación a Comunidades Autónomas, las cantidades necesarias para abonar las obligaciones pendientes de pago por parte de las Comunidades Autónomas con las Entidades Locales derivadas de transferencias y convenios suscritos en materia de gasto social que sean vencidas, líquidas y exigibles a 31 de diciembre de 2014.”</w:t>
      </w:r>
    </w:p>
    <w:p w:rsidR="00A90898" w:rsidRDefault="00A90898" w:rsidP="00A90898">
      <w:pPr>
        <w:pStyle w:val="TextoNormal"/>
      </w:pPr>
    </w:p>
    <w:p w:rsidR="00A90898" w:rsidRDefault="00A90898" w:rsidP="00A90898">
      <w:pPr>
        <w:pStyle w:val="TextoNormal"/>
      </w:pPr>
      <w:r>
        <w:t>La recurrente alega que esta disposición vulnera, en primer lugar, los arts. 137, 150.2, 156.1 y 158.1 CE, en relación con el art. 175.2 a), b) y c) del Estatuto de Autonomía para Andalucía (EAAnd), en lo relativo a los principios de autonomía y suficiencia financiera de las Comunidades Autónomas. Aduce que la medida de retención es desproporcionada y contraria a los principios de seguridad jurídica y de interdicción de arbitrariedad de los poderes públicos garantizados por el art. 9.3 CE. En segundo lugar, estima vulnerados los arts. 175.2 e), 183.1 y 7, y 219 EAAnd, que establecen los principios de autonomía y suficiencia financiera, lealtad institucional, coordinación, colaboración, transparencia y participación en las decisiones que afecten a la Comunidades Autónomas, así como de cooperación y mutuo auxilio. Por último, la disposición impugnada vulneraría también la regla de prioridad absoluta en el pago del capital e intereses de la deuda pública establecida en el art. 135.3 CE, pues la aplicación del mencionado mecanismo de retención podría traer consigo que las entidades locales en las Comunidades Autónomas “intervenidas” tuvieran prioridad en el pago frente a los acreedores de la deuda pública.</w:t>
      </w:r>
    </w:p>
    <w:p w:rsidR="00A90898" w:rsidRDefault="00A90898" w:rsidP="00A90898">
      <w:pPr>
        <w:pStyle w:val="TextoNormal"/>
      </w:pPr>
    </w:p>
    <w:p w:rsidR="00A90898" w:rsidRDefault="00A90898" w:rsidP="00A90898">
      <w:pPr>
        <w:pStyle w:val="TextoNormal"/>
      </w:pPr>
      <w:r>
        <w:t>Antes de dar respuesta a las tachas planteadas por la recurrente, es necesario examinar la relevancia, sobre el objeto del presente recurso, de que el nuevo apartado 5 de la disposición adicional octava LOFCA, introducido por el art. 1 apartado 5 de la Ley Orgánica 6/2015, haya agotado sus efectos.</w:t>
      </w:r>
    </w:p>
    <w:p w:rsidR="00A90898" w:rsidRDefault="00A90898" w:rsidP="00A90898">
      <w:pPr>
        <w:pStyle w:val="TextoNormal"/>
      </w:pPr>
    </w:p>
    <w:p w:rsidR="00A90898" w:rsidRDefault="00A90898" w:rsidP="00A90898">
      <w:pPr>
        <w:pStyle w:val="TextoNormal"/>
      </w:pPr>
      <w:r>
        <w:t>Como ha quedado expuesto en los antecedentes, el Abogado del Estado ha interesado que se declare la pérdida de objeto del recurso por no ser ya aplicable la norma impugnada. Destaca que la disposición en cuestión se refería a las obligaciones pendientes de pago de las Comunidades Autónomas con las entidades locales, derivadas de transferencias y convenios suscritos en materia de gasto social que fueran vencidas, líquidas y exigibles a 31 de diciembre de 2014. Su ámbito, por tanto, se circunscribía al ejercicio 2015. Añade a ello que, en realidad, la medida de retención contenida en la disposición impugnada no se ha llegado a aplicar en ningún momento. No sólo su ámbito de aplicación temporal ha concluido, sino que todas las Comunidades Autónomas que tenían deudas en la materia susceptibles de retención, o bien las satisficieron, o bien se adhirieron al fondo social regulado en el Real Decreto-ley 17/2014, como hizo la Comunidad Autónoma demandante; por lo que ni siquiera estaba incluida en el ámbito de aplicación del supuesto de retención que impugna.</w:t>
      </w:r>
    </w:p>
    <w:p w:rsidR="00A90898" w:rsidRDefault="00A90898" w:rsidP="00A90898">
      <w:pPr>
        <w:pStyle w:val="TextoNormal"/>
      </w:pPr>
    </w:p>
    <w:p w:rsidR="00A90898" w:rsidRDefault="00A90898" w:rsidP="00A90898">
      <w:pPr>
        <w:pStyle w:val="TextoNormal"/>
      </w:pPr>
      <w:r>
        <w:t xml:space="preserve">El hecho de que la norma impugnada haya desplegado ya la totalidad de sus efectos, o incluso que no haya llegado a surtirlos por no haber sido precisa su aplicación, como parece haber sucedido en este caso, no implica sin embargo la pérdida de objeto de la controversia. Primero, porque la impugnación tiene evidente contenido competencial, debiendo por tanto </w:t>
      </w:r>
      <w:r>
        <w:lastRenderedPageBreak/>
        <w:t>este Tribunal resolver los términos de la controversia “mientras la esfera respectiva de competencias no resulte pacífica y aunque la disposición sobre la que se trabó el conflicto resulte luego derogada o modificada” [STC 134/2011, de 20 de julio, FJ 2 b); doctrina reiterada, entre otras, en las SSTC 204/2011, de 15 de diciembre, FJ 2 a); 120/2012, de 4 de junio, FJ 2 a), y 171/2014, de 23 de octubre, FJ 2 a)]. En segundo lugar, porque las normas con vigencia definida y limitada en el tiempo, como ha sido el caso de la presente o de las normas que regulan el sistema de financiación autonómica para un determinado periodo de tiempo, al igual que acontece con las leyes de presupuestos, de carácter anual, no pueden constituir un ámbito inmune al control de constitucionalidad [entre otras SSTC 111/2014, de 16 de junio, FJ 1 b), y 171/2014, de 23 de octubre, FJ 2 a); con cita de las SSTC 248/2007, de 13 de diciembre, FJ 2; 204/2011, de 15 de diciembre, FJ 2 a); 100/2013, de 23 de abril, FJ 2 a), y 76/2014, de 8 de mayo , FJ 2 a)].</w:t>
      </w:r>
    </w:p>
    <w:p w:rsidR="00A90898" w:rsidRDefault="00A90898" w:rsidP="00A90898">
      <w:pPr>
        <w:pStyle w:val="TextoNormal"/>
      </w:pPr>
    </w:p>
    <w:p w:rsidR="00A90898" w:rsidRDefault="00A90898" w:rsidP="00A90898">
      <w:pPr>
        <w:pStyle w:val="TextoNormal"/>
      </w:pPr>
      <w:r w:rsidRPr="00A90898">
        <w:rPr>
          <w:rStyle w:val="NumeroAFNegritaCaracter"/>
        </w:rPr>
        <w:t>3</w:t>
      </w:r>
      <w:r>
        <w:t>. Entrando en el examen de fondo del primer motivo de inconstitucionalidad, el escrito de demanda ha puesto de manifiesto, como también el Abogado del Estado, la existencia de una sustancial vinculación entre la presente impugnación y la que se dirigió contra los apartados 6 y 16 del art. 1 y contra el art. 2 de la Ley Orgánica 9/2013, de control de la deuda comercial en el sector público, objeto del recurso de inconstitucionalidad núm. 1762-2014, interpuesto por la misma demandante y ya resuelto por la STC 101/2016, de 25 de mayo. Coinciden asimismo, como también aducen ambas partes, los motivos impugnatorios alegados en ambos procesos.</w:t>
      </w:r>
    </w:p>
    <w:p w:rsidR="00A90898" w:rsidRDefault="00A90898" w:rsidP="00A90898">
      <w:pPr>
        <w:pStyle w:val="TextoNormal"/>
      </w:pPr>
    </w:p>
    <w:p w:rsidR="00A90898" w:rsidRDefault="00A90898" w:rsidP="00A90898">
      <w:pPr>
        <w:pStyle w:val="TextoNormal"/>
      </w:pPr>
      <w:r>
        <w:t>En aquel recurso se impugnaron los mecanismos de retención regulados en los arts. 20.6 y la disposición final segunda de la Ley Orgánica 2/2012, así como en el apartado 3 de la disposición adicional octava LOFCA (en la redacción dada por la Ley Orgánica 9/2013 y renumerado como apartado 4 por el art. 1.5 de la Ley Orgánica 6/2015, de 12 de junio). Dichos mecanismos contemplan, como han destacado las partes en este proceso, un supuesto de retención muy similar al ahora impugnado: el regulado en el nuevo apartado 5 de la disposición adicional octava LOFCA. Se arbitra la posibilidad de que el Estado retenga cantidades a satisfacer del régimen de financiación de las Comunidades Autónomas para atender las deudas contraídas por estas con terceros, proveedores, en el asunto enjuiciado en la STC 101/2016 (la denominada “deuda comercial”), o entidades locales, en el presente caso. Se trata de supuestos de “compensación triangular” de deudas. Mediante la retención y la consiguiente puesta a disposición del tercero de las cantidades deducidas, el Estado consigue, de un lado, cumplir la obligación que el sistema de financiación le impone frente a la Comunidad Autónoma y, al propio tiempo, que la Comunidad Autónoma cumpla la obligación contraída por ella con el tercero. Así lo hemos puesto de manifiesto en la STC 41/2016, de 3 de marzo, FJ 16 a), a la luz, precisamente, tanto del supuesto de retención examinado en la STC 101/2016 como del aquí controvertido específicamente.</w:t>
      </w:r>
    </w:p>
    <w:p w:rsidR="00A90898" w:rsidRDefault="00A90898" w:rsidP="00A90898">
      <w:pPr>
        <w:pStyle w:val="TextoNormal"/>
      </w:pPr>
    </w:p>
    <w:p w:rsidR="00A90898" w:rsidRDefault="00A90898" w:rsidP="00A90898">
      <w:pPr>
        <w:pStyle w:val="TextoNormal"/>
      </w:pPr>
      <w:r>
        <w:t>Esta última previsión solo difiere de la enjuiciada en la STC 101/2016 en que los beneficiarios de la citada finalidad compensatoria son entidades locales. El fin de la retención es asegurar que se atienden las deudas que las Comunidades Autónomas hayan contraído con aquellas, precisamente en el marco de convenios en materia de gasto social. Asimismo, dicha retención opera de manera subsidiaria, solo para las Comunidades Autónomas que no se hayan acogido al fondo social regulado en el Real Decreto-ley 17/2014 (arts. 28 y ss.) y tampoco hayan atendido las citadas obligaciones pendientes de pago con las entidades locales.</w:t>
      </w:r>
    </w:p>
    <w:p w:rsidR="00A90898" w:rsidRDefault="00A90898" w:rsidP="00A90898">
      <w:pPr>
        <w:pStyle w:val="TextoNormal"/>
      </w:pPr>
    </w:p>
    <w:p w:rsidR="00A90898" w:rsidRDefault="00A90898" w:rsidP="00A90898">
      <w:pPr>
        <w:pStyle w:val="TextoNormal"/>
      </w:pPr>
      <w:r>
        <w:t xml:space="preserve">Conviene señalar, en fin, que la precitada STC 41/2016 abordó un supuesto de “compensación triangular” en el que los acreedores beneficiarios de la retención eran asimismo entidades locales (art. 57 </w:t>
      </w:r>
      <w:r w:rsidRPr="00A90898">
        <w:rPr>
          <w:i/>
        </w:rPr>
        <w:t>bis</w:t>
      </w:r>
      <w:r>
        <w:t xml:space="preserve"> de la Ley 7/1985, de 2 de abril, reguladora de las bases del régimen local, introducido por el art. 1.17 de la Ley 27/2013, de 27 de diciembre, de racionalización y sostenibilidad de la Administración local). Esa Sentencia, a diferencia de la STC 101/2016, no examinó el problema de las “compensaciones triangulares” bajo la óptica que aquí interesa. Se limitó a razonar que el art. 57 </w:t>
      </w:r>
      <w:r w:rsidRPr="00A90898">
        <w:rPr>
          <w:i/>
        </w:rPr>
        <w:t>bis</w:t>
      </w:r>
      <w:r>
        <w:t xml:space="preserve"> de la Ley 7/1985 era inconstitucional y nulo por carecer de rango de ley orgánica (art. 157.3 CE), sin que fuera necesario entonces pronunciarse sobre si suponía, además, una injerencia ilegítima en la autonomía política de las Comunidades Autónomas, tal como precisó la propia Sentencia [FJ 16 c)].</w:t>
      </w:r>
    </w:p>
    <w:p w:rsidR="00A90898" w:rsidRDefault="00A90898" w:rsidP="00A90898">
      <w:pPr>
        <w:pStyle w:val="TextoNormal"/>
      </w:pPr>
    </w:p>
    <w:p w:rsidR="00A90898" w:rsidRDefault="00A90898" w:rsidP="00A90898">
      <w:pPr>
        <w:pStyle w:val="TextoNormal"/>
      </w:pPr>
      <w:r w:rsidRPr="00A90898">
        <w:rPr>
          <w:rStyle w:val="NumeroAFNegritaCaracter"/>
        </w:rPr>
        <w:t>4</w:t>
      </w:r>
      <w:r>
        <w:t>. Hechas las precisiones que anteceden, podemos concluir que las tachas planteadas respecto al apartado 5 de la disposición adicional octava LOFCA, añadido por art. 1.5 de la Ley Orgánica 6/2015, han sido ya resueltas por nuestra STC 101/2016, cuyos FFJJ 7 a 12 deben darse aquí por reproducidos. Ello permite desestimar la impugnación a partir de las siguientes consideraciones:</w:t>
      </w:r>
    </w:p>
    <w:p w:rsidR="00A90898" w:rsidRDefault="00A90898" w:rsidP="00A90898">
      <w:pPr>
        <w:pStyle w:val="TextoNormal"/>
      </w:pPr>
    </w:p>
    <w:p w:rsidR="00A90898" w:rsidRDefault="00A90898" w:rsidP="00A90898">
      <w:pPr>
        <w:pStyle w:val="TextoNormal"/>
      </w:pPr>
      <w:r>
        <w:t>a) La demanda ha alegado que esta disposición vulnera, en primer lugar, los arts. 137, 150.2, 156.1 y 158.1 CE, en relación con el art. 175.2 a), b) y c) EAAnd, en lo relativo a los principios de autonomía y suficiencia financiera de las Comunidades Autónomas. En relación con ello, aduce que esta medida es desproporcionada y contraria a los principios de seguridad jurídica y de interdicción de arbitrariedad de los poderes públicos contenidos en el art. 9.3 CE.</w:t>
      </w:r>
    </w:p>
    <w:p w:rsidR="00A90898" w:rsidRDefault="00A90898" w:rsidP="00A90898">
      <w:pPr>
        <w:pStyle w:val="TextoNormal"/>
      </w:pPr>
    </w:p>
    <w:p w:rsidR="00A90898" w:rsidRDefault="00A90898" w:rsidP="00A90898">
      <w:pPr>
        <w:pStyle w:val="TextoNormal"/>
      </w:pPr>
      <w:r>
        <w:t>La STC 101/2016, FJ 7, descartó que la autonomía financiera resulte vulnerada a consecuencia del citado mecanismo de retención: “la intervención en que consiste el mecanismo de retención que nos ocupa no se proyecta sobre el momento en que se definen las políticas autonómicas. La Comunidad Autónoma de que se trate ya decidió en su momento con plena autonomía en qué términos realizar sus competencias y, precisamente como consecuencia del ejercicio de las mismas, encargó bienes y servicios a proveedores, adquiriendo por ello compromisos de gasto que debería haber atendido en los plazos pactados y a lo sumo en los plazos máximos previstos en la normativa de morosidad. No quiere decirse con esto que el mecanismo de retención que estamos enjuiciando no conlleve un límite para las decisiones de gasto de la Comunidad Autónoma afectada y, consecuentemente, una injerencia en su autonomía financiera, pues resulta evidente que las cantidades retenidas por el Estado para el pago directo a los proveedores de aquélla no pueden ser objeto de disposición para otros fines. Ahora bien, por las razones antedichas, este límite no supone una sustitución en la definición autonómica de sus propias políticas en el ámbito de su competencia, no resultando alcanzado por tanto por la doctrina constitucional establecida en las SSTC 134/2011 y 215/2014 sobre la compatibilidad entre la autonomía reconocida a las Comunidades Autónomas y los controles estatales que supongan sustituir a aquéllas en el ejercicio de sus competencias”.</w:t>
      </w:r>
    </w:p>
    <w:p w:rsidR="00A90898" w:rsidRDefault="00A90898" w:rsidP="00A90898">
      <w:pPr>
        <w:pStyle w:val="TextoNormal"/>
      </w:pPr>
    </w:p>
    <w:p w:rsidR="00A90898" w:rsidRDefault="00A90898" w:rsidP="00A90898">
      <w:pPr>
        <w:pStyle w:val="TextoNormal"/>
      </w:pPr>
      <w:r>
        <w:t xml:space="preserve">Lo mismo sucede en este supuesto. La deuda que en su caso debiera ser abonada por el Estado mediante el mecanismo de retención responde a un gasto que ya ha sido decidido de antemano; en concreto, en virtud de transferencias y convenios suscritos en materia de gasto </w:t>
      </w:r>
      <w:r>
        <w:lastRenderedPageBreak/>
        <w:t>social por parte de las mismas Comunidades Autónomas con las entidades locales acreedoras.</w:t>
      </w:r>
    </w:p>
    <w:p w:rsidR="00A90898" w:rsidRDefault="00A90898" w:rsidP="00A90898">
      <w:pPr>
        <w:pStyle w:val="TextoNormal"/>
      </w:pPr>
    </w:p>
    <w:p w:rsidR="00A90898" w:rsidRDefault="00A90898" w:rsidP="00A90898">
      <w:pPr>
        <w:pStyle w:val="TextoNormal"/>
      </w:pPr>
      <w:r>
        <w:t>Tampoco por ello se afecta a la suficiencia financiera; como afirmamos en la STC 101/2016, FJ 8, “la eventual detracción de los importes a satisfacer por los recursos de los regímenes de financiación para pagar directamente a los proveedores no minora los recursos disponibles del sistema de financiación, al limitarse a afectar una parte de ellos al pago de unas obligaciones previamente contraídas por una Comunidad Autónoma en el ejercicio de su propia autonomía, que le impida realizar sus propias políticas en los ámbitos materiales de su competencia, ni le afecta a su autonomía de gasto, difícilmente puede apreciarse la pretendida vulneración de su suficiencia financiera”.</w:t>
      </w:r>
    </w:p>
    <w:p w:rsidR="00A90898" w:rsidRDefault="00A90898" w:rsidP="00A90898">
      <w:pPr>
        <w:pStyle w:val="TextoNormal"/>
      </w:pPr>
    </w:p>
    <w:p w:rsidR="00A90898" w:rsidRDefault="00A90898" w:rsidP="00A90898">
      <w:pPr>
        <w:pStyle w:val="TextoNormal"/>
      </w:pPr>
      <w:r>
        <w:t>A este razonamiento, que es plenamente trasladable a la retención ahora examinada, cabe añadir que tampoco la suficiencia financiera puede verse afectada en los términos que se denuncian, por el hecho de que el propio Estado hubiera arbitrado, con anterioridad, un mecanismo de financiación específico precisamente para que las haciendas autonómicas pudieran hacer frente a los citados pagos, cual es el fondo social del fondo de financiación a Comunidades Autónomas, regulado en el título II (arts. 28 a 34) del Real Decreto-ley 17/2014. El mecanismo de retención que se cuestiona opera, como ya se ha expuesto, de forma subsidiaria, solo para aquellos casos en los que, aun existiendo dichas deudas, la Comunidad Autónoma no se haya adherido al mencionado fondo social. El Estado ha pretendido salvaguardar la suficiencia financiera de las Comunidades Autónomas, otorgándoles la posibilidad de acceder al referido Fondo, al tiempo que garantiza igualmente la suficiencia financiera de las entidades locales. El mecanismo de retención controvertido —que se aplica como último recurso— no tiene otra finalidad que facilitar que las entidades locales puedan atender al gasto social, comprometido en virtud de convenios con las Comunidades Autónomas.</w:t>
      </w:r>
    </w:p>
    <w:p w:rsidR="00A90898" w:rsidRDefault="00A90898" w:rsidP="00A90898">
      <w:pPr>
        <w:pStyle w:val="TextoNormal"/>
      </w:pPr>
    </w:p>
    <w:p w:rsidR="00A90898" w:rsidRDefault="00A90898" w:rsidP="00A90898">
      <w:pPr>
        <w:pStyle w:val="TextoNormal"/>
      </w:pPr>
      <w:r>
        <w:t>A este respecto conviene recordar que la suficiencia financiera es uno de los principios centrales que informan el sistema de financiación de las entidades locales (art. 142 CE).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(STC 134/2011, de 20 de julio, FJ 13, con cita de otras). Para las entidades locales el principio de suficiencia financiera tiene además particular relevancia, dada la mayor limitación de su poder tributario. La Constitución no les garantiza una autonomía económico-financiera ni, por tanto, asegura que dispongan de medios propios (patrimoniales y tributarios) suficientes para el cumplimiento de sus funciones [SSTC 4/1981, de 2 de febrero, FJ 15 a); y 96/1990, de 24 de mayo, FJ 7], a diferencia de lo que sucede con las haciendas autonómicas (STC 204/2011, de 15 de diciembre, FJ 8). Son, por ello, entes con mayor dependencia financiera del Estado. De ahí que, como también hemos destacado, corresponda en última instancia a este la garantía de dicha suficiencia financiera, en el marco de las disponibilidades presupuestarias (por todas, con cita de otras, STC 233/1999, de 16 de diciembre, FJ 22) y en el ejercicio de sus competencias de coordinación entre las diferentes haciendas públicas (art. 149.1.14 CE).</w:t>
      </w:r>
    </w:p>
    <w:p w:rsidR="00A90898" w:rsidRDefault="00A90898" w:rsidP="00A90898">
      <w:pPr>
        <w:pStyle w:val="TextoNormal"/>
      </w:pPr>
    </w:p>
    <w:p w:rsidR="00A90898" w:rsidRDefault="00A90898" w:rsidP="00A90898">
      <w:pPr>
        <w:pStyle w:val="TextoNormal"/>
      </w:pPr>
      <w:r>
        <w:lastRenderedPageBreak/>
        <w:t>Por lo expuesto, la medida recurrida no vulnera los principios de suficiencia ni de autonomía financiera de las Comunidades Autónomas. Por eso mismo, tampoco resulta desproporcionada ni contraria a los principios de seguridad jurídica y de interdicción de arbitrariedad de los poderes públicos (art. 9.3 CE); como ya afirmamos en la STC 101/2016, FJ 11, a cuya doctrina debemos igualmente remitirnos aquí.</w:t>
      </w:r>
    </w:p>
    <w:p w:rsidR="00A90898" w:rsidRDefault="00A90898" w:rsidP="00A90898">
      <w:pPr>
        <w:pStyle w:val="TextoNormal"/>
      </w:pPr>
    </w:p>
    <w:p w:rsidR="00A90898" w:rsidRDefault="00A90898" w:rsidP="00A90898">
      <w:pPr>
        <w:pStyle w:val="TextoNormal"/>
      </w:pPr>
      <w:r>
        <w:t>b) Debe también descartarse que el apartado 5 de la disposición adicional octava LOFCA haya vulnerado, como alega la demandante, los principios de lealtad institucional y de cooperación en materia financiera, recogidos en los arts. 175.2 e), 183.1 y 7, y 219 EAAnd. Primero porque, como ya se ha establecido, esta medida sirve al principio de coordinación financiera entre todas las haciendas territoriales, al establecer una garantía de que se atenderá el gasto social de las entidades locales, comprometido en virtud de convenios con las Comunidades Autónomas, arbitrando para ello el mecanismo del fondo social citado y, solo subsidiariamente, la retención de fondos. A ello debe añadirse, en segundo lugar, la doctrina contenida en los fundamentos jurídicos 9 y 10 de la STC 101/2016, que deben asimismo darse por reproducidos, por resultar aplicable a este supuesto de retención. En este sentido, debe recalcarse que, al igual que acontecía con las retenciones examinadas en la citada STC 101/2016, la cuantificación de la parte de la deuda, que en su caso se haga efectiva con cargo a los recursos del sistema de financiación, se realiza de conformidad con la información que habrá sido recabada de la propia Comunidad Autónoma; pues se trata de deudas vencidas, líquidas y exigibles a 31 de diciembre de 2014 sobre las que las propias Administraciones autonómicas deberán haber enviado información al Ministerio de Hacienda y Administraciones Públicas, en los términos previstos en el art. 35 del citado Real Decreto-ley 17/2014.</w:t>
      </w:r>
    </w:p>
    <w:p w:rsidR="00A90898" w:rsidRDefault="00A90898" w:rsidP="00A90898">
      <w:pPr>
        <w:pStyle w:val="TextoNormal"/>
      </w:pPr>
    </w:p>
    <w:p w:rsidR="00A90898" w:rsidRDefault="00A90898" w:rsidP="00A90898">
      <w:pPr>
        <w:pStyle w:val="TextoNormal"/>
      </w:pPr>
      <w:r>
        <w:t>c) Se afirma en la demanda, por último, que el apartado 5 de la disposición adicional octava LOFCA vulnera la regla de prioridad absoluta en el pago del capital e intereses de la deuda pública establecida en el art. 135.3 CE, en la medida en que la aplicación del mencionado mecanismo de retención podría traer consigo que las entidades locales en las Comunidades Autónomas “intervenidas” tuvieran prioridad en el pago frene a los acreedores de la deuda pública.</w:t>
      </w:r>
    </w:p>
    <w:p w:rsidR="00A90898" w:rsidRDefault="00A90898" w:rsidP="00A90898">
      <w:pPr>
        <w:pStyle w:val="TextoNormal"/>
      </w:pPr>
    </w:p>
    <w:p w:rsidR="00A90898" w:rsidRDefault="00A90898" w:rsidP="00A90898">
      <w:pPr>
        <w:pStyle w:val="TextoNormal"/>
      </w:pPr>
      <w:r>
        <w:t xml:space="preserve">Esta tacha ha de ser igualmente desestimada, conforme a lo señalado en la STC 101/2016, FJ 12, cuyos razonamientos cabe dar por reproducidos, dada la total identidad del planteamiento del presente recurso con lo allí decidido, lo que permite concluir que tampoco en este caso se interfiere o contradice la prioridad absoluta de pago de la deuda pública </w:t>
      </w:r>
      <w:r w:rsidRPr="00A90898">
        <w:rPr>
          <w:i/>
        </w:rPr>
        <w:t>ex</w:t>
      </w:r>
      <w:r>
        <w:t xml:space="preserve"> art. 135.3 CE.</w:t>
      </w:r>
    </w:p>
    <w:p w:rsidR="00A90898" w:rsidRDefault="00A90898" w:rsidP="00A90898">
      <w:pPr>
        <w:pStyle w:val="TextoNormal"/>
      </w:pPr>
    </w:p>
    <w:p w:rsidR="00A90898" w:rsidRDefault="00A90898" w:rsidP="00A90898">
      <w:pPr>
        <w:pStyle w:val="TextoNormal"/>
      </w:pPr>
      <w:r w:rsidRPr="00A90898">
        <w:rPr>
          <w:rStyle w:val="NumeroAFNegritaCaracter"/>
        </w:rPr>
        <w:t>5</w:t>
      </w:r>
      <w:r>
        <w:t>. El segundo precepto impugnado de la Ley Orgánica 6/2015 es el apartado 3 de su disposición final primera, por el que se añade una nueva disposición final decimosexta a la LGS, con el siguiente tenor:</w:t>
      </w:r>
    </w:p>
    <w:p w:rsidR="00A90898" w:rsidRDefault="00A90898" w:rsidP="00A90898">
      <w:pPr>
        <w:pStyle w:val="TextoNormal"/>
      </w:pPr>
    </w:p>
    <w:p w:rsidR="00A90898" w:rsidRDefault="00A90898" w:rsidP="00A90898">
      <w:pPr>
        <w:pStyle w:val="TextoNormal"/>
      </w:pPr>
      <w:r>
        <w:t>“Disposición final decimosexta. Habilitación normativa.</w:t>
      </w:r>
    </w:p>
    <w:p w:rsidR="00A90898" w:rsidRDefault="00A90898" w:rsidP="00A90898">
      <w:pPr>
        <w:pStyle w:val="TextoNormal"/>
      </w:pPr>
    </w:p>
    <w:p w:rsidR="00A90898" w:rsidRDefault="00A90898" w:rsidP="00A90898">
      <w:pPr>
        <w:pStyle w:val="TextoNormal"/>
      </w:pPr>
      <w:r>
        <w:t xml:space="preserve">Por Orden conjunta del Ministro de Hacienda y Administraciones Públicas y del Ministro de Sanidad, Servicios Sociales e Igualdad, por acuerdo de la Comisión Delegada del Gobierno para Asuntos Económicos, previa consulta a las Comunidades Autónomas, se podrá modificar lo previsto en los artículos 107 a 110 sobre la delimitación del gasto farmacéutico </w:t>
      </w:r>
      <w:r>
        <w:lastRenderedPageBreak/>
        <w:t>hospitalario, gasto en productos farmacéuticos y sanitarios por recetas médicas u orden de dispensación y gasto en productos sanitarios sin receta médica u orden de dispensación.”</w:t>
      </w:r>
    </w:p>
    <w:p w:rsidR="00A90898" w:rsidRDefault="00A90898" w:rsidP="00A90898">
      <w:pPr>
        <w:pStyle w:val="TextoNormal"/>
      </w:pPr>
    </w:p>
    <w:p w:rsidR="00A90898" w:rsidRDefault="00A90898" w:rsidP="00A90898">
      <w:pPr>
        <w:pStyle w:val="TextoNormal"/>
      </w:pPr>
      <w:r>
        <w:t>Sostiene la demandante que este precepto supone la deslegalización de las reglas para la determinación del gasto farmacéutico establecidas en los arts. 107 a 110 LGS, de forma contraria a los principios de jerarquía normativa, seguridad jurídica e interdicción de la arbitrariedad de los poderes públicos que garantiza el art. 9.3 CE. El Abogado del Estado rechaza esta impugnación, por entender que tiene carácter preventivo y por estimar que, en cualquier caso, el marcado carácter técnico de los conceptos definidos en los arts. 107 a 110 LGS hace adecuado que estos se concreten por vía reglamentaria, con carácter subordinado a la ley y sin contradecirla.</w:t>
      </w:r>
    </w:p>
    <w:p w:rsidR="00A90898" w:rsidRDefault="00A90898" w:rsidP="00A90898">
      <w:pPr>
        <w:pStyle w:val="TextoNormal"/>
      </w:pPr>
    </w:p>
    <w:p w:rsidR="00A90898" w:rsidRDefault="00A90898" w:rsidP="00A90898">
      <w:pPr>
        <w:pStyle w:val="TextoNormal"/>
      </w:pPr>
      <w:r>
        <w:t>Para dar respuesta a esta controversia lo primero que debe resaltarse es que la demanda no concreta qué aspectos de la regulación deberían quedar reservados a la ley, para asegurar que el eventual redactor del reglamento no rebasa ese límite. Así se hacía en la STC 111/2014, de 26 de junio, citada por la demanda en apoyo de su tesis; en su fundamento jurídico 4 se alegaba la vulneración de la reserva de ley formal que deriva de los arts. 23.2, 53.1 y 103.3 CE para la regulación del acceso a la función pública. En este caso, por el contrario, la recurrente se limita a afirmar que se ha producido una deslegalización, pero sin aportar el marco de referencia preciso para enjuiciarla, que no es otro que el que previamente se haya establecido en una reserva de ley. Ello dificulta que se pueda ahondar en esta impugnación pues, como hemos reiterado tantas veces, “la presunción de constitucionalidad de normas con rango de ley no puede desvirtuarse sin un mínimo de argumentación” (STC 43/1996, de 14 de marzo, FJ 5); de manera que, cuando la impugnación de normas no va seguida de una fundamentación que permita conocer las razones por las cuales los recurrentes entienden que se vulnera el orden constitucional, se incumple el deber de colaboración con esta jurisdicción [por todas, SSTC 204/2011, de 15 de diciembre, FJ 2 b), y 13/2007, de 18 de enero, FJ 1].</w:t>
      </w:r>
    </w:p>
    <w:p w:rsidR="00A90898" w:rsidRDefault="00A90898" w:rsidP="00A90898">
      <w:pPr>
        <w:pStyle w:val="TextoNormal"/>
      </w:pPr>
    </w:p>
    <w:p w:rsidR="00A90898" w:rsidRDefault="00A90898" w:rsidP="00A90898">
      <w:pPr>
        <w:pStyle w:val="TextoNormal"/>
      </w:pPr>
      <w:r>
        <w:t>Por las razones expuestas, también este último motivo de inconstitucionalidad debe ser desestimado.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rsidP="00A90898">
      <w:pPr>
        <w:pStyle w:val="ParrafoNormal"/>
      </w:pPr>
    </w:p>
    <w:p w:rsidR="00A90898" w:rsidRDefault="00A90898" w:rsidP="00A90898">
      <w:pPr>
        <w:pStyle w:val="TextoNormalNegritaCentrado"/>
        <w:keepNext/>
      </w:pPr>
      <w:r>
        <w:lastRenderedPageBreak/>
        <w:t>Voto particular que formula la Magistrada doña Adela Asua Batarrita a la Sentencia dictada en el recurso de inconstitucionalidad núm. 5061-2015, al que se adhiere el Magistrado don Fernando Valdés Dal-Ré.</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la mayoría del Tribunal, formulo Voto particular tanto a la fundamentación como al fallo de esta Sentencia.</w:t>
      </w:r>
    </w:p>
    <w:p w:rsidR="00A90898" w:rsidRDefault="00A90898" w:rsidP="00A90898">
      <w:pPr>
        <w:pStyle w:val="TextoNormal"/>
      </w:pPr>
    </w:p>
    <w:p w:rsidR="00A90898" w:rsidRDefault="00A90898" w:rsidP="00A90898">
      <w:pPr>
        <w:pStyle w:val="TextoNormal"/>
      </w:pPr>
      <w:r>
        <w:t>La desestimación del presente recurso de inconstitucionalidad se basa enteramente en los argumentos utilizados en la STC 101/2016, de 25 de mayo, para rechazar la tacha de inconstitucionalidad entonces alegada respecto a otro mecanismo de “compensación triangular” (Estado-Comunidades Autónomas-proveedores), que fue introducido por la Ley Orgánica 9/2013, de 20 de diciembre, de control de la deuda comercial en el sector público.</w:t>
      </w:r>
    </w:p>
    <w:p w:rsidR="00A90898" w:rsidRDefault="00A90898" w:rsidP="00A90898">
      <w:pPr>
        <w:pStyle w:val="TextoNormal"/>
      </w:pPr>
    </w:p>
    <w:p w:rsidR="00A90898" w:rsidRDefault="00A90898" w:rsidP="00A90898">
      <w:pPr>
        <w:pStyle w:val="TextoNormal"/>
      </w:pPr>
      <w:r>
        <w:t>Así pues, las razones de mi discrepancia con la presente Sentencia, que desestima la impugnación de otro mecanismo de “compensación triangular” (Estado-Comunidades Autónomas-entidades locales), son las mismas que ya expuse en el Voto particular que formulé a la citada STC 101/2016, y a ellas me remito ahora. Por las razones que desarrollé allí considero que en este proceso debería haberse declarado la inconstitucionalidad del art. 1.5 de la Ley Orgánica 6/2015, de 12 de junio, que añade el apartado 5 a la disposición adicional octava de la Ley Orgánica 8/1980, de 22 de septiembre, de financiación de las Comunidades Autónomas (LOFCA).</w:t>
      </w:r>
    </w:p>
    <w:p w:rsidR="00A90898" w:rsidRDefault="00A90898" w:rsidP="00A90898">
      <w:pPr>
        <w:pStyle w:val="TextoNormal"/>
      </w:pPr>
    </w:p>
    <w:p w:rsidR="00A90898" w:rsidRDefault="00A90898" w:rsidP="00A90898">
      <w:pPr>
        <w:pStyle w:val="TextoNormal"/>
      </w:pPr>
      <w:r>
        <w:t>Y en tal sentido emito este Voto particular.</w:t>
      </w:r>
    </w:p>
    <w:p w:rsidR="00A90898" w:rsidRDefault="00A90898" w:rsidP="00A90898">
      <w:pPr>
        <w:pStyle w:val="TextoNormal"/>
      </w:pPr>
    </w:p>
    <w:p w:rsidR="00A90898" w:rsidRDefault="00A90898" w:rsidP="00A90898">
      <w:pPr>
        <w:pStyle w:val="TextoNormal"/>
      </w:pPr>
      <w:r>
        <w:t>Madrid, a veintidós de septiembre de dos mil dieciséis.</w:t>
      </w:r>
    </w:p>
    <w:p w:rsidR="00A90898" w:rsidRDefault="00A90898" w:rsidP="00A90898">
      <w:pPr>
        <w:pStyle w:val="TextoNormal"/>
      </w:pPr>
    </w:p>
    <w:p w:rsidR="00A90898" w:rsidRDefault="00A90898" w:rsidP="00A90898">
      <w:pPr>
        <w:pStyle w:val="TextoNormalNegritaCentrado"/>
        <w:keepNext/>
      </w:pPr>
      <w:r>
        <w:t>Voto particular que formula el Magistrado don Juan Antonio Xiol Ríos a la Sentencia dictada en el recurso de inconstitucionalidad núm. 5061-2015.</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Pleno en la que se sustenta la Sentencia, manifiesto mi discrepancia con la fundamentación jurídica y con su fallo en lo relativo a la alegada vulneración del principio de autonomía financiera al establecer el mecanismo de retención de fondos del sistema de financiación autonómico para abonar las obligaciones pendientes de pago por parte de las Comunidades Autónomas con las entidades locales derivadas de transferencias y convenios suscritos en materia de gasto social que sean vencidas, líquidas y exigibles a 31 de diciembre de 2014, que considero que debía haber sido estimatoria.</w:t>
      </w:r>
    </w:p>
    <w:p w:rsidR="00A90898" w:rsidRDefault="00A90898" w:rsidP="00A90898">
      <w:pPr>
        <w:pStyle w:val="TextoNormal"/>
      </w:pPr>
    </w:p>
    <w:p w:rsidR="00A90898" w:rsidRDefault="00A90898" w:rsidP="00A90898">
      <w:pPr>
        <w:pStyle w:val="TextoNormal"/>
      </w:pPr>
      <w:r>
        <w:t>Las razones de mi discrepancia sobre este particular son coincidentes con las que ya fueron expuestas en el apartado 2 de mi Voto particular formulado a la STC 101/2016, de 25 de mayo, en relación con el mecanismo de retención de fondos del sistema de financiación autonómico para el pago de créditos comerciales morosos a los proveedores, en el que, además de adherirme al voto entonces formulado por la Magistrada doña Adela Asua Batarrita, insistí en determinados aspectos metodológicos sobre la aplicación del principio de proporcionalidad a la distribución de competencias. Me remito a lo expuesto en dicho Voto particular para evitar reiteraciones innecesarias.</w:t>
      </w:r>
    </w:p>
    <w:p w:rsidR="00A90898" w:rsidRDefault="00A90898" w:rsidP="00A90898">
      <w:pPr>
        <w:pStyle w:val="TextoNormal"/>
      </w:pPr>
    </w:p>
    <w:p w:rsidR="00A90898" w:rsidRDefault="00A90898" w:rsidP="00A90898">
      <w:pPr>
        <w:pStyle w:val="TextoNormal"/>
      </w:pPr>
      <w:r>
        <w:t>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6" w:name="SENTENCIA_2016_157"/>
      <w:r>
        <w:lastRenderedPageBreak/>
        <w:t>SENTENCIA 157/2016, de 22 de septiembre de 2016</w:t>
      </w:r>
    </w:p>
    <w:bookmarkEnd w:id="36"/>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ECLI:ES:TC:2016:157</w:t>
      </w:r>
    </w:p>
    <w:p w:rsidR="00A90898" w:rsidRDefault="00A90898" w:rsidP="00A90898">
      <w:pPr>
        <w:pStyle w:val="TextoNormalCentrado"/>
      </w:pPr>
    </w:p>
    <w:p w:rsidR="00A90898" w:rsidRDefault="00A90898" w:rsidP="00A90898">
      <w:pPr>
        <w:pStyle w:val="SntesisDescriptiva"/>
      </w:pPr>
      <w:r>
        <w:t>Recurso de inconstitucionalidad 5272-2015. Interpuesto por el Presidente del Gobierno en relación con el artículo único del Decreto-ley de la Generalitat de Cataluña 7/2014, de 23 de diciembre, por el que se deroga la letra b) del apartado 3 y el segundo párrafo del apartado 4 del artículo del Decreto-ley 1/2009, de 22 de diciembre, de ordenación de los equipamientos comerciales.</w:t>
      </w:r>
    </w:p>
    <w:p w:rsidR="00A90898" w:rsidRDefault="00A90898" w:rsidP="00A90898">
      <w:pPr>
        <w:pStyle w:val="SntesisDescriptiva"/>
      </w:pPr>
    </w:p>
    <w:p w:rsidR="00A90898" w:rsidRDefault="00A90898" w:rsidP="00A90898">
      <w:pPr>
        <w:pStyle w:val="SntesisAnaltica"/>
      </w:pPr>
      <w:r>
        <w:t>Competencias sobre ordenación general de la economía, urbanismo, defensa de los consumidores y medio ambiente: medida restrictiva de la libertad de establecimiento adoptada sin fundamentar debidamente, como exige la normativa básica estatal, la concurrencia de imperiosas razones de interés general relacionadas con el entorno urbano o el medio ambiente (STC 193/2013 y 76/2016). Voto particular.</w:t>
      </w:r>
    </w:p>
    <w:p w:rsidR="00A90898" w:rsidRDefault="00A90898" w:rsidP="00A90898">
      <w:pPr>
        <w:pStyle w:val="SntesisAnaltica"/>
      </w:pPr>
    </w:p>
    <w:p w:rsidR="00A90898" w:rsidRDefault="00A90898" w:rsidP="00A90898">
      <w:pPr>
        <w:pStyle w:val="Extracto"/>
      </w:pPr>
      <w:r>
        <w:t>1.</w:t>
      </w:r>
      <w:r>
        <w:tab/>
        <w:t>La Comunidad Autónoma no fundamentó debidamente la necesidad de las restricciones controvertidas para alcanzar los legítimos objetivos perseguidos, ni la concurrencia de las imperiosas razones de interés general relacionadas con el entorno urbano o el medio ambiente, que exige la legislación básica estatal para poder adoptar una medida restrictiva de la libertad de establecimiento como la establecida en el Decreto-ley impugnado. En consecuencia, se vulnera de un modo mediato o indirecto el reparto constitucional de competencias que delimita el art. 149.1.13 CE en relación con el art. 121.1 d) EAC, lo que determina la inconstitucionalidad de la norma controvertida [FJ 9].</w:t>
      </w:r>
    </w:p>
    <w:p w:rsidR="00A90898" w:rsidRDefault="00A90898" w:rsidP="00A90898">
      <w:pPr>
        <w:pStyle w:val="Extracto"/>
      </w:pPr>
    </w:p>
    <w:p w:rsidR="00A90898" w:rsidRDefault="00A90898" w:rsidP="00A90898">
      <w:pPr>
        <w:pStyle w:val="Extracto"/>
      </w:pPr>
      <w:r>
        <w:t>2.</w:t>
      </w:r>
      <w:r>
        <w:tab/>
        <w:t>Doctrina sobre la potestad del Gobierno de las Comunidades Autónomas para dictar normas con rango de ley que adopten la forma de Decreto-ley (SSTC 93/2015, 104/2015 y 38/2016) [FJ 4].</w:t>
      </w:r>
    </w:p>
    <w:p w:rsidR="00A90898" w:rsidRDefault="00A90898" w:rsidP="00A90898">
      <w:pPr>
        <w:pStyle w:val="Extracto"/>
      </w:pPr>
    </w:p>
    <w:p w:rsidR="00A90898" w:rsidRDefault="00A90898" w:rsidP="00A90898">
      <w:pPr>
        <w:pStyle w:val="Extracto"/>
      </w:pPr>
      <w:r>
        <w:t>3.</w:t>
      </w:r>
      <w:r>
        <w:tab/>
        <w:t>Doctrina sobre el cumplimiento, en la redacción de los Decretos-leyes autonómicos, de los requisitos de extraordinaria y urgente necesidad y conexión de sentido (SSTC 93/2015 y 38/2016) [FJ 5].</w:t>
      </w:r>
    </w:p>
    <w:p w:rsidR="00A90898" w:rsidRDefault="00A90898" w:rsidP="00A90898">
      <w:pPr>
        <w:pStyle w:val="Extracto"/>
      </w:pPr>
    </w:p>
    <w:p w:rsidR="00A90898" w:rsidRDefault="00A90898" w:rsidP="00A90898">
      <w:pPr>
        <w:pStyle w:val="Extracto"/>
      </w:pPr>
      <w:r>
        <w:t>4.</w:t>
      </w:r>
      <w:r>
        <w:tab/>
        <w:t>Las razones medioambientales y urbanísticas que, según se expone en el preámbulo del Decreto-ley impugnado, fundamentan la derogación de los preceptos que excepcionalmente permitían la implantación de determinados centros comerciales fuera de la trama urbana consolidada han de considerase razones imperiosas de interés general y son razones, que , por su naturaleza y en un plano formal, se ajustan a las previstas en la legislación básica estatal y a las reconocidas por la jurisprudencia del Tribunal de Justicia de la Unión Europea [FJ 9].</w:t>
      </w:r>
    </w:p>
    <w:p w:rsidR="00A90898" w:rsidRDefault="00A90898" w:rsidP="00A90898">
      <w:pPr>
        <w:pStyle w:val="Extracto"/>
      </w:pPr>
    </w:p>
    <w:p w:rsidR="00A90898" w:rsidRDefault="00A90898" w:rsidP="00A90898">
      <w:pPr>
        <w:pStyle w:val="Extracto"/>
      </w:pPr>
      <w:r>
        <w:t>5.</w:t>
      </w:r>
      <w:r>
        <w:tab/>
        <w:t xml:space="preserve">Las razones invocadas por el Decreto-ley impugnado, las cuales son adecuadas por su naturaleza para justificar limitaciones a la libertad de establecimiento, no pueden considerarse suficientes, en el marco de la presente controversia constitucional, para fundamentar una medida como la adoptada en el presente caso que conlleva la prohibición prácticamente absoluta de la implantación de determinados </w:t>
      </w:r>
      <w:r>
        <w:lastRenderedPageBreak/>
        <w:t>centros comerciales fuera de la trama urbana consolidada, si no se aportan al proceso los datos precisos para entender necesaria la restricción a la libertad de establecimiento que la misma conlleva [FJ 9].</w:t>
      </w:r>
    </w:p>
    <w:p w:rsidR="00A90898" w:rsidRDefault="00A90898" w:rsidP="00A90898">
      <w:pPr>
        <w:pStyle w:val="Extracto"/>
      </w:pPr>
    </w:p>
    <w:p w:rsidR="00A90898" w:rsidRDefault="00A90898" w:rsidP="00A90898">
      <w:pPr>
        <w:pStyle w:val="Extracto"/>
      </w:pPr>
      <w:r>
        <w:t>6.</w:t>
      </w:r>
      <w:r>
        <w:tab/>
        <w:t>Las consideraciones sobre los daños al entorno urbano y al medio ambiente que se efectúan en el preámbulo del Decreto-ley, se formulan de modo abstracto, sin partir de datos concretos que pongan de manifiesto la necesidad de la medida para promover el objetivo pretendido. En modo alguno se evidencia que la prohibición prácticamente absoluta de la implantación de determinados centros comerciales, fuera de la trama urbana consolidada, sea una medida necesaria, por la inexistencia de alternativas menos restrictivas, para promover los legítimos objetivos pretendidos [FJ 9].</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5272-2015, interpuesto por el Abogado del Estado, en nombre del Presidente del Gobierno, contra el artículo único del Decreto-ley de la Generalitat de Cataluña 7/2014, de 23 de diciembre. Han comparecido y formulado alegaciones la Generalitat de Cataluña y el Parlamento de Cataluña. Ha sido Ponente el Magistrado don Juan Antonio Xiol Ríos,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23 de septiembre de 2015, se ha promovido recurso de inconstitucionalidad por el Abogado del Estado, en nombre del Presidente del Gobierno, contra el Decreto-ley 7/2014, de 23 de diciembre, de la Generalitat de Cataluña, cuyo artículo único deroga la letra b) del apartado 3 y el segundo párrafo del apartado 4 del art. 9 del Decreto-ley 1/2009, de 22 de diciembre, de ordenación de los equipamientos comerciales.</w:t>
      </w:r>
    </w:p>
    <w:p w:rsidR="00A90898" w:rsidRDefault="00A90898" w:rsidP="00A90898">
      <w:pPr>
        <w:pStyle w:val="TextoNormal"/>
      </w:pPr>
    </w:p>
    <w:p w:rsidR="00A90898" w:rsidRDefault="00A90898" w:rsidP="00A90898">
      <w:pPr>
        <w:pStyle w:val="TextoNormal"/>
      </w:pPr>
      <w:r>
        <w:t xml:space="preserve">El Abogado del Estado expone, en primer lugar, los antecedentes del Decreto-ley impugnado. Se alude, por una parte, a la STJUE, de 24 de marzo de 2011 (asunto C-400/08), que declaró que el Reino de España había incumplido el art. 43 TCE (actual art. 49 TFUE), por </w:t>
      </w:r>
      <w:r>
        <w:lastRenderedPageBreak/>
        <w:t>el que se prohíben las restricciones a la libertad de establecimiento, porque diversas normas estatales y catalanas establecían restricciones al establecimiento de superficies comerciales. Entre estas normas se encontraba el artículo 6, apartado 2, párrafo primero, de la Ley 7/1996, de 15 de enero, de ordenación del comercio minorista (LOCM) y los arts. 4.1 y 8 de la Ley 18/2005, de 27 de diciembre, de equipamientos comerciales.</w:t>
      </w:r>
    </w:p>
    <w:p w:rsidR="00A90898" w:rsidRDefault="00A90898" w:rsidP="00A90898">
      <w:pPr>
        <w:pStyle w:val="TextoNormal"/>
      </w:pPr>
    </w:p>
    <w:p w:rsidR="00A90898" w:rsidRDefault="00A90898" w:rsidP="00A90898">
      <w:pPr>
        <w:pStyle w:val="TextoNormal"/>
      </w:pPr>
      <w:r>
        <w:t>Se expone que, en cumplimiento de la citada Sentencia, el Estado modificó la Ley 7/1996, de 15 de enero, de ordenación del comercio minorista y la Generalitat de Cataluña aprobó el Decreto-ley 1/2009, de 22 de diciembre, de ordenación de los equipamientos comerciales de Cataluña, que, en su art. 9, apartados 3 y 4, a diferencia de la legislación anterior, permitía excepcionalmente la implantación de grandes establecimientos comerciales fuera de las tramas urbanas consolidadas. Se indica también que esta norma fue modificada por el art. 114 de la Ley catalana 9/2011, de 29 de diciembre, de promoción de la actividad económica de Cataluña y que esta reforma legal fue objeto de un recurso de inconstitucionalidad interpuesto por el Presidente del Gobierno, que fue estimado, por lo que esta reforma legal fue declarada inconstitucional y nula por la STC 193/2013.</w:t>
      </w:r>
    </w:p>
    <w:p w:rsidR="00A90898" w:rsidRDefault="00A90898" w:rsidP="00A90898">
      <w:pPr>
        <w:pStyle w:val="TextoNormal"/>
      </w:pPr>
    </w:p>
    <w:p w:rsidR="00A90898" w:rsidRDefault="00A90898" w:rsidP="00A90898">
      <w:pPr>
        <w:pStyle w:val="TextoNormal"/>
      </w:pPr>
      <w:r>
        <w:t>El Abogado del Estado señala, además, que tras la STC 193/2013, se dictó la Ley catalana 2/2014, de 27 de enero, de medidas fiscales, administrativas y del sector público de Cataluña y que esta Ley, en su disposición adicional vigésima sexta, reestableció la vigencia de los apartados 3 y 4 del art. 9 del Decreto-ley 1/2009, de 22 de diciembre, aunque en su disposición transitoria octava dejó en suspenso la excepción de implantación de establecimientos fuera de la trama urbana consolidada prevista en los citados preceptos hasta la aprobación de una ley de comercio, servicios y ferias que, se preveía, debía tener lugar en el plazo de un año. También pone de manifiesto que esta disposición transitoria ha sido declarada inconstitucional y nula por la STC 73/2016, de 14 de abril.</w:t>
      </w:r>
    </w:p>
    <w:p w:rsidR="00A90898" w:rsidRDefault="00A90898" w:rsidP="00A90898">
      <w:pPr>
        <w:pStyle w:val="TextoNormal"/>
      </w:pPr>
    </w:p>
    <w:p w:rsidR="00A90898" w:rsidRDefault="00A90898" w:rsidP="00A90898">
      <w:pPr>
        <w:pStyle w:val="TextoNormal"/>
      </w:pPr>
      <w:r>
        <w:t>Una vez expuestas las normas que precedieron al Decreto-ley 7/2014, de 23 de diciembre, el Abogado del Estado aduce los motivos por los que considera que esta norma es inconstitucional. Según se alega, este Decreto-ley, al derogar el art. 9, apartado 3 b) y el segundo párrafo del art. 9.4 del Decreto-ley 1/2009, de 22 de diciembre, podría suponer la imposibilidad, sin excepción, de implantación de establecimientos comerciales fuera de la trama urbana consolidada. Esta limitación, a su juicio, es contraria al Derecho europeo por vulnerar la libertad de establecimiento del art. 49 TFUE. Alega en apoyo de esta consideración que la STJUE, en el asunto C-400/08, lo estimó así respecto de la regulación que establecía el art. 4.1 de la Ley catalana 18/2005, de 27 de diciembre, de equipamientos comerciales, que contenía una regulación similar.</w:t>
      </w:r>
    </w:p>
    <w:p w:rsidR="00A90898" w:rsidRDefault="00A90898" w:rsidP="00A90898">
      <w:pPr>
        <w:pStyle w:val="TextoNormal"/>
      </w:pPr>
    </w:p>
    <w:p w:rsidR="00A90898" w:rsidRDefault="00A90898" w:rsidP="00A90898">
      <w:pPr>
        <w:pStyle w:val="TextoNormal"/>
      </w:pPr>
      <w:r>
        <w:t>Se sostiene, además, que la derogación que efectúa el Decreto-ley impugnado es contraria al art. 6 de la Ley 7/1996, de 15 de enero, de ordenación del comercio minorista, en la redacción dada por la Ley 18/2014, de 15 de octubre, ya que este precepto solo admite la limitación de las autorizaciones para abrir, trasladar o ampliar centros comerciales si existen las razones de interés general que expresamente prevé este precepto (protección del medio ambiente y del entorno urbano y la conservación del patrimonio histórico artístico; razones que deben encontrarse justificadas y responder a los principios de necesidad y proporcionalidad).</w:t>
      </w:r>
    </w:p>
    <w:p w:rsidR="00A90898" w:rsidRDefault="00A90898" w:rsidP="00A90898">
      <w:pPr>
        <w:pStyle w:val="TextoNormal"/>
      </w:pPr>
    </w:p>
    <w:p w:rsidR="00A90898" w:rsidRDefault="00A90898" w:rsidP="00A90898">
      <w:pPr>
        <w:pStyle w:val="TextoNormal"/>
      </w:pPr>
      <w:r>
        <w:lastRenderedPageBreak/>
        <w:t>También se alega que el Decreto-ley impugnado podría vulnerar el art. 11 de la Ley 17/2009, de libre acceso a las actividades de servicios y su ejercicio y los arts. 5 y 17 de la Ley 20/2013, de 9 de diciembre, de garantía de la unidad de mercado, que establece que los limites que se impongan al acceso o ejercicio de una actividad económica deben estar motivados en razones imperiosas de interés general de entre las comprendidas en el art. 3.11 de la Ley 17/2009, de 23 de noviembre, sobre el libre acceso a las actividades de servicios y su ejercicio. Junto a ello se considera también que podría vulnerar la disposición final undécima de la ley 12/20012, de 26 de diciembre, de medidas urgentes de liberalización del comercio y de determinados servicios.</w:t>
      </w:r>
    </w:p>
    <w:p w:rsidR="00A90898" w:rsidRDefault="00A90898" w:rsidP="00A90898">
      <w:pPr>
        <w:pStyle w:val="TextoNormal"/>
      </w:pPr>
    </w:p>
    <w:p w:rsidR="00A90898" w:rsidRDefault="00A90898" w:rsidP="00A90898">
      <w:pPr>
        <w:pStyle w:val="TextoNormal"/>
      </w:pPr>
      <w:r>
        <w:t>Entiende el Abogado del Estado que si bien la Comunidad Autónoma de Cataluña puede dictar la normativa que considere oportuna en virtud de sus competencias en materia de comercio interior [art. 121 del Estatuto de Autonomía de Cataluña (EAC)] esta competencia encuentra sus límites, entre otros títulos estatales, en el art. 149.1.13 CE, que dota al Estado de competencia para dictar la normativa básica en esta materia, citando en su apoyo las SSTC, 254/2004, 31/2010, 26/2012, 124/2013 y 193/2013.</w:t>
      </w:r>
    </w:p>
    <w:p w:rsidR="00A90898" w:rsidRDefault="00A90898" w:rsidP="00A90898">
      <w:pPr>
        <w:pStyle w:val="TextoNormal"/>
      </w:pPr>
    </w:p>
    <w:p w:rsidR="00A90898" w:rsidRDefault="00A90898" w:rsidP="00A90898">
      <w:pPr>
        <w:pStyle w:val="TextoNormal"/>
      </w:pPr>
      <w:r>
        <w:t>Finalmente, se alega que el Decreto-ley 7/2014, de 23 de diciembre, no cumple los requisitos que establece el art. 64 EAC para que el Gobierno de Cataluña pueda dictar este tipo de normas, pues no existe una situación de urgente y extraordinaria necesidad. Entiende el Abogado del Estado que, la extraordinaria y urgente necesidad no puede fundamentarse en la finalidad de evitar la eficacia vinculante de las sentencias y resoluciones del Tribunal Constitucional o en prevenir los efectos que puedan derivarse de las Sentencias que pueda dictar este Tribunal, como se sostiene en el preámbulo de esta norma. Por ello se considera que la promulgación del Decreto-ley no se fundamenta en razones adecuadas a su naturaleza y regulación estatutaria.</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6 de octubre de 2015, el Pleno, a propuesta de la Sección Primera, acordó admitir a trámite el recurso de inconstitucionalidad del Presidente del Gobierno contra el Decreto-ley de la Generalitat de Cataluña 7/2014, de 23 de diciembre, por el que se derogan la letra b) del apartado 3 y el segundo párrafo del apartado 4 del artículo 9 del Decreto-ley 1/2009, de 22 de diciembre, de ordenación de los equipamientos comerciales; dar traslado de la demanda y documentos presentados, conforme establece el artículo 34 de la Ley Orgánica del Tribunal Constitucional (LOTC), al Congreso de los Diputados, al Senado y al Gobierno y al Parlamento de Cataluña, por conducto de sus Presidentes, al objeto de que, en el plazo de quince días, pudieran personarse en el proceso y formular alegaciones. Se acordó, asimismo, tener por invocado por el Presidente del Gobierno el art. 161.2 CE, lo que, a su tenor y conforme al art. 30 LOTC, produjo la suspensión de la vigencia y aplicación del Decreto-ley impugnado desde la fecha de interposición del recurso (23 de septiembre de 2015) para las partes del proceso y desde el día en que apareció publicada la suspensión en el “Boletín Oficial del Estado” para los terceros, y se ordenó la comunicación de la suspensión a los Presidentes del Gobierno y del Parlamento de Cataluña, así como publicar la incoación del recurso en el “Boletín Oficial del Estado” y en el “Diario Oficial de la Generalitat”.</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Mediante escrito registrado en este Tribunal el 14 de octubre de 2015, el Presidente del Senado comunicó el acuerdo de la Mesa de la Cámara de personarse en el procedimiento </w:t>
      </w:r>
      <w:r>
        <w:lastRenderedPageBreak/>
        <w:t>y ofrecer su colaboración a los efectos del art. 88.1 LOTC. Lo mismo hizo el Presidente del Congreso de los Diputados, por escrito registrado el 15 de octubre de 2015.</w:t>
      </w:r>
    </w:p>
    <w:p w:rsidR="00A90898" w:rsidRDefault="00A90898" w:rsidP="00A90898">
      <w:pPr>
        <w:pStyle w:val="TextoNormal"/>
      </w:pPr>
    </w:p>
    <w:p w:rsidR="00A90898" w:rsidRDefault="00A90898" w:rsidP="00A90898">
      <w:pPr>
        <w:pStyle w:val="TextoNormal"/>
      </w:pPr>
      <w:r w:rsidRPr="00A90898">
        <w:rPr>
          <w:rStyle w:val="NumeroAFNegritaCaracter"/>
        </w:rPr>
        <w:t>4</w:t>
      </w:r>
      <w:r>
        <w:t>. El 30 de octubre de 2015 compareció en el proceso la Abogada de la Generalitat de Cataluña, en la representación que legalmente ostenta, solicitando la desestimación del recurso y el levantamiento inmediato de la suspensión acordada al amparo del art. 161.2 CE. Esta parte procesal sostiene, en primer lugar, que no procede argumentar en relación con la vulneración del Derecho europeo alegada por el Abogado del Estado porque considera que no es parámetro de constitucionalidad. No obstante, alega que el Abogado del Estado no ha fundamentado debidamente que el Decreto-ley impugnado incurra en la infracción del art. 49 TFUE que le imputa, pues se ha limitado a citar la STJUE recaída en el asunto C-400/08, que se refiere a normativa distinta.</w:t>
      </w:r>
    </w:p>
    <w:p w:rsidR="00A90898" w:rsidRDefault="00A90898" w:rsidP="00A90898">
      <w:pPr>
        <w:pStyle w:val="TextoNormal"/>
      </w:pPr>
    </w:p>
    <w:p w:rsidR="00A90898" w:rsidRDefault="00A90898" w:rsidP="00A90898">
      <w:pPr>
        <w:pStyle w:val="TextoNormal"/>
      </w:pPr>
      <w:r>
        <w:t>En segundo lugar, se aduce que el Decreto-ley 7/2014, de 23 de diciembre, no infringe la normativa básica estatal. La Abogada de la Generalitat, antes de exponer las razones por las que se considera que esta norma no incurre en el vicio de inconstitucionalidad mediata que le imputa el Abogado del Estado, hace referencia a los antecedentes y al contexto en los que se produce la derogación que efectúa este Decreto-ley, por lo que expone las diferentes normas que han regulado esta materia en Cataluña.</w:t>
      </w:r>
    </w:p>
    <w:p w:rsidR="00A90898" w:rsidRDefault="00A90898" w:rsidP="00A90898">
      <w:pPr>
        <w:pStyle w:val="TextoNormal"/>
      </w:pPr>
    </w:p>
    <w:p w:rsidR="00A90898" w:rsidRDefault="00A90898" w:rsidP="00A90898">
      <w:pPr>
        <w:pStyle w:val="TextoNormal"/>
      </w:pPr>
      <w:r>
        <w:t>Tras exponer los antecedentes normativos del Decreto-ley impugnado se efectúa el encuadramiento competencial de la controversia suscitada. La Letrada de la Generalitat considera que la regulación que contiene el Decreto-ley 7/2014, de 23 de diciembre, afecta a las competencias en materia de comercio, pues establece la regulación administrativa de los centros comerciales; a la ordenación del territorio y el urbanismo, ya que trata de asegurar la implantación de los establecimientos de mayor superficie en las áreas urbanas y urbanizables para garantizar un modelo de crecimiento urbano compacto y a la defensa de los consumidores, en cuanto favorece el comercio de proximidad.</w:t>
      </w:r>
    </w:p>
    <w:p w:rsidR="00A90898" w:rsidRDefault="00A90898" w:rsidP="00A90898">
      <w:pPr>
        <w:pStyle w:val="TextoNormal"/>
      </w:pPr>
    </w:p>
    <w:p w:rsidR="00A90898" w:rsidRDefault="00A90898" w:rsidP="00A90898">
      <w:pPr>
        <w:pStyle w:val="TextoNormal"/>
      </w:pPr>
      <w:r>
        <w:t>Según sostiene esta parte procesal, la Comunidad Autónoma de Cataluña tiene competencias en materia de comercio en virtud del art. 121 EAC, y, en particular, sobre, la planificación territorial de los equipamientos comerciales y régimen de su instalación [art.121.1 d) EAC]. Aduce, asimismo, que la doctrina constitucional (SSTC 227/1993 y 170/2012), ha declarado que la incidencia en la ordenación territorial de los establecimientos comerciales da lugar al llamado urbanismo comercial, que tiene cabida en la competencia autonómica exclusiva sobre ordenación del territorio y urbanismo (art. 149.1 y 5 EAC) y habilita al legislador autonómico para organizar y definir el uso del suelo de acuerdo con el interés general. Ello, sin perjuicio de las competencias sectoriales del Estado con proyección territorial del art. 149.1 CE, así como las horizontales sobre bases y coordinación de la planificación general de la actividad económica y protección del medio ambiente (art. 149.1.13 y 23 CE) y las relativas a la regulación de la propiedad (art. 149.1.1 y 8). Junto a ello se alega también que Cataluña tiene competencia exclusiva en materia de defensa de los consumidores (art. 123.a EAC), aunque esta materia también puede ser abordada desde títulos competenciales estatales, como los de los apartados 1, 6, 8 y 13 del art. 149.1 CE, y tiene competencia compartida en materia de medioambiente (art. 144 EAC).</w:t>
      </w:r>
    </w:p>
    <w:p w:rsidR="00A90898" w:rsidRDefault="00A90898" w:rsidP="00A90898">
      <w:pPr>
        <w:pStyle w:val="TextoNormal"/>
      </w:pPr>
    </w:p>
    <w:p w:rsidR="00A90898" w:rsidRDefault="00A90898" w:rsidP="00A90898">
      <w:pPr>
        <w:pStyle w:val="TextoNormal"/>
      </w:pPr>
      <w:r>
        <w:t xml:space="preserve">En relación con el objeto del proceso, esta parte procesal señala que como el Decreto-ley 7/2014, de 23 de diciembre, afecta exclusivamente a la letra b) del apartado 3 y al párrafo </w:t>
      </w:r>
      <w:r>
        <w:lastRenderedPageBreak/>
        <w:t>segundo del apartado 4 del artículo 9 del Decreto-ley 1/2009, de 22 de diciembre, que deroga, no cabe cuestionar en este proceso el régimen general sobre implantación territorial de los establecimientos comerciales del resto de apartados del artículo 9, ni tampoco el régimen específico de los medianos establecimientos comerciales, grandes establecimientos comerciales y grandes establecimientos comerciales territoriales, del apartado 3 a) y del primer párrafo del apartado 4.</w:t>
      </w:r>
    </w:p>
    <w:p w:rsidR="00A90898" w:rsidRDefault="00A90898" w:rsidP="00A90898">
      <w:pPr>
        <w:pStyle w:val="TextoNormal"/>
      </w:pPr>
    </w:p>
    <w:p w:rsidR="00A90898" w:rsidRDefault="00A90898" w:rsidP="00A90898">
      <w:pPr>
        <w:pStyle w:val="TextoNormal"/>
      </w:pPr>
      <w:r>
        <w:t>Una vez efectuada la anterior precisión se alega que el Decreto-ley 7/2014, de 23 de diciembre, no incurre en las vulneraciones de la normativa básica estatal que le imputa el Abogado del Estado. La Abogada de la Generalitat considera que las limitaciones al establecimiento de centros comerciales que conlleva la derogación de la letra b) del apartado 3 y el segundo párrafo del apartado 4 del art. 9 del Decreto-ley 1/2009, de 22 de diciembre, que realiza el Decreto-ley 7/2014 no infringe la citada normativa, pues aunque la derogación que esta norma establece conlleva una medida restrictiva de la libertad de establecimiento, esta medida cumple todas las exigencias establecidas en los arts. 6 LOCM, 11 de la 11/2009 y 5, 17 y 18 de la Ley de garantía de la unidad de mercado, ya que se fundamentar en razones imperiosas de interés público urbanístico, medioambiental y defensa de los consumidores, es proporcionada, no es discriminatoria y no encubre requisitos de índole económica.</w:t>
      </w:r>
    </w:p>
    <w:p w:rsidR="00A90898" w:rsidRDefault="00A90898" w:rsidP="00A90898">
      <w:pPr>
        <w:pStyle w:val="TextoNormal"/>
      </w:pPr>
    </w:p>
    <w:p w:rsidR="00A90898" w:rsidRDefault="00A90898" w:rsidP="00A90898">
      <w:pPr>
        <w:pStyle w:val="TextoNormal"/>
      </w:pPr>
      <w:r>
        <w:t>Se afirma, por otra parte, que el presente caso no es igual al resuelto por la STC 193/2013 y por ello el pronunciamiento al que llegó al Tribunal en esta Sentencia no resulta trasladable al presente caso. Según aduce la Abogada de la Generalitat, ni el contenido de los preceptos es el mismo en uno y otro caso ni las razones en las que se fundamentaba la regulación que el Tribunal anuló son las mismas que las que justifican la regulación que ahora se enjuicia. Se alega además que esta última consideración es esencial, ya que lo que determinó que la STC 213/1993 declarase inconstitucional la modificación de los apartados 3 y 4 del art. 9 del Decreto-ley 1/2009, de 22 de diciembre, efectuada por el art. 114 de la ley 9/2001, de 22 de diciembre, fue que esta regulación no estaba justificada en motivos urbanísticos, de ordenación territorial y protección ambiental, sino que se fundamentaba en objetivos de promoción económica. Esta circunstancia, a juicio de esta parte procesal, no concurre en el presente caso en el que las limitaciones que conlleva la derogación que efectúa el Decreto-ley 7/2014, de 23 de diciembre, se justifican en razones imperiosas de interés general explicitadas en su preámbulo y se encuentran relacionadas con la protección del medio ambiente y el entorno urbano, la planificación urbana y la defensa de los consumidores.</w:t>
      </w:r>
    </w:p>
    <w:p w:rsidR="00A90898" w:rsidRDefault="00A90898" w:rsidP="00A90898">
      <w:pPr>
        <w:pStyle w:val="TextoNormal"/>
      </w:pPr>
    </w:p>
    <w:p w:rsidR="00A90898" w:rsidRDefault="00A90898" w:rsidP="00A90898">
      <w:pPr>
        <w:pStyle w:val="TextoNormal"/>
      </w:pPr>
      <w:r>
        <w:t>Por último, se considera que el Decreto-ley 7/2014, de 23 de diciembre, se ajusta al art. 64 EAC. La Abogada de la Generalitat niega categóricamente que la intención del Gobierno de la Generalitat al dictarlo haya sido impedir la efectividad de las resoluciones del Tribunal Constitucional. Según sostiene esta parte procesal, el Gobierno de la Generalitat ha expuesto en el preámbulo del Decreto-ley y en su memoria, que adjunta, la necesidad extraordinaria y urgente justificativa de la norma y estas razones consisten en el riesgo que, para el modelo de crecimiento urbano compacto establecido en el Decreto-ley 1/2009, de 22 de diciembre, suponía la vigencia de las excepciones derogadas que, en la práctica, se habían convertido en una vía ordinaria. También se pone de manifiesto que las sucesivas controversias competenciales habían ocasionado una demora que estaba dando lugar a un crecimiento urbano extensivo irreversible.</w:t>
      </w:r>
    </w:p>
    <w:p w:rsidR="00A90898" w:rsidRDefault="00A90898" w:rsidP="00A90898">
      <w:pPr>
        <w:pStyle w:val="TextoNormal"/>
      </w:pPr>
    </w:p>
    <w:p w:rsidR="00A90898" w:rsidRDefault="00A90898" w:rsidP="00A90898">
      <w:pPr>
        <w:pStyle w:val="TextoNormal"/>
      </w:pPr>
      <w:r>
        <w:lastRenderedPageBreak/>
        <w:t>La Abogada de la Generalitat alega, además, que la apreciación de la urgencia y necesidad corresponde, según la jurisprudencia constitucional, al Gobierno de la Generalitat y a su Parlamento, sin que el juicio político de estos órganos, pueda ser sustituido por el control jurídico del Tribunal. Por ello sostiene que el Tribunal ha de limitarse a comprobar si el uso de la legislación de urgencia es razonable, y en este caso, considera que lo ha sido.</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en este Tribunal el 2 de noviembre de 2015, la Letrada del Parlamento de Cataluña, en la representación que legalmente ostenta, comparece en el proceso y formula alegaciones, solicitando la extinción de este proceso constitucional por falta de objeto y subsidiariamente su desestimación. También solicita el levantamiento inmediato de la suspensión acordada al amparo del art. 161.2 CE.</w:t>
      </w:r>
    </w:p>
    <w:p w:rsidR="00A90898" w:rsidRDefault="00A90898" w:rsidP="00A90898">
      <w:pPr>
        <w:pStyle w:val="TextoNormal"/>
      </w:pPr>
    </w:p>
    <w:p w:rsidR="00A90898" w:rsidRDefault="00A90898" w:rsidP="00A90898">
      <w:pPr>
        <w:pStyle w:val="TextoNormal"/>
      </w:pPr>
      <w:r>
        <w:t>La Letrada del Parlamento de Cataluña, como han hecho las otras partes procesales, expone en primer lugar los antecedentes normativos del Decreto-ley 7/2014, de 23 de diciembre. Así, inicia sus alegaciones refiriéndose art. 9 del Decreto-ley 1/2009, de 22 de diciembre, aprobado tras la STJUE en el asunto C-400/2008. Alude también a la Ley del Parlamento de Cataluña 9/2011, de 29 de diciembre cuyo art. 114 modificó los apartados 3 y 4 del art. 9 del Decreto-ley 1/2009 y a la STC 193/2013 que declaró esta modificación inconstitucional y nula por no justificar que las limitaciones a la implantación de determinados centros comerciales que tales preceptos establecían estaban justificadas en razones imperiosas de interés general, como exige la legislación básica estatal. Indica, asimismo, que la Ley catalana 2/2014, de 27 de enero, en su disposición adicional vigésimo séptima volvió a declarar en vigor los apartados 3 y 4 del art. 9 del Decreto-ley 1/2009, de 22 de diciembre, en su redacción inicial, si bien la disposición transitoria octava de esta norma, recurrida por el Estado en el recurso de inconstitucionalidad 6513-2014, suspendió la aplicación de los referidos preceptos hasta que no se aprobara el proyecto de ley de comercio, servicios y ferias que el Gobierno debía presentar en el plazo de un año. La letrada del Parlamento de Cataluña se refiere por último al Decreto-ley ahora impugnado, que, según sostiene, deroga la reforma del art. 9 del Decreto-ley 1/2009 que llevó a cabo la Ley 2/2014 y a la Ley catalana 3/2015, cuyo art. 95 añadió una disposición adicional al Decreto-ley 1/2009, de 22 de diciembre, que también se encuentra recurrido (recurso de inconstitucionalidad 3493-2015) y suspendido.</w:t>
      </w:r>
    </w:p>
    <w:p w:rsidR="00A90898" w:rsidRDefault="00A90898" w:rsidP="00A90898">
      <w:pPr>
        <w:pStyle w:val="TextoNormal"/>
      </w:pPr>
    </w:p>
    <w:p w:rsidR="00A90898" w:rsidRDefault="00A90898" w:rsidP="00A90898">
      <w:pPr>
        <w:pStyle w:val="TextoNormal"/>
      </w:pPr>
      <w:r>
        <w:t>Aduce, por otra parte, la Letrada del Parlamento catalán que el Decreto-ley 7/2014, de 23 de diciembre, ahora impugnado, derogó el apartado 3 b) y el segundo párrafo del apartado 4 del art. 9 del Decreto-ley 1/2009, de 22 de diciembre, desde el momento de su entrada en vigor, por ello considera que el día 6 de octubre, fecha en la que este recurso se admitió a trámite, “los preceptos impugnados estaban derogados”. De ahí que entienda que el presente recurso de inconstitucionalidad carece de objeto y por este motivo solicita que se acuerde la extinción de este proceso constitucional.</w:t>
      </w:r>
    </w:p>
    <w:p w:rsidR="00A90898" w:rsidRDefault="00A90898" w:rsidP="00A90898">
      <w:pPr>
        <w:pStyle w:val="TextoNormal"/>
      </w:pPr>
    </w:p>
    <w:p w:rsidR="00A90898" w:rsidRDefault="00A90898" w:rsidP="00A90898">
      <w:pPr>
        <w:pStyle w:val="TextoNormal"/>
      </w:pPr>
      <w:r>
        <w:t xml:space="preserve">Con carácter subsidiario, para el caso de que se rechace la solicitud de archivo del recurso por pérdida de objeto, se argumenta la constitucionalidad del Decreto-ley 7/2014, de 23 de diciembre. Tras resumir las alegaciones del Abogado del Estado, se analiza la STC 193/2013. La Letrada del Parlamento considera que en su fundamento jurídico 6 el Tribunal reconoce que la limitación de la implantación de los medianos y grandes establecimientos comerciales y de grandes establecimientos comerciales territoriales fuera de la trama urbana consolidada establecida en el Decreto-ley 1/2009, de 22 de diciembre, antes de la Ley </w:t>
      </w:r>
      <w:r>
        <w:lastRenderedPageBreak/>
        <w:t>9/2011, tenía fundamento en razones imperiosas de interés general. También se afirma que la STC 193/2013, como ya hicieron el Tribunal de Justicia de la Unión Europea en el asunto C-400/08 y la STC 26/2012, admite que la sujeción del emplazamiento de este tipo de establecimientos comerciales a requisitos conectados a sus dimensiones o a la población del municipio no es incompatible con la legislación básica estatal siempre que se justifique que dichos requisitos atienden a objetivos de ordenación territorial y protección medioambiental y no a otros de carácter económico. Y se pone de relieve también que la STC 193/2013 anuló el art. 114 de la Ley 9/2011, por considerar que la limitación que este precepto establecía a la implantación de establecimientos comerciales no se encontraba justificada en motivos urbanísticos o medioambientales, sino en otros de orden cuantitativo poblacional y no territorial que no estaban suficientemente motivados.</w:t>
      </w:r>
    </w:p>
    <w:p w:rsidR="00A90898" w:rsidRDefault="00A90898" w:rsidP="00A90898">
      <w:pPr>
        <w:pStyle w:val="TextoNormal"/>
      </w:pPr>
    </w:p>
    <w:p w:rsidR="00A90898" w:rsidRDefault="00A90898" w:rsidP="00A90898">
      <w:pPr>
        <w:pStyle w:val="TextoNormal"/>
      </w:pPr>
      <w:r>
        <w:t>La Letrada del Parlamento aduce que la legislación básica estatal y la comunitaria no prohíben absolutamente las limitaciones a la implantación comercial. La Directiva de servicios en el mercado interior, en su art. 9, permite el sometimiento de las actividades de servicios a autorización administrativa, siempre que el régimen no sea discriminatorio, esté justificado en razones imperiosas de interés general y sea proporcionado, sin que sea posible conseguir el objetivo con medidas menos restrictivas. Se señala también El art. 6 LOCM tampoco prohíbe límites territoriales, proporcionados, al emplazamiento de establecimientos comerciales, por razones imperiosas de interés general.</w:t>
      </w:r>
    </w:p>
    <w:p w:rsidR="00A90898" w:rsidRDefault="00A90898" w:rsidP="00A90898">
      <w:pPr>
        <w:pStyle w:val="TextoNormal"/>
      </w:pPr>
    </w:p>
    <w:p w:rsidR="00A90898" w:rsidRDefault="00A90898" w:rsidP="00A90898">
      <w:pPr>
        <w:pStyle w:val="TextoNormal"/>
      </w:pPr>
      <w:r>
        <w:t>Se alega, además, que el Decreto-ley 7/2014, de 23 de diciembre, justifica en su preámbulo las razones imperiosas de interés general en las que basa la protección y priorización de las implantaciones de equipamientos comerciales dentro de la trama urbana consolidada a fin de lograr un desarrollo sostenible. Se considera que las excepciones de los apartados 3 b) y 4, párrafo segundo, del art. 9 del Decreto-ley 1/2009, de 22 de diciembre, fomentan la creación de áreas especializadas fuera de las ciudades, con sobrecarga de vías de comunicación y emisión de gases nocivos a la atmósfera y empobrecimiento de la vida urbana. De ahí que se entienda que la derogación de estos preceptos, aunque conlleve las limitaciones a la implantación de establecimientos comerciales, como tales limitaciones se encuentran fundamentadas en razones imperiosas de interés general de carácter urbanístico y medioambiental, no vulnera ni el derecho europeo ni la legislación básica estatal.</w:t>
      </w:r>
    </w:p>
    <w:p w:rsidR="00A90898" w:rsidRDefault="00A90898" w:rsidP="00A90898">
      <w:pPr>
        <w:pStyle w:val="TextoNormal"/>
      </w:pPr>
    </w:p>
    <w:p w:rsidR="00A90898" w:rsidRDefault="00A90898" w:rsidP="00A90898">
      <w:pPr>
        <w:pStyle w:val="TextoNormal"/>
      </w:pPr>
      <w:r>
        <w:t>La Letrada del Parlamento sostiene, por otra parte, que el Decreto-ley 7/2014, de 23 de diciembre tiene cobertura en las reglas competenciales y estatutarias que definen el orden de competencias en materia de comercio interior. Se afirma que esta norma ha sido dictada en virtud de las competencias que corresponden a la Generalitat en ejercicio de sus competencias exclusivas en materia de comercio interior, en lo relativo a equipamientos comerciales y régimen de establecimientos [art. 121.1 d) EAC], ordenación del territorio [art. 149.1 e) EAC], urbanismo [art. 149.5 a) EAC] y la competencia compartida sobre ordenación de la actividad económica (art. 152.2 EAC). Junto a ello se alega también que El Decreto-ley 7/2014, de 23 de diciembre, se encuentra amparado en la competencia de la Generalitat para el desarrollo, aplicación y ejecución del Derecho comunitario en su ámbito competencial (arts.113 y 189 EAC).</w:t>
      </w:r>
    </w:p>
    <w:p w:rsidR="00A90898" w:rsidRDefault="00A90898" w:rsidP="00A90898">
      <w:pPr>
        <w:pStyle w:val="TextoNormal"/>
      </w:pPr>
    </w:p>
    <w:p w:rsidR="00A90898" w:rsidRDefault="00A90898" w:rsidP="00A90898">
      <w:pPr>
        <w:pStyle w:val="TextoNormal"/>
      </w:pPr>
      <w:r>
        <w:t xml:space="preserve">La Letrada del Parlamento sostiene, además, que, de acuerdo con la doctrina establecida en las SSTC 21/2010, 31/2010 y 170/2012, la competencia exclusiva autonómica sobre comercio interior, no afecta a las competencias estatales concurrentes, como la del art. </w:t>
      </w:r>
      <w:r>
        <w:lastRenderedPageBreak/>
        <w:t>149.1.13 CE. Por ello, la legislación básica estatal no excluye la regulación propia de la Generalitat en materia de ordenación de establecimientos comerciales incluida, en este caso, en el Decreto-ley 7/2014, de 23 de diciembre, que no vulnera ninguna de las bases estatales invocadas en el recurso y encuentra justificación en necesidades de ordenación del mercado y la actividad económica general, como la cohesión económica y social, la competitividad del comercio, la conservación de recursos naturales y el desarrollo urbanístico y territorial sostenible, que sustentan las razones imperiosas de interés general exigidas, tanto por la legislación básica del Estado, como por la Directiva de servicios en el mercado interior.</w:t>
      </w:r>
    </w:p>
    <w:p w:rsidR="00A90898" w:rsidRDefault="00A90898" w:rsidP="00A90898">
      <w:pPr>
        <w:pStyle w:val="TextoNormal"/>
      </w:pPr>
    </w:p>
    <w:p w:rsidR="00A90898" w:rsidRDefault="00A90898" w:rsidP="00A90898">
      <w:pPr>
        <w:pStyle w:val="TextoNormal"/>
      </w:pPr>
      <w:r>
        <w:t>La Letrada del Parlamento rechaza también que el Decreto-ley 7/2014, de 23 de diciembre, carezca del presupuesto habilitante, pues, en su opinión, en el presente caso existe la situación de “necesidad extraordinaria y urgente” que exige el art. 64 EAC para que el Gobierno de Cataluña pueda dictar decretos-leyes. Se sostiene que, en contra de lo alegado por el Abogado del Estado, el objetivo del Decreto-ley 7/2014, de 23 de diciembre, no ha sido, en ningún caso, tratar de eludir las sentencias del Tribunal Constitucional y niega que ello resulte del preámbulo de la norma.</w:t>
      </w:r>
    </w:p>
    <w:p w:rsidR="00A90898" w:rsidRDefault="00A90898" w:rsidP="00A90898">
      <w:pPr>
        <w:pStyle w:val="TextoNormal"/>
      </w:pPr>
    </w:p>
    <w:p w:rsidR="00A90898" w:rsidRDefault="00A90898" w:rsidP="00A90898">
      <w:pPr>
        <w:pStyle w:val="TextoNormal"/>
      </w:pPr>
      <w:r>
        <w:t>Después de recordar la doctrina constitucional sobre los decretos-leyes y la extraordinaria y urgente necesidad, que es requisito para su adopción, la Letrada del Parlamento catalán afirma que el objetivo inaplazable a conseguir mediante la aprobación del Decreto-ley recurrido, es proteger el modelo de ciudad compacta, forzando la implantación de los establecimientos comerciales dentro de la trama urbana consolidada, con el fin de evitar desplazamientos innecesarios que incrementen la contaminación atmosférica. Por ello se considera que en este caso existía una coyuntura excepcional evidente que requería la adopción urgente de la medida, cuya justificación se expone de manera “explícita y razonada”.</w:t>
      </w:r>
    </w:p>
    <w:p w:rsidR="00A90898" w:rsidRDefault="00A90898" w:rsidP="00A90898">
      <w:pPr>
        <w:pStyle w:val="TextoNormal"/>
      </w:pPr>
    </w:p>
    <w:p w:rsidR="00A90898" w:rsidRDefault="00A90898" w:rsidP="00A90898">
      <w:pPr>
        <w:pStyle w:val="TextoNormal"/>
      </w:pPr>
      <w:r>
        <w:t>En opinión de la Letrada del Parlamento, así resulta de la memoria justificativa, del discurso del Consejero de Empresa y Ocupación en el debate de convalidación y de la exposición de motivos del Decreto-ley 7/2014, de 23 de diciembre, en los que se consideró necesaria una regulación inmediata, al haberse constatado en el estudio realizado que la excepción prevista en los apartados que se derogan se había convertido en norma general, con significativo deterioro de los bienes jurídicos protegidos por el Decreto-ley 1/2009, de 22 de diciembre. Por ello se apreció que la adopción de esta medida no podía esperar el tiempo que hubiera tardado en tramitarse una ley.</w:t>
      </w:r>
    </w:p>
    <w:p w:rsidR="00A90898" w:rsidRDefault="00A90898" w:rsidP="00A90898">
      <w:pPr>
        <w:pStyle w:val="TextoNormal"/>
      </w:pPr>
    </w:p>
    <w:p w:rsidR="00A90898" w:rsidRDefault="00A90898" w:rsidP="00A90898">
      <w:pPr>
        <w:pStyle w:val="TextoNormal"/>
      </w:pPr>
      <w:r>
        <w:t>Se recuerda que este Tribunal ha aceptado el uso del decreto-ley para hacer frente a “coyunturas económicas problemáticas” y esta coyuntura, según sostiene la Letrada parlamentaria, en este caso existe, pues, según se afirma, la regulación de los horarios comerciales y la actividad promocional, con objeto de preservar al sector del comercio de las graves consecuencias derivadas de una situación de inseguridad jurídica y de los efectos de la crisis económica, es análoga a situaciones en las que este Tribunal ha apreciado que existía una coyuntura económica compleja. Por ello se considera que en este supuesto concurría la situación que habilitaba al Gobierno la utilización del Decreto-ley. También se afirma que en este supuesto existe la necesaria conexión de sentido entre la situación de urgencia y excepcionalidad definida y la medida adoptada para hacerle frente. De ahí que, en su opinión, el Decreto-ley impugnado sea acorde con lo establecido en el art. 64 EAC.</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Por providencia de 3 de noviembre de 2015, el Pleno del Tribunal, acordó incorporar a los autos los escritos de alegaciones de las Letradas de la Generalitat y del Parlamento de Cataluña y, en cuanto a las solicitudes de levantamiento de la suspensión de la disposición impugnada, acordada inicialmente al amparo del art. 161.2 CE, formuladas en los otrosíes de sus escritos, dar traslado al Abogado del Estado por cinco días para alegaciones al respecto.</w:t>
      </w:r>
    </w:p>
    <w:p w:rsidR="00A90898" w:rsidRDefault="00A90898" w:rsidP="00A90898">
      <w:pPr>
        <w:pStyle w:val="TextoNormal"/>
      </w:pPr>
    </w:p>
    <w:p w:rsidR="00A90898" w:rsidRDefault="00A90898" w:rsidP="00A90898">
      <w:pPr>
        <w:pStyle w:val="TextoNormal"/>
      </w:pPr>
      <w:r w:rsidRPr="00A90898">
        <w:rPr>
          <w:rStyle w:val="NumeroAFNegritaCaracter"/>
        </w:rPr>
        <w:t>7</w:t>
      </w:r>
      <w:r>
        <w:t>. Evacuado por el Abogado del Estado el traslado conferido, mediante Auto de 16 de febrero de 2016, el Pleno del Tribunal acordó mantener la suspensión del Decreto-ley de la Generalitat de Cataluña 7/2014, de 23 de diciembre, por el cual se deroga la letra b) del apartado 3 y el segundo párrafo del apartado 4 del artículo 9 del Decreto-ley 1/2009, de 22 de diciembre, de ordenación de los equipamientos comerciales.</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20 de septiembre de 2016 se señaló para deliberación y fallo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tiene por objeto el Decreto-ley de la Generalitat de Cataluña, 7/2014, de 23 diciembre, que, en su artículo único, deroga la letra b) del apartado 3 y el segundo párrafo del apartado 4 del artículo 9 del Decreto-ley 1/2009, de 22 de diciembre, de ordenación de los equipamientos comerciales, lo que supone la derogación de dos supuestos, en los que excepcionalmente, esta norma permite la implantación de determinados centros comerciales fuera de la trama urbana consolidada de determinados municipios.</w:t>
      </w:r>
    </w:p>
    <w:p w:rsidR="00A90898" w:rsidRDefault="00A90898" w:rsidP="00A90898">
      <w:pPr>
        <w:pStyle w:val="TextoNormal"/>
      </w:pPr>
    </w:p>
    <w:p w:rsidR="00A90898" w:rsidRDefault="00A90898" w:rsidP="00A90898">
      <w:pPr>
        <w:pStyle w:val="TextoNormal"/>
      </w:pPr>
      <w:r>
        <w:t>Como queda reflejado en los antecedentes de esta Sentencia, el Presidente del Gobierno, representado por el Abogado del Estado, considera que el Decreto-ley 7/2014 incurre en inconstitucionalidad indirecta o mediata, pues, a su juicio, vulnera la legislación básica estatal, contenida en el arts. 6 de la Ley 7/1996, de 15 de enero, de ordenación del comercio minorista (LOCM); en e1 art. 11 Ley 17/2009, de 23 de noviembre, sobre el libre acceso a las actividades de servicios y su ejercicio; en los arts. 5, 17 y 18 de Ley 20/2013, de 9 de diciembre, de garantía de la unidad de mercado y en el art. 1 de ley 12/2012, de 26 de diciembre, de medidas urgentes de liberalización del comercio y de determinados servicios dictada por el Estado al amparo del título competencial del art. 149.1.13 CE. Según se aduce, esta normativa básica impide imponer requisitos a la apertura de establecimientos comerciales y al ejercicio de actividades económicas, salvo por razones imperiosas de interés general basadas en objetivos de protección medioambiental, del entorno urbano o de protección del patrimonio histórico-artístico; motivos que, a juicio del Abogado del Estado, no concurren en este caso. Junto a ello se alega también que el Decreto-ley 7/2014, de 23 de diciembre, es inconstitucional por haberse dictado sin la concurrencia del presupuesto habilitante de la “necesidad extraordinaria y urgente”, que exige el art, 64 del Estatuto de Autonomía de Cataluña (EAC) para que el Gobierno de Cataluña pueda dictar este tipo de normas.</w:t>
      </w:r>
    </w:p>
    <w:p w:rsidR="00A90898" w:rsidRDefault="00A90898" w:rsidP="00A90898">
      <w:pPr>
        <w:pStyle w:val="TextoNormal"/>
      </w:pPr>
    </w:p>
    <w:p w:rsidR="00A90898" w:rsidRDefault="00A90898" w:rsidP="00A90898">
      <w:pPr>
        <w:pStyle w:val="TextoNormal"/>
      </w:pPr>
      <w:r>
        <w:lastRenderedPageBreak/>
        <w:t>Las representantes de la Generalitat de Cataluña y del Parlamento catalán sostienen que el Decreto-ley 7/2014 fue aprobado por la Comunidad Autónoma en ejercicio de sus competencias exclusivas sobre comercio interior y, en particular, sobre la planificación territorial de los equipamientos comerciales y régimen de su instalación [art. 121.1 d) EAC]. También invocan las competencias autonómicas sobre ordenación del territorio (art. 149.1 EAC), urbanismo (art. 149.5 EAC), defensa de los consumidores [art.123 a) EAC] y medio ambiente (art. 144 EAC). Aducen, además, que esta norma no vulnera la normativa básica estatal, pues entienden que la derogación que efectúa, aunque establece restricciones a la implantación territorial de determinados centros comerciales, estas limitaciones se encuentra justificadas en razones imperiosas de interés general admitidas por la normativa básica, pues tienen como objetivo la protección medioambiental y del entorno urbano. Junto a ello alegan también que el Decreto-ley 7/2014 se ha dictado respetando las exigencias establecidas en el art. 64 EAC y en la doctrina constitucional establecida en relación con los Decretos-leyes. Por todo ello, solicitan la desestimación del recurso.</w:t>
      </w:r>
    </w:p>
    <w:p w:rsidR="00A90898" w:rsidRDefault="00A90898" w:rsidP="00A90898">
      <w:pPr>
        <w:pStyle w:val="TextoNormal"/>
      </w:pPr>
    </w:p>
    <w:p w:rsidR="00A90898" w:rsidRDefault="00A90898" w:rsidP="00A90898">
      <w:pPr>
        <w:pStyle w:val="TextoNormal"/>
      </w:pPr>
      <w:r>
        <w:t>No obstante, la Letrada del Parlamento catalán solicita, en primer lugar, el archivo del recurso, pues considera que la derogación producida por el artículo único del Decreto-ley 7/2014, de 23 de diciembre, ha extinguido su objeto.</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examinar las distintas cuestiones planteadas por las partes interesa, como hacen también todas ellas, sintetizar los múltiples cambios que ha tenido la legislación catalana en materia de ordenación de los equipamientos comerciales, así como hacer referencia a los recursos de inconstitucionalidad interpuestos frente algunas de estas normas y a las Sentencias que han resuelto esos recursos.</w:t>
      </w:r>
    </w:p>
    <w:p w:rsidR="00A90898" w:rsidRDefault="00A90898" w:rsidP="00A90898">
      <w:pPr>
        <w:pStyle w:val="TextoNormal"/>
      </w:pPr>
    </w:p>
    <w:p w:rsidR="00A90898" w:rsidRDefault="00A90898" w:rsidP="00A90898">
      <w:pPr>
        <w:pStyle w:val="TextoNormal"/>
      </w:pPr>
      <w:r>
        <w:t>Como se ha indicado, el Decreto-ley 7/2014, de 23 de diciembre, tiene como objeto derogar dos apartados del art. 9 del Decreto-ley 1/2009, de 22 de diciembre, de ordenación de equipamientos comerciales, que establecen algunas excepciones a la regla general de prohibición de la implantación de grandes y medianos establecimientos comerciales y grandes centros comerciales territoriales fuera de la trama urbana consolidada de determinados municipios.</w:t>
      </w:r>
    </w:p>
    <w:p w:rsidR="00A90898" w:rsidRDefault="00A90898" w:rsidP="00A90898">
      <w:pPr>
        <w:pStyle w:val="TextoNormal"/>
      </w:pPr>
    </w:p>
    <w:p w:rsidR="00A90898" w:rsidRDefault="00A90898" w:rsidP="00A90898">
      <w:pPr>
        <w:pStyle w:val="TextoNormal"/>
      </w:pPr>
      <w:r>
        <w:t>El Decreto-ley 1/2009, de 22 de diciembre, se dictó por la Generalitat de Cataluña con el fin de adaptar la normativa reguladora de la ordenación de los equipamientos comerciales de Cataluña a lo establecido en la Directiva 2006/123/CE , al haberse dictado la STJUE en el asunto C‑400/08, en la que se declaró que el Reino de España había incumplido las obligaciones que le incumbían en virtud del art. 43 TCE (actual art. 49 TFUE) al adoptar o mantener en vigor una serie de disposiciones, entre las que se encontraban algunos preceptos de la anterior normativa catalana de equipamientos comerciales, Ley 18/2005, de 27 de diciembre, y de la legislación estatal, entre los que se encontraba el art. 6 LOCM en su redacción inicial.</w:t>
      </w:r>
    </w:p>
    <w:p w:rsidR="00A90898" w:rsidRDefault="00A90898" w:rsidP="00A90898">
      <w:pPr>
        <w:pStyle w:val="TextoNormal"/>
      </w:pPr>
    </w:p>
    <w:p w:rsidR="00A90898" w:rsidRDefault="00A90898" w:rsidP="00A90898">
      <w:pPr>
        <w:pStyle w:val="TextoNormal"/>
      </w:pPr>
      <w:r>
        <w:t xml:space="preserve">Para conseguir la necesaria adaptación al Derecho europeo, el Decreto-ley 1/2009, de 22 de diciembre, abandonó el anterior sistema de licencias comerciales, cuya concesión dependía de criterios económicos, comerciales y de planificación territorial, y optó por un régimen general de comunicación (art. 17), complementado por un régimen de licencias limitado a determinados supuestos (art. 19). Para ello, el Decreto-ley 1/2009, distinguió cuatro tipos de establecimientos comerciales: los “pequeños”, con menos de 800 m²; los “medianos”, </w:t>
      </w:r>
      <w:r>
        <w:lastRenderedPageBreak/>
        <w:t>con superficie de entre 800 y 1.300 m²; los “grandes”, con superficie de entre 1.300 y 2.500 m²; y los “grandes establecimientos comerciales territoriales”, con superficie igual o superior a 2.500 m² [art. 6.1 a)]. Aparte de deslindar los supuestos de comunicación y licencia en función de dichas categorías, el Decreto-ley 1/2009, en los apartados 3 y 4 del art. 9, vedaba, como regla general, la implantación de los medianos establecimientos comerciales, grandes establecimientos comerciales y grandes establecimientos comerciales territoriales fuera de la llamada “trama urbana consolidada” (definida en los arts. 7 y 8) de los municipios de más de 5.000 habitantes, asimilables o capital comarcal (50.000 habitantes para los grandes establecimientos comerciales territoriales) y solo la permitía, excepcionalmente, en dos supuestos puntuales, definidos en las letras a) y b) del apartado 3.a) la segunda de las cuales se remitía el apartado 4 para los grandes establecimientos comerciales territoriales.</w:t>
      </w:r>
    </w:p>
    <w:p w:rsidR="00A90898" w:rsidRDefault="00A90898" w:rsidP="00A90898">
      <w:pPr>
        <w:pStyle w:val="TextoNormal"/>
      </w:pPr>
    </w:p>
    <w:p w:rsidR="00A90898" w:rsidRDefault="00A90898" w:rsidP="00A90898">
      <w:pPr>
        <w:pStyle w:val="TextoNormal"/>
      </w:pPr>
      <w:r>
        <w:t>En concreto, el tenor de los apartados 3 b) y segundo párrafo del apartado 4, del art. 9 Decreto-ley 1/2009, de 22 de diciembre —que el Decreto-ley 7/2014, de 23 de diciembre, ahora recurrido, deroga— es el siguiente:</w:t>
      </w:r>
    </w:p>
    <w:p w:rsidR="00A90898" w:rsidRDefault="00A90898" w:rsidP="00A90898">
      <w:pPr>
        <w:pStyle w:val="TextoNormal"/>
      </w:pPr>
    </w:p>
    <w:p w:rsidR="00A90898" w:rsidRDefault="00A90898" w:rsidP="00A90898">
      <w:pPr>
        <w:pStyle w:val="TextoNormal"/>
      </w:pPr>
      <w:r>
        <w:t>“3. Los medianos establecimientos comerciales y los grandes establecimientos comerciales sólo pueden implantarse en la trama urbana consolidada de los municipios de más de 5.000 habitantes o asimilables a éstos o que sean capital de comarca. Por reglamento, deben concretarse las características que han de concurrir para poder considerar un municipio como asimilable a uno de más de 5.000 habitantes.</w:t>
      </w:r>
    </w:p>
    <w:p w:rsidR="00A90898" w:rsidRDefault="00A90898" w:rsidP="00A90898">
      <w:pPr>
        <w:pStyle w:val="TextoNormal"/>
      </w:pPr>
    </w:p>
    <w:p w:rsidR="00A90898" w:rsidRDefault="00A90898" w:rsidP="00A90898">
      <w:pPr>
        <w:pStyle w:val="TextoNormal"/>
      </w:pPr>
      <w:r>
        <w:t>Excepcionalmente se pueden implantar también fuera de la trama urbana consolidada cuando concurra alguna de las circunstancias siguientes:</w:t>
      </w:r>
    </w:p>
    <w:p w:rsidR="00A90898" w:rsidRDefault="00A90898" w:rsidP="00A90898">
      <w:pPr>
        <w:pStyle w:val="TextoNormal"/>
      </w:pPr>
    </w:p>
    <w:p w:rsidR="00A90898" w:rsidRDefault="00A90898" w:rsidP="00A90898">
      <w:pPr>
        <w:pStyle w:val="TextoNormal"/>
      </w:pPr>
      <w:r>
        <w:t>(a) …</w:t>
      </w:r>
    </w:p>
    <w:p w:rsidR="00A90898" w:rsidRDefault="00A90898" w:rsidP="00A90898">
      <w:pPr>
        <w:pStyle w:val="TextoNormal"/>
      </w:pPr>
    </w:p>
    <w:p w:rsidR="00A90898" w:rsidRDefault="00A90898" w:rsidP="00A90898">
      <w:pPr>
        <w:pStyle w:val="TextoNormal"/>
      </w:pPr>
      <w:r>
        <w:t>(b) Que sea justificada la localización fuera de la trama urbana consolidada de un establecimiento individual y siempre que se cumplan todas y cada una de las condiciones siguientes:</w:t>
      </w:r>
    </w:p>
    <w:p w:rsidR="00A90898" w:rsidRDefault="00A90898" w:rsidP="00A90898">
      <w:pPr>
        <w:pStyle w:val="TextoNormal"/>
      </w:pPr>
    </w:p>
    <w:p w:rsidR="00A90898" w:rsidRDefault="00A90898" w:rsidP="00A90898">
      <w:pPr>
        <w:pStyle w:val="TextoNormal"/>
      </w:pPr>
      <w:r>
        <w:t>1) El emplazamiento tiene que estar situado en continuidad física con el tejido urbano residencial, que configura la TUC, sin que pueda estar separado de ésta por ninguna barrera física no permeable significativa.</w:t>
      </w:r>
    </w:p>
    <w:p w:rsidR="00A90898" w:rsidRDefault="00A90898" w:rsidP="00A90898">
      <w:pPr>
        <w:pStyle w:val="TextoNormal"/>
      </w:pPr>
    </w:p>
    <w:p w:rsidR="00A90898" w:rsidRDefault="00A90898" w:rsidP="00A90898">
      <w:pPr>
        <w:pStyle w:val="TextoNormal"/>
      </w:pPr>
      <w:r>
        <w:t>2) El planeamiento urbanístico ha de admitir el uso comercial con carácter dominante o principal en la parcela donde se pretende implantar el establecimiento comercial.</w:t>
      </w:r>
    </w:p>
    <w:p w:rsidR="00A90898" w:rsidRDefault="00A90898" w:rsidP="00A90898">
      <w:pPr>
        <w:pStyle w:val="TextoNormal"/>
      </w:pPr>
    </w:p>
    <w:p w:rsidR="00A90898" w:rsidRDefault="00A90898" w:rsidP="00A90898">
      <w:pPr>
        <w:pStyle w:val="TextoNormal"/>
      </w:pPr>
      <w:r>
        <w:t>3) El establecimiento comercial ha de localizarse en parcela aislada con acceso principal desde la calle perimetral a la TUC. Esta calle ha de dar continuidad o complementar la red viaria principal del municipio y facilitar la conexión urbana para peatones y bicicletas desde la zona residencial confrontante.</w:t>
      </w:r>
    </w:p>
    <w:p w:rsidR="00A90898" w:rsidRDefault="00A90898" w:rsidP="00A90898">
      <w:pPr>
        <w:pStyle w:val="TextoNormal"/>
      </w:pPr>
    </w:p>
    <w:p w:rsidR="00A90898" w:rsidRDefault="00A90898" w:rsidP="00A90898">
      <w:pPr>
        <w:pStyle w:val="TextoNormal"/>
      </w:pPr>
      <w:r>
        <w:t>4) El establecimiento comercial debe estar a una distancia inferior a 200 metros, respecto de la entrada principal, de una parada de transporte público urbano integrado en la red municipal o se ha de prever la instalación de paradas, terminales o estaciones para atender los flujos de público previsibles.</w:t>
      </w:r>
    </w:p>
    <w:p w:rsidR="00A90898" w:rsidRDefault="00A90898" w:rsidP="00A90898">
      <w:pPr>
        <w:pStyle w:val="TextoNormal"/>
      </w:pPr>
    </w:p>
    <w:p w:rsidR="00A90898" w:rsidRDefault="00A90898" w:rsidP="00A90898">
      <w:pPr>
        <w:pStyle w:val="TextoNormal"/>
      </w:pPr>
      <w:r>
        <w:lastRenderedPageBreak/>
        <w:t>…</w:t>
      </w:r>
    </w:p>
    <w:p w:rsidR="00A90898" w:rsidRDefault="00A90898" w:rsidP="00A90898">
      <w:pPr>
        <w:pStyle w:val="TextoNormal"/>
      </w:pPr>
    </w:p>
    <w:p w:rsidR="00A90898" w:rsidRDefault="00A90898" w:rsidP="00A90898">
      <w:pPr>
        <w:pStyle w:val="TextoNormal"/>
      </w:pPr>
      <w:r>
        <w:t>4. Los grandes establecimientos comerciales territoriales pueden implantarse únicamente en la trama urbana consolidada de los municipios de más de 50.000 habitantes o los asimilables a éstos o que sean capital de comarca…</w:t>
      </w:r>
    </w:p>
    <w:p w:rsidR="00A90898" w:rsidRDefault="00A90898" w:rsidP="00A90898">
      <w:pPr>
        <w:pStyle w:val="TextoNormal"/>
      </w:pPr>
    </w:p>
    <w:p w:rsidR="00A90898" w:rsidRDefault="00A90898" w:rsidP="00A90898">
      <w:pPr>
        <w:pStyle w:val="TextoNormal"/>
      </w:pPr>
      <w:r>
        <w:t>Excepcionalmente, estos establecimientos pueden implantarse fuera de la trama urbana consolidada cuando concurran las circunstancias previstas en el apartado a) y b) del punto 3 de este artículo, siempre que se justifique también la conexión al transporte público interurbano.”</w:t>
      </w:r>
    </w:p>
    <w:p w:rsidR="00A90898" w:rsidRDefault="00A90898" w:rsidP="00A90898">
      <w:pPr>
        <w:pStyle w:val="TextoNormal"/>
      </w:pPr>
    </w:p>
    <w:p w:rsidR="00A90898" w:rsidRDefault="00A90898" w:rsidP="00A90898">
      <w:pPr>
        <w:pStyle w:val="TextoNormal"/>
      </w:pPr>
      <w:r>
        <w:t>El art. 114 de la Ley de Cataluña 9/2011, de 29 de diciembre, de promoción de la actividad económica modificó el apartado 3 y 4 del Decreto-ley 1/2009, suprimiendo las excepciones a la prohibición de implantación de centros comerciales que en su redacción originaria establecía. Esta modificación fue declarada inconstitucional y nula por la STC 193/2013, de 21 de noviembre en la que se declaró que la ley autonómica, al suprimir la posibilidad de instalar establecimientos comerciales de gran tamaño fuera de la trama urbana consolidada y no justificar esta restricción más que razones económicas, había vulnerado la legislación básica estatal. Según se afirma en la citada STC 193/2013, la norma autonómica no exteriorizó “ninguna motivación orientada a justificar que las mayores restricciones que ahora se imponen coadyuven proporcionadamente al logro de una gestión urbana sostenible, ciñéndose a conectarlas en general con la reactivación económica y en particular con el incremento de la actividad comercial, motivos ambos que por ser de clara índole económica no resultan acordes con los criterios fijados por la normativa básica del Estado”, pues para ello, según afirma el Tribunal en la citada Sentencia, hubiera sido preciso que el legislador catalán hubiera explicado las razones por las que la consecución de los objetivos urbanísticos, de ordenación territorial y protección ambiental descritos en la exposición de motivos del Decreto-ley 1/2009 hacía necesaria una limitación más intensa del libre acceso a la actividad de distribución comercial que la ya establecida por la redacción inicial de los apartados 3 y 4 del art. 9 del Decreto-ley 1/2009 (STC 193/2013, FJ 7).</w:t>
      </w:r>
    </w:p>
    <w:p w:rsidR="00A90898" w:rsidRDefault="00A90898" w:rsidP="00A90898">
      <w:pPr>
        <w:pStyle w:val="TextoNormal"/>
      </w:pPr>
    </w:p>
    <w:p w:rsidR="00A90898" w:rsidRDefault="00A90898" w:rsidP="00A90898">
      <w:pPr>
        <w:pStyle w:val="TextoNormal"/>
      </w:pPr>
      <w:r>
        <w:t>Posteriormente se dictó la Ley 2/2014, de 27 de enero, de medidas fiscales, administrativas, financieras y del sector público de Cataluña, que, en su disposición adicional vigésima séptima, declaró vigentes los apartados 3 y 4 del artículo 9 del Decreto-ley 1/2009, de 22 de diciembre, en la redacción que tenían en el momento de entrar en vigor el 29 de diciembre de 2009 “de acuerdo con los criterios y los objetivos de este decreto ley, que se fundamentan en las razones imperiosas de interés general que lo sostienen, detalladas en su exposición de motivos”. No obstante, la disposición transitoria octava de esta misma ley suspendió la excepción de implantación de establecimientos fuera de trama urbana consolidada a que se refieren el apartado 3 b) y el segundo párrafo del apartado 4 del artículo 9 del Decreto Ley 1/2009, que la referida disposición adicional había declarado vigentes, hasta que no se aprobase el proyecto de ley de comercio, servicio y ferias que el Gobierno de la Generalitat debía presentar al Parlamento de Cataluña.</w:t>
      </w:r>
    </w:p>
    <w:p w:rsidR="00A90898" w:rsidRDefault="00A90898" w:rsidP="00A90898">
      <w:pPr>
        <w:pStyle w:val="TextoNormal"/>
      </w:pPr>
    </w:p>
    <w:p w:rsidR="00A90898" w:rsidRDefault="00A90898" w:rsidP="00A90898">
      <w:pPr>
        <w:pStyle w:val="TextoNormal"/>
      </w:pPr>
      <w:r>
        <w:t xml:space="preserve">La disposición transitoria octava de la Ley catalana 2/2014 fue, junto con otros preceptos de la misma Ley, objeto de un recurso de inconstitucionalidad y ha sido anulada por la STC 73/2016, de 14 de abril. La citada Sentencia anuló la referida disposición transitoria por considerar que, al establecer una restricción a la libertad de apertura de establecimientos </w:t>
      </w:r>
      <w:r>
        <w:lastRenderedPageBreak/>
        <w:t>comerciales sin aportar razón alguna que justificara esa limitación, vulneraba la legislación básica estatal.</w:t>
      </w:r>
    </w:p>
    <w:p w:rsidR="00A90898" w:rsidRDefault="00A90898" w:rsidP="00A90898">
      <w:pPr>
        <w:pStyle w:val="TextoNormal"/>
      </w:pPr>
    </w:p>
    <w:p w:rsidR="00A90898" w:rsidRDefault="00A90898" w:rsidP="00A90898">
      <w:pPr>
        <w:pStyle w:val="TextoNormal"/>
      </w:pPr>
      <w:r>
        <w:t>Casi un año después de dictarse la Ley 2/2014, se aprobó el Decreto-ley 7/2014, de 23 de diciembre, objeto de este recurso, que derogó, como se ha indicado, las excepciones establecidas en los apartados b) del apartado 3 y el segundo párrafo del apartado 4 del artículo 9 del Decreto-ley 1/2009, de 22 de diciembre, invocando, como se verá a continuación en detalle, determinadas razones de interés general como fundamento de la misma.</w:t>
      </w:r>
    </w:p>
    <w:p w:rsidR="00A90898" w:rsidRDefault="00A90898" w:rsidP="00A90898">
      <w:pPr>
        <w:pStyle w:val="TextoNormal"/>
      </w:pPr>
    </w:p>
    <w:p w:rsidR="00A90898" w:rsidRDefault="00A90898" w:rsidP="00A90898">
      <w:pPr>
        <w:pStyle w:val="TextoNormal"/>
      </w:pPr>
      <w:r>
        <w:t>Finalmente, el Decreto-ley 1/2009, de 22 de diciembre, ha sido modificado por la Ley catalana 3/2015, de 11 de marzo, de medidas fiscales, financieras y administrativas, cuyo art. 95, añadió al mismo una disposición adicional duodécima, relativa a la implantación, en determinados casos, de pequeños y medianos establecimientos comerciales, dentro de las instalaciones de los puertos de titularidad pública. Este precepto, y otros de esa misma Ley, han sido objeto del recurso de inconstitucionalidad núm. 3493-2015, interpuesto por el Presidente del Gobierno, que ha sido resuelto por la STC de 7 de julio de 2016. Esta Sentencia ha declarado inconstitucional y nulo el art. 95 de la citada Ley catalana 3/2015 al considerar que este precepto no se atemperaba a las exigencias de la normativa básica estatal, ya que, de acuerdo con la regulación contenida en el mismo, “deviene imposible la implantación, en los puertos públicos, de establecimientos comerciales de determinada naturaleza (grandes establecimientos comerciales y grandes establecimientos comerciales territoriales), interdicción que —una vez abierto al espacio portuario a la actividad comercial— se configura como una restricción a la libertad de establecimiento que debió haber sido objeto de justificación o motivación suficiente por el legislador con arreglo a la normativa básica que le vincula” (FJ 3). Por ello, al no haber expuesto el legislador las razones imperiosas de interés general en la que se ampara esta restricción, este Tribunal ha estimado que no respetaba la legislación básica estatal y, que por este motivo, vulneraba el art. 149.1.13 CE y el art. 121.1 d) EAC. Conviene advertir que la cuestión planteada en ese recurso no incide en el presente, en cuanto la modificación llevada a cabo por el art. 95 del Decreto-ley 1/2009, de 22 de diciembre, no afecta a la derogación llevada a cabo por el Decreto-ley 7/2014, de 23 de diciembre.</w:t>
      </w:r>
    </w:p>
    <w:p w:rsidR="00A90898" w:rsidRDefault="00A90898" w:rsidP="00A90898">
      <w:pPr>
        <w:pStyle w:val="TextoNormal"/>
      </w:pPr>
    </w:p>
    <w:p w:rsidR="00A90898" w:rsidRDefault="00A90898" w:rsidP="00A90898">
      <w:pPr>
        <w:pStyle w:val="TextoNormal"/>
      </w:pPr>
      <w:r w:rsidRPr="00A90898">
        <w:rPr>
          <w:rStyle w:val="NumeroAFNegritaCaracter"/>
        </w:rPr>
        <w:t>3</w:t>
      </w:r>
      <w:r>
        <w:t>. Una vez expuesto el contexto normativo en el que se inserta el Decreto-ley ahora impugnado, ha de resolverse, en primer lugar, la solicitud de archivo del recurso formulada por el Parlamento de Cataluña. Según aduce esta parte procesal, la derogación realizada por el artículo único del Decreto-ley 7/2014, de 23 de diciembre, conlleva la extinción del objeto del recurso, pues considera que, de acuerdo con la doctrina de este Tribunal, la derogación sobrevenida de los preceptos impugnados en un recurso de inconstitucionalidad hace que su objeto decaiga, salvo en los casos en que la controversia competencial subsista.</w:t>
      </w:r>
    </w:p>
    <w:p w:rsidR="00A90898" w:rsidRDefault="00A90898" w:rsidP="00A90898">
      <w:pPr>
        <w:pStyle w:val="TextoNormal"/>
      </w:pPr>
    </w:p>
    <w:p w:rsidR="00A90898" w:rsidRDefault="00A90898" w:rsidP="00A90898">
      <w:pPr>
        <w:pStyle w:val="TextoNormal"/>
      </w:pPr>
      <w:r>
        <w:t xml:space="preserve">La doctrina que invoca el Parlamento de Cataluña no es aplicable en este caso. El objeto de este recurso es el Decreto-ley 7/2014, de 23 de diciembre, y este Decreto-ley no está derogado. Cuestión distinta es que el artículo único de esta norma tenga como objeto la derogación de otras normas, pero el recurso no se dirige contra las normas que este Decreto-ley deroga, sino contra este Decreto-ley, que es donde se dispone esa derogación. Resulta, por tanto, que la derogación que efectúa el Decreto-ley impugnado no conlleva la pérdida de objeto del recurso sino, antes al contrario, el nacimiento de la controversia competencial que subyace en el mismo. En consecuencia, no cabe apreciar la extinción de este proceso </w:t>
      </w:r>
      <w:r>
        <w:lastRenderedPageBreak/>
        <w:t>constitucional por perdida de objeto del recurso, por lo que debe rechazarse la solicitud de archivo del recurso que formulada por el Parlamento de Cataluña por ese motivo.</w:t>
      </w:r>
    </w:p>
    <w:p w:rsidR="00A90898" w:rsidRDefault="00A90898" w:rsidP="00A90898">
      <w:pPr>
        <w:pStyle w:val="TextoNormal"/>
      </w:pPr>
    </w:p>
    <w:p w:rsidR="00A90898" w:rsidRDefault="00A90898" w:rsidP="00A90898">
      <w:pPr>
        <w:pStyle w:val="TextoNormal"/>
      </w:pPr>
      <w:r w:rsidRPr="00A90898">
        <w:rPr>
          <w:rStyle w:val="NumeroAFNegritaCaracter"/>
        </w:rPr>
        <w:t>4</w:t>
      </w:r>
      <w:r>
        <w:t>. Como se ha indicado, el Abogado del Estado considera que el Decreto-ley recurrido es inconstitucional al haber sido dictado sin que exista una situación de necesidad extraordinaria y urgente, como exige el art. 64.1 EAC para que el Gobierno de la Generalitat pueda dictar este tipo de normas.</w:t>
      </w:r>
    </w:p>
    <w:p w:rsidR="00A90898" w:rsidRDefault="00A90898" w:rsidP="00A90898">
      <w:pPr>
        <w:pStyle w:val="TextoNormal"/>
      </w:pPr>
    </w:p>
    <w:p w:rsidR="00A90898" w:rsidRDefault="00A90898" w:rsidP="00A90898">
      <w:pPr>
        <w:pStyle w:val="TextoNormal"/>
      </w:pPr>
      <w:r>
        <w:t>Conviene señalar, en primer lugar, que este Tribunal ha considerado que aunque la Constitución no prevea el Decreto-ley autonómico no impide que el legislador estatutario pueda atribuir al Gobierno de las Comunidades Autónomas la potestad de dictar normas provisionales con rango de ley que adopten la forma de Decreto-ley siempre que los límites formales y materiales a los que se encuentren sometidos sean, como mínimo, los mismos que la Constitución impone al Decreto-ley estatal (SSTC 93/2015, de 14 de mayo, FFJJ 3 a 6; 104/2015 de 28 de mayo, FJ 4, y 38/2016, de 3 marzo, FJ 2, entre otras). El art. 64 EAC, que regula este tipo de normas, respeta las referidas exigencias.</w:t>
      </w:r>
    </w:p>
    <w:p w:rsidR="00A90898" w:rsidRDefault="00A90898" w:rsidP="00A90898">
      <w:pPr>
        <w:pStyle w:val="TextoNormal"/>
      </w:pPr>
    </w:p>
    <w:p w:rsidR="00A90898" w:rsidRDefault="00A90898" w:rsidP="00A90898">
      <w:pPr>
        <w:pStyle w:val="TextoNormal"/>
      </w:pPr>
      <w:r>
        <w:t>Por otra parte, es también doctrina de este Tribunal —doctrina que se ha establecido en relación con los decretos-leyes estatales pero que resulta igualmente de aplicación a los decretos-leyes autonómicos (STC 104/2015,de 28 de mayo, FJ 4)— que “el examen de las infracciones que se refieren al art. 86 CE ha de ser prioritario en el orden de nuestro enjuiciamiento, toda vez que en este caso las infracciones denunciadas inciden directamente sobre la validez de los preceptos impugnados y se cuestiona la legitimidad constitucional de su inclusión en una norma de urgencia … de modo que, si se estimaran las alegaciones relativas al art. 86 CE, resultaría innecesario el examen de las restantes alegaciones” (entre otras, SSTC 1/2012, de 13 de enero, FJ 3, 182/2013, de 23 de octubre, FJ 3, y 104/2015,de 28 de mayo, FJ 4). De ahí que proceda examinar en primer lugar este motivo del recuso.</w:t>
      </w:r>
    </w:p>
    <w:p w:rsidR="00A90898" w:rsidRDefault="00A90898" w:rsidP="00A90898">
      <w:pPr>
        <w:pStyle w:val="TextoNormal"/>
      </w:pPr>
    </w:p>
    <w:p w:rsidR="00A90898" w:rsidRDefault="00A90898" w:rsidP="00A90898">
      <w:pPr>
        <w:pStyle w:val="TextoNormal"/>
      </w:pPr>
      <w:r w:rsidRPr="00A90898">
        <w:rPr>
          <w:rStyle w:val="NumeroAFNegritaCaracter"/>
        </w:rPr>
        <w:t>5</w:t>
      </w:r>
      <w:r>
        <w:t>. En relación con la “extraordinaria y urgente necesidad”, como presupuesto habilitante de los decretos-leyes este Tribunal ha establecido una consolidad doctrina en la que se sostiene que esta exigencia no es “una cláusula o expresión vacía de significado dentro de la cual el lógico margen de apreciación política del Gobierno se mueva libremente sin restricción alguna, sino, por el contrario, [es] la constatación de un límite jurídico a la actuación mediante decretos-leyes” (STC 38/2016, FJ 3 y las allí citadas), sin que, como sigue afirmando la Sentencia citada, esta consideración haya impedido a este Tribunal reconocer “el peso que en la apreciación de la extraordinaria y urgente necesidad ha de concederse al juicio puramente político de los órganos a los que incumbe la dirección del Estado”.</w:t>
      </w:r>
    </w:p>
    <w:p w:rsidR="00A90898" w:rsidRDefault="00A90898" w:rsidP="00A90898">
      <w:pPr>
        <w:pStyle w:val="TextoNormal"/>
      </w:pPr>
    </w:p>
    <w:p w:rsidR="00A90898" w:rsidRDefault="00A90898" w:rsidP="00A90898">
      <w:pPr>
        <w:pStyle w:val="TextoNormal"/>
      </w:pPr>
      <w:r>
        <w:t xml:space="preserve">Por ello, como se constata en la citada STC 38/2016, FJ 3, la jurisprudencia constitucional ha declarado que “el control que a este Tribunal corresponde efectuar para comprobar si concurre el presupuesto habilitante es un control externo, que debe respetar el margen de discrecionalidad política que en la apreciación de este requisito corresponde al Gobierno. De ahí que se haya afirmado que para determinar si concurre o no la situación de extraordinaria y urgente necesidad hay que atender, por una parte, a los motivos que explícita y razonadamente fueron tenidos en cuenta por el Gobierno para aprobar el Decreto-ley, motivos que pueden constar en la propia exposición de motivos de la norma, en el expediente de elaboración de la misma o haberse puesto de manifiesto a lo largo del debate parlamentario de convalidación (entre otras, STC 137/2003, de 3 de julio, FJ 3), y, por otra, a las medidas </w:t>
      </w:r>
      <w:r>
        <w:lastRenderedPageBreak/>
        <w:t>adoptadas para subvenir a la situación que determinó la aprobación de este tipo de norma para comprobar si existe ‘la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(STC 68/2007, de 28 de marzo, FJ 6)”.</w:t>
      </w:r>
    </w:p>
    <w:p w:rsidR="00A90898" w:rsidRDefault="00A90898" w:rsidP="00A90898">
      <w:pPr>
        <w:pStyle w:val="TextoNormal"/>
      </w:pPr>
    </w:p>
    <w:p w:rsidR="00A90898" w:rsidRDefault="00A90898" w:rsidP="00A90898">
      <w:pPr>
        <w:pStyle w:val="TextoNormal"/>
      </w:pPr>
      <w:r>
        <w:t>En relación con la valoración del cumplimiento de este requisito por los decretos-leyes autonómicos este Tribunal ha afirmado que, además, deberá “ponderarse la competencia autonómica ejercida al efecto, pues la naturaleza y alcance de las competencias autonómicas hacen, en principio, menos necesario el recurso a la aprobación de normas legales de urgencia (STC 93/2015, FJ 5)”. Junto a ello la doctrina de este Tribunal ha sostenido también que,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93/2015, FJ 6; en el mismo sentido, STC 38/2016, FJ 2).</w:t>
      </w:r>
    </w:p>
    <w:p w:rsidR="00A90898" w:rsidRDefault="00A90898" w:rsidP="00A90898">
      <w:pPr>
        <w:pStyle w:val="TextoNormal"/>
      </w:pPr>
    </w:p>
    <w:p w:rsidR="00A90898" w:rsidRDefault="00A90898" w:rsidP="00A90898">
      <w:pPr>
        <w:pStyle w:val="TextoNormal"/>
      </w:pPr>
      <w:r w:rsidRPr="00A90898">
        <w:rPr>
          <w:rStyle w:val="NumeroAFNegritaCaracter"/>
        </w:rPr>
        <w:t>6</w:t>
      </w:r>
      <w:r>
        <w:t>. Una vez expuesta la doctrina constitucional sobre el control constitucional del presupuesto habilitante de los decretos-leyes procede analizar si el Decreto-ley ahora impugnado concurre el requisito de “necesidad extraordinaria y urgente” que exige el art. 64.1 EAC para que el Gobierno de la Generalitat pueda dictar este tipo de normas. Como se ha expuesto en los antecedentes, el Abogado del Estado niega que en este caso concurra la extraordinaria y urgente necesidad que debe ser presupuesto habilitante del Decreto-ley porque, a su juicio, la finalidad de la norma es, en definitiva, evitar la aplicación de la STC 193/2013, o de la Sentencia que pueda dictarse en el recurso de inconstitucionalidad 6513-2014 que, como se ha indicado, se ha dictado ya (STC 73/2016). Por el contario, la Abogada de la Generalitat y la Letrada parlamentaria se oponen terminantemente este planteamiento e identifican como objetivo del Decreto-ley la necesidad de preservar un desarrollo urbano sostenible. Según sostiene la Generalitat, la excepción a la prohibición de implantación de determinados centros comerciales que establecían los preceptos que deroga el Decreto-ley 1/2009, de 22 de diciembre, había dejado de ser tal, dado el elevado número de licencias que para el establecimiento de tales centros comerciales se había concedido, y esta proliferación de centros comerciales fuera de la trama urbana consolidada afectaba a los objetivos urbanísticos, medioambientales y de defensa del consumidor que a través del régimen establecido en el Decreto-ley 1/2009 pretendían conseguirse.</w:t>
      </w:r>
    </w:p>
    <w:p w:rsidR="00A90898" w:rsidRDefault="00A90898" w:rsidP="00A90898">
      <w:pPr>
        <w:pStyle w:val="TextoNormal"/>
      </w:pPr>
    </w:p>
    <w:p w:rsidR="00A90898" w:rsidRDefault="00A90898" w:rsidP="00A90898">
      <w:pPr>
        <w:pStyle w:val="TextoNormal"/>
      </w:pPr>
      <w:r>
        <w:t>En el preámbulo del Decreto-ley 7/2014, de 23 de diciembre, se explicitan las razones por las que se considera que existe una causa de extraordinaria y urgente necesidad que justifica su aprobación. Según se sostiene, se hace uso de este instrumento normativo porque se considera “necesaria una regulación inmediata que no puede estar satisfecha en vía parlamentaria, porque las circunstancias y las demandas existentes, a las que hay que dar respuesta y solución, de una manera más perentoria de lo que se puede atender por el procedi</w:t>
      </w:r>
      <w:r>
        <w:lastRenderedPageBreak/>
        <w:t>miento propio de la tramitación parlamentaria, requieren una actuación por parte de los poderes públicos que tienen que garantizar y avanzar la efectividad de la norma”. Se afirma también que, según un estudio realizado “aquello que tenía que ser una excepción [la implantación de centros comerciales de medianos y grandes centros comerciales fuera de la trama urbana consolidada] se ha convertido en la opción mayoritariamente autorizada, es decir, que aquello que se previó como una medida excepcional se ha convertido en norma general, provocando un impacto negativo en los bienes jurídicos que se pretenden proteger con el Decreto-ley 1/2009”. Por ello se expone que es precisa “la derogación inmediata de los artículos que configuran la excepción regulada en el apartado b) del punto 3 y segundo párrafo del punto 4 del artículo 9 del Decreto-ley 1/2009, de 29 de diciembre, de ordenación de los equipamientos comerciales, con el fin de evitar que la aplicación continúe deteriorando de manera significativa los bienes jurídicos protegidos por el Decreto-ley 1/2009, de 29 de diciembre, de ordenación de los equipamientos comerciales con perjuicios para el interés general de imposible reparación”. Se señala también que “el porcentaje sobre el total de las licencias otorgadas, y sobre todo que éstas se hayan solicitado durante el breve periodo tiempo en el que la excepción ha sido vigente, pone de manifiesto la magnitud y la celeridad del impacto de la aplicación de esta excepción, que llegaría a consecuencias irreparables con su prolongación.” Y por último se justifica la urgencia en que se deroguen los referidos apartados del art. 9 del Decreto-ley 1/2009, de 29 de diciembre, en que “[e]n este contexto, la necesaria inmediatez y urgencia de la derogación se ve acentuada por los efectos del recurso de inconstitucionalidad interpuesto por el Gobierno del Estado contra la disposición transitoria octava de la Ley 2/2014, de 27 de enero, de medidas fiscales, administrativas, financieras y del sector público”.</w:t>
      </w:r>
    </w:p>
    <w:p w:rsidR="00A90898" w:rsidRDefault="00A90898" w:rsidP="00A90898">
      <w:pPr>
        <w:pStyle w:val="TextoNormal"/>
      </w:pPr>
    </w:p>
    <w:p w:rsidR="00A90898" w:rsidRDefault="00A90898" w:rsidP="00A90898">
      <w:pPr>
        <w:pStyle w:val="TextoNormal"/>
      </w:pPr>
      <w:r>
        <w:t>En términos muy similares se expresó, en sede parlamentaria, el Consejero de Empresa y Educación de la Generalitat, con ocasión del debate parlamentario de validación del Decreto-ley 7/2014, de 23 de diciembre. Y la misma justificación se recoge también en la memoria del proyecto del Decreto-ley 7/2014, de 23 de diciembre, aportada por la Letrada de la Generalitat.</w:t>
      </w:r>
    </w:p>
    <w:p w:rsidR="00A90898" w:rsidRDefault="00A90898" w:rsidP="00A90898">
      <w:pPr>
        <w:pStyle w:val="TextoNormal"/>
      </w:pPr>
    </w:p>
    <w:p w:rsidR="00A90898" w:rsidRDefault="00A90898" w:rsidP="00A90898">
      <w:pPr>
        <w:pStyle w:val="TextoNormal"/>
      </w:pPr>
      <w:r>
        <w:t xml:space="preserve">Las razones expuestas en la exposición de motivos del Decreto-ley impugnado permiten considerar justificada la exigencia de explicitar y razonar de forma suficiente la existencia de una situación de extraordinaria y urgente necesidad. En efecto, el Gobierno catalán ha puesto de manifiesto, por una parte, el impacto que estaba teniendo en el medio ambiente y el entorno urbano el gran número de licencias que se habían otorgado durante el breve plazo de tiempo que habían estado en vigor los preceptos que autorizaban la implantación de determinados centros comerciales fuera de la trama urbana consolidada y, por otra, ha justificado también que esa medida no podía adoptarse a través de una ley, ya que era preciso derogar inmediatamente los preceptos que permitían la implantación de este tipo de centros, para evitar que durante la tramitación parlamentaria se pudieran otorgar nuevas licencias, dado los daños que su concesión conllevaría para los intereses generales que tratan de salvaguardarse. Como el control que puede ejercer este Tribunal sobre la existencia de la situación de necesidad extraordinaria y urgente es un control externo “que debe verificar, pero no sustituir, el juicio político o de oportunidad que corresponde al Gobierno” (SSTC 182/1997, de 30 de octubre, FJ 3; 137/2011, de 14 de septiembre, FJ 4, y 38/2016, de 3 de marzo, FJ 4) ha de concluirse que esta situación concurre en el presente caso. En efecto, el razonamiento contenido en la exposición de motivos del decreto-ley que se refiere específicamente a la concurrencia de un presupuesto de especial urgencia, aun cuando considerado </w:t>
      </w:r>
      <w:r>
        <w:lastRenderedPageBreak/>
        <w:t>aisladamente podría entenderse de carácter genérico y, por ende, insuficiente, debe ser entendido en relación lógica con las afirmaciones de la propia exposición de motivos y del Gobierno de Cataluña en el sentido de que durante el tiempo en que ha estado en vigor la normativa que deroga el Decreto-ley 7/2014 se han otorgado un número desproporcionado de licencias para la implantación de este tipo de establecimientos comerciales de manera lesiva para al medio ambiente y al entorno urbano. En este preciso contexto, una medida tendente a evitar de forma inmediata la concesión de nuevas licencias e impedir, mediante esta paralización, el incremento del daño al interés general que la implantación nuevos centros comerciales pueda ocasionar, cumple el presupuesto habilitante de la necesidad extraordinaria y urgente que exige el art. 64.1 EAC para justificar acudir con carácter excepcional a un decreto-ley, pues la adopción de esta medida a través de una ley comportaría que durante el tiempo de su tramitación, por corto que fuera, pudiera continuar la corriente de petición de nuevas licencias y con ello incrementarse irreversiblemente los perjuicios al interés general que, según la apreciación del Gobierno de Cataluña, ocasiona la implantación de nuevos centros comerciales.</w:t>
      </w:r>
    </w:p>
    <w:p w:rsidR="00A90898" w:rsidRDefault="00A90898" w:rsidP="00A90898">
      <w:pPr>
        <w:pStyle w:val="TextoNormal"/>
      </w:pPr>
    </w:p>
    <w:p w:rsidR="00A90898" w:rsidRDefault="00A90898" w:rsidP="00A90898">
      <w:pPr>
        <w:pStyle w:val="TextoNormal"/>
      </w:pPr>
      <w:r>
        <w:t>Esta conclusión no puede verse enervada porque en la exposición de motivos del Decreto-ley se ponga de manifiesto que “la necesaria inmediatez y urgencia de la derogación se ve acentuada por los efectos del recurso de inconstitucionalidad interpuesto por el Gobierno del Estado contra la disposición transitoria octava de la Ley 2/2014, de 27 de enero, de medidas fiscales, administrativas, financieras y del sector público”. Ni porque también se afirme que “[l]a voluntad del Parlamento de Cataluña y de este Gobierno siempre ha sido eliminar el artículo 9.3.b) y el segundo párrafo del 9.4”. De estas afirmaciones no cabe deducir, como hace el Abogado del Estado, que el Decreto-ley se dicte con la finalidad de no cumplir las sentencias de este Tribunal, sino únicamente su voluntad de establecer la ordenación de los centros comerciales que, en el ejercicio de sus competencias, se considere mejor para los intereses de Cataluña. La circunstancia de que esta regulación pueda dictarse con el fin de evitar las consecuencias desfavorables que pudiera conllevar la anulación por este Tribunal de la norma que hasta ese momento regulaba esa materia no es, en sí misma, merecedora de reproche alguno, pues de la misma solo cabe presumir el legítimo ejercicio de sus competencias.</w:t>
      </w:r>
    </w:p>
    <w:p w:rsidR="00A90898" w:rsidRDefault="00A90898" w:rsidP="00A90898">
      <w:pPr>
        <w:pStyle w:val="TextoNormal"/>
      </w:pPr>
    </w:p>
    <w:p w:rsidR="00A90898" w:rsidRDefault="00A90898" w:rsidP="00A90898">
      <w:pPr>
        <w:pStyle w:val="TextoNormal"/>
      </w:pPr>
      <w:r>
        <w:t>Por último, ha de apreciarse también que existe la necesaria conexión de sentido entre la situación de urgencia apreciada y la medida adoptada, pues es evidente que la derogación del régimen por el que se permite, en determinados supuestos, la implantación de determinados centros comerciales fuera de la trama urbana consolidada, constituye una medida adecuada para evitar la implantación de nuevos centros comerciales y las consecuencias desfavorables que, según sostiene la Generalitat, conlleva para los intereses generales la instalación de nuevos centros.</w:t>
      </w:r>
    </w:p>
    <w:p w:rsidR="00A90898" w:rsidRDefault="00A90898" w:rsidP="00A90898">
      <w:pPr>
        <w:pStyle w:val="TextoNormal"/>
      </w:pPr>
    </w:p>
    <w:p w:rsidR="00A90898" w:rsidRDefault="00A90898" w:rsidP="00A90898">
      <w:pPr>
        <w:pStyle w:val="TextoNormal"/>
      </w:pPr>
      <w:r>
        <w:t>En consecuencia, no cabe apreciar que el Decreto-ley impugnado haya vulnerado el art. 64.1 EAC.</w:t>
      </w:r>
    </w:p>
    <w:p w:rsidR="00A90898" w:rsidRDefault="00A90898" w:rsidP="00A90898">
      <w:pPr>
        <w:pStyle w:val="TextoNormal"/>
      </w:pPr>
    </w:p>
    <w:p w:rsidR="00A90898" w:rsidRDefault="00A90898" w:rsidP="00A90898">
      <w:pPr>
        <w:pStyle w:val="TextoNormal"/>
      </w:pPr>
      <w:r w:rsidRPr="00A90898">
        <w:rPr>
          <w:rStyle w:val="NumeroAFNegritaCaracter"/>
        </w:rPr>
        <w:t>7</w:t>
      </w:r>
      <w:r>
        <w:t>. El Abogado del Estado aduce también que el Decreto-ley 7/2014, de 23 de diciembre es contrario al Derecho europeo al vulnerar el principio de libertad de establecimiento que garantiza el art. 49 TFUE. Se invoca la Sentencia del TJUE C-400/08, que declaró que el Reino de España había incumplido el referido principio en una regulación muy similar a la ahora impugnada.</w:t>
      </w:r>
    </w:p>
    <w:p w:rsidR="00A90898" w:rsidRDefault="00A90898" w:rsidP="00A90898">
      <w:pPr>
        <w:pStyle w:val="TextoNormal"/>
      </w:pPr>
    </w:p>
    <w:p w:rsidR="00A90898" w:rsidRDefault="00A90898" w:rsidP="00A90898">
      <w:pPr>
        <w:pStyle w:val="TextoNormal"/>
      </w:pPr>
      <w:r>
        <w:t>Como ha afirmado, entre otras muchas, la STC 84/2015, de 30 de abril, FJ 6, “el Derecho europeo no es canon de constitucionalidad de las leyes estatales o autonómicas”, pues, como sostiene esta Sentencia, citando, a su vez a la STC 28/1991,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 (STC 28/1991, de 14 de febrero, FJ 5).Todo ello, sin perjuicio de que “nuestro pronunciamiento sobre la contradicción alegada entre la legislación estatal y la norma autonómica deba partir de una interpretación de las disposiciones legales acorde con las exigencias del Derecho europeo” (STC 84/2015, de 30 de abril, FJ 6). Por ello, no procede examinar este motivo del recurso.</w:t>
      </w:r>
    </w:p>
    <w:p w:rsidR="00A90898" w:rsidRDefault="00A90898" w:rsidP="00A90898">
      <w:pPr>
        <w:pStyle w:val="TextoNormal"/>
      </w:pPr>
    </w:p>
    <w:p w:rsidR="00A90898" w:rsidRDefault="00A90898" w:rsidP="00A90898">
      <w:pPr>
        <w:pStyle w:val="TextoNormal"/>
      </w:pPr>
      <w:r w:rsidRPr="00A90898">
        <w:rPr>
          <w:rStyle w:val="NumeroAFNegritaCaracter"/>
        </w:rPr>
        <w:t>8</w:t>
      </w:r>
      <w:r>
        <w:t>. El Abogado del Estado impugna también este Decreto-ley por considerar que no respeta la normativa básica que ha dictado el Estado en ejercicio de la competencia que le atribuye el art. 149.1.13 CE. Como se ha expuesto, el Abogado del Estado sostiene que la derogación que efectúa el Decreto-ley impugnado es contraria al art. 6 LOCM, en la redacción dada a esta norma por la Ley 18/2014, de 15 de octubre, ya que este precepto solo admite la limitación de las autorizaciones para abrir, trasladar o ampliar centros comerciales si existen las razones de interés general expresamente previstas en el mismo (protección del medio ambiente y del entorno urbano y la conservación del patrimonio histórico artístico, razones que deben encontrarse justificadas y responder a los principios de necesidad y proporcionalidad). Se alega, además, que este Decreto-ley podría vulnerar también el art. 11 de la Ley 17/2009, sobre el libre acceso a las actividades de servicios y su ejercicio y los arts. 5, 17 y 18 de la Ley 20/2013, de 9 de diciembre, de garantía de la unidad de mercado, en los que se establece que los limites que se impongan al acceso o ejercicio de una actividad económica deben estar motivados en razones imperiosas de interés general de entre las comprendidas en el art. 3.11 de la Ley 17/2009, de 23 de noviembre, sobre el libre acceso a las actividades de servicios y su ejercicio. Junto a ello se afirma que podría vulnerar, además, el art. 1 de ley 12/2012, de 26 de diciembre, de medidas urgentes de liberalización del comercio y de determinados servicios.</w:t>
      </w:r>
    </w:p>
    <w:p w:rsidR="00A90898" w:rsidRDefault="00A90898" w:rsidP="00A90898">
      <w:pPr>
        <w:pStyle w:val="TextoNormal"/>
      </w:pPr>
    </w:p>
    <w:p w:rsidR="00A90898" w:rsidRDefault="00A90898" w:rsidP="00A90898">
      <w:pPr>
        <w:pStyle w:val="TextoNormal"/>
      </w:pPr>
      <w:r>
        <w:t>La Generalitat y el Parlamento de Cataluña consideran que el Decreto-ley impugnado no infringe la normativa básica estatal dictada al amparo del art. 149.1.13 CE y, que, por tanto, no incurre en la vulneración mediata de la Constitución que le imputa el Abogado del Estado. Según aducen estas partes procesales, esta norma ha sido dictada en virtud de las competencias que en materia de comercio, ordenación del territorio, urbanismo, medio ambiente y defensa de los consumidores atribuyen a la Generalitat los arts. 12, 149.1 y 5, 144 y 123 EAC y estas competencias se han ejercido respetando las determinaciones que establece la legislación básica estatal.</w:t>
      </w:r>
    </w:p>
    <w:p w:rsidR="00A90898" w:rsidRDefault="00A90898" w:rsidP="00A90898">
      <w:pPr>
        <w:pStyle w:val="TextoNormal"/>
      </w:pPr>
    </w:p>
    <w:p w:rsidR="00A90898" w:rsidRDefault="00A90898" w:rsidP="00A90898">
      <w:pPr>
        <w:pStyle w:val="TextoNormal"/>
      </w:pPr>
      <w:r>
        <w:t>Para analizar si el Decreto-ley impugnado incurre en la inconstitucionalidad mediata alegada por el Abogado del Estado es necesario, en primer lugar, dilucidar si el Estado tiene competencias para dictar legislación básica en materia de equipamientos comerciales y, en caso afirmativo, si las normas que el Abogado del Estado invoca como básicas para fundar su alegación tienen este carácter.</w:t>
      </w:r>
    </w:p>
    <w:p w:rsidR="00A90898" w:rsidRDefault="00A90898" w:rsidP="00A90898">
      <w:pPr>
        <w:pStyle w:val="TextoNormal"/>
      </w:pPr>
    </w:p>
    <w:p w:rsidR="00A90898" w:rsidRDefault="00A90898" w:rsidP="00A90898">
      <w:pPr>
        <w:pStyle w:val="TextoNormal"/>
      </w:pPr>
      <w:r>
        <w:t xml:space="preserve">Sobre esta cuestión ya se ha pronunciado este Tribunal. La STC 124/2003, de 19 de junio, FJ 3, estableció que el Estado, en virtud de las competencias que le atribuye al art. 149.1.13 </w:t>
      </w:r>
      <w:r>
        <w:lastRenderedPageBreak/>
        <w:t>CE, puede dictar normas básicas en materia de establecimientos comerciales y que estas competencias estatales constituyen un límite a las competencias en materia de comercio interior que hayan asumido las Comunidades Autónomas. Tal declaración determinó que la referida Sentencia declarase que los apartados 1 y 2 del art. 6 LOCM, en su redacción original, tenían carácter básico, tanto formal como materialmente.</w:t>
      </w:r>
    </w:p>
    <w:p w:rsidR="00A90898" w:rsidRDefault="00A90898" w:rsidP="00A90898">
      <w:pPr>
        <w:pStyle w:val="TextoNormal"/>
      </w:pPr>
    </w:p>
    <w:p w:rsidR="00A90898" w:rsidRDefault="00A90898" w:rsidP="00A90898">
      <w:pPr>
        <w:pStyle w:val="TextoNormal"/>
      </w:pPr>
      <w:r>
        <w:t>De igual modo, las SSTC 26/2012, de 26 de 1 marzo, FJ 5, 193/2013, de 21 de noviembre, FJ 3 y 4 y 73/2016, de 14 de abril han declarado el carácter formal y materialmente básico del art. 11 de la de la Ley 17/2009, de 23 de noviembre, sobre el libre acceso a las actividades de servicio y su ejercicio (en su redacción original) y del art. 6 LOCM, de 1 de marzo (en la redacción dada por el art. único.2 de Ley 1/2010, de 1 de marzo). Según se afirma en las Sentencias citadas, “[n]inguna duda cabe de que las normas que se han expuesto tienen carácter básico desde un punto de vista formal pues ya hemos indicado que como tales se proclaman en la Ley de ordenación del comercio minorista y en la Ley 17/2009 mientras que, desde la perspectiva material, pueden ser consideradas previsiones básicas en materia económica”. Las citadas SSTC 26/2012, FJ 5 y 193/2013, FJ 4, llegan a la referida conclusión al considerar que el Estado, al amparo de sus competencias, en particular la relativa a la ordenación general de la economía que le atribuye el art. 149.1.13 CE, puede establecer un marco más flexible y transparente para el acceso y ejercicio de las actividades de servicios y disponer que deben de eliminarse todos aquellos regímenes de autorización que no estén justificados por una razón imperiosa de interés general y asegurar, de este modo, que los controles administrativos previos para el ejercicio de una actividad, en este caso la comercial, no constituyan obstáculos indebidos para el acceso al mercado.</w:t>
      </w:r>
    </w:p>
    <w:p w:rsidR="00A90898" w:rsidRDefault="00A90898" w:rsidP="00A90898">
      <w:pPr>
        <w:pStyle w:val="TextoNormal"/>
      </w:pPr>
    </w:p>
    <w:p w:rsidR="00A90898" w:rsidRDefault="00A90898" w:rsidP="00A90898">
      <w:pPr>
        <w:pStyle w:val="TextoNormal"/>
      </w:pPr>
      <w:r>
        <w:t>El art. 11 de la Ley 17/2009, sobre el libre acceso a las actividades de servicios y su ejercicio y el art. 6 LOCM han sido modificadas con posterioridad a que este Tribunal, en las SSTC 26/2012, FJ 5 y 193/2013, los declarase formal y materialmente básicos. La Ley 18/2014, de 15 de octubre, ha dada nueva redacción al art. 6 LOCM y la disposición final 2.3 de la ley 20/2013, de 9 de diciembre, de garantía de la unidad de mercado ha modificado el apartado 2 del art. 11 de la Ley 17/2009, de 23 de noviembre, sobre el libre acceso a las actividades de servicios y su ejercicio. Estos preceptos, en su nueva redacción, han sido objeto de varios recursos de inconstitucionalidad. En los recursos de inconstitucionalidad núms. 283-2015 y 292-2015 se impugna entre otros artículos de la ley 18/2014, de 15 de octubre, su art. 6, por el que se modifica el art 6 LOCM y en los recursos de inconstitucionalidad núms. 1397-2014, 1411-2014 y 1454-2014, por el que recurren diversos artículos de Ley 20/2013, de 9 de diciembre, de garantía de la unidad de mercado, se impugna, entre ellos, la disposición final segunda de esta norma, cuya apartado 3 modifica el apartado 2 del art. 11 de la Ley 17/2009, de 23 de noviembre, sobre el libre acceso a las actividades de servicios y su ejercicio.</w:t>
      </w:r>
    </w:p>
    <w:p w:rsidR="00A90898" w:rsidRDefault="00A90898" w:rsidP="00A90898">
      <w:pPr>
        <w:pStyle w:val="TextoNormal"/>
      </w:pPr>
    </w:p>
    <w:p w:rsidR="00A90898" w:rsidRDefault="00A90898" w:rsidP="00A90898">
      <w:pPr>
        <w:pStyle w:val="TextoNormal"/>
      </w:pPr>
      <w:r>
        <w:t xml:space="preserve">Para resolver la impugnación formulada en este recurso no es preciso adelantar un juicio sobre si la nueva redacción del art. 11.2 de la ley 17/2009 y del art. 6 LOCM tiene, en su conjunto, carácter básico. Así lo ha afirmado este Tribunal en las SSTC 73/2016 y 128/2016, de 7 de julio, en supuestos muy similares al ahora examinado, en el que estos mismos preceptos, en su redacción actualmente vigente, constituían también la legislación básica estatal que se estimaba vulnerada por la norma autonómica recurrida. En la citada STC 73/2016, FJ 5, se ha sostenido que, como para resolver la controversia competencial no era preciso tomar en consideración todos los parámetros de control que establece la nueva redacción </w:t>
      </w:r>
      <w:r>
        <w:lastRenderedPageBreak/>
        <w:t>del art. 6 LOCM en la redacción que le otorga la Ley 18/2014, de 15 de octubre, sino que basta con tener en cuenta uno de ellos: el que exige una justificación basada en razones imperiosas de interés general para poder establecer restricciones a la apertura, traslado o ampliación de establecimientos comerciales y como, además, se da la circunstancia de que en los referidos recursos de inconstitucionalidad se plantean otros pormenores del nuevo art. 6 LOCM, pero no se discute esta concreta exigencia, era posible resolver la controversia competencial suscitada en ese recurso, tomando en consideración únicamente este requisito, que ya estaba previsto en la redacción anterior de este precepto y respecto del cual este Tribunal ya ha declarado su carácter básico. Y lo mismo sucedía en relación con el art. 11 de la ley 17/2009. Estas mismas razones determinan que, en este caso, se pueda resolver la impugnación suscitada sin efectuar un juicio sobre si la nueva redacción de estos preceptos, en su conjunto, constituye un ejercicio legítimo de la competencia estatal sobre las bases de la ordenación de la economía (en el mismo sentido STC 128/2016 de 7 de julio, FJ 3).</w:t>
      </w:r>
    </w:p>
    <w:p w:rsidR="00A90898" w:rsidRDefault="00A90898" w:rsidP="00A90898">
      <w:pPr>
        <w:pStyle w:val="TextoNormal"/>
      </w:pPr>
    </w:p>
    <w:p w:rsidR="00A90898" w:rsidRDefault="00A90898" w:rsidP="00A90898">
      <w:pPr>
        <w:pStyle w:val="TextoNormal"/>
      </w:pPr>
      <w:r>
        <w:t>El Abogado del Estado considera, además, que el Decreto-ley 7/2014 vulnera también los artículos 5, 17 y 18 de la Ley de garantía de la unidad de mercado y Ley 12/2012, de 26 de diciembre, de medidas urgentes de liberalización del comercio y de determinados servicios. Según se alega el Decreto-ley impugnado vulnera los principios de necesidad y proporcionalidad que consagran los citados arts. 5 y 17 de la Ley de garantía de la unidad de mercado, pero ni expone las razones por los que considera que tales preceptos tienen la consideración de básicos ni tampoco argumenta por qué el Decreto-ley impugnado no respeta los referidos principios. Respecto de la vulneración del art. 18, el Abogado del Estado se limita a transcribir parcialmente su contenido en el escrito de interposición de recurso, pero tampoco expone las razones por las que considera que la norma recurrida lo infringe. Y lo mismo hace con la Ley 12/2012, de 26 de diciembre, de medidas urgentes de liberalización del comercio y de determinados servicios, que reproduce su art. 1 y la disposición final undécima. Por ello, en relación con estas supuestas infracciones de la normativa básica estatal y de la vulneración mediata de la Constitución que las mismas podrían conllevar, el Abogado del Estado ha incumplido la carga alegatoria que le incumbe, por lo que no procede entrar a examinarlas.</w:t>
      </w:r>
    </w:p>
    <w:p w:rsidR="00A90898" w:rsidRDefault="00A90898" w:rsidP="00A90898">
      <w:pPr>
        <w:pStyle w:val="TextoNormal"/>
      </w:pPr>
    </w:p>
    <w:p w:rsidR="00A90898" w:rsidRDefault="00A90898" w:rsidP="00A90898">
      <w:pPr>
        <w:pStyle w:val="TextoNormal"/>
      </w:pPr>
      <w:r w:rsidRPr="00A90898">
        <w:rPr>
          <w:rStyle w:val="NumeroAFNegritaCaracter"/>
        </w:rPr>
        <w:t>9</w:t>
      </w:r>
      <w:r>
        <w:t>. Una vez expuesta cuál es la normativa básica estatal que se va a utilizar como parámetro de constitucionalidad procede analizar si el Decreto-ley de la Generalitat de Cataluña 7/2014, de 23 de diciembre, la infringe, como sostiene el Abogado del Estado o, si por el contario, como mantiene la Generalitat de Cataluña, es acorde con la misma.</w:t>
      </w:r>
    </w:p>
    <w:p w:rsidR="00A90898" w:rsidRDefault="00A90898" w:rsidP="00A90898">
      <w:pPr>
        <w:pStyle w:val="TextoNormal"/>
      </w:pPr>
    </w:p>
    <w:p w:rsidR="00A90898" w:rsidRDefault="00A90898" w:rsidP="00A90898">
      <w:pPr>
        <w:pStyle w:val="TextoNormal"/>
      </w:pPr>
      <w:r>
        <w:t>El Decreto-ley impugnado, al derogar la letra b) del apartado 3 y el segundo párrafo del apartado 4 del art. 9 del Decreto-ley 1/2009, de 22 de diciembre, de ordenación de los equipamientos comerciales, tiene como efecto que en Cataluña no puedan implantarse fuera de las tramas urbanas consolidadas establecimientos comerciales con superficie igual o superior a 800 m2, excepto en el caso de que tales establecimientos no alcance los 2.500 m² supuesto en el que, excepcionalmente, se permite que puedan implantarse este tipo de centros comerciales “dentro de las zonas de acceso restringido de las estaciones de líneas transfronterizas y transregionales del sistema ferroviario que acojan el tren de alta velocidad o líneas de largo recorrido, de los puertos clasificados de interés general y de los aeropuertos con categoría de aeropuertos comerciales, según el Plan de aeropuertos, aeródromos y helipuertos de Cataluña 2009- 2015” [art. 9.3 a) del Decreto-ley 1/2009].</w:t>
      </w:r>
    </w:p>
    <w:p w:rsidR="00A90898" w:rsidRDefault="00A90898" w:rsidP="00A90898">
      <w:pPr>
        <w:pStyle w:val="TextoNormal"/>
      </w:pPr>
    </w:p>
    <w:p w:rsidR="00A90898" w:rsidRDefault="00A90898" w:rsidP="00A90898">
      <w:pPr>
        <w:pStyle w:val="TextoNormal"/>
      </w:pPr>
      <w:r>
        <w:lastRenderedPageBreak/>
        <w:t>Resulta, por tanto, que, como se ha advertido, la derogación que efectúa el Decreto-ley 7/2014 conlleva que el régimen jurídico por el que se regula la implantación de estos tipos de centros comerciales sea muy similar al que resultaba del art. 114 de la Ley catalana 9/2011 y, posteriormente, de la disposición transitaria octava de la Ley 2/2014; normas que, como también se ha indicado, han sido declaradas inconstitucionales por las SSTC 193/2013 y 73/2016, respectivamente. Ahora bien, tanto en el caso de la STC 193/2013, como en el de la STC 73/2016, lo que determinó que las referidas normas se declarasen inconstitucionales, no fue la limitación al establecimiento de este tipo de centros comerciales que las mismas imponían, sino que tal limitación no estuviera justificada en las razones imperiosas de interés general que, de acuerdo con la legislación básica, permiten restringir la implantación de este tipo centros comerciales. De igual manera, la STC 26/2012, de 1 de marzo, FJ 5, declaró inconstitucional el art. 14.1 de la Ley 11/2001, de 15 de junio, de ordenación de la actividad comercial en las Illes Balears, al considerar que las limitaciones al establecimiento de centros comerciales que el referido precepto preveía eran incompatibles con la normativa básica estatal —que era también art. 6 LOCM, en la redacción dada al mismo por el art. único.2 de la Ley 1/2010, de 1 de marzo— “en la medida en que no se aporta[ba] razón alguna” que las justificara.</w:t>
      </w:r>
    </w:p>
    <w:p w:rsidR="00A90898" w:rsidRDefault="00A90898" w:rsidP="00A90898">
      <w:pPr>
        <w:pStyle w:val="TextoNormal"/>
      </w:pPr>
    </w:p>
    <w:p w:rsidR="00A90898" w:rsidRDefault="00A90898" w:rsidP="00A90898">
      <w:pPr>
        <w:pStyle w:val="TextoNormal"/>
      </w:pPr>
      <w:r>
        <w:t xml:space="preserve">De ahí que para resolver la cuestión suscitada en este recurso la primera cuestión que ha de examinarse es si las limitaciones al establecimiento de centros comerciales que conlleva la derogación que efectúa el Decreto-ley 7/2014, de 23 de diciembre, se encuentran justificadas por el legislador en alguna de las razones imperiosas de interés general previstas en la legislación básica estatal, pues, como se afirma en la STC 128/2016, FJ 3 “[l]as razones imperiosas de interés general no han de identificarse </w:t>
      </w:r>
      <w:r w:rsidRPr="00A90898">
        <w:rPr>
          <w:i/>
        </w:rPr>
        <w:t>aliunde</w:t>
      </w:r>
      <w:r>
        <w:t>, sino exponerse en la propia norma … que constriña o excepcione la libertad de establecimiento”.</w:t>
      </w:r>
    </w:p>
    <w:p w:rsidR="00A90898" w:rsidRDefault="00A90898" w:rsidP="00A90898">
      <w:pPr>
        <w:pStyle w:val="TextoNormal"/>
      </w:pPr>
    </w:p>
    <w:p w:rsidR="00A90898" w:rsidRDefault="00A90898" w:rsidP="00A90898">
      <w:pPr>
        <w:pStyle w:val="TextoNormal"/>
      </w:pPr>
      <w:r>
        <w:t>En el preámbulo de esta norma se fundamenta la derogación que la misma efectúa en “la necesidad de proteger el impacto en el territorio y el entorno, en el medio ambiente y en la movilidad”. Se sostiene, por una parte, que durante el tiempo que han estado vigentes los preceptos que el Decreto-ley deroga se han otorgado, al amparo de los mismos, más de la mitad del total de las licencias, por lo que lo que el régimen de concesión de licencias que preveían esos preceptos había dejado de ser excepcional y se había convertido en la regla general. Se afirma, además, que las razones imperiosas de interés general que sirvieron de fundamento al Decreto-ley 1/2009, de 22 de diciembre “se ven gravemente perjudicadas por la aplicación de la excepción” [la establecida en los preceptos que deroga] , pues, según se sostiene, se ha demostrado que la referida excepción “fomenta la creación de áreas especializadas fuera de las ciudades, en lugar de consolidar barrios compactos con mixtura de usos dentro de la trama urbana consolidada del municipio”, lo que genera, según el preámbulo del Decreto-ley 7/2014, “efectos indeseables como la dispersión de la urbanización fuera de la ciudad compacta, incrementando los desplazamientos innecesarios fuera de ésta, con la consecuente sobrecarga de las vías de comunicación y emisión de gases nocivos a la atmósfera, y, en determinados casos, el empobrecimiento de la vida urbana, dado que el desplazamiento de las actividades comerciales al exterior de la ciudad puede producir una desertización en las plantas bajas o edificios del centro urbano con su consecuente deterioro”.</w:t>
      </w:r>
    </w:p>
    <w:p w:rsidR="00A90898" w:rsidRDefault="00A90898" w:rsidP="00A90898">
      <w:pPr>
        <w:pStyle w:val="TextoNormal"/>
      </w:pPr>
    </w:p>
    <w:p w:rsidR="00A90898" w:rsidRDefault="00A90898" w:rsidP="00A90898">
      <w:pPr>
        <w:pStyle w:val="TextoNormal"/>
      </w:pPr>
      <w:r>
        <w:t xml:space="preserve">Ha de afirmarse, por tanto, que el Decreto-ley 7/2014, de 23 de diciembre, invoca razones imperiosas de interés general, basadas en la protección del medio ambiente y el entorno urbano y, por tanto, contempladas en la legislación básica estatal. Ahora bien, para respetar </w:t>
      </w:r>
      <w:r>
        <w:lastRenderedPageBreak/>
        <w:t xml:space="preserve">la normativa básica estatal no basta con invocar que concurren razones imperiosas de interés general que justifican la limitación, sino que ha de justificarse que tales razones existen. Como se afirma en la STC 193/2013, FJ 7, en estos casos el “Tribunal considera necesario que, dado que se trata de una excepción a la regla general de la libertad de acceso a una actividad de servicio como es la distribución comercial, el legislador autonómico aporte razones que justifiquen que los requisitos a que sujeta la localización de ciertos formatos de establecimiento comercial atienden conjuntamente a dichos objetivos de ordenación territorial y protección ambiental, y no a otros que están prohibidos por predominar en ellos connotaciones económicas”. Y la STJUE de 24 de marzo de 2011 (C-400/08) </w:t>
      </w:r>
      <w:r w:rsidRPr="00A90898">
        <w:rPr>
          <w:i/>
        </w:rPr>
        <w:t>Comisión c. España</w:t>
      </w:r>
      <w:r>
        <w:t xml:space="preserve">, ha establecido que “las razones que pueden ser invocadas por un Estado miembro para justificar una excepción al principio de la libertad de establecimiento deben ir acompañadas de un análisis de la oportunidad y de la proporcionalidad de la medida restrictiva adoptada por dicho Estado miembro, así como de los datos precisos que permitan corroborar su argumentación (véase la Sentencia de 22 de diciembre de 2008, </w:t>
      </w:r>
      <w:r w:rsidRPr="00A90898">
        <w:rPr>
          <w:i/>
        </w:rPr>
        <w:t>Comisión/Austria</w:t>
      </w:r>
      <w:r>
        <w:t>, C‑161/07, Rec. p. I‑10671, apartado 36 y jurisprudencia citada).”</w:t>
      </w:r>
    </w:p>
    <w:p w:rsidR="00A90898" w:rsidRDefault="00A90898" w:rsidP="00A90898">
      <w:pPr>
        <w:pStyle w:val="TextoNormal"/>
      </w:pPr>
    </w:p>
    <w:p w:rsidR="00A90898" w:rsidRDefault="00A90898" w:rsidP="00A90898">
      <w:pPr>
        <w:pStyle w:val="TextoNormal"/>
      </w:pPr>
      <w:r>
        <w:t>De este modo, para entender que concurren las razones imperiosas de interés general exigidas por la normativa básica estatal para que pueda establecerse una restricción al principio de libertad de establecimiento no basta con que el legislador apele a tales razones, sino que es preciso que se aporten en el presente proceso los datos precisos en las que se justifica la adopción de la medida limitativa de acuerdo con tales razones, pues solo en tales casos podrá apreciarse, cuando surge una controversia sobre la constitucionalidad de la medida, que la limitación establecido tiene como finalidad la consecución de fines de interés general que la legitiman.</w:t>
      </w:r>
    </w:p>
    <w:p w:rsidR="00A90898" w:rsidRDefault="00A90898" w:rsidP="00A90898">
      <w:pPr>
        <w:pStyle w:val="TextoNormal"/>
      </w:pPr>
    </w:p>
    <w:p w:rsidR="00A90898" w:rsidRDefault="00A90898" w:rsidP="00A90898">
      <w:pPr>
        <w:pStyle w:val="TextoNormal"/>
      </w:pPr>
      <w:r>
        <w:t xml:space="preserve">En el presente caso, las razones medioambientales y urbanísticas que, según se expone en el preámbulo del Decreto-ley impugnado, fundamentan la derogación de los preceptos que excepcionalmente permitían la implantación de determinados centros comerciales fuera de la trama urbana consolidada han de considerase razones imperiosas de interés general y son razones, que , por su naturaleza y en un plano formal, se ajustan a las previstas en la legislación básica estatal y a las reconocidas por la jurisprudencia del Tribunal de Justicia de la Unión Europea. Como ha señalado la STJUE de 24 de marzo de 2011, (C-400/08), “[e]ntre esas razones imperiosas reconocidas por el Tribunal de Justicia figuran la protección del medio ambiente (véase, en particular, la Sentencia de 11 de marzo de 2010, </w:t>
      </w:r>
      <w:r w:rsidRPr="00A90898">
        <w:rPr>
          <w:i/>
        </w:rPr>
        <w:t>Attanasio Group</w:t>
      </w:r>
      <w:r>
        <w:t xml:space="preserve">, C‑384/08, Rec. p. I‑0000, apartado 50 y jurisprudencia citada), la ordenación del territorio (véase, por analogía, la sentencia de 1 de octubre de 2009, </w:t>
      </w:r>
      <w:r w:rsidRPr="00A90898">
        <w:rPr>
          <w:i/>
        </w:rPr>
        <w:t>Woningstichting Sint Servatius</w:t>
      </w:r>
      <w:r>
        <w:t xml:space="preserve">, C‑567/07, Rec. p. I‑9021, apartado 29 y jurisprudencia citada) y la protección de los consumidores (véase, en particular, la Sentencia de 13 de septiembre de 2007, </w:t>
      </w:r>
      <w:r w:rsidRPr="00A90898">
        <w:rPr>
          <w:i/>
        </w:rPr>
        <w:t>Comisión/Italia</w:t>
      </w:r>
      <w:r>
        <w:t>, C‑260/04, Rec. p. I‑7083, apartado 27 y jurisprudencia citada)” (apartado 74). Por esta razón la citada STJUE de 24 de marzo de 2011 (C-400/08), consideró que “las restricciones relativas al emplazamiento y al tamaño de los grandes establecimientos comerciales parecen medios adecuados para alcanzar los objetivos de ordenación del territorio y de protección del medio ambiente invocados por el Reino de España” (apartado 80).</w:t>
      </w:r>
    </w:p>
    <w:p w:rsidR="00A90898" w:rsidRDefault="00A90898" w:rsidP="00A90898">
      <w:pPr>
        <w:pStyle w:val="TextoNormal"/>
      </w:pPr>
    </w:p>
    <w:p w:rsidR="00A90898" w:rsidRDefault="00A90898" w:rsidP="00A90898">
      <w:pPr>
        <w:pStyle w:val="TextoNormal"/>
      </w:pPr>
      <w:r>
        <w:t xml:space="preserve">Ahora bien, como también declaró el Tribunal de Justicia de la Unión Europea en la Sentencia citada, para que las referidas limitaciones sean legítimas es necesario, además, aportar “datos suficientes para explicar por qué motivos las restricciones controvertidas son necesarias para alcanzar los objetivos perseguidos” (apartado 84). Y fue, precisamente, “la </w:t>
      </w:r>
      <w:r>
        <w:lastRenderedPageBreak/>
        <w:t>falta de explicaciones y … la significativa repercusión de las limitaciones examinadas sobre la posibilidad de abrir grandes establecimientos comerciales en el territorio de la Comunidad Autónoma de Cataluña” lo que determinó que el Tribunal de Justicia no considerase justificadas las restricciones de la libertad de establecimiento que la normativa que estaba enjuiciando —normativa que, como se ha señalado, era similar a la que rige esta materia tras la derogación que efectúa el Decreto-ley impugnado— y declarase que las restricciones de la libertad de establecimiento que conllevaba no estuvieran justificada (apartado 85).</w:t>
      </w:r>
    </w:p>
    <w:p w:rsidR="00A90898" w:rsidRDefault="00A90898" w:rsidP="00A90898">
      <w:pPr>
        <w:pStyle w:val="TextoNormal"/>
      </w:pPr>
    </w:p>
    <w:p w:rsidR="00A90898" w:rsidRDefault="00A90898" w:rsidP="00A90898">
      <w:pPr>
        <w:pStyle w:val="TextoNormal"/>
      </w:pPr>
      <w:r>
        <w:t>Esta falta de explicaciones y de datos suficientes concurre también el presente proceso constitucional.</w:t>
      </w:r>
    </w:p>
    <w:p w:rsidR="00A90898" w:rsidRDefault="00A90898" w:rsidP="00A90898">
      <w:pPr>
        <w:pStyle w:val="TextoNormal"/>
      </w:pPr>
    </w:p>
    <w:p w:rsidR="00A90898" w:rsidRDefault="00A90898" w:rsidP="00A90898">
      <w:pPr>
        <w:pStyle w:val="TextoNormal"/>
      </w:pPr>
      <w:r>
        <w:t>Las Comunidades Autónomas, al amparo de sus competencias en materia de urbanismo y medio ambiente, ejercitadas en virtud de su autonomía política, pueden adoptar las medidas que consideren más oportunas para propugnar un determinado modelo de ciudad o de urbanismo comercial. No obstante, tales medidas han de adoptarse teniendo en cuenta las exigencias que se derivan de la legislación básica estatal y deben tomar en consideración la especial exigencia de precisión de los datos justificativos, en correspondencia con el rigor con que en el ámbito de la Unión debe ser tratado por los tribunales el principio de libertad de establecimiento. Sin embargo, las razones invocadas por el Decreto-ley ahora impugnado, las cuales son adecuadas por su naturaleza para justificar limitaciones a la libertad de establecimiento, no pueden considerarse suficientes, en el marco de la presente controversia constitucional, para fundamentar una medida como la adoptada en el presente caso que conlleva la prohibición prácticamente absoluta de la implantación de determinados centros comerciales fuera de la trama urbana consolidada, si no se aportan al proceso los “datos precisos” para entender necesaria la restricción a la libertad de establecimiento que la misma conlleva.</w:t>
      </w:r>
    </w:p>
    <w:p w:rsidR="00A90898" w:rsidRDefault="00A90898" w:rsidP="00A90898">
      <w:pPr>
        <w:pStyle w:val="TextoNormal"/>
      </w:pPr>
    </w:p>
    <w:p w:rsidR="00A90898" w:rsidRDefault="00A90898" w:rsidP="00A90898">
      <w:pPr>
        <w:pStyle w:val="TextoNormal"/>
      </w:pPr>
      <w:r>
        <w:t>Las consideraciones sobre los daños al entorno urbano y al medio ambiente que se efectúan en el preámbulo del Decreto-ley, al igual que las realizadas en la memoria que se presentó junto con el anteproyecto de esta norma, se formulan de modo abstracto, sin partir de datos concretos que pongan de manifiesto la necesidad de la medida para promover el objetivo pretendido, pues el único dato que se aporta es el que indica que la mayoría de las licencias para establecer este tipo de centros se han otorgado al amparo de las excepciones previstas en los preceptos que deroga el Decreto-ley. Este dato, con ser relevante, solo justifica que al amparo de estos preceptos se ha otorgado la mayoría de las autorizaciones solicitadas para la implantación de este tipo centros, pero en modo alguno evidencia que la prohibición prácticamente absoluta de la implantación de determinados centros comerciales fuera de la trama urbana consolidada sea una medida necesaria, por la inexistencia de alternativas menos restrictivas, para promover los legítimos objetivos pretendidos.</w:t>
      </w:r>
    </w:p>
    <w:p w:rsidR="00A90898" w:rsidRDefault="00A90898" w:rsidP="00A90898">
      <w:pPr>
        <w:pStyle w:val="TextoNormal"/>
      </w:pPr>
    </w:p>
    <w:p w:rsidR="00A90898" w:rsidRDefault="00A90898" w:rsidP="00A90898">
      <w:pPr>
        <w:pStyle w:val="TextoNormal"/>
      </w:pPr>
      <w:r>
        <w:t>Por todo ello ha de concluirse que en el presente caso no se ha fundamentado debidamente que concurran las imperiosas razones de interés general relacionadas con el entorno urbano o el medio ambiente, que exige la legislación básica estatal para poder adoptar una medida restrictiva de la libertad de establecimiento como la establecida en el Decreto-ley impugnado. La Comunidad Autónoma no ha justificado durante el proceso la necesidad de las restricciones controvertidas para alcanzar los legítimos objetivos perseguidos, lo que determina el incumplimiento de la legislación básica estatal.</w:t>
      </w:r>
    </w:p>
    <w:p w:rsidR="00A90898" w:rsidRDefault="00A90898" w:rsidP="00A90898">
      <w:pPr>
        <w:pStyle w:val="TextoNormal"/>
      </w:pPr>
    </w:p>
    <w:p w:rsidR="00A90898" w:rsidRDefault="00A90898" w:rsidP="00A90898">
      <w:pPr>
        <w:pStyle w:val="TextoNormal"/>
      </w:pPr>
      <w:r>
        <w:lastRenderedPageBreak/>
        <w:t>El incumplimiento de estas exigencia determina que no sea preciso valorar si son materialmente básicas las nuevas exigencias introducidas por Ley 18/2014 en la redacción dada al art. 6 LOCM, ni si el legislador autonómico las ha desatendido.</w:t>
      </w:r>
    </w:p>
    <w:p w:rsidR="00A90898" w:rsidRDefault="00A90898" w:rsidP="00A90898">
      <w:pPr>
        <w:pStyle w:val="TextoNormal"/>
      </w:pPr>
    </w:p>
    <w:p w:rsidR="00A90898" w:rsidRDefault="00A90898" w:rsidP="00A90898">
      <w:pPr>
        <w:pStyle w:val="TextoNormal"/>
      </w:pPr>
      <w:r>
        <w:t>Los razonamientos expuestos conducen a afirmar que el Decreto-ley de la Generalitat de Cataluña 7/2014, de 23 de diciembre infringe la normativa básica estatal integrada por los arts. 6 de la Ley de ordenación del comercio minorista y 11 de la Ley 17/2009, y, en consecuencia, vulnera de un modo mediato o indirecto el reparto constitucional de competencias que delimita el art. 149.1.13 CE en relación con el art. 121.1 d) EAC, lo que determina su inconstitucionalidad.</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y, en consecuencia, declarar la inconstitucionalidad y nulidad del Decreto-ley 7/2014, de 23 de diciembre, de la Generalitat de Cataluña, cuyo artículo único deroga la letra b) del apartado 3 y el segundo párrafo del apartado 4 del art. 9 del Decreto-ley 1/2009, de 22 de diciembre, de ordenación de los equipamientos comerciales.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rsidP="00A90898">
      <w:pPr>
        <w:pStyle w:val="ParrafoNormal"/>
      </w:pPr>
    </w:p>
    <w:p w:rsidR="00A90898" w:rsidRDefault="00A90898" w:rsidP="00A90898">
      <w:pPr>
        <w:pStyle w:val="TextoNormalNegritaCentrado"/>
        <w:keepNext/>
      </w:pPr>
      <w:r>
        <w:t>Voto particular que formulan la Magistrada doña Adela Asua Batarrita y el Magistrado don Fernando Valdés Dal-Ré a la Sentencia dictada en el recurso de inconstitucionalidad núm. 5272-2015.</w:t>
      </w:r>
    </w:p>
    <w:p w:rsidR="00A90898" w:rsidRDefault="00A90898" w:rsidP="00A90898">
      <w:pPr>
        <w:pStyle w:val="TextoNormalNegritaCentrado"/>
        <w:keepNext/>
      </w:pPr>
    </w:p>
    <w:p w:rsidR="00A90898" w:rsidRDefault="00A90898" w:rsidP="00A90898">
      <w:pPr>
        <w:pStyle w:val="TextoNormal"/>
      </w:pPr>
      <w:r>
        <w:t>En ejercicio de la facultad que nos confiere el art. 90.2 de la Ley Orgánica del Tribunal Constitucional (LOTC) y con pleno respeto a la opinión de la mayoría del Pleno, expresamos nuestra discrepancia con parte de la fundamentación jurídica de la Sentencia y, en consecuencia, con el fallo.</w:t>
      </w:r>
    </w:p>
    <w:p w:rsidR="00A90898" w:rsidRDefault="00A90898" w:rsidP="00A90898">
      <w:pPr>
        <w:pStyle w:val="TextoNormal"/>
      </w:pPr>
    </w:p>
    <w:p w:rsidR="00A90898" w:rsidRDefault="00A90898" w:rsidP="00A90898">
      <w:pPr>
        <w:pStyle w:val="TextoNormal"/>
      </w:pPr>
      <w:r>
        <w:t>Nuestra discrepancia se refiere a la argumentación desarrollada en los fundamentos jurídicos 8 y 9 y a la conclusión sentada en este último sobre la inconstitucionalidad y nulidad del Decreto-ley 7/2014, de 23 de diciembre, de la Generalitat de Cataluña, cuyo artículo único deroga la letra b) del apartado 3 y el segundo párrafo del apartado 4 del art. 9 del Decreto-ley 1/2009, de 22 de diciembre, de ordenación de los equipamientos comerciales.</w:t>
      </w:r>
    </w:p>
    <w:p w:rsidR="00A90898" w:rsidRDefault="00A90898" w:rsidP="00A90898">
      <w:pPr>
        <w:pStyle w:val="TextoNormal"/>
      </w:pPr>
    </w:p>
    <w:p w:rsidR="00A90898" w:rsidRDefault="00A90898" w:rsidP="00A90898">
      <w:pPr>
        <w:pStyle w:val="TextoNormal"/>
      </w:pPr>
      <w:r>
        <w:t>Comenzaremos recordando las líneas principales del pronunciamiento recaído y a continuación explicaremos las razones de nuestra discrepancia.</w:t>
      </w:r>
    </w:p>
    <w:p w:rsidR="00A90898" w:rsidRDefault="00A90898" w:rsidP="00A90898">
      <w:pPr>
        <w:pStyle w:val="TextoNormal"/>
      </w:pPr>
    </w:p>
    <w:p w:rsidR="00A90898" w:rsidRDefault="00A90898" w:rsidP="00A90898">
      <w:pPr>
        <w:pStyle w:val="TextoNormal"/>
      </w:pPr>
      <w:r>
        <w:t xml:space="preserve">1. En el pasado este Tribunal ha declarado la inconstitucionalidad y nulidad de determinados preceptos catalanes reguladores de la instalación de establecimientos comerciales. Así, la STC 193/2013, de 21 de noviembre, anuló las medidas restrictivas recogidas en la </w:t>
      </w:r>
      <w:r>
        <w:lastRenderedPageBreak/>
        <w:t xml:space="preserve">Ley de Cataluña 9/2011 porque esta “no relaciona </w:t>
      </w:r>
      <w:r w:rsidRPr="00A90898">
        <w:rPr>
          <w:i/>
        </w:rPr>
        <w:t>en ningún momento</w:t>
      </w:r>
      <w:r>
        <w:t xml:space="preserve"> el nuevo régimen de instalación de establecimientos comerciales con los objetivos indicados sino con otros de carácter eminentemente económicos” (FJ 6, énfasis añadido), y porque el legislador autonómico “[</w:t>
      </w:r>
      <w:r w:rsidRPr="00A90898">
        <w:rPr>
          <w:i/>
        </w:rPr>
        <w:t>no había] aport[ado] razones</w:t>
      </w:r>
      <w:r>
        <w:t xml:space="preserve"> que justifiquen que los requisitos a que sujeta la localización de ciertos formatos de establecimiento comercial atienden conjuntamente a dichos objetivos de ordenación territorial y protección ambiental, y no a otros que están prohibidos por predominar en ellos connotaciones económicas” (FJ 8, énfasis añadido). En el mismo sentido se pronunció la STC 73/2016, de 14 de abril, respecto de la disposición transitoria octava de la Ley de Cataluña 2/2014, “en la medida en que </w:t>
      </w:r>
      <w:r w:rsidRPr="00A90898">
        <w:rPr>
          <w:i/>
        </w:rPr>
        <w:t>no se aporta razón alguna</w:t>
      </w:r>
      <w:r>
        <w:t xml:space="preserve"> para justificar las limitaciones que introduce en la implantación de establecimientos comerciales y que se traducen en la imposibilidad de autorizar la instalación de determinados establecimientos comerciales en función de su tamaño cuando este dato se pone en relación con el número de habitantes de la población en la que pretendieran ubicarse” (FJ 6, énfasis añadido).</w:t>
      </w:r>
    </w:p>
    <w:p w:rsidR="00A90898" w:rsidRDefault="00A90898" w:rsidP="00A90898">
      <w:pPr>
        <w:pStyle w:val="TextoNormal"/>
      </w:pPr>
    </w:p>
    <w:p w:rsidR="00A90898" w:rsidRDefault="00A90898" w:rsidP="00A90898">
      <w:pPr>
        <w:pStyle w:val="TextoNormal"/>
      </w:pPr>
      <w:r>
        <w:t>La gran y decisiva diferencia con respecto a los anteriores supuestos es que, como se reconoce en el fundamento jurídico 9 de la Sentencia de la que discrepamos, en este caso sí se han invocado razones imperiosas de interés general, “basadas en la protección del medio ambiente y el entorno urbano y, por tanto, contempladas en la legislación estatal”. La Sentencia afirma incluso que “son razones, que, por su naturaleza y en un plano formal, se ajustan a las previstas en la legislación básica estatal y a las reconocidas por la jurisprudencia del Tribunal de Justicia de la Unión Europea”.</w:t>
      </w:r>
    </w:p>
    <w:p w:rsidR="00A90898" w:rsidRDefault="00A90898" w:rsidP="00A90898">
      <w:pPr>
        <w:pStyle w:val="TextoNormal"/>
      </w:pPr>
    </w:p>
    <w:p w:rsidR="00A90898" w:rsidRDefault="00A90898" w:rsidP="00A90898">
      <w:pPr>
        <w:pStyle w:val="TextoNormal"/>
      </w:pPr>
      <w:r>
        <w:t>Sin embargo, la presente Sentencia considera insuficiente esa invocación. Afirma que las consideraciones sobre los daños al entorno urbano y al medio ambiente que se formulan en el preámbulo de la norma y en la memoria del anteproyecto “se formulan de modo abstracto, sin partir de datos concretos que pongan de manifiesto la necesidad de la medida para promover el objetivo pretendido”; y que “en modo alguno evidencia que la prohibición prácticamente absoluta de la implantación de determinados centros comerciales fuera de la trama urbana consolidada sea una medida necesaria, por la inexistencia de alternativas menos restrictivas, para promover los legítimos objetivos pretendidos”. Por ello, se concluye que “no se ha fundamentado debidamente que concurran las imperiosas razones de interés general relacionadas con el entorno urbano o el medio ambiente, que exige la legislación básica estatal para poder adoptar una medida restrictiva de la libertad de establecimiento como la establecida en el Decreto-ley impugnado” o que la Comunidad Autónoma “no ha justificado durante el proceso la necesidad de las restricciones controvertidas para alcanzar los legítimos objetivos perseguidos, lo que determina el incumplimiento de la legislación básica estatal”.</w:t>
      </w:r>
    </w:p>
    <w:p w:rsidR="00A90898" w:rsidRDefault="00A90898" w:rsidP="00A90898">
      <w:pPr>
        <w:pStyle w:val="TextoNormal"/>
      </w:pPr>
    </w:p>
    <w:p w:rsidR="00A90898" w:rsidRDefault="00A90898" w:rsidP="00A90898">
      <w:pPr>
        <w:pStyle w:val="TextoNormal"/>
      </w:pPr>
      <w:r>
        <w:t>2. Nuestra discrepancia con la Sentencia concierne tres aspectos: la identificación de la norma básica estatal que se utiliza como parámetro de constitucionalidad, la consiguiente delimitación del contenido del parámetro de constitucional aplicable y la valoración de la justificación aportada por el autor de la norma.</w:t>
      </w:r>
    </w:p>
    <w:p w:rsidR="00A90898" w:rsidRDefault="00A90898" w:rsidP="00A90898">
      <w:pPr>
        <w:pStyle w:val="TextoNormal"/>
      </w:pPr>
    </w:p>
    <w:p w:rsidR="00A90898" w:rsidRDefault="00A90898" w:rsidP="00A90898">
      <w:pPr>
        <w:pStyle w:val="TextoNormal"/>
      </w:pPr>
      <w:r>
        <w:t>a) En primer lugar, consideramos que la Sentencia no ha identificado con la debida precisión la norma básica estatal que se utiliza como parámetro mediato de constitucionalidad.</w:t>
      </w:r>
    </w:p>
    <w:p w:rsidR="00A90898" w:rsidRDefault="00A90898" w:rsidP="00A90898">
      <w:pPr>
        <w:pStyle w:val="TextoNormal"/>
      </w:pPr>
    </w:p>
    <w:p w:rsidR="00A90898" w:rsidRDefault="00A90898" w:rsidP="00A90898">
      <w:pPr>
        <w:pStyle w:val="TextoNormal"/>
      </w:pPr>
      <w:r>
        <w:lastRenderedPageBreak/>
        <w:t>El punto de partida de la Sentencia es que para resolver la impugnación del precepto autonómico no es preciso adelantar un juicio sobre si las nuevas redacciones del art. 11.2 de la Ley 17/2009, de 23 de noviembre, sobre el libre acceso a las actividades de servicios y su ejercicio, por una parte, y del art. 6 de la Ley 7/1996, de 15 de enero, de ordenación del comercio minorista (en adelante, LOCM), por otra, tienen carácter básico. Al igual que hizo en la STC 73/2016 (FJ 5), el Tribunal considera en el fundamento jurídico 8 que no es preciso tomar en consideración todos los parámetros de control que establece la nueva redacción del art. 6 LOCM que le otorga la Ley 18/2014, sino que basta con tener en cuenta uno de ellos, el que “exige una justificación basada en razones imperiosas de interés general para poder establecer restricciones a la apertura, traslado o ampliación de establecimientos”, porque además, en los recursos de inconstitucionalidad interpuestos frente a la nueva redacción de los citados preceptos no se discute esa concreta exigencia.</w:t>
      </w:r>
    </w:p>
    <w:p w:rsidR="00A90898" w:rsidRDefault="00A90898" w:rsidP="00A90898">
      <w:pPr>
        <w:pStyle w:val="TextoNormal"/>
      </w:pPr>
    </w:p>
    <w:p w:rsidR="00A90898" w:rsidRDefault="00A90898" w:rsidP="00A90898">
      <w:pPr>
        <w:pStyle w:val="TextoNormal"/>
      </w:pPr>
      <w:r>
        <w:t>Este procedimiento de aislar contenidos básicos de preceptos estatales cuya nueva redacción ha sido objeto de impugnación ante este Tribunal para adelantar la resolución de impugnaciones de preceptos autonómicos, sin esperar a la confirmación o no del carácter básico de la nueva regulación, puede conducir a errores de identificación del canon aplicable. Este es, a nuestro juicio, el caso de la Sentencia de la que discrepamos.</w:t>
      </w:r>
    </w:p>
    <w:p w:rsidR="00A90898" w:rsidRDefault="00A90898" w:rsidP="00A90898">
      <w:pPr>
        <w:pStyle w:val="TextoNormal"/>
      </w:pPr>
    </w:p>
    <w:p w:rsidR="00A90898" w:rsidRDefault="00A90898" w:rsidP="00A90898">
      <w:pPr>
        <w:pStyle w:val="TextoNormal"/>
      </w:pPr>
      <w:r>
        <w:t>Frente a lo que sostiene dicha Sentencia, las diferencias entre la antigua redacción del art. 6 LOCM (en la redacción dada al mismo por el apartado segundo del artículo único de la Ley 1/2010, de 1 de marzo) y la nueva redacción (dada por la Ley 18/2014, de 15 de octubre) son importantes y van más allá de la mera adición de nuevos parámetros de control. El título, el contenido y la estructura del precepto cambian considerablemente. El título de la antigua redacción del art. 6 era “Instalación de establecimientos comerciales” y regulaba en dos apartados distintos el régimen de autorización comercial (apartado 1), por un lado, y los requisitos para la instalación de establecimientos comerciales (apartado 2), por otro. Solo lo dispuesto en el apartado 2 se relaciona con el contenido del precepto autonómico impugnado, que como se recordará incluye una prohibición de instalación de determinados establecimientos comerciales de carácter territorial (fuera de la trama urbana consolidada). En cambio, el nuevo art. 6, que lleva por título “Apertura, traslado o ampliación de establecimientos comerciales”, regula exclusivamente el régimen de la autorización comercial. Para la cuestión de las prohibiciones de instalación o requisitos territoriales de instalación, el precepto se remite a otras leyes: “Los regímenes de intervención administrativa se ajustarán a lo previsto en la Ley 17/2009, de 23 de noviembre, sobre el libre acceso a las actividades de servicios y su ejercicio y a la Ley 20/2013, de 9 de diciembre, de garantía de la unidad de mercado. En concreto, no podrán contener requisitos prohibidos del artículo 10 de la Ley 17/2009, de 23 de noviembre, ni actuaciones que limiten la libertad de establecimiento y la libertad de circulación del artículo 18 de la Ley 20/2013, de 9 de diciembre”.</w:t>
      </w:r>
    </w:p>
    <w:p w:rsidR="00A90898" w:rsidRDefault="00A90898" w:rsidP="00A90898">
      <w:pPr>
        <w:pStyle w:val="TextoNormal"/>
      </w:pPr>
    </w:p>
    <w:p w:rsidR="00A90898" w:rsidRDefault="00A90898" w:rsidP="00A90898">
      <w:pPr>
        <w:pStyle w:val="TextoNormal"/>
      </w:pPr>
      <w:r>
        <w:t>Así pues, no está claro que la nueva redacción de los arts. 6 LOCM y 11 de la Ley 17/2009 sea solo el reflejo, incrementado, de sus regulaciones anteriores, ni que la antigua base permanezca intacta en la nueva redacción de esos preceptos. Como expondremos en este Voto particular, tampoco está claro que la Sentencia se limite a aplicar la antigua base, como hizo en las SSTC 193/2013 y 76/2016.</w:t>
      </w:r>
    </w:p>
    <w:p w:rsidR="00A90898" w:rsidRDefault="00A90898" w:rsidP="00A90898">
      <w:pPr>
        <w:pStyle w:val="TextoNormal"/>
      </w:pPr>
    </w:p>
    <w:p w:rsidR="00A90898" w:rsidRDefault="00A90898" w:rsidP="00A90898">
      <w:pPr>
        <w:pStyle w:val="TextoNormal"/>
      </w:pPr>
      <w:r>
        <w:t xml:space="preserve">En conclusión, por lo que se refiere a requisitos territoriales de implantación, la nueva redacción del art. 6 LOCM remite a la aplicación de unas concretas leyes, que serán, en su </w:t>
      </w:r>
      <w:r>
        <w:lastRenderedPageBreak/>
        <w:t>caso, de considerarse su regulación conforme al orden constitucional de competencias, las que ofrezcan el parámetro de validez de la norma autonómica impugnada en este proceso. Solo con la resolución de los recursos de inconstitucionalidad interpuestos frente a dichas normas podría este Tribunal haber resuelto con plenas garantías la impugnación del precepto autonómico impugnado en el presente proceso.</w:t>
      </w:r>
    </w:p>
    <w:p w:rsidR="00A90898" w:rsidRDefault="00A90898" w:rsidP="00A90898">
      <w:pPr>
        <w:pStyle w:val="TextoNormal"/>
      </w:pPr>
    </w:p>
    <w:p w:rsidR="00A90898" w:rsidRDefault="00A90898" w:rsidP="00A90898">
      <w:pPr>
        <w:pStyle w:val="TextoNormal"/>
      </w:pPr>
      <w:r>
        <w:t>b) La inevitable consecuencia de lo anterior es la ambigüedad e indeterminación del propio canon aplicable a la resolución de la impugnación. En el fundamento jurídico 9 se aluden a unas exigencias de justificación y precisión cuya trazabilidad resulta difícil de establecer, aunque representan la causa determinante de la declaración de inconstitucionalidad y nulidad que efectúa la Sentencia.</w:t>
      </w:r>
    </w:p>
    <w:p w:rsidR="00A90898" w:rsidRDefault="00A90898" w:rsidP="00A90898">
      <w:pPr>
        <w:pStyle w:val="TextoNormal"/>
      </w:pPr>
    </w:p>
    <w:p w:rsidR="00A90898" w:rsidRDefault="00A90898" w:rsidP="00A90898">
      <w:pPr>
        <w:pStyle w:val="TextoNormal"/>
      </w:pPr>
      <w:r>
        <w:t xml:space="preserve">Mientras que en las SSTC 193/2013 y 73/2016 la </w:t>
      </w:r>
      <w:r w:rsidRPr="00A90898">
        <w:rPr>
          <w:i/>
        </w:rPr>
        <w:t>ratio decidendi</w:t>
      </w:r>
      <w:r>
        <w:t xml:space="preserve"> para declarar la inconstitucionalidad y nulidad del correspondiente precepto autonómico fue la falta de invocación de razones imperiosas de interés general que justificaran los requisitos entonces impuestos, en la Sentencia de la que discrepamos el contenido de la base aplicable se ha densificado notablemente. La tesis de la Sentencia es que la invocación no basta, sino que, por un lado, es necesaria una “justificación”, una “aportación de las razones”, “la precisión de los datos justificativos”; y, por otro lado, debe justificarse “la necesidad de la medida para promover el objetivo pretendido”, esto es, que la medida es “necesaria, por la inexistencia de alternativas menos restrictivas, para promover los legítimos objetivos pretendidos”.</w:t>
      </w:r>
    </w:p>
    <w:p w:rsidR="00A90898" w:rsidRDefault="00A90898" w:rsidP="00A90898">
      <w:pPr>
        <w:pStyle w:val="TextoNormal"/>
      </w:pPr>
    </w:p>
    <w:p w:rsidR="00A90898" w:rsidRDefault="00A90898" w:rsidP="00A90898">
      <w:pPr>
        <w:pStyle w:val="TextoNormal"/>
      </w:pPr>
      <w:r>
        <w:t>Ahora bien, no queda claro de qué concreto precepto estatal, considerado básico, emanan los referidos criterios. Esos criterios no estaban en la versión de la base que aplicaron las SSTC 193/2013 y 73/2016. La STC 73/2016 utilizó exclusivamente el carácter básico de la necesidad de invocar razones imperiosas de interés general que se mantenía en la nueva redacción, y dejó al margen el examen de “si la disposición impugnada se ajusta a otras condiciones que, incluidas en aquellos preceptos, han sido declaradas igualmente básicas por este Tribunal; singularmente, los criterios de proporcionalidad y no discriminación previstos en el art. 11 de la Ley 17/2009 y subsistentes en la nueva redacción del art. 6 LOCM” (FJ 6). Sin embargo, ese criterio de proporcionalidad se introduce de rondón en el canon de constitucionalidad que efectúa la Sentencia y se convierte en el criterio determinante para enjuiciar la norma autonómica impugnada. En otras palabras, sobre la base estatal que se afirma aplicar y que se limita a exigir, a la hora de regular los requisitos para la instalación de establecimientos comerciales, que se atienda a criterios basados en razones imperiosas de interés general relacionadas con la distribución comercial, la Sentencia edifica un control pleno de proporcionalidad sobre dichos requisitos.</w:t>
      </w:r>
    </w:p>
    <w:p w:rsidR="00A90898" w:rsidRDefault="00A90898" w:rsidP="00A90898">
      <w:pPr>
        <w:pStyle w:val="TextoNormal"/>
      </w:pPr>
    </w:p>
    <w:p w:rsidR="00A90898" w:rsidRDefault="00A90898" w:rsidP="00A90898">
      <w:pPr>
        <w:pStyle w:val="TextoNormal"/>
      </w:pPr>
      <w:r>
        <w:t xml:space="preserve">Aunque la Sentencia excluye en el fundamento jurídico 7 la alegación de la eventual infracción de la legislación comunitaria, la conclusión a la que llega la Sentencia en el fundamento jurídico 9 se apoya de forma determinante en las consideraciones que realizó el Tribunal de Justicia en su Sentencia de 24 de marzo de 2011 (asunto C-400/08). La Sentencia de la que disentimos se refiere explícitamente “la especial exigencia de precisión de los datos justificativos, en correspondencia con el rigor con que en el ámbito de la Unión debe ser tratado por los tribunales el principio de libertad de establecimiento”. De esta forma la doctrina del Tribunal de Justicia sobre el canon aplicable a las restricciones a la libertad de establecimiento se proyecta a una norma básica estatal que no dice aquello que se le atribuye. Si el Derecho de la Unión no es canon de constitucionalidad, tampoco lo puede ser la </w:t>
      </w:r>
      <w:r>
        <w:lastRenderedPageBreak/>
        <w:t>jurisprudencia del Tribunal de Justicia que lo interpreta. La Sentencia del Tribunal de Justicia será útil para interpretar las obligaciones derivadas del Derecho de la Unión, pero no puede servir para delimitar el alcance de las bases adoptadas por el legislador estatal. El Tribunal Constitucional no debe garantizar el cumplimiento del Derecho de la Unión mediante una interpretación extensiva de lo que disponen las bases estatales, trasladando a estas lo que el Tribunal de Justicia haya podido declarar desde la perspectiva del Derecho de la Unión en relación con la libertad de establecimiento, por muy conectada o cercana que pueda parecer que está la cuestión abordada.</w:t>
      </w:r>
    </w:p>
    <w:p w:rsidR="00A90898" w:rsidRDefault="00A90898" w:rsidP="00A90898">
      <w:pPr>
        <w:pStyle w:val="TextoNormal"/>
      </w:pPr>
    </w:p>
    <w:p w:rsidR="00A90898" w:rsidRDefault="00A90898" w:rsidP="00A90898">
      <w:pPr>
        <w:pStyle w:val="TextoNormal"/>
      </w:pPr>
      <w:r>
        <w:t>c) Por último, discrepamos del rechazo a la justificación aportada por el autor de la norma. Consideramos que el autor de la norma ha justificado con amplio detalle las razones imperiosas de interés general, basadas en la protección del medio ambiente y el entorno urbano, que le han llevado a derogar los preceptos que excepcionalmente permitían con anterioridad la implantación de determinados centros comerciales. La memoria que acompaña al anteproyecto de decreto-ley dedica un amplio espacio a exponer esas razones imperiosas de interés general: a lo largo de cinco páginas se recuerdan las exigencias que a este respecto señaló la STC 193/2013, se señalan los “fundamentos territoriales y de protección medioambiental para justificar la eliminación la excepcionalidad” y se glosan los “efectos perversos de la aplicación de la excepcionalidad”. También el preámbulo del Decreto-ley 7/2014 contiene una amplia justificación, que sintetiza la aportada por la citada memoria. Por tanto, la afirmación que se contiene en la Sentencia sobre la “falta de explicaciones” resulta, a nuestro juicio, gratuita.</w:t>
      </w:r>
    </w:p>
    <w:p w:rsidR="00A90898" w:rsidRDefault="00A90898" w:rsidP="00A90898">
      <w:pPr>
        <w:pStyle w:val="TextoNormal"/>
      </w:pPr>
    </w:p>
    <w:p w:rsidR="00A90898" w:rsidRDefault="00A90898" w:rsidP="00A90898">
      <w:pPr>
        <w:pStyle w:val="TextoNormal"/>
      </w:pPr>
      <w:r>
        <w:t>3. Las consecuencias que resultan de una interpretación excesivamente rigorista de la exigencia de justificación de las razones imperiosas de interés general que refleja la Sentencia de la que disentimos son, además, preocupantes desde la perspectiva del ejercicio de las competencias autonómicas.</w:t>
      </w:r>
    </w:p>
    <w:p w:rsidR="00A90898" w:rsidRDefault="00A90898" w:rsidP="00A90898">
      <w:pPr>
        <w:pStyle w:val="TextoNormal"/>
      </w:pPr>
    </w:p>
    <w:p w:rsidR="00A90898" w:rsidRDefault="00A90898" w:rsidP="00A90898">
      <w:pPr>
        <w:pStyle w:val="TextoNormal"/>
      </w:pPr>
      <w:r>
        <w:t>La forma de invocar y justificar la concurrencia de las razones imperiosas de interés general del legislador de urgencia catalán en el Decreto-ley 7/2014 no constituye excepción o anomalía alguna en el panorama de la legislación autonómica sobre ordenación del urbanismo comercial. Se podrá aducir que ello no es argumento determinante para descartar su inconstitucionalidad. Ahora bien, el hecho de que los diversos legisladores autonómicos recurran a formulaciones similares a la hora de justificar sus restricciones territoriales a la implantación de determinados centros comerciales debe poner sobre la pista de que lo que aquí está en juego es una decisión estrictamente política, la opción por un determinado modelo territorial (de ciudad compacta), que podrá compartirse o no desde el punto de vista socioeconómico o político, pero que este Tribunal no debe controlar, ni siquiera indirectamente a través de la “especial exigencia de precisión de datos justificativos”.</w:t>
      </w:r>
    </w:p>
    <w:p w:rsidR="00A90898" w:rsidRDefault="00A90898" w:rsidP="00A90898">
      <w:pPr>
        <w:pStyle w:val="TextoNormal"/>
      </w:pPr>
    </w:p>
    <w:p w:rsidR="00A90898" w:rsidRDefault="00A90898" w:rsidP="00A90898">
      <w:pPr>
        <w:pStyle w:val="TextoNormal"/>
      </w:pPr>
      <w:r>
        <w:t>Como consecuencia, la Sentencia de la que disentimos proyecta la mayor inseguridad jurídica sobre el ejercicio de las competencias autonómicas en esta materia y, por ende, sobre la validez de las normas dictadas a su amparo. No se sabe a ciencia cierta qué tipo de datos serán idóneos y suficientes, a juicio de la mayoría del Tribunal Constitucional, para satisfacer la especial exigencia de precisión que se deduce de la legislación básica estatal.</w:t>
      </w:r>
    </w:p>
    <w:p w:rsidR="00A90898" w:rsidRDefault="00A90898" w:rsidP="00A90898">
      <w:pPr>
        <w:pStyle w:val="TextoNormal"/>
      </w:pPr>
    </w:p>
    <w:p w:rsidR="00A90898" w:rsidRDefault="00A90898" w:rsidP="00A90898">
      <w:pPr>
        <w:pStyle w:val="TextoNormal"/>
      </w:pPr>
      <w:r>
        <w:t>Y en tal sentido emitimos este Voto particular.</w:t>
      </w:r>
    </w:p>
    <w:p w:rsidR="00A90898" w:rsidRDefault="00A90898" w:rsidP="00A90898">
      <w:pPr>
        <w:pStyle w:val="TextoNormal"/>
      </w:pPr>
    </w:p>
    <w:p w:rsidR="00A90898" w:rsidRDefault="00A90898" w:rsidP="00A90898">
      <w:pPr>
        <w:pStyle w:val="TextoNormal"/>
      </w:pPr>
      <w:r>
        <w:lastRenderedPageBreak/>
        <w:t>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7" w:name="SENTENCIA_2016_158"/>
      <w:r>
        <w:lastRenderedPageBreak/>
        <w:t>SENTENCIA 158/2016, de 22 de septiembre de 2016</w:t>
      </w:r>
    </w:p>
    <w:bookmarkEnd w:id="37"/>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ECLI:ES:TC:2016:158</w:t>
      </w:r>
    </w:p>
    <w:p w:rsidR="00A90898" w:rsidRDefault="00A90898" w:rsidP="00A90898">
      <w:pPr>
        <w:pStyle w:val="TextoNormalCentrado"/>
      </w:pPr>
    </w:p>
    <w:p w:rsidR="00A90898" w:rsidRDefault="00A90898" w:rsidP="00A90898">
      <w:pPr>
        <w:pStyle w:val="SntesisDescriptiva"/>
      </w:pPr>
      <w:r>
        <w:t>Recurso de inconstitucionalidad 2165-2016. Interpuesto por el Presidente del Gobierno en relación con el artículo 1 de la Ley de las Cortes de Castilla-La Mancha 7/2015, de 2 de diciembre, por la que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w:t>
      </w:r>
    </w:p>
    <w:p w:rsidR="00A90898" w:rsidRDefault="00A90898" w:rsidP="00A90898">
      <w:pPr>
        <w:pStyle w:val="SntesisDescriptiva"/>
      </w:pPr>
    </w:p>
    <w:p w:rsidR="00A90898" w:rsidRDefault="00A90898" w:rsidP="00A90898">
      <w:pPr>
        <w:pStyle w:val="SntesisAnaltica"/>
      </w:pPr>
      <w:r>
        <w:t>Competencias sobre legislación laboral, ordenación general de la economía y función pública: nulidad del precepto legal que fija la duración de la jornada laboral de los empleados públicos autonómicos (STC 99/2016). Voto particular.</w:t>
      </w:r>
    </w:p>
    <w:p w:rsidR="00A90898" w:rsidRDefault="00A90898" w:rsidP="00A90898">
      <w:pPr>
        <w:pStyle w:val="SntesisAnaltica"/>
      </w:pPr>
    </w:p>
    <w:p w:rsidR="00A90898" w:rsidRDefault="00A90898" w:rsidP="00A90898">
      <w:pPr>
        <w:pStyle w:val="Extracto"/>
      </w:pPr>
      <w:r>
        <w:t>1.</w:t>
      </w:r>
      <w:r>
        <w:tab/>
        <w:t>Doctrina contenida en la STC 99/2016 en relación con el carácter básico de la jornada laboral mínima para todo el sector público [FFJJ 3, 4].</w:t>
      </w:r>
    </w:p>
    <w:p w:rsidR="00A90898" w:rsidRDefault="00A90898" w:rsidP="00A90898">
      <w:pPr>
        <w:pStyle w:val="Extracto"/>
      </w:pPr>
    </w:p>
    <w:p w:rsidR="00A90898" w:rsidRDefault="00A90898" w:rsidP="00A90898">
      <w:pPr>
        <w:pStyle w:val="Extracto"/>
      </w:pPr>
      <w:r>
        <w:t>2.</w:t>
      </w:r>
      <w:r>
        <w:tab/>
        <w:t>El ejercicio de la competencia exclusiva autonómica para organizar sus propios servicios no puede desconocer las normas que el Estado haya podido aprobar en virtud de los títulos competenciales estatales que inciden en el ámbito material del régimen jurídico del personal del sector público autonómico [FJ 5].</w:t>
      </w:r>
    </w:p>
    <w:p w:rsidR="00A90898" w:rsidRDefault="00A90898" w:rsidP="00A90898">
      <w:pPr>
        <w:pStyle w:val="Extracto"/>
      </w:pPr>
    </w:p>
    <w:p w:rsidR="00A90898" w:rsidRDefault="00A90898" w:rsidP="00A90898">
      <w:pPr>
        <w:pStyle w:val="Extracto"/>
      </w:pPr>
      <w:r>
        <w:t>3.</w:t>
      </w:r>
      <w:r>
        <w:tab/>
        <w:t>La norma controvertida que prevé que la jornada general de trabajo del personal del sector público autonómico será de treinta y cinco horas semanales de promedio en cómputo anual, resulta incompatible con la norma estatal que establece, con carácter básico, una jornada laboral superior [FJ 6].</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recurso de inconstitucionalidad núm. 2165-2016 promovido por el Presidente del Gobierno contra el art. 1 de la Ley de las Cortes de Castilla-La Mancha 7/2015, de 2 de diciembre, por la que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 Han comparecido y formulado alegaciones la Junta de Comunidades y las Cortes de Castilla-La Mancha, representados por sus respectivos Letrados.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21 de abril de 2016, el Abogado del Estado, en nombre del Presidente del Gobierno, interpuso recurso de inconstitucionalidad contra el art. 1 de la Ley de las Cortes de Castilla-La Mancha 7/2015, de 2 de diciembre, por la que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 (en adelante, Ley de Castilla-La Mancha 7/2015). El Abogado del Estado invocó los arts. 161.2 CE y 30 de la Ley Orgánica del Tribunal Constitucional (LOTC), a fin de que se acordase la suspensión del precepto impugnado.</w:t>
      </w:r>
    </w:p>
    <w:p w:rsidR="00A90898" w:rsidRDefault="00A90898" w:rsidP="00A90898">
      <w:pPr>
        <w:pStyle w:val="TextoNormal"/>
      </w:pPr>
    </w:p>
    <w:p w:rsidR="00A90898" w:rsidRDefault="00A90898" w:rsidP="00A90898">
      <w:pPr>
        <w:pStyle w:val="TextoNormal"/>
      </w:pPr>
      <w:r>
        <w:t>a) La demanda se centra primero en precisar el objeto del recurso. A estos efectos transcribe el precepto impugnado.</w:t>
      </w:r>
    </w:p>
    <w:p w:rsidR="00A90898" w:rsidRDefault="00A90898" w:rsidP="00A90898">
      <w:pPr>
        <w:pStyle w:val="TextoNormal"/>
      </w:pPr>
    </w:p>
    <w:p w:rsidR="00A90898" w:rsidRDefault="00A90898" w:rsidP="00A90898">
      <w:pPr>
        <w:pStyle w:val="TextoNormal"/>
      </w:pPr>
      <w:r>
        <w:t>Artículo 1. Modificación de la Ley 1/2012, de 21 de febrero, de medidas complementarias para la aplicación del plan de garantías de servicios sociales.</w:t>
      </w:r>
    </w:p>
    <w:p w:rsidR="00A90898" w:rsidRDefault="00A90898" w:rsidP="00A90898">
      <w:pPr>
        <w:pStyle w:val="TextoNormal"/>
      </w:pPr>
    </w:p>
    <w:p w:rsidR="00A90898" w:rsidRDefault="00A90898" w:rsidP="00A90898">
      <w:pPr>
        <w:pStyle w:val="TextoNormal"/>
      </w:pPr>
      <w:r>
        <w:t>La Ley 1/2012, de 21 de febrero, de medidas complementarias para la aplicación del plan de garantías de servicios sociales, se modifica en los siguientes términos:</w:t>
      </w:r>
    </w:p>
    <w:p w:rsidR="00A90898" w:rsidRDefault="00A90898" w:rsidP="00A90898">
      <w:pPr>
        <w:pStyle w:val="TextoNormal"/>
      </w:pPr>
    </w:p>
    <w:p w:rsidR="00A90898" w:rsidRDefault="00A90898" w:rsidP="00A90898">
      <w:pPr>
        <w:pStyle w:val="TextoNormal"/>
      </w:pPr>
      <w:r>
        <w:t>“Uno. El artículo 1.1 queda redactado de la siguiente manera:</w:t>
      </w:r>
    </w:p>
    <w:p w:rsidR="00A90898" w:rsidRDefault="00A90898" w:rsidP="00A90898">
      <w:pPr>
        <w:pStyle w:val="TextoNormal"/>
      </w:pPr>
    </w:p>
    <w:p w:rsidR="00A90898" w:rsidRDefault="00A90898" w:rsidP="00A90898">
      <w:pPr>
        <w:pStyle w:val="TextoNormal"/>
      </w:pPr>
      <w:r>
        <w:t>‘1. La jornada general de trabajo del personal al servicio de la Administración de la Junta de Comunidades de Castilla-La Mancha, cualquiera que sea su régimen jurídico, será de treinta y cinco horas semanales de promedio en cómputo anual.</w:t>
      </w:r>
    </w:p>
    <w:p w:rsidR="00A90898" w:rsidRDefault="00A90898" w:rsidP="00A90898">
      <w:pPr>
        <w:pStyle w:val="TextoNormal"/>
      </w:pPr>
    </w:p>
    <w:p w:rsidR="00A90898" w:rsidRDefault="00A90898" w:rsidP="00A90898">
      <w:pPr>
        <w:pStyle w:val="TextoNormal"/>
      </w:pPr>
      <w:r>
        <w:t>Esta media semanal se entenderá sin perjuicio de las jornadas especiales existentes o que, en su caso, se establezcan, que experimentarán los cambios que fueran necesarios para adecuarse a la modificación general en la jornada ordinaria.’</w:t>
      </w:r>
    </w:p>
    <w:p w:rsidR="00A90898" w:rsidRDefault="00A90898" w:rsidP="00A90898">
      <w:pPr>
        <w:pStyle w:val="TextoNormal"/>
      </w:pPr>
    </w:p>
    <w:p w:rsidR="00A90898" w:rsidRDefault="00A90898" w:rsidP="00A90898">
      <w:pPr>
        <w:pStyle w:val="TextoNormal"/>
      </w:pPr>
      <w:r>
        <w:lastRenderedPageBreak/>
        <w:t>Dos. El artículo 10 queda redactado de la siguiente manera:</w:t>
      </w:r>
    </w:p>
    <w:p w:rsidR="00A90898" w:rsidRDefault="00A90898" w:rsidP="00A90898">
      <w:pPr>
        <w:pStyle w:val="TextoNormal"/>
      </w:pPr>
    </w:p>
    <w:p w:rsidR="00A90898" w:rsidRDefault="00A90898" w:rsidP="00A90898">
      <w:pPr>
        <w:pStyle w:val="TextoNormal"/>
      </w:pPr>
      <w:r>
        <w:t>‘1. La jornada, en cómputo anual, del personal al servicio de las instituciones sanitarias del Servicio de Salud de Castilla-La Mancha que percibe sus retribuciones conforme al Real Decreto-ley 3/1987, de 11 de septiembre, sobre retribuciones del personal estatutario del Insalud, queda fijada de la siguiente forma:</w:t>
      </w:r>
    </w:p>
    <w:p w:rsidR="00A90898" w:rsidRDefault="00A90898" w:rsidP="00A90898">
      <w:pPr>
        <w:pStyle w:val="TextoNormal"/>
      </w:pPr>
    </w:p>
    <w:p w:rsidR="00A90898" w:rsidRDefault="00A90898" w:rsidP="00A90898">
      <w:pPr>
        <w:pStyle w:val="TextoNormal"/>
      </w:pPr>
      <w:r>
        <w:t>a) Turno diurno: 1.519 horas.</w:t>
      </w:r>
    </w:p>
    <w:p w:rsidR="00A90898" w:rsidRDefault="00A90898" w:rsidP="00A90898">
      <w:pPr>
        <w:pStyle w:val="TextoNormal"/>
      </w:pPr>
    </w:p>
    <w:p w:rsidR="00A90898" w:rsidRDefault="00A90898" w:rsidP="00A90898">
      <w:pPr>
        <w:pStyle w:val="TextoNormal"/>
      </w:pPr>
      <w:r>
        <w:t>b) Turno nocturno: 1.450 horas.</w:t>
      </w:r>
    </w:p>
    <w:p w:rsidR="00A90898" w:rsidRDefault="00A90898" w:rsidP="00A90898">
      <w:pPr>
        <w:pStyle w:val="TextoNormal"/>
      </w:pPr>
    </w:p>
    <w:p w:rsidR="00A90898" w:rsidRDefault="00A90898" w:rsidP="00A90898">
      <w:pPr>
        <w:pStyle w:val="TextoNormal"/>
      </w:pPr>
      <w:r>
        <w:t>c) Turno rotatorio: 1.491 horas.</w:t>
      </w:r>
    </w:p>
    <w:p w:rsidR="00A90898" w:rsidRDefault="00A90898" w:rsidP="00A90898">
      <w:pPr>
        <w:pStyle w:val="TextoNormal"/>
      </w:pPr>
    </w:p>
    <w:p w:rsidR="00A90898" w:rsidRDefault="00A90898" w:rsidP="00A90898">
      <w:pPr>
        <w:pStyle w:val="TextoNormal"/>
      </w:pPr>
      <w:r>
        <w:t>2. La jornada en turno rotatorio que se establece en 1.491 horas anuales resulta de la ponderación de considerar la realización de 42 noches al año. La jornada anual de cada profesional que realice este turno se determinará en función del número de noches efectivamente trabajadas durante el año, de acuerdo con la ponderación que se establezca por resolución de la Gerencia del Sescam.</w:t>
      </w:r>
    </w:p>
    <w:p w:rsidR="00A90898" w:rsidRDefault="00A90898" w:rsidP="00A90898">
      <w:pPr>
        <w:pStyle w:val="TextoNormal"/>
      </w:pPr>
    </w:p>
    <w:p w:rsidR="00A90898" w:rsidRDefault="00A90898" w:rsidP="00A90898">
      <w:pPr>
        <w:pStyle w:val="TextoNormal"/>
      </w:pPr>
      <w:r>
        <w:t>3. El personal estatutario con nombramiento para la cobertura de la atención continuada en atención primaria realizará una jornada anual ordinaria de 1.500 horas de trabajo efectivo.</w:t>
      </w:r>
    </w:p>
    <w:p w:rsidR="00A90898" w:rsidRDefault="00A90898" w:rsidP="00A90898">
      <w:pPr>
        <w:pStyle w:val="TextoNormal"/>
      </w:pPr>
    </w:p>
    <w:p w:rsidR="00A90898" w:rsidRDefault="00A90898" w:rsidP="00A90898">
      <w:pPr>
        <w:pStyle w:val="TextoNormal"/>
      </w:pPr>
      <w:r>
        <w:t>4. Los profesionales sanitarios de emergencias de la unidad móvil de emergencias y del centro coordinador, realizarán una jornada anual efectiva de 1.488 horas distribuidas en módulos de 12 horas.</w:t>
      </w:r>
    </w:p>
    <w:p w:rsidR="00A90898" w:rsidRDefault="00A90898" w:rsidP="00A90898">
      <w:pPr>
        <w:pStyle w:val="TextoNormal"/>
      </w:pPr>
    </w:p>
    <w:p w:rsidR="00A90898" w:rsidRDefault="00A90898" w:rsidP="00A90898">
      <w:pPr>
        <w:pStyle w:val="TextoNormal"/>
      </w:pPr>
      <w:r>
        <w:t>5. El personal destinado en los servicios de urgencia de atención primaria (SUAP) realizará una jornada anual ordinaria de 1.488 horas de trabajo efectivo.’</w:t>
      </w:r>
    </w:p>
    <w:p w:rsidR="00A90898" w:rsidRDefault="00A90898" w:rsidP="00A90898">
      <w:pPr>
        <w:pStyle w:val="TextoNormal"/>
      </w:pPr>
    </w:p>
    <w:p w:rsidR="00A90898" w:rsidRDefault="00A90898" w:rsidP="00A90898">
      <w:pPr>
        <w:pStyle w:val="TextoNormal"/>
      </w:pPr>
      <w:r>
        <w:t>Tres. Se añade una nueva disposición adicional con la siguiente redacción:</w:t>
      </w:r>
    </w:p>
    <w:p w:rsidR="00A90898" w:rsidRDefault="00A90898" w:rsidP="00A90898">
      <w:pPr>
        <w:pStyle w:val="TextoNormal"/>
      </w:pPr>
    </w:p>
    <w:p w:rsidR="00A90898" w:rsidRDefault="00A90898" w:rsidP="00A90898">
      <w:pPr>
        <w:pStyle w:val="TextoNormal"/>
      </w:pPr>
      <w:r>
        <w:t>‘Disposición adicional sexta.</w:t>
      </w:r>
    </w:p>
    <w:p w:rsidR="00A90898" w:rsidRDefault="00A90898" w:rsidP="00A90898">
      <w:pPr>
        <w:pStyle w:val="TextoNormal"/>
      </w:pPr>
    </w:p>
    <w:p w:rsidR="00A90898" w:rsidRDefault="00A90898" w:rsidP="00A90898">
      <w:pPr>
        <w:pStyle w:val="TextoNormal"/>
      </w:pPr>
      <w:r>
        <w:t>La jornada general de trabajo del personal de las entidades del sector público de la Administración de la Junta de Comunidades de Castilla-La Mancha a que se refieren los apartados c), d), e), f), g) y h) de la disposición adicional cuarta de esta ley será la establecida en el artículo 1.’”</w:t>
      </w:r>
    </w:p>
    <w:p w:rsidR="00A90898" w:rsidRDefault="00A90898" w:rsidP="00A90898">
      <w:pPr>
        <w:pStyle w:val="TextoNormal"/>
      </w:pPr>
    </w:p>
    <w:p w:rsidR="00A90898" w:rsidRDefault="00A90898" w:rsidP="00A90898">
      <w:pPr>
        <w:pStyle w:val="TextoNormal"/>
      </w:pPr>
      <w:r>
        <w:t xml:space="preserve">La demanda razona que la norma impugnada introduce una regulación de la jornada laboral del personal al servicio del sector público en treinta y cinco horas semanales. Lo hace expresamente en el apartado 1.1 (personal al servicio de la Administración de la Junta de Comunidades de Castilla-La Mancha) y en el 1.3 (personal de las entidades del sector público de la Administración de la Junta de Comunidades de Castilla-La Mancha). Pero también lo hace, aunque no lo afirme expresamente, en el 1.2 respecto del personal sanitario, pues las 1.519 horas señaladas para el turno diurno del personal sanitario en el apartado 1.2.1 se corresponde con multiplicar 35 horas por el número de semanas que se trabaja al </w:t>
      </w:r>
      <w:r>
        <w:lastRenderedPageBreak/>
        <w:t>año. Además, las horas de los turnos nocturno (1450 horas) y rotatorio (1491 horas) responden al mismo cálculo, si bien que aplicándole una cierta modulación por las circunstancias especiales de dichos turnos. Lo mismo sucede con las jornadas especiales previstas en los apartados 3, 4 y 5 del art. 1.2.</w:t>
      </w:r>
    </w:p>
    <w:p w:rsidR="00A90898" w:rsidRDefault="00A90898" w:rsidP="00A90898">
      <w:pPr>
        <w:pStyle w:val="TextoNormal"/>
      </w:pPr>
    </w:p>
    <w:p w:rsidR="00A90898" w:rsidRDefault="00A90898" w:rsidP="00A90898">
      <w:pPr>
        <w:pStyle w:val="TextoNormal"/>
      </w:pPr>
      <w:r>
        <w:t>b) La demanda argumenta que esta previsión sobre la jornada laboral del personal al servicio del sector público “contradice de forma directa la regulación estatal sobre la materia contenida en la disposición adicional septuagésima primera de la Ley 2/2012, de 29 de junio, de Presupuestos Generales del Estado para el año 2012, dictada con carácter básico al amparo de los artículos 149.1.7, 149.1.13 y 149.1.18 CE, y por la que se establece, en contraposición a lo preceptuado por el artículo cuya impugnación se postula, que la jornada general de trabajo del personal del Sector Público, incluido el personal estatutario, no podrá ser inferior a treinta y siete horas y media semanales de trabajo efectivo de promedio en cómputo anual”.</w:t>
      </w:r>
    </w:p>
    <w:p w:rsidR="00A90898" w:rsidRDefault="00A90898" w:rsidP="00A90898">
      <w:pPr>
        <w:pStyle w:val="TextoNormal"/>
      </w:pPr>
    </w:p>
    <w:p w:rsidR="00A90898" w:rsidRDefault="00A90898" w:rsidP="00A90898">
      <w:pPr>
        <w:pStyle w:val="TextoNormal"/>
      </w:pPr>
      <w:r>
        <w:t>Esta contradicción supone, según la demanda, por lo que hace al personal al servicio del sector público que tenga la condición de funcionario, que la norma recurrida vulneraría el art. 149.1.18 CE. Recuerda que, según la STC 156/2015, “corresponde al Estado establecer las bases del régimen de derechos y deberes de los funcionarios públicos y a la Comunidad Autónoma la competencia de desarrollo legislativo y ejecución, de acuerdo con aquella legislación básica, en relación con la función pública autonómica y local. Igualmente, hemos señalado que, en la competencia para regular las bases del régimen estatutario de los funcionarios públicos conferida al Estado por el art. 149.1.18 CE, cabe incluir, por ejemplo, previsiones relativas a las retribuciones de los funcionarios, comunes a todas las Administraciones públicas, pues ello hallaría su fundamento en los principios constitucionales de igualdad y solidaridad (SSTC 96/1990, de 24 de mayo, FJ 3; 237/1992, de 15 de diciembre, FJ 4; 103/1997, de 22 de mayo, FJ 2, y 148/2006, de 11 de mayo, FJ 6, entre otras). Del mismo modo, debemos afirmar, ahora, que también quedan encuadradas en el título competencial del mencionado art. 149.1.18 CE las previsiones relativas a los permisos y vacaciones de los funcionarios comunes a todas las Administraciones públicas, pues ello hallaría, igualmente, su fundamento en los principios constitucionales de igualdad y solidaridad”.</w:t>
      </w:r>
    </w:p>
    <w:p w:rsidR="00A90898" w:rsidRDefault="00A90898" w:rsidP="00A90898">
      <w:pPr>
        <w:pStyle w:val="TextoNormal"/>
      </w:pPr>
    </w:p>
    <w:p w:rsidR="00A90898" w:rsidRDefault="00A90898" w:rsidP="00A90898">
      <w:pPr>
        <w:pStyle w:val="TextoNormal"/>
      </w:pPr>
      <w:r>
        <w:t>La norma recurrida, en tanto que abarca al personal laboral del sector público, vulneraría, por la contradicción antedicha de la jornada laboral mínima de 37 horas y media semanales fijada en disposición adicional septuagésima primera de la Ley 2/2012, el art. 149.1.7 CE, que atribuye al Estado toda la legislación en materia laboral. Cita al efecto la STC 111/2012, FJ 7.</w:t>
      </w:r>
    </w:p>
    <w:p w:rsidR="00A90898" w:rsidRDefault="00A90898" w:rsidP="00A90898">
      <w:pPr>
        <w:pStyle w:val="TextoNormal"/>
      </w:pPr>
    </w:p>
    <w:p w:rsidR="00A90898" w:rsidRDefault="00A90898" w:rsidP="00A90898">
      <w:pPr>
        <w:pStyle w:val="TextoNormal"/>
      </w:pPr>
      <w:r>
        <w:t xml:space="preserve">En fin, la demanda expone que imponer una jornada laboral semanal mínima también es un instrumento de contención del gasto público, por lo que la regulación autonómica recurrida, al reducir dicha jornada por debajo del límite mínimo fijado por el Estado, lesiona la competencia de éste de fijar bases de la planificación económica general </w:t>
      </w:r>
      <w:r w:rsidRPr="00A90898">
        <w:rPr>
          <w:i/>
        </w:rPr>
        <w:t>ex</w:t>
      </w:r>
      <w:r>
        <w:t xml:space="preserve"> art. 149.1.13 CE.</w:t>
      </w:r>
    </w:p>
    <w:p w:rsidR="00A90898" w:rsidRDefault="00A90898" w:rsidP="00A90898">
      <w:pPr>
        <w:pStyle w:val="TextoNormal"/>
      </w:pPr>
    </w:p>
    <w:p w:rsidR="00A90898" w:rsidRDefault="00A90898" w:rsidP="00A90898">
      <w:pPr>
        <w:pStyle w:val="TextoNormal"/>
      </w:pPr>
      <w:r w:rsidRPr="00A90898">
        <w:rPr>
          <w:rStyle w:val="NumeroAFNegritaCaracter"/>
        </w:rPr>
        <w:t>2</w:t>
      </w:r>
      <w:r>
        <w:t>. Por providencia de 28 de abril de 2016 el Pleno, a propuesta de la Sección Tercera, acordó admitir a trámite el recurso de inconstitucionalidad promovido por el Presidente del Gobierno contra el art. 1 de la Ley de Castilla-La Mancha 7/2015; dar traslado de la de</w:t>
      </w:r>
      <w:r>
        <w:lastRenderedPageBreak/>
        <w:t>manda y documentos presentados, según prevé el art. 34 LOTC, al Congreso de los Diputados y al Senado, por conducto de sus Presidentes, así como a la Junta de Comunidades y a las Cortes de Castilla-La Mancha, por conducto de sus Presidentes, al objeto de que, en el plazo de quince días, puedan personarse en el proceso y formular las alegaciones que estimaren convenientes; tener por invocado por el Presidente del Gobierno el art. 161.2 CE, lo que, conforme dispone el art. 30 LOTC, produce la suspensión de la vigencia y aplicación de los preceptos impugnados, desde la fecha de interposición del recurso —21 de abril de 2016— para las partes del proceso y desde el día en que aparezca publicada la suspensión en el “Boletín Oficial del Estado” para los terceros, lo que se comunicará a los Presidentes de la Junta de Comunidades y de las Cortes de Castilla-La Mancha; y publicar la incoación del recurso en el “Boletín Oficial del Estado” y en el “Diario Oficial de Castilla La Mancha”.</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el día 12 de mayo de 2016 el Presidente del Congreso de los Diputados comunicó a este Tribunal el acuerdo de la Mesa de la Cámara en el sentido de darse por personada en el proceso, ofreciendo su colaboración a los efectos del art. 88.1 LOTC. Idéntica comunicación del Presidente del Senado se registró el 19 de mayo de 2016.</w:t>
      </w:r>
    </w:p>
    <w:p w:rsidR="00A90898" w:rsidRDefault="00A90898" w:rsidP="00A90898">
      <w:pPr>
        <w:pStyle w:val="TextoNormal"/>
      </w:pPr>
    </w:p>
    <w:p w:rsidR="00A90898" w:rsidRDefault="00A90898" w:rsidP="00A90898">
      <w:pPr>
        <w:pStyle w:val="TextoNormal"/>
      </w:pPr>
      <w:r w:rsidRPr="00A90898">
        <w:rPr>
          <w:rStyle w:val="NumeroAFNegritaCaracter"/>
        </w:rPr>
        <w:t>4</w:t>
      </w:r>
      <w:r>
        <w:t>. El 20 de mayo de 2016, el Letrado Mayor de las Cortes de Castilla-La Mancha presentó escrito personándose en el proceso y solicitando la concesión de una prórroga del plazo para formular alegaciones por ocho días más. El 24 de mayo de 2016 hace lo propio la Letrada de la Junta de Comunidades de Castilla-La Mancha. Por providencias de 23 y 25 de mayo de 2016, respectivamente, se accedió a lo interesado por dichas representaciones procesales.</w:t>
      </w:r>
    </w:p>
    <w:p w:rsidR="00A90898" w:rsidRDefault="00A90898" w:rsidP="00A90898">
      <w:pPr>
        <w:pStyle w:val="TextoNormal"/>
      </w:pPr>
    </w:p>
    <w:p w:rsidR="00A90898" w:rsidRDefault="00A90898" w:rsidP="00A90898">
      <w:pPr>
        <w:pStyle w:val="TextoNormal"/>
      </w:pPr>
      <w:r w:rsidRPr="00A90898">
        <w:rPr>
          <w:rStyle w:val="NumeroAFNegritaCaracter"/>
        </w:rPr>
        <w:t>5</w:t>
      </w:r>
      <w:r>
        <w:t>. El Letrado Mayor de las Cortes de Castilla-La Mancha, actuando en nombre de esta Asamblea Legislativa, presentó sus alegaciones el 7 de junio de 2016. Comienza con un capítulo de antecedentes y, al efecto de precisar el objeto del proceso, transcribe la norma autonómica recurrida. Luego articula una serie de argumentos agrupados del siguiente modo.</w:t>
      </w:r>
    </w:p>
    <w:p w:rsidR="00A90898" w:rsidRDefault="00A90898" w:rsidP="00A90898">
      <w:pPr>
        <w:pStyle w:val="TextoNormal"/>
      </w:pPr>
    </w:p>
    <w:p w:rsidR="00A90898" w:rsidRDefault="00A90898" w:rsidP="00A90898">
      <w:pPr>
        <w:pStyle w:val="TextoNormal"/>
      </w:pPr>
      <w:r>
        <w:t>a) Respecto de la ley estatal señalada como parámetro mediato de control constitucional —disposición adicional septuagésima primera de la Ley 2/2012— dice que es objeto de sendos recursos de inconstitucionalidad. Su estimación supondría la declaración de nulidad de tal norma estatal y haría decaer el fundamento de este recurso. El eventual rechazo, sin embargo, no supondría, a su juicio, la estimación de este recurso dadas las peculiaridades concurrentes, en especial (a) que en Castilla-La Mancha se haya aprobado una ley autonómica en desarrollo del estatuto básico del empleado público (Ley 4/2011, de 10 de marzo, del empleo público de Castilla-La Mancha) en ejercicio de las competencias exclusivas que su Estatuto le atribuye y (b) que con posterioridad a la Ley estatal 2/2012 se aprobó el Real Decreto Legislativo 5/2015, de 30 de octubre, por el que se aprueba el texto refundido de la Ley del estatuto básico del empleado público, lo que conlleva la derogación tácita de aquel precepto estatal.</w:t>
      </w:r>
    </w:p>
    <w:p w:rsidR="00A90898" w:rsidRDefault="00A90898" w:rsidP="00A90898">
      <w:pPr>
        <w:pStyle w:val="TextoNormal"/>
      </w:pPr>
    </w:p>
    <w:p w:rsidR="00A90898" w:rsidRDefault="00A90898" w:rsidP="00A90898">
      <w:pPr>
        <w:pStyle w:val="TextoNormal"/>
      </w:pPr>
      <w:r>
        <w:t xml:space="preserve">Afirma también que dicha disposición adicional septuagésima primera, al fijar la jornada mínima de trabajo en 37 horas y media semanales para todo empleado del sector público, no respeta el orden constitucional de competencias, pues “la jornada de trabajo configura el </w:t>
      </w:r>
      <w:r>
        <w:lastRenderedPageBreak/>
        <w:t>ámbito temporal dentro del cual se desarrolla la tarea del empleado público, y por este motivo solamente la existencia y la determinación de la tipología y modalidades de la jornada, que es el marco de referencia del deber de trabajar, pueden formar parte de la configuración esencial del deber básico de prestación de servicio del empleado público, pero no así la cuantificación concreta y específica de esta jornada, ni siquiera con carácter mínimo. Lo expuesto supone que la determinación de la duración de la jornada de trabajo que se contiene en la disposición adicional septuagésima primera de la Ley 2/2012 supone una regulación que excede del contenido propio de la normativa básica del régimen estatutario de los funcionarios públicos”.</w:t>
      </w:r>
    </w:p>
    <w:p w:rsidR="00A90898" w:rsidRDefault="00A90898" w:rsidP="00A90898">
      <w:pPr>
        <w:pStyle w:val="TextoNormal"/>
      </w:pPr>
    </w:p>
    <w:p w:rsidR="00A90898" w:rsidRDefault="00A90898" w:rsidP="00A90898">
      <w:pPr>
        <w:pStyle w:val="TextoNormal"/>
      </w:pPr>
      <w:r>
        <w:t>La disposición adicional septuagésima primera de la Ley 2/2012 vulnera, a su juicio, el art. 134.2 CE, pues “no tiene contenido económico, por ello no está incluida ni en una previsión de ingresos, ni en una habilitación de gastos, de manera que no forma parte del contenido esencial e indisponible de la Ley de presupuestos. Además, tampoco incide directamente en la política de ingresos y gastos del sector público estatal ni la condiciona, sin que de contrario se haya aportado razonamiento alguno en este sentido, por lo que, al no tener ninguna conexión directa con los ingresos o los gastos del Estado, tampoco puede formar parte de su contenido eventual”.</w:t>
      </w:r>
    </w:p>
    <w:p w:rsidR="00A90898" w:rsidRDefault="00A90898" w:rsidP="00A90898">
      <w:pPr>
        <w:pStyle w:val="TextoNormal"/>
      </w:pPr>
    </w:p>
    <w:p w:rsidR="00A90898" w:rsidRDefault="00A90898" w:rsidP="00A90898">
      <w:pPr>
        <w:pStyle w:val="TextoNormal"/>
      </w:pPr>
      <w:r>
        <w:t>b) En otro apartado expone que regular la jornada de trabajo de sus empleados se inserta en la competencia de la Junta de Comunidades de Castilla-La Mancha sobre función pública.</w:t>
      </w:r>
    </w:p>
    <w:p w:rsidR="00A90898" w:rsidRDefault="00A90898" w:rsidP="00A90898">
      <w:pPr>
        <w:pStyle w:val="TextoNormal"/>
      </w:pPr>
    </w:p>
    <w:p w:rsidR="00A90898" w:rsidRDefault="00A90898" w:rsidP="00A90898">
      <w:pPr>
        <w:pStyle w:val="TextoNormal"/>
      </w:pPr>
      <w:r>
        <w:t>Argumenta que la Ley 7/2007, del estatuto básico del empleado público, limitó la extensión de las bases del régimen estatutario de los funcionarios públicos al efecto de permitir amplios márgenes de actuación al legislador autonómico para que pudiera configurar su propia política de personal. Por su lado, el Estatuto de Autonomía de Castilla-La Mancha dispone que la Junta de Comunidades asume competencia exclusiva sobre organización, régimen y funcionamiento de sus instituciones de autogobiemo (art. 31.1.1), añadiendo en el art. 39.3 que en el ejercicio de tal competencia, y de acuerdo con la legislación del Estado, le incumbe, entre otras materias, definir el régimen estatutario de sus funcionarios, mandato que ha materializado mediante la Ley 4/2011, de 10 de marzo, del empleo público de Castilla-La Mancha, que incide en buena parte de los aspectos esenciales del régimen estatutario del personal empleado público incluido en su ámbito de aplicación.</w:t>
      </w:r>
    </w:p>
    <w:p w:rsidR="00A90898" w:rsidRDefault="00A90898" w:rsidP="00A90898">
      <w:pPr>
        <w:pStyle w:val="TextoNormal"/>
      </w:pPr>
    </w:p>
    <w:p w:rsidR="00A90898" w:rsidRDefault="00A90898" w:rsidP="00A90898">
      <w:pPr>
        <w:pStyle w:val="TextoNormal"/>
      </w:pPr>
      <w:r>
        <w:t>Señala, además, que las normas estatales y autonómicas vigentes en materia de empleo público, así como sus antecedentes normativos, atribuyen la competencia para fijar la jornada laboral de sus empleados públicos a cada Administración pública. Se refiere, como norma vigente, al Real Decreto Legislativo 5/2015 y, como antecedente, a la Ley 7/2007, así como a las leyes autonómicas que lo desarrollan.</w:t>
      </w:r>
    </w:p>
    <w:p w:rsidR="00A90898" w:rsidRDefault="00A90898" w:rsidP="00A90898">
      <w:pPr>
        <w:pStyle w:val="TextoNormal"/>
      </w:pPr>
    </w:p>
    <w:p w:rsidR="00A90898" w:rsidRDefault="00A90898" w:rsidP="00A90898">
      <w:pPr>
        <w:pStyle w:val="TextoNormal"/>
      </w:pPr>
      <w:r>
        <w:t xml:space="preserve">Por último, razona que la regulación específica de la jornada mínima de trabajo afecta solo a la propia estructura de cada administración. Por tanto, no se requiere un grado de homogeneidad e igualdad en el horario de todos los empleados públicos, sino que prevalece el ajuste a la diversidad de objetivos, tareas, competencias, estacionalidades o situaciones geográficas de cada una de aquéllas. En fin, concluye que “la determinación de la jornada y el horario de trabajo que han de realizar los empleados públicos de una Administración constituye una medida amparada dentro de las relativas a la organización del personal al </w:t>
      </w:r>
      <w:r>
        <w:lastRenderedPageBreak/>
        <w:t>servicio de la Administración regional, con fundamento en la competencia exclusiva de auto organización que goza la Comunidad Autónoma de Castilla-La Mancha, cuya base se asienta sobre el art. 31.1.l de su Estatuto y se liga al art. 39.3 del mismo texto legal. Además, está intrínseca y directamente relacionada con el correcto cumplimiento del ejercicio del resto de competencias atribuidas en su Estatuto de Autonomía y en las normas de transferencia, a los efectos de una adecuada prestación de servicios públicos a la ciudadanía por parte de la Comunidad Autónoma de Castilla-La Mancha (educación, sanidad, servicios sociales...)”.</w:t>
      </w:r>
    </w:p>
    <w:p w:rsidR="00A90898" w:rsidRDefault="00A90898" w:rsidP="00A90898">
      <w:pPr>
        <w:pStyle w:val="TextoNormal"/>
      </w:pPr>
    </w:p>
    <w:p w:rsidR="00A90898" w:rsidRDefault="00A90898" w:rsidP="00A90898">
      <w:pPr>
        <w:pStyle w:val="TextoNormal"/>
      </w:pPr>
      <w:r>
        <w:t>c) Expone, en tercer lugar, que la Ley autonómica recurrida no invade la competencia del Estado en materia de legislación laboral (149.1.7 CE). Alega que la materia laboral ha de ser entendida en un sentido restrictivo, en el de limitar esta competencia del Estado a la normativa que regula “directamente la relación laboral, es decir, y en los términos de la Ley 8/1980 de 10 de marzo, la relación que media entre los trabajadores que presten servicios retribuidos por cuenta ajena a los empresarios, en favor de los que y bajo la dirección de quienes prestan servicios” (STC 360/1993, FJ4). A partir de esta idea, el Letrado autonómico afirma que la norma recurrida “no constituye una regulación directa de las relaciones que hay entre el trabajador y el empresario, es decir, entre las partes de una relación laboral, sino la concreta determinación de una jornada en un sector económico preciso, el sector público, cuya norma reguladora (Real Decreto Legislativo 5/2015, arts. 47 y 51) la configura como una materia que pertenece a la competencia de la respectiva Administración para organizar sus servicios”.</w:t>
      </w:r>
    </w:p>
    <w:p w:rsidR="00A90898" w:rsidRDefault="00A90898" w:rsidP="00A90898">
      <w:pPr>
        <w:pStyle w:val="TextoNormal"/>
      </w:pPr>
    </w:p>
    <w:p w:rsidR="00A90898" w:rsidRDefault="00A90898" w:rsidP="00A90898">
      <w:pPr>
        <w:pStyle w:val="TextoNormal"/>
      </w:pPr>
      <w:r>
        <w:t>d) Niega, por último, que la norma autonómica recurrida invada la competencia del Estado sobre las bases de la ordenación de la economía (149.1.13 CE). Resalta que, como se trata de un título transversal, debe comprenderse de un modo estricto, so pena de invadir las competencias sectoriales autonómicas, por lo que solo ampara aquellas medidas estatales que tengan un importante efecto sobre la economía en general.</w:t>
      </w:r>
    </w:p>
    <w:p w:rsidR="00A90898" w:rsidRDefault="00A90898" w:rsidP="00A90898">
      <w:pPr>
        <w:pStyle w:val="TextoNormal"/>
      </w:pPr>
    </w:p>
    <w:p w:rsidR="00A90898" w:rsidRDefault="00A90898" w:rsidP="00A90898">
      <w:pPr>
        <w:pStyle w:val="TextoNormal"/>
      </w:pPr>
      <w:r>
        <w:t xml:space="preserve">Afirma, a continuación, que el aumento de la jornada de trabajo no retribuido que dispone la norma estatal de contraste no repercute, siquiera mediatamente, en la contención del gasto público, ya que requiere que concurran otros elementos y circunstancias para que ello ocurra, a diferencia de otras medidas en materia de empleo público como la congelación de las retribuciones de los empleados públicos y las restricciones a la oferta de empleo público que, éstas si, tienen una incidencia directa y relevante en la disminución del gasto público, al impedir la utilización de las partidas presupuestarias correspondientes para los incrementos retributivos o para la provisión de nuevos puestos de trabajo. En conclusión, a su juicio, la disposición adicional septuagésima primera de la Ley 2/2012, invocada en el recurso de inconstitucionalidad para alegar la invasión de la competencia estatal </w:t>
      </w:r>
      <w:r w:rsidRPr="00A90898">
        <w:rPr>
          <w:i/>
        </w:rPr>
        <w:t>ex</w:t>
      </w:r>
      <w:r>
        <w:t xml:space="preserve"> art. 149.1.13 CE por el art. 1 de la Ley de Castilla-La Mancha 7/2015, no regula condiciones económicas sino la extensión horaria de la jornada de trabajo sin aumento retributivo, por tanto en sí misma no constituye una regulación económica y así no concurre el presupuesto necesario para considerar la medida que articula la norma como esencial para el conjunto de la economía.</w:t>
      </w:r>
    </w:p>
    <w:p w:rsidR="00A90898" w:rsidRDefault="00A90898" w:rsidP="00A90898">
      <w:pPr>
        <w:pStyle w:val="TextoNormal"/>
      </w:pPr>
    </w:p>
    <w:p w:rsidR="00A90898" w:rsidRDefault="00A90898" w:rsidP="00A90898">
      <w:pPr>
        <w:pStyle w:val="TextoNormal"/>
      </w:pPr>
      <w:r>
        <w:t>e) El escrito insta la desestimación del recurso y, mediante otrosí, que se levante la suspensión del precepto legal recurrido.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La Letrada de la Junta de Comunidades de Castilla-La Mancha presentó sus alegaciones el 9 de junio de 2016, que, de modo extractado, son las siguientes:</w:t>
      </w:r>
    </w:p>
    <w:p w:rsidR="00A90898" w:rsidRDefault="00A90898" w:rsidP="00A90898">
      <w:pPr>
        <w:pStyle w:val="TextoNormal"/>
      </w:pPr>
    </w:p>
    <w:p w:rsidR="00A90898" w:rsidRDefault="00A90898" w:rsidP="00A90898">
      <w:pPr>
        <w:pStyle w:val="TextoNormal"/>
      </w:pPr>
      <w:r>
        <w:t>a) Alega que la norma impugnada no ha infringido el art. 149.1.13 CE. Después de referir la doctrina constitucional relevante acerca de este título competencial, afirma que la disposición adicional septuagésima primera de la Ley 2/2012 no halla cobertura en él, pues “establece una regulación general y permanente de la duración de la jornada de trabajo en el sector público con carácter mínimo. Se trata, pues, de una regulación material y sustantiva de las condiciones de trabajo de los empleados del sector público sin efectos retributivos. Por otra parte, la ampliación no retribuida de la jornada de trabajo no constituye una limitación directa del gasto público, ya que no tiene un efecto en el gasto efectivo, sino que se sitúa en el ámbito de la necesidad de gasto, limitándola. Y entre esta última y la primera no existe una correlación lineal, sino que el gasto efectivo se da en función de una multiplicidad de factores de muy variada naturaleza”.</w:t>
      </w:r>
    </w:p>
    <w:p w:rsidR="00A90898" w:rsidRDefault="00A90898" w:rsidP="00A90898">
      <w:pPr>
        <w:pStyle w:val="TextoNormal"/>
      </w:pPr>
    </w:p>
    <w:p w:rsidR="00A90898" w:rsidRDefault="00A90898" w:rsidP="00A90898">
      <w:pPr>
        <w:pStyle w:val="TextoNormal"/>
      </w:pPr>
      <w:r>
        <w:t>b) Sostiene también que la Ley autonómica recurrida no ha infringido el art. 149.1.18 CE. Sus argumentos, reseñados en el mismo orden que aparecen en la contestación, son:</w:t>
      </w:r>
    </w:p>
    <w:p w:rsidR="00A90898" w:rsidRDefault="00A90898" w:rsidP="00A90898">
      <w:pPr>
        <w:pStyle w:val="TextoNormal"/>
      </w:pPr>
    </w:p>
    <w:p w:rsidR="00A90898" w:rsidRDefault="00A90898" w:rsidP="00A90898">
      <w:pPr>
        <w:pStyle w:val="TextoNormal"/>
      </w:pPr>
      <w:r>
        <w:t>La disposición adicional septuagésima primera de la Ley 2/2012, que es la norma estatal que se ofrece de contraste, no halla cobertura en la competencia estatal sobre las bases del régimen estatutario de los funcionarios porque su regulación “no dejaría espacio normativo a la Junta de Comunidades de Castilla-La Mancha para determinar la jornada de sus empleados públicos, que permitiese adecuarla a sus medios y a sus fines, de conformidad con las políticas de personal que en ejercicio de su competencia legislativa puede llevar a cabo para el cumplimiento del servicio público a la ciudadanía en diversos ámbitos competenciales (sanidad, educación, servicios sociales...)”.</w:t>
      </w:r>
    </w:p>
    <w:p w:rsidR="00A90898" w:rsidRDefault="00A90898" w:rsidP="00A90898">
      <w:pPr>
        <w:pStyle w:val="TextoNormal"/>
      </w:pPr>
    </w:p>
    <w:p w:rsidR="00A90898" w:rsidRDefault="00A90898" w:rsidP="00A90898">
      <w:pPr>
        <w:pStyle w:val="TextoNormal"/>
      </w:pPr>
      <w:r>
        <w:t>La normativa básica en materia de función pública, tanto la Ley 7/2007 como las normas anteriores, “nunca han establecido una cuantificación concreta y homogénea de la jornada laboral para todos les empleados del Sector público. En este sentido, las diferentes administraciones públicas, incluida la Administración del Estado respecto a sus funcionarios, han regulado con normativa propia y con plena libertad la cuantificación de la jornada laboral de los empleados públicos a su servicio”. Coherentemente, la Comunidad de Castilla-La Mancha fijó en la Ley 1/2012 la duración de la jornada de trabajo del personal del sector público en 37 horas y media semanales, sin que el Estado suscitase ningún problema de constitucionalidad. Esta Ley es la que ahora modifica el precepto autonómico impugnado.</w:t>
      </w:r>
    </w:p>
    <w:p w:rsidR="00A90898" w:rsidRDefault="00A90898" w:rsidP="00A90898">
      <w:pPr>
        <w:pStyle w:val="TextoNormal"/>
      </w:pPr>
    </w:p>
    <w:p w:rsidR="00A90898" w:rsidRDefault="00A90898" w:rsidP="00A90898">
      <w:pPr>
        <w:pStyle w:val="TextoNormal"/>
      </w:pPr>
      <w:r>
        <w:t>Mediante Real Decreto Legislativo 5/2015 se han refundido todas las normas estatales vigentes relativas al régimen jurídico del personal al servicio del sector público, recogiéndose en punto a la jornada de trabajo solamente los arts. 47 y 51 de la Ley 7/2007, por lo que, a juicio de esta parte, la disposición adicional septuagésima primera de la Ley 2/2012 debe entenderse tácitamente derogada, lo que conlleva que este precepto estatal decaiga como parámetro de control de constitucionalidad.</w:t>
      </w:r>
    </w:p>
    <w:p w:rsidR="00A90898" w:rsidRDefault="00A90898" w:rsidP="00A90898">
      <w:pPr>
        <w:pStyle w:val="TextoNormal"/>
      </w:pPr>
    </w:p>
    <w:p w:rsidR="00A90898" w:rsidRDefault="00A90898" w:rsidP="00A90898">
      <w:pPr>
        <w:pStyle w:val="TextoNormal"/>
      </w:pPr>
      <w:r>
        <w:t xml:space="preserve">La disposición adicional septuagésima primera de la Ley 2/2012 no respeta el mandato del art. 134.2 CE. Alega que “al no prever incremento retributivo, la regulación de esta disposición no tiene contenido económico, por ello no está incluida ni en una previsión de ingresos, ni en una habilitación de gastos, por tanto no forma parte del contenido esencial e </w:t>
      </w:r>
      <w:r>
        <w:lastRenderedPageBreak/>
        <w:t>indisponible de la Ley de presupuestos. También queda demostrado que tampoco incide en la política de ingresos y gastos del sector público estatal ni la condiciona, a diferencia de lo que sucede con la reducción de retribuciones y la limitación de la oferta pública de empleo. En fin, no tiene una conexión directa con los ingresos o los gastos del Estado, por ello tampoco puede formar parte del contenido eventual de la Ley de presupuestos."</w:t>
      </w:r>
    </w:p>
    <w:p w:rsidR="00A90898" w:rsidRDefault="00A90898" w:rsidP="00A90898">
      <w:pPr>
        <w:pStyle w:val="TextoNormal"/>
      </w:pPr>
    </w:p>
    <w:p w:rsidR="00A90898" w:rsidRDefault="00A90898" w:rsidP="00A90898">
      <w:pPr>
        <w:pStyle w:val="TextoNormal"/>
      </w:pPr>
      <w:r>
        <w:t>c) Rechaza, en fin, que la Ley autonómica recurrida haya infringido el art. 149.1.7 CE. Aduce que “la fijación de la jornada laboral de 37 horas y 30 minutos como un mínimo de aplicación al personal laboral del sector público de todas las Administraciones, no forma parte de la regulación directa de las relaciones entre el trabajador y su empleador, y, por tanto, no se encuentra esta determinación en el objeto que la jurisprudencia constitucional ha atribuido como propio de la legislación laboral del Estado a que se refiere el art. 149.1.7 CE. Se trata de una materia propia del ámbito de cada Administración en la ordenación de sus servicios, y como tal la Comunidad de Castilla-La Mancha la estableció y fijo, en 37 horas y 30 minutos en el art. 1 de la Ley 1/2012 y la ha modificado en el art 1 de la Ley 7/2015”.</w:t>
      </w:r>
    </w:p>
    <w:p w:rsidR="00A90898" w:rsidRDefault="00A90898" w:rsidP="00A90898">
      <w:pPr>
        <w:pStyle w:val="TextoNormal"/>
      </w:pPr>
    </w:p>
    <w:p w:rsidR="00A90898" w:rsidRDefault="00A90898" w:rsidP="00A90898">
      <w:pPr>
        <w:pStyle w:val="TextoNormal"/>
      </w:pPr>
      <w:r>
        <w:t>d) El escrito insta la desestimación del recurso y, mediante otrosí, que se levante la suspensión del precepto legal recurrido.</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13 de junio de 2016, el Pleno del Tribunal acordó dar audiencia al Abogado del Estado para que, en el plazo de cinco días, expusiera lo que tuviese por conveniente sobre el mantenimiento o levantamiento de la suspensión de la norma recurrida, lo que hizo mediante escrito registrado el 21 de junio de 2016 en el que insta que se mantenga la suspensión de la misma.</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20 de septiembre se señaló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Este proceso constitucional se interpone por el Abogado del Estado, en nombre del Presidente del Gobierno, contra el art. 1 de la Ley de las Cortes de Castilla-La Mancha 7/2015, de 2 de diciembre, por la que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 La Mancha (en adelante, Ley de Castilla-La Mancha 7/2015).</w:t>
      </w:r>
    </w:p>
    <w:p w:rsidR="00A90898" w:rsidRDefault="00A90898" w:rsidP="00A90898">
      <w:pPr>
        <w:pStyle w:val="TextoNormal"/>
      </w:pPr>
    </w:p>
    <w:p w:rsidR="00A90898" w:rsidRDefault="00A90898" w:rsidP="00A90898">
      <w:pPr>
        <w:pStyle w:val="TextoNormal"/>
      </w:pPr>
      <w:r>
        <w:t xml:space="preserve">La demanda razona que los tres apartados de la norma recurrida, al fijar en treinta y cinco horas semanales la jornada general de trabajo de tres tipos de personal del sector público autonómico (personal al servicio de la Administración de la Junta de Comunidades de Castilla-La Mancha; personal al servicio de las instituciones sanitarias del servicio de salud de Castilla-La Mancha; y personal de las entidades del sector público de la Administración de la Junta de Comunidades de Castilla-La Mancha), contradicen la jornada general de trabajo </w:t>
      </w:r>
      <w:r>
        <w:lastRenderedPageBreak/>
        <w:t>mínima de treinta y siete horas y media semanales del personal del sector público, incluido el personal estatutario, establecida en la disposición adicional septuagésima primera de la Ley 2/2012, de 29 de junio, de presupuestos generales del Estado para el año 2012, al amparo de los arts. 149.1.7, 149.1.13 y 149.1.18 CE, con lo que de un modo mediato invaden este ámbito competencial reservado al Estado.</w:t>
      </w:r>
    </w:p>
    <w:p w:rsidR="00A90898" w:rsidRDefault="00A90898" w:rsidP="00A90898">
      <w:pPr>
        <w:pStyle w:val="TextoNormal"/>
      </w:pPr>
    </w:p>
    <w:p w:rsidR="00A90898" w:rsidRDefault="00A90898" w:rsidP="00A90898">
      <w:pPr>
        <w:pStyle w:val="TextoNormal"/>
      </w:pPr>
      <w:r>
        <w:t>El Letrado Mayor de las Cortes de Castilla-La Mancha y la Letrada de la Junta de Comunidades de Castilla-La Mancha se oponen a la pretensión indicada. Sostienen, de un lado, que la disposición adicional septuagésima primera de la Ley 2/2012 no halla apoyo competencial en los arts. 149.1.7, 149.1.13 y 149.1.18 CE y, de otro, que el art. 1 de la Ley de Castilla-La Mancha 7/2015 es legítimo ejercicio de la competencia que su Estatuto de Autonomía atribuye a la Comunidad Autónoma de Castilla-La Mancha para organizar sus instituciones (artículo 31.1.1 “Organización, régimen y funcionamiento de sus instituciones de autogobierno”) y en especial el personal a su servicio (artículo 39.3 “Régimen estatutario de sus funcionarios”).</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resolver el fondo de la controversia suscitada, hay que considerar, por el efecto que ello tiene sobre su delimitación, la alegación que hacen valer tanto el Letrado Mayor de las Cortes de Castilla-La Mancha como la Letrada de la Junta de Comunidades de Castilla-La Mancha acerca de que la disposición adicional septuagésima primera de la Ley 2/2012 ha sido derogada por el Real Decreto Legislativo 5/2015, de 30 de octubre, por el que se aprueba el texto refundido de la Ley del estatuto básico del empleado público.</w:t>
      </w:r>
    </w:p>
    <w:p w:rsidR="00A90898" w:rsidRDefault="00A90898" w:rsidP="00A90898">
      <w:pPr>
        <w:pStyle w:val="TextoNormal"/>
      </w:pPr>
    </w:p>
    <w:p w:rsidR="00A90898" w:rsidRDefault="00A90898" w:rsidP="00A90898">
      <w:pPr>
        <w:pStyle w:val="TextoNormal"/>
      </w:pPr>
      <w:r>
        <w:t xml:space="preserve">La alegada derogación supondría, conforme a la reiterada doctrina de este Tribunal sobre el </w:t>
      </w:r>
      <w:r w:rsidRPr="00A90898">
        <w:rPr>
          <w:i/>
        </w:rPr>
        <w:t>ius superveniens</w:t>
      </w:r>
      <w:r>
        <w:t>, que el parámetro mediato de control constitucional de la norma autonómica recurrida no sería ya la disposición adicional septuagésima primera de la Ley 2/2012, pues no estaría vigente al tiempo del enjuiciamiento, sino los arts. 47 y 51 del Real Decreto Legislativo 5/2015, que por lo que aquí interesa no establecen ninguna cuantificación de la jornada de trabajo del personal al servicio del sector público.</w:t>
      </w:r>
    </w:p>
    <w:p w:rsidR="00A90898" w:rsidRDefault="00A90898" w:rsidP="00A90898">
      <w:pPr>
        <w:pStyle w:val="TextoNormal"/>
      </w:pPr>
    </w:p>
    <w:p w:rsidR="00A90898" w:rsidRDefault="00A90898" w:rsidP="00A90898">
      <w:pPr>
        <w:pStyle w:val="TextoNormal"/>
      </w:pPr>
      <w:r>
        <w:t>La cuestión que plantea esta alegación ya ha sido resuelta en la STC 99/2016, de 25 de mayo. El proceso decidido por esta Sentencia tenía por objeto la disposición adicional septuagésima primera de la Ley 2/2012, cuya inconstitucionalidad se postulaba por el Gobierno de Cataluña. El Tribunal en dicha Sentencia abordó el análisis del fondo del recurso y resolvió desestimarlo al considerar que la norma estatal no solo estaba vigente, sino que además constituía legítimo ejercicio de las competencias atribuidas al Estado en los números 7 y 18 del art. 149.1 CE.</w:t>
      </w:r>
    </w:p>
    <w:p w:rsidR="00A90898" w:rsidRDefault="00A90898" w:rsidP="00A90898">
      <w:pPr>
        <w:pStyle w:val="TextoNormal"/>
      </w:pPr>
    </w:p>
    <w:p w:rsidR="00A90898" w:rsidRDefault="00A90898" w:rsidP="00A90898">
      <w:pPr>
        <w:pStyle w:val="TextoNormal"/>
      </w:pPr>
      <w:r>
        <w:t>En fin, en virtud de los motivos indicados, la disposición adicional septuagésima primera de la Ley 2/2012, a pesar de haberse aprobado con posterioridad el Real Decreto Legislativo 5/2015, de 30 de octubre, está vigente en la actualidad, lo que conlleva en este proceso que sea el parámetro mediato de control conforme al que corresponde realizar el juicio de constitucionalidad que en este recurso se plantea.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La controversia sobre la que tenemos que resolver se encuadra en el ámbito del régimen jurídico del personal del sector público autonómico. Así lo ha resaltado la citada STC 99/2016, FJ 7, en la que se analizaba precisamente si la disposición adicional septuagésima primera de la Ley 2/2012, en tanto que impone una jornada general de trabajo mínima para </w:t>
      </w:r>
      <w:r>
        <w:lastRenderedPageBreak/>
        <w:t>todo el personal del sector público, incluido por tanto el sector público dependiente de una Comunidad Autónoma, constituye un ejercicio legítimo de competencias estatales. Descartamos, en consecuencia, como también hizo el Tribunal en la sentencia referida, la perspectiva de enjuiciamiento del art. 149.1.13 CE, que atiende más a la finalidad de contención del gasto que puede motivar una cierta delimitación de la jornada de trabajo.</w:t>
      </w:r>
    </w:p>
    <w:p w:rsidR="00A90898" w:rsidRDefault="00A90898" w:rsidP="00A90898">
      <w:pPr>
        <w:pStyle w:val="TextoNormal"/>
      </w:pPr>
    </w:p>
    <w:p w:rsidR="00A90898" w:rsidRDefault="00A90898" w:rsidP="00A90898">
      <w:pPr>
        <w:pStyle w:val="TextoNormal"/>
      </w:pPr>
      <w:r>
        <w:t xml:space="preserve">En el ámbito del régimen jurídico del personal del sector público autonómico inciden ciertas competencias estatales. En primer lugar, el Estado es competente </w:t>
      </w:r>
      <w:r w:rsidRPr="00A90898">
        <w:rPr>
          <w:i/>
        </w:rPr>
        <w:t>ex</w:t>
      </w:r>
      <w:r>
        <w:t xml:space="preserve"> art. 149.1.18 CE para establecer la regulación básica de los derechos y deberes del personal del sector público que tenga la condición de funcionario, incluido el que forme parte de la función pública autonómica. Así lo ha declarado este Tribunal en relación a la determinación básica de sus retribuciones (SSTC 96/1990, de 24 de mayo, FJ 3; 237/1992, de 15 de diciembre, FJ 4; 103/1997, de 22 de mayo, FJ 2, y 148/2006, de 11 de mayo, FJ 6, entre otras), de sus permisos y vacaciones (STC 156/2015, de 9 de julio, FJ 8) y, últimamente, de su jornada de trabajo (STC 99/2016,de 25 de mayo, FJ 7).</w:t>
      </w:r>
    </w:p>
    <w:p w:rsidR="00A90898" w:rsidRDefault="00A90898" w:rsidP="00A90898">
      <w:pPr>
        <w:pStyle w:val="TextoNormal"/>
      </w:pPr>
    </w:p>
    <w:p w:rsidR="00A90898" w:rsidRDefault="00A90898" w:rsidP="00A90898">
      <w:pPr>
        <w:pStyle w:val="TextoNormal"/>
      </w:pPr>
      <w:r>
        <w:t>En segundo lugar, en cuanto al personal del sector público autonómico que tenga un vínculo laboral cobra relevancia la competencia exclusiva que atribuye al Estado el art. 149.1.7 CE en materia de legislación laboral. La citada STC 99/2016, FJ 7, ha resuelto “que el título competencial ‘legislación laboral’ tiene ‘un sentido concreto y restringido, coincidente por lo demás con la relación que media entre los trabajadores que presten servicios retribuidos por cuenta ajena y los empresarios’ (SSTC 35/1982, de 14 de junio, FJ 2; y 95/2002, de 25 de abril, FJ 8, entre otras muchas, y, en el mismo sentido, ATC 228/2015, de 15 de diciembre, FJ 4). En esta materia se incluye la regulación de un elemento esencial del contrato de trabajo como es el tiempo de prestación de servicios (STC 228/2012, de 29 de noviembre, FJ 3, con cita de la STC 7/1985, de 25 de enero, FJ 2)”.</w:t>
      </w:r>
    </w:p>
    <w:p w:rsidR="00A90898" w:rsidRDefault="00A90898" w:rsidP="00A90898">
      <w:pPr>
        <w:pStyle w:val="TextoNormal"/>
      </w:pPr>
    </w:p>
    <w:p w:rsidR="00A90898" w:rsidRDefault="00A90898" w:rsidP="00A90898">
      <w:pPr>
        <w:pStyle w:val="TextoNormal"/>
      </w:pPr>
      <w:r>
        <w:t xml:space="preserve">En este ámbito material —el del régimen jurídico del personal del sector público autonómico— también concurren competencias autonómicas junto con las estatales indicadas. Compete a las Comunidades Autónomas, respecto de aquella parte de su personal que tenga la condición de funcionario, el desarrollo legislativo de la regulación básica estatal </w:t>
      </w:r>
      <w:r w:rsidRPr="00A90898">
        <w:rPr>
          <w:i/>
        </w:rPr>
        <w:t>ex</w:t>
      </w:r>
      <w:r>
        <w:t xml:space="preserve"> art. 149.1.18 CE y su ejecución (STC 156/2015, de 9 de julio, FJ 8). Por su parte, cuando se trata de personal laboral a su servicio les incumbe la ejecución de la legislación laboral aprobada por el Estado </w:t>
      </w:r>
      <w:r w:rsidRPr="00A90898">
        <w:rPr>
          <w:i/>
        </w:rPr>
        <w:t>ex</w:t>
      </w:r>
      <w:r>
        <w:t xml:space="preserve"> art. 149.1.7 CE. En el ejercicio de estas atribuciones, dada la naturaleza propia de las funciones de desarrollo legislativo y de ejecución, las Comunidades Autónomas no pueden desconocer la legislación que el Estado haya dictado legítimamente con apoyo en las cláusulas 7 y 18 del art. 149.1 CE.</w:t>
      </w:r>
    </w:p>
    <w:p w:rsidR="00A90898" w:rsidRDefault="00A90898" w:rsidP="00A90898">
      <w:pPr>
        <w:pStyle w:val="TextoNormal"/>
      </w:pPr>
    </w:p>
    <w:p w:rsidR="00A90898" w:rsidRDefault="00A90898" w:rsidP="00A90898">
      <w:pPr>
        <w:pStyle w:val="TextoNormal"/>
      </w:pPr>
      <w:r>
        <w:t xml:space="preserve">Corresponde también a las Comunidades Autónomas, esta vez respecto de todo el personal a su servicio, independientemente de que su vínculo sea funcionarial o laboral, y en virtud de las competencias que sus Estatutos les reconozcan para organizar sus instituciones en general, y el personal a su servicio en particular, la determinación de las condiciones concretas de trabajo de dicho personal (AATC 55/2016, de 1 de marzo, FJ 5; 83/2016, de 26 de abril, FJ 3, y STC 99/2016, FJ 7). Ahora bien, el ejercicio que cada Comunidad Autónoma haga de esta competencia se entiende “sin perjuicio de las competencias estatales </w:t>
      </w:r>
      <w:r w:rsidRPr="00A90898">
        <w:rPr>
          <w:i/>
        </w:rPr>
        <w:t>ex</w:t>
      </w:r>
      <w:r>
        <w:t xml:space="preserve"> art. 149.1 CE” (STC 99/2016, FJ 7), esto es, será un ejercicio constitucionalmente legítimo mientras no desconozca o menoscabe las decisiones que el Estado pueda adoptar en virtud de sus competencias propias, entre las que destacan por lo que hace a esta materia, </w:t>
      </w:r>
      <w:r>
        <w:lastRenderedPageBreak/>
        <w:t xml:space="preserve">como antes se ha razonado </w:t>
      </w:r>
      <w:r w:rsidRPr="00A90898">
        <w:rPr>
          <w:i/>
        </w:rPr>
        <w:t>in extenso</w:t>
      </w:r>
      <w:r>
        <w:t>, las que le atribuyen las cláusulas 7 y 18 del art. 149.1 CE.</w:t>
      </w:r>
    </w:p>
    <w:p w:rsidR="00A90898" w:rsidRDefault="00A90898" w:rsidP="00A90898">
      <w:pPr>
        <w:pStyle w:val="TextoNormal"/>
      </w:pPr>
    </w:p>
    <w:p w:rsidR="00A90898" w:rsidRDefault="00A90898" w:rsidP="00A90898">
      <w:pPr>
        <w:pStyle w:val="TextoNormal"/>
      </w:pPr>
      <w:r w:rsidRPr="00A90898">
        <w:rPr>
          <w:rStyle w:val="NumeroAFNegritaCaracter"/>
        </w:rPr>
        <w:t>4</w:t>
      </w:r>
      <w:r>
        <w:t>. Procede, conforme al reparto constitucional de competencias descrito en el fundamento jurídico anterior, enjuiciar la controversia planteada en el recurso.</w:t>
      </w:r>
    </w:p>
    <w:p w:rsidR="00A90898" w:rsidRDefault="00A90898" w:rsidP="00A90898">
      <w:pPr>
        <w:pStyle w:val="TextoNormal"/>
      </w:pPr>
    </w:p>
    <w:p w:rsidR="00A90898" w:rsidRDefault="00A90898" w:rsidP="00A90898">
      <w:pPr>
        <w:pStyle w:val="TextoNormal"/>
      </w:pPr>
      <w:r>
        <w:t>La demanda postula una suerte de inconstitucionalidad mediata. Razona que la disposición adicional septuagésima primera de la Ley 2/2012, que en opinión del demandante es legítimo ejercicio de las competencias estatales atribuidas por los números 7 y 18 del art. 149.1 CE, resultaría contradicha de un modo insalvable por el art. 1 de la Ley de Castilla-La Mancha 7/2015.</w:t>
      </w:r>
    </w:p>
    <w:p w:rsidR="00A90898" w:rsidRDefault="00A90898" w:rsidP="00A90898">
      <w:pPr>
        <w:pStyle w:val="TextoNormal"/>
      </w:pPr>
    </w:p>
    <w:p w:rsidR="00A90898" w:rsidRDefault="00A90898" w:rsidP="00A90898">
      <w:pPr>
        <w:pStyle w:val="TextoNormal"/>
      </w:pPr>
      <w:r>
        <w:t>Las contestaciones del Letrado Mayor de las Cortes de Castilla-La Mancha y de la Letrada de la Junta de Comunidades de Castilla-La Mancha se oponen a la premisa de ese planteamiento, pues sostienen que la disposición adicional septuagésima primera de la Ley 2/2012 no encuentra soporte en ninguna de las competencias estatales referidas. Ambas contestaciones argumentan, como una prueba más del acierto de la interpretación que defienden, que la normativa estatal que con carácter previo a la Ley 2/2012 había regulado con apoyo en dichos títulos competenciales el régimen del personal al servicio del sector público, en especial los arts. 47 y 51 de la Ley 7/2007, no había incidido en la determinación de la jornada de trabajo.</w:t>
      </w:r>
    </w:p>
    <w:p w:rsidR="00A90898" w:rsidRDefault="00A90898" w:rsidP="00A90898">
      <w:pPr>
        <w:pStyle w:val="TextoNormal"/>
      </w:pPr>
    </w:p>
    <w:p w:rsidR="00A90898" w:rsidRDefault="00A90898" w:rsidP="00A90898">
      <w:pPr>
        <w:pStyle w:val="TextoNormal"/>
      </w:pPr>
      <w:r>
        <w:t>Esta discrepancia ha sido resuelta por este Tribunal en la citada STC 99/2016, FJ 7, reconociendo que dicha norma del Estado es legítimo ejercicio de las competencias que a éste le asisten en virtud de las cláusulas 7 y 18 del art. 149.1 CE con base en las siguientes razones:</w:t>
      </w:r>
    </w:p>
    <w:p w:rsidR="00A90898" w:rsidRDefault="00A90898" w:rsidP="00A90898">
      <w:pPr>
        <w:pStyle w:val="TextoNormal"/>
      </w:pPr>
    </w:p>
    <w:p w:rsidR="00A90898" w:rsidRDefault="00A90898" w:rsidP="00A90898">
      <w:pPr>
        <w:pStyle w:val="TextoNormal"/>
      </w:pPr>
      <w:r>
        <w:t xml:space="preserve">“7. …Recordemos que, de acuerdo con el art. 149.1.18 CE y la doctrina constitucional que lo ha interpretado, el Estado tiene competencia para establecer las bases del régimen estatutario de los funcionarios públicos, expresión que ha de entenderse referida a los de todas las Administraciones públicas, incluyendo materialmente en su ámbito, en principio, la normación relativa ‘a los derechos y deberes y responsabilidad de los funcionarios’ (por todas, STC 165/2013, de 26 de septiembre, FJ 13). No cabe duda de que la fijación de la duración mínima de la jornada de trabajo constituye una previsión integrada en la esfera ‘de los derechos y deberes’ de los funcionarios (STC 163/2012, de 20 de septiembre, FFJJ 6 y 9), quedando justificada su determinación por el Estado como normativa básica en tanto estamos ante una medida que garantiza una mínima homogeneidad en un aspecto central del régimen estatutario funcionarial como es el tiempo de trabajo o dedicación exigible a todo funcionario, sin que además el legislador haya establecido límite en cuanto a su período de aplicación (STC 156/2015, de 9 de julio, FJ 8). No olvidemos también que ‘[e]ste Tribunal ya ha tenido ocasión de declarar ‘como principio básico la utilización racional del funcionariado existente’, así como ‘básicas aquellas normas que sean necesarias para garantizar la efectividad de dicho principio’ (STC 76/1983, de 5 de agosto, FJ 42)’ (STC 8/2010, de 27 de abril, FJ 4). Asimismo, el hecho de que la previsión examinada no se hubiera contemplado en el estatuto básico del empleado público no constituye obstáculo para que, en virtud de la competencia normativa indicada, el legislador estatal proceda a su posterior incorporación en la disposición ahora cuestionada, debiendo recordar que, según este Tribunal ha </w:t>
      </w:r>
      <w:r>
        <w:lastRenderedPageBreak/>
        <w:t>señalado, ‘siendo mudables las bases (STC 1/2003, de 16 de enero), también lo es, en correspondencia inevitable, el ámbito disponible por la legislación de desarrollo’ (STC 31/2010, de 28 de junio, FJ 60)…</w:t>
      </w:r>
    </w:p>
    <w:p w:rsidR="00A90898" w:rsidRDefault="00A90898" w:rsidP="00A90898">
      <w:pPr>
        <w:pStyle w:val="TextoNormal"/>
      </w:pPr>
    </w:p>
    <w:p w:rsidR="00A90898" w:rsidRDefault="00A90898" w:rsidP="00A90898">
      <w:pPr>
        <w:pStyle w:val="TextoNormal"/>
      </w:pPr>
      <w:r>
        <w:t xml:space="preserve">Por su parte, en cuanto al personal laboral del sector público, ha de tenerse en cuenta que el art. 149.1.7 CE atribuye al Estado la competencia exclusiva sobre legislación laboral. El Tribunal tiene establecido que el título competencial ‘legislación laboral’ tiene ‘un sentido concreto y restringido, coincidente por lo demás con … la relación que media entre los trabajadores que presten servicios retribuidos por cuenta ajena y los empresarios’ (SSTC 35/1982, de 14 de junio, FJ 2, y 95/2002, de 25 de abril, FJ 8, entre otras muchas, y, en el mismo sentido, ATC 228/2015, de 15 de diciembre, FJ 4). En esta materia se incluye la regulación de un elemento esencial del contrato de trabajo como es el tiempo de prestación de servicios (STC 228/2012, de 29 de noviembre, FJ 3, con cita de la STC 7/1985, de 25 de enero, FJ 2). El precepto regula así con carácter general un aspecto de la relación laboral, específicamente en relación a los trabajadores del sector público, y lo hace mediante la fijación de una jornada mínima, lo que conlleva, por su propia naturaleza, una prohibición de que la jornada laboral en el sector público pueda ser inferior a treinta y siete horas y media semanales de trabajo efectivo de promedio en cómputo anual. Regulación que, por otra parte, no impide que, respetando esa prohibición, las Comunidades Autónomas, en el marco de sus competencias para la organización de su propio personal laboral, puedan adoptar las decisiones que estimen oportunas sobre las condiciones de trabajo de ese personal, sin perjuicio de las competencias estatales </w:t>
      </w:r>
      <w:r w:rsidRPr="00A90898">
        <w:rPr>
          <w:i/>
        </w:rPr>
        <w:t>ex</w:t>
      </w:r>
      <w:r>
        <w:t xml:space="preserve"> art. 149.1 CE (en un sentido similar, ATC 55/2016, FJ 5)…</w:t>
      </w:r>
    </w:p>
    <w:p w:rsidR="00A90898" w:rsidRDefault="00A90898" w:rsidP="00A90898">
      <w:pPr>
        <w:pStyle w:val="TextoNormal"/>
      </w:pPr>
    </w:p>
    <w:p w:rsidR="00A90898" w:rsidRDefault="00A90898" w:rsidP="00A90898">
      <w:pPr>
        <w:pStyle w:val="TextoNormal"/>
      </w:pPr>
      <w:r>
        <w:t>Además, el carácter mínimo de la jornada prevista en la norma cuestionada deja todavía margen de maniobra a las Comunidades Autónomas para el ejercicio de su competencia en este ámbito, pues el precepto estatal no cierra ni la posibilidad de ampliar la duración fijada dentro de los topes permitidos, ni tampoco la determinación de los criterios de organización y distribución del tiempo de trabajo que finalmente se establezca (así, en la STC 156/2015, FJ 8, en relación a la duración de permisos o licencias de los funcionarios públicos).”</w:t>
      </w:r>
    </w:p>
    <w:p w:rsidR="00A90898" w:rsidRDefault="00A90898" w:rsidP="00A90898">
      <w:pPr>
        <w:pStyle w:val="TextoNormal"/>
      </w:pPr>
    </w:p>
    <w:p w:rsidR="00A90898" w:rsidRDefault="00A90898" w:rsidP="00A90898">
      <w:pPr>
        <w:pStyle w:val="TextoNormal"/>
      </w:pPr>
      <w:r>
        <w:t>Las contestaciones del Letrado Mayor de las Cortes de Castilla-La Mancha y de la Letrada de la Junta de Comunidades de Castilla-La Mancha se oponen a la premisa en que se funda el planteamiento de la demanda —que la disposición adicional septuagésima primera de la Ley 2/2012 es legítimo ejercicio de las competencias estatales atribuidas por los números 7 y 18 del art. 149.1 CE— por un segundo motivo. Consideran que la disposición adicional septuagésima primera de la Ley 2/2012 es inconstitucional porque su mandato normativo no reúne las condiciones para formar parte de una ley de presupuestos, objeción que también ha sido descartada por la STC 99/2016, FJ 8, en los siguientes términos:</w:t>
      </w:r>
    </w:p>
    <w:p w:rsidR="00A90898" w:rsidRDefault="00A90898" w:rsidP="00A90898">
      <w:pPr>
        <w:pStyle w:val="TextoNormal"/>
      </w:pPr>
    </w:p>
    <w:p w:rsidR="00A90898" w:rsidRDefault="00A90898" w:rsidP="00A90898">
      <w:pPr>
        <w:pStyle w:val="TextoNormal"/>
      </w:pPr>
      <w:r>
        <w:t xml:space="preserve">“8… la jornada mínima de trabajo que el legislador introduce para el personal del sector público va acompañada en la norma cuestionada por la previsión expresa de que las modificaciones de jornada que se lleven a cabo para adaptarse a esta medida ‘no supondrán incremento retributivo alguno’, encontrándonos ante una previsión que, en su conjunto tiene la evidente finalidad de contribuir a la contención del gasto público. No existe duda, por tanto, de que la disposición impugnada tiene una conexión directa con los gastos del Estado y con los criterios de política económica, pues, al tiempo que prohíbe establecer incrementos retributivos en el supuesto regulado, potencia el ahorro económico en la cobertura de las </w:t>
      </w:r>
      <w:r>
        <w:lastRenderedPageBreak/>
        <w:t>necesidades de personal en el sector público. De este modo la regulación cuestionada es bien distinta a la enjuiciada en otros pronunciamientos… (SSTC 174/1998, 203/1998 y 234/1999), por lo que la conclusión a alcanzar ha de ser diferente, debiendo ahora declarar la idoneidad de la Ley de presupuestos generales del Estado para introducir la medida que aquí se controvierte (SSTC 63/1986, de 21 de mayo, FJ 12; y 96/1990, de 24 de mayo, FJ 4 —respecto a la fijación de límites máximos al aumento de retribuciones del personal del sector público—). Consiguientemente, hemos de desestimar la queja de que la disposición adicional septuagésima primera de la Ley 2/2012 vulnera el art. 134.2 CE.”</w:t>
      </w:r>
    </w:p>
    <w:p w:rsidR="00A90898" w:rsidRDefault="00A90898" w:rsidP="00A90898">
      <w:pPr>
        <w:pStyle w:val="TextoNormal"/>
      </w:pPr>
    </w:p>
    <w:p w:rsidR="00A90898" w:rsidRDefault="00A90898" w:rsidP="00A90898">
      <w:pPr>
        <w:pStyle w:val="TextoNormal"/>
      </w:pPr>
      <w:r>
        <w:t>En conclusión, de acuerdo con las razones expuestas, la disposición adicional septuagésima primera de la Ley 2/2012 es legítimo ejercicio de las competencias estatales atribuidas por los números 7 y 18 del art. 149.1 CE.</w:t>
      </w:r>
    </w:p>
    <w:p w:rsidR="00A90898" w:rsidRDefault="00A90898" w:rsidP="00A90898">
      <w:pPr>
        <w:pStyle w:val="TextoNormal"/>
      </w:pPr>
    </w:p>
    <w:p w:rsidR="00A90898" w:rsidRDefault="00A90898" w:rsidP="00A90898">
      <w:pPr>
        <w:pStyle w:val="TextoNormal"/>
      </w:pPr>
      <w:r w:rsidRPr="00A90898">
        <w:rPr>
          <w:rStyle w:val="NumeroAFNegritaCaracter"/>
        </w:rPr>
        <w:t>5</w:t>
      </w:r>
      <w:r>
        <w:t>. Este recurso suscita una segunda controversia, que versa sobre si las potestades que su Estatuto de Autonomía atribuye a la Comunidad Autónoma de Castilla-La Mancha para organizar sus instituciones en general [art. 31.1 l)], y en particular el personal a su servicio (art. 39.3), amparan la aprobación de la norma autonómica objeto de impugnación.</w:t>
      </w:r>
    </w:p>
    <w:p w:rsidR="00A90898" w:rsidRDefault="00A90898" w:rsidP="00A90898">
      <w:pPr>
        <w:pStyle w:val="TextoNormal"/>
      </w:pPr>
    </w:p>
    <w:p w:rsidR="00A90898" w:rsidRDefault="00A90898" w:rsidP="00A90898">
      <w:pPr>
        <w:pStyle w:val="TextoNormal"/>
      </w:pPr>
      <w:r>
        <w:t>Este Tribunal aprecia que el art. 1 de la Ley de Castilla-La Mancha 7/2015, en tanto que dispone que la duración de la jornada laboral del personal al servicio del sector público autonómico “será de treinta y cinco horas semanales de promedio en cómputo anual” y que las jornadas especiales del personal al servicio de las instituciones sanitarias autonómicas tendrán la misma duración salvo las modulaciones que le son propias, está determinando las condiciones concretas de trabajo de dicho personal, lo que, independientemente de que sea personal funcionario o laboral, incumbe a la Comunidad Autónoma de Castilla-La Mancha en virtud de sus competencias exclusivas de organización interna de sus instituciones (STC 99/2016, FJ 8; AATC 55/2016, FJ 5, y 83/2016, FJ 3).</w:t>
      </w:r>
    </w:p>
    <w:p w:rsidR="00A90898" w:rsidRDefault="00A90898" w:rsidP="00A90898">
      <w:pPr>
        <w:pStyle w:val="TextoNormal"/>
      </w:pPr>
    </w:p>
    <w:p w:rsidR="00A90898" w:rsidRDefault="00A90898" w:rsidP="00A90898">
      <w:pPr>
        <w:pStyle w:val="TextoNormal"/>
      </w:pPr>
      <w:r>
        <w:t xml:space="preserve">Ahora bien, como se destacó en las resoluciones de este Tribunal que acabamos de mencionar y se ha reiterado en el fundamento jurídico tercero de esta Sentencia, el ejercicio de esta competencia exclusiva autonómica para organizar sus propios servicios no puede desconocer las normas que el Estado haya podido aprobar en virtud de los títulos competenciales estatales que, según se ha reseñado </w:t>
      </w:r>
      <w:r w:rsidRPr="00A90898">
        <w:rPr>
          <w:i/>
        </w:rPr>
        <w:t>ut supra</w:t>
      </w:r>
      <w:r>
        <w:t xml:space="preserve"> en esta Sentencia, inciden en el ámbito material del régimen jurídico del personal del sector público autonómico.</w:t>
      </w:r>
    </w:p>
    <w:p w:rsidR="00A90898" w:rsidRDefault="00A90898" w:rsidP="00A90898">
      <w:pPr>
        <w:pStyle w:val="TextoNormal"/>
      </w:pPr>
    </w:p>
    <w:p w:rsidR="00A90898" w:rsidRDefault="00A90898" w:rsidP="00A90898">
      <w:pPr>
        <w:pStyle w:val="TextoNormal"/>
      </w:pPr>
      <w:r>
        <w:t>Entre estos títulos se cuenta, en los términos que han quedado expuestos, el de establecer las bases del régimen estatutario de los funcionarios (art. 149.1.18 CE) y el de aprobar la legislación laboral (art. 149.1.7 CE), competencias que, según se razonó en el fundamento jurídico cuarto, amparan la aprobación por el Estado de la disposición adicional septuagésima primera de la Ley 2/2012, en la que se prevé que la jornada general de trabajo del personal del sector público no podrá ser inferior a treinta y siete horas y media semanales de trabajo efectivo de promedio en cómputo anual, debiendo adecuarse también a este criterio las jornadas especiales.</w:t>
      </w:r>
    </w:p>
    <w:p w:rsidR="00A90898" w:rsidRDefault="00A90898" w:rsidP="00A90898">
      <w:pPr>
        <w:pStyle w:val="TextoNormal"/>
      </w:pPr>
    </w:p>
    <w:p w:rsidR="00A90898" w:rsidRDefault="00A90898" w:rsidP="00A90898">
      <w:pPr>
        <w:pStyle w:val="TextoNormal"/>
      </w:pPr>
      <w:r w:rsidRPr="00A90898">
        <w:rPr>
          <w:rStyle w:val="NumeroAFNegritaCaracter"/>
        </w:rPr>
        <w:t>6</w:t>
      </w:r>
      <w:r>
        <w:t>. Hay que analizar, por tanto, si hay una oposición insalvable entre el art. 1 de la Ley de Castilla-La Mancha 7/2015 y la disposición adicional septuagésima primera de la Ley 2/2012, o si el primero supone un menoscabo o detrimento para la plena eficacia del segundo.</w:t>
      </w:r>
    </w:p>
    <w:p w:rsidR="00A90898" w:rsidRDefault="00A90898" w:rsidP="00A90898">
      <w:pPr>
        <w:pStyle w:val="TextoNormal"/>
      </w:pPr>
    </w:p>
    <w:p w:rsidR="00A90898" w:rsidRDefault="00A90898" w:rsidP="00A90898">
      <w:pPr>
        <w:pStyle w:val="TextoNormal"/>
      </w:pPr>
      <w:r>
        <w:t>La norma estatal - la disposición adicional septuagésima primera de la Ley 2/2012 - dispone en su apartado Uno que la jornada general de trabajo del personal del Sector Público, que entre otros componentes comprende las Administraciones de las Comunidades Autónomas [apartado 1.a)] y las personas jurídicas públicas [apartados 1.c) y d)] y privadas [apartados 1.e) y f)] dependientes de ellas, no podrá ser inferior a treinta y siete horas y media semanales de trabajo efectivo de promedio en cómputo anual. Prevé también que las jornadas especiales existentes o que se puedan establecer, entre las que se cuentan las del personal al servicio de las instituciones sanitarias, experimentarán los cambios que fueran necesarios en su caso para adecuarse a la modificación general en la jornada ordinaria.</w:t>
      </w:r>
    </w:p>
    <w:p w:rsidR="00A90898" w:rsidRDefault="00A90898" w:rsidP="00A90898">
      <w:pPr>
        <w:pStyle w:val="TextoNormal"/>
      </w:pPr>
    </w:p>
    <w:p w:rsidR="00A90898" w:rsidRDefault="00A90898" w:rsidP="00A90898">
      <w:pPr>
        <w:pStyle w:val="TextoNormal"/>
      </w:pPr>
      <w:r>
        <w:t>Por su parte, el art. 1 de la Ley de Castilla-La Mancha 7/2015 introduce una regulación de la jornada general de trabajo del personal al servicio del sector público en treinta y cinco horas semanales en cómputo anual. Lo hace expresamente el artículo 1.1 (personal al servicio de la Administración de la Junta de Comunidades de Castilla-La Mancha) y el artículo 1.3 (personal de las entidades del sector público de la Administración de la Junta de Comunidades de Castilla-La Mancha). Ese también es el contenido normativo del artículo 1.2 respecto del personal al servicio de las instituciones sanitarias autonómicas, pues las 1.519 horas allí señaladas para el turno diurno [art.1.2.1 a)] se corresponden con multiplicar 35 horas por el número de semanas que se trabaja al año. Correlativamente, las 1.450 horas del turno nocturno [art.1.2.1 b)] y las 1.491 horas del turno rotatorio [art.1.2.1 c)] responden al mismo cálculo, si bien que aplicándole una cierta modulación por las circunstancias especiales de dichos turnos. Lo mismo sucede con las jornadas especiales previstas en los apartados 3, 4 y 5 del art. 1.2.</w:t>
      </w:r>
    </w:p>
    <w:p w:rsidR="00A90898" w:rsidRDefault="00A90898" w:rsidP="00A90898">
      <w:pPr>
        <w:pStyle w:val="TextoNormal"/>
      </w:pPr>
    </w:p>
    <w:p w:rsidR="00A90898" w:rsidRDefault="00A90898" w:rsidP="00A90898">
      <w:pPr>
        <w:pStyle w:val="TextoNormal"/>
      </w:pPr>
      <w:r>
        <w:t>Este Tribunal aprecia a partir de los datos reseñados que la disposición adicional septuagésima primera de la Ley 2/2012, al imponer una jornada general de trabajo mínima de “treinta y siete horas y media semanales de trabajo efectivo de promedio en cómputo anual”, duración a la que se ajustarán también las jornadas especiales aun con las modulaciones que le sean propias, admite una norma autonómica que iguale o amplíe la duración de dichas jornadas laborales y también que señale los criterios de organización y distribución del tiempo de trabajo que finalmente se establezcan. Sin embargo, resulta incompatible con aquella norma estatal una norma autonómica que determine una duración de la jornada de trabajo que sea inferior, como sucede con el artículo 1 de la ley autonómica que es objeto de este recurso, que prevé que la jornada general de trabajo del personal del sector público autonómico será de treinta y cinco horas semanales de promedio en cómputo anual (artículo 1.1 y 1.3), así como que las jornadas especiales de las distintas modalidades de personal al servicio de las instituciones sanitarias autonómicas responderán igualmente a esta duración en términos anuales, si bien que con las modulaciones que son propias de cada una de ellas (art. 1.2).</w:t>
      </w:r>
    </w:p>
    <w:p w:rsidR="00A90898" w:rsidRDefault="00A90898" w:rsidP="00A90898">
      <w:pPr>
        <w:pStyle w:val="TextoNormal"/>
      </w:pPr>
    </w:p>
    <w:p w:rsidR="00A90898" w:rsidRDefault="00A90898" w:rsidP="00A90898">
      <w:pPr>
        <w:pStyle w:val="TextoNormal"/>
      </w:pPr>
      <w:r>
        <w:t>En conclusión, el art. 1 de la Ley autonómica 7/2015, a pesar de que los arts. 31.1.l y 39.3 de su Estatuto de Autonomía atribuyen a la Comunidad Autónoma de Castilla-La Mancha competencia para dictarlo, no resulta ser un ejercicio constitucionalmente legítimo de la misma porque desconoce una norma que el Estado ha aprobado en uso de las competencias que le corresponden sobre el ámbito material del régimen jurídico del personal del sector público autonómico, como es la disposición adicional septuagésima primera de la Ley 2/2012, que ha sido dictada al amparo de las cláusulas 7 y 18 del art. 149.1.1 CE.</w:t>
      </w:r>
    </w:p>
    <w:p w:rsidR="00A90898" w:rsidRDefault="00A90898" w:rsidP="00A90898">
      <w:pPr>
        <w:pStyle w:val="TextoNormal"/>
      </w:pPr>
    </w:p>
    <w:p w:rsidR="00A90898" w:rsidRDefault="00A90898" w:rsidP="00A90898">
      <w:pPr>
        <w:pStyle w:val="TextoNormal"/>
      </w:pPr>
      <w:r w:rsidRPr="00A90898">
        <w:rPr>
          <w:rStyle w:val="NumeroAFNegritaCaracter"/>
        </w:rPr>
        <w:t>7</w:t>
      </w:r>
      <w:r>
        <w:t>. Procede, en consecuencia, estimar este recurso y declarar la inconstitucionalidad y nulidad del art. 1 de la Ley de Castilla-La Mancha 7/2015, quedando sin objeto la pieza de suspensión tramitada al efecto.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y, en consecuencia, declarar la inconstitucionalidad y nulidad del art. 1 de la Ley de Castilla-La Mancha 7/2015, de 2 de diciembre, por la que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rsidP="00A90898">
      <w:pPr>
        <w:pStyle w:val="ParrafoNormal"/>
      </w:pPr>
    </w:p>
    <w:p w:rsidR="00A90898" w:rsidRDefault="00A90898" w:rsidP="00A90898">
      <w:pPr>
        <w:pStyle w:val="TextoNormalNegritaCentrado"/>
        <w:keepNext/>
      </w:pPr>
      <w:r>
        <w:t>Voto particular que formula el Magistrado don Fernando Valdés Dal-Ré a la Sentencia dictada en el recurso de inconstitucionalidad núm. 2165-2016, al que se adhieren la Magistrada doña Adela Asua Batarrita y el Magistrado don Juan Antonio Xiol Ríos.</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la mayoría del Tribunal, formula Voto particular tanto a la fundamentación como al fallo de esta Sentencia.</w:t>
      </w:r>
    </w:p>
    <w:p w:rsidR="00A90898" w:rsidRDefault="00A90898" w:rsidP="00A90898">
      <w:pPr>
        <w:pStyle w:val="TextoNormal"/>
      </w:pPr>
    </w:p>
    <w:p w:rsidR="00A90898" w:rsidRDefault="00A90898" w:rsidP="00A90898">
      <w:pPr>
        <w:pStyle w:val="TextoNormal"/>
      </w:pPr>
      <w:r>
        <w:t>Las razones de mi discrepancia son las que ya quedaron especificadas en mi Voto particular a la STC 99/2016, de 25 de mayo, dictada en el recurso de inconstitucionalidad núm. 1743-2013, que desestimó la impugnación de la disposición adicional septuagésima primera de la Ley 2/2012, de 29 de junio, de presupuestos generales del Estado para el año 2012.</w:t>
      </w:r>
    </w:p>
    <w:p w:rsidR="00A90898" w:rsidRDefault="00A90898" w:rsidP="00A90898">
      <w:pPr>
        <w:pStyle w:val="TextoNormal"/>
      </w:pPr>
    </w:p>
    <w:p w:rsidR="00A90898" w:rsidRDefault="00A90898" w:rsidP="00A90898">
      <w:pPr>
        <w:pStyle w:val="TextoNormal"/>
      </w:pPr>
      <w:r>
        <w:t xml:space="preserve">La estimación del presente recurso de inconstitucionalidad se basa enteramente en la contradicción del precepto autonómico recurrido con la citada norma estatal que, a mi juicio, ni puede ser considerada norma básica del régimen estatutario de los funcionarios públicos </w:t>
      </w:r>
      <w:r w:rsidRPr="00A90898">
        <w:rPr>
          <w:i/>
        </w:rPr>
        <w:t>ex</w:t>
      </w:r>
      <w:r>
        <w:t xml:space="preserve"> art. 149.1.18 CE, ni respeta los límites fijados por la jurisprudencia constitucional en relación con los límites de las leyes de presupuestos, derivados del art. 134.2 CE.</w:t>
      </w:r>
    </w:p>
    <w:p w:rsidR="00A90898" w:rsidRDefault="00A90898" w:rsidP="00A90898">
      <w:pPr>
        <w:pStyle w:val="TextoNormal"/>
      </w:pPr>
    </w:p>
    <w:p w:rsidR="00A90898" w:rsidRDefault="00A90898" w:rsidP="00A90898">
      <w:pPr>
        <w:pStyle w:val="TextoNormal"/>
      </w:pPr>
      <w:r>
        <w:t>Y en tal sentido emito este Voto particular.</w:t>
      </w:r>
    </w:p>
    <w:p w:rsidR="00A90898" w:rsidRDefault="00A90898" w:rsidP="00A90898">
      <w:pPr>
        <w:pStyle w:val="TextoNormal"/>
      </w:pPr>
    </w:p>
    <w:p w:rsidR="00A90898" w:rsidRDefault="00A90898" w:rsidP="00A90898">
      <w:pPr>
        <w:pStyle w:val="TextoNormal"/>
      </w:pPr>
      <w:r>
        <w:lastRenderedPageBreak/>
        <w:t>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8" w:name="SENTENCIA_2016_159"/>
      <w:r>
        <w:lastRenderedPageBreak/>
        <w:t>SENTENCIA 159/2016, de 22 de septiembre de 2016</w:t>
      </w:r>
    </w:p>
    <w:bookmarkEnd w:id="38"/>
    <w:p w:rsidR="00A90898" w:rsidRDefault="00A90898" w:rsidP="00A90898">
      <w:pPr>
        <w:pStyle w:val="TtuloResolucin"/>
      </w:pPr>
      <w:r>
        <w:t>Pleno</w:t>
      </w:r>
    </w:p>
    <w:p w:rsidR="00A90898" w:rsidRDefault="00A90898" w:rsidP="00A90898">
      <w:pPr>
        <w:pStyle w:val="TtuloBOE"/>
      </w:pPr>
      <w:r>
        <w:t>(BOE núm. 263, de 31 de octubre de 2016)</w:t>
      </w:r>
    </w:p>
    <w:p w:rsidR="00A90898" w:rsidRDefault="00A90898" w:rsidP="00A90898">
      <w:pPr>
        <w:pStyle w:val="TextoNormalCentrado"/>
      </w:pPr>
      <w:r>
        <w:t>ECLI:ES:TC:2016:159</w:t>
      </w:r>
    </w:p>
    <w:p w:rsidR="00A90898" w:rsidRDefault="00A90898" w:rsidP="00A90898">
      <w:pPr>
        <w:pStyle w:val="TextoNormalCentrado"/>
      </w:pPr>
    </w:p>
    <w:p w:rsidR="00A90898" w:rsidRDefault="00A90898" w:rsidP="00A90898">
      <w:pPr>
        <w:pStyle w:val="SntesisDescriptiva"/>
      </w:pPr>
      <w:r>
        <w:t>Recurso de inconstitucionalidad 2257-2016. Interpuesto por el Presidente del Gobierno en relación con diversos preceptos de la Ley del Parlamento de Cataluña 17/2015, de 21 de julio, de igualdad efectiva entre mujeres y hombres.</w:t>
      </w:r>
    </w:p>
    <w:p w:rsidR="00A90898" w:rsidRDefault="00A90898" w:rsidP="00A90898">
      <w:pPr>
        <w:pStyle w:val="SntesisDescriptiva"/>
      </w:pPr>
    </w:p>
    <w:p w:rsidR="00A90898" w:rsidRDefault="00A90898" w:rsidP="00A90898">
      <w:pPr>
        <w:pStyle w:val="SntesisAnaltica"/>
      </w:pPr>
      <w:r>
        <w:t>Competencias sobre legislación laboral: nulidad de los preceptos legales autonómicos relativos a la prevención del acoso sexual en las empresas, planes de igualdad en las empresas, responsables sindicales de igualdad, presencia de mujeres y hombres en la negociación colectiva, incorporación de la perspectiva de género en los expedientes de regulación de empleo y prevención de riesgos laborales.</w:t>
      </w:r>
    </w:p>
    <w:p w:rsidR="00A90898" w:rsidRDefault="00A90898" w:rsidP="00A90898">
      <w:pPr>
        <w:pStyle w:val="SntesisAnaltica"/>
      </w:pPr>
    </w:p>
    <w:p w:rsidR="00A90898" w:rsidRDefault="00A90898" w:rsidP="00A90898">
      <w:pPr>
        <w:pStyle w:val="Extracto"/>
      </w:pPr>
      <w:r>
        <w:t>1.</w:t>
      </w:r>
      <w:r>
        <w:tab/>
        <w:t>Sólo el Estado tiene competencia para imponer a las empresas y a los representantes de los trabajadores el deber de prevenir el acoso sexual y el acoso por razón de sexo en el trabajo, debiendo limitarse las Comunidades Autónomas a adoptar, en el ejercicio de sus competencias de ejecución, las medidas necesarias para garantizar su cumplimiento [FJ 3].</w:t>
      </w:r>
    </w:p>
    <w:p w:rsidR="00A90898" w:rsidRDefault="00A90898" w:rsidP="00A90898">
      <w:pPr>
        <w:pStyle w:val="Extracto"/>
      </w:pPr>
    </w:p>
    <w:p w:rsidR="00A90898" w:rsidRDefault="00A90898" w:rsidP="00A90898">
      <w:pPr>
        <w:pStyle w:val="Extracto"/>
      </w:pPr>
      <w:r>
        <w:t>2.</w:t>
      </w:r>
      <w:r>
        <w:tab/>
        <w:t xml:space="preserve">Por lo que se refiere a la consideración normativa sobre discriminación directa por razón de sexo el acoso sexual y el acoso por razón de sexo en el trabajo, no se reproduce ningún precepto de la Ley Orgánica 3/2007 por lo que no estamos ante un supuesto de </w:t>
      </w:r>
      <w:r w:rsidRPr="00A90898">
        <w:rPr>
          <w:i/>
        </w:rPr>
        <w:t>lex repetita</w:t>
      </w:r>
      <w:r>
        <w:t>. Ahora bien, como ya hemos señalado, nos encontramos con una regla que debe enmarcarse en materia laboral pues no se trata de considerar el acoso sexual o el acoso por razón de sexo sin más como discriminatorios, sino el acoso sexual y el acoso por razón de sexo que tienen lugar en el trabajo [FJ 3].</w:t>
      </w:r>
    </w:p>
    <w:p w:rsidR="00A90898" w:rsidRDefault="00A90898" w:rsidP="00A90898">
      <w:pPr>
        <w:pStyle w:val="Extracto"/>
      </w:pPr>
    </w:p>
    <w:p w:rsidR="00A90898" w:rsidRDefault="00A90898" w:rsidP="00A90898">
      <w:pPr>
        <w:pStyle w:val="Extracto"/>
      </w:pPr>
      <w:r>
        <w:t>3.</w:t>
      </w:r>
      <w:r>
        <w:tab/>
        <w:t xml:space="preserve">Los preceptos autonómicos que imponen la obligación de negociar planes de igualdad en las empresas de más de doscientos cincuenta trabajadores, en las que el convenio colectivo así lo establezca y cuando la autoridad laboral lo acuerde en un proceso sancionador, siendo voluntaria su elaboración en las demás empresas, constituyen un supuesto de </w:t>
      </w:r>
      <w:r w:rsidRPr="00A90898">
        <w:rPr>
          <w:i/>
        </w:rPr>
        <w:t>lex repetita</w:t>
      </w:r>
      <w:r>
        <w:t>, operación que debe declararse ilegítima cuando las Comunidades Autónomas carecen de toda competencia para legislar sobre una materia (SSTC 162/1996,  341/2005 [FJ 4].</w:t>
      </w:r>
    </w:p>
    <w:p w:rsidR="00A90898" w:rsidRDefault="00A90898" w:rsidP="00A90898">
      <w:pPr>
        <w:pStyle w:val="Extracto"/>
      </w:pPr>
    </w:p>
    <w:p w:rsidR="00A90898" w:rsidRDefault="00A90898" w:rsidP="00A90898">
      <w:pPr>
        <w:pStyle w:val="Extracto"/>
      </w:pPr>
      <w:r>
        <w:t>4.</w:t>
      </w:r>
      <w:r>
        <w:tab/>
        <w:t>El legislador estatal, al amparo del art. 149.1.7 CE, podría prever la creación de la figura del “Responsable sindical de igualdad”, pero no la Comunidad Autónoma; el Estatuto de los trabajadores prevé que el comité de empresa tendrá entre sus competencias ejercer una labor de vigilancia del respeto y aplicación del principio de igualdad de trato y de oportunidades entre mujeres y hombres [FJ 5].</w:t>
      </w:r>
    </w:p>
    <w:p w:rsidR="00A90898" w:rsidRDefault="00A90898" w:rsidP="00A90898">
      <w:pPr>
        <w:pStyle w:val="Extracto"/>
      </w:pPr>
    </w:p>
    <w:p w:rsidR="00A90898" w:rsidRDefault="00A90898" w:rsidP="00A90898">
      <w:pPr>
        <w:pStyle w:val="Extracto"/>
      </w:pPr>
      <w:r>
        <w:t>5.</w:t>
      </w:r>
      <w:r>
        <w:tab/>
        <w:t xml:space="preserve">La previsión normativa para que la Administración pública autonómica facilite programas de apoyo a la formación sindical para la negociación colectiva con perspectiva de género no invade las competencias del Estado en materia de legislación </w:t>
      </w:r>
      <w:r>
        <w:lastRenderedPageBreak/>
        <w:t>laboral, pues se trata de un mero criterio de actuación de la Administración pública autonómica encaminado a favorecer la inclusión de la perspectiva de género en la negociación colectiva, pero sin prever medidas específicas a adoptar al respecto [FJ 5].</w:t>
      </w:r>
    </w:p>
    <w:p w:rsidR="00A90898" w:rsidRDefault="00A90898" w:rsidP="00A90898">
      <w:pPr>
        <w:pStyle w:val="Extracto"/>
      </w:pPr>
    </w:p>
    <w:p w:rsidR="00A90898" w:rsidRDefault="00A90898" w:rsidP="00A90898">
      <w:pPr>
        <w:pStyle w:val="Extracto"/>
      </w:pPr>
      <w:r>
        <w:t>6.</w:t>
      </w:r>
      <w:r>
        <w:tab/>
        <w:t>El precepto autonómico que prevé que organizaciones empresariales y sindicales y los órganos de representación del personal en la empresa deben promover una representación paritaria de ambos sexos en la negociación colectiva mediante medidas de acción positiva, y que asimismo establece las condiciones en que la Administración debe efectuar el control de legalidad de los convenios, imponiendo a las empresas una determinada obligación en esa labor de control, en cuanto afecta a la regulación del derecho a la negociación colectiva debe declararse inconstitucional al invadir la competencia del Estado en materia laboral [FJ 6].</w:t>
      </w:r>
    </w:p>
    <w:p w:rsidR="00A90898" w:rsidRDefault="00A90898" w:rsidP="00A90898">
      <w:pPr>
        <w:pStyle w:val="Extracto"/>
      </w:pPr>
    </w:p>
    <w:p w:rsidR="00A90898" w:rsidRDefault="00A90898" w:rsidP="00A90898">
      <w:pPr>
        <w:pStyle w:val="Extracto"/>
      </w:pPr>
      <w:r>
        <w:t>7.</w:t>
      </w:r>
      <w:r>
        <w:tab/>
        <w:t>La imposición a la Administración autonómica de la obligación de velar por el respeto del derecho a la igualdad y a la no discriminación por razón de sexo en los expedientes de regulación de empleo, no prevé ningún procedimiento ni deriva ninguna consecuencia de esta previsión que en realidad constituye un principio general de actuación de los poderes públicos previsto con carácter general en el art. 14 de la Ley Orgánica 3/2007, de igualdad efectiva entre mujeres y hombres y, por lo tanto, no invade las competencias en materia laboral del Estado [FJ 7].</w:t>
      </w:r>
    </w:p>
    <w:p w:rsidR="00A90898" w:rsidRDefault="00A90898" w:rsidP="00A90898">
      <w:pPr>
        <w:pStyle w:val="Extracto"/>
      </w:pPr>
    </w:p>
    <w:p w:rsidR="00A90898" w:rsidRDefault="00A90898" w:rsidP="00A90898">
      <w:pPr>
        <w:pStyle w:val="Extracto"/>
      </w:pPr>
      <w:r>
        <w:t>8.</w:t>
      </w:r>
      <w:r>
        <w:tab/>
        <w:t>El precepto autonómico que establece la obligación de las empresas de formar al personal sobre la diferente exposición a los factores de riesgo según el sexo, así como sobre los riesgos para la fertilidad, el embarazo y la lactancia, en tanto que orienta la actividad formativa en el marco de la prevención de riesgos laborales, vulnera la competencia exclusiva del Estado en materia de legislación laboral [FJ 8].</w:t>
      </w:r>
    </w:p>
    <w:p w:rsidR="00A90898" w:rsidRDefault="00A90898" w:rsidP="00A90898">
      <w:pPr>
        <w:pStyle w:val="Extracto"/>
      </w:pPr>
    </w:p>
    <w:p w:rsidR="00A90898" w:rsidRDefault="00A90898" w:rsidP="00A90898">
      <w:pPr>
        <w:pStyle w:val="Extracto"/>
      </w:pPr>
      <w:r>
        <w:t>9.</w:t>
      </w:r>
      <w:r>
        <w:tab/>
        <w:t>Los preceptos autonómicos impugnados que no establecen exclusivamente el régimen sancionador en materia laboral, sino el régimen sancionador que debe aplicarse con carácter general para garantizar la igualdad efectiva de mujeres y hombres en las distintas materias reguladas en la ley, no pueden declararse inconstitucionales dado que no invaden la competencia del Estado en materia de legislación laboral [FJ 9].</w:t>
      </w:r>
    </w:p>
    <w:p w:rsidR="00A90898" w:rsidRDefault="00A90898" w:rsidP="00A90898">
      <w:pPr>
        <w:pStyle w:val="Extracto"/>
      </w:pPr>
    </w:p>
    <w:p w:rsidR="00A90898" w:rsidRDefault="00A90898" w:rsidP="00A90898">
      <w:pPr>
        <w:pStyle w:val="Extracto"/>
      </w:pPr>
      <w:r>
        <w:t>10.</w:t>
      </w:r>
      <w:r>
        <w:tab/>
        <w:t xml:space="preserve">Ante los supuestos de </w:t>
      </w:r>
      <w:r w:rsidRPr="00A90898">
        <w:rPr>
          <w:i/>
        </w:rPr>
        <w:t>lex repetita</w:t>
      </w:r>
      <w:r>
        <w:t>, la doctrina constitucional establece que la reproducción de normas estatales por leyes autonómicas, además de constituir una deficiente técnica legislativa, incurre en inconstitucionalidad cuando esa reproducción normativa se concreta en normas relativas a materias en las que la Comunidad Autónoma carece de competencia (SSTC 62/1991, 341/2005)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2257-2016, interpuesto por el Abogado del Estado en nombre del Presidente del Gobierno, contra los arts. 33, 36 —en sus apartados 1 a 4 —, 39, 40, 41, 44 y 59 a 64 de la Ley del Parlamento de Cataluña 17/2015 , de 21 de julio, de igualdad efectiva entre mujeres y hombres. Han comparecido y formulado alegaciones la Generalitat de Cataluña y el Parlamento de Cataluña.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Constitucional el día 25 de abril de 2016, el Abogado del Estado, en nombre del Presidente del Gobierno, interpuso recurso de inconstitucionalidad contra los arts. 33, 36 —en sus apartados 1 a 4—, 39, 40, 41, 44 y 59 a 64 de la Ley del Parlamento de Cataluña 17/2015, de 21 de julio, de igualdad efectiva entre mujeres y hombres.</w:t>
      </w:r>
    </w:p>
    <w:p w:rsidR="00A90898" w:rsidRDefault="00A90898" w:rsidP="00A90898">
      <w:pPr>
        <w:pStyle w:val="TextoNormal"/>
      </w:pPr>
    </w:p>
    <w:p w:rsidR="00A90898" w:rsidRDefault="00A90898" w:rsidP="00A90898">
      <w:pPr>
        <w:pStyle w:val="TextoNormal"/>
      </w:pPr>
      <w:r w:rsidRPr="00A90898">
        <w:rPr>
          <w:rStyle w:val="NumeroAFNegritaCaracter"/>
        </w:rPr>
        <w:t>2</w:t>
      </w:r>
      <w:r>
        <w:t>. Los motivos de este recurso de inconstitucionalidad son los que, sucintamente, se recogen a continuación:</w:t>
      </w:r>
    </w:p>
    <w:p w:rsidR="00A90898" w:rsidRDefault="00A90898" w:rsidP="00A90898">
      <w:pPr>
        <w:pStyle w:val="TextoNormal"/>
      </w:pPr>
    </w:p>
    <w:p w:rsidR="00A90898" w:rsidRDefault="00A90898" w:rsidP="00A90898">
      <w:pPr>
        <w:pStyle w:val="TextoNormal"/>
      </w:pPr>
      <w:r>
        <w:t>a) El escrito de interposición del recurso comienza recordando el título competencial que ampara la competencia estatal y que resulta infringido por la ley autonómica objeto de recurso. Así, señala que el presente recurso se fundamenta en la vulneración, por parte de los artículos específicamente objeto de impugnación, del art. 149.1.7 CE el cual atribuye al Estado la competencia exclusiva sobre legislación laboral, sin perjuicio de su ejecución por los órganos de las Comunidades Autónomas.</w:t>
      </w:r>
    </w:p>
    <w:p w:rsidR="00A90898" w:rsidRDefault="00A90898" w:rsidP="00A90898">
      <w:pPr>
        <w:pStyle w:val="TextoNormal"/>
      </w:pPr>
    </w:p>
    <w:p w:rsidR="00A90898" w:rsidRDefault="00A90898" w:rsidP="00A90898">
      <w:pPr>
        <w:pStyle w:val="TextoNormal"/>
      </w:pPr>
      <w:r>
        <w:t>El Abogado del Estado reproduce la doctrina constitucional sobre este título competencial, y afirma que la competencia autonómica, en el caso amparada en el art. 170 del Estatuto de Autonomía de Cataluña (“Trabajo y Relaciones Laborales”), sólo cabe entenderla en cuanto a la ejecución de la legislación estatal, sin que en ningún caso comprenda la de aprobación de normas de rango legal ni de desarrollo reglamentario, sino que esa expresión competencia ejecutiva se ciñe a la regulación sustantiva contenida en la legislación estatal.</w:t>
      </w:r>
    </w:p>
    <w:p w:rsidR="00A90898" w:rsidRDefault="00A90898" w:rsidP="00A90898">
      <w:pPr>
        <w:pStyle w:val="TextoNormal"/>
      </w:pPr>
    </w:p>
    <w:p w:rsidR="00A90898" w:rsidRDefault="00A90898" w:rsidP="00A90898">
      <w:pPr>
        <w:pStyle w:val="TextoNormal"/>
      </w:pPr>
      <w:r>
        <w:t>b) A continuación se realiza un análisis particular de cada uno de los preceptos objeto de impugnación.</w:t>
      </w:r>
    </w:p>
    <w:p w:rsidR="00A90898" w:rsidRDefault="00A90898" w:rsidP="00A90898">
      <w:pPr>
        <w:pStyle w:val="TextoNormal"/>
      </w:pPr>
    </w:p>
    <w:p w:rsidR="00A90898" w:rsidRDefault="00A90898" w:rsidP="00A90898">
      <w:pPr>
        <w:pStyle w:val="TextoNormal"/>
      </w:pPr>
      <w:r>
        <w:t xml:space="preserve">Por lo que se refiere al artículo 33, que regula la prevención del acoso sexual y del acoso por razón de sexo en las empresas, señala que el contenido de este precepto autonómico resulta similar y materialmente coincidente con lo dispuesto en el art. 48 de la Ley Orgánica </w:t>
      </w:r>
      <w:r>
        <w:lastRenderedPageBreak/>
        <w:t>3/2007, de 22 de marzo, para la igualdad efectiva de mujeres y hombres. Afirma que es claro que este artículo de la ley estatal impone a las empresas y a las representantes de los trabajadores determinadas obligaciones dirigidas a evitar el acoso sexual en el ámbito laboral, del mismo modo que también lo hace el art. 33 de la Ley autonómica impugnada. Así, la aprobación de esta ley autonómica supone incidir en una competencia estatal exclusiva que ostenta el Estado conforme al título competencial del art. 149.1.7 CE.</w:t>
      </w:r>
    </w:p>
    <w:p w:rsidR="00A90898" w:rsidRDefault="00A90898" w:rsidP="00A90898">
      <w:pPr>
        <w:pStyle w:val="TextoNormal"/>
      </w:pPr>
    </w:p>
    <w:p w:rsidR="00A90898" w:rsidRDefault="00A90898" w:rsidP="00A90898">
      <w:pPr>
        <w:pStyle w:val="TextoNormal"/>
      </w:pPr>
      <w:r>
        <w:t>Dicho artículo 33 establece una regulación en un campo material de actuación en el que a las Comunidades Autónomas solo se le atribuye el ejercicio de competencias de ejecución, esto es, de adoptar tan sólo las decisiones necesarias para garantizar el cumplimiento de las normas jurídicas, tanto en sentido formal como material, dictadas por quien ostenta la competencia de normación conforme a la Constitución. De ahí la consideración de su inconstitucionalidad, y cita la STC 341/2005, FJ 9, en relación con la reproducción de normas estatales en otras de ámbito autonómico.</w:t>
      </w:r>
    </w:p>
    <w:p w:rsidR="00A90898" w:rsidRDefault="00A90898" w:rsidP="00A90898">
      <w:pPr>
        <w:pStyle w:val="TextoNormal"/>
      </w:pPr>
    </w:p>
    <w:p w:rsidR="00A90898" w:rsidRDefault="00A90898" w:rsidP="00A90898">
      <w:pPr>
        <w:pStyle w:val="TextoNormal"/>
      </w:pPr>
      <w:r>
        <w:t>c) En relación con el art. 36 de la Ley autonómica 17/2015, sobre los planes de igualdad en las empresas, afirma que la ley autonómica establece una regulación general, con rango formal de ley, en gran medida coincidente, y en sus objetivos de regulación, con la establecida por la Ley Orgánica 3/2007, cuyo artículo 45 versa asimismo sobre la elaboración y aplicación de los planes de igualdad, y su artículo 46 regula el contenido propio de esta clase de planes.</w:t>
      </w:r>
    </w:p>
    <w:p w:rsidR="00A90898" w:rsidRDefault="00A90898" w:rsidP="00A90898">
      <w:pPr>
        <w:pStyle w:val="TextoNormal"/>
      </w:pPr>
    </w:p>
    <w:p w:rsidR="00A90898" w:rsidRDefault="00A90898" w:rsidP="00A90898">
      <w:pPr>
        <w:pStyle w:val="TextoNormal"/>
      </w:pPr>
      <w:r>
        <w:t>La normativa estatal se dicta en este caso al amparo del art. 149.1.7 CE, por considerar que los planes de igualdad en el seno de las empresas, en el mundo del trabajo, forma parte de la legislación laboral que sólo al Estado compete establecer, y en consecuencia no cabe admitir que una Comunidad Autónoma pueda aprobar una regulación general propia, que tal regulación va más allá de las competencias puramente ejecutivas que en materia laboral tienen atribuidas las Comunidades Autónomas y que deben en todo caso ejercerse en el marco normativo definido por el propio Estado, de acuerdo con la doctrina legal que la jurisprudencia constitucional ha señalado.</w:t>
      </w:r>
    </w:p>
    <w:p w:rsidR="00A90898" w:rsidRDefault="00A90898" w:rsidP="00A90898">
      <w:pPr>
        <w:pStyle w:val="TextoNormal"/>
      </w:pPr>
    </w:p>
    <w:p w:rsidR="00A90898" w:rsidRDefault="00A90898" w:rsidP="00A90898">
      <w:pPr>
        <w:pStyle w:val="TextoNormal"/>
      </w:pPr>
      <w:r>
        <w:t>d) El artículo 39 de la Ley 17/2015, de la Generalitat, crea y regula la figura del “responsable sindical de igualdad”. Este precepto afecta de forma directa a la acción sindical en el seno de la empresa y, por tanto, al derecho fundamental a la libertad sindical, garantizado por el art. 7 CE y regulado mediante Ley Orgánica 11/1985, de 2 de agosto, de libertad sindical. La norma autonómica incide en este ámbito, limitando el derecho de libertad sindical, en la medida en que impone a los sindicatos la obligación de contar con un responsable sindical de igualdad y en cierto modo regula su status y funciones. Invade claramente la competencia del Estado en materia de legislación laboral.</w:t>
      </w:r>
    </w:p>
    <w:p w:rsidR="00A90898" w:rsidRDefault="00A90898" w:rsidP="00A90898">
      <w:pPr>
        <w:pStyle w:val="TextoNormal"/>
      </w:pPr>
    </w:p>
    <w:p w:rsidR="00A90898" w:rsidRDefault="00A90898" w:rsidP="00A90898">
      <w:pPr>
        <w:pStyle w:val="TextoNormal"/>
      </w:pPr>
      <w:r>
        <w:t>No resulta admisible que una ley autonómica configure el órgano de representación sindical, su estructura y composición, ni que fije cuáles son las funciones del mismo. Ello afecta al derecho fundamental de negociación colectiva, incidiendo indebidamente en el ámbito material de competencia del Estado.</w:t>
      </w:r>
    </w:p>
    <w:p w:rsidR="00A90898" w:rsidRDefault="00A90898" w:rsidP="00A90898">
      <w:pPr>
        <w:pStyle w:val="TextoNormal"/>
      </w:pPr>
    </w:p>
    <w:p w:rsidR="00A90898" w:rsidRDefault="00A90898" w:rsidP="00A90898">
      <w:pPr>
        <w:pStyle w:val="TextoNormal"/>
      </w:pPr>
      <w:r>
        <w:t xml:space="preserve">e) Por lo que se refiere al art. 40, que regula la presencia de mujeres y hombres en la negociación colectiva, afirma que establece una regulación de la composición y funcionamiento de los órganos de negociación colectiva, incidiendo en la configuración aunque sea </w:t>
      </w:r>
      <w:r>
        <w:lastRenderedPageBreak/>
        <w:t>parcial de un derecho fundamental el cual forma parte del ámbito material de competencia exclusiva del Estado para su regulación.</w:t>
      </w:r>
    </w:p>
    <w:p w:rsidR="00A90898" w:rsidRDefault="00A90898" w:rsidP="00A90898">
      <w:pPr>
        <w:pStyle w:val="TextoNormal"/>
      </w:pPr>
    </w:p>
    <w:p w:rsidR="00A90898" w:rsidRDefault="00A90898" w:rsidP="00A90898">
      <w:pPr>
        <w:pStyle w:val="TextoNormal"/>
      </w:pPr>
      <w:r>
        <w:t>Esa competencia estatal exclusiva de normación alcanza también, afirma el Abogado del Estado, o resulta también afectada negativamente, por la obligación que el apartado 2 del artículo impone a la Administración pública de exigir, a su vez, a las empresas la hoja estadística a fin de comprobar el cumplimiento del precepto. La ley aquí impone tanto a la Administración como a las empresas una obligación de actuación en el campo propio del derecho laboral sustantivo. No se trata de una mera obligación de organización de servicios internos, sino de un deber de acreditación del cumplimiento de una obligación precisa establecida por la ley en el ámbito de las relaciones laborales.</w:t>
      </w:r>
    </w:p>
    <w:p w:rsidR="00A90898" w:rsidRDefault="00A90898" w:rsidP="00A90898">
      <w:pPr>
        <w:pStyle w:val="TextoNormal"/>
      </w:pPr>
    </w:p>
    <w:p w:rsidR="00A90898" w:rsidRDefault="00A90898" w:rsidP="00A90898">
      <w:pPr>
        <w:pStyle w:val="TextoNormal"/>
      </w:pPr>
      <w:r>
        <w:t>A este respecto señala que la información que debe constar en la hoja estadística de convenios colectivos de empresa se encuentra detallada en el Real Decreto 713/2010, de 28 de mayo, sobre registro y depósito de convenios colectivos de trabajo.</w:t>
      </w:r>
    </w:p>
    <w:p w:rsidR="00A90898" w:rsidRDefault="00A90898" w:rsidP="00A90898">
      <w:pPr>
        <w:pStyle w:val="TextoNormal"/>
      </w:pPr>
    </w:p>
    <w:p w:rsidR="00A90898" w:rsidRDefault="00A90898" w:rsidP="00A90898">
      <w:pPr>
        <w:pStyle w:val="TextoNormal"/>
      </w:pPr>
      <w:r>
        <w:t>f) En relación con el artículo. 41, que regula la incorporación de la perspectiva de género en los expedientes de regulación de empleo, señala el Abogado del Estado que es claro que la regulación de los expedientes de regulación de empleo, como aspectos que afectan de modo nuclear a lo que es una regulación general y sustantiva de un aspecto fundamental del derecho laboral, constituye un ámbito constitucional de regulación exclusiva del Estado conforme a la definición jurisprudencial que del concepto “Derecho laboral” se deriva del art. 149.1.7 CE. Su regulación, por tanto, queda reservada al Estado, y además se trata de una materia laboral que se encuentra disciplinada a nivel normativo de ley formal en el art. 51 de la Ley del estatuto de los trabajadores (LET).</w:t>
      </w:r>
    </w:p>
    <w:p w:rsidR="00A90898" w:rsidRDefault="00A90898" w:rsidP="00A90898">
      <w:pPr>
        <w:pStyle w:val="TextoNormal"/>
      </w:pPr>
    </w:p>
    <w:p w:rsidR="00A90898" w:rsidRDefault="00A90898" w:rsidP="00A90898">
      <w:pPr>
        <w:pStyle w:val="TextoNormal"/>
      </w:pPr>
      <w:r>
        <w:t>Añade que la presentación de un plan de acompañamiento social, similar al que exige ahora el art. 41 de la ley autonómica, lo exigía también el art. 51 LET y, sin embargo, fue suprimida esa exigencia por el Real Decreto-ley 3/2012, de 10 de febrero, de medidas urgentes para la reforma del mercado laboral.</w:t>
      </w:r>
    </w:p>
    <w:p w:rsidR="00A90898" w:rsidRDefault="00A90898" w:rsidP="00A90898">
      <w:pPr>
        <w:pStyle w:val="TextoNormal"/>
      </w:pPr>
    </w:p>
    <w:p w:rsidR="00A90898" w:rsidRDefault="00A90898" w:rsidP="00A90898">
      <w:pPr>
        <w:pStyle w:val="TextoNormal"/>
      </w:pPr>
      <w:r>
        <w:t>Sobre la base de estas normas estatales no puede la Comunidad Autónoma emanar otras que alteren la regulación exigiendo más o menos requisitos o estableciendo una regulación paralela, o incluso coincidente si es a nivel normativo. Además, afirma, el art. 41 de la ley 17/2015 afecta también a las funciones de la inspección de trabajo. El régimen jurídico de la inspección de trabajo se halla regulado en la Ley 23/2015, de 21 de julio, ordenadora del sistema de inspección de trabajo y Seguridad Social, como servicio del Estado que ejerce la vigilancia del cumplimiento de la norma del orden social. Y es en el marco de esas funciones de control donde se incardinan las funciones de vigilancia y control de la adecuación al ordenamiento de los expedientes de regulación de empleo, su elaboración y aprobación. Son las normas estatales las que deben delimitar las funciones de la Inspección de Trabajo, no resultando compatible con el título competencial del Estado garantizado por el art. 149.1.7 CE que una Comunidad Autónoma legisle imponiendo a dicho servicio estatal el cumplimiento de obligaciones legales, ya que ello supone la modificación de su régimen, para lo cual la Comunidad Autónoma carece, constitucionalmente, de competencias legislativas al efecto.</w:t>
      </w:r>
    </w:p>
    <w:p w:rsidR="00A90898" w:rsidRDefault="00A90898" w:rsidP="00A90898">
      <w:pPr>
        <w:pStyle w:val="TextoNormal"/>
      </w:pPr>
    </w:p>
    <w:p w:rsidR="00A90898" w:rsidRDefault="00A90898" w:rsidP="00A90898">
      <w:pPr>
        <w:pStyle w:val="TextoNormal"/>
      </w:pPr>
      <w:r>
        <w:lastRenderedPageBreak/>
        <w:t>g) En relación con el artículo 44, relativo a la prevención de riesgos laborales en la empresa, señala el Abogado del Estado que el apartado 1 contiene una obligación muy similar a la prevista en el art. 25.2 de la Ley 31/1995, de 8 de noviembre, de prevención de riesgos laborales.</w:t>
      </w:r>
    </w:p>
    <w:p w:rsidR="00A90898" w:rsidRDefault="00A90898" w:rsidP="00A90898">
      <w:pPr>
        <w:pStyle w:val="TextoNormal"/>
      </w:pPr>
    </w:p>
    <w:p w:rsidR="00A90898" w:rsidRDefault="00A90898" w:rsidP="00A90898">
      <w:pPr>
        <w:pStyle w:val="TextoNormal"/>
      </w:pPr>
      <w:r>
        <w:t>Una vez más reitera que el establecimiento de una normativa de carácter laboral es competencia exclusiva del Estado, por lo tanto, y a pesar de la mención, o de la remisión a la normativa vigente sobre prevención de riesgos laborales, se ha de insistir en la vulneración competencial al enmarcarse estas previsiones, más allá de la cláusula de remisión, en el ámbito laboral con carácter innovatorio del ordenamiento.</w:t>
      </w:r>
    </w:p>
    <w:p w:rsidR="00A90898" w:rsidRDefault="00A90898" w:rsidP="00A90898">
      <w:pPr>
        <w:pStyle w:val="TextoNormal"/>
      </w:pPr>
    </w:p>
    <w:p w:rsidR="00A90898" w:rsidRDefault="00A90898" w:rsidP="00A90898">
      <w:pPr>
        <w:pStyle w:val="TextoNormal"/>
      </w:pPr>
      <w:r>
        <w:t>En el mismo sentido, afirma, el apartado 2 establece una obligación laboral cuya regulación corresponde en exclusiva al Estado, y que además no está prevista ni en la Ley 31/1995, ni tampoco en la Ley Orgánica 3/2007. Se trata de una obligación jurídica sustantiva, de información precisa, que se impone normativamente a las empresas en relación con el personal a su servicio, en un aspecto nuclear de las relaciones laborales. No consiste en la mera ejecución o simple puesta en práctica de una obligación ya configurada en sus términos, en su alcance obligatorio, por la legislación estatal.</w:t>
      </w:r>
    </w:p>
    <w:p w:rsidR="00A90898" w:rsidRDefault="00A90898" w:rsidP="00A90898">
      <w:pPr>
        <w:pStyle w:val="TextoNormal"/>
      </w:pPr>
    </w:p>
    <w:p w:rsidR="00A90898" w:rsidRDefault="00A90898" w:rsidP="00A90898">
      <w:pPr>
        <w:pStyle w:val="TextoNormal"/>
      </w:pPr>
      <w:r>
        <w:t>h) Por último, por lo que se refiere a los artículos 59 y siguientes que establecen el régimen sancionador, señala el Abogado del Estado que es cierto que la Generalitat de Cataluña ostenta competencia para establecer el régimen sancionador en una materia que considerada en abstracto verse sobre la garantía de la igualdad efectiva de mujeres y hombres, para la que ostenta competencia de acuerdo con lo dispuesto en el artículo 153 de su Estatuto de Autonomía.</w:t>
      </w:r>
    </w:p>
    <w:p w:rsidR="00A90898" w:rsidRDefault="00A90898" w:rsidP="00A90898">
      <w:pPr>
        <w:pStyle w:val="TextoNormal"/>
      </w:pPr>
    </w:p>
    <w:p w:rsidR="00A90898" w:rsidRDefault="00A90898" w:rsidP="00A90898">
      <w:pPr>
        <w:pStyle w:val="TextoNormal"/>
      </w:pPr>
      <w:r>
        <w:t>Afirma que es cuestión distinta que el régimen sancionador se proyecte sobre un ámbito cuya regulación sustantiva sea competencia exclusiva del Estado, como sucede con el ámbito de regulación de las relaciones laborales. Es decir, que dicho régimen sancionador específico se extienda más allá del ámbito material que le es propio a las Comunidades Autónomas, de acuerdo con los títulos competenciales que la Constitución y los Estatutos les reconocen. Las Comunidades Autónomas no pueden, en ejercicio de una competencia propia, establecer un régimen sancionador que invada un ámbito cuya regulación sustantiva corresponda al Estado.</w:t>
      </w:r>
    </w:p>
    <w:p w:rsidR="00A90898" w:rsidRDefault="00A90898" w:rsidP="00A90898">
      <w:pPr>
        <w:pStyle w:val="TextoNormal"/>
      </w:pPr>
    </w:p>
    <w:p w:rsidR="00A90898" w:rsidRDefault="00A90898" w:rsidP="00A90898">
      <w:pPr>
        <w:pStyle w:val="TextoNormal"/>
      </w:pPr>
      <w:r>
        <w:t>Así, a su juicio, en la medida en que las infracciones tipificadas en la Ley objeto de impugnación se producen en el marco de las relaciones laborales, en el marco de lo que la jurisprudencia constitucional ha considerado como ámbito propio material de la legislación laboral conforme al art. 149.1.7 CE, se trata de unas conductas que solo el titular de esa competencia material puede tipificar como infracciones, y que solo pueden sancionarse con arreglo a lo dispuesto en la normativa estatal.</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Pleno, a propuesta de la Sección Cuarta, acordó, por providencia de 28 de abril de 2016, admitir a trámite el recurso y dar traslado de la demanda y documentos presentados, conforme establece el art. 34 de la Ley Orgánica del Tribunal Constitucional (LOTC), al Congreso de los Diputados y al Senado, por conducto de sus Presidentes, así como al Gobierno y al Parlamento de Cataluña, por conducto de sus Presidentes, al objeto de que en el </w:t>
      </w:r>
      <w:r>
        <w:lastRenderedPageBreak/>
        <w:t>plazo de quince días pudieran personarse en el proceso y formular las alegaciones que estimaran convenientes. Asimismo, acordó tener por invocado por el Presidente del Gobierno el art. 161.2 CE, lo que, a su tenor y conforme dispone el art. 30 LOTC, produce la suspensión de la vigencia y aplicación de los preceptos impugnados, desde la fecha de interposición del recurso —25 de abril de 2016— para las partes del proceso y desde el día en que aparezca publicada la suspensión en el “Boletín Oficial del Estado” para los terceros, lo que se comunicará a los Presidentes del Gobierno y Parlamento de Cataluña. Finalmente, se ordenó publicar la incoación del recurso en el “Boletín Oficial del Estado” y en el “Diari Oficial de la Generalitat de Cataluña”.</w:t>
      </w:r>
    </w:p>
    <w:p w:rsidR="00A90898" w:rsidRDefault="00A90898" w:rsidP="00A90898">
      <w:pPr>
        <w:pStyle w:val="TextoNormal"/>
      </w:pPr>
    </w:p>
    <w:p w:rsidR="00A90898" w:rsidRDefault="00A90898" w:rsidP="00A90898">
      <w:pPr>
        <w:pStyle w:val="TextoNormal"/>
      </w:pPr>
      <w:r w:rsidRPr="00A90898">
        <w:rPr>
          <w:rStyle w:val="NumeroAFNegritaCaracter"/>
        </w:rPr>
        <w:t>4</w:t>
      </w:r>
      <w:r>
        <w:t>. El Presidente del Congreso, mediante escrito registrado el día 12 de mayo de 2016, comunicó que la Cámara se personaba en el procedimiento ofreciendo su colaboración a los efectos del art. 88.1 LOTC. Lo mismo hizo el Presidente del Congreso por escrito registrado el 19 de mayo de 2016.</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el 12 de mayo de 2016 se personó la Letrada del Parlamento de Cataluña y solicitó prórroga del plazo concedido para la presentación del escrito de alegaciones.</w:t>
      </w:r>
    </w:p>
    <w:p w:rsidR="00A90898" w:rsidRDefault="00A90898" w:rsidP="00A90898">
      <w:pPr>
        <w:pStyle w:val="TextoNormal"/>
      </w:pPr>
    </w:p>
    <w:p w:rsidR="00A90898" w:rsidRDefault="00A90898" w:rsidP="00A90898">
      <w:pPr>
        <w:pStyle w:val="TextoNormal"/>
      </w:pPr>
      <w:r>
        <w:t>Por providencia de 13 de mayo de 2016 el Pleno acordó incorporar a las actuaciones el escrito de la Letrada del Parlamento de Cataluña a quien se le tiene por personada en representación de dicha Cámara y se le prorroga en ocho días más el plazo concedido por la providencia de 28 de abril de 2016, a contar desde el siguiente al de expiración del ordinario.</w:t>
      </w:r>
    </w:p>
    <w:p w:rsidR="00A90898" w:rsidRDefault="00A90898" w:rsidP="00A90898">
      <w:pPr>
        <w:pStyle w:val="TextoNormal"/>
      </w:pPr>
    </w:p>
    <w:p w:rsidR="00A90898" w:rsidRDefault="00A90898" w:rsidP="00A90898">
      <w:pPr>
        <w:pStyle w:val="TextoNormal"/>
      </w:pPr>
      <w:r w:rsidRPr="00A90898">
        <w:rPr>
          <w:rStyle w:val="NumeroAFNegritaCaracter"/>
        </w:rPr>
        <w:t>6</w:t>
      </w:r>
      <w:r>
        <w:t>. La Abogada de la Generalitat de Cataluña se personó, mediante escrito de alegaciones registrado el 30 de mayo de 2016, interesando la desestimación del recurso interpuesto por las razones que, resumidamente, se exponen a continuación:</w:t>
      </w:r>
    </w:p>
    <w:p w:rsidR="00A90898" w:rsidRDefault="00A90898" w:rsidP="00A90898">
      <w:pPr>
        <w:pStyle w:val="TextoNormal"/>
      </w:pPr>
    </w:p>
    <w:p w:rsidR="00A90898" w:rsidRDefault="00A90898" w:rsidP="00A90898">
      <w:pPr>
        <w:pStyle w:val="TextoNormal"/>
      </w:pPr>
      <w:r>
        <w:t>a) El escrito de alegaciones presentado se estructura en cuatro apartados. En el primero se identifican las materias y los preceptos objetos de recurso, resumiendo las alegaciones del Abogado del Estado.</w:t>
      </w:r>
    </w:p>
    <w:p w:rsidR="00A90898" w:rsidRDefault="00A90898" w:rsidP="00A90898">
      <w:pPr>
        <w:pStyle w:val="TextoNormal"/>
      </w:pPr>
    </w:p>
    <w:p w:rsidR="00A90898" w:rsidRDefault="00A90898" w:rsidP="00A90898">
      <w:pPr>
        <w:pStyle w:val="TextoNormal"/>
      </w:pPr>
      <w:r>
        <w:t>b) En el segundo apartado, se analiza el contenido y el alcance del título competencial en el que se ampara la Ley 17/2015, de 21 de julio, de igualdad efectiva de mujeres y hombres. Señala que el título competencial que la fundamenta y le da cobertura está constituido por el art. 153 del Estatuto de Autonomía de Cataluña (EAC), sobre “políticas de género”. Esta competencia sobre políticas de género atendiendo a lo dispuesto en el art. 110 EAC y al describirse como una competencia exclusiva conlleva que en esta materia le corresponde a la Generalitat la potestad legislativa.</w:t>
      </w:r>
    </w:p>
    <w:p w:rsidR="00A90898" w:rsidRDefault="00A90898" w:rsidP="00A90898">
      <w:pPr>
        <w:pStyle w:val="TextoNormal"/>
      </w:pPr>
    </w:p>
    <w:p w:rsidR="00A90898" w:rsidRDefault="00A90898" w:rsidP="00A90898">
      <w:pPr>
        <w:pStyle w:val="TextoNormal"/>
      </w:pPr>
      <w:r>
        <w:t>Señala que el art. 153 EAC acota un ámbito material específico, constituido por el conjunto de las políticas de género, sobre el que la Generalitat puede y, en algunos casos, debe ejercer las funciones y competencias adecuadas para satisfacer los requerimientos derivados de los arts. 19, 41 y 45.3 EAC.</w:t>
      </w:r>
    </w:p>
    <w:p w:rsidR="00A90898" w:rsidRDefault="00A90898" w:rsidP="00A90898">
      <w:pPr>
        <w:pStyle w:val="TextoNormal"/>
      </w:pPr>
    </w:p>
    <w:p w:rsidR="00A90898" w:rsidRDefault="00A90898" w:rsidP="00A90898">
      <w:pPr>
        <w:pStyle w:val="TextoNormal"/>
      </w:pPr>
      <w:r>
        <w:t xml:space="preserve">Por otra parte, añade, el art. 19 EAC prevé los derechos de las mujeres y el art. 4 EAC proclama la perspectiva de género como principio rector que orienta las políticas públicas </w:t>
      </w:r>
      <w:r>
        <w:lastRenderedPageBreak/>
        <w:t>de la Generalitat en el ejercicio de sus competencias, como se deduce del mismo art. 39.1 EAC y como reconoció ya la STC 31/2010 (FJ 28).</w:t>
      </w:r>
    </w:p>
    <w:p w:rsidR="00A90898" w:rsidRDefault="00A90898" w:rsidP="00A90898">
      <w:pPr>
        <w:pStyle w:val="TextoNormal"/>
      </w:pPr>
    </w:p>
    <w:p w:rsidR="00A90898" w:rsidRDefault="00A90898" w:rsidP="00A90898">
      <w:pPr>
        <w:pStyle w:val="TextoNormal"/>
      </w:pPr>
      <w:r>
        <w:t>Asimismo, el art. 45.3 EAC enuncia los principios rectores en el ámbito socioeconómico y determina que los poderes públicos han de adoptar las medidas necesarias para garantizar los derechos laborales y sindicales de los trabajadores y, entre otras políticas relacionadas con el trabajo y las relaciones laborales, específicamente dispone que han de promover las políticas de no discriminación por razón de género.</w:t>
      </w:r>
    </w:p>
    <w:p w:rsidR="00A90898" w:rsidRDefault="00A90898" w:rsidP="00A90898">
      <w:pPr>
        <w:pStyle w:val="TextoNormal"/>
      </w:pPr>
    </w:p>
    <w:p w:rsidR="00A90898" w:rsidRDefault="00A90898" w:rsidP="00A90898">
      <w:pPr>
        <w:pStyle w:val="TextoNormal"/>
      </w:pPr>
      <w:r>
        <w:t>Afirma la Abogada de la Generalitat de Cataluña que entre las competencias adecuadas para satisfacer dichos mandatos figura la potestad legislativa, que la Ley 17/2015 actualiza.</w:t>
      </w:r>
    </w:p>
    <w:p w:rsidR="00A90898" w:rsidRDefault="00A90898" w:rsidP="00A90898">
      <w:pPr>
        <w:pStyle w:val="TextoNormal"/>
      </w:pPr>
    </w:p>
    <w:p w:rsidR="00A90898" w:rsidRDefault="00A90898" w:rsidP="00A90898">
      <w:pPr>
        <w:pStyle w:val="TextoNormal"/>
      </w:pPr>
      <w:r>
        <w:t xml:space="preserve">Tras resumir los elementos claves del denominado </w:t>
      </w:r>
      <w:r w:rsidRPr="00A90898">
        <w:rPr>
          <w:i/>
        </w:rPr>
        <w:t>mainstreaming</w:t>
      </w:r>
      <w:r>
        <w:t xml:space="preserve"> de género, en España traducido por transversalidad, señala que el título competencial contenido en el art. 153 EAC es un título jurídico de carácter horizontal o transversal. Un ejemplo de transversalidad como atribución que da lugar a regulaciones o intervenciones jurídicas que afectan no solo al título competencial que se ejerce, sino también a otras diversas materias, aunque no exista una conexión inmediata entre las mismas, es la Ley Orgánica 3/2007, de 22 de marzo, para la igualdad efectivas de mujeres y hombres. También desde esta perspectiva y entendimiento del alcance material de la competencia que se actúa, la Ley 17/2015 ejerce una competencia transversal que incide en otras materias, específicamente en este caso la laboral, lo que nos permite situar en sus justos términos la controversia constitucional planteada, que se da entre dos títulos competenciales de naturaleza y contenido diversos. Por un lado, la competencia exclusiva del Estado sobre legislación laboral, que es una competencia sectorial, materialmente acotada y, por otro, la competencia de la Generalitat sobre políticas de género, que es una competencia de carácter transversal, llamada necesariamente a incidir sobre otros ámbitos materiales diversos.</w:t>
      </w:r>
    </w:p>
    <w:p w:rsidR="00A90898" w:rsidRDefault="00A90898" w:rsidP="00A90898">
      <w:pPr>
        <w:pStyle w:val="TextoNormal"/>
      </w:pPr>
    </w:p>
    <w:p w:rsidR="00A90898" w:rsidRDefault="00A90898" w:rsidP="00A90898">
      <w:pPr>
        <w:pStyle w:val="TextoNormal"/>
      </w:pPr>
      <w:r>
        <w:t>c) En el tercer apartado del escrito de alegaciones, se examina el bloque de constitucionalidad en el que se incardina la Ley 17/2015, a efectos de determinar su eficacia normativa.</w:t>
      </w:r>
    </w:p>
    <w:p w:rsidR="00A90898" w:rsidRDefault="00A90898" w:rsidP="00A90898">
      <w:pPr>
        <w:pStyle w:val="TextoNormal"/>
      </w:pPr>
    </w:p>
    <w:p w:rsidR="00A90898" w:rsidRDefault="00A90898" w:rsidP="00A90898">
      <w:pPr>
        <w:pStyle w:val="TextoNormal"/>
      </w:pPr>
      <w:r>
        <w:t>Señala la Abogada de la Generalitat de Cataluña que el Tribunal Constitucional ha sido sensible a la existencia de legislaciones provenientes tanto del Estado como de las Comunidades Autónomas que regulan los mismos supuestos de hecho, es decir, las mismas circunstancias o combinación de circunstancias, a partir de perspectivas competenciales diferentes, llegando incluso a reproducir en sus legislaciones respectivas enunciados similares, cuando no idénticos, precisamente para evitar regulaciones antinómicas e incompatibles. En este sentido, indica, el Tribunal Constitucional ha afirmado la legitimidad de estas prácticas legislativas diferenciando los supuestos en que la reproducción conlleva una extralimitación competencial de aquellos otros en que sobre la base jurídica de una competencia específica la reproducción literal o similar de enunciados normativos, debe considerarse, al margen de los debidos reproches de mala técnica legislativa, con suficiente encaje constitucional.</w:t>
      </w:r>
    </w:p>
    <w:p w:rsidR="00A90898" w:rsidRDefault="00A90898" w:rsidP="00A90898">
      <w:pPr>
        <w:pStyle w:val="TextoNormal"/>
      </w:pPr>
    </w:p>
    <w:p w:rsidR="00A90898" w:rsidRDefault="00A90898" w:rsidP="00A90898">
      <w:pPr>
        <w:pStyle w:val="TextoNormal"/>
      </w:pPr>
      <w:r>
        <w:t xml:space="preserve">Para la Abogada de la Generalitat de Cataluña, el Abogado del Estado en el apartado primero de los fundamentos de derecho de su escrito de impugnación, sin tan siquiera aludir a la posible competencia de la Generalitat </w:t>
      </w:r>
      <w:r w:rsidRPr="00A90898">
        <w:rPr>
          <w:i/>
        </w:rPr>
        <w:t>ex</w:t>
      </w:r>
      <w:r>
        <w:t xml:space="preserve"> art. 153 EAC, reconduce todos los preceptos objeto de impugnación a la materia legislación laboral, que es, indiscutiblemente una atri</w:t>
      </w:r>
      <w:r>
        <w:lastRenderedPageBreak/>
        <w:t>bución exclusiva del Estado. Sin embargo, a su juicio, este enfoque de la controversia competencial suscitada ignora uno de los elementos de la controversia, la competencia transversal de la Generalitat en materia de políticas de género. En consecuencia, el recurrente considera que se plantea una antinomia insuperable entre la Ley 17/2015 y la legislación laboral exclusiva y excluyente del Estado. Pero, señala la Abogada de la Generalitat de Cataluña, la contradicción entre dos preceptos jurídicos en la que se basa el recurso no deriva de la ley impugnada sino de una interpretación efectuada por el recurrente.</w:t>
      </w:r>
    </w:p>
    <w:p w:rsidR="00A90898" w:rsidRDefault="00A90898" w:rsidP="00A90898">
      <w:pPr>
        <w:pStyle w:val="TextoNormal"/>
      </w:pPr>
    </w:p>
    <w:p w:rsidR="00A90898" w:rsidRDefault="00A90898" w:rsidP="00A90898">
      <w:pPr>
        <w:pStyle w:val="TextoNormal"/>
      </w:pPr>
      <w:r>
        <w:t>Así, afirma que nada autoriza a sostener que nuestro orden constitucional de distribución de competencias proscribe la duplicidad de regulaciones (estatal y autonómica) en un ámbito en el que la competencia legislativa es exclusiva del Estado. Menos aún es posible entender, a la vista de la jurisprudencia del Tribunal Constitucional, que cualquier similitud o reproducción, incluso textualmente literal, de un acuerdo normativo de la legislación estatal en una norma autonómica, dictada en ejercicio de una competencia exclusiva, supone automáticamente una invasión de competencias merecedora del reproche de inconstitucionalidad.</w:t>
      </w:r>
    </w:p>
    <w:p w:rsidR="00A90898" w:rsidRDefault="00A90898" w:rsidP="00A90898">
      <w:pPr>
        <w:pStyle w:val="TextoNormal"/>
      </w:pPr>
    </w:p>
    <w:p w:rsidR="00A90898" w:rsidRDefault="00A90898" w:rsidP="00A90898">
      <w:pPr>
        <w:pStyle w:val="TextoNormal"/>
      </w:pPr>
      <w:r>
        <w:t>La eficacia normativa de la Ley 17/2015, esto es, su grado de vinculación jurídica, viene dado no solamente por su expresión formal como ley, es decir, de documento legislativo aprobado por el Parlamento de Cataluña, sino también por su inserción en el sistema jurídico-constitucional definido por la Constitución.</w:t>
      </w:r>
    </w:p>
    <w:p w:rsidR="00A90898" w:rsidRDefault="00A90898" w:rsidP="00A90898">
      <w:pPr>
        <w:pStyle w:val="TextoNormal"/>
      </w:pPr>
    </w:p>
    <w:p w:rsidR="00A90898" w:rsidRDefault="00A90898" w:rsidP="00A90898">
      <w:pPr>
        <w:pStyle w:val="TextoNormal"/>
      </w:pPr>
      <w:r>
        <w:t>En todo caso, señala que es posible afirmar que las previsiones de la Ley 17/2015, que reproducen el contenido de preceptos de la legislación laboral del Estado, que es el titular de la competencia legislativa, parece encajar con todas naturalidad ya que su eficacia real no es modificar o sustituir la legislación del Estado, sino pura y simplemente completar y dar coherencia a un texto legal, reforzando la perspectiva transversal en la regulación de las políticas de género. Asimismo, aquellos otros preceptos que aparentemente modifican la legislación estatal no son más que pautas inspiradoras de una futura regulación estatal, expresadas mediante un instrumento normativo de indudable origen parlamentario.</w:t>
      </w:r>
    </w:p>
    <w:p w:rsidR="00A90898" w:rsidRDefault="00A90898" w:rsidP="00A90898">
      <w:pPr>
        <w:pStyle w:val="TextoNormal"/>
      </w:pPr>
    </w:p>
    <w:p w:rsidR="00A90898" w:rsidRDefault="00A90898" w:rsidP="00A90898">
      <w:pPr>
        <w:pStyle w:val="TextoNormal"/>
      </w:pPr>
      <w:r>
        <w:t>Prueba de ello, indica, es que las diferentes normativas autonómicas que se han elaborado sobre esta materia contienen un apartado específico sobre igualdad de trato en el empleo, referido a la materia trabajo o en el ámbito laboral, y cita, entre otras, como ejemplo la Ley de la Comunidad Autónoma del País Vasco 4/2005, de 18 de febrero, para la igualdad de mujeres y hombres; la Ley 12/2007, de 26 de noviembre, para la promoción de la igualdad de género en Andalucía; la Ley 12/2010, de 18 de noviembre, de igualdad entre mujeres y hombres de Castilla La Mancha, y la Ley de la Comunidad Autónoma Valenciana 9/2003, de 2 de abril, para la igualdad entre mujeres y hombres.</w:t>
      </w:r>
    </w:p>
    <w:p w:rsidR="00A90898" w:rsidRDefault="00A90898" w:rsidP="00A90898">
      <w:pPr>
        <w:pStyle w:val="TextoNormal"/>
      </w:pPr>
    </w:p>
    <w:p w:rsidR="00A90898" w:rsidRDefault="00A90898" w:rsidP="00A90898">
      <w:pPr>
        <w:pStyle w:val="TextoNormal"/>
      </w:pPr>
      <w:r>
        <w:t xml:space="preserve">En consecuencia, señala, si bien es cierto que la intensidad y formas de regulación de la igualdad de género en el ámbito del empleo o en el ámbito laboral, desarrollada por las distintas Comunidades Autónomas, es muy variada y adopta diversos matices y enfoques, también queda demostrado que todas esas leyes autonómicas incluyen preceptos relativos a la materia laboral, aunque sea simplemente para reproducir o reiterar el contenido de la legislación estatal en esta materia; ello es una pura consecuencia de la transversalidad inherente a la regulación de la igualdad de género, puesto que cuanto las Comunidades Autónomas legislan en esta materia, necesariamente han de proyectar también sus enunciados al </w:t>
      </w:r>
      <w:r>
        <w:lastRenderedPageBreak/>
        <w:t>mundo del trabajo y del empleo, que son ámbitos en los que todavía resulta imprescindible la intervención del legislador dirigida a promover la igualdad.</w:t>
      </w:r>
    </w:p>
    <w:p w:rsidR="00A90898" w:rsidRDefault="00A90898" w:rsidP="00A90898">
      <w:pPr>
        <w:pStyle w:val="TextoNormal"/>
      </w:pPr>
    </w:p>
    <w:p w:rsidR="00A90898" w:rsidRDefault="00A90898" w:rsidP="00A90898">
      <w:pPr>
        <w:pStyle w:val="TextoNormal"/>
      </w:pPr>
      <w:r>
        <w:t>d) En el cuarto y último apartado del escrito de alegaciones se analizan singularmente los preceptos objeto de recurso y su adecuado encaje en el orden constitucional de distribución de competencias.</w:t>
      </w:r>
    </w:p>
    <w:p w:rsidR="00A90898" w:rsidRDefault="00A90898" w:rsidP="00A90898">
      <w:pPr>
        <w:pStyle w:val="TextoNormal"/>
      </w:pPr>
    </w:p>
    <w:p w:rsidR="00A90898" w:rsidRDefault="00A90898" w:rsidP="00A90898">
      <w:pPr>
        <w:pStyle w:val="TextoNormal"/>
      </w:pPr>
      <w:r>
        <w:t>Por lo que se refiere al art. 33, sobre prevención del acoso sexual y del acoso por razón de sexo en las empresas, señala que si bien es cierta la similitud de contenido entre este precepto y el art. 48 de la Ley Orgánica 3/2007, de 22 de marzo, las dos normas han sido dictadas sobre la base jurídica de títulos competenciales diferentes, el contenido en el art. 149.1.7 CE y el especificado en el art. 153 EAC. Ello no obsta para que, en uno y otro caso, exista una conexión directa con las políticas de género. Afirma que es palmario que el art. 33 de la Ley 17/2015 no pretende sustituir el art. 48 de la Ley Orgánica 3/2007, de 22 de marzo, ni conformar una legislación paralela. Su eficacia es más limitada ya que su finalidad no es otra que la de dotar de sentido o inteligibilidad al texto normativo aprobado por el Parlamento de Cataluña y sus enunciados se circunscriben a orientar la actuación de los poderes públicos autonómicos, reforzando así las previsiones del artículo 48 citado.</w:t>
      </w:r>
    </w:p>
    <w:p w:rsidR="00A90898" w:rsidRDefault="00A90898" w:rsidP="00A90898">
      <w:pPr>
        <w:pStyle w:val="TextoNormal"/>
      </w:pPr>
    </w:p>
    <w:p w:rsidR="00A90898" w:rsidRDefault="00A90898" w:rsidP="00A90898">
      <w:pPr>
        <w:pStyle w:val="TextoNormal"/>
      </w:pPr>
      <w:r>
        <w:t>En relación con el artículo 36, relativo a los planes de igualdad en las empresas, considera que a los argumentos impugnatorios de este artículo son perfectamente trasladables las consideraciones efectuadas en relación al artículo 33, que da por reproducidas.</w:t>
      </w:r>
    </w:p>
    <w:p w:rsidR="00A90898" w:rsidRDefault="00A90898" w:rsidP="00A90898">
      <w:pPr>
        <w:pStyle w:val="TextoNormal"/>
      </w:pPr>
    </w:p>
    <w:p w:rsidR="00A90898" w:rsidRDefault="00A90898" w:rsidP="00A90898">
      <w:pPr>
        <w:pStyle w:val="TextoNormal"/>
      </w:pPr>
      <w:r>
        <w:t>Sobre el artículo 39, que regula el denominado responsable de igualdad en las empresas, señala que el precepto no modifica la legislación estatal, por lo que cabe descartar la interpretación dada por la Abogada del Estado. Añade que aunque la estructura del texto y su misma redacción quizá sean cuestionables en cuanto a la técnica legislativa, lo relevante es que su verdadero alcance se pone de manifiesto si se lee el artículo entero a partir de su número 4, en el que se establece un mandato a la Administración pública de la Generalitat de facilitar programas de apoyo a la formación sindical para la negociación colectiva con perspectiva de género, si se dan las condicione prescritas en los números 1, 2 y 3 del mismo artículo. El establecimiento de dichas condiciones u otras equivalentes, corresponde al titular de la competencia, que es el Estado. Pero es, a su juicio, la interpretación que del precepto realiza el Abogado del Estado y el Consejo de Estado la que parece determinar la incompatibilidad de la ley con las competencias del Estado, cuando lo cierto es que esa antinomia no se produce si la interpretación se realiza conforme a la Constitución.</w:t>
      </w:r>
    </w:p>
    <w:p w:rsidR="00A90898" w:rsidRDefault="00A90898" w:rsidP="00A90898">
      <w:pPr>
        <w:pStyle w:val="TextoNormal"/>
      </w:pPr>
    </w:p>
    <w:p w:rsidR="00A90898" w:rsidRDefault="00A90898" w:rsidP="00A90898">
      <w:pPr>
        <w:pStyle w:val="TextoNormal"/>
      </w:pPr>
      <w:r>
        <w:t>Por lo que se refiere al artículo 40, que lleva por rúbrica presencia de mujeres y hombres en la negociación colectiva, señala que la simple lectura del primer apartado del precepto evidencia que es la expresión de una directiva, de una recomendación dirigida a las organizaciones empresariales y sindicales, así como a los órganos de representación del personal en la empresa, para que promuevan la representación paritaria de ambos sexos en la negociación colectiva. No existe un condicionamiento, ni siquiera indirecto, de la composición de los órganos de negociación colectiva ni, en consecuencia, extralimitación competencial. Es claro, indica, que el precepto impugnado no puede suplir la omisión, en la legislación laboral, de cualquier referencia a la composición paritaria de los órganos de negociación colectiva y que su alcance se limita a ser una pauta inspiradora de una futura regulación.</w:t>
      </w:r>
    </w:p>
    <w:p w:rsidR="00A90898" w:rsidRDefault="00A90898" w:rsidP="00A90898">
      <w:pPr>
        <w:pStyle w:val="TextoNormal"/>
      </w:pPr>
    </w:p>
    <w:p w:rsidR="00A90898" w:rsidRDefault="00A90898" w:rsidP="00A90898">
      <w:pPr>
        <w:pStyle w:val="TextoNormal"/>
      </w:pPr>
      <w:r>
        <w:lastRenderedPageBreak/>
        <w:t>En cuanto al segundo apartado del precepto añade que no cabe duda de que estamos ante un supuesto de requerimiento de información que ya obra en poder de la Administración, lo que en modo alguno puede ser causa de un reproche de constitucionalidad, ya que se trata pura y simplemente del requerimiento de una información específica de carácter estadístico que viene amparado por la competencia establecida en el art. 153 EAC.</w:t>
      </w:r>
    </w:p>
    <w:p w:rsidR="00A90898" w:rsidRDefault="00A90898" w:rsidP="00A90898">
      <w:pPr>
        <w:pStyle w:val="TextoNormal"/>
      </w:pPr>
    </w:p>
    <w:p w:rsidR="00A90898" w:rsidRDefault="00A90898" w:rsidP="00A90898">
      <w:pPr>
        <w:pStyle w:val="TextoNormal"/>
      </w:pPr>
      <w:r>
        <w:t>En relación con el artículo 41, relativo a la incorporación de la perspectiva de género en los expedientes de regulación de empleo, señala que el apartado primero del artículo contiene simplemente una directriz, un criterio orientativo, dirigido a la instancia competente en materia de aplicación y ejecución de la legislación laboral, que es, la Generalitat de Cataluña. Esta directriz emana del ejercicio de la competencia sobre políticas de género del art. 153 EAC. En virtud de esta directriz, considera un deber jurídico incorporar la perspectiva de género en el ejercicio de la competencia ejecutiva en materia de expedientes de regulación de empleo.</w:t>
      </w:r>
    </w:p>
    <w:p w:rsidR="00A90898" w:rsidRDefault="00A90898" w:rsidP="00A90898">
      <w:pPr>
        <w:pStyle w:val="TextoNormal"/>
      </w:pPr>
    </w:p>
    <w:p w:rsidR="00A90898" w:rsidRDefault="00A90898" w:rsidP="00A90898">
      <w:pPr>
        <w:pStyle w:val="TextoNormal"/>
      </w:pPr>
      <w:r>
        <w:t>Sobre la referencia que los apartados tercero y cuarto del precepto hace a la inspección de trabajo, señala que solo puede interpretarse como una referencia a la inspección de trabajo de Cataluña, es decir, al servicio público que, dentro del departamento correspondiente tiene atribuida la función de vigilancia y exigencia del cumplimiento de las normas del orden social en materia laboral, entre las que cabe incluir, los principios y criterios derivados de la perspectiva de género.</w:t>
      </w:r>
    </w:p>
    <w:p w:rsidR="00A90898" w:rsidRDefault="00A90898" w:rsidP="00A90898">
      <w:pPr>
        <w:pStyle w:val="TextoNormal"/>
      </w:pPr>
    </w:p>
    <w:p w:rsidR="00A90898" w:rsidRDefault="00A90898" w:rsidP="00A90898">
      <w:pPr>
        <w:pStyle w:val="TextoNormal"/>
      </w:pPr>
      <w:r>
        <w:t>Respecto del artículo 44, relativo a la prevención de riegos laboral en la empresa, indica que el primer apartado de este artículo reproduce, mediante una redacción muy similar, lo establecido en el art. 25.2 de Ley 31/1995, de 8 de noviembre, de prevención de riesgos laborales, con la finalidad de completar la ley en cuanto texto normativo que aspira a ser comprensivo de las situaciones más críticas y potencialmente perjudiciales asociadas al trato discriminatorio por razón de género. Pero, a su juicio, no añade ninguna obligación adicional ni ninguna carga no prevista en la legislación estatal, ya que la única interpretación posible de dichos preceptos solo puede realizarse de acuerdo con la legislación vigente que es la expresión con la que se inicia la redacción del apartado primero. Esa legislación es la legislación estatal, por lo que el artículo impugnado no puede ser susceptible del reproche de inconstitucionalidad.</w:t>
      </w:r>
    </w:p>
    <w:p w:rsidR="00A90898" w:rsidRDefault="00A90898" w:rsidP="00A90898">
      <w:pPr>
        <w:pStyle w:val="TextoNormal"/>
      </w:pPr>
    </w:p>
    <w:p w:rsidR="00A90898" w:rsidRDefault="00A90898" w:rsidP="00A90898">
      <w:pPr>
        <w:pStyle w:val="TextoNormal"/>
      </w:pPr>
      <w:r>
        <w:t>Por último, en relación a los artículos 59 a 64 que regulan el régimen sancionador, considera que se trata de una impugnación desproporcionada que debería haberse circunscrito al artículo 59 sin extenderse al resto de preceptos, y puramente preventiva, que procura un pronunciamiento del Tribunal antes de que se haya producido una hipotética extralimitación competencial por vía de la aplicación de dicho régimen, por lo que debería dar lugar a su rechazo, sin perjuicio de considerar conforme con el orden constitucional de distribución de competencias el régimen sancionador establecido en los artículos 59 a 64.</w:t>
      </w:r>
    </w:p>
    <w:p w:rsidR="00A90898" w:rsidRDefault="00A90898" w:rsidP="00A90898">
      <w:pPr>
        <w:pStyle w:val="TextoNormal"/>
      </w:pPr>
    </w:p>
    <w:p w:rsidR="00A90898" w:rsidRDefault="00A90898" w:rsidP="00A90898">
      <w:pPr>
        <w:pStyle w:val="TextoNormal"/>
      </w:pPr>
      <w:r w:rsidRPr="00A90898">
        <w:rPr>
          <w:rStyle w:val="NumeroAFNegritaCaracter"/>
        </w:rPr>
        <w:t>7</w:t>
      </w:r>
      <w:r>
        <w:t>. El día 10 de junio de 2016 tuvo entrada en el Registro General de este Tribunal el escrito de alegaciones de la letrada del Parlamento de Cataluña.</w:t>
      </w:r>
    </w:p>
    <w:p w:rsidR="00A90898" w:rsidRDefault="00A90898" w:rsidP="00A90898">
      <w:pPr>
        <w:pStyle w:val="TextoNormal"/>
      </w:pPr>
    </w:p>
    <w:p w:rsidR="00A90898" w:rsidRDefault="00A90898" w:rsidP="00A90898">
      <w:pPr>
        <w:pStyle w:val="TextoNormal"/>
      </w:pPr>
      <w:r>
        <w:t xml:space="preserve">Tras exponer el objeto del recurso de inconstitucionalidad, analiza la evolución del concepto de igualdad efectiva entre hombres y mujeres y la distribución competencial. Así, </w:t>
      </w:r>
      <w:r>
        <w:lastRenderedPageBreak/>
        <w:t>señala que la materia “políticas de género”, entendida como aquella relativa a las actuaciones dirigidas a garantizar y hacer efectiva igualdad formal y material entre mujeres y hombres, aun siendo de especial trascendencia para la consecución de los objetivos propios de un Estado social y democrático como el nuestro, no ha sido objeto de atención por parte del legislador hasta fechas muy recientes. En la Constitución Española y pese a que la igualdad es reconocida como un valor superior del ordenamiento (art. 1.1 CE), la única referencia expresa a la igualdad de género se encuentra en la enumeración de motivos de prohibición de discriminación en su artículo 14. Por lo que respecta a los Estatutos de Autonomía de las diferentes Comunidades Autónomas, en los de la primera etapa algunos reconocen competencias a la respectiva Comunidad Autónoma en materia de promoción de la mujer, pero en los de la segunda etapa, fruto de la reforma de estas normas institucionales básicas autonómicas que se inicia con la aprobación del Estatuto de Autonomía de la Comunidad Valenciana en enero de 2006, ya se introducen expresamente artículos específicos en materia de igualdad efectiva.</w:t>
      </w:r>
    </w:p>
    <w:p w:rsidR="00A90898" w:rsidRDefault="00A90898" w:rsidP="00A90898">
      <w:pPr>
        <w:pStyle w:val="TextoNormal"/>
      </w:pPr>
    </w:p>
    <w:p w:rsidR="00A90898" w:rsidRDefault="00A90898" w:rsidP="00A90898">
      <w:pPr>
        <w:pStyle w:val="TextoNormal"/>
      </w:pPr>
      <w:r>
        <w:t>Recuerda que no es hasta el año 2007, con la aprobación de la Ley Orgánica 3/2007, de 22 de marzo, para la igualdad efectiva de mujeres y hombres, cuando da un paso significativo en materia de políticas de género. Se trata de una Ley específica pero también de una Ley integral y transversal que avanza en la lucha por la igualdad en todos los ámbitos de la sociedad y que incorpora los conceptos, mecanismos y técnicas que a lo largo de los años se han ido acuñando en esta materia, como la necesidad de llevar a cabo acciones o medidas positivas que ayuden a compensar la desigualdad real y garanticen la igualdad de oportunidades, la necesidad de definir y asegurar una presencia equilibrada como requisito de la participación política y social de las mujeres, pero sobre todo porque incorpora el concepto o principio de transversalidad de la perspectiva de género.</w:t>
      </w:r>
    </w:p>
    <w:p w:rsidR="00A90898" w:rsidRDefault="00A90898" w:rsidP="00A90898">
      <w:pPr>
        <w:pStyle w:val="TextoNormal"/>
      </w:pPr>
    </w:p>
    <w:p w:rsidR="00A90898" w:rsidRDefault="00A90898" w:rsidP="00A90898">
      <w:pPr>
        <w:pStyle w:val="TextoNormal"/>
      </w:pPr>
      <w:r>
        <w:t>Señala que tanto la Ley Orgánica 3/2007, como la Ley catalana 17/2015 y el resto de leyes autonómicas aprobadas en la materia, no solo se refieren o definen el principio de transversalidad de las políticas de género, sino que en todas ellas se da visibilidad a la transversalidad incluyendo en su texto preceptos que afectan a distintos ámbitos de la esfera social, cultural y económica en que las mujeres están peor situadas. Afirma que la transversalidad de las políticas de género que exige adoptar la perspectiva de género en todas las políticas públicas plantea una nueva concepción de la materia de igualdad de género y, en consecuencia, también una nueva forma de articular su tratamiento.</w:t>
      </w:r>
    </w:p>
    <w:p w:rsidR="00A90898" w:rsidRDefault="00A90898" w:rsidP="00A90898">
      <w:pPr>
        <w:pStyle w:val="TextoNormal"/>
      </w:pPr>
    </w:p>
    <w:p w:rsidR="00A90898" w:rsidRDefault="00A90898" w:rsidP="00A90898">
      <w:pPr>
        <w:pStyle w:val="TextoNormal"/>
      </w:pPr>
      <w:r>
        <w:t xml:space="preserve">A su juicio, mientras los preceptos que establecen técnicas o medidas antidiscriminatorias o de acción positiva ya estén incluidos en una ley sectorial o sean incorporados por una modificación contenida en una disposición adicional al efecto, en el subsector sectorial del ordenamiento de que se trate, educación, trabajo y empleo, salud, etc., deben residenciarse en el título competencial sectorial correspondiente, los preceptos incluidos en la parte central de las leyes integrales de igualdad efectiva de género, aun cuando incidan en ámbitos materiales que disponen de un título propio, como es el caso de la legislación laboral, deben considerarse el resultado de la necesidad de aplicar el principio de transversalidad por imperativo del derecho comunitario que comporta no sólo la ampliación del concepto de la materia de políticas de género sino también, a efectos pedagógicos o divulgativos, la visualización en una ley integral, es decir, al máximo nivel normativo, de la perspectiva de la transversalidad que debe presidir cualquier actuación pública en esta materia. Por ello y porque la regulación que en dichos preceptos se establece está estrictamente dirigida a hacer </w:t>
      </w:r>
      <w:r>
        <w:lastRenderedPageBreak/>
        <w:t>efectivo el derecho de igualdad de género debe afirmarse que los mismos son fruto del ejercicio de la competencia transversal en materia de igualdad de género que reconoce al Estado el art. 149.1.1 CE en relación a los arts. 14 y 9.2 CE, y que a nivel autonómico catalán reconoce a la Generalitat de Cataluña el art. 153 EAC.</w:t>
      </w:r>
    </w:p>
    <w:p w:rsidR="00A90898" w:rsidRDefault="00A90898" w:rsidP="00A90898">
      <w:pPr>
        <w:pStyle w:val="TextoNormal"/>
      </w:pPr>
    </w:p>
    <w:p w:rsidR="00A90898" w:rsidRDefault="00A90898" w:rsidP="00A90898">
      <w:pPr>
        <w:pStyle w:val="TextoNormal"/>
      </w:pPr>
      <w:r>
        <w:t xml:space="preserve">Señala que los preceptos recurridos, aunque tengan incidencia en el mundo del trabajo y del empleo, el título competencial que fundamentalmente ampara esta regulación es el de igualdad de género. Mientras que el legislador autonómico catalán no puede dictar normas que modifiquen o complementen lo establecido por el Estado en virtud de su competencia </w:t>
      </w:r>
      <w:r w:rsidRPr="00A90898">
        <w:rPr>
          <w:i/>
        </w:rPr>
        <w:t>ex</w:t>
      </w:r>
      <w:r>
        <w:t xml:space="preserve"> art. 149.1.7 CE, pues sólo le corresponden en esta materia competencias de mera ejecución, sí puede dictarlas, en ejercicio de la competencia que en materia de “políticas de género” le reconoce el art. 153 EAC, aunque en este caso lo dispuesto por el Estado en ejercicio de su competencia exclusiva en materia de legislación laboral operará como límite para el legislador catalán.</w:t>
      </w:r>
    </w:p>
    <w:p w:rsidR="00A90898" w:rsidRDefault="00A90898" w:rsidP="00A90898">
      <w:pPr>
        <w:pStyle w:val="TextoNormal"/>
      </w:pPr>
    </w:p>
    <w:p w:rsidR="00A90898" w:rsidRDefault="00A90898" w:rsidP="00A90898">
      <w:pPr>
        <w:pStyle w:val="TextoNormal"/>
      </w:pPr>
      <w:r>
        <w:t>A continuación la Letrada del Parlamento de Cataluña analiza cada uno de los preceptos impugnados.</w:t>
      </w:r>
    </w:p>
    <w:p w:rsidR="00A90898" w:rsidRDefault="00A90898" w:rsidP="00A90898">
      <w:pPr>
        <w:pStyle w:val="TextoNormal"/>
      </w:pPr>
    </w:p>
    <w:p w:rsidR="00A90898" w:rsidRDefault="00A90898" w:rsidP="00A90898">
      <w:pPr>
        <w:pStyle w:val="TextoNormal"/>
      </w:pPr>
      <w:r>
        <w:t>Indica que los artículos 33, 36 y 44.1 de la Ley del Parlamento de Cataluña 17/2015, tienen en común el reproducir preceptos contenidos en la Ley Orgánica 3/2007 y dicha reproducción trae causa de la necesidad de evidenciar la transversalidad de la materia de igualdad de género y dar sentido a la disposición autonómica. No determinan una modificación, derogación o desplazamiento de la regulación establecida por el Estado, sino simplemente completan y dan coherencia a un texto legal, reforzando la perspectiva transversal en la regulación de las políticas de género por imperativo del derecho comunitario europeo. Sólo así se explica, a su entender, que las distintas leyes de las Comunidades Autónomas dediquen parte de su articulado a regular medidas de igualdad de género referidas al ámbito del empleo y del trabajo, y que las aprobadas con posterioridad a la Ley Orgánica 3/2007, además reproduzcan el contenido de los preceptos de la ley básica en materia de igualdad de género que incidan en un ámbito que como el relativo al trabajo pertenece casi en exclusiva al Estado. Cita en este sentido, entre otras, la Ley de la Comunidad Autónoma del País Vasco 4/2005, de 18 de febrero, para la igualdad de mujeres y hombres; la Ley 12/2007, de 26 de noviembre, para la promoción de la igualdad de género en Andalucía; la Ley 12/2010, de 18 de noviembre, de igualdad entre mujeres y hombres de Castilla La Mancha, y la Ley de la Comunidad Autónoma Valenciana 9/2003, de 2 de abril, para la igualdad entre mujeres y hombres.</w:t>
      </w:r>
    </w:p>
    <w:p w:rsidR="00A90898" w:rsidRDefault="00A90898" w:rsidP="00A90898">
      <w:pPr>
        <w:pStyle w:val="TextoNormal"/>
      </w:pPr>
    </w:p>
    <w:p w:rsidR="00A90898" w:rsidRDefault="00A90898" w:rsidP="00A90898">
      <w:pPr>
        <w:pStyle w:val="TextoNormal"/>
      </w:pPr>
      <w:r>
        <w:t>Por ello, afirma que si bien es cierto que la intensidad y formas de regulación de la igualdad de género en el ámbito de empleo o en el ámbito laboral, desarrollada por las distintas Comunidades Autónomas, es muy variada y adopta diversos matices y enfoques, también queda patente que todas esas leyes autonómicas incluyen preceptos relativos a la materia laboral, aunque sea simplemente para reproducir o reiterar el contenido de la legislación estatal en esta materia; ello es una pura consecuencia de la transversalidad inherente a la materia de igualdad o políticas de género, puesto que cuando las Comunidades Autónomas legislan en esta materia deben necesariamente proyectar también su regulación al mundo del trabajo y del empleo, pues son ámbitos emblemáticos que están en el origen de la lucha por la igualdad real de sexos.</w:t>
      </w:r>
    </w:p>
    <w:p w:rsidR="00A90898" w:rsidRDefault="00A90898" w:rsidP="00A90898">
      <w:pPr>
        <w:pStyle w:val="TextoNormal"/>
      </w:pPr>
    </w:p>
    <w:p w:rsidR="00A90898" w:rsidRDefault="00A90898" w:rsidP="00A90898">
      <w:pPr>
        <w:pStyle w:val="TextoNormal"/>
      </w:pPr>
      <w:r>
        <w:lastRenderedPageBreak/>
        <w:t>Por lo que se refiere al artículo 39, que crea el denominado responsable sindical de igualdad, señala que la inclusión de este artículo obedece a exigencias de transversalidad, publicitación, pedagogía e inteligibilidad de la regulación autonómica, pero, por un lado, al ejercer la competencia horizontal o transversal de igualdad de género, el legislador autonómico deberá respetar el límite que supone el ejercicio por el Estado de sus competencias exclusivas y por tanto no podrá modificar o desplazar la aplicación de la normativa que sólo puede dictar el Estado, pero, por otro lado, lo dispuesto en la ley autonómica también debe ser interpretado de forma armónica con su encaje en el sistema jurídico español, de forma y manera que resulte inconstitucional, siempre que, como es el caso, esa interpretación sea posible. Añade que si se realiza una lectura detenida del precepto se puede comprobar que en realidad dicho artículo ni tan siquiera crea la figura del responsable sindical de igualdad y se limita a adjudicar al mismo funciones que no son sino el reflejo de la obligación de aplicar la transversalidad de género en todos los ámbitos de la vida. El verdadero alcance del artículo 39 es el de una norma más de tipo programático que de carácter obligatorio puesto que las pretendidas funciones adjudicadas al delegado sindical son concreciones del principio de transversalidad.</w:t>
      </w:r>
    </w:p>
    <w:p w:rsidR="00A90898" w:rsidRDefault="00A90898" w:rsidP="00A90898">
      <w:pPr>
        <w:pStyle w:val="TextoNormal"/>
      </w:pPr>
    </w:p>
    <w:p w:rsidR="00A90898" w:rsidRDefault="00A90898" w:rsidP="00A90898">
      <w:pPr>
        <w:pStyle w:val="TextoNormal"/>
      </w:pPr>
      <w:r>
        <w:t>Sobre el artículo 40, que lleva por rúbrica “presencia de mujeres y hombres en la negociación colectiva”, señala que no condiciona, ni siquiera de manera indirecta, la composición de los órganos de negociación colectiva, ni consiguientemente incurre en tacha de inconstitucionalidad. El precepto contiene una simple pauta reguladora para una futura regulación y una declaración de intenciones dirigida a concienciar de la necesidad de progresar hacia la paridad en la negociación colectiva.</w:t>
      </w:r>
    </w:p>
    <w:p w:rsidR="00A90898" w:rsidRDefault="00A90898" w:rsidP="00A90898">
      <w:pPr>
        <w:pStyle w:val="TextoNormal"/>
      </w:pPr>
    </w:p>
    <w:p w:rsidR="00A90898" w:rsidRDefault="00A90898" w:rsidP="00A90898">
      <w:pPr>
        <w:pStyle w:val="TextoNormal"/>
      </w:pPr>
      <w:r>
        <w:t>En relación con el artículo 41, relativo a la “incorporación de la perspectiva de género en los expedientes de regulación de empleo”, afirma que el primer apartado del artículo no impone ningún deber nuevo a la Administración de la Generalitat puesto que únicamente concreta, en relación a los expedientes de regulación, el principio de transversalidad de género que debe presidir el diseño y aplicación de todas las políticas públicas y que resulta del derecho comunitario y de lo dispuesto en el art. 15 de la Ley Orgánica 3/2007. Es una directriz o criterio orientativo de actuación dirigido a la que es la instancia competente para ejecutar la legislación laboral por el Estado, la Generalitat de Cataluña, y lo mismo afirma respecto del apartado segundo. Los apartados tercero y cuarto del precepto se refieren, a su juicio, a la Inspección de Trabajo de Cataluña, al servicio público que tiene atribuida la función de vigilancia y exigencia del cumplimiento de las normas de orden social en materia laboral.</w:t>
      </w:r>
    </w:p>
    <w:p w:rsidR="00A90898" w:rsidRDefault="00A90898" w:rsidP="00A90898">
      <w:pPr>
        <w:pStyle w:val="TextoNormal"/>
      </w:pPr>
    </w:p>
    <w:p w:rsidR="00A90898" w:rsidRDefault="00A90898" w:rsidP="00A90898">
      <w:pPr>
        <w:pStyle w:val="TextoNormal"/>
      </w:pPr>
      <w:r>
        <w:t>Por lo que se refiere al artículo 44, sobre “prevención de riesgos laborales en la empresa”, considera que no se está imponiendo a las empresas deber o carga jurídica que no existiese antes de la aprobación del precepto recurrido.</w:t>
      </w:r>
    </w:p>
    <w:p w:rsidR="00A90898" w:rsidRDefault="00A90898" w:rsidP="00A90898">
      <w:pPr>
        <w:pStyle w:val="TextoNormal"/>
      </w:pPr>
    </w:p>
    <w:p w:rsidR="00A90898" w:rsidRDefault="00A90898" w:rsidP="00A90898">
      <w:pPr>
        <w:pStyle w:val="TextoNormal"/>
      </w:pPr>
      <w:r>
        <w:t xml:space="preserve">Por último, en relación con los artículos 59 a 64, que contienen el régimen sancionador de la ley, afirma que se está ante una impugnación desproporcionada que debería, llegado el caso, limitarse estrictamente al artículo 59 de la Ley del Parlamento de Cataluña 17/2015 y no a todos los preceptos que integran el régimen sancionador de la ley. Además, y partiendo de la plena constitucionalidad de la regulación sustantiva contenida en los artículos 33, 36, apartados 1 a 4, 39, 40, 41 y 44, no puede sino afirmarse la constitucionalidad del </w:t>
      </w:r>
      <w:r>
        <w:lastRenderedPageBreak/>
        <w:t>régimen sancionador, dado el carácter instrumental respecto de los artículos integrantes del régimen sancionador de dicha ley.</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20 de septiembre de 2016, se señaló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el Abogado del Estado, en nombre del Presidente del Gobierno, contra los artículos 33, 36 —en sus apartados 1 a 4—, 39, 40, 41, 44 y 59 a 64 de la Ley del Parlamento de Cataluña 17/2015, de 21 de julio, de igualdad efectiva entre mujeres y hombres.</w:t>
      </w:r>
    </w:p>
    <w:p w:rsidR="00A90898" w:rsidRDefault="00A90898" w:rsidP="00A90898">
      <w:pPr>
        <w:pStyle w:val="TextoNormal"/>
      </w:pPr>
    </w:p>
    <w:p w:rsidR="00A90898" w:rsidRDefault="00A90898" w:rsidP="00A90898">
      <w:pPr>
        <w:pStyle w:val="TextoNormal"/>
      </w:pPr>
      <w:r>
        <w:t>El recurso se formula por motivos exclusivamente competenciales, al considerar el Abogado del Estado que los preceptos impugnados vulneran el art. 149.1.7 CE al extralimitarse en cuanto a la potestad de las Comunidades Autónomas para ejecutar la legislación laboral.</w:t>
      </w:r>
    </w:p>
    <w:p w:rsidR="00A90898" w:rsidRDefault="00A90898" w:rsidP="00A90898">
      <w:pPr>
        <w:pStyle w:val="TextoNormal"/>
      </w:pPr>
    </w:p>
    <w:p w:rsidR="00A90898" w:rsidRDefault="00A90898" w:rsidP="00A90898">
      <w:pPr>
        <w:pStyle w:val="TextoNormal"/>
      </w:pPr>
      <w:r>
        <w:t>La Generalitat y el Parlamento de Cataluña solicitan la desestimación del recurso de inconstitucionalidad al considerar que el título competencial que fundamenta esta norma es el art. 153 del Estatuto de Autonomía de Cataluña (EAC), que atribuye a dicha Comunidad Autónoma la competencia exclusiva en materia de políticas de género.</w:t>
      </w:r>
    </w:p>
    <w:p w:rsidR="00A90898" w:rsidRDefault="00A90898" w:rsidP="00A90898">
      <w:pPr>
        <w:pStyle w:val="TextoNormal"/>
      </w:pPr>
    </w:p>
    <w:p w:rsidR="00A90898" w:rsidRDefault="00A90898" w:rsidP="00A90898">
      <w:pPr>
        <w:pStyle w:val="TextoNormal"/>
      </w:pPr>
      <w:r w:rsidRPr="00A90898">
        <w:rPr>
          <w:rStyle w:val="NumeroAFNegritaCaracter"/>
        </w:rPr>
        <w:t>2</w:t>
      </w:r>
      <w:r>
        <w:t>. La Ley del Parlamento de Cataluña 17/2015, de 21 de julio, de igualdad efectiva entre mujeres y hombres, persigue, de acuerdo con lo dispuesto en su preámbulo, “reforzar las medidas y mecanismos concretos para conseguir que los poderes públicos lleven a cabo políticas y actuaciones destinadas a erradicar el fenómeno de la desigualdad entre mujeres y hombres, que sitúa a las mujeres en una situación de subordinación y desventaja social y económica respecto de los hombres y que impide que las mujeres ejerzan plenamente sus derechos como ciudadanas”. Se trata de “una regulación propia y singular, realizada de acuerdo con las competencias del autogobierno de Cataluña, que completa la normativa relativa a la paridad y se enmarca dentro de la categoría de norma específica complementaria de la Ley Orgánica 3/2007, de 22 de marzo, para la igualdad efectiva de mujeres y hombres, que incorpora modificaciones legislativas sustanciales para avanzar hacia esa igualdad efectiva y establece medidas transversales en todos los órdenes de la vida, con el fin de erradicar las discriminaciones contra las mujeres, además de adecuarse al marco normativo comunitario y a los objetivos más avanzados en materia de transversalidad de género formulados por las distintas instituciones de la Unión Europea”.</w:t>
      </w:r>
    </w:p>
    <w:p w:rsidR="00A90898" w:rsidRDefault="00A90898" w:rsidP="00A90898">
      <w:pPr>
        <w:pStyle w:val="TextoNormal"/>
      </w:pPr>
    </w:p>
    <w:p w:rsidR="00A90898" w:rsidRDefault="00A90898" w:rsidP="00A90898">
      <w:pPr>
        <w:pStyle w:val="TextoNormal"/>
      </w:pPr>
      <w:r>
        <w:t>El capítulo IV de la Ley del Parlamento de Cataluña 17/2015, establece las políticas públicas para la promoción de la igualdad en los diferentes ámbitos de actuación. Dentro de este capítulo, la Sección Tercera, que lleva por rúbrica “Trabajo, empleo y empresa”, en la que se incluyen los artículos impugnados 33, 36 —en sus apartados 1 a 4—, 39, 40, 41 y 44, establece medidas para garantizar el derecho al trabajo en igualdad de oportunidades. Los artículos 59 a 64, también impugnados, están incluidos en el capítulo V, “Medidas para garantizar el cumplimiento de la Ley”, sección tercera, “Régimen Sancionador”.</w:t>
      </w:r>
    </w:p>
    <w:p w:rsidR="00A90898" w:rsidRDefault="00A90898" w:rsidP="00A90898">
      <w:pPr>
        <w:pStyle w:val="TextoNormal"/>
      </w:pPr>
    </w:p>
    <w:p w:rsidR="00A90898" w:rsidRDefault="00A90898" w:rsidP="00A90898">
      <w:pPr>
        <w:pStyle w:val="TextoNormal"/>
      </w:pPr>
      <w:r>
        <w:lastRenderedPageBreak/>
        <w:t>Por su parte, la Ley Orgánica 3/2007, de 22 de marzo, para la igualdad efectiva de mujeres y hombres, tiene por objeto ”hacer efectivo el derecho de igualdad de trato y de oportunidades entre mujeres y hombres, en particular mediante la eliminación de la discriminación de la mujer, sea cual fuere su circunstancia o condición, en cualesquiera de los ámbitos de la vida y, singularmente, en las esferas política, civil, laboral, económica, social y cultural para, en el desarrollo de los artículos 9.2 y 14 de la Constitución, alcanzar una sociedad más democrática, más justa y más solidaria. A estos efectos, la Ley establece principios de actuación de los poderes públicos, regula derechos y deberes de las personas físicas y jurídicas, tanto públicas como privadas, y prevé medidas destinadas a eliminar y corregir en los sectores público y privado, toda forma de discriminación por razón de sexo” (art. 1).</w:t>
      </w:r>
    </w:p>
    <w:p w:rsidR="00A90898" w:rsidRDefault="00A90898" w:rsidP="00A90898">
      <w:pPr>
        <w:pStyle w:val="TextoNormal"/>
      </w:pPr>
    </w:p>
    <w:p w:rsidR="00A90898" w:rsidRDefault="00A90898" w:rsidP="00A90898">
      <w:pPr>
        <w:pStyle w:val="TextoNormal"/>
      </w:pPr>
      <w:r>
        <w:t>Especial atención presta la Ley a la corrección de la desigualdad en el ámbito específico de las relaciones laborales. Así, el título IV de la Ley, sobre “El derecho al trabajo en igualdad de oportunidades”, y cuyos preceptos, de conformidad con lo dispuesto en la disposición final primera, apartado 3, de dicha Ley constituyen legislación laboral de aplicación en todo el Estado, de acuerdo con el art. 149.1.7 CE, incorpora medidas para garantizar la igualdad entre mujeres y hombres en el acceso al empleo, en la formación y en la promoción profesionales, y en las condiciones de trabajo. Incluye además, entre los derechos laborales de los trabajadores y las trabajadoras, la protección frente al acoso sexual y al acoso por razón de sexo.</w:t>
      </w:r>
    </w:p>
    <w:p w:rsidR="00A90898" w:rsidRDefault="00A90898" w:rsidP="00A90898">
      <w:pPr>
        <w:pStyle w:val="TextoNormal"/>
      </w:pPr>
    </w:p>
    <w:p w:rsidR="00A90898" w:rsidRDefault="00A90898" w:rsidP="00A90898">
      <w:pPr>
        <w:pStyle w:val="TextoNormal"/>
      </w:pPr>
      <w:r>
        <w:t>Para abordar la resolución del conflicto planteado procede, en primer lugar, analizar el contenido y alcance de los títulos competenciales alegados por las partes, para luego, en segundo lugar, efectuar el encuadramiento competencial de los concretos preceptos controvertidos.</w:t>
      </w:r>
    </w:p>
    <w:p w:rsidR="00A90898" w:rsidRDefault="00A90898" w:rsidP="00A90898">
      <w:pPr>
        <w:pStyle w:val="TextoNormal"/>
      </w:pPr>
    </w:p>
    <w:p w:rsidR="00A90898" w:rsidRDefault="00A90898" w:rsidP="00A90898">
      <w:pPr>
        <w:pStyle w:val="TextoNormal"/>
      </w:pPr>
      <w:r>
        <w:t>Los títulos competenciales en conflicto, según se alega en el recurso planteado, son el estatal de “legislación laboral” (art. 149.1.7 CE), y el autonómico sobre “políticas de género” (art. 153 EAC).</w:t>
      </w:r>
    </w:p>
    <w:p w:rsidR="00A90898" w:rsidRDefault="00A90898" w:rsidP="00A90898">
      <w:pPr>
        <w:pStyle w:val="TextoNormal"/>
      </w:pPr>
    </w:p>
    <w:p w:rsidR="00A90898" w:rsidRDefault="00A90898" w:rsidP="00A90898">
      <w:pPr>
        <w:pStyle w:val="TextoNormal"/>
      </w:pPr>
      <w:r>
        <w:t>Por lo que se refiere al título competencial “legislación laboral”, la Constitución atribuye al Estado la ordenación general en material laboral, siendo las Cortes Generales y no las Asambleas Legislativas de las Comunidades Autónomas las que ostentan la potestad legislativa en el ámbito laboral y la expresión “legislación” que define la competencia exclusiva del Estado en materia laboral ha de ser entendida en sentido material, sea cual fuere el rango formal de las normas, por lo que ha de incluir tanto a las leyes como a los reglamentos llamados ejecutivos, es decir, aquellos que aparecen como desarrollo de la ley y, por ende, como complementarios de la misma (SSTC 18/1982, de 4 de mayo, FJ 5; 360/1993, de 3 de diciembre, FJ 4; 95/2002, de 25 de abril, FJ 8; 190/2002, de 17 de octubre, FJ 6; 230/2003, de 18 de diciembre, FJ 4; 51/2006, de 16 de febrero, FJ 4; 194/2011, de 13 de diciembre, FJ 4, y 111/2012, de 24 de mayo, FJ 7).</w:t>
      </w:r>
    </w:p>
    <w:p w:rsidR="00A90898" w:rsidRDefault="00A90898" w:rsidP="00A90898">
      <w:pPr>
        <w:pStyle w:val="TextoNormal"/>
      </w:pPr>
    </w:p>
    <w:p w:rsidR="00A90898" w:rsidRDefault="00A90898" w:rsidP="00A90898">
      <w:pPr>
        <w:pStyle w:val="TextoNormal"/>
      </w:pPr>
      <w:r>
        <w:t xml:space="preserve">Si bien el término “legislación” admite la fuerza expansiva indicada, la interpretación del calificativo “laboral” que lo acompaña debe ser, por el contrario, restringida. Ciertamente, como tuvimos la oportunidad de indicar en la STC 35/1982, de 14 de junio (FJ 2), el término “laboral” previsto en el art. 149.1.7 CE no puede entenderse como indicativo de cualquier referencia al mundo del trabajo, sino que es forzoso “dar a ese adjetivo un sentido concreto y restringido, coincidente por lo demás con el uso habitual, como referido sólo al trabajo </w:t>
      </w:r>
      <w:r>
        <w:lastRenderedPageBreak/>
        <w:t>por cuenta ajena, entendiendo por consiguiente como legislación laboral aquella que regula directamente la relación laboral”, es decir, la relación que media entre los trabajadores por cuenta ajena y las empresas dentro de cuyo ámbito de organización y dirección prestan sus servicios (en igual sentido, SSTC 95/2002, de 25 de abril, FJ 8; 190/2002, de 17 de octubre, FJ 6, y 111/2012, de 24 de mayo, FJ 7).</w:t>
      </w:r>
    </w:p>
    <w:p w:rsidR="00A90898" w:rsidRDefault="00A90898" w:rsidP="00A90898">
      <w:pPr>
        <w:pStyle w:val="TextoNormal"/>
      </w:pPr>
    </w:p>
    <w:p w:rsidR="00A90898" w:rsidRDefault="00A90898" w:rsidP="00A90898">
      <w:pPr>
        <w:pStyle w:val="TextoNormal"/>
      </w:pPr>
      <w:r>
        <w:t>También conviene recordar que la competencia normativa estatal sobre esta materia es completa “de modo que ningún espacio de regulación externa les resta a las Comunidades Autónomas, las cuales únicamente pueden disponer de una competencia de mera ejecución de la normación estatal” (STC 195/1996, de 28 de noviembre, FJ 11; en igual sentido, SSTC 51/2006, de 16 de febrero, FJ 4, y 111/2012, de 24 de mayo, FJ 7).</w:t>
      </w:r>
    </w:p>
    <w:p w:rsidR="00A90898" w:rsidRDefault="00A90898" w:rsidP="00A90898">
      <w:pPr>
        <w:pStyle w:val="TextoNormal"/>
      </w:pPr>
    </w:p>
    <w:p w:rsidR="00A90898" w:rsidRDefault="00A90898" w:rsidP="00A90898">
      <w:pPr>
        <w:pStyle w:val="TextoNormal"/>
      </w:pPr>
      <w:r>
        <w:t>En suma, “dentro del concepto de ‘legislación laboral’ al que el art. 149.1.7 CE hace referencia, tienen encaje todas las normas que, con independencia de su rango, regulan —tanto en su aspecto individual como colectivo— la relación laboral, esto es, la relación jurídica existente entre el trabajador asalariado y la empresa para la que presta sus servicios, cuyo estatuto jurídico deriva de la existencia de un contrato de trabajo. Conforme al citado precepto constitucional, el Estado tiene atribuida la competencia exclusiva sobre esa materia, por lo que a las Comunidades Autónomas les resta únicamente el papel de ejecutar la legislación laboral estatal dictada al respecto” (STC 228/2012, de 29 de noviembre, FJ 3).</w:t>
      </w:r>
    </w:p>
    <w:p w:rsidR="00A90898" w:rsidRDefault="00A90898" w:rsidP="00A90898">
      <w:pPr>
        <w:pStyle w:val="TextoNormal"/>
      </w:pPr>
    </w:p>
    <w:p w:rsidR="00A90898" w:rsidRDefault="00A90898" w:rsidP="00A90898">
      <w:pPr>
        <w:pStyle w:val="TextoNormal"/>
      </w:pPr>
      <w:r>
        <w:t>En efecto, la competencia autonómica en esta materia es sólo de ejecución, e incluye la emanación de reglamentos internos de organización de los servicios necesarios (SSTC 249/1988, de 20 de diciembre, FJ 2, y 158/2004, de 21 de septiembre, FJ 5), de regulación 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w:t>
      </w:r>
    </w:p>
    <w:p w:rsidR="00A90898" w:rsidRDefault="00A90898" w:rsidP="00A90898">
      <w:pPr>
        <w:pStyle w:val="TextoNormal"/>
      </w:pPr>
    </w:p>
    <w:p w:rsidR="00A90898" w:rsidRDefault="00A90898" w:rsidP="00A90898">
      <w:pPr>
        <w:pStyle w:val="TextoNormal"/>
      </w:pPr>
      <w:r>
        <w:t>En esta línea se enmarca el art. 170 EAC, según el cual corresponde a la Generalitat de Cataluña la competencia ejecutiva en materia de trabajo y relaciones laborales.</w:t>
      </w:r>
    </w:p>
    <w:p w:rsidR="00A90898" w:rsidRDefault="00A90898" w:rsidP="00A90898">
      <w:pPr>
        <w:pStyle w:val="TextoNormal"/>
      </w:pPr>
    </w:p>
    <w:p w:rsidR="00A90898" w:rsidRDefault="00A90898" w:rsidP="00A90898">
      <w:pPr>
        <w:pStyle w:val="TextoNormal"/>
      </w:pPr>
      <w:r>
        <w:t>Por su parte, la Generalitat de Cataluña sostiene que el título competencial en el que se ampara la Ley 17/2015, de 21 de julio, es el de políticas de género, de competencia exclusiva de la Generalitat de Cataluña de conformidad con el art. 153 EAC. Señala el citado precepto:</w:t>
      </w:r>
    </w:p>
    <w:p w:rsidR="00A90898" w:rsidRDefault="00A90898" w:rsidP="00A90898">
      <w:pPr>
        <w:pStyle w:val="TextoNormal"/>
      </w:pPr>
    </w:p>
    <w:p w:rsidR="00A90898" w:rsidRDefault="00A90898" w:rsidP="00A90898">
      <w:pPr>
        <w:pStyle w:val="TextoNormal"/>
      </w:pPr>
      <w:r>
        <w:t>“Corresponde a la Generalitat la competencia exclusiva en materia de políticas de género, que, respetando lo establecido por el Estado en el ejercicio de la competencia que le atribuye el artículo 149.1.1 de la Constitución, incluye en todo caso:</w:t>
      </w:r>
    </w:p>
    <w:p w:rsidR="00A90898" w:rsidRDefault="00A90898" w:rsidP="00A90898">
      <w:pPr>
        <w:pStyle w:val="TextoNormal"/>
      </w:pPr>
    </w:p>
    <w:p w:rsidR="00A90898" w:rsidRDefault="00A90898" w:rsidP="00A90898">
      <w:pPr>
        <w:pStyle w:val="TextoNormal"/>
      </w:pPr>
      <w:r>
        <w:t>a) La planificación, diseño, ejecución, evaluación y control de normas, planes y directrices generales en materia de políticas para la mujer, así como el establecimiento de acciones positivas para conseguir erradicar la discriminación por razón de sexo que tengan que ejecutarse con carácter unitario para todo el territorio de Cataluña.</w:t>
      </w:r>
    </w:p>
    <w:p w:rsidR="00A90898" w:rsidRDefault="00A90898" w:rsidP="00A90898">
      <w:pPr>
        <w:pStyle w:val="TextoNormal"/>
      </w:pPr>
    </w:p>
    <w:p w:rsidR="00A90898" w:rsidRDefault="00A90898" w:rsidP="00A90898">
      <w:pPr>
        <w:pStyle w:val="TextoNormal"/>
      </w:pPr>
      <w:r>
        <w:lastRenderedPageBreak/>
        <w:t>b) La promoción del asociacionismo de mujeres que realizan actividades relacionadas con la igualdad y la no discriminación y de las iniciativas de participación.</w:t>
      </w:r>
    </w:p>
    <w:p w:rsidR="00A90898" w:rsidRDefault="00A90898" w:rsidP="00A90898">
      <w:pPr>
        <w:pStyle w:val="TextoNormal"/>
      </w:pPr>
    </w:p>
    <w:p w:rsidR="00A90898" w:rsidRDefault="00A90898" w:rsidP="00A90898">
      <w:pPr>
        <w:pStyle w:val="TextoNormal"/>
      </w:pPr>
      <w:r>
        <w:t>c) La regulación de las medidas y los instrumentos para la sensibilización sobre la violencia de género y para su detección y prevención, así como la regulación de servicios y recursos propios destinados a conseguir una protección integral de las mujeres que han sufrido o sufren este tipo de violencia.”</w:t>
      </w:r>
    </w:p>
    <w:p w:rsidR="00A90898" w:rsidRDefault="00A90898" w:rsidP="00A90898">
      <w:pPr>
        <w:pStyle w:val="TextoNormal"/>
      </w:pPr>
    </w:p>
    <w:p w:rsidR="00A90898" w:rsidRDefault="00A90898" w:rsidP="00A90898">
      <w:pPr>
        <w:pStyle w:val="TextoNormal"/>
      </w:pPr>
      <w:r>
        <w:t>La delimitación entre la materia política de género y otras materias puede resultar compleja dado el carácter transversal e intersectorial de la política de género que afecta a todos los órdenes de la vida. En este sentido, el objeto de la Ley del Parlamento de Cataluña 17/2015 es hacer efectivo el derecho a la igualdad y a la no discriminación por razón de sexo en todos los ámbitos, etapas y circunstancias de la vida (artículo 1), y con ese objetivo se incluyen diferentes medidas que, en su conjunto, tienen como finalidad integrar en las políticas, actuaciones y actividades de los poderes públicos el principio de igualdad efectiva y real entre mujeres y hombres. Este propósito determina la aparición de una serie de políticas públicas sectoriales en las que se plasma la voluntad del legislador (participación política y social de las mujeres; educación, cultura y conocimiento; trabajo, empleo y empresa; políticas sociales; medio ambiente, urbanismo, vivienda y movilidad; justicia y seguridad; estadísticas y estudios). Así, muchas de las medidas que se introducen en la Ley de igualdad de la Comunidad Autónoma de Cataluña, al igual que sucede en la Ley Orgánica de igualdad estatal, vienen respaldadas, con carácter general, por el título competencial correspondiente a la materia regulada. La materia política de género se proyecta de un modo genérico sobre todas las materias reguladas en la Ley de igualdad pero si existe un título específico que atribuye al Estado o a la Comunidad Autónoma competencia sobre una determinada materia la competencia sobre política de género pasa a un segundo plano pues, de lo contrario, quedaría desbordado el ámbito y sentido de este título competencial que no puede operar como un título capaz de introducirse en cualquier materia o sector del ordenamiento. El legislador autonómico puede dictar medidas relativas al título competencial de políticas de género en caso de que afecten a sectores sobre los que tenga competencia.</w:t>
      </w:r>
    </w:p>
    <w:p w:rsidR="00A90898" w:rsidRDefault="00A90898" w:rsidP="00A90898">
      <w:pPr>
        <w:pStyle w:val="TextoNormal"/>
      </w:pPr>
    </w:p>
    <w:p w:rsidR="00A90898" w:rsidRDefault="00A90898" w:rsidP="00A90898">
      <w:pPr>
        <w:pStyle w:val="TextoNormal"/>
      </w:pPr>
      <w:r w:rsidRPr="00A90898">
        <w:rPr>
          <w:rStyle w:val="NumeroAFNegritaCaracter"/>
        </w:rPr>
        <w:t>3</w:t>
      </w:r>
      <w:r>
        <w:t>. Una vez examinados los distintos títulos competenciales invocados por las partes en el presente recurso, debemos analizar cada uno de los preceptos de la Ley del Parlamento de Cataluña 17/2015 que se impugnan, para lo cual será necesario determinar previamente en cada caso si se encuadran en la materia “legislación laboral” o de “políticas de género”.</w:t>
      </w:r>
    </w:p>
    <w:p w:rsidR="00A90898" w:rsidRDefault="00A90898" w:rsidP="00A90898">
      <w:pPr>
        <w:pStyle w:val="TextoNormal"/>
      </w:pPr>
    </w:p>
    <w:p w:rsidR="00A90898" w:rsidRDefault="00A90898" w:rsidP="00A90898">
      <w:pPr>
        <w:pStyle w:val="TextoNormal"/>
      </w:pPr>
      <w:r>
        <w:t>Siguiendo su orden numérico, el primer precepto impugnado es el artículo 33, relativo a la prevención del acoso sexual y del acoso por razón de sexo en las empresas. Este artículo prevé que las empresas deben adoptar medidas específicas, negociadas con la representación legal de los trabajadores, para prevenir el acoso sexual y el acoso por razón de sexo, así como promover condiciones de trabajo que eviten este tipo de acoso:</w:t>
      </w:r>
    </w:p>
    <w:p w:rsidR="00A90898" w:rsidRDefault="00A90898" w:rsidP="00A90898">
      <w:pPr>
        <w:pStyle w:val="TextoNormal"/>
      </w:pPr>
    </w:p>
    <w:p w:rsidR="00A90898" w:rsidRDefault="00A90898" w:rsidP="00A90898">
      <w:pPr>
        <w:pStyle w:val="TextoNormal"/>
      </w:pPr>
      <w:r>
        <w:t>“Artículo 33. Prevención del acoso sexual y del acoso por razón de sexo en las empresas</w:t>
      </w:r>
    </w:p>
    <w:p w:rsidR="00A90898" w:rsidRDefault="00A90898" w:rsidP="00A90898">
      <w:pPr>
        <w:pStyle w:val="TextoNormal"/>
      </w:pPr>
    </w:p>
    <w:p w:rsidR="00A90898" w:rsidRDefault="00A90898" w:rsidP="00A90898">
      <w:pPr>
        <w:pStyle w:val="TextoNormal"/>
      </w:pPr>
      <w:r>
        <w:t>1. Las empresas deben adoptar medidas específicas, negociadas con la representación legal de los trabajadores, para prevenir el acoso sexual y el acoso por razón de sexo, así como promover condiciones de trabajo que eviten este tipo de acoso.</w:t>
      </w:r>
    </w:p>
    <w:p w:rsidR="00A90898" w:rsidRDefault="00A90898" w:rsidP="00A90898">
      <w:pPr>
        <w:pStyle w:val="TextoNormal"/>
      </w:pPr>
    </w:p>
    <w:p w:rsidR="00A90898" w:rsidRDefault="00A90898" w:rsidP="00A90898">
      <w:pPr>
        <w:pStyle w:val="TextoNormal"/>
      </w:pPr>
      <w:r>
        <w:lastRenderedPageBreak/>
        <w:t>2. Las empresas deben arbitrar procedimientos específicos para dar respuesta a las denuncias o reclamaciones que pueda formular quien haya sido objeto de acoso.</w:t>
      </w:r>
    </w:p>
    <w:p w:rsidR="00A90898" w:rsidRDefault="00A90898" w:rsidP="00A90898">
      <w:pPr>
        <w:pStyle w:val="TextoNormal"/>
      </w:pPr>
    </w:p>
    <w:p w:rsidR="00A90898" w:rsidRDefault="00A90898" w:rsidP="00A90898">
      <w:pPr>
        <w:pStyle w:val="TextoNormal"/>
      </w:pPr>
      <w:r>
        <w:t>3. Los representantes de los trabajadores deben contribuir activamente a la prevención del acoso sexual y del acoso por razón de sexo sensibilizando a los trabajadores e informando a la dirección de la empresa de los comportamientos detectados que puedan propiciarlo.</w:t>
      </w:r>
    </w:p>
    <w:p w:rsidR="00A90898" w:rsidRDefault="00A90898" w:rsidP="00A90898">
      <w:pPr>
        <w:pStyle w:val="TextoNormal"/>
      </w:pPr>
    </w:p>
    <w:p w:rsidR="00A90898" w:rsidRDefault="00A90898" w:rsidP="00A90898">
      <w:pPr>
        <w:pStyle w:val="TextoNormal"/>
      </w:pPr>
      <w:r>
        <w:t>4. El acoso sexual y el acoso por razón de sexo en el trabajo tienen la consideración de discriminación directa por razón de sexo, sin perjuicio de su tipificación como delito.”</w:t>
      </w:r>
    </w:p>
    <w:p w:rsidR="00A90898" w:rsidRDefault="00A90898" w:rsidP="00A90898">
      <w:pPr>
        <w:pStyle w:val="TextoNormal"/>
      </w:pPr>
    </w:p>
    <w:p w:rsidR="00A90898" w:rsidRDefault="00A90898" w:rsidP="00A90898">
      <w:pPr>
        <w:pStyle w:val="TextoNormal"/>
      </w:pPr>
      <w:r>
        <w:t>El precepto determina los procedimientos que deben arbitrar las empresas para dar respuesta a las denuncias o reclamaciones que pueda formular quien haya sido objeto de acoso, así como el deber de los representantes de los trabajadores de contribuir activamente a la prevención del acoso sexual, lo que implica que estamos ante una materia de carácter laboral pues se trata de una previsión directamente relacionada con los deberes del empresario en la relación con sus trabajadores. El precepto también regula la consideración que merece el acoso sexual y el acoso por razón de sexo en el trabajo, lo que constituye igualmente materia laboral pues se trata de calificar una conducta que tiene lugar en el trabajo. En este sentido, el art. 4.2 e) del texto refundido de la Ley del estatuto de los trabajadores enumera, entre los derechos que tienen los trabajadores en la relación de trabajo, la protección frente “al acoso sexual y al acoso por razón de sexo”.</w:t>
      </w:r>
    </w:p>
    <w:p w:rsidR="00A90898" w:rsidRDefault="00A90898" w:rsidP="00A90898">
      <w:pPr>
        <w:pStyle w:val="TextoNormal"/>
      </w:pPr>
    </w:p>
    <w:p w:rsidR="00A90898" w:rsidRDefault="00A90898" w:rsidP="00A90898">
      <w:pPr>
        <w:pStyle w:val="TextoNormal"/>
      </w:pPr>
      <w:r>
        <w:t>Para el Abogado del Estado el contenido de este precepto resulta similar, y materialmente coincidente, con lo dispuesto en el art. 48 de la Ley Orgánica 3/2007, de 22 de marzo, para la igualdad efectiva de mujeres y hombres, y, por ello, a su juicio, siguiendo lo dispuesto en la STC 341/2005, de 21 de diciembre, en relación con la reproducción de normas estatales en otras de ámbito autonómico, la norma es inconstitucional al incidir en un ámbito en el que la competencia legislativa es exclusiva del Estado.</w:t>
      </w:r>
    </w:p>
    <w:p w:rsidR="00A90898" w:rsidRDefault="00A90898" w:rsidP="00A90898">
      <w:pPr>
        <w:pStyle w:val="TextoNormal"/>
      </w:pPr>
    </w:p>
    <w:p w:rsidR="00A90898" w:rsidRDefault="00A90898" w:rsidP="00A90898">
      <w:pPr>
        <w:pStyle w:val="TextoNormal"/>
      </w:pPr>
      <w:r>
        <w:t>Para dar respuesta a esta cuestión resulta necesario reproducir el contenido del art. 48 de la Ley Orgánica 3/2007, de 22 de marzo, para la igualdad efectiva de mujeres y hombres:</w:t>
      </w:r>
    </w:p>
    <w:p w:rsidR="00A90898" w:rsidRDefault="00A90898" w:rsidP="00A90898">
      <w:pPr>
        <w:pStyle w:val="TextoNormal"/>
      </w:pPr>
    </w:p>
    <w:p w:rsidR="00A90898" w:rsidRDefault="00A90898" w:rsidP="00A90898">
      <w:pPr>
        <w:pStyle w:val="TextoNormal"/>
      </w:pPr>
      <w:r>
        <w:t>“Artículo 48 Medidas específicas para prevenir el acoso sexual y el acoso por razón de sexo en el trabajo</w:t>
      </w:r>
    </w:p>
    <w:p w:rsidR="00A90898" w:rsidRDefault="00A90898" w:rsidP="00A90898">
      <w:pPr>
        <w:pStyle w:val="TextoNormal"/>
      </w:pPr>
    </w:p>
    <w:p w:rsidR="00A90898" w:rsidRDefault="00A90898" w:rsidP="00A90898">
      <w:pPr>
        <w:pStyle w:val="TextoNormal"/>
      </w:pPr>
      <w:r>
        <w:t>1. Las empresas deberán promover condiciones de trabajo que eviten el acoso sexual y el acoso por razón de sexo y arbitrar procedimientos específicos para su prevención y para dar cauce a las denuncias o reclamaciones que puedan formular quienes hayan sido objeto del mismo.</w:t>
      </w:r>
    </w:p>
    <w:p w:rsidR="00A90898" w:rsidRDefault="00A90898" w:rsidP="00A90898">
      <w:pPr>
        <w:pStyle w:val="TextoNormal"/>
      </w:pPr>
    </w:p>
    <w:p w:rsidR="00A90898" w:rsidRDefault="00A90898" w:rsidP="00A90898">
      <w:pPr>
        <w:pStyle w:val="TextoNormal"/>
      </w:pPr>
      <w:r>
        <w:t>Con esta finalidad se podrán establecer medidas que deberán negociarse con los representantes de los trabajadores, tales como la elaboración y difusión de códigos de buenas prácticas, la realización de campañas informativas o acciones de formación.</w:t>
      </w:r>
    </w:p>
    <w:p w:rsidR="00A90898" w:rsidRDefault="00A90898" w:rsidP="00A90898">
      <w:pPr>
        <w:pStyle w:val="TextoNormal"/>
      </w:pPr>
    </w:p>
    <w:p w:rsidR="00A90898" w:rsidRDefault="00A90898" w:rsidP="00A90898">
      <w:pPr>
        <w:pStyle w:val="TextoNormal"/>
      </w:pPr>
      <w:r>
        <w:t xml:space="preserve">2. Los representantes de los trabajadores deberán contribuir a prevenir el acoso sexual y el acoso por razón de sexo en el trabajo mediante la sensibilización de los trabajadores y </w:t>
      </w:r>
      <w:r>
        <w:lastRenderedPageBreak/>
        <w:t>trabajadoras frente al mismo y la información a la dirección de la empresa de las conductas o comportamientos de que tuvieran conocimiento y que pudieran propiciarlo.”</w:t>
      </w:r>
    </w:p>
    <w:p w:rsidR="00A90898" w:rsidRDefault="00A90898" w:rsidP="00A90898">
      <w:pPr>
        <w:pStyle w:val="TextoNormal"/>
      </w:pPr>
    </w:p>
    <w:p w:rsidR="00A90898" w:rsidRDefault="00A90898" w:rsidP="00A90898">
      <w:pPr>
        <w:pStyle w:val="TextoNormal"/>
      </w:pPr>
      <w:r>
        <w:t xml:space="preserve">Como puede comprobarse, la ley estatal impone a las empresas y a los representantes de los trabajadores la obligación de promover condiciones de trabajo que eviten el acoso sexual y el acoso por razón de sexto en el trabajo, y el artículo 33 apartados 1, 2 y 3 de la norma impugnada reproduce esta misma obligación. Estamos, pues, ante un supuesto de </w:t>
      </w:r>
      <w:r w:rsidRPr="00A90898">
        <w:rPr>
          <w:i/>
        </w:rPr>
        <w:t>lex repetita</w:t>
      </w:r>
      <w:r>
        <w:t>, debiendo recordarse al respecto nuestra doctrina conforme a la cual la reproducción de normas estatales por leyes autonómicas, además de constituir una deficiente técnica legislativa, incurre en inconstitucionalidad cuando esa reproducción normativa se concreta en normas relativas a materias en las que la Comunidad Autónoma carece de competencia [entre otras, SSTC 62/1991, de 22 de marzo, FJ 4 b); 147/1993, de 29 de abril, FJ 4, y 341/2005, de 21 de diciembre, FJ 9], como es el caso.</w:t>
      </w:r>
    </w:p>
    <w:p w:rsidR="00A90898" w:rsidRDefault="00A90898" w:rsidP="00A90898">
      <w:pPr>
        <w:pStyle w:val="TextoNormal"/>
      </w:pPr>
    </w:p>
    <w:p w:rsidR="00A90898" w:rsidRDefault="00A90898" w:rsidP="00A90898">
      <w:pPr>
        <w:pStyle w:val="TextoNormal"/>
      </w:pPr>
      <w:r>
        <w:t>Por consiguiente, procede declarar la inconstitucionalidad de los apartados 1, 2 y 3 del artículo 33 de la Ley del Parlamento de Cataluña 17/2015, pues al enmarcarse dichos apartados en la materia laboral, solo el Estado tiene competencia para imponer a las empresas y a los representantes de los trabajadores el deber de prevenir el acoso sexual y el acoso por razón de sexo en el trabajo, debiendo limitarse las Comunidades Autónomas a adoptar, en el ejercicio de sus competencias de ejecución, las medidas necesarias para garantizar su cumplimiento.</w:t>
      </w:r>
    </w:p>
    <w:p w:rsidR="00A90898" w:rsidRDefault="00A90898" w:rsidP="00A90898">
      <w:pPr>
        <w:pStyle w:val="TextoNormal"/>
      </w:pPr>
    </w:p>
    <w:p w:rsidR="00A90898" w:rsidRDefault="00A90898" w:rsidP="00A90898">
      <w:pPr>
        <w:pStyle w:val="TextoNormal"/>
      </w:pPr>
      <w:r>
        <w:t xml:space="preserve">Por lo que se refiere al apartado 4 del artículo 33 que considera discriminación directa por razón de sexo el acoso sexual y el acoso por razón de sexo en el trabajo, la norma no reproduce en este caso ningún precepto de la Ley Orgánica 3/2007 por lo que no estamos ante un supuesto de </w:t>
      </w:r>
      <w:r w:rsidRPr="00A90898">
        <w:rPr>
          <w:i/>
        </w:rPr>
        <w:t>lex repetita</w:t>
      </w:r>
      <w:r>
        <w:t>. Ahora bien, como ya hemos señalado, nos encontramos con una regla que debe enmarcarse en materia laboral pues no se trata de considerar el acoso sexual o el acoso por razón de sexo sin más como discriminatorios, como hace el art. 7.3 de la Ley Orgánica 3/2007, sino el acoso sexual y el acoso por razón de sexo que tienen lugar en el trabajo. En consecuencia, el apartado 4 debe también declararse inconstitucional pues regula una materia competencia exclusiva del Estado.</w:t>
      </w:r>
    </w:p>
    <w:p w:rsidR="00A90898" w:rsidRDefault="00A90898" w:rsidP="00A90898">
      <w:pPr>
        <w:pStyle w:val="TextoNormal"/>
      </w:pPr>
    </w:p>
    <w:p w:rsidR="00A90898" w:rsidRDefault="00A90898" w:rsidP="00A90898">
      <w:pPr>
        <w:pStyle w:val="TextoNormal"/>
      </w:pPr>
      <w:r w:rsidRPr="00A90898">
        <w:rPr>
          <w:rStyle w:val="NumeroAFNegritaCaracter"/>
        </w:rPr>
        <w:t>4</w:t>
      </w:r>
      <w:r>
        <w:t>. El siguiente precepto impugnado es el artículo 36, en sus apartados 1 a 4, sobre los planes de igualdad en las empresas. Este artículo prevé que las empresas con más de 250 trabajadores, aquellas cuyo convenio colectivo así lo establezca y las que estén obligadas porque la autoridad laboral así lo haya acordado en un proceso sancionador, deben elaborar y aplicar un plan de igualdad:</w:t>
      </w:r>
    </w:p>
    <w:p w:rsidR="00A90898" w:rsidRDefault="00A90898" w:rsidP="00A90898">
      <w:pPr>
        <w:pStyle w:val="TextoNormal"/>
      </w:pPr>
    </w:p>
    <w:p w:rsidR="00A90898" w:rsidRDefault="00A90898" w:rsidP="00A90898">
      <w:pPr>
        <w:pStyle w:val="TextoNormal"/>
      </w:pPr>
      <w:r>
        <w:t>“Artículo 36 Planes de igualdad en las empresas</w:t>
      </w:r>
    </w:p>
    <w:p w:rsidR="00A90898" w:rsidRDefault="00A90898" w:rsidP="00A90898">
      <w:pPr>
        <w:pStyle w:val="TextoNormal"/>
      </w:pPr>
    </w:p>
    <w:p w:rsidR="00A90898" w:rsidRDefault="00A90898" w:rsidP="00A90898">
      <w:pPr>
        <w:pStyle w:val="TextoNormal"/>
      </w:pPr>
      <w:r>
        <w:t>1. Todas las empresas están obligadas a respetar la igualdad de trato y de oportunidades en el ámbito laboral y, a este fin, deben adoptar medidas destinadas a evitar cualquier tipo de discriminación laboral entre mujeres y hombres. Dichas medidas deben negociarse y, en su caso, acordarse con los representantes legales de los trabajadores en la forma que determine la legislación vigente. En este sentido, deben elaborar y aplicar un plan de igualdad:</w:t>
      </w:r>
    </w:p>
    <w:p w:rsidR="00A90898" w:rsidRDefault="00A90898" w:rsidP="00A90898">
      <w:pPr>
        <w:pStyle w:val="TextoNormal"/>
      </w:pPr>
    </w:p>
    <w:p w:rsidR="00A90898" w:rsidRDefault="00A90898" w:rsidP="00A90898">
      <w:pPr>
        <w:pStyle w:val="TextoNormal"/>
      </w:pPr>
      <w:r>
        <w:lastRenderedPageBreak/>
        <w:t>a) Las empresas con más de doscientos cincuenta trabajadores, de acuerdo con lo establecido por el artículo 46 de la Ley orgánica 3/2007, de 22 de marzo, para la igualdad efectiva de mujeres y hombres.</w:t>
      </w:r>
    </w:p>
    <w:p w:rsidR="00A90898" w:rsidRDefault="00A90898" w:rsidP="00A90898">
      <w:pPr>
        <w:pStyle w:val="TextoNormal"/>
      </w:pPr>
    </w:p>
    <w:p w:rsidR="00A90898" w:rsidRDefault="00A90898" w:rsidP="00A90898">
      <w:pPr>
        <w:pStyle w:val="TextoNormal"/>
      </w:pPr>
      <w:r>
        <w:t>b) Las empresas cuyo convenio colectivo así lo establezca, en los términos que disponga.</w:t>
      </w:r>
    </w:p>
    <w:p w:rsidR="00A90898" w:rsidRDefault="00A90898" w:rsidP="00A90898">
      <w:pPr>
        <w:pStyle w:val="TextoNormal"/>
      </w:pPr>
    </w:p>
    <w:p w:rsidR="00A90898" w:rsidRDefault="00A90898" w:rsidP="00A90898">
      <w:pPr>
        <w:pStyle w:val="TextoNormal"/>
      </w:pPr>
      <w:r>
        <w:t>c) Las empresas que estén obligadas porque la autoridad laboral así lo haya acordado en un proceso sancionador.</w:t>
      </w:r>
    </w:p>
    <w:p w:rsidR="00A90898" w:rsidRDefault="00A90898" w:rsidP="00A90898">
      <w:pPr>
        <w:pStyle w:val="TextoNormal"/>
      </w:pPr>
    </w:p>
    <w:p w:rsidR="00A90898" w:rsidRDefault="00A90898" w:rsidP="00A90898">
      <w:pPr>
        <w:pStyle w:val="TextoNormal"/>
      </w:pPr>
      <w:r>
        <w:t>2. Los poderes públicos deben favorecer la elaboración e implantación de planes de igualdad en las empresas no incluidas en el apartado 1.</w:t>
      </w:r>
    </w:p>
    <w:p w:rsidR="00A90898" w:rsidRDefault="00A90898" w:rsidP="00A90898">
      <w:pPr>
        <w:pStyle w:val="TextoNormal"/>
      </w:pPr>
    </w:p>
    <w:p w:rsidR="00A90898" w:rsidRDefault="00A90898" w:rsidP="00A90898">
      <w:pPr>
        <w:pStyle w:val="TextoNormal"/>
      </w:pPr>
      <w:r>
        <w:t>3. Los planes de igualdad deben incluir actuaciones de racionalización de horarios que faciliten la conciliación de las responsabilidades profesionales con la vida personal y familiar de los trabajadores.</w:t>
      </w:r>
    </w:p>
    <w:p w:rsidR="00A90898" w:rsidRDefault="00A90898" w:rsidP="00A90898">
      <w:pPr>
        <w:pStyle w:val="TextoNormal"/>
      </w:pPr>
    </w:p>
    <w:p w:rsidR="00A90898" w:rsidRDefault="00A90898" w:rsidP="00A90898">
      <w:pPr>
        <w:pStyle w:val="TextoNormal"/>
      </w:pPr>
      <w:r>
        <w:t>4. Las empresas de menos de doscientos cincuenta trabajadores pueden elaborar e implantar planes de igualdad previa consulta a los representantes de los trabajadores.”</w:t>
      </w:r>
    </w:p>
    <w:p w:rsidR="00A90898" w:rsidRDefault="00A90898" w:rsidP="00A90898">
      <w:pPr>
        <w:pStyle w:val="TextoNormal"/>
      </w:pPr>
    </w:p>
    <w:p w:rsidR="00A90898" w:rsidRDefault="00A90898" w:rsidP="00A90898">
      <w:pPr>
        <w:pStyle w:val="TextoNormal"/>
      </w:pPr>
      <w:r>
        <w:t>Se trata de una norma que, con carácter general, se enmarca dentro del término de “legislación laboral”, porque regula una concreta obligación empresarial en el ámbito de la relación laboral. Sólo el apartado 2 puede encuadrarse en la materia política de género porque contiene un mandato dirigido a los poderes públicos para que favorezcan la elaboración e implantación de planes de igualdad en las empresas, pero no establece una regulación que afecte a la relación entre el empresario y sus trabajadores.</w:t>
      </w:r>
    </w:p>
    <w:p w:rsidR="00A90898" w:rsidRDefault="00A90898" w:rsidP="00A90898">
      <w:pPr>
        <w:pStyle w:val="TextoNormal"/>
      </w:pPr>
    </w:p>
    <w:p w:rsidR="00A90898" w:rsidRDefault="00A90898" w:rsidP="00A90898">
      <w:pPr>
        <w:pStyle w:val="TextoNormal"/>
      </w:pPr>
      <w:r>
        <w:t>Como señala el art. 17.5 del texto refundido de la Ley del estatuto de los trabajadores, el establecimiento de planes de igualdad en las empresas se ajustará a lo dispuesto en esta ley y en la Ley Orgánica 3/2007, de 22 de marzo, para la igualdad efectiva de mujeres y hombres. Los planes de igualdad de las empresas son un conjunto ordenado de medidas, adoptadas después de realizar un diagnóstico de situación, tendentes a alcanzar en la empresa la igualdad de trato y de oportunidades entre mujeres y hombres y a eliminar la discriminación por razón de sexo (art. 46 de la Ley Orgánica 3/2007).</w:t>
      </w:r>
    </w:p>
    <w:p w:rsidR="00A90898" w:rsidRDefault="00A90898" w:rsidP="00A90898">
      <w:pPr>
        <w:pStyle w:val="TextoNormal"/>
      </w:pPr>
    </w:p>
    <w:p w:rsidR="00A90898" w:rsidRDefault="00A90898" w:rsidP="00A90898">
      <w:pPr>
        <w:pStyle w:val="TextoNormal"/>
      </w:pPr>
      <w:r>
        <w:t>El artículo 45 de la Ley Orgánica 3/2007, para la igualdad efectiva de mujeres y hombres, regula su elaboración y aplicación, y el art. 36 de la Ley del Parlamento de Cataluña 17/2015 reproduce en gran medida su contenido.</w:t>
      </w:r>
    </w:p>
    <w:p w:rsidR="00A90898" w:rsidRDefault="00A90898" w:rsidP="00A90898">
      <w:pPr>
        <w:pStyle w:val="TextoNormal"/>
      </w:pPr>
    </w:p>
    <w:p w:rsidR="00A90898" w:rsidRDefault="00A90898" w:rsidP="00A90898">
      <w:pPr>
        <w:pStyle w:val="TextoNormal"/>
      </w:pPr>
      <w:r>
        <w:t>“Artículo 45 Elaboración y aplicación de los planes de igualdad</w:t>
      </w:r>
    </w:p>
    <w:p w:rsidR="00A90898" w:rsidRDefault="00A90898" w:rsidP="00A90898">
      <w:pPr>
        <w:pStyle w:val="TextoNormal"/>
      </w:pPr>
    </w:p>
    <w:p w:rsidR="00A90898" w:rsidRDefault="00A90898" w:rsidP="00A90898">
      <w:pPr>
        <w:pStyle w:val="TextoNormal"/>
      </w:pPr>
      <w:r>
        <w:t>1. Las empresas están obligadas a respetar la igualdad de trato y de oportunidades en el ámbito laboral y, con esta finalidad, deberán adoptar medidas dirigidas a evitar cualquier tipo de discriminación laboral entre mujeres y hombres, medidas que deberán negociar, y en su caso acordar, con los representantes legales de los trabajadores en la forma que se determine en la legislación laboral.</w:t>
      </w:r>
    </w:p>
    <w:p w:rsidR="00A90898" w:rsidRDefault="00A90898" w:rsidP="00A90898">
      <w:pPr>
        <w:pStyle w:val="TextoNormal"/>
      </w:pPr>
    </w:p>
    <w:p w:rsidR="00A90898" w:rsidRDefault="00A90898" w:rsidP="00A90898">
      <w:pPr>
        <w:pStyle w:val="TextoNormal"/>
      </w:pPr>
      <w:r>
        <w:lastRenderedPageBreak/>
        <w:t>2. En el caso de las empresas de más de doscientos cincuenta trabajadores, las medidas de igualdad a que se refiere el apartado anterior deberán dirigirse a la elaboración y aplicación de un plan de igualdad, con el alcance y contenido establecidos en este capítulo, que deberá ser asimismo objeto de negociación en la forma que se determine en la legislación laboral.</w:t>
      </w:r>
    </w:p>
    <w:p w:rsidR="00A90898" w:rsidRDefault="00A90898" w:rsidP="00A90898">
      <w:pPr>
        <w:pStyle w:val="TextoNormal"/>
      </w:pPr>
    </w:p>
    <w:p w:rsidR="00A90898" w:rsidRDefault="00A90898" w:rsidP="00A90898">
      <w:pPr>
        <w:pStyle w:val="TextoNormal"/>
      </w:pPr>
      <w:r>
        <w:t>3. Sin perjuicio de lo dispuesto en el apartado anterior, las empresas deberán elaborar y aplicar un plan de igualdad cuando así se establezca en el convenio colectivo que sea aplicable, en los términos previstos en el mismo.</w:t>
      </w:r>
    </w:p>
    <w:p w:rsidR="00A90898" w:rsidRDefault="00A90898" w:rsidP="00A90898">
      <w:pPr>
        <w:pStyle w:val="TextoNormal"/>
      </w:pPr>
    </w:p>
    <w:p w:rsidR="00A90898" w:rsidRDefault="00A90898" w:rsidP="00A90898">
      <w:pPr>
        <w:pStyle w:val="TextoNormal"/>
      </w:pPr>
      <w:r>
        <w:t>4. Las empresas también elaborarán y aplicarán un plan de igualdad, previa negociación o consulta, en su caso, con la representación legal de los trabajadores y trabajadoras, cuando la autoridad laboral hubiera acordado en un procedimiento sancionador la sustitución de las sanciones accesorias por la elaboración y aplicación de dicho plan, en los términos que se fijen en el indicado acuerdo.</w:t>
      </w:r>
    </w:p>
    <w:p w:rsidR="00A90898" w:rsidRDefault="00A90898" w:rsidP="00A90898">
      <w:pPr>
        <w:pStyle w:val="TextoNormal"/>
      </w:pPr>
    </w:p>
    <w:p w:rsidR="00A90898" w:rsidRDefault="00A90898" w:rsidP="00A90898">
      <w:pPr>
        <w:pStyle w:val="TextoNormal"/>
      </w:pPr>
      <w:r>
        <w:t>5. La elaboración e implantación de planes de igualdad será voluntaria para las demás empresas, previa consulta a la representación legal de los trabajadores y trabajadoras.”</w:t>
      </w:r>
    </w:p>
    <w:p w:rsidR="00A90898" w:rsidRDefault="00A90898" w:rsidP="00A90898">
      <w:pPr>
        <w:pStyle w:val="TextoNormal"/>
      </w:pPr>
    </w:p>
    <w:p w:rsidR="00A90898" w:rsidRDefault="00A90898" w:rsidP="00A90898">
      <w:pPr>
        <w:pStyle w:val="TextoNormal"/>
      </w:pPr>
      <w:r>
        <w:t xml:space="preserve">Los apartados 1 y 4 del artículo 36 de la norma impugnada coinciden con lo dispuesto en el art. 45 de la Ley Orgánica 3/2007 al imponer la obligación de negociar planes de igualdad en las empresas de más de doscientos cincuenta trabajadores, en las que el convenio colectivo así lo establezca y cuando la autoridad laboral lo acuerde en un proceso sancionador, siendo voluntaria su elaboración en las demás empresas. Por tanto, nos encontramos de nuevo ante un supuesto de </w:t>
      </w:r>
      <w:r w:rsidRPr="00A90898">
        <w:rPr>
          <w:i/>
        </w:rPr>
        <w:t>lex repetita</w:t>
      </w:r>
      <w:r>
        <w:t>, operación que debe declararse ilegítima cuando las Comunidades Autónomas carecen de toda competencia para legislar sobre una materia (SSTC 162/1996, de 17 de octubre, FJ 3; 150/1998, de 2 de julio, FJ 4, y 341/2005, de 21 de diciembre, FJ 9), como es el caso, al encontrarnos ante una regulación que por su contenido y naturaleza queda encuadrada en la legislación laboral.</w:t>
      </w:r>
    </w:p>
    <w:p w:rsidR="00A90898" w:rsidRDefault="00A90898" w:rsidP="00A90898">
      <w:pPr>
        <w:pStyle w:val="TextoNormal"/>
      </w:pPr>
    </w:p>
    <w:p w:rsidR="00A90898" w:rsidRDefault="00A90898" w:rsidP="00A90898">
      <w:pPr>
        <w:pStyle w:val="TextoNormal"/>
      </w:pPr>
      <w:r>
        <w:t>Por su parte, lo previsto en los apartados 2 y 3 del art. 36 de la Ley del Parlamento de Cataluña 17/2015 no aparece recogido en el art. 45 de la Ley Orgánica 3/2007, y tampoco en el artículo 46 de dicha Ley Orgánica relativo al contenido de los planes de igualdad en las empresas.</w:t>
      </w:r>
    </w:p>
    <w:p w:rsidR="00A90898" w:rsidRDefault="00A90898" w:rsidP="00A90898">
      <w:pPr>
        <w:pStyle w:val="TextoNormal"/>
      </w:pPr>
    </w:p>
    <w:p w:rsidR="00A90898" w:rsidRDefault="00A90898" w:rsidP="00A90898">
      <w:pPr>
        <w:pStyle w:val="TextoNormal"/>
      </w:pPr>
      <w:r>
        <w:t>El apartado 3 que hace referencia al contenido de los planes de igualdad imponiendo la inclusión en los mismos de actuaciones de racionalización de horarios, debe declararse inconstitucional al invadir las competencias del Estado en materia de legislación laboral.</w:t>
      </w:r>
    </w:p>
    <w:p w:rsidR="00A90898" w:rsidRDefault="00A90898" w:rsidP="00A90898">
      <w:pPr>
        <w:pStyle w:val="TextoNormal"/>
      </w:pPr>
    </w:p>
    <w:p w:rsidR="00A90898" w:rsidRDefault="00A90898" w:rsidP="00A90898">
      <w:pPr>
        <w:pStyle w:val="TextoNormal"/>
      </w:pPr>
      <w:r>
        <w:t xml:space="preserve">Ahora bien, por lo que se refiere al apartado 2 del artículo 36 debe rechazarse su inconstitucionalidad pues lo único que prevé este apartado es una directriz o criterio de actuación de los poderes públicos en esta materia —entendiendo por poderes públicos las instituciones, órganos estatutarios, administraciones públicas de Cataluña y organismos y entidades dependientes [art. 2 a) de la Ley del Parlamento de Cataluña 17/2015]—, de manera que deben favorecer la elaboración e implantación de planes de igualdad en las empresas que no estén obligadas a ello. Esta previsión no invade las competencias del Estado en materia laboral y, como hemos señalado, se encuentra amparada en el título competencial políticas de género. Los planes de igualdad en las empresas son regulados por la normativa estatal al </w:t>
      </w:r>
      <w:r>
        <w:lastRenderedPageBreak/>
        <w:t>ser una materia laboral, pero partiendo de dicha regulación el apartado 2 solo trata de fomentar su adopción en las empresas que no estén obligadas a implantarlos, sin prever medidas específicas más allá de esa mera orientación o directriz dirigida a los poderes públicos.</w:t>
      </w:r>
    </w:p>
    <w:p w:rsidR="00A90898" w:rsidRDefault="00A90898" w:rsidP="00A90898">
      <w:pPr>
        <w:pStyle w:val="TextoNormal"/>
      </w:pPr>
    </w:p>
    <w:p w:rsidR="00A90898" w:rsidRDefault="00A90898" w:rsidP="00A90898">
      <w:pPr>
        <w:pStyle w:val="TextoNormal"/>
      </w:pPr>
      <w:r w:rsidRPr="00A90898">
        <w:rPr>
          <w:rStyle w:val="NumeroAFNegritaCaracter"/>
        </w:rPr>
        <w:t>5</w:t>
      </w:r>
      <w:r>
        <w:t>. El art. 39 de la Ley del Parlamento de Cataluña 17/2015 regula el denominado responsable sindical de igualdad. Este precepto se refiere a la obligación de los sindicatos con presencia en los centros de trabajo de adjudicar a un delegado sindical la función de velar específicamente por la igualdad de trato y de oportunidades en el marco de la negociación colectiva. Regula también las funciones de este responsable sindical de igualdad y la formación que se le debe exigir:</w:t>
      </w:r>
    </w:p>
    <w:p w:rsidR="00A90898" w:rsidRDefault="00A90898" w:rsidP="00A90898">
      <w:pPr>
        <w:pStyle w:val="TextoNormal"/>
      </w:pPr>
    </w:p>
    <w:p w:rsidR="00A90898" w:rsidRDefault="00A90898" w:rsidP="00A90898">
      <w:pPr>
        <w:pStyle w:val="TextoNormal"/>
      </w:pPr>
      <w:r>
        <w:t>“Artículo 39 Responsable sindical de igualdad</w:t>
      </w:r>
    </w:p>
    <w:p w:rsidR="00A90898" w:rsidRDefault="00A90898" w:rsidP="00A90898">
      <w:pPr>
        <w:pStyle w:val="TextoNormal"/>
      </w:pPr>
    </w:p>
    <w:p w:rsidR="00A90898" w:rsidRDefault="00A90898" w:rsidP="00A90898">
      <w:pPr>
        <w:pStyle w:val="TextoNormal"/>
      </w:pPr>
      <w:r>
        <w:t>1. Los sindicatos con presencia en los centros de trabajo, a través de los correspondientes órganos de representación, deben adjudicar a un delegado sindical la función de velar específicamente por la igualdad de trato y de oportunidades en el marco de la negociación colectiva.</w:t>
      </w:r>
    </w:p>
    <w:p w:rsidR="00A90898" w:rsidRDefault="00A90898" w:rsidP="00A90898">
      <w:pPr>
        <w:pStyle w:val="TextoNormal"/>
      </w:pPr>
    </w:p>
    <w:p w:rsidR="00A90898" w:rsidRDefault="00A90898" w:rsidP="00A90898">
      <w:pPr>
        <w:pStyle w:val="TextoNormal"/>
      </w:pPr>
      <w:r>
        <w:t>2. Las funciones del responsable sindical de igualdad, que tiene la obligación de formarse en materia de igualdad de oportunidades para mujeres y hombres, son:</w:t>
      </w:r>
    </w:p>
    <w:p w:rsidR="00A90898" w:rsidRDefault="00A90898" w:rsidP="00A90898">
      <w:pPr>
        <w:pStyle w:val="TextoNormal"/>
      </w:pPr>
    </w:p>
    <w:p w:rsidR="00A90898" w:rsidRDefault="00A90898" w:rsidP="00A90898">
      <w:pPr>
        <w:pStyle w:val="TextoNormal"/>
      </w:pPr>
      <w:r>
        <w:t>a) Colaborar con el profesional de igualdad de mujeres y hombres de la empresa para promover la igualdad de oportunidades.</w:t>
      </w:r>
    </w:p>
    <w:p w:rsidR="00A90898" w:rsidRDefault="00A90898" w:rsidP="00A90898">
      <w:pPr>
        <w:pStyle w:val="TextoNormal"/>
      </w:pPr>
    </w:p>
    <w:p w:rsidR="00A90898" w:rsidRDefault="00A90898" w:rsidP="00A90898">
      <w:pPr>
        <w:pStyle w:val="TextoNormal"/>
      </w:pPr>
      <w:r>
        <w:t>b) Asesorar a la empresa y a las personas que trabajan en el centro de trabajo en materia de igualdad.</w:t>
      </w:r>
    </w:p>
    <w:p w:rsidR="00A90898" w:rsidRDefault="00A90898" w:rsidP="00A90898">
      <w:pPr>
        <w:pStyle w:val="TextoNormal"/>
      </w:pPr>
    </w:p>
    <w:p w:rsidR="00A90898" w:rsidRDefault="00A90898" w:rsidP="00A90898">
      <w:pPr>
        <w:pStyle w:val="TextoNormal"/>
      </w:pPr>
      <w:r>
        <w:t>c) Integrar sistemáticamente la perspectiva de género en todas las áreas y niveles de intervención de su ámbito funcional.</w:t>
      </w:r>
    </w:p>
    <w:p w:rsidR="00A90898" w:rsidRDefault="00A90898" w:rsidP="00A90898">
      <w:pPr>
        <w:pStyle w:val="TextoNormal"/>
      </w:pPr>
    </w:p>
    <w:p w:rsidR="00A90898" w:rsidRDefault="00A90898" w:rsidP="00A90898">
      <w:pPr>
        <w:pStyle w:val="TextoNormal"/>
      </w:pPr>
      <w:r>
        <w:t>d) Velar por el cumplimiento efectivo de la presente ley en su ámbito funcional.</w:t>
      </w:r>
    </w:p>
    <w:p w:rsidR="00A90898" w:rsidRDefault="00A90898" w:rsidP="00A90898">
      <w:pPr>
        <w:pStyle w:val="TextoNormal"/>
      </w:pPr>
    </w:p>
    <w:p w:rsidR="00A90898" w:rsidRDefault="00A90898" w:rsidP="00A90898">
      <w:pPr>
        <w:pStyle w:val="TextoNormal"/>
      </w:pPr>
      <w:r>
        <w:t>3. Para llevar a cabo las funciones a que se refiere el apartado 2, las organizaciones sindicales han de designar a un responsable sindical de igualdad que posea la titulación específica en materia de igualdad y género. Si el delegado sindical no dispone de dicha titulación, debe garantizarse que adquiera la formación específica.</w:t>
      </w:r>
    </w:p>
    <w:p w:rsidR="00A90898" w:rsidRDefault="00A90898" w:rsidP="00A90898">
      <w:pPr>
        <w:pStyle w:val="TextoNormal"/>
      </w:pPr>
    </w:p>
    <w:p w:rsidR="00A90898" w:rsidRDefault="00A90898" w:rsidP="00A90898">
      <w:pPr>
        <w:pStyle w:val="TextoNormal"/>
      </w:pPr>
      <w:r>
        <w:t>4. La Administración pública debe facilitar programas de apoyo a la formación sindical para la negociación colectiva con perspectiva de género.”</w:t>
      </w:r>
    </w:p>
    <w:p w:rsidR="00A90898" w:rsidRDefault="00A90898" w:rsidP="00A90898">
      <w:pPr>
        <w:pStyle w:val="TextoNormal"/>
      </w:pPr>
    </w:p>
    <w:p w:rsidR="00A90898" w:rsidRDefault="00A90898" w:rsidP="00A90898">
      <w:pPr>
        <w:pStyle w:val="TextoNormal"/>
      </w:pPr>
      <w:r>
        <w:t xml:space="preserve">La calificación de esta previsión como materia laboral no puede ofrecer duda, pues se trata de imponer un determinado deber a los sindicatos con presencia en los centros de trabajo, a través de los correspondientes órganos de representación (secciones sindicales, delegados sindicales), al preverse la creación por los mismos de un órgano específico encargado de velar por la igualdad de trato y de oportunidades en la negociación colectiva. En este sentido, hay que recordar que como señala la STC 228/2012, de 29 de noviembre, FJ 3, “dentro del concepto de ‘legislación laboral’ al que el art. 149.1.7 CE hace referencia, tienen encaje todas las normas que, con independencia de su rango, regulan —tanto en su </w:t>
      </w:r>
      <w:r>
        <w:lastRenderedPageBreak/>
        <w:t>aspecto individual como colectivo— la relación laboral, esto es, la relación jurídica existente entre el trabajador asalariado y la empresa para la que presta sus servicios, cuyo estatuto jurídico deriva de la existencia de un contrato de trabajo”.</w:t>
      </w:r>
    </w:p>
    <w:p w:rsidR="00A90898" w:rsidRDefault="00A90898" w:rsidP="00A90898">
      <w:pPr>
        <w:pStyle w:val="TextoNormal"/>
      </w:pPr>
    </w:p>
    <w:p w:rsidR="00A90898" w:rsidRDefault="00A90898" w:rsidP="00A90898">
      <w:pPr>
        <w:pStyle w:val="TextoNormal"/>
      </w:pPr>
      <w:r>
        <w:t>Además, este órgano tiene la función de velar por la igualdad de trato y de oportunidades en la negociación colectiva y como han señalado las SSTC 35/1982, de 14 de junio, FJ 3, y 57/1982, de 27 de julio, FJ 11, forma parte del contenido propio de la materia laboral, a los efectos del art. 149.1.7 CE, el desarrollo del régimen legal sobre negociación colectiva. En la misma línea, la STC 8/2015, de 22 de enero, FJ 2, ha declarado que “la Constitución de 1978 no diseña un modelo cerrado … de negociación colectiva, correspondiéndole al legislador estatal, en el ejercicio de las funciones que la propia Constitución le confiere, configurar el que considere más idóneo en cada momento (STC 11/1981, de 8 de abril, FJ 7), eligiendo entre las distintas alternativas posibles la que estime más adecuada, no solo para alcanzar los objetivos que aquélla le impone, sino también para adoptar las medidas precisas que garanticen su realización”.</w:t>
      </w:r>
    </w:p>
    <w:p w:rsidR="00A90898" w:rsidRDefault="00A90898" w:rsidP="00A90898">
      <w:pPr>
        <w:pStyle w:val="TextoNormal"/>
      </w:pPr>
    </w:p>
    <w:p w:rsidR="00A90898" w:rsidRDefault="00A90898" w:rsidP="00A90898">
      <w:pPr>
        <w:pStyle w:val="TextoNormal"/>
      </w:pPr>
      <w:r>
        <w:t>Por tanto, es el legislador estatal el que al amparo del art. 149.1.7 CE podría prever la creación del citado órgano pero no la Comunidad Autónoma, por lo que deben declararse inconstitucionales los apartados 1, 2 y 3 del art. 39 de la Ley del Parlamento de Cataluña 17/2015. En este sentido, debe tenerse en cuenta que el art. 64.7 a) del texto refundido de la Ley del estatuto de los trabajadores prevé que el comité de empresa tendrá entre sus competencias ejercer una labor de vigilancia del respeto y aplicación del principio de igualdad de trato y de oportunidades entre mujeres y hombres. Asimismo, de conformidad con lo dispuesto en el art. 64.9 del texto refundido de la Ley del estatuto de los trabajadores, en los convenios colectivos se podrán establecer disposiciones específicas relativas al ejercicio de este derecho, así como al nivel de representación más adecuado para ejercerlo.</w:t>
      </w:r>
    </w:p>
    <w:p w:rsidR="00A90898" w:rsidRDefault="00A90898" w:rsidP="00A90898">
      <w:pPr>
        <w:pStyle w:val="TextoNormal"/>
      </w:pPr>
    </w:p>
    <w:p w:rsidR="00A90898" w:rsidRDefault="00A90898" w:rsidP="00A90898">
      <w:pPr>
        <w:pStyle w:val="TextoNormal"/>
      </w:pPr>
      <w:r>
        <w:t>Por su parte, el apartado 4 prevé que la Administración pública facilite programas de apoyo a la formación sindical para la negociación colectiva con perspectiva de género. Esta previsión no invade las competencias del Estado en materia de legislación laboral pues se trata de un mero criterio de actuación de la Administración pública —bien entendido que se refiere a la Administración pública de Cataluña— encaminado a favorecer la inclusión de la perspectiva de género en la negociación colectiva, pero sin prever medidas específicas a adoptar al respecto.</w:t>
      </w:r>
    </w:p>
    <w:p w:rsidR="00A90898" w:rsidRDefault="00A90898" w:rsidP="00A90898">
      <w:pPr>
        <w:pStyle w:val="TextoNormal"/>
      </w:pPr>
    </w:p>
    <w:p w:rsidR="00A90898" w:rsidRDefault="00A90898" w:rsidP="00A90898">
      <w:pPr>
        <w:pStyle w:val="TextoNormal"/>
      </w:pPr>
      <w:r w:rsidRPr="00A90898">
        <w:rPr>
          <w:rStyle w:val="NumeroAFNegritaCaracter"/>
        </w:rPr>
        <w:t>6</w:t>
      </w:r>
      <w:r>
        <w:t>. El artículo 40 de la Ley del Parlamento de Cataluña 17/2015 hace referencia a la presencia de mujeres y hombres en la negociación colectiva, al prever que las organizaciones empresariales y sindicales, así como los órganos de representación del personal en la empresa, deben promover una representación paritaria de ambos sexos en la negociación colectiva mediante medidas de acción positiva.</w:t>
      </w:r>
    </w:p>
    <w:p w:rsidR="00A90898" w:rsidRDefault="00A90898" w:rsidP="00A90898">
      <w:pPr>
        <w:pStyle w:val="TextoNormal"/>
      </w:pPr>
    </w:p>
    <w:p w:rsidR="00A90898" w:rsidRDefault="00A90898" w:rsidP="00A90898">
      <w:pPr>
        <w:pStyle w:val="TextoNormal"/>
      </w:pPr>
      <w:r>
        <w:t>“Artículo 40 Presencia de mujeres y hombres en la negociación colectiva</w:t>
      </w:r>
    </w:p>
    <w:p w:rsidR="00A90898" w:rsidRDefault="00A90898" w:rsidP="00A90898">
      <w:pPr>
        <w:pStyle w:val="TextoNormal"/>
      </w:pPr>
    </w:p>
    <w:p w:rsidR="00A90898" w:rsidRDefault="00A90898" w:rsidP="00A90898">
      <w:pPr>
        <w:pStyle w:val="TextoNormal"/>
      </w:pPr>
      <w:r>
        <w:t>1. Las organizaciones empresariales y sindicales, así como los órganos de representación del personal en la empresa, deben promover una representación paritaria de ambos sexos en la negociación colectiva mediante medidas de acción positiva.</w:t>
      </w:r>
    </w:p>
    <w:p w:rsidR="00A90898" w:rsidRDefault="00A90898" w:rsidP="00A90898">
      <w:pPr>
        <w:pStyle w:val="TextoNormal"/>
      </w:pPr>
    </w:p>
    <w:p w:rsidR="00A90898" w:rsidRDefault="00A90898" w:rsidP="00A90898">
      <w:pPr>
        <w:pStyle w:val="TextoNormal"/>
      </w:pPr>
      <w:r>
        <w:lastRenderedPageBreak/>
        <w:t>2. La Administración pública competente para el control de la legalidad de los convenios colectivos debe requerir a las empresas la hoja estadística de convenios con los datos significativos sobre la presencia de mujeres en la comisión negociadora y en el ámbito de aplicación de los convenios y acuerdos colectivos.”</w:t>
      </w:r>
    </w:p>
    <w:p w:rsidR="00A90898" w:rsidRDefault="00A90898" w:rsidP="00A90898">
      <w:pPr>
        <w:pStyle w:val="TextoNormal"/>
      </w:pPr>
    </w:p>
    <w:p w:rsidR="00A90898" w:rsidRDefault="00A90898" w:rsidP="00A90898">
      <w:pPr>
        <w:pStyle w:val="TextoNormal"/>
      </w:pPr>
      <w:r>
        <w:t>De nuevo en este precepto nos encontramos ante una regulación que debe encuadrarse en la materia legislación laboral al afectar al contenido del derecho a la negociación colectiva que, como acabamos de señalar en el fundamento jurídico anterior, forma parte del contenido propio de la materia laboral.</w:t>
      </w:r>
    </w:p>
    <w:p w:rsidR="00A90898" w:rsidRDefault="00A90898" w:rsidP="00A90898">
      <w:pPr>
        <w:pStyle w:val="TextoNormal"/>
      </w:pPr>
    </w:p>
    <w:p w:rsidR="00A90898" w:rsidRDefault="00A90898" w:rsidP="00A90898">
      <w:pPr>
        <w:pStyle w:val="TextoNormal"/>
      </w:pPr>
      <w:r>
        <w:t>En efecto, el apartado 1 condiciona la composición de los órganos de negociación colectiva y con ello incide en el ejercicio de dicho derecho.</w:t>
      </w:r>
    </w:p>
    <w:p w:rsidR="00A90898" w:rsidRDefault="00A90898" w:rsidP="00A90898">
      <w:pPr>
        <w:pStyle w:val="TextoNormal"/>
      </w:pPr>
    </w:p>
    <w:p w:rsidR="00A90898" w:rsidRDefault="00A90898" w:rsidP="00A90898">
      <w:pPr>
        <w:pStyle w:val="TextoNormal"/>
      </w:pPr>
      <w:r>
        <w:t>El apartado 2, por su parte, obliga a la Administración pública a exigir a las empresas la hoja estadística de convenios que debe incluir los datos relativos a la presencia de mujeres en la comisión negociadora y en el ámbito de aplicación de los convenios y acuerdos colectivos. A este respecto hay que señalar que los arts. 89 y 90 del texto refundido de la Ley del estatuto de los trabajadores, establecen, respectivamente, en su fase de tramitación y para la determinación de su validez, el cumplimiento de determinados requisitos de registro y depósito de convenios colectivos de trabajo. El Real Decreto 713/2010, de 28 de mayo, sobre registro y depósito de convenios y acuerdos colectivos de trabajo, regula el registro y depósito de convenios y acuerdos colectivos de trabajo y su funcionamiento a través de medios electrónicos, así como la inscripción y depósito de los convenios y acuerdos colectivos de trabajo. En este sentido, conviene recordar que la regulación del registro de convenios colectivos, salvo aquellos preceptos con trascendencia meramente organizativa, forma parte del contenido propio de la materia laboral, a los efectos del art. 149.1.7 CE (STC 18/1982, de 4 de mayo). Pues bien, según prevé el art. 6 del citado Real Decreto, junto a la solicitud de inscripción del convenio colectivo, la comisión negociadora deberá cumplimentar los datos estadísticos recogidos en los modelos oficiales que figuran en el anexo 2 del Real Decreto, a efectos de elaboración de la estadística de convenios colectivos. Entre los datos estadísticos que deben ser facilitados se encuentra (anexo 2 cláusula 16) el número de mujeres y hombres que han formado la comisión negociadora.</w:t>
      </w:r>
    </w:p>
    <w:p w:rsidR="00A90898" w:rsidRDefault="00A90898" w:rsidP="00A90898">
      <w:pPr>
        <w:pStyle w:val="TextoNormal"/>
      </w:pPr>
    </w:p>
    <w:p w:rsidR="00A90898" w:rsidRDefault="00A90898" w:rsidP="00A90898">
      <w:pPr>
        <w:pStyle w:val="TextoNormal"/>
      </w:pPr>
      <w:r>
        <w:t>Se establecen así, en el apartado 2 del artículo 40 de la Ley del Parlamento de Cataluña 17/2015, las condiciones en que la Administración debe efectuar el control de legalidad de los convenios y se impone a las empresas una determinada obligación en esa labor de control, todo lo que afecta a la regulación del derecho a la negociación colectiva competencia del legislador estatal, y que como acabamos de señalar ya ha regulado en el citado Real Decreto 713/2010.</w:t>
      </w:r>
    </w:p>
    <w:p w:rsidR="00A90898" w:rsidRDefault="00A90898" w:rsidP="00A90898">
      <w:pPr>
        <w:pStyle w:val="TextoNormal"/>
      </w:pPr>
    </w:p>
    <w:p w:rsidR="00A90898" w:rsidRDefault="00A90898" w:rsidP="00A90898">
      <w:pPr>
        <w:pStyle w:val="TextoNormal"/>
      </w:pPr>
      <w:r>
        <w:t>En consecuencia, el artículo 40 debe declararse inconstitucional al invadir la competencia del Estado en materia laboral.</w:t>
      </w:r>
    </w:p>
    <w:p w:rsidR="00A90898" w:rsidRDefault="00A90898" w:rsidP="00A90898">
      <w:pPr>
        <w:pStyle w:val="TextoNormal"/>
      </w:pPr>
    </w:p>
    <w:p w:rsidR="00A90898" w:rsidRDefault="00A90898" w:rsidP="00A90898">
      <w:pPr>
        <w:pStyle w:val="TextoNormal"/>
      </w:pPr>
      <w:r w:rsidRPr="00A90898">
        <w:rPr>
          <w:rStyle w:val="NumeroAFNegritaCaracter"/>
        </w:rPr>
        <w:t>7</w:t>
      </w:r>
      <w:r>
        <w:t>. El artículo 41 de la Ley del Parlamento de Cataluña 17/2015, hace referencia a la incorporación de la perspectiva de género en los expedientes de regulación de empleo. El precepto prevé distintas obligaciones para la Administración de la Generalitat, las empresas y la inspección de trabajo:</w:t>
      </w:r>
    </w:p>
    <w:p w:rsidR="00A90898" w:rsidRDefault="00A90898" w:rsidP="00A90898">
      <w:pPr>
        <w:pStyle w:val="TextoNormal"/>
      </w:pPr>
    </w:p>
    <w:p w:rsidR="00A90898" w:rsidRDefault="00A90898" w:rsidP="00A90898">
      <w:pPr>
        <w:pStyle w:val="TextoNormal"/>
      </w:pPr>
      <w:r>
        <w:lastRenderedPageBreak/>
        <w:t>“Artículo 41 Incorporación de la perspectiva de género en los expedientes de regulación de empleo</w:t>
      </w:r>
    </w:p>
    <w:p w:rsidR="00A90898" w:rsidRDefault="00A90898" w:rsidP="00A90898">
      <w:pPr>
        <w:pStyle w:val="TextoNormal"/>
      </w:pPr>
    </w:p>
    <w:p w:rsidR="00A90898" w:rsidRDefault="00A90898" w:rsidP="00A90898">
      <w:pPr>
        <w:pStyle w:val="TextoNormal"/>
      </w:pPr>
      <w:r>
        <w:t>1. La Administración de la Generalitat debe velar por el respeto del derecho a la igualdad y a la no discriminación por razón de sexo en los expedientes de regulación de empleo.</w:t>
      </w:r>
    </w:p>
    <w:p w:rsidR="00A90898" w:rsidRDefault="00A90898" w:rsidP="00A90898">
      <w:pPr>
        <w:pStyle w:val="TextoNormal"/>
      </w:pPr>
    </w:p>
    <w:p w:rsidR="00A90898" w:rsidRDefault="00A90898" w:rsidP="00A90898">
      <w:pPr>
        <w:pStyle w:val="TextoNormal"/>
      </w:pPr>
      <w:r>
        <w:t>2. Las empresas obligadas por ley a elaborar y aplicar un plan de acompañamiento social en los expedientes de regulación de empleo deben incorporar la perspectiva y el impacto de género en todas las medidas integradas en el mismo.</w:t>
      </w:r>
    </w:p>
    <w:p w:rsidR="00A90898" w:rsidRDefault="00A90898" w:rsidP="00A90898">
      <w:pPr>
        <w:pStyle w:val="TextoNormal"/>
      </w:pPr>
    </w:p>
    <w:p w:rsidR="00A90898" w:rsidRDefault="00A90898" w:rsidP="00A90898">
      <w:pPr>
        <w:pStyle w:val="TextoNormal"/>
      </w:pPr>
      <w:r>
        <w:t>3. La Inspección de Trabajo ha de controlar el cumplimiento de la obligación a que se refiere el apartado 2, adoptando las medidas que procedan.</w:t>
      </w:r>
    </w:p>
    <w:p w:rsidR="00A90898" w:rsidRDefault="00A90898" w:rsidP="00A90898">
      <w:pPr>
        <w:pStyle w:val="TextoNormal"/>
      </w:pPr>
    </w:p>
    <w:p w:rsidR="00A90898" w:rsidRDefault="00A90898" w:rsidP="00A90898">
      <w:pPr>
        <w:pStyle w:val="TextoNormal"/>
      </w:pPr>
      <w:r>
        <w:t>4. La Inspección de Trabajo, en los casos de despido colectivo, debe verificar que no se den hechos discriminatorios por razón de sexo, debiendo elaborar un informe preceptivo, que deje constancia de ello.”</w:t>
      </w:r>
    </w:p>
    <w:p w:rsidR="00A90898" w:rsidRDefault="00A90898" w:rsidP="00A90898">
      <w:pPr>
        <w:pStyle w:val="TextoNormal"/>
      </w:pPr>
    </w:p>
    <w:p w:rsidR="00A90898" w:rsidRDefault="00A90898" w:rsidP="00A90898">
      <w:pPr>
        <w:pStyle w:val="TextoNormal"/>
      </w:pPr>
      <w:r>
        <w:t>Los expedientes de regulación de empleo constituyen una materia laboral en la medida en que con este término se hace alusión al procedimiento a seguir en los supuestos de despido colectivo basado en causas económicas, técnicas, organizativas o de producción (art. 51 del texto refundido de la Ley del estatuto de los trabajadores). Se trata, por tanto, de una medida que afecta claramente a la relación laboral entre empresario y trabajador, por lo que el apartado 2 del artículo 41, al imponer la obligación de incorporar la perspectiva de género en todas las medidas integradas en el plan de acompañamiento que deben elaborar las empresas en los expedientes de regulación de empleo, debe declararse inconstitucional al invadir las competencias del Estado en materia laboral.</w:t>
      </w:r>
    </w:p>
    <w:p w:rsidR="00A90898" w:rsidRDefault="00A90898" w:rsidP="00A90898">
      <w:pPr>
        <w:pStyle w:val="TextoNormal"/>
      </w:pPr>
    </w:p>
    <w:p w:rsidR="00A90898" w:rsidRDefault="00A90898" w:rsidP="00A90898">
      <w:pPr>
        <w:pStyle w:val="TextoNormal"/>
      </w:pPr>
      <w:r>
        <w:t>Por su parte, el apartado 1 del artículo 41 impone a la Administración de la Generalitat la obligación de velar por el respeto del derecho a la igualdad y a la no discriminación por razón de sexo en los expedientes de regulación de empleo. Se trata de una previsión dirigida a la instancia competente en materia de aplicación y ejecución de la legislación laboral, que es la Generalitat de Cataluña (art. 170 EAC). No prevé la norma ningún procedimiento ni deriva ninguna consecuencia de esta previsión que en realidad constituye un principio general de actuación de los poderes públicos previsto con carácter general en el art. 14 de la Ley Orgánica 3/2007, de igualdad efectiva entre mujeres y hombres. Por lo tanto, no invade las competencias en materia laboral del Estado.</w:t>
      </w:r>
    </w:p>
    <w:p w:rsidR="00A90898" w:rsidRDefault="00A90898" w:rsidP="00A90898">
      <w:pPr>
        <w:pStyle w:val="TextoNormal"/>
      </w:pPr>
    </w:p>
    <w:p w:rsidR="00A90898" w:rsidRDefault="00A90898" w:rsidP="00A90898">
      <w:pPr>
        <w:pStyle w:val="TextoNormal"/>
      </w:pPr>
      <w:r>
        <w:t>Por último, los apartados 3 y 4 del artículo 41 se refieren a la Inspección de Trabajo. Así, la Inspección de Trabajo debe controlar que las empresas cumplen con la obligación a que se refiere el apartado 2, adoptando las medidas que procedan. Dado que el apartado 2 se declara inconstitucional por invadir las competencias del Estado en materia laboral, por la misma razón debe serlo también el apartado 3 que impone a la Inspección de Trabajo una obligación de control sobre una materia que es competencia del Estado.</w:t>
      </w:r>
    </w:p>
    <w:p w:rsidR="00A90898" w:rsidRDefault="00A90898" w:rsidP="00A90898">
      <w:pPr>
        <w:pStyle w:val="TextoNormal"/>
      </w:pPr>
    </w:p>
    <w:p w:rsidR="00A90898" w:rsidRDefault="00A90898" w:rsidP="00A90898">
      <w:pPr>
        <w:pStyle w:val="TextoNormal"/>
      </w:pPr>
      <w:r>
        <w:t xml:space="preserve">Por su parte, el apartado 4 impone a la Inspección de Trabajo la obligación de verificar en los despidos colectivos que no se den hechos discriminatorios por razón de sexo, debiendo elaborar un informe preceptivo. Al igual que el apartado 3, el apartado 4 del artículo 41 está atribuyendo a la inspección de trabajo un cometido o función que corresponde a una </w:t>
      </w:r>
      <w:r>
        <w:lastRenderedPageBreak/>
        <w:t>materia que es competencia del Estado como es la regulación del despido. En este sentido, procede recordar que el informe preceptivo que debe emitir la Inspección de Trabajo en los procedimientos de despido colectivo se encuentra regulado en el art. 51.2 del texto refundido de la Ley del estatuto de los trabajadores y en el art. 11 del Real Decreto 1483/2012, de 29 de octubre, por el que se aprueba el Reglamento de los procedimientos de despido colectivo y de suspensión de contratos y reducción de jornada. En consecuencia, debe declararse inconstitucional el apartado 4 del artículo 41 al exceder del estricto ámbito competencial de ejecución de la legislación laboral que corresponde a la Comunidad Autónoma.</w:t>
      </w:r>
    </w:p>
    <w:p w:rsidR="00A90898" w:rsidRDefault="00A90898" w:rsidP="00A90898">
      <w:pPr>
        <w:pStyle w:val="TextoNormal"/>
      </w:pPr>
    </w:p>
    <w:p w:rsidR="00A90898" w:rsidRDefault="00A90898" w:rsidP="00A90898">
      <w:pPr>
        <w:pStyle w:val="TextoNormal"/>
      </w:pPr>
      <w:r w:rsidRPr="00A90898">
        <w:rPr>
          <w:rStyle w:val="NumeroAFNegritaCaracter"/>
        </w:rPr>
        <w:t>8</w:t>
      </w:r>
      <w:r>
        <w:t>. El artículo 44 de la Ley del Parlamento de Cataluña 17/2015 establece la obligación de las empresas de tener en cuenta, en la valoración de los riesgos laborales y en la adopción de medidas preventivas, la diferente exposición a los factores de riesgo de mujeres y hombres y el deber de formar al personal sobre la diferente exposición a los factores de riesgo según el sexo, así como sobre los riesgos para la fertilidad, el embarazo y la lactancia.</w:t>
      </w:r>
    </w:p>
    <w:p w:rsidR="00A90898" w:rsidRDefault="00A90898" w:rsidP="00A90898">
      <w:pPr>
        <w:pStyle w:val="TextoNormal"/>
      </w:pPr>
    </w:p>
    <w:p w:rsidR="00A90898" w:rsidRDefault="00A90898" w:rsidP="00A90898">
      <w:pPr>
        <w:pStyle w:val="TextoNormal"/>
      </w:pPr>
      <w:r>
        <w:t>“Artículo 44 Prevención de riesgos laborales en la empresa</w:t>
      </w:r>
    </w:p>
    <w:p w:rsidR="00A90898" w:rsidRDefault="00A90898" w:rsidP="00A90898">
      <w:pPr>
        <w:pStyle w:val="TextoNormal"/>
      </w:pPr>
    </w:p>
    <w:p w:rsidR="00A90898" w:rsidRDefault="00A90898" w:rsidP="00A90898">
      <w:pPr>
        <w:pStyle w:val="TextoNormal"/>
      </w:pPr>
      <w:r>
        <w:t>1. De acuerdo con la normativa vigente sobre prevención de riesgos laborales y en aplicación del principio primero del artículo 3, es obligación de las empresas tener en cuenta, en la valoración de los riesgos laborales y en la adopción de medidas preventivas, la diferente exposición a los factores de riesgo de mujeres y hombres, y prestar especial atención a los factores de riesgo para la fertilidad y para el embarazo y la lactancia.</w:t>
      </w:r>
    </w:p>
    <w:p w:rsidR="00A90898" w:rsidRDefault="00A90898" w:rsidP="00A90898">
      <w:pPr>
        <w:pStyle w:val="TextoNormal"/>
      </w:pPr>
    </w:p>
    <w:p w:rsidR="00A90898" w:rsidRDefault="00A90898" w:rsidP="00A90898">
      <w:pPr>
        <w:pStyle w:val="TextoNormal"/>
      </w:pPr>
      <w:r>
        <w:t>2. Las empresas deben formar al personal sobre la diferente exposición a los factores de riesgo según el sexo, así como sobre los riesgos para la fertilidad, el embarazo y la lactancia.”</w:t>
      </w:r>
    </w:p>
    <w:p w:rsidR="00A90898" w:rsidRDefault="00A90898" w:rsidP="00A90898">
      <w:pPr>
        <w:pStyle w:val="TextoNormal"/>
      </w:pPr>
    </w:p>
    <w:p w:rsidR="00A90898" w:rsidRDefault="00A90898" w:rsidP="00A90898">
      <w:pPr>
        <w:pStyle w:val="TextoNormal"/>
      </w:pPr>
      <w:r>
        <w:t>El apartado 1 contiene una obligación similar a la que se recoge en el art. 25.2 de la Ley 31/1995, de prevención de riesgos laborales (“protección de trabajadores especialmente sensibles a determinados riesgos”), mientras que el apartado 2 impone a las empresas un deber de formación en materia de prevención que no se regula en la norma estatal.</w:t>
      </w:r>
    </w:p>
    <w:p w:rsidR="00A90898" w:rsidRDefault="00A90898" w:rsidP="00A90898">
      <w:pPr>
        <w:pStyle w:val="TextoNormal"/>
      </w:pPr>
    </w:p>
    <w:p w:rsidR="00A90898" w:rsidRDefault="00A90898" w:rsidP="00A90898">
      <w:pPr>
        <w:pStyle w:val="TextoNormal"/>
      </w:pPr>
      <w:r>
        <w:t>Este Tribunal ha considerado dentro del contenido propio de la materia laboral a los efectos del art. 149.1.7 CE el subsector de la seguridad y salud en el trabajo (SSTC 195/1996, de 28 de noviembre, FJ 11, y 198/2015, de 24 de septiembre, FJ 3), por lo tanto, el apartado 1 del artículo 44, relativo a la prevención de riesgos laborales en la empresa, debe encuadrarse en dicha materia y debe declararse inconstitucional por invadir las competencias del Estado.</w:t>
      </w:r>
    </w:p>
    <w:p w:rsidR="00A90898" w:rsidRDefault="00A90898" w:rsidP="00A90898">
      <w:pPr>
        <w:pStyle w:val="TextoNormal"/>
      </w:pPr>
    </w:p>
    <w:p w:rsidR="00A90898" w:rsidRDefault="00A90898" w:rsidP="00A90898">
      <w:pPr>
        <w:pStyle w:val="TextoNormal"/>
      </w:pPr>
      <w:r>
        <w:t xml:space="preserve">Por lo que se refiere a la obligación impuesta a los empresarios en el apartado 2 de formar a sus trabajadores sobre la diferente exposición a los factores de riesgo según el sexo, así como sobre los riesgos para la fertilidad, el embarazo y la lactancia, nos encontramos con una materia propia de la formación continua pues se trata de facilitar a los trabajadores en activo la formación necesaria en materias que afectan a la prevención de riesgos laborales en la empresa. Si bien se puede afirmar que la formación continua de trabajadores ocupados tiene una incardinación “genérica” en la materia “legislación laboral” del art. 149.1.7 CE, “es igualmente cierto que puede haber supuestos en los que, atendido el tipo de actividad al </w:t>
      </w:r>
      <w:r>
        <w:lastRenderedPageBreak/>
        <w:t>que se orienta la acción formativa, quede vinculada a otro título competencial, con las consiguientes consecuencias para la delimitación del alcance de la competencia del Estado” (STC 16/2013, de 31 de enero, FJ 3. En el mismo sentido, SSTC 1432/2014, de 22 de septiembre, FJ 3; 123/2014, de 21 de julio, FJ 3; 112/2014, de 7 de julio, FJ 3; 88/2014, de 9 de junio, FJ 3; 62/2013, de 14 de marzo, FJ 3, y 244/2012, de 18 de diciembre, FJ 4). Ahora bien, en el presente supuesto, como el tipo de actividad al que se orienta la actividad formativa, la prevención de riesgos laborales, queda vinculada también al mismo título competencial, procede declarar inconstitucional el apartado 2 del art. 44 por vulnerar la competencia exclusiva del Estado en materia de legislación laboral.</w:t>
      </w:r>
    </w:p>
    <w:p w:rsidR="00A90898" w:rsidRDefault="00A90898" w:rsidP="00A90898">
      <w:pPr>
        <w:pStyle w:val="TextoNormal"/>
      </w:pPr>
    </w:p>
    <w:p w:rsidR="00A90898" w:rsidRDefault="00A90898" w:rsidP="00A90898">
      <w:pPr>
        <w:pStyle w:val="TextoNormal"/>
      </w:pPr>
      <w:r w:rsidRPr="00A90898">
        <w:rPr>
          <w:rStyle w:val="NumeroAFNegritaCaracter"/>
        </w:rPr>
        <w:t>9</w:t>
      </w:r>
      <w:r>
        <w:t>. Por último, se impugnan los arts. 59 a 64 de la Ley del Parlamento de Cataluña 17/2015 todos ellos relativos al régimen sancionador. Los artículos señalados regulan las infracciones administrativas en materia de igualdad de mujeres y hombres, las sanciones, los responsables, la competencia y el procedimiento, la prescripción y la concurrencia con el orden jurisdiccional penal.</w:t>
      </w:r>
    </w:p>
    <w:p w:rsidR="00A90898" w:rsidRDefault="00A90898" w:rsidP="00A90898">
      <w:pPr>
        <w:pStyle w:val="TextoNormal"/>
      </w:pPr>
    </w:p>
    <w:p w:rsidR="00A90898" w:rsidRDefault="00A90898" w:rsidP="00A90898">
      <w:pPr>
        <w:pStyle w:val="TextoNormal"/>
      </w:pPr>
      <w:r>
        <w:t>“Artículo 59. Infracciones</w:t>
      </w:r>
    </w:p>
    <w:p w:rsidR="00A90898" w:rsidRDefault="00A90898" w:rsidP="00A90898">
      <w:pPr>
        <w:pStyle w:val="TextoNormal"/>
      </w:pPr>
    </w:p>
    <w:p w:rsidR="00A90898" w:rsidRDefault="00A90898" w:rsidP="00A90898">
      <w:pPr>
        <w:pStyle w:val="TextoNormal"/>
      </w:pPr>
      <w:r>
        <w:t>1. Las infracciones administrativas en materia de igualdad de mujeres y hombres se clasifican en leves, graves y muy graves.</w:t>
      </w:r>
    </w:p>
    <w:p w:rsidR="00A90898" w:rsidRDefault="00A90898" w:rsidP="00A90898">
      <w:pPr>
        <w:pStyle w:val="TextoNormal"/>
      </w:pPr>
    </w:p>
    <w:p w:rsidR="00A90898" w:rsidRDefault="00A90898" w:rsidP="00A90898">
      <w:pPr>
        <w:pStyle w:val="TextoNormal"/>
      </w:pPr>
      <w:r>
        <w:t>2. Son infracciones leves:</w:t>
      </w:r>
    </w:p>
    <w:p w:rsidR="00A90898" w:rsidRDefault="00A90898" w:rsidP="00A90898">
      <w:pPr>
        <w:pStyle w:val="TextoNormal"/>
      </w:pPr>
    </w:p>
    <w:p w:rsidR="00A90898" w:rsidRDefault="00A90898" w:rsidP="00A90898">
      <w:pPr>
        <w:pStyle w:val="TextoNormal"/>
      </w:pPr>
      <w:r>
        <w:t>a) Negarse a colaborar con los servicios de inspección de la Generalidad.</w:t>
      </w:r>
    </w:p>
    <w:p w:rsidR="00A90898" w:rsidRDefault="00A90898" w:rsidP="00A90898">
      <w:pPr>
        <w:pStyle w:val="TextoNormal"/>
      </w:pPr>
    </w:p>
    <w:p w:rsidR="00A90898" w:rsidRDefault="00A90898" w:rsidP="00A90898">
      <w:pPr>
        <w:pStyle w:val="TextoNormal"/>
      </w:pPr>
      <w:r>
        <w:t>b) No facilitar la tarea de los servicios de inspección de la Generalidad en su acción investigadora.</w:t>
      </w:r>
    </w:p>
    <w:p w:rsidR="00A90898" w:rsidRDefault="00A90898" w:rsidP="00A90898">
      <w:pPr>
        <w:pStyle w:val="TextoNormal"/>
      </w:pPr>
    </w:p>
    <w:p w:rsidR="00A90898" w:rsidRDefault="00A90898" w:rsidP="00A90898">
      <w:pPr>
        <w:pStyle w:val="TextoNormal"/>
      </w:pPr>
      <w:r>
        <w:t>3. Son infracciones graves:</w:t>
      </w:r>
    </w:p>
    <w:p w:rsidR="00A90898" w:rsidRDefault="00A90898" w:rsidP="00A90898">
      <w:pPr>
        <w:pStyle w:val="TextoNormal"/>
      </w:pPr>
    </w:p>
    <w:p w:rsidR="00A90898" w:rsidRDefault="00A90898" w:rsidP="00A90898">
      <w:pPr>
        <w:pStyle w:val="TextoNormal"/>
      </w:pPr>
      <w:r>
        <w:t>a) Obstruir la actuación de los servicios de inspección de la Generalidad o negarse totalmente a colaborar con ellos.</w:t>
      </w:r>
    </w:p>
    <w:p w:rsidR="00A90898" w:rsidRDefault="00A90898" w:rsidP="00A90898">
      <w:pPr>
        <w:pStyle w:val="TextoNormal"/>
      </w:pPr>
    </w:p>
    <w:p w:rsidR="00A90898" w:rsidRDefault="00A90898" w:rsidP="00A90898">
      <w:pPr>
        <w:pStyle w:val="TextoNormal"/>
      </w:pPr>
      <w:r>
        <w:t>b) Hacer actos o imponer cláusulas en los negocios jurídicos que constituyan o causen discriminación por razón de sexo.</w:t>
      </w:r>
    </w:p>
    <w:p w:rsidR="00A90898" w:rsidRDefault="00A90898" w:rsidP="00A90898">
      <w:pPr>
        <w:pStyle w:val="TextoNormal"/>
      </w:pPr>
    </w:p>
    <w:p w:rsidR="00A90898" w:rsidRDefault="00A90898" w:rsidP="00A90898">
      <w:pPr>
        <w:pStyle w:val="TextoNormal"/>
      </w:pPr>
      <w:r>
        <w:t>c) No aprobar los planes de igualdad en los centros y empresas que están obligados a hacerlo por disposición legal, tras ser requeridos por este motivo por la autoridad laboral.</w:t>
      </w:r>
    </w:p>
    <w:p w:rsidR="00A90898" w:rsidRDefault="00A90898" w:rsidP="00A90898">
      <w:pPr>
        <w:pStyle w:val="TextoNormal"/>
      </w:pPr>
    </w:p>
    <w:p w:rsidR="00A90898" w:rsidRDefault="00A90898" w:rsidP="00A90898">
      <w:pPr>
        <w:pStyle w:val="TextoNormal"/>
      </w:pPr>
      <w:r>
        <w:t>d) Reincidir en la comisión de dos o más infracciones leves.</w:t>
      </w:r>
    </w:p>
    <w:p w:rsidR="00A90898" w:rsidRDefault="00A90898" w:rsidP="00A90898">
      <w:pPr>
        <w:pStyle w:val="TextoNormal"/>
      </w:pPr>
    </w:p>
    <w:p w:rsidR="00A90898" w:rsidRDefault="00A90898" w:rsidP="00A90898">
      <w:pPr>
        <w:pStyle w:val="TextoNormal"/>
      </w:pPr>
      <w:r>
        <w:t>4. Son infracciones muy graves:</w:t>
      </w:r>
    </w:p>
    <w:p w:rsidR="00A90898" w:rsidRDefault="00A90898" w:rsidP="00A90898">
      <w:pPr>
        <w:pStyle w:val="TextoNormal"/>
      </w:pPr>
    </w:p>
    <w:p w:rsidR="00A90898" w:rsidRDefault="00A90898" w:rsidP="00A90898">
      <w:pPr>
        <w:pStyle w:val="TextoNormal"/>
      </w:pPr>
      <w:r>
        <w:t>a) Ejercer cualquier comportamiento, de naturaleza sexual o no, en función del sexo de una persona, que atente intencionadamente contra su dignidad y le cree un entorno intimidatorio, degradante u ofensivo.</w:t>
      </w:r>
    </w:p>
    <w:p w:rsidR="00A90898" w:rsidRDefault="00A90898" w:rsidP="00A90898">
      <w:pPr>
        <w:pStyle w:val="TextoNormal"/>
      </w:pPr>
    </w:p>
    <w:p w:rsidR="00A90898" w:rsidRDefault="00A90898" w:rsidP="00A90898">
      <w:pPr>
        <w:pStyle w:val="TextoNormal"/>
      </w:pPr>
      <w:r>
        <w:lastRenderedPageBreak/>
        <w:t>b) Ejercer cualquier trato desfavorable a las mujeres relacionado con su embarazo o maternidad.</w:t>
      </w:r>
    </w:p>
    <w:p w:rsidR="00A90898" w:rsidRDefault="00A90898" w:rsidP="00A90898">
      <w:pPr>
        <w:pStyle w:val="TextoNormal"/>
      </w:pPr>
    </w:p>
    <w:p w:rsidR="00A90898" w:rsidRDefault="00A90898" w:rsidP="00A90898">
      <w:pPr>
        <w:pStyle w:val="TextoNormal"/>
      </w:pPr>
      <w:r>
        <w:t>c) Ejercer cualquier represalia o trato adverso contra una persona como consecuencia de haber presentado una queja, reclamación, denuncia, demanda o recurso de cualquier tipo orientado a impedir su discriminación o a exigir el cumplimiento efectivo del principio de igualdad de trato de mujeres y hombres.</w:t>
      </w:r>
    </w:p>
    <w:p w:rsidR="00A90898" w:rsidRDefault="00A90898" w:rsidP="00A90898">
      <w:pPr>
        <w:pStyle w:val="TextoNormal"/>
      </w:pPr>
    </w:p>
    <w:p w:rsidR="00A90898" w:rsidRDefault="00A90898" w:rsidP="00A90898">
      <w:pPr>
        <w:pStyle w:val="TextoNormal"/>
      </w:pPr>
      <w:r>
        <w:t>d) Reincidir en la comisión de dos o más infracciones graves.”</w:t>
      </w:r>
    </w:p>
    <w:p w:rsidR="00A90898" w:rsidRDefault="00A90898" w:rsidP="00A90898">
      <w:pPr>
        <w:pStyle w:val="TextoNormal"/>
      </w:pPr>
    </w:p>
    <w:p w:rsidR="00A90898" w:rsidRDefault="00A90898" w:rsidP="00A90898">
      <w:pPr>
        <w:pStyle w:val="TextoNormal"/>
      </w:pPr>
      <w:r>
        <w:t>“Artículo 60 Sanciones</w:t>
      </w:r>
    </w:p>
    <w:p w:rsidR="00A90898" w:rsidRDefault="00A90898" w:rsidP="00A90898">
      <w:pPr>
        <w:pStyle w:val="TextoNormal"/>
      </w:pPr>
    </w:p>
    <w:p w:rsidR="00A90898" w:rsidRDefault="00A90898" w:rsidP="00A90898">
      <w:pPr>
        <w:pStyle w:val="TextoNormal"/>
      </w:pPr>
      <w:r>
        <w:t>1. Las infracciones leves se sancionan con multa de una cuantía equivalente al importe mensual del indicador de renta de suficiencia de Cataluña, correspondiente a un período de entre siete días y tres meses. Si no hay reiteración, el órgano competente para imponer la sanción puede sustituir dicha sanción por una advertencia escrita.</w:t>
      </w:r>
    </w:p>
    <w:p w:rsidR="00A90898" w:rsidRDefault="00A90898" w:rsidP="00A90898">
      <w:pPr>
        <w:pStyle w:val="TextoNormal"/>
      </w:pPr>
    </w:p>
    <w:p w:rsidR="00A90898" w:rsidRDefault="00A90898" w:rsidP="00A90898">
      <w:pPr>
        <w:pStyle w:val="TextoNormal"/>
      </w:pPr>
      <w:r>
        <w:t>2. Por la comisión de infracciones graves se impone una o más de las siguientes sanciones:</w:t>
      </w:r>
    </w:p>
    <w:p w:rsidR="00A90898" w:rsidRDefault="00A90898" w:rsidP="00A90898">
      <w:pPr>
        <w:pStyle w:val="TextoNormal"/>
      </w:pPr>
    </w:p>
    <w:p w:rsidR="00A90898" w:rsidRDefault="00A90898" w:rsidP="00A90898">
      <w:pPr>
        <w:pStyle w:val="TextoNormal"/>
      </w:pPr>
      <w:r>
        <w:t>a) Multa por una cuantía equivalente al importe del indicador de renta de suficiencia de Cataluña correspondiente a un período de entre tres meses y un día y siete meses.</w:t>
      </w:r>
    </w:p>
    <w:p w:rsidR="00A90898" w:rsidRDefault="00A90898" w:rsidP="00A90898">
      <w:pPr>
        <w:pStyle w:val="TextoNormal"/>
      </w:pPr>
    </w:p>
    <w:p w:rsidR="00A90898" w:rsidRDefault="00A90898" w:rsidP="00A90898">
      <w:pPr>
        <w:pStyle w:val="TextoNormal"/>
      </w:pPr>
      <w:r>
        <w:t>b) La prohibición de percibir ayudas o subvenciones públicas por un período de un año.</w:t>
      </w:r>
    </w:p>
    <w:p w:rsidR="00A90898" w:rsidRDefault="00A90898" w:rsidP="00A90898">
      <w:pPr>
        <w:pStyle w:val="TextoNormal"/>
      </w:pPr>
    </w:p>
    <w:p w:rsidR="00A90898" w:rsidRDefault="00A90898" w:rsidP="00A90898">
      <w:pPr>
        <w:pStyle w:val="TextoNormal"/>
      </w:pPr>
      <w:r>
        <w:t>c) La prohibición de contratar con la Administración de la Generalidad, sus organismos autónomos y entes públicos dependientes por un período de un año.</w:t>
      </w:r>
    </w:p>
    <w:p w:rsidR="00A90898" w:rsidRDefault="00A90898" w:rsidP="00A90898">
      <w:pPr>
        <w:pStyle w:val="TextoNormal"/>
      </w:pPr>
    </w:p>
    <w:p w:rsidR="00A90898" w:rsidRDefault="00A90898" w:rsidP="00A90898">
      <w:pPr>
        <w:pStyle w:val="TextoNormal"/>
      </w:pPr>
      <w:r>
        <w:t>3. Por la comisión de infracciones muy graves se impone una o más de las siguientes sanciones:</w:t>
      </w:r>
    </w:p>
    <w:p w:rsidR="00A90898" w:rsidRDefault="00A90898" w:rsidP="00A90898">
      <w:pPr>
        <w:pStyle w:val="TextoNormal"/>
      </w:pPr>
    </w:p>
    <w:p w:rsidR="00A90898" w:rsidRDefault="00A90898" w:rsidP="00A90898">
      <w:pPr>
        <w:pStyle w:val="TextoNormal"/>
      </w:pPr>
      <w:r>
        <w:t>a) Multa por una cuantía equivalente al importe del indicador de renta de suficiencia de Cataluña correspondiente a un período de entre siete meses y un día y diez meses.</w:t>
      </w:r>
    </w:p>
    <w:p w:rsidR="00A90898" w:rsidRDefault="00A90898" w:rsidP="00A90898">
      <w:pPr>
        <w:pStyle w:val="TextoNormal"/>
      </w:pPr>
    </w:p>
    <w:p w:rsidR="00A90898" w:rsidRDefault="00A90898" w:rsidP="00A90898">
      <w:pPr>
        <w:pStyle w:val="TextoNormal"/>
      </w:pPr>
      <w:r>
        <w:t>b) La prohibición de percibir ayudas o subvenciones por un período de dos años. En caso de reincidencia o reiteración, la prohibición puede ser por un máximo de cinco años.</w:t>
      </w:r>
    </w:p>
    <w:p w:rsidR="00A90898" w:rsidRDefault="00A90898" w:rsidP="00A90898">
      <w:pPr>
        <w:pStyle w:val="TextoNormal"/>
      </w:pPr>
    </w:p>
    <w:p w:rsidR="00A90898" w:rsidRDefault="00A90898" w:rsidP="00A90898">
      <w:pPr>
        <w:pStyle w:val="TextoNormal"/>
      </w:pPr>
      <w:r>
        <w:t>c) La prohibición de contratar con la Administración de la Generalidad, sus organismos autónomos y entes públicos dependientes por un período de entre un año y un día y tres años.</w:t>
      </w:r>
    </w:p>
    <w:p w:rsidR="00A90898" w:rsidRDefault="00A90898" w:rsidP="00A90898">
      <w:pPr>
        <w:pStyle w:val="TextoNormal"/>
      </w:pPr>
    </w:p>
    <w:p w:rsidR="00A90898" w:rsidRDefault="00A90898" w:rsidP="00A90898">
      <w:pPr>
        <w:pStyle w:val="TextoNormal"/>
      </w:pPr>
      <w:r>
        <w:t>4. Para concretar las sanciones que proceda imponer y, en su caso, para graduar la cuantía de las multas y la duración de las sanciones temporales, las autoridades competentes deben mantener la proporción adecuada entre la gravedad del hecho constitutivo de la infracción y la sanción o sanciones, aplicadas a la lesión ocasionada, al número de personas afectadas, a la entidad del derecho afectado y a la naturaleza del deber afectado según la legislación vigente. Deben considerarse especialmente los siguientes criterios:</w:t>
      </w:r>
    </w:p>
    <w:p w:rsidR="00A90898" w:rsidRDefault="00A90898" w:rsidP="00A90898">
      <w:pPr>
        <w:pStyle w:val="TextoNormal"/>
      </w:pPr>
    </w:p>
    <w:p w:rsidR="00A90898" w:rsidRDefault="00A90898" w:rsidP="00A90898">
      <w:pPr>
        <w:pStyle w:val="TextoNormal"/>
      </w:pPr>
      <w:r>
        <w:lastRenderedPageBreak/>
        <w:t>a) El grado de culpabilidad y la intencionalidad del infractor.</w:t>
      </w:r>
    </w:p>
    <w:p w:rsidR="00A90898" w:rsidRDefault="00A90898" w:rsidP="00A90898">
      <w:pPr>
        <w:pStyle w:val="TextoNormal"/>
      </w:pPr>
    </w:p>
    <w:p w:rsidR="00A90898" w:rsidRDefault="00A90898" w:rsidP="00A90898">
      <w:pPr>
        <w:pStyle w:val="TextoNormal"/>
      </w:pPr>
      <w:r>
        <w:t>b) Los perjuicios físicos, morales y materiales causados a personas o bienes y la situación de riesgo creada o mantenida.</w:t>
      </w:r>
    </w:p>
    <w:p w:rsidR="00A90898" w:rsidRDefault="00A90898" w:rsidP="00A90898">
      <w:pPr>
        <w:pStyle w:val="TextoNormal"/>
      </w:pPr>
    </w:p>
    <w:p w:rsidR="00A90898" w:rsidRDefault="00A90898" w:rsidP="00A90898">
      <w:pPr>
        <w:pStyle w:val="TextoNormal"/>
      </w:pPr>
      <w:r>
        <w:t>c) La reincidencia o la reiteración.</w:t>
      </w:r>
    </w:p>
    <w:p w:rsidR="00A90898" w:rsidRDefault="00A90898" w:rsidP="00A90898">
      <w:pPr>
        <w:pStyle w:val="TextoNormal"/>
      </w:pPr>
    </w:p>
    <w:p w:rsidR="00A90898" w:rsidRDefault="00A90898" w:rsidP="00A90898">
      <w:pPr>
        <w:pStyle w:val="TextoNormal"/>
      </w:pPr>
      <w:r>
        <w:t>d) La discriminación múltiple y la victimización secundaria.</w:t>
      </w:r>
    </w:p>
    <w:p w:rsidR="00A90898" w:rsidRDefault="00A90898" w:rsidP="00A90898">
      <w:pPr>
        <w:pStyle w:val="TextoNormal"/>
      </w:pPr>
    </w:p>
    <w:p w:rsidR="00A90898" w:rsidRDefault="00A90898" w:rsidP="00A90898">
      <w:pPr>
        <w:pStyle w:val="TextoNormal"/>
      </w:pPr>
      <w:r>
        <w:t>e) La trascendencia económica y social de la infracción.</w:t>
      </w:r>
    </w:p>
    <w:p w:rsidR="00A90898" w:rsidRDefault="00A90898" w:rsidP="00A90898">
      <w:pPr>
        <w:pStyle w:val="TextoNormal"/>
      </w:pPr>
    </w:p>
    <w:p w:rsidR="00A90898" w:rsidRDefault="00A90898" w:rsidP="00A90898">
      <w:pPr>
        <w:pStyle w:val="TextoNormal"/>
      </w:pPr>
      <w:r>
        <w:t>f) El incumplimiento reiterado de las advertencias o recomendaciones previas de la Inspección de Servicios Sociales.</w:t>
      </w:r>
    </w:p>
    <w:p w:rsidR="00A90898" w:rsidRDefault="00A90898" w:rsidP="00A90898">
      <w:pPr>
        <w:pStyle w:val="TextoNormal"/>
      </w:pPr>
    </w:p>
    <w:p w:rsidR="00A90898" w:rsidRDefault="00A90898" w:rsidP="00A90898">
      <w:pPr>
        <w:pStyle w:val="TextoNormal"/>
      </w:pPr>
      <w:r>
        <w:t>g) El carácter permanente o transitorio de la situación de riesgo creada por la infracción.</w:t>
      </w:r>
    </w:p>
    <w:p w:rsidR="00A90898" w:rsidRDefault="00A90898" w:rsidP="00A90898">
      <w:pPr>
        <w:pStyle w:val="TextoNormal"/>
      </w:pPr>
    </w:p>
    <w:p w:rsidR="00A90898" w:rsidRDefault="00A90898" w:rsidP="00A90898">
      <w:pPr>
        <w:pStyle w:val="TextoNormal"/>
      </w:pPr>
      <w:r>
        <w:t>h) El cumplimiento por iniciativa propia de las normas infringidas, en cualquier momento del procedimiento administrativo sancionador, si aún no se ha dictado resolución.</w:t>
      </w:r>
    </w:p>
    <w:p w:rsidR="00A90898" w:rsidRDefault="00A90898" w:rsidP="00A90898">
      <w:pPr>
        <w:pStyle w:val="TextoNormal"/>
      </w:pPr>
    </w:p>
    <w:p w:rsidR="00A90898" w:rsidRDefault="00A90898" w:rsidP="00A90898">
      <w:pPr>
        <w:pStyle w:val="TextoNormal"/>
      </w:pPr>
      <w:r>
        <w:t>5. El objetivo de la sanción debe ser la prevención, disuasión, reparación y corrección de los perjuicios que haya causado o pueda causar la discriminación.”</w:t>
      </w:r>
    </w:p>
    <w:p w:rsidR="00A90898" w:rsidRDefault="00A90898" w:rsidP="00A90898">
      <w:pPr>
        <w:pStyle w:val="TextoNormal"/>
      </w:pPr>
    </w:p>
    <w:p w:rsidR="00A90898" w:rsidRDefault="00A90898" w:rsidP="00A90898">
      <w:pPr>
        <w:pStyle w:val="TextoNormal"/>
      </w:pPr>
      <w:r>
        <w:t>“Artículo 61 Responsables</w:t>
      </w:r>
    </w:p>
    <w:p w:rsidR="00A90898" w:rsidRDefault="00A90898" w:rsidP="00A90898">
      <w:pPr>
        <w:pStyle w:val="TextoNormal"/>
      </w:pPr>
    </w:p>
    <w:p w:rsidR="00A90898" w:rsidRDefault="00A90898" w:rsidP="00A90898">
      <w:pPr>
        <w:pStyle w:val="TextoNormal"/>
      </w:pPr>
      <w:r>
        <w:t>1. Son responsables de las infracciones tipificadas por la presente ley las personas físicas o jurídicas, públicas o privadas, que, por acción u omisión, incurren en los supuestos de infracción establecidos por la presente sección.</w:t>
      </w:r>
    </w:p>
    <w:p w:rsidR="00A90898" w:rsidRDefault="00A90898" w:rsidP="00A90898">
      <w:pPr>
        <w:pStyle w:val="TextoNormal"/>
      </w:pPr>
    </w:p>
    <w:p w:rsidR="00A90898" w:rsidRDefault="00A90898" w:rsidP="00A90898">
      <w:pPr>
        <w:pStyle w:val="TextoNormal"/>
      </w:pPr>
      <w:r>
        <w:t>2. La responsabilidad es solidaria cuando existan varios responsables y no sea posible determinar el grado de participación de cada uno de ellos en la comisión de la infracción.”</w:t>
      </w:r>
    </w:p>
    <w:p w:rsidR="00A90898" w:rsidRDefault="00A90898" w:rsidP="00A90898">
      <w:pPr>
        <w:pStyle w:val="TextoNormal"/>
      </w:pPr>
    </w:p>
    <w:p w:rsidR="00A90898" w:rsidRDefault="00A90898" w:rsidP="00A90898">
      <w:pPr>
        <w:pStyle w:val="TextoNormal"/>
      </w:pPr>
      <w:r>
        <w:t>“Artículo 62 Competencia y procedimiento</w:t>
      </w:r>
    </w:p>
    <w:p w:rsidR="00A90898" w:rsidRDefault="00A90898" w:rsidP="00A90898">
      <w:pPr>
        <w:pStyle w:val="TextoNormal"/>
      </w:pPr>
    </w:p>
    <w:p w:rsidR="00A90898" w:rsidRDefault="00A90898" w:rsidP="00A90898">
      <w:pPr>
        <w:pStyle w:val="TextoNormal"/>
      </w:pPr>
      <w:r>
        <w:t>1. La competencia para incoar los expedientes administrativos del régimen sancionador de la presente ley y la imposición de las sanciones corresponde a la persona titular de la secretaría general del departamento competente en materia de igualdad de mujeres y hombres.</w:t>
      </w:r>
    </w:p>
    <w:p w:rsidR="00A90898" w:rsidRDefault="00A90898" w:rsidP="00A90898">
      <w:pPr>
        <w:pStyle w:val="TextoNormal"/>
      </w:pPr>
    </w:p>
    <w:p w:rsidR="00A90898" w:rsidRDefault="00A90898" w:rsidP="00A90898">
      <w:pPr>
        <w:pStyle w:val="TextoNormal"/>
      </w:pPr>
      <w:r>
        <w:t>2. Los órganos competentes para iniciar, instruir y resolver los expedientes sancionadores deben aplicar la normativa de procedimiento sancionador aplicable a los ámbitos de competencia de la Administración de la Generalitat, de acuerdo con los principios de legalidad, competencia, irretroactividad, tipicidad, responsabilidad, proporcionalidad, prescripción y prohibición de doble sanción.</w:t>
      </w:r>
    </w:p>
    <w:p w:rsidR="00A90898" w:rsidRDefault="00A90898" w:rsidP="00A90898">
      <w:pPr>
        <w:pStyle w:val="TextoNormal"/>
      </w:pPr>
    </w:p>
    <w:p w:rsidR="00A90898" w:rsidRDefault="00A90898" w:rsidP="00A90898">
      <w:pPr>
        <w:pStyle w:val="TextoNormal"/>
      </w:pPr>
      <w:r>
        <w:t>3. Si el órgano competente, durante la fase de instrucción, considera que la potestad sancionadora con relación a la presunta conducta infractora corresponde a otra administración pública, debe poner este hecho en su conocimiento y remitirle el correspondiente expediente.”</w:t>
      </w:r>
    </w:p>
    <w:p w:rsidR="00A90898" w:rsidRDefault="00A90898" w:rsidP="00A90898">
      <w:pPr>
        <w:pStyle w:val="TextoNormal"/>
      </w:pPr>
    </w:p>
    <w:p w:rsidR="00A90898" w:rsidRDefault="00A90898" w:rsidP="00A90898">
      <w:pPr>
        <w:pStyle w:val="TextoNormal"/>
      </w:pPr>
      <w:r>
        <w:t>“Artículo 63 Prescripción</w:t>
      </w:r>
    </w:p>
    <w:p w:rsidR="00A90898" w:rsidRDefault="00A90898" w:rsidP="00A90898">
      <w:pPr>
        <w:pStyle w:val="TextoNormal"/>
      </w:pPr>
    </w:p>
    <w:p w:rsidR="00A90898" w:rsidRDefault="00A90898" w:rsidP="00A90898">
      <w:pPr>
        <w:pStyle w:val="TextoNormal"/>
      </w:pPr>
      <w:r>
        <w:t>1. Las infracciones tipificadas como leves por la presente ley prescriben a los seis meses; las tipificadas como graves, al cabo de doce meses, y las tipificadas como muy graves, al cabo de dieciocho meses.</w:t>
      </w:r>
    </w:p>
    <w:p w:rsidR="00A90898" w:rsidRDefault="00A90898" w:rsidP="00A90898">
      <w:pPr>
        <w:pStyle w:val="TextoNormal"/>
      </w:pPr>
    </w:p>
    <w:p w:rsidR="00A90898" w:rsidRDefault="00A90898" w:rsidP="00A90898">
      <w:pPr>
        <w:pStyle w:val="TextoNormal"/>
      </w:pPr>
      <w:r>
        <w:t>2. Las sanciones impuestas al amparo de la presente ley prescriben a los tres meses, si son leves; al cabo de seis meses, si son graves, y al cabo de doce meses, si son muy graves.”</w:t>
      </w:r>
    </w:p>
    <w:p w:rsidR="00A90898" w:rsidRDefault="00A90898" w:rsidP="00A90898">
      <w:pPr>
        <w:pStyle w:val="TextoNormal"/>
      </w:pPr>
    </w:p>
    <w:p w:rsidR="00A90898" w:rsidRDefault="00A90898" w:rsidP="00A90898">
      <w:pPr>
        <w:pStyle w:val="TextoNormal"/>
      </w:pPr>
      <w:r>
        <w:t>“Artículo 64 Concurrencia con el orden jurisdiccional penal</w:t>
      </w:r>
    </w:p>
    <w:p w:rsidR="00A90898" w:rsidRDefault="00A90898" w:rsidP="00A90898">
      <w:pPr>
        <w:pStyle w:val="TextoNormal"/>
      </w:pPr>
    </w:p>
    <w:p w:rsidR="00A90898" w:rsidRDefault="00A90898" w:rsidP="00A90898">
      <w:pPr>
        <w:pStyle w:val="TextoNormal"/>
      </w:pPr>
      <w:r>
        <w:t>1. No pueden sancionarse los hechos que ya hayan sido sancionados penal o administrativamente, en los casos en que se aprecie identidad de sujeto, hecho y fundamento.</w:t>
      </w:r>
    </w:p>
    <w:p w:rsidR="00A90898" w:rsidRDefault="00A90898" w:rsidP="00A90898">
      <w:pPr>
        <w:pStyle w:val="TextoNormal"/>
      </w:pPr>
    </w:p>
    <w:p w:rsidR="00A90898" w:rsidRDefault="00A90898" w:rsidP="00A90898">
      <w:pPr>
        <w:pStyle w:val="TextoNormal"/>
      </w:pPr>
      <w:r>
        <w:t>2. En los casos en que el órgano administrativo considere que las infracciones pueden ser constitutivas de delito o falta, debe comunicarlo al Ministerio Fiscal o al órgano judicial competente y suspender el procedimiento sancionador hasta que la autoridad judicial dicte sentencia firme o resolución que ponga fin al procedimiento, o hasta que el Ministerio Fiscal comunique la improcedencia de iniciar o continuar las actuaciones. En los casos en que no se estime la existencia de delito o falta penal, el órgano administrativo debe continuar el procedimiento sancionador y considerar probados los hechos que lo hayan sido en sede judicial.”</w:t>
      </w:r>
    </w:p>
    <w:p w:rsidR="00A90898" w:rsidRDefault="00A90898" w:rsidP="00A90898">
      <w:pPr>
        <w:pStyle w:val="TextoNormal"/>
      </w:pPr>
    </w:p>
    <w:p w:rsidR="00A90898" w:rsidRDefault="00A90898" w:rsidP="00A90898">
      <w:pPr>
        <w:pStyle w:val="TextoNormal"/>
      </w:pPr>
      <w:r>
        <w:t>Para el Abogado del Estado en la medida en que las infracciones tipificadas en la Ley objeto de impugnación se producen en el marco de las relaciones laborales, se trata de unas conductas que solo el titular de esa competencia material puede tipificar como infracciones, y que solo pueden sancionarse con arreglo a lo dispuesto en la normativa estatal.</w:t>
      </w:r>
    </w:p>
    <w:p w:rsidR="00A90898" w:rsidRDefault="00A90898" w:rsidP="00A90898">
      <w:pPr>
        <w:pStyle w:val="TextoNormal"/>
      </w:pPr>
    </w:p>
    <w:p w:rsidR="00A90898" w:rsidRDefault="00A90898" w:rsidP="00A90898">
      <w:pPr>
        <w:pStyle w:val="TextoNormal"/>
      </w:pPr>
      <w:r>
        <w:t>Pues bien, los artículos 59 a 64 no pueden encuadrarse sin más en la materia laboral o en la materia política de género, pues dichos preceptos regulan el régimen sancionador previsto para garantizar el cumplimiento de todas las medidas recogidas en la Ley de igualdad efectiva de mujeres y hombres de Cataluña. Como señala el Consejo de Estado, “en el supuesto de que una conducta tipificada como infracción en la Ley catalana 17/2015 se produzca en el ámbito de las relaciones laborales, el régimen sancionador previsto en ella no puede desplegar efectos, pues la Comunidad Autónoma no ostenta competencia normativa que le permita tipificar infracciones y sanciones en materia laboral, debiendo en consecuencia ceder su aplicación en beneficio de la del régimen sancionador establecido por el Estado”. Sin embargo, el Abogado del Estado debería haber especificado qué preceptos o apartados concretos del régimen sancionador previsto en la Ley del Parlamento de Cataluña 17/2015 inciden en la competencia del Estado en materia laboral, y al no hacerlo la impugnación debe ser rechazada por falta de argumentación suficiente. No es función de este Tribunal sustituir la carga argumentativa que, en todo caso, corresponde al recurrente.</w:t>
      </w:r>
    </w:p>
    <w:p w:rsidR="00A90898" w:rsidRDefault="00A90898" w:rsidP="00A90898">
      <w:pPr>
        <w:pStyle w:val="TextoNormal"/>
      </w:pPr>
    </w:p>
    <w:p w:rsidR="00A90898" w:rsidRDefault="00A90898" w:rsidP="00A90898">
      <w:pPr>
        <w:pStyle w:val="TextoNormal"/>
      </w:pPr>
      <w:r>
        <w:t xml:space="preserve">Los preceptos impugnados no establecen exclusivamente el régimen sancionador en materia laboral, sino el régimen sancionador que debe aplicarse con carácter general para garantizar la igualdad efectiva de mujeres y hombres en las distintas materias reguladas en la </w:t>
      </w:r>
      <w:r>
        <w:lastRenderedPageBreak/>
        <w:t>ley, por lo que no puede declararse la inconstitucionalidad de dichos preceptos por invadir la competencia del Estado en materia de legislación laboral.</w:t>
      </w:r>
    </w:p>
    <w:p w:rsidR="00A90898" w:rsidRDefault="00A90898" w:rsidP="00A90898">
      <w:pPr>
        <w:pStyle w:val="TextoNormal"/>
      </w:pPr>
    </w:p>
    <w:p w:rsidR="00A90898" w:rsidRDefault="00A90898" w:rsidP="00A90898">
      <w:pPr>
        <w:pStyle w:val="TextoNormal"/>
      </w:pPr>
      <w:r>
        <w:t>En consecuencia, la vulneración de los arts. 59 a 64 de la Ley del Parlamento de Cataluña 17/2015 debe ser rechazada.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parcialmente el recurso de inconstitucionalidad interpuesto por el Gobierno de España contra Ley del Parlamento de Cataluña 17/2015, de 21 de julio, de igualdad efectiva de mujeres y hombres, y, en consecuencia:</w:t>
      </w:r>
    </w:p>
    <w:p w:rsidR="00A90898" w:rsidRDefault="00A90898" w:rsidP="00A90898">
      <w:pPr>
        <w:pStyle w:val="TextoNormal"/>
      </w:pPr>
    </w:p>
    <w:p w:rsidR="00A90898" w:rsidRDefault="00A90898" w:rsidP="00A90898">
      <w:pPr>
        <w:pStyle w:val="TextoNormal"/>
      </w:pPr>
      <w:r>
        <w:t>a) Declarar que los artículos 33; 36, apartados 1, 3 y 4; 39, apartados 1, 2 y 3; 40; 41, apartados 2, 3 y 4, y 44 de la Ley del Parlamento de Cataluña 17/2015, de 21 de julio, de igualdad efectiva de mujeres y hombres, son inconstitucionales y nulos.</w:t>
      </w:r>
    </w:p>
    <w:p w:rsidR="00A90898" w:rsidRDefault="00A90898" w:rsidP="00A90898">
      <w:pPr>
        <w:pStyle w:val="TextoNormal"/>
      </w:pPr>
    </w:p>
    <w:p w:rsidR="00A90898" w:rsidRDefault="00A90898" w:rsidP="00A90898">
      <w:pPr>
        <w:pStyle w:val="TextoNormal"/>
      </w:pPr>
      <w:r>
        <w:t>b) Desestimar en todo lo demás el recurso planteado.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septiembre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39" w:name="SENTENCIA_2016_160"/>
      <w:r>
        <w:lastRenderedPageBreak/>
        <w:t>SENTENCIA 160/2016, de 3 de octubre de 2016</w:t>
      </w:r>
    </w:p>
    <w:bookmarkEnd w:id="39"/>
    <w:p w:rsidR="00A90898" w:rsidRDefault="00A90898" w:rsidP="00A90898">
      <w:pPr>
        <w:pStyle w:val="TtuloResolucin"/>
      </w:pPr>
      <w:r>
        <w:t>Sala Primera</w:t>
      </w:r>
    </w:p>
    <w:p w:rsidR="00A90898" w:rsidRDefault="00A90898" w:rsidP="00A90898">
      <w:pPr>
        <w:pStyle w:val="TtuloBOE"/>
      </w:pPr>
      <w:r>
        <w:t>(BOE núm. 276, de 15 de noviembre de 2016)</w:t>
      </w:r>
    </w:p>
    <w:p w:rsidR="00A90898" w:rsidRDefault="00A90898" w:rsidP="00A90898">
      <w:pPr>
        <w:pStyle w:val="TextoNormalCentrado"/>
      </w:pPr>
      <w:r>
        <w:t>ECLI:ES:TC:2016:160</w:t>
      </w:r>
    </w:p>
    <w:p w:rsidR="00A90898" w:rsidRDefault="00A90898" w:rsidP="00A90898">
      <w:pPr>
        <w:pStyle w:val="TextoNormalCentrado"/>
      </w:pPr>
    </w:p>
    <w:p w:rsidR="00A90898" w:rsidRDefault="00A90898" w:rsidP="00A90898">
      <w:pPr>
        <w:pStyle w:val="SntesisDescriptiva"/>
      </w:pPr>
      <w:r>
        <w:t>Cuestión de inconstitucionalidad 3642-2013. Planteada por la Sección Sexta de la Sala de lo Social del Tribunal Superior de Justicia de Madrid, en relación con los artículos 2.2 y 6 del Real Decreto-ley 20/2012, de 13 de julio, de medidas para garantizar la estabilidad presupuestaria y de fomento de la competitividad.</w:t>
      </w:r>
    </w:p>
    <w:p w:rsidR="00A90898" w:rsidRDefault="00A90898" w:rsidP="00A90898">
      <w:pPr>
        <w:pStyle w:val="SntesisDescriptiva"/>
      </w:pPr>
    </w:p>
    <w:p w:rsidR="00A90898" w:rsidRDefault="00A90898" w:rsidP="00A90898">
      <w:pPr>
        <w:pStyle w:val="SntesisAnaltica"/>
      </w:pPr>
      <w:r>
        <w:t>Principio de irretroactividad de las normas restrictivas de derechos individuales: extinción, por pérdida de objeto, de la cuestión de inconstitucionalidad (STC 83/2015).</w:t>
      </w:r>
    </w:p>
    <w:p w:rsidR="00A90898" w:rsidRDefault="00A90898" w:rsidP="00A90898">
      <w:pPr>
        <w:pStyle w:val="SntesisAnaltica"/>
      </w:pPr>
    </w:p>
    <w:p w:rsidR="00A90898" w:rsidRDefault="00A90898" w:rsidP="00A90898">
      <w:pPr>
        <w:pStyle w:val="Extracto"/>
      </w:pPr>
      <w:r>
        <w:t>1.</w:t>
      </w:r>
      <w:r>
        <w:tab/>
        <w:t>Asunto sustancialmente idéntico al resuelto por la STC 83/2015, relativa a la pérdida de objeto de la cuestión de inconstitucionalidad como consecuencia de la satisfacción extraprocesal de la pretensión [FFJJ 2,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3642-2013, promovida por la Sección Sexta de la Sala de lo Social del Tribunal Superior de Justicia de Madrid, en relación con los artículos 2.2 y 6 del Real Decreto-ley 20/2012, de 13 de julio, de medidas para garantizar la estabilidad presupuestaria y de fomento de la competitividad. Han formulado alegaciones el Abogado del Estado, el Fiscal General del Estado, y las representaciones procesales de la Universidad Carlos III, la Universidad Rey Juan Carlos, la Universidad Autónoma de Madrid, la Universidad Complutense de Madrid, la Universidad Politécnica de Madrid y la Universidad de Alcalá. Ha sido Ponente el Presidente don Francisco Pérez de los Cobos Orihuel,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12 de junio de 2013 se registró en este Tribunal Constitucional un oficio de la Sección Sexta de la Sala de lo Social del Tribunal Superior de Justicia de Madrid al que se acompaña, junto con el testimonio del procedimiento de conflicto colectivo núm. 15-2013 (acumulado con el núm. 21-2013), el Auto de 13 de mayo de 2013, por el que se acuerda </w:t>
      </w:r>
      <w:r>
        <w:lastRenderedPageBreak/>
        <w:t>plantear cuestión de inconstitucionalidad en relación con los artículos 2.2 y 6 del Real Decreto-ley 20/2012, de 13 de julio, de medidas para garantizar la estabilidad presupuestaria y de fomento de la competitividad, por posible vulneración del principio de irretroactividad de las disposiciones restrictivas de derechos individuales contemplado en el art. 9.3 CE.</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hecho del planteamiento de la presente cuestión de inconstitucionalidad son los siguientes:</w:t>
      </w:r>
    </w:p>
    <w:p w:rsidR="00A90898" w:rsidRDefault="00A90898" w:rsidP="00A90898">
      <w:pPr>
        <w:pStyle w:val="TextoNormal"/>
      </w:pPr>
    </w:p>
    <w:p w:rsidR="00A90898" w:rsidRDefault="00A90898" w:rsidP="00A90898">
      <w:pPr>
        <w:pStyle w:val="TextoNormal"/>
      </w:pPr>
      <w:r>
        <w:t>a) La federación regional de enseñanza de Comisiones Obreras (CC OO) de Madrid interpuso demanda de conflicto colectivo frente a la Universidad Complutense de Madrid, la Universidad Politécnica de Madrid, la Universidad de Alcalá de Henares, la Universidad Autónoma de Madrid, la Universidad Rey Juan Carlos, la Universidad Carlos III, la Unión General de Trabajadores (UGT) y la Confederación Sindical Independiente y de Funcionarios (CSI-CSIF). Tal demanda se interpone con ocasión de que, tras la aprobación del Real Decreto-ley 20/2012 —con cita específica de los arts. 2 y 6—, ninguna de las Universidades codemandadas ha abonado la paga extraordinaria de Navidad. Concretamente, la parte actora solicita que se reconozca el derecho del personal docente e investigador con vinculación laboral de las universidades públicas madrileñas a percibir las cantidades que, en concepto de paga de Navidad de 2012 —que considera de cómputo anual—, corresponda a los servicios prestados con carácter previo a la entrada en vigor del Real Decreto-ley 20/2012, es decir, a los correspondientes al período comprendido entre el 1 de enero y el 14 de julio de 2012.</w:t>
      </w:r>
    </w:p>
    <w:p w:rsidR="00A90898" w:rsidRDefault="00A90898" w:rsidP="00A90898">
      <w:pPr>
        <w:pStyle w:val="TextoNormal"/>
      </w:pPr>
    </w:p>
    <w:p w:rsidR="00A90898" w:rsidRDefault="00A90898" w:rsidP="00A90898">
      <w:pPr>
        <w:pStyle w:val="TextoNormal"/>
      </w:pPr>
      <w:r>
        <w:t>Asimismo, por parte del Secretario General de FETE-UGT se interpuso también demanda de conflicto colectivo contra la Universidad Complutense de Madrid, la Universidad Autónoma de Madrid, la Universidad de Alcalá de Henares, la Universidad Rey Juan Carlos, la Universidad Carlos III, la Universidad Politécnica de Madrid, la federación de enseñanza de CC OO y CSIF enseñanza Madrid. También en relación con el personal docente e investigador con vinculación laboral de las universidades públicas de Madrid, y ante la misma circunstancia indicada —impago total de la paga extraordinaria de Navidad de 2012—, la parte actora solicita se declare el derecho a aplicar de manera correcta el art. 2.2 del Real Decreto-ley 20/2012 y, en consecuencia, se retribuya la parte proporcional de la paga extraordinaria de Navidad correspondiente a los meses de devengo anteriores a la entrada en vigor de dicha norma, es decir, desde el 31 de diciembre de 2011 al 14 de julio de 2012.</w:t>
      </w:r>
    </w:p>
    <w:p w:rsidR="00A90898" w:rsidRDefault="00A90898" w:rsidP="00A90898">
      <w:pPr>
        <w:pStyle w:val="TextoNormal"/>
      </w:pPr>
    </w:p>
    <w:p w:rsidR="00A90898" w:rsidRDefault="00A90898" w:rsidP="00A90898">
      <w:pPr>
        <w:pStyle w:val="TextoNormal"/>
      </w:pPr>
      <w:r>
        <w:t>Mediante Auto de la Sección Sexta de la Sala de lo Social del Tribunal Superior de Justicia de Madrid, de 5 de febrero de 2013, se acordó la acumulación de ambas demandas, celebrándose el acto de juicio el día 12 de marzo de 2013.</w:t>
      </w:r>
    </w:p>
    <w:p w:rsidR="00A90898" w:rsidRDefault="00A90898" w:rsidP="00A90898">
      <w:pPr>
        <w:pStyle w:val="TextoNormal"/>
      </w:pPr>
    </w:p>
    <w:p w:rsidR="00A90898" w:rsidRDefault="00A90898" w:rsidP="00A90898">
      <w:pPr>
        <w:pStyle w:val="TextoNormal"/>
      </w:pPr>
      <w:r>
        <w:t xml:space="preserve">b) Concluso el procedimiento y dentro del plazo para dictar Sentencia, por providencia de 13 de marzo de 2013 la Sección Sexta de la Sala de lo Social del Tribunal Superior de Justicia de Madrid acordó oír a las partes y al Ministerio Fiscal para que alegasen sobre la pertinencia de plantear cuestión de inconstitucionalidad y sobre el fondo de la misma en relación con los arts. 2.2 y 6 del Real Decreto-ley 20/2012, por posible vulneración del principio de irretroactividad de las disposiciones restrictivas de derechos individuales (art. 9.3 CE), en la medida en que, respecto al personal laboral del sector público, tales preceptos </w:t>
      </w:r>
      <w:r>
        <w:lastRenderedPageBreak/>
        <w:t>ordenan la supresión total de la gratificación extraordinaria de Navidad de 2012, sin excepción alguna de la parte —cualquiera que fuera esta— que se hubiera devengado ya a la fecha de su entrada en vigor (el 15 de julio de 2012).</w:t>
      </w:r>
    </w:p>
    <w:p w:rsidR="00A90898" w:rsidRDefault="00A90898" w:rsidP="00A90898">
      <w:pPr>
        <w:pStyle w:val="TextoNormal"/>
      </w:pPr>
    </w:p>
    <w:p w:rsidR="00A90898" w:rsidRDefault="00A90898" w:rsidP="00A90898">
      <w:pPr>
        <w:pStyle w:val="TextoNormal"/>
      </w:pPr>
      <w:r>
        <w:t>c) Mediante la presentación de los respectivos escritos, el secretario general de FETE-UGT y la federación regional de enseñanza de CC OO de Madrid no consideraron necesario el planteamiento de la cuestión de inconstitucionalidad. Por el contario, CSI-CSIF, la Universidad de Alcalá, la Universidad Carlos III, la Universidad Rey Juan Carlos, la Universidad Autónoma de Madrid, la Universidad Complutense de Madrid y la Universidad Politécnica de Madrid interesaron la elevación de la indicada cuestión de inconstitucionalidad. Por su parte, el Fiscal no se opuso al planteamiento de la cuestión de inconstitucionalidad.</w:t>
      </w:r>
    </w:p>
    <w:p w:rsidR="00A90898" w:rsidRDefault="00A90898" w:rsidP="00A90898">
      <w:pPr>
        <w:pStyle w:val="TextoNormal"/>
      </w:pPr>
    </w:p>
    <w:p w:rsidR="00A90898" w:rsidRDefault="00A90898" w:rsidP="00A90898">
      <w:pPr>
        <w:pStyle w:val="TextoNormal"/>
      </w:pPr>
      <w:r>
        <w:t>d) Por Auto de 13 de mayo de 2013, la Sección Sexta de la Sala de lo Social del Tribunal Superior de Justicia de Madrid acordó plantear cuestión de inconstitucionalidad en relación con el art 2.2 y el art. 6 del Real Decreto-ley 20/2012.</w:t>
      </w:r>
    </w:p>
    <w:p w:rsidR="00A90898" w:rsidRDefault="00A90898" w:rsidP="00A90898">
      <w:pPr>
        <w:pStyle w:val="TextoNormal"/>
      </w:pPr>
    </w:p>
    <w:p w:rsidR="00A90898" w:rsidRDefault="00A90898" w:rsidP="00A90898">
      <w:pPr>
        <w:pStyle w:val="TextoNormal"/>
      </w:pPr>
      <w:r w:rsidRPr="00A90898">
        <w:rPr>
          <w:rStyle w:val="NumeroAFNegritaCaracter"/>
        </w:rPr>
        <w:t>3</w:t>
      </w:r>
      <w:r>
        <w:t>. En el citado Auto de 13 de mayo de 2013, la Sección Sexta de la Sala de lo Social del Tribunal Superior de Justicia de Madrid fundamenta su duda de constitucionalidad en los razonamientos que a continuación se resumen.</w:t>
      </w:r>
    </w:p>
    <w:p w:rsidR="00A90898" w:rsidRDefault="00A90898" w:rsidP="00A90898">
      <w:pPr>
        <w:pStyle w:val="TextoNormal"/>
      </w:pPr>
    </w:p>
    <w:p w:rsidR="00A90898" w:rsidRDefault="00A90898" w:rsidP="00A90898">
      <w:pPr>
        <w:pStyle w:val="TextoNormal"/>
      </w:pPr>
      <w:r>
        <w:t>Tras hacer referencia al art. 31 de la Ley del estatuto de los trabajadores (LET) y al art. 24 del convenio colectivo de personal docente e investigador con vinculación laboral de las universidades públicas de la Comunidad de Madrid (BOCM de 12 de julio de 2003) —en cuyo ámbito de aplicación se incluyen los trabajadores afectados en el proceso de conflicto colectivo enjuiciado—, el órgano judicial alude a la jurisprudencia del Tribunal Supremo relativa a que las gratificaciones extraordinarias son manifestación del salario diferido y se devengan día a día, aunque su vencimiento tiene lugar en determinados meses del año. Indica que tal criterio, deducible del art. 31.2 LET, lleva a distinguir entre el devengo —que se produce día a día trabajado— y el pago —que tendrá lugar de una sola vez o bien de forma prorrateada si así se ha acordado en convenio colectivo—.</w:t>
      </w:r>
    </w:p>
    <w:p w:rsidR="00A90898" w:rsidRDefault="00A90898" w:rsidP="00A90898">
      <w:pPr>
        <w:pStyle w:val="TextoNormal"/>
      </w:pPr>
    </w:p>
    <w:p w:rsidR="00A90898" w:rsidRDefault="00A90898" w:rsidP="00A90898">
      <w:pPr>
        <w:pStyle w:val="TextoNormal"/>
      </w:pPr>
      <w:r>
        <w:t>Asimismo, añade que, visto el tenor de los arts. 2.2 y 6 del Real Decreto-ley 20/2012, no parece dudoso que esta normativa ha dispuesto la supresión completa de la totalidad de la paga extraordinaria de diciembre de 2012, sin hacer distinción alguna entre importes que deban considerarse ya devengados antes de la entrada en vigor de la norma e importes que vayan a devengarse a partir de ese momento, de modo que introducir esa distinción donde la norma no lo ha hecho excedería de la labor interpretativa judicial, al ser el texto claro y rotundo. Por ello considera que, por lo que se refiere al período transcurrido antes de la entrada en vigor (ya se trate de devengo semestral o anual; cuestión debatida en el juicio), las disposiciones del Real Decreto-ley 20/2012 afectan a un derecho ya devengado por los trabajadores a tenor del art. 31 LET, complementado por la jurisprudencia del Tribunal Supremo.</w:t>
      </w:r>
    </w:p>
    <w:p w:rsidR="00A90898" w:rsidRDefault="00A90898" w:rsidP="00A90898">
      <w:pPr>
        <w:pStyle w:val="TextoNormal"/>
      </w:pPr>
    </w:p>
    <w:p w:rsidR="00A90898" w:rsidRDefault="00A90898" w:rsidP="00A90898">
      <w:pPr>
        <w:pStyle w:val="TextoNormal"/>
      </w:pPr>
      <w:r>
        <w:t xml:space="preserve">En consecuencia, dado que, conforme a la jurisprudencia constitucional, la retroactividad prohibida por el art. 9.3 CE es la que incide sobre los efectos jurídicos ya producidos al amparo de una norma anteriormente vigente —esto es, la que incide sobre relaciones consagradas y afecta a situaciones agotadas—, el órgano judicial concluye que hay que apreciar </w:t>
      </w:r>
      <w:r>
        <w:lastRenderedPageBreak/>
        <w:t>la retroactividad del Real Decreto-ley 20/2012 al suprimir una parte de la paga extraordinaria de diciembre de 2012, puesto que una porción de esa paga (cuyo montante depende de que se aplique el cómputo semestral o el anual) ya había sido devengada antes de la entrada en vigor de dicho Real Decreto-ley, y sin embargo resulta suprimida. Se señala en el Auto que si se admitiera que el derecho a la paga extraordinaria no es completo y perfecto hasta su efectiva percepción en el mes de diciembre, y que por ello no puede apreciarse retroactividad de la norma, se estaría admitiendo una quiebra del principio de igualdad de trato contraria al art. 14 CE, puesto que los trabajadores que hubieran cesado antes de la entrada en vigor del Real Decreto-ley 20/2012 habrían podido recibir la parte proporcional de la paga extraordinaria de diciembre devengada hasta el 15 de julio de 2012, mientras que quienes siguieran prestando servicios verían reducida dicha paga al cobrarla en diciembre, sin que existiera justificación para tal diferenciación de trato.</w:t>
      </w:r>
    </w:p>
    <w:p w:rsidR="00A90898" w:rsidRDefault="00A90898" w:rsidP="00A90898">
      <w:pPr>
        <w:pStyle w:val="TextoNormal"/>
      </w:pPr>
    </w:p>
    <w:p w:rsidR="00A90898" w:rsidRDefault="00A90898" w:rsidP="00A90898">
      <w:pPr>
        <w:pStyle w:val="TextoNormal"/>
      </w:pPr>
      <w:r>
        <w:t xml:space="preserve">Con cita de doctrina constitucional, el órgano judicial argumenta asimismo que la retroactividad prohibida por el art. 9.3 CE ha de referirse a disposiciones restrictivas de derechos fundamentales y libertades públicas del título I de la Constitución o de los que se refieren a la esfera general de protección de la persona, estimando que los derechos retributivos en el marco de la relación laboral pueden quedar comprendidos en estos últimos, pues el derecho a la remuneración del trabajo por cuenta ajena se halla reconocido en el art. 35 CE, que remite a su vez a los arts. 26 y 31 LET. Al respecto, y tras aludir a lo dicho en el ATC 162/2012, expone que, </w:t>
      </w:r>
      <w:r w:rsidRPr="00A90898">
        <w:rPr>
          <w:i/>
        </w:rPr>
        <w:t>a sensu contrario</w:t>
      </w:r>
      <w:r>
        <w:t>, debería entenderse que una regulación que disminuyera derechos salariales ya devengados se proyecta sobre un derecho protegible y afecta a situaciones agotadas, infringiendo la prohibición de retroactividad del art. 9.3 CE. Precisa el Auto que, aun en el caso de retroactividad auténtica, tal prohibición podría ceder a exigencias cualificadas del bien común que podrían imponerse excepcionalmente a tal principio (STC 89/2009), si bien, aprecia que el propósito de reducir el gasto público no constituye suficiente base para atentar al básico principio de irretroactividad suprimiendo un derecho ya devengado, cuando podría haberse optado por la supresión de sucesivas retribuciones todavía no incorporadas al acervo patrimonial del trabajador.</w:t>
      </w:r>
    </w:p>
    <w:p w:rsidR="00A90898" w:rsidRDefault="00A90898" w:rsidP="00A90898">
      <w:pPr>
        <w:pStyle w:val="TextoNormal"/>
      </w:pPr>
    </w:p>
    <w:p w:rsidR="00A90898" w:rsidRDefault="00A90898" w:rsidP="00A90898">
      <w:pPr>
        <w:pStyle w:val="TextoNormal"/>
      </w:pPr>
      <w:r>
        <w:t>En definitiva, la Sección Sexta de la Sala de lo Social del Tribunal Superior de Justicia de Madrid indica que resulta imprescindible determinar si los arts. 2.2 y 6 del Real Decreto-ley 20/2012 infringen el principio de no retroactividad establecido en el art. 9.3 CE, pues de ello depende la decisión del conflicto colectivo enjuiciado, ya que de darse una respuesta afirmativa —en el sentido de que se infringe tal principio constitucional—, la decisión del litigio debería ser estimatoria, quedando por resolver cuestiones de legalidad ordinaria como la concreción del período devengado hasta la entrada en vigor de dicho Real Decreto-ley; y si por el contrario, la respuesta fuera negativa —no hay contradicción con el art. 9.3 CE—, se habrían de desestimar las demandas. Por todo ello, el Auto acuerda elevar cuestión de inconstitucionalidad, a efectos de que el Tribunal Constitucional resuelva si los citados arts. 2.2 y 6 del Real Decreto-ley 20/2012, en su aplicación al personal laboral del sector público, han vulnerado o no el principio de irretroactividad de las disposiciones restrictivas de derechos individuales previsto en el art. 9.3 CE.</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Por providencia de 10 de septiembre de 2013, el Pleno de este Tribunal acordó admitir a trámite la cuestión de inconstitucionalidad, deferir a la Sala Primera el conocimiento de la misma conforme al art. 10.1 c) de la Ley Orgánica del Tribunal Constitucional (LOTC) y dar traslado de las actuaciones recibidas al Congreso de los Diputados y al Senado, por </w:t>
      </w:r>
      <w:r>
        <w:lastRenderedPageBreak/>
        <w:t>conducto de sus Presidentes, al Gobierno, a través del Ministro de Justicia, y al Fiscal General del Estado, para que en el improrrogable plazo de 15 días pudieran personarse en el proceso y formular las alegaciones que estimasen convenientes (art. 37.3 LOTC). Asimismo se ordenó, de un lado, comunicar esa resolución a la Sección Sexta de la Sala de lo Social del Tribunal Superior de Justicia de Madrid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226, de 20 de septiembre de 2013. Por diligencia de ordenación de la Secretaría de Justicia del Pleno de 10 de septiembre de 2013, se concedió un plazo de 15 días a partir de la publicación del referido edicto para que, de conformidad con lo establecido en el art. 37.2 LOTC, quienes fuesen parte en el procedimiento de conflicto colectivo núm. 15-2013 pudieran personarse ante este Tribunal.</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presentado en el Registro General de este Tribunal el 25 de septiembre de 2013, el Presidente del Senado en funciones comunicó el acuerdo de la Mesa para que se diera por personada a la Cámara y por ofrecida su colaboración a los efectos del art. 88.1 LOTC. Asimismo, por escrito presentado en el Registro General de este Tribunal el 26 de septiembre de 2013, el Presidente del Congreso de los Diputados comunicó la decisión de la Mesa de que se diera por personada a la Cámara y por ofrecida su colaboración a los efectos del art. 88.1 LOTC, con remisión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en este Tribunal el 30 de septiembre de 2013, el Abogado del Estado se personó en el presente proceso constitucional y formuló las alegaciones que a continuación se sintetizan.</w:t>
      </w:r>
    </w:p>
    <w:p w:rsidR="00A90898" w:rsidRDefault="00A90898" w:rsidP="00A90898">
      <w:pPr>
        <w:pStyle w:val="TextoNormal"/>
      </w:pPr>
    </w:p>
    <w:p w:rsidR="00A90898" w:rsidRDefault="00A90898" w:rsidP="00A90898">
      <w:pPr>
        <w:pStyle w:val="TextoNormal"/>
      </w:pPr>
      <w:r>
        <w:t>Comienza señalando que aunque el Auto de planteamiento cuestiona la totalidad del extenso apartado 2 del art. 2 del Real Decreto-ley 20/2012, se refiere en realidad solo al apartado 2.2 del art. 2; es decir, a la aplicación de la supresión de la paga extra al personal laboral de las Administraciones públicas. Asimismo indica que el Auto cuestiona la constitucionalidad de los arts. 2.2 y 6 del Real Decreto-ley 20/2012 por infracción de los arts. 9.3 y 14 CE, si bien, en el trámite de audiencia, el Tribunal Superior de Justicia de Madrid únicamente planteó a las partes la posible infracción del art. 9.3 CE, de ahí que, conforme a la doctrina del Tribunal Constitucional (ATC 24/2013, FJ 3), y dado que en la providencia que dio cumplimiento a dicho trámite no existía determinación alguna —absoluta o relativa— de dudas de constitucionalidad respecto al art. 14 CE, considera que la cuestión es inadmisible en relación con dicho precepto. Además precisa que no se cuestiona genéricamente la supresión de la paga extra, sino que tan solo se reprocha al legislador el que no haya incluido una disposición transitoria por la cual se hubiera exceptuado de la mencionada supresión la parte proporcional de la paga extraordinaria que se entiende “devengada desde los días 1 a 15 de julio” (</w:t>
      </w:r>
      <w:r w:rsidRPr="00A90898">
        <w:rPr>
          <w:i/>
        </w:rPr>
        <w:t>sic</w:t>
      </w:r>
      <w:r>
        <w:t>), fecha esta última de entrada en vigor del Real Decreto-ley 20/2012. En definitiva, entiende que lo que se plantea es una inconstitucionalidad por omisión y que la consecuencia que podría derivarse no sería la declaración de inconstitucionalidad de los arts. 2.2 y 6 Real Decreto-ley 20/2012, sino simplemente la de imponer al legislador, con respeto a su libertad de configuración, el establecimiento de una expresa excepción a la supresión de la paga extra de la parte proporcional al tiempo que va “entre el 1 y el 15 de julio de 2012”.</w:t>
      </w:r>
    </w:p>
    <w:p w:rsidR="00A90898" w:rsidRDefault="00A90898" w:rsidP="00A90898">
      <w:pPr>
        <w:pStyle w:val="TextoNormal"/>
      </w:pPr>
    </w:p>
    <w:p w:rsidR="00A90898" w:rsidRDefault="00A90898" w:rsidP="00A90898">
      <w:pPr>
        <w:pStyle w:val="TextoNormal"/>
      </w:pPr>
      <w:r>
        <w:lastRenderedPageBreak/>
        <w:t>Precisado lo anterior, el Abogado del Estado pasa a contestar los puntos argumentales del Auto de planteamiento. Comienza negando que nos encontremos ante “disposiciones sancionadoras no favorables o restrictivas de derechos individuales” en el sentido del art. 9.3 CE. Indica, en tal sentido, que una norma que aspira a la contención del gasto de personal (como uno de los principales componentes del gasto público) no es ni sancionadora, ni restrictiva de derechos en el sentido constitucional de la expresión. Tampoco el art. 35.1 CE (derecho a una remuneración suficiente) comprendería el derecho al “mantenimiento” de una determinada retribución inmutable, ni permitiría afirmar que una reducción salarial es una norma constitucionalmente restrictiva de derechos en el sentido del art. 9.3 CE.</w:t>
      </w:r>
    </w:p>
    <w:p w:rsidR="00A90898" w:rsidRDefault="00A90898" w:rsidP="00A90898">
      <w:pPr>
        <w:pStyle w:val="TextoNormal"/>
      </w:pPr>
    </w:p>
    <w:p w:rsidR="00A90898" w:rsidRDefault="00A90898" w:rsidP="00A90898">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 Pues bien, añade que, según el Auto de planteamiento, la cuestión radica en determinar si el derecho a la paga extra proporcional “a los días 1 a 15 de julio estaba ya consolidado, asumido e integrado en el patrimonio de los trabajadores cuando entró en vigor” el Real Decreto-ley 20/2012.</w:t>
      </w:r>
    </w:p>
    <w:p w:rsidR="00A90898" w:rsidRDefault="00A90898" w:rsidP="00A90898">
      <w:pPr>
        <w:pStyle w:val="TextoNormal"/>
      </w:pPr>
    </w:p>
    <w:p w:rsidR="00A90898" w:rsidRDefault="00A90898" w:rsidP="00A90898">
      <w:pPr>
        <w:pStyle w:val="TextoNormal"/>
      </w:pPr>
      <w:r>
        <w:t>Señala el Abogado del Estado que ha sido la jurisprudencia del Tribunal Supremo la que ha declarado el devengo diario de las gratificaciones extraordinarias. No obstante, a su juicio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los arts. 2.2 y 6 del Real Decreto-ley 20/2012 han entendido, precisamente, que las gratificaciones extraordinarias se devengan en el momento del pago. Según indica, esta concepción es, por otro lado, perfectamente conforme con los arts. 26 y 31 de la Ley del estatuto de los trabajadores. Recuerda asimismo la doctrina de este Tribunal Constitucional en relación con los tributos con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90898" w:rsidRDefault="00A90898" w:rsidP="00A90898">
      <w:pPr>
        <w:pStyle w:val="TextoNormal"/>
      </w:pPr>
    </w:p>
    <w:p w:rsidR="00A90898" w:rsidRDefault="00A90898" w:rsidP="00A90898">
      <w:pPr>
        <w:pStyle w:val="TextoNormal"/>
      </w:pPr>
      <w:r>
        <w:lastRenderedPageBreak/>
        <w:t>Seguidamente sostiene el Abogado del Estado que aún en el caso de que se considerase que los preceptos cuestionados suponen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con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90898" w:rsidRDefault="00A90898" w:rsidP="00A90898">
      <w:pPr>
        <w:pStyle w:val="TextoNormal"/>
      </w:pPr>
    </w:p>
    <w:p w:rsidR="00A90898" w:rsidRDefault="00A90898" w:rsidP="00A90898">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w:t>
      </w:r>
    </w:p>
    <w:p w:rsidR="00A90898" w:rsidRDefault="00A90898" w:rsidP="00A90898">
      <w:pPr>
        <w:pStyle w:val="TextoNormal"/>
      </w:pPr>
    </w:p>
    <w:p w:rsidR="00A90898" w:rsidRDefault="00A90898" w:rsidP="00A90898">
      <w:pPr>
        <w:pStyle w:val="TextoNormal"/>
      </w:pPr>
      <w:r>
        <w:t>Así las cosas, el Abogado del Estado afirma que, dada la situación descrita de grave crisis económica, no existe razón para negar la concurrencia de un “interés general” que justifique la medida cuestionada. Se recuerda además que, en realidad, no asistimos a una reducción del sueldo de los empleados públicos, sino a una “congelación” de la paga extra de diciembre con previsión de su satisfacción en ejercicios futuros a través de aportaciones a planes de pensiones o contratos de seguro colectivo que cubran la contingencia de jubilación, conforme a lo dispuesto en el art. 2.4 del Real Decreto-ley 20/2012. En definitiva, se concluye diciendo que ante el interés público a que se trata de atender, resulta absolutamente proporcionado que únicamente se exija como sacrificio a los particulares el aplazamiento temporal del abono de la parte proporcional de la paga extraordinaria “correspondiente a los días 1 a 15 de julio”.</w:t>
      </w:r>
    </w:p>
    <w:p w:rsidR="00A90898" w:rsidRDefault="00A90898" w:rsidP="00A90898">
      <w:pPr>
        <w:pStyle w:val="TextoNormal"/>
      </w:pPr>
    </w:p>
    <w:p w:rsidR="00A90898" w:rsidRDefault="00A90898" w:rsidP="00A90898">
      <w:pPr>
        <w:pStyle w:val="TextoNormal"/>
      </w:pPr>
      <w:r>
        <w:t>Por todo ello, se interesa la inadmisión parcial de la cuestión en cuanto a la posible vulneración del art. 14 CE, desestimándolo íntegramente en lo restante; o subsidiariamente, la desestimación íntegra de la cuestión.</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registrado en este Tribunal el 1 de octubre de 2013, la representación procesal de la Universidad de Alcalá solicitó que se le tuviera por personada y parte en la presente cuestión de inconstitucionalidad. La misma solicitud se realizó por las representacio</w:t>
      </w:r>
      <w:r>
        <w:lastRenderedPageBreak/>
        <w:t>nes procesales de la Universidad Politécnica de Madrid y la Universidad Autónoma de Madrid mediante sendos escritos registrados en este Tribunal el 2 de octubre de 2013, así como de la Universidad Carlos III, la Universidad Rey Juan Carlos y la Universidad Complutense de Madrid por escritos respectivamente registrados el 3, el 7 y el 10 de octubre de 2013.</w:t>
      </w:r>
    </w:p>
    <w:p w:rsidR="00A90898" w:rsidRDefault="00A90898" w:rsidP="00A90898">
      <w:pPr>
        <w:pStyle w:val="TextoNormal"/>
      </w:pPr>
    </w:p>
    <w:p w:rsidR="00A90898" w:rsidRDefault="00A90898" w:rsidP="00A90898">
      <w:pPr>
        <w:pStyle w:val="TextoNormal"/>
      </w:pPr>
      <w:r>
        <w:t>Mediante diligencia de ordenación de la Secretaria de Justicia de 14 de octubre de 2013 se tuvo a los citados por personados y parte en la presente cuestión de inconstitucionalidad, y conforme al art. 37.2 LOTC, se les concedió un plazo de 15 días para que formularan las alegaciones que estimaran convenientes, dando vista del testimonio de actuaciones remitido por la Sección Sexta de la Sala de lo Social del Tribunal Superior de Justicia de Madrid. Respecto a algunos de los Procuradores personados, todo ello se condicionaba a la presentación de poderes originales para pleitos que acreditaran su representación, lo que así se hizo en fechas posteriores.</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en este Tribunal el 15 de octubre de 2013, el Fiscal General del Estado evacuó el trámite de alegaciones, interesando la declaración de que el art. 2, apartado 2.2, del Real Decreto-ley 20/2012 es contrario al art. 9.3 CE.</w:t>
      </w:r>
    </w:p>
    <w:p w:rsidR="00A90898" w:rsidRDefault="00A90898" w:rsidP="00A90898">
      <w:pPr>
        <w:pStyle w:val="TextoNormal"/>
      </w:pPr>
    </w:p>
    <w:p w:rsidR="00A90898" w:rsidRDefault="00A90898" w:rsidP="00A90898">
      <w:pPr>
        <w:pStyle w:val="TextoNormal"/>
      </w:pPr>
      <w:r>
        <w:t>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se dispone.</w:t>
      </w:r>
    </w:p>
    <w:p w:rsidR="00A90898" w:rsidRDefault="00A90898" w:rsidP="00A90898">
      <w:pPr>
        <w:pStyle w:val="TextoNormal"/>
      </w:pPr>
    </w:p>
    <w:p w:rsidR="00A90898" w:rsidRDefault="00A90898" w:rsidP="00A90898">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la cuantía de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A90898">
        <w:rPr>
          <w:i/>
        </w:rPr>
        <w:t>N.K.M. v. Hungría</w:t>
      </w:r>
      <w:r>
        <w:t xml:space="preserve">),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w:t>
      </w:r>
      <w:r>
        <w:lastRenderedPageBreak/>
        <w:t>de que esta se realizará. Y entiende que en el caso ahora examinado sí existía esa expectativa legítima conforme a la jurisprudencia del Tribunal Supremo, al tratarse de cantidades de devengo diario.</w:t>
      </w:r>
    </w:p>
    <w:p w:rsidR="00A90898" w:rsidRDefault="00A90898" w:rsidP="00A90898">
      <w:pPr>
        <w:pStyle w:val="TextoNormal"/>
      </w:pPr>
    </w:p>
    <w:p w:rsidR="00A90898" w:rsidRDefault="00A90898" w:rsidP="00A90898">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(14 de julio de 2012).</w:t>
      </w:r>
    </w:p>
    <w:p w:rsidR="00A90898" w:rsidRDefault="00A90898" w:rsidP="00A90898">
      <w:pPr>
        <w:pStyle w:val="TextoNormal"/>
      </w:pPr>
    </w:p>
    <w:p w:rsidR="00A90898" w:rsidRDefault="00A90898" w:rsidP="00A90898">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(referido en exclusiva a personal laboral y no a personal funcionario o estatutario). A su vez expone que la mención al art. 6 no resulta procedente, pues se refiere a la privación total de la paga extraordinaria, “mientras que la propia argumentación del auto de planteamiento se limita al período de 14 días de salario devengado y no percibido” (</w:t>
      </w:r>
      <w:r w:rsidRPr="00A90898">
        <w:rPr>
          <w:i/>
        </w:rPr>
        <w:t>sic</w:t>
      </w:r>
      <w:r>
        <w:t>).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del año 2012”.</w:t>
      </w:r>
    </w:p>
    <w:p w:rsidR="00A90898" w:rsidRDefault="00A90898" w:rsidP="00A90898">
      <w:pPr>
        <w:pStyle w:val="TextoNormal"/>
      </w:pPr>
    </w:p>
    <w:p w:rsidR="00A90898" w:rsidRDefault="00A90898" w:rsidP="00A90898">
      <w:pPr>
        <w:pStyle w:val="TextoNormal"/>
      </w:pPr>
      <w:r w:rsidRPr="00A90898">
        <w:rPr>
          <w:rStyle w:val="NumeroAFNegritaCaracter"/>
        </w:rPr>
        <w:t>9</w:t>
      </w:r>
      <w:r>
        <w:t>. Mediante sendos escritos registrados en este Tribunal en las fechas que se indican formularon sus alegaciones las representaciones procesales de la Universidad Carlos III de Madrid y la Universidad Rey Juan Carlos —el 5 de noviembre de 2013—, la Universidad Autónoma de Madrid —el 6 de noviembre de 2013— y la Universidad Complutense de Madrid, la Universidad Politécnica de Madrid y la Universidad de Alcalá —el 7 de noviembre de 2013—.</w:t>
      </w:r>
    </w:p>
    <w:p w:rsidR="00A90898" w:rsidRDefault="00A90898" w:rsidP="00A90898">
      <w:pPr>
        <w:pStyle w:val="TextoNormal"/>
      </w:pPr>
    </w:p>
    <w:p w:rsidR="00A90898" w:rsidRDefault="00A90898" w:rsidP="00A90898">
      <w:pPr>
        <w:pStyle w:val="TextoNormal"/>
      </w:pPr>
      <w:r>
        <w:t xml:space="preserve">En dichos escritos aducen que del tenor de los arts. 2.2 y 6 del Real Decreto-ley 20/2012 se deduce que lo pretendido con ellos es suprimir por entero la cantidad correspondiente a la paga extraordinaria, con independencia de su devengo, y de ahí que el abono parcial de la paga extraordinaria de diciembre no tiene cabida en el supuesto cuestionado. Por ello, a su juicio es necesario un pronunciamiento del Tribunal Constitucional para la resolución del conflicto colectivo del que trae causa la cuestión, indicando que, en el caso de declararse la </w:t>
      </w:r>
      <w:r>
        <w:lastRenderedPageBreak/>
        <w:t>vulneración por los preceptos cuestionados del art. 9.3 CE, se plantearía un agravio comparativo respecto del personal al que se aplicó el art. 2.5 del Real Decreto-ley 20/2012, a quien se detrajo la catorceava parte de sus retribuciones anuales totales sin incluir incentivos al rendimiento.</w:t>
      </w:r>
    </w:p>
    <w:p w:rsidR="00A90898" w:rsidRDefault="00A90898" w:rsidP="00A90898">
      <w:pPr>
        <w:pStyle w:val="TextoNormal"/>
      </w:pPr>
    </w:p>
    <w:p w:rsidR="00A90898" w:rsidRDefault="00A90898" w:rsidP="00A90898">
      <w:pPr>
        <w:pStyle w:val="TextoNormal"/>
      </w:pPr>
      <w:r>
        <w:t>En cuanto al fondo, y tras repasar la doctrina constitucional sobre el art. 9.3 CE, afirman que el derecho a cobrar la paga extra de diciembre que los empleados públicos ostentaban el 15 de julio de 2012 puede calificarse como derecho pendiente o futuro en el sentido de que no vence hasta el mes de diciembre y, por tanto, no puede ser exigido hasta esa fecha. Exponen que si se considera que el derecho al abono proporcional de la paga extra se engloba en el art. 35 CE, es claro que no se encuentra dentro de la sección 1 del capítulo II del título I, pero quizá podría interpretarse como un derecho en la esfera general de los de protección a la persona. En cuanto al significado del término “devengo” indican que si se considera referido al momento en que nace el derecho al abono o cobro de la paga extraordinaria —sentido utilizado en el art. 33 de la Ley 33/1987 respecto al personal funcionario y el art. 77 del II convenio colectivo único para el personal laboral de la Administración General del Estado—, no se plantearía duda de constitucionalidad, puesto que el personal laboral afectado por el conflicto colectivo solo tiene derecho a percibir la paga extra de diciembre en dicho mes, aludiendo al respecto al convenio aplicable. Asimismo, tras referirse al art. 16 del Real Decreto-ley 20/2012, se señala que ha de entenderse sin efecto y para el año 2012 cualquier norma referida al sistema de devengo de la paga extraordinaria de diciembre.</w:t>
      </w:r>
    </w:p>
    <w:p w:rsidR="00A90898" w:rsidRDefault="00A90898" w:rsidP="00A90898">
      <w:pPr>
        <w:pStyle w:val="TextoNormal"/>
      </w:pPr>
    </w:p>
    <w:p w:rsidR="00A90898" w:rsidRDefault="00A90898" w:rsidP="00A90898">
      <w:pPr>
        <w:pStyle w:val="TextoNormal"/>
      </w:pPr>
      <w:r>
        <w:t>Afirman también que, para el caso de reconocer que los arts. 2.2 y 6 del Real Decreto-ley 20/2012 tienen alcance retroactivo y que el derecho del empleado público a percibir la parte de la paga extra de diciembre de 2012 ya devengada el 15 de julio de ese año no es un derecho pendiente, sino una relación consagrada o situación agotada, “la única excepción para que dichos preceptos tuvieran que ser declarados anticonstitucionales, sería que la medida adoptada en ellos respondiera a necesidades del bien común”. Citan al respecto la STC 197/1992 y aluden a que, en la situación económica existente, la medida cuestionada estaba dirigida a racionalizar y reducir el gasto de personal de las Administraciones públicas.</w:t>
      </w:r>
    </w:p>
    <w:p w:rsidR="00A90898" w:rsidRDefault="00A90898" w:rsidP="00A90898">
      <w:pPr>
        <w:pStyle w:val="TextoNormal"/>
      </w:pPr>
    </w:p>
    <w:p w:rsidR="00A90898" w:rsidRDefault="00A90898" w:rsidP="00A90898">
      <w:pPr>
        <w:pStyle w:val="TextoNormal"/>
      </w:pPr>
      <w:r>
        <w:t>Junto a las anteriores consideraciones, las Universidades Carlos III de Madrid, la Rey Juan Carlos, la Autónoma de Madrid, la Politécnica de Madrid y la de Alcalá señalan que el espíritu y finalidad a que responde el Real Decreto-ley 20/2012 debe entenderse dentro de las circunstancias de emergencia por las que atravesaba el país en la semana del 9 al 15 de julio de 2012. Asimismo, al hilo del diferente tenor del art. 2.5 del Real Decreto-ley 20/2012, añaden que el objetivo de este Real Decreto-ley era obtener una inmediata reducción de la cuantía total anual de las retribuciones de los empleados públicos, para lo que se utiliza, con carácter puramente instrumental, la referencia al montante que supone la paga extra de diciembre de 2012. En tal sentido, los escritos de las mencionadas Universidades indican que el hecho de que la minoración retributiva prevista en el Real Decreto-ley 20/2012, por lo que al personal laboral del sector público se refiere, pueda prorratearse entre las nóminas pendientes de percibir en 2012 (art. 2.2.2) pone de manifiesto que la medida no tiene por objeto la paga extra en sí misma, sino la cuantía que representa.</w:t>
      </w:r>
    </w:p>
    <w:p w:rsidR="00A90898" w:rsidRDefault="00A90898" w:rsidP="00A90898">
      <w:pPr>
        <w:pStyle w:val="TextoNormal"/>
      </w:pPr>
    </w:p>
    <w:p w:rsidR="00A90898" w:rsidRDefault="00A90898" w:rsidP="00A90898">
      <w:pPr>
        <w:pStyle w:val="TextoNormal"/>
      </w:pPr>
      <w:r w:rsidRPr="00A90898">
        <w:rPr>
          <w:rStyle w:val="NumeroAFNegritaCaracter"/>
        </w:rPr>
        <w:t>10</w:t>
      </w:r>
      <w:r>
        <w:t xml:space="preserve">. Por providencia de 28 de mayo de 2015 la Sala Primera acordó, de conformidad con lo dispuesto en el art. 88.1 LOTC, dirigir atenta comunicación a las Universidades Complutense de Madrid, Politécnica de Madrid, de Alcalá de Henares, Autónoma de Madrid, Rey </w:t>
      </w:r>
      <w:r>
        <w:lastRenderedPageBreak/>
        <w:t>Juan Carlos, y Carlos III, a fin de que indicaran si, en atención a lo previsto en la disposición adicional duodécima de la Ley 36/2014, de presupuestos generales del Estado para el año 2015, o por cualquier otra circunstancia, han satisfecho al personal docente e investigador laboral de esas Universidades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90898" w:rsidRDefault="00A90898" w:rsidP="00A90898">
      <w:pPr>
        <w:pStyle w:val="TextoNormal"/>
      </w:pPr>
    </w:p>
    <w:p w:rsidR="00A90898" w:rsidRDefault="00A90898" w:rsidP="00A90898">
      <w:pPr>
        <w:pStyle w:val="TextoNormal"/>
      </w:pPr>
      <w:r w:rsidRPr="00A90898">
        <w:rPr>
          <w:rStyle w:val="NumeroAFNegritaCaracter"/>
        </w:rPr>
        <w:t>11</w:t>
      </w:r>
      <w:r>
        <w:t>. Por sendos escritos presentados en el Registro General de este Tribunal en las fechas que se indican, la Universidad Carlos III de Madrid —el 8 de junio de 2015—, la Universidad de Alcalá —el 11 de junio de 2015—, la Universidad Politécnica de Madrid —el 16 de junio de 2015—, la Universidad Rey Juan Carlos —el 17 de junio de 2015—, la Universidad Complutense de Madrid —el 22 de junio de 2015— y la Universidad Autónoma de Madrid —el 22 de junio de 2015— comunicaron que, en ese momento, ya habían procedido a abonar a su personal docente e investigador laboral la parte proporcional correspondiente a 44 días de la paga extra y adicional de diciembre de 2012, o en su caso, el 24,04 por 100 del importe dejado de percibir por aplicación del Real Decreto-ley 20/2012. En los escritos de la Universidad Rey Juan Carlos y de la Universidad Autónoma de Madrid se precisa que, para el caso de no tener derecho a percibir la totalidad de la paga extra o adicional, los 44 días se han reducido proporcionalmente al cómputo de días que correspondieran.</w:t>
      </w:r>
    </w:p>
    <w:p w:rsidR="00A90898" w:rsidRDefault="00A90898" w:rsidP="00A90898">
      <w:pPr>
        <w:pStyle w:val="TextoNormal"/>
      </w:pPr>
    </w:p>
    <w:p w:rsidR="00A90898" w:rsidRDefault="00A90898" w:rsidP="00A90898">
      <w:pPr>
        <w:pStyle w:val="TextoNormal"/>
      </w:pPr>
      <w:r w:rsidRPr="00A90898">
        <w:rPr>
          <w:rStyle w:val="NumeroAFNegritaCaracter"/>
        </w:rPr>
        <w:t>12</w:t>
      </w:r>
      <w:r>
        <w:t>. Mediante providencia de 24 de mayo de 2016, la Sala Primera acordó, de conformidad con lo dispuesto en el art. 88.1 LOTC, dirigir atenta comunicación a las Universidades Complutense de Madrid, Politécnica de Madrid, de Alcalá de Henares, Autónoma de Madrid, Rey Juan Carlos, y Carlos III, a fin de que indicaran el porcentaje del total de la paga extraordinaria (o adicional) de diciembre de 2012 que han satisfecho al personal docente e investigador laboral de esas Universidades, en atención a lo previsto en la disposición adicional duodécima de la Ley 36/2014, de presupuestos generales del Estado para el año 2015, el art. 1 del Real Decreto-ley 10/2015, de 11 de septiembre, por el que se conceden créditos extraordinarios y suplementos de crédito en el presupuesto del Estado y se adoptan otras medidas en materia de empleo público y de estímulo a la economía, la disposición adicional duodécima de la Ley 48/2015, de 29 de octubre, de presupuestos generales del Estado para el año 2016, o por cualquier otra circunstancia.</w:t>
      </w:r>
    </w:p>
    <w:p w:rsidR="00A90898" w:rsidRDefault="00A90898" w:rsidP="00A90898">
      <w:pPr>
        <w:pStyle w:val="TextoNormal"/>
      </w:pPr>
    </w:p>
    <w:p w:rsidR="00A90898" w:rsidRDefault="00A90898" w:rsidP="00A90898">
      <w:pPr>
        <w:pStyle w:val="TextoNormal"/>
      </w:pPr>
      <w:r w:rsidRPr="00A90898">
        <w:rPr>
          <w:rStyle w:val="NumeroAFNegritaCaracter"/>
        </w:rPr>
        <w:t>13</w:t>
      </w:r>
      <w:r>
        <w:t>. En respuesta a dicho requerimiento, por escrito presentado en el Registro General de este Tribunal el 1 de junio de 2016, la Universidad Carlos III de Madrid comunicó que, sobre el importe dejado de percibir por cada empleado en aplicación del art. 2 del Real Decreto-ley 20/2012, se había abonado en febrero de 2015 el 24,04 por 100, en noviembre de 2015 el 26,23 por 100, y en febrero de 2016 el 25,14 por 100.</w:t>
      </w:r>
    </w:p>
    <w:p w:rsidR="00A90898" w:rsidRDefault="00A90898" w:rsidP="00A90898">
      <w:pPr>
        <w:pStyle w:val="TextoNormal"/>
      </w:pPr>
    </w:p>
    <w:p w:rsidR="00A90898" w:rsidRDefault="00A90898" w:rsidP="00A90898">
      <w:pPr>
        <w:pStyle w:val="TextoNormal"/>
      </w:pPr>
      <w:r>
        <w:t>Por escrito registrado ante este Tribunal el 3 de junio de 2016, la Universidad Rey Juan Carlos informó de que, al personal docente e investigador laboral de dicha Universidad, se le ha abonado en 2015 un 50,27 por 100 del total de la paga extraordinaria (o adicional) de diciembre de 2012, y en 2016 un 25,14 por 100.</w:t>
      </w:r>
    </w:p>
    <w:p w:rsidR="00A90898" w:rsidRDefault="00A90898" w:rsidP="00A90898">
      <w:pPr>
        <w:pStyle w:val="TextoNormal"/>
      </w:pPr>
    </w:p>
    <w:p w:rsidR="00A90898" w:rsidRDefault="00A90898" w:rsidP="00A90898">
      <w:pPr>
        <w:pStyle w:val="TextoNormal"/>
      </w:pPr>
      <w:r>
        <w:lastRenderedPageBreak/>
        <w:t>Mediante escrito que tuvo entrada en el Registro General de este Tribunal el 7 de junio de 2016, la Universidad de Alcalá comunicó que ha procedido a la recuperación de los siguientes tramos de la paga extraordinaria y adicional de diciembre de 2012: un porcentaje abonado del 24,04 por 100, ingresado en la nómina de febrero de 2015; un porcentaje abonado del 26,23 por 100, ingresado en la nómina de noviembre de 2015; y un porcentaje abonado del 25,14 por 100, ingresado en la nómina de febrero de 2016.</w:t>
      </w:r>
    </w:p>
    <w:p w:rsidR="00A90898" w:rsidRDefault="00A90898" w:rsidP="00A90898">
      <w:pPr>
        <w:pStyle w:val="TextoNormal"/>
      </w:pPr>
    </w:p>
    <w:p w:rsidR="00A90898" w:rsidRDefault="00A90898" w:rsidP="00A90898">
      <w:pPr>
        <w:pStyle w:val="TextoNormal"/>
      </w:pPr>
      <w:r>
        <w:t>Por escrito registrado ante este Tribunal el 8 de junio de 2016, la Universidad Autónoma de Madrid comunicó que se ha pagado lo correspondiente a los siguientes días en caso de que la paga extraordinaria de diciembre de 2012 se haya devengado en su totalidad, reduciendo proporcionalmente dichos días cuando el devengo no hubiese sido completo: abono de 44 días en enero de 2015, abono de 48 días en noviembre de 2015 y abono de 46 días en febrero de 2016, lo que hace un total de días abonados de “138 (de 183)”. Al respecto afirma que “el devengo completo de la paga extraordinaria de diciembre 2012 son 183 días”.</w:t>
      </w:r>
    </w:p>
    <w:p w:rsidR="00A90898" w:rsidRDefault="00A90898" w:rsidP="00A90898">
      <w:pPr>
        <w:pStyle w:val="TextoNormal"/>
      </w:pPr>
    </w:p>
    <w:p w:rsidR="00A90898" w:rsidRDefault="00A90898" w:rsidP="00A90898">
      <w:pPr>
        <w:pStyle w:val="TextoNormal"/>
      </w:pPr>
      <w:r>
        <w:t>Asimismo, la Universidad Politécnica de Madrid, mediante escritos registrados en este Tribunal los días 13 y 20 de junio de 2016, informó de que, respecto a los porcentajes abonados de la paga extraordinaria de diciembre de 2012, se habían pagado los siguientes: en un primer pago, el 24,04 por 100, en un segundo pago, el 26,23 por 100, y en un tercer pago el 25,14 por 100.</w:t>
      </w:r>
    </w:p>
    <w:p w:rsidR="00A90898" w:rsidRDefault="00A90898" w:rsidP="00A90898">
      <w:pPr>
        <w:pStyle w:val="TextoNormal"/>
      </w:pPr>
    </w:p>
    <w:p w:rsidR="00A90898" w:rsidRDefault="00A90898" w:rsidP="00A90898">
      <w:pPr>
        <w:pStyle w:val="TextoNormal"/>
      </w:pPr>
      <w:r>
        <w:t>A su vez, por escrito presentado en el Registro General de este Tribunal el 22 de junio de 2016, la Universidad Complutense de Madrid aportó informe sobre el porcentaje del total de la paga extraordinaria de diciembre de 2012 satisfecho al personal docente e investigador laboral. En él indicaba que el porcentaje de devolución autorizado era del 75,41 por 100, lo que ascendía a 1.846.270,45 €, habiéndose devuelto hasta mayo de 2016 1.807.501,02, lo que supone el 73,83 por 100 —señala que falta por devolver un 1,58 por 100 (38.769,43 €) por no haberse solicitado aún la devolución—.</w:t>
      </w:r>
    </w:p>
    <w:p w:rsidR="00A90898" w:rsidRDefault="00A90898" w:rsidP="00A90898">
      <w:pPr>
        <w:pStyle w:val="TextoNormal"/>
      </w:pPr>
    </w:p>
    <w:p w:rsidR="00A90898" w:rsidRDefault="00A90898" w:rsidP="00A90898">
      <w:pPr>
        <w:pStyle w:val="TextoNormal"/>
      </w:pPr>
      <w:r w:rsidRPr="00A90898">
        <w:rPr>
          <w:rStyle w:val="NumeroAFNegritaCaracter"/>
        </w:rPr>
        <w:t>14</w:t>
      </w:r>
      <w:r>
        <w:t>. Por providencia de 29 de septiembre de 2016 se señaló para deliberación y votación de la presente Sentencia el día 3 de Octubre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La Sección Sexta de la Sala de lo Social del Tribunal Superior de Justicia de Madrid plantea cuestión de inconstitucionalidad respecto del art. 2.2 y el art. 6 del Real Decreto-ley 20/2012, de 13 de julio, de medidas para garantizar la estabilidad presupuestaria y de fomento de la competitividad. El citado art. 2.2, en lo que aquí importa, dispone para el personal del sector público definido en el art. 22.1 de la Ley 2/2012, de 29 de junio, de presupuestos generales del Estado para 2012, la supresión de la paga extraordinaria (o equivalente) del mes de diciembre de 2012. A su vez, el art. 6 del Real Decreto-ley 20/2012 también establece que “durante el año 2012, se suprime para el personal laboral del sector público la percepción de la gratificación extraordinaria con ocasión de las fiestas de Navidad contenida en el artículo 31 del Estatuto de los Trabajadores … y sin perjuicio de lo dispuesto en el artículo 2, apartado 2.2, de este mismo Real Decreto-ley”. En síntesis, el órgano judicial plantea si tales preceptos cuestionados —los arts. 2.2 y 6 del Real Decreto-ley 20/2012—, en su aplicación al personal laboral del sector público, resultan contrarios al </w:t>
      </w:r>
      <w:r>
        <w:lastRenderedPageBreak/>
        <w:t>principio constitucional de interdicción de la retroactividad de las disposiciones restrictivas de derechos individuales (art. 9.3 CE), al no contemplar excepción alguna respecto de las cuantías ya devengadas al momento de la entrada en vigor del citado Real Decreto-ley.</w:t>
      </w:r>
    </w:p>
    <w:p w:rsidR="00A90898" w:rsidRDefault="00A90898" w:rsidP="00A90898">
      <w:pPr>
        <w:pStyle w:val="TextoNormal"/>
      </w:pPr>
    </w:p>
    <w:p w:rsidR="00A90898" w:rsidRDefault="00A90898" w:rsidP="00A90898">
      <w:pPr>
        <w:pStyle w:val="TextoNormal"/>
      </w:pPr>
      <w:r>
        <w:t>En los términos en que han sido recogidos en los antecedentes de esta Sentencia, además de las Universidades demandadas en el proceso del que trae causa la presente cuestión (Universidad Carlos III, Universidad Rey Juan Carlos, Universidad Autónoma de Madrid, Universidad Complutense de Madrid, Universidad Politécnica de Madrid, y Universidad de Alcalá), han presentado alegaciones el Fiscal General del Estado y el Abogado del Estado. En concreto, el Fiscal General del Estado coincide con el juicio de inconstitucionalidad formulado por el Auto de planteamiento de esta cuestión, por lo que interesa la estimación de la misma. Por el contrario, el Abogado del Estado solicita la inadmisión parcial de la cuestión en cuanto a la posible lesión del art. 14 CE —respecto al que, considera, también se plantea la duda de constitucionalidad—, desestimándola íntegramente en lo restante; o subsidiariamente, la desestimación íntegra.</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análisis de la cuestión planteada conviene realizar una serie de precisiones para acotar debidamente el objeto de la misma y el alcance de nuestro enjuiciamiento.</w:t>
      </w:r>
    </w:p>
    <w:p w:rsidR="00A90898" w:rsidRDefault="00A90898" w:rsidP="00A90898">
      <w:pPr>
        <w:pStyle w:val="TextoNormal"/>
      </w:pPr>
    </w:p>
    <w:p w:rsidR="00A90898" w:rsidRDefault="00A90898" w:rsidP="00A90898">
      <w:pPr>
        <w:pStyle w:val="TextoNormal"/>
      </w:pPr>
      <w:r>
        <w:t>a) En primer lugar, comenzando por la referida observación que el Abogado del Estado efectúa en relación con el art. 14 CE, ha de precisarse que, efectivamente, este precepto constitucional no forma parte de la duda de constitucionalidad a resolver por este Tribunal. Por más que, en el curso de su razonamiento, el Auto de planteamiento aluda a una posible lesión del art. 14 CE en caso de acogerse una determinada lectura del derecho a la percepción de las pagas extraordinarias, lo cierto es que, vistos los presupuestos interpretativos que expone, y a partir de su fundamentación y parte dispositiva, se hace posible concluir que la voluntad del órgano promotor es limitar su duda de constitucionalidad respecto a los preceptos cuestionados a la eventual infracción del art. 9.3 CE. Además, y como apunta el Abogado del Estado, en cualquier caso habría de tenerse en cuenta que, en la providencia de apertura del trámite de audiencia previsto por el art. 35.2 LOTC, el órgano judicial ciñó su duda de constitucionalidad a la posible vulneración del art. 9.3 CE, sin referencia explícita o implícita al art. 14 CE, de ahí que, en aplicación de nuestra doctrina, cabría igualmente declarar que la eventual infracción de este último precepto constitucional habría de quedar fuera de nuestra consideración en este procedimiento (por todas, SSTC 120/2000, de 10 de mayo, FJ 2; 202/2009, de 27 de octubre, FJ 5, y 222/2012, de 27 de noviembre, FJ 3).</w:t>
      </w:r>
    </w:p>
    <w:p w:rsidR="00A90898" w:rsidRDefault="00A90898" w:rsidP="00A90898">
      <w:pPr>
        <w:pStyle w:val="TextoNormal"/>
      </w:pPr>
    </w:p>
    <w:p w:rsidR="00A90898" w:rsidRDefault="00A90898" w:rsidP="00A90898">
      <w:pPr>
        <w:pStyle w:val="TextoNormal"/>
      </w:pPr>
      <w:r>
        <w:t xml:space="preserve">b) Por su parte, por lo que se refiere ahora a los preceptos legales cuestionados y en consonancia con lo manifestado por el Fiscal General del Estado y el Abogado del Estado, resulta obligado advertir que, si bien la Sección Sexta de la Sala de lo Social del Tribunal Superior de Justicia de Madrid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resulta coherente con el juicio de aplicabilidad y relevancia, pues la cuestión de inconstitucionalidad trae causa de un proceso de conflicto colectivo promovido con motivo de la supresión, por aplicación de las </w:t>
      </w:r>
      <w:r>
        <w:lastRenderedPageBreak/>
        <w:t>previsiones contenidas en el Real Decreto-ley 20/2012, de la paga o gratificación extraordinaria de diciembre de 2012 al personal docente e investigador con vinculación laboral de las universidades públicas madrileñas, proceso en que lo pretendido en las demandas acumuladas es que se declare el derecho de dicho personal a percibir la parte proporcional de la citada paga extra de Navidad de 2012 correspondiente a los servicios prestados antes de la entrada en vigor del Real Decreto-ley 20/2012 —según los actores, el período comprendido entre el 1 de enero de 2012 (o desde 31 de diciembre de 2011) y el 14 de julio de 2012—. De este modo, en los términos en que ha sido planteada, y por lo que se refiere específicamente al art. 2 del Real Decreto-ley 20/2012, la presente cuestión de inconstitucionalidad debe entenderse referida a su apartado 2.2, que contempla específicamente la supresión de la paga o gratificación extraordinaria de diciembre de 2012 o equivalente al personal laboral del sector público.</w:t>
      </w:r>
    </w:p>
    <w:p w:rsidR="00A90898" w:rsidRDefault="00A90898" w:rsidP="00A90898">
      <w:pPr>
        <w:pStyle w:val="TextoNormal"/>
      </w:pPr>
    </w:p>
    <w:p w:rsidR="00A90898" w:rsidRDefault="00A90898" w:rsidP="00A90898">
      <w:pPr>
        <w:pStyle w:val="TextoNormal"/>
      </w:pPr>
      <w:r>
        <w:t>c) Asimismo debe tenerse en cuenta que no se cuestiona por el órgano judicial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al momento de entrar en vigor el Real Decreto-ley 20/2012 (el 15 de julio de 2012, conforme a su disposición final decimoquinta) —y ello, según indica, ya se trate de devengo semestral o anual (cuestión debatida en el juicio)—. Así pues, a esta concreta duda de constitucionalidad deberá ceñirse nuestro enjuiciamiento.</w:t>
      </w:r>
    </w:p>
    <w:p w:rsidR="00A90898" w:rsidRDefault="00A90898" w:rsidP="00A90898">
      <w:pPr>
        <w:pStyle w:val="TextoNormal"/>
      </w:pPr>
    </w:p>
    <w:p w:rsidR="00A90898" w:rsidRDefault="00A90898" w:rsidP="00A90898">
      <w:pPr>
        <w:pStyle w:val="TextoNormal"/>
      </w:pPr>
      <w:r w:rsidRPr="00A90898">
        <w:rPr>
          <w:rStyle w:val="NumeroAFNegritaCaracter"/>
        </w:rPr>
        <w:t>3</w:t>
      </w:r>
      <w:r>
        <w:t>. Delimitado el alcance de nuestra decisión, resulta procedente recordar que la disposición adicional duodécima de la Ley 36/2014, de 26 de diciembre, de presupuestos generales del Estado para 2015, bajo el epígrafe “Recuperación de la paga extraordinaria y adicional del mes de diciembre de 2012”, estableció,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o equivalentes al 24,04 por 100 dejado de percibir por la aplicación del Real Decreto-ley 20/2012 en los casos del personal cuyo régimen retributivo no contemple la percepción de pagas extraordinarias o bien que perciba más de dos al año. En coherencia con esta previsión, la disposición adicional decimosexta de la Ley 3/2014, de 22 de diciembre, de presupuestos generales de la Comunidad de Madrid para el año 2015, reguló la recuperación de la citada paga extraordinaria, en las cuantías indicadas, en el ámbito del personal al servicio del sector público de la Comunidad de Madrid. Según consta en los antecedentes, por lo que se refiere específicamente al personal laboral afectado en el proceso de conflicto colectivo del que trae origen la presente cuestión, tal recuperación de las cantidades indicadas se hizo efectiva por las respectivas universidades públicas madrileñas demandadas, tal y como cada una de ellas puso de manifiesto en junio de 2015 en su contestación al requerimiento formulado al efecto por este Tribunal.</w:t>
      </w:r>
    </w:p>
    <w:p w:rsidR="00A90898" w:rsidRDefault="00A90898" w:rsidP="00A90898">
      <w:pPr>
        <w:pStyle w:val="TextoNormal"/>
      </w:pPr>
    </w:p>
    <w:p w:rsidR="00A90898" w:rsidRDefault="00A90898" w:rsidP="00A90898">
      <w:pPr>
        <w:pStyle w:val="TextoNormal"/>
      </w:pPr>
      <w:r>
        <w:t xml:space="preserve">Con posterioridad, el art. 1 del Real Decreto-ley 10/2015, de 11 de septiembre, por el que se conceden créditos extraordinarios y suplementos de crédito en el presupuesto del Estado y se adoptan otras medidas en materia de empleo público y de estímulo a la economía, dispuso que las distintas Administraciones públicas, así como sus entes dependientes </w:t>
      </w:r>
      <w:r>
        <w:lastRenderedPageBreak/>
        <w:t>y vinculados, abonarán dentro del ejercicio 2015, y por una sola vez, una retribución de carácter extraordinario cuyo importe será el equivalente a 48 días o al 26,23 por 100 de los importes dejados de percibir como consecuencia de la supresión de la paga extraordinaria, así como de la paga adicional de complemento específico o pagas adicionales equivalentes, correspondientes al mes de diciembre de 2012, por aplicación del Real Decreto-ley 20/2012. Según el precepto, cada Administración pública abonará las cantidades previstas en dicha norma dentro del ejercicio 2015, si así lo acuerda y si su situación económico financiera lo hiciera posible; y de no permitirlo su situación económico financiera en 2015, el abono podrá hacerse en el primer ejercicio presupuestario en que dicha situación lo permita.</w:t>
      </w:r>
    </w:p>
    <w:p w:rsidR="00A90898" w:rsidRDefault="00A90898" w:rsidP="00A90898">
      <w:pPr>
        <w:pStyle w:val="TextoNormal"/>
      </w:pPr>
    </w:p>
    <w:p w:rsidR="00A90898" w:rsidRDefault="00A90898" w:rsidP="00A90898">
      <w:pPr>
        <w:pStyle w:val="TextoNormal"/>
      </w:pPr>
      <w:r>
        <w:t>Después, y en lo que ahora importa, la disposición adicional duodécima de la Ley 48/2015, de 29 de octubre, de presupuestos generales del Estado para el año 2016, estableció que cada Administración pública, en su ámbito, podrá aprobar dentro del ejercicio 2016, y por una sola vez, una retribución de carácter extraordinario cuyo importe será el equivalente a las cantidades aún no recuperadas de los importes dejados de percibir como consecuencia de la supresión de la paga extraordinaria de diciembre de 2012 por aplicación del Real Decreto-ley 20/2012, siendo esas cantidades equivalentes a la parte proporcional correspondiente a 91 días de dicha paga, o equivalentes a un 49,73 por 100 del importe dejado de percibir por aplicación del Real Decreto-ley 20/2012 en los casos del personal cuyo régimen retributivo no contemple la percepción de pagas extraordinarias o bien que perciba más de dos al año. De acuerdo con esta previsión, la disposición adicional decimonovena de la Ley 6/2015, de 23 de diciembre, de presupuestos generales de la Comunidad de Madrid para el año 2016, reguló la recuperación durante 2016 de la referida paga extraordinaria de diciembre de 2012 del personal al servicio del sector público de la Comunidad de Madrid, refiriendo tal recuperación en los ámbitos allí indicados a la cuantía equivalente a la parte proporcional correspondiente a 46 días de la paga extraordinaria de diciembre o a un 25,14 por 100 del importe dejado de percibir por la aplicación del Real Decreto-ley 20/2012 en los casos del personal cuyo régimen retributivo no contemple la percepción de pagas extraordinarias o se perciban más de dos al año. Dicha disposición adicional decimonovena de la Ley madrileña 6/2015 añadía que las universidades públicas y centros universitarios de la Comunidad de Madrid, en el marco de la autonomía de que disponen, se podrán acoger a las medidas previstas en la referida disposición, condicionado al cumplimiento de los criterios y procedimientos establecidos en la Ley Orgánica 2/2012, de estabilidad presupuestaria y estabilidad financiera, en los términos establecidos por la normativa dictada por el Estado con carácter básico.</w:t>
      </w:r>
    </w:p>
    <w:p w:rsidR="00A90898" w:rsidRDefault="00A90898" w:rsidP="00A90898">
      <w:pPr>
        <w:pStyle w:val="TextoNormal"/>
      </w:pPr>
    </w:p>
    <w:p w:rsidR="00A90898" w:rsidRDefault="00A90898" w:rsidP="00A90898">
      <w:pPr>
        <w:pStyle w:val="TextoNormal"/>
      </w:pPr>
      <w:r>
        <w:t>En atención a estas previsiones, nuevamente la Sala Primera de este Tribunal dirigió comunicación a las universidades demandadas en el proceso de conflicto colectivo, a fin de que indicaran el porcentaje del total de la paga extraordinaria (o adicional) de diciembre de 2012 que habían satisfecho a su personal docente e investigador laboral. Pues bien, vista la información aportada —de la que se da cuenta en los antecedentes—, los respectivos escritos de contestación remitidos por las Universidades públicas madrileñas demandadas en el proceso de conflicto colectivo permiten concluir que cada una de ellas ha abonado al citado personal laboral un porcentaje del total de la paga extraordinaria de diciembre de 2012 que resulta superior al correspondiente al período respecto al que los demandantes reclaman el pago.</w:t>
      </w:r>
    </w:p>
    <w:p w:rsidR="00A90898" w:rsidRDefault="00A90898" w:rsidP="00A90898">
      <w:pPr>
        <w:pStyle w:val="TextoNormal"/>
      </w:pPr>
    </w:p>
    <w:p w:rsidR="00A90898" w:rsidRDefault="00A90898" w:rsidP="00A90898">
      <w:pPr>
        <w:pStyle w:val="TextoNormal"/>
      </w:pPr>
      <w:r>
        <w:lastRenderedPageBreak/>
        <w:t>En consecuencia, atendida la duda de constitucionalidad planteada por el órgano promotor, y siguiendo el mismo criterio de la STC 83/2015, de 30 de abril, y otras de la misma serie, hemos de concluir que el referido abono realizado por las indicadas Universidades en concepto de recuperación de la paga extraordinaria de diciembre 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00A90898" w:rsidRDefault="00A90898" w:rsidP="00A90898">
      <w:pPr>
        <w:pStyle w:val="TextoNormal"/>
      </w:pPr>
    </w:p>
    <w:p w:rsidR="00A90898" w:rsidRDefault="00A90898" w:rsidP="00A90898">
      <w:pPr>
        <w:pStyle w:val="TextoNormal"/>
      </w:pPr>
      <w:r>
        <w:t>Ello, en definitiva,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Declarar la extinción de la presente cuestión de inconstitucionalidad por desaparición sobrevenida de su objeto.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0" w:name="SENTENCIA_2016_161"/>
      <w:r>
        <w:lastRenderedPageBreak/>
        <w:t>SENTENCIA 161/2016, de 3 de octubre de 2016</w:t>
      </w:r>
    </w:p>
    <w:bookmarkEnd w:id="40"/>
    <w:p w:rsidR="00A90898" w:rsidRDefault="00A90898" w:rsidP="00A90898">
      <w:pPr>
        <w:pStyle w:val="TtuloResolucin"/>
      </w:pPr>
      <w:r>
        <w:t>Sala Segunda</w:t>
      </w:r>
    </w:p>
    <w:p w:rsidR="00A90898" w:rsidRDefault="00A90898" w:rsidP="00A90898">
      <w:pPr>
        <w:pStyle w:val="TtuloBOE"/>
      </w:pPr>
      <w:r>
        <w:t>(BOE núm. 276, de 15 de noviembre de 2016)</w:t>
      </w:r>
    </w:p>
    <w:p w:rsidR="00A90898" w:rsidRDefault="00A90898" w:rsidP="00A90898">
      <w:pPr>
        <w:pStyle w:val="TextoNormalCentrado"/>
      </w:pPr>
      <w:r>
        <w:t>ECLI:ES:TC:2016:161</w:t>
      </w:r>
    </w:p>
    <w:p w:rsidR="00A90898" w:rsidRDefault="00A90898" w:rsidP="00A90898">
      <w:pPr>
        <w:pStyle w:val="TextoNormalCentrado"/>
      </w:pPr>
    </w:p>
    <w:p w:rsidR="00A90898" w:rsidRDefault="00A90898" w:rsidP="00A90898">
      <w:pPr>
        <w:pStyle w:val="SntesisDescriptiva"/>
      </w:pPr>
      <w:r>
        <w:t>Recurso de amparo 6526-2013. Promovido por don José Manuel Mosquera Castela en relación con la sanción impuesta por la comisión disciplinaria del centro penitenciario de Madrid IV (Navalcarnero) y las resoluciones del Juzgado de Vigilancia Penitenciaria que la confirmaron.</w:t>
      </w:r>
    </w:p>
    <w:p w:rsidR="00A90898" w:rsidRDefault="00A90898" w:rsidP="00A90898">
      <w:pPr>
        <w:pStyle w:val="SntesisDescriptiva"/>
      </w:pPr>
    </w:p>
    <w:p w:rsidR="00A90898" w:rsidRDefault="00A90898" w:rsidP="00A90898">
      <w:pPr>
        <w:pStyle w:val="SntesisAnaltica"/>
      </w:pPr>
      <w:r>
        <w:t>Vulneración del derecho a la presunción de inocencia: resolución sancionadora, dictada sin consideración de las pruebas de descargo propuestas por el interno, que valora indebidamente un testimonio de referencia.</w:t>
      </w:r>
    </w:p>
    <w:p w:rsidR="00A90898" w:rsidRDefault="00A90898" w:rsidP="00A90898">
      <w:pPr>
        <w:pStyle w:val="SntesisAnaltica"/>
      </w:pPr>
    </w:p>
    <w:p w:rsidR="00A90898" w:rsidRDefault="00A90898" w:rsidP="00A90898">
      <w:pPr>
        <w:pStyle w:val="Extracto"/>
      </w:pPr>
      <w:r>
        <w:t>1.</w:t>
      </w:r>
      <w:r>
        <w:tab/>
        <w:t>La negativa indebida a una prueba pertinente blinda el parte de referencia como prueba incontrovertible, vulnerando el derecho a someter a contradicción las pruebas de cargo y, consecuentemente, a la presunción de inocencia [FJ 6].</w:t>
      </w:r>
    </w:p>
    <w:p w:rsidR="00A90898" w:rsidRDefault="00A90898" w:rsidP="00A90898">
      <w:pPr>
        <w:pStyle w:val="Extracto"/>
      </w:pPr>
    </w:p>
    <w:p w:rsidR="00A90898" w:rsidRDefault="00A90898" w:rsidP="00A90898">
      <w:pPr>
        <w:pStyle w:val="Extracto"/>
      </w:pPr>
      <w:r>
        <w:t>2.</w:t>
      </w:r>
      <w:r>
        <w:tab/>
        <w:t>La especialidad, imparcialidad y objetividad se vincula al estatus funcionarial, imprescindible cuando se ejercen potestades públicas, como es el caso de las funciones de vigilancia e inspección definitorias de la actividad administrativa en que se generan las diligencias (art. 9.2 de la Ley del estatuto básico del empleado público); y se circunscribe asimismo el valor probatorio a los hechos y datos objetivos comprobados directamente por el emisor (SSTC 76/1990, 70/2012), identificado y signatario del documento (STC 97/1995) [FJ 4].</w:t>
      </w:r>
    </w:p>
    <w:p w:rsidR="00A90898" w:rsidRDefault="00A90898" w:rsidP="00A90898">
      <w:pPr>
        <w:pStyle w:val="Extracto"/>
      </w:pPr>
    </w:p>
    <w:p w:rsidR="00A90898" w:rsidRDefault="00A90898" w:rsidP="00A90898">
      <w:pPr>
        <w:pStyle w:val="Extracto"/>
      </w:pPr>
      <w:r>
        <w:t>3.</w:t>
      </w:r>
      <w:r>
        <w:tab/>
        <w:t>El procedimiento administrativo sancionador es un procedimiento escrito y con una inmediación atenuada ante el instructor, con la exigencia de que los testimonios se presten ante dicho instructor (art. 81 LPC) y, de forma refleja, con que la admisibilidad probatoria de las denuncias-testimonios documentados emitidos por funcionarios se extienda sólo a lo percibido directamente y no a lo que un tercero expresó [FJ 4].</w:t>
      </w:r>
    </w:p>
    <w:p w:rsidR="00A90898" w:rsidRDefault="00A90898" w:rsidP="00A90898">
      <w:pPr>
        <w:pStyle w:val="Extracto"/>
      </w:pPr>
    </w:p>
    <w:p w:rsidR="00A90898" w:rsidRDefault="00A90898" w:rsidP="00A90898">
      <w:pPr>
        <w:pStyle w:val="Extracto"/>
      </w:pPr>
      <w:r>
        <w:t>4.</w:t>
      </w:r>
      <w:r>
        <w:tab/>
        <w:t xml:space="preserve">Si bien las constataciones documentales por funcionarios tienen un valor probatorio que va más allá de la denuncia, está excluida absolutamente su eficacia como una presunción </w:t>
      </w:r>
      <w:r w:rsidRPr="00A90898">
        <w:rPr>
          <w:i/>
        </w:rPr>
        <w:t>iuris et de iure</w:t>
      </w:r>
      <w:r>
        <w:t xml:space="preserve"> de veracidad o certeza del contenido de los documentos. Se parte, por el contrario, de que el acta constituye un primer medio de prueba —que aporta la Administración— sobre los hechos que consten en ella, cuyo valor o eficacia ha de medirse a la luz del principio de la libre valoración de la prueba (SSTC 76/1990,  14/1997, 169/1998  y 35/2006) [FJ 3].</w:t>
      </w:r>
    </w:p>
    <w:p w:rsidR="00A90898" w:rsidRDefault="00A90898" w:rsidP="00A90898">
      <w:pPr>
        <w:pStyle w:val="Extracto"/>
      </w:pPr>
    </w:p>
    <w:p w:rsidR="00A90898" w:rsidRDefault="00A90898" w:rsidP="00A90898">
      <w:pPr>
        <w:pStyle w:val="Extracto"/>
      </w:pPr>
      <w:r>
        <w:t>5.</w:t>
      </w:r>
      <w:r>
        <w:tab/>
        <w:t xml:space="preserve">La atribución de valor probatorio a las declaraciones del funcionario reflejadas documentalmente puede verse como la aceptación de los testimonios o de las declaraciones escritas. Lo significativo es si la parte perjudicada por dicha declaración tuvo acceso a ese material probatorio para tener la posibilidad de atacarlo, en su caso, en ejercicio de su derecho de defensa y si efectivamente pretendió en tiempo y forma someterla a contradicción y propuso la práctica de pruebas aptas, </w:t>
      </w:r>
      <w:r>
        <w:lastRenderedPageBreak/>
        <w:t>al menos en principio, para desvirtuar la fuerza de convicción que pudiera desprenderse de las declaraciones de la funcionaria [FJ 6].</w:t>
      </w:r>
    </w:p>
    <w:p w:rsidR="00A90898" w:rsidRDefault="00A90898" w:rsidP="00A90898">
      <w:pPr>
        <w:pStyle w:val="Extracto"/>
      </w:pPr>
    </w:p>
    <w:p w:rsidR="00A90898" w:rsidRDefault="00A90898" w:rsidP="00A90898">
      <w:pPr>
        <w:pStyle w:val="Extracto"/>
      </w:pPr>
      <w:r>
        <w:t>6.</w:t>
      </w:r>
      <w:r>
        <w:tab/>
        <w:t>Este Tribunal sólo podrá constatar la vulneración del derecho a la presunción de inocencia cuando se haya impuesto la sanción sin pruebas de cargo válidas, es decir, cuando los órganos competentes hayan valorado una actividad probatoria lesiva de otros derechos fundamentales o sin observar las preceptivas garantías, o cuando no se motive el resultado de dicha valoración, o, finalmente, cuando por ilógico o insuficiente no sea razonable el iter discursivo que conduce de la prueba al hecho probado (específicamente respecto al ámbito disciplinario penitenciario, SSTC 346/2006, FJ 5, y 66/2007, FJ 6) [FJ 3].</w:t>
      </w:r>
    </w:p>
    <w:p w:rsidR="00A90898" w:rsidRDefault="00A90898" w:rsidP="00A90898">
      <w:pPr>
        <w:pStyle w:val="Extracto"/>
      </w:pPr>
    </w:p>
    <w:p w:rsidR="00A90898" w:rsidRDefault="00A90898" w:rsidP="00A90898">
      <w:pPr>
        <w:pStyle w:val="Extracto"/>
      </w:pPr>
      <w:r>
        <w:t>7.</w:t>
      </w:r>
      <w:r>
        <w:tab/>
        <w:t>La condición de interno en un establecimiento penitenciario no puede implicar más limitación de sus derechos fundamentales que la expresada en el contenido del fallo condenatorio, la propia del sentido de la pena y la prevista por la ley penitenciaria conforme a lo establecido en el art. 25.2 CE (SSTC 2/1987,  346/2006, 107/2012)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6526-2013, promovido por don José Manuel Mosquera Castela, representado por la Procuradora de los Tribunales doña Gema Carmen de Luis Sánchez y asistido por el Abogado don Ignacio Ganso Herranz, contra el acuerdo de la comisión disciplinaria del centro penitenciario de Madrid IV (Navalcarnero), de 26 de junio de 2013, recaído en el expediente disciplinario núm. 486-2013, y contra los Autos del Juzgado de Vigilancia Penitenciaria núm. 4 de Madrid de 29 de agosto y 7 de octubre de 2013 (asuntos núm. 3579-2013 y 4523-2013), que confirmaron en alzada y en reforma, respectivamente, el citado acuerdo. Han intervenido el Ministerio Fiscal y el Abogado del Estado.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Mediante escrito presentado el 5 de noviembre de 2013 en el centro penitenciario de Madrid IV, recibido en el Registro General de este Tribunal el 8 de noviembre del mismo año, don José Manuel Mosquera Castelo manifestó su voluntad de interponer recurso de </w:t>
      </w:r>
      <w:r>
        <w:lastRenderedPageBreak/>
        <w:t>amparo contra las resoluciones que se citan en el encabezamiento. En el mismo escrito solicitaba el nombramiento de Abogado y Procurador del turno de oficio para formular la demanda de amparo, siendo designados doña Gema Carmen de Luis Sánchez como Procuradora y don Ignacio Ganso Herranz como Abogado. Tras las referidas designaciones, el 13 de marzo de 2014 se presentó la demanda de amparo en el Registro General de este Tribunal.</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de amparo son, en síntesis, los siguientes:</w:t>
      </w:r>
    </w:p>
    <w:p w:rsidR="00A90898" w:rsidRDefault="00A90898" w:rsidP="00A90898">
      <w:pPr>
        <w:pStyle w:val="TextoNormal"/>
      </w:pPr>
    </w:p>
    <w:p w:rsidR="00A90898" w:rsidRDefault="00A90898" w:rsidP="00A90898">
      <w:pPr>
        <w:pStyle w:val="TextoNormal"/>
      </w:pPr>
      <w:r>
        <w:t>a) La funcionaria de prisiones destinada en el departamento “Cámaras de Control” suscribió un parte informativo fechado el 8 de junio de 2013 al director del centro penitenciario de Madrid IV en el que refería lo siguiente: “Me informa el funcionario del módulo 7 que ha observado como el interno Mosquera Castelo, José Manuel (2009038559) sobre las 9:30 horas está realizando una llamada telefónica desde la cabina situada en el patio del módulo cuando al parecer tenía todas las llamadas semanales realizadas ... [n]uevamente, sobre 17:20 horas, se informa a este departamento por el funcionario del módulo 7 que el interno Mosquera Castelo, José Manuel se encuentra utilizando la cabina de teléfono del patio”. Junto al parte se adjuntan listados de registros telefónicos, donde constan las llamadas realizadas en torno a las horas referidas (9:31, 17:19 y 17:21), el nombre de los tres internos titulares de las tarjetas con las que se hicieron las llamadas así como que las tres llamadas se hicieron a tres números distintos, cada uno de los cuales figuraba en el listado de números autorizados a cada uno de esos internos y no en el de números autorizados al recurrente.</w:t>
      </w:r>
    </w:p>
    <w:p w:rsidR="00A90898" w:rsidRDefault="00A90898" w:rsidP="00A90898">
      <w:pPr>
        <w:pStyle w:val="TextoNormal"/>
      </w:pPr>
    </w:p>
    <w:p w:rsidR="00A90898" w:rsidRDefault="00A90898" w:rsidP="00A90898">
      <w:pPr>
        <w:pStyle w:val="TextoNormal"/>
      </w:pPr>
      <w:r>
        <w:t>b) El citado parte se elevó al director por el jefe de servicios y dio inicio al expediente disciplinario por acuerdo de 11 de junio de 2013. En el pliego de cargos se recogen como hechos que el 8 de junio de 2013 “el funcionario de control de cámaras observa al interno Mosquera Castelo, J llamando desde una cabina del patio del módulo cuando ya tenía todas sus llamadas semanales realizadas. Se comprueba en el sistema informático que las llamadas fueron realizadas a nombre” de otros tres internos. Los hechos se califican como dos posibles faltas graves recogidas en el art. 109 b), desobedecer órdenes de funcionarios o autoridad y en el art. 109 h), divulgación de noticias falsas, ambos del Reglamento penitenciario (en adelante, RP) aprobado por Real Decreto 1201/1981, de 8 de mayo (aplicable según lo establecido en la disposición derogatoria del Real Decreto 190/1996, de 9 de febrero, por el que se aprueba el vigente Reglamento penitenciario), en relación con cada una de las cuales cabe imponer como sanción la privación de paseos y actos recreativos comunes de tres a treinta días (art. 233 RP).</w:t>
      </w:r>
    </w:p>
    <w:p w:rsidR="00A90898" w:rsidRDefault="00A90898" w:rsidP="00A90898">
      <w:pPr>
        <w:pStyle w:val="TextoNormal"/>
      </w:pPr>
    </w:p>
    <w:p w:rsidR="00A90898" w:rsidRDefault="00A90898" w:rsidP="00A90898">
      <w:pPr>
        <w:pStyle w:val="TextoNormal"/>
      </w:pPr>
      <w:r>
        <w:t>c) El 12 de junio de 2013 se notificó el pliego de cargos al recurrente, que manifestó su intención de alegar verbalmente al instructor. En el pliego de descargo presentado el 17 de junio de 2013 opuso que en el patio no hay cámaras y, por tanto, no se explica cómo el funcionario de control de cámaras pudo identificarlo en medio de los presos, incluso con su nombre. Tampoco entiende por qué no le cogió el funcionario de cabina si observó su reiterado incumplimiento, si bien reconoce que ese día introdujo su  a fin de comprobar que no le quedaban llamadas. Asimismo manifestó su incomprensión por la imputación de la falta de divulgación de noticias falsas del art. 109 h) RP. En el pliego solicitó la comprobación de que los números a los que supuestamente llamó se activaron antes de su ingreso en el módulo, una relación de la compra de peculio de la semana en lo referido a la compra de tarjetas y copia de todas las actuaciones. En sus alegaciones verbales ante el instructor reiteró sus argumentos de descargo.</w:t>
      </w:r>
    </w:p>
    <w:p w:rsidR="00A90898" w:rsidRDefault="00A90898" w:rsidP="00A90898">
      <w:pPr>
        <w:pStyle w:val="TextoNormal"/>
      </w:pPr>
    </w:p>
    <w:p w:rsidR="00A90898" w:rsidRDefault="00A90898" w:rsidP="00A90898">
      <w:pPr>
        <w:pStyle w:val="TextoNormal"/>
      </w:pPr>
      <w:r>
        <w:t>Conforme refleja la diligencia del trámite de audiencia, no se practicó actuación ulterior ni se acordó motivadamente la desestimación de la prueba propuesta.</w:t>
      </w:r>
    </w:p>
    <w:p w:rsidR="00A90898" w:rsidRDefault="00A90898" w:rsidP="00A90898">
      <w:pPr>
        <w:pStyle w:val="TextoNormal"/>
      </w:pPr>
    </w:p>
    <w:p w:rsidR="00A90898" w:rsidRDefault="00A90898" w:rsidP="00A90898">
      <w:pPr>
        <w:pStyle w:val="TextoNormal"/>
      </w:pPr>
      <w:r>
        <w:t>d) La comisión disciplinaria del centro, tras oír al recurrente manifestando que los internos tenían activados los números de teléfono de las llamadas cuestionadas hace un año, fecha en la que no estaba él, acogió la propuesta del instructor. En su acuerdo sancionador de 26 de junio de 2013 fijó como hechos probados los recogidos en el pliego de cargos, declaró al recurrente autor de las faltas graves tipificadas en los apartados b) y h) del art. 109 RP y le impuso la sanción de 30 días de privación de paseos y actos recreativos comunes por cada una de ellas.</w:t>
      </w:r>
    </w:p>
    <w:p w:rsidR="00A90898" w:rsidRDefault="00A90898" w:rsidP="00A90898">
      <w:pPr>
        <w:pStyle w:val="TextoNormal"/>
      </w:pPr>
    </w:p>
    <w:p w:rsidR="00A90898" w:rsidRDefault="00A90898" w:rsidP="00A90898">
      <w:pPr>
        <w:pStyle w:val="TextoNormal"/>
      </w:pPr>
      <w:r>
        <w:t>e) Contra dicho acuerdo el recurrente interpuso recurso de alzada, en el que negó haber realizado los hechos y formuló, en síntesis, las siguientes alegaciones: (i) el pliego de cargos adolece de imprecisión en los hechos, pues no indicaba en qué cabina del patio y hora fueron efectuadas las llamadas, sorprendiéndole que le capten unas cámaras del patio de módulo, ya que no existen las cámaras ni el control de la mismas; (ii) el día 8 de junio de 2013 no efectuó llamadas por no tener ninguna disponible, según comprobó por medio de una cabina del patio, y menos aún en nombre de los internos indicados, cuyos números de identificación desconoce; (iii) no comparte la calificación de los hechos, pues no pudo desobedecer una orden inexistente, como exigiría el art. 109 b) RP, ni comprende la relación de los hechos probados con la falta del art. 109 h) RP de divulgar noticias falsas; (iv) la inadmisión de algunas de las pruebas propuestas, el hecho de no haberse atendido la solicitud del pliego de descargo de que le fuera entregada copia de las actuaciones y de presencia de su letrado le impidió ejercer su derecho de defensa; (iv) ante las mencionadas omisiones, aduce la necesidad de que se practique prueba: a) de la situación de las cámaras en el módulo, b) nombre del funcionario del control de cámaras y su interrogatorio para indagar cómo pudo reconocerlo, c) fecha de la activación de los números telefónicos a los que se realizaron las llamadas por los internos referidos para determinar si es anterior a su presencia en el módulo o se hizo estando en otros módulos, d) declaración de dichos internos o copia de sus declaraciones a efectos de conocer si fueron ellos los que llamaron, e) copia del movimiento del peculio a efectos de comprobar la compra de tarjetas telefónicas y cantidad de las mismas respecto de él mismo y de los otros internos indicados, f) comprobación de si, después de su traslado de módulo, dichos números siguen siendo utilizados por los internos autorizados.</w:t>
      </w:r>
    </w:p>
    <w:p w:rsidR="00A90898" w:rsidRDefault="00A90898" w:rsidP="00A90898">
      <w:pPr>
        <w:pStyle w:val="TextoNormal"/>
      </w:pPr>
    </w:p>
    <w:p w:rsidR="00A90898" w:rsidRDefault="00A90898" w:rsidP="00A90898">
      <w:pPr>
        <w:pStyle w:val="TextoNormal"/>
      </w:pPr>
      <w:r>
        <w:t>Finalmente, solicitó, con cita de las SSTC 31/1981 y 13/1982, la estimación del recurso, pues, sostiene, se le vulneró el derecho a la presunción de inocencia y el derecho a la prueba, así como el derecho a la defensa por habérsele negado el asesoramiento legal previsto en el art. 242.2 i) RP, tal y como lo solicitó en el pliego de descargo. Asimismo alegó, con cita de la STC 2/1987, la vulneración del art. 24.2 CE por no habérsele permitido el acceso al material probatorio de cargo, en concreto, al parte del funcionario.</w:t>
      </w:r>
    </w:p>
    <w:p w:rsidR="00A90898" w:rsidRDefault="00A90898" w:rsidP="00A90898">
      <w:pPr>
        <w:pStyle w:val="TextoNormal"/>
      </w:pPr>
    </w:p>
    <w:p w:rsidR="00A90898" w:rsidRDefault="00A90898" w:rsidP="00A90898">
      <w:pPr>
        <w:pStyle w:val="TextoNormal"/>
      </w:pPr>
      <w:r>
        <w:t xml:space="preserve">f) El recurso de alzada fue desestimado por el Juzgado de Vigilancia Penitenciaria núm. 4 de Madrid mediante Auto de 29 de agosto de 2013, cuyo razonamiento jurídico tercero expresa que “[a] la vista de las actuaciones practicadas en el presente expediente, debe estimarse suficientemente acreditada la comisión de los hechos que dieron lugar a la sanción impuesta, pues como es sabido los datos aportados por los funcionarios en los partes poseen una especial incidencia cuantitativa y cualitativa. Se trata de documentos que tienen un valor </w:t>
      </w:r>
      <w:r>
        <w:lastRenderedPageBreak/>
        <w:t xml:space="preserve">superior al de la mera denuncia y han sido tenidos en consideración como prueba de cargo por esta Juzgadora, a la luz de lo actuado en el expediente sancionador y, todo ello, de conformidad con el criterio sentado por el art. 137.3 de la Ley 30/92, de Régimen Jurídico de las Administraciones Públicas y del Procedimiento Administrativo común, directamente aplicable conforme lo prevenido en el art. 232 del RP”. Añade la Magistrada </w:t>
      </w:r>
      <w:r w:rsidRPr="00A90898">
        <w:rPr>
          <w:i/>
        </w:rPr>
        <w:t>in fine</w:t>
      </w:r>
      <w:r>
        <w:t xml:space="preserve"> la afirmación, sin ulterior desarrollo, de que la calificación de los hechos es correcta.</w:t>
      </w:r>
    </w:p>
    <w:p w:rsidR="00A90898" w:rsidRDefault="00A90898" w:rsidP="00A90898">
      <w:pPr>
        <w:pStyle w:val="TextoNormal"/>
      </w:pPr>
    </w:p>
    <w:p w:rsidR="00A90898" w:rsidRDefault="00A90898" w:rsidP="00A90898">
      <w:pPr>
        <w:pStyle w:val="TextoNormal"/>
      </w:pPr>
      <w:r>
        <w:t>g) El recurrente presentó recurso de reforma, donde invoca la vulneración de sus derechos fundamentales de audiencia y defensa, a utilizar los medios de prueba para su defensa, a un proceso con todas las garantías y a la presunción de inocencia (todos del art. 24.2 CE).</w:t>
      </w:r>
    </w:p>
    <w:p w:rsidR="00A90898" w:rsidRDefault="00A90898" w:rsidP="00A90898">
      <w:pPr>
        <w:pStyle w:val="TextoNormal"/>
      </w:pPr>
    </w:p>
    <w:p w:rsidR="00A90898" w:rsidRDefault="00A90898" w:rsidP="00A90898">
      <w:pPr>
        <w:pStyle w:val="TextoNormal"/>
      </w:pPr>
      <w:r>
        <w:t>En su escrito comienza interesando que se tengan por reproducidas en su integridad las alegaciones y fundamentos expresados en el recurso de alzada, pues entiende que no quedan desvirtuados por los argumentos del Juzgado, que se limita a aceptar, acríticamente, los datos que figuran en el parte disciplinario del funcionario, marginando otros mucho más relevantes que obran en el expediente, sin entrar a examinar el fondo de la cuestión, esto es, que los hechos que se le imputan sean veraces y estén acreditados con prueba de cargo suficiente para enervar la presunción de inocencia.</w:t>
      </w:r>
    </w:p>
    <w:p w:rsidR="00A90898" w:rsidRDefault="00A90898" w:rsidP="00A90898">
      <w:pPr>
        <w:pStyle w:val="TextoNormal"/>
      </w:pPr>
    </w:p>
    <w:p w:rsidR="00A90898" w:rsidRDefault="00A90898" w:rsidP="00A90898">
      <w:pPr>
        <w:pStyle w:val="TextoNormal"/>
      </w:pPr>
      <w:r>
        <w:t>Acto seguido denuncia que en la tramitación del expediente sancionador se le ha privado de su derecho de audiencia, defensa y contradicción en cuanto se le impidió utilizar los medios de prueba para su defensa, al denegarse por la comisión disciplinaria en la fase de instrucción las pruebas periciales y documentales solicitadas, sin que el Auto impugnado haga referencia a ello, pese a haberse denunciado así en el recurso de alzada y haberse reiterado en él la solicitud de su práctica, sobre cuya admisión no se pronuncia en absoluto. La petición vuelve a realizarse en el recurso de reforma, solicitando al efecto: a) requerir al centro penitenciario la entrega de la cinta videográfica de la grabación del día 8 de junio de 2013 realizada por el funcionario del control de cámaras que manifestaba haber observado al recurrente realizando las llamadas desde la cabina del módulo 7; b) testifical de los internos que supuestamente facilitaron las llamadas telefónicas; c) certificado del centro penitenciario sobre las fechas de alta de los número a los que se dice llamó y su fecha de ingreso en el centro; d) copia de los contratos de los números de teléfono que guardan relación con las llamadas realizadas; e) certificado del extracto de la cuenta del peculio de los internos a efectos de comprobar si se realizó la compra de tarjetas telefónicas en volumen excesivo o anormal o superior al importe normal de las diez llamadas autorizadas por el centro.</w:t>
      </w:r>
    </w:p>
    <w:p w:rsidR="00A90898" w:rsidRDefault="00A90898" w:rsidP="00A90898">
      <w:pPr>
        <w:pStyle w:val="TextoNormal"/>
      </w:pPr>
    </w:p>
    <w:p w:rsidR="00A90898" w:rsidRDefault="00A90898" w:rsidP="00A90898">
      <w:pPr>
        <w:pStyle w:val="TextoNormal"/>
      </w:pPr>
      <w:r>
        <w:t>Además de esa ausencia de pronunciamiento sobre las pruebas propuestas, el recurrente reprocha al Juzgado haber dado por bueno el parte del funcionario sobre la base de la presunción de veracidad del mismo, no sustentada por prueba documental, pericial o testifical, y sin haber practicado una sola actuación, convirtiendo la versión del funcionario en inatacable y vaciando de contenido el derecho a la presunción de inocencia (art. 24 CE), al transformarlo en presunción de culpabilidad, donde es el acusado quien debe soportar la carga de la prueba.</w:t>
      </w:r>
    </w:p>
    <w:p w:rsidR="00A90898" w:rsidRDefault="00A90898" w:rsidP="00A90898">
      <w:pPr>
        <w:pStyle w:val="TextoNormal"/>
      </w:pPr>
    </w:p>
    <w:p w:rsidR="00A90898" w:rsidRDefault="00A90898" w:rsidP="00A90898">
      <w:pPr>
        <w:pStyle w:val="TextoNormal"/>
      </w:pPr>
      <w:r>
        <w:t>Alega por último que su derecho a la defensa y a un proceso con todas las garantías (art. 24.2 CE) resultó igualmente mermado, ya que no se accedió a su petición de ver el expediente administrativo a fin de realizar el pliego de descargo.</w:t>
      </w:r>
    </w:p>
    <w:p w:rsidR="00A90898" w:rsidRDefault="00A90898" w:rsidP="00A90898">
      <w:pPr>
        <w:pStyle w:val="TextoNormal"/>
      </w:pPr>
    </w:p>
    <w:p w:rsidR="00A90898" w:rsidRDefault="00A90898" w:rsidP="00A90898">
      <w:pPr>
        <w:pStyle w:val="TextoNormal"/>
      </w:pPr>
      <w:r>
        <w:lastRenderedPageBreak/>
        <w:t>h) El recurso de reforma fue desestimado por el Juzgado de Vigilancia Penitenciaria núm. 4 de Madrid mediante Auto de 7 de octubre de 2013, cuyo razonamiento jurídico único fundamenta tal decisión como sigue: “Examinados los motivos del recurso de reforma … y revisadas las actuaciones, no concurren circunstancias distintas a las ya valoradas o de entidad suficiente para modificar el contenido del auto dictado dando por reproducido el contenido del mismo; por lo que, de conformidad con el informe del Ministerio Fiscal, procede desestimar el recurso y mantener lo acordado”.</w:t>
      </w:r>
    </w:p>
    <w:p w:rsidR="00A90898" w:rsidRDefault="00A90898" w:rsidP="00A90898">
      <w:pPr>
        <w:pStyle w:val="TextoNormal"/>
      </w:pPr>
    </w:p>
    <w:p w:rsidR="00A90898" w:rsidRDefault="00A90898" w:rsidP="00A90898">
      <w:pPr>
        <w:pStyle w:val="TextoNormal"/>
      </w:pPr>
      <w:r w:rsidRPr="00A90898">
        <w:rPr>
          <w:rStyle w:val="NumeroAFNegritaCaracter"/>
        </w:rPr>
        <w:t>3</w:t>
      </w:r>
      <w:r>
        <w:t>. El recurso de amparo plantea la vulneración del derecho fundamental a la presunción de inocencia (art. 24.2 CE), que atribuye tanto al acuerdo sancionador dictado por la comisión disciplinaria del centro penitenciario de Madrid IV (Navalcarnero) como a los Autos dictados por el Juzgado de Vigilancia Penitenciaria núm. 4 de Madrid. El demandante desarrolla su queja en dos líneas, que convergen en cuestionar el parte del funcionario como prueba de cargo y denunciar, a la postre, que no existe prueba de la realización de los hechos que se le atribuyen suficiente para desvirtuar su presunción de inocencia.</w:t>
      </w:r>
    </w:p>
    <w:p w:rsidR="00A90898" w:rsidRDefault="00A90898" w:rsidP="00A90898">
      <w:pPr>
        <w:pStyle w:val="TextoNormal"/>
      </w:pPr>
    </w:p>
    <w:p w:rsidR="00A90898" w:rsidRDefault="00A90898" w:rsidP="00A90898">
      <w:pPr>
        <w:pStyle w:val="TextoNormal"/>
      </w:pPr>
      <w:r>
        <w:t>De un lado, recuerda que las resoluciones judiciales impugnadas sustentan la decisión de confirmar el acuerdo sancionatorio en la suficiencia del parte del funcionario como prueba de cargo en tanto tiene un valor superior al de mera denuncia, de conformidad con lo dispuesto en el art. 137.3 de la Ley de régimen jurídico de las Administraciones públicas y del procedimiento administrativo común (LPC). Sin embargo, opone el recurrente, la presunción de veracidad establecida en dicho precepto no sería aplicable en este caso, ya que la funcionaria que expidió el parte que dio lugar al expediente sancionador y finalmente fue la prueba de cargo decisiva no tiene la condición de autoridad en el ámbito administrativo, pues ninguna norma se lo reconoce así. Dado que no se motiva de otro modo la certeza sobre el contenido del parte, ni siquiera ratificado por la funcionaria firmante a pesar de la expresa negativa de los hechos manifestada desde el principio por el recurrente, y que no se ha practicado mayor prueba para acreditar los hechos que sustentaron la sanción, concluye el recurrente que la atribución de veracidad a los hechos afirmados en el mismo vulnera el derecho a la presunción de inocencia.</w:t>
      </w:r>
    </w:p>
    <w:p w:rsidR="00A90898" w:rsidRDefault="00A90898" w:rsidP="00A90898">
      <w:pPr>
        <w:pStyle w:val="TextoNormal"/>
      </w:pPr>
    </w:p>
    <w:p w:rsidR="00A90898" w:rsidRDefault="00A90898" w:rsidP="00A90898">
      <w:pPr>
        <w:pStyle w:val="TextoNormal"/>
      </w:pPr>
      <w:r>
        <w:t>De otro lado, pone de manifiesto que los funcionarios del módulo 7 sobre cuya observación se incoó el parte que dio lugar a la sanción, y que comunicaron los hechos a la funcionaria ubicada en el control de cámaras que formuló el parte, no suscribieron dicho parte conjuntamente ni lo ratificaron (no fueron llamados a declarar), de modo que la intervención de la funcionaria firmante del parte puede calificarse como “de referencia”, sin que pueda ser el único sustento de la sanción cuando podía haberse producido el testimonio directo de los funcionarios que dicen haber presenciado los hechos.</w:t>
      </w:r>
    </w:p>
    <w:p w:rsidR="00A90898" w:rsidRDefault="00A90898" w:rsidP="00A90898">
      <w:pPr>
        <w:pStyle w:val="TextoNormal"/>
      </w:pPr>
    </w:p>
    <w:p w:rsidR="00A90898" w:rsidRDefault="00A90898" w:rsidP="00A90898">
      <w:pPr>
        <w:pStyle w:val="TextoNormal"/>
      </w:pPr>
      <w:r>
        <w:t xml:space="preserve">El demandante justifica la especial trascendencia constitucional del recurso en dos cuestiones de interés para la determinación y alcance del derecho fundamental a la presunción de inocencia sobre las que estima que el Tribunal Constitucional no se ha pronunciado. La primera sería determinar si la presunción de veracidad recogida en el art. 134.3 LPC requiere que el funcionario tenga la condición de autoridad y si, en el ámbito administrativo penitenciario, los funcionarios pertenecientes al cuerpo de ayudantes de instituciones penitenciaras pueden ser considerados como autoridad a tales efectos. La segunda cuestión estriba en determinar la eficacia probatoria de los partes en que el funcionario consigna lo conocido por </w:t>
      </w:r>
      <w:r>
        <w:lastRenderedPageBreak/>
        <w:t>terceros funcionarios, sin que esos terceros comparezcan, y ello al margen de si los partes de los funcionarios de prisiones tienen presunción de veracidad o no.</w:t>
      </w:r>
    </w:p>
    <w:p w:rsidR="00A90898" w:rsidRDefault="00A90898" w:rsidP="00A90898">
      <w:pPr>
        <w:pStyle w:val="TextoNormal"/>
      </w:pPr>
    </w:p>
    <w:p w:rsidR="00A90898" w:rsidRDefault="00A90898" w:rsidP="00A90898">
      <w:pPr>
        <w:pStyle w:val="TextoNormal"/>
      </w:pPr>
      <w:r w:rsidRPr="00A90898">
        <w:rPr>
          <w:rStyle w:val="NumeroAFNegritaCaracter"/>
        </w:rPr>
        <w:t>4</w:t>
      </w:r>
      <w:r>
        <w:t>. La Sala Segunda de este Tribunal, por providencia de 23 de octubre de 2014, acordó admitir a trámite la demanda de amparo y, constando en el recurso las actuaciones remitidas por el Juzgado de Vigilancia Penitenciaria núm. 4, conforme al art. 51 de la Ley Orgánica del Tribunal Constitucional (LOTC), dirigir atenta comunicación al mismo a fin de que emplazara a quienes fueron parte en el procedimiento, a excepción del recurrente, para que pudiesen comparecer en el plazo de diez días en el presente proceso de amparo.</w:t>
      </w:r>
    </w:p>
    <w:p w:rsidR="00A90898" w:rsidRDefault="00A90898" w:rsidP="00A90898">
      <w:pPr>
        <w:pStyle w:val="TextoNormal"/>
      </w:pPr>
    </w:p>
    <w:p w:rsidR="00A90898" w:rsidRDefault="00A90898" w:rsidP="00A90898">
      <w:pPr>
        <w:pStyle w:val="TextoNormal"/>
      </w:pPr>
      <w:r>
        <w:t>Asimismo se acordó la formación de pieza separada de suspensión. Por Auto de 1 de diciembre de 2014, la Sala Segunda de este Tribunal acordó suspender la ejecución o, en su caso, los efectos que pudieran derivarse de las sanciones disciplinarias impuestas al demandante.</w:t>
      </w:r>
    </w:p>
    <w:p w:rsidR="00A90898" w:rsidRDefault="00A90898" w:rsidP="00A90898">
      <w:pPr>
        <w:pStyle w:val="TextoNormal"/>
      </w:pPr>
    </w:p>
    <w:p w:rsidR="00A90898" w:rsidRDefault="00A90898" w:rsidP="00A90898">
      <w:pPr>
        <w:pStyle w:val="TextoNormal"/>
      </w:pPr>
      <w:r w:rsidRPr="00A90898">
        <w:rPr>
          <w:rStyle w:val="NumeroAFNegritaCaracter"/>
        </w:rPr>
        <w:t>5</w:t>
      </w:r>
      <w:r>
        <w:t>. Por diligencia de ordenación de 5 de enero de 2015 se acordó tener por personado y parte al Abogado del Estado y, a tenor de lo dispuesto en el art. 52 LOTC, dar vista de las actuaciones por plazo común de 20 días al Ministerio Fiscal y las partes personadas para que, dentro de dicho término, pudiesen presentar las alegaciones que a su derecho conviniera.</w:t>
      </w:r>
    </w:p>
    <w:p w:rsidR="00A90898" w:rsidRDefault="00A90898" w:rsidP="00A90898">
      <w:pPr>
        <w:pStyle w:val="TextoNormal"/>
      </w:pPr>
    </w:p>
    <w:p w:rsidR="00A90898" w:rsidRDefault="00A90898" w:rsidP="00A90898">
      <w:pPr>
        <w:pStyle w:val="TextoNormal"/>
      </w:pPr>
      <w:r w:rsidRPr="00A90898">
        <w:rPr>
          <w:rStyle w:val="NumeroAFNegritaCaracter"/>
        </w:rPr>
        <w:t>6</w:t>
      </w:r>
      <w:r>
        <w:t>. El Abogado del Estado, en escrito registrado el 5 de febrero de 2015, solicitó que se desestimara la demanda de amparo al no concurrir la lesión del derecho a la presunción de inocencia aducida por el recurrente. Su argumentación se centra primero en el valor probatorio del parte informativo, al que entiende aplicable el art. 137.3 LPC y califica de documento público administrativo a la luz de la Ley de enjuiciamiento civil (LEC), para concluir después que la aportación de datos o narración de hechos efectuada por la funcionaria de vigilancia del centro penitenciario es un elemento de prueba de cargo suficiente conforme a una valoración por parte del órgano judicial que entiende implícita.</w:t>
      </w:r>
    </w:p>
    <w:p w:rsidR="00A90898" w:rsidRDefault="00A90898" w:rsidP="00A90898">
      <w:pPr>
        <w:pStyle w:val="TextoNormal"/>
      </w:pPr>
    </w:p>
    <w:p w:rsidR="00A90898" w:rsidRDefault="00A90898" w:rsidP="00A90898">
      <w:pPr>
        <w:pStyle w:val="TextoNormal"/>
      </w:pPr>
      <w:r>
        <w:t xml:space="preserve">A juicio del representante del Estado, para la efectividad jurídica del art. 137.3 LPC no es preciso que el funcionario tenga la condición de agente de la autoridad conforme a una declaración expresa de la ley, sino que lo decisivo es que se trate de funcionarios propiamente dichos, esto es, que lleven a cabo funciones que suponen la participación </w:t>
      </w:r>
      <w:r w:rsidRPr="00A90898">
        <w:rPr>
          <w:i/>
        </w:rPr>
        <w:t>per se</w:t>
      </w:r>
      <w:r>
        <w:t xml:space="preserve"> en el ejercicio de potestades públicas, que es lo que diferencia al funcionario del empleado público en régimen laboral conforme al art. 9.2 de la Ley 7/2007, de 12 de abril, del estatuto básico del empleado público. Resalta que tal condición concurre en los funcionarios de prisiones de acuerdo con el art. 80.2 de la Ley Orgánica 1/1979, de 26 de septiembre, general penitenciaria, quienes ejercen funciones de vigilancia por mandato de los órganos administrativos competentes investidos por la ley para ejercer la disciplina y funcionamiento de los centros penitenciarios, como el director o la Secretaría de Estado de Instituciones Penitenciaras, que son depositarios de las funciones que presuponen el desempeño de potestades exclusivas del poder público.</w:t>
      </w:r>
    </w:p>
    <w:p w:rsidR="00A90898" w:rsidRDefault="00A90898" w:rsidP="00A90898">
      <w:pPr>
        <w:pStyle w:val="TextoNormal"/>
      </w:pPr>
    </w:p>
    <w:p w:rsidR="00A90898" w:rsidRDefault="00A90898" w:rsidP="00A90898">
      <w:pPr>
        <w:pStyle w:val="TextoNormal"/>
      </w:pPr>
      <w:r>
        <w:t xml:space="preserve">El Abogado del Estado insiste en que la potestad de inspección y de vigilancia coactiva constituyen actividad administrativa ordinaria de intervención, limitadora de derechos y </w:t>
      </w:r>
      <w:r>
        <w:lastRenderedPageBreak/>
        <w:t>vinculada al principio de prevención como principio general del ordenamiento jurídico, máxime en un ámbito de relaciones jurídicas de sujeción especial como es el que mantienen las personas sujetas a penas privativas de libertad y la Administración penitenciaria. Acto seguido recuerda que el Tribunal Constitucional ha señalado que la actividad de inspección cumple una función pública de investigar y documentar el resultado de las averiguaciones, como medio de prueba en un procedimiento posterior, sancionador o incluso penal, que debe dotarse para su eficacia de medios idóneos de constancia de los hechos acaecidos. Desde tal premisa, el representante del Estado sostiene que las actuaciones previas de comprobación de hechos se vierten en documentos con la consideración legal de documento público administrativo, por razón de la naturaleza de la relación en cuyo seno se generaron y de la condición de su emisor. Así, continúa argumentando, el parte, a efectos de prueba, es un documento que testimonia unos hechos y está dotado de especial credibilidad jurídica en tanto que emitido por el funcionario competente y con los requisitos legalmente exigibles, de conformidad con lo dispuesto en el art. 46.4 LPC y los arts. 317.5 y 319 LEC. La imparcialidad y especialización del funcionario y la propia presunción de legalidad del acto administrativo justifican el valor probatorio del documento.</w:t>
      </w:r>
    </w:p>
    <w:p w:rsidR="00A90898" w:rsidRDefault="00A90898" w:rsidP="00A90898">
      <w:pPr>
        <w:pStyle w:val="TextoNormal"/>
      </w:pPr>
    </w:p>
    <w:p w:rsidR="00A90898" w:rsidRDefault="00A90898" w:rsidP="00A90898">
      <w:pPr>
        <w:pStyle w:val="TextoNormal"/>
      </w:pPr>
      <w:r>
        <w:t>Desde la consideración de que el parte escrito merece la consideración de documento público administrativo, y por ello es acertada la credibilidad que le ha otorgado el Auto de 29 de agosto de 2013 impugnado, defiende la suficiencia del parte como prueba de cargo junto con el listado de llamadas indicativo de que fueron realizadas a nombre de otros internos y el reconocimiento del recurrente de que no le quedaban llamadas disponibles. Estima el Abogado del Estado que el órgano jurisdiccional desestimó tácitamente la práctica de otras pruebas, por no considerarla oportuna en tanto que, a su juicio, si bien no se dice nada, atendidas las circunstancias, era fácilmente deducible que las pruebas propuestas no añadirían elementos relevantes o fiables para acreditar lo contrario, argumento que desarrolla en un análisis detenido sobre las hipotéticas razones que, a su entender, así lo indicarían.</w:t>
      </w:r>
    </w:p>
    <w:p w:rsidR="00A90898" w:rsidRDefault="00A90898" w:rsidP="00A90898">
      <w:pPr>
        <w:pStyle w:val="TextoNormal"/>
      </w:pPr>
    </w:p>
    <w:p w:rsidR="00A90898" w:rsidRDefault="00A90898" w:rsidP="00A90898">
      <w:pPr>
        <w:pStyle w:val="TextoNormal"/>
      </w:pPr>
      <w:r>
        <w:t>Por último, destaca que, incluso en el caso de que, a efectos dialécticos, no se admitiese la mayor credibilidad jurídica del parte del funcionario, se habría fundado en una prueba testifical que el órgano jurisdiccional ha considerado suficiente, que es cualificada, con independencia del carácter o no de agente de la autoridad del funcionario que emitió el parte. La preferencia otorgada por el órgano jurisdiccional a ese elemento de prueba, de una mayor credibilidad circunstancial en un momento dado, en tanto que desestima otros posibles propuestos, no vulnera el derecho a la presunción de inocencia, destruida por la información ocular documentada, facilitada por el funcionario vigilante a través del parte escrito aportado a los autos. A estos efectos aclara que “no estamos ante la necesidad de una eventual ratificación en un juicio oral penal, sino ante la actividad judicial de confirmación o revocación por parte de la autoridad judicial de la sanción impuesta por la autoridad administrativa, en este ámbito específico de la relación de sujeción especial penitenciaria, en la que el legislador ha optado por judicializar el ejercicio de la potestad disciplinaria”.</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La representación procesal del recurrente dio cumplimiento al trámite de alegaciones conferido mediante escrito presentado el 9 de febrero de 2015, donde vuelve a cuestionar el valor probatorio otorgado al parte de la funcionaria como origen de la vulneración del derecho a la presunción de inocencia. Reitera que no puede atribuirse presunción de veracidad al parte con apoyo en el art. 137.3 LPC en tanto la funcionaria no tiene carácter de autoridad conforme a la legislación penitenciaria vigente y ninguna norma específica ha atribuido </w:t>
      </w:r>
      <w:r>
        <w:lastRenderedPageBreak/>
        <w:t>presunción de veracidad a sus manifestaciones como sí se hace respecto a otros cuerpos de la Administración. A continuación recuerda que el parte no está suscrito por los funcionarios testigos de los hechos narrados en él, por lo que, aun en el caso de aceptar la presunción de veracidad, no operaría respecto a hechos no percibidos directamente por el funcionario actuante, como se sigue de la jurisprudencia sobre el valor de los atestados, según las SSTC 56/1988, FJ 5; 76/1990, FJ 8, y 35/2006, FJ 6. Concluye que se trataría de una suerte de “testimonio de referencia” que, conforme a la doctrina del Tribunal Constitucional ampliamente citada, no puede erigirse en prueba suficiente para desvirtuar la presunción de inocencia.</w:t>
      </w:r>
    </w:p>
    <w:p w:rsidR="00A90898" w:rsidRDefault="00A90898" w:rsidP="00A90898">
      <w:pPr>
        <w:pStyle w:val="TextoNormal"/>
      </w:pPr>
    </w:p>
    <w:p w:rsidR="00A90898" w:rsidRDefault="00A90898" w:rsidP="00A90898">
      <w:pPr>
        <w:pStyle w:val="TextoNormal"/>
      </w:pPr>
      <w:r w:rsidRPr="00A90898">
        <w:rPr>
          <w:rStyle w:val="NumeroAFNegritaCaracter"/>
        </w:rPr>
        <w:t>8</w:t>
      </w:r>
      <w:r>
        <w:t>. El Ministerio Fiscal, en escrito registrado el 16 de febrero de 2015, interesó que se estimara el amparo solicitado con anulación de la resolución administrativa sancionadora y de las resoluciones judiciales impugnadas por vulneración del derecho a la presunción de inocencia (art. 24.2 CE), ya que el material probatorio en el caso no alcanza a enervarla.</w:t>
      </w:r>
    </w:p>
    <w:p w:rsidR="00A90898" w:rsidRDefault="00A90898" w:rsidP="00A90898">
      <w:pPr>
        <w:pStyle w:val="TextoNormal"/>
      </w:pPr>
    </w:p>
    <w:p w:rsidR="00A90898" w:rsidRDefault="00A90898" w:rsidP="00A90898">
      <w:pPr>
        <w:pStyle w:val="TextoNormal"/>
      </w:pPr>
      <w:r>
        <w:t>Destaca que sólo existen dos elementos probatorios: el parte signado por la funcionaria que prestaba su servicio en el control de cámaras, que expresa lo narrado por los funcionarios en funciones de vigilancia en el módulo 7 sobre las llamadas realizadas por el recurrente, y los listados de llamadas en que consta la utilización del teléfono con cargo a la disponibilidad de tres internos distintos al sancionado. Estos últimos no permiten concluir unívocamente que las llamadas se hicieron por el recurrente, pues acreditan que se produjeron, pero no quién las realizó. Restaría únicamente el parte de la funcionaria, que no considera prueba de cargo suficiente por dos razones. En primer lugar, porque no cuenta con presunción de veracidad, ya que el art. 137.3 LPC exige para ello la condición de autoridad del funcionario y los funcionarios del cuerpo de ayudantes de instituciones penitenciarias carecen de tal condición, pues tras la derogación del Reglamento preconstitucional de los servicios de prisiones de 2 de febrero de 1956, que así lo recogía en su art. 372, no existe norma legal que sustente tal condición, destacando que el vigente Reglamento de prisiones, aprobado por Real Decreto 190/1996, de 9 de febrero, no lo contempla.</w:t>
      </w:r>
    </w:p>
    <w:p w:rsidR="00A90898" w:rsidRDefault="00A90898" w:rsidP="00A90898">
      <w:pPr>
        <w:pStyle w:val="TextoNormal"/>
      </w:pPr>
    </w:p>
    <w:p w:rsidR="00A90898" w:rsidRDefault="00A90898" w:rsidP="00A90898">
      <w:pPr>
        <w:pStyle w:val="TextoNormal"/>
      </w:pPr>
      <w:r>
        <w:t xml:space="preserve">En segundo lugar, porque el parte es una afirmación de referencia, pudiendo haberse firmado por los funcionarios que observaron los hechos o haberlo corroborado mediante ratificación y expresa declaración, al ser fácilmente identificables y no existir impedimento para su testimonio directo. Al respecto sostiene que es aplicable, </w:t>
      </w:r>
      <w:r w:rsidRPr="00A90898">
        <w:rPr>
          <w:i/>
        </w:rPr>
        <w:t>mutatis mutandis</w:t>
      </w:r>
      <w:r>
        <w:t xml:space="preserve">, la doctrina sobre el testimonio de referencia del Tribunal Constitucional (SSTC 79/1994, de 14 de marzo, FJ 4; 68/2002, de 21 de marzo, FJ 10; 155/2002, de 22 de julio, FJ 17; 219/2002, de 25 de noviembre, FJ 4, y 146/2003, de 14 de julio, FJ 6) y del Tribunal Europeo de Derechos Humanos (SSTEDH de 19 de diciembre de 1990, caso </w:t>
      </w:r>
      <w:r w:rsidRPr="00A90898">
        <w:rPr>
          <w:i/>
        </w:rPr>
        <w:t>Delta</w:t>
      </w:r>
      <w:r>
        <w:t xml:space="preserve">, § 36; de 19 de febrero de 1991, caso </w:t>
      </w:r>
      <w:r w:rsidRPr="00A90898">
        <w:rPr>
          <w:i/>
        </w:rPr>
        <w:t>Isgrò</w:t>
      </w:r>
      <w:r>
        <w:t xml:space="preserve">, § 34; de 26 de abril de 1991, caso </w:t>
      </w:r>
      <w:r w:rsidRPr="00A90898">
        <w:rPr>
          <w:i/>
        </w:rPr>
        <w:t>Asch</w:t>
      </w:r>
      <w:r>
        <w:t>, § 27), que exige para su admisibilidad como prueba de cargo que concurra una situación excepcional de imposibilidad real y efectiva de obtener la declaración del testigo directo y principal aquí ausente. Todo ello, subraya el Ministerio Fiscal, con el añadido de que esa prueba obtenida sin garantías no pudo ser contradicha en ejercicio del derecho de defensa por la sistemática denegación indebida de las pruebas solicitadas por el recurrente en defensa de sus posiciones, lo que posibilitó la vulneración del derecho a la presunción de inocencia denunciada.</w:t>
      </w:r>
    </w:p>
    <w:p w:rsidR="00A90898" w:rsidRDefault="00A90898" w:rsidP="00A90898">
      <w:pPr>
        <w:pStyle w:val="TextoNormal"/>
      </w:pPr>
    </w:p>
    <w:p w:rsidR="00A90898" w:rsidRDefault="00A90898" w:rsidP="00A90898">
      <w:pPr>
        <w:pStyle w:val="TextoNormal"/>
      </w:pPr>
      <w:r>
        <w:t xml:space="preserve">Concluye que la vulneración del derecho del art. 24.2 CE se ha producido por valorar como elemento probatorio de cargo decisivo —y, además, de modo improcedentemente </w:t>
      </w:r>
      <w:r>
        <w:lastRenderedPageBreak/>
        <w:t>cualificado por no ser aplicable el art. 137.3 LPC al carecer de la condición de autoridad o agente de la misma la autora del parte— las afirmaciones de un funcionario conocedor de los hechos por simple referencia, sin que ni tan siquiera fueran identificados, ni citados, ni se oyera en declaración a los observadores (testigos) directos de los mismos, y sin que se cumpla ninguna de las condiciones que la doctrina constitucional ha establecido para la validez del denominado “testimonio de referencia”.</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29 de septiembre de 2016 se señaló para deliberación y votación de la presente Sentencia el día 3 de octubre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Se impugna en el recurso de amparo el acuerdo de la comisión disciplinaria del centro penitenciario de Madrid IV (Navalcarnero), de 26 de junio de 2013, recaído en el expediente disciplinario núm. 486-2013, y los Autos del Juzgado de Vigilancia Penitenciaria núm. 4 de Madrid de 29 de agosto y 7 de octubre de 2013 (asuntos núm. 3579-2013 y 4523-2013) que confirmaron en alzada y en reforma, respectivamente, el citado acuerdo.</w:t>
      </w:r>
    </w:p>
    <w:p w:rsidR="00A90898" w:rsidRDefault="00A90898" w:rsidP="00A90898">
      <w:pPr>
        <w:pStyle w:val="TextoNormal"/>
      </w:pPr>
    </w:p>
    <w:p w:rsidR="00A90898" w:rsidRDefault="00A90898" w:rsidP="00A90898">
      <w:pPr>
        <w:pStyle w:val="TextoNormal"/>
      </w:pPr>
      <w:r>
        <w:t>El actor considera vulnerado su derecho a la presunción de inocencia, por cuanto el parte en el que se asienta la sanción no alcanza la condición de prueba de cargo suficiente para enervarla, pues no ostenta presunción de veracidad, al no ser la funcionaria autora del mismo autoridad o agente de la misma, y, en todo caso, recoge lo referido por otros funcionarios y no lo observado por la signataria, sin que se haya practicado ulterior prueba.</w:t>
      </w:r>
    </w:p>
    <w:p w:rsidR="00A90898" w:rsidRDefault="00A90898" w:rsidP="00A90898">
      <w:pPr>
        <w:pStyle w:val="TextoNormal"/>
      </w:pPr>
    </w:p>
    <w:p w:rsidR="00A90898" w:rsidRDefault="00A90898" w:rsidP="00A90898">
      <w:pPr>
        <w:pStyle w:val="TextoNormal"/>
      </w:pPr>
      <w:r>
        <w:t>El Abogado del Estado rechaza la vulneración denunciada por entender que el parte sí goza de presunción de veracidad y especial valor probatorio conforme al art. 137.3 de la Ley de régimen jurídico de las Administraciones públicas y del procedimiento administrativo común (LPC) y los arts. 317.5 y 319 de la Ley de enjuiciamiento civil (LEC), siendo en todo caso suficiente para fundar la imposición de la sanción como testifical cualificada.</w:t>
      </w:r>
    </w:p>
    <w:p w:rsidR="00A90898" w:rsidRDefault="00A90898" w:rsidP="00A90898">
      <w:pPr>
        <w:pStyle w:val="TextoNormal"/>
      </w:pPr>
    </w:p>
    <w:p w:rsidR="00A90898" w:rsidRDefault="00A90898" w:rsidP="00A90898">
      <w:pPr>
        <w:pStyle w:val="TextoNormal"/>
      </w:pPr>
      <w:r>
        <w:t>Por el contrario, el Ministerio Fiscal interesa que se otorgue el amparo solicitado, ya que asiste la razón al recurrente, puesto que fue condenado con base en las afirmaciones de referencia vertidas por una funcionaria no dotada de la condición de autoridad o agente de la misma y sin que el parte fuera objeto de contradicción, esto es, sin que se den las circunstancias que avalarían la calidad de prueba de cargo válida y suficiente de ese parte.</w:t>
      </w:r>
    </w:p>
    <w:p w:rsidR="00A90898" w:rsidRDefault="00A90898" w:rsidP="00A90898">
      <w:pPr>
        <w:pStyle w:val="TextoNormal"/>
      </w:pPr>
    </w:p>
    <w:p w:rsidR="00A90898" w:rsidRDefault="00A90898" w:rsidP="00A90898">
      <w:pPr>
        <w:pStyle w:val="TextoNormal"/>
      </w:pPr>
      <w:r w:rsidRPr="00A90898">
        <w:rPr>
          <w:rStyle w:val="NumeroAFNegritaCaracter"/>
        </w:rPr>
        <w:t>2</w:t>
      </w:r>
      <w:r>
        <w:t>. Conviene precisar, por lo que respecta al objeto del presente proceso constitucional, que, a pesar de que a lo largo del procedimiento administrativo y judicial se aducen diversas quejas de lesión de derechos fundamentales, en la demanda de amparo se plantea como motivo único la vulneración del derecho a la presunción de inocencia. Esa lesión, imputable inicialmente a la autoridad administrativa y no subsanada después por el órgano judicial, se concreta en el reproche de falta de prueba de cargo suficiente, por ser inidóneo para desvirtuar la presunción de inocencia el parte de la funcionaria con el que se inicia el procedimiento y dado que no se practicó prueba adicional alguna.</w:t>
      </w:r>
    </w:p>
    <w:p w:rsidR="00A90898" w:rsidRDefault="00A90898" w:rsidP="00A90898">
      <w:pPr>
        <w:pStyle w:val="TextoNormal"/>
      </w:pPr>
    </w:p>
    <w:p w:rsidR="00A90898" w:rsidRDefault="00A90898" w:rsidP="00A90898">
      <w:pPr>
        <w:pStyle w:val="TextoNormal"/>
      </w:pPr>
      <w:r>
        <w:t xml:space="preserve">Si bien ninguna de las partes comparecidas ha puesto en duda que el recurso tenga especial trascendencia constitucional, su condición de requisito de admisión [arts. 49.1 y 50.1 b) </w:t>
      </w:r>
      <w:r>
        <w:lastRenderedPageBreak/>
        <w:t xml:space="preserve">de la Ley Orgánica del Tribunal Constitucional (LOTC)], y, por tanto, de orden público procesal, así como exigencias de certeza y buena administración de justicia (STEDH de 20 de enero de 2015, caso </w:t>
      </w:r>
      <w:r w:rsidRPr="00A90898">
        <w:rPr>
          <w:i/>
        </w:rPr>
        <w:t>Arribas Antón c España</w:t>
      </w:r>
      <w:r>
        <w:t>, § 46) obligan a explicitar su cumplimiento para hacer así reconocibles los criterios empleados al efecto por este Tribunal (en idéntico sentido, STC 232/2015, de 5 de noviembre, FJ 2).</w:t>
      </w:r>
    </w:p>
    <w:p w:rsidR="00A90898" w:rsidRDefault="00A90898" w:rsidP="00A90898">
      <w:pPr>
        <w:pStyle w:val="TextoNormal"/>
      </w:pPr>
    </w:p>
    <w:p w:rsidR="00A90898" w:rsidRDefault="00A90898" w:rsidP="00A90898">
      <w:pPr>
        <w:pStyle w:val="TextoNormal"/>
      </w:pPr>
      <w:r>
        <w:t>La especial trascendencia constitucional del presente recurso de amparo se identifica con la relevancia de las cuestiones suscitadas en torno al valor probatorio de los partes de los funcionarios de prisiones y la definición de las garantías que deben satisfacer tales partes para poder enervar la presunción de inocencia en los procedimientos disciplinarios penitenciarios de modo que el recurso da ocasión al Tribunal para aclarar o cambiar su doctrina, como consecuencia de un proceso de reflexión interna [STC 155/2009, FJ 2 b)].</w:t>
      </w:r>
    </w:p>
    <w:p w:rsidR="00A90898" w:rsidRDefault="00A90898" w:rsidP="00A90898">
      <w:pPr>
        <w:pStyle w:val="TextoNormal"/>
      </w:pPr>
    </w:p>
    <w:p w:rsidR="00A90898" w:rsidRDefault="00A90898" w:rsidP="00A90898">
      <w:pPr>
        <w:pStyle w:val="TextoNormal"/>
      </w:pPr>
      <w:r w:rsidRPr="00A90898">
        <w:rPr>
          <w:rStyle w:val="NumeroAFNegritaCaracter"/>
        </w:rPr>
        <w:t>3</w:t>
      </w:r>
      <w:r>
        <w:t>. A efectos de la resolución del presente recurso de amparo es necesario atender a las garantías del procedimiento disciplinario penitenciario y, en particular, a la doctrina sobre el derecho a la presunción de inocencia. Más precisamente, su objeto obliga a poner el acento en el valor probatorio del parte de prisiones y los requisitos de validez para que despliegue efectos probatorios de conformidad con la citada garantía del art. 24.2 CE.</w:t>
      </w:r>
    </w:p>
    <w:p w:rsidR="00A90898" w:rsidRDefault="00A90898" w:rsidP="00A90898">
      <w:pPr>
        <w:pStyle w:val="TextoNormal"/>
      </w:pPr>
    </w:p>
    <w:p w:rsidR="00A90898" w:rsidRDefault="00A90898" w:rsidP="00A90898">
      <w:pPr>
        <w:pStyle w:val="TextoNormal"/>
      </w:pPr>
      <w:r>
        <w:t xml:space="preserve">Desde la STC 18/1981, de 8 de junio, FJ 2, viene reiterándose por este Tribunal la aplicabilidad de las garantías contenidas en el art. 24.2 CE a los procedimientos administrativos sancionadores, en tanto que manifestación del </w:t>
      </w:r>
      <w:r w:rsidRPr="00A90898">
        <w:rPr>
          <w:i/>
        </w:rPr>
        <w:t>ius puniendi</w:t>
      </w:r>
      <w:r>
        <w:t xml:space="preserve"> del Estado, con las matizaciones que resulten del equilibrio entre su propia naturaleza y la necesidad de preservar los valores esenciales que se encuentran en la base de dicho precepto y la seguridad jurídica que garantiza el art. 9.3 CE (entre muchas, SSTC 44/1983, de 24 de mayo, FJ 3; 28/1989, de 6 de febrero, FJ 6; 3/1999, de 25 de enero, FJ 4; 117/2002, de 20 de mayo, FJ 5; 205/2003, de 1 de diciembre, FJ 3; 35/2006, de 13 de febrero, FJ 3; 272/2006, de 25 de septiembre, FJ 2; 70/2008, de 23 de junio, FJ 4, y 82/2009, de 23 de marzo, FJ 3). Por lo que atañe al procedimiento disciplinario penitenciario, se advierte que esas garantías operan con especial intensidad en tanto la sanción, que puede tener un fuerte componente aflictivo, supone una grave limitación de la ya restringida libertad inherente al cumplimiento de una pena, y la incoación del expediente y eventual sanción repercute con mayor o menor intensidad en el régimen de vida y el tratamiento penitenciario, hasta el punto de condicionar el disfrute de permisos de salida o la progresión en grado. Como hemos repetido en multitud de ocasiones, la condición de interno en un establecimiento penitenciario no puede implicar más limitación de sus derechos fundamentales que la expresada en el contenido del fallo condenatorio, la propia del sentido de la pena y la prevista por la ley penitenciaria conforme a lo establecido en el art. 25.2 CE (ya en la STC 2/1987, de 21 de enero, FJ 6; más recientemente, SSTC 346/2006, de 11 de diciembre, FJ 3; 66/2007, de 27 de marzo, FJ 3; 59/2011, de 3 de mayo, FJ 2, y 107/2012, de 21 de mayo, FJ 6).</w:t>
      </w:r>
    </w:p>
    <w:p w:rsidR="00A90898" w:rsidRDefault="00A90898" w:rsidP="00A90898">
      <w:pPr>
        <w:pStyle w:val="TextoNormal"/>
      </w:pPr>
    </w:p>
    <w:p w:rsidR="00A90898" w:rsidRDefault="00A90898" w:rsidP="00A90898">
      <w:pPr>
        <w:pStyle w:val="TextoNormal"/>
      </w:pPr>
      <w:r>
        <w:t xml:space="preserve">En el desarrollo de tal doctrina, hemos precisado que toda manifestación del ejercicio del </w:t>
      </w:r>
      <w:r w:rsidRPr="00A90898">
        <w:rPr>
          <w:i/>
        </w:rPr>
        <w:t>ius puniendi</w:t>
      </w:r>
      <w:r>
        <w:t xml:space="preserve"> está condicionada por el art. 24.2 CE al juego de la prueba y a un procedimiento contradictorio en el que puedan defenderse las propias posiciones [SSTC 76/1990, de 26 de abril, FJ 8 b); 169/1998, de 21 de julio, FJ 2, y 40/2008, de 10 de marzo, FJ 2]. Por ello, entre las garantías </w:t>
      </w:r>
      <w:r w:rsidRPr="00A90898">
        <w:rPr>
          <w:i/>
        </w:rPr>
        <w:t>ex</w:t>
      </w:r>
      <w:r>
        <w:t xml:space="preserve"> art. 24.2 CE aplicables sin excepción en los procedimientos sancionadores, y en el penitenciario en particular, se encuentra el derecho a la presunción de inocencia, invocado por el recurrente en el presente caso (por todas, en lo relativo al procedimiento </w:t>
      </w:r>
      <w:r>
        <w:lastRenderedPageBreak/>
        <w:t xml:space="preserve">disciplinario penitenciario, SSTC 97/1995, de 20 de junio, FJ 4; 175/2000, de 26 de junio, FJ 5: 237/2002, de 9 de diciembre, FFJJ 3 a 5; 169/2003, de 29 de septiembre, FJ 5; 346/2006, de 11 de diciembre, FJ 5, y 66/2007, de 27 de marzo, FJ 6). El derecho a la presunción de inocencia implica que la carga de la prueba de los hechos constitutivos de infracción y de la participación del sujeto en ellos recae sobre la Administración, no pudiendo imponerse sanción alguna que no tenga fundamento en una previa actividad probatoria lícita sobre la cual el órgano competente pueda fundamentar un juicio razonable de culpabilidad, con prohibición absoluta de utilizar pruebas obtenidas mediante vulneración de derechos fundamentales. En buena lógica, este Tribunal sólo podrá constatar la vulneración del derecho a la presunción de inocencia cuando se haya impuesto la sanción sin pruebas de cargo válidas, es decir, cuando los órganos competentes hayan valorado una actividad probatoria lesiva de otros derechos fundamentales o sin observar las preceptivas garantías, o cuando no se motive el resultado de dicha valoración, o, finalmente, cuando por ilógico o insuficiente no sea razonable el </w:t>
      </w:r>
      <w:r w:rsidRPr="00A90898">
        <w:rPr>
          <w:i/>
        </w:rPr>
        <w:t>iter</w:t>
      </w:r>
      <w:r>
        <w:t xml:space="preserve"> discursivo que conduce de la prueba al hecho probado (específicamente respecto al ámbito disciplinario penitenciario, SSTC 346/2006, FJ 5, y 66/2007, FJ 6).</w:t>
      </w:r>
    </w:p>
    <w:p w:rsidR="00A90898" w:rsidRDefault="00A90898" w:rsidP="00A90898">
      <w:pPr>
        <w:pStyle w:val="TextoNormal"/>
      </w:pPr>
    </w:p>
    <w:p w:rsidR="00A90898" w:rsidRDefault="00A90898" w:rsidP="00A90898">
      <w:pPr>
        <w:pStyle w:val="TextoNormal"/>
      </w:pPr>
      <w:r>
        <w:t xml:space="preserve">De entre esos contenidos del derecho fundamental interesa destacar ahora la exigencia de un acervo probatorio suficiente, recayendo sobre la Administración pública actuante la carga probatoria tanto de la comisión del ilícito como de la participación del acusado, sin que pueda exigírsele a este una </w:t>
      </w:r>
      <w:r w:rsidRPr="00A90898">
        <w:rPr>
          <w:i/>
        </w:rPr>
        <w:t>probatio diabolica</w:t>
      </w:r>
      <w:r>
        <w:t xml:space="preserve"> de los hechos negativos (por todas, STC 45/1997, de 11 de marzo, FJ 4).</w:t>
      </w:r>
    </w:p>
    <w:p w:rsidR="00A90898" w:rsidRDefault="00A90898" w:rsidP="00A90898">
      <w:pPr>
        <w:pStyle w:val="TextoNormal"/>
      </w:pPr>
    </w:p>
    <w:p w:rsidR="00A90898" w:rsidRDefault="00A90898" w:rsidP="00A90898">
      <w:pPr>
        <w:pStyle w:val="TextoNormal"/>
      </w:pPr>
      <w:r>
        <w:t>En este marco, hemos manifestado en distintas ocasiones que el parte emitido por los funcionarios de prisiones puede ser suficiente para que la Administración penitenciaria primero y el órgano judicial después puedan tener por desvirtuada la presunción de inocencia del sancionado, sin vincular esa eficacia a un reconocimiento específico en la normativa penitenciaria o a la previsión general del art. 137.3 LPC (ya en la STC 192/1987, de 2 de diciembre, FJ 2.e; también en SSTC 74/1985, de 18 de junio, FJ 3; 297/1993, de 18 de octubre, FJ 4, y 66/2007, de 27 de marzo, FJ 6). Ello entronca con el reconocimiento por la jurisprudencia constitucional de que la aplicación matizada de las garantías procedimentales del art. 24.2 CE al ámbito administrativo sancionador se proyecta en el derecho a la presunción de inocencia aquí invocado, donde los principios de publicidad, oralidad e inmediación vinculados a la validez de la prueba se relativizan, admitiéndose “la validez como prueba de cargo de los partes de inspección (STC 170/1990, de 5 de noviembre, FJ 4) o de los informes obrantes en autos (SSTC 212/1990, de 20 de diciembre, FJ 5; 341/1993, de 18 de noviembre, FJ 11), con independencia de que carezcan de presunción de veracidad (STC 76/1990, de 26 de abril, FJ 8)” (SSTC 2/2003, de 16 de febrero, FJ 10, y 242/2005, de 10 de octubre, FJ 5). En otras palabras, las exigencias constitucionales vinculadas a la presunción de inocencia no excluyen el valor probatorio de las actas, boletines, partes o informes donde los funcionarios competentes consignan los hechos que observan en el transcurso de sus indagaciones y comprobaciones.</w:t>
      </w:r>
    </w:p>
    <w:p w:rsidR="00A90898" w:rsidRDefault="00A90898" w:rsidP="00A90898">
      <w:pPr>
        <w:pStyle w:val="TextoNormal"/>
      </w:pPr>
    </w:p>
    <w:p w:rsidR="00A90898" w:rsidRDefault="00A90898" w:rsidP="00A90898">
      <w:pPr>
        <w:pStyle w:val="TextoNormal"/>
      </w:pPr>
      <w:r>
        <w:t xml:space="preserve">Al respecto, sin embargo, se precisa de forma reiterada en nuestra jurisprudencia desde la inaugural STC 76/1990, de 26 de abril, FJ 8 b), que si bien las constataciones documentales por funcionarios tienen un valor probatorio que va más allá de la denuncia, está excluida absolutamente su eficacia como una presunción </w:t>
      </w:r>
      <w:r w:rsidRPr="00A90898">
        <w:rPr>
          <w:i/>
        </w:rPr>
        <w:t>iuris et de iure</w:t>
      </w:r>
      <w:r>
        <w:t xml:space="preserve"> de veracidad o certeza del contenido de los documentos. Se parte, por el contrario, de que el acta constituye un </w:t>
      </w:r>
      <w:r>
        <w:lastRenderedPageBreak/>
        <w:t xml:space="preserve">primer medio de prueba —que aporta la Administración— sobre los hechos que consten en ella, cuyo valor o eficacia ha de medirse a la luz del principio de la libre valoración de la prueba (SSTC 76/1990, de 26 de abril, FJ 8; 14/1997, de 28 de enero, FJ 7; 169/1998, de 21 de julio, FJ 2, y 35/2006, de 13 de febrero, FJ 6). Esa doctrina se ha proyectado no sólo a las actas o diligencias de inspección </w:t>
      </w:r>
      <w:r w:rsidRPr="00A90898">
        <w:rPr>
          <w:i/>
        </w:rPr>
        <w:t>stricto sensu</w:t>
      </w:r>
      <w:r>
        <w:t xml:space="preserve"> contempladas en una normativa sectorial específica de las que se ocupaba la STC 76/1990, sino, en general, “a las actuaciones administrativas, formalizadas en el oportuno expediente” (STC 212/1990, de 20 de diciembre, FJ 4), incluidas las “declaraciones suscritas por los agentes de la autoridad” (STC 341/1993, de 18 de noviembre, FJ 11). Incluso cuando se ha anclado normativamente al art. 137.3 LPC aquí discutido, como ocurrió en el análisis de la eficacia probatoria de los boletines de denuncia de los agentes de la policía local (STC 35/2006, de 13 de febrero, FJ 6), se ha destacado que el valor probatorio que ese precepto atribuye a esos documentos sigue las pautas señaladas en la STC 76/1990. Su valor estriba en ser una forma de iniciación del procedimiento y en aportar una prueba de cargo, que debe ser objeto de valoración junto con el resto de pruebas practicadas en el mismo plano y conforme a los mismos criterios de racionalidad, pudiendo ser prueba de cargo suficiente en vía administrativa, pero también en vía contencioso-administrativa sin necesidad de reiterarse, colocando al administrado en la tesitura de tener que abandonar su pasividad para evitar su sanción, que es lo que le permite la presunción de inocencia en tanto no exista esa prueba de cargo.</w:t>
      </w:r>
    </w:p>
    <w:p w:rsidR="00A90898" w:rsidRDefault="00A90898" w:rsidP="00A90898">
      <w:pPr>
        <w:pStyle w:val="TextoNormal"/>
      </w:pPr>
    </w:p>
    <w:p w:rsidR="00A90898" w:rsidRDefault="00A90898" w:rsidP="00A90898">
      <w:pPr>
        <w:pStyle w:val="TextoNormal"/>
      </w:pPr>
      <w:r>
        <w:t>En síntesis, a la luz de esta jurisprudencia constitucional, parece incontrovertido que los partes y boletines no son meras denuncias en el ámbito administrativo y contencioso administrativo, sino medios probatorios admisibles que pueden ser suficientes, en atención a las circunstancias del caso, para enervar la presunción de inocencia. Pero ese reconocimiento de relevancia probatoria a lo aseverado, en debida forma, por los funcionarios sería inconstitucional, por vulnerar el derecho a la presunción de inocencia, si llega al extremo de otorgarle “una fuerza de convicción privilegiada que llegara a prevalecer, sin más, frente a lo alegado por el expedientado o frente a cualesquiera otros medios de prueba o que se impusiera —incluso al margen de toda contraria alegación o probanza— sobre la apreciación racional que acerca de los hechos y de la culpabilidad del expedientado se hubiera formado la autoridad llamada a resolver el expediente” (STC 341/1993, de 18 de noviembre, FJ 11; citándola, STC 243/2007, de 10 de diciembre, FJ 4). En línea con tales parámetros, la aceptación del parte informativo penitenciario como medio de prueba que puede ser suficiente está sujeta a la premisa de su juego en un contexto contradictorio donde opera la libre valoración de la prueba, sin que ostente un valor prevalente o, mucho menos, se presuma su suficiencia, que dependerá de las circunstancias (STC 66/2007 siguiendo a la STC 192/1987; también al respecto, SSTC 9/2003, de 20 de enero, FJ 4; 91/2004, de 19 de mayo, FJ 6, y 316/2006, de 15 de noviembre, FJ 5).</w:t>
      </w:r>
    </w:p>
    <w:p w:rsidR="00A90898" w:rsidRDefault="00A90898" w:rsidP="00A90898">
      <w:pPr>
        <w:pStyle w:val="TextoNormal"/>
      </w:pPr>
    </w:p>
    <w:p w:rsidR="00A90898" w:rsidRDefault="00A90898" w:rsidP="00A90898">
      <w:pPr>
        <w:pStyle w:val="TextoNormal"/>
      </w:pPr>
      <w:r w:rsidRPr="00A90898">
        <w:rPr>
          <w:rStyle w:val="NumeroAFNegritaCaracter"/>
        </w:rPr>
        <w:t>4</w:t>
      </w:r>
      <w:r>
        <w:t>. Desde la premisa del reconocimiento de eficacia probatoria al parte informativo, corresponde detenerse ahora en el análisis de nuestra doctrina sobre las condiciones en las que un parte puede alcanzar esa eficacia.</w:t>
      </w:r>
    </w:p>
    <w:p w:rsidR="00A90898" w:rsidRDefault="00A90898" w:rsidP="00A90898">
      <w:pPr>
        <w:pStyle w:val="TextoNormal"/>
      </w:pPr>
    </w:p>
    <w:p w:rsidR="00A90898" w:rsidRDefault="00A90898" w:rsidP="00A90898">
      <w:pPr>
        <w:pStyle w:val="TextoNormal"/>
      </w:pPr>
      <w:r>
        <w:t xml:space="preserve">Con carácter general, la declaración documentada de que se trate ha de reunir ciertas características de emisión y acceso al procedimiento sancionador que garanticen el respeto al derecho a la presunción de inocencia y al derecho de defensa. Esas características la hacen merecedora de la calificación jurídica de prueba. Como es sabido, existirá una vulneración del derecho a la presunción de inocencia “cuando no haya pruebas de cargo válidas, es decir, </w:t>
      </w:r>
      <w:r>
        <w:lastRenderedPageBreak/>
        <w:t>cuando los órganos competentes ‘hayan valorado una actividad probatoria lesiva de otros derechos fundamentales o carente de garantías’” (STC 66/2007, FJ 6). En la traslación modulada de las garantías del art. 24.2 CE al orden administrativo, los valores que subyacen a los derechos fundamentales en juego exigen de las diligencias de prueba, frente a las mayores garantías en el proceso penal, “unas mínimas condiciones objetivas y subjetivas que hagan posible su fiabilidad. Y si las primeras parecen centrarse en su normatividad y en la posibilidad de contradicción, las segundas aluden a las características del sujeto que las practica”, limitándose su valor probatorio a los hechos comprobados directamente por un funcionario (STC 56/1998, de 16 de marzo, FFJJ 4 y 5). Esas exigencias conectan, de un lado, con el fundamento del valor probatorio de las actuaciones administrativas en cuestión, esto es, con el hecho de que tales documentos incorporen una verdadera actividad probatoria efectuada con inmediación por personal cualificado e imparcial referida a hechos objetivos. Así, la especialidad, imparcialidad y objetividad se vincula al estatus funcionarial, imprescindible cuando se ejercen potestades públicas, como es el caso de las funciones de vigilancia e inspección definitorias de la actividad administrativa en que se generan las diligencias (art. 9.2 de la Ley del estatuto básico del empleado público); y se circunscribe asimismo el valor probatorio a los hechos y datos objetivos comprobados directamente por el emisor [SSTC 76/1990, FJ 8 b), o 70/2012, FJ 4], identificado y signatario del documento (STC 97/1995, de 20 de junio, FJ 4). Y de otro lado, con la garantía de contradicción, principio esencial en todo procedimiento administrativo y, singularmente, del sancionador por mor de la vigencia en este ámbito del derecho a la presunción de inocencia.</w:t>
      </w:r>
    </w:p>
    <w:p w:rsidR="00A90898" w:rsidRDefault="00A90898" w:rsidP="00A90898">
      <w:pPr>
        <w:pStyle w:val="TextoNormal"/>
      </w:pPr>
    </w:p>
    <w:p w:rsidR="00A90898" w:rsidRDefault="00A90898" w:rsidP="00A90898">
      <w:pPr>
        <w:pStyle w:val="TextoNormal"/>
      </w:pPr>
      <w:r>
        <w:t>En lo que atañe al parte informativo en el ámbito penitenciario, el respeto a la garantía de contradicción impone, en primer lugar, que el interno debe poder tener acceso al contenido de la denuncia cuando va a ser utilizado como material probatorio de cargo, por lo que se le debe dar traslado del contenido del parte junto con el pliego de cargos (SSTC 2/1987, de 21 de enero, FJ 6, y 156/2009, de 29 de junio, FJ 4). Desde la perspectiva del derecho de defensa, este Tribunal ha especificado que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una exigencia ineludible derivada de la prohibición general de la indefensión (SSTC 297/1993, de 18 de octubre, FJ 4; y 55/2006, de 27 de febrero, FJ 4)” (STC 156/2009, de 29 de junio, FJ 3). En buena lógica, hemos concluido que este requisito viene colmado cuando la denuncia del funcionario viene transcrita en el pliego de cargos o, en general, el conocimiento del pliego por el interno aporta el conocimiento de los hechos objeto de la acusación, su calificación y la sanción propuesta, así como el de las pruebas en que se sustenta esa acusación, pues no existirá indefensión (SSTC 116/2002, de 20 de mayo, FJ 4; 66/2007, de 27 de marzo, FJ 5, y 77/2008, de 7 de julio, FJ 2). Por el contrario, la falta de traslado del parte informativo, como expresión del derecho a acceder al material probatorio —y, con ello, de poder combatir su validez o suficiencia como prueba—, adquirirá relevancia constitucional cuando se cuestione el parte o la correspondencia entre su contenido y el del pliego de cargos, pues conlleva una situación de bloqueo en el acceso a una información precisa para garantizar el derecho de defensa, lo que repercutirá en la calidad del parte como prueba válida.</w:t>
      </w:r>
    </w:p>
    <w:p w:rsidR="00A90898" w:rsidRDefault="00A90898" w:rsidP="00A90898">
      <w:pPr>
        <w:pStyle w:val="TextoNormal"/>
      </w:pPr>
    </w:p>
    <w:p w:rsidR="00A90898" w:rsidRDefault="00A90898" w:rsidP="00A90898">
      <w:pPr>
        <w:pStyle w:val="TextoNormal"/>
      </w:pPr>
      <w:r>
        <w:lastRenderedPageBreak/>
        <w:t xml:space="preserve">En segundo lugar, la posibilidad de contar con una prueba de cargo válida depende de que los hechos imputados con fundamento en el parte del funcionario puedan ser desvirtuados mediante prueba pertinente y relevante de descargo, para evitar partir “del erróneo principio de que el cargo determinado por el funcionario tiene una presunción </w:t>
      </w:r>
      <w:r w:rsidRPr="00A90898">
        <w:rPr>
          <w:i/>
        </w:rPr>
        <w:t>iuris et de iure</w:t>
      </w:r>
      <w:r>
        <w:t>, y que al fin y a la postre no admite prueba en contrario” (SSTC 9/2003, de 20 de enero, FJ 4; 91/2004, de 19 de mayo, FJ 6, y 316/2006, de 15 de noviembre, FJ 5). Aunque desde el derecho a la prueba, en estas resoluciones hemos indicado que, si se rechaza de forma irrazonable o arbitraria una prueba idónea dirigida a atacar el parte, se termina por hacer inútil el expediente sancionador, que queda prefigurado por el pliego de cargos, cuyo contenido viene fijado por el parte de forma irrefutable. Ya en el marco de las exigencias del derecho a la presunción de inocencia, la STC 66/2007, de 27 de marzo, FJ 6, excluyó que la suficiencia del parte de incidencias para enervar la presunción de inocencia pudiera equipararse a la concesión de un valor probatorio irrefutable al testimonio del funcionario, poniendo el acento en que, en el caso analizado entonces, esa prueba de cargo no fue desvirtuada por el interno mediante prueba en contrario y en que las pruebas propuestas fueron denegadas motivada y razonablemente por el instructor del expediente.</w:t>
      </w:r>
    </w:p>
    <w:p w:rsidR="00A90898" w:rsidRDefault="00A90898" w:rsidP="00A90898">
      <w:pPr>
        <w:pStyle w:val="TextoNormal"/>
      </w:pPr>
    </w:p>
    <w:p w:rsidR="00A90898" w:rsidRDefault="00A90898" w:rsidP="00A90898">
      <w:pPr>
        <w:pStyle w:val="TextoNormal"/>
      </w:pPr>
      <w:r>
        <w:t>En suma, sólo la efectiva posibilidad de contradicción, fruto de una posición informada de los hechos y su prueba y la oportunidad de acreditar una versión exculpatoria por medios idóneos y relevantes, incluida la intervención del autor del parte, ataja el riesgo de convertir el valor probatorio de las declaraciones del funcionario en una presunción inatacable de culpabilidad contraria a la presunción de inocencia. En la medida en que la prueba contraria practicada no haya resultado idónea para desvirtuar la versión del parte de incidencias del funcionario, o, proponiéndose diligencias de descargo, no se acordaran razonablemente y de forma motivada, o, en fin, ni siquiera se intentara una actividad probatoria defensiva por el expedientado frente a la aportación probatoria incriminadora que encarna el parte, éste podrá alcanzar el estatus de prueba de cargo válida y suficiente a efectos sancionadores.</w:t>
      </w:r>
    </w:p>
    <w:p w:rsidR="00A90898" w:rsidRDefault="00A90898" w:rsidP="00A90898">
      <w:pPr>
        <w:pStyle w:val="TextoNormal"/>
      </w:pPr>
    </w:p>
    <w:p w:rsidR="00A90898" w:rsidRDefault="00A90898" w:rsidP="00A90898">
      <w:pPr>
        <w:pStyle w:val="TextoNormal"/>
      </w:pPr>
      <w:r>
        <w:t xml:space="preserve">Por último, también en relación con el parte de incidencias penitenciario deben concurrir las condiciones objetivas, subjetivas y formales que sirven a la exigencia de inmediación y avalan la fiabilidad que fundamenta la admisión de valor probatorio de las denuncias y testimonios documentados de los funcionarios. Esto es, el valor del parte se extiende a los hechos presenciados por los funcionarios de prisiones (SSTC 192/1987, FJ 2; y 346/2006, de 11 de diciembre, FJ 5), de quienes es predicable imparcialidad en tanto que funcionarios públicos </w:t>
      </w:r>
      <w:r w:rsidRPr="00A90898">
        <w:rPr>
          <w:i/>
        </w:rPr>
        <w:t>stricto sensu</w:t>
      </w:r>
      <w:r>
        <w:t xml:space="preserve"> (art. 80 de la Ley Orgánica general penitenciaria) con especialización en labores de custodia, vigilancia y mantenimiento del orden interno [art. 64 del Reglamento penitenciario (RP)] y con competencia normativamente atribuida para emitir partes (art. 71.2 RP) cuando detecten alguna anomalía regimental o cualquier hecho o circunstancia indiciario de una posible perturbación de la vida normal del Centro, que se plasmen en diligencias documentales con los requisitos mínimos de identificación del emisor firmante (STC 97/1995, de 20 de junio, FJ 4), lugar y fecha.</w:t>
      </w:r>
    </w:p>
    <w:p w:rsidR="00A90898" w:rsidRDefault="00A90898" w:rsidP="00A90898">
      <w:pPr>
        <w:pStyle w:val="TextoNormal"/>
      </w:pPr>
    </w:p>
    <w:p w:rsidR="00A90898" w:rsidRDefault="00A90898" w:rsidP="00A90898">
      <w:pPr>
        <w:pStyle w:val="TextoNormal"/>
      </w:pPr>
      <w:r>
        <w:t>En síntesis, la idoneidad del parte como prueba suficiente para enervar la presunción de inocencia depende de su validez, esto es, de que reúna los elementos subjetivos, objetivos y formales de credibilidad, haya accedido de forma constitucionalmente admisible al procedimiento sancionador y juegue en un debate que haya dado oportunidad de contradicción.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5</w:t>
      </w:r>
      <w:r>
        <w:t>. En el caso que nos ocupa, el acuerdo sancionador impugnado considera hechos probados que la funcionaria de control de cámaras observó al interno llamando desde una cabina del patio del módulo cuando ya tenía todas sus llamadas semanales realizadas, habiéndose comprobado en el sistema informático que las llamadas fueron realizadas a nombre de otros tres internos.</w:t>
      </w:r>
    </w:p>
    <w:p w:rsidR="00A90898" w:rsidRDefault="00A90898" w:rsidP="00A90898">
      <w:pPr>
        <w:pStyle w:val="TextoNormal"/>
      </w:pPr>
    </w:p>
    <w:p w:rsidR="00A90898" w:rsidRDefault="00A90898" w:rsidP="00A90898">
      <w:pPr>
        <w:pStyle w:val="TextoNormal"/>
      </w:pPr>
      <w:r>
        <w:t>El acervo probatorio con que se cuenta para sostener tal relato viene integrado por tres elementos: (i) el parte suscrito por la funcionaria que prestaba servicio en el control de cámaras, donde relata lo manifestado por los funcionarios en labores de vigilancia del módulo 7 respecto a que el recurrente había realizado llamadas de teléfono sobre las 9:30 horas y las 17:20 horas, teniendo agotadas las que le correspondían; (ii) los listados de llamadas efectuadas el día en cuestión, donde quedan reflejadas las llamadas realizadas con cargo a la disponibilidad de tres internos distintos al demandante a números autorizados a dichos internos; y (iii) la manifestación del recurrente de que se acercó y descolgó el teléfono de la cabina para confirmar que no tenía ya llamadas disponibles. No existe elemento de comprobación o corroboración adicional, pues, aunque el demandante negó los hechos y solicitó reiteradamente numerosas diligencias de prueba para contradecir el parte y los indicios que generaba en su contra, se hizo caso omiso de tal solicitud tanto en sede administrativa como judicial, donde tampoco se respondió a la denuncia de vulneración del derecho a usar los medios de prueba pertinentes. En ninguna de tales sedes los órganos decisores llegaron a hacer manifestación expresa alguna de ese rechazo ni aportaron motivación al respecto. Esa omisa práctica de ulterior prueba ha impedido contar con los testimonios de los internos afectados y de los funcionarios del módulo informantes que observaron los hechos. Tampoco se cuenta con la ratificación de la funcionaria emisora del parte ni con la grabación de las imágenes o la información sobre el origen temporal de los listados autorizados a los distintos internos y los gastos en tarjetas telefónicas.</w:t>
      </w:r>
    </w:p>
    <w:p w:rsidR="00A90898" w:rsidRDefault="00A90898" w:rsidP="00A90898">
      <w:pPr>
        <w:pStyle w:val="TextoNormal"/>
      </w:pPr>
    </w:p>
    <w:p w:rsidR="00A90898" w:rsidRDefault="00A90898" w:rsidP="00A90898">
      <w:pPr>
        <w:pStyle w:val="TextoNormal"/>
      </w:pPr>
      <w:r>
        <w:t>Con carácter previo al examen sobre la suficiencia de la prueba reseñada, debemos resaltar algunas particularidades de los hechos probados y de la prueba a la que se anudan. El pliego de cargos y luego el acuerdo sancionador recogen como hechos probados que un funcionario ha visto determinados hechos y no los hechos en sí, estilo indirecto que no tendría más trascendencia si no existiera una divergencia entre lo consignado allí: que la funcionaria en el servicio de control de cámaras observó al recurrente llamando en una cabina del patio, y lo manifestado en el parte por la funcionaria signataria: lo que otros —los funcionarios del módulo 7— le dicen haber visto sobre la realización de las llamadas por el interno. Al no haberle dado acceso al parte, como solicitó el demandante desde el inicio, y dado que el pliego de cargos da a entender que la funcionaria de cámaras observó los hechos directamente y no incorpora el parte en sus propios términos, el recurrente no tuvo un conocimiento adecuado del material probatorio que le permitiera contradecir su virtualidad acreditativa de los hechos, carencia que le depara indefensión (SSTC 297/1993, de 18 de octubre, FJ 4; 55/2006, de 27 de febrero, FJ 4; 66/2007, de 27 de marzo, FJ 5, o 156/2009, de 29 de junio, FJ 3). Ciertamente no se denunció de forma específica esta carencia en el texto del recurso de amparo que nos ocupa, pero el dato resulta relevante para el análisis de la lesión de derecho a la presunción de inocencia sí planteada en él.</w:t>
      </w:r>
    </w:p>
    <w:p w:rsidR="00A90898" w:rsidRDefault="00A90898" w:rsidP="00A90898">
      <w:pPr>
        <w:pStyle w:val="TextoNormal"/>
      </w:pPr>
    </w:p>
    <w:p w:rsidR="00A90898" w:rsidRDefault="00A90898" w:rsidP="00A90898">
      <w:pPr>
        <w:pStyle w:val="TextoNormal"/>
      </w:pPr>
      <w:r>
        <w:t xml:space="preserve">Al margen de esa indirecta consignación de los hechos probados y la divergencia entre el verdadero contenido del parte y lo reflejado como tal en el pliego de cargos, lo que aquí </w:t>
      </w:r>
      <w:r>
        <w:lastRenderedPageBreak/>
        <w:t>interesa es examinar si existe prueba válida suficiente para enervar la presunción de inocencia, esto es, para acreditar la realización de llamadas por el recurrente tras haber agotado su cupo utilizando el número de identificación de interno de otros internos, que es, en definitiva, la conducta sancionada. Como bien señala el Ministerio Fiscal, los listados de llamadas permiten asegurar que efectivamente se hicieron llamadas a las horas y a los teléfonos relacionados en ellos, pero no resultan concluyentes respecto a la autoría de esas llamadas, máxime si se tiene en cuenta que se hicieron a números autorizados a esos otros internos sin haberse comprobado —como propuso el recurrente— si su autorización era previa o posterior a su entrada en el módulo o en prisión. En tal sentido, los listados en sí indicarían más bien que no fue el recurrente quien hizo las llamadas, pues se realizaron con el número de identificación de interno de otros internos a los teléfonos autorizados previamente por la dirección del centro para esos internos, conforme impone la normativa penitenciaria (art. 47 RP); la cual requiere indicación previa de los datos de las personas con las que se desee contactar, su dirección, número de teléfono y titularidad del mismo, así como el parentesco o la relación que mantienen con el interno. Tampoco se comprobó —como asimismo solicitó el sancionado— el movimiento de peculio, pues el alto gasto en la compra de tarjetas para hacer llamadas podría ser significativo al respecto. Ni el instructor ni el juzgador facilitaron esa información, que hubiera podido conducir a identificar al autor o autores de las llamadas. Y, en fin, no se trajo al procedimiento a los internos a cuyos números autorizados se llamó para indagar si habían sido ellos o no quienes hicieron las llamadas que constan en los listados.</w:t>
      </w:r>
    </w:p>
    <w:p w:rsidR="00A90898" w:rsidRDefault="00A90898" w:rsidP="00A90898">
      <w:pPr>
        <w:pStyle w:val="TextoNormal"/>
      </w:pPr>
    </w:p>
    <w:p w:rsidR="00A90898" w:rsidRDefault="00A90898" w:rsidP="00A90898">
      <w:pPr>
        <w:pStyle w:val="TextoNormal"/>
      </w:pPr>
      <w:r>
        <w:t>Por otro lado, el recurrente ha negado en todo momento haber efectuado las llamadas y en el pliego de descargo sólo admite haber introducido su número de identificación ese día para comprobar sus llamadas, apareciendo “servicio no disponible”, sin especificar en qué momento lo hizo y, por tanto, si era coincidente con los referidos en el parte —sobre las 9:30 y las 17:20 horas—. Este dato, que ni siquiera se menciona en la propuesta de resolución o el acuerdo sancionador o en las resoluciones judiciales posteriores, podría valorarse tanto en un sentido incriminador (el sujeto reconoce hacer uso de la cabina corroborando lo que recoge el parte) como exonerador (el interno ofrece una explicación alternativa del uso de la cabina que no supone efectuar llamadas telefónicas sin autorización).</w:t>
      </w:r>
    </w:p>
    <w:p w:rsidR="00A90898" w:rsidRDefault="00A90898" w:rsidP="00A90898">
      <w:pPr>
        <w:pStyle w:val="TextoNormal"/>
      </w:pPr>
    </w:p>
    <w:p w:rsidR="00A90898" w:rsidRDefault="00A90898" w:rsidP="00A90898">
      <w:pPr>
        <w:pStyle w:val="TextoNormal"/>
      </w:pPr>
      <w:r>
        <w:t>A la luz de lo anterior, y como también apunta el Fiscal en sus alegaciones, la prueba de la atribución de las llamadas se sustentó únicamente en el parte informativo de la funcionaria de control de cámaras, de modo que sobre su idoneidad y valía como prueba de cargo deberá versar el examen del caso, tal y como centra el demandante el problema al cuestionar el valor probatorio cualificado que le atribuye la Juez de Vigilancia Penitenciaria al albur del art. 137.3 LPC y, en general, su aptitud para enervar la presunción de inocencia como prueba válida y suficiente.</w:t>
      </w:r>
    </w:p>
    <w:p w:rsidR="00A90898" w:rsidRDefault="00A90898" w:rsidP="00A90898">
      <w:pPr>
        <w:pStyle w:val="TextoNormal"/>
      </w:pPr>
    </w:p>
    <w:p w:rsidR="00A90898" w:rsidRDefault="00A90898" w:rsidP="00A90898">
      <w:pPr>
        <w:pStyle w:val="TextoNormal"/>
      </w:pPr>
      <w:r>
        <w:t xml:space="preserve">Al respecto, debe rechazarse de plano la afirmación de la Juez de Vigilancia Penitenciaria de que el parte tiene especial incidencia probatoria cuantitativa y cualitativa, que pretende derivar de la previsión del art. 137.3 LPC, ya que no se acomoda a los límites de la eficacia probatoria que impone el derecho a la presunción de inocencia en los que tanto ha insistido este Tribunal. Rechazo que opera con independencia del problema de la idoneidad de los funcionarios de prisiones como emisores del documento, que atañe a cuestiones de legalidad ordinaria sobre el concepto de autoridad y de documento público así como sobre la regla </w:t>
      </w:r>
      <w:r>
        <w:lastRenderedPageBreak/>
        <w:t>probatoria establecida en el art. 137.3 LPC, todas ellas relativas a la interpretación del precepto, que no corresponde dilucidar en esta sede.</w:t>
      </w:r>
    </w:p>
    <w:p w:rsidR="00A90898" w:rsidRDefault="00A90898" w:rsidP="00A90898">
      <w:pPr>
        <w:pStyle w:val="TextoNormal"/>
      </w:pPr>
    </w:p>
    <w:p w:rsidR="00A90898" w:rsidRDefault="00A90898" w:rsidP="00A90898">
      <w:pPr>
        <w:pStyle w:val="TextoNormal"/>
      </w:pPr>
      <w:r w:rsidRPr="00A90898">
        <w:rPr>
          <w:rStyle w:val="NumeroAFNegritaCaracter"/>
        </w:rPr>
        <w:t>6</w:t>
      </w:r>
      <w:r>
        <w:t>. El reconocimiento de la relevancia del parte para, en su caso, destruir la presunción de inocencia va unido a que reúna los requisitos de emisión y de incorporación al procedimiento sancionador que garanticen el respeto al derecho a la presunción de inocencia y al derecho de defensa y que, en definitiva, permitan hablar de un auténtico acto de prueba. Desde tal prisma, el parte aquí controvertido presenta un doble aspecto deficitario en su génesis y acceso al procedimiento: (a) es un parte de referencia y (b) su contenido no fue conocido por el interno ni se desenvolvió en un contexto contradictorio.</w:t>
      </w:r>
    </w:p>
    <w:p w:rsidR="00A90898" w:rsidRDefault="00A90898" w:rsidP="00A90898">
      <w:pPr>
        <w:pStyle w:val="TextoNormal"/>
      </w:pPr>
    </w:p>
    <w:p w:rsidR="00A90898" w:rsidRDefault="00A90898" w:rsidP="00A90898">
      <w:pPr>
        <w:pStyle w:val="TextoNormal"/>
      </w:pPr>
      <w:r>
        <w:t>a) De conformidad con la doctrina de este Tribunal sobre el valor probatorio de las constataciones documentales por funcionario, ese valor probatorio alcanza solo a los hechos narrados en ellas que hayan sido efectivamente constatados por el funcionario (SSTC 76/1990, FJ 8.b; 14/1997, de 28 de enero, FJ 7;56/1998, de 16 de marzo, FJ 5; 169/1998, de 21 de julio, FJ 2; 35/2006, de 13 de febrero, FJ 6; 82/2009, de 23 de marzo, FJ 4, y 70/2012, de 16 de abril, FJ 4), sin extenderse a valoraciones, calificaciones jurídicas, opiniones o, cabe añadir, a hechos percibidos por un tercero, incluso cuando ese tercero fuera un funcionario. Esa condición general de la eficacia probatoria de las diligencias administrativas documentadas, que se recoge en la normativa sobre la materia, entronca con las exigencias de inmediación que mínimamente deben respetarse en el procedimiento administrativo en conexión con los atributos de imparcialidad y especialización del autor del acta como fundamento del valor probatorio de lo documentado. Si la credibilidad o fiabilidad que se confiere a las actuaciones administrativas documentadas se asienta en la credibilidad del autor de las mismas como funcionario con los atributos de especialización e imparcialidad, ese valor probatorio se proyecta sobre lo directamente presenciado por él, pero no podrá hacerse respecto a la fiabilidad o credibilidad de lo que un tercero le refiera y haga constar en el documento.</w:t>
      </w:r>
    </w:p>
    <w:p w:rsidR="00A90898" w:rsidRDefault="00A90898" w:rsidP="00A90898">
      <w:pPr>
        <w:pStyle w:val="TextoNormal"/>
      </w:pPr>
    </w:p>
    <w:p w:rsidR="00A90898" w:rsidRDefault="00A90898" w:rsidP="00A90898">
      <w:pPr>
        <w:pStyle w:val="TextoNormal"/>
      </w:pPr>
      <w:r>
        <w:t xml:space="preserve">Asimismo también desde la perspectiva de las garantías de validez y de la suficiencia de la prueba se ha cuestionado en el ámbito jurisdiccional penal la compatibilidad del testimonio de referencia con las exigencias del art. 24.2 CE (por todas, STC 143/2003, de 14 de julio, FJ 6). Este Tribunal ha reiterado, en cuanto a la aptitud constitucional de los testigos de referencia como prueba de cargo apta para enervar la presunción de inocencia, que es una prueba poco recomendable y debe asumirse con recelo (STC 143/2003, FJ 6), por lo que “puede ser uno de los elementos de prueba en los que fundar una decisión condenatoria, aunque condicionada por la plenitud del derecho de defensa, de modo que, en la medida en que el recurso al testigo de referencia impidiese el examen contradictorio del testigo directo, resultaría constitucionalmente inadmisible, pues en muchos casos supone eludir el oportuno debate sobre la realidad misma de los hechos, además de conllevar una limitación obvia de las garantías de inmediación y contradicción en la práctica de la prueba” (STC 117/2007, de 21 de mayo, FJ 3). Por ello, y de conformidad con la jurisprudencia del Tribunal Europeo de Derechos Humanos (SSTEDH de 19 de diciembre de 1990, caso </w:t>
      </w:r>
      <w:r w:rsidRPr="00A90898">
        <w:rPr>
          <w:i/>
        </w:rPr>
        <w:t>Delta</w:t>
      </w:r>
      <w:r>
        <w:t xml:space="preserve">, § 36; de 19 de febrero de 1991, caso </w:t>
      </w:r>
      <w:r w:rsidRPr="00A90898">
        <w:rPr>
          <w:i/>
        </w:rPr>
        <w:t>Isgrò</w:t>
      </w:r>
      <w:r>
        <w:t xml:space="preserve">, § 34; y de 26 de abril de 1991, caso </w:t>
      </w:r>
      <w:r w:rsidRPr="00A90898">
        <w:rPr>
          <w:i/>
        </w:rPr>
        <w:t>Asch</w:t>
      </w:r>
      <w:r>
        <w:t xml:space="preserve">, § 27), se ha admitido el testimonio de referencia en los casos de imposibilidad real y efectiva de obtener la declaración del testigo directo y principal, lo que se ha apreciado en aquellos supuestos en los que el testigo directo se encuentra en ignorado paradero, por lo que es imposible su citación, o en los que la citación del testigo resulta extraordinariamente dificultosa (STC 143/2003, </w:t>
      </w:r>
      <w:r>
        <w:lastRenderedPageBreak/>
        <w:t>FJ 6, citando a las SSTC 79/1994, de 14 de marzo, FJ 4; 68/2002, de 21 de marzo, FJ 10; 155/2002, de 22 de julio, FJ 17, y 219/2002, de 25 de noviembre, FJ 4).</w:t>
      </w:r>
    </w:p>
    <w:p w:rsidR="00A90898" w:rsidRDefault="00A90898" w:rsidP="00A90898">
      <w:pPr>
        <w:pStyle w:val="TextoNormal"/>
      </w:pPr>
    </w:p>
    <w:p w:rsidR="00A90898" w:rsidRDefault="00A90898" w:rsidP="00A90898">
      <w:pPr>
        <w:pStyle w:val="TextoNormal"/>
      </w:pPr>
      <w:r>
        <w:t>Las dudas que plantea el testimonio de referencia desde el art. 24.2 CE por su oposición a las garantías de inmediación y contradicción entroncan en el procedimiento administrativo sancionador, que es un procedimiento escrito y con una inmediación atenuada ante el instructor, con la exigencia de que los testimonios se presten ante dicho instructor (art. 81 LPC) y, de forma refleja, con que la admisibilidad probatoria de las denuncias-testimonios documentados emitidos por funcionarios se extienda sólo a lo percibido directamente y no a lo que un tercero dijo. La inmediación podrá suplirse por la fiabilidad del autor de la testifical documentada, dada su condición garantizadora de imparcialidad y objetividad, asegurándose así un mínimo de inmediación en el momento de “practicarse la prueba” (acta o parte) en el procedimiento sancionador. Pero la fiabilidad de que ha ocurrido un determinado hecho se pierde cuando aumenta la cadena de inferencias que llevan a él.</w:t>
      </w:r>
    </w:p>
    <w:p w:rsidR="00A90898" w:rsidRDefault="00A90898" w:rsidP="00A90898">
      <w:pPr>
        <w:pStyle w:val="TextoNormal"/>
      </w:pPr>
    </w:p>
    <w:p w:rsidR="00A90898" w:rsidRDefault="00A90898" w:rsidP="00A90898">
      <w:pPr>
        <w:pStyle w:val="TextoNormal"/>
      </w:pPr>
      <w:r>
        <w:t>Del mismo modo que en el ámbito penal, sólo si resulta imposible o muy dificultoso el acceso del testigo directo (aunque su declaración se vierta por escrito en un parte), resulta admisible recurrir al testigo de referencia (que en el ámbito administrativo sancionador podría acceder asimismo por vía de su declaración documentada). Sin embargo, no resulta admisible en situaciones como la presente, donde la pertenencia a la Administración penitenciaria de los funcionarios que directamente observaron los hechos y el fácil recurso a la ordenación de los servicios, amén de la adicional identificación por la funcionaria firmante del parte, hacían fácilmente posible tanto la identificación como la declaración de los funcionarios que presenciaron directamente el comportamiento que se denuncia como sancionable. Sostener la sanción en un parte que ni siquiera refleja lo presenciado por quien lo suscribe, sino lo manifestado por otros funcionarios no traídos al procedimiento impide hablar de un elemento probatorio que merezca tal nombre desde las exigencias del art. 24.2 CE. Ese déficit resulta especialmente reprobable cuando, como es el caso, el parte pudo haber sido suscrito sin dificultad alguna por los funcionarios testigos directos de los hechos o ser ratificado mediante su expresa declaración en el procedimiento sancionador, pues, sin duda, eran de fácil identificación y localización sin que su comparecencia parezca disfuncional o desaconsejada en sentido alguno.</w:t>
      </w:r>
    </w:p>
    <w:p w:rsidR="00A90898" w:rsidRDefault="00A90898" w:rsidP="00A90898">
      <w:pPr>
        <w:pStyle w:val="TextoNormal"/>
      </w:pPr>
    </w:p>
    <w:p w:rsidR="00A90898" w:rsidRDefault="00A90898" w:rsidP="00A90898">
      <w:pPr>
        <w:pStyle w:val="TextoNormal"/>
      </w:pPr>
      <w:r>
        <w:t>Cabe concluir que el parte era un parte de referencia, que se aleja no sólo de los requisitos legales y constitucionales para conferir valor probatorio a las denuncias administrativas de infracción, sino que tampoco es sostenible desde el principio de libre valoración de la prueba, pues los problemas de inmediación o contradicción de la prueba, amén de su credibilidad, no pueden obviarse en atención a las circunstancias del caso, por lo que no concurren las condiciones de validez del parte dirigidas a asegurar la aptitud de la prueba para su fin de enervar la presunción de inocencia, de modo que el órgano sancionador no debió tomarlo en consideración con tal carácter.</w:t>
      </w:r>
    </w:p>
    <w:p w:rsidR="00A90898" w:rsidRDefault="00A90898" w:rsidP="00A90898">
      <w:pPr>
        <w:pStyle w:val="TextoNormal"/>
      </w:pPr>
    </w:p>
    <w:p w:rsidR="00A90898" w:rsidRDefault="00A90898" w:rsidP="00A90898">
      <w:pPr>
        <w:pStyle w:val="TextoNormal"/>
      </w:pPr>
      <w:r>
        <w:t xml:space="preserve">b) Al respecto ha de ponerse de manifiesto un segundo déficit. Ya hemos señalado que la atribución de valor probatorio a las declaraciones del funcionario reflejadas documentalmente puede verse como la aceptación —excepcional en nuestro sistema procesal, pero defendible en el ámbito administrativo— de los testimonios o de las declaraciones escritas. Lo significativo ahora no es si dicha declaración puede tener o no valor probatorio —lo cual se halla fuera de discusión—, sino (i) si la parte perjudicada por dicha declaración tuvo acceso </w:t>
      </w:r>
      <w:r>
        <w:lastRenderedPageBreak/>
        <w:t>a ese material probatorio para tener la posibilidad de atacarlo, en su caso, en ejercicio de su derecho de defensa y (ii) si efectivamente pretendió en tiempo y forma someterla a contradicción y propuso la práctica de pruebas aptas, al menos en principio, para desvirtuar la fuerza de convicción que pudiera desprenderse de las declaraciones de la funcionaria.</w:t>
      </w:r>
    </w:p>
    <w:p w:rsidR="00A90898" w:rsidRDefault="00A90898" w:rsidP="00A90898">
      <w:pPr>
        <w:pStyle w:val="TextoNormal"/>
      </w:pPr>
    </w:p>
    <w:p w:rsidR="00A90898" w:rsidRDefault="00A90898" w:rsidP="00A90898">
      <w:pPr>
        <w:pStyle w:val="TextoNormal"/>
      </w:pPr>
      <w:r>
        <w:t>Al recurrente, como se expuso con amplitud en los antecedentes, le fue notificado el pliego de cargos, donde se atribuía a la funcionaria de cámaras la observación de los hechos sancionables, pero no se le facilitó el parte informativo suscrito por ésta, con un contenido diverso al que constaba en el pliego de cargos sobre quién vio lo hechos, aunque se solicitó por el interno copia de todas las actuaciones en el pliego de descargo al tiempo que negaba los hechos e, incluso específicamente, la posibilidad de que la funcionaria signataria del parte hubiera podido observar lo referido en él por ausencia de visibilidad. Por tanto, el expedientado ahora demandante de amparo no tuvo acceso al material probatorio de cargo, de modo que no pudo discutir su virtualidad acreditativa como cumple el respeto al derecho de defensa y es condición de validez de la prueba. Buena prueba de la distorsión que esa falta de acceso al parte informativo (de contenido discrepante a lo reflejado en el pliego de cargos) tuvo en su defensa viene dada por sus alegaciones sobre la imposibilidad de que el funcionario de cámaras hubiera podido verle haciendo uso de la cabina, solicitando su declaración al respecto y no, como es lógico dada su ignorancia, la de los funcionarios de patio que informaron al respecto. En otras palabras, el aspecto sustancial del parte de quién afirma haber observado al recurrente llamar por teléfono permanece oculto y, por ello, inmune a cualquier intento de desvirtuarlo, lo que resulta intolerable cuando esa es la prueba de la autoría de las llamadas que sostiene la imposición de la sanción al demandante.</w:t>
      </w:r>
    </w:p>
    <w:p w:rsidR="00A90898" w:rsidRDefault="00A90898" w:rsidP="00A90898">
      <w:pPr>
        <w:pStyle w:val="TextoNormal"/>
      </w:pPr>
    </w:p>
    <w:p w:rsidR="00A90898" w:rsidRDefault="00A90898" w:rsidP="00A90898">
      <w:pPr>
        <w:pStyle w:val="TextoNormal"/>
      </w:pPr>
      <w:r>
        <w:t xml:space="preserve">Pero es que, además, el recurrente intentó reiterada y </w:t>
      </w:r>
      <w:r w:rsidRPr="00A90898">
        <w:rPr>
          <w:i/>
        </w:rPr>
        <w:t>ex ante</w:t>
      </w:r>
      <w:r>
        <w:t xml:space="preserve"> idóneamente atacar la prueba que sí se le pone de manifiesto (que la funcionaria de cámaras vio que realizaba llamadas en una cabina a una concreta hora) así como impugnar los hechos que finalmente se le atribuyen y constituirían las infracciones disciplinarias —telefonear haciéndose pasar por otros internos—. Sin embargo, en ninguna instancia y, a pesar de esa insistencia en la petición de que se practiquen diligencias adicionales, se le da respuesta a la petición. Esa negativa indebida a una prueba pertinente blinda de hecho el parte de referencia como prueba incontrovertible, que se ha trasladado de forma errónea, además, al pliego de cargos y a la resolución sancionadora, vulnerando el derecho a someter a contradicción las pruebas de cargo, como exige el art. 24.2 CE y el art. 6.3 d) del Convenio europeo para la protección de los derechos humanos y de las libertades fundamentales, cuando se refiere al derecho a confrontar a los testigos.</w:t>
      </w:r>
    </w:p>
    <w:p w:rsidR="00A90898" w:rsidRDefault="00A90898" w:rsidP="00A90898">
      <w:pPr>
        <w:pStyle w:val="TextoNormal"/>
      </w:pPr>
    </w:p>
    <w:p w:rsidR="00A90898" w:rsidRDefault="00A90898" w:rsidP="00A90898">
      <w:pPr>
        <w:pStyle w:val="TextoNormal"/>
      </w:pPr>
      <w:r w:rsidRPr="00A90898">
        <w:rPr>
          <w:rStyle w:val="NumeroAFNegritaCaracter"/>
        </w:rPr>
        <w:t>7</w:t>
      </w:r>
      <w:r>
        <w:t>. Las supuestas llamadas telefónicas indebidas determinantes de la sanción (i) se observaron por funcionarios identificables que fácilmente podrían haber declarado en el marco del procedimiento sancionador, por lo que no es de recibo prescindir de ellas para atender sólo al testimonio de referencia del funcionario informante; (ii) sin que, además, fuera conocido por el interesado el dato de que el funcionario signatario del parte no era quien había presenciado los hechos allí narrados, de modo que no pudo oponer una defensa acorde con la prueba que a la postre fue decisiva; (iii) en un procedimiento que, por esa causa y por la omisa consideración a todas las pruebas (de descargo) propuestas por el interno, ha impedido toda oportunidad de contradicción respecto a esa actuación previa que no alcanza a ser un auténtico parte, deviniendo en una prueba inatacable y determinante de forma contraria al art. 24.2 CE.</w:t>
      </w:r>
    </w:p>
    <w:p w:rsidR="00A90898" w:rsidRDefault="00A90898" w:rsidP="00A90898">
      <w:pPr>
        <w:pStyle w:val="TextoNormal"/>
      </w:pPr>
    </w:p>
    <w:p w:rsidR="00A90898" w:rsidRDefault="00A90898" w:rsidP="00A90898">
      <w:pPr>
        <w:pStyle w:val="TextoNormal"/>
      </w:pPr>
      <w:r>
        <w:t>Estas circunstancias conducen a afirmar que se ha producido una vulneración del derecho a la presunción de inocencia del art. 24.2 CE al valorarse como elemento probatorio de cargo decisivo la declaración escrita de un funcionario que conoce los hechos por referencia sin haberse identificado, citado y oído a los testigos directos de los hechos cuando así pudo hacerse, y sin que, en general, las afirmaciones del parte hayan podido ser objeto de contradicción. De manera que se ha ignorado, por un lado, la jurisprudencia constitucional sobre la admisibilidad de las constataciones documentales por funcionario como prueba (de cargo) y, singularmente, la del parte del funcionario de prisiones como prueba suficiente para desvirtuar, en su caso, la presunción de inocencia, y, por otro lado, la doctrina constitucional sobre la admisibilidad del testimonio de referencia.</w:t>
      </w:r>
    </w:p>
    <w:p w:rsidR="00A90898" w:rsidRDefault="00A90898" w:rsidP="00A90898">
      <w:pPr>
        <w:pStyle w:val="TextoNormal"/>
      </w:pPr>
    </w:p>
    <w:p w:rsidR="00A90898" w:rsidRDefault="00A90898" w:rsidP="00A90898">
      <w:pPr>
        <w:pStyle w:val="TextoNormal"/>
      </w:pPr>
      <w:r>
        <w:t>El acuerdo de la comisión disciplinaria del centro penitenciario de Madrid IV (Navalcarnero) de 26 de junio de 2013 vulneró, por tanto, el derecho fundamental a la presunción de inocencia, sin que los Autos del Juzgado de Vigilancia Penitenciaria núm. 4 de Madrid de 29 de agosto y 7 de octubre de 2013 repararan el derecho fundamental concernido. La estimación del recurso de amparo conduce a la anulación de la sanción, declarando la nulidad de la resolución administrativa sancionadora y de los Autos que la confirmaron.</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don José Manuel Mosquera Castela y, en su virtud:</w:t>
      </w:r>
    </w:p>
    <w:p w:rsidR="00A90898" w:rsidRDefault="00A90898" w:rsidP="00A90898">
      <w:pPr>
        <w:pStyle w:val="TextoNormal"/>
      </w:pPr>
    </w:p>
    <w:p w:rsidR="00A90898" w:rsidRDefault="00A90898" w:rsidP="00A90898">
      <w:pPr>
        <w:pStyle w:val="TextoNormal"/>
      </w:pPr>
      <w:r>
        <w:t>1º Declarar que ha sido vulnerado su derecho fundamental a la presunción de inocencia (art. 24.2 CE).</w:t>
      </w:r>
    </w:p>
    <w:p w:rsidR="00A90898" w:rsidRDefault="00A90898" w:rsidP="00A90898">
      <w:pPr>
        <w:pStyle w:val="TextoNormal"/>
      </w:pPr>
    </w:p>
    <w:p w:rsidR="00A90898" w:rsidRDefault="00A90898" w:rsidP="00A90898">
      <w:pPr>
        <w:pStyle w:val="TextoNormal"/>
      </w:pPr>
      <w:r>
        <w:t>2º Restablecerle en su derecho y, en consecuencia, declarar la nulidad del acuerdo de la comisión disciplinaria del centro penitenciario de Madrid IV (Navalcarnero) de 26 de junio de 2013, recaído en el expediente disciplinario núm. 486-2013, así como de los Autos del Juzgado de Vigilancia Penitenciaria núm. 4 de Madrid de 29 de agosto y 7 de octubre de 2013 (asuntos núms. 3579-2013 y 4523-2013), que confirmaron en alzada y en reforma, respectivamente, el citado acuerdo.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1" w:name="SENTENCIA_2016_162"/>
      <w:r>
        <w:lastRenderedPageBreak/>
        <w:t>SENTENCIA 162/2016, de 3 de octubre de 2016</w:t>
      </w:r>
    </w:p>
    <w:bookmarkEnd w:id="41"/>
    <w:p w:rsidR="00A90898" w:rsidRDefault="00A90898" w:rsidP="00A90898">
      <w:pPr>
        <w:pStyle w:val="TtuloResolucin"/>
      </w:pPr>
      <w:r>
        <w:t>Sala Primera</w:t>
      </w:r>
    </w:p>
    <w:p w:rsidR="00A90898" w:rsidRDefault="00A90898" w:rsidP="00A90898">
      <w:pPr>
        <w:pStyle w:val="TtuloBOE"/>
      </w:pPr>
      <w:r>
        <w:t>(BOE núm. 276, de 15 de noviembre de 2016)</w:t>
      </w:r>
    </w:p>
    <w:p w:rsidR="00A90898" w:rsidRDefault="00A90898" w:rsidP="00A90898">
      <w:pPr>
        <w:pStyle w:val="TextoNormalCentrado"/>
      </w:pPr>
      <w:r>
        <w:t>ECLI:ES:TC:2016:162</w:t>
      </w:r>
    </w:p>
    <w:p w:rsidR="00A90898" w:rsidRDefault="00A90898" w:rsidP="00A90898">
      <w:pPr>
        <w:pStyle w:val="TextoNormalCentrado"/>
      </w:pPr>
    </w:p>
    <w:p w:rsidR="00A90898" w:rsidRDefault="00A90898" w:rsidP="00A90898">
      <w:pPr>
        <w:pStyle w:val="SntesisDescriptiva"/>
      </w:pPr>
      <w:r>
        <w:t>Recurso de amparo 5281-2014. Promovido por doña Tania María Chico Fernández respecto de la Sentencia de la Sala lo Contencioso-Administrativo del Tribunal Superior de Justicia del País Vasco que desestimó su impugnación de resolución del Ministerio de Justicia sobre derechos retributivos.</w:t>
      </w:r>
    </w:p>
    <w:p w:rsidR="00A90898" w:rsidRDefault="00A90898" w:rsidP="00A90898">
      <w:pPr>
        <w:pStyle w:val="SntesisDescriptiva"/>
      </w:pPr>
    </w:p>
    <w:p w:rsidR="00A90898" w:rsidRDefault="00A90898" w:rsidP="00A90898">
      <w:pPr>
        <w:pStyle w:val="SntesisAnaltica"/>
      </w:pPr>
      <w:r>
        <w:t>Vulneración del derecho a no padecer discriminación por razón de sexo: resoluciones administrativas y judiciales que niegan derechos económicos y profesionales inherentes al nombramiento como Magistrada a quien no pudo tomar posesión de la plaza al disponer de licencia por riesgo de embarazo (STC 66/2014).</w:t>
      </w:r>
    </w:p>
    <w:p w:rsidR="00A90898" w:rsidRDefault="00A90898" w:rsidP="00A90898">
      <w:pPr>
        <w:pStyle w:val="SntesisAnaltica"/>
      </w:pPr>
    </w:p>
    <w:p w:rsidR="00A90898" w:rsidRDefault="00A90898" w:rsidP="00A90898">
      <w:pPr>
        <w:pStyle w:val="Extracto"/>
      </w:pPr>
      <w:r>
        <w:t>1.</w:t>
      </w:r>
      <w:r>
        <w:tab/>
        <w:t>En casos en los que la mujer que tiene condición de empleada pública obtiene un determinado destino durante las licencias ligadas a su maternidad o a un eventual embarazo de riesgo, para que no quede vulnerado su derecho a no ser discriminada por razón de sexo (art. 14 CE), debe entenderse que el momento en el que deben considerarse adquiridos los derechos económicos y profesionales inherentes al nombramiento, debe ser desde la fecha en la que la mujer hubiera podido tomar posesión de no haber mediado dicho tipo de permiso o licencia [FJ 7].</w:t>
      </w:r>
    </w:p>
    <w:p w:rsidR="00A90898" w:rsidRDefault="00A90898" w:rsidP="00A90898">
      <w:pPr>
        <w:pStyle w:val="Extracto"/>
      </w:pPr>
    </w:p>
    <w:p w:rsidR="00A90898" w:rsidRDefault="00A90898" w:rsidP="00A90898">
      <w:pPr>
        <w:pStyle w:val="Extracto"/>
      </w:pPr>
      <w:r>
        <w:t>2.</w:t>
      </w:r>
      <w:r>
        <w:tab/>
        <w:t>En lo demás, asunto sustancialmente idéntico al resuelto por la STC 66/2014, sobre reconocimiento de derechos económicos y profesionales durante la licencia de maternidad y asimilada, en relación, además, a un amplio colectivo de mujeres funcionarias, como es el de Juezas y Magistradas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5281-2014, promovido por doña Tania María Chico Fernández, representada por el Procurador de los Tribunales don Santiago Tesorero Díaz y asistida por el Abogado don Luis Flecha López, contra la resolución de la Dirección General de Relaciones con la Administración de Justicia de 6 de junio de 2012, confirmada en alzada por la resolución de la gerencia territorial del Ministerio de Justicia del País Vasco de 23 de </w:t>
      </w:r>
      <w:r>
        <w:lastRenderedPageBreak/>
        <w:t>marzo de 2012 y contra la Sentencia de la Sala de lo Contencioso-Administrativo del Tribunal Superior de Justicia del País Vasco de 25 de marzo de 2014, que desestima el recurso ordinario núm. 811-2012 interpuesto contras la referidas resoluciones. Ha comparecido y formulado alegaciones el Abogado del Estado en la representación que ostenta. Ha intervenido el Ministerio Fiscal.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2 de septiembre de 2014, el Procurador de los Tribunales don Santiago Tesorero Díaz, Procurador de los Tribunales y de doña Tañía María Chico Fernández, interpuso recurso de amparo contra la Sentencia y las resoluciones administrativas, referidas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relevantes para resolver el recurso de amparo interpuesto, son los siguientes:</w:t>
      </w:r>
    </w:p>
    <w:p w:rsidR="00A90898" w:rsidRDefault="00A90898" w:rsidP="00A90898">
      <w:pPr>
        <w:pStyle w:val="TextoNormal"/>
      </w:pPr>
    </w:p>
    <w:p w:rsidR="00A90898" w:rsidRDefault="00A90898" w:rsidP="00A90898">
      <w:pPr>
        <w:pStyle w:val="TextoNormal"/>
      </w:pPr>
      <w:r>
        <w:t>a) La hoy demandante de amparo, en su condición de Magistrada titular, inició licencia por riesgo por embarazo el día 5 de julio de 2011, mientras se encontraba destinada en el Juzgado de Instrucción núm. 3 de Baracaldo. Dicha licencia se prorrogó hasta el día 24 de febrero de 2012, día en el que dio a luz, permaneciendo, posteriormente, en situación de licencia por maternidad, lactancia y vacaciones hasta el 25 de septiembre de 2012. En esta fecha se reincorporó a su actividad jurisdiccional.</w:t>
      </w:r>
    </w:p>
    <w:p w:rsidR="00A90898" w:rsidRDefault="00A90898" w:rsidP="00A90898">
      <w:pPr>
        <w:pStyle w:val="TextoNormal"/>
      </w:pPr>
    </w:p>
    <w:p w:rsidR="00A90898" w:rsidRDefault="00A90898" w:rsidP="00A90898">
      <w:pPr>
        <w:pStyle w:val="TextoNormal"/>
      </w:pPr>
      <w:r>
        <w:t>b) Durante el citado período de licencias, la demandante de amparo obtuvo dos plazas como Magistrada en la localidad de Bilbao. La primera, en el Juzgado de lo Contencioso-administrativo núm. 2 de Bilbao, para cubrir la ausencia del Magistrado titular de citado Juzgado, por acuerdo de la comisión de la Sala de Gobierno dictada el 4 de octubre de 2011, y posteriormente, en el Juzgado de Violencia sobre la Mujer núm. 1 de la misma localidad, en virtud de concurso resuelto por la Comisión Permanente del Consejo General del Poder Judicial, publicado en el “Boletín Oficial del Estado” de 9 de abril de 2012.</w:t>
      </w:r>
    </w:p>
    <w:p w:rsidR="00A90898" w:rsidRDefault="00A90898" w:rsidP="00A90898">
      <w:pPr>
        <w:pStyle w:val="TextoNormal"/>
      </w:pPr>
    </w:p>
    <w:p w:rsidR="00A90898" w:rsidRDefault="00A90898" w:rsidP="00A90898">
      <w:pPr>
        <w:pStyle w:val="TextoNormal"/>
      </w:pPr>
      <w:r>
        <w:t>c) Como consecuencia del primero de los nombramientos, la gerencia territorial del Ministerio de Justicia le acreditó en nómina el complemento de destino correspondiente al Juzgado de lo Contencioso-Administrativo núm. 2 de Bilbao. Sin embargo, por resolución de 23 de marzo de 2012, por el citado órgano se acordó dejar sin efecto el pago que le fue realizado a la demandante de amparo en concepto de complemento de destino de la localidad de Bilbao, al no haber tomado posesión del nuevo destino. Asimismo, se le comunicaba que se procedería a descontar en la nómina de abril, la diferencia en el complemento percibido en relación con el correspondiente al de su anterior destino. La resolución señalaba:</w:t>
      </w:r>
    </w:p>
    <w:p w:rsidR="00A90898" w:rsidRDefault="00A90898" w:rsidP="00A90898">
      <w:pPr>
        <w:pStyle w:val="TextoNormal"/>
      </w:pPr>
    </w:p>
    <w:p w:rsidR="00A90898" w:rsidRDefault="00A90898" w:rsidP="00A90898">
      <w:pPr>
        <w:pStyle w:val="TextoNormal"/>
      </w:pPr>
      <w:r>
        <w:t>“Con ocasión de la grabación en nómina de la licencia por riesgo durante el embarazo, con efectos del 5 de enero de 2012, que ha finalizado el pasado 24 de febrero, comunicadas por el CGPJ y el Tribunal Superior de Justicia respectivamente, se ha detectado un error en la aplicación de la nómina aino@.</w:t>
      </w:r>
    </w:p>
    <w:p w:rsidR="00A90898" w:rsidRDefault="00A90898" w:rsidP="00A90898">
      <w:pPr>
        <w:pStyle w:val="TextoNormal"/>
      </w:pPr>
    </w:p>
    <w:p w:rsidR="00A90898" w:rsidRDefault="00A90898" w:rsidP="00A90898">
      <w:pPr>
        <w:pStyle w:val="TextoNormal"/>
      </w:pPr>
      <w:r>
        <w:lastRenderedPageBreak/>
        <w:t>El Tribunal Superior de Justicia del País Vasco comunicó a esta Gerencia el acuerdo por el que, de conformidad con el art. 118.02 (sic) de la Ley Orgánica del Poder Judicial quedaba adscrita al Juzgado de lo Contencioso-Administrativo N° 2 de Bilbao.</w:t>
      </w:r>
    </w:p>
    <w:p w:rsidR="00A90898" w:rsidRDefault="00A90898" w:rsidP="00A90898">
      <w:pPr>
        <w:pStyle w:val="TextoNormal"/>
      </w:pPr>
    </w:p>
    <w:p w:rsidR="00A90898" w:rsidRDefault="00A90898" w:rsidP="00A90898">
      <w:pPr>
        <w:pStyle w:val="TextoNormal"/>
      </w:pPr>
      <w:r>
        <w:t>La toma de posesión en el mencionado destino no se ha materializado, por encontrarse en situación de licencia, por lo que se ha corregido el error y se procederá a descontar, en la nómina de abril, la diferencia en el complemento del destino abonado indebidamente.</w:t>
      </w:r>
    </w:p>
    <w:p w:rsidR="00A90898" w:rsidRDefault="00A90898" w:rsidP="00A90898">
      <w:pPr>
        <w:pStyle w:val="TextoNormal"/>
      </w:pPr>
    </w:p>
    <w:p w:rsidR="00A90898" w:rsidRDefault="00A90898" w:rsidP="00A90898">
      <w:pPr>
        <w:pStyle w:val="TextoNormal"/>
      </w:pPr>
      <w:r>
        <w:t>Le comunico que no ha sido posible contactar telefónicamente con usted, por lo que le adjuntamos copia de los recibos salariales solicitados, y le rogamos nos indique por escrito la dirección donde desea recibir las próximas nóminas. Adjuntamos así mismo, modelo 145 de Comunicación de datos al pagador a los efectos de la retención del IRPF.”</w:t>
      </w:r>
    </w:p>
    <w:p w:rsidR="00A90898" w:rsidRDefault="00A90898" w:rsidP="00A90898">
      <w:pPr>
        <w:pStyle w:val="TextoNormal"/>
      </w:pPr>
    </w:p>
    <w:p w:rsidR="00A90898" w:rsidRDefault="00A90898" w:rsidP="00A90898">
      <w:pPr>
        <w:pStyle w:val="TextoNormal"/>
      </w:pPr>
      <w:r>
        <w:t>d) La decisión de la gerencia territorial del Ministerio de Justicia fue impugnada en alzada, por considerar, entre otros motivos, que la resolución se mostraba discriminatoria dado que le ocasionaba un perjuicio derivado de su maternidad. A su juicio, la licencia por embarazo no puede afectar en modo alguno a los derechos económicos de quien la disfruta y tampoco puede justificar la asignación del complemento de destino de un puesto que ya no ocupa. Por ello, solicitaba que se dejara sin efecto el citado acuerdo y que sus nóminas fueran las que venía percibiendo con efectos de 1 de noviembre de 2011.</w:t>
      </w:r>
    </w:p>
    <w:p w:rsidR="00A90898" w:rsidRDefault="00A90898" w:rsidP="00A90898">
      <w:pPr>
        <w:pStyle w:val="TextoNormal"/>
      </w:pPr>
    </w:p>
    <w:p w:rsidR="00A90898" w:rsidRDefault="00A90898" w:rsidP="00A90898">
      <w:pPr>
        <w:pStyle w:val="TextoNormal"/>
      </w:pPr>
      <w:r>
        <w:t>e) El recurso de alzada fue desestimado por resolución de la Dirección General de Relaciones con la Administración de Justicia de 6 de junio de 2012. Se consideró que si bien la recurrente, al permanecer en situación de licencia por embarazo, no podía ni debía sufrir merma alguna en sus retribuciones, “tampoco tenía derecho a que se le retribuyera un destino que, fuera provisional o no, nunca llegó a desempeñar, tal y como expresamente se establece en el artículo 245 del Reglamento 2/2011, de la Carrera Judicial”.</w:t>
      </w:r>
    </w:p>
    <w:p w:rsidR="00A90898" w:rsidRDefault="00A90898" w:rsidP="00A90898">
      <w:pPr>
        <w:pStyle w:val="TextoNormal"/>
      </w:pPr>
    </w:p>
    <w:p w:rsidR="00A90898" w:rsidRDefault="00A90898" w:rsidP="00A90898">
      <w:pPr>
        <w:pStyle w:val="TextoNormal"/>
      </w:pPr>
      <w:r>
        <w:t>f) Contra la referida resolución se interpuso recurso contencioso-administrativo ante el Tribunal Superior de Justicia del País Vasco en el que solicitaba se anularán y dejarán sin efecto las resoluciones administrativas citadas y se reconociera el derecho de la recurrente a percibir las remuneraciones relativas al complemento de destino correspondiente al Juzgado Contencioso-Administrativo núm. 2 de Bilbao, reintegrándole las retribuciones económicas pertenecientes a ese puesto de trabajo, con efectos a partir de noviembre de 2011 y hasta el mes de agosto de 2012.</w:t>
      </w:r>
    </w:p>
    <w:p w:rsidR="00A90898" w:rsidRDefault="00A90898" w:rsidP="00A90898">
      <w:pPr>
        <w:pStyle w:val="TextoNormal"/>
      </w:pPr>
    </w:p>
    <w:p w:rsidR="00A90898" w:rsidRDefault="00A90898" w:rsidP="00A90898">
      <w:pPr>
        <w:pStyle w:val="TextoNormal"/>
      </w:pPr>
      <w:r>
        <w:t>g) El recurso fue desestimado por Sentencia núm. 222/2014, de la Sección Tercera de la Sala de lo Contencioso-Administrativo del Tribunal Superior de Justicia del País Vasco, de fecha de 25 de marzo de 2014.</w:t>
      </w:r>
    </w:p>
    <w:p w:rsidR="00A90898" w:rsidRDefault="00A90898" w:rsidP="00A90898">
      <w:pPr>
        <w:pStyle w:val="TextoNormal"/>
      </w:pPr>
    </w:p>
    <w:p w:rsidR="00A90898" w:rsidRDefault="00A90898" w:rsidP="00A90898">
      <w:pPr>
        <w:pStyle w:val="TextoNormal"/>
      </w:pPr>
      <w:r>
        <w:t xml:space="preserve">En relación con la queja de vulneración del art. 14 CE por discriminación por razón de sexo, esgrimida por la recurrente, el órgano judicial argumentó que: “no puede apreciarse discriminación alguna porque no se nos alega ni prueba la existencia de supuesto alguno de juez y/o magistrado/a que, pese a no haber tomado posesión, haya sido retribuido por el complemento de destino correspondiente a la prestación de servicios en el mismo”. Y añade: “Siendo así no podemos hacer comparación ni del trato retributivo ni entrar a considerar si </w:t>
      </w:r>
      <w:r>
        <w:lastRenderedPageBreak/>
        <w:t>las razones que la Administración sostiene encubren realmente la discriminación que la actora ... denuncia que sufre por razón de un supuesto tratamiento peyorativo de la situación de enfermedad por razón de embarazo de riesgo”.</w:t>
      </w:r>
    </w:p>
    <w:p w:rsidR="00A90898" w:rsidRDefault="00A90898" w:rsidP="00A90898">
      <w:pPr>
        <w:pStyle w:val="TextoNormal"/>
      </w:pPr>
    </w:p>
    <w:p w:rsidR="00A90898" w:rsidRDefault="00A90898" w:rsidP="00A90898">
      <w:pPr>
        <w:pStyle w:val="TextoNormal"/>
      </w:pPr>
      <w:r>
        <w:t>El órgano judicial se pronunció sobre el resto de las quejas aducidas en el recurso contencioso-administrativo. En concreto, y por lo que al presente recurso de amparo interesa, es decir, sobre la errónea interpretación por parte de la Administración del art. 246 (</w:t>
      </w:r>
      <w:r w:rsidRPr="00A90898">
        <w:rPr>
          <w:i/>
        </w:rPr>
        <w:t>sic</w:t>
      </w:r>
      <w:r>
        <w:t>) del Reglamento 2/2011, de 28 de abril, de la carrera judicial, concluyó que el citado precepto, que debería entenderse referido al art. 245, “en ningún modo impide la toma de posesión, ya que lo que lo impide es la circunstancia de la licencia o permiso, sino que se limita a fijar el término ‘a quo’ del plazo posesoria en tales supuestos”.</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de amparo se fundamenta en la vulneración del derecho a la igualdad del art. 14 CE y del art. 23.2 CE, así como del derecho a la tutela judicial efectiva (art. 24.1 CE).</w:t>
      </w:r>
    </w:p>
    <w:p w:rsidR="00A90898" w:rsidRDefault="00A90898" w:rsidP="00A90898">
      <w:pPr>
        <w:pStyle w:val="TextoNormal"/>
      </w:pPr>
    </w:p>
    <w:p w:rsidR="00A90898" w:rsidRDefault="00A90898" w:rsidP="00A90898">
      <w:pPr>
        <w:pStyle w:val="TextoNormal"/>
      </w:pPr>
      <w:r>
        <w:t>a) La recurrente denuncia que la decisión de la Gerencia Territorial del Ministerio de Justicia y las resoluciones que la confirman, al privarle del complemento de destino durante el período en que se encontró en situación de licencia por riesgo por embarazo, maternidad y lactancia, pese a haber obtenido dos destinos en la localidad de Bilbao, incurrió en discriminación por razón de sexo, y, en concreto, por maternidad. Aduce que sólo se le reconocieron efectos económicos a su nombramiento en esa ciudad, a partir de la fecha en que concluyeron dichas licencias, pudiendo tomar posesión de la única plaza de que disponía en aquel momento, en el Juzgado de Violencia sobre la Mujer núm. 1 de Bilbao, sin que hubiera podido llegar a tomar posesión de la anterior, en el Juzgado de lo Contencioso Administrativo núm. 2 de la misma localidad —con idéntico complemento de destino que la anterior—, al haberse producido su cese administrativo en ella al día siguiente de la publicación en el “Boletín Oficial del Estado” del concurso en el que se le adjudicó la plaza del Juzgado de Violencia sobre la Mujer núm. 1 de Bilbao, mientras se encontraba en situación de licencia por maternidad.</w:t>
      </w:r>
    </w:p>
    <w:p w:rsidR="00A90898" w:rsidRDefault="00A90898" w:rsidP="00A90898">
      <w:pPr>
        <w:pStyle w:val="TextoNormal"/>
      </w:pPr>
    </w:p>
    <w:p w:rsidR="00A90898" w:rsidRDefault="00A90898" w:rsidP="00A90898">
      <w:pPr>
        <w:pStyle w:val="TextoNormal"/>
      </w:pPr>
      <w:r>
        <w:t>A su juicio, vulnera el principio de no discriminación privar a la mujer afectada de los derechos económicos y profesionales inherentes a su nombramiento, cuando una deficiente regulación normativa vigente (arts. 173.2, 245, 353 y 355 del Reglamento de la carrera judicial) impide cumplir con el requisito de la toma de posesión mientras se encontraba en una situación de licencia de riesgo por embarazo y maternidad. Para la demandante de amparo, ello coloca a las madres ante tener que optar entre el disfrute de las licencias y permisos derivados de la protección de la maternidad y el reconocimiento de los derechos inherentes al nuevo destino que alcanza ese periodo. Y ello a pesar de las previsiones legales de protección de la maternidad reconocidos en la Ley Orgánica 3/2007, para la igualdad efectiva de mujeres y hombres. Advierte que los principios rectores del ordenamiento jurídico imponen a los poderes públicos promover no solo la igualdad formal, sino también la real y efectiva. En apoyo de su argumentación, se cita la jurisprudencia plasmada en las SSTC 95/2000, 182/2005, 92/2008 y 66/2014.</w:t>
      </w:r>
    </w:p>
    <w:p w:rsidR="00A90898" w:rsidRDefault="00A90898" w:rsidP="00A90898">
      <w:pPr>
        <w:pStyle w:val="TextoNormal"/>
      </w:pPr>
    </w:p>
    <w:p w:rsidR="00A90898" w:rsidRDefault="00A90898" w:rsidP="00A90898">
      <w:pPr>
        <w:pStyle w:val="TextoNormal"/>
      </w:pPr>
      <w:r>
        <w:t xml:space="preserve">Considera que la conclusión a la que se llegue sobre la necesidad o no de la toma de posesión en casos como el presente, trasciende al ámbito retributivo y coloca a la demandante de amparo en una situación de incertidumbre en relación con su carrera profesional. </w:t>
      </w:r>
      <w:r>
        <w:lastRenderedPageBreak/>
        <w:t>De seguirse el criterio establecido en las resoluciones impugnadas, perdería por completo los derechos económicos y profesionales derivados de su designación en el Juzgado de lo Contencioso-Administrativo núm. 2 de Bilbao y también los derechos, al menos retributivos, desde su nombramiento en el Juzgado de Violencia sobre la Mujer núm. 1 de Bilbao, el 9 de abril de 2012, hasta el 25 de septiembre de 2012. Por ello resulta necesario que, para su carrera profesional, se determine sin ambages su destino en el periodo expuesto, sin que resulte aceptable que haya carecido del mismo, como consecuencia de no haber podido tomar posesión en el Juzgado de lo Contencioso-Administrativo núm. 2 de Bilbao, tras haberse producido el cese en el Juzgado de Instrucción núm. 3 de Baracaldo.</w:t>
      </w:r>
    </w:p>
    <w:p w:rsidR="00A90898" w:rsidRDefault="00A90898" w:rsidP="00A90898">
      <w:pPr>
        <w:pStyle w:val="TextoNormal"/>
      </w:pPr>
    </w:p>
    <w:p w:rsidR="00A90898" w:rsidRDefault="00A90898" w:rsidP="00A90898">
      <w:pPr>
        <w:pStyle w:val="TextoNormal"/>
      </w:pPr>
      <w:r>
        <w:t>Por último, añade que cumplió en todo momento con la obligación de informar telefónicamente de la situación que le impedía la toma de posesión y cese, respectivamente, sin que se le solicitasen otras comunicaciones, en un principio, para dar efectividad a sus derechos, llegando, vista la situación creada, a documentar posteriormente ante el servicio de personal del Consejo General del Poder Judicial su voluntad posesoria.</w:t>
      </w:r>
    </w:p>
    <w:p w:rsidR="00A90898" w:rsidRDefault="00A90898" w:rsidP="00A90898">
      <w:pPr>
        <w:pStyle w:val="TextoNormal"/>
      </w:pPr>
    </w:p>
    <w:p w:rsidR="00A90898" w:rsidRDefault="00A90898" w:rsidP="00A90898">
      <w:pPr>
        <w:pStyle w:val="TextoNormal"/>
      </w:pPr>
      <w:r>
        <w:t>b) También se alega la vulneración del art. 24.1 CE, en la medida en que la Sentencia dictada por la Sala de lo Contencioso-Administrativo del Tribunal Superior de Justicia del País Vasco le causa indefensión al limitarse al análisis de la cuestión desde el punto de vista de la igualdad ante la ley, ignorando, por completo, la alegación de la discriminación formulada desde la perspectiva de la igualdad de sexo y de la maternidad. Señala que la aplicación del criterio de la resolución recurrida, resulta claramente desventajoso para la mujer, que, por su condición de tal, soporta, única, específica y exclusivamente, las consecuencias biológicas ligadas al embarazo, además de cualesquiera otras que puedan afectar a hombres y mujeres por igual. El embarazo de riesgo, sin ser una enfermedad, es una circunstancia que solo puede darse en la madre. Es esa situación desigual de partida la que debe verse amparada por medidas correctoras, que hagan compatible la eventual posibilidad y el derecho a ser madre, con la conservación y desarrollo de la carrera profesional, y con el consiguiente e inherente reconocimiento de todos los derechos económicos y profesionales que la misma lleva aparejada. Tratándose de una cuestión interpretativa, el órgano judicial optó, a su juicio, por la conclusión más lesiva para sus derechos, olvidando que, en estos supuestos, no se precisa aportar término de comparación.</w:t>
      </w:r>
    </w:p>
    <w:p w:rsidR="00A90898" w:rsidRDefault="00A90898" w:rsidP="00A90898">
      <w:pPr>
        <w:pStyle w:val="TextoNormal"/>
      </w:pPr>
    </w:p>
    <w:p w:rsidR="00A90898" w:rsidRDefault="00A90898" w:rsidP="00A90898">
      <w:pPr>
        <w:pStyle w:val="TextoNormal"/>
      </w:pPr>
      <w:r>
        <w:t xml:space="preserve">Además de lo dicho, estima que exigir que se acredite si otras personas pertenecientes a su carrera profesional perciben el complemento de destino, sin haber tomado posesión, supone atribuir a la demandante una prueba que no le es dable, puesto que afecta a la intimidad de otras personas e ignora la inversión de la carga de la prueba que establece el art. 13.1 de la Ley Orgánica 3/2007, para la igualdad efectiva de mujeres y hombres. Máxime, añade, cuando existen resoluciones judiciales supranacionales, vinculantes, que califican esa situación como discriminatoria (al respecto cita la STJUE de 16 de febrero de 2006, asunto </w:t>
      </w:r>
      <w:r w:rsidRPr="00A90898">
        <w:rPr>
          <w:i/>
        </w:rPr>
        <w:t>Sarkatzis Herrero</w:t>
      </w:r>
      <w:r>
        <w:t>). Además, denuncia que se está constatando una desigualdad de trato en todo el territorio español al tratarse de una cuestión resuelta de forma diferente en cada proceso selectivo; lo que, a su juicio, permitiría entender acreditada la lesión del principio de igualdad en relación a la aplicación administrativa de la ley.</w:t>
      </w:r>
    </w:p>
    <w:p w:rsidR="00A90898" w:rsidRDefault="00A90898" w:rsidP="00A90898">
      <w:pPr>
        <w:pStyle w:val="TextoNormal"/>
      </w:pPr>
    </w:p>
    <w:p w:rsidR="00A90898" w:rsidRDefault="00A90898" w:rsidP="00A90898">
      <w:pPr>
        <w:pStyle w:val="TextoNormal"/>
      </w:pPr>
      <w:r>
        <w:t xml:space="preserve">c) La demandante finaliza su argumentación solicitando que se otorgue el amparo solicitado, se declaren inconstitucionales y nulas las resoluciones administrativas y la Sentencia impugnada, ésta última en la medida que confirmó las anteriores, y se reconozca el derecho </w:t>
      </w:r>
      <w:r>
        <w:lastRenderedPageBreak/>
        <w:t>de la impugnante a percibir el complemento de destino del que fue indebidamente privada, con efectos el día 1 de noviembre de 2011.</w:t>
      </w:r>
    </w:p>
    <w:p w:rsidR="00A90898" w:rsidRDefault="00A90898" w:rsidP="00A90898">
      <w:pPr>
        <w:pStyle w:val="TextoNormal"/>
      </w:pPr>
    </w:p>
    <w:p w:rsidR="00A90898" w:rsidRDefault="00A90898" w:rsidP="00A90898">
      <w:pPr>
        <w:pStyle w:val="TextoNormal"/>
      </w:pPr>
      <w:r>
        <w:t>d) Por último, la demanda de amparo dedica un epígrafe específico para justificar la especial trascendencia del recurso de amparo formulado. En primer lugar, se invoca como motivo de especial trascendencia constitucional la necesidad de unificar el disperso y desigual panorama normativo y jurisprudencial que existe al respecto. Considera, igualmente, que la decisión que se adopte trasciende la situación personal de la recurrente y merece, por ello, una respuesta común y definitiva del Tribunal Constitucional, dado que el supuesto de hecho que plantea no coincide íntegramente, aunque presente aspectos semejantes, con el abordado en la STC 66/2014, de 5 de mayo. Se sostiene, además, que el criterio fijado en la STC 66/2014, de 5 de mayo no se sigue en la Sentencia impugnada, por haberse dictado con posterioridad, impidiendo beneficiarse de la aplicación de su doctrina; por lo que considera que no resulta unánimemente aplicada por los órganos jurisdiccionales.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18 de enero de 2016, la Sala Primera de este Tribunal admitió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 Por ello, a tenor de lo dispuesto en el art. 51 LOTC, ordenó requerir atentamente al Tribunal Superior de Justicia del País Vasco a fin de que, en el plazo de diez días, remitiera certificación o fotocopia adverada de las actuaciones correspondientes al procedimiento núm. 811-2012, interesándose al mismo tiempo, y al ser el Abogado del Estado, en representación de la Administración, parte interesada, la notificación de esta resolución, sirviendo de emplazamiento, para que en el pazo de diez días pueda comparecer, si lo estima pertinente, en el presente proceso constitucional, con traslado de copia de la demanda presentada.</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en este Tribunal el día el 29 de enero de 2016, el Abogado del Estado, compareció en la representación que ostenta, solicitando se le tuviera por personado y parte en el presente recurso de amparo, entendiendo con él todos los posteriores trámites del procedimiento.</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diligencia de ordenación del Secretario de Justicia de la Sala Primera de 10 de febrero de 2015, se tuvieron por recibidos los testimonios de las actuaciones remitidos por la Sala de lo Contencioso-Administrativo del Tribunal Superior de Justicia del País Vasco y el escrito del Abogado del Estado, a quien se tiene por personado y parte, en nombre y representación de la Administración pública. Asimismo se procedió, conforme a lo establecido en el art. 52.1 LOTC, a dar vista de las actuaciones, por plazo común de 20 días, al Ministerio Fiscal y las partes personadas, para presentar las alegaciones que a su derecho conviniese.</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registrado en este Tribunal el 3 de marzo de 2016, la representación procesal de doña Tania María Chico Fernández, formuló alegaciones dando por reproducidas las ya expuestas en su escrito de demanda.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La Abogada del Estado dio cumplimiento al trámite de alegaciones conferido mediante escrito presentado en este Tribunal el 10 de marzo de 2016, en el que se solicita la desestimación total del recurso de amparo.</w:t>
      </w:r>
    </w:p>
    <w:p w:rsidR="00A90898" w:rsidRDefault="00A90898" w:rsidP="00A90898">
      <w:pPr>
        <w:pStyle w:val="TextoNormal"/>
      </w:pPr>
    </w:p>
    <w:p w:rsidR="00A90898" w:rsidRDefault="00A90898" w:rsidP="00A90898">
      <w:pPr>
        <w:pStyle w:val="TextoNormal"/>
      </w:pPr>
      <w:r>
        <w:t>Comienza su argumentación con la advertencia de que la cuestión a dilucidar en el presente recurso es, por un lado, si la actuación de la Gerencia del Ministerio de Justicia que exige la toma de posesión en destino para poder cobrar dicho complemento, puede causar discriminación por razón de sexo vinculada a la situación de embarazo y maternidad de la mujer. Y, por otro, si la Sentencia impugnada le ha producido indefensión con infracción del art. 24.1 CE. Advierte al respecto que no resulta pertinente pronunciarse acerca de si los requisitos y el procedimiento establecido para la toma de posesión en un destino de la carrera judicial son o no conformes a Derecho, puesto que esto es un tema de legalidad ordinaria que ya fue resuelto por la Sentencia impugnada, ajeno a la jurisdicción constitucional, que sí debe analizar si dichos requisitos y procedimiento vulneran los arts. 14 y 23.2 CE. En concreto, en el análisis del art. 14 CE, dado que las causas de discriminación alegadas se fundan en la discriminación por razón de sexo.</w:t>
      </w:r>
    </w:p>
    <w:p w:rsidR="00A90898" w:rsidRDefault="00A90898" w:rsidP="00A90898">
      <w:pPr>
        <w:pStyle w:val="TextoNormal"/>
      </w:pPr>
    </w:p>
    <w:p w:rsidR="00A90898" w:rsidRDefault="00A90898" w:rsidP="00A90898">
      <w:pPr>
        <w:pStyle w:val="TextoNormal"/>
      </w:pPr>
      <w:r>
        <w:t>a) La Abogada del Estado considera que no se ha producido la alegada discriminación por razón de sexo, ya que los perjuicios económicos, únicos existentes, derivados de la no toma de posesión del nuevo destino, del cual solicita el complemento hasta el término de sus licencias (embarazo, maternidad, lactancia y vacaciones), no vienen vinculados a su condición de mujer. Estima que no existe diferencia de trato entre hombres y mujeres para la toma de posesión de los miembros de la carrera judicial, y tampoco, para devengar los complementos económicos que a ellos correspondan. Los requisitos para la toma de posesión en un destino para cualquier miembro de la carrera judicial, sea hombre o mujer, son los mismos, encontrándose regulados con carácter igualitario en los arts. 319 de la Ley Orgánica del Poder Judicial (LOPJ) y 173 del Reglamento de la carrera judicial. De no tomarse posesión del destino, no se cobra dicho complemento sea cual sea esta licencia (tanto riesgo por embarazo, como enfermedad, vacaciones, matrimonio...), y por tanto, independientemente de su sexo. A su juicio, no se ha acreditado que su embarazo o maternidad le produzca una discriminación por razón de sexo, ya que el art. 245 del citado Reglamento establece la misma regla para todas las licencias o permisos, precepto que ha sido el aplicado sin ningún indicio de discriminación. En este sentido, hace referencia a lo dispuesto en el art. 58 de la Ley Orgánica 3/2007 de 22 de marzo, para la igualdad efectiva de mujeres y hombres, cuando regula la licencia por riesgo durante el embarazo y lactancia.</w:t>
      </w:r>
    </w:p>
    <w:p w:rsidR="00A90898" w:rsidRDefault="00A90898" w:rsidP="00A90898">
      <w:pPr>
        <w:pStyle w:val="TextoNormal"/>
      </w:pPr>
    </w:p>
    <w:p w:rsidR="00A90898" w:rsidRDefault="00A90898" w:rsidP="00A90898">
      <w:pPr>
        <w:pStyle w:val="TextoNormal"/>
      </w:pPr>
      <w:r>
        <w:t>Dicho esto, advierte que es cierto y evidente que, como señala la actora, las licencias por riesgo por embarazo, maternidad y lactancia, van unidas al colectivo de mujeres y solo a ellas. Destaca, por ello, en relación a la situación de embarazo y protección de la mujer trabajadora la STC 66/2014 de 5 mayo, FJ 2, pero señalando que, a diferencia de lo dispuesto en ella, en este caso no hay “conexión directa e inequívoca” entre el embarazo o maternidad y la no percepción del complemento de destino, ya que hubiera sido la situación la misma en cualquier tipo de licencia (no solo en las de embarazo, maternidad o lactancia). A su juicio, no supone ni dificultad para la funcionaria para incorporarse al trabajo o permanecer en él, ni una desventaja respecto a sus compañeros varones.</w:t>
      </w:r>
    </w:p>
    <w:p w:rsidR="00A90898" w:rsidRDefault="00A90898" w:rsidP="00A90898">
      <w:pPr>
        <w:pStyle w:val="TextoNormal"/>
      </w:pPr>
    </w:p>
    <w:p w:rsidR="00A90898" w:rsidRDefault="00A90898" w:rsidP="00A90898">
      <w:pPr>
        <w:pStyle w:val="TextoNormal"/>
      </w:pPr>
      <w:r>
        <w:t xml:space="preserve">En la demanda de amparo también se hace referencia a las SSTC 182/2005, 74/2008 y 92/2008, para indicar que en ellas no se no se analizan las cuestiones relativas al acceso a la </w:t>
      </w:r>
      <w:r>
        <w:lastRenderedPageBreak/>
        <w:t>función pública y a los derechos derivados de tal condición, siendo el contexto en que se dictan muy distinto al relativo a las funcionarias públicas. Considera igualmente necesario citar la STC 173/2013, FJ 6, que desestimó el amparo por considerar que no existe discriminación por razón de sexo de una trabajadora embarazada cuyo contrato se extinguió después del periodo de prueba. Alude, asimismo, a la STJUE de 16 de febrero de 2006, que declaró que la Directiva comunitaria 76/207/CEE se opone a una normativa nacional que no reconozca a una trabajadora que se encuentre en permiso de maternidad, en relación a las condiciones de acceso a la función pública y a derechos reconocidos a otros aspirantes aprobados en el mismo procedimiento de selección, habiendo también una comparación entre unos y otros que produce la discriminación por razón de sexo.</w:t>
      </w:r>
    </w:p>
    <w:p w:rsidR="00A90898" w:rsidRDefault="00A90898" w:rsidP="00A90898">
      <w:pPr>
        <w:pStyle w:val="TextoNormal"/>
      </w:pPr>
    </w:p>
    <w:p w:rsidR="00A90898" w:rsidRDefault="00A90898" w:rsidP="00A90898">
      <w:pPr>
        <w:pStyle w:val="TextoNormal"/>
      </w:pPr>
      <w:r>
        <w:t>b) La representante del Estado estima que tampoco se ha producido una vulneración del art. 24.1 CE por parte del órgano judicial al exigir la Sentencia impugnada que se alegue o se pruebe la existencia de algún supuesto de Juez y/o Magistrado varón que, pese a no haber tomado posesión, haya sido retribuido por el complemento de destino correspondiente a la prestación de servicios en el mismo.</w:t>
      </w:r>
    </w:p>
    <w:p w:rsidR="00A90898" w:rsidRDefault="00A90898" w:rsidP="00A90898">
      <w:pPr>
        <w:pStyle w:val="TextoNormal"/>
      </w:pPr>
    </w:p>
    <w:p w:rsidR="00A90898" w:rsidRDefault="00A90898" w:rsidP="00A90898">
      <w:pPr>
        <w:pStyle w:val="TextoNormal"/>
      </w:pPr>
      <w:r>
        <w:t xml:space="preserve">Tras reproducir el texto de los arts. 6 y 19 de Ley Orgánica 3/2007, de 22 de marzo, para la igualdad efectiva de mujeres y hombres, señala que las normas allí contenidas sobre la inversión de la carga de la prueba tienen su origen en la doctrina del TJCE y en lo dispuesto en el Convenio 183 OIT que vienen a institucionalizar la aplicación del llamado test </w:t>
      </w:r>
      <w:r w:rsidRPr="00A90898">
        <w:rPr>
          <w:i/>
        </w:rPr>
        <w:t>but for</w:t>
      </w:r>
      <w:r>
        <w:t xml:space="preserve">, o de la sustitución, que el citado Tribunal había venido aplicando para detectar la existencia de discriminación directa o indirecta (Sentencias de 8 de noviembre de 1990, caso </w:t>
      </w:r>
      <w:r w:rsidRPr="00A90898">
        <w:rPr>
          <w:i/>
        </w:rPr>
        <w:t>Dekker</w:t>
      </w:r>
      <w:r>
        <w:t xml:space="preserve">, y la 3 de febrero de 2000, caso </w:t>
      </w:r>
      <w:r w:rsidRPr="00A90898">
        <w:rPr>
          <w:i/>
        </w:rPr>
        <w:t>Mahlburg</w:t>
      </w:r>
      <w:r>
        <w:t>); señala que dicho test ha sido empleado también por el Tribunal Supremo (SSTS 23 de abril de 2009 y 18 de julio de 2011). Afirma que en el caso de ser el funcionario hombre, la situación hubiera sido idéntica, es decir, no cobrar el complemento de destino hasta tomar posesión del mismo, sin haber terminado el permiso o licencia del que se hubiera estado disfrutando (art. 245 del Reglamento de la carrera judicial). Es más, reitera que si una mujer se encuentra en cualquier permiso distinto de los relacionados con tal condición, tampoco podría tomar posesión hasta que hubiera terminado su permiso.</w:t>
      </w:r>
    </w:p>
    <w:p w:rsidR="00A90898" w:rsidRDefault="00A90898" w:rsidP="00A90898">
      <w:pPr>
        <w:pStyle w:val="TextoNormal"/>
      </w:pPr>
    </w:p>
    <w:p w:rsidR="00A90898" w:rsidRDefault="00A90898" w:rsidP="00A90898">
      <w:pPr>
        <w:pStyle w:val="TextoNormal"/>
      </w:pPr>
      <w:r w:rsidRPr="00A90898">
        <w:rPr>
          <w:rStyle w:val="NumeroAFNegritaCaracter"/>
        </w:rPr>
        <w:t>9</w:t>
      </w:r>
      <w:r>
        <w:t>. El Fiscal ante el Tribunal Constitucional presentó el 31 de marzo de 2016 su escrito de alegaciones, en el que tras exponer los antecedentes del asunto, analiza las vulneraciones denunciadas por la demandante de amparo para terminar considerando que procede estimar el recurso y declarar que se ha vulnerado el derecho de la demandante de amparo a no sufrir discriminación por razón de sexo (art. 14 CE) y, en consecuencia, restablecerla en su derecho y declarar la nulidad de la Sentencia de 25 de marzo de 2014 de la Sala de lo Contencioso-Administrativo, Sección Tercera, del Tribunal Superior de Justicia del País Vasco, así como las resoluciones de 23 de marzo de 2012 de la Gerencia del Ministerio de Justicia y de 6 de junio de 2012 de la Dirección General de Relaciones con la Administración de Justicia del Ministerio de Justicia.</w:t>
      </w:r>
    </w:p>
    <w:p w:rsidR="00A90898" w:rsidRDefault="00A90898" w:rsidP="00A90898">
      <w:pPr>
        <w:pStyle w:val="TextoNormal"/>
      </w:pPr>
    </w:p>
    <w:p w:rsidR="00A90898" w:rsidRDefault="00A90898" w:rsidP="00A90898">
      <w:pPr>
        <w:pStyle w:val="TextoNormal"/>
      </w:pPr>
      <w:r>
        <w:t xml:space="preserve">Inicia sus alegaciones advirtiendo, por un lado, que si bien la demandante de amparo invoca la vulneración de tres derechos fundamentales (arts. 14 CE, 23.2 y 24.1 CE), el análisis de la queja debe hacerse desde la óptica del derecho a la igualdad sin discriminación por razón de sexo del art. 14 CE, derivada de la maternidad del demandante. Y, por otro, que debe descartarse el análisis de los posibles perjuicios profesionales a los que se refiere </w:t>
      </w:r>
      <w:r>
        <w:lastRenderedPageBreak/>
        <w:t>la demandante en su demanda de amparo, relativas a un posible vacío en su carrera profesional por el periodo que quedó a disposición del Tribunal Superior de Justicia del País Vasco y no ocupó destino jurisdiccional, por cuanto dicha queja no fue objeto de debate en el proceso judicial.</w:t>
      </w:r>
    </w:p>
    <w:p w:rsidR="00A90898" w:rsidRDefault="00A90898" w:rsidP="00A90898">
      <w:pPr>
        <w:pStyle w:val="TextoNormal"/>
      </w:pPr>
    </w:p>
    <w:p w:rsidR="00A90898" w:rsidRDefault="00A90898" w:rsidP="00A90898">
      <w:pPr>
        <w:pStyle w:val="TextoNormal"/>
      </w:pPr>
      <w:r>
        <w:t>Posteriormente, y tras transcribir los fundamentos jurídicos 2 y 3 de la STC 66/2014, de 5 de mayo, comienza su argumentación haciendo alusión a lo dispuesto en los arts. 245 y 226.3 del Reglamento de la carrera judicial. Para el Fiscal, la inexistencia de una norma que específicamente regule la obligación o no de tomar posesión durante el periodo temporal en que se disfruten de licencias o permisos para la percepción del complemento de destino por localidad, no debió conllevar una interpretación de la legalidad existente que supusiera la pérdida de derechos económicos en el supuesto de licencias y permisos vinculados a la maternidad de la mujer. Y ello con independencia de si le era o no posible a la recurrente materializar la toma de posesión en los dos destinos que obtuvo durante los permisos asociados a la maternidad, además del periodo vacacional. A su juicio, las licencias por maternidad que venía disfrutando la demandante de amparo, son las que aparecen como la causa del perjuicio retributivo ocasionado a la misma, al ser dichas licencias las que han impedido a la recurrente tomar posesión en las dos plazas a las que sucesivamente accedió la recurrente durante el periodo temporal de dichas licencias y permisos. La maternidad de la demandante de amparo ha sido el fundamento del perjuicio laboral causado que se concretó en el no reconocimiento de sus derechos económicos en relación a la percepción del complemento de destino correspondiente a la localidad de Bilbao en los que había obtenido plaza durante sus permisos vinculados a la maternidad y en los que no tomó posesión por el motivo de su maternidad.</w:t>
      </w:r>
    </w:p>
    <w:p w:rsidR="00A90898" w:rsidRDefault="00A90898" w:rsidP="00A90898">
      <w:pPr>
        <w:pStyle w:val="TextoNormal"/>
      </w:pPr>
    </w:p>
    <w:p w:rsidR="00A90898" w:rsidRDefault="00A90898" w:rsidP="00A90898">
      <w:pPr>
        <w:pStyle w:val="TextoNormal"/>
      </w:pPr>
      <w:r>
        <w:t>El mismo reproche entiende que debe hacerse a la Sentencia dictada por la Sala de lo Contencioso-Administrativo puesto que, en vez de corregir las resoluciones administrativas por discriminatorias por razón del sexo vinculada a la maternidad de la demandante de amparo, confirmó las razones de la Administración, realizando una interpretación de la legalidad que desconocería los principios proclamados en la Ley Orgánica 3/2007, de 22 de marzo, para la igualdad efectiva de mujeres y hombres (arts. 4, 8 y 51), que imponen la interpretación de la legalidad desde la óptica más favorable al derecho de igualdad entre hombres y mujeres; máxime cuando dicha desigualdad viene asociada a la situación de maternidad de la recurrente. Señala, además, que la Sentencia, al imponer un término de comparación para apreciar la discriminación denunciada por la recurrente, acude al canon de la igualdad en la aplicación de la ley que no es exigible en el presente caso al haberse alegado una de las causas de discriminación a las que se refiere el art. 14 CE (STC 104/2014, FJ 6).</w:t>
      </w:r>
    </w:p>
    <w:p w:rsidR="00A90898" w:rsidRDefault="00A90898" w:rsidP="00A90898">
      <w:pPr>
        <w:pStyle w:val="TextoNormal"/>
      </w:pPr>
    </w:p>
    <w:p w:rsidR="00A90898" w:rsidRDefault="00A90898" w:rsidP="00A90898">
      <w:pPr>
        <w:pStyle w:val="TextoNormal"/>
      </w:pPr>
      <w:r>
        <w:t xml:space="preserve">Por todo ello, concluye que el contenido de la cláusula de no discriminación del derecho fundamental reconocido en el art. 14 CE, exigía de los órganos administrativos adoptar una resolución que no supusiera que la maternidad de la recurrente conllevara la pérdida de derechos económicos durante el disfrute de las licencias y permisos asociadas a la misma, pues ninguna desventaja debe producir el hecho de la maternidad. Se debió, por el contrario, atender a la doctrina constitucional que declara que “la minusvaloración o el perjuicio causado por el embarazo o la sucesiva maternidad constituyen un supuesto de discriminación directa por razón de sexo” (STC 92/2008, de 21 de julio, FJ 4); más aún cuando no existe una regulación que vincule la percepción del complemento de destino a la toma de posesión </w:t>
      </w:r>
      <w:r>
        <w:lastRenderedPageBreak/>
        <w:t>del nuevo y se declara, además, la conservación de los derechos retributivos durante el disfrute de licencias y permisos. A juicio del Fiscal, poner fin a un permiso o licencia para poder tomar posesión en un nuevo destino, con la finalidad de no perder derechos retributivos, perviviendo la causa que motivó dicha licencia o permiso, obligaría a quien lo disfrutaba a solicitar un nuevo permiso o licencia fundado en la misma causa que motivaron aquellos con los consiguientes perjuicios que lleva aparejado y más, en el caso concreto, donde se disfrutaba de una licencia por embarazo de riesgo de la demandante de amparo.</w:t>
      </w:r>
    </w:p>
    <w:p w:rsidR="00A90898" w:rsidRDefault="00A90898" w:rsidP="00A90898">
      <w:pPr>
        <w:pStyle w:val="TextoNormal"/>
      </w:pPr>
    </w:p>
    <w:p w:rsidR="00A90898" w:rsidRDefault="00A90898" w:rsidP="00A90898">
      <w:pPr>
        <w:pStyle w:val="TextoNormal"/>
      </w:pPr>
      <w:r>
        <w:t>A lo dicho, el Fiscal añade que la recurrente actuó con la diligencia necesaria para poder conservar sus derechos profesionales desde el momento en que comunicó vía telefónica, al Juzgado de su nuevo destino, la imposibilidad de tomar posesión al hallarse en situación de licencia por maternidad. Y señala que por acuerdo del Consejo General del Poder Judicial de 24 de enero de 2013, se reconoció a la demandante de amparo la retribución variable correspondiente a los semestres del año 2011, durante los cuales se hallaba en situación de licencia por razón de embarazo, al entender contrario a la igualdad de la mujer trabajadora su no percepción por no desarrollar actividad jurisdiccional debido a licencias por embarazo o maternidad.</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29 de septiembre de 2016, se señaló para deliberación y votación de la presente Sentencia el día 3 de octubre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objeto del presente recurso de amparo es determinar si la Sentencia y resoluciones administrativas impugnadas, han vulnerado el derecho a la igualdad sin discriminación por razón de sexo del art. 14 CE, por no haber reconocido a la demandante de amparo el complemento de destino obtenido mientras disfrutaba de las licencias y permisos asociadas a la maternidad.</w:t>
      </w:r>
    </w:p>
    <w:p w:rsidR="00A90898" w:rsidRDefault="00A90898" w:rsidP="00A90898">
      <w:pPr>
        <w:pStyle w:val="TextoNormal"/>
      </w:pPr>
    </w:p>
    <w:p w:rsidR="00A90898" w:rsidRDefault="00A90898" w:rsidP="00A90898">
      <w:pPr>
        <w:pStyle w:val="TextoNormal"/>
      </w:pPr>
      <w:r>
        <w:t>El Fiscal considera que procede estimar el recurso y declarar que se ha vulnerado el derecho de la demandante de amparo a no sufrir discriminación por razón de sexo (art. 14 CE). La Abogado del Estado solicita la desestimación total del recurso de amparo.</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abordar el examen de fondo del asunto planteado, procede profundizar en la razón por la que se admitió a trámite la misma.</w:t>
      </w:r>
    </w:p>
    <w:p w:rsidR="00A90898" w:rsidRDefault="00A90898" w:rsidP="00A90898">
      <w:pPr>
        <w:pStyle w:val="TextoNormal"/>
      </w:pPr>
    </w:p>
    <w:p w:rsidR="00A90898" w:rsidRDefault="00A90898" w:rsidP="00A90898">
      <w:pPr>
        <w:pStyle w:val="TextoNormal"/>
      </w:pPr>
      <w:r>
        <w:t>Como ha quedado expuesto en los antecedentes, el recurso fue admitido a trámite por providencia de 18 de enero de 2016, por apreciar la Sala que en el mismo concurre una especial trascendencia constitucional (art. 50.1 de la Ley Orgánica del Tribunal Constitucional), porque puede dar ocasión al Tribunal para aclarar o cambiar su doctrina, como consecuencia de un proceso de reflexión interna [STC 155/2009, FJ 2 b)].</w:t>
      </w:r>
    </w:p>
    <w:p w:rsidR="00A90898" w:rsidRDefault="00A90898" w:rsidP="00A90898">
      <w:pPr>
        <w:pStyle w:val="TextoNormal"/>
      </w:pPr>
    </w:p>
    <w:p w:rsidR="00A90898" w:rsidRDefault="00A90898" w:rsidP="00A90898">
      <w:pPr>
        <w:pStyle w:val="TextoNormal"/>
      </w:pPr>
      <w:r>
        <w:t xml:space="preserve">Con el dictado de la presente Sentencia se aclara y confirma la doctrina del Tribunal Constitucional fijada en la STC 66/2014, de 5 de mayo, sobre reconocimiento de derechos económicos y profesionales durante la licencia de maternidad y asimilada, en relación, además, a un amplio colectivo de mujeres funcionarias, como es el de Juezas y Magistradas. Un colectivo también sometido a lo dispuesto en la Directiva 2002/73/CE, de reforma de la </w:t>
      </w:r>
      <w:r>
        <w:lastRenderedPageBreak/>
        <w:t>Directiva 76/207/CEE, relativa a la aplicación del principio de igualdad de trato entre hombres y mujeres en lo que se refiere al acceso al empleo, a la formación y a la promoción profesionales, y a las condiciones de trabajo (en la STJUE de 11 de enero de 2000, § 18, se afirma que “se aplica a las relaciones de empleo del sector público”), y que ha sido traspuesta por Ley Orgánica 3/2007, de 22 de marzo, para la igualdad efectiva de mujeres y hombres. Dicha Directiva ha sido interpretada por la STJUE de 16 de febrero de 2006, C-294/04, vinculando por ello en su aplicación a los órganos judiciales. Se ha afirmado por este Tribunal, en relación con la existencia de interpretaciones auténticas efectuadas por el Tribunal de Justicia, que a él le corresponde “velar por el principio de primacía del Derecho de la Unión”, pues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[STC 232/2015, de 5 de noviembre, FJ 5 c)].</w:t>
      </w:r>
    </w:p>
    <w:p w:rsidR="00A90898" w:rsidRDefault="00A90898" w:rsidP="00A90898">
      <w:pPr>
        <w:pStyle w:val="TextoNormal"/>
      </w:pPr>
    </w:p>
    <w:p w:rsidR="00A90898" w:rsidRDefault="00A90898" w:rsidP="00A90898">
      <w:pPr>
        <w:pStyle w:val="TextoNormal"/>
      </w:pPr>
      <w:r>
        <w:t>En todo caso, y respecto de la alegada vulneración del art. 14 de la Constitución, procede señalar que el apartado primero del art. 8 sexto de la citada Directiva reconoce a los Estados miembros que “podrán adoptar o mantener disposiciones más favorables para la protección del principio de igualdad de trato que las establecidas en la presente Directiva”, y que su apartado segundo establece que “la aplicación de la Directiva no constituirá en ningún caso motivo para reducir el nivel de protección contra la discriminación ya garantizado por los Estados miembros en los ámbitos cubiertos por la misma”.</w:t>
      </w:r>
    </w:p>
    <w:p w:rsidR="00A90898" w:rsidRDefault="00A90898" w:rsidP="00A90898">
      <w:pPr>
        <w:pStyle w:val="TextoNormal"/>
      </w:pPr>
    </w:p>
    <w:p w:rsidR="00A90898" w:rsidRDefault="00A90898" w:rsidP="00A90898">
      <w:pPr>
        <w:pStyle w:val="TextoNormal"/>
      </w:pPr>
      <w:r w:rsidRPr="00A90898">
        <w:rPr>
          <w:rStyle w:val="NumeroAFNegritaCaracter"/>
        </w:rPr>
        <w:t>3</w:t>
      </w:r>
      <w:r>
        <w:t>. Tras lo expuesto conviene comenzar realizando una precisión acerca de las diversas quejas que la recurrente denuncia en su demanda de amparo.</w:t>
      </w:r>
    </w:p>
    <w:p w:rsidR="00A90898" w:rsidRDefault="00A90898" w:rsidP="00A90898">
      <w:pPr>
        <w:pStyle w:val="TextoNormal"/>
      </w:pPr>
    </w:p>
    <w:p w:rsidR="00A90898" w:rsidRDefault="00A90898" w:rsidP="00A90898">
      <w:pPr>
        <w:pStyle w:val="TextoNormal"/>
      </w:pPr>
      <w:r>
        <w:t>La demandante de amparo invoca la vulneración de varios derechos fundamentales: el derecho a la igualdad y a no sufrir discriminación (art. 14 CE); el derecho a acceder a las funciones y cargos públicos en condiciones de igualdad (art. 23.2 CE) y, finalmente, el derecho a la tutela judicial efectiva sin indefensión (art. 24.1 CE). No obstante, todas ellas deben quedar reconducidas, como proponen el Fiscal y la Abogacía del Estado en sus escritos de alegaciones, a la primera de ellas, pues giran en torno a lo que se erige en la queja principal del recurso de amparo: la vulneración del derecho a la igualdad sin discriminación por razón de sexo del art. 14 CE derivada de la maternidad del demandante. En efecto, no nos encontramos ante un caso en el que la queja relativa a la infracción del art. 14 CE deba entenderse subsumida en la vulneración, más concreta, de los derechos reconocidos en los arts. 23 CE, sino ante un supuesto en el que la discriminación denunciada tiene como fundamento las circunstancias enumeradas en el apartado primero del art. 14 CE (en este sentido, entre otras, SSTC 50/1986, de 20 de mayo, FJ 4; 167/1998, de 21 de julio, FJ 2; 78/2007, de 16 de abril, FJ 2, y 44/2010, de 26 de julio, FJ 3). Tampoco nos encontramos ante una vulneración autónoma del art. 24.1 CE, pues, el órgano judicial, aunque con un argumento distinto al sustentado por las resoluciones impugnadas, se limitó a confirmar lo decido en ellas. La decisión judicial cumplió su función de controlar la actividad materialmente administrativa (art. 106 CE), asumiendo, al mismo tiempo, desde nuestra perspectiva, la misión de agotar la vía judicial previa, dando así oportunidad a los Jueces ordinarios para reparar los daños que hubieren padecido los derechos fundamentales en juego y preservando a la vez el carácter subsidiario predicable de la vía del amparo constitucional.</w:t>
      </w:r>
    </w:p>
    <w:p w:rsidR="00A90898" w:rsidRDefault="00A90898" w:rsidP="00A90898">
      <w:pPr>
        <w:pStyle w:val="TextoNormal"/>
      </w:pPr>
    </w:p>
    <w:p w:rsidR="00A90898" w:rsidRDefault="00A90898" w:rsidP="00A90898">
      <w:pPr>
        <w:pStyle w:val="TextoNormal"/>
      </w:pPr>
      <w:r>
        <w:lastRenderedPageBreak/>
        <w:t>Una vez delimitado el objeto del recurso, procede entrar en el análisis de la denunciada vulneración del art. 14 CE por discriminación por razón de sexo que se imputan a las resoluciones administrativas y la Sentencia que las confirma, impugnadas ante este Tribunal.</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Como ya se ha dicho anteriormente, la Ley Orgánica 3/2007, de 22 de marzo, para la igualdad efectiva de mujeres y hombres transpone a nuestro ordenamiento interno la Directiva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tal y como recoge la exposición de motivos de la Ley Orgánica citada. En aplicación de las citadas Directivas, el Tribunal de Justicia de la Unión Europea resolvió, por Sentencia de 16 de febrero de 2006, asunto </w:t>
      </w:r>
      <w:r w:rsidRPr="00A90898">
        <w:rPr>
          <w:i/>
        </w:rPr>
        <w:t>Sarkatzis</w:t>
      </w:r>
      <w:r>
        <w:t>, un caso muy similar al presente. A dicha Sentencia se han referido tanto la recurrente en la demanda de amparo como la Abogada del Estado y del Ministerio Fiscal en sus escritos de alegaciones.</w:t>
      </w:r>
    </w:p>
    <w:p w:rsidR="00A90898" w:rsidRDefault="00A90898" w:rsidP="00A90898">
      <w:pPr>
        <w:pStyle w:val="TextoNormal"/>
      </w:pPr>
    </w:p>
    <w:p w:rsidR="00A90898" w:rsidRDefault="00A90898" w:rsidP="00A90898">
      <w:pPr>
        <w:pStyle w:val="TextoNormal"/>
      </w:pPr>
      <w:r>
        <w:t>La STJUE de 16 de febrero de 2006, declaró que la citada directiva se opone a una normativa nacional que no reconozca a una trabajadora que se encuentre en permiso de maternidad, los mismos derechos reconocidos a otros aspirantes aprobados en el mismo procedimiento de selección, en lo que se refiere a las condiciones de acceso a la función pública, aplazando la toma de posesión de esa trabajadora hasta el término del permiso de maternidad, sin tener en cuenta la duración de dicho permiso a efectos del cómputo de su antigüedad. También a ella se remite la STC 66/2014, de 5 de mayo, que se resolvió un caso semejante al ahora planteado, y que contiene la doctrina de este Tribunal acerca de la vulneración del art. 14 CE que ahora se examina.</w:t>
      </w:r>
    </w:p>
    <w:p w:rsidR="00A90898" w:rsidRDefault="00A90898" w:rsidP="00A90898">
      <w:pPr>
        <w:pStyle w:val="TextoNormal"/>
      </w:pPr>
    </w:p>
    <w:p w:rsidR="00A90898" w:rsidRDefault="00A90898" w:rsidP="00A90898">
      <w:pPr>
        <w:pStyle w:val="TextoNormal"/>
      </w:pPr>
      <w:r>
        <w:t xml:space="preserve">En la STC 66/2014 se dice, respecto a la cláusula de no discriminación por razón de sexo del art. 14 CE, que este Tribunal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w:t>
      </w:r>
      <w:r w:rsidRPr="00A90898">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las allí citadas)” (FJ 2). Y por lo que se refiere específicamente a la prohibición de discriminación por razón de sexo, añade que también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(FJ 2). En consecuencia, concluye que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(SSTC 214/2006, de 3 de julio, FJ 3; 324/2006, de 20 de noviembre, FJ 4, y 3/2007, de 15 de enero, FJ 2)” (FJ 2).</w:t>
      </w:r>
    </w:p>
    <w:p w:rsidR="00A90898" w:rsidRDefault="00A90898" w:rsidP="00A90898">
      <w:pPr>
        <w:pStyle w:val="TextoNormal"/>
      </w:pPr>
    </w:p>
    <w:p w:rsidR="00A90898" w:rsidRDefault="00A90898" w:rsidP="00A90898">
      <w:pPr>
        <w:pStyle w:val="TextoNormal"/>
      </w:pPr>
      <w:r>
        <w:lastRenderedPageBreak/>
        <w:t>Se alude, asimismo, al hecho de que tal tipo de discriminación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(FJ 2), reconociendo que así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(FJ 2).</w:t>
      </w:r>
    </w:p>
    <w:p w:rsidR="00A90898" w:rsidRDefault="00A90898" w:rsidP="00A90898">
      <w:pPr>
        <w:pStyle w:val="TextoNormal"/>
      </w:pPr>
    </w:p>
    <w:p w:rsidR="00A90898" w:rsidRDefault="00A90898" w:rsidP="00A90898">
      <w:pPr>
        <w:pStyle w:val="TextoNormal"/>
      </w:pPr>
      <w:r>
        <w:t>Tras lo expuesto se afirma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(STC 233/2007, de 5 de noviembre, FJ 6)” (FJ 2).</w:t>
      </w:r>
    </w:p>
    <w:p w:rsidR="00A90898" w:rsidRDefault="00A90898" w:rsidP="00A90898">
      <w:pPr>
        <w:pStyle w:val="TextoNormal"/>
      </w:pPr>
    </w:p>
    <w:p w:rsidR="00A90898" w:rsidRDefault="00A90898" w:rsidP="00A90898">
      <w:pPr>
        <w:pStyle w:val="TextoNormal"/>
      </w:pPr>
      <w:r w:rsidRPr="00A90898">
        <w:rPr>
          <w:rStyle w:val="NumeroAFNegritaCaracter"/>
        </w:rPr>
        <w:t>5</w:t>
      </w:r>
      <w:r>
        <w:t>. Dicho esto, conviene comenzar señalando que el art. 245 del Reglamento 2/2011 de la carrera judicial, aprobado por acuerdo de 28 de abril de 2011, del Pleno del Consejo General del Poder Judicial, establece que “las licencias y permisos, incluido el de vacaciones, no se verán afectados por los traslados o promoción de los jueces y magistrados. Producido el traslado, el plazo posesorio empezará a contarse a partir del día siguiente al de finalización del permiso o licencia. El cese en el destino, a efectos administrativos, tendrá efectos al día siguiente de la publicación en el ‘Boletín Oficial del Estado’ de la resolución por la que se disponga el traslado o promoción, salvo que en la resolución que lo motive se establezca otra cosa”.</w:t>
      </w:r>
    </w:p>
    <w:p w:rsidR="00A90898" w:rsidRDefault="00A90898" w:rsidP="00A90898">
      <w:pPr>
        <w:pStyle w:val="TextoNormal"/>
      </w:pPr>
    </w:p>
    <w:p w:rsidR="00A90898" w:rsidRDefault="00A90898" w:rsidP="00A90898">
      <w:pPr>
        <w:pStyle w:val="TextoNormal"/>
      </w:pPr>
      <w:r>
        <w:t xml:space="preserve">La aplicación de este precepto fue el que llevó tanto a la Administración como al órgano judicial a considerar que la demandante de amparo, Magistrada a la que habían correspondido dos nuevos destinos en la ciudad de Bilbao, pero en situación de baja por encontrarse disfrutando de diversas licencias en relación a la maternidad, no tenía derecho a percibir el complemento de destino, si antes no había procedido a tomar posesión de éste. No se tuvo en cuenta, sin embargo, para llegar a tal decisión, lo dispuesto en la anteriormente citada Ley Orgánica 3/2007, de 22 de marzo, para la igualdad efectiva de mujeres y hombres. En concreto, el art. 51 de la citada Ley, que encabeza el capítulo I del título V dedicado al principio de igualdad en el empleo público, y que establece los criterios de actuación de las </w:t>
      </w:r>
      <w:r>
        <w:lastRenderedPageBreak/>
        <w:t>Administraciones públicas, dispone que “[l]as Administraciones públicas, en el ámbito de sus respectivas competencias y en aplicación del principio de igualdad entre mujeres y hombres, deberán: a) Remover los obstáculos que impliquen la pervivencia de cualquier tipo de discriminación con el fin de ofrecer condiciones de igualdad efectiva entre mujeres y hombres en el acceso al empleo público y en el desarrollo de la carrera profesional; b) Facilitar la conciliación de la vida personal, familiar y laboral, sin menoscabo de la promoción profesional; … f) Establecer medidas efectivas para eliminar cualquier discriminación retributiva, directa o indirecta, por razón de sexo”. Y ello tras definir, en su art. 3, el principio de igualdad de trato entre mujeres y hombres como “la ausencia de toda discriminación, directa o indirecta, por razón de sexo, y, especialmente, las derivadas de la maternidad, la asunción de obligaciones familiares y el estado civil” y declarar en el art. 8 que la discriminación por embarazo o maternidad “constituye discriminación directa por razón de sexo todo trato desfavorable a las mujeres relacionado con el embarazo o la maternidad”.</w:t>
      </w:r>
    </w:p>
    <w:p w:rsidR="00A90898" w:rsidRDefault="00A90898" w:rsidP="00A90898">
      <w:pPr>
        <w:pStyle w:val="TextoNormal"/>
      </w:pPr>
    </w:p>
    <w:p w:rsidR="00A90898" w:rsidRDefault="00A90898" w:rsidP="00A90898">
      <w:pPr>
        <w:pStyle w:val="TextoNormal"/>
      </w:pPr>
      <w:r>
        <w:t>De lo expuesto se deduce que la normativa que regula la incidencia que la falta de toma de posesión en un nuevo destino durante los periodos de licencia o permiso, como la expuesta, no puede ser interpretada, en relación con aquellos permisos y licencias otorgados por razón de maternidad tal y como se hizo por la Administración. Es decir, no sólo en contra de lo expuesto en la citada Ley Orgánica 3/2007, de 22 de marzo, sino en contradicción con el principio de no discriminación por razón de sexo que la Constitución prevé en su artículo 14.</w:t>
      </w:r>
    </w:p>
    <w:p w:rsidR="00A90898" w:rsidRDefault="00A90898" w:rsidP="00A90898">
      <w:pPr>
        <w:pStyle w:val="TextoNormal"/>
      </w:pPr>
    </w:p>
    <w:p w:rsidR="00A90898" w:rsidRDefault="00A90898" w:rsidP="00A90898">
      <w:pPr>
        <w:pStyle w:val="TextoNormal"/>
      </w:pPr>
      <w:r w:rsidRPr="00A90898">
        <w:rPr>
          <w:rStyle w:val="NumeroAFNegritaCaracter"/>
        </w:rPr>
        <w:t>6</w:t>
      </w:r>
      <w:r>
        <w:t>. En efecto, se ha de tener en consideración que, como pone de manifiesto la recurrente, los permisos y licencias legalmente establecidos con motivo de la gestación y posterior alumbramiento en tanto conectados con la protección de la salud e integridad del feto y de la madre, no pueden quedar equiparados al resto de permisos y licencias. El principio de no discriminación por razón de sexo obliga a compensar las desventajas que el embarazo, al incidir de forma exclusiva sobre las mujeres a diferencia del hombre, pueden provocar en sus derechos económicos y profesionales. Y es que, tal y como este Tribunal ha declarado,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 (SSTC 74/2008, de 23 de junio, FJ 2, y 92/2008, de 21 de julio, FJ 4)” (STC 66/2014, FJ 2).</w:t>
      </w:r>
    </w:p>
    <w:p w:rsidR="00A90898" w:rsidRDefault="00A90898" w:rsidP="00A90898">
      <w:pPr>
        <w:pStyle w:val="TextoNormal"/>
      </w:pPr>
    </w:p>
    <w:p w:rsidR="00A90898" w:rsidRDefault="00A90898" w:rsidP="00A90898">
      <w:pPr>
        <w:pStyle w:val="TextoNormal"/>
      </w:pPr>
      <w:r>
        <w:t>Por ello, no se puede compartir el argumento esgrimido por la Abogacía del Estado, según el cual no se ha acreditado que el embarazo o maternidad produzca a la recurrente una discriminación por razón de sexo al establecer el art. 245 del Reglamento de la carrera judicial la misma regla para todas las licencias o permisos. Pues, como se dijo en la ya citada STJUE de 16 de febrero de 2006, C-294/2004, apartado 46, “[l]a circunstancia de que otras personas, en particular de sexo masculino, puedan, por otros motivos, ser tratadas de la misma manera que la Sra. Sarkatzis Herrero carece de relevancia para la apreciación de la situación de ésta, puesto que el aplazamiento de la fecha señalada para su toma de posesión fue exclusivamente consecuencia del permiso de maternidad del que disfrutó”.</w:t>
      </w:r>
    </w:p>
    <w:p w:rsidR="00A90898" w:rsidRDefault="00A90898" w:rsidP="00A90898">
      <w:pPr>
        <w:pStyle w:val="TextoNormal"/>
      </w:pPr>
    </w:p>
    <w:p w:rsidR="00A90898" w:rsidRDefault="00A90898" w:rsidP="00A90898">
      <w:pPr>
        <w:pStyle w:val="TextoNormal"/>
      </w:pPr>
      <w:r>
        <w:t xml:space="preserve">En el sentido expuesto, el Tribunal de Justicia ha declarado en lo que se refiere al cómputo de un período de permiso de maternidad a efectos del acceso a una categoría profesional superior, “que, en su relación laboral, las trabajadoras están protegidas frente a </w:t>
      </w:r>
      <w:r>
        <w:lastRenderedPageBreak/>
        <w:t xml:space="preserve">cualquier trato desfavorable como consecuencia de disfrutar o haber disfrutado de un permiso de maternidad y que una mujer que sufre un trato desfavorable a consecuencia de su ausencia debida a un permiso de maternidad es víctima de una discriminación por razón de su embarazo y de ese permiso (véase la Sentencia de 18 de noviembre de 2004, </w:t>
      </w:r>
      <w:r w:rsidRPr="00A90898">
        <w:rPr>
          <w:i/>
        </w:rPr>
        <w:t>Sass</w:t>
      </w:r>
      <w:r>
        <w:t xml:space="preserve">, C 284/02, Rec. p. I 11143, apartados 35 y 36)” (STJUE de 16 de febrero de 2006, C-294/2004, asunto </w:t>
      </w:r>
      <w:r w:rsidRPr="00A90898">
        <w:rPr>
          <w:i/>
        </w:rPr>
        <w:t>Sarkatzis</w:t>
      </w:r>
      <w:r>
        <w:t xml:space="preserve">, apartado 39). Y ello en la consideración de que “dado que la Directiva 76/207 aspira a una igualdad material y no formal, las disposiciones de los artículos 2, apartados 1 y 3, y 3 de dicha Directiva deben interpretarse en el sentido de que prohíben cualquier discriminación de una trabajadora debida a un permiso de maternidad o relativa a dicho permiso, cuya finalidad es proteger a la mujer embarazada, sin que proceda tener en cuenta si esa discriminación afecta a una relación laboral existente o a una nueva” (STJUE de 16 de febrero de 2006, C-294/2004, asunto </w:t>
      </w:r>
      <w:r w:rsidRPr="00A90898">
        <w:rPr>
          <w:i/>
        </w:rPr>
        <w:t>Sarkatzis</w:t>
      </w:r>
      <w:r>
        <w:t>, apartado 41).</w:t>
      </w:r>
    </w:p>
    <w:p w:rsidR="00A90898" w:rsidRDefault="00A90898" w:rsidP="00A90898">
      <w:pPr>
        <w:pStyle w:val="TextoNormal"/>
      </w:pPr>
    </w:p>
    <w:p w:rsidR="00A90898" w:rsidRDefault="00A90898" w:rsidP="00A90898">
      <w:pPr>
        <w:pStyle w:val="TextoNormal"/>
      </w:pPr>
      <w:r w:rsidRPr="00A90898">
        <w:rPr>
          <w:rStyle w:val="NumeroAFNegritaCaracter"/>
        </w:rPr>
        <w:t>7</w:t>
      </w:r>
      <w:r>
        <w:t>. Tras lo expuesto, debe concluirse que la Administración, con su decisión de no reconocer los derechos económicos solicitados por la recurrente, vulneró su derecho de no discriminación por razón de sexo reconocido en el art. 14 de la Constitución.</w:t>
      </w:r>
    </w:p>
    <w:p w:rsidR="00A90898" w:rsidRDefault="00A90898" w:rsidP="00A90898">
      <w:pPr>
        <w:pStyle w:val="TextoNormal"/>
      </w:pPr>
    </w:p>
    <w:p w:rsidR="00A90898" w:rsidRDefault="00A90898" w:rsidP="00A90898">
      <w:pPr>
        <w:pStyle w:val="TextoNormal"/>
      </w:pPr>
      <w:r>
        <w:t>En el presente caso, el perjuicio económico ocasionado a la demandante de amparo por la interpretación llevada a cabo por la gerencia del Ministerio de Justicia, confirmada por la Dirección General de Relaciones con la Administración de Justicia y, posteriormente, por la Sala de lo Contencioso-Administrativo del Tribunal Superior de Justicia del País Vasco, de que hasta la efectiva toma de posesión de destino por los miembros de la carrera judicial no se puede proceder al cobró del complemento retributivo de éste y que dicha toma de posesión no puede efectuarse hasta que concluya la licencia, tiene “conexión directa e inequívoca” (STC 66/2014, FJ 2; y las allí citadas) con la situación de embarazo de riesgo en la que se encontraba la demandante de amparo. Fue la maternidad de la demandante de amparo el fundamento del perjuicio económico ocasionado.</w:t>
      </w:r>
    </w:p>
    <w:p w:rsidR="00A90898" w:rsidRDefault="00A90898" w:rsidP="00A90898">
      <w:pPr>
        <w:pStyle w:val="TextoNormal"/>
      </w:pPr>
    </w:p>
    <w:p w:rsidR="00A90898" w:rsidRDefault="00A90898" w:rsidP="00A90898">
      <w:pPr>
        <w:pStyle w:val="TextoNormal"/>
      </w:pPr>
      <w:r>
        <w:t xml:space="preserve">Ni la Administración ni el órgano judicial tuvieron en cuenta que la condición biológica y la salud de la mujer trabajadora han de ser compatibles con la conservación de los derechos profesionales, sin que la maternidad pueda permitir ninguna desventaja. Basta aplicar el test </w:t>
      </w:r>
      <w:r w:rsidRPr="00A90898">
        <w:rPr>
          <w:i/>
        </w:rPr>
        <w:t>but for</w:t>
      </w:r>
      <w:r>
        <w:t xml:space="preserve"> o de la sustitución, utilizado por el Tribunal de Justicia y el Tribunal Supremo, consistente en cambiar el sexo u otra circunstancia personal del sujeto, para contrastar si las consecuencias jurídicas habrían sido las mismas en ese caso, para darse cuenta de que el razonamiento de que la obligatoriedad de la toma de posesión del destino afecta a todo aquel que se encuentre en una situación de licencia sea cual fuere ésta y, por tanto, independientemente de su sexo, no es válido en casos como el presente. Es la maternidad la que, como circunstancia unida a las mujeres y solo a ellas, provoca una situación de discriminación profesional.</w:t>
      </w:r>
    </w:p>
    <w:p w:rsidR="00A90898" w:rsidRDefault="00A90898" w:rsidP="00A90898">
      <w:pPr>
        <w:pStyle w:val="TextoNormal"/>
      </w:pPr>
    </w:p>
    <w:p w:rsidR="00A90898" w:rsidRDefault="00A90898" w:rsidP="00A90898">
      <w:pPr>
        <w:pStyle w:val="TextoNormal"/>
      </w:pPr>
      <w:r>
        <w:t xml:space="preserve">Con tal decisión, la Administración no atendió a los principios del ordenamiento jurídico que imponen a los poderes públicos promover no solo la igualdad formal, sino también la igualdad real y efectiva. Como indica el art. 4 de la Ley Orgánica 3/2007, de 22 de marzo, para la igualdad efectiva de mujeres y hombres, “[l]a igualdad de trato y oportunidad entre mujeres y hombres es un principio informador del ordenamiento jurídico y, como tal, se integrará y observará en la interpretación y aplicación de las normas jurídicas”. A ella corresponde inicialmente ofrecer las medidas alternativas razonables a la situación específica de la trabajadora derivada de la maternidad, que neutralicen una posible vulneración del </w:t>
      </w:r>
      <w:r>
        <w:lastRenderedPageBreak/>
        <w:t>principio de no discriminación del art. 14 CE (STC 66/2014, FJ 5). Tampoco lo hizo el órgano judicial exigiéndole, además, a la recurrente aportar un término de comparación para poder entender vulnerado el principio de no discriminación, cuando es jurisprudencia de este Tribunal que la virtualidad del art. 14 CE no se agota en la cláusula general de igualdad con la que se inicia su contenido, sino que, a continuación, prevé la prohibición de una serie de motivos concretos de discriminación que “no requiere necesariamente un término de comparación, por más que la discriminación pueda concretarse en desigualdades de trato que pueden ser objeto de contraste o necesitar de éste para ser apreciadas (por todas, STC 171/2012, de 4 de octubre, FJ 5)” (STC 104/2014, de 23 de junio, FJ 6).</w:t>
      </w:r>
    </w:p>
    <w:p w:rsidR="00A90898" w:rsidRDefault="00A90898" w:rsidP="00A90898">
      <w:pPr>
        <w:pStyle w:val="TextoNormal"/>
      </w:pPr>
    </w:p>
    <w:p w:rsidR="00A90898" w:rsidRDefault="00A90898" w:rsidP="00A90898">
      <w:pPr>
        <w:pStyle w:val="TextoNormal"/>
      </w:pPr>
      <w:r>
        <w:t>Los anteriores razonamientos llevan a la conclusión de que en casos en los que la mujer que tiene condición de empleada pública obtiene un determinado destino durante las licencias ligadas a su maternidad o a un eventual embarazo de riesgo, para que no quede vulnerado su derecho a no ser discriminada por razón de sexo (art. 14 CE), debe entenderse que el momento en el que deben considerarse adquiridos los derechos económicos y profesionales inherentes al nombramiento, debe ser desde la fecha en la que la mujer hubiera podido tomar posesión de no haber mediado dicho tipo de permiso o licencia.</w:t>
      </w:r>
    </w:p>
    <w:p w:rsidR="00A90898" w:rsidRDefault="00A90898" w:rsidP="00A90898">
      <w:pPr>
        <w:pStyle w:val="TextoNormal"/>
      </w:pPr>
    </w:p>
    <w:p w:rsidR="00A90898" w:rsidRDefault="00A90898" w:rsidP="00A90898">
      <w:pPr>
        <w:pStyle w:val="TextoNormal"/>
      </w:pPr>
      <w:r w:rsidRPr="00A90898">
        <w:rPr>
          <w:rStyle w:val="NumeroAFNegritaCaracter"/>
        </w:rPr>
        <w:t>8</w:t>
      </w:r>
      <w:r>
        <w:t>. Aunque la recurrente alega en su demanda que la decisión que se adopta trasciende de las meras consecuencias retributivas en tanto que para la carrera profesional de la demandante resulta necesario que se determine su destino en el periodo en el que gozo de las licencias y permisos por maternidad, este Tribunal sólo puede pronunciarse sobre la vulneración del art. 14 CE que provocan las resoluciones impugnadas, relativas a la denegación de los derechos económicos, que no profesionales, de la demandante de amparo. La queja relacionada con los derechos profesionales de la demandante, como así pone de manifiesto el Fiscal, no fue objeto de debate en el proceso judicial del que trae causa el presente recurso amparo.</w:t>
      </w:r>
    </w:p>
    <w:p w:rsidR="00A90898" w:rsidRDefault="00A90898" w:rsidP="00A90898">
      <w:pPr>
        <w:pStyle w:val="TextoNormal"/>
      </w:pPr>
    </w:p>
    <w:p w:rsidR="00A90898" w:rsidRDefault="00A90898" w:rsidP="00A90898">
      <w:pPr>
        <w:pStyle w:val="TextoNormal"/>
      </w:pPr>
      <w:r>
        <w:t>En consecuencia con lo expuesto, procede, como así solicita el Fiscal, restablecer a la demandante en su derecho y declarar la nulidad de la resolución de 23 de marzo de 2012 de la gerencia del Ministerio de Justicia, por la que se acordó dejar sin efecto el pago del complemento de destino de la localidad de Bilbao, así la resoluciones administrativa y judicial que la confirmaron.</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la presente demanda de amparo y en su virtud:</w:t>
      </w:r>
    </w:p>
    <w:p w:rsidR="00A90898" w:rsidRDefault="00A90898" w:rsidP="00A90898">
      <w:pPr>
        <w:pStyle w:val="TextoNormal"/>
      </w:pPr>
    </w:p>
    <w:p w:rsidR="00A90898" w:rsidRDefault="00A90898" w:rsidP="00A90898">
      <w:pPr>
        <w:pStyle w:val="TextoNormal"/>
      </w:pPr>
      <w:r>
        <w:t>1º Declarar que se ha vulnerado el derecho de la demandante de amparo a no sufrir discriminación por razón de sexo (art. 14 CE).</w:t>
      </w:r>
    </w:p>
    <w:p w:rsidR="00A90898" w:rsidRDefault="00A90898" w:rsidP="00A90898">
      <w:pPr>
        <w:pStyle w:val="TextoNormal"/>
      </w:pPr>
    </w:p>
    <w:p w:rsidR="00A90898" w:rsidRDefault="00A90898" w:rsidP="00A90898">
      <w:pPr>
        <w:pStyle w:val="TextoNormal"/>
      </w:pPr>
      <w:r>
        <w:lastRenderedPageBreak/>
        <w:t>2º Restablecerla en su derecho y, a tal fin, anular la Sentencia de 25 de marzo de 2014, de la Sala de lo Contencioso-Administrativo del Tribunal Superior de Justicia del País Vasco, dictada en el recurso ordinario núm. 811-2012, así como la resolución de la Dirección General de Relaciones con la Administración de Justicia de 6 de junio de 2012 y la de la Gerencia Territorial del Ministerio de Justicia en el País Vasco de 23 de marzo de 2012.</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2" w:name="SENTENCIA_2016_163"/>
      <w:r>
        <w:lastRenderedPageBreak/>
        <w:t>SENTENCIA 163/2016, de 3 de octubre de 2016</w:t>
      </w:r>
    </w:p>
    <w:bookmarkEnd w:id="42"/>
    <w:p w:rsidR="00A90898" w:rsidRDefault="00A90898" w:rsidP="00A90898">
      <w:pPr>
        <w:pStyle w:val="TtuloResolucin"/>
      </w:pPr>
      <w:r>
        <w:t>Sala Segunda</w:t>
      </w:r>
    </w:p>
    <w:p w:rsidR="00A90898" w:rsidRDefault="00A90898" w:rsidP="00A90898">
      <w:pPr>
        <w:pStyle w:val="TtuloBOE"/>
      </w:pPr>
      <w:r>
        <w:t>(BOE núm. 276, de 15 de noviembre de 2016)</w:t>
      </w:r>
    </w:p>
    <w:p w:rsidR="00A90898" w:rsidRDefault="00A90898" w:rsidP="00A90898">
      <w:pPr>
        <w:pStyle w:val="TextoNormalCentrado"/>
      </w:pPr>
      <w:r>
        <w:t>ECLI:ES:TC:2016:163</w:t>
      </w:r>
    </w:p>
    <w:p w:rsidR="00A90898" w:rsidRDefault="00A90898" w:rsidP="00A90898">
      <w:pPr>
        <w:pStyle w:val="TextoNormalCentrado"/>
      </w:pPr>
    </w:p>
    <w:p w:rsidR="00A90898" w:rsidRDefault="00A90898" w:rsidP="00A90898">
      <w:pPr>
        <w:pStyle w:val="SntesisDescriptiva"/>
      </w:pPr>
      <w:r>
        <w:t>Recurso de amparo 3467-2015. Promovido por Inmobiliaria Osuna, S.L.U., respecto de las resoluciones dictadas por un Juzgado de lo Contencioso-Administrativo de Málaga en proceso sobre liquidación de tasa por licencia urbanística de obras.</w:t>
      </w:r>
    </w:p>
    <w:p w:rsidR="00A90898" w:rsidRDefault="00A90898" w:rsidP="00A90898">
      <w:pPr>
        <w:pStyle w:val="SntesisDescriptiva"/>
      </w:pPr>
    </w:p>
    <w:p w:rsidR="00A90898" w:rsidRDefault="00A90898" w:rsidP="00A90898">
      <w:pPr>
        <w:pStyle w:val="SntesisAnaltica"/>
      </w:pPr>
      <w:r>
        <w:t>Vulneración del derecho a la tutela judicial sin indefensión: inadmisión de recurso contencioso-administrativo por incumplimiento de la carga de aportar los documentos acreditativos de la satisfacción de los requisitos exigidos a las personas jurídicas para entablar acciones, incurriendo en error (STC 167/2014).</w:t>
      </w:r>
    </w:p>
    <w:p w:rsidR="00A90898" w:rsidRDefault="00A90898" w:rsidP="00A90898">
      <w:pPr>
        <w:pStyle w:val="SntesisAnaltica"/>
      </w:pPr>
    </w:p>
    <w:p w:rsidR="00A90898" w:rsidRDefault="00A90898" w:rsidP="00A90898">
      <w:pPr>
        <w:pStyle w:val="Extracto"/>
      </w:pPr>
      <w:r>
        <w:t>1.</w:t>
      </w:r>
      <w:r>
        <w:tab/>
        <w:t>Alegada por la parte demandada, causa de inadmisibilidad referida al incumplimiento del requisito de la LJCA, el órgano judicial viene obligado, en primer lugar, a oír al demandante sobre dicha cuestión y, en segundo lugar, a resolver en el acto sobre su concurrencia o no, pronunciándose sobre si la vista debe continuar; no procediendo la celebración de la vista sin la referida audiencia y sin adoptar decisión alguna en el acto, para posteriormente apreciar la concurrencia del óbice procesal en el momento de dictar la Sentencia ahora impugnada, con el resultado de inadmitir el recurso contencioso-administrativo [FJ 5].</w:t>
      </w:r>
    </w:p>
    <w:p w:rsidR="00A90898" w:rsidRDefault="00A90898" w:rsidP="00A90898">
      <w:pPr>
        <w:pStyle w:val="Extracto"/>
      </w:pPr>
    </w:p>
    <w:p w:rsidR="00A90898" w:rsidRDefault="00A90898" w:rsidP="00A90898">
      <w:pPr>
        <w:pStyle w:val="Extracto"/>
      </w:pPr>
      <w:r>
        <w:t>2.</w:t>
      </w:r>
      <w:r>
        <w:tab/>
        <w:t>La omisión, por parte del órgano judicial, de toda consideración sobre el incumplimiento por el propio Magistrado-Juez de las reglas de la LJCA en cuanto a la forma en que debía actuar ante la causa de inadmisión alegada por la Administración demandada, condujo a la lesión del derecho a la tutela judicial efectiva de la mercantil actora en la vertiente del derecho a no padecer indefensión, que se tradujo, finalmente, en la vulneración de su derecho de acceso al proceso, de acuerdo con la doctrina constitucional transcrita (SSTC 167/2014  y 186/2015) [FJ 5].</w:t>
      </w:r>
    </w:p>
    <w:p w:rsidR="00A90898" w:rsidRDefault="00A90898" w:rsidP="00A90898">
      <w:pPr>
        <w:pStyle w:val="Extracto"/>
      </w:pPr>
    </w:p>
    <w:p w:rsidR="00A90898" w:rsidRDefault="00A90898" w:rsidP="00A90898">
      <w:pPr>
        <w:pStyle w:val="Extracto"/>
      </w:pPr>
      <w:r>
        <w:t>3.</w:t>
      </w:r>
      <w:r>
        <w:tab/>
        <w:t>Canon de enjuiciamiento constitucional de la queja planteada y doctrina relativa a la subsanación de defectos formales en sede de procedimiento abreviado caracterizado por la oralidad, la inmediación y el papel activo del juzgador (STC 167/2014)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recurso de amparo núm. 3467-2015, promovido por Inmobiliaria Osuna, S.L.U., representada por la Procuradora de los Tribunales doña María del Pilar Rami Soriano y asistida por el Letrado don Alejandro Ruiz-Cabello Santos, contra la Sentencia dictada por el Juzgado de lo Contencioso-Administrativo núm. 5 de Málaga el 17 de abril de 2015, y contra el Auto 5 de mayo de 2015, dictado por el mismo Juzgado, que inadmitió el incidente de nulidad de actuaciones promovido contra aquella. Ha intervenido el Ministerio Fiscal.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12 de junio de 2015, la Procuradora de los Tribunales doña Pilar Rami Soriano, en representación de Inmobiliaria Osuna, S.L.U., interpuso recurso de amparo contra las resoluciones señaladas en el encabezamiento de esta Sentencia.</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relevantes para resolver el recurso de amparo interpuesto, son los siguientes:</w:t>
      </w:r>
    </w:p>
    <w:p w:rsidR="00A90898" w:rsidRDefault="00A90898" w:rsidP="00A90898">
      <w:pPr>
        <w:pStyle w:val="TextoNormal"/>
      </w:pPr>
    </w:p>
    <w:p w:rsidR="00A90898" w:rsidRDefault="00A90898" w:rsidP="00A90898">
      <w:pPr>
        <w:pStyle w:val="TextoNormal"/>
      </w:pPr>
      <w:r>
        <w:t>a) La demandante de amparo interpuso recurso contencioso-administrativo con fecha 23 de diciembre de 2014 contra la resolución del Coordinador general de Hacienda y Administración pública del Excmo. Ayuntamiento de Marbella, de 7 de octubre de 2014, por la que se desestimó el recurso de reposición interpuesto por aquella contra la liquidación en concepto de tasa por licencia urbanística de obras. Con el escrito inicial se aportó copia de la certificación expedida por don Nicolás Osuna Pedregosa, persona física designada por la mercantil Grupo de Inversiones Noga, S.L.U., como administrador único ésta de Inmobiliaria Osuna, S.L.U., de fecha 15 de diciembre de 2014, en la que se hacía constar, entre otras cuestiones, que el órgano de administración de la entidad recurrente había adoptado en dicha fecha el acuerdo de interponer recurso contencioso-administrativo contra aquella resolución administrativa.</w:t>
      </w:r>
    </w:p>
    <w:p w:rsidR="00A90898" w:rsidRDefault="00A90898" w:rsidP="00A90898">
      <w:pPr>
        <w:pStyle w:val="TextoNormal"/>
      </w:pPr>
    </w:p>
    <w:p w:rsidR="00A90898" w:rsidRDefault="00A90898" w:rsidP="00A90898">
      <w:pPr>
        <w:pStyle w:val="TextoNormal"/>
      </w:pPr>
      <w:r>
        <w:t>b) Mediante diligencia de ordenación de la Secretaria Judicial del Juzgado de lo Contencioso-Administrativo núm. 5 de Málaga, de fecha 8 de enero de 2015, se requirió a la actora para que en el plazo de diez días presentase escrito de demanda que se ajustase a los requisitos y formalidades legales, así como que aportase justificación suficiente de la satisfacción de la tasa prevista en el art. 8.2 de la Ley 10/2012, de 20 de noviembre, o, en su caso, justificase, mediante aportación de copia del certificado expedido por la Comisión de Asistencia Jurídica Gratuita, ser titular del beneficio de asistencia jurídica gratuita, y estar exento de la satisfacción de tasas judiciales. Todo ello con el apercibimiento de que en caso de no subsanar los defectos advertidos en el plazo señalado, el juez se pronunciaría sobre el archivo de las actuaciones [art. 45.3 de la Ley reguladora de la jurisdicción contencioso-administrativa (LJCA)]. Cumplimentado el anterior requerimiento, por Decreto de 4 de febrero de 2015 se acordó admitir a trámite la demanda, y tramitar el recurso por las normas del procedimiento abreviado, bajo el núm. 1-2015, señaló para la celebración de la vista el 16 de abril de 2015.</w:t>
      </w:r>
    </w:p>
    <w:p w:rsidR="00A90898" w:rsidRDefault="00A90898" w:rsidP="00A90898">
      <w:pPr>
        <w:pStyle w:val="TextoNormal"/>
      </w:pPr>
    </w:p>
    <w:p w:rsidR="00A90898" w:rsidRDefault="00A90898" w:rsidP="00A90898">
      <w:pPr>
        <w:pStyle w:val="TextoNormal"/>
      </w:pPr>
      <w:r>
        <w:t>c) En el acto de la vista, tras ratificarse la actora en su demanda, la Administración demandada opuso al contestar la demanda causa de inadmisibilidad, por incumplimiento por la demandante de lo previsto en el art. 45.2 d) LJCA, pues, a pesar de que la recurrente había acompañado escrito autorizando el ejercicio de las acciones por su administrador único, no constaban en autos las facultades de éste. Consta en la grabación de la vista que el Letrado de la mercantil recurrente no efectuó alegación alguna sobre dicho óbice procesal, así como que el Magistrado-Juez no acordó oír a la actora sobre esa alegación ni resolvió en la vista sobre el incumplimiento alegado del requisito del art. 45.2 d) LJCA y sobre la continuación de la misma.</w:t>
      </w:r>
    </w:p>
    <w:p w:rsidR="00A90898" w:rsidRDefault="00A90898" w:rsidP="00A90898">
      <w:pPr>
        <w:pStyle w:val="TextoNormal"/>
      </w:pPr>
    </w:p>
    <w:p w:rsidR="00A90898" w:rsidRDefault="00A90898" w:rsidP="00A90898">
      <w:pPr>
        <w:pStyle w:val="TextoNormal"/>
      </w:pPr>
      <w:r>
        <w:t>d) Con fecha 17 de abril de 2015, el Juzgado de lo Contencioso-Administrativo núm. 5 de Málaga dictó Sentencia por la que acordó inadmitir el recurso contencioso-administrativo interpuesto, sin entrar en el fondo del asunto, por incumplimiento de las previsiones contenidas en el artículo 45.2 d) LJCA. El órgano judicial fundamentó su Sentencia en que, opuesta la causa de inadmisión por la Administración demandada, la recurrente no alegó ni propuso prueba al respecto y, transcribiendo el contenido de la certificación aportada por ésta, afirmó que no se habían aportado los estatutos sociales y, por ello, no constaba en autos el órgano social que había autorizado el ejercicio de acciones, ni si tenía facultades para ello.</w:t>
      </w:r>
    </w:p>
    <w:p w:rsidR="00A90898" w:rsidRDefault="00A90898" w:rsidP="00A90898">
      <w:pPr>
        <w:pStyle w:val="TextoNormal"/>
      </w:pPr>
    </w:p>
    <w:p w:rsidR="00A90898" w:rsidRDefault="00A90898" w:rsidP="00A90898">
      <w:pPr>
        <w:pStyle w:val="TextoNormal"/>
      </w:pPr>
      <w:r>
        <w:t>e) Mediante escrito de 30 abril de 2015, la representación procesal de la actora promovió incidente de nulidad de actuaciones, al amparo del artículo 241.1 de la Ley Orgánica del Poder Judicial (LOPJ), alegando la lesión de su derecho a la tutela judicial efectiva y a no padecer indefensión (art. 24.1 CE), y a un proceso con todas las garantías (art. 24.2 CE), solicitando la retroacción de las actuaciones al momento anterior al dictado de la Sentencia y ser requerida para subsanar el defecto de aportación de la referida documentación. Alegó la mercantil recurrente que tras presentar la demanda fue requerida por el Juzgado para subsanar otros defectos procesales y no se le requirió para que completase la certificación aportada para cumplir el requisito establecido en el art. 45.2 d) LJCA, añadiendo que, una vez opuesta la excepción en la vista, ya no cabía en el procedimiento abreviado la posibilidad de contestar a dicha oposición.</w:t>
      </w:r>
    </w:p>
    <w:p w:rsidR="00A90898" w:rsidRDefault="00A90898" w:rsidP="00A90898">
      <w:pPr>
        <w:pStyle w:val="TextoNormal"/>
      </w:pPr>
    </w:p>
    <w:p w:rsidR="00A90898" w:rsidRDefault="00A90898" w:rsidP="00A90898">
      <w:pPr>
        <w:pStyle w:val="TextoNormal"/>
      </w:pPr>
      <w:r>
        <w:t>f) El incidente de nulidad de actuaciones fue inadmitido mediante Auto de 5 de mayo de 2015, en el que se argumenta como fundamento del mismo que la admisión inicial del recurso contencioso-administrativo por decreto de 4 de febrero de 2015 no impide a la parte contraria alegar en la vista motivos de inadmisibilidad, y que cabe en ese trámite la posibilidad de rebatir la argumentación opuesta, así como solicitar la suspensión del acto para subsanar, conforme a lo previsto en el art. 193 de la Ley de enjuiciamiento civil (LEC). Añade el Auto que el fundamento de Derecho segundo de la Sentencia impugnada motivaba con cita jurisprudencial la no necesidad de que el órgano judicial efectúe en ese acto un requerimiento de subsanación y la insuficiencia del acuerdo de ejercicio de acciones presentado. Concluye el Auto que no existe, por tanto, vulneración del art. 24 CE, cuando la situación a que se achaca tal vulneración sea debida a la pasividad, desinterés, error técnico o impericia de las partes o de los profesionales que las representen o defiendan, con apoyo en la STC 18/1996, de 12 de febrero, FJ 3.</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La demanda de amparo denuncia que tanto la Sentencia como el Auto impugnados vulneran sus derechos fundamentales a la tutela judicial efectiva y a no padecer indefensión (art. 24.1 CE) y a un proceso con todas las garantías (art. 24.2 CE). Solicita que se declare su nulidad y se retrotraigan las actuaciones al momento inmediatamente anterior al fallo del recurso contencioso-administrativo, para que el órgano judicial dicte nueva Sentencia con pleno respeto a los derechos fundamentales lesionados.</w:t>
      </w:r>
    </w:p>
    <w:p w:rsidR="00A90898" w:rsidRDefault="00A90898" w:rsidP="00A90898">
      <w:pPr>
        <w:pStyle w:val="TextoNormal"/>
      </w:pPr>
    </w:p>
    <w:p w:rsidR="00A90898" w:rsidRDefault="00A90898" w:rsidP="00A90898">
      <w:pPr>
        <w:pStyle w:val="TextoNormal"/>
      </w:pPr>
      <w:r>
        <w:t>Alega que las lesiones denunciadas se producen por no haber requerido a esa parte la subsanación para que aportase el documento previsto en el art. 45.2 d) LJCA, aunque considera que el certificado aportado es válido y conforme a Derecho, no siendo necesario aportar a tal fin los estatutos de la sociedad, al tratarse de una entidad mercantil limitada con administrador único elegido con carácter indefinido en la escritura fundacional, es forzoso reconocer que el administrador único es quien tiene conferida la facultad de interponer acciones judiciales. No obstante, considera que la infracción del derecho a la tutela judicial efectiva se produce por haber dictado una Sentencia de inadmisión sin haber dado la posibilidad de subsanar el requisito incumplido, y que, tratándose de un procedimiento abreviado, con sus peculiaridades, alegándose la causa de inadmisión en la contestación a la demanda, en el acto de la vista, nada podía hacer en la proposición de prueba y en las conclusiones, y no existía ni siquiera la posibilidad de dar un plazo para la subsanación.</w:t>
      </w:r>
    </w:p>
    <w:p w:rsidR="00A90898" w:rsidRDefault="00A90898" w:rsidP="00A90898">
      <w:pPr>
        <w:pStyle w:val="TextoNormal"/>
      </w:pPr>
    </w:p>
    <w:p w:rsidR="00A90898" w:rsidRDefault="00A90898" w:rsidP="00A90898">
      <w:pPr>
        <w:pStyle w:val="TextoNormal"/>
      </w:pPr>
      <w:r>
        <w:t>Considera, por otro lado, que el Auto de 5 de mayo de 2015 que inadmitió el incidente de nulidad de actuaciones lesiona asimismo el derecho fundamental a la tutela judicial efectiva, a la proscripción de la indefensión y a un proceso con todas las garantías porque sostiene que el mismo no da respuesta a la cuestión planteada en el incidente de nulidad de actuaciones, por lo que entiende que incurre en incongruencia omisiva causante de indefensión material.</w:t>
      </w:r>
    </w:p>
    <w:p w:rsidR="00A90898" w:rsidRDefault="00A90898" w:rsidP="00A90898">
      <w:pPr>
        <w:pStyle w:val="TextoNormal"/>
      </w:pPr>
    </w:p>
    <w:p w:rsidR="00A90898" w:rsidRDefault="00A90898" w:rsidP="00A90898">
      <w:pPr>
        <w:pStyle w:val="TextoNormal"/>
      </w:pPr>
      <w:r w:rsidRPr="00A90898">
        <w:rPr>
          <w:rStyle w:val="NumeroAFNegritaCaracter"/>
        </w:rPr>
        <w:t>4</w:t>
      </w:r>
      <w:r>
        <w:t>. En virtud de providencia de la Sala Segunda, de 1 de diciembre de 2015, se acordó la admisión a trámite de la demanda de amparo, “apreciando que concurre en la misma una especial trascendencia constitucional (art. 50.1 LOTC) porque el recurso pueda dar ocasión al Tribunal para aclarar o cambiar su doctrina, como consecuencia de un proceso de reflexión interna [STC 155/2009, FJ 2, b)]”, y se acordó dirigir atenta comunicación al Ayuntamiento de Marbella, a fin de que, en el plazo de diez días remitiera certificación o fotocopia adverada de las actuaciones correspondientes al expediente relativo a la resolución de fecha 7 de octubre de 2014, desestimatoria del recurso de reposición contra la liquidación en concepto de tasa por licencias urbanísticas de obras, impugnada en el recurso contencioso-administrativo correspondiente. Asimismo, se acordó dirigir atenta comunicación al Juzgado de lo Contencioso-Administrativo núm. 5 de Málaga, a fin de que, en el mismo plazo, remitiera certificación o fotocopia adverada de las actuaciones correspondientes al procedimiento abreviado núm. 1-2015, debiendo previamente emplazarse a quienes hubiesen sido parte en el procedimiento, excepto la parte demandante de amparo, para que en el plazo de diez días pudiesen comparecer, si lo deseasen, en el recurso de amparo. También se acordó en la misma resolución requerir a la Procuradora de la demandante para que en el mismo término aportara la escritura original del poder que acreditara su representación, con el apercibimiento de que, de no efectuarlo, podría ser decaída en su derecho.</w:t>
      </w:r>
    </w:p>
    <w:p w:rsidR="00A90898" w:rsidRDefault="00A90898" w:rsidP="00A90898">
      <w:pPr>
        <w:pStyle w:val="TextoNormal"/>
      </w:pPr>
    </w:p>
    <w:p w:rsidR="00A90898" w:rsidRDefault="00A90898" w:rsidP="00A90898">
      <w:pPr>
        <w:pStyle w:val="TextoNormal"/>
      </w:pPr>
      <w:r>
        <w:t>Dicho requerimiento fue cumplimentado mediante escrito presentado el 15 de diciembre de 2015.</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diligencia de ordenación de 11 de febrero de 2016 se acordó dar vista de las actuaciones recibidas a la parte recurrente y al Ministerio Fiscal por plazo común de 20 días para formular las alegaciones que estimaran pertinentes, conforme a lo dispuesto por el art. 52.1 de la Ley Orgánica del tribunal Constitucional (LOTC).</w:t>
      </w:r>
    </w:p>
    <w:p w:rsidR="00A90898" w:rsidRDefault="00A90898" w:rsidP="00A90898">
      <w:pPr>
        <w:pStyle w:val="TextoNormal"/>
      </w:pPr>
    </w:p>
    <w:p w:rsidR="00A90898" w:rsidRDefault="00A90898" w:rsidP="00A90898">
      <w:pPr>
        <w:pStyle w:val="TextoNormal"/>
      </w:pPr>
      <w:r w:rsidRPr="00A90898">
        <w:rPr>
          <w:rStyle w:val="NumeroAFNegritaCaracter"/>
        </w:rPr>
        <w:t>6</w:t>
      </w:r>
      <w:r>
        <w:t>. La recurrente presentó escrito de alegaciones con fecha 16 de marzo de 2016, dando por reproducidas las formuladas en la demanda, indicando que la Sentencia impugnada lesiona su derecho a la tutela judicial efectiva por no estar fundada en Derecho, por error patente, ya que en la diligencia de ordenación por la que se le requirió la subsanación de diversos aspectos del recurso contencioso-administrativo interpuesto nada se dijo con respecto al certificado aportado a los efectos del art. 45.2 d) LJCA, así como que el Auto de 5 de mayo de 2015, que inadmitió el incidente de nulidad de actuaciones, incurrió en incongruencia omisiva causante de indefensión material por entender que no dio respuesta a la cuestión planteada por la recurrente.</w:t>
      </w:r>
    </w:p>
    <w:p w:rsidR="00A90898" w:rsidRDefault="00A90898" w:rsidP="00A90898">
      <w:pPr>
        <w:pStyle w:val="TextoNormal"/>
      </w:pPr>
    </w:p>
    <w:p w:rsidR="00A90898" w:rsidRDefault="00A90898" w:rsidP="00A90898">
      <w:pPr>
        <w:pStyle w:val="TextoNormal"/>
      </w:pPr>
      <w:r w:rsidRPr="00A90898">
        <w:rPr>
          <w:rStyle w:val="NumeroAFNegritaCaracter"/>
        </w:rPr>
        <w:t>7</w:t>
      </w:r>
      <w:r>
        <w:t>. . El Ministerio Fiscal, mediante escrito presentado el 21 de marzo de 2016, efectuó alegaciones interesando que se otorgara el amparo solicitado, declarando la vulneración del derecho a la tutela judicial efectiva en su vertiente de acceso a la jurisdicción, acordando la nulidad de la Sentencia núm. 353/2015 del Juzgado de lo Contencioso-Administrativo núm. 5 de Málaga, de fecha 17 de abril de 2015, y del Auto de fecha 5 de mayo de 2015, resoluciones ambas recaídas en el procedimiento abreviado núm. 1-2015, seguido ante dicho órgano judicial, y retrotrayendo las actuaciones, en lo que afecta a la demandante de amparo, al momento inmediatamente anterior a emitir la reseñada Sentencia, para que se dicte una resolución respetuosa con el derecho que se declara vulnerado.</w:t>
      </w:r>
    </w:p>
    <w:p w:rsidR="00A90898" w:rsidRDefault="00A90898" w:rsidP="00A90898">
      <w:pPr>
        <w:pStyle w:val="TextoNormal"/>
      </w:pPr>
    </w:p>
    <w:p w:rsidR="00A90898" w:rsidRDefault="00A90898" w:rsidP="00A90898">
      <w:pPr>
        <w:pStyle w:val="TextoNormal"/>
      </w:pPr>
      <w:r>
        <w:t xml:space="preserve">Considera que “la cuestión central planteada gira en torno a la respuesta brindada por el órgano judicial a la acreditación en el caso del cumplimiento de los requisitos impuestos a las partes jurídicas para entablar acciones en el proceso contencioso-administrativo y la procedencia del dictado de una sentencia de inadmisibilidad sin otorgar posibilidad de subsanación en el supuesto de apreciación de un déficit al respecto por el órgano judicial”. Y entiende que al haberse acordado por dicho motivo la inadmisión del recurso contencioso-administrativo, la respuesta debe ser abordada desde la perspectiva del principio </w:t>
      </w:r>
      <w:r w:rsidRPr="00A90898">
        <w:rPr>
          <w:i/>
        </w:rPr>
        <w:t>pro actione</w:t>
      </w:r>
      <w:r>
        <w:t>, pues, a su juicio, aunque no se especifique en la demanda de forma explícita, ha de entenderse implícita en la denuncia de la infracción de la tutela judicial efectiva sin indefensión, una infracción del derecho de acceso al proceso, por haberse denegado éste de forma indebida, privando a la mercantil recurrente del derecho a obtener una resolución fundada sobre el fondo del asunto, con cita de las SSTC 122/1999, de 28 de junio, FJ 2, y 133/2005, de 23 de mayo, FJ 2.</w:t>
      </w:r>
    </w:p>
    <w:p w:rsidR="00A90898" w:rsidRDefault="00A90898" w:rsidP="00A90898">
      <w:pPr>
        <w:pStyle w:val="TextoNormal"/>
      </w:pPr>
    </w:p>
    <w:p w:rsidR="00A90898" w:rsidRDefault="00A90898" w:rsidP="00A90898">
      <w:pPr>
        <w:pStyle w:val="TextoNormal"/>
      </w:pPr>
      <w:r>
        <w:t xml:space="preserve">Recuerda el Ministerio Fiscal que, en general, el control sobre la concurrencia de los requisitos procesales y materiales para la válida constitución del proceso constituye una cuestión de legalidad ordinaria, pero que este Tribunal es competente, a su vez, para controlar aquellas decisiones judiciales en las que la interpretación realizada por el órgano judicial sea arbitraria, manifiestamente irrazonable o fuente de un error patente, así como los casos en que se trate de acceso a la jurisdicción y la normativa haya sido interpretada de forma rigorista, excesivamente formalista o desproporcionada en relación con los fines que </w:t>
      </w:r>
      <w:r>
        <w:lastRenderedPageBreak/>
        <w:t>preserva y los intereses que se sacrifican (SSTC 231/2001, de 26 de noviembre, FJ. 2; 132/2005, de 23 de mayo, y 243/2005, de 10 de octubre, FJ 3).</w:t>
      </w:r>
    </w:p>
    <w:p w:rsidR="00A90898" w:rsidRDefault="00A90898" w:rsidP="00A90898">
      <w:pPr>
        <w:pStyle w:val="TextoNormal"/>
      </w:pPr>
    </w:p>
    <w:p w:rsidR="00A90898" w:rsidRDefault="00A90898" w:rsidP="00A90898">
      <w:pPr>
        <w:pStyle w:val="TextoNormal"/>
      </w:pPr>
      <w:r>
        <w:t xml:space="preserve">Afirma el Ministerio Fiscal que la jurisprudencia del Tribunal Supremo, en la interpretación general del art. 45.2 d) LJCA no se ha mostrado unánime sobre el alcance del mismo, pero afirma que, detectado su déficit, no se pone en duda, ni en la doctrina ni en la jurisprudencia que éste es subsanable. Y añade que la Sentencia impugnada entiende que la inexistencia de alegaciones por la actora eximía al órgano judicial de abrir un trámite de subsanación, basándose en la jurisprudencia emitida en supuestos de procedimiento ordinario, con base en el art. 138 LJCA. No obstante, afirma el Fiscal que en un supuesto como el presente en el que la alegación se produce en la contestación a la demanda en la vista en la que se concentran los trámites decisivos en el procedimiento abreviado, se plantea un problema interpretativo agudo desde la perspectiva constitucional y especialmente desde la vigencia del principio </w:t>
      </w:r>
      <w:r w:rsidRPr="00A90898">
        <w:rPr>
          <w:i/>
        </w:rPr>
        <w:t>pro actione</w:t>
      </w:r>
      <w:r>
        <w:t xml:space="preserve"> que rige en materia de acceso a la jurisdicción, concluyendo que sería procedente desde la perspectiva constitucional una interpretación que favoreciese la efectividad del derecho a la tutela judicial efectiva sin indefensión (art. 24.1 CE), consistente en mantener que el órgano judicial debe mostrarse en esos casos especialmente proactivo en la evitación de la situación de indefensión y de privación de una resolución sobre el fondo y que la decisión en el presente caso fue excesivamente rigorista, máxime teniendo en cuenta que en el supuesto subyacente podía haberse generado una confianza en la mercantil demandante en que no se apreciaría judicialmente el déficit, dado el hecho de haber sido formalmente requerida de oficio para una subsanación mediante diligencia de ordenación de fecha 8 de enero de 2015 sin habérsele hecho reparar de oficio el posible defecto luego determinante de la inadmisión, así como por la circunstancia de que se había aportado por la actora un documento a los efectos del artículo 45.2 d) LJCA que la misma consideraba suficiente. Y, teniendo en cuenta estas circunstancias, el Ministerio Fiscal entiende que la inadmisión resulta desproporcionada, al no dar posibilidad de subsanación a la recurrente, impidiéndole obtener una respuesta sobre el fondo, “sobre la base de una interpretación rigorista” y no acorde con el principio </w:t>
      </w:r>
      <w:r w:rsidRPr="00A90898">
        <w:rPr>
          <w:i/>
        </w:rPr>
        <w:t>pro actione</w:t>
      </w:r>
      <w:r>
        <w:t>, que rige en materia de acceso a la jurisdicción “y por ello dicha respuesta devendría vulneradora del derecho a la tutela judicial efectiva sin indefensión”.</w:t>
      </w:r>
    </w:p>
    <w:p w:rsidR="00A90898" w:rsidRDefault="00A90898" w:rsidP="00A90898">
      <w:pPr>
        <w:pStyle w:val="TextoNormal"/>
      </w:pPr>
    </w:p>
    <w:p w:rsidR="00A90898" w:rsidRDefault="00A90898" w:rsidP="00A90898">
      <w:pPr>
        <w:pStyle w:val="TextoNormal"/>
      </w:pPr>
      <w:r w:rsidRPr="00A90898">
        <w:rPr>
          <w:rStyle w:val="NumeroAFNegritaCaracter"/>
        </w:rPr>
        <w:t>8</w:t>
      </w:r>
      <w:r>
        <w:t>. . Por providencia de 29 de septiembre de 2016, se acordó señalar para deliberación y votación de la presente Sentencia el día 3 de octubre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La demandante de amparo impugna, por un lado, la Sentencia del Juzgado de lo Contencioso-Administrativo núm. 5 de Málaga de fecha 17 de abril de 2015, por la que se inadmitió el recurso contencioso-administrativo interpuesto, por incumplimiento de la exigencia del art. 45.2 d) de la Ley reguladora de la jurisdicción contencioso-administrativa (LJCA), sobre la aportación de los documentos que acrediten el cumplimiento de los requisitos exigidos para entablar acciones las personas jurídicas con arreglo a las normas o estatutos que les sean de aplicación, y, por otro, el Auto de fecha 5 de mayo de 2015, del mismo órgano judicial, que inadmitió el incidente de nulidad de actuaciones promovido contra la Sentencia anterior. La recurrente denuncia que tanto la Sentencia como el Auto citados vulneran sus </w:t>
      </w:r>
      <w:r>
        <w:lastRenderedPageBreak/>
        <w:t>derechos fundamentales a la tutela judicial efectiva y a no padecer indefensión (art. 24.1 CE) y a un proceso con todas las garantías (art. 24.2 CE).</w:t>
      </w:r>
    </w:p>
    <w:p w:rsidR="00A90898" w:rsidRDefault="00A90898" w:rsidP="00A90898">
      <w:pPr>
        <w:pStyle w:val="TextoNormal"/>
      </w:pPr>
    </w:p>
    <w:p w:rsidR="00A90898" w:rsidRDefault="00A90898" w:rsidP="00A90898">
      <w:pPr>
        <w:pStyle w:val="TextoNormal"/>
      </w:pPr>
      <w:r>
        <w:t>Por su parte, el Fiscal ha solicitado el otorgamiento del amparo, por entender producida la lesión del derecho de acceso a la jurisdicción por la Sentencia y por el Auto que inadmitió el incidente de nulidad de actuaciones promovido por la actora.</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ha puesto en duda la especial trascendencia constitucional de este recurso, habida cuenta de que es requisito para su admisión de conformidad con los arts. 49.1 y 50.1 b) de nuestra Ley Orgánica reguladora, esta condición de requisito de admisión y por consiguiente de orden público procesal (entre otras, STC 113/2012, de 24 de mayo, FJ 2, y las allí citadas) así como exigencias de certeza y buena administración de justicia (STEDH de 20 de enero de 2015, caso </w:t>
      </w:r>
      <w:r w:rsidRPr="00A90898">
        <w:rPr>
          <w:i/>
        </w:rPr>
        <w:t>Arribas Antón c. España</w:t>
      </w:r>
      <w:r>
        <w:t>, apartado 46) obligan a explicitar el cumplimiento de ese requisito para hacer así recognoscibles los criterios empleados al efecto por este Tribunal.</w:t>
      </w:r>
    </w:p>
    <w:p w:rsidR="00A90898" w:rsidRDefault="00A90898" w:rsidP="00A90898">
      <w:pPr>
        <w:pStyle w:val="TextoNormal"/>
      </w:pPr>
    </w:p>
    <w:p w:rsidR="00A90898" w:rsidRDefault="00A90898" w:rsidP="00A90898">
      <w:pPr>
        <w:pStyle w:val="TextoNormal"/>
      </w:pPr>
      <w:r>
        <w:t>En el presente caso, este Tribunal ha apreciado la concurrencia del supuesto del fundamento jurídico 2 b) de la STC 155/2009, de 25 de junio, porque puede dar ocasión al Tribunal Constitucional para aclarar o cambiar su doctrina, como consecuencia de un proceso de reflexión interna, permitiéndole perfilar su doctrina relativa a la subsanación de defectos formales en aquellos casos en que se trata de un procedimiento abreviado, caracterizado por la oralidad, la inmediación y el papel activo del juzgador.</w:t>
      </w:r>
    </w:p>
    <w:p w:rsidR="00A90898" w:rsidRDefault="00A90898" w:rsidP="00A90898">
      <w:pPr>
        <w:pStyle w:val="TextoNormal"/>
      </w:pPr>
    </w:p>
    <w:p w:rsidR="00A90898" w:rsidRDefault="00A90898" w:rsidP="00A90898">
      <w:pPr>
        <w:pStyle w:val="TextoNormal"/>
      </w:pPr>
      <w:r w:rsidRPr="00A90898">
        <w:rPr>
          <w:rStyle w:val="NumeroAFNegritaCaracter"/>
        </w:rPr>
        <w:t>3</w:t>
      </w:r>
      <w:r>
        <w:t>. Para centrar el debate que se suscita en este recurso de amparo debemos precisar que la lesión denunciada del derecho a la tutela judicial efectiva sin indefensión y de un proceso con todas las garantías lleva implícita, como acertadamente indica el Ministerio Fiscal, una lesión de la vertiente del derecho de acceso a la jurisdicción, pues la denunciada vulneración produce como resultado inmediato la denegación del acceso a una resolución de fondo (por todas, SSTC 218/2009, de 21 de diciembre, FJ 2, y 139/2010, de 21 de diciembre, FJ 4).</w:t>
      </w:r>
    </w:p>
    <w:p w:rsidR="00A90898" w:rsidRDefault="00A90898" w:rsidP="00A90898">
      <w:pPr>
        <w:pStyle w:val="TextoNormal"/>
      </w:pPr>
    </w:p>
    <w:p w:rsidR="00A90898" w:rsidRDefault="00A90898" w:rsidP="00A90898">
      <w:pPr>
        <w:pStyle w:val="TextoNormal"/>
      </w:pPr>
      <w:r>
        <w:t>Concretado así el derecho invocado, el canon de enjuiciamiento constitucional de la queja planteada se encuentra recogido en la STC 186/2015, de 21 de septiembre, FJ 3, que, con cita de la STC 167/2014, de 22 de octubre, FJ 4, sintetiza la doctrina sobre este aspecto en los siguientes términos:</w:t>
      </w:r>
    </w:p>
    <w:p w:rsidR="00A90898" w:rsidRDefault="00A90898" w:rsidP="00A90898">
      <w:pPr>
        <w:pStyle w:val="TextoNormal"/>
      </w:pPr>
    </w:p>
    <w:p w:rsidR="00A90898" w:rsidRDefault="00A90898" w:rsidP="00A90898">
      <w:pPr>
        <w:pStyle w:val="TextoNormal"/>
      </w:pPr>
      <w:r>
        <w:t>“a) El primer contenido del derecho que reconoce el art. 24.1 CE es el acceso a la jurisdicción, que permite ser parte en un proceso y obtener un pronunciamiento sobre las pretensiones deducidas. No se trata, sin embargo, de un derecho absoluto e incondicionado, sino que ha de someterse a los cauces procesales existentes y de acuerdo con la ordenación legal, pues, en cuanto derecho de configuración legal, su ejercicio y dispensación se supeditan al cumplimiento de los presupuestos y requisitos establecidos por el legislador en cada caso. Por tal razón, queda también satisfecho cuando se emite un pronunciamiento de inadmisión que aprecie razonada y razonablemente la concurrencia de una causa establecida expresamente en la ley.</w:t>
      </w:r>
    </w:p>
    <w:p w:rsidR="00A90898" w:rsidRDefault="00A90898" w:rsidP="00A90898">
      <w:pPr>
        <w:pStyle w:val="TextoNormal"/>
      </w:pPr>
    </w:p>
    <w:p w:rsidR="00A90898" w:rsidRDefault="00A90898" w:rsidP="00A90898">
      <w:pPr>
        <w:pStyle w:val="TextoNormal"/>
      </w:pPr>
      <w:r>
        <w:t xml:space="preserve">b) Tratándose del derecho de acceso a la jurisdicción, opera en toda su intensidad el principio </w:t>
      </w:r>
      <w:r w:rsidRPr="00A90898">
        <w:rPr>
          <w:i/>
        </w:rPr>
        <w:t>pro actione</w:t>
      </w:r>
      <w:r>
        <w:t xml:space="preserve">, por lo que no sólo conculcan el derecho fundamental las resoluciones de inadmisión o desestimación que incurran en arbitrariedad, irrazonabilidad o error patente, </w:t>
      </w:r>
      <w:r>
        <w:lastRenderedPageBreak/>
        <w:t>sino también las que se encuentren basadas en criterios que por su rigorismo, formalismo excesivo o cualquier otra razón revelen una clara desproporción entre los fines que la causa legal aplicada preserva y los intereses que se sacrifican como consecuencia de la inadmisión. Además, como consecuencia de la vigencia de dicho principio, el control constitucional de las decisiones de admisión ha de verificarse de forma especialmente intensa, en cuanto aquél impide interpretaciones y aplicaciones de los requisitos establecidos legalmente para acceder al proceso que obstaculicen injustificadamente el derecho a que un órgano judicial conozca o resuelva en Derecho sobre la pretensión que le haya sido sometida.</w:t>
      </w:r>
    </w:p>
    <w:p w:rsidR="00A90898" w:rsidRDefault="00A90898" w:rsidP="00A90898">
      <w:pPr>
        <w:pStyle w:val="TextoNormal"/>
      </w:pPr>
    </w:p>
    <w:p w:rsidR="00A90898" w:rsidRDefault="00A90898" w:rsidP="00A90898">
      <w:pPr>
        <w:pStyle w:val="TextoNormal"/>
      </w:pPr>
      <w:r>
        <w:t xml:space="preserve">c) Aunque el principio </w:t>
      </w:r>
      <w:r w:rsidRPr="00A90898">
        <w:rPr>
          <w:i/>
        </w:rPr>
        <w:t>pro actione</w:t>
      </w:r>
      <w:r>
        <w:t xml:space="preserve"> obliga a los órganos judiciales en los supuestos de acceso a la jurisdicción a aplicar las normas reguladoras de los requisitos y presupuestos procesales teniendo siempre presente el fin perseguido por el legislador al establecerlos, ello no implica necesariamente la selección forzosa de la solución interpretativa más favorable a la admisión de la demanda ni puede conducir a que se prescinda de los requisitos establecidos por las leyes que ordenan el proceso en garantía de los derechos de todas las partes.”</w:t>
      </w:r>
    </w:p>
    <w:p w:rsidR="00A90898" w:rsidRDefault="00A90898" w:rsidP="00A90898">
      <w:pPr>
        <w:pStyle w:val="TextoNormal"/>
      </w:pPr>
    </w:p>
    <w:p w:rsidR="00A90898" w:rsidRDefault="00A90898" w:rsidP="00A90898">
      <w:pPr>
        <w:pStyle w:val="TextoNormal"/>
      </w:pPr>
      <w:r w:rsidRPr="00A90898">
        <w:rPr>
          <w:rStyle w:val="NumeroAFNegritaCaracter"/>
        </w:rPr>
        <w:t>4</w:t>
      </w:r>
      <w:r>
        <w:t>. Por otra parte, y en conexión con lo anterior, como afirmamos en la misma STC 186/2015, de 21 de septiembre, FJ 4, “este Tribunal ha afirmado que el derecho a la tutela judicial efectiva impide la clausura de un procedimiento por defectos que pueden ser subsanados, de modo que, para que las decisiones de inadmisión por incumplimiento de los requisitos procesales sean acordes con el expresado derecho, es preciso además que el requisito incumplido, atendidas las circunstancias del caso, sea insubsanable o que, siendo subsanable, no haya sido corregido por el actor pese a que el órgano judicial le haya otorgado esa posibilidad, tal como prevé el art. 11.3 LOPJ (SSTC 147/1997, de 16 de septiembre, FJ 4; 122/1999, de 28 de junio, FJ 2, y 153/2002, de 15 de julio, FJ 2).”</w:t>
      </w:r>
    </w:p>
    <w:p w:rsidR="00A90898" w:rsidRDefault="00A90898" w:rsidP="00A90898">
      <w:pPr>
        <w:pStyle w:val="TextoNormal"/>
      </w:pPr>
    </w:p>
    <w:p w:rsidR="00A90898" w:rsidRDefault="00A90898" w:rsidP="00A90898">
      <w:pPr>
        <w:pStyle w:val="TextoNormal"/>
      </w:pPr>
      <w:r>
        <w:t>Y, como se recuerda, entre otras, en la STC 285/2000, de 27 de noviembre, FJ 4,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w:t>
      </w:r>
    </w:p>
    <w:p w:rsidR="00A90898" w:rsidRDefault="00A90898" w:rsidP="00A90898">
      <w:pPr>
        <w:pStyle w:val="TextoNormal"/>
      </w:pPr>
    </w:p>
    <w:p w:rsidR="00A90898" w:rsidRDefault="00A90898" w:rsidP="00A90898">
      <w:pPr>
        <w:pStyle w:val="TextoNormal"/>
      </w:pPr>
      <w:r>
        <w:t xml:space="preserve">Es más, este Tribunal ha afirmado que se debe conceder la posibilidad de subsanación incluso en el caso de que no existiera una previsión legal expresa, pues “la necesidad de dar ocasión a la subsanación del defecto advertido, cuando éste, atendida la </w:t>
      </w:r>
      <w:r w:rsidRPr="00A90898">
        <w:rPr>
          <w:i/>
        </w:rPr>
        <w:t>ratio</w:t>
      </w:r>
      <w:r>
        <w:t xml:space="preserve"> de su exigencia procesal, sea susceptible de reparación sin menoscabo de la regularidad del procedimiento y sin daño de la posición de la parte adversa, y siempre que, en definitiva, no sea de apreciar una posición negligente o contumaz en el recurrente, depende, no de la existencia de previsiones legislativas específicas en cada procedimiento, sino del contenido normativo del mismo art. 24.1 CE, regla ésta … que impone al Juzgador un deber de favorecer la defensa de los derechos e intereses cuya tutela ante él se reclame, sin denegar dicha protección mediante la aplicación desproporcionada de las normas procesales que prevén una resolución </w:t>
      </w:r>
      <w:r>
        <w:lastRenderedPageBreak/>
        <w:t>de inadmisión o de eficacia equiparable” (SSTC 285/2000, de 27 de noviembre, FJ 4, y 182/2003, de 20 de octubre, FJ 5).</w:t>
      </w:r>
    </w:p>
    <w:p w:rsidR="00A90898" w:rsidRDefault="00A90898" w:rsidP="00A90898">
      <w:pPr>
        <w:pStyle w:val="TextoNormal"/>
      </w:pPr>
    </w:p>
    <w:p w:rsidR="00A90898" w:rsidRDefault="00A90898" w:rsidP="00A90898">
      <w:pPr>
        <w:pStyle w:val="TextoNormal"/>
      </w:pPr>
      <w:r w:rsidRPr="00A90898">
        <w:rPr>
          <w:rStyle w:val="NumeroAFNegritaCaracter"/>
        </w:rPr>
        <w:t>5</w:t>
      </w:r>
      <w:r>
        <w:t>. El examen de las actuaciones judiciales remitidas por el Juzgado de lo Contencioso-Administrativo núm. 5 de Málaga pone de relieve que la actora interpuso recurso contencioso-administrativo contra el decreto de fecha 7 de octubre de 2014, dictado por el Coordinador general de Hacienda y Administración pública del Ayuntamiento de Marbella, desestimatorio del recurso de reposición interpuesto contra la liquidación girada en concepto de tasa por licencias urbanísticas de obras. Al escrito de interposición se acompañaba, entre otros documentos, un certificado expedido por el Administrador único de la entidad recurrente, en el que se hacía constar que por el órgano de administración de la misma se había autorizado la interposición de recurso contencioso-administrativo contra el referido acto administrativo. Dicha demanda dio lugar al procedimiento abreviado 1-2015, en el cual, por diligencia de ordenación de 8 de enero de 2015, se requirió la subsanación de dos defectos de la demanda (adecuación de la demanda a los requisitos del art. 78, en relación con el art. 56, ambos de la Ley reguladora de la jurisdicción contencioso-administrativa, y justificante de la satisfacción de la tasa judicial), sin que en dicha resolución se hiciera mención alguna al certificado aportado al efecto de acreditar el cumplimiento del requisito del art. 45.2 d) LJCA. Sin embargo, en la celebración de la correspondiente vista, la Administración demandada opuso, al contestar la demanda en dicho acto, causa de inadmisibilidad del recurso contencioso-administrativo por no ser suficiente el certificado aportado a los efectos previstos en el citado precepto, sin que el Magistrado-Juez diera traslado a la actora para alegaciones sobre la causa de inadmisibilidad opuesta, y sin que se pronunciara sobre la continuación o no de la vista. Celebrada ésta, se dictó posteriormente Sentencia inadmitiendo el recurso contencioso-administrativo, al apreciar el juzgador la causa de inadmisibilidad opuesta por la Administración demandada en la contestación a la demanda, argumentando que la recurrente nada había opuesto a la causa de inadmisibilidad, no constando en autos qué órgano social había autorizado el ejercicio de acciones ni si tenía facultades para ello.</w:t>
      </w:r>
    </w:p>
    <w:p w:rsidR="00A90898" w:rsidRDefault="00A90898" w:rsidP="00A90898">
      <w:pPr>
        <w:pStyle w:val="TextoNormal"/>
      </w:pPr>
    </w:p>
    <w:p w:rsidR="00A90898" w:rsidRDefault="00A90898" w:rsidP="00A90898">
      <w:pPr>
        <w:pStyle w:val="TextoNormal"/>
      </w:pPr>
      <w:r>
        <w:t xml:space="preserve">A la vista de tales antecedentes acerca de cómo discurrió el proceso </w:t>
      </w:r>
      <w:r w:rsidRPr="00A90898">
        <w:rPr>
          <w:i/>
        </w:rPr>
        <w:t>a quo</w:t>
      </w:r>
      <w:r>
        <w:t xml:space="preserve">, hemos de recordar, ante todo, que el art. 45.2 LJCA exige aportar con el escrito de interposición del recurso contencioso-administrativo, entre otros documentos, los que acrediten el cumplimiento de los requisitos exigidos a las personas jurídicas para entablar acciones con arreglo a las normas o estatutos que les sean de aplicación [párrafo d)]. Pero no cabe obviar que la omisión de dicho requisito resulta subsanable, pues como establece el apartado 3 del mismo art. 45 LJCA, el Secretario judicial (actualmente Letrado de la Administración de Justicia, según la denominación que se otorga a los Secretarios Judiciales por la Ley Orgánica 7/2015, de 21 de julio, por la que se modifica la Ley Orgánica del Poder Judicial) examinará de oficio la validez de la comparecencia de la parte recurrente, y que si estima que no concurren los requisitos exigidos por la Ley reguladora de la jurisdicción contencioso-administrativa para tal validez requerirá inmediatamente su subsanación. Es cierto que, en principio, ese examen ha de efectuarse tan pronto como se haya presentado el escrito de interposición, pero, tratándose de verificar la concurrencia de un requisito del que depende la validez de la comparecencia y, con ella, de la de todo el proceso, tal examen puede efectuarse en cualquier momento posterior, incluso en la Sentencia, que puede declarar la inadmisibilidad del recurso [art. 69 b) LJCA], norma referente al procedimiento ordinario, pero aplicable al abreviado, por la subsidiariedad de la regulación de aquél, establecida por el artículo 78.23 LJCA. En todo caso, como ya dijimos en la STC 186/2015, FJ 5, no corresponde a este </w:t>
      </w:r>
      <w:r>
        <w:lastRenderedPageBreak/>
        <w:t>Tribunal valorar la suficiencia del documento presentado a efectos de acreditar el cumplimiento del requisito previsto en el art. 45.2 d) LJCA, pero sí le incumbe apreciar si la decisión del órgano judicial estuvo o no precedida de la concesión de una posibilidad de subsanar la insuficiencia del documento presentado.</w:t>
      </w:r>
    </w:p>
    <w:p w:rsidR="00A90898" w:rsidRDefault="00A90898" w:rsidP="00A90898">
      <w:pPr>
        <w:pStyle w:val="TextoNormal"/>
      </w:pPr>
    </w:p>
    <w:p w:rsidR="00A90898" w:rsidRDefault="00A90898" w:rsidP="00A90898">
      <w:pPr>
        <w:pStyle w:val="TextoNormal"/>
      </w:pPr>
      <w:r>
        <w:t>En el presente caso, hay que partir de que, a diferencia de los supuestos examinados en las SSTC 167/2014, de 22 de octubre, y 186/2015, de 21 de septiembre, el presunto defecto se ha producido en un procedimiento abreviado, el cual presenta una regulación y un desarrollo singulares, establecidos en el art. 78 LJCA. A los efectos que aquí interesan, hemos de centrarnos en lo que disponen los apartados 6, 7 y 8 de dicho precepto, cuyo tenor es el siguiente:</w:t>
      </w:r>
    </w:p>
    <w:p w:rsidR="00A90898" w:rsidRDefault="00A90898" w:rsidP="00A90898">
      <w:pPr>
        <w:pStyle w:val="TextoNormal"/>
      </w:pPr>
    </w:p>
    <w:p w:rsidR="00A90898" w:rsidRDefault="00A90898" w:rsidP="00A90898">
      <w:pPr>
        <w:pStyle w:val="TextoNormal"/>
      </w:pPr>
      <w:r>
        <w:t>“6. La vista comenzará con exposición por el demandante de los fundamentos de lo que pida o ratificación de los expuestos en la demanda.</w:t>
      </w:r>
    </w:p>
    <w:p w:rsidR="00A90898" w:rsidRDefault="00A90898" w:rsidP="00A90898">
      <w:pPr>
        <w:pStyle w:val="TextoNormal"/>
      </w:pPr>
    </w:p>
    <w:p w:rsidR="00A90898" w:rsidRDefault="00A90898" w:rsidP="00A90898">
      <w:pPr>
        <w:pStyle w:val="TextoNormal"/>
      </w:pPr>
      <w:r>
        <w:t>7. Acto seguido, el demandado podrá formular las alegaciones que a su derecho convengan, comenzando, en su caso, por las cuestiones relativas a la jurisdicción, a la competencia objetiva y territorial y a cualquier otro hecho o circunstancia que pueda obstar a la válida prosecución y término del proceso mediante sentencia sobre el fondo.</w:t>
      </w:r>
    </w:p>
    <w:p w:rsidR="00A90898" w:rsidRDefault="00A90898" w:rsidP="00A90898">
      <w:pPr>
        <w:pStyle w:val="TextoNormal"/>
      </w:pPr>
    </w:p>
    <w:p w:rsidR="00A90898" w:rsidRDefault="00A90898" w:rsidP="00A90898">
      <w:pPr>
        <w:pStyle w:val="TextoNormal"/>
      </w:pPr>
      <w:r>
        <w:t>8. Oído el demandante sobre estas cuestiones, el Juez resolverá lo que proceda, y si mandase proseguir el juicio, el demandado podrá pedir que conste en acta su disconformidad. Lo mismo podrá hacer el demandante si el Juez, al resolver sobre alguna de dichas cuestiones, declinara el conocimiento del asunto en favor de otro Juzgado o Tribunal o entendiese que debe declarar la inadmisibilidad del recurso.”</w:t>
      </w:r>
    </w:p>
    <w:p w:rsidR="00A90898" w:rsidRDefault="00A90898" w:rsidP="00A90898">
      <w:pPr>
        <w:pStyle w:val="TextoNormal"/>
      </w:pPr>
    </w:p>
    <w:p w:rsidR="00A90898" w:rsidRDefault="00A90898" w:rsidP="00A90898">
      <w:pPr>
        <w:pStyle w:val="TextoNormal"/>
      </w:pPr>
      <w:r>
        <w:t xml:space="preserve">En virtud de las previsiones legales reproducidas, alegada que fue por la demandada la causa de inadmisibilidad referida al incumplimiento del requisito del art. 45.2 d) LJCA, el órgano judicial venía obligado, en primer lugar, a oír al demandante sobre dicha cuestión obstativa a la admisión del recurso contencioso-administrativo, y, en segundo lugar, a resolver en el acto sobre su concurrencia o no, pronunciándose sobre si la vista debía continuar o no. Sin embargo, el órgano judicial no lo hizo así, sino que incumplió ambos mandatos, continuando la celebración de la vista sin la referida audiencia y sin adoptar decisión alguna en el acto, para posteriormente apreciar la concurrencia del óbice procesal en el momento de dictar la Sentencia ahora impugnada, con el resultado de inadmitir el recurso contencioso-administrativo por la concurrencia de la causa opuesta por la Administración demandada. Esto es, el órgano judicial, a pesar de las previsiones del art. 78 LJCA a las que se ha hecho referencia, adoptó una actitud pasiva, incompatible con las mismas, haciendo recaer, en cambio, la responsabilidad de la inadmisión del recurso sobre la parte actora, a la que achacó en la Sentencia que no había propuesto ninguna prueba al respecto y que no había realizado alegación alguna ni al proponer prueba ni en conclusiones, pasividad o negligencia que fueron recalcadas en el Auto que inadmitió el incidente de nulidad de actuaciones. Sin embargo, y aun siendo cierto que la parte actora guardó silencio sobre este extremo, omite el órgano judicial toda consideración sobre el incumplimiento por el propio Magistrado-Juez de las reglas del art. 78.8 LJCA en cuanto a la forma en que debía actuar ante la causa de inadmisión alegada por la Administración demandada, y con ello produjo la lesión del derecho a la tutela judicial efectiva de la mercantil actora en la vertiente del derecho a no </w:t>
      </w:r>
      <w:r>
        <w:lastRenderedPageBreak/>
        <w:t>padecer indefensión, que se tradujo, finalmente, en la vulneración de su derecho de acceso al proceso, de acuerdo con la doctrina constitucional transcrita.</w:t>
      </w:r>
    </w:p>
    <w:p w:rsidR="00A90898" w:rsidRDefault="00A90898" w:rsidP="00A90898">
      <w:pPr>
        <w:pStyle w:val="TextoNormal"/>
      </w:pPr>
    </w:p>
    <w:p w:rsidR="00A90898" w:rsidRDefault="00A90898" w:rsidP="00A90898">
      <w:pPr>
        <w:pStyle w:val="TextoNormal"/>
      </w:pPr>
      <w:r>
        <w:t>La constatación de la anterior vulneración del derecho a la tutela judicial efectiva conlleva la estimación del recurso de amparo interpuesto y la anulación de la Sentencia dictada por el Juzgado de lo Contencioso-Administrativo núm. 5 de Málaga el 17 de abril de 2015 y del Auto de 5 de mayo de 2015, que inadmitió el incidente de nulidad de actuaciones promovido contra aquélla, con retroacción de las actuaciones al momento inmediatamente posterior a la contestación a la demanda por la Administración demandada en el acto de la vista del procedimiento abreviado núm. 1-2015 seguido ante dicho Juzgado, para que pronuncie una nueva resolución que sea respetuosa con el derecho fundamental vulnerado.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Inmobiliaria Osuna, S.L.U., y, en su virtud:</w:t>
      </w:r>
    </w:p>
    <w:p w:rsidR="00A90898" w:rsidRDefault="00A90898" w:rsidP="00A90898">
      <w:pPr>
        <w:pStyle w:val="TextoNormal"/>
      </w:pPr>
    </w:p>
    <w:p w:rsidR="00A90898" w:rsidRDefault="00A90898" w:rsidP="00A90898">
      <w:pPr>
        <w:pStyle w:val="TextoNormal"/>
      </w:pPr>
      <w:r>
        <w:t>1º Declarar vulnerado su derecho a la tutela judicial efectiva, en las vertientes del derecho a no padecer indefensión y del derecho de acceso al proceso (art. 24.1 CE).</w:t>
      </w:r>
    </w:p>
    <w:p w:rsidR="00A90898" w:rsidRDefault="00A90898" w:rsidP="00A90898">
      <w:pPr>
        <w:pStyle w:val="TextoNormal"/>
      </w:pPr>
    </w:p>
    <w:p w:rsidR="00A90898" w:rsidRDefault="00A90898" w:rsidP="00A90898">
      <w:pPr>
        <w:pStyle w:val="TextoNormal"/>
      </w:pPr>
      <w:r>
        <w:t>2º Restablecerla en su derecho y, a tal fin, anular la Sentencia dictada por el Juzgado de lo Contencioso-Administrativo núm. 5 de Málaga el 17 de abril de 2015 y el Auto de 5 de mayo de 2015, que inadmitió el incidente de nulidad de actuaciones promovido contra la anterior, recaídos ambos en el procedimiento abreviado núm. 1-2015.</w:t>
      </w:r>
    </w:p>
    <w:p w:rsidR="00A90898" w:rsidRDefault="00A90898" w:rsidP="00A90898">
      <w:pPr>
        <w:pStyle w:val="TextoNormal"/>
      </w:pPr>
    </w:p>
    <w:p w:rsidR="00A90898" w:rsidRDefault="00A90898" w:rsidP="00A90898">
      <w:pPr>
        <w:pStyle w:val="TextoNormal"/>
      </w:pPr>
      <w:r>
        <w:t>3º Retrotraer las actuaciones al momento inmediatamente posterior a la contestación a la demanda por la Administración demandada en el acto de la vista del citado procedimiento abreviado, para que por el órgano judicial se pronuncie una nueva resolución que resulte respetuosa con el derecho fundamental vulnerado.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3" w:name="SENTENCIA_2016_164"/>
      <w:r>
        <w:lastRenderedPageBreak/>
        <w:t>SENTENCIA 164/2016, de 3 de octubre de 2016</w:t>
      </w:r>
    </w:p>
    <w:bookmarkEnd w:id="43"/>
    <w:p w:rsidR="00A90898" w:rsidRDefault="00A90898" w:rsidP="00A90898">
      <w:pPr>
        <w:pStyle w:val="TtuloResolucin"/>
      </w:pPr>
      <w:r>
        <w:t>Sala Segunda</w:t>
      </w:r>
    </w:p>
    <w:p w:rsidR="00A90898" w:rsidRDefault="00A90898" w:rsidP="00A90898">
      <w:pPr>
        <w:pStyle w:val="TtuloBOE"/>
      </w:pPr>
      <w:r>
        <w:t>(BOE núm. 276, de 15 de noviembre de 2016)</w:t>
      </w:r>
    </w:p>
    <w:p w:rsidR="00A90898" w:rsidRDefault="00A90898" w:rsidP="00A90898">
      <w:pPr>
        <w:pStyle w:val="TextoNormalCentrado"/>
      </w:pPr>
      <w:r>
        <w:t>ECLI:ES:TC:2016:164</w:t>
      </w:r>
    </w:p>
    <w:p w:rsidR="00A90898" w:rsidRDefault="00A90898" w:rsidP="00A90898">
      <w:pPr>
        <w:pStyle w:val="TextoNormalCentrado"/>
      </w:pPr>
    </w:p>
    <w:p w:rsidR="00A90898" w:rsidRDefault="00A90898" w:rsidP="00A90898">
      <w:pPr>
        <w:pStyle w:val="SntesisDescriptiva"/>
      </w:pPr>
      <w:r>
        <w:t>Cuestión de inconstitucionalidad 3178-2016. Planteada por la Sala de lo Social del Tribunal Supremo en relación con la disposición adicional primera de la Ley de la Asamblea de Madrid 4/2010, de 29 de junio, de medidas urgentes, por la que se modifica la Ley 9/2009, de 23 de diciembre, de presupuestos generales de la Comunidad de Madrid para 2010.</w:t>
      </w:r>
    </w:p>
    <w:p w:rsidR="00A90898" w:rsidRDefault="00A90898" w:rsidP="00A90898">
      <w:pPr>
        <w:pStyle w:val="SntesisDescriptiva"/>
      </w:pPr>
    </w:p>
    <w:p w:rsidR="00A90898" w:rsidRDefault="00A90898" w:rsidP="00A90898">
      <w:pPr>
        <w:pStyle w:val="SntesisAnaltica"/>
      </w:pPr>
      <w:r>
        <w:t>Competencias sobre ordenación general de la economía: nulidad del precepto legal autonómico que  no excepciona al personal laboral no directivo de las sociedades mercantiles públicas de la reducción salarial establecida en la legislación básica estatal (STC 219/2013).</w:t>
      </w:r>
    </w:p>
    <w:p w:rsidR="00A90898" w:rsidRDefault="00A90898" w:rsidP="00A90898">
      <w:pPr>
        <w:pStyle w:val="SntesisAnaltica"/>
      </w:pPr>
    </w:p>
    <w:p w:rsidR="00A90898" w:rsidRDefault="00A90898" w:rsidP="00A90898">
      <w:pPr>
        <w:pStyle w:val="Extracto"/>
      </w:pPr>
      <w:r>
        <w:t>1.</w:t>
      </w:r>
      <w:r>
        <w:tab/>
        <w:t>Asunto sustancialmente idéntico al resuelto por la STC 219/2013, en relación con la doctrina sobre el carácter básico de la norma estatal que exceptúa al personal laboral no directivo de las sociedades mercantiles públicas de la regla general de reducción salarial y su observancia por parte de la legislación autonómica [FFJJ 2 a 7].</w:t>
      </w:r>
    </w:p>
    <w:p w:rsidR="00A90898" w:rsidRDefault="00A90898" w:rsidP="00A90898">
      <w:pPr>
        <w:pStyle w:val="Extracto"/>
      </w:pPr>
    </w:p>
    <w:p w:rsidR="00A90898" w:rsidRDefault="00A90898" w:rsidP="00A90898">
      <w:pPr>
        <w:pStyle w:val="Extracto"/>
      </w:pPr>
      <w:r>
        <w:t>2.</w:t>
      </w:r>
      <w:r>
        <w:tab/>
        <w:t>En relación a la modulación del alcance de la declaración de inconstitucionalidad y nulidad, no solo habrá de preservar la cosa juzgada (art. 40.1 LOTC), sino que, igualmente, en virtud del principio constitucional de seguridad jurídica (art. 9.3 CE), la modulación de los efectos de nuestro pronunciamiento se extenderá en este caso a las posibles situaciones administrativas firmes (SSTC 45/1989, 180/2000, 365/2006, 161/2012 y 219/2013)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la cuestión de inconstitucionalidad núm. 3178-2016, promovida por la Sala de lo Social del Tribunal Supremo en relación con la disposición adicional primera de la Ley de la Comunidad Autónoma de Madrid 4/2010, de 29 de junio, de medidas urgentes, por la que se modifica la Ley 9/2009, de 23 de diciembre, de presupuestos generales de la Comunidad de Madrid para 2010, por posible contradicción con lo dispuesto en la disposición adicional novena del Real Decreto-ley 8/2010, de 20 de mayo, y correlativa vulneración de los arts. </w:t>
      </w:r>
      <w:r>
        <w:lastRenderedPageBreak/>
        <w:t>149.1.13 y 156.1 CE. Han intervenido y formulado alegaciones el Abogado del Estado, la Comunidad de Madrid y el Fiscal General del Estado.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6 de junio de 2016 tuvo entrada en el Registro de este Tribunal un oficio de la Sala de lo Social de la Audiencia Nacional en el que afirma: “Adjunto al presente expediente judicial electrónico, oficio y documentación del Tribunal Supremo, que por error fue remitido a esta Sala”. Se trata de un oficio dirigido al Excmo. Sr. Presidente del Tribunal Constitucional, que fue registrado de salida en el Tribunal Supremo el 3 de noviembre de 2014 y de entrada (se entiende que por error) en la Audiencia Nacional el 4 de noviembre de 2014, al que se acompaña, junto con el testimonio del procedimiento correspondiente (recurso casación 48-2013), el Auto de 30 de septiembre de 2014, mediante el cual la Sala de lo Social del Tribunal Supremo acordó plantear cuestión de inconstitucionalidad en relación con la disposición adicional primera de la Ley de la Comunidad Autónoma de Madrid 4/2010, de 29 de junio, de medidas urgentes, por la que se modifica la Ley 9/2009, de 23 de diciembre, de presupuestos generales de la Comunidad de Madrid para 2010, por posible contradicción con lo dispuesto en la disposición adicional novena del Real Decreto-ley 8/2010, de 20 de mayo, y correlativa vulneración de los arts. 149.1.13 y 156.1 CE.</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que resultan de interés al efecto de resolver este proceso constitucional son los siguientes:</w:t>
      </w:r>
    </w:p>
    <w:p w:rsidR="00A90898" w:rsidRDefault="00A90898" w:rsidP="00A90898">
      <w:pPr>
        <w:pStyle w:val="TextoNormal"/>
      </w:pPr>
    </w:p>
    <w:p w:rsidR="00A90898" w:rsidRDefault="00A90898" w:rsidP="00A90898">
      <w:pPr>
        <w:pStyle w:val="TextoNormal"/>
      </w:pPr>
      <w:r>
        <w:t>a) Por la representación de la federación estatal de trabajadores de las industrias químicas energéticas, del textil, de la piel, de la minería y afines, federación de industrias afines de la Unión General de Trabajadores (en adelante, FIA-UGT) se presentó demanda de conflicto colectivo ante la Sala de lo Social de la Audiencia Nacional, que terminaba suplicando que se “declare nula y deje sin efecto la decisión de la empresa Hispanagua de fecha 5.07.2010 que impone la reducción del 5 por 100 en todos los conceptos retributivos que integran la nómina a todos los empleados con efectos del mes de julio de 2010 y asimismo se condene a la empresa demandada a abonarles desde el 1 de julio de 2010 íntegramente las retribuciones fijadas en los convenios colectivos de aplicación”. El 23 de diciembre de 2011 la Sala de lo Social de la Audiencia Nacional acordó dictar sentencia desestimando la demanda.</w:t>
      </w:r>
    </w:p>
    <w:p w:rsidR="00A90898" w:rsidRDefault="00A90898" w:rsidP="00A90898">
      <w:pPr>
        <w:pStyle w:val="TextoNormal"/>
      </w:pPr>
    </w:p>
    <w:p w:rsidR="00A90898" w:rsidRDefault="00A90898" w:rsidP="00A90898">
      <w:pPr>
        <w:pStyle w:val="TextoNormal"/>
      </w:pPr>
      <w:r>
        <w:t>b) FIA-UGT dedujo recurso de casación, señalando la Sala de lo Social del Tribunal Supremo para la votación y fallo el 28 de enero de 2014. En esa deliberación la Sala acordó dictar providencia del siguiente tenor:</w:t>
      </w:r>
    </w:p>
    <w:p w:rsidR="00A90898" w:rsidRDefault="00A90898" w:rsidP="00A90898">
      <w:pPr>
        <w:pStyle w:val="TextoNormal"/>
      </w:pPr>
    </w:p>
    <w:p w:rsidR="00A90898" w:rsidRDefault="00A90898" w:rsidP="00A90898">
      <w:pPr>
        <w:pStyle w:val="TextoNormal"/>
      </w:pPr>
      <w:r>
        <w:t xml:space="preserve">“De conformidad con el art. 35 LOTC, y a la vista de la STC 219/2013, de 19 de diciembre, por la que se declara inconstitucional y nulo el art. 27.4 de la Ley 5/2009 en la redacción dada por el art. 2.5 de la Ley 5/2010 en los términos y con los efectos establecidos en su fundamento jurídico séptimo, pronunciamiento reiterado por la STC 5/2014, de 19 de enero de 2014, y en tanto en cuanto lo argumentado y decidido en ambas sentencias pudiera ser aplicable al presente caso, se deja sin efecto el señalamiento para votación y fallo del presente recurso y dese audiencia a las partes y al Fiscal por plazo común e improrrogable de </w:t>
      </w:r>
      <w:r>
        <w:lastRenderedPageBreak/>
        <w:t>diez días sobre la pertinencia de plantear cuestión de inconstitucionalidad en relación con la Disposición Adicional Primera de la Ley 4/2010 que dice así:</w:t>
      </w:r>
    </w:p>
    <w:p w:rsidR="00A90898" w:rsidRDefault="00A90898" w:rsidP="00A90898">
      <w:pPr>
        <w:pStyle w:val="TextoNormal"/>
      </w:pPr>
    </w:p>
    <w:p w:rsidR="00A90898" w:rsidRDefault="00A90898" w:rsidP="00A90898">
      <w:pPr>
        <w:pStyle w:val="TextoNormal"/>
      </w:pPr>
      <w:r>
        <w:t>‘Régimen de las sociedades mercantiles del sector público de la Comunidad de Madrid</w:t>
      </w:r>
    </w:p>
    <w:p w:rsidR="00A90898" w:rsidRDefault="00A90898" w:rsidP="00A90898">
      <w:pPr>
        <w:pStyle w:val="TextoNormal"/>
      </w:pPr>
    </w:p>
    <w:p w:rsidR="00A90898" w:rsidRDefault="00A90898" w:rsidP="00A90898">
      <w:pPr>
        <w:pStyle w:val="TextoNormal"/>
      </w:pPr>
      <w:r>
        <w:t>1. A partir de la entrada en vigor de la presente Ley, le será de aplicación al personal laboral no directivo de las sociedades mercantiles la reducción salarial a que se refiere el art. 19.2.B) d) de la Ley 9/2009, de 23 de diciembre, de Presupuestos Generales de la Comunidad de Madrid para 2010, en la redacción dada por esta Ley.</w:t>
      </w:r>
    </w:p>
    <w:p w:rsidR="00A90898" w:rsidRDefault="00A90898" w:rsidP="00A90898">
      <w:pPr>
        <w:pStyle w:val="TextoNormal"/>
      </w:pPr>
    </w:p>
    <w:p w:rsidR="00A90898" w:rsidRDefault="00A90898" w:rsidP="00A90898">
      <w:pPr>
        <w:pStyle w:val="TextoNormal"/>
      </w:pPr>
      <w:r>
        <w:t>Como consecuencia de lo anterior, con la misma fecha de efectos, el Presupuesto de Gastos de Personal de dichas sociedades, así como la limitación presupuestaria a que se refiere el art. 17.2 de la Ley 9/2009, de 23 de diciembre, de Presupuestos Generales de la Comunidad de Madrid para 2010, se verán reducidos en la proporción que resulte para hacer efectiva esta medida.</w:t>
      </w:r>
    </w:p>
    <w:p w:rsidR="00A90898" w:rsidRDefault="00A90898" w:rsidP="00A90898">
      <w:pPr>
        <w:pStyle w:val="TextoNormal"/>
      </w:pPr>
    </w:p>
    <w:p w:rsidR="00A90898" w:rsidRDefault="00A90898" w:rsidP="00A90898">
      <w:pPr>
        <w:pStyle w:val="TextoNormal"/>
      </w:pPr>
      <w:r>
        <w:t>2. Con el fin de garantizar el cumplimiento de la disminución de gasto de personal, con dichos efectos se aplicará una reducción a cuenta del 5 por ciento de cada uno de los conceptos salariales percibido por dicho personal, hasta que, mediante la negociación colectiva se acuerde una minoración retributiva equivalente. (...)’.</w:t>
      </w:r>
    </w:p>
    <w:p w:rsidR="00A90898" w:rsidRDefault="00A90898" w:rsidP="00A90898">
      <w:pPr>
        <w:pStyle w:val="TextoNormal"/>
      </w:pPr>
    </w:p>
    <w:p w:rsidR="00A90898" w:rsidRDefault="00A90898" w:rsidP="00A90898">
      <w:pPr>
        <w:pStyle w:val="TextoNormal"/>
      </w:pPr>
      <w:r>
        <w:t>Por su parte, la disposición adicional novena del Real Decreto-ley 8/2010 prescribe lo siguiente:</w:t>
      </w:r>
    </w:p>
    <w:p w:rsidR="00A90898" w:rsidRDefault="00A90898" w:rsidP="00A90898">
      <w:pPr>
        <w:pStyle w:val="TextoNormal"/>
      </w:pPr>
    </w:p>
    <w:p w:rsidR="00A90898" w:rsidRDefault="00A90898" w:rsidP="00A90898">
      <w:pPr>
        <w:pStyle w:val="TextoNormal"/>
      </w:pPr>
      <w:r>
        <w:t>‘Disposición adicional novena Normas especiales en relación con determinadas entidades del sector público a efectos de la aplicación de la reducción salarial prevista en este Real Decreto-ley con efectos 1 de junio de 2010.</w:t>
      </w:r>
    </w:p>
    <w:p w:rsidR="00A90898" w:rsidRDefault="00A90898" w:rsidP="00A90898">
      <w:pPr>
        <w:pStyle w:val="TextoNormal"/>
      </w:pPr>
    </w:p>
    <w:p w:rsidR="00A90898" w:rsidRDefault="00A90898" w:rsidP="00A90898">
      <w:pPr>
        <w:pStyle w:val="TextoNormal"/>
      </w:pPr>
      <w:r>
        <w:t>Lo dispuesto en la Ley 26/2009, de 23 de diciembre, de Presupuestos Generales del Estado para 2010, en la redacción dada por el presente Real Decreto-Ley en lo relativo a la reducción salarial, no será de aplicación al personal laboral no directivo de las sociedades mercantiles a que se refiere el apartado Uno.g) del art. 22 de la citada Ley ni al personal laboral no directivo de las Entidades Públicas Empresariales RENFE, ADIF Y AENA, salvo que por negociación colectiva las partes decidan su aplicación’.</w:t>
      </w:r>
    </w:p>
    <w:p w:rsidR="00A90898" w:rsidRDefault="00A90898" w:rsidP="00A90898">
      <w:pPr>
        <w:pStyle w:val="TextoNormal"/>
      </w:pPr>
    </w:p>
    <w:p w:rsidR="00A90898" w:rsidRDefault="00A90898" w:rsidP="00A90898">
      <w:pPr>
        <w:pStyle w:val="TextoNormal"/>
      </w:pPr>
      <w:r>
        <w:t>Pues bien, la STC 219/2013, de 19 de diciembre, afirma: ‘Si básica es la regla general de reducción salarial del 5 %, en cómputo anual, de las retribuciones del personal del sector público, contenida en el art. 1.2 del Real Decreto-ley 8/2010, básica debe ser también la excepción destinada al personal laboral no directivo de las sociedades mercantiles públicas en la disposición adicional novena del Real Decreto-ley 8/2010, en tanto que esta norma contribuye a la delimitación exacta del alcance de la medida de contención del gasto’. Y, en consecuencia, declara inconstitucional y nulo -por infringir los arts. 149.1.13 y 156.1 CE, al contradecir lo dispuesto en una norma estatal de carácter básico- el art. 27.4 de la Ley 5/2009, de 28 de diciembre, de presupuestos generales de la Comunidad Autónoma de Cantabria (en la redacción dada por el art. 2.5 de la Ley de Cantabria 5/2010), precepto de contenido similar a la Disposición Adicional Primera de la Ley de Madrid 4/2010, de 29 de junio, antes reproducido, en cuanto en ambos casos se reduce el 5 % del salario del personal no directivo de las sociedades mercantiles sin excepción ni condicionamiento alguno.</w:t>
      </w:r>
    </w:p>
    <w:p w:rsidR="00A90898" w:rsidRDefault="00A90898" w:rsidP="00A90898">
      <w:pPr>
        <w:pStyle w:val="TextoNormal"/>
      </w:pPr>
    </w:p>
    <w:p w:rsidR="00A90898" w:rsidRDefault="00A90898" w:rsidP="00A90898">
      <w:pPr>
        <w:pStyle w:val="TextoNormal"/>
      </w:pPr>
      <w:r>
        <w:t>Sin embargo, pese a dicha similitud, este Tribunal Supremo no puede -pues excede de sus competencias- dejar de aplicar directamente un precepto de una ley autonómica por el hecho de que un precepto similar de una ley de una Comunidad Autónoma distinta haya sido declarado inconstitucional, sino que deberá -en su caso- plantear la pertinente cuestión de inconstitucionalidad sobre el precepto que está obligado a aplicar si de ello depende la solución del caso sometido a su decisión, como ocurre en este supuesto.</w:t>
      </w:r>
    </w:p>
    <w:p w:rsidR="00A90898" w:rsidRDefault="00A90898" w:rsidP="00A90898">
      <w:pPr>
        <w:pStyle w:val="TextoNormal"/>
      </w:pPr>
    </w:p>
    <w:p w:rsidR="00A90898" w:rsidRDefault="00A90898" w:rsidP="00A90898">
      <w:pPr>
        <w:pStyle w:val="TextoNormal"/>
      </w:pPr>
      <w:r>
        <w:t>Por ello, en cumplimiento de lo dispuesto en el art. 35.2 LOTC dése audiencia a las partes y al Ministerio Fiscal para que, en el plazo común e improrrogable de 10 días puedan alegar lo que deseen sobre la pertinencia de plantear la cuestión de inconstitucionalidad o sobre el fondo de ésta.”</w:t>
      </w:r>
    </w:p>
    <w:p w:rsidR="00A90898" w:rsidRDefault="00A90898" w:rsidP="00A90898">
      <w:pPr>
        <w:pStyle w:val="TextoNormal"/>
      </w:pPr>
    </w:p>
    <w:p w:rsidR="00A90898" w:rsidRDefault="00A90898" w:rsidP="00A90898">
      <w:pPr>
        <w:pStyle w:val="TextoNormal"/>
      </w:pPr>
      <w:r>
        <w:t>c) FIA-UGT, Hispanagua, S.A.U., y el Fiscal evacuaron el traslado conferido en sendos escritos de 25 y 28 de marzo de 2014 y 10 de abril de 2014. FIA-UGT y el Fiscal consideraron procedente el planteamiento de la cuestión de inconstitucionalidad.</w:t>
      </w:r>
    </w:p>
    <w:p w:rsidR="00A90898" w:rsidRDefault="00A90898" w:rsidP="00A90898">
      <w:pPr>
        <w:pStyle w:val="TextoNormal"/>
      </w:pPr>
    </w:p>
    <w:p w:rsidR="00A90898" w:rsidRDefault="00A90898" w:rsidP="00A90898">
      <w:pPr>
        <w:pStyle w:val="TextoNormal"/>
      </w:pPr>
      <w:r>
        <w:t>Hispanagua, S.A.U., se opuso. Adujo que “del tenor literal de la referida disposición adicional novena del Real Decreto-Ley 8/2010 no se dispone explícitamente que su contenido deba aplicarse a las empresas públicas autonómicas”. Tal afirmación la apoya en que, mientras la letra h) del art. 22.1 de la Ley 26/2009 se refiere a las “entidades públicas empresariales y el resto de los organismos públicos y entes del sector público estatal, autonómico y local” —y, por lo tanto, se mencionan expresamente esos entes autonómicos—, no ocurre lo mismo con la letra g) de dicho artículo, que es la aplicable en este caso, que habla genéricamente de las “sociedades mercantiles públicas que perciban aportaciones de cualquier naturaleza con cargo a los presupuestos públicos”, sin mencionar expresamente a las de ámbito autonómico que, por ende, no deben ser incluidas en ese grupo.</w:t>
      </w:r>
    </w:p>
    <w:p w:rsidR="00A90898" w:rsidRDefault="00A90898" w:rsidP="00A90898">
      <w:pPr>
        <w:pStyle w:val="TextoNormal"/>
      </w:pPr>
    </w:p>
    <w:p w:rsidR="00A90898" w:rsidRDefault="00A90898" w:rsidP="00A90898">
      <w:pPr>
        <w:pStyle w:val="TextoNormal"/>
      </w:pPr>
      <w:r>
        <w:t>Afirmó en segundo lugar que “en virtud del principio de jerarquía normativa, es el convenio colectivo el que debe respetar y someterse a las normas con rango de Ley, incluidas las leyes autonómicas, y no al revés, lo cual no puede verse alterado por lo dispuesto en la Ley ordinaria estatal de carácter básico”. De este modo, la remisión del 5 por 100 de reducción salarial que, para el personal laboral no directivo de las sociedades mercantiles públicas, hace el precepto básico estatal “tiene que respetar los mandatos legales que se superponen y condicionan al convenio colectivo”.</w:t>
      </w:r>
    </w:p>
    <w:p w:rsidR="00A90898" w:rsidRDefault="00A90898" w:rsidP="00A90898">
      <w:pPr>
        <w:pStyle w:val="TextoNormal"/>
      </w:pPr>
    </w:p>
    <w:p w:rsidR="00A90898" w:rsidRDefault="00A90898" w:rsidP="00A90898">
      <w:pPr>
        <w:pStyle w:val="TextoNormal"/>
      </w:pPr>
      <w:r>
        <w:t>Razonó en tercer lugar que “la reducción del 5 por 100 aplicada a las Comunidades Autónomas ha de interpretarse como un tope o mínimo obligatorio de reducción retributiva que aquéllas pueden llevar más allá de acuerdo con su propia política de contención del déficit, tanto en la cuantía de la reducción, como en los sujetos afectados por ella”.</w:t>
      </w:r>
    </w:p>
    <w:p w:rsidR="00A90898" w:rsidRDefault="00A90898" w:rsidP="00A90898">
      <w:pPr>
        <w:pStyle w:val="TextoNormal"/>
      </w:pPr>
    </w:p>
    <w:p w:rsidR="00A90898" w:rsidRDefault="00A90898" w:rsidP="00A90898">
      <w:pPr>
        <w:pStyle w:val="TextoNormal"/>
      </w:pPr>
      <w:r>
        <w:t>d) Por Auto de 30 de septiembre de 2014, la Sala de lo Social del Tribunal Supremo acordó “plantear cuestión de inconstitucionalidad de la Disposición Adicional Primera de la Ley de la Comunidad Autónoma de Madrid 9/2009, 23 de diciembre, en su redacción modificativa dada por la Ley 4/2010, de 29 de junio” por posible contradicción con lo dispuesto en la disposición adicional novena del Real Decreto-ley 8/2010, de 20 de mayo, y correlativa vulneración de los arts. 149.1.13 y 156.1 CE.</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El auto de planteamiento contiene un primer capítulo de hechos. En él reseña, en los términos ya indicados, (a) la pretensión que se ejercita mediante la demanda de conflicto colectivo presentada ante la Audiencia Nacional (primero); (b) la desestimación de la demanda por la Audiencia Nacional (tercero) con una referencia expresa a los hechos declarados probados en su Sentencia (cuarto); (c) la presentación de recurso de casación ante el Tribunal Supremo (quinto); y (d) la tramitación del mismo, con especial atención al cumplimiento del expediente de audiencia exigido por el art. 35.2 de la Ley Orgánica del Tribunal Constitucional (LOTC), transcribiendo el texto íntegro de la providencia por la que se concede este trámite (sexto) y dando cuenta de las posiciones de las partes y del Fiscal (séptimo).</w:t>
      </w:r>
    </w:p>
    <w:p w:rsidR="00A90898" w:rsidRDefault="00A90898" w:rsidP="00A90898">
      <w:pPr>
        <w:pStyle w:val="TextoNormal"/>
      </w:pPr>
    </w:p>
    <w:p w:rsidR="00A90898" w:rsidRDefault="00A90898" w:rsidP="00A90898">
      <w:pPr>
        <w:pStyle w:val="TextoNormal"/>
      </w:pPr>
      <w:r>
        <w:t>Entre los hechos declarados probados en la sentencia de instancia, el apartado cuarto del capítulo de hechos del auto de planteamiento 2014 destaca:</w:t>
      </w:r>
    </w:p>
    <w:p w:rsidR="00A90898" w:rsidRDefault="00A90898" w:rsidP="00A90898">
      <w:pPr>
        <w:pStyle w:val="TextoNormal"/>
      </w:pPr>
    </w:p>
    <w:p w:rsidR="00A90898" w:rsidRDefault="00A90898" w:rsidP="00A90898">
      <w:pPr>
        <w:pStyle w:val="TextoNormal"/>
      </w:pPr>
      <w:r>
        <w:t>“5.- El 5-7-10, el Director Gerente de Hispanagua emitió nota a todos los trabajadores del tenor literal siguiente: "Estimado empleado: En virtud de la Ley de la Comunidad de Madrid 4/2010, de 29 de junio, de medidas urgentes, por la que se modifica la Ley 9/2009, de 23 de diciembre, de Presupuestos Generales de la Comunidad de Madrid para 2010, para su adecuación al Real Decreto Ley 8/2010, de 20 de mayo, por el que se adoptan medidas extraordinarias para la reducción del déficit público, le comunico que, con efectos del día 29 de junio de 2010, y repercusión en la nómina del próximo mes de Julio de 2010, al personal de Hispanagua SAU le será de aplicación una reducción del cinco por ciento de las cuantías de cada uno de los conceptos retributivos que integran la nómina, a excepción de lo que se refiere a la paga extraordinaria del mes de Junio de 2010."</w:t>
      </w:r>
    </w:p>
    <w:p w:rsidR="00A90898" w:rsidRDefault="00A90898" w:rsidP="00A90898">
      <w:pPr>
        <w:pStyle w:val="TextoNormal"/>
      </w:pPr>
    </w:p>
    <w:p w:rsidR="00A90898" w:rsidRDefault="00A90898" w:rsidP="00A90898">
      <w:pPr>
        <w:pStyle w:val="TextoNormal"/>
      </w:pPr>
      <w:r>
        <w:t>La materialización de la decisión del recorte salarial se produce en los recibos justificativos del salario del mes de julio de 2010, siendo la reducción operada en un 5% de todos los conceptos retributivos.</w:t>
      </w:r>
    </w:p>
    <w:p w:rsidR="00A90898" w:rsidRDefault="00A90898" w:rsidP="00A90898">
      <w:pPr>
        <w:pStyle w:val="TextoNormal"/>
      </w:pPr>
    </w:p>
    <w:p w:rsidR="00A90898" w:rsidRDefault="00A90898" w:rsidP="00A90898">
      <w:pPr>
        <w:pStyle w:val="TextoNormal"/>
      </w:pPr>
      <w:r>
        <w:t>6. El VIII Convenio colectivo de Hispanagua SAU para los años 2011, 2012 y 2013, firmado por los representantes del Comité de Empresa el 27-4-11, establece en su Disposición Adicional Quinta que: "Las partes negociadoras del presente Convenio Colectivo hacen constar que las tablas salariales recogidas en el anexo 11, así como el resto de las prestaciones económicas afectadas, vienen impuestas por: 1) La Ley 4/2010 de 29 de junio de Medidas Urgentes, por la que se modifica la Ley 9/2009 de 23 de diciembre de Presupuestos Generales de la Comunidad de Madrid para 2010 en la que se impone una minoración salarial del 5%.”</w:t>
      </w:r>
    </w:p>
    <w:p w:rsidR="00A90898" w:rsidRDefault="00A90898" w:rsidP="00A90898">
      <w:pPr>
        <w:pStyle w:val="TextoNormal"/>
      </w:pPr>
    </w:p>
    <w:p w:rsidR="00A90898" w:rsidRDefault="00A90898" w:rsidP="00A90898">
      <w:pPr>
        <w:pStyle w:val="TextoNormal"/>
      </w:pPr>
      <w:r>
        <w:t>Este Auto presenta después un capítulo de razonamientos jurídicos, articulado en apartados:</w:t>
      </w:r>
    </w:p>
    <w:p w:rsidR="00A90898" w:rsidRDefault="00A90898" w:rsidP="00A90898">
      <w:pPr>
        <w:pStyle w:val="TextoNormal"/>
      </w:pPr>
    </w:p>
    <w:p w:rsidR="00A90898" w:rsidRDefault="00A90898" w:rsidP="00A90898">
      <w:pPr>
        <w:pStyle w:val="TextoNormal"/>
      </w:pPr>
      <w:r>
        <w:t>El primero señala que “el precepto que ha ofrecido dudas de constitucionalidad a esta Sala es la Disposición Adicional Primera de la Ley 4/2010 de 29 de junio de Medidas Urgentes, por la que se modifica la Ley 9/2009, de 23 de diciembre de Presupuestos Generales de la Comunidad de Madrid para 2010, para la adecuación al Real Decreto-Ley 8/2010, de 20 de mayo”, cuya literalidad transcribe.</w:t>
      </w:r>
    </w:p>
    <w:p w:rsidR="00A90898" w:rsidRDefault="00A90898" w:rsidP="00A90898">
      <w:pPr>
        <w:pStyle w:val="TextoNormal"/>
      </w:pPr>
    </w:p>
    <w:p w:rsidR="00A90898" w:rsidRDefault="00A90898" w:rsidP="00A90898">
      <w:pPr>
        <w:pStyle w:val="TextoNormal"/>
      </w:pPr>
      <w:r>
        <w:lastRenderedPageBreak/>
        <w:t>El segundo apunta que “el precepto de esa ley autonómica madrileña recién transcrito parece entrar en contradicción con una norma estatal, concretamente con la disposición adicional novena del Real Decreto-ley 8/2010, de 20 de mayo”, que también transcribe.</w:t>
      </w:r>
    </w:p>
    <w:p w:rsidR="00A90898" w:rsidRDefault="00A90898" w:rsidP="00A90898">
      <w:pPr>
        <w:pStyle w:val="TextoNormal"/>
      </w:pPr>
    </w:p>
    <w:p w:rsidR="00A90898" w:rsidRDefault="00A90898" w:rsidP="00A90898">
      <w:pPr>
        <w:pStyle w:val="TextoNormal"/>
      </w:pPr>
      <w:r>
        <w:t>El tercero razona que la “duda se convierte en práctica certeza sobre la inconstitucionalidad del citado precepto de la ley autonómica de Madrid a la vista de lo resuelto por este Tribunal en su sentencia 219/2013, de 19 de diciembre (pronunciamiento reiterado en STC 5/2014, de 19 de enero) que declara inconstitucional y nulo - por infracción de los arts. 149.1.13 y 156.1 CE- un precepto muy similar al ahora cuestionado, si bien procedente de la Comunidad Autónoma de Cantabria”.</w:t>
      </w:r>
    </w:p>
    <w:p w:rsidR="00A90898" w:rsidRDefault="00A90898" w:rsidP="00A90898">
      <w:pPr>
        <w:pStyle w:val="TextoNormal"/>
      </w:pPr>
    </w:p>
    <w:p w:rsidR="00A90898" w:rsidRDefault="00A90898" w:rsidP="00A90898">
      <w:pPr>
        <w:pStyle w:val="TextoNormal"/>
      </w:pPr>
      <w:r>
        <w:t>El cuarto afirma que “aunque la redacción de ambos preceptos es diferente su contenido normativo es idéntico” y, de otro lado, que “es un hecho pacífico en ambos casos —el de Cantabria y el de Madrid— que el litigio concreto afecta a sociedades mercantiles públicas del tipo de las incluidas en el artículo 22.1 g) de la Ley 26/2009, de 23 de diciembre, de Presupuestos Generales del Estado para 2010, precepto al que se remite la disposición adicional novena del Real Decreto-ley 8/2010”.</w:t>
      </w:r>
    </w:p>
    <w:p w:rsidR="00A90898" w:rsidRDefault="00A90898" w:rsidP="00A90898">
      <w:pPr>
        <w:pStyle w:val="TextoNormal"/>
      </w:pPr>
    </w:p>
    <w:p w:rsidR="00A90898" w:rsidRDefault="00A90898" w:rsidP="00A90898">
      <w:pPr>
        <w:pStyle w:val="TextoNormal"/>
      </w:pPr>
      <w:r>
        <w:t>El quinto resalta que “lo que resuelve la citada STC 219/2013 es que la norma autonómica de Cantabria que hemos reproducido (insistimos, en lo referente a la inclusión en la reducción salarial del sector público empresarial, dentro del cual están las sociedades mercantiles públicas mencionadas) es inconstitucional y nula por no respetar la excepción establecida en la disposición adicional novena del Real Decreto-ley 8/2010, que tiene la naturaleza de norma básica estatal”. Transcribe al efecto sus fundamentos jurídicos 5 y 6.</w:t>
      </w:r>
    </w:p>
    <w:p w:rsidR="00A90898" w:rsidRDefault="00A90898" w:rsidP="00A90898">
      <w:pPr>
        <w:pStyle w:val="TextoNormal"/>
      </w:pPr>
    </w:p>
    <w:p w:rsidR="00A90898" w:rsidRDefault="00A90898" w:rsidP="00A90898">
      <w:pPr>
        <w:pStyle w:val="TextoNormal"/>
      </w:pPr>
      <w:r>
        <w:t>El sexto expone por qué no acoge las objeciones formuladas por Hispanagua, S.A.U., al evacuar el trámite de audiencia ex art. 35.2. Afirma, respecto del primer argumento de los argüidos por aquélla, que “la inclusión de una parte en un todo puede hacerse de dos maneras: o mencionando solamente el ‘todo’, que por definición comprende a todas sus partes, que es lo que hace la letra g) respecto a las sociedades mercantiles públicas; o bien enumerando explícitamente todas las partes del todo, que es lo que hace la letra h) respecto a los “entes del sector público estatal, autonómico y local”. La segunda afirmación de Hispanagua, S.A.U., a juicio de la Sala, “contiene dos errores. El primero consiste en ignorar que la relación de subordinación del Convenio colectivo -como instrumento normativo regulador de condiciones laborales de un conjunto de trabajadores- a la ley se circunscribe a la legislación estatal, habida cuenta de la competencia exclusiva del Estado en la materia laboral: art. 149.1.7 CE. Y el segundo es que, aunque así no fuera, ello no tendría incidencia alguna sobre la necesaria adecuación de la legislación autonómica a la legislación básica del Estado, que es el tema que estamos tratando en este caso”.</w:t>
      </w:r>
    </w:p>
    <w:p w:rsidR="00A90898" w:rsidRDefault="00A90898" w:rsidP="00A90898">
      <w:pPr>
        <w:pStyle w:val="TextoNormal"/>
      </w:pPr>
    </w:p>
    <w:p w:rsidR="00A90898" w:rsidRDefault="00A90898" w:rsidP="00A90898">
      <w:pPr>
        <w:pStyle w:val="TextoNormal"/>
      </w:pPr>
      <w:r>
        <w:t xml:space="preserve">La tercera objeción de Hispanagua, S.A.U., razona el auto de planteamiento, ha sido rechazada por la STC 219/2013, de 19 de diciembre, FJ 6, al afirmar que “no es posible interpretar, como postulan el Abogado del Estado y el Letrado del Gobierno de Cantabria, que la norma básica estatal (disposición adicional novena del Real Decreto-ley 8/2010) ha de entenderse como un mínimo obligatorio de reducción retributiva que las Comunidades Autónomas son libres de llevar más allá de acuerdo con su propia política de contención del déficit tanto en la cuantía de la reducción, como en los sujetos afectados por ella. Esa interpretación de conformidad no es admisible porque contradice el enunciado de la disposición </w:t>
      </w:r>
      <w:r>
        <w:lastRenderedPageBreak/>
        <w:t>adicional novena del Real Decreto-ley 8/2010 y olvida que la medida estatal básica de contención del gasto público viene determinada en este caso, según hemos señalado, tanto por la regla general de reducción salarial prevista en el art. 1.2 del Real Decreto-ley 8/2010 como por la excepción establecida en la disposición adicional novena del propio Real Decreto-ley 8/2010 para el personal laboral no directivo de las sociedades mercantiles públicas, en tanto que esta disposición contribuye a precisar el alcance de la medida de contención del gasto consistente en la reducción salarial del 5 por 100 en cómputo anual.</w:t>
      </w:r>
    </w:p>
    <w:p w:rsidR="00A90898" w:rsidRDefault="00A90898" w:rsidP="00A90898">
      <w:pPr>
        <w:pStyle w:val="TextoNormal"/>
      </w:pPr>
    </w:p>
    <w:p w:rsidR="00A90898" w:rsidRDefault="00A90898" w:rsidP="00A90898">
      <w:pPr>
        <w:pStyle w:val="TextoNormal"/>
      </w:pPr>
      <w:r>
        <w:t>Tal interpretación impediría la plena efectividad de las determinaciones del legislador básico estatal, que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21 de junio de 2016, el Pleno del Tribunal, a propuesta de la Sección Tercera, acordó admitir a trámite la cuestión de inconstitucionalidad planteada por la Sala de lo Social del Tribunal Supremo y que tuvo entrada en este Tribunal el día 6 de junio de 2016, en relación con la disposición adicional primera de la Ley de la Comunidad Autónoma de Madrid 4/2010, de 29 de junio, de medidas urgentes, por la que se modifica la Ley 9/2009, de 23 de diciembre, de presupuestos generales de la Comunidad de Madrid para 2010, por posible contradicción con lo dispuesto en la disposición adicional novena del Real Decreto-ley 8/2010, de 20 de mayo, y correlativa lesión de los arts. 149.1.13 y 156.1 CE.; y, conforme a lo dispuesto en el art. 10.1 c) LOTC, deferir a la Sala Segunda el conocimiento de la cuestión, así como dar traslado de las actuaciones recibidas (art. 37.3 LOTC) al Congreso de los Diputados y al Senado, por conducto de sus Presidentes, al Gobierno, por conducto del Ministro de Justicia, y al Fiscal General del Estado, así como al Gobierno y a la Asamblea de Madrid, por conducto de sus Presidentes, al objeto de que, en el improrrogable plazo de 15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 y en el “Boletín Oficial de la Comunidad de Madrid”.</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de 11 de julio de 2016, la Letrada de la Comunidad de Madrid evacuó sus alegaciones. Expone que, según los razonamientos jurídicos del auto de planteamiento y pese a lo señalado en su parte dispositiva, el objeto de la cuestión de inconstitucionalidad “debe circunscribirse a la compatibilidad de la Disposición Adicional Primera de la Ley 4/2010 de la Comunidad de Madrid, con la disposición adicional novena del Real Decreto-ley 8/2010”.</w:t>
      </w:r>
    </w:p>
    <w:p w:rsidR="00A90898" w:rsidRDefault="00A90898" w:rsidP="00A90898">
      <w:pPr>
        <w:pStyle w:val="TextoNormal"/>
      </w:pPr>
    </w:p>
    <w:p w:rsidR="00A90898" w:rsidRDefault="00A90898" w:rsidP="00A90898">
      <w:pPr>
        <w:pStyle w:val="TextoNormal"/>
      </w:pPr>
      <w:r>
        <w:t>Sostiene, en cuanto al fondo de la cuestión, que un recto entendimiento del reparto competencial determinado por el art. 149.1.13 CE exige una interpretación de la norma básica de contraste distinta de la ofrecida en el auto de planteamiento, pues, al estar dictada en ejercicio de la competencia sobre las bases de la planificación económica, no puede agotar la regulación de la materia y debe dejar un margen de decisión autonómico.</w:t>
      </w:r>
    </w:p>
    <w:p w:rsidR="00A90898" w:rsidRDefault="00A90898" w:rsidP="00A90898">
      <w:pPr>
        <w:pStyle w:val="TextoNormal"/>
      </w:pPr>
    </w:p>
    <w:p w:rsidR="00A90898" w:rsidRDefault="00A90898" w:rsidP="00A90898">
      <w:pPr>
        <w:pStyle w:val="TextoNormal"/>
      </w:pPr>
      <w:r>
        <w:lastRenderedPageBreak/>
        <w:t>Consecuentemente, afirma que la disposición adicional novena del Real Decreto-ley 8/2010 prevé una excepción a la obligatoriedad de la reducción salarial del 5 por 100 para todo el personal del sector público establecida en el art. 22 de la Ley 26/2009, en el bien entendido de que “el legislador autonómico goza de libertad para decidir si aplica o no la reducción del 5 por 100 al personal laboral no directivo de las sociedades mercantiles”. Otro posible sentido de dicha norma básica estatal, también conforme con el reparto competencial indicado, sería, a su juicio, que “resulta de aplicación potestativa para las Comunidades Autónomas, en el sentido de que la reducción del 5 por 100 de los conceptos retributivos contenida con carácter imperativo en el art. 22 de la Ley 26/2009 debe reputarse un techo mínimo, sobre el que las Comunidades Autónomas deben establecer otros superiores. En la misma línea, las Comunidades Autónomas deben aplicar la reducción salarial, al menos, a los sujetos que determina la norma básica estatal, pero nada obsta a que, en virtud de su potestad de desarrollo de las bases, puedan extender dicha reducción a otros sujetos respecto a los que la normativa básica no impone la obligatoriedad de dicha reducción –el personal laboral no directivo de las sociedades mercantiles”.</w:t>
      </w:r>
    </w:p>
    <w:p w:rsidR="00A90898" w:rsidRDefault="00A90898" w:rsidP="00A90898">
      <w:pPr>
        <w:pStyle w:val="TextoNormal"/>
      </w:pPr>
    </w:p>
    <w:p w:rsidR="00A90898" w:rsidRDefault="00A90898" w:rsidP="00A90898">
      <w:pPr>
        <w:pStyle w:val="TextoNormal"/>
      </w:pPr>
      <w:r>
        <w:t>Conforme a estas dos interpretaciones de la disposición adicional novena del Real Decreto-ley 8/2010, le cabe al legislador autonómico la opción de exceptuar o no al personal laboral no directivo de las sociedades mercantiles de la reducción salarial del 5 por 100 o, incluso, la opción de extender la reducción salarial a dicho personal aun cuando no fuera obligatorio, de donde se deriva que la disposición adicional primera de la Ley 4/2010 de la Comunidad de Madrid, al ejercer tal opción e imponer al personal laboral no directivo de las sociedades mercantiles la mencionada reducción, no contradice la norma básica estatal entendida como esta parte propone.</w:t>
      </w:r>
    </w:p>
    <w:p w:rsidR="00A90898" w:rsidRDefault="00A90898" w:rsidP="00A90898">
      <w:pPr>
        <w:pStyle w:val="TextoNormal"/>
      </w:pPr>
    </w:p>
    <w:p w:rsidR="00A90898" w:rsidRDefault="00A90898" w:rsidP="00A90898">
      <w:pPr>
        <w:pStyle w:val="TextoNormal"/>
      </w:pPr>
      <w:r>
        <w:t>Por otra parte, sigue argumentando esta Letrada, la compatibilidad de la disposición adicional primera de la Ley 4/2010 con la disposición adicional novena del Real Decreto-ley 8/2010 “viene avalada por el ámbito de aplicación de esta última”, pues, según defiende, en ella no se dispone que su contenido deba aplicarse a las empresas públicas autonómicas. En su opinión, mientras la letra h) del art. 22.1 de la Ley 26/2009 se refiere a las “entidades públicas empresariales y el resto de los organismos públicos y entes del sector público estatal, autonómico y local” —y, por lo tanto, se mencionan expresamente esos entes autonómicos—, no ocurre lo mismo con la letra g) de dicho artículo, que es a la que alude la disposición adicional novena del Real Decreto-ley 8/2010, que habla genéricamente de las “sociedades mercantiles públicas que perciban aportaciones de cualquier naturaleza con cargo a los presupuestos públicos”, sin mencionar expresamente a las de ámbito autonómico.</w:t>
      </w:r>
    </w:p>
    <w:p w:rsidR="00A90898" w:rsidRDefault="00A90898" w:rsidP="00A90898">
      <w:pPr>
        <w:pStyle w:val="TextoNormal"/>
      </w:pPr>
    </w:p>
    <w:p w:rsidR="00A90898" w:rsidRDefault="00A90898" w:rsidP="00A90898">
      <w:pPr>
        <w:pStyle w:val="TextoNormal"/>
      </w:pPr>
      <w:r w:rsidRPr="00A90898">
        <w:rPr>
          <w:rStyle w:val="NumeroAFNegritaCaracter"/>
        </w:rPr>
        <w:t>6</w:t>
      </w:r>
      <w:r>
        <w:t>. En virtud de escrito registrado en este Tribunal el 13 de julio de 2016, la Presidenta de la Asamblea de Madrid comunicó a este Tribunal el acuerdo de la Mesa de la Cámara de 4 de julio de 2016 de no personarse en este procedimiento.</w:t>
      </w:r>
    </w:p>
    <w:p w:rsidR="00A90898" w:rsidRDefault="00A90898" w:rsidP="00A90898">
      <w:pPr>
        <w:pStyle w:val="TextoNormal"/>
      </w:pPr>
    </w:p>
    <w:p w:rsidR="00A90898" w:rsidRDefault="00A90898" w:rsidP="00A90898">
      <w:pPr>
        <w:pStyle w:val="TextoNormal"/>
      </w:pPr>
      <w:r w:rsidRPr="00A90898">
        <w:rPr>
          <w:rStyle w:val="NumeroAFNegritaCaracter"/>
        </w:rPr>
        <w:t>7</w:t>
      </w:r>
      <w:r>
        <w:t>. 7. El 18 de julio de 2016 tuvo entrada en el Registro General de este Tribunal escrito del Abogado del Estado mediante el que se persona y solicita que, de acuerdo con las SSTC 219/2013, 5/2014, 207/2014 y 143/2015, este Tribunal dicte Sentencia conforme a Derecho.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El 19 de julio de 2016 tuvo entrada en el Registro General de este Tribunal escrito del Presidente del Congreso de los Diputados comunicando el acuerdo de la Mesa de la Diputación Permanente de 18 de julio en el que se tiene por personada a la citada Cámara en el procedimiento y por ofrecida su colaboración a los efectos del artículo 88.1 LOTC. Idéntico acuerdo de la Mesa del Senado fue comunicado por su Presidente del Senado mediante escrito registrado el día 29 de julio de 2016.</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El 29 de julio de 2016 tuvieron entrada en este Tribunal las alegaciones de la Fiscal General del Estado. Sobre el objeto del proceso considera, en primer lugar, que “pese a ciertas imprecisiones, la norma cuestiona y sobre la que ha girado el trámite de audiencia, es la disposición adicional primera de la Ley 4/2010, de 29 de junio, de la Comunidad de Madrid y no la disposición adicional primera de la ley de la Comunidad de Madrid 9/2009, de 23 de diciembre”. Por otra parte, aun en cuanto al objeto del proceso, éste viene determinado solo por los dos primeros números de la disposición adicional primera de la Ley 4/2010, pues el apartado 3 es ajeno al proceso </w:t>
      </w:r>
      <w:r w:rsidRPr="00A90898">
        <w:rPr>
          <w:i/>
        </w:rPr>
        <w:t>a quo</w:t>
      </w:r>
      <w:r>
        <w:t xml:space="preserve"> y respecto de él ni se ha dado traslado a las partes en el trámite de audiencia, ni se cuestiona en el auto de planteamiento.</w:t>
      </w:r>
    </w:p>
    <w:p w:rsidR="00A90898" w:rsidRDefault="00A90898" w:rsidP="00A90898">
      <w:pPr>
        <w:pStyle w:val="TextoNormal"/>
      </w:pPr>
    </w:p>
    <w:p w:rsidR="00A90898" w:rsidRDefault="00A90898" w:rsidP="00A90898">
      <w:pPr>
        <w:pStyle w:val="TextoNormal"/>
      </w:pPr>
      <w:r>
        <w:t>Acerca del fondo de la cuestión defiende su estimación. Expresamente hace suya la argumentación del auto de planteamiento y en especial la transcripción que éste consigna en su razonamiento jurídico quinto de los fundamentos jurídicos quinto y sexto de la STC 219/2013. Añade, no obstante, que esta doctrina constitucional ha de completarse con “la contenida en la STC 5/2014 en la que además se examina la constitucionalidad del art. 42 bis de la Ley 5/2009, de 28 de diciembre, de presupuestos generales de la Comunidad Autónoma de Cantabria, en la redacción dada por el art. 2.13 de la Ley del Parlamento de Cantabria 5/2010, de 6 de julio”, transcribiendo a continuación tanto dicho precepto autonómico como el extracto relevante de la STC 5/2014.</w:t>
      </w:r>
    </w:p>
    <w:p w:rsidR="00A90898" w:rsidRDefault="00A90898" w:rsidP="00A90898">
      <w:pPr>
        <w:pStyle w:val="TextoNormal"/>
      </w:pPr>
    </w:p>
    <w:p w:rsidR="00A90898" w:rsidRDefault="00A90898" w:rsidP="00A90898">
      <w:pPr>
        <w:pStyle w:val="TextoNormal"/>
      </w:pPr>
      <w:r>
        <w:t>Concluye el Fiscal que, “por todo ello, siendo Hispanagua una empresa pública con forma de sociedad mercantil …. le era aplicable la excepción contenida en la disposición adicional novena del Real Decreto-ley 8/2010”. Y termina interesando “que se dicte sentencia declarando la inconstitucionalidad y nulidad de la disposición adicional primera núm. 1 y 2 de la Ley de la Comunidad Autónoma de Madrid 4/2010, de 29 de junio, de Medidas Urgentes, por la que se modifica la Ley 9/2009, de 23 de diciembre, de Presupuestos Generales de la Comunidad de Madrid para 2010”.</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29 de septiembre de 2016, se acordó señalar para deliberación y votación de la presente Sentencia el día 3 de octubre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La presente cuestión de inconstitucionalidad se plantea en relación con la disposición adicional primera  de la Ley de la Comunidad Autónoma de Madrid 4/2010, de 29 de junio, de medidas urgentes, por la que se modifica la Ley 9/2009, de 23 de diciembre, de presupuestos generales de la Comunidad de Madrid para 2010, por posible vulneración de los arts. 149.1.13 y 156.1 CE. La Sala de lo Social del Tribunal Supremo, que la promueve, aduce que la ley recurrida, en tanto que impone una reducción salarial del 5 por 100 de todos </w:t>
      </w:r>
      <w:r>
        <w:lastRenderedPageBreak/>
        <w:t>los conceptos retributivos al personal laboral no directivo de las sociedades mercantiles autonómicas, contradice la disposición adicional novena del Real Decreto-ley 8/2010, de 20 de mayo, por el que se adoptan medidas extraordinarias para la reducción del déficit público, pues éste exceptúa a este tipo de personal de dicha reducción salarial. Esta contravención conllevaría, a su vez, la vulneración de los arts. 149.1.13 y 156.1 CE.</w:t>
      </w:r>
    </w:p>
    <w:p w:rsidR="00A90898" w:rsidRDefault="00A90898" w:rsidP="00A90898">
      <w:pPr>
        <w:pStyle w:val="TextoNormal"/>
      </w:pPr>
    </w:p>
    <w:p w:rsidR="00A90898" w:rsidRDefault="00A90898" w:rsidP="00A90898">
      <w:pPr>
        <w:pStyle w:val="TextoNormal"/>
      </w:pPr>
      <w:r>
        <w:t>El Abogado del Estado y la Fiscal General del Estado coinciden con el juicio de inconstitucionalidad formulado por el órgano judicial proponente de la cuestión, por lo que interesan su estimación. La Letrada del Gobierno de la Comunidad de Madrid, por el contrario, se opone a dicho planteamiento, con base en una interpretación diversa de la norma básica de contraste, y consecuentemente insta la desestimación de la cuestión.</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examen del fondo de la cuestión planteada, cabe hacer algunas precisiones sobre el objeto del proceso.</w:t>
      </w:r>
    </w:p>
    <w:p w:rsidR="00A90898" w:rsidRDefault="00A90898" w:rsidP="00A90898">
      <w:pPr>
        <w:pStyle w:val="TextoNormal"/>
      </w:pPr>
    </w:p>
    <w:p w:rsidR="00A90898" w:rsidRDefault="00A90898" w:rsidP="00A90898">
      <w:pPr>
        <w:pStyle w:val="TextoNormal"/>
      </w:pPr>
      <w:r>
        <w:t>a) Este Tribunal constata que, como resaltan la Letrada del Gobierno de la Comunidad de Madrid y la Fiscal General del Estado, la parte dispositiva del auto de planteamiento plantea “cuestión de inconstitucionalidad de la disposición adicional primera  de la Ley de la Comunidad Autónoma de Madrid 9/2009, 23 de diciembre, en su redacción modificativa dada por la Ley 4/2010, de 29 de junio”. Pese a ello, y como admiten todas las partes, se desprende de los razonamientos jurídicos que el objeto de este proceso es, en realidad, la disposición adicional primera  de la Ley de la Comunidad Autónoma de Madrid 4/2010, de 29 de junio, de medidas urgentes, por la que se modifica la Ley 9/2009, de 23 de diciembre, de presupuestos generales de la Comunidad de Madrid para 2010, que dispone:</w:t>
      </w:r>
    </w:p>
    <w:p w:rsidR="00A90898" w:rsidRDefault="00A90898" w:rsidP="00A90898">
      <w:pPr>
        <w:pStyle w:val="TextoNormal"/>
      </w:pPr>
    </w:p>
    <w:p w:rsidR="00A90898" w:rsidRDefault="00A90898" w:rsidP="00A90898">
      <w:pPr>
        <w:pStyle w:val="TextoNormal"/>
      </w:pPr>
      <w:r>
        <w:t>“Disposición adicional primera. Régimen de las sociedades mercantiles del sector público de la Comunidad de Madrid.</w:t>
      </w:r>
    </w:p>
    <w:p w:rsidR="00A90898" w:rsidRDefault="00A90898" w:rsidP="00A90898">
      <w:pPr>
        <w:pStyle w:val="TextoNormal"/>
      </w:pPr>
    </w:p>
    <w:p w:rsidR="00A90898" w:rsidRDefault="00A90898" w:rsidP="00A90898">
      <w:pPr>
        <w:pStyle w:val="TextoNormal"/>
      </w:pPr>
      <w:r>
        <w:t>1. A partir de la entrada en vigor de la presente ley, le será de aplicación al personal laboral no directivo de las sociedades mercantiles la reducción salarial a que se refiere el art. 19.2.B) d) de la Ley 9/2009, de 23 de diciembre, de Presupuestos Generales de la Comunidad de Madrid para 2010, en la redacción dada por esta ley.</w:t>
      </w:r>
    </w:p>
    <w:p w:rsidR="00A90898" w:rsidRDefault="00A90898" w:rsidP="00A90898">
      <w:pPr>
        <w:pStyle w:val="TextoNormal"/>
      </w:pPr>
    </w:p>
    <w:p w:rsidR="00A90898" w:rsidRDefault="00A90898" w:rsidP="00A90898">
      <w:pPr>
        <w:pStyle w:val="TextoNormal"/>
      </w:pPr>
      <w:r>
        <w:t>Como consecuencia de lo anterior, con la misma fecha de efectos, el Presupuesto de Gastos de Personal de dichas sociedades, así como la limitación presupuestaria a que se refiere el art. 17.2 de la Ley 9/2009, de 23 de diciembre, de Presupuestos Generales de la Comunidad de Madrid para 2010, se verán reducidos en la proporción que resulte para hacer efectiva esta medida.</w:t>
      </w:r>
    </w:p>
    <w:p w:rsidR="00A90898" w:rsidRDefault="00A90898" w:rsidP="00A90898">
      <w:pPr>
        <w:pStyle w:val="TextoNormal"/>
      </w:pPr>
    </w:p>
    <w:p w:rsidR="00A90898" w:rsidRDefault="00A90898" w:rsidP="00A90898">
      <w:pPr>
        <w:pStyle w:val="TextoNormal"/>
      </w:pPr>
      <w:r>
        <w:t>2. Con el fin de garantizar el cumplimiento de la disminución de gasto de personal, con dichos efectos se aplicará una reducción a cuenta del 5 por 100 de cada uno de los conceptos salariales percibido por dicho personal, hasta que, mediante la negociación colectiva se acuerde una minoración retributiva equivalente.</w:t>
      </w:r>
    </w:p>
    <w:p w:rsidR="00A90898" w:rsidRDefault="00A90898" w:rsidP="00A90898">
      <w:pPr>
        <w:pStyle w:val="TextoNormal"/>
      </w:pPr>
    </w:p>
    <w:p w:rsidR="00A90898" w:rsidRDefault="00A90898" w:rsidP="00A90898">
      <w:pPr>
        <w:pStyle w:val="TextoNormal"/>
      </w:pPr>
      <w:r>
        <w:t>3. Con la misma finalidad expuesta en el apartado 2 anterior, la empresa pública Metro de Madrid, S.A. aplicará una reducción a cuenta del 5 por 100 de cada uno de los conceptos salariales percibidos por su personal, hasta que, en su caso, y mediante negociación colec</w:t>
      </w:r>
      <w:r>
        <w:lastRenderedPageBreak/>
        <w:t>tiva, se adopten las medidas que permitan otra fórmula de minoración alternativa que, necesariamente, deberá suponer una reducción de, al menos, un 2,15 por 100 del Presupuesto de Gastos de Personal de la empresa para el año 2010.”</w:t>
      </w:r>
    </w:p>
    <w:p w:rsidR="00A90898" w:rsidRDefault="00A90898" w:rsidP="00A90898">
      <w:pPr>
        <w:pStyle w:val="TextoNormal"/>
      </w:pPr>
    </w:p>
    <w:p w:rsidR="00A90898" w:rsidRDefault="00A90898" w:rsidP="00A90898">
      <w:pPr>
        <w:pStyle w:val="TextoNormal"/>
      </w:pPr>
      <w:r>
        <w:t xml:space="preserve">b) Por otro lado, también procede acoger la alegación de la Fiscal General del Estado que enfatiza que, a pesar de no hacerse distinción alguna en el auto de planteamiento, la cuestión se debe comprender referida solamente a los dos primeros apartados. El tercero, por el contrario, quedará fuera de nuestra consideración, pues, por un lado, es ajeno al pleito </w:t>
      </w:r>
      <w:r w:rsidRPr="00A90898">
        <w:rPr>
          <w:i/>
        </w:rPr>
        <w:t>a quo</w:t>
      </w:r>
      <w:r>
        <w:t xml:space="preserve"> dado que regula la reducción salarial del personal de una concreta empresa pública que no es a la que pertenecen los trabajadores implicados en la demanda de conflicto colectivo que rige aquél. Además, respecto de ese tercer apartado ni se ha dado traslado a las partes en el trámite de audiencia, ni hay referencia a él en el auto de planteamiento por lo que procede entender que no fue planteada la cuestión sobre este párrafo.</w:t>
      </w:r>
    </w:p>
    <w:p w:rsidR="00A90898" w:rsidRDefault="00A90898" w:rsidP="00A90898">
      <w:pPr>
        <w:pStyle w:val="TextoNormal"/>
      </w:pPr>
    </w:p>
    <w:p w:rsidR="00A90898" w:rsidRDefault="00A90898" w:rsidP="00A90898">
      <w:pPr>
        <w:pStyle w:val="TextoNormal"/>
      </w:pPr>
      <w:r w:rsidRPr="00A90898">
        <w:rPr>
          <w:rStyle w:val="NumeroAFNegritaCaracter"/>
        </w:rPr>
        <w:t>3</w:t>
      </w:r>
      <w:r>
        <w:t>. Para constatar la existencia de una inconstitucionalidad mediata, tal como la aducida en el Auto de planteamiento, resulta necesaria (por todas, SSTC 113/2010, de 24 de noviembre, FJ 2; 159/2012, de 17 de septiembre, FJ 2, y 219/2013, de 19 de diciembre, FJ 4) “la concurrencia de dos circunstancias: primero,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interpretativa”.</w:t>
      </w:r>
    </w:p>
    <w:p w:rsidR="00A90898" w:rsidRDefault="00A90898" w:rsidP="00A90898">
      <w:pPr>
        <w:pStyle w:val="TextoNormal"/>
      </w:pPr>
    </w:p>
    <w:p w:rsidR="00A90898" w:rsidRDefault="00A90898" w:rsidP="00A90898">
      <w:pPr>
        <w:pStyle w:val="TextoNormal"/>
      </w:pPr>
      <w:r>
        <w:t>En cuanto a la primera de las condiciones mencionadas, nuestro razonamiento ha de partir de que la disposición adicional novena del Real Decreto-ley 8/2010 es la norma básica que considera infringida el órgano promotor de la cuestión. En la STC 219/2013, de 19 de diciembre, FJ 4, como elemento previo a examinar si este precepto estatal reunía las condiciones formales y materiales para ser considerada básico, precisó este Tribunal “que esta disposición excluye al personal laboral no directivo de las sociedades mercantiles públicas que perciban aportaciones de cualquier naturaleza con cargo a los presupuestos públicos (o con cargo a los presupuestos de los entes o sociedades que pertenezcan al sector público destinadas a cubrir déficit de explotación) de la reducción salarial del 5 por 100 impuesta con carácter general a todos los empleados públicos en el art. 22.2 B) de la Ley 26/2009, de 23 de diciembre, de presupuestos generales del Estado para el año 2010, en su redacción dada por el art. 1.2 del Real Decreto-ley 8/2010, salvo que por negociación colectiva las partes decidan la aplicación de la referida reducción salarial”.</w:t>
      </w:r>
    </w:p>
    <w:p w:rsidR="00A90898" w:rsidRDefault="00A90898" w:rsidP="00A90898">
      <w:pPr>
        <w:pStyle w:val="TextoNormal"/>
      </w:pPr>
    </w:p>
    <w:p w:rsidR="00A90898" w:rsidRDefault="00A90898" w:rsidP="00A90898">
      <w:pPr>
        <w:pStyle w:val="TextoNormal"/>
      </w:pPr>
      <w:r>
        <w:t>De este modo, al haber señalado este Tribunal en aquella resolución que la citada disposición “resulta taxativa en cuanto a la exclusión del personal laboral no directivo de las sociedades mercantiles públicas de la reducción salarial del 5 por 100 prevista” (STC 219/2013, FJ 6), procede rechazar los sentidos alternativos de esta norma estatal que propugna la Letrada de la Comunidad de Madrid en este proceso, tanto, por un lado, que la excepción allí prevista es potestativa para el legislador autonómico, como, por el otro, que la extensión de la reducción salarial del 5 por 100 a todos los empleados públicos salvo al personal laboral no directivo de las sociedades mercantiles públicas se imponga a las Comunidades Autónomas como un techo mínimo, pudiendo las mismas ampliar la reducción salarial, tanto en la cuantía como en los sujetos afectados.</w:t>
      </w:r>
    </w:p>
    <w:p w:rsidR="00A90898" w:rsidRDefault="00A90898" w:rsidP="00A90898">
      <w:pPr>
        <w:pStyle w:val="TextoNormal"/>
      </w:pPr>
    </w:p>
    <w:p w:rsidR="00A90898" w:rsidRDefault="00A90898" w:rsidP="00A90898">
      <w:pPr>
        <w:pStyle w:val="TextoNormal"/>
      </w:pPr>
      <w:r>
        <w:lastRenderedPageBreak/>
        <w:t>En la citada STC 219/2013, de 19 de diciembre, FJ 4, cuya doctrina han reiterado las SSTC 5/2014, de 16 de enero; 207/2014, de 15 de diciembre; y 143/2015, de 22 de junio, el Tribunal ha resuelto que la disposición adicional novena del Real Decreto-ley 8/2010, entendida como acabamos de precisar, tiene carácter básico, tanto formal, pues está consignada en una Ley, como material, pues “si básica es la regla general de reducción del 5 por 100, en cómputo anual, de las retribuciones del personal del sector público … básica debe ser también la excepción destinada al personal laboral no directivo de las sociedades mercantiles públicas en la disposición adicional novena del Real Decreto-ley 8/2010, en tanto que esta norma contribuye a la delimitación exacta del alcance de la medida de contención de gasto … De este modo se articula un régimen jurídico homogéneo que asegura un tratamiento común en cuanto a la aplicación de la reducción salarial al personal laboral no directivo de las empresas públicas en todo el territorio nacional” (STC 219/2013, FJ 5).</w:t>
      </w:r>
    </w:p>
    <w:p w:rsidR="00A90898" w:rsidRDefault="00A90898" w:rsidP="00A90898">
      <w:pPr>
        <w:pStyle w:val="TextoNormal"/>
      </w:pPr>
    </w:p>
    <w:p w:rsidR="00A90898" w:rsidRDefault="00A90898" w:rsidP="00A90898">
      <w:pPr>
        <w:pStyle w:val="TextoNormal"/>
      </w:pPr>
      <w:r w:rsidRPr="00A90898">
        <w:rPr>
          <w:rStyle w:val="NumeroAFNegritaCaracter"/>
        </w:rPr>
        <w:t>4</w:t>
      </w:r>
      <w:r>
        <w:t>. Declarado el carácter formal y materialmente básico de la norma estatal de contraste (disposición adicional novena del Real Decreto-ley 8/2010) ha de examinarse si hay contradicción insalvable entre ella y la ley autonómica cuestionada. Procede realizar este análisis por separado respecto de las tres distintas previsiones recogidas en los apartados 1 y 2 de la disposición adicional primera  de la Ley de la Comunidad Autónoma de Madrid 4/2010.</w:t>
      </w:r>
    </w:p>
    <w:p w:rsidR="00A90898" w:rsidRDefault="00A90898" w:rsidP="00A90898">
      <w:pPr>
        <w:pStyle w:val="TextoNormal"/>
      </w:pPr>
    </w:p>
    <w:p w:rsidR="00A90898" w:rsidRDefault="00A90898" w:rsidP="00A90898">
      <w:pPr>
        <w:pStyle w:val="TextoNormal"/>
      </w:pPr>
      <w:r>
        <w:t>La STC 219/2013, de 19 de diciembre, FJ 6, afirmó que existía tal contradicción entre dicha norma estatal de contraste y una norma autonómica cántabra cuyo contenido normativo es esencialmente idéntico al párrafo primero del apartado 1 de la disposición adicional primera  de la Ley de la Comunidad Autónoma de Madrid 4/2010. En concreto, este Tribunal resolvió en los siguientes términos:</w:t>
      </w:r>
    </w:p>
    <w:p w:rsidR="00A90898" w:rsidRDefault="00A90898" w:rsidP="00A90898">
      <w:pPr>
        <w:pStyle w:val="TextoNormal"/>
      </w:pPr>
    </w:p>
    <w:p w:rsidR="00A90898" w:rsidRDefault="00A90898" w:rsidP="00A90898">
      <w:pPr>
        <w:pStyle w:val="TextoNormal"/>
      </w:pPr>
      <w:r>
        <w:t>“[E]l apartado cuatro del art. 27 de la Ley 5/2009, de presupuestos generales de Cantabria, en la redacción dada por el art. 2.5 de la Ley de Cantabria 5/2010 … se decanta por aplicar directamente a todo el personal del sector público de la Administración de Cantabria, incluido el personal laboral de las sociedades mercantiles públicas de esta Comunidad Autónoma, la reducción salarial del 5 por 100 en cómputo anual que establece con carácter general el art. 1.2 del Real Decreto-ley 8/2010 (que da nueva redacción al art. 22.2 de la Ley 26/2009, de presupuestos generales del Estado para 2010), obviando la excepción establecida en la disposición adicional novena del propio Real Decreto-ley 8/2010, que excluye de la aplicación de esa regla general de reducción salarial al personal laboral no directivo de las sociedades mercantiles públicas, ‘salvo que por negociación colectiva las partes decidan su aplicación’.</w:t>
      </w:r>
    </w:p>
    <w:p w:rsidR="00A90898" w:rsidRDefault="00A90898" w:rsidP="00A90898">
      <w:pPr>
        <w:pStyle w:val="TextoNormal"/>
      </w:pPr>
    </w:p>
    <w:p w:rsidR="00A90898" w:rsidRDefault="00A90898" w:rsidP="00A90898">
      <w:pPr>
        <w:pStyle w:val="TextoNormal"/>
      </w:pPr>
      <w:r>
        <w:t xml:space="preserve">La contradicción del precepto autonómico cuestionado con la previsión contenida en la norma básica de contraste (disposición adicional novena del Real Decreto-ley 8/2010) resulta así patente, sin que pueda ser salvada por vía interpretativa. En efecto, dados los claros términos en los que aparece redactada la disposición adicional novena del Real Decreto-ley 8/2010 (la reducción salarial del 5 por 100 “no será de aplicación al personal laboral no directivo de las sociedades mercantiles públicas … salvo que por negociación colectiva las partes decidan su aplicación”), no es posible interpretar, como postulan el Abogado del Estado y el Letrado del Gobierno de Cantabria, que la norma básica estatal (disposición adicional novena del Real Decreto-ley 8/2010) ha de entenderse como un mínimo obligatorio de reducción retributiva que las Comunidades Autónomas son libres de llevar más allá de acuerdo con su propia política de contención del déficit, tanto en la cuantía de la reducción, </w:t>
      </w:r>
      <w:r>
        <w:lastRenderedPageBreak/>
        <w:t>como en los sujetos afectados por ella. Dicho de otro modo, sugieren que la disposición adicional novena del Real Decreto-ley 8/2010 no vendría a prohibir la reducción salarial del 5 por 100 establecida como regla general, sino que simplemente no la establecería de forma imperativa, dejando un margen de disposición a las Comunidades Autónomas para que, en virtud de su autonomía financiera, decidan si extienden de forma inmediata (esto es, sin necesidad de que las partes acuerden la reducción salarial en la negociación colectiva, en su caso) al personal laboral no directivo de sus sociedades mercantiles esa reducción salarial.</w:t>
      </w:r>
    </w:p>
    <w:p w:rsidR="00A90898" w:rsidRDefault="00A90898" w:rsidP="00A90898">
      <w:pPr>
        <w:pStyle w:val="TextoNormal"/>
      </w:pPr>
    </w:p>
    <w:p w:rsidR="00A90898" w:rsidRDefault="00A90898" w:rsidP="00A90898">
      <w:pPr>
        <w:pStyle w:val="TextoNormal"/>
      </w:pPr>
      <w:r>
        <w:t>En suma, esa interpretación de conformidad no es admisible porque contradice el enunciado de la disposición adicional novena del Real Decreto-ley 8/2010 y olvida que la medida estatal básica de contención del gasto público viene determinada en este caso, según hemos señalado, tanto por la regla general de reducción salarial prevista el en el art. 1.2 del Real Decreto-ley 8/2010 (que da nueva redacción al art. 22.2 de la Ley 26/2009, de presupuestos generales del Estado para 2010) como por la excepción establecida en la disposición adicional novena del propio Real Decreto-ley 8/2010 para el personal laboral no directivo de las sociedades mercantiles públicas, en tanto que esta disposición contribuye a precisar el alcance de la medida de contención del gasto consistente en la reducción salarial del 5 por 100 en cómputo anual. Tal interpretación impediría la plena efectividad de las determinaciones del legislador básico estatal, que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 Debe, pues, descartarse esa interpretación del precepto cuestionado.”</w:t>
      </w:r>
    </w:p>
    <w:p w:rsidR="00A90898" w:rsidRDefault="00A90898" w:rsidP="00A90898">
      <w:pPr>
        <w:pStyle w:val="TextoNormal"/>
      </w:pPr>
    </w:p>
    <w:p w:rsidR="00A90898" w:rsidRDefault="00A90898" w:rsidP="00A90898">
      <w:pPr>
        <w:pStyle w:val="TextoNormal"/>
      </w:pPr>
      <w:r>
        <w:t>Dado que el párrafo primero del apartado 1 de la disposición adicional primera  de la Ley de la Comunidad Autónoma de Madrid 4/2010 recoge una previsión de idéntico sentido a la incluida en dicha norma cántabra, lo que se comprueba a la luz de la transcripción de aquélla que ha quedado consignada en el fundamento jurídico segundo de esta resolución, procede declarar que también ella (la norma de la Comunidad de Madrid recurrida en este proceso) contradice, por los motivos indicados en la parte referida de la STC 219/2013, la norma básica de contraste determinada por la disposición adicional novena del Real Decreto-ley 8/2010. La constatación de esta contradicción insalvable conlleva, en fin, que el párrafo primero del apartado 1 de la disposición adicional primera  de la Ley de la Comunidad Autónoma de Madrid 4/2010 vulnere mediatamente los arts. 149.1.13 y 156 CE en la medida que estos preceptos amparan el dictado como norma básica de la disposición adicional novena del Real Decreto-ley 8/2010 y, por ello, que aquel indicado precepto autonómico deba ser declarado inconstitucional y nulo.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Por otra parte, el art. 42 </w:t>
      </w:r>
      <w:r w:rsidRPr="00A90898">
        <w:rPr>
          <w:i/>
        </w:rPr>
        <w:t>bis</w:t>
      </w:r>
      <w:r>
        <w:t xml:space="preserve"> de la Ley 5/2009, de 28 de diciembre, de presupuestos generales de Cantabria para el año 2010, introducido por el art. 2.13 de la Ley del Parlamento de Cantabria 5/2010, de 6 de julio, disponía que “con efectos de 1 de junio de 2010 la masa salarial de cada una de las sociedades mercantiles dependientes de la Comunidad Autónoma de Cantabria experimentará una reducción del 5 por ciento”. La STC 5/2014, de 16 de enero, FJ 4, resolvió que este precepto autonómico contradice la disposición adicional novena del Real Decreto-ley 8/2010 y, por consiguiente, declara su inconstitucionalidad y nulidad. La argumentación, en extracto, es la siguiente:</w:t>
      </w:r>
    </w:p>
    <w:p w:rsidR="00A90898" w:rsidRDefault="00A90898" w:rsidP="00A90898">
      <w:pPr>
        <w:pStyle w:val="TextoNormal"/>
      </w:pPr>
    </w:p>
    <w:p w:rsidR="00A90898" w:rsidRDefault="00A90898" w:rsidP="00A90898">
      <w:pPr>
        <w:pStyle w:val="TextoNormal"/>
      </w:pPr>
      <w:r>
        <w:lastRenderedPageBreak/>
        <w:t>“En la STC 219/2013, FFJJ 4 y 5, a cuya fundamentación debemos remitimos ahora, afirmamos el carácter básico tanto formal como material de la disposición adicional novena del Real Decreto-ley 8/2010.</w:t>
      </w:r>
    </w:p>
    <w:p w:rsidR="00A90898" w:rsidRDefault="00A90898" w:rsidP="00A90898">
      <w:pPr>
        <w:pStyle w:val="TextoNormal"/>
      </w:pPr>
    </w:p>
    <w:p w:rsidR="00A90898" w:rsidRDefault="00A90898" w:rsidP="00A90898">
      <w:pPr>
        <w:pStyle w:val="TextoNormal"/>
      </w:pPr>
      <w:r>
        <w:t>Afirmado el carácter básico de la norma estatal de contraste, ha de afirmarse, igualmente, la contradicción entre aquella y la norma autonómica cuestionada. La disposición adicional novena del Real Decreto-ley 8/2010 resulta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w:t>
      </w:r>
    </w:p>
    <w:p w:rsidR="00A90898" w:rsidRDefault="00A90898" w:rsidP="00A90898">
      <w:pPr>
        <w:pStyle w:val="TextoNormal"/>
      </w:pPr>
    </w:p>
    <w:p w:rsidR="00A90898" w:rsidRDefault="00A90898" w:rsidP="00A90898">
      <w:pPr>
        <w:pStyle w:val="TextoNormal"/>
      </w:pPr>
      <w:r>
        <w:t>Por su parte, el cuestionado art. 42 bis de la Ley cántabra 5/2009, introducido por la Ley 5/2010, al aplicar dicha reducción a la masa salarial de cada una de las sociedades mercantiles cántabras, entre otras entidades, contradice de forma patente la norma básica estatal (disposición adicional novena del Real Decreto-ley 8/2010)”.</w:t>
      </w:r>
    </w:p>
    <w:p w:rsidR="00A90898" w:rsidRDefault="00A90898" w:rsidP="00A90898">
      <w:pPr>
        <w:pStyle w:val="TextoNormal"/>
      </w:pPr>
    </w:p>
    <w:p w:rsidR="00A90898" w:rsidRDefault="00A90898" w:rsidP="00A90898">
      <w:pPr>
        <w:pStyle w:val="TextoNormal"/>
      </w:pPr>
      <w:r>
        <w:t xml:space="preserve">Esta doctrina constitucional ha sido reiterada por las SSTC 207/2014, de 15 de diciembre, y 143/2015, de 22 de junio, en relación a otros preceptos autonómicos que, al igual que el mencionado art. 42 </w:t>
      </w:r>
      <w:r w:rsidRPr="00A90898">
        <w:rPr>
          <w:i/>
        </w:rPr>
        <w:t>bis</w:t>
      </w:r>
      <w:r>
        <w:t xml:space="preserve"> de la Ley cántabra 5/2009, ordenaban también esa reducción del 5por 100 en la masa salarial del personal laboral de las sociedades mercantiles.</w:t>
      </w:r>
    </w:p>
    <w:p w:rsidR="00A90898" w:rsidRDefault="00A90898" w:rsidP="00A90898">
      <w:pPr>
        <w:pStyle w:val="TextoNormal"/>
      </w:pPr>
    </w:p>
    <w:p w:rsidR="00A90898" w:rsidRDefault="00A90898" w:rsidP="00A90898">
      <w:pPr>
        <w:pStyle w:val="TextoNormal"/>
      </w:pPr>
      <w:r>
        <w:t>Pues bien, el párrafo segundo del apartado 1 de la disposición adicional primera  de la Ley de la Comunidad Autónoma de Madrid 4/2010 prevé igualmente que esa reducción del 5 por 100 en la retribución del personal laboral no directivo de las sociedades mercantiles, que viene impuesta en el párrafo primero de esa norma, se traduzca en que “el Presupuesto de Gastos de Personal de dichas sociedades, así como la limitación presupuestaria a que se refiere el artículo 17.2 de la Ley 9/2009, de 23 de diciembre, de Presupuestos Generales de la Comunidad de Madrid para 2010, se verán reducidos en la proporción que resulte para hacer efectiva esta medida”.</w:t>
      </w:r>
    </w:p>
    <w:p w:rsidR="00A90898" w:rsidRDefault="00A90898" w:rsidP="00A90898">
      <w:pPr>
        <w:pStyle w:val="TextoNormal"/>
      </w:pPr>
    </w:p>
    <w:p w:rsidR="00A90898" w:rsidRDefault="00A90898" w:rsidP="00A90898">
      <w:pPr>
        <w:pStyle w:val="TextoNormal"/>
      </w:pPr>
      <w:r>
        <w:t xml:space="preserve">Dicho en otras palabras, la merma en la masa salarial que ordenan los preceptos autonómicos enjuiciados en las referidas SSTC 5/2014, 207/2014 y 143/2015 se corresponde sustancialmente con la reducción en el presupuesto de gastos de personal y en la limitación presupuestaria </w:t>
      </w:r>
      <w:r w:rsidRPr="00A90898">
        <w:rPr>
          <w:i/>
        </w:rPr>
        <w:t>ex</w:t>
      </w:r>
      <w:r>
        <w:t xml:space="preserve"> art. 17.2 de la Ley de la Comunidad de Madrid 9/2009, que dispone: “los gastos de personal de los sujetos cuyos presupuestos se integran en los Presupuestos Generales de la Comunidad de Madrid, cuya normativa específica no confiere carácter limitativo a su presupuesto de gastos, estarán limitados a la cuantía prevista en su presupuesto aprobado por la Asamblea”, que prevé el párrafo segundo del apartado 1 de la disposición adicional primera  de la Ley de la Comunidad Autónoma de Madrid 4/2010.</w:t>
      </w:r>
    </w:p>
    <w:p w:rsidR="00A90898" w:rsidRDefault="00A90898" w:rsidP="00A90898">
      <w:pPr>
        <w:pStyle w:val="TextoNormal"/>
      </w:pPr>
    </w:p>
    <w:p w:rsidR="00A90898" w:rsidRDefault="00A90898" w:rsidP="00A90898">
      <w:pPr>
        <w:pStyle w:val="TextoNormal"/>
      </w:pPr>
      <w:r>
        <w:t xml:space="preserve">Debido a esta identidad sustancial, una </w:t>
      </w:r>
      <w:r w:rsidRPr="00A90898">
        <w:rPr>
          <w:i/>
        </w:rPr>
        <w:t>ratio</w:t>
      </w:r>
      <w:r>
        <w:t xml:space="preserve"> de unidad de doctrina exige proyectar sobre este precepto legal madrileño los criterios que, según hemos reseñado, acogieron las SSTC 5/2014, 207/2014 y 143/2015 y, en virtud de ellos, declarar su inconstitucionalidad y nulidad.</w:t>
      </w:r>
    </w:p>
    <w:p w:rsidR="00A90898" w:rsidRDefault="00A90898" w:rsidP="00A90898">
      <w:pPr>
        <w:pStyle w:val="TextoNormal"/>
      </w:pPr>
    </w:p>
    <w:p w:rsidR="00A90898" w:rsidRDefault="00A90898" w:rsidP="00A90898">
      <w:pPr>
        <w:pStyle w:val="TextoNormal"/>
      </w:pPr>
      <w:r w:rsidRPr="00A90898">
        <w:rPr>
          <w:rStyle w:val="NumeroAFNegritaCaracter"/>
        </w:rPr>
        <w:t>6</w:t>
      </w:r>
      <w:r>
        <w:t>. En tercer y último lugar, debemos examinar, conforme a los criterios expuesto, la constitucionalidad del apartado 2 de la disposición adicional primera  de la Ley de la Co</w:t>
      </w:r>
      <w:r>
        <w:lastRenderedPageBreak/>
        <w:t>munidad Autónoma de Madrid 4/2010, que dispone que “con el fin de garantizar el cumplimiento de la disminución de gasto de personal, con dichos efectos se aplicará una reducción a cuenta del 5 por 100 de cada uno de los conceptos salariales percibido por dicho personal, hasta que, mediante la negociación colectiva se acuerde una minoración retributiva equivalente”. Este precepto, al contener una medida orientada a dar efectividad a una disminución de gasto de personal que ya hemos dicho que contradice la norma básica estatal, debe seguir la misma suerte que la disposición que trata de garantizar y, por tanto, resulta contradictoria del mismo modo que ella con la disposición adicional novena del Real Decreto-ley 8/2010, lo que conlleva que proceda también declarar inconstitucional y nula este apartado 2 de la disposición adicional primera  de la Ley de la Comunidad Autónoma de Madrid 4/2010.</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Los razonamientos expuestos conducen a concluir que los cuestionados apartados 1 y 2 de la disposición adicional primera  de la Ley de la Comunidad Autónoma de Madrid 4/2010, de medidas urgentes, por la que se modifica la Ley 9/2009, de 23 de diciembre, de presupuestos generales de la Comunidad de Madrid para 2010, en tanto que contradicen de un modo insalvable la disposición adicional novena del Real Decreto-ley 8/2010, son contrarios a lo dispuesto en una norma estatal que tiene la condición de básica, formal y materialmente, </w:t>
      </w:r>
      <w:r w:rsidRPr="00A90898">
        <w:rPr>
          <w:i/>
        </w:rPr>
        <w:t>ex</w:t>
      </w:r>
      <w:r>
        <w:t xml:space="preserve"> arts. 149.1.13 y 156.1 CE, lo que determina la consiguiente inconstitucionalidad y nulidad de los dos apartados indicados del precepto autonómico en cuestión.</w:t>
      </w:r>
    </w:p>
    <w:p w:rsidR="00A90898" w:rsidRDefault="00A90898" w:rsidP="00A90898">
      <w:pPr>
        <w:pStyle w:val="TextoNormal"/>
      </w:pPr>
    </w:p>
    <w:p w:rsidR="00A90898" w:rsidRDefault="00A90898" w:rsidP="00A90898">
      <w:pPr>
        <w:pStyle w:val="TextoNormal"/>
      </w:pPr>
      <w:r>
        <w:t>Procede, no obstante, modular el alcance de nuestra declaración de inconstitucionalidad y nulidad. En tal sentido, y siguiendo la doctrina recogida —entre otras muchas— en las SSTC 45/1989, de 20 de febrero, FJ 11, 180/2000, de 29 de junio, FJ 7, 365/2006, de 21 de diciembre, FJ 8, y 161/2012, de 20 de septiembre, FJ 7, no solo habrá de preservar la cosa juzgada (art. 40.1 LOTC), sino que, igualmente, en virtud del principio constitucional de seguridad jurídica (art. 9.3 CE), la modulación de los efectos de nuestro pronunciamiento se extenderá en este caso a las posibles situaciones administrativas firmes, como también hemos reconocido en el fundamento jurídico 7 de la STC 219/2013, de 19 de diciembre.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la presente cuestión de inconstitucionalidad y, en consecuencia, declarar la inconstitucionalidad y nulidad, respecto de los apartados 1 y 2 de la disposición adicional primera  de la Ley de la Comunidad Autónoma de Madrid 4/2010, de medidas urgentes, por la que se modifica la Ley 9/2009, de 23 de diciembre, de presupuestos generales de la Comunidad de Madrid para 2010, con los efectos establecidos en el fundamento jurídico 7 de esta Sentencia.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4" w:name="SENTENCIA_2016_165"/>
      <w:r>
        <w:lastRenderedPageBreak/>
        <w:t>SENTENCIA 165/2016, de 6 de octubre de 2016</w:t>
      </w:r>
    </w:p>
    <w:bookmarkEnd w:id="44"/>
    <w:p w:rsidR="00A90898" w:rsidRDefault="00A90898" w:rsidP="00A90898">
      <w:pPr>
        <w:pStyle w:val="TtuloResolucin"/>
      </w:pPr>
      <w:r>
        <w:t>Pleno</w:t>
      </w:r>
    </w:p>
    <w:p w:rsidR="00A90898" w:rsidRDefault="00A90898" w:rsidP="00A90898">
      <w:pPr>
        <w:pStyle w:val="TtuloBOE"/>
      </w:pPr>
      <w:r>
        <w:t>(BOE núm. 276, de 15 de noviembre de 2016)</w:t>
      </w:r>
    </w:p>
    <w:p w:rsidR="00A90898" w:rsidRDefault="00A90898" w:rsidP="00A90898">
      <w:pPr>
        <w:pStyle w:val="TextoNormalCentrado"/>
      </w:pPr>
      <w:r>
        <w:t>ECLI:ES:TC:2016:165</w:t>
      </w:r>
    </w:p>
    <w:p w:rsidR="00A90898" w:rsidRDefault="00A90898" w:rsidP="00A90898">
      <w:pPr>
        <w:pStyle w:val="TextoNormalCentrado"/>
      </w:pPr>
    </w:p>
    <w:p w:rsidR="00A90898" w:rsidRDefault="00A90898" w:rsidP="00A90898">
      <w:pPr>
        <w:pStyle w:val="SntesisDescriptiva"/>
      </w:pPr>
      <w:r>
        <w:t>Recurso de inconstitucionalidad 1870-2011. Interpuesto por el Gobierno de Aragón respecto de diversos preceptos de la Ley 40/2010, de 29 de diciembre, de almacenamiento geológico de dióxido de carbono.</w:t>
      </w:r>
    </w:p>
    <w:p w:rsidR="00A90898" w:rsidRDefault="00A90898" w:rsidP="00A90898">
      <w:pPr>
        <w:pStyle w:val="SntesisDescriptiva"/>
      </w:pPr>
    </w:p>
    <w:p w:rsidR="00A90898" w:rsidRDefault="00A90898" w:rsidP="00A90898">
      <w:pPr>
        <w:pStyle w:val="SntesisAnaltica"/>
      </w:pPr>
      <w:r>
        <w:t>Competencias sobre ordenación general de la economía, medio ambiente y minas: constitucionalidad de los preceptos legales que reservan a la Administración del Estado la concesión de almacenamiento. Voto particular.</w:t>
      </w:r>
    </w:p>
    <w:p w:rsidR="00A90898" w:rsidRDefault="00A90898" w:rsidP="00A90898">
      <w:pPr>
        <w:pStyle w:val="SntesisAnaltica"/>
      </w:pPr>
    </w:p>
    <w:p w:rsidR="00A90898" w:rsidRDefault="00A90898" w:rsidP="00A90898">
      <w:pPr>
        <w:pStyle w:val="Extracto"/>
      </w:pPr>
      <w:r>
        <w:t>1.</w:t>
      </w:r>
      <w:r>
        <w:tab/>
        <w:t>Cuando las instituciones generales del Estado disponen de competencias para adoptar legislación básica en varias materias, no resulta irrelevante determinar la categoría específica, de entre las varias en liza, a la que primordialmente se reconducen las competencias controvertidas (SSTC 80/1985, 45/2015) [FJ 4].</w:t>
      </w:r>
    </w:p>
    <w:p w:rsidR="00A90898" w:rsidRDefault="00A90898" w:rsidP="00A90898">
      <w:pPr>
        <w:pStyle w:val="Extracto"/>
      </w:pPr>
    </w:p>
    <w:p w:rsidR="00A90898" w:rsidRDefault="00A90898" w:rsidP="00A90898">
      <w:pPr>
        <w:pStyle w:val="Extracto"/>
      </w:pPr>
      <w:r>
        <w:t>2.</w:t>
      </w:r>
      <w:r>
        <w:tab/>
        <w:t xml:space="preserve">Para decidir si la controversia debe encuadrarse en una u otra de las competencias exclusivas del Estado </w:t>
      </w:r>
      <w:r w:rsidRPr="00A90898">
        <w:rPr>
          <w:i/>
        </w:rPr>
        <w:t>ex</w:t>
      </w:r>
      <w:r>
        <w:t xml:space="preserve"> 149.1.CE, la cobertura competencial enunciada por la Ley enjuiciada o la propuesta por las partes durante el proceso constitucional son meramente indicativas y no resultan vinculantes para este Tribunal. Atendidos el carácter, sentido y finalidad de las disposiciones que conforman la Ley controvertida, debemos concluir que el título competencial preferente para resolver la controversia es el referido a la materia de minas [FFJJ 4 y 5].</w:t>
      </w:r>
    </w:p>
    <w:p w:rsidR="00A90898" w:rsidRDefault="00A90898" w:rsidP="00A90898">
      <w:pPr>
        <w:pStyle w:val="Extracto"/>
      </w:pPr>
    </w:p>
    <w:p w:rsidR="00A90898" w:rsidRDefault="00A90898" w:rsidP="00A90898">
      <w:pPr>
        <w:pStyle w:val="Extracto"/>
      </w:pPr>
      <w:r>
        <w:t>3.</w:t>
      </w:r>
      <w:r>
        <w:tab/>
        <w:t>El mero dato de que la Directiva europea traspuesta en el ordenamiento español por la Ley impugnada fluya de la competencia de la Unión en materia de medio ambiente no significa, sin más, que la norma española que la traspone deba encuadrarse en un título competencial similar. Las competencias en materia de medio ambiente pueden condicionar el ejercicio de otras actuaciones con incidencia territorial, pero no pueden invadir el ámbito reservado a las competencias en virtud de las cuales se desarrollan [FFJJ 6 y 7].</w:t>
      </w:r>
    </w:p>
    <w:p w:rsidR="00A90898" w:rsidRDefault="00A90898" w:rsidP="00A90898">
      <w:pPr>
        <w:pStyle w:val="Extracto"/>
      </w:pPr>
    </w:p>
    <w:p w:rsidR="00A90898" w:rsidRDefault="00A90898" w:rsidP="00A90898">
      <w:pPr>
        <w:pStyle w:val="Extracto"/>
      </w:pPr>
      <w:r>
        <w:t>4.</w:t>
      </w:r>
      <w:r>
        <w:tab/>
        <w:t>Las competencias sobre medio ambiente entrarían en juego si los emplazamientos previstos para un lugar de almacenamiento de dióxido de carbono afectaran a una zona protegida por razones medioambientales, situación que no resulta relevante para resolver el objeto de este proceso [FJ 7].</w:t>
      </w:r>
    </w:p>
    <w:p w:rsidR="00A90898" w:rsidRDefault="00A90898" w:rsidP="00A90898">
      <w:pPr>
        <w:pStyle w:val="Extracto"/>
      </w:pPr>
    </w:p>
    <w:p w:rsidR="00A90898" w:rsidRDefault="00A90898" w:rsidP="00A90898">
      <w:pPr>
        <w:pStyle w:val="Extracto"/>
      </w:pPr>
      <w:r>
        <w:t>5.</w:t>
      </w:r>
      <w:r>
        <w:tab/>
        <w:t>Doctrina constitucional sobre las bases estatales (SSTC 69/1988, 31/2010) [FJ 10].</w:t>
      </w:r>
    </w:p>
    <w:p w:rsidR="00A90898" w:rsidRDefault="00A90898" w:rsidP="00A90898">
      <w:pPr>
        <w:pStyle w:val="Extracto"/>
      </w:pPr>
    </w:p>
    <w:p w:rsidR="00A90898" w:rsidRDefault="00A90898" w:rsidP="00A90898">
      <w:pPr>
        <w:pStyle w:val="Extracto"/>
      </w:pPr>
      <w:r>
        <w:t>6.</w:t>
      </w:r>
      <w:r>
        <w:tab/>
        <w:t xml:space="preserve">La tesis de que la investigación y explotación de las estructuras subterráneas, con la finalidad de almacenar dióxido de carbono, debe atenerse literalmente a la regla general que es propia del reparto competencial propio de las bases -en virtud de la cual corresponde al Estado fijar un mínimo común denominador normativo y a la Comunidad Autónoma su íntegro desarrollo y ejecución-, es una tesis que hace abstracción de algunos de los rasgos esenciales de la normativa específica que ha </w:t>
      </w:r>
      <w:r>
        <w:lastRenderedPageBreak/>
        <w:t>introducido la Ley controvertida, que justifican que esta variedad de uso del dominio público minero no quede ya sometida a las normas comunes de la legislación minera, sino a un cuerpo normativo especial [FJ 10].</w:t>
      </w:r>
    </w:p>
    <w:p w:rsidR="00A90898" w:rsidRDefault="00A90898" w:rsidP="00A90898">
      <w:pPr>
        <w:pStyle w:val="Extracto"/>
      </w:pPr>
    </w:p>
    <w:p w:rsidR="00A90898" w:rsidRDefault="00A90898" w:rsidP="00A90898">
      <w:pPr>
        <w:pStyle w:val="Extracto"/>
      </w:pPr>
      <w:r>
        <w:t>7.</w:t>
      </w:r>
      <w:r>
        <w:tab/>
        <w:t>La normativa básica estatal ha optado por un modelo de gestión centralizada de las concesiones de almacenamiento justificada en que éstas constituyen la última fase de un proceso más complejo que se pretende promover a través de la implantación de la nueva tecnología regulada, pues, la ley impugnada se limita a regular la actividad de almacenamiento geológico de dióxido de carbono y sólo contiene previsiones puntuales en relación con su captura y transporte, y además, para tener una visión completa de la nueva tecnología que se pretende desarrollar, es indispensable tomar en consideración la interconexión que se debe producir entre lugares de almacenamiento, redes de transporte e instalaciones de captura [FJ 10].</w:t>
      </w:r>
    </w:p>
    <w:p w:rsidR="00A90898" w:rsidRDefault="00A90898" w:rsidP="00A90898">
      <w:pPr>
        <w:pStyle w:val="Extracto"/>
      </w:pPr>
    </w:p>
    <w:p w:rsidR="00A90898" w:rsidRDefault="00A90898" w:rsidP="00A90898">
      <w:pPr>
        <w:pStyle w:val="Extracto"/>
      </w:pPr>
      <w:r>
        <w:t>8.</w:t>
      </w:r>
      <w:r>
        <w:tab/>
        <w:t>Estas opciones legislativas, sin duda legítimas, porque atienden a la necesidad de establecer un tratamiento unitario frente a los riesgos asociados para la seguridad colectiva, que, al momento presente, representa la aplicación de una tecnología novedosa que permite la captura y almacenamiento del dióxido de carbono, nos sitúan de lleno en aquella situación en que la preservación de un tratamiento uniforme reclama el complemento reglamentario, y aun el ejecutivo, por lo que se justifica la reserva de estas competencias en la medida indispensable para asegurar la unidad de tratamiento (STC 57/1983) [FJ 11].</w:t>
      </w:r>
    </w:p>
    <w:p w:rsidR="00A90898" w:rsidRDefault="00A90898" w:rsidP="00A90898">
      <w:pPr>
        <w:pStyle w:val="Extracto"/>
      </w:pPr>
    </w:p>
    <w:p w:rsidR="00A90898" w:rsidRDefault="00A90898" w:rsidP="00A90898">
      <w:pPr>
        <w:pStyle w:val="Extracto"/>
      </w:pPr>
      <w:r>
        <w:t>9.</w:t>
      </w:r>
      <w:r>
        <w:tab/>
        <w:t>Nuestra jurisprudencia siempre ha mantenido que, en el caso de confluencia de competencias estatales y autonómicas sobre un mismo espacio físico, es necesario que se produzca una colaboración y coordinación entre las distintas Administraciones públicas involucradas, pues no en vano el principio de cooperación entre el Estado y las Comunidades Autónomas está implícito en el correcto funcionamiento del Estado de las Autonomías [FJ 13].</w:t>
      </w:r>
    </w:p>
    <w:p w:rsidR="00A90898" w:rsidRDefault="00A90898" w:rsidP="00A90898">
      <w:pPr>
        <w:pStyle w:val="Extracto"/>
      </w:pPr>
    </w:p>
    <w:p w:rsidR="00A90898" w:rsidRDefault="00A90898" w:rsidP="00A90898">
      <w:pPr>
        <w:pStyle w:val="Extracto"/>
      </w:pPr>
      <w:r>
        <w:t>10.</w:t>
      </w:r>
      <w:r>
        <w:tab/>
        <w:t>En el ámbito de lo básico, las normas legales que establezcan las bases de la regulación pueden venir complementadas por otras reglamentarias que resulten necesarias para garantizar el fin al que respondan las competencias que se ejercitan, siempre que guarden una conexión con aquéllas y que la remisión reglamentaria se justifique por razón de la materia [FJ 15].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1870-2011, promovido por el Gobierno de Aragón, representado y asistido por el Letrado de sus servicios jurídicos, respecto a diversos preceptos de la Ley 40/2010, de 29 de diciembre (“Boletín Oficial del Estado” núm. 317, de 30 de diciembre de 2010), de almacenamiento geológico de dióxido de carbono. Ha comparecido el Gobierno de la Nación, representado y defendido por el Abogado del Estado.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Letrado de la Comunidad Autónoma de Aragón, en representación del Gobierno de dicha Comunidad Autónoma, por medio de escrito de 28 de marzo de 2011, que tuvo entrada en el Registro General de este Tribunal el siguiente día 29, presentó recurso de inconstitucionalidad contra los artículos 1.3; 5; 8.6, segundo párrafo; 9, apartados 6 y 7; 10, apartados 4, 6 y 7; 11, apartados 1, 2 y 6; 13; 15, apartados 1, 2, 3, 4 y 5; 19, apartados 2 y 3; 23, apartados 1, 2 y 3; 26, apartados 1, 3, 4 y 5; 27; disposición transitoria primera y disposición final undécima de la Ley 40/2010, de 29 de diciembre, de almacenamiento geológico de dióxido de carbono. La demanda suplica al Tribunal que dicte sentencia por la que, con estimación del recurso, declare la nulidad de los preceptos impugnados de acuerdo con el artículo 39 de la Ley Orgánica del Tribunal Constitucional (LOTC). Adjunta copia del acuerdo del Gobierno de Aragón de 8 de febrero de 2011, que acordó interponer el presente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2</w:t>
      </w:r>
      <w:r>
        <w:t>. El escrito del recurso se estructura en antecedentes de hecho, alegaciones de orden procesal y de orden material:</w:t>
      </w:r>
    </w:p>
    <w:p w:rsidR="00A90898" w:rsidRDefault="00A90898" w:rsidP="00A90898">
      <w:pPr>
        <w:pStyle w:val="TextoNormal"/>
      </w:pPr>
    </w:p>
    <w:p w:rsidR="00A90898" w:rsidRDefault="00A90898" w:rsidP="00A90898">
      <w:pPr>
        <w:pStyle w:val="TextoNormal"/>
      </w:pPr>
      <w:r>
        <w:t>a) Como antecedentes de hecho, la demanda expone que la Unión Europea aprobó la Directiva 2009/31/CE, de 23 de abril de 2009, del Parlamento Europeo y del Consejo, sobre almacenamiento geológico de dióxido de carbono. El Gobierno de Aragón presentó alegaciones al anteproyecto de ley elaborado por la Administración General del Estado, en su mayoría de corte competencial, que sólo fueron atendidas parcialmente. En el “Boletín Oficial del Estado”, núm. 317, de 30 de diciembre de 2010 se publicó la Ley 40/2010, de 29 diciembre, de almacenamiento geológico de dióxido de carbono que ahora es impugnada.</w:t>
      </w:r>
    </w:p>
    <w:p w:rsidR="00A90898" w:rsidRDefault="00A90898" w:rsidP="00A90898">
      <w:pPr>
        <w:pStyle w:val="TextoNormal"/>
      </w:pPr>
    </w:p>
    <w:p w:rsidR="00A90898" w:rsidRDefault="00A90898" w:rsidP="00A90898">
      <w:pPr>
        <w:pStyle w:val="TextoNormal"/>
      </w:pPr>
      <w:r>
        <w:t>b) En el orden procesal, la demanda fundamenta la jurisdicción y competencia del Tribunal Constitucional, así como la legitimación del Gobierno de Aragón y el cumplimiento de los restantes requisitos procesales.</w:t>
      </w:r>
    </w:p>
    <w:p w:rsidR="00A90898" w:rsidRDefault="00A90898" w:rsidP="00A90898">
      <w:pPr>
        <w:pStyle w:val="TextoNormal"/>
      </w:pPr>
    </w:p>
    <w:p w:rsidR="00A90898" w:rsidRDefault="00A90898" w:rsidP="00A90898">
      <w:pPr>
        <w:pStyle w:val="TextoNormal"/>
      </w:pPr>
      <w:r>
        <w:t xml:space="preserve">c) En el orden material, la demanda insiste en el principio de neutralidad que debe presidir la transposición del Derecho de la Unión Europea, tal y como se ha pronunciado el Tribunal Constitucional en la Sentencia 141/1993 y como establece el artículo 93.2 del Estatuto de Autonomía de Aragón (EAAr). El Estado está habilitado para transponer la Directiva comunitaria sobre almacenamiento geológico de dióxido de carbono, pero sólo dentro del </w:t>
      </w:r>
      <w:r>
        <w:lastRenderedPageBreak/>
        <w:t>ámbito de sus competencias: las bases sobre protección del medio ambiente, las bases del régimen minero y, en su caso, las bases y coordinación de la planificación general de la actividad económica (art. 149.1.23, 25 y 13 CE), que son los títulos competenciales invocados por el Estado en la disposición final undécima de la Ley 40/2010. Sin embargo, esta Ley se ha extralimitado al atribuir a la Administración General del Estado una serie de facultades de ejecución que corresponden a la Comunidad Autónoma de Aragón, en especial en materia de régimen minero (art. 75.2 EAAr): así, la Ley asigna al Ministerio de Industria, Turismo y Comercio las facultades sobre permisos de investigación de ámbito superior al autonómico; las concesiones de almacenamiento de dióxido de carbono, incluyendo su otorgamiento, la aprobación de sus modificaciones y prórrogas, su revisión y su revocación, la resolución de conflictos por concurrencia de derechos y un amplio conjunto de facultades adicionales; y todo lo relativo al acceso de los usuarios a las redes de transporte y lugares de almacenamiento.</w:t>
      </w:r>
    </w:p>
    <w:p w:rsidR="00A90898" w:rsidRDefault="00A90898" w:rsidP="00A90898">
      <w:pPr>
        <w:pStyle w:val="TextoNormal"/>
      </w:pPr>
    </w:p>
    <w:p w:rsidR="00A90898" w:rsidRDefault="00A90898" w:rsidP="00A90898">
      <w:pPr>
        <w:pStyle w:val="TextoNormal"/>
      </w:pPr>
      <w:r>
        <w:t>La Ley 40/2010 supone, pues, un cambio profundo en el régimen existente sobre los recursos geológicos mineros pues son las Comunidades Autónomas quienes otorgan los permisos de investigación y las concesiones de explotación en materia de minas, pero la Ley 40/2010 excluye del régimen general las estructuras subterráneas para su utilización como almacenamiento geológico de dióxido de carbono (CO2), que queda sometida a una intervención ejecutiva del Estado. El Gobierno de Aragón no discute que el Estado pueda fijar los criterios que permiten calificar un lugar como idóneo para almacenamiento de CO2 así como las condiciones que deben concurrir para otorgar un permiso de investigación o una concesión de almacenamiento; pero sí discute que sea constitucional la atribución a la Administración General del Estado de la gestión de estos permisos y concesiones, más aún cuando su otorgamiento tiene carácter reglado (arts. 9.2 y 11.3 de la Ley 40/2010). Mención especial merece la facultad atribuida al Ministerio para resolver los conflictos derivados de la concurrencia de derechos mineros [arts. 5.1 a) y b), y 6 de la Ley 40/2010], dando prioridad a la sustancia o recurso cuya explotación resulta de mayor interés o al derecho de mayor antigüedad. Esta facultad debe atribuirse a la Comunidad Autónoma, no sólo por sus competencias de desarrollo y ejecución de las bases estatales en materia de régimen minero, sino porque ella es la competente en materia de ordenación del territorio y de fomento del desarrollo económico de la Comunidad Autónoma, así como en materia de industria y de relaciones laborales, la cual incluye las políticas activas de ocupación (arts. 71.8, 32 y 48, y 77.2 EAAr), lo que les permite tener un conocimiento detallado de cuáles explotaciones resultan de mayor interés por la proyección que tiene sobre la economía de la zona y atendiendo a sus efectos sociales, laborales y culturales, según interpretación sostenida por el Tribunal Supremo (entre otras, SSTS de 9 de junio de 2010, rec. 4275-2007, y de 15 de octubre de 2010, rec. 645-2008).</w:t>
      </w:r>
    </w:p>
    <w:p w:rsidR="00A90898" w:rsidRDefault="00A90898" w:rsidP="00A90898">
      <w:pPr>
        <w:pStyle w:val="TextoNormal"/>
      </w:pPr>
    </w:p>
    <w:p w:rsidR="00A90898" w:rsidRDefault="00A90898" w:rsidP="00A90898">
      <w:pPr>
        <w:pStyle w:val="TextoNormal"/>
      </w:pPr>
      <w:r>
        <w:t>d) La exposición de motivos de la Ley 40/2010 trata de justificar la centralización de competencias ejecutivas apoyándose en la competencia del Estado sobre bases y ordenación de la planificación de la actividad económica general (art. 149.1.13 CE), insistiendo en que el almacenamiento de dióxido de carbono es una pieza en el conjunto de medidas que favorecen un cambio de modelo energético para garantizar un desarrollo económico sostenible, con una estrecha conexión con las políticas energéticas y de cambio climático. A estos argumentos, la demanda opone objeciones formales y sustantivas: En el plano formal, observa que buena parte de las competencias ejecutivas atribuidas por la Ley 40/2010 a la Adminis</w:t>
      </w:r>
      <w:r>
        <w:lastRenderedPageBreak/>
        <w:t>tración General del Estado vienen contempladas en preceptos que no se fundan en esa competencia estatal (que la disposición final undécima ciñe a los arts. 10, 11, 13, 14, 15, 24 y 25). Desde un punto de vista material, tampoco las facultades atribuidas por esos preceptos se encuentran justificadas por la competencia estatal sobre planificación económica. La jurisprudencia constitucional mantiene la necesidad de interpretar restrictivamente este título horizontal y que su alcance no puede extenderse hasta incluir cualquier acción de naturaleza económica, so pena de vaciar de contenido los títulos competenciales más específicos (SSTC 125/1984, 112/1995 o 332/2005). Tanto la Directiva comunitaria que es objeto de transposición como la propia Ley 40/2010 gozan de un espíritu y finalidad eminentemente medioambiental, no económica: el objetivo del almacenamiento es su confinamiento permanente, en condiciones seguras, con el fin de reducir emisiones de CO2 a la atmósfera y contribuir así a la lucha contra el cambio climático. Aunque se admitiera que la elección del emplazamiento o lugar de almacenamiento de dióxido de carbono puede ser una decisión estratégica, ésta corresponde al sector privado y no a la Administración pública, que debe limitarse a otorgar las correspondientes autorizaciones o concesiones administrativas cuando se cumplan los requisitos para ello. A lo expuesto se añade que una decisión de este tipo podría constituir una vulneración del principio de libertad de mercado y de libre competencia (arts. 38 y 139.2 CE, SSTC 1/1982, 88/1986 y 208/1999).</w:t>
      </w:r>
    </w:p>
    <w:p w:rsidR="00A90898" w:rsidRDefault="00A90898" w:rsidP="00A90898">
      <w:pPr>
        <w:pStyle w:val="TextoNormal"/>
      </w:pPr>
    </w:p>
    <w:p w:rsidR="00A90898" w:rsidRDefault="00A90898" w:rsidP="00A90898">
      <w:pPr>
        <w:pStyle w:val="TextoNormal"/>
      </w:pPr>
      <w:r>
        <w:t>Según destaca la demanda, es cierto que, en supuestos excepcionales, el Estado puede adoptar medidas de ejecución que sean básicas para la economía, pero sólo cuando resulten realmente imprescindibles para el ejercicio efectivo de la competencia estatal en la materia (SSTC 1/1982, 135/1992 y 133/1997), lo que no ocurre en el caso del almacenamiento de CO2. A pesar de sus esfuerzos, la Ley 40/2010 no ofrece una motivación sustancial acerca de la concurrencia de circunstancias excepcionales de índole económico que justifiquen que sea el Ministerio de Industria el que gestione los permisos de investigación y las concesiones de almacenamiento de CO2, sustrayéndose al régimen general de distribución de competencias en materia de minería. Dado que el régimen jurídico de estos actos de intervención administrativa hace que su otorgamiento sea estrictamente reglado, la Administración competente carece de facultades discrecionales que le permitan establecer una estrategia económica nacional sobre la ubicación de los lugares de almacenamiento de CO2, por muchos esfuerzos que realice el preámbulo de la Ley 40/2010.</w:t>
      </w:r>
    </w:p>
    <w:p w:rsidR="00A90898" w:rsidRDefault="00A90898" w:rsidP="00A90898">
      <w:pPr>
        <w:pStyle w:val="TextoNormal"/>
      </w:pPr>
    </w:p>
    <w:p w:rsidR="00A90898" w:rsidRDefault="00A90898" w:rsidP="00A90898">
      <w:pPr>
        <w:pStyle w:val="TextoNormal"/>
      </w:pPr>
      <w:r>
        <w:t xml:space="preserve">e) El Estado asume competencias ejecutivas, al amparo de los núms. 23 y 25 del art. 149.1 CE, por motivos de supraterritorialidad: los permisos de investigación supracomunitarios (arts. 5, 8 y 9 Ley 40/2010); la adaptación de la autorización para reconocimiento de estructuras subterráneas con el fin de utilizarlas como almacenamiento de CO2 (disposición transitoria primera); y las gestiones administrativas sobre el acceso de los usuarios a las redes de transporte y a los lugares de almacenamiento (arts. 5, 26 y 27). Pero en estos casos no concurren los requisitos exigidos por la doctrina del Tribunal Constitucional (en especial, STC 33/2005) y por el Estatuto de Autonomía de Aragón (art. 70.3 EAAr). Aun en el supuesto de que el lugar de almacenamiento de CO2 excediera el territorio de Aragón, ello no tiene por qué determinar que el Estado asuma las competencias de ejecución pues, atendiendo al carácter reglado y objetivo que tienen los permisos de investigación, es posible acudir a mecanismos de colaboración o cooperación entre las Comunidades Autónomas afectadas o, en su defecto, a la coordinación estatal. Lo mismo cabe decir respecto a las gestiones administrativas sobre el acceso a la red de transporte y a los lugares de almacenamiento por parte de los usuarios potenciales: aunque no es objeto el presente recurso de la </w:t>
      </w:r>
      <w:r>
        <w:lastRenderedPageBreak/>
        <w:t>impugnación de una hipotética competencia estatal sobre una red de infraestructura de transporte de dióxido de carbono interconectado en todo el ámbito nacional, ello no supone que la conexión o acceso a los lugares de almacenamiento y las redes de transporte constituya una cuestión supraterritorial, ya que dicha conexión se ubica donde se encuentra el lugar de almacenamiento. Además, se trata de unas gestiones administrativas que admitirían un fraccionamiento autonómico, sin perjuicio de los necesarios mecanismos de cooperación intercomunitaria o de coordinación estatal.</w:t>
      </w:r>
    </w:p>
    <w:p w:rsidR="00A90898" w:rsidRDefault="00A90898" w:rsidP="00A90898">
      <w:pPr>
        <w:pStyle w:val="TextoNormal"/>
      </w:pPr>
    </w:p>
    <w:p w:rsidR="00A90898" w:rsidRDefault="00A90898" w:rsidP="00A90898">
      <w:pPr>
        <w:pStyle w:val="TextoNormal"/>
      </w:pPr>
      <w:r>
        <w:t>f) En el parecer del Gobierno de Aragón, tampoco son constitucionales las diversas remisiones que la Ley 40/2010 efectúa a un desarrollo reglamentario estatal: concretamente, sobre las condiciones necesarias para el desarrollo de redes auxiliares de transporte (art. 1.3) y de las medidas necesarias para garantizar el acceso de los usuarios potenciales a las redes de transporte y a los lugares de almacenamiento y su régimen retributivo (art. 26.1 y 3). Todas estas materias deben ser desarrolladas por la Comunidad Autónoma, dada su competencia de desarrollo legislativo en materia de régimen minero (art. 75.2 EAAr). Además, las bases de competencia del Estado deben ser establecidas en normas con rango de ley (STC 69/1988), requisito que no se cumple en ninguno de los casos señalados. Por añadidura, aun cuando la jurisprudencia constitucional admita excepcionalmente la existencia de bases con rango reglamentario, resulta excesivo que sean aprobadas, no por el Gobierno de la Nación, sino por una mera orden ministerial, tal y como prevé el artículo 26.3 de la Ley 40/2010 para determinar el régimen retributivo de las redes de transporte (STC 242/1999).</w:t>
      </w:r>
    </w:p>
    <w:p w:rsidR="00A90898" w:rsidRDefault="00A90898" w:rsidP="00A90898">
      <w:pPr>
        <w:pStyle w:val="TextoNormal"/>
      </w:pPr>
    </w:p>
    <w:p w:rsidR="00A90898" w:rsidRDefault="00A90898" w:rsidP="00A90898">
      <w:pPr>
        <w:pStyle w:val="TextoNormal"/>
      </w:pPr>
      <w:r>
        <w:t>g) Tampoco es aceptable que el Estado atribuya al Ministerio de Medio Ambiente competencias puramente ejecutivas en materia de protección del medio ambiente. Estas facultades comprenden, según la Ley 40/2010: 1) informar sobre los permisos de investigación y las concesiones de almacenamiento cuyo otorgamiento corresponda al Ministerio de Industria, relegando en estos casos a la Comunidad Autónoma a emitir un informe preceptivo pero no vinculante [arts. 5.3 b), 9.6 y 11.6 de la Ley 40/2010]; y 2) formular la declaración de impacto ambiental o, en su caso, la declaración sobre la evaluación ambiental de los proyectos respecto a los que el Ministerio de Industria tenga la condición de órgano sustantivo (disposición final segunda de la Ley 40/2010). En todos estos casos, la incompetencia del Ministerio de Industria debería arrastrar consigo las facultades del Ministerio de Medio Ambiente; y, en cualquier caso, la ejecución en materia de medio ambiente compete a la Comunidad Autónoma.</w:t>
      </w:r>
    </w:p>
    <w:p w:rsidR="00A90898" w:rsidRDefault="00A90898" w:rsidP="00A90898">
      <w:pPr>
        <w:pStyle w:val="TextoNormal"/>
      </w:pPr>
    </w:p>
    <w:p w:rsidR="00A90898" w:rsidRDefault="00A90898" w:rsidP="00A90898">
      <w:pPr>
        <w:pStyle w:val="TextoNormal"/>
      </w:pPr>
      <w:r>
        <w:t>h) Por último, la demanda sostiene la inconstitucionalidad de la disposición final undécima de la Ley 40/2010, en cuanto señala los títulos competenciales invocados para justificar la aprobación de la norma por parte del Estado. Todos los preceptos de la Ley 40/2010 impugnados en este recurso carecen de carácter materialmente básico, excediéndose de los títulos competenciales invocados en esta disposición final e invadiendo, por tanto, las competencias autonómicas de desarrollo legislativo de las bases estatales y de ejecución en materia de régimen minero y protección del medio ambiente asumidas en el Estatuto de Autonomía de Aragón, además de contravenir los principios de neutralidad y territorialidad consagrados en los artículos 93.2 y 70.3 del citado Estatuto de Autonomía.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Mediante providencia de 12 de abril de 2011, el Pleno del Tribunal, a propuesta de la Sección Segunda, admitió a trámite el recurso de inconstitucionalidad. Asimismo, acordó dar traslado de la demanda y documentos presentados, de acuerdo con el art. 34 LOTC, al </w:t>
      </w:r>
      <w:r>
        <w:lastRenderedPageBreak/>
        <w:t>Congreso de los Diputados y al Senado, por conducto de sus Presidentes, así como al Gobierno de la Nación, a través del Ministro de Justicia, para que, en el plazo de 15 días, pudieran personarse en el proceso y formular las alegaciones que estimaran convenientes. Finalmente, ordenó publicar la interposición del recurso en el “Boletín Oficial del Estado”. El correspondiente edicto fue publicado en el “BOE” núm. 94, de 20 de abril de 2011.</w:t>
      </w:r>
    </w:p>
    <w:p w:rsidR="00A90898" w:rsidRDefault="00A90898" w:rsidP="00A90898">
      <w:pPr>
        <w:pStyle w:val="TextoNormal"/>
      </w:pPr>
    </w:p>
    <w:p w:rsidR="00A90898" w:rsidRDefault="00A90898" w:rsidP="00A90898">
      <w:pPr>
        <w:pStyle w:val="TextoNormal"/>
      </w:pPr>
      <w:r w:rsidRPr="00A90898">
        <w:rPr>
          <w:rStyle w:val="NumeroAFNegritaCaracter"/>
        </w:rPr>
        <w:t>4</w:t>
      </w:r>
      <w:r>
        <w:t>. El Pleno, mediante providencia de 14 de abril de 2011, acordó incorporar a las actuaciones el escrito presentado el mismo día por el Abogado del Estado, teniéndole por personado en la representación que ostenta y prorrogándole ocho días el plazo concedido para formular alegaciones, tal y como había solicitado.</w:t>
      </w:r>
    </w:p>
    <w:p w:rsidR="00A90898" w:rsidRDefault="00A90898" w:rsidP="00A90898">
      <w:pPr>
        <w:pStyle w:val="TextoNormal"/>
      </w:pPr>
    </w:p>
    <w:p w:rsidR="00A90898" w:rsidRDefault="00A90898" w:rsidP="00A90898">
      <w:pPr>
        <w:pStyle w:val="TextoNormal"/>
      </w:pPr>
      <w:r>
        <w:t>La Mesa del Senado, mediante escrito de 26 de abril de 2011 (registrado el día 27), solicitó que se diera por personada a esa Cámara en el recurso de inconstitucionalidad y por ofrecida su colaboración a los efectos del art. 88.1 LOTC.</w:t>
      </w:r>
    </w:p>
    <w:p w:rsidR="00A90898" w:rsidRDefault="00A90898" w:rsidP="00A90898">
      <w:pPr>
        <w:pStyle w:val="TextoNormal"/>
      </w:pPr>
    </w:p>
    <w:p w:rsidR="00A90898" w:rsidRDefault="00A90898" w:rsidP="00A90898">
      <w:pPr>
        <w:pStyle w:val="TextoNormal"/>
      </w:pPr>
      <w:r>
        <w:t>El Congreso de los Diputados, mediante acuerdo de su Mesa de 26 de abril de 2011 (registrado el día 29), solicitó que se le diera por personado en el procedimiento y por ofrecida su colaboración a los efectos del art. 88 LOTC.</w:t>
      </w:r>
    </w:p>
    <w:p w:rsidR="00A90898" w:rsidRDefault="00A90898" w:rsidP="00A90898">
      <w:pPr>
        <w:pStyle w:val="TextoNormal"/>
      </w:pPr>
    </w:p>
    <w:p w:rsidR="00A90898" w:rsidRDefault="00A90898" w:rsidP="00A90898">
      <w:pPr>
        <w:pStyle w:val="TextoNormal"/>
      </w:pPr>
      <w:r w:rsidRPr="00A90898">
        <w:rPr>
          <w:rStyle w:val="NumeroAFNegritaCaracter"/>
        </w:rPr>
        <w:t>5</w:t>
      </w:r>
      <w:r>
        <w:t>. El Abogado del Estado, por medio de escrito de 19 de mayo de 2011, presentado en el Registro General el mismo día, formuló alegaciones oponiéndose al recurso de inconstitucionalidad. Solicitó que fuera dictada sentencia desestimatoria del recurso, con declaración de la constitucionalidad de todos los preceptos impugnados, en base a los siguientes argumentos:</w:t>
      </w:r>
    </w:p>
    <w:p w:rsidR="00A90898" w:rsidRDefault="00A90898" w:rsidP="00A90898">
      <w:pPr>
        <w:pStyle w:val="TextoNormal"/>
      </w:pPr>
    </w:p>
    <w:p w:rsidR="00A90898" w:rsidRDefault="00A90898" w:rsidP="00A90898">
      <w:pPr>
        <w:pStyle w:val="TextoNormal"/>
      </w:pPr>
      <w:r>
        <w:t>a) La contestación a la demanda comienza haciendo referencia a la importancia estratégica que tiene el almacenamiento geológico de dióxido de carbono. La Unión Europea intenta cumplir el compromiso de reducción de emisiones de gases de efecto invernadero que ella y sus Estados miembros asumieron al ratificar el día 30 de mayo de 2002 el protocolo de Kioto del Convenio Marco de las Naciones Unidas sobre el cambio climático. Señala el Abogado del Estado que, a raíz de este compromiso de la Unión Europea, fueron dictadas una serie de Directivas europeas que han sido transpuestas por la Ley 1/2005, de 9 marzo (reformada por la Ley 13/2010, de 5 de julio), que regula el régimen del comercio de derechos de emisión de gases de efecto invernadero, no impugnada, y por la Ley 40/2010, ahora impugnada. Tras analizar el diseño del mercado europeo de derechos de emisión, como herramienta para reducir las emisiones de gases de efecto invernadero, el Abogado del Estado anota que su efecto es limitar la producción industrial emisora y la generación de energía, fuertemente centrada en el uso de combustibles fósiles: la reducción progresiva de los derechos de emisión establecida por la Unión Europea habría de producir una correlativa disminución de la producción energética y de la actividad industrial, salvo que simultáneamente se adoptaran tecnologías que permitieran reducir las emisiones totales sin afectar a la actividad económica. No hace falta destacar la importancia estratégica de estas tecnologías si tenemos en cuenta que el nivel de vida, la renta y el empleo están en directa relación con la capacidad productiva de un país, que, a su vez, depende de la generación y suministro de energía. Entre estas tecnologías hoy destaca, por su viabilidad técnica y económica, la captación, transporte y almacenamiento geológico del dióxido de carbono (CAC), que es objeto de la Directiva 2009/31 del Parlamento Europeo y del Consejo, de 23 de abril de 2009, y de la Ley 40/2010, de 29 de diciembre, objeto de este recurso.</w:t>
      </w:r>
    </w:p>
    <w:p w:rsidR="00A90898" w:rsidRDefault="00A90898" w:rsidP="00A90898">
      <w:pPr>
        <w:pStyle w:val="TextoNormal"/>
      </w:pPr>
    </w:p>
    <w:p w:rsidR="00A90898" w:rsidRDefault="00A90898" w:rsidP="00A90898">
      <w:pPr>
        <w:pStyle w:val="TextoNormal"/>
      </w:pPr>
      <w:r>
        <w:t>Según refiere, estas disposiciones explican la importancia que tiene esta tecnología en la evolución del modelo energético en los próximos años, pues la reducción global de las emisiones de CO2 exige reducir en un 30 por 100 (respecto a las producidas en el año base, 1990) las emisiones del mundo desarrollado en el año 2020, y entre un 60 y un 80 por 100 antes del año 2050. En este contexto, parece una obviedad que el preámbulo de la Ley califique esta tecnología como de interés estratégico para la economía nacional.</w:t>
      </w:r>
    </w:p>
    <w:p w:rsidR="00A90898" w:rsidRDefault="00A90898" w:rsidP="00A90898">
      <w:pPr>
        <w:pStyle w:val="TextoNormal"/>
      </w:pPr>
    </w:p>
    <w:p w:rsidR="00A90898" w:rsidRDefault="00A90898" w:rsidP="00A90898">
      <w:pPr>
        <w:pStyle w:val="TextoNormal"/>
      </w:pPr>
      <w:r>
        <w:t>b) El legislador estatal ha optado por establecer un régimen específico para el almacenamiento de dióxido de carbono, en lugar de reformar la legislación minera, porque la finalidad de la captación y almacenamiento de carbono no es la explotación de un recurso minero sino garantizar un suministro energético de calidad a un precio razonable y un crecimiento económico sostenible, reduciendo los perjuicios para el medio ambiente. En definitiva, el uso de una estructura geológica para el almacenamiento de CO2 resulta instrumental a la finalidad prioritaria, que no es otra que lograr un modelo económico y energético ambientalmente sostenible. Tras un breve resumen del contenido de la Ley 40/2010, el escrito expone los títulos competenciales relevantes para resolver el recurso, subrayando que la indisponibilidad de las competencias propias hace que carezcan de toda relevancia los eventuales errores u omisiones que hubiera podido cometer la disposición final undécima de la Ley 40/2010, al delimitar los títulos competenciales prevalentes (STC 233/1999, de 13 de diciembre):</w:t>
      </w:r>
    </w:p>
    <w:p w:rsidR="00A90898" w:rsidRDefault="00A90898" w:rsidP="00A90898">
      <w:pPr>
        <w:pStyle w:val="TextoNormal"/>
      </w:pPr>
    </w:p>
    <w:p w:rsidR="00A90898" w:rsidRDefault="00A90898" w:rsidP="00A90898">
      <w:pPr>
        <w:pStyle w:val="TextoNormal"/>
      </w:pPr>
      <w:r>
        <w:t>1) El artículo 149.1.13 CE, planificación general de la economía, en relación con las bases del régimen energético (art. 149.1.25 CE), en los términos expuestos por la STC 18/2011, de 3 de marzo, sobre el sector eléctrico.</w:t>
      </w:r>
    </w:p>
    <w:p w:rsidR="00A90898" w:rsidRDefault="00A90898" w:rsidP="00A90898">
      <w:pPr>
        <w:pStyle w:val="TextoNormal"/>
      </w:pPr>
    </w:p>
    <w:p w:rsidR="00A90898" w:rsidRDefault="00A90898" w:rsidP="00A90898">
      <w:pPr>
        <w:pStyle w:val="TextoNormal"/>
      </w:pPr>
      <w:r>
        <w:t>2) El artículo 149.1.23 CE, sobre protección del medio ambiente, que versa sobre una materia compleja y polifacética (STC 102/1995, de 26 de junio), que no encuadra cualquier tipo de actividad relativa a los recursos naturales, sino sólo la que directamente tienda a su preservación, conservación o mejora (SSTC 98/2001, de 5 de abril, y 14/2004, de 12 de febrero).</w:t>
      </w:r>
    </w:p>
    <w:p w:rsidR="00A90898" w:rsidRDefault="00A90898" w:rsidP="00A90898">
      <w:pPr>
        <w:pStyle w:val="TextoNormal"/>
      </w:pPr>
    </w:p>
    <w:p w:rsidR="00A90898" w:rsidRDefault="00A90898" w:rsidP="00A90898">
      <w:pPr>
        <w:pStyle w:val="TextoNormal"/>
      </w:pPr>
      <w:r>
        <w:t>3) El artículo 149.1.22 CE, sobre instalaciones y transporte de energía eléctrica que afectan a varias Comunidades o salen de su ámbito territorial (SSTC 12/1984, de 2 de febrero, y 108/1996, de 13 de junio, entre otras).</w:t>
      </w:r>
    </w:p>
    <w:p w:rsidR="00A90898" w:rsidRDefault="00A90898" w:rsidP="00A90898">
      <w:pPr>
        <w:pStyle w:val="TextoNormal"/>
      </w:pPr>
    </w:p>
    <w:p w:rsidR="00A90898" w:rsidRDefault="00A90898" w:rsidP="00A90898">
      <w:pPr>
        <w:pStyle w:val="TextoNormal"/>
      </w:pPr>
      <w:r>
        <w:t xml:space="preserve">c) Entrando a contestar las alegaciones de la demanda, el Abogado del Estado sostiene que resulta clara la relevancia del título “bases y coordinación de la planificación general de la actividad económica”, puesto que una adecuada implantación de la tecnología CAC resulta imprescindible para asegurar un crecimiento económico sostenible en los próximos cuarenta años que, al mismo tiempo, permita cumplir los compromisos internacionales asumidos por España y por la Unión Europea para reducir las emisiones de gases de efecto invernadero. El contenido y la finalidad de la Ley 40/2010 desbordan claramente el ámbito de la minería: la utilización de estructuras geológicas tiene un papel puramente instrumental al servicio del crecimiento económico y del suministro energético suficiente y a precio razonable, en términos compatibles con la conservación del entorno natural. Resulta irrelevante que hasta la entrada en vigor de la Ley 40/2010 los permisos de investigación y las concesiones de almacenamiento se vinieran otorgando por las Comunidades Autónomas, al </w:t>
      </w:r>
      <w:r>
        <w:lastRenderedPageBreak/>
        <w:t>amparo de la Ley de minas (Ley 22/1973, de 21 de julio), a la vista de la doctrina de este Tribunal sobre la inconstitucionalidad sobrevenida de normas autonómicas de desarrollo ante la modificación posterior de la legislación básica (STC 1/2003, de 16 de enero). La invocación del Real Decreto 539/1984, de 8 de febrero, de ampliación de funciones y medios adscritos a los servicios traspasados en materia de industria, energía y minas, debe ser desestimada porque estas disposiciones no son normas determinantes del sistema constitucional de distribución de competencias (SSTC 223/2000, de 21 de septiembre, y 240/2006, de 20 de julio).</w:t>
      </w:r>
    </w:p>
    <w:p w:rsidR="00A90898" w:rsidRDefault="00A90898" w:rsidP="00A90898">
      <w:pPr>
        <w:pStyle w:val="TextoNormal"/>
      </w:pPr>
    </w:p>
    <w:p w:rsidR="00A90898" w:rsidRDefault="00A90898" w:rsidP="00A90898">
      <w:pPr>
        <w:pStyle w:val="TextoNormal"/>
      </w:pPr>
      <w:r>
        <w:t>d) Las facultades sobre los permisos de investigación supraautonómicos son competencia del Estado, tanto como regulación del régimen energético (art. 149.1.25 CE, como afirma la Ley 40/2010 en su disposición final undécima) como de ordenación de la economía (art. 149.1.13 CE), dado su carácter previo a la concesión de almacenamiento y a que están destinados al servicio de cualquier instalación productiva que emite CO2, no solamente referidos a las instalaciones energéticas. Se trata de una actividad pública no susceptible de fraccionamiento, en cuanto que se ejerce sobre una estructura geológica que se extiende por el territorio de varias Comunidades Autónomas y que exige un estudio de conjunto; la actuación tampoco puede llevarse a efecto mediante mecanismos de cooperación y coordinación, pues requiere un grado de homogeneidad que sólo puede garantizar su atribución al Estado. Por lo demás, la Ley 40/2010 incorpora un intenso mecanismo colaborativo en forma de informe preceptivo de las Comunidades Autónomas afectadas (art. 9.6).</w:t>
      </w:r>
    </w:p>
    <w:p w:rsidR="00A90898" w:rsidRDefault="00A90898" w:rsidP="00A90898">
      <w:pPr>
        <w:pStyle w:val="TextoNormal"/>
      </w:pPr>
    </w:p>
    <w:p w:rsidR="00A90898" w:rsidRDefault="00A90898" w:rsidP="00A90898">
      <w:pPr>
        <w:pStyle w:val="TextoNormal"/>
      </w:pPr>
      <w:r>
        <w:t>e) Las concesiones de almacenamiento constituyen la piedra angular de la tecnología CAC, cuya importancia estratégica para la economía nacional y europea fue alegada antes: por consiguiente, su otorgamiento por el Estado, así como la resolución de los conflictos por concurrencia de derechos, ha sido conceptuado correctamente por la Ley 40/2010 como ejercicio de la competencia prevista en el art. 149.1.13 CE (disposición final undécima). Resulta palmario que la ubicación del lugar de almacenamiento tiene carácter estratégico cuando haya de conectarse con las instalaciones emisoras de CO2 a través de una red de transporte nacional y transnacional, tal y como prevén los arts. 27.2 de la Ley 40/2010 y 22 de la Directiva 2009/31, red en la que se encuentra implicada directamente la Comisión Europea (art. 11.6). Por otro lado, carece de sustento el argumento apoyado en que la decisión de ubicar un almacenamiento es privada y la Administración sólo debe verificar el cumplimiento de los requisitos legales: dada la novedad de esta tecnología, es imposible llevar a cabo una actividad planificadora. La tarea de conciliar las instalaciones emisoras, la red de transporte y los lugares de almacenamiento habrá de hacerse a través de tres instrumentos: la autorización estatal de las grandes instalaciones de generación, que corresponde al Estado (art. 3.2 de la Ley 24/2013, de 26 de diciembre, del sector eléctrico); el diseño y la gestión de la futura red de transporte de CO2, de acuerdo con la Ley 40/2010; y la elección de los lugares almacenamiento de CO2, mediante el otorgamiento de la correspondiente concesión. Esta, como todo acto administrativo, cuenta con elementos reglados y discrecionales: el otorgamiento de la concesión no se produce con el automatismo a que parece aludir la demanda (arts. 11 y 13 de la Ley 40/2010). El Estado debe integrar en un único sistema las grandes centrales emisoras unidas por redes nacionales de transporte a los complejos de almacenamiento de CO2, en términos similares a los enjuiciados en la STC 18/2011, de 3 de marzo.</w:t>
      </w:r>
    </w:p>
    <w:p w:rsidR="00A90898" w:rsidRDefault="00A90898" w:rsidP="00A90898">
      <w:pPr>
        <w:pStyle w:val="TextoNormal"/>
      </w:pPr>
    </w:p>
    <w:p w:rsidR="00A90898" w:rsidRDefault="00A90898" w:rsidP="00A90898">
      <w:pPr>
        <w:pStyle w:val="TextoNormal"/>
      </w:pPr>
      <w:r>
        <w:lastRenderedPageBreak/>
        <w:t>Por otro lado, el legislador estatal ha puesto especial cuidado en deslindar la materia medio ambiente de la planificación y coordinación económica, reservando a las Comunidades Autónomas importantes facultades ejecutivas directamente orientadas a garantizar que el almacenamiento de CO2 se realice en condiciones de seguridad para el entorno natural, reservando a la gestión centralizada únicamente los aspectos relacionados con el sistema nacional de captura y almacenamiento de dióxido de carbono. La concesión de almacenamiento es, en todo caso, estratégica desde una perspectiva nacional, pues cada lugar de almacenamiento habrá de formar parte de una red europea interconectada y servirá de depósito de CO2 captado en instalaciones situadas en diversas Comunidades Autónomas o incluso en otros Estados de la Unión. Pueden existir intereses contrapuestos o divergentes de Comunidades Autónomas, que sólo el Estado puede cohonestar en atención al interés público superior.</w:t>
      </w:r>
    </w:p>
    <w:p w:rsidR="00A90898" w:rsidRDefault="00A90898" w:rsidP="00A90898">
      <w:pPr>
        <w:pStyle w:val="TextoNormal"/>
      </w:pPr>
    </w:p>
    <w:p w:rsidR="00A90898" w:rsidRDefault="00A90898" w:rsidP="00A90898">
      <w:pPr>
        <w:pStyle w:val="TextoNormal"/>
      </w:pPr>
      <w:r>
        <w:t>f) En relación con el acceso a la red de transporte y a los lugares de almacenamiento, ya se ha alegado que tienen un carácter supranacional, con lo que pocas dudas, según destaca, pueden surgir sobre su naturaleza supraautonómica. La gestión de esa red no resulta fraccionable por Comunidades Autónomas, pues ha de unir instalaciones emisoras con lugares de almacenamiento que pueden encontrarse, no sólo en diversas comunidades, sino en distintos países, por lo que sólo el Estado puede gestionar la red desde una perspectiva global y conciliar los intereses contrapuestos, garantizando un acceso equitativo a los limitados lugares de almacenamiento de CO2.</w:t>
      </w:r>
    </w:p>
    <w:p w:rsidR="00A90898" w:rsidRDefault="00A90898" w:rsidP="00A90898">
      <w:pPr>
        <w:pStyle w:val="TextoNormal"/>
      </w:pPr>
    </w:p>
    <w:p w:rsidR="00A90898" w:rsidRDefault="00A90898" w:rsidP="00A90898">
      <w:pPr>
        <w:pStyle w:val="TextoNormal"/>
      </w:pPr>
      <w:r>
        <w:t>g) Las habilitaciones reglamentarias que lleva a cabo la Ley 40/2010 no son de carácter abierto, pues la Ley habilitante regula con detalle y precisión los parámetros en que habrá de moverse la norma reglamentaria. Desde un punto formal, el Tribunal ha reconocido la aptitud del reglamento para ejercer una competencia básica. Desde un punto de vista material, una vez justificada la necesidad de asunción estatal de la gestión de los aspectos estratégicos de los lugares de almacenamiento y de la red de transporte de dióxido de carbono, esas mismas razones amparan una reglamentación también estatal.</w:t>
      </w:r>
    </w:p>
    <w:p w:rsidR="00A90898" w:rsidRDefault="00A90898" w:rsidP="00A90898">
      <w:pPr>
        <w:pStyle w:val="TextoNormal"/>
      </w:pPr>
    </w:p>
    <w:p w:rsidR="00A90898" w:rsidRDefault="00A90898" w:rsidP="00A90898">
      <w:pPr>
        <w:pStyle w:val="TextoNormal"/>
      </w:pPr>
      <w:r>
        <w:t>h) En cuanto a las funciones consultivas que la Ley atribuye al Ministerio de Medio Ambiente, Rural y Marino, parece claro que el Estado, en virtud de su potestad de autoorganización, puede prever la emisión de cuantos informes favorezcan el acierto de la decisión final, una vez admitida la competencia estatal sobre los permisos de investigación y las concesiones de almacenamiento. Por último, la impugnación de la disposición final undécima, en cuanto se limita a especificar los títulos competenciales en cuya virtud se dictan los preceptos de la Ley 40/2010, es de carácter sistemático (SSTC 206/2001, de 22 de octubre, FJ 29, y 18/2011, FJ 12), por lo que debe seguir la suerte de los preceptos que han sido objeto de impugnación.</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4 de octubre de 2016, se señaló para la deliberación de la presente Sentencia el día 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La Ley 40/2010, de 29 de diciembre, regula el almacenamiento geológico de dióxido de carbono. Muchos de sus preceptos han sido impugnados por la Comunidad Autónoma </w:t>
      </w:r>
      <w:r>
        <w:lastRenderedPageBreak/>
        <w:t>de Aragón, pero desde una perspectiva limitada: En efecto, el recurso no discute la constitucionalidad de la normativa sustantiva establecida por la Ley 40/2010; sólo discrepa de las atribuciones que la Ley ha confiado a la Administración General del Estado para ejecutar los designios legales. La tesis de Aragón es que la ejecución de la legislación en esta materia compete a la Comunidad Autónoma, no a la Administración estatal. El Abogado del Estado, por el contrario, sostiene que existen razones que justifican que la Ley 40/2010 asigne atribuciones ejecutivas a los Ministerios de Industria y de Medio Ambiente, en aplicación de diversos títulos competenciales del Estado. Esa es la cuestión que debemos abordar en esta Sentencia.</w:t>
      </w:r>
    </w:p>
    <w:p w:rsidR="00A90898" w:rsidRDefault="00A90898" w:rsidP="00A90898">
      <w:pPr>
        <w:pStyle w:val="TextoNormal"/>
      </w:pPr>
    </w:p>
    <w:p w:rsidR="00A90898" w:rsidRDefault="00A90898" w:rsidP="00A90898">
      <w:pPr>
        <w:pStyle w:val="TextoNormal"/>
      </w:pPr>
      <w:r>
        <w:t>Para dar respuesta a esta cuestión, hay que comenzar destacando que el encuadramiento constitucional de la Ley impugnada en el orden constitucional de competencias no resulta sencillo. La disposición final undécima de la Ley enumera, como títulos competenciales ejercidos por las Cortes Generales, los siguientes:</w:t>
      </w:r>
    </w:p>
    <w:p w:rsidR="00A90898" w:rsidRDefault="00A90898" w:rsidP="00A90898">
      <w:pPr>
        <w:pStyle w:val="TextoNormal"/>
      </w:pPr>
    </w:p>
    <w:p w:rsidR="00A90898" w:rsidRDefault="00A90898" w:rsidP="00A90898">
      <w:pPr>
        <w:pStyle w:val="TextoNormal"/>
      </w:pPr>
      <w:r>
        <w:t>“Esta ley tiene carácter básico al amparo del artículo 149.1.23 de la Constitución Española, que atribuye al Estado la competencia para dictar la legislación básica en materia de protección del medio ambiente con las siguientes excepciones:</w:t>
      </w:r>
    </w:p>
    <w:p w:rsidR="00A90898" w:rsidRDefault="00A90898" w:rsidP="00A90898">
      <w:pPr>
        <w:pStyle w:val="TextoNormal"/>
      </w:pPr>
    </w:p>
    <w:p w:rsidR="00A90898" w:rsidRDefault="00A90898" w:rsidP="00A90898">
      <w:pPr>
        <w:pStyle w:val="TextoNormal"/>
      </w:pPr>
      <w:r>
        <w:t>a) Los artículos 10, 11, 13, 14, 15, 24 y 25 se dictan al amparo de las competencias atribuidas en el artículo 149.1.13 de la Constitución Española.</w:t>
      </w:r>
    </w:p>
    <w:p w:rsidR="00A90898" w:rsidRDefault="00A90898" w:rsidP="00A90898">
      <w:pPr>
        <w:pStyle w:val="TextoNormal"/>
      </w:pPr>
    </w:p>
    <w:p w:rsidR="00A90898" w:rsidRDefault="00A90898" w:rsidP="00A90898">
      <w:pPr>
        <w:pStyle w:val="TextoNormal"/>
      </w:pPr>
      <w:r>
        <w:t>b) Los artículos 3, 6, 7, 8, 9, 16, 17, 26 y 27 se dictan al amparo de las competencias atribuidas en el artículo 149.1.25 de la Constitución Española.”</w:t>
      </w:r>
    </w:p>
    <w:p w:rsidR="00A90898" w:rsidRDefault="00A90898" w:rsidP="00A90898">
      <w:pPr>
        <w:pStyle w:val="TextoNormal"/>
      </w:pPr>
    </w:p>
    <w:p w:rsidR="00A90898" w:rsidRDefault="00A90898" w:rsidP="00A90898">
      <w:pPr>
        <w:pStyle w:val="TextoNormal"/>
      </w:pPr>
      <w:r>
        <w:t>Es decir, el Estado asevera sus competencias para establecer las “bases y coordinación de la planificación general de la actividad económica”; la “legislación básica sobre protección del medio ambiente” y las “bases del régimen minero y energético” (respectivamente, los números 13, 23 y 25 del art. 149.1 CE).</w:t>
      </w:r>
    </w:p>
    <w:p w:rsidR="00A90898" w:rsidRDefault="00A90898" w:rsidP="00A90898">
      <w:pPr>
        <w:pStyle w:val="TextoNormal"/>
      </w:pPr>
    </w:p>
    <w:p w:rsidR="00A90898" w:rsidRDefault="00A90898" w:rsidP="00A90898">
      <w:pPr>
        <w:pStyle w:val="TextoNormal"/>
      </w:pPr>
      <w:r>
        <w:t>Por su parte, la demanda del Gobierno de Aragón sostiene que los preceptos legales recurridos vulneran distintas normas de la Constitución y del Estatuto de Autonomía de Aragón aprobado mediante la Ley Orgánica 5/2007, de 20 de abril. Respecto a los primeros, la Comunidad Autónoma sostiene que el Estado no ha respetado las competencias que invoca en la Ley 40/2010: ninguno de los números del art. 149.1 CE justificaría que la Ley asigne a la Administración General del Estado competencias de carácter ejecutivo, como hace en los artículos impugnados. Simultáneamente, esa asunción de facultades ejecutivas vulneraría las competencias asumidas por la Comunidad en su Estatuto de Autonomía:</w:t>
      </w:r>
    </w:p>
    <w:p w:rsidR="00A90898" w:rsidRDefault="00A90898" w:rsidP="00A90898">
      <w:pPr>
        <w:pStyle w:val="TextoNormal"/>
      </w:pPr>
    </w:p>
    <w:p w:rsidR="00A90898" w:rsidRDefault="00A90898" w:rsidP="00A90898">
      <w:pPr>
        <w:pStyle w:val="TextoNormal"/>
      </w:pPr>
      <w:r>
        <w:t>a) El artículo 75, apartados 2 y 3, del Estatuto de Autonomía de Aragón (EAAr), que establece que “en el ámbito de las competencias compartidas, la Comunidad Autónoma de Aragón ejercerá el desarrollo legislativo y la ejecución de la legislación básica que establezca el Estado en normas con rango de Ley, excepto en los casos que se determinen de acuerdo con la Constitución, desarrollando políticas propias. Corresponde a la Comunidad Autónoma la competencia compartida en las siguientes materias: - apartado 2°. Régimen minero, en especial, la regulación y el régimen de intervención administrativa de las minas y recursos mineros, así como la restauración de los espacios afectados por actividades ex</w:t>
      </w:r>
      <w:r>
        <w:lastRenderedPageBreak/>
        <w:t>tractivas. - apartado 3°. Protección del medio ambiente, que, en todo caso, incluye la regulación del sistema de intervención administrativa de los planes, programas, proyectos, instalaciones y actividades susceptibles de afectar al medio ambiente; la regulación de los recursos naturales, la flora y fauna y la biodiversidad, la prevención y corrección de la generación de los residuos, de la contaminación atmosférica, del suelo y del subsuelo, así como el abastecimiento, saneamiento y depuración de las aguas”.</w:t>
      </w:r>
    </w:p>
    <w:p w:rsidR="00A90898" w:rsidRDefault="00A90898" w:rsidP="00A90898">
      <w:pPr>
        <w:pStyle w:val="TextoNormal"/>
      </w:pPr>
    </w:p>
    <w:p w:rsidR="00A90898" w:rsidRDefault="00A90898" w:rsidP="00A90898">
      <w:pPr>
        <w:pStyle w:val="TextoNormal"/>
      </w:pPr>
      <w:r>
        <w:t>b) El artículo 70.31 EAAr, que declara: “La Comunidad Autónoma, en los casos en que el objeto de sus competencias tiene un alcance territorial superior al del territorio de Aragón, ejerce sus competencias sobre la parte de este objeto situada en su territorio, sin perjuicio de los instrumentos de colaboración que se establezcan con otros entes territoriales o, subsidiariamente, de la coordinación por el Estado de las Comunidades Autónomas afectadas”.</w:t>
      </w:r>
    </w:p>
    <w:p w:rsidR="00A90898" w:rsidRDefault="00A90898" w:rsidP="00A90898">
      <w:pPr>
        <w:pStyle w:val="TextoNormal"/>
      </w:pPr>
    </w:p>
    <w:p w:rsidR="00A90898" w:rsidRDefault="00A90898" w:rsidP="00A90898">
      <w:pPr>
        <w:pStyle w:val="TextoNormal"/>
      </w:pPr>
      <w:r>
        <w:t>c) El artículo 93.2 EAAr, que dispone: “La Comunidad Autónoma de Aragón aplica y desarrolla el Derecho de la Unión Europea en el ámbito de sus competencias. La existencia de una regulación europea no modifica la distribución interna de competencias que establecen la Constitución y el presente Estatuto”.</w:t>
      </w:r>
    </w:p>
    <w:p w:rsidR="00A90898" w:rsidRDefault="00A90898" w:rsidP="00A90898">
      <w:pPr>
        <w:pStyle w:val="TextoNormal"/>
      </w:pPr>
    </w:p>
    <w:p w:rsidR="00A90898" w:rsidRDefault="00A90898" w:rsidP="00A90898">
      <w:pPr>
        <w:pStyle w:val="TextoNormal"/>
      </w:pPr>
      <w:r>
        <w:t>d) La Ley estatal también vulneraría, aunque con menor intensidad, otras competencias autonómicas exclusivas, enunciadas en el artículo 71, apartados 8, 32 y 48 EAAr: “ordenación del territorio”, “planificación de la actividad económica y fomento del desarrollo económico de la Comunidad Autónoma de acuerdo con los principios de equilibrio territorial y de sostenibilidad” e “industria”; así como en el artículo 77.2, que le atribuye competencias de ejecución en materia de “trabajo y relaciones laborales, incluyendo las políticas activas de ocupación, la intermediación laboral, así como la prevención de riesgos laborales y la seguridad y salud en el trabajo”.</w:t>
      </w:r>
    </w:p>
    <w:p w:rsidR="00A90898" w:rsidRDefault="00A90898" w:rsidP="00A90898">
      <w:pPr>
        <w:pStyle w:val="TextoNormal"/>
      </w:pPr>
    </w:p>
    <w:p w:rsidR="00A90898" w:rsidRDefault="00A90898" w:rsidP="00A90898">
      <w:pPr>
        <w:pStyle w:val="TextoNormal"/>
      </w:pPr>
      <w:r>
        <w:t>Para el Abogado del Estado, por el contrario, la Ley 40/2010 respeta el orden constitucional de competencias. Sostiene que los títulos competenciales esgrimidos en la disposición final undécima de la Ley otorgan cobertura competencial a todos los preceptos impugnados, aunque, según destaca, alguna de las normas estatales impugnadas encuentran mejor acomodo en un título no mencionado por la Ley 40/2010, como es la competencia estatal sobre “la autorización de las instalaciones eléctricas cuando su aprovechamiento afecte a otra Comunidad o el transporte de energía salga de su ámbito territorial” (núm. 22 del art. 149.1 CE).</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Con carácter previo al análisis de las competencias que entrechocan en este proceso constitucional conviene analizar el contenido y finalidades de la norma legal controvertida en el mismo. En este sentido la Ley 40/2010, de 29 de diciembre, ha servido para incorporar la legislación de la Unión Europea al Derecho interno español: concretamente la Directiva 2009/31/CE del Parlamento Europeo y del Consejo, de 23 de abril de 2009, relativa al almacenamiento geológico de dióxido de carbono (DOUE L-140, de 5 de junio de 2009). Esta disposición, a su vez, se enmarca en un amplio conjunto de medidas que la Unión Europea ha ido adoptando para acomodar el ordenamiento europeo a los compromisos asumidos en el Convenio Marco de las Naciones Unidas sobre el cambio climático (aprobado mediante la Decisión 94/69/CE del Consejo, de 15 de diciembre de 1993, DOUE L-033, de 7 de </w:t>
      </w:r>
      <w:r>
        <w:lastRenderedPageBreak/>
        <w:t>febrero de 1994). La finalidad última de todas estas medidas consiste en lograr la estabilización de las concentraciones de gases de efecto invernadero en la atmósfera en un nivel que impida interferencias antropogénicas peligrosas para el sistema climático.</w:t>
      </w:r>
    </w:p>
    <w:p w:rsidR="00A90898" w:rsidRDefault="00A90898" w:rsidP="00A90898">
      <w:pPr>
        <w:pStyle w:val="TextoNormal"/>
      </w:pPr>
    </w:p>
    <w:p w:rsidR="00A90898" w:rsidRDefault="00A90898" w:rsidP="00A90898">
      <w:pPr>
        <w:pStyle w:val="TextoNormal"/>
      </w:pPr>
      <w:r>
        <w:t>Para conseguir ese objetivo, la Unión Europea y sus Estados miembros, entre ellos el Reino de España, siguen una estrategia que se desarrolla en varias líneas diferenciadas, una de las cuales es la de desarrollar técnicas que permitan capturar el dióxido de carbono emitido por las instalaciones energéticas e industriales y almacenarlo en formaciones geológicas estables. La conveniencia de reducir rápidamente el volumen de gases de efecto invernadero emitidos a la atmósfera llevó a que el Consejo Europeo, reunido en Bruselas en marzo de 2007, instara a los Estados miembros y a la Comisión a llevar a cabo un plan estratégico europeo de tecnología energética, incluida la captura y retención de dióxido de carbono en condiciones ambientalmente seguras (conclusiones del Consejo Europeo de Bruselas celebrado el 8 y 9 de marzo de 2007, documento de 2 de mayo de 2007, núm. 7224/1/07). Orientación que fue desarrollada mediante la propuesta legislativa de la Comisión Europea que dio origen a la Directiva 2009/31 [documento COM (2008) 18, mencionado antes].</w:t>
      </w:r>
    </w:p>
    <w:p w:rsidR="00A90898" w:rsidRDefault="00A90898" w:rsidP="00A90898">
      <w:pPr>
        <w:pStyle w:val="TextoNormal"/>
      </w:pPr>
    </w:p>
    <w:p w:rsidR="00A90898" w:rsidRDefault="00A90898" w:rsidP="00A90898">
      <w:pPr>
        <w:pStyle w:val="TextoNormal"/>
      </w:pPr>
      <w:r>
        <w:t>La captura y almacenamiento de carbono (mencionado en diversas normas con su acrónimo, CAC) es una tecnología novedosa. Consiste en captar, mediante diversos métodos, el dióxido de carbono que se desprende en los procesos de combustión industrial, especialmente en centrales de energía y otras grandes instalaciones; transformar los gases a un estado físico, denominado hipercrítico, intermedio entre el gaseoso y el líquido; transportar ese fluido a través de tuberías específicas, o bien en barco, a un emplazamiento seguro y, una vez allí, inyectarlo o confinarlo en estructuras geológicas subterráneas que deben ser seguras y estables, donde el dióxido de carbono debería permanecer indefinidamente. La Unión Europea propugna la utilización comercial de estas tecnologías de captura, transporte y almacenamiento del carbono lo que ha quedado plasmado en la Directiva 2009/31, que busca hacer posible la explotación ecológicamente racional, segura y fiable de las actividades de captación y almacenamiento del carbono; eliminar los obstáculos no justificados para estas actividades, que se encontraban presentes en la legislación en vigor, y ofrecer incentivos adecuados para fomentarlas, en atención a las ventajas que conllevan para la reducción de los gases de efecto invernadero.</w:t>
      </w:r>
    </w:p>
    <w:p w:rsidR="00A90898" w:rsidRDefault="00A90898" w:rsidP="00A90898">
      <w:pPr>
        <w:pStyle w:val="TextoNormal"/>
      </w:pPr>
    </w:p>
    <w:p w:rsidR="00A90898" w:rsidRDefault="00A90898" w:rsidP="00A90898">
      <w:pPr>
        <w:pStyle w:val="TextoNormal"/>
      </w:pPr>
      <w:r>
        <w:t>Hay que señalar, igualmente, que el texto de la Directiva de referencia concentra su regulación en la tercera fase de la tecnología que sirve para reducir la emisión de gases de efecto invernadero: el almacenamiento geológico de dióxido de carbono. Así lo muestra claramente su título y su contenido. La Ley 40/2010, que ha transpuesto la Directiva en el ordenamiento español, sigue la misma pauta, al tiempo que ha incluido modificaciones de la legislación en materia de control de la contaminación, evaluaciones ambientales o responsabilidades por daños, (disposiciones finales segunda a quinta), en la medida necesaria para que las respectivas disposiciones vigentes en esos ámbitos se apliquen a los nuevos procedimientos relativos al dióxido de carbono.</w:t>
      </w:r>
    </w:p>
    <w:p w:rsidR="00A90898" w:rsidRDefault="00A90898" w:rsidP="00A90898">
      <w:pPr>
        <w:pStyle w:val="TextoNormal"/>
      </w:pPr>
    </w:p>
    <w:p w:rsidR="00A90898" w:rsidRDefault="00A90898" w:rsidP="00A90898">
      <w:pPr>
        <w:pStyle w:val="TextoNormal"/>
      </w:pPr>
      <w:r>
        <w:t xml:space="preserve">Una última precisión previa ha de añadirse a las anteriores consideraciones, que resulta relevante para el inmediato enjuiciamiento de la controversia competencial que aquí se dilucida. La disposición final primera de la Ley 40/2010 añade un nuevo apartado cuatro al artículo 1 de la Ley 22/1973, de 21 de julio, de minas, que excluye de modo expreso del </w:t>
      </w:r>
      <w:r>
        <w:lastRenderedPageBreak/>
        <w:t xml:space="preserve">régimen general sujeto a esa última ley “la investigación o explotación de estructuras subterráneas para su utilización como almacenamiento geológico de dióxido de carbono”, que, a partir de ese momento, pasa a regirse por la nueva normativa específica prevista en esta Ley. La Ley 40/2010, en palabras del preámbulo, ha venido a “abordar la transposición [de la Directiva 2009/31] a través de un proyecto de Ley </w:t>
      </w:r>
      <w:r w:rsidRPr="00A90898">
        <w:rPr>
          <w:i/>
        </w:rPr>
        <w:t>ad hoc</w:t>
      </w:r>
      <w:r>
        <w:t>, en lugar de reformar otras normas de nuestro ordenamiento, como la Ley de minas, debido a las singulares características de la CAC”. El legislador ha justificado la aprobación de un “régimen jurídico propio”, para la regulación de una técnica novedosa que, con el objetivo de mitigar el cambio climático, se oriente “fundamentalmente a garantizar la seguridad para el medio ambiente y las personas”. Pues bien, el establecimiento de esta regulación específica y propia ha de ser tenida en cuenta para el análisis del conflicto competencial interpuesto, porque recoge la existencia de un planteamiento singular del legislador en el tratamiento normativo de esta materia, que se aparta del régimen general establecido en la Ley 22/1973, de minas, como seguidamente se expondrá.</w:t>
      </w:r>
    </w:p>
    <w:p w:rsidR="00A90898" w:rsidRDefault="00A90898" w:rsidP="00A90898">
      <w:pPr>
        <w:pStyle w:val="TextoNormal"/>
      </w:pPr>
    </w:p>
    <w:p w:rsidR="00A90898" w:rsidRDefault="00A90898" w:rsidP="00A90898">
      <w:pPr>
        <w:pStyle w:val="TextoNormal"/>
      </w:pPr>
      <w:r w:rsidRPr="00A90898">
        <w:rPr>
          <w:rStyle w:val="NumeroAFNegritaCaracter"/>
        </w:rPr>
        <w:t>3</w:t>
      </w:r>
      <w:r>
        <w:t>. La Ley 40/2010 establece el marco jurídico para el almacenamiento geológico de dióxido de carbono (CO2), “en condiciones seguras para el medio ambiente, con el fin de contribuir a la lucha contra el cambio climático” (art. 1.1). La Ley declara bienes de dominio público estatal “las formaciones geológicas que formen parte de los lugares de almacenamiento existentes en el territorio del Estado y en el subsuelo del mar territorial y de los fondos marinos que estén bajo la soberanía del Reino de España” (art. 3). Congruentemente, supedita la actividad de almacenar dióxido de carbono a la obtención de una concesión de dominio público (art. 10), cuyo régimen jurídico es objeto de los capítulos II y III de la Ley (arts. 10-17 y 18-25). También regula unos permisos de investigación, para cuando resulte necesario realizar trabajos previos con el fin de determinar la capacidad de acopio o la idoneidad de un lugar de almacenamiento determinado (arts. 8 y 9), así como el registro de lugares de almacenamiento (art. 28), la puesta a disposición del público de toda la información relativa al almacenamiento geológico de dióxido de carbono (art. 29, que con el anterior conforma el capítulo V) y un amplio régimen sancionador (cap. VI, que comprende los arts. 30 al 38).</w:t>
      </w:r>
    </w:p>
    <w:p w:rsidR="00A90898" w:rsidRDefault="00A90898" w:rsidP="00A90898">
      <w:pPr>
        <w:pStyle w:val="TextoNormal"/>
      </w:pPr>
    </w:p>
    <w:p w:rsidR="00A90898" w:rsidRDefault="00A90898" w:rsidP="00A90898">
      <w:pPr>
        <w:pStyle w:val="TextoNormal"/>
      </w:pPr>
      <w:r>
        <w:t xml:space="preserve">En este conjunto normativo, reviste especial importancia el capítulo III, dedicado a regular el “funcionamiento, cierre y obligaciones tras el cierre” de las instalaciones de inyección y del complejo donde se almacene el dióxido de carbono. La Ley 40/2010, que sigue en este punto las previsiones de la Directiva 2009/31 de la Unión Europea, distingue dos etapas: una primera que tiene lugar mientras esté vigente la concesión de almacenamiento; y otra posterior, que se iniciará a partir del momento en que la concesión quede extinguida. Mientras la concesión esté en vigor, la Ley impone a su titular unas normas sobre la composición de la corriente de dióxido de carbono que inyecta en el yacimiento, unos estrictos deberes de seguimiento e información sobre el lugar, así como tener previstas las medidas que deban ser adoptadas en caso de irregularidades significativas o fugas. Todo ello sometido a inspecciones periódicas y puntuales por parte de la Administración pública competente en materia de medio ambiente, es decir de las Comunidades Autónomas. Por su parte, el artículo 23 de la Ley rige el cierre de los lugares de almacenamiento: éste puede ser debido al transcurso del plazo de la concesión (cifrado por el art. 10.6 en un máximo de 50 años); a la voluntad de la empresa titular de la concesión (previo el cumplimiento de determinados requisitos legales); o como consecuencia de una resolución adoptada por la Administración, tras revocar una concesión de almacenamiento. El cierre de un lugar de almacenamiento no </w:t>
      </w:r>
      <w:r>
        <w:lastRenderedPageBreak/>
        <w:t>conlleva un cambio inmediato de su estatuto jurídico: el titular de la concesión sigue siendo responsable de gestionar las instalaciones y de cumplir los deberes correspondientes, mientras sella el lugar de almacenamiento y retira las instalaciones de inyección. La responsabilidad del concesionario no cesa hasta que se produce la transferencia de responsabilidad, que regula el artículo 24 de la Ley 40/2010.</w:t>
      </w:r>
    </w:p>
    <w:p w:rsidR="00A90898" w:rsidRDefault="00A90898" w:rsidP="00A90898">
      <w:pPr>
        <w:pStyle w:val="TextoNormal"/>
      </w:pPr>
    </w:p>
    <w:p w:rsidR="00A90898" w:rsidRDefault="00A90898" w:rsidP="00A90898">
      <w:pPr>
        <w:pStyle w:val="TextoNormal"/>
      </w:pPr>
      <w:r>
        <w:t>Este precepto dispone que “se transferirán a la Administración General del Estado, a iniciativa de ésta o a petición del titular, todas las obligaciones legales relacionadas con el seguimiento y con las medidas correctoras exigibles con arreglo a esta ley”, tras el cierre de un lugar de almacenamiento y una vez asegurado el cumplimiento de todas las obligaciones previstas por la Ley. Como regla general, deben transcurrir al menos veinte años desde el cierre para que la Administración asuma la responsabilidad sobre el lugar de almacenamiento. La “transferencia de responsabilidad se considerará efectiva una vez que todas las pruebas disponibles indiquen que la totalidad del CO2 almacenado permanecerá completa y permanentemente confinado, y una vez que el lugar de almacenamiento haya sido sellado y se hayan retirado las instalaciones de inyección”.</w:t>
      </w:r>
    </w:p>
    <w:p w:rsidR="00A90898" w:rsidRDefault="00A90898" w:rsidP="00A90898">
      <w:pPr>
        <w:pStyle w:val="TextoNormal"/>
      </w:pPr>
    </w:p>
    <w:p w:rsidR="00A90898" w:rsidRDefault="00A90898" w:rsidP="00A90898">
      <w:pPr>
        <w:pStyle w:val="TextoNormal"/>
      </w:pPr>
      <w:r>
        <w:t>Seguidamente, la Ley 40/2010 dedica unos preceptos al acceso, por parte de terceros, a la red de transporte y a los lugares de almacenamiento del dióxido de carbono (arts. 26 y 27, que forman el cap. IV). El texto legal se cierra con cuatro disposiciones adicionales, dos transitorias y quince disposiciones finales. Por su parte, la disposición final decimocuarta de la Ley 40/2010, bajo la rúbrica de “Supletoriedad”, prescribe que “En tanto no se apruebe el desarrollo reglamentario de esta ley, a los procedimientos de autorización y concesión de almacenamiento geológico de dióxido de carbono tramitados por la Administración General del Estado se les aplicará el Real Decreto 2857/1978, de 25 de agosto, por el que se aprueba el Reglamento General de la Minería, en lo que no contradiga lo dispuesto en ella”.</w:t>
      </w:r>
    </w:p>
    <w:p w:rsidR="00A90898" w:rsidRDefault="00A90898" w:rsidP="00A90898">
      <w:pPr>
        <w:pStyle w:val="TextoNormal"/>
      </w:pPr>
    </w:p>
    <w:p w:rsidR="00A90898" w:rsidRDefault="00A90898" w:rsidP="00A90898">
      <w:pPr>
        <w:pStyle w:val="TextoNormal"/>
      </w:pPr>
      <w:r>
        <w:t>La normativa de referencia se completa con la disposición transitoria primera, que regula la acomodación al régimen de la Ley 40/2010 de las autorizaciones obtenidas para el reconocimiento de estructuras subterráneas o para el almacenamiento de dióxido de carbono “con arreglo a la Ley 22/1973, de 21 de julio, de minas con anterioridad a la entrada en vigor de esta ley”.</w:t>
      </w:r>
    </w:p>
    <w:p w:rsidR="00A90898" w:rsidRDefault="00A90898" w:rsidP="00A90898">
      <w:pPr>
        <w:pStyle w:val="TextoNormal"/>
      </w:pPr>
    </w:p>
    <w:p w:rsidR="00A90898" w:rsidRDefault="00A90898" w:rsidP="00A90898">
      <w:pPr>
        <w:pStyle w:val="TextoNormal"/>
      </w:pPr>
      <w:r w:rsidRPr="00A90898">
        <w:rPr>
          <w:rStyle w:val="NumeroAFNegritaCaracter"/>
        </w:rPr>
        <w:t>4</w:t>
      </w:r>
      <w:r>
        <w:t>. Una vez examinados el contenido y finalidad de la Ley 40/2010 objeto de impugnación, podemos proceder a encuadrarla en el orden constitucional de competencias. Es doctrina constitucional que “cuando inevitablemente las muchas actuaciones de los poderes públicos concernidos inciden al mismo tiempo en dos o más ámbitos categoriales diversos es preciso determinar siempre ‘la categoría genérica, de entre las referidas en la Constitución y los Estatutos, a la que primordialmente se reconducen las competencias controvertidas, puesto que es ésta la que fundamentalmente proporciona el criterio para la delimitación competencial, sin perjuicio de que, en su caso, la incidencia de la actividad considerada en otros ámbitos obligue a corregir la conclusión inicial para tomar en consideración títulos competenciales distintos’” (SSTC 80/1985, de 4 de julio, FJ 1; 197/1996, de 28 de noviembre, FJ 3; 14/2004, de 13 de febrero, FJ 5. En el mismo sentido, STC 49/2013, de 28 de febrero, FJ 5).</w:t>
      </w:r>
    </w:p>
    <w:p w:rsidR="00A90898" w:rsidRDefault="00A90898" w:rsidP="00A90898">
      <w:pPr>
        <w:pStyle w:val="TextoNormal"/>
      </w:pPr>
    </w:p>
    <w:p w:rsidR="00A90898" w:rsidRDefault="00A90898" w:rsidP="00A90898">
      <w:pPr>
        <w:pStyle w:val="TextoNormal"/>
      </w:pPr>
      <w:r>
        <w:lastRenderedPageBreak/>
        <w:t>Cuando las instituciones generales del Estado disponen de competencias para adoptar legislación básica en varias materias, como es el caso de ahora, no resulta irrelevante determinar la categoría específica, de entre las varias en liza, “a la que primordialmente se reconducen las competencias controvertidas” (SSTC 80/1985, de 4 de julio, FJ 1; 45/2015, de 5 de marzo, FJ 3). El alcance de las exigencias impuestas al legislador básico puede ser diferente “en función del subsector” de que se trate (SSTC 31/2010, de 28 de junio, FJ 60, y 184/2012, de 17 de octubre, FJ 3).</w:t>
      </w:r>
    </w:p>
    <w:p w:rsidR="00A90898" w:rsidRDefault="00A90898" w:rsidP="00A90898">
      <w:pPr>
        <w:pStyle w:val="TextoNormal"/>
      </w:pPr>
    </w:p>
    <w:p w:rsidR="00A90898" w:rsidRDefault="00A90898" w:rsidP="00A90898">
      <w:pPr>
        <w:pStyle w:val="TextoNormal"/>
      </w:pPr>
      <w:r>
        <w:t xml:space="preserve">También, es doctrina constante que, para decidir si la controversia debe encuadrarse en uno u otro de los números del art. 149, apartado 1, CE, que detallan las competencias exclusivas del Estado, la cobertura competencial enunciada por la Ley enjuiciada o la propuesta por las partes durante el proceso constitucional son meramente indicativas y no resultan vinculantes para este Tribunal. Las competencias son “indisponibles e irrenunciables, tanto para el legislador del Estado como para el de las Comunidades Autónomas”; y este Tribunal tiene el deber de velar de oficio por el respeto a la Constitución en los procesos sometidos a su jurisdicción por las partes legitimadas para ello [arts. 27.1 y 39 de la Ley Orgánica del Tribunal Constitucional (LOTC)]. De ahí se desprende que los títulos competenciales “operan </w:t>
      </w:r>
      <w:r w:rsidRPr="00A90898">
        <w:rPr>
          <w:i/>
        </w:rPr>
        <w:t>ope Constitutionis</w:t>
      </w:r>
      <w:r>
        <w:t>, con independencia de que uno u otro legislador hagan invocación explícita de las mismas” o de que éstos incurran en una eventual “selección errónea del título que, por otra parte, en modo alguno puede vincular a este Tribunal” [SSTC 179/1985, de 19 de diciembre, FJ 4; 233/1999, de 16 de diciembre, FJ 4 a), y 141/2014, de 11 de septiembre, FJ 7]. También se desprende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remitan” (SSTC 69/1988, de 19 de abril, FJ 2, y 175/2011, de 8 de noviembre, FJ 3).</w:t>
      </w:r>
    </w:p>
    <w:p w:rsidR="00A90898" w:rsidRDefault="00A90898" w:rsidP="00A90898">
      <w:pPr>
        <w:pStyle w:val="TextoNormal"/>
      </w:pPr>
    </w:p>
    <w:p w:rsidR="00A90898" w:rsidRDefault="00A90898" w:rsidP="00A90898">
      <w:pPr>
        <w:pStyle w:val="TextoNormal"/>
      </w:pPr>
      <w:r>
        <w:t>Finalmente, es asimismo doctrina consolidada que la interpretación de los preceptos constitucionales ha de hacerse de modo sistemático, esto es, teniendo siempre en cuenta el contenido íntegro de la Norma fundamental y que la de los preceptos estatutarios ha de hacerse siempre, como la del resto del ordenamiento jurídico, de conformidad con la Constitución (SSTC 18/1982, de 4 de mayo, FJ 1; 252/1988, de 20 de diciembre, FJ 2, y 5/2012, de 17 de enero, FJ 5). Igualmente, que “para llegar a una calificación competencial correcta” hay que atender, tanto al “sentido o finalidad de los varios títulos competenciales”, como al “carácter, sentido y finalidad de las disposiciones traídas al conflicto, es decir, el contenido del precepto controvertido”, delimitando así la regla competencial aplicable al caso (SSTC 153/1989, de 5 de octubre, FJ 5; 197/1996, de 28 de noviembre, FJ 3; 236/2012, de 13 de diciembre, FJ 3, y 45/2015, de 5 de marzo, FJ 3).</w:t>
      </w:r>
    </w:p>
    <w:p w:rsidR="00A90898" w:rsidRDefault="00A90898" w:rsidP="00A90898">
      <w:pPr>
        <w:pStyle w:val="TextoNormal"/>
      </w:pPr>
    </w:p>
    <w:p w:rsidR="00A90898" w:rsidRDefault="00A90898" w:rsidP="00A90898">
      <w:pPr>
        <w:pStyle w:val="TextoNormal"/>
      </w:pPr>
      <w:r w:rsidRPr="00A90898">
        <w:rPr>
          <w:rStyle w:val="NumeroAFNegritaCaracter"/>
        </w:rPr>
        <w:t>5</w:t>
      </w:r>
      <w:r>
        <w:t>. Atendidos el carácter, sentido y finalidad de las disposiciones que conforman la Ley 40/2010, de 29 de diciembre, debemos concluir que el título competencial preferente para resolver la controversia competencial trabada en este proceso constitucional es el referido a la materia de minas. En ella, las instituciones generales del Estado tienen reservada competencia sobre las bases del régimen minero (art. 149.1.25 CE); mientras que la Comunidad Autónoma de Aragón ostenta competencia sobre el desarrollo legislativo y la ejecución de la normativa básica que establezca el Estado por medio de disposiciones con rango de ley (art. 75.2 EAAr).</w:t>
      </w:r>
    </w:p>
    <w:p w:rsidR="00A90898" w:rsidRDefault="00A90898" w:rsidP="00A90898">
      <w:pPr>
        <w:pStyle w:val="TextoNormal"/>
      </w:pPr>
    </w:p>
    <w:p w:rsidR="00A90898" w:rsidRDefault="00A90898" w:rsidP="00A90898">
      <w:pPr>
        <w:pStyle w:val="TextoNormal"/>
      </w:pPr>
      <w:r>
        <w:t>En efecto, la Ley 40/2010 centra su regulación, como vimos en el anterior fundamento jurídico cuarto, en el almacenamiento del dióxido de carbono. Dicho almacenamiento ha de ser llevado a cabo en el subsuelo, ya sea terrestre o marino: pues las estructuras subterráneas sujetas a la Ley son las situadas en España, “incluyendo su mar territorial, su zona económica exclusiva y su plataforma continental” (art. 2.1 y disposición adicional tercera). La finalidad del almacenamiento del flujo de dióxido de carbono consiste en “su confinamiento permanente, en condiciones seguras para el medio ambiente, de manera que se eviten y, cuando no sea posible, se reduzcan al máximo, los efectos negativos o riesgos que pudiera tener dicho almacenamiento, sobre el medio ambiente y la salud humana” (art. 1.2). Con esa finalidad, la Ley 40/2010 establece un régimen jurídico de larga duración: concesiones del dominio público subterráneo de treinta años, prorrogables hasta un total máximo de cincuenta años; cierre de los lugares de almacenamiento una vez transcurridos, al menos, veinte años; y transferencia de responsabilidad del titular de la concesión a la Administración pública que, a partir de ese momento, ha de garantizar la seguridad del almacenamiento por un período de tiempo indefinido. Esa transferencia de responsabilidad es una de las vigas maestras de la regulación establecida por la Directiva 2009/31, en su afán por ofrecer un marco jurídico estable al desarrollo de la nueva tecnología de captación y almacenamiento del dióxido de carbono y de incentivar a las empresas a desarrollarla y asumirla.</w:t>
      </w:r>
    </w:p>
    <w:p w:rsidR="00A90898" w:rsidRDefault="00A90898" w:rsidP="00A90898">
      <w:pPr>
        <w:pStyle w:val="TextoNormal"/>
      </w:pPr>
    </w:p>
    <w:p w:rsidR="00A90898" w:rsidRDefault="00A90898" w:rsidP="00A90898">
      <w:pPr>
        <w:pStyle w:val="TextoNormal"/>
      </w:pPr>
      <w:r>
        <w:t>El régimen jurídico establecido por la Ley 40/2010 precisa y desarrolla las normas generales de minería que rigen en España a la nueva tecnología que promueve la Unión Europea para almacenar en el subsuelo el dióxido de carbono captado del funcionamiento de las grandes industrias. Su contenido es de un elevado detalle técnico, como lo demuestra, entre otras circunstancias, el conjunto de las definiciones contenidas en el art. 4 de la Ley o en sus anexos, que pormenorizan los criterios de caracterización y de evaluación del complejo de almacenamiento potencial y de la zona circundante indicados en el art. 10, apartado 2, de la Ley y los criterios para el establecimiento y actualización del plan de seguimiento contemplado en su artículo 19.2, así como para el seguimiento posterior al cierre de las instalaciones.</w:t>
      </w:r>
    </w:p>
    <w:p w:rsidR="00A90898" w:rsidRDefault="00A90898" w:rsidP="00A90898">
      <w:pPr>
        <w:pStyle w:val="TextoNormal"/>
      </w:pPr>
    </w:p>
    <w:p w:rsidR="00A90898" w:rsidRDefault="00A90898" w:rsidP="00A90898">
      <w:pPr>
        <w:pStyle w:val="TextoNormal"/>
      </w:pPr>
      <w:r>
        <w:t>Se trata de normas sustantivas sobre el régimen de uso de los yacimientos minerales y demás recursos geológicos que forman el demanio minero, donde resulta determinante la aplicación de la técnica minera en los trabajos sujetos a la Ley, que deben ejecutarse mediante labores subterráneas o que requieren el empleo de cualquier clase de maquinaria. Lo cual debe llevar a su encuadramiento en la materia de minas, siguiendo los criterios declarados en las Sentencias sobre almacenamiento de residuos nucleares en Aragón (STC 14/2004, de 12 de febrero, FFJJ 9 y 10), sobre los residuos de las industrias extractivas (STC 45/2015, de 5 de marzo, FJ 3) y sobre la declaración de todo el territorio balear como no registrable (STC 235/2015, de 5 de noviembre, FJ 3).</w:t>
      </w:r>
    </w:p>
    <w:p w:rsidR="00A90898" w:rsidRDefault="00A90898" w:rsidP="00A90898">
      <w:pPr>
        <w:pStyle w:val="TextoNormal"/>
      </w:pPr>
    </w:p>
    <w:p w:rsidR="00A90898" w:rsidRDefault="00A90898" w:rsidP="00A90898">
      <w:pPr>
        <w:pStyle w:val="TextoNormal"/>
      </w:pPr>
      <w:r>
        <w:t xml:space="preserve">En definitiva, aunque no pueda desconocerse que podrían incardinarse en la materia de “medio ambiente” aquellos aspectos del régimen jurídico de la actividad de almacenamiento de dióxido de carbono que tengan como finalidad directa la protección del entorno, en razón a la peligrosidad potencial de aquella, sin embargo, la norma impugnada atiende fundamentalmente a aquella dimensión vinculada con la gestión y emplazamiento de los yacimientos y demás estructuras subterráneas en los que se inyecta el dióxido de carbono, pues lo que hace la Ley 40/2010 es detallar la normativa sobre uso de las estructuras subterráneas que </w:t>
      </w:r>
      <w:r>
        <w:lastRenderedPageBreak/>
        <w:t>“por sus características permita retener naturalmente y en profundidad cualquier producto o residuo que en él se vierta o inyecte” [art. 3.1 B) de la Ley de minas de 1973 y art. 5.1 del Reglamento general de la minería, aprobado por Real Decreto 2857/1978, de 25 de agosto], lo que justifica el encuadramiento competencial realizado.</w:t>
      </w:r>
    </w:p>
    <w:p w:rsidR="00A90898" w:rsidRDefault="00A90898" w:rsidP="00A90898">
      <w:pPr>
        <w:pStyle w:val="TextoNormal"/>
      </w:pPr>
    </w:p>
    <w:p w:rsidR="00A90898" w:rsidRDefault="00A90898" w:rsidP="00A90898">
      <w:pPr>
        <w:pStyle w:val="TextoNormal"/>
      </w:pPr>
      <w:r>
        <w:t>Por el contrario, resulta irrelevante para el reparto de competencias el mero dato de que los lugares de almacenamiento sean bienes de dominio público (pues, como vimos en el fundamento jurídico 5, la Ley 40/2010 mantiene el carácter demanial, establecido por la legislación preconstitucional, de las estructuras subterráneas que por sus características permiten retener naturalmente y en profundidad cualquier producto o residuo que en él se vierta o inyecte). En efecto, es doctrina constitucional que “la titularidad del dominio público no es, en sí misma, un criterio de delimitación competencial”, pues “la naturaleza demanial no aísla a la porción del territorio así caracterizado de su entorno, ni la sustrae de las competencias que sobre ese aspecto corresponden a otros entes públicos que no ostentan esa titularidad” (SSTC 77/1984, de 3 de julio, FJ 3; 227/1988, de 29 de noviembre, FJ 14, y 103/1989, de 8 de junio, FJ 6). Todo ello sin perjuicio de que la titularidad del dominio público estatal (art. 132.2 CE), “si bien no se traduce en ningún título competencial concreto, permite al Estado establecer el régimen jurídico de todos los bienes que lo integran y adoptar las normas generales necesarias para garantizar su protección” [SSTC 149/1991, de 4 de julio, FJ 1 c); 40/1998, de 19 de febrero, FJ 29, y 204/2002, de 31 de octubre, FJ 7], aspectos estos últimos que no son relevantes en este proceso constitucional.</w:t>
      </w:r>
    </w:p>
    <w:p w:rsidR="00A90898" w:rsidRDefault="00A90898" w:rsidP="00A90898">
      <w:pPr>
        <w:pStyle w:val="TextoNormal"/>
      </w:pPr>
    </w:p>
    <w:p w:rsidR="00A90898" w:rsidRDefault="00A90898" w:rsidP="00A90898">
      <w:pPr>
        <w:pStyle w:val="TextoNormal"/>
      </w:pPr>
      <w:r w:rsidRPr="00A90898">
        <w:rPr>
          <w:rStyle w:val="NumeroAFNegritaCaracter"/>
        </w:rPr>
        <w:t>6</w:t>
      </w:r>
      <w:r>
        <w:t>. La conclusión de que el título competencial preferente para enjuiciar el encaje constitucional de la Ley 40/2010 en el orden constitucional de competencias es el concerniente a la materia régimen minero (núm. 25 del art. 149.1 CE) no se ve contradicho por otras consideraciones.</w:t>
      </w:r>
    </w:p>
    <w:p w:rsidR="00A90898" w:rsidRDefault="00A90898" w:rsidP="00A90898">
      <w:pPr>
        <w:pStyle w:val="TextoNormal"/>
      </w:pPr>
    </w:p>
    <w:p w:rsidR="00A90898" w:rsidRDefault="00A90898" w:rsidP="00A90898">
      <w:pPr>
        <w:pStyle w:val="TextoNormal"/>
      </w:pPr>
      <w:r>
        <w:t>Es cierto que la Unión Europea ha dictado la Directiva 2009/31 en virtud de su competencia sobre el medio ambiente [art. 175.1 del Tratado constitutivo de la Comunidad Europea, versión de Ámsterdam; en la actualidad, art. 192.1 del Tratado de funcionamiento de la Unión Europea (TFUE), versión de Lisboa] que, como es sabido, es una competencia compartida entre la Unión y sus Estados miembros [art. 4.2 e) TFUE]. Sin embargo, como hemos sostenido desde la Sentencia relativa al comercio comunitario de carnes frescas (STC 252/1988, de 20 de diciembre, FJ 2), son “las reglas internas de delimitación competencial las que en todo caso han de fundamentar la respuesta a los conflictos de competencia planteados entre el Estado y las Comunidades Autónomas”, pues “el Derecho comunitario no es en sí mismo canon o parámetro directo de constitucionalidad en los procesos constitucionales” [SSTC 28/1991, de 14 de febrero, FJ 4; 136/2011, de 13 de septiembre, FJ 12, y 99/2012, de 8 de mayo, FJ 2 b)]. Las normas del Derecho de la Unión Europea, originario o derivado, carecen “de rango y fuerza constitucionales” [SSTC 215/2014, de 18 de diciembre, FJ 3 a), y 232/2015, de 5 de noviembre, FJ 4] y el orden competencial establecido por la Constitución “no resulta alterado ni por el ingreso de España en la Comunidad Europea ni por la promulgación de normas comunitarias” (SSTC 21/1999, de 25 de febrero, FJ 1, y 96/2002, de 25 de abril, FJ 10).</w:t>
      </w:r>
    </w:p>
    <w:p w:rsidR="00A90898" w:rsidRDefault="00A90898" w:rsidP="00A90898">
      <w:pPr>
        <w:pStyle w:val="TextoNormal"/>
      </w:pPr>
    </w:p>
    <w:p w:rsidR="00A90898" w:rsidRDefault="00A90898" w:rsidP="00A90898">
      <w:pPr>
        <w:pStyle w:val="TextoNormal"/>
      </w:pPr>
      <w:r>
        <w:t xml:space="preserve">Por consiguiente, el mero dato de que la Directiva europea que ha sido traspuesta en el ordenamiento español por la Ley impugnada fluya de la competencia de la Unión sobre el </w:t>
      </w:r>
      <w:r>
        <w:lastRenderedPageBreak/>
        <w:t>medio ambiente no significa, sin más, que la norma española que la traspone deba encuadrarse en un título competencial similar. Por añadidura, existen evidentes diferencias entre el orden de competencias establecido por el artículo 149 y concordantes de la Constitución española y el orden de competencias establecido por los artículos 4 y 5 del Tratado de la Unión Europea y los artículos 2 a 6 de su Tratado de funcionamiento (versión Lisboa, “Diario Oficial de la Unión Europa” C-202, de 7 de junio de 2016). La Unión Europea carece de competencia en materia de régimen minero o de ordenación general de la economía (núms. 25 y 13 del art. 149.1 CE), que son dos de los títulos competenciales del Estado que han sido sometidos a debate en este proceso constitucional. Y la competencia de la Unión Europea en materia de medio ambiente [arts. 4.2 e) y 191, 192 y 193 TFUE] es distinta, en su alcance y contenido, a la competencia en materia de medio ambiente que la Constitución reserva al Estado mediante su art. 149.1.23, como puede apreciarse leyendo los respectivos preceptos y su aplicación jurisprudencial (por ejemplo, con el cotejo de las SSTJ Comisión contra Consejo —protección penal del medio ambiente, de 13 de septiembre de 2005, C-176/03; Comisión c. Consejo —vertidos en el mar, de 23 de octubre de 2007, C-440/05; Comisión c. Parlamento y Consejo —traslado de residuos, de 8 de septiembre de 2009, C-411/06, con las SSTC 102/1995, de 26 de junio; 13/1998, de 22 de enero; 120/1998, de 15 de junio, y 161/2014, de 7 de octubre). Por lo que el fundamento competencial o “base jurídica” de la Directiva 2009/31 de la Unión Europea no predetermina, en modo alguno, el fundamento constitucional de la Ley 40/2010 de las Cortes Generales.</w:t>
      </w:r>
    </w:p>
    <w:p w:rsidR="00A90898" w:rsidRDefault="00A90898" w:rsidP="00A90898">
      <w:pPr>
        <w:pStyle w:val="TextoNormal"/>
      </w:pPr>
    </w:p>
    <w:p w:rsidR="00A90898" w:rsidRDefault="00A90898" w:rsidP="00A90898">
      <w:pPr>
        <w:pStyle w:val="TextoNormal"/>
      </w:pPr>
      <w:r w:rsidRPr="00A90898">
        <w:rPr>
          <w:rStyle w:val="NumeroAFNegritaCaracter"/>
        </w:rPr>
        <w:t>7</w:t>
      </w:r>
      <w:r>
        <w:t>. Tampoco es determinante que la finalidad última de la técnica de captación y almacenamiento de dióxido de carbono consista en luchar contra el cambio climático, reduciendo la emisión a la atmósfera de gases de efecto invernadero. Esta ambiciosa finalidad es de carácter transversal y se busca, por ende, a través de un amplio conjunto de medidas. Aunque todas ellas se encuentran unidas por un objetivo último, consistente en evitar que las actividades humanas perjudiquen de modo irreversible el clima de nuestro planeta, cada una de ellas se despliega en campos distintos con finalidades diversas, tendentes a fomentar las energías renovables, promover una mayor eficacia energética o reducir la emisión de gases contaminantes en plantas industriales y energéticas, vehículos de motor o los edificios. Medidas de lucha contra el cambio climático que la Constitución española y los Estatutos de Autonomía pueden haber repartido entre las instituciones generales y autonómicas del Estado de forma diferenciada, pues atañen a materias tales como industria, energía, transportes y circulación de vehículos a motor, vivienda, etc., además de la protección del medio ambiente en sentido estricto.</w:t>
      </w:r>
    </w:p>
    <w:p w:rsidR="00A90898" w:rsidRDefault="00A90898" w:rsidP="00A90898">
      <w:pPr>
        <w:pStyle w:val="TextoNormal"/>
      </w:pPr>
    </w:p>
    <w:p w:rsidR="00A90898" w:rsidRDefault="00A90898" w:rsidP="00A90898">
      <w:pPr>
        <w:pStyle w:val="TextoNormal"/>
      </w:pPr>
      <w:r>
        <w:t>Incluso, dentro del conjunto de técnicas que hacen posible la captación, fluidificación, transporte y almacenamiento del carbono, la Unión Europea ha adoptado distintas disposiciones legislativas, que atañen a sectores jurídicos diversos: así, en materia de industria, energía, uso del subsuelo y protección del medio ambiente y la salud humana, sectores éstos que, en Derecho español, son materias sujetas a distintas reglas de reparto competencial, a tenor del art. 149 CE.</w:t>
      </w:r>
    </w:p>
    <w:p w:rsidR="00A90898" w:rsidRDefault="00A90898" w:rsidP="00A90898">
      <w:pPr>
        <w:pStyle w:val="TextoNormal"/>
      </w:pPr>
    </w:p>
    <w:p w:rsidR="00A90898" w:rsidRDefault="00A90898" w:rsidP="00A90898">
      <w:pPr>
        <w:pStyle w:val="TextoNormal"/>
      </w:pPr>
      <w:r>
        <w:t xml:space="preserve">Como hace notar nuestra jurisprudencia, las cuestiones atinentes al medio ambiente presentan un carácter complejo y multidisciplinar, que afectan a los más variados sectores del ordenamiento jurídico (STC 64/1982, de 4 de noviembre, FJ 5), “lo que provoca la consiguiente complejidad en el reparto de competencias entre el Estado y las Comunidades Autónomas (STC 102/1995, de 26 de junio, FJ 3). Ello se traduce en la transversalidad de las </w:t>
      </w:r>
      <w:r>
        <w:lastRenderedPageBreak/>
        <w:t>competencias sobre el medio ambiente en su configuración constitucional, en cuanto que, como se señala en las SSTC 102/1995, FJ 3; y 306/2000, de 12 de diciembre, FJ 6, incide en otras materias incluidas también, cada una a su manera, en el esquema constitucional de distribución de competencias. Por esa razón, lo ambiental es un factor a considerar en las demás políticas públicas sectoriales con incidencia sobre los diversos recursos naturales" (SSTC 102/1995, de 26 de junio, FJ 6, y 13/1998, de 22 de enero, FJ 7), pero tal circunstancia “no puede suponer, sin embargo, una incidencia tal del título relativo al medio ambiente —tanto del estatal como de los autonómicos— sobre otros con los que converge o concurre debido a su transversalidad”, que haga disminuir o incluso anular la vigencia y eficacia de otros títulos competenciales; “ello produciría, al socaire de la protección del medio ambiente ínsita en el conjunto de las políticas públicas, la merma en el ejercicio de otras competencias atribuidas al Estado y a las Comunidades Autónomas en virtud de la Constitución y de los Estatutos de Autonomía” (STC 161/2014, de 7 de octubre, FJ 4). Así, hemos afirmado que “en todos aquellos casos en los que la titularidad competencial se establece por referencia a una ‘política’ (v. gr.: protección del medio ambiente, protección del usuario, etc.), y no por sectores concretos del ordenamiento o de la actividad pública, tal competencia no puede ser entendida en términos tales que la sola incardinación del fin perseguido por la norma (o por el acto concreto) en tal política permita desconocer la competencia que a otras instancias corresponde si la misma norma o acto son contemplados desde otras perspectivas” [STC 149/1991, de 4 de mayo, FJ 1 b). En el mismo sentido, SSTC 40/1998, de 19 de febrero, FJ 30, y 161/2014, de 7 de octubre, FJ 4].</w:t>
      </w:r>
    </w:p>
    <w:p w:rsidR="00A90898" w:rsidRDefault="00A90898" w:rsidP="00A90898">
      <w:pPr>
        <w:pStyle w:val="TextoNormal"/>
      </w:pPr>
    </w:p>
    <w:p w:rsidR="00A90898" w:rsidRDefault="00A90898" w:rsidP="00A90898">
      <w:pPr>
        <w:pStyle w:val="TextoNormal"/>
      </w:pPr>
      <w:r>
        <w:t>Por ese motivo, la jurisprudencia constitucional ha hecho hincapié en que, dentro de la competencia de protección ambiental, han de encuadrarse exclusivamente aquellas actividades encaminadas directamente a la preservación, conservación o mejora de los recursos naturales, “habida cuenta de que éstos son soportes físicos de una pluralidad de actuaciones públicas y privadas en relación con las cuales la Constitución y los Estatutos de Autonomía han deslindado diferentes títulos competenciales (por todas, SSTC 144/1985, de 25 de octubre, FJ 2; 227/1988, de 29 de noviembre, FJ 13; 243/1993, de 15 de julio, FJ 3; 102/1995, FJ 3; y 40/1998, de 19 de febrero, FJ 29)” (STC 306/2000, de 12 de diciembre, FJ 6). Dijimos en la STC 13/1998, de 22 de enero, FJ 8, en el examen del instrumento de la evaluación de impacto ambiental, que el reparto competencial en materia de medio ambiente “solo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 (y, singularmente, de los números 4, 20, 21, 22, 24, 25, 28 y 29 del apartado 1 de ese art. 149)”.</w:t>
      </w:r>
    </w:p>
    <w:p w:rsidR="00A90898" w:rsidRDefault="00A90898" w:rsidP="00A90898">
      <w:pPr>
        <w:pStyle w:val="TextoNormal"/>
      </w:pPr>
    </w:p>
    <w:p w:rsidR="00A90898" w:rsidRDefault="00A90898" w:rsidP="00A90898">
      <w:pPr>
        <w:pStyle w:val="TextoNormal"/>
      </w:pPr>
      <w:r>
        <w:t xml:space="preserve">Ciertamente, las competencias en materia de medio ambiente pueden condicionar el ejercicio de otras actuaciones con incidencia territorial, pero no pueden invadir el ámbito reservado a las competencias en virtud de las cuales se desarrollan. En sentido inverso, aun en esos supuestos en los que se otorga carácter preferente a la competencia sectorial que ejerce el Estado, debe utilizarla en todo caso sin menoscabar los ámbitos de otras competencias; </w:t>
      </w:r>
      <w:r>
        <w:lastRenderedPageBreak/>
        <w:t>de modo que lo haga sobre el territorio de una Comunidad Autónoma, “atendiendo los puntos de vista de ésta (SSTC 56/1986, de 13 de mayo; 103/1989, de 8 de junio; 149/1991, de 4 de julio, y 102/1995, de 26 de junio), y cumpliendo el deber de colaboración ínsito a la estructura misma del Estado de las Autonomías” (SSTC 13/1998, de 22 de enero, FJ 9, y 101/2006, de 30 de marzo, FJ 4). Este deber se ha formulado inicialmente con especial energía en un caso de concurrencia competencial sobre actividades extractivas para proteger el medio ambiente (STC 64/1982, de 4 de noviembre, FJ 8).</w:t>
      </w:r>
    </w:p>
    <w:p w:rsidR="00A90898" w:rsidRDefault="00A90898" w:rsidP="00A90898">
      <w:pPr>
        <w:pStyle w:val="TextoNormal"/>
      </w:pPr>
    </w:p>
    <w:p w:rsidR="00A90898" w:rsidRDefault="00A90898" w:rsidP="00A90898">
      <w:pPr>
        <w:pStyle w:val="TextoNormal"/>
      </w:pPr>
      <w:r>
        <w:t>Por consiguiente, las competencias sobre medio ambiente entrarían en juego si los emplazamientos previstos para un lugar de almacenamiento de dióxido de carbono afectaran a una zona protegida por razones medioambientales, en los términos que ha analizado la jurisprudencia constitucional (SSTC 56/1986, de 13 de mayo; 46/2007, de 1 de marzo; 82/2012, de 21 de abril; 154/2014, de 25 de septiembre, y 192/2014, de 20 de noviembre), situación que no resulta relevante para resolver el objeto de este proceso. También, entran en juego en lo relativo a la protección medioambiental de los lugares de almacenamiento del dióxido de carbono, que han sido tenidos en cuenta por el legislador estatal (en los arts. 18-23 de la Ley 40/2010, como vimos en el fundamento jurídico 6) en términos que no han sido discutidos en el presente proceso constitucional.</w:t>
      </w:r>
    </w:p>
    <w:p w:rsidR="00A90898" w:rsidRDefault="00A90898" w:rsidP="00A90898">
      <w:pPr>
        <w:pStyle w:val="TextoNormal"/>
      </w:pPr>
    </w:p>
    <w:p w:rsidR="00A90898" w:rsidRDefault="00A90898" w:rsidP="00A90898">
      <w:pPr>
        <w:pStyle w:val="TextoNormal"/>
      </w:pPr>
      <w:r w:rsidRPr="00A90898">
        <w:rPr>
          <w:rStyle w:val="NumeroAFNegritaCaracter"/>
        </w:rPr>
        <w:t>8</w:t>
      </w:r>
      <w:r>
        <w:t>. Que el título competencial específico y preferente para enjuiciar el encaje constitucional de la Ley 40/2010 sea el concerniente a la materia “régimen minero” (núm. 25 del art. 149.1 CE) solo aparentemente entra en contradicción con lo declarado por la propia Ley 40/2010, en su disposición final undécima: dicha disposición enumera nueve artículos como producto del ejercicio de la competencia estatal en materia de minas, otros siete artículos producto de la competencia de ordenación de la economía y califica al resto de sus preceptos como legislación básica de protección del medio ambiente. Sin embargo, si de este conjunto residual de preceptos en materia de medio ambiente (que suman 21) se deducen los de carácter general (los arts. 1, 2, 4 y 5); el régimen sancionador (los arts. 30-38), que son preceptos instrumentales de la competencia sustantiva ejercida (SSTC 87/1985, de 16 de julio, FJ 8; 168/1993, de 27 de mayo, FJ 8; 124/2003, de 19 de junio, FJ 8, y 218/2013, de 19 de diciembre, FJ 5); y, por igual motivo, las normas sobre registro y publicidad (arts. 28 y 29; SSTC 32/1983, de 28 de abril; 157/1985, de 15 de noviembre, FJ 4, y 11/2015, de 5 de febrero, FJ 6), sólo quedan siete artículos derivados del ejercicio del título competencial sobre el medio ambiente. El contenido de estos artículos, que la Ley 40/2010 declara fruto de la competencia del Estado para proteger el medio ambiente, son tan solo los relativos a la garantía financiera que debe presentar el solicitante de una concesión (art. 12) y los requisitos y obligaciones de funcionamiento de los almacenes de dióxido de carbono (arts. 18 a 23). Preceptos estos últimos cuyo cumplimiento la misma Ley 40/2010 dispone que se encuentra sometido a la supervisión medioambiental de las Comunidades Autónomas. Y ninguno de los preceptos mencionados ha dado lugar a una impugnación específica por parte de la Comunidad Autónoma recurrente.</w:t>
      </w:r>
    </w:p>
    <w:p w:rsidR="00A90898" w:rsidRDefault="00A90898" w:rsidP="00A90898">
      <w:pPr>
        <w:pStyle w:val="TextoNormal"/>
      </w:pPr>
    </w:p>
    <w:p w:rsidR="00A90898" w:rsidRDefault="00A90898" w:rsidP="00A90898">
      <w:pPr>
        <w:pStyle w:val="TextoNormal"/>
      </w:pPr>
      <w:r>
        <w:t xml:space="preserve">En segundo lugar, los mandatos que la propia Ley 40/2010, en su disposición final undécima, adscribe a la competencia estatal en materia de minas son los que contienen las normas determinantes del régimen jurídico de la Ley y son los que introducen las principales modulaciones a la normativa europea en el momento de transcribirla a nuestro Derecho interno. En efecto, se trata de regular un nuevo uso de los terrenos subterráneos, sujetos secularmente en España a un régimen de Derecho público como dominio del Estado, que ya </w:t>
      </w:r>
      <w:r>
        <w:lastRenderedPageBreak/>
        <w:t>venía sometido en términos genéricos a intervención en la Ley de minas de 1973. Lo que hace la Ley 40/2010 es detallar la normativa sobre uso de las estructuras subterráneas que “por sus características permita retener naturalmente y en profundidad cualquier producto o residuo que en él se vierta o inyecte” [art. 3.1 B) de la Ley de minas de 1973 y art. 5.1 del Reglamento general de la minería de 1978] para su uso como almacén de dióxido de carbono, previamente capturado en grandes instalaciones de energía y otras industrias contaminantes, en virtud de la nueva tecnología impulsada por la Unión Europea.</w:t>
      </w:r>
    </w:p>
    <w:p w:rsidR="00A90898" w:rsidRDefault="00A90898" w:rsidP="00A90898">
      <w:pPr>
        <w:pStyle w:val="TextoNormal"/>
      </w:pPr>
    </w:p>
    <w:p w:rsidR="00A90898" w:rsidRDefault="00A90898" w:rsidP="00A90898">
      <w:pPr>
        <w:pStyle w:val="TextoNormal"/>
      </w:pPr>
      <w:r>
        <w:t>Todas estas razones confirman que la competencia principal que debe regir la controversia competencial sometida a nuestra jurisdicción debe ser la que reparte el régimen minero entre el Estado central y las Comunidades Autónomas, en virtud del número 25 del art. 149.1 CE y los correlativos preceptos de cada Estatuto de Autonomía. Todo ello sin perjuicio, como es natural, de que “la incidencia de la actividad considerada en otros ámbitos obligue a corregir la conclusión inicial para tomar en consideración títulos competenciales distintos”, si fuera preciso (SSTC 80/1985, de 4 de julio, FJ 1; 197/1996, de 28 de noviembre, FJ 3, y 14/2004, de 13 de febrero, FJ 5, como vimos en el FJ 7).</w:t>
      </w:r>
    </w:p>
    <w:p w:rsidR="00A90898" w:rsidRDefault="00A90898" w:rsidP="00A90898">
      <w:pPr>
        <w:pStyle w:val="TextoNormal"/>
      </w:pPr>
    </w:p>
    <w:p w:rsidR="00A90898" w:rsidRDefault="00A90898" w:rsidP="00A90898">
      <w:pPr>
        <w:pStyle w:val="TextoNormal"/>
      </w:pPr>
      <w:r w:rsidRPr="00A90898">
        <w:rPr>
          <w:rStyle w:val="NumeroAFNegritaCaracter"/>
        </w:rPr>
        <w:t>9</w:t>
      </w:r>
      <w:r>
        <w:t>. Entrando ya a analizar las distintas impugnaciones que el Gobierno de Aragón dirige en su demanda contra los preceptos de la Ley 40/2010 que otorgan competencia a los Ministerios de la Administración General del Estado, resulta evidente que la principal es la que atañe a la concesión de almacenamiento. En efecto, a tenor del art. 10.1 de la Ley 40/2010: “El almacenamiento de CO2 requerirá la obtención de una concesión otorgada con arreglo a este capítulo. Las concesiones de almacenamiento conferirán a su titular el derecho en exclusiva a almacenar CO2 en el lugar de almacenamiento”. La Comunidad Autónoma sostiene que es ella y no el Estado, la que debería otorgar dichas concesiones del dominio público minero, lo que le lleva a sostener la inconstitucionalidad del art. 11.1 de la Ley (“Compete al Ministerio de Industria, Turismo y Comercio, previo informe del Ministerio de Medio Ambiente, y Medio Rural y Marino el otorgamiento de las concesiones de almacenamiento”) y, por consiguiente, la de una larga lista de atribuciones asociada a esta potestad esencial: la aprobación de las condiciones de la concesión (art. 13), así como sus modificaciones o el cambio de su titular (arts. 11.3, 15.1 y 16); la revisión del otorgamiento de las concesiones o de sus condiciones (art. 15.1 y 2) y la prórroga de su duración (art. 10.6); la revocación de la concesión (art. 15.3); el cierre del lugar de almacenamiento (arts. 15 y 23.1); la decisión sobre la concurrencia de derechos (arts. 6 y 10.4); la comprobación de la solvencia técnica y financiera de las empresas (art. 10.3); la declaración de la utilidad pública para la expropiación forzosa de los terrenos necesarios (art. 10.7); la recepción de los planes de seguimiento y de gestión posterior al cierre (arts. 19.2 y 3, y 23.2 y 3); el acceso a las redes de transporte, las medidas de mejora y la resolución de conflictos (arts. 26 y 27); o la adaptación de los permisos anteriores a la Ley (disposición transitoria primera). Conjunto de atribuciones que se ven sistematizadas en el art. 5 de la Ley, donde se enumeran las distintas competencias que los correspondientes artículos de la Ley asignan a los ministerios de la Administración estatal y las funciones que la Ley entiende que corresponden a los órganos competentes de las Comunidades Autónomas.</w:t>
      </w:r>
    </w:p>
    <w:p w:rsidR="00A90898" w:rsidRDefault="00A90898" w:rsidP="00A90898">
      <w:pPr>
        <w:pStyle w:val="TextoNormal"/>
      </w:pPr>
    </w:p>
    <w:p w:rsidR="00A90898" w:rsidRDefault="00A90898" w:rsidP="00A90898">
      <w:pPr>
        <w:pStyle w:val="TextoNormal"/>
      </w:pPr>
      <w:r>
        <w:t>En esencia, la Comunidad aragonesa sostiene que deberían corresponderle a ella todas las facultades administrativas relativas a la concesión de almacenamiento del dióxido de carbono, pues ella es la competente para la ejecución de las bases del régimen minero esta</w:t>
      </w:r>
      <w:r>
        <w:lastRenderedPageBreak/>
        <w:t>blecidas por el Estado (art. 75.2 EAAr). Las Comunidades Autónomas han venido gestionando pacíficamente las concesiones de explotación de los recursos de la sección B), en virtud de la Ley de minas de 1973, que han venido incluyendo las estructuras subterráneas. Y así deberían seguir haciéndolo, sostiene la demanda iniciadora de este proceso, aunque la Ley 40/2010 haya introducido un régimen especial en la normativa minera para aquellas estructuras subterráneas que sean utilizadas como almacenamiento geológico de dióxido de carbono, a tenor del nuevo art. 1.4 de la Ley 22/1973, de 21 de julio, de minas, introducido por la disposición final 1 de la Ley 40/2010.</w:t>
      </w:r>
    </w:p>
    <w:p w:rsidR="00A90898" w:rsidRDefault="00A90898" w:rsidP="00A90898">
      <w:pPr>
        <w:pStyle w:val="TextoNormal"/>
      </w:pPr>
    </w:p>
    <w:p w:rsidR="00A90898" w:rsidRDefault="00A90898" w:rsidP="00A90898">
      <w:pPr>
        <w:pStyle w:val="TextoNormal"/>
      </w:pPr>
      <w:r w:rsidRPr="00A90898">
        <w:rPr>
          <w:rStyle w:val="NumeroAFNegritaCaracter"/>
        </w:rPr>
        <w:t>10</w:t>
      </w:r>
      <w:r>
        <w:t>. Esta tesis central de la demanda no puede ser aceptada. Es cierto que la “previsión de que el Estado y las Comunidades Autónomas puedan compartir un ámbito material determinado en el ejercicio de diferentes potestades y funciones es una de las características típicas del modelo territorial del Estado autonómico. El concurso de dichas potestades y funciones sobre una misma materia se ordena en la Constitución, en términos de principio, bien atribuyendo al Estado central la competencia legislativa y permitiendo la atribución a las Comunidades Autónomas de las competencias de ejecución, bien confiando al primero el establecimiento de normas legales básicas y haciendo posible que las Comunidades Autónomas desarrollen legislativamente dichas bases y sean titulares de las correspondientes potestades de reglamentación y ejecución de la legalidad desarrollada”. En relación con este último patrón de reparto de competencias, el concepto constitucional de las bases estatales incluye, desde luego, la fijación por las instituciones generales de Estado de los “principios o mínimo común normativo” de una materia en normas con rango de ley; contenido éste que es el que “mejor se acomoda a la función estructural y homogeneizadora de las bases y ésta la forma normativa que, por razones de estabilidad y certeza, le resulta más adecuada” (por todas, SSTC 69/1988, de 19 de abril, FJ 5, y 31/2010, de 28 de junio, FJ 60). Sin embargo, es doctrina constitucional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50/1999, de 6 de abril y 147/1991, de 4 de julio, respectivamente)”. Y ello, no como pura excepción al criterio de las bases estatales con un contenido principal o de mínimo normativo y formalizadas mediante ley, sino como elementos de la definición del contenido y alcance de la competencia atribuida al Estado cuando éste es el titular de la potestad de dictar las bases de la disciplina de una materia determinada (por todas, STC 31/2010, FJ 60).</w:t>
      </w:r>
    </w:p>
    <w:p w:rsidR="00A90898" w:rsidRDefault="00A90898" w:rsidP="00A90898">
      <w:pPr>
        <w:pStyle w:val="TextoNormal"/>
      </w:pPr>
    </w:p>
    <w:p w:rsidR="00A90898" w:rsidRDefault="00A90898" w:rsidP="00A90898">
      <w:pPr>
        <w:pStyle w:val="TextoNormal"/>
      </w:pPr>
      <w:r>
        <w:t>La tesis de que la investigación y explotación de las estructuras subterráneas, con la finalidad de almacenar dióxido de carbono, debe atenerse literalmente a la regla general que es propia del reparto competencial propio de las bases, en virtud de la cual corresponde al Estado fijar un mínimo común denominador normativo y a la Comunidad Autónoma su íntegro desarrollo y ejecución, es una tesis que ignora o hace abstracción de algunos de los rasgos esenciales de la normativa específica que ha introducido la Ley 40/2010, que justifican que esta variedad de uso del dominio público minero consistente en almacenar dióxido de carbono en el subsuelo no quede ya sometida a las normas comunes de la legislación minera, enunciadas por la Ley de minas de 1973, sino a un cuerpo normativo especial, en el que se ha querido explícitamente establecer un régimen específico.</w:t>
      </w:r>
    </w:p>
    <w:p w:rsidR="00A90898" w:rsidRDefault="00A90898" w:rsidP="00A90898">
      <w:pPr>
        <w:pStyle w:val="TextoNormal"/>
      </w:pPr>
    </w:p>
    <w:p w:rsidR="00A90898" w:rsidRDefault="00A90898" w:rsidP="00A90898">
      <w:pPr>
        <w:pStyle w:val="TextoNormal"/>
      </w:pPr>
      <w:r>
        <w:t xml:space="preserve">Así, como hemos visto en fundamentos jurídicos anteriores, la Ley 40/2010 establece un marco regulador específico para una tecnología novedosa, que se encuentra en proceso de </w:t>
      </w:r>
      <w:r>
        <w:lastRenderedPageBreak/>
        <w:t>experimentación y desarrollo y que ofrece indudables ventajas en la lucha contra el cambio climático y, al mismo tiempo, indudables riesgos para la salud y el medio natural. En su afán por impulsar el desarrollo de esta nueva tecnología, la Directiva 2009/31 de la Unión Europea ha introducido un conjunto de reglas, de entre las cuales destaca aquella que considera que los Estados miembros tienen competencia para decidir las zonas en las que podrán situarse los emplazamientos de almacenamiento; potestad que “incluye el derecho de los Estados miembros a no permitir almacenamiento alguno en partes de su territorio o en la totalidad del mismo” (art. 4.1 de la Directiva 2009/31). A diferencia de otros Estados miembros, el Reino de España ha optado, dentro del margen de libre configuración legislativa que le corresponde, por no establecer prohibiciones de carácter general o zonal en las disposiciones legales, sino de apreciar la posibilidad de autorizar o denegar el uso del territorio español atendiendo a las circunstancias de cada caso concreto y en función de los estudios que toda empresa interesada deba llevar a cabo (arts. 10.1 y 11.5 de la Ley 40/2010).</w:t>
      </w:r>
    </w:p>
    <w:p w:rsidR="00A90898" w:rsidRDefault="00A90898" w:rsidP="00A90898">
      <w:pPr>
        <w:pStyle w:val="TextoNormal"/>
      </w:pPr>
    </w:p>
    <w:p w:rsidR="00A90898" w:rsidRDefault="00A90898" w:rsidP="00A90898">
      <w:pPr>
        <w:pStyle w:val="TextoNormal"/>
      </w:pPr>
      <w:r>
        <w:t>Igualmente, señala que uno de los ejes centrales del régimen establecido por la Directiva 2009/31 y plasmado en nuestro Derecho por la Ley 40/2010 consiste en prever que, cuando la concesión del dominio minero se extinga, los Estados miembros deben asumir directamente la responsabilidad derivada del almacenamiento del dióxido de carbono de manera indefinida. Esa transferencia de responsabilidad, regida por el art. 24 de la Ley 40/2010 (como vimos en el fundamento jurídico 6), no impugnado por la demanda de inconstitucionalidad, hace recaer la responsabilidad por cualquier fuga o daño que pudiera producirse en los lugares de almacenamiento del dióxido de carbono, una vez extinguida la concesión demanial y vencido el plazo de transición posterior, y por un plazo indefinido, directamente sobre el Estado.</w:t>
      </w:r>
    </w:p>
    <w:p w:rsidR="00A90898" w:rsidRDefault="00A90898" w:rsidP="00A90898">
      <w:pPr>
        <w:pStyle w:val="TextoNormal"/>
      </w:pPr>
    </w:p>
    <w:p w:rsidR="00A90898" w:rsidRDefault="00A90898" w:rsidP="00A90898">
      <w:pPr>
        <w:pStyle w:val="TextoNormal"/>
      </w:pPr>
      <w:r>
        <w:t>La normativa básica estatal ha optado por un modelo de gestión centralizada de las concesiones de almacenamiento y no por un modelo de gestión autonómica. Este modelo se justifica en el hecho de que las concesiones de almacenamiento, que confieren a sus titulares el derecho en exclusiva a almacenar CO2 en un concreto lugar, no constituyen sino la última fase de un proceso más complejo que se pretende promover a través de la implantación de la nueva tecnología regulada, pues, si bien es cierto que la ley impugnada se limita a regular la actividad de almacenamiento geológico de dióxido de carbono y sólo contiene previsiones puntuales en relación con la captura y el transporte de aquel, también lo es que, para tener una visión completa de la nueva tecnología que se pretende desarrollar, es indispensable tomar en consideración la interconexión que se debe producir entre los lugares de almacenamiento, las redes de transporte y las instalaciones de captura. Redes de transporte e instalaciones de captura que pueden tener una clara dimensión supraterritorial, e incluso supranacional, pues recordemos que la Directiva 2009/31 de la Unión Europea reconoce a los Estados miembros el derecho a no permitir almacenamiento alguno en partes de su territorio o en la totalidad del mismo (art. 4.1 de la Directiva 2009/31), no quedando, sin embargo, por ello excluidos tales Estados de la posibilidad de utilizar los lugares de almacenamiento de otro Estado que sí los permita.</w:t>
      </w:r>
    </w:p>
    <w:p w:rsidR="00A90898" w:rsidRDefault="00A90898" w:rsidP="00A90898">
      <w:pPr>
        <w:pStyle w:val="TextoNormal"/>
      </w:pPr>
    </w:p>
    <w:p w:rsidR="00A90898" w:rsidRDefault="00A90898" w:rsidP="00A90898">
      <w:pPr>
        <w:pStyle w:val="TextoNormal"/>
      </w:pPr>
      <w:r>
        <w:t>La evidente dimensión supraterritorial del fenómeno regulado se refleja, igualmente, en el Preámbulo de la norma impugnada en el que se destaca cómo el establecimiento de grandes instalaciones de combustión —grandes centrales térmicas— de competencia estatal vendrá íntimamente asociado a la obtención de concesiones de almacenamiento.</w:t>
      </w:r>
    </w:p>
    <w:p w:rsidR="00A90898" w:rsidRDefault="00A90898" w:rsidP="00A90898">
      <w:pPr>
        <w:pStyle w:val="TextoNormal"/>
      </w:pPr>
    </w:p>
    <w:p w:rsidR="00A90898" w:rsidRDefault="00A90898" w:rsidP="00A90898">
      <w:pPr>
        <w:pStyle w:val="TextoNormal"/>
      </w:pPr>
      <w:r>
        <w:lastRenderedPageBreak/>
        <w:t>En la línea referida, este Tribunal, en relación con la ordenación del sector de la energía nuclear y radioactiva, tuvo ya la oportunidad de afirmar la constitucionalidad de aquella normativa básica estatal que había optado por un sistema abierto a todo el territorio nacional y no por un modelo de gestión autonómica de los residuos radioactivos, pues en aquella ocasión consideramos que “corresponde al legislador básico, en razón a las características estructurales de que se pretenda dotar al sector de la energía nuclear, decidir si los residuos generados en una Comunidad Autónoma han de ser necesariamente almacenados en la misma Comunidad, o si, por el contrario, resulta más adecuado distribuir estratégicamente los centros de producción y los almacenes de residuos de esta modalidad de energía, teniendo como referencia el conjunto del territorio nacional, según las pautas que se estimen convenientes” [STC 14/2004, de 13 de febrero, FJ 13].</w:t>
      </w:r>
    </w:p>
    <w:p w:rsidR="00A90898" w:rsidRDefault="00A90898" w:rsidP="00A90898">
      <w:pPr>
        <w:pStyle w:val="TextoNormal"/>
      </w:pPr>
    </w:p>
    <w:p w:rsidR="00A90898" w:rsidRDefault="00A90898" w:rsidP="00A90898">
      <w:pPr>
        <w:pStyle w:val="TextoNormal"/>
      </w:pPr>
      <w:r w:rsidRPr="00A90898">
        <w:rPr>
          <w:rStyle w:val="NumeroAFNegritaCaracter"/>
        </w:rPr>
        <w:t>11</w:t>
      </w:r>
      <w:r>
        <w:t>. Por lo tanto, estas opciones legislativas, que son sin duda legítimas, porque atienden a la necesidad de establecer un tratamiento unitario frente a los riesgos asociados para la seguridad colectiva, que, al momento presente, representa la aplicación de una tecnología novedosa que permite la captura y almacenamiento del dióxido de carbono, nos sitúan de lleno en aquella situación en que “la preservación de un tratamiento uniforme reclama el complemento reglamentario, y aun el ejecutivo”. Por lo que, en este caso, “se justifica la reserva de estas competencias en la medida indispensable” para asegurar “la unidad de tratamiento” (SSTC 57/1983, de 28 de junio, FJ 7; 96/1984, de 19 de octubre, FJ 3; 144/1985, de 25 de octubre, FJ 4, y 182/2013, de 23 de octubre, FJ 4). Pues “lo básico puede tener mayor o menor intensidad dependiendo del ámbito material sobre el que recaiga y así lo afirmamos en la STC 222/2006, de 6 de julio, FJ 3, a cuyo tenor ‘[e]ste Tribunal ha empleado un concepto de bases que en modo alguno se concreta en el empleo de una técnica uniforme en todos los sectores del Ordenamiento, sino que presupone fórmulas de intensidad y extensión variables en función de las características del ámbito concretamente afectado. Así, hemos reconocido modalidades muy diferentes de lo básico, desde la posibilidad de que el legislador estatal, excepcionalmente ocupe, prácticamente, toda la función normativa al determinar las bases de determinadas submaterias, hasta la legitimidad constitucional de algunos actos administrativos de carácter eminentemente ejecutivo por parte de la Administración General del Estado, así como el empleo de otras modalidades muy diversas (topes máximos, niveles mínimos tramos, e, incluso, bases diferenciadas por territorios, etc.)’” (STC 24/2013, de 31 de enero, FJ 4).</w:t>
      </w:r>
    </w:p>
    <w:p w:rsidR="00A90898" w:rsidRDefault="00A90898" w:rsidP="00A90898">
      <w:pPr>
        <w:pStyle w:val="TextoNormal"/>
      </w:pPr>
    </w:p>
    <w:p w:rsidR="00A90898" w:rsidRDefault="00A90898" w:rsidP="00A90898">
      <w:pPr>
        <w:pStyle w:val="TextoNormal"/>
      </w:pPr>
      <w:r>
        <w:t>Estas razones hacen decaer la impugnación principal que la Comunidad Autónoma dirige contra la Ley 40/2010. Que las Cortes Generales, en el actual estado de evolución del Derecho de la Unión Europea, hayan asignado a la Administración General del Estado la atribución de conceder, o de no hacerlo, el derecho al uso exclusivo de determinados lugares del dominio público minero para el almacenamiento de dióxido de carbono no extralimita la competencia estatal sobre las bases del régimen minero (número 25 del art. 149.1 CE). Por consiguiente, no puede estimarse el recurso en lo tocante al esencial art. 11.1 de la Ley 40/2010 ni, por ende, en lo relativo a todas las demás facultades inherentes a la potestad de otorgamiento de la concesión, lo que lleva, asimismo, a sostener la constitucionalidad de los correspondientes incisos del artículo 5 de la Ley, que se limitan a sistematizar las atribuciones que distintos preceptos de la Ley asignan a la Administración General del Estado en relación con las concesiones demaniales sobre los lugares de almacenamiento del dióxido de carbono.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12</w:t>
      </w:r>
      <w:r>
        <w:t>. . La conclusión alcanzada impide apreciar la inconstitucionalidad de los preceptos impugnados en la demanda presentada por el Gobierno de Aragón. Por consiguiente, carece de sentido entrar a examinar los restantes títulos competenciales aducidos por una y otra parte en este proceso constitucional si bien no hay que dejar de señalar que es jurisprudencia constitucional que el art. 149.1.13 CE debe ser interpretado de forma estricta cuando concurre con una materia o un título competencial más específico (SSTC 164/2001, de 11 de julio, FJ 9, y 33/2014, de 27 de febrero, FJ 7), como es en este caso el relativo a la materia minera, siguiendo el criterio de la preferencia del título competencial especial sobre el general (SSTC 71/1982, de 30 de noviembre, FJ 2; 188/2001, de 20 de septiembre, FJ 6, y 148/2011, de 28 de septiembre, FFJJ 3 y 6) y el principio de cautela en la interpretación del orden constitucional de competencias, pues no toda norma o medida con incidencia económica puede encontrar cobertura en el número 13 del art. 149.1 CE si no posee una incidencia directa y significativa sobre la actividad económica general (entre otras, SSTC 21/1999, de 25 de febrero, FJ 5; 235/1999, de 20 de diciembre, FJ 3, y 95/2001, de 5 de abril, FJ 3), so pena de vaciar de contenido una materia y un título competencial más específico (SSTC 95/2002, de 25 de abril, FJ 7; 45/2001, de 15 de febrero, FJ 8, y 77/2004, de 29 de abril, FJ 4). Sin que de la invocación del interés general que deben promover las instituciones generales del Estado pueda resultar otra cosa, por cuanto dicho interés general se ha de materializar a través del orden competencial establecido, excluyéndose así la extensión de los ámbitos competenciales en atención a consideraciones meramente finalísticas (SSTC 124/2003, de 19 de junio, FJ 6; 36/2012, de 15 de marzo, FJ 4, y 33/2014, de 27 de febrero, FJ 7).</w:t>
      </w:r>
    </w:p>
    <w:p w:rsidR="00A90898" w:rsidRDefault="00A90898" w:rsidP="00A90898">
      <w:pPr>
        <w:pStyle w:val="TextoNormal"/>
      </w:pPr>
    </w:p>
    <w:p w:rsidR="00A90898" w:rsidRDefault="00A90898" w:rsidP="00A90898">
      <w:pPr>
        <w:pStyle w:val="TextoNormal"/>
      </w:pPr>
      <w:r>
        <w:t xml:space="preserve">En particular, para dar respuesta a la impugnación del Gobierno de Aragón, conviene subrayar que la competencia del Estado sobre los permisos de investigación que tengan ámbito territorial supracomunitario (arts. 5, 8 y 9 de la Ley 40/2010) se justifica en el hecho de que excede el territorio de una comunidad autónoma y se trata de una actividad pública no susceptible de fraccionamiento, en cuanto que se ejerce sobre una estructura geológica que se extiende por el territorio de varias Comunidades Autónomas y que exige un estudio de conjunto. Así, tal como alega el Abogado del Estado, la actuación no puede llevarse a efecto mediante mecanismos de cooperación y coordinación, pues requiere un grado de homogeneidad que sólo puede garantizar su atribución al Estado. La competencia del Estado sobre la adaptación de autorizaciones preexistentes para el reconocimiento de estructuras subterráneas, con el fin de utilizarlas como almacén de dióxido de carbono (disposición transitoria primera) supone la competencia para determinar la capacidad de almacenamiento o la idoneidad de un lugar de almacenamiento determinado, así como para autorizar la adaptación de títulos obtenidos antes de la entrada en vigor de la Ley 40/2010 a las previsiones introducidas por ésta, pues son meras atribuciones instrumentales de la competencia principal y que sólo cobran sentido en función de la potestad para conceder el uso del subsuelo para el almacenamiento de carbono. Lo mismo cabe decir de las potestades relativas a la garantía del acceso de los usuarios potenciales a las redes de transporte y a los lugares de almacenamiento (artículos 5, 26 y 27), pues carecería de sentido otorgar concesiones para almacenar dióxido de carbono si los yacimientos autorizados no pudieran recibir los flujos que deben ser inyectados en el subsuelo, flujos que proceden de las centrales de energía y otras grandes instalaciones donde se capta el carbono para evitar su dispersión en la atmósfera y que no se encuentran situados necesariamente junto a los lugares en que deben ser depositados. La finalidad de los artículos 26 y 27 de la Ley 40/2010 consiste en asegurar que todas las industrias que capten y transformen el dióxido de carbono producido en sus </w:t>
      </w:r>
      <w:r>
        <w:lastRenderedPageBreak/>
        <w:t>instalaciones tengan acceso a los lugares de almacenamiento en términos transparentes y no discriminatorios, lo que permite apreciar que las competencias de ejecución previstas en esos preceptos están estrechamente vinculadas al mantenimiento y efectividad de las normas de carácter básico establecidas por la Ley. De donde se desprende la constitucionalidad de atribuir dichas facultades a un departamento de la Administración General del Estado, de modo similar a como hemos juzgado en supuestos análogos (SSTC 72/2014, de 8 de mayo, FJ 10, y 32/2016, de 18 de febrero, FJ 10).</w:t>
      </w:r>
    </w:p>
    <w:p w:rsidR="00A90898" w:rsidRDefault="00A90898" w:rsidP="00A90898">
      <w:pPr>
        <w:pStyle w:val="TextoNormal"/>
      </w:pPr>
    </w:p>
    <w:p w:rsidR="00A90898" w:rsidRDefault="00A90898" w:rsidP="00A90898">
      <w:pPr>
        <w:pStyle w:val="TextoNormal"/>
      </w:pPr>
      <w:r w:rsidRPr="00A90898">
        <w:rPr>
          <w:rStyle w:val="NumeroAFNegritaCaracter"/>
        </w:rPr>
        <w:t>13</w:t>
      </w:r>
      <w:r>
        <w:t>. Es igualmente constitucional que la Ley 40/2010 atribuya a la Administración estatal la facultad de resolver los conflictos que pudieran suscitarse por la concurrencia de derechos al coincidir en una misma área geográfica autorizaciones, permisos o concesiones relativos al almacenamiento de dióxido de carbono y a otras sustancias minerales y demás recursos geológicos (arts. 5 y 6 de la Ley 40/2010). Nuestra jurisprudencia siempre ha mantenido que, en el caso de confluencia de competencias estatales y autonómicas sobre un mismo espacio físico, es necesario que se produzca una colaboración y coordinación entre las distintas Administraciones públicas involucradas, pues no en vano el principio de cooperación entre el Estado y las Comunidades Autónomas está implícito en el correcto funcionamiento del Estado de las Autonomías. Depende en buena medida de la estricta sujeción de uno y otras a las fórmulas racionales de cooperación, consulta, participación, coordinación, concertación o acuerdo previstas en la Constitución y en los Estatutos de Autonomía; pudiendo elegirse, en cada caso, las técnicas que resulten más adecuadas: el mutuo intercambio de información, la emisión de informes previos en los ámbitos de la propia competencia, la creación de órganos de composición mixta, etcétera (SSTC 181/1988, de 13 de octubre, FJ 7; 40/1998, de 18 de febrero, FJ 30; 204/2002, de 31 de octubre, FJ 7, y 20/2016, de 4 de febrero, FJ 2).</w:t>
      </w:r>
    </w:p>
    <w:p w:rsidR="00A90898" w:rsidRDefault="00A90898" w:rsidP="00A90898">
      <w:pPr>
        <w:pStyle w:val="TextoNormal"/>
      </w:pPr>
    </w:p>
    <w:p w:rsidR="00A90898" w:rsidRDefault="00A90898" w:rsidP="00A90898">
      <w:pPr>
        <w:pStyle w:val="TextoNormal"/>
      </w:pPr>
      <w:r>
        <w:t>Desde este prisma debe ser interpretado el artículo 6 de la Ley 40/2010 impugnada, precepto al que se remiten los párrafos 1 a) y 3 a) de su artículo 5, cuando dispone que “En el caso de que las labores sean incompatibles, definitiva o temporalmente, se determinará motivadamente la sustancia o recurso cuya explotación resulta de mayor interés. En última instancia, en ausencia de un interés prevalente, se dará prioridad al derecho de mayor antigüedad”. Ninguna de estas resoluciones puede ser alcanzada por la Administración estatal o la autonómica sin tomar en consideración los intereses públicos que son competencia de la otra Administración ni, por ende, sin contar con el intercambio de información, la emisión de informes o la reunión de órganos conjuntos que resultaren precisos. Sin embargo, si esos cauces de cooperación resultasen infructuosos, la jurisprudencia constitucional también ha afirmado que la decisión final corresponderá al titular de la competencia prevalente, sin que el Estado pueda “verse privado del ejercicio de sus competencias exclusivas por la existencia de una competencia, aunque también sea exclusiva, de una Comunidad Autónoma” (SSTC 77/1984, de 3 de julio, FJ 3; 56/1986, de 13 de mayo, FJ 3; 204/2002, de 31 de octubre, FJ 7, y 8/2016, de 21 de enero, FJ 2). Por consiguiente, la previsión legal de que la Administración del Estado debe ser quien dicte la resolución pertinente, en aquellos supuestos de concurrencia de derechos en que se encuentre en cuestión un permiso o concesión otorgado por ella, cuando no sea posible conseguir una solución con la que se muestre conforme la Comunidad Autónoma, no vulnera el orden constitucional de competencias. Todo ello sin perjuicio de que, eventualmente, los tribunales de justicia diriman cuál ha de ser el derecho preferente en atención a los criterios establecidos por la legislación minera en su conjunto.</w:t>
      </w:r>
    </w:p>
    <w:p w:rsidR="00A90898" w:rsidRDefault="00A90898" w:rsidP="00A90898">
      <w:pPr>
        <w:pStyle w:val="TextoNormal"/>
      </w:pPr>
    </w:p>
    <w:p w:rsidR="00A90898" w:rsidRDefault="00A90898" w:rsidP="00A90898">
      <w:pPr>
        <w:pStyle w:val="TextoNormal"/>
      </w:pPr>
      <w:r w:rsidRPr="00A90898">
        <w:rPr>
          <w:rStyle w:val="NumeroAFNegritaCaracter"/>
        </w:rPr>
        <w:t>14</w:t>
      </w:r>
      <w:r>
        <w:t>. Las competencias de la Comunidad Autónoma en materia de medio ambiente no llegan al extremo de impedir que el Estado deba velar, asimismo, por la protección medioambiental en el ejercicio de sus competencias. Esta idea elemental ha sido sostenida por la doctrina de este Tribunal en un amplio número de sentencias, cuya doctrina fue condensada por la STC 13/1998, de 22 de enero, cuando afirmó que todas las Administraciones públicas deben proteger el medio ambiente “cuando ejercen sus competencias sobre cualquiera de las obras, instalaciones u otras actividades de su competencia”, por lo que es conforme con el orden constitucional de competencias que la normativa “confíe la evaluación del impacto ambiental a la propia Administración que realiza o autoriza el proyecto de una obra, instalación o actividad que se encuentra sujeta a su competencia, a tenor del bloque de la constitucionalidad”. “La Administración estatal ejerce sus propias competencias sustantivas sobre la obra, la instalación o la actividad proyectada, aun cuando preceptivamente deba considerar su impacto medioambiental. No está ejecutando la legislación básica del medio ambiente. Ésta se agota en aprobar la norma que obliga a todas las Administraciones públicas a que, cuando actúan en el ejercicio de cualesquiera de sus competencias, ponderen y evalúen las repercusiones sobre el medio ambiente, minimizando y corrigiendo los daños causados a la población y al medio ambiente natural y cultural del territorio afectado por dicha actuación, cuando no renunciando a llevarla a cabo” (STC 13/1998, de 22 de enero, FFJJ 7 y 8; en el mismo sentido, entre otras muchas, SSTC 245/2012, de 18 de diciembre, FJ 22; 5/2013, de 17 de enero, FJ 3; 202/2013, de 5 de diciembre, FJ 3, y 57/2015, de 18 de marzo, FJ 4). Por ende, resulta constitucional que la Ley 40/2010 exija un informe o una declaración de impacto ambiental por parte del Ministerio de Medio Ambiente respecto a los permisos o concesiones otorgados por el Ministerio de Industria, sin perjuicio de los informes preceptivos que deben emitir las Comunidades Autónomas cuyo territorio pueda verse afectado por el almacenamiento de dióxido de carbono [artículos 5, párrafos 2 a) y 3 b), 9.6 y 11.6 Ley 40/2010, así como su disposición final segunda].</w:t>
      </w:r>
    </w:p>
    <w:p w:rsidR="00A90898" w:rsidRDefault="00A90898" w:rsidP="00A90898">
      <w:pPr>
        <w:pStyle w:val="TextoNormal"/>
      </w:pPr>
    </w:p>
    <w:p w:rsidR="00A90898" w:rsidRDefault="00A90898" w:rsidP="00A90898">
      <w:pPr>
        <w:pStyle w:val="TextoNormal"/>
      </w:pPr>
      <w:r w:rsidRPr="00A90898">
        <w:rPr>
          <w:rStyle w:val="NumeroAFNegritaCaracter"/>
        </w:rPr>
        <w:t>15</w:t>
      </w:r>
      <w:r>
        <w:t>. Quedaría, por último, examinar una de las quejas subsidiarias alegadas por la parte recurrente que considera que no son constitucionales las diversas remisiones que la Ley 40/2010 efectúa a un desarrollo reglamentario estatal: concretamente, sobre las condiciones necesarias para el desarrollo de redes auxiliares de transporte (art. 1.3) y de las medidas necesarias para garantizar el acceso de los usuarios potenciales a las redes de transporte y a los lugares de almacenamiento y su régimen retributivo (art. 26.1 y 3). Para el Consejo de Gobierno de Aragón las bases de competencia del Estado deben ser establecidas en normas con rango de ley, requisito que no se cumple en ninguno de los casos señalados. Por añadidura, aun cuando la jurisprudencia constitucional admita excepcionalmente la existencia de bases con rango reglamentario, resulta excesivo que sean aprobadas, no por el Gobierno de la Nación, sino por una mera Orden Ministerial, tal y como prevé el artículo 26.3 de la Ley 40/2010 para determinar el régimen retributivo de las redes de transporte.</w:t>
      </w:r>
    </w:p>
    <w:p w:rsidR="00A90898" w:rsidRDefault="00A90898" w:rsidP="00A90898">
      <w:pPr>
        <w:pStyle w:val="TextoNormal"/>
      </w:pPr>
    </w:p>
    <w:p w:rsidR="00A90898" w:rsidRDefault="00A90898" w:rsidP="00A90898">
      <w:pPr>
        <w:pStyle w:val="TextoNormal"/>
      </w:pPr>
      <w:r>
        <w:t xml:space="preserve">Para responder a la queja alegada, debemos reiterar nuestra doctrina que establece que si bien el concepto constitucional de las bases estatales incluye, desde luego, la fijación por las instituciones generales de Estado de los “principios o mínimo común normativo” de una materia en normas con rango de ley; contenido éste que es el que “mejor se acomoda a la función estructural y homogeneizadora de las bases y ésta la forma normativa que, por razones de estabilidad y certeza, le resulta más adecuada” (por todas, SSTC 69/1988, de 19 de abril, FJ 5, y 31/2010, FJ 60). Sin embargo, es doctrina constitucional que “también es </w:t>
      </w:r>
      <w:r>
        <w:lastRenderedPageBreak/>
        <w:t>posible predicar el carácter básico de normas reglamentarias y de actos de ejecución del Estado (STC 235/1999, de 16 de diciembre), y son factibles en las bases un alcance diferente en función del subsector de la materia sobre la que se proyecten (SSTC 50/1999, de 6 de abril y 147/1991, de 4 de julio, respectivamente). Así como excepción al principio de ley formal el Gobierno puede hacer uso de la potestad reglamentaria, para regular por norma reglamentaria alguno de los preceptos básicos de una materia, cuando resulten, por la competencia de ésta, complemento necesario para garantizar el fin a que responde la competencia sobre las bases (STC 98/2001, de 5 de abril, FJ 7, con cita de la STC 69/1988, de 19 de abril, FJ5)” (STC 14/2004, de 13 de febrero, FJ 11). En definitiva, se ha aceptado que las normas básicas sean de rango reglamentario siempre que tengan una conexión clara con una norma legal y que la remisión a la norma reglamentaria se justifique por la naturaleza de la materia (STC 8/2012, de 18 de enero, FJ 6).</w:t>
      </w:r>
    </w:p>
    <w:p w:rsidR="00A90898" w:rsidRDefault="00A90898" w:rsidP="00A90898">
      <w:pPr>
        <w:pStyle w:val="TextoNormal"/>
      </w:pPr>
    </w:p>
    <w:p w:rsidR="00A90898" w:rsidRDefault="00A90898" w:rsidP="00A90898">
      <w:pPr>
        <w:pStyle w:val="TextoNormal"/>
      </w:pPr>
      <w:r>
        <w:t>En el presente supuesto, referido al ejercicio del título sobre las bases del régimen minero (art. 149.1.25 CE), la intervención de la norma reglamentaria se encuentra amparada en la necesidad de completar la regulación de la disciplina básica definida en la norma legal y en el carácter marcadamente técnico de la materia (STC 4/2013, FJ 5), concretamente se trataría de la regulación de las condiciones necesarias para el desarrollo de redes auxiliares de transporte (art. 1.3) y de las medidas necesarias para garantizar el acceso de los usuarios potenciales a las redes de transporte y a los lugares de almacenamiento y su régimen retributivo (art. 26.1 y 3). Así, en el presente supuesto la remisión a las normas reglamentarias para regular materias básicas no puede reputarse sin más inconstitucional.</w:t>
      </w:r>
    </w:p>
    <w:p w:rsidR="00A90898" w:rsidRDefault="00A90898" w:rsidP="00A90898">
      <w:pPr>
        <w:pStyle w:val="TextoNormal"/>
      </w:pPr>
    </w:p>
    <w:p w:rsidR="00A90898" w:rsidRDefault="00A90898" w:rsidP="00A90898">
      <w:pPr>
        <w:pStyle w:val="TextoNormal"/>
      </w:pPr>
      <w:r>
        <w:t>En lo que se refiere a la constitucionalidad de la atribución al Ministerio de Industria, Turismo y Comercio para que, por vía reglamentaria, pueda establecer las medidas necesarias para garantizar el acceso de los usuarios potenciales a las redes de transporte y a los lugares de almacenamiento, así como al establecimiento del régimen retributivo de las redes de transporte, a que se refieren los apartados 1 y 3 del art. 26 de la Ley 40/2010, cabe afirmar que lo términos en que se realiza la misma no son incondicionados, por lo que a priori tal remisión no se opone a nuestra doctrina; aquellos apartados establecen la cautela de que “reglamentariamente podrán precisarse las medidas necesarias para garantizar el cumplimiento de lo previsto en este artículo” (apartado 1) y que “el régimen retributivo de las redes de transporte será determinado por el Ministerio de Industria, Turismo y Comercio, previo acuerdo de la Comisión Delegada del Gobierno para Asuntos Económicos, de la forma que reglamentariamente se establezca” (apartado 3).</w:t>
      </w:r>
    </w:p>
    <w:p w:rsidR="00A90898" w:rsidRDefault="00A90898" w:rsidP="00A90898">
      <w:pPr>
        <w:pStyle w:val="TextoNormal"/>
      </w:pPr>
    </w:p>
    <w:p w:rsidR="00A90898" w:rsidRDefault="00A90898" w:rsidP="00A90898">
      <w:pPr>
        <w:pStyle w:val="TextoNormal"/>
      </w:pPr>
      <w:r>
        <w:t>Así, hemos aceptado que, en el ámbito de lo básico, las normas legales que establezcan las bases de la regulación pueden venir complementadas por otras reglamentarias que resulten necesarias para garantizar el fin al que respondan las competencias que se ejercitan, siempre que guarden una conexión con aquéllas y que la remisión reglamentaria se justifique por razón de la materia.</w:t>
      </w:r>
    </w:p>
    <w:p w:rsidR="00A90898" w:rsidRDefault="00A90898" w:rsidP="00A90898">
      <w:pPr>
        <w:pStyle w:val="TextoNormal"/>
      </w:pPr>
    </w:p>
    <w:p w:rsidR="00A90898" w:rsidRDefault="00A90898" w:rsidP="00A90898">
      <w:pPr>
        <w:pStyle w:val="TextoNormal"/>
      </w:pPr>
      <w:r>
        <w:t xml:space="preserve">Pues bien, en los dos apartados del artículo 26 impugnados se contiene la normativa básica, pues en el primero de los casos la remisión a la norma reglamentaria sirve para regular con detalle cómo hayan de ser aquellas medidas que, en cada supuesto específico, regulen el acceso de los usuarios a las diferentes redes de transporte y de almacenamiento, mientras que en el segundo la remisión a una norma reglamentaria se circunscribe a que, por dicha vía normativa, se regule, también de modo detallado, el régimen específico de retribuciones </w:t>
      </w:r>
      <w:r>
        <w:lastRenderedPageBreak/>
        <w:t>para las diferentes redes de transporte y de almacenamiento que se instalen. En consecuencia, para ambas situaciones, la remisión a la vía reglamentaria no excede del mero complemento a unos presupuestos básicos fijados en el precepto legal que delimitan el ámbito de actuación de la Administración del Estado; la remisión a la vía reglamentaria no tiene otra finalidad que la de establecer el marco aplicativo para los diferentes sistemas de redes de transporte y de almacenamiento instalados o que puedan instalarse en el territorio nacional.</w:t>
      </w:r>
    </w:p>
    <w:p w:rsidR="00A90898" w:rsidRDefault="00A90898" w:rsidP="00A90898">
      <w:pPr>
        <w:pStyle w:val="TextoNormal"/>
      </w:pPr>
    </w:p>
    <w:p w:rsidR="00A90898" w:rsidRDefault="00A90898" w:rsidP="00A90898">
      <w:pPr>
        <w:pStyle w:val="TextoNormal"/>
      </w:pPr>
      <w:r>
        <w:t>La alusión que en el recurso se hace a que la remisión a la norma reglamentaria lo pueda ser finalmente y de modo directo a una orden ministerial dictada por el Ministerio de Industria, Comercio y Turismo, no pasa de ser una mera afirmación que únicamente podrá advertirse en el momento en que se haya producido el completo desarrollo reglamentario de los preceptos ahora impugnados, lo que no ha tenido lugar al tiempo de ser dictada esta sentencia; sólo a partir del momento de la publicación de la hipotética Orden sería posible apreciar el cumplimiento o no de nuestra doctrina. Por tanto, la eventual inconstitucionalidad que pudiera apreciarse por un desarrollo de los mandatos legislativos, mediante una orden ministerial y no a través de un previo real decreto, habría que referirla a esta última disposición, pero no a las normas legales ahora impugnadas.</w:t>
      </w:r>
    </w:p>
    <w:p w:rsidR="00A90898" w:rsidRDefault="00A90898" w:rsidP="00A90898">
      <w:pPr>
        <w:pStyle w:val="TextoNormal"/>
      </w:pPr>
    </w:p>
    <w:p w:rsidR="00A90898" w:rsidRDefault="00A90898" w:rsidP="00A90898">
      <w:pPr>
        <w:pStyle w:val="TextoNormal"/>
      </w:pPr>
      <w:r>
        <w:t>Por todo ello, procede desestimar el recurso en lo que se refiere a los apartados 1 y 3 del art. 26 de la Ley 40/2010.</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recurso de inconstitucionalidad interpuesto por el Gobierno de Aragón contra diversos preceptos de la Ley 40/2010, de 29 de diciembre, de almacenamiento geológico de dióxido de carbono.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seis de octubre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el recurso de inconstitucionalidad núm. 1870-2011, al que se adhiere el Magistrado don Juan Antonio Xiol Ríos.</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la mayoría del Tribunal, expreso mi discrepancia con parte de la fundamentación jurídica de la Sentencia y, en consecuencia, con el fallo.</w:t>
      </w:r>
    </w:p>
    <w:p w:rsidR="00A90898" w:rsidRDefault="00A90898" w:rsidP="00A90898">
      <w:pPr>
        <w:pStyle w:val="TextoNormal"/>
      </w:pPr>
    </w:p>
    <w:p w:rsidR="00A90898" w:rsidRDefault="00A90898" w:rsidP="00A90898">
      <w:pPr>
        <w:pStyle w:val="TextoNormal"/>
      </w:pPr>
      <w:r>
        <w:t xml:space="preserve">Comparto el encuadramiento competencial de la Ley impugnada en la materia de régimen minero que efectúa la Sentencia en los fundamentos jurídicos 5 a 8. Mi discrepancia se ciñe a los fundamentos jurídicos 10 a 12, en los que se rechaza la impugnación principal de </w:t>
      </w:r>
      <w:r>
        <w:lastRenderedPageBreak/>
        <w:t>la entidad recurrente, referida a la asunción estatal de diversas facultades ejecutivas relacionadas con la concesión de almacenamiento. En mi opinión, la Sentencia debió haber estimado el presente recurso de inconstitucionalidad por lo que se refiere a los correspondientes artículos impugnados de la Ley 40/2010, de 29 de diciembre, de almacenamiento geológico de dióxido de carbono.</w:t>
      </w:r>
    </w:p>
    <w:p w:rsidR="00A90898" w:rsidRDefault="00A90898" w:rsidP="00A90898">
      <w:pPr>
        <w:pStyle w:val="TextoNormal"/>
      </w:pPr>
    </w:p>
    <w:p w:rsidR="00A90898" w:rsidRDefault="00A90898" w:rsidP="00A90898">
      <w:pPr>
        <w:pStyle w:val="TextoNormal"/>
      </w:pPr>
      <w:r>
        <w:t>1. La distribución de competencias en la materia “régimen minero” es clara. Al Estado le corresponde la legislación básica (art. 149.1.25 CE) y a las Comunidades Autónomas su desarrollo legislativo y la ejecución de la legislación básica y de la legislación autonómica que la desarrolle. Dado que la Comunidad Autónoma de Aragón no impugna la regulación sustantiva contenida en la Ley 40/2010, sino solo las facultades que la Ley impugnada reserva a la Administración General del Estado para su ejecución, bastaría haber comprobado el carácter ejecutivo de las facultades controvertidas para concluir que su titularidad debe corresponder a las Comunidades Autónomas. Un marco de distribución competencial que, como recuerda la entidad recurrente, fue aplicado sin problemas hasta la entrada en vigor de la Ley 40/2010.</w:t>
      </w:r>
    </w:p>
    <w:p w:rsidR="00A90898" w:rsidRDefault="00A90898" w:rsidP="00A90898">
      <w:pPr>
        <w:pStyle w:val="TextoNormal"/>
      </w:pPr>
    </w:p>
    <w:p w:rsidR="00A90898" w:rsidRDefault="00A90898" w:rsidP="00A90898">
      <w:pPr>
        <w:pStyle w:val="TextoNormal"/>
      </w:pPr>
      <w:r>
        <w:t>En lugar de un enfoque plenamente ajustado al orden constitucional de distribución de competencias (que se despacha con displicencia como aplicación “literal” de la “regla general”), la Sentencia avala, en los fundamentos jurídicos 10 a 12, un reparto competencial distinto diseñado por el legislador básico, que desapodera casi completamente a las Comunidades Autónomas de sus facultades ejecutivas en este ámbito.</w:t>
      </w:r>
    </w:p>
    <w:p w:rsidR="00A90898" w:rsidRDefault="00A90898" w:rsidP="00A90898">
      <w:pPr>
        <w:pStyle w:val="TextoNormal"/>
      </w:pPr>
    </w:p>
    <w:p w:rsidR="00A90898" w:rsidRDefault="00A90898" w:rsidP="00A90898">
      <w:pPr>
        <w:pStyle w:val="TextoNormal"/>
      </w:pPr>
      <w:r>
        <w:t>De acuerdo con nuestra doctrina, debe existir una justificación convincente de la asunción estatal de competencias ejecutivas en una materia que, en principio, corresponde a las Comunidades Autónomas (por todas, STC 223/2012, de 29 de noviembre, FJ 7). Cuando, además, el legislador básico pretende alterar casi por completo la regla ordinaria de la competencia ejecutiva autonómica para una materia o una legislación determinada, que se ha aplicado pacíficamente con anterioridad, considero que la justificación debe ser especialmente poderosa.</w:t>
      </w:r>
    </w:p>
    <w:p w:rsidR="00A90898" w:rsidRDefault="00A90898" w:rsidP="00A90898">
      <w:pPr>
        <w:pStyle w:val="TextoNormal"/>
      </w:pPr>
    </w:p>
    <w:p w:rsidR="00A90898" w:rsidRDefault="00A90898" w:rsidP="00A90898">
      <w:pPr>
        <w:pStyle w:val="TextoNormal"/>
      </w:pPr>
      <w:r>
        <w:t>2. A continuación comenzaré indicando qué tipo de razones han sido consideradas válidas por este Tribunal para justificar la asunción estatal de competencias ejecutivas que, en principio, corresponden a las Comunidades Autónomas. Posteriormente examinaré las que aduce la presente Sentencia.</w:t>
      </w:r>
    </w:p>
    <w:p w:rsidR="00A90898" w:rsidRDefault="00A90898" w:rsidP="00A90898">
      <w:pPr>
        <w:pStyle w:val="TextoNormal"/>
      </w:pPr>
    </w:p>
    <w:p w:rsidR="00A90898" w:rsidRDefault="00A90898" w:rsidP="00A90898">
      <w:pPr>
        <w:pStyle w:val="TextoNormal"/>
      </w:pPr>
      <w:r>
        <w:t xml:space="preserve">a) Uno de los supuestos excepcionales en los que, según nuestra doctrina, resulta justificado el ejercicio por el Estado de una competencia de ejecución que no le está atribuida por el bloque de constitucionalidad es cuando la realización de actos ejecutivos singulares sea necesaria para preservar la integridad de lo básico y garantizar la consecución de los fines inherentes a la regulación básica (SSTC 48/1988, de 22 de marzo, FFJJ 3, 10 y 26; 133/1997, de 16 de julio, FJ 12, y 235/1999, de 20 de diciembre, FFJJ 6, 7, 8, 10 y 11, todas ellas en relación con las funciones de autorización, supervisión e inspección atribuidas al Banco de España, que requieren un juicio técnico y protegen el interés supraautonómico de la estabilidad del sistema financiero en su conjunto; STC 329/1993, de 12 de noviembre, FJ 4, relativa a la posibilidad excepcional, para evitar daños irreparables, de una intervención estatal frente a una contaminación de dimensión supraautonómica; y STC 102/1995, de 26 de junio, FJ 25, en relación con la actividad estatal de inscripción registral en un catálogo nacional </w:t>
      </w:r>
      <w:r>
        <w:lastRenderedPageBreak/>
        <w:t>de especies amenazadas). Otro de los supuestos excepcionales consiste en que la actividad pública no admita fraccionamiento (por todas, SSTC 194/2011, de 13 de diciembre, FJ 5, y 22/2014, de 13 de febrero, FJ 2).</w:t>
      </w:r>
    </w:p>
    <w:p w:rsidR="00A90898" w:rsidRDefault="00A90898" w:rsidP="00A90898">
      <w:pPr>
        <w:pStyle w:val="TextoNormal"/>
      </w:pPr>
    </w:p>
    <w:p w:rsidR="00A90898" w:rsidRDefault="00A90898" w:rsidP="00A90898">
      <w:pPr>
        <w:pStyle w:val="TextoNormal"/>
      </w:pPr>
      <w:r>
        <w:t>Ninguna de las anteriores líneas argumentativas resulta aplicable al presente supuesto. Probablemente consciente de nuestra doctrina constitucional, el legislador se puso la venda antes de la herida y en el preámbulo de la norma impugnada esgrimió diversas razones de orden económico para justificar la asunción estatal de competencias, que giran en torno al favorecimiento del cambio de modelo energético que garantizase un desarrollo económico sostenible. Como ya he indicado, la Sentencia de la que discrepo rechaza con contundencia y solidez el encuadramiento de la Ley impugnada en la materia económica. Sin embargo, no es coherente a la hora de extraer las consecuencias competenciales pertinentes del encuadramiento en la materia minera. En lugar de aplicar la regla de la competencia ejecutiva autonómica que deriva de dicho encuadramiento, la Sentencia se lanza a la búsqueda de argumentos que justifiquen una notable alteración de esa regla. A mi juicio, ninguno de los argumentos aducidos es adecuado.</w:t>
      </w:r>
    </w:p>
    <w:p w:rsidR="00A90898" w:rsidRDefault="00A90898" w:rsidP="00A90898">
      <w:pPr>
        <w:pStyle w:val="TextoNormal"/>
      </w:pPr>
    </w:p>
    <w:p w:rsidR="00A90898" w:rsidRDefault="00A90898" w:rsidP="00A90898">
      <w:pPr>
        <w:pStyle w:val="TextoNormal"/>
      </w:pPr>
      <w:r>
        <w:t xml:space="preserve">b) Algunos de los argumentos son especialmente endebles: 1) el carácter de “tecnología novedosa, que se encuentra en proceso de experimentación y desarrollo” y la necesidad de “tener una visión completa de la nueva tecnología” constituyen curiosos argumentos para soslayar la distribución competencial; 2) el que los Estados miembros de la Unión Europea tengan competencia para decidir las zonas en las que podrán situarse los emplazamientos de almacenamiento y que España haya renunciado a fijar tales zonas, son elementos normativos del modelo implantado irrelevantes para determinar la titularidad de las facultades ejecutivas resultantes; 3) el que, de acuerdo con el Derecho de la Unión, el Estado miembro asuma la responsabilidad directa derivada del almacenamiento del dióxido de carbono de forma indefinida al cabo de veinte años no supone impedimento alguno para el ejercicio autonómico ordinario de las facultades ejecutivas, pues las Comunidades Autónomas son también, a todos los efectos, Estado; 4) la necesidad de establecer un tratamiento unitario frente a los riesgos asociados para la seguridad colectiva no es más que una consideración genérica. La comparación con la regulación estatal del </w:t>
      </w:r>
      <w:r w:rsidRPr="00A90898">
        <w:rPr>
          <w:i/>
        </w:rPr>
        <w:t>fracking</w:t>
      </w:r>
      <w:r>
        <w:t xml:space="preserve"> corrobora la debilidad de esos argumentos. El </w:t>
      </w:r>
      <w:r w:rsidRPr="00A90898">
        <w:rPr>
          <w:i/>
        </w:rPr>
        <w:t>fracking</w:t>
      </w:r>
      <w:r>
        <w:t xml:space="preserve"> es también una técnica novedosa y discutida, con importantes riesgos para la seguridad colectiva, y, sin embargo, no motivó una alteración de la distribución competencial. El legislador estatal puede utilizar —como ha hecho— sus bases para condicionar el contenido y la forma de ejercer las competencias ejecutivas que corresponden a las Comunidades Autónomas: si opta por no excluir zona alguna para el almacenamiento geológico (al igual que hizo con el </w:t>
      </w:r>
      <w:r w:rsidRPr="00A90898">
        <w:rPr>
          <w:i/>
        </w:rPr>
        <w:t>fracking</w:t>
      </w:r>
      <w:r>
        <w:t>) y por no endurecer los requisitos ambientales, ¿qué relevancia puede tener su carácter novedoso para excluir el ejercicio autonómico de las competencias ejecutivas?</w:t>
      </w:r>
    </w:p>
    <w:p w:rsidR="00A90898" w:rsidRDefault="00A90898" w:rsidP="00A90898">
      <w:pPr>
        <w:pStyle w:val="TextoNormal"/>
      </w:pPr>
    </w:p>
    <w:p w:rsidR="00A90898" w:rsidRDefault="00A90898" w:rsidP="00A90898">
      <w:pPr>
        <w:pStyle w:val="TextoNormal"/>
      </w:pPr>
      <w:r>
        <w:t xml:space="preserve">c) Tampoco resulta relevante que la regulación cuya ejecución se controvierte en este proceso constituya un cuerpo normativo específico, extramuros de la Ley de minas, pues se trata de una cuestión puramente formal y que, además, la propia Sentencia se encarga de relativizar en diversas ocasiones, por ejemplo al afirmar que la Ley 40/2010 “precisa y desarrolla las normas generales de minería que rigen en España a la nueva tecnología” o que se trata de “normas sustantivas sobre el régimen de uso de los yacimientos minerales y demás recursos geológicos que forman el demanio minero” (FJ 5). De hecho, en diversos Estados miembros de la Unión Europea la Directiva 2009/31/CE no ha sido transpuesta mediante </w:t>
      </w:r>
      <w:r>
        <w:lastRenderedPageBreak/>
        <w:t>una ley específica, sino mediante la incorporación de las exigencias europeas a la legislación interna que se ocupa del fenómeno, sea la minera, la de hidrocarburos o la ambiental. Por lo demás, las propias indicaciones de la Sentencia antes mencionadas son suficientes para descartar la analogía con el sector nuclear que se esgrime también como argumento a favor de la competencia estatal, pues la problemática de la gestión de los residuos radioactivos no es equiparable a la del almacenamiento de dióxido de carbono.</w:t>
      </w:r>
    </w:p>
    <w:p w:rsidR="00A90898" w:rsidRDefault="00A90898" w:rsidP="00A90898">
      <w:pPr>
        <w:pStyle w:val="TextoNormal"/>
      </w:pPr>
    </w:p>
    <w:p w:rsidR="00A90898" w:rsidRDefault="00A90898" w:rsidP="00A90898">
      <w:pPr>
        <w:pStyle w:val="TextoNormal"/>
      </w:pPr>
      <w:r>
        <w:t>d) Más fuerza persuasiva podría tener, en principio, el argumento relativo a la supuesta dimensión supraterritorial del fenómeno regulado. La Sentencia aduce que las concesiones de almacenamiento “no constituyen sino la última fase de un proceso más complejo que se pretende promover a través de la implantación de la nueva tecnología regulada” y que “es indispensable tomar en consideración la interconexión que se debe producir entre los lugares de almacenamiento, las redes de transporte y las instalaciones de captura”. El argumento se completa con dos ideas: por un lado, las redes de transporte “pueden tener una clara dimensión supraterritorial e incluso supranacional”; y, por otro, la dimensión territorial se reflejaría en las grandes instalaciones de combustión de competencia estatal, cuyo establecimiento vendría asociado a la obtención de concesiones de almacenamiento.</w:t>
      </w:r>
    </w:p>
    <w:p w:rsidR="00A90898" w:rsidRDefault="00A90898" w:rsidP="00A90898">
      <w:pPr>
        <w:pStyle w:val="TextoNormal"/>
      </w:pPr>
    </w:p>
    <w:p w:rsidR="00A90898" w:rsidRDefault="00A90898" w:rsidP="00A90898">
      <w:pPr>
        <w:pStyle w:val="TextoNormal"/>
      </w:pPr>
      <w:r>
        <w:t>Sin embargo, esa fundamentación no puede ser determinante. Su principal problema es que no atiende a las concretas facultades ejecutivas objeto de la disputa competencial, que no son más que las relativas al almacenamiento de dióxido de carbono. Además, la Ley ni siquiera regula propiamente las redes de transporte o las instalaciones de captura. Su regulación se centra en un determinado tipo de almacenamiento de carbono. Cuando se establezcan disposiciones específicas sobre las redes de transporte o las instalaciones de captura, se podrá determinar a quién le corresponde su aplicación, atendiendo a sus características. Las redes de transporte podrán tener dimensión supracomunitaria o no, tal como ocurre con el transporte de energía eléctrica, respecto al cual la Constitución proclama un criterio claro de reparto competencial (art. 149.1.22 CE). Asimismo, no se comprende por qué la autorización estatal de una determinada instalación productora de dióxido de carbono ha de condicionar la autoridad competente para otorgar la concesión para almacenar el dióxido de carbono producido; las grandes instalaciones de combustión ni siquiera están obligadas a capturar y almacenar el dióxido de carbono producido, por lo que la vinculación que establece la Sentencia entre su autorización y la concesión de almacenamiento, no es real actualmente. Y, en todo, caso, el argumento solo valdría para las concesiones de almacenamientos vinculadas al dióxido de carbono producido y capturado por las grandes instalaciones de combustión, no para el conjunto de las concesiones, como prevé la norma impugnada.</w:t>
      </w:r>
    </w:p>
    <w:p w:rsidR="00A90898" w:rsidRDefault="00A90898" w:rsidP="00A90898">
      <w:pPr>
        <w:pStyle w:val="TextoNormal"/>
      </w:pPr>
    </w:p>
    <w:p w:rsidR="00A90898" w:rsidRDefault="00A90898" w:rsidP="00A90898">
      <w:pPr>
        <w:pStyle w:val="TextoNormal"/>
      </w:pPr>
      <w:r>
        <w:t xml:space="preserve">e) Las demás facultades ejecutivas controvertidas, distintas del otorgamiento de la concesión de almacenamiento, deberían haber seguido igualmente la regla de la titularidad autonómica. La Sentencia de la que disiento reconoce la titularidad estatal sobre ellas de forma muy genérica, casi apodíctica, al final del fundamento jurídico 12. Los argumentos que se exponen allí no resultan tampoco convincentes. Por un lado, la circunstancia de que una investigación se proyecte sobre el territorio de más de una Comunidad Autónoma no justifica la competencia estatal para otorgar el correspondiente permiso. El objeto del permiso, la investigación, es una actividad perfectamente fraccionable y también ha de serlo la actividad de otorgamiento de los correspondientes permisos. El estudio de conjunto al que alude la Sentencia deberá ser el resultado de reunir y valorar toda la información recogida en las diversas Comunidades Autónomas que se quieran investigar. El otorgamiento de un permiso </w:t>
      </w:r>
      <w:r>
        <w:lastRenderedPageBreak/>
        <w:t>único no es requisito imprescindible para poder realizar ese estudio de conjunto. Por otro lado, la garantía del acceso a los lugares de almacenamiento en términos transparentes y no discriminatorios no justifica la competencia estatal sobre esa potestad: frente a lo que afirma la Sentencia ni es una potestad vinculada a la efectividad de las normas básicas establecidas en la Ley, ni la garantía de estas requiere que dicha potestad sea ejercida por los órganos centrales del Estado.</w:t>
      </w:r>
    </w:p>
    <w:p w:rsidR="00A90898" w:rsidRDefault="00A90898" w:rsidP="00A90898">
      <w:pPr>
        <w:pStyle w:val="TextoNormal"/>
      </w:pPr>
    </w:p>
    <w:p w:rsidR="00A90898" w:rsidRDefault="00A90898" w:rsidP="00A90898">
      <w:pPr>
        <w:pStyle w:val="TextoNormal"/>
      </w:pPr>
      <w:r>
        <w:t>Por todo ello, a mi juicio, la Sentencia debió haber concluido que, dentro de su territorio, corresponde a la Comunidad Autónoma de Aragón la titularidad de las facultades ejecutivas en materia de almacenamiento de dióxido de carbono en estructuras subterráneas. Facultades indebidamente atribuidas al Estado por la Ley 40/2010, lo que debería haber determinado que los preceptos correspondientes fueran declarados contrarios al orden constitucional de distribución de competencias y, por tanto, inconstitucionales y nulos.</w:t>
      </w:r>
    </w:p>
    <w:p w:rsidR="00A90898" w:rsidRDefault="00A90898" w:rsidP="00A90898">
      <w:pPr>
        <w:pStyle w:val="TextoNormal"/>
      </w:pPr>
    </w:p>
    <w:p w:rsidR="00A90898" w:rsidRDefault="00A90898" w:rsidP="00A90898">
      <w:pPr>
        <w:pStyle w:val="TextoNormal"/>
      </w:pPr>
      <w:r>
        <w:t>3. En el Voto particular formulado a la STC 107/2014, de 26 de junio, manifesté mi discrepancia con la generalización acrítica e incondicionada de la línea jurisprudencial que admite excepcionalmente la adopción de actos de ejecución como parte de lo básico, fuera del ámbito y de las razones por las cuales se desarrolló originalmente. Tal como he indicado más arriba, se trata de una línea jurisprudencial originalmente desarrollada para justificar el ejercicio de facultades ejecutivas concretas por organismos muy específicos como el Banco de España, esto es, en el ámbito de las “bases de la ordenación de crédito, banca y seguros” (art. 149.1.11 CE). Posteriormente se reformuló en la STC 31/2010, de 28 de junio, FJ 60, en unos términos tan generales e incondicionales que han provocado incorrectamente, a mi juicio, el entendimiento de que la competencia estatal sobre las bases incluye con toda naturalidad la posibilidad de dictar actos de ejecución en cualquier materia. Esta es la formulación extensiva de una línea jurisprudencial, inicialmente excepcional y acotada a ciertas materias, a la que se acoge la presente Sentencia. Como afirmé en el Voto particular antes mencionado, “esa doctrina lleva camino de dejar de ser excepcional dando lugar a una alteración de la distribución competencial”. Como se comprueba con el análisis de la presente y de otras Sentencias recientes, ese particular entendimiento conduce a una importante alteración de las reglas de distribución competencial que derivan del bloque de constitucionalidad y produce, en consecuencia, un preocupante efecto corrosivo sobre las competencias de ejecución de las Comunidades Autónomas, cuyo ámbito competencial se va reduciendo progresivamente. En el presente supuesto, la aplicación de la citada doctrina por este Tribunal no sirve para justificar que los órganos centrales del Estado adopten concretos actos singulares de ejecución en situaciones precisas, sino que llega hasta el extremo de producir una drástica ablación de casi la totalidad de las facultades ejecutivas de las Comunidades Autónomas relativas al almacenamiento geológico de dióxido de carbono.</w:t>
      </w:r>
    </w:p>
    <w:p w:rsidR="00A90898" w:rsidRDefault="00A90898" w:rsidP="00A90898">
      <w:pPr>
        <w:pStyle w:val="TextoNormal"/>
      </w:pPr>
    </w:p>
    <w:p w:rsidR="00A90898" w:rsidRDefault="00A90898" w:rsidP="00A90898">
      <w:pPr>
        <w:pStyle w:val="TextoNormal"/>
      </w:pPr>
      <w:r>
        <w:t>Y en tal sentido emito este Voto particular.</w:t>
      </w:r>
    </w:p>
    <w:p w:rsidR="00A90898" w:rsidRDefault="00A90898" w:rsidP="00A90898">
      <w:pPr>
        <w:pStyle w:val="TextoNormal"/>
      </w:pPr>
    </w:p>
    <w:p w:rsidR="00A90898" w:rsidRDefault="00A90898" w:rsidP="00A90898">
      <w:pPr>
        <w:pStyle w:val="TextoNormal"/>
      </w:pPr>
      <w:r>
        <w:t>Madrid, a seis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5" w:name="SENTENCIA_2016_166"/>
      <w:r>
        <w:lastRenderedPageBreak/>
        <w:t>SENTENCIA 166/2016, de 6 de octubre de 2016</w:t>
      </w:r>
    </w:p>
    <w:bookmarkEnd w:id="45"/>
    <w:p w:rsidR="00A90898" w:rsidRDefault="00A90898" w:rsidP="00A90898">
      <w:pPr>
        <w:pStyle w:val="TtuloResolucin"/>
      </w:pPr>
      <w:r>
        <w:t>Pleno</w:t>
      </w:r>
    </w:p>
    <w:p w:rsidR="00A90898" w:rsidRDefault="00A90898" w:rsidP="00A90898">
      <w:pPr>
        <w:pStyle w:val="TtuloBOE"/>
      </w:pPr>
      <w:r>
        <w:t>(BOE núm. 276, de 15 de noviembre de 2016)</w:t>
      </w:r>
    </w:p>
    <w:p w:rsidR="00A90898" w:rsidRDefault="00A90898" w:rsidP="00A90898">
      <w:pPr>
        <w:pStyle w:val="TextoNormalCentrado"/>
      </w:pPr>
      <w:r>
        <w:t>ECLI:ES:TC:2016:166</w:t>
      </w:r>
    </w:p>
    <w:p w:rsidR="00A90898" w:rsidRDefault="00A90898" w:rsidP="00A90898">
      <w:pPr>
        <w:pStyle w:val="TextoNormalCentrado"/>
      </w:pPr>
    </w:p>
    <w:p w:rsidR="00A90898" w:rsidRDefault="00A90898" w:rsidP="00A90898">
      <w:pPr>
        <w:pStyle w:val="SntesisDescriptiva"/>
      </w:pPr>
      <w:r>
        <w:t>Recurso de amparo 5886-2012. Promovido por la entidad Hércules Club de Fútbol, Sociedad Anónima Deportiva, respecto de las resoluciones dictadas por un Juzgado de lo Social de Alicante y el Tribunal Superior de Justicia de la Comunidad Valenciana en proceso por despido.</w:t>
      </w:r>
    </w:p>
    <w:p w:rsidR="00A90898" w:rsidRDefault="00A90898" w:rsidP="00A90898">
      <w:pPr>
        <w:pStyle w:val="SntesisDescriptiva"/>
      </w:pPr>
    </w:p>
    <w:p w:rsidR="00A90898" w:rsidRDefault="00A90898" w:rsidP="00A90898">
      <w:pPr>
        <w:pStyle w:val="SntesisAnaltica"/>
      </w:pPr>
      <w:r>
        <w:t>Supuesta vulneración del derecho a la tutela judicial efectiva (acceso al recurso): inadmisión de recurso de suplicación fundada en el incumplimiento del requisito de consignación de la cantidad objeto de condena.</w:t>
      </w:r>
    </w:p>
    <w:p w:rsidR="00A90898" w:rsidRDefault="00A90898" w:rsidP="00A90898">
      <w:pPr>
        <w:pStyle w:val="SntesisAnaltica"/>
      </w:pPr>
    </w:p>
    <w:p w:rsidR="00A90898" w:rsidRDefault="00A90898" w:rsidP="00A90898">
      <w:pPr>
        <w:pStyle w:val="Extracto"/>
      </w:pPr>
      <w:r>
        <w:t>1.</w:t>
      </w:r>
      <w:r>
        <w:tab/>
        <w:t>La decisión judicial de no tramitar el recurso de suplicación promovido contra la Sentencia del Juzgado de lo Social,  por no haberse cumplido el requisito de la consignación de las cantidades objeto de condena, no puede tildarse de irrazonable, arbitraria o incursa en error patente [FJ 5].</w:t>
      </w:r>
    </w:p>
    <w:p w:rsidR="00A90898" w:rsidRDefault="00A90898" w:rsidP="00A90898">
      <w:pPr>
        <w:pStyle w:val="Extracto"/>
      </w:pPr>
    </w:p>
    <w:p w:rsidR="00A90898" w:rsidRDefault="00A90898" w:rsidP="00A90898">
      <w:pPr>
        <w:pStyle w:val="Extracto"/>
      </w:pPr>
      <w:r>
        <w:t>2.</w:t>
      </w:r>
      <w:r>
        <w:tab/>
        <w:t>El objetivo del requisito de la consignación para recurrir no es sólo el de garantizar la ejecución futura, sino el de asegurar un rápido cumplimiento de la sentencia de condena una vez que alcance firmeza, sin dilatorios trámites de ejecución [FJ 4].</w:t>
      </w:r>
    </w:p>
    <w:p w:rsidR="00A90898" w:rsidRDefault="00A90898" w:rsidP="00A90898">
      <w:pPr>
        <w:pStyle w:val="Extracto"/>
      </w:pPr>
    </w:p>
    <w:p w:rsidR="00A90898" w:rsidRDefault="00A90898" w:rsidP="00A90898">
      <w:pPr>
        <w:pStyle w:val="Extracto"/>
      </w:pPr>
      <w:r>
        <w:t>3.</w:t>
      </w:r>
      <w:r>
        <w:tab/>
        <w:t>A efectos de garantizar un aseguramiento de eficacia equivalente a la consignación, no bastan las alegaciones de la parte sobre sus excepcionales circunstancias y su difícil situación económica, únicamente acompañadas de la certificación de los administradores concursales de que la cantidad objeto de condena había sido reconocida como crédito contingente [FJ 5].</w:t>
      </w:r>
    </w:p>
    <w:p w:rsidR="00A90898" w:rsidRDefault="00A90898" w:rsidP="00A90898">
      <w:pPr>
        <w:pStyle w:val="Extracto"/>
      </w:pPr>
    </w:p>
    <w:p w:rsidR="00A90898" w:rsidRDefault="00A90898" w:rsidP="00A90898">
      <w:pPr>
        <w:pStyle w:val="Extracto"/>
      </w:pPr>
      <w:r>
        <w:t>4.</w:t>
      </w:r>
      <w:r>
        <w:tab/>
        <w:t>El requisito de la consignación para recurrir previsto en la legislación procesal laboral no puede constituir un obstáculo insuperable para el acceso del empresario al recurso, imponiéndole cargas irrazonables, ni un privilegio del trabajador al margen de las finalidades que lo hacen constitucionalmente admisible (STC 30/1994) [FJ 4].</w:t>
      </w:r>
    </w:p>
    <w:p w:rsidR="00A90898" w:rsidRDefault="00A90898" w:rsidP="00A90898">
      <w:pPr>
        <w:pStyle w:val="Extracto"/>
      </w:pPr>
    </w:p>
    <w:p w:rsidR="00A90898" w:rsidRDefault="00A90898" w:rsidP="00A90898">
      <w:pPr>
        <w:pStyle w:val="Extracto"/>
      </w:pPr>
      <w:r>
        <w:t>5.</w:t>
      </w:r>
      <w:r>
        <w:tab/>
        <w:t>El rechazo de la pretensión de amparo formulada contra las resoluciones que acordaron la inadmisión del recurso cierra la vía del amparo puesto que tal inadmisión tendría su causa en la defectuosa interposición de aquél y es doctrina constitucional que el incorrecto agotamiento de la vía judicial, dado el carácter subsidiario del recurso de amparo, impide asimismo al Tribunal Constitucional entrar a conocer de la hipotética vulneración aducida (SSTC 191/2001 y 182/2004) [FJ 6].</w:t>
      </w:r>
    </w:p>
    <w:p w:rsidR="00A90898" w:rsidRDefault="00A90898" w:rsidP="00A90898">
      <w:pPr>
        <w:pStyle w:val="Extracto"/>
      </w:pPr>
    </w:p>
    <w:p w:rsidR="00A90898" w:rsidRDefault="00A90898" w:rsidP="00A90898">
      <w:pPr>
        <w:pStyle w:val="Extracto"/>
      </w:pPr>
      <w:r>
        <w:t>6.</w:t>
      </w:r>
      <w:r>
        <w:tab/>
        <w:t xml:space="preserve">El agotamiento de la vía judicial ordinaria se frustra cuando, aun interponiendo los medios de impugnación exigibles, su modo de utilización impide que los órganos judiciales cuenten con la posibilidad efectiva de reparar la vulneración del derecho fundamental (SSTC 85/1999, 25/2005). Siendo subsidiario el carácter del </w:t>
      </w:r>
      <w:r>
        <w:lastRenderedPageBreak/>
        <w:t>recurso de amparo [art. 44.1 a) LOTC], la recurrente no habría agotado debidamente la vía judicial, al no haber accedido al recurso por el incumplimiento del deber de consignar (STC 226/1999) [FJ 6].</w:t>
      </w:r>
    </w:p>
    <w:p w:rsidR="00A90898" w:rsidRDefault="00A90898" w:rsidP="00A90898">
      <w:pPr>
        <w:pStyle w:val="Extracto"/>
      </w:pPr>
    </w:p>
    <w:p w:rsidR="00A90898" w:rsidRDefault="00A90898" w:rsidP="00A90898">
      <w:pPr>
        <w:pStyle w:val="Extracto"/>
      </w:pPr>
      <w:r>
        <w:t>7.</w:t>
      </w:r>
      <w:r>
        <w:tab/>
        <w:t>El control de las resoluciones judiciales de inadmisión de los recursos por parte de la jurisdicción constitucional es meramente externo y debe limitarse a comprobar si, además de tener motivación, aquellas han incurrido en error material patente, en arbitrariedad o en manifiesta irrazonabilidad lógica (SSTC 258/200; 142/2015) [FJ 3].</w:t>
      </w:r>
    </w:p>
    <w:p w:rsidR="00A90898" w:rsidRDefault="00A90898" w:rsidP="00A90898">
      <w:pPr>
        <w:pStyle w:val="Extracto"/>
      </w:pPr>
    </w:p>
    <w:p w:rsidR="00A90898" w:rsidRDefault="00A90898" w:rsidP="00A90898">
      <w:pPr>
        <w:pStyle w:val="Extracto"/>
      </w:pPr>
      <w:r>
        <w:t>8.</w:t>
      </w:r>
      <w:r>
        <w:tab/>
        <w:t xml:space="preserve">El “derecho a acceder a los recursos”, contrariamente al “derecho a acceder a la jurisdicción”, no nace de la Constitución sino que se incorpora al derecho a la tutela judicial efectiva sin indefensión </w:t>
      </w:r>
      <w:r w:rsidRPr="00A90898">
        <w:rPr>
          <w:i/>
        </w:rPr>
        <w:t>ex</w:t>
      </w:r>
      <w:r>
        <w:t xml:space="preserve"> art. 24.1 CE correspondiendo al ámbito de libertad del legislador procesal la regulación de los recursos procedentes en cada caso, o que éstos no existan, salvo en materia penal (SSTC 105/2006 y 149/2015). El principio </w:t>
      </w:r>
      <w:r w:rsidRPr="00A90898">
        <w:rPr>
          <w:i/>
        </w:rPr>
        <w:t>pro actione</w:t>
      </w:r>
      <w:r>
        <w:t xml:space="preserve"> no opera con igual intensidad en la fase de acceso a la jurisdicción, que al utilizar los recursos procesales (STC 204/2012)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5886-2012, promovido por Hércules Club de Fútbol, Sociedad Anónima Deportiva, representado por la Procuradora de los Tribunales doña Adela Cano Lantero y asistido por el Abogado don José Agustín Amorós Martínez, contra el Auto de la Sala de lo Social del Tribunal Superior de Justicia de la Comunidad Valenciana, de 30 de julio de 2012, que desestima el recurso de queja núm. 1644-2012, así como contra el Auto del Juzgado de lo Social núm. 6 de Alicante de 16 de mayo de 2012 y la Sentencia de ese Juzgado de 20 de enero de 2012, recaídos en autos núm. 416-2011 sobre despido. Ha intervenido el Ministerio Fiscal. Ha comparecido el Procurador don Ramiro Reynolds Martínez, en representación de don Esteban Vigo Benítez, don José Manuel Ortega Jiménez, don José Luis González Vázquez y don Antonio Méndez Méndez. Ha sido Ponente el Presidente don Francisco Pérez de los Cobos Orihuel,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18 de octubre de 2012, Hércules Club de Fútbol, Sociedad Anónima Deportiva, interpuso recurso de amparo contra las resoluciones citadas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los que se fundamenta la demanda, sucintamente expuestos, son los siguientes:</w:t>
      </w:r>
    </w:p>
    <w:p w:rsidR="00A90898" w:rsidRDefault="00A90898" w:rsidP="00A90898">
      <w:pPr>
        <w:pStyle w:val="TextoNormal"/>
      </w:pPr>
    </w:p>
    <w:p w:rsidR="00A90898" w:rsidRDefault="00A90898" w:rsidP="00A90898">
      <w:pPr>
        <w:pStyle w:val="TextoNormal"/>
      </w:pPr>
      <w:r>
        <w:t>a) Frente a Hércules Club de Fútbol, Sociedad Anónima Deportiva (S.A.D.), y el fondo de garantía salarial, se siguieron los autos de despido núm. 416-2011 (a los que se acumularon los autos núm. 418-2011, 421-2011 y 422-2011) a instancia de tres entrenadores y un preparador físico del equipo de fútbol de esa sociedad deportiva.</w:t>
      </w:r>
    </w:p>
    <w:p w:rsidR="00A90898" w:rsidRDefault="00A90898" w:rsidP="00A90898">
      <w:pPr>
        <w:pStyle w:val="TextoNormal"/>
      </w:pPr>
    </w:p>
    <w:p w:rsidR="00A90898" w:rsidRDefault="00A90898" w:rsidP="00A90898">
      <w:pPr>
        <w:pStyle w:val="TextoNormal"/>
      </w:pPr>
      <w:r>
        <w:t>b) Habiendo sido declarada en concurso voluntario la referida sociedad por Auto del Juzgado de lo Mercantil núm. 1 de Alicante, de 5 de julio de 2011, las demandas de despido fueron ampliadas frente a los administradores concursales.</w:t>
      </w:r>
    </w:p>
    <w:p w:rsidR="00A90898" w:rsidRDefault="00A90898" w:rsidP="00A90898">
      <w:pPr>
        <w:pStyle w:val="TextoNormal"/>
      </w:pPr>
    </w:p>
    <w:p w:rsidR="00A90898" w:rsidRDefault="00A90898" w:rsidP="00A90898">
      <w:pPr>
        <w:pStyle w:val="TextoNormal"/>
      </w:pPr>
      <w:r>
        <w:t>c) Por Sentencia del Juzgado de lo Social núm. 6 de Alicante, de 20 de enero de 2012, se estimaron parcialmente las demandas de despido, declarándose su improcedencia y condenando al referido Club al abono en concepto de indemnización de un total de 1.594.729,5 euros.</w:t>
      </w:r>
    </w:p>
    <w:p w:rsidR="00A90898" w:rsidRDefault="00A90898" w:rsidP="00A90898">
      <w:pPr>
        <w:pStyle w:val="TextoNormal"/>
      </w:pPr>
    </w:p>
    <w:p w:rsidR="00A90898" w:rsidRDefault="00A90898" w:rsidP="00A90898">
      <w:pPr>
        <w:pStyle w:val="TextoNormal"/>
      </w:pPr>
      <w:r>
        <w:t>d) Con fecha de 31 de enero de 2012, Hércules Club de Futbol, S.A.D., presentó escrito ante el Juzgado solicitando la rectificación de la mencionada Sentencia del Juzgado al considerar que había incurrido en determinados errores materiales al calcular las cantidades adeudadas a uno de los actores. Por medio de Auto del Juzgado de 13 de marzo de 2012 se declaró que no había lugar a la rectificación interesada.</w:t>
      </w:r>
    </w:p>
    <w:p w:rsidR="00A90898" w:rsidRDefault="00A90898" w:rsidP="00A90898">
      <w:pPr>
        <w:pStyle w:val="TextoNormal"/>
      </w:pPr>
    </w:p>
    <w:p w:rsidR="00A90898" w:rsidRDefault="00A90898" w:rsidP="00A90898">
      <w:pPr>
        <w:pStyle w:val="TextoNormal"/>
      </w:pPr>
      <w:r>
        <w:t xml:space="preserve">e) Con fecha de 27 de marzo de 2012 tuvo entrada en el Juzgado de lo Social número 6 de Alicante, escrito de la parte demandada por el que se anunciaba el propósito de recurrir en suplicación la Sentencia de ese Juzgado, de 20 de enero de 2012. En cuanto al requisito de la consignación de la cantidad adeudada para recurrir [art. 230.1 de la Ley 36/2011, de 10 de octubre, reguladora de la jurisdicción social (LJS)], se señalaba en el referido escrito que, dada la situación concursal de esa entidad, la garantía a la que tal consignación estaba dirigida se veía suficientemente cumplida con el reconocimiento por los administradores concursales de las cantidades objeto de condena como “créditos contingentes sin cuantía propia con la calificación de ordinarios, y provisionalmente cuantificados en los mismos importes fijados por dicha Sentencia”. En todo caso, se añadía que, como había también certificado la administración concursal, dada la situación económica de la empresa concursada y el elevado importe de las condenas reconocidas a favor de los actores, una consignación de sus respectivas cantidades podría afectar gravemente a la actividad ordinaria de aquella entidad, toda vez que comprometería gravemente la atención de los costes ordinarios e indispensables para el mantenimiento de dicha actividad y, con ello, la propia viabilidad de la empresa dado su especial objeto social consistente en la participación en competiciones deportivas de carácter profesional (art. 19.3 de la Ley 10/1990, de 15 de octubre, del deporte). Finalmente, se hizo también referencia a que, debido a su situación concursal, </w:t>
      </w:r>
      <w:r>
        <w:lastRenderedPageBreak/>
        <w:t>resultaba imposible obtener aval bancario en los términos del art. 230 LJS, tal y como se acreditaba en documento adjunto, al haber sido solicitado por la administración concursal y haber condicionado la entidad bancaria su concesión a la presentación de una “garantía pignoraticia plena”.</w:t>
      </w:r>
    </w:p>
    <w:p w:rsidR="00A90898" w:rsidRDefault="00A90898" w:rsidP="00A90898">
      <w:pPr>
        <w:pStyle w:val="TextoNormal"/>
      </w:pPr>
    </w:p>
    <w:p w:rsidR="00A90898" w:rsidRDefault="00A90898" w:rsidP="00A90898">
      <w:pPr>
        <w:pStyle w:val="TextoNormal"/>
      </w:pPr>
      <w:r>
        <w:t>f) Por providencia de 16 de abril de 2012, el Juzgado concedió a la entidad deportiva un plazo de cinco días para que procediese a subsanar la falta de acreditación de haber consignado la cantidad objeto de condena, bajo apercibimiento de poner fin al trámite del recurso.</w:t>
      </w:r>
    </w:p>
    <w:p w:rsidR="00A90898" w:rsidRDefault="00A90898" w:rsidP="00A90898">
      <w:pPr>
        <w:pStyle w:val="TextoNormal"/>
      </w:pPr>
    </w:p>
    <w:p w:rsidR="00A90898" w:rsidRDefault="00A90898" w:rsidP="00A90898">
      <w:pPr>
        <w:pStyle w:val="TextoNormal"/>
      </w:pPr>
      <w:r>
        <w:t>g) Con fecha de registro de 10 de mayo de 2012, Hércules Club de Fútbol, S.A.D., presentó escrito ante el Juzgado reiterando las manifestaciones indicadas en el escrito de anuncio del recurso de suplicación, y añadiendo que, aún en el caso de que se pudiera consignar (que no era el caso) la elevada cantidad objeto de condena, se tendría que haber dejado de pagar, entre otros gastos corrientes, a toda la plantilla que presta servicios para la entidad y, especialmente, a los jugadores, poniendo en peligro sus posibilidades de ascenso e incurriendo, con ello, en una causa de expulsión de la liga nacional de fútbol profesional y de sus competiciones, en tanto que el derecho de participación de ese club en la competición oficial profesional se vinculaba al hecho de estar al corriente de las deudas con sus jugadores a fecha de 31 de julio de cada año. En definitiva, dadas las circunstancias de ese club y la naturaleza de su objeto, la consignación o aval resultaba incompatible con la continuidad de la actividad misma, existiendo datos objetivos que explicitaban el grave riesgo que en este caso derivaría de la consignación o el aval. Se añadía a lo anterior, que también había de tenerse en cuenta, para valorar la razonabilidad y proporcionalidad del presupuesto de consignación, el que en ese caso se estaba ante una relación laboral especial de deportistas profesionales con unos niveles retributivos muy elevados, por lo que la desigualdad entre las partes a la que atendía la exigencia de la consignación en ese caso era inexistente, y que, en realidad, de exigirse, conllevaría una desigualdad de armas procesales contraria al art. 24 CE.</w:t>
      </w:r>
    </w:p>
    <w:p w:rsidR="00A90898" w:rsidRDefault="00A90898" w:rsidP="00A90898">
      <w:pPr>
        <w:pStyle w:val="TextoNormal"/>
      </w:pPr>
    </w:p>
    <w:p w:rsidR="00A90898" w:rsidRDefault="00A90898" w:rsidP="00A90898">
      <w:pPr>
        <w:pStyle w:val="TextoNormal"/>
      </w:pPr>
      <w:r>
        <w:t>h) Por medio de Auto de 16 de mayo de 2012, el Juzgado tuvo por no anunciado el recurso de suplicación por falta de cumplimiento del requisito de la consignación preceptuado en el art. 230.1 LJS.</w:t>
      </w:r>
    </w:p>
    <w:p w:rsidR="00A90898" w:rsidRDefault="00A90898" w:rsidP="00A90898">
      <w:pPr>
        <w:pStyle w:val="TextoNormal"/>
      </w:pPr>
    </w:p>
    <w:p w:rsidR="00A90898" w:rsidRDefault="00A90898" w:rsidP="00A90898">
      <w:pPr>
        <w:pStyle w:val="TextoNormal"/>
      </w:pPr>
      <w:r>
        <w:t xml:space="preserve">i) Formulado recurso de queja por Hércules Club de Fútbol, S.A.D., fue desestimado por Auto de la Sala de lo Social del Tribunal Superior de Justicia de la Comunidad Valenciana, de 30 de julio de 2012. Con apoyo en los Autos del Tribunal Supremo de 7 de junio de 2011 y 7 de noviembre de 2011, la Sala, tras hacer referencia al carácter insubsanable de la falta total de consignación, señala que la queja de la parte no podía prosperar teniendo en cuenta que la vigente Ley concursal (Ley 22/2003, de 9 de julio) no había introducido respecto a la obligación de consignación ninguna modificación al respecto, que la mera admisión del concurso no era equiparable a insolvencia y a falta de liquidez, y que cabía que la administración concursal o el Juez mercantil autorizasen la consignación. A lo anterior se añadía que el problema planteado carecía de dimensión constitucional al afectar al acceso al recurso, que es un derecho de configuración legal. Posteriormente, se prosigue diciendo que la Ley de procedimiento laboral exonera de la consignación a quienes hubieran obtenido el beneficio de justicia gratuita, y aunque se reconoce que la entidad demandada no hubiera podido acceder a tal beneficio conforme a las exigencias de la Ley 1/1996 de justicia gratuita </w:t>
      </w:r>
      <w:r>
        <w:lastRenderedPageBreak/>
        <w:t>(que limita tal posibilidad solo a determinadas personas jurídicas entre las que no se encontraba la recurrente), no constaba, sin embargo, que lo hubiera solicitado. Dicho esto, el Tribunal Superior de Justicia considera que tal doctrina jurisprudencial resulta aplicable en relación con la normativa contenida en la Ley reguladora de la jurisdicción social, y entiende, además, que no merecían acogida los argumentos de la demandada con relación a su situación excepcional. A este respecto se señala que no se apreciaba la situación de excepción exigida por la doctrina constitucional para poder sustituir la consignación en metálico por otras garantías, habida cuenta de que no se proponía otro aseguramiento (como la hipoteca unilateral tenida en cuenta en la STC 30/1994) o algún otro medio (STC 3/1983), sino “simplemente un certificado de los Administradores Concursales”, certificado que, según el ATS de 7 de noviembre de 2011, “no sirve para sustituir la obligación de consignar el importe de la condena”. Asimismo, se dice que al deportista profesional no se le puede negar el mismo trato que a cualquier trabajador, y rechaza la infracción del art. 55.1 de la Ley concursal, indicando que la competencia para determinar el cumplimiento de la consignación a efectos del recurso de suplicación no corresponde al Juez de lo Mercantil, competencia no parangonable con las actuaciones ejecutivas que sí son propias del juez del concurso. Finalmente se añade que la imposibilidad de obtener aval bancario al exigirle la entidad bancaria consultada por la parte una “garantía pignoraticia plena”, tampoco podría servir, sin más, para exonerarla de la obligación de consignar.</w:t>
      </w:r>
    </w:p>
    <w:p w:rsidR="00A90898" w:rsidRDefault="00A90898" w:rsidP="00A90898">
      <w:pPr>
        <w:pStyle w:val="TextoNormal"/>
      </w:pPr>
    </w:p>
    <w:p w:rsidR="00A90898" w:rsidRDefault="00A90898" w:rsidP="00A90898">
      <w:pPr>
        <w:pStyle w:val="TextoNormal"/>
      </w:pPr>
      <w:r w:rsidRPr="00A90898">
        <w:rPr>
          <w:rStyle w:val="NumeroAFNegritaCaracter"/>
        </w:rPr>
        <w:t>3</w:t>
      </w:r>
      <w:r>
        <w:t>. En el recurso de amparo, la entidad recurrente alega la infracción del derecho a la tutela judicial efectiva (art. 24.1 CE) por los motivos que a continuación se especifican. En primer lugar, sostiene que los Autos impugnados incurren en vulneración de ese derecho en su vertiente de acceso a los recursos legalmente previstos por la Ley, en tanto que, a su juicio, concurrirían en el caso circunstancias excepcionales que convertirían el requisito de consignar o avalar la cantidad adeudada para recurrir (previsto en el art. 230.1 LJS) en un auténtico obstáculo insuperable para el acceso al recurso de suplicación y para obtener la tutela judicial efectiva.</w:t>
      </w:r>
    </w:p>
    <w:p w:rsidR="00A90898" w:rsidRDefault="00A90898" w:rsidP="00A90898">
      <w:pPr>
        <w:pStyle w:val="TextoNormal"/>
      </w:pPr>
    </w:p>
    <w:p w:rsidR="00A90898" w:rsidRDefault="00A90898" w:rsidP="00A90898">
      <w:pPr>
        <w:pStyle w:val="TextoNormal"/>
      </w:pPr>
      <w:r>
        <w:t xml:space="preserve">Se comienza recordando a este respecto que, aunque el Tribunal Constitucional admite la legitimidad de la exigencia del requisito de la consignación, exige que la aplicación sea “flexible” en casos de “falta de medios o liquidez” del sujeto obligado a la consignación y que sean valorados todos los derechos en juego, de tal modo que el requisito procesal no constituya un obstáculo insuperable para el acceso del empresario al recurso. Después se afirma que en el caso de autos concurren circunstancias excepcionales que convierten la aplicación estricta del requisito de la consignación en un verdadero impedimento para el acceso al recurso, indicando como tales la situación de concurso de la entidad recurrente, el elevado importe de la condena (1.594.729,50 €), así como el singular régimen jurídico impuesto a las sociedades anónimas deportivas, que vincula su derecho de participación en la siguiente competición oficial profesional al hecho de estar al corriente de las deudas con sus jugadores vencidas a 31 de julio de cada año, bajo pena de expulsión. Además, se señala que hay que tener en cuenta la especialidad de la relación laboral afectada, en la que no cabría apreciar la debilidad y desigualdad de armas del trabajador común con relación a su empleador. Se considera, en este sentido, que la tutela que se proporciona en este caso al trabajador con la obligación de consignación no resultaría proporcionada ni razonable, resultando inconstitucional puesto que, con fundamento en una desigualdad realmente inexistente, se impone un obstáculo insalvable a una sociedad que está en concurso de acreedores. </w:t>
      </w:r>
      <w:r>
        <w:lastRenderedPageBreak/>
        <w:t>Habría de aplicarse, pues, el art. 230 LJS de acuerdo con la realidad social, siendo difícilmente comprensible que la consideración social y la equidad permitan considerar a quienes perciben millones de euros de salario o indemnizaciones como unos simples trabajadores necesitados de una protección procesal exorbitante en aras de la igualdad de partes y armas en el proceso laboral.</w:t>
      </w:r>
    </w:p>
    <w:p w:rsidR="00A90898" w:rsidRDefault="00A90898" w:rsidP="00A90898">
      <w:pPr>
        <w:pStyle w:val="TextoNormal"/>
      </w:pPr>
    </w:p>
    <w:p w:rsidR="00A90898" w:rsidRDefault="00A90898" w:rsidP="00A90898">
      <w:pPr>
        <w:pStyle w:val="TextoNormal"/>
      </w:pPr>
      <w:r>
        <w:t>Se recuerda que la STC 3/1983 ya exigió a los tribunales ordinarios una “interpretación progresiva y casuística”, y con base a ella se han venido dictando resoluciones favorables a la interpretación propuesta por la ahora recurrente en amparo (Auto de 30 de marzo de 2010 del Tribunal Superior de Justicia de Castilla-La Mancha, o Sentencia del Tribunal Superior de Justicia de Madrid de 15 de julio de 2011), esto es, la de que la certificación aportada en autos por los administradores concursales, reconociendo a las cantidades objeto de condena como créditos contingentes en el procedimiento concursal, cumplía con la finalidad de garantía que perseguía el art. 228 de la Ley de procedimiento laboral (en la actualidad, art. 230.1 LJS), abriendo, así, a la parte el camino al recurso de suplicación. En definitiva, afirma la entidad recurrente que, teniendo en cuenta las excepcionales circunstancias concurrentes, se debería realizar también en el caso de autos una interpretación del art. 230.1 LJS constitucionalmente respetuosa con el art. 24.1 CE aceptando como garantía suficiente la que fue aportada, ya que la misma cumple también con la finalidad perseguida al establecerse el requisito de la consignación.</w:t>
      </w:r>
    </w:p>
    <w:p w:rsidR="00A90898" w:rsidRDefault="00A90898" w:rsidP="00A90898">
      <w:pPr>
        <w:pStyle w:val="TextoNormal"/>
      </w:pPr>
    </w:p>
    <w:p w:rsidR="00A90898" w:rsidRDefault="00A90898" w:rsidP="00A90898">
      <w:pPr>
        <w:pStyle w:val="TextoNormal"/>
      </w:pPr>
      <w:r>
        <w:t>Dicho esto, la entidad recurrente en amparo rechaza los argumentos ofrecidos en la vía judicial para denegarle el acceso al recurso. Indica al respecto que el Auto del Tribunal Superior de Justicia, a través del que se resolvió su recurso de queja frente a la decisión del Juzgado de tener por no anunciado su recurso por falta de consignación, no dio respuesta motivada en torno a la cuestión relativa a la excepcionalidad del caso, limitándose a reproducir los argumentos utilizados por Autos del Tribunal Supremo que habían resuelto un supuesto diverso al ahora planteado (no afectaba a un deportista profesional, no existían elevadas cuantías, ni tampoco tenía la consignación graves consecuencias para la viabilidad de la entidad). En este sentido, aduce la entidad recurrente que ha de ponderarse en este caso que nos encontramos ante una empresa en situación de concurso, que tiene un particular objeto social y que el encuadramiento en la liga nacional de fútbol profesional le impone reglas específicas para el mantenimiento de su actividad. De igual modo, tampoco se puede soslayar el muy elevado importe de las condenas (1.594.729,50 €) y la especial naturaleza de la relación laboral afectada. Todo ello, permitiría, según la parte recurrente, apreciar la excepcionalidad de la situación concurrente y afirmar que la exigencia de consignación para recurrir constituye en el caso de autos un requisito insuperable para la parte, provocando, por lo demás, una situación de injusticia para el resto de trabajadores y acreedores de la masa pasiva del concurso. Se considera, en definitiva, que defender la exigencia de la consignación, si bien podría estar apegado a la literalidad del art. 230.1 LJS, en el caso presente choca frontalmente con la propia institución jurídica del concurso y con los fines que inspiran la Ley concursal, lo que ha de imponer una aplicación integradora de la norma.</w:t>
      </w:r>
    </w:p>
    <w:p w:rsidR="00A90898" w:rsidRDefault="00A90898" w:rsidP="00A90898">
      <w:pPr>
        <w:pStyle w:val="TextoNormal"/>
      </w:pPr>
    </w:p>
    <w:p w:rsidR="00A90898" w:rsidRDefault="00A90898" w:rsidP="00A90898">
      <w:pPr>
        <w:pStyle w:val="TextoNormal"/>
      </w:pPr>
      <w:r>
        <w:t xml:space="preserve">En segundo lugar, de forma subsidiaria, la entidad recurrente también imputa a la Sentencia del Juzgado de lo Social impugnada, que estimó parcialmente la demanda de despido articulada en su contra, la vulneración del derecho a la tutela judicial efectiva (art. 24.1 CE) en su vertiente de derecho a la motivación de la resolución por considerar que incurre en </w:t>
      </w:r>
      <w:r>
        <w:lastRenderedPageBreak/>
        <w:t>errores patentes. En tal sentido, afirma, en primer término, la existencia de un error aritmético en cuanto al cálculo de la indemnización, en tanto que el órgano judicial habría aplicado erróneamente un 15 por 100 sobre el importe reclamado, cuando el porcentaje de derechos de imagen pendientes era mayor que el de salarios como se evidenciaba de las propias facturas aportadas en autos. Por tal error, se le habría reconocido a uno de los actores (al Sr. Vigo) una indemnización de 156.088 € de más, que en realidad tendrían naturaleza distinta y solo sería reclamable por la sociedad de imagen. En segundo término, también sostiene la existencia de un error de tipo jurídico con motivo de la inclusión en la indemnización por despido de salarios vencidos y devengados a la fecha del despido, cuando se trataba de una acción de reclamación distinta de ejercicio separado a la de despido.</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la Sala Primera de este Tribunal, de 9 de septiembre de 2013, se acordó la admisión a trámite del recurso de amparo y, en aplicación del art. 51 de la Ley Orgánica del Tribunal Constitucional (LOTC), dirigir comunicación a la Sala de lo Social del Tribunal Superior de Justicia de la Comunidad Valenciana para que remitiera testimonio del recurso de queja núm. 1644-2012, así como al Juzgado de lo Social núm. 6 de Alicante para que hiciera lo propio de los autos núm. 416-2011 y para que también emplazase a quienes hubiesen sido parte en el procedimiento, excepto la parte recurrente en amparo, a los efectos de que pudieran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Por medio de escrito con fecha de registro de 11 de octubre de 2013, el Procurador de los Tribunales don Ramiro Reynolds Martínez, en representación de don Esteban Vigo Benítez, don José Manuel Ortega Jiménez, don José Luis González Vázquez y don Antonio Méndez Méndez —demandantes en el proceso </w:t>
      </w:r>
      <w:r w:rsidRPr="00A90898">
        <w:rPr>
          <w:i/>
        </w:rPr>
        <w:t>a quo</w:t>
      </w:r>
      <w:r>
        <w:t>—, se personó en este proceso constitucional. En su escrito, la parte se opone al recurso de amparo, rechazando, al efecto, los distintos argumentos ofrecidos por la entidad recurrente para sostener la infracción del derecho de acceso al recurso. En tal sentido, aduce que el requisito de la consignación exigido no puede ser subsanado o sustituido por otra garantía salvo que la propuesta sea admitida por el juzgador (lo que no había ocurrido en el caso de autos), y que la exigencia de tal requisito no supone un quebranto de la tutela judicial efectiva. De otro lado, niega también que la Sentencia impugnada haya incurrido en el error patente que se alega en el recurso, señalándose a este respecto que la parte recurrente pretende una revisión de la decisión de instancia que sólo podría llevarse a cabo a través de la vía del recurso de suplicación, y que, en cualquier caso, la resolución discutida resultaría ajustada a Derecho. Se niega, finalmente, que quepa apreciar la concurrencia de una especial trascendencia constitucional que justifique una decisión de este Tribunal al respecto, rechazando los distintos argumentos indicados en el recurso de amparo para justificar la existencia de la citada trascendencia.</w:t>
      </w:r>
    </w:p>
    <w:p w:rsidR="00A90898" w:rsidRDefault="00A90898" w:rsidP="00A90898">
      <w:pPr>
        <w:pStyle w:val="TextoNormal"/>
      </w:pPr>
    </w:p>
    <w:p w:rsidR="00A90898" w:rsidRDefault="00A90898" w:rsidP="00A90898">
      <w:pPr>
        <w:pStyle w:val="TextoNormal"/>
      </w:pPr>
      <w:r w:rsidRPr="00A90898">
        <w:rPr>
          <w:rStyle w:val="NumeroAFNegritaCaracter"/>
        </w:rPr>
        <w:t>6</w:t>
      </w:r>
      <w:r>
        <w:t>. Por diligencia de ordenación del Secretario de Justicia de la Sala Primera de este Tribunal, de 25 de noviembre de 2013, se acordó tener por recibidos los testimonios de las actuaciones, así como el escrito del Procurador don Ramiro Reynolds Martínez, a quien se tiene por personado y parte en la representación que ostenta, así como dar vista de las actuaciones recibidas a las partes personadas y al Ministerio Fiscal por plazo común de veinte días para que pudiesen formular alegaciones conforme a lo dispuesto en el art. 52 LOTC.</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Por escrito con fecha de registro de 13 de enero de 2014, el Ministerio Fiscal presentó sus alegaciones. En él se sostiene que la inadmisión del recurso cuestionado se basó en el </w:t>
      </w:r>
      <w:r>
        <w:lastRenderedPageBreak/>
        <w:t xml:space="preserve">incumplimiento de un requisito establecido por el legislador, sobre cuya constitucionalidad se ha pronunciado este Tribunal, incumplimiento que fue apreciado por el órgano judicial de forma razonable y acorde con una reiterada jurisprudencia. En tal sentido, se señala que la entidad recurrente sostiene que la quiebra de su derecho a la tutela judicial efectiva, en su vertiente de acceso al recurso, ha venido dada por la concurrencia de circunstancias excepcionales que conforme a la doctrina constitucional han de permitir la flexibilización de la exigencia del requisito de la consignación y que no han sido tenidas en cuenta por el Juzgador. Entre esas circunstancias se hacía referencia en el recurso a la situación de concurso de la empresa, al elevado importe de la condena, a la condición de profesionales del deporte de los demandantes en el proceso </w:t>
      </w:r>
      <w:r w:rsidRPr="00A90898">
        <w:rPr>
          <w:i/>
        </w:rPr>
        <w:t>a quo</w:t>
      </w:r>
      <w:r>
        <w:t xml:space="preserve"> y al régimen legal existente en la liga profesional de fútbol. Indica que todas esas circunstancias, unidas a las condiciones impuestas por una única entidad bancaria para la concesión del aval, no habrían sido tenidas en cuenta, según la parte recurrente en amparo, para estimar suficiente el reconocimiento de deuda efectuado por los administradores concursales como sustitutivo de la consignación o del aval legalmente exigidos.</w:t>
      </w:r>
    </w:p>
    <w:p w:rsidR="00A90898" w:rsidRDefault="00A90898" w:rsidP="00A90898">
      <w:pPr>
        <w:pStyle w:val="TextoNormal"/>
      </w:pPr>
    </w:p>
    <w:p w:rsidR="00A90898" w:rsidRDefault="00A90898" w:rsidP="00A90898">
      <w:pPr>
        <w:pStyle w:val="TextoNormal"/>
      </w:pPr>
      <w:r>
        <w:t>Pues bien, una vez delimitado el objeto de la controversia, el Fiscal afirma que ni la situación de concurso ha sido desconocida por los órganos judiciales, ni puede afirmarse que la misma implique una situación de falta de liquidez, que tampoco habría sido acreditada en el proceso subyacente en el que lo único que consta es un certificado de los administradores concursales en el sentido de que la consignación podría afectar a la actividad ordinaria de la empresa, dado su objeto social consistente en participar en competiciones deportivas. Se indica que tal certificación, ayuna de cualquier elemento probatorio, se refiere en exclusividad a la consignación, omitiendo toda alusión a las dificultades para la obtención del aval, y que traería como única causa el especial objeto social de la entidad. Esa certificación y el reconocimiento de los créditos que se ofreció fueron rechazados por la resolución impugnada como medio alternativo con base a decisiones del Tribunal Supremo que los habrían considerado como inhábiles para sustituir el requisito de la consignación.</w:t>
      </w:r>
    </w:p>
    <w:p w:rsidR="00A90898" w:rsidRDefault="00A90898" w:rsidP="00A90898">
      <w:pPr>
        <w:pStyle w:val="TextoNormal"/>
      </w:pPr>
    </w:p>
    <w:p w:rsidR="00A90898" w:rsidRDefault="00A90898" w:rsidP="00A90898">
      <w:pPr>
        <w:pStyle w:val="TextoNormal"/>
      </w:pPr>
      <w:r>
        <w:t>Dicho esto, añade el Fiscal que el que los actores sean deportistas profesionales también fue una circunstancia valorada por la resolución impugnada, que descartó que pudiera tener virtualidad para la exoneración del cumplimiento del requisito legal al tratarse de una relación laboral que de modo supletorio se rige por el Estatuto de los Trabajadores. De igual manera, señala que la Sala de lo Social analizó la doctrina constitucional alegada por la recurrente, llegando a la conclusión de que no era de aplicación al no ofrecerse por la empresa ningún medio alternativo de aseguramiento, y que, si bien era cierto que en su Sentencia no se refirió al régimen legal aplicable a la empresa aducido por la entidad recurrente (que le exigía estar al corriente del pago de sus obligaciones salariales para mantenerse en las competiciones profesionales), parece claro que tal cuestión no podía ser considerada como una circunstancia excepcional más a ponderar por el juzgador en este caso. Todo ello, a juicio del Fiscal, debe conducir a rechazar la infracción del derecho de acceso al recurso que se plantea, pues las resoluciones cuestionadas se habrían dictado en estricta aplicación de la legislación procesal reguladora de la materia, sustentándose en una reiterada jurisprudencia, siendo descartado que la excepcional jurisprudencia del Tribunal Constitucional aducida en el recurso (referida en su mayor parte a un régimen legal distinto del ahora en vigor) fuese de aplicación al presente caso para flexibilizar el presupuesto procesal de acceso al recurso.</w:t>
      </w:r>
    </w:p>
    <w:p w:rsidR="00A90898" w:rsidRDefault="00A90898" w:rsidP="00A90898">
      <w:pPr>
        <w:pStyle w:val="TextoNormal"/>
      </w:pPr>
    </w:p>
    <w:p w:rsidR="00A90898" w:rsidRDefault="00A90898" w:rsidP="00A90898">
      <w:pPr>
        <w:pStyle w:val="TextoNormal"/>
      </w:pPr>
      <w:r>
        <w:t>Finalmente, y con referencia al motivo subsidiario del recurso de amparo en el que se denuncia la infracción del art. 24.1 CE por errores patentes de la Sentencia del Juzgado, precisa el Fiscal que, si se estimara que el recurso de suplicación fue correctamente inadmitido, dicho motivo incurriría en falta de agotamiento de la vía judicial previa, y si se estimase el primer motivo del recurso (esto es, la denegación injustificada del derecho de acceso al recurso), tal alegación subsidiaria debería esgrimirse en el pertinente recurso de suplicación al que se diera acceso. En cualquier caso, considera que a través de este segundo motivo de recurso el demandante plantea ante este Tribunal una discrepancia con el valor que el Juzgado habría otorgado a diversas facturas que, a su entender, no habrían sido valoradas correctamente, y una cuestión jurídica sobre la determinación de las partidas susceptibles de constituir la indemnización por despido. Ambas cuestiones serán, según el Fiscal, ajenas al error fáctico en que se sustenta la doctrina constitucional sobre el error patente. Por consiguiente, finaliza el escrito de alegaciones interesando la denegación del amparo solicitado.</w:t>
      </w:r>
    </w:p>
    <w:p w:rsidR="00A90898" w:rsidRDefault="00A90898" w:rsidP="00A90898">
      <w:pPr>
        <w:pStyle w:val="TextoNormal"/>
      </w:pPr>
    </w:p>
    <w:p w:rsidR="00A90898" w:rsidRDefault="00A90898" w:rsidP="00A90898">
      <w:pPr>
        <w:pStyle w:val="TextoNormal"/>
      </w:pPr>
      <w:r w:rsidRPr="00A90898">
        <w:rPr>
          <w:rStyle w:val="NumeroAFNegritaCaracter"/>
        </w:rPr>
        <w:t>8</w:t>
      </w:r>
      <w:r>
        <w:t>. Por medio del Auto 16/2015, de 2 de febrero, la Sala Primera de este Tribunal decidió, conforme a lo dispuesto en el art. 55.2 LOTC, elevar al Pleno cuestión interna de inconstitucionalidad sobre el art. 230.1 de la Ley 36/2011, de 10 de octubre, reguladora de la jurisdicción social, por su posible colisión con el art. 24 CE en cuanto que pudiera establecer un obstáculo no razonable para el acceso a los recursos previstos en la ley.</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del Pleno del Tribunal Constitucional de 17 de marzo de 2015 se acordó no haber lugar a tener por planteada la cuestión interna de inconstitucionalidad y, conforme a lo dispuesto en el art. 10.1 n) LOTC, a propuesta de la Sala Primera, recabar para sí el conocimiento del recurso de amparo núm. 5886-2012. Según diligencia de constancia de la Secretaria de Justicia de 17 de marzo de 2015, dicha providencia fue unida a las actuaciones, procediéndose a su notificación a las partes personadas en el procedimiento y al Ministerio Fiscal.</w:t>
      </w:r>
    </w:p>
    <w:p w:rsidR="00A90898" w:rsidRDefault="00A90898" w:rsidP="00A90898">
      <w:pPr>
        <w:pStyle w:val="TextoNormal"/>
      </w:pPr>
    </w:p>
    <w:p w:rsidR="00A90898" w:rsidRDefault="00A90898" w:rsidP="00A90898">
      <w:pPr>
        <w:pStyle w:val="TextoNormal"/>
      </w:pPr>
      <w:r w:rsidRPr="00A90898">
        <w:rPr>
          <w:rStyle w:val="NumeroAFNegritaCaracter"/>
        </w:rPr>
        <w:t>10</w:t>
      </w:r>
      <w:r>
        <w:t>. El Presidente del Tribunal Constitucional, en ejercicio de las competencias del art. 15 de la Ley Orgánica 6/2007, de 24 de mayo, del Tribunal Constitucional acordó, con fecha 27 de septiembre de 2016, asumir la Ponencia del presente recurso de amparo avocado por fallecimiento del Magistrado Excmo. Sr. Ortega Álvarez.</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4 de octubre de 2016 se señaló para deliberación y fallo el día 6 de dicho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Como ha quedado expuesto en los antecedentes, en este recurso de amparo la entidad recurrente —una sociedad anónima deportiva declarada en situación de concurso— impugna las resoluciones judiciales que inadmitieron su recurso de suplicación por falta de cumplimiento del requisito de la consignación de la cantidad objeto de condena previsto en el art. 230.1 de la Ley 36/2011, de 10 de octubre, reguladora de la jurisdicción social (LJS), al considerar que vulneran el derecho a la tutela judicial efectiva (art. 24.1 CE) en su vertiente de “acceso al recurso”. En tal sentido, se sostiene que en el caso de autos concurren </w:t>
      </w:r>
      <w:r>
        <w:lastRenderedPageBreak/>
        <w:t>circunstancias excepcionales (situación concursal, elevado importe de la condena a consignar, singular normativa que rige a las sociedades anónimas deportivas, y relación laboral especial que se ve afectada en este caso) que convierten al referido requisito en un obstáculo insuperable para el acceso al recurso de suplicación. De forma subsidiaria, se alega también que la Sentencia del Juzgado de lo Social que declaró la improcedencia del despido, y que se pretendía recurrir en suplicación, incurre en errores patentes que suponen la infracción del derecho a la tutela judicial efectiva (art. 24.1 CE).</w:t>
      </w:r>
    </w:p>
    <w:p w:rsidR="00A90898" w:rsidRDefault="00A90898" w:rsidP="00A90898">
      <w:pPr>
        <w:pStyle w:val="TextoNormal"/>
      </w:pPr>
    </w:p>
    <w:p w:rsidR="00A90898" w:rsidRDefault="00A90898" w:rsidP="00A90898">
      <w:pPr>
        <w:pStyle w:val="TextoNormal"/>
      </w:pPr>
      <w:r>
        <w:t xml:space="preserve">El Ministerio Fiscal interesa la desestimación del recurso de amparo por las razones recogidas en los antecedentes de esta Sentencia y que, en síntesis, vienen a señalar que las resoluciones impugnadas han efectuado una aplicación razonable de la legislación procesal aplicable y que, en caso de estimarse que el recurso de suplicación fue correctamente inadmitido, el motivo relativo a los errores aducidos incurriría en falta de agotamiento de la vía judicial previa, tratándose en cualquier caso de cuestiones ajenas al error fáctico en que se sustenta la doctrina constitucional sobre el error patente. En el mismo sentido se manifiestan los otros comparecientes en este proceso constitucional —los demandantes en el proceso </w:t>
      </w:r>
      <w:r w:rsidRPr="00A90898">
        <w:rPr>
          <w:i/>
        </w:rPr>
        <w:t>a quo</w:t>
      </w:r>
      <w:r>
        <w:t>—, que además niegan la concurrencia de la especial trascendencia constitucional del recurso planteado.</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entrar en el análisis de fondo, hemos de efectuar una consideración previa en relación con el óbice procesal alegado relativo a la falta de especial trascendencia constitucional del recurso. Como hemos tenido la oportunidad de señalar en otras ocasiones, el momento procesal idóneo para el análisis del cumplimiento de este requisito material de admisibilidad es el trámite de admisión de la demanda de amparo (SSTC 126/2013, de 3 de junio, FJ 2; 170/2013, de 7 de octubre, FJ 2, y 191/2013, de 18 de noviembre, FJ 2), correspondiendo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(SSTC 95/2010, de 15 de noviembre, FJ 4; 47/2014, de 7 de abril, FJ 2, y 54/2015, de 16 de marzo, FJ 4). Pues bien, en tal fase procesal apreciamos —sin que encontremos ahora razones para modificar esa inicial apreciación— que concurría la especial trascendencia constitucional exigida para la admisión a trámite del presente recurso, al plantearse en él, a raíz de la aprobación de la Ley 22/2003, de 9 de julio, Concursal, un problema que nos permitía aclarar o perfilar nuestra doctrina sobre la exigencia del requisito de la consignación para poder recurrir en el orden social cuando este último ha de ser cumplido por empresas declaradas en concurso. Además, la exigencia o no del requisito de consignación a estas empresas y la admisibilidad de medios alternativos de garantía de la cantidad objeto de condena es una cuestión que trasciende del caso concreto al afectar en el actual contexto económico a muchas empresas con falta de liquidez.</w:t>
      </w:r>
    </w:p>
    <w:p w:rsidR="00A90898" w:rsidRDefault="00A90898" w:rsidP="00A90898">
      <w:pPr>
        <w:pStyle w:val="TextoNormal"/>
      </w:pPr>
    </w:p>
    <w:p w:rsidR="00A90898" w:rsidRDefault="00A90898" w:rsidP="00A90898">
      <w:pPr>
        <w:pStyle w:val="TextoNormal"/>
      </w:pPr>
      <w:r>
        <w:t>Todo ello determina la especial trascendencia constitucional del recurso y la necesidad de que este Tribunal se pronuncie al respecto, de acuerdo con las letras b) y g), FJ 2, de la STC 155/2009, de 25 de junio, lo que conlleva la desestimación del motivo de inadmisibilidad alegado.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Una vez descartada la existencia del anterior óbice procesal, debemos analizar ahora la queja principal formulada en la demanda, esto es, la relativa a la vulneración del “derecho de acceso al recurso” (art. 24.1 CE) con motivo de las decisiones judiciales que tuvieron por no anunciado, por falta de consignación de la cantidad objeto de condena, el recurso de suplicación interpuesto por la entidad recurrente en amparo.</w:t>
      </w:r>
    </w:p>
    <w:p w:rsidR="00A90898" w:rsidRDefault="00A90898" w:rsidP="00A90898">
      <w:pPr>
        <w:pStyle w:val="TextoNormal"/>
      </w:pPr>
    </w:p>
    <w:p w:rsidR="00A90898" w:rsidRDefault="00A90898" w:rsidP="00A90898">
      <w:pPr>
        <w:pStyle w:val="TextoNormal"/>
      </w:pPr>
      <w:r>
        <w:t xml:space="preserve">Es oportuno recordar, siquiera brevemente, que es doctrina constitucional plenamente consolidada que el “derecho a acceder a los recursos” legalmente establecidos, contrariamente al “derecho a acceder a la jurisdicción”, no nace directamente de la Constitución sino que se incorpora al derecho a la tutela judicial efectiva sin indefensión reconocido en el art. 24.1 CE en la configuración que reciba de las leyes procesales, correspondiendo al ámbito de libertad del legislador el establecimiento y regulación de los recursos procedentes en cada caso, siendo incluso posible que no existan, salvo en materia penal (por todas, SSTC 105/2006, de 3 de abril, FJ 3, y 149/2015, de 6 de julio, FJ 3). En definitiva, el principio </w:t>
      </w:r>
      <w:r w:rsidRPr="00A90898">
        <w:rPr>
          <w:i/>
        </w:rPr>
        <w:t>pro actione</w:t>
      </w:r>
      <w:r>
        <w:t xml:space="preserve"> no opera con igual intensidad en la fase inicial del proceso cuando se trata de acceder a la jurisdicción, que en las sucesivas instancias cuando se intentan utilizar los recursos de nuestro sistema procesal (por todas, STC 204/2012, de 12 de noviembre, FJ 4).</w:t>
      </w:r>
    </w:p>
    <w:p w:rsidR="00A90898" w:rsidRDefault="00A90898" w:rsidP="00A90898">
      <w:pPr>
        <w:pStyle w:val="TextoNormal"/>
      </w:pPr>
    </w:p>
    <w:p w:rsidR="00A90898" w:rsidRDefault="00A90898" w:rsidP="00A90898">
      <w:pPr>
        <w:pStyle w:val="TextoNormal"/>
      </w:pPr>
      <w:r>
        <w:t>A su vez, este Tribunal ha afirmado que, con la finalidad de lograr la máxima efectividad del derecho a la tutela judicial, los Jueces y Tribunales están constitucionalmente obligados a aplicar las normas que regulan los requisitos y presupuestos procesales teniendo siempre presente el “fin perseguido” por el legislador al establecerlos y evitando cualquier exceso formalista que los convierta en meros “obstáculos procesales impeditivos de la tutela judicial efectiva” que garantiza el art. 24.1 CE; no obstante, tampoco resulta admisible que el criterio antiformalista conduzca a prescindir de los requisitos establecidos por las leyes que ordenan el proceso y los recursos en garantía de los derechos de todas las partes (SSTC 187/2004, de 2 de noviembre, FJ 2, y 107/2005, de 9 de mayo, FJ 4), “sin que sea constitucionalmente exigible la interpretación legal más favorable para hacer efectivo el acceso al recurso” (SSTC 293/2000, de 11 de diciembre, FJ 2, o 115/2012, de 4 de junio, FJ 2).</w:t>
      </w:r>
    </w:p>
    <w:p w:rsidR="00A90898" w:rsidRDefault="00A90898" w:rsidP="00A90898">
      <w:pPr>
        <w:pStyle w:val="TextoNormal"/>
      </w:pPr>
    </w:p>
    <w:p w:rsidR="00A90898" w:rsidRDefault="00A90898" w:rsidP="00A90898">
      <w:pPr>
        <w:pStyle w:val="TextoNormal"/>
      </w:pPr>
      <w:r>
        <w:t xml:space="preserve">Conforme a reiterada jurisprudencia constitucional, esa interpretación y aplicación de las normas procesales que contemplan los requisitos para la admisión de los recursos son materias de legalidad ordinaria, propias de los Tribunales de Justicia (art. 117.3 CE), de modo que el control de las resoluciones judiciales de inadmisión de los recursos por parte de la jurisdicción constitucional “es meramente externo” y debe limitarse a comprobar si, además de tener motivación, “han incurrido en error material patente, en arbitrariedad o en manifiesta irrazonabilidad lógica, evitando toda ponderación acerca de la corrección jurídica de las mismas” y “sin que el control que nos corresponde realizar…pueda extenderse al juicio de proporcionalidad inherente al principio </w:t>
      </w:r>
      <w:r w:rsidRPr="00A90898">
        <w:rPr>
          <w:i/>
        </w:rPr>
        <w:t>pro actione</w:t>
      </w:r>
      <w:r>
        <w:t>, característico del derecho de acceso a la jurisdicción” (por todas, SSTC 258/2000, de 30 de octubre, FJ 2; 42/2009, de 9 de febrero, FJ 2; 65/2011, de 16 de mayo, FJ 3, y 142/2015, de 22 de junio, FJ 3).</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Como ha quedado dicho, en este procedimiento se cuestiona una denegación de acceso al recurso que tiene por causa, concretamente, el incumplimiento del requisito de la “consignación” de la cantidad objeto de condena para recurrir en el orden social. Este presupuesto procesal de acceso al recurso, como es sabido, goza de una dilatada tradición dentro de nuestro ordenamiento laboral, encontrándose ya previsto en la Ley de 22 de julio de 1912, sobre tribunales industriales (art. 51). Conviene recordar que hasta la Ley 7/1989, de 12 de </w:t>
      </w:r>
      <w:r>
        <w:lastRenderedPageBreak/>
        <w:t>abril, de bases de procedimiento laboral, el legislador sólo admitía como medio de garantizar la cantidad objeto de condena la “consignación” en metálico; pero, a raíz de la referida Ley (base trigésimo sexta), se aceptó como medio de aseguramiento alternativo el “aval bancario”, previsión que se recogería después en el art. 227 del texto articulado de la Ley de procedimiento laboral, aprobado por Real Decreto Legislativo 521/1990, de 27 de abril, y que se ha mantenido hasta la actualidad en términos similares en todas las normas que lo han sucedido.</w:t>
      </w:r>
    </w:p>
    <w:p w:rsidR="00A90898" w:rsidRDefault="00A90898" w:rsidP="00A90898">
      <w:pPr>
        <w:pStyle w:val="TextoNormal"/>
      </w:pPr>
    </w:p>
    <w:p w:rsidR="00A90898" w:rsidRDefault="00A90898" w:rsidP="00A90898">
      <w:pPr>
        <w:pStyle w:val="TextoNormal"/>
      </w:pPr>
      <w:r>
        <w:t>En efecto, el vigente art. 230.1 LJS dispone a este respecto que, cuando la sentencia impugnada hubiere condenado al pago de cantidad, el recurrente que no gozare del derecho de asistencia jurídica gratuita, al anunciar el recurso de suplicación o preparar el de casación, tendrá que haber consignado la cantidad objeto de condena, pudiendo sustituirse tal consignación en metálico por el aseguramiento mediante aval emitido por una entidad de crédito (solidario, de duración indefinida y pagadero a primer requerimiento). Configurada legalmente la obligación de consignación como un presupuesto procesal para la admisión del recurso, su incumplimiento lleva aparejado, según precisa el art. 230.4 LJS, el que se tenga por no anunciado o no preparado, según proceda, el correspondiente recurso, así como la declaración de la firmeza de la resolución que se pretendiera recurrir. Ni en estos preceptos, ni en otros concordantes de la Ley reguladora de la jurisdicción social (art. 229.4), ni tampoco en la Ley concursal se ha incluido por el legislador una previsión específica que expresamente excluya de este régimen y, en concreto, del referido requisito de consignación, a las empresas en situación de concurso.</w:t>
      </w:r>
    </w:p>
    <w:p w:rsidR="00A90898" w:rsidRDefault="00A90898" w:rsidP="00A90898">
      <w:pPr>
        <w:pStyle w:val="TextoNormal"/>
      </w:pPr>
    </w:p>
    <w:p w:rsidR="00A90898" w:rsidRDefault="00A90898" w:rsidP="00A90898">
      <w:pPr>
        <w:pStyle w:val="TextoNormal"/>
      </w:pPr>
      <w:r>
        <w:t>Este Tribunal ha tenido la oportunidad de pronunciarse en diversas ocasiones sobre el requisito procesal ahora examinado, declarando su constitucionalidad (SSTC 100/1983, de 18 de noviembre, FJ 2; 76/1985, de 26 de junio, FJ 1). Resulta necesario comenzar recordando que en la STC 3/1983, de 25 de enero, rechazamos que el deber de consignación constituyese un obstáculo excesivo o desproporcionado para el acceso al recurso del empresario, atendiendo a la función que cumple en el proceso, esto es, la de actuar como una “medida cautelar” tendente a “asegurar la ejecución de la sentencia” y a “evitar una eventual desaparición de los medios de pagos”, además de evitar la formulación de recursos meramente dilatorios y presiones sobre el trabajador para que renuncie a sus derechos (FFJJ 1 y 4). En la medida en que el precepto cuya constitucionalidad examinamos entonces (art. 170 del texto refundido de la Ley de procedimiento laboral, aprobado por el Real Decreto legislativo 1568/1980, de 13 de junio) no contemplaba garantía distinta a la consignación en metálico, lo que podía impedir el acceso al recurso de empresas con “falta de medios o de simple falta de liquidez”, instamos (mientras el legislador llevara a cabo la necesaria reforma legal para superar la excesiva rigidez de la norma) a que los órganos judiciales efectuaran una “interpretación progresiva y casuística” del precepto legal y aceptasen “otros medios” sustitutivos menos estrictos y suficientemente garantizadores de la ejecución, en los casos en los que no existiera una posibilidad material de efectuarla o la misma supusiera un grave quebranto para la parte (FJ 5 de la citada STC 3/1983).</w:t>
      </w:r>
    </w:p>
    <w:p w:rsidR="00A90898" w:rsidRDefault="00A90898" w:rsidP="00A90898">
      <w:pPr>
        <w:pStyle w:val="TextoNormal"/>
      </w:pPr>
    </w:p>
    <w:p w:rsidR="00A90898" w:rsidRDefault="00A90898" w:rsidP="00A90898">
      <w:pPr>
        <w:pStyle w:val="TextoNormal"/>
      </w:pPr>
      <w:r>
        <w:t xml:space="preserve">Como apuntamos en diversas ocasiones, la referida flexibilización en la interpretación del requisito de la consignación procedía sólo en supuestos verdaderamente excepcionales, acreditados por el empresario, correspondiendo a los Tribunales la valoración de la situación de dificultad económica alegada, así como de la suficiencia de los medios garantizadores </w:t>
      </w:r>
      <w:r>
        <w:lastRenderedPageBreak/>
        <w:t>propuestos en defecto de la consignación legalmente exigible (SSTC 9/1983, de 21 de febrero, FJ 4; 100/1983, de 18 de noviembre, FJ 2; 76/1985, de 26 de junio, FJ 2, y 16/1988, de 15 de febrero, FJ 1). De esta manera, atendiendo a la imposibilidad extraordinaria de cumplir con el presupuesto procesal en la forma legalmente prevista, este Tribunal aceptó la “inaplicación o aplicación matizada” del mismo con la debida demostración de la “situación singular” empresarial y del ofrecimiento de “adecuados medios alternativos de garantía”, medios “seguros” sustitutorios de la consignación en metálico, que pudieran considerarse “equivalentes en cuanto a su eficacia” y que debían “garantizar siempre la ejecución posterior de la Sentencia” (por todas, SSTC 9/1983, FFJJ 4 y 5; 76/1985, FJ 2, y 16/1988, de 15 de febrero, FJ 3; ATC 55/1992, de 20 de febrero, FJ 2). En definitiva, en las circunstancias indicadas, tal doctrina implicaba la admisión de garantías alternativas al depósito en metálico del importe de la condena siempre que permitieran “la inmediata realización del ulterior derecho de crédito una vez que la Sentencia de condena sea firme” (SSTC 84/1992, de 28 de mayo, FJ 4, y 226/1999, de 13 de diciembre, FJ 3, dictadas con ocasión de procesos civiles).</w:t>
      </w:r>
    </w:p>
    <w:p w:rsidR="00A90898" w:rsidRDefault="00A90898" w:rsidP="00A90898">
      <w:pPr>
        <w:pStyle w:val="TextoNormal"/>
      </w:pPr>
    </w:p>
    <w:p w:rsidR="00A90898" w:rsidRDefault="00A90898" w:rsidP="00A90898">
      <w:pPr>
        <w:pStyle w:val="TextoNormal"/>
      </w:pPr>
      <w:r>
        <w:t>Una vez que la legislación procesal laboral aceptó el aval bancario como garantía alternativa a la consignación en metálico, en la STC 30/1994, de 27 de enero, resolvimos el recurso de amparo formulado por una empresa a la que se le había denegado el acceso al recurso de suplicación por aportar una garantía distinta a la prevista legalmente (en concreto, había ofrecido una hipoteca unilateral sobre sus bienes). Advertimos en esa ocasión que nuestro enjuiciamiento debía basarse en una interpretación teleológica del requisito de la consignación para recurrir que tuviera en cuenta los valores de relevancia constitucional que estaban en juego, a los efectos de obtener una respuesta adecuada y proporcionada a la vista de las circunstancias del caso. En efecto, como señalamos entonces, dos eran los valores constitucionales en liza, a saber, de un lado, el derecho a recurrir del sujeto obligado a cumplimentar la carga de la consignación y, de otro, las ya referidas finalidades del requisito de consignación en el proceso laboral. Teniendo en cuenta uno y otro valor, indicamos que el requisito de la consignación para recurrir previsto en la legislación procesal laboral no puede constituir —ni, por tanto, ser interpretado el precepto de forma tal que conduzca a su mismo resultado— un “obstáculo insuperable” para el acceso del empresario al recurso, imponiéndole cargas irrazonables, ni como un “privilegio del trabajador” al margen de las finalidades que lo hacen constitucionalmente admisible (STC 30/1994, FJ 4). Pues bien, abordando nuestro examen desde la perspectiva apuntada, apreciamos en ese caso que los órganos judiciales basaron su decisión de inadmisión del recurso en razones estrictamente formalistas contrarias a la efectividad del derecho a la tutela judicial efectiva, al no haber tenido en cuenta, de un lado, las circunstancias particulares del caso (elevada cantidad objeto de aseguramiento —más de 584 millones de pesetas—, que la empresa estaba en quiebra, que hubo intento de obtención de aval y que se había presentado una garantía hipotecaria alternativa suficiente), y de otro lado, que las finalidades a que atendía la exigencia de consignación previa al recurso no se habían malogrado con el sistema de garantía de pago utilizado (FJ 5).</w:t>
      </w:r>
    </w:p>
    <w:p w:rsidR="00A90898" w:rsidRDefault="00A90898" w:rsidP="00A90898">
      <w:pPr>
        <w:pStyle w:val="TextoNormal"/>
      </w:pPr>
    </w:p>
    <w:p w:rsidR="00A90898" w:rsidRDefault="00A90898" w:rsidP="00A90898">
      <w:pPr>
        <w:pStyle w:val="TextoNormal"/>
      </w:pPr>
      <w:r>
        <w:t xml:space="preserve">No obstante, también en pronunciamientos posteriores se ha puesto de relieve que, tras la inclusión por el legislador del aval bancario como garantía sustitutoria de la consignación en metálico, este Tribunal ha declarado “que, salvo en casos límite y excepcionales, como el que dio lugar a la STC 30/1994, de 27 de enero, el requisito de la consignación, en principio, no encuentra razón para ser atenuado (STC 64/2000, de 13 de marzo)” (AATC </w:t>
      </w:r>
      <w:r>
        <w:lastRenderedPageBreak/>
        <w:t>13/2002, de 11 de febrero, FJ 2, y 238/2003, de 14 de julio, FJ 3). Así, en la referida STC 64/2000 se puso de relieve que la doctrina establecida en la STC 3/1983 sobre la admisión de medios sustitutivos a los previstos en la ley “tenía como supuesto legal de referencia una regulación en la que la exigencia de consignación en metálico se establecía sin alternativa posible” y que dicha doctrina “tenía un límite temporal inequívocamente enunciado: ‘en tanto no se produzca la necesaria reforma legislativa’”, reforma que aconteció con la Ley 7/1989 y el Real Decreto Legislativo 521/1990, en los que el legislador estableció, como única alternativa a la consignación en metálico, la del aval bancario solidario (FJ 3). Por ello, esta STC 64/2000 advirtió que la decisión de la STC 30/1994 se había adoptado para un supuesto límite y excepcional, pero que “no puede servir de pauta para asentar en él, al margen de sus muy especiales circunstancias, una doctrina general permisiva de medios alternativos” a los establecidos en la ley (FJ 4).</w:t>
      </w:r>
    </w:p>
    <w:p w:rsidR="00A90898" w:rsidRDefault="00A90898" w:rsidP="00A90898">
      <w:pPr>
        <w:pStyle w:val="TextoNormal"/>
      </w:pPr>
    </w:p>
    <w:p w:rsidR="00A90898" w:rsidRDefault="00A90898" w:rsidP="00A90898">
      <w:pPr>
        <w:pStyle w:val="TextoNormal"/>
      </w:pPr>
      <w:r>
        <w:t>De hecho, respecto a la entonces cuestionada decisión judicial de no admitir el recurso de suplicación por falta de consignación, la indicada STC 64/2000 rechazó la vulneración del art. 24.1 CE en un supuesto en que, como alternativa a los medios previstos en la ley, se había adjuntado al escrito de anuncio del recurso una escritura de hipoteca mobiliaria unilateral sobre unas máquinas. En el caso, el Tribunal remarcó no sólo las diferentes circunstancias del supuesto enjuiciado respecto a las del examinado en la STC 30/1994, sino también que la finalidad de la consignación no es simplemente la de garantizar la ejecución de la Sentencia, sino más propiamente la de asegurar la “inmediata” ejecución; de ahí “la garantía de liquidez propia de la fórmula legal sustitutoria” (el aval solidario), y de ahí también que “la liquidez de la garantía se pierde, si se sustituye por una garantía real, cuya realización ulterior imponga la dilación de un inevitable trámite de ejecución y al tiempo la inseguridad añadida sobre la eventual devaluación de los bienes en el tiempo transcurrido entre la constitución de la garantía y la futura realización de aquéllos” (FJ 4). En tal sentido, la referida STC 64/2000 afirmó que “[e]l sistema legal, justificable constitucionalmente, según nuestra doctrina, como medio de compensación de la desigualdad originaria entre trabajador y empresario (STC 3/1983, de 25 de enero, FJ 3), se distorsiona notablemente, aceptando medios de garantía, como la garantía real, que no cumplen en su totalidad la finalidad perseguida en él” (FJ 4). Así, con posterioridad hemos afirmado que, conforme a nuestra doctrina, “el requisito de la consignación para recurrir no es sólo el de garantizar la ejecución futura, sino el de asegurar un rápido cumplimiento de la sentencia de condena una vez que alcance firmeza, sin dilatorios trámites de ejecución, lo cual solamente se obtiene con la constitución previa del depósito de la cantidad objeto de la condena, la cual resulta así de ineludible cumplimiento, o con las fórmulas legales que aseguran parecida liquidez como es el caso del aval” (ATC 426/2003, de 18 de diciembre, FJ 3).</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Una vez visto que este Tribunal ha admitido la constitucionalidad del requisito legal de consignación de la cantidad objeto de condena exigido para recurrir en el orden social —actualmente, en el art. 230 LJS—, y tras haber expuesto la jurisprudencia constitucional al respecto, procede ya abordar la resolución de la primera queja de la demanda de amparo, referida a la presunta vulneración del derecho al recurso (art. 24.1 CE). Para ello, resulta fundamental atender a la interpretación y aplicación que las resoluciones impugnadas han hecho del precepto de referencia —el citado art. 230.1 LJS—, a efectos de determinar si esos criterios judiciales han traído consigo o no un resultado vulnerador del derecho al recurso, examinado desde el ya referido canon de control constitucional predicable de esta </w:t>
      </w:r>
      <w:r>
        <w:lastRenderedPageBreak/>
        <w:t>vertiente del derecho a la tutela judicial —esto es, el de la irrazonabilidad, arbitrariedad y error patente—.</w:t>
      </w:r>
    </w:p>
    <w:p w:rsidR="00A90898" w:rsidRDefault="00A90898" w:rsidP="00A90898">
      <w:pPr>
        <w:pStyle w:val="TextoNormal"/>
      </w:pPr>
    </w:p>
    <w:p w:rsidR="00A90898" w:rsidRDefault="00A90898" w:rsidP="00A90898">
      <w:pPr>
        <w:pStyle w:val="TextoNormal"/>
      </w:pPr>
      <w:r>
        <w:t>Con relación a esta queja, la demanda de amparo afirma que debió dispensársele del cumplimiento del requisito de la consignación de las cantidades objeto de condena en los términos exigidos por el art. 230 LJS, a fin de poder interponer recurso de suplicación contra la Sentencia del Juzgado de lo Social núm. 6 de Alicante que acordó declarar improcedente el despido de cuatro trabajadores del club, con la consiguiente condena al abono de las cantidades fijadas en concepto de indemnización —hasta un total de 1.594.729,50 €—. Al no haber sido así, considera que dicha exigencia se convirtió en un obstáculo insuperable para el acceso al recurso de suplicación. En síntesis, alega la entidad recurrente que, como medida sustitutiva de la consignación de ese importe, debió admitirse la garantía que representa la certificación de la Administración concursal, aportada a los autos, por la que se reconocen dichas cantidades como créditos contingentes, a efectos del procedimiento concursal seguido contra la recurrente. Para justificar este trato, la demanda de amparo alude a la concurrencia de “excepcionales circunstancias”, como son “la situación de concurso…, el muy elevado importe de las condenas… y el singular régimen impuesto a las Sociedades Anónimas Deportivas, que vincula su derecho de participación en la siguiente competición oficial profesional al hecho de estar al corriente de las deudas con sus jugadores vencidas a 31 de julio de cada año, bajo pena de expulsión”. En su apoyo cita las SSTC 3/1983 y 186/1994, objetando que el Auto de la Sala de lo Social del Tribunal Superior de Justicia de la Comunidad Valenciana, desestimatorio del recurso de queja contra la inicial denegación al recurso del Juzgado, no haya valorado tales circunstancias excepcionales.</w:t>
      </w:r>
    </w:p>
    <w:p w:rsidR="00A90898" w:rsidRDefault="00A90898" w:rsidP="00A90898">
      <w:pPr>
        <w:pStyle w:val="TextoNormal"/>
      </w:pPr>
    </w:p>
    <w:p w:rsidR="00A90898" w:rsidRDefault="00A90898" w:rsidP="00A90898">
      <w:pPr>
        <w:pStyle w:val="TextoNormal"/>
      </w:pPr>
      <w:r>
        <w:t>Ante todo, es necesario precisar el alcance de lo pretendido por la demandante de amparo, a quien la entidad bancaria consultada había condicionado la posible concesión del aval a la presentación de una garantía pignoraticia plena, no habiendo procedido a los efectos del art. 230.1 LJS ni a la aportación de dicho aval ni a la consignación en metálico de la cantidad objeto de condena. Pues bien, en este caso, frente a lo excepcionalmente admitido por este Tribunal conforme a la doctrina ya indicada, lo que defiende la recurrente no es propiamente la flexibilización de los medios legales de consignación de la cantidad objeto de condena a cambio de garantías de pago que por su naturaleza puedan estimarse suficientes para, en su caso, llevar a cabo con éxito e inmediatez el cobro del total íntegro de la indemnización. Por el contrario, lo que la recurrente pide es que se acepte como sustitutivo de la consignación el mero reconocimiento por los administradores concursales de que, en el marco del concurso, las cantidades a que había sido condenada la entidad constituyen “créditos contingentes sin cuantía propia con la calificación de ordinarios”. Esta condición atribuida a las referidas cantidades ha de ponerse en relación con lo dispuesto en el art. 87.3 de la Ley concursal 22/2003, en el que se indica que “los créditos sometidos a condición suspensiva y los litigiosos serán reconocidos en el concurso como créditos contingentes sin cuantía propia y con la calificación que corresponda, admitiéndose a sus titulares como acreedores legitimados en el juicio”, si bien, con “suspensión de los derechos de adhesión, de voto y de cobro”. En realidad, pues, en este supuesto no se ofrece una garantía alternativa a la consignación en los términos exigidos por los pronunciamientos constitucionales antes referidos, sino sólo la certificación de que las cantidades objeto de condena en la Sentencia del Juzgado habían sido reconocidas como créditos contingentes en el concurso, con la consiguiente sujeción a las reglas de la Ley concursal y, en su caso, al orden de preferencia en el pago que legalmente resulte.</w:t>
      </w:r>
    </w:p>
    <w:p w:rsidR="00A90898" w:rsidRDefault="00A90898" w:rsidP="00A90898">
      <w:pPr>
        <w:pStyle w:val="TextoNormal"/>
      </w:pPr>
    </w:p>
    <w:p w:rsidR="00A90898" w:rsidRDefault="00A90898" w:rsidP="00A90898">
      <w:pPr>
        <w:pStyle w:val="TextoNormal"/>
      </w:pPr>
      <w:r>
        <w:t>Desde esta perspectiva, la respuesta que da tanto el Auto del Juzgado de 16 de mayo de 2012 —el cual constata el incumplimiento de la consignación y acuerda no tener por anunciado el recurso de suplicación—, como sobre todo el de la Sala de lo Social del Tribunal Superior de Justicia de la Comunidad Valenciana de 30 de julio de 2012, extensamente motivado y razonable en su contestación a la argumentación de la recurrente, resulta satisfactoria con el derecho fundamental alegado, desde la perspectiva del canon de control antes expuesto que corresponde aplicar en sede de amparo. En efecto, con apoyo en lo dicho en Autos de la Sala de lo Social del Tribunal Supremo dictados en fecha 7 de junio y 7 de noviembre de 2011 a propósito de similar solicitud, el Auto del Tribunal Superior de Justicia precisa en su fundamento de Derecho primero que la vigente Ley concursal (Ley 22/2003) no ha establecido ninguna modificación respecto a la obligación de consignación prevista actualmente en el art. 230 LJS para quienes, como la recurrente, no gozaren del derecho de asistencia jurídica gratuita, y ello pese a que el legislador en este tiempo sí ha introducido alguna modificación procesal para disponer —en situación, indica, que en principio en nada afecta a la obligación de consignar— que, en caso de concurso, las acciones de ejecución dineraria ejercitadas por los trabajadores quedan sometidas a lo establecido en la citada Ley concursal. Dicha tesis jurisprudencial, prosigue refiriendo el Tribunal Superior de Justicia, sostiene que la mera admisión del concurso no presupone falta de liquidez, pues “de la misma forma que los administradores judiciales pueden autorizar el pago de facturas o de los salarios de quienes continúan trabajando, también podrían efectuar consignaciones en metálico o mediante aval bancario solidario … o, en último extremo, a través, en su caso, de autorización del Juez mercantil para ‘enajenar o gravar los bienes y derechos que integran la masa activa’ (art. 43 Ley 22/2003) del concursado”.</w:t>
      </w:r>
    </w:p>
    <w:p w:rsidR="00A90898" w:rsidRDefault="00A90898" w:rsidP="00A90898">
      <w:pPr>
        <w:pStyle w:val="TextoNormal"/>
      </w:pPr>
    </w:p>
    <w:p w:rsidR="00A90898" w:rsidRDefault="00A90898" w:rsidP="00A90898">
      <w:pPr>
        <w:pStyle w:val="TextoNormal"/>
      </w:pPr>
      <w:r>
        <w:t>Sobre esta base, en su fundamento de Derecho segundo, el Auto del Tribunal Superior de Justicia descarta que, en el caso enjuiciado, se den las circunstancias para aplicar la jurisprudencia constitucional sobre la posibilidad de sustituir la consignación en metálico por otra forma de aseguramiento en caso de situación excepcional; y ello, indica, porque no se propone por la recurrente otra fórmula de aseguramiento que pueda considerarse válida a tal efecto, dado que, conforme al criterio del Tribunal Supremo, no tiene tal condición el certificado de los administradores concursales antes referido. Asimismo, frente a las alegaciones de la recurrente, rechaza que la relación laboral especial de los deportistas profesionales permita un trato diferente en este aspecto, e igualmente el Auto afirma la competencia de la jurisdicción social para controlar el cumplimiento del requisito de consignación previsto en el art. 230.1 LJS en orden al anuncio e interposición del recurso de suplicación, rechazando que tal competencia corresponda al Juez de lo mercantil, encargado de las actuaciones ejecutivas.</w:t>
      </w:r>
    </w:p>
    <w:p w:rsidR="00A90898" w:rsidRDefault="00A90898" w:rsidP="00A90898">
      <w:pPr>
        <w:pStyle w:val="TextoNormal"/>
      </w:pPr>
    </w:p>
    <w:p w:rsidR="00A90898" w:rsidRDefault="00A90898" w:rsidP="00A90898">
      <w:pPr>
        <w:pStyle w:val="TextoNormal"/>
      </w:pPr>
      <w:r>
        <w:t xml:space="preserve">En definitiva, motivada en estos términos, la decisión judicial aquí cuestionada está dirigida a aplicar la exigencia legal de consignación impuesta en el art. 230.1 LJS, tras haber indicado el referido Auto del Tribunal Superior de Justicia que dicha obligación no ha experimentado modificación por la Ley concursal. A partir de este presupuesto, en la constatación del cumplimiento de este requisito, el Tribunal Superior de Justicia no ignora la doctrina constitucional sobre la posible flexibilización de los medios legales de consignación, si bien llega a la conclusión de que en este supuesto no concurren las circunstancias requeridas para su aplicación, al considerar que la entidad recurrente no aportó una garantía alternativa idónea. Como ya hemos recordado, corresponde a los órganos judiciales valorar la </w:t>
      </w:r>
      <w:r>
        <w:lastRenderedPageBreak/>
        <w:t>suficiencia de los medios sustitutorios propuestos al objeto de asegurar el debido cumplimiento de la condena conforme a las exigencias de la jurisprudencia constitucional antes repasada (STC 16/1988, de 15 de febrero, FFJJ 1 y 3; AATC 1112/1986, de 22 de diciembre, FJ 2, y 55/1992, de 20 de febrero, FJ 2). Pues bien, en este caso, habida cuenta de lo ya señalado sobre la alternativa ofrecida por la recurrente, no cabe tachar de manifiestamente infundado el criterio de que, a efectos de garantizar un aseguramiento de eficacia equivalente a la consignación, no bastan las alegaciones de la parte sobre sus excepcionales circunstancias y su difícil situación económica, únicamente acompañadas de la certificación de los administradores concursales de que la cantidad objeto de condena había sido reconocida como crédito contingente, con las consecuencias antes indicadas que de tal condición derivan. Además, esta interpretación judicial se efectúa con apoyo en una tesis jurisprudencial que no se constriñe a los Autos del año 2011 a que se hace mención, sino que ha sido reiteradamente aplicada por la Sala de lo Social del Tribunal Supremo, incluso en sede de recurso de casación para la unificación de doctrina (STS de 25 de noviembre de 2014, recurso núm. 857-2014), lo que guarda relevancia frente a la alegación de la aquí recurrente en su demanda de amparo de que existían órganos judiciales que admitían la certificación de la Administración concursal para entender satisfecho el requisito controvertido.</w:t>
      </w:r>
    </w:p>
    <w:p w:rsidR="00A90898" w:rsidRDefault="00A90898" w:rsidP="00A90898">
      <w:pPr>
        <w:pStyle w:val="TextoNormal"/>
      </w:pPr>
    </w:p>
    <w:p w:rsidR="00A90898" w:rsidRDefault="00A90898" w:rsidP="00A90898">
      <w:pPr>
        <w:pStyle w:val="TextoNormal"/>
      </w:pPr>
      <w:r>
        <w:t>En consecuencia, visto el tenor del art. 230 LJS y la ausencia de norma expresa que excluya de su aplicación a las empresas en concurso, las consideraciones realizadas nos llevan a concluir que, desde la perspectiva externa de control que corresponde a este Tribunal, no apreciamos que la decisión judicial de no tramitar el recurso de suplicación promovido contra la Sentencia del Juzgado de lo Social, acordada por los Autos recurridos por no haberse cumplido el requisito de la consignación de las cantidades objeto de condena, pueda tildarse de irrazonable, arbitraria o incursa en error patente. No procede, por consiguiente, declarar la existencia de vulneración del derecho a la tutela judicial efectiva en su vertiente de acceso al recurso (art. 24.1 CE), y en consecuencia, el primer motivo de la demanda de amparo ha de ser desestimado.</w:t>
      </w:r>
    </w:p>
    <w:p w:rsidR="00A90898" w:rsidRDefault="00A90898" w:rsidP="00A90898">
      <w:pPr>
        <w:pStyle w:val="TextoNormal"/>
      </w:pPr>
    </w:p>
    <w:p w:rsidR="00A90898" w:rsidRDefault="00A90898" w:rsidP="00A90898">
      <w:pPr>
        <w:pStyle w:val="TextoNormal"/>
      </w:pPr>
      <w:r w:rsidRPr="00A90898">
        <w:rPr>
          <w:rStyle w:val="NumeroAFNegritaCaracter"/>
        </w:rPr>
        <w:t>6</w:t>
      </w:r>
      <w:r>
        <w:t>. Para el supuesto de desestimación de la anterior queja examinada —como ha sido el caso—, la entidad recurrente aduce, con carácter subsidiario, un segundo motivo de amparo: en concreto, el relativo a la vulneración del derecho a la tutela judicial efectiva por errores patentes de la Sentencia del Juzgado de lo Social.</w:t>
      </w:r>
    </w:p>
    <w:p w:rsidR="00A90898" w:rsidRDefault="00A90898" w:rsidP="00A90898">
      <w:pPr>
        <w:pStyle w:val="TextoNormal"/>
      </w:pPr>
    </w:p>
    <w:p w:rsidR="00A90898" w:rsidRDefault="00A90898" w:rsidP="00A90898">
      <w:pPr>
        <w:pStyle w:val="TextoNormal"/>
      </w:pPr>
      <w:r>
        <w:t>A juicio del Ministerio Fiscal, tal planteamiento de la recurrente no puede ser acogido, pues la conclusión de que el recurso de suplicación fue correctamente inadmitido llevaría a considerar que el motivo alegado incurre en falta de agotamiento de la vía judicial previa, dado que las cuestiones aducidas eran susceptibles de ser esgrimidas como motivos del recurso de suplicación. Esta argumentación del Ministerio Fiscal ha de ser compartida.</w:t>
      </w:r>
    </w:p>
    <w:p w:rsidR="00A90898" w:rsidRDefault="00A90898" w:rsidP="00A90898">
      <w:pPr>
        <w:pStyle w:val="TextoNormal"/>
      </w:pPr>
    </w:p>
    <w:p w:rsidR="00A90898" w:rsidRDefault="00A90898" w:rsidP="00A90898">
      <w:pPr>
        <w:pStyle w:val="TextoNormal"/>
      </w:pPr>
      <w:r>
        <w:t xml:space="preserve">Ciertamente, conforme resulta de la STC 22/2007, de 12 de febrero, FJ 2, el rechazo de la pretensión de amparo formulada contra las resoluciones que acordaron la inadmisión del recurso cierra la vía del amparo para este segundo motivo invocado, “puesto que, en ese supuesto, tal inadmisión tendría su causa en la defectuosa interposición de aquél y es doctrina constitucional que el incorrecto agotamiento de la vía judicial, dado el carácter subsidiario del recurso de amparo, impide asimismo al Tribunal Constitucional entrar a conocer de la hipotética vulneración aducida (SSTC 191/2001, de 1 de octubre, FJ 1, y 182/2004, de 2 de noviembre, FJ 4), ya que el agotamiento de la vía judicial ordinaria se frustra también </w:t>
      </w:r>
      <w:r>
        <w:lastRenderedPageBreak/>
        <w:t>cuando, aun interponiendo los medios de impugnación exigibles, su modo de utilización impide que los órganos judiciales cuenten con la posibilidad efectiva de reparar la vulneración del derecho fundamental (SSTC 85/1999, de 10 de mayo, FJ 5; 93/2002, de 22 de abril, FJ 2, y 25/2005, de 14 de febrero, FJ 3)”. Asimismo, tras recordar el carácter subsidiario del recurso de amparo [art. 44.1 a) LOTC], también en la STC 226/1999, de 13 de diciembre, FJ 2, se puso de relieve que “si la inadmisión del recurso…se considerara correcta desde la perspectiva constitucional, es evidente que la recurrente no habría agotado debidamente la vía judicial, al no haber accedido al recurso por el incumplimiento del deber de consignar”.</w:t>
      </w:r>
    </w:p>
    <w:p w:rsidR="00A90898" w:rsidRDefault="00A90898" w:rsidP="00A90898">
      <w:pPr>
        <w:pStyle w:val="TextoNormal"/>
      </w:pPr>
    </w:p>
    <w:p w:rsidR="00A90898" w:rsidRDefault="00A90898" w:rsidP="00A90898">
      <w:pPr>
        <w:pStyle w:val="TextoNormal"/>
      </w:pPr>
      <w:r>
        <w:t>En consecuencia, la aplicación de estas consideraciones al presente supuesto ha de llevarnos a concluir que el motivo que con carácter subsidiario aduce la entidad recurrente —esto es, el relativo a la eventual lesión del derecho a la tutela judicial efectiva por errores patentes de la Sentencia del Juzgado de lo Social— no puede ser objeto de análisis en este pronunciamiento.</w:t>
      </w:r>
    </w:p>
    <w:p w:rsidR="00A90898" w:rsidRDefault="00A90898" w:rsidP="00A90898">
      <w:pPr>
        <w:pStyle w:val="TextoNormal"/>
      </w:pPr>
    </w:p>
    <w:p w:rsidR="00A90898" w:rsidRDefault="00A90898" w:rsidP="00A90898">
      <w:pPr>
        <w:pStyle w:val="TextoNormal"/>
      </w:pPr>
      <w:r w:rsidRPr="00A90898">
        <w:rPr>
          <w:rStyle w:val="NumeroAFNegritaCaracter"/>
        </w:rPr>
        <w:t>7</w:t>
      </w:r>
      <w:r>
        <w:t>. En definitiva, por todo lo dicho, procede la desestimación del recurso de amparo interpuesto.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presente demanda de amparo interpuesta por Hércules Club de Fútbol, Sociedad Anónima Deportiva.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seis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6" w:name="SENTENCIA_2016_167"/>
      <w:r>
        <w:lastRenderedPageBreak/>
        <w:t>SENTENCIA 167/2016, de 6 de octubre de 2016</w:t>
      </w:r>
    </w:p>
    <w:bookmarkEnd w:id="46"/>
    <w:p w:rsidR="00A90898" w:rsidRDefault="00A90898" w:rsidP="00A90898">
      <w:pPr>
        <w:pStyle w:val="TtuloResolucin"/>
      </w:pPr>
      <w:r>
        <w:t>Pleno</w:t>
      </w:r>
    </w:p>
    <w:p w:rsidR="00A90898" w:rsidRDefault="00A90898" w:rsidP="00A90898">
      <w:pPr>
        <w:pStyle w:val="TtuloBOE"/>
      </w:pPr>
      <w:r>
        <w:t>(BOE núm. 276, de 15 de noviembre de 2016)</w:t>
      </w:r>
    </w:p>
    <w:p w:rsidR="00A90898" w:rsidRDefault="00A90898" w:rsidP="00A90898">
      <w:pPr>
        <w:pStyle w:val="TextoNormalCentrado"/>
      </w:pPr>
      <w:r>
        <w:t>ECLI:ES:TC:2016:167</w:t>
      </w:r>
    </w:p>
    <w:p w:rsidR="00A90898" w:rsidRDefault="00A90898" w:rsidP="00A90898">
      <w:pPr>
        <w:pStyle w:val="TextoNormalCentrado"/>
      </w:pPr>
    </w:p>
    <w:p w:rsidR="00A90898" w:rsidRDefault="00A90898" w:rsidP="00A90898">
      <w:pPr>
        <w:pStyle w:val="SntesisDescriptiva"/>
      </w:pPr>
      <w:r>
        <w:t>Cuestión de inconstitucionalidad 6599-2013.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w:t>
      </w:r>
    </w:p>
    <w:p w:rsidR="00A90898" w:rsidRDefault="00A90898" w:rsidP="00A90898">
      <w:pPr>
        <w:pStyle w:val="SntesisDescriptiva"/>
      </w:pPr>
    </w:p>
    <w:p w:rsidR="00A90898" w:rsidRDefault="00A90898" w:rsidP="00A90898">
      <w:pPr>
        <w:pStyle w:val="SntesisAnaltica"/>
      </w:pPr>
      <w:r>
        <w:t>Principios de igualdad y de interdicción de la arbitrariedad: constitucionalidad del precepto legal que concreta la obligación de financiación por el sector eléctrico de planes de ahorro y eficiencia energética.</w:t>
      </w:r>
    </w:p>
    <w:p w:rsidR="00A90898" w:rsidRDefault="00A90898" w:rsidP="00A90898">
      <w:pPr>
        <w:pStyle w:val="SntesisAnaltica"/>
      </w:pPr>
    </w:p>
    <w:p w:rsidR="00A90898" w:rsidRDefault="00A90898" w:rsidP="00A90898">
      <w:pPr>
        <w:pStyle w:val="Extracto"/>
      </w:pPr>
      <w:r>
        <w:t>1.</w:t>
      </w:r>
      <w:r>
        <w:tab/>
        <w:t>El legislador, en uso de su margen de configuración, puede articular soluciones para moderar los costes del sistema eléctrico, diseñando fórmulas alternativas de financiación (los distintos subsectores, o bien los presupuestos generales del Estado) pues, en caso contrario, la única opción es un todavía mayor aumento de las tarifas o, si no se traslada a precios el mayor coste del sistema, la acumulación de más déficit, comprometiendo la sostenibilidad financiera del sector [FJ 3].</w:t>
      </w:r>
    </w:p>
    <w:p w:rsidR="00A90898" w:rsidRDefault="00A90898" w:rsidP="00A90898">
      <w:pPr>
        <w:pStyle w:val="Extracto"/>
      </w:pPr>
    </w:p>
    <w:p w:rsidR="00A90898" w:rsidRDefault="00A90898" w:rsidP="00A90898">
      <w:pPr>
        <w:pStyle w:val="Extracto"/>
      </w:pPr>
      <w:r>
        <w:t>2.</w:t>
      </w:r>
      <w:r>
        <w:tab/>
        <w:t>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(STC 170/2012) [FJ 3].</w:t>
      </w:r>
    </w:p>
    <w:p w:rsidR="00A90898" w:rsidRDefault="00A90898" w:rsidP="00A90898">
      <w:pPr>
        <w:pStyle w:val="Extracto"/>
      </w:pPr>
    </w:p>
    <w:p w:rsidR="00A90898" w:rsidRDefault="00A90898" w:rsidP="00A90898">
      <w:pPr>
        <w:pStyle w:val="Extracto"/>
      </w:pPr>
      <w:r>
        <w:t>3.</w:t>
      </w:r>
      <w:r>
        <w:tab/>
        <w:t>El enjuiciamiento del Tribunal Constitucional del régimen de financiación de los planes de ahorro y eficiencia energética de los años 2011, 2012 y 2013, como parte del amplio conjunto de medidas de regulación del mercado eléctrico y, en particular, para hacer frente al déficit tarifario, deberá ser exclusivamente de constitucionalidad y no político, de oportunidad o de calidad técnica (STC 49/2008), excluyendo toda valoración política o de conveniencia u oportunidad (STC 233/2015) [FJ 3].</w:t>
      </w:r>
    </w:p>
    <w:p w:rsidR="00A90898" w:rsidRDefault="00A90898" w:rsidP="00A90898">
      <w:pPr>
        <w:pStyle w:val="Extracto"/>
      </w:pPr>
    </w:p>
    <w:p w:rsidR="00A90898" w:rsidRDefault="00A90898" w:rsidP="00A90898">
      <w:pPr>
        <w:pStyle w:val="Extracto"/>
      </w:pPr>
      <w:r>
        <w:t>4.</w:t>
      </w:r>
      <w:r>
        <w:tab/>
        <w:t>No es competencia del Tribunal Constitucional pronunciarse sobre la mayor o menor oportunidad técnica o acierto de medidas concretas ni determinar en qué medida el régimen especial primado pueda repercutir sobre el déficit tarifario, sino que basta con constatar que al menos una parte del mencionado déficit se genera por la existencia de un sistema de primas, y que la fórmula adoptada de establecer límites dentro del sistema retributivo, en este caso mediante la fijación de un número máximo de horas con derecho a prima en función de las zonas climáticas, es una medida apta para repercutir sobre el objetivo de reducción de dicho déficit de tarifa (STC 96/2014) [FJ 3].</w:t>
      </w:r>
    </w:p>
    <w:p w:rsidR="00A90898" w:rsidRDefault="00A90898" w:rsidP="00A90898">
      <w:pPr>
        <w:pStyle w:val="Extracto"/>
      </w:pPr>
    </w:p>
    <w:p w:rsidR="00A90898" w:rsidRDefault="00A90898" w:rsidP="00A90898">
      <w:pPr>
        <w:pStyle w:val="Extracto"/>
      </w:pPr>
      <w:r>
        <w:t>5.</w:t>
      </w:r>
      <w:r>
        <w:tab/>
        <w:t xml:space="preserve">No toda prestación impuesta tiene que ser necesariamente una expresión concreta del deber de contribuir; nos hallamos ante una medida adoptada por el Estado al margen de su poder tributario, cuyos destinatarios son llamados a su cumplimento </w:t>
      </w:r>
      <w:r>
        <w:lastRenderedPageBreak/>
        <w:t>no como contribuyentes, sino en el marco de su relación económica con el Estado dentro de un sector regulado como el eléctrico, relación de la que pueden surgir tanto derechos como cargas que asumir (STC 83/2014) [FJ 4].</w:t>
      </w:r>
    </w:p>
    <w:p w:rsidR="00A90898" w:rsidRDefault="00A90898" w:rsidP="00A90898">
      <w:pPr>
        <w:pStyle w:val="Extracto"/>
      </w:pPr>
    </w:p>
    <w:p w:rsidR="00A90898" w:rsidRDefault="00A90898" w:rsidP="00A90898">
      <w:pPr>
        <w:pStyle w:val="Extracto"/>
      </w:pPr>
      <w:r>
        <w:t>6.</w:t>
      </w:r>
      <w:r>
        <w:tab/>
        <w:t>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(STC 144/1988) [FJ 5].</w:t>
      </w:r>
    </w:p>
    <w:p w:rsidR="00A90898" w:rsidRDefault="00A90898" w:rsidP="00A90898">
      <w:pPr>
        <w:pStyle w:val="Extracto"/>
      </w:pPr>
    </w:p>
    <w:p w:rsidR="00A90898" w:rsidRDefault="00A90898" w:rsidP="00A90898">
      <w:pPr>
        <w:pStyle w:val="Extracto"/>
      </w:pPr>
      <w:r>
        <w:t>7.</w:t>
      </w:r>
      <w:r>
        <w:tab/>
        <w:t>Primer rasgo en que se concreta la doctrina del Tribunal acerca del artículo 14 de la Constitución: no toda desigualdad de trato en la Ley supone una infracción del artículo citado, sino que dicha infracción la produce sólo aquella desigualdad que introduce una diferencia entre situaciones que pueden considerarse iguales y que carece de una justificación objetiva y razonable (SSTC 3/1983; 10/2005) [FJ 5].</w:t>
      </w:r>
    </w:p>
    <w:p w:rsidR="00A90898" w:rsidRDefault="00A90898" w:rsidP="00A90898">
      <w:pPr>
        <w:pStyle w:val="Extracto"/>
      </w:pPr>
    </w:p>
    <w:p w:rsidR="00A90898" w:rsidRDefault="00A90898" w:rsidP="00A90898">
      <w:pPr>
        <w:pStyle w:val="Extracto"/>
      </w:pPr>
      <w:r>
        <w:t>8.</w:t>
      </w:r>
      <w:r>
        <w:tab/>
        <w:t>Segundo rasgo en que se concreta la doctrina del Tribunal acerca del artículo 14 CE: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(SSTC 3/1983; 10/2005) [FJ 5].</w:t>
      </w:r>
    </w:p>
    <w:p w:rsidR="00A90898" w:rsidRDefault="00A90898" w:rsidP="00A90898">
      <w:pPr>
        <w:pStyle w:val="Extracto"/>
      </w:pPr>
    </w:p>
    <w:p w:rsidR="00A90898" w:rsidRDefault="00A90898" w:rsidP="00A90898">
      <w:pPr>
        <w:pStyle w:val="Extracto"/>
      </w:pPr>
      <w:r>
        <w:t>9.</w:t>
      </w:r>
      <w:r>
        <w:tab/>
        <w:t>Tercer rasgo en que se concreta la doctrina del Tribunal acerca del artículo 14 CE: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y(SSTC 3/1983; 10/2005) [FJ 5].</w:t>
      </w:r>
    </w:p>
    <w:p w:rsidR="00A90898" w:rsidRDefault="00A90898" w:rsidP="00A90898">
      <w:pPr>
        <w:pStyle w:val="Extracto"/>
      </w:pPr>
    </w:p>
    <w:p w:rsidR="00A90898" w:rsidRDefault="00A90898" w:rsidP="00A90898">
      <w:pPr>
        <w:pStyle w:val="Extracto"/>
      </w:pPr>
      <w:r>
        <w:t>10.</w:t>
      </w:r>
      <w:r>
        <w:tab/>
        <w:t>Cuarto y último rasgo en que se concreta la doctrina del Tribunal acerca del artículo 14 CE: para que la diferenciación resulte constitucionalmente lícita, no basta con que lo sea el fin que se persigue con ella,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3/1983; 10/2005) [FJ 5].</w:t>
      </w:r>
    </w:p>
    <w:p w:rsidR="00A90898" w:rsidRDefault="00A90898" w:rsidP="00A90898">
      <w:pPr>
        <w:pStyle w:val="Extracto"/>
      </w:pPr>
    </w:p>
    <w:p w:rsidR="00A90898" w:rsidRDefault="00A90898" w:rsidP="00A90898">
      <w:pPr>
        <w:pStyle w:val="Extracto"/>
      </w:pPr>
      <w:r>
        <w:t>11.</w:t>
      </w:r>
      <w:r>
        <w:tab/>
        <w:t>La aplicación de una concreta medida tan solo a empresas productoras de electricidad, y no a las dedicadas a otras actividades del sector, no introduce una diferencia entre situaciones que puedan calificarse iguales, al menos por dos razones: i) el diferente régimen jurídico y económico aplicable a cada actividad, lo que conlleva distintos derechos y cargas; y ii) el necesario enfoque de la norma controvertida en el contexto de las adoptadas durante un periodo largo de tiempo para contener el déficit de tarifa eléctrica [FJ 6].</w:t>
      </w:r>
    </w:p>
    <w:p w:rsidR="00A90898" w:rsidRDefault="00A90898" w:rsidP="00A90898">
      <w:pPr>
        <w:pStyle w:val="Extracto"/>
      </w:pPr>
    </w:p>
    <w:p w:rsidR="00A90898" w:rsidRDefault="00A90898" w:rsidP="00A90898">
      <w:pPr>
        <w:pStyle w:val="Extracto"/>
      </w:pPr>
      <w:r>
        <w:t>12.</w:t>
      </w:r>
      <w:r>
        <w:tab/>
        <w:t>La decisión del legislador, en ejercicio de sus funciones de regulación del sector eléctrico, de exigir una prestación patrimonial de carácter público de naturaleza no tributaria para financiar el coste de los planes de ahorro y eficiencia energética solo a empresas de producción de electricidad en régimen ordinario, desde la perspectiva de las demás empresas del subsector de producción,  en concreto de las generadoras de régimen especial, no introduce una diferencia entre situaciones que puedan considerarse iguales, puesto que el régimen jurídico y económico de ambas modalidades es diferente y, con él, sus derechos y cargas [FJ 6].</w:t>
      </w:r>
    </w:p>
    <w:p w:rsidR="00A90898" w:rsidRDefault="00A90898" w:rsidP="00A90898">
      <w:pPr>
        <w:pStyle w:val="Extracto"/>
      </w:pPr>
    </w:p>
    <w:p w:rsidR="00A90898" w:rsidRDefault="00A90898" w:rsidP="00A90898">
      <w:pPr>
        <w:pStyle w:val="Extracto"/>
      </w:pPr>
      <w:r>
        <w:t>13.</w:t>
      </w:r>
      <w:r>
        <w:tab/>
        <w:t>La especificidad de los grupos empresariales protagonistas del mercado de producción eléctrica legitima una referencia normativa igualmente singularizada, cuando hay razones objetivas y justificadas para ello [FJ 6].</w:t>
      </w:r>
    </w:p>
    <w:p w:rsidR="00A90898" w:rsidRDefault="00A90898" w:rsidP="00A90898">
      <w:pPr>
        <w:pStyle w:val="Extracto"/>
      </w:pPr>
    </w:p>
    <w:p w:rsidR="00A90898" w:rsidRDefault="00A90898" w:rsidP="00A90898">
      <w:pPr>
        <w:pStyle w:val="Extracto"/>
      </w:pPr>
      <w:r>
        <w:t>14.</w:t>
      </w:r>
      <w:r>
        <w:tab/>
        <w:t>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(STC 99/1987; 73/2000)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6599-2013,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comparecido y formulado alegaciones el Abogado del Estado, el Fiscal General del Estado y las entidades Iberdrola Generación, S.A., Tarragona Power, S.L., y E.ON Generación, S.L., personadas en el proceso a quo.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escrito registrado en este Tribunal el 12 de noviembre de 2013, la Sección Cuarta de la Sala de lo Contencioso-administrativo de la Audiencia Nacional remitió testimonio del Auto de 11 de noviembre de 2013 por el que acordaba plantear una cuestión de inconstitucionalidad en relación con la disposición adicional tercera del Real Decreto-ley 14/2010, de 23 de diciembre, por el que se establecen medidas urgentes para la corrección del déficit tarifario del sector eléctrico (en lo sucesivo, Real Decreto-ley 14/2010), por vulneración de los arts. 9.3 y 14 de la Constitución.</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la presente cuestión de inconstitucionalidad son los siguientes:</w:t>
      </w:r>
    </w:p>
    <w:p w:rsidR="00A90898" w:rsidRDefault="00A90898" w:rsidP="00A90898">
      <w:pPr>
        <w:pStyle w:val="TextoNormal"/>
      </w:pPr>
    </w:p>
    <w:p w:rsidR="00A90898" w:rsidRDefault="00A90898" w:rsidP="00A90898">
      <w:pPr>
        <w:pStyle w:val="TextoNormal"/>
      </w:pPr>
      <w:r>
        <w:t>a) El 5 de diciembre de 2011 las entidades Iberdrola Generación, S.A., y Tarragona Power, S.L., interpusieron un recurso contencioso-administrativo ante la Sala correspondiente de la Audiencia Nacional contra la Orden ITC/2844/2011, de 19 de octubre, por la que se regulan las transferencias de fondos con cargo a las empresas productoras de energía eléctrica y a los peajes de acceso de terceros a las instalaciones gasistas de la cuenta específica de la Comisión Nacional de Energía al Instituto para la Diversificación y el Ahorro de la Energía, en el año 2011, para la ejecución de las medidas del plan de acción 2008-2012 de la estrategia de ahorro y eficiencia energética en España 2004-2012 y los criterios para la ejecución de medidas contempladas en dicho plan, por entender que dicha disposición no era ajustada a Derecho. En concreto, las recurrentes consideraban vulnerados los arts. 9.3, 14 y 38 CE, así como diversas disposiciones del Derecho de la Unión Europea, achacando dichas vulneraciones a la disposición adicional tercera del Real Decreto-ley 14/2010, en desarrollo de la cual se había dictado la Orden ITC/2844/2011.</w:t>
      </w:r>
    </w:p>
    <w:p w:rsidR="00A90898" w:rsidRDefault="00A90898" w:rsidP="00A90898">
      <w:pPr>
        <w:pStyle w:val="TextoNormal"/>
      </w:pPr>
    </w:p>
    <w:p w:rsidR="00A90898" w:rsidRDefault="00A90898" w:rsidP="00A90898">
      <w:pPr>
        <w:pStyle w:val="TextoNormal"/>
      </w:pPr>
      <w:r>
        <w:t>b) Concluidas las actuaciones, por providencia de 29 de mayo de 2013, la Sección acordó, en aplicación de lo establecido en el art. 35 de la Ley Orgánica del Tribunal Constitucional (LOTC), con suspensión del plazo para dictar sentencia, “la apertura de trámite incidental con el fin de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En dicha providencia se indicaba que “la Sala tiene dudas sobre la adecuación de la citada norma con los principios de interdicción de la arbitrariedad e igualdad establecidos en los arts. 9.3 y 14 de la Constitución, en concreto, si es conforme con las normas constitucionales indicadas el establecer que las cuantías destinadas a la financiación del plan de acción 2008-2012 se financiarán mediante la aportación de determinados porcentajes por un conjunto de empresas productoras o generadoras de electricidad en régimen ordinario nominalmente designadas”. Asimismo, se añadía que “la decisión de la cuestión planteada en el presente recurso depende de la validez de dicha disposición adicional tercera, por cuanto la Orden ITC/2844/2011, de 19 de octubre, objeto del mismo, simplemente concreta las cuantías de esos porcentajes en el año 2011 para cada una de las empresas obligadas y establece el procedimiento para su ingreso en la cuenta de la Comisión Nacional de la Energía”.</w:t>
      </w:r>
    </w:p>
    <w:p w:rsidR="00A90898" w:rsidRDefault="00A90898" w:rsidP="00A90898">
      <w:pPr>
        <w:pStyle w:val="TextoNormal"/>
      </w:pPr>
    </w:p>
    <w:p w:rsidR="00A90898" w:rsidRDefault="00A90898" w:rsidP="00A90898">
      <w:pPr>
        <w:pStyle w:val="TextoNormal"/>
      </w:pPr>
      <w:r>
        <w:lastRenderedPageBreak/>
        <w:t>c) En las alegaciones presentadas en dicho incidente las entidades recurrentes consideraron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00A90898" w:rsidRDefault="00A90898" w:rsidP="00A90898">
      <w:pPr>
        <w:pStyle w:val="TextoNormal"/>
      </w:pPr>
    </w:p>
    <w:p w:rsidR="00A90898" w:rsidRDefault="00A90898" w:rsidP="00A90898">
      <w:pPr>
        <w:pStyle w:val="TextoNormal"/>
      </w:pPr>
      <w:r w:rsidRPr="00A90898">
        <w:rPr>
          <w:rStyle w:val="NumeroAFNegritaCaracter"/>
        </w:rPr>
        <w:t>3</w:t>
      </w:r>
      <w:r>
        <w:t>. El Auto de 11 de noviembre de 2013 de la Sección Cuarta de la Sala de lo Contencioso-Administrativo de la Audiencia Nacional presenta la cuestión en los siguientes términos:</w:t>
      </w:r>
    </w:p>
    <w:p w:rsidR="00A90898" w:rsidRDefault="00A90898" w:rsidP="00A90898">
      <w:pPr>
        <w:pStyle w:val="TextoNormal"/>
      </w:pPr>
    </w:p>
    <w:p w:rsidR="00A90898" w:rsidRDefault="00A90898" w:rsidP="00A90898">
      <w:pPr>
        <w:pStyle w:val="TextoNormal"/>
      </w:pPr>
      <w:r>
        <w:t>Comienza exponiendo los hechos que han dado lugar a la presente cuestión de inconstitucionalidad para formular, a continuación, los juicios de aplicabilidad y relevancia exigibles para su válido planteamiento. Así, el órgano promotor entiende que existe una norma con rango de ley aplicable al caso y que de su validez depende la resolución del litigio, concretamente, la disposición adicional tercera del Real Decreto-ley 14/2010, en desarrollo de la cual se había dictado la Orden ITC/2844/2011, cuyo artículo 2 determina las cuantías destinadas en el año 2011 a las actuaciones del Plan con cargo a las empresas productoras de energía eléctrica (y a los peajes de acceso de terceros a las instalaciones gasistas, que no afectan directamente al presente caso).</w:t>
      </w:r>
    </w:p>
    <w:p w:rsidR="00A90898" w:rsidRDefault="00A90898" w:rsidP="00A90898">
      <w:pPr>
        <w:pStyle w:val="TextoNormal"/>
      </w:pPr>
    </w:p>
    <w:p w:rsidR="00A90898" w:rsidRDefault="00A90898" w:rsidP="00A90898">
      <w:pPr>
        <w:pStyle w:val="TextoNormal"/>
      </w:pPr>
      <w:r>
        <w:t>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teniendo el Real Decreto-Ley 14/2010, fuerza de ley”. Asimismo, se pone de relieve que el recurso contencioso se interpone contra los artículos 1, 3 y 6.2 de la Orden, si bien el núcleo del debate se centra en el art. 2, ya que el art. 1 describe el objeto de la Orden, el 3 la liquidación y el 6.2 la aplicación y ejecución. En todo caso, afirma el Auto, “la suerte del litigio descansa sobre la obligación establecida en la disposición adicional tercera del Real Decreto-Ley 14/2010”, a la vista de lo cual la Sala entiende que se cumplen los requisitos de aplicabilidad y relevancia.</w:t>
      </w:r>
    </w:p>
    <w:p w:rsidR="00A90898" w:rsidRDefault="00A90898" w:rsidP="00A90898">
      <w:pPr>
        <w:pStyle w:val="TextoNormal"/>
      </w:pPr>
    </w:p>
    <w:p w:rsidR="00A90898" w:rsidRDefault="00A90898" w:rsidP="00A90898">
      <w:pPr>
        <w:pStyle w:val="TextoNormal"/>
      </w:pPr>
      <w:r>
        <w:t>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00A90898" w:rsidRDefault="00A90898" w:rsidP="00A90898">
      <w:pPr>
        <w:pStyle w:val="TextoNormal"/>
      </w:pPr>
    </w:p>
    <w:p w:rsidR="00A90898" w:rsidRDefault="00A90898" w:rsidP="00A90898">
      <w:pPr>
        <w:pStyle w:val="TextoNormal"/>
      </w:pPr>
      <w:r>
        <w:t xml:space="preserve">En cuanto a la primera de las cuestiones que formula la Audiencia Nacional (la razón de que solo las empresas productoras en régimen ordinario y no las restantes entidades productoras soporten el coste del plan de ahorro), el Auto expone que “la Abogacía del Estado </w:t>
      </w:r>
      <w:r>
        <w:lastRenderedPageBreak/>
        <w:t>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Y,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w:t>
      </w:r>
    </w:p>
    <w:p w:rsidR="00A90898" w:rsidRDefault="00A90898" w:rsidP="00A90898">
      <w:pPr>
        <w:pStyle w:val="TextoNormal"/>
      </w:pPr>
    </w:p>
    <w:p w:rsidR="00A90898" w:rsidRDefault="00A90898" w:rsidP="00A90898">
      <w:pPr>
        <w:pStyle w:val="TextoNormal"/>
      </w:pPr>
      <w:r>
        <w:t>La Sala no discute la legitimidad del legislador para establecer normas que orienten la política económica en un determinado sentido y que, con tal fin, pueda establecer tratamientos diferenciados, pero las argumentaciones que se dan con tal propósito no le parecen suficientes.</w:t>
      </w:r>
    </w:p>
    <w:p w:rsidR="00A90898" w:rsidRDefault="00A90898" w:rsidP="00A90898">
      <w:pPr>
        <w:pStyle w:val="TextoNormal"/>
      </w:pPr>
    </w:p>
    <w:p w:rsidR="00A90898" w:rsidRDefault="00A90898" w:rsidP="00A90898">
      <w:pPr>
        <w:pStyle w:val="TextoNormal"/>
      </w:pPr>
      <w:r>
        <w:t>En primer lugar, pone de relieve que el Real Decreto-ley 14/2010 justifica las medidas adoptadas en las nuevas condiciones económicas que han generado un escenario no previsto, por lo que se adoptan medidas con el fin de evitar que el déficit tarifario aumente sin control. Y,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nos parece tan razonable es que dicha medida justifique que la totalidad del coste de la financiación del Plan de Acción con cargo al sistema eléctrico, recaiga en exclusiva sobre las empresas generadoras en régimen ordinario”. Entre otras razones, alega que los beneficios del plan favorecen tanto a las empresas productoras en régimen especial como a las empresas productoras en régimen ordinario.</w:t>
      </w:r>
    </w:p>
    <w:p w:rsidR="00A90898" w:rsidRDefault="00A90898" w:rsidP="00A90898">
      <w:pPr>
        <w:pStyle w:val="TextoNormal"/>
      </w:pPr>
    </w:p>
    <w:p w:rsidR="00A90898" w:rsidRDefault="00A90898" w:rsidP="00A90898">
      <w:pPr>
        <w:pStyle w:val="TextoNormal"/>
      </w:pPr>
      <w:r>
        <w:t>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al Auto a concluir que los argumentos esgrimidos para justificar que las empresas de generación de electricidad en régimen ordinario abonen, en exclusiva, el coste de financiación del plan de ahorro no son convincentes, por lo que podría haberse vulnerado el principio de igualdad.</w:t>
      </w:r>
    </w:p>
    <w:p w:rsidR="00A90898" w:rsidRDefault="00A90898" w:rsidP="00A90898">
      <w:pPr>
        <w:pStyle w:val="TextoNormal"/>
      </w:pPr>
    </w:p>
    <w:p w:rsidR="00A90898" w:rsidRDefault="00A90898" w:rsidP="00A90898">
      <w:pPr>
        <w:pStyle w:val="TextoNormal"/>
      </w:pPr>
      <w:r>
        <w:t xml:space="preserve">A continuación, el Auto afirma que el Real Decreto-ley en cuestión no explica los criterios por los que ha seleccionado a determinadas empresas y analiza las razones aducidas por la Abogacía del Estado para excluir a determinadas entidades, una de las cuales es su escasa cuota de mercado. Acerca de esto, el órgano judicial sostiene que varias de las empresas excluidas tienen una cuota de mercado superior a las seleccionadas en la disposición cuestionada. En segundo lugar, a la Audiencia Nacional le resulta dudoso que se excluya a ciertas empresas por dedicarse, fundamentalmente, a la producción con energías renovables. Finalmente, el órgano promotor asevera que hay empresas de producción en régimen ordinario que la Administración no cita y que no están incluidas en la disposición analizada, </w:t>
      </w:r>
      <w:r>
        <w:lastRenderedPageBreak/>
        <w:t>respecto de las cuales nada se dice. En definitiva, la Audiencia Nacional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00A90898" w:rsidRDefault="00A90898" w:rsidP="00A90898">
      <w:pPr>
        <w:pStyle w:val="TextoNormal"/>
      </w:pPr>
    </w:p>
    <w:p w:rsidR="00A90898" w:rsidRDefault="00A90898" w:rsidP="00A90898">
      <w:pPr>
        <w:pStyle w:val="TextoNormal"/>
      </w:pPr>
      <w:r>
        <w:t>Finalmente, el Auto estima que la disposición adicional tercera también puede ser contraria al principio de interdicción de la arbitrariedad de los poderes públicos, planteándose en primer lugar si es razonable que la totalidad del coste recaiga sobre las empresas enumeradas en la disposición adicional tercera porque el plan de ahorro alcanza a varios sectores, entre los que se halla, sí, el eléctrico, pero dentro del cual se benefician no sólo las empresas 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00A90898" w:rsidRDefault="00A90898" w:rsidP="00A90898">
      <w:pPr>
        <w:pStyle w:val="TextoNormal"/>
      </w:pPr>
    </w:p>
    <w:p w:rsidR="00A90898" w:rsidRDefault="00A90898" w:rsidP="00A90898">
      <w:pPr>
        <w:pStyle w:val="TextoNormal"/>
      </w:pPr>
      <w:r>
        <w:t>En segundo lugar, la Audiencia Nacional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que están obligadas, en virtud de dicho precepto, a financiar el déficit de la tarifa eléctrica y que tendrán, por tanto, una menor carga como consecuencia del reequilibrio del sistema al que contribuye la medida aquí analizada.</w:t>
      </w:r>
    </w:p>
    <w:p w:rsidR="00A90898" w:rsidRDefault="00A90898" w:rsidP="00A90898">
      <w:pPr>
        <w:pStyle w:val="TextoNormal"/>
      </w:pPr>
    </w:p>
    <w:p w:rsidR="00A90898" w:rsidRDefault="00A90898" w:rsidP="00A90898">
      <w:pPr>
        <w:pStyle w:val="TextoNormal"/>
      </w:pPr>
      <w:r>
        <w:t>Sin embargo, el órgano judicial promotor de la cuestión no considera convincentes las razones esgrimidas, debido a que no llega a indicarse en detalle cómo se han obtenido los porcentajes exigidos a cada entidad y porque el argumento de conexión con la disposición adicional vigésimo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00A90898" w:rsidRDefault="00A90898" w:rsidP="00A90898">
      <w:pPr>
        <w:pStyle w:val="TextoNormal"/>
      </w:pPr>
    </w:p>
    <w:p w:rsidR="00A90898" w:rsidRDefault="00A90898" w:rsidP="00A90898">
      <w:pPr>
        <w:pStyle w:val="TextoNormal"/>
      </w:pPr>
      <w:r>
        <w:t>Las anteriores consideraciones llevan al órgano judicial a reafirmarse en sus dudas de constitucionalidad y acordar, en consecuencia:</w:t>
      </w:r>
    </w:p>
    <w:p w:rsidR="00A90898" w:rsidRDefault="00A90898" w:rsidP="00A90898">
      <w:pPr>
        <w:pStyle w:val="TextoNormal"/>
      </w:pPr>
    </w:p>
    <w:p w:rsidR="00A90898" w:rsidRDefault="00A90898" w:rsidP="00A90898">
      <w:pPr>
        <w:pStyle w:val="TextoNormal"/>
      </w:pPr>
      <w:r>
        <w:t>“Plantear cuestión de inconstitucionalidad acerca de la disposición adicional tercera del Real Decreto-ley 14/2010, de 23 de diciembre, que establece medidas urgentes para la corrección del déficit tarifario del sector eléctrico, al dudarse de la constitucionalidad de la norma por las siguientes razones:</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empresas productoras de electricidad en régimen ordinario con carácter exclusivo y frente a otras empresas del sector de electricidad.</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concretas empresas establecidas en la disposición y frente al resto de las empresas productoras de energía del sector.</w:t>
      </w:r>
    </w:p>
    <w:p w:rsidR="00A90898" w:rsidRDefault="00A90898" w:rsidP="00A90898">
      <w:pPr>
        <w:pStyle w:val="TextoNormal"/>
      </w:pPr>
    </w:p>
    <w:p w:rsidR="00A90898" w:rsidRDefault="00A90898" w:rsidP="00A90898">
      <w:pPr>
        <w:pStyle w:val="TextoNormal"/>
      </w:pPr>
      <w:r>
        <w:t>- Vulneración del art. 9.3 de la Constitución, por posible arbitrariedad en imponer que las empresas generadoras de electricidad en régimen ordinario abonen la totalidad del coste del Plan de Acción en el sector eléctrico y al no indicar cómo se han obtenido los porcentajes de los que debe responder cada una de las empresas.”</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del Pleno de 25 de febrero de 2014 se acordó admitir a trámite la presente cuestión, por posible vulneración de los arts. 9.3 y 14 CE; de conformidad con lo dispuesto en el artículo 10.1 c) LOTC, reservar para sí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55, de 5 de marzo de 2014, corrección de errores del “BOE” núm. 64, de 15 de marzo).</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con fecha 7 de marzo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12 de marzo de 2014.</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Por escrito registrado el 20 de marzo de 2014, la representación procesal de E.ON Generación, S.L., en su condición de codemandada en el proceso </w:t>
      </w:r>
      <w:r w:rsidRPr="00A90898">
        <w:rPr>
          <w:i/>
        </w:rPr>
        <w:t>a quo</w:t>
      </w:r>
      <w:r>
        <w:t>, solicitó que se le tuviera por personada y parte, al igual que hicieron, mediante escrito presentado el 27 de marzo del mismo año, las entidades Iberdrola Generación, S.A., y Tarragona Power, S.L., recurrentes en el proceso que da origen a la presente cuestión de inconstitucionalidad. Mediante diligencia de ordenación del Pleno de 31 de marzo de 2014 se acordó unir a las actuaciones ambos escritos, teniendo por personadas a las entidades citadas.</w:t>
      </w:r>
    </w:p>
    <w:p w:rsidR="00A90898" w:rsidRDefault="00A90898" w:rsidP="00A90898">
      <w:pPr>
        <w:pStyle w:val="TextoNormal"/>
      </w:pPr>
    </w:p>
    <w:p w:rsidR="00A90898" w:rsidRDefault="00A90898" w:rsidP="00A90898">
      <w:pPr>
        <w:pStyle w:val="TextoNormal"/>
      </w:pPr>
      <w:r w:rsidRPr="00A90898">
        <w:rPr>
          <w:rStyle w:val="NumeroAFNegritaCaracter"/>
        </w:rPr>
        <w:t>7</w:t>
      </w:r>
      <w:r>
        <w:t>. Las alegaciones presentadas por el Abogado del Estado, interesando la desestimación de la cuestión, fueron registradas en este Tribunal el día 20 de marzo de 2014.</w:t>
      </w:r>
    </w:p>
    <w:p w:rsidR="00A90898" w:rsidRDefault="00A90898" w:rsidP="00A90898">
      <w:pPr>
        <w:pStyle w:val="TextoNormal"/>
      </w:pPr>
    </w:p>
    <w:p w:rsidR="00A90898" w:rsidRDefault="00A90898" w:rsidP="00A90898">
      <w:pPr>
        <w:pStyle w:val="TextoNormal"/>
      </w:pPr>
      <w:r>
        <w:t xml:space="preserve">En su escrito, el representante de la Administración del Estado califica la obligación recogida en la disposición adicional tercera del Real Decreto-ley 14/2010 como una prestación patrimonial de carácter público que ha sido establecida mediante una norma con rango de ley, en cumplimiento de lo previsto en el art. 31.3 CE. Y resalta la circunstancia de haber sido establecida mediante una norma con rango de ley en la que, junto a los destinatarios </w:t>
      </w:r>
      <w:r>
        <w:lastRenderedPageBreak/>
        <w:t>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—afirma— no es causa en sí misma de inconstitucionalidad.</w:t>
      </w:r>
    </w:p>
    <w:p w:rsidR="00A90898" w:rsidRDefault="00A90898" w:rsidP="00A90898">
      <w:pPr>
        <w:pStyle w:val="TextoNormal"/>
      </w:pPr>
    </w:p>
    <w:p w:rsidR="00A90898" w:rsidRDefault="00A90898" w:rsidP="00A90898">
      <w:pPr>
        <w:pStyle w:val="TextoNormal"/>
      </w:pPr>
      <w: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w:t>
      </w:r>
      <w:r w:rsidRPr="00A90898">
        <w:rPr>
          <w:i/>
        </w:rPr>
        <w:t>status</w:t>
      </w:r>
      <w:r>
        <w:t xml:space="preserve">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00A90898" w:rsidRDefault="00A90898" w:rsidP="00A90898">
      <w:pPr>
        <w:pStyle w:val="TextoNormal"/>
      </w:pPr>
    </w:p>
    <w:p w:rsidR="00A90898" w:rsidRDefault="00A90898" w:rsidP="00A90898">
      <w:pPr>
        <w:pStyle w:val="TextoNormal"/>
      </w:pPr>
      <w:r>
        <w:t>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 lo que añade que el legislador no tiene obligación de expresar los motivos que le llevan a adoptar una determinada decisión, por lo que la falta de justificación expresa no debe considerarse generadora de arbitrariedad.</w:t>
      </w:r>
    </w:p>
    <w:p w:rsidR="00A90898" w:rsidRDefault="00A90898" w:rsidP="00A90898">
      <w:pPr>
        <w:pStyle w:val="TextoNormal"/>
      </w:pPr>
    </w:p>
    <w:p w:rsidR="00A90898" w:rsidRDefault="00A90898" w:rsidP="00A90898">
      <w:pPr>
        <w:pStyle w:val="TextoNormal"/>
      </w:pPr>
      <w:r>
        <w:t>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promotor de la cuestión cuando, en lo que califica como una “excesiva compartimentación”, separa el problema del déficit del sistema eléctrico y la financiación de los planes de ahorro energético, para concluir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00A90898" w:rsidRDefault="00A90898" w:rsidP="00A90898">
      <w:pPr>
        <w:pStyle w:val="TextoNormal"/>
      </w:pPr>
    </w:p>
    <w:p w:rsidR="00A90898" w:rsidRDefault="00A90898" w:rsidP="00A90898">
      <w:pPr>
        <w:pStyle w:val="TextoNormal"/>
      </w:pPr>
      <w:r>
        <w:t>En particular, considera que la norma enjuiciada “tiene su propia justificación y obedece a razones objetivas, se compartan o no”, en la medida en que la actividad de las compañías generadoras de régimen ordinario no es ajena al déficit tarifario, pues,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00A90898" w:rsidRDefault="00A90898" w:rsidP="00A90898">
      <w:pPr>
        <w:pStyle w:val="TextoNormal"/>
      </w:pPr>
    </w:p>
    <w:p w:rsidR="00A90898" w:rsidRDefault="00A90898" w:rsidP="00A90898">
      <w:pPr>
        <w:pStyle w:val="TextoNormal"/>
      </w:pPr>
      <w:r>
        <w:lastRenderedPageBreak/>
        <w:t>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vigésimo primera de la Ley 54/1997, sobre financiación del déficit de tarifa, para acabar, enlazando con sus primeras consideraciones, recordando la naturaleza legislativa del acto juzgado en este proceso, y que no se debe exigir al legislador una exposición detallada de las razones de su actividad reguladora. Con base en todo lo cual, interesa que se desestime la cuestión.</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Por diligencia de ordenación de la Secretaría del Pleno de 31 de marzo de 2014 se acordó unir a las actuaciones los escritos presentados por las partes del proceso </w:t>
      </w:r>
      <w:r w:rsidRPr="00A90898">
        <w:rPr>
          <w:i/>
        </w:rPr>
        <w:t>a quo</w:t>
      </w:r>
      <w:r>
        <w:t xml:space="preserve"> y tenerlas por personadas y parte en la presente cuestión de inconstitucionalidad, acordándose entender con ellas las sucesivas actuaciones, y, conforme establece el art. 37.2 LOTC, concederles un plazo de 15 días para que formularan las alegaciones que estimaran convenientes.</w:t>
      </w:r>
    </w:p>
    <w:p w:rsidR="00A90898" w:rsidRDefault="00A90898" w:rsidP="00A90898">
      <w:pPr>
        <w:pStyle w:val="TextoNormal"/>
      </w:pPr>
    </w:p>
    <w:p w:rsidR="00A90898" w:rsidRDefault="00A90898" w:rsidP="00A90898">
      <w:pPr>
        <w:pStyle w:val="TextoNormal"/>
      </w:pPr>
      <w:r w:rsidRPr="00A90898">
        <w:rPr>
          <w:rStyle w:val="NumeroAFNegritaCaracter"/>
        </w:rPr>
        <w:t>9</w:t>
      </w:r>
      <w:r>
        <w:t>. El Fiscal General del Estado presentó sus alegaciones el 4 de abril de 2014, en el que solicitó la desestimación de la cuestión de constitucionalidad, por los motivos que seguidamente se exponen.</w:t>
      </w:r>
    </w:p>
    <w:p w:rsidR="00A90898" w:rsidRDefault="00A90898" w:rsidP="00A90898">
      <w:pPr>
        <w:pStyle w:val="TextoNormal"/>
      </w:pPr>
    </w:p>
    <w:p w:rsidR="00A90898" w:rsidRDefault="00A90898" w:rsidP="00A90898">
      <w:pPr>
        <w:pStyle w:val="TextoNormal"/>
      </w:pPr>
      <w:r>
        <w:t>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la cual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00A90898" w:rsidRDefault="00A90898" w:rsidP="00A90898">
      <w:pPr>
        <w:pStyle w:val="TextoNormal"/>
      </w:pPr>
    </w:p>
    <w:p w:rsidR="00A90898" w:rsidRDefault="00A90898" w:rsidP="00A90898">
      <w:pPr>
        <w:pStyle w:val="TextoNormal"/>
      </w:pPr>
      <w:r>
        <w:t>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como es corregir el déficit tarifario mediante un esfuerzo adicional de todos los agentes del sector. Y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00A90898" w:rsidRDefault="00A90898" w:rsidP="00A90898">
      <w:pPr>
        <w:pStyle w:val="TextoNormal"/>
      </w:pPr>
    </w:p>
    <w:p w:rsidR="00A90898" w:rsidRDefault="00A90898" w:rsidP="00A90898">
      <w:pPr>
        <w:pStyle w:val="TextoNormal"/>
      </w:pPr>
      <w:r>
        <w:t xml:space="preserve">Respecto de la selección de determinadas empresas generadoras de régimen ordinario que hace la norma cuestionada, y haciéndose eco de las aclaraciones ofrecidas por la Abogacía del Estado en la contestación a la demanda del proceso </w:t>
      </w:r>
      <w:r w:rsidRPr="00A90898">
        <w:rPr>
          <w:i/>
        </w:rPr>
        <w:t>a quo</w:t>
      </w:r>
      <w:r>
        <w:t xml:space="preserve">,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w:t>
      </w:r>
      <w:r>
        <w:lastRenderedPageBreak/>
        <w:t>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00A90898" w:rsidRDefault="00A90898" w:rsidP="00A90898">
      <w:pPr>
        <w:pStyle w:val="TextoNormal"/>
      </w:pPr>
    </w:p>
    <w:p w:rsidR="00A90898" w:rsidRDefault="00A90898" w:rsidP="00A90898">
      <w:pPr>
        <w:pStyle w:val="TextoNormal"/>
      </w:pPr>
      <w:r>
        <w:t xml:space="preserve">Por último, en relación con los porcentajes de contribución a los planes de ahorro y eficiencia energética exigidos a cada entidad, y una vez acotado ya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w:t>
      </w:r>
      <w:r w:rsidRPr="00A90898">
        <w:rPr>
          <w:i/>
        </w:rPr>
        <w:t>a quo</w:t>
      </w:r>
      <w:r>
        <w:t>, según las cuales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00A90898" w:rsidRDefault="00A90898" w:rsidP="00A90898">
      <w:pPr>
        <w:pStyle w:val="TextoNormal"/>
      </w:pPr>
    </w:p>
    <w:p w:rsidR="00A90898" w:rsidRDefault="00A90898" w:rsidP="00A90898">
      <w:pPr>
        <w:pStyle w:val="TextoNormal"/>
      </w:pPr>
      <w:r>
        <w:t>Con base en lo anterior, el Fiscal General del Estado solicita que se desestime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10</w:t>
      </w:r>
      <w:r>
        <w:t xml:space="preserve">. La representación procesal de E.ON Generación, S.L., codemandada en el proceso </w:t>
      </w:r>
      <w:r w:rsidRPr="00A90898">
        <w:rPr>
          <w:i/>
        </w:rPr>
        <w:t>a quo</w:t>
      </w:r>
      <w:r>
        <w:t>, cumplimentó el día 23 de abril de 2014 el trámite de alegaciones conferido, interesando la estimación de la cuestión, por las razones que se resumen a continuación.</w:t>
      </w:r>
    </w:p>
    <w:p w:rsidR="00A90898" w:rsidRDefault="00A90898" w:rsidP="00A90898">
      <w:pPr>
        <w:pStyle w:val="TextoNormal"/>
      </w:pPr>
    </w:p>
    <w:p w:rsidR="00A90898" w:rsidRDefault="00A90898" w:rsidP="00A90898">
      <w:pPr>
        <w:pStyle w:val="TextoNormal"/>
      </w:pPr>
      <w:r>
        <w:t>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lo cual argumenta que las órdenes ministeriales de desarrollo de la disposición adicional tercera se aprobaron meses y, en algunos casos, años después de la aprobación del Real Decreto-ley 14/2010.</w:t>
      </w:r>
    </w:p>
    <w:p w:rsidR="00A90898" w:rsidRDefault="00A90898" w:rsidP="00A90898">
      <w:pPr>
        <w:pStyle w:val="TextoNormal"/>
      </w:pPr>
    </w:p>
    <w:p w:rsidR="00A90898" w:rsidRDefault="00A90898" w:rsidP="00A90898">
      <w:pPr>
        <w:pStyle w:val="TextoNormal"/>
      </w:pPr>
      <w:r>
        <w:t>A continuación, aborda la infracción de los arts. 9.3 y 14 CE, para coincidir con los argumentos del Auto de planteamiento sobre el carácter discriminatorio y arbitrario de la disposición objetada.</w:t>
      </w:r>
    </w:p>
    <w:p w:rsidR="00A90898" w:rsidRDefault="00A90898" w:rsidP="00A90898">
      <w:pPr>
        <w:pStyle w:val="TextoNormal"/>
      </w:pPr>
    </w:p>
    <w:p w:rsidR="00A90898" w:rsidRDefault="00A90898" w:rsidP="00A90898">
      <w:pPr>
        <w:pStyle w:val="TextoNormal"/>
      </w:pPr>
      <w:r>
        <w:t>La entidad E.ON Generación, S.L., estima que se ha vulnerado, asimismo, el principio de reserva de ley del art. 31.3 CE porque se ha impuesto una prestación patrimonial de carácter público sin definir, siquiera indiciariamente, los elementos esenciales de la misma, a lo que se suma que se ha seguido un instrumento normativo, el Real Decreto-ley, no solo faltando el presupuesto de la “extraordinaria y urgente necesidad”, sino excediendo los límites materiales previstos para dicha figura, con la que no puede afectarse al deber de contribuir, como aquí se ha hecho.</w:t>
      </w:r>
    </w:p>
    <w:p w:rsidR="00A90898" w:rsidRDefault="00A90898" w:rsidP="00A90898">
      <w:pPr>
        <w:pStyle w:val="TextoNormal"/>
      </w:pPr>
    </w:p>
    <w:p w:rsidR="00A90898" w:rsidRDefault="00A90898" w:rsidP="00A90898">
      <w:pPr>
        <w:pStyle w:val="TextoNormal"/>
      </w:pPr>
      <w:r>
        <w:t>Por lo anterior, concluye que la disposición adicional tercera del Real Decreto-ley 14/2010 resulta contraria a los arts. 9.3, 14, 31 y 86 CE.</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11</w:t>
      </w:r>
      <w:r>
        <w:t>. Las entidades Iberdrola Generación, S.A., y Tarragona Power, S.L., demandantes en el proceso subyacente, cumplimentaron el trámite de alegaciones mediante un escrito común presentado el 25 de abril de 2014, por el que solicitaban la estimación de la cuestión de inconstitucionalidad, basándose en las razones que, sintéticamente, se exponen a continuación.</w:t>
      </w:r>
    </w:p>
    <w:p w:rsidR="00A90898" w:rsidRDefault="00A90898" w:rsidP="00A90898">
      <w:pPr>
        <w:pStyle w:val="TextoNormal"/>
      </w:pPr>
    </w:p>
    <w:p w:rsidR="00A90898" w:rsidRDefault="00A90898" w:rsidP="00A90898">
      <w:pPr>
        <w:pStyle w:val="TextoNormal"/>
      </w:pPr>
      <w:r>
        <w:t>Comienzan abordando la vulneración del art. 14 CE, sobre lo que argumentan, en línea con el Auto de planteamiento, que hay una diferencia de trato entre sujetos que se encuentran en situaciones homogéneas y equiparables, sin que exista una justificación razonable para la misma, en los términos constitucionalmente exigibles. La diferencia se produce en relación con otras empresas eléctricas y, en un segundo nivel, con otras generadoras que no están incluidas entre las once señaladas en la norma, siendo ambos términos válidos de comparación dado que los planes de ahorro y eficiencia energética benefician también a las compañías excluidas y porque, al igual que los presupuestos públicos ya sufragan una parte considerable del coste de dichos planes, “no se entiende por qué no podrían sufragar la totalidad”.</w:t>
      </w:r>
    </w:p>
    <w:p w:rsidR="00A90898" w:rsidRDefault="00A90898" w:rsidP="00A90898">
      <w:pPr>
        <w:pStyle w:val="TextoNormal"/>
      </w:pPr>
    </w:p>
    <w:p w:rsidR="00A90898" w:rsidRDefault="00A90898" w:rsidP="00A90898">
      <w:pPr>
        <w:pStyle w:val="TextoNormal"/>
      </w:pPr>
      <w:r>
        <w:t>En particular, el escrito presentado por las citadas sociedades rebate la justificación que vincula la medida con otras aplicadas a las empresas de generación de electricidad en régimen especial (en línea con la idea de reparto de esfuerzos a que aluden la Administración y el Ministerio Fiscal) porque, a su juicio, los cambios normativos introducidos para el régimen especial no vienen motivados por el déficit tarifario, sino por la necesidad de ajustar su retribución, que se había demostrado excesiva, a lo dispuesto en la Ley del sector eléctrico. Sin embargo, el régimen ordinario es una actividad liberalizada, por lo que el Gobierno no tiene potestad para revisar su retribución, ante lo que resulta “grosero” imponer una nueva prestación patrimonial que está desvinculada de los ingresos de la actividad de producción y que no trata de corregir ningún exceso retributivo. A esto se suma —añaden— que las compañías de régimen ordinario también han sufrido una reducción de su retribución a causa de la caída de la demanda eléctrica, por lo que la medida debatida constituye un “castigo” adicional al del propio mercado.</w:t>
      </w:r>
    </w:p>
    <w:p w:rsidR="00A90898" w:rsidRDefault="00A90898" w:rsidP="00A90898">
      <w:pPr>
        <w:pStyle w:val="TextoNormal"/>
      </w:pPr>
    </w:p>
    <w:p w:rsidR="00A90898" w:rsidRDefault="00A90898" w:rsidP="00A90898">
      <w:pPr>
        <w:pStyle w:val="TextoNormal"/>
      </w:pPr>
      <w:r>
        <w:t>Iberdrola Generación, S.A., y Tarragona Power, S.L., continúan su alegato negando que la percepción de pagos por capacidad sea un argumento válido para justificar la obligación prevista en la disposición adicional tercera del Real Decreto-ley 14/2010, puesto que estos pagos se financian con partidas específicas y no repercuten en el déficit de tarifa, de forma que los productores de régimen ordinario no generan “ni un solo euro de déficit de tarifa” —aseguran—, luego si la contribución para reducirlo debe ser proporcional a la responsabilidad en su creación, la de los generadores de régimen ordinario debería ser “cero”. En todo caso —prosiguen— la Administración no ha ofrecido datos sobre qué reparto de sacrificios se ha tenido en cuenta para justificar la disposición adicional tercera desde la óptica de la reducción del déficit tarifario, por lo que comparten plenamente la valoración realizada por el Auto de planteamiento.</w:t>
      </w:r>
    </w:p>
    <w:p w:rsidR="00A90898" w:rsidRDefault="00A90898" w:rsidP="00A90898">
      <w:pPr>
        <w:pStyle w:val="TextoNormal"/>
      </w:pPr>
    </w:p>
    <w:p w:rsidR="00A90898" w:rsidRDefault="00A90898" w:rsidP="00A90898">
      <w:pPr>
        <w:pStyle w:val="TextoNormal"/>
      </w:pPr>
      <w:r>
        <w:t xml:space="preserve">Respecto a la distinción entre las empresas productoras seleccionadas, exigiéndoles porcentajes distintos y “de origen desconocido”, las sociedades Iberdrola Generación, S.A., y Tarragona Power, S.L., aducen que no se justifica la exclusión de varias empresas que tenían cuotas de producción superiores a las de otras que sí están en la lista y que, si la razón es que producen electricidad con tecnologías renovables, entonces debería haberse tenido en </w:t>
      </w:r>
      <w:r>
        <w:lastRenderedPageBreak/>
        <w:t>cuenta que, por ejemplo, el “Grupo Iberdrola” también utiliza, junto a las convencionales, este tipo de tecnologías, a efectos de descontar esta parte de producción para calcular el porcentaje de contribución exigido. En resumen, la medida adolece de la debida transparencia y es discriminatoria para las entidades obligadas.</w:t>
      </w:r>
    </w:p>
    <w:p w:rsidR="00A90898" w:rsidRDefault="00A90898" w:rsidP="00A90898">
      <w:pPr>
        <w:pStyle w:val="TextoNormal"/>
      </w:pPr>
    </w:p>
    <w:p w:rsidR="00A90898" w:rsidRDefault="00A90898" w:rsidP="00A90898">
      <w:pPr>
        <w:pStyle w:val="TextoNormal"/>
      </w:pPr>
      <w:r>
        <w:t>En un segundo bloque de razonamientos, las entidades mencionadas enfocan el problema desde la perspectiva del art. 9.3 CE, insistiendo en que la medida en litigio no puede ampararse en el déficit de tarifa porque “el dinero pagado por mis mandantes en cumplimiento del Real Decreto-ley 14/2010 no va destinado a sufragar los costes del sistema eléctrico en general”, ni —enfatizan— se puede considerar a estas compañías responsables del citado déficit. En todo caso, tampoco hay un vínculo entre los planes a financiar y las empresas obligadas, coincidiendo con la Audiencia Nacional en que los planes también benefician a otros actores del sistema que, sin embargo, no contribuyen a su financiación.</w:t>
      </w:r>
    </w:p>
    <w:p w:rsidR="00A90898" w:rsidRDefault="00A90898" w:rsidP="00A90898">
      <w:pPr>
        <w:pStyle w:val="TextoNormal"/>
      </w:pPr>
    </w:p>
    <w:p w:rsidR="00A90898" w:rsidRDefault="00A90898" w:rsidP="00A90898">
      <w:pPr>
        <w:pStyle w:val="TextoNormal"/>
      </w:pPr>
      <w:r>
        <w:t>Finalmente, entran a analizar los porcentajes de contribución de cada una de las once compañías incluidas en la disposición adicional tercera, para refutar las explicaciones ofrecidas por la Abogacía del Estado acerca de los ajustes realizados en las cuotas de mercado de cada empresa. Comienzan en este punto por destacar la “sorprendente” coincidencia, salvo para las cinco mayores compañías, entre el grado de contribución a los planes de ahorro y eficiencia energética y el denominado bono social, cuya financiación se consideró contraria al Derecho de la Unión Europea por la Sentencia del Tribunal Supremo de 7 de febrero de 2012. Continúan exponiendo unos cálculos conforme a los cuales la justificación ofrecida por la Administración de los porcentajes concretos, según la cual estos obedecen a que hubo que repartir el 100 por 100 del coste de los planes entre las once compañías previstas, no explica los porcentajes finalmente establecidos. Tampoco admiten como justificación válida el beneficio que obtendrían las cinco mayores compañías de la generación de un menor déficit, en conexión con la obligación que pesa sobre ellas de financiarlo mediante un préstamo forzoso al sistema, de acuerdo con la disposición adicional vigésimo primera de la Ley del sector eléctrico. Todo lo cual lleva a las dos entidades citadas a ratificarse en que la mencionada norma quebranta, además del art. 14, el art. 9.3 CE, en la vertiente de interdicción de la arbitrariedad.</w:t>
      </w:r>
    </w:p>
    <w:p w:rsidR="00A90898" w:rsidRDefault="00A90898" w:rsidP="00A90898">
      <w:pPr>
        <w:pStyle w:val="TextoNormal"/>
      </w:pPr>
    </w:p>
    <w:p w:rsidR="00A90898" w:rsidRDefault="00A90898" w:rsidP="00A90898">
      <w:pPr>
        <w:pStyle w:val="TextoNormal"/>
      </w:pPr>
      <w:r>
        <w:t>En conclusión, el precepto cuestionado resulta, a juicio de Iberdrola Generación, S.A., y Tarragona Power, S.L., contrario a los arts. 14 y 9.3 CE.</w:t>
      </w:r>
    </w:p>
    <w:p w:rsidR="00A90898" w:rsidRDefault="00A90898" w:rsidP="00A90898">
      <w:pPr>
        <w:pStyle w:val="TextoNormal"/>
      </w:pPr>
    </w:p>
    <w:p w:rsidR="00A90898" w:rsidRDefault="00A90898" w:rsidP="00A90898">
      <w:pPr>
        <w:pStyle w:val="TextoNormal"/>
      </w:pPr>
      <w:r w:rsidRPr="00A90898">
        <w:rPr>
          <w:rStyle w:val="NumeroAFNegritaCaracter"/>
        </w:rPr>
        <w:t>12</w:t>
      </w:r>
      <w:r>
        <w:t xml:space="preserve">. A través de un escrito registrado el 23 de marzo de 2015, la sociedad Endesa Generación, S.A., solicitó su personación en el presente proceso constitucional, en su condición de codemandada en el proceso </w:t>
      </w:r>
      <w:r w:rsidRPr="00A90898">
        <w:rPr>
          <w:i/>
        </w:rPr>
        <w:t>a quo</w:t>
      </w:r>
      <w:r>
        <w:t>. Por providencia de 14 de abril del mismo año se acordó unir el escrito a las actuaciones y declarar que no había lugar a su personación, al haber transcurrido en exceso el plazo de quince días desde la publicación de la incoación de la cuestión de inconstitucionalidad en el “BOE”.</w:t>
      </w:r>
    </w:p>
    <w:p w:rsidR="00A90898" w:rsidRDefault="00A90898" w:rsidP="00A90898">
      <w:pPr>
        <w:pStyle w:val="TextoNormal"/>
      </w:pPr>
    </w:p>
    <w:p w:rsidR="00A90898" w:rsidRDefault="00A90898" w:rsidP="00A90898">
      <w:pPr>
        <w:pStyle w:val="TextoNormal"/>
      </w:pPr>
      <w:r w:rsidRPr="00A90898">
        <w:rPr>
          <w:rStyle w:val="NumeroAFNegritaCaracter"/>
        </w:rPr>
        <w:t>13</w:t>
      </w:r>
      <w:r>
        <w:t>. Mediante providencia de fecha de 4 de octubre de 2016 se señaló para deliberación y votación de la presente Sentencia el 6 del mismo mes y año.</w:t>
      </w:r>
    </w:p>
    <w:p w:rsidR="00A90898" w:rsidRDefault="00A90898" w:rsidP="00A90898">
      <w:pPr>
        <w:pStyle w:val="TextoNormal"/>
      </w:pPr>
    </w:p>
    <w:p w:rsidR="00A90898" w:rsidRDefault="00A90898" w:rsidP="00A90898">
      <w:pPr>
        <w:pStyle w:val="TextoNormalNegritaCentrado"/>
        <w:keepNext/>
      </w:pPr>
      <w:r>
        <w:lastRenderedPageBreak/>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de la Constitución.</w:t>
      </w:r>
    </w:p>
    <w:p w:rsidR="00A90898" w:rsidRDefault="00A90898" w:rsidP="00A90898">
      <w:pPr>
        <w:pStyle w:val="TextoNormal"/>
      </w:pPr>
    </w:p>
    <w:p w:rsidR="00A90898" w:rsidRDefault="00A90898" w:rsidP="00A90898">
      <w:pPr>
        <w:pStyle w:val="TextoNormal"/>
      </w:pPr>
      <w:r>
        <w:t>El precepto cuestionado, bajo el título “Financiación de planes de ahorro y eficiencia energética para los años 2011, 2012 y 2013”, establece lo siguiente:</w:t>
      </w:r>
    </w:p>
    <w:p w:rsidR="00A90898" w:rsidRDefault="00A90898" w:rsidP="00A90898">
      <w:pPr>
        <w:pStyle w:val="TextoNormal"/>
      </w:pPr>
    </w:p>
    <w:p w:rsidR="00A90898" w:rsidRDefault="00A90898" w:rsidP="00A90898">
      <w:pPr>
        <w:pStyle w:val="TextoNormal"/>
      </w:pPr>
      <w:r>
        <w:t>“1.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28 de noviembre de 2003, previstas para los años 2011 y 2012 de 270 Millones de euros y 250 Millones de euros respectivamente, se financiarán mediante la aportación de cada una de las empresas productoras según los porcentajes recogidos en la siguiente tabla:</w:t>
      </w:r>
    </w:p>
    <w:p w:rsidR="00A90898" w:rsidRDefault="00A90898" w:rsidP="00A90898">
      <w:pPr>
        <w:pStyle w:val="TextoNormal"/>
      </w:pPr>
    </w:p>
    <w:p w:rsidR="00A90898" w:rsidRDefault="00A90898" w:rsidP="00A90898">
      <w:pPr>
        <w:pStyle w:val="TextoNormal"/>
      </w:pPr>
      <w:r>
        <w:t>....................EMPRESA................................PORCENTAJE</w:t>
      </w:r>
    </w:p>
    <w:p w:rsidR="00A90898" w:rsidRDefault="00A90898" w:rsidP="00A90898">
      <w:pPr>
        <w:pStyle w:val="TextoNormal"/>
      </w:pPr>
    </w:p>
    <w:p w:rsidR="00A90898" w:rsidRDefault="00A90898" w:rsidP="00A90898">
      <w:pPr>
        <w:pStyle w:val="TextoNormal"/>
      </w:pPr>
      <w:r>
        <w:t>..........Endesa Generación S.A........................34,66</w:t>
      </w:r>
    </w:p>
    <w:p w:rsidR="00A90898" w:rsidRDefault="00A90898" w:rsidP="00A90898">
      <w:pPr>
        <w:pStyle w:val="TextoNormal"/>
      </w:pPr>
    </w:p>
    <w:p w:rsidR="00A90898" w:rsidRDefault="00A90898" w:rsidP="00A90898">
      <w:pPr>
        <w:pStyle w:val="TextoNormal"/>
      </w:pPr>
      <w:r>
        <w:t>..........Iberdrola Generación, S.A....................32,71</w:t>
      </w:r>
    </w:p>
    <w:p w:rsidR="00A90898" w:rsidRDefault="00A90898" w:rsidP="00A90898">
      <w:pPr>
        <w:pStyle w:val="TextoNormal"/>
      </w:pPr>
    </w:p>
    <w:p w:rsidR="00A90898" w:rsidRDefault="00A90898" w:rsidP="00A90898">
      <w:pPr>
        <w:pStyle w:val="TextoNormal"/>
      </w:pPr>
      <w:r>
        <w:t>..........GAS Natural S.D.G, S.A.......................16,37</w:t>
      </w:r>
    </w:p>
    <w:p w:rsidR="00A90898" w:rsidRDefault="00A90898" w:rsidP="00A90898">
      <w:pPr>
        <w:pStyle w:val="TextoNormal"/>
      </w:pPr>
    </w:p>
    <w:p w:rsidR="00A90898" w:rsidRDefault="00A90898" w:rsidP="00A90898">
      <w:pPr>
        <w:pStyle w:val="TextoNormal"/>
      </w:pPr>
      <w:r>
        <w:t>..........Hidroeléctrica del Cantábrico, S.A..........4,38</w:t>
      </w:r>
    </w:p>
    <w:p w:rsidR="00A90898" w:rsidRDefault="00A90898" w:rsidP="00A90898">
      <w:pPr>
        <w:pStyle w:val="TextoNormal"/>
      </w:pPr>
    </w:p>
    <w:p w:rsidR="00A90898" w:rsidRDefault="00A90898" w:rsidP="00A90898">
      <w:pPr>
        <w:pStyle w:val="TextoNormal"/>
      </w:pPr>
      <w:r>
        <w:t>..........E.ON Generación, S.L...........................2,96</w:t>
      </w:r>
    </w:p>
    <w:p w:rsidR="00A90898" w:rsidRDefault="00A90898" w:rsidP="00A90898">
      <w:pPr>
        <w:pStyle w:val="TextoNormal"/>
      </w:pPr>
    </w:p>
    <w:p w:rsidR="00A90898" w:rsidRDefault="00A90898" w:rsidP="00A90898">
      <w:pPr>
        <w:pStyle w:val="TextoNormal"/>
      </w:pPr>
      <w:r>
        <w:t>..........AES Cartagena, S.R.L...........................2,07</w:t>
      </w:r>
    </w:p>
    <w:p w:rsidR="00A90898" w:rsidRDefault="00A90898" w:rsidP="00A90898">
      <w:pPr>
        <w:pStyle w:val="TextoNormal"/>
      </w:pPr>
    </w:p>
    <w:p w:rsidR="00A90898" w:rsidRDefault="00A90898" w:rsidP="00A90898">
      <w:pPr>
        <w:pStyle w:val="TextoNormal"/>
      </w:pPr>
      <w:r>
        <w:t>..........Bizkaia Energía, S.L.............................1,42</w:t>
      </w:r>
    </w:p>
    <w:p w:rsidR="00A90898" w:rsidRDefault="00A90898" w:rsidP="00A90898">
      <w:pPr>
        <w:pStyle w:val="TextoNormal"/>
      </w:pPr>
    </w:p>
    <w:p w:rsidR="00A90898" w:rsidRDefault="00A90898" w:rsidP="00A90898">
      <w:pPr>
        <w:pStyle w:val="TextoNormal"/>
      </w:pPr>
      <w:r>
        <w:t>..........Castelnou Energía, S.L.........................1,58</w:t>
      </w:r>
    </w:p>
    <w:p w:rsidR="00A90898" w:rsidRDefault="00A90898" w:rsidP="00A90898">
      <w:pPr>
        <w:pStyle w:val="TextoNormal"/>
      </w:pPr>
    </w:p>
    <w:p w:rsidR="00A90898" w:rsidRDefault="00A90898" w:rsidP="00A90898">
      <w:pPr>
        <w:pStyle w:val="TextoNormal"/>
      </w:pPr>
      <w:r>
        <w:t>..........Nueva Generadora del Sur, S.A.............1,62</w:t>
      </w:r>
    </w:p>
    <w:p w:rsidR="00A90898" w:rsidRDefault="00A90898" w:rsidP="00A90898">
      <w:pPr>
        <w:pStyle w:val="TextoNormal"/>
      </w:pPr>
    </w:p>
    <w:p w:rsidR="00A90898" w:rsidRDefault="00A90898" w:rsidP="00A90898">
      <w:pPr>
        <w:pStyle w:val="TextoNormal"/>
      </w:pPr>
      <w:r>
        <w:t>..........Bahía de Bizkaia Electricidad, S.L...........1,42</w:t>
      </w:r>
    </w:p>
    <w:p w:rsidR="00A90898" w:rsidRDefault="00A90898" w:rsidP="00A90898">
      <w:pPr>
        <w:pStyle w:val="TextoNormal"/>
      </w:pPr>
    </w:p>
    <w:p w:rsidR="00A90898" w:rsidRDefault="00A90898" w:rsidP="00A90898">
      <w:pPr>
        <w:pStyle w:val="TextoNormal"/>
      </w:pPr>
      <w:r>
        <w:t>..........Tarragona Power, S.L...........................0,81</w:t>
      </w:r>
    </w:p>
    <w:p w:rsidR="00A90898" w:rsidRDefault="00A90898" w:rsidP="00A90898">
      <w:pPr>
        <w:pStyle w:val="TextoNormal"/>
      </w:pPr>
    </w:p>
    <w:p w:rsidR="00A90898" w:rsidRDefault="00A90898" w:rsidP="00A90898">
      <w:pPr>
        <w:pStyle w:val="TextoNormal"/>
      </w:pPr>
      <w:r>
        <w:t>....................Total.....................................100,00</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lastRenderedPageBreak/>
        <w:t>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00A90898" w:rsidRDefault="00A90898" w:rsidP="00A90898">
      <w:pPr>
        <w:pStyle w:val="TextoNormal"/>
      </w:pPr>
    </w:p>
    <w:p w:rsidR="00A90898" w:rsidRDefault="00A90898" w:rsidP="00A90898">
      <w:pPr>
        <w:pStyle w:val="TextoNormal"/>
      </w:pPr>
      <w:r>
        <w:t>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once entidades en concreto ni los porcentajes atribuidos.</w:t>
      </w:r>
    </w:p>
    <w:p w:rsidR="00A90898" w:rsidRDefault="00A90898" w:rsidP="00A90898">
      <w:pPr>
        <w:pStyle w:val="TextoNormal"/>
      </w:pPr>
    </w:p>
    <w:p w:rsidR="00A90898" w:rsidRDefault="00A90898" w:rsidP="00A90898">
      <w:pPr>
        <w:pStyle w:val="TextoNormal"/>
      </w:pPr>
      <w:r>
        <w:t>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w:t>
      </w:r>
    </w:p>
    <w:p w:rsidR="00A90898" w:rsidRDefault="00A90898" w:rsidP="00A90898">
      <w:pPr>
        <w:pStyle w:val="TextoNormal"/>
      </w:pPr>
    </w:p>
    <w:p w:rsidR="00A90898" w:rsidRDefault="00A90898" w:rsidP="00A90898">
      <w:pPr>
        <w:pStyle w:val="TextoNormal"/>
      </w:pPr>
      <w:r>
        <w:t>Por su parte, las sociedades afectadas por la medida que han comparecido en este proceso constitucional solicitan la estimación, al apreciar que el precepto vulnera el art. 14 CE, en cuanto impone una carga solo a determinadas empresas de generación eléctrica, dando lugar a una desigualdad injustificada; y denuncian, asimismo, la infracción del art. 9.3 CE, por no existir causa que explique la selección de las empresas obligadas, ni el porcentaje de contribución exigido a cada una de ellas. La entidad E.ON Generación, S.L., apunta también a la posible inconstitucionalidad de la norma por colisión con el art. 31.3 CE, porque se ha impuesto una prestación patrimonial de carácter público sin definir los elementos esenciales de la misma, y con el art. 86.1 CE, al haberse establecido mediante un real decreto-ley sin concurrir el presupuesto habilitante de este instrumento normativo (la extraordinaria y urgente necesidad) y afectarse, además, al deber de contribuir a que se refiere el art. 31.1 CE.</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examen de fondo, procede efectuar determinadas consideraciones preliminares, a fin de delimitar con precisión el objeto de la controversia y el alcance de nuestro enjuiciamiento:</w:t>
      </w:r>
    </w:p>
    <w:p w:rsidR="00A90898" w:rsidRDefault="00A90898" w:rsidP="00A90898">
      <w:pPr>
        <w:pStyle w:val="TextoNormal"/>
      </w:pPr>
    </w:p>
    <w:p w:rsidR="00A90898" w:rsidRDefault="00A90898" w:rsidP="00A90898">
      <w:pPr>
        <w:pStyle w:val="TextoNormal"/>
      </w:pPr>
      <w:r>
        <w:t xml:space="preserve">a) La primera se refiere a que, durante la pendencia del proceso judicial </w:t>
      </w:r>
      <w:r w:rsidRPr="00A90898">
        <w:rPr>
          <w:i/>
        </w:rPr>
        <w:t>a quo</w:t>
      </w:r>
      <w:r>
        <w:t>,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00A90898" w:rsidRDefault="00A90898" w:rsidP="00A90898">
      <w:pPr>
        <w:pStyle w:val="TextoNormal"/>
      </w:pPr>
    </w:p>
    <w:p w:rsidR="00A90898" w:rsidRDefault="00A90898" w:rsidP="00A90898">
      <w:pPr>
        <w:pStyle w:val="TextoNormal"/>
      </w:pPr>
      <w:r>
        <w:t xml:space="preserve">La circunstancia de que la forma de financiación de los citados planes que arbitra la norma cuestionada ya no resulte de aplicación en la actualidad no afecta a la pervivencia </w:t>
      </w:r>
      <w:r>
        <w:lastRenderedPageBreak/>
        <w:t xml:space="preserve">del objeto de este proceso constitucional, puesto que la disposición adicional tercera del Real Decreto-ley 14/2010 sí es aplicable en el proceso </w:t>
      </w:r>
      <w:r w:rsidRPr="00A90898">
        <w:rPr>
          <w:i/>
        </w:rPr>
        <w:t>a quo</w:t>
      </w:r>
      <w:r>
        <w:t xml:space="preserve"> y de su validez depende la decisión a adoptar en este, como exige el art. 163 CE (juicios de aplicabilidad y relevancia, que aquí no se discuten),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00A90898" w:rsidRDefault="00A90898" w:rsidP="00A90898">
      <w:pPr>
        <w:pStyle w:val="TextoNormal"/>
      </w:pPr>
    </w:p>
    <w:p w:rsidR="00A90898" w:rsidRDefault="00A90898" w:rsidP="00A90898">
      <w:pPr>
        <w:pStyle w:val="TextoNormal"/>
      </w:pPr>
      <w:r>
        <w:t>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mediante la providencia de 29 de mayo de 2013, tal y como demanda el art. 35.2 de la Ley Orgánica del Tribunal Constitucional (LOTC).</w:t>
      </w:r>
    </w:p>
    <w:p w:rsidR="00A90898" w:rsidRDefault="00A90898" w:rsidP="00A90898">
      <w:pPr>
        <w:pStyle w:val="TextoNormal"/>
      </w:pPr>
    </w:p>
    <w:p w:rsidR="00A90898" w:rsidRDefault="00A90898" w:rsidP="00A90898">
      <w:pPr>
        <w:pStyle w:val="TextoNormal"/>
      </w:pPr>
      <w:r>
        <w:t>A pesar de que una de las entidades que han comparecido en este proceso suscita en su escrito de alegaciones la posible infracción de otros preceptos de la Constitución, aparte de los señalados por el órgano promotor, sobre los que, por tanto, el resto de partes no han sido oídas, no por ello debemos extender a ellos nuestro análisis de constitucionalidad, puesto que las partes personadas no pueden, al hilo de lo dispuesto en el art. 37.2 LOTC, hacer valer una pretensión propia, sino únicamente defender u oponerse a la cuestión formulada por el órgano judicial, dentro de los parámetros fijados por éste en su auto de planteamiento. Todo ello sin perjuicio de la posibilidad que reconoce el art. 39.2 LOTC, como atribución de este Tribunal, y no de las partes del proceso constitucional (SSTC 81/2003, de 30 de abril, FJ 7; 126/2008, de 27 de octubre, FJ 1, y 126/2011, de 18 de julio, FJ 7), de “fundar la declaración de inconstitucionalidad en la infracción de cualquier precepto constitucional, haya o no sido invocado en el curso del proceso”.</w:t>
      </w:r>
    </w:p>
    <w:p w:rsidR="00A90898" w:rsidRDefault="00A90898" w:rsidP="00A90898">
      <w:pPr>
        <w:pStyle w:val="TextoNormal"/>
      </w:pPr>
    </w:p>
    <w:p w:rsidR="00A90898" w:rsidRDefault="00A90898" w:rsidP="00A90898">
      <w:pPr>
        <w:pStyle w:val="TextoNormal"/>
      </w:pPr>
      <w:r>
        <w:t>Por consiguiente, nuestro examen debe circunscribirse al contraste de la disposición cuestionada con los arts. 9.3 y 14 CE, sin entrar en la pretendida contradicción que alega E.ON Generación, S.L., con los arts. 31.3 y 86.1 CE, no incluidos en el Auto de planteamiento.</w:t>
      </w:r>
    </w:p>
    <w:p w:rsidR="00A90898" w:rsidRDefault="00A90898" w:rsidP="00A90898">
      <w:pPr>
        <w:pStyle w:val="TextoNormal"/>
      </w:pPr>
    </w:p>
    <w:p w:rsidR="00A90898" w:rsidRDefault="00A90898" w:rsidP="00A90898">
      <w:pPr>
        <w:pStyle w:val="TextoNormal"/>
      </w:pPr>
      <w:r w:rsidRPr="00A90898">
        <w:rPr>
          <w:rStyle w:val="NumeroAFNegritaCaracter"/>
        </w:rPr>
        <w:t>3</w:t>
      </w:r>
      <w:r>
        <w:t>.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mediante el que, como revela su título, se establecen “medidas urgentes para la corrección del déficit tarifario del sector eléctrico” lo que obliga a encuadrar nuestro análisis en el marco más amplio de la regulación del sector energético y, en particular, del conjunto de medidas que se han ido introduciendo a lo largo de varios años para abordar el déficit tarifario en el sistema eléctrico.</w:t>
      </w:r>
    </w:p>
    <w:p w:rsidR="00A90898" w:rsidRDefault="00A90898" w:rsidP="00A90898">
      <w:pPr>
        <w:pStyle w:val="TextoNormal"/>
      </w:pPr>
    </w:p>
    <w:p w:rsidR="00A90898" w:rsidRDefault="00A90898" w:rsidP="00A90898">
      <w:pPr>
        <w:pStyle w:val="TextoNormal"/>
      </w:pPr>
      <w:r>
        <w:t xml:space="preserve">El papel determinante que juega en la economía, su repercusión en la vida de los ciudadanos y la complejidad técnica que reviste son factores que explican la intensa regulación a que está sometido el sector energético, en general, y el eléctrico, en particular, como recuerda la exposición de motivos de la Ley 54/1997, de 27 de noviembre, del sector eléctrico (en adelante, Ley 54/1997), aplicable </w:t>
      </w:r>
      <w:r w:rsidRPr="00A90898">
        <w:rPr>
          <w:i/>
        </w:rPr>
        <w:t>ratione temporis</w:t>
      </w:r>
      <w:r>
        <w:t>, cuyo primer párrafo concluye que “[sus] características técnicas y económicas hacen del sector eléctrico un sector necesariamente regulado”.</w:t>
      </w:r>
    </w:p>
    <w:p w:rsidR="00A90898" w:rsidRDefault="00A90898" w:rsidP="00A90898">
      <w:pPr>
        <w:pStyle w:val="TextoNormal"/>
      </w:pPr>
    </w:p>
    <w:p w:rsidR="00A90898" w:rsidRDefault="00A90898" w:rsidP="00A90898">
      <w:pPr>
        <w:pStyle w:val="TextoNormal"/>
      </w:pPr>
      <w:r>
        <w:t>a) El Real Decreto-ley 14/2010 se inscribe dentro de un conjunto de medidas encaminadas a afrontar el déficit tarifario, entendido en sentido amplio como los desajustes entre los costes del sistema eléctrico y los ingresos obtenidos a partir de los precios (en sus diversas denominaciones legales) regulados por el Estado. Varias han sido las medidas adoptadas en esta dirección tanto antes como después de este Real Decreto-ley, lo que pone de manifiesto que no se trata de una norma aislada que pueda analizarse sin referencia a su contexto.</w:t>
      </w:r>
    </w:p>
    <w:p w:rsidR="00A90898" w:rsidRDefault="00A90898" w:rsidP="00A90898">
      <w:pPr>
        <w:pStyle w:val="TextoNormal"/>
      </w:pPr>
    </w:p>
    <w:p w:rsidR="00A90898" w:rsidRDefault="00A90898" w:rsidP="00A90898">
      <w:pPr>
        <w:pStyle w:val="TextoNormal"/>
      </w:pPr>
      <w:r>
        <w:t>Entre las normas aprobadas con anterioridad, destaca el Real Decreto-ley 6/2009, de 30 de abril, por el que se adoptan determinadas medidas en el sector energético y se aprueba el bono social, que, entre otras novedades: i) decidió que los costes de la gestión de los residuos radiactivos, del combustible nuclear gastado y del desmantelamiento y clausura de las centrales nucleares que, hasta entonces, se imputaban exclusivamente a la tarifa eléctrica, fueran asumidos por los titulares de las centrales (liberándose a la tarifa eléctrica y, por tanto, a los consumidores, de hacer frente a esta carga financiera); ii) adoptó ciertos ajustes en el sistema retributivo de las instalaciones del régimen especial, que es el aplicable a las energías renovables, generación con residuos y cogeneración, entre otras formas consideradas merecedoras de incentivo, en el marco de la normativa europea; iii) estableció un sistema para la financiación del extracoste de generación en el régimen insular y extrapeninsular para, de forma escalonada, financiarlo con cargo a los presupuestos generales del Estado (dejando de formar parte de los costes del sistema); y iv) creó el mecanismo de financiación del déficit acumulado, mediante la cesión de los derechos de cobro al denominado fondo de titulización del déficit del sistema eléctrico y su colocación a terceros, aprobándose después el Real Decreto-ley 6/2010, de 9 de abril, para terminar de poner en marcha el proceso de titulización del déficit.</w:t>
      </w:r>
    </w:p>
    <w:p w:rsidR="00A90898" w:rsidRDefault="00A90898" w:rsidP="00A90898">
      <w:pPr>
        <w:pStyle w:val="TextoNormal"/>
      </w:pPr>
    </w:p>
    <w:p w:rsidR="00A90898" w:rsidRDefault="00A90898" w:rsidP="00A90898">
      <w:pPr>
        <w:pStyle w:val="TextoNormal"/>
      </w:pPr>
      <w:r>
        <w:t>Asimismo, los Reales Decretos 1565/2010, de 19 de noviembre, por el que se regulan y modifican determinados aspectos relativos a la actividad de producción de energía eléctrica en régimen especial, y 1614/2010, de 7 de diciembre, por el que se regulan y modifican determinados aspectos relativos a la actividad de producción de energía eléctrica a partir de tecnologías solar termoeléctrica y eólica, establecieron ciertos ajustes en el régimen económico de estas instalaciones, igualmente con el fin de reducir el déficit de tarifa.</w:t>
      </w:r>
    </w:p>
    <w:p w:rsidR="00A90898" w:rsidRDefault="00A90898" w:rsidP="00A90898">
      <w:pPr>
        <w:pStyle w:val="TextoNormal"/>
      </w:pPr>
    </w:p>
    <w:p w:rsidR="00A90898" w:rsidRDefault="00A90898" w:rsidP="00A90898">
      <w:pPr>
        <w:pStyle w:val="TextoNormal"/>
      </w:pPr>
      <w:r>
        <w:t>Como prueba de la gravedad y persistencia del problema, con posterioridad al Real Decreto-ley 14/2010, y ante la insuficiencia de sus medidas, se continuaron aprobando sucesivas normas en la misma dirección. Así, se promulgó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 mediante el que se suprimieron los incentivos para la construcción de las instalaciones de tecnologías de régimen especial, a fin de evitar que se añadieran nuevos costes al sistema.</w:t>
      </w:r>
    </w:p>
    <w:p w:rsidR="00A90898" w:rsidRDefault="00A90898" w:rsidP="00A90898">
      <w:pPr>
        <w:pStyle w:val="TextoNormal"/>
      </w:pPr>
    </w:p>
    <w:p w:rsidR="00A90898" w:rsidRDefault="00A90898" w:rsidP="00A90898">
      <w:pPr>
        <w:pStyle w:val="TextoNormal"/>
      </w:pPr>
      <w:r>
        <w:t xml:space="preserve">Poco después, el Real Decreto-ley 13/2012, de 30 de marzo, por el que se transponen Directivas en materia de mercados interiores de electricidad y gas y en materia de comunicaciones electrónicas, y por el que se adoptan medidas para la corrección de las desviaciones por desajustes entre los costes e ingresos de los sectores eléctrico y gasista, introdujo una </w:t>
      </w:r>
      <w:r>
        <w:lastRenderedPageBreak/>
        <w:t>batería de medidas con el mismo objetivo de contribuir a alcanzar la suficiencia de los ingresos para cubrir los costes del sistema eléctrico, destacando, entre otras, la minoración de la retribución de la actividad de distribución de energía eléctrica.</w:t>
      </w:r>
    </w:p>
    <w:p w:rsidR="00A90898" w:rsidRDefault="00A90898" w:rsidP="00A90898">
      <w:pPr>
        <w:pStyle w:val="TextoNormal"/>
      </w:pPr>
    </w:p>
    <w:p w:rsidR="00A90898" w:rsidRDefault="00A90898" w:rsidP="00A90898">
      <w:pPr>
        <w:pStyle w:val="TextoNormal"/>
      </w:pPr>
      <w:r>
        <w:t>De igual modo, el Real Decreto-ley 20/2012, de 13 de julio, de medidas para garantizar la estabilidad presupuestaria y de fomento de la competitividad, acordó con carácter urgente “medidas adicionales que equilibren el sistema eléctrico y de tal forma que el obligado ajuste sea compartido en este duro contexto económico actual por todos los agentes del sistema” (apartado VIII de la exposición de motivos) para hacer frente, entre otros factores, a la incorporación como nuevo coste del sistema eléctrico de la partida correspondiente al sobrecoste de generación de los sistemas eléctricos insulares y extrapeninsulares en el año 2011 (debido a que, para contribuir a reducir el déficit público, la Ley 2/2012, de 29 de junio, de presupuestos generales del Estado para el año 2012, había dejado en suspenso la imputación presupuestaria de dichos costes que preveía el Real Decreto-ley 6/2009, al que anteriormente nos hemos referido); adoptando, igualmente, otras medidas como un ajuste en la retribución de la actividad de transporte de electricidad, de forma similar a lo que había hecho el Real Decreto-ley 13/2012, antes citado, para la actividad de distribución.</w:t>
      </w:r>
    </w:p>
    <w:p w:rsidR="00A90898" w:rsidRDefault="00A90898" w:rsidP="00A90898">
      <w:pPr>
        <w:pStyle w:val="TextoNormal"/>
      </w:pPr>
    </w:p>
    <w:p w:rsidR="00A90898" w:rsidRDefault="00A90898" w:rsidP="00A90898">
      <w:pPr>
        <w:pStyle w:val="TextoNormal"/>
      </w:pPr>
      <w:r>
        <w:t>Por su parte, la Ley 15/2012, de 27 de diciembre, de medidas fiscales para la sostenibilidad energética, introdujo varias figuras tributarias sobre el sector eléctrico, cuya recaudación se destinaría a cubrir determinados costes del sistema, al tiempo que se modificaba la Ley 54/1997, ajustando nuevamente el derecho a la percepción de un régimen económico primado por las instalaciones de energía renovable que utilicen combustibles.</w:t>
      </w:r>
    </w:p>
    <w:p w:rsidR="00A90898" w:rsidRDefault="00A90898" w:rsidP="00A90898">
      <w:pPr>
        <w:pStyle w:val="TextoNormal"/>
      </w:pPr>
    </w:p>
    <w:p w:rsidR="00A90898" w:rsidRDefault="00A90898" w:rsidP="00A90898">
      <w:pPr>
        <w:pStyle w:val="TextoNormal"/>
      </w:pPr>
      <w:r>
        <w:t>No siendo suficientes las anteriores normas para atajar el déficit de tarifa, el Real Decreto-ley 2/2013, de 1 de febrero, de medidas urgentes en el sistema eléctrico, arbitró nuevas medidas para corregir los desajustes entre los costes eléctricos y los ingresos obtenidos a partir de los precios regulados, “tratando de evitar la asunción de un nuevo esfuerzo por parte de los consumidores”, conforme indicaba su preámbulo; a su vez, el Real Decreto-ley 9/2013, de 12 de julio, por el que se adoptan medidas urgentes para garantizar la estabilidad financiera del sistema eléctrico, estableció un nuevo régimen retributivo para las instalaciones de generación de energía renovable, cogeneración y residuos y una serie de principios retributivos adicionales para el transporte y distribución de energía eléctrica, avanzando por la senda de plantear medidas “de forma proporcional y equilibrada sobre los diferentes sujetos del sector eléctrico” (apartado I de la exposición de motivos).</w:t>
      </w:r>
    </w:p>
    <w:p w:rsidR="00A90898" w:rsidRDefault="00A90898" w:rsidP="00A90898">
      <w:pPr>
        <w:pStyle w:val="TextoNormal"/>
      </w:pPr>
    </w:p>
    <w:p w:rsidR="00A90898" w:rsidRDefault="00A90898" w:rsidP="00A90898">
      <w:pPr>
        <w:pStyle w:val="TextoNormal"/>
      </w:pPr>
      <w:r>
        <w:t>La sucesión de modificaciones parciales de la regulación del sector recién expuesta cristalizaría en la aprobación de un nuevo marco normativo, mediante la Ley 24/2013, de 26 de diciembre, del sector eléctrico, en sustitución de la Ley 54/1997. Con la nueva Ley, hoy vigente, se “trata de devolver al sistema una sostenibilidad financiera perdida hace largo tiempo y cuya erradicación no se ha conseguido hasta la fecha mediante la adopción de medidas parciales” (apartado I de la exposición de motivos).</w:t>
      </w:r>
    </w:p>
    <w:p w:rsidR="00A90898" w:rsidRDefault="00A90898" w:rsidP="00A90898">
      <w:pPr>
        <w:pStyle w:val="TextoNormal"/>
      </w:pPr>
    </w:p>
    <w:p w:rsidR="00A90898" w:rsidRDefault="00A90898" w:rsidP="00A90898">
      <w:pPr>
        <w:pStyle w:val="TextoNormal"/>
      </w:pPr>
      <w:r>
        <w:t xml:space="preserve">b) Algunas de las anteriores medidas han sido ya enjuiciadas por este Tribunal. Interesa recordar que en nuestros pronunciamientos sobre ellas hemos subrayado la “relevancia de la ordenación de los procesos que se desarrollan en el sector energético” (SSTC 170/2012, de 4 de octubre, FJ 6; 233/2012, de 13 de diciembre, FJ 2; 39/2013, de 14 de febrero, FJ 8, </w:t>
      </w:r>
      <w:r>
        <w:lastRenderedPageBreak/>
        <w:t>y 96/2014, de 12 de junio, FJ 7), y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(STC 170/2012, FJ 6).</w:t>
      </w:r>
    </w:p>
    <w:p w:rsidR="00A90898" w:rsidRDefault="00A90898" w:rsidP="00A90898">
      <w:pPr>
        <w:pStyle w:val="TextoNormal"/>
      </w:pPr>
    </w:p>
    <w:p w:rsidR="00A90898" w:rsidRDefault="00A90898" w:rsidP="00A90898">
      <w:pPr>
        <w:pStyle w:val="TextoNormal"/>
      </w:pPr>
      <w:r>
        <w:t>También hemos de partir de que nuestro enjuiciamiento del régimen de financiación de los planes de ahorro y eficiencia energética de los años 2011, 2012 y 2013, como parte del amplio conjunto de medidas de regulación del mercado eléctrico y, en particular, para hacer frente al déficit tarifario, deberá ser “exclusivamente de constitucionalidad y no político, de oportunidad o de calidad técnica” (por todas, STC 49/2008, de 9 de abril, FJ 4), excluyendo “toda valoración política o de conveniencia u oportunidad” (entre otras, STC 233/2015, de 5 de noviembre, FJ 5).</w:t>
      </w:r>
    </w:p>
    <w:p w:rsidR="00A90898" w:rsidRDefault="00A90898" w:rsidP="00A90898">
      <w:pPr>
        <w:pStyle w:val="TextoNormal"/>
      </w:pPr>
    </w:p>
    <w:p w:rsidR="00A90898" w:rsidRDefault="00A90898" w:rsidP="00A90898">
      <w:pPr>
        <w:pStyle w:val="TextoNormal"/>
      </w:pPr>
      <w:r>
        <w:t>Así lo hemos recalcado, específicamente para las medidas que sobre el régimen retributivo primado de las entidades de generación eléctrica en régimen especial introdujo el Real Decreto-ley 14/2010, cuando afirmamos que “no es competencia del Tribunal Constitucional pronunciarse sobre la mayor o menor oportunidad técnica o acierto de las medidas concretas que en el mismo se establecen, sino que se trata de una cuestión que forma parte de la política económica competencia del Gobierno”, añadiendo específicamente que “[t]ampoco le corresponde al Tribunal Constitucional determinar en qué medida el régimen especial primado pueda repercutir sobre el déficit tarifario, sino que basta con constatar que al menos una parte del mencionado déficit se genera por la existencia de un sistema de primas, y que la fórmula adoptada de establecer límites dentro del sistema retributivo, en este caso mediante la fijación de un número máximo de horas con derecho a prima en función de las zonas climáticas, es una medida apta para repercutir sobre el objetivo de reducción de dicho déficit de tarifa” (STC 96/2014, FJ 7).</w:t>
      </w:r>
    </w:p>
    <w:p w:rsidR="00A90898" w:rsidRDefault="00A90898" w:rsidP="00A90898">
      <w:pPr>
        <w:pStyle w:val="TextoNormal"/>
      </w:pPr>
    </w:p>
    <w:p w:rsidR="00A90898" w:rsidRDefault="00A90898" w:rsidP="00A90898">
      <w:pPr>
        <w:pStyle w:val="TextoNormal"/>
      </w:pPr>
      <w:r>
        <w:t>De este modo, para el enjuiciamiento de la norma cuestionada en este proceso necesariamente hemos de tener presente el margen de configuración del legislador “que tiene plena libertad para elegir entre las distintas opciones posibles, dentro de la Constitución” (STC 183/2014, de 6 de noviembre, FJ 3), tal y como hemos recordado recientemente, en cuanto a la ordenación de este concreto sector de la economía, en la STC 30/2016, de 18 de febrero, FJ 5, en la que analizábamos el nuevo régimen retributivo de la actividad de producción de energía eléctrica a partir de fuentes de energía renovables previsto en el Real Decreto-ley 9/2013, sobre el que hemos aseverado que “la modificación del régimen retributivo de esta modalidad de producción de energía obedece a una motivación justificada y cierta, concretada en la garantía de la sostenibilidad del régimen económico del sector eléctrico, esto es, trae causa directa de la necesidad de satisfacción de intereses públicos generales, ligados a la reducción de un déficit público que había devenido en estructural y en la adecuación del marco regulatorio a la variaciones que puedan darse en los datos económicos, mediante la revisión de los parámetros iniciales determinantes del cálculo de la tarifa regulada, sin que ello pueda ser calificado de arbitrario ni haya dado lugar a desigualdades entre las empresas del sector”; conclusión esta última de gran interés habida cuenta que la arbitrariedad y desigualdad son, justamente, las tachas que se imputan a la disposición adicional tercera del Real Decreto-ley 14/2010.</w:t>
      </w:r>
    </w:p>
    <w:p w:rsidR="00A90898" w:rsidRDefault="00A90898" w:rsidP="00A90898">
      <w:pPr>
        <w:pStyle w:val="TextoNormal"/>
      </w:pPr>
    </w:p>
    <w:p w:rsidR="00A90898" w:rsidRDefault="00A90898" w:rsidP="00A90898">
      <w:pPr>
        <w:pStyle w:val="TextoNormal"/>
      </w:pPr>
      <w:r>
        <w:lastRenderedPageBreak/>
        <w:t>Por su parte, en la STC 61/2016, de 17 de marzo, FJ 4, también en relación con el Real Decreto-ley 9/2013, por el que se redujo la retribución de la actividad de generación a partir de fuentes renovables, cogeneración y residuos, hemos enfatizado que “un pretendido derecho a la congelación del ordenamiento jurídico existente …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(por todas, STC 183/2014, FJ 3), por lo que no cabe sino concluir que la regulación impugnada se enmarca en el margen de configuración del legislador, que tiene plena libertad para elegir entre las distintas opciones posibles, dentro de la Constitución”.</w:t>
      </w:r>
    </w:p>
    <w:p w:rsidR="00A90898" w:rsidRDefault="00A90898" w:rsidP="00A90898">
      <w:pPr>
        <w:pStyle w:val="TextoNormal"/>
      </w:pPr>
    </w:p>
    <w:p w:rsidR="00A90898" w:rsidRDefault="00A90898" w:rsidP="00A90898">
      <w:pPr>
        <w:pStyle w:val="TextoNormal"/>
      </w:pPr>
      <w:r>
        <w:t>c) De lo anterior se colige que, para lograr el objetivo de reducir el déficit de tarifa, las normas antes citadas y otras de menor rango aprobadas en su desarrollo han dispuesto ajustes para todos los sujetos implicados en el sector eléctrico, tanto las empresas de los distintos subsectores que lo integran (productoras, transportistas, distribuidoras, comercializadoras, etc.), como para los consumidores y el conjunto de los contribuyentes.</w:t>
      </w:r>
    </w:p>
    <w:p w:rsidR="00A90898" w:rsidRDefault="00A90898" w:rsidP="00A90898">
      <w:pPr>
        <w:pStyle w:val="TextoNormal"/>
      </w:pPr>
    </w:p>
    <w:p w:rsidR="00A90898" w:rsidRDefault="00A90898" w:rsidP="00A90898">
      <w:pPr>
        <w:pStyle w:val="TextoNormal"/>
      </w:pPr>
      <w:r>
        <w:t>A esta noción de esfuerzo compartido alude la exposición de motivos del Real Decreto-ley 9/2013, antes mencionada, y así lo hace también, en lo que en este momento interesa, la del Real Decreto-ley 14/2010, en cuyo apartado 4 se justifica la adopción de “un conjunto de disposiciones de tal forma que todos los agentes del sector contribuyan con un esfuerzo adicional y compartido a la reducción del déficit del sistema eléctrico”, prestando “especial atención y cuidado en no afectar al equilibrio económico financiero de las empresas del sector, no sólo para las grandes empresas … sino también para el conjunto de instalaciones de generación”.</w:t>
      </w:r>
    </w:p>
    <w:p w:rsidR="00A90898" w:rsidRDefault="00A90898" w:rsidP="00A90898">
      <w:pPr>
        <w:pStyle w:val="TextoNormal"/>
      </w:pPr>
    </w:p>
    <w:p w:rsidR="00A90898" w:rsidRDefault="00A90898" w:rsidP="00A90898">
      <w:pPr>
        <w:pStyle w:val="TextoNormal"/>
      </w:pPr>
      <w:r>
        <w:t>En concreto, el Real Decreto-ley 14/2010 incluye medidas dirigidas al conjunto de empresas de generación (anulando la excepción del pago por el uso de las redes de transporte y distribución a los consumos por bombeo y estableciendo la obligación de los productores de energía eléctrica de pagar dichos peajes, de acuerdo con su art. 1 y la disposición transitoria primera); otras que solo tienen por destinatarios a las instalaciones de generación de régimen especial (como la limitación de las horas equivalentes de funcionamiento con derecho al régimen económico primado que tengan reconocido las instalaciones fotovoltaicas prevista en la disposición transitoria segunda); y, por último, la contribución que aquí enjuiciamos (disposición adicional tercera), exigida tan solo a las empresas productoras de régimen ordinario. Pero también hemos podido comprobar cómo en el resto de normas aprobadas entre 2009 y 2013 para hacer frente al déficit de tarifa se exigían esfuerzos al resto de agentes del sector (por ejemplo, disminuyendo la retribución de las transportistas y distribuidoras), así como al conjunto de los contribuyentes, a través de los presupuestos generales del Estado, y a los consumidores, mediante el incremento de los peajes y de la tarifa. En relación con estos últimos, baste indicar que pocos días después de la aprobación del Real Decreto-ley 14/2010, por medio de la Orden ITC/3353/2010, de 28 de diciembre, se incrementó la tarifa eléctrica en un 9,8 por 100, aumento que habría tenido que ser superior en caso de no haberse aprobado la medida impugnada, so pena de haber seguido acumulando mayor déficit.</w:t>
      </w:r>
    </w:p>
    <w:p w:rsidR="00A90898" w:rsidRDefault="00A90898" w:rsidP="00A90898">
      <w:pPr>
        <w:pStyle w:val="TextoNormal"/>
      </w:pPr>
    </w:p>
    <w:p w:rsidR="00A90898" w:rsidRDefault="00A90898" w:rsidP="00A90898">
      <w:pPr>
        <w:pStyle w:val="TextoNormal"/>
      </w:pPr>
      <w:r>
        <w:t xml:space="preserve">Y es que en uso del margen de configuración de que dispone el legislador democrático, este puede articular diversas medidas para alcanzar la sostenibilidad financiera del sistema </w:t>
      </w:r>
      <w:r>
        <w:lastRenderedPageBreak/>
        <w:t>eléctrico, en cuya importancia para la actividad económica y el nivel de vida de los ciudadanos no es necesario insistir. Dentro de los instrumentos a disposición del legislador para este fin se incluyen, entre otros: i) la regulación de los costes imputables al sistema y de las retribuciones de los sujetos que intervienen en el mismo; ii) la aprobación de los peajes y la tarifa regulada; iii) la exacción de prestaciones patrimoniales, tributarias y no tributarias; iv) y, por último, la asunción de ciertos costes con cargo a los presupuestos generales del Estado. Basta un repaso a la sucesión de disposiciones normativas a que hemos aludido para encontrar ejemplos de cada tipo de medida, que han tenido como destinatarios, en mayor o menor grado, a todos los agentes participantes, a partir de la repetida idea de “reparto de esfuerzos”.</w:t>
      </w:r>
    </w:p>
    <w:p w:rsidR="00A90898" w:rsidRDefault="00A90898" w:rsidP="00A90898">
      <w:pPr>
        <w:pStyle w:val="TextoNormal"/>
      </w:pPr>
    </w:p>
    <w:p w:rsidR="00A90898" w:rsidRDefault="00A90898" w:rsidP="00A90898">
      <w:pPr>
        <w:pStyle w:val="TextoNormal"/>
      </w:pPr>
      <w:r>
        <w:t>En esta línea, la financiación de los planes de ahorro y eficiencia energética por parte de las empresas designadas en la disposición adicional tercera del Real Decreto-ley 14/2010 es una decisión, de vigencia temporal limitada a los años 2011, 2012 y 2013, que fue adoptada por el poder público (por el Gobierno, al dictar la norma de urgencia, y por las Cortes Generales, con su convalidación) “con el fin de reducir los costes imputables a la tarifa” (según proclama su exposición de motivos, apartado 4). Hasta dicho Real Decreto-ley, estaba previsto que el gasto de estos planes se imputara como coste del sistema (</w:t>
      </w:r>
      <w:r w:rsidRPr="00A90898">
        <w:rPr>
          <w:i/>
        </w:rPr>
        <w:t>vid</w:t>
      </w:r>
      <w:r>
        <w:t>. disposición adicional trigésimo tercera de la Ley 39/2010, de 22 de diciembre, de Presupuestos Generales del Estado para el año 2011), por lo que es obvio que, en caso de no haberse aprobado la norma cuestionada, el déficit del sistema —a igual tarifa— habría sido todavía mayor. La exposición de motivos (apartado I) del Real Decreto-ley 9/2013 cuantificaba el déficit acumulado en 26.062,51 millones de euros a fecha 10 de mayo de 2013, y ello a pesar de que entre los años 2004 y 2012 —aclaraba— los ingresos del sistema eléctrico por peajes de los consumidores se habían incrementado en un 122 por ciento, debido a que —confirmaba— el aumento de los costes regulados del sistema en dicho periodo había sido de un 197 por 100).</w:t>
      </w:r>
    </w:p>
    <w:p w:rsidR="00A90898" w:rsidRDefault="00A90898" w:rsidP="00A90898">
      <w:pPr>
        <w:pStyle w:val="TextoNormal"/>
      </w:pPr>
    </w:p>
    <w:p w:rsidR="00A90898" w:rsidRDefault="00A90898" w:rsidP="00A90898">
      <w:pPr>
        <w:pStyle w:val="TextoNormal"/>
      </w:pPr>
      <w:r>
        <w:t>De igual forma, también habría sido superior el déficit si no se hubieran adoptado las modificaciones sobre las instalaciones de producción de régimen especial incluidas en el propio Real Decreto-ley 14/2010 y en las demás disposiciones de urgencia —anteriores y posteriores— que se han citado. Por esa razón, no cabe compartir el argumento de las entidades Iberdrola Generación, S.A., y Tarragona Power, S.L., según las cuales las medidas de ajuste aplicadas a las empresas de generación de régimen especial son ajenas al problema del déficit tarifario (y, por tanto, no cabría vincularlas con la financiación de los planes que estamos valorando), puesto que basta con “constatar que al menos una parte del mencionado déficit se genera por la existencia de un sistema de primas” (STC 96/2014, FJ 7) para concluir que nos hallamos ante un conjunto de medidas presididas por el fin común de lograr la sostenibilidad financiera del sistema eléctrico.</w:t>
      </w:r>
    </w:p>
    <w:p w:rsidR="00A90898" w:rsidRDefault="00A90898" w:rsidP="00A90898">
      <w:pPr>
        <w:pStyle w:val="TextoNormal"/>
      </w:pPr>
    </w:p>
    <w:p w:rsidR="00A90898" w:rsidRDefault="00A90898" w:rsidP="00A90898">
      <w:pPr>
        <w:pStyle w:val="TextoNormal"/>
      </w:pPr>
      <w:r>
        <w:t>Por tanto, el legislador, en uso de su margen de configuración, puede articular soluciones para moderar los costes del sistema eléctrico, diseñando fórmulas alternativas de financiación (los distintos subsectores, o bien los presupuestos generales del Estado) pues, en caso contrario, la única opción es un todavía mayor aumento de las tarifas o, si no se traslada a precios el mayor coste del sistema, la acumulación de más déficit, comprometiendo la sostenibilidad financiera del sector.</w:t>
      </w:r>
    </w:p>
    <w:p w:rsidR="00A90898" w:rsidRDefault="00A90898" w:rsidP="00A90898">
      <w:pPr>
        <w:pStyle w:val="TextoNormal"/>
      </w:pPr>
    </w:p>
    <w:p w:rsidR="00A90898" w:rsidRDefault="00A90898" w:rsidP="00A90898">
      <w:pPr>
        <w:pStyle w:val="TextoNormal"/>
      </w:pPr>
      <w:r>
        <w:lastRenderedPageBreak/>
        <w:t>Ante el volumen alcanzado por el déficit tarifario, la norma que juzgamos se incardina entre las de contención de costes del sistema, habiéndose aprobado (antes y después del Real Decreto-ley 14/2010) otras en la misma dirección de extraer del mismo determinados conceptos de coste, como la imputación a los titulares de las centrales nucleares de los costes de la gestión de los residuos radiactivos y conceptos análogos que anteriormente se cargaban solo a la tarifa eléctrica (Real Decreto-ley 5/2005, de 11 de marzo, primero, y, con posterioridad, Real Decreto-ley 6/2009) o la modificación en el sistema de financiación del operador de mercado y del operador del sistema eléctrico, cuyas retribuciones se computaban inicialmente como coste del sistema y que, en virtud de la Ley 17/2007, de 4 de julio, de modificación de la Ley 54/1997, y del Real Decreto-ley 13/2012, antes citado, pasaron a cubrirse por los generadores, comercializadores y consumidores.</w:t>
      </w:r>
    </w:p>
    <w:p w:rsidR="00A90898" w:rsidRDefault="00A90898" w:rsidP="00A90898">
      <w:pPr>
        <w:pStyle w:val="TextoNormal"/>
      </w:pPr>
    </w:p>
    <w:p w:rsidR="00A90898" w:rsidRDefault="00A90898" w:rsidP="00A90898">
      <w:pPr>
        <w:pStyle w:val="TextoNormal"/>
      </w:pPr>
      <w:r>
        <w:t>En definitiva, el margen de configuración del legislador debe comprender la posibilidad de disponer, con base en criterios técnicos, económicos y de oportunidad, qué costes se imputan al sistema eléctrico (en última instancia, a los consumidores, que deberán hacer frente a ellos, antes o después), a las empresas del sector o de un subsector en particular, y a los presupuestos generales del Estado, es decir, tomar la decisión política sobre la distribución del esfuerzo necesario para contener el déficit de tarifa.</w:t>
      </w:r>
    </w:p>
    <w:p w:rsidR="00A90898" w:rsidRDefault="00A90898" w:rsidP="00A90898">
      <w:pPr>
        <w:pStyle w:val="TextoNormal"/>
      </w:pPr>
    </w:p>
    <w:p w:rsidR="00A90898" w:rsidRDefault="00A90898" w:rsidP="00A90898">
      <w:pPr>
        <w:pStyle w:val="TextoNormal"/>
      </w:pPr>
      <w:r w:rsidRPr="00A90898">
        <w:rPr>
          <w:rStyle w:val="NumeroAFNegritaCaracter"/>
        </w:rPr>
        <w:t>4</w:t>
      </w:r>
      <w:r>
        <w:t>. Así encuadrada la cuestión en el ámbito de la regulación del sector eléctrico y de la contención del déficit tarifario y ante la calificación de la medida como “prestación patrimonial de carácter público” que hace el Auto de planteamiento, y que las partes no discuten, corresponde ahora recordar nuestra doctrina sobre estas prestaciones, que hemos caracterizado como aquellas impuestas coactivamente, esto es,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(SSTC 185/1995, de 14 de diciembre, FJ 3; 182/1997, de 28 de octubre, FJ 15; 233/1999, de 16 de diciembre, FJ 33, y 83/2014, de 29 de mayo, FJ 3).</w:t>
      </w:r>
    </w:p>
    <w:p w:rsidR="00A90898" w:rsidRDefault="00A90898" w:rsidP="00A90898">
      <w:pPr>
        <w:pStyle w:val="TextoNormal"/>
      </w:pPr>
    </w:p>
    <w:p w:rsidR="00A90898" w:rsidRDefault="00A90898" w:rsidP="00A90898">
      <w:pPr>
        <w:pStyle w:val="TextoNormal"/>
      </w:pPr>
      <w:r>
        <w:t>Asimismo, hemos afirmado que para determinar cuándo puede considerarse que una prestación patrimonial resulta coactivamente impuesta es necesario concretar, en primer lugar, “si el supuesto de hecho que da lugar a la obligación ha sido o no realizado de forma libre y espontánea por el sujeto obligado” [STC 185/1995, de 5 de diciembre, FJ 3 a)] y, en segundo lugar, si la libertad o la espontaneidad exigida en la realización del supuesto de hecho y en la decisión de obligarse es real y efectiva [STC 185/1995, de 5 de diciembre, FJ 3 b)]. Eso sí, calificada una determinada prestación como patrimonial de carácter público, además, tendrá naturaleza tributaria si, habiendo sido coactivamente impuesta, “se satisface, directa o indirectamente, a los entes públicos con la finalidad de contribuir al sostenimiento de los gastos públicos” (SSTC 182/1997, de 28 de octubre, FJ 15; y 102/2005, de 20 de abril, FJ 6), “sometiendo a gravamen un presupuesto de hecho o hecho imponible revelador de capacidad económica” (SSTC 276/2000, de 16 de diciembre, FJ 4; y 193/2004, de 4 de noviembre, FJ 4).</w:t>
      </w:r>
    </w:p>
    <w:p w:rsidR="00A90898" w:rsidRDefault="00A90898" w:rsidP="00A90898">
      <w:pPr>
        <w:pStyle w:val="TextoNormal"/>
      </w:pPr>
    </w:p>
    <w:p w:rsidR="00A90898" w:rsidRDefault="00A90898" w:rsidP="00A90898">
      <w:pPr>
        <w:pStyle w:val="TextoNormal"/>
      </w:pPr>
      <w:r>
        <w:t xml:space="preserve">De conformidad con la anterior doctrina, nos corresponde ahora examinar la naturaleza jurídica de la prestación recogida en la disposición adicional tercera del Real Decreto-ley 14/2010, en virtud de la cual se impone a las once sociedades generadoras que se identifican en ella la cobertura del coste de los planes de ahorro y eficiencia energética correspondiente </w:t>
      </w:r>
      <w:r>
        <w:lastRenderedPageBreak/>
        <w:t>al sector eléctrico (hay otra parte de dichos planes que se financia con cargo al sistema gasista). Del contenido de la norma se desprende que esta contribución reviste la naturaleza de una prestación pecuniaria, impuesta coactiva y unilateralmente por el poder público, que se satisface a un ente público (la Comisión Nacional de la Energía, desde la que se trasferirá al Instituto para la Diversificación y Ahorro de la Energía, órgano adscrito al Ministerio de Industria, Energía y Turismo encargado de la ejecución de los planes, con base en los arts. 3 y 4 de la Orden ITC/2844/2011), sin la concurrencia de la voluntad del sujeto obligado a su pago (las empresas productoras de energía eléctrica incluidas en la norma), donde el supuesto de hecho no se realiza de forma libre y espontánea por el sujeto obligado y en el que la prestación debida tiene una inequívoca finalidad de interés público, como es la contención urgente del déficit tarifario en el sector eléctrico.</w:t>
      </w:r>
    </w:p>
    <w:p w:rsidR="00A90898" w:rsidRDefault="00A90898" w:rsidP="00A90898">
      <w:pPr>
        <w:pStyle w:val="TextoNormal"/>
      </w:pPr>
    </w:p>
    <w:p w:rsidR="00A90898" w:rsidRDefault="00A90898" w:rsidP="00A90898">
      <w:pPr>
        <w:pStyle w:val="TextoNormal"/>
      </w:pPr>
      <w:r>
        <w:t xml:space="preserve">No es difícil concluir de lo expuesto que la obligación regulada en la norma cuestionada constituye una prestación patrimonial de carácter público, conforme a la figura prevista en el art. 31.3 CE. Ahora bien, hemos afirmado que “no toda prestación impuesta tiene que ser necesariamente una expresión concreta del deber de contribuir del art. 31.1 CE, como sucede cuando con ella no se persigue derechamente buscar una nueva forma de allegar medios económicos con los que financiar el gasto público, aunque tenga como efecto económico indirecto el de servir también a dicha financiación” (STC 83/2014, FJ 3), sino que nos hallamos ante una medida adoptada por el Estado al margen de su poder tributario (art. 133.1 CE) cuyos destinatarios son llamados a su cumplimento no como contribuyentes (en el seno de una relación jurídico tributaria), sino en el marco, al que antes hemos hecho referencia, de su relación económica con el Estado dentro de un sector regulado como el eléctrico, relación de la que pueden surgir tanto derechos como cargas que asumir, y que guarda cierta analogía, con las debidas salvedades, con la enjuiciada en la citada STC 83/2014, en la que analizábamos la deducción sobre la facturación mensual de cada oficina de farmacia introducida por el Real Decreto-ley 5/2000, de 23 de junio; y también, </w:t>
      </w:r>
      <w:r w:rsidRPr="00A90898">
        <w:rPr>
          <w:i/>
        </w:rPr>
        <w:t>mutatis mutandis</w:t>
      </w:r>
      <w:r>
        <w:t>, con la prestación impuesta a los empresarios en relación con la cobertura de la incapacidad laboral transitoria examinada en la STC 182/1997, FJ 15, y que, incardinándola también en el art. 31.3 CE, calificamos como “una medida dirigida a mantener el mismo nivel de protección económica por incapacidad laboral transitoria, previendo, ante el crecimiento del déficit público, y precisamente para poder cumplir el mandato del art. 41 CE, un desplazamiento de la carga económica correspondiente, de los fondos propios de la Seguridad Social a los empresarios”.</w:t>
      </w:r>
    </w:p>
    <w:p w:rsidR="00A90898" w:rsidRDefault="00A90898" w:rsidP="00A90898">
      <w:pPr>
        <w:pStyle w:val="TextoNormal"/>
      </w:pPr>
    </w:p>
    <w:p w:rsidR="00A90898" w:rsidRDefault="00A90898" w:rsidP="00A90898">
      <w:pPr>
        <w:pStyle w:val="TextoNormal"/>
      </w:pPr>
      <w:r>
        <w:t>El hecho de que la prestación regulada en la norma controvertida no tenga carácter tributario excluye que deba analizarse a la luz de los principios del art. 31.1 CE, en cuanto recoge los “criterios inspiradores del sistema tributario siendo exigibles, aunque con diferente intensidad, respecto de las prestaciones patrimoniales de naturaleza tributaria, y no, en consecuencia, de cualquier prestación patrimonial” (STC 83/2014, FJ 6); o de las previsiones del art. 86.1 CE, que condiciona los instrumentos normativos a través de los que pueden establecerse prestaciones patrimoniales de naturaleza tributaria [STC 62/2015, de 13 de abril, FJ 3 a)]. Por el contrario, sí debe ajustarse al art. 14, en conexión con el art. 9.3 CE, tal y como sostiene la Sala de lo Contencioso-Administrativo de la Audiencia Nacional, dado que ambos preceptos juegan como parámetro de control del legislador.</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La duda del órgano judicial promotor de la cuestión de inconstitucionalidad nos sitúa en el ámbito de la posible violación del principio de igualdad “en la ley” o “ante la ley”, que </w:t>
      </w:r>
      <w:r>
        <w:lastRenderedPageBreak/>
        <w:t>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muchas otras, SSTC 255/2004, de 23 de diciembre, FJ 4; 10/2005, de 20 de enero, FJ 5; 295/2006, de 11 de octubre, FJ 5, y 83/2014, de 29 de mayo, FJ 7).</w:t>
      </w:r>
    </w:p>
    <w:p w:rsidR="00A90898" w:rsidRDefault="00A90898" w:rsidP="00A90898">
      <w:pPr>
        <w:pStyle w:val="TextoNormal"/>
      </w:pPr>
    </w:p>
    <w:p w:rsidR="00A90898" w:rsidRDefault="00A90898" w:rsidP="00A90898">
      <w:pPr>
        <w:pStyle w:val="TextoNormal"/>
      </w:pPr>
      <w:r>
        <w:t>Como declaramos en la STC 144/1988, de 12 de julio, FJ 1,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00A90898" w:rsidRDefault="00A90898" w:rsidP="00A90898">
      <w:pPr>
        <w:pStyle w:val="TextoNormal"/>
      </w:pPr>
    </w:p>
    <w:p w:rsidR="00A90898" w:rsidRDefault="00A90898" w:rsidP="00A90898">
      <w:pPr>
        <w:pStyle w:val="TextoNormal"/>
      </w:pPr>
      <w:r>
        <w:t>Sistematizando lo anterior, la doctrina del Tribunal acerca del art. 14 CE se puede concretar en los siguientes cuatro rasgos: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y d) por último, para que la diferenciación resulte constitucionalmente lícita, no basta con que lo sea el fin que se persigue con ella,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3/1983, de 25 de enero, FJ 3; 76/1990, de 26 de abril, FJ 9 a); 193/2004, de 4 de noviembre, FJ 3, y 10/2005, de 20 de enero, FJ 5].</w:t>
      </w:r>
    </w:p>
    <w:p w:rsidR="00A90898" w:rsidRDefault="00A90898" w:rsidP="00A90898">
      <w:pPr>
        <w:pStyle w:val="TextoNormal"/>
      </w:pPr>
    </w:p>
    <w:p w:rsidR="00A90898" w:rsidRDefault="00A90898" w:rsidP="00A90898">
      <w:pPr>
        <w:pStyle w:val="TextoNormal"/>
      </w:pPr>
      <w:r>
        <w:t xml:space="preserve">Por consiguiente, para comprobar si la contribución exigida a once sociedades productoras de electricidad para la cobertura del coste de los planes de ahorro y eficiencia energética de los años 2011, 2012 y 2013, respeta el principio de igualdad, es preciso, en primer lugar, concretar si las situaciones que se pretenden comparar son iguales (juicio de comparabilidad); en segundo término, y una vez razonado que las situaciones son comparables, si concurre una finalidad objetiva y razonable que legitime el trato desigual de esas situaciones (juicio de razonabilidad, en clave de legitimidad y funcionalidad para el fin perseguido); y, </w:t>
      </w:r>
      <w:r>
        <w:lastRenderedPageBreak/>
        <w:t>por último, si las consecuencias jurídicas a que conduce la disparidad de trato son razonables, por existir una relación de proporcionalidad entre el medio empleado y la finalidad perseguida, evitando resultados especialmente gravosos o desmedidos (juicio de proporcionalidad).</w:t>
      </w:r>
    </w:p>
    <w:p w:rsidR="00A90898" w:rsidRDefault="00A90898" w:rsidP="00A90898">
      <w:pPr>
        <w:pStyle w:val="TextoNormal"/>
      </w:pPr>
    </w:p>
    <w:p w:rsidR="00A90898" w:rsidRDefault="00A90898" w:rsidP="00A90898">
      <w:pPr>
        <w:pStyle w:val="TextoNormal"/>
      </w:pPr>
      <w:r w:rsidRPr="00A90898">
        <w:rPr>
          <w:rStyle w:val="NumeroAFNegritaCaracter"/>
        </w:rPr>
        <w:t>6</w:t>
      </w:r>
      <w:r>
        <w:t>. De acuerdo con la doctrina expuesta, para responder a la primera duda que se le plantea al órgano judicial promotor de la cuestión —si la selección de entidades que hace la norma para sufragar los planes de ahorro y eficiencia energética vulnera el principio de igualdad constitucionalmente garantizado— debemos partir de la premisa, por todos admitida, de que las sociedades obligadas tienen en común su condición de productoras de electricidad en régimen ordinario, cuyo régimen jurídico se recoge en los arts. 21 y ss. (capítulo I “Régimen ordinario” del título IV “Producción de energía eléctrica”) de la Ley 54/1997, vigente en el momento de aprobarse el Real Decreto-ley 14/2010.</w:t>
      </w:r>
    </w:p>
    <w:p w:rsidR="00A90898" w:rsidRDefault="00A90898" w:rsidP="00A90898">
      <w:pPr>
        <w:pStyle w:val="TextoNormal"/>
      </w:pPr>
    </w:p>
    <w:p w:rsidR="00A90898" w:rsidRDefault="00A90898" w:rsidP="00A90898">
      <w:pPr>
        <w:pStyle w:val="TextoNormal"/>
      </w:pPr>
      <w:r>
        <w:t>Es evidente que la exigencia de una prestación patrimonial de carácter público de naturaleza no tributaria a las productoras de régimen ordinario y no a otras empresas del sector entraña una diferencia de tratamiento. Ahora bien, es preciso dilucidar antes si nos encontramos ante términos homogéneos de comparación. En este sentido, los términos de comparación propuestos por la Sala de lo Contencioso-Administrativo de la Audiencia Nacional son tres: a) el resto de empresas que operan en el sector eléctrico (género del que las productoras de electricidad son solo una especie); b) las demás empresas productoras de electricidad, en particular, las que aplican el régimen especial; y c) las demás empresas productoras de régimen ordinario, de las que la norma solo ha seleccionado a once, designándolas nominativamente.</w:t>
      </w:r>
    </w:p>
    <w:p w:rsidR="00A90898" w:rsidRDefault="00A90898" w:rsidP="00A90898">
      <w:pPr>
        <w:pStyle w:val="TextoNormal"/>
      </w:pPr>
    </w:p>
    <w:p w:rsidR="00A90898" w:rsidRDefault="00A90898" w:rsidP="00A90898">
      <w:pPr>
        <w:pStyle w:val="TextoNormal"/>
      </w:pPr>
      <w:r>
        <w:t>a) En cuanto al resto de empresas del sector eléctrico, como las dedicadas al transporte y a la distribución, debemos señalar, en primer lugar, que se trata de actividades sometidas a un régimen jurídico y económico diferente al de la producción. La Ley 54/1997 dedica títulos independientes para cada actividad (título VI “Transporte de energía eléctrica” y título VII “Distribución de energía eléctrica”), atendiendo a sus características diferenciales y a la necesidad de mayor regulación en el ámbito del transporte y la distribución, dada su condición de monopolios naturales, frente a la producción, subsector para el que, en contraste, se impulsa un régimen de competencia que no es posible en aquellos. Por tanto, el régimen retributivo de las actividades de producción, transporte y distribución no es igual, lo que ya de por sí relativiza la comparabilidad entre los sujetos de uno y otro subsector.</w:t>
      </w:r>
    </w:p>
    <w:p w:rsidR="00A90898" w:rsidRDefault="00A90898" w:rsidP="00A90898">
      <w:pPr>
        <w:pStyle w:val="TextoNormal"/>
      </w:pPr>
    </w:p>
    <w:p w:rsidR="00A90898" w:rsidRDefault="00A90898" w:rsidP="00A90898">
      <w:pPr>
        <w:pStyle w:val="TextoNormal"/>
      </w:pPr>
      <w:r>
        <w:t>Pero, además, y atendiendo al objetivo de disminuir el déficit de tarifa, ya hemos podido comprobar cómo el legislador ha arbitrado medidas que han afectado a estos otros subsectores del sistema, reduciendo sus retribuciones (en el caso del transporte, por el Real Decreto-ley 20/2012 y para la distribución en el Real Decreto-ley 13/2012, entre otros); así como a los consumidores, con aumentos de tarifa y de peajes, y al conjunto de los contribuyentes, imputando ciertas partidas de costes a los presupuestos generales del Estado.</w:t>
      </w:r>
    </w:p>
    <w:p w:rsidR="00A90898" w:rsidRDefault="00A90898" w:rsidP="00A90898">
      <w:pPr>
        <w:pStyle w:val="TextoNormal"/>
      </w:pPr>
    </w:p>
    <w:p w:rsidR="00A90898" w:rsidRDefault="00A90898" w:rsidP="00A90898">
      <w:pPr>
        <w:pStyle w:val="TextoNormal"/>
      </w:pPr>
      <w:r>
        <w:t xml:space="preserve">De lo expuesto se desprende que la aplicación de una concreta medida, como la disposición adicional tercera del Real Decreto-ley 14/2010, tan solo a empresas productoras de electricidad, y no a las dedicadas a otras actividades del sector, no introduce una diferencia entre situaciones que puedan calificarse iguales, al menos por dos razones: i) el diferente </w:t>
      </w:r>
      <w:r>
        <w:lastRenderedPageBreak/>
        <w:t>régimen jurídico y económico aplicable a cada actividad, lo que conlleva distintos “derechos” y “cargas”, siguiendo la terminología de la STC 83/2014, de 29 de mayo, FJ 3; y ii) el necesario enfoque de esta norma en el contexto de las adoptadas durante un periodo largo de tiempo para contener el déficit de tarifa eléctrica, de tal suerte que a cada tipo de actividad se le han exigido ajustes (traducidos en menores retribuciones, aumento de peajes o exacción de prestaciones patrimoniales, tributarias y no tributarias), siendo legítimo que el legislador tenga en cuenta la diferente contribución de cada subsector para imponer ahora solo a las empresas productoras una prestación como la que se consigna en la disposición adicional tercera del Real Decreto-ley 14/2010.</w:t>
      </w:r>
    </w:p>
    <w:p w:rsidR="00A90898" w:rsidRDefault="00A90898" w:rsidP="00A90898">
      <w:pPr>
        <w:pStyle w:val="TextoNormal"/>
      </w:pPr>
    </w:p>
    <w:p w:rsidR="00A90898" w:rsidRDefault="00A90898" w:rsidP="00A90898">
      <w:pPr>
        <w:pStyle w:val="TextoNormal"/>
      </w:pPr>
      <w:r>
        <w:t>b) Así acotado como posible término de comparación el subsector de la producción eléctrica, cabe anticipar que tampoco por lo que se refiere a las productoras de régimen especial nos hallamos ante un término de comparación homogéneo.</w:t>
      </w:r>
    </w:p>
    <w:p w:rsidR="00A90898" w:rsidRDefault="00A90898" w:rsidP="00A90898">
      <w:pPr>
        <w:pStyle w:val="TextoNormal"/>
      </w:pPr>
    </w:p>
    <w:p w:rsidR="00A90898" w:rsidRDefault="00A90898" w:rsidP="00A90898">
      <w:pPr>
        <w:pStyle w:val="TextoNormal"/>
      </w:pPr>
      <w:r>
        <w:t>Se debe partir de que en la Ley 54/1997, aquí aplicable, el régimen ordinario de producción, a grandes rasgos, era el correspondiente a las instalaciones de generación que emplean tecnologías convencionales, es decir, el parque tradicional de producción eléctrica en España. Por su parte, de acuerdo con el art. 27.1 de la Ley 54/1997, en la redacción vigente al tiempo de aprobarse el Real Decreto-ley 14/2010, el régimen especial tenía el siguiente ámbito de aplicación:</w:t>
      </w:r>
    </w:p>
    <w:p w:rsidR="00A90898" w:rsidRDefault="00A90898" w:rsidP="00A90898">
      <w:pPr>
        <w:pStyle w:val="TextoNormal"/>
      </w:pPr>
    </w:p>
    <w:p w:rsidR="00A90898" w:rsidRDefault="00A90898" w:rsidP="00A90898">
      <w:pPr>
        <w:pStyle w:val="TextoNormal"/>
      </w:pPr>
      <w:r>
        <w:t>“La actividad de producción de energía eléctrica tendrá la consideración de producción en régimen especial en los siguientes casos, cuando se realice desde instalaciones cuya potencia instalada no supere los 50 Mw:</w:t>
      </w:r>
    </w:p>
    <w:p w:rsidR="00A90898" w:rsidRDefault="00A90898" w:rsidP="00A90898">
      <w:pPr>
        <w:pStyle w:val="TextoNormal"/>
      </w:pPr>
    </w:p>
    <w:p w:rsidR="00A90898" w:rsidRDefault="00A90898" w:rsidP="00A90898">
      <w:pPr>
        <w:pStyle w:val="TextoNormal"/>
      </w:pPr>
      <w:r>
        <w:t>a) Instalaciones que utilicen la cogeneración u otras formas de producción de electricidad asociadas a actividades no eléctricas siempre que supongan un alto rendimiento energético.</w:t>
      </w:r>
    </w:p>
    <w:p w:rsidR="00A90898" w:rsidRDefault="00A90898" w:rsidP="00A90898">
      <w:pPr>
        <w:pStyle w:val="TextoNormal"/>
      </w:pPr>
    </w:p>
    <w:p w:rsidR="00A90898" w:rsidRDefault="00A90898" w:rsidP="00A90898">
      <w:pPr>
        <w:pStyle w:val="TextoNormal"/>
      </w:pPr>
      <w:r>
        <w:t>b) Cuando se utilice como energía primaria alguna de las energías renovables no consumibles, biomasa o cualquier tipo de biocarburante, siempre y cuando su titular no realice actividades de producción en el régimen ordinario.</w:t>
      </w:r>
    </w:p>
    <w:p w:rsidR="00A90898" w:rsidRDefault="00A90898" w:rsidP="00A90898">
      <w:pPr>
        <w:pStyle w:val="TextoNormal"/>
      </w:pPr>
    </w:p>
    <w:p w:rsidR="00A90898" w:rsidRDefault="00A90898" w:rsidP="00A90898">
      <w:pPr>
        <w:pStyle w:val="TextoNormal"/>
      </w:pPr>
      <w:r>
        <w:t>c) Cuando se utilicen como energía primaria residuos no renovables.</w:t>
      </w:r>
    </w:p>
    <w:p w:rsidR="00A90898" w:rsidRDefault="00A90898" w:rsidP="00A90898">
      <w:pPr>
        <w:pStyle w:val="TextoNormal"/>
      </w:pPr>
    </w:p>
    <w:p w:rsidR="00A90898" w:rsidRDefault="00A90898" w:rsidP="00A90898">
      <w:pPr>
        <w:pStyle w:val="TextoNormal"/>
      </w:pPr>
      <w:r>
        <w:t>También tendrá la consideración de producción en régimen especial la producción de energía eléctrica desde instalaciones de tratamiento y reducción de los residuos de los sectores agrícola, ganadero y de servicios, con una potencia instalada igual o inferior a 25 Mw, cuando supongan un alto rendimiento energético.”</w:t>
      </w:r>
    </w:p>
    <w:p w:rsidR="00A90898" w:rsidRDefault="00A90898" w:rsidP="00A90898">
      <w:pPr>
        <w:pStyle w:val="TextoNormal"/>
      </w:pPr>
    </w:p>
    <w:p w:rsidR="00A90898" w:rsidRDefault="00A90898" w:rsidP="00A90898">
      <w:pPr>
        <w:pStyle w:val="TextoNormal"/>
      </w:pPr>
      <w:r>
        <w:t>Interesa, a estos efectos, puntualizar que, si bien la distinción entre régimen ordinario y especial sobre la que asienta la Ley 54/1997 ya no se mantiene en la vigente Ley 24/2013, esta sigue previendo un régimen económico primado para la producción a partir de fuentes de energía renovables, cogeneración y residuos (disposición final tercera), en línea con el previsto en la Ley 54/1997 para el régimen especial, como expresión del interés en impulsar las llamadas energías alternativas.</w:t>
      </w:r>
    </w:p>
    <w:p w:rsidR="00A90898" w:rsidRDefault="00A90898" w:rsidP="00A90898">
      <w:pPr>
        <w:pStyle w:val="TextoNormal"/>
      </w:pPr>
    </w:p>
    <w:p w:rsidR="00A90898" w:rsidRDefault="00A90898" w:rsidP="00A90898">
      <w:pPr>
        <w:pStyle w:val="TextoNormal"/>
      </w:pPr>
      <w:r>
        <w:t xml:space="preserve">En este sentido, tanto la Abogacía del Estado como el Ministerio Fiscal entienden que tampoco en este caso nos hallamos ante un término válido de comparación, puesto que la </w:t>
      </w:r>
      <w:r>
        <w:lastRenderedPageBreak/>
        <w:t>producción de electricidad en régimen ordinario y en régimen especial tienen una diferente ordenación en la Ley 54/1997 (capítulos I y II, respectivamente, del título IV), de acuerdo con criterios de política económica y medioambiental, que justifica un sistema de retribución propio para cada una.</w:t>
      </w:r>
    </w:p>
    <w:p w:rsidR="00A90898" w:rsidRDefault="00A90898" w:rsidP="00A90898">
      <w:pPr>
        <w:pStyle w:val="TextoNormal"/>
      </w:pPr>
    </w:p>
    <w:p w:rsidR="00A90898" w:rsidRDefault="00A90898" w:rsidP="00A90898">
      <w:pPr>
        <w:pStyle w:val="TextoNormal"/>
      </w:pPr>
      <w:r>
        <w:t>Este Tribunal comparte dicho razonamiento, toda vez que el distinto régimen económico legalmente establecido impide considerar que ambas formas de producción se encuentren en situaciones iguales en los términos del art. 14 CE, de modo que los “derechos” y “cargas” no tienen que ser necesariamente los mismos para ambas modalidades de producción. Dos ejemplos ilustrativos de las diferencias económicas entre ambas formas de generación son el reconocimiento a las principales empresas de régimen ordinario de los llamados “pagos por capacidad”, con base en el art. 16.1 c) de la Ley 54/1997, así como de los denominados “costes de transición a la competencia” a los que se refería la disposición transitoria sexta de la Ley 54/1997; conceptos ambos estrechamente conectados con el déficit de tarifa, pese a las alegaciones en contra de Iberdrola Generación, S.A., y Tarragona Power, S.L., al igual que lo están las primas previstas para la producción en régimen especial.</w:t>
      </w:r>
    </w:p>
    <w:p w:rsidR="00A90898" w:rsidRDefault="00A90898" w:rsidP="00A90898">
      <w:pPr>
        <w:pStyle w:val="TextoNormal"/>
      </w:pPr>
    </w:p>
    <w:p w:rsidR="00A90898" w:rsidRDefault="00A90898" w:rsidP="00A90898">
      <w:pPr>
        <w:pStyle w:val="TextoNormal"/>
      </w:pPr>
      <w:r>
        <w:t>Por otro lado, el Abogado del Estado y el Ministerio Público apuntan, de acuerdo con la idea de esfuerzo compartido —no necesariamente idéntico— a la que venimos refiriéndonos, que sobre las empresas productoras de régimen especial también se han ido articulando medidas dirigidas a reducir el déficit tarifario, algunas de ellas recogidas en el propio Real Decreto-ley 14/2010, y otras en normas precedentes y posteriores a las que nos hemos referido. Precisamente acerca de una de las citadas medidas hemos tenido ocasión de pronunciarnos recientemente para admitir la constitucionalidad, desde la perspectiva del art. 9.3 CE, de “las modificaciones en el régimen retributivo de las energías renovables realizado por el Real Decreto-ley 9/2013, más aún —como sucede en el presente caso—, en un ámbito sujeto a un elevada intervención administrativa en virtud de su incidencia en los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 recordando, una vez más desde la noción de reparto de esfuerzos y del margen de decisión disponible para el legislador, particularmente en sectores como el que nos ocupa, que “[e]n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[STC 270/2015, de 17 de diciembre, FJ 7 a)].</w:t>
      </w:r>
    </w:p>
    <w:p w:rsidR="00A90898" w:rsidRDefault="00A90898" w:rsidP="00A90898">
      <w:pPr>
        <w:pStyle w:val="TextoNormal"/>
      </w:pPr>
    </w:p>
    <w:p w:rsidR="00A90898" w:rsidRDefault="00A90898" w:rsidP="00A90898">
      <w:pPr>
        <w:pStyle w:val="TextoNormal"/>
      </w:pPr>
      <w:r>
        <w:t>Por consiguiente, las productoras de régimen especial han contribuido por otra vía —pero lo han hecho— al control del déficit tarifario. La lectura del debate parlamentario de convalidación del Real Decreto-ley 14/2010 (Cortes Generales. “Diario de Sesiones del Congreso de los Diputados.” Pleno y Diputación Permanente. IX Legislatura. Año 2011, núm. 219. Sesión plenaria núm. 207, de 26 de enero, págs. 46 a 59) es muy reveladora de lo que acabamos de indicar, puesto que todas las intervenciones de los grupos se centraron en destacar el significativo “recorte a las renovables”, así como el coetáneo aumento de la tarifa eléctrica de casi un 10 por 100 para 2011, como medidas incardinadas en la estrategia de contención del déficit del sistema.</w:t>
      </w:r>
    </w:p>
    <w:p w:rsidR="00A90898" w:rsidRDefault="00A90898" w:rsidP="00A90898">
      <w:pPr>
        <w:pStyle w:val="TextoNormal"/>
      </w:pPr>
    </w:p>
    <w:p w:rsidR="00A90898" w:rsidRDefault="00A90898" w:rsidP="00A90898">
      <w:pPr>
        <w:pStyle w:val="TextoNormal"/>
      </w:pPr>
      <w:r>
        <w:lastRenderedPageBreak/>
        <w:t>Junto al distinto régimen económico que les resulta aplicable y a su contribución por otra vía a la reducción del déficit de tarifa, existe, al menos, una tercera razón que impide considerar que ambos regímenes de producción se encuentren “desde todos los puntos de vista legítimamente adoptables” (STC 144/1988, FJ 1) en la misma situación en orden a financiar los programas de eficiencia y ahorro energéticos. Y es que no podemos desconocer la vinculación a que apunta la propia Ley 54/1997 (último párrafo de la exposición de motivos) entre la eficiencia energética y la protección del medio ambiente, a través del fomento de las energías renovables, cuando afirma que “la presente Ley hace compatible una política energética basada en la progresiva liberalización del mercado con la consecución de otros objetivos que también le son propios, como la mejora de la eficiencia energética, la reducción del consumo y la protección del medio ambiente. El régimen especial de generación eléctrica, los programas de gestión de la demanda y, sobre todo, el fomento de las energías renovables mejoran su encaje en nuestro ordenamiento.”</w:t>
      </w:r>
    </w:p>
    <w:p w:rsidR="00A90898" w:rsidRDefault="00A90898" w:rsidP="00A90898">
      <w:pPr>
        <w:pStyle w:val="TextoNormal"/>
      </w:pPr>
    </w:p>
    <w:p w:rsidR="00A90898" w:rsidRDefault="00A90898" w:rsidP="00A90898">
      <w:pPr>
        <w:pStyle w:val="TextoNormal"/>
      </w:pPr>
      <w:r>
        <w:t>En el mismo sentido, la Directiva 2006/32/CE del Parlamento Europeo y del Consejo, de 5 de abril de 2006, sobre la eficiencia del uso final de la energía y los servicios energéticos (en cuyo marco se inscribe el plan de acción 2008-2012 y los planes de ahorro y eficiencia energética de los años 2011, 2012 y 2013) ratifica la indicada vinculación cuando señala que “[e]xiste en la Comunidad la necesidad de mejorar la eficiencia del uso final de la energía, gestionar la demanda energética y fomentar la producción de energía renovable” (primer considerando); y, asimismo, la Directiva 2004/8/CE del Parlamento Europeo y del Consejo, de 11 de febrero de 2004, relativa al fomento de la cogeneración (forma de producción a la que es aplicable, en ciertas condiciones, el régimen especial), también vigente cuando se aprobó el Plan 2008-2012, subraya que “[e]n la actualidad, en la Comunidad está infrautilizado el potencial de la cogeneración como medida para ahorrar energía” y que “[e]l fomento de la cogeneración de alta eficiencia sobre la base de la demanda de calor útil es una prioridad comunitaria habida cuenta de los beneficios potenciales de la cogeneración en lo que se refiere al ahorro de energía primaria, a la eliminación de pérdidas en la red y a la reducción de las emisiones, en particular, de gases de efecto invernadero” (primer considerando).</w:t>
      </w:r>
    </w:p>
    <w:p w:rsidR="00A90898" w:rsidRDefault="00A90898" w:rsidP="00A90898">
      <w:pPr>
        <w:pStyle w:val="TextoNormal"/>
      </w:pPr>
    </w:p>
    <w:p w:rsidR="00A90898" w:rsidRDefault="00A90898" w:rsidP="00A90898">
      <w:pPr>
        <w:pStyle w:val="TextoNormal"/>
      </w:pPr>
      <w:r>
        <w:t>Por ende, sin negar que, como indica el Auto de planteamiento (y secundan las partes personadas), los planes de ahorro y eficiencia energética beneficien al conjunto del sistema, el legislador puede legítimamente valorar que las productoras de régimen especial ya colaboran, por el tipo de tecnologías empleadas, en el objetivo que dichos planes persiguen. Y, del mismo modo que decide financiar una parte de los planes directamente a través de los presupuestos generales del Estado y hace descansar otra parte sobre los peajes del sistema gasista (disposición adicional trigésimo tercera de la Ley 39/2010, de 22 de diciembre, de presupuestos generales del Estado para el año 2011), la ley tiene potestad para exigir la parte imputable al sector eléctrico en 2011, 2012 y 2013 a las empresas incluidas en la disposición adicional tercera del Real Decreto-ley 14/2010, con exclusión de los productores de régimen especial que, por todas las razones apuntadas, no pueden considerarse términos válidos de comparación a los efectos del art. 14 CE.</w:t>
      </w:r>
    </w:p>
    <w:p w:rsidR="00A90898" w:rsidRDefault="00A90898" w:rsidP="00A90898">
      <w:pPr>
        <w:pStyle w:val="TextoNormal"/>
      </w:pPr>
    </w:p>
    <w:p w:rsidR="00A90898" w:rsidRDefault="00A90898" w:rsidP="00A90898">
      <w:pPr>
        <w:pStyle w:val="TextoNormal"/>
      </w:pPr>
      <w:r>
        <w:t xml:space="preserve">Las compañías Iberdrola Generación, S.A., y Tarragona Power, S.L., aducen que, al igual que los presupuestos públicos ya sufragan una parte considerable del coste de los planes, “no se entiende por qué no podrían sufragar la totalidad”, pero debemos ponderar, una vez más, el “legítimo margen de configuración del legislador democrático y el propio carácter </w:t>
      </w:r>
      <w:r>
        <w:lastRenderedPageBreak/>
        <w:t>dinámico del ordenamiento jurídico” (por todas, STC 141/2014, de 11 de septiembre, FJ 9) en uso del cual puede definir el peso de cada vía de financiación.</w:t>
      </w:r>
    </w:p>
    <w:p w:rsidR="00A90898" w:rsidRDefault="00A90898" w:rsidP="00A90898">
      <w:pPr>
        <w:pStyle w:val="TextoNormal"/>
      </w:pPr>
    </w:p>
    <w:p w:rsidR="00A90898" w:rsidRDefault="00A90898" w:rsidP="00A90898">
      <w:pPr>
        <w:pStyle w:val="TextoNormal"/>
      </w:pPr>
      <w:r>
        <w:t>En suma, la decisión del legislador, en ejercicio de sus funciones de regulación del sector, de exigir una prestación patrimonial de carácter público de naturaleza no tributaria del art. 31.3 CE para financiar el coste de los planes de ahorro y eficiencia energética solo a empresas de producción de electricidad en régimen ordinario, desde la perspectiva de las demás empresas del subsector de producción (en concreto, de las generadoras de régimen especial), no introduce una diferencia entre situaciones que puedan considerarse iguales, puesto que el régimen jurídico y económico de ambas modalidades es diferente y, con él, sus “derechos” y “cargas”. Tampoco se encuentran en la misma situación por lo que concierne a otras medidas soportadas para contribuir al mismo objetivo que la norma cuestionada (la contención del déficit tarifario), ni por el contenido de los mencionados planes, ya que el uso de tecnologías renovables está positivamente correlacionado con el ahorro y la eficiencia energética.</w:t>
      </w:r>
    </w:p>
    <w:p w:rsidR="00A90898" w:rsidRDefault="00A90898" w:rsidP="00A90898">
      <w:pPr>
        <w:pStyle w:val="TextoNormal"/>
      </w:pPr>
    </w:p>
    <w:p w:rsidR="00A90898" w:rsidRDefault="00A90898" w:rsidP="00A90898">
      <w:pPr>
        <w:pStyle w:val="TextoNormal"/>
      </w:pPr>
      <w:r>
        <w:t>c) Una vez descartados los anteriores, solo podemos considerar como término válido de comparación el conjunto de las empresas productoras de electricidad de régimen ordinario, de las que el legislador ha seleccionado a once. Procede, en consecuencia, abordar en este punto la duda que alberga el órgano judicial sobre cómo se han determinado las once empresas incluidas en la disposición adicional tercera del Real Decreto-ley 14/2010.</w:t>
      </w:r>
    </w:p>
    <w:p w:rsidR="00A90898" w:rsidRDefault="00A90898" w:rsidP="00A90898">
      <w:pPr>
        <w:pStyle w:val="TextoNormal"/>
      </w:pPr>
    </w:p>
    <w:p w:rsidR="00A90898" w:rsidRDefault="00A90898" w:rsidP="00A90898">
      <w:pPr>
        <w:pStyle w:val="TextoNormal"/>
      </w:pPr>
      <w:r>
        <w:t>Como cuestión previa, conviene puntualizar que en el ámbito del sector eléctrico no es infrecuente identificar por su denominación a los destinatarios de ciertas normas, lo que se explica por la complejidad técnica del sector y de su regulación y por el papel protagonista que un reducido número de entidades juegan en él. Así se hace, por ejemplo, en la disposición adicional vigésimo primera de la Ley 54/1997 (a efectos de la financiación del déficit de tarifa) y en el Real Decreto 2017/1997, de 26 de diciembre, por el que se regula el procedimiento de liquidación de los costes del sistema, que utiliza relaciones nominativas para i) designar a los sujetos del procedimiento de liquidación (apartado 1 del Anexo I); ii) concretar los obligados a financiar los saldos negativos de la cuenta de liquidación (apartado 9 del anexo I); y iii) repartir la asignación general regulada en su art. 13 b) (a las compañías incluidas en el anexo III, en porcentajes determinados). En particular, en el apartado 9 del anexo I de este Real Decreto, tras relacionar nominativamente y en porcentajes determinados las entidades que financian el posible saldo negativo de la cuenta específica de depósito para la liquidación de los costes del sistema, se indica que los “[e]stos porcentajes son provisionales, por lo que se faculta al Ministerio de Industria, Turismo y Comercio para establecer los porcentajes de reparto de una manera definitiva”, lo que se explica por la continua variación del peso de cada entidad en las magnitudes del sistema y por los procesos de reorganización empresarial (fusiones, ventas de activos y similares) que han ido teniendo lugar en el sector y que la norma general no puede anticipar. Idéntica conclusión sobre la necesidad que existe a menudo de señalar nominativamente a las entidades del sector se alcanza de la simple lectura de las órdenes anuales de regulación de los peajes y tarifas eléctricas (</w:t>
      </w:r>
      <w:r w:rsidRPr="00A90898">
        <w:rPr>
          <w:i/>
        </w:rPr>
        <w:t>vid</w:t>
      </w:r>
      <w:r>
        <w:t>. por ejemplo, los arts. 1 y 2 de la Orden ITC/3353/2010, de 28 de diciembre, por la que se establecen los peajes de acceso a partir de 1 de enero de 2011, antes citada).</w:t>
      </w:r>
    </w:p>
    <w:p w:rsidR="00A90898" w:rsidRDefault="00A90898" w:rsidP="00A90898">
      <w:pPr>
        <w:pStyle w:val="TextoNormal"/>
      </w:pPr>
    </w:p>
    <w:p w:rsidR="00A90898" w:rsidRDefault="00A90898" w:rsidP="00A90898">
      <w:pPr>
        <w:pStyle w:val="TextoNormal"/>
      </w:pPr>
      <w:r>
        <w:t xml:space="preserve">De este modo, la especificidad de los grupos empresariales protagonistas del mercado de producción eléctrica en España legitima una referencia normativa igualmente singularizada, </w:t>
      </w:r>
      <w:r>
        <w:lastRenderedPageBreak/>
        <w:t>cuando hay razones objetivas y justificadas para ello, como es el caso que aquí se analiza. Y así lo ha entendido también la jurisprudencia ordinaria (por ejemplo, la Sentencia del Tribunal Supremo de 26 de marzo de 2014, FJ 4, que desestimó el recurso contencioso-administrativo interpuesto contra la Orden ITC/3315/2007, de 15 de diciembre, por la que se regula para el año 2006 la minoración de la retribución de la actividad de producción de energía eléctrica en el importe equivalente al valor de los derechos de emisión de gases de efecto invernadero asignados gratuitamente).</w:t>
      </w:r>
    </w:p>
    <w:p w:rsidR="00A90898" w:rsidRDefault="00A90898" w:rsidP="00A90898">
      <w:pPr>
        <w:pStyle w:val="TextoNormal"/>
      </w:pPr>
    </w:p>
    <w:p w:rsidR="00A90898" w:rsidRDefault="00A90898" w:rsidP="00A90898">
      <w:pPr>
        <w:pStyle w:val="TextoNormal"/>
      </w:pPr>
      <w:r>
        <w:t>Pues bien, el Auto de planteamiento considera que se podría vulnerar el art. 14 CE ya que no se obliga a todas las empresas de producción en régimen ordinario sino tan solo a las incluidas en la lista recogida en la disposición adicional tercera del Real Decreto-ley 14/2010, interpretación que comparten las tres entidades personadas en el proceso.</w:t>
      </w:r>
    </w:p>
    <w:p w:rsidR="00A90898" w:rsidRDefault="00A90898" w:rsidP="00A90898">
      <w:pPr>
        <w:pStyle w:val="TextoNormal"/>
      </w:pPr>
    </w:p>
    <w:p w:rsidR="00A90898" w:rsidRDefault="00A90898" w:rsidP="00A90898">
      <w:pPr>
        <w:pStyle w:val="TextoNormal"/>
      </w:pPr>
      <w:r>
        <w:t xml:space="preserve">A este respecto, la Abogacía del Estado (tanto en las alegaciones presentadas en el proceso </w:t>
      </w:r>
      <w:r w:rsidRPr="00A90898">
        <w:rPr>
          <w:i/>
        </w:rPr>
        <w:t>a quo</w:t>
      </w:r>
      <w:r>
        <w:t xml:space="preserve"> como en sede constitucional) y el Ministerio Fiscal arguyen que la determinación final de las once empresas sujetas a la obligación de cubrir durante los años 2011, 2012 y 2013 el coste de los planes de ahorro y eficiencia energética se explica por la exclusión de aquellas con escasa cuota de mercado o que utilizan principalmente tecnologías renovables o experimentales (como es el caso de Elcogas, S.A., expresamente mencionada por el órgano judicial).</w:t>
      </w:r>
    </w:p>
    <w:p w:rsidR="00A90898" w:rsidRDefault="00A90898" w:rsidP="00A90898">
      <w:pPr>
        <w:pStyle w:val="TextoNormal"/>
      </w:pPr>
    </w:p>
    <w:p w:rsidR="00A90898" w:rsidRDefault="00A90898" w:rsidP="00A90898">
      <w:pPr>
        <w:pStyle w:val="TextoNormal"/>
      </w:pPr>
      <w:r>
        <w:t>Esta aclaración parece admitirse por el órgano promotor de la cuestión, cuando reconoce, en relación con las entidades excluidas, que “se dedican, fundamentalmente, a la producción de energías renovables”, aunque estima que “este argumento nos resulta dudoso, por las razones que ya hemos expuesto”.</w:t>
      </w:r>
    </w:p>
    <w:p w:rsidR="00A90898" w:rsidRDefault="00A90898" w:rsidP="00A90898">
      <w:pPr>
        <w:pStyle w:val="TextoNormal"/>
      </w:pPr>
    </w:p>
    <w:p w:rsidR="00A90898" w:rsidRDefault="00A90898" w:rsidP="00A90898">
      <w:pPr>
        <w:pStyle w:val="TextoNormal"/>
      </w:pPr>
      <w:r>
        <w:t>Resulta conveniente matizar, en cuanto a la afirmación del Auto de que “hay empresas de producción de régimen ordinario que la Administración no cita y que no están incluidas en la disposición adicional tercera” que, por razones de derecho transitorio (</w:t>
      </w:r>
      <w:r w:rsidRPr="00A90898">
        <w:rPr>
          <w:i/>
        </w:rPr>
        <w:t>vid</w:t>
      </w:r>
      <w:r>
        <w:t>. la disposición adicional sexta “Instalaciones de potencia instalada mayor de 50 MW y no superior a 100 Mw del Real Decreto 436/2004, de 12 de marzo” del Real Decreto 661/2007, de 25 de mayo, por el que se regula la actividad de producción de energía eléctrica en régimen especial), existen instalaciones que utilizan tecnologías renovables y otras propias del régimen especial (residuos, cogeneración, etc.) a las que, sin embargo, se les aplica el régimen ordinario (por motivos como, por ejemplo, superar el umbral de 50 Mw a que se refiere el art. 27.1 de la Ley 54/1997). Por tanto, está justificada la exclusión no solo de las instalaciones que producen en régimen especial, sino de aquellas a las que pueda ser aplicable el régimen ordinario pero que producen con tecnologías renovables y otras análogas. Como también es una opción legítima no exigir la contribución a las empresas con una escasa cuota de mercado, en atención a un umbral mínimo.</w:t>
      </w:r>
    </w:p>
    <w:p w:rsidR="00A90898" w:rsidRDefault="00A90898" w:rsidP="00A90898">
      <w:pPr>
        <w:pStyle w:val="TextoNormal"/>
      </w:pPr>
    </w:p>
    <w:p w:rsidR="00A90898" w:rsidRDefault="00A90898" w:rsidP="00A90898">
      <w:pPr>
        <w:pStyle w:val="TextoNormal"/>
      </w:pPr>
      <w:r>
        <w:t>En definitiva, los motivos que han llevado a la ley a seleccionar a las once sociedades de la disposición adicional tercera del Real Decreto-ley 14/2010, excluyendo a las tienen una escasa cuota de mercado y a las que emplean tecnologías renovables o experimentales para la generación eléctrica, resulta justificado, legítimo y razonable, en los términos constitucionalmente exigibles.</w:t>
      </w:r>
    </w:p>
    <w:p w:rsidR="00A90898" w:rsidRDefault="00A90898" w:rsidP="00A90898">
      <w:pPr>
        <w:pStyle w:val="TextoNormal"/>
      </w:pPr>
    </w:p>
    <w:p w:rsidR="00A90898" w:rsidRDefault="00A90898" w:rsidP="00A90898">
      <w:pPr>
        <w:pStyle w:val="TextoNormal"/>
      </w:pPr>
      <w:r>
        <w:lastRenderedPageBreak/>
        <w:t>d) Para valorar si se ha respetado el art. 14 CE no basta concluir que la medida “posee una justificación objetiva y razonable, sino también, en el supuesto de que así sea, si la medida adoptada es proporcionada a la finalidad perseguida” (STC 255/2004, de 22 de diciembre, FJ 5), lo que nos remite a un juicio sobre “la proporcionalidad de la medida, entendida como adecuación razonable al fin legítimo constitucionalmente perseguido” (SSTC 88/1986, de 1 de julio, FJ 6, y 100/2012, de 8 de mayo, FJ 4).</w:t>
      </w:r>
    </w:p>
    <w:p w:rsidR="00A90898" w:rsidRDefault="00A90898" w:rsidP="00A90898">
      <w:pPr>
        <w:pStyle w:val="TextoNormal"/>
      </w:pPr>
    </w:p>
    <w:p w:rsidR="00A90898" w:rsidRDefault="00A90898" w:rsidP="00A90898">
      <w:pPr>
        <w:pStyle w:val="TextoNormal"/>
      </w:pPr>
      <w:r>
        <w:t>Así pues, una vez aclarado que la selección de once sociedades como obligadas a financiar los planes de ahorro y eficiencia energética de 2011, 2012 y 2013 no introduce una diferencia carente de justificación, resta examinar si la diferente contribución de cada una de las empresas incluidas en la norma es proporcionada al fin pretendido por esta (juicio de proporcionalidad).</w:t>
      </w:r>
    </w:p>
    <w:p w:rsidR="00A90898" w:rsidRDefault="00A90898" w:rsidP="00A90898">
      <w:pPr>
        <w:pStyle w:val="TextoNormal"/>
      </w:pPr>
    </w:p>
    <w:p w:rsidR="00A90898" w:rsidRDefault="00A90898" w:rsidP="00A90898">
      <w:pPr>
        <w:pStyle w:val="TextoNormal"/>
      </w:pPr>
      <w:r>
        <w:t>En este punto, la Sala de lo Contencioso-administrativo de la Audiencia Nacional plantea el problema de “cómo se ha calculado el porcentaje” y no considera suficientes las explicaciones ofrecidas por la Abogacía del Estado según las cuales los porcentajes han sido determinados en atención a la cuota de mercado de cada operador, con ciertas correcciones debidas, por un lado, a la necesidad de repartir todo el coste del programa entre las once compañías seleccionadas; y, por otro, al mayor esfuerzo exigible a las entidades (las cinco de mayor contribución) cuyas matrices están obligadas, en virtud de la disposición adicional vigésimo primera de la Ley 54/1997, a financiar el déficit de tarifa y que tendrán, por tanto, una menor carga como consecuencia del reequilibrio del sistema, fin al que se ordena el precepto objetado.</w:t>
      </w:r>
    </w:p>
    <w:p w:rsidR="00A90898" w:rsidRDefault="00A90898" w:rsidP="00A90898">
      <w:pPr>
        <w:pStyle w:val="TextoNormal"/>
      </w:pPr>
    </w:p>
    <w:p w:rsidR="00A90898" w:rsidRDefault="00A90898" w:rsidP="00A90898">
      <w:pPr>
        <w:pStyle w:val="TextoNormal"/>
      </w:pPr>
      <w:r>
        <w:t>A este respecto, la cuota de mercado resulta ser un criterio adecuado para distribuir una prestación patrimonial de carácter público dirigida al reequilibrio económico del sector eléctrico entre las principales empresas productoras de régimen ordinario, que son también las principales del sector en su conjunto. El peso en el sector, medido a través de la participación en el mercado, es un parámetro que cumple con el exigible canon de proporcionalidad (sin descartar que pueda haber otros posibles), puesto que reparte el esfuerzo con arreglo a un criterio objetivo y adecuado a la finalidad pretendida, que es la sostenibilidad económica de un sector en cuya trascendencia para la actividad económica y los ciudadanos no hace falta insistir.</w:t>
      </w:r>
    </w:p>
    <w:p w:rsidR="00A90898" w:rsidRDefault="00A90898" w:rsidP="00A90898">
      <w:pPr>
        <w:pStyle w:val="TextoNormal"/>
      </w:pPr>
    </w:p>
    <w:p w:rsidR="00A90898" w:rsidRDefault="00A90898" w:rsidP="00A90898">
      <w:pPr>
        <w:pStyle w:val="TextoNormal"/>
      </w:pPr>
      <w:r>
        <w:t>Por lo que se refiere a los criterios de corrección aplicados, que explican que los porcentajes de la disposición adicional tercera del Real Decreto-ley 14/2010 no coincidan exactamente con las cuotas de mercado (las entidades Iberdrola Generación, S.A., y Tarragona Power, S.L., denuncian que el porcentaje consignado para ellas es mayor que su cuota de mercado según datos de 2010), no podemos considerar irrazonable que se haya repartido entre las once designadas la parte de los productoras excluidas, por cuanto es una consecuencia necesaria de la previa decisión de no exigirles la contribución a las entidades que producen con energías renovables y otras que el legislador considera preferentes (como las tecnologías experimentales).</w:t>
      </w:r>
    </w:p>
    <w:p w:rsidR="00A90898" w:rsidRDefault="00A90898" w:rsidP="00A90898">
      <w:pPr>
        <w:pStyle w:val="TextoNormal"/>
      </w:pPr>
    </w:p>
    <w:p w:rsidR="00A90898" w:rsidRDefault="00A90898" w:rsidP="00A90898">
      <w:pPr>
        <w:pStyle w:val="TextoNormal"/>
      </w:pPr>
      <w:r>
        <w:t xml:space="preserve">Para terminar, en cuanto a la conexión con la disposición adicional vigésimo primera de la Ley 54/1997, que obliga a las matrices de las cinco mayores productoras a financiar el déficit de tarifa mediante anticipos al sistema, y que determina una corrección adicional para aumentar el porcentaje de contribución de las cinco principales compañías del sector, </w:t>
      </w:r>
      <w:r>
        <w:lastRenderedPageBreak/>
        <w:t>solo pone de manifiesto la vinculación de la medida aquí examinada con el objetivo que la inspira, mediante una implicación cualificada de los principales grupos empresariales del sector. Y no podemos dejar de recordar, una vez más, que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en este ámbito” (STC 140/2015, de 22 de junio, FJ 2).</w:t>
      </w:r>
    </w:p>
    <w:p w:rsidR="00A90898" w:rsidRDefault="00A90898" w:rsidP="00A90898">
      <w:pPr>
        <w:pStyle w:val="TextoNormal"/>
      </w:pPr>
    </w:p>
    <w:p w:rsidR="00A90898" w:rsidRDefault="00A90898" w:rsidP="00A90898">
      <w:pPr>
        <w:pStyle w:val="TextoNormal"/>
      </w:pPr>
      <w:r>
        <w:t>En conclusión, debemos coincidir con el Fiscal General del Estado cuando afirma que “no existe en el reparto de asignaciones o porcentajes entre las once empresas generadoras a las que la disposición adicional tercera impone la financiación del Plan de Acción, un desequilibrio o trato diferencial que pueda ser calificado como carente de toda justificación objetiva o racionalidad” (sic). Habida cuenta que las reglas seguidas para determinar el porcentaje de cada sociedad son adecuadas al fin legítimo pretendido por la norma, no podemos sino concluir que esta se ajusta a la exigible proporcionalidad, debiendo rechazar, a la vista de lo razonado, que la norma cuestionada haya vulnerado el art. 14 CE.</w:t>
      </w:r>
    </w:p>
    <w:p w:rsidR="00A90898" w:rsidRDefault="00A90898" w:rsidP="00A90898">
      <w:pPr>
        <w:pStyle w:val="TextoNormal"/>
      </w:pPr>
    </w:p>
    <w:p w:rsidR="00A90898" w:rsidRDefault="00A90898" w:rsidP="00A90898">
      <w:pPr>
        <w:pStyle w:val="TextoNormal"/>
      </w:pPr>
      <w:r w:rsidRPr="00A90898">
        <w:rPr>
          <w:rStyle w:val="NumeroAFNegritaCaracter"/>
        </w:rPr>
        <w:t>7</w:t>
      </w:r>
      <w:r>
        <w:t>. Procede, por último, enjuiciar la posible infracción del art. 9.3 CE, en la vertiente de interdicción de la arbitrariedad de los poderes públicos, si bien podemos anticipar un juicio desestimatorio a partir de lo sentado en los fundamentos anteriores. Y ello porque, en un caso como el presente, la vulneración de tal precepto no puede separarse de la del principio de igualdad, ya descartada, puesto que la supuesta arbitrariedad sería una consecuencia de la falta de una justificación razonable, objetiva y proporcional al fin perseguido por la disposición adicional tercera del Real Decreto-ley 14/2010.</w:t>
      </w:r>
    </w:p>
    <w:p w:rsidR="00A90898" w:rsidRDefault="00A90898" w:rsidP="00A90898">
      <w:pPr>
        <w:pStyle w:val="TextoNormal"/>
      </w:pPr>
    </w:p>
    <w:p w:rsidR="00A90898" w:rsidRDefault="00A90898" w:rsidP="00A90898">
      <w:pPr>
        <w:pStyle w:val="TextoNormal"/>
      </w:pPr>
      <w:r>
        <w:t>Acerca del art. 9.3 CE y, en particular, de la interdicción de la arbitrariedad de los poderes públicos, precisamente en relación con una medida de regulación del sector eléctrico (la regla de cálculo de los costes de transición a la competencia introducida en la Ley 54/1997 por el art. 107 de la Ley 50/1998, de 30 de diciembre), hemos afirmado que “el control de la constitucionalidad de las leyes debe ejercerse por este Tribunal de forma que no se impongan constricciones indebidas al poder legislativo y se respeten sus legítimas opciones políticas. Por lo demás, como venimos señalando, el cuidado que este Tribunal ha de observar para mantenerse dentro de los límites del control del legislador democrático debe extremarse cuando se trata de aplicar preceptos generales e indeterminados, como es el de la interdicción de la arbitrariedad” y que en nuestro examen de constitucionalidad de una norma legal “no es pertinente realizar un análisis a fondo de todas las motivaciones posibles de la norma y de todas sus eventuales consecuencias” [STC 136/2011, FJ 12 b), con cita de las SSTC 47/2005, de 3 de marzo, FJ 7; 13/2007, de 18 de enero, FJ 4; 49/2008, de 9 de abril, FJ 5, y 90/2009, de 20 de abril, FJ 6].</w:t>
      </w:r>
    </w:p>
    <w:p w:rsidR="00A90898" w:rsidRDefault="00A90898" w:rsidP="00A90898">
      <w:pPr>
        <w:pStyle w:val="TextoNormal"/>
      </w:pPr>
    </w:p>
    <w:p w:rsidR="00A90898" w:rsidRDefault="00A90898" w:rsidP="00A90898">
      <w:pPr>
        <w:pStyle w:val="TextoNormal"/>
      </w:pPr>
      <w:r>
        <w:t xml:space="preserve">A lo anterior cabe añadir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 a); 227/1988, de 29 de noviembre, FJ 5; 239/1992, de 17 de diciembre, FJ 5; 233/1999, de 16 de diciembre, FJ 12, y 73/2000, de 14 </w:t>
      </w:r>
      <w:r>
        <w:lastRenderedPageBreak/>
        <w:t>de marzo, FJ 4], lo que entronca directamente con la consideración que hemos hecho de la disposición aquí estudiada como un instrumento enmarcado dentro de la política energética del Estado y, en particular, de las medidas para garantizar la sostenibilidad financiera del sistema eléctrico.</w:t>
      </w:r>
    </w:p>
    <w:p w:rsidR="00A90898" w:rsidRDefault="00A90898" w:rsidP="00A90898">
      <w:pPr>
        <w:pStyle w:val="TextoNormal"/>
      </w:pPr>
    </w:p>
    <w:p w:rsidR="00A90898" w:rsidRDefault="00A90898" w:rsidP="00A90898">
      <w:pPr>
        <w:pStyle w:val="TextoNormal"/>
      </w:pPr>
      <w:r>
        <w:t>Con base en lo expuesto, y a partir del juicio de igualdad efectuado, en el que hemos razonado que los términos de comparación invocados no son homogéneos y que, dentro del grupo comparable (las once empresas que cita la norma), la distribución de la carga es proporcionada y se asienta en criterios objetivos, legítimos y razonables, no podemos sino descartar que se haya incurrido en arbitrariedad, por más que se pueda discrepar de la norma cuestionada en clave técnica o política, ninguna de las cuales nos corresponde abordar. Por tanto, debemos concluir que la norma cuestionada no ha infringido el art. 9.3 CE.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seis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7" w:name="SENTENCIA_2016_168"/>
      <w:r>
        <w:lastRenderedPageBreak/>
        <w:t>SENTENCIA 168/2016, de 6 de octubre de 2016</w:t>
      </w:r>
    </w:p>
    <w:bookmarkEnd w:id="47"/>
    <w:p w:rsidR="00A90898" w:rsidRDefault="00A90898" w:rsidP="00A90898">
      <w:pPr>
        <w:pStyle w:val="TtuloResolucin"/>
      </w:pPr>
      <w:r>
        <w:t>Pleno</w:t>
      </w:r>
    </w:p>
    <w:p w:rsidR="00A90898" w:rsidRDefault="00A90898" w:rsidP="00A90898">
      <w:pPr>
        <w:pStyle w:val="TtuloBOE"/>
      </w:pPr>
      <w:r>
        <w:t>(BOE núm. 276, de 15 de noviembre de 2016)</w:t>
      </w:r>
    </w:p>
    <w:p w:rsidR="00A90898" w:rsidRDefault="00A90898" w:rsidP="00A90898">
      <w:pPr>
        <w:pStyle w:val="TextoNormalCentrado"/>
      </w:pPr>
      <w:r>
        <w:t>ECLI:ES:TC:2016:168</w:t>
      </w:r>
    </w:p>
    <w:p w:rsidR="00A90898" w:rsidRDefault="00A90898" w:rsidP="00A90898">
      <w:pPr>
        <w:pStyle w:val="TextoNormalCentrado"/>
      </w:pPr>
    </w:p>
    <w:p w:rsidR="00A90898" w:rsidRDefault="00A90898" w:rsidP="00A90898">
      <w:pPr>
        <w:pStyle w:val="SntesisDescriptiva"/>
      </w:pPr>
      <w:r>
        <w:t>Recurso de inconstitucionalidad 1995-2014. Interpuesto por el Gobierno del Principado de Asturias en relación con diversos preceptos de la Ley 27/2013, de 27 de diciembre, de racionalización y sostenibilidad de la Administración local.</w:t>
      </w:r>
    </w:p>
    <w:p w:rsidR="00A90898" w:rsidRDefault="00A90898" w:rsidP="00A90898">
      <w:pPr>
        <w:pStyle w:val="SntesisDescriptiva"/>
      </w:pPr>
    </w:p>
    <w:p w:rsidR="00A90898" w:rsidRDefault="00A90898" w:rsidP="00A90898">
      <w:pPr>
        <w:pStyle w:val="SntesisAnaltica"/>
      </w:pPr>
      <w:r>
        <w:t>Competencias sobre régimen local: pérdida parcial de objeto del recurso de inconstitucionalidad (SSTC 41/2016 y 111/2016), interpretación conforme de la disposición legal estatal que salva la organización comarcal estatutariamente prevista en la gestión de servicios supramunicipales.</w:t>
      </w:r>
    </w:p>
    <w:p w:rsidR="00A90898" w:rsidRDefault="00A90898" w:rsidP="00A90898">
      <w:pPr>
        <w:pStyle w:val="SntesisAnaltica"/>
      </w:pPr>
    </w:p>
    <w:p w:rsidR="00A90898" w:rsidRDefault="00A90898" w:rsidP="00A90898">
      <w:pPr>
        <w:pStyle w:val="Extracto"/>
      </w:pPr>
      <w:r>
        <w:t>1.</w:t>
      </w:r>
      <w:r>
        <w:tab/>
        <w:t>No se incurre en inconstitucionalidad por negar el atributo de la personalidad jurídica a los entes de ámbito inframunicipal; no obstante, la sola previsión de que estos entes carecen de personalidad jurídica no elimina amplios espacios de desarrollo autonómico y autoorganización local. La personalidad jurídica propia o régimen de descentralización administrativa no implica un estatuto sustancialmente distinto, que garantice amplias esferas de autonomía a las entidades locales menores [FJ 3].</w:t>
      </w:r>
    </w:p>
    <w:p w:rsidR="00A90898" w:rsidRDefault="00A90898" w:rsidP="00A90898">
      <w:pPr>
        <w:pStyle w:val="Extracto"/>
      </w:pPr>
    </w:p>
    <w:p w:rsidR="00A90898" w:rsidRDefault="00A90898" w:rsidP="00A90898">
      <w:pPr>
        <w:pStyle w:val="Extracto"/>
      </w:pPr>
      <w:r>
        <w:t>2.</w:t>
      </w:r>
      <w:r>
        <w:tab/>
        <w:t>La ausencia de personalidad jurídica propia remite al sistema de imputación y control de actos característico de las relaciones interorgánicas. No obstante, las concretas tareas que correspondan a estas ‘formas de organización desconcentrada’ así como las facultades de control y supervisión que el municipio desarrolle respecto de ellas siguen dependiendo esencialmente de las opciones organizativas que adopten los propios entes locales en el marco de la legislación autonómica sobre régimen local y de las bases ex art. 149.1.18 CE” [STC 41/2016, FJ 7 b)] [FJ 3].</w:t>
      </w:r>
    </w:p>
    <w:p w:rsidR="00A90898" w:rsidRDefault="00A90898" w:rsidP="00A90898">
      <w:pPr>
        <w:pStyle w:val="Extracto"/>
      </w:pPr>
    </w:p>
    <w:p w:rsidR="00A90898" w:rsidRDefault="00A90898" w:rsidP="00A90898">
      <w:pPr>
        <w:pStyle w:val="Extracto"/>
      </w:pPr>
      <w:r>
        <w:t>3.</w:t>
      </w:r>
      <w:r>
        <w:tab/>
        <w:t>Solo en algunas Comunidades Autónomas se han desarrollado procesos de autoorganización territorial traducidos en la instauración efectiva de entidades locales intermedias, de segundo grado o de ámbito supramunicipal (las comarcas de Aragón y Cataluña, las comarcas o cuadrillas del territorio histórico de Álava y la comarca castellanoleonesa de El Bierzo). La disposición impugnada, a fin de aislar cuáles son las “organizaciones comarcales” que deben necesariamente “respetarse” en la aplicación de la Ley, toma como referencia, no si la comarca está efectivamente implantada, sino si está estatutariamente prevista como nivel de gestión supramunicipal [FJ 4].</w:t>
      </w:r>
    </w:p>
    <w:p w:rsidR="00A90898" w:rsidRDefault="00A90898" w:rsidP="00A90898">
      <w:pPr>
        <w:pStyle w:val="Extracto"/>
      </w:pPr>
    </w:p>
    <w:p w:rsidR="00A90898" w:rsidRDefault="00A90898" w:rsidP="00A90898">
      <w:pPr>
        <w:pStyle w:val="Extracto"/>
      </w:pPr>
      <w:r>
        <w:t>4.</w:t>
      </w:r>
      <w:r>
        <w:tab/>
        <w:t xml:space="preserve">Las previsiones de la norma impugnada se aplicarán respetando toda “organización comarcal” estatutariamente prevista, sin por ello negar o perjudicar la que, no prevista en los Estatutos, pueda eventualmente llegar a instaurar cualquier Comunidad Autónoma al amparo de su competencia en orden a la creación y regulación de entidades locales de segundo grado. No cabe interpretarse en negativo, como fuerte restricción a la autonomía de las Comunidades Autónomas traducida en la imposibilidad de ejercer sus amplias competencias en orden a la regulación </w:t>
      </w:r>
      <w:r>
        <w:lastRenderedPageBreak/>
        <w:t>y creación de entidades caracterizadas por un fuerte grado de interiorización autonómica [FJ 4].</w:t>
      </w:r>
    </w:p>
    <w:p w:rsidR="00A90898" w:rsidRDefault="00A90898" w:rsidP="00A90898">
      <w:pPr>
        <w:pStyle w:val="Extracto"/>
      </w:pPr>
    </w:p>
    <w:p w:rsidR="00A90898" w:rsidRDefault="00A90898" w:rsidP="00A90898">
      <w:pPr>
        <w:pStyle w:val="Extracto"/>
      </w:pPr>
      <w:r>
        <w:t>5.</w:t>
      </w:r>
      <w:r>
        <w:tab/>
        <w:t>Muchos Estatutos de Autonomía hacen referencia a la comarca como entidad local, estableciéndola directamente como peldaño de la organización territorial o, en todo caso, permitiendo que la legislación autonómica la configure como ámbito de gestión supramunicipal. Así, los adoptados para Andalucía, Cantabria, Castilla-La Mancha, Castilla y León, Cataluña, Comunidad Valenciana, Extremadura, La Rioja, Principado de Asturias y Región de Murcia. Otros Estatutos no emplean la denominación, pero admiten expresamente la posibilidad de entidades locales supramunicipales: Comunidad de Madrid [FJ 4].</w:t>
      </w:r>
    </w:p>
    <w:p w:rsidR="00A90898" w:rsidRDefault="00A90898" w:rsidP="00A90898">
      <w:pPr>
        <w:pStyle w:val="Extracto"/>
      </w:pPr>
    </w:p>
    <w:p w:rsidR="00A90898" w:rsidRDefault="00A90898" w:rsidP="00A90898">
      <w:pPr>
        <w:pStyle w:val="Extracto"/>
      </w:pPr>
      <w:r>
        <w:t>6.</w:t>
      </w:r>
      <w:r>
        <w:tab/>
        <w:t>El régimen local no forma parte del contenido necesario del Estatuto de Autonomía (art. 147.2 CE) y si el legislador estatutario optase por incluir dentro de él regulaciones a este respecto, debe limitarlas a unas líneas fundamentales o esenciales (SSTC 31/2010, 103/2013 y 41/2016) [FJ 4].</w:t>
      </w:r>
    </w:p>
    <w:p w:rsidR="00A90898" w:rsidRDefault="00A90898" w:rsidP="00A90898">
      <w:pPr>
        <w:pStyle w:val="Extracto"/>
      </w:pPr>
    </w:p>
    <w:p w:rsidR="00A90898" w:rsidRDefault="00A90898" w:rsidP="00A90898">
      <w:pPr>
        <w:pStyle w:val="Extracto"/>
      </w:pPr>
      <w:r>
        <w:t>7.</w:t>
      </w:r>
      <w:r>
        <w:tab/>
        <w:t xml:space="preserve">La organización comarcal, esté o no prevista en los Estatutos, puede ser objeto de legislación estrictamente autonómica, estableciendo regulación completa de la comarca, aunque respetando la legislación estatutaria y básica a este respecto, si existe. Las ‘entidades locales no necesarias o contingentes’, en general, y las de segundo grado (p. ej., comarcas), en particular, están dotadas de ‘un fuerte grado de interiorización autonómica’, sin que les alcance directamente la garantía constitucional de la autonomía municipal </w:t>
      </w:r>
      <w:r w:rsidRPr="00A90898">
        <w:rPr>
          <w:i/>
        </w:rPr>
        <w:t>ex</w:t>
      </w:r>
      <w:r>
        <w:t xml:space="preserve"> art. 140 CE, provincial </w:t>
      </w:r>
      <w:r w:rsidRPr="00A90898">
        <w:rPr>
          <w:i/>
        </w:rPr>
        <w:t>ex</w:t>
      </w:r>
      <w:r>
        <w:t xml:space="preserve"> art. 141.2 CE e insular </w:t>
      </w:r>
      <w:r w:rsidRPr="00A90898">
        <w:rPr>
          <w:i/>
        </w:rPr>
        <w:t>ex</w:t>
      </w:r>
      <w:r>
        <w:t xml:space="preserve"> art. 141.4 CE (STC 41/2016, 214/1989)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inconstitucionalidad núm. 1995-2014, interpuesto por el Letrado del servicio jurídico del Principado de Asturias, en representación del Consejo de Gobierno de la Comunidad Autónoma, contra los apartados 7 y 9 del art. 1, el art. 2.2 y las disposiciones adicionales sexta, transitorias primera a cuarta de la Ley 27/2013, de 27 de diciembre, de racionalización y sostenibilidad de la Administración local, por vulneración de la Constitución (art. 149.1.18) y del Estatuto de Autonomía del Principado de Asturias (arts. 6, 10.1.2 </w:t>
      </w:r>
      <w:r>
        <w:lastRenderedPageBreak/>
        <w:t>y 11.10). Ha sido ponente el Magistrado don Juan Antonio Xiol Ríos,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28 de marzo de 2014, el Letrado del servicio jurídico del Principado de Asturias, en representación del Consejo de Gobierno de la Comunidad Autónoma, interpone recurso de inconstitucionalidad contra varios preceptos de la Ley 27/2013, de 27 de diciembre, de racionalización y sostenibilidad de la Administración local.</w:t>
      </w:r>
    </w:p>
    <w:p w:rsidR="00A90898" w:rsidRDefault="00A90898" w:rsidP="00A90898">
      <w:pPr>
        <w:pStyle w:val="TextoNormal"/>
      </w:pPr>
    </w:p>
    <w:p w:rsidR="00A90898" w:rsidRDefault="00A90898" w:rsidP="00A90898">
      <w:pPr>
        <w:pStyle w:val="TextoNormal"/>
      </w:pPr>
      <w:r w:rsidRPr="00A90898">
        <w:rPr>
          <w:rStyle w:val="NumeroAFNegritaCaracter"/>
        </w:rPr>
        <w:t>2</w:t>
      </w:r>
      <w:r>
        <w:t>. El recurso de inconstitucionalidad impugna las previsiones siguientes:</w:t>
      </w:r>
    </w:p>
    <w:p w:rsidR="00A90898" w:rsidRDefault="00A90898" w:rsidP="00A90898">
      <w:pPr>
        <w:pStyle w:val="TextoNormal"/>
      </w:pPr>
    </w:p>
    <w:p w:rsidR="00A90898" w:rsidRDefault="00A90898" w:rsidP="00A90898">
      <w:pPr>
        <w:pStyle w:val="TextoNormal"/>
      </w:pPr>
      <w:r>
        <w:t xml:space="preserve">a) El art. 24 </w:t>
      </w:r>
      <w:r w:rsidRPr="00A90898">
        <w:rPr>
          <w:i/>
        </w:rPr>
        <w:t>bis</w:t>
      </w:r>
      <w:r>
        <w:t xml:space="preserve"> de la Ley 7/1985, de 2 de abril, reguladora de las bases del régimen local (LBRL), introducido por el art. 1.7 de la Ley 27/2013. El art. 10.1.2 del Estatuto de Autonomía para Asturias (EAAst) atribuye a esta Comunidad Autónoma la competencia exclusiva para la creación de organizaciones territoriales de ámbito inferior al municipio de acuerdo con la posibilidad prevista en el art. 148.2 CE (cita SSTC 179/1985, de 19 de diciembre, FJ 2; 214/1989, de 21 de diciembre, FFJJ 4 y 6; 103/2013, de 25 de abril, FJ 4, y 143/2013, de 11 de julio, FJ 4). La señalada previsión efectúa una remisión al art. 6 EAAst, que reconoce expresamente la personalidad jurídica de las denominadas “parroquias rurales”. El Principado de Asturias ha aprobado en consonancia con esta previsión estatutaria la Ley 11/1986, de 20 de noviembre, por la que se reconoce la personalidad jurídica de la parroquia rural.</w:t>
      </w:r>
    </w:p>
    <w:p w:rsidR="00A90898" w:rsidRDefault="00A90898" w:rsidP="00A90898">
      <w:pPr>
        <w:pStyle w:val="TextoNormal"/>
      </w:pPr>
    </w:p>
    <w:p w:rsidR="00A90898" w:rsidRDefault="00A90898" w:rsidP="00A90898">
      <w:pPr>
        <w:pStyle w:val="TextoNormal"/>
      </w:pPr>
      <w:r>
        <w:t xml:space="preserve">Sobre esta base, el recurso razona primero la inconstitucionalidad del inciso “que carecerán de personalidad jurídica” del nuevo art. 24 </w:t>
      </w:r>
      <w:r w:rsidRPr="00A90898">
        <w:rPr>
          <w:i/>
        </w:rPr>
        <w:t>bis</w:t>
      </w:r>
      <w:r>
        <w:t xml:space="preserve">.1 LBRL. Esta previsión, junto a la introducción del nuevo art. 3.2 y la supresión del art. 45, todos de la Ley de bases de régimen local, supondrían la pérdida de la condición de entidad local con personalidad jurídica propia de las parroquias rurales que se creen a partir de la entrada en vigor de la Ley 27/2013. Se produciría así un “efecto cierre” o desplazamiento de la legislación autonómica. Habría, en particular, la vulneración de las competencias atribuidas al Principado de Asturias (art. 10.2 EAAst), así como la infracción de las normas sobre organización territorial del Estatuto de Autonomía (art. 6.2), que, integradas en el bloque de la constitucionalidad, obligan a las leyes tanto autonómicas como estatales. A su vez, la fijación de regímenes diferenciados para situaciones de hecho semejantes en función de la preexistencia del ente local menor pudiera merecer </w:t>
      </w:r>
      <w:r w:rsidRPr="00A90898">
        <w:rPr>
          <w:i/>
        </w:rPr>
        <w:t>per se</w:t>
      </w:r>
      <w:r>
        <w:t xml:space="preserve"> un reproche de inconstitucionalidad.</w:t>
      </w:r>
    </w:p>
    <w:p w:rsidR="00A90898" w:rsidRDefault="00A90898" w:rsidP="00A90898">
      <w:pPr>
        <w:pStyle w:val="TextoNormal"/>
      </w:pPr>
    </w:p>
    <w:p w:rsidR="00A90898" w:rsidRDefault="00A90898" w:rsidP="00A90898">
      <w:pPr>
        <w:pStyle w:val="TextoNormal"/>
      </w:pPr>
      <w:r>
        <w:t xml:space="preserve">Por otra parte, el art. 24 </w:t>
      </w:r>
      <w:r w:rsidRPr="00A90898">
        <w:rPr>
          <w:i/>
        </w:rPr>
        <w:t>bis</w:t>
      </w:r>
      <w:r>
        <w:t xml:space="preserve">.3 LBRL somete la creación de este tipo de entidades a la condición de que resulte más eficiente que la administración desconcentrada de núcleos de población separados. Tal previsión sería vaga o abierta, admitiendo con ello una pluralidad de desarrollos posibles. A su vez, la sostenibilidad financiera es un requisito que podría entenderse referido al conjunto de la hacienda municipal, no solo a la organización o prestación de determinados servicios. No obstante, al establecerlo, el Estado habría vulnerado las competencias autonómicas al intervenir en un “ámbito de disponibilidad de las Comunidades Autónomas”. A su vez, la eficiencia no es el único valor de relevancia constitucional </w:t>
      </w:r>
      <w:r>
        <w:lastRenderedPageBreak/>
        <w:t>en la prestación de servicios públicos; las Comunidades Autónomas han de poder atender otros mediante estas estructuras desconcentradas.</w:t>
      </w:r>
    </w:p>
    <w:p w:rsidR="00A90898" w:rsidRDefault="00A90898" w:rsidP="00A90898">
      <w:pPr>
        <w:pStyle w:val="TextoNormal"/>
      </w:pPr>
    </w:p>
    <w:p w:rsidR="00A90898" w:rsidRDefault="00A90898" w:rsidP="00A90898">
      <w:pPr>
        <w:pStyle w:val="TextoNormal"/>
      </w:pPr>
      <w:r>
        <w:t>b) La disposición transitoria cuarta de la Ley 27/2013. Vulneraría igualmente las competencias autonómicas al prever la disolución de las entidades locales menores que incumplan una obligación de presentación de cuentas. Desconocería que estas organizaciones forman parte del ámbito de disponibilidad de las Comunidades Autónomas. La previsión no hallaría cobertura tampoco en las reglas 13 y 14 del art. 149.1 CE; la supresión de estas entidades no comporta necesariamente una mejora de la eficiencia o sostenibilidad de la estructura administrativa.</w:t>
      </w:r>
    </w:p>
    <w:p w:rsidR="00A90898" w:rsidRDefault="00A90898" w:rsidP="00A90898">
      <w:pPr>
        <w:pStyle w:val="TextoNormal"/>
      </w:pPr>
    </w:p>
    <w:p w:rsidR="00A90898" w:rsidRDefault="00A90898" w:rsidP="00A90898">
      <w:pPr>
        <w:pStyle w:val="TextoNormal"/>
      </w:pPr>
      <w:r>
        <w:t>c) La disposición adicional sexta de la Ley 27/2013, conforme a la que “las previsiones de esta Ley se aplicarán respetando la organización comarcal en aquellas Comunidades Autónomas cuyos estatutos de autonomía tenga atribuida expresamente la gestión de servicios supramunicipales”. Según el art. 42.1 LBRL, las Comunidades Autónomas pueden, en función de sus concretas atribuciones, constituir comarcas para la prestación de servicios de carácter supramunicipal. La disposición controvertida vendría a impedir que ello sea posible si no está expresamente previsto en el Estatuto de Autonomía de la Comunidad Autónoma. Quedaría salvaguardada la organización comarcal desarrollada efectivamente en las Comunidades Autónomas, pero no por ello el Estado habría dejado de desbordar el art. 149.1.18 CE. Habría vulnerado, en particular, las competencias estatutarias del Principado de Asturias. Conforme al art. 6 EAAst, esta Comunidad Autónoma se organiza territorialmente en municipios y comarcas. A su vez, en el marco de la competencia autonómica de desarrollo del régimen local (art. 10.1.2 EAAst), se ha regulado por ley el procedimiento de creación de comarcas en el Principado de Asturias (Ley 3/1986). Tal legislación no ha sido desarrollada. No podría serlo ya en modo alguno como consecuencia de la disposición adicional controvertida, que habría desconocido que este tipo de entidades “entran en cuanto a su propia existencia en el ámbito de disponibilidad de las Comunidades Autónomas que dispongan de la correspondiente competencia” por tratarse de entidades que cuentan con “un fuerte grado de ‘interiorización’ por lo que, en la determinación de sus niveles competenciales, el Estado no puede sino quedar al margen” (STC 214/1989, de 21 de diciembre). La previsión impugnada sería, pues, contraria a los arts. 6.1, 10.1.2 y 11.10 EAAst, así como art. 149.1.18 CE.</w:t>
      </w:r>
    </w:p>
    <w:p w:rsidR="00A90898" w:rsidRDefault="00A90898" w:rsidP="00A90898">
      <w:pPr>
        <w:pStyle w:val="TextoNormal"/>
      </w:pPr>
    </w:p>
    <w:p w:rsidR="00A90898" w:rsidRDefault="00A90898" w:rsidP="00A90898">
      <w:pPr>
        <w:pStyle w:val="TextoNormal"/>
      </w:pPr>
      <w:r>
        <w:t>d) El art. 26.2 LBRL, en la redacción dada por el art. 1.9 de la Ley 27/2013, que atribuye facultades de coordinación a la diputación provincial respecto de determinados servicios municipales. Vulneraría las competencias estatutarias del Principado de Asturias (art. 11.10 EAAst), en cuanto Comunidad Autónoma que se subroga en la posición de la diputación, sin suprimirla (STC 32/1981, de 28 de julio, FJ 3). Tal vulneración resultaría del sometimiento del plan provincial a la aprobación del Ministerio de Hacienda y Administraciones Públicas; se instauraría con ello un control sobre la actividad autonómica no tipificado en la Constitución o el Estatuto de Autonomía. Habría vulneración de los principios de subsidiaridad y proximidad en la prestación del servicio, teniendo en cuenta la ausencia de pruebas en cuanto a que la atribución de la gestión de aquellos servicios a la Diputación comporte mejoras en términos de eficacia, eficiencia o sostenibilidad. A su vez, se habrían atribuido competencias a Principado de Asturias sin previsión de financiación.</w:t>
      </w:r>
    </w:p>
    <w:p w:rsidR="00A90898" w:rsidRDefault="00A90898" w:rsidP="00A90898">
      <w:pPr>
        <w:pStyle w:val="TextoNormal"/>
      </w:pPr>
    </w:p>
    <w:p w:rsidR="00A90898" w:rsidRDefault="00A90898" w:rsidP="00A90898">
      <w:pPr>
        <w:pStyle w:val="TextoNormal"/>
      </w:pPr>
      <w:r>
        <w:lastRenderedPageBreak/>
        <w:t>e) Las disposiciones transitorias primera a tercera de la Ley 27/2013, relativas a servicios que vienen prestando los entes locales en materia de salud (disposición transitoria primera), servicios sociales (disposición transitoria segunda) y servicios de inspección sanitaria (disposición transitoria tercera). La Ley 27/2013 atribuye ahora estas competencias y su ejercicio a las Comunidades Autónomas. Bajo determinadas condiciones o con sujeción a plazos de implantación (salud y servicios sociales), el Estado estaría utilizando una simple ley básica (ordinaria) para atribuir competencias a las Comunidades Autónomas. La Ley 27/2013 habría desconocido que las leyes básicas no pueden atribuir competencias a las Comunidades Autónomas, que las competencias autonómicas son las previstas en los Estatutos y que una ampliación extraestatutaria solo puede canalizarse en el marco del art. 150.2 CE. Vulnerarían por ello los arts. 149.1.18 y 150.2 CE, así como las competencias del Principado de Asturias en materia de régimen local.</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132 de 31 de mayo de 2014.</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en este Tribunal el 11 de junio de 2014, el Presidente del Senado comunica el acuerdo de la Mesa de la Cámara de personarse en el proceso ofreciendo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12 de junio de 2014 el Pleno del Tribunal Constitucional acuerda tener por personado al Abogado del Estado en la representación que legalmente ostenta y conceder la prórroga solicitada.</w:t>
      </w:r>
    </w:p>
    <w:p w:rsidR="00A90898" w:rsidRDefault="00A90898" w:rsidP="00A90898">
      <w:pPr>
        <w:pStyle w:val="TextoNormal"/>
      </w:pPr>
    </w:p>
    <w:p w:rsidR="00A90898" w:rsidRDefault="00A90898" w:rsidP="00A90898">
      <w:pPr>
        <w:pStyle w:val="TextoNormal"/>
      </w:pPr>
      <w:r w:rsidRPr="00A90898">
        <w:rPr>
          <w:rStyle w:val="NumeroAFNegritaCaracter"/>
        </w:rPr>
        <w:t>8</w:t>
      </w:r>
      <w:r>
        <w:t>. El Abogado del Estado, en la representación que legalmente ostenta, presenta el 2 de julio de 2014 en el Registro General de este Tribunal Constitucional su escrito de alegaciones.</w:t>
      </w:r>
    </w:p>
    <w:p w:rsidR="00A90898" w:rsidRDefault="00A90898" w:rsidP="00A90898">
      <w:pPr>
        <w:pStyle w:val="TextoNormal"/>
      </w:pPr>
    </w:p>
    <w:p w:rsidR="00A90898" w:rsidRDefault="00A90898" w:rsidP="00A90898">
      <w:pPr>
        <w:pStyle w:val="TextoNormal"/>
      </w:pPr>
      <w:r>
        <w:t xml:space="preserve">El indicado escrito incluye una serie de consideraciones destinada a contextualizar la Ley 27/2013. Describe ampliamente el marco normativo europeo y nacional relativo a la estabilidad presupuestaria y a la sostenibilidad financiera. A la vista del art. 3 del Tratado de </w:t>
      </w:r>
      <w:r>
        <w:lastRenderedPageBreak/>
        <w:t>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de estabilidad presupuestaria y sostenibilidad financiera desarrolla el art. 135 CE e incorpora las exigencias europeas de estabilidad presupuestaria. Sus medidas resultan necesarias para dar cumplimiento, no solo al mandato constitucional, sino también a los compromisos de España ante la Unión Europea.</w:t>
      </w:r>
    </w:p>
    <w:p w:rsidR="00A90898" w:rsidRDefault="00A90898" w:rsidP="00A90898">
      <w:pPr>
        <w:pStyle w:val="TextoNormal"/>
      </w:pPr>
    </w:p>
    <w:p w:rsidR="00A90898" w:rsidRDefault="00A90898" w:rsidP="00A90898">
      <w:pPr>
        <w:pStyle w:val="TextoNormal"/>
      </w:pPr>
      <w:r>
        <w:t>La Ley 27/2013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A90898" w:rsidRDefault="00A90898" w:rsidP="00A90898">
      <w:pPr>
        <w:pStyle w:val="TextoNormal"/>
      </w:pPr>
    </w:p>
    <w:p w:rsidR="00A90898" w:rsidRDefault="00A90898" w:rsidP="00A90898">
      <w:pPr>
        <w:pStyle w:val="TextoNormal"/>
      </w:pPr>
      <w:r>
        <w:t>En cuanto a los títulos competenciales que soportarían la reforma, el Abogado del Estado se refiere a los apartados 18, 14 y 13 del art.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y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A90898" w:rsidRDefault="00A90898" w:rsidP="00A90898">
      <w:pPr>
        <w:pStyle w:val="TextoNormal"/>
      </w:pPr>
    </w:p>
    <w:p w:rsidR="00A90898" w:rsidRDefault="00A90898" w:rsidP="00A90898">
      <w:pPr>
        <w:pStyle w:val="TextoNormal"/>
      </w:pPr>
      <w:r>
        <w:t xml:space="preserve">El art. 149.1.14 CE, sobre hacienda general, cubriría específicamente la normativa estatal sobre las instituciones comunes a las distintas haciendas, la coordinación entre las haciendas estatal y locales y garantía de la suficiencia financiera de los entes locales prevista en el art. 137 CE (STC 233/1999, de 16 de diciembre, FJ 4, y las Sentencias que allí se citan). La </w:t>
      </w:r>
      <w:r>
        <w:lastRenderedPageBreak/>
        <w:t>estrecha vinculación entre el régimen local y la hacienda local justificaría que la Ley 27/2013 cite conjuntamente ambos títulos, tal como ha admitido la doctrina constitucional (STC 233/1999), sin perjuicio de que varias de sus disposiciones serían directamente incardinables en el art. 149.1.14 CE.</w:t>
      </w:r>
    </w:p>
    <w:p w:rsidR="00A90898" w:rsidRDefault="00A90898" w:rsidP="00A90898">
      <w:pPr>
        <w:pStyle w:val="TextoNormal"/>
      </w:pPr>
    </w:p>
    <w:p w:rsidR="00A90898" w:rsidRDefault="00A90898" w:rsidP="00A90898">
      <w:pPr>
        <w:pStyle w:val="TextoNormal"/>
      </w:pPr>
      <w:r>
        <w:t>La Ley 27/2013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Ley Orgánica de estabilidad presupuestaria y sostenibilidad financiera.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27/2013 se apoyaría ahora de modo fundamental, dado el nuevo contexto constitucional, en el art.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96/2911, de 21 de junio, FJ 5; 108/2011, de 5 de julio, FJ 5; 147/2012, de 16 de julio, FJ 6, y 160/2011, de 22 de noviembre, FJ 3).</w:t>
      </w:r>
    </w:p>
    <w:p w:rsidR="00A90898" w:rsidRDefault="00A90898" w:rsidP="00A90898">
      <w:pPr>
        <w:pStyle w:val="TextoNormal"/>
      </w:pPr>
    </w:p>
    <w:p w:rsidR="00A90898" w:rsidRDefault="00A90898" w:rsidP="00A90898">
      <w:pPr>
        <w:pStyle w:val="TextoNormal"/>
      </w:pPr>
      <w:r>
        <w:t>Los factores de estabilidad presupuestaria y sostenibilidad de las Administraciones locales serían principios rectores que funcionan ahora con la misma intensidad que la garantía de la autonomía local (arts. 137, 140 y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00A90898" w:rsidRDefault="00A90898" w:rsidP="00A90898">
      <w:pPr>
        <w:pStyle w:val="TextoNormal"/>
      </w:pPr>
    </w:p>
    <w:p w:rsidR="00A90898" w:rsidRDefault="00A90898" w:rsidP="00A90898">
      <w:pPr>
        <w:pStyle w:val="TextoNormal"/>
      </w:pPr>
      <w: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w:t>
      </w:r>
      <w:r>
        <w:lastRenderedPageBreak/>
        <w:t>y control, son legítimos “los controles que resulte necesario ejercer para garantizar el cumplimiento de las facultades emanadas de las potestades de coordinación” (STC 134/2011, FFJJ 9-11).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de estabilidad presupuestaria y sostenibilidad financiera es perfectamente compatible con la autonomía financiera de las Comunidades Autónomas.</w:t>
      </w:r>
    </w:p>
    <w:p w:rsidR="00A90898" w:rsidRDefault="00A90898" w:rsidP="00A90898">
      <w:pPr>
        <w:pStyle w:val="TextoNormal"/>
      </w:pPr>
    </w:p>
    <w:p w:rsidR="00A90898" w:rsidRDefault="00A90898" w:rsidP="00A90898">
      <w:pPr>
        <w:pStyle w:val="TextoNormal"/>
      </w:pPr>
      <w:r>
        <w:t>El Abogado del Estado, se refiere específicamente a las impugnaciones del recurso de inconstitucionalidad.</w:t>
      </w:r>
    </w:p>
    <w:p w:rsidR="00A90898" w:rsidRDefault="00A90898" w:rsidP="00A90898">
      <w:pPr>
        <w:pStyle w:val="TextoNormal"/>
      </w:pPr>
    </w:p>
    <w:p w:rsidR="00A90898" w:rsidRDefault="00A90898" w:rsidP="00A90898">
      <w:pPr>
        <w:pStyle w:val="TextoNormal"/>
      </w:pPr>
      <w:r>
        <w:t xml:space="preserve">a) Respecto del art. 24 </w:t>
      </w:r>
      <w:r w:rsidRPr="00A90898">
        <w:rPr>
          <w:i/>
        </w:rPr>
        <w:t>bis</w:t>
      </w:r>
      <w:r>
        <w:t xml:space="preserve"> LBRL, introducido por el art. 1.7 de la Ley 27/2013, el Abogado del Estado cita doctrina constitucional para defender que la autonomía local (STC 214/1989) y las competencias autonómicas (STC 179/1985) no impiden una regulación básica </w:t>
      </w:r>
      <w:r w:rsidRPr="00A90898">
        <w:rPr>
          <w:i/>
        </w:rPr>
        <w:t>ex</w:t>
      </w:r>
      <w:r>
        <w:t xml:space="preserve"> art.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Ley 27/2013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00A90898" w:rsidRDefault="00A90898" w:rsidP="00A90898">
      <w:pPr>
        <w:pStyle w:val="TextoNormal"/>
      </w:pPr>
    </w:p>
    <w:p w:rsidR="00A90898" w:rsidRDefault="00A90898" w:rsidP="00A90898">
      <w:pPr>
        <w:pStyle w:val="TextoNormal"/>
      </w:pPr>
      <w:r>
        <w:t>b) La disposición transitoria cuarta de la Ley 27/2013 no suprimiría las entidades inframunicipales existentes; impondría solo una carga: la remisión de las cuentas al órgano competente. El art.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 2</w:t>
      </w:r>
      <w:r w:rsidRPr="00A90898">
        <w:rPr>
          <w:i/>
        </w:rPr>
        <w:t>4 b</w:t>
      </w:r>
      <w:r>
        <w:t>is LBRL.</w:t>
      </w:r>
    </w:p>
    <w:p w:rsidR="00A90898" w:rsidRDefault="00A90898" w:rsidP="00A90898">
      <w:pPr>
        <w:pStyle w:val="TextoNormal"/>
      </w:pPr>
    </w:p>
    <w:p w:rsidR="00A90898" w:rsidRDefault="00A90898" w:rsidP="00A90898">
      <w:pPr>
        <w:pStyle w:val="TextoNormal"/>
      </w:pPr>
      <w:r>
        <w:t>c) El Abogado del Estado nada alega respecto de la impugnación de la disposición adicional sexta de la Ley 27/2013.</w:t>
      </w:r>
    </w:p>
    <w:p w:rsidR="00A90898" w:rsidRDefault="00A90898" w:rsidP="00A90898">
      <w:pPr>
        <w:pStyle w:val="TextoNormal"/>
      </w:pPr>
    </w:p>
    <w:p w:rsidR="00A90898" w:rsidRDefault="00A90898" w:rsidP="00A90898">
      <w:pPr>
        <w:pStyle w:val="TextoNormal"/>
      </w:pPr>
      <w:r>
        <w:t xml:space="preserve">d) El art. 26.2 LBRL, en la redacción dada por el art. 1.9 de la Ley 27/2013, no vulneraría las competencias del Principado de Asturias. Este Principado no puede resguardarse en su condición de Comunidad Autónoma para desatender las funciones que corresponden a las provincias, que quedan absorbidas y embebidas por la organización autonómica, pero no eliminadas, borradas o difuminadas. Por tanto, tal naturaleza no le autoriza para desentenderse de la legislación básica que el Estado promulga legítimamente en ejercicio de sus competencias. El recurso utilizaría argumentos contradictorios al defender la garantía institucional de la provincial frente al legislador estatal y al propio tiempo negar virtualidad a la </w:t>
      </w:r>
      <w:r>
        <w:lastRenderedPageBreak/>
        <w:t>coordinación de servicios, que es función propia y primigenia de la provincia, con invocación de la condición de Comunidad Autónoma del Principado de Asturias.</w:t>
      </w:r>
    </w:p>
    <w:p w:rsidR="00A90898" w:rsidRDefault="00A90898" w:rsidP="00A90898">
      <w:pPr>
        <w:pStyle w:val="TextoNormal"/>
      </w:pPr>
    </w:p>
    <w:p w:rsidR="00A90898" w:rsidRDefault="00A90898" w:rsidP="00A90898">
      <w:pPr>
        <w:pStyle w:val="TextoNormal"/>
      </w:pPr>
      <w:r>
        <w:t>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00A90898" w:rsidRDefault="00A90898" w:rsidP="00A90898">
      <w:pPr>
        <w:pStyle w:val="TextoNormal"/>
      </w:pPr>
    </w:p>
    <w:p w:rsidR="00A90898" w:rsidRDefault="00A90898" w:rsidP="00A90898">
      <w:pPr>
        <w:pStyle w:val="TextoNormal"/>
      </w:pPr>
      <w: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 116 </w:t>
      </w:r>
      <w:r w:rsidRPr="00A90898">
        <w:rPr>
          <w:i/>
        </w:rPr>
        <w:t>ter</w:t>
      </w:r>
      <w:r>
        <w:t xml:space="preserve"> LBRL. En cuarto lugar, el legislador básico ha desarrollado el principio constitucional de coordinación (art. 103.1 CE) como técnica de acomodación de competencias en un Estado complejo.</w:t>
      </w:r>
    </w:p>
    <w:p w:rsidR="00A90898" w:rsidRDefault="00A90898" w:rsidP="00A90898">
      <w:pPr>
        <w:pStyle w:val="TextoNormal"/>
      </w:pPr>
    </w:p>
    <w:p w:rsidR="00A90898" w:rsidRDefault="00A90898" w:rsidP="00A90898">
      <w:pPr>
        <w:pStyle w:val="TextoNormal"/>
      </w:pPr>
      <w:r>
        <w:t>En este orden de ideas, el Abogado del Estado destaca que el art.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 7 de la Ley Orgánica de estabilidad presupuestaria y sostenibilidad financiera. Hay también el informe preceptivo de la Comunidad Autónoma que ostenta la tutela financiera.</w:t>
      </w:r>
    </w:p>
    <w:p w:rsidR="00A90898" w:rsidRDefault="00A90898" w:rsidP="00A90898">
      <w:pPr>
        <w:pStyle w:val="TextoNormal"/>
      </w:pPr>
    </w:p>
    <w:p w:rsidR="00A90898" w:rsidRDefault="00A90898" w:rsidP="00A90898">
      <w:pPr>
        <w:pStyle w:val="TextoNormal"/>
      </w:pPr>
      <w:r>
        <w:t xml:space="preserve">e) Las disposiciones transitorias primera a tercera serían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Estas están llamadas a ejercer las funciones que les corresponden, que hasta ahora la legislación básica estatal había atribuido a las </w:t>
      </w:r>
      <w:r>
        <w:lastRenderedPageBreak/>
        <w:t>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4 de octubre de 2016 se señaló para deliberación y votación de la presente Sentencia el día 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Letrado del Servicio Jurídico del Principado de Asturias, en representación del Consejo de Gobierno de la Comunidad Autónoma, interpone recurso de inconstitucionalidad contra varios preceptos de la Ley 27/2013, de 27 de diciembre, de racionalización y sostenibilidad de la Administración local por vulneración, en resumen, del orden constitucional de distribución de competencias y del Estatuto de Autonomía para Asturias (EAAst). El Abogado del Estado se opone al recurso, razonando que las previsiones impugnadas se ajustan a la Constitución y al Estatuto de Autonomía para Asturias.</w:t>
      </w:r>
    </w:p>
    <w:p w:rsidR="00A90898" w:rsidRDefault="00A90898" w:rsidP="00A90898">
      <w:pPr>
        <w:pStyle w:val="TextoNormal"/>
      </w:pPr>
    </w:p>
    <w:p w:rsidR="00A90898" w:rsidRDefault="00A90898" w:rsidP="00A90898">
      <w:pPr>
        <w:pStyle w:val="TextoNormal"/>
      </w:pPr>
      <w:r>
        <w:t>Tras la interposición del recurso de inconstitucionalidad, la Ley 18/2015, de 9 de julio, ha modificado la disposición transitoria séptima de la Ley 27/2013, que no ha sido impugnada en este proceso constitucional. En consecuencia, la reforma no ha afectado al objeto del presente recurso.</w:t>
      </w:r>
    </w:p>
    <w:p w:rsidR="00A90898" w:rsidRDefault="00A90898" w:rsidP="00A90898">
      <w:pPr>
        <w:pStyle w:val="TextoNormal"/>
      </w:pPr>
    </w:p>
    <w:p w:rsidR="00A90898" w:rsidRDefault="00A90898" w:rsidP="00A90898">
      <w:pPr>
        <w:pStyle w:val="TextoNormal"/>
      </w:pPr>
      <w:r w:rsidRPr="00A90898">
        <w:rPr>
          <w:rStyle w:val="NumeroAFNegritaCaracter"/>
        </w:rPr>
        <w:t>2</w:t>
      </w:r>
      <w:r>
        <w:t>. La Ley 27/2013 ha sido ya objeto de las SSTC 41/2016, de 3 de marzo (“BOE” núm. 85, de 8 abril de 2016), y 111/2016, de 9 junio (“BOE” núm. 170, de 15 de julio de 2016), resolutorias de los recursos de inconstitucionalidad interpuestos, respectivamente, por la Asamblea de Extremadura (núm. 1792-2014) y la Junta de Andalucía (núm. 1959-2014). Las indicadas Sentencias cobran relevancia en el presente proceso bajo los siguientes puntos de vista:</w:t>
      </w:r>
    </w:p>
    <w:p w:rsidR="00A90898" w:rsidRDefault="00A90898" w:rsidP="00A90898">
      <w:pPr>
        <w:pStyle w:val="TextoNormal"/>
      </w:pPr>
    </w:p>
    <w:p w:rsidR="00A90898" w:rsidRDefault="00A90898" w:rsidP="00A90898">
      <w:pPr>
        <w:pStyle w:val="TextoNormal"/>
      </w:pPr>
      <w:r>
        <w:t>a) El presente recurso impugna previsiones que aquellas Sentencias han declarado ya inconstitucionales y nulas: las disposiciones transitorias primera, segunda y tercera, así como la cuarta.3, en cuanto al inciso “Decreto del órgano de gobierno de”, todas de la Ley 27/2013 [STC 41/2016, FFJJ 7 c) y 13]. También los siguientes incisos del art. 26.2 de la Ley 7/1985, de 2 de abril, reguladora de las bases del régimen local (LBRL),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De acuerdo con la consolidada doctrina constitucional [entre otras, STC 139/2011, de 14 de septiembre, FJ 3 b)], la expulsión del ordenamiento jurídico de estas previsiones determina la pérdida sobrevenida de objeto del presente recurso de inconstitucionalidad, en lo que se refiere a las impugnaciones dirigidas contra ellas.</w:t>
      </w:r>
    </w:p>
    <w:p w:rsidR="00A90898" w:rsidRDefault="00A90898" w:rsidP="00A90898">
      <w:pPr>
        <w:pStyle w:val="TextoNormal"/>
      </w:pPr>
    </w:p>
    <w:p w:rsidR="00A90898" w:rsidRDefault="00A90898" w:rsidP="00A90898">
      <w:pPr>
        <w:pStyle w:val="TextoNormal"/>
      </w:pPr>
      <w:r>
        <w:t xml:space="preserve">b) Aquellos recursos de inconstitucionalidad y el presente suscitan controversias competenciales similares, en términos generales, por lo que la doctrina de las SSTC 41/2016 y </w:t>
      </w:r>
      <w:r>
        <w:lastRenderedPageBreak/>
        <w:t>111/2016 sirve para responder a las impugnaciones aún subsistentes del recurso interpuesto por el Gobierno asturiano. De acuerdo con una pauta no infrecuente (por ejemplo, SSTC 138/2013, de 6 de junio, FJ 1, y 28/2016, de 18 de febrero, FJ 2),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 También los fundamentos jurídicos de la STC 111/2016 relativos a las competencias provinciales (FFJJ 11 y 12).</w:t>
      </w:r>
    </w:p>
    <w:p w:rsidR="00A90898" w:rsidRDefault="00A90898" w:rsidP="00A90898">
      <w:pPr>
        <w:pStyle w:val="TextoNormal"/>
      </w:pPr>
    </w:p>
    <w:p w:rsidR="00A90898" w:rsidRDefault="00A90898" w:rsidP="00A90898">
      <w:pPr>
        <w:pStyle w:val="TextoNormal"/>
      </w:pPr>
      <w:r>
        <w:t xml:space="preserve">c) Las SSTC 41/2016 y 111/2016 han desestimado impugnaciones formuladas entonces por la Asamblea de Extremadura y la Junta de Andalucía que el presente recurso plantea en términos análogos; se refieren al mismo precepto y se basan en los mismos motivos. Es el caso del apartado 3 del art. 24 </w:t>
      </w:r>
      <w:r w:rsidRPr="00A90898">
        <w:rPr>
          <w:i/>
        </w:rPr>
        <w:t>bis</w:t>
      </w:r>
      <w:r>
        <w:t xml:space="preserve"> LBRL (introducido por el art. 1.7 de la Ley 27/2013) y de la disposición transitoria cuarta de la Ley 27/2013, a los que también este recurso imputa una extralimitación de la competencia que el art. 149.1.18 CE atribuye al Estado con vulneración correlativa de las competencias autonómicas sobre régimen local. A la vista de esta coincidencia objetiva, de acuerdo con la doctrina constitucional (STC 172/1998, de 23 de julio, FJ 2) y siguiendo la pauta de la STC 111/2016, FJ 2 c), procede desestimar estas impugnaciones por remisión a la STC 41/2016, FJ 7 b) y c), salvo en el extremo respecto del que se aprecia la pérdida sobrevenida de objeto —el inciso de la disposición transitoria cuarta.3 de la Ley 27/2013 anulado por la STC 41/2016, FJ 7 c).</w:t>
      </w:r>
    </w:p>
    <w:p w:rsidR="00A90898" w:rsidRDefault="00A90898" w:rsidP="00A90898">
      <w:pPr>
        <w:pStyle w:val="TextoNormal"/>
      </w:pPr>
    </w:p>
    <w:p w:rsidR="00A90898" w:rsidRDefault="00A90898" w:rsidP="00A90898">
      <w:pPr>
        <w:pStyle w:val="TextoNormal"/>
      </w:pPr>
      <w:r>
        <w:t xml:space="preserve">Corresponde igualmente desestimar por remisión un motivo de inconstitucionalidad dirigido contra el art. 24 </w:t>
      </w:r>
      <w:r w:rsidRPr="00A90898">
        <w:rPr>
          <w:i/>
        </w:rPr>
        <w:t>bis</w:t>
      </w:r>
      <w:r>
        <w:t>.1, en la redacción dada por el art. 1.7 de la Ley 27/2013 [STC 41/2016, FJ 7 b)]. No obstante, según razonaremos con detenimiento después, el Letrado del Servicio Jurídico del Principado de Asturias, al formular esta impugnación, ha añadido otro motivo que requerirá la correspondiente respuesta. Del mismo modo, el presente recurso, al igual que el formulado en su día por la Junta de Andalucía, plantea la impugnación de los extremos todavía subsistentes del nuevo art. 26.2 LBRL, pero basándola en diferentes razones. Por tanto, no cabe la resolución por remisión. A su vez, se recurre ahora por vez primera la disposición adicional sexta de la Ley 27/2013.</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Consejo de Gobierno del Principado de Asturias impugna el apartado 1 del 24 </w:t>
      </w:r>
      <w:r w:rsidRPr="00A90898">
        <w:rPr>
          <w:i/>
        </w:rPr>
        <w:t>bis</w:t>
      </w:r>
      <w:r>
        <w:t xml:space="preserve"> LBRL, introducido por el art. 1.7 de la Ley 27/2013.</w:t>
      </w:r>
    </w:p>
    <w:p w:rsidR="00A90898" w:rsidRDefault="00A90898" w:rsidP="00A90898">
      <w:pPr>
        <w:pStyle w:val="TextoNormal"/>
      </w:pPr>
    </w:p>
    <w:p w:rsidR="00A90898" w:rsidRDefault="00A90898" w:rsidP="00A90898">
      <w:pPr>
        <w:pStyle w:val="TextoNormal"/>
      </w:pPr>
      <w:r>
        <w:t xml:space="preserve">a) El art. 24 </w:t>
      </w:r>
      <w:r w:rsidRPr="00A90898">
        <w:rPr>
          <w:i/>
        </w:rPr>
        <w:t>bis</w:t>
      </w:r>
      <w:r>
        <w:t>.1 LBRL establece un determinado régimen para los entes de ámbito inframunicipal creados a partir de la entrada en vigor de la reforma (o, más precisamente, los que no estuvieran en proceso de constitución antes del 1 de enero de 2013: disposición transitoria quinta de la Ley 27/2013). En particular, configura estas organizaciones como entes desconcentrados del municipio sin el carácter de entidad local y sin personalidad jurídica propia.</w:t>
      </w:r>
    </w:p>
    <w:p w:rsidR="00A90898" w:rsidRDefault="00A90898" w:rsidP="00A90898">
      <w:pPr>
        <w:pStyle w:val="TextoNormal"/>
      </w:pPr>
    </w:p>
    <w:p w:rsidR="00A90898" w:rsidRDefault="00A90898" w:rsidP="00A90898">
      <w:pPr>
        <w:pStyle w:val="TextoNormal"/>
      </w:pPr>
      <w:r>
        <w:t xml:space="preserve">Según el recurso de inconstitucionalidad, el art. 24 </w:t>
      </w:r>
      <w:r w:rsidRPr="00A90898">
        <w:rPr>
          <w:i/>
        </w:rPr>
        <w:t>bis</w:t>
      </w:r>
      <w:r>
        <w:t xml:space="preserve">.1 LBRL plantea dos órdenes de problemas. En primer lugar, refiriéndose a organizaciones locales que entran dentro del ámbito de disponibilidad de las Comunidades Autónomas, no hallaría cobertura en el art. 149.1.18 CE, vulnerando en consecuencia las competencias del Principado de Asturias. En </w:t>
      </w:r>
      <w:r>
        <w:lastRenderedPageBreak/>
        <w:t>segundo lugar, vulneraría una norma material sobre organización territorial autonómica incluida en el Estatuto de Autonomía para Asturias: el art. 6.1, que reconoce expresamente la personalidad jurídica de las denominadas “parroquias rurales”. El recurrente considera que el legislador básico estatal está obligado a respetar el Derecho local estatutario; no habiéndolo hecho en este caso, debería declararse la inconstitucionalidad y nulidad del inciso “que carecerán de personalidad jurídica” del art. 24 bis, apartado 1, LBRL.</w:t>
      </w:r>
    </w:p>
    <w:p w:rsidR="00A90898" w:rsidRDefault="00A90898" w:rsidP="00A90898">
      <w:pPr>
        <w:pStyle w:val="TextoNormal"/>
      </w:pPr>
    </w:p>
    <w:p w:rsidR="00A90898" w:rsidRDefault="00A90898" w:rsidP="00A90898">
      <w:pPr>
        <w:pStyle w:val="TextoNormal"/>
      </w:pPr>
      <w:r>
        <w:t>La primera impugnación fue ya abordada en la STC 41/2016, que la desestimó, afirmando el carácter de legislación básica en virtud del art. 149.1.18 CE de la previsión recurrida. Corresponde, pues, volver a desestimarla ahora por remisión al fundamento jurídico 7 b) de esa Sentencia, según acabamos de razonar.</w:t>
      </w:r>
    </w:p>
    <w:p w:rsidR="00A90898" w:rsidRDefault="00A90898" w:rsidP="00A90898">
      <w:pPr>
        <w:pStyle w:val="TextoNormal"/>
      </w:pPr>
    </w:p>
    <w:p w:rsidR="00A90898" w:rsidRDefault="00A90898" w:rsidP="00A90898">
      <w:pPr>
        <w:pStyle w:val="TextoNormal"/>
      </w:pPr>
      <w:r>
        <w:t>El segundo problema de constitucionalidad ha sido planteado por vez primera en este recurso, por lo que habremos de resolverlo específicamente ahora.</w:t>
      </w:r>
    </w:p>
    <w:p w:rsidR="00A90898" w:rsidRDefault="00A90898" w:rsidP="00A90898">
      <w:pPr>
        <w:pStyle w:val="TextoNormal"/>
      </w:pPr>
    </w:p>
    <w:p w:rsidR="00A90898" w:rsidRDefault="00A90898" w:rsidP="00A90898">
      <w:pPr>
        <w:pStyle w:val="TextoNormal"/>
      </w:pPr>
      <w:r>
        <w:t xml:space="preserve">b) Por un lado, el “Estatuto, en tanto que ‘norma institucional básica’ (art. 147.1 CE), puede contener las ‘líneas fundamentales o la regulación esencial’ del régimen local en el ámbito territorial la Comunidad Autónoma’” [SSTC 41/2016, FJ 3 a); 31/2010, de 28 de junio, FFJJ 36 y 37, y 103/2013, de 25 de abril, FJ 4]; también la STC 132/2012, de 19 de junio, FJ 3, en relación con el “régimen esencial de la organización de los consejos insulares” incluido en el Estatuto de Autonomía de les Illes Balears. Por otro lado, la legislación básica puede, en cuanto tal, establecer un “denominador común normativo” [entre otras, STC 141/2014, de 11 de septiembre, FJ 8 a)], en este caso en materia de régimen local en virtud del art. 149.1.18 CE (STC 214/1989, de 21 de septiembre, FJ 1). Bajo esta perspectiva, puede concebirse el art. 6.1 EAAst, en una primera aproximación, como una línea fundamental o regulación esencial del régimen local del Principado de Asturias; y el art. 24 </w:t>
      </w:r>
      <w:r w:rsidRPr="00A90898">
        <w:rPr>
          <w:i/>
        </w:rPr>
        <w:t>bis</w:t>
      </w:r>
      <w:r>
        <w:t xml:space="preserve"> LBRL, como una norma formal y materialmente básica adoptada para ser aplicada en todas las Comunidades Autónomas [sobre esto último: STC 41/2016, FJ 7 b)].</w:t>
      </w:r>
    </w:p>
    <w:p w:rsidR="00A90898" w:rsidRDefault="00A90898" w:rsidP="00A90898">
      <w:pPr>
        <w:pStyle w:val="TextoNormal"/>
      </w:pPr>
    </w:p>
    <w:p w:rsidR="00A90898" w:rsidRDefault="00A90898" w:rsidP="00A90898">
      <w:pPr>
        <w:pStyle w:val="TextoNormal"/>
      </w:pPr>
      <w:r>
        <w:t xml:space="preserve">Estos preceptos han establecido regulaciones radicalmente inconciliables: si el art. 6.1 EAAst garantiza la personalidad jurídica a los entes locales menores del Principado de Asturias (denominados “parroquias rurales”), el art. 24 </w:t>
      </w:r>
      <w:r w:rsidRPr="00A90898">
        <w:rPr>
          <w:i/>
        </w:rPr>
        <w:t>bis</w:t>
      </w:r>
      <w:r>
        <w:t xml:space="preserve"> LBRL se la niega a los de todas las Comunidades Autónomas, incluidos los del Principado de Asturias, configurándolos como organizaciones municipales desconcentradas. De modo que, como consecuencia de la Ley 27/2013, se ha producido una contradicción sobrevenida entre la legislación básica estatal —dictada legítimamente al amparo del art. 149.1.18 CE como mínimo común denominador normativo— y una norma estatutaria —que venía expresando una línea fundamental del régimen local de una concreta Comunidad Autónoma (art. 147.1 CE), coincidente, por lo demás, con la directriz básica aplicada hasta ahora en todo el territorio nacional (art. 45 LBRL, derogado por el art. 1.14 de la Ley 27/2013).</w:t>
      </w:r>
    </w:p>
    <w:p w:rsidR="00A90898" w:rsidRDefault="00A90898" w:rsidP="00A90898">
      <w:pPr>
        <w:pStyle w:val="TextoNormal"/>
      </w:pPr>
    </w:p>
    <w:p w:rsidR="00A90898" w:rsidRDefault="00A90898" w:rsidP="00A90898">
      <w:pPr>
        <w:pStyle w:val="TextoNormal"/>
      </w:pPr>
      <w:r>
        <w:t xml:space="preserve">Conforme a la doctrina constitucional, el Estatuto puede contener las líneas fundamentales del régimen local en el ámbito territorial la Comunidad Autónoma, “pero solo con el fin de ‘vincular al legislador autonómico’ y respetando ‘en todo caso la competencia básica que al Estado corresponde en la materia en virtud de la reserva del art. 149.1.18 CE, por cuanto la expresión ‘bases del régimen jurídico de las Administraciones públicas’ engloba a las Administraciones locales’” [SSTC 41/2016, FJ 3 a); 31/2010, FFJJ 36 y 37, y 103/2013, FJ 4]. De modo que el Derecho local estatutario no puede vincular al legislador estatal del </w:t>
      </w:r>
      <w:r>
        <w:lastRenderedPageBreak/>
        <w:t>régimen local ni “impedir de ninguna manera el ejercicio de esa competencia estatal” (STC 31/2010, FJ 37). Al contrario, es este el que debe respetar “en todo caso la competencia básica que al Estado corresponde”. Consecuentemente, una norma estatutaria de régimen local no puede funcionar como límite al ejercicio de la competencia constitucionalmente atribuida al Estado en esta materia (art. 149.1.18 CE). No puede imposibilitar que este reforme las bases —en este caso para negar el atributo de la personalidad jurídica a los entes de ámbito inframunicipal— ni suponer que las nuevas bases dejen de operar como mínimo común normativo, esto es, que sean inaplicables en una Comunidad Autónoma por virtud del Derecho local incluido en su Estatuto.</w:t>
      </w:r>
    </w:p>
    <w:p w:rsidR="00A90898" w:rsidRDefault="00A90898" w:rsidP="00A90898">
      <w:pPr>
        <w:pStyle w:val="TextoNormal"/>
      </w:pPr>
    </w:p>
    <w:p w:rsidR="00A90898" w:rsidRDefault="00A90898" w:rsidP="00A90898">
      <w:pPr>
        <w:pStyle w:val="TextoNormal"/>
      </w:pPr>
      <w:r>
        <w:t xml:space="preserve">La STC 31/2010 descartó que pudiera estimarse que el capítulo IV, “El Gobierno Local”, del título II, del Estatuto de Autonomía de Cataluña (en la redacción dada por la Ley Orgánica 6/2006, de 19 de julio), “transgreda la reserva estatutaria </w:t>
      </w:r>
      <w:r w:rsidRPr="00A90898">
        <w:rPr>
          <w:i/>
        </w:rPr>
        <w:t>ex</w:t>
      </w:r>
      <w:r>
        <w:t xml:space="preserve"> art. 147.2 CE, ni que impida el ejercicio de la competencia estatal en la materia”; una regulación estatutaria de “líneas fundamentales” del régimen local autonómico puede adoptarse “con el fin de vincular al legislador autonómico” y respetando “en todo caso”, “como es obvio”, “la competencia básica que al Estado corresponde en la materia” (FJ 36). Señaló, en particular, que el art. 84.2 del Estatuto de Autonomía de Cataluña (que enumera materias sobre las que los “gobiernos locales” han de tener en todo caso competencias propias) constituye una previsión estatutaria que, en cuanto tal, está exclusivamente “dirigida al legislador autonómico”, descartando que “desplace o impida el ejercicio de la competencia estatal en materia de bases de régimen local </w:t>
      </w:r>
      <w:r w:rsidRPr="00A90898">
        <w:rPr>
          <w:i/>
        </w:rPr>
        <w:t>ex</w:t>
      </w:r>
      <w:r>
        <w:t xml:space="preserve"> art. 149.1.18 CE”; la “falta de expresa mención en el precepto estatutario a la competencia estatal </w:t>
      </w:r>
      <w:r w:rsidRPr="00A90898">
        <w:rPr>
          <w:i/>
        </w:rPr>
        <w:t>ex</w:t>
      </w:r>
      <w:r>
        <w:t xml:space="preserve"> art. 149.1.18 CE ni vicia dicho precepto de inconstitucionalidad, ni puede impedir de ninguna manera el ejercicio de esa competencia estatal” (FJ 37). No se producía entonces la evidente contradicción que concurre en el presente caso entre legislaciones básica y estatutaria, por lo que podía afirmarse lo siguiente: “el elenco competencial que el precepto estatutario dispone que tiene que corresponder a los gobiernos locales en modo alguno sustituye ni desplaza, sino que, en su caso, se superpone, a los principios o bases que dicte el Estado sobre las competencias locales en el ejercicio de la competencia constitucionalmente reservada por el art. 149.1.18 CE” (FJ 37).</w:t>
      </w:r>
    </w:p>
    <w:p w:rsidR="00A90898" w:rsidRDefault="00A90898" w:rsidP="00A90898">
      <w:pPr>
        <w:pStyle w:val="TextoNormal"/>
      </w:pPr>
    </w:p>
    <w:p w:rsidR="00A90898" w:rsidRDefault="00A90898" w:rsidP="00A90898">
      <w:pPr>
        <w:pStyle w:val="TextoNormal"/>
      </w:pPr>
      <w:r>
        <w:t>La STC 41/2016 volvió sobre esta doctrina al resolver la impugnación dirigida contra el nuevo régimen básico de las competencias municipales (arts. 7.4 y 25 LBRL, en la redacción dada por los apartados 3 y 8 del art. 1 de la Ley 27/2013). Según el recurso de la Asamblea de Extremadura, tal régimen incurriría en inconstitucionalidad por cercenar las atribuciones garantizadas a los municipios en algunos Estatutos de Autonomía. Frente a ello, la indicada Sentencia declaró: “por otra parte, es verdad que, tal como destaca el recurso de inconstitucionalidad, el Estatuto de Autonomía, en tanto que ‘norma institucional básica’ (art. 147.1 CE), puede contener las ‘líneas fundamentales o la regulación esencial’ del régimen local en el ámbito territorial la Comunidad Autónoma. Ahora bien, también hemos dicho que esa regulación esencial vincula solo al legislador autonómico y únicamente en la medida en que no contradiga el régimen dictado en ejercicio de ‘la competencia básica que al Estado corresponde en la materia en virtud de la reserva del art. 149.1.18 CE’ (SSTC 31/2010, de 28 de junio, FJ 36, y 103/2013, FJ 4)”.</w:t>
      </w:r>
    </w:p>
    <w:p w:rsidR="00A90898" w:rsidRDefault="00A90898" w:rsidP="00A90898">
      <w:pPr>
        <w:pStyle w:val="TextoNormal"/>
      </w:pPr>
    </w:p>
    <w:p w:rsidR="00A90898" w:rsidRDefault="00A90898" w:rsidP="00A90898">
      <w:pPr>
        <w:pStyle w:val="TextoNormal"/>
      </w:pPr>
      <w:r>
        <w:t xml:space="preserve">Cabe, pues, concluir que el inciso impugnado no ha incurrido en inconstitucionalidad por negar el atributo de la personalidad jurídica a los entes de ámbito inframunicipal, resultando plenamente aplicable en el ámbito territorial del Principado de Asturias. No obstante, no </w:t>
      </w:r>
      <w:r>
        <w:lastRenderedPageBreak/>
        <w:t xml:space="preserve">está de más recordar que “la sola previsión de que estos entes carecen de personalidad jurídica no elimina amplios espacios de desarrollo autonómico y autoorganización local. La personalidad jurídica propia o régimen de descentralización administrativa no implica un estatuto sustancialmente distinto, que garantice amplias esferas de autonomía a las entidades locales menores… Ciertamente, la ausencia de personalidad jurídica propia remite al sistema de imputación y control de actos característico de las relaciones interorgánicas. No obstante, las concretas tareas que correspondan a estas ‘formas de organización desconcentrada’ así como las facultades de control y supervisión que el municipio desarrolle respecto de ellas siguen dependiendo esencialmente de las opciones organizativas que adopten los propios entes locales en el marco de la legislación autonómica sobre régimen local y de las bases </w:t>
      </w:r>
      <w:r w:rsidRPr="00A90898">
        <w:rPr>
          <w:i/>
        </w:rPr>
        <w:t>ex</w:t>
      </w:r>
      <w:r>
        <w:t xml:space="preserve"> art. 149.1.18 CE” [STC 41/2016, FJ 7 b)].</w:t>
      </w:r>
    </w:p>
    <w:p w:rsidR="00A90898" w:rsidRDefault="00A90898" w:rsidP="00A90898">
      <w:pPr>
        <w:pStyle w:val="TextoNormal"/>
      </w:pPr>
    </w:p>
    <w:p w:rsidR="00A90898" w:rsidRDefault="00A90898" w:rsidP="00A90898">
      <w:pPr>
        <w:pStyle w:val="TextoNormal"/>
      </w:pPr>
      <w:r>
        <w:t xml:space="preserve">Procede, por tanto, desestimar la impugnación del apartado 1 del art. 24 </w:t>
      </w:r>
      <w:r w:rsidRPr="00A90898">
        <w:rPr>
          <w:i/>
        </w:rPr>
        <w:t>bis</w:t>
      </w:r>
      <w:r>
        <w:t xml:space="preserve"> LBRL, introducido por el art. 1.7 de la Ley 27/2013.</w:t>
      </w:r>
    </w:p>
    <w:p w:rsidR="00A90898" w:rsidRDefault="00A90898" w:rsidP="00A90898">
      <w:pPr>
        <w:pStyle w:val="TextoNormal"/>
      </w:pPr>
    </w:p>
    <w:p w:rsidR="00A90898" w:rsidRDefault="00A90898" w:rsidP="00A90898">
      <w:pPr>
        <w:pStyle w:val="TextoNormal"/>
      </w:pPr>
      <w:r w:rsidRPr="00A90898">
        <w:rPr>
          <w:rStyle w:val="NumeroAFNegritaCaracter"/>
        </w:rPr>
        <w:t>4</w:t>
      </w:r>
      <w:r>
        <w:t>. El Letrado del Servicio Jurídico del Principado de Asturias impugna la disposición adicional sexta de la Ley 27/2013.</w:t>
      </w:r>
    </w:p>
    <w:p w:rsidR="00A90898" w:rsidRDefault="00A90898" w:rsidP="00A90898">
      <w:pPr>
        <w:pStyle w:val="TextoNormal"/>
      </w:pPr>
    </w:p>
    <w:p w:rsidR="00A90898" w:rsidRDefault="00A90898" w:rsidP="00A90898">
      <w:pPr>
        <w:pStyle w:val="TextoNormal"/>
      </w:pPr>
      <w:r>
        <w:t>a) Conforme a esta disposición, “las previsiones de esta Ley se aplicarán respetando la organización comarcal en aquellas Comunidades Autónomas cuyos estatutos de autonomía tenga atribuida expresamente la gestión de servicios supramunicipales”.</w:t>
      </w:r>
    </w:p>
    <w:p w:rsidR="00A90898" w:rsidRDefault="00A90898" w:rsidP="00A90898">
      <w:pPr>
        <w:pStyle w:val="TextoNormal"/>
      </w:pPr>
    </w:p>
    <w:p w:rsidR="00A90898" w:rsidRDefault="00A90898" w:rsidP="00A90898">
      <w:pPr>
        <w:pStyle w:val="TextoNormal"/>
      </w:pPr>
      <w:r>
        <w:t>Según el recurso, la disposición adicional sexta de la Ley 27/2013 vendría a impedir que las Comunidades Autónomas instauren una organización comarcal si esta no está expresamente prevista en su Estatuto de Autonomía como ámbito de gestión supramunicipal. El Estado habría vulnerado con ello las competencias estatutarias del Principado de Asturias (art. 10.1.2 EAAst). Se insiste en que, dentro del marco de sus atribuciones, esta Comunidad Autónoma ha regulado por ley el procedimiento de creación de comarcas (Ley 3/1986). Tal legislación no ha sido desarrollada, pero, según el Letrado autonómico, no podrá serlo ya en modo alguno como consecuencia de la disposición adicional controvertida, que habría desconocido que estas entidades “entran en cuanto a su propia existencia en el ámbito de disponibilidad de las Comunidades Autónomas que dispongan de la correspondiente competencia” por tratarse de entidades que cuentan con “un fuerte grado de ‘interiorización’ por lo que, en la determinación de sus niveles competenciales, el Estado no puede sino quedar al margen” [STC 214/1989, FFJJ 4 b) y 15 a)].</w:t>
      </w:r>
    </w:p>
    <w:p w:rsidR="00A90898" w:rsidRDefault="00A90898" w:rsidP="00A90898">
      <w:pPr>
        <w:pStyle w:val="TextoNormal"/>
      </w:pPr>
    </w:p>
    <w:p w:rsidR="00A90898" w:rsidRDefault="00A90898" w:rsidP="00A90898">
      <w:pPr>
        <w:pStyle w:val="TextoNormal"/>
      </w:pPr>
      <w:r>
        <w:t>b) Solo en algunas Comunidades Autónomas se han desarrollado procesos de autoorganización territorial traducidos en la instauración efectiva de entidades locales intermedias, de segundo grado o de ámbito supramunicipal. Es el caso de las comarcas de Aragón y Cataluña, las comarcas o cuadrillas del territorio histórico de Álava y la comarca castellanoleonesa de El Bierzo. La disposición adicional sexta de la Ley 27/2013, a fin de aislar cuáles son las “organizaciones comarcales” que deben necesariamente “respetarse” en la aplicación de la Ley, toma como referencia, no si la comarca está efectivamente implantada, sino si está estatutariamente prevista como nivel de gestión supramunicipal. Para determinar el significado y alcance de este criterio y, en términos generales, del conjunto de la disposición, hay que realizar tres acotaciones sucesivas.</w:t>
      </w:r>
    </w:p>
    <w:p w:rsidR="00A90898" w:rsidRDefault="00A90898" w:rsidP="00A90898">
      <w:pPr>
        <w:pStyle w:val="TextoNormal"/>
      </w:pPr>
    </w:p>
    <w:p w:rsidR="00A90898" w:rsidRDefault="00A90898" w:rsidP="00A90898">
      <w:pPr>
        <w:pStyle w:val="TextoNormal"/>
      </w:pPr>
      <w:r>
        <w:lastRenderedPageBreak/>
        <w:t>En primer lugar, la indicada disposición afecta claramente a la Comunidad Autónoma de Aragón, habida cuenta de que su Estatuto establece expresamente lo siguiente: “las comarcas tienen a su cargo la prestación de funciones y servicios y la gestión de actividades de ámbito supramunicipal, representando los intereses de la población y territorio comarcales en defensa de una mayor solidaridad y equilibrio territorial” (artículo 83.2). Consecuentemente, hay que entender, de acuerdo con la disposición impugnada, que las previsiones de la Ley 27/2013 “se aplicarán respetando la organización comarcal” aragonesa.</w:t>
      </w:r>
    </w:p>
    <w:p w:rsidR="00A90898" w:rsidRDefault="00A90898" w:rsidP="00A90898">
      <w:pPr>
        <w:pStyle w:val="TextoNormal"/>
      </w:pPr>
    </w:p>
    <w:p w:rsidR="00A90898" w:rsidRDefault="00A90898" w:rsidP="00A90898">
      <w:pPr>
        <w:pStyle w:val="TextoNormal"/>
      </w:pPr>
      <w:r>
        <w:t>En segundo lugar, los demás Estatutos de Autonomía no contienen previsiones con este preciso tenor, pero muchos hacen referencia a la comarca como entidad local, estableciéndola directamente como peldaño de la organización territorial o, en todo caso, permitiendo que la legislación autonómica la configure como ámbito de gestión supramunicipal. Así, los adoptados para Andalucía (artículo 97), Cantabria (artículo 2.3), Castilla-La Mancha [artículo 29.2 a)], Castilla y León (artículo 46), Cataluña (artículos 2.3 y 92), Comunidad Valenciana (artículo 65.2), Extremadura (artículo 57), La Rioja (artículo 5.2), Principado de Asturias (artículo 6.1) y Región de Murcia (artículo 3.2). Otros Estatutos no emplean la denominación, pero admiten expresamente la posibilidad de entidades locales supramunicipales: Comunidad de Madrid (artículo 3.3).</w:t>
      </w:r>
    </w:p>
    <w:p w:rsidR="00A90898" w:rsidRDefault="00A90898" w:rsidP="00A90898">
      <w:pPr>
        <w:pStyle w:val="TextoNormal"/>
      </w:pPr>
    </w:p>
    <w:p w:rsidR="00A90898" w:rsidRDefault="00A90898" w:rsidP="00A90898">
      <w:pPr>
        <w:pStyle w:val="TextoNormal"/>
      </w:pPr>
      <w:r>
        <w:t>Estos Estatutos, al establecer (o prever la posibilidad de) un nivel local intermedio —supramunicipal e infraprovincial—, están claramente estableciendo (o previendo) que ese nivel pueda llevar a cabo una “gestión de servicios supramunicipales”. Consecuentemente, cabe interpretar que la disposición adicional sexta de la Ley 27/2013 afecta también a estas Comunidades Autónomas, es decir, que las previsiones de la reforma del régimen local “se aplicarán respetando la organización comarcal” de aquellas Comunidades Autónomas que la tengan “expresamente” prevista en sus Estatutos, con independencia de que haya sido o no desarrollada efectivamente. Bajo esta óptica, la disposición adicional sexta de la Ley 27/2013 no impide que el Principado de Asturias decida en el futuro crear comarcas para atribuirles ámbitos de gestión supramunicipal.</w:t>
      </w:r>
    </w:p>
    <w:p w:rsidR="00A90898" w:rsidRDefault="00A90898" w:rsidP="00A90898">
      <w:pPr>
        <w:pStyle w:val="TextoNormal"/>
      </w:pPr>
    </w:p>
    <w:p w:rsidR="00A90898" w:rsidRDefault="00A90898" w:rsidP="00A90898">
      <w:pPr>
        <w:pStyle w:val="TextoNormal"/>
      </w:pPr>
      <w:r>
        <w:t>En tercer lugar, no puede perderse de vista que el régimen local no forma parte del contenido necesario del Estatuto de Autonomía (art. 147.2 CE) ni que, si el legislador estatutario optase por incluir dentro de él regulaciones a este respecto, debe limitarlas a unas líneas fundamentales o esenciales [SSTC 31/2010, FFJJ 36 y 37; 103/2013, FJ 4, y 41/2016, FJ 3 a)]. De modo que la organización comarcal, esté o no prevista en los Estatutos, puede ser objeto de legislación estrictamente autonómica. Tal legislación es, precisamente, la que puede establecer una regulación completa de la comarca, no limitada a las líneas fundamentales, aunque, naturalmente, respetando la legislación estatutaria y básica a este respecto, si es que existe. A su vez, hay que tener en cuenta que en este preciso ámbito la competencia básica estatal derivada del art. 149.1.18.ª CE es más estrecha y, por tanto, que la competencia estatutaria de las Comunidades Autónomas es más amplia: “las ‘entidades locales no necesarias o contingentes’, en general, y las de segundo grado (p. ej., comarcas), en particular”, “están dotadas de ‘un fuerte grado de interiorización autonómica’, sin que les alcance directamente la garantía constitucional de la autonomía municipal (art. 140 CE), provincial (art. 141.2 CE) e insular (art. 141.4 CE)”; “entran en cuanto a su propia existencia en el ámbito de disponibilidad de las Comunidades Autónomas que dispongan de la correspondiente competencia” [STC 41/2016, FJ 5, citando la STC 214/1989, FFJJ 4 b) y 15 a)].</w:t>
      </w:r>
    </w:p>
    <w:p w:rsidR="00A90898" w:rsidRDefault="00A90898" w:rsidP="00A90898">
      <w:pPr>
        <w:pStyle w:val="TextoNormal"/>
      </w:pPr>
    </w:p>
    <w:p w:rsidR="00A90898" w:rsidRDefault="00A90898" w:rsidP="00A90898">
      <w:pPr>
        <w:pStyle w:val="TextoNormal"/>
      </w:pPr>
      <w:r>
        <w:lastRenderedPageBreak/>
        <w:t>Consecuentemente, puede interpretarse que la disposición adicional sexta de la Ley 27/2013 supone que las previsiones de la reforma local de 2013 “se aplicarán respetando” toda “organización comarcal” estatutariamente prevista, sin por ello negar o perjudicar la que, no prevista en los Estatutos, pueda eventualmente llegar a instaurar cualquier Comunidad Autónoma al amparo de su competencia en orden a la creación y regulación de entidades locales de segundo grado. Téngase en cuenta a este respecto que la previsión controvertida está formulada en positivo, como cláusula de salvaguarda de las organizaciones comarcales estatutariamente previstas. No cabe interpretarla en negativo, como fuerte restricción a la autonomía de las Comunidades Autónomas traducida en la imposibilidad de ejercer sus amplias competencias en orden a la regulación y creación de entidades caracterizadas por “un fuerte grado de interiorización autonómica”.</w:t>
      </w:r>
    </w:p>
    <w:p w:rsidR="00A90898" w:rsidRDefault="00A90898" w:rsidP="00A90898">
      <w:pPr>
        <w:pStyle w:val="TextoNormal"/>
      </w:pPr>
    </w:p>
    <w:p w:rsidR="00A90898" w:rsidRDefault="00A90898" w:rsidP="00A90898">
      <w:pPr>
        <w:pStyle w:val="TextoNormal"/>
      </w:pPr>
      <w:r>
        <w:t>Abona esta interpretación la circunstancia de que la Ley 27/2013 no haya modificado el art. 42 LBRL, conforme al cual “las Comunidades Autónomas, de acuerdo con lo dispuesto en sus respectivos Estatutos, podrán crear en su territorio comarcas u otras Entidades que agrupen varios Municipios, cuyas características determinen intereses comunes precisados de una gestión propia o demanden la prestación de servicios de dicho ámbito” (apartado 1); “las Leyes de las Comunidades Autónomas determinarán el ámbito territorial de las comarcas, la composición y el funcionamiento de sus órganos de gobierno, que serán representativos de los Ayuntamientos que agrupen, así como las competencias y recursos económicos que, en todo caso, se les asignen” (apartado 3); “la creación de las Comarcas no podrá suponer la pérdida por los Municipios de la competencia para prestar los servicios enumerados en el artículo 26, ni privar a los mismos de toda intervención en cada una de las materias enumeradas en el apartado 2 del artículo 25” (apartado 4).</w:t>
      </w:r>
    </w:p>
    <w:p w:rsidR="00A90898" w:rsidRDefault="00A90898" w:rsidP="00A90898">
      <w:pPr>
        <w:pStyle w:val="TextoNormal"/>
      </w:pPr>
    </w:p>
    <w:p w:rsidR="00A90898" w:rsidRDefault="00A90898" w:rsidP="00A90898">
      <w:pPr>
        <w:pStyle w:val="TextoNormal"/>
      </w:pPr>
      <w:r>
        <w:t>Ciertamente, la ambigüedad de la disposición adicional sexta de la Ley 27/2013 podría dar cabida a la interpretación propuesta por el Letrado del servicio jurídico del Principado de Asturias. No obstante, tal como razona el Letrado autonómico, esa interpretación daría lugar a que el precepto impugnado incurriese en inconstitucionalidad, por lo que debe excluirse en beneficio de la aquí razonada, que compatibiliza la disposición adicional sexta de la Ley 27/2013 con el sistema de distribución competencial. Así lo ha señalado la STC 41/2016, FJ 12 d), respecto de otro precepto de la Ley 27/2013, de acuerdo con una consolidada doctrina sobre las condiciones en que es viable la “interpretación conforme” como regla de prevalencia de unas interpretaciones sobre otras: “el párrafo segundo del art. 36.2 a) LBRL sería contrario a los arts. 137 y 140 CE si fuera interpretado como previsión que atribuye por sí unas facultades de coordinación cuyo concreto alcance hubiera de fijar la propia diputación a través de los correspondientes planes de cooperación. Sin embargo, está interpretación ha de excluirse, habida cuenta de que hay otra que, siendo igualmente razonable, resulta conforme a la Constitución”.</w:t>
      </w:r>
    </w:p>
    <w:p w:rsidR="00A90898" w:rsidRDefault="00A90898" w:rsidP="00A90898">
      <w:pPr>
        <w:pStyle w:val="TextoNormal"/>
      </w:pPr>
    </w:p>
    <w:p w:rsidR="00A90898" w:rsidRDefault="00A90898" w:rsidP="00A90898">
      <w:pPr>
        <w:pStyle w:val="TextoNormal"/>
      </w:pPr>
      <w:r>
        <w:t>Corresponde, pues, desestimar la impugnación de la disposición adicional sexta de la Ley 27/2013. La interpretación de conformidad aquí realizada se llevará al fallo.</w:t>
      </w:r>
    </w:p>
    <w:p w:rsidR="00A90898" w:rsidRDefault="00A90898" w:rsidP="00A90898">
      <w:pPr>
        <w:pStyle w:val="TextoNormal"/>
      </w:pPr>
    </w:p>
    <w:p w:rsidR="00A90898" w:rsidRDefault="00A90898" w:rsidP="00A90898">
      <w:pPr>
        <w:pStyle w:val="TextoNormal"/>
      </w:pPr>
      <w:r w:rsidRPr="00A90898">
        <w:rPr>
          <w:rStyle w:val="NumeroAFNegritaCaracter"/>
        </w:rPr>
        <w:t>5</w:t>
      </w:r>
      <w:r>
        <w:t>. El Gobierno del Principado de Asturias impugna el art. 26.2 LBRL, en la redacción dada por el art. 1.9 de la Ley 27/2013.</w:t>
      </w:r>
    </w:p>
    <w:p w:rsidR="00A90898" w:rsidRDefault="00A90898" w:rsidP="00A90898">
      <w:pPr>
        <w:pStyle w:val="TextoNormal"/>
      </w:pPr>
    </w:p>
    <w:p w:rsidR="00A90898" w:rsidRDefault="00A90898" w:rsidP="00A90898">
      <w:pPr>
        <w:pStyle w:val="TextoNormal"/>
      </w:pPr>
      <w:r>
        <w:t xml:space="preserve">a) Según hemos recordado, el art. 26.2 LBRL fue objeto de la STC 111/2016, FJ 12 d), que declaró la inconstitucionalidad y nulidad de sus incisos “al Ministerio de Hacienda y </w:t>
      </w:r>
      <w:r>
        <w:lastRenderedPageBreak/>
        <w:t>Administraciones Públicas” y “para reducir los costes efectivos de los servicios el mencionado Ministerio decidirá sobre la propuesta formulada que deberá contar con el informe preceptivo de la Comunidad Autónoma si es la Administración que ejerce la tutela financiera”. Tras esta depuración, el tenor del precepto es el siguiente:</w:t>
      </w:r>
    </w:p>
    <w:p w:rsidR="00A90898" w:rsidRDefault="00A90898" w:rsidP="00A90898">
      <w:pPr>
        <w:pStyle w:val="TextoNormal"/>
      </w:pPr>
    </w:p>
    <w:p w:rsidR="00A90898" w:rsidRDefault="00A90898" w:rsidP="00A90898">
      <w:pPr>
        <w:pStyle w:val="TextoNormal"/>
      </w:pPr>
      <w:r>
        <w:t>“En los municipios con población inferior a 20.000 habitantes será la Diputación provincial o entidad equivalente la que coordinará la prestación de los siguientes servicios:</w:t>
      </w:r>
    </w:p>
    <w:p w:rsidR="00A90898" w:rsidRDefault="00A90898" w:rsidP="00A90898">
      <w:pPr>
        <w:pStyle w:val="TextoNormal"/>
      </w:pPr>
    </w:p>
    <w:p w:rsidR="00A90898" w:rsidRDefault="00A90898" w:rsidP="00A90898">
      <w:pPr>
        <w:pStyle w:val="TextoNormal"/>
      </w:pPr>
      <w:r>
        <w:t>a) Recogida y tratamiento de residuos.</w:t>
      </w:r>
    </w:p>
    <w:p w:rsidR="00A90898" w:rsidRDefault="00A90898" w:rsidP="00A90898">
      <w:pPr>
        <w:pStyle w:val="TextoNormal"/>
      </w:pPr>
    </w:p>
    <w:p w:rsidR="00A90898" w:rsidRDefault="00A90898" w:rsidP="00A90898">
      <w:pPr>
        <w:pStyle w:val="TextoNormal"/>
      </w:pPr>
      <w:r>
        <w:t>b) Abastecimiento de agua potable a domicilio y evacuación y tratamiento de aguas residuales.</w:t>
      </w:r>
    </w:p>
    <w:p w:rsidR="00A90898" w:rsidRDefault="00A90898" w:rsidP="00A90898">
      <w:pPr>
        <w:pStyle w:val="TextoNormal"/>
      </w:pPr>
    </w:p>
    <w:p w:rsidR="00A90898" w:rsidRDefault="00A90898" w:rsidP="00A90898">
      <w:pPr>
        <w:pStyle w:val="TextoNormal"/>
      </w:pPr>
      <w:r>
        <w:t>c) Limpieza viaria.</w:t>
      </w:r>
    </w:p>
    <w:p w:rsidR="00A90898" w:rsidRDefault="00A90898" w:rsidP="00A90898">
      <w:pPr>
        <w:pStyle w:val="TextoNormal"/>
      </w:pPr>
    </w:p>
    <w:p w:rsidR="00A90898" w:rsidRDefault="00A90898" w:rsidP="00A90898">
      <w:pPr>
        <w:pStyle w:val="TextoNormal"/>
      </w:pPr>
      <w:r>
        <w:t>d) Acceso a los núcleos de población.</w:t>
      </w:r>
    </w:p>
    <w:p w:rsidR="00A90898" w:rsidRDefault="00A90898" w:rsidP="00A90898">
      <w:pPr>
        <w:pStyle w:val="TextoNormal"/>
      </w:pPr>
    </w:p>
    <w:p w:rsidR="00A90898" w:rsidRDefault="00A90898" w:rsidP="00A90898">
      <w:pPr>
        <w:pStyle w:val="TextoNormal"/>
      </w:pPr>
      <w:r>
        <w:t>e) Pavimentación de vías urbanas.</w:t>
      </w:r>
    </w:p>
    <w:p w:rsidR="00A90898" w:rsidRDefault="00A90898" w:rsidP="00A90898">
      <w:pPr>
        <w:pStyle w:val="TextoNormal"/>
      </w:pPr>
    </w:p>
    <w:p w:rsidR="00A90898" w:rsidRDefault="00A90898" w:rsidP="00A90898">
      <w:pPr>
        <w:pStyle w:val="TextoNormal"/>
      </w:pPr>
      <w:r>
        <w:t>f) Alumbrado público.</w:t>
      </w:r>
    </w:p>
    <w:p w:rsidR="00A90898" w:rsidRDefault="00A90898" w:rsidP="00A90898">
      <w:pPr>
        <w:pStyle w:val="TextoNormal"/>
      </w:pPr>
    </w:p>
    <w:p w:rsidR="00A90898" w:rsidRDefault="00A90898" w:rsidP="00A90898">
      <w:pPr>
        <w:pStyle w:val="TextoNormal"/>
      </w:pPr>
      <w:r>
        <w:t>Para coordinar la citada prestación de servicios la Diputación propondrá, con la conformidad de los municipios afectados, la forma de prestación, consistente en la prestación directa por la Diputación o la implantación de fórmulas de gestión compartida a través de consorcios, mancomunidades u otras fórmulas.</w:t>
      </w:r>
    </w:p>
    <w:p w:rsidR="00A90898" w:rsidRDefault="00A90898" w:rsidP="00A90898">
      <w:pPr>
        <w:pStyle w:val="TextoNormal"/>
      </w:pPr>
    </w:p>
    <w:p w:rsidR="00A90898" w:rsidRDefault="00A90898" w:rsidP="00A90898">
      <w:pPr>
        <w:pStyle w:val="TextoNormal"/>
      </w:pPr>
      <w:r>
        <w:t>Cuando el municipio justifique ante la Diputación que puede prestar estos servicios con un coste efectivo menor que el derivado de la forma de gestión propuesta por la Diputación provincial o entidad equivalente, el municipio podrá asumir la prestación y coordinación de estos servicios si la Diputación lo considera acreditado.</w:t>
      </w:r>
    </w:p>
    <w:p w:rsidR="00A90898" w:rsidRDefault="00A90898" w:rsidP="00A90898">
      <w:pPr>
        <w:pStyle w:val="TextoNormal"/>
      </w:pPr>
    </w:p>
    <w:p w:rsidR="00A90898" w:rsidRDefault="00A90898" w:rsidP="00A90898">
      <w:pPr>
        <w:pStyle w:val="TextoNormal"/>
      </w:pPr>
      <w:r>
        <w:t>Cuando la Diputación o entidad equivalente asuma la prestación de estos servicios repercutirá a los municipios el coste efectivo del servicio en función de su uso. Si estos servicios estuvieran financiados por tasas y asume su prestación la Diputación o entidad equivalente, será a esta a quien vaya destinada la tasa para la financiación de los servicios.”</w:t>
      </w:r>
    </w:p>
    <w:p w:rsidR="00A90898" w:rsidRDefault="00A90898" w:rsidP="00A90898">
      <w:pPr>
        <w:pStyle w:val="TextoNormal"/>
      </w:pPr>
    </w:p>
    <w:p w:rsidR="00A90898" w:rsidRDefault="00A90898" w:rsidP="00A90898">
      <w:pPr>
        <w:pStyle w:val="TextoNormal"/>
      </w:pPr>
      <w:r>
        <w:t>El Letrado autonómico razona sobre dos órdenes de problemas. En primer lugar, el nuevo art. 26.2 LBRL vulneraría la autonomía política de Principado de Asturias (art. 11.10 EAAst), en cuanto Comunidad Autónoma uniprovincial que se subroga en la posición de la diputación, sin suprimirla (STC 32/1981, de 28 de julio, FJ 3). La razón de ello es que al someter el plan provincial a la aprobación del Ministerio de Hacienda y Administraciones Públicas, habría instaurado un control constitucionalmente imprevisto sobre la actividad de las Comunidades Autónomas uniprovinciales. En segundo lugar, afirma genéricamente que el art. 26.2 LBRL atribuye competencias al Principado de Asturias sin previsión de financiación y con vulneración de los principios de subsidiaridad y proximidad en la prestación del servicio, teniendo en cuenta la ausencia de pruebas en cuanto a que la atribución de la gestión de aquellos servicios a la Diputación comporte mejoras en términos de eficacia, eficiencia o sostenibilidad.</w:t>
      </w:r>
    </w:p>
    <w:p w:rsidR="00A90898" w:rsidRDefault="00A90898" w:rsidP="00A90898">
      <w:pPr>
        <w:pStyle w:val="TextoNormal"/>
      </w:pPr>
    </w:p>
    <w:p w:rsidR="00A90898" w:rsidRDefault="00A90898" w:rsidP="00A90898">
      <w:pPr>
        <w:pStyle w:val="TextoNormal"/>
      </w:pPr>
      <w:r>
        <w:t>El primer motivo de impugnación ha perdido objeto, según se razona en el fundamento jurídico 2 a) de esta Sentencia; se dirige específicamente a los dos incisos que la STC 111/2016, FJ 12 d) ha declarado inconstitucionales y nulos. No ocurre lo mismo respecto de los otros motivos, que pasamos a abordar seguidamente.</w:t>
      </w:r>
    </w:p>
    <w:p w:rsidR="00A90898" w:rsidRDefault="00A90898" w:rsidP="00A90898">
      <w:pPr>
        <w:pStyle w:val="TextoNormal"/>
      </w:pPr>
    </w:p>
    <w:p w:rsidR="00A90898" w:rsidRDefault="00A90898" w:rsidP="00A90898">
      <w:pPr>
        <w:pStyle w:val="TextoNormal"/>
      </w:pPr>
      <w:r>
        <w:t>b) Los motivos de impugnación subsistentes parten de la premisa de que el nuevo art. 26.2 LBRL, a fin de disminuir los costes efectivos de determinados servicios en municipios de menos de 20 000 habitantes, obliga a las diputaciones (y, con ello, a las Comunidades Autónomas uniprovinciales) a ejercer relevantes competencias, señaladamente la gestión directa de aquellos servicios.</w:t>
      </w:r>
    </w:p>
    <w:p w:rsidR="00A90898" w:rsidRDefault="00A90898" w:rsidP="00A90898">
      <w:pPr>
        <w:pStyle w:val="TextoNormal"/>
      </w:pPr>
    </w:p>
    <w:p w:rsidR="00A90898" w:rsidRDefault="00A90898" w:rsidP="00A90898">
      <w:pPr>
        <w:pStyle w:val="TextoNormal"/>
      </w:pPr>
      <w:r>
        <w:t>Sin embargo, el art. 26.2 LBRL se refiere a una variedad muy indefinida de fórmulas de cooperación o “coordinación voluntaria” que puede “proponer” la diputación provincial y aceptar el municipio titular del servicio. Ello implica, correlativamente, que la diputación no tiene la obligación de asumir la gestión de aquellos servicios y que, en todo caso, el municipio puede rechazar las fórmulas de cooperación que aquella pueda proponerle. Así resultaba de su tenor originario y resulta aún más claramente ahora, una vez que la STC 111/2016, FJ 12 d) ha eliminado la intervención del Ministerio de Hacienda y Administraciones Públicas destinada a reducir costes.</w:t>
      </w:r>
    </w:p>
    <w:p w:rsidR="00A90898" w:rsidRDefault="00A90898" w:rsidP="00A90898">
      <w:pPr>
        <w:pStyle w:val="TextoNormal"/>
      </w:pPr>
    </w:p>
    <w:p w:rsidR="00A90898" w:rsidRDefault="00A90898" w:rsidP="00A90898">
      <w:pPr>
        <w:pStyle w:val="TextoNormal"/>
      </w:pPr>
      <w:r>
        <w:t>A este respecto, la indicada Sentencia, tras señalar que la previsión impugnada “llama ‘coordinación’ a fórmulas que la doctrina constitucional denomina ‘colaboración’, ‘cooperación’ o, todo lo más, ‘coordinación voluntaria’”, insiste en que, conforme al art. 26.2 LBRL, el “municipio puede dar o no su conformidad a un plan que condicionará el modo en que ha de gestionar sus servicios”; el “criterio determinante no es el económico, tampoco la decisión de otras Administraciones públicas; es la voluntad municipal misma”; la pérdida de autonomía que, en efecto, puede llegar a sufrir el municipio será en todo caso “consentida” porque se producirá solo eventualmente y únicamente si la acepta el ayuntamiento o, lo que es lo mismo, “con la conformidad de los municipios afectados”. Se añade la precisión siguiente: “hay que hacer notar que la competencia provincial regulada en el art. 26.2 LBRL se corresponde con la sucintamente enunciada en el art. 36.1 h) LBRL, cuyo tenor tampoco arroja dudas sobre el carácter voluntario o consentido de estas fórmulas (llamadas) de coordinación: ‘Cuando la Diputación detecte que estos costes son superiores a los de los servicios coordinados o prestados por ella, ofrecerá a los municipios su colaboración para una gestión coordinada más eficiente de los servicios que permita reducir estos costes’. Por lo demás, conectan directamente con estas fórmulas voluntarias los estímulos financieros previstos en la disposición adicional 15, sobre ‘gestión integrada o coordinada de servicios’, del texto refundido de la Ley de haciendas locales, en la redacción dada por el art. 2.5 de la Ley 27/2013”.</w:t>
      </w:r>
    </w:p>
    <w:p w:rsidR="00A90898" w:rsidRDefault="00A90898" w:rsidP="00A90898">
      <w:pPr>
        <w:pStyle w:val="TextoNormal"/>
      </w:pPr>
    </w:p>
    <w:p w:rsidR="00A90898" w:rsidRDefault="00A90898" w:rsidP="00A90898">
      <w:pPr>
        <w:pStyle w:val="TextoNormal"/>
      </w:pPr>
      <w:r>
        <w:t>No pudiendo aceptarse la interpretación del art. 26.2 LBRL (en la redacción dada por el art. 1.9 de la Ley 27/2013) sobre la que el recurso razona la impugnación, no pueden tampoco acogerse los indicados motivos de inconstitucionalidad. Corresponde, en consecuencia, desestimar esta impugnación en los extremos en que subsistía por no estar afectada de pérdida sobrevenida de objeto.</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parcialmente el recurso de inconstitucionalidad y en consecuencia:</w:t>
      </w:r>
    </w:p>
    <w:p w:rsidR="00A90898" w:rsidRDefault="00A90898" w:rsidP="00A90898">
      <w:pPr>
        <w:pStyle w:val="TextoNormal"/>
      </w:pPr>
    </w:p>
    <w:p w:rsidR="00A90898" w:rsidRDefault="00A90898" w:rsidP="00A90898">
      <w:pPr>
        <w:pStyle w:val="TextoNormal"/>
      </w:pPr>
      <w:r>
        <w:t>1º Declarar extinguida, por pérdida sobrevenida de objeto, la impugnación de las disposiciones transitorias primera, segunda, tercera y cuarta.3, en cuanto al inciso “Decreto del órgano de gobierno de”, todas de la Ley 27/2013, de 27 de diciembre, de racionalización y sostenibilidad de la Administración local, así como de los siguientes incisos del art. 26.2 de la Ley 7/1985, de 2 de abril, reguladora de las bases del régimen local,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00A90898" w:rsidRDefault="00A90898" w:rsidP="00A90898">
      <w:pPr>
        <w:pStyle w:val="TextoNormal"/>
      </w:pPr>
    </w:p>
    <w:p w:rsidR="00A90898" w:rsidRDefault="00A90898" w:rsidP="00A90898">
      <w:pPr>
        <w:pStyle w:val="TextoNormal"/>
      </w:pPr>
      <w:r>
        <w:t>2º Declarar que la disposición adicional sexta de la Ley 27/2013 no es inconstitucional, interpretada en los términos del fundamento jurídico 4 b) de esta Sentencia.</w:t>
      </w:r>
    </w:p>
    <w:p w:rsidR="00A90898" w:rsidRDefault="00A90898" w:rsidP="00A90898">
      <w:pPr>
        <w:pStyle w:val="TextoNormal"/>
      </w:pPr>
    </w:p>
    <w:p w:rsidR="00A90898" w:rsidRDefault="00A90898" w:rsidP="00A90898">
      <w:pPr>
        <w:pStyle w:val="TextoNormal"/>
      </w:pPr>
      <w:r>
        <w:t>3º Desestimar el recurso de inconstitucionalidad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seis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8" w:name="SENTENCIA_2016_169"/>
      <w:r>
        <w:lastRenderedPageBreak/>
        <w:t>SENTENCIA 169/2016, de 6 de octubre de 2016</w:t>
      </w:r>
    </w:p>
    <w:bookmarkEnd w:id="48"/>
    <w:p w:rsidR="00A90898" w:rsidRDefault="00A90898" w:rsidP="00A90898">
      <w:pPr>
        <w:pStyle w:val="TtuloResolucin"/>
      </w:pPr>
      <w:r>
        <w:t>Pleno</w:t>
      </w:r>
    </w:p>
    <w:p w:rsidR="00A90898" w:rsidRDefault="00A90898" w:rsidP="00A90898">
      <w:pPr>
        <w:pStyle w:val="TtuloBOE"/>
      </w:pPr>
      <w:r>
        <w:t>(BOE núm. 276, de 15 de noviembre de 2016)</w:t>
      </w:r>
    </w:p>
    <w:p w:rsidR="00A90898" w:rsidRDefault="00A90898" w:rsidP="00A90898">
      <w:pPr>
        <w:pStyle w:val="TextoNormalCentrado"/>
      </w:pPr>
      <w:r>
        <w:t>ECLI:ES:TC:2016:169</w:t>
      </w:r>
    </w:p>
    <w:p w:rsidR="00A90898" w:rsidRDefault="00A90898" w:rsidP="00A90898">
      <w:pPr>
        <w:pStyle w:val="TextoNormalCentrado"/>
      </w:pPr>
    </w:p>
    <w:p w:rsidR="00A90898" w:rsidRDefault="00A90898" w:rsidP="00A90898">
      <w:pPr>
        <w:pStyle w:val="SntesisDescriptiva"/>
      </w:pPr>
      <w:r>
        <w:t>Recurso de inconstitucionalidad 3925-2015. Interpuesto por más de cincuenta diputados del Grupo Parlamentario Socialista en el Congreso respecto del artículo 1.1 del Real Decreto-ley 7/2015, de 14 de mayo, por el que se conceden créditos extraordinarios y un suplemento de crédito por importe de 856.440.673,35 euros en el presupuesto del Ministerio de Defensa, para atender al pago de obligaciones correspondientes a programas especiales de armamento y a la realización de otras actuaciones del Departamento.</w:t>
      </w:r>
    </w:p>
    <w:p w:rsidR="00A90898" w:rsidRDefault="00A90898" w:rsidP="00A90898">
      <w:pPr>
        <w:pStyle w:val="SntesisDescriptiva"/>
      </w:pPr>
    </w:p>
    <w:p w:rsidR="00A90898" w:rsidRDefault="00A90898" w:rsidP="00A90898">
      <w:pPr>
        <w:pStyle w:val="SntesisAnaltica"/>
      </w:pPr>
      <w:r>
        <w:t>Límites a los decretos-leyes: ausencia del presupuesto habilitante necesario para la concesión urgente de un crédito extraordinario en el presupuesto del Ministerio de Defensa (STC 126/2016).</w:t>
      </w:r>
    </w:p>
    <w:p w:rsidR="00A90898" w:rsidRDefault="00A90898" w:rsidP="00A90898">
      <w:pPr>
        <w:pStyle w:val="SntesisAnaltica"/>
      </w:pPr>
    </w:p>
    <w:p w:rsidR="00A90898" w:rsidRDefault="00A90898" w:rsidP="00A90898">
      <w:pPr>
        <w:pStyle w:val="Extracto"/>
      </w:pPr>
      <w:r>
        <w:t>1.</w:t>
      </w:r>
      <w:r>
        <w:tab/>
        <w:t>Asunto sustancialmente idéntico al resuelto por la STC 126/2016 [FFJJ 2 a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3925-2015 interpuesto por más de cincuenta diputados del Grupo Parlamentario Socialista en el Congreso contra el art. 1.1 del Real Decreto-ley 7/2015, de 14 de mayo, por el que se conceden créditos extraordinarios y un suplemento de crédito por importe de 856.440.673,35 € en el presupuesto del Ministerio de Defensa, para atender al pago de obligaciones correspondientes a programas especiales de armamento y a la realización de otras actuaciones del Departamento. Ha comparecido y formulado alegaciones el Abogado del Estado.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Constitucional el 2 de julio de 2015, más de cincuenta diputados del Grupo Parlamentario Socialista en el Congreso interponen recurso de inconstitucionalidad contra el art. 1.1 del Real Decreto-ley 7/2015, de 14 de mayo, por el que se conceden créditos extraordinarios y un suplemento de crédito por importe de 856.440.673,35 € en el presupuesto del Ministerio de Defensa, para atender al pago de obligaciones correspondientes a programas especiales de armamento y a la realización de otras actuaciones del Departamento.</w:t>
      </w:r>
    </w:p>
    <w:p w:rsidR="00A90898" w:rsidRDefault="00A90898" w:rsidP="00A90898">
      <w:pPr>
        <w:pStyle w:val="TextoNormal"/>
      </w:pPr>
    </w:p>
    <w:p w:rsidR="00A90898" w:rsidRDefault="00A90898" w:rsidP="00A90898">
      <w:pPr>
        <w:pStyle w:val="TextoNormal"/>
      </w:pPr>
      <w:r>
        <w:t>El precepto impugnado autoriza un crédito extraordinario al presupuesto en vigor de la sección 14 (“Ministerio de Defensa”), servicio 03 (“Secretaría de Estado de la Defensa”), programa 122B (“Programas especiales de modernización”), capítulo 6 (“Inversiones Reales”), artículo 65 (“Inversiones militares en infraestructuras y otros bienes”), concepto 659 (“Para atender al pago de obligaciones correspondientes a programas especiales de armamento”), por un importe de 846.440.673,35 €. De la exposición de motivos del Real Decreto-ley aquí controvertido, así como del posterior debate de convalidación en el Congreso de los Diputados de 28 de mayo de 2015, resultarían las siguientes dos razones, aducidas como justificación de la extraordinaria y urgente necesidad que exige el art. 86.1 CE: por un lado, la insuficiente dotación presupuestaria obligaría a proporcionar financiación adicional para cubrir compromisos contractuales ajustados y, por otro, la evitación de los perjuicios asociados a la demora en el pago de esas obligaciones.</w:t>
      </w:r>
    </w:p>
    <w:p w:rsidR="00A90898" w:rsidRDefault="00A90898" w:rsidP="00A90898">
      <w:pPr>
        <w:pStyle w:val="TextoNormal"/>
      </w:pPr>
    </w:p>
    <w:p w:rsidR="00A90898" w:rsidRDefault="00A90898" w:rsidP="00A90898">
      <w:pPr>
        <w:pStyle w:val="TextoNormal"/>
      </w:pPr>
      <w:r>
        <w:t>El presente recurso de inconstitucionalidad, en línea con el presentado en su día contra el Real Decreto-ley 10/2014, considera que la divergencia entre la dotación presupuestaria inicial y la cuantía de las obligaciones contraídas no puede funcionar como razón de urgente y extraordinaria necesidad, si aquellas obligaciones eran perfectamente conocidas y si tal divergencia fue deliberadamente perseguida por el propio Gobierno. Los diputados recurrentes razonan ampliamente el carácter absolutamente previsible de las obligaciones que el Gobierno ha querido afrontar y, más aún, que el Real Decreto-ley controvertido forma parte de un plan que se apoya en la legislación de urgencia como instrumento ordinario o normal de pago.</w:t>
      </w:r>
    </w:p>
    <w:p w:rsidR="00A90898" w:rsidRDefault="00A90898" w:rsidP="00A90898">
      <w:pPr>
        <w:pStyle w:val="TextoNormal"/>
      </w:pPr>
    </w:p>
    <w:p w:rsidR="00A90898" w:rsidRDefault="00A90898" w:rsidP="00A90898">
      <w:pPr>
        <w:pStyle w:val="TextoNormal"/>
      </w:pPr>
      <w:r>
        <w:t xml:space="preserve">En cuanto a lo primero, el crédito extraordinario autorizado mediante el Real Decreto-ley impugnado se refiere a obligaciones de pago cuya concurrencia no podría calificarse de imprevisible a la vista de su envergadura y de que no han surgido espontánea o inesperadamente ni traen causa de nuevos contratos, tratados o necesidades. Están previstas en los denominados programas especiales de armamento. En particular, por acuerdo de 2 de agosto de 2013, el Consejo de Ministros autorizó al Ministerio de Defensa a adquirir compromisos de gasto con cargo a ejercicios futuros para atender a reprogramaciones, ajustes de anualidades y nuevos proyectos correspondientes a los programas especiales de modernización. Este acuerdo estableció los nuevos límites anuales de gasto hasta el año 2030, lo que permite reafirmar que el Gobierno era conocedor de las necesidades presupuestarias para satisfacer los pagos de dicho programa en cada ejercicio. A la vista del señalado acuerdo, cabe asegurar que el Gobierno conocía los 19 subconceptos de las obligaciones para cuya satisfacción se dota el crédito extraordinario por lo menos desde el 2 de agosto de 2013, estando varios de ellos ya previstos en reales decretos-leyes anteriores. De modo que el Gobierno conocía la existencia, cuantía y vencimientos de estas obligaciones; ello lo habría admitido además </w:t>
      </w:r>
      <w:r>
        <w:lastRenderedPageBreak/>
        <w:t>explícitamente a través del Ministro de Defensa, con ocasión del debate de los presupuestos generales para 2015, así como del Secretario de Estado de Defensa en su comparecencia ante la Comisión de Defensa del Congreso de los Diputados de 6 de octubre de 2014, en relación con los mismos presupuestos.</w:t>
      </w:r>
    </w:p>
    <w:p w:rsidR="00A90898" w:rsidRDefault="00A90898" w:rsidP="00A90898">
      <w:pPr>
        <w:pStyle w:val="TextoNormal"/>
      </w:pPr>
    </w:p>
    <w:p w:rsidR="00A90898" w:rsidRDefault="00A90898" w:rsidP="00A90898">
      <w:pPr>
        <w:pStyle w:val="TextoNormal"/>
      </w:pPr>
      <w:r>
        <w:t>La previsión impugnada respondería pues a una situación consciente y deliberadamente buscada por el propio Gobierno que, en consecuencia, no podría calificarse de extraordinaria y urgente. Sería, no la respuesta a una “coyuntura económica problemática”, sino la última manifestación de un plan o modo general e intencionado de actuación constitutivo de una clara subversión del sistema constitucional de aprobación de las cuentas públicas. Tal plan consistiría en infra-presupuestar la partida correspondiente a los programas especiales de armamento en el proyecto de ley de presupuestos generales del Estado del año de que se trate para autorizar después un crédito extraordinario mediante decreto-ley, lo que supone escamotear a las Cortes Generales unos gastos que se sabe que van a existir.</w:t>
      </w:r>
    </w:p>
    <w:p w:rsidR="00A90898" w:rsidRDefault="00A90898" w:rsidP="00A90898">
      <w:pPr>
        <w:pStyle w:val="TextoNormal"/>
      </w:pPr>
    </w:p>
    <w:p w:rsidR="00A90898" w:rsidRDefault="00A90898" w:rsidP="00A90898">
      <w:pPr>
        <w:pStyle w:val="TextoNormal"/>
      </w:pPr>
      <w:r>
        <w:t>La norma controvertida sería de este modo un elemento más de un auténtico “plan de decretos-leyes” o “plan de pagos” mediante decreto-ley (concretado hasta el momento en los núms. 26/2012, de 7 de septiembre; 10/2013, de 26 de julio; 10/2014, de 1 de agosto, y 7/2015, de 14 de mayo) destinado a sufragar los programas especiales de armamento mediante créditos extraordinarios de importe elevadísimo (1.782.770.890, 877.334.595, 883.655.368 y 846.440.673 €, respectivamente), muy superior al fijado inicialmente en los presupuestos generales del Estado del año correspondiente (6.842.500 €, que es la cantidad que recogen invariablemente todos los presupuestos generales adoptados desde 2011). En el presente caso, el crédito extraordinario cuya aprobación ha dejado de someterse a las Cortes Generales representa 160 veces la cantidad presupuestada.</w:t>
      </w:r>
    </w:p>
    <w:p w:rsidR="00A90898" w:rsidRDefault="00A90898" w:rsidP="00A90898">
      <w:pPr>
        <w:pStyle w:val="TextoNormal"/>
      </w:pPr>
    </w:p>
    <w:p w:rsidR="00A90898" w:rsidRDefault="00A90898" w:rsidP="00A90898">
      <w:pPr>
        <w:pStyle w:val="TextoNormal"/>
      </w:pPr>
      <w:r>
        <w:t>El propio Gobierno habría admitido que está usando el decreto-ley como instrumento normal de autorización de créditos para la adquisición de armamento. El Ministro de Defensa en el debate de los presupuestos generales del Estado para 2015 afirmó: “El presupuesto inicial para el año 2015 vuelve a incluir exclusivamente los gastos de gestión, porque siguen pendientes tanto de concretar las obligaciones exactas para este año… Por lo tanto, en el año 2015, en función de la capacidad presupuestaria, promoveremos la dotación extraordinaria”. A su vez, el Secretario de Estado de Defensa, en sus comparecencias ante la Comisión de Defensa del Congreso de los Diputados de 6 de octubre de 2014, en relación con los presupuestos generales del Estado para 2015, argumentó: “si las circunstancias económicas se mantienen en el nivel y en la forma que hoy conocemos, el Gobierno volverá a atender sus compromisos de pago mediante el uso del decreto-ley para autorizar un crédito extraordinario, pagos derivados de los programas de armamento”; asimismo el 23 de mayo y el 7 de octubre de 2013, respecto de los presupuestos para 2014: “los compromisos de pago del Ministerio de Defensa para los próximos años serán menores de los planificados, pero no excluirá la necesidad de lograr financiación extraordinaria anual”; el decreto-ley es “un vehículo muy adecuado para la situación en que nos encontramos y además tiene todas las garantías necesarias de transparencia y de control por parte del parlamento”; “todo el mundo lo sabe, y nosotros somos los primeros que lo admitimos. Hemos escogido ese sistema para financiar obligaciones concretas”. La existencia del señalado “plan de pagos” mediante decreto-ley resultaría igualmente del debate de convalidación del Real Decreto-ley 10/2013, del citado acuerdo de 2 de agosto de 2013 y de las exposiciones de motivos de los Reales Decretos-leyes 10/2014 y 7/2015.</w:t>
      </w:r>
    </w:p>
    <w:p w:rsidR="00A90898" w:rsidRDefault="00A90898" w:rsidP="00A90898">
      <w:pPr>
        <w:pStyle w:val="TextoNormal"/>
      </w:pPr>
    </w:p>
    <w:p w:rsidR="00A90898" w:rsidRDefault="00A90898" w:rsidP="00A90898">
      <w:pPr>
        <w:pStyle w:val="TextoNormal"/>
      </w:pPr>
      <w:r>
        <w:t>Los argumentos esgrimidos por el Gobierno —divergencia entre el alcance de la cantidad presupuestada y el de las obligaciones contraídas, así como los perjuicios asociados a la demora en el pago—, sólo benévolamente podrían valer como razones excepcionales justificativas del Real Decreto-ley 26/2012, al estar entonces en curso las negociaciones entre el Ministerio de Defensa y los proveedores destinadas a reprogramar el gasto en los programas especiales de armamento. En modo alguno valdrían para justificar los Reales Decretos-leyes siguientes (núms. 10/2013, 10/2014 y 7/2015), al ser posteriores al acuerdo del Consejo de Ministros de 2 de agosto de 2013, que articula ya la nueva programación.</w:t>
      </w:r>
    </w:p>
    <w:p w:rsidR="00A90898" w:rsidRDefault="00A90898" w:rsidP="00A90898">
      <w:pPr>
        <w:pStyle w:val="TextoNormal"/>
      </w:pPr>
    </w:p>
    <w:p w:rsidR="00A90898" w:rsidRDefault="00A90898" w:rsidP="00A90898">
      <w:pPr>
        <w:pStyle w:val="TextoNormal"/>
      </w:pPr>
      <w:r>
        <w:t>Por lo demás, según el recurso de inconstitucionalidad, una cosa es la necesidad de que la Administración atienda sin demora sus obligaciones contractuales y otra bien distinta la necesidad de hacerlo mediante decreto-ley por concurrir una situación excepcional. El Gobierno, al igual que el Dictamen del Consejo de Estado de 13 de mayo de 2015, habría tratado de razonar la primera sin justificar la segunda. La constatación de la divergencia entre las cantidades presupuestadas y las deudas contraídas, así como los perjuicios vinculados al pago intempestivo, serviría para justificar la aprobación de un crédito extraordinario, pero en modo alguno para justificar la sustitución de las Cortes Generales en esa tarea mediante el recurso a la legislación gubernamental de urgencia. El Gobierno debió incluir la necesaria cobertura presupuestaria en los presupuestos generales del Estado o, en su defecto, promover la tramitación parlamentaria de un proyecto de ley de autorización del crédito extraordinario mediante el procedimiento legislativo ordinario o, en su caso, el de urgencia [art. 55 de la Ley 47/2003, de 26 de noviembre, general presupuestaria (LGP)].</w:t>
      </w:r>
    </w:p>
    <w:p w:rsidR="00A90898" w:rsidRDefault="00A90898" w:rsidP="00A90898">
      <w:pPr>
        <w:pStyle w:val="TextoNormal"/>
      </w:pPr>
    </w:p>
    <w:p w:rsidR="00A90898" w:rsidRDefault="00A90898" w:rsidP="00A90898">
      <w:pPr>
        <w:pStyle w:val="TextoNormal"/>
      </w:pPr>
      <w:r>
        <w:t>Por todo ello, el art. 1.1 del Real Decreto 7/2015 vulneraría el art. 86.1 CE, por lo que habría de declararse inconstitucional.</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21 de julio de 2015 el Pleno acuerda admitir a trámite el recurso de inconstitucionalidad, dar traslado de la demanda y documentos presentados al Congreso de los Diputados, al Senado y al Gobierno a fin de que, en el plazo de 15 días, puedan personarse en el proceso y formular alegaciones. Ordenar a la vez la publicación de la incoación del recurso en el “BOE”, que tuvo lugar en el núm. 177, de 25 de julio de 2015.</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en este Tribunal el 24 de julio de 2015, el Abogado del Estado, en la representación que legalmente ostenta, solicita que se le tenga por personado en el presente recurso y una prórroga de ocho días para formular alegaciones, habida cuenta del número de asuntos que penden ante esa Abogacía.</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1 de septiembre de 2015, el Pleno de este Tribunal acuerda incorporar el anterior escrito al expediente, tener por personado al Abogado del Estado, así como conceder la prórroga solicitada.</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sendos escritos, registrados en este Tribunal el 26 de agosto y el 10 de septiembre de 2015, los Presidentes del Senado y del Congreso de los Diputados, respectivamente, comunicaron los acuerdos de las Mesas de ambas Cámaras de personarse en el procedimiento y ofrecer su colaboración a los efectos del art. 88.1 de la Ley Orgánica del Tribunal Constitucional (LOTC).</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en 23 de septiembre de 2015, el Abogado del Estado formula alegaciones, solicitando la desestimación del recurso de inconstitucionalidad.</w:t>
      </w:r>
    </w:p>
    <w:p w:rsidR="00A90898" w:rsidRDefault="00A90898" w:rsidP="00A90898">
      <w:pPr>
        <w:pStyle w:val="TextoNormal"/>
      </w:pPr>
    </w:p>
    <w:p w:rsidR="00A90898" w:rsidRDefault="00A90898" w:rsidP="00A90898">
      <w:pPr>
        <w:pStyle w:val="TextoNormal"/>
      </w:pPr>
      <w:r>
        <w:t>El escrito parte de que, cuando sobrevienen gastos inaplazables al ejercicio presupuestario siguiente, puede tramitarse un crédito extraordinario o suplemento de crédito (art. 55 LGP). La aprobación de este crédito o suplemento entrañaría una modificación perfectamente legítima de la ley de presupuestos (SSTC 206/2013, de 5 de diciembre; 217/2013, de 19 de diciembre). Tal modificación podría llegar a adoptar la forma de decreto-ley (art. 86 CE), si hay extraordinaria y urgente necesidad.</w:t>
      </w:r>
    </w:p>
    <w:p w:rsidR="00A90898" w:rsidRDefault="00A90898" w:rsidP="00A90898">
      <w:pPr>
        <w:pStyle w:val="TextoNormal"/>
      </w:pPr>
    </w:p>
    <w:p w:rsidR="00A90898" w:rsidRDefault="00A90898" w:rsidP="00A90898">
      <w:pPr>
        <w:pStyle w:val="TextoNormal"/>
      </w:pPr>
      <w:r>
        <w:t>El Abogado del Estado admite que en el momento de la elaboración del proyecto de ley de presupuestos para 2015 ya se habían contraído las obligaciones de pago para la adquisición de armamento. La necesidad de afrontar esas deudas sería previsible en este sentido. El Gobierno, en ese momento, solo habría estado en condiciones de determinar únicamente los gastos ordinarios de funcionamiento y administración (6.842.500 €). No habría podido concretar la cuantía exacta de aquellas obligaciones, por razones similares a las que dieron lugar a los Reales Decretos-leyes 10/2013 y 10/2014. Se traen a colación un informe de la Intervención General de Defensa, así como las comparecencias ante el Congreso del Ministro de Defensa y Hacienda, respectivamente, en la presentación de los presupuestos para 2015, de un lado, y en el debate de convalidación del decreto-ley, de otro. También se incluye la comparecencia del Secretario de Estado ante la Comisión de Defensa del Congreso de 6 de octubre de 2014.</w:t>
      </w:r>
    </w:p>
    <w:p w:rsidR="00A90898" w:rsidRDefault="00A90898" w:rsidP="00A90898">
      <w:pPr>
        <w:pStyle w:val="TextoNormal"/>
      </w:pPr>
    </w:p>
    <w:p w:rsidR="00A90898" w:rsidRDefault="00A90898" w:rsidP="00A90898">
      <w:pPr>
        <w:pStyle w:val="TextoNormal"/>
      </w:pPr>
      <w:r>
        <w:t>La imposibilidad de prever tales cuantías derivaría del carácter evolutivo del gasto público en el contexto de la crisis económica, siendo la contención de ese gasto el objetivo principal del Gobierno; la concreción de las cuantías dependería pues de la propia evolución del déficit público. Teniendo en cuenta la significativa cuantía de los programas especiales de defensa y su incidencia en la contabilización del déficit, cobraría todo sentido que el Gobierno, a mitad del ejercicio —cuando ya conocía la evolución del gasto público— habilitara el crédito extraordinario y lo hiciera mediante decreto-ley.</w:t>
      </w:r>
    </w:p>
    <w:p w:rsidR="00A90898" w:rsidRDefault="00A90898" w:rsidP="00A90898">
      <w:pPr>
        <w:pStyle w:val="TextoNormal"/>
      </w:pPr>
    </w:p>
    <w:p w:rsidR="00A90898" w:rsidRDefault="00A90898" w:rsidP="00A90898">
      <w:pPr>
        <w:pStyle w:val="TextoNormal"/>
      </w:pPr>
      <w:r>
        <w:t xml:space="preserve">La indicada imposibilidad resultaría igualmente de las peculiaridades de los programas de compra de material militar. Se destaca que en 2013 se alcanzaron unos preacuerdos con las industrias que permitieron diseñar un nuevo expediente para la aprobación de nuevos techos de gasto en los diferentes programas. Se trata del “expediente de reprogramación”, que establece los límites de gasto autorizados al Ministerio de Defensa durante un periodo para atender las obligaciones de los programas especiales de armamento. Las cuantías anuales definitivas para hacer frente a este tipo de programas, dentro de los límites establecidos, se concretan una vez que se formalizan los contratos correspondientes con las empresas fabricantes. Los compromisos de pago de los programas multinacionales, que son los que mayor volumen de financiación necesitan, se determinan en octubre/noviembre de cada año tras las peticiones de fondos cursadas por las agencias que gestionan dichos programas. Esto implica que los pagos anuales no están fijados de antemano y que las cantidades definitivas anuales se conocen al final del ejercicio económico. Se insiste en que el Ministerio de Defensa realizó una reprogramación parcial de las compras y en que las cifras objeto de pago para el ejercicio 2015 fueron negociadas con la industria para obtener las condiciones económicas más beneficiosas. Tales importes no habrían podido calcularse en el momento de </w:t>
      </w:r>
      <w:r>
        <w:lastRenderedPageBreak/>
        <w:t>la elaboración del proyecto de ley de presupuestos, porque son objeto de negociación y de reconsideración parcial, por ejemplo, en lo que afecta al número de unidades o servicios necesarios.</w:t>
      </w:r>
    </w:p>
    <w:p w:rsidR="00A90898" w:rsidRDefault="00A90898" w:rsidP="00A90898">
      <w:pPr>
        <w:pStyle w:val="TextoNormal"/>
      </w:pPr>
    </w:p>
    <w:p w:rsidR="00A90898" w:rsidRDefault="00A90898" w:rsidP="00A90898">
      <w:pPr>
        <w:pStyle w:val="TextoNormal"/>
      </w:pPr>
      <w:r>
        <w:t>Sentada la imposibilidad de prever las cuantías concretas en el momento de la elaboración de la ley de presupuestos, el Abogado del Estado señala que la extraordinaria y urgente necesidad de habilitar el crédito extraordinario resultaría de las difíciles circunstancias económicas y, en particular, de la exigencia de respetar obligaciones ya contraídas y evitar los perjuicios asociados a su incumplimiento. La obligación de proceder al cumplimiento de los compromisos contraídos en los correspondientes contratos y no causar perjuicios a los afectados sería la razón de urgencia y necesidad que justificaría la tramitación del crédito extraordinario. Partiendo de la exposición de motivos y de las intervenciones parlamentarias, se apuntan los siguientes posibles perjuicios: la imposibilidad de mantener los compromisos internacionales, los costes adicionales como consecuencia de penalizaciones o intereses moratorios en los contratos con proveedores, la afectación al programa de modernización de las Fuerzas Armadas, la pérdida de capacidades industriales tecnológicamente avanzadas y el efecto directo sobre la producción y el empleo de nuestro país.</w:t>
      </w:r>
    </w:p>
    <w:p w:rsidR="00A90898" w:rsidRDefault="00A90898" w:rsidP="00A90898">
      <w:pPr>
        <w:pStyle w:val="TextoNormal"/>
      </w:pPr>
    </w:p>
    <w:p w:rsidR="00A90898" w:rsidRDefault="00A90898" w:rsidP="00A90898">
      <w:pPr>
        <w:pStyle w:val="TextoNormal"/>
      </w:pPr>
      <w:r>
        <w:t>Justificada así la extraordinaria y urgente necesidad del Real Decreto-ley controvertido, el Abogado del Estado descarta que estemos ante una manifestación más de un abuso continuado de la legislación de urgencia, con el objeto de no reflejar adecuadamente las partidas presupuestarias dedicadas a Defensa. Admite que tanto los anteriores reales decretos-leyes como el ahora controvertido responden a una problemática similar y expresan una práctica reiterada, que supone el empleo de esta modalidad normativa cómo fórmula de habilitación de créditos extraordinarios para la adquisición de equipamiento militar. Sin embargo, este hecho no sería indicativo de un abuso, porque el decreto-ley sería el cauce adecuado para una realidad singular y excepcional, que coincide con la manifestación de una profunda crisis económica y la necesidad de asumir drásticas medidas de tipo presupuestario, de las que el Ministerio de Defensa ha sido uno de los Departamentos más afectados.</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4 de octubre de 2016 se señaló para deliberación y votación de la presente Sentencia el día 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Más de cincuenta diputados del Grupo Parlamentario Socialista en el Congreso interponen recurso de inconstitucionalidad contra el art. 1.1 del Real Decreto-ley 7/2015, de 14 de mayo, por el que se conceden créditos extraordinarios y un suplemento de crédito por importe de 856.440.673,35 € en el presupuesto del Ministerio de Defensa, para atender al pago de obligaciones correspondientes a programas especiales de armamento y a la realización de otras actuaciones del Departamento.</w:t>
      </w:r>
    </w:p>
    <w:p w:rsidR="00A90898" w:rsidRDefault="00A90898" w:rsidP="00A90898">
      <w:pPr>
        <w:pStyle w:val="TextoNormal"/>
      </w:pPr>
    </w:p>
    <w:p w:rsidR="00A90898" w:rsidRDefault="00A90898" w:rsidP="00A90898">
      <w:pPr>
        <w:pStyle w:val="TextoNormal"/>
      </w:pPr>
      <w:r>
        <w:t xml:space="preserve">El precepto impugnado autoriza un crédito extraordinario al presupuesto en vigor de la sección 14 (“Ministerio de Defensa”), servicio 03 (“Secretaría de Estado de la Defensa”), programa 122B (“Programas especiales de modernización”), capítulo 6 (“Inversiones Reales”), artículo 65 (“Inversiones militares en infraestructuras y otros bienes”), concepto </w:t>
      </w:r>
      <w:r>
        <w:lastRenderedPageBreak/>
        <w:t>659 (“Para atender al pago de obligaciones correspondientes a programas especiales de armamento”), por un importe de 846.440.673,35 €. De la exposición de motivos del Real Decreto-ley controvertido, así como del posterior debate de convalidación en el Congreso de los Diputados de 28 de mayo de 2015, resultarían las siguientes razones, aducidas como justificación de la extraordinaria y urgente necesidad que exige el art. 86.1 CE: la imposibilidad de concretar las cuantías de aquellas obligaciones en el momento de la elaboración de la ley de presupuestos, la consecuente insuficiente dotación presupuestaria, que obligaría a proporcionar financiación adicional para cubrir compromisos contractuales ajustados, y la evitación de los perjuicios a terceros que resultarían de la demora en el pago de esas deudas.</w:t>
      </w:r>
    </w:p>
    <w:p w:rsidR="00A90898" w:rsidRDefault="00A90898" w:rsidP="00A90898">
      <w:pPr>
        <w:pStyle w:val="TextoNormal"/>
      </w:pPr>
    </w:p>
    <w:p w:rsidR="00A90898" w:rsidRDefault="00A90898" w:rsidP="00A90898">
      <w:pPr>
        <w:pStyle w:val="TextoNormal"/>
      </w:pPr>
      <w:r>
        <w:t>El presente recurso —en línea con el núm. 6524/2014 interpuesto también en su día por Diputados del Congreso contra el Real Decreto-ley 10/2014, de 1 de agosto— considera que no concurren los presupuestos que habilitarían para acudir a la legislación gubernamental de urgencia (art. 86.1 CE). La divergencia entre el alcance de la dotación presupuestaria inicial y el importe de las deudas contraídas tampoco en este caso podría funcionar como razón de urgente y extraordinaria necesidad; en realidad, tales obligaciones eran perfectamente conocidas y tal desfase fue deliberadamente perseguido por el propio Gobierno. El Real Decreto-ley controvertido, al igual que el núm. 10/2014, formaría parte de un “plan de decretos-leyes” que se apoya en la legislación de urgencia como instrumento ordinario o normal de pago. Tal plan consistiría en infra-presupuestar la partida correspondiente a los programas especiales de armamento en el proyecto de ley de presupuestos generales del Estado del año de que se trate para autorizar después un crédito extraordinario mediante decreto-ley. De modo que la previsión impugnada respondería a una situación conscientemente buscada por el propio Gobierno y, en consecuencia, a una situación que no podría calificarse de extraordinaria y urgente. Sería más bien un ejemplo más de la clara subversión producida en el sistema constitucional de aprobación de las cuentas públicas. Año tras año el Gobierno escamotearía a las Cortes Generales la autorización de elevadísimos gastos que sabe que van a existir. La constatación de la divergencia entre las cantidades presupuestadas y las deudas contraídas, así como los perjuicios vinculados al pago intempestivo, podrían llegar a justificar la aprobación de un crédito extraordinario, pero en modo alguno la sustitución de las Cortes Generales en esa tarea mediante el recurso a la legislación de urgencia.</w:t>
      </w:r>
    </w:p>
    <w:p w:rsidR="00A90898" w:rsidRDefault="00A90898" w:rsidP="00A90898">
      <w:pPr>
        <w:pStyle w:val="TextoNormal"/>
      </w:pPr>
    </w:p>
    <w:p w:rsidR="00A90898" w:rsidRDefault="00A90898" w:rsidP="00A90898">
      <w:pPr>
        <w:pStyle w:val="TextoNormal"/>
      </w:pPr>
      <w:r>
        <w:t>Por su parte, el Abogado del Estado admite que en el momento de la elaboración del proyecto de ley de presupuestos para 2015 ya se habían contraído las obligaciones de pago para la adquisición de armamento a las que se refiere el Decreto-ley impugnado. Reconoce también que esto es la manifestación última de una práctica reiterada, que supone el empleo de esta modalidad normativa cómo fórmula de habilitación de créditos extraordinarios para la adquisición de equipamiento militar. Sin embargo, considera que el Gobierno habría justificado cumplidamente la necesidad extraordinaria y urgente de acudir al decreto-ley. La evolución de la economía, en general, y del gasto público, en particular, así como las peculiaridades de los programas especiales de defensa, impedirían prever el alcance exacto de las obligaciones contraídas en el momento de la elaboración de la ley de presupuestos. Sentada esta idea, el Abogado del Estado señala que la extraordinaria y urgente necesidad de habilitar el crédito resultaría de la obligación de afrontar los compromisos contraídos y de evitar perjuicios asociados al cumplimiento tardío, tal como resulta de la exposición de motivos y del debate de convalidación del Real Decreto-ley impugnado.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La STC 126/2016, de 7 de julio, ha resuelto el recurso de inconstitucionalidad núm. 6524-2014 interpuesto contra el art. 2.1 del citado Real Decreto-ley 10/2014. Esta disposición fue recurrida por la misma razón —y planteaba el mismo problema constitucional— que el art. 1.1 del Real Decreto-ley aquí controvertido, tal como destacan los Diputados recurrentes y el propio Abogado del Estado.</w:t>
      </w:r>
    </w:p>
    <w:p w:rsidR="00A90898" w:rsidRDefault="00A90898" w:rsidP="00A90898">
      <w:pPr>
        <w:pStyle w:val="TextoNormal"/>
      </w:pPr>
    </w:p>
    <w:p w:rsidR="00A90898" w:rsidRDefault="00A90898" w:rsidP="00A90898">
      <w:pPr>
        <w:pStyle w:val="TextoNormal"/>
      </w:pPr>
      <w:r>
        <w:t>La STC 126/2016 constató el desarrollo de “una práctica legislativa” relativa a la financiación de los programas especiales de armamento que “debe calificarse, al menos, como singular”. El Gobierno habría optado por desarrollar un sistema de financiación peculiar, esencialmente caracterizado por la flexibilidad en cuanto al calendario de pagos e, incluso, en cuanto al montante global de cada anualidad. Tal flexibilidad impediría conocer “la cuantía final líquida que debe imputarse a cada ejercicio presupuestario hasta que éste se ejecuta”. Diseñado así el sistema, la práctica “singular” consiste en que el proyecto anual de ley de presupuestos recoge únicamente los gastos ordinarios de funcionamiento y administración (cifrados invariablemente en 6.842.500 € desde 2011), para incrementar exponencialmente el importe presupuestado después a través de créditos extraordinarios habilitados por decreto-ley. La autorización de créditos extraordinarios por esa vía para el pago de este tipo de programas sería de este modo “una práctica habitual”, “más que la respuesta a una situación de extraordinaria y urgente necesidad por imprevisible” (STC 126/2016, FJ 4).</w:t>
      </w:r>
    </w:p>
    <w:p w:rsidR="00A90898" w:rsidRDefault="00A90898" w:rsidP="00A90898">
      <w:pPr>
        <w:pStyle w:val="TextoNormal"/>
      </w:pPr>
    </w:p>
    <w:p w:rsidR="00A90898" w:rsidRDefault="00A90898" w:rsidP="00A90898">
      <w:pPr>
        <w:pStyle w:val="TextoNormal"/>
      </w:pPr>
      <w:r>
        <w:t>La constatación de esta práctica se produce a la vista de una secuencia ininterrumpida de decretos-leyes de autorización de créditos extraordinarios para el pago de los programas especiales de Defensa (los núms. 26/2012, de 7 de septiembre, y 10/2013, de 26 de julio, además del entonces controvertido 10/2014); así como de las declaraciones efectuadas por el Secretario de Estado en relación con la Ley de presupuestos para 2015. Este Tribunal destacó que estas declaraciones, efectuadas en la Comisión de Defensa del Congreso, sesión del 6 de octubre de 2014, anunciaban que “el Gobierno volverá a atender sus compromisos de pago mediante el uso del decreto-ley para autorizar un crédito extraordinario, pagos derivados de los programas especiales de armamento” (STC 126/2016, FJ 4). El vaticinio se ha cumplido efectivamente, a través del Real Decreto-ley 7/2015, que es el recurrido en el presente proceso constitucional.</w:t>
      </w:r>
    </w:p>
    <w:p w:rsidR="00A90898" w:rsidRDefault="00A90898" w:rsidP="00A90898">
      <w:pPr>
        <w:pStyle w:val="TextoNormal"/>
      </w:pPr>
    </w:p>
    <w:p w:rsidR="00A90898" w:rsidRDefault="00A90898" w:rsidP="00A90898">
      <w:pPr>
        <w:pStyle w:val="TextoNormal"/>
      </w:pPr>
      <w:r>
        <w:t>Tras apreciar esta singular práctica, la STC 126/2016, FJ 6, pasó a examinar “la única argumentación utilizada, tanto en la exposición de motivos de la norma impugnada, como en las afirmaciones efectuadas en sede parlamentaria”, para justificar la necesidad urgente y extraordinaria de emplear legislación gubernamental de urgencia (art. 86.1 CE). Tal argumentación remitía al “desconocimiento —en el momento de elaboración de los presupuestos generales del Estado— del importe exacto a abonar en este tipo de programas, junto con la necesidad de hacer frente al pago a los proveedores y las nefastas consecuencias que un retraso en dicho abono supondría para España”.</w:t>
      </w:r>
    </w:p>
    <w:p w:rsidR="00A90898" w:rsidRDefault="00A90898" w:rsidP="00A90898">
      <w:pPr>
        <w:pStyle w:val="TextoNormal"/>
      </w:pPr>
    </w:p>
    <w:p w:rsidR="00A90898" w:rsidRDefault="00A90898" w:rsidP="00A90898">
      <w:pPr>
        <w:pStyle w:val="TextoNormal"/>
      </w:pPr>
      <w:r>
        <w:t>La STC 126/2016, FJ 6, declaró a este respecto que la “especial financiación de los programas de defensa aquí analizados puede justificar la utilización del crédito extraordinario al margen de la programación presupuestaria normal”, pero “ese carácter extraordinario bien podría vehicularse a través de la ley y no indefectiblemente mediante el real decreto-ley cuyo uso legítimo se halla restringido por la Constitución”.</w:t>
      </w:r>
    </w:p>
    <w:p w:rsidR="00A90898" w:rsidRDefault="00A90898" w:rsidP="00A90898">
      <w:pPr>
        <w:pStyle w:val="TextoNormal"/>
      </w:pPr>
    </w:p>
    <w:p w:rsidR="00A90898" w:rsidRDefault="00A90898" w:rsidP="00A90898">
      <w:pPr>
        <w:pStyle w:val="TextoNormal"/>
      </w:pPr>
      <w:r>
        <w:lastRenderedPageBreak/>
        <w:t>Las razones aducidas “no pueden justificar la utilización de una figura excepcional como el Decreto-ley; el pago de las obligaciones contractuales adquiridas por el Estado no puede ser, en sí mismo, un argumento válido para justificar la situación de ‘extraordinaria y urgente necesidad’ requerida en el art. 86 CE si no va acompañado de una justificación adicional que explicite las razones en virtud de las cuales el pago de una obligación adquiere tal gravedad”. El Tribunal señaló en este sentido que en el caso se trataba de “la adquisición de material militar”, sin que el Gobierno hubiera razonado “la urgencia del pago de tales adquisiciones”. Simplemente aludió “a la importancia de que se pague a los proveedores para evitar el descrédito internacional del país y los posibles perjuicios que del retraso en el pago pudieran derivarse”. Se añade a este respecto la consideración de que tales consecuencias negativas podrían aparecer “en cualquier retraso de pago de cualquier obligación contractual del Estado, sin que en el presente caso se haya justificado la especial trascendencia de tales perjuicios” (STC 126/2016, FJ 6).</w:t>
      </w:r>
    </w:p>
    <w:p w:rsidR="00A90898" w:rsidRDefault="00A90898" w:rsidP="00A90898">
      <w:pPr>
        <w:pStyle w:val="TextoNormal"/>
      </w:pPr>
    </w:p>
    <w:p w:rsidR="00A90898" w:rsidRDefault="00A90898" w:rsidP="00A90898">
      <w:pPr>
        <w:pStyle w:val="TextoNormal"/>
      </w:pPr>
      <w:r w:rsidRPr="00A90898">
        <w:rPr>
          <w:rStyle w:val="NumeroAFNegritaCaracter"/>
        </w:rPr>
        <w:t>3</w:t>
      </w:r>
      <w:r>
        <w:t>. El Real Decreto-ley 7/2015 es una manifestación más de aquella práctica, cuando menos singular, en consonancia con lo alegado por los Diputados recurrentes y el propio Abogado del Estado, que ha admitido que el Gobierno está empleando el decreto-ley como modo normal de habilitación de créditos para la adquisición de equipamiento militar.</w:t>
      </w:r>
    </w:p>
    <w:p w:rsidR="00A90898" w:rsidRDefault="00A90898" w:rsidP="00A90898">
      <w:pPr>
        <w:pStyle w:val="TextoNormal"/>
      </w:pPr>
    </w:p>
    <w:p w:rsidR="00A90898" w:rsidRDefault="00A90898" w:rsidP="00A90898">
      <w:pPr>
        <w:pStyle w:val="TextoNormal"/>
      </w:pPr>
      <w:r>
        <w:t>Las razones aducidas por el Gobierno para adoptar el Real Decreto-ley 7/2015 son exactamente las mismas que las explicitadas en su momento para justificar el Real Decreto-ley 10/2014: la imposibilidad de concretar las cuantías de los compromisos de pago del programa especial de armamento en el momento de la elaboración de la ley de presupuestos, la consecuente insuficiente dotación presupuestaria, que obligaría a proporcionar financiación adicional para cubrir compromisos contractuales ajustados, y la evitación de los perjuicios que resultarían de la demora en el pago de esas deudas. Así resulta inequívocamente de la exposición de motivos del Real Decreto-ley controvertido, tal como coinciden igualmente en destacar los Diputados recurrentes y el Abogado del Estado. La indicada exposición de motivos señala: “La insuficiente dotación presupuestaria obliga a proporcionar financiación adicional para cubrir los compromisos financieros que se derivan de los compromisos contractuales ajustados. Dado que la Administración está obligada a atender el pago de obligaciones contractuales; y, junto a ello, la necesidad de no demorar su abono para no causar perjuicios a terceros, constituyen las razones de extraordinaria y urgente necesidad que justifican la concesión del crédito extraordinario mediante real decreto-ley”.</w:t>
      </w:r>
    </w:p>
    <w:p w:rsidR="00A90898" w:rsidRDefault="00A90898" w:rsidP="00A90898">
      <w:pPr>
        <w:pStyle w:val="TextoNormal"/>
      </w:pPr>
    </w:p>
    <w:p w:rsidR="00A90898" w:rsidRDefault="00A90898" w:rsidP="00A90898">
      <w:pPr>
        <w:pStyle w:val="TextoNormal"/>
      </w:pPr>
      <w:r>
        <w:t>A la vista de que la previsión impugnada, al igual que el art. 2.1 del Real Decreto-ley 10/2014, es manifestación de aquella singular práctica y de que ha seguido justificándose en los mismos motivos, debemos trasladar aquí cuanto hemos razonado en la STC 126/2016 y, en consecuencia, declarar que el art. 1.1 del Real Decreto-ley 7/2015 incurre en inconstitucionalidad y nulidad, reiterando que “el recurso sistemático al decreto-ley como forma jurídica de vehicular créditos extraordinarios para financiar los programas especiales de armamento no se ajusta a las previsiones constitucionales contenidas en el art. 86.1 CE” (FJ 6).</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Resta determinar los efectos de esta declaración a fin de atender adecuadamente a otros valores, singularmente la protección de los terceros de buena fe que mantienen relaciones económicas con la Administración, que se vería gravemente comprometida si desapareciese la autorización del crédito extraordinario incluida en el Real Decreto-ley 7/2015. </w:t>
      </w:r>
      <w:r>
        <w:lastRenderedPageBreak/>
        <w:t>A tal fin, tras ponderar el principio de seguridad jurídica (art. 9.3 CE) y en línea con la STC 126/2016, FJ 7, declaramos no susceptibles de ser revisadas como consecuencia de la nulidad, además de las situaciones decididas mediante Sentencia con fuerza de cosa juzgada (art. 40.1 de la Ley Orgánica del Tribunal Constitucional), las establecidas mediante actuaciones administrativas firmes.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inconstitucionalidad y, en consecuencia, declarar inconstitucional y nulo el art. 1.1 del Real Decreto-ley 7/2015, de 14 de mayo, por el que se conceden créditos extraordinarios y un suplemento de crédito por importe de 856.440.673,35 euros en el presupuesto del Ministerio de Defensa, para atender al pago de obligaciones correspondientes a programas especiales de armamento y a la realización de otras actuaciones del Departamento, con los efectos jurídicos señalados en el fundamento jurídico cuarto.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seis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49" w:name="SENTENCIA_2016_170"/>
      <w:r>
        <w:lastRenderedPageBreak/>
        <w:t>SENTENCIA 170/2016, de 6 de octubre de 2016</w:t>
      </w:r>
    </w:p>
    <w:bookmarkEnd w:id="49"/>
    <w:p w:rsidR="00A90898" w:rsidRDefault="00A90898" w:rsidP="00A90898">
      <w:pPr>
        <w:pStyle w:val="TtuloResolucin"/>
      </w:pPr>
      <w:r>
        <w:t>Pleno</w:t>
      </w:r>
    </w:p>
    <w:p w:rsidR="00A90898" w:rsidRDefault="00A90898" w:rsidP="00A90898">
      <w:pPr>
        <w:pStyle w:val="TtuloBOE"/>
      </w:pPr>
      <w:r>
        <w:t>(BOE núm. 276, de 15 de noviembre de 2016)</w:t>
      </w:r>
    </w:p>
    <w:p w:rsidR="00A90898" w:rsidRDefault="00A90898" w:rsidP="00A90898">
      <w:pPr>
        <w:pStyle w:val="TextoNormalCentrado"/>
      </w:pPr>
      <w:r>
        <w:t>ECLI:ES:TC:2016:170</w:t>
      </w:r>
    </w:p>
    <w:p w:rsidR="00A90898" w:rsidRDefault="00A90898" w:rsidP="00A90898">
      <w:pPr>
        <w:pStyle w:val="TextoNormalCentrado"/>
      </w:pPr>
    </w:p>
    <w:p w:rsidR="00A90898" w:rsidRDefault="00A90898" w:rsidP="00A90898">
      <w:pPr>
        <w:pStyle w:val="SntesisDescriptiva"/>
      </w:pPr>
      <w:r>
        <w:t>Recurso de inconstitucionalidad 1624-2016. Interpuesto por más de cincuenta diputados del Grupo Parlamentario Podemos-En Comú Podem-En Marea en el Congreso de los Diputados respecto de la disposición adicional de la Ley 4/2015, de 18 de diciembre, de modificación de la Ley 9/2001, de 17 de julio, del suelo de la Comunidad de Madrid.</w:t>
      </w:r>
    </w:p>
    <w:p w:rsidR="00A90898" w:rsidRDefault="00A90898" w:rsidP="00A90898">
      <w:pPr>
        <w:pStyle w:val="SntesisDescriptiva"/>
      </w:pPr>
    </w:p>
    <w:p w:rsidR="00A90898" w:rsidRDefault="00A90898" w:rsidP="00A90898">
      <w:pPr>
        <w:pStyle w:val="SntesisAnaltica"/>
      </w:pPr>
      <w:r>
        <w:t>Principios de interdicción de la arbitrariedad y exclusividad jurisdiccional, derecho a la tutela judicial efectiva: constitucionalidad del precepto legal autonómico que establece un límite de tres alturas a los edificios de nueva construcción.</w:t>
      </w:r>
    </w:p>
    <w:p w:rsidR="00A90898" w:rsidRDefault="00A90898" w:rsidP="00A90898">
      <w:pPr>
        <w:pStyle w:val="SntesisAnaltica"/>
      </w:pPr>
    </w:p>
    <w:p w:rsidR="00A90898" w:rsidRDefault="00A90898" w:rsidP="00A90898">
      <w:pPr>
        <w:pStyle w:val="Extracto"/>
      </w:pPr>
      <w:r>
        <w:t>1.</w:t>
      </w:r>
      <w:r>
        <w:tab/>
        <w:t>La norma impugnada constituye, atendiendo a su contenido, una nueva norma transitoria que podemos calificar de “impropia”, por cuanto su objetivo real no es tanto solucionar la colisión temporal de las leyes como facilitar la aplicación de la ley nueva; esto es, la implantación del nuevo modelo urbanístico que inspira a la Ley 4/2015 y su derogación de la limitación de alturas [FJ 3].</w:t>
      </w:r>
    </w:p>
    <w:p w:rsidR="00A90898" w:rsidRDefault="00A90898" w:rsidP="00A90898">
      <w:pPr>
        <w:pStyle w:val="Extracto"/>
      </w:pPr>
    </w:p>
    <w:p w:rsidR="00A90898" w:rsidRDefault="00A90898" w:rsidP="00A90898">
      <w:pPr>
        <w:pStyle w:val="Extracto"/>
      </w:pPr>
      <w:r>
        <w:t>2.</w:t>
      </w:r>
      <w:r>
        <w:tab/>
        <w:t>Se destaca el carácter excesivamente genérico de muchas de las argumentaciones esgrimidas por los recurrentes para fundamentar su demanda, pues el alegato se limita a menudo a una reproducción literal o cita de diferentes sentencias emanadas de este Tribunal sin que se aprecie la necesaria concreción y conexión con el objeto de la presente controversia constitucional [FJ 4].</w:t>
      </w:r>
    </w:p>
    <w:p w:rsidR="00A90898" w:rsidRDefault="00A90898" w:rsidP="00A90898">
      <w:pPr>
        <w:pStyle w:val="Extracto"/>
      </w:pPr>
    </w:p>
    <w:p w:rsidR="00A90898" w:rsidRDefault="00A90898" w:rsidP="00A90898">
      <w:pPr>
        <w:pStyle w:val="Extracto"/>
      </w:pPr>
      <w:r>
        <w:t>3.</w:t>
      </w:r>
      <w:r>
        <w:tab/>
        <w:t>Doctrina constitucional sobre las leyes singulares (STC 203/2013) [FJ 4].</w:t>
      </w:r>
    </w:p>
    <w:p w:rsidR="00A90898" w:rsidRDefault="00A90898" w:rsidP="00A90898">
      <w:pPr>
        <w:pStyle w:val="Extracto"/>
      </w:pPr>
    </w:p>
    <w:p w:rsidR="00A90898" w:rsidRDefault="00A90898" w:rsidP="00A90898">
      <w:pPr>
        <w:pStyle w:val="Extracto"/>
      </w:pPr>
      <w:r>
        <w:t>4.</w:t>
      </w:r>
      <w:r>
        <w:tab/>
        <w:t>La disposición controvertida pretende regular las situaciones jurídicas iniciadas y no consumadas, por cuanto se aplica a actuaciones que requerirán en su momento de nuevos actos administrativos (aprobación de nuevos instrumentos urbanísticos o de sus modificaciones o revisiones) y ello con el objeto de hacer posible el desarrollo del nuevo modelo urbanístico adoptado, por lo que no se puede considerar que estemos ante un supuesto de ley autoaplicativa [FJ 5].</w:t>
      </w:r>
    </w:p>
    <w:p w:rsidR="00A90898" w:rsidRDefault="00A90898" w:rsidP="00A90898">
      <w:pPr>
        <w:pStyle w:val="Extracto"/>
      </w:pPr>
    </w:p>
    <w:p w:rsidR="00A90898" w:rsidRDefault="00A90898" w:rsidP="00A90898">
      <w:pPr>
        <w:pStyle w:val="Extracto"/>
      </w:pPr>
      <w:r>
        <w:t>5.</w:t>
      </w:r>
      <w:r>
        <w:tab/>
        <w:t>No se puede calificar a la disposición adicional de la Ley 4/2015 como una ley de destinatario único o de estructura singular en atención a los destinatarios a los que va dirigida, pues tiene por objeto regular situaciones jurídicas iniciadas con anterioridad, es decir, se dirige a todo el planeamiento urbanístico, general o de desarrollo, aprobado o que se pueda aprobar, así como a sus eventuales modificaciones o revisiones [FJ 5].</w:t>
      </w:r>
    </w:p>
    <w:p w:rsidR="00A90898" w:rsidRDefault="00A90898" w:rsidP="00A90898">
      <w:pPr>
        <w:pStyle w:val="Extracto"/>
      </w:pPr>
    </w:p>
    <w:p w:rsidR="00A90898" w:rsidRDefault="00A90898" w:rsidP="00A90898">
      <w:pPr>
        <w:pStyle w:val="Extracto"/>
      </w:pPr>
      <w:r>
        <w:t>6.</w:t>
      </w:r>
      <w:r>
        <w:tab/>
        <w:t xml:space="preserve">Para descartar que se trate de una regulación </w:t>
      </w:r>
      <w:r w:rsidRPr="00A90898">
        <w:rPr>
          <w:i/>
        </w:rPr>
        <w:t>ad casum</w:t>
      </w:r>
      <w:r>
        <w:t>, es suficiente observar que el objeto de la disposición adicional no es regular el planeamiento urbanístico general o los planes de desarrollo de uno o varios Ayuntamientos concretos, ni atender a resolver los problemas suscitados en relación con operaciones urbanísticas especialmente trascendentes [FJ 5].</w:t>
      </w:r>
    </w:p>
    <w:p w:rsidR="00A90898" w:rsidRDefault="00A90898" w:rsidP="00A90898">
      <w:pPr>
        <w:pStyle w:val="Extracto"/>
      </w:pPr>
    </w:p>
    <w:p w:rsidR="00A90898" w:rsidRDefault="00A90898" w:rsidP="00A90898">
      <w:pPr>
        <w:pStyle w:val="Extracto"/>
      </w:pPr>
      <w:r>
        <w:lastRenderedPageBreak/>
        <w:t>7.</w:t>
      </w:r>
      <w:r>
        <w:tab/>
        <w:t>La disposición adicional controvertida no tiene como finalidad interpretar el ordenamiento jurídico ni imponer ninguna interpretación, sino que hace lo que le es propio, esto es, innovar el ordenamiento jurídico: por una parte, derogando una norma anterior, y, por otra parte, estableciendo una nueva regulación transitoria [FJ 6].</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1624-2016, promovido por más de 50 diputados del Grupo Parlamentario Podemos-En Comú Podem-En Marea en el Congreso de los Diputados contra la disposición adicional de la Ley 4/2015, de 18 de diciembre, de modificación de la Ley 9/2001, de 17 de julio, del suelo de la Comunidad de Madrid. Han formulado alegaciones los Letrados de la Comunidad y de la Asamblea de Madrid, y se han personado el Congreso de los Diputados y el Senado, así como el Abogado del Estado.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día 28 de marzo de 2016 tuvo entrada en el Registro General de este Tribunal escrito del Procurador de los Tribunales, don Carlos Plasencia Baltés, por el que, en nombre y representación de más de cincuenta Diputados del Grupo Parlamentario Podemos-En Comú Podem-En Marea, interpone recurso de inconstitucionalidad contra la disposición adicional de la Ley 4/2015, de 18 de diciembre, de modificación de la Ley 9/2001, de 17 de julio, del suelo de la Comunidad de Madrid.</w:t>
      </w:r>
    </w:p>
    <w:p w:rsidR="00A90898" w:rsidRDefault="00A90898" w:rsidP="00A90898">
      <w:pPr>
        <w:pStyle w:val="TextoNormal"/>
      </w:pPr>
    </w:p>
    <w:p w:rsidR="00A90898" w:rsidRDefault="00A90898" w:rsidP="00A90898">
      <w:pPr>
        <w:pStyle w:val="TextoNormal"/>
      </w:pPr>
      <w:r>
        <w:t xml:space="preserve">La demanda comienza con el contexto normativo y judicial en el que se inserta la disposición adicional de la Ley 4/2015, de 18 de diciembre, objeto del presente recurso. Por una parte, los recurrentes exponen el contenido de las Leyes 3/2007, de 26 de julio, de medidas urgentes de modernización del Gobierno y Administración y 3/2013, de 18 de junio, de patrimonio histórico, como antecedentes de la norma cuestionada. Por otra parte, citan las resoluciones judiciales recaídas durante la vigencia de la norma ahora derogada, al considerar que son causa de la disposición cuya constitucionalidad se cuestiona en este proceso: la </w:t>
      </w:r>
      <w:r>
        <w:lastRenderedPageBreak/>
        <w:t xml:space="preserve">Sentencia del Tribunal Superior de Justicia de Madrid, Sala de lo Contencioso-Administrativo, Sección Primera, núm. 399/2015, de 13 de abril (procedimiento ordinario 705-2010), que anula la modificación puntual del plan general de ordenación urbana de Madrid </w:t>
      </w:r>
      <w:r>
        <w:t>APR 02.21 “Mahou-Vicente Calderón”</w:t>
      </w:r>
      <w:r>
        <w:t xml:space="preserve">; y la Sentencia núm. 972/2013, de 21 de junio (procedimiento ordinario 1277-2011), de la misma Sala, que estimó parcialmente el recurso interpuesto contra el plan parcial de reforma interior </w:t>
      </w:r>
      <w:r>
        <w:t>APR 08.03, “Prolongación de la Castellana”</w:t>
      </w:r>
      <w:r>
        <w:t>, recurrida en casación y siendo estimado el recurso por Sentencia del Tribunal Supremo, Sala de lo Contencioso-Administrativo, Sección Quinta, de 1 de abril de 2015, en la que se ordena retrotraer lo actuado “al momento inmediatamente anterior al de dictar sentencia por el Tribunal de instancia, a fin de que, por tratarse de una cuestión regulada por el Derecho autonómico de la Comunidad de Madrid, sean resueltas todas las cuestiones controvertidas por la Sala de lo Contencioso-Administrativo del Tribunal Superior de Justicia de la Comunidad de Madrid”.</w:t>
      </w:r>
    </w:p>
    <w:p w:rsidR="00A90898" w:rsidRDefault="00A90898" w:rsidP="00A90898">
      <w:pPr>
        <w:pStyle w:val="TextoNormal"/>
      </w:pPr>
    </w:p>
    <w:p w:rsidR="00A90898" w:rsidRDefault="00A90898" w:rsidP="00A90898">
      <w:pPr>
        <w:pStyle w:val="TextoNormal"/>
      </w:pPr>
      <w:r>
        <w:t>Constatado el cumplimiento de los requisitos procesales para el planteamiento del recurso, los recurrentes fundamentan la impugnación en los tres motivos que, de forma sucinta, se exponen a continuación:</w:t>
      </w:r>
    </w:p>
    <w:p w:rsidR="00A90898" w:rsidRDefault="00A90898" w:rsidP="00A90898">
      <w:pPr>
        <w:pStyle w:val="TextoNormal"/>
      </w:pPr>
    </w:p>
    <w:p w:rsidR="00A90898" w:rsidRDefault="00A90898" w:rsidP="00A90898">
      <w:pPr>
        <w:pStyle w:val="TextoNormal"/>
      </w:pPr>
      <w:r>
        <w:t xml:space="preserve">a) Alegan, como primer motivo de inconstitucionalidad, la vulneración del art. 9.3 CE dado que el objeto de impugnación es una norma legal autoaplicativa que no aparece motivada de forma suficiente, tampoco está justificada y además incluye una solución desproporcionada; estamos, en palabras de los recurrentes, ante una norma legal dictada </w:t>
      </w:r>
      <w:r w:rsidRPr="00A90898">
        <w:rPr>
          <w:i/>
        </w:rPr>
        <w:t>ad casum</w:t>
      </w:r>
      <w:r>
        <w:t>, con la única intención de regular una situación específica existente y claramente determinada.</w:t>
      </w:r>
    </w:p>
    <w:p w:rsidR="00A90898" w:rsidRDefault="00A90898" w:rsidP="00A90898">
      <w:pPr>
        <w:pStyle w:val="TextoNormal"/>
      </w:pPr>
    </w:p>
    <w:p w:rsidR="00A90898" w:rsidRDefault="00A90898" w:rsidP="00A90898">
      <w:pPr>
        <w:pStyle w:val="TextoNormal"/>
      </w:pPr>
      <w:r>
        <w:t xml:space="preserve">Acogiendo la doctrina elaborada por este Tribunal </w:t>
      </w:r>
      <w:r>
        <w:t>entre otras, se citan las SSTC 48/2005, de 3 de marzo; 129/2013, de 4 de junio; 203/2013, de 5 de diciembre, y 50/2015, de 5 de marzo</w:t>
      </w:r>
      <w:r>
        <w:t>, afirman que la disposición adicional de la Ley 4/2015 presenta al mismo tiempo los dos siguientes caracteres: la de ley autoaplicativa, al proyectar sus efectos sobre actuaciones administrativas realizadas en el pasado y no requerir de actos administrativos de aplicación, pues la convalidación legislativa realizada es autosuficiente y, en segundo lugar, la de ley de supuesto de hecho concreto, ya que con la convalidación, el legislador pretende remediar las posibles consecuencias jurídicas invalidantes derivadas de una Sentencia declaratoria de la nulidad de una disposición de carácter general. No obstante, los recurrentes dudan de que en este caso estemos ante una convalidación legislativa en sentido estricto.</w:t>
      </w:r>
    </w:p>
    <w:p w:rsidR="00A90898" w:rsidRDefault="00A90898" w:rsidP="00A90898">
      <w:pPr>
        <w:pStyle w:val="TextoNormal"/>
      </w:pPr>
    </w:p>
    <w:p w:rsidR="00A90898" w:rsidRDefault="00A90898" w:rsidP="00A90898">
      <w:pPr>
        <w:pStyle w:val="TextoNormal"/>
      </w:pPr>
      <w:r>
        <w:t xml:space="preserve">Este doble carácter de la norma impugnada exige aplicar de forma sucesiva, a juicio de los recurrentes, el canon de constitucionalidad que según la doctrina de este Tribunal rige: por un lado, para una ley de supuesto de hecho concreto, el canon aplicable será el de “la razonabilidad, proporcionalidad y adecuación” (STC 129/2013, FJ 4), de modo que se habrá de comprobar “si el supuesto de hecho que contempla la norma cuestionada tiene una justificación objetiva y, de ser así, si la utilización de la ley es proporcionada a la excepcionalidad que se trata de atender y que ha justificado su aprobación” (SSTC 203/2013, FJ 4, y 50/2015, FJ 5). Y, por otro lado, para una ley autoaplicativa, dado que “no constituye[n] un ejercicio normal de la potestad legislativa”, está sujetas a determinados límites, entre los que se destacan el principio de igualdad, la excepcionalidad del caso y la prohibición de condicionamiento del ejercicio de los derechos fundamentales, en materia reservada a leyes </w:t>
      </w:r>
      <w:r>
        <w:lastRenderedPageBreak/>
        <w:t>generales (STC 129/2013, FJ 4). A lo anterior, siguiendo la doctrina de este Tribunal, ha de añadirse que todas las leyes autoaplicativas, sean o no expropiatorias, deben confrontarse con la garantía de la tutela judicial establecida en el art. 24.1 CE.</w:t>
      </w:r>
    </w:p>
    <w:p w:rsidR="00A90898" w:rsidRDefault="00A90898" w:rsidP="00A90898">
      <w:pPr>
        <w:pStyle w:val="TextoNormal"/>
      </w:pPr>
    </w:p>
    <w:p w:rsidR="00A90898" w:rsidRDefault="00A90898" w:rsidP="00A90898">
      <w:pPr>
        <w:pStyle w:val="TextoNormal"/>
      </w:pPr>
      <w:r>
        <w:t>Tras afirmar la naturaleza singular de la norma cuestionada y realizar un examen de la aplicabilidad del canon de constitucionalidad al caso, los recurrentes concluyen que la disposición adicional de la Ley 4/2015 carece, en primer lugar, de toda motivación formal y sustantiva que justifique la adopción por el legislador de una medida de tanta intensidad como el dejar sin efecto decisiones judiciales que aplicaron la legislación vigente. Y, en segundo lugar, que no resulta una medida proporcionada, sino una clara manifestación del uso arbitrario de la potestad legislativa para contrariar y contravenir el normal ejercicio de las potestades judiciales por parte de los Tribunales de Justicia, toda vez que la suspensión de la eficacia y la anulación de un instrumento de planeamiento urbanístico general o de desarrollo entra dentro de las más elementales potestades del poder judicial.</w:t>
      </w:r>
    </w:p>
    <w:p w:rsidR="00A90898" w:rsidRDefault="00A90898" w:rsidP="00A90898">
      <w:pPr>
        <w:pStyle w:val="TextoNormal"/>
      </w:pPr>
    </w:p>
    <w:p w:rsidR="00A90898" w:rsidRDefault="00A90898" w:rsidP="00A90898">
      <w:pPr>
        <w:pStyle w:val="TextoNormal"/>
      </w:pPr>
      <w:r>
        <w:t>b) La segunda tacha de inconstitucionalidad atribuida por los recurrentes a la norma objeto de este recurso es la vulneración del art. 117.3 CE en relación con el art. 9.3 CE, al tratarse de una norma meramente interpretativa destinada a imponer al poder judicial una única interpretación sobre una ley anterior.</w:t>
      </w:r>
    </w:p>
    <w:p w:rsidR="00A90898" w:rsidRDefault="00A90898" w:rsidP="00A90898">
      <w:pPr>
        <w:pStyle w:val="TextoNormal"/>
      </w:pPr>
    </w:p>
    <w:p w:rsidR="00A90898" w:rsidRDefault="00A90898" w:rsidP="00A90898">
      <w:pPr>
        <w:pStyle w:val="TextoNormal"/>
      </w:pPr>
      <w:r>
        <w:t>Haciéndose eco de la doctrina de este Tribunal sobre la separación de poderes y la independencia judicial (se citan las SSTC 37/2012, de 19 de marzo, FJ 6, y 48/2001, de 26 de febrero, FJ 4), los recurrentes manifiestan que los jueces y tribunales no pueden legítimamente inaplicar por sí mismos ninguna disposición legal en vigor, ni pueden crear derecho en el vacío, sin sustento en una norma legal interpretada conforme a las normas hermenéuticas en vigor; y, de otra parte, el poder legislativo no puede influir en la toma de decisiones por parte de los órganos del poder judicial ni alterar el contenido de sus resoluciones.</w:t>
      </w:r>
    </w:p>
    <w:p w:rsidR="00A90898" w:rsidRDefault="00A90898" w:rsidP="00A90898">
      <w:pPr>
        <w:pStyle w:val="TextoNormal"/>
      </w:pPr>
    </w:p>
    <w:p w:rsidR="00A90898" w:rsidRDefault="00A90898" w:rsidP="00A90898">
      <w:pPr>
        <w:pStyle w:val="TextoNormal"/>
      </w:pPr>
      <w:r>
        <w:t>Cuando el legislador autonómico pretende imponer retroactivamente una única interpretación válida sobre una norma en vigor, no está, a juicio de los recurrentes, ejercitando sus competencias constitucionales, sino invadiendo las propias de los órganos judiciales, pretendiendo alterar el contenido de sus decisiones. La disposición adicional objeto de impugnación no pretende crear una nueva norma que se imponga, por ser más reciente en el tiempo, a las existentes sino dictar una directriz interpretativa sobre un precepto que ya existe y, además, hacerlo con carácter retroactivo. Y concluyen, invocando la doctrina del Tribunal Constitucional desde la STC 76/1983, de 5 de agosto, que las normas legales meramente interpretativas de preceptos legales anteriores, como la norma cuestionada, vienen a invadir la potestad jurisdiccional de los tribunales de justicia. En ningún caso puede el legislador ocupar el espacio reservado al poder judicial para interpretar y aplicar las normas en vigor, imponiendo hacia el pasado una única interpretación y pretendiendo con ello alterar los efectos de las resoluciones judiciales ya dictadas.</w:t>
      </w:r>
    </w:p>
    <w:p w:rsidR="00A90898" w:rsidRDefault="00A90898" w:rsidP="00A90898">
      <w:pPr>
        <w:pStyle w:val="TextoNormal"/>
      </w:pPr>
    </w:p>
    <w:p w:rsidR="00A90898" w:rsidRDefault="00A90898" w:rsidP="00A90898">
      <w:pPr>
        <w:pStyle w:val="TextoNormal"/>
      </w:pPr>
      <w:r>
        <w:t xml:space="preserve">c) En tercer y último lugar, denuncian los recurrentes una vulneración del derecho a la tutela judicial efectiva </w:t>
      </w:r>
      <w:r w:rsidRPr="00A90898">
        <w:rPr>
          <w:i/>
        </w:rPr>
        <w:t>ex</w:t>
      </w:r>
      <w:r>
        <w:t xml:space="preserve"> art. 24.1 CE, y lo hacen en una triple vertiente: por una parte, con apoyo en la doctrina establecida por este Tribunal en la STC 129/2013, se impide que los titulares de derechos e intereses legítimos dispongan de un recurso directo contra la disposición impugnada, lo que colisiona con el art. 24.1 CE que exige que dichos titulares puedan “instar la tutela que el precepto consagra, requisito este que no se cumple en el caso de las </w:t>
      </w:r>
      <w:r>
        <w:lastRenderedPageBreak/>
        <w:t>leyes autoaplicativas en las que el planteamiento de la cuestión es una prerrogativa exclusiva del juez, pero no un derecho del justiciable” [FJ 6 a)].</w:t>
      </w:r>
    </w:p>
    <w:p w:rsidR="00A90898" w:rsidRDefault="00A90898" w:rsidP="00A90898">
      <w:pPr>
        <w:pStyle w:val="TextoNormal"/>
      </w:pPr>
    </w:p>
    <w:p w:rsidR="00A90898" w:rsidRDefault="00A90898" w:rsidP="00A90898">
      <w:pPr>
        <w:pStyle w:val="TextoNormal"/>
      </w:pPr>
      <w:r>
        <w:t>Por otra parte, dado que el control de legalidad escapa, en la actualidad, a la función que puede desempeñar el Tribunal Constitucional, la doctrina sentada por el Tribunal de Justicia de la Unión Europea, en su Sentencia de 18 de octubre de 2011 (</w:t>
      </w:r>
      <w:r w:rsidRPr="00A90898">
        <w:rPr>
          <w:i/>
        </w:rPr>
        <w:t>Boxus v. Région wallone</w:t>
      </w:r>
      <w:r>
        <w:t>, asuntos acumulados C-128/2009 a C-134/2009 y C-135/2009), recogida por la STC 129/2013 (FJ 7), constituye un obstáculo añadido para que las leyes singulares puedan cumplir el requisito de equivalencia material del control a los efectos de no lesionar el derecho fundamental a la tutela judicial efectiva.</w:t>
      </w:r>
    </w:p>
    <w:p w:rsidR="00A90898" w:rsidRDefault="00A90898" w:rsidP="00A90898">
      <w:pPr>
        <w:pStyle w:val="TextoNormal"/>
      </w:pPr>
    </w:p>
    <w:p w:rsidR="00A90898" w:rsidRDefault="00A90898" w:rsidP="00A90898">
      <w:pPr>
        <w:pStyle w:val="TextoNormal"/>
      </w:pPr>
      <w:r>
        <w:t>Finalmente, manifiestan los recurrentes que una de las proyecciones del derecho reconocido en el art. 24.1 CE es el derecho a que las resoluciones judiciales alcancen la efectividad otorgada por el ordenamiento, lo que implica, el derecho a que las resoluciones judiciales firmes se ejecuten en sus propios términos así como el respeto a su firmeza y a la intangibilidad de las situaciones jurídicas en ellas declaradas [se citan las SSTC 171/1991, de 16 de septiembre, FJ 3; 198/1994, de 4 de julio, FJ 3; 197/2000, de 24 de julio, FJ 2; 83/2001, de 26 de marzo, FJ 4, y 312/2006, de 8 de noviembre, FJ 4 b) entre otras muchas]. Y aplicando la doctrina fijada por este Tribunal en su STC 50/2015, de 5 de marzo, FJ 8, concluyen los recurrentes que una norma legal como la impugnada hace imposible que un determinado fallo judicial se cumpla, vulnerando el art. 24.1 CE, que impide que “las Sentencias y los derechos en ellas reconocidos se conviertan en meras declaraciones de intenciones sin alcance práctico ni efectividad alguna”.</w:t>
      </w:r>
    </w:p>
    <w:p w:rsidR="00A90898" w:rsidRDefault="00A90898" w:rsidP="00A90898">
      <w:pPr>
        <w:pStyle w:val="TextoNormal"/>
      </w:pPr>
    </w:p>
    <w:p w:rsidR="00A90898" w:rsidRDefault="00A90898" w:rsidP="00A90898">
      <w:pPr>
        <w:pStyle w:val="TextoNormal"/>
      </w:pPr>
      <w:r>
        <w:t>Tras citar las decisiones judiciales concernidas por la norma legal cuestionada y recordar el control abstracto de constitucionalidad que se debe realizar a través del recurso por parte de este Tribunal, instan los recurrentes la declaración de inconstitucionalidad y consecuente nulidad de la disposición adicional de la Ley 4/2015, de 18 de diciembre.</w:t>
      </w:r>
    </w:p>
    <w:p w:rsidR="00A90898" w:rsidRDefault="00A90898" w:rsidP="00A90898">
      <w:pPr>
        <w:pStyle w:val="TextoNormal"/>
      </w:pPr>
    </w:p>
    <w:p w:rsidR="00A90898" w:rsidRDefault="00A90898" w:rsidP="00A90898">
      <w:pPr>
        <w:pStyle w:val="TextoNormal"/>
      </w:pPr>
      <w:r w:rsidRPr="00A90898">
        <w:rPr>
          <w:rStyle w:val="NumeroAFNegritaCaracter"/>
        </w:rPr>
        <w:t>2</w:t>
      </w:r>
      <w:r>
        <w:t>. El Pleno del Tribunal, a propuesta de la Sección Cuarta y por providencia de 12 de abril de 2016, admitió a trámite el presente recurso de inconstitucionalidad, acordando dar traslado de la demanda y documentos presentados, conforme establece el art. 34 de la Ley Orgánica del Tribunal Constitucional (LOTC), al Congreso de los Diputados, al Senado, a la Comunidad de Madrid y a la Asamblea de Madrid, por conducto de sus Presidentes, y al Gobierno, a través del Ministro de Justicia, al objeto de que en el plazo de 15 días, pudieran personarse en el proceso y formular las alegaciones que estimaran pertinentes; y se acuerda, asimismo, publicar la incoación del recurso en el “Boletín Oficial del Estado” y en el “Boletín Oficial de la Comunidad de Madrid”.</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en el Tribunal el 20 de abril de 2016, el Presidente del Congreso de los Diputados comunicó que la Mesa de la Cámara había acordado personarse en este procedimiento y por ofrecida su colaboración a los efectos del art. 88.1 LOTC, haciéndolo llegar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A su vez, el Presidente del Senado interesó, el día 26 de abril de 2016, que se tuviera por personada a dicha Cámara en este procedimiento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5</w:t>
      </w:r>
      <w:r>
        <w:t>. El Abogado del Estado, mediante escrito registrado en este Tribunal el 4 de mayo de 2016, manifiesta que no va a formular alegaciones en el presente procedimiento y que se persona a los solos efectos de que en su día se le notifiquen las resoluciones que en él se dicten.</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El escrito de alegaciones del Letrado de la Comunidad de Madrid, que tuvo su entrada en el Registro General del Tribunal el 5 de mayo de 2016, se estructura en cuatro bloques de alegaciones, dos de carácter general </w:t>
      </w:r>
      <w:r>
        <w:t>relativas a la cuestión competencial y a la deficiente argumentación del recurso interpuesto (A)</w:t>
      </w:r>
      <w:r>
        <w:t xml:space="preserve">, y otras dos de carácter específico en las que aborda su oposición a las tachas de inconstitucionalidad alegadas por los recurrentes </w:t>
      </w:r>
      <w:r>
        <w:t>a los motivos de inconstitucionalidad primero y tercero: inexistencia de vulneración de los arts. 9.3 y 24.1 CE (B); y al segundo motivo: inexistencia de vulneración del art. 117.3 en relación con el art. 9.3 CE (C)</w:t>
      </w:r>
      <w:r>
        <w:t>.</w:t>
      </w:r>
    </w:p>
    <w:p w:rsidR="00A90898" w:rsidRDefault="00A90898" w:rsidP="00A90898">
      <w:pPr>
        <w:pStyle w:val="TextoNormal"/>
      </w:pPr>
    </w:p>
    <w:p w:rsidR="00A90898" w:rsidRDefault="00A90898" w:rsidP="00A90898">
      <w:pPr>
        <w:pStyle w:val="TextoNormal"/>
      </w:pPr>
      <w:r>
        <w:t>Tal escrito termina solicitando la desestimación del recurso de inconstitucionalidad, por las razones que se exponen seguidamente:</w:t>
      </w:r>
    </w:p>
    <w:p w:rsidR="00A90898" w:rsidRDefault="00A90898" w:rsidP="00A90898">
      <w:pPr>
        <w:pStyle w:val="TextoNormal"/>
      </w:pPr>
    </w:p>
    <w:p w:rsidR="00A90898" w:rsidRDefault="00A90898" w:rsidP="00A90898">
      <w:pPr>
        <w:pStyle w:val="TextoNormal"/>
      </w:pPr>
      <w:r>
        <w:t>A) El Letrado comienza afirmando la competencia exclusiva en materia de “ordenación del territorio, urbanismo y vivienda” de la Comunidad Autónoma, de conformidad con los arts. 148.1.3 CE y 26.1.4 del Estatuto de Autonomía de la Comunidad de Madrid, aprobado por Ley Orgánica 3/1983, de 25 de febrero (EAM). Esta competencia, de conformidad con la doctrina de este Tribunal (cita las SSTC 61/1997, de 20 de marzo; 164/2001, de 11 de julio; 14/2007, de 18 de enero, y 141/2014, de 11 de septiembre), le permite fijar su propia política de ordenación de la ciudad o su modelo urbanístico, sirviéndose de las técnicas jurídicas que considere más adecuadas, al amparo de las concretas potestades de planeamiento, gestión y disciplina urbanística, cuya regulación es ínsita a la competencia autonómica en esta materia. Todo ello, sin perjuicio del respeto a la legislación básica estatal en materias que puedan incidir en esta competencia autonómica, así como a las condiciones básicas fijadas por el Estado al amparo del art. 149.1.1 CE.</w:t>
      </w:r>
    </w:p>
    <w:p w:rsidR="00A90898" w:rsidRDefault="00A90898" w:rsidP="00A90898">
      <w:pPr>
        <w:pStyle w:val="TextoNormal"/>
      </w:pPr>
    </w:p>
    <w:p w:rsidR="00A90898" w:rsidRDefault="00A90898" w:rsidP="00A90898">
      <w:pPr>
        <w:pStyle w:val="TextoNormal"/>
      </w:pPr>
      <w:r>
        <w:t>Concluye su argumentación el representante procesal de la Comunidad de Madrid afirmando que, al amparo de la competencia exclusiva que ostenta la Comunidad Autónoma en materia de urbanismo y ordenación del territorio, y con pleno respeto a la normativa estatal que, en su caso, pudiera tener incidencia en esta materia, no existe obstáculo jurídico para abordar mediante Ley la regulación que es objeto de impugnación en este proceso.</w:t>
      </w:r>
    </w:p>
    <w:p w:rsidR="00A90898" w:rsidRDefault="00A90898" w:rsidP="00A90898">
      <w:pPr>
        <w:pStyle w:val="TextoNormal"/>
      </w:pPr>
    </w:p>
    <w:p w:rsidR="00A90898" w:rsidRDefault="00A90898" w:rsidP="00A90898">
      <w:pPr>
        <w:pStyle w:val="TextoNormal"/>
      </w:pPr>
      <w:r>
        <w:t xml:space="preserve">Tras exponer el contenido de la norma legal cuestionada y recordar el </w:t>
      </w:r>
      <w:r w:rsidRPr="00A90898">
        <w:rPr>
          <w:i/>
        </w:rPr>
        <w:t>iter</w:t>
      </w:r>
      <w:r>
        <w:t xml:space="preserve"> legislativo seguido hasta su aprobación, se enuncian los motivos de inconstitucionalidad alegados por los recurrentes a los solos efectos de poner de manifiesto el carácter abstracto de muchas de las alegaciones realizadas ya que, a su juicio, se limitan a una cita genérica de preceptos constitucionales supuestamente vulnerados y reproducción de diferentes sentencias del Tri</w:t>
      </w:r>
      <w:r>
        <w:lastRenderedPageBreak/>
        <w:t>bunal Constitucional, pero sin la concreción y confrontación con el bloque de constitucionalidad exigible en esta sede, con la consiguiente indefensión que genera dicho proceder procesal.</w:t>
      </w:r>
    </w:p>
    <w:p w:rsidR="00A90898" w:rsidRDefault="00A90898" w:rsidP="00A90898">
      <w:pPr>
        <w:pStyle w:val="TextoNormal"/>
      </w:pPr>
    </w:p>
    <w:p w:rsidR="00A90898" w:rsidRDefault="00A90898" w:rsidP="00A90898">
      <w:pPr>
        <w:pStyle w:val="TextoNormal"/>
      </w:pPr>
      <w:r>
        <w:t>Afirma el Letrado de la Comunidad de Madrid que el escrito de formalización supone un desconocimiento flagrante de lo previsto en el art. 28 LOTC, que exige que el recurso de inconstitucionalidad deba tener como exclusivo objeto una labor de confrontación entre la legislación impugnada y el bloque de constitucionalidad, con exclusión de cualquier otra cuestión de carácter puramente fáctico. Es, por ello, que, con base en la doctrina sentada por este Tribunal (cita las SSTC 61/1997, de 20 de marzo; 112/2006, de 5 de abril; 136/2012, de 19 junio, y 204/2011, de 15 de diciembre), considera que el recurso presentado resulta defectuoso, por infracción de la carga procesal de fundamentación, precisión y claridad derivada de los arts. 85.1 y 33 LOTC.</w:t>
      </w:r>
    </w:p>
    <w:p w:rsidR="00A90898" w:rsidRDefault="00A90898" w:rsidP="00A90898">
      <w:pPr>
        <w:pStyle w:val="TextoNormal"/>
      </w:pPr>
    </w:p>
    <w:p w:rsidR="00A90898" w:rsidRDefault="00A90898" w:rsidP="00A90898">
      <w:pPr>
        <w:pStyle w:val="TextoNormal"/>
      </w:pPr>
      <w:r>
        <w:t>B) Pese a las objeciones formuladas, el Letrado de la Comunidad de Madrid procede a rechazar cada uno de los motivos de inconstitucionalidad aducidos, e inicia su examen rebatiendo de forma conjunta, dada su evidente conexión, los motivos primero y tercero.</w:t>
      </w:r>
    </w:p>
    <w:p w:rsidR="00A90898" w:rsidRDefault="00A90898" w:rsidP="00A90898">
      <w:pPr>
        <w:pStyle w:val="TextoNormal"/>
      </w:pPr>
    </w:p>
    <w:p w:rsidR="00A90898" w:rsidRDefault="00A90898" w:rsidP="00A90898">
      <w:pPr>
        <w:pStyle w:val="TextoNormal"/>
      </w:pPr>
      <w:r>
        <w:t xml:space="preserve">a) En primer lugar, a la luz de la doctrina elaborada por el Tribunal Constitucional, examina si la recurrida disposición adicional de la Ley 4/2015 puede ser considerada como un caso de ley singular, y lo hace adelantando ya su respuesta negativa (cita las SSTC 166/1986, de 19 de diciembre; 48/2005, de 3 de marzo, y 231/2015, de 5 de noviembre, en relación con el concepto de ley singular). En este sentido, invocando la doctrina de este Tribunal sobre las leyes autoaplicativas (SSTC 129/2013, de 4 de junio; 203/2013, de 5 de diciembre; 50/2015, de 5 de marzo, y 231/2015), afirma que la norma cuestionada no puede considerarse una ley aplicativa, ya que no se trata de una “actividad, típicamente ejecutiva, de aplicación de la norma al caso concreto”. En su opinión, la disposición adicional recurrida es una mera norma aclaratoria de una disposición transitoria de la Ley 3/2007, que como tal ostenta carácter retroactivo, y que se limita a precisar el régimen aplicable a los instrumentos de planeamiento urbanístico en lo que respecta a la “limitación de alturas”, en función de la fecha de su aprobación provisional o del tipo de suelo afectado, entre otros factores. Es más, frente a lo que se sostiene por los recurrentes, no sólo proyecta sus efectos sobre actuaciones ya realizadas </w:t>
      </w:r>
      <w:r>
        <w:t>las figuras de planeamiento ya aprobadas</w:t>
      </w:r>
      <w:r>
        <w:t xml:space="preserve">, sino que también despliega efectos sobre nuevas actuaciones </w:t>
      </w:r>
      <w:r>
        <w:t>las futuras modificaciones o revisiones del planeamiento que se tramiten</w:t>
      </w:r>
      <w:r>
        <w:t> y, en estos supuestos, la norma en sí misma no tendría virtualidad sin un acto administrativo de aplicación; esto es, la aprobación del correspondiente instrumento de planeamiento que se ve afectado por dicha norma, lo que excluye su consideración como ley autoaplicativa.</w:t>
      </w:r>
    </w:p>
    <w:p w:rsidR="00A90898" w:rsidRDefault="00A90898" w:rsidP="00A90898">
      <w:pPr>
        <w:pStyle w:val="TextoNormal"/>
      </w:pPr>
    </w:p>
    <w:p w:rsidR="00A90898" w:rsidRDefault="00A90898" w:rsidP="00A90898">
      <w:pPr>
        <w:pStyle w:val="TextoNormal"/>
      </w:pPr>
      <w:r>
        <w:t xml:space="preserve">b) Igualmente, con apoyo en las SSTC 129/2013, 203/2013 y 50/2015, considera que la norma objeto de este proceso no es un tipo de ley singular de las denominadas de destinatario único ni dictada en atención a un supuesto de hecho concreto. Frente al argumento de los recurrentes, que focalizan la aplicación de la disposición impugnada a dos actuaciones urbanísticas de entidad, el Letrado de la Comunidad Autónoma pone de relieve que son numerosos los instrumentos de planeamiento urbanísticos afectados: en concreto, los planes generales y de sectorización vigentes a 31 de julio de 2007, así como los aprobados provisionalmente antes de dicha fecha, los instrumentos de planeamiento de desarrollo de estos planes generales o planes de sectorización, ya fueran anteriores o posteriores a 31 de julio </w:t>
      </w:r>
      <w:r>
        <w:lastRenderedPageBreak/>
        <w:t>de 2007, así como al suelo clasificado como urbano antes de la entrada en vigor de la Ley 3/2007, sea consolidado o no, ni a las futuras modificaciones o revisiones de planeamiento que se tramiten sobre dichos suelos, como tampoco a los instrumentos de planeamiento de desarrollo que afecten a los mismos, entre otros supuestos.</w:t>
      </w:r>
    </w:p>
    <w:p w:rsidR="00A90898" w:rsidRDefault="00A90898" w:rsidP="00A90898">
      <w:pPr>
        <w:pStyle w:val="TextoNormal"/>
      </w:pPr>
    </w:p>
    <w:p w:rsidR="00A90898" w:rsidRDefault="00A90898" w:rsidP="00A90898">
      <w:pPr>
        <w:pStyle w:val="TextoNormal"/>
      </w:pPr>
      <w:r>
        <w:t xml:space="preserve">En segundo lugar, se aborda la eventual vulneración de los arts. 9.3 y 24.1 CE y el consiguiente quebrantamiento del derecho a la tutela judicial efectiva. Tomando como punto de partida argumental la no consideración de la norma impugnada como ley singular y las generalidades del recurso sobre el canon de constitucionalidad aplicable al caso </w:t>
      </w:r>
      <w:r>
        <w:t>falta de recurso directo contra este tipo de leyes y el control materialmente equivalente</w:t>
      </w:r>
      <w:r>
        <w:t xml:space="preserve">, se cuestiona por el Letrado de la Comunidad de Madrid el que, a su juicio, constituye el eje central de la argumentación de los recurrentes: la pretendida vulneración del derecho a la ejecución de las resoluciones judiciales firmes. Y lo hace señalando, por una parte, que no se puede aceptar que la disposición adicional recurrida </w:t>
      </w:r>
      <w:r>
        <w:t>con apoyo en la doctrina fijada en la STC 231/2015</w:t>
      </w:r>
      <w:r>
        <w:t xml:space="preserve">, vulnere lo dispuesto por las sentencias judiciales de instancia, y, en concreto, por la Sentencia del Tribunal Superior de Justicia de Madrid núm. 399/2015, de 13 de abril, que anula una modificación puntual del plan general de ordenación urbana de Madrid (APR 02.21 “Mahou-Vicente Calderón”), ya que dicha resolución judicial está ejecutada, pues la modificación del plan general está anulada, sin que “reviva” por la aprobación de la disposición adicional. Por otra parte, reiterando el carácter aclaratorio de la norma cuestionada, señala el representante procesal de la Comunidad de Madrid que su finalidad no es eludir un pronunciamiento judicial sobre una determinada cuestión, sino regular el régimen transitorio que se inició con la Ley 3/2007 y continuó a través de modificaciones legislativas posteriores; participa, por tanto, de la naturaleza de las leyes interpretativas y aclaratorias y en nada atenta a la tutela judicial efectiva </w:t>
      </w:r>
      <w:r w:rsidRPr="00A90898">
        <w:rPr>
          <w:i/>
        </w:rPr>
        <w:t>ex</w:t>
      </w:r>
      <w:r>
        <w:t xml:space="preserve"> arts. 24.1 y 117.3 CE.</w:t>
      </w:r>
    </w:p>
    <w:p w:rsidR="00A90898" w:rsidRDefault="00A90898" w:rsidP="00A90898">
      <w:pPr>
        <w:pStyle w:val="TextoNormal"/>
      </w:pPr>
    </w:p>
    <w:p w:rsidR="00A90898" w:rsidRDefault="00A90898" w:rsidP="00A90898">
      <w:pPr>
        <w:pStyle w:val="TextoNormal"/>
      </w:pPr>
      <w:r>
        <w:t>C) En último lugar, el Letrado de la Comunidad de Madrid examina la tacha de inconstitucionalidad que atribuye a la disposición adicional impugnada el carácter de norma “meramente interpretativa” que vulnera el art. 117.3 CE en relación con el art. 9.3 CE.</w:t>
      </w:r>
    </w:p>
    <w:p w:rsidR="00A90898" w:rsidRDefault="00A90898" w:rsidP="00A90898">
      <w:pPr>
        <w:pStyle w:val="TextoNormal"/>
      </w:pPr>
    </w:p>
    <w:p w:rsidR="00A90898" w:rsidRDefault="00A90898" w:rsidP="00A90898">
      <w:pPr>
        <w:pStyle w:val="TextoNormal"/>
      </w:pPr>
      <w:r>
        <w:t>Inicia su argumentación advirtiendo que, de la rúbrica de la disposición adicional recurrida y del preámbulo de la Ley 4/2015, cauce idóneo para conocer la voluntad del legislador (STC 90/2009, de 20 de abril), se deduce su finalidad “aclaratoria”. Y a mayor abundamiento, manifiesta que se configura como una aclaración realizada en términos generales, que en nada se relaciona con fallos judiciales concretos que hayan aplicado la norma durante su vigencia, como pretenden insinuar los recurrentes. Es, por ello, que, a juicio del Letrado de la Comunidad de Madrid, la disposición adicional impugnada reviste los caracteres propios de una norma meramente interpretativa o aclaratoria, que proyecta sus efectos con carácter general.</w:t>
      </w:r>
    </w:p>
    <w:p w:rsidR="00A90898" w:rsidRDefault="00A90898" w:rsidP="00A90898">
      <w:pPr>
        <w:pStyle w:val="TextoNormal"/>
      </w:pPr>
    </w:p>
    <w:p w:rsidR="00A90898" w:rsidRDefault="00A90898" w:rsidP="00A90898">
      <w:pPr>
        <w:pStyle w:val="TextoNormal"/>
      </w:pPr>
      <w:r>
        <w:t xml:space="preserve">Invocando la jurisprudencia del Tribunal Supremo (SSTS 9 de abril de 1992 y 18 de noviembre de 2009, y las allí citadas), concluye que el legislador tiene reconocida la potestad de aprobar normas que aclaren o interpreten normas preexistentes con un alcance retroactivo, de modo que una actuación legislativa en estos términos no puede reputarse contraria a la Constitución; además, nada tiene que ver con la potestad de “juzgar y hacer ejecutar lo juzgado” que corresponde al Poder Judicial </w:t>
      </w:r>
      <w:r w:rsidRPr="00A90898">
        <w:rPr>
          <w:i/>
        </w:rPr>
        <w:t>ex</w:t>
      </w:r>
      <w:r>
        <w:t xml:space="preserve"> art. 117.3 CE. La naturaleza aclaratoria de la norma en nada condiciona al Poder Judicial en lo que se refiere a su labor propia de dictar </w:t>
      </w:r>
      <w:r>
        <w:lastRenderedPageBreak/>
        <w:t>sentencias y de aplicar el régimen transitorio vigente a los supuestos que se pudieran plantear, por lo que carece de sentido atribuir a una disposición aclaratoria la virtualidad de evitar que los Tribunales apliquen el Derecho positivo en el momento en que se enjuicien futuros conflictos.</w:t>
      </w:r>
    </w:p>
    <w:p w:rsidR="00A90898" w:rsidRDefault="00A90898" w:rsidP="00A90898">
      <w:pPr>
        <w:pStyle w:val="TextoNormal"/>
      </w:pPr>
    </w:p>
    <w:p w:rsidR="00A90898" w:rsidRDefault="00A90898" w:rsidP="00A90898">
      <w:pPr>
        <w:pStyle w:val="TextoNormal"/>
      </w:pPr>
      <w:r>
        <w:t>Conforme a lo expuesto, las tachas de inconstitucionalidad esgrimidas por los recurrentes se revelan carentes de fundamento, por lo que el Letrado de la Comunidad de Madrid solicita se desestime el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El escrito de alegaciones formuladas por el Letrado de la Asamblea de Madrid tuvo entrada en el Registro General de este Tribunal el 6 de mayo de 2016, solicitando la desestimación íntegra del recurso. El escrito, que comparte en lo sustancial los argumentos esgrimidos por el Letrado de la Comunidad de Madrid, se estructura en seis apartados: en los tres primeros se abordan cuestiones de carácter previo </w:t>
      </w:r>
      <w:r>
        <w:t>incoherencia de los recurrentes y distribución competencial</w:t>
      </w:r>
      <w:r>
        <w:t>, además de la naturaleza de la disposición impugnada (a); y en los tres siguientes, se examinan los motivos de inconstitucionalidad alegados por los recurrentes (b).</w:t>
      </w:r>
    </w:p>
    <w:p w:rsidR="00A90898" w:rsidRDefault="00A90898" w:rsidP="00A90898">
      <w:pPr>
        <w:pStyle w:val="TextoNormal"/>
      </w:pPr>
    </w:p>
    <w:p w:rsidR="00A90898" w:rsidRDefault="00A90898" w:rsidP="00A90898">
      <w:pPr>
        <w:pStyle w:val="TextoNormal"/>
      </w:pPr>
      <w:r>
        <w:t xml:space="preserve">a) Comienza sus alegaciones el representante procesal de la Asamblea de Madrid denunciando la falta de coherencia en la argumentación de la parte actora. En su opinión, los recurrentes reputan inconstitucional la aplicación transitoria </w:t>
      </w:r>
      <w:r>
        <w:t></w:t>
      </w:r>
      <w:r w:rsidRPr="00A90898">
        <w:rPr>
          <w:i/>
        </w:rPr>
        <w:t>ex</w:t>
      </w:r>
      <w:r>
        <w:t xml:space="preserve"> disposición adicional impugnada</w:t>
      </w:r>
      <w:r>
        <w:t xml:space="preserve"> de un régimen que sustantivamente se considera que no sólo es constitucional sino que, además, responde a un modelo de desarrollo urbano sostenible tanto social como ambientalmente. Señala el Letrado de la Asamblea de Madrid que el régimen transitorio que se considera inconstitucional tiene, primero, la misma finalidad que la supresión que se decide en el artículo único de la Ley 4/2015 </w:t>
      </w:r>
      <w:r>
        <w:t>y, por ende, recupera el régimen normativo inicial Ley 9/2001</w:t>
      </w:r>
      <w:r>
        <w:t> y, segundo, mantiene en sus estrictos términos lo que disponía la norma transitoria introducida por la Ley 3/2007 y vigente a su entrada en vigor.</w:t>
      </w:r>
    </w:p>
    <w:p w:rsidR="00A90898" w:rsidRDefault="00A90898" w:rsidP="00A90898">
      <w:pPr>
        <w:pStyle w:val="TextoNormal"/>
      </w:pPr>
    </w:p>
    <w:p w:rsidR="00A90898" w:rsidRDefault="00A90898" w:rsidP="00A90898">
      <w:pPr>
        <w:pStyle w:val="TextoNormal"/>
      </w:pPr>
      <w:r>
        <w:t xml:space="preserve">Continua su argumentación señalando, en términos similares al representante procesal de la Comunidad de Madrid y con apoyo en la doctrina de este Tribunal (cita las SSTC 61/1997, de 20 de marzo, y 164/2001, de 11 de julio), que el marco constitucional </w:t>
      </w:r>
      <w:r>
        <w:t>arts. 148.1.3, 33 y 47 CE</w:t>
      </w:r>
      <w:r>
        <w:t xml:space="preserve"> y estatutario </w:t>
      </w:r>
      <w:r>
        <w:t>art. 26.1.4 EAM</w:t>
      </w:r>
      <w:r>
        <w:t> atribuye a la Comunidad madrileña la competencia en materia de ordenación del territorio, urbanismo y vivienda, y habilita, por tanto, la regulación por ley del ejercicio del derecho de propiedad del suelo y la configuración de las facultades urbanísticas de sus propietarios, respetando en todo caso el contenido esencial del mismo, de acuerdo con el art. 53.1 CE, lo que le permite definir su modelo de ciudad.</w:t>
      </w:r>
    </w:p>
    <w:p w:rsidR="00A90898" w:rsidRDefault="00A90898" w:rsidP="00A90898">
      <w:pPr>
        <w:pStyle w:val="TextoNormal"/>
      </w:pPr>
    </w:p>
    <w:p w:rsidR="00A90898" w:rsidRDefault="00A90898" w:rsidP="00A90898">
      <w:pPr>
        <w:pStyle w:val="TextoNormal"/>
      </w:pPr>
      <w:r>
        <w:t xml:space="preserve">Al hilo del repaso de la evolución legislativa en la materia objeto de controversia </w:t>
      </w:r>
      <w:r>
        <w:t>desde la inicial Ley 9/2001, de 17 de julio, del Suelo hasta la actual Ley 4/2015, pasando por las reformas de las Leyes 3/2017 y 3/2013</w:t>
      </w:r>
      <w:r>
        <w:t xml:space="preserve">, e invocando la doctrina establecida por este Tribunal, se afirma que la Asamblea de Madrid, en el ejercicio de su potestad legislativa, goza de libertad de configuración normativa para establecer el marco legal pertinente, esto es, “es libre dentro de los límites que la Constitución establece para elegir la regulación de tal o cual derecho o institución jurídica que considere más adecuada a sus propias preferencias políticas” (STC 194/1989, de 16 de noviembre, FJ 2, por todas), delimitando, </w:t>
      </w:r>
      <w:r w:rsidRPr="00A90898">
        <w:rPr>
          <w:i/>
        </w:rPr>
        <w:t>ex</w:t>
      </w:r>
      <w:r>
        <w:t xml:space="preserve"> art. 33.2 CE, las facultades urbanísticas del propietario, de acuerdo con la función social del suelo. </w:t>
      </w:r>
      <w:r>
        <w:lastRenderedPageBreak/>
        <w:t>Y ese marco legal es susceptible, como no puede ser de otro modo, de cambio y adaptación a las circunstancias.</w:t>
      </w:r>
    </w:p>
    <w:p w:rsidR="00A90898" w:rsidRDefault="00A90898" w:rsidP="00A90898">
      <w:pPr>
        <w:pStyle w:val="TextoNormal"/>
      </w:pPr>
    </w:p>
    <w:p w:rsidR="00A90898" w:rsidRDefault="00A90898" w:rsidP="00A90898">
      <w:pPr>
        <w:pStyle w:val="TextoNormal"/>
      </w:pPr>
      <w:r>
        <w:t xml:space="preserve">El representante procesal de la Asamblea de Madrid señala que el legislador autonómico, al derogar la conocida como “Ley de las 3 alturas”, ha optado, en aras a una correcta técnica normativa, por aclarar y facilitar el conocimiento de la normativa aplicable a los operadores jurídicos y económicos. La importante innovación que la nueva Ley ha incorporado al instrumental urbanístico y la prudencia que debe adoptarse en la aplicación de dicha innovación </w:t>
      </w:r>
      <w:r>
        <w:t xml:space="preserve">principio de seguridad jurídica </w:t>
      </w:r>
      <w:r w:rsidRPr="00A90898">
        <w:rPr>
          <w:i/>
        </w:rPr>
        <w:t>ex</w:t>
      </w:r>
      <w:r>
        <w:t xml:space="preserve"> art. 9.3 CE</w:t>
      </w:r>
      <w:r>
        <w:t> ha aconsejado al legislador establecer un “aterrizaje blando” en el escenario inmobiliario, con la finalidad de no producir efectos particulares no deseados que ni siquiera, en el mejor de los casos, estuvieran mínimamente balanceados con beneficios razonables para el interés general.</w:t>
      </w:r>
    </w:p>
    <w:p w:rsidR="00A90898" w:rsidRDefault="00A90898" w:rsidP="00A90898">
      <w:pPr>
        <w:pStyle w:val="TextoNormal"/>
      </w:pPr>
    </w:p>
    <w:p w:rsidR="00A90898" w:rsidRDefault="00A90898" w:rsidP="00A90898">
      <w:pPr>
        <w:pStyle w:val="TextoNormal"/>
      </w:pPr>
      <w:r>
        <w:t>Finaliza, la primera parte de su argumentación, incidiendo en la naturaleza transitoria de la disposición adicional objeto de este proceso. Con referencia a la doctrina existente sobre el Derecho transitorio (se cita, además, la resolución de 28 de julio de 2005, de la Subsecretaría, por la que se da publicidad al acuerdo del Consejo de Ministros, de 22 de julio de 2005, por el que se aprueban las directrices de técnica normativa), recuerda el Letrado de la Asamblea de Madrid que dicho derecho tiene como único objetivo combinar el derecho y situación anterior a la promulgación de la nueva ley con ésta, sin atenerse a criterios fijos, sentando normas que eviten la inseguridad jurídica que podría causarse de no establecer normas transitorias, las cuales han de ser interpretadas conforme a los principios de literalidad y lógica de los textos. Así entendido, el representante procesal de la Asamblea de Madrid afirma, de forma gráfica, que la disposición adicional recurrida es una norma transitoria “de manual”: teniendo por contenido el aclarar lo dispuesto en la disposición transitoria de la Ley 3/3007, limitándose el legislador a determinar la aplicación de la legislación precedente o las prescripciones de la ley nueva a las situaciones jurídicas pendientes. En otras palabras, sobre la base del mantenimiento de la experiencia aplicativa, de un lado y, de otro, de la consideración del principio de confianza legítima en la pervivencia de los efectos jurídicos, la Ley 4/2015 ha establecido un prudente régimen transitorio en la supresión de la delimitación de alturas de los edificios.</w:t>
      </w:r>
    </w:p>
    <w:p w:rsidR="00A90898" w:rsidRDefault="00A90898" w:rsidP="00A90898">
      <w:pPr>
        <w:pStyle w:val="TextoNormal"/>
      </w:pPr>
    </w:p>
    <w:p w:rsidR="00A90898" w:rsidRDefault="00A90898" w:rsidP="00A90898">
      <w:pPr>
        <w:pStyle w:val="TextoNormal"/>
      </w:pPr>
      <w:r>
        <w:t xml:space="preserve">b) El examen de los motivos de inconstitucionalidad alegados por los recurrentes se inicia cuestionando la consideración de la disposición adicional impugnada como un supuesto de ley singular, centrando la argumentación exclusivamente en el rechazo de estar ante una ley de supuesto de hecho concreto o ley </w:t>
      </w:r>
      <w:r w:rsidRPr="00A90898">
        <w:rPr>
          <w:i/>
        </w:rPr>
        <w:t>ad casum</w:t>
      </w:r>
      <w:r>
        <w:t xml:space="preserve">. Partiendo de la doctrina de este Tribunal sobre las leyes singulares (cita las SSTC 73/2000, de 14 de marzo, y 136/2011, de 13 de septiembre), se afirma que bajo ningún concepto se puede reputar a la disposición adicional impugnada como una ley singular o ley </w:t>
      </w:r>
      <w:r w:rsidRPr="00A90898">
        <w:rPr>
          <w:i/>
        </w:rPr>
        <w:t>ad casum</w:t>
      </w:r>
      <w:r>
        <w:t xml:space="preserve">; antes al contrario, estamos una norma jurídica de carácter general, aplicable a una pluralidad de casos, que resuelve un conflicto temporal de leyes mediante la determinación del régimen jurídico que regula las situaciones pendientes y no consolidadas, derivado de las modificaciones introducidas en la normativa urbanística. Y, además, esta previsión no constituye ni una anomalía, ni una novedad; como señala el Letrado de la Asamblea madrileña, la introducción, en su momento, del apartado 8 del art. 39 de la Ley 9/2001 del suelo de la Comunidad de Madrid, por la Ley 3/2007, llevó aparejada una disposición transitoria a efectos de la clarificación del régimen jurídico vigente a resultas de la reforma y delimitación de altura máxima, por lo que parece lógico </w:t>
      </w:r>
      <w:r>
        <w:lastRenderedPageBreak/>
        <w:t xml:space="preserve">que otra nueva alteración del régimen jurídico </w:t>
      </w:r>
      <w:r>
        <w:t>la derogación del citado apartado 8</w:t>
      </w:r>
      <w:r>
        <w:t> precise, asimismo, de una aclaración en aras de la seguridad jurídica.</w:t>
      </w:r>
    </w:p>
    <w:p w:rsidR="00A90898" w:rsidRDefault="00A90898" w:rsidP="00A90898">
      <w:pPr>
        <w:pStyle w:val="TextoNormal"/>
      </w:pPr>
    </w:p>
    <w:p w:rsidR="00A90898" w:rsidRDefault="00A90898" w:rsidP="00A90898">
      <w:pPr>
        <w:pStyle w:val="TextoNormal"/>
      </w:pPr>
      <w:r>
        <w:t>Negada la naturaleza de ley singular, el representante procesal de la Asamblea de Madrid rechaza, también, la supuesta vulneración del art. 9.3 CE por violación del principio de interdicción de la arbitrariedad. A su juicio, la norma cuestionada sigue amparada por la presunción de constitucionalidad conforme a lo establecido en la STC 49/2008, de 9 de abril (FJ 5): por una parte, falta una justificación convincente para destruir la presunción, ya que no puede reputarse suficiente esgrimir una doctrina aplicable a las leyes singulares cuando nos encontramos ante una ley con vocación de generalidad, aplicable, por tanto, a una pluralidad de supuestos que se puedan plantear tras su aprobación, que afectan a diversas figuras del planeamiento en distintos estados de su tramitación. Y, por otra parte, no se da una carencia absoluta de explicación racional haciéndose constar que, al margen de que las leyes no precisan motivación, en el presente caso el preámbulo de la Ley 4/2015 exonera de ulterior comentario, siendo la expresión de una opción política.</w:t>
      </w:r>
    </w:p>
    <w:p w:rsidR="00A90898" w:rsidRDefault="00A90898" w:rsidP="00A90898">
      <w:pPr>
        <w:pStyle w:val="TextoNormal"/>
      </w:pPr>
    </w:p>
    <w:p w:rsidR="00A90898" w:rsidRDefault="00A90898" w:rsidP="00A90898">
      <w:pPr>
        <w:pStyle w:val="TextoNormal"/>
      </w:pPr>
      <w:r>
        <w:t>En segundo lugar, afronta la supuesta vulneración del art. 117.3 CE, a juicio del Letrado de la Asamblea de Madrid por una aplicación analógica de la doctrina establecida en la STC 76/1983 (FJ 4), y la consiguiente prohibición de dictar normas meramente interpretativas. Señala el representante procesal de la Asamblea madrileña que lo que se pretende, con la argumentación de los recurrentes, es una petrificación del ordenamiento jurídico, que prive al legislador de su capacidad innovativa, quedando sometido el órgano legislativo y representativo del pueblo de Madrid, una vez aprobada una ley, al criterio interpretativo que los órganos jurisdiccionales puedan afirmar; criterio que, por lo demás, vincularía al poder legislativo de futuro, al no poder éste modificar la norma.</w:t>
      </w:r>
    </w:p>
    <w:p w:rsidR="00A90898" w:rsidRDefault="00A90898" w:rsidP="00A90898">
      <w:pPr>
        <w:pStyle w:val="TextoNormal"/>
      </w:pPr>
    </w:p>
    <w:p w:rsidR="00A90898" w:rsidRDefault="00A90898" w:rsidP="00A90898">
      <w:pPr>
        <w:pStyle w:val="TextoNormal"/>
      </w:pPr>
      <w:r>
        <w:t>Partiendo del sometimiento de los Jueces y Magistrados “únicamente al imperio de la ley” (</w:t>
      </w:r>
      <w:r w:rsidRPr="00A90898">
        <w:rPr>
          <w:i/>
        </w:rPr>
        <w:t>ex</w:t>
      </w:r>
      <w:r>
        <w:t xml:space="preserve"> art. 117.1 CE y STC 37/2012, de 19 de marzo, FFJJ 4 y 5), considera el Letrado de la Asamblea de Madrid que la norma cuestionada no vulnera el art. 117.3 CE, toda vez que no se produce una inmisión por parte del legislador autonómico en la labor que corresponde a los juzgados y tribunales del ejercicio de la potestad jurisdiccional, sino que lo que se ejerce por la Asamblea de Madrid es su potestad legislativa, en una materia respecto de la que ostenta competencia exclusiva. Y reiterando su argumento sobre la ya expresada finalidad de la norma cuestionada </w:t>
      </w:r>
      <w:r>
        <w:t xml:space="preserve">evitar la confusión normativa en aras de la seguridad jurídica </w:t>
      </w:r>
      <w:r w:rsidRPr="00A90898">
        <w:rPr>
          <w:i/>
        </w:rPr>
        <w:t>ex</w:t>
      </w:r>
      <w:r>
        <w:t xml:space="preserve"> art. 9.3 CE</w:t>
      </w:r>
      <w:r>
        <w:t>, concluye que la Asamblea de Madrid con la aprobación de la Ley 4/2015 no interpreta el ordenamiento jurídico ni impone ninguna interpretación, sino que hace lo que le es propio; esto es, innovar el ordenamiento jurídico, aprobando una nueva ley, que deroga una precedente.</w:t>
      </w:r>
    </w:p>
    <w:p w:rsidR="00A90898" w:rsidRDefault="00A90898" w:rsidP="00A90898">
      <w:pPr>
        <w:pStyle w:val="TextoNormal"/>
      </w:pPr>
    </w:p>
    <w:p w:rsidR="00A90898" w:rsidRDefault="00A90898" w:rsidP="00A90898">
      <w:pPr>
        <w:pStyle w:val="TextoNormal"/>
      </w:pPr>
      <w:r>
        <w:t xml:space="preserve">En tercer y último lugar, se examina la vulneración del derecho a la tutela judicial efectiva </w:t>
      </w:r>
      <w:r w:rsidRPr="00A90898">
        <w:rPr>
          <w:i/>
        </w:rPr>
        <w:t>ex</w:t>
      </w:r>
      <w:r>
        <w:t xml:space="preserve"> art. 24.1 CE. Recuerda por el representante procesal que, conforme a la doctrina de este Tribunal Constitucional, el derecho a la tutela judicial efectiva es un derecho de configuración legal, respecto del cual se pueden establecer límites por el legislador, si bien respetando su contenido esencial </w:t>
      </w:r>
      <w:r w:rsidRPr="00A90898">
        <w:rPr>
          <w:i/>
        </w:rPr>
        <w:t>ex</w:t>
      </w:r>
      <w:r>
        <w:t xml:space="preserve"> art. 53.1 CE (STC 99/1985, de 30 de septiembre, FJ 4). Y esto es lo que ha ocurrido en el supuesto que constituye objeto de este proceso constitucional: la norma cuestionada respeta las situaciones jurídicas consolidadas, y determina el régimen jurídico de las que se encuentran en proceso de transformación, dependiendo del estado de tramitación del planeamiento urbanístico. No estamos ni ante una ley singular, ni </w:t>
      </w:r>
      <w:r>
        <w:lastRenderedPageBreak/>
        <w:t>ante una ley arbitraria, por lo que no se pueden aplicar los cánones de constitucionalidad invocados por los recurrentes. Se está en presencia de una norma transitoria urbanística clásica.</w:t>
      </w:r>
    </w:p>
    <w:p w:rsidR="00A90898" w:rsidRDefault="00A90898" w:rsidP="00A90898">
      <w:pPr>
        <w:pStyle w:val="TextoNormal"/>
      </w:pPr>
    </w:p>
    <w:p w:rsidR="00A90898" w:rsidRDefault="00A90898" w:rsidP="00A90898">
      <w:pPr>
        <w:pStyle w:val="TextoNormal"/>
      </w:pPr>
      <w:r>
        <w:t>Asimismo, frente al argumento de que la norma cuestionada impide que las resoluciones judiciales “alcancen la efectividad otorgada por el ordenamiento”, y tras recoger la doctrina de este Tribunal (cita la STC 312/2006, de 8 de noviembre, FFJJ 4 y 5), el Letrado actuante reitera sus argumentos sobre la finalidad de la norma impugnada y su plena justificación; a saber: por una parte, la necesidad de aclarar el régimen jurídico vigente tras su aprobación, expresada de forma clara en el preámbulo de la Ley 4/2015 y en el propio contenido de la disposición adicional; y, por otra parte, el ser una constante en las sucesivas leyes de urbanismo el establecimiento de un régimen transitorio, ya que, dada la complejidad del ordenamiento urbanístico, la abundancia de determinaciones normativas y los distintos estados de tramitación en que se puede encontrar el planeamiento urbanístico precisan de una clarificación del régimen jurídico vigente.</w:t>
      </w:r>
    </w:p>
    <w:p w:rsidR="00A90898" w:rsidRDefault="00A90898" w:rsidP="00A90898">
      <w:pPr>
        <w:pStyle w:val="TextoNormal"/>
      </w:pPr>
    </w:p>
    <w:p w:rsidR="00A90898" w:rsidRDefault="00A90898" w:rsidP="00A90898">
      <w:pPr>
        <w:pStyle w:val="TextoNormal"/>
      </w:pPr>
      <w:r>
        <w:t>Atendiendo a lo expuesto, concluye defendiendo la constitucionalidad de la disposición adicional impugnada por cuanto la finalidad perseguida “es una finalidad legítima en atención al bien constitucionalmente protegido” (STC 312/2006, F 6).</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4 de octubre de 2016 se señaló para la deliberación y votación de la presente Sentencia el 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más de cincuenta Diputados del Grupo Parlamentario Podemos-En Comú Podem-En Marea en el Congreso de los Diputados, contra la disposición adicional de la Ley 4/2015, de 18 de diciembre, de modificación de la Ley 9/2001, de 17 de julio, del suelo de la Comunidad de Madrid.</w:t>
      </w:r>
    </w:p>
    <w:p w:rsidR="00A90898" w:rsidRDefault="00A90898" w:rsidP="00A90898">
      <w:pPr>
        <w:pStyle w:val="TextoNormal"/>
      </w:pPr>
    </w:p>
    <w:p w:rsidR="00A90898" w:rsidRDefault="00A90898" w:rsidP="00A90898">
      <w:pPr>
        <w:pStyle w:val="TextoNormal"/>
      </w:pPr>
      <w:r>
        <w:t xml:space="preserve">Como se ha dejado constancia de forma más detallada en los antecedentes de esta resolución, los recurrentes consideran, en primer lugar, que la norma cuestionada vulnera el art. 9.3 CE al tratarse de una ley singular que participa al mismo tiempo de los caracteres de una norma legal autoaplicativa y de una ley de supuesto de hecho concreto, que no aparece motivada suficientemente, no está justificada e incluye una solución desproporcionada. En segundo lugar, a juicio de los recurrentes, se vulnera el art. 117.3 CE en relación con el art. 9.3 CE, por tratarse de una norma meramente interpretativa que tiene por finalidad imponer al poder judicial, con efecto retroactivo, una única interpretación de una ley anterior. Y en tercer y último lugar, se alega la vulneración del derecho a la tutela judicial efectiva </w:t>
      </w:r>
      <w:r w:rsidRPr="00A90898">
        <w:rPr>
          <w:i/>
        </w:rPr>
        <w:t>ex</w:t>
      </w:r>
      <w:r>
        <w:t xml:space="preserve"> art. 24.1 CE, al impedir el acceso a la justicia de los titulares de derechos e intereses legítimos, incumplir el requisito de equivalencia material del control judicial y privar de efectividad a las resoluciones judiciales recaídas en conexión con la materia objeto de la norma cuestionada. Los Letrados de la Comunidad y de la Asamblea de Madrid, rechazan todas y cada una de las vulneraciones alegadas y solicitan la desestimación íntegra del recurso.</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Con carácter previo al examen de los motivos de inconstitucionalidad alegados y con la finalidad de alcanzar una mejor comprensión de la problemática planteada, resulta de </w:t>
      </w:r>
      <w:r>
        <w:lastRenderedPageBreak/>
        <w:t>todo punto pertinente analizar el contenido de la disposición adicional impugnada, así como sus antecedentes.</w:t>
      </w:r>
    </w:p>
    <w:p w:rsidR="00A90898" w:rsidRDefault="00A90898" w:rsidP="00A90898">
      <w:pPr>
        <w:pStyle w:val="TextoNormal"/>
      </w:pPr>
    </w:p>
    <w:p w:rsidR="00A90898" w:rsidRDefault="00A90898" w:rsidP="00A90898">
      <w:pPr>
        <w:pStyle w:val="TextoNormal"/>
      </w:pPr>
      <w:r>
        <w:t xml:space="preserve">En el marco de sus competencias en materia de ordenación del territorio, urbanismo y vivienda </w:t>
      </w:r>
      <w:r w:rsidRPr="00A90898">
        <w:rPr>
          <w:i/>
        </w:rPr>
        <w:t>ex</w:t>
      </w:r>
      <w:r>
        <w:t xml:space="preserve"> arts. 148.1.3 CE y 26.1.4 EAM, la Comunidad de Madrid introdujo, mediante la Ley 3/2007, de 26 de julio, de medidas urgentes de modernización del Gobierno y Administración (art. 13), un apartado 8 en el art. 39 de la Ley 9/2001, de 17 de julio, del suelo de la Comunidad de Madrid, que establecía un límite a las alturas de los edificios “tres plantas más ático”, e incorporaba una disposición transitoria que constreñía el alcance de la nueva regulación a “los planes generales y de sectorización que no hayan superado el trámite de aprobación provisional” antes de su entrada en vigor el 31 de julio de 2007. Conviene señalar, en este momento, que las competencias de la Comunidad de Madrid en materia de ordenación territorial y urbanística para aprobar la Ley 4/2015, de 18 de diciembre, que recoge la disposición adicional impugnada, no han sido cuestionadas en modo alguno por los recurrentes, por lo que no constituye objeto de esta controversia, sin perjuicio de las consideraciones que sobre este extremo se realizarán más adelante.</w:t>
      </w:r>
    </w:p>
    <w:p w:rsidR="00A90898" w:rsidRDefault="00A90898" w:rsidP="00A90898">
      <w:pPr>
        <w:pStyle w:val="TextoNormal"/>
      </w:pPr>
    </w:p>
    <w:p w:rsidR="00A90898" w:rsidRDefault="00A90898" w:rsidP="00A90898">
      <w:pPr>
        <w:pStyle w:val="TextoNormal"/>
      </w:pPr>
      <w:r>
        <w:t>Con posterioridad, la Ley 3/2013, de 18 de junio, de patrimonio histórico de la Comunidad de Madrid, incluyó, en su disposición adicional séptima, una nueva redacción de la disposición transitoria de la citada Ley 3/2007, de 26 de julio, añadiendo un párrafo que incrementa la limitación del alcance de la llamada, por los recurrentes, “ley de las tres alturas”: no será de aplicación “al suelo que estuviera clasificado como urbano antes de la entrada en vigor de esta ley, ni a las futuras modificaciones o revisiones de planeamiento que se tramiten sobre el mismo ni tampoco a los instrumentos de planeamiento de desarrollo que afecten a dicho suelo”.</w:t>
      </w:r>
    </w:p>
    <w:p w:rsidR="00A90898" w:rsidRDefault="00A90898" w:rsidP="00A90898">
      <w:pPr>
        <w:pStyle w:val="TextoNormal"/>
      </w:pPr>
    </w:p>
    <w:p w:rsidR="00A90898" w:rsidRDefault="00A90898" w:rsidP="00A90898">
      <w:pPr>
        <w:pStyle w:val="TextoNormal"/>
      </w:pPr>
      <w:r>
        <w:t>Entre la aprobación de ambas leyes, se adopta la Ley 8/2012, de 28 de diciembre, de medidas fiscales y administrativas, que contenía una disposición adicional sexta, carente de efectos retroactivos y relativa a las revisiones y modificaciones del plan general, con dos criterios acumulativos: primero, si la modificación o revisión del plan general se hubiera declarado parcialmente nula por sentencia firme «se llevará a efecto de conformidad con la legislación vigente al tiempo de su aprobación definitiva»; y segundo, esto sólo será de aplicación “en los casos en que los ámbitos declarados nulos hayan contado con plan de sectorización o instrumento de desarrollo aprobados”, y tanto el plan de sectorización como el instrumento de desarrollo se regirán “por la normativa vigente en el momento en que fueran aprobados”.</w:t>
      </w:r>
    </w:p>
    <w:p w:rsidR="00A90898" w:rsidRDefault="00A90898" w:rsidP="00A90898">
      <w:pPr>
        <w:pStyle w:val="TextoNormal"/>
      </w:pPr>
    </w:p>
    <w:p w:rsidR="00A90898" w:rsidRDefault="00A90898" w:rsidP="00A90898">
      <w:pPr>
        <w:pStyle w:val="TextoNormal"/>
      </w:pPr>
      <w:r>
        <w:t xml:space="preserve">En este contexto, tras una serie de vicisitudes judiciales referenciadas en su escrito por los recurrentes para ilustrar a este Tribunal sobre los antecedentes del caso, se aprueba la Ley 4/2015, de 18 de diciembre, de modificación de la Ley 9/2001, de 17 de julio, del suelo de la Comunidad de Madrid, que contiene, además de la norma recurrida, un artículo único que dispone la derogación del apartado 8 del art. 39 de la Ley 9/2001, de 17 de julio, del suelo de la Comunidad de Madrid </w:t>
      </w:r>
      <w:r>
        <w:t>la “ley de las tres alturas”</w:t>
      </w:r>
      <w:r>
        <w:t>. En relación con el citado precepto, sobre el que no se ha formulado reproche alguno de constitucionalidad, hemos de hacer algunas consideraciones por su vinculación con la disposición legal impugnada.</w:t>
      </w:r>
    </w:p>
    <w:p w:rsidR="00A90898" w:rsidRDefault="00A90898" w:rsidP="00A90898">
      <w:pPr>
        <w:pStyle w:val="TextoNormal"/>
      </w:pPr>
    </w:p>
    <w:p w:rsidR="00A90898" w:rsidRDefault="00A90898" w:rsidP="00A90898">
      <w:pPr>
        <w:pStyle w:val="TextoNormal"/>
      </w:pPr>
      <w:r>
        <w:t xml:space="preserve">Como este Tribunal ha declarado, “aunque los preámbulos o exposiciones de motivos de las Leyes carecen de valor normativo (SSTC 36/1981, de 12 de noviembre, FJ 7; 150/1990, </w:t>
      </w:r>
      <w:r>
        <w:lastRenderedPageBreak/>
        <w:t>de 4 de octubre, FJ 2; 173/1998, de 23 de julio, FJ 4; 116/1999, de 17 de junio, FJ 2, y 222/2006, de 6 de julio, FJ 8), sirven, sin embargo, como criterio interpretativo de las disposiciones normativas a las que acompañan para la búsqueda de la voluntad del legislador (SSTC 36/1981, de 12 de noviembre, FJ 7, y 222/2006, de 6 de julio, FJ 8); esto es, sirven para efectuar una interpretación finalista (STC 83/2005, de 7 de abril, FJ 3 a)” (STC 90/2009, de 20 de abril, FJ 6). En este sentido, la justificación de la derogación llevada a cabo por la Ley 4/2015 se expresa, por el propio legislador autonómico, en los siguientes términos: “[e]sta limitación de alturas ha esparcido nuestras ciudades cual mancha de aceite, generando graves problemas en materia de infraestructuras, movilidad y transporte y por ende problemas medioambientales, debido a la utilización ‘obligatoria’ del vehículo privado, quedando grandes zonas de la región sin comunicación por servicios públicos y generando una deuda contra estos nuevos desarrollos en materia de dotaciones y equipamientos públicos de primera necesidad” (preámbulo). Dicha justificación es asumida de manera expresa por los recurrentes, cuando manifiestan compartir objetivo y finalidad de la Ley 4/2015: la derogación de una previsión que “durante su vigencia impuso un modelo de desarrollo urbanístico insostenible social y ambientalmente por fomentar la dispersión territorial, con un considerable incremento de impermeabilización del terreno, así como de consumos energéticos e incremento de los costes de servicios municipales, derivados de una menor densidad poblacional”.</w:t>
      </w:r>
    </w:p>
    <w:p w:rsidR="00A90898" w:rsidRDefault="00A90898" w:rsidP="00A90898">
      <w:pPr>
        <w:pStyle w:val="TextoNormal"/>
      </w:pPr>
    </w:p>
    <w:p w:rsidR="00A90898" w:rsidRDefault="00A90898" w:rsidP="00A90898">
      <w:pPr>
        <w:pStyle w:val="TextoNormal"/>
      </w:pPr>
      <w:r>
        <w:t xml:space="preserve">La derogación de la limitación de alturas representa, por tanto, un cambio de modelo urbanístico auspiciado por las competencias exclusivas que tiene la Comunidad de Madrid, </w:t>
      </w:r>
      <w:r w:rsidRPr="00A90898">
        <w:rPr>
          <w:i/>
        </w:rPr>
        <w:t>ex</w:t>
      </w:r>
      <w:r>
        <w:t xml:space="preserve"> art. 26.1.4 EAM en materia de ordenación del territorio y urbanismo [SSTC 61/1997, de 20 de marzo, FJ 5; y 164/2001, de 11 de julio, FJ 4]; competencia exclusiva autonómica sobre urbanismo que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 STC 61/1997, FJ 6.b)]. Como ya se ha destacado por este Tribunal, “[la] competencia legislativa sobre urbanismo permite a las Comunidades Autónomas fijar sus propias políticas de ordenación de la ciudad, y servirse para ello de las técnicas jurídicas que consideren más adecuadas” (STC 164/2001, FJ 4); esto es, corresponde a las Comunidades Autónomas, en el ejercicio de su competencia legislativa en la materia, diseñar su propia estrategia territorial y urbanística, configurando el modelo de creación de ciudad y los procesos de transformación del suelo. Y, conforme a esta doctrina, nada es reprochable a la previsión derogatoria contenida en la Ley 4/2015.</w:t>
      </w:r>
    </w:p>
    <w:p w:rsidR="00A90898" w:rsidRDefault="00A90898" w:rsidP="00A90898">
      <w:pPr>
        <w:pStyle w:val="TextoNormal"/>
      </w:pPr>
    </w:p>
    <w:p w:rsidR="00A90898" w:rsidRDefault="00A90898" w:rsidP="00A90898">
      <w:pPr>
        <w:pStyle w:val="TextoNormal"/>
      </w:pPr>
      <w:r>
        <w:t xml:space="preserve">Junto al artículo único derogatorio, la disposición adicional objeto de este proceso constitucional tiene como fin, si nos atenemos a su propia rúbrica, la aclaración de la disposición transitoria de la Ley 3/2007, de 26 de julio. Así, en el preámbulo de la Ley 4/2015 se afirma que “se debe establecer una disposición aclaratoria al estado posterior de la derogación de la norma principal, pues entendemos que cuando una norma es derogada no por ello deja de ser aplicable a todos los casos subsumibles bajo su hipótesis ocurridos cuando la norma estaba vigente, entendiendo que es el legislador quien debe denotar el sentido pretendido de la misma”; y dada su función, señala el legislador que la citada norma “no ha de suponer una innovación de la regulación anterior, siendo su objeto el de aclarar un texto legal previo, </w:t>
      </w:r>
      <w:r>
        <w:lastRenderedPageBreak/>
        <w:t>lo que se justifica que se integre en él, debiendo existir una identidad de rango normativo entre la norma aclarada y la aclaratoria”.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Entrando en el examen de su contenido, la disposición adicional impugnada afirma que la limitación de la altura máxima, contemplada en el art. 39.8 Ley 9/2001, sólo será de aplicación a “los Planes Generales y de Sectorización que no hayan superado el trámite de Aprobación Provisional antes de la entrada en vigor de la Ley 3/2007, de 26 de julio” </w:t>
      </w:r>
      <w:r>
        <w:t>reproducción exacta del contenido de la disposición transitoria de la Ley 3/2007 cuya alcance pretende aclarar</w:t>
      </w:r>
      <w:r>
        <w:t>; conforme a esta regla, la limitación de alturas operaría para los planes generales y de sectorización aprobados entre el 31 de julio de 2007 y el 18 de diciembre de 2015, fecha esta última de entrada en vigor de la Ley 4/2015. A continuación, establece la disposición adicional que la limitación, derogada por el artículo único de la Ley 4/2015, no será, en ningún caso, de aplicación:</w:t>
      </w:r>
    </w:p>
    <w:p w:rsidR="00A90898" w:rsidRDefault="00A90898" w:rsidP="00A90898">
      <w:pPr>
        <w:pStyle w:val="TextoNormal"/>
      </w:pPr>
    </w:p>
    <w:p w:rsidR="00A90898" w:rsidRDefault="00A90898" w:rsidP="00A90898">
      <w:pPr>
        <w:pStyle w:val="TextoNormal"/>
      </w:pPr>
      <w:r>
        <w:t xml:space="preserve">– A los planes generales y de sectorización vigentes o aprobados provisionalmente en el momento de la entrada en vigor de la citada Ley 3/2007 (31 de julio) </w:t>
      </w:r>
      <w:r>
        <w:t>criterio que ya se deducía de la disposición transitoria de la Ley 3/2007 en su redacción original</w:t>
      </w:r>
      <w:r>
        <w:t xml:space="preserve">, ni a su respectivo planeamiento de desarrollo tanto si se ha aprobado con anterioridad a la entrada en vigor de la Ley 3/2007, como con posterioridad </w:t>
      </w:r>
      <w:r>
        <w:t>aspecto este que introduce la norma cuestionada</w:t>
      </w:r>
      <w:r>
        <w:t>. En tal sentido, la disposición adicional impugnada va más allá de la norma que pretende aclarar, por cuanto extiende la no aplicación de la limitación de alturas introducida por la Ley 3/2007 no sólo al planeamiento general y de sectorización ya vigente o aprobado provisionalmente con anterioridad al 31 de julio de 2007, sino también a su planeamiento de desarrollo en todo caso, con independencia del momento de su aprobación.</w:t>
      </w:r>
    </w:p>
    <w:p w:rsidR="00A90898" w:rsidRDefault="00A90898" w:rsidP="00A90898">
      <w:pPr>
        <w:pStyle w:val="TextoNormal"/>
      </w:pPr>
    </w:p>
    <w:p w:rsidR="00A90898" w:rsidRDefault="00A90898" w:rsidP="00A90898">
      <w:pPr>
        <w:pStyle w:val="TextoNormal"/>
      </w:pPr>
      <w:r>
        <w:t>– Al suelo clasificado como urbanizable sectorizado o como urbano, consolidado o no, antes de la entrada en vigor de la Ley 3/2007, ni tampoco a las futuras modificaciones o revisiones de planeamiento que se tramiten sobre dichos suelos o a los instrumentos de planeamiento de desarrollo que les afecten, lo que significa proyectar la aplicación de la norma cuestionada a futuras actuaciones. El criterio viene a coincidir, en lo sustancial, con lo previsto en la disposición adicional séptima de la Ley 3/2013 de patrimonio histórico, si bien ahora se aclara que se refiere a la totalidad del suelo urbano, sea consolidado o no, y se extiende con carácter novedoso al suelo urbanizable sectorizado.</w:t>
      </w:r>
    </w:p>
    <w:p w:rsidR="00A90898" w:rsidRDefault="00A90898" w:rsidP="00A90898">
      <w:pPr>
        <w:pStyle w:val="TextoNormal"/>
      </w:pPr>
    </w:p>
    <w:p w:rsidR="00A90898" w:rsidRDefault="00A90898" w:rsidP="00A90898">
      <w:pPr>
        <w:pStyle w:val="TextoNormal"/>
      </w:pPr>
      <w:r>
        <w:t xml:space="preserve">– A la modificación o revisión del plan general que haya sido declarado parcialmente nulo por sentencia firme antes de la entrada en vigor de la Ley 8/2012 (1 de enero de 2013), ni a sus futuras modificaciones o planes de desarrollo que pudieran aprobarse </w:t>
      </w:r>
      <w:r>
        <w:t>nuevo supuesto de aplicación a actuaciones futuras</w:t>
      </w:r>
      <w:r>
        <w:t>, siempre que se dé una condición: que “no resultara de aplicación la Ley 3/2007 por aplicación de la disposición adicional sexta de la Ley 8/2012, de 28 de diciembre”. Se trata de otro aspecto innovador de la disposición adicional impugnada, ya que con él se está dando efecto retroactivo a la previsión contenida en la Ley 8/2012: la exención de la limitación de alturas se aplica a todos los eventuales supuestos de modificaciones o revisiones de planes generales afectados por una declaración judicial de nulidad parcial, antes y después del 1 de enero 2013, siempre que estén aprobados el plan de sectorización o el instrumento de desarrollo, así como a sus futuras modificaciones y eventuales instrumentos de desarrollo.</w:t>
      </w:r>
    </w:p>
    <w:p w:rsidR="00A90898" w:rsidRDefault="00A90898" w:rsidP="00A90898">
      <w:pPr>
        <w:pStyle w:val="TextoNormal"/>
      </w:pPr>
    </w:p>
    <w:p w:rsidR="00A90898" w:rsidRDefault="00A90898" w:rsidP="00A90898">
      <w:pPr>
        <w:pStyle w:val="TextoNormal"/>
      </w:pPr>
      <w:r>
        <w:lastRenderedPageBreak/>
        <w:t xml:space="preserve">Como ya se ha hecho constar, el legislador autonómico afirma, en el propio preámbulo de la Ley 4/2015, que la disposición adicional impugnada, en cuanto norma aclaratoria de la disposición transitoria de la Ley 3/2007, “no ha de suponer una innovación de la regulación anterior”. Sin embargo, al margen de nominalismos y de la deficiente técnica legislativa, lo cierto es que nos encontramos ante una norma innovativa que modifica la disposición transitoria que dice “aclarar”, y lo hace ampliando los ámbitos de exención de la limitación de alturas para las situaciones pendientes y en el marco de una ley, la Ley 4/2015, cuyo único objeto es derogar para el futuro la consabida limitación en aras a un nuevo modelo de desarrollo urbano. Pensemos en la no aplicación de la limitación a todo el planeamiento de desarrollo que en el futuro </w:t>
      </w:r>
      <w:r>
        <w:t>esto es, con posterioridad al 31 de julio de 2007</w:t>
      </w:r>
      <w:r>
        <w:t> pudiera aprobarse en ejecución, a título de ejemplo, de un plan general vigente o aprobado provisionalmente antes de la entrada en vigor de aquélla, o de una modificación o revisión de un plan general declarado nulo, total o parcialmente, por resolución judicial.</w:t>
      </w:r>
    </w:p>
    <w:p w:rsidR="00A90898" w:rsidRDefault="00A90898" w:rsidP="00A90898">
      <w:pPr>
        <w:pStyle w:val="TextoNormal"/>
      </w:pPr>
    </w:p>
    <w:p w:rsidR="00A90898" w:rsidRDefault="00A90898" w:rsidP="00A90898">
      <w:pPr>
        <w:pStyle w:val="TextoNormal"/>
      </w:pPr>
      <w:r>
        <w:t xml:space="preserve">El examen realizado del contenido de la disposición adicional objeto de este proceso constitucional revela de forma clara que no se trata, como manifiesta el legislador autonómico (preámbulo), afirma su rúbrica y sostiene en sus alegaciones el Letrado de la Comunidad de Madrid, de una norma meramente aclaratoria de un texto legal previo </w:t>
      </w:r>
      <w:r>
        <w:t>el previsto en la disposición transitoria de la Ley 3/2007</w:t>
      </w:r>
      <w:r>
        <w:t xml:space="preserve">, limitándose a precisar o despejar las dudas sobre cuál es el régimen jurídico aplicable a los instrumentos de planeamiento atendiendo a la fecha de su aprobación o del tipo de suelo. Bien al contrario, la norma impugnada constituye, atendiendo a su contenido, una nueva norma transitoria </w:t>
      </w:r>
      <w:r>
        <w:t>que podemos calificar de “impropia”</w:t>
      </w:r>
      <w:r>
        <w:t>, por cuanto su objetivo real no es tanto solucionar la colisión temporal de las leyes como facilitar la aplicación de la ley nueva; esto es, la implantación del nuevo modelo urbanístico que inspira a la Ley 4/2015 y su derogación de la limitación de alturas. Esta tesis es asumida por el propio Letrado de la Asamblea de Madrid en su escrito de alegaciones, cuando afirma que se trata de una típica norma transitoria cuyo objeto es resolver el conflicto temporal de leyes mediante la determinación del régimen jurídico aplicable a las situaciones pendientes; norma que modifica el régimen transitorio de la Ley 3/2007, al igual que lo hizo en su momento la disposición adicional séptima de la Ley 3/2013, de patrimonio histórico.</w:t>
      </w:r>
    </w:p>
    <w:p w:rsidR="00A90898" w:rsidRDefault="00A90898" w:rsidP="00A90898">
      <w:pPr>
        <w:pStyle w:val="TextoNormal"/>
      </w:pPr>
    </w:p>
    <w:p w:rsidR="00A90898" w:rsidRDefault="00A90898" w:rsidP="00A90898">
      <w:pPr>
        <w:pStyle w:val="TextoNormal"/>
      </w:pPr>
      <w:r>
        <w:t xml:space="preserve">En conclusión, la disposición adicional recurrida tiene como finalidad someter a una serie de situaciones jurídicas iniciadas con anterioridad, pero aún pendientes, a la misma regla de derecho que con carácter general se establece a partir de la entrada en vigor de la Ley 4/2015 que deroga la limitación de alturas. En otras palabras, la disposición impugnada pretende la inaplicación de la limitación de alturas a determinadas situaciones jurídicas pendientes para facilitar la implantación del nuevo modelo urbanístico. Y lo hace con una regulación diferenciada de la recogida por el antiguo art. 39.8 de la Ley 9/2001 </w:t>
      </w:r>
      <w:r>
        <w:t>que establecía la limitación</w:t>
      </w:r>
      <w:r>
        <w:t xml:space="preserve"> y de la disposición transitoria de la Ley 3/2007 </w:t>
      </w:r>
      <w:r>
        <w:t>que fijaba su alcance</w:t>
      </w:r>
      <w:r>
        <w:t>.</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Los recurrentes plantean dos motivos de inconstitucionalidad que hacen depender de la naturaleza singular de la disposición adicional impugnada, al considerar que participa simultáneamente de los caracteres de ley autoaplicativa y de ley de supuesto de hecho concreto, por lo que abordaremos su examen de forma conjunta. En primer lugar, consideran los recurrentes que la disposición controvertida por su carácter de ley singular vulnera el art. 9.3 CE que proscribe la arbitrariedad, al carecer de motivación, no estar justificada e incluir una medida desproporcionada. Y en segundo lugar, alegan que vulnera también el derecho a la tutela judicial efectiva </w:t>
      </w:r>
      <w:r w:rsidRPr="00A90898">
        <w:rPr>
          <w:i/>
        </w:rPr>
        <w:t>ex</w:t>
      </w:r>
      <w:r>
        <w:t xml:space="preserve"> art. 24.1 CE por un triple motivo: privar a los titulares </w:t>
      </w:r>
      <w:r>
        <w:lastRenderedPageBreak/>
        <w:t>de derechos e intereses legítimos de un recurso directo contra la disposición impugnada; impedir cumplir el requisito de equivalencia material del control que efectúan los jueces y tribunales de la jurisdicción contencioso-administrativa; y obstaculizar que las resoluciones judiciales alcancen la efectividad otorgada por el ordenamiento.</w:t>
      </w:r>
    </w:p>
    <w:p w:rsidR="00A90898" w:rsidRDefault="00A90898" w:rsidP="00A90898">
      <w:pPr>
        <w:pStyle w:val="TextoNormal"/>
      </w:pPr>
    </w:p>
    <w:p w:rsidR="00A90898" w:rsidRDefault="00A90898" w:rsidP="00A90898">
      <w:pPr>
        <w:pStyle w:val="TextoNormal"/>
      </w:pPr>
      <w:r>
        <w:t>No estará de más destacar el carácter excesivamente genérico de muchas de las argumentaciones esgrimidas por los recurrentes para fundamentar la vulneración por parte de la disposición adicional impugnada de los preceptos constitucionales invocados en su demanda, pues el alegato se limita a menudo a una reproducción literal o cita de diferentes sentencias emanadas de este Tribunal sin que se aprecie la necesaria concreción y conexión con el objeto de la presente controversia constitucional.</w:t>
      </w:r>
    </w:p>
    <w:p w:rsidR="00A90898" w:rsidRDefault="00A90898" w:rsidP="00A90898">
      <w:pPr>
        <w:pStyle w:val="TextoNormal"/>
      </w:pPr>
    </w:p>
    <w:p w:rsidR="00A90898" w:rsidRDefault="00A90898" w:rsidP="00A90898">
      <w:pPr>
        <w:pStyle w:val="TextoNormal"/>
      </w:pPr>
      <w:r>
        <w:t>En el examen de la naturaleza de la ley impugnada se debe atender, al igual que se hace en la citada STC 50/2015, FJ 3, a las dos modalidades de leyes singulares diferenciadas por la doctrina de este Tribunal, sistematizadas en la STC 203/2013, FJ 3. En primer lugar, las leyes autoaplicativas entendidas como “las leyes que contienen una actividad, típicamente ejecutiva, de aplicación de la norma al caso concreto” (STC 203/2013, FJ 3, por referencia a los supuestos contemplados en las SSTC 48/2005, de 3 de marzo, sobre la ampliación de la sede del Parlamento de Canarias, y 129/2013, sobre el “caso Santovenia de Pisuerga”); o también como “aquellas que no requieren del dictado de un acto administrativo de aplicación”, por lo que los interesados “sólo pueden solicitar del Juez el planteamiento de la correspondiente cuestión de inconstitucionalidad ante el Tribunal Constitucional” [STC 129/2013, FJ 6 a)]. El canon de constitucionalidad aplicable a este tipo de leyes es el elaborado en la STC 129/2013 (FJ 4), y sistematizado en la STC 231/2015 (FJ 3). En dichas Sentencias afirmamos que “las leyes singulares no constituyen un ejercicio normal de la potestad legislativa” y, en consecuencia, “están sujetas a una serie de límites contenidos en la propia Constitución”, entre los que se encuentran el principio de igualdad; su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así como “la prohibición de condicionamiento del ejercicio de los derechos fundamentales, materia reservada a leyes generales”. Además las leyes autoaplicativas, expropiatorias o no, “deben confrontarse con la garantía de la tutela judicial establecida en el art. 24.1 CE, pues aunque las leyes autoaplicativas expropiatorias ‘ostentan la peculiaridad de ir dirigidas directamente a la privación de un derecho constitucional, las autoaplicativas no expropiatorias son también susceptibles de lesionar derechos e intereses legítimos’. En consecuencia, como ‘el art. 24.1 CE protege todos los derechos e intereses legítimos que reconoce el ordenamiento jurídico y no sólo aquellos expresamente consagrados por la Constitución’, ‘el canon de constitucionalidad del art. 24.1 CE debe necesariamente operar cuando la ley singular que encierra una actividad materialmente administrativa de aplicación de la norma al caso concreto, afecte a los derechos o intereses legítimos a los que el precepto constitucional antes citado presta cobertura’ (STC 129/2013, FJ 4)” (STC 213/2015, FJ 3).</w:t>
      </w:r>
    </w:p>
    <w:p w:rsidR="00A90898" w:rsidRDefault="00A90898" w:rsidP="00A90898">
      <w:pPr>
        <w:pStyle w:val="TextoNormal"/>
      </w:pPr>
    </w:p>
    <w:p w:rsidR="00A90898" w:rsidRDefault="00A90898" w:rsidP="00A90898">
      <w:pPr>
        <w:pStyle w:val="TextoNormal"/>
      </w:pPr>
      <w:r>
        <w:t xml:space="preserve">En segundo lugar, las leyes singulares no autoaplicativas que, a su vez, comprenden dos categorías, las de “destinatario único” o de “de estructura singular en atención a los destinatarios a los que va dirigida” (STC 203/2013, FJ 3, por referencia a la ya citada STC 166/1986) y las dictadas “en atención a un supuesto de hecho concreto, esto es, a una situación singular o excepcional” (STC 203/2013, FJ 3); en otras palabras “‘[a]quellas dictadas </w:t>
      </w:r>
      <w:r>
        <w:lastRenderedPageBreak/>
        <w:t>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de modo que una ley que no fuera de destinatario único, ni autoaplicativa, adolece de tal naturaleza si ha sido dictada en atención a un supuesto de hecho concreto, esto es, a una situación singular o excepcional” (STC 129/2013, FJ 4). En el caso de esta segunda tipología de leyes singulares no autoaplicativas, según declara la STC 129/2013, “el canon de constitucionalidad que debe utilizar este Tribunal al ejercer su función de control de este tipo de leyes es el de la razonabilidad, proporcionalidad y adecuación” (FJ 4); triple canon “que habrá de superar cualquier ley singular para que pueda considerarse constitucional” (STC 203/2013, FJ 4). Este Tribunal habrá de comprobar “si la excepcionalidad del supuesto de hecho contemplado tiene una justificación objetiva —en caso contrario la ley sería arbitraria— y, si es así, si la utilización de la ley es una medida proporcionada a la excepcionalidad que ha justificado su aprobación” (SSTC 203/2013, FJ 5; 50/2015, FJ 5 y 231/2015, FJ 3). Y como ya hemos declarado,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 A esto debe añadirse que en el caso de las leyes singulares de supuesto de hecho concreto ha de valorarse su incidencia “de forma directa, aunque no necesariamente ilegítima, en el derecho a la tutela judicial efectiva”, en cuanto pueda “impedir el acceso al control judicial de derechos e intereses legítimos afectados y eliminar la posibilidad de un control judicial de la misma intensidad que hubieran podido realizar los Tribunales de la jurisdicción contencioso-administrativa” (STC 203/2013, FFJJ 3 y 8).</w:t>
      </w:r>
    </w:p>
    <w:p w:rsidR="00A90898" w:rsidRDefault="00A90898" w:rsidP="00A90898">
      <w:pPr>
        <w:pStyle w:val="TextoNormal"/>
      </w:pPr>
    </w:p>
    <w:p w:rsidR="00A90898" w:rsidRDefault="00A90898" w:rsidP="00A90898">
      <w:pPr>
        <w:pStyle w:val="TextoNormal"/>
      </w:pPr>
      <w:r w:rsidRPr="00A90898">
        <w:rPr>
          <w:rStyle w:val="NumeroAFNegritaCaracter"/>
        </w:rPr>
        <w:t>5</w:t>
      </w:r>
      <w:r>
        <w:t>. Expuesta la doctrina constitucional en materia de leyes singulares y a los fines de nuestro enjuiciamiento de la presente controversia, procede determinar si existe o no el presupuesto del que parten los recurrentes al exponer su duda de constitucionalidad: esto es, si la disposición adicional recurrida tiene su encaje en alguno de los supuestos de ley singular sistematizados en la mencionada STC 203/2013, debiendo aplicársele el canon de constitucionalidad correspondiente. Basta advertir que si no existiera tal presupuesto, sería infundada la consecuencia a la que llegan los recurrentes: la vulneración de los arts. 9.3 y 24.1 CE.</w:t>
      </w:r>
    </w:p>
    <w:p w:rsidR="00A90898" w:rsidRDefault="00A90898" w:rsidP="00A90898">
      <w:pPr>
        <w:pStyle w:val="TextoNormal"/>
      </w:pPr>
    </w:p>
    <w:p w:rsidR="00A90898" w:rsidRDefault="00A90898" w:rsidP="00A90898">
      <w:pPr>
        <w:pStyle w:val="TextoNormal"/>
      </w:pPr>
      <w:r>
        <w:t xml:space="preserve">En cuanto a su eventual consideración como un supuesto de ley autoaplicativa, conviene recordar que esta modalidad de ley singular comprende aquellos casos en los que las leyes “no requieren de una posterior actividad administrativa de aplicación pues en sí mismas la contienen” (STC 129/2013, FJ 2). Así se ha apreciado por este Tribunal con ocasión de las leyes expropiatorias singulares (SSTC 166/1986 y 48/2005), o la aprobación por ley de proyectos regionales de infraestructuras de residuos (STC 129/2013). En este sentido, alegan los recurrentes que la disposición adicional de la Ley 4/2015 es una ley autoaplicativa por </w:t>
      </w:r>
      <w:r>
        <w:lastRenderedPageBreak/>
        <w:t>cuanto se proyecta sobre actuaciones administrativas realizadas en el pasado, por lo que no es susceptible de ser aplicada a nuevos supuestos de hecho, y además tampoco requiere de actos administrativos de aplicación. Es esta una argumentación que no podemos compartir, de acuerdo con lo expuesto en el fundamento jurídico segundo de la presente resolución.</w:t>
      </w:r>
    </w:p>
    <w:p w:rsidR="00A90898" w:rsidRDefault="00A90898" w:rsidP="00A90898">
      <w:pPr>
        <w:pStyle w:val="TextoNormal"/>
      </w:pPr>
    </w:p>
    <w:p w:rsidR="00A90898" w:rsidRDefault="00A90898" w:rsidP="00A90898">
      <w:pPr>
        <w:pStyle w:val="TextoNormal"/>
      </w:pPr>
      <w:r>
        <w:t>Como ya se ha señalado, la disposición adicional impugnada es una nueva norma transitoria “impropia”, que persigue solucionar la colisión temporal de las leyes y facilitar la implantación del nuevo modelo urbanístico que inspira a la Ley 4/2015 y su derogación de la limitación de alturas. A tales efectos, la disposición controvertida pretende regular las situaciones jurídicas iniciadas, que no consumadas, con anterioridad al nuevo régimen y que se proyectan sobre el futuro, por cuanto se aplica a actuaciones que requerirán en su momento de nuevos actos administrativos; esto es, la aprobación de nuevos instrumentos urbanísticos o de sus modificaciones o revisiones, y ello con el objeto de hacer posible el desarrollo del nuevo modelo urbanístico adoptado. Por las razones expuestas, no se puede considerar que estemos ante un supuesto de ley autoaplicativa.</w:t>
      </w:r>
    </w:p>
    <w:p w:rsidR="00A90898" w:rsidRDefault="00A90898" w:rsidP="00A90898">
      <w:pPr>
        <w:pStyle w:val="TextoNormal"/>
      </w:pPr>
    </w:p>
    <w:p w:rsidR="00A90898" w:rsidRDefault="00A90898" w:rsidP="00A90898">
      <w:pPr>
        <w:pStyle w:val="TextoNormal"/>
      </w:pPr>
      <w:r>
        <w:t xml:space="preserve">Más evidente es, si cabe, la imposibilidad de calificar a la disposición adicional de la Ley 4/2015 como una ley de destinatario único o de estructura singular en atención a los destinatarios a los que va dirigida (como era el supuesto contemplado en la STC 166/1988), pues tiene por objeto, regular situaciones jurídicas iniciadas con anterioridad para favorecer la implantación del nuevo modelo urbanístico; es decir, se dirige a todo el planeamiento urbanístico, general o de desarrollo, aprobado o que se pueda aprobar, así como a sus eventuales modificaciones o revisiones. Aunque la identidad de los destinatarios pueda ser determinable de alguna forma </w:t>
      </w:r>
      <w:r>
        <w:t>la totalidad de los Ayuntamientos de la Comunidad de Madrid, amén de los operadores privados</w:t>
      </w:r>
      <w:r>
        <w:t>, “resulta notorio que la identidad de los destinatarios de la disposición cuestionada no ha sido tenida en cuenta como factor determinante del contenido de su regulación ni constituye en sí un dato obvio o que se aprecie con su simple lectura” (STC 231/2015, FJ 3).</w:t>
      </w:r>
    </w:p>
    <w:p w:rsidR="00A90898" w:rsidRDefault="00A90898" w:rsidP="00A90898">
      <w:pPr>
        <w:pStyle w:val="TextoNormal"/>
      </w:pPr>
    </w:p>
    <w:p w:rsidR="00A90898" w:rsidRDefault="00A90898" w:rsidP="00A90898">
      <w:pPr>
        <w:pStyle w:val="TextoNormal"/>
      </w:pPr>
      <w:r>
        <w:t>Debemos examinar, por último, si nos encontramos ante una ley singular dictada en atención a un supuesto de hecho concreto que es el que justificaría la utilización de la ley, tal como se reconoció por este Tribunal, entre otras, en la STC 203/2013, sobre el proyecto regional “Ciudad del Medio Ambiente” de Soria, o en la STC 50/2015, relativa a la modificación del plan de ordenación de los recursos naturales de Fuentes Carrionas y Fuente Cobre-Montaña Palentina (Palencia). Tal es la tesis sostenida por los recurrentes que se limitan a reproducir, sin mayor argumentación, el contenido de la STC 231/2015, si bien es cierto que en la relación de hechos de su demanda y al hilo de la denuncia de la eventual vulneración del art. 24.1 CE, invocan dos resoluciones judiciales emanadas del Tribunal Superior de Justicia de Madrid recogidas en los antecedentes de la presente resolución, cuya eficacia se pretende enervar con la disposición adicional impugnada. No obstante, tanto la premisa de la que parten los recurrentes como la conclusión a la que llegan no pueden ser aceptadas.</w:t>
      </w:r>
    </w:p>
    <w:p w:rsidR="00A90898" w:rsidRDefault="00A90898" w:rsidP="00A90898">
      <w:pPr>
        <w:pStyle w:val="TextoNormal"/>
      </w:pPr>
    </w:p>
    <w:p w:rsidR="00A90898" w:rsidRDefault="00A90898" w:rsidP="00A90898">
      <w:pPr>
        <w:pStyle w:val="TextoNormal"/>
      </w:pPr>
      <w:r>
        <w:t xml:space="preserve">Para descartar que se trate de una regulación </w:t>
      </w:r>
      <w:r w:rsidRPr="00A90898">
        <w:rPr>
          <w:i/>
        </w:rPr>
        <w:t>ad casum</w:t>
      </w:r>
      <w:r>
        <w:t xml:space="preserve"> y con la finalidad que los recurrentes le atribuyen, es suficiente observar que el objeto de la disposición adicional no es regular el planeamiento urbanístico general o los planes de desarrollo de uno o varios Ayuntamientos concretos, ni atender a resolver los problemas suscitados en relación con operaciones urbanísticas especialmente trascendentes. La disposición adicional en cuestión es una norma con vocación de generalidad, que tiene como pretensión someter al conjunto de los </w:t>
      </w:r>
      <w:r>
        <w:lastRenderedPageBreak/>
        <w:t>planes urbanísticos generales o de desarrollo, aprobados o que se puedan aprobar en el ámbito territorial de la Comunidad de Madrid, así como a sus posibles modificaciones o revisiones, a la misma regla de Derecho que con carácter general se establece tras la entrada en vigor de la Ley 4/2015, derogatoria de la limitación de alturas.</w:t>
      </w:r>
    </w:p>
    <w:p w:rsidR="00A90898" w:rsidRDefault="00A90898" w:rsidP="00A90898">
      <w:pPr>
        <w:pStyle w:val="TextoNormal"/>
      </w:pPr>
    </w:p>
    <w:p w:rsidR="00A90898" w:rsidRDefault="00A90898" w:rsidP="00A90898">
      <w:pPr>
        <w:pStyle w:val="TextoNormal"/>
      </w:pPr>
      <w:r>
        <w:t xml:space="preserve">Por otra parte, esta tesis no se ve contradicha, como pretenden los recurrentes, por el hecho de que el legislador autonómico afirme, en el preámbulo de la Ley 4/2015, que, junto a la implantación de un nuevo modelo urbanístico, se pretenda resolver un problema planteado a varios de los Ayuntamientos de la Comunidad madrileña en relación con los planeamientos de desarrollo que se pretendieron ejecutar durante la vigencia de la norma limitadora de las alturas. Se afirma por el legislador madrileño que “desde hace ocho años, la Comunidad de Madrid se encuentra a la deriva dentro de un mar de sentencias judiciales”, ya que dichos instrumentos de ordenación urbanística están “siendo paralizados y anulados de forma sistemática por el poder judicial, convirtiendo a los jueces en los verdaderos agentes urbanizadores del territorio”. Realizando una valoración del contenido del preámbulo en su conjunto, consideramos que tales afirmaciones no son más que el reconocimiento de una realidad judicial, de una problemática si se quiere, pero de ningún modo cabe deducir que la norma objeto de controversia sea la respuesta </w:t>
      </w:r>
      <w:r w:rsidRPr="00A90898">
        <w:rPr>
          <w:i/>
        </w:rPr>
        <w:t>ad casum</w:t>
      </w:r>
      <w:r>
        <w:t xml:space="preserve"> a unas concretas resoluciones judiciales. Esta consideración tampoco se ve desvirtuada, como alegan los recurrentes, por las opiniones expresadas durante la tramitación de la ley en la Asamblea madrileña, puesto que tales manifestaciones “pertenecen al ámbito del debate y las opciones políticas, sin que constituyan en modo alguno elementos interpretativos” de la disposición cuestionada (STC 73/2000, FJ 6).</w:t>
      </w:r>
    </w:p>
    <w:p w:rsidR="00A90898" w:rsidRDefault="00A90898" w:rsidP="00A90898">
      <w:pPr>
        <w:pStyle w:val="TextoNormal"/>
      </w:pPr>
    </w:p>
    <w:p w:rsidR="00A90898" w:rsidRDefault="00A90898" w:rsidP="00A90898">
      <w:pPr>
        <w:pStyle w:val="TextoNormal"/>
      </w:pPr>
      <w:r>
        <w:t>La finalidad perseguida por la Ley 4/2015 y, por tanto, por la propia disposición adicional recurrida es constitucionalmente legítima, en cuanto expresión de una opción política adoptada al amparo de las competencias autonómicas. Esta disposición se inserta en el contexto normativo del nuevo régimen jurídico que se establece como consecuencia de la derogación de la regla de limitación de alturas por el artículo único de la Ley 4/2015, y se encamina a facilitar el desarrollo del nuevo modelo urbanístico, que recordemos es también asumido y defendido por los recurrentes.</w:t>
      </w:r>
    </w:p>
    <w:p w:rsidR="00A90898" w:rsidRDefault="00A90898" w:rsidP="00A90898">
      <w:pPr>
        <w:pStyle w:val="TextoNormal"/>
      </w:pPr>
    </w:p>
    <w:p w:rsidR="00A90898" w:rsidRDefault="00A90898" w:rsidP="00A90898">
      <w:pPr>
        <w:pStyle w:val="TextoNormal"/>
      </w:pPr>
      <w:r>
        <w:t>A la vista de lo expuesto, podemos concluir que la disposición adicional de la Ley 4/2015, dada su naturaleza normativa y carácter general, no puede ser calificada de ley singular, no encajando en ninguna de las modalidades o tipologías diferenciadas por la doctrina elaborada por este Tribunal. Al constituir la pretendida naturaleza singular de la norma recurrida el presupuesto o fundamento de la duda de constitucionalidad alegada por los recurrentes, no cabe otra consecuencia que considerar la exclusión del examen de la disposición adicional desde la perspectiva de los arts. 9.3 y 24.1 CE, por entender infundada su vulneración.</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Queda por examinar un último motivo de inconstitucionalidad en el que incurriría la disposición adicional objeto de impugnación, a saber: la eventual vulneración del art. 117.3 CE en relación con el art. 9.3 CE por tratarse de una norma meramente interpretativa que tiene como fin imponer al poder judicial una única interpretación sobre un precepto ya en vigor y, además, hacerlo con efecto retroactivo. Los recurrentes apoyan su argumentación en la doctrina emanada de este Tribunal a partir de la STC 76/1983, de 5 de agosto, que a su juicio prohíbe, por analogía, las normas meramente interpretativas de preceptos legales </w:t>
      </w:r>
      <w:r>
        <w:lastRenderedPageBreak/>
        <w:t>anteriores al suponer una intromisión en la función jurisdiccional. Además, también invocan el contenido del preámbulo de la Ley 4/2015, sobre cuyo alcance y sentido ya nos hemos pronunciado en el fundamento jurídico precedente de esta resolución.</w:t>
      </w:r>
    </w:p>
    <w:p w:rsidR="00A90898" w:rsidRDefault="00A90898" w:rsidP="00A90898">
      <w:pPr>
        <w:pStyle w:val="TextoNormal"/>
      </w:pPr>
    </w:p>
    <w:p w:rsidR="00A90898" w:rsidRDefault="00A90898" w:rsidP="00A90898">
      <w:pPr>
        <w:pStyle w:val="TextoNormal"/>
      </w:pPr>
      <w:r>
        <w:t>Por lo pronto, rechazable resulta la tesis sobre la doctrina que arranca de la citada STC 76/1983 y que luego se aquilata en posteriores sentencias (SSTC 76/1988, de 26 de abril, FJ 7; 227/1988, de 29 de noviembre, FJ 3, y 40/1998, de 19 de febrero, FJ 6). La doctrina sentada en la STC 76/1983 responde específicamente a “la necesidad de custodiar la permanente distinción entre la objetivación del poder constituyente y la actuación de los poderes constituidos”, subrayando que la misma “ha sido elaborada como revelan una lectura contextualizada de la misma y los posteriores pronunciamientos del Tribunal Constitucional de los que se ha dejado constancia, en íntima conexión o constante imbricación con unos concretos y determinados preceptos constitucionales, los relativos al sistema de distribución de competencias entre el Estado y las Comunidades Autónomas y, además, respecto a interpretaciones generales y abstractas del sistema de distribución de competencias, efectuadas con pretensiones normativas de validez general y de vinculación, por tanto, a las Comunidades Autónomas, sin una expresa previsión constitucional o estatutaria en favor del legislador estatal” (STC 15/2000, de 20 de enero, FJ 4).</w:t>
      </w:r>
    </w:p>
    <w:p w:rsidR="00A90898" w:rsidRDefault="00A90898" w:rsidP="00A90898">
      <w:pPr>
        <w:pStyle w:val="TextoNormal"/>
      </w:pPr>
    </w:p>
    <w:p w:rsidR="00A90898" w:rsidRDefault="00A90898" w:rsidP="00A90898">
      <w:pPr>
        <w:pStyle w:val="TextoNormal"/>
      </w:pPr>
      <w:r>
        <w:t>En el presente caso, y conforme a lo que ya hemos declarado en la STC 139/2005, de 26 de mayo, FJ 3, “es obvio que no estamos ante un supuesto en el que resulte insoslayable custodiar la distinción entre ‘la objetivación del poder constituyente y la actuación de los poderes constituidos’”. Además, “las relaciones entre los poderes legislativo y el judicial no se establecen, como es obvio, en términos de supra e infraordenación, a diferencia del presupuesto del que partía, en la distinción entre poder constituyente y poderes constituidos, la STC 76/1983”. Y, por último, el precepto constitucional invocado por los recurrentes como canon de constitucionalidad (art. 117.3 CE) no atañe al orden constitucional de distribución de competencias ni, consecuentemente, la norma cuestionada plasma una interpretación general y abstracta de dicho orden.</w:t>
      </w:r>
    </w:p>
    <w:p w:rsidR="00A90898" w:rsidRDefault="00A90898" w:rsidP="00A90898">
      <w:pPr>
        <w:pStyle w:val="TextoNormal"/>
      </w:pPr>
    </w:p>
    <w:p w:rsidR="00A90898" w:rsidRDefault="00A90898" w:rsidP="00A90898">
      <w:pPr>
        <w:pStyle w:val="TextoNormal"/>
      </w:pPr>
      <w:r>
        <w:t>Por lo demás, la aprobación de la Ley 4/2015 y, por ende, de la disposición adicional objeto de la presente controversia constitucional no tiene como finalidad interpretar el ordenamiento jurídico ni imponer ninguna interpretación, sino que hace lo que le es propio; esto es, innovar el ordenamiento jurídico: por una parte, derogando una norma anterior (artículo único), y, por otra parte, estableciendo una nueva regulación transitoria (disposición adicional), en los términos expresados en el fundamento jurídico segundo de la presente resolución. En este sentido,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(STC 139/2005, FJ 3).</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seis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0" w:name="SENTENCIA_2016_171"/>
      <w:r>
        <w:lastRenderedPageBreak/>
        <w:t>SENTENCIA 171/2016, de 6 de octubre de 2016</w:t>
      </w:r>
    </w:p>
    <w:bookmarkEnd w:id="50"/>
    <w:p w:rsidR="00A90898" w:rsidRDefault="00A90898" w:rsidP="00A90898">
      <w:pPr>
        <w:pStyle w:val="TtuloResolucin"/>
      </w:pPr>
      <w:r>
        <w:t>Pleno</w:t>
      </w:r>
    </w:p>
    <w:p w:rsidR="00A90898" w:rsidRDefault="00A90898" w:rsidP="00A90898">
      <w:pPr>
        <w:pStyle w:val="TtuloBOE"/>
      </w:pPr>
      <w:r>
        <w:t>(BOE núm. 276, de 15 de noviembre de 2016)</w:t>
      </w:r>
    </w:p>
    <w:p w:rsidR="00A90898" w:rsidRDefault="00A90898" w:rsidP="00A90898">
      <w:pPr>
        <w:pStyle w:val="TextoNormalCentrado"/>
      </w:pPr>
      <w:r>
        <w:t>ECLI:ES:TC:2016:171</w:t>
      </w:r>
    </w:p>
    <w:p w:rsidR="00A90898" w:rsidRDefault="00A90898" w:rsidP="00A90898">
      <w:pPr>
        <w:pStyle w:val="TextoNormalCentrado"/>
      </w:pPr>
    </w:p>
    <w:p w:rsidR="00A90898" w:rsidRDefault="00A90898" w:rsidP="00A90898">
      <w:pPr>
        <w:pStyle w:val="SntesisDescriptiva"/>
      </w:pPr>
      <w:r>
        <w:t>Conflicto positivo de competencia 2761-2016. Planteado por el Gobierno de la Generalitat de Cataluña en relación con diversos preceptos del Real Decreto 56/2016, de 12 de febrero, por el que se transpone la Directiva 2012/27/UE, del Parlamento Europeo y del Consejo, de 25 de octubre de 2012, relativa a la eficiencia energética, en lo referente a las auditorías energéticas, acreditación de proveedores de servicios y auditores energéticos y promoción de la eficiencia del suministro de energía.</w:t>
      </w:r>
    </w:p>
    <w:p w:rsidR="00A90898" w:rsidRDefault="00A90898" w:rsidP="00A90898">
      <w:pPr>
        <w:pStyle w:val="SntesisDescriptiva"/>
      </w:pPr>
    </w:p>
    <w:p w:rsidR="00A90898" w:rsidRDefault="00A90898" w:rsidP="00A90898">
      <w:pPr>
        <w:pStyle w:val="SntesisAnaltica"/>
      </w:pPr>
      <w:r>
        <w:t>Competencias sobre ordenación general de la economía, medio ambiente y energía: interpretación conforme de los preceptos reglamentarios que atribuyen competencias a la Administración del Estado en función de la potencia de instalaciones térmicas de generación de electricidad (STC 32/2016).</w:t>
      </w:r>
    </w:p>
    <w:p w:rsidR="00A90898" w:rsidRDefault="00A90898" w:rsidP="00A90898">
      <w:pPr>
        <w:pStyle w:val="SntesisAnaltica"/>
      </w:pPr>
    </w:p>
    <w:p w:rsidR="00A90898" w:rsidRDefault="00A90898" w:rsidP="00A90898">
      <w:pPr>
        <w:pStyle w:val="Extracto"/>
      </w:pPr>
      <w:r>
        <w:t>1.</w:t>
      </w:r>
      <w:r>
        <w:tab/>
        <w:t>La doctrina contenida en las  SSTC 32/2016 y 181/2013 permite llegar a una interpretación conforme de la norma examinada, debiendo entenderse que no vulnera la distribución competencial, en la medida en que la aplicación de los criterios técnicos de potencia térmica total allí previstos para las instalaciones térmicas de generación de electricidad, que apliquen la cogeneración de alta eficiencia, coincidan materialmente con los criterios constitucionales del aprovechamiento y del transporte intra- o extracomunitario contemplados en el art. 149.1.22 CE [FJ 6].</w:t>
      </w:r>
    </w:p>
    <w:p w:rsidR="00A90898" w:rsidRDefault="00A90898" w:rsidP="00A90898">
      <w:pPr>
        <w:pStyle w:val="Extracto"/>
      </w:pPr>
    </w:p>
    <w:p w:rsidR="00A90898" w:rsidRDefault="00A90898" w:rsidP="00A90898">
      <w:pPr>
        <w:pStyle w:val="Extracto"/>
      </w:pPr>
      <w:r>
        <w:t>2.</w:t>
      </w:r>
      <w:r>
        <w:tab/>
        <w:t>La competencia para eximir o no de análisis individualizado de costes y beneficios, en la medida en que se inserta como trámite previo en el procedimiento de autorización de las instalaciones con potencia térmica total superior a 20 Mw, habrá de corresponder al titular de la competencia para el otorgamiento de la autorización; y, por ello, la referencia que en la norma controvertida se efectúa a la Dirección general de política energética y minas ha de ser entendida en relación con aquellas instalaciones respecto de las cuales le corresponda la competencia para el otorgamiento de la correspondiente autorización administrativa [FJ 6].</w:t>
      </w:r>
    </w:p>
    <w:p w:rsidR="00A90898" w:rsidRDefault="00A90898" w:rsidP="00A90898">
      <w:pPr>
        <w:pStyle w:val="Extracto"/>
      </w:pPr>
    </w:p>
    <w:p w:rsidR="00A90898" w:rsidRDefault="00A90898" w:rsidP="00A90898">
      <w:pPr>
        <w:pStyle w:val="Extracto"/>
      </w:pPr>
      <w:r>
        <w:t>3.</w:t>
      </w:r>
      <w:r>
        <w:tab/>
        <w:t>Doctrina sobre el ejercicio de funciones ejecutivas por parte del Estado en los casos de supraterritorialidad de la actividad a realizar y de necesidad de homogeneidad técnica  (STC 53/2016) [FJ 5].</w:t>
      </w:r>
    </w:p>
    <w:p w:rsidR="00A90898" w:rsidRDefault="00A90898" w:rsidP="00A90898">
      <w:pPr>
        <w:pStyle w:val="Extracto"/>
      </w:pPr>
    </w:p>
    <w:p w:rsidR="00A90898" w:rsidRDefault="00A90898" w:rsidP="00A90898">
      <w:pPr>
        <w:pStyle w:val="Extracto"/>
      </w:pPr>
      <w:r>
        <w:t>4.</w:t>
      </w:r>
      <w:r>
        <w:tab/>
        <w:t>Si bien la norma controvertida contempla una medida ejecutiva de carácter básico -el alcance supraterritorial de la actividad a realizar-, la exigencia de una coordinación de datos que supera la perspectiva autonómica, así como el carácter esencial de la coherencia y homogeneidad técnica de la actuación de las Administraciones públicas en la valoración y elaboración de estos parámetros en orden a la posterior planificación del potencial de uso de esta fórmula de eficiencia energética, hacen inviable la descentralización de dicha actividad y exigen la coordinación por un único sujeto, que necesariamente ha de ser el Estado (STC 53/2016)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conflicto positivo de competencia núm. 2761-2016 planteado por el Gobierno de la Generalitat de Cataluña en relación con el art. 13 y disposiciones finales primera y cuarta del Real Decreto 56/2016, de 12 de febrero, por el que se transpone la Directiva 2012/27/UE, del Parlamento Europeo y del Consejo, de 25 de octubre de 2012, relativa a la eficiencia energética, en lo referente a las auditorías energéticas, acreditación de proveedores de servicios y auditores energéticos y promoción de la eficiencia del suministro de energía. Ha comparecido y formulado alegaciones el Abogado del Estado.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19 de mayo de 2016, la Abogada de la Generalitat de Cataluña, en la representación que legalmente ostenta, promueve conflicto positivo de competencia en relación con el art. 13 y disposiciones finales primera y cuarta del Real Decreto 56/2016, de 12 de febrero, por el que se transpone la Directiva 2012/27/UE, del Parlamento Europeo y del Consejo, de 25 de octubre de 2012, relativa a la eficiencia energética, en lo referente a las auditorías energéticas, acreditación de proveedores de servicios y auditores energéticos y promoción de la eficiencia del suministro de energía.</w:t>
      </w:r>
    </w:p>
    <w:p w:rsidR="00A90898" w:rsidRDefault="00A90898" w:rsidP="00A90898">
      <w:pPr>
        <w:pStyle w:val="TextoNormal"/>
      </w:pPr>
    </w:p>
    <w:p w:rsidR="00A90898" w:rsidRDefault="00A90898" w:rsidP="00A90898">
      <w:pPr>
        <w:pStyle w:val="TextoNormal"/>
      </w:pPr>
      <w:r>
        <w:t>Tras hacer referencia al objeto y al contenido del Real Decreto 56/2016, el escrito de demanda considera que los preceptos impugnados regulan aspectos relacionados con la cogeneración de energía, debiendo entenderse este concepto, de conformidad con lo dispuesto en el art. 2.30 de la Directiva 2012/27/UE, como el procedimiento de generación simultánea de energía térmica y de energía eléctrica o mecánica en un único proceso, a partir de una misma fuente y con el fin de aprovechar el calor que se produce. En cuanto a la cogeneración de alta eficiencia, el considerando 38 de la citada Directiva la define como aquella que permite ahorrar energía mediante la producción combinada, en lugar de separada, de calor y electricidad.</w:t>
      </w:r>
    </w:p>
    <w:p w:rsidR="00A90898" w:rsidRDefault="00A90898" w:rsidP="00A90898">
      <w:pPr>
        <w:pStyle w:val="TextoNormal"/>
      </w:pPr>
    </w:p>
    <w:p w:rsidR="00A90898" w:rsidRDefault="00A90898" w:rsidP="00A90898">
      <w:pPr>
        <w:pStyle w:val="TextoNormal"/>
      </w:pPr>
      <w:r>
        <w:lastRenderedPageBreak/>
        <w:t>Se afirma que el art. 13 y la disposición final primera del Real Decreto 56/2016 forman parte del conjunto de actuaciones dirigidas a fomentar la implantación de la cogeneración en las instalaciones de producción de energía eléctrica, con el objeto de hacer posible la generación distribuida y contribuir al ahorro y a la eficiencia energética. De acuerdo con ello, y en la medida en que estas actuaciones están directamente relacionadas con el aprovechamiento de producción de energía eléctrica y térmica, en particular con los aspectos técnicos que pueden mejorar la eficiencia energética, el título competencial con el que guardan una conexión más directa es el previsto en el art. 149.1.25 CE, aunque en las mismas también subyace la idea de protección medioambiental (art. 149.1.23 CE), puesto que el ahorro de energía puede incidir positivamente en el cambio climático.</w:t>
      </w:r>
    </w:p>
    <w:p w:rsidR="00A90898" w:rsidRDefault="00A90898" w:rsidP="00A90898">
      <w:pPr>
        <w:pStyle w:val="TextoNormal"/>
      </w:pPr>
    </w:p>
    <w:p w:rsidR="00A90898" w:rsidRDefault="00A90898" w:rsidP="00A90898">
      <w:pPr>
        <w:pStyle w:val="TextoNormal"/>
      </w:pPr>
      <w:r>
        <w:t>Si bien la disposición final cuarta del Real Decreto invoca también como título habilitante el art. 149.1.13 CE, se señala —con una extensa cita de la jurisprudencia constitucional en la materia— que este título de ser interpretado de forma estricta cuando concurre con una materia o título competencial más específico, y que no toda norma o medida con incidencia económica puede encontrar cobertura en dicho precepto constitucional, si no posee una incidencia directa y significativa sobre la actividad económica general. Ello lleva a afirmar que en relación con los preceptos impugnados, bien encajen en materia de medio ambiente, o bien en materia de energía, la Generalitat ostenta competencias compartidas, y por ello le corresponde el ejercicio de las funciones ejecutivas, de acuerdo con lo previsto en el art. 111 del Estatuto de Autonomía de Cataluña (EAC), y solo excepcionalmente el Estado podrá reservarse el ejercicio de las mismas.</w:t>
      </w:r>
    </w:p>
    <w:p w:rsidR="00A90898" w:rsidRDefault="00A90898" w:rsidP="00A90898">
      <w:pPr>
        <w:pStyle w:val="TextoNormal"/>
      </w:pPr>
    </w:p>
    <w:p w:rsidR="00A90898" w:rsidRDefault="00A90898" w:rsidP="00A90898">
      <w:pPr>
        <w:pStyle w:val="TextoNormal"/>
      </w:pPr>
      <w:r>
        <w:t>En cuanto al concreto examen de los preceptos impugnados, considera la demanda que el artículo 13 viene a reservar al Estado funciones ejecutivas, que de acuerdo con el canon de constitucionalidad expuesto, corresponden a la Generalitat, como son: el “análisis de costes y beneficios” de los proyectos de instalaciones que están ubicadas en Cataluña; la realización de la “evaluación completa” en Cataluña; así como la decisión de qué proyectos de instalaciones quedan eximidos de efectuar el análisis de costes y beneficios individualizado. Una regulación respetuosa con el esquema de distribución de competencias comportaría que el Estado incorpore o agregue los datos facilitados por las Comunidades Autónomas para llevar a cabo tanto la evaluación completa en todo el territorio español (apartado 1), como el análisis de costes y beneficios (apartado 3) y que reconozca a la Generalitat la función de decidir los supuestos eximidos del análisis de costes y beneficios individualizados, como una parte más del procedimiento de autorización de las instalaciones sobre las que tiene competencia (apartado 4).</w:t>
      </w:r>
    </w:p>
    <w:p w:rsidR="00A90898" w:rsidRDefault="00A90898" w:rsidP="00A90898">
      <w:pPr>
        <w:pStyle w:val="TextoNormal"/>
      </w:pPr>
    </w:p>
    <w:p w:rsidR="00A90898" w:rsidRDefault="00A90898" w:rsidP="00A90898">
      <w:pPr>
        <w:pStyle w:val="TextoNormal"/>
      </w:pPr>
      <w:r>
        <w:t>La propia Directiva 2012/27/UE prevé que estos documentos, tanto la evaluación completa como el análisis de costes y beneficios, puedan estar formados por un conjunto de planes, mapas y proyectos regionales o locales, lo que contradice el hecho de que solo se pueda llevar a cabo desde una perspectiva estatal, afirmando —como se ha hecho en la contestación al requerimiento de incompetencia— que requiere valores y parámetros de alcance nacional para realizar una evaluación homogénea, que a su vez permita realizar la comparación en diversos puntos de la geografía nacional en condiciones equivalentes, y que no pueda limitarse a agregar las evaluaciones que realicen las Comunidades Autónomas en sus respectivos territorios.</w:t>
      </w:r>
    </w:p>
    <w:p w:rsidR="00A90898" w:rsidRDefault="00A90898" w:rsidP="00A90898">
      <w:pPr>
        <w:pStyle w:val="TextoNormal"/>
      </w:pPr>
    </w:p>
    <w:p w:rsidR="00A90898" w:rsidRDefault="00A90898" w:rsidP="00A90898">
      <w:pPr>
        <w:pStyle w:val="TextoNormal"/>
      </w:pPr>
      <w:r>
        <w:lastRenderedPageBreak/>
        <w:t xml:space="preserve">Precisa la demanda que no se discute que el Estado, en virtud de sus competencias básicas tanto en materia de energía como de medioambiente, pueda establecer unos valores o parámetros de alcance nacional, que sirvan para llevar a cabo la evaluación y el análisis mencionados, pues lo que se cuestiona es que se sustraiga a la Generalitat la función para realizar en su territorio estas actuaciones, en base a los valores y parámetros fijados por el Estado o por la propia Directiva 2012/27/UE, sin que se vislumbre tampoco el interés general que ostenta el Estado, que haga necesario que sólo sus órganos puedan obtener esta información, pues el interés general se ha de materializar a través del orden de distribución de competencias excluyendo cualquier consideración teleológica. Asimismo el objetivo al que se dirige esa reserva al Estado de funciones ejecutivas, tampoco reviste un carácter directivo que lo identifique con las bases de la planificación general de la actividad económica, por lo que no se cumplen los límites que la jurisprudencia constitucional ha establecido para el ejercicio de la competencia estatal </w:t>
      </w:r>
      <w:r w:rsidRPr="00A90898">
        <w:rPr>
          <w:i/>
        </w:rPr>
        <w:t>ex</w:t>
      </w:r>
      <w:r>
        <w:t xml:space="preserve"> art. 149.1.13 CE.</w:t>
      </w:r>
    </w:p>
    <w:p w:rsidR="00A90898" w:rsidRDefault="00A90898" w:rsidP="00A90898">
      <w:pPr>
        <w:pStyle w:val="TextoNormal"/>
      </w:pPr>
    </w:p>
    <w:p w:rsidR="00A90898" w:rsidRDefault="00A90898" w:rsidP="00A90898">
      <w:pPr>
        <w:pStyle w:val="TextoNormal"/>
      </w:pPr>
      <w:r>
        <w:t>En último extremo, la exención de llevar a cabo el análisis de costes y beneficios de determinadas instalaciones (artículo 13.4) corresponde indudablemente a la Generalitat, porque es la que ha de resolver la autorización de la instalación, ya que si quedan exentas del análisis individualizado de costes y beneficios, es porque tienen una potencia que solo dará servicio a la propia instalación y, por tanto, la energía no saldrá de Cataluña; y además, porque la exención de hacer el análisis se decide en base a los datos de la evaluación y el análisis de costes que se ha realizado sobre instalaciones que están en el territorio de Cataluña y que se pueden hacer con los planes, mapas y estrategias regionales. En consecuencia, se estima que este precepto reserva al Estado funciones ejecutivas que corresponden a la Comunidad Autónoma y vulnera el art. 133 EAC.</w:t>
      </w:r>
    </w:p>
    <w:p w:rsidR="00A90898" w:rsidRDefault="00A90898" w:rsidP="00A90898">
      <w:pPr>
        <w:pStyle w:val="TextoNormal"/>
      </w:pPr>
    </w:p>
    <w:p w:rsidR="00A90898" w:rsidRDefault="00A90898" w:rsidP="00A90898">
      <w:pPr>
        <w:pStyle w:val="TextoNormal"/>
      </w:pPr>
      <w:r>
        <w:t xml:space="preserve">La disposición final primera introduce un nuevo art. 121 </w:t>
      </w:r>
      <w:r w:rsidRPr="00A90898">
        <w:rPr>
          <w:i/>
        </w:rPr>
        <w:t>bis</w:t>
      </w:r>
      <w:r>
        <w:t xml:space="preserve"> en el Real Decreto 1955/2000, de 1 de diciembre, en virtud del cual se prevé, en el primer apartado, un trámite previo o simultáneo a la solicitud de autorización administrativa de la instalación, consistente en que el peticionario presente ante el órgano estatal el análisis de costes y beneficios individualizado para adaptar el funcionamiento de la instalación proyectada a la cogeneración de alta eficiencia, siempre que recaiga sobre una instalación cuya potencia térmica total sea superior a 20 Mw; y en el segundo apartado atribuye al órgano estatal la potestad de denegar la autorización, si no contempla la cogeneración de alta eficiencia, cuando el análisis de costes y beneficios sea favorable a su incorporación. Entiende la demanda que la modificación introducida determina que se atribuya a la Administración del Estado la competencia para resolver las autorizaciones de nuevas instalaciones térmicas de generación de electricidad o de modificación de las existentes, cuya potencia térmica total sea superior a 20 Mw.</w:t>
      </w:r>
    </w:p>
    <w:p w:rsidR="00A90898" w:rsidRDefault="00A90898" w:rsidP="00A90898">
      <w:pPr>
        <w:pStyle w:val="TextoNormal"/>
      </w:pPr>
    </w:p>
    <w:p w:rsidR="00A90898" w:rsidRDefault="00A90898" w:rsidP="00A90898">
      <w:pPr>
        <w:pStyle w:val="TextoNormal"/>
      </w:pPr>
      <w:r>
        <w:t>Señala también que, en la contestación al requerimiento, la representación estatal manifestó que la modificación introducida es sólo de aplicación a los procedimientos de autorización de instalaciones de competencia estatal; pero la disposición final cuarta otorga naturaleza básica a toda la regulación del Real Decreto 56/2016, en base a los títulos antes citados; por lo que, si verdaderamente la disposición final primera no tuviere carácter básico, así se debería haber especificado en la propia disposición final cuarta.</w:t>
      </w:r>
    </w:p>
    <w:p w:rsidR="00A90898" w:rsidRDefault="00A90898" w:rsidP="00A90898">
      <w:pPr>
        <w:pStyle w:val="TextoNormal"/>
      </w:pPr>
    </w:p>
    <w:p w:rsidR="00A90898" w:rsidRDefault="00A90898" w:rsidP="00A90898">
      <w:pPr>
        <w:pStyle w:val="TextoNormal"/>
      </w:pPr>
      <w:r>
        <w:t xml:space="preserve">Continúa señalando que el umbral de 20 Mw térmicos siempre estará por debajo de los 50 Mw eléctricos que el art. 3.13 a) de la Ley del sector eléctrico (LSE) establece como </w:t>
      </w:r>
      <w:r>
        <w:lastRenderedPageBreak/>
        <w:t xml:space="preserve">límite a partir del cual corresponde al Estado otorgar la autorizaciones sobre instalaciones de producción de energía eléctrica, y por tanto es indudable que el art. 121 </w:t>
      </w:r>
      <w:r w:rsidRPr="00A90898">
        <w:rPr>
          <w:i/>
        </w:rPr>
        <w:t>bis</w:t>
      </w:r>
      <w:r>
        <w:t xml:space="preserve"> infringe el citado precepto de la Ley del sector eléctrico, y con ello el principio de jerarquía normativa del art. 9.3 CE.</w:t>
      </w:r>
    </w:p>
    <w:p w:rsidR="00A90898" w:rsidRDefault="00A90898" w:rsidP="00A90898">
      <w:pPr>
        <w:pStyle w:val="TextoNormal"/>
      </w:pPr>
    </w:p>
    <w:p w:rsidR="00A90898" w:rsidRDefault="00A90898" w:rsidP="00A90898">
      <w:pPr>
        <w:pStyle w:val="TextoNormal"/>
      </w:pPr>
      <w:r>
        <w:t>Tomando como referencia lo señalado por la doctrina constitucional en las SSTC 181/2013 y 32/2016, considera que el canon de constitucionalidad que se debe aplicar es el del art. 149.1.22 CE y el correspondiente del Estatuto de Autonomía, lo que permite concluir que en la medida en que los 20 Mw térmicos es una cifra inferior a los 50 Mw previstos en la Ley del sector eléctrico, el umbral que delimita competencias sobre la autorización de estas instalaciones no pretende ser indicativo de territorialidad y aprovechamiento supracomunitario, en los términos fijados por la doctrina constitucional para atribuir la competencia al Estado, sino que se ha determinado únicamente en base a los parámetros de la Directiva 2012/27/UE.</w:t>
      </w:r>
    </w:p>
    <w:p w:rsidR="00A90898" w:rsidRDefault="00A90898" w:rsidP="00A90898">
      <w:pPr>
        <w:pStyle w:val="TextoNormal"/>
      </w:pPr>
    </w:p>
    <w:p w:rsidR="00A90898" w:rsidRDefault="00A90898" w:rsidP="00A90898">
      <w:pPr>
        <w:pStyle w:val="TextoNormal"/>
      </w:pPr>
      <w:r>
        <w:t>A ello se añade que, en el procedimiento de cogeneración, normalmente la electricidad se produce en el propio punto de consumo o en un ámbito cercano; es un sistema vinculado habitualmente a procesos industriales de diverso tipo, que se caracteriza por constituir una producción de electricidad descentralizada, esto es, mayoritariamente consumida por el propio productor o por centros de consumo próximos, por lo que difícilmente las instalaciones de cogeneración en Cataluña afectarán a otra Comunidad Autónoma y, por lo tanto, su autorización corresponde a la Generalitat. La cogeneración tiene una importante implantación en Cataluña, y las instalaciones térmicas de cogeneración allí localizadas son muy numerosas y tienen diversa potencia térmica, pero ninguna supera los 50 Mw eléctricos, aunque muchas superan los 20 Mw térmicos, y todas han sido autorizadas por la Generalitat, lo que corrobora el criterio de que 20 Mw térmicos no se corresponden con los parámetros constitucionales del aprovechamiento y transporte intracomunitario y por tanto, que este precepto no se ajusta al orden constitucional expuesto. Se concluye de lo anterior que la disposición final primera vulnera la interpretación conforme al art. 149.1.22 CE y 133 EAC, así como la interpretación conforme del art. 3.13 a) LSE efectuada por la STC 32/2016.</w:t>
      </w:r>
    </w:p>
    <w:p w:rsidR="00A90898" w:rsidRDefault="00A90898" w:rsidP="00A90898">
      <w:pPr>
        <w:pStyle w:val="TextoNormal"/>
      </w:pPr>
    </w:p>
    <w:p w:rsidR="00A90898" w:rsidRDefault="00A90898" w:rsidP="00A90898">
      <w:pPr>
        <w:pStyle w:val="TextoNormal"/>
      </w:pPr>
      <w:r>
        <w:t>Finalmente, y en cuanto a la disposición final cuarta, relativa a los títulos competenciales, se afirma que ha de seguir la suerte de los preceptos impugnados, por lo que la inconstitucionalidad de los anteriores preceptos se proyecta sobre la misma.</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Por providencia de 7 de junio de 2016, el Pleno, a propuesta de la Sección Tercera, acordó admitir a trámite el conflicto positivo de competencia promovido por el Gobierno de la Generalitat de Cataluña, y en su representación y defensa, por la Abogada del mismo, frente al Gobierno de la Nación en relación con el artículo 13 y las disposiciones finales primera y cuarta del Real Decreto 56/2016, de 12 de febrero, por el que se transpone la Directiva 2012/27/21/UE, del Parlamento Europeo y del Consejo, de 25 de octubre de 2012, relativa a la eficiencia energética, en lo referente a las auditorías energéticas, acreditación de proveedores de servicios y auditores energéticos y promoción de la eficiencia del suministro de energía. Se acordó también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 documentos y alegaciones </w:t>
      </w:r>
      <w:r>
        <w:lastRenderedPageBreak/>
        <w:t>considere convenientes, así como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“Diari Oficial de la Generalitat de Catalunya”.</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en este Tribunal el día 21 de junio de 2016, el Abogado del Estado se personó en el proceso solicitando una prórroga del plazo concedido para formular alegaciones, que fue concedida mediante providencia de 22 de junio de 2016. Finalmente, dicho escrito tuvo entrada en el Registro General de este Tribunal el día 26 de julio de 2016, oponiéndose a la demanda y solicitando la íntegra desestimación del conflicto, con fundamento en las razones que se resumen a continuación.</w:t>
      </w:r>
    </w:p>
    <w:p w:rsidR="00A90898" w:rsidRDefault="00A90898" w:rsidP="00A90898">
      <w:pPr>
        <w:pStyle w:val="TextoNormal"/>
      </w:pPr>
    </w:p>
    <w:p w:rsidR="00A90898" w:rsidRDefault="00A90898" w:rsidP="00A90898">
      <w:pPr>
        <w:pStyle w:val="TextoNormal"/>
      </w:pPr>
      <w:r>
        <w:t xml:space="preserve">Tras hacer referencia al contenido de la regulación que efectúa el Real Decreto, considera necesario destacar dos antecedentes relevantes para el presente conflicto. Por un lado, el hecho de que el Dictamen emitido por el Consejo de Garantías Estatutarias 3/2016 excluye la inconstitucionalidad de la atribución de competencias al Estado que realizan los apartados 1 y 3 del artículo 13; por otro, que el Gobierno, en la contestación al requerimiento formulado por el Gobierno de Cataluña vino a afirmar, en relación con lo previsto en la disposición final primera, que “en ningún caso se cuestiona la competencia de la Generalitat de Cataluña para otorgar autorizaciones sobre instalaciones de producción que estén en su territorio y que el aprovechamiento que generen sólo se proyecte sobre la propia Comunidad”, añadiendo que “el hecho de que lo previsto en el nuevo art. 121 </w:t>
      </w:r>
      <w:r w:rsidRPr="00A90898">
        <w:rPr>
          <w:i/>
        </w:rPr>
        <w:t>bis</w:t>
      </w:r>
      <w:r>
        <w:t xml:space="preserve"> del Real Decreto 1955/2000, de 1 de diciembre, sea de aplicación a todas las instalaciones de generación de electricidad cuya potencia térmica total sea superior a 20 Mw es el evitar que alguna instalación de producción de competencia estatal con estas características quede fuera del ámbito de aplicación, incumpliendo por tanto lo dispuesto en la Directiva de eficiencia”.</w:t>
      </w:r>
    </w:p>
    <w:p w:rsidR="00A90898" w:rsidRDefault="00A90898" w:rsidP="00A90898">
      <w:pPr>
        <w:pStyle w:val="TextoNormal"/>
      </w:pPr>
    </w:p>
    <w:p w:rsidR="00A90898" w:rsidRDefault="00A90898" w:rsidP="00A90898">
      <w:pPr>
        <w:pStyle w:val="TextoNormal"/>
      </w:pPr>
      <w:r>
        <w:t>Se refiere a continuación el Abogado del Estado a los títulos competenciales aplicables y a la doctrina constitucional sobre el concepto material y formal de las bases en esta materia. Considera al respecto que el Real Decreto tiene por objeto fomentar la eficiencia energética en el ámbito de la Unión Europea mediante el uso de la cogeneración, por lo que su vinculación con la planificación general de la actividad económica está fuera de discusión, al tiempo que el propio recurrente reconoce la dimensión nacional de la evaluación y el análisis del coste y beneficio que regula el artículo 13 impugnado. En cuanto al título competencial del art. 149.1.23 CE, afirma que en el presente conflicto, si bien es mencionada la competencia en materia de medio ambiente que ostenta Cataluña conforme al art. 144 EAC, a la hora de analizar cada uno de los preceptos concretamente impugnados, solo se alega la vulneración de las competencias ejecutivas en materia de energía, conforme al art. 133 EAC. En relación con la competencia del Estado en materia de bases del régimen energético (art. 149.1.25 CE), señala que el condicionamiento y la influencia tan determinante que sobre la actividad económica ejerce el régimen energético justifican la interacción de esta competencia con la atribuida en el art. 149.1.13 CE, remitiéndose a lo señalado en la SSTC 197/1996 y 223/2000.</w:t>
      </w:r>
    </w:p>
    <w:p w:rsidR="00A90898" w:rsidRDefault="00A90898" w:rsidP="00A90898">
      <w:pPr>
        <w:pStyle w:val="TextoNormal"/>
      </w:pPr>
    </w:p>
    <w:p w:rsidR="00A90898" w:rsidRDefault="00A90898" w:rsidP="00A90898">
      <w:pPr>
        <w:pStyle w:val="TextoNormal"/>
      </w:pPr>
      <w:r>
        <w:t xml:space="preserve">Recuerda, a este respecto, que el Tribunal Constitucional ha establecido como criterio general que en los supuestos de concurrencia de títulos competenciales debe prevalecer la </w:t>
      </w:r>
      <w:r>
        <w:lastRenderedPageBreak/>
        <w:t>regla específica sobre la más genérica, si bien este criterio no puede tener un carácter absoluto, y las competencias de ordenación o dirección general de la economía han de ejercerse conjunta y armónicamente, cada cual dentro de su respectivo ámbito material de actuación, que será preciso delimitar en cada caso. A juicio del Abogado del Estado, y a la vista de la doctrina constitucional, no resulta preciso efectuar esfuerzo interpretativo alguno para afirmar que, en el presente supuesto, de esa competencia estatal de dirección general de la economía forman parte, en cuanto la misma pueda recaer sobre el sector petrolero, no sólo las genéricas competencias relativas a las bases y coordinación de la planificación general de la actividad económica, sino también las más específicas de ordenación del sector energético, referentes a las bases del régimen del mismo.</w:t>
      </w:r>
    </w:p>
    <w:p w:rsidR="00A90898" w:rsidRDefault="00A90898" w:rsidP="00A90898">
      <w:pPr>
        <w:pStyle w:val="TextoNormal"/>
      </w:pPr>
    </w:p>
    <w:p w:rsidR="00A90898" w:rsidRDefault="00A90898" w:rsidP="00A90898">
      <w:pPr>
        <w:pStyle w:val="TextoNormal"/>
      </w:pPr>
      <w:r>
        <w:t>En lo que respecta al concreto análisis de los preceptos impugnados en el presente conflicto positivo de competencias, afirma el Abogado del Estado que la evaluación nacional de la cogeneración de alta eficiencia, basada en un análisis de coste y beneficio también nacional, que prevé el artículo 13, debe corresponder al Estado para así cumplir con las exigencias previstas en la Directiva que se transpone y para dar una imagen fiel ante las instituciones europeas de la realidad y futuro de la cogeneración en España. Pone de relieve, asimismo, que el recurrente no niega que tenga que ser el Estado quien comunique el resultado ante la Unión Europea, ni que tenga competencia para la evaluación y el análisis, lo que defiende es que este análisis se realice por agregación de las evaluaciones y análisis; que a nivel autonómico hagan las Comunidades Autónomas, limitándose el Estado a una mera agregación de evaluaciones y análisis parciales.</w:t>
      </w:r>
    </w:p>
    <w:p w:rsidR="00A90898" w:rsidRDefault="00A90898" w:rsidP="00A90898">
      <w:pPr>
        <w:pStyle w:val="TextoNormal"/>
      </w:pPr>
    </w:p>
    <w:p w:rsidR="00A90898" w:rsidRDefault="00A90898" w:rsidP="00A90898">
      <w:pPr>
        <w:pStyle w:val="TextoNormal"/>
      </w:pPr>
      <w:r>
        <w:t>Con independencia de que, siendo éste el argumento, no existe, en principio inconstitucionalidad en la atribución de competencia al Estado, además se ha señalado en la contestación al requerimiento, que “la preparación de esta evaluación completa sólo puede desarrollarse desde una perspectiva estatal. El alcance de la evaluación debe ser sobre todo el territorio nacional y debe elaborarse sobre un amplio enfoque temporal y geográfico”, por lo que —afirma el Abogado del Estado— para lograr esta finalidad es necesario que el Estado ostente competencias para analizar y excluir del análisis tal y como dispone el artículo 13.</w:t>
      </w:r>
    </w:p>
    <w:p w:rsidR="00A90898" w:rsidRDefault="00A90898" w:rsidP="00A90898">
      <w:pPr>
        <w:pStyle w:val="TextoNormal"/>
      </w:pPr>
    </w:p>
    <w:p w:rsidR="00A90898" w:rsidRDefault="00A90898" w:rsidP="00A90898">
      <w:pPr>
        <w:pStyle w:val="TextoNormal"/>
      </w:pPr>
      <w:r>
        <w:t>Finalmente, y en relación con la impugnación de la disposición final primera, reitera que el artículo 121.</w:t>
      </w:r>
      <w:r w:rsidRPr="00A90898">
        <w:rPr>
          <w:i/>
        </w:rPr>
        <w:t>bis</w:t>
      </w:r>
      <w:r>
        <w:t xml:space="preserve">, tal y como señala la contestación al requerimiento, se integra dentro del citado Real Decreto 1955/2000, el cual tiene una delimitación clara y definida en cuanto a su objeto y a las instalaciones que abarca, cuya autorización corresponde al Estado, sin que esta delimitación competencial haya sido variada por la introducción del artículo 121 </w:t>
      </w:r>
      <w:r w:rsidRPr="00A90898">
        <w:rPr>
          <w:i/>
        </w:rPr>
        <w:t>bis</w:t>
      </w:r>
      <w:r>
        <w:t>.</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4 de octubre se señaló para deliberación y votación de la presente Sentencia el día 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presente proceso constitucional tiene por objeto resolver el conflicto positivo de competencia planteado por el Gobierno de la Generalitat de Cataluña en relación con el art. 13 y disposiciones finales primera y cuarta del Real Decreto 56/2016, de 12 de febrero, por el que se transpone la Directiva 2012/27/21/UE, del Parlamento Europeo y del Consejo, de </w:t>
      </w:r>
      <w:r>
        <w:lastRenderedPageBreak/>
        <w:t>25 de octubre de 2012, relativa a la eficiencia energética, en lo referente a las auditorías energéticas, acreditación de proveedores de servicios y auditores energéticos y promoción de la eficiencia del suministro de energía.</w:t>
      </w:r>
    </w:p>
    <w:p w:rsidR="00A90898" w:rsidRDefault="00A90898" w:rsidP="00A90898">
      <w:pPr>
        <w:pStyle w:val="TextoNormal"/>
      </w:pPr>
    </w:p>
    <w:p w:rsidR="00A90898" w:rsidRDefault="00A90898" w:rsidP="00A90898">
      <w:pPr>
        <w:pStyle w:val="TextoNormal"/>
      </w:pPr>
      <w:r>
        <w:t>Como se ha expuesto en los antecedentes, el Gobierno de la Generalitat de Cataluña considera que a través los preceptos impugnados, el Estado se ha excedido en su competencia para la fijación de las bases del régimen energético (art. 149.1.25 CE), menoscabando la competencia autonómica para dictar la normativa de desarrollo y sustrayendo asimismo la que le corresponde para el ejercicio de funciones ejecutivas en esta materia, lo que determina la vulneración de lo dispuesto en los arts. 144 y 133 del Estatuto de Autonomía de Cataluña (EAC). Se alega asimismo la vulneración del art. 149.1.22 CE por la disposición final primera, en lo que respecta a la autorización de instalaciones eléctricas cuyo aprovechamiento no afecte a otra Comunidad o el transporte de energía no salta de su ámbito territorial, en los términos en que dicha competencia ha sido interpretada por la STC 32/2016.</w:t>
      </w:r>
    </w:p>
    <w:p w:rsidR="00A90898" w:rsidRDefault="00A90898" w:rsidP="00A90898">
      <w:pPr>
        <w:pStyle w:val="TextoNormal"/>
      </w:pPr>
    </w:p>
    <w:p w:rsidR="00A90898" w:rsidRDefault="00A90898" w:rsidP="00A90898">
      <w:pPr>
        <w:pStyle w:val="TextoNormal"/>
      </w:pPr>
      <w:r>
        <w:t>El Abogado del Estado —como más ampliamente se expone en los antecedentes— rechaza las vulneraciones denunciadas, señalando que los preceptos impugnados responden a un adecuado ejercicio de las competencias estatales contempladas en el art. 149.1.13, 22 y 25 CE.</w:t>
      </w:r>
    </w:p>
    <w:p w:rsidR="00A90898" w:rsidRDefault="00A90898" w:rsidP="00A90898">
      <w:pPr>
        <w:pStyle w:val="TextoNormal"/>
      </w:pPr>
    </w:p>
    <w:p w:rsidR="00A90898" w:rsidRDefault="00A90898" w:rsidP="00A90898">
      <w:pPr>
        <w:pStyle w:val="TextoNormal"/>
      </w:pPr>
      <w:r w:rsidRPr="00A90898">
        <w:rPr>
          <w:rStyle w:val="NumeroAFNegritaCaracter"/>
        </w:rPr>
        <w:t>2</w:t>
      </w:r>
      <w:r>
        <w:t>. Expuestas sucintamente las posiciones de las partes y con carácter previo al examen de fondo, debemos pronunciarnos sobre el alcance objetivo del presente conflicto positivo de competencias.</w:t>
      </w:r>
    </w:p>
    <w:p w:rsidR="00A90898" w:rsidRDefault="00A90898" w:rsidP="00A90898">
      <w:pPr>
        <w:pStyle w:val="TextoNormal"/>
      </w:pPr>
    </w:p>
    <w:p w:rsidR="00A90898" w:rsidRDefault="00A90898" w:rsidP="00A90898">
      <w:pPr>
        <w:pStyle w:val="TextoNormal"/>
      </w:pPr>
      <w:r>
        <w:t>En el suplico de la demanda, la Abogada de la Generalitat solicita la declaración de inconstitucionalidad y nulidad de la totalidad del art. 13 del Real Decreto 56/2016, pero en el texto de la misma se omite cualquier mención a lo dispuesto en los apartados 2, 5 y 6 del citado precepto, sin que se efectúe argumentación alguna, siquiera sea mínima, sobre su contenido o sobre los motivos que sustentarían la pretendida declaración de inconstitucionalidad.</w:t>
      </w:r>
    </w:p>
    <w:p w:rsidR="00A90898" w:rsidRDefault="00A90898" w:rsidP="00A90898">
      <w:pPr>
        <w:pStyle w:val="TextoNormal"/>
      </w:pPr>
    </w:p>
    <w:p w:rsidR="00A90898" w:rsidRDefault="00A90898" w:rsidP="00A90898">
      <w:pPr>
        <w:pStyle w:val="TextoNormal"/>
      </w:pPr>
      <w:r>
        <w:t>La omisión absoluta de cualquier alegación en relación con lo dispuesto en los citados apartados impide que este Tribunal pueda entrar a pronunciarse sobre los mismos, y así lo hemos reiterado en numerosas ocasiones, ya que es carga del recurrente argumentar los motivos por los que las disposiciones impugnadas transgreden el orden constitucional, y cuando esa carga no se observa es justo hablar de una falta de la diligencia procesalmente exigible, pues “la promoción de un conflicto requiere que se justifique la afección de las normas constitucionales y estatutarias definidoras del orden competencial, correspondiendo a la Comunidad Autónoma demandante la carga de alegar la competencia propia que se entiende menoscabada o vulnerada, así como la de justificar ese menoscabo o vulneración determinante de la existencia de un verdadero conflicto constitucional sobre el que deba pronunciarse este Tribunal (STC 44/2007, de 1 de marzo, FJ 9), y, en el presente caso, esa ausencia de alegación impide considerar justificada la existencia de invasión, menoscabo o condicionamiento del ámbito de competencias de la Comunidad Autónoma” (STC 123/2014, de 21 de julio, FJ 4).</w:t>
      </w:r>
    </w:p>
    <w:p w:rsidR="00A90898" w:rsidRDefault="00A90898" w:rsidP="00A90898">
      <w:pPr>
        <w:pStyle w:val="TextoNormal"/>
      </w:pPr>
    </w:p>
    <w:p w:rsidR="00A90898" w:rsidRDefault="00A90898" w:rsidP="00A90898">
      <w:pPr>
        <w:pStyle w:val="TextoNormal"/>
      </w:pPr>
      <w:r>
        <w:lastRenderedPageBreak/>
        <w:t>En consecuencia, procede rechazar el conflicto planteado en relación con los mencionados apartados, por lo que la impugnación dirigida contra el art. 13 del Real Decreto 56/2016 queda circunscrita a sus apartados 1, 3 y 4.</w:t>
      </w:r>
    </w:p>
    <w:p w:rsidR="00A90898" w:rsidRDefault="00A90898" w:rsidP="00A90898">
      <w:pPr>
        <w:pStyle w:val="TextoNormal"/>
      </w:pPr>
    </w:p>
    <w:p w:rsidR="00A90898" w:rsidRDefault="00A90898" w:rsidP="00A90898">
      <w:pPr>
        <w:pStyle w:val="TextoNormal"/>
      </w:pPr>
      <w:r w:rsidRPr="00A90898">
        <w:rPr>
          <w:rStyle w:val="NumeroAFNegritaCaracter"/>
        </w:rPr>
        <w:t>3</w:t>
      </w:r>
      <w:r>
        <w:t>. A fin de situar la norma impugnada en su contexto normativo, conviene hacer una sucinta referencia al contenido de la Directiva 2012/27/UE del Parlamento Europeo y del Consejo, de 25 de octubre de 2012, (en adelante la Directiva) que, a través del presente Real Decreto, se transpone parcialmente, así como al contenido del propio Real Decreto 56/2016.</w:t>
      </w:r>
    </w:p>
    <w:p w:rsidR="00A90898" w:rsidRDefault="00A90898" w:rsidP="00A90898">
      <w:pPr>
        <w:pStyle w:val="TextoNormal"/>
      </w:pPr>
    </w:p>
    <w:p w:rsidR="00A90898" w:rsidRDefault="00A90898" w:rsidP="00A90898">
      <w:pPr>
        <w:pStyle w:val="TextoNormal"/>
      </w:pPr>
      <w:r>
        <w:t>La Directiva 2012/27/UE recoge las conclusiones adoptadas por el Consejo Europeo de 4 de febrero de 2011, en especial en relación con el objetivo de aumentar en un 20 por 100 la eficiencia energética de la Unión para el año 2020; contempla un marco común de medidas dirigidas a fomentar la eficiencia energética dentro de la Unión Europea y establece acciones concretas para llevar a la práctica alguna de las propuestas incluidas en el plan de eficiencia energética, adoptado por la Comisión en 2011, con el fin de alcanzar el potencial de ahorro de energía no realizado hasta la fecha. En este marco general, la Directiva viene a exigir a los Estados miembros que fijen objetivos, planes y programas nacionales de eficiencia energética de carácter indicativo, objetivos que deben ser evaluados por la Comisión. En orden a fijar esos objetivos nacionales indicativos de eficiencia energética, los Estados miembros han de tener en cuenta las circunstancias nacionales que afecten al consumo de energía primaria, como el potencial remanente de ahorro rentable de energía, los cambios en las importaciones y exportaciones de energía, los avances en todas las fuentes de energía renovables, etc.</w:t>
      </w:r>
    </w:p>
    <w:p w:rsidR="00A90898" w:rsidRDefault="00A90898" w:rsidP="00A90898">
      <w:pPr>
        <w:pStyle w:val="TextoNormal"/>
      </w:pPr>
    </w:p>
    <w:p w:rsidR="00A90898" w:rsidRDefault="00A90898" w:rsidP="00A90898">
      <w:pPr>
        <w:pStyle w:val="TextoNormal"/>
      </w:pPr>
      <w:r>
        <w:t>El objeto del Real Decreto 56/2016 es, conforme a su preámbulo, “el impulso y la promoción de un conjunto de actuaciones a realizar dentro de los procesos de consumo energético, que puedan contribuir al ahorro y la eficiencia de la energía primaria consumida, así como a optimizar la demanda energética de la instalación, equipos o sistemas consumidores de energía, además de disponer de un número suficiente de profesionales competentes y fiables, a fin de asegurar la aplicación efectiva y oportuna de la citada Directiva 2012/27/UE de Parlamento Europeo y del Consejo, de 25 de octubre de 2012. En este sentido, se trata también de profundizar en el desarrollo del mercado de los servicios energéticos a fin de asegurar la disponibilidad tanto de la demanda como de la oferta de dichos servicios”. El Real Decreto transpone parcialmente la citada Directiva, principalmente en lo relativo a auditorías energéticas, sistemas de acreditación para proveedores de servicios energéticos y auditores energéticos, así como en lo relativo a la promoción de la eficiencia energética en los procesos de producción y uso del calor y del frío.</w:t>
      </w:r>
    </w:p>
    <w:p w:rsidR="00A90898" w:rsidRDefault="00A90898" w:rsidP="00A90898">
      <w:pPr>
        <w:pStyle w:val="TextoNormal"/>
      </w:pPr>
    </w:p>
    <w:p w:rsidR="00A90898" w:rsidRDefault="00A90898" w:rsidP="00A90898">
      <w:pPr>
        <w:pStyle w:val="TextoNormal"/>
      </w:pPr>
      <w:r>
        <w:t>De acuerdo con su disposición final cuarta, el Real Decreto se dicta en ejercicio de las competencias previstas en el art. 149.1. 13, 23 y 25 CE, que atribuyen al Estado competencia sobre las bases y coordinación de la planificación general de la actividad económica, sobre protección del medio ambiente y sobre bases del régimen minero y energético, respectivamente.</w:t>
      </w:r>
    </w:p>
    <w:p w:rsidR="00A90898" w:rsidRDefault="00A90898" w:rsidP="00A90898">
      <w:pPr>
        <w:pStyle w:val="TextoNormal"/>
      </w:pPr>
    </w:p>
    <w:p w:rsidR="00A90898" w:rsidRDefault="00A90898" w:rsidP="00A90898">
      <w:pPr>
        <w:pStyle w:val="TextoNormal"/>
      </w:pPr>
      <w:r w:rsidRPr="00A90898">
        <w:rPr>
          <w:rStyle w:val="NumeroAFNegritaCaracter"/>
        </w:rPr>
        <w:t>4</w:t>
      </w:r>
      <w:r>
        <w:t>. Dado que lo que se plantea es una controversia competencial, hemos de comenzar analizando la cuestión relativa al encuadramiento de los preceptos controvertidos en el sistema material de distribución de competencias.</w:t>
      </w:r>
    </w:p>
    <w:p w:rsidR="00A90898" w:rsidRDefault="00A90898" w:rsidP="00A90898">
      <w:pPr>
        <w:pStyle w:val="TextoNormal"/>
      </w:pPr>
    </w:p>
    <w:p w:rsidR="00A90898" w:rsidRDefault="00A90898" w:rsidP="00A90898">
      <w:pPr>
        <w:pStyle w:val="TextoNormal"/>
      </w:pPr>
      <w:r>
        <w:lastRenderedPageBreak/>
        <w:t>Las partes no discrepan en relación con los títulos competenciales que consideran de aplicación para la resolución del presente proceso constitucional, sino en su alcance en relación con cada uno de los preceptos impugnados, pues el debate se centra en de determinadas previsiones estatales a las que la Generalitat niega su carácter básico, por tratarse del ejercicio de funciones ejecutivas, que se insertarían en lo dispuesto por los arts. 133 y 144 EAC.</w:t>
      </w:r>
    </w:p>
    <w:p w:rsidR="00A90898" w:rsidRDefault="00A90898" w:rsidP="00A90898">
      <w:pPr>
        <w:pStyle w:val="TextoNormal"/>
      </w:pPr>
    </w:p>
    <w:p w:rsidR="00A90898" w:rsidRDefault="00A90898" w:rsidP="00A90898">
      <w:pPr>
        <w:pStyle w:val="TextoNormal"/>
      </w:pPr>
      <w:r>
        <w:t>Los títulos competenciales estatales que debemos tomar en consideración son, pues, los establecidos en las reglas 13 (“bases y coordinación de la planificación general de la actividad económica”) y 25 (“bases del régimen … energético”) del art. 149.1 CE, invocados expresamente en la disposición final cuarta del Real Decreto; así como también el título competencial previsto en el artículo 149.1. 23 (“legislación básica sobre protección del medio ambiente, sin perjuicio de las facultades de las Comunidades Autónomas de establecer normas adicionales de protección”), que tiene un carácter complementario, en la medida en que las actuaciones reguladas para la mejora de la eficiencia energética, contribuyen a la reducción de emisiones de gases de efecto invernadero y, con ello a su vez, al cumplimiento de los objetivos sobre cambio climático.</w:t>
      </w:r>
    </w:p>
    <w:p w:rsidR="00A90898" w:rsidRDefault="00A90898" w:rsidP="00A90898">
      <w:pPr>
        <w:pStyle w:val="TextoNormal"/>
      </w:pPr>
    </w:p>
    <w:p w:rsidR="00A90898" w:rsidRDefault="00A90898" w:rsidP="00A90898">
      <w:pPr>
        <w:pStyle w:val="TextoNormal"/>
      </w:pPr>
      <w:r>
        <w:t>Aunque resulten imbricados los títulos competenciales citados, dado que el más específico a los efectos del presente conflicto es el contemplado en el art. 149.1.25 CE, hemos de centrar en él nuestro análisis. Igualmente, debemos tener en cuenta, en relación a lo previsto en la disposición final primera de la norma controvertida, el título competencial recogido en el art. 149.1.22 CE (“autorización de las instalaciones eléctricas cuando su aprovechamiento afecte a otra Comunidad Autónoma o el transporte de energía salga de su ámbito territorial”), pues es en este título estatal en el que se encuadra ese concreto precepto, con el alcance que ya examinamos en la STC 181/2013, de 23 de octubre, FJ 4.</w:t>
      </w:r>
    </w:p>
    <w:p w:rsidR="00A90898" w:rsidRDefault="00A90898" w:rsidP="00A90898">
      <w:pPr>
        <w:pStyle w:val="TextoNormal"/>
      </w:pPr>
    </w:p>
    <w:p w:rsidR="00A90898" w:rsidRDefault="00A90898" w:rsidP="00A90898">
      <w:pPr>
        <w:pStyle w:val="TextoNormal"/>
      </w:pPr>
      <w:r>
        <w:t>A su vez, dichos títulos han de ser puestos en relación con el art. 133.1 EAC que atribuye a la Generalitat la competencia compartida en materia de energía que incluye las submaterias siguientes: “a)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b) La regulación de la actividad de distribución de energía que se lleve a cabo en Cataluña, el otorgamiento de las autorizaciones de las instalaciones correspondientes y el ejercicio de las actividades de inspección y control de todas las instalaciones existentes en Cataluña; c) El desarrollo de las normas complementarias de calidad de los servicios de suministro de energía; d) El fomento y la gestión de las energías renovables y de la eficiencia energética”. Carácter compartido de la competencia autonómica que ha de ser entendido en el sentido que ya expresamos en la STC 31/2010, de 28 de junio, FJ 60.</w:t>
      </w:r>
    </w:p>
    <w:p w:rsidR="00A90898" w:rsidRDefault="00A90898" w:rsidP="00A90898">
      <w:pPr>
        <w:pStyle w:val="TextoNormal"/>
      </w:pPr>
    </w:p>
    <w:p w:rsidR="00A90898" w:rsidRDefault="00A90898" w:rsidP="00A90898">
      <w:pPr>
        <w:pStyle w:val="TextoNormal"/>
      </w:pPr>
      <w:r>
        <w:t xml:space="preserve">Finalmente, a efectos de completar el canon de enjuiciamiento aplicable, es preciso referirse, puesto que es cuestión debatida en el presente proceso, a la doctrina constitucional en torno a los requisitos de carácter formal y material que han de cumplir las bases estatales. En la STC 4/2013, de 17 de enero, FJ 5, citada por las SSTC 32/2016, FJ 4, y 62/2016, de 17 de marzo, FJ 7, el Tribunal declaró que “el ámbito de lo básico, desde la perspectiva material, incluye las determinaciones que aseguran un mínimo común normativo en el sector material de que se trate y, con ello, una orientación unitaria y dotada de cierta estabilidad </w:t>
      </w:r>
      <w:r>
        <w:lastRenderedPageBreak/>
        <w:t>en todo aquello que el legislador considera en cada momento aspectos esenciales de dicho sector material (STC 223/2000, de 21 de septiembre, FJ 6, con cita de las SSTC 1/1982, de 28 de enero; 48/1988, de 2 de marzo; 147/1991, de 4 de julio, y 197/1996, de 28 de noviembre)”.</w:t>
      </w:r>
    </w:p>
    <w:p w:rsidR="00A90898" w:rsidRDefault="00A90898" w:rsidP="00A90898">
      <w:pPr>
        <w:pStyle w:val="TextoNormal"/>
      </w:pPr>
    </w:p>
    <w:p w:rsidR="00A90898" w:rsidRDefault="00A90898" w:rsidP="00A90898">
      <w:pPr>
        <w:pStyle w:val="TextoNormal"/>
      </w:pPr>
      <w:r>
        <w:t>Las citadas SSTC 32/2016, FJ 4, y 62/2016, FJ 7, recuerdan que “[P]or lo que hace a la perspectiva formal, en el ámbito de la energía eléctrica, la doctrina constitucional entiende que el concepto de bases comprende las normas básicas con rango legal sobre la ordenación del sector eléctrico, y también, de manera excepcional y de acuerdo con la doctrina constitucional sobre el concepto material de bases, normas de carácter reglamentario y actos de naturaleza ejecutiva, especialmente, pero no sólo, con respecto al régimen económico del sector (STC 18/2011, FJ 8). Nuestra doctrina ha fijado los requisitos que deben cumplirse, de modo que se ha admitido que a esta perspectiva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 (STC 14/2004, de 13 de febrero, FJ 11). En el caso de la ordenación del sector eléctrico la intervención de la norma reglamentaria, amparada tanto en el título general relativo a la planificación de la economía (art. 149.1.13 CE) como en el más específico relativo al sector energético (art. 149.1.25 CE), se justifica por su importancia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00A90898" w:rsidRDefault="00A90898" w:rsidP="00A90898">
      <w:pPr>
        <w:pStyle w:val="TextoNormal"/>
      </w:pPr>
    </w:p>
    <w:p w:rsidR="00A90898" w:rsidRDefault="00A90898" w:rsidP="00A90898">
      <w:pPr>
        <w:pStyle w:val="TextoNormal"/>
      </w:pPr>
      <w:r w:rsidRPr="00A90898">
        <w:rPr>
          <w:rStyle w:val="NumeroAFNegritaCaracter"/>
        </w:rPr>
        <w:t>5</w:t>
      </w:r>
      <w:r>
        <w:t>. Señalado todo lo anterior, procede ya iniciar el enjuiciamiento de los distintos preceptos impugnados, comenzando por el art. 13, apartados 1, 3 y 4, según el cual:</w:t>
      </w:r>
    </w:p>
    <w:p w:rsidR="00A90898" w:rsidRDefault="00A90898" w:rsidP="00A90898">
      <w:pPr>
        <w:pStyle w:val="TextoNormal"/>
      </w:pPr>
    </w:p>
    <w:p w:rsidR="00A90898" w:rsidRDefault="00A90898" w:rsidP="00A90898">
      <w:pPr>
        <w:pStyle w:val="TextoNormal"/>
      </w:pPr>
      <w:r>
        <w:t>“1. Cada cinco años el Ministerio de Industria, Energía y Turismo llevará a cabo y notificará a la Comisión Europea, una evaluación completa del potencial de uso de la cogeneración de alta eficiencia y de los sistemas urbanos de calefacción y refrigeración eficientes, que contendrá la información indicada en el anexo III.</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3. A efectos de la evaluación a que se refiere el apartado 1, el Ministerio de Industria, Energía y Turismo llevará a cabo un análisis de costes y beneficios que abarque el territorio español, atendiendo a las condiciones climáticas, a la viabilidad económica y a la idoneidad técnica, con arreglo a la parte 1 del anexo IV.</w:t>
      </w:r>
    </w:p>
    <w:p w:rsidR="00A90898" w:rsidRDefault="00A90898" w:rsidP="00A90898">
      <w:pPr>
        <w:pStyle w:val="TextoNormal"/>
      </w:pPr>
    </w:p>
    <w:p w:rsidR="00A90898" w:rsidRDefault="00A90898" w:rsidP="00A90898">
      <w:pPr>
        <w:pStyle w:val="TextoNormal"/>
      </w:pPr>
      <w:r>
        <w:t>El análisis de costes y beneficios podrá ser parte de una evaluación medioambiental con arreglo a la Ley 21/2013, de 9 de diciembre, de Evaluación Ambiental.</w:t>
      </w:r>
    </w:p>
    <w:p w:rsidR="00A90898" w:rsidRDefault="00A90898" w:rsidP="00A90898">
      <w:pPr>
        <w:pStyle w:val="TextoNormal"/>
      </w:pPr>
    </w:p>
    <w:p w:rsidR="00A90898" w:rsidRDefault="00A90898" w:rsidP="00A90898">
      <w:pPr>
        <w:pStyle w:val="TextoNormal"/>
      </w:pPr>
      <w:r>
        <w:t>4. En los casos en que la evaluación prevista en el apartado 1 y el análisis mencionado en el apartado 3 del presente artículo determine la existencia de potencial para la aplicación de la cogeneración de alta eficiencia de calefacción y/o refrigeración urbanas eficientes, cuyas ventajas sean superiores a su coste, se adoptarán las medidas oportunas para que se desarrolle una infraestructura de calefacción y refrigeración urbana eficiente y/o para posibilitar el desarrollo de una cogeneración de alta eficiencia y el uso de la calefacción y la refrigeración procedentes de calor residual de fuentes de energía renovables.</w:t>
      </w:r>
    </w:p>
    <w:p w:rsidR="00A90898" w:rsidRDefault="00A90898" w:rsidP="00A90898">
      <w:pPr>
        <w:pStyle w:val="TextoNormal"/>
      </w:pPr>
    </w:p>
    <w:p w:rsidR="00A90898" w:rsidRDefault="00A90898" w:rsidP="00A90898">
      <w:pPr>
        <w:pStyle w:val="TextoNormal"/>
      </w:pPr>
      <w:r>
        <w:t>En los casos en que a evaluación prevista en el apartado 1 del presente artículo y el análisis mencionado en el apartado 3 no determinen la existencia de un potencial cuyas ventajas sean superiores a su coste, con inclusión de los costes administrativos de la realización del análisis de costes y beneficios contemplado en el apartado siguiente o en el art. 121 bis del Real Decreto 1955/2000, de 1 de diciembre, por el que se regulan las actividades de transporte, distribución, comercialización, suministro y procedimientos de autorización de instalaciones de energía eléctrica, según corresponda, la Dirección General de Política Energética y Minas podrá eximir a las instalaciones de la realización de dicho análisis de costes y beneficios.”</w:t>
      </w:r>
    </w:p>
    <w:p w:rsidR="00A90898" w:rsidRDefault="00A90898" w:rsidP="00A90898">
      <w:pPr>
        <w:pStyle w:val="TextoNormal"/>
      </w:pPr>
    </w:p>
    <w:p w:rsidR="00A90898" w:rsidRDefault="00A90898" w:rsidP="00A90898">
      <w:pPr>
        <w:pStyle w:val="TextoNormal"/>
      </w:pPr>
      <w:r>
        <w:t>El artículo 13, en sus apartados 1 y 3, con el fin de promover una mayor eficiencia energética en el sector de la calefacción y refrigeración, contempla la realización de una evaluación completa sobre la capacidad y las posibilidades reales de utilización de la cogeneración de alta eficiencia para el suministro de energía en los sistemas urbanos de calefacción y refrigeración, que incluye un análisis de costes-beneficios; dicha evaluación se lleva a cabo por el Ministerio de Industria, Energía y Turismo, se ha de notificar a la Comisión Europea y abarca la totalidad del territorio estatal. En el apartado 4 se contempla también una obligación individualizada para determinadas instalaciones de efectuar un análisis de la relación coste-beneficio que supondría incorporar la cogeneración de alta eficiencia en su funcionamiento, análisis del que podrá eximirse a las instalaciones en los supuestos allí contemplados.</w:t>
      </w:r>
    </w:p>
    <w:p w:rsidR="00A90898" w:rsidRDefault="00A90898" w:rsidP="00A90898">
      <w:pPr>
        <w:pStyle w:val="TextoNormal"/>
      </w:pPr>
    </w:p>
    <w:p w:rsidR="00A90898" w:rsidRDefault="00A90898" w:rsidP="00A90898">
      <w:pPr>
        <w:pStyle w:val="TextoNormal"/>
      </w:pPr>
      <w:r>
        <w:t>En relación con los apartados 1 y 3, la representación procesal del Gobierno de la Generalitat de Cataluña no discute que el Estado pueda establecer unos valores o parámetros de alcance nacional que sirvan para llevar a cabo la evaluación completa o el análisis global de costes y beneficios, ni tampoco que sea el Estado el competente para transmitir los resultados de dicha evaluación y análisis a la Comisión Europea; lo que cuestiona es que se reserve al Estado el ejercicio material de esta función ejecutiva, afirmando que una regulación respetuosa con el esquema de distribución de competencias, conllevaría que el Estado se limite a incorporar o agregar los datos que al efecto le sean facilitados por las Comunidades Autónomas en ejercicio de las citadas funciones materiales de evaluación y análisis en su respectivo territorio.</w:t>
      </w:r>
    </w:p>
    <w:p w:rsidR="00A90898" w:rsidRDefault="00A90898" w:rsidP="00A90898">
      <w:pPr>
        <w:pStyle w:val="TextoNormal"/>
      </w:pPr>
    </w:p>
    <w:p w:rsidR="00A90898" w:rsidRDefault="00A90898" w:rsidP="00A90898">
      <w:pPr>
        <w:pStyle w:val="TextoNormal"/>
      </w:pPr>
      <w:r>
        <w:t xml:space="preserve">La cogeneración se concibe como la generación simultánea de energía térmica y de energía eléctrica o mecánica en un único proceso, a partir de una misma fuente de energía primaria, que permite aprovechar el calor que se produce. La Directiva 2012/27/UE parte de considerar que los sistemas de cogeneración de alta eficiencia y los sistemas urbanos de calefacción y refrigeración tienen gran potencial para el ahorro de energía primaria, razón por la cual prescribe en su artículo 14 la obligación de que los Estados lleven a cabo la </w:t>
      </w:r>
      <w:r>
        <w:lastRenderedPageBreak/>
        <w:t>evaluación exhaustiva y actualizada de este potencial, con el fin de “facilitar información a los inversores sobre los planes nacionales de desarrollo y contribuir a un entorno estable y propicio a las inversiones”. Se pretende así que las instalaciones nuevas de generación de electricidad y las ya existentes que hayan sido objeto de una reforma sustancial o cuyo permiso o licencia se haya actualizado, vayan equipadas con unidades de cogeneración de alta eficiencia para recuperar el calor residual procedente de la producción de electricidad, siempre que el análisis de costes y beneficios sea favorable; y este calor residual podría luego transportarse a donde se necesite mediante redes de calefacción urbana. A su vez, para llevar a cabo esta evaluación completa, se dispone la realización por los Estados de un análisis de costes y beneficios que abarque todo el territorio, atendiendo a las condiciones climáticas, a la viabilidad económica y a la idoneidad técnica, que deberá permitir la determinación de las soluciones más eficientes en relación con los recursos y más rentables en relación con los costes, para responder a las necesidades de calefacción y refrigeración.</w:t>
      </w:r>
    </w:p>
    <w:p w:rsidR="00A90898" w:rsidRDefault="00A90898" w:rsidP="00A90898">
      <w:pPr>
        <w:pStyle w:val="TextoNormal"/>
      </w:pPr>
    </w:p>
    <w:p w:rsidR="00A90898" w:rsidRDefault="00A90898" w:rsidP="00A90898">
      <w:pPr>
        <w:pStyle w:val="TextoNormal"/>
      </w:pPr>
      <w:r>
        <w:t>De conformidad con dichas previsiones, el artículo 13, apartados 1 y 3, atribuye al Ministerio de Industria y Energía la realización de esa evaluación completa y un análisis de costes-beneficios, referida a la totalidad del territorio, que permita determinar el potencial existente para la utilización de la cogeneración de alta eficiencia como fuente de suministro de energía. La previsión contenida en dicho precepto se complementa con lo dispuesto en los anexos III y IV del Real Decreto 56/2016 en donde se contemplan respectivamente, el conjunto de aspectos que ha de incluir la evaluación sobre el potencial de eficiencia en la calefacción y la refrigeración, y los principios generales y particulares en los que ha de consistir el análisis de costes y beneficios, que tiene por objeto establecer la opción más rentable y ventajosa de calefacción y refrigeración para una zona geográfica determinada.</w:t>
      </w:r>
    </w:p>
    <w:p w:rsidR="00A90898" w:rsidRDefault="00A90898" w:rsidP="00A90898">
      <w:pPr>
        <w:pStyle w:val="TextoNormal"/>
      </w:pPr>
    </w:p>
    <w:p w:rsidR="00A90898" w:rsidRDefault="00A90898" w:rsidP="00A90898">
      <w:pPr>
        <w:pStyle w:val="TextoNormal"/>
      </w:pPr>
      <w:r>
        <w:t>En el anexo III se determina así que la evaluación completa de los potenciales nacionales de calefacción y refrigeración incluirá, entre otros datos: una descripción de la demanda de calefacción y refrigeración; una previsión de cómo cambiará esa demanda en los siguientes 10 años, teniendo en cuenta, en particular, la evolución de la demanda en los edificios y los diferentes sectores de la industria; un mapa del territorio nacional en el que se señalen los puntos de demanda y los puntos posibles de generación de calefacción y refrigeración, así como la infraestructura de calefacción y refrigeración urbana ya existente; la determinación de la demanda que podría satisfacerse mediante cogeneración de alta eficiencia; la fijación del potencial adicional de cogeneración de alta eficiencia, incluido el obtenido a partir de la renovación de las infraestructuras ya existentes y la construcción de instalaciones de nueva generación e industriales, o de otras instalaciones que generen calor residual; y las estrategias, actuaciones y medidas que podrán adoptarse hasta 2020 y 2030 para realizar el potencial indicado y satisfacer la demanda señalada. Se señala asimismo que, en la medida adecuada, la evaluación completa podrá estar compuesta por un conjunto de planes y estrategias regionales o locales.</w:t>
      </w:r>
    </w:p>
    <w:p w:rsidR="00A90898" w:rsidRDefault="00A90898" w:rsidP="00A90898">
      <w:pPr>
        <w:pStyle w:val="TextoNormal"/>
      </w:pPr>
    </w:p>
    <w:p w:rsidR="00A90898" w:rsidRDefault="00A90898" w:rsidP="00A90898">
      <w:pPr>
        <w:pStyle w:val="TextoNormal"/>
      </w:pPr>
      <w:r>
        <w:t>Por su parte, el anexo IV señala que el análisis de costes y beneficios puede consistir en una evaluación de un proyecto de instalación individual o de un grupo de proyectos de un ámbito más amplio, local, regional o nacional, a fin de determinar la opción más rentable y ventajosa de calefacción o refrigeración para una zona geográfica dada a efectos de la planificación del sistema de calefacción.</w:t>
      </w:r>
    </w:p>
    <w:p w:rsidR="00A90898" w:rsidRDefault="00A90898" w:rsidP="00A90898">
      <w:pPr>
        <w:pStyle w:val="TextoNormal"/>
      </w:pPr>
    </w:p>
    <w:p w:rsidR="00A90898" w:rsidRDefault="00A90898" w:rsidP="00A90898">
      <w:pPr>
        <w:pStyle w:val="TextoNormal"/>
      </w:pPr>
      <w:r>
        <w:lastRenderedPageBreak/>
        <w:t>Atendida su naturaleza, en los términos que se detallan en los anexos, las funciones de evaluación y análisis que se regulan en los apartados 1 y 3 del art. 13 del Real Decreto exigen una perspectiva de conjunto que contemple como una unidad la totalidad del territorio estatal, dado que los aspectos e informaciones que deben incluir únicamente pueden obtenerse a partir de una consideración conjunta de todo el territorio, y desde un amplio enfoque, tanto temporal como geográfico. El precepto exige una evaluación y análisis global del potencial nacional, sin perjuicio de que el mismo pueda estar compuesto por un conjunto de planes y estrategias regionales o locales. Es decir, que esta evaluación y análisis que alcanza a la totalidad del territorio, puede desglosarse en planes y estrategias regionales o locales, pero sin que esa afirmación signifique que la actividad de evaluación y análisis pueda en sí misma llevarse a cabo a través de la mera agregación acumulativa de las informaciones, planes o estrategias proporcionadas desde las instancias autonómicas o locales.</w:t>
      </w:r>
    </w:p>
    <w:p w:rsidR="00A90898" w:rsidRDefault="00A90898" w:rsidP="00A90898">
      <w:pPr>
        <w:pStyle w:val="TextoNormal"/>
      </w:pPr>
    </w:p>
    <w:p w:rsidR="00A90898" w:rsidRDefault="00A90898" w:rsidP="00A90898">
      <w:pPr>
        <w:pStyle w:val="TextoNormal"/>
      </w:pPr>
      <w:r>
        <w:t>En otros términos, la evaluación y el análisis de costes y beneficios requieren la realización de una labor de prospectiva, comparativa y de análisis, que conlleva necesariamente la apreciación de valores y parámetros de alcance nacional, como medio de hacer posible una evaluación homogénea y un análisis de conjunto, que permita una comparación entre diversos puntos del territorio nacional en condiciones equivalentes, lo que excluye que dicha actividad pueda limitarse a una mera agregación de perspectivas territoriales de carácter sectorial. El examen del contenido del precepto permite aflorar, además, su transcendencia económica, pues el objetivo de la eficiencia energética es, entre otros, el ahorro energético y, como tal, produce un efecto económico no discutible; y, en este sentido, la referencia contenida en el art. 13 al análisis de costes-beneficios, pone de manifiesto no solo la relevancia energética de las medidas de eficiencia, sino también su indudable dimensión económica.</w:t>
      </w:r>
    </w:p>
    <w:p w:rsidR="00A90898" w:rsidRDefault="00A90898" w:rsidP="00A90898">
      <w:pPr>
        <w:pStyle w:val="TextoNormal"/>
      </w:pPr>
    </w:p>
    <w:p w:rsidR="00A90898" w:rsidRDefault="00A90898" w:rsidP="00A90898">
      <w:pPr>
        <w:pStyle w:val="TextoNormal"/>
      </w:pPr>
      <w:r>
        <w:t>El ámbito estatal de la actividad a realizar, y por tanto el carácter supraterritorial de la actividad descrita, conllevan la exigencia ineludible de una coordinación homogénea, desarrollada por un único titular, como único medio para integrar los diversos componentes multisectoriales, interterritoriales y temporales implicados, lo que hace imposible el fraccionamiento de la actividad. Nos encontramos pues ante un supuesto en el que el alcance supraterritorial de la actividad ejecutiva justifica su ejercicio por el Estado, en los términos expresamente reconocidos por la doctrina constitucional, esto es,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una grado de homogeneidad que sólo pueda garantizar la atribución a un único titular, que forzosamente deba ser el Estado, o cuando sea necesario recurrir a un ente con capacidad de integrar intereses contrapuestos de varias Comunidades Autónomas” (por todas, STC 1/2011, de 14 de febrero, FJ 6).</w:t>
      </w:r>
    </w:p>
    <w:p w:rsidR="00A90898" w:rsidRDefault="00A90898" w:rsidP="00A90898">
      <w:pPr>
        <w:pStyle w:val="TextoNormal"/>
      </w:pPr>
    </w:p>
    <w:p w:rsidR="00A90898" w:rsidRDefault="00A90898" w:rsidP="00A90898">
      <w:pPr>
        <w:pStyle w:val="TextoNormal"/>
      </w:pPr>
      <w:r>
        <w:t xml:space="preserve">El precepto controvertido ha de reputarse pues acorde con el orden constitucional de distribución de competencias, pues si bien el mismo contempla una medida ejecutiva de carácter básico, el alcance supraterritorial de la actividad a realizar, la exigencia de una coordinación de datos que supera la perspectiva autonómica, así como el carácter esencial de la coherencia y homogeneidad técnica de la actuación de las Administraciones públicas en la valoración y elaboración de estos parámetros en orden a la posterior planificación del potencial de uso de esta fórmula de eficiencia energética, hacen inviable la descentralización </w:t>
      </w:r>
      <w:r>
        <w:lastRenderedPageBreak/>
        <w:t>de dicha actividad y exigen la coordinación por un único sujeto, que necesariamente ha de ser el Estado, pues como este Tribunal ya ha tenido ocasión de afirmar “es legítimo que el Estado ejerza, en aquellos supuestos en los que aparezcan esas circunstancias (supraterritorialidad, necesidad de coherencia y homogeneidad técnica) facultades de coordinación” (STC 53/2016, de 17 de marzo, FJ 5).</w:t>
      </w:r>
    </w:p>
    <w:p w:rsidR="00A90898" w:rsidRDefault="00A90898" w:rsidP="00A90898">
      <w:pPr>
        <w:pStyle w:val="TextoNormal"/>
      </w:pPr>
    </w:p>
    <w:p w:rsidR="00A90898" w:rsidRDefault="00A90898" w:rsidP="00A90898">
      <w:pPr>
        <w:pStyle w:val="TextoNormal"/>
      </w:pPr>
      <w:r>
        <w:t>Lo anterior no es obstáculo para que a esa evaluación y análisis global, puedan eventualmente incorporarse también informaciones o datos proporcionados por las propias Comunidades Autónomas en relación con instalaciones situadas en su territorio, siendo la vía adecuada para ello, la utilización de los instrumentos de colaboración previstos en el bloque de la constitucionalidad, sin que corresponda a este Tribunal “determinar, ni tan siquiera sugerir, cuáles son las técnicas y cauces precisos para dar curso a la necesaria cooperación entre el Estado y las Comunidades Autónomas” (STC 3/2014, FJ 4), pero sin que esa función colaborativa pueda llevar a sustituir la perspectiva global y el alcance nacional de la función de evaluación y análisis que aquí se contempla y que justifican su atribución a un órgano del Estado.</w:t>
      </w:r>
    </w:p>
    <w:p w:rsidR="00A90898" w:rsidRDefault="00A90898" w:rsidP="00A90898">
      <w:pPr>
        <w:pStyle w:val="TextoNormal"/>
      </w:pPr>
    </w:p>
    <w:p w:rsidR="00A90898" w:rsidRDefault="00A90898" w:rsidP="00A90898">
      <w:pPr>
        <w:pStyle w:val="TextoNormal"/>
      </w:pPr>
      <w:r>
        <w:t>Por las razones expuestas, procede rechazar la impugnación formulada en relación con los apartados 1 y 3 del art. 13 del Real Decreto 56/2016.</w:t>
      </w:r>
    </w:p>
    <w:p w:rsidR="00A90898" w:rsidRDefault="00A90898" w:rsidP="00A90898">
      <w:pPr>
        <w:pStyle w:val="TextoNormal"/>
      </w:pPr>
    </w:p>
    <w:p w:rsidR="00A90898" w:rsidRDefault="00A90898" w:rsidP="00A90898">
      <w:pPr>
        <w:pStyle w:val="TextoNormal"/>
      </w:pPr>
      <w:r>
        <w:t>En relación con lo dispuesto el apartado 4 del art. 13, la impugnación formulada por el Gobierno de la Generalitat se concreta al segundo párrafo del precepto, en cuanto su argumentación se limita a afirmar que forma parte de sus competencias la facultad ejecutiva que el precepto atribuye a la Dirección General de Política Energética y Minas, de eximir a las instalaciones de la realización del análisis individualizado de costes y beneficios, en los supuestos allí contemplados. El análisis individualizado de costes y beneficios está previsto (apartado 5 del precepto) para aquellas instalaciones cuya potencia térmica total sea superior a 20 Mw, y que están en consecuencia sujetas a autorización administrativa, en los términos previstos en la disposición final primera del Real Decreto. Por ello, el análisis de la presente impugnación deriva de lo que a continuación se señala en relación con la citada disposición final primera, y debe ser examinado conjuntamente con ella.</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La disposición final primera introduce un nuevo artículo 121 </w:t>
      </w:r>
      <w:r w:rsidRPr="00A90898">
        <w:rPr>
          <w:i/>
        </w:rPr>
        <w:t>bis</w:t>
      </w:r>
      <w:r>
        <w:t xml:space="preserve"> (“trámites previos”) en el título VII del Real Decreto 1955/2000, de 1 de diciembre, que regula las actividades de transporte, distribución, comercialización, suministro y procedimientos de autorización de instalaciones de energía eléctrica, que si bien no se reproduce totalmente dada su extensión, viene sustancialmente a establecer lo siguiente:</w:t>
      </w:r>
    </w:p>
    <w:p w:rsidR="00A90898" w:rsidRDefault="00A90898" w:rsidP="00A90898">
      <w:pPr>
        <w:pStyle w:val="TextoNormal"/>
      </w:pPr>
    </w:p>
    <w:p w:rsidR="00A90898" w:rsidRDefault="00A90898" w:rsidP="00A90898">
      <w:pPr>
        <w:pStyle w:val="TextoNormal"/>
      </w:pPr>
      <w:r>
        <w:t>“1. Con carácter previo o simultáneo a la solicitud de autorización administrativa, el peticionario presentará ante la Dirección General de Política Energética y Minas un análisis de costes y beneficios de adaptar el funcionamiento de la instalación proyectada a la cogeneración de alta eficiencia de acuerdo con lo dispuesto en el anexo IV parte 2 del Real Decreto 56/2016, de 12 de febrero, por el que se transpone parcialmente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 en los siguientes casos.</w:t>
      </w:r>
    </w:p>
    <w:p w:rsidR="00A90898" w:rsidRDefault="00A90898" w:rsidP="00A90898">
      <w:pPr>
        <w:pStyle w:val="TextoNormal"/>
      </w:pPr>
    </w:p>
    <w:p w:rsidR="00A90898" w:rsidRDefault="00A90898" w:rsidP="00A90898">
      <w:pPr>
        <w:pStyle w:val="TextoNormal"/>
      </w:pPr>
      <w:r>
        <w:lastRenderedPageBreak/>
        <w:t>a) Cuando se proyecte una instalación térmica de generación de electricidad cuya potencia térmica total sea superior a 20 MW.</w:t>
      </w:r>
    </w:p>
    <w:p w:rsidR="00A90898" w:rsidRDefault="00A90898" w:rsidP="00A90898">
      <w:pPr>
        <w:pStyle w:val="TextoNormal"/>
      </w:pPr>
    </w:p>
    <w:p w:rsidR="00A90898" w:rsidRDefault="00A90898" w:rsidP="00A90898">
      <w:pPr>
        <w:pStyle w:val="TextoNormal"/>
      </w:pPr>
      <w:r>
        <w:t>b) Cuando se lleve a cabo una renovación sustancial de una instalación térmica de generación de electricidad, cuya potencia térmica total sea superior a 20 MW.</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2. La Dirección General de Política Energética y Minas, podrá denegar la autorización de la instalación o renovación de la instalación térmica de generación, si la misma no contempla la cogeneración de alta eficiencia y el análisis de costes y beneficios realizado por el titular al que hace referencia el apartado 1, resultara favorable a su incorporación.</w:t>
      </w:r>
    </w:p>
    <w:p w:rsidR="00A90898" w:rsidRDefault="00A90898" w:rsidP="00A90898">
      <w:pPr>
        <w:pStyle w:val="TextoNormal"/>
      </w:pPr>
    </w:p>
    <w:p w:rsidR="00A90898" w:rsidRDefault="00A90898" w:rsidP="00A90898">
      <w:pPr>
        <w:pStyle w:val="TextoNormal"/>
      </w:pPr>
      <w:r>
        <w:t>3. Excepcionalmente, cuando existan motivos derivados de otras obligaciones exigidas en el ordenamiento jurídico español u otras razones imperiosas de propiedad o de financiación, la Dirección General de Política Energética y Minas podrá resolver, previa solicitud motivada del interesado, que determinadas instalaciones concretas queden exentas de aplicar opciones cuyos beneficios superen sus costes. En este caso, el Ministerio de Industria, Energía y Minas, presentará a la Comisión Europea una notificación motivada de su decisión, en el plazo de tres meses desde la fecha de la resolución.</w:t>
      </w:r>
    </w:p>
    <w:p w:rsidR="00A90898" w:rsidRDefault="00A90898" w:rsidP="00A90898">
      <w:pPr>
        <w:pStyle w:val="TextoNormal"/>
      </w:pPr>
    </w:p>
    <w:p w:rsidR="00A90898" w:rsidRDefault="00A90898" w:rsidP="00A90898">
      <w:pPr>
        <w:pStyle w:val="TextoNormal"/>
      </w:pPr>
      <w:r>
        <w:t>4. En todo caso, lo dispuesto en apartados anteriores se aplicará a las instalaciones a las que es aplicable la Ley 16/2002, de 1 de julio, de prevención y control integrados de la contaminación y sus disposiciones de desarrollo sobre las emisiones industriales, sin perjuicio del cumplimiento de lo establecido en las mismas.”</w:t>
      </w:r>
    </w:p>
    <w:p w:rsidR="00A90898" w:rsidRDefault="00A90898" w:rsidP="00A90898">
      <w:pPr>
        <w:pStyle w:val="TextoNormal"/>
      </w:pPr>
    </w:p>
    <w:p w:rsidR="00A90898" w:rsidRDefault="00A90898" w:rsidP="00A90898">
      <w:pPr>
        <w:pStyle w:val="TextoNormal"/>
      </w:pPr>
      <w:r>
        <w:t>El argumento que sustenta la impugnación de este precepto es exclusivamente el de considerar que el mismo es incoherente con el criterio establecido en el art. 111 del Real Decreto 1955/2000 que delimita la competencia para otorgar y denegar autorizaciones administrativas de las instalaciones térmicas de generación de electricidad. Considera el Gobierno de la Generalitat que el establecimiento de 20 Mw térmicos como umbral delimitador de la competencia de autorización no respeta el canon de constitucionalidad que resulta del art. 149.1.22 CE y del art. 133 EAC, en los términos en que ha sido interpretado por la propia doctrina constitucional, e infringe el art. 3.13 a) de la Ley del sistema eléctrico. Este umbral de 20 Mw no es relevante ni significativo para determinar el aprovechamiento infra o supracomunitario de una instalación de producción de energía eléctrica, cuando es éste el criterio delimitador que deriva de los preceptos señalados y del canon de constitucionalidad aplicable, por lo que resulta contrario a lo señalado tanto en el art. 149.1.22 CE como en el art. 133 EAC y a lo señalado por la STC 32/2016.</w:t>
      </w:r>
    </w:p>
    <w:p w:rsidR="00A90898" w:rsidRDefault="00A90898" w:rsidP="00A90898">
      <w:pPr>
        <w:pStyle w:val="TextoNormal"/>
      </w:pPr>
    </w:p>
    <w:p w:rsidR="00A90898" w:rsidRDefault="00A90898" w:rsidP="00A90898">
      <w:pPr>
        <w:pStyle w:val="TextoNormal"/>
      </w:pPr>
      <w:r>
        <w:t xml:space="preserve">El precepto contempla el régimen de otorgamiento de las autorizaciones para el funcionamiento o renovación de instalaciones térmicas de generación de electricidad que apliquen la cogeneración de alta eficiencia, exigiendo la presentación —previa o simultánea— por parte del peticionario, de un análisis de costes y beneficios, en aquellos supuestos en que la potencia térmica total de la instalación sea superior a 20 Mw, tal y como se señala en la Directiva en su artículo 14.5. En lo que respecta a la exigencia de dicho trámite previo, no es función propia de este Tribunal pronunciarse en abstracto sobre cuestiones o aspectos de </w:t>
      </w:r>
      <w:r>
        <w:lastRenderedPageBreak/>
        <w:t>carácter técnico que vengan establecidos por el legislador como consecuencia de la evolución tecnológica y su impacto sobre la eficiencia energética, por lo que nuestro examen ha de limitarse a examinar si las nuevas facultades de autorización de las instalaciones, atribuidas en el precepto a un órgano estatal, infringen la delimitación constitucional y estatutaria de competencias que deriva de lo dispuesto en el art. 149.1.22 CE y en el art. 133 EAC en los términos señalados por la doctrina constitucional en esta materia.</w:t>
      </w:r>
    </w:p>
    <w:p w:rsidR="00A90898" w:rsidRDefault="00A90898" w:rsidP="00A90898">
      <w:pPr>
        <w:pStyle w:val="TextoNormal"/>
      </w:pPr>
    </w:p>
    <w:p w:rsidR="00A90898" w:rsidRDefault="00A90898" w:rsidP="00A90898">
      <w:pPr>
        <w:pStyle w:val="TextoNormal"/>
      </w:pPr>
      <w:r>
        <w:t>La previsión contenida en este precepto supone la introducción de una regla específica o particular en el procedimiento general previsto para la autorización de instalaciones eléctricas que se contiene en el art. 111 del Real Decreto 1955/2000, especificidad que encuentra su fundamento en las especiales características técnicas que han de reunir las plantas de cogeneración, que determinan la necesidad de un régimen regulado y económico peculiar, dado que, a diferencia de las centrales eléctricas convencionales, como ya hemos señalado, este tipo de instalaciones permiten obtener simultáneamente energía eléctrica (o mecánica) y energía térmica útil en un único proceso, favoreciendo de esto modo el ahorro de energía primaria, esto es, la llamada eficiencia energética, reduciendo las emisiones a la atmósfera, principalmente de gases de efecto invernadero, ya que el calor producido se aprovecha en otros procesos.</w:t>
      </w:r>
    </w:p>
    <w:p w:rsidR="00A90898" w:rsidRDefault="00A90898" w:rsidP="00A90898">
      <w:pPr>
        <w:pStyle w:val="TextoNormal"/>
      </w:pPr>
    </w:p>
    <w:p w:rsidR="00A90898" w:rsidRDefault="00A90898" w:rsidP="00A90898">
      <w:pPr>
        <w:pStyle w:val="TextoNormal"/>
      </w:pPr>
      <w:r>
        <w:t>La potencia térmica de una instalación, medida en Mw térmicos, que es el factor limitativo de cogeneración de energía introducido por el Real Decreto 56/2016 y la potencia eléctrica de las instalaciones a las que hace referencia la Ley del sector eléctrico (LSE) son dos referentes técnicos de distinta naturaleza. En otros términos, las instalaciones térmicas de generación de electricidad mediante cogeneración tienen una naturaleza y una finalidad propias, y utilizan una técnica de producción de energía eléctrica distinta de la convencional. La potencia térmica total instalada no es un concepto coincidente con el de potencia eléctrica al que se refiere la Ley del sector eléctrico; es decir, los Mw de potencia térmica total de una instalación de cogeneración no coinciden necesariamente con los Mw de potencia eléctrica, por lo que no resultan aplicables al presente supuesto las previsiones de la Ley del sector eléctrico a las que se remiten los recurrentes.</w:t>
      </w:r>
    </w:p>
    <w:p w:rsidR="00A90898" w:rsidRDefault="00A90898" w:rsidP="00A90898">
      <w:pPr>
        <w:pStyle w:val="TextoNormal"/>
      </w:pPr>
    </w:p>
    <w:p w:rsidR="00A90898" w:rsidRDefault="00A90898" w:rsidP="00A90898">
      <w:pPr>
        <w:pStyle w:val="TextoNormal"/>
      </w:pPr>
      <w:r>
        <w:t>Dicho lo anterior, la cuestión planteada ha de resolverse acudiendo al encuadramiento competencial en materia de autorización de instalaciones eléctricas (art. 149.1.22 CE) y la doctrina constitucional sobre la materia, en concreto, la contenida en la STC 32/2016, de 18 de febrero, FJ 5, que a su vez se remite a lo señalado en la STC 181/2013, de 23 de octubre, FJ 7, y cuyos pronunciamientos resultan trasladables al supuesto que ahora se examina.</w:t>
      </w:r>
    </w:p>
    <w:p w:rsidR="00A90898" w:rsidRDefault="00A90898" w:rsidP="00A90898">
      <w:pPr>
        <w:pStyle w:val="TextoNormal"/>
      </w:pPr>
    </w:p>
    <w:p w:rsidR="00A90898" w:rsidRDefault="00A90898" w:rsidP="00A90898">
      <w:pPr>
        <w:pStyle w:val="TextoNormal"/>
      </w:pPr>
      <w:r>
        <w:t xml:space="preserve">Afirmamos entonces que “no es misión de este Tribunal señalar en abstracto cuáles podrían ser los criterios técnicos más oportunos, adecuados o convenientes … ni valorar en abstracto si son suficientes, sino enjuiciar en concreto si los criterios legales cuestionados infringe o no el bloque de constitucionalidad (STC 227/1988, de 29 de noviembre, FJ 13”, y entendimos que “los datos de potencia instalada y de la tensión nominal de la línea que emplea el precepto impugnado son sin duda muy relevantes a la hora de valorar la proyección intra o supracomunitaria de una concreta instalación eléctrica en el mercado del sector eléctrico y, por ello, pueden ser también datos relevantes para determinar a qué ente territorial le corresponde su autorización, sin que por sí mismos sean incompatibles con el criterio territorial que enuncia el art. 149.1.22 CE”. Después de recordar que “ni el legislador estatal ni el autonómico pueden situarse en la posición propia del poder constituyente”, señalamos </w:t>
      </w:r>
      <w:r>
        <w:lastRenderedPageBreak/>
        <w:t>que “el precepto impugnado puede ser objeto de una interpretación conforme a la Constitución. En la medida en que se entienda que la aplicación de los criterios legales cuestionados no conduce necesariamente a un resultado material distinto del que se desprende de la regla constitucional del aprovechamiento intra o extracomunitario consagrada en el art. 149.1.22 CE. Así pues, debe descartarse la inconstitucionalidad del precepto impugnado en tanto que la aplicación de los criterios legales de potencia instalada y de la tensión nominal de la línea no tenga el efecto de alterar el resultado querido por el poder constituyente, sino que, por el contrario, aquel ha de ser entendido en el sentido de que la autorización estatal de las instalaciones que cumplan los criterios de potencia y tensión a lo que hace referencia procederá, en tanto que los mismos son indicativos de territorialidad, en los supuestos previstos en el art. 149.1.22 CE”.</w:t>
      </w:r>
    </w:p>
    <w:p w:rsidR="00A90898" w:rsidRDefault="00A90898" w:rsidP="00A90898">
      <w:pPr>
        <w:pStyle w:val="TextoNormal"/>
      </w:pPr>
    </w:p>
    <w:p w:rsidR="00A90898" w:rsidRDefault="00A90898" w:rsidP="00A90898">
      <w:pPr>
        <w:pStyle w:val="TextoNormal"/>
      </w:pPr>
      <w:r>
        <w:t>La doctrina contenida en las citadas Sentencias resulta de aplicación al supuesto que nos ocupa, y permite llegar a una interpretación conforme del precepto que se examina, debiendo entenderse, de conformidad con la misma, que lo señalado en la disposición final primera del Real Decreto 56/2016 no vulnera la distribución competencial, en la medida en que la aplicación de los criterios técnicos de potencia térmica total allí previstos para las instalaciones térmicas de generación de electricidad, que apliquen la cogeneración de alta eficiencia, coincidan materialmente con los criterios constitucionales del aprovechamiento y del transporte intra- o extracomunitario contemplados en el art. 149.1.22 CE, de acuerdo con la doctrina que acaba de examinarse. Esta interpretación será llevada al fallo.</w:t>
      </w:r>
    </w:p>
    <w:p w:rsidR="00A90898" w:rsidRDefault="00A90898" w:rsidP="00A90898">
      <w:pPr>
        <w:pStyle w:val="TextoNormal"/>
      </w:pPr>
    </w:p>
    <w:p w:rsidR="00A90898" w:rsidRDefault="00A90898" w:rsidP="00A90898">
      <w:pPr>
        <w:pStyle w:val="TextoNormal"/>
      </w:pPr>
      <w:r>
        <w:t>Señalado lo anterior, estamos en condiciones de pronunciarnos sobre la impugnación del artículo 13.4, precepto respecto del cual hemos de llegar a idéntica conclusión; esto es, la competencia para eximir o no de análisis individualizado de costes y beneficios, en la medida en que se inserta como trámite previo, en el procedimiento de autorización de las instalaciones con potencia térmica total superior a 20 Mw, habrá de corresponder al titular de la competencia para el otorgamiento de la autorización, en los términos que acaban de señalarse; y, por ello, la referencia que en el citado precepto se efectúa a la Dirección general de política energética y minas ha de ser entendida en relación con aquellas instalaciones respecto de las cuales —y conforme a los parámetros doctrinales expuestos— le corresponda la competencia para el otorgamiento de la correspondiente autorización administrativa.</w:t>
      </w:r>
    </w:p>
    <w:p w:rsidR="00A90898" w:rsidRDefault="00A90898" w:rsidP="00A90898">
      <w:pPr>
        <w:pStyle w:val="TextoNormal"/>
      </w:pPr>
    </w:p>
    <w:p w:rsidR="00A90898" w:rsidRDefault="00A90898" w:rsidP="00A90898">
      <w:pPr>
        <w:pStyle w:val="TextoNormal"/>
      </w:pPr>
      <w:r w:rsidRPr="00A90898">
        <w:rPr>
          <w:rStyle w:val="NumeroAFNegritaCaracter"/>
        </w:rPr>
        <w:t>7</w:t>
      </w:r>
      <w:r>
        <w:t>. La disposición final cuarta del Real Decreto establece:</w:t>
      </w:r>
    </w:p>
    <w:p w:rsidR="00A90898" w:rsidRDefault="00A90898" w:rsidP="00A90898">
      <w:pPr>
        <w:pStyle w:val="TextoNormal"/>
      </w:pPr>
    </w:p>
    <w:p w:rsidR="00A90898" w:rsidRDefault="00A90898" w:rsidP="00A90898">
      <w:pPr>
        <w:pStyle w:val="TextoNormal"/>
      </w:pPr>
      <w:r>
        <w:t>“Este real decreto se dicta en ejercicio de las competencias que las reglas 13, 23 y 25 del art. 149.1 de la Constitución Española atribuyen al Estado sobre bases y coordinación de la planificación general de la actividad económica, sobre protección del medio ambiente y sobre bases del régimen minero y energético, respectivamente.”</w:t>
      </w:r>
    </w:p>
    <w:p w:rsidR="00A90898" w:rsidRDefault="00A90898" w:rsidP="00A90898">
      <w:pPr>
        <w:pStyle w:val="TextoNormal"/>
      </w:pPr>
    </w:p>
    <w:p w:rsidR="00A90898" w:rsidRDefault="00A90898" w:rsidP="00A90898">
      <w:pPr>
        <w:pStyle w:val="TextoNormal"/>
      </w:pPr>
      <w:r>
        <w:t>Como hemos tenido ocasión de señalar reiteradamente, la impugnación por conexión de esta disposición final, que enuncia los títulos competenciales que habilitan al Estado para establecer la regulación que contiene el Real Decreto 56/2016, ha de resolverse en consonancia con las conclusiones alcanzadas en los anteriores fundamentos jurídicos, sin que sea necesario un pronunciamiento expreso y genérico, por cuanto el Gobierno autonómico recurrente ya lo ha obtenido en relación a cada uno de los preceptos impugnados y ello se proyecta sobre esta concreta disposición (por todas STC 5/2016, de 21 de enero, FJ 5).</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que el art. 13.4 y la disposición final primera del Real Decreto 56/2016, de 12 de febrero, son conformes con la Constitución, interpretados en los términos señalados en el fundamento jurídico 6.</w:t>
      </w:r>
    </w:p>
    <w:p w:rsidR="00A90898" w:rsidRDefault="00A90898" w:rsidP="00A90898">
      <w:pPr>
        <w:pStyle w:val="TextoNormal"/>
      </w:pPr>
    </w:p>
    <w:p w:rsidR="00A90898" w:rsidRDefault="00A90898" w:rsidP="00A90898">
      <w:pPr>
        <w:pStyle w:val="TextoNormal"/>
      </w:pPr>
      <w:r>
        <w:t>2º Desestimar en lo demás el presente conflicto positivo de competencias.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seis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1" w:name="SENTENCIA_2016_172"/>
      <w:r>
        <w:lastRenderedPageBreak/>
        <w:t>SENTENCIA 172/2016, de 17 de octubre de 2016</w:t>
      </w:r>
    </w:p>
    <w:bookmarkEnd w:id="51"/>
    <w:p w:rsidR="00A90898" w:rsidRDefault="00A90898" w:rsidP="00A90898">
      <w:pPr>
        <w:pStyle w:val="TtuloResolucin"/>
      </w:pPr>
      <w:r>
        <w:t>Sala Primera</w:t>
      </w:r>
    </w:p>
    <w:p w:rsidR="00A90898" w:rsidRDefault="00A90898" w:rsidP="00A90898">
      <w:pPr>
        <w:pStyle w:val="TtuloBOE"/>
      </w:pPr>
      <w:r>
        <w:t>(BOE núm. 285, de 25 de noviembre de 2016)</w:t>
      </w:r>
    </w:p>
    <w:p w:rsidR="00A90898" w:rsidRDefault="00A90898" w:rsidP="00A90898">
      <w:pPr>
        <w:pStyle w:val="TextoNormalCentrado"/>
      </w:pPr>
      <w:r>
        <w:t>ECLI:ES:TC:2016:172</w:t>
      </w:r>
    </w:p>
    <w:p w:rsidR="00A90898" w:rsidRDefault="00A90898" w:rsidP="00A90898">
      <w:pPr>
        <w:pStyle w:val="TextoNormalCentrado"/>
      </w:pPr>
    </w:p>
    <w:p w:rsidR="00A90898" w:rsidRDefault="00A90898" w:rsidP="00A90898">
      <w:pPr>
        <w:pStyle w:val="SntesisDescriptiva"/>
      </w:pPr>
      <w:r>
        <w:t>Recurso de amparo 299-2013. Promovido por don Francisco de Asís Serrano Castro en relación con la Sentencia de la Sala de lo Penal del Tribunal Supremo que le condenó por un delito de prevaricación judicial doloso.</w:t>
      </w:r>
    </w:p>
    <w:p w:rsidR="00A90898" w:rsidRDefault="00A90898" w:rsidP="00A90898">
      <w:pPr>
        <w:pStyle w:val="SntesisDescriptiva"/>
      </w:pPr>
    </w:p>
    <w:p w:rsidR="00A90898" w:rsidRDefault="00A90898" w:rsidP="00A90898">
      <w:pPr>
        <w:pStyle w:val="SntesisAnaltica"/>
      </w:pPr>
      <w:r>
        <w:t>Vulneración de los derechos a la tutela judicial efectiva (acceso al recurso), a un proceso con todas las garantías y a la presunción de inocencia: condena impuesta en casación sin cumplirse los requisitos procesales exigibles y fundada en una nueva valoración de un elemento subjetivo del injusto. Voto particular.</w:t>
      </w:r>
    </w:p>
    <w:p w:rsidR="00A90898" w:rsidRDefault="00A90898" w:rsidP="00A90898">
      <w:pPr>
        <w:pStyle w:val="SntesisAnaltica"/>
      </w:pPr>
    </w:p>
    <w:p w:rsidR="00A90898" w:rsidRDefault="00A90898" w:rsidP="00A90898">
      <w:pPr>
        <w:pStyle w:val="Extracto"/>
      </w:pPr>
      <w:r>
        <w:t>1.</w:t>
      </w:r>
      <w:r>
        <w:tab/>
        <w:t>Se ha producido una vulneración del derecho del recurrente a la tutela judicial efectiva (art. 24.1 CE), desde la perspectiva del derecho al recurso, por no haberse inadmitido, y en todo caso por haberse estimado en Sentencia, el primer motivo de casación interpuesto por la acusación particular [FJ 5].</w:t>
      </w:r>
    </w:p>
    <w:p w:rsidR="00A90898" w:rsidRDefault="00A90898" w:rsidP="00A90898">
      <w:pPr>
        <w:pStyle w:val="Extracto"/>
      </w:pPr>
    </w:p>
    <w:p w:rsidR="00A90898" w:rsidRDefault="00A90898" w:rsidP="00A90898">
      <w:pPr>
        <w:pStyle w:val="Extracto"/>
      </w:pPr>
      <w:r>
        <w:t>2.</w:t>
      </w:r>
      <w:r>
        <w:tab/>
        <w:t>No es que la Sentencia del Tribunal Supremo que se impugna no tenga motivación (que desde luego la tiene), ni quizá tampoco que haya indefensión (el acusado recurrente en amparo pudo oponerse al motivo y conoció lo que con él pretendía la parte acusadora, en lo que hace a atribuirle intención en su actuar), pero hay un exceso de jurisdicción (el motivo no debió ser admitido, tal como se planteaba, y menos todavía estimarlo), en cuanto al respeto a los presupuestos legales del recurso de casación, que deviene lesivo del derecho al recurso de la parte recurrida (art. 24.1 CE) [FJ 5].</w:t>
      </w:r>
    </w:p>
    <w:p w:rsidR="00A90898" w:rsidRDefault="00A90898" w:rsidP="00A90898">
      <w:pPr>
        <w:pStyle w:val="Extracto"/>
      </w:pPr>
    </w:p>
    <w:p w:rsidR="00A90898" w:rsidRDefault="00A90898" w:rsidP="00A90898">
      <w:pPr>
        <w:pStyle w:val="Extracto"/>
      </w:pPr>
      <w:r>
        <w:t>3.</w:t>
      </w:r>
      <w:r>
        <w:tab/>
        <w:t>Se reconoce como modalidad de vulneración del derecho al recurso (art. 24.1 CE), no solamente su inadmisión indebida sino también el acordar su admisión cuando la misma no resultaba procedente (SSTC 116/1986,  149/2015) [FJ 4].</w:t>
      </w:r>
    </w:p>
    <w:p w:rsidR="00A90898" w:rsidRDefault="00A90898" w:rsidP="00A90898">
      <w:pPr>
        <w:pStyle w:val="Extracto"/>
      </w:pPr>
    </w:p>
    <w:p w:rsidR="00A90898" w:rsidRDefault="00A90898" w:rsidP="00A90898">
      <w:pPr>
        <w:pStyle w:val="Extracto"/>
      </w:pPr>
      <w:r>
        <w:t>4.</w:t>
      </w:r>
      <w:r>
        <w:tab/>
        <w:t>Razones fundadas en el principio de legalidad procesal (STC 293/1994), o en la bilateralidad del proceso (STC 118/2006) determinan que un órgano judicial no puede inadmitir un recurso previsto por la ley, ni le está permitido pronunciarse en vía de recurso sobre una determinada materia cuando exista una causa impeditiva para ello, puesto que, si ignorara esta prohibición legal, estaría excediéndose de la competencia que el legislador le ha otorgado; exceso que este Tribunal Constitucional debe corregir en la medida en que el pronunciamiento judicial pudiera lesionar el derecho de otros justiciables a la tutela judicial efectiva (SSTC 116/1986, 285/2006, 49/2015) [FJ 4].</w:t>
      </w:r>
    </w:p>
    <w:p w:rsidR="00A90898" w:rsidRDefault="00A90898" w:rsidP="00A90898">
      <w:pPr>
        <w:pStyle w:val="Extracto"/>
      </w:pPr>
    </w:p>
    <w:p w:rsidR="00A90898" w:rsidRDefault="00A90898" w:rsidP="00A90898">
      <w:pPr>
        <w:pStyle w:val="Extracto"/>
      </w:pPr>
      <w:r>
        <w:t>5.</w:t>
      </w:r>
      <w:r>
        <w:tab/>
        <w:t>Modificar los hechos de la instancia mediante la revalorización de pruebas personales no puede equivaler a un juicio normativo porque deba acudirse a una deducción presuntiva, y supone la lesión del derecho a un proceso con todas las garantías (art. 24.2 CE) y del derecho a un proceso equitativo del art. 6.1 del Conve</w:t>
      </w:r>
      <w:r>
        <w:lastRenderedPageBreak/>
        <w:t>nio europeo para la protección de los derechos humanos y de las libertades fundamentales (CEDH), conforme a la jurisprudencia del Tribunal Europeo de Derechos Humanos [FJ 8].</w:t>
      </w:r>
    </w:p>
    <w:p w:rsidR="00A90898" w:rsidRDefault="00A90898" w:rsidP="00A90898">
      <w:pPr>
        <w:pStyle w:val="Extracto"/>
      </w:pPr>
    </w:p>
    <w:p w:rsidR="00A90898" w:rsidRDefault="00A90898" w:rsidP="00A90898">
      <w:pPr>
        <w:pStyle w:val="Extracto"/>
      </w:pPr>
      <w:r>
        <w:t>6.</w:t>
      </w:r>
      <w:r>
        <w:tab/>
        <w:t xml:space="preserve">Todo juicio de inferencia sobre el elemento subjetivo del delito o el ánimo de delinquir, cuando los datos sean extraídos de pruebas personales, exige la celebración de vista cuando se trata de revocar una sentencia absolutoria o, en su caso, empeorar la condena (SSTEDH de 22 de noviembre de 2011, caso </w:t>
      </w:r>
      <w:r w:rsidRPr="00A90898">
        <w:rPr>
          <w:i/>
        </w:rPr>
        <w:t>Serrano Contreras c. España</w:t>
      </w:r>
      <w:r>
        <w:t xml:space="preserve">; 27 de noviembre de 2012, caso </w:t>
      </w:r>
      <w:r w:rsidRPr="00A90898">
        <w:rPr>
          <w:i/>
        </w:rPr>
        <w:t>Vilanova Goterris c. España</w:t>
      </w:r>
      <w:r>
        <w:t>) [FJ 8].</w:t>
      </w:r>
    </w:p>
    <w:p w:rsidR="00A90898" w:rsidRDefault="00A90898" w:rsidP="00A90898">
      <w:pPr>
        <w:pStyle w:val="Extracto"/>
      </w:pPr>
    </w:p>
    <w:p w:rsidR="00A90898" w:rsidRDefault="00A90898" w:rsidP="00A90898">
      <w:pPr>
        <w:pStyle w:val="Extracto"/>
      </w:pPr>
      <w:r>
        <w:t>7.</w:t>
      </w:r>
      <w:r>
        <w:tab/>
        <w:t>La mera presencia del recurrente en estrados en la vista de casación no resulta suficiente para colmar las garantías del proceso debido en la segunda instancia; porque la vista regulada en la Ley de enjuiciamiento criminal no permite articular la celebración de práctica de pruebas. A mayor abundamiento, porque (i) el acto de la vista y la presencia del recurrente no pretendía la celebración de un verdadero acto de práctica de pruebas personales, tal como exige la jurisprudencia constitucional; y (ii) no queda concretada en el acta de la vista en que consistió la autodefensa del acusado, por lo que no resulta posible controlar si se salvaguardó una mínima calidad exigible desde la óptica del derecho de audiencia [FJ 8].</w:t>
      </w:r>
    </w:p>
    <w:p w:rsidR="00A90898" w:rsidRDefault="00A90898" w:rsidP="00A90898">
      <w:pPr>
        <w:pStyle w:val="Extracto"/>
      </w:pPr>
    </w:p>
    <w:p w:rsidR="00A90898" w:rsidRDefault="00A90898" w:rsidP="00A90898">
      <w:pPr>
        <w:pStyle w:val="Extracto"/>
      </w:pPr>
      <w:r>
        <w:t>8.</w:t>
      </w:r>
      <w:r>
        <w:tab/>
        <w:t>No se ha producido vulneración al derecho a la presunción de inocencia y a la tutela judicial sin indefensión por haber desconocido la sentencia impugnada los previos pronunciamientos del orden jurisdiccional civil confirmatorios de la decisión judicial adoptada [FJ 9].</w:t>
      </w:r>
    </w:p>
    <w:p w:rsidR="00A90898" w:rsidRDefault="00A90898" w:rsidP="00A90898">
      <w:pPr>
        <w:pStyle w:val="Extracto"/>
      </w:pPr>
    </w:p>
    <w:p w:rsidR="00A90898" w:rsidRDefault="00A90898" w:rsidP="00A90898">
      <w:pPr>
        <w:pStyle w:val="Extracto"/>
      </w:pPr>
      <w:r>
        <w:t>9.</w:t>
      </w:r>
      <w:r>
        <w:tab/>
        <w:t>No se ha vulnerado el derecho a ser informado de la acusación, pues el recurrente pudo alegar y probar que la resolución no era injusta y se terminó considerando que era manifiestamente injusta [FJ 10].</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299-2013, promovido por don Francisco de Asís Serrano Castro, representado por el Procurador de los Tribunales don Jorge Deleito García, bajo la dirección del Letrado don Fernando Rodríguez Galisteo, contra el Auto de la Sala de lo Penal del Tribunal Supremo de 30 de octubre de 2012, aclarado por Auto de 20 de noviembre de 2012, por el que se acuerda no haber lugar a admitir a trámite el incidente de nulidad </w:t>
      </w:r>
      <w:r>
        <w:lastRenderedPageBreak/>
        <w:t>de actuaciones promovido contra la Sentencia núm. 571/2012, de 29 de junio, por la que se estima el recurso de casación número 2171-2011, interpuesto contra la Sentencia de la Sala de lo Civil y lo Penal del Tribunal Superior de Justicia de Andalucía núm. 15-2011, de 13 de octubre, dictada en el procedimiento abreviado número 1-2011, y se condena por un delito de prevaricación judicial doloso. Ha comparecido doña Rosario Isabel Hinojosa Picón, representada por el Procurador de los Tribunales don Roberto Granizo Palomeque, bajo la dirección del Letrado don Antonio Miguel Vázquez Barragán. Ha intervenido el Ministerio Fiscal. Ha sido Ponente el Magistrado don Juan Antonio Xiol Ríos,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Procurador de los Tribunales don Jorge Deleito García, en nombre y representación de don Francisco de Asís Serrano Castro, bajo la dirección del Letrado don Miguel García-Diéguez López, interpuso demanda de amparo contra las resoluciones que se mencionan en el encabezamiento, mediante escrito registrado en este Tribunal el 17 de enero de 2013.</w:t>
      </w:r>
    </w:p>
    <w:p w:rsidR="00A90898" w:rsidRDefault="00A90898" w:rsidP="00A90898">
      <w:pPr>
        <w:pStyle w:val="TextoNormal"/>
      </w:pPr>
    </w:p>
    <w:p w:rsidR="00A90898" w:rsidRDefault="00A90898" w:rsidP="00A90898">
      <w:pPr>
        <w:pStyle w:val="TextoNormal"/>
      </w:pPr>
      <w:r w:rsidRPr="00A90898">
        <w:rPr>
          <w:rStyle w:val="NumeroAFNegritaCaracter"/>
        </w:rPr>
        <w:t>2</w:t>
      </w:r>
      <w:r>
        <w:t>. El recurso tiene su origen en los siguientes antecedentes:</w:t>
      </w:r>
    </w:p>
    <w:p w:rsidR="00A90898" w:rsidRDefault="00A90898" w:rsidP="00A90898">
      <w:pPr>
        <w:pStyle w:val="TextoNormal"/>
      </w:pPr>
    </w:p>
    <w:p w:rsidR="00A90898" w:rsidRDefault="00A90898" w:rsidP="00A90898">
      <w:pPr>
        <w:pStyle w:val="TextoNormal"/>
      </w:pPr>
      <w:r>
        <w:t>a) El demandante de amparo, entonces Magistrado titular del Juzgado de Primera Instancia núm. 7 de Sevilla, dictó el 30 de marzo de 2010 un Auto en el que resolvió una solicitud de medidas cautelares urgentes instadas por el abuelo paterno de un menor, a tal fin oyó en comparecencia al menor. Dicho Auto adoptó como medida cautelar la prolongación hasta el viernes 2 de abril de 2010 el periodo de estancia de vacaciones con el padre a fin de asegurar que el menor pudiera salir en la madrugada como paje con una cofradía —el régimen de visitas del padre expiraba el miércoles 31 de marzo de 2010 y debía devolver ese día a su madre al menor—.</w:t>
      </w:r>
    </w:p>
    <w:p w:rsidR="00A90898" w:rsidRDefault="00A90898" w:rsidP="00A90898">
      <w:pPr>
        <w:pStyle w:val="TextoNormal"/>
      </w:pPr>
    </w:p>
    <w:p w:rsidR="00A90898" w:rsidRDefault="00A90898" w:rsidP="00A90898">
      <w:pPr>
        <w:pStyle w:val="TextoNormal"/>
      </w:pPr>
      <w:r>
        <w:t>Dicho Auto fue recurrido en apelación y resuelto por Auto de 8 de junio de 2011, dictado en el rollo de apelación civil núm. 5340-2010, desestimando los recursos de apelación interpuestos por el Ministerio Fiscal y por la demandada, confirmándolo en toda su integridad. A esos efectos, la parte relevante de la fundamentación del Auto es la siguiente:</w:t>
      </w:r>
    </w:p>
    <w:p w:rsidR="00A90898" w:rsidRDefault="00A90898" w:rsidP="00A90898">
      <w:pPr>
        <w:pStyle w:val="TextoNormal"/>
      </w:pPr>
    </w:p>
    <w:p w:rsidR="00A90898" w:rsidRDefault="00A90898" w:rsidP="00A90898">
      <w:pPr>
        <w:pStyle w:val="TextoNormal"/>
      </w:pPr>
      <w:r>
        <w:t xml:space="preserve">“[N]o puede esta Sala declarar la nulidad interesada por falta de competencia objetiva y funcional del Juzgado de Primera Instancia nº 7 de Familia … si bien es cierto, que el Juzgado de Violencia Sobre la Mujer nº 4 de esta ciudad que conoce de los autos de divorcio contencioso de ambas partes bajo el núm. 116/2009, dictó auto de medidas provisionales con fecha 26 de enero de 2010 … también lo es, no solo que por el titular del Juzgado de Primera Instancia nº 7 (Familia) de esta ciudad, al que se había turnado la correspondiente solicitud, incoó el oportuno procedimiento de medidas cautelares urgentes a tenor de lo dispuesto en el art. 158 de nuestro C.C. dada la petición expresa contenida en aquella de fecha 30 de Marzo de 2010 (Martes Santo) suscrita por el abuelo paterno del menor … para que aquél pudiese realizar la estación de penitencia como paje en la Hermandad del Silencio durante la madrugada del Jueves al Viernes Santo, al haber discrepancia entre los progenitores; sino que explorado el menor en relación a la solicitud formulada (quién manifestó expresamente su deseo y que se encontraba en una situación de angustia ante las dudas generadas sobre su posible salida procesional), por parte del Juez ‘a quo’ se dictó ‘inaudita </w:t>
      </w:r>
      <w:r>
        <w:lastRenderedPageBreak/>
        <w:t>parte’ resolución al amparo de aquél precepto para que éste último pudiera realizar la estación de penitencia con su cofradía y garantizar el interés del mismo. Así las cosas, justificado el precitado artículo 158 de nuestro C.C. por la celeridad que la satisfacción de los menores impone y el carácter tuitivo, garantista y protector de los mismos, las medidas que los jueces pueden adoptar, se amplían a todo tipo de situaciones, incluso aunque excedan de las meramente paternofiliales …; por lo que partiendo de este contexto y ante la solicitud formulada por el abuelo paterno Sr. Navarro García y el expreso deseo manifestado en la comparecencia ante el Juez “a quo” por parte del menor, esta Sala en atención a las razones de urgencia y necesidad estima competente al Juzgado de Primera Instancia nº 7 (Familia) de esta ciudad para incoar y conocer del presente procedimiento entablado, ya que aquél precepto permitía adoptar las medidas necesarias para tutelar y proteger los intereses del menor de referencia incluso ‘inaudita parte’ o de oficio por dicho órgano … por lo que la competencia del Juzgado de Familia en el supuesto de autos difícilmente puede ser cuestionada y ello con independencia del desarrollo de otros procesos ya entablados (conviene recordar, que no nos encontramos ante una discrepancia en el ejercicio de la patria potestad o ante una modificación sustancial del régimen de estancia, comunicación y visitas, sino ante una medida puntual y cautelar en evitación de un perjuicio al menor de referencia). De ahí, que desde la perspectiva de la legalidad sustantiva y procesal ordinaria, sea procedente la desestimación de sendas pretensiones de nulidad articuladas tanto a través del recurso interpuesto como vía de impugnación a la resolución recurrida, sin olvidar que autorizada la específica y puntual salida procesional del menor por el Juez competente, se habría producido el agotamiento sobrevenido del objeto del proceso entablado.”</w:t>
      </w:r>
    </w:p>
    <w:p w:rsidR="00A90898" w:rsidRDefault="00A90898" w:rsidP="00A90898">
      <w:pPr>
        <w:pStyle w:val="TextoNormal"/>
      </w:pPr>
    </w:p>
    <w:p w:rsidR="00A90898" w:rsidRDefault="00A90898" w:rsidP="00A90898">
      <w:pPr>
        <w:pStyle w:val="TextoNormal"/>
      </w:pPr>
      <w:r>
        <w:t>b) Previamente, el 18 de mayo de 2010 se registró ante la Sala Civil y Penal del Tribunal Superior de Justicia de Andalucía, una querella criminal contra el demandante, por delitos de prevaricación, cohecho, violación de secretos, y lesiones, que tenían su sustento en la actuación del Magistrado en dicho procedimiento. Tras el correspondiente procedimiento, la Sentencia de la Sala de lo Civil y lo Penal del Tribunal Superior de Justicia de Andalucía de 13 de octubre de 2011, dictada en el procedimiento abreviado 1-2011, absolvió al ahora demandante de amparo del delito de prevaricación dolosa y le condenó por un delito de prevaricación culposa a la pena de dos años de inhabilitación especial para empleo o cargo público, costas e indemnización a la perjudicada. La Sentencia consideró probados los siguientes hechos:</w:t>
      </w:r>
    </w:p>
    <w:p w:rsidR="00A90898" w:rsidRDefault="00A90898" w:rsidP="00A90898">
      <w:pPr>
        <w:pStyle w:val="TextoNormal"/>
      </w:pPr>
    </w:p>
    <w:p w:rsidR="00A90898" w:rsidRDefault="00A90898" w:rsidP="00A90898">
      <w:pPr>
        <w:pStyle w:val="TextoNormal"/>
      </w:pPr>
      <w:r>
        <w:t>(i) En el marco de un procedimiento de divorcio seguido por el Juzgado de Violencia sobre la Mujer núm. 4 de Sevilla se dictó un Auto de medidas provisionalísimas en el que se acordó, entre otros extremos, la atribución a la madre de la guarda y custodia de los hijos menores del matrimonio y un régimen de visitas que, por lo referido a la vacaciones de semana santa, tendría dos turnos que se extendían, el primero, hasta el miércoles santo a las 14:00 horas y, el segundo desde ese momento hasta el domingo de resurrección a las 20:00 horas a elección, en años pares, del padre. El Auto incluía una mención a que “ambos progenitores respetará el deseo de los hijos de tomar parte en las estaciones de penitencia de las hermandades a que pertenecen”.</w:t>
      </w:r>
    </w:p>
    <w:p w:rsidR="00A90898" w:rsidRDefault="00A90898" w:rsidP="00A90898">
      <w:pPr>
        <w:pStyle w:val="TextoNormal"/>
      </w:pPr>
    </w:p>
    <w:p w:rsidR="00A90898" w:rsidRDefault="00A90898" w:rsidP="00A90898">
      <w:pPr>
        <w:pStyle w:val="TextoNormal"/>
      </w:pPr>
      <w:r>
        <w:t xml:space="preserve">(ii) En la semana santa de 2010 los hijos menores estaban en compañía del padre en el primer turno, por lo que debía hacer entrega de los mismos a la madre el miércoles santo a las 14:00 horas. Durante este turno se suscitó el deseo del menor de salir en procesión con una hermandad en la madrugada del viernes santo, lo que se hizo saber por los abogados del </w:t>
      </w:r>
      <w:r>
        <w:lastRenderedPageBreak/>
        <w:t>padre a la abogada de la madre, quien requirió conocer más detalles. Los abogados del padre, al considerar que la respuesta podría interpretarse como contraria a permitir la salida procesional, se entrevistaron con el titular del Juzgado de Violencia sobre la Mujer núm. 4 de Sevilla que afirmó que todo el proceso estaba bien descrito en el auto de medidas provisionales y que no podía por el momento tomar otras decisiones. El abuelo paterno se citó con unos letrados para “iniciar una estrategia procesal distinta y canalizar la petición de salida procesional ante el Juez de Familia Sr. Serrano” mediante una solicitud de medidas cautelares a instancia del abuelo, manteniendo al margen al padre.</w:t>
      </w:r>
    </w:p>
    <w:p w:rsidR="00A90898" w:rsidRDefault="00A90898" w:rsidP="00A90898">
      <w:pPr>
        <w:pStyle w:val="TextoNormal"/>
      </w:pPr>
    </w:p>
    <w:p w:rsidR="00A90898" w:rsidRDefault="00A90898" w:rsidP="00A90898">
      <w:pPr>
        <w:pStyle w:val="TextoNormal"/>
      </w:pPr>
      <w:r>
        <w:t>(iii) El martes 30 de marzo de 2010 hacia las 10:00 o 10:30 de la mañana se personaron en el Juzgado de Familia núm. 7 de Sevilla, del que es titular el ahora demandante de amparo, el abuelo, el padre y el menor junto con un abogado. La Sentencia expone en su hecho probado tercero lo siguiente:</w:t>
      </w:r>
    </w:p>
    <w:p w:rsidR="00A90898" w:rsidRDefault="00A90898" w:rsidP="00A90898">
      <w:pPr>
        <w:pStyle w:val="TextoNormal"/>
      </w:pPr>
    </w:p>
    <w:p w:rsidR="00A90898" w:rsidRDefault="00A90898" w:rsidP="00A90898">
      <w:pPr>
        <w:pStyle w:val="TextoNormal"/>
      </w:pPr>
      <w:r>
        <w:t>“Abuelo y nieto son recibidos por el Sr. Serrano en su despacho, en el que estaba presente la Sra. Secretaria y una funcionaria trabajando en otros expedientes, quedando afuera, en el pasillo, mientras tanto el padre del menor y el abogado Sr. Blanco. El abuelo manifestó la situación y el deseo del menor de salir en la referida procesión, tras lo cual el Sr. Serrano les indica que habrían de presentar una solicitud de medidas cautelares en el Decanato para que fuese turnada.</w:t>
      </w:r>
    </w:p>
    <w:p w:rsidR="00A90898" w:rsidRDefault="00A90898" w:rsidP="00A90898">
      <w:pPr>
        <w:pStyle w:val="TextoNormal"/>
      </w:pPr>
    </w:p>
    <w:p w:rsidR="00A90898" w:rsidRDefault="00A90898" w:rsidP="00A90898">
      <w:pPr>
        <w:pStyle w:val="TextoNormal"/>
      </w:pPr>
      <w:r>
        <w:t>Mientras se desarrollaba la referida comparecencia o conversación, entró el Letrado Sr. Moeckel, que acudió a tales efectos en compañía del Letrado Sr. Requena Maldonado, Moeckel entró en el despacho del Sr. Serrano, estableciéndose entre ambos una conversación cuyo contenido se desconoce, al tiempo que le entregó el Auto del Juzgado de Violencia sobre la Mujer al que se ha hecho referencia en el apartado primero…</w:t>
      </w:r>
    </w:p>
    <w:p w:rsidR="00A90898" w:rsidRDefault="00A90898" w:rsidP="00A90898">
      <w:pPr>
        <w:pStyle w:val="TextoNormal"/>
      </w:pPr>
    </w:p>
    <w:p w:rsidR="00A90898" w:rsidRDefault="00A90898" w:rsidP="00A90898">
      <w:pPr>
        <w:pStyle w:val="TextoNormal"/>
      </w:pPr>
      <w:r>
        <w:t>Seguidamente, el Sr. Serrano contactó telefónicamente con el Juez Decano de Sevilla a quien comentó la referida comparecencia del abuelo y el menor y ‘que se iba a presentar para reparto una solicitud urgente’.”</w:t>
      </w:r>
    </w:p>
    <w:p w:rsidR="00A90898" w:rsidRDefault="00A90898" w:rsidP="00A90898">
      <w:pPr>
        <w:pStyle w:val="TextoNormal"/>
      </w:pPr>
    </w:p>
    <w:p w:rsidR="00A90898" w:rsidRDefault="00A90898" w:rsidP="00A90898">
      <w:pPr>
        <w:pStyle w:val="TextoNormal"/>
      </w:pPr>
      <w:r>
        <w:t>Se levantó un acta de comparecencia del menor y del abuelo en que se recoge la manifestación del menor de su deseo de salir en procesión y de que “comparece junto a su abuelo para pedir que por favor se le oiga y que haya un juez que le pueda solucionar el problema con la urgencia que se requiere”. El acta se confeccionó en un modelo de otro procedimiento elegido al azar entre los que se gestionaban informáticamente por lo que el número de identificación general correspondiente a dicho procedimiento quedó impreso en el folio en que se redactó el acta y que fue firmado por los intervinientes, quedando grabado este acto procesal como propio de dicho procedimiento.</w:t>
      </w:r>
    </w:p>
    <w:p w:rsidR="00A90898" w:rsidRDefault="00A90898" w:rsidP="00A90898">
      <w:pPr>
        <w:pStyle w:val="TextoNormal"/>
      </w:pPr>
    </w:p>
    <w:p w:rsidR="00A90898" w:rsidRDefault="00A90898" w:rsidP="00A90898">
      <w:pPr>
        <w:pStyle w:val="TextoNormal"/>
      </w:pPr>
      <w:r>
        <w:t xml:space="preserve">(iv) El abogado redactó una solicitud de medidas cautelares que fue entregada ese mismo día en la sección de reparto del Decanato. El abogado que entregó la solicitud indicó a la funcionaria de la sección “que se trataba de un asunto urgente y que ‘debía ser turnado al Juzgado nº 7, por lo que la referida funcionaria indicó que debía hacerse constar en el escrito el nº de Juzgado al que se refería, así como el NIG correspondiente’. El abogado de su puño y letra hizo constar en el escrito dichas circunstancias poniendo la numeración del NIG que aparecía en el acta de comparecencia, pero sin entregar ni el auto de medidas provisionales del Juzgado de Violencia sobre la Mujer ni el acta de comparecencia del abuelo y el nieto. </w:t>
      </w:r>
      <w:r>
        <w:lastRenderedPageBreak/>
        <w:t>El asunto fue turnado al Juzgado de Familia núm. 7 como supuesto de medidas cautelares urgentes.” Las normas de reparto vigentes en ese momento determinaban que “se turnarán por antecedentes al Juzgado que hubiera conocido del procedimiento de nulidad, separación y divorcio las siguientes clases de asuntos: protección de menores, jurisdicción voluntaria referente a menores”.</w:t>
      </w:r>
    </w:p>
    <w:p w:rsidR="00A90898" w:rsidRDefault="00A90898" w:rsidP="00A90898">
      <w:pPr>
        <w:pStyle w:val="TextoNormal"/>
      </w:pPr>
    </w:p>
    <w:p w:rsidR="00A90898" w:rsidRDefault="00A90898" w:rsidP="00A90898">
      <w:pPr>
        <w:pStyle w:val="TextoNormal"/>
      </w:pPr>
      <w:r>
        <w:t>(v) El acusado fue a dependencias de la Fiscalía a comunicar la solicitud entrevistándose con una Fiscal, al no encontrar al Fiscal de permanencia. Tras comentar, sin mostrar ninguna documentación, “que se ha presentado una solicitud de medidas urgentes y que han de ser resueltas en un plazo perentorio, ya que su eficacia vendría determinada por la madrugada del viernes santo”, la Fiscal contestó que “como en otros casos de medidas urgentes, debía acordarse lo procedente, atendiendo a la voluntad del menor, si bien, cuando pasen los autos y se diera traslado a la Fiscalía del expediente, se informaría lo oportuno al respecto”.</w:t>
      </w:r>
    </w:p>
    <w:p w:rsidR="00A90898" w:rsidRDefault="00A90898" w:rsidP="00A90898">
      <w:pPr>
        <w:pStyle w:val="TextoNormal"/>
      </w:pPr>
    </w:p>
    <w:p w:rsidR="00A90898" w:rsidRDefault="00A90898" w:rsidP="00A90898">
      <w:pPr>
        <w:pStyle w:val="TextoNormal"/>
      </w:pPr>
      <w:r>
        <w:t>(vi) El acusado dictó providencia en esa misma fecha de 30 de marzo de 2010 acordando oír al abuelo y al nieto, poner los hechos en conocimiento del Ministerio Fiscal para que informe sobre si procede la adopción de alguna medida, y solicitar del proponente que indicara los domicilios de los progenitores. Tras ello, acordó unir a las actuaciones el acta de comparecencia del abuelo y el nieto ya celebrada sin volver a repetirla ni practicar ningún acto procesal. Igualmente ordenó que se extendiera una diligencia de constancia en que la Secretario de Justicia hizo constar que “SSª se desplaza a la Fiscalía comunicando a la Fiscal D. […] que se ha presentado una solicitud de Medidas Urgentes y que han de ser resueltas en un plazo perentorio, ya que su eficacia vendría determinada por la próxima madrugada del viernes Santo, informándome SSª que el Ministerio Fiscal ha informado al respecto verbalmente que se acuerde lo procedentes atendiendo a la voluntad expresada por el menor”. También se acordó unir una fotocopia del auto del Juzgado de Violencia sobre la Mujer núm. 4 de Sevilla que había quedado en poder del acusado. El acusado, toda vez que la funcionaria interviniente le señaló que el número de identificación general que aparecía en el acta de comparecencia no se correspondía con el procedimiento correcto recién abierto, “indicó a dicha funcionaria que suprimiera del primer folio de la comparecencia los datos referentes al NIG e imprimiera de nuevo el primer folio de la misma con ese dato suprimido, dejando exactamente igual el segundo folio del original” que era en el que constaban las firmas de los intervinientes. Finalmente, el acusado dictó y firmó Auto resolviendo sobre la medida cautelar solicitada, accediendo a que el retorno con su madre se produzca el viernes 2 de abril a las 11:00 horas, para que el menor pudiera salir en la cofradía “sin trámite procesal alguno, sin dar traslado ni pedir informa al Ministerio Fiscal, sin oír previamente tampoco a ninguno de los progenitores del menor … pese a conocer sus domicilios, que venían expresamente señalados en la comparecencia inicial”.</w:t>
      </w:r>
    </w:p>
    <w:p w:rsidR="00A90898" w:rsidRDefault="00A90898" w:rsidP="00A90898">
      <w:pPr>
        <w:pStyle w:val="TextoNormal"/>
      </w:pPr>
    </w:p>
    <w:p w:rsidR="00A90898" w:rsidRDefault="00A90898" w:rsidP="00A90898">
      <w:pPr>
        <w:pStyle w:val="TextoNormal"/>
      </w:pPr>
      <w:r>
        <w:t xml:space="preserve">c) La Sentencia expone, a los efectos de delimitar la materia objeto de enjuiciamiento, que este no radica en la valoración en abstracto de la decisión de autorizar a un menor salir en procesión, si dicha decisión está amparada en el art. 158 del Código civil (CC) en uso de facultades competencia del Juzgado número 7 de Sevilla o si puede aplicarse el art. 158 CC </w:t>
      </w:r>
      <w:r w:rsidRPr="00A90898">
        <w:rPr>
          <w:i/>
        </w:rPr>
        <w:t>inaudita parte</w:t>
      </w:r>
      <w:r>
        <w:t xml:space="preserve"> a menores en situación de peligro, que son los aspectos enjuiciados en apelación por la Audiencia Provincial, sino que, “se trata de enjuiciar y determinar en concreto qué valoración merece la forma de actuar jurisdiccionalmente (no la exclusiva resolución de fondo), menoscabando el ejercicio legítimo del derecho de custodia de una madre, en la forma establecida por un juez distinto, a través del mecanismo del artículo 158 del Código </w:t>
      </w:r>
      <w:r>
        <w:lastRenderedPageBreak/>
        <w:t>Civil en las circunstancias específicas y bajo las premisas fáctico-temporales en que lo hizo el Sr. Serrano: a) tras una comparecencia en su Juzgado de persona interpuesta, el abuelo de un menor, quedando en el pasillo de idéntico órgano judicial el propio padre del menor, a quien no se escucha, b) tras hablar con un Letrado, que le entrega un Auto de un juez distinto, que resuelve el divorcio de los padres del referido menor, c) tras un reparto de la solicitud de medida cautelar, en cuyo entorno y curso causal se cruza el letrado Sr. Moeckel, que había hablado antes con el propio juez en su despacho, quien se dirige a la funcionaria encargada y le dice que turne la solicitud al Juzgado de Familia n° 7, al tiempo que estampa de su puño y letra en el escrito presentado el NIG de dicho órgano judicial para que pueda ser viable tal petición, d) tras un reparto de la solicitud de medida cautelar, en cuyo entorno y curso causal se cruzan también e interfieren dos llamadas telefónicas, una del propio juez Serrano al Juez-Decano avisándole de la presentación de la solicitud urgente, así como otra llamada de la Secretaria del propio Juzgado de Familia para interesarse por el reparto y si había salido el asunto, e) tras acordar el juez poner los hechos en conocimiento del Ministerio Fiscal para que informase, así como a los solicitantes, cuando nada nuevo acontece real ni procesalmente con posterioridad, pues ya constaba la comparecencia de los solicitantes y ninguna citación ni traslado de documentación se hace al Fiscal, f) tras requerir al solicitante de la medida que indique los domicilios de los progenitores a fin de notificarles lo que se resolviera, si bien ya constaban previamente tales circunstancias personales del padre y de la madre, así como sus domicilios, pues venían expresamente reseñados en la comparecencia inicial del abuelo y el menor, g) sin conocer ni asegurarse de la voluntad y actitud, en su caso obstativa, de la madre a quien correspondía la custodia del menor, de quien afirma el juez que siempre pone obstáculos a los deseos del menor, h) y, en fin, tras obviar cualquier trámite procesal, preconcibiendo, en cierta forma, el supuesto de hecho a resolver y desembocando precipitadamente en una conclusión sobre `peligrosidad moral o física´ que no parece corresponderse con la realidad objetiva y temporal, ya que no se evidenciaba en modo alguno peligro inmediato ni evidente del menor en ese preciso día, 30 de marzo” (fundamento de Derecho primero).</w:t>
      </w:r>
    </w:p>
    <w:p w:rsidR="00A90898" w:rsidRDefault="00A90898" w:rsidP="00A90898">
      <w:pPr>
        <w:pStyle w:val="TextoNormal"/>
      </w:pPr>
    </w:p>
    <w:p w:rsidR="00A90898" w:rsidRDefault="00A90898" w:rsidP="00A90898">
      <w:pPr>
        <w:pStyle w:val="TextoNormal"/>
      </w:pPr>
      <w:r>
        <w:t>En ese mismo sentido, la Sentencia expone que “[e]n definitiva, la AP Sevilla sólo valoró el aspecto material de aplicabilidad del artículo 158 CCivil, pero no el entorno procedimental ni el posible desprecio procesal o falta de equidad en la forma de conducirse jurisdiccionalmente. La AP de Sevilla no pudo valorar ni profundizar en las condiciones, previas y coetáneas, en que adoptó la medida cautelar, aspecto de suma trascendencia en el ámbito penal que nos ocupa, por lo que se quedó en la periferia (Auto del juez de Familia/presupuestos generales y competenciales de aplicación en abstracto del artículo 158 CCivil, que posibilitan un contenido inaudita parte), sin adentrarse en las referidas circunstancias anteriores y concomitantes al dictado del auto judicial, como sí es obligado a esta Sala a la hora de valorar la tipicidad de determinadas conductas en el ámbito penal (como sucede en otros tipos delictivos), máxime cuando se está imputando una posible prevaricación de tipo procesal. Estamos ante otros parámetros de especial y obligada exigencia a la hora de posicionarse sobre la injusticia o no de la actuación del Sr. Serrano y su posible encaje penal, para cuya conclusión es necesario ponderar el conjunto de circunstancias objetivas y subjetivas, de procedimiento, de tiempo y lugar, que rodearon la actuación judicial, ab initio y durante el dictado del Auto 247/2010, de fecha 30 de marzo de dos mil diez, por el titular del Juzgado de Primera Instancia número 7 de Sevilla” (fundamento de Derecho primero).</w:t>
      </w:r>
    </w:p>
    <w:p w:rsidR="00A90898" w:rsidRDefault="00A90898" w:rsidP="00A90898">
      <w:pPr>
        <w:pStyle w:val="TextoNormal"/>
      </w:pPr>
    </w:p>
    <w:p w:rsidR="00A90898" w:rsidRDefault="00A90898" w:rsidP="00A90898">
      <w:pPr>
        <w:pStyle w:val="TextoNormal"/>
      </w:pPr>
      <w:r>
        <w:lastRenderedPageBreak/>
        <w:t>La Sentencia establece en el fundamento jurídico séptimo que el tipo de prevaricación dolosa exige “un dolo reforzado consistente en la voluntad consciente dirigida al dictado de una resolución injusta, haciéndola equivalente al dolo directo” y, en el fundamento jurídico octavo, al argumentar acerca de la posible responsabilidad dolosa del acusado, descarta su existencia, argumentando lo siguiente:</w:t>
      </w:r>
    </w:p>
    <w:p w:rsidR="00A90898" w:rsidRDefault="00A90898" w:rsidP="00A90898">
      <w:pPr>
        <w:pStyle w:val="TextoNormal"/>
      </w:pPr>
    </w:p>
    <w:p w:rsidR="00A90898" w:rsidRDefault="00A90898" w:rsidP="00A90898">
      <w:pPr>
        <w:pStyle w:val="TextoNormal"/>
      </w:pPr>
      <w:r>
        <w:t>“[P]ara ello debía haberse acreditado suficientemente en autos, cuando menos, un concierto previo para el resultado procesal que valoramos. Sin embargo, a juicio de esta Sala, no ha quedado debidamente acreditado ése posible concierto previo y actuación conjunta preordenando la estrategia y el resultado procesal que valoramos, tal y como sostiene la acusación particular cuando habla de ‘un ardid procesal del Abogado, admitido y consentido por el juez, que da el pasaporte con su resolución para el mecanismo de actuación procesal y se convirtió en patente de corso’.</w:t>
      </w:r>
    </w:p>
    <w:p w:rsidR="00A90898" w:rsidRDefault="00A90898" w:rsidP="00A90898">
      <w:pPr>
        <w:pStyle w:val="TextoNormal"/>
      </w:pPr>
    </w:p>
    <w:p w:rsidR="00A90898" w:rsidRDefault="00A90898" w:rsidP="00A90898">
      <w:pPr>
        <w:pStyle w:val="TextoNormal"/>
      </w:pPr>
      <w:r>
        <w:t>Podemos admitir que está indiciariamente acreditada la existencia de algún contacto previo entre el Letrado Sr. Moeckel con el acusado Sr. Serrano acerca del asunto que llegó a su conocimiento… Resulta verosímil, pues, que la intención de los solicitantes y de los Sres. Blanco Toajas y Moeckel Gil (también presente en el Juzgado) fuese la de contar al menos con un antecedente preprocesal a fin de que el asunto fuese finalmente turnado a dicho Juzgado y no al de Violencia sobre la Mujer ni a otro Juzgado de Familia; sin que, en cambio, exista constancia cierta de que el acusado participase en ardid alguno para que, por la errónea indicación del NIG, el asunto se turnase a su Juzgado; es creíble que el magistrado se limitara a decir que la solicitud de medidas había de presentarse en el Decanato ‘para reparto’…</w:t>
      </w:r>
    </w:p>
    <w:p w:rsidR="00A90898" w:rsidRDefault="00A90898" w:rsidP="00A90898">
      <w:pPr>
        <w:pStyle w:val="TextoNormal"/>
      </w:pPr>
    </w:p>
    <w:p w:rsidR="00A90898" w:rsidRDefault="00A90898" w:rsidP="00A90898">
      <w:pPr>
        <w:pStyle w:val="TextoNormal"/>
      </w:pPr>
      <w:r>
        <w:t>[L]o que no cabe es deducir un concierto previo, una actuación conjunta y deliberada para forzar la ley y urdir una estrategia procesal que permitiera ‘sortear’ la competencia del Juzgado de Violencia sobre la Mujer, inicialmente competente, y desembocara en la asunción propia de tal asunto como urgente para aplicar, ya sí de forma indebida, el artículo 158 Ccivil.</w:t>
      </w:r>
    </w:p>
    <w:p w:rsidR="00A90898" w:rsidRDefault="00A90898" w:rsidP="00A90898">
      <w:pPr>
        <w:pStyle w:val="TextoNormal"/>
      </w:pPr>
    </w:p>
    <w:p w:rsidR="00A90898" w:rsidRDefault="00A90898" w:rsidP="00A90898">
      <w:pPr>
        <w:pStyle w:val="TextoNormal"/>
      </w:pPr>
      <w:r>
        <w:t>En definitiva, es forzoso concluir que, en base a los parámetros interpretativos apuntados y aplicados a los hechos y circunstancias denunciadas, queda devaluado el elemento objetivo y subjetivo de la prevaricación dolosa imputado por la acusación particular. Por todo ello, el Sr. Serrano debe ser absuelto del delito de prevaricación dolosa, previsto y penado en el art. 446 del Código Penal.”</w:t>
      </w:r>
    </w:p>
    <w:p w:rsidR="00A90898" w:rsidRDefault="00A90898" w:rsidP="00A90898">
      <w:pPr>
        <w:pStyle w:val="TextoNormal"/>
      </w:pPr>
    </w:p>
    <w:p w:rsidR="00A90898" w:rsidRDefault="00A90898" w:rsidP="00A90898">
      <w:pPr>
        <w:pStyle w:val="TextoNormal"/>
      </w:pPr>
      <w:r>
        <w:t>La Sentencia, en el fundamento de derecho noveno, al sustentar la responsabilidad penal de acusado por un delito de prevaricación culposa, señala lo siguiente:</w:t>
      </w:r>
    </w:p>
    <w:p w:rsidR="00A90898" w:rsidRDefault="00A90898" w:rsidP="00A90898">
      <w:pPr>
        <w:pStyle w:val="TextoNormal"/>
      </w:pPr>
    </w:p>
    <w:p w:rsidR="00A90898" w:rsidRDefault="00A90898" w:rsidP="00A90898">
      <w:pPr>
        <w:pStyle w:val="TextoNormal"/>
      </w:pPr>
      <w:r>
        <w:t xml:space="preserve">“[Q]ueda reflejado que el acusado tuvo conocimiento claro de la precedente actuación judicial de otro órgano jurisdiccional, pero aceptó su propia competencia a través de un trámite de medida cautelar por persona interpuesta a los progenitores custodios, lo cual, en principio, no atrae por sí mismo y automáticamente la antijuridicidad penal, pero sí lo que sucedió a continuación, valorado en conexión con las circunstancias precedentes como revela el relato histórico fáctico, omitiendo trámites procesales y cualesquiera vías de solución alternativas para el conflicto surgido con motivo de un deseo exteriorizado por un menor, </w:t>
      </w:r>
      <w:r>
        <w:lastRenderedPageBreak/>
        <w:t>que no peligro ni perjuicio inmediato, prejuzgando voluntades de personas no escuchadas, que vieron sensiblemente eliminados sus derechos y garantías procesales.</w:t>
      </w:r>
    </w:p>
    <w:p w:rsidR="00A90898" w:rsidRDefault="00A90898" w:rsidP="00A90898">
      <w:pPr>
        <w:pStyle w:val="TextoNormal"/>
      </w:pPr>
    </w:p>
    <w:p w:rsidR="00A90898" w:rsidRDefault="00A90898" w:rsidP="00A90898">
      <w:pPr>
        <w:pStyle w:val="TextoNormal"/>
      </w:pPr>
      <w:r>
        <w:t>Sobre tal premisa, resplandece a juicio del Tribunal, al menos, una imprudencia consistente en un completo desinterés por el conocimiento exacto de la real dimensión del conflicto, que determinó la vulneración de las normas esenciales del procedimiento, a saber, el examen cuidadoso de su propia competencia, la pertinencia o no de un procedimiento tan excepcional como el previsto por el art. 158.4 CCivil ante un simple deseo infantil, y la omisión de las garantías de todo justiciable, como la oportunísima y perfectamente posible audiencia de los propios padres, mucho más de la madre a quien correspondía la custodia, a fin de conocer si existía o no una voluntad de incumplir el deseo de su hijo menor.</w:t>
      </w:r>
    </w:p>
    <w:p w:rsidR="00A90898" w:rsidRDefault="00A90898" w:rsidP="00A90898">
      <w:pPr>
        <w:pStyle w:val="TextoNormal"/>
      </w:pPr>
    </w:p>
    <w:p w:rsidR="00A90898" w:rsidRDefault="00A90898" w:rsidP="00A90898">
      <w:pPr>
        <w:pStyle w:val="TextoNormal"/>
      </w:pPr>
      <w:r>
        <w:t>Lo acabado de exponer tiene la suficiente intensidad como para ser calificado como imprudencia ‘grave’ determinante de una prevaricación por infracción de normas esenciales del procedimiento, subsumible en el artículo 447 CP.</w:t>
      </w:r>
    </w:p>
    <w:p w:rsidR="00A90898" w:rsidRDefault="00A90898" w:rsidP="00A90898">
      <w:pPr>
        <w:pStyle w:val="TextoNormal"/>
      </w:pPr>
    </w:p>
    <w:p w:rsidR="00A90898" w:rsidRDefault="00A90898" w:rsidP="00A90898">
      <w:pPr>
        <w:pStyle w:val="TextoNormal"/>
      </w:pPr>
      <w:r>
        <w:t>Dicho de otro modo, por más que no haya quedado establecida la connivencia del acusado con el entorno de los solicitantes de la medida, o sus abogados, ni el dolo específico requerido por el artículo 446.3° CP, el Sr. Serrano no evitó ni se cuidó en absoluto de no poner su función judicial al servicio de intereses o pretensiones de parte, validando la argucia procesal tramada por quienes asesoraron al solicitante de la medida, partiendo como premisa, sin comprobación alguna, de la versión de los hechos presentada por personas en las que imprudentemente confió. En este sentido, es curioso que en el acto del juicio oral el Letrado Sr. Blanco dijo expresamente al Tribunal que ‘tenía dudas que prosperara la solicitud’).</w:t>
      </w:r>
    </w:p>
    <w:p w:rsidR="00A90898" w:rsidRDefault="00A90898" w:rsidP="00A90898">
      <w:pPr>
        <w:pStyle w:val="TextoNormal"/>
      </w:pPr>
    </w:p>
    <w:p w:rsidR="00A90898" w:rsidRDefault="00A90898" w:rsidP="00A90898">
      <w:pPr>
        <w:pStyle w:val="TextoNormal"/>
      </w:pPr>
      <w:r>
        <w:t>Recordemos que la imprudencia grave, determinante del delito de prevaricación del artículo 447 del Código Penal, hace referencia a supuestos de desatención ligereza o falta de cuidado graves. Sobre ello, como acabamos de señalar, pocas dudas hay en autos.”</w:t>
      </w:r>
    </w:p>
    <w:p w:rsidR="00A90898" w:rsidRDefault="00A90898" w:rsidP="00A90898">
      <w:pPr>
        <w:pStyle w:val="TextoNormal"/>
      </w:pPr>
    </w:p>
    <w:p w:rsidR="00A90898" w:rsidRDefault="00A90898" w:rsidP="00A90898">
      <w:pPr>
        <w:pStyle w:val="TextoNormal"/>
      </w:pPr>
      <w:r>
        <w:t xml:space="preserve">Por su parte, al sustentar el carácter manifiestamente injusto de la resolución enjuiciada, en la Sentencia se señala que “la resolución dictada por el Sr. Serrano es manifiestamente injusta por varias razones que enumeramos a continuación: a) por atemporal y precipitada, sin permitir la previa solución consensuada y extrajudicial entre los progenitores, tal y como venía preestablecido por un juez distinto y preordenado en principio, imponiéndola el Juez de Familia sin mayores cautelas ni contraste de pareceres, b) por negar apresuradamente, sin peligro ni perjuicio inminente y grave, derechos individuales de audiencia y tutela efectiva de una parte esencial, como es la madre, y de una parte necesaria como el Fiscal, encargado de la protección jurídica de los menores, c) por hablar de peligrosidad moral o física del menor cuando ningún peligro ni perjuicio inminente y grave se exteriorizaba en ese momento previo, con 48 horas para la salida procesional, d) por partir de un posible prejuicio hacia una madre que no había querido escuchar, pudiendo perfectamente hacerlo en tiempo procesal, e) por apoyar su convicción en informaciones suministradas por vía extraprocesal, lo cual no resulta lo más ortodoxo, f) por convertirse en instrumento de una parte, aunque no sea de forma dolosa, en vez de garantía última de cualesquiera de los justiciables y ejemplo de equilibrio e imparcialidad, g) por no valorar la proporcionalidad del camino judicial seguido y el mayor perjuicio que introducía en el ámbito familiar y educativo del menor, tal y como venía acordado por un juez distinto que resolvió el divorcio de los padres, </w:t>
      </w:r>
      <w:r>
        <w:lastRenderedPageBreak/>
        <w:t>introduciendo de forma precipitada semejante convulsión en la vida de un menor para un simple deseo, como salir en una procesión, que no acarreaba peligro inminente, h) por favorecer con su resolución la instrumentalización del proceso y la publicidad del `menor cofrade´, aspecto perfectamente previsible y evitable, i) en fin, recapitulando, por convertirse el juez en instrumento, por temeridad o negligencia grave, de un ardid procesal sin desplegar las mínimas garantías y equilibrios procesales, aspecto que constituye la esencia del Estado de Derecho” (fundamento de Derecho décimo).</w:t>
      </w:r>
    </w:p>
    <w:p w:rsidR="00A90898" w:rsidRDefault="00A90898" w:rsidP="00A90898">
      <w:pPr>
        <w:pStyle w:val="TextoNormal"/>
      </w:pPr>
    </w:p>
    <w:p w:rsidR="00A90898" w:rsidRDefault="00A90898" w:rsidP="00A90898">
      <w:pPr>
        <w:pStyle w:val="TextoNormal"/>
      </w:pPr>
      <w:r>
        <w:t>La Sentencia incluye un Voto particular discrepante en que se sostiene que a partir de los hechos declarados probados no puede afirmarse el carácter manifiestamente injusto de la actuación de acusado ni siquiera en su vertiente procedimental.</w:t>
      </w:r>
    </w:p>
    <w:p w:rsidR="00A90898" w:rsidRDefault="00A90898" w:rsidP="00A90898">
      <w:pPr>
        <w:pStyle w:val="TextoNormal"/>
      </w:pPr>
    </w:p>
    <w:p w:rsidR="00A90898" w:rsidRDefault="00A90898" w:rsidP="00A90898">
      <w:pPr>
        <w:pStyle w:val="TextoNormal"/>
      </w:pPr>
      <w:r>
        <w:t xml:space="preserve">d) La acusación particular formuló recurso de casación, alegando, entre otros motivos, infracción de ley del art. 849.1 de la Ley de enjuiciamiento criminal (LECrim), por considerar que se ha infringido precepto penal sustantivo y normas jurídicas de igual carácter, como serian el art. 158.4 CC y el art. 87 </w:t>
      </w:r>
      <w:r w:rsidRPr="00A90898">
        <w:rPr>
          <w:i/>
        </w:rPr>
        <w:t>ter</w:t>
      </w:r>
      <w:r>
        <w:t xml:space="preserve">.3 de la Ley Orgánica del Poder Judicial (LOPJ). A esos efectos, en el desarrollo de este motivo, se argumenta que está probado que el acusado tuvo conocimiento del Auto del Juzgado de Violencia sobre la Mujer núm. 4 de Sevilla respecto de las medidas provisionales adoptadas y que la conclusión de condenar por una simple prevaricación culposa choca con el texto literal del art. 158 CC y con todas las interpretaciones doctrinales y jurisprudenciales sobre el mismo que solo habilita a acudir al mismo ante situaciones gravísimas. De ese modo, se concluye que el acusado “actuó a sabiendas de que tal instrumento legal no era adecuado para las circunstancias de aquella causa, y que con su utilización se estaba burlando … al juez competente”. Igualmente, se pone de manifiesto el tenor literal del art. 87 </w:t>
      </w:r>
      <w:r w:rsidRPr="00A90898">
        <w:rPr>
          <w:i/>
        </w:rPr>
        <w:t>ter</w:t>
      </w:r>
      <w:r>
        <w:t>.3 LOPJ en que se señala que los Juzgados de Violencia sobre la Mujer tendrán de forma exclusiva y excluyente competencia en el orden civil en determinados supuestos que aquí concurrían. Finalmente se expone que “[p]or tanto, la acusación particular considera con todo respeto que se debe casar la Sentencia 15 de 13.10.2010 dictando otra que sentencie al acusado por un delito de prevaricación dolosa”.</w:t>
      </w:r>
    </w:p>
    <w:p w:rsidR="00A90898" w:rsidRDefault="00A90898" w:rsidP="00A90898">
      <w:pPr>
        <w:pStyle w:val="TextoNormal"/>
      </w:pPr>
    </w:p>
    <w:p w:rsidR="00A90898" w:rsidRDefault="00A90898" w:rsidP="00A90898">
      <w:pPr>
        <w:pStyle w:val="TextoNormal"/>
      </w:pPr>
      <w:r>
        <w:t>Este motivo de casación fue objeto de alegación por el Ministerio Fiscal, que solicitó su inadmisión al no haberse citado expresamente ningún precepto penal sustantivo como infringido, pero señalando que “tratando de respetar la voluntad impugnativa del recurrente, habremos de indicar que el relato histórico de la sentencia, especialmente en su apartado 6 se describen unos hechos que resultan adecuadamente subsumidos en el art. 447 CP, con el complemento, si fuere necesario, del FJ 9 de la sentencia, a través del que el Tribunal proporciona las razones por las que descarta la calificación dolosa de la acusación particular y se decanta por la vía culposa del delito”. Igualmente, el recurrente impugnó este motivo de recurso, instando su inadmisión por no citarse ningún precepto penal sustantivo como infringido y señalando, en relación con la referencia de que el art. 158 CC no era aplicable al caso al constar ya un conocimiento previo del asunto por el Juez de Violencia que “no razona ni explicita dicha postura, omitiendo una mínima cita de la doctrina científica o jurisprudencial que sostenga dicha inaplicabilidad. Es más, a juicio de la recurrente es la sobrada experiencia del Juez Sr. Serrano y sus conocimientos en la materia (que son predicados de forma reiterativa por la recurrente) los que `prueban´ que aquél actuó de forma contraria a lo que su deber como Juez le imponía la Ley, echando mano de argumentos que rozan el absurdo y se alejan de cualquier idea acerca de cómo debe redactarse un recurso de casación”.</w:t>
      </w:r>
    </w:p>
    <w:p w:rsidR="00A90898" w:rsidRDefault="00A90898" w:rsidP="00A90898">
      <w:pPr>
        <w:pStyle w:val="TextoNormal"/>
      </w:pPr>
    </w:p>
    <w:p w:rsidR="00A90898" w:rsidRDefault="00A90898" w:rsidP="00A90898">
      <w:pPr>
        <w:pStyle w:val="TextoNormal"/>
      </w:pPr>
      <w:r>
        <w:t>e) El recurrente también formuló recurso de casación, alegando, entre otros motivos, que la Sentencia de instancia ha vulnerado el “principio de intangibilidad de las resoluciones judiciales firmes que conculca el derecho … a la tutela judicial efectiva, en la medida de que existen dos resoluciones judiciales firmes y definitivas del órgano genuinamente competente para conocer de la adecuación a derecho de la resolución dictada, habiendo sido declarado por dos veces la resolución … ajustada a derecho”; y a la presunción de inocencia (art. 24.2 CE), “en relación con el art. 120.3 de nuestra Carta Magna en su vertiente de motivar las resoluciones judiciales, no haciéndose en la Sentencia análisis alguno del contenido de los dos Autos dictados por la Ilma. Audiencia Provincial de Sevilla que declaran ajustada a Derecho desde el punto de vista de la legalidad ordinaria sustantiva y procesal la actuación”. Igualmente, aduce como motivo de casación la vulneración del art. 24.2 CE “por infracción del derecho fundamental a ser informado de la acusación, con quiebra del principio acusatorio, produciendo efectiva indefensión e infracción del principio de homogeneidad delictiva”, argumentando que “ha sido condenado por un delito del que no ha sido acusado en ningún momento … no guardando homogeneidad delictiva el delito objeto de acusación con el que finalmente ha sido condenado”.</w:t>
      </w:r>
    </w:p>
    <w:p w:rsidR="00A90898" w:rsidRDefault="00A90898" w:rsidP="00A90898">
      <w:pPr>
        <w:pStyle w:val="TextoNormal"/>
      </w:pPr>
    </w:p>
    <w:p w:rsidR="00A90898" w:rsidRDefault="00A90898" w:rsidP="00A90898">
      <w:pPr>
        <w:pStyle w:val="TextoNormal"/>
      </w:pPr>
      <w:r>
        <w:t>f) Las Sentencias de la Sala de lo Penal del Tribunal Supremo núm. 571/2012, de 29 de junio, acordadas en el recurso de casación núm. 2171-2011, declararon no haber lugar al recurso interpuesto por el ahora demandante de amparo y haber lugar al recurso interpuesto por la acusación particular, y condenaron al acusado como autor de un delito de prevaricación judicial doloso a la pena de multa de 12 meses con una cuota diaria de 6 euros y la inhabilitación especial para el cargo de Juez o Magistrado durante 10 años, con pérdida definitiva del cargo que ostenta y honores que le son anejos, así como la incapacidad para obtener durante el tiempo de la condena cualquier empleo o cargo con funciones jurisdiccionales o de gobierno dentro del poder judicial.</w:t>
      </w:r>
    </w:p>
    <w:p w:rsidR="00A90898" w:rsidRDefault="00A90898" w:rsidP="00A90898">
      <w:pPr>
        <w:pStyle w:val="TextoNormal"/>
      </w:pPr>
    </w:p>
    <w:p w:rsidR="00A90898" w:rsidRDefault="00A90898" w:rsidP="00A90898">
      <w:pPr>
        <w:pStyle w:val="TextoNormal"/>
      </w:pPr>
      <w:r>
        <w:t>La Sentencia de casación, en el antecedente de hecho séptimo, afirma que “[e]l magistrado imputado en los hechos asistió a la vista del recurso de casación ocupando un lugar en el estrado junto a su abogado defensor con el que comunicó y en algún momento expuso su opinión sobre el contenido de su defensa y de los recursos planteados”. Se incluye un fundamento de Derecho preliminar, en que, tras haberse expuesto en el antecedente de hecho primero una transcripción íntegra de los hechos probados de la resolución de instancia, se sintetiza esa declaración de hechos probados para poder abordar los diferentes motivos de casación. En la segunda Sentencia de casación como antecedente único se hace constar que “se aceptan y reproducen los antecedentes de hecho de la sentencia dictada por la Sala de lo Civil y penal del Tribunal Superior de Justicia de Andalucía, Ceuta y Melilla, con sede en Granada”.</w:t>
      </w:r>
    </w:p>
    <w:p w:rsidR="00A90898" w:rsidRDefault="00A90898" w:rsidP="00A90898">
      <w:pPr>
        <w:pStyle w:val="TextoNormal"/>
      </w:pPr>
    </w:p>
    <w:p w:rsidR="00A90898" w:rsidRDefault="00A90898" w:rsidP="00A90898">
      <w:pPr>
        <w:pStyle w:val="TextoNormal"/>
      </w:pPr>
      <w:r>
        <w:t>La Sentencia de casación incluye un fundamento de Derecho preliminar en que, haciendo una síntesis de los hechos declarados probado en la Sentencia de instancia, incluye lo siguiente:</w:t>
      </w:r>
    </w:p>
    <w:p w:rsidR="00A90898" w:rsidRDefault="00A90898" w:rsidP="00A90898">
      <w:pPr>
        <w:pStyle w:val="TextoNormal"/>
      </w:pPr>
    </w:p>
    <w:p w:rsidR="00A90898" w:rsidRDefault="00A90898" w:rsidP="00A90898">
      <w:pPr>
        <w:pStyle w:val="TextoNormal"/>
      </w:pPr>
      <w:r>
        <w:t xml:space="preserve">“El martes 30 de marzo acuden al Juzgado el abuelo y el menor, mientras el padre se queda en el pasillo, entran al despacho del juez y con la presencia de los abogados que le acompañaban, realizan una comparecencia que dicta el propio magistrado acusado. En el curso de la comparecencia, mantienen una conversación los abogados con el juez “cuyo </w:t>
      </w:r>
      <w:r>
        <w:lastRenderedPageBreak/>
        <w:t>contenido se desconoce” al tiempo ‘que le entregó el auto del juzgado de violencia sobre la mujer’ de medidas provisionales…</w:t>
      </w:r>
    </w:p>
    <w:p w:rsidR="00A90898" w:rsidRDefault="00A90898" w:rsidP="00A90898">
      <w:pPr>
        <w:pStyle w:val="TextoNormal"/>
      </w:pPr>
    </w:p>
    <w:p w:rsidR="00A90898" w:rsidRDefault="00A90898" w:rsidP="00A90898">
      <w:pPr>
        <w:pStyle w:val="TextoNormal"/>
      </w:pPr>
      <w:r>
        <w:t>Mientras esto ocurre, el letrado del abuelo del menor, ‘siguiendo las indicaciones del Sr. Serrano’, redactó un escrito de petición de las medidas cautelares del art. 158 CC...</w:t>
      </w:r>
    </w:p>
    <w:p w:rsidR="00A90898" w:rsidRDefault="00A90898" w:rsidP="00A90898">
      <w:pPr>
        <w:pStyle w:val="TextoNormal"/>
      </w:pPr>
    </w:p>
    <w:p w:rsidR="00A90898" w:rsidRDefault="00A90898" w:rsidP="00A90898">
      <w:pPr>
        <w:pStyle w:val="TextoNormal"/>
      </w:pPr>
      <w:r>
        <w:t>Recibida la documentación del decanato, el magistrado acusado dicta providencia … En su ejecución incorpora la comparecencia del menor y abuelo anteriormente recibida que realiza sobre un nuevo papel para evitar la anterior identificación del sistema informático, la que sirvió como antecedente para el reparto del decanato, y hace constar, por diligencia de constancia, la conversación mantenida con la representante del Ministerio Fiscal”.</w:t>
      </w:r>
    </w:p>
    <w:p w:rsidR="00A90898" w:rsidRDefault="00A90898" w:rsidP="00A90898">
      <w:pPr>
        <w:pStyle w:val="TextoNormal"/>
      </w:pPr>
    </w:p>
    <w:p w:rsidR="00A90898" w:rsidRDefault="00A90898" w:rsidP="00A90898">
      <w:pPr>
        <w:pStyle w:val="TextoNormal"/>
      </w:pPr>
      <w:r>
        <w:t>En relación con el primer motivo de casación de la acusación particular, se argumenta que si bien la impugnación no es del todo precisa, ya que se designa como precepto penal sustantivo uno del Código civil y una norma de la Ley Orgánica del Poder Judicial atributiva de las competencias de los juzgados de violencia contra la mujer, eso “no supone que no podamos analizar la impugnación y darle el contenido preciso que resulta de la argumentación del motivo en lo que refiere el error en la aplicación de los precepto que designa. Entiende, y es el fundamento de su queja, que se debió de calificar de dolosa la prevaricación que el tribunal de instancia ha declarado imprudente y si no lo ha hecho, afirma en el recurso, ha sido por una defectuosa interpretación de los artículos del Código civil y de la Ley Orgánica del Poder Judicial que designa. Consecuentemente, su razón de recurrir es clara y así ha sido entendido por la defensa” (fundamento de Derecho primero). De ese modo, en relación con el carácter injusto de la resolución, en el fundamento de Derecho tercero se expone lo siguiente:</w:t>
      </w:r>
    </w:p>
    <w:p w:rsidR="00A90898" w:rsidRDefault="00A90898" w:rsidP="00A90898">
      <w:pPr>
        <w:pStyle w:val="TextoNormal"/>
      </w:pPr>
    </w:p>
    <w:p w:rsidR="00A90898" w:rsidRDefault="00A90898" w:rsidP="00A90898">
      <w:pPr>
        <w:pStyle w:val="TextoNormal"/>
      </w:pPr>
      <w:r>
        <w:t>“1.- El auto de 30 de marzo de 2010 es el objeto del delito de acusación. En éste el magistrado imputado acuerda la medida cautelar de posponer la entrega del menor a la madre, para que pueda asistir a una procesión de Viernes Santo y lo hacen en un proceso en el que conoce que otro juez había intervenido y no existía una razón de urgencia para sustituirle en su competencia. Además a éste juez le había sido planteada la cuestión y la resolvió en un sentido que no agradó al padre del menor. Esta es la resolución cuya injusticia hemos de analizar a la luz de la acomodación a la legalidad según las opciones jurídicas defendibles.</w:t>
      </w:r>
    </w:p>
    <w:p w:rsidR="00A90898" w:rsidRDefault="00A90898" w:rsidP="00A90898">
      <w:pPr>
        <w:pStyle w:val="TextoNormal"/>
      </w:pPr>
    </w:p>
    <w:p w:rsidR="00A90898" w:rsidRDefault="00A90898" w:rsidP="00A90898">
      <w:pPr>
        <w:pStyle w:val="TextoNormal"/>
      </w:pPr>
      <w:r>
        <w:t>La sentencia de instancia califica dicha resolución de manifiestamente injusta y lo hace, fundamento décimo, con una argumentación que consideramos correcta. Bastaría con reproducirla para afirmar ese presupuesto del delito de prevaricación. Sintéticamente, la resolución es injusta porque vulnera la norma de atribución competencial, pues existe un juzgado que conoce del conflicto y es el llamado a dirimir los que se planteen en un futuro, sobre todo en un supuesto como el de autos en el que el juez de violencia sobre la mujer ya había intervenido en el mismo conflicto, sugiriendo una composición entre los progenitores, por remisión a su resolución, lo que no fue del agrado de la defensa del padre. Ese desacuerdo con la resolución del juez de violencia fue el que desencadena una actuación posterior de los letrados del padre, buscando un juez que les solucione el conflicto de acuerdo a sus pretensiones. El juez condenado conocía esa actuación del juez competente, al menos sabía que el conflicto estaba judicializado en otro órgano judicial y, no obstante, se presta a intervenir en los términos que se declara probado, esto es, sustrayendo el con</w:t>
      </w:r>
      <w:r>
        <w:lastRenderedPageBreak/>
        <w:t>flicto al juez prevenido legalmente. En este contexto se producen nuevos hechos, reveladores de una actuación contraria al ordenamiento jurídico, como es que el juez acepte la comparecencia; que indique al Letrado que formule la petición del art. 158 Cc; habla con Fiscalía, que debe informar sobre la legalidad aplicable al conflicto. En una conversación, que sólo puede ser calificada de informal, obtiene de un representante del Ministerio público lo que no es sino una obviedad, que deberá actuarse en interés del menor. La representante del Ministerio fiscal con la que habla el magistrado acusado no lo hace en un proceso, sino lo hace con un compañero que le efectúa una consulta o un comentario. Es por ello que la representante del Ministerio fiscal comenta el asunto con su compañero de fiscalía, que debe informar en la causa, a quien narra su conversación anterior y le anuncia que llegará la causa para informe, lo que no sucederá. El magistrado condenado sustituirá ese informe con una diligencia de constancia, que él redacta, usurpando funciones del Secretario judicial, con el siguiente contenido ‘que se estuviera a la voluntad del menor’. En el curso de su procedimiento, nos dice el hecho probado, habla en dos ocasiones con el decanato para interesarse por el reparto de la comparecencia. Del decanato le es atribuido el conocimiento de los hechos por antecedentes, aunque el juez hace figurar que le ha correspondido por reparto y acuerda por providencia que se les oiga, al abuelo y al menor, lo que había realizado con anterioridad mediante una comparecencia. Altera el soporte documental de la comparecencia para evitar la identificación de la misma correspondiente a otra causa tramitada en su juzgado y que sirvió para que le fuera turnada por antecedentes. No da traslado de las actuaciones a los progenitores, pudiendo hacerlo, pues el padre se encontraba presente, o mejor dicho, en el pasillo de su juzgado, y la madre, ni siquiera fue convocada para ser oída. Además, y no obstante esa falta de audiencia, argumenta en la resolución que ‘es incomprensible que cualquiera de los progenitores siempre ponga obstáculos a lo que constituye su inequívoco deseo’. Esta afirmación carece de base, pues el magistrado que dicta esa resolución ni tiene antecedentes del conflicto ni ha oído en comparecencia a la madre. Son los conocimientos extraprocesales a los que alude la sentencia. En la misma resolución va a volver a calificar la conducta de la madre de incomprensible, lo que tendrá su eficacia posterior cuando el hecho alcance notoriedad en los medios de comunicación social con intervenciones del propio juez en los mismos, comentando su propia resolución. Por otra parte, es evidente que el auto dictado no dirime un conflicto, función principal de la jurisdicción, sino que por la forma de actuar ha creado un nuevo conflicto en el matrimonio en proceso de separación y sus relaciones con el hijo, dada la desautorización hacia la madre que se patentiza en el auto. Por último, la actuación jurisdiccional que carece de base competencial y que no ha seguido las reglas del proceso debido, se adopta sin argumentar nada sobre los presupuestos de la actuación cautelar, la situación de peligro o el perjuicio del menor. Nada se dice sobre la concurrencia de esos presupuestos de actuación, sólo se afirma su concurrencia, ni tan siquiera sobre la urgencia de la procedencia de la medida cautelar que adopta y la razón para sustituir al juzgado competente. Ha de recordarse que el juzgado de violencia tenía el mismo ámbito de competencia objetiva y territorial y no existía ningún obstáculo a su intervención, a salvo de la falta de acomodación de la respuesta a la pretensión de la parte que interesó el retraso en la devolución de los hijos. Es cierto que el art. 158 Cc no dispone un procedimiento de adopción de la decisión, pero no ha de olvidarse que ese precepto no es procesal, es una norma que habilita una actuación jurisdiccional, y que el principio de contradicción es esencial y básico en nuestro ordenamiento jurídico y solo puede ser enervado en caso de imposibilidad constatada o de urgencia reconocida, de lo que deberá hacerse constancia en la resolución.</w:t>
      </w:r>
    </w:p>
    <w:p w:rsidR="00A90898" w:rsidRDefault="00A90898" w:rsidP="00A90898">
      <w:pPr>
        <w:pStyle w:val="TextoNormal"/>
      </w:pPr>
    </w:p>
    <w:p w:rsidR="00A90898" w:rsidRDefault="00A90898" w:rsidP="00A90898">
      <w:pPr>
        <w:pStyle w:val="TextoNormal"/>
      </w:pPr>
      <w:r>
        <w:lastRenderedPageBreak/>
        <w:t>Únicamente, desde una motivación de la urgencia y la necesidad de evitar perjuicios y actuar el interés del menor, podría justificarse una atribución competencial y una medida cautelar como la adoptada.</w:t>
      </w:r>
    </w:p>
    <w:p w:rsidR="00A90898" w:rsidRDefault="00A90898" w:rsidP="00A90898">
      <w:pPr>
        <w:pStyle w:val="TextoNormal"/>
      </w:pPr>
    </w:p>
    <w:p w:rsidR="00A90898" w:rsidRDefault="00A90898" w:rsidP="00A90898">
      <w:pPr>
        <w:pStyle w:val="TextoNormal"/>
      </w:pPr>
      <w:r>
        <w:t>Tal cúmulo de actuaciones injustas, que afectan a la competencia objetiva del juzgado, a la conformación de su competencia a través del reparto de asuntos, a la observancia del proceso debido y, en fin, al propio contenido material de la decisión hacen que, deba ser tenida por resolución injusta, no solo por el contenido material de la resolución sino por todo el proceso seguido para su adopción.</w:t>
      </w:r>
    </w:p>
    <w:p w:rsidR="00A90898" w:rsidRDefault="00A90898" w:rsidP="00A90898">
      <w:pPr>
        <w:pStyle w:val="TextoNormal"/>
      </w:pPr>
    </w:p>
    <w:p w:rsidR="00A90898" w:rsidRDefault="00A90898" w:rsidP="00A90898">
      <w:pPr>
        <w:pStyle w:val="TextoNormal"/>
      </w:pPr>
      <w:r>
        <w:t>2. Hemos dicho que asumíamos la argumentación del Tribunal Superior de Justicia sobre la existencia de una resolución manifiestamente injusta, si bien hemos de poner de manifiesto alguna contradicción en la que incurre. Entendemos que no es plausible afirmar, de una parte, que no existe concierto entre el magistrado acusado y los abogados de la parte, para atraer una competencia sobre el hecho y, de otra, que el juez imputado se ha convertido en instrumento de parte y ha instrumentalizado el proceso convirtiéndose ‘el Juez de familia en instrumento, por temeridad y negligencia grave, de un ardid procesal sin desplegar las mínimas garantías y equilibrios procesales’. Ello sólo sería posible si se entendiera que el juez ha actuado como un instrumento que ha obrado sin dolo. Esa consideración de mero instrumento se compagina mal con la actuación del juez que recibe al menor y su familia, realiza la comparecencia, y altera el escrito de comparecencia inicial para evitar poner de manifiesto la utilización de las diligencias de otra causa, precisamente las que fueron empleadas en el decanato para asegurar la remisión al juzgado número 7 (de Familia); dirige al letrado en su comportamiento procesal; comunica con fiscalía y documenta esa conversación informal como si se tratara de un traslado de la causa para informe de legalidad; comunica con el decanato sobre el reparto; y, por último, dicta la resolución cuya injusticia examinamos, sin fundamentar ni la urgencia, ni la competencia, ni los presupuestos que permiten la actuación bajo el amparo del art.158 del Código civil.</w:t>
      </w:r>
    </w:p>
    <w:p w:rsidR="00A90898" w:rsidRDefault="00A90898" w:rsidP="00A90898">
      <w:pPr>
        <w:pStyle w:val="TextoNormal"/>
      </w:pPr>
    </w:p>
    <w:p w:rsidR="00A90898" w:rsidRDefault="00A90898" w:rsidP="00A90898">
      <w:pPr>
        <w:pStyle w:val="TextoNormal"/>
      </w:pPr>
      <w:r>
        <w:t>En todo caso, la resolución injusta no se asienta en la connivencia con los letrados de la parte para atraer la competencia, sino en el acto propio del juez por el que actúa una competencia que no tenía y dicta la resolución sin la mínima observancia del principio de contradicción y sin la argumentación precisa sobre los presupuestos de la adopción de la medida adoptada.</w:t>
      </w:r>
    </w:p>
    <w:p w:rsidR="00A90898" w:rsidRDefault="00A90898" w:rsidP="00A90898">
      <w:pPr>
        <w:pStyle w:val="TextoNormal"/>
      </w:pPr>
    </w:p>
    <w:p w:rsidR="00A90898" w:rsidRDefault="00A90898" w:rsidP="00A90898">
      <w:pPr>
        <w:pStyle w:val="TextoNormal"/>
      </w:pPr>
      <w:r>
        <w:t>3. Abordamos ahora el análisis de la resolución desde la perspectiva del art. 158.4 del Código civil, lo que realizamos desde la propia resolución. Coincidimos con la argumentación del tribunal de instancia en cuanto, en principio, la resolución presenta serios problemas de licitud toda vez que se dicta por un Juez que no era el llamado a conocer de la causa, que no establece el debido sistema de contradicción a través de los necesarios trámites de audiencia a las partes interesadas, obviamente los padres y el Ministerio fiscal; sin que, como señala la sentencia impugnada analizara, en su entera dimensión, los presupuestos de aplicación de la medida cautelar, esto es, el peligro y el perjuicio al menor. Se limita a señalar su concurrencia sin explicar, de forma razonable y coherente, la razón de su concreta concurrencia en el caso.</w:t>
      </w:r>
    </w:p>
    <w:p w:rsidR="00A90898" w:rsidRDefault="00A90898" w:rsidP="00A90898">
      <w:pPr>
        <w:pStyle w:val="TextoNormal"/>
      </w:pPr>
    </w:p>
    <w:p w:rsidR="00A90898" w:rsidRDefault="00A90898" w:rsidP="00A90898">
      <w:pPr>
        <w:pStyle w:val="TextoNormal"/>
      </w:pPr>
      <w:r>
        <w:lastRenderedPageBreak/>
        <w:t>El auto carece de argumentación sobre los presupuestos de la actuación de la medida cautelar, no sólo los que fundamentan su competencia objetiva sino también los que fundamentan su resolución. Esa ausencia de motivación convierte a la resolución en un acto de ejercicio de la autoridad desprovisto de razonabilidad, contraviniendo el art. 120 y 24 de la Constitución que exige la motivación de las resoluciones judiciales. La simple exposición de los hechos de la comparecencia no es la motivación de la resolución que aplica una medida cautelar que deja sin efecto unas medidas provisionales dictadas por otro juzgado en la misma sede y con competencia sobre ese objeto. No es suficiente la exposición de unos hechos en síntesis que el menor quería salir en la procesión con una argumentación dirigida a explicar la situación de peligro o el perjuicio que se trata de evitar.</w:t>
      </w:r>
    </w:p>
    <w:p w:rsidR="00A90898" w:rsidRDefault="00A90898" w:rsidP="00A90898">
      <w:pPr>
        <w:pStyle w:val="TextoNormal"/>
      </w:pPr>
    </w:p>
    <w:p w:rsidR="00A90898" w:rsidRDefault="00A90898" w:rsidP="00A90898">
      <w:pPr>
        <w:pStyle w:val="TextoNormal"/>
      </w:pPr>
      <w:r>
        <w:t>Es cierto que el art. 158 CC permite al juez, de cualquier jurisdicción, adoptar unas medidas excepcionales como las que refieren sus distintos apartados, pero eso no quiere decir, que no haya límites a la decisión judicial. Los límites resultan de la urgencia del supuesto planteado, de la situación de peligro o la evitación de perjuicios, y de los requisitos derivados de un correcto ejercicio de la jurisdicción, como la contradicción efectiva entre las partes, si fuera posible, como lo era en este caso. El juez acusado nada argumenta sobre ello, la acuerda sin explicitar las razones de su adopción.</w:t>
      </w:r>
    </w:p>
    <w:p w:rsidR="00A90898" w:rsidRDefault="00A90898" w:rsidP="00A90898">
      <w:pPr>
        <w:pStyle w:val="TextoNormal"/>
      </w:pPr>
    </w:p>
    <w:p w:rsidR="00A90898" w:rsidRDefault="00A90898" w:rsidP="00A90898">
      <w:pPr>
        <w:pStyle w:val="TextoNormal"/>
      </w:pPr>
      <w:r>
        <w:t>El tribunal de instancia expone, folios 20 y siguiente, los interrogantes que le plantea la actuación judicial, y concluye afirmando que la actuación del juez imputado es, desde la perspectiva de la legalidad y buen hacer judicial, arbitraria. El tribunal de instancia no se explica, porque no es lógico, la intervención del juez imputado cuando conocía otro juez que ya había resuelto; con la celeridad que lo realizó; sin dar lugar a la intervención del Ministerio fiscal y a los padres, directamente interesados en la educación del menor y siendo posible; suspendiendo unas medidas provisionales dictadas por otro juzgado sin justificación alguna, sustantiva y de su competencia; y forzando la actuación del decanato y del Ministerio fiscal en la forma que ha declarado probada.</w:t>
      </w:r>
    </w:p>
    <w:p w:rsidR="00A90898" w:rsidRDefault="00A90898" w:rsidP="00A90898">
      <w:pPr>
        <w:pStyle w:val="TextoNormal"/>
      </w:pPr>
    </w:p>
    <w:p w:rsidR="00A90898" w:rsidRDefault="00A90898" w:rsidP="00A90898">
      <w:pPr>
        <w:pStyle w:val="TextoNormal"/>
      </w:pPr>
      <w:r>
        <w:t>4. La defensa del condenado argumenta que "el auto tenido por injusto en la Sentencia de la instancia fue confirmado en su integridad por la Audiencia Provincial de Sevilla, en sendos autos, uno de 8 de junio de 2011, que resuelve la apelación, y otro de 29 de septiembre de 2011, que desestima un incidente de nulidad de actuaciones. Esa confirmación de la resolución, afirma el recurrente, cuestiona la consideración de ilicitud y, sobre todo, la arbitrariedad típica de la prevaricación, máxime cuando el tribunal de instancia ha declarado que no hubo maniobra para atraer la competencia.</w:t>
      </w:r>
    </w:p>
    <w:p w:rsidR="00A90898" w:rsidRDefault="00A90898" w:rsidP="00A90898">
      <w:pPr>
        <w:pStyle w:val="TextoNormal"/>
      </w:pPr>
    </w:p>
    <w:p w:rsidR="00A90898" w:rsidRDefault="00A90898" w:rsidP="00A90898">
      <w:pPr>
        <w:pStyle w:val="TextoNormal"/>
      </w:pPr>
      <w:r>
        <w:t>Examinamos el contenido de las resoluciones de la Audiencia provincial, Autos de 8 de junio y 29 de septiembre de 2011 que, respectivamente, resuelven la apelación y un subsiguiente incidente de nulidad de actuaciones. La apelación fue formalizada tanto por el Ministerio fiscal como por la acusación particular y ambos plantean su disensión por la falta de competencia funcional del juzgado nº 7, de familia; y por ausencia de observancia del proceso debido, al no dar audiencia, pudiendo hacerlo, a los progenitores; y por inexistencia de peligro y perjuicio al menor. Los tres argumentos son planteados a la Audiencia provincial que, al resolver, se limita a confirmar, sin expresar ni la razón que justifica una alteración de las normas de competencia, ni la razón que permita una actuación ‘inaudita parte’, ni las razones que justifican la situación de urgencia, de necesidad, de peligro y de perjuicio para el menor. Se refiere a la posibilidad de una actuación como la realizada.</w:t>
      </w:r>
    </w:p>
    <w:p w:rsidR="00A90898" w:rsidRDefault="00A90898" w:rsidP="00A90898">
      <w:pPr>
        <w:pStyle w:val="TextoNormal"/>
      </w:pPr>
    </w:p>
    <w:p w:rsidR="00A90898" w:rsidRDefault="00A90898" w:rsidP="00A90898">
      <w:pPr>
        <w:pStyle w:val="TextoNormal"/>
      </w:pPr>
      <w:r>
        <w:t>En efecto, la Audiencia provincial argumenta en el auto de 29 de septiembre de 2011, en el que se resuelve una nulidad de actuaciones, que ‘desde la legalidad sustantiva y procesal ordinaria, este Tribunal en su facultad revisora, motivó y exteriorizó el fundamento de la decisión adoptada al confirmar la resolución recurrida en cuanto a su competencia y contenido...’. En el auto resolviendo la apelación, de fecha 8 de junio de 2011, el tribunal colegiado se plantea las dificultades que surgen de la concurrencia de otro juzgado, el de violencia sobre la mujer que había dictado las medidas cautelares y a quien se había planteado la cuestión y había decidido que lo resolviesen los padres, y también se plantea la cuestión referida a la falta de audición a las partes y resuelve, ‘en atención a las razones de urgencia y necesidad’ estima competente al Juzgado de primera instancia nº 7, (Familia) de esta ciudad para incoar y conocer del presente procedimiento entablado, ya que aquel precepto le permitía adoptar las medidas necesarias para tutelar y proteger los intereses del menor de referencia incluso ‘inaudita parte’ o de oficio por dicho órgano.</w:t>
      </w:r>
    </w:p>
    <w:p w:rsidR="00A90898" w:rsidRDefault="00A90898" w:rsidP="00A90898">
      <w:pPr>
        <w:pStyle w:val="TextoNormal"/>
      </w:pPr>
    </w:p>
    <w:p w:rsidR="00A90898" w:rsidRDefault="00A90898" w:rsidP="00A90898">
      <w:pPr>
        <w:pStyle w:val="TextoNormal"/>
      </w:pPr>
      <w:r>
        <w:t>Ambas resoluciones no son, desde luego, modélicas en su motivación. Se limitan a afirmar que el art. 158 permite la decisión adoptada, pero no razona en qué medida la decisión se podría adoptar, en un supuesto como el que es objeto de la causa, en el que había otro juzgado conociendo que es apartado de ese conocimiento, lo que era conocido por el Juez del Juzgado nº 7 (Familia) de Sevilla; en un proceso ‘inaudita parte’, pese al evidente interés de los progenitores en el caso concreto, siendo factible esa audiencia; sin oír al Ministerio fiscal en un informe de legalidad y en materia que afecta a un menor; con un presupuesto de actuación, peligro y perjuicio para el menor, que ni se razona ni explica su concurrencia. El art. 158 Cc se limita a señalar el contenido de la decisión que un juez puede adoptar, pero las circunstancias concurrentes obligaban a su adopción conforme a las exigencias del proceso debido, tanto en competencia como en el establecimiento de la contradicción y en la motivación de las medidas en lo atinente a los presupuestos de su adopción.</w:t>
      </w:r>
    </w:p>
    <w:p w:rsidR="00A90898" w:rsidRDefault="00A90898" w:rsidP="00A90898">
      <w:pPr>
        <w:pStyle w:val="TextoNormal"/>
      </w:pPr>
    </w:p>
    <w:p w:rsidR="00A90898" w:rsidRDefault="00A90898" w:rsidP="00A90898">
      <w:pPr>
        <w:pStyle w:val="TextoNormal"/>
      </w:pPr>
      <w:r>
        <w:t>En las circunstancias expuestas la resolución de la Audiencia provincial, confirmando la medida adoptada no justifica la actuación judicial, ni es óbice a la consideración de la misma como resolución injusta.”</w:t>
      </w:r>
    </w:p>
    <w:p w:rsidR="00A90898" w:rsidRDefault="00A90898" w:rsidP="00A90898">
      <w:pPr>
        <w:pStyle w:val="TextoNormal"/>
      </w:pPr>
    </w:p>
    <w:p w:rsidR="00A90898" w:rsidRDefault="00A90898" w:rsidP="00A90898">
      <w:pPr>
        <w:pStyle w:val="TextoNormal"/>
      </w:pPr>
      <w:r>
        <w:t>Por su parte, en relación con el elemento subjetivo, se afirma en el fundamento de Derecho cuarto que “resulta clara la calificación dolosa de la conducta del acusado”, ya que “[c]iertamente, es difícil representarse un supuesto de prevaricación judicial imprudente, pues el hecho de dictar una resolución injusta por un funcionario tan cualificado como es el juez, deja poco espacio a un actuar negligente. Su ámbito de aplicación puede ser el de desatención grave de la oficina judicial causal a una actuación judicial manifiestamente injusta, lo que no es el caso de autos” (fundamento de Derecho cuarto). Y se continua afirmando que “[d]esde los hechos probados surge con facilidad que el magistrado conocía los hechos en su total dimensión, la competencia de otro juzgado, conocía las medidas adoptadas por el mismo; también los deberes que le incumben en orden a la aplicación de la ley, sustantiva y procesal y, sin embargo, no actuó conforme exigía ese conocimiento disponiendo la ordenación del proceso sin observar las normas del proceso debido y aplicando la norma sin atención a los presupuestos que le facultaba actuar. Su actuar es doloso pues el autor conoce las circunstancias concurrentes y los deberes que le incumben. La resolución ha sido dictado con incumplimiento consciente de su deber jurisdiccional produciendo la resolución injusta” (fundamento de Derecho cuarto).</w:t>
      </w:r>
    </w:p>
    <w:p w:rsidR="00A90898" w:rsidRDefault="00A90898" w:rsidP="00A90898">
      <w:pPr>
        <w:pStyle w:val="TextoNormal"/>
      </w:pPr>
    </w:p>
    <w:p w:rsidR="00A90898" w:rsidRDefault="00A90898" w:rsidP="00A90898">
      <w:pPr>
        <w:pStyle w:val="TextoNormal"/>
      </w:pPr>
      <w:r>
        <w:t>La resolución de casación argumenta que no se ha producido vulneración alguna en relación con la existencia de sendos autos de la Audiencia Provincial de Sevilla, ya que han sido debidamente valoradas y “su contenido material no es vinculante para otros órganos judiciales” (fundamento de Derecho quinto). Igualmente desestima la aducida vulneración del principio acusatorio “una vez que hemos estimado la impugnación de la acusación particular calificando la prevaricación de dolosa” (fundamento de Derecho quinto).</w:t>
      </w:r>
    </w:p>
    <w:p w:rsidR="00A90898" w:rsidRDefault="00A90898" w:rsidP="00A90898">
      <w:pPr>
        <w:pStyle w:val="TextoNormal"/>
      </w:pPr>
    </w:p>
    <w:p w:rsidR="00A90898" w:rsidRDefault="00A90898" w:rsidP="00A90898">
      <w:pPr>
        <w:pStyle w:val="TextoNormal"/>
      </w:pPr>
      <w:r>
        <w:t>La Sentencia incluye un Voto particular discrepante redactado por dos de los Magistrados en que se sostiene que el acusado debería haber sido absuelto de todos los cargos.</w:t>
      </w:r>
    </w:p>
    <w:p w:rsidR="00A90898" w:rsidRDefault="00A90898" w:rsidP="00A90898">
      <w:pPr>
        <w:pStyle w:val="TextoNormal"/>
      </w:pPr>
    </w:p>
    <w:p w:rsidR="00A90898" w:rsidRDefault="00A90898" w:rsidP="00A90898">
      <w:pPr>
        <w:pStyle w:val="TextoNormal"/>
      </w:pPr>
      <w:r>
        <w:t>g) El demandante de amparo promovió un incidente de nulidad de actuaciones alegando, como primer motivo, la “vulneración de los derechos fundamentales a la tutela judicial efectiva (art. 24.1 CE), a un proceso con todas las garantías (art. 24.2 CE), con especial referencia al principio de contradicción, a la legalidad (art 25.1 y 25.2 CE) y a la igualdad en aplicación de la ley (art. 14 CE)”. Se argumenta que la sentencia de casación ha acogido el primer motivo de casación aducido por la acusación particular en que no se cita ningún precepto penal sustantivo como infringido, haciendo una interpretación de la voluntad impugnativa de que se condene por delito de prevaricación doloso y no imprudente que “no guarda ninguna correlación con la contenido en el recurso planteado por la acusación”. Además, al haberse reinterpretado la voluntad impugnativa no se ha dado la posibilidad de ejercitar con todas las consecuencias el principio de contradicción.</w:t>
      </w:r>
    </w:p>
    <w:p w:rsidR="00A90898" w:rsidRDefault="00A90898" w:rsidP="00A90898">
      <w:pPr>
        <w:pStyle w:val="TextoNormal"/>
      </w:pPr>
    </w:p>
    <w:p w:rsidR="00A90898" w:rsidRDefault="00A90898" w:rsidP="00A90898">
      <w:pPr>
        <w:pStyle w:val="TextoNormal"/>
      </w:pPr>
      <w:r>
        <w:t>El demandante alegó un segundo motivo de nulidad por “vulneración de los derechos fundamentales a la tutela judicial efectiva sin indefensión (art. 24.1 CE), a un proceso con todas las garantías (art. 24.2 CE), con infracción de los principios de contradicción, inmediación y oralidad, y el derecho a la defensa”, argumentando que se había condenado en la segunda instancia por un delito de prevaricación judicial dolosa del que había sido absuelto en la instancia, sin haber dado la oportunidad de ser oído y “llevando a cabo una nueva valoración o ponderación de las pruebas personales efectuadas por el Juez de instancia, revocando su decisión absolutoria merced a una reinterpretación de tales pruebas que no han sido practicadas de forma directa y personal ante la sala revisora.</w:t>
      </w:r>
    </w:p>
    <w:p w:rsidR="00A90898" w:rsidRDefault="00A90898" w:rsidP="00A90898">
      <w:pPr>
        <w:pStyle w:val="TextoNormal"/>
      </w:pPr>
    </w:p>
    <w:p w:rsidR="00A90898" w:rsidRDefault="00A90898" w:rsidP="00A90898">
      <w:pPr>
        <w:pStyle w:val="TextoNormal"/>
      </w:pPr>
      <w:r>
        <w:t>h) El Ministerio Fiscal alegó respecto del primero de los motivos de impugnación en el incidente de nulidad de actuaciones, que “no hubo en absoluto indefensión, dado que del contenido material del recurso de casación de la acusación particular tuvo conocimiento el condenado, no opuso tacha alguna a su admisión y se limitó a informar en concreta de su estimación”; que “aun siendo claras las exigencias establecidas en el art. 849.1 LECrim, en lo tocante a la naturaleza de la norma infringida, dicho criterio no puede mantenerse de manera inflexible” y que “del contexto global de la impugnación se desprende claramente que el sentido de la misma va dirigido a la consideración de que, respetando los hechos probados, la calificación correcta debió ser la de delito doloso —como finalmente considera la Sala II TS— y no la de culposo —como entendió el Tribunal Superior de Justicia que dictó sentencia en 1ª instancia—”.</w:t>
      </w:r>
    </w:p>
    <w:p w:rsidR="00A90898" w:rsidRDefault="00A90898" w:rsidP="00A90898">
      <w:pPr>
        <w:pStyle w:val="TextoNormal"/>
      </w:pPr>
    </w:p>
    <w:p w:rsidR="00A90898" w:rsidRDefault="00A90898" w:rsidP="00A90898">
      <w:pPr>
        <w:pStyle w:val="TextoNormal"/>
      </w:pPr>
      <w:r>
        <w:t xml:space="preserve">En relación con el segundo motivo también el Ministerio Fiscal interesa su desestimación, argumentando que se afirma que “el tránsito de un delito en su modalidad culposa a la </w:t>
      </w:r>
      <w:r>
        <w:lastRenderedPageBreak/>
        <w:t xml:space="preserve">modalidad dolosa —delito de prevaricación </w:t>
      </w:r>
      <w:r w:rsidRPr="00A90898">
        <w:rPr>
          <w:i/>
        </w:rPr>
        <w:t>ex</w:t>
      </w:r>
      <w:r>
        <w:t xml:space="preserve"> arts. 447 y 446 CP— es una cuestión puramente jurídica que afecta a la tipicidad de la conducta imputada. Los hechos probados en la sentencia de instancia están escrupulosamente respetados por el Tribunal de casación y la consideración dolosa del delito de prevaricación está acertada y suficientemente desarrollada en los FJ 2 y 3 de la sentencia de casación”.</w:t>
      </w:r>
    </w:p>
    <w:p w:rsidR="00A90898" w:rsidRDefault="00A90898" w:rsidP="00A90898">
      <w:pPr>
        <w:pStyle w:val="TextoNormal"/>
      </w:pPr>
    </w:p>
    <w:p w:rsidR="00A90898" w:rsidRDefault="00A90898" w:rsidP="00A90898">
      <w:pPr>
        <w:pStyle w:val="TextoNormal"/>
      </w:pPr>
      <w:r>
        <w:t xml:space="preserve">i) La Sala de lo Penal del Tribunal Supremo, por Auto de 30 de octubre de 2012, acuerda que no ha lugar a admitir a trámite la petición de nulidad de actuaciones. Respecto del primer motivo, argumenta que “tanto del escrito de la impugnación, que el ahora recurrente impugnó, como en la vista del recurso, igualmente impugnado por la defensa del imputado, resulta claramente la pretensión de revisión que formaliza la acusación particular” (fundamento de Derecho primero). A ello añade, con cita de jurisprudencia constitucional respecto de que la exigencia de congruencia resulta compatible con el principio </w:t>
      </w:r>
      <w:r w:rsidRPr="00A90898">
        <w:rPr>
          <w:i/>
        </w:rPr>
        <w:t>iura novit curia</w:t>
      </w:r>
      <w:r>
        <w:t>, por no resultar exigible que los órganos judiciales ajusten sus razonamientos a las alegaciones que sobre las normas realicen las partes, que “la correlación entre los argumentos del recurso y los de la sentencia no forma parte de las exigencias de congruencia entre los escritos de las partes y las resoluciones judiciales. Debe existir una correlación entre lo solicitado por la parte y la decisión jurisdiccional, pero esa correlación no se extiende a la argumentación. En todo caso, la Sentencia explica el fundamento de la subsunción en el delito doloso de prevaricación, descartando la calificación de imprudencia por la que había sido condenado” (fundamento de Derecho primero). Por ello concluye que “la defensa ha podido, y lo ha hecho, defenderse de la impugnación casacional formalizada por la acusación particular conociendo el sentido y alcance de la misma” (fundamento de Derecho primero).</w:t>
      </w:r>
    </w:p>
    <w:p w:rsidR="00A90898" w:rsidRDefault="00A90898" w:rsidP="00A90898">
      <w:pPr>
        <w:pStyle w:val="TextoNormal"/>
      </w:pPr>
    </w:p>
    <w:p w:rsidR="00A90898" w:rsidRDefault="00A90898" w:rsidP="00A90898">
      <w:pPr>
        <w:pStyle w:val="TextoNormal"/>
      </w:pPr>
      <w:r>
        <w:t>Respecto del segundo motivo de nulidad, el auto establece que “la Sentencia no ha realizado una revaloración de la prueba, pues el hecho probado no ha sido modificado, aunque si se ha efectuado una valoración de la inferencia sobre la concurrencia del tipo subjetivo en el delito de prevaricación. Por esa razón se dispuso la presencia del acusado en la vista de la casación. Esa presencia fue solicitada por la propia defensa y autorizada por la Sala y la misma no se limitó a ocupar un lugar entre el público sino que se dispuso su ubicación en estrados, junto a su defensa” (fundamento de Derecho segundo). Igualmente, en el auto se afirma que “[e]l Acta de la vista de la casación, levantada por la Secretaria Judicial, documenta esa presencia del condenado en estados, junto a su Letrado. En el mismo sentido, el antecedente séptimo de la sentencia recoge la presencia del condenado al acto de la vista y la intervención que en la misma tuvo. Ciertamente, no fue citado a la vista sino que ante su petición, fue autorizada su presencia, sentándose en el estrado y ello en observancia de la jurisprudencia que el recurrente en nulidad cita como fundamento de su impugnación. Su lugar en estrados, con el atuendo de quien ostenta la condición de Letrado, le autorizaba a expresar lo que le conviniera en el recurso revisor de su condena planteado por la acusación particular, como lo hizo. En efecto, el recurrente en nulidad que asistió a la vista de casación en los términos señalados intervino en la vista de la casación para reiterar lo que ya había dicho su defensa, que sus resoluciones –las que eran objeto de la condena-, habían sido confirmadas en dos ocasiones por la Sección competente de la Audiencia Provincial a quien correspondía la revisión en el recurso de apelación. Esa manifestación satisface la necesidad de audiencia establecida en los recientes pronunciamientos de la jurisprudencia” (fundamento de Derecho segundo).</w:t>
      </w:r>
    </w:p>
    <w:p w:rsidR="00A90898" w:rsidRDefault="00A90898" w:rsidP="00A90898">
      <w:pPr>
        <w:pStyle w:val="TextoNormal"/>
      </w:pPr>
    </w:p>
    <w:p w:rsidR="00A90898" w:rsidRDefault="00A90898" w:rsidP="00A90898">
      <w:pPr>
        <w:pStyle w:val="TextoNormal"/>
      </w:pPr>
      <w:r>
        <w:lastRenderedPageBreak/>
        <w:t>Por Auto de 20 de noviembre de 2012 se acordó aclarar un error mecanográfico en el Auto de 30 de octubre de 2012 en el sentido de identificar correctamente la resolución respecto de la que se había promovido el incidente de nulidad actuaciones.</w:t>
      </w:r>
    </w:p>
    <w:p w:rsidR="00A90898" w:rsidRDefault="00A90898" w:rsidP="00A90898">
      <w:pPr>
        <w:pStyle w:val="TextoNormal"/>
      </w:pPr>
    </w:p>
    <w:p w:rsidR="00A90898" w:rsidRDefault="00A90898" w:rsidP="00A90898">
      <w:pPr>
        <w:pStyle w:val="TextoNormal"/>
      </w:pPr>
      <w:r w:rsidRPr="00A90898">
        <w:rPr>
          <w:rStyle w:val="NumeroAFNegritaCaracter"/>
        </w:rPr>
        <w:t>3</w:t>
      </w:r>
      <w:r>
        <w:t>. El demandante de amparo aduce en su recurso que las sentencias impugnadas han vulnerado sus derechos fundamentales a la igualdad en la aplicación de la ley (art. 14 CE), a la tutela judicial efectiva (art. 24.1 CE) y a un proceso con todas las garantías (art. 24.2 CE), por lo que solicita su anulación.</w:t>
      </w:r>
    </w:p>
    <w:p w:rsidR="00A90898" w:rsidRDefault="00A90898" w:rsidP="00A90898">
      <w:pPr>
        <w:pStyle w:val="TextoNormal"/>
      </w:pPr>
    </w:p>
    <w:p w:rsidR="00A90898" w:rsidRDefault="00A90898" w:rsidP="00A90898">
      <w:pPr>
        <w:pStyle w:val="TextoNormal"/>
      </w:pPr>
      <w:r>
        <w:t>El demandante de amparo expone que la Sentencia de casación ha vulnerado, en primer lugar, sus “derechos fundamentales a la tutela judicial efectiva (art. 24.1 CE), a un proceso con todas las garantías (art. 24.2 CE), con especial referencia al principio de contradicción y a la igualdad en aplicación de la ley (art. 14 CE), al haber suplido la sala sentenciadora las omisiones y errores contenidos en el recurso de casación de la acusación particular, causando efectiva indefensión (art. 24.1 CE)”. A esos efectos, se argumenta que el motivo casacional que fue finalmente estimado por la Sentencia de casación, y que llevó a su condena en la segunda instancia por un delito de prevaricación judicial doloso, adolecía del defecto consistente en no citar ni basar la impugnación por el cauce concreto del art. 849.1 LECrim en una norma penal de carácter sustantivo. Además, contenía un escaso desarrollo, ya que solo se citan como preceptos penales sustantivos infringidos los art. 158.4 CC y 87.3 LOPJ para fundamentar que debía considerarse probado que al conocer el acusado la existencia del Auto del Juzgado de Violencia sobre la Mujer núm. 4 de Sevilla tenía forzosamente que conocer que la competencia de dicho Juzgado era exclusiva y excluyente. Frente a ello, como se destaca en el Voto particular, este motivo de casación fue reinterpretado por el órgano judicial con una argumentación que no guarda correlación alguna con el motivo del recurso de casación. Con ese proceder se causó una absoluta indefensión, ya que finalmente se condena en virtud de argumentaciones desconocidas frente a las que la acusación no puede alegar, vulnerándose el principio de contradicción.</w:t>
      </w:r>
    </w:p>
    <w:p w:rsidR="00A90898" w:rsidRDefault="00A90898" w:rsidP="00A90898">
      <w:pPr>
        <w:pStyle w:val="TextoNormal"/>
      </w:pPr>
    </w:p>
    <w:p w:rsidR="00A90898" w:rsidRDefault="00A90898" w:rsidP="00A90898">
      <w:pPr>
        <w:pStyle w:val="TextoNormal"/>
      </w:pPr>
      <w:r>
        <w:t xml:space="preserve">El demandante de amparo aduce, en segundo lugar, que la Sentencia de casación también ha vulnerado “los derechos fundamentales a la tutela judicial efectiva sin indefensión (art. 24.1 CE), a un proceso con todas las garantías (art. 24.2 CE), con infracción de los principios de contradicción, inmediación y oralidad, y el derecho a la defensa al haberse condenado … por un delito del que había sido absuelto en primera instancia sin haber sido oído por el tribunal de casación, llevándose a cabo por este una reinterpretación de las pruebas personales practicadas en el juicio oral”. A esos efectos, se argumenta la condena en segunda instancia lo ha sido por un delito de prevaricación dolosa del que ya había sido absuelto en la primera, sin haberse oír al demandante, contraviniendo la jurisprudencia constitucional y del Tribunal Europeo de Derechos Humanos en la materia. Se afirma que la Sentencia de casación ha alterado la inferencia de los hechos probados, apreciando la concurrencia de un elemento subjetivo del injusto sin haber oído al demandante ni a cuantos testigos depusieron en la vista oral practicada en la instancia. Se añade que la presencia del demandante en el acto de la vista fue meramente testimonial, ya que su citación en estrados lo fue como consecuencia de su dignidad de cargo que le habilitaba para ello, pero en ningún momento efectuó manifestación del derecho de defensa, ni en calidad de acusado, ni en calidad de Letrado. Se señala que no fue objeto de citación, ni personal ni a través de su representación procesal al objeto de ser oída su declaración, sino que se sentó en estrados por propia iniciativa, pero no pudo tomar iniciativa respecto de ser oído, ni en cuanto hacer alegaciones </w:t>
      </w:r>
      <w:r>
        <w:lastRenderedPageBreak/>
        <w:t>en pos de su defensa, al no aparecer dicha posibilidad prevista en el guion de la vista. También, se pone de manifiesto que el tribunal de casación no dispuso nada sobre la presencia en el acto de la vista ni sobre la necesidad de oír al demandante para efectuar una nueva inferencia que pudiera conllevar la condena por prevaricación dolosa. Se insiste en que el derecho de defensa no aparece salvaguardado por la presencia del acusado en el acto de la vista, sino, de acuerdo con reiterada jurisprudencia constitucional y del Tribunal Europeo de Derechos Humanos, por el hecho de que el tribunal disponga lo necesario para qué sea oído. Por otra parte, se pone de manifiesto que la sentencia de casación no ha respetado los hechos probados, ya que, tras haber transcrito el relato de hechos probados, en el fundamento de derecho “preliminar”, efectúa lo que considera una “síntesis” que no es más que una distorsión y apartamiento de lo declarado probado por la sentencia de instancia.</w:t>
      </w:r>
    </w:p>
    <w:p w:rsidR="00A90898" w:rsidRDefault="00A90898" w:rsidP="00A90898">
      <w:pPr>
        <w:pStyle w:val="TextoNormal"/>
      </w:pPr>
    </w:p>
    <w:p w:rsidR="00A90898" w:rsidRDefault="00A90898" w:rsidP="00A90898">
      <w:pPr>
        <w:pStyle w:val="TextoNormal"/>
      </w:pPr>
      <w:r>
        <w:t>El demandante de amparo, en tercer lugar, aduce que la Sentencia de instancia ha vulnerado su “derecho fundamental a la presunción de inocencia (art. 24.2 CE) y a la tutela judicial efectiva sin indefensión (art. 24.1 CE), con vulneración del principio de invariabilidad, intangibilidad, e inmodificabilidad de las sentencias firmes, con especial referencia al principio de legalidad, y a la infracción del art. 120.3 sobre el deber de motivar las sentencias”. A esos efectos, se argumenta que la Audiencia Provincial de Sevilla, que era el competente para conocer sobre la legalidad o ilegalidad de la resolución supuestamente prevaricadora, declaró por dos veces de modo definitivo y firme que dicha resolución era conforme a la legalidad sustantiva y procesal. De ese modo, la sentencia condenatoria de instancia, al no referir las resoluciones de la Audiencia Provincial en su relato de hechos probados, las hace desaparecer de la vida jurídica, provocando una contradicción manifiesta e insalvable con las resoluciones del Audiencia que quiebra el principio de intangibilidad. Se afirma que no puede llegarse a tildar de manifiestamente injusta una resolución declarada como conforme a la legalidad procesal y sustantiva por la Audiencia Provincial de Sevilla, sin incurrir en arbitrariedad o irrazonabilidad.</w:t>
      </w:r>
    </w:p>
    <w:p w:rsidR="00A90898" w:rsidRDefault="00A90898" w:rsidP="00A90898">
      <w:pPr>
        <w:pStyle w:val="TextoNormal"/>
      </w:pPr>
    </w:p>
    <w:p w:rsidR="00A90898" w:rsidRDefault="00A90898" w:rsidP="00A90898">
      <w:pPr>
        <w:pStyle w:val="TextoNormal"/>
      </w:pPr>
      <w:r>
        <w:t>El demandante de amparo, en último lugar, aduce que la sentencia de instancia también habría vulnerado el “derecho fundamental reconocido en el art. 24.2 CE por infracción del derecho fundamental a ser informado de la acusación con quiebra del principio acusatorio produciendo efectiva indefensión e infracción del principio de homogeneidad delictiva, al haber sido condenado … por un delito del que no fue acusado en ningún momento, no guardando homogeneidad delictiva el delito objeto de acusación con el que finalmente fue condenado”. A esos efectos, se argumenta que fue condenado en la instancia por un delito de prevaricación por ignorancia inexcusable del que nunca fue acusado, impidiendo una defensa adecuada e imposibilitando la contradicción respecto del grado de diligencia o negligencia observada. Se destaca que la jurisprudencia del Tribunal Supremo ha establecido mayoritariamente que los delitos dolosos y culposos no son homogéneos y que la defensa no tiene el deber procesal de suponer todas las calificaciones alternativas.</w:t>
      </w:r>
    </w:p>
    <w:p w:rsidR="00A90898" w:rsidRDefault="00A90898" w:rsidP="00A90898">
      <w:pPr>
        <w:pStyle w:val="TextoNormal"/>
      </w:pPr>
    </w:p>
    <w:p w:rsidR="00A90898" w:rsidRDefault="00A90898" w:rsidP="00A90898">
      <w:pPr>
        <w:pStyle w:val="TextoNormal"/>
      </w:pPr>
      <w:r>
        <w:t xml:space="preserve">En la demanda de amparo se justifica la especial trascendencia constitucional de recurso en la manifiesta negativa del deber de acatamiento de la doctrina constitucional por parte de los dos Tribunales que han dictado las resoluciones objeto de impugnación. La demanda concreta para cada uno de los motivos la indicada justificación, de modo tal que, respecto de primero, afirma que contraviene la doctrina emanada de las SSTC, 226/2002,  76/2007 y AATC 181/2001 y 5/2002; respecto del segundo, las SSTC 184/2009 y 142/2011; respecto </w:t>
      </w:r>
      <w:r>
        <w:lastRenderedPageBreak/>
        <w:t>de tercero, las SSTC 182/1994, 190/1999, 151/2001, 231/2006 y 208/2009; y, respecto del ultimo, cita las SSTC 134/1986 y 43/1997, entre otras).</w:t>
      </w:r>
    </w:p>
    <w:p w:rsidR="00A90898" w:rsidRDefault="00A90898" w:rsidP="00A90898">
      <w:pPr>
        <w:pStyle w:val="TextoNormal"/>
      </w:pPr>
    </w:p>
    <w:p w:rsidR="00A90898" w:rsidRDefault="00A90898" w:rsidP="00A90898">
      <w:pPr>
        <w:pStyle w:val="TextoNormal"/>
      </w:pPr>
      <w:r w:rsidRPr="00A90898">
        <w:rPr>
          <w:rStyle w:val="NumeroAFNegritaCaracter"/>
        </w:rPr>
        <w:t>4</w:t>
      </w:r>
      <w:r>
        <w:t>. La Sala Primera de este Tribunal, por providencia de 22 de mayo de 2014, acordó admitir a trámite la demanda de amparo y, obrando ya en el presente recurso las actuaciones judiciales correspondientes, en aplicación de lo dispuesto en el art. 51 LOTC, requerir el emplazamiento de quienes hubieran sido parte en el procedimiento para que pudiesen comparecer en el plazo de diez días en el proceso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La Secretaría de Justicia de la Sala Primera de este Tribunal, por diligencia de ordenación de 1 de julio de 2014, tuvo por personado al Procurador don Víctor García Montes, en nombre y representación de doña Rosario Isabel Hinojosa Picón; y acordó dar vista de las actuaciones al Ministerio Fiscal y a las partes personadas por un plazo de veinte días para presentar las alegaciones que estimasen pertinentes, de conformidad con el art. 52 LOTC.</w:t>
      </w:r>
    </w:p>
    <w:p w:rsidR="00A90898" w:rsidRDefault="00A90898" w:rsidP="00A90898">
      <w:pPr>
        <w:pStyle w:val="TextoNormal"/>
      </w:pPr>
    </w:p>
    <w:p w:rsidR="00A90898" w:rsidRDefault="00A90898" w:rsidP="00A90898">
      <w:pPr>
        <w:pStyle w:val="TextoNormal"/>
      </w:pPr>
      <w:r>
        <w:t>Una vez recibidos los soportes documentales de la grabación de las sesiones del juicio oral, que habían sido requerido por la parte comparecida, la Secretaría de Justicia de la Sala Primera de este Tribunal, por diligencia de ordenación de 7 de octubre de 2014, hizo entrega de los mismos al Ministerio Fiscal y el resto de partes personadas concediendo un nuevo plazo común de veinte días para presentar las alegaciones que estimasen pertinentes.</w:t>
      </w:r>
    </w:p>
    <w:p w:rsidR="00A90898" w:rsidRDefault="00A90898" w:rsidP="00A90898">
      <w:pPr>
        <w:pStyle w:val="TextoNormal"/>
      </w:pPr>
    </w:p>
    <w:p w:rsidR="00A90898" w:rsidRDefault="00A90898" w:rsidP="00A90898">
      <w:pPr>
        <w:pStyle w:val="TextoNormal"/>
      </w:pPr>
      <w:r w:rsidRPr="00A90898">
        <w:rPr>
          <w:rStyle w:val="NumeroAFNegritaCaracter"/>
        </w:rPr>
        <w:t>6</w:t>
      </w:r>
      <w:r>
        <w:t>. La Secretaría de Justicia de la Sala Primera de este Tribunal, por diligencia de ordenación de 16 de octubre de 2014, tuvo por personado al Procurador don Roberto García Palomeque, en nombre y representación de doña Rosario Isabel Hinojosa, en sustitución de su compañero.</w:t>
      </w:r>
    </w:p>
    <w:p w:rsidR="00A90898" w:rsidRDefault="00A90898" w:rsidP="00A90898">
      <w:pPr>
        <w:pStyle w:val="TextoNormal"/>
      </w:pPr>
    </w:p>
    <w:p w:rsidR="00A90898" w:rsidRDefault="00A90898" w:rsidP="00A90898">
      <w:pPr>
        <w:pStyle w:val="TextoNormal"/>
      </w:pPr>
      <w:r w:rsidRPr="00A90898">
        <w:rPr>
          <w:rStyle w:val="NumeroAFNegritaCaracter"/>
        </w:rPr>
        <w:t>7</w:t>
      </w:r>
      <w:r>
        <w:t>. El Ministerio Fiscal, en escrito registrado el 9 de septiembre de 2014, presentó sus alegaciones interesando que se denegara el amparo solicitado.</w:t>
      </w:r>
    </w:p>
    <w:p w:rsidR="00A90898" w:rsidRDefault="00A90898" w:rsidP="00A90898">
      <w:pPr>
        <w:pStyle w:val="TextoNormal"/>
      </w:pPr>
    </w:p>
    <w:p w:rsidR="00A90898" w:rsidRDefault="00A90898" w:rsidP="00A90898">
      <w:pPr>
        <w:pStyle w:val="TextoNormal"/>
      </w:pPr>
      <w:r>
        <w:t>El Ministerio Fiscal, en relación con el primer motivo de amparo, argumenta, con amplia cita de jurisprudencia constitucional, que la argumentación desarrollada en la Sentencia de casación y posteriormente en el Auto resolutorio del incidente de nulidad de actuaciones sobre la posibilidad de entrar a analizar el fondo de la cuestión planteada en el primer motivo de casación por la acusación particular “no puede ser tildado de arbitrario ni de irrazonable, pues la mera omisión del número del artículo del Código Penal de que se trataba siendo además el mismo conocido por todos los intervinientes y sobre el que giraba el debate, era fácilmente suplido sin necesidad de esfuerzo alguno”. A ello añade que, como también el Tribunal Supremo había destacado, hay que rechazar que se haya generado indefensión ya que la impugnación al recurso formulado patentiza que estaba plenamente impuesto de lo demandado de contrario y también consta “la existencia de vista oral en la que el ahora recurrente pudo oír la petición formulada por la acusación y rebatirla como así lo hizo”; y que tratándose de una cuestión de calificación jurídica su argumentación no queda circunscrita a la exposición de las partes.</w:t>
      </w:r>
    </w:p>
    <w:p w:rsidR="00A90898" w:rsidRDefault="00A90898" w:rsidP="00A90898">
      <w:pPr>
        <w:pStyle w:val="TextoNormal"/>
      </w:pPr>
    </w:p>
    <w:p w:rsidR="00A90898" w:rsidRDefault="00A90898" w:rsidP="00A90898">
      <w:pPr>
        <w:pStyle w:val="TextoNormal"/>
      </w:pPr>
      <w:r>
        <w:t xml:space="preserve">El Ministerio Fiscal, en relación con el segundo motivo de amparo, argumenta que las dos bases fácticas en que el recurrente ha sustentado este motivo son “de un lado en que no </w:t>
      </w:r>
      <w:r>
        <w:lastRenderedPageBreak/>
        <w:t xml:space="preserve">se habían respetado los hechos declarados probados habiéndose producido una nueva valoración de pruebas de carácter personal no practicadas a presencia del Tribunal de casación, y de otro que no había sido oído por este”. Respecto de ello, señala que la Sentencia de casación no ha alterado el resultado de hechos probados y así lo declara expresamente, constituyendo la inclusión del parte del relato de hechos probados en la fundamentación jurídica y de un resumen en el fundamento de derecho preliminar un sentido meramente auxiliar sin capacidad para alterar el </w:t>
      </w:r>
      <w:r w:rsidRPr="00A90898">
        <w:rPr>
          <w:i/>
        </w:rPr>
        <w:t>factum</w:t>
      </w:r>
      <w:r>
        <w:t>. Por otro lado, también pone de manifiesto que, tal como se recoge en la sentencia casacional y en el auto resolutorio del incidente, el recurrente compareció a la vista del recurso, se situó en estrados y tuvo la posibilidad de intervenir tanto a través de su letrado como directamente, como así sucedió. De ello concluye que “ha habido audiencia, y no ha habido vulneración del derecho de defensa que, en todo caso, no comportaría sino una mera retroacción procedimental”.</w:t>
      </w:r>
    </w:p>
    <w:p w:rsidR="00A90898" w:rsidRDefault="00A90898" w:rsidP="00A90898">
      <w:pPr>
        <w:pStyle w:val="TextoNormal"/>
      </w:pPr>
    </w:p>
    <w:p w:rsidR="00A90898" w:rsidRDefault="00A90898" w:rsidP="00A90898">
      <w:pPr>
        <w:pStyle w:val="TextoNormal"/>
      </w:pPr>
      <w:r>
        <w:t>El Ministerio Fiscal, en relación con el tercer motivo de amparo, argumenta (i) que la decisión de la jurisdicción civil, en modo alguno ostentaba el carácter de prejudicial respecto a la jurisdicción penal; y (ii) que las resoluciones judiciales impugnadas han razonado de forma suficiente y ajustada a la doctrina constitucional su apartamiento de lo resuelto en la jurisdicción civil por ser distintos los objetos de ambos procesos y la no interferencia entre ambos, constando además, que los dos procesos se desarrollaron de manera simultánea, llegándose a dictar al auto de transformación en procedimiento abreviado con anterioridad a que la Sección Segunda de la Audiencia Provincial de Sevilla resolviese la apelación.</w:t>
      </w:r>
    </w:p>
    <w:p w:rsidR="00A90898" w:rsidRDefault="00A90898" w:rsidP="00A90898">
      <w:pPr>
        <w:pStyle w:val="TextoNormal"/>
      </w:pPr>
    </w:p>
    <w:p w:rsidR="00A90898" w:rsidRDefault="00A90898" w:rsidP="00A90898">
      <w:pPr>
        <w:pStyle w:val="TextoNormal"/>
      </w:pPr>
      <w:r>
        <w:t>El Ministerio Fiscal, en relación con el último motivo de amparo, argumenta que no puede merecer acogimiento la invocación del principio acusatorio, toda vez que (i) la condena por delito de prevaricación imprudente que es a la que se achaca esta vulneración ya ha sido dejada sin efecto por la sentencia de casación; y (ii), en atención a los escritos de calificación de la acusación particular y del Ministerio Fiscal, no ha existido ningún hecho declarado probado en las resoluciones judiciales que hubiera sido desconocido para el ahora recurrente y respecto del cual no hubiera podido articular su defensa.</w:t>
      </w:r>
    </w:p>
    <w:p w:rsidR="00A90898" w:rsidRDefault="00A90898" w:rsidP="00A90898">
      <w:pPr>
        <w:pStyle w:val="TextoNormal"/>
      </w:pPr>
    </w:p>
    <w:p w:rsidR="00A90898" w:rsidRDefault="00A90898" w:rsidP="00A90898">
      <w:pPr>
        <w:pStyle w:val="TextoNormal"/>
      </w:pPr>
      <w:r>
        <w:t>El Ministerio Fiscal, en escrito registrado el 20 de octubre de 2014, una vez visionada la grabación remitida de la vista oral expuso que “no desea realizar ninguna nueva alegación”.</w:t>
      </w:r>
    </w:p>
    <w:p w:rsidR="00A90898" w:rsidRDefault="00A90898" w:rsidP="00A90898">
      <w:pPr>
        <w:pStyle w:val="TextoNormal"/>
      </w:pPr>
    </w:p>
    <w:p w:rsidR="00A90898" w:rsidRDefault="00A90898" w:rsidP="00A90898">
      <w:pPr>
        <w:pStyle w:val="TextoNormal"/>
      </w:pPr>
      <w:r w:rsidRPr="00A90898">
        <w:rPr>
          <w:rStyle w:val="NumeroAFNegritaCaracter"/>
        </w:rPr>
        <w:t>8</w:t>
      </w:r>
      <w:r>
        <w:t>. El recurrente, en escrito registrado el 5 de noviembre de 2014, presentó sus alegaciones ratificándose en su escrito de demanda de amparo.</w:t>
      </w:r>
    </w:p>
    <w:p w:rsidR="00A90898" w:rsidRDefault="00A90898" w:rsidP="00A90898">
      <w:pPr>
        <w:pStyle w:val="TextoNormal"/>
      </w:pPr>
    </w:p>
    <w:p w:rsidR="00A90898" w:rsidRDefault="00A90898" w:rsidP="00A90898">
      <w:pPr>
        <w:pStyle w:val="TextoNormal"/>
      </w:pPr>
      <w:r w:rsidRPr="00A90898">
        <w:rPr>
          <w:rStyle w:val="NumeroAFNegritaCaracter"/>
        </w:rPr>
        <w:t>9</w:t>
      </w:r>
      <w:r>
        <w:t>. La parte comparecida, en escrito registrado el 18 de noviembre de 2014, presentó sus alegaciones solicitando que el recurso de amparo fuera inadmitido y, subsidiariamente, fuera desestimado, pidiendo “que le sean impuestas las costas y multa de 3.000 euros por abuso de derecho y mala fe procesal”.</w:t>
      </w:r>
    </w:p>
    <w:p w:rsidR="00A90898" w:rsidRDefault="00A90898" w:rsidP="00A90898">
      <w:pPr>
        <w:pStyle w:val="TextoNormal"/>
      </w:pPr>
    </w:p>
    <w:p w:rsidR="00A90898" w:rsidRDefault="00A90898" w:rsidP="00A90898">
      <w:pPr>
        <w:pStyle w:val="TextoNormal"/>
      </w:pPr>
      <w:r>
        <w:t xml:space="preserve">La parte comparecida alega, en primer lugar, que “se le causaba indefensión, al no habérsele dado por el Secretario de Justicia, una copia o testimonio, una vez numeradas todas las actuaciones procesales desarrolladas antes este Tribunal Constitucional, desde el 17-01-2013 al 11-07-2014, en la llamada fase de admisión”, por lo que interesa que una vez que se cumplimente pueda ampliar estas alegaciones. Del mismo modo, aduce la falta de motivación de la importancia del recurso de amparo para su admisión y el hecho de que haya </w:t>
      </w:r>
      <w:r>
        <w:lastRenderedPageBreak/>
        <w:t>sido admitido por un órgano no competente como era la Sala Primera y no su Sección Primera, no habiendo sido comunicada la designación de ponente.</w:t>
      </w:r>
    </w:p>
    <w:p w:rsidR="00A90898" w:rsidRDefault="00A90898" w:rsidP="00A90898">
      <w:pPr>
        <w:pStyle w:val="TextoNormal"/>
      </w:pPr>
    </w:p>
    <w:p w:rsidR="00A90898" w:rsidRDefault="00A90898" w:rsidP="00A90898">
      <w:pPr>
        <w:pStyle w:val="TextoNormal"/>
      </w:pPr>
      <w:r>
        <w:t>La parte comparecida alega que concurren las siguientes causas de inadmisión: (i) la extemporaneidad del recurso, ya que la aclaración solicitada del Auto resolutorio del incidente de nulidad de actuaciones fue una maniobra dilatoria artificiosa con evidente abuso de derecho, por lo que el cómputo de los 30 días para la interposición del recurso de amparo, que finalizaba el 17 de diciembre de 2012, ya había finalizado cuando se registró el presente recurso el 17 de enero de 2013; y (ii) la ausencia total de especial transcendencia constitucional y de su justificación, ya “que la ‘única causa que alega’ es tan genérica y está tan vacía de contenido concreto, que no admite discusión”, destacando que han sido inadmitidos otros asuntos sustancialmente iguales en que también se impugnaban condenas por delitos de prevaricación dolosa de Magistrados por el tribunal Supremo.</w:t>
      </w:r>
    </w:p>
    <w:p w:rsidR="00A90898" w:rsidRDefault="00A90898" w:rsidP="00A90898">
      <w:pPr>
        <w:pStyle w:val="TextoNormal"/>
      </w:pPr>
    </w:p>
    <w:p w:rsidR="00A90898" w:rsidRDefault="00A90898" w:rsidP="00A90898">
      <w:pPr>
        <w:pStyle w:val="TextoNormal"/>
      </w:pPr>
      <w:r>
        <w:t>La parte comparecida, en relación con los motivos de amparo alegados por el recurrente, argumenta que (i) no ha existido infracción del principio acusatorio, ya que la acusación dirigida contra el recurrente siempre lo fue por prevaricación judicial dolosa de la que pudo defenderse tanto en la instancia como en la casación; (ii) tuvo la oportunidad de ser oído en la vista de casación, ya que tal como se señala en el hecho probado séptimo de la resolución de casación asistió a la vista de ese recurso ocupando lugar en el estrado junto a su abogado defensor con el que comunico y en algún momento expuso su opinión sobre el contenido de su defensa y de los recursos planteados; (iii) la inexistencia de cita concreta del art. 446.3 CP en el motivo de casación primero no impedía que se dedujera con toda claridad de su desarrollo que la pretensión era la condena por un delito de prevaricación dolosa.</w:t>
      </w:r>
    </w:p>
    <w:p w:rsidR="00A90898" w:rsidRDefault="00A90898" w:rsidP="00A90898">
      <w:pPr>
        <w:pStyle w:val="TextoNormal"/>
      </w:pPr>
    </w:p>
    <w:p w:rsidR="00A90898" w:rsidRDefault="00A90898" w:rsidP="00A90898">
      <w:pPr>
        <w:pStyle w:val="TextoNormal"/>
      </w:pPr>
      <w:r w:rsidRPr="00A90898">
        <w:rPr>
          <w:rStyle w:val="NumeroAFNegritaCaracter"/>
        </w:rPr>
        <w:t>10</w:t>
      </w:r>
      <w:r>
        <w:t>. El recurrente, mediante escrito registrado el 17 de junio de 2015, solicitó que se tuviera por designado para la defensa letrada en este procedimiento al Letrado don Fernando Rodríguez Galisteo en sustitución de su compañero don Miguel García-Diéguez López.</w:t>
      </w:r>
    </w:p>
    <w:p w:rsidR="00A90898" w:rsidRDefault="00A90898" w:rsidP="00A90898">
      <w:pPr>
        <w:pStyle w:val="TextoNormal"/>
      </w:pPr>
    </w:p>
    <w:p w:rsidR="00A90898" w:rsidRDefault="00A90898" w:rsidP="00A90898">
      <w:pPr>
        <w:pStyle w:val="TextoNormal"/>
      </w:pPr>
      <w:r w:rsidRPr="00A90898">
        <w:rPr>
          <w:rStyle w:val="NumeroAFNegritaCaracter"/>
        </w:rPr>
        <w:t>11</w:t>
      </w:r>
      <w:r>
        <w:t>. El recurrente, mediante escrito registrado el 16 de marzo de 2016, solicitó que se suspendiera la condena, lo que fue denegado por auto de 9 de mayo de 2016.</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13 de octubre de 2016, se señaló para la deliberación y votación de la presente Sentencia el día 17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objeto de este recurso de amparo es analizar si las resoluciones judiciales impugnadas han vulnerado (i) los derechos fundamentales a la tutela judicial efectiva (art. 24.1 CE), a un proceso con todas las garantías (art. 24.2 CE), con especial referencia al principio de contradicción y a la igualdad en aplicación de la ley (art. 14 CE), por haber suplido el órgano judicial de casación omisiones y errores eventualmente contenidos en el recurso de casación de la acusación particular; (ii) los derechos a la tutela judicial efectiva sin indefensión (art. 24.1 CE), a un proceso con todas las garantías (art. 24.2 CE), con infracción de los principios de contradicción, inmediación y oralidad, y el derecho a la defensa (art. 24.2 CE), por haber sido condenado en segunda instancia por un delito del que había sido absuelto en </w:t>
      </w:r>
      <w:r>
        <w:lastRenderedPageBreak/>
        <w:t>la primera, haciendo una valoración de pruebas personales que no fueron practicadas con la debida inmediación y sin haber sido oído; (iii) los derechos a la presunción de inocencia (art. 24.2 CE) y a la tutela judicial efectiva sin indefensión (art. 24.1 CE), con vulneración del principio de invariabilidad, intangibilidad, e inmodificabilidad de las sentencias firmes, con especial referencia al principio de legalidad, y a la infracción del art. 120.3 CE sobre el deber de motivar las sentencias, por haberse condenado en virtud del supuesto carácter injusto de una resolución judicial cuya legalidad fue confirmada en apelación por el órgano judicialmente competente para ello; y (iv) el derecho a ser informado de la acusación (art. 24.2 CE), por haber sido condenado en la primera instancia por un delito del que no fue acusado objeto de acusación y que no resultaba homogéneo.</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entrar al fondo de estas invocaciones resulta preciso resolver algunas cuestiones previas vinculadas con la tramitación de este procedimiento y las causas de inadmisión planteadas por la parte comparecida en su escrito de alegaciones.</w:t>
      </w:r>
    </w:p>
    <w:p w:rsidR="00A90898" w:rsidRDefault="00A90898" w:rsidP="00A90898">
      <w:pPr>
        <w:pStyle w:val="TextoNormal"/>
      </w:pPr>
    </w:p>
    <w:p w:rsidR="00A90898" w:rsidRDefault="00A90898" w:rsidP="00A90898">
      <w:pPr>
        <w:pStyle w:val="TextoNormal"/>
      </w:pPr>
      <w:r>
        <w:t>Respecto de las cuestiones previas vinculadas con la tramitación de este procedimiento, es de señalar que, tal como se ha expuesto en los antecedentes, por diligencia de ordenación de 1 de julio de 2014 se tuvo por personada a la parte comparecida y, de conformidad con el art. 52 de la Ley Orgánica del Tribunal Constitucional (LOTC), se le dio vista de todas las actuaciones del presente recurso de amparo en la Secretaría de esta Sala, por un plazo común de veinte días con el resto de partes del procedimiento para que pudiera presentar las alegaciones que a su derecho conviniera. Con posterioridad a ello, mediante diligencia de ordenación de 7 de octubre de 2014, se dio traslado a todas las partes personadas de copia íntegra de todas las actuaciones practicadas en la vía judicial previa, incluyendo los soportes audiovisuales de la vista oral en la primera instancia, dándose un nuevo plazo común de veinte días para presentar alegaciones. El haber tenido acceso íntegro a las actuaciones de la vía judicial, mediante entrega de copia testimoniada, y a lo actuado en el presente procedimiento, bien mediante entrega física y, en todo caso, con exhibición en la Secretaría de la Sala, descarta cualquier tipo de indefensión alegada por la parte comparecida.</w:t>
      </w:r>
    </w:p>
    <w:p w:rsidR="00A90898" w:rsidRDefault="00A90898" w:rsidP="00A90898">
      <w:pPr>
        <w:pStyle w:val="TextoNormal"/>
      </w:pPr>
    </w:p>
    <w:p w:rsidR="00A90898" w:rsidRDefault="00A90898" w:rsidP="00A90898">
      <w:pPr>
        <w:pStyle w:val="TextoNormal"/>
      </w:pPr>
      <w:r>
        <w:t xml:space="preserve">Por otro lado, en relación con la aducida falta de motivación de la importancia del recurso de amparo para su admisión y el hecho de que haya sido admitido por un órgano no competente como era la Sala Primera y no su Sección Primera, no habiendo sido comunicada la designación de ponente, hay que poner de manifiesto que (i) el art. 50 LOTC establece que la decisión sobre la admisión a trámite de un recurso de amparo se adoptará mediante providencia, que, por su propia naturaleza es una decisión inmotivada, lo que no impide que de oficio o a instancia de parte, como ahora sucede, puedan analizarse eventuales causas de inadmisión en sentencia (así, STC 24/2016, de 15 de febrero, FJ único); (ii) el artículo 8.1, en relación con el art. 50 LOTC, establece que la competencia para decidir sobre la admisibilidad de un recurso de amparo corresponde, con carácter general, a las Secciones, si bien el art. 11.2 LOTC establece la posibilidad de que la Sala recabe para sí esa decisión, que es lo que ha sucedido en este caso, tal como se hizo expreso en la providencia de admisión de 22 de mayo de 2014; y (iii) el art. 8.1 LOTC establece una regulación autónoma para la jurisdicción constitucional, que no forma parte del Poder Judicial, sobre competencia para el despacho ordinario, decisiones y propuestas en los procedimientos constitucionales, estableciendo su carácter colegiado, por lo que no cabe hacer una aplicación supletoria de la </w:t>
      </w:r>
      <w:r>
        <w:lastRenderedPageBreak/>
        <w:t>designación y funciones otorgadas al Magistrado Ponente en los órganos judiciales colegiados en la Ley Orgánica del Poder Judicial, tal como pretende la parte comparecida (ATC 95/2014, de 7 de abril).</w:t>
      </w:r>
    </w:p>
    <w:p w:rsidR="00A90898" w:rsidRDefault="00A90898" w:rsidP="00A90898">
      <w:pPr>
        <w:pStyle w:val="TextoNormal"/>
      </w:pPr>
    </w:p>
    <w:p w:rsidR="00A90898" w:rsidRDefault="00A90898" w:rsidP="00A90898">
      <w:pPr>
        <w:pStyle w:val="TextoNormal"/>
      </w:pPr>
      <w:r>
        <w:t>Las causas de inadmisión alegadas por la parte comparecida deben de ser rechazadas. La demanda no es extemporánea toda vez que la solicitud de aclaración instada por el ahora demandante de amparo era perfectamente procedente para el cumplimiento de la finalidad de corrección del error material pretendido en que había incurrido el Auto de 30 de octubre de 2012, como lo demuestra el hecho de que dicho Auto fue efectivamente rectificado mediante el Auto de aclaración de 20 de noviembre de 2013. Esa solicitud de aclaración ningún efecto reparador podría tener respecto de las diferente invocaciones realizadas en el amparo, pero la exigencia de interposición en el plazo de 30 días “a partir de la notificación de la resolución recaída en el proceso judicial”, que se establece en el art. 44.2 LOTC, no se refiere a la última resolución judicial que otorgue la posibilidad de reparar el eventual derecho fundamental que se considere vulnerado, sino que lo es respecto de la resolución que pone fin a la vía judicial previa, que en el presente caso es el Auto que efectivamente rectifica dicho error material y que viene a formar parte de la resolución misma. Por tanto, conforme a jurisprudencia constitucional reiterada (así, STC 161/2007, de 2 de julio, FJ 3), en la medida en que la solicitud de aclaración no era un recurso manifiestamente improcedente para el cumplimiento en el caso concreto de la finalidad que tiene encomendada, no cabe apreciar la extemporaneidad de la demanda alegada por la parte comparecida.</w:t>
      </w:r>
    </w:p>
    <w:p w:rsidR="00A90898" w:rsidRDefault="00A90898" w:rsidP="00A90898">
      <w:pPr>
        <w:pStyle w:val="TextoNormal"/>
      </w:pPr>
    </w:p>
    <w:p w:rsidR="00A90898" w:rsidRDefault="00A90898" w:rsidP="00A90898">
      <w:pPr>
        <w:pStyle w:val="TextoNormal"/>
      </w:pPr>
      <w:r>
        <w:t>Tampoco cabe apreciar, en el plano formal, la aducida falta de justificación de la especial trascendencia constitucional, ya que, tal como reconoce la propia parte comparecida y ha sido expuesto con más detenimiento en los antecedentes, la demanda razona específicamente sobre la especial trascendencia constitucional del recurso, citando expresamente la STC 155/2009, de 25 de junio, invocando la manifiesta negativa del deber de acatamiento de la doctrina constitucional por parte de los dos Tribunales que han dictado las resoluciones objeto de impugnación y concretando respecto de cada uno de los motivos de amparo la jurisprudencia constitucional que se afirma no ha sido objeto de acatamiento. Por tanto, con independencia de la valoración que las alegaciones recogidas en la demanda puedan merecer, cabe apreciar un esfuerzo argumental de la parte recurrente destinado a cumplir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establecidos en la jurisprudencia constitucional (así, STC 89/2016, de 9 de mayo, FJ 2).</w:t>
      </w:r>
    </w:p>
    <w:p w:rsidR="00A90898" w:rsidRDefault="00A90898" w:rsidP="00A90898">
      <w:pPr>
        <w:pStyle w:val="TextoNormal"/>
      </w:pPr>
    </w:p>
    <w:p w:rsidR="00A90898" w:rsidRDefault="00A90898" w:rsidP="00A90898">
      <w:pPr>
        <w:pStyle w:val="TextoNormal"/>
      </w:pPr>
      <w:r>
        <w:t>Por último, en relación con el requisito de la especial trascendencia constitucional en su aspecto sustantivo, la jurisprudencia constitucional ha reiterado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(así, SSTC 54/2015, de 16 de marzo, FJ 4, y 89/2016, de 9 de mayo, FJ 2). En el presente caso, el Tribunal aprecia que el recurso plantea la causa de especial trascendencia constitucional concreta</w:t>
      </w:r>
      <w:r>
        <w:lastRenderedPageBreak/>
        <w:t xml:space="preserve">mente alegada por el recurrente consistente en la manifiesta negativa del deber de acatamiento de la doctrina constitucional por parte de la Sala de lo Penal del Tribunal Supremo en relación con las condenas o agravaciones de penas en segunda instancia, que resulta corroborada por los numerosos pronunciamientos tanto de este Tribunal como del Tribunal Europeo de Derechos Humanos sobre el particular. Esta precisión sobre la especial trascendencia constitucional se formula, además, “en salvaguarda del principio de seguridad jurídica que, conforme a la Sentencia del Tribunal Europeo de Derechos Humanos de 20 de enero de 2015, dictada en el asunto </w:t>
      </w:r>
      <w:r w:rsidRPr="00A90898">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A90898" w:rsidRDefault="00A90898" w:rsidP="00A90898">
      <w:pPr>
        <w:pStyle w:val="TextoNormal"/>
      </w:pPr>
    </w:p>
    <w:p w:rsidR="00A90898" w:rsidRDefault="00A90898" w:rsidP="00A90898">
      <w:pPr>
        <w:pStyle w:val="TextoNormal"/>
      </w:pPr>
      <w:r w:rsidRPr="00A90898">
        <w:rPr>
          <w:rStyle w:val="NumeroAFNegritaCaracter"/>
        </w:rPr>
        <w:t>3</w:t>
      </w:r>
      <w:r>
        <w:t>. El primer motivo de amparo se dirige exclusivamente contra la resolución de casación. El demandante de amparo alega la vulneración de sus “derechos fundamentales a la tutela judicial efectiva (art. 24.1 CE), a un proceso con todas las garantías (art. 24.2 CE), con especial referencia al principio de contradicción y a la igualdad en aplicación de la ley (art. 14 CE), al haber suplido la sala sentenciadora las omisiones y errores contenidos en el recurso de casación de la acusación particular, causando efectiva indefensión (art. 24.1 CE)”. El recurrente argumenta que el motivo casacional que fue finalmente estimado por la Sentencia de casación, y que llevó a su condena en la segunda instancia por un delito de prevaricación judicial doloso, adolecía del defecto consistente en no citar ni basar la impugnación por el cauce concreto del art. 849.1 de la Ley de enjuiciamiento criminal (LECrim) en una norma penal de carácter sustantivo. Además contenía un escaso desarrollo, ya que solo se citan como preceptos penales sustantivos infringidos los art. 158.4 del Código civil (CC) y 87.3 de la Ley Orgánica del Poder Judicial (LOPJ) para fundamentar que debía considerarse probado que al conocer el acusado la existencia del Auto del Juzgado de Violencia sobre la Mujer núm. 4 de Sevilla tenía forzosamente que conocer que la competencia de dicho Juzgado era exclusiva y excluyente. Igualmente considera que la fundamentación de este motivo de casación fue reinterpretado por el órgano judicial con una argumentación que no guarda correlación alguna con el motivo del recurso tal como fue desarrollado por la acusación particular y que, con ese proceder, se causó una absoluta indefensión, ya que finalmente se condena en virtud de argumentaciones desconocidas frente a las que la acusación no puede alegar, vulnerándose el principio de contradicción.</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La primera queja de la demanda de amparo se formula por vulneración del derecho fundamental a la tutela judicial efectiva (art. 24.1 CE), al haber estimado la Sentencia impugnada el primer motivo de casación de la acusación particular, sin cumplirse para ello con los presupuestos formales exigibles. Así planteado, la vertiente del art. 24.1 CE que aparece concernida es la del derecho al recurso. La jurisprudencia constitucional ha afirmado en relación con la interpretación y aplicación de los requisitos procesales para acceder al sistema de recursos legalmente establecidos que la decisión sobre el cumplimiento de estos requisitos y la comprobación en cada caso de la concurrencia de las exigencias materiales y formales para la admisión o inadmisión del recurso es competencia jurisdiccional atribuida, exclusivamente, a los órganos judiciales por el art. 117.3 de la Constitución, por lo que el control constitucional que el Tribunal debe realizar de las resoluciones judiciales dictadas sobre los presupuestos o requisitos de admisión de los recursos tiene carácter externo, pues no le corresponde revisar la aplicación judicial de las normas sobre admisión de recursos, </w:t>
      </w:r>
      <w:r>
        <w:lastRenderedPageBreak/>
        <w:t>salvo en los casos de inadmisión cuando esta se declara con base en una causa legalmente inexistente o mediante un “juicio arbitrario, irrazonable o fundado en error fáctico patente”, en cuyos supuestos se produce la vulneración del derecho (así, SSTC 55/2008, de14 de abril, FJ 2, y 42/2009, de 9 de febrero, FJ 3).</w:t>
      </w:r>
    </w:p>
    <w:p w:rsidR="00A90898" w:rsidRDefault="00A90898" w:rsidP="00A90898">
      <w:pPr>
        <w:pStyle w:val="TextoNormal"/>
      </w:pPr>
    </w:p>
    <w:p w:rsidR="00A90898" w:rsidRDefault="00A90898" w:rsidP="00A90898">
      <w:pPr>
        <w:pStyle w:val="TextoNormal"/>
      </w:pPr>
      <w:r>
        <w:t>Igualmente, constituye doctrina reiterada de este Tribunal (a partir de las SSTC 116/1986, de 8 de octubre, FJ 3, y 187/1989, de 13 de noviembre, FJ 2), la de reconocer también como modalidad de vulneración del derecho al recurso (art. 24.1 CE), no solamente su inadmisión indebida sino también el acordar su admisión cuando la misma no resultaba procedente. Razones fundadas en el principio de legalidad procesal (por ejemplo, STC 293/1994, de 27 de octubre, FJ 2), o en la bilateralidad del proceso (STC 118/2006, de 24 de abril, FJ 2) determinan, en palabras de la STC 285/2006, de 9 de octubre, FJ 5, “que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 (SSTC 116/1986, de 8 de octubre, FJ 3, y 187/1989, de 13 de noviembre, FJ 2)”. Más recientemente, STC 149/2015, de 6 de julio, FJ 3.</w:t>
      </w:r>
    </w:p>
    <w:p w:rsidR="00A90898" w:rsidRDefault="00A90898" w:rsidP="00A90898">
      <w:pPr>
        <w:pStyle w:val="TextoNormal"/>
      </w:pPr>
    </w:p>
    <w:p w:rsidR="00A90898" w:rsidRDefault="00A90898" w:rsidP="00A90898">
      <w:pPr>
        <w:pStyle w:val="TextoNormal"/>
      </w:pPr>
      <w:r w:rsidRPr="00A90898">
        <w:rPr>
          <w:rStyle w:val="NumeroAFNegritaCaracter"/>
        </w:rPr>
        <w:t>5</w:t>
      </w:r>
      <w:r>
        <w:t>. En atención a lo expuesto debe concluirse que se ha producido una vulneración del derecho del recurrente a la tutela judicial efectiva (art. 24.1 CE), desde la perspectiva del derecho al recurso, por no haberse inadmitido, y en todo caso por haberse estimado en Sentencia, el primer motivo de casación interpuesto por la acusación particular.</w:t>
      </w:r>
    </w:p>
    <w:p w:rsidR="00A90898" w:rsidRDefault="00A90898" w:rsidP="00A90898">
      <w:pPr>
        <w:pStyle w:val="TextoNormal"/>
      </w:pPr>
    </w:p>
    <w:p w:rsidR="00A90898" w:rsidRDefault="00A90898" w:rsidP="00A90898">
      <w:pPr>
        <w:pStyle w:val="TextoNormal"/>
      </w:pPr>
      <w:r>
        <w:t xml:space="preserve">En efecto, en el presente caso, tal como ha sido expuesto más ampliamente en los antecedentes, ha quedado acreditado que (i) la acusación particular formuló recurso de casación alegando como primer motivo la infracción de ley del art. 849.1 LECrim, por considerar que se ha infringido precepto penal sustantivo y normas jurídicas de igual carácter, como serían el art. 158.4 CC y el art. 87 </w:t>
      </w:r>
      <w:r w:rsidRPr="00A90898">
        <w:rPr>
          <w:i/>
        </w:rPr>
        <w:t>ter</w:t>
      </w:r>
      <w:r>
        <w:t>.3 LOPJ; (ii) la Sentencia de casación, en relación con este concreto motivo, argumentó que si bien la impugnación no es del todo precisa, ya que se designa como precepto penal sustantivo uno del Código civil y una norma de la Ley Orgánica del Poder Judicial atributiva de las competencias de los juzgados de violencia contra la mujer, eso “no supone que no podamos analizar la impugnación y darle el contenido preciso que resulta de la argumentación del motivo en lo que refiere el error en la aplicación de los preceptos que designa. Entiende, y es el fundamento de su queja, que se debió de calificar de dolosa la prevaricación que el tribunal de instancia ha declarado imprudente y si no lo ha hecho, afirma en el recurso, ha sido por una defectuosa interpretación de los artículos del Código civil y de la Ley Orgánica del Poder Judicial que designa. Consecuentemente, su razón de recurrir es clara y así ha sido entendido por la defensa” (fundamento de Derecho primero); y (iii) el Auto resolutorio del incidente de nulidad planteado por el recurrente, en que denunció la vulneración del art. 24.1 CE por no haberse inadmitido este concreto motivo de recurso, argumentó que “tanto del escrito de la impugnación, que el ahora recurrente impugnó, como en la vista del recurso, igualmente impugnado por la defensa del imputado, resulta claramente la pretensión de revisión que formaliza la acusación particular”.</w:t>
      </w:r>
    </w:p>
    <w:p w:rsidR="00A90898" w:rsidRDefault="00A90898" w:rsidP="00A90898">
      <w:pPr>
        <w:pStyle w:val="TextoNormal"/>
      </w:pPr>
    </w:p>
    <w:p w:rsidR="00A90898" w:rsidRDefault="00A90898" w:rsidP="00A90898">
      <w:pPr>
        <w:pStyle w:val="TextoNormal"/>
      </w:pPr>
      <w:r>
        <w:lastRenderedPageBreak/>
        <w:t>Pues bien, la decisión de la Sala de lo Penal del Tribunal Supremo de no inadmitir a trámite este concreto motivo de casación, y luego a la postre la de estimarlo, ha vulnerado el derecho al recurso del recurrente, ya que:</w:t>
      </w:r>
    </w:p>
    <w:p w:rsidR="00A90898" w:rsidRDefault="00A90898" w:rsidP="00A90898">
      <w:pPr>
        <w:pStyle w:val="TextoNormal"/>
      </w:pPr>
    </w:p>
    <w:p w:rsidR="00A90898" w:rsidRDefault="00A90898" w:rsidP="00A90898">
      <w:pPr>
        <w:pStyle w:val="TextoNormal"/>
      </w:pPr>
      <w:r>
        <w:t>(i) el argumento utilizado por el Tribunal Supremo de considerar preponderante la voluntad impugnativa del recurrente, frente a la defectuosa formalización del motivo –la cual como tal, no se niega–, no se compadece con el carácter extraordinario del recurso de casación, tasado y estricto en sus presupuestos, también en el orden penal, como se desprende de la ley (arts. 847, 848, 884 y 885 LECrim), y de la jurisprudencia de la Sala en cuanto a la procedencia de las distintas vías de acceso al mismo. Carácter tasado que, en todos los recursos interpuestos y también en éste, generaba la confianza legítima en la parte recurrida (el ahora demandante de amparo) de que tal motivo primero de la acusación particular, aunque admitido, no resultaría estimado en Sentencia por no haberse planteado adecuadamente.</w:t>
      </w:r>
    </w:p>
    <w:p w:rsidR="00A90898" w:rsidRDefault="00A90898" w:rsidP="00A90898">
      <w:pPr>
        <w:pStyle w:val="TextoNormal"/>
      </w:pPr>
    </w:p>
    <w:p w:rsidR="00A90898" w:rsidRDefault="00A90898" w:rsidP="00A90898">
      <w:pPr>
        <w:pStyle w:val="TextoNormal"/>
      </w:pPr>
      <w:r>
        <w:t>(ii) el concreto motivo de casación alegado por la acusación particular, bajo la cobertura de alegarse como infringidos los arts. 158 CC y 87.</w:t>
      </w:r>
      <w:r w:rsidRPr="00A90898">
        <w:rPr>
          <w:i/>
        </w:rPr>
        <w:t>ter</w:t>
      </w:r>
      <w:r>
        <w:t>.3 LOPJ, en sí mismos inconducentes a los efectos pretendidos por dicha parte, se dedica a afirmar que el acusado era conocedor de la ilegalidad de su falta de competencia al adoptar la medida cautelar sobre el menor, a espaldas del Juzgado de Violencia que había establecido las medidas familiares, sustentando en ello el cambio del elemento subjetivo del tipo. Pero sin invocar como infringido el art. 446 del Código penal (CP), que es el precepto penal donde se contempla la prevaricación dolosa y la que viene a apreciar la sentencia impugnada, cambiando de paso la base fáctica de la instancia. La Sala de lo Penal del Tribunal Supremo, aceptando este planteamiento, emite una respuesta estimatoria dando sus razones para considerarlo correcto, cuando en su lugar debió ser objeto de inadmisión en el trámite procesal oportuno, o bien, se insiste, ya en fase de Sentencia, rechazarlo por falta del presupuesto necesario para su formalización.</w:t>
      </w:r>
    </w:p>
    <w:p w:rsidR="00A90898" w:rsidRDefault="00A90898" w:rsidP="00A90898">
      <w:pPr>
        <w:pStyle w:val="TextoNormal"/>
      </w:pPr>
    </w:p>
    <w:p w:rsidR="00A90898" w:rsidRDefault="00A90898" w:rsidP="00A90898">
      <w:pPr>
        <w:pStyle w:val="TextoNormal"/>
      </w:pPr>
      <w:r>
        <w:t>En definitiva, no es que la Sentencia del Tribunal Supremo que se impugna no tenga motivación (que desde luego la tiene), ni quizá tampoco que haya indefensión (el acusado recurrente en amparo pudo oponerse al motivo y conoció lo que con él pretendía la parte acusadora, en lo que hace a atribuirle intención en su actuar), pero hay un exceso de jurisdicción (el motivo no debió ser admitido, tal como se planteaba, y menos todavía estimarlo), en cuanto al respeto a los presupuestos legales del recurso de casación, que deviene lesivo del derecho al recurso de la parte recurrida (art. 24.1 CE), en los términos que nuestra doctrina ha reconocido, expuestos en el anterior fundamento jurídico.</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El demandante de amparo aduce como segundo motivo de amparo, estrechamente vinculado con el anterior, que la sentencia de casación también ha vulnerado “los derechos fundamentales a la tutela judicial efectiva sin indefensión (art. 24.1 CE), a un proceso con todas las garantías (art. 24.2 CE), con infracción de los principios de contradicción, inmediación y oralidad, y el derecho a la defensa al haberse condenado … por un delito del que había sido absuelto en primera instancia sin haber sido oído por el tribunal de casación, llevándose a cabo por este una reinterpretación de las pruebas personales practicadas en el juicio oral”. Se argumenta que la condena en segunda instancia lo ha sido por un delito de prevaricación dolosa del que ya había sido absuelto en la primera alterando la declaración de hechos probados, que revalora en su fundamentación jurídica, sin que se hubieran practicado con la debida inmediación las pruebas personales de la que deriva ese relato de hechos probados; y agravando la calificación de delito de prevaricación judicial imprudente, </w:t>
      </w:r>
      <w:r>
        <w:lastRenderedPageBreak/>
        <w:t>por la que había sido condenado en la instancia, apreciando la concurrencia de un elemento subjetivo del injusto como es el carácter doloso de la conducta sin haber tenido el ahora demandante de amparo la oportunidad de ser oído, ya que su citación y presencia en estrados en la vista de casación no le permitió tomar la iniciativa respecto de ser oído, ni hacer alegaciones en pos de su defensa, al no aparecer dicha posibilidad prevista en el guion de la vista.</w:t>
      </w:r>
    </w:p>
    <w:p w:rsidR="00A90898" w:rsidRDefault="00A90898" w:rsidP="00A90898">
      <w:pPr>
        <w:pStyle w:val="TextoNormal"/>
      </w:pPr>
    </w:p>
    <w:p w:rsidR="00A90898" w:rsidRDefault="00A90898" w:rsidP="00A90898">
      <w:pPr>
        <w:pStyle w:val="TextoNormal"/>
      </w:pPr>
      <w:r>
        <w:t>En atención al planteamiento del demandante de amparo son dos las cuestiones que deben de abordarse: (i) si ha existido una vulneración de las garantías procesales por haberse apreciado en casación la concurrencia de un elemento subjetivo del tipo —el carácter doloso de la conducta de prevaricación judicial— en discrepancia con el apreciado en la instancia —el carácter culposo o imprudente de la conducta de prevaricación judicial— sin haberse tenido la posibilidad real de haber sido oído por el órgano judicial de casación; y, (ii) en su caso, si la actuación desarrollada por el demandante de amparo en la vista oral producida ante el Tribunal Supremo resultaba suficiente a los efectos de colmar la exigencia de audiencia.</w:t>
      </w:r>
    </w:p>
    <w:p w:rsidR="00A90898" w:rsidRDefault="00A90898" w:rsidP="00A90898">
      <w:pPr>
        <w:pStyle w:val="TextoNormal"/>
      </w:pPr>
    </w:p>
    <w:p w:rsidR="00A90898" w:rsidRDefault="00A90898" w:rsidP="00A90898">
      <w:pPr>
        <w:pStyle w:val="TextoNormal"/>
      </w:pPr>
      <w:r w:rsidRPr="00A90898">
        <w:rPr>
          <w:rStyle w:val="NumeroAFNegritaCaracter"/>
        </w:rPr>
        <w:t>7</w:t>
      </w:r>
      <w:r>
        <w:t>. El Tribunal tiene establecida una consolidada jurisprudencia sobre las exigencias que debe reunir una condena penal o su agravación en la segunda instancia para ser conforme con el derecho a un proceso con todas las garantías (art. 24.2 CE). Esta doctrina tiene su origen en la STC 167/2002, de 18 de septiembre (FFJJ 9 a 11), y se completa y reitera en numerosas resoluciones posteriores (entre las últimas, SSTC 88/2013, de 11 de abril, FFJJ 7 a 9; 205/2013, de 5 de diciembre, FJ 7; 105/2014, de 23 de junio, FFJJ 2 a 4; 191/2014, de 17 de noviembre, FFJJ 3 a 5, o 105/2016, de 6 de junio, FJ 5).</w:t>
      </w:r>
    </w:p>
    <w:p w:rsidR="00A90898" w:rsidRDefault="00A90898" w:rsidP="00A90898">
      <w:pPr>
        <w:pStyle w:val="TextoNormal"/>
      </w:pPr>
    </w:p>
    <w:p w:rsidR="00A90898" w:rsidRDefault="00A90898" w:rsidP="00A90898">
      <w:pPr>
        <w:pStyle w:val="TextoNormal"/>
      </w:pPr>
      <w:r>
        <w:t>El Pleno del Tribunal en la STC 88/2013, de 11 de abril, FFJJ 7 a 9, efectuó un extenso resumen de dicha doctrina y de su evolución a la luz de la jurisprudencia del Tribunal Europeo de Derechos Humanos, concluyendo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(FJ 9), lo que ha sido reiterado en las SSTC 157/2013, de 23 de septiembre, FJ 5; o 205/2013, de 5 de diciembre, FJ 7. La consecuencia de ello, como destaca la citada STC 88/2013, FJ 9, es que la audiencia del acusado se configura con un doble propósito: de un lado, atender al carácter de prueba personal del testimonio del acusado, que exige de inmediación para ser valorada, y, de otro, garantizar el derecho a dirigirse y ser oído personalmente por el órgano judicial que va a decidir sobre su culpabilidad. Esta evolución de la doctrina constitucional reduce la posibilidad de condenar o agravar la condena sin vista a los supuestos en que el debate planteado en segunda instancia versa sobre estrictas cuestiones jurídicas, pues dicha audiencia ninguna incidencia podría tener en la decisión que pudiera adoptarse y la posición de la parte puede entenderse debidamente garantizada por la presencia de su abogado (STC 88/2013, FJ 8).</w:t>
      </w:r>
    </w:p>
    <w:p w:rsidR="00A90898" w:rsidRDefault="00A90898" w:rsidP="00A90898">
      <w:pPr>
        <w:pStyle w:val="TextoNormal"/>
      </w:pPr>
    </w:p>
    <w:p w:rsidR="00A90898" w:rsidRDefault="00A90898" w:rsidP="00A90898">
      <w:pPr>
        <w:pStyle w:val="TextoNormal"/>
      </w:pPr>
      <w:r>
        <w:lastRenderedPageBreak/>
        <w:t xml:space="preserve">Al respecto, y de nuevo en los términos de lo afirmado por el Pleno del Tribunal en la STC 88/2013, se ha subrayado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A90898">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(FJ 8 citando la STC 126/2012, de 18 de junio, FJ 4). Este segundo criterio, reiterado en las SSTC 157/2013, de 23 de septiembre, FJ 7; y 205/2013, de 5 de diciembre, FJ 5; traduce la consideración del Tribunal Europeo de Derechos Humanos de que, con carácter general, la revisión de los elementos subjetivos del delito es una cuestión de hecho y no una cuestión de calificación jurídica y, por ello, precisa la audiencia del acusado (SSTEDH de 10 de marzo de 2009, caso </w:t>
      </w:r>
      <w:r w:rsidRPr="00A90898">
        <w:rPr>
          <w:i/>
        </w:rPr>
        <w:t>Igual Coll c. España</w:t>
      </w:r>
      <w:r>
        <w:t xml:space="preserve">; 22 de noviembre de 2011, caso </w:t>
      </w:r>
      <w:r w:rsidRPr="00A90898">
        <w:rPr>
          <w:i/>
        </w:rPr>
        <w:t>Lacadena Calero c. España</w:t>
      </w:r>
      <w:r>
        <w:t xml:space="preserve">; 13 de diciembre de 2011, caso </w:t>
      </w:r>
      <w:r w:rsidRPr="00A90898">
        <w:rPr>
          <w:i/>
        </w:rPr>
        <w:t>Valbuena Redondo c. España</w:t>
      </w:r>
      <w:r>
        <w:t xml:space="preserve">; 20 marzo 2012, caso </w:t>
      </w:r>
      <w:r w:rsidRPr="00A90898">
        <w:rPr>
          <w:i/>
        </w:rPr>
        <w:t>Serrano Contreras c. España</w:t>
      </w:r>
      <w:r>
        <w:t xml:space="preserve">; 27 de noviembre de 2012, caso </w:t>
      </w:r>
      <w:r w:rsidRPr="00A90898">
        <w:rPr>
          <w:i/>
        </w:rPr>
        <w:t>Vilanova Goterris c. España</w:t>
      </w:r>
      <w:r>
        <w:t xml:space="preserve">; 8 de octubre de 2013, caso </w:t>
      </w:r>
      <w:r w:rsidRPr="00A90898">
        <w:rPr>
          <w:i/>
        </w:rPr>
        <w:t>Nieto Macero c. España</w:t>
      </w:r>
      <w:r>
        <w:t xml:space="preserve">; 8 de octubre de 2013, caso </w:t>
      </w:r>
      <w:r w:rsidRPr="00A90898">
        <w:rPr>
          <w:i/>
        </w:rPr>
        <w:t>Román Zurdo c. España</w:t>
      </w:r>
      <w:r>
        <w:t xml:space="preserve">; 12 de noviembre de 2013, caso </w:t>
      </w:r>
      <w:r w:rsidRPr="00A90898">
        <w:rPr>
          <w:i/>
        </w:rPr>
        <w:t>Sainz Casla c. España</w:t>
      </w:r>
      <w:r>
        <w:t xml:space="preserve">; 8 de marzo de 2016, caso </w:t>
      </w:r>
      <w:r w:rsidRPr="00A90898">
        <w:rPr>
          <w:i/>
        </w:rPr>
        <w:t>Porcel Terribas y otros c España</w:t>
      </w:r>
      <w:r>
        <w:t xml:space="preserve">; o 29 de marzo de 2016, caso </w:t>
      </w:r>
      <w:r w:rsidRPr="00A90898">
        <w:rPr>
          <w:i/>
        </w:rPr>
        <w:t>Gómez Olmeda c. España</w:t>
      </w:r>
      <w:r>
        <w:t>).</w:t>
      </w:r>
    </w:p>
    <w:p w:rsidR="00A90898" w:rsidRDefault="00A90898" w:rsidP="00A90898">
      <w:pPr>
        <w:pStyle w:val="TextoNormal"/>
      </w:pPr>
    </w:p>
    <w:p w:rsidR="00A90898" w:rsidRDefault="00A90898" w:rsidP="00A90898">
      <w:pPr>
        <w:pStyle w:val="TextoNormal"/>
      </w:pPr>
      <w:r w:rsidRPr="00A90898">
        <w:rPr>
          <w:rStyle w:val="NumeroAFNegritaCaracter"/>
        </w:rPr>
        <w:t>8</w:t>
      </w:r>
      <w:r>
        <w:t>. En aplicación de esta doctrina debe concluirse que se ha vulnerado el derecho a un proceso con todas las garantías del recurrente, toda vez que ha quedado acreditado que (i) la cuestión controvertida en la segunda instancia versaba sobre el carácter imprudente —sostenido por las resolución de instancia— o doloso —que era lo que pretendía la acusación particular— de la conducta prevaricadora del recurrente, por lo que afectaba a la concurrencia de un elemento subjetivo del delito que forma parte, a estos efectos, de la vertiente fáctica del juicio que corresponde efectuar a los órganos judiciales; y (ii) que si bien el recurrente estuvo presente en la vista de casación esta no se celebró con las garantías necesarias que hubiera requerido la agravación de su condena por apreciarse el carácter doloso de su conducta prevaricadora en vez del culposo.</w:t>
      </w:r>
    </w:p>
    <w:p w:rsidR="00A90898" w:rsidRDefault="00A90898" w:rsidP="00A90898">
      <w:pPr>
        <w:pStyle w:val="TextoNormal"/>
      </w:pPr>
    </w:p>
    <w:p w:rsidR="00A90898" w:rsidRDefault="00A90898" w:rsidP="00A90898">
      <w:pPr>
        <w:pStyle w:val="TextoNormal"/>
      </w:pPr>
      <w:r>
        <w:t>En efecto, la estimación de recurso de casación y la condena del recurrente por prevaricación dolosa por parte de la Sala de lo Penal del Tribunal Supremo se produce sobre la base de una revalorización probatoria de la conducta del recurrente. Ciertamente la Sala de lo Penal del Tribunal Supremo venía proclamando que la revisión del elemento subjetivo del tipo puede hacerse a través del art. 849.1 LECrim, incluso cuando supone valorar prueba, al tratarse de una cuestión jurídica que puede resolverse sin celebración de vista pública para practicar la prueba a revalorar, estableciendo que la fijación de un hecho probado a partir de una inferencia sobre datos circunstanciales no es un juicio fáctico sino jurídico. Sin embargo, modificar los hechos de la instancia mediante la revalorización de pruebas personales no puede equivaler a un juicio normativo porque deba acudirse a una deducción presuntiva, y supone la lesión del derecho a un proceso con todas las garantías (art. 24.2 CE) y del derecho a un proceso equitativo del art. 6.1 del Convenio europeo para la protección de los derechos humanos y de las libertades fundamentales (CEDH), conforme a la jurisprudencia del Tribunal Europeo de Derechos Humanos.</w:t>
      </w:r>
    </w:p>
    <w:p w:rsidR="00A90898" w:rsidRDefault="00A90898" w:rsidP="00A90898">
      <w:pPr>
        <w:pStyle w:val="TextoNormal"/>
      </w:pPr>
    </w:p>
    <w:p w:rsidR="00A90898" w:rsidRDefault="00A90898" w:rsidP="00A90898">
      <w:pPr>
        <w:pStyle w:val="TextoNormal"/>
      </w:pPr>
      <w:r>
        <w:lastRenderedPageBreak/>
        <w:t>En todo caso, ha de destacarse que la propia Sala Segunda procedió a revisar este criterio, poco tiempo después de haberse dictado justamente la Sentencia aquí impugnada. Ya en la STS 840/2012, de 31 de octubre, declaró que no es posible revisar la declaración de hechos probados, en concreto el elemento subjetivo del tipo, sino es mediante la celebración de una vista que cumpla con los requisitos del Tribunal Europeo de Derechos Humanos y la STC 167/2002, lo que no es posible en sede de casación: “de otro lado, y en consonancia con la naturaleza del recurso de casación y de las funciones que le corresponden a este Tribunal Supremo, la ley procesal no prevé la práctica de prueba en la sustanciación de este recurso, por lo que no ha sido posible, de un lado, proceder a la práctica de pruebas personales, y, de otro, dar a la acusada la posibilidad de ser oída por esta Sala antes de resolver acerca de la concurrencia del elemento subjetivo cuestionado, lo que vendría exigido por la efectividad de su derecho de defensa en la forma en que ha sido entendido por el Tribunal Europeo de Derechos Humanos y por el Tribunal Constitucional en este tipo de casos”. Este cambio de criterio aparece también, entre otras, en las SSTS 916/2012, de 28 de noviembre; 1058/2012, de 18 de diciembre; y 218/2014, de 13 de marzo, todos ellos desestimando los motivos de la acusación o del Ministerio Fiscal que pedían tal revalorización. Otras Sentencias de la Sala, en la misma línea de rechazar la solicitud de revalorización de pruebas indirectas (método típico de acreditación del elemento volitivo), han precisado que el cauce del art. 849.1 LECrim, aceptado por ella durante años, es improcedente a estos efectos. Así por ejemplo, SSTS 1024/2012, de 19 de diciembre, y 245/2013, de 13 de marzo. Inclusive, el Pleno de la Sala Segunda del Alto Tribunal dictó un acuerdo no jurisdiccional en fecha de 19 de diciembre de 2012, en virtud del cual estima que: “la citación del acusado recurrido a una vista para ser oído personalmente antes de la decisión del recurso no es compatible con la naturaleza de la casación, ni está prevista en la ley”.</w:t>
      </w:r>
    </w:p>
    <w:p w:rsidR="00A90898" w:rsidRDefault="00A90898" w:rsidP="00A90898">
      <w:pPr>
        <w:pStyle w:val="TextoNormal"/>
      </w:pPr>
    </w:p>
    <w:p w:rsidR="00A90898" w:rsidRDefault="00A90898" w:rsidP="00A90898">
      <w:pPr>
        <w:pStyle w:val="TextoNormal"/>
      </w:pPr>
      <w:r>
        <w:t xml:space="preserve">Así, en este caso, lo pretendido es que se revalorara la prueba de autos para evidenciar que el acusado tomó todas las prevenciones necesarias para asumir y proveer a la solicitud de medida cautelar presentada por el abuelo del menor, no merced a un descuido o negligencia en el entendimiento de sus deberes profesionales, sino de manera consciente. La sentencia ahora impugnada afirma su respeto a los hechos probados de la sentencia de instancia, que reproduce en los antecedentes, si bien después hace su propio relato en el fundamento de derecho primero. Más esta proclama de sujeción a los hechos probados de la instancia no es determinante si las conclusiones a las que se llega son, al menos en parte, distintas al órgano </w:t>
      </w:r>
      <w:r w:rsidRPr="00A90898">
        <w:rPr>
          <w:i/>
        </w:rPr>
        <w:t>a quo</w:t>
      </w:r>
      <w:r>
        <w:t>, como aquí sucede. Para saber si se ha conculcado la garantía de la inmediación por no celebrarse vista, lo decisivo son los medios de prueba que permiten a la Sala de lo Penal del Tribunal Supremo establecer el dolo del acusado: si han sido pruebas personales —que requiere vista, según la jurisprudencia constitucional— o documentales —que no requieren vista, según la misma jurisprudencia—. En este caso en que el fundamento de Derecho primero de la Sentencia impugnada en amparo atribuye al recurrente instrucciones verbales al abogado del abuelo peticionario de la medida cautelar; llamadas al Decanato de los Juzgados de Sevilla para interesarse por el asunto; y diálogo con la Fiscal presente ese día en el Palacio de Justicia, además de la versión dada por la funcionaria del Decanato sobre lo sucedido, pocas dudas quedan de que el cambio de criterio se fundó, exclusivamente, en una distinta valoración de pruebas personales (declaración de acusado y testificales), por lo que resultó también vulnerado su derecho a la presunción de inocencia (por todas STC 126/2007, de 21 de mayo, FJ 5).</w:t>
      </w:r>
    </w:p>
    <w:p w:rsidR="00A90898" w:rsidRDefault="00A90898" w:rsidP="00A90898">
      <w:pPr>
        <w:pStyle w:val="TextoNormal"/>
      </w:pPr>
    </w:p>
    <w:p w:rsidR="00A90898" w:rsidRDefault="00A90898" w:rsidP="00A90898">
      <w:pPr>
        <w:pStyle w:val="TextoNormal"/>
      </w:pPr>
      <w:r>
        <w:lastRenderedPageBreak/>
        <w:t xml:space="preserve">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en su caso, como aquí sucede,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caso </w:t>
      </w:r>
      <w:r w:rsidRPr="00A90898">
        <w:rPr>
          <w:i/>
        </w:rPr>
        <w:t>Lacadena Calero c. España</w:t>
      </w:r>
      <w:r>
        <w:t xml:space="preserve">; 20 marzo 2012, caso </w:t>
      </w:r>
      <w:r w:rsidRPr="00A90898">
        <w:rPr>
          <w:i/>
        </w:rPr>
        <w:t>Serrano Contreras c. España</w:t>
      </w:r>
      <w:r>
        <w:t xml:space="preserve">; o 27 de noviembre de 2012, caso </w:t>
      </w:r>
      <w:r w:rsidRPr="00A90898">
        <w:rPr>
          <w:i/>
        </w:rPr>
        <w:t>Vilanova Goterris c. España</w:t>
      </w:r>
      <w:r>
        <w:t xml:space="preserve">.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la comprobación de la intención del acusado en relación con los hechos que se le imputan” (SSTEDH de 22 de noviembre de 2011, caso </w:t>
      </w:r>
      <w:r w:rsidRPr="00A90898">
        <w:rPr>
          <w:i/>
        </w:rPr>
        <w:t>Lacadena Calero c. España</w:t>
      </w:r>
      <w:r>
        <w:t xml:space="preserve">, § 47; o 20 marzo 2012, caso </w:t>
      </w:r>
      <w:r w:rsidRPr="00A90898">
        <w:rPr>
          <w:i/>
        </w:rPr>
        <w:t>Serrano Contreras c. España</w:t>
      </w:r>
      <w:r>
        <w:t xml:space="preserve">; § 38); que “las cuestiones que deben ser examinadas por el TS necesitan la valoración directa del testimonio del imputado o de otros testigos” (STEDH 20 marzo 2012, caso </w:t>
      </w:r>
      <w:r w:rsidRPr="00A90898">
        <w:rPr>
          <w:i/>
        </w:rPr>
        <w:t>Serrano Contreras c. España</w:t>
      </w:r>
      <w:r>
        <w:t xml:space="preserve">, § 40); o que “el imputado no fue oído personalmente sobre una cuestión de hecho determinante para la valoración de su credibilidad” (SSTEDH 20 marzo 2012, caso </w:t>
      </w:r>
      <w:r w:rsidRPr="00A90898">
        <w:rPr>
          <w:i/>
        </w:rPr>
        <w:t>Serrano Contreras c. España</w:t>
      </w:r>
      <w:r>
        <w:t xml:space="preserve">; § 41; o 27 de noviembre de 2012, caso </w:t>
      </w:r>
      <w:r w:rsidRPr="00A90898">
        <w:rPr>
          <w:i/>
        </w:rPr>
        <w:t>Vilanova Goterris c. España</w:t>
      </w:r>
      <w:r>
        <w:t>, § 35).</w:t>
      </w:r>
    </w:p>
    <w:p w:rsidR="00A90898" w:rsidRDefault="00A90898" w:rsidP="00A90898">
      <w:pPr>
        <w:pStyle w:val="TextoNormal"/>
      </w:pPr>
    </w:p>
    <w:p w:rsidR="00A90898" w:rsidRDefault="00A90898" w:rsidP="00A90898">
      <w:pPr>
        <w:pStyle w:val="TextoNormal"/>
      </w:pPr>
      <w:r>
        <w:t>En relación con lo anterior, tampoco cabe aceptar que la mera presencia del recurrente en estrados en la vista de casación resulte suficiente para colmar las garantías del proceso debido en la segunda instancia. Ante todo y como ya se ha indicado, porque la vista regulada en los arts. 893 y siguientes de la Ley de enjuiciamiento criminal no permite articular la celebración de práctica de pruebas, tal y como la propia Sala de lo Penal del Tribunal Supremo, máximo intérprete de la legalidad procesal, ha reconocido en el acuerdo antes citado del 19 de diciembre de 2012. Además, a mayor abundamiento, porque (i) el acto de la vista y la presencia del recurrente no pretendía la celebración de un verdadero acto de práctica de pruebas personales, tal como exige la jurisprudencia constitucional; y (ii) no queda concretada en el acta de la vista en que consistió la autodefensa del acusado, por lo que no resulta posible controlar si se salvaguardó una mínima calidad exigible desde la óptica del derecho de audiencia.</w:t>
      </w:r>
    </w:p>
    <w:p w:rsidR="00A90898" w:rsidRDefault="00A90898" w:rsidP="00A90898">
      <w:pPr>
        <w:pStyle w:val="TextoNormal"/>
      </w:pPr>
    </w:p>
    <w:p w:rsidR="00A90898" w:rsidRDefault="00A90898" w:rsidP="00A90898">
      <w:pPr>
        <w:pStyle w:val="TextoNormal"/>
      </w:pPr>
      <w:r>
        <w:t>Por tanto, debe concluirse, también en este caso, que se ha vulnerado el derecho del recurrente a un proceso con todas las garantías (art. 24.2 CE).</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Declaradas las anteriores vulneraciones, resta ahora por examinar las lesiones de los derechos fundamentales que para el recurrente tienen origen en la Sentencia de la Sala Civil y Penal del Tribunal Superior de Justicia. En tal sentido, el demandante de amparo, aduce que la sentencia de instancia ha vulnerado su “derecho fundamental a la presunción de inocencia (art. 24.2 CE) y a la tutela judicial efectiva sin indefensión (art. 24.1 CE), con vulneración del principio de invariabilidad, intangibilidad, e inmodificabilidad de las sentencias firmes, con especial referencia al principio de legalidad, y a la infracción del art. 120.3 sobre el deber de motivar las sentencias”, que no habría sido reparado por la Sentencia </w:t>
      </w:r>
      <w:r>
        <w:lastRenderedPageBreak/>
        <w:t>de casación. A esos efectos, argumenta que la Audiencia Provincial de Sevilla, que era el competente para conocer sobre la legalidad o ilegalidad de la resolución supuestamente prevaricadora, declaró por dos veces de modo definitivo y firme que dicha resolución era conforme a la legalidad sustantiva y procesal. De ese modo, la Sentencia condenatoria de instancia, al no referir las resoluciones de la Audiencia Provincial en su relato de hechos probados, las hace desaparecer de la vida jurídica, provocando una contradicción manifiesta e insalvable con las resoluciones del Audiencia que quiebra el principio de intangibilidad. Se afirma que no puede llegarse a tildar de manifiestamente injusta una resolución declarada como conforme a la legalidad procesal y sustantiva por la Audiencia Provincial de Sevilla, sin incurrir en arbitrariedad o irrazonabilidad.</w:t>
      </w:r>
    </w:p>
    <w:p w:rsidR="00A90898" w:rsidRDefault="00A90898" w:rsidP="00A90898">
      <w:pPr>
        <w:pStyle w:val="TextoNormal"/>
      </w:pPr>
    </w:p>
    <w:p w:rsidR="00A90898" w:rsidRDefault="00A90898" w:rsidP="00A90898">
      <w:pPr>
        <w:pStyle w:val="TextoNormal"/>
      </w:pPr>
      <w:r>
        <w:t>Por lo que se refiere al principio de intangibilidad de las resoluciones judiciales firmes y su incidencia en el derecho a la tutela judicial efectiva, que es lo concretamente planteado por el recurrente y a lo que se debe limitar el control de constitucionalidad, el Tribunal Constitucional ha venido afirmando desde antiguo que “si el respeto a la independencia de cada órgano judicial es principio básico de nuestro ordenamiento jurídico, no es menos cierto que unos mismos hechos no pueden existir y dejar de existir para los órganos del Estado (STC 77/1983, de 3 de octubre), y que esta negación del principio de contradicción vulnera el derecho a la tutela judicial efectiva consagrado en el art. 24.1 de la Constitución Española” (STC 158/1985, de 26 de noviembre, FJ 4). En desarrollo de esa idea, la STC 158/1985, remitiéndose a la STC 62/1984, de 21 de mayo, FJ 5, establecía que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CE, pues no resulta compatible la efectividad de dicha tutela y la firmeza de pronunciamientos judiciales contradictorios.” (STC 158/1985, FJ 4).</w:t>
      </w:r>
    </w:p>
    <w:p w:rsidR="00A90898" w:rsidRDefault="00A90898" w:rsidP="00A90898">
      <w:pPr>
        <w:pStyle w:val="TextoNormal"/>
      </w:pPr>
    </w:p>
    <w:p w:rsidR="00A90898" w:rsidRDefault="00A90898" w:rsidP="00A90898">
      <w:pPr>
        <w:pStyle w:val="TextoNormal"/>
      </w:pPr>
      <w:r>
        <w:t>No obstante, la jurisprudencia constitucional también ha establecido que no se producirá una vulneración del art. 24.1 CE cuando “las dos jurisdicciones implicadas hayan abordado bajo ópticas distintas la cuestión debatida, como podría ser si la contencioso-administrativa se hubiese limitado a declarar la improcedencia de la sanción impuesta en vía administrativa y la laboral a estimar la pertinencia del pago de un recargo en materia de prestaciones derivadas de accidente de trabajo”, en tanto que “las normas aplicadas por uno y otro órganos judiciales no son las mismas” (STC 158/1985, de 26 de noviembre, FJ 2), o cuando una Sentencia de la jurisdicción laboral que había considerado procedente un despido motivado por supuesta apropiación indebida y luego se dictó el Auto de sobreseimiento provisional que con referencia a los mismos hechos dictó, pues el Juez penal no niega lo tenido por probado por el Magistrado de Trabajo (STC 62/1984, de 21 de mayo).</w:t>
      </w:r>
    </w:p>
    <w:p w:rsidR="00A90898" w:rsidRDefault="00A90898" w:rsidP="00A90898">
      <w:pPr>
        <w:pStyle w:val="TextoNormal"/>
      </w:pPr>
    </w:p>
    <w:p w:rsidR="00A90898" w:rsidRDefault="00A90898" w:rsidP="00A90898">
      <w:pPr>
        <w:pStyle w:val="TextoNormal"/>
      </w:pPr>
      <w:r>
        <w:t xml:space="preserve">En conclusión, si bien la jurisdicción constitucional ha establecido que tiene un fundamento constitucional en el art. 24.1 CE que órganos jurisdiccionales diversos deban ajustarse a lo juzgado en un proceso anterior cuando hayan de decidir sobre una relación o situación respecto de la cual exista una estrecha conexión; no obstante, por las peculiaridad </w:t>
      </w:r>
      <w:r>
        <w:lastRenderedPageBreak/>
        <w:t>propias de cada orden jurisdicción resulta posible admitir eventuales contradicciones en aquellos caso en que el análisis jurídico se aborde desde perspectivas jurídicas diversas y siempre que, además, exista una motivación suficiente que exteriorice el fundamento de la decisión adoptada o que motive las razones del apartamiento de lo establecido en otro orden jurisdiccional.</w:t>
      </w:r>
    </w:p>
    <w:p w:rsidR="00A90898" w:rsidRDefault="00A90898" w:rsidP="00A90898">
      <w:pPr>
        <w:pStyle w:val="TextoNormal"/>
      </w:pPr>
    </w:p>
    <w:p w:rsidR="00A90898" w:rsidRDefault="00A90898" w:rsidP="00A90898">
      <w:pPr>
        <w:pStyle w:val="TextoNormal"/>
      </w:pPr>
      <w:r>
        <w:t>En el presente caso, como ha sido expuesto con más detalle en los antecedentes, han quedado acreditados los siguientes extremos:</w:t>
      </w:r>
    </w:p>
    <w:p w:rsidR="00A90898" w:rsidRDefault="00A90898" w:rsidP="00A90898">
      <w:pPr>
        <w:pStyle w:val="TextoNormal"/>
      </w:pPr>
    </w:p>
    <w:p w:rsidR="00A90898" w:rsidRDefault="00A90898" w:rsidP="00A90898">
      <w:pPr>
        <w:pStyle w:val="TextoNormal"/>
      </w:pPr>
      <w:r>
        <w:t xml:space="preserve">El demandante de amparo, en su entonces condición de titular del Juzgado de familia núm. 7 de Sevilla, dictó Auto de 30 de marzo de 2010 resolviendo sobre unas determinadas medidas cautelares solicitada en favor de un menor. Tras formularse querella por la madre del menor, se dictó Sentencia en primera instancia condenando al demandante de amparo como autor de un delito de prevaricación imprudente. Dicha Sentencia, frente a la alegación del recurrente de que su resolución judicial había sido confirmada en apelación por la Sala de lo Civil de la Audiencia Provincial de Sevilla, en su fundamento de derecho primero expone, a los efectos de delimitar la materia objeto de enjuiciamiento, que este no radica en la valoración en abstracto de la concreta medida cautelar adoptada respecto del menor, en si dicha decisión estaba amparada en el art. 158 CC en uso de facultades competencia de ese Juzgado o en si puede aplicarse el art. 158 CC </w:t>
      </w:r>
      <w:r w:rsidRPr="00A90898">
        <w:rPr>
          <w:i/>
        </w:rPr>
        <w:t>inaudita parte</w:t>
      </w:r>
      <w:r>
        <w:t xml:space="preserve"> a menores en situación de peligro, que son los aspectos enjuiciados en apelación por la Audiencia Provincial, sino que, “se trata de enjuiciar y determinar en concreto qué valoración merece la forma de actuar jurisdiccionalmente (no la exclusiva resolución de fondo), menoscabando el ejercicio legítimo del derecho de custodia de una madre, en la forma establecida por un juez distinto, a través del mecanismo del art. 158 del Código Civil en las circunstancias específicas y bajo las premisas fáctico-temporales en que lo hizo el Sr. Serrano”; añadiendo que, “[e]n definitiva, la AP Sevilla sólo valoró el aspecto material de aplicabilidad del artículo 158 CCivil, pero no el entorno procedimental ni el posible desprecio procesal o falta de equidad en la forma de conducirse jurisdiccionalmente. La AP Sevilla no pudo valorar ni profundizar en las condiciones, previas y coetáneas, en que adoptó la medida cautelar, aspecto de suma trascendencia en el ámbito penal que nos ocupa, por lo que se quedó en la periferia (Auto del juez de Familia/presupuestos generales y competenciales de aplicación en abstracto del artículo 158 CCivil, que posibilitan un contenido inaudita parte), sin adentrarse en las referidas circunstancias anteriores y concomitantes al dictado del auto judicial, como sí es obligado a esta Sala a la hora de valorar la tipicidad de determinadas conductas en el ámbito penal (como sucede en otros tipos delictivos), máxime cuando se está imputando una posible prevaricación de tipo procesal. Estamos ante otros parámetros de especial y obligada exigencia a la hora de posicionarse sobre la injusticia o no de la actuación del Sr. Serrano y su posible encaje penal, para cuya conclusión es necesario ponderar el conjunto de circunstancias objetivas y subjetivas, de procedimiento, de tiempo y lugar, que rodearon la actuación judicial, </w:t>
      </w:r>
      <w:r w:rsidRPr="00A90898">
        <w:rPr>
          <w:i/>
        </w:rPr>
        <w:t>ab initio</w:t>
      </w:r>
      <w:r>
        <w:t xml:space="preserve"> y durante el dictado del Auto 247/2010, de fecha 30 de marzo de dos mil diez, por el titular del Juzgado de Primera Instancia número 7 de Sevilla” (fundamento de Derecho primero).</w:t>
      </w:r>
    </w:p>
    <w:p w:rsidR="00A90898" w:rsidRDefault="00A90898" w:rsidP="00A90898">
      <w:pPr>
        <w:pStyle w:val="TextoNormal"/>
      </w:pPr>
    </w:p>
    <w:p w:rsidR="00A90898" w:rsidRDefault="00A90898" w:rsidP="00A90898">
      <w:pPr>
        <w:pStyle w:val="TextoNormal"/>
      </w:pPr>
      <w:r>
        <w:t xml:space="preserve">En atención a lo expuesto, debe concluirse, tal como también informa el Ministerio Fiscal respecto de este motivo de amparo, que no se ha producido la aducida vulneración del art. </w:t>
      </w:r>
      <w:r>
        <w:lastRenderedPageBreak/>
        <w:t>24.1 CE por haber desconocido la Sentencia del Tribunal Superior de Justicia, ahora impugnada en amparo, los previos pronunciamientos del orden jurisdiccional civil confirmatorios de la decisión judicial adoptada por el ahora demandante en amparo.</w:t>
      </w:r>
    </w:p>
    <w:p w:rsidR="00A90898" w:rsidRDefault="00A90898" w:rsidP="00A90898">
      <w:pPr>
        <w:pStyle w:val="TextoNormal"/>
      </w:pPr>
    </w:p>
    <w:p w:rsidR="00A90898" w:rsidRDefault="00A90898" w:rsidP="00A90898">
      <w:pPr>
        <w:pStyle w:val="TextoNormal"/>
      </w:pPr>
      <w:r w:rsidRPr="00A90898">
        <w:rPr>
          <w:rStyle w:val="NumeroAFNegritaCaracter"/>
        </w:rPr>
        <w:t>10</w:t>
      </w:r>
      <w:r>
        <w:t>. El demandante de amparo, en último lugar, aduce que la Sentencia de instancia también habría vulnerado el “derecho fundamental reconocido en el art. 24.2 de la CE por infracción del derecho fundamental a ser informado de la acusación con quiebra del principio acusatorio produciendo efectiva indefensión e infracción del principio de homogeneidad delictiva, al haber sido condenado … por un delito del que no fue acusado en ningún momento, no guardando homogeneidad delictiva el delito objeto de acusación con el que finalmente fue condenado”. A esos efectos, argumenta que fue condenado en la instancia por un delito de prevaricación por ignorancia inexcusable del que nunca fue acusado, impidiendo una defensa adecuada e imposibilitando la contradicción respecto del grado de diligencia o negligencia observada. Se destaca que la jurisprudencia del Tribunal Supremo ha establecido mayoritariamente que los delitos dolosos y culposos no son homogéneos y que la defensa no tiene el deber procesal de suponer todas las calificaciones alternativas.</w:t>
      </w:r>
    </w:p>
    <w:p w:rsidR="00A90898" w:rsidRDefault="00A90898" w:rsidP="00A90898">
      <w:pPr>
        <w:pStyle w:val="TextoNormal"/>
      </w:pPr>
    </w:p>
    <w:p w:rsidR="00A90898" w:rsidRDefault="00A90898" w:rsidP="00A90898">
      <w:pPr>
        <w:pStyle w:val="TextoNormal"/>
      </w:pPr>
      <w:r>
        <w:t xml:space="preserve">a) La doctrina elaborada por el Tribunal Constitucional acerca de las exigencias derivadas del principio acusatorio ha sido resumida, entre otras, en la STC 35/2004, de 8 de marzo, FJ 2, en los siguientes términos: “entre ellas se encuentra la de que nadie puede ser condenado por cosa distinta de la que se le ha acusado y de la que, por lo tanto, haya podido defenderse, habiendo precisado a este respecto que por ‘cosa’ no puede entenderse únicamente un concreto devenir de acontecimientos, un </w:t>
      </w:r>
      <w:r w:rsidRPr="00A90898">
        <w:rPr>
          <w:i/>
        </w:rPr>
        <w:t>factum</w:t>
      </w:r>
      <w:r>
        <w:t xml:space="preserve">,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 La íntima 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53/1987, de 7 de mayo, FJ 2, y 4/2002, de 14 de enero, FJ 3). De manera que “nadie puede ser condenado si no se ha formulado contra él una acusación de la que haya tenido oportunidad de defenderse en forma contradictoria, estando, por ello, obligado el Juez o Tribunal a pronunciarse dentro de los términos del debate, tal y como han sido formulados por la acusación y la defensa, lo cual, a su vez, significa que en última instancia ha de existir siempre correlación entre la acusación y el fallo de la Sentencia” (SSTC 11/1992, de 27 de enero, FJ 3; 95/1995, de 19 de junio, FJ 2; 36/1996, de 11 de marzo, FJ 4; 4/2002, de 14 de enero, FJ 3). Ello no obstante hemos afirmado también que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w:t>
      </w:r>
      <w:r>
        <w:lastRenderedPageBreak/>
        <w:t>104/1986, de 17 de julio, FJ 4; 10/1988, de 1 de febrero, FJ 2; 225/1997, de 15 de diciembre, FJ 3, y 4/2002, de 14 de enero, FJ 3).</w:t>
      </w:r>
    </w:p>
    <w:p w:rsidR="00A90898" w:rsidRDefault="00A90898" w:rsidP="00A90898">
      <w:pPr>
        <w:pStyle w:val="TextoNormal"/>
      </w:pPr>
    </w:p>
    <w:p w:rsidR="00A90898" w:rsidRDefault="00A90898" w:rsidP="00A90898">
      <w:pPr>
        <w:pStyle w:val="TextoNormal"/>
      </w:pPr>
      <w:r>
        <w:t xml:space="preserve">En tal sentido, recientemente la STEDH de 5 de marzo de 2013, Caso </w:t>
      </w:r>
      <w:r w:rsidRPr="00A90898">
        <w:rPr>
          <w:i/>
        </w:rPr>
        <w:t>Varela Geis c. España</w:t>
      </w:r>
      <w:r>
        <w:t>, ha puesto de manifiesto el papel determinante que en los enjuiciamientos penales tiene el escrito de acusación: “teniendo en cuenta su significación, la persona acusada está oficialmente advertida de la base jurídica y fáctica de las acusaciones en su contra. (</w:t>
      </w:r>
      <w:r w:rsidRPr="00A90898">
        <w:rPr>
          <w:i/>
        </w:rPr>
        <w:t>Kamasinski contra Austria</w:t>
      </w:r>
      <w:r>
        <w:t xml:space="preserve">, 19 de diciembre de 1989 [TEDH 1989, 24], ap. 79, serie A, núm. 168 y </w:t>
      </w:r>
      <w:r w:rsidRPr="00A90898">
        <w:rPr>
          <w:i/>
        </w:rPr>
        <w:t>Pelissier y Sassi contra Francia</w:t>
      </w:r>
      <w:r>
        <w:t xml:space="preserve"> [TEDH 1999, 10] GS, núm. 25444/94, ap. 51, TEDH 1999 II). El artículo 6.3 a) del Convenio reconoce al acusado el derecho a ser informado no sólo de la causa de la acusación, es decir, de los hechos que se le imputan y sobre los que se basa la acusación, sino también la calificación jurídica dada a estos hechos, y esto, de forma detallada. El alcance de esta disposición debe apreciarse especialmente a la luz del derecho, más general, a un juicio justo, garantizado por el párrafo 1 del artículo 6 del Convenio (RCL 1999, 1190, 1572) (véase, </w:t>
      </w:r>
      <w:r w:rsidRPr="00A90898">
        <w:rPr>
          <w:i/>
        </w:rPr>
        <w:t>mutatis mutandis, Ártico contra Italia</w:t>
      </w:r>
      <w:r>
        <w:t xml:space="preserve">, 13 de mayo de 1980, ap. 32, serie A, núm. 37; </w:t>
      </w:r>
      <w:r w:rsidRPr="00A90898">
        <w:rPr>
          <w:i/>
        </w:rPr>
        <w:t>Colozza contra Italia</w:t>
      </w:r>
      <w:r>
        <w:t xml:space="preserve">, 12 de febrero de 1985 [TEDH 1985, 2] , ap. 26, serie A, núm. 89 y </w:t>
      </w:r>
      <w:r w:rsidRPr="00A90898">
        <w:rPr>
          <w:i/>
        </w:rPr>
        <w:t>Pelissier y Sassi</w:t>
      </w:r>
      <w:r>
        <w:t xml:space="preserve"> [TEDH 1999, 10] , ya citado, ap. 52). El Tribunal considera que en materia penal es una condición esencial para la equidad de los procedimientos, una información precisa y completa de los cargos contra un acusado, y por lo tanto la calificación jurídica que el tribunal podría llevar a su cargo.” (apartados 41 y 42).</w:t>
      </w:r>
    </w:p>
    <w:p w:rsidR="00A90898" w:rsidRDefault="00A90898" w:rsidP="00A90898">
      <w:pPr>
        <w:pStyle w:val="TextoNormal"/>
      </w:pPr>
    </w:p>
    <w:p w:rsidR="00A90898" w:rsidRDefault="00A90898" w:rsidP="00A90898">
      <w:pPr>
        <w:pStyle w:val="TextoNormal"/>
      </w:pPr>
      <w:r>
        <w:t xml:space="preserve">En análogo sentido se pronuncian los apartados 61 a 63 de la STEDH de 25 marzo 1999 —caso </w:t>
      </w:r>
      <w:r w:rsidRPr="00A90898">
        <w:rPr>
          <w:i/>
        </w:rPr>
        <w:t>Pelissier y Sassi c. Francia</w:t>
      </w:r>
      <w:r>
        <w:t>—, cuando afirma que es plausible sostener que los motivos de defensa que se habrían podido invocar habrían sido diferentes de los elegidos a fin de rebatir la acción principal. Afirmando que el Tribunal de apelación cuando hizo uso de su derecho incontestado a dar nueva calificación a los hechos que le habían sido sometidos, debía dar la posibilidad a los demandantes de ejercer sus derechos de defensa sobre ese punto de manera concreta y efectiva, y sobre todo a su debido tiempo. Cuestionando que el hecho de que no se haya ofrecido a los demandantes la ocasión de organizar su defensa con respecto a la nueva calificación, ya que solamente la sentencia del Tribunal de apelación les permitió conocer este cambio de calificación, lo que era evidentemente tardío. “Teniendo en cuenta todos estos elementos, el Tribunal concluye que se ha atentado contra el derecho de los demandantes a ser informados de manera detallada de la naturaleza y del motivo de la acusación presentada contra ellos, así como a su derecho a disponer del tiempo y las facilidades necesarias para la preparación de su defensa”.</w:t>
      </w:r>
    </w:p>
    <w:p w:rsidR="00A90898" w:rsidRDefault="00A90898" w:rsidP="00A90898">
      <w:pPr>
        <w:pStyle w:val="TextoNormal"/>
      </w:pPr>
    </w:p>
    <w:p w:rsidR="00A90898" w:rsidRDefault="00A90898" w:rsidP="00A90898">
      <w:pPr>
        <w:pStyle w:val="TextoNormal"/>
      </w:pPr>
      <w:r>
        <w:t xml:space="preserve">Coincidente con tales postulados el Tribunal Supremo (STS 29 de enero de 1997): “En el desarrollo de esta premisa la jurisprudencia ha establecido mayoritariamente que los tipos dolosos y los culposos no son homogéneos (confr. SSTS 22-3-91; 1-7-93; 16-2-94; 3-11-94; 16-2-94; 20-9-94; 23-10-95 y de 9-2-96). Ahora bien, la valoración de la homogeneidad delictiva debe resolverse atendiendo a las particularidades del caso concreto, sin apriorismos o generalidades, pues es lo acontecido en el procedimiento lo que condicionara el juicio sobre la existencia de indefensión. En ocasiones la modificación del título de condena puede que no suponga la introducción de nuevos elementos, pero altere la perspectiva inicial, cambiando la clave interpretativa de lo acontecido, mermando las posibilidades de defensa al no haber podido combatir plenamente los hechos desde esa nueva óptica. En otras ocasiones es posible que el nuevo título de condena se sustente en hechos que pese a no contemplarse en título de imputación, hayan sido suficientemente debatidos al ser la propia defensa la que </w:t>
      </w:r>
      <w:r>
        <w:lastRenderedPageBreak/>
        <w:t>se centró en los mismos proponiendo una narración alternativa en el escrito de defensa, en cuyo caso la condena por un delito distinto no generaría indefensión alguna.”</w:t>
      </w:r>
    </w:p>
    <w:p w:rsidR="00A90898" w:rsidRDefault="00A90898" w:rsidP="00A90898">
      <w:pPr>
        <w:pStyle w:val="TextoNormal"/>
      </w:pPr>
    </w:p>
    <w:p w:rsidR="00A90898" w:rsidRDefault="00A90898" w:rsidP="00A90898">
      <w:pPr>
        <w:pStyle w:val="TextoNormal"/>
      </w:pPr>
      <w:r>
        <w:t>b) Debemos ahora examinar los hechos nucleares que sustentaron la instrucción y la acusación y su calificación jurídica, con los que determinaron la condena del demandante para poder verificar si éste pudo conocer los elementos esenciales del delito por el que fue condenado, pudiendo organizar su defensa conforme al mismo.</w:t>
      </w:r>
    </w:p>
    <w:p w:rsidR="00A90898" w:rsidRDefault="00A90898" w:rsidP="00A90898">
      <w:pPr>
        <w:pStyle w:val="TextoNormal"/>
      </w:pPr>
    </w:p>
    <w:p w:rsidR="00A90898" w:rsidRDefault="00A90898" w:rsidP="00A90898">
      <w:pPr>
        <w:pStyle w:val="TextoNormal"/>
      </w:pPr>
      <w:r>
        <w:t>El procedimiento se inició en virtud de querella criminal contra el demandante, por delitos de prevaricación dolosa (art. 446.3 CP), cohecho, violación de secretos, y lesiones (folio 24 tomo I). El Ministerio Fiscal solicitó la admisión a trámite de la querella únicamente por el delito de prevaricación dolosa (folio 352 tomo I). Por Auto de 19 de octubre de 2010, se acordó admitir a trámite la querella por presunto delito de prevaricación dolosa (folio 354). Por Auto de 27 de abril de 2011, se acordó la continuación del procedimiento por el delito de prevaricación (folio 1246, tomo IV). El Ministerio Fiscal y la acusación particular formularon acusación por el indicado delito de prevaricación dolosa (folios 1442 y 1449 tomo IV respectivamente). En trámite de conclusiones definitivas el Ministerio Fiscal retiró la acusación. Sucintamente —en lo relativo al delito de prevaricación— el relato de hechos contenido en el escrito de acusación —único en el que se pudo sustentar la condena—, consideraba que el demandante se concertó con el que había sido su Abogado en otro procedimiento – además de su amigo-, para sustraer la competencia al Juzgado de Familia y favorecer los intereses del indicado Abogado, ordenando el Juez eliminar pruebas al ser consciente de su ilegítimo proceder. El acusado tuvo una inexcusable prisa y un talante agresivamente injurioso contra la madre. La Sentencia del Tribunal Superior de Justicia de Andalucía indicó que “no ha quedado debidamente acreditado ese posible concierto previo y actuación conjunta preordenando la estrategia y el resultado procesal que valoramos, tal y como sostiene la acusación particular cuando habla de ‘un ardid procesal del Abogado, admitido y consentido por el juez, que da el pasaporte con su resolución para el mecanismo de actuación procesal y se convirtió en patente de corso’”. Y sin embargo, condenó por el delito de prevaricación imprudente. La calificación jurídica del delito de prevaricación culposa apareció por primera vez en la Sentencia del Tribunal Superior de Justicia de Andalucía, sin que previamente en los mencionados escritos y resoluciones se hiciera alusión al mismo.</w:t>
      </w:r>
    </w:p>
    <w:p w:rsidR="00A90898" w:rsidRDefault="00A90898" w:rsidP="00A90898">
      <w:pPr>
        <w:pStyle w:val="TextoNormal"/>
      </w:pPr>
    </w:p>
    <w:p w:rsidR="00A90898" w:rsidRDefault="00A90898" w:rsidP="00A90898">
      <w:pPr>
        <w:pStyle w:val="TextoNormal"/>
      </w:pPr>
      <w:r>
        <w:t>El redactado del tipo delictivo de prevaricación dolosa (art. 446.3 CP) indica que “el Juez o Magistrado que, a sabiendas, dictare sentencia o resolución injusta”. Mientras que el delito de prevaricación imprudente refiere que “El Juez o Magistrado que por imprudencia grave o ignorancia inexcusable dictara sentencia o resolución manifiestamente injusta” (art. 447 CP). Desde el prisma de la distinta redacción del título de imputación dictar una “resolución injusta” (art. 446.3 CP) o del título de condena dictar una “resolución manifiestamente injusta” (art. 447 CP), difícilmente puede concluirse que el que fue condenado sufrió merma en sus facultades de defensa, pues pudo alegar y probar que la resolución no era injusta y se terminó considerando que era manifiestamente injusta.</w:t>
      </w:r>
    </w:p>
    <w:p w:rsidR="00A90898" w:rsidRDefault="00A90898" w:rsidP="00A90898">
      <w:pPr>
        <w:pStyle w:val="TextoNormal"/>
      </w:pPr>
    </w:p>
    <w:p w:rsidR="00A90898" w:rsidRDefault="00A90898" w:rsidP="00A90898">
      <w:pPr>
        <w:pStyle w:val="TextoNormal"/>
      </w:pPr>
      <w:r>
        <w:t xml:space="preserve">Tampoco, atendiendo a las concretas circunstancias que marcaron el discurrir del debate procesal, podemos alcanzar otra conclusión al examinar la parte subjetiva del título de imputación “a sabiendas” o del título de condena “por imprudencia grave o ignorancia inexcusable”. En tal sentido, tanto la fase de instrucción como en el juicio oral, el debate discurrió </w:t>
      </w:r>
      <w:r>
        <w:lastRenderedPageBreak/>
        <w:t>sobre la causa que determinó el actuar procesal del acusado, esto es, el por qué se condujo procesalmente del modo en que lo hizo al dictar la “resolución injusta”, descartándose finalmente en la Sentencia del Tribunal Superior de Justicia la existencia de un ardid o concierto y devaluando su culpabilidad a la concurrencia de un desinterés en su actuación, por no efectuar un examen cuidadoso de su competencia o de la pertinencia de un procedimiento tan excepcional. Tal modificación del título de imputación, no puede considerarse que debilitara las posibilidades de defensa, tampoco el demandante justifica de qué modo sufrió merma su defensa, pues a lo largo del procedimiento penal el núcleo en la causa que motivo la actuación del acusado en orden a la asunción de su competencia y de la pertinencia del procedimiento.</w:t>
      </w:r>
    </w:p>
    <w:p w:rsidR="00A90898" w:rsidRDefault="00A90898" w:rsidP="00A90898">
      <w:pPr>
        <w:pStyle w:val="TextoNormal"/>
      </w:pPr>
    </w:p>
    <w:p w:rsidR="00A90898" w:rsidRDefault="00A90898" w:rsidP="00A90898">
      <w:pPr>
        <w:pStyle w:val="TextoNormal"/>
      </w:pPr>
      <w:r w:rsidRPr="00A90898">
        <w:rPr>
          <w:rStyle w:val="NumeroAFNegritaCaracter"/>
        </w:rPr>
        <w:t>11</w:t>
      </w:r>
      <w:r>
        <w:t>. La vulneración del derecho a la tutela judicial efectiva, a un proceso con todas las garantías y del derecho a la presunción de inocencia por las resoluciones dictadas en casación determina para su restablecimiento la anulación de las resoluciones dictadas en el recurso de casación núm. 2171-2011 (Auto de la Sala de lo Penal del Tribunal Supremo de 30 de octubre de 2012, aclarado por Auto de 20 de noviembre de 2012, por el que se acuerda no haber lugar a admitir a trámite el incidente de nulidad, y las Sentencias núm. 571-2012, de 29 de junio, por las que se estima el recurso de casación y se condena al recurrente por un delito de prevaricación dolosa, respectivamente), sin retroacción de actuaciones (por todas, STC 126/2007, de 21 de mayo), y que se declare la firmeza de la Sentencia de la Sala de lo Civil y lo Penal del Tribunal Superior de Justicia de Andalucía núm. 15/2011, de 13 de octubre, dictada en el procedimiento abreviado número 1-2011.</w:t>
      </w:r>
    </w:p>
    <w:p w:rsidR="00A90898" w:rsidRDefault="00A90898" w:rsidP="00A90898">
      <w:pPr>
        <w:pStyle w:val="TextoNormal"/>
      </w:pPr>
    </w:p>
    <w:p w:rsidR="00A90898" w:rsidRDefault="00A90898" w:rsidP="00A90898">
      <w:pPr>
        <w:pStyle w:val="TextoNormal"/>
      </w:pPr>
      <w:r w:rsidRPr="00A90898">
        <w:rPr>
          <w:rStyle w:val="NumeroAFNegritaCaracter"/>
        </w:rPr>
        <w:t>12</w:t>
      </w:r>
      <w:r>
        <w:t>. La estimación del amparo determina la improcedencia de la imposición de costas o multa al demandante de amparo, tal como solicita la parte comparecida, habida cuenta de que no cabe apreciar temeridad, mala fe o abuso de derechos en la formulación del recurso, en los términos exigidos por el art. 95.1 LOTC.</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don Francisco de Asís Serrano Castro y, en su virtud:</w:t>
      </w:r>
    </w:p>
    <w:p w:rsidR="00A90898" w:rsidRDefault="00A90898" w:rsidP="00A90898">
      <w:pPr>
        <w:pStyle w:val="TextoNormal"/>
      </w:pPr>
    </w:p>
    <w:p w:rsidR="00A90898" w:rsidRDefault="00A90898" w:rsidP="00A90898">
      <w:pPr>
        <w:pStyle w:val="TextoNormal"/>
      </w:pPr>
      <w:r>
        <w:t>1º Declarar que han sido vulnerados los derechos del demandante de acceso al recurso (art. 24.1 CE) y a un proceso con todas las garantías y a la presunción de inocencia (art. 24.2 CE).</w:t>
      </w:r>
    </w:p>
    <w:p w:rsidR="00A90898" w:rsidRDefault="00A90898" w:rsidP="00A90898">
      <w:pPr>
        <w:pStyle w:val="TextoNormal"/>
      </w:pPr>
    </w:p>
    <w:p w:rsidR="00A90898" w:rsidRDefault="00A90898" w:rsidP="00A90898">
      <w:pPr>
        <w:pStyle w:val="TextoNormal"/>
      </w:pPr>
      <w:r>
        <w:t xml:space="preserve">2º Restablecerle en sus derechos y, en consecuencia, declarar la nulidad del Auto de la Sala de lo Penal del Tribunal Supremo de 30 de octubre de 2012, aclarado por Auto de 20 de noviembre de 2012, por el que se acuerda no haber lugar a admitir a trámite el incidente de nulidad, y la Sentencia núm. 571/2012, de 29 de junio, dictada en el recurso de casación núm. 2171-2011; y declarar la firmeza de la Sentencia de la Sala de lo Civil y lo Penal del </w:t>
      </w:r>
      <w:r>
        <w:lastRenderedPageBreak/>
        <w:t>Tribunal Superior de Justicia de Andalucía núm. 15/2011, de 13 de octubre, dictada en el procedimiento abreviado número 1-2011.</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diecisiete de octubre de dos mil dieciséis.</w:t>
      </w:r>
    </w:p>
    <w:p w:rsidR="00A90898" w:rsidRDefault="00A90898" w:rsidP="00A90898">
      <w:pPr>
        <w:pStyle w:val="ParrafoNormal"/>
      </w:pPr>
    </w:p>
    <w:p w:rsidR="00A90898" w:rsidRDefault="00A90898" w:rsidP="00A90898">
      <w:pPr>
        <w:pStyle w:val="TextoNormalNegritaCentrado"/>
        <w:keepNext/>
      </w:pPr>
      <w:r>
        <w:t>Voto particular que formula el Magistrado don Juan Antonio Xiol Ríos a la Sentencia dictada en el recurso de amparo núm. 299-2013, al que se adhiere la Magistrada doña Encarnación Roca Trías.</w:t>
      </w:r>
    </w:p>
    <w:p w:rsidR="00A90898" w:rsidRDefault="00A90898" w:rsidP="00A90898">
      <w:pPr>
        <w:pStyle w:val="TextoNormalNegritaCentrado"/>
        <w:keepNext/>
      </w:pPr>
    </w:p>
    <w:p w:rsidR="00A90898" w:rsidRDefault="00A90898" w:rsidP="00A90898">
      <w:pPr>
        <w:pStyle w:val="TextoNormal"/>
      </w:pPr>
      <w:r>
        <w:t>Con respeto a la opinión mayoritaria de mis compañeros de Sala en la que se sustenta la Sentencia, manifiesto mi discrepancia con parte de la fundamentación jurídica y el fallo de esta. Considero que la demanda de amparo hubiera debido ser íntegramente desestimada.</w:t>
      </w:r>
    </w:p>
    <w:p w:rsidR="00A90898" w:rsidRDefault="00A90898" w:rsidP="00A90898">
      <w:pPr>
        <w:pStyle w:val="TextoNormal"/>
      </w:pPr>
    </w:p>
    <w:p w:rsidR="00A90898" w:rsidRDefault="00A90898" w:rsidP="00A90898">
      <w:pPr>
        <w:pStyle w:val="TextoNormal"/>
      </w:pPr>
      <w:r>
        <w:t>I. Una anómala configuración del derecho a la tutela judicial efectiva (art. 24.1 CE), desde la perspectiva del derecho de acceso al recurso.</w:t>
      </w:r>
    </w:p>
    <w:p w:rsidR="00A90898" w:rsidRDefault="00A90898" w:rsidP="00A90898">
      <w:pPr>
        <w:pStyle w:val="TextoNormal"/>
      </w:pPr>
    </w:p>
    <w:p w:rsidR="00A90898" w:rsidRDefault="00A90898" w:rsidP="00A90898">
      <w:pPr>
        <w:pStyle w:val="TextoNormal"/>
      </w:pPr>
      <w:r>
        <w:t>1. Mi primera discrepancia con la opinión mayoritaria en la que se sustenta la Sentencia se refiere al análisis y fundamentación que se realiza en relación con la decisión judicial de no inadmitir a trámite el primer motivo de casación formulado por la acusación particular o, en su defecto, no desestimarlo en sentencia por su defectuoso planteamiento. A mi juicio se hace una anómala configuración del derecho a la tutela judicial efectiva, en su concreta dimensión del derecho al recurso, pues, en mi criterio, no responde a la jurisprudencia del Tribunal Constitucional ni se explica la razón por la que debe ser modificada.</w:t>
      </w:r>
    </w:p>
    <w:p w:rsidR="00A90898" w:rsidRDefault="00A90898" w:rsidP="00A90898">
      <w:pPr>
        <w:pStyle w:val="TextoNormal"/>
      </w:pPr>
    </w:p>
    <w:p w:rsidR="00A90898" w:rsidRDefault="00A90898" w:rsidP="00A90898">
      <w:pPr>
        <w:pStyle w:val="TextoNormal"/>
      </w:pPr>
      <w:r>
        <w:t>La jurisprudencia constitucional ha establecido (i) que la decisión judicial de no inadmisión de un concreto motivo de recurso puede implicar una vulneración del art. 24.1 CE, en su concreta dimensión del derecho de acceso al recurso, en el mismo nivel que las decisiones judiciales en que se inadmite un recurso; y (ii) que esa decisión de no inadmisión resultará lesiva del derecho a la tutela judicial efectiva cuando incurra en algún defecto de motivación con relevancia constitucional, consistente en incongruencia, arbitrariedad, irracionabilidad, error patente o sea una decisión no fundada en derecho.</w:t>
      </w:r>
    </w:p>
    <w:p w:rsidR="00A90898" w:rsidRDefault="00A90898" w:rsidP="00A90898">
      <w:pPr>
        <w:pStyle w:val="TextoNormal"/>
      </w:pPr>
    </w:p>
    <w:p w:rsidR="00A90898" w:rsidRDefault="00A90898" w:rsidP="00A90898">
      <w:pPr>
        <w:pStyle w:val="TextoNormal"/>
      </w:pPr>
      <w:r>
        <w:t>La STC 149/2015, de 6 de julio, FJ 3, afirma que el art. 24.1 CE protege “a los ciudadanos frente a decisiones que rechacen la admisión de los mismos [recursos]; pero lo hace cuando esas decisiones son arbitrarias en la aplicación del Derecho, irrazonables o incurren en errores fácticos patentes (ATC 271/2008, de 15 de septiembre, FJ 2); una protección que, en los mismos términos, se da también frente a pronunciamientos judiciales de esas características que admitan indebidamente un recurso. Según hemos dicho en alguna ocasión, del mismo modo que ´la inadmisión irrazonable o arbitraria de un recurso legalmente previsto … lesiona el derecho a la tutela judicial efectiva … también la admisión de un recurso que legalmente no procede puede infringir el art. 24.1 de la Constitución´ (STC 187/1989, de 13 de noviembre, FJ 2)”.</w:t>
      </w:r>
    </w:p>
    <w:p w:rsidR="00A90898" w:rsidRDefault="00A90898" w:rsidP="00A90898">
      <w:pPr>
        <w:pStyle w:val="TextoNormal"/>
      </w:pPr>
    </w:p>
    <w:p w:rsidR="00A90898" w:rsidRDefault="00A90898" w:rsidP="00A90898">
      <w:pPr>
        <w:pStyle w:val="TextoNormal"/>
      </w:pPr>
      <w:r>
        <w:t>La opinión mayoritaria en la que se sustenta la Sentencia no ha proyectado en este caso un análisis sobre el razonamiento judicial de inadmisión para comprobar si se había incu</w:t>
      </w:r>
      <w:r>
        <w:lastRenderedPageBreak/>
        <w:t>rrido en algún defecto de motivación con relevancia constitucional. Por el contrario, partiendo de la afirmación de que la mera no inadmisión de un concreto motivo de recurso, cuando resulta procedente la inadmisión, implica un “exceso de jurisdicción”, ha entrado directamente a hacer una interpretación y aplicación de los requisitos de admisión del recurso de casación penal por la vía del art. 849.1 LECrim para verificar si en este caso era o no procedente la admisión de ese concreto motivo de recurso de casación.</w:t>
      </w:r>
    </w:p>
    <w:p w:rsidR="00A90898" w:rsidRDefault="00A90898" w:rsidP="00A90898">
      <w:pPr>
        <w:pStyle w:val="TextoNormal"/>
      </w:pPr>
    </w:p>
    <w:p w:rsidR="00A90898" w:rsidRDefault="00A90898" w:rsidP="00A90898">
      <w:pPr>
        <w:pStyle w:val="TextoNormal"/>
      </w:pPr>
      <w:r>
        <w:t>Con ello, a mi juicio, se ha postergado el análisis del extenso y amplio razonamiento formulado por la Sala de lo Penal del Tribunal Supremo para justificar su no inadmisión.</w:t>
      </w:r>
    </w:p>
    <w:p w:rsidR="00A90898" w:rsidRDefault="00A90898" w:rsidP="00A90898">
      <w:pPr>
        <w:pStyle w:val="TextoNormal"/>
      </w:pPr>
    </w:p>
    <w:p w:rsidR="00A90898" w:rsidRDefault="00A90898" w:rsidP="00A90898">
      <w:pPr>
        <w:pStyle w:val="TextoNormal"/>
      </w:pPr>
      <w:r>
        <w:t>2. La omisión por parte de la opinión mayoritaria en la que se sustenta la sentencia de un análisis sobre la concreta fundamentación de la decisión judicial de no inadmisión por parte del Tribunal Supremo parece ser plenamente consciente. Así se infiere en el texto de la sentencia de la afirmación de que la vulneración del art. 24.1 no se fundamenta en que “la Sentencia del Tribunal Supremo que se impugna no tenga motivación (que desde luego la tiene), ni quizá tampoco que haya indefensión (el acusado recurrente en amparo pudo oponerse al motivo y conoció lo que con él pretendía la parte acusadora, en lo que hace a atribuirle intención en su actuar), pero hay un exceso de jurisdicción (el motivo no debió ser admitido, tal como se planteaba, y menos todavía estimarlo)” (último párrafo del fundamento jurídico 5).</w:t>
      </w:r>
    </w:p>
    <w:p w:rsidR="00A90898" w:rsidRDefault="00A90898" w:rsidP="00A90898">
      <w:pPr>
        <w:pStyle w:val="TextoNormal"/>
      </w:pPr>
    </w:p>
    <w:p w:rsidR="00A90898" w:rsidRDefault="00A90898" w:rsidP="00A90898">
      <w:pPr>
        <w:pStyle w:val="TextoNormal"/>
      </w:pPr>
      <w:r>
        <w:t>La opinión mayoritaria en la que se sustenta la Sentencia parece así dar lugar a una novación jurisprudencial mutando un parámetro de control constitucional de larga raigambre y consenso en la jurisprudencia del Tribunal y en la doctrina. Bajo la invocación del art. 24.1 CE, el Tribunal Constitucional asumiría una supuesta función de interpretación directa de instituciones no directamente vinculadas con derechos sustantivos no intermediada por un eventual defecto constitucional de motivación del órgano judicial. Mi deseo es que esta aparente mutación jurisprudencial no tenga continuidad por la perturbadora confusión de planos que implica entre el ejercicio de la función del control constitucional del deber judicial de motivación, propia de la jurisdicción de amparo ejercida por el Tribunal Constitucional, y la función de interpretación y aplicación que corresponde al Poder Judicial, con el Tribunal Supremo en su cúspide.</w:t>
      </w:r>
    </w:p>
    <w:p w:rsidR="00A90898" w:rsidRDefault="00A90898" w:rsidP="00A90898">
      <w:pPr>
        <w:pStyle w:val="TextoNormal"/>
      </w:pPr>
    </w:p>
    <w:p w:rsidR="00A90898" w:rsidRDefault="00A90898" w:rsidP="00A90898">
      <w:pPr>
        <w:pStyle w:val="TextoNormal"/>
      </w:pPr>
      <w:r>
        <w:t>3. La opinión mayoritaria en la que se sustenta la Sentencia, por otra parte, viene, a mi juicio, a defender una posición que, si tiene continuidad, puede suponer una quiebra del trabajosamente conseguido equilibrio constitucional entre el Tribunal Constitucional y el Tribunal Supremo, en la medida en que prescindiendo del mero control externo propio de la invocación del art. 24.1 CE, que hasta ahora se venía desarrollando en esta jurisdicción de amparo, se considere como una habilitación para internarse en interpretaciones directas de cuestiones de legalidad ordinaria cuyo último y máximo interprete es el Tribunal Supremo. Un escenario de esas características, aún lejos de enfrentamientos institucionales felizmente superados, no contribuiría al mejor entendimiento entre ambos tribunales.</w:t>
      </w:r>
    </w:p>
    <w:p w:rsidR="00A90898" w:rsidRDefault="00A90898" w:rsidP="00A90898">
      <w:pPr>
        <w:pStyle w:val="TextoNormal"/>
      </w:pPr>
    </w:p>
    <w:p w:rsidR="00A90898" w:rsidRDefault="00A90898" w:rsidP="00A90898">
      <w:pPr>
        <w:pStyle w:val="TextoNormal"/>
      </w:pPr>
      <w:r>
        <w:t xml:space="preserve">La jurisprudencia constitucional ha sido muy constante en sustentar que el control que se puede desarrollar desde la perspectiva del art. 24.1 CE en relación con las decisiones sobre admisibilidad de los recursos de casación es, si cabe, más limitado, “porque la resolución judicial que se enjuicia es del Tribunal Supremo, a quien le está conferida la función de interpretar la ley —también, evidentemente, la procesal—, con el valor complementario </w:t>
      </w:r>
      <w:r>
        <w:lastRenderedPageBreak/>
        <w:t>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(así, STC 7/2015, de 22 de enero, FJ 2).</w:t>
      </w:r>
    </w:p>
    <w:p w:rsidR="00A90898" w:rsidRDefault="00A90898" w:rsidP="00A90898">
      <w:pPr>
        <w:pStyle w:val="TextoNormal"/>
      </w:pPr>
    </w:p>
    <w:p w:rsidR="00A90898" w:rsidRDefault="00A90898" w:rsidP="00A90898">
      <w:pPr>
        <w:pStyle w:val="TextoNormal"/>
      </w:pPr>
      <w:r>
        <w:t>En ese sentido, mi opinión es que la jurisprudencia constitucional debe seguir la tradicional senda de limitarse a un control externo en que, respetando el ámbito constitucional reservado al Tribunal Supremo de ser el máximo intérprete del ordenamiento jurídico excepto en cuestiones de derechos fundamentales, solo verifique una eventual vulneración del derecho fundamental a la tutela judicial efectiva derivada de que se haya incurrido en defectos de motivación con relevancia constitucional.</w:t>
      </w:r>
    </w:p>
    <w:p w:rsidR="00A90898" w:rsidRDefault="00A90898" w:rsidP="00A90898">
      <w:pPr>
        <w:pStyle w:val="TextoNormal"/>
      </w:pPr>
    </w:p>
    <w:p w:rsidR="00A90898" w:rsidRDefault="00A90898" w:rsidP="00A90898">
      <w:pPr>
        <w:pStyle w:val="TextoNormal"/>
      </w:pPr>
      <w:r>
        <w:t>4. Una proyección del tradicional parámetro constitucional de motivación en relación con las decisiones de admisibilidad de los recursos de casación, que fue el que defendí en la deliberación, hubiera debido determinar, en una opinión que comparto con el informe del Ministerio Fiscal ante el Tribunal Constitucional, la desestimación de este concreto motivo de amparo fundamentado en el art. 24.1 CE.</w:t>
      </w:r>
    </w:p>
    <w:p w:rsidR="00A90898" w:rsidRDefault="00A90898" w:rsidP="00A90898">
      <w:pPr>
        <w:pStyle w:val="TextoNormal"/>
      </w:pPr>
    </w:p>
    <w:p w:rsidR="00A90898" w:rsidRDefault="00A90898" w:rsidP="00A90898">
      <w:pPr>
        <w:pStyle w:val="TextoNormal"/>
      </w:pPr>
      <w:r>
        <w:t>En el presente caso ha quedado acreditado que (i) la acusación particular mantuvo durante la primera instancia que la conducta del ahora recurrente era constitutiva de un delito de prevaricación judicial doloso, cuando había sido condenado por un delito de prevaricación judicial imprudente; (ii) la acusación particular formuló recurso de casación alegando como primer motivo la infracción de ley del art. 849.1 de la Ley de enjuiciamiento criminal (LECrim), por considerar que se había infringido precepto penal sustantivo y normas jurídicas de igual carácter, como serian el art. 158.4 del Código civil y el art. 87.</w:t>
      </w:r>
      <w:r w:rsidRPr="00A90898">
        <w:rPr>
          <w:i/>
        </w:rPr>
        <w:t>ter</w:t>
      </w:r>
      <w:r>
        <w:t>.3 de la Ley Orgánica del Poder Judicial, argumentando que la conclusión de condenar por una simple prevaricación culposa choca con el texto literal del artículo 158 del Código civil y con todas las interpretaciones doctrinales y jurisprudenciales, concluyendo que el acusado “actuó a sabiendas de que tal instrumento legal no era adecuado para las circunstancias de aquella causa, y que con su utilización se estaba burlando … al juez competente” y que “[p]or tanto, la acusación particular considera con todo respeto que se debe casar la Sentencia 15 de 13.10.2011 dictando otra que sentencie al acusado por un delito de prevaricación dolosa”; (iii) el demandante de amparo impugnó dicho motivo, instando su inadmisión por no citarse ningún precepto penal sustantivo como infringido; y (iv) la Sentencia de casación, en relación con este concreto motivo, argumentó que si bien la impugnación no era del todo precisa, ya que se designa como precepto penal sustantivo uno del Código civil y una norma de la Ley Orgánica del Poder Judicial atributiva de las competencias de los juzgados de violencia contra la mujer, eso “no supone que no podamos analizar la impugnación y darle el contenido preciso que resulta de la argumentación del motivo en lo que refiere el error en la aplicación de los precepto que designa. Entiende, y es el fundamento de su queja, que se debió de calificar de dolosa la prevaricación que el tribunal de instancia ha declarado imprudente y si no lo ha hecho, afirma en el recurso, ha sido por una defectuosa interpretación de los artículos del Código civil y de la Ley Orgánica del Poder Judicial que designa. Consecuentemente, su razón de recurrir es clara y así ha sido entendido por la defensa” (fundamento de Derecho primero).</w:t>
      </w:r>
    </w:p>
    <w:p w:rsidR="00A90898" w:rsidRDefault="00A90898" w:rsidP="00A90898">
      <w:pPr>
        <w:pStyle w:val="TextoNormal"/>
      </w:pPr>
    </w:p>
    <w:p w:rsidR="00A90898" w:rsidRDefault="00A90898" w:rsidP="00A90898">
      <w:pPr>
        <w:pStyle w:val="TextoNormal"/>
      </w:pPr>
      <w:r>
        <w:lastRenderedPageBreak/>
        <w:t>Pues bien, en atención a lo expuesto, la decisión judicial de no inadmitir este motivo de casación ante la ausencia de la concreta cita de los preceptos penales sustantivos que se decían infringidos no se advierte que haya vulnerado el art. 24.1 CE, ya que, en mi opinión, no ha incurrido en ningún defecto de motivación con relevancia constitucional. La motivación expuesta por el Tribunal Supremo para, aun reconociendo la ausencia de la cita de los preceptos penales sustantivos, entrar a analizar el fondo de lo alegado en ese motivo de casación, responde, tal como se hacía expreso en la sentencia de casación, por un lado, a que quedaba clara la voluntad impugnativa de la acusación particular y, por otro, a que también del desarrollo de ese motivo se ponía de manifiesto que la infracción de ley que se achacaba a la Sentencia de instancia consistía en haber calificado la conducta del ahora demandante de amparo como prevaricación culposa en vez de prevaricación dolosa, excluyendo con ello cualquier posibilidad de indefensión.</w:t>
      </w:r>
    </w:p>
    <w:p w:rsidR="00A90898" w:rsidRDefault="00A90898" w:rsidP="00A90898">
      <w:pPr>
        <w:pStyle w:val="TextoNormal"/>
      </w:pPr>
    </w:p>
    <w:p w:rsidR="00A90898" w:rsidRDefault="00A90898" w:rsidP="00A90898">
      <w:pPr>
        <w:pStyle w:val="TextoNormal"/>
      </w:pPr>
      <w:r>
        <w:t>Esta decisión, por tanto, no puede ser calificada de arbitraria, ya que, se esté de acuerdo o no con la misma, se sustenta en un proceso de razonamiento sobre la preponderancia de la voluntad impugnativa frente a otras exigencias derivadas del formalismo jurídico. Por otra parte, este razonamiento no puede ser calificado como irrazonable, toda vez que hace explícitas las premisas fácticas y jurídicas de las que parte y las conclusiones a las que llega sin incurrir en ningún tipo de salto lógico que haga irreconocible el proceso argumental o lo sitúe de una manera patente fuera de los criterios de razonamiento jurídico comúnmente aceptados por la comunidad jurídica.</w:t>
      </w:r>
    </w:p>
    <w:p w:rsidR="00A90898" w:rsidRDefault="00A90898" w:rsidP="00A90898">
      <w:pPr>
        <w:pStyle w:val="TextoNormal"/>
      </w:pPr>
    </w:p>
    <w:p w:rsidR="00A90898" w:rsidRDefault="00A90898" w:rsidP="00A90898">
      <w:pPr>
        <w:pStyle w:val="TextoNormal"/>
      </w:pPr>
      <w:r>
        <w:t>En consecuencia, en la medida en que se estaba ante una mera discrepancia de legalidad ordinaria sobre el grado de flexibilidad con el que la Sala de lo Penal del Tribunal Supremo debía interpretar los requisitos formales de admisibilidad de un concreto motivo de casación, pero sin que se hubiera puesto de manifiesto que en dicha decisión se hubiera incurrido en ningún defecto de motivación con relevancia constitucional, debería de haberse desestimado la aducida vulneración del art. 24.1 CE en lo que a este particular se refiere, respetando de ese modo la función y posición constitucional que tiene el Tribunal Supremo como máximo interprete y aplicador del ordenamiento jurídico en materia que no sean los derechos fundamentales.</w:t>
      </w:r>
    </w:p>
    <w:p w:rsidR="00A90898" w:rsidRDefault="00A90898" w:rsidP="00A90898">
      <w:pPr>
        <w:pStyle w:val="TextoNormal"/>
      </w:pPr>
    </w:p>
    <w:p w:rsidR="00A90898" w:rsidRDefault="00A90898" w:rsidP="00A90898">
      <w:pPr>
        <w:pStyle w:val="TextoNormal"/>
      </w:pPr>
      <w:r>
        <w:t>II. El interminable debate sobre las garantías constitucionales para la agravación de condenas en segunda instancia derivadas de una controversia sobre la concurrencia de un elemento subjetivo del delito.</w:t>
      </w:r>
    </w:p>
    <w:p w:rsidR="00A90898" w:rsidRDefault="00A90898" w:rsidP="00A90898">
      <w:pPr>
        <w:pStyle w:val="TextoNormal"/>
      </w:pPr>
    </w:p>
    <w:p w:rsidR="00A90898" w:rsidRDefault="00A90898" w:rsidP="00A90898">
      <w:pPr>
        <w:pStyle w:val="TextoNormal"/>
      </w:pPr>
      <w:r>
        <w:t>5. Mi segunda discrepancia con la opinión mayoritaria en la que se sustenta la Sentencia radica en la proyección que se ha hecho al caso de la jurisprudencia constitucional sobre la agravación de condenas en segunda instancia con fundamento en una controversia sobre la concurrencia de un elemento subjetivo del delito.</w:t>
      </w:r>
    </w:p>
    <w:p w:rsidR="00A90898" w:rsidRDefault="00A90898" w:rsidP="00A90898">
      <w:pPr>
        <w:pStyle w:val="TextoNormal"/>
      </w:pPr>
    </w:p>
    <w:p w:rsidR="00A90898" w:rsidRDefault="00A90898" w:rsidP="00A90898">
      <w:pPr>
        <w:pStyle w:val="TextoNormal"/>
      </w:pPr>
      <w:r>
        <w:t xml:space="preserve">Soy consciente de que la jurisprudencia constitucional y la del Tribunal Europeo de Derechos Humanos sobre esa concreta cuestión no resulta de fácil aplicación por los órganos judiciales penales de segunda instancia en atención a la concreta regulación legal del sistema de recurso penal. Esa dificultad se ve agravada en el caso de la Sala de lo Penal del Tribunal Supremo habida cuenta de que el recurso de casación penal, hasta la entrada en vigor de la Ley 41/2015, de 5 de octubre, ha debido cumplir una función revisora de segunda instancia </w:t>
      </w:r>
      <w:r>
        <w:lastRenderedPageBreak/>
        <w:t>alejada de la especial configuración legal que es propia del carácter extraordinario del recurso de casación. Hay que reconocer que si ha sido importante el esfuerzo de clarificación y delimitación de esta doctrina por parte del Tribunal Constitucional desde la ya lejana STC 167/2002, de 18 de septiembre, aún más lo ha sido el de la Sala Segunda del Tribunal Supremo en su concreta aplicación discriminando aquellas cuestiones que, por ser exclusivamente jurídicas y no fácticas, no podían ser objeto de revisión peyorativa.</w:t>
      </w:r>
    </w:p>
    <w:p w:rsidR="00A90898" w:rsidRDefault="00A90898" w:rsidP="00A90898">
      <w:pPr>
        <w:pStyle w:val="TextoNormal"/>
      </w:pPr>
    </w:p>
    <w:p w:rsidR="00A90898" w:rsidRDefault="00A90898" w:rsidP="00A90898">
      <w:pPr>
        <w:pStyle w:val="TextoNormal"/>
      </w:pPr>
      <w:r>
        <w:t>6. La opinión mayoritaria en la que se sustenta la Sentencia afirma que se ha producido una vulneración del derecho a un proceso con todas las garantías (art. 24.2 CE) con el argumento de que (i) el presente caso representa uno de los supuestos en que por la naturaleza de la controversia no era posible una agravación de la condena en la segunda instancia sin celebrar audiencia pública al ser necesaria una revaloración de pruebas personales que debían practicarse garantizado la debida inmediación; y (ii) la concreta vista desarrollada ante el órgano judicial de casación y la intervención que en ella tuvo el recurrente no resultaba suficiente para colmar las garantías debidas al haber sido necesario la práctica efectiva de pruebas personales en la segunda instancia.</w:t>
      </w:r>
    </w:p>
    <w:p w:rsidR="00A90898" w:rsidRDefault="00A90898" w:rsidP="00A90898">
      <w:pPr>
        <w:pStyle w:val="TextoNormal"/>
      </w:pPr>
    </w:p>
    <w:p w:rsidR="00A90898" w:rsidRDefault="00A90898" w:rsidP="00A90898">
      <w:pPr>
        <w:pStyle w:val="TextoNormal"/>
      </w:pPr>
      <w:r>
        <w:t>No comparto el razonamiento utilizado para llegar a la primera conclusión, ya que la cuestión controvertida en la segunda instancia no tenía ninguna relación con aspectos de valoración probatoria de pruebas personales relativos a la conformación del relato de hechos probados en la instancia. La sentencia de casación es concluyente en no modificar ninguno de los hechos declarados probados en la sentencia de instancia ni tampoco en revalorar o revisar cualquier tipo de actividad probatoria de naturaleza personal. La controversia siempre estuvo ubicada en una cuestión interpretativa respecto de los ámbitos de aplicación de la prevaricación judicial imprudente y dolosa. Así fue puesto de manifiesto de manera explícita por la Sentencia de casación en su fundamento jurídico cuarto cuando se afirma que el único ámbito de aplicación posible del delito de prevaricación imprudente es “el de desatención grave de la oficina judicial causal a una actuación judicial manifiestamente injusta, lo que no es el caso de autos”. No obstante, el hecho de que la controversia en la segunda instancia versara sobre la posibilidad de considerar dolosa, y no imprudente, la conducta prevaricadora del recurrente fue suficiente para que, tal como decidió el Tribunal Supremo, se le garantizara la posibilidad de dirigirse al tribunal de casación.</w:t>
      </w:r>
    </w:p>
    <w:p w:rsidR="00A90898" w:rsidRDefault="00A90898" w:rsidP="00A90898">
      <w:pPr>
        <w:pStyle w:val="TextoNormal"/>
      </w:pPr>
    </w:p>
    <w:p w:rsidR="00A90898" w:rsidRDefault="00A90898" w:rsidP="00A90898">
      <w:pPr>
        <w:pStyle w:val="TextoNormal"/>
      </w:pPr>
      <w:r>
        <w:t>7. De ese modo, mi principal discrepancia con la opinión mayoritaria en la que se sustenta la sentencia en cuanto a esta concreta cuestión se produce en torno a la afirmación de que la intervención del recurrente en la vista de casación no colmó las garantías constitucionales necesarias. Una vez acreditado que en la segunda instancia la cuestión controvertida nada tenía que ver con cuestiones relativas a la valoración de pruebas personales que exigieran la inmediación, considero que la posibilidad efectiva que se dio al recurrente de intervenir ante el Tribunal Supremo en defensa de su pretensión colma cualquiera de los estándares de la jurisprudencia constitucional y la del Tribunal Europeo de Derechos Humanos, por lo que, como también ha sostenido el Ministerio Fiscal ante el Tribunal Constitucional, debería haberse concluido que no se había producido la vulneración aducida del art. 24.2 CE en este particular.</w:t>
      </w:r>
    </w:p>
    <w:p w:rsidR="00A90898" w:rsidRDefault="00A90898" w:rsidP="00A90898">
      <w:pPr>
        <w:pStyle w:val="TextoNormal"/>
      </w:pPr>
    </w:p>
    <w:p w:rsidR="00A90898" w:rsidRDefault="00A90898" w:rsidP="00A90898">
      <w:pPr>
        <w:pStyle w:val="TextoNormal"/>
      </w:pPr>
      <w:r>
        <w:t xml:space="preserve">Por lo que se refiere a los requisitos que debe cumplir la intervención de un acusado en la segunda instancia para colmar las exigencias derivadas del derecho de audiencia, la STC 105/2016, de 6 de junio, ha establecido que no resulta preciso que exista un interrogatorio </w:t>
      </w:r>
      <w:r w:rsidRPr="00A90898">
        <w:rPr>
          <w:i/>
        </w:rPr>
        <w:lastRenderedPageBreak/>
        <w:t>stricto sensu</w:t>
      </w:r>
      <w:r>
        <w:t xml:space="preserve"> y que, ante la ausencia de una previsión legal, una intervención al final de la vista para pronunciarse sobre los motivos del recurso resulta especialmente respetuosa con el derecho de defensa, ya que esa intervención da la oportunidad al acusado de exponer todo aquello que estime pertinente para su mejor defensa, sirviendo a su derecho a ser oído personalmente y al derecho de defensa contradictoria (SSTC 181/1994, de 20 de junio, FJ 3; 13/2006, de 16 de enero, FJ 4, y 258/2007, de 18 de diciembre, FJ 2); y ha concluido que la celebración de una vista pública en la que “los acusados han podido ser oídos personalmente por el Tribunal de segunda instancia, han podido confrontar los elementos de juicio que van a ser tomados en consideración por el órgano judicial y han podido responder a lo planteado allí cubre las exigencias de audiencia al acusado como posibilidad de defenderse exponiendo su testimonio personal (STC 157/2013, de 23 de septiembre, FJ 7)” (FJ 7). A esa misma conclusión ha llegado la STEDH de 20 de septiembre de 2016, </w:t>
      </w:r>
      <w:r w:rsidRPr="00A90898">
        <w:rPr>
          <w:i/>
        </w:rPr>
        <w:t>caso Hernández Royo c. España</w:t>
      </w:r>
      <w:r>
        <w:t>, al rechazar que una condena en segunda instancia vulnerara el art. 6.1 del Convenio europeo para la protección de los derechos humanos y de las libertades fundamentales, una vez verificado que uno de los demandantes acudió a la vista de segunda instancia, junto a su representante, pero no deseó intervenir, en una conclusión que es coincidente con la que sostuvo este Tribunal en la STC 152/2011, de 17 de octubre, FJ 7.</w:t>
      </w:r>
    </w:p>
    <w:p w:rsidR="00A90898" w:rsidRDefault="00A90898" w:rsidP="00A90898">
      <w:pPr>
        <w:pStyle w:val="TextoNormal"/>
      </w:pPr>
    </w:p>
    <w:p w:rsidR="00A90898" w:rsidRDefault="00A90898" w:rsidP="00A90898">
      <w:pPr>
        <w:pStyle w:val="TextoNormal"/>
      </w:pPr>
      <w:r>
        <w:t>En el presente caso, la Sentencia de casación en su antecedente de hecho séptimo hace expreso que “[e]l magistrado imputado en los hechos asistió a la vista del recurso de casación ocupando un lugar en el estrado junto a su abogado defensor con el que comunicó y en algún momento expuso su opinión sobre el contenido de su defensa y de los recursos planteados”. Igualmente, en el auto resolutorio del incidente de nulidad de actuaciones la Sala de lo Penal del Tribunal Supremo afirma que la “presencia fue solicitada por la propia defensa y autorizada por la Sala y la misma no se limitó a ocupar un lugar entre el público sino que se dispuso su ubicación en estrados, junto a su defensa (…). Su lugar en estrados, con el atuendo de quien ostenta la condición de Letrado, le autorizaba a expresar lo que le conviniera en el recurso revisor de su condena planteado por la acusación particular, como lo hizo. En efecto, el recurrente en nulidad que asistió a la vista de casación en los términos señalados intervino en la vista de la casación para reiterar lo que ya había dicho su defensa, que sus resoluciones –las que eran objeto de la condena−, habían sido confirmadas en dos ocasiones por la Sección competente de la Audiencia Provincial a quien correspondía la revisión en el recurso de apelación” (fundamento de Derecho segundo).</w:t>
      </w:r>
    </w:p>
    <w:p w:rsidR="00A90898" w:rsidRDefault="00A90898" w:rsidP="00A90898">
      <w:pPr>
        <w:pStyle w:val="TextoNormal"/>
      </w:pPr>
    </w:p>
    <w:p w:rsidR="00A90898" w:rsidRDefault="00A90898" w:rsidP="00A90898">
      <w:pPr>
        <w:pStyle w:val="TextoNormal"/>
      </w:pPr>
      <w:r>
        <w:t>En atención a la jurisprudencia expuesta, y atendiendo a la naturaleza de la cuestión controvertida, considero que la única conclusión posible era la de que el Tribunal Supremo dio cumplimiento a la garantía de audiencia del recurrente. No solo se dio la posibilidad efectiva al demandante de amparo de intervención en la vista a través de su abogado, por la posición física que ocupaba junto al mismo durante todo su desarrollo, permitiendo la comunicación sin ningún tipo de limitación; sino que, además, intervino directa y personalmente en la vista dirigiéndose al órgano judicial para alegar lo que a su derecho convenía en atención al debate que se estaba desarrollando. Por tanto, también debió concluirse que no se había producido la vulneración aducida del art. 24.2 CE en este particular, lo que unido al rechazo de los demás motivos de amparo hubiera debido determinar su íntegra desestimación.</w:t>
      </w:r>
    </w:p>
    <w:p w:rsidR="00A90898" w:rsidRDefault="00A90898" w:rsidP="00A90898">
      <w:pPr>
        <w:pStyle w:val="TextoNormal"/>
      </w:pPr>
    </w:p>
    <w:p w:rsidR="00A90898" w:rsidRDefault="00A90898" w:rsidP="00A90898">
      <w:pPr>
        <w:pStyle w:val="TextoNormal"/>
      </w:pPr>
      <w:r>
        <w:t>Madrid, a diecisiete de octubre de dos mil dieciséis.-Juan Antonio Xiol Ríos.-Encarnación Roca Trías.-Firmado y rubricado.</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2" w:name="SENTENCIA_2016_173"/>
      <w:r>
        <w:lastRenderedPageBreak/>
        <w:t>SENTENCIA 173/2016, de 17 de octubre de 2016</w:t>
      </w:r>
    </w:p>
    <w:bookmarkEnd w:id="52"/>
    <w:p w:rsidR="00A90898" w:rsidRDefault="00A90898" w:rsidP="00A90898">
      <w:pPr>
        <w:pStyle w:val="TtuloResolucin"/>
      </w:pPr>
      <w:r>
        <w:t>Sala Primera</w:t>
      </w:r>
    </w:p>
    <w:p w:rsidR="00A90898" w:rsidRDefault="00A90898" w:rsidP="00A90898">
      <w:pPr>
        <w:pStyle w:val="TtuloBOE"/>
      </w:pPr>
      <w:r>
        <w:t>(BOE núm. 285, de 25 de noviembre de 2016)</w:t>
      </w:r>
    </w:p>
    <w:p w:rsidR="00A90898" w:rsidRDefault="00A90898" w:rsidP="00A90898">
      <w:pPr>
        <w:pStyle w:val="TextoNormalCentrado"/>
      </w:pPr>
      <w:r>
        <w:t>ECLI:ES:TC:2016:173</w:t>
      </w:r>
    </w:p>
    <w:p w:rsidR="00A90898" w:rsidRDefault="00A90898" w:rsidP="00A90898">
      <w:pPr>
        <w:pStyle w:val="TextoNormalCentrado"/>
      </w:pPr>
    </w:p>
    <w:p w:rsidR="00A90898" w:rsidRDefault="00A90898" w:rsidP="00A90898">
      <w:pPr>
        <w:pStyle w:val="SntesisDescriptiva"/>
      </w:pPr>
      <w:r>
        <w:t>Recurso de amparo 3143-2013. Promovido por Construcciones Zenón Sánchez Pérez, S.L., respecto de las resoluciones del Tribunal Superior de Justicia de Canarias y de un Juzgado de lo Social de Las Palmas de Gran Canarias teniendo por no anunciado recurso de suplicación en proceso por despido.</w:t>
      </w:r>
    </w:p>
    <w:p w:rsidR="00A90898" w:rsidRDefault="00A90898" w:rsidP="00A90898">
      <w:pPr>
        <w:pStyle w:val="SntesisDescriptiva"/>
      </w:pPr>
    </w:p>
    <w:p w:rsidR="00A90898" w:rsidRDefault="00A90898" w:rsidP="00A90898">
      <w:pPr>
        <w:pStyle w:val="SntesisAnaltica"/>
      </w:pPr>
      <w:r>
        <w:t>Supuesta vulneración del derecho a la tutela judicial efectiva (acceso al recurso): inadmisión de recurso de suplicación fundada en el incumplimiento del requisito de consignación de la cantidad objeto de condena (STC 166/2016).</w:t>
      </w:r>
    </w:p>
    <w:p w:rsidR="00A90898" w:rsidRDefault="00A90898" w:rsidP="00A90898">
      <w:pPr>
        <w:pStyle w:val="SntesisAnaltica"/>
      </w:pPr>
    </w:p>
    <w:p w:rsidR="00A90898" w:rsidRDefault="00A90898" w:rsidP="00A90898">
      <w:pPr>
        <w:pStyle w:val="Extracto"/>
      </w:pPr>
      <w:r>
        <w:t>1.</w:t>
      </w:r>
      <w:r>
        <w:tab/>
        <w:t>Asunto sustancialmente idéntico al resuelto por la STC 166/2016, de 6 de octubre de 2016, en relación con el requisito de la consignación de la cantidad adeudada al momento de la interposición del recurso de suplicación [FFJJ 3 a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3143-2013, promovido por Construcciones Zenón Sánchez Pérez, S.L., representada por la Procuradora de los Tribunales doña Teresa de Jesús Castros Rodríguez y asistida por el Abogado don Fermín Ojeda Medina, contra el Auto del Juzgado de lo Social núm. 6 de Las Palmas de Gran Canaria de 5 de noviembre de 2012, dictado en los autos núm. 61-2012 sobre despido, y por el que se tiene por no anunciado el recurso de suplicación pretendido por la recurrente, así como contra el Auto de la Sala de lo Social del Tribunal Superior de Justicia de Canarias (Las Palmas), de 18 de marzo de 2013, que desestima el recurso de queja interpuesto frente al citado Auto del Juzgado de lo Social núm. 6 de Las Palmas de Gran Canaria. Ha comparecido don Álvaro Sánchez Espino, representado por la Procuradora de los Tribunales doña Delia Villalonga Vicens. Ha intervenido el Ministerio Fiscal. Ha sido Ponente el Presidente don Francisco Pérez de los Cobos Orihuel,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24 de mayo de 2013, la entidad mercantil Construcciones Zenón Sánchez Pérez, S.L., interpuso recurso de amparo contra las resoluciones citadas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los que se fundamenta la demanda, sucintamente expuestos, son los siguientes:</w:t>
      </w:r>
    </w:p>
    <w:p w:rsidR="00A90898" w:rsidRDefault="00A90898" w:rsidP="00A90898">
      <w:pPr>
        <w:pStyle w:val="TextoNormal"/>
      </w:pPr>
    </w:p>
    <w:p w:rsidR="00A90898" w:rsidRDefault="00A90898" w:rsidP="00A90898">
      <w:pPr>
        <w:pStyle w:val="TextoNormal"/>
      </w:pPr>
      <w:r>
        <w:t>a) Frente a Construcciones Zenón Sánchez Pérez, S.L., y el Fondo de Garantía Salarial, se siguieron los autos de despido núm. 61-2012 a instancia de don Álvaro Sánchez Espino, un trabajador de la citada entidad a quien ésta había entregado carta de extinción contractual por causas objetivas, alegando pérdidas globales del año 2010 y el resultado negativo de la cuenta de explotación a fecha 20 de noviembre de 2010, así como la existencia de dos expedientes de regulación de empleo tramitados en el año 2010 (uno, extintivo, y otro, suspensivo). Dicho despido fue declarado improcedente mediante Sentencia del Juzgado de lo Social núm. 6 de Las Palmas de Gran Canaria, de 24 de mayo de 2012, en la que se condenó a la empresa a la readmisión del trabajador o, alternativamente, a que le indemnizara en la cantidad de 56.032,20 €, con el abono en todo caso de los salarios dejados de percibir desde la fecha del despido hasta la notificación de la Sentencia, a razón de 44,47 € diarios, si bien, advirtiendo que de dicha cantidad habría que descontar 9.827,14 € ya percibidos por el actor.</w:t>
      </w:r>
    </w:p>
    <w:p w:rsidR="00A90898" w:rsidRDefault="00A90898" w:rsidP="00A90898">
      <w:pPr>
        <w:pStyle w:val="TextoNormal"/>
      </w:pPr>
    </w:p>
    <w:p w:rsidR="00A90898" w:rsidRDefault="00A90898" w:rsidP="00A90898">
      <w:pPr>
        <w:pStyle w:val="TextoNormal"/>
      </w:pPr>
      <w:r>
        <w:t>b) Por parte de Construcciones Zenón Sánchez Pérez, S.L., el 19 de junio de 2012 se presentó escrito ante el Juzgado de lo Social núm. 6 de Las Palmas de Gran Canaria, por el que, además de comunicar la opción por el abono de la indemnización, anunciaba el propósito de recurrir en suplicación la Sentencia de ese Juzgado de 24 de mayo de 2012. En cuanto al requisito de la consignación de la cantidad adeudada para recurrir [art. 230 de la Ley 36/2011, de 10 de octubre, reguladora de la jurisdicción social (LJS)] se señalaba en el referido escrito que, dada la falta de liquidez de la empresa y la imposibilidad de que se le conceda aval bancario, así como su situación pre-concursal (procedimiento 21-2012), se adjuntaba como garantía escritura de hipoteca inmobiliaria unilateral a favor del trabajador demandante, por el importe objeto de condena (46.205,06 €), de un bien inmobiliario libre de cargas, con una valoración catastral de 103.493,52 €. Por escrito de 20 de junio de 2012, la empresa aportó: i) una diligencia de subsanación de hipoteca inmobiliaria unilateral, que se decía estaba destinada a garantizar la cantidad económica establecida en la Sentencia condenatoria, esto es, 54.565,06 €; ii) certificado de una entidad de crédito relativo a la denegación del aval bancario en atención a los parámetros en la concesión de riesgos que esa entidad determinaba.</w:t>
      </w:r>
    </w:p>
    <w:p w:rsidR="00A90898" w:rsidRDefault="00A90898" w:rsidP="00A90898">
      <w:pPr>
        <w:pStyle w:val="TextoNormal"/>
      </w:pPr>
    </w:p>
    <w:p w:rsidR="00A90898" w:rsidRDefault="00A90898" w:rsidP="00A90898">
      <w:pPr>
        <w:pStyle w:val="TextoNormal"/>
      </w:pPr>
      <w:r>
        <w:t>Consta que, mediante decreto de 5 de junio de 2012 del Juzgado de lo Mercantil núm. 2 de Las Palmas de Gran Canaria (procedimiento 21-2012), se tiene por personada y parte a la empresa recurrente y por realizada la comunicación a ese Juzgado del inicio de negociaciones con los acreedores por parte de la misma en orden a la consecución de adhesiones necesarias para la admisión de una propuesta anticipada de convenio en un procedimiento concursal (art. 5 bis de la Ley concursal). En dicho decreto se advierte que, a partir de 25 de julio de 2012, la entidad dispondría de un mes para presentar en todo caso la solicitud de concurso voluntario, a menos que no se encontrara en estado de insolvencia.</w:t>
      </w:r>
    </w:p>
    <w:p w:rsidR="00A90898" w:rsidRDefault="00A90898" w:rsidP="00A90898">
      <w:pPr>
        <w:pStyle w:val="TextoNormal"/>
      </w:pPr>
    </w:p>
    <w:p w:rsidR="00A90898" w:rsidRDefault="00A90898" w:rsidP="00A90898">
      <w:pPr>
        <w:pStyle w:val="TextoNormal"/>
      </w:pPr>
      <w:r>
        <w:t>c) Por diligencia de ordenación del Juzgado de lo Social núm. 6 de Las Palmas de Gran Canaria, de 8 de agosto de 2012, se concedió a la empresa recurrente un plazo de cinco días al objeto de que subsanara la falta de consignación de la cantidad adeudada para recurrir, dado que el art. 230.1 LJS prevé solo la consignación en metálico o el aval solidario emitido por entidad de crédito.</w:t>
      </w:r>
    </w:p>
    <w:p w:rsidR="00A90898" w:rsidRDefault="00A90898" w:rsidP="00A90898">
      <w:pPr>
        <w:pStyle w:val="TextoNormal"/>
      </w:pPr>
    </w:p>
    <w:p w:rsidR="00A90898" w:rsidRDefault="00A90898" w:rsidP="00A90898">
      <w:pPr>
        <w:pStyle w:val="TextoNormal"/>
      </w:pPr>
      <w:r>
        <w:t>d) Mediante escrito presentado el 12 de septiembre de 2012, la empresa formuló recurso de reposición frente a la anterior diligencia. En dicho escrito alegó la infracción de la doctrina fijada en la STC de 27 de enero de 1994 y, en atención a ella, adujo la concurrencia de hechos de excepcionalidad suficientes para que fuera admitida la garantía hipotecaria ofrecida, señalando que, de no tenerse por anunciado el recurso de suplicación, se vulneraría el derecho a la tutela judicial efectiva en su vertiente de acceso al recurso.</w:t>
      </w:r>
    </w:p>
    <w:p w:rsidR="00A90898" w:rsidRDefault="00A90898" w:rsidP="00A90898">
      <w:pPr>
        <w:pStyle w:val="TextoNormal"/>
      </w:pPr>
    </w:p>
    <w:p w:rsidR="00A90898" w:rsidRDefault="00A90898" w:rsidP="00A90898">
      <w:pPr>
        <w:pStyle w:val="TextoNormal"/>
      </w:pPr>
      <w:r>
        <w:t>Dicho recurso de reposición fue desestimado por decreto de 31 de octubre de 2012 del Secretario judicial del Juzgado de lo Social núm. 6 de Las Palmas, en atención al tenor del art. 230.1 LJS y, con apoyo en la STC de 13 de marzo de 2000, razonando también respecto a la pérdida de la liquidez de la garantía real, máxime si se tiene en cuenta la situación del mercado inmobiliario del momento, caracterizado por la fuerte depreciación de los bienes de este tipo y la falta de postores a las subastas judiciales. A ello añade además que por la parte actora se considera insuficiente la garantía ofrecida porque no comprende el importe de los salarios de tramitación.</w:t>
      </w:r>
    </w:p>
    <w:p w:rsidR="00A90898" w:rsidRDefault="00A90898" w:rsidP="00A90898">
      <w:pPr>
        <w:pStyle w:val="TextoNormal"/>
      </w:pPr>
    </w:p>
    <w:p w:rsidR="00A90898" w:rsidRDefault="00A90898" w:rsidP="00A90898">
      <w:pPr>
        <w:pStyle w:val="TextoNormal"/>
      </w:pPr>
      <w:r>
        <w:t>Por escrito presentado el 12 de noviembre de 2012, Construcciones Zenón Sánchez Pérez, S.L., interpuso recurso de revisión frente al anterior decreto, en que, junto a otras alegaciones —muchas de ellas ya vertidas en escritos previos—, añadió que la garantía hipotecaria sí se había realizado por un importe que incluía la indemnización más los salarios de tramitación, que además el valor catastral del bien inmueble era muy superior a lo garantizado, y que en ese momento se encontraba ya en situación de concurso voluntario. Respecto a este último dato consta que, por Auto del Juzgado de lo Mercantil núm. 2 de Las Palmas, de fecha 22 de octubre de 2012, se declaró en concurso voluntario a Construcciones Zenón Sánchez Pérez, S.L.</w:t>
      </w:r>
    </w:p>
    <w:p w:rsidR="00A90898" w:rsidRDefault="00A90898" w:rsidP="00A90898">
      <w:pPr>
        <w:pStyle w:val="TextoNormal"/>
      </w:pPr>
    </w:p>
    <w:p w:rsidR="00A90898" w:rsidRDefault="00A90898" w:rsidP="00A90898">
      <w:pPr>
        <w:pStyle w:val="TextoNormal"/>
      </w:pPr>
      <w:r>
        <w:t>El citado recurso de revisión fue desestimado por Auto del Juzgado de lo Social núm. 6 de Las Palmas de Gran Canaria, de 21 de enero de 2013, en tanto se dice compartir los razonamientos del decreto recurrido, citando de nuevo la STC de 13 de marzo de 2000 y señalando que, a la luz del art. 3.1 del Código civil (realidad social del tiempo en que se aplican las normas), la actual situación del mercado inmobiliario hace que la garantía resulte inaceptable.</w:t>
      </w:r>
    </w:p>
    <w:p w:rsidR="00A90898" w:rsidRDefault="00A90898" w:rsidP="00A90898">
      <w:pPr>
        <w:pStyle w:val="TextoNormal"/>
      </w:pPr>
    </w:p>
    <w:p w:rsidR="00A90898" w:rsidRDefault="00A90898" w:rsidP="00A90898">
      <w:pPr>
        <w:pStyle w:val="TextoNormal"/>
      </w:pPr>
      <w:r>
        <w:t>e) Mediante Auto del Juzgado de lo Social núm. 6 de Las Palmas de Gran Canaria, de 5 de noviembre de 2012, se tuvo por no anunciado el recurso de suplicación pretendido por Construcciones Zenón Sánchez Pérez, S.L., en aplicación del art. 195.2 LJS. En dicha resolución se indica que se acepta íntegramente y se asumen los argumentos expuestos en el decreto del Secretario de 31 de diciembre de 2012, por ser ajustados a derecho.</w:t>
      </w:r>
    </w:p>
    <w:p w:rsidR="00A90898" w:rsidRDefault="00A90898" w:rsidP="00A90898">
      <w:pPr>
        <w:pStyle w:val="TextoNormal"/>
      </w:pPr>
    </w:p>
    <w:p w:rsidR="00A90898" w:rsidRDefault="00A90898" w:rsidP="00A90898">
      <w:pPr>
        <w:pStyle w:val="TextoNormal"/>
      </w:pPr>
      <w:r>
        <w:lastRenderedPageBreak/>
        <w:t>f) Frente al anterior Auto se interpuso recurso de queja por la empresa demandada, insistiendo en alegaciones formuladas en escritos previos y poniendo de relieve su situación de concurso voluntario de acreedores (autos 60-2012).</w:t>
      </w:r>
    </w:p>
    <w:p w:rsidR="00A90898" w:rsidRDefault="00A90898" w:rsidP="00A90898">
      <w:pPr>
        <w:pStyle w:val="TextoNormal"/>
      </w:pPr>
    </w:p>
    <w:p w:rsidR="00A90898" w:rsidRDefault="00A90898" w:rsidP="00A90898">
      <w:pPr>
        <w:pStyle w:val="TextoNormal"/>
      </w:pPr>
      <w:r>
        <w:t xml:space="preserve">g) El citado recurso de queja fue desestimado por Auto de la Sala de lo Social del Tribunal Superior de Justicia de Canarias (Las Palmas), de 18 de marzo de 2013. Tras aludir al tenor del art. 230.1 LJS y a la doctrina constitucional en la materia, este Auto ratifica el criterio mantenido por el Juzgado, en virtud de los siguientes argumentos. De un lado, señala que ni siquiera se había acreditado por la empresa que hubiera sido declarada en concurso de acreedores —situación que, conforme a la jurisprudencia, no es equiparable a la insolvencia del empresario y tampoco presupone necesariamente la falta de liquidez (AATS 4 de diciembre y 13 de septiembre de 2012)—, sino que únicamente constaba la situación preconcursal del art. 5 </w:t>
      </w:r>
      <w:r w:rsidRPr="00A90898">
        <w:rPr>
          <w:i/>
        </w:rPr>
        <w:t>bis</w:t>
      </w:r>
      <w:r>
        <w:t xml:space="preserve"> de la Ley 22/2003, sin que existiese constancia probatoria de que se hubiera solicitado en el plazo legalmente establecido la declaración de concurso, siendo tal el presupuesto básico para la admisión de medios sustitutorios del aval bancario para recurrir, que de modo absolutamente excepcional y restrictivo permite la doctrina que la recurrente invoca, haciendo una inadmisible interpretación extensiva y ampliatoria de la misma. De otro lado, añade que aun cuando el valor de tasación del inmueble sobre el que se había constituido la hipoteca unilateral supere ampliamente el importe de la condena y no está gravado con cargas, dicha garantía real, por las dificultades que lleva aparejada su ejecución, tampoco aseguraría el rápido cumplimiento de la condena establecida en Sentencia.</w:t>
      </w:r>
    </w:p>
    <w:p w:rsidR="00A90898" w:rsidRDefault="00A90898" w:rsidP="00A90898">
      <w:pPr>
        <w:pStyle w:val="TextoNormal"/>
      </w:pPr>
    </w:p>
    <w:p w:rsidR="00A90898" w:rsidRDefault="00A90898" w:rsidP="00A90898">
      <w:pPr>
        <w:pStyle w:val="TextoNormal"/>
      </w:pPr>
      <w:r w:rsidRPr="00A90898">
        <w:rPr>
          <w:rStyle w:val="NumeroAFNegritaCaracter"/>
        </w:rPr>
        <w:t>3</w:t>
      </w:r>
      <w:r>
        <w:t>. En su demanda de amparo, la entidad recurrente alega la infracción del derecho a la tutela judicial efectiva (art. 24.1 CE), en su vertiente de acceso al recurso.</w:t>
      </w:r>
    </w:p>
    <w:p w:rsidR="00A90898" w:rsidRDefault="00A90898" w:rsidP="00A90898">
      <w:pPr>
        <w:pStyle w:val="TextoNormal"/>
      </w:pPr>
    </w:p>
    <w:p w:rsidR="00A90898" w:rsidRDefault="00A90898" w:rsidP="00A90898">
      <w:pPr>
        <w:pStyle w:val="TextoNormal"/>
      </w:pPr>
      <w:r>
        <w:t>A tal efecto argumenta que, en la situación excepcional en que se encuentra la empresa y atendida la doctrina constitucional, la no aceptación por el órgano judicial de la garantía ofrecida —escritura de hipoteca inmobiliaria unilateral a favor del actor de bien inmobiliario (una vivienda), libre de cargas y con valoración de 103.493,52 € (superior a la cantidad que se debía garantizar)— supone haber realizado una interpretación excesivamente formalista de las normas legales, al margen de la finalidad de éstas e impidiendo el ejercicio del derecho fundamental, dado que se le ha imposibilitado el acceso al recurso de suplicación por falta de consignación de la cantidad objeto de condena. En tal sentido señala que, conforme a la doctrina del Tribunal Constitucional, no debe obstaculizarse el acceso al recurso cuando ese mismo instrumento de garantía hipotecaria sí sería admisible en fase de ejecución de Sentencia.</w:t>
      </w:r>
    </w:p>
    <w:p w:rsidR="00A90898" w:rsidRDefault="00A90898" w:rsidP="00A90898">
      <w:pPr>
        <w:pStyle w:val="TextoNormal"/>
      </w:pPr>
    </w:p>
    <w:p w:rsidR="00A90898" w:rsidRDefault="00A90898" w:rsidP="00A90898">
      <w:pPr>
        <w:pStyle w:val="TextoNormal"/>
      </w:pPr>
      <w:r>
        <w:t xml:space="preserve">Al respecto afirma que, en el caso de autos, concurren hechos de excepcionalidad suficientes para que sea admitida la garantía hipotecaria ofrecida, señalando en concreto los siguientes: el interés real de la empresa en acceder al recurso mediante garantía hipotecaria de la condena; la situación negativa de la empresa y su falta de liquidez que consta en los autos y que le impiden la consignación en efectivo de la cantidad objeto de condena; la imposibilidad de acceder a financiación por las entidades financieras y a la obtención de aval bancario (que le fue denegado por la entidad con la que realizaba principalmente sus operaciones financieras); la imposibilidad real de realizar de forma inmediata y en un plazo muy corto (cinco días) ningún bien inmobiliario a tiempo de anunciar el recurso, dada la difícil situación económico-financiera del país y, en especial, del mercado inmobiliario y las empresas de construcción —que es su principal actividad—; su situación pre-concursal </w:t>
      </w:r>
      <w:r>
        <w:lastRenderedPageBreak/>
        <w:t>—que acredita su negativa situación económica y su situación de insolvencia—, así como la posterior declaración de concurso de acreedores.</w:t>
      </w:r>
    </w:p>
    <w:p w:rsidR="00A90898" w:rsidRDefault="00A90898" w:rsidP="00A90898">
      <w:pPr>
        <w:pStyle w:val="TextoNormal"/>
      </w:pPr>
    </w:p>
    <w:p w:rsidR="00A90898" w:rsidRDefault="00A90898" w:rsidP="00A90898">
      <w:pPr>
        <w:pStyle w:val="TextoNormal"/>
      </w:pPr>
      <w:r>
        <w:t xml:space="preserve">Con su decisión, indica, el órgano judicial se aparta de la doctrina del Tribunal Constitucional relativa al acceso al recurso y a los requisitos exigidos en cuanto a la forma de aseguramiento alternativo de la condena en casos excepcionales. En concreto, reproduce los fundamentos jurídicos 4 y 5 de la STC 30/1994, y añade que, aunque la juez </w:t>
      </w:r>
      <w:r w:rsidRPr="00A90898">
        <w:rPr>
          <w:i/>
        </w:rPr>
        <w:t>a quo</w:t>
      </w:r>
      <w:r>
        <w:t xml:space="preserve"> indica que el Tribunal Constitucional ha modificado su criterio en su Sentencia de 13 de marzo de 2000 y, con apoyo en ella, interpreta que no es admisible como garantía la hipoteca unilateral ofrecida, la parte recurrente considera que no se ha producido tal modificación de doctrina y que en dicha Sentencia lo que se dice es que deben darse motivos excepcionales para aplicar la doctrina recogida en las SSTC 3/1983 y 30/1994 y que no todos los casos son iguales, ni todas las garantías ofrecen la misma seguridad. En este caso, insiste, la excepcionalidad a la que alude el Tribunal Constitucional está más que justificada, en atención a las circunstancias ya indicadas, volviendo a hacer alusión a la negativa situación económica de las empresas del sector de la construcción, que sufren los más severos efectos de la crisis económica, con falta de demanda de sus servicios, falta de financiación y con balances de explotación negativos, siendo dicho efecto más acuciante en una empresa de pequeña dimensión como es el caso de la recurrente (micro-empresa familiar).</w:t>
      </w:r>
    </w:p>
    <w:p w:rsidR="00A90898" w:rsidRDefault="00A90898" w:rsidP="00A90898">
      <w:pPr>
        <w:pStyle w:val="TextoNormal"/>
      </w:pPr>
    </w:p>
    <w:p w:rsidR="00A90898" w:rsidRDefault="00A90898" w:rsidP="00A90898">
      <w:pPr>
        <w:pStyle w:val="TextoNormal"/>
      </w:pPr>
      <w:r>
        <w:t>Tal excepcionalidad, considera, no ha sido tenida en cuenta por los órganos judiciales, que han vulnerado la doctrina del Tribunal Constitucional en materia de facilitar el recurso, al haber basado sus decisiones en razones estrictamente formalistas contrarias a la efectividad del derecho a la tutela judicial efectiva en su vertiente de acceso al recurso. En definitiva, en atención a dicha excepcionalidad, considera la recurrente que ha cumplido con lo dispuesto en el art. 230.1 LJS, por lo que debe tenerse por anunciado el recurso de suplicación.</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la Sala Primera de este Tribunal, de 21 de octubre de 2013, se acordó la admisión a trámite del presente recurso de amparo y, en aplicación del art. 51 de la Ley Orgánica del Tribunal Constitucional (LOTC), dirigir comunicación al Tribunal Superior de Justicia de Canarias para que remitiera certificación o fotocopia adverada de las actuaciones correspondientes al recurso de queja núm. 78-2012, así como al Juzgado de lo Social núm. 6 de Las Palmas de Gran Canaria para que emplazara a quienes hubieran sido parte en los autos núm. 61-2012, excepto la parte recurrente en amparo, a fin de que en el plazo de diez días pudieran comparecer en el recurso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Por medio de escrito registrado el 13 de diciembre de 2013, la Procuradora de los Tribunales doña Delia Villalonga Vicens, en representación del trabajador don Álvaro Sánchez Espino, se personó en este proceso constitucional.</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Por diligencia de ordenación del Secretario de Justicia de la Sala Primera de este Tribunal, de 4 de febrero de 2014, se tuvieron por recibidos los testimonios de las actuaciones, así como el escrito de la Procuradora doña Delia Villalonga Vicens, a quien se tiene por personada y parte en nombre y representación de don Álvaro Sánchez Espino. Asimismo, conforme al art. 52 LOTC, se acordó dar vista de todas las actuaciones al Ministerio Fiscal </w:t>
      </w:r>
      <w:r>
        <w:lastRenderedPageBreak/>
        <w:t>y a las partes personadas por plazo común de veinte días para que pudiesen formular alegaciones.</w:t>
      </w:r>
    </w:p>
    <w:p w:rsidR="00A90898" w:rsidRDefault="00A90898" w:rsidP="00A90898">
      <w:pPr>
        <w:pStyle w:val="TextoNormal"/>
      </w:pPr>
    </w:p>
    <w:p w:rsidR="00A90898" w:rsidRDefault="00A90898" w:rsidP="00A90898">
      <w:pPr>
        <w:pStyle w:val="TextoNormal"/>
      </w:pPr>
      <w:r w:rsidRPr="00A90898">
        <w:rPr>
          <w:rStyle w:val="NumeroAFNegritaCaracter"/>
        </w:rPr>
        <w:t>7</w:t>
      </w:r>
      <w:r>
        <w:t>. La representación procesal de don Álvaro Sánchez Espino presentó su escrito de alegaciones en fecha 19 de febrero de 2014, en el que solicita que se desestime el amparo, por considerar ajustada a derecho la decisión judicial de no admitir el anuncio de recurso por incumplimiento de las formalidades legalmente establecidas.</w:t>
      </w:r>
    </w:p>
    <w:p w:rsidR="00A90898" w:rsidRDefault="00A90898" w:rsidP="00A90898">
      <w:pPr>
        <w:pStyle w:val="TextoNormal"/>
      </w:pPr>
    </w:p>
    <w:p w:rsidR="00A90898" w:rsidRDefault="00A90898" w:rsidP="00A90898">
      <w:pPr>
        <w:pStyle w:val="TextoNormal"/>
      </w:pPr>
      <w:r>
        <w:t xml:space="preserve">Al respecto considera que la jurisprudencia citada no es de aplicación al caso concreto. En tal sentido argumenta que dicha jurisprudencia versa sobre una norma que ya no está en vigor y que el tenor de la norma aplicada (art. 230.1 LJS) no lo permite, a pesar de haberse aprobado en 2011, cuando el legislador ya era conocedor del criterio interpretativo del Tribunal y cuando la crisis ya se había hecho manifiesta. Aun cuando considera cierto que, de forma excepcional, el Tribunal Constitucional ha admitido la garantía hipotecaria sobre bien inmueble, es igualmente cierto que las normas han de ser interpretadas conforme a la realidad social en cada momento (art. 3.1 del Código civil). Explica que las formalidades de acceso al recurso, en relación con legislación procesal no vigente en la actualidad, fueron suavizadas por el Tribunal Constitucional para casos excepcionales en 1994, cuando la realidad socio-económica no era la misma que la actual, en que la virulencia de la crisis sobre el sector de la construcción e inmobiliario no tiene precedentes, de modo que, en la actual realidad social, los bienes inmuebles no ofrecen ninguna seguridad económico-jurídica en cuanto a sus tasaciones —que han sufrido una importante depreciación—. Por ello, entiende, que la interpretación de los órganos judiciales </w:t>
      </w:r>
      <w:r w:rsidRPr="00A90898">
        <w:rPr>
          <w:i/>
        </w:rPr>
        <w:t>a quo</w:t>
      </w:r>
      <w:r>
        <w:t xml:space="preserve"> se ajusta a la realidad social, pues en caso de admitir la garantía hipotecaria, se trasladaría a los beneficiarios de una condena pecuniaria el riesgo, no sólo de depreciaciones durante todo el proceso de recursos, sino de la imposibilidad de materializar en dinero mediante la subasta judicial, quedando eventualmente obligado el trabajador ejecutante a quedarse con la vivienda. En consecuencia, entiende, en la situación actual, este instrumento no cumpliría con el fin previsto legalmente, pues la norma vigente prescribe un aval solidario, pagadero a primer requerimiento emitido por entidad de crédito, requisitos que la garantía hipotecaria ofrecida no cumple. Añade que si esa excepcionalidad que el Tribunal Constitucional estableció en 1994 se aplicara a todas las empresas de la construcción e inmobiliarias se podría bloquear el funcionamiento de los juzgados, dado que si luego las sentencias son confirmatorias, deberían activar los mecanismos para convertir esas garantías hipotecarias en dinero mediante subastas judiciales, siendo ello bastante lento, con la consecuencia además de que se estaría transformando la excepcionalidad en una norma general.</w:t>
      </w:r>
    </w:p>
    <w:p w:rsidR="00A90898" w:rsidRDefault="00A90898" w:rsidP="00A90898">
      <w:pPr>
        <w:pStyle w:val="TextoNormal"/>
      </w:pPr>
    </w:p>
    <w:p w:rsidR="00A90898" w:rsidRDefault="00A90898" w:rsidP="00A90898">
      <w:pPr>
        <w:pStyle w:val="TextoNormal"/>
      </w:pPr>
      <w:r>
        <w:t>Asimismo niega que la empresa haya sufrido indefensión, pues ha tenido oportunidad de defensa en el juicio celebrado con todas las garantías, habiéndose ya aplicado la tutela judicial y sin que no poder recurrir ante la falta de cumplimiento de los requisitos legales pueda considerarse auténtica indefensión. Finalmente, también alega que la garantía suscrita sólo alcanza a parte de la cantidad objeto de condena, discrepando del cálculo de los salarios de tramitación e indicando que la cantidad principal adeudada es de 55.143,53 €, al tiempo que también aduce que no se aporta una tasación oficial del bien hipotecado, sino sólo su valor catastral.</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La representación procesal de la demandante de amparo formuló sus alegaciones mediante escrito que tuvo entrada en el Registro General de este Tribunal el día 6 de marzo de </w:t>
      </w:r>
      <w:r>
        <w:lastRenderedPageBreak/>
        <w:t>2014, en el que se ratifica íntegramente en los hechos y fundamentos de derecho de la demanda de amparo, que reproduce.</w:t>
      </w:r>
    </w:p>
    <w:p w:rsidR="00A90898" w:rsidRDefault="00A90898" w:rsidP="00A90898">
      <w:pPr>
        <w:pStyle w:val="TextoNormal"/>
      </w:pPr>
    </w:p>
    <w:p w:rsidR="00A90898" w:rsidRDefault="00A90898" w:rsidP="00A90898">
      <w:pPr>
        <w:pStyle w:val="TextoNormal"/>
      </w:pPr>
      <w:r w:rsidRPr="00A90898">
        <w:rPr>
          <w:rStyle w:val="NumeroAFNegritaCaracter"/>
        </w:rPr>
        <w:t>9</w:t>
      </w:r>
      <w:r>
        <w:t>. Con fecha de registro de 10 de marzo de 2014, el Fiscal ante el Tribunal Constitucional presentó su escrito de alegaciones.</w:t>
      </w:r>
    </w:p>
    <w:p w:rsidR="00A90898" w:rsidRDefault="00A90898" w:rsidP="00A90898">
      <w:pPr>
        <w:pStyle w:val="TextoNormal"/>
      </w:pPr>
    </w:p>
    <w:p w:rsidR="00A90898" w:rsidRDefault="00A90898" w:rsidP="00A90898">
      <w:pPr>
        <w:pStyle w:val="TextoNormal"/>
      </w:pPr>
      <w:r>
        <w:t>a) En este escrito, el Fiscal comienza recordando la doctrina consolidada sobre el derecho de acceso al recurso y sus diferencias con el derecho de acceso a la jurisdicción, remitiéndose al efecto a la STC 79/2012, FJ 4. Conforme a esta doctrina constitucional, pone de relieve que el derecho al recurso es de configuración legal, lo que autoriza al legislador a establecer límites o imponer condiciones a su ejercicio, siempre que tales circunstancias no sean tan rigoristas que conviertan en imposible tal derecho a recurrir. Seguidamente, repasa el devenir de la doctrina del Tribunal Constitucional en relación con la supeditación de la interposición del recurso de suplicación en materia social a la consignación de la cantidad de condena. Para ello alude, en primer lugar, a la fundamentación de la STC 3/1983 (FFJJ 4 y 5), señalando que en ella se sugería al legislador la necesidad de articular en un futuro otros mecanismos de garantía distintos de la consignación, invitando a los tribunales a que mientras tanto se realizara una interpretación “progresiva y casuística”, admitiendo otras formas de garantizar la eficacia de la condena. Este “guante”, indica, fue recogido por el legislador en el Real Decreto-ley 521/1990, al admitir en su artículo 227 la posibilidad de recurrir tras la correspondiente consignación o, en su defecto, aval bancario, de modo que el legislador amplía las formas de garantía, pero optando por fórmulas que suponen una liquidez inmediata que garantice al poseedor del crédito hacerlo efectivo sin ninguna actividad por su parte.</w:t>
      </w:r>
    </w:p>
    <w:p w:rsidR="00A90898" w:rsidRDefault="00A90898" w:rsidP="00A90898">
      <w:pPr>
        <w:pStyle w:val="TextoNormal"/>
      </w:pPr>
    </w:p>
    <w:p w:rsidR="00A90898" w:rsidRDefault="00A90898" w:rsidP="00A90898">
      <w:pPr>
        <w:pStyle w:val="TextoNormal"/>
      </w:pPr>
      <w:r>
        <w:t>Añade que, aunque podría pensarse que con esta nueva regulación se estaría vedando toda posibilidad de garantía al margen de las dos previstas en la ley, el Tribunal Constitucional ha otorgado el amparo en supuestos en que los requisitos legales se interpretan por los tribunales con tanto formalismo o rigorismo que la admisión del recurso deviene en imposible, citando en tal sentido la STC 30/1994, que por ese excesivo rigor concedió el amparo a una sociedad que garantizó el cumplimiento de su obligación con los trabajadores despedidos por medio de una hipoteca unilateral (FFJJ 4 y 5). Señala que con esta Sentencia se entra en una fase en que podría caerse en el error de que se amplían por el Tribunal Constitucional las formas de garantía —concretamente, a la hipoteca unilateral a favor del acreedor—. Pero según afirma, es el propio Tribunal el que nos abre los ojos al carácter excepcionalísimo de esa posibilidad, haciendo mención en tal sentido a la STC 64/2000 (FJ 4), que, además de no considerar suficientemente excepcionales las circunstancias del caso enjuiciado, otorga importancia a la naturaleza de la garantía ofrecida —hipoteca unilateral—, que al ser de carácter real supone mucha menos liquidez inmediata para el trabajador.</w:t>
      </w:r>
    </w:p>
    <w:p w:rsidR="00A90898" w:rsidRDefault="00A90898" w:rsidP="00A90898">
      <w:pPr>
        <w:pStyle w:val="TextoNormal"/>
      </w:pPr>
    </w:p>
    <w:p w:rsidR="00A90898" w:rsidRDefault="00A90898" w:rsidP="00A90898">
      <w:pPr>
        <w:pStyle w:val="TextoNormal"/>
      </w:pPr>
      <w:r>
        <w:t>Finalmente, para acabar con este devenir histórico, alude a la aprobación de la Ley 36/2011, de la jurisdicción social, en la que el legislador, que era conocedor de la doctrina constitucional, ha mantenido las dos únicas posibilidades para recurrir mencionadas —la consignación de la cantidad o el aval bancario—, seguramente por la razón apuntada en la Sentencia referida, de que sólo esos dos supuestos garantizan la inmediata liquidez de la deuda.</w:t>
      </w:r>
    </w:p>
    <w:p w:rsidR="00A90898" w:rsidRDefault="00A90898" w:rsidP="00A90898">
      <w:pPr>
        <w:pStyle w:val="TextoNormal"/>
      </w:pPr>
    </w:p>
    <w:p w:rsidR="00A90898" w:rsidRDefault="00A90898" w:rsidP="00A90898">
      <w:pPr>
        <w:pStyle w:val="TextoNormal"/>
      </w:pPr>
      <w:r>
        <w:lastRenderedPageBreak/>
        <w:t>b) Precisa también el Fiscal que cuando la consignación no es posible, sólo se abre la vía en caso de insolvencia del condenado, y respecto al supuesto enjuiciado puntualiza que, pese a lo alegado en el Auto del Tribunal Superior de Justicia de Canarias, la empresa había sido declarada en concurso a la fecha de resolución del recurso de queja, si bien, considera el Auto que la situación de concurso no es equiparable a la insolvencia del empresario ni siquiera a la falta de liquidez, citando al efecto jurisprudencia del Tribunal Supremo (ATS 72/2012). Si a ello se une que, en el presente caso, la cantidad es de poco más de 53.000 €, el Fiscal concluye que la combinación de concurso y cuantía no puede llevarnos a la misma acreditación de la falta de liquidez que la declaración de quiebra de la empresa y cuantía de más de 584 millones de pesetas que concurrían en el supuesto examinado en la STC 30/1994. A mayor abundamiento, indica, la empresa recurrente no aportó ninguna otra acreditación de su falta de liquidez, y añade que nada le impidió haber utilizado la vivienda ofrecida como garantía a un crédito hipotecario a su favor y de esta manera obtener la cantidad necesaria para realizar la consignación, poniendo a disposición del trabajador la cantidad inmediatamente disponible, y no obligándole, con la hipoteca unilateral, a ir a procesos de ejecución de resultado incierto. En consecuencia, por lo expuesto, el Fiscal solicita la denegación del amparo.</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13 de octubre de 2016 se señaló para deliberación y fallo de la presente Sentencia el día 17 de dicho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Como ha quedado expuesto en los antecedentes, el presente recurso de amparo se dirige frente al Auto del Juzgado de lo Social núm. 6 de Las Palmas de Gran Canaria de 5 de noviembre de 2012, que tiene por no anunciado el recurso de suplicación pretendido por la recurrente, así como frente al Auto de la Sala de lo Social del Tribunal Superior de Justicia de Canarias (Las Palmas) de 18 de marzo de 2013, que desestima el recurso de queja interpuesto frente al anterior. Tal decisión judicial se adopta por apreciar falta de cumplimiento del requisito de la consignación de la cantidad objeto de condena previsto en el art. 230.1 de la Ley 36/2011, de 10 de octubre, reguladora de la jurisdicción social (LJS).</w:t>
      </w:r>
    </w:p>
    <w:p w:rsidR="00A90898" w:rsidRDefault="00A90898" w:rsidP="00A90898">
      <w:pPr>
        <w:pStyle w:val="TextoNormal"/>
      </w:pPr>
    </w:p>
    <w:p w:rsidR="00A90898" w:rsidRDefault="00A90898" w:rsidP="00A90898">
      <w:pPr>
        <w:pStyle w:val="TextoNormal"/>
      </w:pPr>
      <w:r>
        <w:t>A juicio de la entidad recurrente, las resoluciones judiciales impugnadas resultan lesivas del derecho a la tutela judicial efectiva (art. 24.1 CE), en su vertiente de acceso al recurso. Al respecto alude a las circunstancias excepcionales concurrentes en su caso: fundamentalmente, negativa situación económica de la empresa y falta de liquidez, que dieron lugar a que, en el momento de anunciar la intención de interponer el recurso de suplicación, ya comunicara su situación “pre-concursal” —convertida después en situación de concurso—, lo que a su vez determinó la imposibilidad de consignación en efectivo y la denegación del aval bancario solicitado, todo ello en un contexto de crisis económica que ha afectado especialmente al sector inmobiliario y las empresas de construcción. En atención a estos hechos excepcionales, la demandante de amparo sostiene que la no aceptación por el órgano judicial de la garantía alternativa ofrecida —escritura de hipoteca inmobiliaria unilateral a favor del actor de bien inmobiliario (una vivienda), libre de cargas y con valoración superior a la cantidad que se debía consignar— supone haber realizado una interpretación excesivamente formalista de las normas legales, que impide el ejercicio del derecho fundamental invocado y que no se ajusta a la doctrina del Tribunal Constitucional.</w:t>
      </w:r>
    </w:p>
    <w:p w:rsidR="00A90898" w:rsidRDefault="00A90898" w:rsidP="00A90898">
      <w:pPr>
        <w:pStyle w:val="TextoNormal"/>
      </w:pPr>
    </w:p>
    <w:p w:rsidR="00A90898" w:rsidRDefault="00A90898" w:rsidP="00A90898">
      <w:pPr>
        <w:pStyle w:val="TextoNormal"/>
      </w:pPr>
      <w:r>
        <w:t xml:space="preserve">Por el contrario, la representación procesal del trabajador demandante en el proceso </w:t>
      </w:r>
      <w:r w:rsidRPr="00A90898">
        <w:rPr>
          <w:i/>
        </w:rPr>
        <w:t>a quo</w:t>
      </w:r>
      <w:r>
        <w:t xml:space="preserve"> solicita la desestimación del recurso de amparo. En tal sentido, considera que, en la actual realidad social en que los bienes inmuebles no ofrecen ninguna seguridad económico-jurídica en cuanto a sus tasaciones, la decisión judicial impugnada resulta ajustada a derecho, pues admitir la garantía hipotecaria propuesta trasladaría a los beneficiarios de la condena pecuniaria el riesgo de las depreciaciones y de la imposibilidad de su materialización en dinero mediante subasta judicial, por lo que no se cumpliría el fin previsto legalmente. Además, indica que la garantía ofrecida no cubre toda la cantidad objeto de condena y que la entidad sólo aporta el valor catastral del bien hipotecado pero no una tasación oficial.</w:t>
      </w:r>
    </w:p>
    <w:p w:rsidR="00A90898" w:rsidRDefault="00A90898" w:rsidP="00A90898">
      <w:pPr>
        <w:pStyle w:val="TextoNormal"/>
      </w:pPr>
    </w:p>
    <w:p w:rsidR="00A90898" w:rsidRDefault="00A90898" w:rsidP="00A90898">
      <w:pPr>
        <w:pStyle w:val="TextoNormal"/>
      </w:pPr>
      <w:r>
        <w:t>También el Ministerio Fiscal interesa la denegación del amparo. A tal efecto argumenta que las circunstancias de este supuesto no presentan la misma acreditación de falta de liquidez que en el asunto resuelto en la STC 30/1994. Añade también que nada impidió a la recurrente utilizar la vivienda como garantía a un crédito hipotecario a su favor para obtener así la cuantía necesaria para realizar la consignación, poniendo a disposición del trabajador la cantidad inmediatamente disponible, sin obligarle a ir a procesos de ejecución de resultado incierto.</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caso </w:t>
      </w:r>
      <w:r w:rsidRPr="00A90898">
        <w:rPr>
          <w:i/>
        </w:rPr>
        <w:t>Arribas Antón c. España</w:t>
      </w:r>
      <w:r>
        <w:t>, § 46) obligan a explicitar el cumplimiento del mismo a fin de hacer así recognoscibles los criterios empleados al efecto por este Tribunal.</w:t>
      </w:r>
    </w:p>
    <w:p w:rsidR="00A90898" w:rsidRDefault="00A90898" w:rsidP="00A90898">
      <w:pPr>
        <w:pStyle w:val="TextoNormal"/>
      </w:pPr>
    </w:p>
    <w:p w:rsidR="00A90898" w:rsidRDefault="00A90898" w:rsidP="00A90898">
      <w:pPr>
        <w:pStyle w:val="TextoNormal"/>
      </w:pPr>
      <w:r>
        <w:t>En el presente caso, este Tribunal decidió admitir este recurso de amparo apreciando que concurría en el mismo especial trascendencia constitucional porque el problema que en él se plantea nos permite aclarar o perfilar nuestra doctrina sobre la exigencia del requisito de la consignación para poder recurrir en el orden social cuando este último ha de ser satisfecho por empresas que en el momento de proceder a su cumplimiento se encontraban en una situación económica negativa, habiéndose declarado con posterioridad su situación de concurso. Además, la exigencia del requisito de consignación a estas empresas y la admisibilidad de medios alternativos de garantía de la cantidad objeto de condena es una cuestión que trasciende del caso concreto al afectar en el actual contexto económico a muchas empresas con falta de liquidez.</w:t>
      </w:r>
    </w:p>
    <w:p w:rsidR="00A90898" w:rsidRDefault="00A90898" w:rsidP="00A90898">
      <w:pPr>
        <w:pStyle w:val="TextoNormal"/>
      </w:pPr>
    </w:p>
    <w:p w:rsidR="00A90898" w:rsidRDefault="00A90898" w:rsidP="00A90898">
      <w:pPr>
        <w:pStyle w:val="TextoNormal"/>
      </w:pPr>
      <w:r>
        <w:t>Todo ello determina la especial trascendencia constitucional del recurso y la necesidad de que este Tribunal se pronuncie al respecto, de acuerdo con las letras b) y g), fundamento jurídico 2, de la STC 155/2009, de 25 de junio.</w:t>
      </w:r>
    </w:p>
    <w:p w:rsidR="00A90898" w:rsidRDefault="00A90898" w:rsidP="00A90898">
      <w:pPr>
        <w:pStyle w:val="TextoNormal"/>
      </w:pPr>
    </w:p>
    <w:p w:rsidR="00A90898" w:rsidRDefault="00A90898" w:rsidP="00A90898">
      <w:pPr>
        <w:pStyle w:val="TextoNormal"/>
      </w:pPr>
      <w:r w:rsidRPr="00A90898">
        <w:rPr>
          <w:rStyle w:val="NumeroAFNegritaCaracter"/>
        </w:rPr>
        <w:t>3</w:t>
      </w:r>
      <w:r>
        <w:t>. Con relación a la queja formulada en la demanda, esto es, la relativa a la vulneración del derecho de acceso al recurso (art. 24.1 CE), hemos de empezar recordando que, conforme a consolidada doctrina constitucional, el citado derecho no nace directamente de la Constitución sino que se incorpora al derecho a la tutela judicial efectiva sin indefensión reconocido en el art. 24.1 CE en la configuración que reciba de las leyes procesales, corres</w:t>
      </w:r>
      <w:r>
        <w:lastRenderedPageBreak/>
        <w:t xml:space="preserve">pondiendo al ámbito de libertad del legislador el establecimiento y regulación de los recursos procedentes en cada caso, siendo incluso posible que no existan, salvo en materia penal (por todas, SSTC 105/2006, de 3 de abril, FJ 3; 149/2015, de 6 de julio, FJ 3). Por tal razón, este Tribunal ha venido reiterando que la interpretación y aplicación de las normas procesales que contemplan los requisitos para la admisión de los recursos son materias de legalidad ordinaria, propias de los Tribunales de Justicia (art. 117.3 CE), de modo que el control de las resoluciones judiciales de inadmisión de los recursos por parte de la jurisdicción constitucional “es meramente externo” y debe limitarse a comprobar si, además de tener motivación, “han incurrido en error material patente, en arbitrariedad o en manifiesta irrazonabilidad lógica, evitando toda ponderación acerca de la corrección jurídica de las mismas” y “sin que el control que nos corresponde realizar…pueda extenderse al juicio de proporcionalidad inherente al principio </w:t>
      </w:r>
      <w:r w:rsidRPr="00A90898">
        <w:rPr>
          <w:i/>
        </w:rPr>
        <w:t>pro actione</w:t>
      </w:r>
      <w:r>
        <w:t>, característico del derecho de acceso a la jurisdicción” (por todas, SSTC 258/2000, de 30 de octubre, FJ 2; 42/2009, de 9 de febrero, FJ 2; 65/2011, de 16 de mayo, FJ 3, y 142/2015, de 22 de junio, FJ 3).</w:t>
      </w:r>
    </w:p>
    <w:p w:rsidR="00A90898" w:rsidRDefault="00A90898" w:rsidP="00A90898">
      <w:pPr>
        <w:pStyle w:val="TextoNormal"/>
      </w:pPr>
    </w:p>
    <w:p w:rsidR="00A90898" w:rsidRDefault="00A90898" w:rsidP="00A90898">
      <w:pPr>
        <w:pStyle w:val="TextoNormal"/>
      </w:pPr>
      <w:r>
        <w:t>Por consiguiente, este canon de control de constitucionalidad será el aplicable a las resoluciones judiciales impugnadas en este recurso.</w:t>
      </w:r>
    </w:p>
    <w:p w:rsidR="00A90898" w:rsidRDefault="00A90898" w:rsidP="00A90898">
      <w:pPr>
        <w:pStyle w:val="TextoNormal"/>
      </w:pPr>
    </w:p>
    <w:p w:rsidR="00A90898" w:rsidRDefault="00A90898" w:rsidP="00A90898">
      <w:pPr>
        <w:pStyle w:val="TextoNormal"/>
      </w:pPr>
      <w:r w:rsidRPr="00A90898">
        <w:rPr>
          <w:rStyle w:val="NumeroAFNegritaCaracter"/>
        </w:rPr>
        <w:t>4</w:t>
      </w:r>
      <w:r>
        <w:t>. Como ha quedado dicho, en este procedimiento se cuestiona una denegación de acceso al recurso que tiene por causa, concretamente, el incumplimiento del requisito de la consignación de la cantidad objeto de condena para recurrir en el orden social. Este presupuesto procesal de acceso al recurso, como es sabido, goza de una dilatada tradición dentro de nuestro ordenamiento laboral, encontrándose ya previsto en la Ley de 22 de julio de 1912, sobre tribunales industriales. Conviene recordar que hasta la Ley 7/1989, de 12 de abril, de bases de procedimiento laboral, el legislador sólo admitía como medio de garantizar la cantidad objeto de condena la consignación en metálico, pero a raíz de la referida Ley (base trigésima sexta), se aceptó como medio de aseguramiento alternativo el aval bancario, previsión que se recogería después en el art. 227 del texto articulado de la Ley de procedimiento laboral, aprobado por Real Decreto Legislativo 521/1990, de 27 de abril, y que se ha mantenido hasta la actualidad en términos similares en todas las normas que lo han sucedido.</w:t>
      </w:r>
    </w:p>
    <w:p w:rsidR="00A90898" w:rsidRDefault="00A90898" w:rsidP="00A90898">
      <w:pPr>
        <w:pStyle w:val="TextoNormal"/>
      </w:pPr>
    </w:p>
    <w:p w:rsidR="00A90898" w:rsidRDefault="00A90898" w:rsidP="00A90898">
      <w:pPr>
        <w:pStyle w:val="TextoNormal"/>
      </w:pPr>
      <w:r>
        <w:t>En efecto, el vigente art. 230.1 LJS dispone a este respecto que cuando la Sentencia impugnada hubiere condenado al pago de cantidad, el recurrente que no gozare del derecho de asistencia jurídica gratuita, al anunciar el recurso de suplicación o preparar el de casación, tendrá que haber consignado la cantidad objeto de condena, pudiendo sustituirse tal consignación en metálico por el aseguramiento mediante aval emitido por una entidad de crédito (solidario, de duración indefinida y pagadero a primer requerimiento). Configurada legalmente la obligación de consignación como un presupuesto procesal para la admisión del recurso, su incumplimiento lleva aparejado, según precisa el art. 230.4 LJS, el que se tenga por no anunciado o no preparado, según proceda, el correspondiente recurso, así como la declaración de la firmeza de la resolución que se pretendiera recurrir. Ni en estos preceptos, ni en otros concordantes de la Ley reguladora de la jurisdicción social (art. 229.4), ni tampoco en la Ley 22/2003, de 9 de julio, concursal, se ha incluido por el legislador una previsión específica que expresamente excluya de este régimen, y en concreto, del referido requisito de consignación, a las empresas que se han acogido al art. 5 bis de la citada Ley concursal —el comúnmente conocido como “preconcurso”— o que ya se encuentran en situación declarada de concurso.</w:t>
      </w:r>
    </w:p>
    <w:p w:rsidR="00A90898" w:rsidRDefault="00A90898" w:rsidP="00A90898">
      <w:pPr>
        <w:pStyle w:val="TextoNormal"/>
      </w:pPr>
    </w:p>
    <w:p w:rsidR="00A90898" w:rsidRDefault="00A90898" w:rsidP="00A90898">
      <w:pPr>
        <w:pStyle w:val="TextoNormal"/>
      </w:pPr>
      <w:r>
        <w:lastRenderedPageBreak/>
        <w:t>a) Este Tribunal ha tenido la oportunidad de pronunciarse en diversas ocasiones sobre el requisito procesal ahora examinado, declarando su constitucionalidad (SSTC 100/1983, de 18 de noviembre, FJ 2, y 76/1985, de 26 de junio, FJ 1). Resulta necesario comenzar recordando que en la STC 3/1983, de 25 de enero, rechazamos que el deber de consignación constituyese un obstáculo excesivo o desproporcionado para el acceso al recurso del empresario, atendiendo a la función que cumple en el proceso, esto es, la de actuar como una “medida cautelar” tendente a “asegurar la ejecución de la sentencia” y a “evitar una eventual desaparición de los medios de pagos”, además de evitar la formulación de recursos meramente dilatorios y presiones sobre el trabajador para que renuncie a sus derechos (FFJJ 1 y 4). En la medida en que el precepto cuya constitucionalidad examinamos entonces (art. 170 del texto refundido de la Ley de procedimiento laboral, aprobado por el Real Decreto Legislativo 1568/1980, de 13 de junio) no contemplaba garantía distinta a la consignación en metálico, lo que podía impedir el acceso al recurso de empresas con “falta de medios o de simple falta de liquidez”, instamos (mientras el legislador llevara a cabo la necesaria reforma legal para superar la excesiva rigidez de la norma) a que los órganos judiciales efectuaran una “interpretación progresiva y casuística” del precepto legal y aceptasen “otros medios” sustitutivos menos estrictos y suficientemente garantizadores de la ejecución, en los casos en los que no existiera una posibilidad material de efectuarla o la misma supusiera un grave quebranto para la parte (fundamento jurídico 5 de la citada STC 3/1983).</w:t>
      </w:r>
    </w:p>
    <w:p w:rsidR="00A90898" w:rsidRDefault="00A90898" w:rsidP="00A90898">
      <w:pPr>
        <w:pStyle w:val="TextoNormal"/>
      </w:pPr>
    </w:p>
    <w:p w:rsidR="00A90898" w:rsidRDefault="00A90898" w:rsidP="00A90898">
      <w:pPr>
        <w:pStyle w:val="TextoNormal"/>
      </w:pPr>
      <w:r>
        <w:t>Como apuntamos en diversas ocasiones, la referida flexibilización en la interpretación del requisito de la consignación procedía sólo en supuestos verdaderamente excepcionales, acreditados por el empresario, correspondiendo a los Tribunales la valoración de la situación de dificultad económica alegada, así como de la suficiencia de los medios garantizadores propuestos en defecto de la consignación legalmente exigible (SSTC 9/1983, de 21 de febrero, FJ 4; 100/1983, de 18 de noviembre, FJ 2; 76/1985, de 26 de junio, FJ 2, y 16/1988, de 15 de febrero, FJ 1). De esta manera, atendiendo a la imposibilidad extraordinaria de cumplir con el presupuesto procesal en la forma legalmente prevista, este Tribunal aceptó la inaplicación o aplicación matizada del mismo con la debida demostración de la “situación singular” empresarial y del ofrecimiento de “adecuados medios alternativos de garantía”, medios “seguros” sustitutorios de la consignación en metálico, que pudieran considerarse “equivalentes en cuanto a su eficacia” y que debían “garantizar siempre la ejecución posterior de la Sentencia” (por todas, SSTC 9/1983, FFJJ 4 y 5; 76/1985, FJ 2; 16/1988, de 15 de febrero, FJ 3; ATC 55/1992, de 20 de febrero, FJ 2). En definitiva, en las circunstancias indicadas, tal doctrina implicaba la admisión de garantías alternativas al depósito en metálico del importe de la condena siempre que permitieran “la inmediata realización del ulterior derecho de crédito una vez que la Sentencia de condena sea firme” (SSTC 84/1992, de 28 de mayo, FJ 4, y 226/1999, de 13 de diciembre, FJ 3, dictadas con ocasión de procesos civiles).</w:t>
      </w:r>
    </w:p>
    <w:p w:rsidR="00A90898" w:rsidRDefault="00A90898" w:rsidP="00A90898">
      <w:pPr>
        <w:pStyle w:val="TextoNormal"/>
      </w:pPr>
    </w:p>
    <w:p w:rsidR="00A90898" w:rsidRDefault="00A90898" w:rsidP="00A90898">
      <w:pPr>
        <w:pStyle w:val="TextoNormal"/>
      </w:pPr>
      <w:r>
        <w:t xml:space="preserve">Así, la aplicación de estas exigencias a que se supeditaba la flexibilización del requisito de la consignación en metálico nos llevó en la STC 76/1985, de 26 de junio, a no considerar contrario al art. 24.1 CE la decisión judicial de no dar por cumplido el requisito ante el ofrecimiento como medio alternativo, por parte de una empresa en situación legal de suspensión de pagos, de la constitución de hipoteca mobiliaria y prenda sin desplazamiento de posesión de varios bienes, así como la solicitud de decreto de embargo preventivo. En este supuesto, el órgano judicial había razonado que las alternativas ofrecidas no cubrían la finalidad de garantizar el derecho de los trabajadores a la efectividad del fallo logrado, en la </w:t>
      </w:r>
      <w:r>
        <w:lastRenderedPageBreak/>
        <w:t>medida en que exigirían el inicio y prosecución de dilatados e inciertos procesos para hacer efectiva la garantía. Por la referida STC 76/1985 se recordó que la valoración de la suficiencia de los medios sustitutorios propuestos corresponde a los órganos de la jurisdicción laboral, considerando que la resolución impugnada no merecía reproche constitucional.</w:t>
      </w:r>
    </w:p>
    <w:p w:rsidR="00A90898" w:rsidRDefault="00A90898" w:rsidP="00A90898">
      <w:pPr>
        <w:pStyle w:val="TextoNormal"/>
      </w:pPr>
    </w:p>
    <w:p w:rsidR="00A90898" w:rsidRDefault="00A90898" w:rsidP="00A90898">
      <w:pPr>
        <w:pStyle w:val="TextoNormal"/>
      </w:pPr>
      <w:r>
        <w:t>b) Una vez que la legislación procesal laboral aceptó el aval bancario como garantía alternativa a la consignación en metálico, este Tribunal dictó la STC 30/1994, de 27 de enero, en la que el recurrente en amparo se apoya para argumentar su queja. En esta Sentencia resolvimos el recurso de amparo formulado por una empresa a la que se le había denegado el acceso al recurso de suplicación por aportar una garantía distinta a la prevista legalmente (en concreto, había ofrecido una hipoteca unilateral sobre sus bienes). Advertimos en esa ocasión que nuestro enjuiciamiento debía basarse en una interpretación teleológica del requisito de la consignación para recurrir que tuviera en cuenta los valores de relevancia constitucional que estaban en juego, a los efectos de obtener una respuesta adecuada y proporcionada a la vista de las circunstancias del caso. En efecto, como señalamos entonces, dos eran los valores constitucionales en liza, a saber, de un lado, el derecho a recurrir del sujeto obligado a cumplimentar la carga de la consignación, y de otro, las ya referidas finalidades del requisito de consignación en el proceso laboral. Teniendo en cuenta uno y otro valor, indicamos que el requisito de la consignación para recurrir previsto en la legislación procesal laboral no puede constituir –ni por tanto, ser interpretado el precepto de forma tal que conduzca a su mismo resultado– un “obstáculo insuperable” para el acceso del empresario al recurso, imponiéndole cargas irrazonables, ni como un “privilegio del trabajador” al margen de las finalidades que lo hacen constitucionalmente admisible (STC 30/1994, FJ 4). Pues bien, abordando nuestro examen desde la perspectiva apuntada, apreciamos en ese caso que los órganos judiciales basaron su decisión de inadmisión del recurso en razones estrictamente formalistas contrarias a la efectividad del derecho a la tutela judicial efectiva, al no haber tenido en cuenta, de un lado, las circunstancias particulares del caso (elevada cantidad objeto de aseguramiento —más de 584 millones de pesetas—, que la empresa estaba en quiebra, que hubo intento de obtención de aval y que se había presentado una garantía hipotecaria alternativa suficiente), y de otro lado, que las finalidades a que atendía la exigencia de consignación previa al recurso no se habían malogrado con el sistema de garantía de pago utilizado (FJ 5).</w:t>
      </w:r>
    </w:p>
    <w:p w:rsidR="00A90898" w:rsidRDefault="00A90898" w:rsidP="00A90898">
      <w:pPr>
        <w:pStyle w:val="TextoNormal"/>
      </w:pPr>
    </w:p>
    <w:p w:rsidR="00A90898" w:rsidRDefault="00A90898" w:rsidP="00A90898">
      <w:pPr>
        <w:pStyle w:val="TextoNormal"/>
      </w:pPr>
      <w:r>
        <w:t xml:space="preserve">c) No obstante, también en pronunciamientos posteriores se ha puesto de relieve que, tras la inclusión por el legislador del aval bancario como garantía sustitutoria de la consignación en metálico, este Tribunal ha declarado “que, salvo en casos límite y excepcionales, como el que dio lugar a la STC 30/1994, de 27 de enero, el requisito de la consignación, en principio, no encuentra razón para ser atenuado (STC 64/2000, de 13 de marzo)” (AATC 13/2002, de 11 de febrero, FJ 2, y 238/2003, de 14 de julio, FJ 3). Así, en la referida STC 64/2000 se puso de relieve que la doctrina establecida en la STC 3/1983 sobre la admisión de medios sustitutivos a los previstos en la ley “tenía como supuesto legal de referencia una regulación en la que la exigencia de consignación en metálico se establecía sin alternativa posible” y que dicha doctrina “tenía un límite temporal inequívocamente enunciado: ‘en tanto no se produzca la necesaria reforma legislativa’”, reforma que aconteció con la Ley 7/1989 y el Real Decreto Legislativo 521/1990, en los que el legislador estableció, como única alternativa a la consignación en metálico, la del aval bancario solidario (FJ 3). Por ello, esta STC 64/2000 advirtió que la decisión de la STC 30/1994 se había adoptado para un supuesto límite y excepcional, pero que “no puede servir de pauta para asentar en él, al </w:t>
      </w:r>
      <w:r>
        <w:lastRenderedPageBreak/>
        <w:t>margen de sus muy especiales circunstancias, una doctrina general permisiva de medios alternativos” a los establecidos en la ley (FJ 4).</w:t>
      </w:r>
    </w:p>
    <w:p w:rsidR="00A90898" w:rsidRDefault="00A90898" w:rsidP="00A90898">
      <w:pPr>
        <w:pStyle w:val="TextoNormal"/>
      </w:pPr>
    </w:p>
    <w:p w:rsidR="00A90898" w:rsidRDefault="00A90898" w:rsidP="00A90898">
      <w:pPr>
        <w:pStyle w:val="TextoNormal"/>
      </w:pPr>
      <w:r>
        <w:t>De hecho, respecto a la entonces cuestionada decisión judicial de no admitir el recurso de suplicación por falta de consignación, la indicada STC 64/2000 rechazó la vulneración del art. 24.1 CE en un supuesto en que, como alternativa a los medios previstos en la ley, se había adjuntado al escrito de anuncio del recurso una escritura de hipoteca mobiliaria unilateral sobre unas máquinas. En el caso, el Tribunal remarcó, no sólo las diferentes circunstancias del supuesto enjuiciado respecto a las del examinado en la STC 30/1994, sino también que la finalidad de la consignación no es simplemente la de garantizar la ejecución de la Sentencia, sino más propiamente la de asegurar la “inmediata” ejecución, de ahí “la garantía de liquidez propia de la fórmula legal sustitutoria” (el aval solidario), y de ahí también que “la liquidez de la garantía se pierde, si se sustituye por una garantía real, cuya realización ulterior imponga la dilación de un inevitable trámite de ejecución y al tiempo la inseguridad añadida sobre la eventual devaluación de los bienes en el tiempo transcurrido entre la constitución de la garantía y la futura realización de aquéllos” (FJ 4). En tal sentido, la referida STC 64/2000 afirmó que “[e]l sistema legal, justificable constitucionalmente, según nuestra doctrina, como medio de compensación de la desigualdad originaria entre trabajador y empresario (STC 3/1983, de 25 de enero, FJ 3), se distorsiona notablemente, aceptando medios de garantía, como la garantía real, que no cumplen en su totalidad la finalidad perseguida en él” (FJ 4). Así, con posterioridad hemos afirmado que, conforme a nuestra doctrina, “el requisito de la consignación para recurrir no es sólo el de garantizar la ejecución futura, sino el de asegurar un rápido cumplimiento de la Sentencia de condena una vez que alcance firmeza, sin dilatorios trámites de ejecución, lo cual solamente se obtiene con la constitución previa del depósito de la cantidad objeto de la condena, la cual resulta así de ineludible cumplimiento, o con las fórmulas legales que aseguran parecida liquidez como es el caso del aval” (ATC 426/2003, de 18 de diciembre, FJ 3).</w:t>
      </w:r>
    </w:p>
    <w:p w:rsidR="00A90898" w:rsidRDefault="00A90898" w:rsidP="00A90898">
      <w:pPr>
        <w:pStyle w:val="TextoNormal"/>
      </w:pPr>
    </w:p>
    <w:p w:rsidR="00A90898" w:rsidRDefault="00A90898" w:rsidP="00A90898">
      <w:pPr>
        <w:pStyle w:val="TextoNormal"/>
      </w:pPr>
      <w:r>
        <w:t>d) Más recientemente, esta doctrina constitucional expuesta ha servido de fundamento a la STC 166/2016, de 6 de octubre. En ella se ha rechazado la existencia de lesión del art. 24.1 CE imputada a unas resoluciones judiciales que tuvieron por no anunciado el recurso de suplicación por falta de cumplimiento del requisito de consignación, en un supuesto en que la entidad que pretendía interponer el recurso, declarada en situación de concurso, había solicitado que, en atención a las circunstancias excepcionales que alegaba, se admitiera, como medida sustitutiva de los medios legales previstos en el art. 230.1 LJS, la certificación de los administradores concursales de que las cantidades objeto de condena habían sido reconocidas como créditos contingentes. Habiéndose considerado por las resoluciones impugnadas que tal certificación no constituye una garantía alternativa idónea, la citada STC 166/2016, en el caso enjuiciado, ha considerado que tal criterio judicial no resulta contrario al derecho a la tutela judicial efectiva en su vertiente de acceso al recurso.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Una vez visto que este Tribunal ha admitido la constitucionalidad del requisito legal de consignación de la cantidad objeto de condena exigido para recurrir en el orden social —actualmente, en el art. 230 LJS—, y tras haber expuesto la jurisprudencia constitucional al respecto, procede ya abordar la resolución de la queja formulada en la demanda de amparo, referida a la presunta vulneración del derecho al recurso (art. 24.1 CE). Para ello, resulta fundamental atender a la interpretación y aplicación que las resoluciones impugnadas han hecho del precepto de referencia —el citado art. 230.1 LJS—, a efectos de determinar si </w:t>
      </w:r>
      <w:r>
        <w:lastRenderedPageBreak/>
        <w:t>esos criterios judiciales han traído consigo o no un resultado vulnerador del derecho al recurso, examinado desde el ya referido canon de control constitucional predicable de esta vertiente del derecho a la tutela judicial —esto es, el de la irrazonabilidad, arbitrariedad y error patente—.</w:t>
      </w:r>
    </w:p>
    <w:p w:rsidR="00A90898" w:rsidRDefault="00A90898" w:rsidP="00A90898">
      <w:pPr>
        <w:pStyle w:val="TextoNormal"/>
      </w:pPr>
    </w:p>
    <w:p w:rsidR="00A90898" w:rsidRDefault="00A90898" w:rsidP="00A90898">
      <w:pPr>
        <w:pStyle w:val="TextoNormal"/>
      </w:pPr>
      <w:r>
        <w:t>A tal efecto, interesa recordar que, en el escrito presentado el 19 de junio de 2012 en que anunciaba su propósito de recurrir en suplicación, la entidad recurrente dio cuenta de su falta de liquidez para hacer frente a la consignación —afirmaba encontrarse en situación pre-concursal— y de la imposibilidad de que se le concediera aval bancario —con posterior aportación de certificado de denegación de aval por la entidad de crédito—. Como medio sustitutivo adjuntó escritura de hipoteca inmobiliaria unilateral de un bien inmobiliario libre de cargas en garantía del importe objeto de condena en la Sentencia frente a la que se pretendía recurrir.</w:t>
      </w:r>
    </w:p>
    <w:p w:rsidR="00A90898" w:rsidRDefault="00A90898" w:rsidP="00A90898">
      <w:pPr>
        <w:pStyle w:val="TextoNormal"/>
      </w:pPr>
    </w:p>
    <w:p w:rsidR="00A90898" w:rsidRDefault="00A90898" w:rsidP="00A90898">
      <w:pPr>
        <w:pStyle w:val="TextoNormal"/>
      </w:pPr>
      <w:r>
        <w:t>a) Pues bien, en el análisis de las resoluciones recurridas, hemos de partir de que el Auto del Juzgado de lo Social núm. 6 de Las Palmas de Gran Canaria, de 5 de noviembre de 2012, por el que se tuvo por no anunciado el recurso de suplicación pretendido por la entidad recurrente, afirma en su fundamentación aceptar íntegramente y asumir los argumentos expuestos en el decreto del Secretario de 31 de octubre de 2012, por encontrarse ajustados a derecho. Dicho decreto resolvía, mediante su desestimación, el recurso de reposición interpuesto por la ahora demandante frente a la diligencia de ordenación del Juzgado, de 8 de agosto de 2012, que, tras indicar que el art. 230.1 LJS contempla como únicas formas de consignación para recurrir en suplicación la consignación de la cantidad o el aval emitido por entidad de crédito, concedió a la empresa un plazo de cinco días al objeto de subsanar la falta de consignación de la cantidad objeto de condena. En su fundamentación, el indicado decreto da cuenta de las SSTC 3/1983 y 30/1994, y afirma que, aun después de esta última, el legislador no ha incorporado la hipoteca unilateral como medida de aseguramiento mediante la que cumplir la finalidad de la consignación. Asimismo, el decreto reproduce algunos extractos de la STC 64/2000, de 13 de marzo, y con apoyo en ella, expone que el requisito establecido en el art. 230.1 LJS atiende a salvaguardar el derecho de la parte que ha obtenido una Sentencia a su favor no sólo a la ejecución de la Sentencia, sino más propiamente a su inmediata ejecución, aludiendo al respecto a la pérdida de liquidez de la garantía real, que tiene más importancia en la situación del mercado inmobiliario en el momento valorado, caracterizado por la fuerte depreciación de los bienes de este tipo y la falta de postores a las subastas judiciales que se están celebrando. Al respecto añade que ni la propia entidad financiera de la recurrente considera suficiente la garantía para disponer del aval, al margen de que por la parte actora se considera insuficiente la garantía ofrecida por la empresa por no comprender el importe de los salarios de tramitación. De este modo, esta argumentación del decreto es la que acepta y asume el Auto del Juzgado de lo Social recurrido, por el que se tiene por no anunciado el recurso de suplicación pretendido por la ahora demandante en amparo.</w:t>
      </w:r>
    </w:p>
    <w:p w:rsidR="00A90898" w:rsidRDefault="00A90898" w:rsidP="00A90898">
      <w:pPr>
        <w:pStyle w:val="TextoNormal"/>
      </w:pPr>
    </w:p>
    <w:p w:rsidR="00A90898" w:rsidRDefault="00A90898" w:rsidP="00A90898">
      <w:pPr>
        <w:pStyle w:val="TextoNormal"/>
      </w:pPr>
      <w:r>
        <w:t>Por su parte, el también impugnado Auto de la Sala de lo Social del Tribunal Superior de Justicia de Canarias (Las Palmas) de 18 de marzo de 2013, por el que se desestima el recurso de queja interpuesto frente al anterior Auto del Juzgado, da cuenta de la STC 3/1983 y de las reformas normativas realizadas con posterioridad en relación con el requisito de la consignación. Asimismo, también alude a la doctrina establecida por el Tribunal Constitu</w:t>
      </w:r>
      <w:r>
        <w:lastRenderedPageBreak/>
        <w:t xml:space="preserve">cional (SSTC 30/1994 y 64/2000), señalando que, conforme a ella, i) la finalidad del requisito examinado es doble, consistiendo en garantizar la ejecución futura y asegurar la rapidez del cumplimiento de la Sentencia condenatoria una vez adquiera firmeza, y ii) que en casos excepcionales de interpretación restrictiva se admite que, ante la acreditada imposibilidad casi insalvable de cumplimiento del requisito legal, se acepte la presentación de medios de aseguramiento alternativos a los legales, siempre que con ellos quede suficientemente cumplida la finalidad del indicado requisito y sean equiparables a los expresamente contemplados por el legislador. Tal doctrina constitucional, afirma, ha sido recogida en Autos de la Sala Cuarta del Tribunal Supremo de 20 de febrero de 2001, 3 de febrero de 2004, y 13 de abril de 2011. Esto dicho, el Tribunal Superior de Justicia indica que, en el caso enjuiciado, sólo consta que la empresa está en la situación preconcursal del art. 5 </w:t>
      </w:r>
      <w:r w:rsidRPr="00A90898">
        <w:rPr>
          <w:i/>
        </w:rPr>
        <w:t>bis</w:t>
      </w:r>
      <w:r>
        <w:t xml:space="preserve"> de la Ley 22/2003, sin que exista prueba de que haya solicitado en plazo la declaración de concurso, y sin que se acredite que ha sido declarada en tal situación de concurso de acreedores, situación que, según señala, no es equiparable a la insolvencia del empresario y tampoco presupone necesariamente falta de liquidez, conforme ha manifestado la jurisprudencia —AATS 4 de diciembre de 2012 y 13 de septiembre de 2012—. Por ello, considera que en este supuesto se pretende por la recurrente una inadmisible interpretación extensiva y ampliatoria de la doctrina que admite medios sustitutorios del aval bancario de modo absolutamente excepcional y restrictivo. A lo anterior añade que, aun cuando el valor de tasación del inmueble sobre el que se ha constituido hipoteca unilateral supere ampliamente el importe de la condena y no esté gravado con otras cargas, dicha garantía real, por las dificultades que lleva aparejada su ejecución, tampoco aseguraría el rápido cumplimiento de la condena establecida en Sentencia. Tales razones, en definitiva, conducen al Tribunal Superior de Justicia a confirmar en su integridad el Auto del Juzgado que tuvo por no anunciado el recurso de suplicación pretendido por la recurrente.</w:t>
      </w:r>
    </w:p>
    <w:p w:rsidR="00A90898" w:rsidRDefault="00A90898" w:rsidP="00A90898">
      <w:pPr>
        <w:pStyle w:val="TextoNormal"/>
      </w:pPr>
    </w:p>
    <w:p w:rsidR="00A90898" w:rsidRDefault="00A90898" w:rsidP="00A90898">
      <w:pPr>
        <w:pStyle w:val="TextoNormal"/>
      </w:pPr>
      <w:r>
        <w:t>b) A la vista de esta fundamentación, cabe concluir que las resoluciones judiciales impugnadas, motivadas en los términos indicados, no resultan contrarias al derecho fundamental alegado, desde la perspectiva del canon de control antes expuesto que nos corresponde aplicar.</w:t>
      </w:r>
    </w:p>
    <w:p w:rsidR="00A90898" w:rsidRDefault="00A90898" w:rsidP="00A90898">
      <w:pPr>
        <w:pStyle w:val="TextoNormal"/>
      </w:pPr>
    </w:p>
    <w:p w:rsidR="00A90898" w:rsidRDefault="00A90898" w:rsidP="00A90898">
      <w:pPr>
        <w:pStyle w:val="TextoNormal"/>
      </w:pPr>
      <w:r>
        <w:t xml:space="preserve">Como ha podido constatarse, entre sus principales argumentos y siguiendo las afirmaciones realizadas en la STC 64/2000, el criterio judicial cuestionado se funda en la pérdida de liquidez que conlleva la garantía alternativa ofrecida por la recurrente —hipoteca unilateral sobre un inmueble—, circunstancia que se considera agravada por la situación del mercado inmobiliario en el momento en que la controversia se plantea. Tal razonamiento lleva a los órganos judiciales a concluir que el medio sustitutorio propuesto dificulta la ejecución y no satisface suficientemente la finalidad pretendida por el requisito legal de asegurar el rápido e inmediato cumplimiento de la condena establecida en Sentencia, motivación esta similar a la ofrecida por la resolución judicial recurrida en la ya mencionada STC 76/1985, que no la consideró merecedora de reproche constitucional. No ha de olvidarse que, conforme a pronunciamientos constitucionales previos ya referidos, la flexibilización de las exigencias legales del requisito de consignación económica requiere el ofrecimiento de medios sustitutivos de eficacia equivalente y suficientemente garantizadores de la posible ejecución posterior de la Sentencia, sin que resulte infundado apreciar que la garantía hipotecaria ofrecida en el caso, en el contexto descrito, no proporciona similar liquidez, certeza e inmediatez en la ejecución que la facilitada por las medidas previstas en el art. 230.1 LJS </w:t>
      </w:r>
      <w:r>
        <w:lastRenderedPageBreak/>
        <w:t>—consignación en metálico o aval solidario de duración indefinida y pagadero a primer requerimiento emitido por entidad de crédito—.</w:t>
      </w:r>
    </w:p>
    <w:p w:rsidR="00A90898" w:rsidRDefault="00A90898" w:rsidP="00A90898">
      <w:pPr>
        <w:pStyle w:val="TextoNormal"/>
      </w:pPr>
    </w:p>
    <w:p w:rsidR="00A90898" w:rsidRDefault="00A90898" w:rsidP="00A90898">
      <w:pPr>
        <w:pStyle w:val="TextoNormal"/>
      </w:pPr>
      <w:r>
        <w:t>Como ya antes hemos recordado, de acuerdo con nuestra doctrina corresponde a los órganos judiciales valorar tanto la situación de dificultad económica alegada, como la suficiencia de los medios garantizadores propuestos como alternativa a los legales. Pues bien, sometidas las resoluciones impugnadas al canon de control externo aplicable a la queja formulada, el conjunto de consideraciones realizadas nos lleva a concluir que, en este supuesto, no cabe apreciar que la decisión judicial de no tener por anunciado el recurso de suplicación por falta de cumplimiento del requisito de consignación en los términos previstos en el art. 230.1 LJS haya de tildarse de irrazonable, arbitraria o incursa en error patente. Por tal razón, ha de descartarse que los Autos recurridos resulten contrarios al derecho a la tutela judicial efectiva (art. 24.1 CE), en su vertiente de acceso al recurso, y consiguientemente, procede la desestimación del recurso de amparo interpuesto.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presente demanda de amparo interpuesta por Construcciones Zenón Sánchez Pérez, S.L.</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diecisiete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3" w:name="SENTENCIA_2016_174"/>
      <w:r>
        <w:lastRenderedPageBreak/>
        <w:t>SENTENCIA 174/2016, de 17 de octubre de 2016</w:t>
      </w:r>
    </w:p>
    <w:bookmarkEnd w:id="53"/>
    <w:p w:rsidR="00A90898" w:rsidRDefault="00A90898" w:rsidP="00A90898">
      <w:pPr>
        <w:pStyle w:val="TtuloResolucin"/>
      </w:pPr>
      <w:r>
        <w:t>Sala Segunda</w:t>
      </w:r>
    </w:p>
    <w:p w:rsidR="00A90898" w:rsidRDefault="00A90898" w:rsidP="00A90898">
      <w:pPr>
        <w:pStyle w:val="TtuloBOE"/>
      </w:pPr>
      <w:r>
        <w:t>(BOE núm. 285, de 25 de noviembre de 2016)</w:t>
      </w:r>
    </w:p>
    <w:p w:rsidR="00A90898" w:rsidRDefault="00A90898" w:rsidP="00A90898">
      <w:pPr>
        <w:pStyle w:val="TextoNormalCentrado"/>
      </w:pPr>
      <w:r>
        <w:t>ECLI:ES:TC:2016:174</w:t>
      </w:r>
    </w:p>
    <w:p w:rsidR="00A90898" w:rsidRDefault="00A90898" w:rsidP="00A90898">
      <w:pPr>
        <w:pStyle w:val="TextoNormalCentrado"/>
      </w:pPr>
    </w:p>
    <w:p w:rsidR="00A90898" w:rsidRDefault="00A90898" w:rsidP="00A90898">
      <w:pPr>
        <w:pStyle w:val="SntesisDescriptiva"/>
      </w:pPr>
      <w:r>
        <w:t>Cuestión de inconstitucionalidad 2919-2014.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w:t>
      </w:r>
    </w:p>
    <w:p w:rsidR="00A90898" w:rsidRDefault="00A90898" w:rsidP="00A90898">
      <w:pPr>
        <w:pStyle w:val="SntesisDescriptiva"/>
      </w:pPr>
    </w:p>
    <w:p w:rsidR="00A90898" w:rsidRDefault="00A90898" w:rsidP="00A90898">
      <w:pPr>
        <w:pStyle w:val="SntesisAnaltica"/>
      </w:pPr>
      <w:r>
        <w:t>Principios de igualdad y de interdicción de la arbitrariedad: STC 167/2016 (constitucionalidad del precepto legal que concreta la obligación de financiación por el sector eléctrico de planes de ahorro y eficiencia energética).</w:t>
      </w:r>
    </w:p>
    <w:p w:rsidR="00A90898" w:rsidRDefault="00A90898" w:rsidP="00A90898">
      <w:pPr>
        <w:pStyle w:val="SntesisAnaltica"/>
      </w:pPr>
    </w:p>
    <w:p w:rsidR="00A90898" w:rsidRDefault="00A90898" w:rsidP="00A90898">
      <w:pPr>
        <w:pStyle w:val="Extracto"/>
      </w:pPr>
      <w:r>
        <w:t>1.</w:t>
      </w:r>
      <w:r>
        <w:tab/>
        <w:t>Asunto sustancialmente idéntico al resuelto por la STC 167/2016, en relación con la doctrina sobre el principio de igualdad y de interdicción de la arbitrariedad en materia de financiación por el sector eléctrico de planes de ahorro y eficiencia energética, y la elección de determinadas empresas para paliar el déficit tarifario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2919-2014,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comparecido y formulado alegaciones el Abogado del Estado, el Fiscal General del Estado y la entidad E.ON Generación, S.L., recurrente en el proceso a quo.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Por escrito registrado en este Tribunal el 8 de mayo de 2014, la Sección Cuarta de la Sala de lo Contencioso-Administrativo de la Audiencia Nacional remitió testimonio del </w:t>
      </w:r>
      <w:r>
        <w:lastRenderedPageBreak/>
        <w:t>Auto de 25 de abril de 2014 por el que acordaba plantear una cuestión de inconstitucionalidad en relación con la disposición adicional tercera del Real Decreto-ley 14/2010, de 23 de diciembre, por el que se establecen medidas urgentes para la corrección del déficit tarifario del sector eléctrico (en lo sucesivo, Real Decreto-ley 14/2010), por vulneración de los arts. 9.3 y 14 de la Constitución.</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la presente cuestión de inconstitucionalidad son los siguientes:</w:t>
      </w:r>
    </w:p>
    <w:p w:rsidR="00A90898" w:rsidRDefault="00A90898" w:rsidP="00A90898">
      <w:pPr>
        <w:pStyle w:val="TextoNormal"/>
      </w:pPr>
    </w:p>
    <w:p w:rsidR="00A90898" w:rsidRDefault="00A90898" w:rsidP="00A90898">
      <w:pPr>
        <w:pStyle w:val="TextoNormal"/>
      </w:pPr>
      <w:r>
        <w:t>a) El 14 de diciembre de 2012 la entidad E.ON Generación, S.L., interpuso un recurso contencioso-administrativo ante la Sala correspondiente de la Audiencia Nacional contra la Orden IET/2599/2012, de 28 de noviembre, por la que se regulan las transferencias de fondos con cargo a las empresas productoras de energía eléctrica y a los peajes de acceso de terceros a las instalaciones gasistas de la cuenta específica de la Comisión Nacional de Energía al Instituto para la Diversificación y el Ahorro de la Energía, en el año 2012, para la ejecución de las medidas del plan de acción 2008-2012 de la estrategia de ahorro y eficiencia energética en España 2004-2012 y los criterios para la ejecución de medidas contempladas en dicho plan, por entender que dicha disposición no era ajustada a Derecho. En concreto, la recurrente consideraba vulnerados, entre otros, los arts. 9.3 y 14 CE, achacando dichas vulneraciones a la disposición adicional tercera del Real Decreto-ley 14/2010, en desarrollo de la cual se había dictado la Orden IET/2599/2012.</w:t>
      </w:r>
    </w:p>
    <w:p w:rsidR="00A90898" w:rsidRDefault="00A90898" w:rsidP="00A90898">
      <w:pPr>
        <w:pStyle w:val="TextoNormal"/>
      </w:pPr>
    </w:p>
    <w:p w:rsidR="00A90898" w:rsidRDefault="00A90898" w:rsidP="00A90898">
      <w:pPr>
        <w:pStyle w:val="TextoNormal"/>
      </w:pPr>
      <w:r>
        <w:t>b) Concluidas las actuaciones, el 17 de marzo de 2014, la Sección acordó, en aplicación de lo establecido en el art. 35 LOTC, con suspensión del plazo para dictar sentencia, “la apertura de trámite incidental con el fin de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que “tiene dudas sobre la adecuación de la citada norma con los principios de interdicción de la arbitrariedad e igualdad establecidos en los arts. 9.3 y 14 de la Constitución, en concreto, si es conforme con las normas constitucionales indicadas el establecer que las cuantías destinadas a la financiación del Plan de Acción 2008-2012 se financiarán mediante la aportación de determinados porcentajes por un conjunto de empresas productoras o generadoras de electricidad en régimen ordinario nominalmente designadas”. Asimismo, se añadía que “la decisión de la cuestión planteada en el presente recurso depende de la validez de dicha disposición adicional tercera, por cuanto la Orden IET/2599/2012, de 28 de noviembre, objeto del mismo, simplemente concreta las cuantías de esos porcentajes en el año 2012 para cada una de las empresas obligadas y establece el procedimiento para su ingreso en la cuenta de la Comisión Nacional de la Energía”.</w:t>
      </w:r>
    </w:p>
    <w:p w:rsidR="00A90898" w:rsidRDefault="00A90898" w:rsidP="00A90898">
      <w:pPr>
        <w:pStyle w:val="TextoNormal"/>
      </w:pPr>
    </w:p>
    <w:p w:rsidR="00A90898" w:rsidRDefault="00A90898" w:rsidP="00A90898">
      <w:pPr>
        <w:pStyle w:val="TextoNormal"/>
      </w:pPr>
      <w:r>
        <w:t>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El Auto de 25 de abril de 2014 de la Sección Cuarta de la Sala de lo Contencioso-Administrativo de la Audiencia Nacional presenta la cuestión en los siguientes términos:</w:t>
      </w:r>
    </w:p>
    <w:p w:rsidR="00A90898" w:rsidRDefault="00A90898" w:rsidP="00A90898">
      <w:pPr>
        <w:pStyle w:val="TextoNormal"/>
      </w:pPr>
    </w:p>
    <w:p w:rsidR="00A90898" w:rsidRDefault="00A90898" w:rsidP="00A90898">
      <w:pPr>
        <w:pStyle w:val="TextoNormal"/>
      </w:pPr>
      <w:r>
        <w:t>Comienza exponiendo los hechos que han dado lugar a la presente cuestión de inconstitucionalidad para formular, a continuación, los juicios de aplicabilidad y relevancia exigibles para su válido planteamiento. Así, el órgano promotor entiende que existe una norma con rango de ley aplicable al caso y que de su validez depende la resolución del litigio, concretamente, la disposición adicional tercera del Real Decreto-ley 14/2010, en desarrollo de la cual se había dictado la Orden IET/2599/2012, cuyo artículo 2 determina las cuantías destinadas en el año 2012 a las actuaciones del plan con cargo a las empresas productoras de energía eléctrica (y a los peajes de acceso de terceros a las instalaciones gasistas, que no afectan directamente al presente caso).</w:t>
      </w:r>
    </w:p>
    <w:p w:rsidR="00A90898" w:rsidRDefault="00A90898" w:rsidP="00A90898">
      <w:pPr>
        <w:pStyle w:val="TextoNormal"/>
      </w:pPr>
    </w:p>
    <w:p w:rsidR="00A90898" w:rsidRDefault="00A90898" w:rsidP="00A90898">
      <w:pPr>
        <w:pStyle w:val="TextoNormal"/>
      </w:pPr>
      <w:r>
        <w:t>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teniendo el Real Decreto-ley 14/2010, fuerza de ley”. Asimismo, se pone de relieve que el recurso contencioso se interpone contra los artículos 1, 3 y 6.2 de la orden, si bien el núcleo del debate se centra en el artículo 2, ya que el artículo 1 describe el objeto de la orden, el 3 la liquidación y el 6.2 la aplicación y ejecución. En todo caso, afirma el Auto, “la suerte del litigio descansa sobre la obligación establecida en la disposición adicional tercera del Real Decreto-ley 14/2010”, a la vista de lo cual la Sala entiende que se cumplen los requisitos de aplicabilidad y relevancia.</w:t>
      </w:r>
    </w:p>
    <w:p w:rsidR="00A90898" w:rsidRDefault="00A90898" w:rsidP="00A90898">
      <w:pPr>
        <w:pStyle w:val="TextoNormal"/>
      </w:pPr>
    </w:p>
    <w:p w:rsidR="00A90898" w:rsidRDefault="00A90898" w:rsidP="00A90898">
      <w:pPr>
        <w:pStyle w:val="TextoNormal"/>
      </w:pPr>
      <w:r>
        <w:t>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00A90898" w:rsidRDefault="00A90898" w:rsidP="00A90898">
      <w:pPr>
        <w:pStyle w:val="TextoNormal"/>
      </w:pPr>
    </w:p>
    <w:p w:rsidR="00A90898" w:rsidRDefault="00A90898" w:rsidP="00A90898">
      <w:pPr>
        <w:pStyle w:val="TextoNormal"/>
      </w:pPr>
      <w:r>
        <w:t xml:space="preserve">En cuanto a la primera de las cuestiones que formula la Audiencia Nacional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Y, en segundo lugar, se considera que las empresas afectadas por la disposición han contribuido a la generación del déficit ‘siquiera sea por su condición de </w:t>
      </w:r>
      <w:r>
        <w:lastRenderedPageBreak/>
        <w:t>perceptoras de los pagos por capacidad’. Concluye la Abogacía del Estado que ‘no puede reputarse como irracional o injustificable’ que se establezca una disposición que implique a las generadoras ordinarias en el esfuerzo para la reducción del déficit”.</w:t>
      </w:r>
    </w:p>
    <w:p w:rsidR="00A90898" w:rsidRDefault="00A90898" w:rsidP="00A90898">
      <w:pPr>
        <w:pStyle w:val="TextoNormal"/>
      </w:pPr>
    </w:p>
    <w:p w:rsidR="00A90898" w:rsidRDefault="00A90898" w:rsidP="00A90898">
      <w:pPr>
        <w:pStyle w:val="TextoNormal"/>
      </w:pPr>
      <w:r>
        <w:t>La Sala no discute la legitimidad del legislador para establecer normas que orienten la política económica en un determinado sentido y que, con tal fin, pueda establecer tratamientos diferenciados, pero las argumentaciones que se dan con tal propósito no le parecen suficientes.</w:t>
      </w:r>
    </w:p>
    <w:p w:rsidR="00A90898" w:rsidRDefault="00A90898" w:rsidP="00A90898">
      <w:pPr>
        <w:pStyle w:val="TextoNormal"/>
      </w:pPr>
    </w:p>
    <w:p w:rsidR="00A90898" w:rsidRDefault="00A90898" w:rsidP="00A90898">
      <w:pPr>
        <w:pStyle w:val="TextoNormal"/>
      </w:pPr>
      <w:r>
        <w:t>En primer lugar, pone de relieve que el Real Decreto-ley 14/2010 justifica las medidas adoptadas en las nuevas condiciones económicas que han generado un escenario no previsto, por lo que se adoptan medidas con el fin de evitar que el déficit tarifario aumente sin control. Y,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nos parece tan razonable es que dicha medida justifique que la totalidad del coste de la financiación del Plan de Acción con cargo al sistema eléctrico, recaiga en exclusiva sobre las empresas generadoras en régimen ordinario”. Entre otras razones, alega que los beneficios del plan favorecen tanto a las empresas productoras en régimen especial como a las empresas productoras en régimen ordinario.</w:t>
      </w:r>
    </w:p>
    <w:p w:rsidR="00A90898" w:rsidRDefault="00A90898" w:rsidP="00A90898">
      <w:pPr>
        <w:pStyle w:val="TextoNormal"/>
      </w:pPr>
    </w:p>
    <w:p w:rsidR="00A90898" w:rsidRDefault="00A90898" w:rsidP="00A90898">
      <w:pPr>
        <w:pStyle w:val="TextoNormal"/>
      </w:pPr>
      <w:r>
        <w:t>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al Auto a concluir que los argumentos esgrimidos para justificar que las empresas de generación de electricidad en régimen ordinario abonen, en exclusiva, el coste de financiación del plan de ahorro no son convincentes, por lo que podría haberse vulnerado el principio de igualdad.</w:t>
      </w:r>
    </w:p>
    <w:p w:rsidR="00A90898" w:rsidRDefault="00A90898" w:rsidP="00A90898">
      <w:pPr>
        <w:pStyle w:val="TextoNormal"/>
      </w:pPr>
    </w:p>
    <w:p w:rsidR="00A90898" w:rsidRDefault="00A90898" w:rsidP="00A90898">
      <w:pPr>
        <w:pStyle w:val="TextoNormal"/>
      </w:pPr>
      <w:r>
        <w:t>A continuación, el Auto afirma que el Real Decreto-ley en cuestión no explica los criterios por los que ha seleccionado a determinadas empresas y analiza las razones aducidas por la Abogacía del Estado para excluir a determinadas entidades, una de las cuales es su escasa cuota de mercado. Acerca de esto, el órgano judicial sostiene que varias de las empresas excluidas tienen una cuota de mercado superior a las seleccionadas en la disposición cuestionada. En segundo lugar, a la Audiencia Nacional le resulta dudoso que se excluya a ciertas empresas por dedicarse, fundamentalmente, a la producción con energías renovables. Finalmente, el órgano promotor asevera que hay empresas de producción en régimen ordinario que la Administración no cita y que no están incluidas en la disposición analizada, respecto de las cuales nada se dice. En definitiva, la Audiencia Nacional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00A90898" w:rsidRDefault="00A90898" w:rsidP="00A90898">
      <w:pPr>
        <w:pStyle w:val="TextoNormal"/>
      </w:pPr>
    </w:p>
    <w:p w:rsidR="00A90898" w:rsidRDefault="00A90898" w:rsidP="00A90898">
      <w:pPr>
        <w:pStyle w:val="TextoNormal"/>
      </w:pPr>
      <w:r>
        <w:t xml:space="preserve">Finalmente, el Auto estima que la disposición adicional tercera también puede ser contraria al principio de interdicción de la arbitrariedad de los poderes públicos, planteándose </w:t>
      </w:r>
      <w:r>
        <w:lastRenderedPageBreak/>
        <w:t>en primer lugar si es razonable que la totalidad del coste recaiga sobre las empresas enumeradas en la disposición adicional tercera porque el plan de ahorro alcanza a varios sectores, entre los que se halla, sí, el eléctrico, pero dentro del cual se benefician no sólo las empresas 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00A90898" w:rsidRDefault="00A90898" w:rsidP="00A90898">
      <w:pPr>
        <w:pStyle w:val="TextoNormal"/>
      </w:pPr>
    </w:p>
    <w:p w:rsidR="00A90898" w:rsidRDefault="00A90898" w:rsidP="00A90898">
      <w:pPr>
        <w:pStyle w:val="TextoNormal"/>
      </w:pPr>
      <w:r>
        <w:t>En segundo lugar, la Audiencia Nacional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que están obligadas, en virtud de dicho precepto, a financiar el déficit de la tarifa eléctrica y que tendrán, por tanto, una menor carga como consecuencia del reequilibrio del sistema al que contribuye la medida aquí analizada.</w:t>
      </w:r>
    </w:p>
    <w:p w:rsidR="00A90898" w:rsidRDefault="00A90898" w:rsidP="00A90898">
      <w:pPr>
        <w:pStyle w:val="TextoNormal"/>
      </w:pPr>
    </w:p>
    <w:p w:rsidR="00A90898" w:rsidRDefault="00A90898" w:rsidP="00A90898">
      <w:pPr>
        <w:pStyle w:val="TextoNormal"/>
      </w:pPr>
      <w:r>
        <w:t>Sin embargo, el órgano judicial promotor de la cuestión no considera convincentes las razones esgrimidas, debido a que no llega a indicarse en detalle cómo se han obtenido los porcentajes exigidos a cada entidad y porque el argumento de conexión con la disposición adicional vigésimo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00A90898" w:rsidRDefault="00A90898" w:rsidP="00A90898">
      <w:pPr>
        <w:pStyle w:val="TextoNormal"/>
      </w:pPr>
    </w:p>
    <w:p w:rsidR="00A90898" w:rsidRDefault="00A90898" w:rsidP="00A90898">
      <w:pPr>
        <w:pStyle w:val="TextoNormal"/>
      </w:pPr>
      <w:r>
        <w:t>Las anteriores consideraciones llevan al órgano judicial a reafirmarse en sus dudas de constitucionalidad y acordar, en consecuencia:</w:t>
      </w:r>
    </w:p>
    <w:p w:rsidR="00A90898" w:rsidRDefault="00A90898" w:rsidP="00A90898">
      <w:pPr>
        <w:pStyle w:val="TextoNormal"/>
      </w:pPr>
    </w:p>
    <w:p w:rsidR="00A90898" w:rsidRDefault="00A90898" w:rsidP="00A90898">
      <w:pPr>
        <w:pStyle w:val="TextoNormal"/>
      </w:pPr>
      <w:r>
        <w:t>“Plantear cuestión de inconstitucionalidad acerca de la disposición adicional tercera del Real Decreto-ley 14/2010, de 23 de diciembre, que establece medidas urgentes para la corrección del déficit tarifario del sector eléctrico, al dudarse de la constitucionalidad de la norma por las siguientes razones:</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empresas productoras de electricidad en régimen ordinario con carácter exclusivo y frente a otras empresas del sector de electricidad.</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concretas empresas establecidas en la disposición y frente al resto de las empresas productoras de energía del sector.</w:t>
      </w:r>
    </w:p>
    <w:p w:rsidR="00A90898" w:rsidRDefault="00A90898" w:rsidP="00A90898">
      <w:pPr>
        <w:pStyle w:val="TextoNormal"/>
      </w:pPr>
    </w:p>
    <w:p w:rsidR="00A90898" w:rsidRDefault="00A90898" w:rsidP="00A90898">
      <w:pPr>
        <w:pStyle w:val="TextoNormal"/>
      </w:pPr>
      <w:r>
        <w:t xml:space="preserve">- Vulneración del art. 9.3 de la Constitución, por posible arbitrariedad en imponer que las empresas generadoras de electricidad en régimen ordinario abonen la totalidad del coste </w:t>
      </w:r>
      <w:r>
        <w:lastRenderedPageBreak/>
        <w:t>del Plan de Acción en el sector eléctrico y al no indicar cómo se han obtenido los porcentajes de los que debe responder cada una de las empresas.”</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del Pleno de 15 de julio de 2014 se acordó admitir a trámite la presente cuestión, por posible vulneración de los arts. 9.3 y 14 CE; de conformidad con lo dispuesto en el artículo 10.1 c) de la Ley Orgánica del Tribunal Constitucional (LOTC), deferir a la Sala Segunda,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177, de 22 de julio de 2014).</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con fecha 24 de julio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8 de septiembre de 2014.</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Por escrito registrado el 31 de julio de 2014, la representación procesal de E.ON Generación, S.L., en su condición de demandante en el proceso </w:t>
      </w:r>
      <w:r w:rsidRPr="00A90898">
        <w:rPr>
          <w:i/>
        </w:rPr>
        <w:t>a quo</w:t>
      </w:r>
      <w:r>
        <w:t>, solicitó que se le tuviera por personada y parte. Mediante diligencia de ordenación de 3 de septiembre de 2014 se acordó unir a las actuaciones el referido escrito, teniendo por personada a la entidad citada y concediéndole un plazo de quince días para que formulara las alegaciones que estimara convenientes.</w:t>
      </w:r>
    </w:p>
    <w:p w:rsidR="00A90898" w:rsidRDefault="00A90898" w:rsidP="00A90898">
      <w:pPr>
        <w:pStyle w:val="TextoNormal"/>
      </w:pPr>
    </w:p>
    <w:p w:rsidR="00A90898" w:rsidRDefault="00A90898" w:rsidP="00A90898">
      <w:pPr>
        <w:pStyle w:val="TextoNormal"/>
      </w:pPr>
      <w:r w:rsidRPr="00A90898">
        <w:rPr>
          <w:rStyle w:val="NumeroAFNegritaCaracter"/>
        </w:rPr>
        <w:t>7</w:t>
      </w:r>
      <w:r>
        <w:t>. Las alegaciones presentadas por el Abogado del Estado, interesando la desestimación de la cuestión, fueron registradas en este Tribunal el día 4 de septiembre de 2014.</w:t>
      </w:r>
    </w:p>
    <w:p w:rsidR="00A90898" w:rsidRDefault="00A90898" w:rsidP="00A90898">
      <w:pPr>
        <w:pStyle w:val="TextoNormal"/>
      </w:pPr>
    </w:p>
    <w:p w:rsidR="00A90898" w:rsidRDefault="00A90898" w:rsidP="00A90898">
      <w:pPr>
        <w:pStyle w:val="TextoNormal"/>
      </w:pPr>
      <w:r>
        <w:t>En su escrito, el representante de la Administración del Estado califica la obligación recogida en la disposición adicional tercera del Real Decreto-ley 14/2010 como una prestación patrimonial de carácter público que ha sido establecida mediante una norma con rango de ley, en cumplimiento de lo previsto en el art. 31.3 CE. Y resalta la circunstancia de haber sido establecida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—afirma— no es causa en sí misma de inconstitucionalidad.</w:t>
      </w:r>
    </w:p>
    <w:p w:rsidR="00A90898" w:rsidRDefault="00A90898" w:rsidP="00A90898">
      <w:pPr>
        <w:pStyle w:val="TextoNormal"/>
      </w:pPr>
    </w:p>
    <w:p w:rsidR="00A90898" w:rsidRDefault="00A90898" w:rsidP="00A90898">
      <w:pPr>
        <w:pStyle w:val="TextoNormal"/>
      </w:pPr>
      <w: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w:t>
      </w:r>
      <w:r w:rsidRPr="00A90898">
        <w:rPr>
          <w:i/>
        </w:rPr>
        <w:t>status</w:t>
      </w:r>
      <w:r>
        <w:t xml:space="preserve"> jurídico de una </w:t>
      </w:r>
      <w:r>
        <w:lastRenderedPageBreak/>
        <w:t>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00A90898" w:rsidRDefault="00A90898" w:rsidP="00A90898">
      <w:pPr>
        <w:pStyle w:val="TextoNormal"/>
      </w:pPr>
    </w:p>
    <w:p w:rsidR="00A90898" w:rsidRDefault="00A90898" w:rsidP="00A90898">
      <w:pPr>
        <w:pStyle w:val="TextoNormal"/>
      </w:pPr>
      <w:r>
        <w:t>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 lo que añade que el legislador no tiene obligación de expresar los motivos que le llevan a adoptar una determinada decisión, por lo que la falta de justificación expresa no debe considerarse generadora de arbitrariedad.</w:t>
      </w:r>
    </w:p>
    <w:p w:rsidR="00A90898" w:rsidRDefault="00A90898" w:rsidP="00A90898">
      <w:pPr>
        <w:pStyle w:val="TextoNormal"/>
      </w:pPr>
    </w:p>
    <w:p w:rsidR="00A90898" w:rsidRDefault="00A90898" w:rsidP="00A90898">
      <w:pPr>
        <w:pStyle w:val="TextoNormal"/>
      </w:pPr>
      <w:r>
        <w:t>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promotor de la cuestión cuando, en lo que califica como una “excesiva compartimentación”, separa el problema del déficit del sistema eléctrico y la financiación de los planes de ahorro energético, para concluir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00A90898" w:rsidRDefault="00A90898" w:rsidP="00A90898">
      <w:pPr>
        <w:pStyle w:val="TextoNormal"/>
      </w:pPr>
    </w:p>
    <w:p w:rsidR="00A90898" w:rsidRDefault="00A90898" w:rsidP="00A90898">
      <w:pPr>
        <w:pStyle w:val="TextoNormal"/>
      </w:pPr>
      <w:r>
        <w:t>En particular, considera que la norma enjuiciada “tiene su propia justificación y obedece a razones objetivas, se compartan o no”, en la medida en que la actividad de las compañías generadoras de régimen ordinario no es ajena al déficit tarifario, pues,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00A90898" w:rsidRDefault="00A90898" w:rsidP="00A90898">
      <w:pPr>
        <w:pStyle w:val="TextoNormal"/>
      </w:pPr>
    </w:p>
    <w:p w:rsidR="00A90898" w:rsidRDefault="00A90898" w:rsidP="00A90898">
      <w:pPr>
        <w:pStyle w:val="TextoNormal"/>
      </w:pPr>
      <w:r>
        <w:t>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vigésimo primera de la Ley 54/1997, sobre financiación del déficit de tarifa, para acabar, enlazando con sus primeras consideraciones, recordando la naturaleza legislativa del acto juzgado en este proceso, y que no se debe exigir al legislador una exposición detallada de las razones de su actividad reguladora. Con base en todo lo cual, interesa que se desestime la cuestión.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La representación procesal de E.ON Generación, S.L., cumplimentó el día 26 de septiembre de 2014 el trámite de alegaciones conferido, interesando la estimación de la cuestión, por las razones que se resumen a continuación.</w:t>
      </w:r>
    </w:p>
    <w:p w:rsidR="00A90898" w:rsidRDefault="00A90898" w:rsidP="00A90898">
      <w:pPr>
        <w:pStyle w:val="TextoNormal"/>
      </w:pPr>
    </w:p>
    <w:p w:rsidR="00A90898" w:rsidRDefault="00A90898" w:rsidP="00A90898">
      <w:pPr>
        <w:pStyle w:val="TextoNormal"/>
      </w:pPr>
      <w:r>
        <w:t>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lo cual argumenta que las órdenes ministeriales de desarrollo de la disposición adicional tercera se aprobaron meses y, en algunos casos, años después de la aprobación del Real Decreto-ley 14/2010.</w:t>
      </w:r>
    </w:p>
    <w:p w:rsidR="00A90898" w:rsidRDefault="00A90898" w:rsidP="00A90898">
      <w:pPr>
        <w:pStyle w:val="TextoNormal"/>
      </w:pPr>
    </w:p>
    <w:p w:rsidR="00A90898" w:rsidRDefault="00A90898" w:rsidP="00A90898">
      <w:pPr>
        <w:pStyle w:val="TextoNormal"/>
      </w:pPr>
      <w:r>
        <w:t>A continuación, aborda la infracción de los arts. 9.3 y 14 CE, para coincidir con los argumentos del Auto de planteamiento sobre el carácter discriminatorio y arbitrario de la disposición objetada.</w:t>
      </w:r>
    </w:p>
    <w:p w:rsidR="00A90898" w:rsidRDefault="00A90898" w:rsidP="00A90898">
      <w:pPr>
        <w:pStyle w:val="TextoNormal"/>
      </w:pPr>
    </w:p>
    <w:p w:rsidR="00A90898" w:rsidRDefault="00A90898" w:rsidP="00A90898">
      <w:pPr>
        <w:pStyle w:val="TextoNormal"/>
      </w:pPr>
      <w:r>
        <w:t>La entidad E.ON Generación, S.L., estima que se ha vulnerado, asimismo, el principio de reserva de ley del art. 31.3 CE porque se ha impuesto una prestación patrimonial de carácter público sin definir, siquiera indiciariamente, los elementos esenciales de la misma, a lo que se suma que se ha seguido un instrumento normativo, el real decreto-ley, no solo faltando el presupuesto de la “extraordinaria y urgente necesidad”, sino excediendo los límites materiales previstos para dicha figura, con la que no puede afectarse al deber de contribuir, como aquí se ha hecho.</w:t>
      </w:r>
    </w:p>
    <w:p w:rsidR="00A90898" w:rsidRDefault="00A90898" w:rsidP="00A90898">
      <w:pPr>
        <w:pStyle w:val="TextoNormal"/>
      </w:pPr>
    </w:p>
    <w:p w:rsidR="00A90898" w:rsidRDefault="00A90898" w:rsidP="00A90898">
      <w:pPr>
        <w:pStyle w:val="TextoNormal"/>
      </w:pPr>
      <w:r>
        <w:t>Por lo anterior, concluye que la disposición adicional tercera del Real Decreto-ley 14/2010 resulta contraria a los arts. 9.3, 14, 31 y 86 CE.</w:t>
      </w:r>
    </w:p>
    <w:p w:rsidR="00A90898" w:rsidRDefault="00A90898" w:rsidP="00A90898">
      <w:pPr>
        <w:pStyle w:val="TextoNormal"/>
      </w:pPr>
    </w:p>
    <w:p w:rsidR="00A90898" w:rsidRDefault="00A90898" w:rsidP="00A90898">
      <w:pPr>
        <w:pStyle w:val="TextoNormal"/>
      </w:pPr>
      <w:r w:rsidRPr="00A90898">
        <w:rPr>
          <w:rStyle w:val="NumeroAFNegritaCaracter"/>
        </w:rPr>
        <w:t>9</w:t>
      </w:r>
      <w:r>
        <w:t>. El Fiscal General del Estado presentó sus alegaciones el 14 de octubre de 2014, en las que solicitó la desestimación de la cuestión de inconstitucionalidad, por los motivos que seguidamente se exponen.</w:t>
      </w:r>
    </w:p>
    <w:p w:rsidR="00A90898" w:rsidRDefault="00A90898" w:rsidP="00A90898">
      <w:pPr>
        <w:pStyle w:val="TextoNormal"/>
      </w:pPr>
    </w:p>
    <w:p w:rsidR="00A90898" w:rsidRDefault="00A90898" w:rsidP="00A90898">
      <w:pPr>
        <w:pStyle w:val="TextoNormal"/>
      </w:pPr>
      <w:r>
        <w:t>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la cual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00A90898" w:rsidRDefault="00A90898" w:rsidP="00A90898">
      <w:pPr>
        <w:pStyle w:val="TextoNormal"/>
      </w:pPr>
    </w:p>
    <w:p w:rsidR="00A90898" w:rsidRDefault="00A90898" w:rsidP="00A90898">
      <w:pPr>
        <w:pStyle w:val="TextoNormal"/>
      </w:pPr>
      <w:r>
        <w:t xml:space="preserve">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como es corregir el déficit tarifario mediante un esfuerzo adicional de todos los agentes del sector. Y destaca que para las empresas generadoras de régimen especial también se han adoptado medidas con la misma finalidad y que entra en la libertad de </w:t>
      </w:r>
      <w:r>
        <w:lastRenderedPageBreak/>
        <w:t>configuración del legislador determinar el tipo de medidas que establece respecto de los distintos agentes del sector, por lo que no se ha infringido el principio de igualdad.</w:t>
      </w:r>
    </w:p>
    <w:p w:rsidR="00A90898" w:rsidRDefault="00A90898" w:rsidP="00A90898">
      <w:pPr>
        <w:pStyle w:val="TextoNormal"/>
      </w:pPr>
    </w:p>
    <w:p w:rsidR="00A90898" w:rsidRDefault="00A90898" w:rsidP="00A90898">
      <w:pPr>
        <w:pStyle w:val="TextoNormal"/>
      </w:pPr>
      <w:r>
        <w:t xml:space="preserve">Respecto de la selección de determinadas empresas generadoras de régimen ordinario que hace la norma cuestionada, y haciéndose eco de las aclaraciones ofrecidas por la Abogacía del Estado en la contestación a la demanda del proceso </w:t>
      </w:r>
      <w:r w:rsidRPr="00A90898">
        <w:rPr>
          <w:i/>
        </w:rPr>
        <w:t>a quo</w:t>
      </w:r>
      <w:r>
        <w:t>,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00A90898" w:rsidRDefault="00A90898" w:rsidP="00A90898">
      <w:pPr>
        <w:pStyle w:val="TextoNormal"/>
      </w:pPr>
    </w:p>
    <w:p w:rsidR="00A90898" w:rsidRDefault="00A90898" w:rsidP="00A90898">
      <w:pPr>
        <w:pStyle w:val="TextoNormal"/>
      </w:pPr>
      <w:r>
        <w:t xml:space="preserve">Por último, en relación con los porcentajes de contribución a los planes de ahorro y eficiencia energética exigidos a cada entidad, y una vez acotado ya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w:t>
      </w:r>
      <w:r w:rsidRPr="00A90898">
        <w:rPr>
          <w:i/>
        </w:rPr>
        <w:t>a quo</w:t>
      </w:r>
      <w:r>
        <w:t>, según las cuales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00A90898" w:rsidRDefault="00A90898" w:rsidP="00A90898">
      <w:pPr>
        <w:pStyle w:val="TextoNormal"/>
      </w:pPr>
    </w:p>
    <w:p w:rsidR="00A90898" w:rsidRDefault="00A90898" w:rsidP="00A90898">
      <w:pPr>
        <w:pStyle w:val="TextoNormal"/>
      </w:pPr>
      <w:r>
        <w:t>Con base en lo anterior, el Fiscal General del Estado solicita que se desestime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10</w:t>
      </w:r>
      <w:r>
        <w:t>. Mediante providencia de 13 de octubre de 2016, se señaló para deliberación y votación de la presente Sentencia el día 17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de la Constitución.</w:t>
      </w:r>
    </w:p>
    <w:p w:rsidR="00A90898" w:rsidRDefault="00A90898" w:rsidP="00A90898">
      <w:pPr>
        <w:pStyle w:val="TextoNormal"/>
      </w:pPr>
    </w:p>
    <w:p w:rsidR="00A90898" w:rsidRDefault="00A90898" w:rsidP="00A90898">
      <w:pPr>
        <w:pStyle w:val="TextoNormal"/>
      </w:pPr>
      <w:r>
        <w:t>El precepto cuestionado, bajo el título “Financiación de planes de ahorro y eficiencia energética para los años 2011, 2012 y 2013”, establece lo siguiente:</w:t>
      </w:r>
    </w:p>
    <w:p w:rsidR="00A90898" w:rsidRDefault="00A90898" w:rsidP="00A90898">
      <w:pPr>
        <w:pStyle w:val="TextoNormal"/>
      </w:pPr>
    </w:p>
    <w:p w:rsidR="00A90898" w:rsidRDefault="00A90898" w:rsidP="00A90898">
      <w:pPr>
        <w:pStyle w:val="TextoNormal"/>
      </w:pPr>
      <w:r>
        <w:t xml:space="preserve">“1. Las cuantías con cargo al sistema eléctrico destinadas a la financiación del Plan de acción 2008-2012, aprobado el Acuerdo de Consejo de Ministros de 8 de julio de 2005, por </w:t>
      </w:r>
      <w:r>
        <w:lastRenderedPageBreak/>
        <w:t>el que se concretan las medidas del documento de ‘Estrategia de ahorro y eficiencia energética en España 2004-2012’ aprobado por Acuerdo de Consejo de Ministros de 28 de noviembre de 2003, previstas para los años 2011 y 2012 de 270 Millones de euros y 250 Millones de euros respectivamente, se financiarán mediante la aportación de cada una de las empresas productoras según los porcentajes recogidos en la siguiente tabla:</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....................EMPRESA................................PORCENTAJE</w:t>
      </w:r>
    </w:p>
    <w:p w:rsidR="00A90898" w:rsidRDefault="00A90898" w:rsidP="00A90898">
      <w:pPr>
        <w:pStyle w:val="TextoNormal"/>
      </w:pPr>
    </w:p>
    <w:p w:rsidR="00A90898" w:rsidRDefault="00A90898" w:rsidP="00A90898">
      <w:pPr>
        <w:pStyle w:val="TextoNormal"/>
      </w:pPr>
      <w:r>
        <w:t>..........Endesa Generación S.A........................34,66</w:t>
      </w:r>
    </w:p>
    <w:p w:rsidR="00A90898" w:rsidRDefault="00A90898" w:rsidP="00A90898">
      <w:pPr>
        <w:pStyle w:val="TextoNormal"/>
      </w:pPr>
    </w:p>
    <w:p w:rsidR="00A90898" w:rsidRDefault="00A90898" w:rsidP="00A90898">
      <w:pPr>
        <w:pStyle w:val="TextoNormal"/>
      </w:pPr>
      <w:r>
        <w:t>..........Iberdrola Generación, S.A....................32,71</w:t>
      </w:r>
    </w:p>
    <w:p w:rsidR="00A90898" w:rsidRDefault="00A90898" w:rsidP="00A90898">
      <w:pPr>
        <w:pStyle w:val="TextoNormal"/>
      </w:pPr>
    </w:p>
    <w:p w:rsidR="00A90898" w:rsidRDefault="00A90898" w:rsidP="00A90898">
      <w:pPr>
        <w:pStyle w:val="TextoNormal"/>
      </w:pPr>
      <w:r>
        <w:t>..........GAS Natural S.D.G, S.A.......................16,37</w:t>
      </w:r>
    </w:p>
    <w:p w:rsidR="00A90898" w:rsidRDefault="00A90898" w:rsidP="00A90898">
      <w:pPr>
        <w:pStyle w:val="TextoNormal"/>
      </w:pPr>
    </w:p>
    <w:p w:rsidR="00A90898" w:rsidRDefault="00A90898" w:rsidP="00A90898">
      <w:pPr>
        <w:pStyle w:val="TextoNormal"/>
      </w:pPr>
      <w:r>
        <w:t>..........Hidroeléctrica del Cantábrico, S.A..........4,38</w:t>
      </w:r>
    </w:p>
    <w:p w:rsidR="00A90898" w:rsidRDefault="00A90898" w:rsidP="00A90898">
      <w:pPr>
        <w:pStyle w:val="TextoNormal"/>
      </w:pPr>
    </w:p>
    <w:p w:rsidR="00A90898" w:rsidRDefault="00A90898" w:rsidP="00A90898">
      <w:pPr>
        <w:pStyle w:val="TextoNormal"/>
      </w:pPr>
      <w:r>
        <w:t>..........E.ON Generación, S.L...........................2,96</w:t>
      </w:r>
    </w:p>
    <w:p w:rsidR="00A90898" w:rsidRDefault="00A90898" w:rsidP="00A90898">
      <w:pPr>
        <w:pStyle w:val="TextoNormal"/>
      </w:pPr>
    </w:p>
    <w:p w:rsidR="00A90898" w:rsidRDefault="00A90898" w:rsidP="00A90898">
      <w:pPr>
        <w:pStyle w:val="TextoNormal"/>
      </w:pPr>
      <w:r>
        <w:t>..........AES Cartagena, S.R.L...........................2,07</w:t>
      </w:r>
    </w:p>
    <w:p w:rsidR="00A90898" w:rsidRDefault="00A90898" w:rsidP="00A90898">
      <w:pPr>
        <w:pStyle w:val="TextoNormal"/>
      </w:pPr>
    </w:p>
    <w:p w:rsidR="00A90898" w:rsidRDefault="00A90898" w:rsidP="00A90898">
      <w:pPr>
        <w:pStyle w:val="TextoNormal"/>
      </w:pPr>
      <w:r>
        <w:t>..........Bizkaia Energía, S.L.............................1,42</w:t>
      </w:r>
    </w:p>
    <w:p w:rsidR="00A90898" w:rsidRDefault="00A90898" w:rsidP="00A90898">
      <w:pPr>
        <w:pStyle w:val="TextoNormal"/>
      </w:pPr>
    </w:p>
    <w:p w:rsidR="00A90898" w:rsidRDefault="00A90898" w:rsidP="00A90898">
      <w:pPr>
        <w:pStyle w:val="TextoNormal"/>
      </w:pPr>
      <w:r>
        <w:t>..........Castelnou Energía, S.L.........................1,58</w:t>
      </w:r>
    </w:p>
    <w:p w:rsidR="00A90898" w:rsidRDefault="00A90898" w:rsidP="00A90898">
      <w:pPr>
        <w:pStyle w:val="TextoNormal"/>
      </w:pPr>
    </w:p>
    <w:p w:rsidR="00A90898" w:rsidRDefault="00A90898" w:rsidP="00A90898">
      <w:pPr>
        <w:pStyle w:val="TextoNormal"/>
      </w:pPr>
      <w:r>
        <w:t>..........Nueva Generadora del Sur, S.A.............1,62</w:t>
      </w:r>
    </w:p>
    <w:p w:rsidR="00A90898" w:rsidRDefault="00A90898" w:rsidP="00A90898">
      <w:pPr>
        <w:pStyle w:val="TextoNormal"/>
      </w:pPr>
    </w:p>
    <w:p w:rsidR="00A90898" w:rsidRDefault="00A90898" w:rsidP="00A90898">
      <w:pPr>
        <w:pStyle w:val="TextoNormal"/>
      </w:pPr>
      <w:r>
        <w:t>..........Bahía de Bizkaia Electricidad, S.L...........1,42</w:t>
      </w:r>
    </w:p>
    <w:p w:rsidR="00A90898" w:rsidRDefault="00A90898" w:rsidP="00A90898">
      <w:pPr>
        <w:pStyle w:val="TextoNormal"/>
      </w:pPr>
    </w:p>
    <w:p w:rsidR="00A90898" w:rsidRDefault="00A90898" w:rsidP="00A90898">
      <w:pPr>
        <w:pStyle w:val="TextoNormal"/>
      </w:pPr>
      <w:r>
        <w:t>..........Tarragona Power, S.L...........................0,81</w:t>
      </w:r>
    </w:p>
    <w:p w:rsidR="00A90898" w:rsidRDefault="00A90898" w:rsidP="00A90898">
      <w:pPr>
        <w:pStyle w:val="TextoNormal"/>
      </w:pPr>
    </w:p>
    <w:p w:rsidR="00A90898" w:rsidRDefault="00A90898" w:rsidP="00A90898">
      <w:pPr>
        <w:pStyle w:val="TextoNormal"/>
      </w:pPr>
      <w:r>
        <w:t>....................Total.....................................100,00</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00A90898" w:rsidRDefault="00A90898" w:rsidP="00A90898">
      <w:pPr>
        <w:pStyle w:val="TextoNormal"/>
      </w:pPr>
    </w:p>
    <w:p w:rsidR="00A90898" w:rsidRDefault="00A90898" w:rsidP="00A90898">
      <w:pPr>
        <w:pStyle w:val="TextoNormal"/>
      </w:pPr>
      <w:r>
        <w:t>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once entidades en concreto ni los porcentajes atribuidos.</w:t>
      </w:r>
    </w:p>
    <w:p w:rsidR="00A90898" w:rsidRDefault="00A90898" w:rsidP="00A90898">
      <w:pPr>
        <w:pStyle w:val="TextoNormal"/>
      </w:pPr>
    </w:p>
    <w:p w:rsidR="00A90898" w:rsidRDefault="00A90898" w:rsidP="00A90898">
      <w:pPr>
        <w:pStyle w:val="TextoNormal"/>
      </w:pPr>
      <w:r>
        <w:lastRenderedPageBreak/>
        <w:t>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w:t>
      </w:r>
    </w:p>
    <w:p w:rsidR="00A90898" w:rsidRDefault="00A90898" w:rsidP="00A90898">
      <w:pPr>
        <w:pStyle w:val="TextoNormal"/>
      </w:pPr>
    </w:p>
    <w:p w:rsidR="00A90898" w:rsidRDefault="00A90898" w:rsidP="00A90898">
      <w:pPr>
        <w:pStyle w:val="TextoNormal"/>
      </w:pPr>
      <w:r>
        <w:t>Por su parte, la entidad E.ON Generación, S.L., solicita la estimación, al apreciar que el precepto vulnera el art. 14 CE, en cuanto impone una carga solo a determinadas empresas de generación eléctrica, dando lugar a una desigualdad injustificada; y denuncia, asimismo, la infracción del art. 9.3 CE, por no existir causa que explique la selección de las empresas obligadas, ni el porcentaje de contribución exigido a cada una de ellas. La citada sociedad apunta también a la posible inconstitucionalidad de la norma por colisión con el art. 31.3 CE, porque se ha impuesto una prestación patrimonial de carácter público sin definir los elementos esenciales de la misma, y con el art. 86.1 CE, al haberse establecido mediante un Real Decreto-ley sin concurrir el presupuesto habilitante de este instrumento normativo (la extraordinaria y urgente necesidad) y afectarse, además, al deber de contribuir a que se refiere el art. 31.1 CE.</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examen de fondo, procede efectuar determinadas consideraciones preliminares, a fin de delimitar con precisión el objeto de la controversia y el alcance de nuestro enjuiciamiento:</w:t>
      </w:r>
    </w:p>
    <w:p w:rsidR="00A90898" w:rsidRDefault="00A90898" w:rsidP="00A90898">
      <w:pPr>
        <w:pStyle w:val="TextoNormal"/>
      </w:pPr>
    </w:p>
    <w:p w:rsidR="00A90898" w:rsidRDefault="00A90898" w:rsidP="00A90898">
      <w:pPr>
        <w:pStyle w:val="TextoNormal"/>
      </w:pPr>
      <w:r>
        <w:t xml:space="preserve">a) La primera se refiere a que, durante la pendencia del proceso judicial </w:t>
      </w:r>
      <w:r w:rsidRPr="00A90898">
        <w:rPr>
          <w:i/>
        </w:rPr>
        <w:t>a quo</w:t>
      </w:r>
      <w:r>
        <w:t>,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00A90898" w:rsidRDefault="00A90898" w:rsidP="00A90898">
      <w:pPr>
        <w:pStyle w:val="TextoNormal"/>
      </w:pPr>
    </w:p>
    <w:p w:rsidR="00A90898" w:rsidRDefault="00A90898" w:rsidP="00A90898">
      <w:pPr>
        <w:pStyle w:val="TextoNormal"/>
      </w:pPr>
      <w: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sí es aplicable en el proceso </w:t>
      </w:r>
      <w:r w:rsidRPr="00A90898">
        <w:rPr>
          <w:i/>
        </w:rPr>
        <w:t>a quo</w:t>
      </w:r>
      <w:r>
        <w:t xml:space="preserve"> y de su validez depende la decisión a adoptar en este, como exige el art. 163 CE (juicios de aplicabilidad y relevancia, que aquí no se discuten),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00A90898" w:rsidRDefault="00A90898" w:rsidP="00A90898">
      <w:pPr>
        <w:pStyle w:val="TextoNormal"/>
      </w:pPr>
    </w:p>
    <w:p w:rsidR="00A90898" w:rsidRDefault="00A90898" w:rsidP="00A90898">
      <w:pPr>
        <w:pStyle w:val="TextoNormal"/>
      </w:pPr>
      <w:r>
        <w:t xml:space="preserve">b) En segundo lugar, y con la finalidad de identificar el parámetro de enjuiciamiento correspondiente, debemos precisar que el Auto de planteamiento de la presente cuestión circunscribe las dudas del órgano judicial a la posible colisión con los arts. 9.3 y 14 CE, </w:t>
      </w:r>
      <w:r>
        <w:lastRenderedPageBreak/>
        <w:t>sobre los que se dio audiencia a las partes, tal y como demanda el art. 35.2 de la Ley Orgánica del Tribunal Constitucional (LOTC).</w:t>
      </w:r>
    </w:p>
    <w:p w:rsidR="00A90898" w:rsidRDefault="00A90898" w:rsidP="00A90898">
      <w:pPr>
        <w:pStyle w:val="TextoNormal"/>
      </w:pPr>
    </w:p>
    <w:p w:rsidR="00A90898" w:rsidRDefault="00A90898" w:rsidP="00A90898">
      <w:pPr>
        <w:pStyle w:val="TextoNormal"/>
      </w:pPr>
      <w:r>
        <w:t>A pesar de que la entidad E.ON Generación, S.L., suscita en su escrito de alegaciones la posible infracción de otros preceptos de la Constitución, aparte de los señalados por el órgano promotor, sobre los que, por tanto, el resto de partes no han sido oídas, no por ello debemos extender a ellos nuestro análisis de constitucionalidad, puesto que las partes personadas no pueden, al hilo de lo dispuesto en el art. 37.2 LOTC, hacer valer una pretensión propia, sino únicamente defender u oponerse a la cuestión formulada por el órgano judicial, dentro de los parámetros fijados por éste en su auto de planteamiento. Todo ello sin perjuicio de la posibilidad que reconoce el art. 39.2 LOTC, como atribución de este Tribunal, y no de las partes del proceso constitucional (SSTC 81/2003, de 30 de abril, FJ 7; 126/2008, de 27 de octubre, FJ 1, y 126/2011, de 18 de julio, FJ 7), de “fundar la declaración de inconstitucionalidad en la infracción de cualquier precepto constitucional, haya o no sido invocado en el curso del proceso”.</w:t>
      </w:r>
    </w:p>
    <w:p w:rsidR="00A90898" w:rsidRDefault="00A90898" w:rsidP="00A90898">
      <w:pPr>
        <w:pStyle w:val="TextoNormal"/>
      </w:pPr>
    </w:p>
    <w:p w:rsidR="00A90898" w:rsidRDefault="00A90898" w:rsidP="00A90898">
      <w:pPr>
        <w:pStyle w:val="TextoNormal"/>
      </w:pPr>
      <w:r>
        <w:t>Por consiguiente, nuestro examen debe circunscribirse al contraste de la disposición cuestionada con los arts. 9.3 y 14 CE, sin entrar en la pretendida contradicción que alega E.ON Generación, S.L., con los arts. 31.3 y 86.1 CE, no incluidos en el Auto de planteamiento.</w:t>
      </w:r>
    </w:p>
    <w:p w:rsidR="00A90898" w:rsidRDefault="00A90898" w:rsidP="00A90898">
      <w:pPr>
        <w:pStyle w:val="TextoNormal"/>
      </w:pPr>
    </w:p>
    <w:p w:rsidR="00A90898" w:rsidRDefault="00A90898" w:rsidP="00A90898">
      <w:pPr>
        <w:pStyle w:val="TextoNormal"/>
      </w:pPr>
      <w:r w:rsidRPr="00A90898">
        <w:rPr>
          <w:rStyle w:val="NumeroAFNegritaCaracter"/>
        </w:rPr>
        <w:t>3</w:t>
      </w:r>
      <w:r>
        <w:t>.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STC 167/2016, de 6 de octubre. El órgano promotor es la Sección Cuarta en ambas cuestiones y el Auto de planteamiento se encuentra redactado en los mismos términos, coincidiendo en su integridad tanto la norma impugnada como los preceptos constitucionales en juego y los argumentos esgrimidos por las partes en defensa de sus pretensiones.</w:t>
      </w:r>
    </w:p>
    <w:p w:rsidR="00A90898" w:rsidRDefault="00A90898" w:rsidP="00A90898">
      <w:pPr>
        <w:pStyle w:val="TextoNormal"/>
      </w:pPr>
    </w:p>
    <w:p w:rsidR="00A90898" w:rsidRDefault="00A90898" w:rsidP="00A90898">
      <w:pPr>
        <w:pStyle w:val="TextoNormal"/>
      </w:pPr>
      <w:r>
        <w:t>Se ha de recordar, a este respecto, que la disposición adicional tercera del Real Decreto-ley 14/2010 regula una forma de financiación de los planes de ahorro y eficiencia energética para los años 2011, 2012 y 2013, suscitándose la cuestión núm. 6599-2013 al hilo de la Orden ITC/2844/2011, que instrumenta el pago de la prestación para el ejercicio 2011, mientras que la presente viene referida a la Orden IET/2599/2012, que hace lo propio para el año 2012. Pero en ambos casos la duda de constitucionalidad se proyecta sobre la misma norma con rango de ley, que es la disposición adicional tercera del Real Decreto-ley 14/2010 y, además, por idénticos motivos.</w:t>
      </w:r>
    </w:p>
    <w:p w:rsidR="00A90898" w:rsidRDefault="00A90898" w:rsidP="00A90898">
      <w:pPr>
        <w:pStyle w:val="TextoNormal"/>
      </w:pPr>
    </w:p>
    <w:p w:rsidR="00A90898" w:rsidRDefault="00A90898" w:rsidP="00A90898">
      <w:pPr>
        <w:pStyle w:val="TextoNormal"/>
      </w:pPr>
      <w:r>
        <w:t xml:space="preserve">Pues bien, en la STC 167/2016, de 6 de octubre, tras encuadrar la controversia en el ámbito de la regulación del sector eléctrico y de la contención del déficit tarifario, y a la vista de nuestra doctrina sobre el principio de igualdad, hemos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y, por lo que respecta al resto de empresas productoras de régimen ordinario, que la </w:t>
      </w:r>
      <w:r>
        <w:lastRenderedPageBreak/>
        <w:t>selección de las once entidades obligadas a financiar los planes de ahorro y eficiencia energética tiene una justificación objetiva y razonable, respetando, asimismo, el canon de proporcionalidad exigible. Y,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00A90898" w:rsidRDefault="00A90898" w:rsidP="00A90898">
      <w:pPr>
        <w:pStyle w:val="TextoNormal"/>
      </w:pPr>
    </w:p>
    <w:p w:rsidR="00A90898" w:rsidRDefault="00A90898" w:rsidP="00A90898">
      <w:pPr>
        <w:pStyle w:val="TextoNormal"/>
      </w:pPr>
      <w:r>
        <w:t>En consecuencia, por evidentes razones de unidad de doctrina, solo cabe, con íntegra remisión a lo resuelto en la citada STC 167/2016, llegar aquí a la misma conclusión desestimatoria.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presente cuestión de inconstitucionalidad núm. 2919-2014.</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diecisiete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4" w:name="SENTENCIA_2016_175"/>
      <w:r>
        <w:lastRenderedPageBreak/>
        <w:t>SENTENCIA 175/2016, de 17 de octubre de 2016</w:t>
      </w:r>
    </w:p>
    <w:bookmarkEnd w:id="54"/>
    <w:p w:rsidR="00A90898" w:rsidRDefault="00A90898" w:rsidP="00A90898">
      <w:pPr>
        <w:pStyle w:val="TtuloResolucin"/>
      </w:pPr>
      <w:r>
        <w:t>Sala Segunda</w:t>
      </w:r>
    </w:p>
    <w:p w:rsidR="00A90898" w:rsidRDefault="00A90898" w:rsidP="00A90898">
      <w:pPr>
        <w:pStyle w:val="TtuloBOE"/>
      </w:pPr>
      <w:r>
        <w:t>(BOE núm. 285, de 25 de noviembre de 2016)</w:t>
      </w:r>
    </w:p>
    <w:p w:rsidR="00A90898" w:rsidRDefault="00A90898" w:rsidP="00A90898">
      <w:pPr>
        <w:pStyle w:val="TextoNormalCentrado"/>
      </w:pPr>
      <w:r>
        <w:t>ECLI:ES:TC:2016:175</w:t>
      </w:r>
    </w:p>
    <w:p w:rsidR="00A90898" w:rsidRDefault="00A90898" w:rsidP="00A90898">
      <w:pPr>
        <w:pStyle w:val="TextoNormalCentrado"/>
      </w:pPr>
    </w:p>
    <w:p w:rsidR="00A90898" w:rsidRDefault="00A90898" w:rsidP="00A90898">
      <w:pPr>
        <w:pStyle w:val="SntesisDescriptiva"/>
      </w:pPr>
      <w:r>
        <w:t>Cuestión de inconstitucionalidad 6599-2015. Planteada por la Sala de lo Contencioso-Administrativo del Tribunal Superior de Justicia de Cataluña, en relación con el artículo 21.3 a) del Decreto-ley del Gobierno de la Generalitat de Cataluña 1/2009, de 22 de diciembre, de ordenación de los equipamientos comerciales.</w:t>
      </w:r>
    </w:p>
    <w:p w:rsidR="00A90898" w:rsidRDefault="00A90898" w:rsidP="00A90898">
      <w:pPr>
        <w:pStyle w:val="SntesisDescriptiva"/>
      </w:pPr>
    </w:p>
    <w:p w:rsidR="00A90898" w:rsidRDefault="00A90898" w:rsidP="00A90898">
      <w:pPr>
        <w:pStyle w:val="SntesisAnaltica"/>
      </w:pPr>
      <w:r>
        <w:t>Competencias sobre procedimiento administrativo: inadmisión de la cuestión por inadecuada formulación del juicio de relevancia.</w:t>
      </w:r>
    </w:p>
    <w:p w:rsidR="00A90898" w:rsidRDefault="00A90898" w:rsidP="00A90898">
      <w:pPr>
        <w:pStyle w:val="SntesisAnaltica"/>
      </w:pPr>
    </w:p>
    <w:p w:rsidR="00A90898" w:rsidRDefault="00A90898" w:rsidP="00A90898">
      <w:pPr>
        <w:pStyle w:val="Extracto"/>
      </w:pPr>
      <w:r>
        <w:t>1.</w:t>
      </w:r>
      <w:r>
        <w:tab/>
        <w:t xml:space="preserve">En las cuestiones de inconstitucionalidad, no basta con que el juez o el tribunal </w:t>
      </w:r>
      <w:r w:rsidRPr="00A90898">
        <w:rPr>
          <w:i/>
        </w:rPr>
        <w:t>a quo</w:t>
      </w:r>
      <w:r>
        <w:t xml:space="preserve"> considere y justifique que la norma es aplicable al caso -juicio de aplicabilidad-, sino que también ha de acreditar la concurrencia del requisito de la relevancia o, dicho de otro modo, que la resolución del litigio planteado en el proceso a quo depende realmente de la constitucionalidad de la norma cuestionada -juicio de relevancia- (SSTC 17/1981 y 156/2014) [FJ 2].</w:t>
      </w:r>
    </w:p>
    <w:p w:rsidR="00A90898" w:rsidRDefault="00A90898" w:rsidP="00A90898">
      <w:pPr>
        <w:pStyle w:val="Extracto"/>
      </w:pPr>
    </w:p>
    <w:p w:rsidR="00A90898" w:rsidRDefault="00A90898" w:rsidP="00A90898">
      <w:pPr>
        <w:pStyle w:val="Extracto"/>
      </w:pPr>
      <w:r>
        <w:t>2.</w:t>
      </w:r>
      <w:r>
        <w:tab/>
        <w:t>La correcta formulación del juicio de relevancia hubiera exigido una reflexión del Tribunal Superior de Justicia acerca de si, en este caso, es aplicable el silencio positivo previsto en la Ley de procedimiento administrativo o, por el contrario y al tratarse de un asunto referente a cuestiones territoriales y administrativas, la regla de aplicación podía ser la Ley de suelo [FJ 5].</w:t>
      </w:r>
    </w:p>
    <w:p w:rsidR="00A90898" w:rsidRDefault="00A90898" w:rsidP="00A90898">
      <w:pPr>
        <w:pStyle w:val="Extracto"/>
      </w:pPr>
    </w:p>
    <w:p w:rsidR="00A90898" w:rsidRDefault="00A90898" w:rsidP="00A90898">
      <w:pPr>
        <w:pStyle w:val="Extracto"/>
      </w:pPr>
      <w:r>
        <w:t>3.</w:t>
      </w:r>
      <w:r>
        <w:tab/>
        <w:t>De no tener cabida la estimación presunta, la constitucionalidad o no del cómputo del plazo para resolver sobre las solicitudes de licencia comercial, resulta irrelevante para el fallo que haya de adoptar el Tribunal a quo, pues existió una resolución administrativa denegatoria de la solicitud del demandante para la que sería indiferente si se dictó dentro de plazo o no, si se atiende a la jurisprudencia, conforme a la cual en casos como el presente cabe el dictado, en cualquier momento posterior al vencimiento del plazo legal para resolver, de una resolución administrativa desestimatoria, justificada precisamente en la observancia de la ordenación territorial y urbanística (STC 29/2015) [FJ 5].</w:t>
      </w:r>
    </w:p>
    <w:p w:rsidR="00A90898" w:rsidRDefault="00A90898" w:rsidP="00A90898">
      <w:pPr>
        <w:pStyle w:val="Extracto"/>
      </w:pPr>
    </w:p>
    <w:p w:rsidR="00A90898" w:rsidRDefault="00A90898" w:rsidP="00A90898">
      <w:pPr>
        <w:pStyle w:val="Extracto"/>
      </w:pPr>
      <w:r>
        <w:t>4.</w:t>
      </w:r>
      <w:r>
        <w:tab/>
        <w:t>Mediante el juicio de relevancia, el órgano judicial debe probar que el fallo en el proceso principal depende de la validez de norma legal cuya constitucionalidad se cuestiona y así se garantiza que el control de constitucionalidad no se convierta en un control abstracto, para lo que el órgano judicial no tiene legitimación (SSTC 84/2012 y 146/2012). Porque la cuestión de inconstitucionalidad no es un procedimiento dirigido a discutir en general y en abstracto normas con rango de ley en toda su extensión, función ésta que queda reservada por nuestra Constitución, principalmente, al recurso de inconstitucionalidad (AATC 243/2013 y 221/2014) [FJ 3].</w:t>
      </w:r>
    </w:p>
    <w:p w:rsidR="00A90898" w:rsidRDefault="00A90898" w:rsidP="00A90898">
      <w:pPr>
        <w:pStyle w:val="Extracto"/>
      </w:pPr>
    </w:p>
    <w:p w:rsidR="00A90898" w:rsidRDefault="00A90898" w:rsidP="00A90898">
      <w:pPr>
        <w:pStyle w:val="Extracto"/>
      </w:pPr>
      <w:r>
        <w:t>5.</w:t>
      </w:r>
      <w:r>
        <w:tab/>
        <w:t xml:space="preserve">La formulación del juicio de relevancia para el proceso </w:t>
      </w:r>
      <w:r w:rsidRPr="00A90898">
        <w:rPr>
          <w:i/>
        </w:rPr>
        <w:t>a quo</w:t>
      </w:r>
      <w:r>
        <w:t xml:space="preserve"> de un eventual pronunciamiento de este Tribunal es exigencia anterior desde un punto de vista lógico </w:t>
      </w:r>
      <w:r>
        <w:lastRenderedPageBreak/>
        <w:t>al requisito de la argumentación suficiente de la duda de constitucionalidad, pues asegura el carácter concreto del control de constitucionalidad que informa este tipo de procesos constitucionales, de manera que un defecto en su adecuado planteamiento en los términos exigidos por nuestra doctrina debería conducir a excluir todo enjuiciamiento de fondo (STC 234/2015) [FJ 2].</w:t>
      </w:r>
    </w:p>
    <w:p w:rsidR="00A90898" w:rsidRDefault="00A90898" w:rsidP="00A90898">
      <w:pPr>
        <w:pStyle w:val="Extracto"/>
      </w:pPr>
    </w:p>
    <w:p w:rsidR="00A90898" w:rsidRDefault="00A90898" w:rsidP="00A90898">
      <w:pPr>
        <w:pStyle w:val="Extracto"/>
      </w:pPr>
      <w:r>
        <w:t>6.</w:t>
      </w:r>
      <w:r>
        <w:tab/>
        <w:t>Al Tribunal Constitucional no le corresponde sustituir o rectificar el criterio expresado del órgano judicial, salvo en los casos en que de manera notoria, sin necesidad de examinar el fondo debatido y en aplicación de principios jurídicos básicos, se advierta que la argumentación judicial en relación con dicho juicio de relevancia carece de la consistencia necesaria (STC 60/2013) [FJ 2].</w:t>
      </w:r>
    </w:p>
    <w:p w:rsidR="00A90898" w:rsidRDefault="00A90898" w:rsidP="00A90898">
      <w:pPr>
        <w:pStyle w:val="Extracto"/>
      </w:pPr>
    </w:p>
    <w:p w:rsidR="00A90898" w:rsidRDefault="00A90898" w:rsidP="00A90898">
      <w:pPr>
        <w:pStyle w:val="Extracto"/>
      </w:pPr>
      <w:r>
        <w:t>7.</w:t>
      </w:r>
      <w:r>
        <w:tab/>
        <w:t>No es misión del Tribunal Constitucional indicar a los órganos jurisdiccionales ordinarios las normas aplicables a un determinado supuesto del que estén conociendo, aunque sí lo es, en cambio, exigirles que el juicio de relevancia expresado en el Auto de planteamiento de una cuestión de inconstitucionalidad presente una entidad suficiente, de manera que justifique un pronunciamiento de fondo (STC 60/2013)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6599-2015, promovida por la Sala de lo Contencioso-Administrativo del Tribunal Superior de Justicia de Cataluña, en relación con el art. 21.3 a) del Decreto-ley de Cataluña 1/2009, de 22 de diciembre, de ordenación de los equipamientos comerciales, en lo que se refiere al inicio del cómputo del plazo para resolver las solicitudes de licencia comercial. Han comparecido y formulado alegaciones el Abogado del Estado, la Abogada de la Generalitat de Cataluña, la Letrada del Parlamento de Cataluña y la representación procesal de Metroindust-Josmar 74, S.C.P. Ha intervenido la Fiscal General del Estado.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24 de noviembre de 2015 tuvo entrada en el Registro General del Tribunal Constitucional un oficio de la Sala de lo Contencioso-Administrativo del Tribunal Superior de </w:t>
      </w:r>
      <w:r>
        <w:lastRenderedPageBreak/>
        <w:t>Justicia de Cataluña, al que se acompañaba, junto al testimonio del correspondiente procedimiento (tramitado con el núm. 408-2012), el Auto de 28 de octubre de 2015 por el que se acuerda plantear cuestión de inconstitucionalidad en relación con el art. 21.3 a) del Decreto-ley de la Generalitat de Cataluña 1/2009, de 22 de diciembre, de ordenación de los equipamientos comerciales, en lo que se refiere al inicio del cómputo del plazo para resolver las solicitudes de licencia comercial (en adelante, Decreto-ley 1/2009), por posible vulneración de la competencia del Estado en materia de procedimiento administrativo común (art. 149.1.18 CE), al contradecir lo dispuesto en el art. 42.3 b) de la Ley 30/1992, de régimen jurídico de las Administraciones públicas y del procedimiento administrativo común (en adelante, LPC).</w:t>
      </w:r>
    </w:p>
    <w:p w:rsidR="00A90898" w:rsidRDefault="00A90898" w:rsidP="00A90898">
      <w:pPr>
        <w:pStyle w:val="TextoNormal"/>
      </w:pPr>
    </w:p>
    <w:p w:rsidR="00A90898" w:rsidRDefault="00A90898" w:rsidP="00A90898">
      <w:pPr>
        <w:pStyle w:val="TextoNormal"/>
      </w:pPr>
      <w:r w:rsidRPr="00A90898">
        <w:rPr>
          <w:rStyle w:val="NumeroAFNegritaCaracter"/>
        </w:rPr>
        <w:t>2</w:t>
      </w:r>
      <w:r>
        <w:t>. Resumidamente, los hechos de los que trae causa esta cuestión de inconstitucionalidad son los siguientes:</w:t>
      </w:r>
    </w:p>
    <w:p w:rsidR="00A90898" w:rsidRDefault="00A90898" w:rsidP="00A90898">
      <w:pPr>
        <w:pStyle w:val="TextoNormal"/>
      </w:pPr>
    </w:p>
    <w:p w:rsidR="00A90898" w:rsidRDefault="00A90898" w:rsidP="00A90898">
      <w:pPr>
        <w:pStyle w:val="TextoNormal"/>
      </w:pPr>
      <w:r>
        <w:t>a) El apartado 3 del art. 9 del Decreto-ley 1/2009 solo admitía con carácter general la implantación de los medianos y grandes establecimientos comerciales en la trama urbana consolidada de los municipios de más de 5.000 habitantes, pero excepcionalmente permitía implantar este tipo de establecimientos fuera de dicha trama, cuando tal localización estuviera justificada y se cumplieran determinados requisitos señalados en los apartados a) y b) de ese mismo artículo. Con base en esta última previsión excepcional, la mercantil Metroindustr-Josmar 74, S.C.P., solicitó una licencia para la implantación de un establecimiento comercial colectivo, con una superficie total de venta de 2.499 m², en el municipio de Torelló, que fue denegada por resolución del Director General de Comercio de la Generalitat, de 18 de junio de 2012, a su vez confirmada por el Conseller d’Empresa i Ocupació el 22 de octubre de 2012, al denegar el recurso de alzada. Con fecha 21 de diciembre de 2012, la citada mercantil interpuso recurso contencioso-administrativo frente a la resolución denegatoria de la licencia.</w:t>
      </w:r>
    </w:p>
    <w:p w:rsidR="00A90898" w:rsidRDefault="00A90898" w:rsidP="00A90898">
      <w:pPr>
        <w:pStyle w:val="TextoNormal"/>
      </w:pPr>
    </w:p>
    <w:p w:rsidR="00A90898" w:rsidRDefault="00A90898" w:rsidP="00A90898">
      <w:pPr>
        <w:pStyle w:val="TextoNormal"/>
      </w:pPr>
      <w:r>
        <w:t>Mantiene la recurrente que cumplió con todos los requisitos exigidos por el Decreto-ley 1/2009 para obtener la licencia y que esta, en cualquier caso, quedó concedida por silencio administrativo, puesto que el plazo previsto en dicha norma para resolver (cuatro meses) debe contar desde el momento en que se presentó la solicitud, conforme a la legislación común estatal en la materia.</w:t>
      </w:r>
    </w:p>
    <w:p w:rsidR="00A90898" w:rsidRDefault="00A90898" w:rsidP="00A90898">
      <w:pPr>
        <w:pStyle w:val="TextoNormal"/>
      </w:pPr>
    </w:p>
    <w:p w:rsidR="00A90898" w:rsidRDefault="00A90898" w:rsidP="00A90898">
      <w:pPr>
        <w:pStyle w:val="TextoNormal"/>
      </w:pPr>
      <w:r>
        <w:t xml:space="preserve">Por su parte, la Administración demandada sostiene al respecto que resolvió (denegando la solicitud) dentro del plazo legalmente previsto, pues, conforme a lo dispuesto en el art. 21.3 a) del Decreto-ley de Cataluña 1/2009, de 22 de diciembre, de ordenación de los equipamientos comerciales, el plazo no comienza a correr con la solicitud inicial sino en el momento en que el interesado aporta la documentación completa que se especifica en el artículo 20 de la misma norma que, en este caso, fue el día 31 de enero de 2012. Teniendo en cuenta, además, que el plazo para resolver no fue suspendido al requerir a la interesada para que aportara documentación adicional referida a la acreditación del cumplimiento de los requisitos exigidos en el art. 9.3 del Decreto-ley 1/2009, pero sí lo fue en el momento en que la Administración solicitó un informe a la Dirección General de Urbanismo el día 23 de febrero de 2012 y hasta el día en que tal informe fue librado, concretamente, el 28 de marzo de ese mismo año, se entiende que la resolución de 18 de junio de 2012 fue dictada en plazo. Asimismo, considera, de acuerdo con lo que ya había señalado en la resolución recurrida, que la solicitud de licencia no cumplía con el requisito de continuidad con la trama urbana </w:t>
      </w:r>
      <w:r>
        <w:lastRenderedPageBreak/>
        <w:t>exigido en art. 9.3 b) 1) del Decreto-ley de Cataluña 1/2009 y que la actora no llegó a acreditar que el transporte previsto en la zona asumiera la función de transporte urbano integrado, ni que las paradas se situasen a menos de 200 metros del establecimiento, ni aportó el calendario de instalación de una eventual parada situada a una distancia correcta [exigencia derivada de lo dispuesto en el art. 9.3 b) 4) del Decreto-ley 1/2009].</w:t>
      </w:r>
    </w:p>
    <w:p w:rsidR="00A90898" w:rsidRDefault="00A90898" w:rsidP="00A90898">
      <w:pPr>
        <w:pStyle w:val="TextoNormal"/>
      </w:pPr>
    </w:p>
    <w:p w:rsidR="00A90898" w:rsidRDefault="00A90898" w:rsidP="00A90898">
      <w:pPr>
        <w:pStyle w:val="TextoNormal"/>
      </w:pPr>
      <w:r>
        <w:t xml:space="preserve">b) Concluso el procedimiento y habiendo quedado los autos vistos para sentencia, mediante providencia de 16 de julio de 2015, de acuerdo con el art. 35.2 de la Ley Orgánica del Tribunal Constitucional (LOTC), se dio audiencia a las partes y al Ministerio Fiscal sobre la procedencia de plantear cuestión de inconstitucionalidad respecto del art. 21.3 a) del Decreto-ley de Cataluña 1/2009, en lo que se refiere al inicio del cómputo del plazo para resolver las solicitudes de licencia comercial. Dicho precepto dispone que el cómputo del plazo para resolver comienza con la presentación de la solicitud “con la documentación exigida”. Plantea la Sala que tal disposición podría entrar en colisión con la Ley básica estatal 30/1992, de 26 de noviembre, de régimen jurídico de las Administraciones públicas y del procedimiento administrativo común; específicamente, con su art. 42.3 b), en relación con el art. 42.5 a), en la medida en que pueda deducirse de los mismos que el </w:t>
      </w:r>
      <w:r w:rsidRPr="00A90898">
        <w:rPr>
          <w:i/>
        </w:rPr>
        <w:t>dies a quo</w:t>
      </w:r>
      <w:r>
        <w:t xml:space="preserve"> del plazo para resolver es el de la presentación de la solicitud, aunque una vez iniciado el cómputo del plazo deba requerirse al interesado para subsanar “deficiencias”, completar la “documentación” o aportar “otros elementos de juicio necesarios”.</w:t>
      </w:r>
    </w:p>
    <w:p w:rsidR="00A90898" w:rsidRDefault="00A90898" w:rsidP="00A90898">
      <w:pPr>
        <w:pStyle w:val="TextoNormal"/>
      </w:pPr>
    </w:p>
    <w:p w:rsidR="00A90898" w:rsidRDefault="00A90898" w:rsidP="00A90898">
      <w:pPr>
        <w:pStyle w:val="TextoNormal"/>
      </w:pPr>
      <w:r>
        <w:t xml:space="preserve">Por providencia de 15 de septiembre de 2015, a efectos de completar el emplazamiento efectuado al Ministerio Fiscal respecto a la procedencia de plantear cuestión de inconstitucionalidad en el proceso, se pone de manifiesto que la eventual colisión entre las dos normas, estatal y autonómica, supondría una lesión de la competencia estatal </w:t>
      </w:r>
      <w:r w:rsidRPr="00A90898">
        <w:rPr>
          <w:i/>
        </w:rPr>
        <w:t>ex</w:t>
      </w:r>
      <w:r>
        <w:t xml:space="preserve"> art. 149.1.18 CE, emplazándose de nuevo al Ministerio Fiscal por el plazo de diez días para que se manifestara al efecto.</w:t>
      </w:r>
    </w:p>
    <w:p w:rsidR="00A90898" w:rsidRDefault="00A90898" w:rsidP="00A90898">
      <w:pPr>
        <w:pStyle w:val="TextoNormal"/>
      </w:pPr>
    </w:p>
    <w:p w:rsidR="00A90898" w:rsidRDefault="00A90898" w:rsidP="00A90898">
      <w:pPr>
        <w:pStyle w:val="TextoNormal"/>
      </w:pPr>
      <w:r>
        <w:t>En ese trámite, la Letrada de la Generalitat de Cataluña se pronunció a favor de la constitucionalidad del precepto. La representación de la entidad recurrente alegó que no resultaba necesario plantear la cuestión de inconstitucionalidad, porque aunque considera efectivamente que el precepto resulta inconstitucional, no es determinante para la resolución del recurso, que puede estimarse por los otros motivos alegados; para el caso de que estos argumentos no fueran atendidos, entendió procedente su planteamiento. El Ministerio Fiscal apreció la concurrencia de los requisitos formales para el planteamiento de la cuestión de inconstitucionalidad.</w:t>
      </w:r>
    </w:p>
    <w:p w:rsidR="00A90898" w:rsidRDefault="00A90898" w:rsidP="00A90898">
      <w:pPr>
        <w:pStyle w:val="TextoNormal"/>
      </w:pPr>
    </w:p>
    <w:p w:rsidR="00A90898" w:rsidRDefault="00A90898" w:rsidP="00A90898">
      <w:pPr>
        <w:pStyle w:val="TextoNormal"/>
      </w:pPr>
      <w:r>
        <w:t>c) Por Auto de 28 de octubre de 2015, la Sala de lo Contencioso-Administrativo del Tribunal Superior de Justicia de Cataluña acordó plantear cuestión de inconstitucionalidad en relación con el art. 21.3 a) del Decreto-ley de Cataluña 1/2009, de 22 de diciembre, de ordenación de los equipamientos comerciales, en lo que se refiere al inicio del cómputo del plazo para resolver la solicitudes de licencia, por posible vulneración de lo dispuesto en el art. 149.1.18 CE.</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Tras exponer los antecedentes de hecho de la presente cuestión y el cumplimiento del trámite de audiencia previsto en el art. 35.2 LOTC, la Sala de lo Contencioso-Administrativo del Tribunal Superior de Justicia de Cataluña explicita en su Auto de planteamiento la </w:t>
      </w:r>
      <w:r>
        <w:lastRenderedPageBreak/>
        <w:t>fundamentación de la duda de constitucionalidad, así como el juicio de aplicabilidad y relevancia de la norma cuestionada, razonando como a continuación se resume:</w:t>
      </w:r>
    </w:p>
    <w:p w:rsidR="00A90898" w:rsidRDefault="00A90898" w:rsidP="00A90898">
      <w:pPr>
        <w:pStyle w:val="TextoNormal"/>
      </w:pPr>
    </w:p>
    <w:p w:rsidR="00A90898" w:rsidRDefault="00A90898" w:rsidP="00A90898">
      <w:pPr>
        <w:pStyle w:val="TextoNormal"/>
      </w:pPr>
      <w:r>
        <w:t>a) Señala el Tribunal Superior de Justicia de Cataluña que el aspecto cuestionado del apartado 3 a) del art. 21 del Decreto–ley de Cataluña 1/2009 es la forma de cómputo del plazo para resolver, según la cual el plazo no se inicia con la solicitud inicial sino en el momento en que el interesado aporta la “documentación exigida”, que se detalla en el artículo 20 de la misma norma. Tal regla difiere de la establecida en la Ley 30/1992, cuyo artículo 42.3 b) dispone que el plazo cuenta desde el momento en el que la solicitud entra en el órgano competente para su tramitación. Según lo establecido en el artículo 71 de esta Ley estatal, el eventual requerimiento de subsanación, cuando la solicitud no cumple los requisitos, no suspende por sí mismo el plazo ya iniciado, pues no se establece tal efecto asociado al requerimiento, siendo igualmente ilustrativo en tal sentido el artículo 77. La suspensión es posible de acuerdo con el artículo 42.5 a), pero debe ser expresamente acordada, como se desprende de su tenor literal. El Tribunal Supremo —recuerda el órgano judicial promotor de la cuestión— ha resuelto en el sentido apuntado, al anular una ordenanza municipal que modificaba en los mismos términos el inicio del plazo de tramitación (Sentencia de 4 de mayo de 2010).</w:t>
      </w:r>
    </w:p>
    <w:p w:rsidR="00A90898" w:rsidRDefault="00A90898" w:rsidP="00A90898">
      <w:pPr>
        <w:pStyle w:val="TextoNormal"/>
      </w:pPr>
    </w:p>
    <w:p w:rsidR="00A90898" w:rsidRDefault="00A90898" w:rsidP="00A90898">
      <w:pPr>
        <w:pStyle w:val="TextoNormal"/>
      </w:pPr>
      <w:r>
        <w:t>En el caso de autos, la Administración suspendió el plazo para resolver al solicitar el informe preceptivo de la Dirección General de Urbanismo, pero no lo había hecho previamente cuando requirió a la interesada para aportar la documentación que consideraba necesaria. Así pues, descontando el período de suspensión que hubo entre la solicitud del informe citado y su libramiento al órgano competente para resolver, resulta que el plazo transcurrido hasta la notificación de la resolución sería bien de cuatro meses y 25 días, si se cuenta desde la entrada de la solicitud inicial en el órgano competente para resolver (23 de diciembre de 2011), o bien de tres meses y 18 días, si se cuenta desde el momento en que la actora cumplimentó el requerimiento de enmienda y presentó la documentación adicional solicitada (31 de enero de 2012).</w:t>
      </w:r>
    </w:p>
    <w:p w:rsidR="00A90898" w:rsidRDefault="00A90898" w:rsidP="00A90898">
      <w:pPr>
        <w:pStyle w:val="TextoNormal"/>
      </w:pPr>
    </w:p>
    <w:p w:rsidR="00A90898" w:rsidRDefault="00A90898" w:rsidP="00A90898">
      <w:pPr>
        <w:pStyle w:val="TextoNormal"/>
      </w:pPr>
      <w:r>
        <w:t>Por consiguiente, si el plazo cuenta desde la solicitud inicial —según dispone el art. 42.3 b) LPC—, la tramitación superó el período de cuatro meses indicado, con la consecuencia de haberse concedido la licencia por acto presunto, de acuerdo con lo dispuesto en el art. 43.1, párrafo primero de la citada Ley. Por el contrario, si el plazo contase —tal como establece el precepto cuestionado— desde la fecha en que la actora libró la documentación que se le requirió, no se habría superado el plazo de cuatro meses que disponía la Administración para resolver la solicitud de licencia. Por tanto, se constata una contradicción insalvable entre el precepto cuestionado y el régimen establecido en la Ley 30/1992, cuya solución resulta determinante en este caso para considerar la licencia concedida o no por acto presunto.</w:t>
      </w:r>
    </w:p>
    <w:p w:rsidR="00A90898" w:rsidRDefault="00A90898" w:rsidP="00A90898">
      <w:pPr>
        <w:pStyle w:val="TextoNormal"/>
      </w:pPr>
    </w:p>
    <w:p w:rsidR="00A90898" w:rsidRDefault="00A90898" w:rsidP="00A90898">
      <w:pPr>
        <w:pStyle w:val="TextoNormal"/>
      </w:pPr>
      <w:r>
        <w:t>A este respecto, se recuerda que la STC 166/2014, de 22 de octubre, ha resuelto una cuestión similar, planteada por la misma Sala, en relación con el art. 101.1 a) del texto refundido de la Ley de finanzas públicas de la Generalitat de Cataluña. El Tribunal consideró que el cómputo del plazo es una competencia que corresponde al Estado conforme a lo dispuesto en el art. 149.1.18 CE, declarando la inconstitucionalidad del precepto cuestionado.</w:t>
      </w:r>
    </w:p>
    <w:p w:rsidR="00A90898" w:rsidRDefault="00A90898" w:rsidP="00A90898">
      <w:pPr>
        <w:pStyle w:val="TextoNormal"/>
      </w:pPr>
    </w:p>
    <w:p w:rsidR="00A90898" w:rsidRDefault="00A90898" w:rsidP="00A90898">
      <w:pPr>
        <w:pStyle w:val="TextoNormal"/>
      </w:pPr>
      <w:r>
        <w:lastRenderedPageBreak/>
        <w:t>b) Esta última resolución del Tribunal Constitucional vendría al caso igualmente en relación con lo alegado por la Generalitat de Cataluña sobre su competencia sustantiva en la materia, y la correlativa competencia para determinar procedimientos especiales vinculados a la misma. A partir de la diferencia trazada entre procedimiento común y procedimientos especiales, señala el Tribunal Superior de Justicia de Cataluña que la competencia autonómica para formalizar procedimientos al hilo de sus competencias sectoriales (art. 159 del Estatuto de Autonomía de Cataluña: EAC) no supone que pueda ignorar o modificar “las reglas de procedimiento establecidas en la Legislación del Estado dentro del ámbito de sus competencias”, como se señala en la STC 227/1988, de 29 de noviembre, en doctrina reiterada en la STC 166/2014.</w:t>
      </w:r>
    </w:p>
    <w:p w:rsidR="00A90898" w:rsidRDefault="00A90898" w:rsidP="00A90898">
      <w:pPr>
        <w:pStyle w:val="TextoNormal"/>
      </w:pPr>
    </w:p>
    <w:p w:rsidR="00A90898" w:rsidRDefault="00A90898" w:rsidP="00A90898">
      <w:pPr>
        <w:pStyle w:val="TextoNormal"/>
      </w:pPr>
      <w:r>
        <w:t>c) Termina el Auto de planteamiento de la presente cuestión de inconstitucionalidad poniendo de manifiesto, en el fundamento jurídico 3, que la determinación de la constitucionalidad o no del precepto resulta fundamental para resolver el recurso planteado. Para ello, se abordan los dos motivos de rechazo de la licencia incluidos en la resolución administrativa impugnada: que el establecimiento no se situaba en continuidad con la trama urbana consolidada, por lo que no se cumplía el requisito exigido en el apartado 1, letra b) del art. 9.3 del Decreto-ley 1/2009, y que no se acreditó suficientemente la proximidad de líneas de transporte urbano integrado, como exige el apartado 4 del citado artículo. Tras un detallado examen de ambos motivos, se concluye que la actora cumplió finalmente, tras ser requerida para ello por la Administración, con este último requisito, pero, sin embargo, en el establecimiento que se proponía no se verificaba el requisito de la contigüidad a la trama urbana consolidada, de forma que, inicialmente y salvo que debiera estimarse que la licencia se concedió por silencio positivo, su denegación habría de ser confirmada. En este contexto —se concluye—, la alegada cuestión referida a la adquisición de la licencia por acto presunto se presenta como la cuestión determinante para la resolución del recurso contencioso-administrativo en un sentido u otro, constatándose así la concurrencia de las circunstancias que justifican el planteamiento de una cuestión de inconstitucionalidad de acuerdo con los requisitos establecidos en el art. 35 LOTC.</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19 de enero de 2016, el Pleno, a propuesta de la Sección Cuarta de este Tribunal, acordó admitir a trámite la cuestión de inconstitucionalidad; deferir su conocimiento a la Sala Segunda, a la que por turno objetivo le ha correspondido, conforme al art. 10.1 c) LOTC; dar traslado de las actuaciones recibidas al Congreso de los Diputados, al Senado, al Gobierno y al Fiscal General del Estado, así como a la Generalitat de Cataluña y al Parlamento de Cataluña, al objeto de que, en el plazo de 15 días, pudieran personarse en el proceso y formular las alegaciones que estimasen convenientes, de acuerdo con el art. 37.3 LOTC; comunicar esta resolución a la Sección Quinta de la Sala de lo Contencioso-Administrativo del Tribunal Superior de Justicia de Cataluña, a fin de que, de conformidad con el art. 35.3 LOTC, permaneciese suspendido el proceso hasta la resolución definitiva de la presente cuestión y publicar su incoación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en este Tribunal el 12 de febrero de 2016, la Letrada del Parlamento de Cataluña, obrando en nombre y representación de este, se personó en el presente proceso constitucional, instando la desestimación de la cuestión en atención a las alegaciones que, a continuación, se sintetizan.</w:t>
      </w:r>
    </w:p>
    <w:p w:rsidR="00A90898" w:rsidRDefault="00A90898" w:rsidP="00A90898">
      <w:pPr>
        <w:pStyle w:val="TextoNormal"/>
      </w:pPr>
    </w:p>
    <w:p w:rsidR="00A90898" w:rsidRDefault="00A90898" w:rsidP="00A90898">
      <w:pPr>
        <w:pStyle w:val="TextoNormal"/>
      </w:pPr>
      <w:r>
        <w:lastRenderedPageBreak/>
        <w:t xml:space="preserve">a) Tras exponer los antecedentes y los términos en los que se plantea la presente cuestión de inconstitucionalidad, señala esta representación procesal que aunque dicho planteamiento supera el juicio de aplicabilidad, no supera, en cambio, el juicio de relevancia exigido por la doctrina constitucional. Precisamente con apoyo en esta doctrina (se citan, entre otras, las SSTC 221/2014, de 9 de septiembre, FJ 3, y 241/2015, de 30 de noviembre, FJ 2), se afirma que para la resolución del supuesto que ahora nos ocupa es totalmente irrelevante el pronunciamiento del Tribunal Constitucional planteado en el Auto del Tribunal Superior de Justicia de Cataluña, toda vez que este constató que la solicitud de la licencia no cumple con los requisitos materiales del apartado 3 b) del art. 9 del Decreto-ley l/2009. Realizada tal constatación, resultaría totalmente intrascendente el hecho de determinar cuál es la norma aplicable para establecer el inicio del cómputo de plazo para considerar o no otorgada la referida licencia por silencio positivo, pues en ningún caso cabría un pronunciamiento estimatorio de la solicitud de la demandante, ya que implicaría un otorgamiento de la licencia </w:t>
      </w:r>
      <w:r w:rsidRPr="00A90898">
        <w:rPr>
          <w:i/>
        </w:rPr>
        <w:t>contra legem</w:t>
      </w:r>
      <w:r>
        <w:t>.</w:t>
      </w:r>
    </w:p>
    <w:p w:rsidR="00A90898" w:rsidRDefault="00A90898" w:rsidP="00A90898">
      <w:pPr>
        <w:pStyle w:val="TextoNormal"/>
      </w:pPr>
    </w:p>
    <w:p w:rsidR="00A90898" w:rsidRDefault="00A90898" w:rsidP="00A90898">
      <w:pPr>
        <w:pStyle w:val="TextoNormal"/>
      </w:pPr>
      <w:r>
        <w:t>b) En segundo lugar, sostiene la Letrada del Parlamento de Cataluña que no existe causa para el planteamiento de la presente cuestión de inconstitucionalidad, pues el apartado 3 a) del art. 21 del Decreto-ley de Cataluña 1/2009, de 22 de diciembre, de ordenación de los equipamientos comerciales no vulnera lo dispuesto en el art. 149.1.18 CE. Para fundamentar esta alegación se refiere esta parte, en concreto, a la STC 227/1988, de 29 de septiembre, FJ 32, de acuerdo con la cual, la competencia estatal para regular el “procedimiento administrativo común” no empece para que las Comunidades Autónomas, en el marco de las competencias estatutariamente reconocidas puedan regular determinados procedimientos administrativos especiales, al hilo de la regulación del régimen sustantivo de cada actividad o servicio de la Administración. Porque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Para esta parte, la doctrina constitucional sentada en dicha resolución efectúa una interpretación de conformidad con el bloque de la constitucionalidad de distribución de competencias que, en alguna medida, recogería también el propio art. 159 EAC.</w:t>
      </w:r>
    </w:p>
    <w:p w:rsidR="00A90898" w:rsidRDefault="00A90898" w:rsidP="00A90898">
      <w:pPr>
        <w:pStyle w:val="TextoNormal"/>
      </w:pPr>
    </w:p>
    <w:p w:rsidR="00A90898" w:rsidRDefault="00A90898" w:rsidP="00A90898">
      <w:pPr>
        <w:pStyle w:val="TextoNormal"/>
      </w:pPr>
      <w:r>
        <w:t>Partiendo de lo señalado, se afirma que en el presente supuesto las especialidades procedimentales que puede establecer la Administración autonómica encuentran justificación en la propia existencia de la normativa sectorial afectada. Concretamente, en la ordenación de los equipamientos comerciales establecida en el Decreto-ley 1/2009 y, más específicamente todavía, en la relativa a la determinación de los procedimientos de tramitación de las nuevas implantaciones de los establecimientos comerciales, así como también en el régimen de licencia comercial, dictado en virtud de la competencia reconocida en el art. 121 del Estatuto de Autonomía de Cataluña, en confluencia con las competencias en materia de ordenación del territorio del art. 149 EAC y de medio ambiente del art. 144 EAC.</w:t>
      </w:r>
    </w:p>
    <w:p w:rsidR="00A90898" w:rsidRDefault="00A90898" w:rsidP="00A90898">
      <w:pPr>
        <w:pStyle w:val="TextoNormal"/>
      </w:pPr>
    </w:p>
    <w:p w:rsidR="00A90898" w:rsidRDefault="00A90898" w:rsidP="00A90898">
      <w:pPr>
        <w:pStyle w:val="TextoNormal"/>
      </w:pPr>
      <w:r>
        <w:t xml:space="preserve">En el marco de dichas competencias, el artículo 9.3 b) del Decreto-ley 1/2009) tiene por objetivo garantizar el equilibrio territorial y el mínimo impacto ambiental posible, mediante el procedimiento específico del art. 21 del Decreto-ley 1/2009, regulador del procedimiento de tramitación del régimen de licencia comercial. De ahí que, para el logro de dicho objetivo, el apartado 1 del referido artículo 21 exija que junto con la documentación preceptiva </w:t>
      </w:r>
      <w:r>
        <w:lastRenderedPageBreak/>
        <w:t>se soliciten unos informes que son preceptivos y tienen carácter vinculante en caso de ser desfavorables. Se trata de informes de adecuación del proyecto al planeamiento urbanístico vigente, del impacto del proyecto en la movilidad o del impacto e integración paisajística. Por este motivo, el ahora cuestionado apartado 3 a) establece que no puede transcurrir el plazo para resolver la solicitud de la licencia comercial hasta que no se haya adjuntado toda la documentación mencionada en el apartado 1, toda vez que se trata de un requisito previo o condición indispensable para que los organismos competentes puedan tener todos los elementos para analizar la viabilidad del proyecto, su adecuación a la normativa de aplicación y resolver la solicitud, de forma congruente con toda la información obrante en el correspondiente expediente, dadas las implicaciones de la misma en distintos ámbitos regulatorios (urbanístico, comercial, medioambiental y arquitectónico).</w:t>
      </w:r>
    </w:p>
    <w:p w:rsidR="00A90898" w:rsidRDefault="00A90898" w:rsidP="00A90898">
      <w:pPr>
        <w:pStyle w:val="TextoNormal"/>
      </w:pPr>
    </w:p>
    <w:p w:rsidR="00A90898" w:rsidRDefault="00A90898" w:rsidP="00A90898">
      <w:pPr>
        <w:pStyle w:val="TextoNormal"/>
      </w:pPr>
      <w:r>
        <w:t>De acuerdo con lo expuesto, se afirma que es del todo imprescindible acreditar la observancia de las condiciones en los supuestos establecidos en el art. 9.3 b) del referido Decreto-ley, toda vez que su incumplimiento no se puede considerar como susceptible de enmienda o subsanación documental a requerimiento de la Administración del art. 71 LPC, sino como el cumplimiento del requisito previo o condición indispensable para poder acceder a la fase de presentación de la solicitud del art. 21.3 a) del Decreto-ley l/2009.</w:t>
      </w:r>
    </w:p>
    <w:p w:rsidR="00A90898" w:rsidRDefault="00A90898" w:rsidP="00A90898">
      <w:pPr>
        <w:pStyle w:val="TextoNormal"/>
      </w:pPr>
    </w:p>
    <w:p w:rsidR="00A90898" w:rsidRDefault="00A90898" w:rsidP="00A90898">
      <w:pPr>
        <w:pStyle w:val="TextoNormal"/>
      </w:pPr>
      <w:r>
        <w:t>Concluye esta parte afirmando la plena constitucionalidad del apartado 3 a) del art. 21 del Decreto-ley de Cataluña 1/2009, de 22 de diciembre, de ordenación de los equipamientos comerciales, ya que el mismo forma parte del procedimiento conectado con la regulación sectorial de las materias de comercio, urbanismo y medio ambiente, reconocidas a la Generalitat en los arts. l21, 144 y 149 EAC y, en consecuencia, es plenamente conforme con el reparto de competencias en materia de régimen jurídico de las Administraciones públicas y procedimiento administrativo establecido en el art. 149.1.18 CE.</w:t>
      </w:r>
    </w:p>
    <w:p w:rsidR="00A90898" w:rsidRDefault="00A90898" w:rsidP="00A90898">
      <w:pPr>
        <w:pStyle w:val="TextoNormal"/>
      </w:pPr>
    </w:p>
    <w:p w:rsidR="00A90898" w:rsidRDefault="00A90898" w:rsidP="00A90898">
      <w:pPr>
        <w:pStyle w:val="TextoNormal"/>
      </w:pPr>
      <w:r w:rsidRPr="00A90898">
        <w:rPr>
          <w:rStyle w:val="NumeroAFNegritaCaracter"/>
        </w:rPr>
        <w:t>6</w:t>
      </w:r>
      <w:r>
        <w:t>. La Abogada de la Generalitat de Cataluña, obrando en representación y defensa de su Gobierno, se personó en el procedimiento mediante escrito registrado el 12 de febrero de 2016, solicitando de este Tribunal la desestimación íntegra de la cuestión de inconstitucionalidad planteada, conforme a los argumentos que, de forma resumida, se exponen seguidamente.</w:t>
      </w:r>
    </w:p>
    <w:p w:rsidR="00A90898" w:rsidRDefault="00A90898" w:rsidP="00A90898">
      <w:pPr>
        <w:pStyle w:val="TextoNormal"/>
      </w:pPr>
    </w:p>
    <w:p w:rsidR="00A90898" w:rsidRDefault="00A90898" w:rsidP="00A90898">
      <w:pPr>
        <w:pStyle w:val="TextoNormal"/>
      </w:pPr>
      <w:r>
        <w:t xml:space="preserve">a) En primer lugar, se niega que el Auto de planteamiento de la cuestión de inconstitucionalidad supere el juicio de relevancia exigido por la jurisprudencia de este Tribunal. En definitiva, lo que viene a plantear esta representación procesal es que, una vez constatado por el Tribunal </w:t>
      </w:r>
      <w:r w:rsidRPr="00A90898">
        <w:rPr>
          <w:i/>
        </w:rPr>
        <w:t>a quo</w:t>
      </w:r>
      <w:r>
        <w:t xml:space="preserve"> que la licencia no cumplía con el requisito de la continuidad legalmente exigido, no cabría la emisión de un fallo distinto a la desestimación del recurso, convirtiéndose en irrelevante la declaración o no de la inconstitucionalidad del precepto cuestionado.</w:t>
      </w:r>
    </w:p>
    <w:p w:rsidR="00A90898" w:rsidRDefault="00A90898" w:rsidP="00A90898">
      <w:pPr>
        <w:pStyle w:val="TextoNormal"/>
      </w:pPr>
    </w:p>
    <w:p w:rsidR="00A90898" w:rsidRDefault="00A90898" w:rsidP="00A90898">
      <w:pPr>
        <w:pStyle w:val="TextoNormal"/>
      </w:pPr>
      <w:r>
        <w:t xml:space="preserve">Al respecto, se reconoce que el art. 43.1 LPC dispone que en los procedimientos iniciados a solicitud del interesado, sin perjuicio de la resolución que la Administración debe dictar, el vencimiento del plazo máximo sin haberse notificado resolución expresa, legitima al interesado o interesados que hubieran deducido la solicitud para entenderla estimada por silencio administrativo. Sin embargo, tal disposición encuentra su excepción en los supuestos en los que una norma con rango de ley por razones imperiosas de interés general o una norma de Derecho europeo establezca lo contrario. Y este parece ser precisamente el caso, </w:t>
      </w:r>
      <w:r>
        <w:lastRenderedPageBreak/>
        <w:t xml:space="preserve">según sugiere la Abogada de la Generalitat, en el supuesto que nos ocupa, pues el art. 7 del Real Decreto Legislativo 2/2008, de 20 de junio, por el que se aprueba el texto refundido de la Ley del suelo (2008), aplicable por razones temporales al proceso </w:t>
      </w:r>
      <w:r w:rsidRPr="00A90898">
        <w:rPr>
          <w:i/>
        </w:rPr>
        <w:t>a quo</w:t>
      </w:r>
      <w:r>
        <w:t>, determina que el régimen urbanístico de la propiedad del suelo es estatutario y resulta de su vinculación a concretos destinos, en los términos dispuestos por la legislación sobre ordenación territorial y urbanística. A continuación, el art. 8 del texto refundido de la Ley de suelo (2008) delimita el contenido del derecho de propiedad del suelo especificando sus facultades, enunciando, entre otras previsiones, en el último párrafo de su apartado 1, que “en ningún caso podrán entenderse adquiridas por silencio administrativo facultades o derechos que contravengan la ordenación territorial y urbanística”.</w:t>
      </w:r>
    </w:p>
    <w:p w:rsidR="00A90898" w:rsidRDefault="00A90898" w:rsidP="00A90898">
      <w:pPr>
        <w:pStyle w:val="TextoNormal"/>
      </w:pPr>
    </w:p>
    <w:p w:rsidR="00A90898" w:rsidRDefault="00A90898" w:rsidP="00A90898">
      <w:pPr>
        <w:pStyle w:val="TextoNormal"/>
      </w:pPr>
      <w:r>
        <w:t>De esta manera, la aplicación combinada de los arts. 9.3.1 b) del Decreto-ley 1/2009, 43.1 LPC y 8.1 del texto refundido de la Ley de suelo (2008) impediría entender estimada por silencio administrativo la licencia solicitada por Metroindust Josmar 74, S.C.P., para implantar un gran establecimiento en el municipio de Torelló, puesto que en definitiva contraviene la legislación de ordenación territorial vigente en Catalunya. En consecuencia, el fallo de la Sentencia no depende de la resolución de la posible contradicción entre el art. 21.3 a) del Decreto-ley 1/2009 y el art. 42.3 b) LPC.</w:t>
      </w:r>
    </w:p>
    <w:p w:rsidR="00A90898" w:rsidRDefault="00A90898" w:rsidP="00A90898">
      <w:pPr>
        <w:pStyle w:val="TextoNormal"/>
      </w:pPr>
    </w:p>
    <w:p w:rsidR="00A90898" w:rsidRDefault="00A90898" w:rsidP="00A90898">
      <w:pPr>
        <w:pStyle w:val="TextoNormal"/>
      </w:pPr>
      <w:r>
        <w:t>Para justificar la interrelación de las materias de ordenación del territorio, medio ambiente y comercio con los grandes establecimientos comerciales que se pretenden emplazar fuera de la trama urbana consolidada, se remite esta parte, como ya lo hiciera la Letrada del Parlamento de Cataluña, al contenido del preámbulo del Decreto-ley 1/12009. Además, se pone de relieve que el artículo cuestionado se halla inserto en su título II, bajo la denominación de “planificación y ordenación territorial del uso comercial”.</w:t>
      </w:r>
    </w:p>
    <w:p w:rsidR="00A90898" w:rsidRDefault="00A90898" w:rsidP="00A90898">
      <w:pPr>
        <w:pStyle w:val="TextoNormal"/>
      </w:pPr>
    </w:p>
    <w:p w:rsidR="00A90898" w:rsidRDefault="00A90898" w:rsidP="00A90898">
      <w:pPr>
        <w:pStyle w:val="TextoNormal"/>
      </w:pPr>
      <w:r>
        <w:t>El debate doctrinal acerca de una posible colisión entre el art. 43.2 LPC y el art. 8.1 del texto refundido de la Ley de suelo (2008) no se considera un obstáculo a lo hasta ahora mantenido, pues se entiende que este quedó zanjado con lo resuelto en la STC 29/2015, en la que el Tribunal Constitucional afirmó que en estos casos siempre cabe una resolución desestimatoria fuera de plazo sin necesidad siquiera de acudir a la revisión de oficio justificada precisamente en la observancia de la ordenación territorial y urbanística. Con anterioridad, la STC 141/2014, FJ 7, apartado c) había avalado lo dispuesto por el Tribunal Supremo, en su Sentencia de 28 de enero de 2009, en el sentido de considerar que la nueva regulación del art. 43.2 LPC no había operado ninguna derogación implícita de la norma urbanística especial en relación con el silencio, afirmándose la constitucionalidad de lo dispuesto en el art. 8.1 b) del texto refundido de la Ley de suelo (2008). La previsión contenida en este artículo, se apunta por último, se mantiene en el art. 11.3 del vigente Real Decreto Legislativo 7/2015, de 30 de octubre, por el que se aprueba el texto refundido de la Ley de suelo y rehabilitación urbana que ha derogado al anterior de 2008, estableciendo de manera expresa que en ningún caso podrán entenderse adquiridas por silencio administrativo facultades o derechos que contravengan la ordenación territorial y urbanística.</w:t>
      </w:r>
    </w:p>
    <w:p w:rsidR="00A90898" w:rsidRDefault="00A90898" w:rsidP="00A90898">
      <w:pPr>
        <w:pStyle w:val="TextoNormal"/>
      </w:pPr>
    </w:p>
    <w:p w:rsidR="00A90898" w:rsidRDefault="00A90898" w:rsidP="00A90898">
      <w:pPr>
        <w:pStyle w:val="TextoNormal"/>
      </w:pPr>
      <w:r>
        <w:t xml:space="preserve">b) Con argumentos similares a los expresados por la Letrada del Parlamento de Cataluña —refiriéndose a la doctrina constitucional aplicable en la materia, así como a la regulación establecida por el Estatuto de Autonomía catalán y a lo dispuesto en el Decreto-ley 1/2009—, mantiene esta parte que el art. 21.3 a) de esta norma es plenamente constitucional porque se inserta en un procedimiento, aprobado por la Generalitat de Catalunya al amparo del art. </w:t>
      </w:r>
      <w:r>
        <w:lastRenderedPageBreak/>
        <w:t>159 EAC, pues se trata de un procedimiento conexo a la regulación sectorial de las materias de comercio, urbanismo y medio ambiente, reconocidas respectivamente en los arts. 121, 149 y 144 EAC.</w:t>
      </w:r>
    </w:p>
    <w:p w:rsidR="00A90898" w:rsidRDefault="00A90898" w:rsidP="00A90898">
      <w:pPr>
        <w:pStyle w:val="TextoNormal"/>
      </w:pPr>
    </w:p>
    <w:p w:rsidR="00A90898" w:rsidRDefault="00A90898" w:rsidP="00A90898">
      <w:pPr>
        <w:pStyle w:val="TextoNormal"/>
      </w:pPr>
      <w:r>
        <w:t xml:space="preserve">En ese marco, si la aplicación del art. 8.1 del texto refundido de la Ley de suelo (2008) y del art. 43.1 LPC impide entender estimada por silencio administrativo la licencia aunque haya transcurrido el plazo para resolver, puesto que contravendría la legislación sectorial tal como se ha expuesto, la única interpretación posible, por ser la única que garantiza los objetivos del Decreto-ley 1/2009, sería que la determinación de que no transcurra el plazo para resolver que fija el art. 21.3 a) del Decreto-ley 1/2009 hasta que la documentación no esté completa como garantía en la fase preliminar del procedimiento de concesión de la licencia es una regla del procedimiento especial que garantiza </w:t>
      </w:r>
      <w:r w:rsidRPr="00A90898">
        <w:rPr>
          <w:i/>
        </w:rPr>
        <w:t>a limine</w:t>
      </w:r>
      <w:r>
        <w:t xml:space="preserve"> la inadmisión de las solicitudes que a simple vista ya se observa que contravienen la ordenación territorial, sin perjuicio de que, como ha sucedido en el presente caso, en beneficio de la solicitante, se le dé la posibilidad de rectificar y aportar la documentación completa que acredite el cumplimiento de los requisitos necesarios para poder obtener esta licencia en uno de los supuestos excepcionales que regula el Decreto-ley 1/2009.</w:t>
      </w:r>
    </w:p>
    <w:p w:rsidR="00A90898" w:rsidRDefault="00A90898" w:rsidP="00A90898">
      <w:pPr>
        <w:pStyle w:val="TextoNormal"/>
      </w:pPr>
    </w:p>
    <w:p w:rsidR="00A90898" w:rsidRDefault="00A90898" w:rsidP="00A90898">
      <w:pPr>
        <w:pStyle w:val="TextoNormal"/>
      </w:pPr>
      <w:r>
        <w:t xml:space="preserve">Con toda su argumentación, la Abogada de la Generalitat de Cataluña pretende poner de manifiesto que, al no cumplirse en este caso uno de los requisitos esenciales de toda cuestión de inconstitucionalidad como es que el esquema argumental del Auto pruebe que el fallo del proceso judicial depende de la norma cuestionada, el control sobre el art. 21.3 a) del Decreto-ley 1/2009 se convierte en un control abstracto de la Ley, desligado del proceso </w:t>
      </w:r>
      <w:r w:rsidRPr="00A90898">
        <w:rPr>
          <w:i/>
        </w:rPr>
        <w:t>a quo</w:t>
      </w:r>
      <w:r>
        <w:t>, inviable de acuerdo con la doctrina constitucional citada en párrafos precedentes (ATC 57/2014). Por ello, aunque la presente cuestión haya sido inicialmente admitida a trámite, considera oportuno que se revise tal decisión, con base en los argumentos expresados.</w:t>
      </w:r>
    </w:p>
    <w:p w:rsidR="00A90898" w:rsidRDefault="00A90898" w:rsidP="00A90898">
      <w:pPr>
        <w:pStyle w:val="TextoNormal"/>
      </w:pPr>
    </w:p>
    <w:p w:rsidR="00A90898" w:rsidRDefault="00A90898" w:rsidP="00A90898">
      <w:pPr>
        <w:pStyle w:val="TextoNormal"/>
      </w:pPr>
      <w:r w:rsidRPr="00A90898">
        <w:rPr>
          <w:rStyle w:val="NumeroAFNegritaCaracter"/>
        </w:rPr>
        <w:t>7</w:t>
      </w:r>
      <w:r>
        <w:t>. El Abogado del Estado, en la representación que legalmente ostenta, presentó sus alegaciones en escrito registrado el 12 de febrero de 2016, señalando, en esencia, lo que a continuación se expone.</w:t>
      </w:r>
    </w:p>
    <w:p w:rsidR="00A90898" w:rsidRDefault="00A90898" w:rsidP="00A90898">
      <w:pPr>
        <w:pStyle w:val="TextoNormal"/>
      </w:pPr>
    </w:p>
    <w:p w:rsidR="00A90898" w:rsidRDefault="00A90898" w:rsidP="00A90898">
      <w:pPr>
        <w:pStyle w:val="TextoNormal"/>
      </w:pPr>
      <w:r>
        <w:t>a) Se parte de la base de que la Constitución reserva al Estado la competencia exclusiva para la regulación del procedimiento administrativo común que, de acuerdo con lo dispuesto en la STC 166/2014, incluiría la regulación sobre el cómputo de los plazos (art. 42.3 LPC), pues constituye una garantía general del administrado.</w:t>
      </w:r>
    </w:p>
    <w:p w:rsidR="00A90898" w:rsidRDefault="00A90898" w:rsidP="00A90898">
      <w:pPr>
        <w:pStyle w:val="TextoNormal"/>
      </w:pPr>
    </w:p>
    <w:p w:rsidR="00A90898" w:rsidRDefault="00A90898" w:rsidP="00A90898">
      <w:pPr>
        <w:pStyle w:val="TextoNormal"/>
      </w:pPr>
      <w:r>
        <w:t>b) El cómputo de los plazos sería un elemento esencial del régimen del silencio administrativo, que a su vez constituiría una institución que se considera incluida dentro del marco conceptual de lo que es la regulación general del procedimiento administrativo común. No estaríamos, por utilizar la misma expresión que evoca el art. 149.1.18 CE, ante “una especialidad derivada de la organización propia de las Comunidades Autónomas”, sino ante la regulación de una de las garantías de la posición subjetiva del ciudadano ante la Administración, que el legislador básico, en lo que se refiere al aspecto concreto del cómputo del plazo, no ha dejado a la libre decisión de las normas sectoriales, autonómicas o estatales, de procedimiento, sino que ha regulado, como dijo la STC 166/2014, de modo inalterable, con lo cual constituye una norma básica de procedimiento.</w:t>
      </w:r>
    </w:p>
    <w:p w:rsidR="00A90898" w:rsidRDefault="00A90898" w:rsidP="00A90898">
      <w:pPr>
        <w:pStyle w:val="TextoNormal"/>
      </w:pPr>
    </w:p>
    <w:p w:rsidR="00A90898" w:rsidRDefault="00A90898" w:rsidP="00A90898">
      <w:pPr>
        <w:pStyle w:val="TextoNormal"/>
      </w:pPr>
      <w:r>
        <w:lastRenderedPageBreak/>
        <w:t>En definitiva, la regulación contenida en el art. 42.3 b) LPC se halla amparada por el título competencial del art. 149.1.18 CE y la contradicción con el tenor literal del cuestionado apartado 3 a) del art. 21 del Decreto-ley autonómico lo sería, en expresión acuñada en la jurisprudencia constitucional, “de manera efectiva e insalvable por vía interpretativa” [SSTC 181/2012, de 15 de octubre, FJ 3, y 132/2013, de 5 de junio, FJ 8 b)], al adentrarse en una materia regulatoria que sólo al legislador estatal corresponde determinar, conforme a lo dispuesto en el citado art. 149.1.18 CE, de lo cual se colige la inconstitucionalidad de la norma autonómica por vulnerar indirectamente dicho precepto constitucional.</w:t>
      </w:r>
    </w:p>
    <w:p w:rsidR="00A90898" w:rsidRDefault="00A90898" w:rsidP="00A90898">
      <w:pPr>
        <w:pStyle w:val="TextoNormal"/>
      </w:pPr>
    </w:p>
    <w:p w:rsidR="00A90898" w:rsidRDefault="00A90898" w:rsidP="00A90898">
      <w:pPr>
        <w:pStyle w:val="TextoNormal"/>
      </w:pPr>
      <w:r>
        <w:t>De acuerdo con todo lo dicho, termina este escrito solicitándose que se dicte sentencia estimando íntegramente la cuestión de inconstitucionalidad planteada, declarando la inconstitucionalidad del art. 21.3 a) del Decreto-ley 1/2009, de 22 de diciembre, de la Generalitat de Cataluña, de ordenación de los equipamientos comerciales.</w:t>
      </w:r>
    </w:p>
    <w:p w:rsidR="00A90898" w:rsidRDefault="00A90898" w:rsidP="00A90898">
      <w:pPr>
        <w:pStyle w:val="TextoNormal"/>
      </w:pPr>
    </w:p>
    <w:p w:rsidR="00A90898" w:rsidRDefault="00A90898" w:rsidP="00A90898">
      <w:pPr>
        <w:pStyle w:val="TextoNormal"/>
      </w:pPr>
      <w:r w:rsidRPr="00A90898">
        <w:rPr>
          <w:rStyle w:val="NumeroAFNegritaCaracter"/>
        </w:rPr>
        <w:t>8</w:t>
      </w:r>
      <w:r>
        <w:t>. En escrito registrado el día 24 de febrero de 2016, solicita el Fiscal General del Estado que se estime la presente cuestión de inconstitucionalidad de acuerdo con las consideraciones jurídicas que resumidamente se relacionan.</w:t>
      </w:r>
    </w:p>
    <w:p w:rsidR="00A90898" w:rsidRDefault="00A90898" w:rsidP="00A90898">
      <w:pPr>
        <w:pStyle w:val="TextoNormal"/>
      </w:pPr>
    </w:p>
    <w:p w:rsidR="00A90898" w:rsidRDefault="00A90898" w:rsidP="00A90898">
      <w:pPr>
        <w:pStyle w:val="TextoNormal"/>
      </w:pPr>
      <w:r>
        <w:t xml:space="preserve">a) Tras el análisis de lo señalado en la STC 166/2014, se afirma que, al igual que en el caso allí resuelto, estamos ante un supuesto de inconstitucionalidad mediata de la norma cuestionada —art. 21.3 a) del citado Decreto-ley 1/2009— por contradicción insalvable por vía interpretativa con el art. 42.3 b) LPC, que, conforme a lo señalado en dicha Sentencia, ha de considerarse una norma formal y materialmente básica, dictada por el Estado en el ejercicio de su competencias exclusivas al amparo del art. 149.1.18 CE, que regula aspectos del “procedimiento administrativo común”; esto es, de la estructura general del </w:t>
      </w:r>
      <w:r w:rsidRPr="00A90898">
        <w:rPr>
          <w:i/>
        </w:rPr>
        <w:t>iter</w:t>
      </w:r>
      <w:r>
        <w:t xml:space="preserve"> procedimental a que deben ajustarse todas las Administraciones públicas.</w:t>
      </w:r>
    </w:p>
    <w:p w:rsidR="00A90898" w:rsidRDefault="00A90898" w:rsidP="00A90898">
      <w:pPr>
        <w:pStyle w:val="TextoNormal"/>
      </w:pPr>
    </w:p>
    <w:p w:rsidR="00A90898" w:rsidRDefault="00A90898" w:rsidP="00A90898">
      <w:pPr>
        <w:pStyle w:val="TextoNormal"/>
      </w:pPr>
      <w:r>
        <w:t>b) La norma de cómputo de plazos cuestionada no solo diferiría de la normativa básica estatal (con vulneración, por ello, de lo dispuesto en el art. 149.1.18 CE), sino que comportaría una indeterminación en la fecha inicial a partir de la que empieza a correr el plazo máximo de resolución, por cuanto ni siquiera concreta a partir de cuándo la Administración puede entender completa la presentación de toda la documentación. A este respecto, se advierte que el art. 42.5 LPC establece la suspensión con carácter potestativo, pero no automático, y que el requerimiento para subsanación de defecto ni siquiera interrumpe el plazo (arts. 70 y 71 LPC).</w:t>
      </w:r>
    </w:p>
    <w:p w:rsidR="00A90898" w:rsidRDefault="00A90898" w:rsidP="00A90898">
      <w:pPr>
        <w:pStyle w:val="TextoNormal"/>
      </w:pPr>
    </w:p>
    <w:p w:rsidR="00A90898" w:rsidRDefault="00A90898" w:rsidP="00A90898">
      <w:pPr>
        <w:pStyle w:val="TextoNormal"/>
      </w:pPr>
      <w:r>
        <w:t>c) En estas circunstancias, se produce una falta de seguridad jurídica, con un plazo elástico dependiente de la mayor o menor celeridad de la organización de la Administración para la verificación de los documentos, aspecto que además puede incidir en el plazo máximo de cuatro meses señalado por la propia norma legal autonómica cuestionada, que admite la suspensión, con remisión del art. 21.3 a) LPC que, su vez, contempla una subsanación, a la que directamente no se anuda la suspensión (arts. 70 y 71 LPC) y una subsanación en los supuestos del art. 42.5 LPC, pero solo con suspensión potestativa y no automática.</w:t>
      </w:r>
    </w:p>
    <w:p w:rsidR="00A90898" w:rsidRDefault="00A90898" w:rsidP="00A90898">
      <w:pPr>
        <w:pStyle w:val="TextoNormal"/>
      </w:pPr>
    </w:p>
    <w:p w:rsidR="00A90898" w:rsidRDefault="00A90898" w:rsidP="00A90898">
      <w:pPr>
        <w:pStyle w:val="TextoNormal"/>
      </w:pPr>
      <w:r>
        <w:t xml:space="preserve">Todo ello afectaría a las garantías del administrado, en contra de lo establecido en la STC 52/2014, de 10 de abril, FJ 4, en cuanto puede alterar los efectos del silencio administrativo derivados del cómputo y certeza establecidos por la norma básica [art.42.3 b) LPC], de manera que el requisito que supedita el inicio del cómputo a tener a disposición la totalidad de </w:t>
      </w:r>
      <w:r>
        <w:lastRenderedPageBreak/>
        <w:t>la documentación introduce la indeterminación de cómputo y transcurso del plazo, alterando la fecha inicial prevista por la Ley 30/1992, con nueva causa de interrupción indeterminada en perjuicio del administrado, deja sin virtualidad y vacía de contenido la fecha de presentación en el registro establecida por dicha norma legal.</w:t>
      </w:r>
    </w:p>
    <w:p w:rsidR="00A90898" w:rsidRDefault="00A90898" w:rsidP="00A90898">
      <w:pPr>
        <w:pStyle w:val="TextoNormal"/>
      </w:pPr>
    </w:p>
    <w:p w:rsidR="00A90898" w:rsidRDefault="00A90898" w:rsidP="00A90898">
      <w:pPr>
        <w:pStyle w:val="TextoNormal"/>
      </w:pPr>
      <w:r>
        <w:t xml:space="preserve">d) En apoyo de su argumentación, se refiere seguidamente el Fiscal a la Sentencia del Tribunal Supremo de 4 de mayo de 2010, que anuló un precepto reglamentario de la ordenanza de telecomunicaciones del Ayuntamiento de Toledo, en cuanto establecía la fecha inicial de computo cuando se hubiera presentado la totalidad de la documentación, con una regulación en esencia prácticamente idéntica al precepto ahora cuestionado y con alteración también de lo dispuesto en una norma de rango legal como el art. 42.3 b) LPC. En dicha resolución, el Tribunal Supremo había señalado que, salvo en el caso de los llamados procedimientos bifásicos, no procede excepcionar la regla general que remite a la fecha de presentación de la solicitud como </w:t>
      </w:r>
      <w:r w:rsidRPr="00A90898">
        <w:rPr>
          <w:i/>
        </w:rPr>
        <w:t>dies a quo</w:t>
      </w:r>
      <w:r>
        <w:t xml:space="preserve"> del procedimiento iniciado a instancia de parte interesada.</w:t>
      </w:r>
    </w:p>
    <w:p w:rsidR="00A90898" w:rsidRDefault="00A90898" w:rsidP="00A90898">
      <w:pPr>
        <w:pStyle w:val="TextoNormal"/>
      </w:pPr>
    </w:p>
    <w:p w:rsidR="00A90898" w:rsidRDefault="00A90898" w:rsidP="00A90898">
      <w:pPr>
        <w:pStyle w:val="TextoNormal"/>
      </w:pPr>
      <w:r>
        <w:t>Asimismo, se acude a lo dispuesto en la STS 193/2013 en la que, con cita de la doctrina constitucional en la materia, se recuerda que, si bien es cierto que cuando la competencia legislativa sobre una materia ha sido atribuida a una Comunidad Autónoma, a ésta cumple también la aprobación de las normas de procedimiento administrativo destinadas a ejecutarla, esta doctrina no empece para que la legislación autonómica respete, en todo caso, las reglas del procedimiento establecidas en la legislación del Estado dentro del ámbito de sus competencias. Tampoco la competencia autonómica para la ejecución del Derecho de la Unión Europea puede ser, en su caso, un obstáculo para la salvaguarda de la competencia básica del Estado, pues esta no resulta desplazada ni eliminada por la normativa europea.</w:t>
      </w:r>
    </w:p>
    <w:p w:rsidR="00A90898" w:rsidRDefault="00A90898" w:rsidP="00A90898">
      <w:pPr>
        <w:pStyle w:val="TextoNormal"/>
      </w:pPr>
    </w:p>
    <w:p w:rsidR="00A90898" w:rsidRDefault="00A90898" w:rsidP="00A90898">
      <w:pPr>
        <w:pStyle w:val="TextoNormal"/>
      </w:pPr>
      <w:r>
        <w:t>e) De acuerdo con todo lo dicho y como conclusión, se afirma la procedencia de declarar la inconstitucionalidad del cuestionado del art. 21.3 a) del Decreto-ley 1/2009, de 22 de diciembre, de ordenación de equipamientos comerciales de Cataluña, en lo que se refiere al inicio del cómputo del plazo para resolver las solicitudes de licencia, al vulnerar la distribución de competencias atribuida al Estado por el art. 149.1.18 CE, en cuanto atribuye al Estado competencia exclusiva en la legislación básica sobre procedimiento administrativo, incurriendo en contradicción con el art. 42.3 b) de la Ley de régimen jurídico y procedimiento administrativo común 30/1992, de 26 de noviembre.</w:t>
      </w:r>
    </w:p>
    <w:p w:rsidR="00A90898" w:rsidRDefault="00A90898" w:rsidP="00A90898">
      <w:pPr>
        <w:pStyle w:val="TextoNormal"/>
      </w:pPr>
    </w:p>
    <w:p w:rsidR="00A90898" w:rsidRDefault="00A90898" w:rsidP="00A90898">
      <w:pPr>
        <w:pStyle w:val="TextoNormal"/>
      </w:pPr>
      <w:r w:rsidRPr="00A90898">
        <w:rPr>
          <w:rStyle w:val="NumeroAFNegritaCaracter"/>
        </w:rPr>
        <w:t>9</w:t>
      </w:r>
      <w:r>
        <w:t>. El escrito de alegaciones del Procurador don Antonio Sorribes Calle, en nombre y representación de Metroindust-Josmar 74, S.C.P., tuvo entrada en este Tribunal el 15 de marzo de 2016 y en él se sostiene que en la presente cuestión de inconstitucionalidad se cumplen las dos condiciones exigidas por la doctrina constitucional para poder apreciarse que una norma infringe la Constitución de manera mediata, a saber: 1) que la norma estatal sea válida desde un punto de vista competencial, es decir, que haya sido adoptada por el Estado al amparo de una competencia que la Constitución le haya atribuido o reservado; y 2) que la contradicción constatada entre la norma estatal y la autonómica sea “efectiva e insalvable por vía interpretativa”. Dicha afirmación se justifica mediante sendas alegaciones referidas a cada una de las condiciones referidas.</w:t>
      </w:r>
    </w:p>
    <w:p w:rsidR="00A90898" w:rsidRDefault="00A90898" w:rsidP="00A90898">
      <w:pPr>
        <w:pStyle w:val="TextoNormal"/>
      </w:pPr>
    </w:p>
    <w:p w:rsidR="00A90898" w:rsidRDefault="00A90898" w:rsidP="00A90898">
      <w:pPr>
        <w:pStyle w:val="TextoNormal"/>
      </w:pPr>
      <w:r>
        <w:t xml:space="preserve">a) En la primera de ellas se hace alusión a lo dispuesto en el art. 149.1.18 CE y a la interpretación que del mismo ha realizado este Tribunal (entre otras, las SSTC 227/1988, </w:t>
      </w:r>
      <w:r>
        <w:lastRenderedPageBreak/>
        <w:t xml:space="preserve">de 27 de noviembre, FJ 32; 98/2011, de 5 de abril, FJ 8; 130/2013, de 4 de junio, FJ 7, y 166/2014, de 22 de octubre, FJ 6), de donde se obtiene que la determinación del </w:t>
      </w:r>
      <w:r w:rsidRPr="00A90898">
        <w:rPr>
          <w:i/>
        </w:rPr>
        <w:t>dies a quo</w:t>
      </w:r>
      <w:r>
        <w:t xml:space="preserve"> del cómputo del plazo para resolver, como una de las garantías básicas de los administrados ante la Administración, forma parte de la competencia exclusiva del Estado sobre procedimiento administrativo común, que ha de ser respetada en todo caso por el legislador autonómico que establezca un plazo para resolver diferente al predeterminado por la Ley 30/1992, atendiendo a las especificaciones de cada materia. De lo contrario, las normas fijadas por el Estado al amparo del art. 149.1.18 CE dejarían de ser comunes y su competencia exclusiva se vería vulnerada.</w:t>
      </w:r>
    </w:p>
    <w:p w:rsidR="00A90898" w:rsidRDefault="00A90898" w:rsidP="00A90898">
      <w:pPr>
        <w:pStyle w:val="TextoNormal"/>
      </w:pPr>
    </w:p>
    <w:p w:rsidR="00A90898" w:rsidRDefault="00A90898" w:rsidP="00A90898">
      <w:pPr>
        <w:pStyle w:val="TextoNormal"/>
      </w:pPr>
      <w:r>
        <w:t xml:space="preserve">De otro lado, se considera que la previsión del art. 21.3 a) del Decreto-ley 1/2009 sobre la determinación del </w:t>
      </w:r>
      <w:r w:rsidRPr="00A90898">
        <w:rPr>
          <w:i/>
        </w:rPr>
        <w:t>dies a quo</w:t>
      </w:r>
      <w:r>
        <w:t xml:space="preserve"> tampoco estaría amparada por la competencia autonómica conexa para regular el procedimiento de concesión de licencias comerciales derivada de lo dispuesto en el art. 121 EAC. Al respecto se señala, en primer lugar, que el sistema instituido por el art. 21.3 a) del Decreto-ley 1/2009, en la práctica, supone dejar completamente a expensas de la voluntad de la Generalitat la determinación del inicio del cómputo del plazo que tiene para resolver, puesto que ésta, ante cualquier solicitud de licencia comercial y más si se toma en consideración la complejidad y diversidad de la documentación exigida legalmente para la tramitación de la licencia, siempre podrá alegar o defender la falta o carencia de algún documento o información en la solicitud de licencia que retrase o posponga el inicio del cómputo del plazo para resolver el expediente. De este modo, el tiempo que tarde la Administración en analizar la solicitud de licencia comercial, en decidir que la solicitud no es completa y en determinar el requerimiento de información o documentación que efectúa, será un tiempo que quedará fuera del cómputo del plazo para resolver.</w:t>
      </w:r>
    </w:p>
    <w:p w:rsidR="00A90898" w:rsidRDefault="00A90898" w:rsidP="00A90898">
      <w:pPr>
        <w:pStyle w:val="TextoNormal"/>
      </w:pPr>
    </w:p>
    <w:p w:rsidR="00A90898" w:rsidRDefault="00A90898" w:rsidP="00A90898">
      <w:pPr>
        <w:pStyle w:val="TextoNormal"/>
      </w:pPr>
      <w:r>
        <w:t xml:space="preserve">Por tanto, el criterio del art. 21.3 a) del Decreto-ley 1/2009 para determinar el </w:t>
      </w:r>
      <w:r w:rsidRPr="00A90898">
        <w:rPr>
          <w:i/>
        </w:rPr>
        <w:t>dies a quo</w:t>
      </w:r>
      <w:r>
        <w:t xml:space="preserve"> no encontraría ningún tipo de justificación, máxime si se tiene en cuenta que la Administración tiene la potestad, conforme a lo establecido en el art. 42.5 a) LPC, de que suspender el plazo máximo para resolver “cuando deba requerirse a cualquier interesado para la subsanación de deficiencias y la aportación de documentos y otros elementos de juicio necesarios por el tiempo que medie entre la notificación del requerimiento y su efectivo cumplimiento por el destinatario”, con lo que la falta de documentación o información en la solicitud de licencia imputable al administrado en ningún caso perjudicaría a la Generalitat ni iría en detrimento del plazo máximo que la norma catalana le ha dado para resolver. Se considera insostenible, pues, la tesis de la Generalitat por la que la regulación del </w:t>
      </w:r>
      <w:r w:rsidRPr="00A90898">
        <w:rPr>
          <w:i/>
        </w:rPr>
        <w:t>dies a quo</w:t>
      </w:r>
      <w:r>
        <w:t xml:space="preserve"> para resolver la solicitud tiene su razón de ser en la legislación sectorial autonómica y en sus concretas problemáticas. Porque es cierto que tanto la Constitución como la jurisprudencia permiten a las Administraciones diseñar un procedimiento especial con el suficiente grado de detalle como para no verse condicionada o limitada en el efectivo ejercicio de sus competencias. Pero tal posibilidad se prevé para adaptar el procedimiento administrativo a las necesidades de cada materia, que en este caso, según se ha afirmado, no existirían. En efecto, se sostiene, la norma autonómica podría haber diseñado un procedimiento administrativo formal y materialmente idéntico al actual, pero sin contravenir en ningún momento la legislación básica estatal. Para ello, tan sólo tendría que haber empleado las reglas básicas y comunes a todos los procedimientos (que permiten suspender el plazo para resolver en caso de que la documentación presentada sea incompleta), lo que impediría, de esta manera, que el tiempo que dispone para resolver la Administración se viese reducido por deficiencias documentales imputables al solicitante o directamente por una actuación negligente de éste </w:t>
      </w:r>
      <w:r>
        <w:lastRenderedPageBreak/>
        <w:t xml:space="preserve">en la preparación de la solicitud de licencia comercial. Y todo ello sin necesidad de modificar el concreto </w:t>
      </w:r>
      <w:r w:rsidRPr="00A90898">
        <w:rPr>
          <w:i/>
        </w:rPr>
        <w:t>iter</w:t>
      </w:r>
      <w:r>
        <w:t xml:space="preserve"> procedimental diseñado legítimamente por la norma autonómica (previsto en el art. 21 del Decreto-ley 1/2009) y sin condicionar tampoco, en modo alguno, la acción administrativa de la Generalitat.</w:t>
      </w:r>
    </w:p>
    <w:p w:rsidR="00A90898" w:rsidRDefault="00A90898" w:rsidP="00A90898">
      <w:pPr>
        <w:pStyle w:val="TextoNormal"/>
      </w:pPr>
    </w:p>
    <w:p w:rsidR="00A90898" w:rsidRDefault="00A90898" w:rsidP="00A90898">
      <w:pPr>
        <w:pStyle w:val="TextoNormal"/>
      </w:pPr>
      <w:r>
        <w:t xml:space="preserve">Sin embargo, en la concreta regulación del art. 21.3 a) del Decreto-ley 1/2009, la Comunidad Autónoma de Cataluña ha optado por apartarse injustificada e innecesariamente de la regulación básica del procedimiento administrativo común (al regular el </w:t>
      </w:r>
      <w:r w:rsidRPr="00A90898">
        <w:rPr>
          <w:i/>
        </w:rPr>
        <w:t>dies a quo</w:t>
      </w:r>
      <w:r>
        <w:t xml:space="preserve"> del cómputo del plazo para resolver de manera específica y contraria a como lo hace la Ley 30/1992), vulnerando, en consecuencia, la competencia que ostenta el Estado en exclusiva sobre dicha materia, no sólo en lo que se refiere a las reglas comunes de todo procedimiento, sino también a la garantía que la Constitución confía al Estado para que los ciudadanos reciban un tratamiento común por parte de todas las Administraciones (en apoyo de esta última afirmación, se citan las SSTC 227/1988 y 166/2014).</w:t>
      </w:r>
    </w:p>
    <w:p w:rsidR="00A90898" w:rsidRDefault="00A90898" w:rsidP="00A90898">
      <w:pPr>
        <w:pStyle w:val="TextoNormal"/>
      </w:pPr>
    </w:p>
    <w:p w:rsidR="00A90898" w:rsidRDefault="00A90898" w:rsidP="00A90898">
      <w:pPr>
        <w:pStyle w:val="TextoNormal"/>
      </w:pPr>
      <w:r>
        <w:t>b) La segunda alegación la dedica esta parte procesal a poner de manifiesto que la norma autonómica cuestionada contradice a la norma estatal de forma efectiva e insalvable por vía interpretativa, con lo que se cumpliría también la segunda condición para entender que se incurre en una inconstitucionalidad mediata. Ambas normas fijan un momento distinto e irreconciliable para el inicio del cómputo del plazo que tiene la Administración para resolver, en el caso de que ésta considere que la solicitud presentada no es completa, como sucedió en el supuesto de autos del que trae causa esta cuestión de inconstitucionalidad. La regulación autonómica cuestionada choca frontalmente con la regulación de la Ley 30/1992, dado que la norma estatal básica fija el inicio del cómputo del plazo en el momento de la entrada de la solicitud en el registro del órgano competente. Así se infiere, además, de su art. 71, que permite a la Administración dictar resolución teniendo por desistido al interesado si no acompaña la documentación preceptiva en el plazo otorgado mediante el requerimiento de subsanación. Esta resolución no puede entenderse ni tendría sentido si no estamos ante un procedimiento iniciado previamente, y en el que, por tanto, se ha iniciado el cómputo del plazo para resolver. Igualmente, se insiste en la idea ya expresada en la primera alegación de que el art. 21.3 a) del Decreto-ley 1/2009 desvirtúa de facto el establecimiento de un plazo máximo en que la Administración esté obligada a resolver la solicitud de licencia, puesto que permite en la práctica dejar a la voluntad de la Administración el inicio del cómputo del plazo para resolver.</w:t>
      </w:r>
    </w:p>
    <w:p w:rsidR="00A90898" w:rsidRDefault="00A90898" w:rsidP="00A90898">
      <w:pPr>
        <w:pStyle w:val="TextoNormal"/>
      </w:pPr>
    </w:p>
    <w:p w:rsidR="00A90898" w:rsidRDefault="00A90898" w:rsidP="00A90898">
      <w:pPr>
        <w:pStyle w:val="TextoNormal"/>
      </w:pPr>
      <w:r>
        <w:t>Para concluir, se acude a lo señalado en la STC 166/2014, que declaró inconstitucional una norma autonómica que fijaba como día inicial para el cómputo del plazo máximo para resolver un día diferente al establecido por la norma estatal de procedimiento común, así como a lo dispuesto en la STS de 4 de mayo de 2010, por la que se anuló un artículo de una ordenanza municipal cuya regulación era, en opinión de esta representación procesal, idéntica a la del precepto ahora cuestionado.</w:t>
      </w:r>
    </w:p>
    <w:p w:rsidR="00A90898" w:rsidRDefault="00A90898" w:rsidP="00A90898">
      <w:pPr>
        <w:pStyle w:val="TextoNormal"/>
      </w:pPr>
    </w:p>
    <w:p w:rsidR="00A90898" w:rsidRDefault="00A90898" w:rsidP="00A90898">
      <w:pPr>
        <w:pStyle w:val="TextoNormal"/>
      </w:pPr>
      <w:r>
        <w:t>De acuerdo con todo lo dicho, se solicita de este Tribunal que declare la inconstitucionalidad y consiguiente nulidad del inciso “con la documentación exigida” del art. 21.3 a) del Decreto-ley de Cataluña 1/2009.</w:t>
      </w:r>
    </w:p>
    <w:p w:rsidR="00A90898" w:rsidRDefault="00A90898" w:rsidP="00A90898">
      <w:pPr>
        <w:pStyle w:val="TextoNormal"/>
      </w:pPr>
    </w:p>
    <w:p w:rsidR="00A90898" w:rsidRDefault="00A90898" w:rsidP="00A90898">
      <w:pPr>
        <w:pStyle w:val="TextoNormal"/>
      </w:pPr>
      <w:r w:rsidRPr="00A90898">
        <w:rPr>
          <w:rStyle w:val="NumeroAFNegritaCaracter"/>
        </w:rPr>
        <w:t>10</w:t>
      </w:r>
      <w:r>
        <w:t>. Mediante providencia de 13 de octubre de 2016 se señaló para deliberación y votación de la presente Sentencia el día 17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Sala de lo Contencioso-Administrativo del Tribunal Superior de Justicia de Cataluña plantea cuestión de inconstitucionalidad respecto del art. 21.3 a) del Decreto-ley de la Generalitat de Cataluña 1/2009, de 22 de diciembre, de ordenación de los equipamientos comerciales, en lo que se refiere al inicio del cómputo del plazo para resolver las solicitudes de licencia comercial.</w:t>
      </w:r>
    </w:p>
    <w:p w:rsidR="00A90898" w:rsidRDefault="00A90898" w:rsidP="00A90898">
      <w:pPr>
        <w:pStyle w:val="TextoNormal"/>
      </w:pPr>
    </w:p>
    <w:p w:rsidR="00A90898" w:rsidRDefault="00A90898" w:rsidP="00A90898">
      <w:pPr>
        <w:pStyle w:val="TextoNormal"/>
      </w:pPr>
      <w:r>
        <w:t>El precepto cuestionado señala: “La persona titular de la dirección general competente en materia de comercio tiene que emitir resolución y notificar en el plazo de cuatro meses desde la fecha de presentación de la solicitud con la documentación exigida. Este plazo se puede suspender en los casos previstos en la legislación básica de procedimiento administrativo”.</w:t>
      </w:r>
    </w:p>
    <w:p w:rsidR="00A90898" w:rsidRDefault="00A90898" w:rsidP="00A90898">
      <w:pPr>
        <w:pStyle w:val="TextoNormal"/>
      </w:pPr>
    </w:p>
    <w:p w:rsidR="00A90898" w:rsidRDefault="00A90898" w:rsidP="00A90898">
      <w:pPr>
        <w:pStyle w:val="TextoNormal"/>
      </w:pPr>
      <w:r>
        <w:t xml:space="preserve">En síntesis, la Sala entiende que el precepto cuestionado incurre en una inconstitucionalidad mediata, pues fija el </w:t>
      </w:r>
      <w:r w:rsidRPr="00A90898">
        <w:rPr>
          <w:i/>
        </w:rPr>
        <w:t>dies a quo</w:t>
      </w:r>
      <w:r>
        <w:t xml:space="preserve"> del cómputo del plazo para resolver en el momento en que la solicitud se presenta con la documentación completa; esto es “con la documentación exigida”, en tanto que el art. 42.3. b) de la Ley de régimen jurídico de las Administraciones públicas y del procedimiento administrativo común (LPC), que formaría parte del “procedimiento administrativo común” que corresponde regular al Estado en virtud de lo dispuesto en el art. 149.1.18 CE, lo fija en el día en que se presente la solicitud, independientemente de que luego pueda ser requerido el solicitante para que complete la documentación inicialmente presentada.</w:t>
      </w:r>
    </w:p>
    <w:p w:rsidR="00A90898" w:rsidRDefault="00A90898" w:rsidP="00A90898">
      <w:pPr>
        <w:pStyle w:val="TextoNormal"/>
      </w:pPr>
    </w:p>
    <w:p w:rsidR="00A90898" w:rsidRDefault="00A90898" w:rsidP="00A90898">
      <w:pPr>
        <w:pStyle w:val="TextoNormal"/>
      </w:pPr>
      <w:r>
        <w:t>En los términos recogidos en los antecedentes de esta Sentencia, coinciden con el juicio de inconstitucionalidad formulado por el Auto de planteamiento de la cuestión el Abogado del Estado, la Fiscal General del Estado y la representación procesal de Metroindust-Josmar 74, S.C.P. Por el contrario, solicitan su desestimación la Letrada del Parlamento de Cataluña y la Abogada de la Generalitat.</w:t>
      </w:r>
    </w:p>
    <w:p w:rsidR="00A90898" w:rsidRDefault="00A90898" w:rsidP="00A90898">
      <w:pPr>
        <w:pStyle w:val="TextoNormal"/>
      </w:pPr>
    </w:p>
    <w:p w:rsidR="00A90898" w:rsidRDefault="00A90898" w:rsidP="00A90898">
      <w:pPr>
        <w:pStyle w:val="TextoNormal"/>
      </w:pPr>
      <w:r w:rsidRPr="00A90898">
        <w:rPr>
          <w:rStyle w:val="NumeroAFNegritaCaracter"/>
        </w:rPr>
        <w:t>2</w:t>
      </w:r>
      <w:r>
        <w:t>. La tramitación específica establecida en el art. 37.1 de la Ley Orgánica del Tribunal Constitucional (LOTC) no tiene carácter preclusivo y cabe apreciar en sentencia la ausencia de los requisitos, tanto procesales como de fundamentación, requeridos para el válido planteamiento de la cuestión de inconstitucionalidad en la fase de resolución, además de hacerlo en el trámite de admisión previsto en el citado art. 37.1 LOTC (por todas, STC 201/2015, de 24 de septiembre, FJ 2).</w:t>
      </w:r>
    </w:p>
    <w:p w:rsidR="00A90898" w:rsidRDefault="00A90898" w:rsidP="00A90898">
      <w:pPr>
        <w:pStyle w:val="TextoNormal"/>
      </w:pPr>
    </w:p>
    <w:p w:rsidR="00A90898" w:rsidRDefault="00A90898" w:rsidP="00A90898">
      <w:pPr>
        <w:pStyle w:val="TextoNormal"/>
      </w:pPr>
      <w:r>
        <w:t>Partiendo de esta constatación, resulta necesario en este caso, dados los términos en los que se formula la presente cuestión de inconstitucionalidad, valorar la concurrencia de los requisitos exigidos para su válido planteamiento.</w:t>
      </w:r>
    </w:p>
    <w:p w:rsidR="00A90898" w:rsidRDefault="00A90898" w:rsidP="00A90898">
      <w:pPr>
        <w:pStyle w:val="TextoNormal"/>
      </w:pPr>
    </w:p>
    <w:p w:rsidR="00A90898" w:rsidRDefault="00A90898" w:rsidP="00A90898">
      <w:pPr>
        <w:pStyle w:val="TextoNormal"/>
      </w:pPr>
      <w:r>
        <w:t xml:space="preserve">Es preciso recordar, de acuerdo con lo señalado, entre otras muchas, en las SSTC 79/2015, de 30 de abril, FJ 3, y 234/2015, de 5 de noviembre, FJ 2, que los apartados 1 y 2 del art. 35 LOTC exigen, respectivamente, que la norma con rango de ley cuya constitucionalidad ofrezca dudas a un juez o tribunal sea “aplicable al caso” y que de su validez “dependa el fallo”, debiendo el órgano judicial justificar en el Auto de planteamiento de la </w:t>
      </w:r>
      <w:r>
        <w:lastRenderedPageBreak/>
        <w:t xml:space="preserve">cuestión la concurrencia de ambos requisitos. No basta, pues, con que el juez o el tribunal ordinario considere y justifique que la norma es aplicable al caso —juicio de aplicabilidad—, sino que también ha de acreditar la concurrencia del requisito de la relevancia o, dicho de otro modo, que la resolución del litigio planteado en el proceso </w:t>
      </w:r>
      <w:r w:rsidRPr="00A90898">
        <w:rPr>
          <w:i/>
        </w:rPr>
        <w:t>a quo</w:t>
      </w:r>
      <w:r>
        <w:t xml:space="preserve"> depende realmente de la solución que este Tribunal ofrezca sobre la constitucionalidad de la norma cuestionada, juicio de relevancia. La aplicabilidad de la norma es condición necesaria para que el fallo dependa de su validez, pero no es, en modo alguno, condición suficiente (SSTC 17/1981, de 1 de junio, FJ 4, y 156/2014, de 25 de septiembre, FJ 2), pues el llamado juicio de relevancia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FJ 2). De ahí que este Tribunal haya estimado que debe darse una verdadera “dependencia” (STC 189/1991, de 3 de octubre, FJ 2), o un “nexo de subordinación”, entre el fallo del proceso </w:t>
      </w:r>
      <w:r w:rsidRPr="00A90898">
        <w:rPr>
          <w:i/>
        </w:rPr>
        <w:t>a quo</w:t>
      </w:r>
      <w:r>
        <w:t xml:space="preserve"> y la validez de la norma cuestionada (STC 157/1990, de 18 de octubre, FJ 1).</w:t>
      </w:r>
    </w:p>
    <w:p w:rsidR="00A90898" w:rsidRDefault="00A90898" w:rsidP="00A90898">
      <w:pPr>
        <w:pStyle w:val="TextoNormal"/>
      </w:pPr>
    </w:p>
    <w:p w:rsidR="00A90898" w:rsidRDefault="00A90898" w:rsidP="00A90898">
      <w:pPr>
        <w:pStyle w:val="TextoNormal"/>
      </w:pPr>
      <w:r>
        <w:t xml:space="preserve">La formulación del juicio de relevancia para el proceso </w:t>
      </w:r>
      <w:r w:rsidRPr="00A90898">
        <w:rPr>
          <w:i/>
        </w:rPr>
        <w:t>a quo</w:t>
      </w:r>
      <w:r>
        <w:t xml:space="preserve"> de un eventual pronunciamiento de este Tribunal es, por tanto, exigencia anterior desde un punto de vista lógico al requisito de la argumentación suficiente de la duda de constitucionalidad, pues asegura el carácter concreto del control de constitucionalidad que informa este tipo de procesos constitucionales, de manera que un defecto en su adecuado planteamiento en los términos exigidos por nuestra doctrina debería conducir a excluir todo enjuiciamiento de fondo (STC 234/2015, de 5 de noviembre, FJ 2). A este respecto, hemos declarado que no nos corresponde sustituir o rectificar el criterio expresado del órgano judicial, salvo en los casos en que de manera notoria, sin necesidad de examinar el fondo debatido y en aplicación de principios jurídicos básicos, se advierta que la argumentación judicial en relación con dicho juicio de relevancia carece de la consistencia necesaria (por todas, STC 60/2013, de 13 de marzo, FJ 1, y doctrina allí citada).</w:t>
      </w:r>
    </w:p>
    <w:p w:rsidR="00A90898" w:rsidRDefault="00A90898" w:rsidP="00A90898">
      <w:pPr>
        <w:pStyle w:val="TextoNormal"/>
      </w:pPr>
    </w:p>
    <w:p w:rsidR="00A90898" w:rsidRDefault="00A90898" w:rsidP="00A90898">
      <w:pPr>
        <w:pStyle w:val="TextoNormal"/>
      </w:pPr>
      <w:r w:rsidRPr="00A90898">
        <w:rPr>
          <w:rStyle w:val="NumeroAFNegritaCaracter"/>
        </w:rPr>
        <w:t>3</w:t>
      </w:r>
      <w:r>
        <w:t>. En la cuestión aquí planteada, el juicio de aplicabilidad —que la norma resulte aplicable al caso (art. 35.1 LOTC)— puede considerarse correctamente formulado, en tanto se pone de manifiesto que el cuestionado apartado 3 a) del art. 21 del Decreto–ley de Cataluña 1/2009 establece la forma de computar el plazo para resolver las solicitudes de licencia comercial como la presentada por el recurrente y cuya resolución por la Administración se impugna.</w:t>
      </w:r>
    </w:p>
    <w:p w:rsidR="00A90898" w:rsidRDefault="00A90898" w:rsidP="00A90898">
      <w:pPr>
        <w:pStyle w:val="TextoNormal"/>
      </w:pPr>
    </w:p>
    <w:p w:rsidR="00A90898" w:rsidRDefault="00A90898" w:rsidP="00A90898">
      <w:pPr>
        <w:pStyle w:val="TextoNormal"/>
      </w:pPr>
      <w:r>
        <w:t xml:space="preserve">No puede decirse lo mismo, en cambio, respecto al juicio de relevancia —que la decisión del proceso </w:t>
      </w:r>
      <w:r w:rsidRPr="00A90898">
        <w:rPr>
          <w:i/>
        </w:rPr>
        <w:t>a quo</w:t>
      </w:r>
      <w:r>
        <w:t xml:space="preserve"> dependa de la validez de la norma cuestionada (art. 35.2 LOTC)—, aunque en apariencia pudiera parecer correctamente planteado. A este respecto, ha de recordarse una vez más que mediante este juicio el órgano judicial debe probar que el fallo en el proceso principal depende de la norma legal cuya constitucionalidad se cuestiona y que garantiza que el control de constitucionalidad no se convierta en un control abstracto, para lo que el órgano judicial no tiene legitimación (SSTC 84/2012, de 18 de abril, FJ 2; y 146/2012, de 5 de julio, FJ 3, y ATC 116/2014, de 8 de abril, FJ 3). Porque “[l]a cuestión de inconstitucionalidad no es un procedimiento dirigido a discutir en general y en abstracto normas con rango de ley en toda su extensión, función ésta que queda reservada por nuestra </w:t>
      </w:r>
      <w:r>
        <w:lastRenderedPageBreak/>
        <w:t>Constitución, principalmente, al recurso de inconstitucionalidad” (AATC 243/2013, de 22 de octubre, FJ 3, y 221/2014, de 9 de septiembre, FJ 3, entre otros).</w:t>
      </w:r>
    </w:p>
    <w:p w:rsidR="00A90898" w:rsidRDefault="00A90898" w:rsidP="00A90898">
      <w:pPr>
        <w:pStyle w:val="TextoNormal"/>
      </w:pPr>
    </w:p>
    <w:p w:rsidR="00A90898" w:rsidRDefault="00A90898" w:rsidP="00A90898">
      <w:pPr>
        <w:pStyle w:val="TextoNormal"/>
      </w:pPr>
      <w:r>
        <w:t>Razona el Tribunal Superior de Justicia de Cataluña que, de acuerdo con el precepto legal cuestionado, el plazo para resolver sobre las solicitudes de licencia comercial no se inicia con la solicitud inicial, sino en el momento en que el interesado aporta la “documentación exigida”, que se define en el artículo 20 de la misma norma. Tal regla difiere de la establecida en la Ley 30/1992, de régimen jurídico de las Administraciones públicas y del procedimiento administrativo común (LPC), cuyo art. 42.3 b) dispone que el plazo ha de contarse desde el momento en el que la solicitud entra en el órgano competente para su tramitación, con independencia de que el solicitante sea requerido posteriormente para que complete la documentación inicialmente presentada.</w:t>
      </w:r>
    </w:p>
    <w:p w:rsidR="00A90898" w:rsidRDefault="00A90898" w:rsidP="00A90898">
      <w:pPr>
        <w:pStyle w:val="TextoNormal"/>
      </w:pPr>
    </w:p>
    <w:p w:rsidR="00A90898" w:rsidRDefault="00A90898" w:rsidP="00A90898">
      <w:pPr>
        <w:pStyle w:val="TextoNormal"/>
      </w:pPr>
      <w:r>
        <w:t xml:space="preserve">Puesta de manifiesto la contradicción entre el precepto normativo autonómico cuestionado y la norma estatal —que habría sido dictada en ejercicio de la competencia exclusiva del Estado para regular el procedimiento administrativo común por el art. 149.1.18 CE—, expone el órgano jurisdiccional las razones por las cuales considera determinante un pronunciamiento de este Tribunal para el fallo que haya de pronunciarse en el proceso </w:t>
      </w:r>
      <w:r w:rsidRPr="00A90898">
        <w:rPr>
          <w:i/>
        </w:rPr>
        <w:t>a quo</w:t>
      </w:r>
      <w:r>
        <w:t xml:space="preserve"> (juicio de relevancia). Tales razones, ha de resaltarse desde el principio, se asientan sobre la premisa indubitada de que resulta aplicable al mismo lo dispuesto en el art. 43.1 LPC, de acuerdo con el cual, en los procedimientos iniciados a solicitud del interesado, “el vencimiento del plazo máximo para resolver, sin haberse notificado resolución expresa, legitima al interesado o interesados que hubieran deducido la solicitud para entenderla estimada por silencio administrativo”.</w:t>
      </w:r>
    </w:p>
    <w:p w:rsidR="00A90898" w:rsidRDefault="00A90898" w:rsidP="00A90898">
      <w:pPr>
        <w:pStyle w:val="TextoNormal"/>
      </w:pPr>
    </w:p>
    <w:p w:rsidR="00A90898" w:rsidRDefault="00A90898" w:rsidP="00A90898">
      <w:pPr>
        <w:pStyle w:val="TextoNormal"/>
      </w:pPr>
      <w:r>
        <w:t xml:space="preserve">Para poner de relieve que la constitucionalidad o no del precepto cuestionado y, por tanto, su aplicación o no al caso, resulta determinante para el fallo en el proceso </w:t>
      </w:r>
      <w:r w:rsidRPr="00A90898">
        <w:rPr>
          <w:i/>
        </w:rPr>
        <w:t>a quo</w:t>
      </w:r>
      <w:r>
        <w:t>, se abordan los dos motivos de rechazo de la licencia incluidos en la resolución administrativa impugnada: que el establecimiento que se promovía no se situaba en continuidad con la trama urbana consolidada, por lo que no se cumplía el requisito exigido en el apartado 1, letra b) del art. 9.3 del Decreto-ley 1/2009, y que no se acreditó suficientemente la proximidad de líneas de transporte urbano integrado, como exige el apartado 4 del citado artículo. Tras un detallado examen de ambos motivos, se concluye que la actora cumplió finalmente, tras ser requerida para ello por la Administración, con este último requisito, pero, sin embargo, en el establecimiento propuesto no se verificaba el requisito de la contigüidad a la trama urbana consolidada, de forma que, inicialmente —y de ser aplicable el cómputo del plazo de resolución establecido en la norma cuestionada—, su denegación habría de ser confirmada, pues habría tenido lugar conforme a lo que establece el art. 9.3 del Decreto-ley catalán y se habría dictado dentro del plazo previsto en el apartado 3 a) del artículo 21 de esa misma norma legal. La resolución del asunto habría de cambiar radicalmente de signo, en cambio, si el precepto autonómico cuestionado fuera declarado inconstitucional por este Tribunal por contrario a lo dispuesto en la legislación estatal, porque, en ese caso, la aplicación conjunta de lo establecido en los arts. 42.3 b) y 43.1 LPC llevaría indefectiblemente a entender que se produjo una estimación presunta de la solicitud del recurrente. Porque, en este último caso, el plazo para resolver contaría desde la solicitud inicial —según dispone el citado art. 42.3 b)— y no desde que se presentó la documentación completa —como señala el apartado 3 a) del art. 21 del Decreto-ley de Cataluña 1/2009—, por lo que la tramitación habría ex</w:t>
      </w:r>
      <w:r>
        <w:lastRenderedPageBreak/>
        <w:t>cedido del plazo de cuatro meses establecido en dicha norma autonómica, debiéndose entender concedida la solicitud por silencio positivo, conforme a lo que prescribe el art. 43.1 LPC.</w:t>
      </w:r>
    </w:p>
    <w:p w:rsidR="00A90898" w:rsidRDefault="00A90898" w:rsidP="00A90898">
      <w:pPr>
        <w:pStyle w:val="TextoNormal"/>
      </w:pPr>
    </w:p>
    <w:p w:rsidR="00A90898" w:rsidRDefault="00A90898" w:rsidP="00A90898">
      <w:pPr>
        <w:pStyle w:val="TextoNormal"/>
      </w:pPr>
      <w:r>
        <w:t>En suma, como se ha puesto de manifiesto en los antecedentes de esta resolución, la cuestión referida a la adquisición de la licencia por acto presunto se presenta por el Tribunal Superior de Justicia de Cataluña como determinante para la resolución del recurso contencioso-administrativo en un sentido u otro, constatándose así la concurrencia de las circunstancias que justifican el planteamiento de una cuestión de inconstitucionalidad de acuerdo con los requisitos establecidos en el art. 35 LOTC.</w:t>
      </w:r>
    </w:p>
    <w:p w:rsidR="00A90898" w:rsidRDefault="00A90898" w:rsidP="00A90898">
      <w:pPr>
        <w:pStyle w:val="TextoNormal"/>
      </w:pPr>
    </w:p>
    <w:p w:rsidR="00A90898" w:rsidRDefault="00A90898" w:rsidP="00A90898">
      <w:pPr>
        <w:pStyle w:val="TextoNormal"/>
      </w:pPr>
      <w:r w:rsidRPr="00A90898">
        <w:rPr>
          <w:rStyle w:val="NumeroAFNegritaCaracter"/>
        </w:rPr>
        <w:t>4</w:t>
      </w:r>
      <w:r>
        <w:t>. Así pues, el núcleo del razonamiento del órgano judicial proponente de la cuestión reside en la aplicación del silencio positivo previsto en el art. 43.1, primer párrafo, LPC al supuesto de autos, hasta el punto de que tal aplicación se convierte en la premisa para entender que la constitucionalidad o no de la norma cuestionada resulta determinante para el fallo que finalmente haya de dictarse.</w:t>
      </w:r>
    </w:p>
    <w:p w:rsidR="00A90898" w:rsidRDefault="00A90898" w:rsidP="00A90898">
      <w:pPr>
        <w:pStyle w:val="TextoNormal"/>
      </w:pPr>
    </w:p>
    <w:p w:rsidR="00A90898" w:rsidRDefault="00A90898" w:rsidP="00A90898">
      <w:pPr>
        <w:pStyle w:val="TextoNormal"/>
      </w:pPr>
      <w:r>
        <w:t xml:space="preserve">No olvida este Tribunal que no es su misión indicar a los órganos jurisdiccionales ordinarios las normas aplicables a un determinado supuesto del que estén conociendo. Pero sí lo es, en cambio, exigirles que el juicio de relevancia expresado en el Auto de planteamiento de una cuestión de inconstitucionalidad presente una entidad suficiente, de manera que justifique un pronunciamiento de fondo (STC 60/2013, FJ 1, entre otras muchas). Y es en este sentido en el que deben valorarse las razones expuestas por la Abogada de la Generalitat cuando sugiere que el silencio positivo previsto en el art. 43.1, primer párrafo, LPC puede no resultar aplicable al proceso </w:t>
      </w:r>
      <w:r w:rsidRPr="00A90898">
        <w:rPr>
          <w:i/>
        </w:rPr>
        <w:t>a quo</w:t>
      </w:r>
      <w:r>
        <w:t>, pues, de ser esto así, sería del todo irrelevante para el resultado de dicho proceso un pronunciamiento de este Tribunal acerca de la constitucionalidad de la norma cuestionada, como se expondrá más adelante.</w:t>
      </w:r>
    </w:p>
    <w:p w:rsidR="00A90898" w:rsidRDefault="00A90898" w:rsidP="00A90898">
      <w:pPr>
        <w:pStyle w:val="TextoNormal"/>
      </w:pPr>
    </w:p>
    <w:p w:rsidR="00A90898" w:rsidRDefault="00A90898" w:rsidP="00A90898">
      <w:pPr>
        <w:pStyle w:val="TextoNormal"/>
      </w:pPr>
      <w:r>
        <w:t xml:space="preserve">Recuerda la representación procesal de la Generalitat de Cataluña que el primer párrafo del citado artículo 43.1 contiene una excepción, de acuerdo con la cual el interesado no podrá entender estimada por silencio administrativo su solicitud en un procedimiento iniciado a su instancia cuando se trate de supuestos en los que “una norma con rango de ley por razones imperiosas de interés general o una norma de Derecho comunitario” excluya tal posibilidad. Y aquí, entiende esta parte, nos encontraríamos ante uno de esos supuestos excepcionales, pues el Real Decreto Legislativo 2/2008, de 20 de junio, por el que se aprueba el texto refundido de la Ley de suelo (2008), aplicable por razones temporales al proceso </w:t>
      </w:r>
      <w:r w:rsidRPr="00A90898">
        <w:rPr>
          <w:i/>
        </w:rPr>
        <w:t>a quo</w:t>
      </w:r>
      <w:r>
        <w:t>, determina en su artículo 8.1, último párrafo, que en ningún caso podrán entenderse adquiridas por silencio administrativo facultades o derechos que contravengan la ordenación territorial y urbanística (asimismo, recuerda que una previsión idéntica se contiene actualmente en el art. 11.3 del Real Decreto Legislativo 7/2015, de 30 de octubre, por el que se aprueba el texto refundido de la Ley del suelo y rehabilitación urbana).</w:t>
      </w:r>
    </w:p>
    <w:p w:rsidR="00A90898" w:rsidRDefault="00A90898" w:rsidP="00A90898">
      <w:pPr>
        <w:pStyle w:val="TextoNormal"/>
      </w:pPr>
    </w:p>
    <w:p w:rsidR="00A90898" w:rsidRDefault="00A90898" w:rsidP="00A90898">
      <w:pPr>
        <w:pStyle w:val="TextoNormal"/>
      </w:pPr>
      <w:r>
        <w:t>Apoya su alegación esta parte, según hemos visto en los antecedentes de esta resolución, resaltando que la vinculación del artículo en el que se basa la solicitud de la licencia denegada por la Administración [art. 9.3 b) del Decreto-ley 1/2009] con la ordenación territorial y urbanística no resulta parcial o casual. Así, destaca su ubicación dentro del título II del Decreto-ley, denominado “planificación y ordenación territorial del uso comercial”. Ade</w:t>
      </w:r>
      <w:r>
        <w:lastRenderedPageBreak/>
        <w:t>más, tanto el artículo 9.3 b), como el título en el que se inserta se enmarcarían en la orientación general de la norma que se desprende de lo señalado en su preámbulo, particularmente en el apartado II del mismo, donde se fija como objetivo de la ley, mediante el ejercicio de las competencias sobre ordenación del territorio y el medio ambiente, el establecimiento de criterios equitativos de ordenación de la actividad comercial, que influyan positivamente en la configuración del crecimiento de los asentamientos urbanos.</w:t>
      </w:r>
    </w:p>
    <w:p w:rsidR="00A90898" w:rsidRDefault="00A90898" w:rsidP="00A90898">
      <w:pPr>
        <w:pStyle w:val="TextoNormal"/>
      </w:pPr>
    </w:p>
    <w:p w:rsidR="00A90898" w:rsidRDefault="00A90898" w:rsidP="00A90898">
      <w:pPr>
        <w:pStyle w:val="TextoNormal"/>
      </w:pPr>
      <w:r>
        <w:t xml:space="preserve">Por ello, se plantea que es en ese marco en el que ha de entenderse lo dispuesto en el art. 9 del Decreto-ley 1/2009 que, en su apartado 1, establece los parámetros generales de acuerdo con los cuales pueden implantarse los establecimientos comerciales, condicionando la ordenación del uso comercial a la ordenación territorial y a contenidos, criterios y parámetros urbanísticos como los de movilidad y de sostenibilidad ambiental y de eficiencia energética, así como de preservación del patrimonio histórico-artístico. Y, en su apartado 3 —en la redacción vigente a 22 de diciembre de 2011, sobre el que se apoya la solicitud de la licencia que dio origen al proceso </w:t>
      </w:r>
      <w:r w:rsidRPr="00A90898">
        <w:rPr>
          <w:i/>
        </w:rPr>
        <w:t>a quo</w:t>
      </w:r>
      <w:r>
        <w:t>—, se establecen los parámetros en los que de forma excepcional los medianos y grandes establecimientos comerciales pueden implantarse fuera de la trama urbana consolidada, previa obtención de la licencia comercial establecida en el artículo 21 del Decreto-ley, cuyo apartado 3 a) aquí se cuestiona. De todo ello se seguiría la necesidad de excepcionar en este supuesto la aplicación del silencio positivo a la resolución de dicha solicitud, de acuerdo con lo establecido en el art. 43.1 LPC y en el art. 8.1, último párrafo del texto refundido de la Ley de suelo (2008).</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Teniendo en cuenta las circunstancias apuntadas por la Abogada de la Generalitat, sería razonable esperar que el órgano jurisdiccional promotor de la cuestión de inconstitucionalidad, antes de plantear la posible contradicción entre el art. 21.3 a) Decreto-ley 1/2009 y el art. 42.3 b) LPC, hubiese dedicado alguna reflexión a la posible aplicación al caso de autos de lo dispuesto en el art. 8.1 b) </w:t>
      </w:r>
      <w:r w:rsidRPr="00A90898">
        <w:rPr>
          <w:i/>
        </w:rPr>
        <w:t>in fine</w:t>
      </w:r>
      <w:r>
        <w:t xml:space="preserve"> del texto refundido de la Ley de suelo de 2008, de acuerdo con el cual, “en ningún caso podrán entenderse adquiridas por silencio administrativo facultades o derechos que contravengan la ordenación territorial o urbanística”. Pues, como el propio órgano jurisdiccional reconoce en el Auto de planteamiento, el establecimiento comercial que se proponía en la solicitud de licencia no cumplía con, al menos, uno de los requisitos establecidos en el art. 9.3 b) del Decreto-ley 1/2009, cual es el de la continuidad física con el tejido urbano residencial que configura la trama urbana consolidada, requisito que, en apariencia, se encuentra vinculado a dicha ordenación.</w:t>
      </w:r>
    </w:p>
    <w:p w:rsidR="00A90898" w:rsidRDefault="00A90898" w:rsidP="00A90898">
      <w:pPr>
        <w:pStyle w:val="TextoNormal"/>
      </w:pPr>
    </w:p>
    <w:p w:rsidR="00A90898" w:rsidRDefault="00A90898" w:rsidP="00A90898">
      <w:pPr>
        <w:pStyle w:val="TextoNormal"/>
      </w:pPr>
      <w:r>
        <w:t xml:space="preserve">En otras palabras, la correcta formulación del juicio de relevancia hubiera exigido una reflexión del Tribunal Superior de Justicia acerca de si, en este caso, es aplicable el silencio positivo previsto en el art. 43.1, primer párrafo, LPC, o, por el contrario y al tratarse de un asunto referente a cuestiones territoriales y administrativas, la regla de aplicación podía ser el art. 8.1 b), último párrafo del texto refundido de la Ley de suelo (2008). Y ello por cuanto, como ya anunciamos con anterioridad, de no tener cabida la estimación presunta, la constitucionalidad o no del cómputo del plazo para resolver sobre las solicitudes de licencia comercial establecido en el art. 21.3 a) del Decreto-ley 1/2009, resulta completamente irrelevante para el fallo que haya de adoptar el Tribunal </w:t>
      </w:r>
      <w:r w:rsidRPr="00A90898">
        <w:rPr>
          <w:i/>
        </w:rPr>
        <w:t>a quo</w:t>
      </w:r>
      <w:r>
        <w:t xml:space="preserve">, pues existió una resolución administrativa denegatoria de la solicitud del demandante para la que sería indiferente si se dictó dentro de plazo o no, si se atiende a la jurisprudencia, conforme a la cual en casos como el presente cabe “el dictado, en cualquier momento posterior al vencimiento del plazo legal para resolver, de una resolución administrativa desestimatoria, justificada precisamente en </w:t>
      </w:r>
      <w:r>
        <w:lastRenderedPageBreak/>
        <w:t>la observancia de la ordenación territorial y urbanística” (STC 29/2015, de 19 de febrero de 2015, FJ 5).</w:t>
      </w:r>
    </w:p>
    <w:p w:rsidR="00A90898" w:rsidRDefault="00A90898" w:rsidP="00A90898">
      <w:pPr>
        <w:pStyle w:val="TextoNormal"/>
      </w:pPr>
    </w:p>
    <w:p w:rsidR="00A90898" w:rsidRDefault="00A90898" w:rsidP="00A90898">
      <w:pPr>
        <w:pStyle w:val="TextoNormal"/>
      </w:pPr>
      <w:r>
        <w:t xml:space="preserve">En ausencia de dicha reflexión, este Tribunal no puede pronunciarse en este momento sobre la posible incompatibilidad entre el art. 21.3 a) del Decreto-ley 1/2009 y lo dispuesto en el art. 42.3 b) LPC respecto al inicio del cómputo del plazo para resolver en los procedimientos iniciados a solicitud del interesado, pues no puede asegurarse que fuera necesario e imprescindible para resolver el caso sometido a la consideración del Tribunal Superior de Justicia de Cataluña, de manera que el juicio de constitucionalidad que se nos solicita sobre el precepto podría quedar desconectado de su aplicación al proceso </w:t>
      </w:r>
      <w:r w:rsidRPr="00A90898">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90898">
        <w:rPr>
          <w:i/>
        </w:rPr>
        <w:t>a quo</w:t>
      </w:r>
      <w:r>
        <w:t xml:space="preserve"> podría concluir en atención a razones jurídicas ajenas a la conformidad o no a la Constitución del inciso del precepto legal cuestionado. Ese sería el caso si el órgano judicial optase, una vez resuelta la cuestión, por aplicar lo dispuesto en el art. 8.1 b), último párrafo del texto refundido de la Ley de suelo (2008), entrando a resolver teniendo en cuenta únicamente el contenido de la resolución administrativa desestimatoria impugnada y no si esta fue dictada o no dentro de plazo.</w:t>
      </w:r>
    </w:p>
    <w:p w:rsidR="00A90898" w:rsidRDefault="00A90898" w:rsidP="00A90898">
      <w:pPr>
        <w:pStyle w:val="TextoNormal"/>
      </w:pPr>
    </w:p>
    <w:p w:rsidR="00A90898" w:rsidRDefault="00A90898" w:rsidP="00A90898">
      <w:pPr>
        <w:pStyle w:val="TextoNormal"/>
      </w:pPr>
      <w:r>
        <w:t>En suma, el precepto cuestionado puede ser aplicable a la resolución del pleito sometido a la consideración del órgano judicial en tanto fija el plazo para resolver sobre la solicitud de licencias comerciales, pero podría no ser determinante del fallo a la vista de lo establecido por el art. 8.1 b), último párrafo del texto refundido de la Ley del suelo de 2008. Esta valoración no aparece en el Auto de planteamiento de la cuestión, que guarda silencio respecto a la posible incidencia de dicho artículo en el caso sometido a su consideración, lo que conlleva un evidente riesgo para el carácter concreto del control de constitucionalidad verificado mediante este tipo de procesos. Porque, aun cuando el enjuiciamiento constitucional de la norma cuestionada sería posible, no se trataría de un juicio de constitucionalidad en concreto, al que se refiere el art. 163 CE, sino en abstracto, sin efectos para el caso, lo que resulta improcedente en toda cuestión de inconstitucionalidad (STC 83/2015, FJ 3).</w:t>
      </w:r>
    </w:p>
    <w:p w:rsidR="00A90898" w:rsidRDefault="00A90898" w:rsidP="00A90898">
      <w:pPr>
        <w:pStyle w:val="TextoNormal"/>
      </w:pPr>
    </w:p>
    <w:p w:rsidR="00A90898" w:rsidRDefault="00A90898" w:rsidP="00A90898">
      <w:pPr>
        <w:pStyle w:val="TextoNormal"/>
      </w:pPr>
      <w:r>
        <w:t>De esta manera, a efectos de garantizar que la resolución del litigio depende realmente de la solución que este Tribunal ofrezca sobre la constitucionalidad de la norma cuestionada [por todas, SSTC 50/2015, de 5 de marzo, FJ 2 c), y 18/2014, de 30 de enero, FJ 4, y las allí citadas], procede inadmitir a trámite la presente cuestión de inconstitucionalidad, al no superar el Auto de planteamiento el juicio de relevancia, según ya se ha expuesto.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Inadmitir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lastRenderedPageBreak/>
        <w:t>Dada en Madrid, a diecisiete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5" w:name="SENTENCIA_2016_176"/>
      <w:r>
        <w:lastRenderedPageBreak/>
        <w:t>SENTENCIA 176/2016, de 17 de octubre de 2016</w:t>
      </w:r>
    </w:p>
    <w:bookmarkEnd w:id="55"/>
    <w:p w:rsidR="00A90898" w:rsidRDefault="00A90898" w:rsidP="00A90898">
      <w:pPr>
        <w:pStyle w:val="TtuloResolucin"/>
      </w:pPr>
      <w:r>
        <w:t>Sala Primera</w:t>
      </w:r>
    </w:p>
    <w:p w:rsidR="00A90898" w:rsidRDefault="00A90898" w:rsidP="00A90898">
      <w:pPr>
        <w:pStyle w:val="TtuloBOE"/>
      </w:pPr>
      <w:r>
        <w:t>(BOE núm. 285, de 25 de noviembre de 2016)</w:t>
      </w:r>
    </w:p>
    <w:p w:rsidR="00A90898" w:rsidRDefault="00A90898" w:rsidP="00A90898">
      <w:pPr>
        <w:pStyle w:val="TextoNormalCentrado"/>
      </w:pPr>
      <w:r>
        <w:t>ECLI:ES:TC:2016:176</w:t>
      </w:r>
    </w:p>
    <w:p w:rsidR="00A90898" w:rsidRDefault="00A90898" w:rsidP="00A90898">
      <w:pPr>
        <w:pStyle w:val="TextoNormalCentrado"/>
      </w:pPr>
    </w:p>
    <w:p w:rsidR="00A90898" w:rsidRDefault="00A90898" w:rsidP="00A90898">
      <w:pPr>
        <w:pStyle w:val="SntesisDescriptiva"/>
      </w:pPr>
      <w:r>
        <w:t>Recurso de amparo 7476-2015. Promovido por Gestinova 99, S.L., y Gestinova 99 Asesor, S.L., respecto de las resoluciones del Tribunal Superior de Justicia de Canarias y de un Juzgado de lo Social de Santa Cruz de Tenerife que inadmitieron un recurso de suplicación en proceso por despido.</w:t>
      </w:r>
    </w:p>
    <w:p w:rsidR="00A90898" w:rsidRDefault="00A90898" w:rsidP="00A90898">
      <w:pPr>
        <w:pStyle w:val="SntesisDescriptiva"/>
      </w:pPr>
    </w:p>
    <w:p w:rsidR="00A90898" w:rsidRDefault="00A90898" w:rsidP="00A90898">
      <w:pPr>
        <w:pStyle w:val="SntesisAnaltica"/>
      </w:pPr>
      <w:r>
        <w:t>Vulneración del derecho a la tutela judicial efectiva (acceso al recurso): inadmisión del recurso de suplicación resultante de la irrazonable exigencia de consignación de los salarios de tramitación.</w:t>
      </w:r>
    </w:p>
    <w:p w:rsidR="00A90898" w:rsidRDefault="00A90898" w:rsidP="00A90898">
      <w:pPr>
        <w:pStyle w:val="SntesisAnaltica"/>
      </w:pPr>
    </w:p>
    <w:p w:rsidR="00A90898" w:rsidRDefault="00A90898" w:rsidP="00A90898">
      <w:pPr>
        <w:pStyle w:val="Extracto"/>
      </w:pPr>
      <w:r>
        <w:t>1.</w:t>
      </w:r>
      <w:r>
        <w:tab/>
        <w:t>Cuando el despido ha sido declarado improcedente con opción empresarial por la indemnización, con la consignación de dicha indemnización queda garantizada la ejecución de la sentencia, sin que haya razón alguna que justifique la necesidad de consignar también los salarios de tramitación. No haberlo entendido así ha conducido a una interpretación manifiestamente irrazonable de las normas sobre admisión del recurso de suplicación, incompatible con el derecho fundamental a la tutela judicial efectiva, en su vertiente de derecho de acceso a los recursos legalmente establecidos; lo que conlleva el otorgamiento del amparo solicitado [FJ 3].</w:t>
      </w:r>
    </w:p>
    <w:p w:rsidR="00A90898" w:rsidRDefault="00A90898" w:rsidP="00A90898">
      <w:pPr>
        <w:pStyle w:val="Extracto"/>
      </w:pPr>
    </w:p>
    <w:p w:rsidR="00A90898" w:rsidRDefault="00A90898" w:rsidP="00A90898">
      <w:pPr>
        <w:pStyle w:val="Extracto"/>
      </w:pPr>
      <w:r>
        <w:t>2.</w:t>
      </w:r>
      <w:r>
        <w:tab/>
        <w:t>Doctrina sobre el derecho de tutela judicial efectiva en su vertiente de acceso a los recursos legalmente establecidos (SSTC 252/2004 y 92/2008) [FJ 2].</w:t>
      </w:r>
    </w:p>
    <w:p w:rsidR="00A90898" w:rsidRDefault="00A90898" w:rsidP="00A90898">
      <w:pPr>
        <w:pStyle w:val="Extracto"/>
      </w:pPr>
    </w:p>
    <w:p w:rsidR="00A90898" w:rsidRDefault="00A90898" w:rsidP="00A90898">
      <w:pPr>
        <w:pStyle w:val="Extracto"/>
      </w:pPr>
      <w:r>
        <w:t>3.</w:t>
      </w:r>
      <w:r>
        <w:tab/>
        <w:t>Se determina el otorgamiento del amparo solicitado con la consiguiente nulidad de las resoluciones impugnadas para que se dicte una nueva que resulte respetuosa con el derecho fundamental vulnerado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7476-2015, promovido por Gestinova 99, S.L., y Gestinova 99 Asesor, S.L., representadas por la Procuradora de los Tribunales doña Ana Álvarez Úbeda y asistidas por el Abogado don Eduardo Díaz Abellán, contra el Auto de la Sala de lo Social del Tribunal Superior de Justicia de Canarias de 23 de noviembre de 2015 por el </w:t>
      </w:r>
      <w:r>
        <w:lastRenderedPageBreak/>
        <w:t>que se desestima el recurso de queja interpuesto contra el Auto del Juzgado de lo Social núm. 7 de Santa Cruz de Tenerife de 15 de septiembre de 2015. Ha comparecido don Cristo Domingo Almenara Báez, representado por la Procuradora de los Tribunales doña Isabel Cañedo Vega y asistido por el Abogado don Clodoaldo R. Corbella Ramos. Ha intervenido el Ministerio Fiscal.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Procuradora de los Tribunales doña Ana Álvarez Úbeda, en nombre y representación de Gestinova 99, S.L., y Gestinova 99 Asesor, S.L., bajo la dirección del Letrado don Eduardo Díaz Abellán, interpuso demanda de amparo contra las resoluciones que se mencionan en el encabezamiento mediante escrito registrado en este Tribunal el 30 de diciembre de 2015, por entender vulnerado el art. 24 CE.</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los que tiene su origen el presente recurso, relevantes para su resolución, son los siguientes:</w:t>
      </w:r>
    </w:p>
    <w:p w:rsidR="00A90898" w:rsidRDefault="00A90898" w:rsidP="00A90898">
      <w:pPr>
        <w:pStyle w:val="TextoNormal"/>
      </w:pPr>
    </w:p>
    <w:p w:rsidR="00A90898" w:rsidRDefault="00A90898" w:rsidP="00A90898">
      <w:pPr>
        <w:pStyle w:val="TextoNormal"/>
      </w:pPr>
      <w:r>
        <w:t>a) Don Cristo Domingo Almenara Báez fue despedido por causas objetivas el 11 de febrero de 2014. Disconforme con su despido interpuso demanda contra Gestinova 99, S.L., Gestinova 99 Asesor, S.L., y el fondo de garantía salarial (Fogasa). En su demanda alegaba la insuficiencia de datos en la carta de despido respecto de la situación económica que motivó la extinción del contrato de trabajo.</w:t>
      </w:r>
    </w:p>
    <w:p w:rsidR="00A90898" w:rsidRDefault="00A90898" w:rsidP="00A90898">
      <w:pPr>
        <w:pStyle w:val="TextoNormal"/>
      </w:pPr>
    </w:p>
    <w:p w:rsidR="00A90898" w:rsidRDefault="00A90898" w:rsidP="00A90898">
      <w:pPr>
        <w:pStyle w:val="TextoNormal"/>
      </w:pPr>
      <w:r>
        <w:t>La demanda fue estimada por Sentencia del Juzgado de lo Social núm. 7 de Santa Cruz de Tenerife de 30 de julio de 2014 que declaró el despido de la parte actora como improcedente y condenó solidariamente a las demandadas Gestinova 99, S.L., y Gestinova 99 Asesor, S.L., a que en el plazo de cinco días desde la notificación de esta Sentencia y sin esperar a su firmeza, opte, poniéndolo en conocimiento de este Juzgado, entre indemnizar a la parte demandante en la cantidad de 24.403,58 €, teniéndose por extinguida la relación laboral a la fecha de despido sin abono de salarios de tramitación, o bien por la readmisión, con abono de una cantidad igual a la suma de los salarios dejados de percibir, a razón de 49,45 € diarios, desde la fecha de despido hasta la notificación de la presente Sentencia o hasta que el demandante hubiera encontrado otro empleo, si tal colocación fuera anterior a esta Sentencia y se probase por la parte demandada lo percibido, para su descuento de los salarios de tramitación.</w:t>
      </w:r>
    </w:p>
    <w:p w:rsidR="00A90898" w:rsidRDefault="00A90898" w:rsidP="00A90898">
      <w:pPr>
        <w:pStyle w:val="TextoNormal"/>
      </w:pPr>
    </w:p>
    <w:p w:rsidR="00A90898" w:rsidRDefault="00A90898" w:rsidP="00A90898">
      <w:pPr>
        <w:pStyle w:val="TextoNormal"/>
      </w:pPr>
      <w:r>
        <w:t>b) Por Auto del Juzgado de lo Social núm. 7 de Santa Cruz de Tenerife de 3 de septiembre de 2014 se acordó rectificar el fallo de la Sentencia de 30 de julio de 2014, en el sentido de fijar el importe de la indemnización por despido improcedente en 13.088,58 €, resultante de la diferencia entre el importe total de la indemnización (24.403,58 €) y el importe ya abonado por la demandada (11.315 €).</w:t>
      </w:r>
    </w:p>
    <w:p w:rsidR="00A90898" w:rsidRDefault="00A90898" w:rsidP="00A90898">
      <w:pPr>
        <w:pStyle w:val="TextoNormal"/>
      </w:pPr>
    </w:p>
    <w:p w:rsidR="00A90898" w:rsidRDefault="00A90898" w:rsidP="00A90898">
      <w:pPr>
        <w:pStyle w:val="TextoNormal"/>
      </w:pPr>
      <w:r>
        <w:t xml:space="preserve">c) Por escrito registrado en el Juzgado de lo Social núm. 7 de Santa Cruz de Tenerife el 14 de agosto de 2014, don Eduardo Díaz Abellán, en nombre y representación de Gestinova 99, S.L., y Gestinova 99 Asesor, S.L., anunció el propósito de interponer recurso de suplicación contra la citada Sentencia de 30 de julio de 2014 y optó por la indemnización fijada </w:t>
      </w:r>
      <w:r>
        <w:lastRenderedPageBreak/>
        <w:t>en la Sentencia procediendo a la consignación bancaria en la cuenta de este Juzgado mediante transferencia que se acompaña.</w:t>
      </w:r>
    </w:p>
    <w:p w:rsidR="00A90898" w:rsidRDefault="00A90898" w:rsidP="00A90898">
      <w:pPr>
        <w:pStyle w:val="TextoNormal"/>
      </w:pPr>
    </w:p>
    <w:p w:rsidR="00A90898" w:rsidRDefault="00A90898" w:rsidP="00A90898">
      <w:pPr>
        <w:pStyle w:val="TextoNormal"/>
      </w:pPr>
      <w:r>
        <w:t>d) Por diligencia de ordenación de 9 de septiembre de 2014 de la Secretaría judicial del Juzgado de lo Social núm. 7 de Santa Cruz de Tenerife se tiene por ejercitada en tiempo y forma por la empresa Gestinova 99, S.L., y Gestinova 99 Asesor, S.L., la opción prevenida en el art. 56.1 del texto refundido de la Ley del estatuto de los trabajadores (en adelante, LET), en el sentido de no readmitir al trabajador don Cristo Domingo Almenara Báez, indemnizándolo en los términos fijados en la Sentencia.</w:t>
      </w:r>
    </w:p>
    <w:p w:rsidR="00A90898" w:rsidRDefault="00A90898" w:rsidP="00A90898">
      <w:pPr>
        <w:pStyle w:val="TextoNormal"/>
      </w:pPr>
    </w:p>
    <w:p w:rsidR="00A90898" w:rsidRDefault="00A90898" w:rsidP="00A90898">
      <w:pPr>
        <w:pStyle w:val="TextoNormal"/>
      </w:pPr>
      <w:r>
        <w:t>Asimismo, se tiene por anunciado en tiempo y forma por Gestinova 99, S.L., y Gestinova 99 Asesor, S.L., recurso de suplicación contra la resolución recaída en autos y se acuerda poner los autos a disposición del Letrado colegiado designado por el recurrente para que interponga el recurso, dentro de los diez días siguientes a que se notifique la diligencia de ordenación.</w:t>
      </w:r>
    </w:p>
    <w:p w:rsidR="00A90898" w:rsidRDefault="00A90898" w:rsidP="00A90898">
      <w:pPr>
        <w:pStyle w:val="TextoNormal"/>
      </w:pPr>
    </w:p>
    <w:p w:rsidR="00A90898" w:rsidRDefault="00A90898" w:rsidP="00A90898">
      <w:pPr>
        <w:pStyle w:val="TextoNormal"/>
      </w:pPr>
      <w:r>
        <w:t>e) Por escrito registrado en el Juzgado Decano de Santa Cruz de Tenerife el 29 de septiembre de 2014, don Eduardo Díaz Abellán, actuando en nombre y representación de Gestinova 99, S.L., y Gestinova 99 Asesor, S.L., formalizó el recurso de suplicación.</w:t>
      </w:r>
    </w:p>
    <w:p w:rsidR="00A90898" w:rsidRDefault="00A90898" w:rsidP="00A90898">
      <w:pPr>
        <w:pStyle w:val="TextoNormal"/>
      </w:pPr>
    </w:p>
    <w:p w:rsidR="00A90898" w:rsidRDefault="00A90898" w:rsidP="00A90898">
      <w:pPr>
        <w:pStyle w:val="TextoNormal"/>
      </w:pPr>
      <w:r>
        <w:t>f) Por diligencia de ordenación del Secretario judicial del Juzgado de lo Social núm. 7 de Santa Cruz de Tenerife de 6 de octubre de 2014 se tiene por formalizado en tiempo y forma recurso de suplicación por la parte Gestinova 99, S.L., y Gestinova 99 Asesor, S.L.</w:t>
      </w:r>
    </w:p>
    <w:p w:rsidR="00A90898" w:rsidRDefault="00A90898" w:rsidP="00A90898">
      <w:pPr>
        <w:pStyle w:val="TextoNormal"/>
      </w:pPr>
    </w:p>
    <w:p w:rsidR="00A90898" w:rsidRDefault="00A90898" w:rsidP="00A90898">
      <w:pPr>
        <w:pStyle w:val="TextoNormal"/>
      </w:pPr>
      <w:r>
        <w:t>g) Don Cristo Domingo Almenara Báez presentó escrito de impugnación del recurso de suplicación en el Juzgado Decano de Santa Cruz de Tenerife el 16 de octubre de 2014.</w:t>
      </w:r>
    </w:p>
    <w:p w:rsidR="00A90898" w:rsidRDefault="00A90898" w:rsidP="00A90898">
      <w:pPr>
        <w:pStyle w:val="TextoNormal"/>
      </w:pPr>
    </w:p>
    <w:p w:rsidR="00A90898" w:rsidRDefault="00A90898" w:rsidP="00A90898">
      <w:pPr>
        <w:pStyle w:val="TextoNormal"/>
      </w:pPr>
      <w:r>
        <w:t>h) Por diligencia de ordenación de 7 de noviembre de 2014 del Secretario judicial del Juzgado de lo Social núm. 7 de Santa Cruz de Tenerife, no habiéndose formulado alegaciones respecto del escrito de impugnación presentado al recurso de suplicación interpuesto de contrario por Gestinova 99, S.L., y Gestinova 99 Asesor, S.L., se declara la preclusión del trámite concedido; en consecuencia, se remiten las actuaciones y la pieza separada de su razón, a la Sala de lo Social del Tribunal Superior de Justicia de Canarias, para su sustanciación.</w:t>
      </w:r>
    </w:p>
    <w:p w:rsidR="00A90898" w:rsidRDefault="00A90898" w:rsidP="00A90898">
      <w:pPr>
        <w:pStyle w:val="TextoNormal"/>
      </w:pPr>
    </w:p>
    <w:p w:rsidR="00A90898" w:rsidRDefault="00A90898" w:rsidP="00A90898">
      <w:pPr>
        <w:pStyle w:val="TextoNormal"/>
      </w:pPr>
      <w:r>
        <w:t xml:space="preserve">i) Por Auto de la Sala de lo Social del Tribunal Superior de Justicia de Canarias de 10 de abril de 2015 se acuerda la devolución de las actuaciones al Juzgado de lo Social, a fin de que por el mismo se proceda a subsanar los errores constatados, dictando las resoluciones que se estimen oportunas y dando posteriormente al proceso el curso que corresponda. Señala la Sala que es doctrina reiterada del Tribunal Constitucional, en SSTC 90/1983 y 16/1986, con arreglo a la normativa anterior, que la consignación no era más que una medida cautelar dirigida a garantizar la efectividad del derecho fundamental a la ejecución de sentencias y que la garantía de este derecho, comprende todas las incidencias que puedan producirse a lo largo de la ejecución de sentencia. El art. 230 de la Ley reguladora de la jurisdicción social (en adelante, LJS) no establece ninguna modificación en relación a la normativa anterior al respecto, y en ningún caso prevé que el empresario que, asistiéndole el derecho de opción, opte por la indemnización esté exceptuado de la obligación de consignar los salarios de trámite. El art. 110.1 a) LJS reitera que “la condena comprenderá también, el </w:t>
      </w:r>
      <w:r>
        <w:lastRenderedPageBreak/>
        <w:t>abono de la cantidad a la que se refiere la letra b) del apartado 1 del art. 56 del Texto refundido del Estatuto de los Trabajadores”, sin que en el presente caso nos encontremos en el supuesto previsto en el art. 110.1 b) LJS.</w:t>
      </w:r>
    </w:p>
    <w:p w:rsidR="00A90898" w:rsidRDefault="00A90898" w:rsidP="00A90898">
      <w:pPr>
        <w:pStyle w:val="TextoNormal"/>
      </w:pPr>
    </w:p>
    <w:p w:rsidR="00A90898" w:rsidRDefault="00A90898" w:rsidP="00A90898">
      <w:pPr>
        <w:pStyle w:val="TextoNormal"/>
      </w:pPr>
      <w:r>
        <w:t>Continúa razonando que el art. 230.5 LJS dispone que el Secretario judicial concederá a la parte recurrente, con carácter previo a que se resuelva sobre el anuncio o preparación, un plazo de cinco días para la subsanación de los defectos advertidos, si consistieran en la insuficiencia de la consignación o del aseguramiento efectuados.</w:t>
      </w:r>
    </w:p>
    <w:p w:rsidR="00A90898" w:rsidRDefault="00A90898" w:rsidP="00A90898">
      <w:pPr>
        <w:pStyle w:val="TextoNormal"/>
      </w:pPr>
    </w:p>
    <w:p w:rsidR="00A90898" w:rsidRDefault="00A90898" w:rsidP="00A90898">
      <w:pPr>
        <w:pStyle w:val="TextoNormal"/>
      </w:pPr>
      <w:r>
        <w:t>Concluye que en las actuaciones sólo se ha consignado la indemnización y no los salarios de tramitación; ello motiva que la Sala deba acordar la devolución del procedimiento para que por el Juzgado se dicten las resoluciones oportunas en aras del cumplimiento de las garantías procesales de las partes.</w:t>
      </w:r>
    </w:p>
    <w:p w:rsidR="00A90898" w:rsidRDefault="00A90898" w:rsidP="00A90898">
      <w:pPr>
        <w:pStyle w:val="TextoNormal"/>
      </w:pPr>
    </w:p>
    <w:p w:rsidR="00A90898" w:rsidRDefault="00A90898" w:rsidP="00A90898">
      <w:pPr>
        <w:pStyle w:val="TextoNormal"/>
      </w:pPr>
      <w:r>
        <w:t>j) Contra esta resolución interpuso recurso de reposición Gestinova 99, S.L., y Gestinova 99 Asesor, S.L., alegando que el derogado art. 56.1 LET establecía para los supuestos de despido improcedente la condena opcional entre readmisión con abono de salarios de trámite o el abono de una indemnización tasada con los salarios dejados de percibir, en tanto que la nueva redacción del art. 56.1 LET omite para el caso de la opción por la indemnización la condena de los salarios de tramitación; por lo tanto, la consignación realizada en el momento de anunciar el recurso de suplicación sería suficiente a los fines de asegurar la condena del fallo de la sentencia recurrida de conformidad con lo dispuesto en el art. 230 LJS.</w:t>
      </w:r>
    </w:p>
    <w:p w:rsidR="00A90898" w:rsidRDefault="00A90898" w:rsidP="00A90898">
      <w:pPr>
        <w:pStyle w:val="TextoNormal"/>
      </w:pPr>
    </w:p>
    <w:p w:rsidR="00A90898" w:rsidRDefault="00A90898" w:rsidP="00A90898">
      <w:pPr>
        <w:pStyle w:val="TextoNormal"/>
      </w:pPr>
      <w:r>
        <w:t>El recurso de reposición fue desestimado por Auto de la Sala de lo Social del Tribunal Superior de Justicia de Canarias de 10 de junio de 2015.</w:t>
      </w:r>
    </w:p>
    <w:p w:rsidR="00A90898" w:rsidRDefault="00A90898" w:rsidP="00A90898">
      <w:pPr>
        <w:pStyle w:val="TextoNormal"/>
      </w:pPr>
    </w:p>
    <w:p w:rsidR="00A90898" w:rsidRDefault="00A90898" w:rsidP="00A90898">
      <w:pPr>
        <w:pStyle w:val="TextoNormal"/>
      </w:pPr>
      <w:r>
        <w:t>Señala la Sala que el art. 230 LJS, que se corresponde con el anterior artículo 228, sigue refiriéndose a la cantidad objeto de la condena. El art. 230 LJS no establece ninguna modificación en relación a la normativa anterior al respecto y en ningún caso prevé que el empresario que, asistiéndole el derecho de opción, opte por la indemnización esté exceptuado de la obligación de consignar los salarios de trámite. El art. 110.1 a) LJS señala que la condena comprenderá también, el abono de la cantidad a que se refiere la letra b) del apartado 1 del art. 56 LET, reiterando la dicción anterior del art. 110 de la Ley de procedimiento laboral. Antes bien, la nueva regulación en el art. 110.1 b) LJS prevé la posibilidad de anticipar la opción en el acto del juicio para el caso de declaración de improcedencia, sobre la que se pronunciará el juez en la sentencia en cuyo caso solo hay un componente de la condena, y que en el presente caso no se verificó, y sin perjuicio de lo dispuesto en el art. 111 y 112 LJS, que prevén además un cambio del sentido de la opción.</w:t>
      </w:r>
    </w:p>
    <w:p w:rsidR="00A90898" w:rsidRDefault="00A90898" w:rsidP="00A90898">
      <w:pPr>
        <w:pStyle w:val="TextoNormal"/>
      </w:pPr>
    </w:p>
    <w:p w:rsidR="00A90898" w:rsidRDefault="00A90898" w:rsidP="00A90898">
      <w:pPr>
        <w:pStyle w:val="TextoNormal"/>
      </w:pPr>
      <w:r>
        <w:t>k) Por diligencia de ordenación del Juzgado de lo Social núm. 7 de Santa Cruz de Tenerife de 13 de julio de 2015 se requiere a Gestinova 99, S.L., y Gestinova 99 Asesor, S.L., para que en el plazo de cinco días subsanen el defecto de insuficiencia de la consignación o del aseguramiento efectuado de la cantidad objeto de condena, ingresando los salarios de tramitación y acreditando el cumplimiento de dicho requisito, de conformidad con lo establecido en los apartados 5 y 6 del art. 230 LJS.</w:t>
      </w:r>
    </w:p>
    <w:p w:rsidR="00A90898" w:rsidRDefault="00A90898" w:rsidP="00A90898">
      <w:pPr>
        <w:pStyle w:val="TextoNormal"/>
      </w:pPr>
    </w:p>
    <w:p w:rsidR="00A90898" w:rsidRDefault="00A90898" w:rsidP="00A90898">
      <w:pPr>
        <w:pStyle w:val="TextoNormal"/>
      </w:pPr>
      <w:r>
        <w:lastRenderedPageBreak/>
        <w:t>l) Contra esta diligencia de ordenación interpusieron Gestinova 99, S.L., y Gestinova 99 Asesor, S.L., recurso de reposición, que fue desestimado por Decreto del Juzgado de lo Social núm. 7 de Santa Cruz de Tenerife de 14 de septiembre de 2015.</w:t>
      </w:r>
    </w:p>
    <w:p w:rsidR="00A90898" w:rsidRDefault="00A90898" w:rsidP="00A90898">
      <w:pPr>
        <w:pStyle w:val="TextoNormal"/>
      </w:pPr>
    </w:p>
    <w:p w:rsidR="00A90898" w:rsidRDefault="00A90898" w:rsidP="00A90898">
      <w:pPr>
        <w:pStyle w:val="TextoNormal"/>
      </w:pPr>
      <w:r>
        <w:t>m) Por Auto del Juzgado de lo Social núm. 7 de Tenerife de 15 de septiembre de 2015 se acuerda poner fin al trámite del recurso de suplicación anunciado por Gestinova 99, S.L., y Gestinova 99 Asesor, S.L., y se declara firme la Sentencia de 30 de julio de 2014.</w:t>
      </w:r>
    </w:p>
    <w:p w:rsidR="00A90898" w:rsidRDefault="00A90898" w:rsidP="00A90898">
      <w:pPr>
        <w:pStyle w:val="TextoNormal"/>
      </w:pPr>
    </w:p>
    <w:p w:rsidR="00A90898" w:rsidRDefault="00A90898" w:rsidP="00A90898">
      <w:pPr>
        <w:pStyle w:val="TextoNormal"/>
      </w:pPr>
      <w:r>
        <w:t>n) Contra esta resolución Gestinova 99, S.L., y Gestinova 99 Asesor, S.L., interpusieron recurso de queja que fue desestimado por Auto de la Sala de lo Social del Tribunal Superior de Justicia de Canarias de 23 de noviembre de 2015.</w:t>
      </w:r>
    </w:p>
    <w:p w:rsidR="00A90898" w:rsidRDefault="00A90898" w:rsidP="00A90898">
      <w:pPr>
        <w:pStyle w:val="TextoNormal"/>
      </w:pPr>
    </w:p>
    <w:p w:rsidR="00A90898" w:rsidRDefault="00A90898" w:rsidP="00A90898">
      <w:pPr>
        <w:pStyle w:val="TextoNormal"/>
      </w:pPr>
      <w:r>
        <w:t>Afirma la Sala que es doctrina reiterada que la consignación no es más que una medida cautelar dirigida a garantizar la efectividad del derecho fundamental a la ejecución de sentencias y que la garantía de este derecho, comprende todas las incidencias que puedan producirse a lo largo de la ejecución de la Sentencia. Estos criterios son aplicables a la nueva regulación del art. 56 LET tras la reforma de 2012, pues en esta materia no ha habido modificaciones y en ningún caso prevé que el empresario que opte por la indemnización esté exceptuado de la obligación de consignar los salarios de trámite. También destaca que la nueva regulación del art. 110.1 b) LJS prevé la posibilidad de anticipar la opción en el acto del juicio para el caso de declaración de improcedencia, sobre la que se pronunciará el juez en la sentencia, en cuyo caso solo habría un componente de la condena, y que en el presente caso no se verificó, y sin perjuicio de lo dispuesto en el art. 111 y 112 LJS, que prevén además un cambio en el sentido de la opción. En esta línea también se han pronunciado diversos Tribunales Superiores de Justicia.</w:t>
      </w:r>
    </w:p>
    <w:p w:rsidR="00A90898" w:rsidRDefault="00A90898" w:rsidP="00A90898">
      <w:pPr>
        <w:pStyle w:val="TextoNormal"/>
      </w:pPr>
    </w:p>
    <w:p w:rsidR="00A90898" w:rsidRDefault="00A90898" w:rsidP="00A90898">
      <w:pPr>
        <w:pStyle w:val="TextoNormal"/>
      </w:pPr>
      <w:r w:rsidRPr="00A90898">
        <w:rPr>
          <w:rStyle w:val="NumeroAFNegritaCaracter"/>
        </w:rPr>
        <w:t>3</w:t>
      </w:r>
      <w:r>
        <w:t>. Las empresas recurrentes en amparo alegan vulneración del art. 24 CE.</w:t>
      </w:r>
    </w:p>
    <w:p w:rsidR="00A90898" w:rsidRDefault="00A90898" w:rsidP="00A90898">
      <w:pPr>
        <w:pStyle w:val="TextoNormal"/>
      </w:pPr>
    </w:p>
    <w:p w:rsidR="00A90898" w:rsidRDefault="00A90898" w:rsidP="00A90898">
      <w:pPr>
        <w:pStyle w:val="TextoNormal"/>
      </w:pPr>
      <w:r>
        <w:t>Señalan que, tal y como se ha reiterado durante todo el itinerario procesal habido hasta el presente recurso, es contrario a derecho el criterio mantenido por la Sala de lo Social del Tribunal Superior de Justicia de Canarias, a diferencia del resto de organismos jurisdiccionales del orden social español, mediante el cual se exige para acceder a la fase de suplicación la consignación de los salarios de tramitación en supuestos de despido improcedente cuando la opción del empresario es la indemnizatoria.</w:t>
      </w:r>
    </w:p>
    <w:p w:rsidR="00A90898" w:rsidRDefault="00A90898" w:rsidP="00A90898">
      <w:pPr>
        <w:pStyle w:val="TextoNormal"/>
      </w:pPr>
    </w:p>
    <w:p w:rsidR="00A90898" w:rsidRDefault="00A90898" w:rsidP="00A90898">
      <w:pPr>
        <w:pStyle w:val="TextoNormal"/>
      </w:pPr>
      <w:r>
        <w:t>Afirman que la resolución recurrida conlleva una extralimitación de lo establecido por nuestra legislación en materia de condena de despido improcedente. Al respecto es de sobra conocido, tras la última reforma procesal, que en los supuestos de despido improcedente, cuando el empresario opta por la indemnización, únicamente ha de consignar el importe indemnizatorio pero no los salarios de tramitación. En consecuencia, no estamos ante una medida cautelar para garantizar la ejecución del fallo puesto que en ninguno de los supuestos contemplados por ley existiría la condena en salarios de trámite ante despidos improcedentes; por ende no hay nada que garantizar más allá que el propio fallo judicial que condena a abonar la diferencia por la improcedencia del despido.</w:t>
      </w:r>
    </w:p>
    <w:p w:rsidR="00A90898" w:rsidRDefault="00A90898" w:rsidP="00A90898">
      <w:pPr>
        <w:pStyle w:val="TextoNormal"/>
      </w:pPr>
    </w:p>
    <w:p w:rsidR="00A90898" w:rsidRDefault="00A90898" w:rsidP="00A90898">
      <w:pPr>
        <w:pStyle w:val="TextoNormal"/>
      </w:pPr>
      <w:r>
        <w:t xml:space="preserve">A su juicio, los Autos objeto de este amparo vulneran su derecho a la tutela judicial efectiva en la vertiente de acceso al recurso. El Auto del Tribunal Superior de Justicia de Canarias que se impugna conllevó la inadmisión del recurso de suplicación por entender </w:t>
      </w:r>
      <w:r>
        <w:lastRenderedPageBreak/>
        <w:t>que era necesario proceder a la consignación de los salarios de tramitación para recurrir sentencias de despido, todo ello sin contemplar las últimas modificaciones legislativas acontecidas en la materia y contraviniendo lo recogido en los arts. 230.1 y 110.1 LJS y, por ende, se habría vulnerado el derecho contenido en el art. 24.1 CE, en su faceta de derecho a hacer uso de los recursos previstos en las leyes.</w:t>
      </w:r>
    </w:p>
    <w:p w:rsidR="00A90898" w:rsidRDefault="00A90898" w:rsidP="00A90898">
      <w:pPr>
        <w:pStyle w:val="TextoNormal"/>
      </w:pPr>
    </w:p>
    <w:p w:rsidR="00A90898" w:rsidRDefault="00A90898" w:rsidP="00A90898">
      <w:pPr>
        <w:pStyle w:val="TextoNormal"/>
      </w:pPr>
      <w:r w:rsidRPr="00A90898">
        <w:rPr>
          <w:rStyle w:val="NumeroAFNegritaCaracter"/>
        </w:rPr>
        <w:t>4</w:t>
      </w:r>
      <w:r>
        <w:t>. Con fecha 23 de mayo de 2016, la Sala Primera de este Tribunal dictó providencia admitiendo a trámite la demanda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 Asimismo se acordó, conforme a lo dispuesto en el art. 51 de la Ley Orgánica del Tribunal Constitucional (LOTC), dirigir atenta comunicación a la Sala de lo Social del Tribunal Superior de Justicia de Canarias a fin de que, en plazo que no exceda de diez días, remitiera certificación o fotocopia adverada de las actuaciones correspondientes al núm. 886-2015 y al Juzgado de lo Social núm. 7 de Santa Cruz de Tenerife, a fin de que, en idéntico plazo, remitiera certificación o copia adverada de las actuaciones correspondientes al núm. 243-2014; con emplazamiento por dicho Juzgado a quienes hubiesen sido parte en el procedimiento, con el fin de poder comparecer en el presente recurso, si lo desearen, en un plazo de diez días.</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presentado en el registro general de este Tribunal el 16 de junio de 2016 se personó en el procedimiento doña Isabel Cañedo Vega, procuradora de los Tribunales y de don Cristo Domingo Almenara Báez.</w:t>
      </w:r>
    </w:p>
    <w:p w:rsidR="00A90898" w:rsidRDefault="00A90898" w:rsidP="00A90898">
      <w:pPr>
        <w:pStyle w:val="TextoNormal"/>
      </w:pPr>
    </w:p>
    <w:p w:rsidR="00A90898" w:rsidRDefault="00A90898" w:rsidP="00A90898">
      <w:pPr>
        <w:pStyle w:val="TextoNormal"/>
      </w:pPr>
      <w:r w:rsidRPr="00A90898">
        <w:rPr>
          <w:rStyle w:val="NumeroAFNegritaCaracter"/>
        </w:rPr>
        <w:t>6</w:t>
      </w:r>
      <w:r>
        <w:t>. La Secretaría de Justicia de la Sala Primera de este Tribunal dictó diligencia de ordenación el 23 de junio de 2016, teniendo por recibidos los testimonios de actuaciones remitidos por el Tribunal Superior de Justicia Sala de lo Social de Canarias y el Juzgado de lo Social núm. 7 de Santa Cruz de Tenerife, así como el escrito de la Procuradora doña Isabel Cañedo Vega, a quien se tiene por personada y parte en nombre y representación de don Cristo Domingo Almenara Báez. Asimismo acordó, conforme a lo dispuesto en el art. 52 LOTC, dar vista de las actuaciones por un plazo de veinte días al Ministerio Fiscal y a las partes personadas, para que en dicho término pueda presentar las alegaciones que a su derecho convenga.</w:t>
      </w:r>
    </w:p>
    <w:p w:rsidR="00A90898" w:rsidRDefault="00A90898" w:rsidP="00A90898">
      <w:pPr>
        <w:pStyle w:val="TextoNormal"/>
      </w:pPr>
    </w:p>
    <w:p w:rsidR="00A90898" w:rsidRDefault="00A90898" w:rsidP="00A90898">
      <w:pPr>
        <w:pStyle w:val="TextoNormal"/>
      </w:pPr>
      <w:r w:rsidRPr="00A90898">
        <w:rPr>
          <w:rStyle w:val="NumeroAFNegritaCaracter"/>
        </w:rPr>
        <w:t>7</w:t>
      </w:r>
      <w:r>
        <w:t>. Con fecha 27 de julio de 2016 presentó su escrito de alegaciones doña Isabel Cañedo Vega, Procuradora de los Tribunales y de don Cristo Domingo Almenara Báez.</w:t>
      </w:r>
    </w:p>
    <w:p w:rsidR="00A90898" w:rsidRDefault="00A90898" w:rsidP="00A90898">
      <w:pPr>
        <w:pStyle w:val="TextoNormal"/>
      </w:pPr>
    </w:p>
    <w:p w:rsidR="00A90898" w:rsidRDefault="00A90898" w:rsidP="00A90898">
      <w:pPr>
        <w:pStyle w:val="TextoNormal"/>
      </w:pPr>
      <w:r>
        <w:t>Entiende esta parte que las empresas recurrentes no agotaron todas las posibilidades de recurso que tenían a su alcance. En este sentido cabe indicar que la empresa pudo haber consignado las cantidades requeridas por el Juzgado y tramitado así su recurso de suplicación, y para el caso que no estimara que la petición de consignación de los salarios de tramitación sea correcta, haber formulado el correspondiente recurso de amparo, todo ello una vez tramitado el recurso de suplicación, por lo que no puede ahora invocarse el derecho a la tutela judicial efectiva.</w:t>
      </w:r>
    </w:p>
    <w:p w:rsidR="00A90898" w:rsidRDefault="00A90898" w:rsidP="00A90898">
      <w:pPr>
        <w:pStyle w:val="TextoNormal"/>
      </w:pPr>
    </w:p>
    <w:p w:rsidR="00A90898" w:rsidRDefault="00A90898" w:rsidP="00A90898">
      <w:pPr>
        <w:pStyle w:val="TextoNormal"/>
      </w:pPr>
      <w:r>
        <w:lastRenderedPageBreak/>
        <w:t>Afirma que el recurso es muy confuso y que de su lectura no se entiende siquiera en qué concreto punto la resolución que se recurre ha vulnerado alguno de los derechos susceptibles de amparo.</w:t>
      </w:r>
    </w:p>
    <w:p w:rsidR="00A90898" w:rsidRDefault="00A90898" w:rsidP="00A90898">
      <w:pPr>
        <w:pStyle w:val="TextoNormal"/>
      </w:pPr>
    </w:p>
    <w:p w:rsidR="00A90898" w:rsidRDefault="00A90898" w:rsidP="00A90898">
      <w:pPr>
        <w:pStyle w:val="TextoNormal"/>
      </w:pPr>
      <w:r>
        <w:t>Lejos de producirse indefensión alguna para la demandante respecto a la consignación de los salarios de trámite, se ha de señalar que se ha hecho caso omiso de las indicaciones del Juzgado para subsanar dicha falta de consignación; por lo que no puede hablarse de quebranto a la tutela judicial efectiva sino de una omisión consciente por parte de la demandante. Esta, a pesar de los requerimientos para proceder a la subsanación de las cantidades, no ha procedido a su ingreso.</w:t>
      </w:r>
    </w:p>
    <w:p w:rsidR="00A90898" w:rsidRDefault="00A90898" w:rsidP="00A90898">
      <w:pPr>
        <w:pStyle w:val="TextoNormal"/>
      </w:pPr>
    </w:p>
    <w:p w:rsidR="00A90898" w:rsidRDefault="00A90898" w:rsidP="00A90898">
      <w:pPr>
        <w:pStyle w:val="TextoNormal"/>
      </w:pPr>
      <w:r>
        <w:t>Señala que el art. 230 LJS no establece ninguna modificación en relación a la normativa anterior y, en ningún caso prevé que el empresario que, asistiéndole el derecho de opción, opte por la indemnización, esté exceptuado de la obligación de consignar los salarios de trámite.</w:t>
      </w:r>
    </w:p>
    <w:p w:rsidR="00A90898" w:rsidRDefault="00A90898" w:rsidP="00A90898">
      <w:pPr>
        <w:pStyle w:val="TextoNormal"/>
      </w:pPr>
    </w:p>
    <w:p w:rsidR="00A90898" w:rsidRDefault="00A90898" w:rsidP="00A90898">
      <w:pPr>
        <w:pStyle w:val="TextoNormal"/>
      </w:pPr>
      <w:r>
        <w:t>Por ello, entiende esta parte que debe ser desestimado en su totalidad el recurso de amparo.</w:t>
      </w:r>
    </w:p>
    <w:p w:rsidR="00A90898" w:rsidRDefault="00A90898" w:rsidP="00A90898">
      <w:pPr>
        <w:pStyle w:val="TextoNormal"/>
      </w:pPr>
    </w:p>
    <w:p w:rsidR="00A90898" w:rsidRDefault="00A90898" w:rsidP="00A90898">
      <w:pPr>
        <w:pStyle w:val="TextoNormal"/>
      </w:pPr>
      <w:r w:rsidRPr="00A90898">
        <w:rPr>
          <w:rStyle w:val="NumeroAFNegritaCaracter"/>
        </w:rPr>
        <w:t>8</w:t>
      </w:r>
      <w:r>
        <w:t>. El 28 de julio de 2016 presentó su escrito de alegaciones el Ministerio Fiscal interesando la estimación del recurso de amparo.</w:t>
      </w:r>
    </w:p>
    <w:p w:rsidR="00A90898" w:rsidRDefault="00A90898" w:rsidP="00A90898">
      <w:pPr>
        <w:pStyle w:val="TextoNormal"/>
      </w:pPr>
    </w:p>
    <w:p w:rsidR="00A90898" w:rsidRDefault="00A90898" w:rsidP="00A90898">
      <w:pPr>
        <w:pStyle w:val="TextoNormal"/>
      </w:pPr>
      <w:r>
        <w:t>Tras recordar los antecedes de este recurso, el Ministerio Fiscal sintetiza la doctrina constitucional sobre el derecho a la tutela judicial efectiva en su vertiente de acceso a los recursos. Esta doctrina, a su juicio, debe conllevar al otorgamiento del amparo.</w:t>
      </w:r>
    </w:p>
    <w:p w:rsidR="00A90898" w:rsidRDefault="00A90898" w:rsidP="00A90898">
      <w:pPr>
        <w:pStyle w:val="TextoNormal"/>
      </w:pPr>
    </w:p>
    <w:p w:rsidR="00A90898" w:rsidRDefault="00A90898" w:rsidP="00A90898">
      <w:pPr>
        <w:pStyle w:val="TextoNormal"/>
      </w:pPr>
      <w:r>
        <w:t>El planteamiento de la Sala de lo Social carece de base legal, por buenas que puedan parecer las razones que lo sustentan, esto es, garantizar la efectividad del derecho fundamental a la ejecución de las sentencias y que ello incluye todas las incidencias que puedan producirse a lo largo de la ejecución de la sentencia.</w:t>
      </w:r>
    </w:p>
    <w:p w:rsidR="00A90898" w:rsidRDefault="00A90898" w:rsidP="00A90898">
      <w:pPr>
        <w:pStyle w:val="TextoNormal"/>
      </w:pPr>
    </w:p>
    <w:p w:rsidR="00A90898" w:rsidRDefault="00A90898" w:rsidP="00A90898">
      <w:pPr>
        <w:pStyle w:val="TextoNormal"/>
      </w:pPr>
      <w:r>
        <w:t>Afirma que la Sala se basa en jurisprudencia, tanto constitucional como del Tribunal Supremo, que contempla una regulación notoriamente diferente a la vigente en la actualidad y cuando se redactó la resolución cuestionada. Así, señala que tras la reforma legalmente operada por la Ley 3/2012, de 6 de julio, en supuestos de condena al empresario por despido improcedente, se ha suprimido el abono de los salarios de tramitación, si el empresario opta por la extinción contractual y el abono de la pertinente indemnización, como sucedió en el caso de autos. Se trata de una regulación legal que impone condenas indemnizatorias alternativas, frente a la regulación legal precedente en la que las condenas eran conjuntas; por ello, exigir la consignación de ambas cantidades carece de sustento.</w:t>
      </w:r>
    </w:p>
    <w:p w:rsidR="00A90898" w:rsidRDefault="00A90898" w:rsidP="00A90898">
      <w:pPr>
        <w:pStyle w:val="TextoNormal"/>
      </w:pPr>
    </w:p>
    <w:p w:rsidR="00A90898" w:rsidRDefault="00A90898" w:rsidP="00A90898">
      <w:pPr>
        <w:pStyle w:val="TextoNormal"/>
      </w:pPr>
      <w:r>
        <w:t xml:space="preserve">Señala que, como se afirma en la demanda, el empresario ha optado por la extinción contractual y ha consignado la totalidad de la indemnización. En tal supuesto, parece claro que nunca se van a originar salarios de tramitación; por ello exigir su consignación, como medida cautelar para garantizar la ejecución de la sentencia o incidencias futuras, carece de sustento, pues la cantidad real objeto de condena ha sido consignada y la que se pretende que la empresa consigne no ha sido impuesta judicialmente, por haber sido suprimida por ley. Existe pues una regulación precisa, que imposibilita a los órganos judiciales aumentar </w:t>
      </w:r>
      <w:r>
        <w:lastRenderedPageBreak/>
        <w:t>las cantidades a consignar, por muy laudables que sean las razones en que puedan sustentarlo. Finaliza su escrito de alegaciones el Ministerio Fiscal solicitando el otorgamiento del amparo.</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13 de octubre de 2016 se señaló para deliberación y votación de la presente Sentencia el día 17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dirige contra el Auto de la Sala de lo Social del Tribunal Superior de Justicia de Canarias de 23 de noviembre de 2015, por el que se desestima el recurso de queja interpuesto contra el Auto del Juzgado de lo Social núm. 7 de Santa Cruz de Tenerife de 15 de septiembre de 2015. Las resoluciones recurridas inadmitieron a trámite el recurso de suplicación, anunciado por las empresas recurrentes en amparo, contra la Sentencia del Juzgado de lo Social núm. 7 de Santa Cruz de Tenerife de 30 de julio de 2014, que declaró improcedente el despido de uno de sus trabajadores. El recurso fue inadmitido por falta de consignación de la cantidad correspondiente a los salarios de tramitación.</w:t>
      </w:r>
    </w:p>
    <w:p w:rsidR="00A90898" w:rsidRDefault="00A90898" w:rsidP="00A90898">
      <w:pPr>
        <w:pStyle w:val="TextoNormal"/>
      </w:pPr>
    </w:p>
    <w:p w:rsidR="00A90898" w:rsidRDefault="00A90898" w:rsidP="00A90898">
      <w:pPr>
        <w:pStyle w:val="TextoNormal"/>
      </w:pPr>
      <w:r>
        <w:t>La demanda de amparo denuncia, con la argumentación que ha quedado expuesta en los antecedentes de esta resolución, la infracción del derecho a la tutela judicial efectiva (art. 24.1 CE), en su vertiente de acceso a los recursos; por entender que la inadmisión del recurso de suplicación se basó en criterios extralegales y arbitrarios, al aplicarse incorrectamente los establecidos en los arts. 230.1 y 110.1 de la Ley reguladora de la jurisdicción social (LJS) y 56 del texto refundido de la Ley del estatuto de los trabajadores (LET). Las empresas recurrentes recuerdan la reforma introducida, en primer término por el Real Decreto-ley 3/2012, de 10 de febrero, de medidas urgentes para la reforma del mercado laboral, confirmada por la Ley 3/2012, de 6 de julio, de medidas urgentes para la reforma del mercado laboral. De acuerdo con ella, en los supuestos de despido improcedente, cuando el empresario opta por la indemnización, únicamente ha de consignar el importe indemnizatorio pero no los salarios de tramitación. El criterio de la Sala es pues erróneo, al entender que exigir la consignación de los salarios de tramitación es una medida cautelar para garantizar la ejecución del fallo; puesto que, en ninguno de los supuestos contemplados por ley, existiría condena en salarios de tramitación ante despidos improcedentes cuando el empresario ha optado por el pago de la indemnización.</w:t>
      </w:r>
    </w:p>
    <w:p w:rsidR="00A90898" w:rsidRDefault="00A90898" w:rsidP="00A90898">
      <w:pPr>
        <w:pStyle w:val="TextoNormal"/>
      </w:pPr>
    </w:p>
    <w:p w:rsidR="00A90898" w:rsidRDefault="00A90898" w:rsidP="00A90898">
      <w:pPr>
        <w:pStyle w:val="TextoNormal"/>
      </w:pPr>
      <w:r>
        <w:t>El Ministerio Fiscal interesa que se conceda el amparo pretendido pues, a su juicio, cuando el empresario ha optado por el pago de la indemnización, nunca se van a originar salarios de tramitación; por ello, exigir su consignación como medida cautelar para garantizar la ejecución de la sentencia o incidencias futuras, carece de sustento. La cantidad real objeto de condena ha sido consignada y la que se pretende que la empresa consigne no ha sido impuesta judicialmente.</w:t>
      </w:r>
    </w:p>
    <w:p w:rsidR="00A90898" w:rsidRDefault="00A90898" w:rsidP="00A90898">
      <w:pPr>
        <w:pStyle w:val="TextoNormal"/>
      </w:pPr>
    </w:p>
    <w:p w:rsidR="00A90898" w:rsidRDefault="00A90898" w:rsidP="00A90898">
      <w:pPr>
        <w:pStyle w:val="TextoNormal"/>
      </w:pPr>
      <w:r>
        <w:t>Por su parte, el trabajador despedido solicita la desestimación del recurso, al entender que la consignación no es más que una medida cautelar dirigida a garantizar la efectividad del derecho fundamental a la ejecución de sentencias y que el art. 230 LJS en ningún caso prevé que el empresario que opte por la indemnización esté exceptuado de la obligación de consignar los salarios de trámite.</w:t>
      </w:r>
    </w:p>
    <w:p w:rsidR="00A90898" w:rsidRDefault="00A90898" w:rsidP="00A90898">
      <w:pPr>
        <w:pStyle w:val="TextoNormal"/>
      </w:pPr>
    </w:p>
    <w:p w:rsidR="00A90898" w:rsidRDefault="00A90898" w:rsidP="00A90898">
      <w:pPr>
        <w:pStyle w:val="TextoNormal"/>
      </w:pPr>
      <w:r w:rsidRPr="00A90898">
        <w:rPr>
          <w:rStyle w:val="NumeroAFNegritaCaracter"/>
        </w:rPr>
        <w:t>2</w:t>
      </w:r>
      <w:r>
        <w:t>. Delimitado el objeto de nuestro enjuiciamiento, parece conveniente, antes de proceder al análisis del concreto supuesto planteado, recordar los aspectos fundamentales de nuestra doctrina en relación con el derecho a la tutela judicial efectiva en su vertiente de derecho de acceso a los recursos legalmente establecidos, que es la que se plantea en la demanda de amparo.</w:t>
      </w:r>
    </w:p>
    <w:p w:rsidR="00A90898" w:rsidRDefault="00A90898" w:rsidP="00A90898">
      <w:pPr>
        <w:pStyle w:val="TextoNormal"/>
      </w:pPr>
    </w:p>
    <w:p w:rsidR="00A90898" w:rsidRDefault="00A90898" w:rsidP="00A90898">
      <w:pPr>
        <w:pStyle w:val="TextoNormal"/>
      </w:pPr>
      <w:r>
        <w:t xml:space="preserve">En relación con esta faceta del derecho, según consolidada jurisprudencia de este Tribunal, es necesario tener en cuenta que “si bien el acceso a la jurisdicción es un elemento esencial del contenido del derecho a la tutela judicial efectiva que consagra el art. 24.1 CE, el sistema de recursos frente a las diferentes resoluciones judiciales ha de incorporarse a este derecho fundamental en la concreta configuración que reciba en cada una de las leyes de enjuiciamiento que regulan los distintos órdenes jurisdiccionales, con la excepción del orden jurisdiccional penal por razón del derecho del condenado al doble grado de jurisdicción. Por tanto, la decisión sobre la admisión o no del recurso, es decir, la verificación de la concurrencia de los requisitos materiales y procesales exigidos a tal fin, constituye una cuestión de mera legalidad ordinaria que corresponde exclusivamente a los Jueces y Tribunales </w:t>
      </w:r>
      <w:r w:rsidRPr="00A90898">
        <w:rPr>
          <w:i/>
        </w:rPr>
        <w:t>ex</w:t>
      </w:r>
      <w:r>
        <w:t xml:space="preserve"> art. 117.3 CE, sin que este Tribunal pueda intervenir salvo que la interpretación de la norma a que se llegue sea arbitraria, irrazonable o manifiestamente infundada o bien producto de un error patente” (STC 226/2002, de 9 de diciembre, FJ 3; o entre otras, SSTC 252/2004, de 20 de diciembre, FJ 3, y 92/2008, de 21 de julio, FJ 2).</w:t>
      </w:r>
    </w:p>
    <w:p w:rsidR="00A90898" w:rsidRDefault="00A90898" w:rsidP="00A90898">
      <w:pPr>
        <w:pStyle w:val="TextoNormal"/>
      </w:pPr>
    </w:p>
    <w:p w:rsidR="00A90898" w:rsidRDefault="00A90898" w:rsidP="00A90898">
      <w:pPr>
        <w:pStyle w:val="TextoNormal"/>
      </w:pPr>
      <w:r>
        <w:t xml:space="preserve">Este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w:t>
      </w:r>
      <w:r w:rsidRPr="00A90898">
        <w:rPr>
          <w:i/>
        </w:rPr>
        <w:t>ex</w:t>
      </w:r>
      <w:r>
        <w:t xml:space="preserve">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(STC 253/2007, de 17 de diciembre, FJ 3)” (STC 33/2008, 25 de febrero, FJ 2).</w:t>
      </w:r>
    </w:p>
    <w:p w:rsidR="00A90898" w:rsidRDefault="00A90898" w:rsidP="00A90898">
      <w:pPr>
        <w:pStyle w:val="TextoNormal"/>
      </w:pPr>
    </w:p>
    <w:p w:rsidR="00A90898" w:rsidRDefault="00A90898" w:rsidP="00A90898">
      <w:pPr>
        <w:pStyle w:val="TextoNormal"/>
      </w:pPr>
      <w:r>
        <w:t>De acuerdo con esta doctrina, en el presente recurso de amparo debemos examinar si, al haber optado las empresas recurrentes en suplicación por la indemnización del trabajador, el exigir la consignación de los salarios de tramitación para poder recurrir, tiene una finalidad cautelar para la efectividad del derecho fundamental a la ejecución de la Sentencia o, por el contrario, resulta una exigencia irrazonable, arbitraria o que incurre en un error patente.</w:t>
      </w:r>
    </w:p>
    <w:p w:rsidR="00A90898" w:rsidRDefault="00A90898" w:rsidP="00A90898">
      <w:pPr>
        <w:pStyle w:val="TextoNormal"/>
      </w:pPr>
    </w:p>
    <w:p w:rsidR="00A90898" w:rsidRDefault="00A90898" w:rsidP="00A90898">
      <w:pPr>
        <w:pStyle w:val="TextoNormal"/>
      </w:pPr>
      <w:r w:rsidRPr="00A90898">
        <w:rPr>
          <w:rStyle w:val="NumeroAFNegritaCaracter"/>
        </w:rPr>
        <w:t>3</w:t>
      </w:r>
      <w:r>
        <w:t>. Como ya hemos señalado, las empresas recurrentes alegan que tras la reforma operada por el Real Decreto-ley 3/2012 y la Ley 3/2012, el texto del art. 56 LET suprime los salarios de tramitación cuando la opción que se ejercita es la de la extinción y consiguiente indemnización; por lo tanto, atendiendo al espíritu y finalidad de la norma, en los supuestos en que se opta tras la declaración de improcedencia del despido por la extinción de la relación laboral, nunca se van a generar salarios de tramitación.</w:t>
      </w:r>
    </w:p>
    <w:p w:rsidR="00A90898" w:rsidRDefault="00A90898" w:rsidP="00A90898">
      <w:pPr>
        <w:pStyle w:val="TextoNormal"/>
      </w:pPr>
    </w:p>
    <w:p w:rsidR="00A90898" w:rsidRDefault="00A90898" w:rsidP="00A90898">
      <w:pPr>
        <w:pStyle w:val="TextoNormal"/>
      </w:pPr>
      <w:r>
        <w:lastRenderedPageBreak/>
        <w:t>En efecto, tras la reforma laboral llevada a cabo por las normas citadas, si el despido se declara improcedente y opta por el pago de la indemnización el empresario no deberá abonar salarios de tramitación, mientras que sí deberá abonarlos cuando opte por la readmisión (art. 56.2 LET) o cuando el despido sea declarado nulo (art. 55.6 LET).</w:t>
      </w:r>
    </w:p>
    <w:p w:rsidR="00A90898" w:rsidRDefault="00A90898" w:rsidP="00A90898">
      <w:pPr>
        <w:pStyle w:val="TextoNormal"/>
      </w:pPr>
    </w:p>
    <w:p w:rsidR="00A90898" w:rsidRDefault="00A90898" w:rsidP="00A90898">
      <w:pPr>
        <w:pStyle w:val="TextoNormal"/>
      </w:pPr>
      <w:r>
        <w:t>Como señala el Ministerio Fiscal, cuando el empresario ha optado por la extinción contractual y ha consignado la totalidad de la indemnización, parece claro que nunca se van a originar salarios de tramitación. Por ello, exigir su consignación como medida cautelar para garantizar la ejecución de la sentencia o incidencias futuras carece de sustento; pues la cantidad real objeto de condena ha sido consignada y la que se pretende que la empresa consigne no ha sido impuesta judicialmente, al haberse suprimido legalmente.</w:t>
      </w:r>
    </w:p>
    <w:p w:rsidR="00A90898" w:rsidRDefault="00A90898" w:rsidP="00A90898">
      <w:pPr>
        <w:pStyle w:val="TextoNormal"/>
      </w:pPr>
    </w:p>
    <w:p w:rsidR="00A90898" w:rsidRDefault="00A90898" w:rsidP="00A90898">
      <w:pPr>
        <w:pStyle w:val="TextoNormal"/>
      </w:pPr>
      <w:r>
        <w:t>La Sentencia del Juzgado de lo Social declaró el despido improcedente y condenó solidariamente a las empresas demandadas a optar por indemnizar a la parte demandante con la cantidad de 13.088,58 €, teniéndose por extinguida la relación laboral a la fecha de despido, sin abono de salarios de tramitación. Puede por el contrario optar por la readmisión, con abono de una cantidad igual a los salarios dejados de percibir, a razón de 49,45 € diarios, desde la fecha de despido hasta la notificación de la Sentencia o hasta que el demandante hubiera encontrado otro empleo. Las empresas recurrentes optaron por la indemnización; por lo que, de conformidad con lo dispuesto en el art. 230.1 LJS, consignaron la cantidad objeto de condena: 13.088,58 €.</w:t>
      </w:r>
    </w:p>
    <w:p w:rsidR="00A90898" w:rsidRDefault="00A90898" w:rsidP="00A90898">
      <w:pPr>
        <w:pStyle w:val="TextoNormal"/>
      </w:pPr>
    </w:p>
    <w:p w:rsidR="00A90898" w:rsidRDefault="00A90898" w:rsidP="00A90898">
      <w:pPr>
        <w:pStyle w:val="TextoNormal"/>
      </w:pPr>
      <w:r>
        <w:t>Sobre las cantidades que deben consignarse para poder recurrir en suplicación, cuando el empresario ha optado por la readmisión, se pronunció la STC 90/1983, de 7 de noviembre. Esta resolvió un recurso de amparo en el que lo que se planteaba era la vulneración del art. 24.1 CE por un Auto del Tribunal Central de Trabajo, que había decidido tener por no anunciado el recurso de suplicación por no haber depositado el recurrente la cantidad objeto de la condena, no obstante haber optado por readmitir a la trabajadora despedida. La Sentencia afirma que la exigencia de depósito del importe de la indemnización, en el caso en que el empresario opte por la readmisión, no vulnera el art. 24.1 CE por las siguientes razones (FJ 3):</w:t>
      </w:r>
    </w:p>
    <w:p w:rsidR="00A90898" w:rsidRDefault="00A90898" w:rsidP="00A90898">
      <w:pPr>
        <w:pStyle w:val="TextoNormal"/>
      </w:pPr>
    </w:p>
    <w:p w:rsidR="00A90898" w:rsidRDefault="00A90898" w:rsidP="00A90898">
      <w:pPr>
        <w:pStyle w:val="TextoNormal"/>
      </w:pPr>
      <w:r>
        <w:t xml:space="preserve">“El depósito de la cantidad a que asciende la indemnización que ha de abonar el empresario, cumple la función de ser una medida cautelar para la efectividad del derecho fundamental a la ejecución de la Sentencia y, por ello, debemos examinar si esta exigencia tiene sentido, en atención a la finalidad propuesta, aun en el caso de que el empresario opte por la readmisión, teniendo en cuenta que constituye un obstáculo para el ejercicio del derecho fundamental de acceso a la justicia. La garantía de la ejecución de la Sentencia comprende la de todas las incidencias que puedan producirse en tal ejecución. Cuando el empresario opta por la readmisión, comienza a ejecutar provisionalmente la Sentencia de Magistratura (art. 227 de la Ley de Procedimiento Laboral), y, si lleva a cabo tal ejecución de forma regular, es cierto que —aunque la Sentencia sea confirmada— no deberá abonar la cantidad en que consiste la indemnización. Pero cabe también, y está previsto en la propia Ley (arts. 209 y siguientes) que, aun habiendo optado por la readmisión, no la lleve a efecto o la realice de forma irregular, en cuyo caso el trabajador podrá solicitar la ejecución del fallo que se dicte, lo que dará lugar —de acuerdo con el art. 211 de dicha Ley— a que el Magistrado de Trabajo, previa la correspondiente tramitación, dicte Auto acordando que se abone una indemnización fijada con los mismos criterios establecidos en el art. 56 del Estatuto de los </w:t>
      </w:r>
      <w:r>
        <w:lastRenderedPageBreak/>
        <w:t>Trabajadores, si bien computando a estos efectos como tiempo de servicios el transcurrido hasta la fecha del Auto que resuelva el incidente, además de declarar extinguida la relación laboral y demás efectos previstos en el precepto.”</w:t>
      </w:r>
    </w:p>
    <w:p w:rsidR="00A90898" w:rsidRDefault="00A90898" w:rsidP="00A90898">
      <w:pPr>
        <w:pStyle w:val="TextoNormal"/>
      </w:pPr>
    </w:p>
    <w:p w:rsidR="00A90898" w:rsidRDefault="00A90898" w:rsidP="00A90898">
      <w:pPr>
        <w:pStyle w:val="TextoNormal"/>
      </w:pPr>
      <w:r>
        <w:t>Esta doctrina, aplicable a los casos en los que el empresario opta por la readmisión, ha sido extendida analógicamente por la resolución recurrida al supuesto en el que el empresario opta por el pago de la indemnización.</w:t>
      </w:r>
    </w:p>
    <w:p w:rsidR="00A90898" w:rsidRDefault="00A90898" w:rsidP="00A90898">
      <w:pPr>
        <w:pStyle w:val="TextoNormal"/>
      </w:pPr>
    </w:p>
    <w:p w:rsidR="00A90898" w:rsidRDefault="00A90898" w:rsidP="00A90898">
      <w:pPr>
        <w:pStyle w:val="TextoNormal"/>
      </w:pPr>
      <w:r>
        <w:t>La razón que justifica la necesidad de consignar la indemnización aunque el empresario opte por la readmisión radica, como señala la STC 90/1983, en que cabe que, aun habiendo optado por la readmisión, ésta no se lleve a cabo o se realice de forma irregular; en tal caso la Ley prevé el abono de la correspondiente indemnización. Siendo esto así, “resulta claro que el depósito del importe de la indemnización cumple una función cautelar en orden a la ejecución de la Sentencia que dicte el Tribunal Central de Trabajo, aunque posea peculiaridades en relación al supuesto en que el empresario opte por el pago de la indemnización, por lo que ha de sostenerse que el obstáculo al acceso a la tutela judicial que supone su exigencia está justificado en cuanto medida cautelar para asegurar la efectividad de otro derecho fundamental, ambos comprendidos en el derecho a la tutela judicial efectiva, que es el de asegurar la ejecución de la Sentencia” (STC 90/1983, de 7 de noviembre, FJ 3).</w:t>
      </w:r>
    </w:p>
    <w:p w:rsidR="00A90898" w:rsidRDefault="00A90898" w:rsidP="00A90898">
      <w:pPr>
        <w:pStyle w:val="TextoNormal"/>
      </w:pPr>
    </w:p>
    <w:p w:rsidR="00A90898" w:rsidRDefault="00A90898" w:rsidP="00A90898">
      <w:pPr>
        <w:pStyle w:val="TextoNormal"/>
      </w:pPr>
      <w:r>
        <w:t>Ahora bien, cuando el empresario opta por el pago de la indemnización, exigir la consignación de salarios de tramitación para recurrir en suplicación no constituye una medida cautelar para garantizar la ejecución de la Sentencia.</w:t>
      </w:r>
    </w:p>
    <w:p w:rsidR="00A90898" w:rsidRDefault="00A90898" w:rsidP="00A90898">
      <w:pPr>
        <w:pStyle w:val="TextoNormal"/>
      </w:pPr>
    </w:p>
    <w:p w:rsidR="00A90898" w:rsidRDefault="00A90898" w:rsidP="00A90898">
      <w:pPr>
        <w:pStyle w:val="TextoNormal"/>
      </w:pPr>
      <w:r>
        <w:t>La exigencia de consignación de los salarios de tramitación podría tener una finalidad cautelar si el empresario pudiera modificar su opción una vez recaída la sentencia que resuelve el recurso de suplicación; o si esta sentencia, que —recordemos— resuelve el recurso interpuesto por el empresario contra la declaración de improcedencia del despido, pudiera declarar el despido nulo.</w:t>
      </w:r>
    </w:p>
    <w:p w:rsidR="00A90898" w:rsidRDefault="00A90898" w:rsidP="00A90898">
      <w:pPr>
        <w:pStyle w:val="TextoNormal"/>
      </w:pPr>
    </w:p>
    <w:p w:rsidR="00A90898" w:rsidRDefault="00A90898" w:rsidP="00A90898">
      <w:pPr>
        <w:pStyle w:val="TextoNormal"/>
      </w:pPr>
      <w:r>
        <w:t>Por lo que se refiere a la primera posibilidad —la modificación del sentido de su opción— hay que estar a lo dispuesto en el art. 111 LJS que regula los efectos que la interposición de recurso contra la sentencia que ha declarado el despido improcedente produce y su trascendencia mientras dura el recurso. Además, establece las consecuencias que una modificación del fallo de instancia puede producir sobre el sentido de la opción ejercitada. Su redacción es la siguiente:</w:t>
      </w:r>
    </w:p>
    <w:p w:rsidR="00A90898" w:rsidRDefault="00A90898" w:rsidP="00A90898">
      <w:pPr>
        <w:pStyle w:val="TextoNormal"/>
      </w:pPr>
    </w:p>
    <w:p w:rsidR="00A90898" w:rsidRDefault="00A90898" w:rsidP="00A90898">
      <w:pPr>
        <w:pStyle w:val="TextoNormal"/>
      </w:pPr>
      <w:r>
        <w:t>“Artículo 111. Efectos del recurso contra la sentencia de declaración de improcedencia del despido.</w:t>
      </w:r>
    </w:p>
    <w:p w:rsidR="00A90898" w:rsidRDefault="00A90898" w:rsidP="00A90898">
      <w:pPr>
        <w:pStyle w:val="TextoNormal"/>
      </w:pPr>
    </w:p>
    <w:p w:rsidR="00A90898" w:rsidRDefault="00A90898" w:rsidP="00A90898">
      <w:pPr>
        <w:pStyle w:val="TextoNormal"/>
      </w:pPr>
      <w:r>
        <w:t>1. Si la sentencia que declarase la improcedencia del despido fuese recurrida, la opción ejercitada por el empresario tendrá los siguientes efectos:</w:t>
      </w:r>
    </w:p>
    <w:p w:rsidR="00A90898" w:rsidRDefault="00A90898" w:rsidP="00A90898">
      <w:pPr>
        <w:pStyle w:val="TextoNormal"/>
      </w:pPr>
    </w:p>
    <w:p w:rsidR="00A90898" w:rsidRDefault="00A90898" w:rsidP="00A90898">
      <w:pPr>
        <w:pStyle w:val="TextoNormal"/>
      </w:pPr>
      <w:r>
        <w:t>a) Si se hubiere optado por la readmisión, cualquiera que fuera el recurrente, ésta se llevará a efecto de forma provisional en los términos establecidos por el artículo 297.</w:t>
      </w:r>
    </w:p>
    <w:p w:rsidR="00A90898" w:rsidRDefault="00A90898" w:rsidP="00A90898">
      <w:pPr>
        <w:pStyle w:val="TextoNormal"/>
      </w:pPr>
    </w:p>
    <w:p w:rsidR="00A90898" w:rsidRDefault="00A90898" w:rsidP="00A90898">
      <w:pPr>
        <w:pStyle w:val="TextoNormal"/>
      </w:pPr>
      <w:r>
        <w:t xml:space="preserve">b) Cuando la opción del empresario hubiera sido por la indemnización, tanto en el supuesto de que el recurso fuere interpuesto por éste como por el trabajador, no procederá la </w:t>
      </w:r>
      <w:r>
        <w:lastRenderedPageBreak/>
        <w:t>readmisión mientras penda el recurso, si bien durante la tramitación del recurso el trabajador se considerará en situación legal de desempleo involuntario según lo dispuesto en el apartado 3 del artículo 208 del Texto Refundido de la Ley General de la Seguridad Social, aprobado por el Real Decreto Legislativo 1/1994, de 20 de junio.</w:t>
      </w:r>
    </w:p>
    <w:p w:rsidR="00A90898" w:rsidRDefault="00A90898" w:rsidP="00A90898">
      <w:pPr>
        <w:pStyle w:val="TextoNormal"/>
      </w:pPr>
    </w:p>
    <w:p w:rsidR="00A90898" w:rsidRDefault="00A90898" w:rsidP="00A90898">
      <w:pPr>
        <w:pStyle w:val="TextoNormal"/>
      </w:pPr>
      <w:r>
        <w:t>Si la sentencia que resuelva el recurso que hubiera interpuesto el trabajador elevase la cuantía de la indemnización, el empresario, dentro de los cinco días siguientes al de su notificación, podrá cambiar el sentido de su opción y, en tal supuesto, la readmisión retrotraerá sus efectos económicos a la fecha en que tuvo lugar la primera elección, deduciéndose de las cantidades que por tal concepto se abonen las que, en su caso, hubiera percibido el trabajador en concepto de prestación por desempleo. La citada cantidad, así como la correspondiente a la aportación empresarial a la Seguridad Social por dicho trabajador, habrá de ser ingresada por el empresario en la Entidad gestora.</w:t>
      </w:r>
    </w:p>
    <w:p w:rsidR="00A90898" w:rsidRDefault="00A90898" w:rsidP="00A90898">
      <w:pPr>
        <w:pStyle w:val="TextoNormal"/>
      </w:pPr>
    </w:p>
    <w:p w:rsidR="00A90898" w:rsidRDefault="00A90898" w:rsidP="00A90898">
      <w:pPr>
        <w:pStyle w:val="TextoNormal"/>
      </w:pPr>
      <w:r>
        <w:t>A efectos del reconocimiento de un futuro derecho a la protección por desempleo, el período al que se refiere el párrafo anterior se considerará de ocupación cotizada.</w:t>
      </w:r>
    </w:p>
    <w:p w:rsidR="00A90898" w:rsidRDefault="00A90898" w:rsidP="00A90898">
      <w:pPr>
        <w:pStyle w:val="TextoNormal"/>
      </w:pPr>
    </w:p>
    <w:p w:rsidR="00A90898" w:rsidRDefault="00A90898" w:rsidP="00A90898">
      <w:pPr>
        <w:pStyle w:val="TextoNormal"/>
      </w:pPr>
      <w:r>
        <w:t>2. Cualquiera que sea el sentido de la opción ejercitada, ésta se tendrá por no hecha si el tribunal superior, al resolver el recurso, declarase nulo el despido. Cuando se confirme la sentencia recurrida, el sentido de la opción no podrá ser alterado.”</w:t>
      </w:r>
    </w:p>
    <w:p w:rsidR="00A90898" w:rsidRDefault="00A90898" w:rsidP="00A90898">
      <w:pPr>
        <w:pStyle w:val="TextoNormal"/>
      </w:pPr>
    </w:p>
    <w:p w:rsidR="00A90898" w:rsidRDefault="00A90898" w:rsidP="00A90898">
      <w:pPr>
        <w:pStyle w:val="TextoNormal"/>
      </w:pPr>
      <w:r>
        <w:t>Como se deriva del precepto transcrito, cuando el empresario ha interpuesto el recurso no puede modificar el sentido de su opción. El párrafo segundo del apartado b) del art. 111 LJS, que prevé la posibilidad de que el empresario modifique el sentido de su opción, se refiere al supuesto de que el recurso haya sido interpuesto por el trabajador; en ese caso la sentencia puede elevar la cuantía de la indemnización de conformidad con lo solicitado.</w:t>
      </w:r>
    </w:p>
    <w:p w:rsidR="00A90898" w:rsidRDefault="00A90898" w:rsidP="00A90898">
      <w:pPr>
        <w:pStyle w:val="TextoNormal"/>
      </w:pPr>
    </w:p>
    <w:p w:rsidR="00A90898" w:rsidRDefault="00A90898" w:rsidP="00A90898">
      <w:pPr>
        <w:pStyle w:val="TextoNormal"/>
      </w:pPr>
      <w:r>
        <w:t xml:space="preserve">Por lo que se refiere a la segunda posibilidad —la declaración de nulidad del despido— hay que tener en cuenta que la pretensión del demandante en este proceso fue la declaración de improcedencia; de manera que el empresario recurre en suplicación para solicitar su procedencia. En consecuencia, la nulidad no podría ser apreciada de oficio por el órgano judicial pues, como señala la STC 56/2007, de 12 de marzo, FJ 5,“el Tribunal </w:t>
      </w:r>
      <w:r w:rsidRPr="00A90898">
        <w:rPr>
          <w:i/>
        </w:rPr>
        <w:t>ad quem</w:t>
      </w:r>
      <w:r>
        <w:t xml:space="preserve"> no pueda valorar </w:t>
      </w:r>
      <w:r w:rsidRPr="00A90898">
        <w:rPr>
          <w:i/>
        </w:rPr>
        <w:t>ex novo</w:t>
      </w:r>
      <w:r>
        <w:t xml:space="preserve"> toda la prueba practicada ni revisar el Derecho aplicable, sino que debe limitarse a las concretas cuestiones planteadas por las partes, pues de otro modo sufriría la confianza legítima generada por los términos en que fue conformada la realidad jurídica en el proceso, que no puede desconocerse por los órganos judiciales”. La parte recurrente, en virtud de su propio recurso, no puede ver empeorada o agravada la situación jurídica creada o declarada en la resolución impugnada (SSTC 9/1998, de 13 de enero, FJ 2, y 232/2001, de 10 de diciembre, FJ 5).</w:t>
      </w:r>
    </w:p>
    <w:p w:rsidR="00A90898" w:rsidRDefault="00A90898" w:rsidP="00A90898">
      <w:pPr>
        <w:pStyle w:val="TextoNormal"/>
      </w:pPr>
    </w:p>
    <w:p w:rsidR="00A90898" w:rsidRDefault="00A90898" w:rsidP="00A90898">
      <w:pPr>
        <w:pStyle w:val="TextoNormal"/>
      </w:pPr>
      <w:r>
        <w:t xml:space="preserve">Por lo tanto, cuando el despido ha sido declarado improcedente con opción empresarial por la indemnización, con la consignación de dicha indemnización queda garantizada la ejecución de la sentencia, sin que haya razón alguna que justifique la necesidad de consignar también los salarios de tramitación. No haberlo entendido así ha conducido a una interpretación manifiestamente irrazonable de las normas sobre admisión del recurso de suplicación, incompatible con el derecho fundamental a la tutela judicial efectiva, en su vertiente de derecho de acceso a los recursos legalmente establecidos; lo que conlleva el otorgamiento </w:t>
      </w:r>
      <w:r>
        <w:lastRenderedPageBreak/>
        <w:t>del amparo solicitado, con la consiguiente nulidad de las resoluciones impugnadas para que se dicte una nueva que resulte respetuosa con el derecho fundamental vulnerado.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Gestinova 99, S.L., y Gestinova 99 Asesor, S.L., y, en consecuencia:</w:t>
      </w:r>
    </w:p>
    <w:p w:rsidR="00A90898" w:rsidRDefault="00A90898" w:rsidP="00A90898">
      <w:pPr>
        <w:pStyle w:val="TextoNormal"/>
      </w:pPr>
    </w:p>
    <w:p w:rsidR="00A90898" w:rsidRDefault="00A90898" w:rsidP="00A90898">
      <w:pPr>
        <w:pStyle w:val="TextoNormal"/>
      </w:pPr>
      <w:r>
        <w:t>1° Reconocer el derecho de la entidades demandantes de amparo a la tutela judicial efectiva (art. 24.1 CE).</w:t>
      </w:r>
    </w:p>
    <w:p w:rsidR="00A90898" w:rsidRDefault="00A90898" w:rsidP="00A90898">
      <w:pPr>
        <w:pStyle w:val="TextoNormal"/>
      </w:pPr>
    </w:p>
    <w:p w:rsidR="00A90898" w:rsidRDefault="00A90898" w:rsidP="00A90898">
      <w:pPr>
        <w:pStyle w:val="TextoNormal"/>
      </w:pPr>
      <w:r>
        <w:t>2º Restablecerlas en el citado derecho y, a tal fin, declarar la nulidad del Auto de la Sala de lo Social del Tribunal Superior de Justicia de Canarias de 23 de noviembre de 2015.</w:t>
      </w:r>
    </w:p>
    <w:p w:rsidR="00A90898" w:rsidRDefault="00A90898" w:rsidP="00A90898">
      <w:pPr>
        <w:pStyle w:val="TextoNormal"/>
      </w:pPr>
    </w:p>
    <w:p w:rsidR="00A90898" w:rsidRDefault="00A90898" w:rsidP="00A90898">
      <w:pPr>
        <w:pStyle w:val="TextoNormal"/>
      </w:pPr>
      <w:r>
        <w:t>3º Retrotraer las actuaciones al momento anterior a aquel en el que tuvo lugar la lesión señalada, para que se dicte nueva resolución judicial con respeto al derecho fundamental reconocido.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diecisiete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6" w:name="SENTENCIA_2016_177"/>
      <w:r>
        <w:lastRenderedPageBreak/>
        <w:t>SENTENCIA 177/2016, de 20 de octubre de 2016</w:t>
      </w:r>
    </w:p>
    <w:bookmarkEnd w:id="56"/>
    <w:p w:rsidR="00A90898" w:rsidRDefault="00A90898" w:rsidP="00A90898">
      <w:pPr>
        <w:pStyle w:val="TtuloResolucin"/>
      </w:pPr>
      <w:r>
        <w:t>Pleno</w:t>
      </w:r>
    </w:p>
    <w:p w:rsidR="00A90898" w:rsidRDefault="00A90898" w:rsidP="00A90898">
      <w:pPr>
        <w:pStyle w:val="TtuloBOE"/>
      </w:pPr>
      <w:r>
        <w:t>(BOE núm. 285, de 25 de noviembre de 2016)</w:t>
      </w:r>
    </w:p>
    <w:p w:rsidR="00A90898" w:rsidRDefault="00A90898" w:rsidP="00A90898">
      <w:pPr>
        <w:pStyle w:val="TextoNormalCentrado"/>
      </w:pPr>
      <w:r>
        <w:t>ECLI:ES:TC:2016:177</w:t>
      </w:r>
    </w:p>
    <w:p w:rsidR="00A90898" w:rsidRDefault="00A90898" w:rsidP="00A90898">
      <w:pPr>
        <w:pStyle w:val="TextoNormalCentrado"/>
      </w:pPr>
    </w:p>
    <w:p w:rsidR="00A90898" w:rsidRDefault="00A90898" w:rsidP="00A90898">
      <w:pPr>
        <w:pStyle w:val="SntesisDescriptiva"/>
      </w:pPr>
      <w:r>
        <w:t>Recurso de inconstitucionalidad 7722-2010. Interpuesto por cincuenta Senadores del Grupo Parlamentario Popular respecto del artículo 1 de la Ley del Parlamento de Cataluña 28/2010, de 3 de agosto, de modificación del artículo 6 del texto refundido de la Ley de protección de los animales, aprobado por el Decreto Legislativo 2/2008, de 15 de abril.</w:t>
      </w:r>
    </w:p>
    <w:p w:rsidR="00A90898" w:rsidRDefault="00A90898" w:rsidP="00A90898">
      <w:pPr>
        <w:pStyle w:val="SntesisDescriptiva"/>
      </w:pPr>
    </w:p>
    <w:p w:rsidR="00A90898" w:rsidRDefault="00A90898" w:rsidP="00A90898">
      <w:pPr>
        <w:pStyle w:val="SntesisAnaltica"/>
      </w:pPr>
      <w:r>
        <w:t>Competencias sobre patrimonio histórico y cultura: nulidad del precepto legal autonómico que prohíbe la celebración en Cataluña de corridas de toros y espectáculos taurinos que incluyan la muerte del animal y la aplicación de determinadas suertes de lidia. Votos particulares.</w:t>
      </w:r>
    </w:p>
    <w:p w:rsidR="00A90898" w:rsidRDefault="00A90898" w:rsidP="00A90898">
      <w:pPr>
        <w:pStyle w:val="SntesisAnaltica"/>
      </w:pPr>
    </w:p>
    <w:p w:rsidR="00A90898" w:rsidRDefault="00A90898" w:rsidP="00A90898">
      <w:pPr>
        <w:pStyle w:val="Extracto"/>
      </w:pPr>
      <w:r>
        <w:t>1.</w:t>
      </w:r>
      <w:r>
        <w:tab/>
        <w:t>Desde la lógica de la concurrencia competencial en materia de cultura, las concepciones que los diversos poderes públicos responsables de cumplir el mandato del art. 46 CE puedan tener de lo que se entienda como expresión cultural susceptible de protección, pueden ser comunes, heterogéneas u opuestas; ahora bien, dichas diferencias han de manifestarse conforme al orden constitucional de distribución de competencias en el que las decisiones autonómicas encuentran su fundamento, de manera que no pueden llegar al extremo de impedir, perturbar o menoscabar el ejercicio legítimo de las competencias del Estado en materia de cultura al amparo del art. 149.2 CE [FJ 7].</w:t>
      </w:r>
    </w:p>
    <w:p w:rsidR="00A90898" w:rsidRDefault="00A90898" w:rsidP="00A90898">
      <w:pPr>
        <w:pStyle w:val="Extracto"/>
      </w:pPr>
    </w:p>
    <w:p w:rsidR="00A90898" w:rsidRDefault="00A90898" w:rsidP="00A90898">
      <w:pPr>
        <w:pStyle w:val="Extracto"/>
      </w:pPr>
      <w:r>
        <w:t>2.</w:t>
      </w:r>
      <w:r>
        <w:tab/>
        <w:t>La consideración de la tauromaquia y, por tanto, de las corridas de toros, como patrimonio cultural inmaterial español que operan las leyes estatales aprobadas podría discutirse desde el punto de vista de la opción tomada por el legislador pero, en la perspectiva que le es propia al Tribunal Constitucional, no puede considerarse un ejercicio excesivo de las competencias que corresponden al Estado en materia de cultura (art. 149.2 CE), sin que tampoco tales decisiones hayan sido discutidas ante el Tribunal [FJ 7].</w:t>
      </w:r>
    </w:p>
    <w:p w:rsidR="00A90898" w:rsidRDefault="00A90898" w:rsidP="00A90898">
      <w:pPr>
        <w:pStyle w:val="Extracto"/>
      </w:pPr>
    </w:p>
    <w:p w:rsidR="00A90898" w:rsidRDefault="00A90898" w:rsidP="00A90898">
      <w:pPr>
        <w:pStyle w:val="Extracto"/>
      </w:pPr>
      <w:r>
        <w:t>3.</w:t>
      </w:r>
      <w:r>
        <w:tab/>
        <w:t>El contenido competencial de la materia de espectáculos alude a la policía de espectáculos o, en definitiva, a la reglamentación administrativa sobre los requisitos y condiciones que deben cumplir los espectáculos públicos para garantizar su libre desarrollo, así como la seguridad tanto de los ejecutantes como del público asistente [FJ 4].</w:t>
      </w:r>
    </w:p>
    <w:p w:rsidR="00A90898" w:rsidRDefault="00A90898" w:rsidP="00A90898">
      <w:pPr>
        <w:pStyle w:val="Extracto"/>
      </w:pPr>
    </w:p>
    <w:p w:rsidR="00A90898" w:rsidRDefault="00A90898" w:rsidP="00A90898">
      <w:pPr>
        <w:pStyle w:val="Extracto"/>
      </w:pPr>
      <w:r>
        <w:t>4.</w:t>
      </w:r>
      <w:r>
        <w:tab/>
        <w:t>La policía de espectáculos se caracteriza por el hecho de que sus medidas o disposiciones permitan el desarrollo ordenador del acontecimiento, según la naturaleza del espectáculo de que se trate, sin necesidad de recurrir a medidas extraordinarias, pues cuando aquéllas puedan resultar insuficientes para garantizarlo será necesario arbitrar medidas de estricta seguridad pública (STC 54/2008) [FJ 4].</w:t>
      </w:r>
    </w:p>
    <w:p w:rsidR="00A90898" w:rsidRDefault="00A90898" w:rsidP="00A90898">
      <w:pPr>
        <w:pStyle w:val="Extracto"/>
      </w:pPr>
    </w:p>
    <w:p w:rsidR="00A90898" w:rsidRDefault="00A90898" w:rsidP="00A90898">
      <w:pPr>
        <w:pStyle w:val="Extracto"/>
      </w:pPr>
      <w:r>
        <w:t>5.</w:t>
      </w:r>
      <w:r>
        <w:tab/>
        <w:t>Las competencias autonómicas asumidas con carácter exclusivo no eximen del análisis de las competencias estatales, pues tal exclusividad no impide el ejercicio de las del Estado [FJ 4].</w:t>
      </w:r>
    </w:p>
    <w:p w:rsidR="00A90898" w:rsidRDefault="00A90898" w:rsidP="00A90898">
      <w:pPr>
        <w:pStyle w:val="Extracto"/>
      </w:pPr>
    </w:p>
    <w:p w:rsidR="00A90898" w:rsidRDefault="00A90898" w:rsidP="00A90898">
      <w:pPr>
        <w:pStyle w:val="Extracto"/>
      </w:pPr>
      <w:r>
        <w:t>6.</w:t>
      </w:r>
      <w:r>
        <w:tab/>
        <w:t>Hay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 (STC 122/2014) [FJ 5].</w:t>
      </w:r>
    </w:p>
    <w:p w:rsidR="00A90898" w:rsidRDefault="00A90898" w:rsidP="00A90898">
      <w:pPr>
        <w:pStyle w:val="Extracto"/>
      </w:pPr>
    </w:p>
    <w:p w:rsidR="00A90898" w:rsidRDefault="00A90898" w:rsidP="00A90898">
      <w:pPr>
        <w:pStyle w:val="Extracto"/>
      </w:pPr>
      <w:r>
        <w:t>7.</w:t>
      </w:r>
      <w:r>
        <w:tab/>
        <w:t>Por lo que se refiere al Estado, la doctrina constitucional ha identificado un área de preferente atención declarando, concretamente, que corresponde al Estado la preservación del patrimonio cultural común, así como lo que precise de tratamientos generales o que no puedan lograrse desde otras instancias (STC 17/1991) [FJ 5].</w:t>
      </w:r>
    </w:p>
    <w:p w:rsidR="00A90898" w:rsidRDefault="00A90898" w:rsidP="00A90898">
      <w:pPr>
        <w:pStyle w:val="Extracto"/>
      </w:pPr>
    </w:p>
    <w:p w:rsidR="00A90898" w:rsidRDefault="00A90898" w:rsidP="00A90898">
      <w:pPr>
        <w:pStyle w:val="Extracto"/>
      </w:pPr>
      <w:r>
        <w:t>8.</w:t>
      </w:r>
      <w:r>
        <w:tab/>
        <w:t>El Estado y las Comunidades Autónomas pueden ejercer competencias sobre cultura con independencia el uno de las otras, aunque de modo concurrente en la persecución de unos mismos objetivos genéricos o, al menos, de objetivos culturales compatibles entre sí [FJ 5].</w:t>
      </w:r>
    </w:p>
    <w:p w:rsidR="00A90898" w:rsidRDefault="00A90898" w:rsidP="00A90898">
      <w:pPr>
        <w:pStyle w:val="Extracto"/>
      </w:pPr>
    </w:p>
    <w:p w:rsidR="00A90898" w:rsidRDefault="00A90898" w:rsidP="00A90898">
      <w:pPr>
        <w:pStyle w:val="Extracto"/>
      </w:pPr>
      <w:r>
        <w:t>9.</w:t>
      </w:r>
      <w:r>
        <w:tab/>
        <w:t>Las corridas de toros son una actividad con múltiples facetas o aspectos que explican la concurrencia de competencias estatales y autonómicas en su regulación, lo que no es sino consecuencia de su complejo carácter como fenómeno histórico, cultural, social, artístico, económico y empresarial, ya que participa de todos estos matices o aspectos [FJ 6].</w:t>
      </w:r>
    </w:p>
    <w:p w:rsidR="00A90898" w:rsidRDefault="00A90898" w:rsidP="00A90898">
      <w:pPr>
        <w:pStyle w:val="Extracto"/>
      </w:pPr>
    </w:p>
    <w:p w:rsidR="00A90898" w:rsidRDefault="00A90898" w:rsidP="00A90898">
      <w:pPr>
        <w:pStyle w:val="Extracto"/>
      </w:pPr>
      <w:r>
        <w:t>10.</w:t>
      </w:r>
      <w:r>
        <w:tab/>
        <w:t xml:space="preserve">Es preciso valorar si existen instrumentos normativos en que se hayan efectivamente materializado las competencias estatales en materia de cultura, específicamente en lo relativo a las corridas de toros; tales normas, de ser posteriores a la impugnada, serían susceptibles de ser consideradas como elementos de referencia que deben tomarse en consideración en este proceso, en línea de semejanza con la doctrina que este Tribunal ha establecido en relación con el denominado </w:t>
      </w:r>
      <w:r w:rsidRPr="00A90898">
        <w:rPr>
          <w:i/>
        </w:rPr>
        <w:t>ius superveniens</w:t>
      </w:r>
      <w:r>
        <w:t xml:space="preserve"> (STC 8/2016) [FJ 6].</w:t>
      </w:r>
    </w:p>
    <w:p w:rsidR="00A90898" w:rsidRDefault="00A90898" w:rsidP="00A90898">
      <w:pPr>
        <w:pStyle w:val="Extracto"/>
      </w:pPr>
    </w:p>
    <w:p w:rsidR="00A90898" w:rsidRDefault="00A90898" w:rsidP="00A90898">
      <w:pPr>
        <w:pStyle w:val="Extracto"/>
      </w:pPr>
      <w:r>
        <w:t>11.</w:t>
      </w:r>
      <w:r>
        <w:tab/>
        <w:t>Las leyes aprobadas por el Estado en ejercicio de sus competencias, si bien no constituyen parámetro directo de constitucionalidad, pues el canon viene constituido, exclusivamente, por las reglas de distribución competencia contenida en los mencionados preceptos constitucionales y los estatutarios que con ellos se relacionen, deben ser consideradas como un elemento añadido de análisis (STC 122/2014) [FJ 6].</w:t>
      </w:r>
    </w:p>
    <w:p w:rsidR="00A90898" w:rsidRDefault="00A90898" w:rsidP="00A90898">
      <w:pPr>
        <w:pStyle w:val="Extracto"/>
      </w:pPr>
    </w:p>
    <w:p w:rsidR="00A90898" w:rsidRDefault="00A90898" w:rsidP="00A90898">
      <w:pPr>
        <w:pStyle w:val="Extracto"/>
      </w:pPr>
      <w:r>
        <w:t>12.</w:t>
      </w:r>
      <w:r>
        <w:tab/>
        <w:t>Se comparta o no, no cabe desconocer la conexión existente entre las corridas de toros y el patrimonio cultural español, lo que, a estos efectos, legitima la intervención normativa estatal; la cultura es competencia propia e institucional, tanto del Estado como de las Comunidades Autónomas y a esa razón obedece el art. 149.2 CE en el que después de reconocer la competencia autonómica se afirma una competencia estatal, poniendo el acento en el servicio de la cultura como deber y atribución esencial (SSTC 49/1984, 106/1987 y 17/1991) [FJ 7].</w:t>
      </w:r>
    </w:p>
    <w:p w:rsidR="00A90898" w:rsidRDefault="00A90898" w:rsidP="00A90898">
      <w:pPr>
        <w:pStyle w:val="Extracto"/>
      </w:pPr>
    </w:p>
    <w:p w:rsidR="00A90898" w:rsidRDefault="00A90898" w:rsidP="00A90898">
      <w:pPr>
        <w:pStyle w:val="Extracto"/>
      </w:pPr>
      <w:r>
        <w:lastRenderedPageBreak/>
        <w:t>13.</w:t>
      </w:r>
      <w:r>
        <w:tab/>
        <w:t>No es razonable entender que el deber que a los poderes públicos incumbe de garantizar la conservación y promover el enriquecimiento del patrimonio cultural, imponga la obligación de mantener de modo incondicional una interpretación que tienda al mantenimiento de todas las manifestaciones inherentes a los espectáculos tradicionales, como pueden ser las corridas de toros, sin tener en cuenta otros intereses y derechos protegidos y otros valores culturales, a veces contrapuestos, que han de ser también adecuadamente ponderados [FJ 7].</w:t>
      </w:r>
    </w:p>
    <w:p w:rsidR="00A90898" w:rsidRDefault="00A90898" w:rsidP="00A90898">
      <w:pPr>
        <w:pStyle w:val="Extracto"/>
      </w:pPr>
    </w:p>
    <w:p w:rsidR="00A90898" w:rsidRDefault="00A90898" w:rsidP="00A90898">
      <w:pPr>
        <w:pStyle w:val="Extracto"/>
      </w:pPr>
      <w:r>
        <w:t>14.</w:t>
      </w:r>
      <w:r>
        <w:tab/>
        <w:t>El respeto y la protección de la diversidad cultural de los pueblos de España que deriva del art. 46 CE, trata de garantizar que aquellas tradiciones implantadas a nivel nacional se vean complementadas y enriquecidas con las tradiciones y culturas propias de las Comunidades Autónomas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7722-2010, interpuesto por cincuenta Senadores del Grupo Parlamentario Popular contra el art. 1 de la Ley del Parlamento de Cataluña 28/2010, de 3 de agosto, de modificación del art. 6 del texto refundido de la Ley de protección de los animales, aprobado por Decreto Legislativo 2/2008, de 15 de abril. Ha intervenido y formulado alegaciones el Letrado del Parlamento de Cataluña.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Constitucional el día 28 de octubre de 2010, cincuenta Senadores del Grupo Parlamentario Popular interponen recurso de inconstitucionalidad contra el art. 1 de la Ley 28/2010, de 3 de agosto, de modificación del art. 6 del texto refundido de la Ley de protección de los animales, aprobado por Decreto Legislativo 2/2008, de 15 de abril, que introduce un nuevo apartado f) cuyo tenor es el siguiente:</w:t>
      </w:r>
    </w:p>
    <w:p w:rsidR="00A90898" w:rsidRDefault="00A90898" w:rsidP="00A90898">
      <w:pPr>
        <w:pStyle w:val="TextoNormal"/>
      </w:pPr>
    </w:p>
    <w:p w:rsidR="00A90898" w:rsidRDefault="00A90898" w:rsidP="00A90898">
      <w:pPr>
        <w:pStyle w:val="TextoNormal"/>
      </w:pPr>
      <w:r>
        <w:t xml:space="preserve">“6.1 Se prohíbe el uso de animales en peleas y en espectáculos u otras actividades si les pueden ocasionar sufrimiento o pueden ser objeto de burlas o tratamientos antinaturales, o </w:t>
      </w:r>
      <w:r>
        <w:lastRenderedPageBreak/>
        <w:t>bien si pueden herir la sensibilidad de las personas que los contemplan, tales como los siguientes:</w:t>
      </w:r>
    </w:p>
    <w:p w:rsidR="00A90898" w:rsidRDefault="00A90898" w:rsidP="00A90898">
      <w:pPr>
        <w:pStyle w:val="TextoNormal"/>
      </w:pPr>
    </w:p>
    <w:p w:rsidR="00A90898" w:rsidRDefault="00A90898" w:rsidP="00A90898">
      <w:pPr>
        <w:pStyle w:val="TextoNormal"/>
      </w:pPr>
      <w:r>
        <w:t>f) Las corridas de toros y los espectáculos con toros que incluyan la muerte del animal y la aplicación de las suertes de la pica, las banderillas y el estoque, así como los espectáculos taurinos de cualquier modalidad que tengan lugar dentro o fuera de las plazas de toros, salvo las fiestas con otros a que se refiere el apartado 2.”</w:t>
      </w:r>
    </w:p>
    <w:p w:rsidR="00A90898" w:rsidRDefault="00A90898" w:rsidP="00A90898">
      <w:pPr>
        <w:pStyle w:val="TextoNormal"/>
      </w:pPr>
    </w:p>
    <w:p w:rsidR="00A90898" w:rsidRDefault="00A90898" w:rsidP="00A90898">
      <w:pPr>
        <w:pStyle w:val="TextoNormal"/>
      </w:pPr>
      <w:r>
        <w:t>El recurso de inconstitucionalidad se fundamenta en la argumentación que seguidamente se expone.</w:t>
      </w:r>
    </w:p>
    <w:p w:rsidR="00A90898" w:rsidRDefault="00A90898" w:rsidP="00A90898">
      <w:pPr>
        <w:pStyle w:val="TextoNormal"/>
      </w:pPr>
    </w:p>
    <w:p w:rsidR="00A90898" w:rsidRDefault="00A90898" w:rsidP="00A90898">
      <w:pPr>
        <w:pStyle w:val="TextoNormal"/>
      </w:pPr>
      <w:r>
        <w:t>Inician su escrito los Senadores recurrentes con una cuestión preliminar en cuanto al fondo del asunto recordando que el precedente de la Ley ahora impugnada fue la Ley 22/2003, de 4 de julio, de protección de los animales, en la que el legislador catalán, atendiendo al carácter complejo de la fiesta, excluye de su ámbito de aplicación “las fiestas de los toros en las localidades donde, a la fecha de entrada en vigor de la Ley 3/1988, de 4 de marzo, de protección de los animales, hubiera plazas construidas para su celebración, a las que debe prohibirse el acceso a las personas menores de 14 años”. Tal excepción se extendía también a los correbous.</w:t>
      </w:r>
    </w:p>
    <w:p w:rsidR="00A90898" w:rsidRDefault="00A90898" w:rsidP="00A90898">
      <w:pPr>
        <w:pStyle w:val="TextoNormal"/>
      </w:pPr>
    </w:p>
    <w:p w:rsidR="00A90898" w:rsidRDefault="00A90898" w:rsidP="00A90898">
      <w:pPr>
        <w:pStyle w:val="TextoNormal"/>
      </w:pPr>
      <w:r>
        <w:t>La fiesta de los toros es una actividad compleja —como fenómeno histórico, cultural, social, económico y empresarial— que puede incardinarse en diversas reglas competenciales, debiendo atender al aspecto predominante (en función de la faceta sobre la que más incida la norma objeto de conflicto) a la hora de determinar la regla aplicable. Se produce un entrecruzamiento de títulos competenciales, como en otras manifestaciones artísticas (cine o teatro) que requiere atender a la finalidad concreta de la norma o al contenido del precepto cuestionado. En este caso, siguen afirmando los recurrentes, nos encontramos ante una norma autonómica que no regula, sino prohíbe de plano una actividad por lo que habrá de atenderse, no a la regla prevalente, sino a si esta prohibición invade una competencia estatal.</w:t>
      </w:r>
    </w:p>
    <w:p w:rsidR="00A90898" w:rsidRDefault="00A90898" w:rsidP="00A90898">
      <w:pPr>
        <w:pStyle w:val="TextoNormal"/>
      </w:pPr>
    </w:p>
    <w:p w:rsidR="00A90898" w:rsidRDefault="00A90898" w:rsidP="00A90898">
      <w:pPr>
        <w:pStyle w:val="TextoNormal"/>
      </w:pPr>
      <w:r>
        <w:t>Todavía en el apartado relativo a la cuestión preliminar sobre el fondo, los recurrentes ponen de manifiesto que no puede obviarse que la fiesta de los toros o espectáculo taurino tiene carácter nacional y forma parte del patrimonio cultural de España. Recuerdan, asimismo, que el protocolo núm. 10 anejo al Tratado constitutivo de la Comunidad Europea sobre protección y bienestar de los animales excluye de su ámbito de aplicación, de igual forma que la Directiva 93/119/CE, las “tradiciones culturales”, lo que salvaguarda con toda claridad, se dice, la fiesta de los toros, sin que quepa, por tanto, invocar el derecho comunitario como base de una reforma que la prohíba.</w:t>
      </w:r>
    </w:p>
    <w:p w:rsidR="00A90898" w:rsidRDefault="00A90898" w:rsidP="00A90898">
      <w:pPr>
        <w:pStyle w:val="TextoNormal"/>
      </w:pPr>
    </w:p>
    <w:p w:rsidR="00A90898" w:rsidRDefault="00A90898" w:rsidP="00A90898">
      <w:pPr>
        <w:pStyle w:val="TextoNormal"/>
      </w:pPr>
      <w:r>
        <w:t>A continuación, los Senadores recurrentes dividen los motivos de inconstitucionalidad de la prohibición de las corridas de toros contenida en la Ley impugnada de siguiente forma: a) por vulneración del art. 149.1.28 y 29 y 149.2 CE; b) por vulneración de los arts. 20, 27, 44, 46 y 149.1.1 CE y c) por vulneración de los arts. 9, 38, 40, 128 y 149.1.3 CE.</w:t>
      </w:r>
    </w:p>
    <w:p w:rsidR="00A90898" w:rsidRDefault="00A90898" w:rsidP="00A90898">
      <w:pPr>
        <w:pStyle w:val="TextoNormal"/>
      </w:pPr>
    </w:p>
    <w:p w:rsidR="00A90898" w:rsidRDefault="00A90898" w:rsidP="00A90898">
      <w:pPr>
        <w:pStyle w:val="TextoNormal"/>
      </w:pPr>
      <w:r>
        <w:t xml:space="preserve">a) Inician este apartado de alegaciones subrayando que la fiesta de los toros se configura como un espectáculo público, categoría que, sin embargo, no se encuentra en las reglas de distribución de competencias entre Estado y Comunidades Autónomas de los arts. 148 y </w:t>
      </w:r>
      <w:r>
        <w:lastRenderedPageBreak/>
        <w:t>149 CE. Así, el art. 149.1.28 CE atribuye al Estado la competencia exclusiva sobre defensa del patrimonio cultural, artístico y monumental español contra la exportación y expoliación, así como sobre museos, bibliotecas y archivos de titularidad estatal, cuya gestión podrá encomendarse a las Comunidades Autónomas. El art. 148.1.17 CE permite a las Comunidades Autónomas asumir competencias en materia de fomento de la cultura y el art. 148.1.15 CE las faculta para asumir la competencia en materia de museos, bibliotecas y conservatorios de música de interés para cada Comunidad Autónoma.</w:t>
      </w:r>
    </w:p>
    <w:p w:rsidR="00A90898" w:rsidRDefault="00A90898" w:rsidP="00A90898">
      <w:pPr>
        <w:pStyle w:val="TextoNormal"/>
      </w:pPr>
    </w:p>
    <w:p w:rsidR="00A90898" w:rsidRDefault="00A90898" w:rsidP="00A90898">
      <w:pPr>
        <w:pStyle w:val="TextoNormal"/>
      </w:pPr>
      <w:r>
        <w:t>Siguiendo este esquema, el Estatuto de Autonomía de Cataluña (en adelante, EAC) de 1979 reconoció a la Comunidad Autónoma la competencia exclusiva en materia de cultura, realizándose mediante Real Decreto 1771/1985 el traspaso de funciones y servicios del Estado en materia de espectáculos públicos taurinos a la Generalitat de Cataluña. El mencionado Real Decreto de transferencias estableció que la fiesta de los toros “se regirá por sus reglamentos específicos de ámbito nacional, sin perjuicio de las facultades de la Generalidad de Cataluña de acuerdo con el presente traspaso”. En definitiva, subraya la Letrada, lo que se transfiere a la Generalitat de Cataluña es única y exclusivamente lo que se conoce policía de espectáculos, correspondiendo al Estado las competencias normativas sobre la fiesta de los toros.</w:t>
      </w:r>
    </w:p>
    <w:p w:rsidR="00A90898" w:rsidRDefault="00A90898" w:rsidP="00A90898">
      <w:pPr>
        <w:pStyle w:val="TextoNormal"/>
      </w:pPr>
    </w:p>
    <w:p w:rsidR="00A90898" w:rsidRDefault="00A90898" w:rsidP="00A90898">
      <w:pPr>
        <w:pStyle w:val="TextoNormal"/>
      </w:pPr>
      <w:r>
        <w:t xml:space="preserve">Los recurrentes citan la STC 148/2000 en la que se delimitaba el ámbito y perímetro de las competencias de la Generalitat en materia de espectáculos: aquellas medidas y disposiciones que permitan el desarrollo ordenado del acontecimiento, encauzándose hacia una protección de personas y bienes a través de una intervención administrativa ordinaria. La potestad de dictar normas reguladoras de los espectáculos taurinos le corresponde en exclusiva al Estado y, en su ejercicio, aprobó la Ley 10/1991, de 4 de abril, que reserva a la Administración del Estado la promulgación de las normas que reglamentan los espectáculos taurinos, en cuanto a orden público y seguridad ciudadana, como competencia exclusiva del Estado, al amparo del art. 149.1. 29 y 149.2 CE. La justificación de esta reserva estatal se encuentra únicamente en el carácter nacional del espectáculo taurino, que exige una regulación uniforme en todo el Estado. Competencia exclusiva para el sometimiento del espectáculo taurino “a reglas técnicas y de arte uniformes que eviten su degradación o impidan que resulte desvirtuada en lo que puedan considerarse sus aspectos esenciales” que viene reconocida por el Tribunal Supremo, Sala de lo Contencioso-Administrativo, en no pocas sentencias. En particular se hace referencia a la Sentencia de 20 de octubre de 1998 en la que el Tribunal Supremo se pronunciaba sobre la Ley catalana 3/1988 (precedente de la actual) que limitaba la fiesta de los toros a las localidades donde existían plazas ya construidas, entendiendo que tal determinación no invade la competencia exclusiva del Estado “por cuanto no regula los aspectos técnicos y artísticos que regulan la praxis de la fiesta”; lo que supondría, </w:t>
      </w:r>
      <w:r w:rsidRPr="00A90898">
        <w:rPr>
          <w:i/>
        </w:rPr>
        <w:t>sensu contrario</w:t>
      </w:r>
      <w:r>
        <w:t>, según afirman los recurrentes, la inconstitucionalidad de la prohibición radical de la fiesta por invadir las competencias estatales de regulación de su esencia o sustancia.</w:t>
      </w:r>
    </w:p>
    <w:p w:rsidR="00A90898" w:rsidRDefault="00A90898" w:rsidP="00A90898">
      <w:pPr>
        <w:pStyle w:val="TextoNormal"/>
      </w:pPr>
    </w:p>
    <w:p w:rsidR="00A90898" w:rsidRDefault="00A90898" w:rsidP="00A90898">
      <w:pPr>
        <w:pStyle w:val="TextoNormal"/>
      </w:pPr>
      <w:r>
        <w:t xml:space="preserve">Lo anterior no se ve alterado por el nuevo Estatuto de Autonomía de Cataluña aprobado por Ley Orgánica 6/2006, de 19 de julio, que se limita a atribuir a la Generalitat de Cataluña la competencia exclusiva en materia de espectáculos y actividades recreativas —que incluye, en todo caso, la ordenación del sector, el régimen de intervención administrativa y el control de todo tipo de espectáculos en espacios y locales públicos (art. 141.3 EAC)—, </w:t>
      </w:r>
      <w:r>
        <w:lastRenderedPageBreak/>
        <w:t>manteniendo por tanto la misma competencia en materia de espectáculos públicos. Sin embargo, el art. 1 de la Ley 28/2010 no regula o reglamenta la fiesta de los toros, sino que directamente la prohíbe de plano, careciendo la Comunidad Autónoma de competencias normativas para ello.</w:t>
      </w:r>
    </w:p>
    <w:p w:rsidR="00A90898" w:rsidRDefault="00A90898" w:rsidP="00A90898">
      <w:pPr>
        <w:pStyle w:val="TextoNormal"/>
      </w:pPr>
    </w:p>
    <w:p w:rsidR="00A90898" w:rsidRDefault="00A90898" w:rsidP="00A90898">
      <w:pPr>
        <w:pStyle w:val="TextoNormal"/>
      </w:pPr>
      <w:r>
        <w:t>b) En este segundo bloque de alegaciones se defiende la inconstitucionalidad del precepto impugnado por vulneración de los arts. 20, 27, 44, 46 y 149.1.1 CE; perspectiva, ésta, que parte de la conceptuación de la fiesta como “un fenómeno histórico, artístico y cultural”. A este respecto los recurrentes citan y traen a colación las consideraciones que, sobre la fiesta de los toros como manifestación artística, han realizado Federico García Lorca, Jacinto Benavente, Ramón María del Valle-Inclán y Tomás Ramón Fernández, entre otros. Todos ellos destacan que la fiesta de los toros es un elemento constitutivo de nuestra realidad social, formando parte de la cultura tradicional y popular.</w:t>
      </w:r>
    </w:p>
    <w:p w:rsidR="00A90898" w:rsidRDefault="00A90898" w:rsidP="00A90898">
      <w:pPr>
        <w:pStyle w:val="TextoNormal"/>
      </w:pPr>
    </w:p>
    <w:p w:rsidR="00A90898" w:rsidRDefault="00A90898" w:rsidP="00A90898">
      <w:pPr>
        <w:pStyle w:val="TextoNormal"/>
      </w:pPr>
      <w:r>
        <w:t>Se añade a continuación que en la exposición de motivos de la Ley 10/1991 se recoge ya la conexión entre los espectáculos taurinos con el fomento de la cultura conforme a lo dispuesto en el art. 149. 2 CE y en atención “a su tradición y vigencia cultural” (art. 4 de la Ley 10/1991); previéndose, desde 1996, en el Real Decreto de creación de las medallas al mérito de las bellas artes, un apartado específico dedicado a la fiesta taurina. En resumen, sostienen los recurrentes, “existe por tanto una aceptación jurídica, y pacífica, del carácter cultural, histórico y tradicional de la Fiesta de los Toros como parte esencial del Patrimonio Histórico, artístico, cultural y etnográfico de España”.</w:t>
      </w:r>
    </w:p>
    <w:p w:rsidR="00A90898" w:rsidRDefault="00A90898" w:rsidP="00A90898">
      <w:pPr>
        <w:pStyle w:val="TextoNormal"/>
      </w:pPr>
    </w:p>
    <w:p w:rsidR="00A90898" w:rsidRDefault="00A90898" w:rsidP="00A90898">
      <w:pPr>
        <w:pStyle w:val="TextoNormal"/>
      </w:pPr>
      <w:r>
        <w:t>Sentado lo anterior, se pone de relieve en el recurso que la actividad cultural de la sociedad se contempla en la Constitución desde diversos prismas: a) como actividad conectada directamente con el ejercicio de derechos fundamentales reconocidos en el art. 20 CE (creación artística, libertad de expresión, etc.) e incluso con los derechos reconocidos en el art. 27 CE; b) como una cuestión competencial, en la que convergen Estado y Comunidades Autónomas; y c) como una actividad de los poderes públicos que deben promover y tutelar el acceso a la cultura (art. 44 CE) así como garantizar la conservación y promover el enriquecimiento del patrimonio cultural de los pueblos de España y los bienes que lo integran (art. 46 CE). Principios y aspectos, todos ellos, que se recogen en la STC 49/1984, de 5 de abril, de la que se destaca, en el recurso, que “la cultura es algo propio e institucional tanto del Estado como de las Comunidades Autónomas” siendo ésta la razón a la que obedece el art. 149.2 CE “en el que después de reconocer la competencia autonómica afirma una competencia estatal, poniendo el acento en el servicio de la cultura como deber y atribución esencial”. Lo que se produce es una concurrencia de competencias, siendo destacada la acción autonómica y ostentando el Estado un área de preferente atención en la preservación del patrimonio cultural común. En la citada Sentencia constitucional se hace hincapié también en que, tratándose la medida cuestionada de una limitación que tiene su justificación constitucional en el art. 20.4 CE, “debe garantizarse un mismo contenido básico a esta vertiente negativa de la libertad que proclama el indicado precepto, contenido que atrae la competencia estatal en el marco del art. 149.1.1 CE”.</w:t>
      </w:r>
    </w:p>
    <w:p w:rsidR="00A90898" w:rsidRDefault="00A90898" w:rsidP="00A90898">
      <w:pPr>
        <w:pStyle w:val="TextoNormal"/>
      </w:pPr>
    </w:p>
    <w:p w:rsidR="00A90898" w:rsidRDefault="00A90898" w:rsidP="00A90898">
      <w:pPr>
        <w:pStyle w:val="TextoNormal"/>
      </w:pPr>
      <w:r>
        <w:t xml:space="preserve">Teniendo en cuenta lo anterior, la prohibición establecida en el art. 1 de la Ley 28/2010 restringe y limita derechos fundamentales reconocidos en el artículo 20, como la libertad de expresión y producción y creación artística, razón por la que, en su caso, dicha competencia </w:t>
      </w:r>
      <w:r>
        <w:lastRenderedPageBreak/>
        <w:t xml:space="preserve">para prohibir la actividad correspondería al Estado, con arreglo al art. 149.1. 1 CE —habiéndose pronunciado en ese mismo sentido el Tribunal Constitucional en su STC 153/1985 en la que, a propósito de una norma catalana que prohibía el acceso a determinados espectáculos por razón de edad, sostuvo que la competencia para establecer esa prohibición correspondía al Estado en aplicación del art. 149.1.1 CE—. De otro lado, la norma catalana también vulneraría la competencia del Estado para “la preservación del patrimonio cultural común” así como para “lo que precise de tratamientos generales o que no puedan lograrse desde otras instancias”, aceptada la evidencia de que la fiesta de los toros forma parte del patrimonio histórico y cultural común de todos los españoles, cuya regulación compete al Estado </w:t>
      </w:r>
      <w:r w:rsidRPr="00A90898">
        <w:rPr>
          <w:i/>
        </w:rPr>
        <w:t>ex</w:t>
      </w:r>
      <w:r>
        <w:t xml:space="preserve"> art. 149.1.28 CE. Además, los arts. 44 y 46 CE exigen una actividad pública para promover, garantizar y promover el enriquecimiento del patrimonio cultural, por lo que la propia fiesta de los toros se convierte en un valor a tutelar, a fomentar y a proteger, lo que no contradice el art. 42.7 del nuevo Estatuto de Autonomía de Cataluña en el que se prescribe, en la misma línea que los preceptos constitucionales citados, que “los poderes públicos deben velar por la convivencia social, cultural y religiosa entre todas las personas en Cataluña y por el respeto a la diversidad de creencias y convicciones éticas y filosóficas de las personas”.</w:t>
      </w:r>
    </w:p>
    <w:p w:rsidR="00A90898" w:rsidRDefault="00A90898" w:rsidP="00A90898">
      <w:pPr>
        <w:pStyle w:val="TextoNormal"/>
      </w:pPr>
    </w:p>
    <w:p w:rsidR="00A90898" w:rsidRDefault="00A90898" w:rsidP="00A90898">
      <w:pPr>
        <w:pStyle w:val="TextoNormal"/>
      </w:pPr>
      <w:r>
        <w:t>Frente a estos valores y derechos no pueden oponerse, señalan los recurrentes, razones de índole protector de los animales, en particular del toro bravo, toda vez que: a) en este conflicto de intereses y conforme al protocolo núm. 10 del Tratado de la Unión Europea, son los valores culturales y la libertad fundamental a la creación artística los que priman; b) sin la fiesta no existiría el animal que la ley catalana trata de proteger (el toro bravo) y c) no se aprecia coherencia y proporcionalidad en el legislador catalán que prohíbe los toros en favor del bienestar animal y, por otro lado, “blinda” los festejos populares co</w:t>
      </w:r>
      <w:r w:rsidRPr="00A90898">
        <w:rPr>
          <w:i/>
        </w:rPr>
        <w:t>n correbo</w:t>
      </w:r>
      <w:r>
        <w:t>us en la Ley 37/2010.</w:t>
      </w:r>
    </w:p>
    <w:p w:rsidR="00A90898" w:rsidRDefault="00A90898" w:rsidP="00A90898">
      <w:pPr>
        <w:pStyle w:val="TextoNormal"/>
      </w:pPr>
    </w:p>
    <w:p w:rsidR="00A90898" w:rsidRDefault="00A90898" w:rsidP="00A90898">
      <w:pPr>
        <w:pStyle w:val="TextoNormal"/>
      </w:pPr>
      <w:r>
        <w:t xml:space="preserve">c) En este último bloque de alegaciones, los recurrentes fundamentan la impugnación del precepto autonómico en los arts. 9, 38, 40, 128 y 149.1.13 CE. Conforme a esos principios rectores y competenciales que conforman la llamada Constitución económica, señala que corresponde al Estado tanto la ordenación general de la economía como la realización de una política nacional, mientras que a las Comunidades Autónomas les corresponde la ejecución de la política económica estatal como el fomento del desarrollo de su propia economía regional. En todo caso, el ejercicio de estas competencias debe respetar el principio de unidad de mercado que se deduce del art. 139.2 CE para evitar resultados disfuncionales en el conjunto de la economía española. A este respecto apuntan los recurrentes la abundante doctrina del Tribunal Constitucional, destacando que “la efectiva unicidad del orden económico nacional requiere la existencia de un mercado único”, unidad que descansa “sobre dos supuestos irreductibles, de libre circulación de bienes y personas por todo el territorio español que ninguna autoridad podrá obstaculizar directa o indirectamente (art. 139.2 CE), y de igualdad de las condiciones básicas de ejercicio de la actividad económica (art. 139.1 y 149.1.1 CE)”. Y la quiebra de dicho principio se producirá cuando a través de una medida autonómica se “generen consecuencias objetivas que impliquen el surgimiento de obstáculos que no guarden relación y que sean desproporcionados respecto del fin constitucionalmente lícito que pretenda la medida adoptada” (STC 64/1990, de 5 de abril, FJ 5). En definitiva, concluyen los recurrentes, se trata de buscar el equilibrio entre los principios de autonomía y de unidad, la compatibilidad entre la unidad económica y la diversidad, para lo </w:t>
      </w:r>
      <w:r>
        <w:lastRenderedPageBreak/>
        <w:t>cual es preciso analizar si la medida autonómica de que se trate se incluye entre sus competencias, si la introducción de un régimen diverso es proporcionada al fin que se persigue y si queda a salvo la igualdad básica de todos los españoles.</w:t>
      </w:r>
    </w:p>
    <w:p w:rsidR="00A90898" w:rsidRDefault="00A90898" w:rsidP="00A90898">
      <w:pPr>
        <w:pStyle w:val="TextoNormal"/>
      </w:pPr>
    </w:p>
    <w:p w:rsidR="00A90898" w:rsidRDefault="00A90898" w:rsidP="00A90898">
      <w:pPr>
        <w:pStyle w:val="TextoNormal"/>
      </w:pPr>
      <w:r>
        <w:t>En el marco económico descrito, sostienen los recurrentes que la prohibición contenida en el art. 1 de la Ley 28/2010 resulta inconstitucional. La fiesta de los toros es también un mercado propio de producción de bienes y servicios en el que confluyen diversos intereses y sujetos de la actividad económica y que se configura como un sector económico nacional de primera magnitud, incidiendo en sectores como el agrícola-ganadero.</w:t>
      </w:r>
    </w:p>
    <w:p w:rsidR="00A90898" w:rsidRDefault="00A90898" w:rsidP="00A90898">
      <w:pPr>
        <w:pStyle w:val="TextoNormal"/>
      </w:pPr>
    </w:p>
    <w:p w:rsidR="00A90898" w:rsidRDefault="00A90898" w:rsidP="00A90898">
      <w:pPr>
        <w:pStyle w:val="TextoNormal"/>
      </w:pPr>
      <w:r>
        <w:t>Establecido lo anterior (que se ilustra con cifras sobre el número anual de festejos, de animales lidiados, de explotaciones ganaderas así como de los ingresos generados y del IVA generado), la norma autonómica que prohíbe la fiesta de los toros en su ámbito territorial invade la competencia estatal del art. 149.1.13 CE por cuanto distorsionaría o interferiría negativamente en el mercado nacional afectando o invadiendo la competencia estatal en materia de planificación y coordinación económica. La incidencia de una medida de esas características en el mercado global, creando disfuncionalidades que afectan a todo el territorio, habría de coordinarse con las políticas de ámbito nacional. En este sentido las competencias autonómicas para la ordenación de sus propios mercados no se extienden hasta el punto de prohibir el ejercicio de una determinada actividad dentro de un ámbito territorial cuando esta actividad forma parte de un sistema económico nacional; medida que, además, coarta la libertad empresarial individual que reconoce el art. 38 CE, estableciendo restricciones que la hacen impracticable, y afecta a la libertad de circulación generando obstáculos que resultan desproporcionados al fin perseguido. Se trae a colación a continuación la STC 84/1993, de 8 de marzo, en la que el Alto Tribunal manifestó que “no cuesta admitir que sería incompatible con la garantía institucional de la libertad de empresa, la genérica y absoluta exclusión de tal libertad empresarial en todo un determinado ámbito de la actividad económica, de no venir tal exclusión por lo dispuesto en el segundo inciso del art. 128.2 CE”.</w:t>
      </w:r>
    </w:p>
    <w:p w:rsidR="00A90898" w:rsidRDefault="00A90898" w:rsidP="00A90898">
      <w:pPr>
        <w:pStyle w:val="TextoNormal"/>
      </w:pPr>
    </w:p>
    <w:p w:rsidR="00A90898" w:rsidRDefault="00A90898" w:rsidP="00A90898">
      <w:pPr>
        <w:pStyle w:val="TextoNormal"/>
      </w:pPr>
      <w:r>
        <w:t>Concluyen sus alegaciones los recurrentes poniendo de relieve, de nuevo, la incoherencia entre la prohibición de las corridas de toros del art. 1 de la Ley 28/2010 y la salvaguardia de los correbous prevista en la Ley 34/2010 del Parlamento catalán en cuya exposición de motivos se consignan las razones por las que se considera que éstos deben ser protegidos y regulados, razones absolutamente extensibles o predicables de las corridas de toros, sin que se alcance a distinguir por qué una actividad debe ser tutelada y otra prohibida. Así, la Ley catalana se refiere a “los espectáculos tradicionales con toros” como elemento central de las celebraciones de Cataluña, datando del siglo XVIII, definiéndolos como “un evento extraordinario propio de las raíces más profundas de Cataluña” y remarcando “el flujo económico que esta tradición comporta, los puestos de trabajo que genera y el patrimonio genético inconmensurable de la cría y selección que los humanos efectuamos de estos animales motivan que este acontecimiento sea único”.</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Mediante providencia de 23 de noviembre de 2010 el Pleno de este Tribunal acordó admitir a trámite el presente recurso de inconstitucionalidad, dando traslado de la demanda y documentos presentados, de conformidad con el art. 34 de la Ley Orgánica del Tribunal Constitucional (LOTC), al Congreso de los Diputados y al Senado, así como a la Generalitat y al Parlamento de Cataluña, por conducto de sus Presidentes, al objeto de que en el plazo </w:t>
      </w:r>
      <w:r>
        <w:lastRenderedPageBreak/>
        <w:t>de quince días pudiesen personarse en el proceso y formular las alegaciones que estimaran convenientes.</w:t>
      </w:r>
    </w:p>
    <w:p w:rsidR="00A90898" w:rsidRDefault="00A90898" w:rsidP="00A90898">
      <w:pPr>
        <w:pStyle w:val="TextoNormal"/>
      </w:pPr>
    </w:p>
    <w:p w:rsidR="00A90898" w:rsidRDefault="00A90898" w:rsidP="00A90898">
      <w:pPr>
        <w:pStyle w:val="TextoNormal"/>
      </w:pPr>
      <w:r w:rsidRPr="00A90898">
        <w:rPr>
          <w:rStyle w:val="NumeroAFNegritaCaracter"/>
        </w:rPr>
        <w:t>3</w:t>
      </w:r>
      <w:r>
        <w:t>. El Presidente del Congreso de los Diputados comunicó, en escrito registrado el 14 de diciembre de 2010, el acuerdo de la Mesa de la Cámara por el que se tiene por personada a la Cámara y por ofrecida su colaboración en los términos del citado art. 88.1 LOTC. En la misma fecha el Presidente del Senado interesó que se tuviera por personada a dicha Cámara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en este Tribunal Constitucional el 20 de diciembre de 2010, el Abogado del Estado se personó en el presente recurso de inconstitucionalidad en nombre del Gobierno manifestando su intención de no formular alegaciones. Asimismo, por escrito presentado el 23 de diciembre de 2010, la Abogada de la Generalitat en nombre del Gobierno de la Generalitat de Cataluña se persona en el procedimiento, ofreciendo su colaboración en los términos legalmente previstos.</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presentado el 23 de diciembre de 2010 el Letrado del Parlamento de Cataluña compareció formulando, en resumen, las siguientes alegaciones.</w:t>
      </w:r>
    </w:p>
    <w:p w:rsidR="00A90898" w:rsidRDefault="00A90898" w:rsidP="00A90898">
      <w:pPr>
        <w:pStyle w:val="TextoNormal"/>
      </w:pPr>
    </w:p>
    <w:p w:rsidR="00A90898" w:rsidRDefault="00A90898" w:rsidP="00A90898">
      <w:pPr>
        <w:pStyle w:val="TextoNormal"/>
      </w:pPr>
      <w:r>
        <w:t>El Letrado inicia su escrito denunciando, en primer lugar, el carácter genérico y carente de fundamentación jurídica de algunas alegaciones del recurso de inconstitucionalidad —en particular, sobre las pretendidas vulneraciones de los arts. 9.2, 27, 40, 128 y 149.1.18 CE—, por lo que se solicita la desestimación del recurso al respecto de esos preceptos.</w:t>
      </w:r>
    </w:p>
    <w:p w:rsidR="00A90898" w:rsidRDefault="00A90898" w:rsidP="00A90898">
      <w:pPr>
        <w:pStyle w:val="TextoNormal"/>
      </w:pPr>
    </w:p>
    <w:p w:rsidR="00A90898" w:rsidRDefault="00A90898" w:rsidP="00A90898">
      <w:pPr>
        <w:pStyle w:val="TextoNormal"/>
      </w:pPr>
      <w:r>
        <w:t>A continuación subraya el Letrado la competencia exclusiva de la Generalitat de Cataluña en materia de protección de animales; materia en la que se ubica la prohibición de las corridas de toros y espectáculos taurinos prevista en el art. 1 de la Ley 28/2010 y que no está expresamente prevista en la Constitución, habiendo legislado por primera vez la Comunidad Autónoma a través de la Ley 3/1988, de 4 de marzo, de protección de los animales. Con la Ley 22/2003, de 4 de julio, se avanzó en la protección del bienestar animal prohibiendo en su artículo 6.1 el uso de animales en espectáculos y peleas si les pueden ocasionar sufrimiento, pueden ser objeto de burlas o tratos antinaturales o pueden herir la sensibilidad de las personas que los contemplan. En este contexto se consideró a las corridas de toros y al resto de espectáculos taurinos como un elemento excepcional, permitiéndose su realización en determinadas plazas y con determinados límites. La refundición de textos aprobada en el año 2008 es ya posterior al nuevo Estatuto de Autonomía de Cataluña que, en su artículo 116 (avalado por el Tribunal Constitucional), atribuye a la Generalitat de Cataluña la competencia exclusiva sobre ganadería incluyendo una mención específica a la protección de los animales; competencia que se ejercerá, según afirma el propio precepto estatutario, respetando lo establecido por el Estado en el ejercicio de las competencias que le atribuye el art. 149.1. 13 y 16 CE. Por lo que concierne a la protección de los animales, subraya el Letrado que la totalidad de las Comunidades Autónomas han legislado sobre esta materia castigando el maltrato a los animales y considerando, en muchos casos, los espectáculos taurinos como una excepción a tal regla general.</w:t>
      </w:r>
    </w:p>
    <w:p w:rsidR="00A90898" w:rsidRDefault="00A90898" w:rsidP="00A90898">
      <w:pPr>
        <w:pStyle w:val="TextoNormal"/>
      </w:pPr>
    </w:p>
    <w:p w:rsidR="00A90898" w:rsidRDefault="00A90898" w:rsidP="00A90898">
      <w:pPr>
        <w:pStyle w:val="TextoNormal"/>
      </w:pPr>
      <w:r>
        <w:t xml:space="preserve">La protección de los animales se configura como “principio integral” del derecho español, habiendo empleado sus competencias el Estado en materia de legislación penal para </w:t>
      </w:r>
      <w:r>
        <w:lastRenderedPageBreak/>
        <w:t>llevar a cabo una protección adicional de los animales mediante la previsión de una falta de maltrato cruel a animales domésticos y la posterior introducción, mediante reforma del Código penal (CP), del delito de maltrato (con ensañamiento) a los animales domésticos causándoles la muerte o lesiones con grave menoscabo físico (art. 337 CP) y de la falta de abandono de animales domésticos (art. 631.2 CP). Más allá del ámbito penal, el Estado ha buscado el bienestar de los animales a través de la aprobación de leyes en diversos ámbitos como en relación a la tenencia de animales peligrosos; al transporte de animales; a su explotación, experimentación y sacrifico; a su protección en el momento de su sacrificio o matanza, etc. Principio de protección y bienestar animal, por tanto, concluye el Letrado, que adquiere carácter transversal.</w:t>
      </w:r>
    </w:p>
    <w:p w:rsidR="00A90898" w:rsidRDefault="00A90898" w:rsidP="00A90898">
      <w:pPr>
        <w:pStyle w:val="TextoNormal"/>
      </w:pPr>
    </w:p>
    <w:p w:rsidR="00A90898" w:rsidRDefault="00A90898" w:rsidP="00A90898">
      <w:pPr>
        <w:pStyle w:val="TextoNormal"/>
      </w:pPr>
      <w:r>
        <w:t>En el ámbito del derecho europeo, el protocolo sobre protección y bienestar de los animales, anejo al Tratado constitutivo de la Unión Europea, se encuentra hoy en el art. 13 del Tratado de funcionamiento de la Unión Europea. En este precepto se establece que en materia de pesca, transporte, mercado interior, investigación etc., se tendrá en cuenta “el bienestar de los animales como seres sensibles, respetando al mismo tiempo las disposiciones administrativas y las costumbres de los Estados miembros relativas, en particular, a ritos religiosos, tradiciones culturales y patrimonio regional”. La interpretación que, de este precepto, se realiza en el recurso es, afirma el Letrado autonómico, “errónea y torticera” puesto que lo único que se contempla como excepción es el patrimonio regional y no se recogen expresamente los espectáculos taurinos que, ciertamente, se pueden considerar dentro del supuesto de hecho que permite modular las exigencias de bienestar animal, pero sólo en aquellas zonas donde las leyes les otorguen tal consideración.</w:t>
      </w:r>
    </w:p>
    <w:p w:rsidR="00A90898" w:rsidRDefault="00A90898" w:rsidP="00A90898">
      <w:pPr>
        <w:pStyle w:val="TextoNormal"/>
      </w:pPr>
    </w:p>
    <w:p w:rsidR="00A90898" w:rsidRDefault="00A90898" w:rsidP="00A90898">
      <w:pPr>
        <w:pStyle w:val="TextoNormal"/>
      </w:pPr>
      <w:r>
        <w:t>En un segundo bloque de alegaciones el Letrado del Parlamento autonómico discute la pretendida incoherencia que se denuncia en el recurso de inconstitucionalidad entre la Ley 34/2010, que regula los correbous, y la Ley 28/2010, que prohíbe las corridas de toros, puesto que, más allá de la libertad de configuración del legislador, los correbous son espectáculos con toros pero sin muerte del animal.</w:t>
      </w:r>
    </w:p>
    <w:p w:rsidR="00A90898" w:rsidRDefault="00A90898" w:rsidP="00A90898">
      <w:pPr>
        <w:pStyle w:val="TextoNormal"/>
      </w:pPr>
    </w:p>
    <w:p w:rsidR="00A90898" w:rsidRDefault="00A90898" w:rsidP="00A90898">
      <w:pPr>
        <w:pStyle w:val="TextoNormal"/>
      </w:pPr>
      <w:r>
        <w:t xml:space="preserve">En el tercer bloque de alegaciones aborda el Letrado la supuesta invasión de la competencia estatal en materia de seguridad pública (art. 149.1.29 CE). No existe, sin embargo, ninguna mención específica a los festejos taurinos en la Constitución por lo que debe seguirse el régimen relativo a los espectáculos públicos cuya competencia tiene en exclusiva la Generalitat de Cataluña </w:t>
      </w:r>
      <w:r w:rsidRPr="00A90898">
        <w:rPr>
          <w:i/>
        </w:rPr>
        <w:t>ex</w:t>
      </w:r>
      <w:r>
        <w:t xml:space="preserve"> art. 141.3 EAC: competencia que incluye, en todo caso, “la ordenación del sector, el régimen de intervención administrativo y el control de todo tipo de espectáculos en espacios y locales públicos” y en cuyo ejercicio se aprobó la Ley del Parlamento de Cataluña 11/2009, de 6 de julio, de regulación administrativa de espectáculos públicos y actividades recreativas que se aplica de forma supletoria a los espectáculos con animales. Además, conforme al Decreto de traspaso de 1985, la Generalitat ostenta determinadas facultades respecto a los festejos taurinos, sin perjuicio de los reglamentos específicos de ámbitos nacional. Esta alusión a los reglamentos estatales taurinos no es óbice para el ejercicio de las competencias exclusivas de la Generalitat en materia de espectáculos públicos y de protección de los animales [art. 116.1 d) EAC] puesto que los reales decretos de traspasos no son atributivos de competencias.</w:t>
      </w:r>
    </w:p>
    <w:p w:rsidR="00A90898" w:rsidRDefault="00A90898" w:rsidP="00A90898">
      <w:pPr>
        <w:pStyle w:val="TextoNormal"/>
      </w:pPr>
    </w:p>
    <w:p w:rsidR="00A90898" w:rsidRDefault="00A90898" w:rsidP="00A90898">
      <w:pPr>
        <w:pStyle w:val="TextoNormal"/>
      </w:pPr>
      <w:r>
        <w:t xml:space="preserve">En la línea de lo apuntado subraya el Letrado que la normativa estatal que incide sobre los espectáculos taurinos no puede suponer la asunción a favor del Estado de la competencia </w:t>
      </w:r>
      <w:r>
        <w:lastRenderedPageBreak/>
        <w:t>sobre la regulación general del régimen jurídico de los espectáculos en Cataluña. De hecho, así lo reconoce la propia Ley 10/1991, de 4 de abril, sobre potestades administrativas en materia de espectáculos taurinos (desarrollada por el Real Decreto. 145/1996, de 2 de febrero). Así, en la exposición de motivos de dicha Ley se especifica que “sin perjuicio de las competencias que corresponden a las comunidades autónomas en relación con los espectáculos taurinos, como tales espectáculos, es evidente la conexión de los mismos con el orden público y la seguridad ciudadana, que constituyen competencias exclusivas del Estado, al amparo del art. 149.1.29 CE”. Al respecto de la concurrencia de competencias relativas a espectáculos y seguridad pública y a su delimitación, trae a colación la STC 148/2000, de 1 de junio, en la que se manifestó que son encuadrables en materia de seguridad pública “aquellas medidas o cautelas que, dirigiéndose a la protección de personas y bienes, tengan como finalidad aún más específica evitar graves riesgos potenciales de alteración del orden ciudadano y de la tranquilidad pública”, a través de medidas preventivas y reactivas que reclaman, “como complemento obligado y permanente, la presencia efectiva de las fuerzas del orden público durante el desarrollo del espectáculo mismo”. Desde esta perspectiva el representante del Parlamento catalán afirma que las corridas de toros no son espectáculos que pongan en riesgo tal la vida de las personas que se requiera una presencia efectiva de las fuerzas del orden público de manera constante; integrándose en cambio en aquel tipo de espectáculos que requiere de la adopción de medidas o de prescripciones para velar por el buen desarrollo de los mismos pero a través de una intervención administrativa ordinaria (STC 148/2000) y por tanto se inscriben en la competencia autonómica. En cualquier caso, en Cataluña, la Ley de espectáculos de 2009 se remite a lo dispuesto en la Ley de protección de animales lo que finalmente significa que se apliquen las normas del Estado indicadas. Se trata, concluye, de una actividad de policía especial que, como tal, no puede suponer la regulación del régimen jurídico de los espectáculos en Cataluña. Trae a colación en este sentido la Sentencia del Tribunal Supremo de 20 de octubre de 1998 en la que se llegó a la conclusión de que “resulta sumamente dudoso que la competencia en materia de espectáculos taurinos abarque a más aspectos que aquellos mediante los que se persigue el sometimiento de su celebración a reglas técnicas y de arte uniformes que eviten su degradación o impidan que resulte desvirtuada en sus aspectos esenciales”. Por tanto, no se limita ni cuestiona la competencia exclusiva de la Generalitat en materia de espectáculos.</w:t>
      </w:r>
    </w:p>
    <w:p w:rsidR="00A90898" w:rsidRDefault="00A90898" w:rsidP="00A90898">
      <w:pPr>
        <w:pStyle w:val="TextoNormal"/>
      </w:pPr>
    </w:p>
    <w:p w:rsidR="00A90898" w:rsidRDefault="00A90898" w:rsidP="00A90898">
      <w:pPr>
        <w:pStyle w:val="TextoNormal"/>
      </w:pPr>
      <w:r>
        <w:t xml:space="preserve">Sentado lo anterior, el Letrado del Parlamento catalán sostiene que dicha competencia le permite dictar normas reguladoras y/o prohibitivas sobre esta materia, pues tal competencia incluye la ordenación del sector, el régimen de intervención administrativa y el control de espectáculos en espacios y locales públicos. La ordenación del sector comporta el ejercicio de competencias normativas que pueden suponer la innovación de una situación preexistente, modificándola o suprimiéndola. El ejercicio de esta facultad competencial, sigue afirmando el Letrado, “puede llegar a ser tributario no solamente de criterios de legalidad, sino también —en ocasiones— de consideraciones de oportunidad, como podría ser, entre otros, el caso de una disposición prohibitiva sobre un determinado espectáculo público”. En ejercicio de estas competencias otras Comunidades Autónomas han regulado los espectáculos taurinos, incluso suprimiendo algunos como el toro embolado o toro enmaromado en Madrid y Castilla-La Mancha; normas de restricción de acceso por edad, como en Cataluña, o prohibiciones generales de maltrato animal como la llevada a cabo por la Ley del Parlamento de Canarias 8/1991 (que permite, sin embargo, las peleas de gallos). En definitiva, la </w:t>
      </w:r>
      <w:r>
        <w:lastRenderedPageBreak/>
        <w:t>competencia para la ordenación del sector permite innovar situaciones jurídicas preexistentes y garantizar la tutela de otros bienes jurídicos como la protección de los animales, sin que se impida la posibilidad de prever un supuesto de prohibición.</w:t>
      </w:r>
    </w:p>
    <w:p w:rsidR="00A90898" w:rsidRDefault="00A90898" w:rsidP="00A90898">
      <w:pPr>
        <w:pStyle w:val="TextoNormal"/>
      </w:pPr>
    </w:p>
    <w:p w:rsidR="00A90898" w:rsidRDefault="00A90898" w:rsidP="00A90898">
      <w:pPr>
        <w:pStyle w:val="TextoNormal"/>
      </w:pPr>
      <w:r>
        <w:t>En su cuarto bloque de alegaciones el Letrado autonómico descarta que se haya producido una vulneración de los preceptos constitucionales dedicados a la cultura. Recuerda, en primer lugar, el carácter concurrente de las competencias en esta materia, de acuerdo con lo dispuesto en el art. 149. 2 CE y tal como lo interpretó tempranamente la STC 49/1984, de 5 de abril. Se trata de una materia singular en la que Estado y Comunidades pueden intervenir sobre un mismo objeto como si fueran dos competencias exclusivas con la particularidad de que se complementan entre sí. La alusión en esta Sentencia a una acción preferente (o “área de preferente atención”) no supone que la intervención estatal en materia cultural prime sobre la autonómica, sino que se marca una finalidad de la actuación estatal. En realidad, podía sostenerse que la actuación del Estado debe situarse en una posición subordinada o complementaria a la que corresponde a las Comunidades Autónomas.</w:t>
      </w:r>
    </w:p>
    <w:p w:rsidR="00A90898" w:rsidRDefault="00A90898" w:rsidP="00A90898">
      <w:pPr>
        <w:pStyle w:val="TextoNormal"/>
      </w:pPr>
    </w:p>
    <w:p w:rsidR="00A90898" w:rsidRDefault="00A90898" w:rsidP="00A90898">
      <w:pPr>
        <w:pStyle w:val="TextoNormal"/>
      </w:pPr>
      <w:r>
        <w:t xml:space="preserve">Concurrencia competencial que intenta evitar la imposición de un modelo uniforme, preservando y estimulando los valores culturales propios de cada cuerpo social, tal como de hecho se desprende del propio preámbulo de la Constitución cuando se refiere a las culturas y tradiciones de España. No obstante, la cultura no es algo petrificado; toda actividad cultural debe someterse a crítica y no constituye </w:t>
      </w:r>
      <w:r w:rsidRPr="00A90898">
        <w:rPr>
          <w:i/>
        </w:rPr>
        <w:t>per se</w:t>
      </w:r>
      <w:r>
        <w:t xml:space="preserve"> una actividad que tenga que preservarse eternamente. El recurso de inconstitucionalidad, se señala, parte del carácter nacional, histórico, cultural y patrimonial de los toros sin tener en cuenta que la aceptación del carácter cultural de los espectáculos taurinos no es necesariamente pacífica. La propia historia de la tauromaquia evidencia la existencia de épocas de tolerancia y de épocas de prohibiciones. Aunque para determinados sectores es una tradición motivo de inspiración para diversas manifestaciones de las bellas artes, para otros sectores es un espectáculo cruel en el que se tortura públicamente al animal, lo que es impropio de sociedades civilizadas en las que también debe garantizarse el bienestar animal. En este sentido la “aceptación jurídica del carácter cultural de los espectáculos taurinos que reclama la parte recurrente no es tan clara” pues su consideración cultural “vendrá dada por las leyes que regulen tal espectáculo, en el entendimiento de que si una ley los prohíbe su consideración cultural estará en entredicho”.</w:t>
      </w:r>
    </w:p>
    <w:p w:rsidR="00A90898" w:rsidRDefault="00A90898" w:rsidP="00A90898">
      <w:pPr>
        <w:pStyle w:val="TextoNormal"/>
      </w:pPr>
    </w:p>
    <w:p w:rsidR="00A90898" w:rsidRDefault="00A90898" w:rsidP="00A90898">
      <w:pPr>
        <w:pStyle w:val="TextoNormal"/>
      </w:pPr>
      <w:r>
        <w:t>A continuación argumenta el Letrado que la Ley 28/2010 no menoscaba la consideración de la cultura tal como está prevista en el art. 44 CE ni el enriquecimiento del patrimonio cultural al que alude el art. 46 CE; preceptos que, en cualquier caso, no reconocen un derecho prestacional sino establecen principios rectores, mandatos de actuación dirigidos a los poderes públicos. Esto es, no se exige una determinada actuación pública a fin de mantener o no las corridas de toros. La medida prohibitiva de los espectáculos taurinos, adoptada en el ejercicio de la competencia exclusiva en materia de protección de los animales y en materia de espectáculos, no comporta una lesión de los derechos de los ciudadanos en el ámbito de la cultura porque la Ley catalana transmuta el carácter cultural de los espectáculos taurinos, pasando a ser una actividad no permitida legalmente.</w:t>
      </w:r>
    </w:p>
    <w:p w:rsidR="00A90898" w:rsidRDefault="00A90898" w:rsidP="00A90898">
      <w:pPr>
        <w:pStyle w:val="TextoNormal"/>
      </w:pPr>
    </w:p>
    <w:p w:rsidR="00A90898" w:rsidRDefault="00A90898" w:rsidP="00A90898">
      <w:pPr>
        <w:pStyle w:val="TextoNormal"/>
      </w:pPr>
      <w:r>
        <w:t xml:space="preserve">En su quinto bloque de alegaciones, sostiene que la prohibición de las corridas de toros no vulnera la libertad de creación artística. El precepto impugnado, se dice textualmente, “se debe analizar principalmente desde el punto de vista de la competencia autonómica sobre espectáculos públicos y no como una medida que hipotéticamente pretenda regular la </w:t>
      </w:r>
      <w:r>
        <w:lastRenderedPageBreak/>
        <w:t>creación artística”. En este sentido la legislación autonómica de espectáculos impide que una actividad real, por su afección al bienestar animal, se pueda exteriorizar como espectáculo público.</w:t>
      </w:r>
    </w:p>
    <w:p w:rsidR="00A90898" w:rsidRDefault="00A90898" w:rsidP="00A90898">
      <w:pPr>
        <w:pStyle w:val="TextoNormal"/>
      </w:pPr>
    </w:p>
    <w:p w:rsidR="00A90898" w:rsidRDefault="00A90898" w:rsidP="00A90898">
      <w:pPr>
        <w:pStyle w:val="TextoNormal"/>
      </w:pPr>
      <w:r>
        <w:t>Los recurrentes alegan que toda limitación de un aspecto cultural debe realizarse por el Estado conforme al art. 149.1.1 CE, trayendo a colación las SSTC 49/1984 y 153/1985, que en realidad hacen referencia al art. 20.4 CE y no a la cultura, y aluden a la vertiente negativa de la libertad (que es la regulada por el Estado) que es una libertad económica de exhibición de películas (ligada a la unidad de mercado) y no una libertad creativa o cultural. De otro lado, el art. 149.1.1 CE no es un precepto que pueda operar como un título horizontal, sino que establece la posibilidad de que el Estado regule, aunque sea de forma limitada, las condiciones básicas (no la totalidad) que garantizan la igualdad de su régimen jurídico. El art. 149.1.1 contiene una habilitación al Estado para que condicione —mediante, precisamente, el establecimiento de unas condiciones básicas uniformes— el ejercicio de la competencia autonómica, lo que no implica ni uniformidad ni supresión de la diversidad que comporta la autonomía.</w:t>
      </w:r>
    </w:p>
    <w:p w:rsidR="00A90898" w:rsidRDefault="00A90898" w:rsidP="00A90898">
      <w:pPr>
        <w:pStyle w:val="TextoNormal"/>
      </w:pPr>
    </w:p>
    <w:p w:rsidR="00A90898" w:rsidRDefault="00A90898" w:rsidP="00A90898">
      <w:pPr>
        <w:pStyle w:val="TextoNormal"/>
      </w:pPr>
      <w:r>
        <w:t>En este sentido, indica que no se han considerado como divergencias irrazonables y desproporcionadas desde la perspectiva del art. 149.1.1 CE la prohibición de acceso a corridas de toros de menores de 14 años o la limitación de su celebración a las plazas ya construidas; como tampoco, en un ámbito cercano, la prohibición de espectáculos circenses en los que se usen animales. La medida legislativa prohibitiva se fundamenta en el principio de protección del bienestar animal, por lo que no resulta irrazonable.</w:t>
      </w:r>
    </w:p>
    <w:p w:rsidR="00A90898" w:rsidRDefault="00A90898" w:rsidP="00A90898">
      <w:pPr>
        <w:pStyle w:val="TextoNormal"/>
      </w:pPr>
    </w:p>
    <w:p w:rsidR="00A90898" w:rsidRDefault="00A90898" w:rsidP="00A90898">
      <w:pPr>
        <w:pStyle w:val="TextoNormal"/>
      </w:pPr>
      <w:r>
        <w:t>En el último bloque de alegaciones se descarta la inconstitucionalidad de la Ley catalana por vulneración de la libertad de empresa (art. 38 CE) y de la unidad de mercado (art. 149.1.13 y 139.2 CE). Tras recordar la jurisprudencia constitucional acerca del contenido de la libertad de empresa, se afirma que ésta es básicamente un derecho de acceso a una actividad empresarial, no un derecho a la regulación determinada de la actividad de que se trate pues, obviamente, la libertad de empresa podrá restringirse cuando colisione con otros derechos fundamentales u otros bienes o valores constitucionalmente relevantes. En esos casos, las limitaciones deben responder a los requisitos de adecuación, necesidad y proporcionalidad.</w:t>
      </w:r>
    </w:p>
    <w:p w:rsidR="00A90898" w:rsidRDefault="00A90898" w:rsidP="00A90898">
      <w:pPr>
        <w:pStyle w:val="TextoNormal"/>
      </w:pPr>
    </w:p>
    <w:p w:rsidR="00A90898" w:rsidRDefault="00A90898" w:rsidP="00A90898">
      <w:pPr>
        <w:pStyle w:val="TextoNormal"/>
      </w:pPr>
      <w:r>
        <w:t>Ciertamente la prohibición de los espectáculos taurinos en Cataluña implica la limitación de determinadas actividades económicas, pero ni impide la existencia de dehesas, ganaderos o empresas que pretendan ofrecer el espectáculo taurino, ni supone la clausura de las plazas de toros que pueden seguir siendo espacios multifuncionales dedicados a otro espectro de negocio. Se trata, además, de una medida fundamentada en la protección animal, por lo que no es arbitraria ni irrazonable y no crea situaciones de desigualdad, pues se aplica a todas las empresas que se dediquen el mundo taurino por igual. A lo anterior se añade que la disposición adicional primera de la Ley 28/2010 prevé los mecanismos para que pueda establecerse una compensación económica a los titulares de derechos subjetivos afectados por la ley, con potencial expropiatorio.</w:t>
      </w:r>
    </w:p>
    <w:p w:rsidR="00A90898" w:rsidRDefault="00A90898" w:rsidP="00A90898">
      <w:pPr>
        <w:pStyle w:val="TextoNormal"/>
      </w:pPr>
    </w:p>
    <w:p w:rsidR="00A90898" w:rsidRDefault="00A90898" w:rsidP="00A90898">
      <w:pPr>
        <w:pStyle w:val="TextoNormal"/>
      </w:pPr>
      <w:r>
        <w:t xml:space="preserve">La prohibición establecida en el art. 1 de la Ley 28/2010 no presenta problemas de constitucionalidad. En la STC 88/1986 ya se manifestó que debía buscarse el equilibrio entre la unidad económica de la Nación y la diversidad jurídica que deriva de la autonomía. La </w:t>
      </w:r>
      <w:r>
        <w:lastRenderedPageBreak/>
        <w:t>incidencia o afectación del mercado autonómico es posible siempre que se encuentre en el ámbito de sus competencias, que la regulación, en cuanto introductora de un régimen diverso del existente en el resto de la Nación, resulte proporcional al objetivo legítimo que se persigue y que las diferencias previstas sean adecuadas y justificadas a su fin, quedando a salvo la igualdad básica de los españoles. En la STC 64/1990, el Tribunal afirmó que la unidad de mercado se resiente cuando se obstaculiza el tráfico de industrias, cuando se modifica sustancial, geográfica o sectorialmente del régimen de traslado para o en determinadas zonas del territorio nacional, se introduzcan barreras financieras o se desvirtué artificialmente la igualdad de medios y posibilidades de desplazamientos; lo que no acontece en este caso.</w:t>
      </w:r>
    </w:p>
    <w:p w:rsidR="00A90898" w:rsidRDefault="00A90898" w:rsidP="00A90898">
      <w:pPr>
        <w:pStyle w:val="TextoNormal"/>
      </w:pPr>
    </w:p>
    <w:p w:rsidR="00A90898" w:rsidRDefault="00A90898" w:rsidP="00A90898">
      <w:pPr>
        <w:pStyle w:val="TextoNormal"/>
      </w:pPr>
      <w:r>
        <w:t>La Ley impugnada, concluye el Letrado, resulta adecuada, justificada y proporcionada al objeto que persigue (protección de los animales) que resulta ajeno a cualquier planteamiento económico y no persigue de forma intencionada la finalidad de obstaculizar la libre circulación.</w:t>
      </w:r>
    </w:p>
    <w:p w:rsidR="00A90898" w:rsidRDefault="00A90898" w:rsidP="00A90898">
      <w:pPr>
        <w:pStyle w:val="TextoNormal"/>
      </w:pPr>
    </w:p>
    <w:p w:rsidR="00A90898" w:rsidRDefault="00A90898" w:rsidP="00A90898">
      <w:pPr>
        <w:pStyle w:val="TextoNormal"/>
      </w:pPr>
      <w:r w:rsidRPr="00A90898">
        <w:rPr>
          <w:rStyle w:val="NumeroAFNegritaCaracter"/>
        </w:rPr>
        <w:t>6</w:t>
      </w:r>
      <w:r>
        <w:t>. En fecha de 18 de noviembre de 2013 tuvo entrada en el Registro General de este Tribunal Constitucional escrito presentado por la Senadora del Grupo Popular firmante del recurso aportando el “Boletín Oficial de las Cortes Generales” —Senado, núm. 262— que publica la aprobación por el Pleno del Senado de la Proposición de Ley para la regulación de la tauromaquia como patrimonio cultural, sin introducir variaciones en el texto remitido por el Congreso de los Diputados. Mediante providencia de 11 de febrero de 2014 el Pleno de este Tribunal acordó unir a las presentes actuaciones el anterior escrito entregando copia del mismo a las partes personadas y teniendo por efectuadas las manifestaciones contenidas en el mismo a los solos efectos de su constancia en autos, por encontrarse el presente procedimiento concluso.</w:t>
      </w:r>
    </w:p>
    <w:p w:rsidR="00A90898" w:rsidRDefault="00A90898" w:rsidP="00A90898">
      <w:pPr>
        <w:pStyle w:val="TextoNormal"/>
      </w:pPr>
    </w:p>
    <w:p w:rsidR="00A90898" w:rsidRDefault="00A90898" w:rsidP="00A90898">
      <w:pPr>
        <w:pStyle w:val="TextoNormal"/>
      </w:pPr>
      <w:r w:rsidRPr="00A90898">
        <w:rPr>
          <w:rStyle w:val="NumeroAFNegritaCaracter"/>
        </w:rPr>
        <w:t>7</w:t>
      </w:r>
      <w:r>
        <w:t>.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del art. 219 de la Ley Orgánica del Poder Judicial, en relación con el art. 80 de la Ley Orgánica del Tribunal Constitucional. Por ATC 180/2013, de 17 de septiembre, se acuerda la inadmisión a trámite de las recusaciones promovidas y, formulado recurso de súplica contra el anterior Auto por el Parlamento y la Generalitat de Cataluña, el Pleno, en providencia de 2 de octubre de 2013, acordó su inadmisión a trámite.</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18 de octubre de 2016, se señaló para la deliberación y votación de la presente Sentencia el día 20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cincuenta Senadores del Grupo Parlamentario Popular contra el art. 1 de la Ley 28/2010, de 3 de agosto, de modificación del art. 6 del texto refundido de la Ley de protección de los animales, aprobado por Decreto Legislativo 2/2008, de 15 de abril.</w:t>
      </w:r>
    </w:p>
    <w:p w:rsidR="00A90898" w:rsidRDefault="00A90898" w:rsidP="00A90898">
      <w:pPr>
        <w:pStyle w:val="TextoNormal"/>
      </w:pPr>
    </w:p>
    <w:p w:rsidR="00A90898" w:rsidRDefault="00A90898" w:rsidP="00A90898">
      <w:pPr>
        <w:pStyle w:val="TextoNormal"/>
      </w:pPr>
      <w:r>
        <w:t>Como se ha expuesto en los antecedentes de esta resolución, los Senadores recurrentes entienden que el citado precepto, que prohíbe en Cataluña las corridas de toros y espectáculos similares, supone, de un lado, la invasión de la competencia estatal para regular el patrimonio cultural español (art. 149.1.28 CE, en relación con los arts. 149.1.29 y 149.2 CE); de otro lado, la vulneración de las libertades fundamentales reconocidas en los arts. 20.1 a) y c) y 38 CE así como de lo dispuesto en los arts. 44 y 46 CE y, finalmente, la vulneración del principio de unidad de mercado y de libre circulación que se deduce de los arts. 149.1.13 y 139. 2 CE.</w:t>
      </w:r>
    </w:p>
    <w:p w:rsidR="00A90898" w:rsidRDefault="00A90898" w:rsidP="00A90898">
      <w:pPr>
        <w:pStyle w:val="TextoNormal"/>
      </w:pPr>
    </w:p>
    <w:p w:rsidR="00A90898" w:rsidRDefault="00A90898" w:rsidP="00A90898">
      <w:pPr>
        <w:pStyle w:val="TextoNormal"/>
      </w:pPr>
      <w:r>
        <w:t>Por su parte, el Letrado del Parlamento catalán defiende la constitucionalidad de la previsión cuestionada cuya aprobación por el legislador autonómico se fundamenta en la competencia exclusiva de la Generalitat tanto en materia de protección y bienestar animal [art. 116.1 d) del Estatuto de Autonomía de Cataluña: EAC] como en materia de espectáculos públicos (art. 141.3 EAC), subrayando el carácter concurrente de la competencia en materia de cultura.</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comenzar el examen de la cuestión controvertida en este proceso constitucional, conviene realizar una primera precisión concerniente a la estructura de este recurso de inconstitucionalidad, pues se plantea desde dos perspectivas diferenciadas. Así, por una parte, la Ley 28/2010 se impugna por incurrir la Comunidad Autónoma de Cataluña en un exceso competencial al invadir o menoscabar las competencias que, de un lado, el art. 149.1.28 y 29 CE en relación con el art. 149.2 CE y, de otro, el art. 149.1.13 en relación al art. 139.2 CE, atribuyen al Estado. Por otra parte, se discute el propio contenido sustantivo de la Ley catalana por considerarse contrario a determinados preceptos constitucionales, bien por vulneración de libertades y derechos fundamentales —en particular la libertad artística y la libertad de expresión [art. 20.1 a), b) y c) CE]—, bien por vulneración de otros derechos y principios rectores económicos y sociales —en particular, la libertad de empresa (art. 38 CE), el derecho de acceso a la cultura (art. 44 CE) y el principio de enriquecimiento del patrimonio cultural (art. 46 CE)—.</w:t>
      </w:r>
    </w:p>
    <w:p w:rsidR="00A90898" w:rsidRDefault="00A90898" w:rsidP="00A90898">
      <w:pPr>
        <w:pStyle w:val="TextoNormal"/>
      </w:pPr>
    </w:p>
    <w:p w:rsidR="00A90898" w:rsidRDefault="00A90898" w:rsidP="00A90898">
      <w:pPr>
        <w:pStyle w:val="TextoNormal"/>
      </w:pPr>
      <w:r>
        <w:t>Iniciaremos el análisis desde la perspectiva competencial ya que, en el caso de que se haya producido un exceso por parte del legislador catalán, no será necesario ahondar en el contenido material o sustantivo del precepto impugnado en su relación con los derechos fundamentales y principios constitucionales invocados; mientras que si la Ley catalana se ha aprobado en correcto ejercicio de sus competencias, procederá entonces comprobar su adecuación al texto constitucional desde esa vertiente sustantiva. Examinaremos las tachas competenciales en el orden en el que se plantean en el escrito de interposición, comenzando por la relativa a la vulneración de los arts. 149.1.28 y 29 y 149.2 CE.</w:t>
      </w:r>
    </w:p>
    <w:p w:rsidR="00A90898" w:rsidRDefault="00A90898" w:rsidP="00A90898">
      <w:pPr>
        <w:pStyle w:val="TextoNormal"/>
      </w:pPr>
    </w:p>
    <w:p w:rsidR="00A90898" w:rsidRDefault="00A90898" w:rsidP="00A90898">
      <w:pPr>
        <w:pStyle w:val="TextoNormal"/>
      </w:pPr>
      <w:r w:rsidRPr="00A90898">
        <w:rPr>
          <w:rStyle w:val="NumeroAFNegritaCaracter"/>
        </w:rPr>
        <w:t>3</w:t>
      </w:r>
      <w:r>
        <w:t>. Partiendo del planteamiento descrito, abordamos el examen de la norma impugnada desde la primera de las vertientes competenciales apuntadas en el recurso: la infracción de los arts. 149.1.28, 149.1.29 y 149.2 CE en que incurriría la norma autonómica.</w:t>
      </w:r>
    </w:p>
    <w:p w:rsidR="00A90898" w:rsidRDefault="00A90898" w:rsidP="00A90898">
      <w:pPr>
        <w:pStyle w:val="TextoNormal"/>
      </w:pPr>
    </w:p>
    <w:p w:rsidR="00A90898" w:rsidRDefault="00A90898" w:rsidP="00A90898">
      <w:pPr>
        <w:pStyle w:val="TextoNormal"/>
      </w:pPr>
      <w:r>
        <w:t xml:space="preserve">El recurso centra sus alegaciones, en este punto, en la distribución competencial en materia de espectáculos públicos que, difícilmente, puede entenderse incluida en el art. 149.1.28 CE (y sí en el art. 149.1.29 CE), ahondando, ya sí, en el concepto de patrimonio </w:t>
      </w:r>
      <w:r>
        <w:lastRenderedPageBreak/>
        <w:t>cultural y la competencia exclusiva del Estado para su defensa contra la expoliación y exportación en el segundo bloque de alegaciones del recurso, en relación con los arts. 44 y 46 CE y 149.2 CE y también con la libertad artística reconocida en el art. 20 CE. Despejada esa cierta confusión del escrito de impugnación, el enfoque correcto es centrar el análisis, de esta primera queja, en la conjunción de los arts. 149.1.28, 149.1.29 y 149.2 CE, en la doble vertiente de las competencias estatales y autonómicas en relación con los espectáculos públicos y en materia de cultura.</w:t>
      </w:r>
    </w:p>
    <w:p w:rsidR="00A90898" w:rsidRDefault="00A90898" w:rsidP="00A90898">
      <w:pPr>
        <w:pStyle w:val="TextoNormal"/>
      </w:pPr>
    </w:p>
    <w:p w:rsidR="00A90898" w:rsidRDefault="00A90898" w:rsidP="00A90898">
      <w:pPr>
        <w:pStyle w:val="TextoNormal"/>
      </w:pPr>
      <w:r>
        <w:t>Estos preceptos constitucionales se verían vulnerados por lo dispuesto en el art. 1 de la Ley 28/2010 que establece lo siguiente:</w:t>
      </w:r>
    </w:p>
    <w:p w:rsidR="00A90898" w:rsidRDefault="00A90898" w:rsidP="00A90898">
      <w:pPr>
        <w:pStyle w:val="TextoNormal"/>
      </w:pPr>
    </w:p>
    <w:p w:rsidR="00A90898" w:rsidRDefault="00A90898" w:rsidP="00A90898">
      <w:pPr>
        <w:pStyle w:val="TextoNormal"/>
      </w:pPr>
      <w:r>
        <w:t>“Se añade una letra, la f, al apartado 1 del art. 6 del Texto Refundido de la Ley de protección de los animales, aprobado por el Decreto legislativo 2/2008 con el siguiente texto:</w:t>
      </w:r>
    </w:p>
    <w:p w:rsidR="00A90898" w:rsidRDefault="00A90898" w:rsidP="00A90898">
      <w:pPr>
        <w:pStyle w:val="TextoNormal"/>
      </w:pPr>
    </w:p>
    <w:p w:rsidR="00A90898" w:rsidRDefault="00A90898" w:rsidP="00A90898">
      <w:pPr>
        <w:pStyle w:val="TextoNormal"/>
      </w:pPr>
      <w:r>
        <w:t>‘f) las corridas de toros y los espectáculos con toros que incluyan la muerte del animal y la aplicación de la suerte de la pica, banderillas y el estoque, así como los espectáculos taurinos de cualquier modalidad que tengan lugar dentro o fuera de las plazas de toros, salvo las fiestas con toros a que se refiere el apartado 2.’”</w:t>
      </w:r>
    </w:p>
    <w:p w:rsidR="00A90898" w:rsidRDefault="00A90898" w:rsidP="00A90898">
      <w:pPr>
        <w:pStyle w:val="TextoNormal"/>
      </w:pPr>
    </w:p>
    <w:p w:rsidR="00A90898" w:rsidRDefault="00A90898" w:rsidP="00A90898">
      <w:pPr>
        <w:pStyle w:val="TextoNormal"/>
      </w:pPr>
      <w:r>
        <w:t>Dado que el art. 6.1 del mencionado Decreto Legislativo 2/2008 dispone, bajo la rúbrica “prohibición de peleas de animales y otras actividades”, que “se prohíbe el uso de animales en peleas y en espectáculos u otras actividades si les pueden ocasionar sufrimiento o pueden ser objeto de burlas o tratamientos antinaturales, o bien si pueden herir la sensibilidad de las personas que los contemplan, tales como los siguientes: …”, la introducción de una nueva letra f) por parte de la Ley 28/2010 comporta la prohibición de la celebración de corridas de toros (u otros espectáculos que incluyan la muerte del toro) así como los espectáculos taurinos de cualquier modalidad que tengan lugar dentro o fuera de las plazas de toros en la Comunidad Autónoma de Cataluña. Como cláusula de cierre de esta prohibición la Ley 28/2010 establece en su disposición adicional primera una compensación económica para los titulares de los derechos subjetivos que queden afectados por la entrada en vigor de la misma.</w:t>
      </w:r>
    </w:p>
    <w:p w:rsidR="00A90898" w:rsidRDefault="00A90898" w:rsidP="00A90898">
      <w:pPr>
        <w:pStyle w:val="TextoNormal"/>
      </w:pPr>
    </w:p>
    <w:p w:rsidR="00A90898" w:rsidRDefault="00A90898" w:rsidP="00A90898">
      <w:pPr>
        <w:pStyle w:val="TextoNormal"/>
      </w:pPr>
      <w:r>
        <w:t>La prohibición que establece el precepto impugnado no se limita a las corridas de toros, pues se extiende a “los espectáculos con toros que incluyan la muerte del animal y la aplicación de la suerte de la pica, banderillas y el estoque” y “los espectáculos taurinos de cualquier modalidad que tengan lugar dentro o fuera de las plazas de toros”. Únicamente quedan excluidos de la referida prohibición “las fiestas con toros sin muerte del animal (correbous) en las fechas y localidades donde tradicionalmente se celebran”.</w:t>
      </w:r>
    </w:p>
    <w:p w:rsidR="00A90898" w:rsidRDefault="00A90898" w:rsidP="00A90898">
      <w:pPr>
        <w:pStyle w:val="TextoNormal"/>
      </w:pPr>
    </w:p>
    <w:p w:rsidR="00A90898" w:rsidRDefault="00A90898" w:rsidP="00A90898">
      <w:pPr>
        <w:pStyle w:val="TextoNormal"/>
      </w:pPr>
      <w:r>
        <w:t>La primera cuestión a dilucidar en relación con este precepto es la del título competencial autonómico a cuyo amparo se haya dictado, para, una vez determinado éste, poner en relación dicho título con las competencias estatales que se reputan vulneradas, a fin de determinar si se ha producido la infracción competencial que se denuncia.</w:t>
      </w:r>
    </w:p>
    <w:p w:rsidR="00A90898" w:rsidRDefault="00A90898" w:rsidP="00A90898">
      <w:pPr>
        <w:pStyle w:val="TextoNormal"/>
      </w:pPr>
    </w:p>
    <w:p w:rsidR="00A90898" w:rsidRDefault="00A90898" w:rsidP="00A90898">
      <w:pPr>
        <w:pStyle w:val="TextoNormal"/>
      </w:pPr>
      <w:r>
        <w:t xml:space="preserve">La Ley 28/2010 menciona numerosos títulos competenciales invocando las competencias exclusivas de la Generalitat en materia de “protección de los animales” [art. 116.1 d) EAC]; “juego y espectáculos” (art. 141.3 EAC); “medio ambiente, espacios naturales y meteorología” (art. 144 EAC) y “desarrollo y aplicación del derecho de la Unión Europea” (art. 189 </w:t>
      </w:r>
      <w:r>
        <w:lastRenderedPageBreak/>
        <w:t>EAC), así como los principios rectores en materia de “educación, cultura e investigación” y “medio ambiente, desarrollo sostenible y equilibrio territorial”. Concurrencia de títulos o reglas competenciales que debe resolverse atendiendo al objeto del precepto cuestionado o a la finalidad de la norma (SSTC 49/1984, de 5 de abril, FJ 3, y 153/1985, de 7 de noviembre, FJ 3) cediendo el título de más amplio alcance ante el más especial (STC 71/1982, de 30 de noviembre, FJ 2) Así, la finalidad y los principios definidos en el ya mencionado texto refundido de la Ley de protección de los animales —“alcanzar el máximo nivel de protección y bienestar de los animales y favorecer una responsabilidad más elevada y una conducta más cívica de la ciudadanía en la defensa y la preservación de los animales”, sin provocarles sufrimiento o maltratos o causarles estados de ansiedad o miedo— son también los de la Ley aquí recurrida en tanto en cuanto su único contenido es el de añadir un apartado a uno de los preceptos de la Ley de protección de los animales catalana. Sin embargo, la protección que articula el art. 1 de la Ley 28/2010 se centra específicamente en la figura del toro y en un determinado ámbito. En este sentido se afirma en el preámbulo de la norma que analizamos que el establecimiento de una protección integral de los animales, pretendida ya en la previa Ley autonómica 22/2003, “no puede dejar al margen espectáculos como las corridas de toros ya que, objetivamente implican un maltrato al animal y le provocan dolor, padecimiento y, por último, la muerte”. Tras referirse a los “cambios en la relación entre los humanos y los demás animales” hacia visiones fundamentadas “en la proximidad genética entre especies”, se subraya que “la consideración del toro como un ser vivo capaz de sufrir ha arraigado en el sentimiento de la sociedad catalana” de modo que, “el grado de sensibilización de nuestra sociedad … el fuerte descenso en Cataluña de la afición a las corridas de toros, el rechazo que produce en muchas de las personas que visitan nuestro país espectáculos que, en parte, se nutren de dinero público propician un paso más, el definitivo, hacia la prohibición de las corridas de toros en todas las modalidades”.</w:t>
      </w:r>
    </w:p>
    <w:p w:rsidR="00A90898" w:rsidRDefault="00A90898" w:rsidP="00A90898">
      <w:pPr>
        <w:pStyle w:val="TextoNormal"/>
      </w:pPr>
    </w:p>
    <w:p w:rsidR="00A90898" w:rsidRDefault="00A90898" w:rsidP="00A90898">
      <w:pPr>
        <w:pStyle w:val="TextoNormal"/>
      </w:pPr>
      <w:r>
        <w:t xml:space="preserve">En efecto, atendiendo a su sentido y finalidad, se aprecia que lo que regula la Ley 28/2010, es, en definitiva, la prohibición de determinado tipo de espectáculos por considerarse reprobable e inasumible el uso que, en ellos, se hace del animal, como así se expresa en su propio título. Así, el art. 116.1 d) EAC, que incluye la referencia a la competencia para la protección animal puede entenderse como el engarce competencial adecuado que puede sustentar la aprobación de la prohibición de determinados espectáculos taurinos con el fin de evitar el maltrato animal. Sin embargo, junto a la competencia de protección del bienestar animal que, subyace en la regulación cuestionada, hay otro título competencial autonómico que debe tenerse en cuenta. En efecto, la norma prohíbe determinados espectáculos públicos por causas vinculadas con la protección animal, que deviene así en la razón de la prohibición, en la medida en que expresa el bien jurídico que se quiere proteger. Razón que se materializa a través de la competencia autonómica sobre espectáculos públicos, en la medida en que nos encontramos ante una actividad del poder público que afecta directamente a la existencia de determinados espectáculos, entre los que se encuentran las corridas de toros y otros espectáculos taurinos similares, respecto a los que se considera conveniente su prohibición para evitar el maltrato o padecimiento del animal. En definitiva, la prohibición de espectáculos taurinos que contiene la norma impugnada podría encontrar cobertura en el ejercicio de las competencias atribuidas a la Comunidad Autónoma en materia de protección de los animales [art. 116.1 d) EAC] y en materia de espectáculos públicos (art. 141.3 EAC). La materia relativa a la protección del bienestar animal se proyecta sobre espectáculos concretos cuya exteriorización se quiere prohibir. Sin embargo, dicho ejercicio ha de cohonestarse con las competencias reservadas constitucionalmente al Estado, lo que exige </w:t>
      </w:r>
      <w:r>
        <w:lastRenderedPageBreak/>
        <w:t>examinar si las mismas se ven concernidas, lo que determina que el precepto impugnado deba ser analizado desde la perspectiva de la relación de estas competencias autonómicas con las estatales de los arts. 149.1.28 y 29 y 149.2 CE.</w:t>
      </w:r>
    </w:p>
    <w:p w:rsidR="00A90898" w:rsidRDefault="00A90898" w:rsidP="00A90898">
      <w:pPr>
        <w:pStyle w:val="TextoNormal"/>
      </w:pPr>
    </w:p>
    <w:p w:rsidR="00A90898" w:rsidRDefault="00A90898" w:rsidP="00A90898">
      <w:pPr>
        <w:pStyle w:val="TextoNormal"/>
      </w:pPr>
      <w:r>
        <w:t>En realidad, al prohibir determinadas actividades taurinas, la propia norma califica las corridas de toros como espectáculos taurinos y admite la existencia de otros espectáculos de esa índole, lo que, también desde esta perspectiva, evidencia que la finalidad de la norma no es sólo la protección animal, sino también la prohibición de un determinado tipo de espectáculo.</w:t>
      </w:r>
    </w:p>
    <w:p w:rsidR="00A90898" w:rsidRDefault="00A90898" w:rsidP="00A90898">
      <w:pPr>
        <w:pStyle w:val="TextoNormal"/>
      </w:pPr>
    </w:p>
    <w:p w:rsidR="00A90898" w:rsidRDefault="00A90898" w:rsidP="00A90898">
      <w:pPr>
        <w:pStyle w:val="TextoNormal"/>
      </w:pPr>
      <w:r w:rsidRPr="00A90898">
        <w:rPr>
          <w:rStyle w:val="NumeroAFNegritaCaracter"/>
        </w:rPr>
        <w:t>4</w:t>
      </w:r>
      <w:r>
        <w:t>. Comenzando nuestro análisis por la afectación al art. 149.1.29 CE, hemos de señalar que el art. 141.3 EAC, más directamente concernido en su relación con ese título estatal, establece que corresponde a la Generalitat la competencia exclusiva en materia de “espectáculos y actividades recreativas, que incluye, en todo caso, la ordenación del sector, el régimen de intervención administrativa y el control de todo tipo de espectáculos en espacios y locales públicos”. Ello responde a que desde la lógica de distribución competencial que se realiza en la Constitución y en los Estatutos de Autonomía, la referencia a espectáculos se sitúa en el ámbito de la seguridad de personas y bienes. En efecto, tal como hemos reiterado en numerosas ocasiones, el contenido de esta materia competencial alude a lo que se ha venido en llamar “policía de espectáculos” o, en definitiva, la reglamentación administrativa sobre los requisitos y condiciones que deben cumplir los espectáculos públicos para garantizar su libre desarrollo, así como la seguridad tanto de los ejecutantes como del público asistente. Como señalamos en la STC 148/2000, de 1 de junio, “habrán de incardinarse en la materia ‘espectáculos’ las prescripciones que, velando por el buen orden de los mismos, se encaucen a la protección de las personas y bienes ‘a través de una intervención administrativa ordinaria —de carácter normal y constante’— (STC 313/1994, de 24 de noviembre, FJ 6), de modo que, aun cuando la misma pueda conllevar la intervención de las fuerzas de seguridad, ello no se conciba como elemento integrante del sistema preventivo habitual del control del espectáculo. En suma, la policía de espectáculos se caracterizará por el hecho de que sus medidas o disposiciones permitan el desarrollo ordenado del acontecimiento, según la naturaleza del espectáculo de que se trate, sin necesidad de recurrir a medidas extraordinarias, pues cuando aquéllas puedan resultar insuficientes para garantizarlo será necesario arbitrar medidas de estricta ‘seguridad pública’ (STC 54/1990, de 28 de marzo, FJ 3)” (FJ 9).</w:t>
      </w:r>
    </w:p>
    <w:p w:rsidR="00A90898" w:rsidRDefault="00A90898" w:rsidP="00A90898">
      <w:pPr>
        <w:pStyle w:val="TextoNormal"/>
      </w:pPr>
    </w:p>
    <w:p w:rsidR="00A90898" w:rsidRDefault="00A90898" w:rsidP="00A90898">
      <w:pPr>
        <w:pStyle w:val="TextoNormal"/>
      </w:pPr>
      <w:r>
        <w:t xml:space="preserve">No hay duda, en este sentido, de que la Comunidad Autónoma de Cataluña ostenta competencias en materia de policía de espectáculos (diferente de la de seguridad pública, STC 148/2000, FJ 10) que le han permitido, incluso, regular aspectos que rodean al festejo taurino, como por ejemplo el establecimiento de restricciones de acceso en función de la edad que se estableció en la ya derogada Ley 22/2003, de protección de los animales. De hecho, existe una profusa regulación legal y reglamentaria del ámbito taurino (mencionada por todas las partes personadas en este recurso) que aborda su regulación desde dos perspectivas: la concerniente a la policía de espectáculos y la concerniente a la regulación del fondo del espectáculo en cuanto a su estructura y reglas técnicas y de arte. No otra cosa se deduce del Real Decreto 1771/1985, de 1 de agosto, sobre traspaso de funciones y servicios de la Administración del Estado a la Generalitat de Cataluña en materia de espectáculos, que si bien advierte que la fiesta de los toros se regirá por sus reglamentos específicos de ámbito nacional, señala que lo es, sin perjuicio de las facultades de la Generalitat de acuerdo con el </w:t>
      </w:r>
      <w:r>
        <w:lastRenderedPageBreak/>
        <w:t>presente traspaso, de lo que se desprende que la propia norma salva las atribuciones de la Comunidad Autónoma en torno a las corridas de toros consideradas como espectáculo público (en el mismo sentido, Sentencia de 20 de octubre de 1998 de la Sección Sexta de la Sala de lo Contencioso-Administrativo del Tribunal Supremo). Es conocida nuestra doctrina según la cual los decretos de traspasos no son título atributivo de competencias, sino que estas derivan de la Constitución, los Estatutos de autonomía y el resto de normas que integran el bloque de la constitucionalidad, pues estas normas no atribuyen ni reconocen competencias, sino que traspasan servicios, funciones e instituciones. Sin embargo, esa doctrina también ha admitido que tienen cierto valor interpretativo (SSTC 48/1985, de 28 de marzo; 149/1985, de 5 de noviembre; 158/1986, de 11 de diciembre; 86/1989, de 11 de mayo, y 225/1993, de 8 de julio) para determinar el alcance de las competencias (STC 153/1989, de 5 de octubre, FJ 7).</w:t>
      </w:r>
    </w:p>
    <w:p w:rsidR="00A90898" w:rsidRDefault="00A90898" w:rsidP="00A90898">
      <w:pPr>
        <w:pStyle w:val="TextoNormal"/>
      </w:pPr>
    </w:p>
    <w:p w:rsidR="00A90898" w:rsidRDefault="00A90898" w:rsidP="00A90898">
      <w:pPr>
        <w:pStyle w:val="TextoNormal"/>
      </w:pPr>
      <w:r>
        <w:t>Cuanto se lleva dicho sobre el alcance de las competencias autonómicas permite ya excluir la vulneración del art. 149.1.29 CE, en relación con la competencia sobre espectáculos públicos del art. 141.3 EAC. En efecto, el carácter exclusivo de la competencia autonómica en materia de espectáculos junto con la existente en materia de protección animal puede comprender la regulación, desarrollo y organización de tales eventos, lo que podría incluir, desde el punto de vista competencial, la facultad de prohibir determinado tipo de espectáculo por razones vinculadas a la protección animal. Ahora bien, el ejercicio de esa facultad, en la perspectiva competencial en la que nos encontramos, ha de cohonestarse con las que, en esa materia, estén reservadas al Estado, que no pueden verse perturbadas o menoscabadas. Lo que ha de llevarnos a examinar el alcance de las competencias estatales en materia de cultura que son, entonces, las que más directamente se relacionan con la prohibición que ha sido aquí impugnada, sin que el hecho de que las competencias autonómicas se afirmen asumidas con carácter exclusivo nos exima de dicho análisis, pues tal exclusividad no impide el ejercicio de las del Estado (STC 31/2010, de 28 de junio, FJ 59).</w:t>
      </w:r>
    </w:p>
    <w:p w:rsidR="00A90898" w:rsidRDefault="00A90898" w:rsidP="00A90898">
      <w:pPr>
        <w:pStyle w:val="TextoNormal"/>
      </w:pPr>
    </w:p>
    <w:p w:rsidR="00A90898" w:rsidRDefault="00A90898" w:rsidP="00A90898">
      <w:pPr>
        <w:pStyle w:val="TextoNormal"/>
      </w:pPr>
      <w:r w:rsidRPr="00A90898">
        <w:rPr>
          <w:rStyle w:val="NumeroAFNegritaCaracter"/>
        </w:rPr>
        <w:t>5</w:t>
      </w:r>
      <w:r>
        <w:t>. Los restantes títulos competenciales estatales que pueden verse afectados por la decisión autonómica son el del art. 149.2 CE, que, sin perjuicio de las competencias que podrán asumir las Comunidades Autónomas, considera el servicio de la cultura como deber y atribución esencial del Estado y el que le atribuye competencia en materia de defensa del patrimonio cultural, artístico y monumental español contra la exportación y la expoliación (art. 149.1.28 CE). De los dos, es el primero el más directamente concernido por la decisión legislativa de prohibición de determinados espectáculos taurinos, si bien ambos se encuentran estrechamente imbricados (STC 17/1991, de 31 de enero, FJ 3).</w:t>
      </w:r>
    </w:p>
    <w:p w:rsidR="00A90898" w:rsidRDefault="00A90898" w:rsidP="00A90898">
      <w:pPr>
        <w:pStyle w:val="TextoNormal"/>
      </w:pPr>
    </w:p>
    <w:p w:rsidR="00A90898" w:rsidRDefault="00A90898" w:rsidP="00A90898">
      <w:pPr>
        <w:pStyle w:val="TextoNormal"/>
      </w:pPr>
      <w:r>
        <w:t xml:space="preserve">En lo que al presente asunto interesa, el punto de partida acerca de la distribución competencial en materia de cultura es la existencia de competencias concurrentes entre Estado y Comunidades Autónomas, tal como hemos señalado desde la STC 49/1984, de 5 de abril, FJ 6, lo que justifica la intervención estatal en esta materia </w:t>
      </w:r>
      <w:r w:rsidRPr="00A90898">
        <w:rPr>
          <w:i/>
        </w:rPr>
        <w:t>ex</w:t>
      </w:r>
      <w:r>
        <w:t xml:space="preserve"> art. 149.2 CE.</w:t>
      </w:r>
    </w:p>
    <w:p w:rsidR="00A90898" w:rsidRDefault="00A90898" w:rsidP="00A90898">
      <w:pPr>
        <w:pStyle w:val="TextoNormal"/>
      </w:pPr>
    </w:p>
    <w:p w:rsidR="00A90898" w:rsidRDefault="00A90898" w:rsidP="00A90898">
      <w:pPr>
        <w:pStyle w:val="TextoNormal"/>
      </w:pPr>
      <w:r>
        <w:t xml:space="preserve">Según esta doctrina, reiterada en numerosas ocasiones, entre ellas en la STC 122/2014, de 17 de julio, FJ 3 b), “esta es la razón a que obedece el art. 149.2 de la C.E. en el que, después de reconocer la competencia autonómica afirma una competencia estatal, poniendo el acento en el servicio de la cultura como deber y atribución esencial. Hay, en fin, una competencia estatal y una competencia autonómica, en el sentido de que más que un reparto competencial vertical, lo que se produce es una concurrencia de competencias ordenada a </w:t>
      </w:r>
      <w:r>
        <w:lastRenderedPageBreak/>
        <w:t>la preservación y estímulo de los valores culturales propios del cuerpo social desde la instancia pública correspondiente”. La STC 49/1984, de 5 de abril, FJ 6, ya destacó esta idea señalando que junto a la acción autonómica en materia cultural, que “a su vez al Estado compete también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w:t>
      </w:r>
    </w:p>
    <w:p w:rsidR="00A90898" w:rsidRDefault="00A90898" w:rsidP="00A90898">
      <w:pPr>
        <w:pStyle w:val="TextoNormal"/>
      </w:pPr>
    </w:p>
    <w:p w:rsidR="00A90898" w:rsidRDefault="00A90898" w:rsidP="00A90898">
      <w:pPr>
        <w:pStyle w:val="TextoNormal"/>
      </w:pPr>
      <w:r>
        <w:t>El art. 149.2 CE dibuja así una situación de concurrencia en la medida en que Estado y Comunidades Autónomas son titulares de competencias en un ámbito material compartido, ordenado tanto a la preservación como al estímulo de los “valores culturales propios del cuerpo social” por parte de cada una de las instancias públicas habilitadas por la Constitución (el Estado central) y los respectivos Estatutos de Autonomía (Comunidades Autónomas); por todas, STC 122/2014, de 17 de julio, FJ 3 b). Existe, pues, una concurrencia no excluyente de competencias estatales y autonómicas en materia de cultura (STC 106/1987, de 25 de junio, FJ 2) pues, como concluimos en la STC 49/1984, FJ 6, la lectura del art. 149.2 CE y una reflexión sobre la vida cultural, “lleva a la conclusión de que la cultura es algo de la competencia propia e institucional tanto del Estado como de las Comunidades Autónomas”. En particular, por lo que se refiere al Estado, la doctrina constitucional ha identificado un “área de preferente atención” declarando, concretamente, que corresponde al Estado la “preservación del patrimonio cultural común”, así como “lo que precise de tratamientos generales o que no puedan lograrse desde otras instancias” (SSTC 49/1984, de 5 de abril, 157/1985, de 15 de noviembre, 106/1987, de 25 de junio, y 17/1991, de 31 de enero). Consecuentemente el Estado y las Comunidades Autónomas pueden ejercer competencias sobre cultura con independencia el uno de las otras, aunque de modo concurrente en la persecución de unos mismos objetivos genéricos o, al menos, de objetivos culturales compatibles entre sí.</w:t>
      </w:r>
    </w:p>
    <w:p w:rsidR="00A90898" w:rsidRDefault="00A90898" w:rsidP="00A90898">
      <w:pPr>
        <w:pStyle w:val="TextoNormal"/>
      </w:pPr>
    </w:p>
    <w:p w:rsidR="00A90898" w:rsidRDefault="00A90898" w:rsidP="00A90898">
      <w:pPr>
        <w:pStyle w:val="TextoNormal"/>
      </w:pPr>
      <w:r>
        <w:t>Se trata, en definitiva, de articular las competencias de modo tal que pueda ser efectivo el principio rector de garantía del acceso a la cultura (art. 44.4 y 5 CE y art. 44 EAC) y de preservación y enriquecimiento del patrimonio histórico, artístico y cultural español (art. 46 CE). Por todo ello, el art. 149.2 CE confiere al Estado una competencia concurrente con las Comunidades Autónomas en los términos que han quedado expuestos. De esta manera el Estado por la vía del art. 149.2 CE puede intervenir en materias culturales, bien de manera especialmente intensa en relación con aquellas cuestiones que requieran de tratamientos generales o que exijan de una acción pública supraordenada a la de una o varias Comunidades Autónomas.</w:t>
      </w:r>
    </w:p>
    <w:p w:rsidR="00A90898" w:rsidRDefault="00A90898" w:rsidP="00A90898">
      <w:pPr>
        <w:pStyle w:val="TextoNormal"/>
      </w:pPr>
    </w:p>
    <w:p w:rsidR="00A90898" w:rsidRDefault="00A90898" w:rsidP="00A90898">
      <w:pPr>
        <w:pStyle w:val="TextoNormal"/>
      </w:pPr>
      <w:r w:rsidRPr="00A90898">
        <w:rPr>
          <w:rStyle w:val="NumeroAFNegritaCaracter"/>
        </w:rPr>
        <w:t>6</w:t>
      </w:r>
      <w:r>
        <w:t>. Delimitada la competencia estatal en los términos expuestos, nos compete ahora analizar si la previsión autonómica que analizamos en este recurso invade o menoscaba el ejercicio de las competencias estatales en materia de cultura.</w:t>
      </w:r>
    </w:p>
    <w:p w:rsidR="00A90898" w:rsidRDefault="00A90898" w:rsidP="00A90898">
      <w:pPr>
        <w:pStyle w:val="TextoNormal"/>
      </w:pPr>
    </w:p>
    <w:p w:rsidR="00A90898" w:rsidRDefault="00A90898" w:rsidP="00A90898">
      <w:pPr>
        <w:pStyle w:val="TextoNormal"/>
      </w:pPr>
      <w:r>
        <w:t>Para ello debemos tener presente que la tauromaquia tiene una indudable presencia en la realidad social de nuestro país y, atendiendo a su carácter, no parece discutible que el Estado pueda, en primer lugar, constatar la existencia de ese fenómeno y, a partir de él, en tanto que manifestación cultural presente en la sociedad española, hacer posible una intervención estatal que encontraría amparo en las finalidades a las que sirve el art. 149.2 CE, entendido en el sentido antes expuesto.</w:t>
      </w:r>
    </w:p>
    <w:p w:rsidR="00A90898" w:rsidRDefault="00A90898" w:rsidP="00A90898">
      <w:pPr>
        <w:pStyle w:val="TextoNormal"/>
      </w:pPr>
    </w:p>
    <w:p w:rsidR="00A90898" w:rsidRDefault="00A90898" w:rsidP="00A90898">
      <w:pPr>
        <w:pStyle w:val="TextoNormal"/>
      </w:pPr>
      <w:r>
        <w:t>En efecto, las corridas de toros son una actividad con múltiples facetas o aspectos que explican la concurrencia de competencias estatales y autonómicas en su regulación, lo que no es sino consecuencia de su complejo carácter como fenómeno histórico, cultural, social, artístico, económico y empresarial, ya que participa de todos estos matices o aspectos. No obstante, en lo que ahora importa, para resolver la primera queja planteada por los recurrentes, lo que debemos examinar es si la norma autonómica, al prohibir las corridas de toros y otros espectáculos taurinos similares, constituye un adecuado ejercicio de las competencias autonómicas sobre espectáculos públicos o, por el contrario, se extralimita de modo contrario al orden constitucional de distribución de competencias, vulnerando por menoscabo las competencias estatales en materia de cultura con las que se relaciona necesariamente atendiendo a la específica naturaleza del espectáculo del que se trata.</w:t>
      </w:r>
    </w:p>
    <w:p w:rsidR="00A90898" w:rsidRDefault="00A90898" w:rsidP="00A90898">
      <w:pPr>
        <w:pStyle w:val="TextoNormal"/>
      </w:pPr>
    </w:p>
    <w:p w:rsidR="00A90898" w:rsidRDefault="00A90898" w:rsidP="00A90898">
      <w:pPr>
        <w:pStyle w:val="TextoNormal"/>
      </w:pPr>
      <w:r>
        <w:t xml:space="preserve">Para ello, una vez determinado que las corridas de toros y espectáculos similares son una expresión más de carácter cultural, de manera que pueden formar parte del patrimonio cultural común que permite una intervención del Estado dirigida a su preservación </w:t>
      </w:r>
      <w:r w:rsidRPr="00A90898">
        <w:rPr>
          <w:i/>
        </w:rPr>
        <w:t>ex</w:t>
      </w:r>
      <w:r>
        <w:t xml:space="preserve"> art. 149.2 CE, habrá que valorar si existen instrumentos normativos en que se hayan efectivamente materializado estas competencias estatales en materia de cultura, específicamente en lo relativo a las corridas de toros. Tales normas, de ser posteriores a la impugnada, serían susceptibles de ser consideradas como elementos de referencia que deben tomarse en consideración en este proceso, en línea de semejanza con la doctrina que este Tribunal ha establecido en relación con el denominado </w:t>
      </w:r>
      <w:r w:rsidRPr="00A90898">
        <w:rPr>
          <w:i/>
        </w:rPr>
        <w:t>ius superveniens</w:t>
      </w:r>
      <w:r>
        <w:t xml:space="preserve"> (por todas, STC 8/2016, de 21 de enero, FJ 2, y las allí citadas).</w:t>
      </w:r>
    </w:p>
    <w:p w:rsidR="00A90898" w:rsidRDefault="00A90898" w:rsidP="00A90898">
      <w:pPr>
        <w:pStyle w:val="TextoNormal"/>
      </w:pPr>
    </w:p>
    <w:p w:rsidR="00A90898" w:rsidRDefault="00A90898" w:rsidP="00A90898">
      <w:pPr>
        <w:pStyle w:val="TextoNormal"/>
      </w:pPr>
      <w:r>
        <w:t>Al respecto, ya la Ley 10/1991, de 4 de abril, de potestades administrativas de espectáculos taurinos, aludía en su exposición de motivos a la conexión de tales espectáculos con el fomento de la cultura que corresponde al Estado, de acuerdo con lo dispuesto en el art. 149.2 CE, conexión que determinaba que, conforme a su artículo 4.1, la Administración del Estado pudiera adoptar medidas destinadas a fomentar y proteger la preparación, organización y celebración de espectáculos taurinos “en atención a la tradición y vigencia cultural de la fiesta de los toros”.</w:t>
      </w:r>
    </w:p>
    <w:p w:rsidR="00A90898" w:rsidRDefault="00A90898" w:rsidP="00A90898">
      <w:pPr>
        <w:pStyle w:val="TextoNormal"/>
      </w:pPr>
    </w:p>
    <w:p w:rsidR="00A90898" w:rsidRDefault="00A90898" w:rsidP="00A90898">
      <w:pPr>
        <w:pStyle w:val="TextoNormal"/>
      </w:pPr>
      <w:r>
        <w:t xml:space="preserve">Con posterioridad a la promulgación de la Ley autonómica impugnada, se aprobó por el Estado la Ley 18/2013, de 12 de noviembre, para la regulación de la tauromaquia como patrimonio cultural “digno de protección en todo el territorio nacional” que establece un deber de protección y conservación de la tauromaquia; diversas medidas de fomento y protección en el ámbito de la Administración general del Estado y el principio de participación y colaboración entre las Administraciones públicas. Asimismo, el Estado ha aprobado la Ley 10/2015, de 26 de mayo, para la salvaguardia del patrimonio cultural inmaterial con el objeto de regular “la acción de salvaguardia que deben ejercer los poderes públicos sobre los bienes que integran el patrimonio cultural inmaterial, en sus respectivos ámbitos de competencias”. Ambas Leyes, aprobadas por el Estado en ejercicio, entre otras, de las competencias de los arts. 149.1.28 y 149.2 CE, si bien no constituyen parámetro directo de constitucionalidad (pues en este caso el canon viene constituido, exclusivamente, por las reglas de distribución competencial contenida en los mencionados preceptos constitucionales y los estatutarios que con ellos se relacionen), deben ser consideradas como un elemento añadido de análisis, (en un sentido similar, STC 122/2014, de 17 de julio, FJ 4, allí por referencia a la Ley 16/1985, de 25 de junio, del patrimonio histórico español) reiterando, no obstante, </w:t>
      </w:r>
      <w:r>
        <w:lastRenderedPageBreak/>
        <w:t>que lo planteado en este recurso se refiere directamente al alcance de los respectivos títulos competenciales estatales y autonómicos y, por tanto, a la verificación de si la Comunidad Autónoma, ha ejercido correctamente sus competencias o, por el contrario, al hacerlo ha menoscabado o perturbado las competencias estatales.</w:t>
      </w:r>
    </w:p>
    <w:p w:rsidR="00A90898" w:rsidRDefault="00A90898" w:rsidP="00A90898">
      <w:pPr>
        <w:pStyle w:val="TextoNormal"/>
      </w:pPr>
    </w:p>
    <w:p w:rsidR="00A90898" w:rsidRDefault="00A90898" w:rsidP="00A90898">
      <w:pPr>
        <w:pStyle w:val="TextoNormal"/>
      </w:pPr>
      <w:r>
        <w:t>La Ley 18/2013 define la tauromaquia como “el conjunto de conocimientos y actividades artísticas, creativas y productivas, incluyendo la crianza y selección del toro de lidia, que confluyen en la corrida de toros moderna y el arte de lidiar, expresión relevante de la cultura tradicional del pueblo español” —y, por extensión, toda manifestación artística y cultural vinculada a la misma— (artículo 1) que, como tal, “forma parte del patrimonio cultural digno de protección en todo el territorio nacional, de acuerdo con la normativa aplicable y los tratados internacionales sobre la materia” (artículo 2). La preservación de la tauromaquia como patrimonio cultural pasa por la imposición del deber a los poderes públicos de garantizar la conservación y promover su enriquecimiento, de acuerdo con lo previsto en el art. 46 CE (artículo 3), a través de las medidas específicas que contemplan tanto la Ley 18/2013 como la Ley 10/2015. Por su parte, la ya mencionada Ley 10/2015 reconoce en su preámbulo que las previsiones legislativas establecen un "tratamiento general” del patrimonio cultural inmaterial a la luz del notable florecimiento conceptual así como de la conciencia social y, sobre todo, en el ordenamiento jurídico internacional. Así, según el art. 2 de la Ley 10/2015 “tendrán consideración de bienes del patrimonio cultural inmaterial los usos, representaciones, expresiones, conocimientos y técnicas que las comunidades, los grupos y en algunos casos los individuos reconozcan como parte integrante de su patrimonio cultural y, en particular: a) tradiciones y expresiones orales, incluidas las modalidades y particularidades lingüísticas como vehículo del patrimonio cultural inmaterial, así como la toponimia tradicional como instrumento para la concreción de la denominación geográfica de los territorios; b) artes del espectáculo; c) usos sociales, rituales y actos festivos; d) conocimientos y usos relacionados con la naturaleza y el universo ;e) técnicas artesanales tradicionales; f) gastronomía, elaboraciones culinarias y alimentación; g) aprovechamientos específicos de los paisajes naturales; h) formas de socialización colectiva y organizaciones y j) manifestaciones sonoras, música y danza tradicional”.</w:t>
      </w:r>
    </w:p>
    <w:p w:rsidR="00A90898" w:rsidRDefault="00A90898" w:rsidP="00A90898">
      <w:pPr>
        <w:pStyle w:val="TextoNormal"/>
      </w:pPr>
    </w:p>
    <w:p w:rsidR="00A90898" w:rsidRDefault="00A90898" w:rsidP="00A90898">
      <w:pPr>
        <w:pStyle w:val="TextoNormal"/>
      </w:pPr>
      <w:r>
        <w:t>Lo hasta aquí expuesto de forma resumida acerca del patrimonio cultural inmaterial resulta relevante en la resolución de este recurso de inconstitucionalidad pues la disposición final sexta de la Ley 10/2015 establece que lo dispuesto en ella se entiende “en todo caso, sin perjuicio de las previsiones contenidas en la Ley 18/2013, de 12 de noviembre, para la regulación de la Tauromaquia como patrimonio cultural”.</w:t>
      </w:r>
    </w:p>
    <w:p w:rsidR="00A90898" w:rsidRDefault="00A90898" w:rsidP="00A90898">
      <w:pPr>
        <w:pStyle w:val="TextoNormal"/>
      </w:pPr>
    </w:p>
    <w:p w:rsidR="00A90898" w:rsidRDefault="00A90898" w:rsidP="00A90898">
      <w:pPr>
        <w:pStyle w:val="TextoNormal"/>
      </w:pPr>
      <w:r>
        <w:t>De lo anterior se deduce que el Estado, en el ejercicio, entre otras, de sus competencias derivadas del art. 149.2 CE, ha adoptado un conjunto de normas, no controvertidas competencialmente ante este Tribunal, de las que se infiere que el Estado ha declarado formalmente la tauromaquia como patrimonio cultural. Esta circunstancia es relevante a efectos del enjuiciamiento que se nos demanda pues hemos afirmado reiteradamente (SSTC 87/1985, de 16 de julio, FJ 8; 27/1987, de 27 de febrero, FJ 4; 48/1988, de 22 de marzo, FJ 3, y 154/1988, de 21 de julio, FJ 3) al precisar los términos en que debe ejercerse la fiscalización procedente en los recursos de inconstitucionalidad, que lo que nos corresponde considerar es “si un producto normativo se atempera, en el momento de nuestro examen jurisdiccional”, a los límites y condiciones a que en ese momento está constreñido.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7</w:t>
      </w:r>
      <w:r>
        <w:t>. La conservación de la tradición de las corridas de toros ya fue destacada por la Ley 10/1991, de 4 de abril, cuya exposición de motivos pone de relieve la dimensión cultural de las corridas de toros, determinante de su relación con la competencia estatal de fomento de la cultura del art. 149.2 CE. Aspecto igualmente destacado en la Sentencia de la Sección Sexta de la Sala de lo Contencioso-Administrativo del Tribunal Supremo de 20 de octubre de 1998 que señala la conexión existente entra la fiesta de los toros y el patrimonio cultural español. Se trata, en todo caso, de regulaciones relativas a una actividad, las corridas de toros, existente con anterioridad a las normas que sobre ella inciden dado que la calificación de la lidia del toro como tradición integrante del patrimonio de nuestro país, no resulta ajena ni a los pronunciamientos de la jurisdicción ordinaria ni a su tratamiento en el derecho positivo. Así las cosas, la consideración de la tauromaquia, y, por tanto, de las corridas de toros, como patrimonio cultural inmaterial español que operan las leyes estales antes citadas podría discutirse desde el punto de vista de la opción tomada por el legislador pero, en la perspectiva que nos es propia, no puede considerarse un ejercicio excesivo de las competencias que corresponden al Estado en materia de cultura (art. 149.2 CE), sin que tampoco tales decisiones hayan sido discutidas ante este Tribunal.</w:t>
      </w:r>
    </w:p>
    <w:p w:rsidR="00A90898" w:rsidRDefault="00A90898" w:rsidP="00A90898">
      <w:pPr>
        <w:pStyle w:val="TextoNormal"/>
      </w:pPr>
    </w:p>
    <w:p w:rsidR="00A90898" w:rsidRDefault="00A90898" w:rsidP="00A90898">
      <w:pPr>
        <w:pStyle w:val="TextoNormal"/>
      </w:pPr>
      <w:r>
        <w:t>No altera la anterior conclusión, la existencia de rechazo, desafección o desinterés de parte de la población respecto a este espectáculo. En este momento, el hecho que la aceptación de ese carácter no sea pacífico, no priva a las corridas de toros, en la decisión del legislador estatal, de su carácter cultural pues, existiendo en la realidad social española, el Estado contribuye así a su conservación mediante una acción de salvaguarda de una manifestación subyacente que entiende digna de protección en tanto que integrada en el genérico concepto constitucional de cultura, cuya salvaguarda incumbe a todos los poderes públicos en el ejercicio de sus respectivas competencias. De este modo, en lo que respecta a la naturaleza de la disposiciones estatales resulta que ambas expresan una actuación legislativa en materia de cultura, dirigida específicamente a la preservación de la manifestación que son las corridas de toros, pues, se comparta o no, no cabe ahora desconocer la conexión existente entre las corridas de toros y el patrimonio cultural español, lo que, a estos efectos, legitima la intervención normativa estatal. Como este Tribunal ya ha tenido ocasión de señalar (entre otras, SSTC 49/1984, 157/1985 y 106/1987), “la cultura es algo de la competencia propia e institucional, tanto del Estado como de las Comunidades Autónomas...” y a esa razón “obedece el art. 149.2 CE en el que después de reconocer la competencia autonómica se afirma una competencia estatal, poniendo el acento en el servicio de la cultura como deber y atribución esencial” (STC 17/1991, FJ 2).</w:t>
      </w:r>
    </w:p>
    <w:p w:rsidR="00A90898" w:rsidRDefault="00A90898" w:rsidP="00A90898">
      <w:pPr>
        <w:pStyle w:val="TextoNormal"/>
      </w:pPr>
    </w:p>
    <w:p w:rsidR="00A90898" w:rsidRDefault="00A90898" w:rsidP="00A90898">
      <w:pPr>
        <w:pStyle w:val="TextoNormal"/>
      </w:pPr>
      <w:r>
        <w:t>Constatando la relación existente entre la cultura y las corridas de toros y espectáculos similares en tanto que fenómeno histórico, artístico y cultural, tampoco es razonable entender que el deber que a los poderes públicos incumbe de garantizar la conservación y promover el enriquecimiento del patrimonio cultural (art. 46 CE), imponga la obligación de mantener de modo incondicional una interpretación que tienda al mantenimiento de todas las manifestaciones inherentes a los espectáculos tradicionales, como pueden ser las corridas de toros, sin tener en cuenta otros intereses y derechos protegidos y, en lo que aquí especialmente interesa, otros valores culturales, a veces contrapuestos, que han de ser también adecuadamente ponderados.</w:t>
      </w:r>
    </w:p>
    <w:p w:rsidR="00A90898" w:rsidRDefault="00A90898" w:rsidP="00A90898">
      <w:pPr>
        <w:pStyle w:val="TextoNormal"/>
      </w:pPr>
    </w:p>
    <w:p w:rsidR="00A90898" w:rsidRDefault="00A90898" w:rsidP="00A90898">
      <w:pPr>
        <w:pStyle w:val="TextoNormal"/>
      </w:pPr>
      <w:r>
        <w:t xml:space="preserve">Así, desde la lógica de la concurrencia competencial existente en materia de cultura, las concepciones que los diversos poderes públicos responsables de cumplir el mandato del art. </w:t>
      </w:r>
      <w:r>
        <w:lastRenderedPageBreak/>
        <w:t>46 CE puedan tener de lo que se entienda como expresión cultural susceptible de protección, pueden ser comunes y también heterogéneas, e incluso opuestas. En otros términos, esa valoración entra también dentro de la libertad de configuración que corresponde al legislador autonómico en la interpretación de los deseos u opiniones que sobre esta cuestión existen en la sociedad catalana a la hora de legislar en el ejercicio de sus competencias sobre espectáculos públicos. Ahora bien, dichas diferencias han de manifestarse de modo conforme al orden constitucional de distribución de competencias en el que las decisiones autonómicas encuentran su fundamento, de manera que no pueden llegar al extremo de impedir, perturbar o menoscabar el ejercicio legítimo de las competencias del Estado en materia de cultura al amparo del art. 149.2 CE. Ya hemos recordado que este precepto incluye un mandato constitucional expreso que implica la atribución al Estado de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(STC 49/1984, de 5 de abril, FJ 6). Mandato, como recuerda la STC 31/2010, FJ 73, “a cuya satisfacción viene obligado el Estado de manera indubitada y que no admite actuación que la impida o dificulte por parte de las Comunidades Autónomas”.</w:t>
      </w:r>
    </w:p>
    <w:p w:rsidR="00A90898" w:rsidRDefault="00A90898" w:rsidP="00A90898">
      <w:pPr>
        <w:pStyle w:val="TextoNormal"/>
      </w:pPr>
    </w:p>
    <w:p w:rsidR="00A90898" w:rsidRDefault="00A90898" w:rsidP="00A90898">
      <w:pPr>
        <w:pStyle w:val="TextoNormal"/>
      </w:pPr>
      <w:r>
        <w:t>Por esa razón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cuando ha sido considerada digna de protección por el legislador estatal en los términos que ya han quedado expuestos.</w:t>
      </w:r>
    </w:p>
    <w:p w:rsidR="00A90898" w:rsidRDefault="00A90898" w:rsidP="00A90898">
      <w:pPr>
        <w:pStyle w:val="TextoNormal"/>
      </w:pPr>
    </w:p>
    <w:p w:rsidR="00A90898" w:rsidRDefault="00A90898" w:rsidP="00A90898">
      <w:pPr>
        <w:pStyle w:val="TextoNormal"/>
      </w:pPr>
      <w:r>
        <w:t>Ello no significa que la Comunidad Autónoma, no pueda, en ejercicio de sus competencias sobre ordenación de espectáculos públicos, regular el desarrollo de las representaciones taurinas —como, de hecho, ya ha realizó la Comunidad Autónoma en una Ley previa que limitaba el acceso a las corridas a los mayores de 14 años y restringía sus celebraciones a las plazas ya construidas—; ni tampoco que, en ejercicio de su competencia en materia de protección de animales, pueda establecer requisitos para el especial cuidado y atención del toro bravo. Tampoco significa que tenga que adoptar medidas concretas de fomento en relación a las corridas de toros y otros espectáculos similares, al modo de las que sí se prevén, en cambio, para los correbous como manifestación específica del patrimonio cultural catalán; pero una medida prohibitiva como la aquí analizada menoscaba por su propia naturaleza el ejercicio de una competencia concurrente del Estado (art. 149.2 CE) que responde también al mandato constitucional del art. 46 CE.</w:t>
      </w:r>
    </w:p>
    <w:p w:rsidR="00A90898" w:rsidRDefault="00A90898" w:rsidP="00A90898">
      <w:pPr>
        <w:pStyle w:val="TextoNormal"/>
      </w:pPr>
    </w:p>
    <w:p w:rsidR="00A90898" w:rsidRDefault="00A90898" w:rsidP="00A90898">
      <w:pPr>
        <w:pStyle w:val="TextoNormal"/>
      </w:pPr>
      <w:r>
        <w:t>El respeto y la protección de la diversidad cultural “de los pueblos de España” que deriva del citado art. 46 CE, trata de garantizar que aquellas tradiciones implantadas a nivel nacional se vean complementadas y enriquecidas con las tradiciones y culturas propias de las Comunidades Autónomas.</w:t>
      </w:r>
    </w:p>
    <w:p w:rsidR="00A90898" w:rsidRDefault="00A90898" w:rsidP="00A90898">
      <w:pPr>
        <w:pStyle w:val="TextoNormal"/>
      </w:pPr>
    </w:p>
    <w:p w:rsidR="00A90898" w:rsidRDefault="00A90898" w:rsidP="00A90898">
      <w:pPr>
        <w:pStyle w:val="TextoNormal"/>
      </w:pPr>
      <w:r>
        <w:t xml:space="preserve">En conclusión, debemos declarar la inconstitucionalidad del art. 1 de la Ley 28/2010, de 3 de agosto, de modificación del art. 6 del texto refundido de la Ley de protección de los animales, aprobado por Decreto Legislativo 2/2008, de 15 de abril, por incurrir en un exceso </w:t>
      </w:r>
      <w:r>
        <w:lastRenderedPageBreak/>
        <w:t>en el ejercicio de las competencias autonómicas que invade o menoscaba las que el art. 149.2 CE otorga al Estado, ejercidas en los términos que antes se han expuesto.</w:t>
      </w:r>
    </w:p>
    <w:p w:rsidR="00A90898" w:rsidRDefault="00A90898" w:rsidP="00A90898">
      <w:pPr>
        <w:pStyle w:val="TextoNormal"/>
      </w:pPr>
    </w:p>
    <w:p w:rsidR="00A90898" w:rsidRDefault="00A90898" w:rsidP="00A90898">
      <w:pPr>
        <w:pStyle w:val="TextoNormal"/>
      </w:pPr>
      <w:r w:rsidRPr="00A90898">
        <w:rPr>
          <w:rStyle w:val="NumeroAFNegritaCaracter"/>
        </w:rPr>
        <w:t>8</w:t>
      </w:r>
      <w:r>
        <w:t>. Habiendo estimado el recurso por los motivos expresados en los fundamentos jurídicos anteriores, no resulta ya preciso analizar la norma ni desde la perspectiva de la posible vulneración del art. 149.1.13 en relación con el art. 139.2 CE, ni desde la de la vulneración de los arts. 20.1 d) y 38 CE.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presente recurso de inconstitucionalidad y, en consecuencia, declarar inconstitucional y nulo el art. 1 de la Ley del Parlamento de Cataluña 28/2010, de 3 de agosto, de modificación del art. 6 del texto refundido de la Ley de protección de los animales, aprobado por Decreto Legislativo 2/2008, de 15 de abril.</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veinte de octubre de dos mil dieciséis.</w:t>
      </w:r>
    </w:p>
    <w:p w:rsidR="00A90898" w:rsidRDefault="00A90898" w:rsidP="00A90898">
      <w:pPr>
        <w:pStyle w:val="ParrafoNormal"/>
      </w:pPr>
    </w:p>
    <w:p w:rsidR="00A90898" w:rsidRDefault="00A90898" w:rsidP="00A90898">
      <w:pPr>
        <w:pStyle w:val="TextoNormalNegritaCentrado"/>
        <w:keepNext/>
      </w:pPr>
      <w:r>
        <w:t>Voto particular que formulan la Magistrada doña Adela Asua Batarrita y el Magistrado don Fernando Valdés Dal-Ré a la Sentencia dictada en el recurso de inconstitucionalidad núm. 7722-2010.</w:t>
      </w:r>
    </w:p>
    <w:p w:rsidR="00A90898" w:rsidRDefault="00A90898" w:rsidP="00A90898">
      <w:pPr>
        <w:pStyle w:val="TextoNormalNegritaCentrado"/>
        <w:keepNext/>
      </w:pPr>
    </w:p>
    <w:p w:rsidR="00A90898" w:rsidRDefault="00A90898" w:rsidP="00A90898">
      <w:pPr>
        <w:pStyle w:val="TextoNormal"/>
      </w:pPr>
      <w:r>
        <w:t>En ejercicio de la facultad que nos confiere el art. 90.2 de la Ley Orgánica del Tribunal Constitucional, y con pleno respeto a la opinión de la mayoría del Tribunal, formulamos Voto particular tanto a la fundamentación como al fallo de esta Sentencia.</w:t>
      </w:r>
    </w:p>
    <w:p w:rsidR="00A90898" w:rsidRDefault="00A90898" w:rsidP="00A90898">
      <w:pPr>
        <w:pStyle w:val="TextoNormal"/>
      </w:pPr>
    </w:p>
    <w:p w:rsidR="00A90898" w:rsidRDefault="00A90898" w:rsidP="00A90898">
      <w:pPr>
        <w:pStyle w:val="TextoNormal"/>
      </w:pPr>
      <w:r>
        <w:t>Nuestra discrepancia versa sobre dos aspectos, el encuadramiento competencial y la apreciación de un conflicto normativo que deba conducir a la declaración de inconstitucionalidad y nulidad del precepto autonómico impugnado.</w:t>
      </w:r>
    </w:p>
    <w:p w:rsidR="00A90898" w:rsidRDefault="00A90898" w:rsidP="00A90898">
      <w:pPr>
        <w:pStyle w:val="TextoNormal"/>
      </w:pPr>
    </w:p>
    <w:p w:rsidR="00A90898" w:rsidRDefault="00A90898" w:rsidP="00A90898">
      <w:pPr>
        <w:pStyle w:val="TextoNormal"/>
      </w:pPr>
      <w:r>
        <w:t>La Sentencia estima el recurso de inconstitucionalidad por el primero de los motivos de impugnación que lo sustentan. En síntesis, los recurrentes argumentaron que la fiesta de los toros forma parte del patrimonio cultural de España y, por tanto, su prohibición vulnera las competencias estatales derivadas del art. 149.1, apartados 28 y 29, en conexión con el art. 149.2 CE. La Sentencia, con buen criterio, excluye el art. 149.1.29 CE como título competencial concernido en este ámbito, y se queda con los títulos estatales derivados de los arts. 149.1.28 y 149.2 CE.</w:t>
      </w:r>
    </w:p>
    <w:p w:rsidR="00A90898" w:rsidRDefault="00A90898" w:rsidP="00A90898">
      <w:pPr>
        <w:pStyle w:val="TextoNormal"/>
      </w:pPr>
    </w:p>
    <w:p w:rsidR="00A90898" w:rsidRDefault="00A90898" w:rsidP="00A90898">
      <w:pPr>
        <w:pStyle w:val="TextoNormal"/>
      </w:pPr>
      <w:r>
        <w:t xml:space="preserve">Nuestro primer motivo de discrepancia es, como se ha indicado, el encuadramiento competencial. Discernir el título competencial prevalente o específico en que se encuadra una </w:t>
      </w:r>
      <w:r>
        <w:lastRenderedPageBreak/>
        <w:t>norma o un acto controvertido es el presupuesto necesario para poder verificar a continuación si efectivamente tiene suficiente cobertura competencial y si, en su caso, el título competencial ejercido ha de conciliarse con el título competencial que corresponde a otra entidad territorial. Sin embargo, la Sentencia no aclara cuál de los dos citados títulos estatales es el pertinente o específico para encuadrar el problema, sino que se mantiene en una calculada ambigüedad mediante la utilización de los dos al mismo tiempo, aunque alude preferentemente al art. 149.2 CE.</w:t>
      </w:r>
    </w:p>
    <w:p w:rsidR="00A90898" w:rsidRDefault="00A90898" w:rsidP="00A90898">
      <w:pPr>
        <w:pStyle w:val="TextoNormal"/>
      </w:pPr>
    </w:p>
    <w:p w:rsidR="00A90898" w:rsidRDefault="00A90898" w:rsidP="00A90898">
      <w:pPr>
        <w:pStyle w:val="TextoNormal"/>
      </w:pPr>
      <w:r>
        <w:t xml:space="preserve">La razón de la utilización acumulativa de ambos títulos competenciales —o, si se prefiere, de la no exclusión del amparo competencial que puede proporcionar el art. 149.2 CE— estribaría en la suma de las ventajas e inconvenientes que aportan cada una de las competencias a la fundamentación de la competencia estatal. Por un lado, el art. 149.2 CE señala que “sin perjuicio de las competencias que podrán asumir las CCAA, el Estado considerará el servicio de la cultura como deber y atribución esencial y facilitará la comunicación cultural entre las Comunidades Autónomas, de acuerdo con ellas”. Así pues, el título que deriva del art. 149.2 CE es, </w:t>
      </w:r>
      <w:r w:rsidRPr="00A90898">
        <w:rPr>
          <w:i/>
        </w:rPr>
        <w:t>prima facie</w:t>
      </w:r>
      <w:r>
        <w:t xml:space="preserve">, más genérico que el art. 149.1.28 CE, el cual se limita a la “defensa del patrimonio cultural, artístico y monumental español contra la exportación y la expoliación”, además de los museos, bibliotecas y archivos de titularidad estatal. En efecto, las medidas estatales de protección de la tauromaquia no parecen encajar en la interpretación bastante estricta que el Tribunal Constitucional ha dado al título estatal </w:t>
      </w:r>
      <w:r w:rsidRPr="00A90898">
        <w:rPr>
          <w:i/>
        </w:rPr>
        <w:t>ex</w:t>
      </w:r>
      <w:r>
        <w:t xml:space="preserve"> art. 149.1.28 (compárese a este respecto la STC 122/2014, de 17 de julio, FJ 2). Por otro lado, hasta la fecha el art. 149.2 CE no había sido interpretado como un título legislativo. La STC 17/1991, de 31 de enero, FFJJ 2 y 3, realizó consideraciones algo ambiguas sobre la relación entre los arts. 149.2 y 149.1.28 CE a propósito del patrimonio histórico artístico, pero finalmente señaló lo siguiente:</w:t>
      </w:r>
    </w:p>
    <w:p w:rsidR="00A90898" w:rsidRDefault="00A90898" w:rsidP="00A90898">
      <w:pPr>
        <w:pStyle w:val="TextoNormal"/>
      </w:pPr>
    </w:p>
    <w:p w:rsidR="00A90898" w:rsidRDefault="00A90898" w:rsidP="00A90898">
      <w:pPr>
        <w:pStyle w:val="TextoNormal"/>
      </w:pPr>
      <w:r>
        <w:t>“No cabe sin embargo extender la competencia estatal a ámbitos no queridos por el constituyente, por efecto de aquella incardinación general del patrimonio histórico artístico en el término cultural, pues por esta vía se dejarían vacíos de contenido los títulos del bloque de la constitucionalidad que se limitan a regular una porción definida del amplio espectro de la misma. Existe en la materia que nos ocupa un título de atribución al Estado definido en el art. 149.1.28 C.E. al que se contrapone el que atribuye competencias a las Comunidades fundado en los Estatutos de Autonomía. De ahí que la distribución de competencias Estado-Comunidades Autónomas en cuanto al Patrimonio Cultural, Artístico y Monumental haya de partir de aquel título estatal pero articulándolo con los preceptos estatutarios que definen competencias asumidas por las Comunidades Autónomas en la materia. El Estado ostenta, pues, la competencia exclusiva en la defensa de dicho patrimonio contra la exportación y la expoliación, y las Comunidades Autónomas recurrentes en lo restante, según sus respectivos Estatutos; sin que ello implique que la eventual afectación de intereses generales o la concurrencia de otros títulos competenciales del Estado en materia determinada no deban también tenerse presentes como límites que habrá que ponderar en cada caso concreto.”</w:t>
      </w:r>
    </w:p>
    <w:p w:rsidR="00A90898" w:rsidRDefault="00A90898" w:rsidP="00A90898">
      <w:pPr>
        <w:pStyle w:val="TextoNormal"/>
      </w:pPr>
    </w:p>
    <w:p w:rsidR="00A90898" w:rsidRDefault="00A90898" w:rsidP="00A90898">
      <w:pPr>
        <w:pStyle w:val="TextoNormal"/>
      </w:pPr>
      <w:r>
        <w:t xml:space="preserve">A la luz de la jurisprudencia previa, el “servicio de la cultura como deber y atribución esencial” (art. 149.2 CE) no incluye una competencia legislativa. Es una competencia estatal adicional, sí, pero no una competencia de contenido funcional pleno (legislativo y ejecutivo) que tenga la capacidad de desplazar a las competencias autonómicas —incluso exclusivas— que puedan recaer sobre el mismo objeto, pues de lo contrario recortaría enormemente las competencias autonómicas tanto en materia de cultura como en otras materias (p. ej., como </w:t>
      </w:r>
      <w:r>
        <w:lastRenderedPageBreak/>
        <w:t>ocurre en el presente caso, espectáculos públicos y protección animal que puede englobarse dentro de medio ambiente). Los títulos competenciales que amparan la acción legislativa del Estado están en el art. 149.1 CE. Si el Estado no tiene competencia para legislar con arreglo al art. 149.1 CE, no puede acudir como segunda opción al art. 149.2 CE, con la finalidad de “constatar” la existencia de una manifestación cultural presente en la sociedad española y, sobre esa base, desplegar una intervención estatal de contenido regulatorio que constriña las competencias autonómicas.</w:t>
      </w:r>
    </w:p>
    <w:p w:rsidR="00A90898" w:rsidRDefault="00A90898" w:rsidP="00A90898">
      <w:pPr>
        <w:pStyle w:val="TextoNormal"/>
      </w:pPr>
    </w:p>
    <w:p w:rsidR="00A90898" w:rsidRDefault="00A90898" w:rsidP="00A90898">
      <w:pPr>
        <w:pStyle w:val="TextoNormal"/>
      </w:pPr>
      <w:r>
        <w:t xml:space="preserve">Sin embargo, es eso lo que, de forma más o menos elaborada, sostiene la mayoría que sustenta la Sentencia. Al final del fundamento jurídico 5 se afirma, en efecto, lo siguiente: “el Estado por la vía del art. 149.2 CE puede intervenir en materias culturales, bien de manera especialmente intensa en relación con aquellas cuestiones que requieran de tratamientos generales o que exijan de una acción pública supraordenada a la de una o varias Comunidades Autónomas”. De ahí que en el fundamento jurídico 6 la Sentencia considere que las dos leyes estatales que, a modo de </w:t>
      </w:r>
      <w:r w:rsidRPr="00A90898">
        <w:rPr>
          <w:i/>
        </w:rPr>
        <w:t>ius superveniens</w:t>
      </w:r>
      <w:r>
        <w:t>, se van a utilizar como materialización del ejercicio competencial estatal se fundamentan indistintamente en los arts. 149.1.28 y 149.2 CE: la Ley 18/2013 que regula la tauromaquia como patrimonio cultural, y la Ley 20/2015 de salvaguardia del patrimonio cultural inmaterial.</w:t>
      </w:r>
    </w:p>
    <w:p w:rsidR="00A90898" w:rsidRDefault="00A90898" w:rsidP="00A90898">
      <w:pPr>
        <w:pStyle w:val="TextoNormal"/>
      </w:pPr>
    </w:p>
    <w:p w:rsidR="00A90898" w:rsidRDefault="00A90898" w:rsidP="00A90898">
      <w:pPr>
        <w:pStyle w:val="TextoNormal"/>
      </w:pPr>
      <w:r>
        <w:t>El segundo motivo de discrepancia se refiere a la forma de aplicar el canon. Una vez señalado el enunciado de la Ley catalana y de las Leyes que se utilizan como expresión del ejercicio competencial estatal, la Sentencia llega a la conclusión de que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El menoscabo se afirma de forma apodíctica, sin concretar de qué forma se impide en Cataluña el ejercicio de la competencia estatal dirigida a conservar esa tradición cultural. La Sentencia se limita a señalar que “directamente, [se] hace imposible dicha preservación” o que “una medida prohibitiva como la aquí analizada menoscaba por su propia naturaleza el ejercicio de una competencia concurrente del Estado (art. 149.2 CE)”. Al no precisar el contenido y alcance de la interferencia, tampoco es posible determinar qué tipo de medidas autonómicas podrían quedar al abrigo de una posible declaración de inconstitucionalidad, por menoscabo de las competencias estatales sobre cultura. ¿Podría conservarse la norma autonómica anteriormente vigente que no permitía las corridas de toros salvo en las plazas construidas para su celebración en la fecha de entrada en vigor de la Ley 3/1988, de 4 de marzo, de protección de los animales? ¿Incluso aunque las plazas en activo sean en la actualidad únicamente una o dos?</w:t>
      </w:r>
    </w:p>
    <w:p w:rsidR="00A90898" w:rsidRDefault="00A90898" w:rsidP="00A90898">
      <w:pPr>
        <w:pStyle w:val="TextoNormal"/>
      </w:pPr>
    </w:p>
    <w:p w:rsidR="00A90898" w:rsidRDefault="00A90898" w:rsidP="00A90898">
      <w:pPr>
        <w:pStyle w:val="TextoNormal"/>
      </w:pPr>
      <w:r>
        <w:t xml:space="preserve">Mediante el planteamiento expuesto, la mayoría del Pleno se acoge a una preocupante línea jurisprudencial recientemente en expansión en el ámbito de las controversias competenciales, que ya no se limita a expulsar del ordenamiento jurídico aquellas normas autonómicas que incurren en una </w:t>
      </w:r>
      <w:r w:rsidRPr="00A90898">
        <w:rPr>
          <w:i/>
        </w:rPr>
        <w:t>contradicción normativa</w:t>
      </w:r>
      <w:r>
        <w:t xml:space="preserve"> frontal e insalvable con el enunciado de una norma perteneciente al bloque de la constitucionalidad, sino que adopta como noción de inconstitucionalidad una difusa idea de </w:t>
      </w:r>
      <w:r w:rsidRPr="00A90898">
        <w:rPr>
          <w:i/>
        </w:rPr>
        <w:t>menoscabo competencial</w:t>
      </w:r>
      <w:r>
        <w:t xml:space="preserve"> que aplica a normas autonómicas que cuentan con un amparo competencial inequívoco (véase SSTC 93/2015, de 14 de mayo, FJ 18, y 8/2016, de 21 de enero, FJ 5). De la mano de esa construcción </w:t>
      </w:r>
      <w:r>
        <w:lastRenderedPageBreak/>
        <w:t>jurisprudencial ya no sería necesario que se acreditara la existencia de un precepto estatal que contuviera un mandato normativo incompatible con el enunciado de la norma autonómica. Bastaría la mera constatación, sin desarrollo ulterior, de que el contenido de una norma autonómica menoscaba las competencias estatales, ya sea en abstracto o a través de su materialización en ciertas normas estatales, para proceder a declarar su inconstitucionalidad y nulidad. Con ello se redefine la noción de inconstitucionalidad y el juicio de constitucionalidad se desliza por una pendiente peligrosa. Con la noción tradicional de inconstitucionalidad basada en la contradicción normativa, la dignidad del legislador democrático se salvaguarda con la técnica de la interpretación conforme, que permite salvar de la declaración de inconstitucionalidad aquella parte del programa normativo de la norma enjuiciada que puede conciliarse con la norma de contraste. Sin embargo, con la noción del menoscabo competencial el ámbito legítimo de la intervención legislativa se mantiene en una gran incertidumbre, porque la noción se basa en apreciaciones subjetivas sobre el grado tolerable o intolerable de interferencia o de incompatibilidad. Como se decía en los Votos particulares que formulamos a la STC 93/2015, de 14 de mayo, el control de constitucionalidad de normas en el ámbito de las competencias compartidas o de las competencias exclusivas autonómicas sobre las que pueden incidir las competencias transversales estatales (como el art. 149.1.13 CE) no tiene como cometido enjuiciar la mayor o menor compatibilidad o coherencia entre políticas, medidas u objetivos estatales y autonómicos, sino solo la posible contradicción normativa; es decir, el control de constitucionalidad de una norma autonómica no se dirige a detectar eventuales interferencias con normas estatales en el plano aplicativo. En la STC 93/2015 se consideró que la medida autonómica impugnada constituía “un obstáculo significativo para la eficacia de la medida de política económica” del Estado, esto es, desde la perspectiva de la finalidad perseguida por las medidas estatales, aunque las medidas estatales y autonómicas no eran incompatibles entre sí. Aquí se reprocha a una medida autonómica de protección animal el que, “por su naturaleza”, menoscabe las competencias estatales en materia de cultura, por cuanto que el legislador ha aprobado una ley para la salvaguarda de la tauromaquia.</w:t>
      </w:r>
    </w:p>
    <w:p w:rsidR="00A90898" w:rsidRDefault="00A90898" w:rsidP="00A90898">
      <w:pPr>
        <w:pStyle w:val="TextoNormal"/>
      </w:pPr>
    </w:p>
    <w:p w:rsidR="00A90898" w:rsidRDefault="00A90898" w:rsidP="00A90898">
      <w:pPr>
        <w:pStyle w:val="TextoNormal"/>
      </w:pPr>
      <w:r>
        <w:t>La definición legal de tauromaquia en la Ley 18/2013 como objeto de protección es amplísima (“conjunto de conocimientos y actividades artísticas, creativas y productivas, incluyendo la crianza y selección del toro de lidia”). Por esa razón, la conservación de la tauromaquia como mandato normativo —que prescribe el art. 3 de la mencionada Ley— adolece de indeterminación normativa, y no resulta idónea para declarar inconstitucional una norma autonómica que establece una prohibición precisa y que cuenta con un amparo inequívoco en las competencias de la Comunidad Autónoma. Esa prohibición no resulta caprichosa, pues está fundamentada en una finalidad legítima de protección animal; tampoco es repentina, pues el legislador autonómico ha ido incrementando el nivel de abolicionismo progresivamente, a partir de la promulgación de la Ley 3/1988, de 4 de marzo, de protección de los animales, en consonancia con la cada vez menor asistencia pública y el consiguiente menor interés que suscita ese tipo de espectáculos.</w:t>
      </w:r>
    </w:p>
    <w:p w:rsidR="00A90898" w:rsidRDefault="00A90898" w:rsidP="00A90898">
      <w:pPr>
        <w:pStyle w:val="TextoNormal"/>
      </w:pPr>
    </w:p>
    <w:p w:rsidR="00A90898" w:rsidRDefault="00A90898" w:rsidP="00A90898">
      <w:pPr>
        <w:pStyle w:val="TextoNormal"/>
      </w:pPr>
      <w:r>
        <w:t xml:space="preserve">La norma estatal que protege la tauromaquia en general se puede cumplir de muchas formas y en ningún momento impone que se deban celebrar corridas de toros en todo el territorio del Estado o en un número mínimo o con una cierta periodicidad, ni que las Administraciones públicas deban velar por ello. Sin duda el carácter prohibitivo de la norma catalana impide que los particulares desarrollen, en el ámbito territorial de Cataluña, un </w:t>
      </w:r>
      <w:r>
        <w:lastRenderedPageBreak/>
        <w:t>cierto tipo de actividades relacionadas con la tauromaquia. Pero la Ley autonómica no cuestiona el carácter de bien cultural que la Ley estatal asigna a la tauromaquia: tampoco impide la realización y el desarrollo del resto del amplísimo conjunto de conocimientos y actividades artísticas, creativas y productivas que componen la tauromaquia, ni se prohíbe en su territorio la crianza del toro de lidia, ni la creación de escuelas o asociaciones de todo tipo relacionadas con la tauromaquia. Y no se ha acreditado que al Estado se le impida desarrollar ninguna de las medidas de fomento y de protección contempladas expresamente en el art. 5 de la propia Ley 18/2013 justamente en el ámbito de la Administración general del Estado.</w:t>
      </w:r>
    </w:p>
    <w:p w:rsidR="00A90898" w:rsidRDefault="00A90898" w:rsidP="00A90898">
      <w:pPr>
        <w:pStyle w:val="TextoNormal"/>
      </w:pPr>
    </w:p>
    <w:p w:rsidR="00A90898" w:rsidRDefault="00A90898" w:rsidP="00A90898">
      <w:pPr>
        <w:pStyle w:val="TextoNormal"/>
      </w:pPr>
      <w:r>
        <w:t>Por todo ello, consideramos que una desestimación del recurso de inconstitucionalidad habría sido una decisión más respetuosa con las competencias ejercidas por la Comunidad Autónoma.</w:t>
      </w:r>
    </w:p>
    <w:p w:rsidR="00A90898" w:rsidRDefault="00A90898" w:rsidP="00A90898">
      <w:pPr>
        <w:pStyle w:val="TextoNormal"/>
      </w:pPr>
    </w:p>
    <w:p w:rsidR="00A90898" w:rsidRDefault="00A90898" w:rsidP="00A90898">
      <w:pPr>
        <w:pStyle w:val="TextoNormal"/>
      </w:pPr>
      <w:r>
        <w:t>Madrid, a veinte de octubre de dos mil dieciséis.-Adela Asua Batarrita.-Fernando Valdés Dal-Ré.-Firmado y rubricado.</w:t>
      </w:r>
    </w:p>
    <w:p w:rsidR="00A90898" w:rsidRDefault="00A90898" w:rsidP="00A90898">
      <w:pPr>
        <w:pStyle w:val="TextoNormal"/>
      </w:pPr>
    </w:p>
    <w:p w:rsidR="00A90898" w:rsidRDefault="00A90898" w:rsidP="00A90898">
      <w:pPr>
        <w:pStyle w:val="TextoNormalNegritaCentrado"/>
        <w:keepNext/>
      </w:pPr>
      <w:r>
        <w:t>Voto particular que formula el Magistrado don Juan Antonio Xiol Ríos a la Sentencia dictada en el recurso de inconstitucionalidad núm. 7722-2010.</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Pleno en la que se sustenta la sentencia, manifiesto mi discrepancia con la fundamentación jurídica y con el fallo. Considero que debería haber sido desestimatorio.</w:t>
      </w:r>
    </w:p>
    <w:p w:rsidR="00A90898" w:rsidRDefault="00A90898" w:rsidP="00A90898">
      <w:pPr>
        <w:pStyle w:val="TextoNormal"/>
      </w:pPr>
    </w:p>
    <w:p w:rsidR="00A90898" w:rsidRDefault="00A90898" w:rsidP="00A90898">
      <w:pPr>
        <w:pStyle w:val="TextoNormal"/>
      </w:pPr>
      <w:r>
        <w:t>Planteamiento.</w:t>
      </w:r>
    </w:p>
    <w:p w:rsidR="00A90898" w:rsidRDefault="00A90898" w:rsidP="00A90898">
      <w:pPr>
        <w:pStyle w:val="TextoNormal"/>
      </w:pPr>
    </w:p>
    <w:p w:rsidR="00A90898" w:rsidRDefault="00A90898" w:rsidP="00A90898">
      <w:pPr>
        <w:pStyle w:val="TextoNormal"/>
      </w:pPr>
      <w:r>
        <w:t>1. El objeto de este recurso de inconstitucionalidad es determinar si la decisión de la Comunidad Autónoma de Cataluña de excluir determinados espectáculos taurinos de las excepciones reconocidas frente a la prohibición general de utilización de animales en espectáculos cruentos, adoptada en el ejercicio de sus competencias exclusivas en materia de protección de los animales [art. 116.1 d) del Estatuto de Autonomía de Cataluña (EAC)] y espectáculos públicos (art. 141.3 EAC), es inconstitucional por oponerse a la decisión del Estado de establecer un deber de protección de la tauromaquia, adoptada en el ejercicio de su competencia, concurrente con la de la Comunidad Autónoma, en materia de protección de la cultura (art. 149.2 CE) establecida en la Ley 18/2013, de 12 de noviembre. La opinión mayoritaria en la que se sustenta la sentencia da una respuesta afirmativa a esta cuestión.</w:t>
      </w:r>
    </w:p>
    <w:p w:rsidR="00A90898" w:rsidRDefault="00A90898" w:rsidP="00A90898">
      <w:pPr>
        <w:pStyle w:val="TextoNormal"/>
      </w:pPr>
    </w:p>
    <w:p w:rsidR="00A90898" w:rsidRDefault="00A90898" w:rsidP="00A90898">
      <w:pPr>
        <w:pStyle w:val="TextoNormal"/>
      </w:pPr>
      <w:r>
        <w:t>Mi discrepancia con esta opinión se funda en (I) la necesidad de identificar correctamente el conflicto que se plantea; (II) su encuadramiento competencial y (III) la regla de resolución del conflicto de competencias. Satisfacer esta necesidad hubiera permitido concluir que (IV) en aplicación de un criterio de ponderación, la normativa autonómica impugnada resultaba plenamente respetuosa con el sistema de distribución competencial.</w:t>
      </w:r>
    </w:p>
    <w:p w:rsidR="00A90898" w:rsidRDefault="00A90898" w:rsidP="00A90898">
      <w:pPr>
        <w:pStyle w:val="TextoNormal"/>
      </w:pPr>
    </w:p>
    <w:p w:rsidR="00A90898" w:rsidRDefault="00A90898" w:rsidP="00A90898">
      <w:pPr>
        <w:pStyle w:val="TextoNormal"/>
      </w:pPr>
      <w:r>
        <w:t>I. El conflicto de culturas subyacente en el objeto de este recurso.</w:t>
      </w:r>
    </w:p>
    <w:p w:rsidR="00A90898" w:rsidRDefault="00A90898" w:rsidP="00A90898">
      <w:pPr>
        <w:pStyle w:val="TextoNormal"/>
      </w:pPr>
    </w:p>
    <w:p w:rsidR="00A90898" w:rsidRDefault="00A90898" w:rsidP="00A90898">
      <w:pPr>
        <w:pStyle w:val="TextoNormal"/>
      </w:pPr>
      <w:r>
        <w:t xml:space="preserve">2. El presente recurso de inconstitucionalidad plantea una controversia competencial. Para la opinión mayoritaria en la que se sustenta la sentencia se trata, en consecuencia, de una controversia predominantemente jurídico-formal. No obstante, para comprender la </w:t>
      </w:r>
      <w:r>
        <w:lastRenderedPageBreak/>
        <w:t>cuestión controvertida en el recurso hubiera sido necesario notar que lo que aparenta ser un mero conflicto competencial encubre un debate más profundo —como es frecuente en otros conflictos competenciales que disfrazan controversias de profundo contenido social, como he subrayado en numerosos votos particulares—.</w:t>
      </w:r>
    </w:p>
    <w:p w:rsidR="00A90898" w:rsidRDefault="00A90898" w:rsidP="00A90898">
      <w:pPr>
        <w:pStyle w:val="TextoNormal"/>
      </w:pPr>
    </w:p>
    <w:p w:rsidR="00A90898" w:rsidRDefault="00A90898" w:rsidP="00A90898">
      <w:pPr>
        <w:pStyle w:val="TextoNormal"/>
      </w:pPr>
      <w:r>
        <w:t>La cuestión de fondo a la que me refiero es el conflicto entre, por un lado, una cultura emergente ambientalista y de protección de los animales, que intenta abrirse camino conformando consensos para un cambio de paradigma de la relación del ser humano con su entorno y con otros seres sensibles que lo habitan; y, por otro, una cultura apoyada por una sólida tradición, defensora de la tauromaquia como manifestación cultural y artística cuyo paradigma, desde una posición antropocéntrica, es la exaltación del valor, la estética, el raciocinio y la inteligencia como superior característica humana de control y dominación de la fuerza bruta animal.</w:t>
      </w:r>
    </w:p>
    <w:p w:rsidR="00A90898" w:rsidRDefault="00A90898" w:rsidP="00A90898">
      <w:pPr>
        <w:pStyle w:val="TextoNormal"/>
      </w:pPr>
    </w:p>
    <w:p w:rsidR="00A90898" w:rsidRDefault="00A90898" w:rsidP="00A90898">
      <w:pPr>
        <w:pStyle w:val="TextoNormal"/>
      </w:pPr>
      <w:r>
        <w:t>3. La evolución social hace posible que diversos paradigmas culturales concurran en un común espacio y se enfrenten con el fin de lograr una posición hegemónica. Esto es susceptible de traducirse en conflictos jurídicos que deben ser resueltos conforme al derecho. Así ha sucedido en este caso. El conflicto ha emergido como una cuestión competencial, pues las aspiraciones de concreción normativa de la cultura de protección animal se han materializado en una norma autonómica y las de la cultura de protección de la tauromaquia en una norma estatal. También emergió con ese matiz competencial el conflicto resuelto por la Corte Constitucional de Colombia en la sentencia C-889/12, de 30 de octubre de 2012, que examinó la posibilidad de que los municipios en que haya plazas de toros permanentes pudieran negarse a permitir la celebración de espectáculos taurinos en ejercicio de sus competencias de control del patrimonio cultural.</w:t>
      </w:r>
    </w:p>
    <w:p w:rsidR="00A90898" w:rsidRDefault="00A90898" w:rsidP="00A90898">
      <w:pPr>
        <w:pStyle w:val="TextoNormal"/>
      </w:pPr>
    </w:p>
    <w:p w:rsidR="00A90898" w:rsidRDefault="00A90898" w:rsidP="00A90898">
      <w:pPr>
        <w:pStyle w:val="TextoNormal"/>
      </w:pPr>
      <w:r>
        <w:t xml:space="preserve">Pueden, sin embargo, reseñarse otros casos en que la cuestión ha surgido como un conflicto normativo de naturaleza no competencial (Decisión núm. 2012-271 QPC, de 21 de septiembre de 2012 del Consejo Constitucional de Francia, en relación con la exclusión de responsabilidad penal por maltrato animal de las corridas de toros cuando una tradición local ininterrumpida pudiera ser acreditada; sentencias C-1192/05, del 22 de noviembre de 2005, y C-367/06, de 16 de mayo de la Corte Constitucional de Colombia, en relación con la proclamación legal de que “los espectáculos taurinos son considerados como una expresión artística del ser humano”; sentencia de la Corte Constitucional de Colombia C-666/10, de 30 de agosto de 2010, en relación con la proclamación legal que excepcionaba de la prohibición general del maltrato a los animales la celebración, entre otros, de espectáculos taurinos; y, en otros términos, decisión de inadmisibilidad del Tribunal Europeo de Derechos Humanos de 29 de noviembre de 2009, asunto </w:t>
      </w:r>
      <w:r w:rsidRPr="00A90898">
        <w:rPr>
          <w:i/>
        </w:rPr>
        <w:t>Friend y Countryside Alliance c. Reino Unido</w:t>
      </w:r>
      <w:r>
        <w:t>, en relación con la prohibición de la caza con perros de, entre otras especies, el zorro en el Reino Unido; y sentencia de la Corte Constitucional de Colombia C-283/14, de 14 de mayo de 2014, sobre la constitucionalidad de la prohibición de utilización de animales en espectáculos circenses).</w:t>
      </w:r>
    </w:p>
    <w:p w:rsidR="00A90898" w:rsidRDefault="00A90898" w:rsidP="00A90898">
      <w:pPr>
        <w:pStyle w:val="TextoNormal"/>
      </w:pPr>
    </w:p>
    <w:p w:rsidR="00A90898" w:rsidRDefault="00A90898" w:rsidP="00A90898">
      <w:pPr>
        <w:pStyle w:val="TextoNormal"/>
      </w:pPr>
      <w:r>
        <w:t xml:space="preserve">La opinión mayoritaria en la que se sustenta la sentencia ha optado por una solución que, en aparente aplicación de meras reglas de conflicto competencial, no ha ponderado debidamente, a mi juicio, que la decisión autonómica impugnada, más allá del mero ejercicio de competencias exclusivas autonómicas en materia de protección de los animales y de espectáculos públicos, aspira a representar una toma de posición en favor de un sentir cultural </w:t>
      </w:r>
      <w:r>
        <w:lastRenderedPageBreak/>
        <w:t>que considera imperante en Cataluña respecto de la relación del ser humano con otros seres sensibles de su entorno. Despojado de la coyuntural vestimenta competencial con que aparece revestido, el conflicto que plantea este recurso no se puede resolver con la simple afirmación de que la protección cultural dispensada a la tauromaquia desplaza y se impone a la protección a los animales. Con la misma lógica podría decirse que aquella resulta desplazada por el profundo componente cultural que también subyace en la posición de la defensa de los derechos de los animales que representa la normativa autonómica impugnada.</w:t>
      </w:r>
    </w:p>
    <w:p w:rsidR="00A90898" w:rsidRDefault="00A90898" w:rsidP="00A90898">
      <w:pPr>
        <w:pStyle w:val="TextoNormal"/>
      </w:pPr>
    </w:p>
    <w:p w:rsidR="00A90898" w:rsidRDefault="00A90898" w:rsidP="00A90898">
      <w:pPr>
        <w:pStyle w:val="TextoNormal"/>
      </w:pPr>
      <w:r>
        <w:t>4. De esta suerte, la cuestión que debe resolverse es si pueden —y, en su caso, de qué manera— hacerse compatibles esas dos culturas de protección de los animales y de protección de la tauromaquia, representadas por las normas autonómica y estatal, respectivamente. El conflicto se desenvuelve en el marco de un modelo de Estado autonómico con un alto nivel de descentralización como el diseñado por la Constitución española, en la que, al unísono con la proclamación de la unidad de la Nación española, se reconocen las nacionalidades y regiones que la integran (artículo 2). De manera solemne el Preámbulo afirma que la voluntad de la Nación española es proteger, en plural, los pueblos de España en el ejercicio, también en plural, de sus culturas. La pluralidad cultural asociada a los pueblos de España es reiterada en el art. 46 CE.</w:t>
      </w:r>
    </w:p>
    <w:p w:rsidR="00A90898" w:rsidRDefault="00A90898" w:rsidP="00A90898">
      <w:pPr>
        <w:pStyle w:val="TextoNormal"/>
      </w:pPr>
    </w:p>
    <w:p w:rsidR="00A90898" w:rsidRDefault="00A90898" w:rsidP="00A90898">
      <w:pPr>
        <w:pStyle w:val="TextoNormal"/>
      </w:pPr>
      <w:r>
        <w:t>II. El encuadre competencial de la decisión autonómica de suprimir determinados espectáculos taurinos de la excepción introducida frente a la prohibición de utilizar animales en espectáculos cruentos en Cataluña.</w:t>
      </w:r>
    </w:p>
    <w:p w:rsidR="00A90898" w:rsidRDefault="00A90898" w:rsidP="00A90898">
      <w:pPr>
        <w:pStyle w:val="TextoNormal"/>
      </w:pPr>
    </w:p>
    <w:p w:rsidR="00A90898" w:rsidRDefault="00A90898" w:rsidP="00A90898">
      <w:pPr>
        <w:pStyle w:val="TextoNormal"/>
      </w:pPr>
      <w:r>
        <w:t>5. La opinión mayoritaria en la que se sustenta la sentencia reconoce que la norma catalana impugnada tiene una conexión con los títulos competenciales exclusivos de la Generalitat relativos a la materia de protección de los animales [art. 116.1 d) EAC] y juego y espectáculos (art. 141.3 EAC). Pero ninguna consecuencia se extrae de ello. Simplemente se admite que estas competencias autonómicas exclusivas pueden ser desplazadas por la competencia estatal de protección de la cultura.</w:t>
      </w:r>
    </w:p>
    <w:p w:rsidR="00A90898" w:rsidRDefault="00A90898" w:rsidP="00A90898">
      <w:pPr>
        <w:pStyle w:val="TextoNormal"/>
      </w:pPr>
    </w:p>
    <w:p w:rsidR="00A90898" w:rsidRDefault="00A90898" w:rsidP="00A90898">
      <w:pPr>
        <w:pStyle w:val="TextoNormal"/>
      </w:pPr>
      <w:r>
        <w:t>Habría sido necesario que el Tribunal pusiera de relieve que en el momento en que fue aprobada la norma catalana impugnada (i) se dictó al amparo de competencias autonómicas exclusivas en materia de espectáculos y de protección de los animales y (ii) que el Estado —que no tiene una competencia básica, sino concurrente, en materia de cultura— no había reconocido la protección de la tauromaquia como integrante de su deber de protección de la cultura al amparo del art. 149.2 CE, pues sólo se integró el deber de protección de la tauromaquia en aquel deber de protección de la cultura mediante la Ley 18/2013, de 12 de noviembre —norma posterior en más de tres años a la que se impugnaba en este recurso—.</w:t>
      </w:r>
    </w:p>
    <w:p w:rsidR="00A90898" w:rsidRDefault="00A90898" w:rsidP="00A90898">
      <w:pPr>
        <w:pStyle w:val="TextoNormal"/>
      </w:pPr>
    </w:p>
    <w:p w:rsidR="00A90898" w:rsidRDefault="00A90898" w:rsidP="00A90898">
      <w:pPr>
        <w:pStyle w:val="TextoNormal"/>
      </w:pPr>
      <w:r>
        <w:t xml:space="preserve">6. La Constitución no menciona entre los títulos competenciales los espectáculos taurinos, en particular, ni los espectáculos públicos, en general. Sólo las Comunidades Autónomas del País Vasco, Cataluña, Andalucía, Comunidad Valenciana, Canarias y Navarra asumieron en un primer momento en sus respectivos estatutos de autonomía los espectáculos públicos como competencia exclusiva. De ese modo, el Estado, en el marco de sucesivos reales decretos de traspaso de funciones y servicios en materia de espectáculos, fue traspasando a cada una de estas Comunidades Autónomas las funciones y servicios correspondientes, entre otros, a la fiesta de los toros, reservándose su reglamentación. En concreto, </w:t>
      </w:r>
      <w:r>
        <w:lastRenderedPageBreak/>
        <w:t>para la Comunidad Autónoma de Cataluña ese traspaso se verificó por el Real Decreto 1771/1985, de 1 de agosto.</w:t>
      </w:r>
    </w:p>
    <w:p w:rsidR="00A90898" w:rsidRDefault="00A90898" w:rsidP="00A90898">
      <w:pPr>
        <w:pStyle w:val="TextoNormal"/>
      </w:pPr>
    </w:p>
    <w:p w:rsidR="00A90898" w:rsidRDefault="00A90898" w:rsidP="00A90898">
      <w:pPr>
        <w:pStyle w:val="TextoNormal"/>
      </w:pPr>
      <w:r>
        <w:t>Este planteamiento competencial pacíficamente consensuado determinó que el Estado aprobara la Ley 10/1991, de 4 de abril, sobre potestades administrativas en materia de espectáculos taurinos. En su exposición de motivos, esta Ley reconoce que “[s]in perjuicio de las competencias que corresponden a las Comunidades Autónomas en relación con los espectáculos taurinos, como tales espectáculos, es evidente la conexión de los mismos con el orden público y la seguridad ciudadana, que constituyen competencias exclusivas del Estado, al amparo del artículo 149.1.29 de la Constitución, y para el fomento de la cultura, de acuerdo con lo dispuesto en el artículo 149.2 del citado texto constitucional”. Sin embargo, marginando entonces esa conexión con el fomento de la cultura, la norma se centra en los aspectos de orden público y seguridad ciudadana. Prueba de ello es que el art. 11.1 atribuía todas las competencias para ejecutar lo dispuesto en la ley al Ministerio del Interior, incluyendo la presidencia de la Comisión Consultiva Nacional de Asuntos Taurinos. Por otra parte, no pudiendo obviar que la asunción de competencias autonómicas exclusivas en materia de espectáculos públicos arrastraba indefectiblemente de manera completa —ámbitos legislativo y de ejecución— la competencia en materia de espectáculos taurinos, el primer párrafo de la disposición adicional afirma que “[l]o establecido en la presente Ley será de aplicación general en defecto de las disposiciones específicas que puedan dictar las Comunidades Autónomas con competencia normativa en la materia, correspondiendo su ejecución a los órganos competentes de aquellas, sin perjuicio de las facultades atribuidas al Estado en relación con los espectáculos taurinos”. En desarrollo de la Ley 10/1991, el Real Decreto 176/1992, de 28 de febrero, aprobó un primer Reglamento de espectáculos taurinos, cuyo artículo 2 establecía que su aplicación general a todo el territorio español lo era sólo en los términos de la disposición adicional de la Ley 10/1991; lo que se reiteró por la disposición adicional primera del Real Decreto 145/1996, de 2 de febrero, por el que se aprueba el vigente Reglamento de espectáculos taurinos.</w:t>
      </w:r>
    </w:p>
    <w:p w:rsidR="00A90898" w:rsidRDefault="00A90898" w:rsidP="00A90898">
      <w:pPr>
        <w:pStyle w:val="TextoNormal"/>
      </w:pPr>
    </w:p>
    <w:p w:rsidR="00A90898" w:rsidRDefault="00A90898" w:rsidP="00A90898">
      <w:pPr>
        <w:pStyle w:val="TextoNormal"/>
      </w:pPr>
      <w:r>
        <w:t>Hubo que esperar hasta la Ley Orgánica 9/1992, de 23 de diciembre, de transferencia de competencias a Comunidades Autónomas que accedieron a la autonomía por la vía del artículo 143 de la Constitución, para que las Comunidades Autónomas de Asturias, Cantabria, La Rioja, Región de Murcia, Aragón, Castilla-La Mancha, Extremadura, Illes Balears, Madrid y Castilla y León pudieran asumir la competencia exclusiva en materia de espectáculos públicos; y a la Ley Orgánica 16/1995, de 27 de diciembre, para que hiciera lo propio la Comunidad Autónoma de Galicia. Así, tras la reforma de sus respectivos estatutos de autonomía, se procedió a la aprobación de sucesivos reales decretos de traspaso de funciones y servicios en materia de espectáculos en que, nuevamente, el Estado se reservaba la posibilidad de dictar normas que regulen las corridas de toros.</w:t>
      </w:r>
    </w:p>
    <w:p w:rsidR="00A90898" w:rsidRDefault="00A90898" w:rsidP="00A90898">
      <w:pPr>
        <w:pStyle w:val="TextoNormal"/>
      </w:pPr>
    </w:p>
    <w:p w:rsidR="00A90898" w:rsidRDefault="00A90898" w:rsidP="00A90898">
      <w:pPr>
        <w:pStyle w:val="TextoNormal"/>
      </w:pPr>
      <w:r>
        <w:t>7. La asunción global por parte de todas las Comunidades Autónomas de las competencias exclusivas en materia de espectáculos taurinos, en su consideración de espectáculo público, determinó que las Comunidades Autónomas, con diferente vocación y con desigual densidad normativa, regularan los espectáculos taurinos.</w:t>
      </w:r>
    </w:p>
    <w:p w:rsidR="00A90898" w:rsidRDefault="00A90898" w:rsidP="00A90898">
      <w:pPr>
        <w:pStyle w:val="TextoNormal"/>
      </w:pPr>
    </w:p>
    <w:p w:rsidR="00A90898" w:rsidRDefault="00A90898" w:rsidP="00A90898">
      <w:pPr>
        <w:pStyle w:val="TextoNormal"/>
      </w:pPr>
      <w:r>
        <w:t xml:space="preserve">El nivel de densidad normativa en algunas Comunidades Autónomas ha llegado al límite de aprobar reglamentos taurinos propios con una regulación acabada del completo desarrollo técnico de las corridas de toros que hace innecesario en sus territorios la aplicación de la </w:t>
      </w:r>
      <w:r>
        <w:lastRenderedPageBreak/>
        <w:t>normativa subsidiaria que en la materia representa el Real Decreto 145/1996, de 2 de febrero, por el que se aprueba el Reglamento de espectáculos taurinos estatal. Esas Comunidades Autónomas han sido Andalucía (Decreto 68/2006, de 21 de marzo, modificado por Decreto 278/2011, de 20 de septiembre); Aragón (Decreto 223/2004, de 19 de octubre, modificado por Decreto 193/2005, de 29 de septiembre); Castilla y León (Decreto 57/2008, de 21 de agosto); Navarra (Decreto Foral 249/1992, de 29 de junio); y País Vasco (Decreto 281/1996, de 3 de diciembre; posteriormente sustituido por el Decreto 183/2008, de 11 de noviembre, modificado por Decreto 124/2010, de 27 de abril).</w:t>
      </w:r>
    </w:p>
    <w:p w:rsidR="00A90898" w:rsidRDefault="00A90898" w:rsidP="00A90898">
      <w:pPr>
        <w:pStyle w:val="TextoNormal"/>
      </w:pPr>
    </w:p>
    <w:p w:rsidR="00A90898" w:rsidRDefault="00A90898" w:rsidP="00A90898">
      <w:pPr>
        <w:pStyle w:val="TextoNormal"/>
      </w:pPr>
      <w:r>
        <w:t>En ese sentido, el contraste de la evolución legislativa estatal y autonómica en materia de espectáculos taurinos acredita el pacífico reconocimiento de que (i) los espectáculos taurinos forman parte de la competencia autonómica exclusiva en materia de espectáculos públicos que han asumido de manera global todas las Comunidades Autónomas incluyendo la Comunidad Autónoma de Cataluña; y (ii), como tal competencia exclusiva y en toda la extensión que esto supone, las Comunidades Autónomas mantienen la posibilidad de establecer normativas completas de regulación taurina que incluyen todos los aspectos técnicos del desarrollo de las corridas de toros prevalentes a la establecida de manera supletoria —sólo en defecto de desarrollo autonómico— por la normativa estatal. En resolución, se reconoce como exclusiva de las Comunidades Autónomas la competencia para decidir no sólo sobre aspectos de policía de espectáculos, sino sobre aspectos relativos a, por ejemplo, el desarrollo de los tercios de la lidia, las ejecuciones de las suertes de varas, de banderillas o la suerte suprema.</w:t>
      </w:r>
    </w:p>
    <w:p w:rsidR="00A90898" w:rsidRDefault="00A90898" w:rsidP="00A90898">
      <w:pPr>
        <w:pStyle w:val="TextoNormal"/>
      </w:pPr>
    </w:p>
    <w:p w:rsidR="00A90898" w:rsidRDefault="00A90898" w:rsidP="00A90898">
      <w:pPr>
        <w:pStyle w:val="TextoNormal"/>
      </w:pPr>
      <w:r>
        <w:t>El Estado nunca ha controvertido este hecho ni ha opuesto la existencia de ninguna competencia estatal exclusiva o de carácter básico frente a esta situación. De hecho, la culminación de este proceso fue reconocida en el preámbulo del Real Decreto 1151/2011, de 29 de julio, en que se justifica el cambio de adscripción del ejercicio de las competencias relativas al funcionamiento de los registros taurinos, el fomento y protección de la tauromaquia y el secretariado de la Comisión Consultiva Nacional de Asuntos Taurinos del Ministerio del Interior al entonces Ministerio de Cultura en la circunstancia de que habían sido “[a]sumidas por la totalidad de las comunidades autónomas en sus Estatutos de Autonomía con carácter de exclusivas las competencias en materia de espectáculos públicos”.</w:t>
      </w:r>
    </w:p>
    <w:p w:rsidR="00A90898" w:rsidRDefault="00A90898" w:rsidP="00A90898">
      <w:pPr>
        <w:pStyle w:val="TextoNormal"/>
      </w:pPr>
    </w:p>
    <w:p w:rsidR="00A90898" w:rsidRDefault="00A90898" w:rsidP="00A90898">
      <w:pPr>
        <w:pStyle w:val="TextoNormal"/>
      </w:pPr>
      <w:r>
        <w:t>8. La competencia exclusiva de las Comunidades Autónomas en materia de espectáculos públicos no ha sido la única con incidencia en la regulación de los espectáculos taurinos. También está presente, y de manera relevante, la competencia en materia de protección de los animales. El hecho de que los espectáculos taurinos suponen la utilización de animales en espectáculos cruentos ha determinado que las Comunidades Autónomas que han desarrollado en el ejercicio de sus competencias leyes de protección de los animales han debido excepcionar su aplicación en materia taurina para posibilitar la celebración de estos espectáculos en su ámbito territorial.</w:t>
      </w:r>
    </w:p>
    <w:p w:rsidR="00A90898" w:rsidRDefault="00A90898" w:rsidP="00A90898">
      <w:pPr>
        <w:pStyle w:val="TextoNormal"/>
      </w:pPr>
    </w:p>
    <w:p w:rsidR="00A90898" w:rsidRDefault="00A90898" w:rsidP="00A90898">
      <w:pPr>
        <w:pStyle w:val="TextoNormal"/>
      </w:pPr>
      <w:r>
        <w:t xml:space="preserve">Las diversas normas autonómicas de protección de los animales o bien excluyen con carácter general los espectáculos taurinos de la aplicación de la legislación en materia de protección animal (así, Ley 11/2003, de 24 de noviembre, de protección de los animales de Andalucía; Ley 13/2002, de 23 de diciembre, de tenencia, protección y derechos de los animales de Asturias; Ley 5/1997, de 24 de abril, de protección de los animales de compañía de Castilla y León; Ley 6/1993, de 29 de octubre, de protección de los animales del País </w:t>
      </w:r>
      <w:r>
        <w:lastRenderedPageBreak/>
        <w:t>Vasco); o bien lo establecen como una excepción a la concreta prohibición de infligir malos tratos a los animales o de su utilización en espectáculos que puedan ocasionarles sufrimientos (así, Ley 3/1992, de 18 de marzo, de protección de los animales de Cantabria; Ley 11/2003, de 19 de marzo, de protección animal en la Comunidad Autónoma de Aragón; Ley 7/1990, de 28 de diciembre, de protección de los animales domésticos de Castilla-La Mancha; Ley 1/1990, de 1 febrero, de protección de los animales domésticos de Madrid; Ley 5/2002, de 23 de mayo, de protección de los animales en la Comunidad Autónoma de Extremadura; Ley 1/1993, de 13 de abril, de protección de los animales domésticos y salvajes en cautividad de Galicia; Ley 1/1992, de 8 de abril, de protección de los animales que viven en el entorno humano de Illes Balears; Ley 5/1995, de 22 de marzo, de protección de los animales de La Rioja; Ley Foral 7/1994, de 31 de mayo, de protección de los animales de Navarra). Con carácter previo a la ley impugnada en este recurso de inconstitucionalidad, la normativa catalana en materia de protección de los animales, representada primero por la Ley 3/1988, de 4 de marzo; después por la Ley 22/2003, de 4 de julio; y, por último, por el texto refundido de la Ley de protección de los animales, aprobado por Decreto Legislativo 2/2008, de 15 de abril, establecía también los espectáculos taurinos como excepción a la prohibición del uso de animales en espectáculos u otras actividades que pudieran ocasionarles sufrimiento.</w:t>
      </w:r>
    </w:p>
    <w:p w:rsidR="00A90898" w:rsidRDefault="00A90898" w:rsidP="00A90898">
      <w:pPr>
        <w:pStyle w:val="TextoNormal"/>
      </w:pPr>
    </w:p>
    <w:p w:rsidR="00A90898" w:rsidRDefault="00A90898" w:rsidP="00A90898">
      <w:pPr>
        <w:pStyle w:val="TextoNormal"/>
      </w:pPr>
      <w:r>
        <w:t>La única excepción a esta regla general era, contemporáneamente a estas disposiciones, la Ley 8/1991, de 30 de abril, de protección de los animales de las Islas Canarias, que, precisamente por no excepcionar los espectáculos taurinos de la prohibición de la utilización de animales en espectáculos y otras actividades que conlleven maltrato, crueldad o sufrimiento, como sí hace con las peleas de gallos, es entendida con carácter general por la doctrina como el primer exponente del prohibicionismo de los espectáculos taurinos en España. A ese precedente se unió la Ley 28/2010, de 3 agosto, impugnada en este recurso, que incluyó entre el elenco ejemplificativo de la prohibición del uso de animales en espectáculos u otras actividades que les pudieran ocasionar sufrimiento “las corridas de toros y los espectáculos con toros que incluyan la muerte del animal y la aplicación de las suertes de la pica, las banderillas y el estoque, así como los espectáculos taurinos de cualquier modalidad que tengan lugar dentro o fuera de las plazas de toros”, limitando la excepción a las fiestas con toros sin muerte del animal (correbous) en las fechas y localidades donde tradicionalmente se celebran, siempre que no se infieran daños a los animales.</w:t>
      </w:r>
    </w:p>
    <w:p w:rsidR="00A90898" w:rsidRDefault="00A90898" w:rsidP="00A90898">
      <w:pPr>
        <w:pStyle w:val="TextoNormal"/>
      </w:pPr>
    </w:p>
    <w:p w:rsidR="00A90898" w:rsidRDefault="00A90898" w:rsidP="00A90898">
      <w:pPr>
        <w:pStyle w:val="TextoNormal"/>
      </w:pPr>
      <w:r>
        <w:t>Entre aquellas normativas autonómicas, antes de esta última ley, tanto la de las Illes Balears como la de Cataluña suponían una situación normativa intermedia, pues la excepción que al maltrato animal se permitía con los espectáculos taurinos quedaba restringida a aquellos que se desarrollaran en plazas de toros de carácter permanente cuya puesta en funcionamiento fuera anterior a la entrada en vigor de la ley de protección animal. En el caso de Cataluña esa restricción está vigente desde la entrada en vigor de la Ley 3/1988, de 4 de marzo.</w:t>
      </w:r>
    </w:p>
    <w:p w:rsidR="00A90898" w:rsidRDefault="00A90898" w:rsidP="00A90898">
      <w:pPr>
        <w:pStyle w:val="TextoNormal"/>
      </w:pPr>
    </w:p>
    <w:p w:rsidR="00A90898" w:rsidRDefault="00A90898" w:rsidP="00A90898">
      <w:pPr>
        <w:pStyle w:val="TextoNormal"/>
      </w:pPr>
      <w:r>
        <w:t xml:space="preserve">9. En contraposición a todo ello, desde la perspectiva de las eventuales competencias del Estado en materia de espectáculos taurinos, la Ley 10/1991, de 4 de abril, sobre potestades administrativas en materia de espectáculos taurinos, como ya se ha expuesto anteriormente, invoca la competencia estatal en materia de fomento de la cultura prevista en el art. 149.2 CE, pero se limita en el art. 4.1, dedicado a las medidas de fomento, a establecer con carácter </w:t>
      </w:r>
      <w:r>
        <w:lastRenderedPageBreak/>
        <w:t>potestativo que “[l]a Administración del Estado podrá adoptar medidas destinadas a fomentar y proteger las actividades a las que se refiere la presente Ley, en atención a la tradición y vigencia cultural de la fiesta de los toros”.</w:t>
      </w:r>
    </w:p>
    <w:p w:rsidR="00A90898" w:rsidRDefault="00A90898" w:rsidP="00A90898">
      <w:pPr>
        <w:pStyle w:val="TextoNormal"/>
      </w:pPr>
    </w:p>
    <w:p w:rsidR="00A90898" w:rsidRDefault="00A90898" w:rsidP="00A90898">
      <w:pPr>
        <w:pStyle w:val="TextoNormal"/>
      </w:pPr>
      <w:r>
        <w:t>La insuficiencia del ya citado art. 4.1 de la Ley 10/1991, de 4 de abril, para justificar cualquier tipo de competencia estatal apta para impedir una decisión autonómica de prohibición de los espectáculos taurinos adoptada en ejercicio de las competencias de protección de los animales y de espectáculos públicos propició la aprobación de la Ley 18/2013, de 12 de noviembre, para la regulación de la tauromaquia como patrimonio cultural. Este es un hecho que puede entenderse implícitamente reconocido por la exposición de motivos de la Ley 18/2013 cuando afirma que “[p]or tanto, el presupuesto de esta norma es la afirmación de que la Tauromaquia es cultura, que comprende otras facetas dignas de protección además del propio espectáculo que se concreta en la corrida de toros moderna y, por ello, el reconocimiento de la Tauromaquia como patrimonio cultural supera la mera «conexión de los espectáculos taurinos con el fomento de la cultura» que afirma la Exposición de Motivos de la Ley 10/1991, de 4 de abril, sobre potestades administrativas de espectáculos taurinos”. A partir de ello, el art. 3 de la Ley 18/2013 establece, como deber de protección, que “[e]n su condición de patrimonio cultural, los poderes públicos garantizarán la conservación de la Tauromaquia y promoverán su enriquecimiento, de acuerdo con lo previsto en el artículo 46 de la Constitución”.</w:t>
      </w:r>
    </w:p>
    <w:p w:rsidR="00A90898" w:rsidRDefault="00A90898" w:rsidP="00A90898">
      <w:pPr>
        <w:pStyle w:val="TextoNormal"/>
      </w:pPr>
    </w:p>
    <w:p w:rsidR="00A90898" w:rsidRDefault="00A90898" w:rsidP="00A90898">
      <w:pPr>
        <w:pStyle w:val="TextoNormal"/>
      </w:pPr>
      <w:r>
        <w:t>10. Un correcto encuadre competencial de la regulación controvertida en este recurso hubiera debido llevar a reconocer que cuando la Comunidad Autónoma de Cataluña, mediante la aprobación de la Ley 28/2010, de 3 de agosto, se suma al abolicionismo de los espectáculos taurinos que impliquen infligir daños y la muerte del toro, la situación competencial no controvertida por el Estado era la hasta ahora expuesta de que las Comunidades Autónomas y, desde luego, la de Cataluña, tenían la competencia exclusiva de regulación sobre asuntos taurinos y el completo dominio en lo relativo a decidir (i) sobre la permisión —con mayores o menores restricciones— o prohibición de los espectáculos taurinos (a la prohibición se habían acogido las Islas Canarias) en ejecución de sus competencias en materia de protección de los animales; y (ii), en caso de no prohibirlos, sobre los aspectos técnicos del desarrollo de los espectáculos taurinos, en ejecución de sus competencias en materia de espectáculos públicos. Por su parte, en aquel momento (iii) ninguna competencia estatal exclusiva o básica se había desarrollado o alegado en confrontación con esas capacidades competenciales autonómicas ni tampoco la competencia estatal concurrente de fomento de la cultura del art. 149.2 CE había sido ejercida de ninguna manera que impidiera la libre decisión legislativa de las Comunidades Autónomas en la materia.</w:t>
      </w:r>
    </w:p>
    <w:p w:rsidR="00A90898" w:rsidRDefault="00A90898" w:rsidP="00A90898">
      <w:pPr>
        <w:pStyle w:val="TextoNormal"/>
      </w:pPr>
    </w:p>
    <w:p w:rsidR="00A90898" w:rsidRDefault="00A90898" w:rsidP="00A90898">
      <w:pPr>
        <w:pStyle w:val="TextoNormal"/>
      </w:pPr>
      <w:r>
        <w:t xml:space="preserve">Creo lícito afirmar no sólo que la opinión mayoritaria en la que se sustenta la sentencia ha obviado este contexto normativo, sino también que si este recurso se hubiera resuelto previamente a la aprobación de la Ley 18/2013, de 12 de noviembre, las posibilidades de su estimación hubieran sido nulas. Esa es sin duda la razón por la que de una manera inequívoca —haciendo una aplicación de la doctrina del </w:t>
      </w:r>
      <w:r w:rsidRPr="00A90898">
        <w:rPr>
          <w:i/>
        </w:rPr>
        <w:t>ius superveniens</w:t>
      </w:r>
      <w:r>
        <w:t xml:space="preserve"> o derecho sobrevenido improcedente en un conflicto competencial como el ahora planteado—, se ha puesto toda la fuerza argumental en una norma sobrevenida como es la Ley 18/2013. Desde luego, el Estado no queda incapacitado para dictar las normativas de protección cultural que considere oportunas por el mero hecho de que, en ejercicio de competencias autonómicas exclusivas, </w:t>
      </w:r>
      <w:r>
        <w:lastRenderedPageBreak/>
        <w:t>se haya procedido por una o varias Comunidades Autónomas a eliminar determinados espectáculos taurinos de la excepción a la prohibición general de la utilización de animales en espectáculos públicos cruentos. Sin embargo, es un hecho digno de constatación el carácter reactivo que en el contexto del presente debate competencial tuvo la Ley 18/2013 frente a la decisión autonómica impugnada. Si, además, el ejercicio de esa competencia hubiera debido tener el efecto de prevalencia y desplazamiento proclamada por la opinión mayoritaria que sustenta la sentencia es lo que va a ser analizado a continuación.</w:t>
      </w:r>
    </w:p>
    <w:p w:rsidR="00A90898" w:rsidRDefault="00A90898" w:rsidP="00A90898">
      <w:pPr>
        <w:pStyle w:val="TextoNormal"/>
      </w:pPr>
    </w:p>
    <w:p w:rsidR="00A90898" w:rsidRDefault="00A90898" w:rsidP="00A90898">
      <w:pPr>
        <w:pStyle w:val="TextoNormal"/>
      </w:pPr>
      <w:r>
        <w:t>III. La aplicación de un criterio de prevalencia de la norma estatal carece de fundamento constitucional.</w:t>
      </w:r>
    </w:p>
    <w:p w:rsidR="00A90898" w:rsidRDefault="00A90898" w:rsidP="00A90898">
      <w:pPr>
        <w:pStyle w:val="TextoNormal"/>
      </w:pPr>
    </w:p>
    <w:p w:rsidR="00A90898" w:rsidRDefault="00A90898" w:rsidP="00A90898">
      <w:pPr>
        <w:pStyle w:val="TextoNormal"/>
      </w:pPr>
      <w:r>
        <w:t>11. La opinión mayoritaria en la que se sustenta la sentencia defiende que es necesario, ante la evidencia de la confrontación normativa, aplicar el criterio de la prevalencia de la competencia estatal de protección de la cultura. Una primera objeción vendría dada por la posibilidad de considerar la protección estatal de la tauromaquia como una previsión que no es incompatible con medidas de restricción o prohibitivas de concretas manifestaciones de la tauromaquia debidamente justificadas y adoptadas por las Comunidades Autónomas en el ejercicio de sus competencias.</w:t>
      </w:r>
    </w:p>
    <w:p w:rsidR="00A90898" w:rsidRDefault="00A90898" w:rsidP="00A90898">
      <w:pPr>
        <w:pStyle w:val="TextoNormal"/>
      </w:pPr>
    </w:p>
    <w:p w:rsidR="00A90898" w:rsidRDefault="00A90898" w:rsidP="00A90898">
      <w:pPr>
        <w:pStyle w:val="TextoNormal"/>
      </w:pPr>
      <w:r>
        <w:t>La tauromaquia aparece definida en el art. 1 de la Ley 18/2013 como “el conjunto de conocimientos y actividades artísticas, creativas y productivas, incluyendo la crianza y selección del toro de lidia, que confluyen en la corrida de toros moderna y el arte de lidiar, expresión relevante de la cultura tradicional del pueblo español. Por extensión, se entiende comprendida en el concepto de Tauromaquia toda manifestación artística y cultural vinculada a la misma”. La opinión mayoritaria en la que se sustenta la sentencia reconoce que el deber de protección no impide que las Comunidades Autónomas puedan, en cumplimiento de competencias que le son propias en materia de espectáculos públicos, establecer limitaciones y restricciones a este tipo de manifestaciones culturales relativas, por ejemplo, a la edad de acceso o desarrollo en las plazas permanentes ya construidas, como hicieron en su día las Comunidades Autónomas de Cataluña y las Illes Balears. Con la misma lógica argumental puede sustentarse que ese deber de protección tampoco impide que las Comunidades Autónomas puedan, en cumplimiento de competencias que le son propias de protección de los animales, establecer limitaciones y restricciones a este tipo de manifestaciones culturales relativas, por ejemplo, a que en su desarrollo se inflijan tratos crueles, daño o la muerte a los toros, como se ha hecho en la normativa ahora impugnada.</w:t>
      </w:r>
    </w:p>
    <w:p w:rsidR="00A90898" w:rsidRDefault="00A90898" w:rsidP="00A90898">
      <w:pPr>
        <w:pStyle w:val="TextoNormal"/>
      </w:pPr>
    </w:p>
    <w:p w:rsidR="00A90898" w:rsidRDefault="00A90898" w:rsidP="00A90898">
      <w:pPr>
        <w:pStyle w:val="TextoNormal"/>
      </w:pPr>
      <w:r>
        <w:t xml:space="preserve">A estos efectos, y aunque se hubiera dictado en un contexto normativo diferente de enfrentamiento entre el deber de promoción de los espectáculos taurinos previsto en la Ley 10/1991, de 4 de abril, sobre potestades administrativas en materia de espectáculos taurinos, y las restricciones impuestas a su celebración en la Ley 3/1988, de 4 de marzo, de protección de los animales de Cataluña, puede resultar relevante reproducir el razonamiento de la sentencia de la Sala de lo Contencioso-Administrativo del Tribunal Supremo de 20 de octubre de 1998, dictada en el recurso de casación 8162-1992 —de especial interés por el largo tiempo transcurrido desde que fue dictada y por la comunidad autónoma en que se suscitó el conflicto—, cuya ponencia me correspondió en el Tribunal Supremo. A ella se refiere de manera habitual la doctrina y, de manera accidental, la opinión mayoritaria que se ha impuesto en este recurso. En aquella se afirma que “aun cuando pueda aceptarse, especialmente a la vista de los términos de la exposición de motivos de la Ley 10/1991, la relación </w:t>
      </w:r>
      <w:r>
        <w:lastRenderedPageBreak/>
        <w:t>existente la actividad cultural y los espectáculos taurinos, no es razonable entender que el deber que a los poderes públicos incumbe de garantizar la conservación y promover el enriquecimiento del patrimonio cultural (artículo 46 de la Constitución), impone la obligación de interpretar las leyes de modo incondicional en sentido favorable al mantenimiento de todas las manifestaciones inherentes a los espectáculos tradicionales sin tener en cuenta otros intereses y derechos protegidos y, en lo que aquí especialmente interesa, otros valores culturales, a veces contrapuestos, que deben ser adecuadamente ponderados. La sentencia impugnada toma en consideración el fin de conservación de la tradición de los espectáculos taurinos que persigue la ley autonómica, pero también «los principios de respeto, defensa y protección de los animales que ya figuran en los tratados y convenios internacionales y en las legislaciones de los países socialmente más avanzados», que figura recogido en la exposición de motivos de la ley interpretada, y llega a la conclusión de que la ley autonómica, en la interpretación que la Sala cree adecuada a su letra y espíritu, y subrayando la libertad de configuración normativa que corresponde al poder legislativo autonómico para la interpretación de los deseos y sensibilidades de la sociedad, compagina de modo no arbitrario ambos fines” (fundamento de Derecho cuarto).</w:t>
      </w:r>
    </w:p>
    <w:p w:rsidR="00A90898" w:rsidRDefault="00A90898" w:rsidP="00A90898">
      <w:pPr>
        <w:pStyle w:val="TextoNormal"/>
      </w:pPr>
    </w:p>
    <w:p w:rsidR="00A90898" w:rsidRDefault="00A90898" w:rsidP="00A90898">
      <w:pPr>
        <w:pStyle w:val="TextoNormal"/>
      </w:pPr>
      <w:r>
        <w:t>12. Al margen de lo anterior, el ejercicio por parte del Estado de esta competencia de protección de la cultura al amparo del art. 149.2 CE no podría determinar, como defiende la opinión mayoritaria en la que se sustenta la sentencia, una omnipotente e ilimitada prevalencia de la competencia estatal respecto de cualquier otro título competencial exclusivo de las Comunidades Autónomas que desplazara a estas. Eso supondría (i) aplicar un instrumento de resolución conflictual de competencias que no es el que concurre en el presente caso y (ii) desfigurar el carácter de competencia concurrente entre las Comunidades Autónomas y el Estado que en el marco del art. 149.2 CE adquiere la protección de la cultura.</w:t>
      </w:r>
    </w:p>
    <w:p w:rsidR="00A90898" w:rsidRDefault="00A90898" w:rsidP="00A90898">
      <w:pPr>
        <w:pStyle w:val="TextoNormal"/>
      </w:pPr>
    </w:p>
    <w:p w:rsidR="00A90898" w:rsidRDefault="00A90898" w:rsidP="00A90898">
      <w:pPr>
        <w:pStyle w:val="TextoNormal"/>
      </w:pPr>
      <w:r>
        <w:t>El efecto de prevalencia de la normativa estatal de protección cultural que es defendido por la opinión mayoritaria en la que se sustenta la sentencia es propio de los conflictos competenciales que se plantean cuando el ejercicio de las competencias de desarrollo de las Comunidades Autónomas se confronta con el ejercicio de competencias básicas por parte del Estado. Este no es el tipo de conflicto competencial que se plantea en este recurso, en que no cabe apreciar que el Estado disponga de competencia básica alguna para que su decisión de protección de la tauromaquia pueda resultar prevalente con efecto de desplazamiento sobre las competencias autonómicas de protección animal y de espectáculos públicos.</w:t>
      </w:r>
    </w:p>
    <w:p w:rsidR="00A90898" w:rsidRDefault="00A90898" w:rsidP="00A90898">
      <w:pPr>
        <w:pStyle w:val="TextoNormal"/>
      </w:pPr>
    </w:p>
    <w:p w:rsidR="00A90898" w:rsidRDefault="00A90898" w:rsidP="00A90898">
      <w:pPr>
        <w:pStyle w:val="TextoNormal"/>
      </w:pPr>
      <w:r>
        <w:t xml:space="preserve">La competencia estatal concurrente de protección de la cultura prevista en el art. 149.2 CE no es un título suficiente para desplegar ese efecto. Como reconoce la opinión mayoritaria en la que se sustenta la sentencia, el art. 149.2 CE establece que la protección a la cultura es una competencia que deben desarrollar tanto las Comunidades Autónomas como el Estado. La propia naturaleza de la competencia —protección y fomento— y el tenor del precepto, que establece que la competencia la ejerce el Estado “sin perjuicio de las competencias que podrán asumir las Comunidades autónomas” y “de acuerdo con ellas”, determinan que su ámbito normal de aplicación aparezca referido a supuestos no conflictuales en que los problemas surjan, en su caso, en la labor de coordinación de las actuaciones de fomento o protección cultural que una Comunidad Autónoma y el Estado ejercieran de manera concurrente. Así lo afirman diversos pronunciamientos de este Tribunal cuando ponen de manifiesto como notas esenciales del art. 149.2 CE: (i) que establece una competencia </w:t>
      </w:r>
      <w:r>
        <w:lastRenderedPageBreak/>
        <w:t>no excluyente de competencias estatal y autonómicas que pueden ejercerse conjuntamente; (ii) que su finalidad es la persecución de unos mismos objetivos genéricos o, al menos, de objetivos culturales compatibles entre sí; y (iii) que en estos supuestos de concurrencia se impone el criterio de la superposición de protecciones y, en el caso de que resulte preciso, la colaboración interadministrativa para hacerlas compatibles para la consecución de los objetivos comunes que se persiguen (así, SSTC 11/1986, de 28 de enero, FJ 3; 17/1991, de 31 de enero, FJ 5; 88/2012, de 7 de mayo, FJ 3; o 179/2013, de 21 de octubre, FJ 4).</w:t>
      </w:r>
    </w:p>
    <w:p w:rsidR="00A90898" w:rsidRDefault="00A90898" w:rsidP="00A90898">
      <w:pPr>
        <w:pStyle w:val="TextoNormal"/>
      </w:pPr>
    </w:p>
    <w:p w:rsidR="00A90898" w:rsidRDefault="00A90898" w:rsidP="00A90898">
      <w:pPr>
        <w:pStyle w:val="TextoNormal"/>
      </w:pPr>
      <w:r>
        <w:t>En el conflicto planteado en este recurso de inconstitucionalidad no se cumple ninguna de las notas esenciales del art. 149.2 CE. En los estrictos términos en que estaban planteadas las respectivas decisiones legislativas de la Comunidad Autónoma de Cataluña y el Estado, éstas se han reconocido por parte de la opinión mayoritaria en la que se sustenta la sentencia como mutuamente excluyentes.</w:t>
      </w:r>
    </w:p>
    <w:p w:rsidR="00A90898" w:rsidRDefault="00A90898" w:rsidP="00A90898">
      <w:pPr>
        <w:pStyle w:val="TextoNormal"/>
      </w:pPr>
    </w:p>
    <w:p w:rsidR="00A90898" w:rsidRDefault="00A90898" w:rsidP="00A90898">
      <w:pPr>
        <w:pStyle w:val="TextoNormal"/>
      </w:pPr>
      <w:r>
        <w:t>La incompatibilidad en la conciliación de las protecciones confrontadas entre el respeto debido a los animales y la tauromaquia sobre un mismo espacio territorial determina que resulte necesario establecer una regla para la resolución del conflicto. Una vez excluido, por los argumentos ya expuestos, el criterio de prevalencia de la competencia estatal fundamentado en el art. 149.2 CE, en hipótesis cabría aplicar el criterio de prevalencia de las competencias exclusivas autonómica en materia de protección de los animales y de espectáculos públicos, por su mayor especificidad. Esta solución también resultaría inadecuada por marginar la presencia de la citada competencia estatal de protección de la cultura. Sin duda esta competencia no es un título habilitante suficiente para desplazar incondicionalmente las competencias exclusivas autonómicas; pero tampoco puede ser ignorada. En este contexto, parece que el único criterio para la resolución del conflicto y la determinación de sobre quién debe recaer el deber de tolerancia es el de la ponderación.</w:t>
      </w:r>
    </w:p>
    <w:p w:rsidR="00A90898" w:rsidRDefault="00A90898" w:rsidP="00A90898">
      <w:pPr>
        <w:pStyle w:val="TextoNormal"/>
      </w:pPr>
    </w:p>
    <w:p w:rsidR="00A90898" w:rsidRDefault="00A90898" w:rsidP="00A90898">
      <w:pPr>
        <w:pStyle w:val="TextoNormal"/>
      </w:pPr>
      <w:r>
        <w:t>IV. La ponderación como criterio para establecer la prioridad competencial de la decisión autonómica de eliminar determinados espectáculos taurinos en la excepción a la prohibición general de la utilización de los animales en espectáculos cruentos.</w:t>
      </w:r>
    </w:p>
    <w:p w:rsidR="00A90898" w:rsidRDefault="00A90898" w:rsidP="00A90898">
      <w:pPr>
        <w:pStyle w:val="TextoNormal"/>
      </w:pPr>
    </w:p>
    <w:p w:rsidR="00A90898" w:rsidRDefault="00A90898" w:rsidP="00A90898">
      <w:pPr>
        <w:pStyle w:val="TextoNormal"/>
      </w:pPr>
      <w:r>
        <w:t>13. La ponderación es un criterio utilizado por la jurisprudencia constitucional, entre otras materias, para resolver en determinados supuestos los casos en que se plantean conflictos cuando concurren competencias sobre un mismo espacio físico. En defecto de otros criterios de resolución de conflictos competenciales más adecuados, parece que este hubiera debido ser el criterio que, por analogía de supuestos, habría que haber seleccionado. En esa ponderación hay que valorar los aspectos competenciales implicados pero también debe retomarse el conflicto de culturas subyacentes ya puesto de manifiesto con anterioridad. De ese modo, las cuestiones que debieron ponderarse son, (i) desde una perspectiva competencial, la titularidad y la naturaleza de las competencias en conflicto para determinar su especificidad en la materia regulada y; (ii) desde una perspectiva sustantiva, la significación material de las competencias ejercidas dentro del marco constitucional.</w:t>
      </w:r>
    </w:p>
    <w:p w:rsidR="00A90898" w:rsidRDefault="00A90898" w:rsidP="00A90898">
      <w:pPr>
        <w:pStyle w:val="TextoNormal"/>
      </w:pPr>
    </w:p>
    <w:p w:rsidR="00A90898" w:rsidRDefault="00A90898" w:rsidP="00A90898">
      <w:pPr>
        <w:pStyle w:val="TextoNormal"/>
      </w:pPr>
      <w:r>
        <w:t xml:space="preserve">Han sido ya desarrollados profusamente los diferentes títulos competenciales en conflicto y el enfrentamiento tenido por irreductible entre, por un lado, la decisión autonómica de no excepcionar determinados espectáculos taurinos de la prohibición general de utilización de animales en espectáculos públicos, adoptada en ejercicio de competencias exclusivas de protección de los animales y espectáculos públicos; y, por otro, la decisión estatal de </w:t>
      </w:r>
      <w:r>
        <w:lastRenderedPageBreak/>
        <w:t>considerar la tauromaquia una manifestación cultural que debe ser protegida con carácter y alcance nacional en todo el territorio del Estado. Más allá de argumentaciones de sentido reversible, como es, a mi juicio, la escogida por la opinión mayoritaria en la que se sustenta la sentencia —las cuales pueden inducir a suponer que la solución de un conflicto competencial no depende más que del azar—, no parece que desde la exclusiva perspectiva formal pueda avanzarse en la resolución del conflicto. La decisión adoptada por la mayoría en la que se sustenta la sentencia implica negar la —innegable— existencia de las competencias exclusivas invocadas por la Comunidad Autónoma y la —también innegable— conexión que con las mismas tiene la normativa controvertida.</w:t>
      </w:r>
    </w:p>
    <w:p w:rsidR="00A90898" w:rsidRDefault="00A90898" w:rsidP="00A90898">
      <w:pPr>
        <w:pStyle w:val="TextoNormal"/>
      </w:pPr>
    </w:p>
    <w:p w:rsidR="00A90898" w:rsidRDefault="00A90898" w:rsidP="00A90898">
      <w:pPr>
        <w:pStyle w:val="TextoNormal"/>
      </w:pPr>
      <w:r>
        <w:t>Negar, como hace la opinión mayoritaria en la que se sustenta la sentencia, que la finalidad de la decisión autonómica es desarrollar una normativa en materia de bienestar animal por el hecho de mantener como excepción los correbous, supone ignorar (i) la constatación de que la norma modificada tiene por objeto, precisamente, la protección animal; (ii) que en el marco de esa norma, la regla general es la prohibición de la utilización de animales en espectáculos cruentos y solo por vía de excepción se mantenían los espectáculos taurinos que ahora se ven reducidos a los correbous y siempre imponiendo la prohibición de inferir daños a los animales; y (iii) que la norma impugnada está en línea de coherencia con la evolución de la legislación catalana en la materia en la cual, desde la Ley 3/1988, de 4 de marzo, se imponen limitaciones a este tipo de espectáculos, y en la que la Ley 28/2010, de 3 de agosto, ahora impugnada supone un hito en un camino que —puede presumirse, a la vista de la evolución general de la normativa— progresa en sentido desfavorable al mantenimiento de este tipo de excepciones culturales al maltrato a los animales.</w:t>
      </w:r>
    </w:p>
    <w:p w:rsidR="00A90898" w:rsidRDefault="00A90898" w:rsidP="00A90898">
      <w:pPr>
        <w:pStyle w:val="TextoNormal"/>
      </w:pPr>
    </w:p>
    <w:p w:rsidR="00A90898" w:rsidRDefault="00A90898" w:rsidP="00A90898">
      <w:pPr>
        <w:pStyle w:val="TextoNormal"/>
      </w:pPr>
      <w:r>
        <w:t>14. La perspectiva sustantiva, referida a la significación material que en el marco constitucional tiene cada una de las competencias ejercidas —principalmente las dos enfrentadas de protección de los animales y de la cultura— debería haber sido la clave para la resolución del presente conflicto competencial en un contexto intelectual de ponderación imparcial.</w:t>
      </w:r>
    </w:p>
    <w:p w:rsidR="00A90898" w:rsidRDefault="00A90898" w:rsidP="00A90898">
      <w:pPr>
        <w:pStyle w:val="TextoNormal"/>
      </w:pPr>
    </w:p>
    <w:p w:rsidR="00A90898" w:rsidRDefault="00A90898" w:rsidP="00A90898">
      <w:pPr>
        <w:pStyle w:val="TextoNormal"/>
      </w:pPr>
      <w:r>
        <w:t>La protección de los animales no aparece reconocida con sustantividad propia en la Constitución. Ahora bien, en el contexto internacional se pone de manifiesto el profundo significado e incipiente avance que tiene dentro del nuevo paradigma de relación de los seres humanos con su entorno el respeto debido al resto de seres sensibles con el que debe compartirlo. De manera constante va incorporándose la protección de los animales como un interés constitucional [así, por ejemplo, y solo en el ámbito europeo, cabe citar la reforma del art. 20 a) de la Constitución alemana en 2002; y del art. 11 bis de la Constitución de Luxemburgo en 2007]. También se constata esa presencia creciente en la elaboración de convenios y textos internacionales en el marco del Consejo de Europa todavía en proceso de la obtención del número necesario de ratificaciones para su entrada en vigor (Convenios del Consejo de Europa para la protección de los animales de compañía y para la protección de los animales en el momento de su sacrificio). Especial referencia merece su reconocimiento en el marco del derecho de la Unión Europea, toda vez que ya en el art. 13 del Tratado de funcionamiento de la Unión Europea se menciona la necesidad de tener “plenamente en cuenta las exigencias en materia de bienestar de los animales como seres sensibles” cuando se formulen y apliquen determinadas políticas de la Unión tanto por parte de la propia Unión como por los Estados Parte.</w:t>
      </w:r>
    </w:p>
    <w:p w:rsidR="00A90898" w:rsidRDefault="00A90898" w:rsidP="00A90898">
      <w:pPr>
        <w:pStyle w:val="TextoNormal"/>
      </w:pPr>
    </w:p>
    <w:p w:rsidR="00A90898" w:rsidRDefault="00A90898" w:rsidP="00A90898">
      <w:pPr>
        <w:pStyle w:val="TextoNormal"/>
      </w:pPr>
      <w:r>
        <w:lastRenderedPageBreak/>
        <w:t>En ese sentido, la norma controvertida, al tener como objeto reducir los supuestos de utilización de animales en espectáculos cruentos, representa en lo sustantivo, desde este específico punto de vista, un progreso en las medidas de protección de los animales alineada con la demanda de una sociedad avanzada.</w:t>
      </w:r>
    </w:p>
    <w:p w:rsidR="00A90898" w:rsidRDefault="00A90898" w:rsidP="00A90898">
      <w:pPr>
        <w:pStyle w:val="TextoNormal"/>
      </w:pPr>
    </w:p>
    <w:p w:rsidR="00A90898" w:rsidRDefault="00A90898" w:rsidP="00A90898">
      <w:pPr>
        <w:pStyle w:val="TextoNormal"/>
      </w:pPr>
      <w:r>
        <w:t>15. Por su parte, la protección de la cultura es uno de los grandes logros ya consolidados del constitucionalismo. En este caso, es un interés constitucional que aparece reconocido en el art. 44.1 CE, como mandato dirigido a los poderes públicos para promover y tutelar su acceso a todos los ciudadanos; y en el art. 46 CE, como mandato dirigido a los poderes públicos para garantizar la conservación y promoción del enriquecimiento del patrimonio histórico, cultural y artístico de los pueblos de España y de los bienes que lo integran, cualquiera que sea su régimen jurídico y su titularidad.</w:t>
      </w:r>
    </w:p>
    <w:p w:rsidR="00A90898" w:rsidRDefault="00A90898" w:rsidP="00A90898">
      <w:pPr>
        <w:pStyle w:val="TextoNormal"/>
      </w:pPr>
    </w:p>
    <w:p w:rsidR="00A90898" w:rsidRDefault="00A90898" w:rsidP="00A90898">
      <w:pPr>
        <w:pStyle w:val="TextoNormal"/>
      </w:pPr>
      <w:r>
        <w:t>La cultura aparece definida en el diccionario de la Real Academia Española como el “[c]onjunto de modos de vida y costumbres, conocimientos y grado de desarrollo artístico, científico, industrial, en una época, grupo social, etc.”. Por su parte, en la Declaración de México sobre las Políticas culturales aprobada en la Conferencia mundial sobre las políticas culturales celebrada en 1982 bajo los auspicios de la UNESCO, se establece “que, en su sentido más amplio, la cultura puede considerarse actualmente como el conjunto de los rasgos distintivos, espirituales y materiales, intelectuales y afectivos que caracterizan a una sociedad o un grupo social. Ella engloba, además de las artes y las letras, los modos de vida, los derechos fundamentales al ser humano, los sistemas de valores, las tradiciones y las creencias”. De ese modo, la cultura es un bien transgeneracional que exige no solo mantener la herencia recibida, sino promover y reforzar su proyección hacia el futuro; pero también es un conjunto dinámico y evolutivo de valores que cada sociedad debe confrontar y, en su caso, asumir y enriquecer en la medida en que perviva una afección e identificación con ese sistema de valores. Al margen de ello, además, por el ya mencionado carácter plural de los pueblos y culturas que conforman el Estado español, tampoco puede obviarse que ese sistema puede no resultar necesariamente monolítico en toda su expresión territorial.</w:t>
      </w:r>
    </w:p>
    <w:p w:rsidR="00A90898" w:rsidRDefault="00A90898" w:rsidP="00A90898">
      <w:pPr>
        <w:pStyle w:val="TextoNormal"/>
      </w:pPr>
    </w:p>
    <w:p w:rsidR="00A90898" w:rsidRDefault="00A90898" w:rsidP="00A90898">
      <w:pPr>
        <w:pStyle w:val="TextoNormal"/>
      </w:pPr>
      <w:r>
        <w:t>La tauromaquia como objeto de protección cultural cuenta en su favor con un fuerte apoyo en la tradición. Sin embargo, no es una manifestación cultural neutral desde el punto de vista del sistema de valores que representa ni de la misma se puede predicar un mismo nivel de implantación en todo el territorio del Estado y respecto de la globalidad de sus manifestaciones. Enfrentada con la anterior reflexión sobre la protección de los animales, se observa (i) el carácter cruento de determinados espectáculos taurinos, donde el derramamiento de la sangre y la muerte es parte consustancial de esa tradición en su núcleo artístico, y (ii) la desafección y el choque que esto puede provocar con determinado sistema de valores que puede tener un desigual asentamiento en el territorio del Estado. En ese contexto, su propio carácter no neutral, enfrentado a otros intereses sustantivos, y con una eventual desigual presencia y afección en las culturas de los distintos pueblos de España, determina que su protección no pueda ser reconocida con carácter omnímodo. Resultaría contradictorio defender que todos los intereses constitucionales, incluyendo los derechos fundamentales, no son absolutos y hacer aplicación del deber de protección de la cultura con carácter absoluto y con independencia de la naturaleza e implantación de la concreta manifestación cultural en los diferentes pueblos de España.</w:t>
      </w:r>
    </w:p>
    <w:p w:rsidR="00A90898" w:rsidRDefault="00A90898" w:rsidP="00A90898">
      <w:pPr>
        <w:pStyle w:val="TextoNormal"/>
      </w:pPr>
    </w:p>
    <w:p w:rsidR="00A90898" w:rsidRDefault="00A90898" w:rsidP="00A90898">
      <w:pPr>
        <w:pStyle w:val="TextoNormal"/>
      </w:pPr>
      <w:r>
        <w:lastRenderedPageBreak/>
        <w:t>16. En conjunción con el carácter no neutral de la tauromaquia desde el sistema de valores que representa, el principal límite que puede predicarse de la pretensión de imponer la supremacía de esa protección cultural de la tauromaquia a nivel estatal contra cualquier otra consideración y decisión autonómica es el reconocimiento de la pluralidad de pueblos y culturas integrantes de Estado español y el respeto debido a su propio sistema de valores concretado en las normas que aprueba su órgano de representación política.</w:t>
      </w:r>
    </w:p>
    <w:p w:rsidR="00A90898" w:rsidRDefault="00A90898" w:rsidP="00A90898">
      <w:pPr>
        <w:pStyle w:val="TextoNormal"/>
      </w:pPr>
    </w:p>
    <w:p w:rsidR="00A90898" w:rsidRDefault="00A90898" w:rsidP="00A90898">
      <w:pPr>
        <w:pStyle w:val="TextoNormal"/>
      </w:pPr>
      <w:r>
        <w:t>Ese elemento esencial de afección e identificación con el sistema de valores que puede representar la tauromaquia dentro de cada territorio ha sido la clave utilizada tanto por el Consejo Constitucional de Francia como por la Corte Constitucional de Colombia para resolver la polémica en torno a la posible pervivencia de los espectáculos taurinos como excepción a la prohibición general de la utilización de animales en espectáculos públicos cruentos. Así, la decisión del Consejo Constitucional de Francia núm. 2012-271 QPC, de 21 de septiembre de 2012, declaró constitucional que el art. 521-1 del Código penal francés excluyera de la responsabilidad penal por delito de malos tratos a los animales las corridas de toros y las peleas de gallos, en la medida en que dicha exclusión solamente resultaba de aplicación en las partes del territorio nacional en los que la existencia de una tal tradición estuviera establecida de una manera interrumpida y para los solos actos que derivan de esta tradición. En el mismo sentido, la Corte Constitucional de Colombia en la sentencia C-666/10, de 30 de agosto de 2010, ante el cuestionamiento de la constitucionalidad de excepcionar de la prohibición de los malos tratos, entre otras, las corridas de toros, las novilladas, las becerradas o las peleas de gallos, estableció una solución interpretativa, acordando, entre otros aspectos, que dicha excepción permite “2) que únicamente podrán desarrollarse en aquellos municipios o distritos en los que las mismas sean manifestación de una tradición regular, periódica e ininterrumpida y que por tanto su realización responda a cierta periodicidad; 3) que sólo podrán desarrollarse en aquellas ocasiones en las que usualmente se han realizado en los respectivos municipios o distritos en que estén autorizadas”.</w:t>
      </w:r>
    </w:p>
    <w:p w:rsidR="00A90898" w:rsidRDefault="00A90898" w:rsidP="00A90898">
      <w:pPr>
        <w:pStyle w:val="TextoNormal"/>
      </w:pPr>
    </w:p>
    <w:p w:rsidR="00A90898" w:rsidRDefault="00A90898" w:rsidP="00A90898">
      <w:pPr>
        <w:pStyle w:val="TextoNormal"/>
      </w:pPr>
      <w:r>
        <w:t>A los efectos de determinar la existencia de ese elemento de afección e identificación con el sistema de valores culturales propio de determinadas manifestaciones de la tauromaquia, la evolución ya expuesta de la normativa autonómica en materia de espectáculos taurinos pone de manifiesto que —más allá de la pretensión de que la tauromaquia sea considerada una manifestación cultural general en toda la sociedad española y en el íntegro territorio estatal—, hay pueblos y nacionalidades integrados en España que han mostrado un nivel de desafección a ciertos elementos de esa tradición que no deberían haber sido desdeñadas por la opinión que ha terminado reflejada como sentencia del Tribunal Constitucional. No solo es la ya citada actitud abolicionista de la Comunidad Autónoma de las Islas Canarias, expresada de manera muy temprana en la Ley 8/1991, de 30 de abril; sino también la actitud restrictiva y limitativa de la normativa catalana desde la Ley 3/1988, de 4 de marzo, y de la Illes Balears desde la Ley 1/1992, de 8 de abril; todas ellas consentidas y toleradas por el Estado.</w:t>
      </w:r>
    </w:p>
    <w:p w:rsidR="00A90898" w:rsidRDefault="00A90898" w:rsidP="00A90898">
      <w:pPr>
        <w:pStyle w:val="TextoNormal"/>
      </w:pPr>
    </w:p>
    <w:p w:rsidR="00A90898" w:rsidRDefault="00A90898" w:rsidP="00A90898">
      <w:pPr>
        <w:pStyle w:val="TextoNormal"/>
      </w:pPr>
      <w:r>
        <w:t xml:space="preserve">A ello deben añadirse elementos estadísticos significativos reveladores de que la decisión ahora impugnada de no excluir de la prohibición de la utilización de animales en espectáculos públicos en Cataluña determinados espectáculos taurinos, además de estar en línea de coherencia con el sentido material restrictivo del ejercicio de una competencia exclusiva en materia de protección animal que había dado comienzo hacía 22 años, respondía a una real </w:t>
      </w:r>
      <w:r>
        <w:lastRenderedPageBreak/>
        <w:t>desafección por el sistema de valores culturales que representan algunas manifestaciones de la tauromaquia.</w:t>
      </w:r>
    </w:p>
    <w:p w:rsidR="00A90898" w:rsidRDefault="00A90898" w:rsidP="00A90898">
      <w:pPr>
        <w:pStyle w:val="TextoNormal"/>
      </w:pPr>
    </w:p>
    <w:p w:rsidR="00A90898" w:rsidRDefault="00A90898" w:rsidP="00A90898">
      <w:pPr>
        <w:pStyle w:val="TextoNormal"/>
      </w:pPr>
      <w:r>
        <w:t>En ese sentido, no puede dejar de mencionarse el progresivo declive que hasta la marginalización estaban teniendo las corridas de toros, como más genuina y acabada expresión de los espectáculos taurinos, en Cataluña en momentos previos a la aprobación de la normativa impugnada. En el año 2004, de las 810 corridas de toros celebradas en España solo 28 (3,5 por 100) lo fueron en Cataluña, manteniendo entonces en actividad las plazas de toros de Barcelona, con 12 corridas, Tarragona, con 7, Lloret de Mar, con 8 y Girona, con 1. En 2005, las corridas de toros celebradas en Cataluña se redujeron al 2,05 por 100 (16 sobre un total nacional de 781) y quedaban ya únicamente dos plazas en activo, la Monumental de Barcelona, con 15 corridas, y la de Tarragona, con una única corrida. En 2006, las estadísticas oficiales del Ministerio del Interior no computaron la celebración de ninguna corrida de toros en Cataluña. Desde 2007 y hasta la entrada en vigor de la normativa ahora impugnada solo se celebraron corridas de toros en la plaza de Barcelona y lo fueron en la cantidad de 15 sobre 953 en 2007 (1,6 por 100); 12 sobre 810 en 2008 (1,5 por 100); 14 sobre 648 en 2009 (2,2 por 100); 12 sobre 611 en 2010 (2 por 100); y 10 sobre 561 en 2011 (1,8 por 100). Esto es, desde 5 años anteriores a la entrada en vigor de la normativa autonómica controvertida solo una plaza de toros se mantenía en activo en el territorio catalán y su programación de corridas de toros no superó de media el 2 por 100 del total del Estado.</w:t>
      </w:r>
    </w:p>
    <w:p w:rsidR="00A90898" w:rsidRDefault="00A90898" w:rsidP="00A90898">
      <w:pPr>
        <w:pStyle w:val="TextoNormal"/>
      </w:pPr>
    </w:p>
    <w:p w:rsidR="00A90898" w:rsidRDefault="00A90898" w:rsidP="00A90898">
      <w:pPr>
        <w:pStyle w:val="TextoNormal"/>
      </w:pPr>
      <w:r>
        <w:t>En contraposición a ello, hay que insistir en que la decisión autonómica no ha propiciado una completa exclusión de la globalidad de las manifestaciones de la tauromaquia en el territorio autonómico, sino que, intentando hacer compatibles los intereses concurrentes, ha mantenido determinadas manifestaciones de la tauromaquia que ha juzgado con el suficiente arraigo tradicional como son los correbous, pero prohibiendo cualquier elemento lesivo para el animal en su desarrollo.</w:t>
      </w:r>
    </w:p>
    <w:p w:rsidR="00A90898" w:rsidRDefault="00A90898" w:rsidP="00A90898">
      <w:pPr>
        <w:pStyle w:val="TextoNormal"/>
      </w:pPr>
    </w:p>
    <w:p w:rsidR="00A90898" w:rsidRDefault="00A90898" w:rsidP="00A90898">
      <w:pPr>
        <w:pStyle w:val="TextoNormal"/>
      </w:pPr>
      <w:r>
        <w:t>17. En conclusión, aplicando el criterio de ponderación en la resolución del presente recurso de inconstitucionalidad debería haberse concluido la constitucionalidad de la normativa autonómica impugnada. Desde una perspectiva competencial, las competencias exclusivas autonómicas en materia de espectáculos públicos y, especialmente, de protección de los animales, eran las más específicas y directamente concernidas en la materia regulada. Frente a ellas la competencia estatal de protección cultural no podía resultar prevalente ya que, materialmente, la tauromaquia, en atención a su carácter no neutral desde determinados sistemas de valores culturales, solo podría ser considerada una manifestación digna de protección cultural en la globalidad del territorio nacional en la medida en que quedara acreditada una concreta afección e identificación con el sistema de valores culturales que representa, lo que no se verifica en la Comunidad Autónoma de Cataluña, entre otras a cuya normativa restrictiva o prohibitiva el Estado no ha dedicado atención, y en contraste con otras en la que la fuerte implantación de la tauromaquia como tradición cultural impediría la aplicación de una hipotética normativa estatal de signo contrario a la ahora esgrimida, aunque pretendiese apoyarse igualmente en la competencia estatal sobre protección de la cultura.</w:t>
      </w:r>
    </w:p>
    <w:p w:rsidR="00A90898" w:rsidRDefault="00A90898" w:rsidP="00A90898">
      <w:pPr>
        <w:pStyle w:val="TextoNormal"/>
      </w:pPr>
    </w:p>
    <w:p w:rsidR="00A90898" w:rsidRDefault="00A90898" w:rsidP="00A90898">
      <w:pPr>
        <w:pStyle w:val="TextoNormal"/>
      </w:pPr>
      <w:r>
        <w:t xml:space="preserve">En última instancia, una imposición de protección cultural de la tauromaquia en todas sus manifestaciones y en toda la extensión del territorio del Estado como la pretendida mediante la Ley 18/2013 y asumida por la opinión mayoritaria en la que se sustenta la sentencia </w:t>
      </w:r>
      <w:r>
        <w:lastRenderedPageBreak/>
        <w:t>no puede pretenderse prevalente con ese carácter omnímodo frente al reconocimiento de específicas competencias exclusivas de la Comunidad Autónoma de Cataluña con incidencia directa en materia de espectáculos taurinos, como son las relativas a la protección de los animales y espectáculos públicos, y el respeto debido a un sistema de valores culturales propio de la nacionalidad catalana cuya protección constitucional está garantizada mediante el reconocimiento de la pluralidad de los pueblos de España y sus culturas.</w:t>
      </w:r>
    </w:p>
    <w:p w:rsidR="00A90898" w:rsidRDefault="00A90898" w:rsidP="00A90898">
      <w:pPr>
        <w:pStyle w:val="TextoNormal"/>
      </w:pPr>
    </w:p>
    <w:p w:rsidR="00A90898" w:rsidRDefault="00A90898" w:rsidP="00A90898">
      <w:pPr>
        <w:pStyle w:val="TextoNormal"/>
      </w:pPr>
      <w:r>
        <w:t>Madrid, a veinte de octubre de dos mil dieciséis.-Juan Antonio Xiol Ríos.-Firmado y rubricado.</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7" w:name="SENTENCIA_2016_178"/>
      <w:r>
        <w:lastRenderedPageBreak/>
        <w:t>SENTENCIA 178/2016, de 20 de octubre de 2016</w:t>
      </w:r>
    </w:p>
    <w:bookmarkEnd w:id="57"/>
    <w:p w:rsidR="00A90898" w:rsidRDefault="00A90898" w:rsidP="00A90898">
      <w:pPr>
        <w:pStyle w:val="TtuloResolucin"/>
      </w:pPr>
      <w:r>
        <w:t>Pleno</w:t>
      </w:r>
    </w:p>
    <w:p w:rsidR="00A90898" w:rsidRDefault="00A90898" w:rsidP="00A90898">
      <w:pPr>
        <w:pStyle w:val="TtuloBOE"/>
      </w:pPr>
      <w:r>
        <w:t>(BOE núm. 285, de 25 de noviembre de 2016)</w:t>
      </w:r>
    </w:p>
    <w:p w:rsidR="00A90898" w:rsidRDefault="00A90898" w:rsidP="00A90898">
      <w:pPr>
        <w:pStyle w:val="TextoNormalCentrado"/>
      </w:pPr>
      <w:r>
        <w:t>ECLI:ES:TC:2016:178</w:t>
      </w:r>
    </w:p>
    <w:p w:rsidR="00A90898" w:rsidRDefault="00A90898" w:rsidP="00A90898">
      <w:pPr>
        <w:pStyle w:val="TextoNormalCentrado"/>
      </w:pPr>
    </w:p>
    <w:p w:rsidR="00A90898" w:rsidRDefault="00A90898" w:rsidP="00A90898">
      <w:pPr>
        <w:pStyle w:val="SntesisDescriptiva"/>
      </w:pPr>
      <w:r>
        <w:t>Conflicto positivo de competencia 6862-2012. Planteado por el Gobierno de la Nación, en relación con la decisión del Gobierno Vasco, de fecha indeterminada, por la que se acuerda que los trabajadores del sector público vasco cobren la paga extraordinaria de diciembre de 2012, así como respecto a las actuaciones o disposiciones que apliquen este criterio.</w:t>
      </w:r>
    </w:p>
    <w:p w:rsidR="00A90898" w:rsidRDefault="00A90898" w:rsidP="00A90898">
      <w:pPr>
        <w:pStyle w:val="SntesisDescriptiva"/>
      </w:pPr>
    </w:p>
    <w:p w:rsidR="00A90898" w:rsidRDefault="00A90898" w:rsidP="00A90898">
      <w:pPr>
        <w:pStyle w:val="SntesisAnaltica"/>
      </w:pPr>
      <w:r>
        <w:t>Competencias sobre ordenación general de la economía y principios de coordinación entre haciendas públicas y de estabilidad presupuestaria: atribución al Estado de la competencia para regular la percepción de la paga extraordinaria controvertida (STC 81/2015).</w:t>
      </w:r>
    </w:p>
    <w:p w:rsidR="00A90898" w:rsidRDefault="00A90898" w:rsidP="00A90898">
      <w:pPr>
        <w:pStyle w:val="SntesisAnaltica"/>
      </w:pPr>
    </w:p>
    <w:p w:rsidR="00A90898" w:rsidRDefault="00A90898" w:rsidP="00A90898">
      <w:pPr>
        <w:pStyle w:val="Extracto"/>
      </w:pPr>
      <w:r>
        <w:t>1.</w:t>
      </w:r>
      <w:r>
        <w:tab/>
        <w:t>La disposición de la Ley 36/2014, de 26 de diciembre, que estableció que cada Administración Pública podía aprobar el abono de cantidades en recuperación de los importes efectivamente dejados de percibir por aplicación del Real Decreto-ley 20/2012, no hace desaparecer la controversia competencial sobre el límite de las competencias de las Comunidades Autónomas en la determinación de las retribuciones del personal al servicio de sus Administraciones [FJ 2].</w:t>
      </w:r>
    </w:p>
    <w:p w:rsidR="00A90898" w:rsidRDefault="00A90898" w:rsidP="00A90898">
      <w:pPr>
        <w:pStyle w:val="Extracto"/>
      </w:pPr>
    </w:p>
    <w:p w:rsidR="00A90898" w:rsidRDefault="00A90898" w:rsidP="00A90898">
      <w:pPr>
        <w:pStyle w:val="Extracto"/>
      </w:pPr>
      <w:r>
        <w:t>2.</w:t>
      </w:r>
      <w:r>
        <w:tab/>
        <w:t>La decisión de acordar que los trabajadores del sector público de la Comunidad Autónoma cobren la paga extraordinaria de diciembre de 2012 vulnera el orden constitucional de distribución de competencias por infringir el Real Decreto-ley 20/2012, de medidas para garantizar la estabilidad presupuestaria y de fomento de la competitividad, que redujo las retribuciones del personal del sector público en las cuantías que correspondía percibir en el mes de diciembre de 2012 [FJ 3].</w:t>
      </w:r>
    </w:p>
    <w:p w:rsidR="00A90898" w:rsidRDefault="00A90898" w:rsidP="00A90898">
      <w:pPr>
        <w:pStyle w:val="Extracto"/>
      </w:pPr>
    </w:p>
    <w:p w:rsidR="00A90898" w:rsidRDefault="00A90898" w:rsidP="00A90898">
      <w:pPr>
        <w:pStyle w:val="Extracto"/>
      </w:pPr>
      <w:r>
        <w:t>3.</w:t>
      </w:r>
      <w:r>
        <w:tab/>
        <w:t>Corresponde al Estado la titularidad de la competencia controvertida, sin que proceda declarar la nulidad de la decisión viciada de incompetencia, habida cuenta que sucesivas disposiciones legales estatales han facultado a distintas Administraciones para aprobar retribuciones de recuperación de la paga extra y adicional de diciembre de 2012 respecto del personal funcionario y laboral a su servicio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conflicto positivo de competencia núm. 6862-2012, promovido por el Gobierno de la Nación, contra la decisión del Gobierno Vasco, de fecha indeterminada, por la que se acuerda que los trabajadores del sector público vasco cobren la paga extraordinaria de diciembre de 2012, “así como respecto a las actuaciones o disposiciones que apliquen este criterio”. Ha comparecido y formulado alegaciones el Gobierno Vasco.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del Tribunal Constitucional el día 5 de diciembre de 2012, el Abogado del Estado, en la representación que legalmente ostenta, promueve conflicto positivo de competencia contra la decisión del Gobierno Vasco, de fecha indeterminada, por la que se acuerda que los trabajadores del sector público vasco cobren la paga extraordinaria de diciembre de 2012, “así como respecto a las actuaciones o disposiciones que apliquen este criterio”. El Abogado del Estado invocó el art. 161.2 CE a fin de que se produjera la suspensión de la decisión del Gobierno Vasco respecto a la que se formaliza el conflicto y “las actuaciones y decisiones que apliquen este criterio”.</w:t>
      </w:r>
    </w:p>
    <w:p w:rsidR="00A90898" w:rsidRDefault="00A90898" w:rsidP="00A90898">
      <w:pPr>
        <w:pStyle w:val="TextoNormal"/>
      </w:pPr>
    </w:p>
    <w:p w:rsidR="00A90898" w:rsidRDefault="00A90898" w:rsidP="00A90898">
      <w:pPr>
        <w:pStyle w:val="TextoNormal"/>
      </w:pPr>
      <w:r>
        <w:t>Comienza el Abogado del Estado exponiendo las actuaciones frente a las que se plantea el presente conflicto positivo de competencia: manifestación de la Portavoz y Consejera de Interior, Justicia y Administración pública del Gobierno Vasco publicada en la web oficial del Gobierno Vasco (www.irekia.net/es/news/12978/-los-funcionarios-vascos-cobrarán-paga-extra-navidad) y fechada el 27 de noviembre de 2012, en la que confirma que los 67.000 trabajadores y trabajadoras del sector público vasco cobrarán la paga extra del mes de diciembre y que la medida ha sido adoptada después de que un informe jurídico señalara que el Decreto-ley de contención de gasto público invadía las competencias autonómicas y prevalecía la normativa vasca; intervención de la misma en la que manifiesta que el Gobierno Vasco ha decidido que va a proceder al abono de la paga extra de diciembre a los empleados públicos; y noticia en la edición digital del diario “El Correo” de 29 de noviembre de 2012 (http://www.elcorreo.com/vizcaya/v/20121129/política/gobierno-lpez-dado-orden-20121129.html) en la que, entre otras afirmaciones, se incluye que “la Directora de la Función Pública del Ejecutivo de Vitoria firmó ayer mismo por la mañana la orden para librar la partida presupuestaria de 207 millones destinada a abonar la paga según confirmaron a este periódico fuentes autorizadas del gabinete de la consejera vasca de Administración Pública”.</w:t>
      </w:r>
    </w:p>
    <w:p w:rsidR="00A90898" w:rsidRDefault="00A90898" w:rsidP="00A90898">
      <w:pPr>
        <w:pStyle w:val="TextoNormal"/>
      </w:pPr>
    </w:p>
    <w:p w:rsidR="00A90898" w:rsidRDefault="00A90898" w:rsidP="00A90898">
      <w:pPr>
        <w:pStyle w:val="TextoNormal"/>
      </w:pPr>
      <w:r>
        <w:t>Entiende el Abogado del Estado que en dichas actuaciones se hace referencia a una decisión ya tomada por el órgano ejecutivo autonómico. Además, pone de relieve que el Gobierno del Estado carece de cualquier otro dato al respecto: no posee copia del texto del acuerdo del Gobierno Vasco en el que se decide proceder al abono de la paga extraordinaria de diciembre de 2012; no conoce su fecha ni las circunstancias en que ha sido tomado; ni el preciso ámbito subjetivo de aplicación de dicha decisión. Finalmente afirma que la noticia publicada por “El Correo”, de ser cierta, supone que “la Directora de la Función Pública” ha realizado un acto de ejecución aplicativo de la decisión del Gobierno respecto a la que se traba el conflicto.</w:t>
      </w:r>
    </w:p>
    <w:p w:rsidR="00A90898" w:rsidRDefault="00A90898" w:rsidP="00A90898">
      <w:pPr>
        <w:pStyle w:val="TextoNormal"/>
      </w:pPr>
    </w:p>
    <w:p w:rsidR="00A90898" w:rsidRDefault="00A90898" w:rsidP="00A90898">
      <w:pPr>
        <w:pStyle w:val="TextoNormal"/>
      </w:pPr>
      <w:r>
        <w:t>A continuación, el representante estatal expone doctrina del Tribunal Constitucional sobre el objeto del conflicto positivo de competencia (con cita de SSTC 143/1985, de 24 de octubre; 57/1983, de 28 de junio; 220/1992, de 11 de diciembre; 102/1988, de 8 de junio; 143/1985, de 24 de octubre; 101/1995, de 22 de junio, y 137/1989, de 20 de julio, entre otras), de acuerdo con la cual entiende que puede ser objeto del conflicto cualquier acto o actuación imputable a una Comunidad Autónoma que —con independencia de su naturaleza, forma o grado de eficacia— envuelva una afirmación inequívoca de competencia propia o lesione la competencia ajena. Asimismo, pone de relieve que conforme al ATC 135/2004, de 20 de abril, FJ 6 a), “lo determinante ha sido siempre que se trataba de expresiones indubitadas de una asunción de competencia que la contraparte procesal tenía por inconstitucionalmente fundada”, pues “lo importante … no es tanto la naturaleza o la forma del acto como la real existencia de una controversia o disputa ante un evidente ejercicio de competencias” (SSTC 220/2992, FJ 15, y 101/1995, FJ 6).</w:t>
      </w:r>
    </w:p>
    <w:p w:rsidR="00A90898" w:rsidRDefault="00A90898" w:rsidP="00A90898">
      <w:pPr>
        <w:pStyle w:val="TextoNormal"/>
      </w:pPr>
    </w:p>
    <w:p w:rsidR="00A90898" w:rsidRDefault="00A90898" w:rsidP="00A90898">
      <w:pPr>
        <w:pStyle w:val="TextoNormal"/>
      </w:pPr>
      <w:r>
        <w:t>El escrito promotor del presente conflicto afirma que la competencia ejercida por el Gobierno Vasco al adoptar la decisión sobre la que se promueve el conflicto pertenece exclusivamente al Estado en virtud de los arts. 149.1.13 y 156 CE en relación con el art. 135 CE (apartados 1 y 6) y con los arts. 2.1 b) de la Ley Orgánica de financiación de las Comunidades Autónomas y 1, 2.1 b), 3.1, 9 b) y 11.1 de la Ley Orgánica 2/2012, de 27 de abril, de estabilidad presupuestaria y sostenibilidad financiera y se ha concretado, atendiendo a la argumentación expuesta, en el art. 2.1 del Real Decreto-ley 20/2012, de 13 de julio, de medidas para garantizar la estabilidad presupuestaria y de fomento de la competitividad.</w:t>
      </w:r>
    </w:p>
    <w:p w:rsidR="00A90898" w:rsidRDefault="00A90898" w:rsidP="00A90898">
      <w:pPr>
        <w:pStyle w:val="TextoNormal"/>
      </w:pPr>
    </w:p>
    <w:p w:rsidR="00A90898" w:rsidRDefault="00A90898" w:rsidP="00A90898">
      <w:pPr>
        <w:pStyle w:val="TextoNormal"/>
      </w:pPr>
      <w:r>
        <w:t>Dicho precepto, a su juicio, tiene carácter básico: formalmente, al haber sido establecido en una norma con rango de ley e invocando la precisa competencia constitucional, y materialmente, conforme a la doctrina constitucional. Al respecto pone de manifiesto que, de acuerdo con la misma (cita las SSTC 63/1986, de 21 de mayo, FJ 11; 96/1990, de 24 de mayo, FJ 3; 171/1996, de 30 de octubre, FJ 4; 62/2001, de 1 de marzo, FJ 6; 24/2002, de 31 de enero, FJ 5; 139/2005, de 26 de mayo, FJ 7; 148/2006, de 11 de mayo, FFJJ 4 y ss.; 178/2006, de 6 de junio, FJ 3; 195/2006, de 22 de junio, FJ 6; 222/2006, de 6 de julio, y 297/2006, de 11 de octubre, FJ 5) todas las medidas de contención de gastos de personal que hayan de aplicarse a todo el sector público, incluido el sector autonómico, competen al Estado en virtud del art. 149.1.13 CE en relación con el art. 156.1 CE, al que ha de añadirse, a juicio del Abogado del Estado, el art. 135 (1 y 6) CE.</w:t>
      </w:r>
    </w:p>
    <w:p w:rsidR="00A90898" w:rsidRDefault="00A90898" w:rsidP="00A90898">
      <w:pPr>
        <w:pStyle w:val="TextoNormal"/>
      </w:pPr>
    </w:p>
    <w:p w:rsidR="00A90898" w:rsidRDefault="00A90898" w:rsidP="00A90898">
      <w:pPr>
        <w:pStyle w:val="TextoNormal"/>
      </w:pPr>
      <w:r>
        <w:t>Según la exposición de motivos del citado Real Decreto-ley 20/2012 la reducción de las retribuciones fijada en su artículo 2 es una medida extraordinaria de “contención de gastos de personal” que tiene por finalidad “contribuir a la consecución del inexcusable objetivo de estabilidad presupuestaria derivado del marco constitucional y de la Unión Europea”. Señala el representante estatal que la estabilidad presupuestaria es un principio constitucional que vincula a todos los poderes públicos y que, establecido en el art. 135 CE, se desarrolla en la Ley Orgánica 2/2012, de 27 de abril, de estabilidad presupuestaria y sostenibilidad financiera. A lo anterior añade el Abogado del Estado que la actuación del Gobierno Vasco aquí impugnada viola flagrantemente el marco de estabilidad presupuestaria coherente con la normativa europea fijado en el art. 2 del Real Decreto-ley 20/2012.</w:t>
      </w:r>
    </w:p>
    <w:p w:rsidR="00A90898" w:rsidRDefault="00A90898" w:rsidP="00A90898">
      <w:pPr>
        <w:pStyle w:val="TextoNormal"/>
      </w:pPr>
    </w:p>
    <w:p w:rsidR="00A90898" w:rsidRDefault="00A90898" w:rsidP="00A90898">
      <w:pPr>
        <w:pStyle w:val="TextoNormal"/>
      </w:pPr>
      <w:r>
        <w:lastRenderedPageBreak/>
        <w:t>Finalmente, pone de manifiesto el representante estatal que el presente conflicto de competencia no tiene por objeto determinar si el art. 2 del Real Decreto-ley 20/2012 es conforme a la Constitución sino, exclusivamente, si la decisión del Gobierno Vasco de abonar a los empleados del sector público autonómico (o al menos a una parte de ellos) la paga extraordinaria de diciembre de 2012, vulnera la competencia exclusiva del Estado para dictar una medida básica de ordenación económica general en materia de gastos de personal, vinculante para todos los sectores públicos o si, por el contrario, solo la Comunidad Autónoma tiene competencia para decidir su abono. A ello añade que no se trata del supuesto previsto en el art. 67 de la Ley Orgánica del Tribunal Constitucional (LOTC) ya que la competencia del Estado que se invoca como lesionada no ha sido atribuida por ninguna “Ley o norma con rango de ley” sino que deriva directamente de la Constitución. La aplicación del art. 67 LOTC sólo sería posible si el Gobierno Vasco pretendiera amparar la decisión objeto del presente conflicto en una norma autonómica con fuerza de ley que se opusiera al ejercicio de la competencia constitucional del Estado del art. 149.1.13 CE en materia de retribuciones de los empleados públicos.</w:t>
      </w:r>
    </w:p>
    <w:p w:rsidR="00A90898" w:rsidRDefault="00A90898" w:rsidP="00A90898">
      <w:pPr>
        <w:pStyle w:val="TextoNormal"/>
      </w:pPr>
    </w:p>
    <w:p w:rsidR="00A90898" w:rsidRDefault="00A90898" w:rsidP="00A90898">
      <w:pPr>
        <w:pStyle w:val="TextoNormal"/>
      </w:pPr>
      <w:r w:rsidRPr="00A90898">
        <w:rPr>
          <w:rStyle w:val="NumeroAFNegritaCaracter"/>
        </w:rPr>
        <w:t>2</w:t>
      </w:r>
      <w:r>
        <w:t>. Por providencia de 11 de diciembre de 2012, la Sección Tercera del Tribunal acordó admitir a trámite el conflicto positivo de competencia así como dar traslado de la demanda y de los documentos presentados al Gobierno Vasco al objeto de que, en el plazo de veinte días, aportara cuantos documentos y alegaciones considerase convenientes. Asimismo se tuvo por invocado el art. 161.2 CE, lo que, a su tenor y conforme dispone el art. 64.2 LOTC, produce la suspensión de la vigencia y aplicación de la decisión impugnada desde la fecha de interposición del conflicto, y se acordó comunicar la incoación del conflicto a la Sala de lo Contencioso-Administrativo del Tribunal Superior de Justicia del País Vasco por si ante la misma estuviera impugnado o se impugnare la citada decisión, en cuyo caso se suspenderá el curso del proceso hasta la decisión del conflicto, según dispone el art. 61.2 LOTC, y publicar la incoación del conflicto en el “Boletín Oficial del Estado” y en el “Boletín Oficial del País Vasco”.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Por escrito de alegaciones registrado en este Tribunal Constitucional el día 15 de enero de 2013, el Letrado de los Servicios Jurídicos Centrales de la Administración de la Comunidad Autónoma del País Vasco, en nombre del Gobierno Vasco, interesó la inadmisión del presente conflicto positivo de competencia, por estar planteado con carácter preventivo y anticipatorio y no tener, por lo tanto, objeto actual y determinado en el momento de su formulación, sin perjuicio de que “de facto” la interposición del recurso haya dado lugar a la paralización de los actos de ejecución previstos para el abono de la paga extra de Navidad 2012. A su juicio, el conflicto se interpone sin esperar a la materialización jurídica de las manifestaciones expuestas por la portavoz del Gobierno Vasco. El carácter preventivo se manifiesta en la indeterminación de la fecha y en la fórmula de futuro eventual que se emplea para tratar de precisar el objeto del conflicto. No existe, en su opinión, un acto o resolución actual y efectiva, a lo sumo un propósito, una intención manifestada de un acto; en definitiva, un “acto indeterminado”. Afirma que el conflicto se plantea contra un criterio manifestado por la portavoz del Gobierno Vasco, en prevención de que se llevará a cabo un acto —la percepción de la paga extra de los empleados públicos del Gobierno— que, a juicio de la demanda, entra en contradicción con lo dispuesto en el art. 2, apartados 1 y 2, del Real Decreto-ley 20/2012. Al respecto se señala que el Tribunal Constitucional ha puesto de manifiesto que el conflicto positivo de competencia no es una forma de control </w:t>
      </w:r>
      <w:r>
        <w:lastRenderedPageBreak/>
        <w:t>preventivo (con cita de SSTC 15/1997, de 30 de enero, y 101/1995, de 22 de junio, y ATC 135/2004).</w:t>
      </w:r>
    </w:p>
    <w:p w:rsidR="00A90898" w:rsidRDefault="00A90898" w:rsidP="00A90898">
      <w:pPr>
        <w:pStyle w:val="TextoNormal"/>
      </w:pPr>
    </w:p>
    <w:p w:rsidR="00A90898" w:rsidRDefault="00A90898" w:rsidP="00A90898">
      <w:pPr>
        <w:pStyle w:val="TextoNormal"/>
      </w:pPr>
      <w:r>
        <w:t>El representante del Gobierno Vasco solicita, subsidiariamente, su desestimación, por ser competencia del Gobierno Vasco el abono de la paga de Navidad en 2012 a sus funcionarios y empleados públicos en aplicación de lo establecido en la Ley 6/2011, de 23 diciembre, por la que se aprueban los presupuestos generales de la Comunidad Autónoma de Euskadi para el ejercicio 2012, y los arts. 77 y siguientes de la Ley 6/1989, de 6 julio, de la función pública vasca, las cuales, en su opinión, no pueden ser desplazadas en su aplicación sin una previa declaración de inconstitucionalidad sobrevenida.</w:t>
      </w:r>
    </w:p>
    <w:p w:rsidR="00A90898" w:rsidRDefault="00A90898" w:rsidP="00A90898">
      <w:pPr>
        <w:pStyle w:val="TextoNormal"/>
      </w:pPr>
    </w:p>
    <w:p w:rsidR="00A90898" w:rsidRDefault="00A90898" w:rsidP="00A90898">
      <w:pPr>
        <w:pStyle w:val="TextoNormal"/>
      </w:pPr>
      <w:r>
        <w:t>Asimismo, para el caso de que este Tribunal considere de aplicación el art. 67 LOTC y tramite este procedimiento como un recurso de inconstitucionalidad, por estar implicadas en la resolución del mismo normas con rango de ley, solicita la declaración de que el art. 2.1 y 2 del Real Decreto-ley 20/2012 se extralimita en el ejercicio de las competencias del Estado establecidas en el art. 149.1. 13 CE, pues invade competencias propias de la Comunidad Autónoma del País Vasco establecidas en el art. 148.1.1 CE, en relación con los arts. 10.2, 10.4, 40 y 44 h) del Estatuto de Autonomía del País Vasco, competencias que ha sido correctamente ejercidas en los arts. 19 y ss. de la Ley 6/2011, de 23 diciembre, por la que se aprueban los presupuestos generales de la Comunidad Autónoma de Euskadi para el ejercicio 2012 y en los arts. 77 y 78 de la Ley 6/1989, de 6 julio, de la función pública vasca, anteriormente citadas.</w:t>
      </w:r>
    </w:p>
    <w:p w:rsidR="00A90898" w:rsidRDefault="00A90898" w:rsidP="00A90898">
      <w:pPr>
        <w:pStyle w:val="TextoNormal"/>
      </w:pPr>
    </w:p>
    <w:p w:rsidR="00A90898" w:rsidRDefault="00A90898" w:rsidP="00A90898">
      <w:pPr>
        <w:pStyle w:val="TextoNormal"/>
      </w:pPr>
      <w:r>
        <w:t>Se afirma que el criterio anunciado por el Gobierno Vasco en relación con el abono de la paga extra es implementación de lo establecido en las citadas leyes que se habían aplicado pacíficamente hasta la entrada en vigor del citado Real Decreto-ley 20/2012, norma respecto a la que se había iniciado el trámite previsto en el art. 33.2 LOTC.</w:t>
      </w:r>
    </w:p>
    <w:p w:rsidR="00A90898" w:rsidRDefault="00A90898" w:rsidP="00A90898">
      <w:pPr>
        <w:pStyle w:val="TextoNormal"/>
      </w:pPr>
    </w:p>
    <w:p w:rsidR="00A90898" w:rsidRDefault="00A90898" w:rsidP="00A90898">
      <w:pPr>
        <w:pStyle w:val="TextoNormal"/>
      </w:pPr>
      <w:r>
        <w:t>En sus alegaciones, la representación procesal del Gobierno Vasco considera que el conflicto positivo de competencia se vincula a la eventual inconstitucionalidad sobrevenida de la Ley del Parlamento Vasco 6/2011 y de las retribuciones que establece la Ley 6/1989, anteriormente citadas. Además, se aduce que la resolución del presente conflicto positivo de competencia es inseparable de la decisión previa del Tribunal Constitucional sobre si el Estado se ha extralimitado en el ejercicio de su competencia al dictar alguno de los artículos del Real Decreto-ley 20/2012.</w:t>
      </w:r>
    </w:p>
    <w:p w:rsidR="00A90898" w:rsidRDefault="00A90898" w:rsidP="00A90898">
      <w:pPr>
        <w:pStyle w:val="TextoNormal"/>
      </w:pPr>
    </w:p>
    <w:p w:rsidR="00A90898" w:rsidRDefault="00A90898" w:rsidP="00A90898">
      <w:pPr>
        <w:pStyle w:val="TextoNormal"/>
      </w:pPr>
      <w:r>
        <w:t xml:space="preserve">Por lo tanto, la resolución de este conflicto es un aspecto parcial del recurso de inconstitucionalidad contra el Real Decreto-ley 20/2012, y para su resolución el Tribunal Constitucional ha de entrar a dilucidar cuestiones que trascienden el abono de la paga extra como son: la confirmación del monopolio del Tribunal Constitucional para el enjuiciamiento de la inconstitucionalidad sobrevenida de la ley autonómica por contradicción con la legislación básica posterior; la aplicación del sistema de fuentes y límites de la competencia del Estado </w:t>
      </w:r>
      <w:r w:rsidRPr="00A90898">
        <w:rPr>
          <w:i/>
        </w:rPr>
        <w:t>ex</w:t>
      </w:r>
      <w:r>
        <w:t xml:space="preserve"> art. 149.1.13 CE y determinar el carácter exorbitante del art. 2.1.y 2.2 del Real Decreto-ley 20/2012 en relación con la Comunidad Autónoma del País Vasco en el marco de los instrumentos que para garantizar el principio de estabilidad presupuestaria ordena la Ley Orgánica 2/2012, de 27 de abril, de estabilidad presupuestaria.</w:t>
      </w:r>
    </w:p>
    <w:p w:rsidR="00A90898" w:rsidRDefault="00A90898" w:rsidP="00A90898">
      <w:pPr>
        <w:pStyle w:val="TextoNormal"/>
      </w:pPr>
    </w:p>
    <w:p w:rsidR="00A90898" w:rsidRDefault="00A90898" w:rsidP="00A90898">
      <w:pPr>
        <w:pStyle w:val="TextoNormal"/>
      </w:pPr>
      <w:r>
        <w:lastRenderedPageBreak/>
        <w:t>Tras realizar una exposición sobre los principios de prevalencia y de competencia o atribución, se afirma que la concreta medida de suprimir la paga extra de Navidad de los funcionarios y empleados públicos del País Vasco en 2012 no trae su causa directa en la Constitución sino en el art. 2 del Real Decreto-ley 20/2012 que no puede desplazar la aplicación de la Ley de función pública vasca ni de la Ley de presupuestos sin un previo examen de constitucionalidad llevado a cabo por el Tribunal Constitucional. Partiendo de dichas premisas, las alegaciones del Gobierno Vasco se concretan en la exposición de los motivos de inconstitucionalidad del art. 2.1 y 2.2 del Real Decreto-ley 20/2012 que tiene como objetivo principal la estabilidad presupuestaria si bien, del procedimiento formal seguido y del contenido material del mismo se infiere que se ha adoptado al margen de la Ley de estabilidad presupuestaria y que la supresión de la paga extraordinaria es una medida que no tiene cobertura ni en las facultades que le otorga dicha Ley al Estado ni en el art. 149.1.13 CE y que invade las competencias de la Comunidad Autónoma del País Vasco tanto en su relación con el título competencial correspondiente estatuto básico del empleado público como en relación con el título competencial correspondiente al control del déficit público. El art. 2 del Real Decreto-ley 20/2012 no permite al Gobierno Vasco una decisión propia sobre el modo de alcanzar el límite presupuestario impuesto: la reducción del déficit, ignorando los procesos de instrumentación previstos en la Ley Orgánica de estabilidad presupuestaria. Así se considera que se han ignorado los mecanismos previstos en la citada Ley Orgánica como son, entre otros, la información previa o el principio de individualización.</w:t>
      </w:r>
    </w:p>
    <w:p w:rsidR="00A90898" w:rsidRDefault="00A90898" w:rsidP="00A90898">
      <w:pPr>
        <w:pStyle w:val="TextoNormal"/>
      </w:pPr>
    </w:p>
    <w:p w:rsidR="00A90898" w:rsidRDefault="00A90898" w:rsidP="00A90898">
      <w:pPr>
        <w:pStyle w:val="TextoNormal"/>
      </w:pPr>
      <w:r>
        <w:t>En definitiva, si bien se reconoce la competencia del Estado sobre ordenación general de la economía (art. 149.1.13 CE), así como la garantía de la estabilidad presupuestaria, se considera que esta competencia debe actuarse dentro de sus límites y conforme a los principios de lealtad institucional, efectividad, regla de gasto, acción coordinada y conjunta. Además, la Ley Orgánica de estabilidad presupuestaria en relación con Navarra y el País Vasco salvaguarda las especialidades del régimen foral en el que tiene un papel relevante la comisión mixta del concierto económico.</w:t>
      </w:r>
    </w:p>
    <w:p w:rsidR="00A90898" w:rsidRDefault="00A90898" w:rsidP="00A90898">
      <w:pPr>
        <w:pStyle w:val="TextoNormal"/>
      </w:pPr>
    </w:p>
    <w:p w:rsidR="00A90898" w:rsidRDefault="00A90898" w:rsidP="00A90898">
      <w:pPr>
        <w:pStyle w:val="TextoNormal"/>
      </w:pPr>
      <w:r>
        <w:t>En todo caso, las competencias del Estado no le permiten adoptar una medida concreta e individualizada como es la supresión de la paga extra de Navidad a los empleados públicos del País Vasco, paga que viene acordada por la citadas Leyes de la Comunidad Autónoma del País Vasco.</w:t>
      </w:r>
    </w:p>
    <w:p w:rsidR="00A90898" w:rsidRDefault="00A90898" w:rsidP="00A90898">
      <w:pPr>
        <w:pStyle w:val="TextoNormal"/>
      </w:pPr>
    </w:p>
    <w:p w:rsidR="00A90898" w:rsidRDefault="00A90898" w:rsidP="00A90898">
      <w:pPr>
        <w:pStyle w:val="TextoNormal"/>
      </w:pPr>
      <w:r>
        <w:t>Se reitera que el Real Decreto-ley 20/2012 produce una extralimitación en el ejercicio de las competencias del Estado pues se produce una regulación material de las retribuciones individualmente consideradas, lo que vacía de contenido las competencias autonómicas e incurre en inconstitucionalidad formal al dictarse la norma al margen de los procedimientos de coordinación establecidos vulnerando el sistema específico que, para la Comunidad Autónoma del País Vasco, establece el concierto económico. En efecto la previsión del art. 2.1 y 2.2 del Real Decreto-ley 20/2012 no establece una cuantía como límite para el crecimiento o disminución de la masa salarial del conjunto de los empleados públicos sino que establece una determinación individualizada para cada uno de los empleados públicos como es la supresión de las pagas extraordinarias, estando proscrita, en su opinión, una regulación estatal básica que pretenda establecer límites cuantitativos para las retribuciones individualizadas de cada empleado público.</w:t>
      </w:r>
    </w:p>
    <w:p w:rsidR="00A90898" w:rsidRDefault="00A90898" w:rsidP="00A90898">
      <w:pPr>
        <w:pStyle w:val="TextoNormal"/>
      </w:pPr>
    </w:p>
    <w:p w:rsidR="00A90898" w:rsidRDefault="00A90898" w:rsidP="00A90898">
      <w:pPr>
        <w:pStyle w:val="TextoNormal"/>
      </w:pPr>
      <w:r>
        <w:lastRenderedPageBreak/>
        <w:t>Además, considera que dicha norma obvia todos los mecanismos de información individualizada y coordinación previstos en la Ley Orgánica 2/2012, de 27 de abril, de estabilidad presupuestaria y sostenibilidad financiera.</w:t>
      </w:r>
    </w:p>
    <w:p w:rsidR="00A90898" w:rsidRDefault="00A90898" w:rsidP="00A90898">
      <w:pPr>
        <w:pStyle w:val="TextoNormal"/>
      </w:pPr>
    </w:p>
    <w:p w:rsidR="00A90898" w:rsidRDefault="00A90898" w:rsidP="00A90898">
      <w:pPr>
        <w:pStyle w:val="TextoNormal"/>
      </w:pPr>
      <w:r>
        <w:t>Por último, solicita que se deje sin efecto la suspensión que pesa sobre la ejecución de las disposiciones del art. 19 de la Ley 6/2011, de 23 diciembre, de presupuestos de Euskadi para 2012, y en los arts. 77 y 78 de la Ley 6/1989, de 6 julio, de la función pública Vasca, a los efectos de que a los empleados públicos de la Administración general de la Comunidad Autónoma del País Vasco se les hagan efectivas de la manera que determine el Gobierno Vasco las retribuciones correspondientes a la paga de Navidad de 2012 que hayan devengado y dejado de percibir.</w:t>
      </w:r>
    </w:p>
    <w:p w:rsidR="00A90898" w:rsidRDefault="00A90898" w:rsidP="00A90898">
      <w:pPr>
        <w:pStyle w:val="TextoNormal"/>
      </w:pPr>
    </w:p>
    <w:p w:rsidR="00A90898" w:rsidRDefault="00A90898" w:rsidP="00A90898">
      <w:pPr>
        <w:pStyle w:val="TextoNormal"/>
      </w:pPr>
      <w:r w:rsidRPr="00A90898">
        <w:rPr>
          <w:rStyle w:val="NumeroAFNegritaCaracter"/>
        </w:rPr>
        <w:t>4</w:t>
      </w:r>
      <w:r>
        <w:t>. El Pleno del Tribunal Constitucional, por sendas providencias de 12 de febrero de 2013, acordó, en primer lugar, denegar la solicitud de que el presente conflicto positivo de competencia sea tramitado en la forma prevista para los recursos de inconstitucionalidad, por no concurrir la exigencia, regulada en el art. 67 LOTC, de que la competencia controvertida en el conflicto de competencia haya sido atribuida por una ley o una norma con rango de ley; y, en segundo lugar, dar trámite de audiencia a las partes personadas —Abogado del Estado y Gobierno Vasco— para que, en el plazo de cinco días, expusieran lo que considerasen conveniente acerca del mantenimiento o levantamiento de la suspensión de la decisión impugnada en este conflicto positivo de competencia.</w:t>
      </w:r>
    </w:p>
    <w:p w:rsidR="00A90898" w:rsidRDefault="00A90898" w:rsidP="00A90898">
      <w:pPr>
        <w:pStyle w:val="TextoNormal"/>
      </w:pPr>
    </w:p>
    <w:p w:rsidR="00A90898" w:rsidRDefault="00A90898" w:rsidP="00A90898">
      <w:pPr>
        <w:pStyle w:val="TextoNormal"/>
      </w:pPr>
      <w:r w:rsidRPr="00A90898">
        <w:rPr>
          <w:rStyle w:val="NumeroAFNegritaCaracter"/>
        </w:rPr>
        <w:t>5</w:t>
      </w:r>
      <w:r>
        <w:t>. Evacuadas las alegaciones en el trámite conferido al afecto, por ATC 86/2013, de 23 de abril, el Tribunal acordó mantener la suspensión de la decisión del Gobierno Vasco, de fecha indeterminada, por la que se acuerda que los trabajadores del sector público vasco cobren la paga extraordinaria de diciembre de 2012, “así como respecto a las actuaciones o disposiciones que apliquen este criterio”.</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18 de octubre de 2016 se señaló para deliberación y votación de la presente Sentencia el día 20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proceso constitucional tiene por objeto resolver el conflicto positivo de competencia planteado por el Gobierno de la Nación contra la decisión del Gobierno Vasco, de fecha indeterminada, por la que se acuerda que los trabajadores del sector público vasco cobren la paga extraordinaria de diciembre de 2012, “así como respecto a las actuaciones o disposiciones que apliquen este criterio”.</w:t>
      </w:r>
    </w:p>
    <w:p w:rsidR="00A90898" w:rsidRDefault="00A90898" w:rsidP="00A90898">
      <w:pPr>
        <w:pStyle w:val="TextoNormal"/>
      </w:pPr>
    </w:p>
    <w:p w:rsidR="00A90898" w:rsidRDefault="00A90898" w:rsidP="00A90898">
      <w:pPr>
        <w:pStyle w:val="TextoNormal"/>
      </w:pPr>
      <w:r>
        <w:t>Dicho conjunto de decisiones y actuaciones se refieren al abono de la paga extraordinaria de diciembre de 2012 a todos o parte de los empleados públicos de la Comunidad Autónoma del País Vasco.</w:t>
      </w:r>
    </w:p>
    <w:p w:rsidR="00A90898" w:rsidRDefault="00A90898" w:rsidP="00A90898">
      <w:pPr>
        <w:pStyle w:val="TextoNormal"/>
      </w:pPr>
    </w:p>
    <w:p w:rsidR="00A90898" w:rsidRDefault="00A90898" w:rsidP="00A90898">
      <w:pPr>
        <w:pStyle w:val="TextoNormal"/>
      </w:pPr>
      <w:r>
        <w:t xml:space="preserve">El objeto del presente conflicto de competencia, tal y como se expone en la demanda y hemos recogido en los antecedentes de esta Sentencia, se concreta en la manifestación de la portavoz y Consejera de Interior, Justicia y Administración pública del Gobierno Vasco </w:t>
      </w:r>
      <w:r>
        <w:lastRenderedPageBreak/>
        <w:t>publicada en la web oficial del Gobierno Vasco (www.irekia.net/es/news/12978/-los-funcionarios-vascos-cobrarán-paga-extra-navidad) y fechada el 27 de noviembre de 2012, en la que confirma que los 67.000 trabajadores y trabajadoras del sector público vasco cobrarán la paga extra del mes de diciembre y que la medida ha sido adoptada después de que un informe jurídico señalara que el Real Decreto-ley de contención de gasto público invade las competencias autonómicas y prevalece la normativa vasca; intervención de la misma en la que manifiesta que el Gobierno Vasco ha decidido que va a proceder al abono de la paga extra de diciembre a los empleados públicos; y noticia en la edición digital del diario “El Correo” de 29 de noviembre de 2012 (http://www.elcorreo.com/vizcaya/v/20121129/política/gobierno-lpez-dado-orden-20121129.html) en la que, entre otras afirmaciones, se incluye que “la Directora de la Función Pública del Ejecutivo de Vitoria firmó ayer mismo por la mañana la orden para librar la partida presupuestaria de 207 millones destinada a abonar la paga según confirmaron a este periódico fuentes autorizadas del gabinete de la consejera vasca de Administración Pública”.</w:t>
      </w:r>
    </w:p>
    <w:p w:rsidR="00A90898" w:rsidRDefault="00A90898" w:rsidP="00A90898">
      <w:pPr>
        <w:pStyle w:val="TextoNormal"/>
      </w:pPr>
    </w:p>
    <w:p w:rsidR="00A90898" w:rsidRDefault="00A90898" w:rsidP="00A90898">
      <w:pPr>
        <w:pStyle w:val="TextoNormal"/>
      </w:pPr>
      <w:r>
        <w:t>Para el Abogado del Estado la competencia ejercida por el Gobierno Vasco para adoptar la decisión sobre la que se promueve el conflicto corresponde exclusivamente al Estado en virtud de los arts. 149.1.13 y 156 CE en relación con el art. 135 CE y se ha concretado, atendiendo a la argumentación expuesta en el escrito de interposición, en el art. 2.1 del Real Decreto-ley 20/2012, de 13 de julio, de medidas para garantizar la estabilidad presupuestaria y de fomento de la competitividad.</w:t>
      </w:r>
    </w:p>
    <w:p w:rsidR="00A90898" w:rsidRDefault="00A90898" w:rsidP="00A90898">
      <w:pPr>
        <w:pStyle w:val="TextoNormal"/>
      </w:pPr>
    </w:p>
    <w:p w:rsidR="00A90898" w:rsidRDefault="00A90898" w:rsidP="00A90898">
      <w:pPr>
        <w:pStyle w:val="TextoNormal"/>
      </w:pPr>
      <w:r>
        <w:t>Por su parte, el representante del Gobierno Vasco, tal y como ha quedado recogido en los antecedentes, y en cuanto al fondo de la controversia suscitada, considera que es competencia del Gobierno Vasco el abono de la paga de Navidad de 2012 en aplicación de lo establecido en la Ley 6/2011, de 23 diciembre, por la que se aprueban los presupuestos generales de la Comunidad Autónoma de Euskadi para el ejercicio 2012, y los arts. 77 y siguientes de la Ley 6/1989, de 6 julio, de la función pública vasca, normas que no pueden ser desplazadas en su aplicación sin una previa declaración de inconstitucionalidad sobrevenida. Además, como ha quedado expuesto en el antecedente tercero, la demanda vincula el presente conflicto al recurso de inconstitucionalidad que, en caso de que fracasara el procedimiento previsto en el art. 33.2 de la Ley Orgánica del Tribunal Constitucional (LOTC), se interpondría por la Comunidad Autónoma frente al art. 2.1 y 2 del Real Decreto-ley 20/2012.</w:t>
      </w:r>
    </w:p>
    <w:p w:rsidR="00A90898" w:rsidRDefault="00A90898" w:rsidP="00A90898">
      <w:pPr>
        <w:pStyle w:val="TextoNormal"/>
      </w:pPr>
    </w:p>
    <w:p w:rsidR="00A90898" w:rsidRDefault="00A90898" w:rsidP="00A90898">
      <w:pPr>
        <w:pStyle w:val="TextoNormal"/>
      </w:pPr>
      <w:r w:rsidRPr="00A90898">
        <w:rPr>
          <w:rStyle w:val="NumeroAFNegritaCaracter"/>
        </w:rPr>
        <w:t>2</w:t>
      </w:r>
      <w:r>
        <w:t>. Una vez expuestas sintéticamente las posiciones de las partes, conviene realizar algunas precisiones iniciales antes de proceder al examen de la cuestión de fondo.</w:t>
      </w:r>
    </w:p>
    <w:p w:rsidR="00A90898" w:rsidRDefault="00A90898" w:rsidP="00A90898">
      <w:pPr>
        <w:pStyle w:val="TextoNormal"/>
      </w:pPr>
    </w:p>
    <w:p w:rsidR="00A90898" w:rsidRDefault="00A90898" w:rsidP="00A90898">
      <w:pPr>
        <w:pStyle w:val="TextoNormal"/>
      </w:pPr>
      <w:r>
        <w:t>a) En primer lugar debemos referirnos a la objeción de inadmisibilidad alegada por la representación procesal del Gobierno Vasco que considera, tal y como se ha expuesto en los antecedentes, que el presente conflicto positivo de competencia está planteado con carácter preventivo y anticipatorio y no tiene, por lo tanto, objeto actual y determinado en el momento de su formulación. Dicha afirmación se hace derivar de que el conflicto se interpone sin esperar a la materialización jurídica de las manifestaciones expuestas por la portavoz del Gobierno Vasco y de la indeterminación de la fecha así como de la fórmula de futuro eventual que se emplea para tratar de precisar el objeto del conflicto. No existe, en opinión del Letrado del Gobierno Vasco, un acto o resolución actual y efectiva, a lo sumo un propósito, una intención manifestada de un acto; en definitiva, un “acto indeterminado”.</w:t>
      </w:r>
    </w:p>
    <w:p w:rsidR="00A90898" w:rsidRDefault="00A90898" w:rsidP="00A90898">
      <w:pPr>
        <w:pStyle w:val="TextoNormal"/>
      </w:pPr>
    </w:p>
    <w:p w:rsidR="00A90898" w:rsidRDefault="00A90898" w:rsidP="00A90898">
      <w:pPr>
        <w:pStyle w:val="TextoNormal"/>
      </w:pPr>
      <w:r>
        <w:t>Ciertamente, es doctrina constante de este Tribunal que el conflicto de competencia es un cauce reparador, sin que pueda utilizarse con funciones meramente preventivas ante posibles sospechas de actuaciones viciadas de incompetencia (STC 166/1987, de 28 de octubre, FJ 2). Sin embargo, no cabe apreciar, en este caso, que nos encontremos ante un conflicto planteado con carácter preventivo sino ante una denuncia de una vulneración actual y efectiva de las competencias estatales. Las diferentes actuaciones objeto del presente conflicto positivo de competencia se refieren a una decisión adoptada por el Gobierno Vasco de proceder al abono de la paga extra: el acuerdo adoptado por el Gobierno Vasco se configura como un acto resolutorio, por el cual el máximo órgano colegiado ejecutivo de la Comunidad Autónoma manifiesta la voluntad de poner en marcha el procedimiento interno dirigido al abono de la paga extra y, en consecuencia, adopta un acuerdo que se concreta en una orden o instrucción dirigida al aparato administrativo de él dependiente para la realización de las actuaciones económico-presupuestarias dirigidas al cumplimiento de dicho objetivo, que han tenido su reflejo en la firma de la directora general de función pública de la orden de libramiento de los fondos. Nos encontramos, en definitiva, ante actuaciones impugnadas entendidas como un todo, como un acto imputable al Gobierno Vasco, el cual, por medio de dichas decisiones viene a expresar una afirmación de competencia que la representación procesal del Gobierno del Estado considera que desborda su ámbito propio.</w:t>
      </w:r>
    </w:p>
    <w:p w:rsidR="00A90898" w:rsidRDefault="00A90898" w:rsidP="00A90898">
      <w:pPr>
        <w:pStyle w:val="TextoNormal"/>
      </w:pPr>
    </w:p>
    <w:p w:rsidR="00A90898" w:rsidRDefault="00A90898" w:rsidP="00A90898">
      <w:pPr>
        <w:pStyle w:val="TextoNormal"/>
      </w:pPr>
      <w:r>
        <w:t xml:space="preserve">De acuerdo con lo anterior, en la medida en que el objetivo perseguido con la presentación de un conflicto de competencia es discutir la titularidad de una competencia y garantizar que su ordenación jurídica permita, a quien efectivamente ostente esa titularidad, su ejercicio pacífico, regular y estable (STC 7/2013, de 17 de enero, FJ 2) y al concretarse el objeto del presente conflicto de competencia en dilucidar si la decisión del Gobierno Vasco, de fecha indeterminada, por la que se acuerda que los trabajadores del sector público vasco cobren la paga extraordinaria de diciembre de 2012, así como las actuaciones o disposiciones que apliquen este criterio, vulneran, tal y como aduce el Abogado del Estado, las competencias del Estado </w:t>
      </w:r>
      <w:r w:rsidRPr="00A90898">
        <w:rPr>
          <w:i/>
        </w:rPr>
        <w:t>ex</w:t>
      </w:r>
      <w:r>
        <w:t xml:space="preserve"> art. 149.1.13 CE, en relación con los arts. 156 y 135 CE, debemos rechazar el óbice procesal planteado por la representación del Gobierno Vasco.</w:t>
      </w:r>
    </w:p>
    <w:p w:rsidR="00A90898" w:rsidRDefault="00A90898" w:rsidP="00A90898">
      <w:pPr>
        <w:pStyle w:val="TextoNormal"/>
      </w:pPr>
    </w:p>
    <w:p w:rsidR="00A90898" w:rsidRDefault="00A90898" w:rsidP="00A90898">
      <w:pPr>
        <w:pStyle w:val="TextoNormal"/>
      </w:pPr>
      <w:r>
        <w:t xml:space="preserve">b) En segundo lugar, debemos tener presente que si bien el art. 2 del Real Decreto-ley 20/2012, cuya contravención aduce el Abogado del Estado como motivo de inconstitucionalidad, no ha sido modificado, el alcance de la medida que contiene este precepto se ha visto luego afectada, como hemos tenido ocasión de exponer en STC 119/2016, de 23 de junio, FJ 1. En primer lugar, por la disposición adicional duodécima de la Ley 36/2014, de 26 de diciembre, de presupuestos generales del Estado para 2015, que bajo el epígrafe “Recuperación de la paga extraordinaria y adicional del mes de diciembre de 2012” estableció, en su apartado primero, que cada Administración pública, en su ámbito, podía aprobar el abono de cantidades en concepto de recuperación de los importes efectivamente dejados de percibir como consecuencia de la supresión de la paga extraordinaria de diciembre de 2012, así como de la paga adicional de complemento específico o pagas adicionales equivalentes, por aplicación del Real Decreto-ley 20/2012, siendo esas cantidades equivalentes a la parte proporcional correspondiente a los primeros 44 días de la paga extraordinaria suprimida. Pero es que, posteriormente, se ha visto también afectada por la previsión del art. 1 del Real Decreto-ley 10/2015, de 11 de septiembre, por el que se conceden créditos extraordinarios y suplementos de crédito en el presupuesto del Estado y se adoptan otras medidas en materia de empleo público y estímulo a la economía, que bajo el título de “Recuperación de la paga </w:t>
      </w:r>
      <w:r>
        <w:lastRenderedPageBreak/>
        <w:t>extraordinaria y adicional del mes de diciembre de 2012 del personal del sector público” previó, en su apartado Uno, que cada Administración pública, en su ámbito, abonaría dentro del ejercicio 2015, y por una sola vez, una retribución de carácter extraordinario cuyo importe será equivalente a 48 días o al 26,23 por 100 de los importes dejados de percibir como consecuencia de la supresión de la paga extraordinaria, así como de la paga adicional de complemento específico o pagas adicionales equivalentes correspondientes al mes de diciembre de 2012 por aplicación del Real Decreto-ley 20/2012. En fin, la disposición adicional duodécima de la Ley 48/2015, de 29 de octubre, de presupuestos generales del Estado para el año 2016, prevé en su apartado 1 que “cada Administración Pública, en su ámbito, podrá aprobar dentro del ejercicio 2016, y por una sola vez, una retribución de carácter extraordinario cuyo importe será el equivalente a las cantidades aún no recuperadas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w:t>
      </w:r>
    </w:p>
    <w:p w:rsidR="00A90898" w:rsidRDefault="00A90898" w:rsidP="00A90898">
      <w:pPr>
        <w:pStyle w:val="TextoNormal"/>
      </w:pPr>
    </w:p>
    <w:p w:rsidR="00A90898" w:rsidRDefault="00A90898" w:rsidP="00A90898">
      <w:pPr>
        <w:pStyle w:val="TextoNormal"/>
      </w:pPr>
      <w:r>
        <w:t>Dicha regulación aunque incide en el alcance de la medida adoptada por el Real Decreto-ley 20/2012, ya que permite a las Comunidades Autónomas el abono de todas las cantidades correspondientes a la paga extra de Navidad de 2012 que han dejado de ser percibidas, no deroga la norma estatal que el Abogado del Estado invoca como parámetro de constitucionalidad de la decisión del Gobierno Vasco y no hace desaparecer, en los términos que luego precisaremos, la controversia competencial trabada entre las partes, que se concreta en el límite de las competencias de las Comunidades Autónomas en la determinación de las retribuciones del personal al servicio de sus Administraciones.</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Acabamos de poner de relieve que el objeto del presente conflicto de competencia es la decisión del Gobierno Vasco, de fecha indeterminada, por la que se acuerda que los trabajadores del sector público vasco cobren la paga extraordinaria de diciembre de 2012, y las actuaciones o disposiciones que apliquen este criterio, por entender el Gobierno de la Nación que dicha decisión vulnera las competencias del Estado </w:t>
      </w:r>
      <w:r w:rsidRPr="00A90898">
        <w:rPr>
          <w:i/>
        </w:rPr>
        <w:t>ex</w:t>
      </w:r>
      <w:r>
        <w:t xml:space="preserve"> arts. 149.1.13 y 156 y 135 CE. Conforme a dichas competencias, entiende el Abogado del Estado, se ha aprobado el art. 2 del Real Decreto-ley 20/2012, de 13 de julio, de medidas para garantizar la estabilidad presupuestaria y de fomento de la competitividad que procede a la “supresión tanto de la paga extraordinaria como de la paga adicional de complemento específico o pagas adicionales” correspondientes al mes de diciembre de 2012 para todo “el personal del sector público definido en el artículo 22.1 de la Ley 2/2012, de 29 de junio, de Presupuestos Generales del Estado”. En definitiva, lo que se cuestiona es que el Gobierno Vasco adopte una decisión de abono de la paga extra que contraviene lo dispuesto en el citado Real Decreto-ley, que suprime el abono de la misma.</w:t>
      </w:r>
    </w:p>
    <w:p w:rsidR="00A90898" w:rsidRDefault="00A90898" w:rsidP="00A90898">
      <w:pPr>
        <w:pStyle w:val="TextoNormal"/>
      </w:pPr>
    </w:p>
    <w:p w:rsidR="00A90898" w:rsidRDefault="00A90898" w:rsidP="00A90898">
      <w:pPr>
        <w:pStyle w:val="TextoNormal"/>
      </w:pPr>
      <w:r>
        <w:t>Delimitada en dichos términos la controversia competencial, hemos de abordar ahora el fondo del asunto que se nos ha planteado para lo que hemos de encuadrar la cuestión debatida en el presente proceso en el ámbito material que le sea propio.</w:t>
      </w:r>
    </w:p>
    <w:p w:rsidR="00A90898" w:rsidRDefault="00A90898" w:rsidP="00A90898">
      <w:pPr>
        <w:pStyle w:val="TextoNormal"/>
      </w:pPr>
    </w:p>
    <w:p w:rsidR="00A90898" w:rsidRDefault="00A90898" w:rsidP="00A90898">
      <w:pPr>
        <w:pStyle w:val="TextoNormal"/>
      </w:pPr>
      <w:r>
        <w:t xml:space="preserve">El motivo del conflicto planteado, como hemos señalado, se concreta en la eventual contravención del art. 2 del Real Decreto-ley 20/2012 por la decisión del Gobierno Vasco de abonar la paga extraordinaria de diciembre de 2012. El citado art. 2 del Real Decreto-ley establece una medida de contención de gastos de personal que nuestra doctrina encuadra en </w:t>
      </w:r>
      <w:r>
        <w:lastRenderedPageBreak/>
        <w:t>el marco de las competencias de las bases y coordinación de la planificación general de la actividad económica del art. 149.1.13 CE [por todas, STC 18/2016, de 4 de febrero, FJ 6 b)].</w:t>
      </w:r>
    </w:p>
    <w:p w:rsidR="00A90898" w:rsidRDefault="00A90898" w:rsidP="00A90898">
      <w:pPr>
        <w:pStyle w:val="TextoNormal"/>
      </w:pPr>
    </w:p>
    <w:p w:rsidR="00A90898" w:rsidRDefault="00A90898" w:rsidP="00A90898">
      <w:pPr>
        <w:pStyle w:val="TextoNormal"/>
      </w:pPr>
      <w:r>
        <w:t>Es esta la norma estatal susceptible de operar como parámetro de contraste que hemos de utilizar, a pesar de que la sucesiva regulación estatal en la materia, a la que nos referimos en el FJ 2 b), permite a las Comunidades Autónomas el abono de todas las cantidades correspondientes a la paga extra de Navidad de 2012 que han dejado de ser percibidas. Sin embargo, a pesar de que la referida regulación afecta al alcance de la medida prevista en el art. 2 del Real Decreto-ley 20/2012, no tiene incidencia en la decisión que hemos de adoptar ahora dado el momento al que ha de referirse nuestro enjuiciamiento.</w:t>
      </w:r>
    </w:p>
    <w:p w:rsidR="00A90898" w:rsidRDefault="00A90898" w:rsidP="00A90898">
      <w:pPr>
        <w:pStyle w:val="TextoNormal"/>
      </w:pPr>
    </w:p>
    <w:p w:rsidR="00A90898" w:rsidRDefault="00A90898" w:rsidP="00A90898">
      <w:pPr>
        <w:pStyle w:val="TextoNormal"/>
      </w:pPr>
      <w:r>
        <w:t>Al respecto debemos de tener presente que, en determinados supuestos, hemos apreciado que el enjuiciamiento de la disposición o acto había de referirse al momento en el que había sido adoptada o ejercido, atendiendo al parámetro de constitucionalidad vigente en dicho momento, por encontrarnos ante dos normas de vigencia temporal limitadas a un concreto ejercicio presupuestario. Concretamente, seguimos dicho criterio en un supuesto en que la norma impugnada preveía su aplicación en un momento temporal determinado (antes del 31 de agosto de 2013) y el parámetro de constitucionalidad era una ley de presupuestos que, por su propia naturaleza, es una norma de vigencia temporal limitada a dicho ejercicio presupuestario, por lo que afirmamos que “nos encontramos ante dos normas de vigencia temporal limitadas a un concreto ejercicio presupuestario, el del año 2013. La norma autonómica porque así lo prevé el precepto recurrido, que dispone que el pago se realice antes del 31 de agosto de 2013, y la norma estatal por la propia naturaleza de toda Ley de Presupuestos. En definitiva, nos encontramos ante una controversia que se refiere al límite de las competencias de las Comunidades Autónomas en la determinación de las retribuciones del personal al servicio de sus Administraciones durante un ejercicio presupuestario determinado, el del año 2013, ejercicio presupuestario al que es aplicable, en todo su devenir, la Ley 17/2012, de 27 de diciembre, de presupuestos generales del Estado para el año 2013” (STC 94/2015, de 14 de mayo, FJ 4).</w:t>
      </w:r>
    </w:p>
    <w:p w:rsidR="00A90898" w:rsidRDefault="00A90898" w:rsidP="00A90898">
      <w:pPr>
        <w:pStyle w:val="TextoNormal"/>
      </w:pPr>
    </w:p>
    <w:p w:rsidR="00A90898" w:rsidRDefault="00A90898" w:rsidP="00A90898">
      <w:pPr>
        <w:pStyle w:val="TextoNormal"/>
      </w:pPr>
      <w:r>
        <w:t>En este caso, la decisión adoptada por el Gobierno Vasco que se controvierte se refiere a un momento concreto, ya que el objeto del presente proceso es una decisión que se manifiesta a través de una serie de declaraciones y manifestaciones adoptadas en noviembre de 2012. Además, la norma de contraste invocada por el Abogado del Estado, el art. 2 del Real Decreto-ley 20/2012, es una norma con vocación de vigencia temporal como afirmamos en STC 18/2016, de 4 de febrero, FJ 6 b). Por lo tanto, y en el mismo sentido que en la citada STC 94/2015, nos encontramos, como ya hemos señalado, ante una controversia que se refiere al límite de las competencias de las Comunidades Autónomas en la determinación de las retribuciones del personal al servicio de sus Administraciones en un momento determinado en el que se adopta la decisión de abonar la paga extra de 2012 y en el que la norma estatal establecía la supresión de la misma.</w:t>
      </w:r>
    </w:p>
    <w:p w:rsidR="00A90898" w:rsidRDefault="00A90898" w:rsidP="00A90898">
      <w:pPr>
        <w:pStyle w:val="TextoNormal"/>
      </w:pPr>
    </w:p>
    <w:p w:rsidR="00A90898" w:rsidRDefault="00A90898" w:rsidP="00A90898">
      <w:pPr>
        <w:pStyle w:val="TextoNormal"/>
      </w:pPr>
      <w:r>
        <w:t xml:space="preserve">Consecuentemente, el art. 2 del Real Decreto-ley 20/2012, y específicamente su apartado 1, es la norma de contraste conforme a la que hemos de resolver el conflicto que se nos ha planteado. En relación con dicho precepto ya nos hemos pronunciado en reiteradas ocasiones afirmando que la medida de reducción salarial prevista en el artículo 2.1 “responde, por su naturaleza y contenido, al legítimo ejercicio de las competencias que al Estado atribuye </w:t>
      </w:r>
      <w:r>
        <w:lastRenderedPageBreak/>
        <w:t>el art. 149.1.13 CE” [SSTC 81/2015, de 30 de abril, FJ 7; 18/2016, FJ 6 b), y 119/2016, FJ 3 b)]. Asimismo, en STC 18/2016, FJ 6 b) entendimos que el art. 2.2 de dicho Real Decreto-ley establece las reglas necesarias para “asegurar la efectividad de la decisión estatal tendente a la contención de los gastos de personal de las Administraciones públicas” y que son “normas con vocación de vigencia temporal que responden a la estricta y limitada finalidad de garantizar la efectividad de la regulación establecida legítimamente en ejercicio de competencias del Estado, en la medida en que persigue asegurar la minoración de retribuciones del personal del sector público para así reducir uno de los componentes fundamentales del gasto público en un contexto de exigente contención del mismo”. Consideramos, en suma, que es “una norma instrumental de complemento y garantía de la eficacia de la norma principal establecida por el Estado, por lo que procede afirmar que el artículo 2.2 no es contrario a la distribución competencial que perfila nuestro texto constitucional”.</w:t>
      </w:r>
    </w:p>
    <w:p w:rsidR="00A90898" w:rsidRDefault="00A90898" w:rsidP="00A90898">
      <w:pPr>
        <w:pStyle w:val="TextoNormal"/>
      </w:pPr>
    </w:p>
    <w:p w:rsidR="00A90898" w:rsidRDefault="00A90898" w:rsidP="00A90898">
      <w:pPr>
        <w:pStyle w:val="TextoNormal"/>
      </w:pPr>
      <w:r>
        <w:t>Partiendo de dichos pronunciamientos resolvimos, a su vez, el recurso de inconstitucionalidad planteado por el Gobierno Vasco en relación con el Real Decreto-ley 20/2012, proceso constitucional al que la representación procesal del Gobierno Vasco, tal y como hemos expuesto en los antecedentes, anuda la resolución del presente conflicto positivo de competencia, en la consideración de que éste no es más que un aspecto parcial de aquel y que la resolución del mismo depende de la decisión previa de este Tribunal sobre si el Estado se ha extralimitado en el ejercicio de sus competencias al dictar el Real Decreto-ley 20/2012. En la citada STC 119/2016, FJ 3, a la que ahora nos remitimos, desestimamos dicho recurso de inconstitucionalidad en relación con el art. 2 del Real Decreto-ley 20/2012.</w:t>
      </w:r>
    </w:p>
    <w:p w:rsidR="00A90898" w:rsidRDefault="00A90898" w:rsidP="00A90898">
      <w:pPr>
        <w:pStyle w:val="TextoNormal"/>
      </w:pPr>
    </w:p>
    <w:p w:rsidR="00A90898" w:rsidRDefault="00A90898" w:rsidP="00A90898">
      <w:pPr>
        <w:pStyle w:val="TextoNormal"/>
      </w:pPr>
      <w:r>
        <w:t>Afirmada la competencia estatal para establecer la regulación prevista en el art. 2 del Real Decreto-ley 20/2012 y, en consecuencia, la supresión de la paga extraordinaria de diciembre de 2012, no podemos sino estimar el presente conflicto positivo de competencia.</w:t>
      </w:r>
    </w:p>
    <w:p w:rsidR="00A90898" w:rsidRDefault="00A90898" w:rsidP="00A90898">
      <w:pPr>
        <w:pStyle w:val="TextoNormal"/>
      </w:pPr>
    </w:p>
    <w:p w:rsidR="00A90898" w:rsidRDefault="00A90898" w:rsidP="00A90898">
      <w:pPr>
        <w:pStyle w:val="TextoNormal"/>
      </w:pPr>
      <w:r>
        <w:t xml:space="preserve">En efecto, el art. 2 del Real Decreto-ley 20/2012 (“Paga extraordinaria del mes de diciembre de 2012 del personal del sector público”) redujo las retribuciones del personal del sector público en las cuantías que correspondía percibir en el mes de diciembre de 2012 como consecuencia de la supresión tanto de la paga extraordinaria como de la paga adicional de complemento específico o pagas adicionales equivalentes de dicho mes, al amparo de la competencia del Estado </w:t>
      </w:r>
      <w:r w:rsidRPr="00A90898">
        <w:rPr>
          <w:i/>
        </w:rPr>
        <w:t>ex</w:t>
      </w:r>
      <w:r>
        <w:t xml:space="preserve"> art. 149.1.13 CE [por todas, STC 119/2016, FJ 3 b)] . Por lo tanto, la decisión del Gobierno Vasco recurrida, al acordar que los trabajadores del sector público vasco cobren la paga extraordinaria de diciembre de 2012, vulnera el art. 2 del Real Decreto-ley 20/2012 y, en consecuencia, el orden constitucional de distribución de competencias.</w:t>
      </w:r>
    </w:p>
    <w:p w:rsidR="00A90898" w:rsidRDefault="00A90898" w:rsidP="00A90898">
      <w:pPr>
        <w:pStyle w:val="TextoNormal"/>
      </w:pPr>
    </w:p>
    <w:p w:rsidR="00A90898" w:rsidRDefault="00A90898" w:rsidP="00A90898">
      <w:pPr>
        <w:pStyle w:val="TextoNormal"/>
      </w:pPr>
      <w:r w:rsidRPr="00A90898">
        <w:rPr>
          <w:rStyle w:val="NumeroAFNegritaCaracter"/>
        </w:rPr>
        <w:t>4</w:t>
      </w:r>
      <w:r>
        <w:t>. Los razonamientos expuestos conducen a estimar el presente conflicto positivo de competencia y, en consecuencia, a declarar que corresponde al Estado la titularidad de la competencia controvertida (art. 66 LOTC), sin que proceda en este caso declarar la nulidad de la decisión del Gobierno Vasco viciada de incompetencia, en atención a no generar perjuicios indeseados para terceros, habida cuenta que, como ya se indicó en el fundamento jurídico 2 b), sucesivas disposiciones legales estatales han facultado a las distintas Administraciones para aprobar retribuciones de recuperación de la paga extra y adicional de diciembre de 2012 respecto del personal funcionario y laboral a su servicio, de forma paulatina, hasta el reintegro pleno de la misma.</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presente conflicto positivo de competencia, declarando, en su virtud, que corresponde al Estado la titularidad de la competencia controvertida.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veinte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8" w:name="SENTENCIA_2016_179"/>
      <w:r>
        <w:lastRenderedPageBreak/>
        <w:t>SENTENCIA 179/2016, de 20 de octubre de 2016</w:t>
      </w:r>
    </w:p>
    <w:bookmarkEnd w:id="58"/>
    <w:p w:rsidR="00A90898" w:rsidRDefault="00A90898" w:rsidP="00A90898">
      <w:pPr>
        <w:pStyle w:val="TtuloResolucin"/>
      </w:pPr>
      <w:r>
        <w:t>Pleno</w:t>
      </w:r>
    </w:p>
    <w:p w:rsidR="00A90898" w:rsidRDefault="00A90898" w:rsidP="00A90898">
      <w:pPr>
        <w:pStyle w:val="TtuloBOE"/>
      </w:pPr>
      <w:r>
        <w:t>(BOE núm. 285, de 25 de noviembre de 2016)</w:t>
      </w:r>
    </w:p>
    <w:p w:rsidR="00A90898" w:rsidRDefault="00A90898" w:rsidP="00A90898">
      <w:pPr>
        <w:pStyle w:val="TextoNormalCentrado"/>
      </w:pPr>
      <w:r>
        <w:t>ECLI:ES:TC:2016:179</w:t>
      </w:r>
    </w:p>
    <w:p w:rsidR="00A90898" w:rsidRDefault="00A90898" w:rsidP="00A90898">
      <w:pPr>
        <w:pStyle w:val="TextoNormalCentrado"/>
      </w:pPr>
    </w:p>
    <w:p w:rsidR="00A90898" w:rsidRDefault="00A90898" w:rsidP="00A90898">
      <w:pPr>
        <w:pStyle w:val="SntesisDescriptiva"/>
      </w:pPr>
      <w:r>
        <w:t>Recurso de inconstitucionalidad 1744-2013. Interpuesto por el Gobierno de Cataluña respecto de las disposiciones adicionales octogésima primera y octogésima cuarta de la Ley 17/2012, de 27 de diciembre, de presupuestos generales del Estado para el año 2013.</w:t>
      </w:r>
    </w:p>
    <w:p w:rsidR="00A90898" w:rsidRDefault="00A90898" w:rsidP="00A90898">
      <w:pPr>
        <w:pStyle w:val="SntesisDescriptiva"/>
      </w:pPr>
    </w:p>
    <w:p w:rsidR="00A90898" w:rsidRDefault="00A90898" w:rsidP="00A90898">
      <w:pPr>
        <w:pStyle w:val="SntesisAnaltica"/>
      </w:pPr>
      <w:r>
        <w:t>Competencias en materia laboral y servicios sociales, autonomía financiera de las Comunidades Autónomas: constitucionalidad de los preceptos legales que atribuyen determinadas funciones ejecutivas al Servicio Público de Empleo Estatal y suspenden temporalmente la aplicación de diferentes disposiciones de la Ley de promoción de la autonomía personal y atención a las personas en situación de dependencia. Voto particular.</w:t>
      </w:r>
    </w:p>
    <w:p w:rsidR="00A90898" w:rsidRDefault="00A90898" w:rsidP="00A90898">
      <w:pPr>
        <w:pStyle w:val="SntesisAnaltica"/>
      </w:pPr>
    </w:p>
    <w:p w:rsidR="00A90898" w:rsidRDefault="00A90898" w:rsidP="00A90898">
      <w:pPr>
        <w:pStyle w:val="Extracto"/>
      </w:pPr>
      <w:r>
        <w:t>1.</w:t>
      </w:r>
      <w:r>
        <w:tab/>
        <w:t>Doctrina sobre la distribución de competencias en materia de empleo y laboral, sobre las competencias en materia de planificación general de la actividad económica y sobre cuestiones relacionadas con la supraterritorialidad como criterio de atribución de competencias ejecutivas al Estado y la necesidad de una coordinación unificada como criterio de atribución de competencias ejecutivas al Estado (STC 22/2014) [FJ 2.c), d)].</w:t>
      </w:r>
    </w:p>
    <w:p w:rsidR="00A90898" w:rsidRDefault="00A90898" w:rsidP="00A90898">
      <w:pPr>
        <w:pStyle w:val="Extracto"/>
      </w:pPr>
    </w:p>
    <w:p w:rsidR="00A90898" w:rsidRDefault="00A90898" w:rsidP="00A90898">
      <w:pPr>
        <w:pStyle w:val="Extracto"/>
      </w:pPr>
      <w:r>
        <w:t>2.</w:t>
      </w:r>
      <w:r>
        <w:tab/>
        <w:t>La suspensión, durante 2013, de varios preceptos de la Ley 39/2006 de Promoción de la Autonomía Personal y Atención a las personas en situación de dependencia, no constituye una imposición a las Comunidades Autónomas de la obligación de aportar sus propios recursos para dotar las prestaciones definidas por la Ley 39/2006 y para percibir los fondos correspondientes al nivel mínimo de protección financiado por el Estado (STC 99/2016) [FJ 3.d)].</w:t>
      </w:r>
    </w:p>
    <w:p w:rsidR="00A90898" w:rsidRDefault="00A90898" w:rsidP="00A90898">
      <w:pPr>
        <w:pStyle w:val="Extracto"/>
      </w:pPr>
    </w:p>
    <w:p w:rsidR="00A90898" w:rsidRDefault="00A90898" w:rsidP="00A90898">
      <w:pPr>
        <w:pStyle w:val="Extracto"/>
      </w:pPr>
      <w:r>
        <w:t>3.</w:t>
      </w:r>
      <w:r>
        <w:tab/>
        <w:t>Existen supuestos en que, no obstante tener competencias, incluso exclusivas, las Comunidades Autónomas sobre la materia en que recaen las subvenciones o ayudas públicas, éstas pueden ser gestionadas, excepcionalmente, por un órgano de la Administración del Estado u organismo de ésta dependiente, con la consiguiente consignación centralizada de las partidas presupuestarias en los presupuestos generales del Estado, si bien ello solo es posible cuando el Estado ostente algún título competencial, genérico o específico, sobre la materia y en las circunstancias ya señaladas en nuestra doctrina (SSTC 13/1992, 244/2012) [FJ 2.d)].</w:t>
      </w:r>
    </w:p>
    <w:p w:rsidR="00A90898" w:rsidRDefault="00A90898" w:rsidP="00A90898">
      <w:pPr>
        <w:pStyle w:val="Extracto"/>
      </w:pPr>
    </w:p>
    <w:p w:rsidR="00A90898" w:rsidRDefault="00A90898" w:rsidP="00A90898">
      <w:pPr>
        <w:pStyle w:val="Extracto"/>
      </w:pPr>
      <w:r>
        <w:t>4.</w:t>
      </w:r>
      <w:r>
        <w:tab/>
        <w:t>Las circunstancias señaladas en la doctrina del Tribunal Constitucional, que hacen aplicable la competencia estatal de gestión en materia subvencional consisten en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(SSTC 13/1992, 244/2012) [FJ 2.d)].</w:t>
      </w:r>
    </w:p>
    <w:p w:rsidR="00A90898" w:rsidRDefault="00A90898" w:rsidP="00A90898">
      <w:pPr>
        <w:pStyle w:val="Extracto"/>
      </w:pPr>
    </w:p>
    <w:p w:rsidR="00A90898" w:rsidRDefault="00A90898" w:rsidP="00A90898">
      <w:pPr>
        <w:pStyle w:val="Extracto"/>
      </w:pPr>
      <w:r>
        <w:t>5.</w:t>
      </w:r>
      <w:r>
        <w:tab/>
        <w:t xml:space="preserve">Nos encontramos ante medidas que inciden directamente en la ordenación de la entrada de inmigrantes en nuestro país, pudiendo incluirse entre las acciones que </w:t>
      </w:r>
      <w:r>
        <w:lastRenderedPageBreak/>
        <w:t xml:space="preserve">están dirigidas a favorecer la colocación de trabajadores en los casos de desplazamientos de éstos, materia de competencia exclusiva del Estado en el caso de las migraciones exteriores, </w:t>
      </w:r>
      <w:r w:rsidRPr="00A90898">
        <w:rPr>
          <w:i/>
        </w:rPr>
        <w:t>ex</w:t>
      </w:r>
      <w:r>
        <w:t xml:space="preserve"> art. 149.1.2 CE (STC 95/2002) [FJ 2.d)].</w:t>
      </w:r>
    </w:p>
    <w:p w:rsidR="00A90898" w:rsidRDefault="00A90898" w:rsidP="00A90898">
      <w:pPr>
        <w:pStyle w:val="Extracto"/>
      </w:pPr>
    </w:p>
    <w:p w:rsidR="00A90898" w:rsidRDefault="00A90898" w:rsidP="00A90898">
      <w:pPr>
        <w:pStyle w:val="Extracto"/>
      </w:pPr>
      <w:r>
        <w:t>6.</w:t>
      </w:r>
      <w:r>
        <w:tab/>
        <w:t>Doctrina sobre la participación de la Generalitat en la determinación del carácter no territorializable de las subvenciones estatales (SSTC 13/1992 y 31/2010) [FJ 2.e)].</w:t>
      </w:r>
    </w:p>
    <w:p w:rsidR="00A90898" w:rsidRDefault="00A90898" w:rsidP="00A90898">
      <w:pPr>
        <w:pStyle w:val="Extracto"/>
      </w:pPr>
    </w:p>
    <w:p w:rsidR="00A90898" w:rsidRDefault="00A90898" w:rsidP="00A90898">
      <w:pPr>
        <w:pStyle w:val="Extracto"/>
      </w:pPr>
      <w:r>
        <w:t>7.</w:t>
      </w:r>
      <w:r>
        <w:tab/>
        <w:t>Doctrina establecida en la STC 99/2016 sobre la delimitación de competencias en materia de asistencia social en relación con el título competencial estatal del art. 149.1.1 CE y en materia de reconocimiento y financiación de las prestaciones de dependencia [FJ 3].</w:t>
      </w:r>
    </w:p>
    <w:p w:rsidR="00A90898" w:rsidRDefault="00A90898" w:rsidP="00A90898">
      <w:pPr>
        <w:pStyle w:val="Extracto"/>
      </w:pPr>
    </w:p>
    <w:p w:rsidR="00A90898" w:rsidRDefault="00A90898" w:rsidP="00A90898">
      <w:pPr>
        <w:pStyle w:val="Extracto"/>
      </w:pPr>
      <w:r>
        <w:t>8.</w:t>
      </w:r>
      <w:r>
        <w:tab/>
        <w:t>Doctrina sobre la pérdida de vigencia de las leyes de presupuestos (SSTC 33/2014, 26/2013) [FJ 2.a)].</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1744-2013, interpuesto por el Gobierno de Cataluña contra las disposiciones adicionales octogésima primera y octogésima cuarta de la Ley 17/2012, de 27 de diciembre, de presupuestos generales del Estado para el año 2013. Ha comparecido y formulado alegaciones el Abogado del Estado. Ha sido Ponente el Presidente don Francisco Pérez de los Cobos Orihuel,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22 de marzo de 2013, los Abogados de la Generalitat de Cataluña, en representación y defensa de su Gobierno, promueven recurso de inconstitucionalidad contra las disposiciones adicionales octogésima primera y octogésima cuarta de la Ley 17/2012, de 27 de diciembre, de presupuestos generales del Estado para el año 2013, cuya declaración de inconstitucionalidad y nulidad solicitan.</w:t>
      </w:r>
    </w:p>
    <w:p w:rsidR="00A90898" w:rsidRDefault="00A90898" w:rsidP="00A90898">
      <w:pPr>
        <w:pStyle w:val="TextoNormal"/>
      </w:pPr>
    </w:p>
    <w:p w:rsidR="00A90898" w:rsidRDefault="00A90898" w:rsidP="00A90898">
      <w:pPr>
        <w:pStyle w:val="TextoNormal"/>
      </w:pPr>
      <w:r>
        <w:lastRenderedPageBreak/>
        <w:t>La impugnación se fundamenta en los motivos que, en síntesis, se exponen a continuación.</w:t>
      </w:r>
    </w:p>
    <w:p w:rsidR="00A90898" w:rsidRDefault="00A90898" w:rsidP="00A90898">
      <w:pPr>
        <w:pStyle w:val="TextoNormal"/>
      </w:pPr>
    </w:p>
    <w:p w:rsidR="00A90898" w:rsidRDefault="00A90898" w:rsidP="00A90898">
      <w:pPr>
        <w:pStyle w:val="TextoNormal"/>
      </w:pPr>
      <w:r>
        <w:t>A) De entrada, el escrito del recurso se centra en la disposición adicional octogésima primera de la Ley 17/2012, que atribuye al Servicio Público de Empleo Estatal la gestión de determinadas acciones, medidas y programas en el ámbito de las políticas activas de empleo previstas en el art. 13 h) de la Ley 56/2003, de empleo, financiadas conforme a las dotaciones presupuestarias que indica y con exclusión de la distribución territorial de los fondos afectados. A su entender, tal previsión vulnera las competencias asumidas por la Generalitat en materia de políticas activas de empleo conforme al art. 170.1 b) y los apartados 4 y 5 del art. 114 del Estatuto de Autonomía de Cataluña (EAC).</w:t>
      </w:r>
    </w:p>
    <w:p w:rsidR="00A90898" w:rsidRDefault="00A90898" w:rsidP="00A90898">
      <w:pPr>
        <w:pStyle w:val="TextoNormal"/>
      </w:pPr>
    </w:p>
    <w:p w:rsidR="00A90898" w:rsidRDefault="00A90898" w:rsidP="00A90898">
      <w:pPr>
        <w:pStyle w:val="TextoNormal"/>
      </w:pPr>
      <w:r>
        <w:t>Tras exponer los cuatro supuestos de actuaciones a cuya financiación se refiere la disposición impugnada, así como su relación con el art. 13 de la Ley de empleo, se pone de relieve que la previsión cuestionada es, en buena parte coincidente, con la que motivó el recurso de inconstitucionalidad núm. 1763-2004 interpuesto frente al entonces art. 13 e) de la Ley de empleo, de ahí que, en el presente recurso, la parte asuma y dé por reproducidos los reproches de inconstitucionalidad realizados en aquél, reiterándolos respecto a la disposición adicional octogésima primera de la Ley 17/2012. Se avanza asimismo que a esos motivos de inconstitucionalidad debe añadirse la inobservancia de un trámite esencial en el procedimiento de aprobación del texto impugnado, como es la ausencia del necesario informe previo de la conferencia sectorial de empleo y asuntos laborales —último párrafo del art. 13 h) de la Ley de empleo—, sin que se tenga constancia de que se haya emitido tal informe, y en consecuencia, obviándose un trámite relevante que afecta a la distribución de competencias en materia de empleo.</w:t>
      </w:r>
    </w:p>
    <w:p w:rsidR="00A90898" w:rsidRDefault="00A90898" w:rsidP="00A90898">
      <w:pPr>
        <w:pStyle w:val="TextoNormal"/>
      </w:pPr>
    </w:p>
    <w:p w:rsidR="00A90898" w:rsidRDefault="00A90898" w:rsidP="00A90898">
      <w:pPr>
        <w:pStyle w:val="TextoNormal"/>
      </w:pPr>
      <w:r>
        <w:t>a) Como fundamentación de lo dicho, el escrito de recurso procede a realizar el encuadramiento competencial de la previsión y empieza señalando que, aun cuando la disposición impugnada se encuentre en una ley de presupuestos al objeto de consignar determinadas cantidades a la realización de unas actuaciones, éstas se refieren al fomento del empleo, y en consecuencia, encajan en la materia laboral (STC 228/2012, FJ 3). Descarta, por tanto, la concurrencia de la competencia prevista en el art. 149.1.13 CE, citando al respecto las SSTC 95/2002 y 111/2012. En consecuencia, considera como título prevalente y más específico el correspondiente al art. 149.1.7 CE, relativo al ámbito material laboral, y según el cual, corresponde al Estado la legislación laboral en su totalidad y su ejecución a las Comunidades Autónomas. De acuerdo con ello se señala que, conforme al art. 170.1 b) EAC, corresponde a la Generalitat la competencia ejecutiva en materia de trabajo y relaciones laborales que incluye, en todo caso, las políticas activas de ocupación, y abarca también la formación de los demandantes de ocupación y de los trabajadores en activo, así como la gestión de las subvenciones correspondientes, incluyéndose también la mención expresa de que la Generalitat participa en los planes o actividades de formación que superen el ámbito territorial de Cataluña. Esto dicho, y tras recordar doctrina constitucional sobre el alcance de la función ejecutiva en materia laboral (STC 244/2012, FJ 4), afirma que a la Generalitat le corresponde la ejecución de las políticas activas de empleo que incluye los diversos programas, acciones y medidas destinados a fomentar la inserción de desempleados y la mejora de las posibilidades y condiciones de empleo de los trabajadores en activo, debiendo entenderse incluida la función de fomento, conforme a los arts. 170.1 b) y 114.4 EAC.</w:t>
      </w:r>
    </w:p>
    <w:p w:rsidR="00A90898" w:rsidRDefault="00A90898" w:rsidP="00A90898">
      <w:pPr>
        <w:pStyle w:val="TextoNormal"/>
      </w:pPr>
    </w:p>
    <w:p w:rsidR="00A90898" w:rsidRDefault="00A90898" w:rsidP="00A90898">
      <w:pPr>
        <w:pStyle w:val="TextoNormal"/>
      </w:pPr>
      <w:r>
        <w:lastRenderedPageBreak/>
        <w:t>Añade que la jurisprudencia constitucional ha considerado que, en determinados supuestos de carácter excepcional, el Estado puede asumir la gestión de subvenciones, siendo necesaria en tal caso la acreditación de su carácter imprescindible para asegurar la plena efectividad de las medidas o garantizar las mismas posibilidades de obtención y disfrute por parte de los posibles destinatarios en todo el ámbito territorial (STC 13/1992, FJ 8, y en el ámbito laboral, SSTC 225/2012, FJ 4, y 244/2012, FJ 7). Indica, pues, que esa posibilidad extraordinaria de que el Estado gestione directamente acciones de fomento en materias en que las Comunidades Autónomas tienen reconocida la competencia de ejecución debe justificarse convenientemente, valorando el interés general (STC 146/1986), y sin que las dificultades que pueda entrañar una ejecución descentralizada de una materia, como el fomento en materia de empleo, puedan ser alegadas para eludir competencias que constitucionalmente corresponden a una Comunidad Autónoma (STC 106/1987, FJ 4).</w:t>
      </w:r>
    </w:p>
    <w:p w:rsidR="00A90898" w:rsidRDefault="00A90898" w:rsidP="00A90898">
      <w:pPr>
        <w:pStyle w:val="TextoNormal"/>
      </w:pPr>
    </w:p>
    <w:p w:rsidR="00A90898" w:rsidRDefault="00A90898" w:rsidP="00A90898">
      <w:pPr>
        <w:pStyle w:val="TextoNormal"/>
      </w:pPr>
      <w:r>
        <w:t>En la medida en que la disposición recurrida hace referencia a acciones de fomento de empleo, alude a que, conforme ha reiterado el Tribunal Constitucional, la función de fomento no constituye por sí sola un título competencial autónomo, ni puede actuar como instrumento atributivo de competencias, sino que debe enmarcarse en el correspondiente reparto de competencias sobre una materia, que en este caso correspondería al ámbito material laboral, cuya función ejecutiva compete a la Generalitat [art. 170.1 b) EAC]. Conforme al art. 114.4 EAC, indica, corresponde a la Generalitat, en materias de su competencia, la gestión de las subvenciones estatales y europeas territorializables, incluyendo la tramitación y la concesión. A su vez, el art. 114.5 EAC se refiere a las medidas de fomento que no tienen carácter territorializable, indicando que, para que así sea, previamente la Generalitat ha de participar en el proceso de decisión en que se adopta la opción de territorializar o no los fondos, previsión que es acorde con la doctrina constitucional, que además añade el requisito de que, si se opta por la gestión centralizada, debe justificarse desde un punto de vista material y limitarse a las acciones concretas que requieran de forma imprescindible dicha ejecución centralizada por los órganos estatales (SSTC 136/2009, FJ 4; 38/2012, FFJJ 4 a 7…).</w:t>
      </w:r>
    </w:p>
    <w:p w:rsidR="00A90898" w:rsidRDefault="00A90898" w:rsidP="00A90898">
      <w:pPr>
        <w:pStyle w:val="TextoNormal"/>
      </w:pPr>
    </w:p>
    <w:p w:rsidR="00A90898" w:rsidRDefault="00A90898" w:rsidP="00A90898">
      <w:pPr>
        <w:pStyle w:val="TextoNormal"/>
      </w:pPr>
      <w:r>
        <w:t>Considera que la apreciación de la no territorialización debe ser mucho más restrictiva en supuestos en que las Comunidades Autónomas disponen de la competencia de ejecución sobre la materia, como ocurre en el ámbito laboral, en que el Estado, además, en ejercicio de su capacidad normativa plena, puede establecer de forma detallada y exhaustiva toda la regulación de una actuación, incluyendo, si es el caso, la fijación de los puntos de conexión que hagan posible la participación autonómica en el desarrollo material de dichas competencias (STC 244/2012, FJ 7). Se entiende, así, que la competencia normativa del Estado completa ya garantiza la unidad de acción en un alto grado, de forma que debe apreciarse de manera más restrictiva la excepcionalidad justificadora de la permanencia en el acervo estatal de facultades ejecutivas (STC 111/2010, FJ 7).</w:t>
      </w:r>
    </w:p>
    <w:p w:rsidR="00A90898" w:rsidRDefault="00A90898" w:rsidP="00A90898">
      <w:pPr>
        <w:pStyle w:val="TextoNormal"/>
      </w:pPr>
    </w:p>
    <w:p w:rsidR="00A90898" w:rsidRDefault="00A90898" w:rsidP="00A90898">
      <w:pPr>
        <w:pStyle w:val="TextoNormal"/>
      </w:pPr>
      <w:r>
        <w:t xml:space="preserve">Asimismo, hace referencia a que una gestión eficiente de los fondos públicos precisa la definición y normalización de indicadores de ejecución, partiendo del acuerdo que supone la participación de la correspondiente conferencia sectorial en su adopción; y ello no sólo para cumplir lo establecido en el art. 86 de la Ley 47/2003, general presupuestaria, sino también para los casos de no territorialización. Respecto a la participación en la fase previa, apunta que el art. 13 e) </w:t>
      </w:r>
      <w:r w:rsidRPr="00A90898">
        <w:rPr>
          <w:i/>
        </w:rPr>
        <w:t>sic</w:t>
      </w:r>
      <w:r>
        <w:t xml:space="preserve"> de la Ley 56/2003 establece que la gestión de la reserva de crédito a que hace referencia ese párrafo se dotará anualmente, previo informe de la conferencia </w:t>
      </w:r>
      <w:r>
        <w:lastRenderedPageBreak/>
        <w:t>sectorial de empleo y asuntos laborales, por la Ley de presupuestos generales del Estado, debiendo informarse anualmente a la citada conferencia de los resultados de las actuaciones financiadas con cargo a los mismos. Esta previsión, indica, no se reproduce en el texto de la disposición adicional octogésima primera de la Ley 17/2012, sino que, por el contrario, se dice que las reservas presupuestarias operan como reserva de gestión de políticas activas de empleo, “no obstante las competencias asumidas por las comunidades autónomas en el ámbito del trabajo, empleo y formación”, añadiendo que, conforme al art. 14.3 de la Ley de empleo, los fondos que integran la reserva de crédito no estarán sujetos a distribución territorial entre las Comunidades Autónomas con competencias de gestión asumidas. Afirma que podría entenderse que tal falta de reiteración se debe a que precisamente ha sido la que ha propiciado el establecimiento en la Ley de presupuestos de esta forma centralizada de gestión, pero la parte no tiene constancia de que se haya sometido a la conferencia sectorial de empleo y asuntos laborales la propuesta de asignación de recursos para las acciones comentadas en la Ley de presupuestos, señalando que en la última reunión de esta conferencia en este ámbito, de 17 de julio de 2012, no se aportó información sobre esta previsión.</w:t>
      </w:r>
    </w:p>
    <w:p w:rsidR="00A90898" w:rsidRDefault="00A90898" w:rsidP="00A90898">
      <w:pPr>
        <w:pStyle w:val="TextoNormal"/>
      </w:pPr>
    </w:p>
    <w:p w:rsidR="00A90898" w:rsidRDefault="00A90898" w:rsidP="00A90898">
      <w:pPr>
        <w:pStyle w:val="TextoNormal"/>
      </w:pPr>
      <w:r>
        <w:t>b) Centrándose de manera más específica en el contenido de la disposición adicional octogésima primera de la Ley 17/2012, el escrito alude a las aplicaciones presupuestarias que en ella se contienen, señalando que la mayoría de ellas encajan en el apartado b) de la disposición, pero que la última de las partidas mencionadas, correspondiente al programa sobre fomento de la inserción y estabilidad laboral, no queda claro a qué supuesto se refiere.</w:t>
      </w:r>
    </w:p>
    <w:p w:rsidR="00A90898" w:rsidRDefault="00A90898" w:rsidP="00A90898">
      <w:pPr>
        <w:pStyle w:val="TextoNormal"/>
      </w:pPr>
    </w:p>
    <w:p w:rsidR="00A90898" w:rsidRDefault="00A90898" w:rsidP="00A90898">
      <w:pPr>
        <w:pStyle w:val="TextoNormal"/>
      </w:pPr>
      <w:r>
        <w:t>Afirma que no se aprecia, ni en el texto de la disposición ni en la explicación presupuestaria, a qué circunstancia responde la exclusión de territorialización y la imposibilidad de gestión por las Comunidades Autónomas, añadiéndose que se ha prescindido de la participación de la Generalitat en la decisión de no territorializar los fondos. Se expone en el escrito que los supuestos que regulan la reserva de la gestión centralizada de las acciones, medidas y programas reproducen con una explicación formal o nominalista la doctrina constitucional que justificaría el desplazamiento de la competencia de la Generalitat en su función de ejecución, sin que se desprenda de su texto la razón de que la concurrencia de esas circunstancias no permita un ejercicio coordinado de las Comunidades Autónomas con competencia ejecutiva en la materia.</w:t>
      </w:r>
    </w:p>
    <w:p w:rsidR="00A90898" w:rsidRDefault="00A90898" w:rsidP="00A90898">
      <w:pPr>
        <w:pStyle w:val="TextoNormal"/>
      </w:pPr>
    </w:p>
    <w:p w:rsidR="00A90898" w:rsidRDefault="00A90898" w:rsidP="00A90898">
      <w:pPr>
        <w:pStyle w:val="TextoNormal"/>
      </w:pPr>
      <w:r>
        <w:t>Respecto al primer caso, se afirma que la incidencia supraautonómica de las ayudas no debería justificar, por sí sola, una justificación del desplazamiento competencial autonómico, señalando que, en el ámbito de la formación profesional ocupacional, solo en los casos excepcionales en que la actividad pública no admita fraccionamiento resultaría justificable el ejercicio por el Estado de una competencia que no tiene atribuida. La doctrina constitucional, apunta, ha indicado que la diferencia de resultado debido a la distinta gestión que pudiesen realizar las comunidades autónomas se podría reconducir a través de la fijación de un punto de conexión adecuado por el Estado y el recurso a técnicas de coordinación (STC 194/2011, FFJJ 5 y 6).</w:t>
      </w:r>
    </w:p>
    <w:p w:rsidR="00A90898" w:rsidRDefault="00A90898" w:rsidP="00A90898">
      <w:pPr>
        <w:pStyle w:val="TextoNormal"/>
      </w:pPr>
    </w:p>
    <w:p w:rsidR="00A90898" w:rsidRDefault="00A90898" w:rsidP="00A90898">
      <w:pPr>
        <w:pStyle w:val="TextoNormal"/>
      </w:pPr>
      <w:r>
        <w:t xml:space="preserve">En el segundo supuesto, señala, se vinculan acciones formativas al ejercicio de competencias exclusivas del Estado, o que se desempeñen en colaboración con órganos de la Administración general del Estado o sus organismos autónomos, o que se desarrollen en el marco de planes, estrategias o programas de ámbito estatal. Se considera que la exclusividad en una determinada materia sectorial no determina de forma automática la titularidad del </w:t>
      </w:r>
      <w:r>
        <w:lastRenderedPageBreak/>
        <w:t>ejercicio de funciones ejecutivas de las políticas activas de fomento y de empleo que se realicen en ese ámbito.</w:t>
      </w:r>
    </w:p>
    <w:p w:rsidR="00A90898" w:rsidRDefault="00A90898" w:rsidP="00A90898">
      <w:pPr>
        <w:pStyle w:val="TextoNormal"/>
      </w:pPr>
    </w:p>
    <w:p w:rsidR="00A90898" w:rsidRDefault="00A90898" w:rsidP="00A90898">
      <w:pPr>
        <w:pStyle w:val="TextoNormal"/>
      </w:pPr>
      <w:r>
        <w:t>En cuanto al tercer apartado —relativo a las acciones y medidas de intermediación y políticas activas de empleo cuyo objetivo sea la integración laboral de trabajadores inmigrantes realizadas en sus países de origen, facilitando la ordenación de los flujos migratorios—, afirma que tampoco se justifica la razón que motiva la indispensabilidad de la centralización, sin que la concurrencia de la materia inmigración en el caso debiera determinar el encuadramiento de la disposición en el ámbito de esa materia, desplazándola del título competencial prevalente —por ser más específico—, como es el contenido en el art. 149.1.7 CE. Según indica, la incidencia en la población migratoria no debería desapoderar a la Generalitat en el ejercicio de la función de fomento del empleo.</w:t>
      </w:r>
    </w:p>
    <w:p w:rsidR="00A90898" w:rsidRDefault="00A90898" w:rsidP="00A90898">
      <w:pPr>
        <w:pStyle w:val="TextoNormal"/>
      </w:pPr>
    </w:p>
    <w:p w:rsidR="00A90898" w:rsidRDefault="00A90898" w:rsidP="00A90898">
      <w:pPr>
        <w:pStyle w:val="TextoNormal"/>
      </w:pPr>
      <w:r>
        <w:t>Por lo que se refiere al último apartado —programas excepcionales de duración determinada cuya ejecución afecte a todo el territorio nacional, siendo imprescindible su gestión centralizada para garantizar su efectividad—, únicamente se justifica esa gestión centralizada por la necesidad de garantizar idénticas posibilidades de obtención y disfrute de todos los potenciales beneficiarios. Según se expone, tal criterio de justificación, conforme a la doctrina del Tribunal Constitucional, no puede considerarse suficiente para desplazar la gestión de la Generalitat de Cataluña (STC 89/2012, FJ 7).</w:t>
      </w:r>
    </w:p>
    <w:p w:rsidR="00A90898" w:rsidRDefault="00A90898" w:rsidP="00A90898">
      <w:pPr>
        <w:pStyle w:val="TextoNormal"/>
      </w:pPr>
    </w:p>
    <w:p w:rsidR="00A90898" w:rsidRDefault="00A90898" w:rsidP="00A90898">
      <w:pPr>
        <w:pStyle w:val="TextoNormal"/>
      </w:pPr>
      <w:r>
        <w:t>c) En definitiva, por todo lo dicho se considera que la disposición adicional octogésima primera de la Ley 17/2012 vulnera los arts. 170.1 b), 114.4 y 114.5 EAC por desconocer las competencias sobre ejecución de la Generalitat de Cataluña en materia laboral —incluidas las acciones de fomento del empleo—, y porque, aun cuando se considerara justificada la necesidad de centralizar dichas ayudas, no se ha respetado la necesaria participación de la Generalitat exigida en estos preceptos estatutarios y reconocida por la doctrina constitucional.</w:t>
      </w:r>
    </w:p>
    <w:p w:rsidR="00A90898" w:rsidRDefault="00A90898" w:rsidP="00A90898">
      <w:pPr>
        <w:pStyle w:val="TextoNormal"/>
      </w:pPr>
    </w:p>
    <w:p w:rsidR="00A90898" w:rsidRDefault="00A90898" w:rsidP="00A90898">
      <w:pPr>
        <w:pStyle w:val="TextoNormal"/>
      </w:pPr>
      <w:r>
        <w:t>B) Seguidamente, el escrito del recurso se centra en la disposición adicional octogésima cuarta de la Ley 17/2012, por la que se suspende, durante el año 2013, la aplicación de los arts. 7.2, 8.2 a), 10 y 32.3 (primer párrafo) y de la disposición transitoria primera de la Ley 39/2006, de 14 de diciembre, de promoción de la autonomía personal y atención a las personas en situación de dependencia, en los que se regula la financiación del nivel acordado de protección de la dependencia. Recuerda que esta disposición reproduce en sus mismos términos la suspensión para 2012 establecida en la disposición adicional cuadragésima de la Ley 2/2012, respecto a la que también se ha planteado recurso de inconstitucionalidad, procediendo a reproducir aquí los argumentos expuestos en él, con las adaptaciones necesarias a la especificidad de ese nuevo plazo de suspensión. En concreto, señala que la modificación realizada de forma unilateral por el legislador estatal comporta un condicionamiento ilegítimo de la competencia exclusiva asumida por la Generalidad de Cataluña en materia de servicios sociales conforme al art. 166.1 EAC, sin que se avenga tampoco con el principio de lealtad institucional y el de autonomía financiera de las Comunidades Autónomas, en los términos que resultan del art. 156 CE y arts. 3.1, 201, 202 y 211 EAC.</w:t>
      </w:r>
    </w:p>
    <w:p w:rsidR="00A90898" w:rsidRDefault="00A90898" w:rsidP="00A90898">
      <w:pPr>
        <w:pStyle w:val="TextoNormal"/>
      </w:pPr>
    </w:p>
    <w:p w:rsidR="00A90898" w:rsidRDefault="00A90898" w:rsidP="00A90898">
      <w:pPr>
        <w:pStyle w:val="TextoNormal"/>
      </w:pPr>
      <w:r>
        <w:t xml:space="preserve">a) En tanto la Ley 39/2006 se dictó al amparo del art. 149.1.1 CE, el recurso repasa la jurisprudencia constitucional sobre este título competencial (SSTC 137/1986, FJ 3, y 173/1998, FJ 9), destacando entre otros aspectos que, según esta doctrina, dicho precepto </w:t>
      </w:r>
      <w:r>
        <w:lastRenderedPageBreak/>
        <w:t xml:space="preserve">habilita al Estado para regular los aspectos primarios de los derechos constitucionales, y asimismo, que las condiciones básicas que garantizan la igualdad se predican de los derechos y deberes constitucionales en sí mismos considerados y no de los sectores materiales en que éstos se insertan, por lo que el citado art. 149.1.1 CE sólo puede dar cobertura a aquellas condiciones que guarden una estrecha relación, directa e inmediata, con los derechos que la Constitución reconoce [SSTC 61/1997, FJ 7 b), y 228/2003, FJ 10]. Señala la parte recurrente que, referida esa competencia estatal a derechos constitucionales, la atención a la dependencia no ha tenido un enunciado en esos términos en la Constitución, sino que sólo encuentra acogida explícita en el art. 49 CE, como uno de los principios rectores de la política social y económica. El escrito admite la posibilidad de que el Estado determine normativamente la regulación de las condiciones básicas que garanticen la igualdad de todos los españoles en el ejercicio del derecho a la igualdad a través de la promoción de la autonomía personal y la atención a la dependencia. No obstante, consideran que, dado que ese derecho sustantivo emerge únicamente de un principio enunciado en el art. 49 CE y no es un derecho fundamental en sentido estricto, la habilitación del Estado </w:t>
      </w:r>
      <w:r w:rsidRPr="00A90898">
        <w:rPr>
          <w:i/>
        </w:rPr>
        <w:t>ex</w:t>
      </w:r>
      <w:r>
        <w:t xml:space="preserve"> art. 149.1.1 CE para regular la garantía de la igualdad en su ejercicio ha de tener una correspondiente menor intensidad o grado, máxime si se tiene en cuenta que ese derecho de las personas dependientes incide directamente en un ámbito material de competencia exclusiva de las Comunidades Autónomas como es la asistencia social.</w:t>
      </w:r>
    </w:p>
    <w:p w:rsidR="00A90898" w:rsidRDefault="00A90898" w:rsidP="00A90898">
      <w:pPr>
        <w:pStyle w:val="TextoNormal"/>
      </w:pPr>
    </w:p>
    <w:p w:rsidR="00A90898" w:rsidRDefault="00A90898" w:rsidP="00A90898">
      <w:pPr>
        <w:pStyle w:val="TextoNormal"/>
      </w:pPr>
      <w:r>
        <w:t>Asimismo, nuevamente con cita de la doctrina constitucional (SSTC 61/1997, FJ 7; 188/2001, FJ 4; 37/2002, FJ 12; 239/2002, FJ 10, y 228/2003, FJ 10), el recurso indica que esas condiciones fundamentales son las que van dirigidas a los ciudadanos y no, por tanto, los mandatos dirigidos a las Comunidades Autónomas, que no pueden tener cobertura en la citada competencia estatal, si disponen de competencia exclusiva en la materia. Por ello, afirman que la regulación estatal de las condiciones básicas de la igualdad en el ejercicio del derecho a las prestaciones de la dependencia habrá de ceñirse a la determinación de las posiciones jurídicas fundamentales y a los elementos más esenciales definidores del derecho, sin menoscabo a las competencias asumidas por las Comunidades Autónomas para la regulación de los aspectos organizativos y la gestión de los servicios asistenciales y prestaciones a la dependencia y promoción de la autonomía personal. Asimismo, con apoyo en la doctrina constitucional sentada en la STC 13/1992, FJ 4, añaden que, al incidir en un ámbito de competencia autonómica exclusiva como es la asistencia social, la aportación por el Estado de fondos para la dotación de las prestaciones previstas en la Ley 39/2006 no podrá condicionar indebidamente el ejercicio de esa competencia autonómica, puesto que el poder de gasto estatal no puede ejercerse al margen del sistema constitucional de distribución de competencias.</w:t>
      </w:r>
    </w:p>
    <w:p w:rsidR="00A90898" w:rsidRDefault="00A90898" w:rsidP="00A90898">
      <w:pPr>
        <w:pStyle w:val="TextoNormal"/>
      </w:pPr>
    </w:p>
    <w:p w:rsidR="00A90898" w:rsidRDefault="00A90898" w:rsidP="00A90898">
      <w:pPr>
        <w:pStyle w:val="TextoNormal"/>
      </w:pPr>
      <w:r>
        <w:t xml:space="preserve">b) A partir de estas consideraciones señalan los Abogados de la Generalitat de Cataluña que, en atención a ese marco competencial, la Ley 39/2006 edificó un sistema de prestaciones sobre el principio de corresponsabilidad de todas las Administraciones públicas y de colaboración y cooperación entre ellas (arts. 1.1 y 1.2), anclándose orgánicamente dicha cooperación en el entonces denominado Consejo territorial del sistema para la autonomía y atención a la dependencia, y articulándose mediante el sistema de convenios entre la Administración del Estado y cada una de las Comunidades Autónomas (art. 10 de la Ley 39/2006). Pues bien, a su juicio, ese principio de colaboración y cooperación sobre el que la Ley 39/2006 construyó el sistema de atención a la dependencia es el que, de forma unilateral y </w:t>
      </w:r>
      <w:r>
        <w:lastRenderedPageBreak/>
        <w:t>con grave quebranto de la lealtad constitucional y la autonomía financiera de las Comunidades Autónomas, se truncó mediante la aprobación de la disposición adicional cuadragésima de la Ley 2/2012, en la que, se estableció la suspensión durante 2012 de la aplicación de los preceptos de la Ley 39/2006 que contienen la regulación de uno de los tres niveles de protección de la dependencia previstos en esta Ley —en concreto, el denominado nivel “acordado” entre la Administración general del Estado y la Administración de cada Comunidad Autónoma—, habiendo procedido la disposición adicional octogésimo cuarta de la Ley 17/2012 a mantener esa suspensión durante 2013. De este modo, indican, esa suspensión comporta la privación temporal de eficacia de la regulación de esta parte de la financiación y, en consecuencia, que el Estado deja de aportar los fondos para financiar ese nivel de protección de la dependencia.</w:t>
      </w:r>
    </w:p>
    <w:p w:rsidR="00A90898" w:rsidRDefault="00A90898" w:rsidP="00A90898">
      <w:pPr>
        <w:pStyle w:val="TextoNormal"/>
      </w:pPr>
    </w:p>
    <w:p w:rsidR="00A90898" w:rsidRDefault="00A90898" w:rsidP="00A90898">
      <w:pPr>
        <w:pStyle w:val="TextoNormal"/>
      </w:pPr>
      <w:r>
        <w:t>Dando cuenta de diversos datos económicos y relativos al número de beneficiarios, añaden que, tras haber hecho la Generalitat de Cataluña en 2012 una estimación en sus presupuestos de la cantidad que se esperaba percibir del Estado por este concepto, llegó la decisión estatal sorpresiva de no transferir cantidad alguna para dotar el nivel de protección acordado, lo que ha generado un descubierto a la Generalitat por ese concepto. Remarcando también que el coste efectivo de la prestación de los servicios asistenciales resulta muy superior a la cuantía de la prestación mínima aportada por el Estado, señalan que la obligación de la Generalitat de Cataluña de mantener las prestaciones reconocidas compromete sus propios recursos, no ya por efecto de un acuerdo o convenio mutuo, sino ahora por pura imposición unilateral del Estado.</w:t>
      </w:r>
    </w:p>
    <w:p w:rsidR="00A90898" w:rsidRDefault="00A90898" w:rsidP="00A90898">
      <w:pPr>
        <w:pStyle w:val="TextoNormal"/>
      </w:pPr>
    </w:p>
    <w:p w:rsidR="00A90898" w:rsidRDefault="00A90898" w:rsidP="00A90898">
      <w:pPr>
        <w:pStyle w:val="TextoNormal"/>
      </w:pPr>
      <w:r>
        <w:t>c) Indican los Abogados de la Generalitat que la Ley 39/2006 configuró el sistema de protección a la dependencia mediante la técnica cooperativa y los convenios de colaboración entre el Estado y las Comunidades Autónomas; además, esa confianza legítima se sustentó en su disposición transitoria primera, que establece la obligación de la Administración general del Estado, durante los años 2007 a 2015, de incluir en sus presupuestos los créditos destinados a la financiación correspondiente al nivel acordado de protección, configurando así un horizonte temporal en el que las Comunidades Autónomas podían legítimamente confiar para seguir percibiendo la financiación. Asimismo, añaden que esa confianza legítima venía sustentada en las actuaciones coordinadas por la propia Administración general del Estado, ya que, por ejemplo, un acuerdo del Consejo territorial del sistema para la autonomía y atención a la dependencia de 1 de junio de 2010 fijó el marco de cooperación interadministrativa, que establecía los criterios de reparto para la financiación del nivel acordado durante el período 2010 a 2013, y que tenía que ser después desarrollado mediante convenios bilaterales que cada año se firmarían entre la Administración estatal y cada Comunidad Autónoma, contando éstas con dicho compromiso. Sin embargo, señalan, cuando ya habían transcurrido seis meses del ejercicio económico de 2012, la Ley 2/2012 impuso sorpresiva y unilateralmente la suspensión del nivel acordado de protección a la dependencia para todo el año 2012. Según indican, la cuestionada suspensión de 2012, mantenida por un año más en la Ley 17/2012, implica, por tanto, la imposición a las Comunidades Autónomas del deber de mantener el servicio con el condicionamiento de sus propios fondos para poder percibir los correspondientes al nivel mínimo de protección que el Estado aporta, vulnerando así el principio de lealtad institucional reconocido en el art. 3 EAC.</w:t>
      </w:r>
    </w:p>
    <w:p w:rsidR="00A90898" w:rsidRDefault="00A90898" w:rsidP="00A90898">
      <w:pPr>
        <w:pStyle w:val="TextoNormal"/>
      </w:pPr>
    </w:p>
    <w:p w:rsidR="00A90898" w:rsidRDefault="00A90898" w:rsidP="00A90898">
      <w:pPr>
        <w:pStyle w:val="TextoNormal"/>
      </w:pPr>
      <w:r>
        <w:t xml:space="preserve">d) A su juicio, la controvertida suspensión conculca también la autonomía financiera de la Generalitat de Cataluña y de las demás Comunidades Autónomas, reconocida en el art. </w:t>
      </w:r>
      <w:r>
        <w:lastRenderedPageBreak/>
        <w:t xml:space="preserve">156.1 CE y en el art. 201.2 EAC. Con referencia al tenor del art. 32 de la Ley 39/2006, a este respecto aducen que, dado que la suspensión afecta sólo al primer párrafo del art. 33.2 </w:t>
      </w:r>
      <w:r w:rsidRPr="00A90898">
        <w:rPr>
          <w:i/>
        </w:rPr>
        <w:t>sic</w:t>
      </w:r>
      <w:r>
        <w:t xml:space="preserve"> de la Ley 39/2006, manteniéndose la vigencia de su segundo párrafo, el conjunto de las prescripciones vigentes dan al precepto un nuevo sentido, resultando que, ahora, sin mediar convenio alguno, se exige la necesaria aportación de la Comunidad Autónoma en una cuantía para cada año al menos igual a la aportada por el Estado en el nivel mínimo de protección. Por ello, entienden, ese condicionamiento de recursos propios de las Comunidades Autónomas para la obtención de los que el Estado destina a la atención a la dependencia comporta una vulneración de la autonomía financiera, conforme resulta de la doctrina establecida en la STC 128/1999, FFJJ 8 y 11.</w:t>
      </w:r>
    </w:p>
    <w:p w:rsidR="00A90898" w:rsidRDefault="00A90898" w:rsidP="00A90898">
      <w:pPr>
        <w:pStyle w:val="TextoNormal"/>
      </w:pPr>
    </w:p>
    <w:p w:rsidR="00A90898" w:rsidRDefault="00A90898" w:rsidP="00A90898">
      <w:pPr>
        <w:pStyle w:val="TextoNormal"/>
      </w:pPr>
      <w:r>
        <w:t>Afirman los Abogados autonómicos que, dado que el Estado ha ido reduciendo progresivamente sus aportaciones, la Generalitat de Cataluña se ha visto cada año en la necesidad de incrementar en mayor proporción sus propios recursos para atender las prestaciones reconocidas en aplicación de la Ley 39/2006. Según indican, la enorme cuantía y proporción de recursos propios de la Generalitat —ahora ilegítimamente condicionada por la suspensión de la parte acordada— pone de manifiesto la magnitud de la lesión producida en su autonomía financiera.</w:t>
      </w:r>
    </w:p>
    <w:p w:rsidR="00A90898" w:rsidRDefault="00A90898" w:rsidP="00A90898">
      <w:pPr>
        <w:pStyle w:val="TextoNormal"/>
      </w:pPr>
    </w:p>
    <w:p w:rsidR="00A90898" w:rsidRDefault="00A90898" w:rsidP="00A90898">
      <w:pPr>
        <w:pStyle w:val="TextoNormal"/>
      </w:pPr>
      <w:r>
        <w:t>e) Además, los Abogados autonómicos consideran que la disposición adicional cuadragésima de la Ley 2/2012 y después la disposición adicional octogésimo cuarta de la Ley 17/2012, que establecen la cuestionada suspensión, han dejado a la Generalitat prácticamente sin recursos ni, por tanto, margen de disponibilidad propia para el ejercicio de su competencia exclusiva en materia de servicios sociales, que se ha visto vulnerada.</w:t>
      </w:r>
    </w:p>
    <w:p w:rsidR="00A90898" w:rsidRDefault="00A90898" w:rsidP="00A90898">
      <w:pPr>
        <w:pStyle w:val="TextoNormal"/>
      </w:pPr>
    </w:p>
    <w:p w:rsidR="00A90898" w:rsidRDefault="00A90898" w:rsidP="00A90898">
      <w:pPr>
        <w:pStyle w:val="TextoNormal"/>
      </w:pPr>
      <w:r>
        <w:t>Indican que ni la competencia reservada al Estado por el art. 149.1.1 CE, ni las del art. 149.1.13 CE, pueden legitimar el encaje de dichas disposiciones normativas en el sistema de distribución competencial establecido por la Constitución y el Estatuto de Autonomía de Cataluña: en concreto, respecto al art. 149.1.13 CE, porque la medida no se inscribe en la planificación ni la ordenación de un sector productivo o económico, sino que responde a una pura decisión de reducir el gasto en políticas asistenciales. Por el contrario, entienden, la suspensión controvertida ha producido una vulneración por menoscabo de las competencias de la Generalitat y de las demás Comunidades Autónomas en materia de servicios sociales, como consecuencia del condicionamiento ilegítimo que para las competencias de la Generalitat comporta la forma en que el Estado ha ejercido sus propias competencias. Ello es así, explican, porque la norma estatal impugnada, además de implicar la disposición unilateral por el Estado de fondos propios autonómicos, supone que, aun habiéndose abandonado —al menos temporalmente— la vía convencional de ejercicio cooperativo de las respectivas competencias, se mantiene como imposición unilateral el deber y la carga para las Comunidades Autónomas de prestar la asistencia social a través del sistema y prestaciones reguladas por la Ley 39/2006.</w:t>
      </w:r>
    </w:p>
    <w:p w:rsidR="00A90898" w:rsidRDefault="00A90898" w:rsidP="00A90898">
      <w:pPr>
        <w:pStyle w:val="TextoNormal"/>
      </w:pPr>
    </w:p>
    <w:p w:rsidR="00A90898" w:rsidRDefault="00A90898" w:rsidP="00A90898">
      <w:pPr>
        <w:pStyle w:val="TextoNormal"/>
      </w:pPr>
      <w:r>
        <w:t xml:space="preserve">En su opinión, la suspensión discutida no justifica su legitimidad en el carácter convencional o voluntario de la cooperación mediante la que se venía prestando el nivel acordado de protección, puesto que la propia Ley 39/2006 proclama la estabilidad del sistema y tanto su ya citada disposición transitoria primera, como el también mencionado acuerdo del Consejo territorial de 1 de junio de 2010 indicaban que el Estado mantendría su colaboración en dicho nivel. Tal circunstancia, indican, comporta la transformación de un sistema de </w:t>
      </w:r>
      <w:r>
        <w:lastRenderedPageBreak/>
        <w:t>atención a la dependencia basado en un marco cooperativo y de colaboración entre el Estado y las Comunidades Autónomas, en un sistema de asistencia social definido normativamente y de forma exhaustiva por el legislador estatal, que deja a las Comunidades Autónomas en la posición de meras Administraciones obligadas a seguir ofreciendo las prestaciones definidas por la Ley 39/2006 en las mismas cuantías, debiendo dar cumplimiento a la totalidad de la regulación normativa de dicha Ley mediante su actuación administrativa, pero obligadas a aportar sus propios recursos económicos en una cuantía cuando menos igual a la otorgada por el Estado para cubrir el coste del nivel mínimo de protección.</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9 de abril de 2013, el Pleno, a propuesta de la Sección Cuarta, acordó admitir a trámite el presente recurso de inconstitucionalidad. Igualmente, se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 lo que se llevó a efecto en el núm. 94, de 19 de abril de 2013.</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19 de abril de 2013, el Abogado del Estado se personó en nombre del Gobierno, solicitando una prórroga del plazo concedido para formular alegaciones. Por providencia de 22 de abril de 2013, se acordó tenerle por personado y prorrogarle en ocho días más el plazo inicialmente concedido para la formulación de alegaciones.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registrado con fecha 24 de abril de 2013, el Presidente del Senado comunicó el acuerdo de la Mesa de la Cámara de personarse en el procedimiento y ofrecer su colaboración a los efectos del art. 88.1 LOTC. Lo mismo hizo el Presidente del Congreso de los Diputados en escrito registrado el 26 de abril de 2013, indicando también el acuerdo de remisión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5</w:t>
      </w:r>
      <w:r>
        <w:t>. El 21 de mayo de 2013 tuvo entrada en el Registro General de este Tribunal el escrito de alegaciones del Abogado del Estado, en la representación que legalmente ostenta, por el que solicita la desestimación del presente recurso de inconstitucionalidad.</w:t>
      </w:r>
    </w:p>
    <w:p w:rsidR="00A90898" w:rsidRDefault="00A90898" w:rsidP="00A90898">
      <w:pPr>
        <w:pStyle w:val="TextoNormal"/>
      </w:pPr>
    </w:p>
    <w:p w:rsidR="00A90898" w:rsidRDefault="00A90898" w:rsidP="00A90898">
      <w:pPr>
        <w:pStyle w:val="TextoNormal"/>
      </w:pPr>
      <w:r>
        <w:t>En este escrito, el Abogado del Estado enmarca las medidas de la Ley 17/2012 en el ámbito del mandato constitucional de estabilidad presupuestaria contenido en el art. 135.1 y 2 CE, reproduciendo a tal efecto algunos fragmentos de la exposición de motivos de dicha Ley, y haciendo referencia al contexto de grave crisis económica en que España se ha visto inmersa, dando cuenta a tal efecto de diversos informes del Banco de España, así como de varios pronunciamientos en que el Tribunal Constitucional se ha hecho eco de la profunda crisis presupuestaria (entre otros, ATC 160/2011, FJ 3). Según indica, parte de las previsiones impugnadas parten de esta situación socio-económica y persiguen el cumplimiento del mandato constitucional, además de asegurar la subsistencia y viabilidad del propio sistema en función de los recursos económicos disponibles, que es asimismo un mandato constitucional al legislador a la hora de configurar el sistema de protección de la dependencia.</w:t>
      </w:r>
    </w:p>
    <w:p w:rsidR="00A90898" w:rsidRDefault="00A90898" w:rsidP="00A90898">
      <w:pPr>
        <w:pStyle w:val="TextoNormal"/>
      </w:pPr>
    </w:p>
    <w:p w:rsidR="00A90898" w:rsidRDefault="00A90898" w:rsidP="00A90898">
      <w:pPr>
        <w:pStyle w:val="TextoNormal"/>
      </w:pPr>
      <w:r>
        <w:lastRenderedPageBreak/>
        <w:t>A) Respecto a la disposición adicional octogésima primera de la Ley 17/2012, el Abogado del Estado afirma que esta norma se limita a realizar la consignación presupuestaria de reserva de crédito a favor de determinadas ayudas, medidas y programas para su gestión por el Servicio público de empleo estatal, pero que no atribuye competencia alguna al Estado, estando dicha competencia regulada en el art. 13 h) de la Ley de empleo, que no es objeto del presente recurso de inconstitucionalidad y respecto de la que la Ley 17/2012 se limita a reproducir su contenido. Considera, en consecuencia, que sólo podría ser objeto del presente recurso si dicha Ley 17/2012 puede contener esa reserva de crédito a favor de determinadas ayudas, medidas o programas.</w:t>
      </w:r>
    </w:p>
    <w:p w:rsidR="00A90898" w:rsidRDefault="00A90898" w:rsidP="00A90898">
      <w:pPr>
        <w:pStyle w:val="TextoNormal"/>
      </w:pPr>
    </w:p>
    <w:p w:rsidR="00A90898" w:rsidRDefault="00A90898" w:rsidP="00A90898">
      <w:pPr>
        <w:pStyle w:val="TextoNormal"/>
      </w:pPr>
      <w:r>
        <w:t>Al respecto, hace referencia a lo dicho en el fundamento jurídico 5 de la STC 13/1992, en cuya doctrina considera que se incardina el presente supuesto. Reitera que la Ley 17/2012 se limita a realizar una reserva de crédito sobre la base y en ejecución de una norma distinta —el art. 13 h) de la Ley de empleo—, que es la que, en su caso, podría producir la vulneración de la competencia autonómica o, en su defecto, los actos de ejecución de esta norma, esto es, las concretas normas que regulan cada subvención determinada. En tal sentido, indica que cada uno de los aspectos generales mencionados en el art. 13 h) de la Ley de empleo tiene su concreción en normativa específica que regula la concesión de ayudas, dando cuenta de las normas concretas que permiten al Servicio público de empleo estatal la concesión de ayudas a entidades o personas (Orden TAS/2965/2006 —acciones realizadas en base al punto 1 del art. 13 h)—; Real Decreto 282/1999, Órdenes del Ministerio de Trabajo y Asuntos Sociales de 14 de noviembre de 2001 y de 19 de diciembre de 1997, y Orden TAS/718/2008 —acciones realizadas en base al punto 2 del art. 13 h)—; y Reales Decretos-ley 1/2011 y 1/2013 —acciones realizadas en base al punto 4 del art. 13 h)—.</w:t>
      </w:r>
    </w:p>
    <w:p w:rsidR="00A90898" w:rsidRDefault="00A90898" w:rsidP="00A90898">
      <w:pPr>
        <w:pStyle w:val="TextoNormal"/>
      </w:pPr>
    </w:p>
    <w:p w:rsidR="00A90898" w:rsidRDefault="00A90898" w:rsidP="00A90898">
      <w:pPr>
        <w:pStyle w:val="TextoNormal"/>
      </w:pPr>
      <w:r>
        <w:t xml:space="preserve">Añade que los arts. 170 y 144 </w:t>
      </w:r>
      <w:r w:rsidRPr="00A90898">
        <w:rPr>
          <w:i/>
        </w:rPr>
        <w:t>sic</w:t>
      </w:r>
      <w:r>
        <w:t xml:space="preserve"> EAC recogen la posible excepción de aquellas subvenciones cuya gestión centralizada corresponde al Estado siempre que se cumplan los requisitos fijados por la doctrina del Tribunal Constitucional. Respecto a las subvenciones no territorializables (art. 114 EAC) cita lo dicho en la STC 31/2010, FJ 62. Asimismo indica que el art. 170.1 b) EAC excluye del ámbito competencial catalán las que superen el ámbito territorial catalán, respecto a las que sólo prevé que la Generalitat participa en los planes o actividades de formación que superen dicho ámbito, añadiendo el escrito que será el Estado quien fije la forma de realizarse esa colaboración en el momento de regular la concreta medida o ayuda.</w:t>
      </w:r>
    </w:p>
    <w:p w:rsidR="00A90898" w:rsidRDefault="00A90898" w:rsidP="00A90898">
      <w:pPr>
        <w:pStyle w:val="TextoNormal"/>
      </w:pPr>
    </w:p>
    <w:p w:rsidR="00A90898" w:rsidRDefault="00A90898" w:rsidP="00A90898">
      <w:pPr>
        <w:pStyle w:val="TextoNormal"/>
      </w:pPr>
      <w:r>
        <w:t>En definitiva, indica, la reserva de crédito para gasto recogida en la Ley 17/2012 no vulnera, por sí misma, competencia autonómica alguna, considerando que tal vulneración, en su caso, se produciría por la norma de cobertura concreta —el art. 13 h) de la Ley de empleo—, que no es objeto del presente proceso de inconstitucionalidad, y más en concreto por la ejecución particular del Estado al definir cada subvención en las correspondientes normas, que será respecto a las que habría de aplicarse la doctrina constitucional sentada en la STC 13/1992 sobre los supuestos en que puede existir esa gestión centralizada, como ocurre en los casos analizados en las SSTC 52/2012, 37/2013 y 36/2013.</w:t>
      </w:r>
    </w:p>
    <w:p w:rsidR="00A90898" w:rsidRDefault="00A90898" w:rsidP="00A90898">
      <w:pPr>
        <w:pStyle w:val="TextoNormal"/>
      </w:pPr>
    </w:p>
    <w:p w:rsidR="00A90898" w:rsidRDefault="00A90898" w:rsidP="00A90898">
      <w:pPr>
        <w:pStyle w:val="TextoNormal"/>
      </w:pPr>
      <w:r>
        <w:t xml:space="preserve">B) Por lo que se refiere a la disposición adicional octogésima cuarta de la Ley 17/2012, el Abogado del Estado señala que el objeto de impugnación de este proceso no es la Ley 39/2006 y el sistema por ella establecido, sin que en su momento se formulara recurso de inconstitucionalidad frente al último párrafo de su artículo 32.3, por el que se dispone que </w:t>
      </w:r>
      <w:r>
        <w:lastRenderedPageBreak/>
        <w:t>la aportación al sistema de las Comunidades Autónomas será equivalente a la realizada por el Estado en el nivel mínimo y acordado. Esta última previsión, aclara, tampoco es objeto del presente recurso, ya que dicha norma no se modifica ni suspende por la Ley 17/2012, por lo que queda fuera del debate de constitucionalidad.</w:t>
      </w:r>
    </w:p>
    <w:p w:rsidR="00A90898" w:rsidRDefault="00A90898" w:rsidP="00A90898">
      <w:pPr>
        <w:pStyle w:val="TextoNormal"/>
      </w:pPr>
    </w:p>
    <w:p w:rsidR="00A90898" w:rsidRDefault="00A90898" w:rsidP="00A90898">
      <w:pPr>
        <w:pStyle w:val="TextoNormal"/>
      </w:pPr>
      <w:r>
        <w:t>a) Hecha esta aclaración, el Abogado del Estado señala que la Ley 39/2006 instaura una nueva modalidad de protección social que amplía y complementa la acción protectora de la Seguridad Social y del Estado, y mediante la que se garantiza un marco estable de recursos y servicios, asegurando un nivel mínimo homogéneo, sin dejar el tratamiento del tema a la plena discreción de las Comunidades Autónomas competentes en materia de asistencia social. Seguidamente, examina los títulos competenciales estatales y su delimitación en relación con la atención a las situaciones de dependencia. Así, recuerda la doctrina constitucional en materia de asistencia social y sobre el art. 149.1.1 CE en relación con los mandatos de los principios rectores de los arts. 41, 49 y 50 CE y con los arts. 14 y 15 CE, sobre los que, indica, incide la Ley 39/2006. Alude también al art. 149.1.17 CE que atribuye al Estado competencias en materia de Seguridad Social, recordando la doctrina constitucional al respecto, que entiende aquí aplicable en la medida en que la aspiración de la Ley 39/2006 es rebasar el ámbito de la simple asistencia social y generar un verdadero sistema nacional de apoyo a la dependencia de carácter universal, por lo que si esta Ley trata de superar un modelo asistencial insuficiente, no puede sostenerse que nos encontramos en el ámbito de la “asistencia social”, o al menos exclusivamente en este ámbito. Pues bien, en su opinión, esta actuación y la aprobación de la Ley 39/2006 encuentran cobertura en los apartados 1 y 17 del art. 149.1 CE. Igual que del análisis de diversos preceptos constitucionales (artículos 43, 51, 149.1.1 y 139.2) el Tribunal Constitucional ha inferido la exigencia constitucional de que exista un sistema normativo de la sanidad nacional (STC 32/1983 y 87/1985), considera que, del mismo modo, las previsiones constitucionales indicadas permiten deducir la exigencia de un sistema nacional de dependencia.</w:t>
      </w:r>
    </w:p>
    <w:p w:rsidR="00A90898" w:rsidRDefault="00A90898" w:rsidP="00A90898">
      <w:pPr>
        <w:pStyle w:val="TextoNormal"/>
      </w:pPr>
    </w:p>
    <w:p w:rsidR="00A90898" w:rsidRDefault="00A90898" w:rsidP="00A90898">
      <w:pPr>
        <w:pStyle w:val="TextoNormal"/>
      </w:pPr>
      <w:r>
        <w:t>b) Seguidamente, el Abogado del Estado da cuenta de la doctrina constitucional sobre el principio de colaboración o cooperación. Entre otros aspectos, destaca la doble dimensión de este principio: la negativa, en virtud de la que el Estado y las Comunidades Autónomas en el ejercicio de sus propias competencias deben abstenerse de lesionar los intereses del sistema en su conjunto y los de las demás organizaciones territoriales, de modo que se prohíbe obstaculizar el ejercicio de las competencias ajenas a través del ejercicio de las propias; y la positiva, en virtud de la que el Estado y las Comunidades Autónomas deben ejercer sus propias competencias en beneficio de los demás cuando ello resulte necesario. Asimismo, remarca la diferencia establecida por el Tribunal Constitucional entre el concepto de coordinación —que conecta con la idea de imposición— y el concepto de cooperación —que se caracteriza por la voluntariedad— (SSTC 32/1983, FJ 2; 214/1989, FJ 20, y 194/2004, FFJJ 8 y 9). Igualmente señala que, en virtud del art. 149.1.18 CE, corresponde al Estado la competencia para la regulación general de los mecanismos o técnicas derivados del deber de cooperación, y que, por su parte, la regulación sectorial de estos mecanismos corresponde a la organización titular de la respectiva competencia sectorial (entre otras, SSTC 76/1983, FJ 13, y 13/1992, FJ 10). Añade también que cuando concurren diversos títulos competenciales para la regulación de una materia o actividad —en este caso, Seguridad Social y regulación de las condiciones básicas para el ejercicio de determinados dere</w:t>
      </w:r>
      <w:r>
        <w:lastRenderedPageBreak/>
        <w:t>chos, frente a asistencia social— es necesario el establecimiento de mecanismos de colaboración o cooperación para el ejercicio de una concurrencia pacífica, siendo diversas las técnicas a utilizar para ello —entre otras, el convenio—.</w:t>
      </w:r>
    </w:p>
    <w:p w:rsidR="00A90898" w:rsidRDefault="00A90898" w:rsidP="00A90898">
      <w:pPr>
        <w:pStyle w:val="TextoNormal"/>
      </w:pPr>
    </w:p>
    <w:p w:rsidR="00A90898" w:rsidRDefault="00A90898" w:rsidP="00A90898">
      <w:pPr>
        <w:pStyle w:val="TextoNormal"/>
      </w:pPr>
      <w:r>
        <w:t>De manera específica, el Abogado del Estado señala que, en la Ley 39/2006, el nivel concertado de protección —que es el suspendido temporalmente— se articula a través de una cooperación bilateral por medio de convenios, de modo que, en este nivel, no existen aspectos que el Estado imponga a las Comunidades Autónomas, destacando además que algunos aspectos sistémicos se concretan en el Consejo territorial del sistema para la autonomía y atención a la dependencia, en el que están representados el Estado y cada una de las Comunidades Autónomas, teniendo éstas mayoría. Más en concreto, detalla que la articulación de ese nivel acordado se produce en dos fases (arts. 7 y 10 de la Ley 39/2006): primero en el seno del Consejo territorial del sistema para la autonomía y atención a la dependencia, en que el Estado y las Comunidades Autónomas acuerdan el marco de cooperación interadministrativa, cuya fijación es puramente adjetiva, pues no afecta ni a la decisión de cada Comunidad de establecer el segundo nivel, ni conlleva realizar aportación alguna; es después a través de los convenios del Estado con cada Comunidad Autónoma donde se acuerdan los objetivos, medios y recursos para la aplicación de los servicios y prestaciones, así como la financiación que corresponde a uno y otra, siendo enteramente libres las Comunidades Autónomas para decidir si desean este segundo nivel de protección, que se articula con pleno respeto a las competencias autonómicas.</w:t>
      </w:r>
    </w:p>
    <w:p w:rsidR="00A90898" w:rsidRDefault="00A90898" w:rsidP="00A90898">
      <w:pPr>
        <w:pStyle w:val="TextoNormal"/>
      </w:pPr>
    </w:p>
    <w:p w:rsidR="00A90898" w:rsidRDefault="00A90898" w:rsidP="00A90898">
      <w:pPr>
        <w:pStyle w:val="TextoNormal"/>
      </w:pPr>
      <w:r>
        <w:t>También el Abogado del Estado afirma que el segundo párrafo del art. 32.3 de la Ley 39/2006 no “impone una cofinanciación e incluso su cuantía mínima” a ninguna Comunidad Autónoma, sino que, al dibujar los trazos de la financiación cooperativa Estado-Comunidades Autónomas para incrementar el nivel mínimo de protección (artículo 10.2), lo que hace es poner un límite máximo a la aportación de la Administración general del Estado, que nunca podrá ser superior a la financiación aportada por la Comunidad Autónoma, pero sin imponer nada a ésta: se trata así de una limitación al gasto de la Administración estatal, que queda dentro de la competencia exclusiva del Estado del art. 149.1.14 CE, en relación con el art. 133.4 CE y el art. 31.2 CE.</w:t>
      </w:r>
    </w:p>
    <w:p w:rsidR="00A90898" w:rsidRDefault="00A90898" w:rsidP="00A90898">
      <w:pPr>
        <w:pStyle w:val="TextoNormal"/>
      </w:pPr>
    </w:p>
    <w:p w:rsidR="00A90898" w:rsidRDefault="00A90898" w:rsidP="00A90898">
      <w:pPr>
        <w:pStyle w:val="TextoNormal"/>
      </w:pPr>
      <w:r>
        <w:t>c) A partir de las anteriores consideraciones, el Abogado del Estado niega los reproches de inconstitucionalidad realizados en el recurso.</w:t>
      </w:r>
    </w:p>
    <w:p w:rsidR="00A90898" w:rsidRDefault="00A90898" w:rsidP="00A90898">
      <w:pPr>
        <w:pStyle w:val="TextoNormal"/>
      </w:pPr>
    </w:p>
    <w:p w:rsidR="00A90898" w:rsidRDefault="00A90898" w:rsidP="00A90898">
      <w:pPr>
        <w:pStyle w:val="TextoNormal"/>
      </w:pPr>
      <w:r>
        <w:t>De entrada, introduce la precisión de que, incluso sin la suspensión del nivel de protección acordado, la Comunidad Autónoma que no quisiera firmar el oportuno convenio bilateral quedaría obligada a aportar una financiación equivalente a la financiación del nivel mínimo realizada por el Estado. Por ello, considera que dicha obligación de aportación no es una consecuencia de la suspensión del nivel acordado, sino que tiene naturaleza autónoma de este nivel, se suspenda o se llegue a acordar o no. Asimismo rechaza que esa suspensión se haya efectuado de forma sorpresiva, pues el último de los convenios aludidos en el recurso es de 2011.</w:t>
      </w:r>
    </w:p>
    <w:p w:rsidR="00A90898" w:rsidRDefault="00A90898" w:rsidP="00A90898">
      <w:pPr>
        <w:pStyle w:val="TextoNormal"/>
      </w:pPr>
    </w:p>
    <w:p w:rsidR="00A90898" w:rsidRDefault="00A90898" w:rsidP="00A90898">
      <w:pPr>
        <w:pStyle w:val="TextoNormal"/>
      </w:pPr>
      <w:r>
        <w:t xml:space="preserve">También concluye que esa suspensión del nivel acordado, articulado a través de convenios bilaterales como mecanismo de cooperación ante competencias concurrentes, no vulnera la competencia de Cataluña respecto de los servicios sociales, que se mantiene incólume por dicha suspensión. Tal competencia autonómica, añade, tampoco se ve afectada por </w:t>
      </w:r>
      <w:r>
        <w:lastRenderedPageBreak/>
        <w:t>el retraso en un año en el reconocimiento de la efectividad de un determinado nivel de dependencia, que lo único que persigue es mantener un mínimo de igualdad entre todos los españoles, con lo que la modificación queda cubierta por el título competencial previsto en el art. 149.1.1 CE y su vinculación con los arts. 14 y 15 CE.</w:t>
      </w:r>
    </w:p>
    <w:p w:rsidR="00A90898" w:rsidRDefault="00A90898" w:rsidP="00A90898">
      <w:pPr>
        <w:pStyle w:val="TextoNormal"/>
      </w:pPr>
    </w:p>
    <w:p w:rsidR="00A90898" w:rsidRDefault="00A90898" w:rsidP="00A90898">
      <w:pPr>
        <w:pStyle w:val="TextoNormal"/>
      </w:pPr>
      <w:r>
        <w:t>Respecto al principio de lealtad institucional, subraya su vinculación con la suficiencia financiera de las Comunidades Autónomas, indicando que no condiciona el ejercicio de la potestad legislativa por parte del Estado (SSTC 109/2011, FJ 5; 204/2011, FJ 9, y 31/2010, FJ 136). Por ello, considera que la suspensión del nivel acordado no conlleva infracción de tal principio de lealtad.</w:t>
      </w:r>
    </w:p>
    <w:p w:rsidR="00A90898" w:rsidRDefault="00A90898" w:rsidP="00A90898">
      <w:pPr>
        <w:pStyle w:val="TextoNormal"/>
      </w:pPr>
    </w:p>
    <w:p w:rsidR="00A90898" w:rsidRDefault="00A90898" w:rsidP="00A90898">
      <w:pPr>
        <w:pStyle w:val="TextoNormal"/>
      </w:pPr>
      <w:r>
        <w:t>Asimismo, con relación al principio de autonomía financiera, remarca que la implicación del Estado en la financiación de cada nivel de protección es diferente: en el nivel mínimo supone una financiación mínima y obligatoria establecida para cada beneficiario, sujeta por tanto a variación en función del colectivo existente en el sistema en cada momento; en cambio, la financiación del nivel acordado persigue facilitar la implantación del sistema de dependencia y posee un carácter discrecional en la determinación de su cuantía, sin tener por qué atender a la evolución del colectivo de beneficiarios. Además señala que la carga a la hacienda autonómica por el nivel convenido se produce sólo si existe acuerdo y se fija su financiación, supuesto en que no existiría vulneración alguna por tratarse de acuerdos voluntarios. Asimismo, indica, que la suspensión del nivel acordado no implica carga añadida para la hacienda autonómica, pues será ella la que voluntariamente decida, en el ejercicio de sus competencias, realizar una mayor o menor financiación, pero ya no como nivel acordado, sino como nivel adicional de protección (art. 7.3 de la Ley 39/2006), a más del mínimo financiado por el Estado.</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en fecha 2 de agosto de 2013, los Abogados de la Generalitat de Cataluña, dando cumplimiento al acuerdo adoptado por el Gobierno de la Generalitat el 30 de julio de 2013, formularon la recusación del Excmo. Sr. Presidente del Tribunal Constitucional, entre otros, en el presente proceso constitucional. El Pleno del Tribunal, por ATC 180/2013, de 17 de septiembre, inadmitió a trámite la recusación formulada, e interpuesto recurso de súplica contra el anterior Auto por la Generalitat de Cataluña, el Pleno, en providencia de 2 de octubre de 2013, acordó su inadmisión a trámite.</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18 de octubre de 2016 se señaló para deliberación y votación de la presente Sentencia el día 20 de dicho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el Gobierno de Cataluña contra las disposiciones adicionales octogésima primera y octogésima cuarta de la Ley 17/2012, de 27 de diciembre, de presupuestos generales del Estado para el año 2013.</w:t>
      </w:r>
    </w:p>
    <w:p w:rsidR="00A90898" w:rsidRDefault="00A90898" w:rsidP="00A90898">
      <w:pPr>
        <w:pStyle w:val="TextoNormal"/>
      </w:pPr>
    </w:p>
    <w:p w:rsidR="00A90898" w:rsidRDefault="00A90898" w:rsidP="00A90898">
      <w:pPr>
        <w:pStyle w:val="TextoNormal"/>
      </w:pPr>
      <w:r>
        <w:t xml:space="preserve">El escrito de interposición del recurso denuncia los siguientes vicios de inconstitucionalidad respecto a los preceptos impugnados. De un lado, en cuanto a la disposición adicional octogésima primera de la Ley 17/2012 —relativo a la gestión de las acciones, medidas y programas establecidos en la letra h) del art. 13 de la Ley 56/2003, de empleo—, se aduce </w:t>
      </w:r>
      <w:r>
        <w:lastRenderedPageBreak/>
        <w:t>que esta norma no resulta respetuosa con las competencias asumidas por la Generalitat de Cataluña en materia de políticas activas de empleo. De otro lado, en relación con la disposición adicional octogésima cuarta de la Ley 17/2012 —por la que se suspende, durante el año 2013, la aplicación de los arts. 7.2, 8.2 a), 10, 32.3 (primer párrafo) y disposición transitoria primera de la Ley 39/2006, de 14 de diciembre, de promoción de la autonomía personal y atención a las personas en situación de dependencia—, se reprocha que su contenido vulnera la competencia autonómica en materia de servicios sociales, así como el principio de lealtad constitucional o institucional y la autonomía financiera de la Generalitat de Cataluña.</w:t>
      </w:r>
    </w:p>
    <w:p w:rsidR="00A90898" w:rsidRDefault="00A90898" w:rsidP="00A90898">
      <w:pPr>
        <w:pStyle w:val="TextoNormal"/>
      </w:pPr>
    </w:p>
    <w:p w:rsidR="00A90898" w:rsidRDefault="00A90898" w:rsidP="00A90898">
      <w:pPr>
        <w:pStyle w:val="TextoNormal"/>
      </w:pPr>
      <w:r>
        <w:t>Por el contrario, el Abogado del Estado defiende la constitucionalidad de las disposiciones impugnadas en los términos expuestos en los antecedentes y, en consecuencia, interesa la desestimación del recurso.</w:t>
      </w:r>
    </w:p>
    <w:p w:rsidR="00A90898" w:rsidRDefault="00A90898" w:rsidP="00A90898">
      <w:pPr>
        <w:pStyle w:val="TextoNormal"/>
      </w:pPr>
    </w:p>
    <w:p w:rsidR="00A90898" w:rsidRDefault="00A90898" w:rsidP="00A90898">
      <w:pPr>
        <w:pStyle w:val="TextoNormal"/>
      </w:pPr>
      <w:r w:rsidRPr="00A90898">
        <w:rPr>
          <w:rStyle w:val="NumeroAFNegritaCaracter"/>
        </w:rPr>
        <w:t>2</w:t>
      </w:r>
      <w:r>
        <w:t>. Por lo que se refiere a la primera de las previsiones impugnadas, el tenor de la disposición adicional octogésima primera de la Ley 17/2012 es el que sigue:</w:t>
      </w:r>
    </w:p>
    <w:p w:rsidR="00A90898" w:rsidRDefault="00A90898" w:rsidP="00A90898">
      <w:pPr>
        <w:pStyle w:val="TextoNormal"/>
      </w:pPr>
    </w:p>
    <w:p w:rsidR="00A90898" w:rsidRDefault="00A90898" w:rsidP="00A90898">
      <w:pPr>
        <w:pStyle w:val="TextoNormal"/>
      </w:pPr>
      <w:r>
        <w:t>“Octogésima primera. Gestión de las acciones, medidas y programas establecidos en la letra h) del artículo 13 de la Ley 56/2003, de 16 de diciembre, de Empleo.</w:t>
      </w:r>
    </w:p>
    <w:p w:rsidR="00A90898" w:rsidRDefault="00A90898" w:rsidP="00A90898">
      <w:pPr>
        <w:pStyle w:val="TextoNormal"/>
      </w:pPr>
    </w:p>
    <w:p w:rsidR="00A90898" w:rsidRDefault="00A90898" w:rsidP="00A90898">
      <w:pPr>
        <w:pStyle w:val="TextoNormal"/>
      </w:pPr>
      <w:r>
        <w:t>El Servicio Público de Empleo Estatal, de conformidad con lo establecido en el artículo 13.h) de la Ley 56/2003, de 16 de diciembre, de Empleo, realizará la gestión de las acciones, medidas y programas financiados con cargo a la reserva de crédito de su presupuesto de gastos, que comprenderá las aplicaciones 19.101.000-X.400, 19.101.000-X.401, 19.101.000-X.402, 19.101.000-X.410, 19.101.000-X.411, 19.101.000-X.412, 19.101.000-X.431 y 19.101.241-A.482, desagregadas a través de varios subconceptos, según los diferentes ámbitos funcionales de las políticas activas de empleo, para financiar las siguientes actuaciones:</w:t>
      </w:r>
    </w:p>
    <w:p w:rsidR="00A90898" w:rsidRDefault="00A90898" w:rsidP="00A90898">
      <w:pPr>
        <w:pStyle w:val="TextoNormal"/>
      </w:pPr>
    </w:p>
    <w:p w:rsidR="00A90898" w:rsidRDefault="00A90898" w:rsidP="00A90898">
      <w:pPr>
        <w:pStyle w:val="TextoNormal"/>
      </w:pPr>
      <w:r>
        <w:t>a) Acciones y medidas cuya ejecución afecte a un ámbito geográfico superior al de una Comunidad Autónoma, cuando éstas exijan la movilidad geográfica de las personas desempleadas o trabajadoras participantes en las mismas a otra Comunidad Autónoma distinta a la suya, o a otro país y precisen de una coordinación unificada.</w:t>
      </w:r>
    </w:p>
    <w:p w:rsidR="00A90898" w:rsidRDefault="00A90898" w:rsidP="00A90898">
      <w:pPr>
        <w:pStyle w:val="TextoNormal"/>
      </w:pPr>
    </w:p>
    <w:p w:rsidR="00A90898" w:rsidRDefault="00A90898" w:rsidP="00A90898">
      <w:pPr>
        <w:pStyle w:val="TextoNormal"/>
      </w:pPr>
      <w:r>
        <w:t>b) Acciones y medidas dirigidas tanto a las personas demandantes de empleo como a las personas ocupadas, para la mejora de su ocupación mediante la colaboración del Servicio Público de Empleo Estatal con órganos de la Administración General del Estado o sus organismos autónomos, para la realización de acciones formativas, entre otras, aquellas que tengan como objetivo la generación de empleo de calidad y la mejora de oportunidades de las personas trabajadoras, en particular cuando se desarrollen en el marco de planes, estrategias o programas de ámbito estatal, y ejecución de obras y servicios de interés general y social relativas a competencias exclusivas del Estado.</w:t>
      </w:r>
    </w:p>
    <w:p w:rsidR="00A90898" w:rsidRDefault="00A90898" w:rsidP="00A90898">
      <w:pPr>
        <w:pStyle w:val="TextoNormal"/>
      </w:pPr>
    </w:p>
    <w:p w:rsidR="00A90898" w:rsidRDefault="00A90898" w:rsidP="00A90898">
      <w:pPr>
        <w:pStyle w:val="TextoNormal"/>
      </w:pPr>
      <w:r>
        <w:t>c) Acciones y medidas de intermediación y políticas activas de empleo cuyo objetivo sea la integración laboral de trabajadores inmigrantes, realizadas en sus países de origen, facilitando la ordenación de los flujos migratorios.</w:t>
      </w:r>
    </w:p>
    <w:p w:rsidR="00A90898" w:rsidRDefault="00A90898" w:rsidP="00A90898">
      <w:pPr>
        <w:pStyle w:val="TextoNormal"/>
      </w:pPr>
    </w:p>
    <w:p w:rsidR="00A90898" w:rsidRDefault="00A90898" w:rsidP="00A90898">
      <w:pPr>
        <w:pStyle w:val="TextoNormal"/>
      </w:pPr>
      <w:r>
        <w:lastRenderedPageBreak/>
        <w:t>d) Programas que se establezcan con carácter excepcional y duración determinada, cuya ejecución afecte a todo el territorio nacional, siendo imprescindible su gestión centralizada a los efectos de garantizar la efectividad de las mismas, así como idénticas posibilidades de obtención y disfrute a todos los potenciales beneficiarios.</w:t>
      </w:r>
    </w:p>
    <w:p w:rsidR="00A90898" w:rsidRDefault="00A90898" w:rsidP="00A90898">
      <w:pPr>
        <w:pStyle w:val="TextoNormal"/>
      </w:pPr>
    </w:p>
    <w:p w:rsidR="00A90898" w:rsidRDefault="00A90898" w:rsidP="00A90898">
      <w:pPr>
        <w:pStyle w:val="TextoNormal"/>
      </w:pPr>
      <w:r>
        <w:t>Dicha reserva presupuestaria opera como reserva de gestión de políticas activas de empleo en los supuestos anteriormente señalados en favor del Servicio Público de Empleo Estatal, no obstante las competencias asumidas por las Comunidades Autónomas en el ámbito del trabajo, el empleo y la formación.</w:t>
      </w:r>
    </w:p>
    <w:p w:rsidR="00A90898" w:rsidRDefault="00A90898" w:rsidP="00A90898">
      <w:pPr>
        <w:pStyle w:val="TextoNormal"/>
      </w:pPr>
    </w:p>
    <w:p w:rsidR="00A90898" w:rsidRDefault="00A90898" w:rsidP="00A90898">
      <w:pPr>
        <w:pStyle w:val="TextoNormal"/>
      </w:pPr>
      <w:r>
        <w:t>De acuerdo con lo previsto en el artículo 14.3 de la citada Ley 56/2003, de 16 de diciembre, los fondos que integran la reserva de crédito no estarán sujetos a distribución territorial entre las Comunidades Autónomas con competencias de gestión asumidas.”</w:t>
      </w:r>
    </w:p>
    <w:p w:rsidR="00A90898" w:rsidRDefault="00A90898" w:rsidP="00A90898">
      <w:pPr>
        <w:pStyle w:val="TextoNormal"/>
      </w:pPr>
    </w:p>
    <w:p w:rsidR="00A90898" w:rsidRDefault="00A90898" w:rsidP="00A90898">
      <w:pPr>
        <w:pStyle w:val="TextoNormal"/>
      </w:pPr>
      <w:r>
        <w:t>a) Con carácter previo al enjuiciamiento de fondo, es preciso comprobar la pervivencia del recurso respecto a esta disposición, incluida en la Ley de presupuestos generales del Estado para el año 2013 y que, como puede apreciarse, atribuye al Servicio Público de Empleo Estatal la gestión de determinadas acciones financiadas con cargo a la reserva de crédito de su presupuesto de gastos, de conformidad con lo previsto en el art. 13 h) de la Ley 56/2003, de empleo, según el cual, la reserva de crédito se dotará anualmente por la Ley de presupuestos generales del Estado.</w:t>
      </w:r>
    </w:p>
    <w:p w:rsidR="00A90898" w:rsidRDefault="00A90898" w:rsidP="00A90898">
      <w:pPr>
        <w:pStyle w:val="TextoNormal"/>
      </w:pPr>
    </w:p>
    <w:p w:rsidR="00A90898" w:rsidRDefault="00A90898" w:rsidP="00A90898">
      <w:pPr>
        <w:pStyle w:val="TextoNormal"/>
      </w:pPr>
      <w:r>
        <w:t>Al respecto hemos de tener en cuenta que, según tiene establecido este Tribunal, la pérdida de vigencia de las leyes de presupuestos “no puede sin más determinar la desaparición del objeto de los recursos de inconstitucionalidad contra ellas interpuestos, pues sería tanto como admitir que hay un ámbito normativo, estatal o autonómico, que resulta ‘inmune al control de la jurisdicción constitucional’” (por todas, STC 33/2014, de 27 de febrero, FJ 2). Además, tratándose de una impugnación de carácter competencial, ha de atenderse a que, a efectos de determinar si mantiene vivo su objeto y conforme a reiterada doctrina (por todas, SSTC 26/2013, de 31 de enero, FJ 2, y 104/2013, de 25 de abril, FJ 2), lo relevante no es tanto el agotamiento de los efectos de la concreta norma impugnada, cuanto determinar si con ese agotamiento ha cesado o no la controversia competencial, y en este caso cabe apreciar que similares previsiones a la ahora recurrida han venido reiterándose en las posteriores leyes de presupuestos generales del Estado dictadas hasta el momento (disposición adicional septuagésima de la Ley 22/2013, de 23 de diciembre; disposición adicional octogésima octava de la Ley 36/2014, de 26 de diciembre; disposición adicional nonagésima de la Ley 48/2015, de 29 de octubre). En consecuencia, ha de afirmarse la subsistencia del objeto de este proceso constitucional en cuanto a la impugnación de la disposición adicional octogésima primera de la Ley 17/2012.</w:t>
      </w:r>
    </w:p>
    <w:p w:rsidR="00A90898" w:rsidRDefault="00A90898" w:rsidP="00A90898">
      <w:pPr>
        <w:pStyle w:val="TextoNormal"/>
      </w:pPr>
    </w:p>
    <w:p w:rsidR="00A90898" w:rsidRDefault="00A90898" w:rsidP="00A90898">
      <w:pPr>
        <w:pStyle w:val="TextoNormal"/>
      </w:pPr>
      <w:r>
        <w:t xml:space="preserve">b) Esto aclarado, con relación al fondo ha de recordarse que, a juicio de la parte recurrente, el hecho de que la norma cuestionada no haya previsto la territorialización de los fondos y la transferencia a la Generalitat de Cataluña, así como que haya reservado al Servicio Público de Empleo Estatal la gestión centralizada de las medidas, acciones y programas a los que alude, sin explicitar la razón que justifica tales decisiones, determina la vulneración de las competencias sobre ejecución asumidas por la Generalitat en materia de políticas activas de empleo, de conformidad con lo previsto en el art. 170.1 b) y los apartados 4 y 5 del art. 114 del Estatuto de Autonomía de Cataluña (EAC). Además se reprocha </w:t>
      </w:r>
      <w:r>
        <w:lastRenderedPageBreak/>
        <w:t>que, aun cuando se considerara justificada la necesidad de centralizar dichas ayudas, no se ha respetado la necesaria participación de la Generalitat exigida en estos preceptos estatutarios, y en concreto, se aduce que, en la aprobación de la previsión impugnada, no consta el informe previo de la conferencia sectorial de empleo y asuntos laborales, al que hace referencia el último párrafo del art. 13 h) de la Ley 56/2003, de empleo.</w:t>
      </w:r>
    </w:p>
    <w:p w:rsidR="00A90898" w:rsidRDefault="00A90898" w:rsidP="00A90898">
      <w:pPr>
        <w:pStyle w:val="TextoNormal"/>
      </w:pPr>
    </w:p>
    <w:p w:rsidR="00A90898" w:rsidRDefault="00A90898" w:rsidP="00A90898">
      <w:pPr>
        <w:pStyle w:val="TextoNormal"/>
      </w:pPr>
      <w:r>
        <w:t>El Abogado del Estado, por el contrario, se opone a estas quejas. Además de indicar que los arts. 170 y 114 EAC recogen la posible excepción de subvenciones cuya gestión centralizada corresponde al Estado, también expone que la disposición adicional octogésima primera de la Ley 17/2012 se limita a realizar una consignación presupuestaria de reserva, pero sin atribuir competencia alguna al Estado, competencia que está regulada en el art. 13 h) de la Ley 56/2003, de empleo, de modo que la eventual vulneración denunciada sería en su caso atribuible a este último precepto —que no es objeto del presente recurso de inconstitucionalidad— o, más específicamente, a las normas que establecen la regulación concreta de cada subvención.</w:t>
      </w:r>
    </w:p>
    <w:p w:rsidR="00A90898" w:rsidRDefault="00A90898" w:rsidP="00A90898">
      <w:pPr>
        <w:pStyle w:val="TextoNormal"/>
      </w:pPr>
    </w:p>
    <w:p w:rsidR="00A90898" w:rsidRDefault="00A90898" w:rsidP="00A90898">
      <w:pPr>
        <w:pStyle w:val="TextoNormal"/>
      </w:pPr>
      <w:r>
        <w:t>Respecto a esta última alegación ha de precisarse que, más allá de referirse a la reserva de crédito y las aplicaciones que comprende, una lectura conjunta de la disposición adicional octogésima primera de la Ley 17/2012 permite apreciar que, sin perjuicio de apoyarse en los arts. 13 h) y 14.3 de la Ley 56/2003 —actualmente, arts. 18 h) y 21.4 del Real Decreto Legislativo 3/2015, por el que se aprueba el texto refundido de la Ley de empleo—, la norma controvertida atribuye al Servicio Público de Empleo Estatal la gestión de las acciones, medidas y programas a que hace referencia, indicando expresamente que los fondos que integran la reserva de crédito no quedan sujetos a distribución territorial entre las Comunidades Autónomas. Por tanto, con independencia del carácter más o menos novedoso de estas previsiones de la Ley 17/2012, ha de entenderse que las quejas formuladas por la parte recurrente encuentran directa relación con el contenido de la disposición adicional octogésima primera cuestionada en el presente recurso de inconstitucionalidad. Consiguientemente, procede abordar su resolución.</w:t>
      </w:r>
    </w:p>
    <w:p w:rsidR="00A90898" w:rsidRDefault="00A90898" w:rsidP="00A90898">
      <w:pPr>
        <w:pStyle w:val="TextoNormal"/>
      </w:pPr>
    </w:p>
    <w:p w:rsidR="00A90898" w:rsidRDefault="00A90898" w:rsidP="00A90898">
      <w:pPr>
        <w:pStyle w:val="TextoNormal"/>
      </w:pPr>
      <w:r>
        <w:t>c) Para dar respuesta a la impugnación planteada, resulta necesario determinar el encuadramiento competencial de la previsión que nos ocupa. Al respecto hemos de indicar que el contenido de la disposición recurrida permite enmarcarla en el ámbito de la materia de empleo, debiendo remitirnos en cuanto a la distribución competencial en este terreno a lo dicho en la STC 22/2014, de 13 de febrero. Entre otras, en esta Sentencia se resolvió la impugnación de determinados apartados del art. 13 e) de la Ley 56/2003, que, aun con modificaciones en la redacción, resulta parcialmente asimilable al posterior art. 13 h) de la misma Ley 56/2003, en que se apoya la disposición ahora controvertida.</w:t>
      </w:r>
    </w:p>
    <w:p w:rsidR="00A90898" w:rsidRDefault="00A90898" w:rsidP="00A90898">
      <w:pPr>
        <w:pStyle w:val="TextoNormal"/>
      </w:pPr>
    </w:p>
    <w:p w:rsidR="00A90898" w:rsidRDefault="00A90898" w:rsidP="00A90898">
      <w:pPr>
        <w:pStyle w:val="TextoNormal"/>
      </w:pPr>
      <w:r>
        <w:t xml:space="preserve">Concretamente, siguiendo lo dicho en el fundamento jurídico 4 de la referida STC 22/2014, por un lado ha de ponerse de relieve la conexión del empleo con la materia laboral, ámbito en el que, conforme al art. 149.1.7 CE, el Estado tiene la competencia exclusiva sobre la legislación laboral, sin perjuicio de su ejecución por los órganos de las Comunidades Autónomas. Ahora bien, como entonces se indicó, de acuerdo con la jurisprudencia constitucional sobre este título competencial ha de darse al adjetivo “laboral” un sentido concreto y restringido, “como referido sólo al trabajo por cuenta ajena, entendiendo por consiguiente como legislación laboral aquella que regula directamente la relación laboral, es decir, para recoger los términos de la Ley 8/1980, de 10 de marzo, la relación que media </w:t>
      </w:r>
      <w:r>
        <w:lastRenderedPageBreak/>
        <w:t>entre los trabajadores que presten servicios retribuidos por cuenta ajena y los empresarios, en favor de los que y bajo la dirección de quienes se prestan estos servicios, con las exclusiones y excepciones que en dicha Ley (art. 1.3) se indican. (STC 35/1982, de 14 de junio, FJ 2)”.</w:t>
      </w:r>
    </w:p>
    <w:p w:rsidR="00A90898" w:rsidRDefault="00A90898" w:rsidP="00A90898">
      <w:pPr>
        <w:pStyle w:val="TextoNormal"/>
      </w:pPr>
    </w:p>
    <w:p w:rsidR="00A90898" w:rsidRDefault="00A90898" w:rsidP="00A90898">
      <w:pPr>
        <w:pStyle w:val="TextoNormal"/>
      </w:pPr>
      <w:r>
        <w:t xml:space="preserve">Por otro lado, y conforme remarcó la STC 22/2014, FJ 4, este Tribunal ha considerado que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 40.1 </w:t>
      </w:r>
      <w:r w:rsidRPr="00A90898">
        <w:rPr>
          <w:i/>
        </w:rPr>
        <w:t>in fine</w:t>
      </w:r>
      <w:r>
        <w:t xml:space="preserve"> CE, y que tienen tras de sí el respaldo competencial del art. 149.1.13 CE, que atribuye al Estado la competencia exclusiva sobre bases y coordinación de la planificación general de la actividad económica” (STC 95/2002, de 25 de abril, FJ 11). En consecuencia, y como allí se indicó, el Estado ostenta, al amparo de su competencia sobre las bases y coordinación de la planificación general de la actividad económica (art. 149.1.13 CE), la facultad de adoptar medidas en materia de fomento del empleo que, en tanto no incidan en la regulación de la relación laboral, constituyen una materia distinta de la propiamente laboral a la que se refiere el art. 149.1.7 CE.</w:t>
      </w:r>
    </w:p>
    <w:p w:rsidR="00A90898" w:rsidRDefault="00A90898" w:rsidP="00A90898">
      <w:pPr>
        <w:pStyle w:val="TextoNormal"/>
      </w:pPr>
    </w:p>
    <w:p w:rsidR="00A90898" w:rsidRDefault="00A90898" w:rsidP="00A90898">
      <w:pPr>
        <w:pStyle w:val="TextoNormal"/>
      </w:pPr>
      <w:r>
        <w:t>Por su parte, y reiterando lo también expuesto en la STC 22/2014, FJ 4, “[l]a Generalitat de Cataluña ostenta competencia ejecutiva en materia de trabajo y relaciones laborales (art. 170.1 EAC) con el alcance que a dicha competencia atribuimos en la STC 31/2010, de 28 de junio (en especial, FFJJ 61 y 106); y es titular, asimismo de la competencia para la promoción de la actividad económica en Cataluña; la competencia compartida sobre la ordenación de la actividad económica en Cataluña y la competencia de desarrollo y gestión de la planificación general de la actividad económica (art. 152.1, 2 y 4 EAC)”.</w:t>
      </w:r>
    </w:p>
    <w:p w:rsidR="00A90898" w:rsidRDefault="00A90898" w:rsidP="00A90898">
      <w:pPr>
        <w:pStyle w:val="TextoNormal"/>
      </w:pPr>
    </w:p>
    <w:p w:rsidR="00A90898" w:rsidRDefault="00A90898" w:rsidP="00A90898">
      <w:pPr>
        <w:pStyle w:val="TextoNormal"/>
      </w:pPr>
      <w:r>
        <w:t>En definitiva, este marco competencial expuesto determinará, con carácter general, el análisis de la impugnación formulada frente a la disposición adicional octogésima primera de la Ley 17/2012, sin perjuicio de que, respecto a alguno de sus contenidos normativos, se incorpore alguna precisión específica.</w:t>
      </w:r>
    </w:p>
    <w:p w:rsidR="00A90898" w:rsidRDefault="00A90898" w:rsidP="00A90898">
      <w:pPr>
        <w:pStyle w:val="TextoNormal"/>
      </w:pPr>
    </w:p>
    <w:p w:rsidR="00A90898" w:rsidRDefault="00A90898" w:rsidP="00A90898">
      <w:pPr>
        <w:pStyle w:val="TextoNormal"/>
      </w:pPr>
      <w:r>
        <w:t>d) Para argumentar la alegada vulneración de la competencia ejecutiva de la Generalitat de Cataluña en la materia, una primera queja dirigida por la parte recurrente contra la disposición recurrida es la ausencia de justificación respecto a la decisión del legislador estatal de atribuir al Servicio Público de Empleo Estatal la gestión centralizada de las medidas, acciones y programas indicados, financiados con fondos presupuestarios no territorializables.</w:t>
      </w:r>
    </w:p>
    <w:p w:rsidR="00A90898" w:rsidRDefault="00A90898" w:rsidP="00A90898">
      <w:pPr>
        <w:pStyle w:val="TextoNormal"/>
      </w:pPr>
    </w:p>
    <w:p w:rsidR="00A90898" w:rsidRDefault="00A90898" w:rsidP="00A90898">
      <w:pPr>
        <w:pStyle w:val="TextoNormal"/>
      </w:pPr>
      <w:r>
        <w:t xml:space="preserve">Con relación a esta alegación, y como ya expusimos en la STC 22/2014, ha de tenerse en cuenta que “el Estado no puede ignorar que la competencia, tanto para la ejecución de la legislación laboral (art. 149.1.7 CE), como para la ejecución de las normas dictadas en virtud de la competencia estatal sobre las bases y coordinación de la planificación general de la actividad económica (art. 149.1.13 CE) corresponde, en principio, a las Comunidades Autónomas, sin que en el ejercicio de su competencia normativa pueda el Estado desapoderar a las mismas de las competencias estatutariamente asumidas” (FJ 7). Asimismo, igual que también advertimos en la citada Sentencia, también aquí cabe señalar que, entre otros aspectos, en la presente controversia “se plantean cuestiones relacionadas con la territorialidad </w:t>
      </w:r>
      <w:r>
        <w:lastRenderedPageBreak/>
        <w:t>de las competencias ejecutivas autonómicas, así como con la correlativa utilización de la supraterritorialidad como criterio de atribución de competencias ejecutivas al Estado, por lo que, siguiendo los postulados señalados en nuestra doctrina, ‘debe recordarse que el principio de territorialidad de las competencias autonómicas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más de una Comunidad Autónoma, éstas pierdan en todo caso y de forma automática la competencia, y que la titularidad de la misma deba trasladarse necesariamente al Estado; semejante traslado de la titularidad, que ha de ser excepcional, sólo puede producirse cuando ‘no quepa establecer ningún punto de conexión que permita el ejercicio de las competencias autonómicas o cuando además del carácter suprautonómico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y STC 194/2004, de 4 de noviembre, FJ 7)’ [STC 244/2012, de 18 de diciembre, FJ 7]” (FJ 7).</w:t>
      </w:r>
    </w:p>
    <w:p w:rsidR="00A90898" w:rsidRDefault="00A90898" w:rsidP="00A90898">
      <w:pPr>
        <w:pStyle w:val="TextoNormal"/>
      </w:pPr>
    </w:p>
    <w:p w:rsidR="00A90898" w:rsidRDefault="00A90898" w:rsidP="00A90898">
      <w:pPr>
        <w:pStyle w:val="TextoNormal"/>
      </w:pPr>
      <w:r>
        <w:t>Asimismo, según consolidada jurisprudencia constitucional, cabe también hacer referencia a la existencia de supuestos en que, no obstante tener competencias, incluso exclusivas, las Comunidades Autónomas sobre la materia en que recaen las subvenciones o ayudas públicas, éstas pueden ser gestionadas, excepcionalmente, por un órgano de la Administración del Estado u organismo de ésta dependiente, con la consiguiente consignación centralizada de las partidas presupuestarias en los presupuestos generales del Estado, si bien,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de 6 de febrero, FJ 8 d); o STC 244/2012, de 18 de diciembre, FJ 7).</w:t>
      </w:r>
    </w:p>
    <w:p w:rsidR="00A90898" w:rsidRDefault="00A90898" w:rsidP="00A90898">
      <w:pPr>
        <w:pStyle w:val="TextoNormal"/>
      </w:pPr>
    </w:p>
    <w:p w:rsidR="00A90898" w:rsidRDefault="00A90898" w:rsidP="00A90898">
      <w:pPr>
        <w:pStyle w:val="TextoNormal"/>
      </w:pPr>
      <w:r>
        <w:t>A partir, pues, de los presupuestos señalados, procede examinar respecto a cada una de las actuaciones indicadas en la disposición adicional octogésima primera de la Ley 17/2012 si la decisión legislativa de establecer su gestión centralizada y la consiguiente no territorialización de los fondos destinados a su financiación resulta o no respetuosa con la competencia ejecutiva de la Generalitat de Cataluña en la materia.</w:t>
      </w:r>
    </w:p>
    <w:p w:rsidR="00A90898" w:rsidRDefault="00A90898" w:rsidP="00A90898">
      <w:pPr>
        <w:pStyle w:val="TextoNormal"/>
      </w:pPr>
    </w:p>
    <w:p w:rsidR="00A90898" w:rsidRDefault="00A90898" w:rsidP="00A90898">
      <w:pPr>
        <w:pStyle w:val="TextoNormal"/>
      </w:pPr>
      <w:r>
        <w:t xml:space="preserve">En primer lugar, por lo que se refiere al supuesto previsto en la letra a) —acciones y medidas cuya ejecución afecte a un ámbito geográfico supraautonómico, cuando exijan movilidad geográfica a otra Comunidad Autónoma o país y precisen de coordinación unificada—, ha de tenerse en cuenta que, en relación con análoga previsión establecida entonces </w:t>
      </w:r>
      <w:r>
        <w:lastRenderedPageBreak/>
        <w:t>en el art. 13 e) de la Ley 56/2003, la aludida STC 22/2014 ya se pronunció sobre la adecuación al reparto constitucional de competencias de la gestión estatal contemplada en dicho precepto. En concreto, en esta Sentencia se afirmó que “la invasión denunciada por la parte recurrente no puede, en ningún caso, ser directamente atribuible al precepto legal impugnado que, precisamente, exige para que se pueda producir la gestión centralizada la concurrencia de tres requisitos: en primer lugar, que afecte a un ámbito geográfico superior al de una Comunidad Autónoma; en segundo lugar, que exijan la movilidad geográfica de los desempleados o trabajadores participantes en los mismos a otra Comunidad Autónoma distinta a la suya y, finalmente, que precisen de una coordinación unificada, entendiendo ésta como la necesidad de que esos programas deban ser gestionados por el Estado por encontrarnos en uno de los supuestos excepcionales que de acuerdo con nuestra doctrina permitirían la asunción de competencias ejecutivas por el Estado. La reserva de la función ejecutiva al Estado se prevé, por tanto, no con carácter general sino de modo puntual: únicamente cuando se demuestre la necesidad de una coordinación unificada. Necesidad que sólo se podrá apreciar si concurre o no a la luz de las disposiciones que reglamenten y desarrollen los concretos programas. Corresponderá, así, al Estado, al establecer las bases de aquellos fijar y justificar la necesidad de realizar una centralización de la gestión, por concurrir además del carácter supraautonómico del fenómeno objeto de la competencia, el que no sea posible el fraccionamiento de la actividad pública ejercida sobre él y requerirse un grado de homogeneidad que sólo puede garantizar su atribución a un único titular, el Estado” (FJ 7). Tales consideraciones resultan trasladables al supuesto de la letra a) ahora enjuiciado, debiendo, por tanto, rechazar el reproche de inconstitucionalidad dirigido frente al mismo, sin perjuicio, como se ha dicho, de la valoración que pudiera merecer el eventual enjuiciamiento constitucional de las normas que concreten las acciones y medidas enunciadas, tal y como venimos realizando en supuestos análogos (STC 88/2014, de 9 de junio, FJ 6, y STC 178/2015, de 7 de septiembre, FFJJ 6 y ss.).</w:t>
      </w:r>
    </w:p>
    <w:p w:rsidR="00A90898" w:rsidRDefault="00A90898" w:rsidP="00A90898">
      <w:pPr>
        <w:pStyle w:val="TextoNormal"/>
      </w:pPr>
    </w:p>
    <w:p w:rsidR="00A90898" w:rsidRDefault="00A90898" w:rsidP="00A90898">
      <w:pPr>
        <w:pStyle w:val="TextoNormal"/>
      </w:pPr>
      <w:r>
        <w:t>En segundo término, procede pronunciarse respecto al supuesto previsto en la letra b) —acciones y medidas para la mejora de la ocupación mediante colaboración del Servicio Público de Empleo Estatal con órganos de la Administración general del Estado o sus organismos autónomos, para realizar acciones formativas (con cita específica de algunas de las posibles) y ejecución de obras y servicios de interés general y social relativas a competencias exclusivas del Estado—. Al respecto, ha de señalarse que, también a propósito de una previsión asimilable entonces contenida en el art. 13 e) de la Ley 56/2003, la ya citada STC 22/2014 declaró que “[e]l apartado impugnado condiciona la gestión centralizada de los programas, a que los mismos se desarrollen en el ámbito del ejercicio de las competencias exclusivas del Estado; y a ello se une que, la finalidad de estos programas no es únicamente la formación o empleabilidad sino también simultáneamente la realización de actividades que contribuyan al ejercicio de las competencias exclusivas del Estado por medio de la ejecución de obras y servicios. No se trataría por tanto, sólo, del ejercicio de una competencia de ejecución en materia de formación, que correspondería, en principio a las Comunidades Autónomas, sino del ejercicio mismo de las competencias exclusivas del Estado a través de determinados programas de ámbito supraautonómico. Y es precisamente esa doble finalidad que cumplen estos programas, la que justifica excepcionalmente la gestión centralizada de los mismos” (FJ 7). La aplicación de estas mismas consideraciones lleva, pues, a que tampoco en este caso haya de acogerse la queja formulada frente a la norma ahora impugnada, en lo relativo al supuesto previsto en su letra b).</w:t>
      </w:r>
    </w:p>
    <w:p w:rsidR="00A90898" w:rsidRDefault="00A90898" w:rsidP="00A90898">
      <w:pPr>
        <w:pStyle w:val="TextoNormal"/>
      </w:pPr>
    </w:p>
    <w:p w:rsidR="00A90898" w:rsidRDefault="00A90898" w:rsidP="00A90898">
      <w:pPr>
        <w:pStyle w:val="TextoNormal"/>
      </w:pPr>
      <w:r>
        <w:lastRenderedPageBreak/>
        <w:t xml:space="preserve">En tercer lugar, corresponde abordar la adecuación constitucional del supuesto contemplado en la letra c) —acciones y medidas de intermediación y políticas activas de empleo cuyo objetivo sea la integración laboral de trabajadores inmigrantes, realizadas en sus países de origen, facilitando la ordenación de los flujos migratorios—. Respecto a esta previsión hay que empezar señalando que, si bien este Tribunal ha declarado que “la evolución del fenómeno inmigratorio en España impide configurar la competencia estatal </w:t>
      </w:r>
      <w:r w:rsidRPr="00A90898">
        <w:rPr>
          <w:i/>
        </w:rPr>
        <w:t>ex</w:t>
      </w:r>
      <w:r>
        <w:t xml:space="preserve"> art. 149.1.2 CE como un título horizontal de alcance ilimitado que enerve los títulos competenciales de las Comunidades Autónomas de carácter sectorial con evidente incidencia en la población migratoria”, también ha considerado evidente que “la competencia en materia de entrada y residencia de extranjeros se inscribe en el ámbito de la inmigración y la extranjería, terreno en el que … sólo cabe la competencia exclusiva del Estado” (STC 31/2010, de 28 de junio, FJ 83). Pues bien, en este caso, a diferencia de algún otro examinado por este Tribunal (STC 154/2013, de 10 de septiembre, sobre subvenciones para la habilitación de plazas de alojamiento a trabajadores migrantes ya contratados, que se encuadró en la materia de asistencia social), la previsión cuestionada se refiere a acciones y medidas de intermediación y políticas activas de empleo, que se realizan en los países de origen de los extranjeros a quienes se dirigen y cuyo objetivo es lograr la integración de los inmigrantes en el mercado laboral nacional, al objeto de facilitar la ordenación de los flujos migratorios, aspecto este que puede considerarse incardinado en la competencia estatal </w:t>
      </w:r>
      <w:r w:rsidRPr="00A90898">
        <w:rPr>
          <w:i/>
        </w:rPr>
        <w:t>ex</w:t>
      </w:r>
      <w:r>
        <w:t xml:space="preserve"> art. 149.1.2 CE. Así pues, siendo estos los caracteres y fines de las actuaciones gestionadas, cabe entender que nos encontramos ante medidas que inciden directamente en la ordenación de la entrada de inmigrantes en nuestro país, pudiendo incluirse entre las acciones que, como se dijo en la STC 95/2002, de 25 de abril, están dirigidas a “favorecer la colocación de trabajadores en los casos de desplazamientos de éstos (materia de competencia exclusiva del Estado en el caso de las migraciones exteriores, art. 149.1.2 CE)” (FJ 11). Por tanto, delimitado y encuadrado así el supuesto previsto en la letra c) de la norma cuestionada, no merece tacha de inconstitucionalidad la atribución de la gestión al Servicio Público de Empleo Estatal.</w:t>
      </w:r>
    </w:p>
    <w:p w:rsidR="00A90898" w:rsidRDefault="00A90898" w:rsidP="00A90898">
      <w:pPr>
        <w:pStyle w:val="TextoNormal"/>
      </w:pPr>
    </w:p>
    <w:p w:rsidR="00A90898" w:rsidRDefault="00A90898" w:rsidP="00A90898">
      <w:pPr>
        <w:pStyle w:val="TextoNormal"/>
      </w:pPr>
      <w:r>
        <w:t>Por último, procede examinar el supuesto contemplado en la letra d) de la disposición controvertida —programas de carácter excepcional y duración determinada, cuya ejecución afecte a todo el territorio nacional, siendo imprescindible su gestión centralizada a los efectos de garantizar su efectividad e idénticas posibilidades de obtención y disfrute a todos los potenciales beneficiarios—. Igual que hemos dicho respecto al supuesto previsto en la letra a), tampoco en este caso puede atribuirse directamente la invasión competencial denunciada a la previsión examinada, referida a programas en los que, junto a la afectación a todo el territorio nacional, se exige la concurrencia de circunstancias requeridas por la doctrina constitucional para admitir la gestión centralizada de ayudas públicas por un órgano estatal: en concreto, que resulte imprescindible para asegurar la plena efectividad de las medidas y para garantizar las mismas posibilidades de obtención y disfrute por parte de sus potenciales destinatarios en todo el territorio nacional (SSTC 13/1992, FFJJ 7, 8, 12, 13, y 188/2001, de 20 de septiembre, FJ 7). En su caso, la concurrencia de tales circunstancias habría de valorarse en las normas que reglamenten y desarrollen los programas a que se refiere la previsión impugnada, en las que el Estado habría de fijar y justificar la necesidad de realizar una gestión centralizada. La previsión contenida en la letra d) de la disposición recurrida no contiene, por tanto, una vulneración actual y efectiva de la competencia autonómica, y en consecuencia, también respecto a este supuesto ha de rechazarse la queja planteada.</w:t>
      </w:r>
    </w:p>
    <w:p w:rsidR="00A90898" w:rsidRDefault="00A90898" w:rsidP="00A90898">
      <w:pPr>
        <w:pStyle w:val="TextoNormal"/>
      </w:pPr>
    </w:p>
    <w:p w:rsidR="00A90898" w:rsidRDefault="00A90898" w:rsidP="00A90898">
      <w:pPr>
        <w:pStyle w:val="TextoNormal"/>
      </w:pPr>
      <w:r>
        <w:lastRenderedPageBreak/>
        <w:t>Las consideraciones previas llevan, pues, a no acoger la principal alegación formulada en el escrito de recurso frente a la disposición impugnada.</w:t>
      </w:r>
    </w:p>
    <w:p w:rsidR="00A90898" w:rsidRDefault="00A90898" w:rsidP="00A90898">
      <w:pPr>
        <w:pStyle w:val="TextoNormal"/>
      </w:pPr>
    </w:p>
    <w:p w:rsidR="00A90898" w:rsidRDefault="00A90898" w:rsidP="00A90898">
      <w:pPr>
        <w:pStyle w:val="TextoNormal"/>
      </w:pPr>
      <w:r>
        <w:t>e) Como argumento adicional, ya antes se ha dicho que la parte recurrente también aduce que, en la aprobación de la disposición adicional octogésima primera de la Ley 17/2012, se ha prescindido de la participación de la Generalitat, y en particular, se hace alusión a la ausencia del informe previo de la conferencia sectorial de empleo y asuntos laborales, al que se refiere el último párrafo del art. 13 h) de la Ley 56/2003, de empleo. Respecto a esta última previsión ha de partirse de que, al regular la gestión por el Servicio público de empleo estatal de las acciones y medidas financiadas con cargo a la reserva de crédito establecida en su presupuesto de gastos, el indicado art. 13 h) de la Ley 56/2003 —en el que se apoya la disposición aquí recurrida— también preveía que “[l]a reserva de crédito a que hace referencia este párrafo se dotará anualmente, previo informe de la Conferencia Sectorial de Empleo y Asuntos Laborales, por la Ley de Presupuestos Generales del Estado” [actualmente, art. 18 h) del Real Decreto Legislativo 3/2015].</w:t>
      </w:r>
    </w:p>
    <w:p w:rsidR="00A90898" w:rsidRDefault="00A90898" w:rsidP="00A90898">
      <w:pPr>
        <w:pStyle w:val="TextoNormal"/>
      </w:pPr>
    </w:p>
    <w:p w:rsidR="00A90898" w:rsidRDefault="00A90898" w:rsidP="00A90898">
      <w:pPr>
        <w:pStyle w:val="TextoNormal"/>
      </w:pPr>
      <w:r>
        <w:t>Con relación a esta alegación ha de empezar por señalarse que, conforme aduce el escrito de recurso, el art. 114.5 EAC dispone que, además de participar en los términos que fije el Estado en su gestión y tramitación, la Generalitat participa en la determinación del carácter no territorializable de las subvenciones estatales. Pues bien, centrada la queja en la no participación de la Generalitat en la decisión de no territorializar los fondos, es necesario recordar que, al examinar la referida norma estatutaria, la STC 31/2010, de 28 de junio, ya advirtió que “[l]a Generalitat,…, según el propio precepto impugnado, no determina el carácter de la subvención, sino que sólo participa en un proceso decisorio privativo del Estado, único competente para establecer los casos y los modos en que dicha participación haya de verificarse, atendida la doctrina constitucional establecida sobre el particular desde la STC 13/1992, de 6 de febrero” (FJ 62).</w:t>
      </w:r>
    </w:p>
    <w:p w:rsidR="00A90898" w:rsidRDefault="00A90898" w:rsidP="00A90898">
      <w:pPr>
        <w:pStyle w:val="TextoNormal"/>
      </w:pPr>
    </w:p>
    <w:p w:rsidR="00A90898" w:rsidRDefault="00A90898" w:rsidP="00A90898">
      <w:pPr>
        <w:pStyle w:val="TextoNormal"/>
      </w:pPr>
      <w:r>
        <w:t>Por lo que se refiere a la materia sobre la que versa la impugnación, interesa señalar que, en el momento de aprobarse la norma controvertida, el art. 14.3 de la Ley 56/2003 ya preveía como no sujeta a distribución la reserva de crédito destinada a la gestión por el Servicio Público de Empleo Estatal de las acciones y medidas señaladas en el artículo 13 h), que eran idénticas a las incluidas en la cuestionada disposición adicional octogésima primera de la Ley 17/2012, de ahí también que en esta última disposición se aluda a que los fondos que integran la reserva de crédito no estarán sujetos a distribución territorial “de acuerdo con lo previsto en el artículo 14.3 de la citada Ley 56/2003”. En esta materia, por tanto, la previsión de no sujeción a distribución de los fondos relativos a las acciones y medidas indicadas venía directamente establecida por una norma estatal anterior a la recurrida —el referido art. 14.3 de la Ley 56/2003—, que no preveía más trámites al respecto, siendo importante remarcar que la exigencia de previo informe de la conferencia sectorial de empleo y asuntos laborales requerido por el art. 13 h) de la Ley 56/2003 se refería estrictamente a la dotación anual de la reserva de crédito.</w:t>
      </w:r>
    </w:p>
    <w:p w:rsidR="00A90898" w:rsidRDefault="00A90898" w:rsidP="00A90898">
      <w:pPr>
        <w:pStyle w:val="TextoNormal"/>
      </w:pPr>
    </w:p>
    <w:p w:rsidR="00A90898" w:rsidRDefault="00A90898" w:rsidP="00A90898">
      <w:pPr>
        <w:pStyle w:val="TextoNormal"/>
      </w:pPr>
      <w:r>
        <w:t xml:space="preserve">Hecha esta aclaración, y por lo que se refiere a esta última exigencia, los Abogados de la Generalitat alegan la inobservancia de dicho trámite en la aprobación de la disposición adicional octogésima primera de la Ley 17/2012, indicando no tener constancia de la emisión del referido informe ni de que se haya sometido a la conferencia sectorial de empleo y asuntos laborales la propuesta de asignación de recursos para las acciones referidas en la ley de </w:t>
      </w:r>
      <w:r>
        <w:lastRenderedPageBreak/>
        <w:t>presupuestos —en particular, se señala que en la última reunión de la conferencia sectorial realizada el 17 de julio de 2012 no se aportó información sobre la previsión—. Estas afirmaciones de la parte recurrente no se acompañan, sin embargo, de la debida acreditación, lo que, ya de por sí, impide un pronunciamiento de este Tribunal al respecto, al no ser nuestra función buscar dicha prueba (STC 136/2011, de 13 de septiembre, FJ 10, respecto a la eventual inobservancia de un acto de trámite en un procedimiento parlamentario). En cualquier caso, con relación a esa hipotética omisión del informe de la conferencia sectorial de empleo y asuntos laborales, habría de tenerse en cuenta que la emisión del indicado informe no constituye una previsión explícita del Estatuto de Autonomía de Cataluña, sino de la Ley 56/2003, diferenciándose así el supuesto de aquellos en que este Tribunal ha apreciado la existencia de vicio de inconstitucionalidad en la aprobación de normas legales por no respetarse el trámite de informe requerido por disposiciones integrantes del bloque de constitucionalidad (por todas, STC 13/2015, de 5 de febrero, FJ 5; y respecto a la diferencia indicada, STC 237/2012, de 13 de diciembre, FJ 8).</w:t>
      </w:r>
    </w:p>
    <w:p w:rsidR="00A90898" w:rsidRDefault="00A90898" w:rsidP="00A90898">
      <w:pPr>
        <w:pStyle w:val="TextoNormal"/>
      </w:pPr>
    </w:p>
    <w:p w:rsidR="00A90898" w:rsidRDefault="00A90898" w:rsidP="00A90898">
      <w:pPr>
        <w:pStyle w:val="TextoNormal"/>
      </w:pPr>
      <w:r>
        <w:t>Tampoco, pues, es posible acoger esta denuncia adicional formulada por la parte recurrente.</w:t>
      </w:r>
    </w:p>
    <w:p w:rsidR="00A90898" w:rsidRDefault="00A90898" w:rsidP="00A90898">
      <w:pPr>
        <w:pStyle w:val="TextoNormal"/>
      </w:pPr>
    </w:p>
    <w:p w:rsidR="00A90898" w:rsidRDefault="00A90898" w:rsidP="00A90898">
      <w:pPr>
        <w:pStyle w:val="TextoNormal"/>
      </w:pPr>
      <w:r>
        <w:t>f) En definitiva, las anteriores conclusiones alcanzadas conducen a desestimar la impugnación referida a la disposición adicional octogésima primera de la Ley 17/2012.</w:t>
      </w:r>
    </w:p>
    <w:p w:rsidR="00A90898" w:rsidRDefault="00A90898" w:rsidP="00A90898">
      <w:pPr>
        <w:pStyle w:val="TextoNormal"/>
      </w:pPr>
    </w:p>
    <w:p w:rsidR="00A90898" w:rsidRDefault="00A90898" w:rsidP="00A90898">
      <w:pPr>
        <w:pStyle w:val="TextoNormal"/>
      </w:pPr>
      <w:r w:rsidRPr="00A90898">
        <w:rPr>
          <w:rStyle w:val="NumeroAFNegritaCaracter"/>
        </w:rPr>
        <w:t>3</w:t>
      </w:r>
      <w:r>
        <w:t>. La segunda de las previsiones recurridas en el presente recurso es la disposición adicional octogésima cuarta de la Ley 17/2012, cuyo tenor es el siguiente:</w:t>
      </w:r>
    </w:p>
    <w:p w:rsidR="00A90898" w:rsidRDefault="00A90898" w:rsidP="00A90898">
      <w:pPr>
        <w:pStyle w:val="TextoNormal"/>
      </w:pPr>
    </w:p>
    <w:p w:rsidR="00A90898" w:rsidRDefault="00A90898" w:rsidP="00A90898">
      <w:pPr>
        <w:pStyle w:val="TextoNormal"/>
      </w:pPr>
      <w:r>
        <w:t>“Durante 2013 se suspende la aplicación del artículo 7.2, del artículo 8.2.a), del artículo 10, del artículo 32.3, párrafo primero, y de la disposición transitoria primera de la Ley 39/2006, de 14 de diciembre, de Promoción de la Autonomía Personal y Atención a las personas en situación de dependencia.”</w:t>
      </w:r>
    </w:p>
    <w:p w:rsidR="00A90898" w:rsidRDefault="00A90898" w:rsidP="00A90898">
      <w:pPr>
        <w:pStyle w:val="TextoNormal"/>
      </w:pPr>
    </w:p>
    <w:p w:rsidR="00A90898" w:rsidRDefault="00A90898" w:rsidP="00A90898">
      <w:pPr>
        <w:pStyle w:val="TextoNormal"/>
      </w:pPr>
      <w:r>
        <w:t>Para la parte recurrente, tal suspensión de preceptos reguladores del nivel de protección acordado previsto en la Ley 39/2006 conlleva el efecto de que el Estado deja de aportar fondos para financiar dicho nivel concertado, lo que, a su juicio, supone imponer a las Comunidades Autónomas el deber de aportar sus propios recursos para dotar las prestaciones definidas por esta ley estatal, con el condicionamiento de sus propios fondos para poder percibir los correspondientes al nivel mínimo de protección financiado por el Estado. A su entender, la norma resulta contraria a la lealtad constitucional debida a las Administraciones autonómicas con las que se había convenido la implementación del sistema y asimismo atenta a la autonomía financiera de la Generalitat de Cataluña, en los términos que resultan del art. 156 CE y arts. 3.1, 201, 202 y 211 EAC; de igual modo se reprocha que la previsión impugnada vulnera la competencia de la Generalitat de Cataluña sobre servicios sociales reconocida en el art. 166 EAC, considerando que ni el art. 149.1.1 CE ni el art. 149.1.13 CE proporcionan legítima cobertura a la previsión impugnada. Tales denuncias son rechazadas por el Abogado del Estado.</w:t>
      </w:r>
    </w:p>
    <w:p w:rsidR="00A90898" w:rsidRDefault="00A90898" w:rsidP="00A90898">
      <w:pPr>
        <w:pStyle w:val="TextoNormal"/>
      </w:pPr>
    </w:p>
    <w:p w:rsidR="00A90898" w:rsidRDefault="00A90898" w:rsidP="00A90898">
      <w:pPr>
        <w:pStyle w:val="TextoNormal"/>
      </w:pPr>
      <w:r>
        <w:t xml:space="preserve">Respecto a esta impugnación ha de advertirse que la previsión recurrida tiene el mismo contenido que la disposición adicional cuadragésima de la Ley 2/2012, de 29 de junio, de presupuestos generales del Estado para el año 2012, con el único matiz de que esta disposición preveía la suspensión durante el año 2012 y la ahora recurrida lo hace durante el año </w:t>
      </w:r>
      <w:r>
        <w:lastRenderedPageBreak/>
        <w:t>2013. Pues bien, aduciendo las mismas quejas, la indicada disposición adicional cuadragésima de la Ley 2/2012 fue también objeto de impugnación por el Gobierno de Cataluña en el recurso de inconstitucionalidad núm. 1743-2013, que ha sido resuelto mediante STC 99/2016, de 25 de mayo, en la que se desestiman las vulneraciones denunciadas respecto a esta previsión. Por ello, en la medida en que en el presente recurso se aducen idénticos argumentos y se plantean las mismas cuestiones que en el resuelto en la citada STC 99/2016, procede remitirse a lo en ella afirmado, tanto en relación con la declaración de pervivencia del objeto de la controversia planteada [FJ 2 a)] y el alcance de la norma recurrida dentro del modelo diseñado por la Ley 39/2006 [FJ 3 a)], como también respecto a las conclusiones y razonamientos allí expuestos, que, siendo aplicables en su integridad, se reiteran ahora en síntesis (FFJJ 4 y 5).</w:t>
      </w:r>
    </w:p>
    <w:p w:rsidR="00A90898" w:rsidRDefault="00A90898" w:rsidP="00A90898">
      <w:pPr>
        <w:pStyle w:val="TextoNormal"/>
      </w:pPr>
    </w:p>
    <w:p w:rsidR="00A90898" w:rsidRDefault="00A90898" w:rsidP="00A90898">
      <w:pPr>
        <w:pStyle w:val="TextoNormal"/>
      </w:pPr>
      <w:r>
        <w:t>a) Así, en relación con el encuadramiento competencial de la previsión cuestionada, con apoyo en la STC 18/2016, FJ 7 b), hemos de reiterar que “la Ley 39/2006 encaja materialmente en el ámbito de la ‘asistencia social’, lo que nos lleva a descartar la aplicación de los títulos competenciales de los arts. 149.1.13 y 17 CE… y a encuadrar la regulación estatal en el art. 149.1.1 CE… Así pues, es a la delimitación de competencias en materia de asistencia social en relación con dicho título competencial estatal [STC 18/2016, FJ 7 b)] a la que debemos atenernos en la resolución de la controversia planteada (en el mismo sentido, STC 36/2016, de 3 de marzo, FJ 2)” (STC 99/2016, FJ 4).</w:t>
      </w:r>
    </w:p>
    <w:p w:rsidR="00A90898" w:rsidRDefault="00A90898" w:rsidP="00A90898">
      <w:pPr>
        <w:pStyle w:val="TextoNormal"/>
      </w:pPr>
    </w:p>
    <w:p w:rsidR="00A90898" w:rsidRDefault="00A90898" w:rsidP="00A90898">
      <w:pPr>
        <w:pStyle w:val="TextoNormal"/>
      </w:pPr>
      <w:r>
        <w:t>b) En cuanto a la específica respuesta a las denuncias formuladas, de forma análoga a lo dicho en el fundamento jurídico 5 de la STC 99/2016 hemos de empezar subrayando que el único objeto de la disposición adicional octogésima cuarta de la Ley 17/2012 es suspender durante 2013 la aplicación de determinados preceptos de otra ley estatal como es la Ley 39/2006, decisión que se adopta en virtud de la facultad que corresponde al Estado “para fijar, y en su caso, modificar las condiciones y requisitos de vigencia y aplicación de sus propias normas” (STC 162/2013, de 26 de septiembre, FJ 6). En concreto, la suspensión cuestionada conlleva la decisión de que la Administración general del Estado no participe en 2013 en la cofinanciación del eventual nivel de protección de la dependencia acordado entre la Administración estatal y cada Comunidad Autónoma, dejando expresamente sin aplicación para ese ejercicio la previsión de incluir anualmente en los presupuestos de la Administración general del Estado —hasta 2015— créditos para celebrar convenios a tal efecto con las Comunidades Autónomas (disposición transitoria primera de la Ley 39/2006).</w:t>
      </w:r>
    </w:p>
    <w:p w:rsidR="00A90898" w:rsidRDefault="00A90898" w:rsidP="00A90898">
      <w:pPr>
        <w:pStyle w:val="TextoNormal"/>
      </w:pPr>
    </w:p>
    <w:p w:rsidR="00A90898" w:rsidRDefault="00A90898" w:rsidP="00A90898">
      <w:pPr>
        <w:pStyle w:val="TextoNormal"/>
      </w:pPr>
      <w:r>
        <w:t xml:space="preserve">Resulta, pues, esencial, dejar claro que la disposición recurrida se limita a suprimir para 2013 la posibilidad de concertar el nivel acordado de protección de la dependencia, pero sin que en ningún momento se incorporen por dicha norma nuevas previsiones a la Ley 39/2006 ni se altere el tenor de sus preceptos. En consecuencia, reiterando lo afirmado en la STC 99/2016, FJ 5, a los efectos de este proceso debe tenerse en cuenta que, por su contenido meramente suspensivo y no novatorio, la impugnada disposición adicional octogésima cuarta de la Ley 17/2012 “no impone a las Comunidades Autónomas nuevas obligaciones sobre el reconocimiento y financiación de las prestaciones de dependencia, de modo que los deberes a los que alude la parte recurrente traerían causa, en su caso, de la regulación previamente establecida en la Ley 39/2006, que es ajena al presente proceso”. Tal consideración resulta plenamente aplicable a las alegaciones que la parte recurrente efectúa en relación con el art. 32.3 de la Ley 39/2006, precepto respecto al que, además, ya en la STC </w:t>
      </w:r>
      <w:r>
        <w:lastRenderedPageBreak/>
        <w:t>18/2016, FJ 8 e) iii) se señaló que “el art. 32.3 de la Ley 39/2006, segundo párrafo, únicamente exige que la aportación autonómica sea, al menos igual a la de la Administración general del Estado, en el segundo nivel de protección, lo que implica que, suspendidos los convenios mediante los que se financiaba ese segundo nivel, la aportación autonómica en aplicación de dicho precepto no es ya obligatoria, por lo que, al menos en teoría, la reducción de la aportación estatal es susceptible de producir el correlativo efecto de reducción de la aportación autonómica, sin que, por esa vía, se produzca irremediablemente un incremento de gasto autonómico. Ahora bien, si esa reducción autonómica se produce o no es una cuestión que corresponde decidir a cada Comunidad Autónoma en el ejercicio de su competencia en materia de asistencia social. Pero no puede pretenderse que el hecho de que una determinada Comunidad Autónoma considere necesario o conveniente mantener las prestaciones del sistema de atención a la dependencia en un determinado nivel, superior al mínimo garantizado por el Estado, implique necesariamente el mantenimiento de las aportaciones estatales a la financiación del sistema de atención a la dependencia en la cuantía suficiente que permita el mantenimiento de dicho nivel prestacional en la Comunidad Autónoma de que se trate.”</w:t>
      </w:r>
    </w:p>
    <w:p w:rsidR="00A90898" w:rsidRDefault="00A90898" w:rsidP="00A90898">
      <w:pPr>
        <w:pStyle w:val="TextoNormal"/>
      </w:pPr>
    </w:p>
    <w:p w:rsidR="00A90898" w:rsidRDefault="00A90898" w:rsidP="00A90898">
      <w:pPr>
        <w:pStyle w:val="TextoNormal"/>
      </w:pPr>
      <w:r>
        <w:t>Por tanto, a los efectos del actual proceso constitucional, no puede acogerse el presupuesto de que la disposición adicional octogésima cuarta de la Ley 17/2012 “constituya una norma que impone a las Comunidades Autónomas la obligación de aportar sus propios recursos para dotar las prestaciones definidas por la Ley 39/2006 y para percibir los fondos correspondientes al nivel mínimo de protección financiado por el Estado”, de ahí que, en consecuencia, necesariamente decae el principal argumento que los Abogados de la Generalitat de Cataluña aducen para, con carácter común, denunciar que dicha disposición resulta contraria al principio de lealtad constitucional, a la autonomía financiera de la Comunidad Autónoma y a la competencia autonómica sobre servicios sociales (STC 99/2016, FJ 5).</w:t>
      </w:r>
    </w:p>
    <w:p w:rsidR="00A90898" w:rsidRDefault="00A90898" w:rsidP="00A90898">
      <w:pPr>
        <w:pStyle w:val="TextoNormal"/>
      </w:pPr>
    </w:p>
    <w:p w:rsidR="00A90898" w:rsidRDefault="00A90898" w:rsidP="00A90898">
      <w:pPr>
        <w:pStyle w:val="TextoNormal"/>
      </w:pPr>
      <w:r>
        <w:t xml:space="preserve">c) Además, procede recordar que “el nivel de protección acordado entre la Administración estatal y cada Comunidad Autónoma se concibe en la Ley 39/2006 como contingente o potencial, dependiendo su existencia del mutuo concierto entre ambas partes, sin que exista un previo derecho a la citada cofinanciación estatal del nivel acordado, cofinanciación que queda sujeta a las decisiones adoptadas por el Estado a la hora de asignar prioridades de gasto en su propio presupuesto” (STC 99/2016, FJ 5). Así, con relación a la disposición transitoria primera de la Ley 39/2006, la reiterada STC 99/2016, FJ 5, ha afirmado que la inicial aprobación de esta norma “no puede limitar o frenar el posterior ejercicio por las Cortes Generales de su potestad legislativa plena </w:t>
      </w:r>
      <w:r w:rsidRPr="00A90898">
        <w:rPr>
          <w:i/>
        </w:rPr>
        <w:t>ex</w:t>
      </w:r>
      <w:r>
        <w:t xml:space="preserve"> art. 66.2 CE, de modo que, en dicho período, no queda impedida la intervención del legislador para incidir en el texto o eficacia de la disposición”: consiguientemente, desde la perspectiva constitucional, no es objetable que, en la Ley de presupuestos generales del Estado para 2013, “el legislador estatal acordara la suspensión, durante ese ejercicio, de la citada disposición transitoria primera de la Ley 39/2006, no incorporando créditos a tal fin y descartando así que, para ese año, la Administración estatal pudiera concertar el nivel de protección acordado mediante la firma del correspondiente convenio, que, como se ha dicho, es el presupuesto último para que nazca la obligación de cofinanciación respecto a cada Comunidad Autónoma”.</w:t>
      </w:r>
    </w:p>
    <w:p w:rsidR="00A90898" w:rsidRDefault="00A90898" w:rsidP="00A90898">
      <w:pPr>
        <w:pStyle w:val="TextoNormal"/>
      </w:pPr>
    </w:p>
    <w:p w:rsidR="00A90898" w:rsidRDefault="00A90898" w:rsidP="00A90898">
      <w:pPr>
        <w:pStyle w:val="TextoNormal"/>
      </w:pPr>
      <w:r>
        <w:t>d) En definitiva, reiterando la idea de que la suspensión derivada de la disposición adicional octogésima cuarta de la Ley 17/2012 no afecta al nivel mínimo de protección ni im</w:t>
      </w:r>
      <w:r>
        <w:lastRenderedPageBreak/>
        <w:t>pone nuevas obligaciones de mantenimiento y financiación de prestaciones y que las aducidas por la parte recurrente encontrarían en su caso origen previo en la Ley 39/2006, procede rechazar que la indicada disposición vulnere el principio de lealtad constitucional, la autonomía financiera y la competencia autonómica sobre servicios sociales.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veinte de octubre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el recurso de inconstitucionalidad núm. 1744-2013.</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A90898" w:rsidRDefault="00A90898" w:rsidP="00A90898">
      <w:pPr>
        <w:pStyle w:val="TextoNormal"/>
      </w:pPr>
    </w:p>
    <w:p w:rsidR="00A90898" w:rsidRDefault="00A90898" w:rsidP="00A90898">
      <w:pPr>
        <w:pStyle w:val="TextoNormal"/>
      </w:pPr>
      <w:r>
        <w:t>Mi discrepancia se centra en la desestimación del recurso respecto de la disposición adicional octogésima primera de la Ley 17/2012, de 27 de diciembre, de presupuestos generales del Estado para el año 2013, referida a la “gestión de las acciones, medidas y programas establecidos en la letra h) del artículo 13 de la Ley 56/2003, de 16 de diciembre, de Empleo”. La Sentencia aprobada por la mayoría del Pleno fundamenta la desestimación, de manera principal, en el carácter preventivo de la impugnación, basándose para ello en la doctrina establecida en la STC 22/2014, de 13 de febrero, FJ 7, que desestimó con igual fundamento la impugnación del art. 13 e), apartados 1 y 2, de la Ley 56/2003, de empleo, posteriormente convertido en art. 13 h) en virtud de la modificación introducida por el Real Decreto-ley 3/2011, de 18 de febrero, de medidas urgentes para la mejora de la empleabilidad y la reforma de las políticas activas de empleo. En aquel fallo, al que formuló Voto particular el Magistrado don Luis Ortega Álvarez, recordado compañero prematuramente fallecido, se llegó igualmente a la conclusión de que la impugnación resultaba preventiva, porque el efecto de la privación de la competencia autonómica de ejecución, no podía —decíamos— ser atribuido directamente al precepto legal impugnado, sino que habría que estar al posterior desarrollo reglamentario y a los concretos programas en los que se plasmara efectivamente la previsión legal. Inicialmente no me opuse a tal enfoque, a la espera de lo que se decidiera en los casos concretos de aplicación de la previsión legal que se sometieran al enjuiciamiento de este Tribunal.</w:t>
      </w:r>
    </w:p>
    <w:p w:rsidR="00A90898" w:rsidRDefault="00A90898" w:rsidP="00A90898">
      <w:pPr>
        <w:pStyle w:val="TextoNormal"/>
      </w:pPr>
    </w:p>
    <w:p w:rsidR="00A90898" w:rsidRDefault="00A90898" w:rsidP="00A90898">
      <w:pPr>
        <w:pStyle w:val="TextoNormal"/>
      </w:pPr>
      <w:r>
        <w:lastRenderedPageBreak/>
        <w:t>Pues bien, esas impugnaciones posteriores llegaron, y fueron examinadas por este Tribunal. Concretamente, la STC 88/2014, de 9 de junio, resolvió el conflicto positivo de competencia núm. 6767-2007, promovido por la Xunta de Galicia, en relación con el Real Decreto 395/2007, de 23 de marzo, por el que se regula el subsistema de formación profesional para el empleo. Uno de los preceptos impugnados era el art. 6.4 de dicho Real Decreto, que venía a establecer los criterios generales que habrían de ser tenidos en cuenta para que procediera la gestión de las subvenciones por el Servicio Público de Empleo Estatal. La Sentencia, con apoyo en la STC 22/2014, desestimó la impugnación de dicho precepto por considerarla también preventiva, aduciendo que el precepto “efectúa una mera declaración enunciativa de las circunstancias o criterios que habrán de aplicarse a los planes o acciones formativas, para que su financiación pueda realizarse mediante subvenciones gestionadas por el Servicio Público de Empleo Estatal, criterios que se plasmarán en las disposiciones que reglamenten en el futuro dichas acciones formativas. Serán pues estas disposiciones, en las que se concreten las distintas acciones formativas, las que permitirán apreciar si concurren o no las circunstancias justificativas de la excepcionalidad determinante de la atribución al Estado de facultades de gestión”. Ya entonces mostré mi disconformidad con aquella tesis, formulando el correspondiente Voto particular, al que aquí me remito.</w:t>
      </w:r>
    </w:p>
    <w:p w:rsidR="00A90898" w:rsidRDefault="00A90898" w:rsidP="00A90898">
      <w:pPr>
        <w:pStyle w:val="TextoNormal"/>
      </w:pPr>
    </w:p>
    <w:p w:rsidR="00A90898" w:rsidRDefault="00A90898" w:rsidP="00A90898">
      <w:pPr>
        <w:pStyle w:val="TextoNormal"/>
      </w:pPr>
      <w:r>
        <w:t>Posteriormente, la STC 178/2015, de 7 de septiembre, estimó el conflicto positivo de competencia núm. 974-2010, promovido también por la Xunta de Galicia, en relación con la resolución de 22 de septiembre de 2009, del Servicio Público de Empleo Estatal, por la que se convocaba la concesión de subvenciones para la realización de programas específicos de formación e inserción laboral a favor de los jóvenes desempleados en situación o con riesgo de exclusión social. En dicha Sentencia concluyó este Tribunal que la resolución impugnada conculcaba en su integridad las competencias de la Xunta de Galicia, sin que concurrieran “los presupuestos precisos para que el Estado se reservara la gestión centralizada de las subvenciones objeto de la resolución impugnada” (FJ 10).</w:t>
      </w:r>
    </w:p>
    <w:p w:rsidR="00A90898" w:rsidRDefault="00A90898" w:rsidP="00A90898">
      <w:pPr>
        <w:pStyle w:val="TextoNormal"/>
      </w:pPr>
    </w:p>
    <w:p w:rsidR="00A90898" w:rsidRDefault="00A90898" w:rsidP="00A90898">
      <w:pPr>
        <w:pStyle w:val="TextoNormal"/>
      </w:pPr>
      <w:r>
        <w:t>A los efectos que aquí interesan, hay que destacar que, como se señala en la STC 178/2015, FJ 6, el art. 1 de la resolución “concreta en su apartado 2 los extremos que justifican la gestión centralizada de las ayudas disponiendo que ‘la ejecución de los proyectos de formación afectará a un ámbito territorial superior al de una Comunidad Autónoma y facilitará la movilidad de los participantes en los mismos requiriendo por tanto la coordinación unificada del Servicio Público de Empleo Estatal, según lo establecido en el artículo 13, apartado e) de la Ley 56/2003, de Empleo, sin perjuicio de lo establecido en la disposición adicional cuarta de la misma Ley’. Estas últimas previsiones no aparecen especificadas posteriormente al identificar y definir las acciones subvencionables (art. 3), ni los criterios de valoración (art. 8), sino tan sólo en el art. 4.1 b), cuando se señala que pueden solicitar las subvenciones las asociaciones o fundaciones ‘cuya actuación sea de ámbito nacional’”.</w:t>
      </w:r>
    </w:p>
    <w:p w:rsidR="00A90898" w:rsidRDefault="00A90898" w:rsidP="00A90898">
      <w:pPr>
        <w:pStyle w:val="TextoNormal"/>
      </w:pPr>
    </w:p>
    <w:p w:rsidR="00A90898" w:rsidRDefault="00A90898" w:rsidP="00A90898">
      <w:pPr>
        <w:pStyle w:val="TextoNormal"/>
      </w:pPr>
      <w:r>
        <w:t xml:space="preserve">Lo que este último caso nos permite comprobar es que las resoluciones de convocatoria de las ayudas y subvenciones, a las que los fallos previos fiaban la concreción de los criterios legales y reglamentarios, ni siquiera justifican la gestión centralizada, limitándose a remitirse a los criterios generales recogidos en la norma legal, esos mismos cuya impugnación consideró preventiva la STC 22/2014. Ante tal constatación no puedo sino reconsiderar mi apreciación inicial y apelar a los argumentos contenidos en aquel Voto particular formulado por el Magistrado don Luis Ortega. En dicho Voto se recalcaba que la impugnación no podía </w:t>
      </w:r>
      <w:r>
        <w:lastRenderedPageBreak/>
        <w:t>ser calificada de preventiva “en cuanto que lo que se cuestiona es, precisamente, la construcción legal que implica la reserva de la competencia ejecutiva al Estado en los términos y casos que el precepto dispone”, añadiendo que “la argumentación que la Sentencia emplea desfigura la previsión legal hasta convertirla en innecesaria”, en la medida en que “considera que ya se determinará en el futuro si la gestión centralizada está justificada, obviando que lo que hace el precepto es exactamente eso, construir con vocación de generalidad un supuesto de gestión centralizada de ayudas”. Frente a dicha forma de razonar, sostenía el Voto particular que “en coherencia con el carácter abstracto que es propio del juicio de constitucionalidad lo que habría debido juzgarse era la pretensión del Estado de configurar, con alcance general, una reserva de gestión de subvenciones en los casos en los que se den los requisitos que el propio precepto establece”.</w:t>
      </w:r>
    </w:p>
    <w:p w:rsidR="00A90898" w:rsidRDefault="00A90898" w:rsidP="00A90898">
      <w:pPr>
        <w:pStyle w:val="TextoNormal"/>
      </w:pPr>
    </w:p>
    <w:p w:rsidR="00A90898" w:rsidRDefault="00A90898" w:rsidP="00A90898">
      <w:pPr>
        <w:pStyle w:val="TextoNormal"/>
      </w:pPr>
      <w:r>
        <w:t>Me remito por ello a lo expuesto en el referido Voto particular, puesto que son los mismos argumentos allí expuestos los que permiten también en el presente caso rechazar los fundamentos empleados para calificar de preventiva la impugnación de la disposición adicional octogésima primera de la Ley 17/2012, en la medida en que contempla la gestión por parte del Servicio Público de Empleo Estatal de acciones, medidas y programas financiados con cargo a determinada reserva de crédito, respecto de actuaciones contempladas en el art. 13 h) de la Ley 56/2003, de empleo; previsión que, como queda dicho, establece con vocación de generalidad y permanencia un supuesto de gestión centralizada de ayudas, vulnerando así el orden de distribución de competencias, puesto que las razones que el precepto aporta para justificar la centralización pretendida no pueden ser aceptadas.</w:t>
      </w:r>
    </w:p>
    <w:p w:rsidR="00A90898" w:rsidRDefault="00A90898" w:rsidP="00A90898">
      <w:pPr>
        <w:pStyle w:val="TextoNormal"/>
      </w:pPr>
    </w:p>
    <w:p w:rsidR="00A90898" w:rsidRDefault="00A90898" w:rsidP="00A90898">
      <w:pPr>
        <w:pStyle w:val="TextoNormal"/>
      </w:pPr>
      <w:r>
        <w:t>Y en este sentido emito mi Voto particular.</w:t>
      </w:r>
    </w:p>
    <w:p w:rsidR="00A90898" w:rsidRDefault="00A90898" w:rsidP="00A90898">
      <w:pPr>
        <w:pStyle w:val="TextoNormal"/>
      </w:pPr>
    </w:p>
    <w:p w:rsidR="00A90898" w:rsidRDefault="00A90898" w:rsidP="00A90898">
      <w:pPr>
        <w:pStyle w:val="TextoNormal"/>
      </w:pPr>
      <w:r>
        <w:t>Madrid, a veinte de octubre de dos mil dieciséis.-Adela Asua Batarrita.-Firmado y rubricado.</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59" w:name="SENTENCIA_2016_180"/>
      <w:r>
        <w:lastRenderedPageBreak/>
        <w:t>SENTENCIA 180/2016, de 20 de octubre de 2016</w:t>
      </w:r>
    </w:p>
    <w:bookmarkEnd w:id="59"/>
    <w:p w:rsidR="00A90898" w:rsidRDefault="00A90898" w:rsidP="00A90898">
      <w:pPr>
        <w:pStyle w:val="TtuloResolucin"/>
      </w:pPr>
      <w:r>
        <w:t>Pleno</w:t>
      </w:r>
    </w:p>
    <w:p w:rsidR="00A90898" w:rsidRDefault="00A90898" w:rsidP="00A90898">
      <w:pPr>
        <w:pStyle w:val="TtuloBOE"/>
      </w:pPr>
      <w:r>
        <w:t>(BOE núm. 285, de 25 de noviembre de 2016)</w:t>
      </w:r>
    </w:p>
    <w:p w:rsidR="00A90898" w:rsidRDefault="00A90898" w:rsidP="00A90898">
      <w:pPr>
        <w:pStyle w:val="TextoNormalCentrado"/>
      </w:pPr>
      <w:r>
        <w:t>ECLI:ES:TC:2016:180</w:t>
      </w:r>
    </w:p>
    <w:p w:rsidR="00A90898" w:rsidRDefault="00A90898" w:rsidP="00A90898">
      <w:pPr>
        <w:pStyle w:val="TextoNormalCentrado"/>
      </w:pPr>
    </w:p>
    <w:p w:rsidR="00A90898" w:rsidRDefault="00A90898" w:rsidP="00A90898">
      <w:pPr>
        <w:pStyle w:val="SntesisDescriptiva"/>
      </w:pPr>
      <w:r>
        <w:t>Recurso de inconstitucionalidad 2001-2014. Interpuesto por el Parlamento de Navarra en relación con diversos preceptos de la Ley 27/2013, de 27 de diciembre, de racionalización y sostenibilidad de la Administración local.</w:t>
      </w:r>
    </w:p>
    <w:p w:rsidR="00A90898" w:rsidRDefault="00A90898" w:rsidP="00A90898">
      <w:pPr>
        <w:pStyle w:val="SntesisDescriptiva"/>
      </w:pPr>
    </w:p>
    <w:p w:rsidR="00A90898" w:rsidRDefault="00A90898" w:rsidP="00A90898">
      <w:pPr>
        <w:pStyle w:val="SntesisAnaltica"/>
      </w:pPr>
      <w:r>
        <w:t>Competencias sobre régimen local: interpretación conforme con la Constitución del precepto legal relativo al plan provincial de cooperación a las obras y servicios de competencia municipal (STC 111/2016).</w:t>
      </w:r>
    </w:p>
    <w:p w:rsidR="00A90898" w:rsidRDefault="00A90898" w:rsidP="00A90898">
      <w:pPr>
        <w:pStyle w:val="SntesisAnaltica"/>
      </w:pPr>
    </w:p>
    <w:p w:rsidR="00A90898" w:rsidRDefault="00A90898" w:rsidP="00A90898">
      <w:pPr>
        <w:pStyle w:val="Extracto"/>
      </w:pPr>
      <w:r>
        <w:t>1.</w:t>
      </w:r>
      <w:r>
        <w:tab/>
        <w:t>Aplica la doctrina sentada en la STC 111/2016 sobre interpretación conforme con la Constitución en relación con los planes provinciales de cooperación a las obras y servicios de competencia municipal [FJ 3 d)].</w:t>
      </w:r>
    </w:p>
    <w:p w:rsidR="00A90898" w:rsidRDefault="00A90898" w:rsidP="00A90898">
      <w:pPr>
        <w:pStyle w:val="Extracto"/>
      </w:pPr>
    </w:p>
    <w:p w:rsidR="00A90898" w:rsidRDefault="00A90898" w:rsidP="00A90898">
      <w:pPr>
        <w:pStyle w:val="Extracto"/>
      </w:pPr>
      <w:r>
        <w:t>2.</w:t>
      </w:r>
      <w:r>
        <w:tab/>
        <w:t>Reitera la doctrina contenida en las SSTC 41/2016 y 111/2016 en relación con la presentación de la Ley impugnada, sobre encuadramiento de la controversia competencial, significado de la garantía constitucional de la autonomía local y alcance de las bases del régimen local, singularmente en lo relativo a la organización y las competencias locales [FJ 3 b)].</w:t>
      </w:r>
    </w:p>
    <w:p w:rsidR="00A90898" w:rsidRDefault="00A90898" w:rsidP="00A90898">
      <w:pPr>
        <w:pStyle w:val="Extracto"/>
      </w:pPr>
    </w:p>
    <w:p w:rsidR="00A90898" w:rsidRDefault="00A90898" w:rsidP="00A90898">
      <w:pPr>
        <w:pStyle w:val="Extracto"/>
      </w:pPr>
      <w:r>
        <w:t>3.</w:t>
      </w:r>
      <w:r>
        <w:tab/>
        <w:t>Los presupuestos hipotéticos, basados en una mera conjetura interpretativa ya de por sí privan de fundamento a la impugnación relativa a la delimitación de competencias propias del municipio (SSTC 214/1989 y 236/2005) [FJ 6].</w:t>
      </w:r>
    </w:p>
    <w:p w:rsidR="00A90898" w:rsidRDefault="00A90898" w:rsidP="00A90898">
      <w:pPr>
        <w:pStyle w:val="Extracto"/>
      </w:pPr>
    </w:p>
    <w:p w:rsidR="00A90898" w:rsidRDefault="00A90898" w:rsidP="00A90898">
      <w:pPr>
        <w:pStyle w:val="Extracto"/>
      </w:pPr>
      <w:r>
        <w:t>4.</w:t>
      </w:r>
      <w:r>
        <w:tab/>
        <w:t>Las disposiciones estatutarias en materia de régimen local condicionan solo al legislador autonómico, no prevaleciendo por tanto frente a la legislación básica en caso de conflicto (STC 31/2010) [FJ 5].</w:t>
      </w:r>
    </w:p>
    <w:p w:rsidR="00A90898" w:rsidRDefault="00A90898" w:rsidP="00A90898">
      <w:pPr>
        <w:pStyle w:val="Extracto"/>
      </w:pPr>
    </w:p>
    <w:p w:rsidR="00A90898" w:rsidRDefault="00A90898" w:rsidP="00A90898">
      <w:pPr>
        <w:pStyle w:val="Extracto"/>
      </w:pPr>
      <w:r>
        <w:t>5.</w:t>
      </w:r>
      <w:r>
        <w:tab/>
        <w:t>La relativa ausencia de determinación no puede entrañar un problema en el contexto de una regulación afirmada como básica y, por tanto, incompleta o necesitada del complemento autonómico; a la que se añade la legislación sectorial del Estado y las Comunidades Autónomas, que es la encargada de definir concretamente las competencias locales (STC 111/2016)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lastRenderedPageBreak/>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2001-2014 interpuesto por doña Silvia Doménech Alegre, Letrada del Parlamento de Navarra, en la representación que por su cargo ostenta, contra los apartados 3, 5, 7, 8, 10, 13, 16, 21, 30, 31 y 38 del art. 1, las disposiciones adicionales novena y decimoquinta y transitorias primera, segunda, tercera, cuarta y undécima de la Ley 27/2013, de 27 de diciembre, de racionalización y sostenibilidad en la Administración local, por vulneración de las competencias de la Comunidad Foral de Navarra (arts. 148.1.1 y 148.1.2 CE y art. 46 de la Ley Orgánica 13/1982, de 10 de agosto, de reintegración y amejoramiento del Régimen Foral de Navarra; en adelante, LORAFNA), por vulneración de las bases estatales (art. 149.1.18 CE), y otros preceptos constitucionales (arts. 135, 137, 140 y 142 CE).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28 de marzo de 2014, doña Silvia Doménech Alegre, Letrada del Parlamento de Navarra, en la representación que por su cargo ostenta, comisionada al efecto por el Pleno de la Cámara, interpone recurso de inconstitucionalidad contra varios preceptos de la Ley 27/2013, de 27 de diciembre, de racionalización y sostenibilidad de la Administración local.</w:t>
      </w:r>
    </w:p>
    <w:p w:rsidR="00A90898" w:rsidRDefault="00A90898" w:rsidP="00A90898">
      <w:pPr>
        <w:pStyle w:val="TextoNormal"/>
      </w:pPr>
    </w:p>
    <w:p w:rsidR="00A90898" w:rsidRDefault="00A90898" w:rsidP="00A90898">
      <w:pPr>
        <w:pStyle w:val="TextoNormal"/>
      </w:pPr>
      <w:r w:rsidRPr="00A90898">
        <w:rPr>
          <w:rStyle w:val="NumeroAFNegritaCaracter"/>
        </w:rPr>
        <w:t>2</w:t>
      </w:r>
      <w:r>
        <w:t>. El recurso de inconstitucionalidad realiza una serie de consideraciones generales sobre (i) la legitimación del Parlamento de Navarra para la impugnación de normas estatales con fuerza de Ley, (ii) sobre el contenido y alcance de la Ley de racionalización y sostenibilidad de la Administración local, y (iii) acerca de las medidas de racionalización y sostenibilidad de la Administración Local contenidas en la norma y su repercusión en el sistema competencial del Régimen Foral Navarro, analizando, en concreto, el fundamento constitucional del marco normativo en el que se inserta, la distribución competencial entre el Estado y la Comunidad Foral de Navarra en materia de administración local, y la especial aplicación a la Comunidad Foral de la Ley 27/2013.</w:t>
      </w:r>
    </w:p>
    <w:p w:rsidR="00A90898" w:rsidRDefault="00A90898" w:rsidP="00A90898">
      <w:pPr>
        <w:pStyle w:val="TextoNormal"/>
      </w:pPr>
    </w:p>
    <w:p w:rsidR="00A90898" w:rsidRDefault="00A90898" w:rsidP="00A90898">
      <w:pPr>
        <w:pStyle w:val="TextoNormal"/>
      </w:pPr>
      <w:r>
        <w:t>La legitimación autonómica estriba en la existencia de una conexión material entre los preceptos de la Ley estatal que se impugnan y el ámbito competencial autonómico. Los preceptos afectados hacen referencia al régimen jurídico aplicable a las entidades locales, materia sobre la que la Comunidad Foral ostenta competencias dimanantes de la LORAFNA.</w:t>
      </w:r>
    </w:p>
    <w:p w:rsidR="00A90898" w:rsidRDefault="00A90898" w:rsidP="00A90898">
      <w:pPr>
        <w:pStyle w:val="TextoNormal"/>
      </w:pPr>
    </w:p>
    <w:p w:rsidR="00A90898" w:rsidRDefault="00A90898" w:rsidP="00A90898">
      <w:pPr>
        <w:pStyle w:val="TextoNormal"/>
      </w:pPr>
      <w:r>
        <w:t>Con la Ley de racionalización y sostenibilidad de la Administración local se pretende adaptar la normativa básica en materia de Administración Local a los principios de estabi</w:t>
      </w:r>
      <w:r>
        <w:lastRenderedPageBreak/>
        <w:t>lidad presupuestaria y sostenibilidad financiera o eficiencia en el uso de los recursos públicos locales, en cumplimiento del art. 135 CE y de la Ley Orgánica 2/2012, de 27 de abril, de estabilidad presupuestaria y sostenibilidad financiera. Para ello se señalan cuatro objetivos: (i) definir con precisión las competencias que deben ser desarrolladas por la Administración local, de manera que las entidades locales solo podrán ejercer competencias distintas de las propias o de las atribuidas por delegación cuando no se ponga en riesgo la sostenibilidad financiera del conjunto de la Hacienda municipal, y no se incurra en un supuesto de ejecución simultánea del mismo servicio público con otra Administración Pública; (ii) racionalizar la estructura organizativa de la Administración local; (iii) ejercer un control económico-presupuestario más riguroso, reforzándose a tal fin el papel de la función interventora en las entidades locales, y (iv) favorecer la iniciativa económica privada, evitando intervenciones administrativas desproporcionadas.</w:t>
      </w:r>
    </w:p>
    <w:p w:rsidR="00A90898" w:rsidRDefault="00A90898" w:rsidP="00A90898">
      <w:pPr>
        <w:pStyle w:val="TextoNormal"/>
      </w:pPr>
    </w:p>
    <w:p w:rsidR="00A90898" w:rsidRDefault="00A90898" w:rsidP="00A90898">
      <w:pPr>
        <w:pStyle w:val="TextoNormal"/>
      </w:pPr>
      <w:r>
        <w:t>Para lograr estos objetivos la Ley 27/2013 modifica la 7/1985, de 2 de abril, reguladora de las bases de régimen local (LBRL), así como el texto refundido de la Ley reguladora de las haciendas locales, aprobado por el Real Decreto Legislativo 2/2004, de 5 de marzo. Por otra parte, la Ley incluye una serie de disposiciones adicionales y de disposiciones transitorias, entre las que destacan las referidas a la asunción por las Comunidades Autónomas de las competencias relativas a la salud y a servicios sociales, que quedan referenciadas al que será el nuevo sistema de financiación autonómica y de las haciendas locales.</w:t>
      </w:r>
    </w:p>
    <w:p w:rsidR="00A90898" w:rsidRDefault="00A90898" w:rsidP="00A90898">
      <w:pPr>
        <w:pStyle w:val="TextoNormal"/>
      </w:pPr>
    </w:p>
    <w:p w:rsidR="00A90898" w:rsidRDefault="00A90898" w:rsidP="00A90898">
      <w:pPr>
        <w:pStyle w:val="TextoNormal"/>
      </w:pPr>
      <w:r>
        <w:t>Respecto de la repercusión de los preceptos impugnados en el sistema competencial del régimen foral navarro se analiza, en primer lugar, el fundamento constitucional de la Ley y el marco normativo en el que se inserta. Así, la norma legal se basa en las competencias atribuidas al Estado en los apartados 14 —hacienda general y deuda del Estado— y 18 —bases del régimen jurídico de las Administraciones públicas y del régimen estatutario de sus funcionarios— del art. 149.1 CE. Sin embargo, a pesar de la estrecha vinculación de la reforma operada por la Ley 27/2013 a las exigencias derivadas de la legislación de estabilidad presupuestaria y sostenibilidad financiera, no se invoca el art. 135 CE, ni el art. 149.1.13 CE. Esto se debe a que, si bien el art. 135 CE contempla un mecanismo a concretar en garantía de la efectividad del principio de estabilidad, la mera invocación de la finalidad consagrada por este precepto constitucional no autoriza al Estado, al socaire de la competencia prevista en el art. 149.1.13 CE, a dictar cualesquiera disposiciones transversales que afecten a materias que sean competencia de las Comunidades Autónomas. Es decir, las facultades estatales podrán afectar al ámbito de decisión autonómico siempre que se desvíen del objetivo fijado o lo incumplan, conforme a lo establecido en la Ley Orgánica de estabilidad presupuestaria y sostenibilidad financiera, pero lo que no cabe es sustituir tales mecanismos preferentes por medidas legales preventivas, con vigencia nacional uniforme, emanadas por el Estado, en materias sobre las que carece de competencia. En otras palabras, tanto el Estado como las Comunidades Autónomas están obligados por el art. 135 CE a adoptar las disposiciones dirigidas a realizar el objetivo de estabilidad presupuestaria, pero habrán de hacerlo en legítimo ejercicio de las competencias de cada uno.</w:t>
      </w:r>
    </w:p>
    <w:p w:rsidR="00A90898" w:rsidRDefault="00A90898" w:rsidP="00A90898">
      <w:pPr>
        <w:pStyle w:val="TextoNormal"/>
      </w:pPr>
    </w:p>
    <w:p w:rsidR="00A90898" w:rsidRDefault="00A90898" w:rsidP="00A90898">
      <w:pPr>
        <w:pStyle w:val="TextoNormal"/>
      </w:pPr>
      <w:r>
        <w:t>En el reparto competencial entre el Estado y la Comunidad Foral de Navarra en materia de Administración Local se destaca que la LORAFNA contiene una previsión singular, desarrollada por la Ley Foral 6/1990, de 2 de julio, de la Administración Local de Navarra, que regula el régimen local de Navarra con respeto al marco básico de la Ley de bases de régimen local sin olvidar las peculiaridades derivadas de sus derechos históricos.</w:t>
      </w:r>
    </w:p>
    <w:p w:rsidR="00A90898" w:rsidRDefault="00A90898" w:rsidP="00A90898">
      <w:pPr>
        <w:pStyle w:val="TextoNormal"/>
      </w:pPr>
    </w:p>
    <w:p w:rsidR="00A90898" w:rsidRDefault="00A90898" w:rsidP="00A90898">
      <w:pPr>
        <w:pStyle w:val="TextoNormal"/>
      </w:pPr>
      <w:r>
        <w:t>Finalmente, la especial aplicación a la Comunidad Foral de la Ley de racionalización y sostenibilidad de la Administración local se concreta en la disposición adicional segunda de la norma de manera similar a como se realiza en la disposición adicional tercera de la Ley de bases de régimen local y en la disposición final tercera de la Ley Orgánica de estabilidad presupuestaria y sostenibilidad financiera.</w:t>
      </w:r>
    </w:p>
    <w:p w:rsidR="00A90898" w:rsidRDefault="00A90898" w:rsidP="00A90898">
      <w:pPr>
        <w:pStyle w:val="TextoNormal"/>
      </w:pPr>
    </w:p>
    <w:p w:rsidR="00A90898" w:rsidRDefault="00A90898" w:rsidP="00A90898">
      <w:pPr>
        <w:pStyle w:val="TextoNormal"/>
      </w:pPr>
      <w:r>
        <w:t>Tras estas consideraciones, el recurso de inconstitucionalidad divide en dos bloques la inconstitucionalidad de los preceptos impugnados: el primero, por vulnerar el espacio competencial autonómico de la Comunidad Foral y, el segundo, por lesionar la autonomía local (arts. 137 y 140 CE).</w:t>
      </w:r>
    </w:p>
    <w:p w:rsidR="00A90898" w:rsidRDefault="00A90898" w:rsidP="00A90898">
      <w:pPr>
        <w:pStyle w:val="TextoNormal"/>
      </w:pPr>
    </w:p>
    <w:p w:rsidR="00A90898" w:rsidRDefault="00A90898" w:rsidP="00A90898">
      <w:pPr>
        <w:pStyle w:val="TextoNormal"/>
      </w:pPr>
      <w:r>
        <w:t>A) En el primer bloque se entiende que diversas previsiones de la Ley 27/2013, de 27 de diciembre, de racionalización y sostenibilidad de la Administración local vulneran el espacio competencial autonómico de la Comunidad Foral por cuanto el Estado deja de ser garante de la autonomía para municipios y provincias y pasa a impedir o dificultar la mejora y ampliación de la autonomía local por las Comunidades Autónomas. La Ley no fija un mínimo frente a la posible actuación autonómica que pueda afectar a la autonomía local, sino que, en realidad, se restringe o se prohíbe la posibilidad de una legislación autonómica deferente con la autonomía local, singularmente con la municipal.</w:t>
      </w:r>
    </w:p>
    <w:p w:rsidR="00A90898" w:rsidRDefault="00A90898" w:rsidP="00A90898">
      <w:pPr>
        <w:pStyle w:val="TextoNormal"/>
      </w:pPr>
    </w:p>
    <w:p w:rsidR="00A90898" w:rsidRDefault="00A90898" w:rsidP="00A90898">
      <w:pPr>
        <w:pStyle w:val="TextoNormal"/>
      </w:pPr>
      <w:r>
        <w:t>Desde este presupuesto, el recurso de inconstitucionalidad impugna los siguientes artículos:</w:t>
      </w:r>
    </w:p>
    <w:p w:rsidR="00A90898" w:rsidRDefault="00A90898" w:rsidP="00A90898">
      <w:pPr>
        <w:pStyle w:val="TextoNormal"/>
      </w:pPr>
    </w:p>
    <w:p w:rsidR="00A90898" w:rsidRDefault="00A90898" w:rsidP="00A90898">
      <w:pPr>
        <w:pStyle w:val="TextoNormal"/>
      </w:pPr>
      <w:r>
        <w:t>a) El artículo primero, 5, de la Ley de racionalización y sostenibilidad de la Administración local, que da una nueva redacción al art. 13 LBRL, sobre modificación del régimen de creación, supresión y fusión de municipios, se impugna por contravenir las bases estatales del art. 149.1.18 CE y vulnerar los arts. 148.1.2 CE y 46 LORAFNA.</w:t>
      </w:r>
    </w:p>
    <w:p w:rsidR="00A90898" w:rsidRDefault="00A90898" w:rsidP="00A90898">
      <w:pPr>
        <w:pStyle w:val="TextoNormal"/>
      </w:pPr>
    </w:p>
    <w:p w:rsidR="00A90898" w:rsidRDefault="00A90898" w:rsidP="00A90898">
      <w:pPr>
        <w:pStyle w:val="TextoNormal"/>
      </w:pPr>
      <w:r>
        <w:t>El nuevo art. 13 LBRL habría desbordado los límites del art. 149.1.18 CE al contener una regulación detallada de la fusión de municipios que deja fuera del proceso a las Comunidades Autónomas y les impide desarrollar una política propia a partir de los principios establecidos por el legislador estatal.</w:t>
      </w:r>
    </w:p>
    <w:p w:rsidR="00A90898" w:rsidRDefault="00A90898" w:rsidP="00A90898">
      <w:pPr>
        <w:pStyle w:val="TextoNormal"/>
      </w:pPr>
    </w:p>
    <w:p w:rsidR="00A90898" w:rsidRDefault="00A90898" w:rsidP="00A90898">
      <w:pPr>
        <w:pStyle w:val="TextoNormal"/>
      </w:pPr>
      <w:r>
        <w:t>En concreto, se impugnan las medidas de fomento de la fusión de municipios contempladas en el art. 13.4 LBRL, por resultar contrarias a la doctrina constitucional sobre la gestión de subvenciones contenida en la STC 13/1992, según la cual las políticas de fomento deben respetar la distribución constitucional de competencias para que el poder de gasto no altere la delimitación competencial, es decir, para impedir que el Estado menoscabe las competencias autonómicas. El Estado podrá consignar subvenciones, señalando su destino y regulando sus condiciones esenciales de otorgamiento, pero sin descender a una regulación pormenorizada que impidiese el ejercicio de la competencia autonómica.</w:t>
      </w:r>
    </w:p>
    <w:p w:rsidR="00A90898" w:rsidRDefault="00A90898" w:rsidP="00A90898">
      <w:pPr>
        <w:pStyle w:val="TextoNormal"/>
      </w:pPr>
    </w:p>
    <w:p w:rsidR="00A90898" w:rsidRDefault="00A90898" w:rsidP="00A90898">
      <w:pPr>
        <w:pStyle w:val="TextoNormal"/>
      </w:pPr>
      <w:r>
        <w:t xml:space="preserve">También se impugna el art. 13.6 LBRL, que prevé un convenio de fusión de los municipios que culmina con la aprobación por mayoría simple de cada uno de los Plenos de los municipios fusionados, sin intervención alguna de la Comunidad Foral como Administración competente en materia de alteración de los términos municipales, sin perjuicio de las bases estatales. En la medida en que este artículo se interprete de manera que se excluya a </w:t>
      </w:r>
      <w:r>
        <w:lastRenderedPageBreak/>
        <w:t>la Comunidad Foral del proceso de decisión, se estará vulnerando la competencia foral sobre alteración de términos municipales. En este sentido, se argumenta que, cuando el art. 13.4 LBRL dispone que los municipios podrán acordar su fusión mediante convenio, parece que está atribuyendo la decisión final sobre la fusión a los propios Ayuntamientos y la normativa autonómica (“sin perjuicio del procedimiento previsto en la normativa autonómica”) reduce su alcance a determinar el procedimiento, pero no la decisión final que, según la normativa estatal impugnada, correspondería solo a los municipios.</w:t>
      </w:r>
    </w:p>
    <w:p w:rsidR="00A90898" w:rsidRDefault="00A90898" w:rsidP="00A90898">
      <w:pPr>
        <w:pStyle w:val="TextoNormal"/>
      </w:pPr>
    </w:p>
    <w:p w:rsidR="00A90898" w:rsidRDefault="00A90898" w:rsidP="00A90898">
      <w:pPr>
        <w:pStyle w:val="TextoNormal"/>
      </w:pPr>
      <w:r>
        <w:t xml:space="preserve">b) El artículo primero, 7, de la Ley 27/2013, que incluye el nuevo art. 24 </w:t>
      </w:r>
      <w:r w:rsidRPr="00A90898">
        <w:rPr>
          <w:i/>
        </w:rPr>
        <w:t>bis</w:t>
      </w:r>
      <w:r>
        <w:t xml:space="preserve"> LBRL, sobre modificación del régimen de las entidades de ámbito territorial inferior, se impugna por vulnerar los arts. 149.1.18 y 148.1.2 CE y 46 LORAFNA.</w:t>
      </w:r>
    </w:p>
    <w:p w:rsidR="00A90898" w:rsidRDefault="00A90898" w:rsidP="00A90898">
      <w:pPr>
        <w:pStyle w:val="TextoNormal"/>
      </w:pPr>
    </w:p>
    <w:p w:rsidR="00A90898" w:rsidRDefault="00A90898" w:rsidP="00A90898">
      <w:pPr>
        <w:pStyle w:val="TextoNormal"/>
      </w:pPr>
      <w:r>
        <w:t>El precepto estaría limitando injustificadamente la libertad autonómica de creación de este tipo de entes en contra de la doctrina constitucional (STC 214/1989) y de los arts. 149.1.18 y 148.1.2 CE y 46 LORAFNA, dejando sin contenido su facultad para crear entes locales menores con personalidad jurídica propia, cuyo ejercicio, el Tribunal Constitucional ha desvinculado al Estado y, por tanto, no encuentra cobertura en el art. 149.1.18 CE.</w:t>
      </w:r>
    </w:p>
    <w:p w:rsidR="00A90898" w:rsidRDefault="00A90898" w:rsidP="00A90898">
      <w:pPr>
        <w:pStyle w:val="TextoNormal"/>
      </w:pPr>
    </w:p>
    <w:p w:rsidR="00A90898" w:rsidRDefault="00A90898" w:rsidP="00A90898">
      <w:pPr>
        <w:pStyle w:val="TextoNormal"/>
      </w:pPr>
      <w:r>
        <w:t>c) El artículo primero, 8, de la Ley de racionalización y sostenibilidad de la Administración local, que da una nueva redacción al art. 25 LBRL, sobre las materias de competencia propia de los municipios, así como la disposición adicional decimoquinta y las disposiciones transitorias primera, segunda y tercera de la Ley 27/2013, se impugnan por cuanto a través de ellas se atribuyen a las Comunidades Autónomas la titularidad de competencias propias de los municipios, con contravención de las bases de los arts. 149.1.18 CE y 46 LORAFNA.</w:t>
      </w:r>
    </w:p>
    <w:p w:rsidR="00A90898" w:rsidRDefault="00A90898" w:rsidP="00A90898">
      <w:pPr>
        <w:pStyle w:val="TextoNormal"/>
      </w:pPr>
    </w:p>
    <w:p w:rsidR="00A90898" w:rsidRDefault="00A90898" w:rsidP="00A90898">
      <w:pPr>
        <w:pStyle w:val="TextoNormal"/>
      </w:pPr>
      <w:r>
        <w:t>La impugnación del art. 25 LBRL se circunscribe a su posible aplicación directa, obviando los efectos que sobre este precepto debe tener necesariamente la disposición adicional segunda de la Ley 27/2013, que establece el régimen aplicable a la Comunidad Foral de Navarra, permitiendo que la Comunidad Foral pueda atribuir otras competencias propias a los Municipios y al resto de las Entidades Locales de Navarra, complementarias de las que el Estado ha decidido con carácter básico. Es decir, si el art. 25 LBRL se entiende aplicable a la Comunidad Foral íntegramente, interpretando que la regulación básica impide a la Comunidad Foral ampliar las competencias propias de los entes locales navarros, y que no tienen más competencias propias que las derivadas del listado del art. 25.2 LBRL, este precepto será inconstitucional por vulnerar la competencias de la Comunidad Foral (art. 46 LORAFNA) y exceder de las bases del art. 149.1.18 CE.</w:t>
      </w:r>
    </w:p>
    <w:p w:rsidR="00A90898" w:rsidRDefault="00A90898" w:rsidP="00A90898">
      <w:pPr>
        <w:pStyle w:val="TextoNormal"/>
      </w:pPr>
    </w:p>
    <w:p w:rsidR="00A90898" w:rsidRDefault="00A90898" w:rsidP="00A90898">
      <w:pPr>
        <w:pStyle w:val="TextoNormal"/>
      </w:pPr>
      <w:r>
        <w:t>d) El artículo primero, 10, de la Ley 27/2013, que da una nueva redacción al art. 27 LBRL, sobre delegación de competencias de las Comunidades Autónomas en los municipios, así como, por conexión, el artículo primero, tres, de la Ley 27/2013, que da nueva redacción al art. 7.3 LBRL, en relación a los elementos a incluir en la delegación, y la disposición adicional novena de la Ley 27/2013, se impugnan por cuanto todos ellos vulneran la autonomía de las Comunidades Autónomas reconocida en el art. 137 CE y suponen una extralimitación de las bases estatales (art. 149.1.18 CE) y, por tanto, vulneran el art. 46 LORAFNA.</w:t>
      </w:r>
    </w:p>
    <w:p w:rsidR="00A90898" w:rsidRDefault="00A90898" w:rsidP="00A90898">
      <w:pPr>
        <w:pStyle w:val="TextoNormal"/>
      </w:pPr>
    </w:p>
    <w:p w:rsidR="00A90898" w:rsidRDefault="00A90898" w:rsidP="00A90898">
      <w:pPr>
        <w:pStyle w:val="TextoNormal"/>
      </w:pPr>
      <w:r>
        <w:t xml:space="preserve">El art. 27 LBRL regula tan detalladamente las condiciones y el procedimiento de delegación de competencias en los municipios, que se vulnera la autonomía de las Comunidades </w:t>
      </w:r>
      <w:r>
        <w:lastRenderedPageBreak/>
        <w:t>Autónomas (art. 137 CE) y se extralimita en el ejercicio de la competencia básica estatal. La delegación es una técnica instrumental de libre ejercicio por parte del titular de la competencia y el Estado no puede restringirla cuando afecta a materias de la exclusiva competencia de las Comunidades Autónomas.</w:t>
      </w:r>
    </w:p>
    <w:p w:rsidR="00A90898" w:rsidRDefault="00A90898" w:rsidP="00A90898">
      <w:pPr>
        <w:pStyle w:val="TextoNormal"/>
      </w:pPr>
    </w:p>
    <w:p w:rsidR="00A90898" w:rsidRDefault="00A90898" w:rsidP="00A90898">
      <w:pPr>
        <w:pStyle w:val="TextoNormal"/>
      </w:pPr>
      <w:r>
        <w:t>El art. 7.3 LBRL también sería inconstitucional por vulnerar la autonomía de las Comunidades Autónomas (art. 137 CE) en cuanto a los elementos a incluir en la delegación. No se puede imponer a otra Administración, en este caso a la autonómica, cómo debe actuar en relación a competencias delegadas, esto es, competencias de titularidad autonómica.</w:t>
      </w:r>
    </w:p>
    <w:p w:rsidR="00A90898" w:rsidRDefault="00A90898" w:rsidP="00A90898">
      <w:pPr>
        <w:pStyle w:val="TextoNormal"/>
      </w:pPr>
    </w:p>
    <w:p w:rsidR="00A90898" w:rsidRDefault="00A90898" w:rsidP="00A90898">
      <w:pPr>
        <w:pStyle w:val="TextoNormal"/>
      </w:pPr>
      <w:r>
        <w:t>La disposición adicional novena de la Ley de racionalización y sostenibilidad de la Administración local desbordaría el art. 149.1.18 CE toda vez que impone para el 31 de diciembre de 2014 la adaptación a la Ley de los convenios ya suscritos entre las Comunidades Autónomas y los entes locales que conllevan financiación de las competencias delegadas, quedando sin efecto en caso contrario.</w:t>
      </w:r>
    </w:p>
    <w:p w:rsidR="00A90898" w:rsidRDefault="00A90898" w:rsidP="00A90898">
      <w:pPr>
        <w:pStyle w:val="TextoNormal"/>
      </w:pPr>
    </w:p>
    <w:p w:rsidR="00A90898" w:rsidRDefault="00A90898" w:rsidP="00A90898">
      <w:pPr>
        <w:pStyle w:val="TextoNormal"/>
      </w:pPr>
      <w:r>
        <w:t>e) El artículo primero, 16, de la Ley 27/2013, que da nueva redacción al art. 57 LBRL, sobre la regulación de los consorcios, se impugna por extralimitación de las bases estatales (art. 149.1.18 CE).</w:t>
      </w:r>
    </w:p>
    <w:p w:rsidR="00A90898" w:rsidRDefault="00A90898" w:rsidP="00A90898">
      <w:pPr>
        <w:pStyle w:val="TextoNormal"/>
      </w:pPr>
    </w:p>
    <w:p w:rsidR="00A90898" w:rsidRDefault="00A90898" w:rsidP="00A90898">
      <w:pPr>
        <w:pStyle w:val="TextoNormal"/>
      </w:pPr>
      <w:r>
        <w:t>Se trataría de una materia de competencia autonómica, de manera que el legislador estatal no estaría autorizado a limitar la constitución de los consorcios apelando al principio de sostenibilidad financiera; tal principio podría justificar controles o condicionantes a la actuación autonómica, pero no la alteración del reparto competencial entre el Estado y las Comunidades Autónomas. El art. 135 CE no es una cláusula atributiva de competencias.</w:t>
      </w:r>
    </w:p>
    <w:p w:rsidR="00A90898" w:rsidRDefault="00A90898" w:rsidP="00A90898">
      <w:pPr>
        <w:pStyle w:val="TextoNormal"/>
      </w:pPr>
    </w:p>
    <w:p w:rsidR="00A90898" w:rsidRDefault="00A90898" w:rsidP="00A90898">
      <w:pPr>
        <w:pStyle w:val="TextoNormal"/>
      </w:pPr>
      <w:r>
        <w:t>f) El artículo primero, 21, de la Ley 27/2013, que da una nueva redacción al art. 85.2 LBRL, sobre las formas de gestión de los servicios públicos, se impugna por extralimitación de las bases estatales (art. 149.1.18 CE).</w:t>
      </w:r>
    </w:p>
    <w:p w:rsidR="00A90898" w:rsidRDefault="00A90898" w:rsidP="00A90898">
      <w:pPr>
        <w:pStyle w:val="TextoNormal"/>
      </w:pPr>
    </w:p>
    <w:p w:rsidR="00A90898" w:rsidRDefault="00A90898" w:rsidP="00A90898">
      <w:pPr>
        <w:pStyle w:val="TextoNormal"/>
      </w:pPr>
      <w:r>
        <w:t>El art. 85.2 LBRL se impugna únicamente respecto a su posible aplicación directa, obviando la previsión contenida en la disposición adicional segunda de la Ley 27/2013. Por tanto ese precepto se entenderá inconstitucional en la medida que se aplique a la Comunidad Foral obviando la precitada disposición adicional, pues en ese caso se produciría una vulneración de las competencias de la Comunidad Foral (art. 46 LORAFNA) con exceso de las bases del art. 149.1.18 CE. La prelación de unas formas de gestión de los servicios públicos sobre otras no puede considerarse incluidas en los principios básicos que corresponde establecer al Estado y dejar a la Comunidad Foral sin espacio normativo para el desarrollo de esas bases.</w:t>
      </w:r>
    </w:p>
    <w:p w:rsidR="00A90898" w:rsidRDefault="00A90898" w:rsidP="00A90898">
      <w:pPr>
        <w:pStyle w:val="TextoNormal"/>
      </w:pPr>
    </w:p>
    <w:p w:rsidR="00A90898" w:rsidRDefault="00A90898" w:rsidP="00A90898">
      <w:pPr>
        <w:pStyle w:val="TextoNormal"/>
      </w:pPr>
      <w:r>
        <w:t>g) La disposición transitoria cuarta de la Ley 27/2013, que regula la disolución de entidades de ámbito territorial inferior al municipio, se impugna por vulnerar las competencias autonómicas sobre las corporaciones locales (art. 148.1.2 CE) y la organización de sus instituciones de autogobierno (art. 148.1.1 CE), con extralimitación de las bases estatales del art. 149.1.18 CE y vulneración del art. 46 LORAFNA.</w:t>
      </w:r>
    </w:p>
    <w:p w:rsidR="00A90898" w:rsidRDefault="00A90898" w:rsidP="00A90898">
      <w:pPr>
        <w:pStyle w:val="TextoNormal"/>
      </w:pPr>
    </w:p>
    <w:p w:rsidR="00A90898" w:rsidRDefault="00A90898" w:rsidP="00A90898">
      <w:pPr>
        <w:pStyle w:val="TextoNormal"/>
      </w:pPr>
      <w:r>
        <w:lastRenderedPageBreak/>
        <w:t>La disposición transitoria cuarta de la Ley 27/2013 prevé la disolución de las entidades locales de ámbito territorial inframunicipal cuando, antes de una determinada fecha, no hayan presentado sus cuentas ante el Estado y las Comunidades Autónomas. Según el escrito de interposición, a la vista de la doctrina constitucional (SSTC 179/1985, de 19 de diciembre y 214/1989, de 21 de diciembre), no ofrece dudas que la legislación básica no alcanza a los requisitos relativos a la creación y extinción de estas entidades, que están sujetas a un fuerte grado de interiorización autonómica. La disposición controvertida llega incluso a prever la disolución como efecto de la ausencia de rendición de cuentas ante el Estado desconociendo que la tutela financiera es una competencia ejecutiva de la Comunidad Autónoma. La norma exige, además, que la disolución se acuerde por Decreto del gobierno autonómico en contra de la competencia autonómica de autoorganización (art. 148.1.1 CE).</w:t>
      </w:r>
    </w:p>
    <w:p w:rsidR="00A90898" w:rsidRDefault="00A90898" w:rsidP="00A90898">
      <w:pPr>
        <w:pStyle w:val="TextoNormal"/>
      </w:pPr>
    </w:p>
    <w:p w:rsidR="00A90898" w:rsidRDefault="00A90898" w:rsidP="00A90898">
      <w:pPr>
        <w:pStyle w:val="TextoNormal"/>
      </w:pPr>
      <w:r>
        <w:t>h) La disposición transitoria undécima de la Ley 27/2013, que regula las mancomunidades de municipios, se impugna por vulnerar las competencias autonómicas sobre corporaciones locales (art. 148.1.2 CE) y auto organización (art. 148.1.1 CE) con extralimitación de las bases estatales (art. 149.1.18 CE) y vulneración del art. 46 LORAFNA.</w:t>
      </w:r>
    </w:p>
    <w:p w:rsidR="00A90898" w:rsidRDefault="00A90898" w:rsidP="00A90898">
      <w:pPr>
        <w:pStyle w:val="TextoNormal"/>
      </w:pPr>
    </w:p>
    <w:p w:rsidR="00A90898" w:rsidRDefault="00A90898" w:rsidP="00A90898">
      <w:pPr>
        <w:pStyle w:val="TextoNormal"/>
      </w:pPr>
      <w:r>
        <w:t>La disposición transitoria undécima de la Ley 27/2013 incurriría en inconstitucionalidad porque, de un lado, se restringen las competencias autonómicas exclusivamente a la realización de obras y la prestación de servicios públicos, vulnerándose así las competencias de la Comunidad Foral para fijar las técnicas de organización y de relación para la cooperación y la colaboración entre entes locales, excediendo los límites en que puede desenvolverse la legislación básica; y, de otro, se vulneraría la competencia autonómica de autoorganización (art. 148.1.1 CE) al asignar al órgano de gobierno de la Comunidad Autónoma la función de iniciar y resolver los procedimientos de disolución de tales mancomunidades sin permitirles regular el correspondiente procedimiento en ejercicio de su competencia.</w:t>
      </w:r>
    </w:p>
    <w:p w:rsidR="00A90898" w:rsidRDefault="00A90898" w:rsidP="00A90898">
      <w:pPr>
        <w:pStyle w:val="TextoNormal"/>
      </w:pPr>
    </w:p>
    <w:p w:rsidR="00A90898" w:rsidRDefault="00A90898" w:rsidP="00A90898">
      <w:pPr>
        <w:pStyle w:val="TextoNormal"/>
      </w:pPr>
      <w:r>
        <w:t>B) En el segundo bloque se afirma la inconstitucionalidad de los siguientes preceptos de la Ley 27/2013, por lesionar la autonomía local (arts. 137, 140 y 142 CE):</w:t>
      </w:r>
    </w:p>
    <w:p w:rsidR="00A90898" w:rsidRDefault="00A90898" w:rsidP="00A90898">
      <w:pPr>
        <w:pStyle w:val="TextoNormal"/>
      </w:pPr>
    </w:p>
    <w:p w:rsidR="00A90898" w:rsidRDefault="00A90898" w:rsidP="00A90898">
      <w:pPr>
        <w:pStyle w:val="TextoNormal"/>
      </w:pPr>
      <w:r>
        <w:t>a) El artículo primero, 3, de la Ley 27/2013, que da una nueva redacción al art. 7.4 LBRL, sobre ejercicio de competencias distintas de las propias y de las atribuidas por delegación, se impugna por exigir dos informes vinculantes de otras Administraciones para que el municipio puede ejercer competencias distintas a las propias y delegadas.</w:t>
      </w:r>
    </w:p>
    <w:p w:rsidR="00A90898" w:rsidRDefault="00A90898" w:rsidP="00A90898">
      <w:pPr>
        <w:pStyle w:val="TextoNormal"/>
      </w:pPr>
    </w:p>
    <w:p w:rsidR="00A90898" w:rsidRDefault="00A90898" w:rsidP="00A90898">
      <w:pPr>
        <w:pStyle w:val="TextoNormal"/>
      </w:pPr>
      <w:r>
        <w:t>En esta disposición se hace depender el ejercicio de las denominadas competencias impropias, de la emisión de dos informes de otras Administraciones en los que, en definitiva, se valora la oportunidad de ese ejercicio competencial por parte del municipio. De esta forma se están introduciendo controles sobre la actuación de los municipios que son, en puridad, controles de oportunidad sin parámetros definidos, no controles de legalidad y, en consecuencia, vulneran la garantía constitucional de la autonomía local.</w:t>
      </w:r>
    </w:p>
    <w:p w:rsidR="00A90898" w:rsidRDefault="00A90898" w:rsidP="00A90898">
      <w:pPr>
        <w:pStyle w:val="TextoNormal"/>
      </w:pPr>
    </w:p>
    <w:p w:rsidR="00A90898" w:rsidRDefault="00A90898" w:rsidP="00A90898">
      <w:pPr>
        <w:pStyle w:val="TextoNormal"/>
      </w:pPr>
      <w:r>
        <w:t>De otro lado, condicionar el ejercicio de competencias municipales impropias a los requisitos de estabilidad y sostenibilidad, condena al gobierno local a observar estos requisitos para la prestación de cada servicio o ejercicio de cada competencia, desconociendo que la Ley Orgánica de estabilidad presupuestaria y sostenibilidad financiera configura la sosteni</w:t>
      </w:r>
      <w:r>
        <w:lastRenderedPageBreak/>
        <w:t>bilidad, no en función de actuaciones particulares, sino del conjunto de la Hacienda municipal. En definitiva, no cabe exigir como condición previa a una determinada competencia el cumplimiento de los requisitos de sostenibilidad.</w:t>
      </w:r>
    </w:p>
    <w:p w:rsidR="00A90898" w:rsidRDefault="00A90898" w:rsidP="00A90898">
      <w:pPr>
        <w:pStyle w:val="TextoNormal"/>
      </w:pPr>
    </w:p>
    <w:p w:rsidR="00A90898" w:rsidRDefault="00A90898" w:rsidP="00A90898">
      <w:pPr>
        <w:pStyle w:val="TextoNormal"/>
      </w:pPr>
      <w:r>
        <w:t>b) El artículo primero, 16, de la Ley de racionalización y sostenibilidad de la Administración local, que da una nueva redacción al art. 57.3 LBRL, sobre la constitución de consorcios entre un ente local y las Administraciones del Estado y de las Comunidades Autónomas, se impugna por establecer condicionantes que limitan sin razón suficiente la potestad de autoorganización de aquél.</w:t>
      </w:r>
    </w:p>
    <w:p w:rsidR="00A90898" w:rsidRDefault="00A90898" w:rsidP="00A90898">
      <w:pPr>
        <w:pStyle w:val="TextoNormal"/>
      </w:pPr>
    </w:p>
    <w:p w:rsidR="00A90898" w:rsidRDefault="00A90898" w:rsidP="00A90898">
      <w:pPr>
        <w:pStyle w:val="TextoNormal"/>
      </w:pPr>
      <w:r>
        <w:t>Se traslada al municipio la carga de demostrar que, con el consorcio, se permite una asignación más eficiente de los recursos económicos y no se pone en riesgo la sostenibilidad financiera. Sin embargo, el legislador básico estatal no incluye ninguna justificación o “razón suficiente” (en términos de la STC 214/1989) para introducir esta limitación a la capacidad de autoorganización del municipio en la prestación de sus servicios, de manera que se está lesionando la autonomía de los municipios para decidir sobre la “gestión de sus respectivos intereses” (art. 137 CE). Esta restricción choca igualmente con el derecho de los municipios a asociarse para el cumplimiento adecuado de sus competencias, derecho reconocido en el marco de la autonomía local por la Carta Europea de la Autonomía Local.</w:t>
      </w:r>
    </w:p>
    <w:p w:rsidR="00A90898" w:rsidRDefault="00A90898" w:rsidP="00A90898">
      <w:pPr>
        <w:pStyle w:val="TextoNormal"/>
      </w:pPr>
    </w:p>
    <w:p w:rsidR="00A90898" w:rsidRDefault="00A90898" w:rsidP="00A90898">
      <w:pPr>
        <w:pStyle w:val="TextoNormal"/>
      </w:pPr>
      <w:r>
        <w:t>c) El artículo primero, 21, de la Ley 27/2013, que da una nueva redacción al art. 85.2 LBRL, sobre las formas de gestión de los servicios públicos locales, se impugna por cuanto prioriza determinadas formas de gestión, sin aducir justificación, o “razón suficiente” para limitar la potestad de auto organización de los entes locales. Al primarse la gestión por la propia entidad local o el organismo autónomo local frente a la entidad pública empresarial o la sociedad mercantil local (todas ellas opciones permitidas por el ordenamiento jurídico aplicable a los entes locales) se está limitando la capacidad de autoorganización del municipio sin ninguna justificación específica para ello, más allá de presunciones implícitas. Con esta disposición se está condicionando la capacidad de decisión de la entidad local, debilitando con ello la “autonomía para la gestión de sus respectivos intereses” (art. 137 CE) sin justificar la razón (en términos de la STC 214/1989).</w:t>
      </w:r>
    </w:p>
    <w:p w:rsidR="00A90898" w:rsidRDefault="00A90898" w:rsidP="00A90898">
      <w:pPr>
        <w:pStyle w:val="TextoNormal"/>
      </w:pPr>
    </w:p>
    <w:p w:rsidR="00A90898" w:rsidRDefault="00A90898" w:rsidP="00A90898">
      <w:pPr>
        <w:pStyle w:val="TextoNormal"/>
      </w:pPr>
      <w:r>
        <w:t xml:space="preserve">d) El artículo primero, 30, de la Ley 27/2013, que introduce el art. 116 </w:t>
      </w:r>
      <w:r w:rsidRPr="00A90898">
        <w:rPr>
          <w:i/>
        </w:rPr>
        <w:t>bis</w:t>
      </w:r>
      <w:r>
        <w:t xml:space="preserve"> LBRL, sobre el contenido y seguimiento del plan económico-financiero que deben elaborar los gobiernos locales cuando incumplan el objetivo de estabilidad presupuestaria, precisando las medidas que deben adoptar las corporaciones locales, se impugna por cuanto se limita su autonomía para determinar los medios o vías para corregir el exceso de déficit, endeudamiento o gasto, y se contradice, a su vez, el art. 21 de la Ley Orgánica de estabilidad presupuestaria y sostenibilidad financiera, con vulneración del art. 135 CE en el sentido apuntado, a contrario, por la STC 134/2011 [FJ 14 a)].</w:t>
      </w:r>
    </w:p>
    <w:p w:rsidR="00A90898" w:rsidRDefault="00A90898" w:rsidP="00A90898">
      <w:pPr>
        <w:pStyle w:val="TextoNormal"/>
      </w:pPr>
    </w:p>
    <w:p w:rsidR="00A90898" w:rsidRDefault="00A90898" w:rsidP="00A90898">
      <w:pPr>
        <w:pStyle w:val="TextoNormal"/>
      </w:pPr>
      <w:r>
        <w:t xml:space="preserve">El nuevo art. 116 </w:t>
      </w:r>
      <w:r w:rsidRPr="00A90898">
        <w:rPr>
          <w:i/>
        </w:rPr>
        <w:t>bis</w:t>
      </w:r>
      <w:r>
        <w:t xml:space="preserve"> LBRL incorpora una regulación de los planes económico-financieros para las entidades locales distinta a la establecida en la Ley Orgánica de estabilidad presupuestaria y sostenibilidad financiera, innovando y adicionando sustancialmente el contenido que se exigirá a los planes municipales. Se restringe de forma absolutamente desproporcionada la autonomía local con la pormenorizada y casuística enumeración de las medidas que inexcusablemente han de llevarse ahora al plan económico-financiero. Mientras que el art. 21.2 Ley Orgánica de estabilidad presupuestaria y sostenibilidad financiera, en lógica </w:t>
      </w:r>
      <w:r>
        <w:lastRenderedPageBreak/>
        <w:t>correspondencia con el necesario respeto a la autonomía de las entidades territoriales constitucionalmente garantizada, deja un amplio margen de maniobra a la Administración incumplidora para fijar los “medios” o las “vías” a través de las cuales se corregirá el exceso de déficit, de endeudamiento o de gasto, el nuevo art. 116 bis.2 LRBRL comprime —hasta anularlo— el espacio de libre decisión de los gobiernos locales, al imponer pormenorizadamente a la entidad local las concretas medidas que han de llevarse al plan.</w:t>
      </w:r>
    </w:p>
    <w:p w:rsidR="00A90898" w:rsidRDefault="00A90898" w:rsidP="00A90898">
      <w:pPr>
        <w:pStyle w:val="TextoNormal"/>
      </w:pPr>
    </w:p>
    <w:p w:rsidR="00A90898" w:rsidRDefault="00A90898" w:rsidP="00A90898">
      <w:pPr>
        <w:pStyle w:val="TextoNormal"/>
      </w:pPr>
      <w:r>
        <w:t xml:space="preserve">También es cuestionable esta disposición desde la perspectiva de la regulación constitucional de las fuentes del Derecho. El nuevo art. 116 </w:t>
      </w:r>
      <w:r w:rsidRPr="00A90898">
        <w:rPr>
          <w:i/>
        </w:rPr>
        <w:t>bis</w:t>
      </w:r>
      <w:r>
        <w:t xml:space="preserve"> de la Ley de racionalización y sostenibilidad de la Administración local contradice la Ley Orgánica de estabilidad presupuestaria y sostenibilidad financiera, a la que remite la Constitución para establecer los supuestos excepcionales de superación de los límites de déficit y deuda entre las distintas administraciones (por ello, también de la administración local) así como la forma y plazo de corrección de las desviaciones que pudieran producirse (art. 135.5.a CE).</w:t>
      </w:r>
    </w:p>
    <w:p w:rsidR="00A90898" w:rsidRDefault="00A90898" w:rsidP="00A90898">
      <w:pPr>
        <w:pStyle w:val="TextoNormal"/>
      </w:pPr>
    </w:p>
    <w:p w:rsidR="00A90898" w:rsidRDefault="00A90898" w:rsidP="00A90898">
      <w:pPr>
        <w:pStyle w:val="TextoNormal"/>
      </w:pPr>
      <w:r>
        <w:t>Por último se señala que el art. 135.5 CE reserva a una Ley Orgánica el desarrollo de los principios a que se refiere este artículo, así como la responsabilidad de cada Administración pública en caso de incumplimiento de los objetivos de estabilidad presupuestaria. Por tanto, en la medida que la Ley de racionalización y sostenibilidad de la Administración local incorpora medidas concretas de corrección para el caso de incumplimiento, se entiende que el art. 116.bis en sus apartados 2 y 3, vulneran el art. 135.5CE, por no tener rango de Ley Orgánica.</w:t>
      </w:r>
    </w:p>
    <w:p w:rsidR="00A90898" w:rsidRDefault="00A90898" w:rsidP="00A90898">
      <w:pPr>
        <w:pStyle w:val="TextoNormal"/>
      </w:pPr>
    </w:p>
    <w:p w:rsidR="00A90898" w:rsidRDefault="00A90898" w:rsidP="00A90898">
      <w:pPr>
        <w:pStyle w:val="TextoNormal"/>
      </w:pPr>
      <w:r>
        <w:t>e) El artículo primero, 31, de la Ley 27/2013, que introduce el art. 116 ter LBRL, sobre el “coste efectivo de los servicios”, se impugna por cuanto lesiona la dimensión financiera de la autonomía local. Por conexión, también se impugna el artículo primero, trece, de la Ley 27/2013, que modifica el art. 36 LBRL, por cuanto permite trasladar la prestación de servicios municipales a otra administración como consecuencia del “coste efectivo del servicio”, lesionando con ello igualmente la dimensión financiera de la autonomía local.</w:t>
      </w:r>
    </w:p>
    <w:p w:rsidR="00A90898" w:rsidRDefault="00A90898" w:rsidP="00A90898">
      <w:pPr>
        <w:pStyle w:val="TextoNormal"/>
      </w:pPr>
    </w:p>
    <w:p w:rsidR="00A90898" w:rsidRDefault="00A90898" w:rsidP="00A90898">
      <w:pPr>
        <w:pStyle w:val="TextoNormal"/>
      </w:pPr>
      <w:r>
        <w:t>La Ley que se recurre altera la relación entre medios (el coste) y el fin (el ejercicio de la competencia para la prestación del servicio), erigiendo el coste, específicamente su rebaja, en el único fin. Es decir, se prima la prestación de servicios a coste efectivo bajo, frente al ejercicio de las competencias por parte de su titular, con la consecuente lesión de la autonomía local. Ello choca frontalmente con la dimensión financiera de la autonomía local protegida por la Constitución (SSTC 32/1981; 109/1998, FJ 10; 48/2004, FJ 10; 13/1992, FJ 7, y 68/1996, FJ 10), pues es inherente a la noción constitucional de autonomía priorizar entre los diversos servicios públicos y, por tanto, optar por incrementar el nivel de prestación de aquellos que el ente autónomo considere pertinente, en función de las concretas condiciones socioeconómicas del municipio o de las propias demandas de los vecinos.</w:t>
      </w:r>
    </w:p>
    <w:p w:rsidR="00A90898" w:rsidRDefault="00A90898" w:rsidP="00A90898">
      <w:pPr>
        <w:pStyle w:val="TextoNormal"/>
      </w:pPr>
    </w:p>
    <w:p w:rsidR="00A90898" w:rsidRDefault="00A90898" w:rsidP="00A90898">
      <w:pPr>
        <w:pStyle w:val="TextoNormal"/>
      </w:pPr>
      <w:r>
        <w:t xml:space="preserve">El criterio del coste efectivo puede ser un criterio a utilizar por el nivel de gobierno responsable de garantizar la suficiencia financiera municipal, al objeto de dotarles de un montante de recursos “mínimo” que asegure un nivel estándar de prestación de los servicios. Pero siempre en el bien entendido de que ese "mínimo" puede ser mejorado por el municipio recurriendo a la reasignación de los recursos entre los diversos servicios o a las fuentes de financiación propias. Es decir, determinar que coste va a asignarse a cada uno de los servicios constituye, inequívocamente, una decisión política consustancial a un ente dotado de </w:t>
      </w:r>
      <w:r>
        <w:lastRenderedPageBreak/>
        <w:t>autonomía. La autonomía local protegida por la Constitución se proyecta igualmente en la vertiente de los ingresos [SSTC 19/1987, FJ 4; 221/1992, FJ 8, y 233/l999, FFJJ 10 b) y 18].</w:t>
      </w:r>
    </w:p>
    <w:p w:rsidR="00A90898" w:rsidRDefault="00A90898" w:rsidP="00A90898">
      <w:pPr>
        <w:pStyle w:val="TextoNormal"/>
      </w:pPr>
    </w:p>
    <w:p w:rsidR="00A90898" w:rsidRDefault="00A90898" w:rsidP="00A90898">
      <w:pPr>
        <w:pStyle w:val="TextoNormal"/>
      </w:pPr>
      <w:r>
        <w:t>f) El artículo primero, 38, de la Ley de racionalización y sostenibilidad en la Administración local, que introduce una nueva disposición adicional decimosexta LBRL, en la que se prevé la aprobación por la junta de gobierno local de acuerdos que normalmente corresponden al Pleno —en concreto, para aprobar el presupuesto municipal, el plan económico financiero, el plan de saneamiento o la entrada en mecanismos extraordinarios de financiación—, se impugna por cuanto se lesiona el principio democrático representativo al excluirse a la oposición de la participación en decisiones fundamentales del municipio.</w:t>
      </w:r>
    </w:p>
    <w:p w:rsidR="00A90898" w:rsidRDefault="00A90898" w:rsidP="00A90898">
      <w:pPr>
        <w:pStyle w:val="TextoNormal"/>
      </w:pPr>
    </w:p>
    <w:p w:rsidR="00A90898" w:rsidRDefault="00A90898" w:rsidP="00A90898">
      <w:pPr>
        <w:pStyle w:val="TextoNormal"/>
      </w:pPr>
      <w:r>
        <w:t>Cuando la Ley permite que decisiones fundamentales como la aprobación de los presupuestos, entre otros, pueda hacerse por la junta de gobierno local, sin la participación del Pleno en el que se residencia el principio representativo, y con la exclusión de los concejales de la oposición, se está lesionando el principio democrático con clara vulneración del art. 140 CE que incluye la opción constitucional por una administración democrática. Ese desapoderamiento del Pleno se produce ante una situación como la no aprobación en primera votación que, aunque se califique de excepcional, debe considerarse ordinaria en el funcionamiento democrático de una entidad pública.</w:t>
      </w:r>
    </w:p>
    <w:p w:rsidR="00A90898" w:rsidRDefault="00A90898" w:rsidP="00A90898">
      <w:pPr>
        <w:pStyle w:val="TextoNormal"/>
      </w:pPr>
    </w:p>
    <w:p w:rsidR="00A90898" w:rsidRDefault="00A90898" w:rsidP="00A90898">
      <w:pPr>
        <w:pStyle w:val="TextoNormal"/>
      </w:pPr>
      <w:r>
        <w:t>A mayor abundamiento, la previsión de que los planes económico-financieros puedan ser aprobados por la Junta de Gobierno y no por el Pleno, supone una contradicción con la Ley Orgánica prevista en el art. 135 CE. De acuerdo con el art. 23.4 de la Ley Orgánica de estabilidad presupuestaria y sostenibilidad financiera, estos planes deberán ser aprobados por el Pleno de la Corporación y esa previsión del legislador orgánico, al que remite el art. 135.5 CE, no puede ser contradicha por la legislación básica local.</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de 31 de mayo de 2014.</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en este Tribunal el 11 de junio de 2014, el Presidente del Senado comunica el acuerdo de la Mesa de la Cámara de personarse en el proceso ofreciendo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12 de junio de 2014 el Pleno del Tribunal Constitucional acuerda tener por personado al Abogado del Estado en la representación que legalmente ostenta y conceder la prórroga solicitada.</w:t>
      </w:r>
    </w:p>
    <w:p w:rsidR="00A90898" w:rsidRDefault="00A90898" w:rsidP="00A90898">
      <w:pPr>
        <w:pStyle w:val="TextoNormal"/>
      </w:pPr>
    </w:p>
    <w:p w:rsidR="00A90898" w:rsidRDefault="00A90898" w:rsidP="00A90898">
      <w:pPr>
        <w:pStyle w:val="TextoNormal"/>
      </w:pPr>
      <w:r w:rsidRPr="00A90898">
        <w:rPr>
          <w:rStyle w:val="NumeroAFNegritaCaracter"/>
        </w:rPr>
        <w:t>8</w:t>
      </w:r>
      <w:r>
        <w:t>. El Abogado del Estado, en la representación que legalmente ostenta, presenta el 2 de julio de 2014 en el Registro General de este Tribunal Constitucional su escrito de alegaciones.</w:t>
      </w:r>
    </w:p>
    <w:p w:rsidR="00A90898" w:rsidRDefault="00A90898" w:rsidP="00A90898">
      <w:pPr>
        <w:pStyle w:val="TextoNormal"/>
      </w:pPr>
    </w:p>
    <w:p w:rsidR="00A90898" w:rsidRDefault="00A90898" w:rsidP="00A90898">
      <w:pPr>
        <w:pStyle w:val="TextoNormal"/>
      </w:pPr>
      <w:r>
        <w:t>El indicado escrito dedica una primera parte a contextualizar el objeto del recurso y a describir el sentido de la reforma que lleva a cabo la Ley 27/2013, con exposición de los títulos competenciales afectados, dedicando una especial referencia al título derivado del art. 135 CE en relación con el recogido en el art. 149.1.13 CE. A continuación aborda, precepto por precepto, la defensa de la constitucionalidad de esta Ley teniendo en cuenta el particular régimen foral de Navarra y comienza con una serie de consideraciones generales destinadas a plantear el sentido de la reforma legal operada por la 27/2013.</w:t>
      </w:r>
    </w:p>
    <w:p w:rsidR="00A90898" w:rsidRDefault="00A90898" w:rsidP="00A90898">
      <w:pPr>
        <w:pStyle w:val="TextoNormal"/>
      </w:pPr>
    </w:p>
    <w:p w:rsidR="00A90898" w:rsidRDefault="00A90898" w:rsidP="00A90898">
      <w:pPr>
        <w:pStyle w:val="TextoNormal"/>
      </w:pPr>
      <w:r>
        <w:t>El art. 135 CE, en su nueva redacción dada en 2011, consagra la estabilidad presupuestaria y sostenibilidad financiera como principio rector que debe presidir las actuaciones de todas las Administraciones públicas. En desarrollo de este precepto constitucional se aprobó la Ley Orgánica de estabilidad presupuestaria y sostenibilidad financiera. La reforma persigue varios objetivos básicos: clarificar las competencias municipales para evitar duplicidades con las competencias de otras Administraciones, racionalizar la estructura organizativa de la Administración local de acuerdo con los principios de eficiencia, estabilidad y sostenibilidad financiera, garantizar un control financiero y presupuestario más riguroso y favorecer la iniciativa económica privada evitando intervenciones administrativas desproporcionadas. La Ley de bases de régimen local, diseñó un modelo competencial que ha dado lugar a disfuncionalidades, generando en no pocos supuestos situaciones de concurrencia competencial entre varias Administraciones públicas, duplicidad en la prestación de servicios, o que los ayuntamientos presten servicios sin un título competencial específico que les habilite y sin contar con los recursos adecuados para ello, dando lugar al ejercicio de competencias que no tienen legalmente atribuidas ni delegadas y a la duplicidad de competencias entre Administraciones. Para acreditar lo dicho se aporta como documento núm.1 la memoria de impacto normativo de la Ley en la que se cuantifican los objetivos económicos de la reforma.</w:t>
      </w:r>
    </w:p>
    <w:p w:rsidR="00A90898" w:rsidRDefault="00A90898" w:rsidP="00A90898">
      <w:pPr>
        <w:pStyle w:val="TextoNormal"/>
      </w:pPr>
    </w:p>
    <w:p w:rsidR="00A90898" w:rsidRDefault="00A90898" w:rsidP="00A90898">
      <w:pPr>
        <w:pStyle w:val="TextoNormal"/>
      </w:pPr>
      <w:r>
        <w:t>La 27/2013 proviene del plan nacional de reformas 2013 remitido por el Consejo de Ministros a la Unión Europea, que pretende perseverar en la corrección de los desequilibrios presupuestarios y sentar las bases de la recuperación económica y de la creación de empleo. La Ley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A90898" w:rsidRDefault="00A90898" w:rsidP="00A90898">
      <w:pPr>
        <w:pStyle w:val="TextoNormal"/>
      </w:pPr>
    </w:p>
    <w:p w:rsidR="00A90898" w:rsidRDefault="00A90898" w:rsidP="00A90898">
      <w:pPr>
        <w:pStyle w:val="TextoNormal"/>
      </w:pPr>
      <w:r>
        <w:t>En cuanto a los títulos competenciales que sustentarían la reforma, el Abogado del Estado se refiere a los apartados 18, 14 y 13 del art. 149.1 CE. El primero, sobre bases del régimen local, cubriría las regulaciones que concretan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y 240/2006, de 20 de julio, FJ 8).</w:t>
      </w:r>
    </w:p>
    <w:p w:rsidR="00A90898" w:rsidRDefault="00A90898" w:rsidP="00A90898">
      <w:pPr>
        <w:pStyle w:val="TextoNormal"/>
      </w:pPr>
    </w:p>
    <w:p w:rsidR="00A90898" w:rsidRDefault="00A90898" w:rsidP="00A90898">
      <w:pPr>
        <w:pStyle w:val="TextoNormal"/>
      </w:pPr>
      <w:r>
        <w:t xml:space="preserve">En base a este título competencial corresponde al Estado el desarrollo normativo del nivel local de gobierno, en virtud de la competencia que ostenta sobre las “bases del régimen jurídico de las Administraciones Públicas” </w:t>
      </w:r>
      <w:r w:rsidRPr="00A90898">
        <w:rPr>
          <w:i/>
        </w:rPr>
        <w:t>ex</w:t>
      </w:r>
      <w:r>
        <w:t xml:space="preserve"> artículo 149.1.18 CE [SSTC 4/1981, FFJJ 1 B) y 3 y 32/1981, FJ 5]. De este modo, la normativa estatal sobre régimen local amparada en el artículo 149.1.18 CE “tiende a asegurar un nivel mínimo de autonomía a todas las Corporaciones locales en todo el territorio nacional, sea cual sea la Comunidad Autónoma en que estén localizadas” (SSTC 213/1988. FJ 2 y 259/1988, FJ 2). Es decir, en virtud de este título competencial, y de acuerdo con la doctrina constitucional, corresponde al Estado establecer la garantía institucional básica que asegure a los entes locales su derecho a intervenir en cuantos asuntos afecten directamente a su círculo de intereses, fijando unas directrices que primen los principios de descentralización y máxima proximidad a la gestión administrativa de los ciudadanos, reglas básicas que las Comunidades Autónomas, en virtud de sus competencias estatutarias en materia de “régimen local”, podrán desarrollar y ejecutar.</w:t>
      </w:r>
    </w:p>
    <w:p w:rsidR="00A90898" w:rsidRDefault="00A90898" w:rsidP="00A90898">
      <w:pPr>
        <w:pStyle w:val="TextoNormal"/>
      </w:pPr>
    </w:p>
    <w:p w:rsidR="00A90898" w:rsidRDefault="00A90898" w:rsidP="00A90898">
      <w:pPr>
        <w:pStyle w:val="TextoNormal"/>
      </w:pPr>
      <w:r>
        <w:t>El art. 149.1.14 CE, sobre hacienda general, cubriría específicamente la normativa estatal sobre las instituciones comunes a las distintas haciendas, la coordinación entre las haciendas estatal y locales y la garantía de la suficiencia financiera de los entes locales prevista en el art. 137 CE (STC 233/1999, de 16 de diciembre, FJ 4, y las Sentencias que allí se citan). La estrecha vinculación entre el régimen local y la hacienda local justificaría que la Ley 27/2013 cite conjuntamente ambos títulos, tal como ha admitido la doctrina constitucional (STC 233/1999), sin perjuicio de que varias de sus disposiciones serían directamente incardinables en el art. 149.1.14 CE.</w:t>
      </w:r>
    </w:p>
    <w:p w:rsidR="00A90898" w:rsidRDefault="00A90898" w:rsidP="00A90898">
      <w:pPr>
        <w:pStyle w:val="TextoNormal"/>
      </w:pPr>
    </w:p>
    <w:p w:rsidR="00A90898" w:rsidRDefault="00A90898" w:rsidP="00A90898">
      <w:pPr>
        <w:pStyle w:val="TextoNormal"/>
      </w:pPr>
      <w:r>
        <w:t xml:space="preserve">La Ley 27/2013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la Ley de bases de régimen local.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de racionalización y sostenibilidad de la Administración local se apoyaría ahora de modo fundamental, dado el nuevo contexto constitucional, en el art. 149.1.13 CE. Este título justificaría una mayor extensión de las bases del régimen local, teniendo en cuenta que en todo caso el concepto </w:t>
      </w:r>
      <w:r>
        <w:lastRenderedPageBreak/>
        <w:t>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147/2012, de 16 de julio, FJ 6, y 160/2011, de 22 de noviembre, FJ 3).</w:t>
      </w:r>
    </w:p>
    <w:p w:rsidR="00A90898" w:rsidRDefault="00A90898" w:rsidP="00A90898">
      <w:pPr>
        <w:pStyle w:val="TextoNormal"/>
      </w:pPr>
    </w:p>
    <w:p w:rsidR="00A90898" w:rsidRDefault="00A90898" w:rsidP="00A90898">
      <w:pPr>
        <w:pStyle w:val="TextoNormal"/>
      </w:pPr>
      <w:r>
        <w:t>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00A90898" w:rsidRDefault="00A90898" w:rsidP="00A90898">
      <w:pPr>
        <w:pStyle w:val="TextoNormal"/>
      </w:pPr>
    </w:p>
    <w:p w:rsidR="00A90898" w:rsidRDefault="00A90898" w:rsidP="00A90898">
      <w:pPr>
        <w:pStyle w:val="TextoNormal"/>
      </w:pPr>
      <w:r>
        <w:t>Todas las medidas de contención de gastos, de estabilidad presupuestaria y sostenibilidad financiera han de aplicarse en todo el sector público. Por ello, este título competencial justifica una mayor extensión de la normativa básica sobre la materia e incide y refuerza la competencia estatal para regular el régimen jurídico local. Todo ello, en el contexto de necesidad de superar una organización administrativa que dificulta la estabilidad presupuestaria y la solvencia financiera de las entidades locales.</w:t>
      </w:r>
    </w:p>
    <w:p w:rsidR="00A90898" w:rsidRDefault="00A90898" w:rsidP="00A90898">
      <w:pPr>
        <w:pStyle w:val="TextoNormal"/>
      </w:pPr>
    </w:p>
    <w:p w:rsidR="00A90898" w:rsidRDefault="00A90898" w:rsidP="00A90898">
      <w:pPr>
        <w:pStyle w:val="TextoNormal"/>
      </w:pPr>
      <w:r>
        <w:t>A continuación, el Abogado del Estado se refiere a la adaptación de la Ley de racionalización y sostenibilidad de la Administración Local al régimen foral navarro pues el recurso del Parlamento Foral de Navarra se centra, casi exclusivamente, en la afectación a las peculiaridades de su régimen foral de las previsiones de la Ley 27/2013, que asume las particularidades del régimen foral navarro cuando, en su disposición adicional segunda, bajo el título “Régimen aplicable a la Comunidad Foral de Navarra”, prevé el régimen de aplicación de sus preceptos. Esta disposición contiene importantes excepciones al régimen común introducido por la Ley 27/2013, que tratan de cohonestar la finalidad de dicha Ley con las especialidades forales, no sólo en el ámbito del régimen local, sino también en el ámbito de la función pública o en aspectos financieros, cohonestándose así con lo establecido en la disposición final tercera de la Ley Orgánica de estabilidad presupuestaria.</w:t>
      </w:r>
    </w:p>
    <w:p w:rsidR="00A90898" w:rsidRDefault="00A90898" w:rsidP="00A90898">
      <w:pPr>
        <w:pStyle w:val="TextoNormal"/>
      </w:pPr>
    </w:p>
    <w:p w:rsidR="00A90898" w:rsidRDefault="00A90898" w:rsidP="00A90898">
      <w:pPr>
        <w:pStyle w:val="TextoNormal"/>
      </w:pPr>
      <w:r>
        <w:t xml:space="preserve">Para el caso de apreciarse “contraposición” entre la LORAFNA y la Ley de racionalización y sostenibilidad de la Administración Local, habría de entenderse que prevalece la legislación básica trasladando, a tal fin, mutatis mutandis, la relación entre los Estatutos de Autonomía y la legislación básica analizada en la STC 31/2010, de 28 de junio, que resuelve el recurso de inconstitucionalidad interpuesto contra el Estatuto de Autonomía de Cataluña, la cual insiste en la doctrina del “carácter bifronte del régimen local” al señalar (FJ 36) que,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de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 aquella concurrencia, como no podría ser de otra manera, ineludiblemente pervive en cuanto el ejercicio de las competencias autonómicas en materia de régimen local </w:t>
      </w:r>
      <w:r>
        <w:lastRenderedPageBreak/>
        <w:t xml:space="preserve">ha de ajustarse, necesariamente, a la competencia que sobre las bases de la misma corresponde al Estado </w:t>
      </w:r>
      <w:r w:rsidRPr="00A90898">
        <w:rPr>
          <w:i/>
        </w:rPr>
        <w:t>ex</w:t>
      </w:r>
      <w:r>
        <w:t xml:space="preserve"> art. 149.1.18 CE, por lo que la regulación estatutaria ha de entenderse, en principio, sin perjuicio de las relaciones que el Estado puede legítimamente establecer con todos los entes locales”.</w:t>
      </w:r>
    </w:p>
    <w:p w:rsidR="00A90898" w:rsidRDefault="00A90898" w:rsidP="00A90898">
      <w:pPr>
        <w:pStyle w:val="TextoNormal"/>
      </w:pPr>
    </w:p>
    <w:p w:rsidR="00A90898" w:rsidRDefault="00A90898" w:rsidP="00A90898">
      <w:pPr>
        <w:pStyle w:val="TextoNormal"/>
      </w:pPr>
      <w:r>
        <w:t>Ello no quiere decir que las previsiones estatutarias queden desprovistas de contenido por la legislación básica. Las previsiones estatutarias interiorizan el régimen local para cada Comunidad Autónoma en el sentido de que delimitan los ámbitos materiales y proporcionan guías de actuación al legislador autonómico, pero todo ello, en el marco de la normativa básica estatal. Ahora bien, en caso de contraposición entre las normas autonómicas y la legislación básica estatal, debe prevalecer esta última (tal y como se desprende también de las SSTC 103/2013 y 143/2013).</w:t>
      </w:r>
    </w:p>
    <w:p w:rsidR="00A90898" w:rsidRDefault="00A90898" w:rsidP="00A90898">
      <w:pPr>
        <w:pStyle w:val="TextoNormal"/>
      </w:pPr>
    </w:p>
    <w:p w:rsidR="00A90898" w:rsidRDefault="00A90898" w:rsidP="00A90898">
      <w:pPr>
        <w:pStyle w:val="TextoNormal"/>
      </w:pPr>
      <w:r>
        <w:t>Partiendo, en definitiva, de que no existe vulneración del régimen foral de Navarra en los artículos impugnados dada la salvedad establecida en la disposición adicional de la Ley de racionalización y sostenibilidad de la Administración Local, o que, en caso de existir contradicción ha de entenderse salvada por la prevalencia de la legislación básica estatal, y salvo que el recurso se formule con carácter exclusivamente preventivo, o buscando únicamente la interpretación por parte del Tribunal, lo cual es contrario a la doctrina del Tribunal sobre el planteamiento de los recursos de inconstitucionalidad, el Abogado del Estado se refiere específicamente a continuación a cada una de las impugnaciones del recurso de inconstitucionalidad del modo siguiente:</w:t>
      </w:r>
    </w:p>
    <w:p w:rsidR="00A90898" w:rsidRDefault="00A90898" w:rsidP="00A90898">
      <w:pPr>
        <w:pStyle w:val="TextoNormal"/>
      </w:pPr>
    </w:p>
    <w:p w:rsidR="00A90898" w:rsidRDefault="00A90898" w:rsidP="00A90898">
      <w:pPr>
        <w:pStyle w:val="TextoNormal"/>
      </w:pPr>
      <w:r>
        <w:t>a) Respecto del artículo primero, ocho, de la Ley 27/2013, que da una nueva redacción al art. 25 LBRL, sobre las materias de competencia propia de los municipios, así como la disposición adicional decimoquinta y las disposiciones transitorias primera, segunda y tercera de la Ley 27/2013, señala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dispone de un margen de configuración, sin perjuicio de que debe garantizar a los entes locales la participación efectiva en los asuntos que les atañen (STC 121/2012, de 5 de junio, FJ 5). De acuerdo con el art. 149.1.18 CE, “corresponde al Estado optar, de entre los posibles, por un determinado modelo municipal” (STC 103/2013, FJ 5). Corresponde al legislador básico establecer los mínimos que dotan de contenido y efectividad a la garantía de la autonomía local, así como fijar los principios que deben aplicar las Comunidades Autónomas al detallar las competencias locales (STC 214/1989, de 21 de diciembre).</w:t>
      </w:r>
    </w:p>
    <w:p w:rsidR="00A90898" w:rsidRDefault="00A90898" w:rsidP="00A90898">
      <w:pPr>
        <w:pStyle w:val="TextoNormal"/>
      </w:pPr>
    </w:p>
    <w:p w:rsidR="00A90898" w:rsidRDefault="00A90898" w:rsidP="00A90898">
      <w:pPr>
        <w:pStyle w:val="TextoNormal"/>
      </w:pPr>
      <w:r>
        <w:t>La regulación estatal de las competencias locales formaría parte, no de los aspectos básicos secundarios o no expresivos de la garantía institucional de la autonomía local, sino de los enraizados en los arts. 135, 137, 140 y 141 CE (STC 159/2001, FJ 4); ahora también, en el art.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Esta regulación constituye globalmente un sistema coherente que satisface el contenido o núcleo básico institucional del concepto de autonomía local, reconocido y garantizado por la Constitución.</w:t>
      </w:r>
    </w:p>
    <w:p w:rsidR="00A90898" w:rsidRDefault="00A90898" w:rsidP="00A90898">
      <w:pPr>
        <w:pStyle w:val="TextoNormal"/>
      </w:pPr>
    </w:p>
    <w:p w:rsidR="00A90898" w:rsidRDefault="00A90898" w:rsidP="00A90898">
      <w:pPr>
        <w:pStyle w:val="TextoNormal"/>
      </w:pPr>
      <w:r>
        <w:lastRenderedPageBreak/>
        <w:t>La Ley de bases de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El art. 25.2 LBRL, en particular, indica una serie de materias que “en todo caso” el legislador competente debe atribuir a los municipios, sin que por tanto se produzca vulneración del art. 137 CE. A su vez, la indicada previsión se mantiene dentro de lo básico, sin invadir las competencias autonómicas, porque, en rigor, no atribuye competencias municipales; regula el régimen jurídico de su atribución, exigiendo la determinación legal. A su vez, da a entender implícitamente que las Comunidades Autónomas pueden atribuir competencias propias en materias distintas de las que enumera, con tal que la atribución se realice mediante Ley.</w:t>
      </w:r>
    </w:p>
    <w:p w:rsidR="00A90898" w:rsidRDefault="00A90898" w:rsidP="00A90898">
      <w:pPr>
        <w:pStyle w:val="TextoNormal"/>
      </w:pPr>
    </w:p>
    <w:p w:rsidR="00A90898" w:rsidRDefault="00A90898" w:rsidP="00A90898">
      <w:pPr>
        <w:pStyle w:val="TextoNormal"/>
      </w:pPr>
      <w:r>
        <w:t>La STC 32/1981, de 28 de junio, consideró que corresponde al Estado la competencia para establecer las bases no sólo en relación a los aspectos organizativos o institucionales, sino también en relación a las competencias de los Entes Locales constitucionalmente necesarios (FJ 1). Debe ser el legislador estatal, con carácter general y para todo tipo de materias, el que fije unos principios o bases relativos, entre otras cuestiones, a las competencias locales, encontrando cobertura constitucional a esta encomienda estatal en el concepto mismo de bases del régimen jurídico de las Administraciones públicas (SSTC 76/1983, de 5 de agosto, FJ 19, y 27/1987, de 27 de febrero, FJ 12), por cuanto dicha expresión obliga a las Administraciones locales (STC 214/1989, de 21 de diciembre, FJ 1).</w:t>
      </w:r>
    </w:p>
    <w:p w:rsidR="00A90898" w:rsidRDefault="00A90898" w:rsidP="00A90898">
      <w:pPr>
        <w:pStyle w:val="TextoNormal"/>
      </w:pPr>
    </w:p>
    <w:p w:rsidR="00A90898" w:rsidRDefault="00A90898" w:rsidP="00A90898">
      <w:pPr>
        <w:pStyle w:val="TextoNormal"/>
      </w:pPr>
      <w:r>
        <w:t>El objetivo del art. 25.2 LBRL, tras la reforma también, es garantizar un mínimo funcional a la actividad de los municipios en los asuntos de interés local. Es sobre todo, una garantía básica de autonomía municipal frente a las leyes autonómicas. Pero en forma alguna es un límite a las competencias sectoriales municipales, ni incluye un juicio de desvalor, o subsidiariedad, sobre otras competencias no incluidas en el listado del artículo 25.2 pero que tanto el Estado como la respectiva Comunidad Autónoma también puedan incluir en el acervo competencial municipal.</w:t>
      </w:r>
    </w:p>
    <w:p w:rsidR="00A90898" w:rsidRDefault="00A90898" w:rsidP="00A90898">
      <w:pPr>
        <w:pStyle w:val="TextoNormal"/>
      </w:pPr>
    </w:p>
    <w:p w:rsidR="00A90898" w:rsidRDefault="00A90898" w:rsidP="00A90898">
      <w:pPr>
        <w:pStyle w:val="TextoNormal"/>
      </w:pPr>
      <w:r>
        <w:t>Este artículo no es una mera norma de atribución de competencias municipales concretas, sino una norma sobre el régimen jurídico de las competencias locales, lo cual está claramente amparado por la competencia estatal básica sobre régimen jurídico de las Administración públicas, conforme al título competencial del art. 149.l.18 CE. A través de ese artículo 25.2, el Estado identifica una serie de materias donde está presente el interés local y exige a los legisladores, del propio Estado o de las Comunidades Autónomas, que en función de ese interés local atribuyan competencias a los municipios.</w:t>
      </w:r>
    </w:p>
    <w:p w:rsidR="00A90898" w:rsidRDefault="00A90898" w:rsidP="00A90898">
      <w:pPr>
        <w:pStyle w:val="TextoNormal"/>
      </w:pPr>
    </w:p>
    <w:p w:rsidR="00A90898" w:rsidRDefault="00A90898" w:rsidP="00A90898">
      <w:pPr>
        <w:pStyle w:val="TextoNormal"/>
      </w:pPr>
      <w:r>
        <w:t>b) Respecto de la disposición adicional decimoquinta y las disposiciones transitorias primera, segunda y tercera de la Ley 27/2013, a pesar de ser formalmente impugnadas en el recurso, el Abogado del Estado considera que no se desarrolla en la demanda la argumentación mínima necesaria para fundamentar su inconstitucionalidad, por lo que han de entenderse excluidas de este recurso.</w:t>
      </w:r>
    </w:p>
    <w:p w:rsidR="00A90898" w:rsidRDefault="00A90898" w:rsidP="00A90898">
      <w:pPr>
        <w:pStyle w:val="TextoNormal"/>
      </w:pPr>
    </w:p>
    <w:p w:rsidR="00A90898" w:rsidRDefault="00A90898" w:rsidP="00A90898">
      <w:pPr>
        <w:pStyle w:val="TextoNormal"/>
      </w:pPr>
      <w:r>
        <w:t xml:space="preserve">c) Respecto del artículo primero, diez, de la Ley 27/2013, que da una nueva redacción al art. 27 LBRL, sobre delegación de competencias autonómicas en los municipios, así como, </w:t>
      </w:r>
      <w:r>
        <w:lastRenderedPageBreak/>
        <w:t>por conexión, el artículo primero, tres, de la Ley 27/2013, que da nueva redacción al art. 7.3 LBRL, más que producir un efecto reductor, constituye una modificación del sentido o de la funcionalidad en la atribución de competencias a los municipios. La posibilidad de delegación por el Estado o por las Comunidades Autónomas se configura, según la nueva Ley, como un instrumento de reducción de costes en la gestión de competencias autonómicas y estatales.</w:t>
      </w:r>
    </w:p>
    <w:p w:rsidR="00A90898" w:rsidRDefault="00A90898" w:rsidP="00A90898">
      <w:pPr>
        <w:pStyle w:val="TextoNormal"/>
      </w:pPr>
    </w:p>
    <w:p w:rsidR="00A90898" w:rsidRDefault="00A90898" w:rsidP="00A90898">
      <w:pPr>
        <w:pStyle w:val="TextoNormal"/>
      </w:pPr>
      <w:r>
        <w:t>El carácter básico del nuevo tratamiento jurídico del art. 27 LBRL supone que no haya razón alguna para considerar que se exceda de la competencia estatal conforme al art. 149.1.118 CE ni que sus previsiones sean contrarias al núcleo esencial de la autonomía local, y ello en la medida en que de acuerdo con lo dispuesto en el apartado 5 del mismo art. 27, resulta necesaria la aceptación de la delegación por parte del municipio receptor para la efectividad jurídica de la misma.</w:t>
      </w:r>
    </w:p>
    <w:p w:rsidR="00A90898" w:rsidRDefault="00A90898" w:rsidP="00A90898">
      <w:pPr>
        <w:pStyle w:val="TextoNormal"/>
      </w:pPr>
    </w:p>
    <w:p w:rsidR="00A90898" w:rsidRDefault="00A90898" w:rsidP="00A90898">
      <w:pPr>
        <w:pStyle w:val="TextoNormal"/>
      </w:pPr>
      <w:r>
        <w:t>La nueva regulación, configurada bajo los títulos competenciales del art. 149.1.18ª y 14 CE, se hacía precisa tras la reforma del art. 135 CE y en este sentido, los apartados 4, 6 y 7 del art. 27 LBRL, en la redacción dada por la Ley 27/2013, participan o se hallan inspirados por los principios del art. 135 CE.</w:t>
      </w:r>
    </w:p>
    <w:p w:rsidR="00A90898" w:rsidRDefault="00A90898" w:rsidP="00A90898">
      <w:pPr>
        <w:pStyle w:val="TextoNormal"/>
      </w:pPr>
    </w:p>
    <w:p w:rsidR="00A90898" w:rsidRDefault="00A90898" w:rsidP="00A90898">
      <w:pPr>
        <w:pStyle w:val="TextoNormal"/>
      </w:pPr>
      <w:r>
        <w:t>Los criterios o condiciones de eficacia de la delegación de las competencias que pueden operarse a favor de los municipios conforme al art. 27 LBRL en sus apartado 4, 6 y 7, son condicionamientos legales que operan a partir de la nueva configuración que el art. 135 ha producido a nivel de legalidad constitucional, y se traducen en legislación ordinaria básica en el texto de la nueva Ley 27/2013, bajo la cobertura de las reglas competenciales 14 (hacienda general) y 18 (bases del régimen jurídico de las Administraciones públicas) del art. 149 CE, a partir del sustrato material asimismo de los arts. 137, 140 y 141 de la CE. Es decir, el art. 27 LBRL, además de hallar cobertura en las competencias que la Constitución reserva al Estado, respetaría los arts. 137, 140 y 141 CE.</w:t>
      </w:r>
    </w:p>
    <w:p w:rsidR="00A90898" w:rsidRDefault="00A90898" w:rsidP="00A90898">
      <w:pPr>
        <w:pStyle w:val="TextoNormal"/>
      </w:pPr>
    </w:p>
    <w:p w:rsidR="00A90898" w:rsidRDefault="00A90898" w:rsidP="00A90898">
      <w:pPr>
        <w:pStyle w:val="TextoNormal"/>
      </w:pPr>
      <w:r>
        <w:t>Las competencias susceptibles de delegación conforme al nuevo art. 27 LBRL suponen una forma de entender en un sentido más funcional la posición institucional de las Entidades Locales pues, tras la reforma del art. 135 CE, el concepto básico de autonomía local deja de tener un significado estático para configurarse de una manera más bien evolutiva o dinámica, susceptible de ser desarrollado y modulado sobre la base de los ámbitos competenciales previamente determinados por la ley como competencias susceptibles de delegación. Téngase en cuenta que el art. 7.1 LBRL, determina que “[l]as competencias de las Entidades Locales son propias o atribuidas por delegación”. Una vez atribuida la delegación puede decirse, grosso modo, que son competencias de las entidades locales en la medida en que la ley debe garantizar su ejercicio con un margen de autonomía. Esto entra dentro del margen de libertad de configuración de legislador básico sobre régimen local general.</w:t>
      </w:r>
    </w:p>
    <w:p w:rsidR="00A90898" w:rsidRDefault="00A90898" w:rsidP="00A90898">
      <w:pPr>
        <w:pStyle w:val="TextoNormal"/>
      </w:pPr>
    </w:p>
    <w:p w:rsidR="00A90898" w:rsidRDefault="00A90898" w:rsidP="00A90898">
      <w:pPr>
        <w:pStyle w:val="TextoNormal"/>
      </w:pPr>
      <w:r>
        <w:t xml:space="preserve">Como indicó la STC 32/1981, de 28 de julio, corresponde al Estado la competencia para establecer las bases no sólo en relación con los aspectos organizativos o institucionales, sino también en relación con las competencias de los entes locales constitucionalmente necesarios (es decir, municipios, provincias e islas). Y ello porque, como titulares del derecho a la autonomía constitucionalmente garantizada, las corporaciones locales no pueden ser dejadas, en lo que toca a la definición de sus competencias y la configuración de sus órganos de gobierno, a la interpretación que cada Comunidad Autónoma pueda hacer de ese derecho </w:t>
      </w:r>
      <w:r>
        <w:lastRenderedPageBreak/>
        <w:t>(doctrina que ha sido confirmada posteriormente por las SSTC 214/1989, de 21 de diciembre; 159/2001, de 5 de julio; 240/2006, de 20 de julio; 134/2011, de 20 de julio, y 132/2012, de 19 de junio).</w:t>
      </w:r>
    </w:p>
    <w:p w:rsidR="00A90898" w:rsidRDefault="00A90898" w:rsidP="00A90898">
      <w:pPr>
        <w:pStyle w:val="TextoNormal"/>
      </w:pPr>
    </w:p>
    <w:p w:rsidR="00A90898" w:rsidRDefault="00A90898" w:rsidP="00A90898">
      <w:pPr>
        <w:pStyle w:val="TextoNormal"/>
      </w:pPr>
      <w:r>
        <w:t>En consecuencia, como ha expuesto el Consejo de Estado en dictámenes núms. 567/2013, de 24 de mayo, y 338/2014, de 22 de mayo, a la vista de la doctrina constitucional invocada, es el legislador estatal quien, en el ejercicio de la competencia que le reconoce el art. 149.1.18 CE, puede y debe establecer una regulación normativa uniforme y de vigencia en todo el territorio español, configurando un modelo local común que comprenda tanto la vertiente subjetiva o de construcción institucional de los entes locales, como la objetiva de determinación de las competencias que se les atribuyen, incluyendo igualmente la regulación de las relaciones de estos entes entre sí y con otras Administraciones públicas. Se trata, en todo caso, de una regulación de carácter básico que, como tal, debe permitir un ulterior desarrollo por las Comunidades Autónomas, cuyos Estatutos de Autonomía les atribuyen, con distinto alcance, competencias en materia de régimen local.</w:t>
      </w:r>
    </w:p>
    <w:p w:rsidR="00A90898" w:rsidRDefault="00A90898" w:rsidP="00A90898">
      <w:pPr>
        <w:pStyle w:val="TextoNormal"/>
      </w:pPr>
    </w:p>
    <w:p w:rsidR="00A90898" w:rsidRDefault="00A90898" w:rsidP="00A90898">
      <w:pPr>
        <w:pStyle w:val="TextoNormal"/>
      </w:pPr>
      <w:r>
        <w:t>d) Estos mismos criterios abonan la constitucionalidad de la nueva redacción del art. 7.3 LBRL, en cuanto que el Estado y las Comunidades Autónomas, en el ejercicio de sus respectivas competencias, podrán delegar en las entidades locales el ejercicio de sus competencias. No dispone ese precepto básico estatal de las competencias propias y exclusivas de las Comunidades Autónomas, de manera que no atenta, como pretenden los recurrentes, contra el principio de autonomía de las Comunidades Autónomas ex art. 137 CE, sino que tan sólo prevé una posibilidad general, susceptible de un eventual ejercicio.</w:t>
      </w:r>
    </w:p>
    <w:p w:rsidR="00A90898" w:rsidRDefault="00A90898" w:rsidP="00A90898">
      <w:pPr>
        <w:pStyle w:val="TextoNormal"/>
      </w:pPr>
    </w:p>
    <w:p w:rsidR="00A90898" w:rsidRDefault="00A90898" w:rsidP="00A90898">
      <w:pPr>
        <w:pStyle w:val="TextoNormal"/>
      </w:pPr>
      <w:r>
        <w:t>e) Sobre la constitucionalidad del artículo primero, apartado tres, de la Ley de racionalización y sostenibilidad de la Administración Local en la redacción que da al art. 7.4 LBRL, señala el Abogado del Estado que la novedad que supone la referencia en este precepto a competencias distintas de las propias y de las atribuidas por delegación, no supone la consagración de una nueva categoría de competencias de las entidades locales.</w:t>
      </w:r>
    </w:p>
    <w:p w:rsidR="00A90898" w:rsidRDefault="00A90898" w:rsidP="00A90898">
      <w:pPr>
        <w:pStyle w:val="TextoNormal"/>
      </w:pPr>
    </w:p>
    <w:p w:rsidR="00A90898" w:rsidRDefault="00A90898" w:rsidP="00A90898">
      <w:pPr>
        <w:pStyle w:val="TextoNormal"/>
      </w:pPr>
      <w:r>
        <w:t>Tras la aprobación de la Ley de racionalización y sostenibilidad de la Administración Local se sigue reconociendo a las entidades locales en el art. 2.1 LBRL su derecho a intervenir en cuantos asuntos afecten directamente al círculo de sus intereses, aunque adecuando ahora su ejercicio no ya sólo a los principios de descentralización y máxima proximidad a los ciudadanos, sino también a los de eficacia y eficiencia, con estricta sujeción a la normativa de estabilidad presupuestaria y sostenibilidad financiera, acordes con el nuevo canon de constitucionalidad que se introduce a partir de la reforma constitucional que dio nueva redacción al art. 135 CE, para adecuarlo a los criterios de estabilidad y contención del déficit público establecidos por la Unión Europea.</w:t>
      </w:r>
    </w:p>
    <w:p w:rsidR="00A90898" w:rsidRDefault="00A90898" w:rsidP="00A90898">
      <w:pPr>
        <w:pStyle w:val="TextoNormal"/>
      </w:pPr>
    </w:p>
    <w:p w:rsidR="00A90898" w:rsidRDefault="00A90898" w:rsidP="00A90898">
      <w:pPr>
        <w:pStyle w:val="TextoNormal"/>
      </w:pPr>
      <w:r>
        <w:t>Para el Abogado del Estado, nada en la Constitución obliga a que la ley atribuya una competencia universal o general a los municipios, de manera que la fijación a priori de un listado de competencias municipales por el legislador ordinario, como hace el art. 25.2 o el 27.2 no vulnera en modo alguno la garantía institucional básica reconocida por la Constitución y plasmada a través unos preceptos constitucionales que no han delimitado cuáles son las competencias de las entidades locales.</w:t>
      </w:r>
    </w:p>
    <w:p w:rsidR="00A90898" w:rsidRDefault="00A90898" w:rsidP="00A90898">
      <w:pPr>
        <w:pStyle w:val="TextoNormal"/>
      </w:pPr>
    </w:p>
    <w:p w:rsidR="00A90898" w:rsidRDefault="00A90898" w:rsidP="00A90898">
      <w:pPr>
        <w:pStyle w:val="TextoNormal"/>
      </w:pPr>
      <w:r>
        <w:lastRenderedPageBreak/>
        <w:t>La expresión “en todo caso”, que figura tanto en el inciso inicial del apartado 2 del artículo 25, al enumerar las competencias propias de los municipios, y en el apartado 1 del artículo 26, en la enumeración de los servicios que las entidades locales municipales deberán prestar, no debe interpretarse en el sentido materialmente restrictivo y limitador de que esos listados de ámbitos materiales operen como listados excluyentes.</w:t>
      </w:r>
    </w:p>
    <w:p w:rsidR="00A90898" w:rsidRDefault="00A90898" w:rsidP="00A90898">
      <w:pPr>
        <w:pStyle w:val="TextoNormal"/>
      </w:pPr>
    </w:p>
    <w:p w:rsidR="00A90898" w:rsidRDefault="00A90898" w:rsidP="00A90898">
      <w:pPr>
        <w:pStyle w:val="TextoNormal"/>
      </w:pPr>
      <w:r>
        <w:t>Esos artículos de la Ley establecen una concreción de la función constitucional atribuida al legislador básico sobre régimen local, consistente en garantizar los mínimos competenciales que dotan de contenido y efectividad a la garantía de la autonomía local, reconocida constitucionalmente a los municipios.</w:t>
      </w:r>
    </w:p>
    <w:p w:rsidR="00A90898" w:rsidRDefault="00A90898" w:rsidP="00A90898">
      <w:pPr>
        <w:pStyle w:val="TextoNormal"/>
      </w:pPr>
    </w:p>
    <w:p w:rsidR="00A90898" w:rsidRDefault="00A90898" w:rsidP="00A90898">
      <w:pPr>
        <w:pStyle w:val="TextoNormal"/>
      </w:pPr>
      <w:r>
        <w:t>No cabe confundir conceptualmente, reducción o constricción de las competencias de las Administraciones públicas, con la racionalización de su ejercicio que la reforma operada por la Ley de racionalización y sostenibilidad de la Administración Local trata de alcanzar. La clarificación y simplificación de las competencias municipales para evitar duplicidades con la de otras Administraciones, así como la racionalización de la estructura organizativa de la Administración local, de acuerdo con los principios de eficiencia y equilibrio financiero, se configuran como dos de los objetivos que se pretenden alcanzar con la Ley según pone de manifiesto su preámbulo.</w:t>
      </w:r>
    </w:p>
    <w:p w:rsidR="00A90898" w:rsidRDefault="00A90898" w:rsidP="00A90898">
      <w:pPr>
        <w:pStyle w:val="TextoNormal"/>
      </w:pPr>
    </w:p>
    <w:p w:rsidR="00A90898" w:rsidRDefault="00A90898" w:rsidP="00A90898">
      <w:pPr>
        <w:pStyle w:val="TextoNormal"/>
      </w:pPr>
      <w:r>
        <w:t>No limita ni resulta contrario al concepto de autonomía local que el nuevo art. 7.4 LBRL exija como requisito para que siga admitiendo la posibilidad de que las entidades locales ejerzan competencias distintas de las propias y de las atribuidas por delegación, el que no se ponga en riesgo, como dice el mismo artículo, la sostenibilidad financiera del conjunto de la hacienda municipal y que no se incurra en un supuesto de ejecución simultánea del mismo servicio público con otra Administración pública.</w:t>
      </w:r>
    </w:p>
    <w:p w:rsidR="00A90898" w:rsidRDefault="00A90898" w:rsidP="00A90898">
      <w:pPr>
        <w:pStyle w:val="TextoNormal"/>
      </w:pPr>
    </w:p>
    <w:p w:rsidR="00A90898" w:rsidRDefault="00A90898" w:rsidP="00A90898">
      <w:pPr>
        <w:pStyle w:val="TextoNormal"/>
      </w:pPr>
      <w:r>
        <w:t>El nuevo parámetro de constitucionalidad del art. 135 CE inspira forzosamente el aspecto funcional del régimen de atribución de competencias a las entidades locales previsto en la Ley 27/2013. La nueva regulación trae causa de la necesidad de adaptar la normativa local a las previsiones de la Ley Orgánica de estabilidad presupuestaria y sostenibilidad financiera, aprobada precisamente en desarrollo del art. 135 CE. Así, dice el preámbulo de la misma Ley 27/2013 que “la reforma del art. 135 CE, en su nueva redacción dada en 2011, consagra la estabilidad presupuestaria como principio rector que debe presidir las actuaciones de todas las Administraciones Públicas … Todo ello exige adaptar algunos aspectos de la organización y funcionamiento de la Administración local así como mejorar su control económico-financiero”.</w:t>
      </w:r>
    </w:p>
    <w:p w:rsidR="00A90898" w:rsidRDefault="00A90898" w:rsidP="00A90898">
      <w:pPr>
        <w:pStyle w:val="TextoNormal"/>
      </w:pPr>
    </w:p>
    <w:p w:rsidR="00A90898" w:rsidRDefault="00A90898" w:rsidP="00A90898">
      <w:pPr>
        <w:pStyle w:val="TextoNormal"/>
      </w:pPr>
      <w:r>
        <w:t>A este respecto, el Tribunal Constitucional ha declarado que el principio de estabilidad presupuestaria establecido en el art. 135 CE contiene “un mandato constitucional que, como tal, vincula a todos los poderes públicos y que por tanto, en su sentido principal, queda fuera de la disponibilidad —de la competencia del Estado— y de las Comunidades Autónomas”, constituyendo además, y esto es lo decisivo, “un nuevo canon de constitucionalidad” (STC 157/2011, de 18 de octubre, FJ 3).</w:t>
      </w:r>
    </w:p>
    <w:p w:rsidR="00A90898" w:rsidRDefault="00A90898" w:rsidP="00A90898">
      <w:pPr>
        <w:pStyle w:val="TextoNormal"/>
      </w:pPr>
    </w:p>
    <w:p w:rsidR="00A90898" w:rsidRDefault="00A90898" w:rsidP="00A90898">
      <w:pPr>
        <w:pStyle w:val="TextoNormal"/>
      </w:pPr>
      <w:r>
        <w:t xml:space="preserve">En el mismo sentido, el Consejo de Estado ha entendido (en dictamen 164/2012, de 1 de marzo de 2012) que la estabilidad presupuestaria se configura como un límite constitucional, cuya contravención podrá acarrear inconstitucionalidad y nulidad, y también como una </w:t>
      </w:r>
      <w:r>
        <w:lastRenderedPageBreak/>
        <w:t>orientación constitucionalmente vinculante, que prescribe un programa constitucional obligatorio para la actividad financiera pública.</w:t>
      </w:r>
    </w:p>
    <w:p w:rsidR="00A90898" w:rsidRDefault="00A90898" w:rsidP="00A90898">
      <w:pPr>
        <w:pStyle w:val="TextoNormal"/>
      </w:pPr>
    </w:p>
    <w:p w:rsidR="00A90898" w:rsidRDefault="00A90898" w:rsidP="00A90898">
      <w:pPr>
        <w:pStyle w:val="TextoNormal"/>
      </w:pPr>
      <w:r>
        <w:t>Los factores de la estabilidad presupuestaria y de sostenibilidad financiera de las Administraciones públicas, y en concreto de la Administración local, son principios rectores que presentan la misma intensidad que los se puedan deducir de los arts. 137,140, 141 y 142 CE. Los objetivos que, en concordancia con la política financiera de la Unión Europea, se han querido acometer por parte del legislador constitucional, tienen un carácter esencial, de importancia fundamental para la regulación desde su mismo núcleo esencial, de todo el régimen jurídico de las entidades locales y de su autonomía local garantizada, pero a la vez modalizada, por el art. 135 CE. Este precepto en su actual redacción exige la adecuación a la Constitución de un previsible nuevo régimen local, una nueva normativa reguladora del régimen de las entidades locales que plasme o traduzca los nuevos principios, elevados a rango constitucional, de estabilidad presupuestaria y sostenibilidad financiera y, sobre todo, los instrumentos para garantizar su control efectivo, y que se proyectan necesariamente sobre el régimen de la Administración local.</w:t>
      </w:r>
    </w:p>
    <w:p w:rsidR="00A90898" w:rsidRDefault="00A90898" w:rsidP="00A90898">
      <w:pPr>
        <w:pStyle w:val="TextoNormal"/>
      </w:pPr>
    </w:p>
    <w:p w:rsidR="00A90898" w:rsidRDefault="00A90898" w:rsidP="00A90898">
      <w:pPr>
        <w:pStyle w:val="TextoNormal"/>
      </w:pPr>
      <w:r>
        <w:t>f) Para el Abogado del Estado, al abordar la impugnación del artículo primero, apartado quinto de la Ley de racionalización y sostenibilidad de la Administración Local, que da una nueva redacción al art. 13 LBRL, la adición de un nuevo requisito para la creación de nuevos municipios consistente en exigir que se trate de núcleo de población territorialmente diferenciada con al menos 5.000 habitantes tiende a evitar la proliferación de entidades locales que por su escasa población son inviables económica y financieramente. Por otro lado, exigir como requisito para la fusión que el municipio cuente con medios y recursos suficientes para financiar sus servicios, esto es, que sea sostenible financieramente, ha de interpretarse en el sentido descrito por los arts. 4 y 13 de la Ley Orgánica de estabilidad presupuestaria y sostenibilidad financiera, como “capacidad para financiar compromisos de gasto presentes y futuros dentro de los límites del déficit y la deuda pública”, requisito este que ya se exigía por la redacción inicial de la Ley reguladora de las bases de régimen local.</w:t>
      </w:r>
    </w:p>
    <w:p w:rsidR="00A90898" w:rsidRDefault="00A90898" w:rsidP="00A90898">
      <w:pPr>
        <w:pStyle w:val="TextoNormal"/>
      </w:pPr>
    </w:p>
    <w:p w:rsidR="00A90898" w:rsidRDefault="00A90898" w:rsidP="00A90898">
      <w:pPr>
        <w:pStyle w:val="TextoNormal"/>
      </w:pPr>
      <w:r>
        <w:t>Respecto de la fusión de municipios, su articulación se lleva a cabo mediante un convenio de fusión adoptado por mayoría simple de cada uno de los plenos de los municipios fusionados, suavizándose así la mayoría requerida para la adopción del acuerdo de fusión, de modo que se evita la actuación de minorías de bloqueo de la decisión y por tanto se favorece el acuerdo. La integración transitoria del pleno por los concejales de los municipios fusionados asegura que no haya afectación alguna al principio democrático.</w:t>
      </w:r>
    </w:p>
    <w:p w:rsidR="00A90898" w:rsidRDefault="00A90898" w:rsidP="00A90898">
      <w:pPr>
        <w:pStyle w:val="TextoNormal"/>
      </w:pPr>
    </w:p>
    <w:p w:rsidR="00A90898" w:rsidRDefault="00A90898" w:rsidP="00A90898">
      <w:pPr>
        <w:pStyle w:val="TextoNormal"/>
      </w:pPr>
      <w:r>
        <w:t xml:space="preserve">La nueva regulación de incentivos a la fusión prevé mejoras en el sistema de financiación local, dispensa de prestar nuevos servicios mínimos y le otorga preferencia para la asignación de planes de cooperación y otras subvenciones. La redacción del nuevo precepto se remite expresa y terminantemente a la legislación de las Comunidades Autónomas para la regulación de la fusión del municipio y llama a su intervención para la coordinación de la integración de los servicios resultantes de la fusión. Sobre la fusión de municipios invoca el Abogado del Estado la doctrina contenida en las SSTC 214/1989 [“en relación a las alteraciones municipales, sin perjuicio de lo dispuesto por el art. 148.1 y 2 CE, el Estado ostenta también competencia para fijar los criterios básicos a los que debe sujetarse el ejercicio de las correspondientes competencias autonómicas, y ello como resultado del juego combinado </w:t>
      </w:r>
      <w:r>
        <w:lastRenderedPageBreak/>
        <w:t>de los arts. 137, 140 y 149.1.18 CE, que obligan necesariamente a atribuir al Estado la regulación básica de su propia estructura”] y 103/2013, de 5 de abril [FJ 3 b)].</w:t>
      </w:r>
    </w:p>
    <w:p w:rsidR="00A90898" w:rsidRDefault="00A90898" w:rsidP="00A90898">
      <w:pPr>
        <w:pStyle w:val="TextoNormal"/>
      </w:pPr>
    </w:p>
    <w:p w:rsidR="00A90898" w:rsidRDefault="00A90898" w:rsidP="00A90898">
      <w:pPr>
        <w:pStyle w:val="TextoNormal"/>
      </w:pPr>
      <w:r>
        <w:t>En nada afectan los incentivos a la fusión a la competencia de la Comunidad Foral de Navarra en materia de otorgamiento de subvenciones, porque el Estado actúa en materia de su competencia, y el precepto cuestionado no prevé los criterios de concesión de la subvención, sino que simplemente enuncia un criterio genérico de preferencia que actuará dejando a salvo los que cada administración competente establezca en la configuración de su actividad de fomento. La Comunidad Autónoma no queda al margen de este proceso de fusión.</w:t>
      </w:r>
    </w:p>
    <w:p w:rsidR="00A90898" w:rsidRDefault="00A90898" w:rsidP="00A90898">
      <w:pPr>
        <w:pStyle w:val="TextoNormal"/>
      </w:pPr>
    </w:p>
    <w:p w:rsidR="00A90898" w:rsidRDefault="00A90898" w:rsidP="00A90898">
      <w:pPr>
        <w:pStyle w:val="TextoNormal"/>
      </w:pPr>
      <w:r>
        <w:t xml:space="preserve">g) Sobre la impugnación del artículo primero, 7, de la Ley de racionalización y sostenibilidad de la Administración Local, que añade un nuevo art. 24 </w:t>
      </w:r>
      <w:r w:rsidRPr="00A90898">
        <w:rPr>
          <w:i/>
        </w:rPr>
        <w:t>bis</w:t>
      </w:r>
      <w:r>
        <w:t xml:space="preserve"> a la Ley reguladora de las bases de régimen local, y acerca de la impugnación de la disposición transitoria cuarta de la Ley 27/2013 por la que se regula la presentación de cuentas de las entidades locales de ámbito inferior al municipio, el Abogado del Estado señala que, a pesar de que el recurso de la Comunidad Foral Navarra aborda estas impugnaciones de forma separada, sistemáticamente es más adecuado su tratamiento conjunto.</w:t>
      </w:r>
    </w:p>
    <w:p w:rsidR="00A90898" w:rsidRDefault="00A90898" w:rsidP="00A90898">
      <w:pPr>
        <w:pStyle w:val="TextoNormal"/>
      </w:pPr>
    </w:p>
    <w:p w:rsidR="00A90898" w:rsidRDefault="00A90898" w:rsidP="00A90898">
      <w:pPr>
        <w:pStyle w:val="TextoNormal"/>
      </w:pPr>
      <w:r>
        <w:t>Considera que el título competencial contenido en el art. 149.1.18 CE permite al Estado optar por la reconfiguración del régimen jurídico de las entidades de ámbito territorial inferior al municipio, sin afectar a la autonomía local y sin interferir en las competencias de las Comunidades Autónomas, a cuya regulación se remite el nuevo artículo 24 bis en todo lo demás.</w:t>
      </w:r>
    </w:p>
    <w:p w:rsidR="00A90898" w:rsidRDefault="00A90898" w:rsidP="00A90898">
      <w:pPr>
        <w:pStyle w:val="TextoNormal"/>
      </w:pPr>
    </w:p>
    <w:p w:rsidR="00A90898" w:rsidRDefault="00A90898" w:rsidP="00A90898">
      <w:pPr>
        <w:pStyle w:val="TextoNormal"/>
      </w:pPr>
      <w:r>
        <w:t xml:space="preserve">En la regulación de las entidades de ámbito inferior al municipio ya existentes que aborda la Ley 27/2013, la disposición transitoria cuarta mantiene su existencia y plena personalidad jurídica y simplemente les impone la presentación de sus cuentas antes del día 31 de diciembre de 2014, configurando como causa de disolución el incumplimiento de esta carga. Esta disolución se acuerda no por el Estado, sino por la Comunidad Autónoma, y lleva aparejado un efecto jurídico que podría calificarse como atenuado, pues no supone la desaparición de la entidad, sino que la Comunidad Autónoma puede optar por su conservación como ente desconcentrado, asimilándola así a las de nueva creación en el régimen diseñado por el artículo 24 </w:t>
      </w:r>
      <w:r w:rsidRPr="00A90898">
        <w:rPr>
          <w:i/>
        </w:rPr>
        <w:t>bis</w:t>
      </w:r>
      <w:r>
        <w:t>. En consecuencia, no se crean, ni se extinguen, ni se altera su régimen jurídico, simplemente, en la delimitación de las bases de la hacienda general se les impone la remisión de presupuestos. De no hacerlo, tampoco se extinguen, sino que siguen existiendo como órganos desconcentrados. En cuanto a la carga de remisión de sus presupuestos, el Abogado del Estado recuerda la STC130/2013, de 4 de junio, según la cual el art. 149.1.14 CE permite al Estado regular íntegramente su propia hacienda, así como establecer las instituciones comunes a las distintas haciendas y las medidas para su coordinación y para subvenir a su suficiencia (STC 233/1999, de 13 de diciembre, FJ 4). Por tanto, puede el Estado establecer como carga cuyo cumplimiento da acceso al mantenimiento del régimen jurídico anterior de entidades de ámbito inferior al municipio la remisión de sus presupuestos, pues se trata de una medida de coordinación de las haciendas de todas estas entidades precisa para conocer su situación financiera.</w:t>
      </w:r>
    </w:p>
    <w:p w:rsidR="00A90898" w:rsidRDefault="00A90898" w:rsidP="00A90898">
      <w:pPr>
        <w:pStyle w:val="TextoNormal"/>
      </w:pPr>
    </w:p>
    <w:p w:rsidR="00A90898" w:rsidRDefault="00A90898" w:rsidP="00A90898">
      <w:pPr>
        <w:pStyle w:val="TextoNormal"/>
      </w:pPr>
      <w:r>
        <w:t xml:space="preserve">Respecto de las entidades de nueva creación, señala que no son una novedad pues los arts. 24 de la Ley reguladora de las bases de régimen local y 128 y 129 del Reglamento de </w:t>
      </w:r>
      <w:r>
        <w:lastRenderedPageBreak/>
        <w:t xml:space="preserve">organización y funcionamiento de las corporaciones locales ya regulaban estos órganos desconcentrados. En la nueva regulación, el art. 24 </w:t>
      </w:r>
      <w:r w:rsidRPr="00A90898">
        <w:rPr>
          <w:i/>
        </w:rPr>
        <w:t>bis</w:t>
      </w:r>
      <w:r>
        <w:t xml:space="preserve"> remite a la legislación de las Comunidades Autónomas la regulación de estas entidades que carecerán a partir de ahora de personalidad jurídica, configurándose como forma de organización desconcentrada del municipio.</w:t>
      </w:r>
    </w:p>
    <w:p w:rsidR="00A90898" w:rsidRDefault="00A90898" w:rsidP="00A90898">
      <w:pPr>
        <w:pStyle w:val="TextoNormal"/>
      </w:pPr>
    </w:p>
    <w:p w:rsidR="00A90898" w:rsidRDefault="00A90898" w:rsidP="00A90898">
      <w:pPr>
        <w:pStyle w:val="TextoNormal"/>
      </w:pPr>
      <w:r>
        <w:t>Recuerda el Abogado del Estado la doctrina sentada en las SSTC 179/1985 y 214/1989, para señalar que la regulación que aborda la Ley 27/2013 se desenvuelve plenamente en los contornos de la legislación básica del Estado en materia de hacienda general y régimen jurídico de las Administraciones públicas pues no supone creación ni extinción de las entidades de ámbito territorial inferior; no altera su régimen de competencias ni interfiere en él; se remite a la legislación de las Comunidades Autónomas en lo que concierne a su regulación; las existentes hasta la entrada en vigor de la Ley 27/2013 se mantienen, y tan sólo se les impone una carga como medio o vía para la conservación de su personalidad jurídica, como es la remisión al órgano competente de sus cuentas; a las de nueva creación se les modifica el régimen jurídico, de modo que pierden el atributo de la personalidad jurídica, lo que no implica su desaparición, sino su reconfiguración como órgano desconcentrado de la propia entidad. Esto es, la ley opta por modificar el modo de ejercicio de la descentralización que es inherente a la naturaleza de estas entidades. Por tanto, siguen existiendo y ejerciendo competencias descentralizadamente, siguen teniendo ámbito territorial y conservan su denominación y territorio (SSTC 214/1999 y 121/2012, de 5 de junio, FJ 50).</w:t>
      </w:r>
    </w:p>
    <w:p w:rsidR="00A90898" w:rsidRDefault="00A90898" w:rsidP="00A90898">
      <w:pPr>
        <w:pStyle w:val="TextoNormal"/>
      </w:pPr>
    </w:p>
    <w:p w:rsidR="00A90898" w:rsidRDefault="00A90898" w:rsidP="00A90898">
      <w:pPr>
        <w:pStyle w:val="TextoNormal"/>
      </w:pPr>
      <w:r>
        <w:t>Como el art. 137 CE solo menciona como entidades integrantes de la administración local y por tanto sólo garantiza la autonomía de los municipios y las provincias, el resto de entidades locales quedan a la libertad de configuración del legislador. El Estado no interfiere en su creación, que corresponderá a las Comunidades Autónomas, sino en su régimen jurídico, po</w:t>
      </w:r>
      <w:r w:rsidRPr="00A90898">
        <w:rPr>
          <w:i/>
        </w:rPr>
        <w:t>r m</w:t>
      </w:r>
      <w:r>
        <w:t>or de la competencia que le atribuye el art. 149.1.18 CE.</w:t>
      </w:r>
    </w:p>
    <w:p w:rsidR="00A90898" w:rsidRDefault="00A90898" w:rsidP="00A90898">
      <w:pPr>
        <w:pStyle w:val="TextoNormal"/>
      </w:pPr>
    </w:p>
    <w:p w:rsidR="00A90898" w:rsidRDefault="00A90898" w:rsidP="00A90898">
      <w:pPr>
        <w:pStyle w:val="TextoNormal"/>
      </w:pPr>
      <w:r>
        <w:t>El Abogado del Estado considera, con cita de la STC 159/2001, de 5 de julio, FJ 4, que las entidades de ámbito inferior al municipio, quedaron a disposición del legislador con el límite del respeto a la autonomía local y que no se exceda en el ejercicio de su competencia. De modo que corresponderá a las Comunidades Autónomas su creación y al Estado la determinación de su régimen jurídico y como nota inherente a este régimen, la determinación de su naturaleza jurídica.</w:t>
      </w:r>
    </w:p>
    <w:p w:rsidR="00A90898" w:rsidRDefault="00A90898" w:rsidP="00A90898">
      <w:pPr>
        <w:pStyle w:val="TextoNormal"/>
      </w:pPr>
    </w:p>
    <w:p w:rsidR="00A90898" w:rsidRDefault="00A90898" w:rsidP="00A90898">
      <w:pPr>
        <w:pStyle w:val="TextoNormal"/>
      </w:pPr>
      <w:r>
        <w:t>h) En relación con la impugnación del artículo primero, apartado 16, de la Ley de racionalización y sostenibilidad de la Administración Local, que da una nueva redacción al art. 57 LBRL, el Abogado del Estado señala que lo que se pretende es poner coto a una situación de dispersión, falta de información y utilización abusiva de la figura del consorcio como modo de externalización de recursos y controles propios de las entidades locales que lo conforman. El art. 10.1 de la Carta Europea de Autonomía Local no establece un derecho ilimitado y absoluto de asociación municipal sino en los términos y con los límites que en cada caso establezca el legislador nacional en base a la competencia atribuida al Estado en el art.149.1.18 CE (STC 50/1999, FJ 3). La regulación acometida por la Ley 27/2013 en absoluto supone la imposición de límites ablativos al asociacionismo local, ni siquiera condiciona de modo determinante e irreversible esta facultad de las entidades locales. Finalmente, en ningún caso, la Constitución exige que la ley explicite las razones o motivos de la concreta regulación de una materia.</w:t>
      </w:r>
    </w:p>
    <w:p w:rsidR="00A90898" w:rsidRDefault="00A90898" w:rsidP="00A90898">
      <w:pPr>
        <w:pStyle w:val="TextoNormal"/>
      </w:pPr>
    </w:p>
    <w:p w:rsidR="00A90898" w:rsidRDefault="00A90898" w:rsidP="00A90898">
      <w:pPr>
        <w:pStyle w:val="TextoNormal"/>
      </w:pPr>
      <w:r>
        <w:t>i) Sobre la impugnación del artículo primero, apartado 21, de la Ley 27/2013, por el que se modifica el art. 85 LBRL, el Abogado del Estado considera que este precepto no coarta la libertad de organización de la entidad local para la prestación directa de los servicios que tiene encomendados, sino que se limita a exigir dos requisitos para que el municipio pueda optar por formas “empresariales” de prestación del servicio.</w:t>
      </w:r>
    </w:p>
    <w:p w:rsidR="00A90898" w:rsidRDefault="00A90898" w:rsidP="00A90898">
      <w:pPr>
        <w:pStyle w:val="TextoNormal"/>
      </w:pPr>
    </w:p>
    <w:p w:rsidR="00A90898" w:rsidRDefault="00A90898" w:rsidP="00A90898">
      <w:pPr>
        <w:pStyle w:val="TextoNormal"/>
      </w:pPr>
      <w:r>
        <w:t>El primero, de carácter material, consiste en que la prestación a través de esta forma sea más eficiente y sostenible que la prestación a través de sus propios servicios o a través de organismos autónomos. La eficiencia en la prestación de servicios públicos no es una novedad, sino un trasunto del principio de eficacia administrativa reconocido constitucionalmente en el art. 103 CE, y del principio de eficiencia que se acoge en el art. 7.2 de la Ley Orgánica de estabilidad presupuestaria y sostenibilidad financiera. El principio de sostenibilidad financiera, por su parte, se define en el art. 4.2 de la Ley Orgánica de estabilidad presupuestaria y sostenibilidad financiera como la capacidad para financiar compromisos de gasto presentes y futuros dentro de los límites de déficit, deuda pública y morosidad de deuda comercial conforme a lo establecido en esta ley, la normativa sobre morosidad y en la normativa europea. Se entiende que existe sostenibilidad de la deuda comercial, cuando el período medio de pago a los proveedores no supere el plazo máximo previsto en la normativa sobre morosidad.</w:t>
      </w:r>
    </w:p>
    <w:p w:rsidR="00A90898" w:rsidRDefault="00A90898" w:rsidP="00A90898">
      <w:pPr>
        <w:pStyle w:val="TextoNormal"/>
      </w:pPr>
    </w:p>
    <w:p w:rsidR="00A90898" w:rsidRDefault="00A90898" w:rsidP="00A90898">
      <w:pPr>
        <w:pStyle w:val="TextoNormal"/>
      </w:pPr>
      <w:r>
        <w:t>El segundo requisito, de carácter formal, consiste en la justificación de esta opción mediante la elaboración de una memoria en la que han de constar los extremos mencionados en el precepto, conforme al cual el Estado, en el ejercicio de su competencia sobre régimen jurídico de las Administraciones públicas y sobre hacienda general, no pretende limitar ni condicionar la potestad de organización de los municipios para el ejercicio de sus competencias y la prestación de los servicios que tienen encomendados, sino garantizar que la elección de la fórmula responda a elementales y lógicos criterios de eficiencia, eficacia y sostenibilidad en el manejo de los fondos públicos (STC 143/2013, de 5 de abril, FJ 7).</w:t>
      </w:r>
    </w:p>
    <w:p w:rsidR="00A90898" w:rsidRDefault="00A90898" w:rsidP="00A90898">
      <w:pPr>
        <w:pStyle w:val="TextoNormal"/>
      </w:pPr>
    </w:p>
    <w:p w:rsidR="00A90898" w:rsidRDefault="00A90898" w:rsidP="00A90898">
      <w:pPr>
        <w:pStyle w:val="TextoNormal"/>
      </w:pPr>
      <w:r>
        <w:t>La impugnación de la Comunidad Foral se limita a señalar que la interpretación que haya de darse al nuevo art. 85.2 debe hacerse conjuntamente con lo dispuesto en la disposición adicional segunda de la Ley 27/2013, de manera que la competencia para decidir sobre la forma de prestación de servicios a la que se refiere el art. 26.2 de la Ley de bases de régimen local corresponderá a la Comunidad Foral de Navarra. Sin embargo, para el Abogado del Estado, la interpretación que pretende la Comunidad recurrente, con el argumento de que otro entendimiento del precepto le dejaría sin espacio normativo para el desarrollo de las bases establecidas por el Estado, desatiende el tenor literal de la referida disposición adicional segunda de la Ley 27/2013, que deja a salvo las particularidades de la Ley Orgánica 13/1982 en la aplicación de la ley, pero que no prevé la extensión de su previsión sobre las facultades de la Comunidad Foral de Navarra relativa a servicios coordinados por las diputaciones a la previsión sobre la preferencia en la gestión de los servicios públicos por todas las entidades.</w:t>
      </w:r>
    </w:p>
    <w:p w:rsidR="00A90898" w:rsidRDefault="00A90898" w:rsidP="00A90898">
      <w:pPr>
        <w:pStyle w:val="TextoNormal"/>
      </w:pPr>
    </w:p>
    <w:p w:rsidR="00A90898" w:rsidRDefault="00A90898" w:rsidP="00A90898">
      <w:pPr>
        <w:pStyle w:val="TextoNormal"/>
      </w:pPr>
      <w:r>
        <w:t xml:space="preserve">j) Sobre la impugnación del artículo primero, apartado 31, de la Ley 27/2013 por el que se añade un nuevo artículo 116 </w:t>
      </w:r>
      <w:r w:rsidRPr="00A90898">
        <w:rPr>
          <w:i/>
        </w:rPr>
        <w:t>ter</w:t>
      </w:r>
      <w:r>
        <w:t xml:space="preserve"> a la Ley reguladora de las bases de régimen local en relación con el coste efectivo de los servicios, el Abogado del Estado señala que el cálculo </w:t>
      </w:r>
      <w:r>
        <w:lastRenderedPageBreak/>
        <w:t>del coste efectivo de los servicios configurado en el nuevo precepto se justifica como medida de transparencia y de mejora de la información disponible. La finalidad de la medida consiste en posibilitar el conocimiento por los ciudadanos y electores del coste que supone la prestación de cada servicio por habitante. El efecto jurídico del cálculo es la posibilidad de que la Provincia asuma la coordinación de la prestación de determinados servicios si el municipio no los presta a un coste efectivo inferior, evitando desigualdades o discriminaciones con entidades enclavadas en otros entornos. El concepto de “coste estándar” que se contenía en el proyecto, se sustituyó por el de “coste efectivo” en el texto definitivo de la ley de una manera conceptualmente más precisa.</w:t>
      </w:r>
    </w:p>
    <w:p w:rsidR="00A90898" w:rsidRDefault="00A90898" w:rsidP="00A90898">
      <w:pPr>
        <w:pStyle w:val="TextoNormal"/>
      </w:pPr>
    </w:p>
    <w:p w:rsidR="00A90898" w:rsidRDefault="00A90898" w:rsidP="00A90898">
      <w:pPr>
        <w:pStyle w:val="TextoNormal"/>
      </w:pPr>
      <w:r>
        <w:t xml:space="preserve">k) Sobre la impugnación del artículo primero, 30, de la Ley 27/2013, que introduce el art. 116 </w:t>
      </w:r>
      <w:r w:rsidRPr="00A90898">
        <w:rPr>
          <w:i/>
        </w:rPr>
        <w:t>bis</w:t>
      </w:r>
      <w:r>
        <w:t xml:space="preserve"> LBRL, en concreto, sus apartados 2 y 3 LBRL, por la fijación del contenido del plan económico financiero (art. 116 </w:t>
      </w:r>
      <w:r w:rsidRPr="00A90898">
        <w:rPr>
          <w:i/>
        </w:rPr>
        <w:t>bis</w:t>
      </w:r>
      <w:r>
        <w:t xml:space="preserve">.2) y por la colaboración de la Diputación Provincial con la Comunidad Autónoma de tutela (art. 116 </w:t>
      </w:r>
      <w:r w:rsidRPr="00A90898">
        <w:rPr>
          <w:i/>
        </w:rPr>
        <w:t>bis</w:t>
      </w:r>
      <w:r>
        <w:t>.3), el Abogado del Estado considera que este motivo se vincula directamente con el sistema de financiación y con la Ley Orgánica de estabilidad presupuestaria y sostenibilidad financiera. El motivo de impugnación que se alega es la infracción de la reserva de Ley Orgánica prevista en el art. 135.5 CE, al regularse un contenido tildado de adicional excesivamente amplio y atribuir la colaboración de la diputación provincial con la Comunidad Autónoma de tutela, contradiciendo la propia regulación de la Ley Orgánica de estabilidad presupuestaria y sostenibilidad financiera.</w:t>
      </w:r>
    </w:p>
    <w:p w:rsidR="00A90898" w:rsidRDefault="00A90898" w:rsidP="00A90898">
      <w:pPr>
        <w:pStyle w:val="TextoNormal"/>
      </w:pPr>
    </w:p>
    <w:p w:rsidR="00A90898" w:rsidRDefault="00A90898" w:rsidP="00A90898">
      <w:pPr>
        <w:pStyle w:val="TextoNormal"/>
      </w:pPr>
      <w:r>
        <w:t>Se refiere el Abogado del Estado, en primer lugar, a la consagración constitucional de los principios de estabilidad presupuestaria y sostenibilidad financiera y considera que la reforma del art. 135 CE ha supuesto una profunda modificación de este precepto encuadrado en el título VII relativo a las materias de economía y hacienda. La nueva redacción del precepto constitucional se enmarca en un proceso de modificaciones constitucionales, análogas a las llevadas a cabo en los países de la Unión Europea, destinadas a garantizar el principio de estabilidad presupuestaria. De esta forma, la reforma de la Constitución para incluir el principio de estabilidad presupuestaria y fijar el límite del déficit de todas las Administraciones públicas, es la expresión del Estado de seguir avanzando en el proceso de construcción de la Unión Europea.</w:t>
      </w:r>
    </w:p>
    <w:p w:rsidR="00A90898" w:rsidRDefault="00A90898" w:rsidP="00A90898">
      <w:pPr>
        <w:pStyle w:val="TextoNormal"/>
      </w:pPr>
    </w:p>
    <w:p w:rsidR="00A90898" w:rsidRDefault="00A90898" w:rsidP="00A90898">
      <w:pPr>
        <w:pStyle w:val="TextoNormal"/>
      </w:pPr>
      <w:r>
        <w:t>Es más, materialmente es una exigencia de la supervivencia de la Unión Europea y consagra una nueva atribución de competencias, derivada de la Constitución, necesaria para proseguir la construcción de la Unión Europea y supone la primera apertura expresa y concreta de la Constitución Española al ordenamiento de la Unión Europea.</w:t>
      </w:r>
    </w:p>
    <w:p w:rsidR="00A90898" w:rsidRDefault="00A90898" w:rsidP="00A90898">
      <w:pPr>
        <w:pStyle w:val="TextoNormal"/>
      </w:pPr>
    </w:p>
    <w:p w:rsidR="00A90898" w:rsidRDefault="00A90898" w:rsidP="00A90898">
      <w:pPr>
        <w:pStyle w:val="TextoNormal"/>
      </w:pPr>
      <w:r>
        <w:t>El desarrollo de los nuevos principios constitucionales se encomienda a una Ley Orgánica (art. 135.5 CE), lo que ratifica la competencia del Estado en esta materia de estabilidad presupuestaria (STC 157/2011, FJ 3), si bien, con anterioridad a la vigencia de la reforma del art. 135 CE esta competencia correspondía igualmente al legislador estatal en aplicación de lo previsto en el art. 149.1.13 y 14, por un lado, y 11 y 18, por otro, de la Norma Suprema, habiendo reconocido este Tribunal la competencia estatal para la aprobación de una ley de estabilidad presupuestaria al amparo de los mismos (STC 134/2011, de 20 de julio, FFJJ 7 y 8, y 157/2011, de 18 de octubre, FJ 3).</w:t>
      </w:r>
    </w:p>
    <w:p w:rsidR="00A90898" w:rsidRDefault="00A90898" w:rsidP="00A90898">
      <w:pPr>
        <w:pStyle w:val="TextoNormal"/>
      </w:pPr>
    </w:p>
    <w:p w:rsidR="00A90898" w:rsidRDefault="00A90898" w:rsidP="00A90898">
      <w:pPr>
        <w:pStyle w:val="TextoNormal"/>
      </w:pPr>
      <w:r>
        <w:t xml:space="preserve">Se refiere el Abogado del Estado, en segundo lugar, a los límites a la autonomía financiera de las Comunidades Autónomas y las principales consideraciones que caben extraer </w:t>
      </w:r>
      <w:r>
        <w:lastRenderedPageBreak/>
        <w:t>de la jurisprudencia constitucional son las siguientes: a’) Respecto al encuadramiento de las normas internas vinculadas al derecho comunitario, el Tribunal señala que la institución de la estabilidad presupuestaria “constituye un elemento esencial de la política económica comunitaria en materia presupuestaria”, que vincula a los Estados miembros de la Unión Europea (STC 134/2011, FJ 7). El Tribunal considera que el Estado está legitimado para dictar la legislación de estabilidad presupuestaria, en ejercicio de su competencia de “dirección de la actividad económica general” y sobre la hacienda general, aunque tal ejercicio competencial ha de respetar la autonomía financiera de las Comunidades Autónomas; b’) En nada varía tampoco la doctrina constitucional acerca de la configuración de la autonomía política y financiera de las Comunidades Autónomas (STC 134/2011, FJ 8). La autonomía política de las Comunidades Autónomas, consagrada en los arts. 2 y 137 CE, no es sino la capacidad de autogobierno que se manifiesta, sobre todo, en la capacidad para elaborar sus propias políticas públicas en las materias de su competencia. La libertad para establecer el plan de ingresos y gastos, en suma, el presupuesto, “no se establece constitucionalmente con carácter absoluto” pues la autonomía financiera de las Comunidades Autónomas “no excluye la existencia de controles, incluso específicos”; c’) Bajo las anteriores premisas, el Tribunal avala la plena constitucionalidad de los principios rectores y directrices básicas establecidas en la Ley Orgánica de estabilidad presupuestaria y sostenibilidad financiera, que entraña limitaciones a la capacidad financiera y presupuestaria de las Comunidades Autónomas y del propio Estado.</w:t>
      </w:r>
    </w:p>
    <w:p w:rsidR="00A90898" w:rsidRDefault="00A90898" w:rsidP="00A90898">
      <w:pPr>
        <w:pStyle w:val="TextoNormal"/>
      </w:pPr>
    </w:p>
    <w:p w:rsidR="00A90898" w:rsidRDefault="00A90898" w:rsidP="00A90898">
      <w:pPr>
        <w:pStyle w:val="TextoNormal"/>
      </w:pPr>
      <w:r>
        <w:t>Alude el Abogado del Estado, en tercer lugar, a la Ley 27/2013, conforme a la cual el legislador ha realizado la adaptación necesaria de los principios de estabilidad presupuestaria y sostenibilidad financiera regulados en la Ley Orgánica de estabilidad presupuestaria y sostenibilidad financiera en el ámbito de las Administraciones locales, estableciendo una serie de concreciones de los principios en la ley local que, en algunos casos, necesitarán el complemento de otras leyes.</w:t>
      </w:r>
    </w:p>
    <w:p w:rsidR="00A90898" w:rsidRDefault="00A90898" w:rsidP="00A90898">
      <w:pPr>
        <w:pStyle w:val="TextoNormal"/>
      </w:pPr>
    </w:p>
    <w:p w:rsidR="00A90898" w:rsidRDefault="00A90898" w:rsidP="00A90898">
      <w:pPr>
        <w:pStyle w:val="TextoNormal"/>
      </w:pPr>
      <w:r>
        <w:t>Sobre la alegada vulneración de la reserva de ley orgánica prevista en el art 135.5 CE y el contenido de la Ley Orgánica de estabilidad presupuestaria y sostenibilidad financiera, señala que el Tribunal Constitucional ha precisado que la reserva de ley orgánica del art. 81.1 CE no impide una ulterior regulación mediante ley ordinaria o incluso mediante reglamento de algunos aspectos referidos a las materias reservadas. La reserva enunciada en el art. 81.1 CE no es incompatible con la colaboración internormativa entre la fuente a favor de la cual la reserva se establece y otras fuentes de producción reconocidas en la Constitución para alcanzar una disciplina integral y articulada del ámbito de que se trate (SSTC 137/1986, FJ 3, y 254/1994).</w:t>
      </w:r>
    </w:p>
    <w:p w:rsidR="00A90898" w:rsidRDefault="00A90898" w:rsidP="00A90898">
      <w:pPr>
        <w:pStyle w:val="TextoNormal"/>
      </w:pPr>
    </w:p>
    <w:p w:rsidR="00A90898" w:rsidRDefault="00A90898" w:rsidP="00A90898">
      <w:pPr>
        <w:pStyle w:val="TextoNormal"/>
      </w:pPr>
      <w:r>
        <w:t xml:space="preserve">Así, lo que recoge el artículo 116 </w:t>
      </w:r>
      <w:r w:rsidRPr="00A90898">
        <w:rPr>
          <w:i/>
        </w:rPr>
        <w:t>bis</w:t>
      </w:r>
      <w:r>
        <w:t xml:space="preserve">.2 respecto del plan económico financiero de las entidades locales es un desarrollo singularizado respecto de ellas y atendiendo a su especificidad, la ley ha seguido las recomendaciones del Consejo de Estado, validadas en su dictamen 334/2014. El art. 21.2 de la Ley Orgánica de estabilidad presupuestaria y sostenibilidad financiera establece un “contenido mínimo” de alcance general de los planes económico-financieros que el nuevo art. 116 </w:t>
      </w:r>
      <w:r w:rsidRPr="00A90898">
        <w:rPr>
          <w:i/>
        </w:rPr>
        <w:t>bis</w:t>
      </w:r>
      <w:r>
        <w:t>.2 LBRL desarrolla, adecuándolo a las particularidades de la Administración local. La regulación es, por ello, más pormenorizada, sin que esta mayor concreción suponga, por sí sola, una lesión para la autonomía local.</w:t>
      </w:r>
    </w:p>
    <w:p w:rsidR="00A90898" w:rsidRDefault="00A90898" w:rsidP="00A90898">
      <w:pPr>
        <w:pStyle w:val="TextoNormal"/>
      </w:pPr>
    </w:p>
    <w:p w:rsidR="00A90898" w:rsidRDefault="00A90898" w:rsidP="00A90898">
      <w:pPr>
        <w:pStyle w:val="TextoNormal"/>
      </w:pPr>
      <w:r>
        <w:lastRenderedPageBreak/>
        <w:t xml:space="preserve">En tal sentido, puede destacarse que la “supresión de competencias” que deben contemplarse en el plan [art. 116 </w:t>
      </w:r>
      <w:r w:rsidRPr="00A90898">
        <w:rPr>
          <w:i/>
        </w:rPr>
        <w:t>bis</w:t>
      </w:r>
      <w:r>
        <w:t xml:space="preserve"> a)] afecta únicamente a las competencias distintas de las propias y de las ejercidas por delegación, es decir, a competencias que no forman parte del núcleo irreductible de la autonomía local. Además, a las entidades locales corresponde determinar cuáles serán las competencias eliminadas. Asimismo, la gestión integrada o coordinada de los servicios obligatorios que presta la entidad local [art. 116 </w:t>
      </w:r>
      <w:r w:rsidRPr="00A90898">
        <w:rPr>
          <w:i/>
        </w:rPr>
        <w:t>bis</w:t>
      </w:r>
      <w:r>
        <w:t xml:space="preserve"> b)] es una elemental medida de reducción de costes en situaciones de incumplimiento de los parámetros de estabilidad presupuestaria o sostenibilidad financiera, que se enuncia con amplitud suficiente para que las corporaciones locales puedan decidir las formas de gestión más apropiadas en cada caso. Del mismo modo, las entidades locales seguirán teniendo capacidad para determinar cuáles serán las fuentes y la cuantía del “incremento de ingresos” necesario para financiar los servicios obligatorios que presta la entidad local [art. 116 </w:t>
      </w:r>
      <w:r w:rsidRPr="00A90898">
        <w:rPr>
          <w:i/>
        </w:rPr>
        <w:t>bis</w:t>
      </w:r>
      <w:r>
        <w:t xml:space="preserve"> c)]. También permanece intacta la capacidad de decisión de las corporaciones locales para la adopción de medidas de “racionalización organizativa” [art. 116 </w:t>
      </w:r>
      <w:r w:rsidRPr="00A90898">
        <w:rPr>
          <w:i/>
        </w:rPr>
        <w:t>bis</w:t>
      </w:r>
      <w:r>
        <w:t xml:space="preserve"> d)], más allá de la necesidad de contemplar la supresión de entidades de ámbito territorial inferior al municipal [art. 11</w:t>
      </w:r>
      <w:r w:rsidRPr="00A90898">
        <w:rPr>
          <w:i/>
        </w:rPr>
        <w:t>6 b</w:t>
      </w:r>
      <w:r>
        <w:t>is, e)] o una propuesta de fusión con municipios colindantes [art. 11</w:t>
      </w:r>
      <w:r w:rsidRPr="00A90898">
        <w:rPr>
          <w:i/>
        </w:rPr>
        <w:t>6 b</w:t>
      </w:r>
      <w:r>
        <w:t>is f)].</w:t>
      </w:r>
    </w:p>
    <w:p w:rsidR="00A90898" w:rsidRDefault="00A90898" w:rsidP="00A90898">
      <w:pPr>
        <w:pStyle w:val="TextoNormal"/>
      </w:pPr>
    </w:p>
    <w:p w:rsidR="00A90898" w:rsidRDefault="00A90898" w:rsidP="00A90898">
      <w:pPr>
        <w:pStyle w:val="TextoNormal"/>
      </w:pPr>
      <w:r>
        <w:t xml:space="preserve">El segundo motivo de impugnación se refiere a la colaboración de las diputaciones provinciales recogido en el art. 116 </w:t>
      </w:r>
      <w:r w:rsidRPr="00A90898">
        <w:rPr>
          <w:i/>
        </w:rPr>
        <w:t>bis</w:t>
      </w:r>
      <w:r>
        <w:t>.3, que se considera una sustancial matización al régimen previsto en el art. 23.4 de la Ley Orgánica de estabilidad presupuestaria y sostenibilidad financiera.</w:t>
      </w:r>
    </w:p>
    <w:p w:rsidR="00A90898" w:rsidRDefault="00A90898" w:rsidP="00A90898">
      <w:pPr>
        <w:pStyle w:val="TextoNormal"/>
      </w:pPr>
    </w:p>
    <w:p w:rsidR="00A90898" w:rsidRDefault="00A90898" w:rsidP="00A90898">
      <w:pPr>
        <w:pStyle w:val="TextoNormal"/>
      </w:pPr>
      <w:r>
        <w:t xml:space="preserve">Para el Abogado del Estado, la redacción del el art. 116 </w:t>
      </w:r>
      <w:r w:rsidRPr="00A90898">
        <w:rPr>
          <w:i/>
        </w:rPr>
        <w:t>bis</w:t>
      </w:r>
      <w:r>
        <w:t>.3 LBRL no cercena esta competencia de la Comunidad Autónoma de tutela ya que coloca a la diputación provincial en una posición de mera colaboración, en todo caso necesario, en función de las competencias y funciones que la reforma les atribuye. El fundamento de esta colaboración lo encontramos en las nuevas funciones encomendadas a las diputaciones provinciales recogidas en el art. 36 de la Ley (tal y como pone de relieve la exposición de motivos). A partir de la reforma, las diputaciones provinciales, en este caso la Comunidad Foral, tienen un papel relevante en la gestión de servicios municipales y en el procedimiento de fusión de municipios, por lo que la previsión de su colaboración en la elaboración y seguimiento de los planes económicos financieros afecta a esos servicios municipales puede implicar la fusión de municipios, y es imprescindible, pues de hecho, tal colaboración existiría incluso sin regularla la ley, ya que una parte importante de la gestión municipal de la entidad sujeta a tutela se realiza o puede realizarse por esta otra entidad local, la diputación provincial y será necesario contar con ella para dar efectividad al plan económico financiero.</w:t>
      </w:r>
    </w:p>
    <w:p w:rsidR="00A90898" w:rsidRDefault="00A90898" w:rsidP="00A90898">
      <w:pPr>
        <w:pStyle w:val="TextoNormal"/>
      </w:pPr>
    </w:p>
    <w:p w:rsidR="00A90898" w:rsidRDefault="00A90898" w:rsidP="00A90898">
      <w:pPr>
        <w:pStyle w:val="TextoNormal"/>
      </w:pPr>
      <w:r>
        <w:t>l) Sobre la impugnación del artículo primero, apartado treinta y ocho, de la Ley 27/2013, por el que se incorpora una nueva disposición adicional decimosexta a la Ley reguladora de las bases de régimen local, el Abogado del Estado señala que se dicta en el contexto de las medidas necesarias para garantizar la estabilidad presupuestaria y financiera de las corporaciones locales, con la finalidad de solucionar la demora en la necesaria y urgente aprobación de determinados instrumentos básicos para el correcto funcionamiento de las corporaciones locales. Se pretende evitar los daños que la inacción inicial del Pleno podría causar al interés municipal, y como alternativa a medios coactivos mucho más intensos, previstos en el ordenamiento jurídico.</w:t>
      </w:r>
    </w:p>
    <w:p w:rsidR="00A90898" w:rsidRDefault="00A90898" w:rsidP="00A90898">
      <w:pPr>
        <w:pStyle w:val="TextoNormal"/>
      </w:pPr>
    </w:p>
    <w:p w:rsidR="00A90898" w:rsidRDefault="00A90898" w:rsidP="00A90898">
      <w:pPr>
        <w:pStyle w:val="TextoNormal"/>
      </w:pPr>
      <w:r>
        <w:lastRenderedPageBreak/>
        <w:t>La decisión se adopta por órganos con legitimación democrática, cuya decisión puede ser objeto de control por el pleno. La junta de gobierno local, no solo es un órgano administrativo o ejecutor de las decisiones del pleno, sino que es titular de sus propias competencias, además la delegación de importantes facultades del pleno del ayuntamiento, es conforme a la Constitución siempre que las sesiones de la junta de gobierno local sean públicas (SSTC 103/2013, de 25 de abril, y 161/2013, de 26 de septiembre). La atribución a la junta de gobierno local o al alcalde de competencias cuando el pleno no ha llegado a un acuerdo, no limita el principio democrático canalizado a través del principio representativo. El hecho de que se traslade la competencia del pleno a la junta de gobierno y al alcalde cuando no se consiga una previa aprobación por ese órgano, puede resultar controvertido pero no inconstitucional.</w:t>
      </w:r>
    </w:p>
    <w:p w:rsidR="00A90898" w:rsidRDefault="00A90898" w:rsidP="00A90898">
      <w:pPr>
        <w:pStyle w:val="TextoNormal"/>
      </w:pPr>
    </w:p>
    <w:p w:rsidR="00A90898" w:rsidRDefault="00A90898" w:rsidP="00A90898">
      <w:pPr>
        <w:pStyle w:val="TextoNormal"/>
      </w:pPr>
      <w:r>
        <w:t>m) En relación con la impugnación de la disposición adicional novena de la Ley 27/2013, señala el Abogado del Estado que esta disposición contiene una regulación puramente adjetiva, tendente a fijar un plazo o término de adaptación a la nueva ley, de los convenios sobre ejercicio de competencias y servicios municipales que se hallaran suscritos y vigentes a la entrada en vigor de la Ley 27/2013. Las previsiones contenidas en la disposición adicional novena suponen una lógica adecuación destinada a facilitar, por la misma Ley de reforma, la transición de un régimen jurídico a otro. No se advierten —desde la constitucionalidad de la regulación contenida en los arts. 7.4, 25, 27 LBRL— motivos de reproche de legalidad constitucional respecto de una norma cuyo único objetivo es establecer un período de adaptación de los acuerdos o convenios preexistentes a la entrada en vigor de la Ley 27/2013 en cuyo contenido se pudiera advertir alguna forma de incompatibilidad en relación con el nuevo régimen jurídico de atribución de competencias configurado por el legislador ordinario.</w:t>
      </w:r>
    </w:p>
    <w:p w:rsidR="00A90898" w:rsidRDefault="00A90898" w:rsidP="00A90898">
      <w:pPr>
        <w:pStyle w:val="TextoNormal"/>
      </w:pPr>
    </w:p>
    <w:p w:rsidR="00A90898" w:rsidRDefault="00A90898" w:rsidP="00A90898">
      <w:pPr>
        <w:pStyle w:val="TextoNormal"/>
      </w:pPr>
      <w:r>
        <w:t>En concreto, la previsión de uno o tres años desde la entrada en vigor de la Ley 27/2013, según se trate, respectivamente, de convenios con el Estado o con las Comunidades Autónomas, o bien, con la UNED, configura unos períodos suficientes de previsibilidad en orden a la adaptación de la actividad convencional a los aspectos de la nueva regulación general.</w:t>
      </w:r>
    </w:p>
    <w:p w:rsidR="00A90898" w:rsidRDefault="00A90898" w:rsidP="00A90898">
      <w:pPr>
        <w:pStyle w:val="TextoNormal"/>
      </w:pPr>
    </w:p>
    <w:p w:rsidR="00A90898" w:rsidRDefault="00A90898" w:rsidP="00A90898">
      <w:pPr>
        <w:pStyle w:val="TextoNormal"/>
      </w:pPr>
      <w:r>
        <w:t xml:space="preserve">n) En relación con la impugnación de la disposición transitoria undécima de la  Ley 27/2013, señala el Abogado del Estado que el art. 44 LBRL reconoce a los municipios el derecho a asociarse con otros en mancomunidades para la ejecución en común de obras y servicios determinados de su competencia. La disposición transitoria undécima de la Ley 27/2013 tiene por objeto erigir en causa de disolución de la mancomunidad el incumplimiento de las características y del régimen jurídico que, según el referido art. 44, ha de regir la mancomunidad. Se pretende con esta causa de disolución evitar la constitución de mancomunidades de municipios dedicadas a fines diferentes de aquéllos para los que fue concebida esta forma de organización local: para la prestación de servicios y ejecución de obras propios de la competencia municipal que por la peculiaridad de su situación geográfica, organización, disponibilidad de recursos, eficiencia, disponibilidad de medios humanos, y materiales, requirieran para su adecuada ejecución fórmulas que trascendieran del estricto ámbito territorial municipal. Y es que la práctica ha puesto de relieve la proliferación de mancomunidades cuyo objeto no está claramente determinado, que no se corresponde con los servicios que son propios de los municipios mancomunados, o que simplemente se superponen y replican la competencia propia de otra Administración pública (por ejemplo, </w:t>
      </w:r>
      <w:r>
        <w:lastRenderedPageBreak/>
        <w:t>protección del medio ambiente, asistencia social, asistencia sanitaria, educativas, obras que no corresponden a la competencia de los municipios, etc.).</w:t>
      </w:r>
    </w:p>
    <w:p w:rsidR="00A90898" w:rsidRDefault="00A90898" w:rsidP="00A90898">
      <w:pPr>
        <w:pStyle w:val="TextoNormal"/>
      </w:pPr>
    </w:p>
    <w:p w:rsidR="00A90898" w:rsidRDefault="00A90898" w:rsidP="00A90898">
      <w:pPr>
        <w:pStyle w:val="TextoNormal"/>
      </w:pPr>
      <w:r>
        <w:t>El Estado, en el ejercicio de su competencia para el establecimiento de las bases del régimen jurídico de todas las Administraciones públicas, establece un determinado requisito para esta peculiar entidad local: la simple adaptación a los fines para los que ha sido concebida, requisito por otra parte común a la atribución de personalidad jurídica a todas las personas jurídicas públicas y privadas. El Estado no determina su disolución automática, ni predetermina su destino, régimen, libertad de los municipios para mancomunarse, o autonomía para elegir la fórmula organizativa supramunicipal que estimen conveniente. Simplemente pretende reconducirlas a su verdadera naturaleza y genuino régimen jurídico, lo que redunda en el reforzamiento, clarificación de su actuación y dotación de autonomía y sentido propio de entre la pluralidad de entidades locales y de entre la multiplicidad de servicios y competencias que asume cada Administración.</w:t>
      </w:r>
    </w:p>
    <w:p w:rsidR="00A90898" w:rsidRDefault="00A90898" w:rsidP="00A90898">
      <w:pPr>
        <w:pStyle w:val="TextoNormal"/>
      </w:pPr>
    </w:p>
    <w:p w:rsidR="00A90898" w:rsidRDefault="00A90898" w:rsidP="00A90898">
      <w:pPr>
        <w:pStyle w:val="TextoNormal"/>
      </w:pPr>
      <w:r>
        <w:t>Considera el Abogado del Estado que la introducción por el Estado de esta causa de disolución no supone una potestad estatal de control de oportunidad sobre la Mancomunidad, sino la simple adaptación de sus estatutos a los preceptos que la regulan (STC 214/1989, de 21 de diciembre, FJ 14).</w:t>
      </w:r>
    </w:p>
    <w:p w:rsidR="00A90898" w:rsidRDefault="00A90898" w:rsidP="00A90898">
      <w:pPr>
        <w:pStyle w:val="TextoNormal"/>
      </w:pPr>
    </w:p>
    <w:p w:rsidR="00A90898" w:rsidRDefault="00A90898" w:rsidP="00A90898">
      <w:pPr>
        <w:pStyle w:val="TextoNormal"/>
      </w:pPr>
      <w:r>
        <w:t>Finalmente, para el Abogado del Estado, el destino del personal y de los bienes, derechos y obligaciones no ha de incluirse en el concepto de procedimiento administrativo de disolución, sino que encaja de modo natural en la determinación de las bases del régimen jurídico de las administraciones públicas, y en concreto de la entidad local que se disuelve.</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18 de octubre de 2016 se señaló para deliberación y votación de la presente Sentencia el día 20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Letrada del Parlamento de Navarra, en la representación que ostenta de dicha Asamblea, interpone recurso de inconstitucionalidad contra los apartados 3, 5, 7, 8, 10, 13, 16, 21, 30, 31 y 38 del artículo 1 y las disposiciones adicionales novena y decimoquinta, transitorias primera a cuarta y undécima de la Ley 27/2013, de 27 de diciembre, de racionalización y sostenibilidad de la Administración local, por invasión de las competencias de la Comunidad Foral de Navarra (arts. 148.1.1 y 148.1.2 CE y art. 46 de la Ley Orgánica 13/1982, de 10 de agosto, de reintegración y amejoramiento del régimen foral de Navarra; en adelante, LORAFNA), por contravención de las bases estatales (art. 149.1.18 CE) y otros preceptos constitucionales (arts. 135, 137, 140 y 142 CE). El Abogado del Estado se opone al recurso, razonando que los preceptos impugnados se ajustan a la Constitución.</w:t>
      </w:r>
    </w:p>
    <w:p w:rsidR="00A90898" w:rsidRDefault="00A90898" w:rsidP="00A90898">
      <w:pPr>
        <w:pStyle w:val="TextoNormal"/>
      </w:pPr>
    </w:p>
    <w:p w:rsidR="00A90898" w:rsidRDefault="00A90898" w:rsidP="00A90898">
      <w:pPr>
        <w:pStyle w:val="TextoNormal"/>
      </w:pPr>
      <w:r>
        <w:t>Tras la interposición del recurso de inconstitucionalidad, la Ley 18/2015, de 9 de julio, ha modificado la disposición transitoria séptima de la Ley 27/2013, que no ha sido impugnada en este proceso constitucional. La reforma, por tanto, no ha afectado al objeto del presente recurso.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La STC 41/2016, de 3 de marzo, resolutoria del recurso de inconstitucionalidad núm. 1792-2014 interpuesto por la Asamblea de Extremadura (“BOE” núm. 85, de 8 de abril de 2016), después de analizar la constitucionalidad de los apartados 3, 5, 7, 8, 10, 16, 17, 21 y 30 del art. 1 y las disposiciones adicionales octava, novena, undécima y decimoquinta y transitorias primera a cuarta y undécima de la Ley 27/2013, pronunció el siguiente fallo:</w:t>
      </w:r>
    </w:p>
    <w:p w:rsidR="00A90898" w:rsidRDefault="00A90898" w:rsidP="00A90898">
      <w:pPr>
        <w:pStyle w:val="TextoNormal"/>
      </w:pPr>
    </w:p>
    <w:p w:rsidR="00A90898" w:rsidRDefault="00A90898" w:rsidP="00A90898">
      <w:pPr>
        <w:pStyle w:val="TextoNormal"/>
      </w:pPr>
      <w:r>
        <w:t xml:space="preserve">“1º Declarar inconstitucionales y nulos el art. 57 </w:t>
      </w:r>
      <w:r w:rsidRPr="00A90898">
        <w:rPr>
          <w:i/>
        </w:rPr>
        <w:t>bis</w:t>
      </w:r>
      <w:r>
        <w:t xml:space="preserve"> de la Ley 7/1985, de 2 de abril, reguladora de las bases del régimen local (en la redacción dada por el art. 1.17 de la Ley 27/2013, de 27 de diciembre), las disposiciones adicional undécima y transitorias primera, segunda y tercera, así como los incisos ‘Decreto del órgano de gobierno de’ y ‘el Órgano de Gobierno de’, incluidos, respectivamente, en las disposiciones transitorias cuarta.3 y undécima, párrafo tercero, todos de la referida Ley 27/2013.</w:t>
      </w:r>
    </w:p>
    <w:p w:rsidR="00A90898" w:rsidRDefault="00A90898" w:rsidP="00A90898">
      <w:pPr>
        <w:pStyle w:val="TextoNormal"/>
      </w:pPr>
    </w:p>
    <w:p w:rsidR="00A90898" w:rsidRDefault="00A90898" w:rsidP="00A90898">
      <w:pPr>
        <w:pStyle w:val="TextoNormal"/>
      </w:pPr>
      <w:r>
        <w:t>2º Declarar que la disposición adicional decimoquinta de la Ley 27/2013, de 27 de diciembre, no es inconstitucional, interpretada en los términos del fundamento jurídico 13 e) de la referida STC 41/2016, de 3 de marzo.</w:t>
      </w:r>
    </w:p>
    <w:p w:rsidR="00A90898" w:rsidRDefault="00A90898" w:rsidP="00A90898">
      <w:pPr>
        <w:pStyle w:val="TextoNormal"/>
      </w:pPr>
    </w:p>
    <w:p w:rsidR="00A90898" w:rsidRDefault="00A90898" w:rsidP="00A90898">
      <w:pPr>
        <w:pStyle w:val="TextoNormal"/>
      </w:pPr>
      <w:r>
        <w:t>3º Desestimar el recurso de inconstitucionalidad en todo lo demás.”</w:t>
      </w:r>
    </w:p>
    <w:p w:rsidR="00A90898" w:rsidRDefault="00A90898" w:rsidP="00A90898">
      <w:pPr>
        <w:pStyle w:val="TextoNormal"/>
      </w:pPr>
    </w:p>
    <w:p w:rsidR="00A90898" w:rsidRDefault="00A90898" w:rsidP="00A90898">
      <w:pPr>
        <w:pStyle w:val="TextoNormal"/>
      </w:pPr>
      <w:r>
        <w:t>La STC 111/2016, de 9 de junio, resolutoria del recurso de inconstitucionalidad núm. 1959-2014 interpuesto por la Junta de Andalucía (“BOE” núm. 170 de 15 de julio de 2016), después de analizar la constitucionalidad de los apartados 2, 3, 5, 7, 8, 9, 13, 17, 18, 19, 21, 30, 31, 36 y 38 del art. 1, el art. 2.2 y las disposiciones adicionales octava, undécima y decimoquinta, transitorias primera a cuarta y final primera de la Ley 27/2013, resolvió como sigue:</w:t>
      </w:r>
    </w:p>
    <w:p w:rsidR="00A90898" w:rsidRDefault="00A90898" w:rsidP="00A90898">
      <w:pPr>
        <w:pStyle w:val="TextoNormal"/>
      </w:pPr>
    </w:p>
    <w:p w:rsidR="00A90898" w:rsidRDefault="00A90898" w:rsidP="00A90898">
      <w:pPr>
        <w:pStyle w:val="TextoNormal"/>
      </w:pPr>
      <w:r>
        <w:t xml:space="preserve">“1º Declarar extinguida, por pérdida sobrevenida de objeto, la impugnación del art. 57 </w:t>
      </w:r>
      <w:r w:rsidRPr="00A90898">
        <w:rPr>
          <w:i/>
        </w:rPr>
        <w:t>bis</w:t>
      </w:r>
      <w:r>
        <w:t xml:space="preserve"> de la Ley 7/1985, de 2 de abril, reguladora de las bases del régimen local (en la redacción dada por el art. 1.17 de la Ley 27/2013, de 27 de diciembre), y de las disposiciones adicional undécima y transitorias primera, segunda y tercera, así como del inciso ‘Decreto del órgano de gobierno de’ incluido en la disposición transitoria cuarta.3, siempre de la Ley 27/2013.</w:t>
      </w:r>
    </w:p>
    <w:p w:rsidR="00A90898" w:rsidRDefault="00A90898" w:rsidP="00A90898">
      <w:pPr>
        <w:pStyle w:val="TextoNormal"/>
      </w:pPr>
    </w:p>
    <w:p w:rsidR="00A90898" w:rsidRDefault="00A90898" w:rsidP="00A90898">
      <w:pPr>
        <w:pStyle w:val="TextoNormal"/>
      </w:pPr>
      <w:r>
        <w:t>2º Declarar inconstitucionales y nulos:</w:t>
      </w:r>
    </w:p>
    <w:p w:rsidR="00A90898" w:rsidRDefault="00A90898" w:rsidP="00A90898">
      <w:pPr>
        <w:pStyle w:val="TextoNormal"/>
      </w:pPr>
    </w:p>
    <w:p w:rsidR="00A90898" w:rsidRDefault="00A90898" w:rsidP="00A90898">
      <w:pPr>
        <w:pStyle w:val="TextoNormal"/>
      </w:pPr>
      <w:r>
        <w:t>a) los siguientes incisos del art. 26.2 de la Ley 7/1985,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00A90898" w:rsidRDefault="00A90898" w:rsidP="00A90898">
      <w:pPr>
        <w:pStyle w:val="TextoNormal"/>
      </w:pPr>
    </w:p>
    <w:p w:rsidR="00A90898" w:rsidRDefault="00A90898" w:rsidP="00A90898">
      <w:pPr>
        <w:pStyle w:val="TextoNormal"/>
      </w:pPr>
      <w:r>
        <w:t>b) la disposición adicional decimosexta de la Ley 7/1985, introducida por el art. 1.38 de la Ley 27/2013, con los efectos señalados en el fundamento jurídico 8 f) de esta Sentencia.</w:t>
      </w:r>
    </w:p>
    <w:p w:rsidR="00A90898" w:rsidRDefault="00A90898" w:rsidP="00A90898">
      <w:pPr>
        <w:pStyle w:val="TextoNormal"/>
      </w:pPr>
    </w:p>
    <w:p w:rsidR="00A90898" w:rsidRDefault="00A90898" w:rsidP="00A90898">
      <w:pPr>
        <w:pStyle w:val="TextoNormal"/>
      </w:pPr>
      <w:r>
        <w:t xml:space="preserve">c) El inciso ‘El Consejo de Gobierno de’ incluido en el segundo párrafo, </w:t>
      </w:r>
      <w:r w:rsidRPr="00A90898">
        <w:rPr>
          <w:i/>
        </w:rPr>
        <w:t>in fine</w:t>
      </w:r>
      <w:r>
        <w:t>, del art. 97 del texto refundido de las disposiciones legales vigentes en materia de régimen local, aprobado por Real Decreto Legislativo 781/1986, de 18 de abril, en la redacción dada por la disposición final primera de la Ley 27/2013.</w:t>
      </w:r>
    </w:p>
    <w:p w:rsidR="00A90898" w:rsidRDefault="00A90898" w:rsidP="00A90898">
      <w:pPr>
        <w:pStyle w:val="TextoNormal"/>
      </w:pPr>
    </w:p>
    <w:p w:rsidR="00A90898" w:rsidRDefault="00A90898" w:rsidP="00A90898">
      <w:pPr>
        <w:pStyle w:val="TextoNormal"/>
      </w:pPr>
      <w:r>
        <w:lastRenderedPageBreak/>
        <w:t>3º Declarar que los arts. 36.1 g) y 36.2 a), segundo párrafo, de la Ley 7/1985, de 2 de abril, reguladora de las bases del régimen local, en la redacción introducida por el art. 1.13 de la Ley 27/2013, no son inconstitucionales interpretados en los términos de los fundamentos jurídicos 11 y 12 c), respectivamente, de esta Sentencia.</w:t>
      </w:r>
    </w:p>
    <w:p w:rsidR="00A90898" w:rsidRDefault="00A90898" w:rsidP="00A90898">
      <w:pPr>
        <w:pStyle w:val="TextoNormal"/>
      </w:pPr>
    </w:p>
    <w:p w:rsidR="00A90898" w:rsidRDefault="00A90898" w:rsidP="00A90898">
      <w:pPr>
        <w:pStyle w:val="TextoNormal"/>
      </w:pPr>
      <w:r>
        <w:t>4º Desestimar el recurso de inconstitucionalidad en todo lo demás.”</w:t>
      </w:r>
    </w:p>
    <w:p w:rsidR="00A90898" w:rsidRDefault="00A90898" w:rsidP="00A90898">
      <w:pPr>
        <w:pStyle w:val="TextoNormal"/>
      </w:pPr>
    </w:p>
    <w:p w:rsidR="00A90898" w:rsidRDefault="00A90898" w:rsidP="00A90898">
      <w:pPr>
        <w:pStyle w:val="TextoNormal"/>
      </w:pPr>
      <w:r>
        <w:t>En fin, la STC 168/2016, de 6 de octubre, resolutoria del recurso de inconstitucionalidad núm. 1995-2014 interpuesto por el Principado de Asturias, declaró que la disposición adicional sexta de la Ley 27/2013 no era inconstitucional, interpretada en los términos del fundamento jurídico 4 b) de dicha Sentencia y reiteró la extinción, por pérdida sobrevenida de objeto, del análisis de las disposiciones transitorias primera, segunda, tercera y cuarta.3 en cuanto al inciso “Decreto del órgano de gobierno de”, y los incisos del art. 26.2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desestimando el recurso de inconstitucionalidad en todo lo demás.</w:t>
      </w:r>
    </w:p>
    <w:p w:rsidR="00A90898" w:rsidRDefault="00A90898" w:rsidP="00A90898">
      <w:pPr>
        <w:pStyle w:val="TextoNormal"/>
      </w:pPr>
    </w:p>
    <w:p w:rsidR="00A90898" w:rsidRDefault="00A90898" w:rsidP="00A90898">
      <w:pPr>
        <w:pStyle w:val="TextoNormal"/>
      </w:pPr>
      <w:r w:rsidRPr="00A90898">
        <w:rPr>
          <w:rStyle w:val="NumeroAFNegritaCaracter"/>
        </w:rPr>
        <w:t>3</w:t>
      </w:r>
      <w:r>
        <w:t>. Las indicadas Sentencias cobran relevancia en el presente proceso bajo los siguientes puntos de vista:</w:t>
      </w:r>
    </w:p>
    <w:p w:rsidR="00A90898" w:rsidRDefault="00A90898" w:rsidP="00A90898">
      <w:pPr>
        <w:pStyle w:val="TextoNormal"/>
      </w:pPr>
    </w:p>
    <w:p w:rsidR="00A90898" w:rsidRDefault="00A90898" w:rsidP="00A90898">
      <w:pPr>
        <w:pStyle w:val="TextoNormal"/>
      </w:pPr>
      <w:r>
        <w:t>a) El presente recurso impugna algunas previsiones que ya las SSTC 41/2016, 111/2016 y 168/2016, como se desprende de sus respectivos fallos transcritos en el fundamento jurídico anterior, han declarado inconstitucionales y nulas: (a) la disposición adicional decimosexta de la Ley 7/1985, de 2 de abril, reguladora de las bases del régimen local (LBRL), en la redacción dada por el art. 1.38 de la Ley 27/2013, y (b) las disposiciones transitorias primera, segunda y tercera, así como (c) los incisos “Decreto del órgano de gobierno de” y “el Órgano de Gobierno de”, incluidos, respectivamente, en la disposición transitoria cuarta.3 y undécima, todas de la Ley 27/2013. 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aquellas previsiones.</w:t>
      </w:r>
    </w:p>
    <w:p w:rsidR="00A90898" w:rsidRDefault="00A90898" w:rsidP="00A90898">
      <w:pPr>
        <w:pStyle w:val="TextoNormal"/>
      </w:pPr>
    </w:p>
    <w:p w:rsidR="00A90898" w:rsidRDefault="00A90898" w:rsidP="00A90898">
      <w:pPr>
        <w:pStyle w:val="TextoNormal"/>
      </w:pPr>
      <w:r>
        <w:t>b) Los recursos de inconstitucionalidad resueltos en las SSTC 41/2016, 111/2016 y 168/2016 coinciden con el presente en las normas impugnadas, y en gran medida los cuatro invocan como sostén de sus pretensiones de inconstitucionalidad idénticos motivos, por lo que la doctrina de las Sentencias referidas sirve para responder a buena parte de las impugnaciones aún subsistentes en este asunto. Siguiendo el criterio adoptado en la STC 111/2016, ya reiterado en nuestra doctrina (por ejemplo, SSTC 138/2013, de 6 de junio, FJ 1, y 28/2016, de 18 de febrero, FJ 2), cabe dar aquí por reproducidos los fundamentos jurídicos que la STC 41/2016 dedica a la presentación de la Ley 27/2013 (FFJJ 2 y 10), al encuadramiento de la controversia competencial (FFJJ 3 y 4), al significado de la garantía constitucional de la autonomía local (arts. 137, 140 y 141 CE) y al alcance de las bases del régimen local (art. 149.1.18 CE), singularmente en lo relativo a la organización y las competencias locales (FFJJ 5 y 9).</w:t>
      </w:r>
    </w:p>
    <w:p w:rsidR="00A90898" w:rsidRDefault="00A90898" w:rsidP="00A90898">
      <w:pPr>
        <w:pStyle w:val="TextoNormal"/>
      </w:pPr>
    </w:p>
    <w:p w:rsidR="00A90898" w:rsidRDefault="00A90898" w:rsidP="00A90898">
      <w:pPr>
        <w:pStyle w:val="TextoNormal"/>
      </w:pPr>
      <w:r>
        <w:lastRenderedPageBreak/>
        <w:t>c) En esta línea la STC 41/2016 rechazó impugnaciones formuladas entonces por la Asamblea de Extremadura que este recurso plantea en términos análogos (referidas a las mismas normas y basadas en iguales motivos), procediendo por ello desestimarlas en virtud de las razones allí utilizadas. Es el caso de los preceptos siguientes:</w:t>
      </w:r>
    </w:p>
    <w:p w:rsidR="00A90898" w:rsidRDefault="00A90898" w:rsidP="00A90898">
      <w:pPr>
        <w:pStyle w:val="TextoNormal"/>
      </w:pPr>
    </w:p>
    <w:p w:rsidR="00A90898" w:rsidRDefault="00A90898" w:rsidP="00A90898">
      <w:pPr>
        <w:pStyle w:val="TextoNormal"/>
      </w:pPr>
      <w:r>
        <w:t>1) del art. 7.4 LBRL (en la redacción dada por el art. 1.3 de la Ley 27/2013), sobre la exigencia de informes de otras administraciones públicas para que el municipio pueda ejercer competencias “impropias”. Este recurso, como el resuelto en la STC 41/2016, le reprocha desconocer la autonomía local (art. 140 CE);</w:t>
      </w:r>
    </w:p>
    <w:p w:rsidR="00A90898" w:rsidRDefault="00A90898" w:rsidP="00A90898">
      <w:pPr>
        <w:pStyle w:val="TextoNormal"/>
      </w:pPr>
    </w:p>
    <w:p w:rsidR="00A90898" w:rsidRDefault="00A90898" w:rsidP="00A90898">
      <w:pPr>
        <w:pStyle w:val="TextoNormal"/>
      </w:pPr>
      <w:r>
        <w:t>2) del art. 13 LBRL (en la redacción dada por el art. 1.5 de la Ley 27/2013), sobre alteración del término municipal y fusiones de municipios, al que ambos recursos imputan la vulneración del acervo competencial autonómico;</w:t>
      </w:r>
    </w:p>
    <w:p w:rsidR="00A90898" w:rsidRDefault="00A90898" w:rsidP="00A90898">
      <w:pPr>
        <w:pStyle w:val="TextoNormal"/>
      </w:pPr>
    </w:p>
    <w:p w:rsidR="00A90898" w:rsidRDefault="00A90898" w:rsidP="00A90898">
      <w:pPr>
        <w:pStyle w:val="TextoNormal"/>
      </w:pPr>
      <w:r>
        <w:t>3) del art. 27 LBRL (introducido por el art. 1.10 de la Ley 27/2013), sobre las condiciones a que debe sujetarse la delegación de competencias a favor de los entes locales, impugnado en uno y otro caso por penetrar el espacio competencial de las Comunidades Autónomas delegantes.</w:t>
      </w:r>
    </w:p>
    <w:p w:rsidR="00A90898" w:rsidRDefault="00A90898" w:rsidP="00A90898">
      <w:pPr>
        <w:pStyle w:val="TextoNormal"/>
      </w:pPr>
    </w:p>
    <w:p w:rsidR="00A90898" w:rsidRDefault="00A90898" w:rsidP="00A90898">
      <w:pPr>
        <w:pStyle w:val="TextoNormal"/>
      </w:pPr>
      <w:r>
        <w:t>También por este mismo motivo, y al igual que ocurría en la STC 41/2016, se dirige el presente recurso contra la imposición de que se prevean técnicas de dirección y control de oportunidad y eficiencia (art. 7.3 —aunque por inadvertencia se mencionara el 7.4 en la STC 41/2016, FJ 11— introducido por el art. 1.3 Ley 27/2013), rechazándose porque estas facultades son “consubstanciales a la técnica de la delegación …[hallando fundamento] en que la Administración delegante es titular de la competencia sin que pueda desentenderse de los intereses supralocales que justifican que haya retenido la titularidad” [FJ 11 a)].</w:t>
      </w:r>
    </w:p>
    <w:p w:rsidR="00A90898" w:rsidRDefault="00A90898" w:rsidP="00A90898">
      <w:pPr>
        <w:pStyle w:val="TextoNormal"/>
      </w:pPr>
    </w:p>
    <w:p w:rsidR="00A90898" w:rsidRDefault="00A90898" w:rsidP="00A90898">
      <w:pPr>
        <w:pStyle w:val="TextoNormal"/>
      </w:pPr>
      <w:r>
        <w:t>Asimismo por conexión con la impugnación de los arts. 7.3 y 27 LBRL, y como sucedía en la STC 41/2016, este recurso alcanza la disposición adicional novena de la Ley 27/2013, en la medida que obliga a adaptar a la Ley antes del 31 de diciembre de 2014 los convenios ya suscritos entre las Comunidades Autónomas y los entes locales que conllevan financiación de las competencias delegadas;</w:t>
      </w:r>
    </w:p>
    <w:p w:rsidR="00A90898" w:rsidRDefault="00A90898" w:rsidP="00A90898">
      <w:pPr>
        <w:pStyle w:val="TextoNormal"/>
      </w:pPr>
    </w:p>
    <w:p w:rsidR="00A90898" w:rsidRDefault="00A90898" w:rsidP="00A90898">
      <w:pPr>
        <w:pStyle w:val="TextoNormal"/>
      </w:pPr>
      <w:r>
        <w:t>4) del art. 57 LBRL (introducido por el art. 1.16 de la Ley 27/2013), “específicamente en su párrafo tercero”, relativo a los presupuestos exigibles para constituir consorcios, al que tanto uno como otro recurso tachan de invadir el ámbito competencial que los textos estatutarios reservan a las Comunidades Autónomas;</w:t>
      </w:r>
    </w:p>
    <w:p w:rsidR="00A90898" w:rsidRDefault="00A90898" w:rsidP="00A90898">
      <w:pPr>
        <w:pStyle w:val="TextoNormal"/>
      </w:pPr>
    </w:p>
    <w:p w:rsidR="00A90898" w:rsidRDefault="00A90898" w:rsidP="00A90898">
      <w:pPr>
        <w:pStyle w:val="TextoNormal"/>
      </w:pPr>
      <w:r>
        <w:t>5) del art. 85.2 LBRL (en la redacción dada por el art. 1.21 de la Ley 27/2013), sobre las formas de gestión de los servicios públicos locales, pues según los aludidos recursos de inconstitucionalidad, el régimen de preferencia de gestión por la propia entidad local o sus organismos autónomos sobre la realizada mediante entidades públicas empresariales o sociedades mercantiles locales afecta la potestad de autoorganización de los entes locales y, por ello, su autonomía constitucionalmente garantizada;</w:t>
      </w:r>
    </w:p>
    <w:p w:rsidR="00A90898" w:rsidRDefault="00A90898" w:rsidP="00A90898">
      <w:pPr>
        <w:pStyle w:val="TextoNormal"/>
      </w:pPr>
    </w:p>
    <w:p w:rsidR="00A90898" w:rsidRDefault="00A90898" w:rsidP="00A90898">
      <w:pPr>
        <w:pStyle w:val="TextoNormal"/>
      </w:pPr>
      <w:r>
        <w:t>6) de la disposición transitoria undécima, sobre el régimen jurídico de creación, funcionamiento y disolución de mancomunidades, que invade según los recursos de inconstitucionalidad las competencias autonómicas.</w:t>
      </w:r>
    </w:p>
    <w:p w:rsidR="00A90898" w:rsidRDefault="00A90898" w:rsidP="00A90898">
      <w:pPr>
        <w:pStyle w:val="TextoNormal"/>
      </w:pPr>
    </w:p>
    <w:p w:rsidR="00A90898" w:rsidRDefault="00A90898" w:rsidP="00A90898">
      <w:pPr>
        <w:pStyle w:val="TextoNormal"/>
      </w:pPr>
      <w:r>
        <w:t>Esta coincidencia objetiva entre los dos recursos de inconstitucionalidad, de acuerdo con la doctrina constitucional (STC 172/1998, de 23 de julio, FJ 2), conduce a desestimar la serie indicada de impugnaciones por remisión a la STC 41/2016. Nos remitimos específicamente, por tanto, al fundamento jurídico 11 b) de aquella Sentencia, que desestima la impugnación del art. 7.4 LBRL; al fundamento jurídico 6, que desestima la impugnación del art. 13 LBRL; al fundamento jurídico 11 a) y c), que razona la desestimación del art. 27 LBRL y, por conexión, la del art. 7.3 LBRL y la de la disposición adicional novena de la Ley 27/2013; al fundamento jurídico 8, que desestima la impugnación del art. 57 LBRL y de la disposición transitoria undécima de la Ley 27/2013; y, en fin, al fundamento jurídico 14, que desestima la impugnación del art. 85.2 LBRL.</w:t>
      </w:r>
    </w:p>
    <w:p w:rsidR="00A90898" w:rsidRDefault="00A90898" w:rsidP="00A90898">
      <w:pPr>
        <w:pStyle w:val="TextoNormal"/>
      </w:pPr>
    </w:p>
    <w:p w:rsidR="00A90898" w:rsidRDefault="00A90898" w:rsidP="00A90898">
      <w:pPr>
        <w:pStyle w:val="TextoNormal"/>
      </w:pPr>
      <w:r>
        <w:t xml:space="preserve">d) La STC 111/2016 desestimó otra impugnación, formulada allí por la Junta de Andalucía, que el presente recurso suscita de un modo análogo, lo que conlleva ahora su desestimación en virtud de los mismos motivos allí utilizados, que se dan aquí por reproducidos. Se trata del reproche dirigido frente al art. 116 </w:t>
      </w:r>
      <w:r w:rsidRPr="00A90898">
        <w:rPr>
          <w:i/>
        </w:rPr>
        <w:t>ter</w:t>
      </w:r>
      <w:r>
        <w:t xml:space="preserve"> LBRL (en la redacción dada por el art. 1.31 de la Ley 27/2013), así como contra “las referencias al coste efectivo de los servicios incluidas en el art. 36 LRBRL” [en la redacción dada por el art. 1.13 de la Ley 27/2013].</w:t>
      </w:r>
    </w:p>
    <w:p w:rsidR="00A90898" w:rsidRDefault="00A90898" w:rsidP="00A90898">
      <w:pPr>
        <w:pStyle w:val="TextoNormal"/>
      </w:pPr>
    </w:p>
    <w:p w:rsidR="00A90898" w:rsidRDefault="00A90898" w:rsidP="00A90898">
      <w:pPr>
        <w:pStyle w:val="TextoNormal"/>
      </w:pPr>
      <w:r>
        <w:t xml:space="preserve">La STC 111/2016, FJ 12 b), rechaza que el art. 116 </w:t>
      </w:r>
      <w:r w:rsidRPr="00A90898">
        <w:rPr>
          <w:i/>
        </w:rPr>
        <w:t>ter</w:t>
      </w:r>
      <w:r>
        <w:t xml:space="preserve"> LBRL vulnere la autonomía local constitucionalmente garantizada. Afirma:</w:t>
      </w:r>
    </w:p>
    <w:p w:rsidR="00A90898" w:rsidRDefault="00A90898" w:rsidP="00A90898">
      <w:pPr>
        <w:pStyle w:val="TextoNormal"/>
      </w:pPr>
    </w:p>
    <w:p w:rsidR="00A90898" w:rsidRDefault="00A90898" w:rsidP="00A90898">
      <w:pPr>
        <w:pStyle w:val="TextoNormal"/>
      </w:pPr>
      <w:r>
        <w:t xml:space="preserve">“El art. 116 </w:t>
      </w:r>
      <w:r w:rsidRPr="00A90898">
        <w:rPr>
          <w:i/>
        </w:rPr>
        <w:t>ter</w:t>
      </w:r>
      <w:r>
        <w:t xml:space="preserve"> LBRL impone dos obligaciones a los entes locales que en modo alguno entrañan una injerencia en su autonomía: calcular el «coste efectivo» de sus servicios conforme a una serie de criterios, que habrá de desarrollar una orden ministerial (ya adoptada: Orden HAP/2075/2014, de 6 de noviembre); y comunicar el cálculo resultante al Estado para su publicación. No por ello los entes locales han visto menoscabadas sus posibilidades de intervención en los asuntos que les afectan. No hay injerencia alguna sobre su ámbito competencial … Ciertamente, no puede excluirse en abstracto que los preceptos que se sirven del concepto de «coste efectivo» regulado en el art. 116 </w:t>
      </w:r>
      <w:r w:rsidRPr="00A90898">
        <w:rPr>
          <w:i/>
        </w:rPr>
        <w:t>ter</w:t>
      </w:r>
      <w:r>
        <w:t xml:space="preserve"> LBRL vulneren la garantía constitucional de la autonomía local. No obstante, ello habrá de analizarse respecto de cada precepto concreto y, en todo caso, si la vulneración se produjera, sería imputable a ese precepto, no al art. 116 </w:t>
      </w:r>
      <w:r w:rsidRPr="00A90898">
        <w:rPr>
          <w:i/>
        </w:rPr>
        <w:t>ter</w:t>
      </w:r>
      <w:r>
        <w:t xml:space="preserve"> LBRL. Por eso procede desestimar la impugnación del art. 116 </w:t>
      </w:r>
      <w:r w:rsidRPr="00A90898">
        <w:rPr>
          <w:i/>
        </w:rPr>
        <w:t>ter</w:t>
      </w:r>
      <w:r>
        <w:t xml:space="preserve"> LBRL, introducido por el art. 1.31 de la Ley 27/2013.”</w:t>
      </w:r>
    </w:p>
    <w:p w:rsidR="00A90898" w:rsidRDefault="00A90898" w:rsidP="00A90898">
      <w:pPr>
        <w:pStyle w:val="TextoNormal"/>
      </w:pPr>
    </w:p>
    <w:p w:rsidR="00A90898" w:rsidRDefault="00A90898" w:rsidP="00A90898">
      <w:pPr>
        <w:pStyle w:val="TextoNormal"/>
      </w:pPr>
      <w:r>
        <w:t>Respecto del art. 36 LRBRL debemos destacar en primer lugar que el recurso de inconstitucionalidad se limita a la transcripción que ha quedado consignada, de modo que no realiza el “pormenorizado análisis de las graves cuestiones que se suscitan” que incumbe al recurrente “cuando lo que está en juego es la depuración del ordenamiento jurídico” [por todas, STC 118/2016, de 23 de junio, FJ 3 g)]. No obstante, por atender a un criterio de unidad de doctrina, no está de más recordar que la STC 111/2016, FJ 12 c), desestima la impugnación dirigida contra el art. 36.2 a) LBRL siempre que se entienda en los términos que allí se indican y aquí se reproducen:</w:t>
      </w:r>
    </w:p>
    <w:p w:rsidR="00A90898" w:rsidRDefault="00A90898" w:rsidP="00A90898">
      <w:pPr>
        <w:pStyle w:val="TextoNormal"/>
      </w:pPr>
    </w:p>
    <w:p w:rsidR="00A90898" w:rsidRDefault="00A90898" w:rsidP="00A90898">
      <w:pPr>
        <w:pStyle w:val="TextoNormal"/>
      </w:pPr>
      <w:r>
        <w:t xml:space="preserve">“[E]l párrafo segundo del art. 36.2 a) LBRL sería contrario a los arts. 137 y 140 CE si fuera interpretado como previsión que atribuye por sí unas facultades de coordinación cuyo concreto alcance hubiera de fijar la propia diputación a través de los correspondientes planes de cooperación. Sin embargo, está interpretación ha de excluirse, habida cuenta de que hay </w:t>
      </w:r>
      <w:r>
        <w:lastRenderedPageBreak/>
        <w:t>otra que, siendo igualmente razonable, resulta conforme a la Constitución. De acuerdo a esa otra interpretación, el art. 36.2 a) LBRL es una previsión básica que, en cuanto tal, no pretende ni puede pretender agotar la regulación de la materia. Se refiere a una submateria —competencias locales— en la que las Comunidades Autónomas disponen de amplios márgenes de desarrollo y en la que, en todo caso, concurren regulaciones sectoriales [STC 41/2016, FJ 7 c)]. Bajo esta perspectiva, la ausencia de precisión característica de la previsión impugnada no resulta en sí problemática desde la perspectiva de la autonomía municipal (arts. 137 y 140 CE).”</w:t>
      </w:r>
    </w:p>
    <w:p w:rsidR="00A90898" w:rsidRDefault="00A90898" w:rsidP="00A90898">
      <w:pPr>
        <w:pStyle w:val="TextoNormal"/>
      </w:pPr>
    </w:p>
    <w:p w:rsidR="00A90898" w:rsidRDefault="00A90898" w:rsidP="00A90898">
      <w:pPr>
        <w:pStyle w:val="TextoNormal"/>
      </w:pPr>
      <w:r w:rsidRPr="00A90898">
        <w:rPr>
          <w:rStyle w:val="NumeroAFNegritaCaracter"/>
        </w:rPr>
        <w:t>4</w:t>
      </w:r>
      <w:r>
        <w:t>. La Letrada del Parlamento de Navarra alega en la demanda que la distribución competencial entre el Estado y la Comunidad Foral de Navarra en materia de régimen local presenta particularidades que se derivan del art. 46 LORAFNA, reconocidas a su vez en la disposición adicional tercera LBRL (“La presente Ley regirá en Navarra en lo que no se oponga al régimen que para su Administración local establece el art. 46 LORAFNA. A estos efectos, la normativa estatal que, de acuerdo con las Leyes citadas en el mencionado precepto, rige en Navarra, se entenderá modificada por las disposiciones contenidas en la presente Ley. De acuerdo con lo dispuesto en el número 1 del citado artículo 46, será de aplicación a la Comunidad Foral de Navarra lo establecido en el número 2 de la disposición adicional primera de esta Ley”) y en la disposición adicional segunda de la Ley 27/2013, que dispone:</w:t>
      </w:r>
    </w:p>
    <w:p w:rsidR="00A90898" w:rsidRDefault="00A90898" w:rsidP="00A90898">
      <w:pPr>
        <w:pStyle w:val="TextoNormal"/>
      </w:pPr>
    </w:p>
    <w:p w:rsidR="00A90898" w:rsidRDefault="00A90898" w:rsidP="00A90898">
      <w:pPr>
        <w:pStyle w:val="TextoNormal"/>
      </w:pPr>
      <w:r>
        <w:t>“Disposición adicional segunda. Régimen aplicable a la Comunidad Foral de Navarra.</w:t>
      </w:r>
    </w:p>
    <w:p w:rsidR="00A90898" w:rsidRDefault="00A90898" w:rsidP="00A90898">
      <w:pPr>
        <w:pStyle w:val="TextoNormal"/>
      </w:pPr>
    </w:p>
    <w:p w:rsidR="00A90898" w:rsidRDefault="00A90898" w:rsidP="00A90898">
      <w:pPr>
        <w:pStyle w:val="TextoNormal"/>
      </w:pPr>
      <w:r>
        <w:t>1. La presente Ley se aplicará a la Comunidad Foral de Navarra en los términos establecidos en el art. 149.1.14 y 18 y disposición adicional primera de la Constitución, sin perjuicio de las particularidades que resultan de la LORAFNA y de la disposición final tercera de la Ley Orgánica 2/2012, de 27 de abril, de Estabilidad Presupuestaria y Sostenibilidad Financiera. En su aplicación, y sin perjuicio de las facultades de coordinación y tutela que les corresponden, la competencia para decidir sobre la forma de prestación de servicios a la que se refiere el art. 26.2 LBRL corresponderá a la Comunidad Foral de Navarra.</w:t>
      </w:r>
    </w:p>
    <w:p w:rsidR="00A90898" w:rsidRDefault="00A90898" w:rsidP="00A90898">
      <w:pPr>
        <w:pStyle w:val="TextoNormal"/>
      </w:pPr>
    </w:p>
    <w:p w:rsidR="00A90898" w:rsidRDefault="00A90898" w:rsidP="00A90898">
      <w:pPr>
        <w:pStyle w:val="TextoNormal"/>
      </w:pPr>
      <w:r>
        <w:t>2. La Comunidad Foral de Navarra, podrá, en su ámbito competencia/, atribuir competencias como propias a los municipios de su territorio así como del resto de las Entidades Locales de Navarra, con sujeción en todo caso, a los criterios señalados en los apartados 3, 4 y 5 del art. 25 LBRL.</w:t>
      </w:r>
    </w:p>
    <w:p w:rsidR="00A90898" w:rsidRDefault="00A90898" w:rsidP="00A90898">
      <w:pPr>
        <w:pStyle w:val="TextoNormal"/>
      </w:pPr>
    </w:p>
    <w:p w:rsidR="00A90898" w:rsidRDefault="00A90898" w:rsidP="00A90898">
      <w:pPr>
        <w:pStyle w:val="TextoNormal"/>
      </w:pPr>
      <w:r>
        <w:t>3. Las funciones que los arts. 7.4 y 26.2 de esta Ley atribuyen a la Administración que ejerce la tutela financiera, corresponderán a la Comunidad Foral de Navarra, de conformidad con lo previsto en la disposición adicional séptima del Convenio Económico entre el Estado y la Comunidad Foral de Navarra, aprobado por la Ley 25/2003, de 15 de julio.</w:t>
      </w:r>
    </w:p>
    <w:p w:rsidR="00A90898" w:rsidRDefault="00A90898" w:rsidP="00A90898">
      <w:pPr>
        <w:pStyle w:val="TextoNormal"/>
      </w:pPr>
    </w:p>
    <w:p w:rsidR="00A90898" w:rsidRDefault="00A90898" w:rsidP="00A90898">
      <w:pPr>
        <w:pStyle w:val="TextoNormal"/>
      </w:pPr>
      <w:r>
        <w:t xml:space="preserve">4. De conformidad con la Ley Orgánica 2/2012, de 27 de abril, de Estabilidad Presupuestaria y Sostenibilidad Financiera y con la disposición adicional séptima de la Ley 25/2003, de 15 de julio, la Comunidad Foral de Navarra recibirá también los informes emitidos, en cumplimiento de la normativa básica, por los órganos interventores de las Entidades Locales de Navarra, para su remisión inmediata al Ministerio de Hacienda y de Administraciones </w:t>
      </w:r>
      <w:r>
        <w:lastRenderedPageBreak/>
        <w:t>Públicas. Asimismo, los órganos interventores de las Entidades Locales de Navarra, remitirán también dicha información a la Cámara de Comptos, sin perjuicio de las competencias atribuidas al Tribunal de Cuentas.</w:t>
      </w:r>
    </w:p>
    <w:p w:rsidR="00A90898" w:rsidRDefault="00A90898" w:rsidP="00A90898">
      <w:pPr>
        <w:pStyle w:val="TextoNormal"/>
      </w:pPr>
    </w:p>
    <w:p w:rsidR="00A90898" w:rsidRDefault="00A90898" w:rsidP="00A90898">
      <w:pPr>
        <w:pStyle w:val="TextoNormal"/>
      </w:pPr>
      <w:r>
        <w:t>5. De conformidad con lo dispuesto en el arto 116 ter LBRL, la Comunidad Foral de Navarra, desarrollará los criterios de cálculo del coste efectivo de los servicios que prestan las Entidades Locales de Navarra, recibiendo la comunicación de dicho coste.</w:t>
      </w:r>
    </w:p>
    <w:p w:rsidR="00A90898" w:rsidRDefault="00A90898" w:rsidP="00A90898">
      <w:pPr>
        <w:pStyle w:val="TextoNormal"/>
      </w:pPr>
    </w:p>
    <w:p w:rsidR="00A90898" w:rsidRDefault="00A90898" w:rsidP="00A90898">
      <w:pPr>
        <w:pStyle w:val="TextoNormal"/>
      </w:pPr>
      <w:r>
        <w:t>6. En el marco de los objetivos de estabilidad presupuestaria y en virtud de las competencias reconocidas a Navarra, a las que se hace referencia en el punto primero de esta disposición, la Comunidad Foral de Navarra determinará los límites máximos totales del conjunto de las retribuciones y asistencias de los miembros de las Corporaciones Locales, del personal eventual y del resto del personal al servicio de las mismas y su sector público. La determinación de tales retribuciones atenderá a los principios y estructura establecidos, en su caso, por la legislación estatal.”</w:t>
      </w:r>
    </w:p>
    <w:p w:rsidR="00A90898" w:rsidRDefault="00A90898" w:rsidP="00A90898">
      <w:pPr>
        <w:pStyle w:val="TextoNormal"/>
      </w:pPr>
    </w:p>
    <w:p w:rsidR="00A90898" w:rsidRDefault="00A90898" w:rsidP="00A90898">
      <w:pPr>
        <w:pStyle w:val="TextoNormal"/>
      </w:pPr>
      <w:r>
        <w:t>Aduce, además, que esta previsión singular de reparto competencial en materia de Administración local ha sido desarrollada mediante la Ley Foral 6/1990, de 2 de julio, de la Administración local de Navarra.</w:t>
      </w:r>
    </w:p>
    <w:p w:rsidR="00A90898" w:rsidRDefault="00A90898" w:rsidP="00A90898">
      <w:pPr>
        <w:pStyle w:val="TextoNormal"/>
      </w:pPr>
    </w:p>
    <w:p w:rsidR="00A90898" w:rsidRDefault="00A90898" w:rsidP="00A90898">
      <w:pPr>
        <w:pStyle w:val="TextoNormal"/>
      </w:pPr>
      <w:r>
        <w:t>Este planteamiento general se refleja en que el epígrafe de cada una de las quejas de signo competencial —las primeras, numeradas de la una a la ocho de la demanda— se menciona el art. 46 LORAFNA como infringido. Sin embargo, en el desarrollo de varios de tales motivos del recurso no se expone razón alguna conectada con la especialidad foral. Falta, de este modo, el “pormenorizado análisis de las graves cuestiones que se suscitan” que incumbe al recurrente “cuando lo que está en juego es la depuración del ordenamiento jurídico” [por todas, STC 118/2016, de 23 de junio, FJ 3 g)]. En algunos otros de dichos motivos del recurso sí se consignan ciertos razonamientos conectados con la garantía foral, por lo que estos reproches se analizan a continuación.</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El recurso se dirige contra el art. 24 </w:t>
      </w:r>
      <w:r w:rsidRPr="00A90898">
        <w:rPr>
          <w:i/>
        </w:rPr>
        <w:t>bis</w:t>
      </w:r>
      <w:r>
        <w:t xml:space="preserve"> LBRL (introducido por el art. 1.7 de la Ley 27/2013). Alega que los entes locales distintos a municipios y provincias “entra[n] en cuanto a su propia existencia en el ámbito de disponibilidad de las Comunidades Autónomas que dispongan de la correspondiente competencia” (STC 214/1989), negándose “la posibilidad de que el Estado cree o mantenga en existencia por decisión propia” tales entes (STC 179/1985), de modo que, a su entender, “cuando el art. 24 </w:t>
      </w:r>
      <w:r w:rsidRPr="00A90898">
        <w:rPr>
          <w:i/>
        </w:rPr>
        <w:t>bis</w:t>
      </w:r>
      <w:r>
        <w:t xml:space="preserve"> regula [que] estos entes de ámbito territorial inferior al municipio carecerán de personalidad jurídica, como forma de organización desconcentrada, está limitando de manera injustificada” la competencia autonómica. Este motivo ya fue considerado y desestimado en la STC 41/2016, FJ 7 b), al cual nos remitimos.</w:t>
      </w:r>
    </w:p>
    <w:p w:rsidR="00A90898" w:rsidRDefault="00A90898" w:rsidP="00A90898">
      <w:pPr>
        <w:pStyle w:val="TextoNormal"/>
      </w:pPr>
    </w:p>
    <w:p w:rsidR="00A90898" w:rsidRDefault="00A90898" w:rsidP="00A90898">
      <w:pPr>
        <w:pStyle w:val="TextoNormal"/>
      </w:pPr>
      <w:r>
        <w:t xml:space="preserve">También sostiene que “el art. 24 </w:t>
      </w:r>
      <w:r w:rsidRPr="00A90898">
        <w:rPr>
          <w:i/>
        </w:rPr>
        <w:t>bis</w:t>
      </w:r>
      <w:r>
        <w:t xml:space="preserve"> alude directamente a los ‘concejos’ que constituyen una institución tradicional de Navarra sometida al régimen jurídico foral y por tanto ante una materia que forma parte de la competencia histórica de Navarra prevista en el art. 46.1 a) LORAFNA, y que encuentra un completo desarrollo en la Ley Foral de Administración local, en la sección primera del capítulo II, del título 1, arts. 37 a 44, ya que el art. 37.1 </w:t>
      </w:r>
      <w:r>
        <w:lastRenderedPageBreak/>
        <w:t>reconoce expresamente como ámbitos territoriales inferiores al municipio y ‘con personalidad jurídica para la gestión y administración de sus intereses en el ámbito de las competencias atribuidas a los mismos por esta Ley Foral’.”</w:t>
      </w:r>
    </w:p>
    <w:p w:rsidR="00A90898" w:rsidRDefault="00A90898" w:rsidP="00A90898">
      <w:pPr>
        <w:pStyle w:val="TextoNormal"/>
      </w:pPr>
    </w:p>
    <w:p w:rsidR="00A90898" w:rsidRDefault="00A90898" w:rsidP="00A90898">
      <w:pPr>
        <w:pStyle w:val="TextoNormal"/>
      </w:pPr>
      <w:r>
        <w:t xml:space="preserve">La STC 31/2010 declaró que las disposiciones estatutarias en materia de régimen local condicionan solo al legislador autonómico, no prevaleciendo por tanto frente a la legislación básica en caso de conflicto. No es posible, sin embargo, hacer lo propio en este caso, pues el marco competencial en materia de régimen local difiere de un modo esencial en el caso de Navarra, pues las previsiones de la LORAFNA, en la parte que reflejen derechos históricos, enraízan en la disposición adicional primera de la Constitución que, por lo que aquí interesa, desplaza respecto a esta entidad foral la competencia estatal de dictar legislación básica </w:t>
      </w:r>
      <w:r w:rsidRPr="00A90898">
        <w:rPr>
          <w:i/>
        </w:rPr>
        <w:t>ex</w:t>
      </w:r>
      <w:r>
        <w:t xml:space="preserve"> art. 149.1.18 CE (STC 140/1990, de 20 de noviembre, en cuanto a la legislación básica sobre funcionarios públicos, en especial, FJ 2, 3 y 4).</w:t>
      </w:r>
    </w:p>
    <w:p w:rsidR="00A90898" w:rsidRDefault="00A90898" w:rsidP="00A90898">
      <w:pPr>
        <w:pStyle w:val="TextoNormal"/>
      </w:pPr>
    </w:p>
    <w:p w:rsidR="00A90898" w:rsidRDefault="00A90898" w:rsidP="00A90898">
      <w:pPr>
        <w:pStyle w:val="TextoNormal"/>
      </w:pPr>
      <w:r>
        <w:t>Las atribuciones que reserva el art. 46 LORAFNA al ente foral en materia de Administración local responden al respeto y actualización de los derechos históricos solo en parte, al consignarse, de manera expresa en el texto legal: “Las facultades y competencias que actualmente ostenta, al amparo de lo establecido en la Ley Paccionada de dieciséis de agosto de mil ochocientos cuarenta y uno, en el Real Decreto-ley Paccionado de cuatro de noviembre de mil novecientos veinticinco y disposiciones complementarias”, según el artículo 46.1 a). Hay otro conjunto de competencias autonómicas en esta materia que corresponden, de la misma forma que a cualquier otra Comunidad Autónoma, al ente foral como legislador de desarrollo de la legislación básica: “Las que, siendo compatibles con las anteriores, puedan corresponder a las Comunidades Autónomas o a las Provincias, conforme a la legislación básica del Estado”, añade el art. 46.1 b) LORAFNA.</w:t>
      </w:r>
    </w:p>
    <w:p w:rsidR="00A90898" w:rsidRDefault="00A90898" w:rsidP="00A90898">
      <w:pPr>
        <w:pStyle w:val="TextoNormal"/>
      </w:pPr>
    </w:p>
    <w:p w:rsidR="00A90898" w:rsidRDefault="00A90898" w:rsidP="00A90898">
      <w:pPr>
        <w:pStyle w:val="TextoNormal"/>
      </w:pPr>
      <w:r>
        <w:t xml:space="preserve">El Real Decreto-ley paccionado de 4 de noviembre de 1925, que fija las bases para la aplicación en Navarra del estatuto municipal aprobado por Real Decreto-ley de 8 de marzo de 1924 sin conculcar los principios recogidos en la Ley paccionada de 16 de agosto de 1841, contiene una base segunda que lleva por rúbrica “Organización concejil”. El reglamento para la Administración municipal de Navarra de 2 de febrero de 1928, que merece ser considerada una de esas “disposiciones complementarias” </w:t>
      </w:r>
      <w:r w:rsidRPr="00A90898">
        <w:rPr>
          <w:i/>
        </w:rPr>
        <w:t>ex</w:t>
      </w:r>
      <w:r>
        <w:t xml:space="preserve"> art. 46.1 a) LORAFNA porque desarrolla las mencionadas bases, dedica el capítulo III del título I a la “Organización y funcionamiento de los Concejos”, integrado por los arts. 18 a 44, el primero de los cuales dispone que “bajo la denominación general de Concejo se comprenden los Pueblos y lugares pertenecientes a un término municipal (Valle, Distrito o Cendea), con territorio, jurisdicción y bienes propios y los que, sin poseerlos, tengan reconocida Administración independiente de la del municipio a que se hallen agregados”, recogiendo los demás preceptos su forma de gobierno, que se realiza según el número de habitantes mediante concejo abierto o juntas de oncena, quincena o veintena, y de funcionamiento.</w:t>
      </w:r>
    </w:p>
    <w:p w:rsidR="00A90898" w:rsidRDefault="00A90898" w:rsidP="00A90898">
      <w:pPr>
        <w:pStyle w:val="TextoNormal"/>
      </w:pPr>
    </w:p>
    <w:p w:rsidR="00A90898" w:rsidRDefault="00A90898" w:rsidP="00A90898">
      <w:pPr>
        <w:pStyle w:val="TextoNormal"/>
      </w:pPr>
      <w:r>
        <w:t>La organización local en Navarra ha mantenido ininterrumpidamente la presencia relevante de los concejos y el art. 46 LORAFNA ha actualizado esta especialidad histórica tanto al remitirse expresamente a las normas indicadas en el art. 46.1 a) LORAFNA como al referirse en el art. 46.2 LORAFNA “a los Municipios, Concejos y Entidades Locales de Navarra”.</w:t>
      </w:r>
    </w:p>
    <w:p w:rsidR="00A90898" w:rsidRDefault="00A90898" w:rsidP="00A90898">
      <w:pPr>
        <w:pStyle w:val="TextoNormal"/>
      </w:pPr>
    </w:p>
    <w:p w:rsidR="00A90898" w:rsidRDefault="00A90898" w:rsidP="00A90898">
      <w:pPr>
        <w:pStyle w:val="TextoNormal"/>
      </w:pPr>
      <w:r>
        <w:lastRenderedPageBreak/>
        <w:t>En conclusión, la regulación de los Concejos como entidad local menor es una materia que compete a la Comunidad Foral Navarra en virtud de la actualización de los derechos históricos que realiza la LORAFNA con apoyo en la disposición adicional primera de la Constitución Española.</w:t>
      </w:r>
    </w:p>
    <w:p w:rsidR="00A90898" w:rsidRDefault="00A90898" w:rsidP="00A90898">
      <w:pPr>
        <w:pStyle w:val="TextoNormal"/>
      </w:pPr>
    </w:p>
    <w:p w:rsidR="00A90898" w:rsidRDefault="00A90898" w:rsidP="00A90898">
      <w:pPr>
        <w:pStyle w:val="TextoNormal"/>
      </w:pPr>
      <w:r>
        <w:t xml:space="preserve">Esta apreciación no conduce, sin embargo, a la estimación de esta impugnación y consiguiente declaración de inconstitucionalidad del art. 24 </w:t>
      </w:r>
      <w:r w:rsidRPr="00A90898">
        <w:rPr>
          <w:i/>
        </w:rPr>
        <w:t>bis</w:t>
      </w:r>
      <w:r>
        <w:t xml:space="preserve"> LBRL (introducido por el art. 1.7 de la Ley 27/2013) porque la disposición adicional tercera de la Ley de bases de régimen local, que es aplicable también a los preceptos introducidos en la Ley de bases de régimen local por la Ley 27/2013, prevé expresamente que “la presente Ley regirá en Navarra en lo que no se oponga al régimen que para su Administración local establece el art. 46 LORAFNA”. De este modo, el art. 24 </w:t>
      </w:r>
      <w:r w:rsidRPr="00A90898">
        <w:rPr>
          <w:i/>
        </w:rPr>
        <w:t>bis</w:t>
      </w:r>
      <w:r>
        <w:t xml:space="preserve"> LBRL (introducido por el art. 1.7 de la Ley 27/2013) no invade la competencia del ente foral dado que la disposición adicional tercera de la Ley de bases de régimen local deja claro que el ámbito de aplicación de aquél no alcanza al territorio foral. Todo ello sin perjuicio de que a las entidades locales navarras le sean aplicables los controles de eficiencia que, en virtud del art. 149.1.14 CE, el Estado ha dispuesto en la Ley Orgánica 2/2012, de 27 de abril, de estabilidad presupuestaria y sostenibilidad financiera, con las especialidades que en su aplicación al territorio foral prevé la disposición adicional tercera de esta última norma.</w:t>
      </w:r>
    </w:p>
    <w:p w:rsidR="00A90898" w:rsidRDefault="00A90898" w:rsidP="00A90898">
      <w:pPr>
        <w:pStyle w:val="TextoNormal"/>
      </w:pPr>
    </w:p>
    <w:p w:rsidR="00A90898" w:rsidRDefault="00A90898" w:rsidP="00A90898">
      <w:pPr>
        <w:pStyle w:val="TextoNormal"/>
      </w:pPr>
      <w:r>
        <w:t xml:space="preserve">La demanda recurre por igual razón la disposición transitoria cuarta de la Ley 27/2013, relativa a la supresión de entidades locales menores ya constituidas, impugnación que procede desestimar por las mismas razones expuestas en este fundamento jurídico, si bien se debe destacar, de un lado, que la remisión a la STC 41/2016 ha de entenderse hecha al fundamento jurídico 7 c) y, de otro, que la previsión que determina la no aplicabilidad de esta disposición al territorio foral no es la disposición adicional tercera de la Ley de bases de régimen local sino la disposición adicional segunda de la Ley 27/2013, norma esta última que en su apartado primero presenta una regla general similar a la que está contenida en aquélla y hemos tenido en cuenta respecto del art. 24 </w:t>
      </w:r>
      <w:r w:rsidRPr="00A90898">
        <w:rPr>
          <w:i/>
        </w:rPr>
        <w:t>bis</w:t>
      </w:r>
      <w:r>
        <w:t xml:space="preserve"> LBRL.</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La Letrada del Parlamento de Navarra insta también la declaración de inconstitucionalidad del art. 25 LBRL (introducido por el art. 1.8 de la Ley 27/2013) y de la disposición adicional decimoquinta de la Ley 27/2013, que contienen disposiciones sobre la delimitación de las competencias propias del municipio. Expone que “la posible tacha de inconstitucionalidad que se realiza por parte de la Comunidad Foral respecto al art. 25 LRBRL y la disposición adicional citada se circunscribe a su </w:t>
      </w:r>
      <w:r w:rsidRPr="00A90898">
        <w:rPr>
          <w:i/>
        </w:rPr>
        <w:t>posible</w:t>
      </w:r>
      <w:r>
        <w:t xml:space="preserve"> aplicación directamente y obviando los efectos que sobre estos preceptos debe tener necesariamente la disposición adicional segunda de la Ley de racionalización y sostenibilidad de la Administración Local”. Y alega exactamente lo mismo en un epígrafe posterior respecto del art. 85.2 LBRL (introducido por el art. 1.21 de la Ley 27/2013), relativo a las formas de gestión de los servicios públicos locales.</w:t>
      </w:r>
    </w:p>
    <w:p w:rsidR="00A90898" w:rsidRDefault="00A90898" w:rsidP="00A90898">
      <w:pPr>
        <w:pStyle w:val="TextoNormal"/>
      </w:pPr>
    </w:p>
    <w:p w:rsidR="00A90898" w:rsidRDefault="00A90898" w:rsidP="00A90898">
      <w:pPr>
        <w:pStyle w:val="TextoNormal"/>
      </w:pPr>
      <w:r>
        <w:t>Procede desestimar estas impugnaciones porque se sustentan en una “posible aplicación” de los preceptos impugnados cuando es doctrina constitucional reiterada que los “presupuesto[s] hipotético[s], basado[s] en una mera conjetura interpretativa … ya de por sí priva[n] de fundamento a la impugnación” (SSTC 214/1989, de 21 de diciembre, FJ 8; 236/2005,de 19 de noviembre, FJ 6).</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7</w:t>
      </w:r>
      <w:r>
        <w:t>. Según se ha expuesto en el fundamento jurídico tercero de esta resolución, el presente recurso se dirige contra el art. 57.3 LBRL (introducido por el art. 1.16 de la Ley 27/2013), relativo a los presupuestos exigibles para constituir consorcios, reprochándole un vicio competencial, que se ha desestimado por remisión a los argumentos recogidos en el fundamento jurídico 8 de la STC 41/2016.</w:t>
      </w:r>
    </w:p>
    <w:p w:rsidR="00A90898" w:rsidRDefault="00A90898" w:rsidP="00A90898">
      <w:pPr>
        <w:pStyle w:val="TextoNormal"/>
      </w:pPr>
    </w:p>
    <w:p w:rsidR="00A90898" w:rsidRDefault="00A90898" w:rsidP="00A90898">
      <w:pPr>
        <w:pStyle w:val="TextoNormal"/>
      </w:pPr>
      <w:r>
        <w:t>Ahora bien, la demanda deduce contra el art. 57.3 LBRL una segunda queja, consistente ésta en que “el legislador básico estatal no incluye ninguna justificación para introducir esta limitación a la capacidad de autoorganización del municipio en la prestación de sus servicios”, con lo que desconocería la autonomía local constitucionalmente garantizada (arts. 137 y 140 CE).</w:t>
      </w:r>
    </w:p>
    <w:p w:rsidR="00A90898" w:rsidRDefault="00A90898" w:rsidP="00A90898">
      <w:pPr>
        <w:pStyle w:val="TextoNormal"/>
      </w:pPr>
    </w:p>
    <w:p w:rsidR="00A90898" w:rsidRDefault="00A90898" w:rsidP="00A90898">
      <w:pPr>
        <w:pStyle w:val="TextoNormal"/>
      </w:pPr>
      <w:r>
        <w:t>El consorcio, como instrumento que permite la colaboración voluntaria del ente local con otras Administraciones públicas en relación con los servicios locales y los asuntos de interés común (art. 57.1 LBRL), se conecta directamente con la potestad de aquéllos de elegir una u otra forma organizativa a través de la que ejercitar las competencias que tiene atribuidas para la realización de los intereses locales. En este sentido el art. 57.3 LBRL, al configurar la fórmula consorcial como subsidiaria de la vía convencional y, en todo caso, condicionada al cumplimiento de criterios de eficiencia y sostenibilidad financiera, limita la indicada capacidad de decisión y, de este modo, incide en el ámbito protegido por la autonomía local, pero no lo hace de un modo inconstitucional por los siguientes motivos: a) En primer lugar, porque los entes locales conservan amplios espacios de opción organizativa. b) En segundo lugar porque la legislación estatal, con esa previsión restrictiva, se orienta a la realización de los principios generales de buena gestión financiera (art. 32.1 CE) y sostenibilidad financiera (art. 135 CE). c) Por último, como afirma la STC 111/2016 respecto de otros límites impuestos al margen de decisión de los entes locales [FJ 12 a)], la relativa ausencia de determinación “no puede entrañar un problema en el contexto de una regulación afirmada como básica y, por tanto, incompleta o necesitada del complemento autonómico; a la que se añade la legislación sectorial del Estado y las Comunidades Autónomas, que es la encargada de definir concretamente las competencias locales” [SSTC 214/1989, FJ 3, letras a) y b) y c) y 41/2016, FJ 9].</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Aunque el recurso de inconstitucionalidad impugna el art. 116 </w:t>
      </w:r>
      <w:r w:rsidRPr="00A90898">
        <w:rPr>
          <w:i/>
        </w:rPr>
        <w:t>bis</w:t>
      </w:r>
      <w:r>
        <w:t xml:space="preserve"> LBRL (introducido por el art. 1.30 de la Ley 27/2013), relativo al plan económico financiero que el ente local debe adoptar si incumple el objetivo de estabilidad presupuestaria, el de deuda pública o la regla de gasto, los motivos que desarrolla se refieren exclusivamente a su apartado segundo, que dispone que:</w:t>
      </w:r>
    </w:p>
    <w:p w:rsidR="00A90898" w:rsidRDefault="00A90898" w:rsidP="00A90898">
      <w:pPr>
        <w:pStyle w:val="TextoNormal"/>
      </w:pPr>
    </w:p>
    <w:p w:rsidR="00A90898" w:rsidRDefault="00A90898" w:rsidP="00A90898">
      <w:pPr>
        <w:pStyle w:val="TextoNormal"/>
      </w:pPr>
      <w:r>
        <w:t>2. Adicionalmente a lo previsto en el artículo 21 de la Ley Orgánica 2/2012, de 27 de abril, de estabilidad presupuestaria y sostenibilidad financiera, el mencionado plan incluirá al menos las siguientes medidas:</w:t>
      </w:r>
    </w:p>
    <w:p w:rsidR="00A90898" w:rsidRDefault="00A90898" w:rsidP="00A90898">
      <w:pPr>
        <w:pStyle w:val="TextoNormal"/>
      </w:pPr>
    </w:p>
    <w:p w:rsidR="00A90898" w:rsidRDefault="00A90898" w:rsidP="00A90898">
      <w:pPr>
        <w:pStyle w:val="TextoNormal"/>
      </w:pPr>
      <w:r>
        <w:t>a) Supresión de las competencias que ejerza la entidad local que sean distintas de las propias y de las ejercidas por delegación.</w:t>
      </w:r>
    </w:p>
    <w:p w:rsidR="00A90898" w:rsidRDefault="00A90898" w:rsidP="00A90898">
      <w:pPr>
        <w:pStyle w:val="TextoNormal"/>
      </w:pPr>
    </w:p>
    <w:p w:rsidR="00A90898" w:rsidRDefault="00A90898" w:rsidP="00A90898">
      <w:pPr>
        <w:pStyle w:val="TextoNormal"/>
      </w:pPr>
      <w:r>
        <w:t>b) Gestión integrada o coordinada de los servicios obligatorios que presta la entidad local para reducir sus costes.</w:t>
      </w:r>
    </w:p>
    <w:p w:rsidR="00A90898" w:rsidRDefault="00A90898" w:rsidP="00A90898">
      <w:pPr>
        <w:pStyle w:val="TextoNormal"/>
      </w:pPr>
    </w:p>
    <w:p w:rsidR="00A90898" w:rsidRDefault="00A90898" w:rsidP="00A90898">
      <w:pPr>
        <w:pStyle w:val="TextoNormal"/>
      </w:pPr>
      <w:r>
        <w:lastRenderedPageBreak/>
        <w:t>c) Incremento de ingresos para financiar los servicios obligatorios que presta la entidad local.</w:t>
      </w:r>
    </w:p>
    <w:p w:rsidR="00A90898" w:rsidRDefault="00A90898" w:rsidP="00A90898">
      <w:pPr>
        <w:pStyle w:val="TextoNormal"/>
      </w:pPr>
    </w:p>
    <w:p w:rsidR="00A90898" w:rsidRDefault="00A90898" w:rsidP="00A90898">
      <w:pPr>
        <w:pStyle w:val="TextoNormal"/>
      </w:pPr>
      <w:r>
        <w:t>d) Racionalización organizativa.</w:t>
      </w:r>
    </w:p>
    <w:p w:rsidR="00A90898" w:rsidRDefault="00A90898" w:rsidP="00A90898">
      <w:pPr>
        <w:pStyle w:val="TextoNormal"/>
      </w:pPr>
    </w:p>
    <w:p w:rsidR="00A90898" w:rsidRDefault="00A90898" w:rsidP="00A90898">
      <w:pPr>
        <w:pStyle w:val="TextoNormal"/>
      </w:pPr>
      <w:r>
        <w:t>e) Supresión de entidades de ámbito territorial inferior al municipio que, en el ejercicio presupuestario inmediato anterior, incumplan con el objetivo de estabilidad presupuestaria o con el objetivo de deuda pública o que el período medio de pago a proveedores supere en más de 30 días el plazo máximo previsto en la normativa de morosidad.</w:t>
      </w:r>
    </w:p>
    <w:p w:rsidR="00A90898" w:rsidRDefault="00A90898" w:rsidP="00A90898">
      <w:pPr>
        <w:pStyle w:val="TextoNormal"/>
      </w:pPr>
    </w:p>
    <w:p w:rsidR="00A90898" w:rsidRDefault="00A90898" w:rsidP="00A90898">
      <w:pPr>
        <w:pStyle w:val="TextoNormal"/>
      </w:pPr>
      <w:r>
        <w:t>f) Una propuesta de fusión con un municipio colindante de la misma provincia.</w:t>
      </w:r>
    </w:p>
    <w:p w:rsidR="00A90898" w:rsidRDefault="00A90898" w:rsidP="00A90898">
      <w:pPr>
        <w:pStyle w:val="TextoNormal"/>
      </w:pPr>
    </w:p>
    <w:p w:rsidR="00A90898" w:rsidRDefault="00A90898" w:rsidP="00A90898">
      <w:pPr>
        <w:pStyle w:val="TextoNormal"/>
      </w:pPr>
      <w:r>
        <w:t>Aduce que la necesidad de adoptar todas y cada una de estas medidas, que es lo que a su juicio significa la expresión “incluirá al menos”, “comprime hasta anularlo el espacio de libre decisión de los gobiernos locales [pues] le impone pormenorizadamente las concretas medidas que van a llevarse al plan”, con lo que vulnera la garantía constitucional de autonomía local. Además, al regular esta materia estaría invadiendo un ámbito que el art. 135.5 CE reserva a una ley orgánica, reserva que ha venido a atender la Ley Orgánica 2/2012, de 27 de abril, de estabilidad presupuestaria y sostenibilidad financiera, cuyo art. 21 resulta, en su opinión, contradicho por este art. 11</w:t>
      </w:r>
      <w:r w:rsidRPr="00A90898">
        <w:rPr>
          <w:i/>
        </w:rPr>
        <w:t>6 b</w:t>
      </w:r>
      <w:r>
        <w:t>is.2 LBRL.</w:t>
      </w:r>
    </w:p>
    <w:p w:rsidR="00A90898" w:rsidRDefault="00A90898" w:rsidP="00A90898">
      <w:pPr>
        <w:pStyle w:val="TextoNormal"/>
      </w:pPr>
    </w:p>
    <w:p w:rsidR="00A90898" w:rsidRDefault="00A90898" w:rsidP="00A90898">
      <w:pPr>
        <w:pStyle w:val="TextoNormal"/>
      </w:pPr>
      <w:r>
        <w:t xml:space="preserve">La STC 41/2016, FJ 15, resolvió una impugnación dirigida contra el apartado 3 art. 116 </w:t>
      </w:r>
      <w:r w:rsidRPr="00A90898">
        <w:rPr>
          <w:i/>
        </w:rPr>
        <w:t>bis</w:t>
      </w:r>
      <w:r>
        <w:t xml:space="preserve"> LBRL (introducido por el art. 1.30 de la Ley 27/2013). Con tal motivo hizo algunos pronunciamientos que son de utilidad para decidir la presente impugnación. Afirmó que “la previsión controvertida [art. 116 </w:t>
      </w:r>
      <w:r w:rsidRPr="00A90898">
        <w:rPr>
          <w:i/>
        </w:rPr>
        <w:t>bis</w:t>
      </w:r>
      <w:r>
        <w:t xml:space="preserve"> LBRL] complementa esta regulación añadiendo una serie de medidas a las previstas en el art. 21 de la Ley Orgánica de estabilidad presupuestaria y sostenibilidad financiera…”. Y añadió que “las medidas reguladas están estrechamente vinculadas a la configuración básica de la diputación provincial (arts. 31 a 38 LBRL), las competencias locales (en especial art. 7.4 LBRL), la gestión integrada de los servicios municipales obligatorios (arts. 26, 44 y 57 LBRL), los entes menores o inframunicipales (art. 24 </w:t>
      </w:r>
      <w:r w:rsidRPr="00A90898">
        <w:rPr>
          <w:i/>
        </w:rPr>
        <w:t>bis</w:t>
      </w:r>
      <w:r>
        <w:t xml:space="preserve"> LBRL), la organización local (arts. 19 a 24 </w:t>
      </w:r>
      <w:r w:rsidRPr="00A90898">
        <w:rPr>
          <w:i/>
        </w:rPr>
        <w:t>bis</w:t>
      </w:r>
      <w:r>
        <w:t xml:space="preserve"> LBRL) y la fusión de municipios (art. 13 LBRL). Esta conexión directa justifica que el Estado las incluya en la LBRL sin por ello vulnerar la reserva de ley orgánica (art. 135.5 CE)”.</w:t>
      </w:r>
    </w:p>
    <w:p w:rsidR="00A90898" w:rsidRDefault="00A90898" w:rsidP="00A90898">
      <w:pPr>
        <w:pStyle w:val="TextoNormal"/>
      </w:pPr>
    </w:p>
    <w:p w:rsidR="00A90898" w:rsidRDefault="00A90898" w:rsidP="00A90898">
      <w:pPr>
        <w:pStyle w:val="TextoNormal"/>
      </w:pPr>
      <w:r>
        <w:t xml:space="preserve">Estos criterios conducen directamente a rechazar que el art. 116 </w:t>
      </w:r>
      <w:r w:rsidRPr="00A90898">
        <w:rPr>
          <w:i/>
        </w:rPr>
        <w:t>bis</w:t>
      </w:r>
      <w:r>
        <w:t xml:space="preserve"> LBRL invada la reserva de ley ex art. 135.5 CE y a descartar igualmente que contradiga lo establecido en la Ley Orgánica de estabilidad presupuestaria y sostenibilidad financiera, pues, como apuntó la STC 41/2016, el art. 116 </w:t>
      </w:r>
      <w:r w:rsidRPr="00A90898">
        <w:rPr>
          <w:i/>
        </w:rPr>
        <w:t>bis</w:t>
      </w:r>
      <w:r>
        <w:t xml:space="preserve"> LBRL “complementa esta regulación añadiendo una serie de medidas a las previstas en el art. 21 de la Ley Orgánica de estabilidad presupuestaria y sostenibilidad financiera”.</w:t>
      </w:r>
    </w:p>
    <w:p w:rsidR="00A90898" w:rsidRDefault="00A90898" w:rsidP="00A90898">
      <w:pPr>
        <w:pStyle w:val="TextoNormal"/>
      </w:pPr>
    </w:p>
    <w:p w:rsidR="00A90898" w:rsidRDefault="00A90898" w:rsidP="00A90898">
      <w:pPr>
        <w:pStyle w:val="TextoNormal"/>
      </w:pPr>
      <w:r>
        <w:t xml:space="preserve">Resta aún por decidir acerca de si este precepto limita la autonomía de los gobiernos locales de un modo inconstitucional. El apartado 1 del art. 116 </w:t>
      </w:r>
      <w:r w:rsidRPr="00A90898">
        <w:rPr>
          <w:i/>
        </w:rPr>
        <w:t>bis</w:t>
      </w:r>
      <w:r>
        <w:t xml:space="preserve"> LBRL muestra que el plan económico financiero se formulará en caso de incumplimiento del objetivo de estabilidad presupuestaria, del objetivo de deuda pública o de la regla de gasto, con el propósito, explicitado por el art. 21.1 de la Ley Orgánica de estabilidad presupuestaria y sostenibilidad financiera, de que “permita en un año el cumplimiento” de tales objetivos y de la regla de gasto.</w:t>
      </w:r>
    </w:p>
    <w:p w:rsidR="00A90898" w:rsidRDefault="00A90898" w:rsidP="00A90898">
      <w:pPr>
        <w:pStyle w:val="TextoNormal"/>
      </w:pPr>
    </w:p>
    <w:p w:rsidR="00A90898" w:rsidRDefault="00A90898" w:rsidP="00A90898">
      <w:pPr>
        <w:pStyle w:val="TextoNormal"/>
      </w:pPr>
      <w:r>
        <w:t xml:space="preserve">Esta naturaleza causal del mecanismo examinado conlleva, en pura lógica, que las actuaciones que han de conformar su contenido serán las que se tengan por imprescindibles para alcanzar el indicado propósito. De este modo, cuando el art. 116 </w:t>
      </w:r>
      <w:r w:rsidRPr="00A90898">
        <w:rPr>
          <w:i/>
        </w:rPr>
        <w:t>bis</w:t>
      </w:r>
      <w:r>
        <w:t xml:space="preserve">.2 LBRL dispone que “el mencionado plan incluirá al menos las siguientes medidas” no ha de entenderse que el ente local está vinculado a recoger en dicho plan todas esas medidas, perdiendo así todo margen de opción en sus decisiones de gasto, sino que debe introducirlas si fueran imprescindibles para recobrar la senda del cumplimiento y en la medida en que lo sean. La cláusula “al menos” significa que el ente local también deberá incluir en el plan otras medidas distintas de las enumeradas en el art. 116 </w:t>
      </w:r>
      <w:r w:rsidRPr="00A90898">
        <w:rPr>
          <w:i/>
        </w:rPr>
        <w:t>bis</w:t>
      </w:r>
      <w:r>
        <w:t>.2 LBRL cuando el fin al que se orienta aquél lo exija.</w:t>
      </w:r>
    </w:p>
    <w:p w:rsidR="00A90898" w:rsidRDefault="00A90898" w:rsidP="00A90898">
      <w:pPr>
        <w:pStyle w:val="TextoNormal"/>
      </w:pPr>
    </w:p>
    <w:p w:rsidR="00A90898" w:rsidRDefault="00A90898" w:rsidP="00A90898">
      <w:pPr>
        <w:pStyle w:val="TextoNormal"/>
      </w:pPr>
      <w:r>
        <w:t xml:space="preserve">La ponderación de qué actuaciones o combinación de ellas resulta necesario adoptar para volver a colocarse en situación de cumplimiento, dado que el art. 116 </w:t>
      </w:r>
      <w:r w:rsidRPr="00A90898">
        <w:rPr>
          <w:i/>
        </w:rPr>
        <w:t>bis</w:t>
      </w:r>
      <w:r>
        <w:t xml:space="preserve"> LBRL no establece ninguna regla especial al respecto, corresponde, por mandato del art. 23.4 de la Ley Orgánica de estabilidad presupuestaria y sostenibilidad financiera, a la corporación local y, en el caso especial de las corporaciones incluidas en el ámbito subjetivo definido en los arts. 111 y 135 del texto refundido de la Ley reguladora de las haciendas locales, a la corporación local en conjunción con la Administración que ejerce sobre ella la tutela financiera.</w:t>
      </w:r>
    </w:p>
    <w:p w:rsidR="00A90898" w:rsidRDefault="00A90898" w:rsidP="00A90898">
      <w:pPr>
        <w:pStyle w:val="TextoNormal"/>
      </w:pPr>
    </w:p>
    <w:p w:rsidR="00A90898" w:rsidRDefault="00A90898" w:rsidP="00A90898">
      <w:pPr>
        <w:pStyle w:val="TextoNormal"/>
      </w:pPr>
      <w:r>
        <w:t xml:space="preserve">Conforme a los criterios expuestos, cabe concluir que el art. 116 </w:t>
      </w:r>
      <w:r w:rsidRPr="00A90898">
        <w:rPr>
          <w:i/>
        </w:rPr>
        <w:t>bis</w:t>
      </w:r>
      <w:r>
        <w:t>.2 LBRL, aunque les obliga a incluir en el plan de las medidas allí enunciadas cuando sean necesarias para volver a cumplir con los objetivos cuyo incumplimiento motivó su adopción, deja un amplio margen de decisión en manos de los gobiernos locales para definir el programa de medidas y, en consecuencia, no les priva de participar en los asuntos que son de interés para la comunidad local con una intensidad que se corresponde con la combinación de intereses locales y supralocales presente en esta materia.</w:t>
      </w:r>
    </w:p>
    <w:p w:rsidR="00A90898" w:rsidRDefault="00A90898" w:rsidP="00A90898">
      <w:pPr>
        <w:pStyle w:val="TextoNormal"/>
      </w:pPr>
    </w:p>
    <w:p w:rsidR="00A90898" w:rsidRDefault="00A90898" w:rsidP="00A90898">
      <w:pPr>
        <w:pStyle w:val="TextoNormal"/>
      </w:pPr>
      <w:r>
        <w:t xml:space="preserve">Consecuentemente, el art. 116 </w:t>
      </w:r>
      <w:r w:rsidRPr="00A90898">
        <w:rPr>
          <w:i/>
        </w:rPr>
        <w:t>bis</w:t>
      </w:r>
      <w:r>
        <w:t>.2 LBRL no desconoce la autonomía local garantizada por los arts. 137 y 140, procediendo la desestimación de esta impugnación.</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extinguida, por pérdida sobrevenida de objeto, la impugnación la disposición adicional decimosexta de la Ley 7/1985, de 2 de abril, reguladora de las bases del régimen local (en la redacción dada por el art. 1.38 de la Ley 27/2013, de 27 de diciembre), y de las disposiciones transitorias primera, segunda y tercera, así como de los incisos “Decreto del órgano de gobierno de” y “el Órgano de Gobierno de”, incluidos, respectivamente, en la disposición transitoria cuarta.3 y undécima, todas de la Ley 27/2013.</w:t>
      </w:r>
    </w:p>
    <w:p w:rsidR="00A90898" w:rsidRDefault="00A90898" w:rsidP="00A90898">
      <w:pPr>
        <w:pStyle w:val="TextoNormal"/>
      </w:pPr>
    </w:p>
    <w:p w:rsidR="00A90898" w:rsidRDefault="00A90898" w:rsidP="00A90898">
      <w:pPr>
        <w:pStyle w:val="TextoNormal"/>
      </w:pPr>
      <w:r>
        <w:t xml:space="preserve">2º Declarar que el art. 36.2 a), segundo párrafo, de la Ley 7/1985, de 2 de abril, reguladora de las bases del régimen local, en la redacción introducida por el art. 1.13 de la Ley 27/2013, </w:t>
      </w:r>
      <w:r>
        <w:lastRenderedPageBreak/>
        <w:t>no es inconstitucional interpretado en los términos del fundamento jurídico 3 d) de esta Sentencia.</w:t>
      </w:r>
    </w:p>
    <w:p w:rsidR="00A90898" w:rsidRDefault="00A90898" w:rsidP="00A90898">
      <w:pPr>
        <w:pStyle w:val="TextoNormal"/>
      </w:pPr>
    </w:p>
    <w:p w:rsidR="00A90898" w:rsidRDefault="00A90898" w:rsidP="00A90898">
      <w:pPr>
        <w:pStyle w:val="TextoNormal"/>
      </w:pPr>
      <w:r>
        <w:t>3º Desestimar el recurso de inconstitucionalidad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veinte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0" w:name="SENTENCIA_2016_181"/>
      <w:r>
        <w:lastRenderedPageBreak/>
        <w:t>SENTENCIA 181/2016, de 20 de octubre de 2016</w:t>
      </w:r>
    </w:p>
    <w:bookmarkEnd w:id="60"/>
    <w:p w:rsidR="00A90898" w:rsidRDefault="00A90898" w:rsidP="00A90898">
      <w:pPr>
        <w:pStyle w:val="TtuloResolucin"/>
      </w:pPr>
      <w:r>
        <w:t>Pleno</w:t>
      </w:r>
    </w:p>
    <w:p w:rsidR="00A90898" w:rsidRDefault="00A90898" w:rsidP="00A90898">
      <w:pPr>
        <w:pStyle w:val="TtuloBOE"/>
      </w:pPr>
      <w:r>
        <w:t>(BOE núm. 285, de 25 de noviembre de 2016)</w:t>
      </w:r>
    </w:p>
    <w:p w:rsidR="00A90898" w:rsidRDefault="00A90898" w:rsidP="00A90898">
      <w:pPr>
        <w:pStyle w:val="TextoNormalCentrado"/>
      </w:pPr>
      <w:r>
        <w:t>ECLI:ES:TC:2016:181</w:t>
      </w:r>
    </w:p>
    <w:p w:rsidR="00A90898" w:rsidRDefault="00A90898" w:rsidP="00A90898">
      <w:pPr>
        <w:pStyle w:val="TextoNormalCentrado"/>
      </w:pPr>
    </w:p>
    <w:p w:rsidR="00A90898" w:rsidRDefault="00A90898" w:rsidP="00A90898">
      <w:pPr>
        <w:pStyle w:val="SntesisDescriptiva"/>
      </w:pPr>
      <w:r>
        <w:t>Cuestión de inconstitucionalidad 2322-2016. Planteada por la Sección Tercera de la Sala de lo Contencioso-Administrativo del Tribunal Supremo en relación con diversos preceptos del Real Decreto-ley 9/2013, de 12 de julio, por el que se adoptan medidas urgentes para garantizar la estabilidad financiera del sistema eléctrico.</w:t>
      </w:r>
    </w:p>
    <w:p w:rsidR="00A90898" w:rsidRDefault="00A90898" w:rsidP="00A90898">
      <w:pPr>
        <w:pStyle w:val="SntesisDescriptiva"/>
      </w:pPr>
    </w:p>
    <w:p w:rsidR="00A90898" w:rsidRDefault="00A90898" w:rsidP="00A90898">
      <w:pPr>
        <w:pStyle w:val="SntesisAnaltica"/>
      </w:pPr>
      <w:r>
        <w:t>Principio de confianza legítima: constitucionalidad de los preceptos legales que establecen un nuevo régimen retributivo para los titulares de las instalaciones de producción de energía eléctrica en régimen primado (STC 270/2015).</w:t>
      </w:r>
    </w:p>
    <w:p w:rsidR="00A90898" w:rsidRDefault="00A90898" w:rsidP="00A90898">
      <w:pPr>
        <w:pStyle w:val="SntesisAnaltica"/>
      </w:pPr>
    </w:p>
    <w:p w:rsidR="00A90898" w:rsidRDefault="00A90898" w:rsidP="00A90898">
      <w:pPr>
        <w:pStyle w:val="Extracto"/>
      </w:pPr>
      <w:r>
        <w:t>1.</w:t>
      </w:r>
      <w:r>
        <w:tab/>
        <w:t>Se reitera la doctrina sobre la relación entre el principio de confianza legítima y la compatibilidad con las modificaciones en el régimen retributivo de las energías renovables realizadas por el Real Decreto-ley 9/2013 contenida en la STC 270/2015 [FJ 4 b)].</w:t>
      </w:r>
    </w:p>
    <w:p w:rsidR="00A90898" w:rsidRDefault="00A90898" w:rsidP="00A90898">
      <w:pPr>
        <w:pStyle w:val="Extracto"/>
      </w:pPr>
    </w:p>
    <w:p w:rsidR="00A90898" w:rsidRDefault="00A90898" w:rsidP="00A90898">
      <w:pPr>
        <w:pStyle w:val="Extracto"/>
      </w:pPr>
      <w:r>
        <w:t>2.</w:t>
      </w:r>
      <w:r>
        <w:tab/>
        <w:t>No cabe una invocación en abstracto de la confianza legítima cuando no estamos frente a conductas, decisiones o actuaciones que se puedan considerar defraudadas o cuyos resultados se hayan visto alterados a posteriori. Si lo único que se aduce respecto a las normas impugnadas es que retrasaron la revisión de los parámetros de base de la retribución, pero sin que la actuación de la recurrente haya variado por ello, solo puede concluirse que el principio de confianza legítima no se ha visto afectado, toda vez que falta una “conducta económica” ajustada a una normativa que pueda ampararse en el art. 9.3 CE [FJ 5 a)].</w:t>
      </w:r>
    </w:p>
    <w:p w:rsidR="00A90898" w:rsidRDefault="00A90898" w:rsidP="00A90898">
      <w:pPr>
        <w:pStyle w:val="Extracto"/>
      </w:pPr>
    </w:p>
    <w:p w:rsidR="00A90898" w:rsidRDefault="00A90898" w:rsidP="00A90898">
      <w:pPr>
        <w:pStyle w:val="Extracto"/>
      </w:pPr>
      <w:r>
        <w:t>3.</w:t>
      </w:r>
      <w:r>
        <w:tab/>
        <w:t>La reforma del sistema de primas a la producción de electricidad por tecnologías no convencionales se enmarca en el margen de configuración del legislador, que dispone de plena libertad para elegir entre las diferentes opciones posibles, dentro del marco constitucional [FJ 4 b)].</w:t>
      </w:r>
    </w:p>
    <w:p w:rsidR="00A90898" w:rsidRDefault="00A90898" w:rsidP="00A90898">
      <w:pPr>
        <w:pStyle w:val="Extracto"/>
      </w:pPr>
    </w:p>
    <w:p w:rsidR="00A90898" w:rsidRDefault="00A90898" w:rsidP="00A90898">
      <w:pPr>
        <w:pStyle w:val="Extracto"/>
      </w:pPr>
      <w:r>
        <w:t>4.</w:t>
      </w:r>
      <w:r>
        <w:tab/>
        <w:t>El principio de confianza legítima no constituye un obstáculo infranqueable para el legislador de urgencia, so pena de incurrir en el riesgo de petrificación del ordenamiento jurídico (STC 237/2012) [FJ 4 a)].</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lastRenderedPageBreak/>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2322-2016, planteada por la Sección Tercera de la Sala de lo Contencioso-Administrativo del Tribunal Supremo en relación con los arts. 3.1 y 4 y las previsiones de los anexos I y II del Real Decreto-ley 9/2013, de 12 de julio, por el que se adoptan medidas urgentes para garantizar la estabilidad financiera del sistema eléctrico. Han comparecido y formulado alegaciones el Abogado del Estado, la Fiscal General del Estado y la entidad Distribuidora Eléctrica Carrión, S.L., recurrente en el proceso a quo.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28 de abril de 2016 tuvo entrada en el Registro General de este Tribunal un escrito de la Sala Tercera del Tribunal Supremo, al que se acompañaba, además del testimonio de las actuaciones (recurso contencioso-administrativo 1/198/2014), el Auto de 7 de abril de 2016, por el que se acordaba plantear cuestión de inconstitucionalidad en relación con los artículos 3.1 y 4 y las previsiones de los anexos I y II, referidos a la retribución de la actividad de distribución de energía eléctrica del segundo período de 2013 y del año 2014, respectivamente, del Real Decreto-ley 9/2013, de 12 de julio, por el que se adoptan medidas urgentes para garantizar la estabilidad financiera del sistema eléctrico (en lo sucesivo, Real Decreto-ley 9/2013), por posible vulneración del art. 9.3 de la Constitución.</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la presente cuestión de inconstitucionalidad son los siguientes:</w:t>
      </w:r>
    </w:p>
    <w:p w:rsidR="00A90898" w:rsidRDefault="00A90898" w:rsidP="00A90898">
      <w:pPr>
        <w:pStyle w:val="TextoNormal"/>
      </w:pPr>
    </w:p>
    <w:p w:rsidR="00A90898" w:rsidRDefault="00A90898" w:rsidP="00A90898">
      <w:pPr>
        <w:pStyle w:val="TextoNormal"/>
      </w:pPr>
      <w:r>
        <w:t>a) El 28 de febrero de 2014, la representación procesal de Distribuidora Eléctrica Carrión, S.L., interpuso un recurso contencioso-administrativo contra el artículo 7 y el anexo IV de la Orden IET/2442/2013, de 26 de diciembre, por la que se establecen las retribuciones del segundo período de 2013 para las actividades de transporte y distribución de energía eléctrica; y contra el art. 3.2 y el anexo II de la Orden IET/107/2014, de 31 de enero, por la que se revisan los peajes de acceso de la energía eléctrica para 2014.</w:t>
      </w:r>
    </w:p>
    <w:p w:rsidR="00A90898" w:rsidRDefault="00A90898" w:rsidP="00A90898">
      <w:pPr>
        <w:pStyle w:val="TextoNormal"/>
      </w:pPr>
    </w:p>
    <w:p w:rsidR="00A90898" w:rsidRDefault="00A90898" w:rsidP="00A90898">
      <w:pPr>
        <w:pStyle w:val="TextoNormal"/>
      </w:pPr>
      <w:r>
        <w:t xml:space="preserve">La demanda consideraba que la retribución establecida en las citadas órdenes era aplicación directa de la metodología de cálculo contenida en los arts. 3.1 y 4 y en los anexos I y II del Real Decreto-ley 9/2013, preceptos que estimaba contrarios a la Constitución por vulneración del principio de confianza legítima del art. 9.3 CE, al implicar una quiebra de la confianza depositada por el recurrente en que, conforme a lo previsto en el Real Decreto-ley 13/2012, de 30 de marzo, por el que se transponen directivas en materia de mercados interiores de electricidad y gas y en materia de comunicaciones electrónicas, y por el que se adoptan medidas para la corrección de las desviaciones por desajustes entre los costes e ingresos de los sectores eléctrico y gasista (en adelante, Real Decreto-ley 13/2012), y en el </w:t>
      </w:r>
      <w:r>
        <w:lastRenderedPageBreak/>
        <w:t>Real Decreto 222/2008, de 15 de febrero, por el que se establece el régimen retributivo de la actividad de distribución de energía eléctrica (Real Decreto 222/2008, en lo sucesivo), la retribución a percibir a partir de 1 de enero de 2013 tomaría en cuenta su inventario real, en concreto, todas las instalaciones existentes a 31 de diciembre de 2011. Asimismo, consideraba que, al no retribuirle todas sus instalaciones, se limitaban las facultades inherentes al derecho de propiedad, contrariando los arts. 33 y 128.1 CE.</w:t>
      </w:r>
    </w:p>
    <w:p w:rsidR="00A90898" w:rsidRDefault="00A90898" w:rsidP="00A90898">
      <w:pPr>
        <w:pStyle w:val="TextoNormal"/>
      </w:pPr>
    </w:p>
    <w:p w:rsidR="00A90898" w:rsidRDefault="00A90898" w:rsidP="00A90898">
      <w:pPr>
        <w:pStyle w:val="TextoNormal"/>
      </w:pPr>
      <w:r>
        <w:t>En el suplico de la demanda se interesaba la anulación de las órdenes ministeriales recurridas, así como el planteamiento de una cuestión prejudicial ante el Tribunal de Justicia de la Unión Europea, para que declarase la incompatibilidad de los preceptos referidos a la retribución de la distribución en el segundo período de 2013 y en 2014 con el Derecho de la Unión. Se solicitaba también el planteamiento de una cuestión de inconstitucionalidad ante el Tribunal Constitucional, con el objeto de determinar si el Real Decreto-ley 9/2013 vulnera los arts. 9.3 y 33 CE.</w:t>
      </w:r>
    </w:p>
    <w:p w:rsidR="00A90898" w:rsidRDefault="00A90898" w:rsidP="00A90898">
      <w:pPr>
        <w:pStyle w:val="TextoNormal"/>
      </w:pPr>
    </w:p>
    <w:p w:rsidR="00A90898" w:rsidRDefault="00A90898" w:rsidP="00A90898">
      <w:pPr>
        <w:pStyle w:val="TextoNormal"/>
      </w:pPr>
      <w:r>
        <w:t>b) Mediante providencia de 19 de enero de 2016, se dio a las partes personadas y al Ministerio Fiscal un plazo común de diez días, para que formulasen alegaciones sobre el posible planteamiento de la cuestión de inconstitucionalidad en relación con los arts. 3.1 y 4 y los anexos I y II del Real Decreto-ley 9/2013, por posible infracción del principio de confianza legítima del art. 9.3 CE.</w:t>
      </w:r>
    </w:p>
    <w:p w:rsidR="00A90898" w:rsidRDefault="00A90898" w:rsidP="00A90898">
      <w:pPr>
        <w:pStyle w:val="TextoNormal"/>
      </w:pPr>
    </w:p>
    <w:p w:rsidR="00A90898" w:rsidRDefault="00A90898" w:rsidP="00A90898">
      <w:pPr>
        <w:pStyle w:val="TextoNormal"/>
      </w:pPr>
      <w:r>
        <w:t xml:space="preserve">c) El Abogado del Estado presentó su escrito de alegaciones el 26 de enero de 2016, en el que recordaba que el Tribunal Constitucional había desestimado en Sentencia 270/2015, de 17 de diciembre, el recurso de inconstitucionalidad núm. 5347-2013, promovido por el Consejo de Gobierno de la Región de Murcia contra el artículo 1, apartados dos y tres, y las disposiciones adicional primera, transitoria tercera y final segunda del Real Decreto-ley 9/2013, considerando que la doctrina contenida en la citada Sentencia hacía innecesario plantear la cuestión de inconstitucionalidad, pues los motivos expuestos en su </w:t>
      </w:r>
      <w:r w:rsidRPr="00A90898">
        <w:rPr>
          <w:i/>
        </w:rPr>
        <w:t>ratio decidendi</w:t>
      </w:r>
      <w:r>
        <w:t xml:space="preserve"> eran miméticamente trasladables al presente supuesto.</w:t>
      </w:r>
    </w:p>
    <w:p w:rsidR="00A90898" w:rsidRDefault="00A90898" w:rsidP="00A90898">
      <w:pPr>
        <w:pStyle w:val="TextoNormal"/>
      </w:pPr>
    </w:p>
    <w:p w:rsidR="00A90898" w:rsidRDefault="00A90898" w:rsidP="00A90898">
      <w:pPr>
        <w:pStyle w:val="TextoNormal"/>
      </w:pPr>
      <w:r>
        <w:t>d) La entidad recurrente formuló sus alegaciones el 5 de febrero de 2016, aduciendo que la quiebra del principio de confianza legítima se producía porque, al aprobarse el Real Decreto-ley 9/2013, se introdujo un cambio radical en el sistema de retribución de la actividad de distribución de energía eléctrica, que impidió que se hiciera realidad la legítima expectativa creada por la normativa hasta entonces vigente (Real Decreto 222/2008, Real Decreto-ley 13/2012 y Orden IET/221/2013, que establece los peajes de acceso a partir de 1 de enero de 2013), que preveía que dicha retribución se calculase en función de las inversiones reales llevadas a cabo por las empresas afectadas, sin que existiese el más mínimo indicio de que el 1 de enero de 2013 no iba a empezar un nuevo período regulatorio, ni que, para obtener una retribución adecuada, la empresa debía haber instado la revisión de sus retribuciones al amparo del Anexo de la Orden de peajes de 2013.</w:t>
      </w:r>
    </w:p>
    <w:p w:rsidR="00A90898" w:rsidRDefault="00A90898" w:rsidP="00A90898">
      <w:pPr>
        <w:pStyle w:val="TextoNormal"/>
      </w:pPr>
    </w:p>
    <w:p w:rsidR="00A90898" w:rsidRDefault="00A90898" w:rsidP="00A90898">
      <w:pPr>
        <w:pStyle w:val="TextoNormal"/>
      </w:pPr>
      <w:r>
        <w:t>e) El Fiscal presentó su escrito el 9 de febrero de 2016, alegando que la mera traslación al presente caso de los parámetros sobre los que el Tribunal Constitucional apoya el juicio de constitucionalidad en la STC 270/2015 permitiría sostener, sin más, la improcedencia de plantear la cuestión de constitucionalidad, pues existe una identidad de razón que permite trasladar a este procedimiento el análisis efectuado en la citada Sentencia.</w:t>
      </w:r>
    </w:p>
    <w:p w:rsidR="00A90898" w:rsidRDefault="00A90898" w:rsidP="00A90898">
      <w:pPr>
        <w:pStyle w:val="TextoNormal"/>
      </w:pPr>
    </w:p>
    <w:p w:rsidR="00A90898" w:rsidRDefault="00A90898" w:rsidP="00A90898">
      <w:pPr>
        <w:pStyle w:val="TextoNormal"/>
      </w:pPr>
      <w:r>
        <w:lastRenderedPageBreak/>
        <w:t>Según el Ministerio Fiscal, el sistema de retribución basado en las inversiones reales no llegó a funcionar nunca, puesto que antes de que se agotaran las situaciones previstas en las disposiciones transitorias del Real Decreto 222/2008, el sistema ya fue modificado por el Real Decreto-ley 13/2012, que introdujo cambios relevantes, advirtiendo de su excepcionalidad y temporalidad, y ofreciendo una explícita justificación de las razones del mismo; en concreto, los serios defectos del modelo que llevaban a articular un mecanismo de revisión a la baja, como un primer paso hacia una reforma más profunda.</w:t>
      </w:r>
    </w:p>
    <w:p w:rsidR="00A90898" w:rsidRDefault="00A90898" w:rsidP="00A90898">
      <w:pPr>
        <w:pStyle w:val="TextoNormal"/>
      </w:pPr>
    </w:p>
    <w:p w:rsidR="00A90898" w:rsidRDefault="00A90898" w:rsidP="00A90898">
      <w:pPr>
        <w:pStyle w:val="TextoNormal"/>
      </w:pPr>
      <w:r>
        <w:t>En cuanto a la supuesta confianza de los agentes económicos en que se mantuviera el régimen del Real Decreto 222/2008, el Ministerio Fiscal señalaba que el propósito declarado de dicha norma era abrir paso —por imperativo europeo— a una progresiva desregulación del régimen retributivo en el mercado eléctrico, añadiendo que la reforma de 2012 situaba las prioridades de interés público a corto plazo en la superación de las disfunciones a que había llevado la inclusión de activos amortizados en el cálculo de las retribuciones. Por ello, aducía que la pretendida vinculación al interés público del sistema de retribución basado en las inversiones reales no tiene ningún soporte normativo directo, más allá de la legítima interpretación que las empresas afectadas puedan hacer, pero de ningún modo puede sostenerse que esa norma pusiera fin a la provisionalidad del modelo, configurando como definitivo un mecanismo de cálculo basado en el importe de las inversiones reales.</w:t>
      </w:r>
    </w:p>
    <w:p w:rsidR="00A90898" w:rsidRDefault="00A90898" w:rsidP="00A90898">
      <w:pPr>
        <w:pStyle w:val="TextoNormal"/>
      </w:pPr>
    </w:p>
    <w:p w:rsidR="00A90898" w:rsidRDefault="00A90898" w:rsidP="00A90898">
      <w:pPr>
        <w:pStyle w:val="TextoNormal"/>
      </w:pPr>
      <w:r>
        <w:t>Por lo que atañe a si la actuación del recurrente se ajustó al estándar de “un operador económico prudente” y, en particular, si lo hizo en relación con las posibilidades que se le ofrecían a la hora de mitigar el impacto del cambio normativo mediante medidas transitorias de adaptación, el Fiscal sostiene que la mera constatación objetiva de las circunstancias concurrentes permitían a un operador “prudente” percibir la posibilidad de cambios normativos que afectaran al modelo retributivo diseñado en 2008, y que, además, la normativa aplicable habilitaba mecanismos de transición al nuevo régimen o de amortiguación de sus efectos.</w:t>
      </w:r>
    </w:p>
    <w:p w:rsidR="00A90898" w:rsidRDefault="00A90898" w:rsidP="00A90898">
      <w:pPr>
        <w:pStyle w:val="TextoNormal"/>
      </w:pPr>
    </w:p>
    <w:p w:rsidR="00A90898" w:rsidRDefault="00A90898" w:rsidP="00A90898">
      <w:pPr>
        <w:pStyle w:val="TextoNormal"/>
      </w:pPr>
      <w:r>
        <w:t>En definitiva —concluye el Fiscal— el cambio de modelo retributivo de la actividad de distribución de energía eléctrica que introducen los arts. 3.1 y 4 y los anexos I y II del Real Decreto-ley 9/2013 no suscita dudas de inconstitucionalidad basadas en la posible infracción del principio de confianza legítima. Considera, en consecuencia, que no es necesario plantear la cuestión.</w:t>
      </w:r>
    </w:p>
    <w:p w:rsidR="00A90898" w:rsidRDefault="00A90898" w:rsidP="00A90898">
      <w:pPr>
        <w:pStyle w:val="TextoNormal"/>
      </w:pPr>
    </w:p>
    <w:p w:rsidR="00A90898" w:rsidRDefault="00A90898" w:rsidP="00A90898">
      <w:pPr>
        <w:pStyle w:val="TextoNormal"/>
      </w:pPr>
      <w:r w:rsidRPr="00A90898">
        <w:rPr>
          <w:rStyle w:val="NumeroAFNegritaCaracter"/>
        </w:rPr>
        <w:t>3</w:t>
      </w:r>
      <w:r>
        <w:t>. El Auto de la Sección Tercera de la Sala de lo Contencioso-administrativo del Tribunal Supremo de 7 de abril de 2016 comienza afirmando que, a juicio de la Sala, el supuesto planteado no guarda relación con los resueltos en las SSTC 270/2015, de 17 de diciembre y 30/2016, de 18 de febrero, por lo que la doctrina sentada en ellas no despeja las dudas de constitucionalidad que se suscitan en el presente caso. A continuación, efectúa algunas consideraciones previas sobre los antecedentes normativos relativos a la retribución de las empresas distribuidoras de energía eléctrica, en los términos siguientes:</w:t>
      </w:r>
    </w:p>
    <w:p w:rsidR="00A90898" w:rsidRDefault="00A90898" w:rsidP="00A90898">
      <w:pPr>
        <w:pStyle w:val="TextoNormal"/>
      </w:pPr>
    </w:p>
    <w:p w:rsidR="00A90898" w:rsidRDefault="00A90898" w:rsidP="00A90898">
      <w:pPr>
        <w:pStyle w:val="TextoNormal"/>
      </w:pPr>
      <w:r>
        <w:t xml:space="preserve">a) La entidad recurrente es una pequeña empresa de distribución de energía eléctrica (menos de 100.000 clientes) que, hasta la aprobación del Real Decreto 222/2008, estaba sometida al régimen previsto en la disposición transitoria undécima de la Ley 54/1997, del Sector Eléctrico, de modo que su beneficio se basaba en la diferencia entre el valor al que compraba la electricidad a las grandes distribuidoras (tarifa D) y la cantidad que cobraba a </w:t>
      </w:r>
      <w:r>
        <w:lastRenderedPageBreak/>
        <w:t>sus clientes (tarifa regulada por el Gobierno), sin que la retribución estuviese vinculada a las inversiones realizadas ni a los costes de operación o mantenimiento.</w:t>
      </w:r>
    </w:p>
    <w:p w:rsidR="00A90898" w:rsidRDefault="00A90898" w:rsidP="00A90898">
      <w:pPr>
        <w:pStyle w:val="TextoNormal"/>
      </w:pPr>
    </w:p>
    <w:p w:rsidR="00A90898" w:rsidRDefault="00A90898" w:rsidP="00A90898">
      <w:pPr>
        <w:pStyle w:val="TextoNormal"/>
      </w:pPr>
      <w:r>
        <w:t>b) El Real Decreto 222/2008, de 15 de febrero, reformó el modelo retributivo y una de las claves del nuevo sistema era conocer las instalaciones que cada empresa distribuidora tenía al comienzo del período regulatorio, dato necesario para calcular la retribución a la inversión y la retribución del activo neto. Por ese motivo, en 2008, antes del inicio del primer período regulatorio (2009-2012), la Comisión Nacional de la Energía requirió a las empresas para que aportasen un inventario de sus instalaciones, referido a diciembre de 2007. La recurrente sostiene que las pequeñas empresas distribuidoras, como es su caso, carecían de información fidedigna sobre todas sus instalaciones, por lo que, debido al breve plazo concedido, el inventario presentado en 2008 no reflejaba la realidad de todas las instalaciones existentes. La empresa recurrente aportó un inventario de su red de distribución, con base en el cual se calculó la retribución para el primer período regulatorio (que empezó el 1 de enero de 2009). Pero después, tras los estudios pertinentes de georreferenciación, comprobó que sus inversiones reales eran muy superiores a las declaradas.</w:t>
      </w:r>
    </w:p>
    <w:p w:rsidR="00A90898" w:rsidRDefault="00A90898" w:rsidP="00A90898">
      <w:pPr>
        <w:pStyle w:val="TextoNormal"/>
      </w:pPr>
    </w:p>
    <w:p w:rsidR="00A90898" w:rsidRDefault="00A90898" w:rsidP="00A90898">
      <w:pPr>
        <w:pStyle w:val="TextoNormal"/>
      </w:pPr>
      <w:r>
        <w:t>c) El art. 5 del Real Decreto 222/2008 preveía que, antes de finalizar cada período regulatorio, las empresas podrían solicitar la revisión de su coste acreditado, como consecuencia de incrementos singulares de la demanda o de cualquier otra circunstancia que tuviera efectos significativos sobre sus inversiones. A juicio del Auto, esta previsión trataba de retribuir los costes de inversión extraordinarios realizados por una empresa para atender a una nueva demanda, sin esperar al nuevo período regulatorio. La empresa recurrente, haciendo uso de esta posibilidad, solicitó la revisión de sus retribuciones correspondientes a los años 2009 a 2011, explicando la inexactitud de los datos de inventario de instalaciones remitidos en 2008. Dicha solicitud fue denegada por resolución del Ministerio de Industria, Energía y Turismo (Dirección General de Política Energética y Minas) de 9 de julio de 2012, en la que se razonaba, con base en el Informe recabado de la Comisión Nacional de la Energía, que la inexactitud del inventario aportado en 2008 no constituía una circunstancia extraordinaria, pues no era un hecho aislado que hubiera afectado solo a esta empresa, por lo que no concurría el presupuesto necesario para la revisión.</w:t>
      </w:r>
    </w:p>
    <w:p w:rsidR="00A90898" w:rsidRDefault="00A90898" w:rsidP="00A90898">
      <w:pPr>
        <w:pStyle w:val="TextoNormal"/>
      </w:pPr>
    </w:p>
    <w:p w:rsidR="00A90898" w:rsidRDefault="00A90898" w:rsidP="00A90898">
      <w:pPr>
        <w:pStyle w:val="TextoNormal"/>
      </w:pPr>
      <w:r>
        <w:t>d) La retribución para el segundo período regulatorio, que había de comenzar el 1 de enero de 2013, debía calcularse según lo dispuesto en el art. 5.4 del Real Decreto 222/2008. Sin embargo, la Orden IET/221/2013 aprobó una retribución provisional, tomando como referencia la de 2012 (establecida por el Real Decreto-ley 13/2012) y agregando el incremento de la demanda correspondiente a 2011. El inciso final del anexo I de la citada Orden preveía que las empresas distribuidoras relacionadas en el mismo, en caso de “circunstancia extraordinaria suficientemente justificada”, pudieran solicitar la revisión de esa retribución. La empresa recurrente no solicitó dicha revisión, aduciendo que se le había denegado ya anteriormente, y que, como se trataba de una retribución provisional, debía esperar a que se calculase con carácter definitivo la retribución base del nuevo periodo regulatorio, en la que sí esperaba ver reflejado su inventario real.</w:t>
      </w:r>
    </w:p>
    <w:p w:rsidR="00A90898" w:rsidRDefault="00A90898" w:rsidP="00A90898">
      <w:pPr>
        <w:pStyle w:val="TextoNormal"/>
      </w:pPr>
    </w:p>
    <w:p w:rsidR="00A90898" w:rsidRDefault="00A90898" w:rsidP="00A90898">
      <w:pPr>
        <w:pStyle w:val="TextoNormal"/>
      </w:pPr>
      <w:r>
        <w:t xml:space="preserve">e) A mediados de 2013, se aprueba el Real Decreto-ley 9/2013, cuya constitucionalidad, en lo concerniente a sus arts. 3.1 y 4 y anexos correspondientes, se cuestiona ahora. El Auto señala que el marco descrito implica que el modelo retributivo de las pequeñas empresas distribuidoras de energía eléctrica se basaba en fijar la retribución por períodos regulatorios </w:t>
      </w:r>
      <w:r>
        <w:lastRenderedPageBreak/>
        <w:t>de cuatro años de duración, en los que uno de los elementos fundamentales para el cálculo de dicha retribución eran las instalaciones que cada empresa distribuidora tenía al inicio del período.</w:t>
      </w:r>
    </w:p>
    <w:p w:rsidR="00A90898" w:rsidRDefault="00A90898" w:rsidP="00A90898">
      <w:pPr>
        <w:pStyle w:val="TextoNormal"/>
      </w:pPr>
    </w:p>
    <w:p w:rsidR="00A90898" w:rsidRDefault="00A90898" w:rsidP="00A90898">
      <w:pPr>
        <w:pStyle w:val="TextoNormal"/>
      </w:pPr>
      <w:r>
        <w:t>Continúa la Sala afirmando que la empresa recurrente, conforme a la normativa vigente a principios de 2013, tenía una confianza fundada y legítima en que la retribución correspondiente al nuevo período se fijaría tomando en consideración las instalaciones e inversiones reales existentes a 31 de diciembre de 2011, tras la realización de un nuevo inventario a esa fecha. Es decir, que se tomarían en consideración todas las instalaciones de cada empresa, previo informe de la Comisión Nacional de Energía.</w:t>
      </w:r>
    </w:p>
    <w:p w:rsidR="00A90898" w:rsidRDefault="00A90898" w:rsidP="00A90898">
      <w:pPr>
        <w:pStyle w:val="TextoNormal"/>
      </w:pPr>
    </w:p>
    <w:p w:rsidR="00A90898" w:rsidRDefault="00A90898" w:rsidP="00A90898">
      <w:pPr>
        <w:pStyle w:val="TextoNormal"/>
      </w:pPr>
      <w:r>
        <w:t>Lo cierto —precisa el Auto— es que el informe que debía emitir la Comisión Nacional de la Energía para el nuevo período regulatorio se demoró hasta el 11 de junio de 2013, lo que motivó que la Orden IET/221/2013 adoptase una retribución provisional para 2013. Y en este punto se aprueba el Real Decreto-ley 9/2013, que prevé una metodología transitoria para 2013 y 2014 y el inicio de un nuevo período regulatorio una vez que se aprobaran las normas de desarrollo del nuevo modelo retributivo. Mientras tanto, para la retribución provisional de esos dos años, se tomó como punto de partida la retribución provisional fijada en la Orden IET/221/2013, lo que implica que para el cálculo de la retribución se partió del inventario de instalaciones declarado en 2008 (correspondiente a 31 de diciembre de 2007).</w:t>
      </w:r>
    </w:p>
    <w:p w:rsidR="00A90898" w:rsidRDefault="00A90898" w:rsidP="00A90898">
      <w:pPr>
        <w:pStyle w:val="TextoNormal"/>
      </w:pPr>
    </w:p>
    <w:p w:rsidR="00A90898" w:rsidRDefault="00A90898" w:rsidP="00A90898">
      <w:pPr>
        <w:pStyle w:val="TextoNormal"/>
      </w:pPr>
      <w:r>
        <w:t>Así, el Real Decreto-ley 9/2013 no tuvo en cuenta las instalaciones reales de las empresas, sino que partió de las instalaciones del anterior período regulatorio (2009-2012), arrastrando unas deficiencias en relación con las inversiones computadas en el anterior régimen retributivo y, sobre todo, prescindiendo de las inversiones ejecutadas por encima del incremento de demanda entre 2008 y 2011. Es cierto que el art. 3.1, párrafo segundo, del Real Decreto-ley permitía la revisión de la retribución de aquellas empresas que habían instado la revisión al amparo de lo dispuesto en anexo I de la Orden IET/221/2013 pero, al aprobarse esta disposición, no había indicio alguno que permitiera suponer que dicha reclamación era requisito imprescindible para que la retribución tomase en consideración la situación real de las instalaciones a 31 de diciembre de 2011.</w:t>
      </w:r>
    </w:p>
    <w:p w:rsidR="00A90898" w:rsidRDefault="00A90898" w:rsidP="00A90898">
      <w:pPr>
        <w:pStyle w:val="TextoNormal"/>
      </w:pPr>
    </w:p>
    <w:p w:rsidR="00A90898" w:rsidRDefault="00A90898" w:rsidP="00A90898">
      <w:pPr>
        <w:pStyle w:val="TextoNormal"/>
      </w:pPr>
      <w:r>
        <w:t>El Auto asevera que la confianza legítima, surgida de las previsiones contenidas en las normas vigentes hasta ese momento, permitía entender que el cálculo de las retribuciones del nuevo período regulatorio valoraría las inversiones reales, determinadas con base en un inventario elaborado el año anterior a la entrada en vigor del nuevo período retributivo. Y esa confianza legítima se vio defraudada por un cambio normativo que prescindía de actualizar el inventario y prorrogaba el que se había tenido en cuenta para la retribución del anterior período regulatorio; cambio normativo que se realizó de forma sorpresiva, al margen de los informes emitidos por la Comisión Nacional de la Energía, y sin que existieran indicios que hicieran suponer, para un operador prudente y diligente, que la retribución no tomaría en consideración el inventario actualizado a diciembre de 2011 o que para ello era imprescindible solicitar la revisión de la retribución provisional al amparo de lo dispuesto en el anexo I de la Orden IET/221/2013.</w:t>
      </w:r>
    </w:p>
    <w:p w:rsidR="00A90898" w:rsidRDefault="00A90898" w:rsidP="00A90898">
      <w:pPr>
        <w:pStyle w:val="TextoNormal"/>
      </w:pPr>
    </w:p>
    <w:p w:rsidR="00A90898" w:rsidRDefault="00A90898" w:rsidP="00A90898">
      <w:pPr>
        <w:pStyle w:val="TextoNormal"/>
      </w:pPr>
      <w:r>
        <w:t xml:space="preserve">Expuesto lo anterior, el órgano judicial sostiene, en contra de la postura del Abogado del Estado y del Ministerio Fiscal, que al presente supuesto no le es de aplicación la doctrina sentada en la STC 270/2015, posteriormente confirmada por, entre otras, la STC 30/2016. </w:t>
      </w:r>
      <w:r>
        <w:lastRenderedPageBreak/>
        <w:t xml:space="preserve">Y ello porque, “en el supuesto que nos ocupa, no se albergan dudas de constitucionalidad por la existencia de un cambio normativo </w:t>
      </w:r>
      <w:r w:rsidRPr="00A90898">
        <w:rPr>
          <w:i/>
        </w:rPr>
        <w:t>pro futuro</w:t>
      </w:r>
      <w:r>
        <w:t xml:space="preserve"> ni sobre su eficacia retroactiva. Tampoco las previsiones legales ahora cuestionadas parecen encontrar fundamento, a juicio de este Tribunal, en la necesidad de imponer un nuevo modelo para restablecer el equilibrio económico del sistema, su adecuada gestión o para restablecer el déficit económico del sector eléctrico”. Continúa el Auto precisando que las normas que se examinan “tienen un alcance mucho más limitado, que consiste en prescindir, para el cálculo de las retribuciones en el siguiente período regulatorio, de las instalaciones e inversiones reales que habían realizado las empresas distribuidoras con menos de 100.000 clientes, apartándose inopinadamente de las previsiones normativas hasta entonces vigentes y de la actuación de la Comisión Nacional de Energía, para tomar en consideración las instalaciones contempladas en períodos anteriores, permitiendo tan solo la actualización de su inventario y, consiguientemente, de su régimen retributivo, a aquellas empresas que se habían acogido a una revisión extraordinaria, prevista en una norma anterior, y cuyo plazo de revisión ya había concluido; cauce especial de revisión que en el momento en que se estableció y a la vista de las decisiones administrativas adoptadas en anteriores procesos de revisión, no permitía suponer, para un operador diligente, que era la única vía para que en la retribución futura se tomasen en consideración las instalaciones realmente existentes al comienzo del nuevo período regulatorio”.</w:t>
      </w:r>
    </w:p>
    <w:p w:rsidR="00A90898" w:rsidRDefault="00A90898" w:rsidP="00A90898">
      <w:pPr>
        <w:pStyle w:val="TextoNormal"/>
      </w:pPr>
    </w:p>
    <w:p w:rsidR="00A90898" w:rsidRDefault="00A90898" w:rsidP="00A90898">
      <w:pPr>
        <w:pStyle w:val="TextoNormal"/>
      </w:pPr>
      <w:r>
        <w:t>La Sala concluye afirmando que la estimación de las pretensiones de la recurrente exigiría declarar contrarios a la Constitución los preceptos del Real Decreto-ley 9/2013 antes referidos, por todo lo cual acuerda plantear la cuestión ante este Tribunal.</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21 de junio de 2016 el Pleno acordó admitir a trámite la presente cuestión, por posible vulneración del art. 9.3 CE; de conformidad con lo dispuesto en el art. 10.1 c) de la Ley Orgánica del Tribunal Constitucional (LOTC), reservar para sí el conocimiento de la misma; dar traslado de las actuaciones recibidas, conforme establece el artículo 37.3 LOTC, al Congreso de los Diputados y al Senado, por conducto de sus Presidentes, al Gobierno, por conducto del Ministro de Justicia, y a la Fiscal General del Estado, al objeto de que, en el improrrogable plazo de quince días, puedan personarse en el proceso y formular las alegaciones que estimen convenientes; comunicar la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158, de 1 de julio de 2016).</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Por escrito registrado el 13 de julio de 2016, la representación procesal de Distribuidora Eléctrica Carrión, S.L., en su condición de demandante en el proceso </w:t>
      </w:r>
      <w:r w:rsidRPr="00A90898">
        <w:rPr>
          <w:i/>
        </w:rPr>
        <w:t>a quo</w:t>
      </w:r>
      <w:r>
        <w:t>, solicitó que se le tuviera por personada y parte, a lo que se accedió mediante diligencia de ordenación del Pleno de 14 de julio.</w:t>
      </w:r>
    </w:p>
    <w:p w:rsidR="00A90898" w:rsidRDefault="00A90898" w:rsidP="00A90898">
      <w:pPr>
        <w:pStyle w:val="TextoNormal"/>
      </w:pPr>
    </w:p>
    <w:p w:rsidR="00A90898" w:rsidRDefault="00A90898" w:rsidP="00A90898">
      <w:pPr>
        <w:pStyle w:val="TextoNormal"/>
      </w:pPr>
      <w:r w:rsidRPr="00A90898">
        <w:rPr>
          <w:rStyle w:val="NumeroAFNegritaCaracter"/>
        </w:rPr>
        <w:t>6</w:t>
      </w:r>
      <w:r>
        <w:t>. Las alegaciones presentadas por el Abogado del Estado, interesando la desestimación de la cuestión, fueron registradas en este Tribunal el 18 de julio de 2016.</w:t>
      </w:r>
    </w:p>
    <w:p w:rsidR="00A90898" w:rsidRDefault="00A90898" w:rsidP="00A90898">
      <w:pPr>
        <w:pStyle w:val="TextoNormal"/>
      </w:pPr>
    </w:p>
    <w:p w:rsidR="00A90898" w:rsidRDefault="00A90898" w:rsidP="00A90898">
      <w:pPr>
        <w:pStyle w:val="TextoNormal"/>
      </w:pPr>
      <w:r>
        <w:t xml:space="preserve">En su escrito, el representante de la Administración del Estado comienza manifestando que el origen del litigio se halla en un cambio normativo que pudo resultar menos favorable </w:t>
      </w:r>
      <w:r>
        <w:lastRenderedPageBreak/>
        <w:t>a los intereses de la parte recurrente y que esta pretende anular por una supuesta quiebra del principio de confianza legítima. Recuerda, acto seguido, la doctrina constitucional y la jurisprudencia del Tribunal Supremo sobre el meritado principio, para avanzar que difícilmente podía confiarse en que no cambiara el régimen legal aplicable a la retribución de la actividad de distribución de electricidad, cuando no se había aprobado todavía la norma reglamentaria de desarrollo que se preveía en el art. 5.5 del Real Decreto-ley 13/2012, y cuyo objetivo era vincular la retribución a las inversiones no amortizadas.</w:t>
      </w:r>
    </w:p>
    <w:p w:rsidR="00A90898" w:rsidRDefault="00A90898" w:rsidP="00A90898">
      <w:pPr>
        <w:pStyle w:val="TextoNormal"/>
      </w:pPr>
    </w:p>
    <w:p w:rsidR="00A90898" w:rsidRDefault="00A90898" w:rsidP="00A90898">
      <w:pPr>
        <w:pStyle w:val="TextoNormal"/>
      </w:pPr>
      <w:r>
        <w:t>Continúa destacando que el cambio legislativo analizado se enmarca dentro de un sector, como el eléctrico, sujeto a una alta inestabilidad normativa, lo que obliga a quienes operan en él a soportar un mayor riesgo regulatorio. La modificación de que aquí se trata no cercena derechos adquiridos, ya que la nueva retribución para el periodo 2013-2016 no se había aprobado todavía por el Ministerio de Industria, Energía y Turismo cuando entró en vigor el Real Decreto-ley 9/2013. Por tanto, resulta plenamente aplicable, a su juicio, la STC 270/2015, ya que los elementos valorados en ella también concurren en el subsector de la distribución de energía eléctrica.</w:t>
      </w:r>
    </w:p>
    <w:p w:rsidR="00A90898" w:rsidRDefault="00A90898" w:rsidP="00A90898">
      <w:pPr>
        <w:pStyle w:val="TextoNormal"/>
      </w:pPr>
    </w:p>
    <w:p w:rsidR="00A90898" w:rsidRDefault="00A90898" w:rsidP="00A90898">
      <w:pPr>
        <w:pStyle w:val="TextoNormal"/>
      </w:pPr>
      <w:r>
        <w:t>El Abogado del Estado entiende que la modificación normativa introducida por el Real Decreto-ley 9/2013 en el régimen retributivo de la distribución eléctrica no fue sorpresiva ni arbitraria, puesto que ya se había aprobado antes el Real Decreto-ley 13/2012, cuyo desarrollo reglamentario estaba pendiente, pero que introducía cambios en dicha retribución, ya anticipados en la Orden IET/221/2013. Tales cambios se imponían sobre lo previsto en el Real Decreto 222/2008, aunque este se mantuviera formalmente en vigor. Por tanto, —añade— las empresas de distribución de energía eléctrica y, en particular, la aquí recurrente, debían contemplar, ya en 2012 y, sobre todo, una vez aprobada en febrero de 2013 la Orden IET/221/2013, que la retribución de 2013 podía ser la que se apuntaba en esta norma; esto es, una simple actualización de la del año 2012. En consecuencia, no cabe admitir que hubiera una confianza de los operadores en la inmovilidad del sistema previamente vigente.</w:t>
      </w:r>
    </w:p>
    <w:p w:rsidR="00A90898" w:rsidRDefault="00A90898" w:rsidP="00A90898">
      <w:pPr>
        <w:pStyle w:val="TextoNormal"/>
      </w:pPr>
    </w:p>
    <w:p w:rsidR="00A90898" w:rsidRDefault="00A90898" w:rsidP="00A90898">
      <w:pPr>
        <w:pStyle w:val="TextoNormal"/>
      </w:pPr>
      <w:r>
        <w:t>A lo anterior se suma —continúa el representante de la Administración del Estado— que la nueva normativa establece un puente o adaptación para minimizar el cambio normativo pues, al igual que hacía el Real Decreto 222/2008 y la Orden IET/221/2013, el Real Decreto-ley 9/2013 prevé en su artículo 3.1, aquí controvertido, que las empresas que se habían acogido a la posibilidad de revisión de la retribución la conserven una vez entrara en vigor el Real Decreto-ley. Por ello, y con independencia de las vicisitudes concretas en cuanto a si se solicitó o no por las empresas interesadas y, en particular, por Distribuidora Eléctrica Carrión, S.L., es innegable que la posibilidad jurídica existía, por lo que la norma cuestionada sí salvaguarda las expectativas de quienes habían solicitado la revisión. En consecuencia, el Real Decreto-ley 9/2013 tuvo en cuenta las expectativas que pudieran existir, tratando conscientemente de alejarse de cualquier viso de arbitrariedad y salvaguardando así el principio de confianza legítima que la doctrina constitucional considera implícito en el art. 9.3 CE.</w:t>
      </w:r>
    </w:p>
    <w:p w:rsidR="00A90898" w:rsidRDefault="00A90898" w:rsidP="00A90898">
      <w:pPr>
        <w:pStyle w:val="TextoNormal"/>
      </w:pPr>
    </w:p>
    <w:p w:rsidR="00A90898" w:rsidRDefault="00A90898" w:rsidP="00A90898">
      <w:pPr>
        <w:pStyle w:val="TextoNormal"/>
      </w:pPr>
      <w:r w:rsidRPr="00A90898">
        <w:rPr>
          <w:rStyle w:val="NumeroAFNegritaCaracter"/>
        </w:rPr>
        <w:t>7</w:t>
      </w:r>
      <w:r>
        <w:t>. Mediante escrito registrado con fecha 21 de julio de 2016, el Presidente del Congreso de los Diputados comunicó el acuerdo de la Mesa de la Cámara de personarse en el procedimiento y ofrecer su colaboración a los efectos del art. 88.1 LOTC. Igualmente hizo el Presidente del Senado por un escrito que tuvo entrada en este Tribunal el día 29 de julio de 2016.</w:t>
      </w:r>
    </w:p>
    <w:p w:rsidR="00A90898" w:rsidRDefault="00A90898" w:rsidP="00A90898">
      <w:pPr>
        <w:pStyle w:val="TextoNormal"/>
      </w:pPr>
    </w:p>
    <w:p w:rsidR="00A90898" w:rsidRDefault="00A90898" w:rsidP="00A90898">
      <w:pPr>
        <w:pStyle w:val="TextoNormal"/>
      </w:pPr>
      <w:r w:rsidRPr="00A90898">
        <w:rPr>
          <w:rStyle w:val="NumeroAFNegritaCaracter"/>
        </w:rPr>
        <w:t>8</w:t>
      </w:r>
      <w:r>
        <w:t>. La Fiscal General del Estado presentó sus alegaciones el 8 de septiembre de 2016, interesando la desestimación de la cuestión de constitucionalidad, por los motivos que seguidamente se exponen.</w:t>
      </w:r>
    </w:p>
    <w:p w:rsidR="00A90898" w:rsidRDefault="00A90898" w:rsidP="00A90898">
      <w:pPr>
        <w:pStyle w:val="TextoNormal"/>
      </w:pPr>
    </w:p>
    <w:p w:rsidR="00A90898" w:rsidRDefault="00A90898" w:rsidP="00A90898">
      <w:pPr>
        <w:pStyle w:val="TextoNormal"/>
      </w:pPr>
      <w:r>
        <w:t xml:space="preserve">En primer lugar, manifiesta, como hizo el Fiscal en el proceso </w:t>
      </w:r>
      <w:r w:rsidRPr="00A90898">
        <w:rPr>
          <w:i/>
        </w:rPr>
        <w:t>a quo</w:t>
      </w:r>
      <w:r>
        <w:t>, que las dudas que se le suscitan a la Sala presentan una identidad sustancial con las abordadas en la STC 270/2015, cuyo criterio considera trasladable a la presente cuestión, anticipando así su conclusión sobre la inexistente vulneración del principio de confianza legítima. Y sustenta esta postura tanto desde la óptica del razonamiento contenido en el fundamento jurídico 7 de la citada Sentencia como de los criterios del Voto particular concurrente emitido sobre la misma.</w:t>
      </w:r>
    </w:p>
    <w:p w:rsidR="00A90898" w:rsidRDefault="00A90898" w:rsidP="00A90898">
      <w:pPr>
        <w:pStyle w:val="TextoNormal"/>
      </w:pPr>
    </w:p>
    <w:p w:rsidR="00A90898" w:rsidRDefault="00A90898" w:rsidP="00A90898">
      <w:pPr>
        <w:pStyle w:val="TextoNormal"/>
      </w:pPr>
      <w:r>
        <w:t>Para respaldar su posición, la Fiscal General comienza razonando que del marco normativo aplicable al régimen de retribución de las pequeñas distribuidoras eléctricas a partir del Real Decreto 222/2008 se desprende que el modelo de retribución basado en las inversiones reales no podía razonablemente considerarse como estable e inalterable. Para empezar, dicho criterio de cálculo de la retribución solo prevalecía si arrojaba un resultado mayor que el derivado de aplicar el anterior modelo de retribución (basado en el margen obtenido por las distribuidoras, es decir, la diferencia entre la tarifa regulada que satisfacían por la electricidad, —llamada “tarifa D”— y la tarifa que cobraban a los clientes), garantizándose, en todo caso, un mínimo de retribución por cliente.</w:t>
      </w:r>
    </w:p>
    <w:p w:rsidR="00A90898" w:rsidRDefault="00A90898" w:rsidP="00A90898">
      <w:pPr>
        <w:pStyle w:val="TextoNormal"/>
      </w:pPr>
    </w:p>
    <w:p w:rsidR="00A90898" w:rsidRDefault="00A90898" w:rsidP="00A90898">
      <w:pPr>
        <w:pStyle w:val="TextoNormal"/>
      </w:pPr>
      <w:r>
        <w:t>Continúa precisando que de las previsiones de los artículos 5.4 y 7 del citado Real Decreto no se puede extraer que la retribución basada en el método de las inversiones deba responder automática y aritméticamente a las inversiones reales declaradas por las empresas. Tampoco el mecanismo de revisión previsto en el párrafo tercero del artículo 5.4, sobre el que gira en gran parte la reclamación de Distribuidora Eléctrica Carrión, S.L., opera de forma automática, sino a través de una solicitud de la entidad que debe ser valorada por el Ministerio de Industria, Energía y Turismo, previo informe de la Comisión Nacional de la Energía.</w:t>
      </w:r>
    </w:p>
    <w:p w:rsidR="00A90898" w:rsidRDefault="00A90898" w:rsidP="00A90898">
      <w:pPr>
        <w:pStyle w:val="TextoNormal"/>
      </w:pPr>
    </w:p>
    <w:p w:rsidR="00A90898" w:rsidRDefault="00A90898" w:rsidP="00A90898">
      <w:pPr>
        <w:pStyle w:val="TextoNormal"/>
      </w:pPr>
      <w:r>
        <w:t xml:space="preserve">En lo atinente a la eventual frustración de la confianza legítima generada respecto del mantenimiento de la citada situación normativa, la Fiscal General afirma que no cabe hablar de un modelo inalterable de retribución de la actividad de distribución, ya que estamos en presencia de una actividad regulada, sujeta a una importante intervención administrativa, como consecuencia de los objetivos e intereses generales de política económica y energética en juego. Añade que la falta de estabilidad normativa del sistema previsto en el Real Decreto 222/2008 ya se puso de manifiesto con el Real Decreto-ley 13/2012, que tenía entre sus objetivos superar la situación estructural de déficit en el sistema eléctrico, para lo cual, entre otras medidas, varió el régimen retributivo de la distribución de electricidad, de manera que dejaran de tomarse en cuenta activos que habían sido ya amortizados o transmitidos. Dicha norma, como todas las aprobadas con la finalidad de reducir el déficit, revela el carácter cambiante de estas disposiciones, por la necesidad de atender a intereses generales superiores. Por tanto, la normativa anterior al Real Decreto-ley 9/2013 no creaba un escenario que generara en las empresas distribuidoras una expectativa legítima de continuidad del modelo basado en la actualización de los parámetros para el cálculo de la retribución de la inversión con base en las instalaciones reales. Y, ante el déficit endémico del sistema eléctrico, que </w:t>
      </w:r>
      <w:r>
        <w:lastRenderedPageBreak/>
        <w:t>era perfectamente conocido por los operadores, el cambio acometido por el Real Decreto 9/2013 no puede tildarse de sorpresivo ni de inesperado.</w:t>
      </w:r>
    </w:p>
    <w:p w:rsidR="00A90898" w:rsidRDefault="00A90898" w:rsidP="00A90898">
      <w:pPr>
        <w:pStyle w:val="TextoNormal"/>
      </w:pPr>
    </w:p>
    <w:p w:rsidR="00A90898" w:rsidRDefault="00A90898" w:rsidP="00A90898">
      <w:pPr>
        <w:pStyle w:val="TextoNormal"/>
      </w:pPr>
      <w:r>
        <w:t>En lo que se refiere a si los cambios normativos habían tenido en cuenta las circunstancias específicas de los afectados, previendo las correspondientes adaptaciones, la Fiscal General pone de relieve que la entidad no utilizó los mecanismos legales de revisión con la prudencia y diligencia exigibles a un operador del sector. Los mecanismos de transición existían y los criterios subjetivos de la recurrente para no impugnar la denegación de su solicitud de revisión en 2012 o para no instar dicha revisión a la vista de la Orden IET/221/2013 no pueden llevar a tachar los mecanismos normativos previstos al efecto, que otras operadoras sí utilizaron, como objetivamente inadecuados.</w:t>
      </w:r>
    </w:p>
    <w:p w:rsidR="00A90898" w:rsidRDefault="00A90898" w:rsidP="00A90898">
      <w:pPr>
        <w:pStyle w:val="TextoNormal"/>
      </w:pPr>
    </w:p>
    <w:p w:rsidR="00A90898" w:rsidRDefault="00A90898" w:rsidP="00A90898">
      <w:pPr>
        <w:pStyle w:val="TextoNormal"/>
      </w:pPr>
      <w:r>
        <w:t xml:space="preserve">Finaliza sus alegaciones afirmando que las dudas del Tribunal </w:t>
      </w:r>
      <w:r w:rsidRPr="00A90898">
        <w:rPr>
          <w:i/>
        </w:rPr>
        <w:t>a quo</w:t>
      </w:r>
      <w:r>
        <w:t xml:space="preserve"> parecen apoyarse solo en un juicio subjetivo sobre la falta de fundamento para imponer un nuevo modelo retributivo a las distribuidoras cuando, sin embargo, dichas razones sí quedan claras en el preámbulo de la norma cuestionada, como ordenadas a la reducción del déficit tarifario, debiéndose recordar que no corresponde a la justicia constitucional enjuiciar el acierto o desacierto de las medidas adoptadas por el legislador.</w:t>
      </w:r>
    </w:p>
    <w:p w:rsidR="00A90898" w:rsidRDefault="00A90898" w:rsidP="00A90898">
      <w:pPr>
        <w:pStyle w:val="TextoNormal"/>
      </w:pPr>
    </w:p>
    <w:p w:rsidR="00A90898" w:rsidRDefault="00A90898" w:rsidP="00A90898">
      <w:pPr>
        <w:pStyle w:val="TextoNormal"/>
      </w:pPr>
      <w:r>
        <w:t>Con base en todo lo anterior, la Fiscal General del Estado solicita que se desestime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9</w:t>
      </w:r>
      <w:r>
        <w:t>. La representación procesal de Distribuidora Eléctrica Carrión, S.L., cumplimentó el 12 de septiembre de 2016 el trámite de alegaciones conferido, interesando la estimación de la cuestión, por las razones que se resumen a renglón seguido.</w:t>
      </w:r>
    </w:p>
    <w:p w:rsidR="00A90898" w:rsidRDefault="00A90898" w:rsidP="00A90898">
      <w:pPr>
        <w:pStyle w:val="TextoNormal"/>
      </w:pPr>
    </w:p>
    <w:p w:rsidR="00A90898" w:rsidRDefault="00A90898" w:rsidP="00A90898">
      <w:pPr>
        <w:pStyle w:val="TextoNormal"/>
      </w:pPr>
      <w:r>
        <w:t>En primer término, informa, como hecho nuevo, que con la Orden IET/980/2016, de 10 de junio, por la que se establece la retribución de las empresas de distribución de energía eléctrica para el año 2016, dictada en desarrollo del Real Decreto 1048/2013, ha concluido el proceso de cambio normativo de la retribución de dicha actividad, con el resultado pretendido de que se tengan en cuenta todas sus instalaciones, lo que ha supuesto un incremento sustancial en su retribución respecto de la reconocida en los años anteriores. A su juicio, esto confirma la tesis que Distribuidora Eléctrica Carrión, S.L., viene haciendo valer en el proceso sobre la insuficiencia de su retribución como consecuencia, entre otros motivos, de la diferencia entre el inventario comunicado en 2008 y el realmente existente.</w:t>
      </w:r>
    </w:p>
    <w:p w:rsidR="00A90898" w:rsidRDefault="00A90898" w:rsidP="00A90898">
      <w:pPr>
        <w:pStyle w:val="TextoNormal"/>
      </w:pPr>
    </w:p>
    <w:p w:rsidR="00A90898" w:rsidRDefault="00A90898" w:rsidP="00A90898">
      <w:pPr>
        <w:pStyle w:val="TextoNormal"/>
      </w:pPr>
      <w:r>
        <w:t>En segundo lugar, argumenta que, según la STC 270/2015, el análisis de si una norma infringe los principios de seguridad jurídica y confianza legítima es eminentemente casuístico, de modo que es preciso analizar las circunstancias que concurren en el presente caso. Para dicho análisis, conviene destacar que la modificación que aquí se estudia tenía una naturaleza distinta a la del régimen retributivo de las energías renovables, que es el objeto de la STC 270/2015. No se trata —aduce— de una alteración del marco vigente, sino de una demora imprevisible en la puesta en marcha de una modificación ya prevista, según la cual a partir de 1 de enero de 2013 debían retribuirse todas las instalaciones que estuvieran en servicio a 31 de diciembre de 2011, sin que el Real Decreto-ley 9/2013 viniera a cambiar esto. Por tanto, no es aplicable la doctrina recogida en la indicada Sentencia constitucional.</w:t>
      </w:r>
    </w:p>
    <w:p w:rsidR="00A90898" w:rsidRDefault="00A90898" w:rsidP="00A90898">
      <w:pPr>
        <w:pStyle w:val="TextoNormal"/>
      </w:pPr>
    </w:p>
    <w:p w:rsidR="00A90898" w:rsidRDefault="00A90898" w:rsidP="00A90898">
      <w:pPr>
        <w:pStyle w:val="TextoNormal"/>
      </w:pPr>
      <w:r>
        <w:lastRenderedPageBreak/>
        <w:t>Resalta, a continuación, el interés público existente en que la retribución de las pequeñas empresas distribuidoras a partir de 1 de enero de 2013 pudiera ser revisada para ajustarla a su inventario real a 31 de diciembre de 2011, alegando que había suficientes signos exteriores que hicieron confiar a la recurrente en que la retribución definitiva a partir de 2013 incluiría su inventario real a 31 de diciembre de 2011, sin que, a su juicio, fuera previsible un cambio en la metodología ni que el año base del nuevo periodo regulatorio se fuera a retrasar.</w:t>
      </w:r>
    </w:p>
    <w:p w:rsidR="00A90898" w:rsidRDefault="00A90898" w:rsidP="00A90898">
      <w:pPr>
        <w:pStyle w:val="TextoNormal"/>
      </w:pPr>
    </w:p>
    <w:p w:rsidR="00A90898" w:rsidRDefault="00A90898" w:rsidP="00A90898">
      <w:pPr>
        <w:pStyle w:val="TextoNormal"/>
      </w:pPr>
      <w:r>
        <w:t>Por último, añade que su conducta fue diligente puesto que, si bien otras entidades que habían pedido la revisión al amparo del anexo I de la Orden IET/221/2013 vieron satisfecha su pretensión, la recurrente no lo hizo porque ya había recibido respuesta negativa a su anterior solicitud y porque confiaba en que, al tratarse de una retribución provisional, su error de inventario se corregiría cuando se determinara con carácter definitivo.</w:t>
      </w:r>
    </w:p>
    <w:p w:rsidR="00A90898" w:rsidRDefault="00A90898" w:rsidP="00A90898">
      <w:pPr>
        <w:pStyle w:val="TextoNormal"/>
      </w:pPr>
    </w:p>
    <w:p w:rsidR="00A90898" w:rsidRDefault="00A90898" w:rsidP="00A90898">
      <w:pPr>
        <w:pStyle w:val="TextoNormal"/>
      </w:pPr>
      <w:r>
        <w:t>Por todo lo cual, concluye interesando que se estime la cuestión.</w:t>
      </w:r>
    </w:p>
    <w:p w:rsidR="00A90898" w:rsidRDefault="00A90898" w:rsidP="00A90898">
      <w:pPr>
        <w:pStyle w:val="TextoNormal"/>
      </w:pPr>
    </w:p>
    <w:p w:rsidR="00A90898" w:rsidRDefault="00A90898" w:rsidP="00A90898">
      <w:pPr>
        <w:pStyle w:val="TextoNormal"/>
      </w:pPr>
      <w:r w:rsidRPr="00A90898">
        <w:rPr>
          <w:rStyle w:val="NumeroAFNegritaCaracter"/>
        </w:rPr>
        <w:t>10</w:t>
      </w:r>
      <w:r>
        <w:t>. Mediante providencia de fecha de 18 de octubre de 2016 se señaló para deliberación y votación de la presente Sentencia el 20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Sección Tercera de la Sala de lo Contencioso-Administrativo del Tribunal Supremo plantea cuestión de inconstitucionalidad sobre los arts. 3.1 y 4 y las previsiones de los anexos I y II del Real Decreto-ley 9/2013, de 12 de julio, por el que se adoptan medidas urgentes para garantizar la estabilidad financiera del sistema eléctrico (en lo sucesivo, Real Decreto-ley 9/2013), por posible vulneración del art. 9.3 de la Constitución, en la vertiente del principio de confianza legítima.</w:t>
      </w:r>
    </w:p>
    <w:p w:rsidR="00A90898" w:rsidRDefault="00A90898" w:rsidP="00A90898">
      <w:pPr>
        <w:pStyle w:val="TextoNormal"/>
      </w:pPr>
    </w:p>
    <w:p w:rsidR="00A90898" w:rsidRDefault="00A90898" w:rsidP="00A90898">
      <w:pPr>
        <w:pStyle w:val="TextoNormal"/>
      </w:pPr>
      <w:r>
        <w:t>Los preceptos cuestionados establecen lo siguiente:</w:t>
      </w:r>
    </w:p>
    <w:p w:rsidR="00A90898" w:rsidRDefault="00A90898" w:rsidP="00A90898">
      <w:pPr>
        <w:pStyle w:val="TextoNormal"/>
      </w:pPr>
    </w:p>
    <w:p w:rsidR="00A90898" w:rsidRDefault="00A90898" w:rsidP="00A90898">
      <w:pPr>
        <w:pStyle w:val="TextoNormal"/>
      </w:pPr>
      <w:r>
        <w:t>“Artículo 3 Retribución de la actividad de distribución y transporte de energía eléctrica desde el 1 de enero de 2013 hasta la entrada en vigor del presente real decreto-ley.</w:t>
      </w:r>
    </w:p>
    <w:p w:rsidR="00A90898" w:rsidRDefault="00A90898" w:rsidP="00A90898">
      <w:pPr>
        <w:pStyle w:val="TextoNormal"/>
      </w:pPr>
    </w:p>
    <w:p w:rsidR="00A90898" w:rsidRDefault="00A90898" w:rsidP="00A90898">
      <w:pPr>
        <w:pStyle w:val="TextoNormal"/>
      </w:pPr>
      <w:r>
        <w:t>1. La retribución de cada empresa distribuidora, desde el 1 de enero de 2013 hasta la fecha de entrada en vigor del presente real decreto-ley, será la parte proporcional hasta dicha fecha de la que figura en los artículos 2.2 y 2.3 de la Orden IET/221/2013, de 14 de febrero. Esta retribución tendrá carácter de definitiva.</w:t>
      </w:r>
    </w:p>
    <w:p w:rsidR="00A90898" w:rsidRDefault="00A90898" w:rsidP="00A90898">
      <w:pPr>
        <w:pStyle w:val="TextoNormal"/>
      </w:pPr>
    </w:p>
    <w:p w:rsidR="00A90898" w:rsidRDefault="00A90898" w:rsidP="00A90898">
      <w:pPr>
        <w:pStyle w:val="TextoNormal"/>
      </w:pPr>
      <w:r>
        <w:t>No obstante lo anterior, aquellas empresas que antes de la entrada en vigor del presente real decreto-ley hubieran solicitado la revisión de la retribución para el año 2013 al amparo de lo recogido en el anexo I de la mencionada Orden IET/221/2013, de 14 de febrero, o como consecuencia de fusiones y adquisiciones de empresas distribuidoras o de adquisiciones de activos de distribución a otras empresas, podrán ver modificada la retribución de dicho primer período por Orden del Ministro de Industria, Energía y Turismo, previo informe de la Comisión Nacional de los Mercados y la Competencia.”</w:t>
      </w:r>
    </w:p>
    <w:p w:rsidR="00A90898" w:rsidRDefault="00A90898" w:rsidP="00A90898">
      <w:pPr>
        <w:pStyle w:val="TextoNormal"/>
      </w:pPr>
    </w:p>
    <w:p w:rsidR="00A90898" w:rsidRDefault="00A90898" w:rsidP="00A90898">
      <w:pPr>
        <w:pStyle w:val="TextoNormal"/>
      </w:pPr>
      <w:r>
        <w:t>“Artículo 4 Método de retribución de la actividad de distribución de energía eléctrica.</w:t>
      </w:r>
    </w:p>
    <w:p w:rsidR="00A90898" w:rsidRDefault="00A90898" w:rsidP="00A90898">
      <w:pPr>
        <w:pStyle w:val="TextoNormal"/>
      </w:pPr>
    </w:p>
    <w:p w:rsidR="00A90898" w:rsidRDefault="00A90898" w:rsidP="00A90898">
      <w:pPr>
        <w:pStyle w:val="TextoNormal"/>
      </w:pPr>
      <w:r>
        <w:t>1. El Ministro de Industria, Energía y Turismo, previo acuerdo de la Comisión Delegada para Asuntos Económicos, aprobará la retribución para cada una de las empresas distribuidoras para el período que transcurre desde la entrada en vigor del presente real decreto-ley hasta el 31 de diciembre de 2013, el cual se denominará segundo período de 2013.</w:t>
      </w:r>
    </w:p>
    <w:p w:rsidR="00A90898" w:rsidRDefault="00A90898" w:rsidP="00A90898">
      <w:pPr>
        <w:pStyle w:val="TextoNormal"/>
      </w:pPr>
    </w:p>
    <w:p w:rsidR="00A90898" w:rsidRDefault="00A90898" w:rsidP="00A90898">
      <w:pPr>
        <w:pStyle w:val="TextoNormal"/>
      </w:pPr>
      <w:r>
        <w:t>A tal efecto, el Ministerio de Industria, Energía y Turismo remitirá inmediatamente a la Comisión Nacional de los Mercados y la Competencia para informe, una propuesta de retribución para cada una de las empresas, que se calculará por aplicación de la metodología recogida en el anexo I.</w:t>
      </w:r>
    </w:p>
    <w:p w:rsidR="00A90898" w:rsidRDefault="00A90898" w:rsidP="00A90898">
      <w:pPr>
        <w:pStyle w:val="TextoNormal"/>
      </w:pPr>
    </w:p>
    <w:p w:rsidR="00A90898" w:rsidRDefault="00A90898" w:rsidP="00A90898">
      <w:pPr>
        <w:pStyle w:val="TextoNormal"/>
      </w:pPr>
      <w:r>
        <w:t>Sin perjuicio de las cantidades que en su momento se calculen y se aprueben correspondientes a los incentivos de calidad y reducción de pérdidas, las retribuciones a la actividad de distribución calculadas de acuerdo a dicha metodología tendrán carácter definitivo.</w:t>
      </w:r>
    </w:p>
    <w:p w:rsidR="00A90898" w:rsidRDefault="00A90898" w:rsidP="00A90898">
      <w:pPr>
        <w:pStyle w:val="TextoNormal"/>
      </w:pPr>
    </w:p>
    <w:p w:rsidR="00A90898" w:rsidRDefault="00A90898" w:rsidP="00A90898">
      <w:pPr>
        <w:pStyle w:val="TextoNormal"/>
      </w:pPr>
      <w:r>
        <w:t>2. La retribución a percibir desde el 1 de enero del año 2014 hasta que se inicie el primer período regulatorio al amparo del real decreto de retribución de la actividad de distribución a que se hace referencia en el artículo 5 del Real Decreto-ley 13/2012, de 30 de marzo, se calculará de acuerdo con la metodología recogida en el anexo II del presente real decreto-ley.</w:t>
      </w:r>
    </w:p>
    <w:p w:rsidR="00A90898" w:rsidRDefault="00A90898" w:rsidP="00A90898">
      <w:pPr>
        <w:pStyle w:val="TextoNormal"/>
      </w:pPr>
    </w:p>
    <w:p w:rsidR="00A90898" w:rsidRDefault="00A90898" w:rsidP="00A90898">
      <w:pPr>
        <w:pStyle w:val="TextoNormal"/>
      </w:pPr>
      <w:r>
        <w:t>Sin perjuicio de las cantidades que en su momento se calculen y se aprueben correspondientes a los incentivos de calidad y reducción de pérdidas, las retribuciones a la actividad de distribución calculadas de acuerdo a dicha metodología tendrán carácter definitivo.</w:t>
      </w:r>
    </w:p>
    <w:p w:rsidR="00A90898" w:rsidRDefault="00A90898" w:rsidP="00A90898">
      <w:pPr>
        <w:pStyle w:val="TextoNormal"/>
      </w:pPr>
    </w:p>
    <w:p w:rsidR="00A90898" w:rsidRDefault="00A90898" w:rsidP="00A90898">
      <w:pPr>
        <w:pStyle w:val="TextoNormal"/>
      </w:pPr>
      <w:r>
        <w:t>El Ministro de Industria, Energía y Turismo, previo acuerdo de la Comisión Delegada del Gobierno para Asuntos Económicos, aprobará la retribución para dicho período. A tal efecto, antes del 1 de octubre de cada año, la Comisión Nacional de los Mercados y la Competencia remitirá al Ministerio de Industria, Energía y Turismo una propuesta de retribución para cada una de las empresas distribuidoras.</w:t>
      </w:r>
    </w:p>
    <w:p w:rsidR="00A90898" w:rsidRDefault="00A90898" w:rsidP="00A90898">
      <w:pPr>
        <w:pStyle w:val="TextoNormal"/>
      </w:pPr>
    </w:p>
    <w:p w:rsidR="00A90898" w:rsidRDefault="00A90898" w:rsidP="00A90898">
      <w:pPr>
        <w:pStyle w:val="TextoNormal"/>
      </w:pPr>
      <w:r>
        <w:t>La Comisión Nacional de los Mercados y Competencia remitirá junto con la propuesta de retribución para cada empresa señalada en el apartado anterior, la de todos aquellos parámetros del anexo II que resultan necesarios para el cálculo de ésta.</w:t>
      </w:r>
    </w:p>
    <w:p w:rsidR="00A90898" w:rsidRDefault="00A90898" w:rsidP="00A90898">
      <w:pPr>
        <w:pStyle w:val="TextoNormal"/>
      </w:pPr>
    </w:p>
    <w:p w:rsidR="00A90898" w:rsidRDefault="00A90898" w:rsidP="00A90898">
      <w:pPr>
        <w:pStyle w:val="TextoNormal"/>
      </w:pPr>
      <w:r>
        <w:t>3. En el caso de que para una empresa concreta no se dispusiera de alguno de los datos necesarios para la determinación de su retribución de acuerdo con lo previsto en los anexos I y II, para el cálculo de la misma se emplearán los valores medios representativos del sector.”</w:t>
      </w:r>
    </w:p>
    <w:p w:rsidR="00A90898" w:rsidRDefault="00A90898" w:rsidP="00A90898">
      <w:pPr>
        <w:pStyle w:val="TextoNormal"/>
      </w:pPr>
    </w:p>
    <w:p w:rsidR="00A90898" w:rsidRDefault="00A90898" w:rsidP="00A90898">
      <w:pPr>
        <w:pStyle w:val="TextoNormal"/>
      </w:pPr>
      <w:r>
        <w:t>En los anexos, cuyo contenido no se reproduce, se establece la metodología para el cálculo de la retribución de la actividad de distribución durante el segundo período del año 2013 (anexo I) y a partir de 2014 (anexo II).</w:t>
      </w:r>
    </w:p>
    <w:p w:rsidR="00A90898" w:rsidRDefault="00A90898" w:rsidP="00A90898">
      <w:pPr>
        <w:pStyle w:val="TextoNormal"/>
      </w:pPr>
    </w:p>
    <w:p w:rsidR="00A90898" w:rsidRDefault="00A90898" w:rsidP="00A90898">
      <w:pPr>
        <w:pStyle w:val="TextoNormal"/>
      </w:pPr>
      <w:r>
        <w:t xml:space="preserve">El órgano judicial considera que los preceptos impugnados pueden quebrantar el principio de confianza legítima que se deriva del art. 9.3 CE, al prescindir para el cálculo de las retribuciones correspondientes a 2013 y 2014 de las inversiones reales que habían realizado las empresas distribuidoras de electricidad con menos de 100.000 clientes, apartándose </w:t>
      </w:r>
      <w:r>
        <w:lastRenderedPageBreak/>
        <w:t>inopinadamente de las previsiones normativas hasta entonces vigentes y de la actuación de la Comisión Nacional de Energía.</w:t>
      </w:r>
    </w:p>
    <w:p w:rsidR="00A90898" w:rsidRDefault="00A90898" w:rsidP="00A90898">
      <w:pPr>
        <w:pStyle w:val="TextoNormal"/>
      </w:pPr>
    </w:p>
    <w:p w:rsidR="00A90898" w:rsidRDefault="00A90898" w:rsidP="00A90898">
      <w:pPr>
        <w:pStyle w:val="TextoNormal"/>
      </w:pPr>
      <w:r>
        <w:t>El Abogado del Estado y el Ministerio Fiscal interesan la desestimación de la cuestión, argumentando que es aplicable la doctrina de la STC 270/2015, de 17 de diciembre, conforme a la cual no cabe pretender la inmutabilidad de un régimen retributivo cuando la situación de déficit tarifario en el sistema eléctrico hace inevitable introducir modificaciones que adapten la regulación a las nuevas circunstancias, sin que pudiera legítimamente esperarse la continuidad del modelo en vigor hasta el Real Decreto-ley 9/2013.</w:t>
      </w:r>
    </w:p>
    <w:p w:rsidR="00A90898" w:rsidRDefault="00A90898" w:rsidP="00A90898">
      <w:pPr>
        <w:pStyle w:val="TextoNormal"/>
      </w:pPr>
    </w:p>
    <w:p w:rsidR="00A90898" w:rsidRDefault="00A90898" w:rsidP="00A90898">
      <w:pPr>
        <w:pStyle w:val="TextoNormal"/>
      </w:pPr>
      <w:r>
        <w:t xml:space="preserve">Por su parte, la sociedad recurrente en el proceso </w:t>
      </w:r>
      <w:r w:rsidRPr="00A90898">
        <w:rPr>
          <w:i/>
        </w:rPr>
        <w:t>a quo</w:t>
      </w:r>
      <w:r>
        <w:t xml:space="preserve"> pide la estimación, alegando que el precepto vulnera la confianza legítima que, con base en la normativa vigente hasta el Real Decreto-ley 9/2013 y en la actuación de la Comisión Nacional de Energía, tenía en que a partir de 2013 se retribuiría su inventario real de instalaciones.</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examen de fondo, procede efectuar determinadas consideraciones preliminares, a fin de delimitar con precisión el objeto de la controversia y el alcance de nuestro enjuiciamiento:</w:t>
      </w:r>
    </w:p>
    <w:p w:rsidR="00A90898" w:rsidRDefault="00A90898" w:rsidP="00A90898">
      <w:pPr>
        <w:pStyle w:val="TextoNormal"/>
      </w:pPr>
    </w:p>
    <w:p w:rsidR="00A90898" w:rsidRDefault="00A90898" w:rsidP="00A90898">
      <w:pPr>
        <w:pStyle w:val="TextoNormal"/>
      </w:pPr>
      <w:r>
        <w:t>a) La primera se refiere a la eficacia temporal de las normas impugnadas, que alcanza al año 2013 (dividido en dos tramos) y al periodo iniciado el 1 de enero de 2014 y que se extiende hasta el primer periodo regulatorio que se inicie al amparo del real decreto de retribución de la actividad de distribución a que se hace referencia en el artículo 5 del Real Decreto-ley 13/2012, de 30 de marzo, por el que se transponen directivas en materia de mercados interiores de electricidad y gas y en materia de comunicaciones electrónicas, y por el que se adoptan medidas para la corrección de las desviaciones por desajustes entre los costes e ingresos de los sectores eléctrico y gasista (Real Decreto-ley 13/2012, en adelante); desarrollo normativo que se aprobó por el Real Decreto 1048/2013, de 27 de diciembre, por el que se establece la metodología para el cálculo de la retribución de la actividad de distribución de energía eléctrica, dictado en desarrollo de la nueva Ley del sector eléctrico (Ley 24/2013, de 26 de diciembre, que sustituye a la Ley 54/1997, de 27 de noviembre), y que consolida los criterios retributivos recogidos en los Reales Decretos-leyes 13/2012, 2/2013 y 9/2013. El primer periodo regulatorio derivado del citado Real Decreto 1048/2013 no se ha iniciado hasta 2016, lo que significa que la metodología del Real Decreto-ley 9/2013 se ha aplicado no solo a 2013 y 2014 (como estaba inicialmente previsto), sino también a 2015, quedando reemplazada a partir de 1 de enero de 2016 por la del Real Decreto 1048/2013.</w:t>
      </w:r>
    </w:p>
    <w:p w:rsidR="00A90898" w:rsidRDefault="00A90898" w:rsidP="00A90898">
      <w:pPr>
        <w:pStyle w:val="TextoNormal"/>
      </w:pPr>
    </w:p>
    <w:p w:rsidR="00A90898" w:rsidRDefault="00A90898" w:rsidP="00A90898">
      <w:pPr>
        <w:pStyle w:val="TextoNormal"/>
      </w:pPr>
      <w:r>
        <w:t xml:space="preserve">Lo anterior conlleva que los artículos del Real Decreto-ley 9/2013 cuya adecuación a la Constitución se plantea en el presente proceso ya no son aplicables en la actualidad, circunstancia que, sin embargo, no afecta a la pervivencia del objeto de este proceso constitucional, puesto que sí son de aplicación en el proceso </w:t>
      </w:r>
      <w:r w:rsidRPr="00A90898">
        <w:rPr>
          <w:i/>
        </w:rPr>
        <w:t>a quo</w:t>
      </w:r>
      <w:r>
        <w:t xml:space="preserve"> y de su validez depende la decisión a adoptar en este, como exige el art. 163 CE, siendo esto lo decisivo para la subsistencia del objeto de la cuestión de inconstitucionalidad, según reiterada doctrina de este Tribunal (entre otras, SSTC 255/2004, de 23 de diciembre, FJ 2; 22/2010, de 27 de abril, FJ 2; 73/2014, de 8 de mayo, FJ 2; 83/2015, de 30 de abril, FJ 3, y 25/2016, de 15 de febrero, FJ 1).</w:t>
      </w:r>
    </w:p>
    <w:p w:rsidR="00A90898" w:rsidRDefault="00A90898" w:rsidP="00A90898">
      <w:pPr>
        <w:pStyle w:val="TextoNormal"/>
      </w:pPr>
    </w:p>
    <w:p w:rsidR="00A90898" w:rsidRDefault="00A90898" w:rsidP="00A90898">
      <w:pPr>
        <w:pStyle w:val="TextoNormal"/>
      </w:pPr>
      <w:r>
        <w:lastRenderedPageBreak/>
        <w:t>b) En segundo lugar, y con la finalidad de identificar el parámetro de enjuiciamiento correspondiente, debemos precisar que el Auto de planteamiento de la presente cuestión circunscribe las dudas del órgano judicial a la posible colisión con el art. 9.3 CE y, en concreto, con el principio de seguridad jurídica, en su dimensión de la confianza legítima.</w:t>
      </w:r>
    </w:p>
    <w:p w:rsidR="00A90898" w:rsidRDefault="00A90898" w:rsidP="00A90898">
      <w:pPr>
        <w:pStyle w:val="TextoNormal"/>
      </w:pPr>
    </w:p>
    <w:p w:rsidR="00A90898" w:rsidRDefault="00A90898" w:rsidP="00A90898">
      <w:pPr>
        <w:pStyle w:val="TextoNormal"/>
      </w:pPr>
      <w:r>
        <w:t xml:space="preserve">Por tanto, el hecho de que en el proceso </w:t>
      </w:r>
      <w:r w:rsidRPr="00A90898">
        <w:rPr>
          <w:i/>
        </w:rPr>
        <w:t>a quo</w:t>
      </w:r>
      <w:r>
        <w:t xml:space="preserve"> la sociedad recurrente haya invocado la vulneración de otros preceptos constitucionales, en particular, del art. 33 CE, no implica que nuestro análisis deba por ello extenderse al mismo, puesto que el objeto del proceso en una cuestión de inconstitucionalidad es dar respuesta a la duda del órgano judicial, dentro de los parámetros fijados por este en su auto de planteamiento, sin perjuicio de la posibilidad que reconoce el art. 39.2 LOTC de “fundar la declaración de inconstitucionalidad en la infracción de cualquier precepto constitucional, haya o no sido invocado en el curso del proceso”.</w:t>
      </w:r>
    </w:p>
    <w:p w:rsidR="00A90898" w:rsidRDefault="00A90898" w:rsidP="00A90898">
      <w:pPr>
        <w:pStyle w:val="TextoNormal"/>
      </w:pPr>
    </w:p>
    <w:p w:rsidR="00A90898" w:rsidRDefault="00A90898" w:rsidP="00A90898">
      <w:pPr>
        <w:pStyle w:val="TextoNormal"/>
      </w:pPr>
      <w:r>
        <w:t>Por consiguiente, nuestro análisis se ceñirá a valorar la posible infracción del principio de confianza legítima del art. 9.3 CE.</w:t>
      </w:r>
    </w:p>
    <w:p w:rsidR="00A90898" w:rsidRDefault="00A90898" w:rsidP="00A90898">
      <w:pPr>
        <w:pStyle w:val="TextoNormal"/>
      </w:pPr>
    </w:p>
    <w:p w:rsidR="00A90898" w:rsidRDefault="00A90898" w:rsidP="00A90898">
      <w:pPr>
        <w:pStyle w:val="TextoNormal"/>
      </w:pPr>
      <w:r w:rsidRPr="00A90898">
        <w:rPr>
          <w:rStyle w:val="NumeroAFNegritaCaracter"/>
        </w:rPr>
        <w:t>3</w:t>
      </w:r>
      <w:r>
        <w:t>. La Sala de lo Contencioso-Administrativo del Tribunal Supremo plantea la posible inconstitucionalidad de la retribución de la actividad de distribución de energía eléctrica regulada en los arts. 3.1 y 4 del Real Decreto-ley 9/2013 y en los anexos a que se remiten, en la medida en que mantiene sin actualizar el inventario de las empresas distribuidoras, apartándose inopinadamente de las previsiones normativas vigentes hasta entonces y de la actuación de la Comisión Nacional de Energía, que hacían previsible que para la retribución de 2013 se tomara en cuenta el inventario a 31 de diciembre de 2011 y que, del mismo modo, para la retribución de 2014 se partiera del inventario a 31 de diciembre de 2012.</w:t>
      </w:r>
    </w:p>
    <w:p w:rsidR="00A90898" w:rsidRDefault="00A90898" w:rsidP="00A90898">
      <w:pPr>
        <w:pStyle w:val="TextoNormal"/>
      </w:pPr>
    </w:p>
    <w:p w:rsidR="00A90898" w:rsidRDefault="00A90898" w:rsidP="00A90898">
      <w:pPr>
        <w:pStyle w:val="TextoNormal"/>
      </w:pPr>
      <w:r>
        <w:t>a) A la vista de la duda planteada, debemos comenzar encuadrando la controversia en el marco de la regulación del sector eléctrico y, en particular, de la actividad de distribución de electricidad, recordando cuál ha sido la evolución reciente de su régimen económico y, en especial, las medidas que se han adoptado para hacer frente al déficit de tarifa entendido, en sentido amplio, como el desajuste entre los costes del sistema eléctrico y los ingresos obtenidos para su cobertura. Conviene recordar, en este sentido, que la retribución de las compañías distribuidoras es uno de los costes imputables al sistema eléctrico, por lo que el nivel al que se establezca repercute directamente en el equilibrio o desequilibrio económico del sector.</w:t>
      </w:r>
    </w:p>
    <w:p w:rsidR="00A90898" w:rsidRDefault="00A90898" w:rsidP="00A90898">
      <w:pPr>
        <w:pStyle w:val="TextoNormal"/>
      </w:pPr>
    </w:p>
    <w:p w:rsidR="00A90898" w:rsidRDefault="00A90898" w:rsidP="00A90898">
      <w:pPr>
        <w:pStyle w:val="TextoNormal"/>
      </w:pPr>
      <w:r>
        <w:t xml:space="preserve">Dada su incidencia en los intereses generales, el sistema eléctrico se halla entre los sectores económicos sometidos a una intervención administrativa más intensa, como recuerda la exposición de motivos de la Ley 54/1997, aplicable </w:t>
      </w:r>
      <w:r w:rsidRPr="00A90898">
        <w:rPr>
          <w:i/>
        </w:rPr>
        <w:t>ratione temporis</w:t>
      </w:r>
      <w:r>
        <w:t xml:space="preserve">, cuando en su primer párrafo concluye que “[sus] características técnicas y económicas hacen del sector eléctrico un sector necesariamente regulado”, de lo que este Tribunal se ha hecho eco en sus pronunciamientos sobre las normas adoptadas en los últimos años en este campo (por todas, la STC 61/2016, de 17 de marzo, FJ 4, resolviendo un recurso de inconstitucionalidad interpuesto también contra el Real Decreto-ley 9/2013, aunque sobre preceptos diferentes de los que aquí se cuestionan). Esta necesidad de regulación es mayor, si cabe, en aquellos subsectores que son monopolios naturales, como es el caso del transporte y la distribución de electricidad (por todas, STC 120/2016, de 23 de junio, FJ 8), actividades ambas que la Ley 54/1997 expresamente declara en sus arts. 11 y 16 como “reguladas”, de tal suerte que los operadores </w:t>
      </w:r>
      <w:r>
        <w:lastRenderedPageBreak/>
        <w:t>(empresas distribuidoras, en lo que aquí interesa) perciben una retribución garantizada por la Administración.</w:t>
      </w:r>
    </w:p>
    <w:p w:rsidR="00A90898" w:rsidRDefault="00A90898" w:rsidP="00A90898">
      <w:pPr>
        <w:pStyle w:val="TextoNormal"/>
      </w:pPr>
    </w:p>
    <w:p w:rsidR="00A90898" w:rsidRDefault="00A90898" w:rsidP="00A90898">
      <w:pPr>
        <w:pStyle w:val="TextoNormal"/>
      </w:pPr>
      <w:r>
        <w:t>Así, el art. 16.3 de la Ley 54/1997 dispone que “[l]a retribución de la actividad de distribución se establecerá reglamentariamente y permitirá fijar la retribución que haya de corresponder a cada sujeto atendiendo a los siguientes criterios: costes de inversión, operación y mantenimiento de las instalaciones, energía circulada, modelo que caracterice las zonas de distribución, los incentivos que correspondan por la calidad del suministro y la reducción de las pérdidas, así como otros costes necesarios para desarrollar la actividad”; de lo que se colige sin dificultad que la ley marca una serie de criterios (entre otros, los costes de inversión) que posteriormente deben concretarse por un real decreto de desarrollo, cuyas previsiones, en un tercer paso, son cuantificadas en las órdenes anuales que aprueban la retribución de las empresas del sector.</w:t>
      </w:r>
    </w:p>
    <w:p w:rsidR="00A90898" w:rsidRDefault="00A90898" w:rsidP="00A90898">
      <w:pPr>
        <w:pStyle w:val="TextoNormal"/>
      </w:pPr>
    </w:p>
    <w:p w:rsidR="00A90898" w:rsidRDefault="00A90898" w:rsidP="00A90898">
      <w:pPr>
        <w:pStyle w:val="TextoNormal"/>
      </w:pPr>
      <w:r>
        <w:t>b) Tradicionalmente, el esquema retributivo de la actividad de distribución en España estaba basado en el reparto de una cuantía global entre las empresas, en función de unos porcentajes acordados por la Administración. El monto global se modificaba cada año en función del índice de precios al consumo (IPC) y de diversos factores que se aplicaban sobre la estimación del aumento de la demanda y la mejora de la eficiencia. En el caso de los pequeños distribuidores (menos de 100.000 clientes), la retribución se cuantificaba fundamentalmente por diferencia entre lo que pagaban por adquirir la electricidad y la tarifa que cobraban a sus clientes.</w:t>
      </w:r>
    </w:p>
    <w:p w:rsidR="00A90898" w:rsidRDefault="00A90898" w:rsidP="00A90898">
      <w:pPr>
        <w:pStyle w:val="TextoNormal"/>
      </w:pPr>
    </w:p>
    <w:p w:rsidR="00A90898" w:rsidRDefault="00A90898" w:rsidP="00A90898">
      <w:pPr>
        <w:pStyle w:val="TextoNormal"/>
      </w:pPr>
      <w:r>
        <w:t>Con la entrada en vigor del Real Decreto 222/2008, de 15 de febrero, por el que se establece el régimen retributivo de la actividad de distribución de energía eléctrica (en lo que sigue, Real Decreto 222/2008) en sustitución del Real Decreto 2819/1998, de 23 de diciembre, por el que se regulan las actividades de transporte y distribución de energía eléctrica, se estableció una nueva metodología retributiva que tenía como fin lograr una gestión eficiente por parte de las empresas distribuidoras, para trasladar al usuario final el mínimo coste con una calidad adecuada. La retribución de las empresas distribuidoras era acordada anualmente por el Ministerio de Industria, Energía y Turismo, tras haber sido informada por el regulador (la Comisión Nacional de Energía, que posteriormente se integraría en la Comisión Nacional de los Mercados y la Competencia). Para ello, ambos organismos contaban, entre otros elementos, con: i) los planes de inversión que las empresas tenían que presentar anualmente a las Comunidades Autónomas; ii) los resultados obtenidos del llamado modelo de red de referencia (art. 6 del Real Decreto); y iii) la contabilidad regulatoria de costes, basada esta última en la información solicitada anualmente por el regulador a las empresas distribuidoras a través de las correspondientes circulares. Conviene aclarar que la competencia para determinar la retribución se atribuye al Ministro, mediante orden, elaborando el regulador una propuesta que puede ser asumida o modificada por el titular del Departamento.</w:t>
      </w:r>
    </w:p>
    <w:p w:rsidR="00A90898" w:rsidRDefault="00A90898" w:rsidP="00A90898">
      <w:pPr>
        <w:pStyle w:val="TextoNormal"/>
      </w:pPr>
    </w:p>
    <w:p w:rsidR="00A90898" w:rsidRDefault="00A90898" w:rsidP="00A90898">
      <w:pPr>
        <w:pStyle w:val="TextoNormal"/>
      </w:pPr>
      <w:r>
        <w:t xml:space="preserve">A partir del Real Decreto 222/2008, la retribución de las empresas distribuidoras se determinaba al inicio de cada periodo regulatorio que, conforme al art. 5.3 del Real Decreto, tenía cuatro años de duración, estableciendo la retribución de referencia para el año base, a partir de los costes de inversión (amortización y retribución del activo neto a una tasa determinada), la retribución de los costes de operación y mantenimiento (mediante la utilización de costes unitarios medios) y la retribución por otros costes (gestión comercial y tasas </w:t>
      </w:r>
      <w:r>
        <w:lastRenderedPageBreak/>
        <w:t>de ocupación de la vía pública). Una vez fijado el importe inicial, la retribución en cada uno de los años del periodo regulatorio se estipulaba mediante la actualización de aquel en función de: i) el IPC y el índice de precios industriales; ii) los incentivos de calidad y pérdidas; y iii) el incremento de actividad. Al término de cada periodo regulatorio, se revisaría el conjunto de parámetros para calcular la retribución de referencia de nuevo para el siguiente periodo. Dentro del periodo, y sin revisar el resto de parámetros, se permitía a las compañías “solicitar la revisión de su coste acreditado, como consecuencia de los incrementos singulares de la demanda o de cualquier otra circunstancia que tenga efectos significativos sobre sus inversiones”, correspondiendo al Ministerio resolver la solicitud, previo informe de la Comisión Nacional de Energía (art. 5.4 del Real Decreto 222/2008).</w:t>
      </w:r>
    </w:p>
    <w:p w:rsidR="00A90898" w:rsidRDefault="00A90898" w:rsidP="00A90898">
      <w:pPr>
        <w:pStyle w:val="TextoNormal"/>
      </w:pPr>
    </w:p>
    <w:p w:rsidR="00A90898" w:rsidRDefault="00A90898" w:rsidP="00A90898">
      <w:pPr>
        <w:pStyle w:val="TextoNormal"/>
      </w:pPr>
      <w:r>
        <w:t>Con todo, se ha de advertir que, aun cuando el Real Decreto 222/2008 establecía una metodología retributiva apoyada en la contabilidad y en un modelo de red de referencia, este esquema no llegó a desarrollarse íntegramente, por lo que el nivel retributivo que se tomó al inicio del periodo regulatorio, al menos en el caso de las empresas con menos de 100.000 clientes, que son las que aquí importan, no respondió a la formulación recogida en el mismo, sino que, conforme a la disposición transitoria tercera, su retribución se estableció tomando la mayor de: i) el valor resultante de la diferencia entre la energía comprada a la tarifa de venta a distribuidores y la energía vendida a las tarifas que en su momento eran de aplicación (método del margen previsto en la normativa anterior); y ii) el valor resultante del análisis de las instalaciones que declaraban; previéndose adicionalmente que las compañías cuyo coste acreditado fuera inferior a 200 € anuales por cliente pudieran solicitar un incremento del mismo. Es decir, se retribuían todas las instalaciones declaradas por las empresas, aunque estuvieran amortizadas y sin exigir que hubieran sido auditadas; aspectos ambos que después se corregirían, a lo que se añade que si el método del margen arrojaba una retribución mayor se aplicaba este y, en todo caso, un mínimo por cliente.</w:t>
      </w:r>
    </w:p>
    <w:p w:rsidR="00A90898" w:rsidRDefault="00A90898" w:rsidP="00A90898">
      <w:pPr>
        <w:pStyle w:val="TextoNormal"/>
      </w:pPr>
    </w:p>
    <w:p w:rsidR="00A90898" w:rsidRDefault="00A90898" w:rsidP="00A90898">
      <w:pPr>
        <w:pStyle w:val="TextoNormal"/>
      </w:pPr>
      <w:r>
        <w:t>Lo cierto es que el sistema del Real Decreto 222/2008, aprobado ya con un cierto grado de provisionalidad (</w:t>
      </w:r>
      <w:r w:rsidRPr="00A90898">
        <w:rPr>
          <w:i/>
        </w:rPr>
        <w:t>vid</w:t>
      </w:r>
      <w:r>
        <w:t>. disposiciones transitorias segunda y tercera y anexo III), no llegó a consolidarse, debido a que antes de finalizar su primer periodo regulatorio, y a la vista de las retribuciones alcanzadas, que se juzgaban excesivas, se abordó su modificación, como se expone a renglón seguido.</w:t>
      </w:r>
    </w:p>
    <w:p w:rsidR="00A90898" w:rsidRDefault="00A90898" w:rsidP="00A90898">
      <w:pPr>
        <w:pStyle w:val="TextoNormal"/>
      </w:pPr>
    </w:p>
    <w:p w:rsidR="00A90898" w:rsidRDefault="00A90898" w:rsidP="00A90898">
      <w:pPr>
        <w:pStyle w:val="TextoNormal"/>
      </w:pPr>
      <w:r>
        <w:t xml:space="preserve">c) A tal efecto, el Real Decreto-ley 13/2012 vino a “abordar con carácter de urgencia, una batería de medidas con el objetivo último de suprimir los desajustes entre ingresos y costes de los sistemas eléctrico y gasista” (apartado VII de la exposición de motivos), modificando a la baja la retribución a la distribución de electricidad (al igual que hizo con el transporte). La principal medida partió de constatar que “en las actualizaciones que han venido realizándose a lo largo del periodo regulatorio no se ha descontado el valor de aquellos activos que se hayan amortizado o hayan sido transmitidos o cerrados a lo largo de dicho periodo. En ambos casos, tanto si su retribución está calculada por el método del margen o vía valoración de activos, nos encontramos con que no se ha tenido en cuenta en la retribución la presencia de activos ya amortizados por lo que procede la minoración de la retribución” (apartado X). Como segunda modificación, y con el fin de disponer de la información auditada en el momento de realizar la evaluación de la retribución correspondiente a nuevos activos puestos en servicio, se estableció que, con efectos en la retribución </w:t>
      </w:r>
      <w:r>
        <w:lastRenderedPageBreak/>
        <w:t>a percibir desde el 1 de enero del año 2012, el devengo de la retribución generado por instalaciones de distribución puestas en servicio el “año n” se iniciaría el 1 de enero del año “n+2”.</w:t>
      </w:r>
    </w:p>
    <w:p w:rsidR="00A90898" w:rsidRDefault="00A90898" w:rsidP="00A90898">
      <w:pPr>
        <w:pStyle w:val="TextoNormal"/>
      </w:pPr>
    </w:p>
    <w:p w:rsidR="00A90898" w:rsidRDefault="00A90898" w:rsidP="00A90898">
      <w:pPr>
        <w:pStyle w:val="TextoNormal"/>
      </w:pPr>
      <w:r>
        <w:t>Como resultado de ambas medidas, el Real Decreto-ley 13/2012 redujo la retribución de la actividad de distribución para el año 2012, “impulsando a la par, la reforma del procedimiento por el que se determina la retribución de la actividad de distribución con el fin de vincular la retribución a los activos en servicio no amortizados, eliminando bolsas de retribución no justificadas y ligando el incremento de retribución de la actividad en el ‘año n’ a los activos puestos en servicio el ‘año n-2’” (apartado X de la exposición de motivos). Por último, también se minoró la retribución percibida por las empresas distribuidoras en concepto de gestión comercial, puesto que la mayor parte de las funciones retribuidas por este concepto han pasado a ser realizadas por las empresas comercializadoras.</w:t>
      </w:r>
    </w:p>
    <w:p w:rsidR="00A90898" w:rsidRDefault="00A90898" w:rsidP="00A90898">
      <w:pPr>
        <w:pStyle w:val="TextoNormal"/>
      </w:pPr>
    </w:p>
    <w:p w:rsidR="00A90898" w:rsidRDefault="00A90898" w:rsidP="00A90898">
      <w:pPr>
        <w:pStyle w:val="TextoNormal"/>
      </w:pPr>
      <w:r>
        <w:t>Así las cosas, aun sin derogar expresamente el Real Decreto 222/2008, el Real Decreto-ley 13/2012 alteró sustancialmente su régimen retributivo, dadas las disfunciones detectadas en su desarrollo y la necesidad imperiosa de controlar los costes del sistema eléctrico. Por esta razón, el art. 5 del Real Decreto-ley instaba al Ministro de Industria, Energía y Turismo a elevar al Gobierno una propuesta de real decreto que reflejara los nuevos criterios establecidos por la norma de urgencia (para lo cual debería modificar o derogar el Real Decreto 222/2008), sin perjuicio de su inmediata aplicación al año 2012.</w:t>
      </w:r>
    </w:p>
    <w:p w:rsidR="00A90898" w:rsidRDefault="00A90898" w:rsidP="00A90898">
      <w:pPr>
        <w:pStyle w:val="TextoNormal"/>
      </w:pPr>
    </w:p>
    <w:p w:rsidR="00A90898" w:rsidRDefault="00A90898" w:rsidP="00A90898">
      <w:pPr>
        <w:pStyle w:val="TextoNormal"/>
      </w:pPr>
      <w:r>
        <w:t>d) Comoquiera que el déficit de tarifa continuaba sin reducirse (alcanzaba el importe de 26.062,51 millones de euros a fecha 10 de mayo de 2013), y tras unas especificaciones introducidas por el Real Decreto-ley 2/2013, de 1 de febrero, de medidas urgentes en el sistema eléctrico y el sector financiero, en cuanto al criterio de devengo de la retribución y la actualización conforme al IPC (para que su cálculo se efectúe a impuestos constantes sin alimentos no elaborados ni productos energéticos), el Real Decreto-ley 9/2013 estableció una nueva metodología de retribución de la actividad de distribución en la cual, a los criterios ya incorporados por los Reales Decretos-leyes 13/2012 y 2/2013, se añadieron, modificando el art. 16 de la Ley 54/1997, unas reglas complementarias, que su exposición de motivos (apartado II) resume así:</w:t>
      </w:r>
    </w:p>
    <w:p w:rsidR="00A90898" w:rsidRDefault="00A90898" w:rsidP="00A90898">
      <w:pPr>
        <w:pStyle w:val="TextoNormal"/>
      </w:pPr>
    </w:p>
    <w:p w:rsidR="00A90898" w:rsidRDefault="00A90898" w:rsidP="00A90898">
      <w:pPr>
        <w:pStyle w:val="TextoNormal"/>
      </w:pPr>
      <w:r>
        <w:t>“[E]n las metodologías de retribución de estas actividades [refiriéndose tanto a la distribución como al transporte] se considerarán los costes necesarios para realizar la actividad por una empresa eficiente y bien gestionada, mediante la aplicación de criterios homogéneos en todo el territorio español. En segundo lugar, se afirma que estos regímenes económicos permitirán una retribución adecuada a la de una actividad de bajo riesgo, puesto que las actividades de red no están expuestas directamente a los riesgos propios del mercado de producción y porque, con independencia de la situación de la demanda, los regímenes retributivos otorgan para las instalaciones en servicio una retribución durante la vida útil regulatoria de ésta, siempre que la misma se mantenga operativa. En aplicación de este último principio se establece una tasa de retribución de los activos ligada a las Obligaciones del Estado más un diferencial.”</w:t>
      </w:r>
    </w:p>
    <w:p w:rsidR="00A90898" w:rsidRDefault="00A90898" w:rsidP="00A90898">
      <w:pPr>
        <w:pStyle w:val="TextoNormal"/>
      </w:pPr>
    </w:p>
    <w:p w:rsidR="00A90898" w:rsidRDefault="00A90898" w:rsidP="00A90898">
      <w:pPr>
        <w:pStyle w:val="TextoNormal"/>
      </w:pPr>
      <w:r>
        <w:t>En lo que respecta a la aplicación temporal de los nuevos criterios de retribución, la exposición de motivos del Real Decreto-ley 9/2013 (apartado II) indica:</w:t>
      </w:r>
    </w:p>
    <w:p w:rsidR="00A90898" w:rsidRDefault="00A90898" w:rsidP="00A90898">
      <w:pPr>
        <w:pStyle w:val="TextoNormal"/>
      </w:pPr>
    </w:p>
    <w:p w:rsidR="00A90898" w:rsidRDefault="00A90898" w:rsidP="00A90898">
      <w:pPr>
        <w:pStyle w:val="TextoNormal"/>
      </w:pPr>
      <w:r>
        <w:lastRenderedPageBreak/>
        <w:t>“[N]o obstante, al aprobarse este real decreto-ley vencido el primer semestre del año, se ha optado por atribuir carácter definitivo a la parte proporcional de la retribución recogida en la Orden IET/221/2013, de 14 de febrero, hasta la entrada en vigor de este real decreto ley. Asimismo, a partir de dicha fecha, se establece una metodología transitoria que regirá hasta que se inicie el primer periodo regulatorio al amparo de los reales decretos de retribución previstos en los artículos 5 [para la distribución] y 6 [para el transporte] del Real Decreto-ley 13/2012, de 30 de marzo. Todo ello garantizará la aplicación de una tasa adecuada de retribución anual, en línea con lo establecido con carácter general.”</w:t>
      </w:r>
    </w:p>
    <w:p w:rsidR="00A90898" w:rsidRDefault="00A90898" w:rsidP="00A90898">
      <w:pPr>
        <w:pStyle w:val="TextoNormal"/>
      </w:pPr>
    </w:p>
    <w:p w:rsidR="00A90898" w:rsidRDefault="00A90898" w:rsidP="00A90898">
      <w:pPr>
        <w:pStyle w:val="TextoNormal"/>
      </w:pPr>
      <w:r>
        <w:t>Y, subrayando la finalidad de la medida, que no es otra que la reducción del déficit, continúa afirmando:</w:t>
      </w:r>
    </w:p>
    <w:p w:rsidR="00A90898" w:rsidRDefault="00A90898" w:rsidP="00A90898">
      <w:pPr>
        <w:pStyle w:val="TextoNormal"/>
      </w:pPr>
    </w:p>
    <w:p w:rsidR="00A90898" w:rsidRDefault="00A90898" w:rsidP="00A90898">
      <w:pPr>
        <w:pStyle w:val="TextoNormal"/>
      </w:pPr>
      <w:r>
        <w:t>“Las medidas relativas a la modificación del régimen retributivo para las instalaciones de régimen especial y para las actividades de transporte y distribución se adoptan con carácter de urgencia por la necesidad de reducir los costes del sistema con carácter inmediato al objeto de iniciar la corrección de los desajustes en este momento, evitando así que a final de año pudiera existir un nuevo desajuste entre los ingresos y costes del sistema.”</w:t>
      </w:r>
    </w:p>
    <w:p w:rsidR="00A90898" w:rsidRDefault="00A90898" w:rsidP="00A90898">
      <w:pPr>
        <w:pStyle w:val="TextoNormal"/>
      </w:pPr>
    </w:p>
    <w:p w:rsidR="00A90898" w:rsidRDefault="00A90898" w:rsidP="00A90898">
      <w:pPr>
        <w:pStyle w:val="TextoNormal"/>
      </w:pPr>
      <w:r>
        <w:t>e) Los criterios retributivos de la actividad distribuidora introducidos por los Reales Decretos-leyes 13/2012, 2/2013 y 9/2013 fueron incorporados a la nueva Ley del sector eléctrico, aprobada por Ley 24/2013, de 26 de diciembre, en cuyo preámbulo (apartado II) se vuelve a poner de manifiesto la grave situación derivada de la insuficiencia de la tarifa para hacer frente a los costes del sector y la necesidad de reducir los costes regulados, entre ellos el de distribución:</w:t>
      </w:r>
    </w:p>
    <w:p w:rsidR="00A90898" w:rsidRDefault="00A90898" w:rsidP="00A90898">
      <w:pPr>
        <w:pStyle w:val="TextoNormal"/>
      </w:pPr>
    </w:p>
    <w:p w:rsidR="00A90898" w:rsidRDefault="00A90898" w:rsidP="00A90898">
      <w:pPr>
        <w:pStyle w:val="TextoNormal"/>
      </w:pPr>
      <w:r>
        <w:t>“La notoriedad de la situación del déficit tarifario y la consecuente amenaza a la viabilidad misma del sistema eléctrico ha motivado la necesidad de acometer cambios importantes en el régimen retributivo de las actividades reguladas. Ante el deterioro progresivo de la sostenibilidad del sistema eléctrico, los sujetos del mismo no podían confiar legítimamente en la conservación de los parámetros que habían degenerado en la situación descrita y cualquier operador diligente podía anticipar la necesidad de estos cambios.</w:t>
      </w:r>
    </w:p>
    <w:p w:rsidR="00A90898" w:rsidRDefault="00A90898" w:rsidP="00A90898">
      <w:pPr>
        <w:pStyle w:val="TextoNormal"/>
      </w:pPr>
    </w:p>
    <w:p w:rsidR="00A90898" w:rsidRDefault="00A90898" w:rsidP="00A90898">
      <w:pPr>
        <w:pStyle w:val="TextoNormal"/>
      </w:pPr>
      <w:r>
        <w:t>Para las actividades con retribución regulada, la ley refuerza y clarifica los principios y criterios para el establecimiento de los regímenes retributivos, para los que se considerarán los costes necesarios para realizar la actividad por una empresa eficiente y bien gestionada, mediante la aplicación de criterios homogéneos en todo el territorio español. Estos regímenes económicos permitirán la obtención de rentabilidades adecuadas en relación con el riesgo de la actividad.”</w:t>
      </w:r>
    </w:p>
    <w:p w:rsidR="00A90898" w:rsidRDefault="00A90898" w:rsidP="00A90898">
      <w:pPr>
        <w:pStyle w:val="TextoNormal"/>
      </w:pPr>
    </w:p>
    <w:p w:rsidR="00A90898" w:rsidRDefault="00A90898" w:rsidP="00A90898">
      <w:pPr>
        <w:pStyle w:val="TextoNormal"/>
      </w:pPr>
      <w:r>
        <w:t>Los criterios retributivos de la Ley (art. 13.8) fueron desarrollados por el Real Decreto 1048/2013, de 27 de diciembre, por el que se establece la metodología para el cálculo de la retribución de la actividad de distribución de energía eléctrica, avanzando por la senda iniciada con los Reales Decretos-leyes 13/2012, 2/2013 y 9/2013, e incorporando otros factores como: i) un límite máximo a la inversión reconocida anualmente (se exige la presentación de un plan de inversiones, que debe ser aprobado administrativamente); ii) los parámetros y formulaciones que permitan lograr aumentos de eficiencia; iii) un incentivo a mejorar la calidad de servicio y reducir las pérdidas en la red; y iv) un nuevo incentivo para lograr una disminución de fraude de energía.</w:t>
      </w:r>
    </w:p>
    <w:p w:rsidR="00A90898" w:rsidRDefault="00A90898" w:rsidP="00A90898">
      <w:pPr>
        <w:pStyle w:val="TextoNormal"/>
      </w:pPr>
    </w:p>
    <w:p w:rsidR="00A90898" w:rsidRDefault="00A90898" w:rsidP="00A90898">
      <w:pPr>
        <w:pStyle w:val="TextoNormal"/>
      </w:pPr>
      <w:r>
        <w:t>Frente a los periodos regulatorios de cuatro años previstos en el Real Decreto 222/2008 (que se deroga expresamente, aun cuando ya había sido superado por las normas de urgencia a las que venimos refiriéndonos), el Real Decreto 1048/2013 establece periodos de seis años (art. 6.2), aunque, por excepción, su disposición adicional tercera anuncia, en consonancia con la disposición adicional décima de la Ley 24/2013, que el primer periodo regulatorio finalizará el 31 de diciembre de 2019, por lo que el primer sexenio regulatorio no dará comienzo hasta el 1 de enero de 2020.</w:t>
      </w:r>
    </w:p>
    <w:p w:rsidR="00A90898" w:rsidRDefault="00A90898" w:rsidP="00A90898">
      <w:pPr>
        <w:pStyle w:val="TextoNormal"/>
      </w:pPr>
    </w:p>
    <w:p w:rsidR="00A90898" w:rsidRDefault="00A90898" w:rsidP="00A90898">
      <w:pPr>
        <w:pStyle w:val="TextoNormal"/>
      </w:pPr>
      <w:r>
        <w:t>Pues bien, el primer periodo regulatorio al que es de aplicación el Real Decreto 1048/2013 ha dado comienzo en 2016, ya que su disposición transitoria primera considera como año de inicio el siguiente a aquel en que se aprueben las órdenes de valores unitarios de inversión y de operación y mantenimiento, lo que no ha tenido lugar hasta la Orden IET/2660/2015, de 11 de diciembre, por la que se aprueban las instalaciones tipo y los valores unitarios de referencia de inversión, de operación y mantenimiento por elemento de inmovilizado y los valores unitarios de retribución de otras tareas reguladas que se emplearán en el cálculo de la retribución de las empresas distribuidoras de energía eléctrica.</w:t>
      </w:r>
    </w:p>
    <w:p w:rsidR="00A90898" w:rsidRDefault="00A90898" w:rsidP="00A90898">
      <w:pPr>
        <w:pStyle w:val="TextoNormal"/>
      </w:pPr>
    </w:p>
    <w:p w:rsidR="00A90898" w:rsidRDefault="00A90898" w:rsidP="00A90898">
      <w:pPr>
        <w:pStyle w:val="TextoNormal"/>
      </w:pPr>
      <w:r>
        <w:t>Conforme a lo que antecede, la metodología del Real Decreto-ley 9/2013 ha determinado la retribución aplicable en: i) el segundo periodo de 2013 (Orden IET/2442/2013, de 26 de diciembre, por la que se establecen las retribuciones del segundo periodo de 2013, conforme a la metodología del anexo I del Real Decreto-ley); ii) el año 2014 (Orden IET/107/2014, de 31 de enero, por la que se revisan los peajes de acceso de energía eléctrica para 2014, siguiendo lo dispuesto en el anexo II del Real Decreto-ley); iii) y en el año 2015 (Orden IET/2444/2014, de 19 de diciembre, por la que se determinan los peajes de acceso de energía eléctrica para 2015, también de conformidad con el anexo II de la citada norma).</w:t>
      </w:r>
    </w:p>
    <w:p w:rsidR="00A90898" w:rsidRDefault="00A90898" w:rsidP="00A90898">
      <w:pPr>
        <w:pStyle w:val="TextoNormal"/>
      </w:pPr>
    </w:p>
    <w:p w:rsidR="00A90898" w:rsidRDefault="00A90898" w:rsidP="00A90898">
      <w:pPr>
        <w:pStyle w:val="TextoNormal"/>
      </w:pPr>
      <w:r>
        <w:t>f) A partir de lo hasta ahora expuesto, se puede concluir que el régimen económico de la distribución de electricidad ha estado sometido a múltiples cambios normativos en los últimos años, motivados fundamentalmente por la necesidad de asegurar la sostenibilidad financiera del sistema eléctrico, ajustando los costes regulados a la situación de cada momento. En particular, y por lo que concierne a este proceso constitucional, debemos enfatizar que en 2009 se inició un periodo regulatorio con una duración prevista de cuatro años y que había de finalizar en 2012, no obstante lo cual ya en el último año del periodo (2012) el Real Decreto-ley 13/2012 modificó las retribuciones para ajustarlas a la baja mediante la exclusión de los activos amortizados, por lo que el primer periodo previsto en el Real Decreto 222/2008 ni siquiera llegó a completarse. En concreto, para las pequeñas distribuidoras, como es el caso de Distribuidora Eléctrica Carrión, S.L., la retribución global de 373.067.326 € inicialmente prevista para 2012 en la Orden IET/3586/2011, de 30 de diciembre, se redujo hasta el importe de 340.811.777 euros (art. 5.4 del Real Decreto-ley 13/2012), lo que representa un ajuste del 8,64 por 100.</w:t>
      </w:r>
    </w:p>
    <w:p w:rsidR="00A90898" w:rsidRDefault="00A90898" w:rsidP="00A90898">
      <w:pPr>
        <w:pStyle w:val="TextoNormal"/>
      </w:pPr>
    </w:p>
    <w:p w:rsidR="00A90898" w:rsidRDefault="00A90898" w:rsidP="00A90898">
      <w:pPr>
        <w:pStyle w:val="TextoNormal"/>
      </w:pPr>
      <w:r>
        <w:t xml:space="preserve">Por otra parte, en 2013 no empezó un nuevo periodo, sino que se aprobó una retribución provisional a comienzos de año (Orden IET/221/2013) que ya reflejaba los criterios más restrictivos del Real Decreto-ley 13/2012 (sobre todo, la exclusión de las inversiones amortizadas), de modo que, en el caso de las distribuidoras con menos de 100.000 clientes, la retribución global para 2013 se calculó mediante la actualización del importe establecido para 2012, lo que arrojó una retribución total en 2013 de 349.567.274 €, cantidad que, a su </w:t>
      </w:r>
      <w:r>
        <w:lastRenderedPageBreak/>
        <w:t>vez, sería reducida como consecuencia de la aprobación, a mitad de año, del Real Decreto-ley 9/2013, cuya metodología fue aplicada, como hemos adelantado, en el segundo periodo de 2013 y en los años 2014 y 2015, resultando unas retribuciones de las pequeñas compañías de 324.277.102 € en 2013 (agregando los dos tramos en que se dividió el 2013), 321.304.297 € en 2014 y 329.339.633 € en 2015, todas ellas por debajo de los 373.067.326 €, inicialmente aprobados en el marco del periodo regulatorio del Real Decreto 222/2008). De este modo, a comienzos de 2012 se interrumpió anticipadamente el periodo 2009-2012 y se inició una senda de retribución decreciente durante los años 2012, 2013 y 2014, volviendo a crecer en 2015, pero situada todavía en un nivel inferior al que habían alcanzado en 2011.</w:t>
      </w:r>
    </w:p>
    <w:p w:rsidR="00A90898" w:rsidRDefault="00A90898" w:rsidP="00A90898">
      <w:pPr>
        <w:pStyle w:val="TextoNormal"/>
      </w:pPr>
    </w:p>
    <w:p w:rsidR="00A90898" w:rsidRDefault="00A90898" w:rsidP="00A90898">
      <w:pPr>
        <w:pStyle w:val="TextoNormal"/>
      </w:pPr>
      <w:r>
        <w:t>Por tanto, resulta fundamental resaltar que entre 2012 y 2015, ambos inclusive, la cuantía de la retribución se aprobó en normas con rango de ley (los reales decretos-leyes mencionados) y no por la metodología del Real Decreto 222/2008, sin que tuviera continuidad el sistema de periodos regulatorios previsto en el mismo. Y hasta 2016 no se ha reiniciado el sistema de periodos, siendo ahora de seis años de duración, en aplicación del Real Decreto 1048/2013. De esta forma, desde que el 30 de marzo de 2012 se aprobó el Real Decreto-ley 13/2012 ya no era posible asegurar que en 2013 se fuera a iniciar un nuevo periodo, ni siquiera que el sistema retributivo fuera a ser el método de las instalaciones.</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Una vez expuesto en el fundamento anterior el complejo </w:t>
      </w:r>
      <w:r w:rsidRPr="00A90898">
        <w:rPr>
          <w:i/>
        </w:rPr>
        <w:t>iter</w:t>
      </w:r>
      <w:r>
        <w:t xml:space="preserve"> normativo por el que ha atravesado en los últimos años el régimen económico de la actividad de distribución de electricidad, y contextualizada así la controversia, es menester recordar nuestra doctrina sobre el principio de seguridad jurídica, en su vertiente de la confianza legítima, acerca del que nos hemos pronunciado poniéndolo habitualmente en conexión con la aplicación retroactiva (en mayor o menor grado) de un cambio normativo.</w:t>
      </w:r>
    </w:p>
    <w:p w:rsidR="00A90898" w:rsidRDefault="00A90898" w:rsidP="00A90898">
      <w:pPr>
        <w:pStyle w:val="TextoNormal"/>
      </w:pPr>
    </w:p>
    <w:p w:rsidR="00A90898" w:rsidRDefault="00A90898" w:rsidP="00A90898">
      <w:pPr>
        <w:pStyle w:val="TextoNormal"/>
      </w:pPr>
      <w:r>
        <w:t>a) Este Tribunal ha venido manteniendo desde hace muchos años que el principio de seguridad jurídica no puede entenderse como un derecho de los ciudadanos al mantenimiento de un determinado régimen (STC 126/1987, FJ 11, en relación un cambio en una norma fiscal), interpretación que hemos aplicado en general a cualquier ámbito normativo, razonando que la seguridad jurídica y la confianza legítima que de ella deriva, no “permiten consagrar un pretendido derecho a la congelación del ordenamiento jurídico existente” (SSTC 182/1997, de 28 de octubre, FJ 13, y 183/2014, de 6 de noviembre, FJ 3).</w:t>
      </w:r>
    </w:p>
    <w:p w:rsidR="00A90898" w:rsidRDefault="00A90898" w:rsidP="00A90898">
      <w:pPr>
        <w:pStyle w:val="TextoNormal"/>
      </w:pPr>
    </w:p>
    <w:p w:rsidR="00A90898" w:rsidRDefault="00A90898" w:rsidP="00A90898">
      <w:pPr>
        <w:pStyle w:val="TextoNormal"/>
      </w:pPr>
      <w:r>
        <w:t xml:space="preserve">Por su parte, en la STC 234/2001, de 13 de diciembre, FJ 9, en la que se enjuiciaba la supresión de una exención tributaria, afirmábamos que “el principio de seguridad jurídica protege la confianza de los ciudadanos que ajustan su conducta económica a la legislación vigente frente a cambios normativos que no sean razonablemente previsibles”, añadiendo que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y 104/2000, de 13 de abril, FJ 7)”. Asimismo, en el fundamento jurídico 10 de dicha STC 234/2001 aseverábamos que la vulneración de “la seguridad jurídica de los ciudadanos es una cuestión que sólo puede resolverse caso por caso, teniendo en cuenta, de un lado, el grado de retroactividad de la norma y, de otro, las circunstancias que </w:t>
      </w:r>
      <w:r>
        <w:lastRenderedPageBreak/>
        <w:t>concurran en cada supuesto (SSTC 126/1987, de 16 de julio, FJ 11; 150/1990, de 4 de octubre, FJ 8; 197/1992, de 19 de noviembre, FJ 4; 173/1996, de 31 de octubre, FJ 3, y 182/1997, de 28 de octubre, FJ 11)”.</w:t>
      </w:r>
    </w:p>
    <w:p w:rsidR="00A90898" w:rsidRDefault="00A90898" w:rsidP="00A90898">
      <w:pPr>
        <w:pStyle w:val="TextoNormal"/>
      </w:pPr>
    </w:p>
    <w:p w:rsidR="00A90898" w:rsidRDefault="00A90898" w:rsidP="00A90898">
      <w:pPr>
        <w:pStyle w:val="TextoNormal"/>
      </w:pPr>
      <w:r>
        <w:t>En la misma línea, en la STC 237/2012, de 13 de diciembre, FJ 6, resolviendo el recurso de recurso de inconstitucionalidad interpuesto contra el Real Decreto-ley 2/2004, referido al plan hidrológico nacional, matizábamos que el principio de confianza legítima “deberá ponderarse junto con otros principios y valores, mas no constituye un obstáculo infranqueable para el legislador, aquí del legislador de urgencia, so pena de incurrir en el riesgo de petrificación del ordenamiento jurídico. Es indudable que el panorama de las normas jurídicas vigentes en cada momento incide en la forma como los ciudadanos programan sus conductas, como también lo es que determinadas modificaciones de algunas de las partes constitutivas de ese panorama podrán generar perjuicios a los ciudadanos y dar lugar, en su caso, a la correspondiente indemnización. Sin embargo, lo que no cabe es equiparar esa eventual garantía de indemnidad con un pretendido derecho subjetivo a la inmutabilidad del ordenamiento jurídico”.</w:t>
      </w:r>
    </w:p>
    <w:p w:rsidR="00A90898" w:rsidRDefault="00A90898" w:rsidP="00A90898">
      <w:pPr>
        <w:pStyle w:val="TextoNormal"/>
      </w:pPr>
    </w:p>
    <w:p w:rsidR="00A90898" w:rsidRDefault="00A90898" w:rsidP="00A90898">
      <w:pPr>
        <w:pStyle w:val="TextoNormal"/>
      </w:pPr>
      <w:r>
        <w:t>b) Ya específicamente para el sector eléctrico, al resolver mediante la STC 270/2015, de reiterada cita por las partes, el recurso de inconstitucionalidad núm. 5347-2013 interpuesto contra los preceptos del Real Decreto-ley 9/2013, que establecen un nuevo régimen retributivo para las instalaciones de producción de energía eléctrica existentes a partir de fuentes de energía renovable, cogeneración y residuos, y reducir la retribución de dichas actividades, a semejanza de lo que hacen los artículos 3.1 y 4 de dicha norma, aquí enjuiciados, para la actividad de distribución, hemos constatado lo siguiente:</w:t>
      </w:r>
    </w:p>
    <w:p w:rsidR="00A90898" w:rsidRDefault="00A90898" w:rsidP="00A90898">
      <w:pPr>
        <w:pStyle w:val="TextoNormal"/>
      </w:pPr>
    </w:p>
    <w:p w:rsidR="00A90898" w:rsidRDefault="00A90898" w:rsidP="00A90898">
      <w:pPr>
        <w:pStyle w:val="TextoNormal"/>
      </w:pPr>
      <w:r>
        <w:t>“[E]l principio de confianza legítima es compatible con las modificaciones en el régimen retributivo de las energías renovables realizado por el Real Decreto-ley 9/2013, más aún —como sucede en el presente caso—, en un ámbito sujeto a un elevada intervención administrativa en virtud de su incidencia en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w:t>
      </w:r>
    </w:p>
    <w:p w:rsidR="00A90898" w:rsidRDefault="00A90898" w:rsidP="00A90898">
      <w:pPr>
        <w:pStyle w:val="TextoNormal"/>
      </w:pPr>
    </w:p>
    <w:p w:rsidR="00A90898" w:rsidRDefault="00A90898" w:rsidP="00A90898">
      <w:pPr>
        <w:pStyle w:val="TextoNormal"/>
      </w:pPr>
      <w:r>
        <w:t>Los cambios legislativos producidos no pueden ser cuestionados desde la óptica del principio de confianza legítima. Este principio no protege de modo absoluto la estabilidad regulatoria, ni la inmutabilidad de las normas precedentes, máxime en el contexto en que se promulgó el Real Decreto-ley que ahora se enjuicia, es decir, de dificultades económicas y de crecimiento del déficit del sistema eléctrico. Los principios de seguridad jurídica y su corolario, el de confianza legítima, no suponen el derecho de los actores económicos a la permanencia de la regulación existente en un momento dado en un determinado sector de actividad. Dicha estabilidad regulatoria es compatible con cambios legislativos, cuando sean previsibles y derivados de exigencias claras del interés general.” (STC 270/2015, FJ 7).</w:t>
      </w:r>
    </w:p>
    <w:p w:rsidR="00A90898" w:rsidRDefault="00A90898" w:rsidP="00A90898">
      <w:pPr>
        <w:pStyle w:val="TextoNormal"/>
      </w:pPr>
    </w:p>
    <w:p w:rsidR="00A90898" w:rsidRDefault="00A90898" w:rsidP="00A90898">
      <w:pPr>
        <w:pStyle w:val="TextoNormal"/>
      </w:pPr>
      <w:r>
        <w:t>Y continuábamos indicando, por lo que concierne a la previsibilidad del recorte de las primas a la producción de electricidad mediante tecnologías no convencionales, lo siguiente:</w:t>
      </w:r>
    </w:p>
    <w:p w:rsidR="00A90898" w:rsidRDefault="00A90898" w:rsidP="00A90898">
      <w:pPr>
        <w:pStyle w:val="TextoNormal"/>
      </w:pPr>
    </w:p>
    <w:p w:rsidR="00A90898" w:rsidRDefault="00A90898" w:rsidP="00A90898">
      <w:pPr>
        <w:pStyle w:val="TextoNormal"/>
      </w:pPr>
      <w:r>
        <w:t xml:space="preserve">“A este respecto, las medidas cuestionadas implican, ciertamente, una modificación respecto del régimen anterior, decisión que el legislador de urgencia adopta a la vista de la </w:t>
      </w:r>
      <w:r>
        <w:lastRenderedPageBreak/>
        <w:t>situación en la que se encontraba el sistema eléctrico. No cabe calificar de inesperada la modificación producida,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 No cabe, por tanto, argumentar que la modificación del régimen retributivo que se examina fuera imprevisible para un ‘operador económico prudente y diligente’, atendiendo a las circunstancias económicas y a la insuficiencia de las medidas adoptadas para reducir un déficit persistente y continuamente al alza del sistema eléctrico no suficientemente atajado con disposiciones anteriores.” (STC 270/2015, FJ 7).</w:t>
      </w:r>
    </w:p>
    <w:p w:rsidR="00A90898" w:rsidRDefault="00A90898" w:rsidP="00A90898">
      <w:pPr>
        <w:pStyle w:val="TextoNormal"/>
      </w:pPr>
    </w:p>
    <w:p w:rsidR="00A90898" w:rsidRDefault="00A90898" w:rsidP="00A90898">
      <w:pPr>
        <w:pStyle w:val="TextoNormal"/>
      </w:pPr>
      <w:r>
        <w:t>De tal forma que encontrábamos justificada la medida de rebaja de la retribución debido a la situación de déficit tarifario, agravado por la crisis económica en cuyo contexto se aprobó el Real Decreto-ley 9/2013:</w:t>
      </w:r>
    </w:p>
    <w:p w:rsidR="00A90898" w:rsidRDefault="00A90898" w:rsidP="00A90898">
      <w:pPr>
        <w:pStyle w:val="TextoNormal"/>
      </w:pPr>
    </w:p>
    <w:p w:rsidR="00A90898" w:rsidRDefault="00A90898" w:rsidP="00A90898">
      <w:pPr>
        <w:pStyle w:val="TextoNormal"/>
      </w:pPr>
      <w:r>
        <w:t>“En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Ello hace particularmente inviable la pretensión de que los elementos más favorables de su régimen económico estén investidos de una pretensión de permanencia e inalterabilidad en el tiempo, pues es precisamente la protección de esos intereses generales la premisa que obliga a los poderes públicos a adaptar su regulación al cambio de las circunstancias.” (STC 270/2015, FJ 7).</w:t>
      </w:r>
    </w:p>
    <w:p w:rsidR="00A90898" w:rsidRDefault="00A90898" w:rsidP="00A90898">
      <w:pPr>
        <w:pStyle w:val="TextoNormal"/>
      </w:pPr>
    </w:p>
    <w:p w:rsidR="00A90898" w:rsidRDefault="00A90898" w:rsidP="00A90898">
      <w:pPr>
        <w:pStyle w:val="TextoNormal"/>
      </w:pPr>
      <w:r>
        <w:t>Por todo lo cual concluíamos que la reforma del sistema de primas a la producción de electricidad por tecnologías no convencionales se enmarcaba en el margen de configuración del legislador, que tiene plena libertad para elegir entre las distintas opciones posibles, dentro de la Constitución.</w:t>
      </w:r>
    </w:p>
    <w:p w:rsidR="00A90898" w:rsidRDefault="00A90898" w:rsidP="00A90898">
      <w:pPr>
        <w:pStyle w:val="TextoNormal"/>
      </w:pPr>
    </w:p>
    <w:p w:rsidR="00A90898" w:rsidRDefault="00A90898" w:rsidP="00A90898">
      <w:pPr>
        <w:pStyle w:val="TextoNormal"/>
      </w:pPr>
      <w:r>
        <w:t>Baste, por último, recordar que hemos reiterado la doctrina de la STC 270/2015 en las SSTC 19/2016, de 4 de febrero; 29/2016, de 18 de febrero; 30/2016, de 18 de febrero; 42/2016, de 3 de marzo, y 61/2016, de 17 de marzo, por las que se resuelven distintos recursos presentados contra los mismos preceptos del Real Decreto-ley 9/2013.</w:t>
      </w:r>
    </w:p>
    <w:p w:rsidR="00A90898" w:rsidRDefault="00A90898" w:rsidP="00A90898">
      <w:pPr>
        <w:pStyle w:val="TextoNormal"/>
      </w:pPr>
    </w:p>
    <w:p w:rsidR="00A90898" w:rsidRDefault="00A90898" w:rsidP="00A90898">
      <w:pPr>
        <w:pStyle w:val="TextoNormal"/>
      </w:pPr>
      <w:r w:rsidRPr="00A90898">
        <w:rPr>
          <w:rStyle w:val="NumeroAFNegritaCaracter"/>
        </w:rPr>
        <w:t>5</w:t>
      </w:r>
      <w:r>
        <w:t>. A la luz de nuestra doctrina sobre el principio de confianza legítima, sintetizada en el anterior fundamento, y de los cambios regulatorios en el subsector de la distribución descritos en el fundamento jurídico 3, nos encontramos ya en disposición de responder a la duda de constitucionalidad que se plantea sobre la previsión del Real Decreto-ley 9/2013 en virtud de la cual el cálculo de las retribuciones correspondientes a 2013 y 2014 (previsión que también se aplicó a 2015) solo tiene en cuenta las instalaciones valoradas en el periodo anterior (2009-2012) y que, a juicio de la Sala, puede vulnerar el referido principio.</w:t>
      </w:r>
    </w:p>
    <w:p w:rsidR="00A90898" w:rsidRDefault="00A90898" w:rsidP="00A90898">
      <w:pPr>
        <w:pStyle w:val="TextoNormal"/>
      </w:pPr>
    </w:p>
    <w:p w:rsidR="00A90898" w:rsidRDefault="00A90898" w:rsidP="00A90898">
      <w:pPr>
        <w:pStyle w:val="TextoNormal"/>
      </w:pPr>
      <w:r>
        <w:t xml:space="preserve">a) Importa subrayar que no es la reducción de las retribuciones de las empresas distribuidoras [en los importes que, para el caso de las pequeñas empresas, hemos indicado en el fundamento jurídico 3 f) anterior], ni su posible efecto retroactivo (en cuanto minora la retribución de inversiones ya ejecutadas) lo que suscita las dudas del órgano judicial, sino el retraso en el inicio de un nuevo periodo regulatorio, que, habiendo debido comenzar en 2013, de acuerdo con el Real Decreto 222/2008, lo hizo en 2016, manteniéndose entretanto </w:t>
      </w:r>
      <w:r>
        <w:lastRenderedPageBreak/>
        <w:t>las insuficiencias en el inventario de instalaciones a raíz de los errores o inexactitudes en las declaraciones efectuadas por las empresas en 2008 y, en concreto, por Distribuidora Eléctrica Carrión, S.L.</w:t>
      </w:r>
    </w:p>
    <w:p w:rsidR="00A90898" w:rsidRDefault="00A90898" w:rsidP="00A90898">
      <w:pPr>
        <w:pStyle w:val="TextoNormal"/>
      </w:pPr>
    </w:p>
    <w:p w:rsidR="00A90898" w:rsidRDefault="00A90898" w:rsidP="00A90898">
      <w:pPr>
        <w:pStyle w:val="TextoNormal"/>
      </w:pPr>
      <w:r>
        <w:t>Mas es fácil advertir que el principio de confianza legítima viene anudado a la realización de conductas, tal como inversiones, que no se habrían llevado a cabo, o se habrían realizado en cuantía o condiciones diferentes en caso de haberse conocido que el panorama normativo conforme al que se adoptaron iba a mudar; o bien al hecho de que el retorno económico de una inversión (entre otras posibles conductas) se reduzca a resultas de un cambio regulatorio imprevisible. Por esta razón, y según se refleja en nuestra doctrina, antes extractada, el principio de confianza legítima se ha conectado habitualmente con la aplicación retroactiva de un nuevo régimen jurídico, pues “el panorama de las normas jurídicas vigentes en cada momento incide en la forma como los ciudadanos programan sus conductas” (STC 237/2012, FJ 6) y los operadores “ajustan su conducta económica a la legislación vigente” (STC 234/2001, FJ 9).</w:t>
      </w:r>
    </w:p>
    <w:p w:rsidR="00A90898" w:rsidRDefault="00A90898" w:rsidP="00A90898">
      <w:pPr>
        <w:pStyle w:val="TextoNormal"/>
      </w:pPr>
    </w:p>
    <w:p w:rsidR="00A90898" w:rsidRDefault="00A90898" w:rsidP="00A90898">
      <w:pPr>
        <w:pStyle w:val="TextoNormal"/>
      </w:pPr>
      <w:r>
        <w:t xml:space="preserve">Conforme a lo expuesto, no cabe una invocación en abstracto de la confianza legítima cuando no estamos frente a conductas, decisiones o actuaciones que se puedan considerar defraudadas o cuyos resultados se hayan visto alterados </w:t>
      </w:r>
      <w:r w:rsidRPr="00A90898">
        <w:rPr>
          <w:i/>
        </w:rPr>
        <w:t>a posteriori</w:t>
      </w:r>
      <w:r>
        <w:t>. Si lo único que se aduce respecto a las normas aquí impugnadas es que retrasaron la revisión de los parámetros de base de la retribución, particularmente del inventario sobre el que se calculó el año de referencia, y que se retrasó tres años más el inicio de un nuevo periodo regulatorio, pero sin que la actuación de la recurrente haya variado por ello, solo podemos concluir que el principio de confianza legítima no se ha visto afectado, toda vez que falta una “conducta económica” ajustada a una normativa que pueda ampararse en el art. 9.3 CE.</w:t>
      </w:r>
    </w:p>
    <w:p w:rsidR="00A90898" w:rsidRDefault="00A90898" w:rsidP="00A90898">
      <w:pPr>
        <w:pStyle w:val="TextoNormal"/>
      </w:pPr>
    </w:p>
    <w:p w:rsidR="00A90898" w:rsidRDefault="00A90898" w:rsidP="00A90898">
      <w:pPr>
        <w:pStyle w:val="TextoNormal"/>
      </w:pPr>
      <w:r>
        <w:t>Por otro lado, si difícil es entender que en 2008 una empresa desconozca una parte sustancial de su inmovilizado material, más lo es admitir que unas instalaciones que ni estaban contabilizadas ni, en buena lógica, le generaban costes (ni corrientes ni de inversión), sí le otorgaran, en cambio, derecho a una retribución con cargo al sistema eléctrico. Además, tratándose de instalaciones antiguas (esta es una de las razones que aduce la empresa para justificar el error de inventario), parece natural deducir que se encontraban ya amortizadas, debiéndose recordar que precisamente una de las innovaciones del Real Decreto-ley 13/2012, en la que profundizaron las reformas subsiguientes, fue excluir las instalaciones amortizadas de la retribución garantizada por el Estado, para evitar de este modo retribuciones excesivas que no hacían sino incrementar el abultado déficit del sistema.</w:t>
      </w:r>
    </w:p>
    <w:p w:rsidR="00A90898" w:rsidRDefault="00A90898" w:rsidP="00A90898">
      <w:pPr>
        <w:pStyle w:val="TextoNormal"/>
      </w:pPr>
    </w:p>
    <w:p w:rsidR="00A90898" w:rsidRDefault="00A90898" w:rsidP="00A90898">
      <w:pPr>
        <w:pStyle w:val="TextoNormal"/>
      </w:pPr>
      <w:r>
        <w:t>Por consiguiente, si en la STC 270/2015 descartamos la quiebra del principio de confianza legítima por el cambio retributivo aplicado a las inversiones en instalaciones de producción de energía eléctrica existentes a partir de fuentes de energía renovable, cogeneración y residuos, con mayor motivo hemos de hacerlo en el presente caso, en el que ni siquiera cabe apreciar que se hayan llevado a cabo actuaciones “en la confianza” del mantenimiento de un determinado régimen jurídico.</w:t>
      </w:r>
    </w:p>
    <w:p w:rsidR="00A90898" w:rsidRDefault="00A90898" w:rsidP="00A90898">
      <w:pPr>
        <w:pStyle w:val="TextoNormal"/>
      </w:pPr>
    </w:p>
    <w:p w:rsidR="00A90898" w:rsidRDefault="00A90898" w:rsidP="00A90898">
      <w:pPr>
        <w:pStyle w:val="TextoNormal"/>
      </w:pPr>
      <w:r>
        <w:t xml:space="preserve">b) En todo caso, es conveniente aclarar que, a pesar de las dudas del Auto de planteamiento sobre la finalidad de las previsiones de los arts. 3.1 y 4 (y anexos I y II) del Real Decreto-ley 9/2013, estas van enderezadas a reducir el déficit de tarifa, al igual que el art. </w:t>
      </w:r>
      <w:r>
        <w:lastRenderedPageBreak/>
        <w:t>1, apartados dos y tres, las disposiciones adicional primera, transitoria tercera y final segunda del mismo Real Decreto-ley cuya constitucionalidad sancionamos en la STC 270/2015. Así se desprende de lo expuesto en el anterior fundamento jurídico 3, en el que hemos analizado cómo el Real Decreto-ley 13/2012 comenzó excluyendo de la retribución las inversiones amortizadas y posteriormente el Real Decreto-ley 9/2013 prorrogó la retribución ajustada aprobada por aquel, añadiendo otros criterios restrictivos basados en el patrón de la “empresa eficiente y bien gestionada” y en el tratamiento de la distribución como una actividad de bajo riesgo. Poco más tarde, la Ley 24/2013 y el Real Decreto 1048/2013 avanzarían en esta línea, supeditando la retribución de las inversiones a su previa aprobación por la Administración y estableciendo un límite anual máximo a la inversión reconocida. Y, según se ha hecho constar en el anterior fundamento jurídico 3 f), durante los años 2012 a 2015 las retribuciones de las distribuidoras tuvieron que reducirse respecto de las derivadas del Real Decreto 222/2008, cuya metodología se probó insostenible en el tiempo. En suma, los arts. 3.1 y 4 (junto con los anexos I y II a los que se remiten) del Real Decreto-ley 9/2013 se incardinan en un conjunto de normas presididas por la necesidad imperiosa de reequilibrar el sector, que aquí afectan al subsector de la distribución de electricidad, a partir de la idea de “reparto de esfuerzos” a la que aluden todas las normas de urgencia aprobadas y de la que nos hemos hecho eco en nuestra reciente STC 167/2016, de 6 de octubre.</w:t>
      </w:r>
    </w:p>
    <w:p w:rsidR="00A90898" w:rsidRDefault="00A90898" w:rsidP="00A90898">
      <w:pPr>
        <w:pStyle w:val="TextoNormal"/>
      </w:pPr>
    </w:p>
    <w:p w:rsidR="00A90898" w:rsidRDefault="00A90898" w:rsidP="00A90898">
      <w:pPr>
        <w:pStyle w:val="TextoNormal"/>
      </w:pPr>
      <w:r>
        <w:t>En dicho proceso de ajuste de retribuciones, y partiendo de los razonamientos de la STC 270/2015, el retraso en el inicio del nuevo periodo y, con ello, del cálculo de un nuevo inventario, hasta que se consolidara el sistema retributivo adaptado a la situación económica existente y a la evolución del déficit tarifario, es una opción razonable que se inscribe en el margen de configuración del legislador de urgencia. Dada la necesidad de ajustes, resulta justificado que se diera preferencia a aplicar los nuevos criterios de retribución a las instalaciones ya contabilizadas y declaradas que a revisar las posibles omisiones de inventario del pasado.</w:t>
      </w:r>
    </w:p>
    <w:p w:rsidR="00A90898" w:rsidRDefault="00A90898" w:rsidP="00A90898">
      <w:pPr>
        <w:pStyle w:val="TextoNormal"/>
      </w:pPr>
    </w:p>
    <w:p w:rsidR="00A90898" w:rsidRDefault="00A90898" w:rsidP="00A90898">
      <w:pPr>
        <w:pStyle w:val="TextoNormal"/>
      </w:pPr>
      <w:r>
        <w:t>En conclusión, no solo falta la “conducta” que hubiera variado en caso de conocer el cambio normativo, sino que un “operador económico prudente y diligente”, ya desde la aprobación del Real Decreto 13/2012, el 30 de marzo de dicho año, podía constatar que la necesidad de introducir recortes en la retribución de la distribución eléctrica obligaba a dar por superado el esquema del Real Decreto 222/2008, cuya propia provisionalidad lo hacía objetivamente inapto para generar cualquier tipo de expectativa encuadrable en el principio de confianza legítima constitucionalmente garantizado.</w:t>
      </w:r>
    </w:p>
    <w:p w:rsidR="00A90898" w:rsidRDefault="00A90898" w:rsidP="00A90898">
      <w:pPr>
        <w:pStyle w:val="TextoNormal"/>
      </w:pPr>
    </w:p>
    <w:p w:rsidR="00A90898" w:rsidRDefault="00A90898" w:rsidP="00A90898">
      <w:pPr>
        <w:pStyle w:val="TextoNormal"/>
      </w:pPr>
      <w:r>
        <w:t>Por todo lo cual, debemos concluir que los arts. 3.1 y 4 (y anexos I y II) del Real Decreto-ley 9/2013 no han infringido el principio de seguridad jurídica del art. 9.3 CE, en la vertiente de la confianza legítima.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Desestimar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veinte de octubre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1" w:name="SENTENCIA_2016_182"/>
      <w:r>
        <w:lastRenderedPageBreak/>
        <w:t>SENTENCIA 182/2016, de 3 de noviembre de 2016</w:t>
      </w:r>
    </w:p>
    <w:bookmarkEnd w:id="61"/>
    <w:p w:rsidR="00A90898" w:rsidRDefault="00A90898" w:rsidP="00A90898">
      <w:pPr>
        <w:pStyle w:val="TtuloResolucin"/>
      </w:pPr>
      <w:r>
        <w:t>Pleno</w:t>
      </w:r>
    </w:p>
    <w:p w:rsidR="00A90898" w:rsidRDefault="00A90898" w:rsidP="00A90898">
      <w:pPr>
        <w:pStyle w:val="TtuloBOE"/>
      </w:pPr>
      <w:r>
        <w:t>(BOE núm. 299, de 12 de diciembre de 2016)</w:t>
      </w:r>
    </w:p>
    <w:p w:rsidR="00A90898" w:rsidRDefault="00A90898" w:rsidP="00A90898">
      <w:pPr>
        <w:pStyle w:val="TextoNormalCentrado"/>
      </w:pPr>
      <w:r>
        <w:t>ECLI:ES:TC:2016:182</w:t>
      </w:r>
    </w:p>
    <w:p w:rsidR="00A90898" w:rsidRDefault="00A90898" w:rsidP="00A90898">
      <w:pPr>
        <w:pStyle w:val="TextoNormalCentrado"/>
      </w:pPr>
    </w:p>
    <w:p w:rsidR="00A90898" w:rsidRDefault="00A90898" w:rsidP="00A90898">
      <w:pPr>
        <w:pStyle w:val="SntesisDescriptiva"/>
      </w:pPr>
      <w:r>
        <w:t>Recurso de inconstitucionalidad 5252-2011. Interpuesto por la Junta de Galicia en relación con diversos preceptos de la Ley 40/2010, de 29 de diciembre, de almacenamiento geológico de dióxido de carbono.</w:t>
      </w:r>
    </w:p>
    <w:p w:rsidR="00A90898" w:rsidRDefault="00A90898" w:rsidP="00A90898">
      <w:pPr>
        <w:pStyle w:val="SntesisDescriptiva"/>
      </w:pPr>
    </w:p>
    <w:p w:rsidR="00A90898" w:rsidRDefault="00A90898" w:rsidP="00A90898">
      <w:pPr>
        <w:pStyle w:val="SntesisAnaltica"/>
      </w:pPr>
      <w:r>
        <w:t>Competencias sobre ordenación general de la economía, ordenación del territorio y del litoral, medio ambiente y minas: constitucionalidad de los preceptos legales que reservan a la Administración del Estado la concesión de almacenamiento (STC 165/2016). Voto particular.</w:t>
      </w:r>
    </w:p>
    <w:p w:rsidR="00A90898" w:rsidRDefault="00A90898" w:rsidP="00A90898">
      <w:pPr>
        <w:pStyle w:val="SntesisAnaltica"/>
      </w:pPr>
    </w:p>
    <w:p w:rsidR="00A90898" w:rsidRDefault="00A90898" w:rsidP="00A90898">
      <w:pPr>
        <w:pStyle w:val="Extracto"/>
      </w:pPr>
      <w:r>
        <w:t>1.</w:t>
      </w:r>
      <w:r>
        <w:tab/>
        <w:t>En ningún caso se sustrae a las Comunidades Autónomas el ejercicio de las competencias que les corresponden en materia de urbanismo y ordenación del territorio, ni se contempla el ejercicio directo por el Estado de competencias sustantivas en estas materias, sin que las propias competencias autonómicas se vean desvirtuadas, pues los preceptos examinados no suponen sino una apelación al necesario ejercicio cohonestado de las competencias estatales y autonómicas que incidan sobre este ámbito, sin introducir condicionantes ilegítimos de las atribuciones autonómicas en materia de urbanismo y ordenación del territorio, razón por la cual obedecen al recto ejercicio de la competencia estatal [FJ 4].</w:t>
      </w:r>
    </w:p>
    <w:p w:rsidR="00A90898" w:rsidRDefault="00A90898" w:rsidP="00A90898">
      <w:pPr>
        <w:pStyle w:val="Extracto"/>
      </w:pPr>
    </w:p>
    <w:p w:rsidR="00A90898" w:rsidRDefault="00A90898" w:rsidP="00A90898">
      <w:pPr>
        <w:pStyle w:val="Extracto"/>
      </w:pPr>
      <w:r>
        <w:t>2.</w:t>
      </w:r>
      <w:r>
        <w:tab/>
        <w:t>Reitera la doctrina de la STC 165/2016 sobre la atribución al Estado de la competencia relativa a la concesión de almacenamiento, así como del conjunto de facultades administrativas conexas [FJ 2].</w:t>
      </w:r>
    </w:p>
    <w:p w:rsidR="00A90898" w:rsidRDefault="00A90898" w:rsidP="00A90898">
      <w:pPr>
        <w:pStyle w:val="Extracto"/>
      </w:pPr>
    </w:p>
    <w:p w:rsidR="00A90898" w:rsidRDefault="00A90898" w:rsidP="00A90898">
      <w:pPr>
        <w:pStyle w:val="Extracto"/>
      </w:pPr>
      <w:r>
        <w:t>3.</w:t>
      </w:r>
      <w:r>
        <w:tab/>
        <w:t>La doctrina constitucional es clara al afirmar que el territorio constituye el límite natural de las competencias autonómicas, y las Comunidades Autónomas no pueden, por principio, proyectar sus competencias sobre el mar territorial o el subsuelo marino, salvo que exista un explícito reconocimiento estatutario o cuando, a falta del mismo, ello derive de la naturaleza de la competencia que resulta del bloque de la constitucionalidad, o concurran razones excepcionales que así lo avalen (SSTC 149/1991, 8/2013) [FJ 3].</w:t>
      </w:r>
    </w:p>
    <w:p w:rsidR="00A90898" w:rsidRDefault="00A90898" w:rsidP="00A90898">
      <w:pPr>
        <w:pStyle w:val="Extracto"/>
      </w:pPr>
    </w:p>
    <w:p w:rsidR="00A90898" w:rsidRDefault="00A90898" w:rsidP="00A90898">
      <w:pPr>
        <w:pStyle w:val="Extracto"/>
      </w:pPr>
      <w:r>
        <w:t>4.</w:t>
      </w:r>
      <w:r>
        <w:tab/>
        <w:t>La competencia reconocida al Estado en materia de régimen minero y energético en el art. 149.1.25 CE determina la extensión de la misma, en los términos previstos en los preceptos impugnados, al subsuelo marino; al tiempo que la competencia autonómica para el desarrollo de las bases estales en esta materia no se extiende al subsuelo marino, dado que el mismo no forma parte del territorio de la Comunidad Autónoma (STC 165/2016) [FJ 3)].</w:t>
      </w:r>
    </w:p>
    <w:p w:rsidR="00A90898" w:rsidRDefault="00A90898" w:rsidP="00A90898">
      <w:pPr>
        <w:pStyle w:val="Extracto"/>
      </w:pPr>
    </w:p>
    <w:p w:rsidR="00A90898" w:rsidRDefault="00A90898" w:rsidP="00A90898">
      <w:pPr>
        <w:pStyle w:val="Extracto"/>
      </w:pPr>
      <w:r>
        <w:t>5.</w:t>
      </w:r>
      <w:r>
        <w:tab/>
        <w:t>Doctrina sobre el reparto competencial en materia de ordenación del territorio y urbanismo y sobre la coexistencia de títulos competenciales sobre un mismo espacio físico en esta materia (SSTC 73/2016, 40/1998) [FJ 4)].</w:t>
      </w:r>
    </w:p>
    <w:p w:rsidR="00A90898" w:rsidRDefault="00A90898" w:rsidP="00A90898">
      <w:pPr>
        <w:pStyle w:val="Extracto"/>
      </w:pPr>
    </w:p>
    <w:p w:rsidR="00A90898" w:rsidRDefault="00A90898" w:rsidP="00A90898">
      <w:pPr>
        <w:pStyle w:val="Extracto"/>
      </w:pPr>
      <w:r>
        <w:lastRenderedPageBreak/>
        <w:t>6.</w:t>
      </w:r>
      <w:r>
        <w:tab/>
        <w:t>Las competencias exclusivas que el Estatuto de Autonomía de Galicia atribuye a esta Comunidad Autónoma en materia de ordenación del territorio y de urbanismo, deben cohonestarse con las que el Estado ostenta para hacer posible la efectividad de esta novedosa tecnología de almacenamiento geológico del dióxido de carbono -calificada en el preámbulo de la norma como de interés estratégico para la economía nacional-, sin que las primeras puedan prevalecer incondicionadamente sobre las que el Estado ha asumido, en ejercicio legítimo de sus competencias exclusivas sobre las bases del régimen minero según el art. 149.1.25 CE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compuesto por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5252-2011, promovido por la Junta de Galicia y, en su representación y defensa, por el Letrado de la misma, en relación con los artículos 3; 5; 8, apartado 6 segundo párrafo; 9, apartados 6 y 7; 10, apartados 4, 6 y 7; 11; 13; 15; 19, apartados 2 y 3; 23; 24; 25; 26, apartados 1, 3, 4 y 5; 27; 28, apartado 4; 38; disposiciones adicionales primera, segunda y tercera y disposiciones finales undécima y decimocuarta de la Ley 40/2010, de 29 de diciembre, de almacenamiento geológico de dióxido de carbono. Ha comparecido y formulado alegaciones el Abogado del Estado.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día 28 de septiembre de 2011 tuvo entrada en el Registro General de este Tribunal Constitucional, escrito del Letrado de la Junta de Galicia, por el que, en nombre y representación de la misma, interpone recurso de inconstitucionalidad en relación con los artículos 3; 5; 8, apartado 6 segundo párrafo; 9, apartados 6 y 7; 10, apartados 4, 6 y 7; 11; 13; 15; 19, apartados 2 y 3; 23; 24; 25; 26, apartados 1, 3, 4 y 5; 27; 28, apartado 4; 38; disposiciones adicionales primera, segunda y tercera y disposiciones finales undécima y decimocuarta de la Ley 40/2010, de 29 de diciembre, de almacenamiento geológico de dióxido de carbono.</w:t>
      </w:r>
    </w:p>
    <w:p w:rsidR="00A90898" w:rsidRDefault="00A90898" w:rsidP="00A90898">
      <w:pPr>
        <w:pStyle w:val="TextoNormal"/>
      </w:pPr>
    </w:p>
    <w:p w:rsidR="00A90898" w:rsidRDefault="00A90898" w:rsidP="00A90898">
      <w:pPr>
        <w:pStyle w:val="TextoNormal"/>
      </w:pPr>
      <w:r>
        <w:t xml:space="preserve">Se refiere en primer término el escrito de demanda al cumplimiento de los requisitos procesales contemplados en el art. 33.2 de la Ley Orgánica del Tribunal Constitucional (LOTC), recordando que en el “Boletín Oficial del Estado” de 28 de abril de 2011 se publicó </w:t>
      </w:r>
      <w:r>
        <w:lastRenderedPageBreak/>
        <w:t>el acuerdo de la Comisión Bilateral de Cooperación Administración General del Estado-Comunidad Autónoma de Galicia, de iniciar negociaciones para resolver las discrepancias, y se acordó su comunicación a este Tribunal, antes del día 31 de marzo. Y dado que en el seno de dicho órgano no se llegó a un acuerdo, el Consejo de la Junta de Galicia ha procedido a la formalización del presente recurso.</w:t>
      </w:r>
    </w:p>
    <w:p w:rsidR="00A90898" w:rsidRDefault="00A90898" w:rsidP="00A90898">
      <w:pPr>
        <w:pStyle w:val="TextoNormal"/>
      </w:pPr>
    </w:p>
    <w:p w:rsidR="00A90898" w:rsidRDefault="00A90898" w:rsidP="00A90898">
      <w:pPr>
        <w:pStyle w:val="TextoNormal"/>
      </w:pPr>
      <w:r>
        <w:t>El Letrado de la Junta realiza a continuación un detallado análisis sobre el contenido de la Ley 40/2010, afirmando que la norma tiene por objeto la captura y almacenamiento de carbono, consistente en captar el dióxido de carbono (CO2) emitido por las instalaciones industriales, transportarlo a un emplazamiento de almacenamiento e inyectarlo y confinarlo en un formación geológica subterránea adecuada, en condiciones seguras para el medio ambiente. Según la Directiva que se transpone (Directiva 2009/31/CE, del Parlamento Europeo y del Consejo, de 23 de abril de 2009), con esta tecnología se trata de contribuir a mitigar el cambio climático.</w:t>
      </w:r>
    </w:p>
    <w:p w:rsidR="00A90898" w:rsidRDefault="00A90898" w:rsidP="00A90898">
      <w:pPr>
        <w:pStyle w:val="TextoNormal"/>
      </w:pPr>
    </w:p>
    <w:p w:rsidR="00A90898" w:rsidRDefault="00A90898" w:rsidP="00A90898">
      <w:pPr>
        <w:pStyle w:val="TextoNormal"/>
      </w:pPr>
      <w:r>
        <w:t>A juicio del Letrado, el sistema diseñado por la ley hace recaer en el Estado la plena capacidad decisoria sobre la autorización y, por tanto, la ubicación de los almacenamientos de CO2, dado que el almacenamiento requiere la obtención de una concesión cuyo otorgamiento corresponde en todo caso al Ministerio de Industria, Turismo y Comercio. A su vez, la atribución de tal concesión implica facultades como la de revocar la misma, comprobar la solvencia financiera del titular de la concesión y la preparación técnica de su personal, o aprobar los proyectos de instalaciones, facultades totas ellas de competencia del Ministerio de Industria, Turismo y Comercio, que será también quien resuelva los conflictos por concurrencia con otros derechos, entre los que puede estar alguno concedido por las Comunidades Autónomas. Tiene también carácter estatal la autorización ambiental, pues se concede al Ministerio de Medio Ambiente y Medio Rural y Marino la facultad de informar la concesión, de emitir la declaración ambiental, así como de ejercer las funciones de seguimiento y supervisión de los lugares de almacenamiento.</w:t>
      </w:r>
    </w:p>
    <w:p w:rsidR="00A90898" w:rsidRDefault="00A90898" w:rsidP="00A90898">
      <w:pPr>
        <w:pStyle w:val="TextoNormal"/>
      </w:pPr>
    </w:p>
    <w:p w:rsidR="00A90898" w:rsidRDefault="00A90898" w:rsidP="00A90898">
      <w:pPr>
        <w:pStyle w:val="TextoNormal"/>
      </w:pPr>
      <w:r>
        <w:t>Considera la demanda que esta centralización no está justificada ni deriva de los parámetros que la jurisprudencia constitucional establece, pues los almacenamientos que la norma propugna podrían ser tramitados conforme a la legislación minera preexistente, en la cual la función de autorización recae en las Comunidades Autónomas (Ley de minas de 1973), lo que pone de manifiesto que no está justificado que en el almacenamiento de CO2 sea imprescindible la centralización en el Estado.</w:t>
      </w:r>
    </w:p>
    <w:p w:rsidR="00A90898" w:rsidRDefault="00A90898" w:rsidP="00A90898">
      <w:pPr>
        <w:pStyle w:val="TextoNormal"/>
      </w:pPr>
    </w:p>
    <w:p w:rsidR="00A90898" w:rsidRDefault="00A90898" w:rsidP="00A90898">
      <w:pPr>
        <w:pStyle w:val="TextoNormal"/>
      </w:pPr>
      <w:r>
        <w:t>En lo que respecta a la delimitación de competencias en la materia, comienza señalando que, el hecho de que estemos ante una norma de incorporación del derecho comunitario, no produce una alteración de la distribución de competencias establecida en el bloque de constitucionalidad, de acuerdo con una reiterada jurisprudencia constitucional.</w:t>
      </w:r>
    </w:p>
    <w:p w:rsidR="00A90898" w:rsidRDefault="00A90898" w:rsidP="00A90898">
      <w:pPr>
        <w:pStyle w:val="TextoNormal"/>
      </w:pPr>
    </w:p>
    <w:p w:rsidR="00A90898" w:rsidRDefault="00A90898" w:rsidP="00A90898">
      <w:pPr>
        <w:pStyle w:val="TextoNormal"/>
      </w:pPr>
      <w:r>
        <w:t xml:space="preserve">Señala a continuación, que la mención a que la Ley efectúa, en su disposición final undécima a los títulos que amparan la competencia estatal, no responde a los parámetros constitucionales de reparto competencial. Así, la referencia al art. 149.1.13 CE constituye un intento de utilizar un título de los llamados horizontales y por tanto de límites difusos, para cubrir donde no llega el título específico, recordando que, conforme a la jurisprudencia constitucional, el título del artículo 149.1.13 CE tendrá que ser interpretado de forma estricta cuando concurre con un título competencial más específico (STC 164/2001). Este título </w:t>
      </w:r>
      <w:r>
        <w:lastRenderedPageBreak/>
        <w:t>competencial daría cobertura a las normas estatales que fijaran las líneas directrices de ordenación de un sector concreto, y solo ampararía, de forma excepcional, las previsiones de acciones o medidas singulares cuando éstas tuvieran una especial transcendencia para alcanzar los fines propuestos dentro del ordenamiento de cada sector, sin que la competencia estatal pueda extenderse hasta incluir cualquier acción de naturaleza económica si no posee una incidencia significativa y directa sobre la actividad económica general. En el presente caso, se puede trazar una repercusión económica de naturaleza muy indirecta, pues la ley no tiene por objeto regular las emisiones de CO2, sino una fórmula para minimizar sus efectos ambientales que, además, no se configura como jurídicamente obligatoria para las empresas emisoras. Admitir la utilización del art. 149.1.13 CE implicaría que su invocación se extendiera a todo sistema de gestión de residuos o con efectos medioambientales, por lo que el citado título no puede dar cobertura competencial a la regulación de la ley y, en todo caso, el mismo remite al binomio bases estatales-desarrollo y ejecución autonómicos.</w:t>
      </w:r>
    </w:p>
    <w:p w:rsidR="00A90898" w:rsidRDefault="00A90898" w:rsidP="00A90898">
      <w:pPr>
        <w:pStyle w:val="TextoNormal"/>
      </w:pPr>
    </w:p>
    <w:p w:rsidR="00A90898" w:rsidRDefault="00A90898" w:rsidP="00A90898">
      <w:pPr>
        <w:pStyle w:val="TextoNormal"/>
      </w:pPr>
      <w:r>
        <w:t>Para el Letrado autonómico, el art. 149.1.23 CE es el que sirve de base a la presente regulación. En cuanto al art. 149.1.25 CE, y en lo que toca al régimen minero, es preciso recordar que el mismo se rige por una ley preconstitucional (Ley 22/1973, modificada por Ley 54/1998), por lo que no resulta fácil determinar cuáles son esos contenidos básicos susceptibles de desarrollo por las Comunidades Autónomas. De lo hasta aquí señalado, extrae la conclusión de que todos los títulos esgrimidos por el Estado son reconducibles al binomio bases estatales-desarrollo y ejecución autonómica, y la problemática más cualificada que plantea la Ley impugnada deriva precisamente del hecho de que no toda la dimensión ejecutiva y de gestión esté encomendada a las Comunidades Autónomas, dado que la autorización decisoria (concesión) está atribuida a un ente estatal.</w:t>
      </w:r>
    </w:p>
    <w:p w:rsidR="00A90898" w:rsidRDefault="00A90898" w:rsidP="00A90898">
      <w:pPr>
        <w:pStyle w:val="TextoNormal"/>
      </w:pPr>
    </w:p>
    <w:p w:rsidR="00A90898" w:rsidRDefault="00A90898" w:rsidP="00A90898">
      <w:pPr>
        <w:pStyle w:val="TextoNormal"/>
      </w:pPr>
      <w:r>
        <w:t>Así pues, el argumento principal del Letrado de la Junta de Galicia es la inconstitucionalidad derivada de la atribución al Estado de facultades ejecutivas, como son el otorgamiento de la concesión de almacenamiento, que constituye el elemento autorizatorio clave en el proceso, pues es el realmente decisorio sobre la implantación y ubicación de éste, existiendo sólo una intervención autonómica limitada a la emisión de un mero informe, al que no se otorga expresamente carácter vinculante; y a ello se une la atribución al Estado de otras facultades ligadas a la anterior como son: resolver los conflictos por concurrencia de derecho, revocar las concesiones, etc. En consecuencia, la atribución al Estado de facultades ejecutivas que corresponden constitucionalmente a las Comunidades Autónomas es el argumento que sustenta la impugnación dirigida contra los arts. 3; 5; 8.6 segundo párrafo; 9.6 y 7; 10.4, 6 y 7; 11; 13; 15; 19.2 y 3; 23; 24; 25; 26.1, 3, 4 y 5; 27; 38; y las disposiciones adicionales primera, segunda y tercera de la Ley 40/2010.</w:t>
      </w:r>
    </w:p>
    <w:p w:rsidR="00A90898" w:rsidRDefault="00A90898" w:rsidP="00A90898">
      <w:pPr>
        <w:pStyle w:val="TextoNormal"/>
      </w:pPr>
    </w:p>
    <w:p w:rsidR="00A90898" w:rsidRDefault="00A90898" w:rsidP="00A90898">
      <w:pPr>
        <w:pStyle w:val="TextoNormal"/>
      </w:pPr>
      <w:r>
        <w:t>Procede a continuación el Letrado de la Junta de Galicia a examinar y rechazar las razones en que la ley justifica la atribución al Estado de facultades ejecutivas:</w:t>
      </w:r>
    </w:p>
    <w:p w:rsidR="00A90898" w:rsidRDefault="00A90898" w:rsidP="00A90898">
      <w:pPr>
        <w:pStyle w:val="TextoNormal"/>
      </w:pPr>
    </w:p>
    <w:p w:rsidR="00A90898" w:rsidRDefault="00A90898" w:rsidP="00A90898">
      <w:pPr>
        <w:pStyle w:val="TextoNormal"/>
      </w:pPr>
      <w:r>
        <w:t xml:space="preserve">a) La primera es “por estar ante un dominio público”. Alega al respecto que el hecho de que el art. 3 de la Ley determine que a los efectos del art. 132.2 CE tendrán la consideración de bien de dominio público estatal las formaciones geológicas que formen parte de los lugares de almacenamiento existentes en el territorio del Estado y en el subsuelo del mar territorial y de los fondos marinos, no justifica la atribución de competencias ejecutivas a la Administración del Estado, pues como ha declarado el Tribunal Constitucional, la titularidad del dominio público no es un criterio de atribución competencial (STC 61/1997 y otras </w:t>
      </w:r>
      <w:r>
        <w:lastRenderedPageBreak/>
        <w:t>citadas), ya que la propiedad pública de un bien es separable del ejercicio de aquellas competencias públicas que lo tienen como soporte material o físico, y, en realidad, nada hubiera impedido que se declarara que estos lugares quedaran incorporados al dominio público autonómico. En todo caso, se aprecia la inconstitucionalidad de la mención recogida en el art. 3, conforme a la cual, en lo no previsto en esta ley se estará “a lo dispuesto en la Ley 33/2003, de 3 de noviembre, del patrimonio de las Administraciones públicas”.</w:t>
      </w:r>
    </w:p>
    <w:p w:rsidR="00A90898" w:rsidRDefault="00A90898" w:rsidP="00A90898">
      <w:pPr>
        <w:pStyle w:val="TextoNormal"/>
      </w:pPr>
    </w:p>
    <w:p w:rsidR="00A90898" w:rsidRDefault="00A90898" w:rsidP="00A90898">
      <w:pPr>
        <w:pStyle w:val="TextoNormal"/>
      </w:pPr>
      <w:r>
        <w:t>b) En segundo término, se recurre al art. 149.1.13 CE como base de esa centralización en el Estado. Se reiteran aquí los argumentos expuestos con anterioridad, para concluir que este título habilitaría al Estado para fijar líneas y directrices generales, pero no para reservarse facultades ejecutivas.</w:t>
      </w:r>
    </w:p>
    <w:p w:rsidR="00A90898" w:rsidRDefault="00A90898" w:rsidP="00A90898">
      <w:pPr>
        <w:pStyle w:val="TextoNormal"/>
      </w:pPr>
    </w:p>
    <w:p w:rsidR="00A90898" w:rsidRDefault="00A90898" w:rsidP="00A90898">
      <w:pPr>
        <w:pStyle w:val="TextoNormal"/>
      </w:pPr>
      <w:r>
        <w:t>c) Se alude, en tercer lugar a “otras razones”, donde se incluye la mención que realiza el preámbulo de la Ley a que la elección de los emplazamientos para el almacenamiento implica una decisión estratégica que debe tener en cuenta el conjunto del territorio nacional. Afirma el Letrado que dicha decisión corresponde, en todo caso, al sector privado y no a la Administración, que debe limitarse a otorgar las correspondientes autorizaciones administrativas, cuando se cumplan los requisitos para ello y a denegarlas cuando no sea así. En virtud de su competencia básica, el Estado podría fijar para todo el territorio nacional los criterios que deben utilizarse para decidir el otorgamiento de los títulos administrativos, pero la facultad para determinar si procede o no el otorgamiento de los permisos de investigación y de la concesiones de almacenamiento, mediante la aplicación de esos criterios básicos, constituye una facultad ejecutiva que incumbe a las Comunidades Autónomas.</w:t>
      </w:r>
    </w:p>
    <w:p w:rsidR="00A90898" w:rsidRDefault="00A90898" w:rsidP="00A90898">
      <w:pPr>
        <w:pStyle w:val="TextoNormal"/>
      </w:pPr>
    </w:p>
    <w:p w:rsidR="00A90898" w:rsidRDefault="00A90898" w:rsidP="00A90898">
      <w:pPr>
        <w:pStyle w:val="TextoNormal"/>
      </w:pPr>
      <w:r>
        <w:t>Considera asimismo que el hecho de que los lugares de almacenamiento puedan ser potencialmente utilizados por empresas situadas en otras Comunidades Autónomas, tampoco justifica la competencia estatal, pues ya la STC 126/2002 rechazó que el hecho de que las infraestructuras de gestión de residuos puedan acoger los producidos en diversas Comunidades Autónomas, pueda justifique la asunción de competencias ejecutivas —en aquel caso en el ámbito subvencional— por la Administración estatal.</w:t>
      </w:r>
    </w:p>
    <w:p w:rsidR="00A90898" w:rsidRDefault="00A90898" w:rsidP="00A90898">
      <w:pPr>
        <w:pStyle w:val="TextoNormal"/>
      </w:pPr>
    </w:p>
    <w:p w:rsidR="00A90898" w:rsidRDefault="00A90898" w:rsidP="00A90898">
      <w:pPr>
        <w:pStyle w:val="TextoNormal"/>
      </w:pPr>
      <w:r>
        <w:t>El preámbulo cita también como argumento que la atribución de la concesión al Estado es una consecuencia de que las grandes instalaciones de producción eléctrica son autorizadas por la Administración central, al amparo del art. 3.2 a) de la Ley 54/1997. Se alega que el almacenamiento de CO2 no tiene por qué estar limitado a tales instalaciones, y el hecho de que el Estado autorice la instalación no implica que haya de ser quien autorice el almacenamiento de CO2 derivado de la misma.</w:t>
      </w:r>
    </w:p>
    <w:p w:rsidR="00A90898" w:rsidRDefault="00A90898" w:rsidP="00A90898">
      <w:pPr>
        <w:pStyle w:val="TextoNormal"/>
      </w:pPr>
    </w:p>
    <w:p w:rsidR="00A90898" w:rsidRDefault="00A90898" w:rsidP="00A90898">
      <w:pPr>
        <w:pStyle w:val="TextoNormal"/>
      </w:pPr>
      <w:r>
        <w:t>A continuación, el Letrado de la Junta de Galicia pasa a examinar la reserva de facultades al Estado para otorgar el permiso de investigación cuando afecte al ámbito territorial de más de una Comunidad Autónoma, así como los conflictos, en esos casos, por la concurrencia de derechos. Tras recordar la doctrina constitucional en materia de supraterritorialidad, considera que la aplicación de la misma resulta suficiente para defender la inconstitucionalidad de los apartados 1 a), 2 a) y 3 a) del artículo 5 y el artículo 9.6.</w:t>
      </w:r>
    </w:p>
    <w:p w:rsidR="00A90898" w:rsidRDefault="00A90898" w:rsidP="00A90898">
      <w:pPr>
        <w:pStyle w:val="TextoNormal"/>
      </w:pPr>
    </w:p>
    <w:p w:rsidR="00A90898" w:rsidRDefault="00A90898" w:rsidP="00A90898">
      <w:pPr>
        <w:pStyle w:val="TextoNormal"/>
      </w:pPr>
      <w:r>
        <w:t xml:space="preserve">La inconstitucionalidad de los apartados 1 a), i) y 2 a) del artículo 5 así como el artículo 5.5 y las disposiciones adicionales primera.4 y tercera, se fundamenta en la previsión de ejercicio de competencias estatales por su ubicación en el espacio marino. Tras aludir al </w:t>
      </w:r>
      <w:r>
        <w:lastRenderedPageBreak/>
        <w:t>hecho de que la Comunidad Autónoma ha formulado ante el Tribunal Constitucional otras acciones donde se rechaza la concepción sobre la atribución competencial al Estado cuando la materia se proyecta sobre el espacio marítimo, considera que dicha asignación es contraria a la doctrina constitucional, de la que puede extraerse que las competencias autonómicas solo tienen los límites territoriales expresamente establecidos, de manera que la ausencia de límites expresos hace posible aplicar esas competencias autonómicas sobre las aguas exteriores. Si la competencia tiene una proyección posible sobre el mar, y partiendo de que esta ubicación marítima no puede atribuir de por sí las competencias a favor del Estado, habrá que acudir al bloque de constitucionalidad para determinar a quién corresponde la concreta facultad proyectable sobre el mar, para determinar el titular de esa competencia y, en el supuesto que nos ocupa, el art. 27.13 del Estatuto de Autonomía para Galicia (EAG) ninguna limitación territorial recoge en relación a su dimensión marítima, por lo que es obvio que estamos ante una competencia cuya naturaleza no impide el ejercicio de la intervención autonómica cuando se residencie en la dimensión acuática.</w:t>
      </w:r>
    </w:p>
    <w:p w:rsidR="00A90898" w:rsidRDefault="00A90898" w:rsidP="00A90898">
      <w:pPr>
        <w:pStyle w:val="TextoNormal"/>
      </w:pPr>
    </w:p>
    <w:p w:rsidR="00A90898" w:rsidRDefault="00A90898" w:rsidP="00A90898">
      <w:pPr>
        <w:pStyle w:val="TextoNormal"/>
      </w:pPr>
      <w:r>
        <w:t>La disposición adicional primera y el artículo 28.4, en cuanto se remite a la misma, se impugnan por vulneración de la competencia exclusiva autonómica en materia de “ordenación del territorio y del litoral, urbanismo y vivienda” (art. 27.3 EAG). Se afirma al respecto que no cabe que el legislador estatal imponga un contenido a todos los instrumentos de ordenación territorial y urbanística, como el que resulta de los preceptos referidos, pues determinar el contenido de los instrumentos de planificación territorial y urbanística es una competencia exclusiva de las Comunidades Autónomas, sin perjuicio de que la ley urbanística gallega deba tener en cuenta, cuando fija los contenidos del planeamiento, el resto del ordenamiento jurídico y, concretamente, la existencia de almacenamientos de CO2. En concreto se considera inconstitucional la siguiente frase contenida en el punto 2 de la disposición adicional primera: “y en particular, a lo establecido en la disposición adicional décima del Real Decreto Legislativo 2/2008, de 20 de junio, por el que se aprueba el texto refundido de la Ley del Suelo”, porque determina o predispone a que la legislación aplicable sea ésta, de tal manera que en los supuestos en que aparezca la problemática ahí descrita, es el Estado la autoridad urbanística que va a actuar, por el mero hecho de que es un Ministerio quien otorga la concesión, a pesar de que esta se conceda a un ente privado.</w:t>
      </w:r>
    </w:p>
    <w:p w:rsidR="00A90898" w:rsidRDefault="00A90898" w:rsidP="00A90898">
      <w:pPr>
        <w:pStyle w:val="TextoNormal"/>
      </w:pPr>
    </w:p>
    <w:p w:rsidR="00A90898" w:rsidRDefault="00A90898" w:rsidP="00A90898">
      <w:pPr>
        <w:pStyle w:val="TextoNormal"/>
      </w:pPr>
      <w:r>
        <w:t>La disposición final decimocuarta se reputa también inconstitucional en cuanto establece una aplicación supletoria de una normativa preconstitucional, que no tiene carácter básico en su conjunto y no ha sido adaptada al título VIII de la Constitución, por lo que no se puede declarar, aun supletoriamente, la aplicación a las Comunidades Autónomas, de las partes no básicas de un reglamento estatal.</w:t>
      </w:r>
    </w:p>
    <w:p w:rsidR="00A90898" w:rsidRDefault="00A90898" w:rsidP="00A90898">
      <w:pPr>
        <w:pStyle w:val="TextoNormal"/>
      </w:pPr>
    </w:p>
    <w:p w:rsidR="00A90898" w:rsidRDefault="00A90898" w:rsidP="00A90898">
      <w:pPr>
        <w:pStyle w:val="TextoNormal"/>
      </w:pPr>
      <w:r w:rsidRPr="00A90898">
        <w:rPr>
          <w:rStyle w:val="NumeroAFNegritaCaracter"/>
        </w:rPr>
        <w:t>2</w:t>
      </w:r>
      <w:r>
        <w:t>. El Pleno del Tribunal, a propuesta de la Sección Primera y por providencia de 18 de octubre de 2011, admitió a trámite el presente recurso de inconstitucionalidad, acordando dar traslado de la demanda y documentos presentados, conforme dispone el art. 34 de la Ley Orgánica del Tribunal Constitucional, al Congreso de los Diputados y al Senado, por conducto de sus Presidentes, y al Gobierno de la Nación a través del Ministro de Justicia, al objeto de que en el plazo de quince días, pudieran personarse en el proceso y formular las alegaciones que estimaran pertinentes. Finalmente se ordenó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La Mesa del Senado, por escrito de su Presidente de 28 de octubre de 20011, acuerda dar por personada a la Cámara en este procedimiento y por ofrecida su colaboración a los efectos del art. 88.1 de la Ley Orgánica del Tribunal Constitucional. En idéntico sentido se pronuncia la Mesa de la Diputación Permanente del Congreso, en escrito de la misma fecha.</w:t>
      </w:r>
    </w:p>
    <w:p w:rsidR="00A90898" w:rsidRDefault="00A90898" w:rsidP="00A90898">
      <w:pPr>
        <w:pStyle w:val="TextoNormal"/>
      </w:pPr>
    </w:p>
    <w:p w:rsidR="00A90898" w:rsidRDefault="00A90898" w:rsidP="00A90898">
      <w:pPr>
        <w:pStyle w:val="TextoNormal"/>
      </w:pPr>
      <w:r w:rsidRPr="00A90898">
        <w:rPr>
          <w:rStyle w:val="NumeroAFNegritaCaracter"/>
        </w:rPr>
        <w:t>4</w:t>
      </w:r>
      <w:r>
        <w:t>. En fecha 10 de noviembre de 2011, el Abogado del Estado se persona en el recurso, en nombre del Gobierno y solicita una prórroga de ocho días en el plazo concedido para formular alegaciones. El Pleno del Tribunal, en providencia de 11 de noviembre, acuerda la concesión de la prórroga solicitada.</w:t>
      </w:r>
    </w:p>
    <w:p w:rsidR="00A90898" w:rsidRDefault="00A90898" w:rsidP="00A90898">
      <w:pPr>
        <w:pStyle w:val="TextoNormal"/>
      </w:pPr>
    </w:p>
    <w:p w:rsidR="00A90898" w:rsidRDefault="00A90898" w:rsidP="00A90898">
      <w:pPr>
        <w:pStyle w:val="TextoNormal"/>
      </w:pPr>
      <w:r w:rsidRPr="00A90898">
        <w:rPr>
          <w:rStyle w:val="NumeroAFNegritaCaracter"/>
        </w:rPr>
        <w:t>5</w:t>
      </w:r>
      <w:r>
        <w:t>. En fecha 29 de noviembre de 2011 tiene entrada en el Registro General de este Tribunal el escrito de alegaciones que formula el Abogado del Estado, en nombre y representación del Gobierno de la Nación, en el que solicita que se desestime la demanda y se declare la plena constitucionalidad de la totalidad de los preceptos impugnados.</w:t>
      </w:r>
    </w:p>
    <w:p w:rsidR="00A90898" w:rsidRDefault="00A90898" w:rsidP="00A90898">
      <w:pPr>
        <w:pStyle w:val="TextoNormal"/>
      </w:pPr>
    </w:p>
    <w:p w:rsidR="00A90898" w:rsidRDefault="00A90898" w:rsidP="00A90898">
      <w:pPr>
        <w:pStyle w:val="TextoNormal"/>
      </w:pPr>
      <w:r>
        <w:t>Comienza el escrito efectuando un análisis pormenorizado del contenido de la Ley 40/2010 en el contexto general de la importancia estratégica del almacenamiento geológico de dióxido de carbono. Se refiere, en primer término, al mercado europeo de derechos de emisión y a la llamada Directiva 2003, por la que se establece un régimen para el comercio de los derechos de emisión de gases de efecto invernadero en la Comunidad (modificada por la Directiva 2009/29/CE, del Parlamento europeo y del Consejo, de 23 de abril de 2009). Estas Directivas se incorporan al derecho interno a través de la Ley 1/2005, reformada por la Ley 13/201; y en relación a este proceso viene a destacar los siguientes extremos:</w:t>
      </w:r>
    </w:p>
    <w:p w:rsidR="00A90898" w:rsidRDefault="00A90898" w:rsidP="00A90898">
      <w:pPr>
        <w:pStyle w:val="TextoNormal"/>
      </w:pPr>
    </w:p>
    <w:p w:rsidR="00A90898" w:rsidRDefault="00A90898" w:rsidP="00A90898">
      <w:pPr>
        <w:pStyle w:val="TextoNormal"/>
      </w:pPr>
      <w:r>
        <w:t>1) Para el período 2008-2012, el modelo se apoya en la aprobación por cada Estado de un plan nacional de asignación de derechos de emisión, que debe ser notificado a la comisión. A partir de la Directiva 2009, se fija un máximo europeo de derechos de emisión, integrado por la suma de los contemplados en los planes nacionales, y se prevé a partir de 2013 una reducción de los derechos de emisión para la Comunidad en su conjunto.</w:t>
      </w:r>
    </w:p>
    <w:p w:rsidR="00A90898" w:rsidRDefault="00A90898" w:rsidP="00A90898">
      <w:pPr>
        <w:pStyle w:val="TextoNormal"/>
      </w:pPr>
    </w:p>
    <w:p w:rsidR="00A90898" w:rsidRDefault="00A90898" w:rsidP="00A90898">
      <w:pPr>
        <w:pStyle w:val="TextoNormal"/>
      </w:pPr>
      <w:r>
        <w:t>2) Las instalaciones referidas en el anexo I de la Ley 1/2005 “deberán contar con una autorización de emisión de gases efecto invernadero a partir del 1 de enero de 2005, cuyo otorgamiento corresponde al órgano competente de la Comunidad Autónoma en la que se ubique” (art. 4 de la Ley 1/2005).</w:t>
      </w:r>
    </w:p>
    <w:p w:rsidR="00A90898" w:rsidRDefault="00A90898" w:rsidP="00A90898">
      <w:pPr>
        <w:pStyle w:val="TextoNormal"/>
      </w:pPr>
    </w:p>
    <w:p w:rsidR="00A90898" w:rsidRDefault="00A90898" w:rsidP="00A90898">
      <w:pPr>
        <w:pStyle w:val="TextoNormal"/>
      </w:pPr>
      <w:r>
        <w:t>3) La titularidad originaria de la totalidad de los derechos de emisión que figuren en cada Plan nacional de asignación corresponde a la Administración General del Estado, que los asignará, enajenará o cancelará de conformidad con lo establecido en la Ley 1/2005, y se contempla que los derechos de emisión son transmisibles. La directiva 2009 prevé que a partir de 2013, los Estados miembros subastarán todos los derechos de emisión que no se asignen de forma gratuita.</w:t>
      </w:r>
    </w:p>
    <w:p w:rsidR="00A90898" w:rsidRDefault="00A90898" w:rsidP="00A90898">
      <w:pPr>
        <w:pStyle w:val="TextoNormal"/>
      </w:pPr>
    </w:p>
    <w:p w:rsidR="00A90898" w:rsidRDefault="00A90898" w:rsidP="00A90898">
      <w:pPr>
        <w:pStyle w:val="TextoNormal"/>
      </w:pPr>
      <w:r>
        <w:t xml:space="preserve">En definitiva, el diseño del mercado europeo de derechos de emisión produce el efecto de limitar la generación de energía y la producción industrial emisora, salvo que simultáneamente se adopten tecnologías que permitan reducir las emisiones totales sin afectar a la actividad económica. Por ello, parece evidente que el crecimiento económico y el mantenimiento del nivel de vida depende de la aplicación de tecnologías que permitan el incremento </w:t>
      </w:r>
      <w:r>
        <w:lastRenderedPageBreak/>
        <w:t>de la producción con una disminución de emisiones de gases de efecto invernadero y, entre esas tecnologías destaca por su viabilidad, la captación, transporte y almacenamiento geológico de dióxido de carbono.</w:t>
      </w:r>
    </w:p>
    <w:p w:rsidR="00A90898" w:rsidRDefault="00A90898" w:rsidP="00A90898">
      <w:pPr>
        <w:pStyle w:val="TextoNormal"/>
      </w:pPr>
    </w:p>
    <w:p w:rsidR="00A90898" w:rsidRDefault="00A90898" w:rsidP="00A90898">
      <w:pPr>
        <w:pStyle w:val="TextoNormal"/>
      </w:pPr>
      <w:r>
        <w:t>La Ley 40/2010 viene así a transponer al ordenamiento interno la Directiva 2009/31, que fija los objetivos sobre reducción de emisiones mediante el almacenamiento geológico de carbono (CAC). En este contexto, resulta obvio que el preámbulo de la Ley califique la CAC de interés estratégico para la economía nacional, dado que la misma desempeña un papel central en el cambio de modelo energético y en el diseño de las políticas energética, industrial y de lucha contra el cambio climático; de acuerdo con los análisis realizados por la Comisión Europea, la reducción de emisiones de gases de efecto invernadero del 30 por 100 en 2030 tendría unos costes un 40 por 100 más elevados sin emplear la CAC, por lo que no utilizar esta tecnología no sólo pondría en riesgo el logro de los objetivos medioambientales de la Unión Europea, sino que también puede conllevar efectos negativos sobre la competitividad y el empleo. En un escenario de importantes limitaciones en cuanto a la posibilidad de emitir gases de efecto invernadero y de costes crecientes ligados a estas emisiones, el acceso a la CAC se configura como un elemento central a la hora de adoptar decisiones de inversión por los operadores energéticos, permitiendo un ahorro de costes para las empresas, en la medida en que no tendrán que adquirir derechos de emisión mediante subasta o en el mercado, al tiempo que se configura como una pieza clave para el diseño de la política energética nacional.</w:t>
      </w:r>
    </w:p>
    <w:p w:rsidR="00A90898" w:rsidRDefault="00A90898" w:rsidP="00A90898">
      <w:pPr>
        <w:pStyle w:val="TextoNormal"/>
      </w:pPr>
    </w:p>
    <w:p w:rsidR="00A90898" w:rsidRDefault="00A90898" w:rsidP="00A90898">
      <w:pPr>
        <w:pStyle w:val="TextoNormal"/>
      </w:pPr>
      <w:r>
        <w:t>A ello se une que, en el sistema de captura y almacenamiento de dióxido de carbono, está presente, como elemento relevante, el componente territorial de una futura red de transporte de CO2 que deberá acabar conectando instalaciones energéticas (y posiblemente industriales) con lugares de almacenamiento, y ello acabará configurando una red de infraestructuras de ámbito supraautonómico interconectadas en todo el territorio nacional.</w:t>
      </w:r>
    </w:p>
    <w:p w:rsidR="00A90898" w:rsidRDefault="00A90898" w:rsidP="00A90898">
      <w:pPr>
        <w:pStyle w:val="TextoNormal"/>
      </w:pPr>
    </w:p>
    <w:p w:rsidR="00A90898" w:rsidRDefault="00A90898" w:rsidP="00A90898">
      <w:pPr>
        <w:pStyle w:val="TextoNormal"/>
      </w:pPr>
      <w:r>
        <w:t>El Abogado del Estado se refiere a continuación al contenido de la Ley 40/2010, señalando que el legislador estatal ha optado por establecer un régimen específico para el almacenamiento del CO2, a imagen del derecho comunitario que transpone, en lugar de reformar la legislación minera; y ello porque la finalidad de la CAC no es la explotación de un recurso minero sino garantizar un suministro energético de calidad y a precio razonable y un crecimiento económico sostenible, reduciendo los perjuicios para el medio ambiente. La ley regula principalmente la actividad de almacenamiento y sólo contiene previsiones puntuales en relación a la captura y el transporte; en relación con las redes de transporte, pretende garantizar el acceso a las mismas en condiciones transparentes y no discriminatorias y contempla la resolución de posibles conflictos, tanto nacionales como transfronterizos. Su aplicación se extiende a las estructuras subterráneas en España, incluyendo su mar territorial, su zona económica exclusiva y su plataforma continental. El artículo 5 señala las competencias que corresponden a cada Administración, atribuyéndose al Ministerio de Industria, entre otras, las de otorgar los permisos de investigación cuya superficie abarque el territorio de más de una Comunidad Autónoma o el subsuelo marino, y las de otorgar y revocar las concesiones de almacenamiento. Las Comunidades Autónomas serán responsables de otorgar los permisos de investigación en su territorio, establecer un sistema de inspecciones en los lugares de almacenamiento, realizar el seguimiento, fijar las medidas correctoras oportunas, y aprobar el plan de seguimiento.</w:t>
      </w:r>
    </w:p>
    <w:p w:rsidR="00A90898" w:rsidRDefault="00A90898" w:rsidP="00A90898">
      <w:pPr>
        <w:pStyle w:val="TextoNormal"/>
      </w:pPr>
    </w:p>
    <w:p w:rsidR="00A90898" w:rsidRDefault="00A90898" w:rsidP="00A90898">
      <w:pPr>
        <w:pStyle w:val="TextoNormal"/>
      </w:pPr>
      <w:r>
        <w:lastRenderedPageBreak/>
        <w:t>En lo que respecta los títulos competenciales aplicables, considera el Abogado del Estado que resulta de aplicación la STC 18/2011, que sintetiza la doctrina sobre la concurrencia de los títulos recogidos en el art. 149.1.13 y 25 CE, y le lleva a concluir que corresponde al Estado no sólo establecer un conjunto normativo suficientemente homogéneo sino, además, adoptar aquellas medidas que sean precisas para la optimización de los recursos energéticos desde el punto de vista del interés nacional. En relación con el título contemplado en el art. 149.1.23 CE, estima que resulta de aplicación lo dispuesto en las SSTC 98/2001 y 14/2004, en las que el Tribunal examinó una serie de medidas estatales que tenían por objeto la “promoción de actuaciones de uso racional de la energía y la utilización de las energías renovables” con una evidente finalidad de conciliar el desarrollo económico con la preservación del medio ambiente, y en las que el Tribunal afirmó que de los dos títulos competenciales aducidos —medio ambiente y régimen energético— es el correspondiente al régimen energético el que por su mayor especificidad debe prevalecer. En relación con el título contemplado en el art. 149.1.22 CE, afirma que la jurisprudencia constitucional ha reconocido de forma categórica la competencia exclusiva del Estado para la autorización de instalaciones eléctricas cuando su aprovechamiento afecte a otra Comunidad o el transporte salga de su ámbito territorial y, como ha quedado expuesto, la CAC resulta tan vinculada con las grandes instalaciones de generación eléctrica, que la propia disposición adicional segunda de la Ley 40/2010 vincula la autorización de aquéllas a la condiciones de previsión de espacio de captación de CO2 para su posterior transporte y almacenamiento.</w:t>
      </w:r>
    </w:p>
    <w:p w:rsidR="00A90898" w:rsidRDefault="00A90898" w:rsidP="00A90898">
      <w:pPr>
        <w:pStyle w:val="TextoNormal"/>
      </w:pPr>
    </w:p>
    <w:p w:rsidR="00A90898" w:rsidRDefault="00A90898" w:rsidP="00A90898">
      <w:pPr>
        <w:pStyle w:val="TextoNormal"/>
      </w:pPr>
      <w:r>
        <w:t>A continuación, el Abogado del Estado examina las concretas alegaciones contenidas en la demanda, señalando sintéticamente lo siguiente:</w:t>
      </w:r>
    </w:p>
    <w:p w:rsidR="00A90898" w:rsidRDefault="00A90898" w:rsidP="00A90898">
      <w:pPr>
        <w:pStyle w:val="TextoNormal"/>
      </w:pPr>
    </w:p>
    <w:p w:rsidR="00A90898" w:rsidRDefault="00A90898" w:rsidP="00A90898">
      <w:pPr>
        <w:pStyle w:val="TextoNormal"/>
      </w:pPr>
      <w:r>
        <w:t>a) Resulta clara la relevancia del título competencial del art. 149.1.13 CE, dado que una adecuada implantación de la tecnología CAC es imprescindible para asegurar un crecimiento económico sostenible, al menos en los próximos 40 años, que permita además cumplir los compromisos internacionales asumidos por España y por la Unión Europea para la reducción de las emisiones de gases de efecto invernadero. Por ello, lo que habrá de precisarse es en qué preceptos de la Ley 40/2010 prevalece el contenido económico y en cuáles la orientación medioambiental.</w:t>
      </w:r>
    </w:p>
    <w:p w:rsidR="00A90898" w:rsidRDefault="00A90898" w:rsidP="00A90898">
      <w:pPr>
        <w:pStyle w:val="TextoNormal"/>
      </w:pPr>
    </w:p>
    <w:p w:rsidR="00A90898" w:rsidRDefault="00A90898" w:rsidP="00A90898">
      <w:pPr>
        <w:pStyle w:val="TextoNormal"/>
      </w:pPr>
      <w:r>
        <w:t>b) El Estado ostenta la competencia para otorgar permisos de investigación supraautonómicos y concesiones de almacenamiento. El núcleo de la demanda se dirige a reprochar la atribución al Estado de facultades ejecutivas en este ámbito, y ha de tenerse en cuenta al respecto, que el Tribunal ha declarado que la competencia configurada como básica puede incluir funciones ejecutivas (STC 33/2005).</w:t>
      </w:r>
    </w:p>
    <w:p w:rsidR="00A90898" w:rsidRDefault="00A90898" w:rsidP="00A90898">
      <w:pPr>
        <w:pStyle w:val="TextoNormal"/>
      </w:pPr>
    </w:p>
    <w:p w:rsidR="00A90898" w:rsidRDefault="00A90898" w:rsidP="00A90898">
      <w:pPr>
        <w:pStyle w:val="TextoNormal"/>
      </w:pPr>
      <w:r>
        <w:t xml:space="preserve">Partiendo de lo anterior, afirma que el permiso de investigación carece de un enfoque específicamente medioambiental y, en relación con el mismo, debe prevalecer el título de ordenación general de la economía; el permiso de investigación se configura como previo a la concesión de almacenamiento, por lo que cabe predicar de él el mismo carácter que tenga esta última, que la disposición final undécima de la ley considera amparada en el art. 149.1.13 CE. La previa investigación de lugares de almacenamiento y la ulterior concesión engarzan con la finalidad prevalente de poner a disposición del crecimiento económico sostenible, lugares que permitan la aplicación de la innovación tecnológica regulada en el Ley 40/2010. El ámbito supraautonómico del permiso justificaría la atribución de competencia </w:t>
      </w:r>
      <w:r>
        <w:lastRenderedPageBreak/>
        <w:t>ejecutiva al Estado, pues estamos ante una actividad pública que no es susceptible de fraccionamiento, en cuanto ejerciéndose sobre una estructura geológica que se extiende al territorio de varias Comunidades Autónomas, técnicamente resulta imposible la división de la estructura por Comunidades. La investigación para la que se otorga el permiso ha de servir para verificar que una determinada cavidad resulta apta para su sellado y almacenamiento de gas, de forma que requiere un estudio conjunto, por lo que no resulta posible que se otorguen permisos de investigación limitados al territorio de una Comunidad para investigar formaciones geológicas que se extienden más allá de dicho territorio, pues tal estudio fragmentado no podrá determinar la aptitud de la cavidad en su conjunto para almacenar gases. La actuación tampoco puede ejercerse mediante mecanismos de cooperación o coordinación, requiriendo un grado de homogeneidad que sólo puede garantizar su atribución al Estado, pue existirán criterios o intereses diversos que sólo pueden armonizarse por el Estado. Además, la Ley 40/2010 incorpora al procedimiento de otorgamiento del permiso un intenso mecanismo colaborativo a través del informe preceptivo de las Comunidades Autónomas.</w:t>
      </w:r>
    </w:p>
    <w:p w:rsidR="00A90898" w:rsidRDefault="00A90898" w:rsidP="00A90898">
      <w:pPr>
        <w:pStyle w:val="TextoNormal"/>
      </w:pPr>
    </w:p>
    <w:p w:rsidR="00A90898" w:rsidRDefault="00A90898" w:rsidP="00A90898">
      <w:pPr>
        <w:pStyle w:val="TextoNormal"/>
      </w:pPr>
      <w:r>
        <w:t>En lo que respecta al otorgamiento de permisos de investigación cuando afecten al “subsuelo marino”, la doctrina constitucional es clara (SSTC 149/1991 y 38/2002), afirmando que las competencias de las Comunidades Autónomas se circunscriben a su ámbito territorial, y que la proyección de esas competencias sobre el mar territorial tiene carácter extraordinario y dependerá, bien del explícito reconocimiento estatutario, bien de la naturaleza de la competencia, tal como resulta de la interpretación del bloque de la constitucionalidad; elementos excepcionales que no concurren en el presente supuesto. Estaría así razonada la constitucionalidad de los arts. 5 a) y g); 2 a); 3 a); 8.6 y 9.6 y 7 y de la disposición adicional tercera.</w:t>
      </w:r>
    </w:p>
    <w:p w:rsidR="00A90898" w:rsidRDefault="00A90898" w:rsidP="00A90898">
      <w:pPr>
        <w:pStyle w:val="TextoNormal"/>
      </w:pPr>
    </w:p>
    <w:p w:rsidR="00A90898" w:rsidRDefault="00A90898" w:rsidP="00A90898">
      <w:pPr>
        <w:pStyle w:val="TextoNormal"/>
      </w:pPr>
      <w:r>
        <w:t>En lo que atañe a las concesiones de almacenamiento, reguladas fundamentalmente en los arts. 5.1 b) y 10 a 15 de la Ley, las mismas resultan adecuadamente amparadas por el título competencial del art. 149.1.13 CE, en cuanto constituyen la piedra angular de toda la estructura que forma la tecnología de la CAC, por lo que resultan de aplicación los argumentos señalados respecto de su importancia estratégica para la economía nacional y europea, y la garantía del crecimiento económico sostenible. En aplicación del mencionado título competencial, el legislador estatal ha optado por atribuir al Estado las competencias directamente relacionadas con la planificación económica, singularmente la elección de los lugares de almacenamiento, reservando a la Comunidad Autónoma la adopción de las cautelas para que esa actividad, potencialmente dañina para el medio ambiente pero imprescindible para mantener el crecimiento económico, no llegue a realizar perjuicios en el entorno natural. Por lo demás, la ubicación del lugar de almacenamiento tiene carácter estratégico, pues habrá de conectarse a través de una red de transporte nacional y transnacional con instalaciones emisoras de CO2, y está sujeta a una intervención a escala comunitaria con arreglo al principio de subsidiariedad.</w:t>
      </w:r>
    </w:p>
    <w:p w:rsidR="00A90898" w:rsidRDefault="00A90898" w:rsidP="00A90898">
      <w:pPr>
        <w:pStyle w:val="TextoNormal"/>
      </w:pPr>
    </w:p>
    <w:p w:rsidR="00A90898" w:rsidRDefault="00A90898" w:rsidP="00A90898">
      <w:pPr>
        <w:pStyle w:val="TextoNormal"/>
      </w:pPr>
      <w:r>
        <w:t xml:space="preserve">No estamos pues, como pretende la Comunidad Autónoma, ante una actividad reglada, sino ante una planificación que deberá hacerse desde una perspectiva estatal, a través de tres instrumentos: la autorización estatal de las grandes instalaciones de generación, el diseño y gestión de la futura red de transporte de CO2, y la elección de los lugares de almacenamiento de CO2 mediante el otorgamiento de la correspondiente concesión. Estando claro el carácter estratégico de las concesiones de almacenamiento, ha de afirmarse la legitimidad de su </w:t>
      </w:r>
      <w:r>
        <w:lastRenderedPageBreak/>
        <w:t>asunción por el Estado, máxime cuando se han establecido fuertes mecanismos colaborativos que convierten a las Comunidades en los actores principales de la protección del medio ambiente, reservándose a la gestión centralizada únicamente los aspectos estrictamente relacionados con el sistema nacional CAC. Con ello, la Ley 40/2010 sigue el esquema de distribución competencial de la Ley 1/2005, reservando el Estado actos de ejecución que se consideran estratégicos para la economía nacional: aprobación del plan nacional de asignación de derechos de emisión, asignación individualizada de esos derechos y gestión del mercado nacional de derechos de emisión.</w:t>
      </w:r>
    </w:p>
    <w:p w:rsidR="00A90898" w:rsidRDefault="00A90898" w:rsidP="00A90898">
      <w:pPr>
        <w:pStyle w:val="TextoNormal"/>
      </w:pPr>
    </w:p>
    <w:p w:rsidR="00A90898" w:rsidRDefault="00A90898" w:rsidP="00A90898">
      <w:pPr>
        <w:pStyle w:val="TextoNormal"/>
      </w:pPr>
      <w:r>
        <w:t>El permiso de investigación se limita al estudio de la aptitud de una formación para constituir lugar idóneo para el almacenamiento; nada impide, por tanto, que si la formación que se pretende investigar tiene ámbito autonómico, sea la Comunidad quien otorgue el permiso. Sin embargo la concesión de almacenamiento es, en todo caso, estratégica desde la perspectiva nacional; su interés supraautonómico se percibe si tenemos en cuenta que cada lugar de almacenamiento habrá de formar parte de la una red europea interconectada y que servirá de depósito de CO2 captado a instalaciones situadas en diversas Comunidades Autónomas o incluso en otros Estado de la Unión. Pueden existir en esta materia intereses contrapuestos o divergentes de Comunidades Autónomas que sólo el Estado puede cohonestar en atención al interés público superior. Justificado el carácter estatal de la concesión de almacenamiento, participarían de esta misma naturaleza todas las actuaciones conexas, recogidas en los artículos 5.1 b), c), d), e) y g), 3, 4 y 5; 10, apartados 4, 6 y 7; 11; 13; 15; 19, apartados 2 y 3; y 23.</w:t>
      </w:r>
    </w:p>
    <w:p w:rsidR="00A90898" w:rsidRDefault="00A90898" w:rsidP="00A90898">
      <w:pPr>
        <w:pStyle w:val="TextoNormal"/>
      </w:pPr>
    </w:p>
    <w:p w:rsidR="00A90898" w:rsidRDefault="00A90898" w:rsidP="00A90898">
      <w:pPr>
        <w:pStyle w:val="TextoNormal"/>
      </w:pPr>
      <w:r>
        <w:t>Respecto de la impugnación formulada en relación con los artículos 3, 24 y 25, afirma el representante estatal que el artículo 3 se limita a atribuir la condición de bien de dominio público estatal a las “formaciones geológicas que formen parte de los lugares de almacenamiento existentes en el territorio del Estado y en el subsuelo del mar territorial y de los fondos marinos que estén bajo la soberanía del reino de España”. Recuerda que el art. 132.2 CE establece una reserva de ley estatal para la determinación de los bienes que han de formar parte del dominio público estatal; pero no significa que corresponda en exclusiva al Estado la incorporación de cualquier bien al dominio público, ni que todo bien que se integre en el demanio deba considerarse, por esa misma razón, de titularidad del Estado. En la calificación como bien de dominio público de las citadas formaciones geológicas, se está definiendo un demanio natural, en cuanto categoría completa de bienes, formada por la naturaleza (a semejanza de las recogidas en el art. 132.2 CE) vinculadas, en última instancia a la satisfacción de necesidades colectivas primarias; en concreto, la que garantiza el art. 45 CE o la utilización de la “riqueza del país” en cuanto subordinada al interés general (art. 128.1 CE). Pero aún en el supuesto de que se entendiera que no constituyen demanio natural y la facultad de su calificación como dominio público quedara vinculada a la potestad material, la competencia seguiría siendo estatal, pues la calificación de una categoría de bienes como demanial supone el ejercicio de una potestad legislativa que, en el supuesto que nos ocupa, ni siquiera la demanda niega que deba residenciarse en el Estado, sin que dicha integración afecte a las concretas facultades ejecutivas que sobre esa categoría de bienes se pretendan ejercer, imponiendo simplemente al Estado una obligación de conservación de tales bienes en atención a su singular subordinación al interés general.</w:t>
      </w:r>
    </w:p>
    <w:p w:rsidR="00A90898" w:rsidRDefault="00A90898" w:rsidP="00A90898">
      <w:pPr>
        <w:pStyle w:val="TextoNormal"/>
      </w:pPr>
    </w:p>
    <w:p w:rsidR="00A90898" w:rsidRDefault="00A90898" w:rsidP="00A90898">
      <w:pPr>
        <w:pStyle w:val="TextoNormal"/>
      </w:pPr>
      <w:r>
        <w:lastRenderedPageBreak/>
        <w:t>En relación con los artículos 24 y 25, no aparece en la demanda razonamiento alguno justificativo de su impugnación, por lo que no levanta la carga que incumbe a la parte recurrente de fundamentar su inconstitucionalidad, de conformidad con una consolidada y reiterada jurisprudencia constitucional. En todo caso, las mismas razones que justifican la asunción por el Estado de la titularidad demanial de los lugares de almacenamiento, amparan la constitucionalidad de estos preceptos, como implícitamente resulta de la demanda, que no añade argumento alguno que singularice su inconstitucionalidad.</w:t>
      </w:r>
    </w:p>
    <w:p w:rsidR="00A90898" w:rsidRDefault="00A90898" w:rsidP="00A90898">
      <w:pPr>
        <w:pStyle w:val="TextoNormal"/>
      </w:pPr>
    </w:p>
    <w:p w:rsidR="00A90898" w:rsidRDefault="00A90898" w:rsidP="00A90898">
      <w:pPr>
        <w:pStyle w:val="TextoNormal"/>
      </w:pPr>
      <w:r>
        <w:t>En lo relativo a la impugnación de los artículos 5, 26 y 27, remitiéndose a lo ya señalado, considera que las redes de transporte tienen carácter supranacional, por lo que no existen dudas sobre su naturaleza supraautonómica, debiendo ponerse de relieve además que la gestión de esa red no resulta fraccionable por Comunidades Autónomas, pues ha de unir instalaciones emisoras con lugares de almacenamiento que pueden encontrarse no sólo en distintas Comunidades Autónomas sino en otros países, por lo que sólo el Estado desde una perspectiva global puede gestionar la red, conciliando, en su caso, los intereses contrapuestos de las diversas Comunidades Autónomas, y garantizando un equitativo acceso a los lugares de almacenamiento a través de una red integrada de transporte.</w:t>
      </w:r>
    </w:p>
    <w:p w:rsidR="00A90898" w:rsidRDefault="00A90898" w:rsidP="00A90898">
      <w:pPr>
        <w:pStyle w:val="TextoNormal"/>
      </w:pPr>
    </w:p>
    <w:p w:rsidR="00A90898" w:rsidRDefault="00A90898" w:rsidP="00A90898">
      <w:pPr>
        <w:pStyle w:val="TextoNormal"/>
      </w:pPr>
      <w:r>
        <w:t>Analiza a continuación el representante estatal el artículo 28.4 en relación con la disposición final primera, que se impugna por considerar que condiciona indebidamente la competencia autonómica exclusiva sobre “ordenación del territorio y del litoral, urbanismo y vivienda”. En cuanto al párrafo primero de la disposición, a su juicio concurren en este supuesto todos los elementos que la jurisprudencia constitucional contempla para la concurrencia de competencias sobre un mismo espacio físico, a la vez que la legislación estatal prevé un intenso mecanismo de cooperación para recabar el parecer de las Comunidades afectadas, a través del informe preceptivo, previo a la resolución sobre la concesión de almacenamiento, por lo que se trata de un supuesto similar al contemplado en la STC 46/2007. En cuanto al párrafo segundo, se reprocha la remisión que se hace a la disposición adicional décima del texto refundido de la Ley del suelo de 2008, por lo que, si se acepta la plena conformidad constitucional de esa disposición —que la demanda no discute— no resulta cuestionable la remisión que efectúa la Ley 40/2010, a un procedimiento que sólo será de aplicación, cuando concurran las circunstancias de urgencia o excepcional interés público a que también alude la Ley 40/2010.</w:t>
      </w:r>
    </w:p>
    <w:p w:rsidR="00A90898" w:rsidRDefault="00A90898" w:rsidP="00A90898">
      <w:pPr>
        <w:pStyle w:val="TextoNormal"/>
      </w:pPr>
    </w:p>
    <w:p w:rsidR="00A90898" w:rsidRDefault="00A90898" w:rsidP="00A90898">
      <w:pPr>
        <w:pStyle w:val="TextoNormal"/>
      </w:pPr>
      <w:r>
        <w:t>En relación al art. 38, la demanda no levanta tampoco la carga de alegar que le incumbe, no encontrándose fundamento impugnativo alguno de dicho precepto, siendo en todo caso aplicable a este supuesto la doctrina del Tribunal sobre el carácter instrumental de la potestad sancionadora en la materia sobre la que recae. En el mismo sentido, considera el Abogado del Estado, que no existe ningún fundamento autónomo que justifique la impugnación de la disposición adicional segunda. Por último y en cuanto a la disposición final undécima, ésta se limita a especificar los títulos competenciales en cuya virtud se dictan los preceptos de la Ley 40/2010, por lo que ha de correr la misma suerte que los preceptos que son objeto de impugnación. Finalmente, la disposición adicional decimocuarta se limita a prever la aplicación transitoria del Real Decreto 2857/1978 a los procedimientos que tramite y resuelva el Estado, por lo que no se impone en ningún caso, con carácter supletorio, a las Comunidades Autónomas.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Por providencia de 2 de noviembre de 2016 se acordó señalar para deliberación y votación de la presente Sentencia el día 3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proceso constitucional tiene por objeto resolver el recurso de inconstitucionalidad formulado por la Junta de Galicia en relación con los artículos 3; 5; 8, apartado 6 segundo párrafo; 9, apartados 6 y 7; 10, apartados 4, 6 y 7; 11; 13; 15; 19, apartados 2 y 3; 23; 24; 25; 26, apartados 1, 3, 4 y 5; 27; 28, apartado 4; 38; disposiciones adicionales primera, segunda y tercera y disposiciones finales undécima y decimocuarta de la Ley 40/2010, de 29 de diciembre, de almacenamiento geológico de dióxido de carbono.</w:t>
      </w:r>
    </w:p>
    <w:p w:rsidR="00A90898" w:rsidRDefault="00A90898" w:rsidP="00A90898">
      <w:pPr>
        <w:pStyle w:val="TextoNormal"/>
      </w:pPr>
    </w:p>
    <w:p w:rsidR="00A90898" w:rsidRDefault="00A90898" w:rsidP="00A90898">
      <w:pPr>
        <w:pStyle w:val="TextoNormal"/>
      </w:pPr>
      <w:r>
        <w:t>El recurso se fundamenta en la vulneración del orden constitucional de distribución de competencias que deriva de lo dispuesto en el art. 149.1.23 CE, por la atribución al Estado de facultades ejecutivas que forman parte de las competencias autonómicas de desarrollo de la legislación básica estatal en materia de medioambiente, facultades que la demanda concreta, sustancialmente, en el otorgamiento de las concesiones de almacenamiento, así como en el ejercicio de otras facultades instrumentales ligadas a la anterior: Este es el argumento que, a juicio de la demanda, fundamenta la impugnación dirigida contra los arts. 3; 5; 8.6, segundo párrafo; 9.6 y 7; 10. 4, 6 y 7; 11; 13; 15; 19.2 y 3; 23; 24; 25; 26.1, 3, 4 y 5; 27; 38 y disposiciones adicionales primera, segunda y tercera de la Ley 40/2010. Se alega, además, la inconstitucionalidad de los artículos 5, apartados 1 a) y 2 a); 5.5; y las disposiciones adicionales primera, apartado cuatro; y tercera, por infracción de la doctrina constitucional relativa al ejercicio de las competencias estatales en el espacio marino; de la disposición adicional primera y el artículo 28.4, por vulneración de la competencia exclusiva autonómica en materia de ordenación del territorio y del litoral, urbanismo y vivienda [art. 27.3 del Estatuto de Autonomía para Galicia (EAG)]; y, finalmente, de la disposición final decimocuarta, en cuanto prevé la aplicación a las Comunidades Autónomas de partes no básicas de un reglamento estatal.</w:t>
      </w:r>
    </w:p>
    <w:p w:rsidR="00A90898" w:rsidRDefault="00A90898" w:rsidP="00A90898">
      <w:pPr>
        <w:pStyle w:val="TextoNormal"/>
      </w:pPr>
    </w:p>
    <w:p w:rsidR="00A90898" w:rsidRDefault="00A90898" w:rsidP="00A90898">
      <w:pPr>
        <w:pStyle w:val="TextoNormal"/>
      </w:pPr>
      <w:r>
        <w:t>El Abogado del Estado, como se expone más detalladamente en los antecedentes, se opone al recurso, razonando que las previsiones impugnadas se ajustan a la Constitución y al Estatuto de Autonomía para Galicia.</w:t>
      </w:r>
    </w:p>
    <w:p w:rsidR="00A90898" w:rsidRDefault="00A90898" w:rsidP="00A90898">
      <w:pPr>
        <w:pStyle w:val="TextoNormal"/>
      </w:pPr>
    </w:p>
    <w:p w:rsidR="00A90898" w:rsidRDefault="00A90898" w:rsidP="00A90898">
      <w:pPr>
        <w:pStyle w:val="TextoNormal"/>
      </w:pPr>
      <w:r w:rsidRPr="00A90898">
        <w:rPr>
          <w:rStyle w:val="NumeroAFNegritaCaracter"/>
        </w:rPr>
        <w:t>2</w:t>
      </w:r>
      <w:r>
        <w:t>. La Ley 40/2010, de 29 de diciembre, ha sido objeto de la STC 165/2016, de 6 de octubre, dictada en el recurso de inconstitucionalidad 1870-2011, promovido contra la misma por el Gobierno de Aragón, y donde se vino a desestimar en su integridad la impugnación formulada por la Comunidad Autónoma. La indicada Sentencia cobra relevancia en el presente supuesto, dado que ambos recursos suscitan controversias competenciales similares, y que se plantean en términos análogos, por lo que la doctrina allí contenida resulta trasladable al presente supuesto y sirve para responder a una gran parte de las impugnaciones formuladas por la Junta de Galicia, en los términos que a continuación se señalan.</w:t>
      </w:r>
    </w:p>
    <w:p w:rsidR="00A90898" w:rsidRDefault="00A90898" w:rsidP="00A90898">
      <w:pPr>
        <w:pStyle w:val="TextoNormal"/>
      </w:pPr>
    </w:p>
    <w:p w:rsidR="00A90898" w:rsidRDefault="00A90898" w:rsidP="00A90898">
      <w:pPr>
        <w:pStyle w:val="TextoNormal"/>
      </w:pPr>
      <w:r>
        <w:t xml:space="preserve">a) De acuerdo con una pauta no infrecuente en nuestra jurisprudencia (por ejemplo, SSTC 138/2013, de 6 de junio, FJ 1, y 28/2016, de 18 de febrero, FJ 2), cabe dar aquí por reproducidos los fundamentos jurídicos que la STC 165/2016 dedica al examen del contenido de la Ley 40/2010 (FJ 3), al encuadramiento de la controversia competencial (FJ 4), y a la </w:t>
      </w:r>
      <w:r>
        <w:lastRenderedPageBreak/>
        <w:t>consideración como título competencial prevalente, de la competencia estatal sobre las bases del régimen minero, contemplado en el art. 149.1.25 CE (FFJJ 5, 6, 7 y 8), por lo que procede entrar directamente en el concreto examen de los preceptos impugnados.</w:t>
      </w:r>
    </w:p>
    <w:p w:rsidR="00A90898" w:rsidRDefault="00A90898" w:rsidP="00A90898">
      <w:pPr>
        <w:pStyle w:val="TextoNormal"/>
      </w:pPr>
    </w:p>
    <w:p w:rsidR="00A90898" w:rsidRDefault="00A90898" w:rsidP="00A90898">
      <w:pPr>
        <w:pStyle w:val="TextoNormal"/>
      </w:pPr>
      <w:r>
        <w:t>b) El argumento en que sustenta el Letrado de la Junta de Galicia la impugnación de los arts. 3; 5; 8.6, segundo párrafo; 9.6 y 7; 10. 4, 6 y 7; 11; 13; 15; 19.2 y 3; 23; 24; 25; 26.1, 3, 4 y 5; 27; 38; y disposiciones adicionales primera, segunda y tercera de la Ley 40/2010, es únicamente el de la atribución al Estado de facultades ejecutivas, que corresponden constitucionalmente a la Comunidad Autónoma. En concreto, precisa la demanda, se considera que forma parte del ámbito competencial autonómico en materia de medio ambiente, el otorgamiento de la concesión de almacenamiento, que constituye el elemento autorizatorio clave, así como las facultades instrumentales ligadas a la anterior, que se contemplan en los preceptos impugnados.</w:t>
      </w:r>
    </w:p>
    <w:p w:rsidR="00A90898" w:rsidRDefault="00A90898" w:rsidP="00A90898">
      <w:pPr>
        <w:pStyle w:val="TextoNormal"/>
      </w:pPr>
    </w:p>
    <w:p w:rsidR="00A90898" w:rsidRDefault="00A90898" w:rsidP="00A90898">
      <w:pPr>
        <w:pStyle w:val="TextoNormal"/>
      </w:pPr>
      <w:r>
        <w:t>La Sentencia 165/2016 vino a desestimar la impugnación formulada en relación con la atribución al Estado de la competencia relativa a la concesión de almacenamiento, así como del conjunto de facultades administrativas conexas que allí se impugnaron, y que en el presente recurso se plantean en términos coincidentes, también en relación con los artículos 24, 25 y 38. A la vista de esta coincidencia objetiva, de acuerdo con la doctrina constitucional (STC 172/1998, de 23 de julio, FJ 2), procede desestimar estas impugnaciones, por remisión a lo dispuesto en la STC 165/2016, cuyos fundamentos jurídicos 9 a 13 cabe dar por reproducidos, lo que nos exime de incluirlos siquiera sea en extracto (STC 100/2016, de 25 de mayo, FJ 2).</w:t>
      </w:r>
    </w:p>
    <w:p w:rsidR="00A90898" w:rsidRDefault="00A90898" w:rsidP="00A90898">
      <w:pPr>
        <w:pStyle w:val="TextoNormal"/>
      </w:pPr>
    </w:p>
    <w:p w:rsidR="00A90898" w:rsidRDefault="00A90898" w:rsidP="00A90898">
      <w:pPr>
        <w:pStyle w:val="TextoNormal"/>
      </w:pPr>
      <w:r>
        <w:t xml:space="preserve">c) El art. 3 de la Ley se objeta, además, por la determinación como bienes de “dominio público estatal”, de las formaciones geológicas que formen parte de los lugares de almacenamiento existentes en el territorio del Estado y en el subsuelo del mar territorial y de los fondos marinos. Dicha objeción fue también desestimada en el la STC 165/2016, por considerar que se trata de una cuestión ajena al reparto competencial, no aísla la porción del territorio así caracterizado de su entorno, ni la sustrae a las competencias que sobre ese aspecto corresponden a otros entes públicos que no ostentan esa titularidad (FJ 5, </w:t>
      </w:r>
      <w:r w:rsidRPr="00A90898">
        <w:rPr>
          <w:i/>
        </w:rPr>
        <w:t>in fine</w:t>
      </w:r>
      <w:r>
        <w:t>), añadiendo, asimismo, que dicha caracterización encuentra su justificación en el hecho de que uno de los rasgos esenciales de la normativa específica que ha introducido la Ley 40/2010, que justifican esa variedad de uso del dominio público minero, es precisamente que el almacenamiento de dióxido de carbono en el subsuelo no quede sometida a las normas comunes de la legislación minera, sino a un cuerpo normativo especial, en el que se ha querido explícitamente establecer un régimen específico (FJ 11).</w:t>
      </w:r>
    </w:p>
    <w:p w:rsidR="00A90898" w:rsidRDefault="00A90898" w:rsidP="00A90898">
      <w:pPr>
        <w:pStyle w:val="TextoNormal"/>
      </w:pPr>
    </w:p>
    <w:p w:rsidR="00A90898" w:rsidRDefault="00A90898" w:rsidP="00A90898">
      <w:pPr>
        <w:pStyle w:val="TextoNormal"/>
      </w:pPr>
      <w:r>
        <w:t>Analizadas las impugnaciones ya resueltas, resta por examinar aquellos preceptos cuya infracción se fundamentaría en motivos distintos de los examinados en nuestra Sentencia, o que no fueron en su momento objeto del recurso de inconstitucionalidad que dio lugar a dicho pronunciamiento.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La inconstitucionalidad del art. 5, apartados 1 a) y 2 a); del art. 5.5; de la disposición adicional primera, apartado 4; y de la disposición adicional tercera se fundamenta en que, a juicio del Letrado autonómico, la previsión del ejercicio de competencias estatales por su ubicación en el espacio marino, es contraria a la doctrina constitucional, de la que puede </w:t>
      </w:r>
      <w:r>
        <w:lastRenderedPageBreak/>
        <w:t xml:space="preserve">extraerse que las competencias autonómicas sólo tienen los límites territoriales expresamente establecidos estatutariamente, de manera que la ausencia de límites expresos hace posible extender las respectivas competencias sobre el mar, sin que la ubicación marítima determine </w:t>
      </w:r>
      <w:r w:rsidRPr="00A90898">
        <w:rPr>
          <w:i/>
        </w:rPr>
        <w:t>per se</w:t>
      </w:r>
      <w:r>
        <w:t xml:space="preserve"> el reconocimiento de la competencia en favor del Estado, lo que daría lugar a que, en el presente supuesto, la facultades contempladas hubieran de corresponder a la Comunidad Autónoma, en virtud de lo dispuesto en el art. 27.13 de su Estatuto de Autonomía.</w:t>
      </w:r>
    </w:p>
    <w:p w:rsidR="00A90898" w:rsidRDefault="00A90898" w:rsidP="00A90898">
      <w:pPr>
        <w:pStyle w:val="TextoNormal"/>
      </w:pPr>
    </w:p>
    <w:p w:rsidR="00A90898" w:rsidRDefault="00A90898" w:rsidP="00A90898">
      <w:pPr>
        <w:pStyle w:val="TextoNormal"/>
      </w:pPr>
      <w:r>
        <w:t>La doctrina constitucional es clara en este sentido (SSTC 149/1991, de 4 de julio, FJ 1; 38/2002, de 14 de febrero, FJ 6, y 8/2013; de 17 de enero, FJ 9), al afirmar que el territorio constituye el límite natural de las competencias autonómicas, y las Comunidades Autónomas no pueden, por principio, proyectar sus competencias sobre el mar territorial o el subsuelo marino, salvo que exista un explícito reconocimiento estatutario o cuando, a falta del mismo, ello derive de la naturaleza de la competencia que resulta del bloque de la constitucionalidad, o concurran razones excepcionales que así lo avalen. En el presente supuesto, y sin que se justifique la concurrencia de esas circunstancias específicas, no se produce la aludida vulneración competencial, ya que, por aplicación de los argumentos ya señalados en la STC 165/2016, es precisamente la competencia reconocida al Estado en el art. 149.1.25 CE, la que determina la extensión de dicha competencia, en los términos previstos en los preceptos impugnados, al subsuelo marino; al tiempo que la competencia autonómica para el desarrollo de las bases estales en esta materia no se extiende al subsuelo marino, dado que el mismo no forma parte del territorio de la Comunidad Autónoma, en los términos señalados en la citada jurisprudencia constitucional.</w:t>
      </w:r>
    </w:p>
    <w:p w:rsidR="00A90898" w:rsidRDefault="00A90898" w:rsidP="00A90898">
      <w:pPr>
        <w:pStyle w:val="TextoNormal"/>
      </w:pPr>
    </w:p>
    <w:p w:rsidR="00A90898" w:rsidRDefault="00A90898" w:rsidP="00A90898">
      <w:pPr>
        <w:pStyle w:val="TextoNormal"/>
      </w:pPr>
      <w:r w:rsidRPr="00A90898">
        <w:rPr>
          <w:rStyle w:val="NumeroAFNegritaCaracter"/>
        </w:rPr>
        <w:t>4</w:t>
      </w:r>
      <w:r>
        <w:t>. La disposición adicional primera y el artículo 28.4, en cuanto se remite a la misma, se impugnan por considerar que condicionan indebidamente la competencia autonómica exclusiva en materia de “ordenación del territorio y del litoral, urbanismo y vivienda” (art. 27.3 EAG), imponiendo un determinado contenido a los instrumentos de ordenación territorial y urbanística.</w:t>
      </w:r>
    </w:p>
    <w:p w:rsidR="00A90898" w:rsidRDefault="00A90898" w:rsidP="00A90898">
      <w:pPr>
        <w:pStyle w:val="TextoNormal"/>
      </w:pPr>
    </w:p>
    <w:p w:rsidR="00A90898" w:rsidRDefault="00A90898" w:rsidP="00A90898">
      <w:pPr>
        <w:pStyle w:val="TextoNormal"/>
      </w:pPr>
      <w:r>
        <w:t>Para resolver esta cuestión, hemos de recurrir a una ya consolidada jurisprudencia constitucional, que ha venido reconociendo que “la competencia exclusiva que en materia de ordenación del territorio y urbanismo tienen estatutariamente atribuidas las Comunidades Autónomas no autoriza a desconocer las competencias que con el mismo carácter de exclusivas, vienen reservadas al Estado en virtud del art. 149.1 CE; su ejercicio puede lícitamente condicionar, de esta suerte, la competencia de las Comunidades Autónomas [por todas SSTC 56/1986, de 13 de mayo, FJ 3; 149/1991, de 4 de julio, FJ 1B; 61/1997, de 20 de marzo, FJ 5; 40/1998, de 19 de febrero, FJ 29; y 151/2003, de 17 de julio, FJ 4]” (STC 73/2016, de 14 de abril, FJ 8). En estos casos, “el constituyente ha previsto la coexistencia de títulos competenciales sobre un mismo espacio físico; de aquí que el Tribunal venga reiterando que la atribución de una competencia sobre un ámbito físico determinado no impide necesariamente que se ejerzan otras competencias en ese espacio, siendo esta convergencia posible cuando, incidiendo sobre el mismo espacio físico, dichas competencias tengan distinto objeto jurídico” (por todas STC 40/1998, FJ 29).</w:t>
      </w:r>
    </w:p>
    <w:p w:rsidR="00A90898" w:rsidRDefault="00A90898" w:rsidP="00A90898">
      <w:pPr>
        <w:pStyle w:val="TextoNormal"/>
      </w:pPr>
    </w:p>
    <w:p w:rsidR="00A90898" w:rsidRDefault="00A90898" w:rsidP="00A90898">
      <w:pPr>
        <w:pStyle w:val="TextoNormal"/>
      </w:pPr>
      <w:r>
        <w:t xml:space="preserve">Es por ello, como también hemos señalado, que “el condicionamiento de las competencias ajenas solo será legítimo cuando el ejercicio de las propias se mantenga dentro de sus </w:t>
      </w:r>
      <w:r>
        <w:lastRenderedPageBreak/>
        <w:t>límites característicos, esto es, cuando la concreta medida que se adopte encaje, efectivamente, en el correspondiente título competencial y, además, cuando se haya acudido previamente a cauces cooperativos para recabar el parecer de las entidades afectadas y cuando no se limite la competencia ajena más de lo necesario; todos ello sin perjuicio de la posible existencia de otras circunstancias o factores que tengan relevancia, considerado el específico supuesto sometido a nuestro enjuiciamiento, para determinar la corrección constitucional de la medida adoptada” (STC 151/2003, de 17 de julio, FJ 4).</w:t>
      </w:r>
    </w:p>
    <w:p w:rsidR="00A90898" w:rsidRDefault="00A90898" w:rsidP="00A90898">
      <w:pPr>
        <w:pStyle w:val="TextoNormal"/>
      </w:pPr>
    </w:p>
    <w:p w:rsidR="00A90898" w:rsidRDefault="00A90898" w:rsidP="00A90898">
      <w:pPr>
        <w:pStyle w:val="TextoNormal"/>
      </w:pPr>
      <w:r>
        <w:t>Lo anterior implica que las competencias exclusivas que el Estatuto de Autonomía de Galicia atribuye a esta Comunidad Autónoma en materia de ordenación del territorio y de urbanismo, deben cohonestarse con las que el Estado ostenta para hacer posible la efectividad de esta novedosa tecnología de almacenamiento geológico del dióxido de carbono -calificada en el preámbulo de la norma como de interés estratégico para la economía nacional-, sin que las primeras puedan prevalecer incondicionadamente sobre las que el Estado ha asumido, en ejercicio legítimo de sus competencias exclusivas sobre las bases del régimen minero (art. 149.1.25 CE).</w:t>
      </w:r>
    </w:p>
    <w:p w:rsidR="00A90898" w:rsidRDefault="00A90898" w:rsidP="00A90898">
      <w:pPr>
        <w:pStyle w:val="TextoNormal"/>
      </w:pPr>
    </w:p>
    <w:p w:rsidR="00A90898" w:rsidRDefault="00A90898" w:rsidP="00A90898">
      <w:pPr>
        <w:pStyle w:val="TextoNormal"/>
      </w:pPr>
      <w:r>
        <w:t>El ejercicio por el Estado de las facultades que le atribuye la Ley 40/2010, en lo relativo a las concesiones de almacenamiento es, por tanto, susceptible de afectar al ámbito material urbanístico, lo cual no determina automáticamente la inconstitucionalidad de los preceptos correspondientes, siempre que no estemos ante normas urbanísticas o de ordenación del territorio en sentido propio o ante el ejercicio de competencias urbanísticas de carácter sustantivo. Y es desde esta perspectiva desde la que deben analizarse los preceptos recurridos.</w:t>
      </w:r>
    </w:p>
    <w:p w:rsidR="00A90898" w:rsidRDefault="00A90898" w:rsidP="00A90898">
      <w:pPr>
        <w:pStyle w:val="TextoNormal"/>
      </w:pPr>
    </w:p>
    <w:p w:rsidR="00A90898" w:rsidRDefault="00A90898" w:rsidP="00A90898">
      <w:pPr>
        <w:pStyle w:val="TextoNormal"/>
      </w:pPr>
      <w:r>
        <w:t>En lo que respecta, en primer término, al artículo 28 de la Ley, en el mismo se prevé que el Ministerio de Industria Turismo y Comercio creará y mantendrá un registro de los permisos de investigación y las concesiones de almacenamiento aprobados, incluyendo información sobre los lugares de almacenamiento cerrados; para ello recabará la información necesaria de las Administraciones autonómicas competentes (apartado 1); el Ministerio de Medio Ambiente y Medio Rural y Marino creará y mantendrá un registro permanente de todos los lugares de almacenamiento cerrados y de los complejos de almacenamiento circundantes, que incluya los mapas y secciones de su extensión espacial y la información disponibles que permita valorar si el CO2 almacenado queda completa y permanentemente confinado (apartado 2). Se prevé asimismo que las Administraciones públicas implicadas mantengan las relaciones de cooperación necesarias para garantizar la exactitud y coherencia de la información que conste en sus respectivos registros, (apartado 3).</w:t>
      </w:r>
    </w:p>
    <w:p w:rsidR="00A90898" w:rsidRDefault="00A90898" w:rsidP="00A90898">
      <w:pPr>
        <w:pStyle w:val="TextoNormal"/>
      </w:pPr>
    </w:p>
    <w:p w:rsidR="00A90898" w:rsidRDefault="00A90898" w:rsidP="00A90898">
      <w:pPr>
        <w:pStyle w:val="TextoNormal"/>
      </w:pPr>
      <w:r>
        <w:t>En este contexto el artículo 28.4, que es objeto de la presente impugnación, se limita a disponer que las Administraciones públicas tomarán en consideración los registros de lugares de almacenamiento en sus procedimientos de planificación, así como cuando autoricen actividades susceptibles de afectar o verse afectadas por el almacenamiento geológico de CO2 en los lugares de almacenamiento registrados, debiendo observarse a este respecto lo previsto en la disposición adicional primera de esta ley.</w:t>
      </w:r>
    </w:p>
    <w:p w:rsidR="00A90898" w:rsidRDefault="00A90898" w:rsidP="00A90898">
      <w:pPr>
        <w:pStyle w:val="TextoNormal"/>
      </w:pPr>
    </w:p>
    <w:p w:rsidR="00A90898" w:rsidRDefault="00A90898" w:rsidP="00A90898">
      <w:pPr>
        <w:pStyle w:val="TextoNormal"/>
      </w:pPr>
      <w:r>
        <w:t xml:space="preserve">Por su parte, la citada disposición adicional primer determina, en lo sustancial, que las concesiones de almacenamiento de CO2 deberán tenerse en cuenta en los correspondientes instrumentos de ordenación del territorio, de ordenación urbanística o de planificación de infraestructuras viarias, precisando las posibles instalaciones, calificando adecuadamente </w:t>
      </w:r>
      <w:r>
        <w:lastRenderedPageBreak/>
        <w:t>los terrenos y fijando las reservas de suelo necesarias para la ubicación de las nuevas instalaciones y la protección de las existentes. En los casos en que no se hayan tenido en cuenta dichas concesiones, o cuando razones justificadas de urgencia o excepcional interés aconsejen el establecimiento de instalaciones para el almacenamiento, y siempre que en virtud de lo dispuesto en otras leyes, resultase preceptivo un instrumento de ordenación del territorio o urbanístico, se estará a lo dispuesto en la legislación sobre régimen del suelo y ordenación del territorio que resulte aplicable y, en particular, a lo establecido en la disposición adicional décima del Real Decreto Legislativo 2/2008, de 20 de junio, por el que se aprueba el texto refundido de la Ley de suelo. Las restricciones previstas en los instrumentos de ordenación o de planificación descritos, que afecten a las actividades de investigación y aprovechamiento de estructuras subterráneas para el almacenamiento de CO2, no podrán tener carácter genérico y deberán estar motivadas.</w:t>
      </w:r>
    </w:p>
    <w:p w:rsidR="00A90898" w:rsidRDefault="00A90898" w:rsidP="00A90898">
      <w:pPr>
        <w:pStyle w:val="TextoNormal"/>
      </w:pPr>
    </w:p>
    <w:p w:rsidR="00A90898" w:rsidRDefault="00A90898" w:rsidP="00A90898">
      <w:pPr>
        <w:pStyle w:val="TextoNormal"/>
      </w:pPr>
      <w:r>
        <w:t>Los preceptos impugnados se limitan pues, por un lado, a contemplar la existencia de registros coordinados en el seno de las diferentes Administraciones Públicas implicadas en el ejercicio de las actividades a que se refiere la ley, mediante el establecimiento de mecanismos de colaboración dirigidos a permitir un conocimiento recíproco, general y permanente de los lugares de almacenamiento, haciendo posible a su vez, que todas ellas, y en especial las Administraciones autonómicas competentes, puedan tener en cuenta dicha información en el ejercicio de sus competencias de ordenación del territorio, ordenación urbanística o planificación de infraestructuras; competencias cuyo ejercicio podrá resultar condicionado por las restricciones derivadas de estas actividades de investigación y aprovechamiento de las estructuras subterráneas para el almacenamiento de CO2, pero que en todo caso se someten a la legislación sectorial que resulte de aplicación, con la inclusión de expresas cautelas que limitan estas restricciones, disponiendo que las mismas no podrán tener carácter genérico y deberán estar motivadas.</w:t>
      </w:r>
    </w:p>
    <w:p w:rsidR="00A90898" w:rsidRDefault="00A90898" w:rsidP="00A90898">
      <w:pPr>
        <w:pStyle w:val="TextoNormal"/>
      </w:pPr>
    </w:p>
    <w:p w:rsidR="00A90898" w:rsidRDefault="00A90898" w:rsidP="00A90898">
      <w:pPr>
        <w:pStyle w:val="TextoNormal"/>
      </w:pPr>
      <w:r>
        <w:t xml:space="preserve">Los recurrentes efectúan también una mención expresa a lo dispuesto en el último inciso del apartado 2 de esta disposición adicional primera, por cuanto consideran que la remisión específica que se efectúa a lo dispuesto en la disposición adicional décima del texto refundido de la Ley del suelo, predetermina la legislación aplicable, convirtiendo al Estado en autoridad urbanística. Sobre preceptos similares al presente ya ha tenido ocasión de pronunciarse este Tribunal, en términos que resultan trasladables al presente supuesto, y que permiten descartar la citada vulneración competencial, pues “nuestra doctrina ya se ha planteado la cuestión de si la exclusividad competencial autonómica en materia de urbanismo impide que el Estado pueda ejercer competencias con contenido distinto de la urbanística pero que requieran para su ejercicio una proyección sobre el suelo de una Comunidad Autónoma”. Señalada que tal posibilidad no puede ser excluida, hemos afirmado respecto a la ejecución de concretos proyectos estatales [STC 149/1998, de 2 de julio, FJ 5 B)]: “el Estado podrá ejercer la facultad de acordar la ejecución de proyectos de obras, actividades o servicios que puedan resultar eventualmente contrarios con las determinaciones de los instrumentos de ordenación del territorio o las de los planes urbanísticos cuando lo haga en uso de una competencia reservada </w:t>
      </w:r>
      <w:r w:rsidRPr="00A90898">
        <w:rPr>
          <w:i/>
        </w:rPr>
        <w:t>ex</w:t>
      </w:r>
      <w:r>
        <w:t xml:space="preserve"> art. 149.1 CE, y siempre que se den los presupuestos que se señalaban en el art. 180 del texto refundido de la Ley del suelo (1976) y que hoy recoge el vigente art. 244 del texto refundido de la Ley del suelo (1992), es decir, razones de urgencia o excepcional interés público, de forma que sólo acudiendo a lo preceptuado en dicho artículo sea posible el ejercicio de las referidas competencias (STC 56/1983, fundamento jurídico 3)” (STC 170/2012, de 4 de octubre, FJ 12).</w:t>
      </w:r>
    </w:p>
    <w:p w:rsidR="00A90898" w:rsidRDefault="00A90898" w:rsidP="00A90898">
      <w:pPr>
        <w:pStyle w:val="TextoNormal"/>
      </w:pPr>
    </w:p>
    <w:p w:rsidR="00A90898" w:rsidRDefault="00A90898" w:rsidP="00A90898">
      <w:pPr>
        <w:pStyle w:val="TextoNormal"/>
      </w:pPr>
      <w:r>
        <w:t>A la vista de lo expuesto, cabe concluir que en ningún caso se sustrae a las Comunidades Autónomas el ejercicio de las competencias que les corresponden en materia de urbanismo y ordenación del territorio, ni se contempla el ejercicio directo por el Estado de competencias sustantivas en estas materias, sin que las propias competencias autonómicas se vean desvirtuadas, pues los preceptos examinados no suponen sino una apelación al necesario ejercicio cohonestado de las competencias estatales y autonómicas que incidan sobre este ámbito, sin introducir condicionantes ilegítimos de las atribuciones autonómicas en materia de urbanismo y ordenación del territorio, razón por la cual obedecen al recto ejercicio de la competencia estatal y, en consecuencia, la impugnación debe ser rechazada.</w:t>
      </w:r>
    </w:p>
    <w:p w:rsidR="00A90898" w:rsidRDefault="00A90898" w:rsidP="00A90898">
      <w:pPr>
        <w:pStyle w:val="TextoNormal"/>
      </w:pPr>
    </w:p>
    <w:p w:rsidR="00A90898" w:rsidRDefault="00A90898" w:rsidP="00A90898">
      <w:pPr>
        <w:pStyle w:val="TextoNormal"/>
      </w:pPr>
      <w:r w:rsidRPr="00A90898">
        <w:rPr>
          <w:rStyle w:val="NumeroAFNegritaCaracter"/>
        </w:rPr>
        <w:t>5</w:t>
      </w:r>
      <w:r>
        <w:t>. Procede examinar, por último, la impugnación dirigida a las disposiciones finales undécima y decimocuarta de la Ley 40/2010.</w:t>
      </w:r>
    </w:p>
    <w:p w:rsidR="00A90898" w:rsidRDefault="00A90898" w:rsidP="00A90898">
      <w:pPr>
        <w:pStyle w:val="TextoNormal"/>
      </w:pPr>
    </w:p>
    <w:p w:rsidR="00A90898" w:rsidRDefault="00A90898" w:rsidP="00A90898">
      <w:pPr>
        <w:pStyle w:val="TextoNormal"/>
      </w:pPr>
      <w:r>
        <w:t>La disposición final undécima enumera los preceptos constitucionales que sirven de amparo a la competencia ejercida por el Estado; y si bien el texto de la demanda no contiene argumentación específica que sustente la impugnación dirigida contra el mismo, baste recordar que, como hemos manifestado reiteradamente, la delimitación competencial ha de resolverse en consonancia con las conclusiones alcanzadas en los anteriores fundamentos jurídicos, por lo que no resulta necesario un pronunciamiento expreso y genérico sobre el contenido de este precepto, dado que el Gobierno autonómico ya lo ha obtenido en relación a cada uno de los preceptos impugnados, y ello se proyecta sobre esta concreta disposición (por todas STC 5/2016, de 21 de enero, FJ 5).</w:t>
      </w:r>
    </w:p>
    <w:p w:rsidR="00A90898" w:rsidRDefault="00A90898" w:rsidP="00A90898">
      <w:pPr>
        <w:pStyle w:val="TextoNormal"/>
      </w:pPr>
    </w:p>
    <w:p w:rsidR="00A90898" w:rsidRDefault="00A90898" w:rsidP="00A90898">
      <w:pPr>
        <w:pStyle w:val="TextoNormal"/>
      </w:pPr>
      <w:r>
        <w:t>En cuanto a la disposición final decimocuarta, se señala que, en tanto no se apruebe el desarrollo reglamentario de esta ley, a los procedimientos de autorización y concesión de almacenamiento geológico de dióxido de carbono tramitados por la Administración General del Estado, se les aplicará el Real Decreto 2857/1978, de 25 de agosto, por el que se aprueba el Reglamento General de la Minería, en lo que no contradiga lo dispuesto en ella. A juicio de los recurrentes, el precepto resulta inconstitucional en cuanto establece la aplicación supletoria de una normativa preconstitucional que no tiene carácter básico en su conjunto, y no ha sido adaptada al título VIII de la Constitución, por lo que no se puede declarar aún supletoriamente, la aplicación a las Comunidades Autónomas de las partes no básicas de un reglamento estatal.</w:t>
      </w:r>
    </w:p>
    <w:p w:rsidR="00A90898" w:rsidRDefault="00A90898" w:rsidP="00A90898">
      <w:pPr>
        <w:pStyle w:val="TextoNormal"/>
      </w:pPr>
    </w:p>
    <w:p w:rsidR="00A90898" w:rsidRDefault="00A90898" w:rsidP="00A90898">
      <w:pPr>
        <w:pStyle w:val="TextoNormal"/>
      </w:pPr>
      <w:r>
        <w:t>La impugnación ha de ser rechazada, puesto que la lectura del precepto evidencia que del mismo no se derivan los efectos denunciados, habida cuenta que esta disposición final se limita a introducir una norma de derecho transitorio y de exclusiva aplicación a los procedimientos tramitados por la Administración General del Estado, sin que su lectura permita deducir una aplicación extensiva a aquéllos otros procedimientos, cuya competencia corresponda a las Comunidades Autónomas.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noviembre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el recurso de inconstitucionalidad núm. 5252-2011, al que se adhiere el Magistrado don Juan Antonio Xiol Ríos.</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la mayoría del Tribunal, formulo Voto Particular tanto a la fundamentación como al fallo de esta Sentencia.</w:t>
      </w:r>
    </w:p>
    <w:p w:rsidR="00A90898" w:rsidRDefault="00A90898" w:rsidP="00A90898">
      <w:pPr>
        <w:pStyle w:val="TextoNormal"/>
      </w:pPr>
    </w:p>
    <w:p w:rsidR="00A90898" w:rsidRDefault="00A90898" w:rsidP="00A90898">
      <w:pPr>
        <w:pStyle w:val="TextoNormal"/>
      </w:pPr>
      <w:r>
        <w:t>El presente recurso de inconstitucionalidad se fundamenta en la vulneración del orden constitucional de distribución de competencias que deriva de lo dispuesto en el art. 149.1.23 CE, por la atribución al Estado de facultades ejecutivas que forman parte de las competencias autonómicas de desarrollo de la legislación básica estatal en materia de medioambiente, facultades que la demanda concreta, sustancialmente, en el otorgamiento de las concesiones de almacenamiento, así como en el ejercicio de otras facultades instrumentales ligadas a la anterior. La desestimación del recurso se basa en los argumentos utilizados en la STC 165/2016, de 6 de octubre, dictada en el recurso de inconstitucionalidad núm. 1870-2011 promovido por el Gobierno de Aragón, que planteaba la misma controversia competencial a propósito también de la Ley 40/2010, de 29 de diciembre, de almacenamiento geológico de dióxido de carbono. Además, la presente Sentencia desestima nuevos motivos de impugnación frente a los mismos preceptos o los mismos motivos esgrimidos frente a preceptos que no fueron objeto del anterior recurso de inconstitucionalidad.</w:t>
      </w:r>
    </w:p>
    <w:p w:rsidR="00A90898" w:rsidRDefault="00A90898" w:rsidP="00A90898">
      <w:pPr>
        <w:pStyle w:val="TextoNormal"/>
      </w:pPr>
    </w:p>
    <w:p w:rsidR="00A90898" w:rsidRDefault="00A90898" w:rsidP="00A90898">
      <w:pPr>
        <w:pStyle w:val="TextoNormal"/>
      </w:pPr>
      <w:r>
        <w:t>Así pues, las razones de mi discrepancia con la presente Sentencia son las mismas que ya expuse en el Voto particular que formulé a la citada STC 165/2016, y a ellas me remito ahora. Por las razones que desarrollé allí considero que en este proceso debería haberse declarado que corresponde a las Comunidades Autónomas la titularidad de las facultades ejecutivas en materia de almacenamiento de dióxido de carbono en estructuras subterráneas y que, por tanto, los preceptos correspondientes de la Ley 40/2010 que atribuyen indebidamente al Estado dichas facultades y que han sido impugnados en este proceso deberían haberse declarado inconstitucionales y nulos.</w:t>
      </w:r>
    </w:p>
    <w:p w:rsidR="00A90898" w:rsidRDefault="00A90898" w:rsidP="00A90898">
      <w:pPr>
        <w:pStyle w:val="TextoNormal"/>
      </w:pPr>
    </w:p>
    <w:p w:rsidR="00A90898" w:rsidRDefault="00A90898" w:rsidP="00A90898">
      <w:pPr>
        <w:pStyle w:val="TextoNormal"/>
      </w:pPr>
      <w:r>
        <w:t>Madrid, a tres de noviembre de dos mil dieciséis.-Adela Asua Batarrita.-Juan Antonio Xiol Ríos.-Firmado y rubricado.</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2" w:name="SENTENCIA_2016_183"/>
      <w:r>
        <w:lastRenderedPageBreak/>
        <w:t>SENTENCIA 183/2016, de 3 de noviembre de 2016</w:t>
      </w:r>
    </w:p>
    <w:bookmarkEnd w:id="62"/>
    <w:p w:rsidR="00A90898" w:rsidRDefault="00A90898" w:rsidP="00A90898">
      <w:pPr>
        <w:pStyle w:val="TtuloResolucin"/>
      </w:pPr>
      <w:r>
        <w:t>Pleno</w:t>
      </w:r>
    </w:p>
    <w:p w:rsidR="00A90898" w:rsidRDefault="00A90898" w:rsidP="00A90898">
      <w:pPr>
        <w:pStyle w:val="TtuloBOE"/>
      </w:pPr>
      <w:r>
        <w:t>(BOE núm. 299, de 12 de diciembre de 2016)</w:t>
      </w:r>
    </w:p>
    <w:p w:rsidR="00A90898" w:rsidRDefault="00A90898" w:rsidP="00A90898">
      <w:pPr>
        <w:pStyle w:val="TextoNormalCentrado"/>
      </w:pPr>
      <w:r>
        <w:t>ECLI:ES:TC:2016:183</w:t>
      </w:r>
    </w:p>
    <w:p w:rsidR="00A90898" w:rsidRDefault="00A90898" w:rsidP="00A90898">
      <w:pPr>
        <w:pStyle w:val="TextoNormalCentrado"/>
      </w:pPr>
    </w:p>
    <w:p w:rsidR="00A90898" w:rsidRDefault="00A90898" w:rsidP="00A90898">
      <w:pPr>
        <w:pStyle w:val="SntesisDescriptiva"/>
      </w:pPr>
      <w:r>
        <w:t>Recurso de inconstitucionalidad 4530-2012. Interpuesto por el Consejo de Gobierno del Principado de Asturias respecto del artículo 10.4 del Real Decreto-ley 16/2012, de 20 de abril, de medidas urgentes para garantizar la sostenibilidad del Sistema Nacional de Salud y mejorar la calidad y seguridad de sus prestaciones.</w:t>
      </w:r>
    </w:p>
    <w:p w:rsidR="00A90898" w:rsidRDefault="00A90898" w:rsidP="00A90898">
      <w:pPr>
        <w:pStyle w:val="SntesisDescriptiva"/>
      </w:pPr>
    </w:p>
    <w:p w:rsidR="00A90898" w:rsidRDefault="00A90898" w:rsidP="00A90898">
      <w:pPr>
        <w:pStyle w:val="SntesisAnaltica"/>
      </w:pPr>
      <w:r>
        <w:t>Límites de los decretos-leyes y competencias en sanidad y función pública: nulidad de la previsión legal estatal que impide la adscripción de personal funcionario sanitario a instituciones sanitarias públicas autonómicas.</w:t>
      </w:r>
    </w:p>
    <w:p w:rsidR="00A90898" w:rsidRDefault="00A90898" w:rsidP="00A90898">
      <w:pPr>
        <w:pStyle w:val="SntesisAnaltica"/>
      </w:pPr>
    </w:p>
    <w:p w:rsidR="00A90898" w:rsidRDefault="00A90898" w:rsidP="00A90898">
      <w:pPr>
        <w:pStyle w:val="Extracto"/>
      </w:pPr>
      <w:r>
        <w:t>1.</w:t>
      </w:r>
      <w:r>
        <w:tab/>
        <w:t>La normativa impugnada que prevé la integración forzosa de funcionarios en ámbitos que no se relacionan con las habilidades y competencias que ostentan, supone una intromisión en la competencia autonómica sobre la gestión del personal a su servicio. Además, la Comunidad Autónoma se ve privada de todo margen de actuación, ya que carece de libertad no ya para decidir sobre la procedencia de la medida sino incluso para disponer lo oportuno respecto al destino del personal que no haya adquirido la condición de personal estatutario fijo [FJ 6].</w:t>
      </w:r>
    </w:p>
    <w:p w:rsidR="00A90898" w:rsidRDefault="00A90898" w:rsidP="00A90898">
      <w:pPr>
        <w:pStyle w:val="Extracto"/>
      </w:pPr>
    </w:p>
    <w:p w:rsidR="00A90898" w:rsidRDefault="00A90898" w:rsidP="00A90898">
      <w:pPr>
        <w:pStyle w:val="Extracto"/>
      </w:pPr>
      <w:r>
        <w:t>2.</w:t>
      </w:r>
      <w:r>
        <w:tab/>
        <w:t>Respecto a la interpretación según la cual los funcionarios de la Comunidad Autónoma podrían ser adscritos a órganos administrativos con competencias en materia de sanidad, además de que no es la que resulta de la norma, tampoco es función propia de las bases en materia de función pública determinar a qué órganos de la administración autonómica debe adscribirse a aquéllos [FJ 6].</w:t>
      </w:r>
    </w:p>
    <w:p w:rsidR="00A90898" w:rsidRDefault="00A90898" w:rsidP="00A90898">
      <w:pPr>
        <w:pStyle w:val="Extracto"/>
      </w:pPr>
    </w:p>
    <w:p w:rsidR="00A90898" w:rsidRDefault="00A90898" w:rsidP="00A90898">
      <w:pPr>
        <w:pStyle w:val="Extracto"/>
      </w:pPr>
      <w:r>
        <w:t>3.</w:t>
      </w:r>
      <w:r>
        <w:tab/>
        <w:t>A tenor de la distribución de competencias entre el Estado y el Principado de Asturias en materia de función pública, corresponde al Estado establecer las bases del régimen estatutario de los funcionarios públicos y a la Comunidad Autónoma la competencia de desarrollo legislativo y ejecución, de acuerdo con aquella legislación básica, en relación con la función pública dependiente de la Comunidad Autónoma así como la de la Administración local [FJ 5].</w:t>
      </w:r>
    </w:p>
    <w:p w:rsidR="00A90898" w:rsidRDefault="00A90898" w:rsidP="00A90898">
      <w:pPr>
        <w:pStyle w:val="Extracto"/>
      </w:pPr>
    </w:p>
    <w:p w:rsidR="00A90898" w:rsidRDefault="00A90898" w:rsidP="00A90898">
      <w:pPr>
        <w:pStyle w:val="Extracto"/>
      </w:pPr>
      <w:r>
        <w:t>4.</w:t>
      </w:r>
      <w:r>
        <w:tab/>
        <w:t>La utilización del decreto-ley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[FJ 2].</w:t>
      </w:r>
    </w:p>
    <w:p w:rsidR="00A90898" w:rsidRDefault="00A90898" w:rsidP="00A90898">
      <w:pPr>
        <w:pStyle w:val="Extracto"/>
      </w:pPr>
    </w:p>
    <w:p w:rsidR="00A90898" w:rsidRDefault="00A90898" w:rsidP="00A90898">
      <w:pPr>
        <w:pStyle w:val="Extracto"/>
      </w:pPr>
      <w:r>
        <w:t>5.</w:t>
      </w:r>
      <w:r>
        <w:tab/>
        <w:t>El control de constitucional externo que corresponde al Tribunal en la comprobación del necesario respeto a los límites del decreto-ley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Trias,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4530-2012 interpuesto por el Consejo de Gobierno del Principado de Asturias contra el art. 10.4 del Real Decreto-ley 16/2012, de 20 de abril, de medidas urgentes para garantizar la sostenibilidad del Sistema Nacional de Salud y mejorar la calidad y seguridad de sus prestaciones. Ha comparecido y formulado alegaciones el Abogado del Estado.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20 de julio de 2012, el Letrado del Servicio Jurídico del Principado de Asturias, en la representación que legalmente ostenta del Consejo de Gobierno de esa Comunidad Autónoma, promueve recurso de inconstitucionalidad contra el art. 10.4 del Real Decreto-ley 16/2012, de 20 de abril, de medidas urgentes para garantizar la sostenibilidad del Sistema Nacional de Salud y mejorar la calidad y seguridad de sus prestaciones.</w:t>
      </w:r>
    </w:p>
    <w:p w:rsidR="00A90898" w:rsidRDefault="00A90898" w:rsidP="00A90898">
      <w:pPr>
        <w:pStyle w:val="TextoNormal"/>
      </w:pPr>
    </w:p>
    <w:p w:rsidR="00A90898" w:rsidRDefault="00A90898" w:rsidP="00A90898">
      <w:pPr>
        <w:pStyle w:val="TextoNormal"/>
      </w:pPr>
      <w:r>
        <w:t>Los motivos del recurso son, resumidamente expuestos, los siguientes:</w:t>
      </w:r>
    </w:p>
    <w:p w:rsidR="00A90898" w:rsidRDefault="00A90898" w:rsidP="00A90898">
      <w:pPr>
        <w:pStyle w:val="TextoNormal"/>
      </w:pPr>
    </w:p>
    <w:p w:rsidR="00A90898" w:rsidRDefault="00A90898" w:rsidP="00A90898">
      <w:pPr>
        <w:pStyle w:val="TextoNormal"/>
      </w:pPr>
      <w:r>
        <w:t>Tras aludir al cumplimiento de los requisitos procesales para la interposición del recurso el Letrado autonómico señala que los preceptos constitucionales que se consideran vulnerados son los arts. 9.3, 86.1, 103 y 149.1.16 y 18 CE; el art. 148.1.1 CE y los arts. 10.1.1 y 15.3 del Estatuto de Autonomía para Asturias (EAAst), relativos a la potestad de autoorganización autonómica, así como el art. 11.2 EAAst, que reconoce la competencia autonómica de desarrollo legislativo y ejecución en materia de sanidad.</w:t>
      </w:r>
    </w:p>
    <w:p w:rsidR="00A90898" w:rsidRDefault="00A90898" w:rsidP="00A90898">
      <w:pPr>
        <w:pStyle w:val="TextoNormal"/>
      </w:pPr>
    </w:p>
    <w:p w:rsidR="00A90898" w:rsidRDefault="00A90898" w:rsidP="00A90898">
      <w:pPr>
        <w:pStyle w:val="TextoNormal"/>
      </w:pPr>
      <w:r>
        <w:t xml:space="preserve">El impugnado art. 10.4 del Real Decreto-ley 16/2012 añade una disposición adicional, la decimosexta, a la Ley 55/2003, de 16 de diciembre, del estatuto marco del personal estatutario de los servicios de salud (en adelante, estatuto marco) en la que se regula la integración del personal funcionario al servicio de las instituciones sanitarias públicas en los servicios de salud con la condición de personal estatutario fijo, estableciendo asimismo el deber de las Comunidades Autónomas de adscribir al personal que opte por permanecer en activo en </w:t>
      </w:r>
      <w:r>
        <w:lastRenderedPageBreak/>
        <w:t>su actual situación a órganos administrativos que no pertenezcan a las instituciones sanitarias públicas, conforme a las bases de los procesos de movilidad que, a tal fin, puedan articularse y señalando que el plazo máximo para la integración de estos colectivos finaliza el 31 de diciembre de 2013. Indica que, de conformidad con su disposición final primera, el Real Decreto-ley 16/2012 se dicta al amparo de lo establecido en los apartados 1, 16, 18 y 30 del art. 149.1 CE.</w:t>
      </w:r>
    </w:p>
    <w:p w:rsidR="00A90898" w:rsidRDefault="00A90898" w:rsidP="00A90898">
      <w:pPr>
        <w:pStyle w:val="TextoNormal"/>
      </w:pPr>
    </w:p>
    <w:p w:rsidR="00A90898" w:rsidRDefault="00A90898" w:rsidP="00A90898">
      <w:pPr>
        <w:pStyle w:val="TextoNormal"/>
      </w:pPr>
      <w:r>
        <w:t>El Letrado autonómico considera que el precepto, al disponer la integración del personal funcionario al servicio de las instituciones sanitarias públicas en el régimen estatutario, constituye materialmente un acto administrativo carente de regulación sustantiva, sin que esté justificada la extraordinaria y urgente necesidad que habilite para establecer esta medida mediante un decreto-ley, ni tampoco deje ningún margen a las Comunidades Autónomas, razón por lo que carecería de carácter básico. Por último, la adscripción del personal sanitario que opte por continuar en servicio activo como funcionario a órganos administrativos no sanitarios constituye una decisión arbitraria y contraria a los más elementales principios de eficacia administrativa.</w:t>
      </w:r>
    </w:p>
    <w:p w:rsidR="00A90898" w:rsidRDefault="00A90898" w:rsidP="00A90898">
      <w:pPr>
        <w:pStyle w:val="TextoNormal"/>
      </w:pPr>
    </w:p>
    <w:p w:rsidR="00A90898" w:rsidRDefault="00A90898" w:rsidP="00A90898">
      <w:pPr>
        <w:pStyle w:val="TextoNormal"/>
      </w:pPr>
      <w:r>
        <w:t>En cuanto al primer motivo del recurso, la inexistencia del presupuesto habilitante del decreto-ley relativo a la extraordinaria y urgente necesidad, señala que la grave recesión económica que afecta a gran parte de los Estados europeos y en particular al nuestro justifica la apreciación de una extraordinaria y urgente necesidad en adoptar múltiples medidas de control del gasto, citando al respecto ejemplos extraídos de la doctrina constitucional relativos a normas dictadas en coyunturas económicas problemáticas. Recuerda, no obstante, que la extraordinaria y urgente necesidad ha de acreditarse respecto de todas y cada una de las disposiciones que forman parte de un decreto-ley, de acuerdo con análisis individualizado y particularizado de las mismas, no bastando con aludir a una mera extraordinaria y urgente necesidad genérica en la adopción de las decisiones fundamentales subyacentes al decreto-ley. En otros términos, el Letrado autonómico considera que la presumible extraordinaria y urgente necesidad en controlar el gasto sanitario, modificando la cartera común de servicios del Sistema Nacional de Salud, que se contempla en los arts. 2 a 5 del Real Decreto-ley, en nada justifica per se la adopción de medidas de integración o adscripción de empleados públicos por medio del decreto-ley, sino que dicha medida debe de encontrar una fundamentación independiente.</w:t>
      </w:r>
    </w:p>
    <w:p w:rsidR="00A90898" w:rsidRDefault="00A90898" w:rsidP="00A90898">
      <w:pPr>
        <w:pStyle w:val="TextoNormal"/>
      </w:pPr>
    </w:p>
    <w:p w:rsidR="00A90898" w:rsidRDefault="00A90898" w:rsidP="00A90898">
      <w:pPr>
        <w:pStyle w:val="TextoNormal"/>
      </w:pPr>
      <w:r>
        <w:t xml:space="preserve">Para la demanda no estamos ante una medida que sea extraordinaria y urgente ya que ningún supuesto de hecho inusual o infrecuente justifica la integración de determinados funcionarios del ámbito sanitario en el régimen del personal estatutario o, en su defecto, su adscripción a órganos que no pertenezcan a las instituciones sanitarias públicas. La disposición impugnada no tiene por objeto atender una necesidad de gravedad o importancia singulares, ni tampoco el decreto-ley las ha concretado. La falta de concurrencia de una situación inaplazable se demuestra por el hecho de que la norma establece un plazo para la integración que finaliza el 31 de diciembre de 2013, contemplando asimismo la articulación de unos procesos de movilidad conforme a las bases que se establezcan. A mayor abundamiento, para conseguir el efecto útil pretendido por la norma, no existe el menor inconveniente en acudir al procedimiento legislativo ordinario. Por otro lado, no existe conexión de sentido entre la hipotética urgencia de la situación y la medida adoptada. Las urgencias genéricas que se derivan de la situación de grave recesión económica generalizada bien pueden justificar medidas de control y restricción del gasto sanitario; pero en modo alguno </w:t>
      </w:r>
      <w:r>
        <w:lastRenderedPageBreak/>
        <w:t>pueden fundamentar la adopción de una medida burocrática de ínfima trascendencia jurídica y económica, que debe quedar reservada, en su caso, a la legislación ordinaria. Tampoco la exposición de motivos de la norma contiene fundamentación alguna acerca de la pretendida urgencia extraordinaria de la medida.</w:t>
      </w:r>
    </w:p>
    <w:p w:rsidR="00A90898" w:rsidRDefault="00A90898" w:rsidP="00A90898">
      <w:pPr>
        <w:pStyle w:val="TextoNormal"/>
      </w:pPr>
    </w:p>
    <w:p w:rsidR="00A90898" w:rsidRDefault="00A90898" w:rsidP="00A90898">
      <w:pPr>
        <w:pStyle w:val="TextoNormal"/>
      </w:pPr>
      <w:r>
        <w:t>En definitiva, para el Letrado del Principado de Asturias, la integración de determinados funcionarios del ámbito sanitario en el régimen del personal estatutario o, en su defecto, su adscripción a órganos que no pertenezcan a las instituciones sanitarias públicas, constituye una disposición meramente burocrática, de ínfimo grado de importancia política, económica u organizativa, carente de la menor trascendencia intrínseca a los efectos de justificar la extraordinaria y urgente necesidad que requiere el decreto-ley. La medida no se refiere a ninguna circunstancia inusual, ni reacciona frente a una situación imprevisible o desconocida, ni versa sobre cuestión alguna de importancia capital, ni que requiera la producción de efectos instantáneos en cuya ausencia se produzca un grave daño.</w:t>
      </w:r>
    </w:p>
    <w:p w:rsidR="00A90898" w:rsidRDefault="00A90898" w:rsidP="00A90898">
      <w:pPr>
        <w:pStyle w:val="TextoNormal"/>
      </w:pPr>
    </w:p>
    <w:p w:rsidR="00A90898" w:rsidRDefault="00A90898" w:rsidP="00A90898">
      <w:pPr>
        <w:pStyle w:val="TextoNormal"/>
      </w:pPr>
      <w:r>
        <w:t xml:space="preserve">En cuanto al segundo motivo de impugnación, la vulneración de las competencias autonómicas, señala que lo básico no debe constituir una regulación detallada y exhaustiva que agote una materia vaciando de contenido la competencia de desarrollo de las Comunidades Autónomas, debiendo dejar un espacio normativo sustantivo y suficiente abierto a la intervención autonómica. El Letrado del Principado de Asturias estima que la norma impugnada decide directa y ejecutivamente sobre la procedencia de la integración o, en su defecto, adscripción, al establecer la plena integración de aquellos funcionarios en los respectivos servicios de salud en calidad de personal estatutario, vulnerando flagrantemente la potestad de autoorganización y gestión de los recursos humanos que corresponde a la Administración sanitaria del Principado de Asturias, con consecuencias intrínseca y nítidamente ejecutivas, que no se amparan en competencias básicas estatales. La medida adoptada no puede calificarse </w:t>
      </w:r>
      <w:r w:rsidRPr="00A90898">
        <w:rPr>
          <w:i/>
        </w:rPr>
        <w:t>per se</w:t>
      </w:r>
      <w:r>
        <w:t xml:space="preserve"> como nuclear o esencial dentro del sistema, representando una actuación de sumo y minucioso detalle que agota completamente la regulación. Asimismo, la ordenación de la integración del personal sanitario local en órganos administrativos de las Comunidades Autónomas que no pertenezcan a las instituciones sanitarias públicas, en el caso de que optaran por mantener su condición funcionarial y no pasarán a ser personal estatutario, comporta la asunción excluyente por el Estado de una función ejecutiva reservada al Principado de Asturias, al incidir sobre la gestión del personal a su servicio.</w:t>
      </w:r>
    </w:p>
    <w:p w:rsidR="00A90898" w:rsidRDefault="00A90898" w:rsidP="00A90898">
      <w:pPr>
        <w:pStyle w:val="TextoNormal"/>
      </w:pPr>
    </w:p>
    <w:p w:rsidR="00A90898" w:rsidRDefault="00A90898" w:rsidP="00A90898">
      <w:pPr>
        <w:pStyle w:val="TextoNormal"/>
      </w:pPr>
      <w:r>
        <w:t xml:space="preserve">Señala además que el precepto solo podría fundamentarse en dos títulos competenciales: bases y coordinación general de la sanidad (art. 149.1.16 CE) y bases del régimen jurídico de las Administraciones públicas y del régimen estatutario de sus funcionarios (art. 149.1.18 CE). Con cita de la STC 1/2003 la demanda señala que el alcance de las bases es menor en aquellas actuaciones que se refieran primordialmente a la organización y funcionamiento interno de los órganos de las Administraciones públicas, que en aquellos otros que incidan más directamente en la actividad externa, sobre todo en cuanto afecten a la esfera de los derechos e intereses de los ciudadanos, dado que el objetivo fundamental es el de garantizar a los administrados un tratamiento común. Resulta claro que el Estado no está estableciendo el régimen jurídico básico y abstracto de los empleados públicos sino que está regulando su actividad interna, no respetando sus potestades de autoorganización que, en esta materia, resultan más amplias que en otros ámbitos de la legislación básica estatal. Dicho en otros términos, el Estado invade y vulnera las competencias autonómicas ejecutivas en materia de personal, consustanciales a su potestad de autoorganización. Por lo demás la medida </w:t>
      </w:r>
      <w:r>
        <w:lastRenderedPageBreak/>
        <w:t>cuestionada tampoco puede considerarse una base en materia sanitaria ya que el título competencial prevalente es el referente al régimen jurídico de los funcionarios. Las medidas contempladas por el precepto impugnado no tienen por objeto disciplinar sustantiva o materialmente la sanidad, sino únicamente determinados extremos organizativos de los funcionarios públicos. Reitera en todo caso que las Comunidades Autónomas no dispondrían más que de una limitada competencia ejecutiva, carente de posibilidades de desarrollo normativo, así como incluso de potestades decisorias discrecionales de naturaleza meramente administrativa. En definitiva, la representación procesal del Consejo de Gobierno del Principado de Asturias considera que “en el caso del apartado primero de la nueva Disposición Adicional Decimosexta de la Ley 55/2003, estamos ante una medida de detalle que modifica el estatus de un determinado colectivo de funcionarios, con un impacto claramente organizativo que el Estado impone unilateralmente a las comunidades autónomas sin dejar ningún margen para decidir sobre la procedencia de esta integración”. Añade que la vulneración competencial que denuncia es más evidente en el apartado dos, que prevé la integración de este personal funcionario en órganos administrativos de las Comunidades Autónomas que no pertenezcan a las instituciones sanitarias públicas, en caso de que optaran por mantener su condición funcionarial y no pasar a ser personal estatutario.</w:t>
      </w:r>
    </w:p>
    <w:p w:rsidR="00A90898" w:rsidRDefault="00A90898" w:rsidP="00A90898">
      <w:pPr>
        <w:pStyle w:val="TextoNormal"/>
      </w:pPr>
    </w:p>
    <w:p w:rsidR="00A90898" w:rsidRDefault="00A90898" w:rsidP="00A90898">
      <w:pPr>
        <w:pStyle w:val="TextoNormal"/>
      </w:pPr>
      <w:r>
        <w:t>Finalmente se alega que se infringe el principio de interdicción de la arbitrariedad del art. 9.3 CE así como el principio de eficacia del art. 103.1 CE, por cuanto la norma dispone que el personal médico y sanitario pasará a desempeñar sus funciones en órganos no sanitarios, medida que la demanda estima carente del menor sentido y fundamento “obedeciendo únicamente a un propósito represivo, punitivo o materialmente sancionador, revelándose así corno una norma arbitraria y contraria a las más elementales exigencias de la eficacia administrativa del art. 103.1 CE”.</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13 de septiembre de 2012, el Pleno, a propuesta de la Sección Primera, acordó admitir a trámite el recurso de inconstitucionalidad promovido por el Consejo de Gobierno del Principado de Asturias y, en su representación y defensa, por el Letrado del mismo, contra el art. 10.4 del Real Decreto-ley 16/2012, de 20 de abril, de medidas urgentes para garantizar la sostenibilidad del Sistema Nacional de Salud y mejorar la calidad y seguridad de sus prestaciones;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15 días, pudieran personarse en el proceso y formular las alegaciones que estimaren convenientes; así como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19 de septiembre de 2012 el Abogado del Estado se personó en nombre del Gobierno solicitando una prórroga en el plazo para la formulación de alegaciones, prórroga que le fue concedida por providencia del Pleno de 20 de septiembre de 2012.</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registrado con fecha 26 de septiembre de 2012, el Presidente del Congreso de los Diputados comunicó el acuerdo de la Mesa de la Cámara de personarse en el procedimiento y ofrecer su colaboración a los efectos del art. 88.1 LOTC. Lo propio hizo el Presidente del Senado por escrito que tuvo entrada en este Tribunal el mismo día.</w:t>
      </w:r>
    </w:p>
    <w:p w:rsidR="00A90898" w:rsidRDefault="00A90898" w:rsidP="00A90898">
      <w:pPr>
        <w:pStyle w:val="TextoNormal"/>
      </w:pPr>
    </w:p>
    <w:p w:rsidR="00A90898" w:rsidRDefault="00A90898" w:rsidP="00A90898">
      <w:pPr>
        <w:pStyle w:val="TextoNormal"/>
      </w:pPr>
      <w:r w:rsidRPr="00A90898">
        <w:rPr>
          <w:rStyle w:val="NumeroAFNegritaCaracter"/>
        </w:rPr>
        <w:t>5</w:t>
      </w:r>
      <w:r>
        <w:t>. Las alegaciones presentadas por el Abogado del Estado interesando la desestimación del recurso fueron registradas en este Tribunal el día 19 de octubre de 2012.</w:t>
      </w:r>
    </w:p>
    <w:p w:rsidR="00A90898" w:rsidRDefault="00A90898" w:rsidP="00A90898">
      <w:pPr>
        <w:pStyle w:val="TextoNormal"/>
      </w:pPr>
    </w:p>
    <w:p w:rsidR="00A90898" w:rsidRDefault="00A90898" w:rsidP="00A90898">
      <w:pPr>
        <w:pStyle w:val="TextoNormal"/>
      </w:pPr>
      <w:r>
        <w:t>Tras describir el contenido del Real Decreto-ley 16/2012 señala que se impugna un aspecto puntual, la previsión del artículo 10, apartado cuarto, por el que se añade una disposición adicional decimosexta al estatuto marco.</w:t>
      </w:r>
    </w:p>
    <w:p w:rsidR="00A90898" w:rsidRDefault="00A90898" w:rsidP="00A90898">
      <w:pPr>
        <w:pStyle w:val="TextoNormal"/>
      </w:pPr>
    </w:p>
    <w:p w:rsidR="00A90898" w:rsidRDefault="00A90898" w:rsidP="00A90898">
      <w:pPr>
        <w:pStyle w:val="TextoNormal"/>
      </w:pPr>
      <w:r>
        <w:t>En cuanto al primer argumento de la demanda relativo a la falta de presupuesto habilitante, el Abogado del Estado alude a la doctrina constitucional respecto a la valoración de la concurrencia del presupuesto habilitante, teniendo en cuenta que el canon de enjuiciamiento se ciñe a corregir una eventual valoración abusiva o arbitraria por parte de los poderes políticos de la necesidad concurrente. Defiende que los órganos políticos han cumplido con la exigencia de exteriorizar las razones de urgencia que legitiman la utilización de esta figura normativa. Esos motivos se sintetizan en: la existencia de una crisis económica sin precedentes que exige de fuertes ajustes presupuestarios y que ha afectado a la sanidad pública hasta el punto de poner en riesgo su sostenibilidad; la importancia del gasto sanitario en las medidas de control de déficit público sin que quepa desconocer la importancia relativa del gasto sanitario en el conjunto del gasto público y la propia situación del Sistema Nacional de Salud que se encuentra ante unas dificultades económicas sin precedentes desde su creación.</w:t>
      </w:r>
    </w:p>
    <w:p w:rsidR="00A90898" w:rsidRDefault="00A90898" w:rsidP="00A90898">
      <w:pPr>
        <w:pStyle w:val="TextoNormal"/>
      </w:pPr>
    </w:p>
    <w:p w:rsidR="00A90898" w:rsidRDefault="00A90898" w:rsidP="00A90898">
      <w:pPr>
        <w:pStyle w:val="TextoNormal"/>
      </w:pPr>
      <w:r>
        <w:t>Sostiene el Abogado del Estado que el preámbulo del Real Decreto-ley 16/2012 da cumplida cuenta de las razones que llevan a adoptar reformas en el estatuto del personal, señalando además que uno de los obstáculos a los planes y medidas de racionalización y eficiencia que están llevando a cabo las administraciones públicas consiste en la diversidad de regímenes jurídicos del personal de sus servicios de salud. Recuerda que el estatuto marco ya optó de forma inequívoca por regular un régimen estatutario para el personal de los servicios de salud, estableciendo en su disposición adicional quinta los mecanismos para que el personal funcionario y laboral de estos servicios se integrara en ese régimen estatutario. Sin embargo, esa integración no se ha hecho efectiva, lo que acarrea dificultades evidentes de gestión que agravan la situación económica y de estabilidad presupuestaria de los distintos servicios de salud. La medida tampoco puede esperar a su tramitación por ley ordinaria. El plazo que la norma fija, 31 de diciembre de 2013, es el más inmediato posible y se fija teniendo en cuenta la dificultad de llevar a cabo los procedimientos y con la intención de que las medidas puedan tener ya repercusión presupuestaria en 2014, año en que deberá realizarse un nuevo esfuerzo para estabilizar el déficit y reducir la deuda pública. Señala que el proceso de integración precisa de normas autonómicas de desarrollo, en cuya tramitación es necesaria la previa negociación con las organizaciones sindicales. Una vez aprobada la norma autonómica se debe dar un plazo para que el personal funcionario solicite esta integración y finalmente han de resolverse los procedimientos de integración. Alude, finalmente, a la relevancia económica de la medida en cuanto que la organización médica colegial ha cifrado en 3.500 sólo los médicos titulares de los servicios sanitarios que se verían afectados por la misma. Menciona también el contenido de dos informes, que adjunta a su escrito, relativos a la solicitud por parte de determinadas Comunidades Autónomas, entre ellas la que ahora impugna, acerca de la adopción de una regulación homogénea para todo el Sistema Nacional de Salud así como respecto a la situación económica del Sistema Nacional de Salud.</w:t>
      </w:r>
    </w:p>
    <w:p w:rsidR="00A90898" w:rsidRDefault="00A90898" w:rsidP="00A90898">
      <w:pPr>
        <w:pStyle w:val="TextoNormal"/>
      </w:pPr>
    </w:p>
    <w:p w:rsidR="00A90898" w:rsidRDefault="00A90898" w:rsidP="00A90898">
      <w:pPr>
        <w:pStyle w:val="TextoNormal"/>
      </w:pPr>
      <w:r>
        <w:t>Desde la perspectiva competencial, el Abogado del Estado indica que la norma, al fijar un plazo máximo para integrar al personal funcionario y laboral sanitario al servicio de instituciones sanitarias públicas en el régimen estatutario del propio estatuto marco, no excede del ámbito material de lo básico. Recuerda la doctrina constitucional respecto al título competencial del artículo 149.1.18 CE, así como que las bases del personal estatutario de los servicios de salud se contienen en el estatuto marco. La modificación impugnada consiste en fijar un plazo, el 31 de diciembre de 2013, para que las Comunidades Autónomas lleven a cabo los procesos de estatutarización del personal funcionario de sus servicios de salud, lo que ya estaba recogido en la disposición adicional quinta del propio estatuto marco, pero sin fijar plazo alguno. De esta manera es el propio estatuto marco el que ya expresa claramente la intención de unificar el régimen de todo el personal de los servicios de salud, integrándolo en el nuevo régimen estatutario en ella previsto. Así, mediante el Real Decreto-ley 16/2012 se culmina el proceso anterior, siendo un precepto materialmente básico en cuanto se limita a definir con carácter general el régimen funcionarial, estatutario o laboral por el que habrá de regirse el personal de los servicios de salud a partir de 31 de diciembre de 2013. En efecto, el precepto aquí impugnado responde al esquema típicamente básico de establecer un principio normativo común —la estatutarización— y un plazo máximo para su implementación por parte de las Comunidades Autónomas. La legislación estatal se mantiene dentro del ámbito característico de lo básico en cuanto define las formas de adquisición y pérdida de la condición de funcionario y la creación e integración (en este caso integración) de cuerpos y escalas. Niega que se agote la capacidad normativa autonómica, pues éstas siguen teniendo las mismas facultades otorgadas por el estatuto marco para adaptar el régimen estatutario en ella previsto a sus peculiaridades organizativas, a lo que se añade además que en la concreta aplicación de la nueva disposición adicional decimosexta son las Comunidades Autónomas quienes, de acuerdo con su potestad de organización de sus servicios de salud, han de elegir y regular el concreto procedimiento para dar efectividad a la integración de todo el personal en el régimen estatutario. Argumenta el Abogado del Estado que la fijación de un plazo máximo por parte del legislador estatal es característico de la tipología de normas que regulan el tránsito de un régimen a otro, pues de otro modo quedaría a la entera voluntad autonómica la efectiva aplicación y entrada en vigor del nuevo régimen estatutario básico. En particular respecto al apartado 2 indica que constituye una previsión orientada a garantizar la plena estatutarización del personal al servicio de las instituciones sanitarias públicas en el plazo fijado en el apartado anterior. La nueva disposición adicional en su apartado 2 ha optado por dar un mayor margen de elección a los destinatarios de la norma, que pueden elegir entre integrarse en el régimen estatutario o continuar en el cuerpo funcionarial o laboral pero en órganos administrativos que no pertenezcan a las instituciones sanitarias públicas. La previsión es perfectamente razonable y coherente con la finalidad del artículo 10.4 del Real Decreto-ley 16/2012 de que, a partir de 31 de diciembre de 2013, todo el personal al servicio de las instituciones sanitarias públicas esté sujeto al mismo régimen básico.</w:t>
      </w:r>
    </w:p>
    <w:p w:rsidR="00A90898" w:rsidRDefault="00A90898" w:rsidP="00A90898">
      <w:pPr>
        <w:pStyle w:val="TextoNormal"/>
      </w:pPr>
    </w:p>
    <w:p w:rsidR="00A90898" w:rsidRDefault="00A90898" w:rsidP="00A90898">
      <w:pPr>
        <w:pStyle w:val="TextoNormal"/>
      </w:pPr>
      <w:r>
        <w:t xml:space="preserve">Descarta finalmente la tacha de arbitrariedad que se formula a este apartado 2 del precepto impugnado por cuanto tiene una evidente explicación racional que no es otra que garantizar la plena integración de todo el personal de los servicios de salud en el régimen estatutario del estatuto marco. El sentido de la medida se orienta a maximizar la eficacia en la gestión de ese personal, evitando las fuertes distorsiones que suponen que en un mismo servicio de salud coincidan empleados que realizan las mismas funciones pero están sujetos </w:t>
      </w:r>
      <w:r>
        <w:lastRenderedPageBreak/>
        <w:t>a regímenes distintos. La demanda apunta a la falta de “sentido” de adscribir a personal sanitario a “órganos administrativos no sanitarios”, pero el Abogado del Estado señala que el resultado final dependerá de una doble condición: que el empleado sanitario opte por no integrarse en el régimen sanitario y además que la Comunidad Autónoma, dentro de su autonomía organizativa, acuerde su incorporación a un órgano sin competencias sanitarias, sin que haya impedimento alguno para que cada Comunidad Autónoma, en ejercicio de su autoorganización, podrá optar por adscribir a estos empleados a órganos administrativos relacionados con el ejercicio de competencias en materia de sanidad, como la Consejería correspondiente.</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2 de noviembre de 2016 se señaló para deliberación y votación de la presente Sentencia el día 3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En el presente proceso constitucional debemos resolver el recurso de inconstitucionalidad interpuesto por el Consejo de Gobierno del Principado de Asturias contra el art. 10.4 del Real Decreto-ley 16/2012, de 20 de abril, de medidas urgentes para garantizar la sostenibilidad del Sistema Nacional de Salud y mejorar la calidad y seguridad de sus prestaciones.</w:t>
      </w:r>
    </w:p>
    <w:p w:rsidR="00A90898" w:rsidRDefault="00A90898" w:rsidP="00A90898">
      <w:pPr>
        <w:pStyle w:val="TextoNormal"/>
      </w:pPr>
    </w:p>
    <w:p w:rsidR="00A90898" w:rsidRDefault="00A90898" w:rsidP="00A90898">
      <w:pPr>
        <w:pStyle w:val="TextoNormal"/>
      </w:pPr>
      <w:r>
        <w:t>El impugnado art. 10.4 del Real Decreto-ley 16/2012 añade una disposición adicional, la decimosexta, a la Ley 55/2003, de 16 de diciembre, del estatuto marco del personal estatutario de los servicios de salud (estatuto marco, en lo sucesivo), según la cual:</w:t>
      </w:r>
    </w:p>
    <w:p w:rsidR="00A90898" w:rsidRDefault="00A90898" w:rsidP="00A90898">
      <w:pPr>
        <w:pStyle w:val="TextoNormal"/>
      </w:pPr>
    </w:p>
    <w:p w:rsidR="00A90898" w:rsidRDefault="00A90898" w:rsidP="00A90898">
      <w:pPr>
        <w:pStyle w:val="TextoNormal"/>
      </w:pPr>
      <w:r>
        <w:t>“Disposición adicional decimosexta. Integración del personal funcionario al servicio de instituciones sanitarias públicas.</w:t>
      </w:r>
    </w:p>
    <w:p w:rsidR="00A90898" w:rsidRDefault="00A90898" w:rsidP="00A90898">
      <w:pPr>
        <w:pStyle w:val="TextoNormal"/>
      </w:pPr>
    </w:p>
    <w:p w:rsidR="00A90898" w:rsidRDefault="00A90898" w:rsidP="00A90898">
      <w:pPr>
        <w:pStyle w:val="TextoNormal"/>
      </w:pPr>
      <w:r>
        <w:t>1. Los médicos, practicantes y matronas titulares de los servicios sanitarios locales que presten sus servicios como médicos generales, practicantes y matronas de los servicios de salud, y el resto del personal funcionario que preste sus servicios en instituciones sanitarias públicas, dispondrán hasta el 31 de diciembre de 2013 para integrarse en los servicios de salud como personal estatutario fijo, sin perjuicio de los derechos consolidados A tal fin, las comunidades autónomas establecerán los procedimientos oportunos.</w:t>
      </w:r>
    </w:p>
    <w:p w:rsidR="00A90898" w:rsidRDefault="00A90898" w:rsidP="00A90898">
      <w:pPr>
        <w:pStyle w:val="TextoNormal"/>
      </w:pPr>
    </w:p>
    <w:p w:rsidR="00A90898" w:rsidRDefault="00A90898" w:rsidP="00A90898">
      <w:pPr>
        <w:pStyle w:val="TextoNormal"/>
      </w:pPr>
      <w:r>
        <w:t>2. En caso de que este personal opte por permanecer en activo en su actual situación, en los cuerpos y escalas en los que ostenten la condición de personal funcionario, las comunidades autónomas adscribirán a este personal a órganos administrativos que no pertenezcan a las instituciones sanitarias públicas, conforme a las bases de los procesos de movilidad que, a tal fin, puedan articularse.”</w:t>
      </w:r>
    </w:p>
    <w:p w:rsidR="00A90898" w:rsidRDefault="00A90898" w:rsidP="00A90898">
      <w:pPr>
        <w:pStyle w:val="TextoNormal"/>
      </w:pPr>
    </w:p>
    <w:p w:rsidR="00A90898" w:rsidRDefault="00A90898" w:rsidP="00A90898">
      <w:pPr>
        <w:pStyle w:val="TextoNormal"/>
      </w:pPr>
      <w:r>
        <w:t xml:space="preserve">Como ha quedado expuesto en los antecedentes de esta Sentencia, el Letrado autonómico considera que el precepto, al disponer la integración del personal funcionario al servicio de las instituciones sanitarias públicas en el régimen estatutario, constituye materialmente un acto administrativo carente de regulación sustantiva, sin que esté justificada la extraordinaria y urgente necesidad que habilite para establecer esta medida mediante un Decreto-ley. Tampoco deja ningún margen de desarrollo a las Comunidades Autónomas, razón por lo </w:t>
      </w:r>
      <w:r>
        <w:lastRenderedPageBreak/>
        <w:t>que carecería de carácter básico vulnerando las competencias autonómicas en materia de sanidad y función pública así como, en el caso del apartado 2 de la norma impugnada, el principio de interdicción de la arbitrariedad derivado del art. 9.3 CE.</w:t>
      </w:r>
    </w:p>
    <w:p w:rsidR="00A90898" w:rsidRDefault="00A90898" w:rsidP="00A90898">
      <w:pPr>
        <w:pStyle w:val="TextoNormal"/>
      </w:pPr>
    </w:p>
    <w:p w:rsidR="00A90898" w:rsidRDefault="00A90898" w:rsidP="00A90898">
      <w:pPr>
        <w:pStyle w:val="TextoNormal"/>
      </w:pPr>
      <w:r>
        <w:t>El Abogado del Estado, tal como consta en los antecedentes, ha negado las infracciones constitucionales denunciadas interesando la desestimación integra del recurso.</w:t>
      </w:r>
    </w:p>
    <w:p w:rsidR="00A90898" w:rsidRDefault="00A90898" w:rsidP="00A90898">
      <w:pPr>
        <w:pStyle w:val="TextoNormal"/>
      </w:pPr>
    </w:p>
    <w:p w:rsidR="00A90898" w:rsidRDefault="00A90898" w:rsidP="00A90898">
      <w:pPr>
        <w:pStyle w:val="TextoNormal"/>
      </w:pPr>
      <w:r w:rsidRPr="00A90898">
        <w:rPr>
          <w:rStyle w:val="NumeroAFNegritaCaracter"/>
        </w:rPr>
        <w:t>2</w:t>
      </w:r>
      <w:r>
        <w:t>. Debemos examinar en primer lugar la vulneración del art. 86.1 CE, pues la misma, de ser estimada, hará innecesario el análisis de las restantes infracciones constitucionales denunciadas (STC 125/2016, de 7 de julio, FJ 2).</w:t>
      </w:r>
    </w:p>
    <w:p w:rsidR="00A90898" w:rsidRDefault="00A90898" w:rsidP="00A90898">
      <w:pPr>
        <w:pStyle w:val="TextoNormal"/>
      </w:pPr>
    </w:p>
    <w:p w:rsidR="00A90898" w:rsidRDefault="00A90898" w:rsidP="00A90898">
      <w:pPr>
        <w:pStyle w:val="TextoNormal"/>
      </w:pPr>
      <w:r>
        <w:t>En cuanto a este primer motivo del recurso, la inexistencia del presupuesto habilitante del Decreto-ley, la demanda señala que la integración dispuesta constituye una cuestión burocrática carente de la menor trascendencia a los efectos de justificar la extraordinaria y urgente necesidad de la medida, ya que no responde a ninguna circunstancia imprevisible, ni hace frente a una situación inaplazable, en cuanto que la norma establece un plazo que finaliza el 31 de diciembre de 2013, todo lo cual determina que no exista el menor inconveniente para acudir al procedimiento legislativo ordinario, sin que tampoco exista conexión de sentido entre la urgencia de la situación y la medida adoptada. Para el Abogado del Estado ha quedado demostrada tanto la situación de urgencia que se trata de atender, la difícil situación del sistema sanitario público consecuencia de la crisis económica, como la conexión de sentido entre la urgencia y la medida adoptada.</w:t>
      </w:r>
    </w:p>
    <w:p w:rsidR="00A90898" w:rsidRDefault="00A90898" w:rsidP="00A90898">
      <w:pPr>
        <w:pStyle w:val="TextoNormal"/>
      </w:pPr>
    </w:p>
    <w:p w:rsidR="00A90898" w:rsidRDefault="00A90898" w:rsidP="00A90898">
      <w:pPr>
        <w:pStyle w:val="TextoNormal"/>
      </w:pPr>
      <w:r>
        <w:t>El art. 86.1 CE prescribe que en caso de extraordinaria y urgente necesidad el Gobierno podrá dictar disposiciones legislativas provisionales, que adoptarán la forma de decretos-leyes. La Constitución ha adoptado en este punto, según hemos señalado reiteradamente, una solución flexible y matizada que, por una parte, no lleva a la completa proscripción del decreto-ley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 En concreto hemos dicho que la extraordinaria y urgente necesidad a que alude el precepto constitucional supone un requisito o presupuesto habilitante de inexcusable concurrencia (términos todos ellos que figuran en nuestras resoluciones) para que el Gobierno pueda dictar normas con rango de ley, que se erige en auténtico límite jurídico de la actuación gubernamental mediante decretos-leyes, actuación sujeta, en consecuencia, al control de este Tribunal, al que compete asegurar que los poderes públicos se mueven dentro del marco trazado por la Constitución (por todas, SSTC 100/2012, de 8 de mayo, FJ 8, y 26/2016, de 18 de febrero, FJ 2).</w:t>
      </w:r>
    </w:p>
    <w:p w:rsidR="00A90898" w:rsidRDefault="00A90898" w:rsidP="00A90898">
      <w:pPr>
        <w:pStyle w:val="TextoNormal"/>
      </w:pPr>
    </w:p>
    <w:p w:rsidR="00A90898" w:rsidRDefault="00A90898" w:rsidP="00A90898">
      <w:pPr>
        <w:pStyle w:val="TextoNormal"/>
      </w:pPr>
      <w:r>
        <w:t xml:space="preserve">El control constitucional externo que corresponde a este Tribunal en la comprobación del necesario respeto a ese límite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En esa misma doctrina constitucional está igualmente afirmado que la comprobación del citado primer elemento </w:t>
      </w:r>
      <w:r>
        <w:lastRenderedPageBreak/>
        <w:t>debe realizarse mediante la valoración conjunta de los factores que en el criterio del Gobierno justificaron el uso del decreto-ley y reflejados de modo singular “en la exposición de motivos de la norma, a lo largo del debate parlamentario de convalidación, y en el propio expediente de elaboración de la norma.”</w:t>
      </w:r>
    </w:p>
    <w:p w:rsidR="00A90898" w:rsidRDefault="00A90898" w:rsidP="00A90898">
      <w:pPr>
        <w:pStyle w:val="TextoNormal"/>
      </w:pPr>
    </w:p>
    <w:p w:rsidR="00A90898" w:rsidRDefault="00A90898" w:rsidP="00A90898">
      <w:pPr>
        <w:pStyle w:val="TextoNormal"/>
      </w:pPr>
      <w:r w:rsidRPr="00A90898">
        <w:rPr>
          <w:rStyle w:val="NumeroAFNegritaCaracter"/>
        </w:rPr>
        <w:t>3</w:t>
      </w:r>
      <w:r>
        <w:t>. En la resolución de esta primera queja debemos tener presente la doctrina de la STC 139/2016, de 21 de julio, resolutoria del recurso de inconstitucionalidad interpuesto por el Parlamento de Navarra contra los artículos 1.1 y, por conexión, 1.2; 2.2, 3 y 5; 4.12, 13 y 14 y disposiciones adicional tercera y transitoria primera del Real Decreto-ley 16/2012.</w:t>
      </w:r>
    </w:p>
    <w:p w:rsidR="00A90898" w:rsidRDefault="00A90898" w:rsidP="00A90898">
      <w:pPr>
        <w:pStyle w:val="TextoNormal"/>
      </w:pPr>
    </w:p>
    <w:p w:rsidR="00A90898" w:rsidRDefault="00A90898" w:rsidP="00A90898">
      <w:pPr>
        <w:pStyle w:val="TextoNormal"/>
      </w:pPr>
      <w:r>
        <w:t>Así, en cuanto a la definición de la situación de urgencia a la que el Gobierno trata de hacer frente con la medida adoptada hemos de remitirnos a la citada STC 139/2016, FJ 5 a) en la que apreciamos que “de la exposición de motivos de la norma cuestionada y del ulterior debate parlamentario de convalidación cabe concluir, sin entrar en un juicio político que este Tribunal tiene vedado, que el Gobierno ha cumplido la exigencia de explicitar y razonar de forma suficiente, la existencia de una situación de ‘extraordinaria y urgente necesidad’ que fundamenta la necesidad de dictar el Real Decreto-ley 16/2012. En efecto, se ha ofrecido una justificación general basada en la existencia de una situación de grave dificultad económica sin precedentes desde la creación del Sistema Nacional de Salud, según los argumentos expuestos en el fundamento jurídico 4. De ello se desprende que las reformas que se proponen tratan de hacer frente a una situación excepcional, actuando para impedir que la situación económica del Sistema Nacional de Salud se vuelva irreversible. El carácter relevante o grave de la situación, invocado por el Gobierno, resulta así justificado, pues, de acuerdo con los argumentos ya resumidos, el sistema sanitario público se encuentra sometido desde hace años a una importante situación de déficit que hace peligrar su viabilidad, situación agravada por el actual contexto de crisis económica en el que la norma se aprueba, que ha incrementado la precariedad de su financiación. Por ello, podemos considerar de la situación de extraordinaria y urgente necesidad y la necesidad de adoptar medidas inmediatas para corregirla ha sido justificada por el Gobierno de forma explícita y razonada”.</w:t>
      </w:r>
    </w:p>
    <w:p w:rsidR="00A90898" w:rsidRDefault="00A90898" w:rsidP="00A90898">
      <w:pPr>
        <w:pStyle w:val="TextoNormal"/>
      </w:pPr>
    </w:p>
    <w:p w:rsidR="00A90898" w:rsidRDefault="00A90898" w:rsidP="00A90898">
      <w:pPr>
        <w:pStyle w:val="TextoNormal"/>
      </w:pPr>
      <w:r>
        <w:t>El examen del segundo elemento de nuestro canon, es decir, la existencia de una necesaria conexión entre la situación de urgencia definida y las medidas que en el Decreto-ley se adoptan, en una relación directa o de congruencia con la situación que se trata de afrontar (SSTC 29/1982, de 31 de mayo, FJ 3; 182/1997, de 20 de octubre, FJ 3, y 137/2003, de 3 de julio, FJ 4), ha de realizarse en relación con la medida discutida por el Letrado del Principado de Asturias, que no fue examinada en la STC 139/2016.</w:t>
      </w:r>
    </w:p>
    <w:p w:rsidR="00A90898" w:rsidRDefault="00A90898" w:rsidP="00A90898">
      <w:pPr>
        <w:pStyle w:val="TextoNormal"/>
      </w:pPr>
    </w:p>
    <w:p w:rsidR="00A90898" w:rsidRDefault="00A90898" w:rsidP="00A90898">
      <w:pPr>
        <w:pStyle w:val="TextoNormal"/>
      </w:pPr>
      <w:r>
        <w:t>Por tanto, para comprobar si se cumple o no este segundo elemento del presupuesto habilitante debe analizarse el contenido de las medidas que se adoptan y verificar si guardan relación con la situación excepcional que se encara y constituyen una acción normativa inmediata, que no podía esperar ni siquiera a la aprobación de una ley por el procedimiento de urgencia.</w:t>
      </w:r>
    </w:p>
    <w:p w:rsidR="00A90898" w:rsidRDefault="00A90898" w:rsidP="00A90898">
      <w:pPr>
        <w:pStyle w:val="TextoNormal"/>
      </w:pPr>
    </w:p>
    <w:p w:rsidR="00A90898" w:rsidRDefault="00A90898" w:rsidP="00A90898">
      <w:pPr>
        <w:pStyle w:val="TextoNormal"/>
      </w:pPr>
      <w:r>
        <w:t xml:space="preserve">El apartado VI de la exposición de motivos del Real Decreto-ley 16/2012 señala que “en el Capítulo V de este real decreto-ley se contemplan una serie de medidas destinadas a corregir determinadas situaciones estructurales en relación con los recursos humanos, verdaderos activos del Sistema Nacional de Salud”. A continuación añade que “los fondos destinados a financiar los recursos humanos en los servicios de salud suponen la partida más </w:t>
      </w:r>
      <w:r>
        <w:lastRenderedPageBreak/>
        <w:t>importante de sus presupuestos. La diversidad de normas reguladoras, la complejidad organizativa de titulaciones, categorías y situaciones laborales de los más de 600.000 trabajadores de los 17 servicios de salud ha ido generando una gran variabilidad interpretativa de las normas reguladoras, que se demuestran como verdaderas barreras para el desarrollo de los planes de eficiencia y ordenación que las comunidades autónomas están desarrollando en el marco económico de crisis actual y para la libertad de movimientos de los trabajadores entre servicios de salud”. Por tanto, para el Gobierno, “se presenta así como una verdadera urgencia definir homogéneamente para todo el Sistema Nacional de Salud la regulación actual de aspectos vinculados a las categorías profesionales, los criterios generales reguladores del sistema retributivo o de la acción social”. Modificaciones que “son especialmente necesarias en un contexto de crisis económica para racionalizar el gasto público y posibilitar una mayor eficiencia en la gestión de los servicios de salud de las comunidades autónomas”. Dicho apartado VI se completa con alusiones expresas a alguna de las medidas incorporadas en el capítulo V del Real Decreto-ley 16/2012, si bien no se menciona la aquí cuestionada.</w:t>
      </w:r>
    </w:p>
    <w:p w:rsidR="00A90898" w:rsidRDefault="00A90898" w:rsidP="00A90898">
      <w:pPr>
        <w:pStyle w:val="TextoNormal"/>
      </w:pPr>
    </w:p>
    <w:p w:rsidR="00A90898" w:rsidRDefault="00A90898" w:rsidP="00A90898">
      <w:pPr>
        <w:pStyle w:val="TextoNormal"/>
      </w:pPr>
      <w:r>
        <w:t>En un sentido parecido en el debate de convalidación del Real Decreto-ley 16/2012 (“Diario de Sesiones. Congreso de los Diputados”, núm. 31, de 17 de mayo, correspondiente a la sesión plenaria núm. 30), la Sra. Ministra de Sanidad, Servicios Sociales e Igualdad, afirmó, como ya recogimos en la STC 139/2016, FJ 4 b), que la reforma trata de hacer frente a una situación excepcional, actuando con urgencia y determinación para impedir que la situación económica del Sistema Nacional de Salud se vuelva irreversible, sin que en su exposición se incluyan referencias específicas a esta concreta medida.</w:t>
      </w:r>
    </w:p>
    <w:p w:rsidR="00A90898" w:rsidRDefault="00A90898" w:rsidP="00A90898">
      <w:pPr>
        <w:pStyle w:val="TextoNormal"/>
      </w:pPr>
    </w:p>
    <w:p w:rsidR="00A90898" w:rsidRDefault="00A90898" w:rsidP="00A90898">
      <w:pPr>
        <w:pStyle w:val="TextoNormal"/>
      </w:pPr>
      <w:r>
        <w:t>Para valorar la concurrencia del segundo elemento de nuestro canon resulta adecuado hacer una breve referencia al contexto normativo en el que se inserta la medida enjuiciada.</w:t>
      </w:r>
    </w:p>
    <w:p w:rsidR="00A90898" w:rsidRDefault="00A90898" w:rsidP="00A90898">
      <w:pPr>
        <w:pStyle w:val="TextoNormal"/>
      </w:pPr>
    </w:p>
    <w:p w:rsidR="00A90898" w:rsidRDefault="00A90898" w:rsidP="00A90898">
      <w:pPr>
        <w:pStyle w:val="TextoNormal"/>
      </w:pPr>
      <w:r>
        <w:t xml:space="preserve">La disposición cuestionada prevé la integración voluntaria en los servicios de salud, como personal estatutario fijo y sin perjuicio de los derechos consolidados, de los médicos, practicantes y comadronas titulares de los servicios sanitarios locales y del resto de personal funcionario sanitario que preste servicios en instituciones sanitarias públicas. En concreto, el personal sanitario local constituye un cuerpo estatal de funcionarios, creado por el Reglamento de personal sanitario local, aprobado por Decreto de 27 de noviembre de 1953. El citado Decreto reguló el régimen jurídico de los médicos, practicantes, farmacéuticos, veterinarios, odontólogos y matronas titulares, configurándolos como cuerpos especiales de funcionarios técnicos del Estado al servicio de la sanidad local y atribuyéndoles diversas funciones relacionadas con la asistencia médica de beneficencia, prevención y defensa de la salud pública, medicina legal o forense, casas de socorro y hospitales municipales, resultando posteriormente modificada la regulación legal y el régimen retributivo de estos Cuerpos por diversas disposiciones posteriores cuya cita, a los efectos de la presente Sentencia, no viene al caso. Este tipo de personal, como consecuencia de las transferencias a las Comunidades Autónomas de las competencias en materia de asistencia sanitaria, queda adscrito funcionalmente a las mismas, preservando su dependencia orgánica estatal, en tanto que se mantienen en el cuerpo correspondiente. Al respecto la disposición adicional quinta del estatuto marco preveía que “al objeto de homogeneizar las relaciones de empleo del personal de cada uno de los centros, instituciones o servicios de salud, y con el fin de mejorar la eficacia en la gestión, las Administraciones sanitarias públicas podrán establecer procedimientos para la integración directa, con carácter voluntario, en la condición de personal </w:t>
      </w:r>
      <w:r>
        <w:lastRenderedPageBreak/>
        <w:t>estatutario, en la categoría y titulación equivalente, de quienes presten servicio en tales centros, instituciones o servicios con la condición de funcionario de carrera o en virtud de contrato laboral fijo”. Se trataba, pues, de un proceso de integración con carácter voluntario para el funcionario y diseñado, también voluntariamente, por las administraciones sanitarias públicas mediante el que los funcionarios pertenecientes a los cuerpos de personal sanitario local, y otro personal funcionario al servicio de instituciones sanitarias, podían cambiar su estatus funcionarial por el de personal estatutario e integrarse como personal propio en las correspondientes administraciones sanitarias. El Real Decreto-ley 16/2012 ha optado, ahora, por ordenar la integración de este tipo de personal en las administraciones sanitarias donde prestan servicios o bien, si los afectados optan por permanecer en su condición funcionarial, la Comunidad Autónoma deberá adscribirlos a órganos administrativos que no pertenezcan a instituciones sanitarias públicas.</w:t>
      </w:r>
    </w:p>
    <w:p w:rsidR="00A90898" w:rsidRDefault="00A90898" w:rsidP="00A90898">
      <w:pPr>
        <w:pStyle w:val="TextoNormal"/>
      </w:pPr>
    </w:p>
    <w:p w:rsidR="00A90898" w:rsidRDefault="00A90898" w:rsidP="00A90898">
      <w:pPr>
        <w:pStyle w:val="TextoNormal"/>
      </w:pPr>
      <w:r>
        <w:t>Expuesto lo anterior y atendiendo al control puramente externo que corresponde a este Tribunal, el cual debe respetar el margen de discrecionalidad política que en la apreciación de este requisito corresponde al Gobierno, podemos considerar que no se ha vulnerado el segundo elemento de nuestro canon, la conexión de sentido entre la medida adoptada y la situación de urgencia previamente definida.</w:t>
      </w:r>
    </w:p>
    <w:p w:rsidR="00A90898" w:rsidRDefault="00A90898" w:rsidP="00A90898">
      <w:pPr>
        <w:pStyle w:val="TextoNormal"/>
      </w:pPr>
    </w:p>
    <w:p w:rsidR="00A90898" w:rsidRDefault="00A90898" w:rsidP="00A90898">
      <w:pPr>
        <w:pStyle w:val="TextoNormal"/>
      </w:pPr>
      <w:r>
        <w:t>Es cierto que ni en la exposición de motivos ni en el debate de convalidación hay una concreta referencia a la medida cuestionada, pero dicha exposición de motivos de la norma alude a la necesidad de corregir determinadas situaciones estructurales que afectan al personal de los servicios de salud entre las que se menciona la diversidad de regulaciones que afectan a dicho personal, poniendo en relación dicha diversidad regulatoria con la necesidad de racionalizar el gasto de personal, consecuencia directa de la difícil situación por la que atravesaba el Sistema Nacional de Salud. En concreto se afirma que, entre otros factores, la diversidad de normas reguladoras y su gran variabilidad interpretativa impiden “el desarrollo de los planes de eficiencia y ordenación” que las Comunidades Autónomas vienen poniendo en práctica.</w:t>
      </w:r>
    </w:p>
    <w:p w:rsidR="00A90898" w:rsidRDefault="00A90898" w:rsidP="00A90898">
      <w:pPr>
        <w:pStyle w:val="TextoNormal"/>
      </w:pPr>
    </w:p>
    <w:p w:rsidR="00A90898" w:rsidRDefault="00A90898" w:rsidP="00A90898">
      <w:pPr>
        <w:pStyle w:val="TextoNormal"/>
      </w:pPr>
      <w:r>
        <w:t>En suma, la medida cuestionada no puede considerarse desconectada de los objetivos perseguidos por la norma de urgencia por cuanto con ella se busca reducir la diversidad de regulaciones del personal del Sistema Nacional de Salud, buscando una racionalización de los recursos humanos disponibles. Por ello podemos considerar que esta disposición guarda una relación directa o de congruencia con la situación que se trata de afrontar, en cuanto que persigue la unificación del régimen del personal con el objetivo de racionalizar el gasto destinado a esta finalidad. Por lo demás, se trata de una medida que forma parte de un conjunto sistemático de reformas relacionadas con los recursos humanos del Sistema Nacional de Salud, las cuales, en su finalidad de adecuación del gasto de personal, adquieren sentido en su visión global y no desde una perspectiva meramente aislada [SSTC 23/1993, FFJJ 4 y 5, y 93/2015, de 14 de mayo, FFJJ 7 b) y 10, entre otras].</w:t>
      </w:r>
    </w:p>
    <w:p w:rsidR="00A90898" w:rsidRDefault="00A90898" w:rsidP="00A90898">
      <w:pPr>
        <w:pStyle w:val="TextoNormal"/>
      </w:pPr>
    </w:p>
    <w:p w:rsidR="00A90898" w:rsidRDefault="00A90898" w:rsidP="00A90898">
      <w:pPr>
        <w:pStyle w:val="TextoNormal"/>
      </w:pPr>
      <w:r>
        <w:t xml:space="preserve">Tampoco el hecho de que su aplicación esté sometida a un plazo que expiraba el 31 de diciembre de 2013 altera la anterior conclusión. En efecto, el que la medida disponga un plazo para su efectividad responde a la necesidad de que las Comunidades Autónomas dispongan de un margen temporal cierto para poner en marcha los procedimientos necesarios para adaptar sus disposiciones en materia de personal a lo prevenido por la norma estatal, la cual produce el efecto inmediato de permitir a las Comunidades Autónomas tomar a su vez </w:t>
      </w:r>
      <w:r>
        <w:lastRenderedPageBreak/>
        <w:t>las decisiones que les corresponden (en un sentido similar, STC 156/2015, de 9 de julio, FJ 5 y 6, sobre determinadas medidas en materia de función pública y horarios comerciales, respectivamente, y 26/2016, de 18 de febrero, FJ 5, en relación con reformas en el ámbito educativo).</w:t>
      </w:r>
    </w:p>
    <w:p w:rsidR="00A90898" w:rsidRDefault="00A90898" w:rsidP="00A90898">
      <w:pPr>
        <w:pStyle w:val="TextoNormal"/>
      </w:pPr>
    </w:p>
    <w:p w:rsidR="00A90898" w:rsidRDefault="00A90898" w:rsidP="00A90898">
      <w:pPr>
        <w:pStyle w:val="TextoNormal"/>
      </w:pPr>
      <w:r>
        <w:t>Consecuentemente, en atención a lo anteriormente expuesto, este primer motivo de inconstitucionalidad ha de ser desestimado.</w:t>
      </w:r>
    </w:p>
    <w:p w:rsidR="00A90898" w:rsidRDefault="00A90898" w:rsidP="00A90898">
      <w:pPr>
        <w:pStyle w:val="TextoNormal"/>
      </w:pPr>
    </w:p>
    <w:p w:rsidR="00A90898" w:rsidRDefault="00A90898" w:rsidP="00A90898">
      <w:pPr>
        <w:pStyle w:val="TextoNormal"/>
      </w:pPr>
      <w:r w:rsidRPr="00A90898">
        <w:rPr>
          <w:rStyle w:val="NumeroAFNegritaCaracter"/>
        </w:rPr>
        <w:t>4</w:t>
      </w:r>
      <w:r>
        <w:t>. Cumple responder ahora al segundo motivo de inconstitucionalidad alegado.</w:t>
      </w:r>
    </w:p>
    <w:p w:rsidR="00A90898" w:rsidRDefault="00A90898" w:rsidP="00A90898">
      <w:pPr>
        <w:pStyle w:val="TextoNormal"/>
      </w:pPr>
    </w:p>
    <w:p w:rsidR="00A90898" w:rsidRDefault="00A90898" w:rsidP="00A90898">
      <w:pPr>
        <w:pStyle w:val="TextoNormal"/>
      </w:pPr>
      <w:r>
        <w:t xml:space="preserve">El escrito de interposición del recurso considera que el Estado se ha extralimitado en el ejercicio de sus competencias básicas en materia de sanidad y de función pública </w:t>
      </w:r>
      <w:r w:rsidRPr="00A90898">
        <w:rPr>
          <w:i/>
        </w:rPr>
        <w:t>ex</w:t>
      </w:r>
      <w:r>
        <w:t xml:space="preserve"> art. 149.1.16 y 18 CE, en la medida en que la norma impugnada tiene un carácter ejecutivo que agota la regulación de la materia e impone las decisiones que han de adoptar las Comunidades Autónomas respecto a la integración de este personal. A su apartado segundo, además, se le achaca su carácter arbitrario contrario al art. 9.3 CE. Por el contrario, el Abogado del Estado ha considerado que el precepto impugnado no excede del ámbito material de lo básico ex art. 149.1.18 CE, sin que tampoco su apartado segundo pueda ser considerado arbitrario y contrario a la prohibición del art. 9.3 CE.</w:t>
      </w:r>
    </w:p>
    <w:p w:rsidR="00A90898" w:rsidRDefault="00A90898" w:rsidP="00A90898">
      <w:pPr>
        <w:pStyle w:val="TextoNormal"/>
      </w:pPr>
    </w:p>
    <w:p w:rsidR="00A90898" w:rsidRDefault="00A90898" w:rsidP="00A90898">
      <w:pPr>
        <w:pStyle w:val="TextoNormal"/>
      </w:pPr>
      <w:r>
        <w:t>Tratándose de una controversia esencialmente competencial debemos comenzar por el encuadramiento material de la norma en el esquema constitucional de distribución de competencias, a fin de determinar los títulos competenciales que se ven aquí concernidos. Dicha operación habremos de realizarla atendiendo al carácter, sentido y finalidad de la disposición controvertida, y al sentido o finalidad de los varios títulos competenciales y estatutarios que pudieran estar involucrados (STC 153/1989, de 5 de octubre, FJ 5, que a su vez cita las SSTC 252/1988, de 20 de diciembre, y 13/1989, de 26 de enero).</w:t>
      </w:r>
    </w:p>
    <w:p w:rsidR="00A90898" w:rsidRDefault="00A90898" w:rsidP="00A90898">
      <w:pPr>
        <w:pStyle w:val="TextoNormal"/>
      </w:pPr>
    </w:p>
    <w:p w:rsidR="00A90898" w:rsidRDefault="00A90898" w:rsidP="00A90898">
      <w:pPr>
        <w:pStyle w:val="TextoNormal"/>
      </w:pPr>
      <w:r>
        <w:t>Desde esta perspectiva las cuestiones relacionadas con la integración de unos cuerpos y escalas de funcionarios en otros han de incardinarse en la materia “régimen estatutario de los funcionarios públicos”, puesto que configuran las relaciones entre éstos y la Administración a la que sirven, ordenando su posición propia en el seno de aquélla. Esto último puede afirmarse con independencia de que se trate del personal sanitario, pues la de este tipo de personal es “una relación funcionarial especial”, lo que se confirma por los arts. 2.3 y 2.4 del texto refundido de la Ley del estatuto básico del empleado público (LEEP), aprobado por Real Decreto Legislativo 5/2015, de 30 de octubre, los cuales disponen que la normativa contenida en citado Estatuto básico le es de aplicación en los términos expresados por dichos preceptos.</w:t>
      </w:r>
    </w:p>
    <w:p w:rsidR="00A90898" w:rsidRDefault="00A90898" w:rsidP="00A90898">
      <w:pPr>
        <w:pStyle w:val="TextoNormal"/>
      </w:pPr>
    </w:p>
    <w:p w:rsidR="00A90898" w:rsidRDefault="00A90898" w:rsidP="00A90898">
      <w:pPr>
        <w:pStyle w:val="TextoNormal"/>
      </w:pPr>
      <w:r>
        <w:t xml:space="preserve">De entre los títulos competenciales estatales invocados en la disposición final primera del Real Decreto-Ley 16/2012, es el de las bases del régimen estatutario de los funcionarios públicos (art. 149.1.18 CE) el que resulta aquí de aplicación. En efecto la integración que se regula se inserta en la materia función pública, en cuanto afecta al régimen estatutario de los funcionarios públicos, lo que se subraya tanto por la condición funcionarial que ostenta el colectivo afectado, como porque la posibilidad para integrarse en los servicios de salud lo es como personal estatutario fijo. Personal estatutario que goza de una regulación específica, como se deducía del art. 84 de la Ley 14/1986, de 25 de abril, general de sanidad, y del artículo 2.3 LEEP, regulación específica que, como ya hemos advertido, en nada obsta </w:t>
      </w:r>
      <w:r>
        <w:lastRenderedPageBreak/>
        <w:t>a la condición funcionarial de este personal estatutario, tal como resulta del art. 2.4 LEEP y se desprende de nuestra doctrina (por todas, STC 215/2013, de 19 de diciembre, FJ 2). En ese sentido el estatuto marco proclama en su artículo 1 la existencia de una relación funcionarial especial de este personal con los servicios de salud que integran el Sistema Nacional de Salud.</w:t>
      </w:r>
    </w:p>
    <w:p w:rsidR="00A90898" w:rsidRDefault="00A90898" w:rsidP="00A90898">
      <w:pPr>
        <w:pStyle w:val="TextoNormal"/>
      </w:pPr>
    </w:p>
    <w:p w:rsidR="00A90898" w:rsidRDefault="00A90898" w:rsidP="00A90898">
      <w:pPr>
        <w:pStyle w:val="TextoNormal"/>
      </w:pPr>
      <w:r>
        <w:t>Con respecto al alcance del mencionado título competencial estatal, referido a los funcionarios de todas las Administraciones públicas, “este Tribunal ha afirmado, igualmente, que ‘en relación con el contenido de la expresión ‘régimen estatutario de los funcionarios públicos’, empleada por los arts. 103.3 y 149.1.18 CE, hemos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[STC 99/1987, de 11 de junio, FJ 3 c)]” (STC 156/2015, de 9 de julio, FJ 8).</w:t>
      </w:r>
    </w:p>
    <w:p w:rsidR="00A90898" w:rsidRDefault="00A90898" w:rsidP="00A90898">
      <w:pPr>
        <w:pStyle w:val="TextoNormal"/>
      </w:pPr>
    </w:p>
    <w:p w:rsidR="00A90898" w:rsidRDefault="00A90898" w:rsidP="00A90898">
      <w:pPr>
        <w:pStyle w:val="TextoNormal"/>
      </w:pPr>
      <w:r>
        <w:t>Igualmente hemos señalado que “habiendo optado la Constitución por un régimen estatutario, con carácter general, para los servidores públicos (arts. 103.3 y 149.1.18), habrá de ser también la ley la que determine en qué casos y con qué condiciones pueden reconocerse otras posibles vías para el acceso al servicio de 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(STC 176/2015, de 22 de julio, FJ 5, y las allí citadas).</w:t>
      </w:r>
    </w:p>
    <w:p w:rsidR="00A90898" w:rsidRDefault="00A90898" w:rsidP="00A90898">
      <w:pPr>
        <w:pStyle w:val="TextoNormal"/>
      </w:pPr>
    </w:p>
    <w:p w:rsidR="00A90898" w:rsidRDefault="00A90898" w:rsidP="00A90898">
      <w:pPr>
        <w:pStyle w:val="TextoNormal"/>
      </w:pPr>
      <w:r>
        <w:t>Por su parte, el Principado de Asturias ostenta, de acuerdo con su Estatuto de Autonomía, competencia exclusiva en materia de “organización, régimen y funcionamiento de sus instituciones de autogobierno” (art. 10.1), mientras que el art. 15.3 dispone que “En el ejercicio de la competencia prevista en el artículo 10.1.1 del presente Estatuto y de acuerdo con la legislación del Estado, corresponde a la Comunidad Autónoma, entre otras materias, el establecimiento del régimen estatutario de sus funcionarios…”. En todo caso, de nuestro análisis debe excluirse la posible vulneración del art. 10.1 del Estatuto de Autonomía, por cuanto de nuestra doctrina (por todas, STC 76/1983, de 5 de agosto, FJ 38) deriva que a la expresión “instituciones de autogobierno” no puede asignársele un alcance mayor que el que deriva de la Constitución y del propio Estatuto, sin que se extienda a la organización de la respectiva Administración pública y el régimen estatutario de sus funcionarios [STC 18/2016, de 4 de febrero, FJ 6.a) y doctrina allí citada].</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De una interpretación conjunta de los preceptos recogidos en la Constitución y en los Estatutos de Autonomía, este Tribunal ha interpretado que “al Estado le corresponde el establecimiento de las bases del régimen estatutario de los funcionarios de las Administraciones públicas y a la Comunidad Autónoma … el desarrollo legislativo y la ejecución de las bases de dicho régimen estatutario en lo que se refiere a los funcionarios al servicio de la Comunidad Autónoma y al servicio de las corporaciones locales radicadas en su ámbito </w:t>
      </w:r>
      <w:r>
        <w:lastRenderedPageBreak/>
        <w:t>territorial” (STC 37/2002, de 14 de febrero, FJ 8). Esta conclusión no puede verse alterada por lo previsto en el Estatuto de Autonomía del Principado de Asturias, ya que, en todo caso, la competencia en materia de establecimiento del régimen estatutario de sus funcionarios lo es “de acuerdo con la legislación del Estado”, sin perjuicio de advertir que la calificación de una competencia autonómica como exclusiva no impide el desenvolvimiento de las competencias estatales (por todas, STC 31/2010, de 28 de junio, FJ 59).</w:t>
      </w:r>
    </w:p>
    <w:p w:rsidR="00A90898" w:rsidRDefault="00A90898" w:rsidP="00A90898">
      <w:pPr>
        <w:pStyle w:val="TextoNormal"/>
      </w:pPr>
    </w:p>
    <w:p w:rsidR="00A90898" w:rsidRDefault="00A90898" w:rsidP="00A90898">
      <w:pPr>
        <w:pStyle w:val="TextoNormal"/>
      </w:pPr>
      <w:r>
        <w:t>Por tanto, a tenor de la distribución de competencias entre el Estado y el Principado de Asturias en materia de función pública, corresponde al Estado establecer las bases del régimen estatutario de los funcionarios públicos y a la Comunidad Autónoma la competencia de desarrollo legislativo y ejecución, de acuerdo con aquella legislación básica, en relación con la función pública dependiente de la Comunidad Autónoma así como la de la Administración local. Ninguna duda cabe, por lo demás, sobre que, en el ámbito del Principado de Asturias, el personal al que se refiere la disposición impugnada depende ahora de la Comunidad Autónoma (Real Decreto 512/1984, de 8 de febrero, sobre valoración definitiva, ampliación de medios adscritos a los servicios traspasados y adaptación de los transferidos en fase preautonómica al Principado de Asturias en materia de sanidad y Real Decreto 1471/2001, de 27 de diciembre, sobre traspaso al Principado de Asturias de las funciones y servicios del Instituto Nacional de la Salud).</w:t>
      </w:r>
    </w:p>
    <w:p w:rsidR="00A90898" w:rsidRDefault="00A90898" w:rsidP="00A90898">
      <w:pPr>
        <w:pStyle w:val="TextoNormal"/>
      </w:pPr>
    </w:p>
    <w:p w:rsidR="00A90898" w:rsidRDefault="00A90898" w:rsidP="00A90898">
      <w:pPr>
        <w:pStyle w:val="TextoNormal"/>
      </w:pPr>
      <w:r>
        <w:t>En suma, lo que hemos de determinar ahora es si el art. 149.1.18 CE proporciona cobertura a la medida adoptada o por el contrario supone una vulneración de las competencias autonómicas reconocidas en el art. 15.3 del Estatuto de Autonomía.</w:t>
      </w:r>
    </w:p>
    <w:p w:rsidR="00A90898" w:rsidRDefault="00A90898" w:rsidP="00A90898">
      <w:pPr>
        <w:pStyle w:val="TextoNormal"/>
      </w:pPr>
    </w:p>
    <w:p w:rsidR="00A90898" w:rsidRDefault="00A90898" w:rsidP="00A90898">
      <w:pPr>
        <w:pStyle w:val="TextoNormal"/>
      </w:pPr>
      <w:r>
        <w:t>En dicho examen debemos descartar ya que la norma regule actividad ejecutiva alguna, por cuanto de su tenor literal se desprende que lo en ella establecido ha de ser llevado a la práctica por las Comunidades Autónomas. Por tanto, dado su carácter normativo, debemos examinar si el impugnado art. 10.4 del Real Decreto-ley 16/2012, en cuanto añade una disposición adicional decimosexta al estatuto marco, reúne los requisitos formales y materiales necesarios para poder ser calificado como una norma básica, ya que, de no ser así, la consecuencia será la extralimitación competencial estatal, con la consiguiente vulneración de las competencias autonómicas antes señaladas.</w:t>
      </w:r>
    </w:p>
    <w:p w:rsidR="00A90898" w:rsidRDefault="00A90898" w:rsidP="00A90898">
      <w:pPr>
        <w:pStyle w:val="TextoNormal"/>
      </w:pPr>
    </w:p>
    <w:p w:rsidR="00A90898" w:rsidRDefault="00A90898" w:rsidP="00A90898">
      <w:pPr>
        <w:pStyle w:val="TextoNormal"/>
      </w:pPr>
      <w:r w:rsidRPr="00A90898">
        <w:rPr>
          <w:rStyle w:val="NumeroAFNegritaCaracter"/>
        </w:rPr>
        <w:t>6</w:t>
      </w:r>
      <w:r>
        <w:t>. Comenzando por la perspectiva formal propia de la norma básica, constatamos que la disposición final primera del Real Decreto-ley 16/2012 dispone que la norma se dicta “al amparo de lo establecido en el artículo 149.1.2, 149.1.16, 149.1.17, 149.1.18 y 149.1.30 de la Constitución Española”. La disposición final citada no identifica el título concreto en que se ampara la regulación de cada artículo del Real Decreto-ley 16/2012, lo que, sin duda, hubiera resultado oportuno con vistas a dotar a la normativa básica del necesario rigor formal. Dicha deficiencia no impide a este Tribunal identificar finalmente el título competencial concreto que ofrezca —cuando proceda— cobertura al precepto impugnado (STC 141/2014, de 11 de septiembre, FJ 3). Eso es lo que ha sucedido en el presente caso en el que ya hemos apreciado que el título competencial que, en su caso, proporcionaría cobertura a la norma impugnada es el art. 149.1.18 CE, expresamente citado en la disposición final primera del Real Decreto-ley 16/2012.</w:t>
      </w:r>
    </w:p>
    <w:p w:rsidR="00A90898" w:rsidRDefault="00A90898" w:rsidP="00A90898">
      <w:pPr>
        <w:pStyle w:val="TextoNormal"/>
      </w:pPr>
    </w:p>
    <w:p w:rsidR="00A90898" w:rsidRDefault="00A90898" w:rsidP="00A90898">
      <w:pPr>
        <w:pStyle w:val="TextoNormal"/>
      </w:pPr>
      <w:r>
        <w:t>El examen de la disposición cuestionada desde el punto de vista material requiere diferenciar entre sus dos apartados.</w:t>
      </w:r>
    </w:p>
    <w:p w:rsidR="00A90898" w:rsidRDefault="00A90898" w:rsidP="00A90898">
      <w:pPr>
        <w:pStyle w:val="TextoNormal"/>
      </w:pPr>
    </w:p>
    <w:p w:rsidR="00A90898" w:rsidRDefault="00A90898" w:rsidP="00A90898">
      <w:pPr>
        <w:pStyle w:val="TextoNormal"/>
      </w:pPr>
      <w:r>
        <w:t>a) El primero de ellos prevé la integración voluntaria en los servicios de salud, como personal estatutario fijo y sin perjuicio de los derechos consolidados, de los médicos, practicantes y comadronas titulares de los servicios sanitarios locales y del resto de personal funcionario sanitario que preste servicios en instituciones sanitarias públicas, fijando como fecha límite para esta integración el 31 de diciembre de 2013.</w:t>
      </w:r>
    </w:p>
    <w:p w:rsidR="00A90898" w:rsidRDefault="00A90898" w:rsidP="00A90898">
      <w:pPr>
        <w:pStyle w:val="TextoNormal"/>
      </w:pPr>
    </w:p>
    <w:p w:rsidR="00A90898" w:rsidRDefault="00A90898" w:rsidP="00A90898">
      <w:pPr>
        <w:pStyle w:val="TextoNormal"/>
      </w:pPr>
      <w:r>
        <w:t>Desde un punto de vista material la regulación de este primer apartado de la disposición adicional decimosexta también ha de ser considerada básica.</w:t>
      </w:r>
    </w:p>
    <w:p w:rsidR="00A90898" w:rsidRDefault="00A90898" w:rsidP="00A90898">
      <w:pPr>
        <w:pStyle w:val="TextoNormal"/>
      </w:pPr>
    </w:p>
    <w:p w:rsidR="00A90898" w:rsidRDefault="00A90898" w:rsidP="00A90898">
      <w:pPr>
        <w:pStyle w:val="TextoNormal"/>
      </w:pPr>
      <w:r>
        <w:t>Atendiendo a su sentido y finalidad, el precepto estatal “es un mínimo homogéneo en la regulación de esta cuestión en el sistema sanitario público en cuanto que constituye un principio que se proyecta sobre la totalidad del mismo” (STC 197/2012, de 6 de noviembre, FJ 12, allí en relación a la configuración del complemento específico del personal estatutario). Dicho principio no es otro que el personal funcionario que atiende los servicios de salud tenga una determinada condición, la de personal estatutario. Se trata, en suma, de la fijación de directrices para un proceso de integración de funcionarios, lo que encaja dentro del ámbito reservado al Estado por el art. 149.1.18 CE, teniendo presente, además que nuestra doctrina tiene establecido que “[e]ste Tribunal ya ha tenido ocasión de declarar ‘como principio básico la utilización racional del funcionariado existente’, así como ‘básicas aquellas normas que sean necesarias para garantizar la efectividad de dicho principio’ (STC 76/1983, de 5 de agosto, FJ 42)” (STC 8/2010, de 27 de abril, FJ 4, reiterado en STC 99/2016, de 25 de mayo, FJ 7).</w:t>
      </w:r>
    </w:p>
    <w:p w:rsidR="00A90898" w:rsidRDefault="00A90898" w:rsidP="00A90898">
      <w:pPr>
        <w:pStyle w:val="TextoNormal"/>
      </w:pPr>
    </w:p>
    <w:p w:rsidR="00A90898" w:rsidRDefault="00A90898" w:rsidP="00A90898">
      <w:pPr>
        <w:pStyle w:val="TextoNormal"/>
      </w:pPr>
      <w:r>
        <w:t>La evolución normativa de esta cuestión corrobora esta conclusión en la medida en que se fundamenta en la decisión del legislador estatal de avanzar hacia la unificación del régimen de los funcionarios del sistema sanitario público, tal como se apuntaba en el ya mencionado art. 84 de la Ley 14/1986. El estatuto marco daba un paso más en esa dirección por cuanto establecía en su disposición adicional quinta que “al objeto de homogeneizar las relaciones de empleo del personal de cada uno de los centros, instituciones o servicios de salud, y con el fin de mejorar la eficacia en la gestión, las Administraciones sanitarias públicas podrán establecer procedimientos para la integración directa, con carácter voluntario, en la condición de personal estatutario, en la categoría y titulación equivalente, de quienes presten servicio en tales centros, instituciones o servicios con la condición de funcionario de carrera o en virtud de contrato laboral fijo”. Como ha señalado el Abogado del Estado, esta norma ya formula la necesidad de homogeneizar el régimen del personal de los servicios de salud, con lo que la única diferencia entre ésta y la disposición ahora impugnada es que ese criterio básico se formula ahora con mayor intensidad, en cuanto impone su realización en un plazo determinado, con la intención de culminar un proceso ya iniciado a partir de la entrada en vigor del estatuto marco. Por tanto, se vincula a una de las decisiones fundamentales del propio modelo de organización derivado del estatuto marco, como es la relativa a la condición del personal al servicio de la administración sanitaria, definiendo un principio y criterio general.</w:t>
      </w:r>
    </w:p>
    <w:p w:rsidR="00A90898" w:rsidRDefault="00A90898" w:rsidP="00A90898">
      <w:pPr>
        <w:pStyle w:val="TextoNormal"/>
      </w:pPr>
    </w:p>
    <w:p w:rsidR="00A90898" w:rsidRDefault="00A90898" w:rsidP="00A90898">
      <w:pPr>
        <w:pStyle w:val="TextoNormal"/>
      </w:pPr>
      <w:r>
        <w:t xml:space="preserve">La norma se limita a definir, a partir de una determinada fecha, el régimen por el que habrá de regirse el personal funcionario de los servicios de salud, lo que puede ser calificado como básico en cuanto expresa la opción del legislador básico por un principio normativo </w:t>
      </w:r>
      <w:r>
        <w:lastRenderedPageBreak/>
        <w:t>general como es que los servicios sanitarios sean atendidos por un determinado tipo de personal, el estatutario fijo. Por lo demás el precepto impugnado no cierra a las Comunidades Autónomas toda posibilidad de desarrollo y aplicación de la normativa básica sobre la materia, por cuanto ésta se limita a disponer la integración de determinado personal, conforme a los procedimientos oportunos que han de establecer las Comunidades Autónomas. De esta manera la determinación de la forma y las condiciones de la integración, al no formar parte de la normativa básica, queda abierta a la competencia de cada Comunidad Autónoma Igualmente la fijación de un plazo máximo por parte del legislador básico guarda relación con la medida adoptada, por cuanto, si lo que se pretende es la homogeneización de las categorías de personal, la determinación del plazo para realizarlo sirve para garantizar la efectividad de la previsión básica, que no puede dejar a la plena disposición autonómica la efectiva aplicación del criterio de integración que fija. Es, en suma, una norma instrumental de complemento y garantía de la eficacia de la norma principal establecida por el Estado.</w:t>
      </w:r>
    </w:p>
    <w:p w:rsidR="00A90898" w:rsidRDefault="00A90898" w:rsidP="00A90898">
      <w:pPr>
        <w:pStyle w:val="TextoNormal"/>
      </w:pPr>
    </w:p>
    <w:p w:rsidR="00A90898" w:rsidRDefault="00A90898" w:rsidP="00A90898">
      <w:pPr>
        <w:pStyle w:val="TextoNormal"/>
      </w:pPr>
      <w:r>
        <w:t>Por tanto, el apartado primero de la disposición adicional decimosexta del estatuto marco, añadido por el art. 10.4 del Real Decreto-ley 16/2012 es conforme con el orden constitucional de distribución de competencias.</w:t>
      </w:r>
    </w:p>
    <w:p w:rsidR="00A90898" w:rsidRDefault="00A90898" w:rsidP="00A90898">
      <w:pPr>
        <w:pStyle w:val="TextoNormal"/>
      </w:pPr>
    </w:p>
    <w:p w:rsidR="00A90898" w:rsidRDefault="00A90898" w:rsidP="00A90898">
      <w:pPr>
        <w:pStyle w:val="TextoNormal"/>
      </w:pPr>
      <w:r>
        <w:t>b) El apartado 2 dispone que, para el caso que este personal opte por permanecer en activo en su situación actual, la Comunidad Autónoma debe adscribirlo a órganos administrativos que no pertenezcan a instituciones sanitarias públicas, conforme a las bases de los procesos de movilidad que a estos efectos se puedan articular.</w:t>
      </w:r>
    </w:p>
    <w:p w:rsidR="00A90898" w:rsidRDefault="00A90898" w:rsidP="00A90898">
      <w:pPr>
        <w:pStyle w:val="TextoNormal"/>
      </w:pPr>
    </w:p>
    <w:p w:rsidR="00A90898" w:rsidRDefault="00A90898" w:rsidP="00A90898">
      <w:pPr>
        <w:pStyle w:val="TextoNormal"/>
      </w:pPr>
      <w:r>
        <w:t>El examen de este segundo apartado conduce a una conclusión distinta de la alcanzada sobre el apartado primero.</w:t>
      </w:r>
    </w:p>
    <w:p w:rsidR="00A90898" w:rsidRDefault="00A90898" w:rsidP="00A90898">
      <w:pPr>
        <w:pStyle w:val="TextoNormal"/>
      </w:pPr>
    </w:p>
    <w:p w:rsidR="00A90898" w:rsidRDefault="00A90898" w:rsidP="00A90898">
      <w:pPr>
        <w:pStyle w:val="TextoNormal"/>
      </w:pPr>
      <w:r>
        <w:t>El precepto directamente obliga a las Comunidades Autónomas a adscribir a determinado personal a órganos administrativos, excluyendo expresamente como destino de una posible adscripción las instituciones sanitarias en las que venían prestando servicio. Los destinatarios de la norma son funcionarios que se encuentran en el servicio activo de la Comunidad Autónoma. Por tanto, integrados en su función pública y dependientes orgánica y funcionalmente de la administración autonómica. Se trata, por tanto, de una regla que afecta intensamente a la organización y funcionamiento de los órganos administrativos autonómicos y a sus potestades para organizar su propio personal. Así, impone una consecuencia, el desplazamiento forzoso de determinado personal a su servicio, que limita el ejercicio, por parte de esa Administración autonómica, de la potestad de gestión de sus recursos humanos, potestad de naturaleza claramente ejecutiva. Se afecta también a la organización y funcionamiento interno de su administración, en la medida en que no solo impone el traslado de dicho personal sino que, a la vez, excluye como posible destino a una parte sustancial de la administración autonómica.</w:t>
      </w:r>
    </w:p>
    <w:p w:rsidR="00A90898" w:rsidRDefault="00A90898" w:rsidP="00A90898">
      <w:pPr>
        <w:pStyle w:val="TextoNormal"/>
      </w:pPr>
    </w:p>
    <w:p w:rsidR="00A90898" w:rsidRDefault="00A90898" w:rsidP="00A90898">
      <w:pPr>
        <w:pStyle w:val="TextoNormal"/>
      </w:pPr>
      <w:r>
        <w:t xml:space="preserve">Esta integración forzosa de funcionarios en ámbitos que no se relacionan con las habilidades y competencias que ostentan (pues no otra cosa es lo que determinaba su pertenencia a determinados cuerpos de funcionarios así como que realizasen su labor en el ámbito de los servicios autonómicos de salud), supone así una intromisión en la competencia autonómica sobre la gestión del personal a su servicio. Con ello se extravasa la noción material de bases, pues la regla no responde a una finalidad que puedan perseguir las bases en los términos antes definidos. Además, la Comunidad Autónoma se ve privada de todo margen de </w:t>
      </w:r>
      <w:r>
        <w:lastRenderedPageBreak/>
        <w:t>actuación, ya que carece de libertad no ya para decidir sobre la procedencia de la medida sino incluso para disponer lo oportuno respecto al destino del personal que no haya adquirido la condición de personal estatutario fijo conforme al apartado primero. Todo ello produce un resultado de vulneración competencial que priva a lo presentado como básico de su condición de tal. Ese resultado no se ve salvado por la interpretación propuesta por el Abogado del Estado, según la cual este personal podría ser adscrito a órganos administrativos con competencias en materia de sanidad, pues, además de que esa interpretación no es la que resulta de la norma, tampoco es función propia de las bases en materia de función pública determinar a qué órganos de la administración autonómica deben adscribirse los funcionarios de la Comunidad Autónoma.</w:t>
      </w:r>
    </w:p>
    <w:p w:rsidR="00A90898" w:rsidRDefault="00A90898" w:rsidP="00A90898">
      <w:pPr>
        <w:pStyle w:val="TextoNormal"/>
      </w:pPr>
    </w:p>
    <w:p w:rsidR="00A90898" w:rsidRDefault="00A90898" w:rsidP="00A90898">
      <w:pPr>
        <w:pStyle w:val="TextoNormal"/>
      </w:pPr>
      <w:r>
        <w:t>Consecuentemente, el apartado 2 de la disposición adicional decimosexta del estatuto marco, añadido por el art. 10.4 del Real Decreto-ley 16/2012, es contrario al orden constitucional de distribución de competencias y, por tanto, inconstitucional y nulo.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la inconstitucionalidad y nulidad del apartado 2 de la disposición adicional decimosexta de la Ley 55/2003, de 16 de diciembre, del estatuto marco del personal estatutario de los Servicios de Salud, añadido por el art. 10.4 del Real Decreto-ley 16/2012, de 20 de abril, de medidas urgentes para garantizar la sostenibilidad del Sistema Nacional de Salud y mejorar la calidad y seguridad de sus prestaciones.</w:t>
      </w:r>
    </w:p>
    <w:p w:rsidR="00A90898" w:rsidRDefault="00A90898" w:rsidP="00A90898">
      <w:pPr>
        <w:pStyle w:val="TextoNormal"/>
      </w:pPr>
    </w:p>
    <w:p w:rsidR="00A90898" w:rsidRDefault="00A90898" w:rsidP="00A90898">
      <w:pPr>
        <w:pStyle w:val="TextoNormal"/>
      </w:pPr>
      <w:r>
        <w:t>2º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3" w:name="SENTENCIA_2016_184"/>
      <w:r>
        <w:lastRenderedPageBreak/>
        <w:t>SENTENCIA 184/2016, de 3 de noviembre de 2016</w:t>
      </w:r>
    </w:p>
    <w:bookmarkEnd w:id="63"/>
    <w:p w:rsidR="00A90898" w:rsidRDefault="00A90898" w:rsidP="00A90898">
      <w:pPr>
        <w:pStyle w:val="TtuloResolucin"/>
      </w:pPr>
      <w:r>
        <w:t>Pleno</w:t>
      </w:r>
    </w:p>
    <w:p w:rsidR="00A90898" w:rsidRDefault="00A90898" w:rsidP="00A90898">
      <w:pPr>
        <w:pStyle w:val="TtuloBOE"/>
      </w:pPr>
      <w:r>
        <w:t>(BOE núm. 299, de 12 de diciembre de 2016)</w:t>
      </w:r>
    </w:p>
    <w:p w:rsidR="00A90898" w:rsidRDefault="00A90898" w:rsidP="00A90898">
      <w:pPr>
        <w:pStyle w:val="TextoNormalCentrado"/>
      </w:pPr>
      <w:r>
        <w:t>ECLI:ES:TC:2016:184</w:t>
      </w:r>
    </w:p>
    <w:p w:rsidR="00A90898" w:rsidRDefault="00A90898" w:rsidP="00A90898">
      <w:pPr>
        <w:pStyle w:val="TextoNormalCentrado"/>
      </w:pPr>
    </w:p>
    <w:p w:rsidR="00A90898" w:rsidRDefault="00A90898" w:rsidP="00A90898">
      <w:pPr>
        <w:pStyle w:val="SntesisDescriptiva"/>
      </w:pPr>
      <w:r>
        <w:t>Recurso de inconstitucionalidad 7330-2015. Interpuesto por el Gobierno de la Generalitat de Cataluña en relación con diversos preceptos de la Ley 36/2015, de 28 de septiembre, de seguridad nacional.</w:t>
      </w:r>
    </w:p>
    <w:p w:rsidR="00A90898" w:rsidRDefault="00A90898" w:rsidP="00A90898">
      <w:pPr>
        <w:pStyle w:val="SntesisDescriptiva"/>
      </w:pPr>
    </w:p>
    <w:p w:rsidR="00A90898" w:rsidRDefault="00A90898" w:rsidP="00A90898">
      <w:pPr>
        <w:pStyle w:val="SntesisAnaltica"/>
      </w:pPr>
      <w:r>
        <w:t>Competencias sobre defensa, seguridad pública y protección civil; cláusula residual de atribución de competencias: interpretación conforme con la Constitución del precepto legal estatal que establece los efectos de la declaración de situación de interés para la seguridad nacional.</w:t>
      </w:r>
    </w:p>
    <w:p w:rsidR="00A90898" w:rsidRDefault="00A90898" w:rsidP="00A90898">
      <w:pPr>
        <w:pStyle w:val="SntesisAnaltica"/>
      </w:pPr>
    </w:p>
    <w:p w:rsidR="00A90898" w:rsidRDefault="00A90898" w:rsidP="00A90898">
      <w:pPr>
        <w:pStyle w:val="Extracto"/>
      </w:pPr>
      <w:r>
        <w:t>1.</w:t>
      </w:r>
      <w:r>
        <w:tab/>
        <w:t>La competencia en materia de protección civil dependerá de la naturaleza de la situación de emergencia, y de los recursos y servicios a movilizar, de modo que esta competencia autonómica se encuentra con determinados límites, que derivan de la existencia de un posible interés nacional o supraautonómico que pueda verse afectado por la situación de catástrofe o emergencia. Las competencias asumidas por las Comunidades Autónomas encuentran su límite en la política de seguridad pública que la Constitución reserva a la competencia estatal en su art. 149.1.29, en cuanto tal seguridad pública presenta una dimensión nacional (STC 133/1990) [FJ 4].</w:t>
      </w:r>
    </w:p>
    <w:p w:rsidR="00A90898" w:rsidRDefault="00A90898" w:rsidP="00A90898">
      <w:pPr>
        <w:pStyle w:val="Extracto"/>
      </w:pPr>
    </w:p>
    <w:p w:rsidR="00A90898" w:rsidRDefault="00A90898" w:rsidP="00A90898">
      <w:pPr>
        <w:pStyle w:val="Extracto"/>
      </w:pPr>
      <w:r>
        <w:t>2.</w:t>
      </w:r>
      <w:r>
        <w:tab/>
        <w:t>Debe dejarse sentado que las Comunidades Autónomas podrán intervenir en la elaboración de la estrategia de seguridad nacional cuando afecte a sus competencias. Así se infiere del hecho de que estarán presentes en el Consejo de Seguridad Nacional, que aprueba las directrices en materia de planificación y estrategia, impulsa las revisiones de la estrategia de seguridad nacional y verifica su cumplimiento. También formarán parte de la conferencia sectorial, que articulará las fórmulas de su participación en los instrumentos de planificación [FJ 5].</w:t>
      </w:r>
    </w:p>
    <w:p w:rsidR="00A90898" w:rsidRDefault="00A90898" w:rsidP="00A90898">
      <w:pPr>
        <w:pStyle w:val="Extracto"/>
      </w:pPr>
    </w:p>
    <w:p w:rsidR="00A90898" w:rsidRDefault="00A90898" w:rsidP="00A90898">
      <w:pPr>
        <w:pStyle w:val="Extracto"/>
      </w:pPr>
      <w:r>
        <w:t>3.</w:t>
      </w:r>
      <w:r>
        <w:tab/>
        <w:t>Las Comunidades Autónomas pueden instar la declaración de la situación de interés para la seguridad nacional, ya que la Ley controvertida contempla de forma expresa su participación en la gestión de la crisis desde las tempranas fases de prevención y detección, así como su intervención en el Consejo de Seguridad Nacional, incluso antes de que dicha declaración tenga lugar. Por tanto, se ha de rechazar la vulneración competencial alegada, ya que el recurso puede calificarse como meramente preventivo, en la medida en que pretenda combatir el desconocimiento efectivo de las facultades reconocidas a la Comunidad Autónoma en la materia [FJ 6].</w:t>
      </w:r>
    </w:p>
    <w:p w:rsidR="00A90898" w:rsidRDefault="00A90898" w:rsidP="00A90898">
      <w:pPr>
        <w:pStyle w:val="Extracto"/>
      </w:pPr>
    </w:p>
    <w:p w:rsidR="00A90898" w:rsidRDefault="00A90898" w:rsidP="00A90898">
      <w:pPr>
        <w:pStyle w:val="Extracto"/>
      </w:pPr>
      <w:r>
        <w:t>4.</w:t>
      </w:r>
      <w:r>
        <w:tab/>
        <w:t xml:space="preserve">La situación de interés para la seguridad nacional no supone una alteración del esquema competencial, ya que parte de la base de que cada Administración seguirá ejerciendo sus competencias. Por tanto, puesto que se trata de afrontar la situación de crisis con las atribuciones y medios ordinarios, la obligación de aportación de recursos humanos y materiales necesarios a tal efecto, que la norma impugnada impone a las autoridades competentes en los casos de declaración de la </w:t>
      </w:r>
      <w:r>
        <w:lastRenderedPageBreak/>
        <w:t>situación de interés para la seguridad nacional, debe entenderse referida a los que sean precisos, durante dicha situación, para el ejercicio de las competencias de la Administración que ha de aportarlos [FJ 7]</w:t>
      </w:r>
    </w:p>
    <w:p w:rsidR="00A90898" w:rsidRDefault="00A90898" w:rsidP="00A90898">
      <w:pPr>
        <w:pStyle w:val="Extracto"/>
      </w:pPr>
    </w:p>
    <w:p w:rsidR="00A90898" w:rsidRDefault="00A90898" w:rsidP="00A90898">
      <w:pPr>
        <w:pStyle w:val="Extracto"/>
      </w:pPr>
      <w:r>
        <w:t>5.</w:t>
      </w:r>
      <w:r>
        <w:tab/>
        <w:t>La coordinación implica la fijación de medios y de sistemas de relación que hagan posible la información recíproca, la homogeneidad técnica en determinados aspectos y la acción conjunta de las autoridades en el ejercicio de sus respectivas competencias de tal modo que se logre la integración de actos parciales en la globalidad del sistema… [es la] facultad consistente en el establecimiento de sistemas y procedimientos que propicien la integración de las partes del conjunto, para lo cual se ejerce un cierto poder de dirección, consecuencia de la posición de superioridad en que se encuentra el que coordina respecto al coordinado (STC 86/2014)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7330-2015, promovido por el Gobierno de la Generalitat de Cataluña contra los arts. 4.3, 15 c) y 24 de la Ley 36/2015, de 28 de septiembre, de seguridad nacional. Ha comparecido y formulado alegaciones el Abogado del Estado. Ha sido Ponente el Magistrado don Juan Antonio Xiol Ríos,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día 23 de diciembre 2015, se ha promovido recurso de inconstitucionalidad por el Gobierno de Cataluña contra los arts. 4.3, 15 c) y 24 de la Ley 36/2015, de 28 de septiembre, de seguridad nacional. Los motivos del recurso son los que, sucintamente, se recogen a continuación.</w:t>
      </w:r>
    </w:p>
    <w:p w:rsidR="00A90898" w:rsidRDefault="00A90898" w:rsidP="00A90898">
      <w:pPr>
        <w:pStyle w:val="TextoNormal"/>
      </w:pPr>
    </w:p>
    <w:p w:rsidR="00A90898" w:rsidRDefault="00A90898" w:rsidP="00A90898">
      <w:pPr>
        <w:pStyle w:val="TextoNormal"/>
      </w:pPr>
      <w:r>
        <w:t>a) Los artículos impugnados vulneran el orden constitucional de distribución competencial por la absoluta falta de previsión de la participación de la Generalitat en los supuestos que regulan, en ámbitos que pueden condicionar el ejercicio de sus competencias.</w:t>
      </w:r>
    </w:p>
    <w:p w:rsidR="00A90898" w:rsidRDefault="00A90898" w:rsidP="00A90898">
      <w:pPr>
        <w:pStyle w:val="TextoNormal"/>
      </w:pPr>
    </w:p>
    <w:p w:rsidR="00A90898" w:rsidRDefault="00A90898" w:rsidP="00A90898">
      <w:pPr>
        <w:pStyle w:val="TextoNormal"/>
      </w:pPr>
      <w:r>
        <w:lastRenderedPageBreak/>
        <w:t>b) La Constitución no menciona la seguridad nacional como título competencial. Tampoco la menciona la legislación sobre seguridad exterior e interior del Estado: Ley Orgánica 5/2005, de defensa nacional; Ley Orgánica 2/1986, de fuerzas y cuerpos de seguridad (LOFCS) y Ley Orgánica 4/2015, de protección de la seguridad ciudadana. Sin embargo, como expresión, ha sido utilizada puntualmente en algunas normas estatales.</w:t>
      </w:r>
    </w:p>
    <w:p w:rsidR="00A90898" w:rsidRDefault="00A90898" w:rsidP="00A90898">
      <w:pPr>
        <w:pStyle w:val="TextoNormal"/>
      </w:pPr>
    </w:p>
    <w:p w:rsidR="00A90898" w:rsidRDefault="00A90898" w:rsidP="00A90898">
      <w:pPr>
        <w:pStyle w:val="TextoNormal"/>
      </w:pPr>
      <w:r>
        <w:t>La seguridad nacional, en cuanto espacio material nuevo introducido por vez primera en nuestro ordenamiento jurídico, no es susceptible, en sí misma, de reproche de inconstitucionalidad pues el legislador tiene un amplio margen de configuración a este respecto. Sin embargo, la amplitud e inconcreción con que se define la seguridad nacional en la Ley 36/2015, encaja con dificultad en los títulos competenciales previstos en la Constitución Española.</w:t>
      </w:r>
    </w:p>
    <w:p w:rsidR="00A90898" w:rsidRDefault="00A90898" w:rsidP="00A90898">
      <w:pPr>
        <w:pStyle w:val="TextoNormal"/>
      </w:pPr>
    </w:p>
    <w:p w:rsidR="00A90898" w:rsidRDefault="00A90898" w:rsidP="00A90898">
      <w:pPr>
        <w:pStyle w:val="TextoNormal"/>
      </w:pPr>
      <w:r>
        <w:t>La definición de “seguridad nacional” (art. 3 de la Ley) es imprecisa y genérica. Esta falta de precisión se extiende a otros ámbitos de la Ley, como puso de relieve el Consejo de Estado en su dictamen 405/2015. El art. 10 de la Ley enumera, de forma meramente ejemplificativa, los ámbitos de especial interés de la seguridad nacional, con lo que ésta se convierte en un nuevo criterio interpretativo del resto de la legalidad y se la incluye materialmente en el bloque de constitucionalidad.</w:t>
      </w:r>
    </w:p>
    <w:p w:rsidR="00A90898" w:rsidRDefault="00A90898" w:rsidP="00A90898">
      <w:pPr>
        <w:pStyle w:val="TextoNormal"/>
      </w:pPr>
    </w:p>
    <w:p w:rsidR="00A90898" w:rsidRDefault="00A90898" w:rsidP="00A90898">
      <w:pPr>
        <w:pStyle w:val="TextoNormal"/>
      </w:pPr>
      <w:r>
        <w:t>El nuevo concepto legal de seguridad nacional incluye otros, como la defensa y la seguridad pública, recogidos en los apartados 4 y 29 del art. 149.1 CE, citados en la disposición final primera de la Ley 36/2015 como títulos competenciales de cobertura. Así, la Ley invierte su vinculación material a la Constitución pues no es la seguridad nacional la que se configura como submateria de la defensa y la seguridad pública sino a la inversa.</w:t>
      </w:r>
    </w:p>
    <w:p w:rsidR="00A90898" w:rsidRDefault="00A90898" w:rsidP="00A90898">
      <w:pPr>
        <w:pStyle w:val="TextoNormal"/>
      </w:pPr>
    </w:p>
    <w:p w:rsidR="00A90898" w:rsidRDefault="00A90898" w:rsidP="00A90898">
      <w:pPr>
        <w:pStyle w:val="TextoNormal"/>
      </w:pPr>
      <w:r>
        <w:t>Al definir el art. 3 de la Ley 36/2015, la “seguridad nacional”, como acción del Estado dirigida a proteger los derechos, libertades y bienestar de los ciudadanos y a garantizar la defensa de España y de sus principios y valores constitucionales, se configura ésta como condición de plena eficacia del ordenamiento, incluida la Constitución.</w:t>
      </w:r>
    </w:p>
    <w:p w:rsidR="00A90898" w:rsidRDefault="00A90898" w:rsidP="00A90898">
      <w:pPr>
        <w:pStyle w:val="TextoNormal"/>
      </w:pPr>
    </w:p>
    <w:p w:rsidR="00A90898" w:rsidRDefault="00A90898" w:rsidP="00A90898">
      <w:pPr>
        <w:pStyle w:val="TextoNormal"/>
      </w:pPr>
      <w:r>
        <w:t>Del preámbulo de la Ley 36/2015 resulta que, al definir la seguridad nacional como un nuevo espacio de actuación pública, el legislador opta por un cambio de modelo en la regulación de la seguridad sin modificar, ni derogar formalmente, las normas sectoriales vigentes. Sin embargo, proyecta sobre ellas sus efectos, con el fin de reforzar la integración de los diversos instrumentos normativos y agentes concernidos en un sistema armónico.</w:t>
      </w:r>
    </w:p>
    <w:p w:rsidR="00A90898" w:rsidRDefault="00A90898" w:rsidP="00A90898">
      <w:pPr>
        <w:pStyle w:val="TextoNormal"/>
      </w:pPr>
    </w:p>
    <w:p w:rsidR="00A90898" w:rsidRDefault="00A90898" w:rsidP="00A90898">
      <w:pPr>
        <w:pStyle w:val="TextoNormal"/>
      </w:pPr>
      <w:r>
        <w:t>La Ley sitúa la política de seguridad nacional bajo la dirección del Presidente del Gobierno. Concreta esta política en la llamada “estrategia de seguridad nacional”, definida en su art. 4.3. La vigente “estrategia de seguridad nacional” (ESN-2013) se aprobó por el Consejo de Ministros el 31 de mayo de 2013.</w:t>
      </w:r>
    </w:p>
    <w:p w:rsidR="00A90898" w:rsidRDefault="00A90898" w:rsidP="00A90898">
      <w:pPr>
        <w:pStyle w:val="TextoNormal"/>
      </w:pPr>
    </w:p>
    <w:p w:rsidR="00A90898" w:rsidRDefault="00A90898" w:rsidP="00A90898">
      <w:pPr>
        <w:pStyle w:val="TextoNormal"/>
      </w:pPr>
      <w:r>
        <w:t>c) En su título III (arts. 22 a 26) la Ley crea y regula lo que denomina “situación de interés para la Seguridad Nacional” que se declara por el Presidente del Gobierno, bajo su exclusiva responsabilidad. La Ley concreta el contenido de la declaración y fija, como único límite, la suspensión de los derechos fundamentales y libertades públicas.</w:t>
      </w:r>
    </w:p>
    <w:p w:rsidR="00A90898" w:rsidRDefault="00A90898" w:rsidP="00A90898">
      <w:pPr>
        <w:pStyle w:val="TextoNormal"/>
      </w:pPr>
    </w:p>
    <w:p w:rsidR="00A90898" w:rsidRDefault="00A90898" w:rsidP="00A90898">
      <w:pPr>
        <w:pStyle w:val="TextoNormal"/>
      </w:pPr>
      <w:r>
        <w:lastRenderedPageBreak/>
        <w:t xml:space="preserve">La Ley crea así, al margen de la Constitución, un espacio jurídico entre la normalidad y la excepcionalidad que suponen los estados de excepción, alarma y sitio del art. 116 CE. Sin embargo, estos son un </w:t>
      </w:r>
      <w:r w:rsidRPr="00A90898">
        <w:rPr>
          <w:i/>
        </w:rPr>
        <w:t>numerus clausus</w:t>
      </w:r>
      <w:r>
        <w:t xml:space="preserve"> que el legislador no puede reducir ni ampliar.</w:t>
      </w:r>
    </w:p>
    <w:p w:rsidR="00A90898" w:rsidRDefault="00A90898" w:rsidP="00A90898">
      <w:pPr>
        <w:pStyle w:val="TextoNormal"/>
      </w:pPr>
    </w:p>
    <w:p w:rsidR="00A90898" w:rsidRDefault="00A90898" w:rsidP="00A90898">
      <w:pPr>
        <w:pStyle w:val="TextoNormal"/>
      </w:pPr>
      <w:r>
        <w:t>La Ley 36/2015 se planteó inicialmente, como resulta de sus antecedentes, como una ley de coordinación de las normas del ordenamiento sobre defensa y seguridad pública. Abandonada esta perspectiva, opta por atribuir al Presidente del Gobierno la máxima discrecionalidad posible en la declaración de la situación de interés para la seguridad nacional y su gestión con lo que, materialmente, coloca al Presidente en la posición de protector de la Constitución y del resto del ordenamiento.</w:t>
      </w:r>
    </w:p>
    <w:p w:rsidR="00A90898" w:rsidRDefault="00A90898" w:rsidP="00A90898">
      <w:pPr>
        <w:pStyle w:val="TextoNormal"/>
      </w:pPr>
    </w:p>
    <w:p w:rsidR="00A90898" w:rsidRDefault="00A90898" w:rsidP="00A90898">
      <w:pPr>
        <w:pStyle w:val="TextoNormal"/>
      </w:pPr>
      <w:r>
        <w:t>En la medida en que la Ley 36/2015, se yuxtapone a la regulación sectorial autonómica, vulnera los títulos competenciales que la amparan, especialmente los relativos a emergencias, protección civil y seguridad pública (arts. 132 y 164 del Estatuto de Autonomía de Cataluña: EAC).</w:t>
      </w:r>
    </w:p>
    <w:p w:rsidR="00A90898" w:rsidRDefault="00A90898" w:rsidP="00A90898">
      <w:pPr>
        <w:pStyle w:val="TextoNormal"/>
      </w:pPr>
    </w:p>
    <w:p w:rsidR="00A90898" w:rsidRDefault="00A90898" w:rsidP="00A90898">
      <w:pPr>
        <w:pStyle w:val="TextoNormal"/>
      </w:pPr>
      <w:r>
        <w:t>d) El régimen competencial en materia de seguridad pública deriva del art. 149.1.29 CE y de la Ley Orgánica a que éste se refiere, integrante del bloque de constitucionalidad junto con los Estatutos de Autonomía. La seguridad pública, según la doctrina constitucional (SSTC 33/1982 y 154/2005) incluye la actividad policial y funciones de otra naturaleza.</w:t>
      </w:r>
    </w:p>
    <w:p w:rsidR="00A90898" w:rsidRDefault="00A90898" w:rsidP="00A90898">
      <w:pPr>
        <w:pStyle w:val="TextoNormal"/>
      </w:pPr>
    </w:p>
    <w:p w:rsidR="00A90898" w:rsidRDefault="00A90898" w:rsidP="00A90898">
      <w:pPr>
        <w:pStyle w:val="TextoNormal"/>
      </w:pPr>
      <w:r>
        <w:t>El art. 149.1.29 CE configura un régimen asimétrico pues atribuye al Estado la competencia exclusiva sobre seguridad pública con una cláusula de excepción a favor de las Comunidades Autónomas que puedan crear policías autonómicas en la forma que establezcan sus Estatutos, en el marco de la Ley Orgánica citada, entre ellas, Cataluña.</w:t>
      </w:r>
    </w:p>
    <w:p w:rsidR="00A90898" w:rsidRDefault="00A90898" w:rsidP="00A90898">
      <w:pPr>
        <w:pStyle w:val="TextoNormal"/>
      </w:pPr>
    </w:p>
    <w:p w:rsidR="00A90898" w:rsidRDefault="00A90898" w:rsidP="00A90898">
      <w:pPr>
        <w:pStyle w:val="TextoNormal"/>
      </w:pPr>
      <w:r>
        <w:t>La competencia autonómica de creación de policías propias se entiende en sentido orgánico y funcional. Incluye todas las facultades propias de los servicios policiales (SSTC 104/1989 y 86/2014). En cambio, la competencia estatal sobre seguridad pública, exige una conexión directa con la actividad de protección de personas y bienes y, negativamente, la inexistencia de vínculos específicos con las funciones de la policía autonómica. La distinción entre ambas no es fácil (SSTC 175/1999, 148/2000, 235/2001 y 154/2005) por lo que requiere la utilización de técnicas de cooperación y coordinación. La Ley Orgánica de las fuerzas y cuerpos de seguridad se refiere a la colaboración entre los cuerpos y fuerzas de seguridad del Estado y los cuerpos de policía de las Comunidades Autónomas y regula, como órganos de coordinación, el Consejo de Política de Seguridad y las juntas de seguridad de las Comunidades Autónomas.</w:t>
      </w:r>
    </w:p>
    <w:p w:rsidR="00A90898" w:rsidRDefault="00A90898" w:rsidP="00A90898">
      <w:pPr>
        <w:pStyle w:val="TextoNormal"/>
      </w:pPr>
    </w:p>
    <w:p w:rsidR="00A90898" w:rsidRDefault="00A90898" w:rsidP="00A90898">
      <w:pPr>
        <w:pStyle w:val="TextoNormal"/>
      </w:pPr>
      <w:r>
        <w:t>El Estatuto de Autonomía de Cataluña de 2006 reconoce (art. 164.1) la competencia de “planificación y regulación del sistema de seguridad pública de Cataluña” que permite a la Generalitat implementar una política global en la materia, menos limitada por la distinción entre funciones policiales y no policiales. También permite la asunción de potestades normativas, no previstas en el anterior Estatuto de Autonomía de Cataluña. Además, los mossos d’esquadra, se configuran como una policía integral que ejerce en el territorio de Cataluña todas las funciones propias de un cuerpo policial. El Estatuto de Autonomía de Cataluña, define finalmente, un nuevo modelo de Junta de Seguridad de Cataluña, presidida por el Presidente de la Generalitat, que coordina las políticas de seguridad y la actividad de los cuerpos policiales del Estado y de Cataluña y la colaboración internacional en este ámbito.</w:t>
      </w:r>
    </w:p>
    <w:p w:rsidR="00A90898" w:rsidRDefault="00A90898" w:rsidP="00A90898">
      <w:pPr>
        <w:pStyle w:val="TextoNormal"/>
      </w:pPr>
    </w:p>
    <w:p w:rsidR="00A90898" w:rsidRDefault="00A90898" w:rsidP="00A90898">
      <w:pPr>
        <w:pStyle w:val="TextoNormal"/>
      </w:pPr>
      <w:r>
        <w:t>El art. 164.1 EAC prevé la competencia de la Generalitat en materia de seguridad pública de acuerdo con la legislación estatal. Esta remisión solo puede referirse a la Ley Orgánica del art. 104 CE y, en su caso, a la Ley Orgánica 6/1997, de transferencia de competencias ejecutivas en materia de tráfico. Si no fuera así, el Estatuto de Autonomía de Cataluña, estaría limitando las competencias de la Generalitat de forma difícil de aceptar con una interpretación sistemática.</w:t>
      </w:r>
    </w:p>
    <w:p w:rsidR="00A90898" w:rsidRDefault="00A90898" w:rsidP="00A90898">
      <w:pPr>
        <w:pStyle w:val="TextoNormal"/>
      </w:pPr>
    </w:p>
    <w:p w:rsidR="00A90898" w:rsidRDefault="00A90898" w:rsidP="00A90898">
      <w:pPr>
        <w:pStyle w:val="TextoNormal"/>
      </w:pPr>
      <w:r>
        <w:t>La protección civil no está incluida específicamente en el art. 149.1 CE pero la jurisprudencia constitucional la ha integrado en el art. 149.1.29 CE. El Estatuto de Autonomía de Cataluña le dedica el art. 132 que recoge la distinción, que ya había hecho la jurisprudencia, entre situaciones de “interés nacional” (de competencia estatal) y otras situaciones de emergencia. Así, solo concurre el interés nacional cuando se aplica la Ley Orgánica 4/1981, sobre estados de alarma, excepción y sitio; en casos de emergencias supraterritoriales que sobrepasen los medios autonómicos y en catástrofes que exijan una dirección nacional (STC 133/1990). Aún en estos casos de gravedad excepcional, únicos que justifican la competencia estatal, la Comunidad Autónoma afectada, conserva sus competencias en la medida que no impidan el ejercicio de las estatales. La coordinación es esencial en este aspecto.</w:t>
      </w:r>
    </w:p>
    <w:p w:rsidR="00A90898" w:rsidRDefault="00A90898" w:rsidP="00A90898">
      <w:pPr>
        <w:pStyle w:val="TextoNormal"/>
      </w:pPr>
    </w:p>
    <w:p w:rsidR="00A90898" w:rsidRDefault="00A90898" w:rsidP="00A90898">
      <w:pPr>
        <w:pStyle w:val="TextoNormal"/>
      </w:pPr>
      <w:r>
        <w:t>e) El art. 4.3 de la Ley 36/2015 define la “estrategia de seguridad nacional”, que se elabora a iniciativa del Presidente del Gobierno y se aprueba por el Consejo de Ministros.</w:t>
      </w:r>
    </w:p>
    <w:p w:rsidR="00A90898" w:rsidRDefault="00A90898" w:rsidP="00A90898">
      <w:pPr>
        <w:pStyle w:val="TextoNormal"/>
      </w:pPr>
    </w:p>
    <w:p w:rsidR="00A90898" w:rsidRDefault="00A90898" w:rsidP="00A90898">
      <w:pPr>
        <w:pStyle w:val="TextoNormal"/>
      </w:pPr>
      <w:r>
        <w:t>La “estrategia de seguridad nacional”, contiene previsiones sobre riesgos y amenazas a la seguridad pública y planifica sus posibles respuestas. Según la ESN-2013, incluye como ámbitos prioritarios de actuación, la lucha contra el terrorismo y el crimen organizado, la ciberseguridad, la protección ante emergencias y catástrofes y de las infraestructuras críticas.</w:t>
      </w:r>
    </w:p>
    <w:p w:rsidR="00A90898" w:rsidRDefault="00A90898" w:rsidP="00A90898">
      <w:pPr>
        <w:pStyle w:val="TextoNormal"/>
      </w:pPr>
    </w:p>
    <w:p w:rsidR="00A90898" w:rsidRDefault="00A90898" w:rsidP="00A90898">
      <w:pPr>
        <w:pStyle w:val="TextoNormal"/>
      </w:pPr>
      <w:r>
        <w:t>Sin embargo, aunque puede condicionar el ejercicio de las funciones de la policía de la Generalitat (art. 164 EAC) y las competencias autonómicas sobre protección civil (art. 132 EAC), la Ley prescinde de la participación de las Comunidades Autónomas en la elaboración de dicha estrategia ya que no prevé ningún tipo de consulta, audiencia o informe de éstas.</w:t>
      </w:r>
    </w:p>
    <w:p w:rsidR="00A90898" w:rsidRDefault="00A90898" w:rsidP="00A90898">
      <w:pPr>
        <w:pStyle w:val="TextoNormal"/>
      </w:pPr>
    </w:p>
    <w:p w:rsidR="00A90898" w:rsidRDefault="00A90898" w:rsidP="00A90898">
      <w:pPr>
        <w:pStyle w:val="TextoNormal"/>
      </w:pPr>
      <w:r>
        <w:t>La falta de participación de las Comunidades Autónomas con competencias en la materia en la elaboración de la “estrategia de seguridad nacional”, no es adecuada a los principios de colaboración, coordinación y lealtad institucional, base del Estado autonómico.</w:t>
      </w:r>
    </w:p>
    <w:p w:rsidR="00A90898" w:rsidRDefault="00A90898" w:rsidP="00A90898">
      <w:pPr>
        <w:pStyle w:val="TextoNormal"/>
      </w:pPr>
    </w:p>
    <w:p w:rsidR="00A90898" w:rsidRDefault="00A90898" w:rsidP="00A90898">
      <w:pPr>
        <w:pStyle w:val="TextoNormal"/>
      </w:pPr>
      <w:r>
        <w:t>La participación autonómica se podría haber previsto a través de los órganos de participación regulados en la propia Ley 36/2015, como la Conferencia Sectorial para Asuntos de la Seguridad Nacional (art. 6). También a través del Consejo de Política de Seguridad del art. 48 LOFCS. La exigencia de informes previos de las conferencias sectoriales para la aprobación de estrategias o, incluso la adopción de éstas en su seno, es un mecanismo reconocido en nuestro ordenamiento; por ejemplo en la Ley 33/2015, que regula la “estrategia estatal de infraestructura verde y de la conectividad y restauración ecológicas”.</w:t>
      </w:r>
    </w:p>
    <w:p w:rsidR="00A90898" w:rsidRDefault="00A90898" w:rsidP="00A90898">
      <w:pPr>
        <w:pStyle w:val="TextoNormal"/>
      </w:pPr>
    </w:p>
    <w:p w:rsidR="00A90898" w:rsidRDefault="00A90898" w:rsidP="00A90898">
      <w:pPr>
        <w:pStyle w:val="TextoNormal"/>
      </w:pPr>
      <w:r>
        <w:lastRenderedPageBreak/>
        <w:t>Por tanto, el art. 4.3 de la Ley 36/2015, vulnera los arts. 132 y 164 EAC en relación con el art. 149.1.29 CE, al no reconocer ninguna participación a la Generalitat en la elaboración de la “estrategia de seguridad nacional”.</w:t>
      </w:r>
    </w:p>
    <w:p w:rsidR="00A90898" w:rsidRDefault="00A90898" w:rsidP="00A90898">
      <w:pPr>
        <w:pStyle w:val="TextoNormal"/>
      </w:pPr>
    </w:p>
    <w:p w:rsidR="00A90898" w:rsidRDefault="00A90898" w:rsidP="00A90898">
      <w:pPr>
        <w:pStyle w:val="TextoNormal"/>
      </w:pPr>
      <w:r>
        <w:t>f) El art. 15 c) de la Ley 36/2015, que atribuye al Presidente del Gobierno la declaración de la situación de interés para la seguridad nacional, no contempla la posibilidad de que esta declaración, en los casos en que resulte singularmente afectada la Comunidad Autónoma, pueda tener lugar a petición del Presidente autonómico. Por ello, vulnera los arts. 132 y 164 EAC en relación con el art. 149.1.29 CE, en la medida en que no prevé ningún tipo de participación de las Comunidades Autónomas en la declaración de la situación de interés para la seguridad nacional, aunque ésta puede afectar a las competencias autonómicas.</w:t>
      </w:r>
    </w:p>
    <w:p w:rsidR="00A90898" w:rsidRDefault="00A90898" w:rsidP="00A90898">
      <w:pPr>
        <w:pStyle w:val="TextoNormal"/>
      </w:pPr>
    </w:p>
    <w:p w:rsidR="00A90898" w:rsidRDefault="00A90898" w:rsidP="00A90898">
      <w:pPr>
        <w:pStyle w:val="TextoNormal"/>
      </w:pPr>
      <w:r>
        <w:t>g) El art. 24.1 de la Ley 36/2015 regula la declaración de la situación de interés para la seguridad nacional. Dice que se realiza por real decreto que incluirá la definición de la crisis, su ámbito geográfico, duración, autoridad de coordinación y recursos humanos y materiales necesarios para afrontarla, previstos en los correspondientes planes, u otros recursos adicionales que se requieran según lo dispuesto en el título IV de la Ley. El art. 24.2 establece la obligación de las autoridades competentes de aportar los medios humanos y materiales necesarios que estén bajo su dependencia.</w:t>
      </w:r>
    </w:p>
    <w:p w:rsidR="00A90898" w:rsidRDefault="00A90898" w:rsidP="00A90898">
      <w:pPr>
        <w:pStyle w:val="TextoNormal"/>
      </w:pPr>
    </w:p>
    <w:p w:rsidR="00A90898" w:rsidRDefault="00A90898" w:rsidP="00A90898">
      <w:pPr>
        <w:pStyle w:val="TextoNormal"/>
      </w:pPr>
      <w:r>
        <w:t>El art. 24.2 no deja claro si, con la declaración de interés para la seguridad nacional, se asumiría el ejercicio de competencias autonómicas. Además, impone a las Comunidades Autónomas la obligación de aportar recursos, sin previsión de compensación alguna.</w:t>
      </w:r>
    </w:p>
    <w:p w:rsidR="00A90898" w:rsidRDefault="00A90898" w:rsidP="00A90898">
      <w:pPr>
        <w:pStyle w:val="TextoNormal"/>
      </w:pPr>
    </w:p>
    <w:p w:rsidR="00A90898" w:rsidRDefault="00A90898" w:rsidP="00A90898">
      <w:pPr>
        <w:pStyle w:val="TextoNormal"/>
      </w:pPr>
      <w:r>
        <w:t>El presupuesto fáctico de la situación de interés para la seguridad nacional se recoge en el art. 23.2 de la Ley y alude a supuestos en que se requiere una coordinación reforzada de las autoridades competentes. El título IV regula, de forma confusa, la contribución de recursos a la seguridad nacional. A partir de ello, se reitera lo ya expuesto sobre la amplitud del concepto legal de “seguridad nacional” y el esquema competencial en la materia y se afirma que el artículo 24 recurrido, obliga a la Generalitat a poner a disposición del “sistema de seguridad nacional”, los recursos humanos y materiales previstos en el real decreto de declaración, que pueden incluir unidades, medios e instalaciones de los mossos d’esquadra y de las policías locales y servicios de protección civil, sin dar ninguna participación a la Generalitat. Recuerda que ni el Estatuto de Autonomía de Cataluña, ni la Ley Orgánica de las fuerzas y cuerpos de seguridad, regulan ninguna situación en que el mando de los mossos d’esquadra pueda ser limitado por fórmulas de adscripción a entes estatales como la del art. 24.1 e) en relación con los arts. 23.2 y 29.2 de la Ley. Aunque el art. 46 LOFCS prevé excepcionalmente que las fuerzas y cuerpos de seguridad del Estado asuman la dirección en casos de concurrencia simultánea con la policía autonómica en la prestación de un servicio, esta previsión se refiere a actuaciones concretas, sin continuidad.</w:t>
      </w:r>
    </w:p>
    <w:p w:rsidR="00A90898" w:rsidRDefault="00A90898" w:rsidP="00A90898">
      <w:pPr>
        <w:pStyle w:val="TextoNormal"/>
      </w:pPr>
    </w:p>
    <w:p w:rsidR="00A90898" w:rsidRDefault="00A90898" w:rsidP="00A90898">
      <w:pPr>
        <w:pStyle w:val="TextoNormal"/>
      </w:pPr>
      <w:r>
        <w:t>El artículo 25 establece mecanismos de enlace y coordinación para que el sistema de seguridad nacional se active preventivamente pero éstos se determinan unilateralmente por el Consejo de Seguridad Nacional y no se pueden considerar un medio de coordinación con las Comunidades Autónomas, que ni siquiera se mencionan. Tampoco el artículo 26, que regula la actuación de los órganos de coordinación en materia de gestión de crisis, se refiere a éstas. Algunos artículos del título IV (27.2, 4; 29.2), incluyen previsiones sobre la colabo</w:t>
      </w:r>
      <w:r>
        <w:lastRenderedPageBreak/>
        <w:t>ración y la coordinación con las Comunidades Autónomas pero solo afectan a la organización del sistema de recursos utilizables en caso de declaración de situación de interés para la seguridad nacional y no a su aplicación efectiva durante dicha situación. El reproche más importante que se hace a las fórmulas de colaboración expuestas es que ignoran totalmente los órganos de colaboración previstos en el bloque de constitucionalidad que son el Consejo de Política de Seguridad y, en Cataluña, la junta de seguridad.</w:t>
      </w:r>
    </w:p>
    <w:p w:rsidR="00A90898" w:rsidRDefault="00A90898" w:rsidP="00A90898">
      <w:pPr>
        <w:pStyle w:val="TextoNormal"/>
      </w:pPr>
    </w:p>
    <w:p w:rsidR="00A90898" w:rsidRDefault="00A90898" w:rsidP="00A90898">
      <w:pPr>
        <w:pStyle w:val="TextoNormal"/>
      </w:pPr>
      <w:r>
        <w:t>En conclusión, el art. 24 de la Ley 36/2015 vulnera los arts. 132 y 164 EAC.</w:t>
      </w:r>
    </w:p>
    <w:p w:rsidR="00A90898" w:rsidRDefault="00A90898" w:rsidP="00A90898">
      <w:pPr>
        <w:pStyle w:val="TextoNormal"/>
      </w:pPr>
    </w:p>
    <w:p w:rsidR="00A90898" w:rsidRDefault="00A90898" w:rsidP="00A90898">
      <w:pPr>
        <w:pStyle w:val="TextoNormal"/>
      </w:pPr>
      <w:r>
        <w:t>h) El suplico de la demanda, en consonancia con todo lo expuesto, pide que se declare la inconstitucionalidad y consiguiente nulidad de los arts. 4.3, 15 c) y 24 de la Ley 36/2015.</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2 de febrero de 2016, el Pleno, a propuesta de la Sección Primera, acordó admitir a trámite el recurso de inconstitucionalidad promovido por el Gobierno de Cataluña y, en su representación y defensa, por la Abogada de la Generalitat de Cataluña, contra los arts. 4.3; 15 c) y 24 de la Ley 36/2015, de 28 de septiembre, de seguridad nacional; dar traslado de la demanda y documentos presentados, conforme señala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Con fecha de 12 de febrero de 2016, el Abogado del Estado comparece en el proceso en la representación que legalmente ostenta para que el Tribunal le tenga por personado en el recurso de inconstitucionalidad en nombre del Gobierno, al tiempo que solicita una prórroga del plazo concedido para formular sus alegaciones.</w:t>
      </w:r>
    </w:p>
    <w:p w:rsidR="00A90898" w:rsidRDefault="00A90898" w:rsidP="00A90898">
      <w:pPr>
        <w:pStyle w:val="TextoNormal"/>
      </w:pPr>
    </w:p>
    <w:p w:rsidR="00A90898" w:rsidRDefault="00A90898" w:rsidP="00A90898">
      <w:pPr>
        <w:pStyle w:val="TextoNormal"/>
      </w:pPr>
      <w:r w:rsidRPr="00A90898">
        <w:rPr>
          <w:rStyle w:val="NumeroAFNegritaCaracter"/>
        </w:rPr>
        <w:t>4</w:t>
      </w:r>
      <w:r>
        <w:t>. El Pleno, mediante diligencia de ordenación de 15 de febrero de 2016, acordó tener por personado al Abogado del Estado y prorrogar en ocho días el plazo en su día concedido para presentar sus alegaciones.</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en este Tribunal el 11 de febrero de 2016, el Presidente del Congreso de los Diputados comunicó el acuerdo de la Mesa de la Cámara de personarse en el procedimiento y ofrecer su colaboración a los efectos del art. 88.1 LOTC. Lo mismo hizo el Presidente del Senado, por escrito que tuvo entrada en este Tribunal el 17 de febrero del mismo año.</w:t>
      </w:r>
    </w:p>
    <w:p w:rsidR="00A90898" w:rsidRDefault="00A90898" w:rsidP="00A90898">
      <w:pPr>
        <w:pStyle w:val="TextoNormal"/>
      </w:pPr>
    </w:p>
    <w:p w:rsidR="00A90898" w:rsidRDefault="00A90898" w:rsidP="00A90898">
      <w:pPr>
        <w:pStyle w:val="TextoNormal"/>
      </w:pPr>
      <w:r w:rsidRPr="00A90898">
        <w:rPr>
          <w:rStyle w:val="NumeroAFNegritaCaracter"/>
        </w:rPr>
        <w:t>6</w:t>
      </w:r>
      <w:r>
        <w:t>. El escrito de alegaciones del Abogado del Estado, interesando la desestimación del recurso de inconstitucionalidad planteado por el Gobierno de Cataluña, tuvo entrada en este Tribunal el día 9 de marzo de 2016. Tras resumir los motivos del recurso, expone lo siguiente:</w:t>
      </w:r>
    </w:p>
    <w:p w:rsidR="00A90898" w:rsidRDefault="00A90898" w:rsidP="00A90898">
      <w:pPr>
        <w:pStyle w:val="TextoNormal"/>
      </w:pPr>
    </w:p>
    <w:p w:rsidR="00A90898" w:rsidRDefault="00A90898" w:rsidP="00A90898">
      <w:pPr>
        <w:pStyle w:val="TextoNormal"/>
      </w:pPr>
      <w:r>
        <w:t>a) El recurso es notoriamente infundado y prematuro pues presupone, en general, una interpretación excluyente de la Ley. Invoca la STC 215/2014, FJ 4, sobre la improcedencia de utilizar el recurso de inconstitucionalidad para obtener declaraciones preventivas.</w:t>
      </w:r>
    </w:p>
    <w:p w:rsidR="00A90898" w:rsidRDefault="00A90898" w:rsidP="00A90898">
      <w:pPr>
        <w:pStyle w:val="TextoNormal"/>
      </w:pPr>
    </w:p>
    <w:p w:rsidR="00A90898" w:rsidRDefault="00A90898" w:rsidP="00A90898">
      <w:pPr>
        <w:pStyle w:val="TextoNormal"/>
      </w:pPr>
      <w:r>
        <w:lastRenderedPageBreak/>
        <w:t>Especialmente, en relación con el art. 24 de la Ley 36/2015, alega la inadmisibilidad del recurso, en términos que expondrá más adelante, por no haber satisfecho la recurrente la carga alegatoria. Cita la doctrina al respecto contenida en la STC 199/2015.</w:t>
      </w:r>
    </w:p>
    <w:p w:rsidR="00A90898" w:rsidRDefault="00A90898" w:rsidP="00A90898">
      <w:pPr>
        <w:pStyle w:val="TextoNormal"/>
      </w:pPr>
    </w:p>
    <w:p w:rsidR="00A90898" w:rsidRDefault="00A90898" w:rsidP="00A90898">
      <w:pPr>
        <w:pStyle w:val="TextoNormal"/>
      </w:pPr>
      <w:r>
        <w:t>b) Expone el concepto de “seguridad nacional” y su encaje en la distribución competencial entre el Estado y las Comunidades Autónomas.</w:t>
      </w:r>
    </w:p>
    <w:p w:rsidR="00A90898" w:rsidRDefault="00A90898" w:rsidP="00A90898">
      <w:pPr>
        <w:pStyle w:val="TextoNormal"/>
      </w:pPr>
    </w:p>
    <w:p w:rsidR="00A90898" w:rsidRDefault="00A90898" w:rsidP="00A90898">
      <w:pPr>
        <w:pStyle w:val="TextoNormal"/>
      </w:pPr>
      <w:r>
        <w:t>Parte de la exposición de motivos de la Ley 36/2015, de la definición de “seguridad nacional” del artículo 3 y del dictamen favorable del Consejo de Estado, para afirmar que la Ley 36/2015, no afecta a la regulación de los estados de alarma, excepción y sitio (art. 2.2), ni a las competencias en materia de defensa, inteligencia y seguridad, entre otras, desde la perspectiva del Estado; y tampoco vulnera las competencias autonómicas en materia de seguridad y protección civil, incluidas las de las Comunidades Autónomas, como Cataluña y País Vasco, con policía propia.</w:t>
      </w:r>
    </w:p>
    <w:p w:rsidR="00A90898" w:rsidRDefault="00A90898" w:rsidP="00A90898">
      <w:pPr>
        <w:pStyle w:val="TextoNormal"/>
      </w:pPr>
    </w:p>
    <w:p w:rsidR="00A90898" w:rsidRDefault="00A90898" w:rsidP="00A90898">
      <w:pPr>
        <w:pStyle w:val="TextoNormal"/>
      </w:pPr>
      <w:r>
        <w:t>Cuestión distinta es que, al amparo del poder de coordinación que le corresponde en ejercicio de sus competencias, en los casos previstos en la Ley, especialmente, en situaciones de interés para la seguridad nacional (art. 24 de la Ley 36/2015), el Estado pueda coordinar las competencias autonómicas, sin merma o suspensión alguna.</w:t>
      </w:r>
    </w:p>
    <w:p w:rsidR="00A90898" w:rsidRDefault="00A90898" w:rsidP="00A90898">
      <w:pPr>
        <w:pStyle w:val="TextoNormal"/>
      </w:pPr>
    </w:p>
    <w:p w:rsidR="00A90898" w:rsidRDefault="00A90898" w:rsidP="00A90898">
      <w:pPr>
        <w:pStyle w:val="TextoNormal"/>
      </w:pPr>
      <w:r>
        <w:t>c) Afirma que, del contenido de la Ley 36/2015 (aunque su disposición final primera invoque los apartados 4 y 29 del art. 149.1 CE) se deduce que, la materia de seguridad nacional, se configura como una nueva competencia no prevista en el art. 149 CE, ni en los Estatutos de Autonomía. Esta nueva competencia tiene su base jurídica en la “cláusula residual” del art. 149.3 CE. Esta afirmación se basa en los ámbitos que se identifican como de especial interés para la seguridad nacional y en el diseño de la respuesta a situaciones que exigen.</w:t>
      </w:r>
    </w:p>
    <w:p w:rsidR="00A90898" w:rsidRDefault="00A90898" w:rsidP="00A90898">
      <w:pPr>
        <w:pStyle w:val="TextoNormal"/>
      </w:pPr>
    </w:p>
    <w:p w:rsidR="00A90898" w:rsidRDefault="00A90898" w:rsidP="00A90898">
      <w:pPr>
        <w:pStyle w:val="TextoNormal"/>
      </w:pPr>
      <w:r>
        <w:t>Los ámbitos de especial interés para la seguridad nacional, enumerados en el art. 10 de la Ley 36/2015, por su entidad y globalidad (ciberseguridad; seguridad económica y financiera; seguridad marítima, aérea y ultraterrestre; seguridad energética y sanitaria; preservación del medio ambiente) y, sobre todo, por la manera de hacerles frente, no eran previsibles en el año 1978. Por eso, los estados de alarma, excepción y sitio, estaban pensados para situaciones de mayor entidad. La Ley 36/2015, como se deduce de su exposición de motivos y documentación preparatoria, tiene como límite esos estados y ocupa un espacio intermedio. Trata de atender situaciones en las que, sin concurrir las circunstancias extraordinarias propias de los estados de excepción, alarma y sitio, requieren la coordinación reforzada de las autoridades competentes, bajo la dirección del Gobierno, por la gravedad potencial de sus efectos, la dimensión y transversalidad de las medidas para su resolución o la incertidumbre generada.</w:t>
      </w:r>
    </w:p>
    <w:p w:rsidR="00A90898" w:rsidRDefault="00A90898" w:rsidP="00A90898">
      <w:pPr>
        <w:pStyle w:val="TextoNormal"/>
      </w:pPr>
    </w:p>
    <w:p w:rsidR="00A90898" w:rsidRDefault="00A90898" w:rsidP="00A90898">
      <w:pPr>
        <w:pStyle w:val="TextoNormal"/>
      </w:pPr>
      <w:r>
        <w:t>Con referencia a la memoria del anteproyecto, insiste en que la justificación de esta competencia viene dada por la entidad de los retos (que no se conforman con las categorías tradicionales de política exterior, defensa, seguridad pública) y por el enfoque que exige su respuesta que aglutina el conjunto de mecanismos del Estado.</w:t>
      </w:r>
    </w:p>
    <w:p w:rsidR="00A90898" w:rsidRDefault="00A90898" w:rsidP="00A90898">
      <w:pPr>
        <w:pStyle w:val="TextoNormal"/>
      </w:pPr>
    </w:p>
    <w:p w:rsidR="00A90898" w:rsidRDefault="00A90898" w:rsidP="00A90898">
      <w:pPr>
        <w:pStyle w:val="TextoNormal"/>
      </w:pPr>
      <w:r>
        <w:t xml:space="preserve">Es cierto que el Tribunal ha aplicado muy restrictivamente la cláusula residual del art. 149.3 CE y, como resulta de lo dicho en la STC 65/1998, FJ 6, no hace uso de ella cuando </w:t>
      </w:r>
      <w:r>
        <w:lastRenderedPageBreak/>
        <w:t>las materias son susceptibles de ser subsumidas en algún apartado de los arts. 148.1 o 149.1 CE.</w:t>
      </w:r>
    </w:p>
    <w:p w:rsidR="00A90898" w:rsidRDefault="00A90898" w:rsidP="00A90898">
      <w:pPr>
        <w:pStyle w:val="TextoNormal"/>
      </w:pPr>
    </w:p>
    <w:p w:rsidR="00A90898" w:rsidRDefault="00A90898" w:rsidP="00A90898">
      <w:pPr>
        <w:pStyle w:val="TextoNormal"/>
      </w:pPr>
      <w:r>
        <w:t>No obstante, y aunque la Ley 36/2015 se ampare en los títulos competenciales de defensa y seguridad pública, con base en su exposición de motivos y articulado, procede calificar la seguridad nacional como una competencia autónoma que permite la coordinación de los mecanismos y recursos existentes, entendida en el sentido constitucional, esto es, sin sustitución de las competencias autonómicas y locales.</w:t>
      </w:r>
    </w:p>
    <w:p w:rsidR="00A90898" w:rsidRDefault="00A90898" w:rsidP="00A90898">
      <w:pPr>
        <w:pStyle w:val="TextoNormal"/>
      </w:pPr>
    </w:p>
    <w:p w:rsidR="00A90898" w:rsidRDefault="00A90898" w:rsidP="00A90898">
      <w:pPr>
        <w:pStyle w:val="TextoNormal"/>
      </w:pPr>
      <w:r>
        <w:t>Por tanto, la Ley 36/2015 no pretende modificar el orden competencial y mantiene la normativa preexistente atribuyendo al Gobierno nuevas competencias de coordinación. Prueba de ello es que la gestión de la seguridad nacional se atribuye al Departamento de Seguridad Nacional que actúa bajos las órdenes del Consejo de Seguridad Nacional y de la Presidencia del Gobierno, sin integrarse ni en el Ministerio del Interior, ni en el de Defensa.</w:t>
      </w:r>
    </w:p>
    <w:p w:rsidR="00A90898" w:rsidRDefault="00A90898" w:rsidP="00A90898">
      <w:pPr>
        <w:pStyle w:val="TextoNormal"/>
      </w:pPr>
    </w:p>
    <w:p w:rsidR="00A90898" w:rsidRDefault="00A90898" w:rsidP="00A90898">
      <w:pPr>
        <w:pStyle w:val="TextoNormal"/>
      </w:pPr>
      <w:r>
        <w:t>En conclusión, la materia de “seguridad nacional” es una competencia nueva, no prevista en el art. 149.1 CE, ni en los Estatutos de Autonomía que, como tal, corresponde al Estado en virtud de la cláusula residual del art. 149.3 CE.</w:t>
      </w:r>
    </w:p>
    <w:p w:rsidR="00A90898" w:rsidRDefault="00A90898" w:rsidP="00A90898">
      <w:pPr>
        <w:pStyle w:val="TextoNormal"/>
      </w:pPr>
    </w:p>
    <w:p w:rsidR="00A90898" w:rsidRDefault="00A90898" w:rsidP="00A90898">
      <w:pPr>
        <w:pStyle w:val="TextoNormal"/>
      </w:pPr>
      <w:r>
        <w:t>d) En cualquier caso, por lo que respecta al ámbito específico de este recurso, las competencias de seguridad pública y defensa, proporcionan base jurídica suficiente a la función de coordinación que el sistema de seguridad nacional atribuye al Estado. La competencia en materia de defensa es indiscutible como exclusiva del Estado. Las competencias de los arts. 164 y 132 EAC deben ejercerse con respeto a las competencias del Estado sobre seguridad pública.</w:t>
      </w:r>
    </w:p>
    <w:p w:rsidR="00A90898" w:rsidRDefault="00A90898" w:rsidP="00A90898">
      <w:pPr>
        <w:pStyle w:val="TextoNormal"/>
      </w:pPr>
    </w:p>
    <w:p w:rsidR="00A90898" w:rsidRDefault="00A90898" w:rsidP="00A90898">
      <w:pPr>
        <w:pStyle w:val="TextoNormal"/>
      </w:pPr>
      <w:r>
        <w:t xml:space="preserve">Cita la STC 155/2013 en la que, dice, el Tribunal caracteriza la seguridad pública como competencia exclusiva del Estado y la protección civil como competencia concurrente, en todo caso (por lo que se refiere específicamente al Estatuto de Autonomía de Cataluña) subordinada al ejercicio por el Estado de una función de coordinación cuando, como ocurre en la Ley 36/2015, esté afectado un interés nacional. De forma que, en los casos en que se aprecie riesgo para la seguridad nacional, es aplicable la misma </w:t>
      </w:r>
      <w:r w:rsidRPr="00A90898">
        <w:rPr>
          <w:i/>
        </w:rPr>
        <w:t>ratio decidendi</w:t>
      </w:r>
      <w:r>
        <w:t xml:space="preserve"> de esta Sentencia según la cual la competencia autonómica en materia de protección civil encuentra límites derivados del interés nacional y supracomunitario que impiden negar al Estado potestades de coordinación de los distintos servicios por lo que se reconoce al titular de un órgano estatal (Delegado del Gobierno en Cataluña) el mando único en una emergencia en una infraestructura transfronteriza.</w:t>
      </w:r>
    </w:p>
    <w:p w:rsidR="00A90898" w:rsidRDefault="00A90898" w:rsidP="00A90898">
      <w:pPr>
        <w:pStyle w:val="TextoNormal"/>
      </w:pPr>
    </w:p>
    <w:p w:rsidR="00A90898" w:rsidRDefault="00A90898" w:rsidP="00A90898">
      <w:pPr>
        <w:pStyle w:val="TextoNormal"/>
      </w:pPr>
      <w:r>
        <w:t>Por tanto, se considera evidente la constitucionalidad del papel coordinador de las competencias autonómicas que la Ley 36/2015 atribuye al Estado.</w:t>
      </w:r>
    </w:p>
    <w:p w:rsidR="00A90898" w:rsidRDefault="00A90898" w:rsidP="00A90898">
      <w:pPr>
        <w:pStyle w:val="TextoNormal"/>
      </w:pPr>
    </w:p>
    <w:p w:rsidR="00A90898" w:rsidRDefault="00A90898" w:rsidP="00A90898">
      <w:pPr>
        <w:pStyle w:val="TextoNormal"/>
      </w:pPr>
      <w:r>
        <w:t>e) La Ley 36/2015 contempla mecanismos de cooperación, de acuerdo con la doctrina constitucional sobre la materia (SSTC 18/1982 y 152/1988) recogida en el art. 140.1 de la Ley 40/2015, de régimen jurídico del sector público. La misma doctrina ha proclamado que, en caso de concurrencia de competencias, el Estado no puede verse privado del ejercicio de sus competencias exclusivas por la existencia de una competencia autonómica, aunque también sea exclusiva (STC 20/2016).</w:t>
      </w:r>
    </w:p>
    <w:p w:rsidR="00A90898" w:rsidRDefault="00A90898" w:rsidP="00A90898">
      <w:pPr>
        <w:pStyle w:val="TextoNormal"/>
      </w:pPr>
    </w:p>
    <w:p w:rsidR="00A90898" w:rsidRDefault="00A90898" w:rsidP="00A90898">
      <w:pPr>
        <w:pStyle w:val="TextoNormal"/>
      </w:pPr>
      <w:r>
        <w:lastRenderedPageBreak/>
        <w:t>Para ilustrar que el recurso es prematuro e infundado y se basa en una interpretación restrictiva de la Ley 36/2015, se enumeran sin ánimo exhaustivo, los casos en que la Ley hace referencia a la cooperación. Entre ellos, se citan: el artículo 1.1, que apela al deber de colaboración y cooperación entre Administraciones públicas; el artículo 6, relativo a la Conferencia Sectorial para asuntos de la Seguridad Nacional, con amplias funciones; el artículo 7, sobre cooperación entre Estado y Comunidades Autónomas en el ámbito de la colaboración privada; el artículo 12.2, que menciona específicamente la competencia de los órganos correspondientes de las Comunidades Autónomas que se integran en la seguridad nacional; los artículos 18 y 20, relativos a los órganos competentes en materia de seguridad nacional; el artículo 21.5, que dice que podrán formar parte del Consejo de Seguridad Nacional, las autoridades autonómicas afectadas y cuyo apartado 6 refuerza esta presencia cuando dice que las Comunidades Autónomas será convocadas al Consejo, en todo caso, cuando los asuntos a tratar afecten a sus competencias; el artículo 22.1, que define la gestión de la crisis a fin de asegurar una respuesta coordinada del Estado y su apartado 2, que contempla la implicación de los diferentes órganos en el desarrollo de la crisis según sus competencias, con participación de las autoridades de la Comunidad Autónoma que, en su caso, resulte afectada; el artículo 23, que exige una coordinación reforzada de las autoridades competentes, en el marco del sistema de seguridad nacional y, en su apartado 3, dice que la situación de interés para la seguridad nacional se afrontará con los poderes y medios ordinarios de las distintas Administraciones públicas.</w:t>
      </w:r>
    </w:p>
    <w:p w:rsidR="00A90898" w:rsidRDefault="00A90898" w:rsidP="00A90898">
      <w:pPr>
        <w:pStyle w:val="TextoNormal"/>
      </w:pPr>
    </w:p>
    <w:p w:rsidR="00A90898" w:rsidRDefault="00A90898" w:rsidP="00A90898">
      <w:pPr>
        <w:pStyle w:val="TextoNormal"/>
      </w:pPr>
      <w:r>
        <w:t>Así, el estudio sistemático de la Ley 36/2015 confirma que esta prevé mecanismos de cooperación entre Administraciones implicadas, especialmente, las Comunidades Autónomas.</w:t>
      </w:r>
    </w:p>
    <w:p w:rsidR="00A90898" w:rsidRDefault="00A90898" w:rsidP="00A90898">
      <w:pPr>
        <w:pStyle w:val="TextoNormal"/>
      </w:pPr>
    </w:p>
    <w:p w:rsidR="00A90898" w:rsidRDefault="00A90898" w:rsidP="00A90898">
      <w:pPr>
        <w:pStyle w:val="TextoNormal"/>
      </w:pPr>
      <w:r>
        <w:t>f) Aunque el apartado 3 del art. 4 de la Ley 36/2015 recurrido, no mencione expresamente la intervención de las Comunidades Autónomas en la elaboración de la “estrategia de seguridad nacional”, del contexto normativo expuesto, se deduce claramente que la formulación de la política de seguridad nacional implica a todas las Administraciones públicas.</w:t>
      </w:r>
    </w:p>
    <w:p w:rsidR="00A90898" w:rsidRDefault="00A90898" w:rsidP="00A90898">
      <w:pPr>
        <w:pStyle w:val="TextoNormal"/>
      </w:pPr>
    </w:p>
    <w:p w:rsidR="00A90898" w:rsidRDefault="00A90898" w:rsidP="00A90898">
      <w:pPr>
        <w:pStyle w:val="TextoNormal"/>
      </w:pPr>
      <w:r>
        <w:t>Siendo la seguridad nacional una competencia exclusiva del Estado, la elaboración y aprobación de la “estrategia”, corresponde al Gobierno, pero incluye las aportaciones de todas las Administraciones a través de los mecanismos expuestos, por lo que se puede concluir, sin forzar la interpretación del precepto, que se integra la perspectiva, criterios y propuestas de la Comunidad Autónoma de Cataluña.</w:t>
      </w:r>
    </w:p>
    <w:p w:rsidR="00A90898" w:rsidRDefault="00A90898" w:rsidP="00A90898">
      <w:pPr>
        <w:pStyle w:val="TextoNormal"/>
      </w:pPr>
    </w:p>
    <w:p w:rsidR="00A90898" w:rsidRDefault="00A90898" w:rsidP="00A90898">
      <w:pPr>
        <w:pStyle w:val="TextoNormal"/>
      </w:pPr>
      <w:r>
        <w:t>El objetivo de la Ley es un enfoque integral de la gestión de la crisis, lo que implica la participación de las Administraciones en los órganos del sistema de seguridad nacional.</w:t>
      </w:r>
    </w:p>
    <w:p w:rsidR="00A90898" w:rsidRDefault="00A90898" w:rsidP="00A90898">
      <w:pPr>
        <w:pStyle w:val="TextoNormal"/>
      </w:pPr>
    </w:p>
    <w:p w:rsidR="00A90898" w:rsidRDefault="00A90898" w:rsidP="00A90898">
      <w:pPr>
        <w:pStyle w:val="TextoNormal"/>
      </w:pPr>
      <w:r>
        <w:t>La demandante pretende una interpretación previsora del texto legal que es innecesaria.</w:t>
      </w:r>
    </w:p>
    <w:p w:rsidR="00A90898" w:rsidRDefault="00A90898" w:rsidP="00A90898">
      <w:pPr>
        <w:pStyle w:val="TextoNormal"/>
      </w:pPr>
    </w:p>
    <w:p w:rsidR="00A90898" w:rsidRDefault="00A90898" w:rsidP="00A90898">
      <w:pPr>
        <w:pStyle w:val="TextoNormal"/>
      </w:pPr>
      <w:r>
        <w:t>g) El artículo 15 c) se recurre, sin cuestionar la competencia del Presidente del Gobierno para declarar la situación de interés para la seguridad nacional, por no contemplar expresamente que esa declaración pueda ser propuesta por el Presidente de la Generalitat.</w:t>
      </w:r>
    </w:p>
    <w:p w:rsidR="00A90898" w:rsidRDefault="00A90898" w:rsidP="00A90898">
      <w:pPr>
        <w:pStyle w:val="TextoNormal"/>
      </w:pPr>
    </w:p>
    <w:p w:rsidR="00A90898" w:rsidRDefault="00A90898" w:rsidP="00A90898">
      <w:pPr>
        <w:pStyle w:val="TextoNormal"/>
      </w:pPr>
      <w:r>
        <w:t>Nuevamente, el recurso implica una interpretación literal y excluyente del precepto que parte de su aplicación contraria a la Constitución.</w:t>
      </w:r>
    </w:p>
    <w:p w:rsidR="00A90898" w:rsidRDefault="00A90898" w:rsidP="00A90898">
      <w:pPr>
        <w:pStyle w:val="TextoNormal"/>
      </w:pPr>
    </w:p>
    <w:p w:rsidR="00A90898" w:rsidRDefault="00A90898" w:rsidP="00A90898">
      <w:pPr>
        <w:pStyle w:val="TextoNormal"/>
      </w:pPr>
      <w:r>
        <w:lastRenderedPageBreak/>
        <w:t>La declaración de la situación de interés para la seguridad nacional no se comprende sin la participación efectiva de la Comunidad Autónoma concernida. Es evidente que, ante esta situación, todas las autoridades competentes actuarán en aras del bien común y el interés general, de mutuo acuerdo. El art. 23.2 establece la coordinación reforzada de las autoridades competentes en el desempeño de sus atribuciones ordinarias, bajo la dirección del Gobierno, garantizando el funcionamiento óptimo de los recursos, en los términos previstos en la Ley.</w:t>
      </w:r>
    </w:p>
    <w:p w:rsidR="00A90898" w:rsidRDefault="00A90898" w:rsidP="00A90898">
      <w:pPr>
        <w:pStyle w:val="TextoNormal"/>
      </w:pPr>
    </w:p>
    <w:p w:rsidR="00A90898" w:rsidRDefault="00A90898" w:rsidP="00A90898">
      <w:pPr>
        <w:pStyle w:val="TextoNormal"/>
      </w:pPr>
      <w:r>
        <w:t>No hace falta violentar el texto legal para concluir que, la solicitud del Presidente de la Generalitat de declaración de la situación de emergencia en Cataluña, será objeto, vista la Ley 36/2015, de una cualificadísima valoración por el Estado, cuya competencia para declararla no se cuestiona.</w:t>
      </w:r>
    </w:p>
    <w:p w:rsidR="00A90898" w:rsidRDefault="00A90898" w:rsidP="00A90898">
      <w:pPr>
        <w:pStyle w:val="TextoNormal"/>
      </w:pPr>
    </w:p>
    <w:p w:rsidR="00A90898" w:rsidRDefault="00A90898" w:rsidP="00A90898">
      <w:pPr>
        <w:pStyle w:val="TextoNormal"/>
      </w:pPr>
      <w:r>
        <w:t>h) Respecto del art. 24 de la Ley 36/2015, se reprocha a la demanda que no concrete, ni especifique cual de sus apartados se considera inconstitucional. No razona que el Presidente del Gobierno sea incompetente para declarar la situación de interés para la seguridad nacional; tampoco se cuestiona el contenido de los incisos a) al e) del apartado 1, ni se argumenta nada sobre el apartado 3.</w:t>
      </w:r>
    </w:p>
    <w:p w:rsidR="00A90898" w:rsidRDefault="00A90898" w:rsidP="00A90898">
      <w:pPr>
        <w:pStyle w:val="TextoNormal"/>
      </w:pPr>
    </w:p>
    <w:p w:rsidR="00A90898" w:rsidRDefault="00A90898" w:rsidP="00A90898">
      <w:pPr>
        <w:pStyle w:val="TextoNormal"/>
      </w:pPr>
      <w:r>
        <w:t>Por ello, el recurso debe ser inadmitido respecto de este precepto por no haber cumplido la recurrente su carga alegatoria.</w:t>
      </w:r>
    </w:p>
    <w:p w:rsidR="00A90898" w:rsidRDefault="00A90898" w:rsidP="00A90898">
      <w:pPr>
        <w:pStyle w:val="TextoNormal"/>
      </w:pPr>
    </w:p>
    <w:p w:rsidR="00A90898" w:rsidRDefault="00A90898" w:rsidP="00A90898">
      <w:pPr>
        <w:pStyle w:val="TextoNormal"/>
      </w:pPr>
      <w:r>
        <w:t>Solo se desarrolla, mínimamente, la denuncia frente al artículo 24.2 en cuanto establece la obligación de las autoridades competentes de aportar los medios humanos y materiales necesarios, lo que se relaciona con la ausencia de toda referencia a organismos como la junta de seguridad de Cataluña. Ello, con el prejuicio, ínsito en estas alegaciones, de que el Gobierno de la Nación puede anular las competencias de la policía catalana.</w:t>
      </w:r>
    </w:p>
    <w:p w:rsidR="00A90898" w:rsidRDefault="00A90898" w:rsidP="00A90898">
      <w:pPr>
        <w:pStyle w:val="TextoNormal"/>
      </w:pPr>
    </w:p>
    <w:p w:rsidR="00A90898" w:rsidRDefault="00A90898" w:rsidP="00A90898">
      <w:pPr>
        <w:pStyle w:val="TextoNormal"/>
      </w:pPr>
      <w:r>
        <w:t>Frente a lo anterior, no se oculta que la “coordinación reforzada” que supone la situación de interés para la seguridad nacional, puede implicar el nombramiento de una autoridad funcional de coordinación [art. 24.1 d)] y la aportación de recursos [art.24.1 e)] lo que es constitucionalmente impecable.</w:t>
      </w:r>
    </w:p>
    <w:p w:rsidR="00A90898" w:rsidRDefault="00A90898" w:rsidP="00A90898">
      <w:pPr>
        <w:pStyle w:val="TextoNormal"/>
      </w:pPr>
    </w:p>
    <w:p w:rsidR="00A90898" w:rsidRDefault="00A90898" w:rsidP="00A90898">
      <w:pPr>
        <w:pStyle w:val="TextoNormal"/>
      </w:pPr>
      <w:r>
        <w:t>El art. 24 debe ponerse en relación con el art. 27 de la Ley, no impugnado, sobre la contribución de recursos a la seguridad nacional que, en los apartados 2, 3 y 4, prevé que la organización de dicha contribución recaerá en el Consejo de Seguridad Nacional, en coordinación con las Comunidades Autónomas en los términos previstos en la Ley, así como que las Comunidades Autónomas y las entidades locales colaborarán en la elaboración de los planes de recursos necesarios.</w:t>
      </w:r>
    </w:p>
    <w:p w:rsidR="00A90898" w:rsidRDefault="00A90898" w:rsidP="00A90898">
      <w:pPr>
        <w:pStyle w:val="TextoNormal"/>
      </w:pPr>
    </w:p>
    <w:p w:rsidR="00A90898" w:rsidRDefault="00A90898" w:rsidP="00A90898">
      <w:pPr>
        <w:pStyle w:val="TextoNormal"/>
      </w:pPr>
      <w:r>
        <w:t>Respecto a la interferencia de la situación de interés para la seguridad nacional con las competencias de la policía autonómica o de órganos como la Junta de Seguridad, se reitera que las crisis extraordinarias requieren una “coordinación reforzada”, con el máximo respeto a la esfera competencial de cada Administración. Así, el artículo 23.3 dice que esta situación se afrontará con los poderes y medios ordinarios de las distintas Administraciones.</w:t>
      </w:r>
    </w:p>
    <w:p w:rsidR="00A90898" w:rsidRDefault="00A90898" w:rsidP="00A90898">
      <w:pPr>
        <w:pStyle w:val="TextoNormal"/>
      </w:pPr>
    </w:p>
    <w:p w:rsidR="00A90898" w:rsidRDefault="00A90898" w:rsidP="00A90898">
      <w:pPr>
        <w:pStyle w:val="TextoNormal"/>
      </w:pPr>
      <w:r>
        <w:t xml:space="preserve">La STC 155/2013, afirma la legitimidad constitucional de la competencia coordinadora del Estado en el ámbito de la protección civil por exigencia del interés nacional. Reitera la </w:t>
      </w:r>
      <w:r>
        <w:lastRenderedPageBreak/>
        <w:t>conveniencia de este medio para afrontar crisis graves sin tener que acudir a medios más drásticos e incisivos sobre las competencias autonómicas (Auto 7/2012, FJ 4).</w:t>
      </w:r>
    </w:p>
    <w:p w:rsidR="00A90898" w:rsidRDefault="00A90898" w:rsidP="00A90898">
      <w:pPr>
        <w:pStyle w:val="TextoNormal"/>
      </w:pPr>
    </w:p>
    <w:p w:rsidR="00A90898" w:rsidRDefault="00A90898" w:rsidP="00A90898">
      <w:pPr>
        <w:pStyle w:val="TextoNormal"/>
      </w:pPr>
      <w:r>
        <w:t>i) El suplico del escrito del Abogado del Estado, tras todo lo anterior, pide que se dicte sentencia inadmitiendo o, subsidiariamente, desestimando el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2 de noviembre se señaló para deliberación y votación de la presente Sentencia el día 3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presente resolución tiene por objeto resolver el recurso de inconstitucionalidad interpuesto por el Gobierno de Cataluña contra los arts. 4.3; 15 c) y 24 de la Ley 36/2015, de 28 de septiembre, de seguridad nacional.</w:t>
      </w:r>
    </w:p>
    <w:p w:rsidR="00A90898" w:rsidRDefault="00A90898" w:rsidP="00A90898">
      <w:pPr>
        <w:pStyle w:val="TextoNormal"/>
      </w:pPr>
    </w:p>
    <w:p w:rsidR="00A90898" w:rsidRDefault="00A90898" w:rsidP="00A90898">
      <w:pPr>
        <w:pStyle w:val="TextoNormal"/>
      </w:pPr>
      <w:r>
        <w:t>La Comunidad Autónoma recurrente, en los términos ya indicados, considera en síntesis que, los preceptos impugnados de la Ley 36/2015, vulneran los arts. 132 y 164 del Estatuto de Autonomía de Cataluña (EAC) que le atribuyen competencias en materia de emergencias, protección civil y seguridad pública y exceden la competencia estatal sobre seguridad pública del art. 149.1.29 CE.</w:t>
      </w:r>
    </w:p>
    <w:p w:rsidR="00A90898" w:rsidRDefault="00A90898" w:rsidP="00A90898">
      <w:pPr>
        <w:pStyle w:val="TextoNormal"/>
      </w:pPr>
    </w:p>
    <w:p w:rsidR="00A90898" w:rsidRDefault="00A90898" w:rsidP="00A90898">
      <w:pPr>
        <w:pStyle w:val="TextoNormal"/>
      </w:pPr>
      <w:r>
        <w:t>El Abogado del Estado, por su parte, solicita la inadmisión del recurso y niega las vulneraciones denunciadas. Considera que la “seguridad nacional” es una competencia nueva no prevista en el art. 149.1 CE ni en los Estatutos de Autonomía, que corresponde al Estado en virtud de la cláusula residual del art. 149.3 CE. En todo caso, dice, las competencias estatales en defensa y seguridad pública (arts. 149.1.4 y 29 CE), amparan los preceptos impugnados.</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abordar el fondo del recurso, debemos resolver la solicitud de inadmisión formulada por el Abogado del Estado, que se basa en dos argumentos. Por una parte, en general, considera que el recurso es notoriamente infundado por prematuro, pues presupone una interpretación excluyente de la Ley. Por otra parte, en particular respecto al art. 24 de la Ley 36/2015, alega incumplimiento por la recurrente de su carga alegatoria.</w:t>
      </w:r>
    </w:p>
    <w:p w:rsidR="00A90898" w:rsidRDefault="00A90898" w:rsidP="00A90898">
      <w:pPr>
        <w:pStyle w:val="TextoNormal"/>
      </w:pPr>
    </w:p>
    <w:p w:rsidR="00A90898" w:rsidRDefault="00A90898" w:rsidP="00A90898">
      <w:pPr>
        <w:pStyle w:val="TextoNormal"/>
      </w:pPr>
      <w:r>
        <w:t>En cuanto al carácter supuestamente prematuro del recurso, el Tribunal tiene declarado que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(SSTC 110/2011, FJ 3, y 31/2010, FJ 2). Sin embargo, en las mismas Sentencias se declara también que estos defectos, “solo podrán ‘verificarse’ caso por caso, con ocasión del examen de cada una de las impugnaciones” por lo que en ellas se rechaza el motivo de oposición al recurso cuando se plantea con carácter general en estos términos.</w:t>
      </w:r>
    </w:p>
    <w:p w:rsidR="00A90898" w:rsidRDefault="00A90898" w:rsidP="00A90898">
      <w:pPr>
        <w:pStyle w:val="TextoNormal"/>
      </w:pPr>
    </w:p>
    <w:p w:rsidR="00A90898" w:rsidRDefault="00A90898" w:rsidP="00A90898">
      <w:pPr>
        <w:pStyle w:val="TextoNormal"/>
      </w:pPr>
      <w:r>
        <w:lastRenderedPageBreak/>
        <w:t>El criterio expuesto nos lleva a rechazar en este momento la causa de inadmisibilidad alegada por el Abogado del Estado, sin perjuicio de que, al examinar cada uno de los preceptos recurridos, valoremos si la impugnación tiene el carácter preventivo que se le reprocha.</w:t>
      </w:r>
    </w:p>
    <w:p w:rsidR="00A90898" w:rsidRDefault="00A90898" w:rsidP="00A90898">
      <w:pPr>
        <w:pStyle w:val="TextoNormal"/>
      </w:pPr>
    </w:p>
    <w:p w:rsidR="00A90898" w:rsidRDefault="00A90898" w:rsidP="00A90898">
      <w:pPr>
        <w:pStyle w:val="TextoNormal"/>
      </w:pPr>
      <w:r>
        <w:t>Respecto al incumplimiento por la Comunidad Autónoma de Cataluña de su carga alegatoria, que esgrime el Abogado del Estado en relación con el art. 24 de la Ley 36/2015, el Tribunal tiene declarado que la obligación de levantar la carga alegatoria en todos los procesos seguidos ante él supone una exigencia de colaboración con la justicia, además de una condición inexcusable inherente a la presunción de constitucionalidad de las normas con rango de ley, la cual no puede desvirtuarse sin un mínimo de argumentación. En un proceso constitucional no puede por tanto darse respuesta a impugnaciones globales carentes de una razón suficientemente desarrollada [SSTC 31/2016, de 18 de febrero, FJ 2; 204/2011, de 15 de diciembre, FJ 2 b); 100/2013, de 23 de abril, FJ 2 c), y 101/2013, de 23 de abril, FJ 11, entre otras muchas].</w:t>
      </w:r>
    </w:p>
    <w:p w:rsidR="00A90898" w:rsidRDefault="00A90898" w:rsidP="00A90898">
      <w:pPr>
        <w:pStyle w:val="TextoNormal"/>
      </w:pPr>
    </w:p>
    <w:p w:rsidR="00A90898" w:rsidRDefault="00A90898" w:rsidP="00A90898">
      <w:pPr>
        <w:pStyle w:val="TextoNormal"/>
      </w:pPr>
      <w:r>
        <w:t>Aplicando esta doctrina, el Tribunal observa que, aunque el suplico de la demanda solicita que se declare inconstitucional y nulo el art. 24 de la Ley 36/2015 en su totalidad, lo cierto es que, como esgrime el representante del Gobierno, el recurso se centra en el apartado 2 de dicho artículo. No invoca, en cambio, vicios concretos de inconstitucionalidad en relación con el apartado 1, letras a), b) y c), ni con el apartado 3, que ni siquiera se menciona. Por su parte, las alusiones que se hacen a las letras d) y e) del apartado 1 son genéricas e insuficientes para dilucidar los concretos reproches de inconstitucionalidad que se pretende formular y se entremezclan con referencias a otros artículos que no han sido recurridos.</w:t>
      </w:r>
    </w:p>
    <w:p w:rsidR="00A90898" w:rsidRDefault="00A90898" w:rsidP="00A90898">
      <w:pPr>
        <w:pStyle w:val="TextoNormal"/>
      </w:pPr>
    </w:p>
    <w:p w:rsidR="00A90898" w:rsidRDefault="00A90898" w:rsidP="00A90898">
      <w:pPr>
        <w:pStyle w:val="TextoNormal"/>
      </w:pPr>
      <w:r>
        <w:t>En consecuencia, en este proceso solo se abordará la impugnación del apartado 2 del art. 24 de la Ley 36/2015, por ser el único sobre el que puede entenderse levantada la carga argumental mínima exigible. A ella se unirá el análisis de los otros dos preceptos impugnados, 4.3 y 15 c), respecto de los que no se aprecia causa de inadmisión.</w:t>
      </w:r>
    </w:p>
    <w:p w:rsidR="00A90898" w:rsidRDefault="00A90898" w:rsidP="00A90898">
      <w:pPr>
        <w:pStyle w:val="TextoNormal"/>
      </w:pPr>
    </w:p>
    <w:p w:rsidR="00A90898" w:rsidRDefault="00A90898" w:rsidP="00A90898">
      <w:pPr>
        <w:pStyle w:val="TextoNormal"/>
      </w:pPr>
      <w:r>
        <w:t xml:space="preserve">Ambas partes plantean el recurso en términos que exceden de su objeto, pues se explayan en consideraciones sobre preceptos que no se impugnan. En particular, tanto la Generalitat como el Abogado del Estado, se refieren con cierta extensión al concepto mismo de “seguridad nacional” que, a juicio de la Comunidad Autónoma recurrente, es demasiado expansivo, mientras que el representante del Gobierno considera que es un título competencial nuevo. Sin embargo, el recurso no insta la declaración de inconstitucionalidad, ni del art. 3 de la Ley que define este concepto, ni de ningún precepto legal que lo aplique de forma directa. La misma extralimitación del objeto del recurso se aprecia en relación con otras consideraciones de la demanda que valoran críticamente numerosos preceptos de la Ley (arts. 10; 25; 26; 27 a 29), los cuales, sin embargo, no se recurren. Especialmente, se cuestiona la que la Ley denomina “situación de interés para la seguridad nacional”, definida en el artículo 23, que tampoco se impugna, aunque se dice que configura una situación de “anormalidad” distinta de los estados excepcionales regulados en el art. 116 CE. En consecuencia, referiremos nuestro análisis solo a los artículos citados, cuya anulación concretamente solicita la demandante, puesto que el Tribunal tiene declarado (entre otras, SSTC 48/2013, FJ 2, y 207/2012, FJ 2), que “el enjuiciamiento que se solicita de este Tribunal </w:t>
      </w:r>
      <w:r>
        <w:lastRenderedPageBreak/>
        <w:t>debe contraerse exclusivamente a los preceptos que se contienen en el suplico de la demanda”, el cual “es la parte decisiva para reconocer y concretar el objeto de todo recurso” (SSTC 195/1998, FJ 1 y 201/2013, FJ 2).</w:t>
      </w:r>
    </w:p>
    <w:p w:rsidR="00A90898" w:rsidRDefault="00A90898" w:rsidP="00A90898">
      <w:pPr>
        <w:pStyle w:val="TextoNormal"/>
      </w:pPr>
    </w:p>
    <w:p w:rsidR="00A90898" w:rsidRDefault="00A90898" w:rsidP="00A90898">
      <w:pPr>
        <w:pStyle w:val="TextoNormal"/>
      </w:pPr>
      <w:r w:rsidRPr="00A90898">
        <w:rPr>
          <w:rStyle w:val="NumeroAFNegritaCaracter"/>
        </w:rPr>
        <w:t>3</w:t>
      </w:r>
      <w:r>
        <w:t>. Planteado el recurso en términos estrictamente competenciales, a fin de encuadrar las dudas de constitucionalidad planteadas, procede partir de la disposición final primera de la Ley 36/2015, que dice que la Ley “se dicta al amparo de lo dispuesto en el artículo 149.1.4 y 29 de la Constitución que atribuyen al Estado la competencia exclusiva en materia de defensa y Fuerzas Armadas y en materia de seguridad pública”.</w:t>
      </w:r>
    </w:p>
    <w:p w:rsidR="00A90898" w:rsidRDefault="00A90898" w:rsidP="00A90898">
      <w:pPr>
        <w:pStyle w:val="TextoNormal"/>
      </w:pPr>
    </w:p>
    <w:p w:rsidR="00A90898" w:rsidRDefault="00A90898" w:rsidP="00A90898">
      <w:pPr>
        <w:pStyle w:val="TextoNormal"/>
      </w:pPr>
      <w:r>
        <w:t>El Abogado del Estado sostiene que la “seguridad nacional” es una competencia nueva que corresponde al Estado en virtud de la cláusula residual del art. 149.3 CE. En la medida en que, si ello fuera así, estaríamos ante un título competencial que daría cobertura a la totalidad de la Ley 36/2015, hemos de analizar primeramente este planteamiento.</w:t>
      </w:r>
    </w:p>
    <w:p w:rsidR="00A90898" w:rsidRDefault="00A90898" w:rsidP="00A90898">
      <w:pPr>
        <w:pStyle w:val="TextoNormal"/>
      </w:pPr>
    </w:p>
    <w:p w:rsidR="00A90898" w:rsidRDefault="00A90898" w:rsidP="00A90898">
      <w:pPr>
        <w:pStyle w:val="TextoNormal"/>
      </w:pPr>
      <w:r>
        <w:t>Aunque el preámbulo de la Ley 36/2015 se refiere, como destaca el representante del Gobierno, a la “seguridad nacional”, como “un espacio de actuación pública nuevo, enfocado a la armonización de objetivos, recursos y políticas ya existentes en materia de seguridad”, esto no permite desconocer el contenido material que la Ley otorga a este concepto, ni debe suponer que ignoremos los títulos competenciales que el legislador invoca de forma expresa, los cuales son, al menos, un indicador cualificado en el ámbito de la llamada interpretación auténtica.</w:t>
      </w:r>
    </w:p>
    <w:p w:rsidR="00A90898" w:rsidRDefault="00A90898" w:rsidP="00A90898">
      <w:pPr>
        <w:pStyle w:val="TextoNormal"/>
      </w:pPr>
    </w:p>
    <w:p w:rsidR="00A90898" w:rsidRDefault="00A90898" w:rsidP="00A90898">
      <w:pPr>
        <w:pStyle w:val="TextoNormal"/>
      </w:pPr>
      <w:r>
        <w:t>A lo anterior se suma que, como el Abogado del Estado reconoce, el Tribunal ha realizado tradicionalmente una interpretación restrictiva de la cláusula residual del art. 149.3 CE. El Tribunal, en efecto, ha declarado que no resulta preciso acudir a dicho precepto “cuando, con independencia de las rúbricas o denominaciones empleadas por la Constitución o por los Estatutos de Autonomía, cabe entender que una materia competencial ha sido incluida en una u otros, mediante la utilización de los ‘criterios interpretativos ordinarios’”, “tales ‘criterios interpretativos ordinarios’ no son otros que aquellos que atienden, de un lado, al sentido y finalidad propia con que los varios títulos de competencia se han recogido en la Constitución y en los Estatutos de Autonomía, y, de otro, al carácter y objetivo predominante de las disposiciones impugnadas” (SSTC 123/1984, de 18 de diciembre, FJ 2, y 65/1998, de 18 de marzo, FJ 6, entre otras).</w:t>
      </w:r>
    </w:p>
    <w:p w:rsidR="00A90898" w:rsidRDefault="00A90898" w:rsidP="00A90898">
      <w:pPr>
        <w:pStyle w:val="TextoNormal"/>
      </w:pPr>
    </w:p>
    <w:p w:rsidR="00A90898" w:rsidRDefault="00A90898" w:rsidP="00A90898">
      <w:pPr>
        <w:pStyle w:val="TextoNormal"/>
      </w:pPr>
      <w:r>
        <w:t>A partir de la STC 123/1984, como recuerda la STC 87/2016, de 28 de abril, FJ 5, el Tribunal viene considerado incardinada la materia de “protección civil”, no mencionada en la Constitución entre los criterios de delimitación de competencias, en el concepto de seguridad pública del art. 149.1.29 CE.</w:t>
      </w:r>
    </w:p>
    <w:p w:rsidR="00A90898" w:rsidRDefault="00A90898" w:rsidP="00A90898">
      <w:pPr>
        <w:pStyle w:val="TextoNormal"/>
      </w:pPr>
    </w:p>
    <w:p w:rsidR="00A90898" w:rsidRDefault="00A90898" w:rsidP="00A90898">
      <w:pPr>
        <w:pStyle w:val="TextoNormal"/>
      </w:pPr>
      <w:r>
        <w:t>En este caso, la aplicación de “los criterios interpretativos ordinarios” a los que nos hemos referido, nos lleva a concluir que la seguridad nacional está incluida, como dice expresamente la Ley 36/2015, en los títulos competenciales de las materias 4 y 29 del art. 149.1 CE.</w:t>
      </w:r>
    </w:p>
    <w:p w:rsidR="00A90898" w:rsidRDefault="00A90898" w:rsidP="00A90898">
      <w:pPr>
        <w:pStyle w:val="TextoNormal"/>
      </w:pPr>
    </w:p>
    <w:p w:rsidR="00A90898" w:rsidRDefault="00A90898" w:rsidP="00A90898">
      <w:pPr>
        <w:pStyle w:val="TextoNormal"/>
      </w:pPr>
      <w:r>
        <w:t xml:space="preserve">En cuanto a la competencia exclusiva estatal en materia de defensa y fuerzas armadas (art. 149.1.4 CE), según el art. 8 CE, comprende las actuaciones cuya finalidad es defender la integridad territorial de España y el ordenamiento constitucional. En este sentido, el art. </w:t>
      </w:r>
      <w:r>
        <w:lastRenderedPageBreak/>
        <w:t>2 de la Ley Orgánica 5/2005, de 17 de noviembre, de la defensa nacional, dice que “la política de defensa tiene por finalidad la protección del conjunto de la sociedad española, de su Constitución, de los valores superiores, principios e instituciones que en esta se consagran, del Estado social y democrático de derecho, del pleno ejercicio de los derechos y libertades, y de la garantía, independencia e integridad territorial de España. Asimismo, tiene por objetivo contribuir a la preservación de la paz y seguridad internacionales, en el marco de los compromisos contraídos por el Reino de España”.</w:t>
      </w:r>
    </w:p>
    <w:p w:rsidR="00A90898" w:rsidRDefault="00A90898" w:rsidP="00A90898">
      <w:pPr>
        <w:pStyle w:val="TextoNormal"/>
      </w:pPr>
    </w:p>
    <w:p w:rsidR="00A90898" w:rsidRDefault="00A90898" w:rsidP="00A90898">
      <w:pPr>
        <w:pStyle w:val="TextoNormal"/>
      </w:pPr>
      <w:r>
        <w:t>Por lo que respecta a la seguridad pública, el art. 104 CE concreta su contenido al identificar como misión de las fuerzas y cuerpos de seguridad, la de “proteger el libre ejercicio de los derechos y libertades y garantizar la seguridad ciudadana”. En el mismo sentido se pronuncia el art. 11.1 de la Ley Orgánica 2/1986, de 13 de marzo, de fuerzas y cuerpos de seguridad (LOFCS) cuyo preámbulo señala que “la seguridad pública constituye una competencia difícil de parcelar, toda vez que no permite delimitaciones o definiciones, con el rigor y precisión admisibles en otras materias. Ello es así porque las normas ordenadoras de la seguridad pública no contemplan realidades físicas tangibles, sino eventos meramente previstos para el futuro, respecto a los cuales se ignora el momento, el lugar, la importancia y, en general, las circunstancias y condiciones de aparición”.</w:t>
      </w:r>
    </w:p>
    <w:p w:rsidR="00A90898" w:rsidRDefault="00A90898" w:rsidP="00A90898">
      <w:pPr>
        <w:pStyle w:val="TextoNormal"/>
      </w:pPr>
    </w:p>
    <w:p w:rsidR="00A90898" w:rsidRDefault="00A90898" w:rsidP="00A90898">
      <w:pPr>
        <w:pStyle w:val="TextoNormal"/>
      </w:pPr>
      <w:r>
        <w:t>Según la jurisprudencia constitucional la seguridad pública se refiere a la “actividad dirigida a la protección de personas y bienes (seguridad en sentido estricto) y al mantenimiento de la tranquilidad u orden ciudadanos”; aunque no se limita a regular “las actuaciones específicas de la llamada Policía de seguridad”, pues “la actividad policial es una parte de la materia más amplia de la seguridad pública” que “abarca un amplio espectro de actuaciones administrativas” (STC 86/2014, de 29 de mayo, FFJJ 2 y 4, entre otras) e incluye “un conjunto plural y diversificado de actuaciones, distintas por su naturaleza y contenido, aunque orientadas a una misma finalidad tuitiva del bien jurídico así definido” (STC 235/2001, de 13 de diciembre, FJ 6, y las allí citadas).</w:t>
      </w:r>
    </w:p>
    <w:p w:rsidR="00A90898" w:rsidRDefault="00A90898" w:rsidP="00A90898">
      <w:pPr>
        <w:pStyle w:val="TextoNormal"/>
      </w:pPr>
    </w:p>
    <w:p w:rsidR="00A90898" w:rsidRDefault="00A90898" w:rsidP="00A90898">
      <w:pPr>
        <w:pStyle w:val="TextoNormal"/>
      </w:pPr>
      <w:r>
        <w:t>Como declara la STC 87/2016, el Tribunal ha delimitado de manera restrictiva el concepto de “seguridad pública”, al afirmar (SSTC 25/2004, de 26 de febrero, FJ 6, entre otras) “que no toda seguridad de personas y bienes, ni toda normativa encaminada a conseguirla o a preservar su mantenimiento, puede englobarse en aquella, pues, si así fuera, la práctica totalidad de las normas del Ordenamiento serían normas de seguridad pública”. Esta interpretación restrictiva viene referida a la necesaria preservación de las competencias autonómicas, pero comporta situar “de modo predominante” dentro del concepto , como también declara la STC 25/2004, en el mismo FJ 6: “las organizaciones y los medios instrumentales, en especial los cuerpos de seguridad a que se refiere el art. 104 CE”, así como: “las situaciones o productos que son susceptibles de ocasionar graves riesgos para personas y bienes, lo que exige la adopción de medidas de especial intensidad”. Por ello, en la STC 25/2004 se considera acorde con la idea restrictiva de seguridad pública, la que presidía la regulación de la Ley Orgánica 1/1992, sobre protección de seguridad ciudadana (actualmente sustituida por la Ley Orgánica 4/2015), orientada a “la regulación de materias concretas susceptibles de originar riesgos ciertos que pueden afectar de modo directo y grave a la seguridad de personas y bienes, tomando en consideración, especialmente, ‘fenómenos colectivos que implican la aparición de amenazas, coacciones o acciones violentas, con graves repercusiones en el funcionamiento de los servicios públicos y en la vida ciudadana’ (exposición de motivos)”.</w:t>
      </w:r>
    </w:p>
    <w:p w:rsidR="00A90898" w:rsidRDefault="00A90898" w:rsidP="00A90898">
      <w:pPr>
        <w:pStyle w:val="TextoNormal"/>
      </w:pPr>
    </w:p>
    <w:p w:rsidR="00A90898" w:rsidRDefault="00A90898" w:rsidP="00A90898">
      <w:pPr>
        <w:pStyle w:val="TextoNormal"/>
      </w:pPr>
      <w:r>
        <w:t>Tras todo lo dicho, puede afirmarse que existe una coincidencia sustancial entre el sentido y finalidad de los títulos competenciales de las materias 4 y 29 del art. 149.1. CE y el concepto de seguridad nacional, definido en el art. 3 de la Ley 36/2015, como: “la acción del Estado dirigida a proteger la libertad, los derechos y bienestar de los ciudadanos, a garantizar la defensa de España y sus principios y valores constitucionales, así como a contribuir junto a nuestros socios y aliados a la seguridad internacional en el cumplimiento de los compromisos asumidos”. En la STC 133/1990, de 19 de julio, FJ 6, en la que se resuelve el recurso interpuesto contra la ya derogada Ley estatal 2/1985, de protección civil, el Tribunal se refiere a la política de seguridad pública que la Constitución reserva al Estado en su art. 149.1.29 “en cuanto tal seguridad pública presenta una dimensión nacional”. Lo propio se reitera en la STC 40/1998, de 19 de febrero, FJ 52.</w:t>
      </w:r>
    </w:p>
    <w:p w:rsidR="00A90898" w:rsidRDefault="00A90898" w:rsidP="00A90898">
      <w:pPr>
        <w:pStyle w:val="TextoNormal"/>
      </w:pPr>
    </w:p>
    <w:p w:rsidR="00A90898" w:rsidRDefault="00A90898" w:rsidP="00A90898">
      <w:pPr>
        <w:pStyle w:val="TextoNormal"/>
      </w:pPr>
      <w:r>
        <w:t>Aunque el art. 9.1 de la Ley 36/2015 dice que “se consideran componentes fundamentales de la Seguridad Nacional a los efectos de esta ley la Defensa Nacional, la Seguridad Pública y la Acción Exterior, que se regulan por su normativa específica”, a los efectos competenciales, que son los que nos corresponde enjuiciar, el contenido material de la seguridad nacional se incardina, por lo razonado, en los títulos citados y no a la inversa. En cuanto a la acción exterior a la que este último precepto se refiere, su mención legal no supone tampoco que la seguridad nacional tenga un contenido más amplio y distinto vinculado a su dimensión internacional. Simplemente, la mención en este precepto de la acción exterior es lógica consecuencia de la proyección exterior del ejercicio de las concretas competencias (en este caso, se reitera, las de las materias 4 y 29 del art. 149.1 CE).</w:t>
      </w:r>
    </w:p>
    <w:p w:rsidR="00A90898" w:rsidRDefault="00A90898" w:rsidP="00A90898">
      <w:pPr>
        <w:pStyle w:val="TextoNormal"/>
      </w:pPr>
    </w:p>
    <w:p w:rsidR="00A90898" w:rsidRDefault="00A90898" w:rsidP="00A90898">
      <w:pPr>
        <w:pStyle w:val="TextoNormal"/>
      </w:pPr>
      <w:r>
        <w:t>Por otra parte, siendo clara la competencia estatal, tanto en materia de defensa como en materia de seguridad pública, no tendría sentido que, en un ámbito como la seguridad nacional, tan estrechamente vinculado a ambas, hasta el punto de identificarse sus fines y objetivos y los bienes jurídicos protegidos en la forma indicada, la competencia estatal pasara a ser puramente residual.</w:t>
      </w:r>
    </w:p>
    <w:p w:rsidR="00A90898" w:rsidRDefault="00A90898" w:rsidP="00A90898">
      <w:pPr>
        <w:pStyle w:val="TextoNormal"/>
      </w:pPr>
    </w:p>
    <w:p w:rsidR="00A90898" w:rsidRDefault="00A90898" w:rsidP="00A90898">
      <w:pPr>
        <w:pStyle w:val="TextoNormal"/>
      </w:pPr>
      <w:r>
        <w:t>En definitiva, la seguridad nacional no es una competencia nueva sino que se integra en las competencias estatales de defensa y seguridad pública.</w:t>
      </w:r>
    </w:p>
    <w:p w:rsidR="00A90898" w:rsidRDefault="00A90898" w:rsidP="00A90898">
      <w:pPr>
        <w:pStyle w:val="TextoNormal"/>
      </w:pPr>
    </w:p>
    <w:p w:rsidR="00A90898" w:rsidRDefault="00A90898" w:rsidP="00A90898">
      <w:pPr>
        <w:pStyle w:val="TextoNormal"/>
      </w:pPr>
      <w:r w:rsidRPr="00A90898">
        <w:rPr>
          <w:rStyle w:val="NumeroAFNegritaCaracter"/>
        </w:rPr>
        <w:t>4</w:t>
      </w:r>
      <w:r>
        <w:t>. En consonancia con lo razonado hasta aquí, los títulos competenciales que hemos de analizar son los de las materias 4 y 29 del art. 149.1 CE, en que la Ley 36/2015 se ampara de forma expresa, en relación con los arts. 132 y 164 EAC, que la recurrente considera vulnerados.</w:t>
      </w:r>
    </w:p>
    <w:p w:rsidR="00A90898" w:rsidRDefault="00A90898" w:rsidP="00A90898">
      <w:pPr>
        <w:pStyle w:val="TextoNormal"/>
      </w:pPr>
    </w:p>
    <w:p w:rsidR="00A90898" w:rsidRDefault="00A90898" w:rsidP="00A90898">
      <w:pPr>
        <w:pStyle w:val="TextoNormal"/>
      </w:pPr>
      <w:r>
        <w:t>Comenzando por las competencias autonómicas, el art. 132.1 EAC atribuye a la Generalitat “la competencia exclusiva en materia de protección civil, que incluye, en todo caso, la regulación, la planificación y ejecución de medidas relativas a las emergencias y la seguridad civil, así como la dirección y coordinación de los servicios de protección civil … respetando lo establecido por el Estado en el ejercicio de sus competencias en materia de seguridad pública”. En casos de emergencias y protección civil de alcance superior a Cataluña, el art. 132.2 EAC, dice que la Generalitat “debe promover mecanismos de colaboración con otras Comunidades Autónomas y con el Estado”.</w:t>
      </w:r>
    </w:p>
    <w:p w:rsidR="00A90898" w:rsidRDefault="00A90898" w:rsidP="00A90898">
      <w:pPr>
        <w:pStyle w:val="TextoNormal"/>
      </w:pPr>
    </w:p>
    <w:p w:rsidR="00A90898" w:rsidRDefault="00A90898" w:rsidP="00A90898">
      <w:pPr>
        <w:pStyle w:val="TextoNormal"/>
      </w:pPr>
      <w:r>
        <w:lastRenderedPageBreak/>
        <w:t>Por su parte, el art. 164.1 EAC, dispone que “corresponde a la Generalitat, en materia de seguridad pública, de acuerdo con lo dispuesto en la legislación estatal: a) La planificación y regulación del sistema de seguridad pública de Cataluña y la ordenación de las policías locales; b) La creación y la organización de la Policía de la Generalitat-Mossos d’Esquadra”. En su apartado 2, este mismo precepto añade que “corresponde a la Generalitat el mando supremo de la Policía de la Generalitat-Mossos d’Esquadra y la coordinación de la actuación de las policías locales”. El apartado 4 de este mismo precepto regula la junta de seguridad, como órgano paritario “de coordinación de las políticas de seguridad y de la actividad de los cuerpos policiales del Estado y de Cataluña, así como en el intercambio de información en el ámbito internacional y en las relaciones de colaboración y auxilio con las autoridades policiales de otros países”. Por su parte, el apartado 5 de este artículo enumera las funciones de la policía de la Generalitat-Mossos d’Esquadra, en el conjunto del territorio de Cataluña que incluyen: “a) La seguridad ciudadana y el orden público”, “b) La policía administrativa, que incluye la que deriva de la normativa estatal” y “c) La policía judicial y la investigación criminal, incluidas las diversas formas de crimen organizado y terrorismo, en los términos establecidos por las leyes”.</w:t>
      </w:r>
    </w:p>
    <w:p w:rsidR="00A90898" w:rsidRDefault="00A90898" w:rsidP="00A90898">
      <w:pPr>
        <w:pStyle w:val="TextoNormal"/>
      </w:pPr>
    </w:p>
    <w:p w:rsidR="00A90898" w:rsidRDefault="00A90898" w:rsidP="00A90898">
      <w:pPr>
        <w:pStyle w:val="TextoNormal"/>
      </w:pPr>
      <w:r>
        <w:t>En cuanto a la competencia autonómica sobre protección civil, como afirma la STC 87/2016, en la STC 31/2010, de 28 de junio, FJ 78, se declara la conformidad con el orden constitucional de su art. 132 EAC, destacando que, en todo caso, este deja a salvo la competencia estatal en materia de seguridad pública. Sobre este título competencial el Tribunal se ha pronunciado en la citada STC 87/2016 y en la STC 155/2013, FJ 3, a cuyo tenor “tanto de las previsiones constitucionales y estatutarias como de la doctrina constitucional … se deriva el hecho de que en la materia protección civil, por su propia naturaleza, y dado que su finalidad estriba en la preservación de personas y bienes en situaciones de emergencia, se produce una situación de encuentro o concurrencia de las competencias de las diferentes instancias territoriales … lo que obliga a cohonestar, en los términos que derivan de la doctrina constitucional, las competencias estatales en materia de seguridad pública con las autonómicas relacionadas con la protección civil”. La relación entre competencias estatales y autonómicas en este ámbito quedó delimitada en la citada STC 133/1990, FJ 6, en la que se declara que “la competencia en materia de protección civil dependerá de la naturaleza de la situación de emergencia, y de los recursos y servicios a movilizar”, de modo que “esta competencia autonómica se encuentra con determinados límites, que derivan de la existencia de un posible interés nacional o supraautonómico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supraautonómico”, por lo que, en definitiva, “[l]as competencias asumidas por las Comunidades Autónomas encuentran pues, su límite, en la política de seguridad pública que la Constitución reserva a la competencia estatal en su art. 149.1.29, en cuanto tal seguridad pública presenta una dimensión nacional”.</w:t>
      </w:r>
    </w:p>
    <w:p w:rsidR="00A90898" w:rsidRDefault="00A90898" w:rsidP="00A90898">
      <w:pPr>
        <w:pStyle w:val="TextoNormal"/>
      </w:pPr>
    </w:p>
    <w:p w:rsidR="00A90898" w:rsidRDefault="00A90898" w:rsidP="00A90898">
      <w:pPr>
        <w:pStyle w:val="TextoNormal"/>
      </w:pPr>
      <w:r>
        <w:t xml:space="preserve">Respecto a la competencia de la Generalitat sobre seguridad pública, esta encuentra su base en la previsión estatutaria que, de acuerdo con el art. 149.1.29 CE y la Ley Orgánica de las fuerzas y cuerpos de seguridad, contempla los mossos d’esquadra como policía autonómica. Así, en la STC 86/2014, FJ 4, en la que se resuelve el recurso de inconstitucionalidad interpuesto por el Presidente del Gobierno contra varios preceptos de la Ley vasca de </w:t>
      </w:r>
      <w:r>
        <w:lastRenderedPageBreak/>
        <w:t>ordenación del sistema de seguridad pública de Euskadi, en la que se citan las SSTC 175/1999, de 30 de septiembre, y 148/2000, de 1 de junio, se declara “que la competencia autonómica sobre su propia policía ‘es de suficiente amplitud para entender que en la propia Ley Orgánica a la que remite el art. 149.1.29 CE se está regulando un ámbito competencial material, que incluye la ejecución del servicio policial en sí, dentro de los límites definidos para ella, y por tanto con exclusión de los servicios de carácter extracomunitario y supracomunitario, y no sólo la organización de la Policía autónoma, cuyo ámbito no se concreta sólo en una atribución orgánica ... sino que afecta también al propio contenido funcional de la policía’”. Citando la STC 154/2005, de 9 de junio, FJ 5, se añade: “en definitiva, han de incardinarse en el ámbito competencial de las Comunidades Autónomas que dispongan de policía de seguridad propia todas aquellas facultades que, bien por su especificidad o bien por inherencia o complementariedad, sean propias de las funciones o servicios policiales que hayan asumido con arreglo a lo dispuesto en los respectivos Estatutos y en la Ley Orgánica de Fuerzas y Cuerpos de Seguridad”.</w:t>
      </w:r>
    </w:p>
    <w:p w:rsidR="00A90898" w:rsidRDefault="00A90898" w:rsidP="00A90898">
      <w:pPr>
        <w:pStyle w:val="TextoNormal"/>
      </w:pPr>
    </w:p>
    <w:p w:rsidR="00A90898" w:rsidRDefault="00A90898" w:rsidP="00A90898">
      <w:pPr>
        <w:pStyle w:val="TextoNormal"/>
      </w:pPr>
      <w:r>
        <w:t xml:space="preserve">En la misma STC 86/2014, FJ 4, se analiza el deslinde entre las competencias estatal y autonómica en materia de seguridad pública. En síntesis, en esta STC se declara que “es … doctrina consolidada de este Tribunal que la seguridad pública es una competencia exclusiva del Estado </w:t>
      </w:r>
      <w:r w:rsidRPr="00A90898">
        <w:rPr>
          <w:i/>
        </w:rPr>
        <w:t>ex</w:t>
      </w:r>
      <w:r>
        <w:t xml:space="preserve"> art. 149.1.29 CE y solamente se encuentra limitada por las competencias que las Comunidades Autónomas hayan asumido respecto a la creación de su propia policía (por todas, STC 148/2000, FJ 5)” de forma que “corresponderán al Estado, además de los servicios policiales que en todo caso han quedado reservados a las fuerzas y cuerpos de seguridad del Estado, las restantes potestades o facultades administrativas que, siendo relevantes para la seguridad pública, no sean sin embargo propias ni inherentes de las funciones o servicios policiales, según han sido definidos por la Ley Orgánica de Fuerzas y Cuerpos de Seguridad y por la Ley Orgánica a que se remite el art. 104.2 CE”; y que “[e]n suma, nuestro canon de enjuiciamiento se concreta en que en materia de ‘seguridad pública’ al Estado le corresponden todas las potestades normativas y ejecutivas, salvo las que se deriven de la creación de policías autonómicas en el marco de la Ley Orgánica a la que se refiere el art. 149.1.29 CE”. Finalmente, en el fundamento jurídico 5 de esta STC, se considera incluida en la competencia autonómica la creación del Consejo de Seguridad Pública de Euskadi, como expresión del principio de cooperación, el cual es distinguido de la facultad de coordinación. Esta “guarda estrecha conexión con las competencias normativas, de modo que el titular de estas últimas ostenta aquella facultad como complemento inherente”.</w:t>
      </w:r>
    </w:p>
    <w:p w:rsidR="00A90898" w:rsidRDefault="00A90898" w:rsidP="00A90898">
      <w:pPr>
        <w:pStyle w:val="TextoNormal"/>
      </w:pPr>
    </w:p>
    <w:p w:rsidR="00A90898" w:rsidRDefault="00A90898" w:rsidP="00A90898">
      <w:pPr>
        <w:pStyle w:val="TextoNormal"/>
      </w:pPr>
      <w:r w:rsidRPr="00A90898">
        <w:rPr>
          <w:rStyle w:val="NumeroAFNegritaCaracter"/>
        </w:rPr>
        <w:t>5</w:t>
      </w:r>
      <w:r>
        <w:t>. Iniciamos el enjuiciamiento de los preceptos impugnados comenzando por el art. 4.3 de la Ley 36/2015 según el cual “la Estrategia de Seguridad Nacional es el marco político estratégico de referencia de la Política de Seguridad Nacional. Contiene el análisis del entorno estratégico, concreta los riesgos y amenazas que afectan a la seguridad de España, define las líneas de acción estratégicas en cada ámbito de actuación y promueve la optimización de los recursos existentes. Se elabora a iniciativa del Presidente del Gobierno, quien la somete a la aprobación del Consejo de Ministros, y se revisará cada cinco años o cuando lo aconsejen las circunstancias cambiantes del entorno estratégico. Una vez aprobada, será presentada en las Cortes Generales en los términos previstos en esta ley”.</w:t>
      </w:r>
    </w:p>
    <w:p w:rsidR="00A90898" w:rsidRDefault="00A90898" w:rsidP="00A90898">
      <w:pPr>
        <w:pStyle w:val="TextoNormal"/>
      </w:pPr>
    </w:p>
    <w:p w:rsidR="00A90898" w:rsidRDefault="00A90898" w:rsidP="00A90898">
      <w:pPr>
        <w:pStyle w:val="TextoNormal"/>
      </w:pPr>
      <w:r>
        <w:t xml:space="preserve">La recurrente considera que el precepto transcrito invade sus competencias únicamente porque, a su juicio, no reconoce a la Comunidad Autónoma participación alguna en la elaboración de la “estrategia de seguridad nacional”, aunque tiene cuerpo de policía propio y </w:t>
      </w:r>
      <w:r>
        <w:lastRenderedPageBreak/>
        <w:t>ejerce funciones en materia de seguridad. De esta forma, se impugna el art. 4.3 de la Ley 36/2015, no ya por lo que dice sino por lo que, a juicio de la Generalitat, no dice y debería decir. No se cuestiona por tanto, el instrumento planificador de ámbito nacional en que la estrategia de seguridad nacional consiste, ni la definición que de esta estrategia realiza la norma; tampoco se pone en duda que la estrategia de seguridad nacional se apruebe por el Gobierno. De hecho, no se recurre el art. 14 b) de la Ley 36/2015, que dice expresamente que corresponde al Gobierno “aprobar la Estrategia de Seguridad Nacional y sus revisiones mediante Real Decreto, en los términos previstos en esta Ley”; tampoco se impugna el art. 15 b) de la Ley 36/2015 que añade que corresponde al Presidente del Gobierno “proponer” dicha estrategia de seguridad nacional.</w:t>
      </w:r>
    </w:p>
    <w:p w:rsidR="00A90898" w:rsidRDefault="00A90898" w:rsidP="00A90898">
      <w:pPr>
        <w:pStyle w:val="TextoNormal"/>
      </w:pPr>
    </w:p>
    <w:p w:rsidR="00A90898" w:rsidRDefault="00A90898" w:rsidP="00A90898">
      <w:pPr>
        <w:pStyle w:val="TextoNormal"/>
      </w:pPr>
      <w:r>
        <w:t>El Abogado del Estado no niega que las Comunidades Autónomas con competencias en materia de seguridad pública deban participar en la elaboración de la estrategia de seguridad nacional. Lo que esgrime es que varios preceptos de la Ley 36/2015 recogen esa participación, por lo que el recurso pretende, en su opinión, una interpretación previsora del texto legal que no es necesaria.</w:t>
      </w:r>
    </w:p>
    <w:p w:rsidR="00A90898" w:rsidRDefault="00A90898" w:rsidP="00A90898">
      <w:pPr>
        <w:pStyle w:val="TextoNormal"/>
      </w:pPr>
    </w:p>
    <w:p w:rsidR="00A90898" w:rsidRDefault="00A90898" w:rsidP="00A90898">
      <w:pPr>
        <w:pStyle w:val="TextoNormal"/>
      </w:pPr>
      <w:r>
        <w:t>Al analizar el art. 4.3 de la Ley 36/2015 recurrido en los términos indicados, puesto que la recurrente no considera inconstitucional la estrategia de seguridad nacional tal y como se define en la Ley ni la competencia del Estado para aprobarla, no existe controversia competencial que debamos analizar a este respecto. De la misma forma, puesto que el Estado no niega que, en el actual marco de distribución competencial, las Comunidades Autónomas con competencias en materia de seguridad pública hayan de participar en la elaboración de la estrategia de seguridad nacional tampoco es necesario que profundicemos en esta cuestión. Únicamente, hemos de examinar si la Ley 36/2015 contempla, como sostiene el representante del Gobierno, una participación de las Comunidades Autónomas en la elaboración del instrumento de planificación que nos ocupa, que les permita una intervención suficiente en el marco de sus competencias; en particular, en el caso de la Generalitat de Cataluña ahora recurrente, en el marco de sus competencias sobre protección civil y en relación con la policía autonómica. Como se declara en la STC 133/1990, FJ 8, “la concurrencia de un interés supracomunitario justificará la previsión de unas potestades estatales en un marco legislativo común: sin que ello excluya, claro está, la participación de las Administraciones Autonómicas que sean competentes, incluso en tales situaciones, pero en el marco de la normativa estatal”.</w:t>
      </w:r>
    </w:p>
    <w:p w:rsidR="00A90898" w:rsidRDefault="00A90898" w:rsidP="00A90898">
      <w:pPr>
        <w:pStyle w:val="TextoNormal"/>
      </w:pPr>
    </w:p>
    <w:p w:rsidR="00A90898" w:rsidRDefault="00A90898" w:rsidP="00A90898">
      <w:pPr>
        <w:pStyle w:val="TextoNormal"/>
      </w:pPr>
      <w:r>
        <w:t>Sentado lo anterior, examinada la Ley 36/2015 en su conjunto, realizando una interpretación sistemática del artículo 4.3 cuestionado, debemos concluir que la misma no es ajena a la participación autonómica en la política de seguridad nacional y, particularmente, en la elaboración de la estrategia de seguridad nacional. Antes al contrario, contempla mecanismos que aseguran dicha participación.</w:t>
      </w:r>
    </w:p>
    <w:p w:rsidR="00A90898" w:rsidRDefault="00A90898" w:rsidP="00A90898">
      <w:pPr>
        <w:pStyle w:val="TextoNormal"/>
      </w:pPr>
    </w:p>
    <w:p w:rsidR="00A90898" w:rsidRDefault="00A90898" w:rsidP="00A90898">
      <w:pPr>
        <w:pStyle w:val="TextoNormal"/>
      </w:pPr>
      <w:r>
        <w:t xml:space="preserve">En efecto, partiendo, como dice el art. 4.3 de la Ley 36/2015, de la premisa de que la estrategia de seguridad nacional “es el marco político estratégico de referencia de la Política de Seguridad Nacional”, el Tribunal observa que, según el apartado 1 de este mismo precepto, no recurrido, “[l]a Política de Seguridad Nacional es una política pública en la que, bajo la dirección del Presidente del Gobierno y la responsabilidad del Gobierno, participan todas las Administraciones Públicas, de acuerdo con sus respectivas competencias, y la sociedad en general, para responder a las necesidades de la Seguridad Nacional”. El apartado </w:t>
      </w:r>
      <w:r>
        <w:lastRenderedPageBreak/>
        <w:t>2 de este artículo, por su parte, al enumerar los principios básicos que orientarán la “política de seguridad nacional”, incluye expresamente los de coordinación y colaboración. El art. 6 de la Ley 36/2015 regula la “cooperación con las Comunidades Autónomas” que, dice, se realizará a través de la “Conferencia Sectorial para asuntos de la Seguridad Nacional”, sin perjuicio de las funciones del Consejo de Seguridad Nacional. Entre las concretas funciones de dicha conferencia, enumeradas en el apartado 2, se incluye “el tratamiento y resolución con arreglo al principio de cooperación” de las cuestiones de interés común relacionadas con la seguridad nacional, entre las cuales, el apartado b) recoge las “fórmulas de participación en los desarrollos normativos sobre Seguridad Nacional, mediante procedimientos internos que faciliten la aplicación de las actuaciones de la política de Seguridad Nacional, así como en la elaboración de los instrumentos de planificación que se prevea utilizar” a lo que, en el apartado c), se añaden los “[p]roblemas planteados en la ejecución de la política de Seguridad Nacional y el marco de las respectivas competencias estatutarias autonómicas”.</w:t>
      </w:r>
    </w:p>
    <w:p w:rsidR="00A90898" w:rsidRDefault="00A90898" w:rsidP="00A90898">
      <w:pPr>
        <w:pStyle w:val="TextoNormal"/>
      </w:pPr>
    </w:p>
    <w:p w:rsidR="00A90898" w:rsidRDefault="00A90898" w:rsidP="00A90898">
      <w:pPr>
        <w:pStyle w:val="TextoNormal"/>
      </w:pPr>
      <w:r>
        <w:t>La Ley 36/2015 define además el “Sistema de Seguridad Nacional” (artículo 18) como el conjunto de órganos que ejercen las funciones en esta materia, el cual está dirigido por el Presidente del Gobierno, asistido por el Consejo de Seguridad Nacional (artículo 20). El artículo 20.4, dice que “será objeto de desarrollo reglamentario, en coordinación con las Administraciones Públicas afectadas, la regulación de los órganos de coordinación y apoyo del Departamento de Seguridad Nacional, así como de los mecanismos de enlace y coordinación permanentes con los organismos de todas las Administraciones del Estado que sean necesarios para que el Sistema de Seguridad Nacional pueda ejercer sus funciones y cumplir sus objetivos”. Por su parte, el art. 21.1 de la Ley 36/2015 enumera las funciones que corresponden al Consejo de Seguridad Nacional entre las que se incluyen, junto a otras funciones de coordinación, en lo que ahora interesa, “dictar las directrices necesarias en materia de planificación y coordinación de la política de Seguridad Nacional” [apartado a)]; “Verificar el grado de cumplimiento de la Estrategia de Seguridad Nacional y promover e impulsar sus revisiones” [apartado d)] y “promover e impulsar la elaboración de las estrategias de segundo nivel que sean necesarias y proceder, en su caso, a su aprobación, así como a sus revisiones periódicas” [apartado e)]. El apartado 5 de este mismo artículo dice que “podrán formar parte del Consejo, cuando sean convocados en función de los asuntos a tratar … las autoridades autonómicas afectadas en la toma de decisiones y actuaciones a desarrollar por parte del Consejo” mientras que, el apartado 6, dice en lo que aquí importa, que “los titulares de los órganos superiores y directivos de … las Comunidades Autónomas … serán convocados a las reuniones del Consejo cuando su contribución se considere necesaria, y en todo caso cuando los asuntos a tratar afecten a sus respectivas competencias”.</w:t>
      </w:r>
    </w:p>
    <w:p w:rsidR="00A90898" w:rsidRDefault="00A90898" w:rsidP="00A90898">
      <w:pPr>
        <w:pStyle w:val="TextoNormal"/>
      </w:pPr>
    </w:p>
    <w:p w:rsidR="00A90898" w:rsidRDefault="00A90898" w:rsidP="00A90898">
      <w:pPr>
        <w:pStyle w:val="TextoNormal"/>
      </w:pPr>
      <w:r>
        <w:t>Por tanto, a la vista de los preceptos transcritos debe dejarse sentado que las Comunidades Autónomas podrán intervenir en la elaboración de la estrategia de seguridad nacional cuando afecte a sus competencias. Así se infiere del hecho de que estarán presentes en el Consejo de Seguridad Nacional, que aprueba las directrices en materia de planificación y estrategia, impulsa las revisiones de la estrategia de seguridad nacional y verifica su cumplimiento. También formarán parte de la conferencia sectorial, que articulará las fórmulas de su participación en los instrumentos de planificación.</w:t>
      </w:r>
    </w:p>
    <w:p w:rsidR="00A90898" w:rsidRDefault="00A90898" w:rsidP="00A90898">
      <w:pPr>
        <w:pStyle w:val="TextoNormal"/>
      </w:pPr>
    </w:p>
    <w:p w:rsidR="00A90898" w:rsidRDefault="00A90898" w:rsidP="00A90898">
      <w:pPr>
        <w:pStyle w:val="TextoNormal"/>
      </w:pPr>
      <w:r>
        <w:t xml:space="preserve">Otra cosa es que la Generalitat entienda que su participación debe plasmarse en fórmulas específicas, distintas de las contempladas en la Ley 36/2015. Así podría deducirse del recurso, puesto que alude a fórmulas de “consulta, audiencia o informe” y, seguidamente, al </w:t>
      </w:r>
      <w:r>
        <w:lastRenderedPageBreak/>
        <w:t xml:space="preserve">mecanismo de “informe previo de las conferencias sectoriales”. Sin embargo, el Tribunal tiene declarado que “cuál haya de ser el grado de participación autonómica en la adopción de decisiones que, en todo caso, no se ha cuestionado que correspondan al Estado es algo que, conforme a nuestra doctrina (por todas STC 31/2010, FJ 111 </w:t>
      </w:r>
      <w:r w:rsidRPr="00A90898">
        <w:rPr>
          <w:i/>
        </w:rPr>
        <w:t>in fine</w:t>
      </w:r>
      <w:r>
        <w:t>),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 (STC 184/2012, de 17 de octubre, FJ 8, citada en la STC 115/2013, de 9 de mayo, FJ 4).</w:t>
      </w:r>
    </w:p>
    <w:p w:rsidR="00A90898" w:rsidRDefault="00A90898" w:rsidP="00A90898">
      <w:pPr>
        <w:pStyle w:val="TextoNormal"/>
      </w:pPr>
    </w:p>
    <w:p w:rsidR="00A90898" w:rsidRDefault="00A90898" w:rsidP="00A90898">
      <w:pPr>
        <w:pStyle w:val="TextoNormal"/>
      </w:pPr>
      <w:r>
        <w:t>Estaríamos ante una cuestión no resuelta si, en el futuro, bien mediante el desarrollo reglamentario de la estrategia de seguridad nacional, bien en el desenvolvimiento de la actividad llevada a cabo por la Administración del Estado, la Generalitat se viera privada de la posibilidad efectiva de participar en la elaboración o revisión de la estrategia de seguridad nacional. Sin embargo, la redacción del precepto impugnado no permite asumir este hipotético escenario que, según lo razonado, se ve desmentido por la lectura del conjunto de la Ley. Por tanto, el Tribunal comparte la alegación del Abogado del Estado cuando apela al carácter preventivo del recurso en este aspecto. En ello abunda el hecho de que numerosos preceptos legales (arts. 6.4; 20.4; 21.8 de la Ley 36/2015) se remiten, al referirse a la articulación de los mecanismos de coordinación en este ámbito, a un futuro desarrollo reglamentario que aún no se ha producido.</w:t>
      </w:r>
    </w:p>
    <w:p w:rsidR="00A90898" w:rsidRDefault="00A90898" w:rsidP="00A90898">
      <w:pPr>
        <w:pStyle w:val="TextoNormal"/>
      </w:pPr>
    </w:p>
    <w:p w:rsidR="00A90898" w:rsidRDefault="00A90898" w:rsidP="00A90898">
      <w:pPr>
        <w:pStyle w:val="TextoNormal"/>
      </w:pPr>
      <w:r>
        <w:t>En definitiva, lo relevante en relación con la regulación de la estrategia de seguridad nacional contenida en la Ley 36/2015 es que, pudiendo aquella afectar a las competencias autonómicas, como admiten las partes, las Comunidades Autónomas respectivas tengan la posibilidad de participar en su elaboración, para lo cual la Ley 36/2015 arbitra mecanismos suficientes.</w:t>
      </w:r>
    </w:p>
    <w:p w:rsidR="00A90898" w:rsidRDefault="00A90898" w:rsidP="00A90898">
      <w:pPr>
        <w:pStyle w:val="TextoNormal"/>
      </w:pPr>
    </w:p>
    <w:p w:rsidR="00A90898" w:rsidRDefault="00A90898" w:rsidP="00A90898">
      <w:pPr>
        <w:pStyle w:val="TextoNormal"/>
      </w:pPr>
      <w:r>
        <w:t>El tenor del art. 4.3 de la Ley 36/2015 no excluye la intervención autonómica contemplada en otros preceptos y no es constitucionalmente exigible que la deje expresamente a salvo. Por tanto, no se aprecia en este artículo vulneración alguna de la Constitución.</w:t>
      </w:r>
    </w:p>
    <w:p w:rsidR="00A90898" w:rsidRDefault="00A90898" w:rsidP="00A90898">
      <w:pPr>
        <w:pStyle w:val="TextoNormal"/>
      </w:pPr>
    </w:p>
    <w:p w:rsidR="00A90898" w:rsidRDefault="00A90898" w:rsidP="00A90898">
      <w:pPr>
        <w:pStyle w:val="TextoNormal"/>
      </w:pPr>
      <w:r>
        <w:t>Otras leyes integrantes del bloque de constitucionalidad, por lo demás, establecen mecanismos de coordinación entre las políticas de seguridad pública del Estado y de las Comunidades Autónomas en general o de la Generalitat de Cataluña en particular, así como en materia de defensa, que siguen plenamente vigentes tras la Ley 36/2015. Cabe a este respecto recordar el Consejo de Política de Seguridad del art. 48 LOCFS; la Junta de Seguridad del art. 164.4 EAC; así como el Consejo de Defensa Nacional, del art. 8 de la Ley Orgánica 5/2005, al que podrán ser convocadas las Comunidades Autónomas. Esto, sin embargo, no supone, como la recurrente plantea, que su intervención en la elaboración de la estrategia de seguridad nacional deba necesariamente producirse a través de alguno de estos cauces. Basta en este punto con remitirnos a lo ya dicho sobre libertad del legislador estatal a la hora de concretar las fórmulas de participación.</w:t>
      </w:r>
    </w:p>
    <w:p w:rsidR="00A90898" w:rsidRDefault="00A90898" w:rsidP="00A90898">
      <w:pPr>
        <w:pStyle w:val="TextoNormal"/>
      </w:pPr>
    </w:p>
    <w:p w:rsidR="00A90898" w:rsidRDefault="00A90898" w:rsidP="00A90898">
      <w:pPr>
        <w:pStyle w:val="TextoNormal"/>
      </w:pPr>
      <w:r>
        <w:lastRenderedPageBreak/>
        <w:t>Por todo lo razonado, es procedente desestimar el recurso contra el art. 4.3 de la Ley 36/2015.</w:t>
      </w:r>
    </w:p>
    <w:p w:rsidR="00A90898" w:rsidRDefault="00A90898" w:rsidP="00A90898">
      <w:pPr>
        <w:pStyle w:val="TextoNormal"/>
      </w:pPr>
    </w:p>
    <w:p w:rsidR="00A90898" w:rsidRDefault="00A90898" w:rsidP="00A90898">
      <w:pPr>
        <w:pStyle w:val="TextoNormal"/>
      </w:pPr>
      <w:r w:rsidRPr="00A90898">
        <w:rPr>
          <w:rStyle w:val="NumeroAFNegritaCaracter"/>
        </w:rPr>
        <w:t>6</w:t>
      </w:r>
      <w:r>
        <w:t>. Se recurre el art. 15 c) de la Ley 36/2015 el cual dispone que: “corresponde al Presidente del Gobierno: c) Declarar la Situación de Interés para la Seguridad Nacional”.</w:t>
      </w:r>
    </w:p>
    <w:p w:rsidR="00A90898" w:rsidRDefault="00A90898" w:rsidP="00A90898">
      <w:pPr>
        <w:pStyle w:val="TextoNormal"/>
      </w:pPr>
    </w:p>
    <w:p w:rsidR="00A90898" w:rsidRDefault="00A90898" w:rsidP="00A90898">
      <w:pPr>
        <w:pStyle w:val="TextoNormal"/>
      </w:pPr>
      <w:r>
        <w:t>La Generalitat de Cataluña no impugna la definición misma de la “situación de interés para la seguridad nacional”, contenida en el art. 23 de la Ley 36/2015. Tampoco cuestiona que corresponda al Estado la competencia para declarar esta situación. Lo que alega es que el precepto transcrito vulnera las competencias que le corresponden según los arts. 132 y 164 EAC porque no contempla que la situación de interés para la seguridad nacional pueda ser declarada a petición del Presidente autonómico en los casos en que resulte singularmente afectada la Comunidad Autónoma.</w:t>
      </w:r>
    </w:p>
    <w:p w:rsidR="00A90898" w:rsidRDefault="00A90898" w:rsidP="00A90898">
      <w:pPr>
        <w:pStyle w:val="TextoNormal"/>
      </w:pPr>
    </w:p>
    <w:p w:rsidR="00A90898" w:rsidRDefault="00A90898" w:rsidP="00A90898">
      <w:pPr>
        <w:pStyle w:val="TextoNormal"/>
      </w:pPr>
      <w:r>
        <w:t>El Abogado del Estado no niega que deba darse participación a las Comunidades Autónomas en la declaración de la situación de interés para la seguridad nacional, ni que esta pueda consistir en una solicitud al respecto del Presidente autonómico. Únicamente, afirma que no es necesario violentar el texto de la Ley 36/2015 para concluir que una solicitud de dichas características sería objeto de una “cualificadísima valoración por parte de las autoridades del Gobierno”.</w:t>
      </w:r>
    </w:p>
    <w:p w:rsidR="00A90898" w:rsidRDefault="00A90898" w:rsidP="00A90898">
      <w:pPr>
        <w:pStyle w:val="TextoNormal"/>
      </w:pPr>
    </w:p>
    <w:p w:rsidR="00A90898" w:rsidRDefault="00A90898" w:rsidP="00A90898">
      <w:pPr>
        <w:pStyle w:val="TextoNormal"/>
      </w:pPr>
      <w:r>
        <w:t>El planteamiento del recurso en este punto es, por tanto, muy similar al realizado frente al art. 4.3 de la Ley 36/2015. Nuevamente, no se pone en duda la competencia estatal para realizar la actuación en cuestión (en este caso, la declaración de situación de interés para la seguridad nacional), pues el reproche de inconstitucionalidad se centra en el silencio del precepto sobre la participación autonómica en dicha actuación. Esta, a juicio de la recurrente, debe consistir en una fórmula concreta (propuesta de declaración).</w:t>
      </w:r>
    </w:p>
    <w:p w:rsidR="00A90898" w:rsidRDefault="00A90898" w:rsidP="00A90898">
      <w:pPr>
        <w:pStyle w:val="TextoNormal"/>
      </w:pPr>
    </w:p>
    <w:p w:rsidR="00A90898" w:rsidRDefault="00A90898" w:rsidP="00A90898">
      <w:pPr>
        <w:pStyle w:val="TextoNormal"/>
      </w:pPr>
      <w:r>
        <w:t>Según el art. 23.2 de la Ley 36/2015: “La situación de interés para la Seguridad Nacional es aquella en la que, por la gravedad de sus efectos y la dimensión, urgencia y transversalidad de las medidas para su resolución, requiere de la coordinación reforzada de las autoridades competentes en el desempeño de sus atribuciones ordinarias, bajo la dirección del Gobierno, en el marco del Sistema de Seguridad Nacional, garantizando el funcionamiento óptimo, integrado y flexible de todos los recursos disponibles, en los términos previstos en esta ley”. El apartado 3 de este mismo artículo añade que “la situación de interés para la Seguridad Nacional se afrontará con los poderes y medios ordinarios de las distintas Administraciones Públicas y en ningún caso podrá implicar la suspensión de los derechos fundamentales y libertades públicas de los ciudadanos”.</w:t>
      </w:r>
    </w:p>
    <w:p w:rsidR="00A90898" w:rsidRDefault="00A90898" w:rsidP="00A90898">
      <w:pPr>
        <w:pStyle w:val="TextoNormal"/>
      </w:pPr>
    </w:p>
    <w:p w:rsidR="00A90898" w:rsidRDefault="00A90898" w:rsidP="00A90898">
      <w:pPr>
        <w:pStyle w:val="TextoNormal"/>
      </w:pPr>
      <w:r>
        <w:t xml:space="preserve">El apartado 1 del art. 23 de la Ley 36/2015 vincula la situación de interés para la seguridad nacional a lo que denomina “gestión de la crisis”, que dice, “se desarrollará” en esa situación. El art. 22 de la Ley 36/2015 establece: “1. La gestión de crisis es el conjunto ordinario de actuaciones dirigidas a detectar y valorar los riesgos y amenazas concretos para la Seguridad Nacional, facilitar el proceso de toma de decisiones y asegurar una respuesta óptima y coordinada de los recursos del Estado que sean necesarios” y añade que: “2. La gestión de crisis se desarrollará a través de instrumentos de prevención, detección, respuesta, retorno a la normalidad y evaluación. Su desarrollo será gradual e implicará a los diferentes órganos que componen la estructura del Sistema de Seguridad Nacional, según </w:t>
      </w:r>
      <w:r>
        <w:lastRenderedPageBreak/>
        <w:t>sus competencias y de acuerdo con la situación de crisis que se produzca. Asimismo, en la gestión de crisis participarán las autoridades de la Comunidad Autónoma que, en su caso, resulte afectada”.</w:t>
      </w:r>
    </w:p>
    <w:p w:rsidR="00A90898" w:rsidRDefault="00A90898" w:rsidP="00A90898">
      <w:pPr>
        <w:pStyle w:val="TextoNormal"/>
      </w:pPr>
    </w:p>
    <w:p w:rsidR="00A90898" w:rsidRDefault="00A90898" w:rsidP="00A90898">
      <w:pPr>
        <w:pStyle w:val="TextoNormal"/>
      </w:pPr>
      <w:r>
        <w:t>A todo lo anterior, cabe todavía añadir que, según el art. 25 de la Ley 36/2015: “1.El Consejo de Seguridad Nacional determinará los mecanismos de enlace y coordinación necesarios para que el Sistema de Seguridad Nacional se active preventivamente y realice el seguimiento de los supuestos susceptibles de derivar en una situación de interés para la Seguridad Nacional”. Como ya se ha dicho, el art. 21.6 de la Ley 36/2015 dispone que serán convocadas a las reuniones de este Consejo, en todo caso, las Comunidades Autónomas, cuando los asuntos que vayan a ser tratados afecten a sus competencias.</w:t>
      </w:r>
    </w:p>
    <w:p w:rsidR="00A90898" w:rsidRDefault="00A90898" w:rsidP="00A90898">
      <w:pPr>
        <w:pStyle w:val="TextoNormal"/>
      </w:pPr>
    </w:p>
    <w:p w:rsidR="00A90898" w:rsidRDefault="00A90898" w:rsidP="00A90898">
      <w:pPr>
        <w:pStyle w:val="TextoNormal"/>
      </w:pPr>
      <w:r>
        <w:t>La conclusión que debe deducirse del análisis conjunto de la regulación expuesta es que las Comunidades Autónomas pueden instar la declaración de la situación de interés para la seguridad nacional, ya que la Ley 36/2015 contempla de forma expresa su participación en la gestión de la crisis desde las tempranas fases de prevención y detección, así como su intervención en el Consejo de Seguridad Nacional, incluso antes de que dicha declaración tenga lugar. Por tanto, se ha de rechazar la vulneración competencial alegada, ya que el recurso puede calificarse, de acuerdo con el lenguaje propio del Tribunal, como meramente preventivo, en la medida en que pretenda combatir el desconocimiento efectivo de las facultades reconocidas a la Comunidad Autónoma en la materia.</w:t>
      </w:r>
    </w:p>
    <w:p w:rsidR="00A90898" w:rsidRDefault="00A90898" w:rsidP="00A90898">
      <w:pPr>
        <w:pStyle w:val="TextoNormal"/>
      </w:pPr>
    </w:p>
    <w:p w:rsidR="00A90898" w:rsidRDefault="00A90898" w:rsidP="00A90898">
      <w:pPr>
        <w:pStyle w:val="TextoNormal"/>
      </w:pPr>
      <w:r>
        <w:t>Es procedente, pues, desestimar el recurso interpuesto contra el art. 15 c) de la Ley 36/2015.</w:t>
      </w:r>
    </w:p>
    <w:p w:rsidR="00A90898" w:rsidRDefault="00A90898" w:rsidP="00A90898">
      <w:pPr>
        <w:pStyle w:val="TextoNormal"/>
      </w:pPr>
    </w:p>
    <w:p w:rsidR="00A90898" w:rsidRDefault="00A90898" w:rsidP="00A90898">
      <w:pPr>
        <w:pStyle w:val="TextoNormal"/>
      </w:pPr>
      <w:r w:rsidRPr="00A90898">
        <w:rPr>
          <w:rStyle w:val="NumeroAFNegritaCaracter"/>
        </w:rPr>
        <w:t>7</w:t>
      </w:r>
      <w:r>
        <w:t>. Finalmente, es objeto de recurso el art. 24 de la Ley 36/2015 si bien, de conformidad con lo razonado en el fundamento jurídico 2 de esta Sentencia, la impugnación se entiende limitada a su apartado 2, cuyo tenor es el siguiente:</w:t>
      </w:r>
    </w:p>
    <w:p w:rsidR="00A90898" w:rsidRDefault="00A90898" w:rsidP="00A90898">
      <w:pPr>
        <w:pStyle w:val="TextoNormal"/>
      </w:pPr>
    </w:p>
    <w:p w:rsidR="00A90898" w:rsidRDefault="00A90898" w:rsidP="00A90898">
      <w:pPr>
        <w:pStyle w:val="TextoNormal"/>
      </w:pPr>
      <w:r>
        <w:t>“La Declaración de situación de interés para la Seguridad Nacional supondrá la obligación de las autoridades competentes de aportar los medios humanos y materiales necesarios que se encuentren bajo su dependencia, para la efectiva aplicación de los mecanismos de actuación.”</w:t>
      </w:r>
    </w:p>
    <w:p w:rsidR="00A90898" w:rsidRDefault="00A90898" w:rsidP="00A90898">
      <w:pPr>
        <w:pStyle w:val="TextoNormal"/>
      </w:pPr>
    </w:p>
    <w:p w:rsidR="00A90898" w:rsidRDefault="00A90898" w:rsidP="00A90898">
      <w:pPr>
        <w:pStyle w:val="TextoNormal"/>
      </w:pPr>
      <w:r>
        <w:t>En relación con este precepto, el recurso, como se ha anticipado en el anterior fundamento jurídico 2, no es todo lo claro que sería de desear, ya que abunda en consideraciones relativas a otros artículos no impugnados, como los arts. 27 a 29 de la Ley 36/2015, incluidos dentro de su título IV, relativo a la “contribución de recursos a la Seguridad Nacional”, cuya regulación se tacha de confusa pero cuya anulación no se pide. Igualmente, se reiteran razonamientos en contra del concepto, no recurrido, de “Seguridad Nacional” y sobre la insuficiencia, a juicio de la recurrente, de los mecanismos de colaboración previstos en otros artículos, que tampoco se cuestionan, como los arts. 25 y 26. Esto obliga al Tribunal a deslindar los argumentos que propiamente se dirigen contra el apartado 2 recurrido.</w:t>
      </w:r>
    </w:p>
    <w:p w:rsidR="00A90898" w:rsidRDefault="00A90898" w:rsidP="00A90898">
      <w:pPr>
        <w:pStyle w:val="TextoNormal"/>
      </w:pPr>
    </w:p>
    <w:p w:rsidR="00A90898" w:rsidRDefault="00A90898" w:rsidP="00A90898">
      <w:pPr>
        <w:pStyle w:val="TextoNormal"/>
      </w:pPr>
      <w:r>
        <w:t xml:space="preserve">La Generalitat considera que la obligación de puesta a disposición de sus recursos humanos y materiales que, durante la situación de interés para la seguridad nacional, impone a las autoridades competentes el art. 24.2 de la Ley 36/2015, invade sus competencias, pues </w:t>
      </w:r>
      <w:r>
        <w:lastRenderedPageBreak/>
        <w:t>puede incluir a la policía y servicios de protección civil autonómicos. Especialmente, reprocha que el precepto no contemple fórmulas de colaboración y participación de la Generalitat que, afirma, deberían articularse a través de órganos como la Junta de Seguridad y el Consejo de Política de Seguridad. Por último, se denuncia que “no queda suficientemente claro si con la declaración de la situación de interés para la seguridad nacional se asumiría el ejercicio de competencias que corresponden a las Comunidades Autónomas”. Frente a todo ello, el Abogado del Estado, reitera que la situación de interés para la seguridad nacional exige la “coordinación reforzada de las autoridades competentes” con máximo respeto a la esfera competencial de las distintas administraciones.</w:t>
      </w:r>
    </w:p>
    <w:p w:rsidR="00A90898" w:rsidRDefault="00A90898" w:rsidP="00A90898">
      <w:pPr>
        <w:pStyle w:val="TextoNormal"/>
      </w:pPr>
    </w:p>
    <w:p w:rsidR="00A90898" w:rsidRDefault="00A90898" w:rsidP="00A90898">
      <w:pPr>
        <w:pStyle w:val="TextoNormal"/>
      </w:pPr>
      <w:r>
        <w:t>Nuevamente, la controversia competencial que se plantea en relación con el art. 24.2 de la Ley 36/2015 es limitada, en la medida en que la Generalitat no cuestiona que el Estado, en ejercicio de sus competencias en materia de defensa nacional y seguridad pública (arts. 149.1.4 y 29 CE) puede declarar una “situación de interés para la seguridad nacional”, cuya coordinación y dirección asume, en los términos que resultan de numerosos preceptos de la Ley 36/2015 no recurridos [arts. 23.2, 21.1 b) y 25.2].</w:t>
      </w:r>
    </w:p>
    <w:p w:rsidR="00A90898" w:rsidRDefault="00A90898" w:rsidP="00A90898">
      <w:pPr>
        <w:pStyle w:val="TextoNormal"/>
      </w:pPr>
    </w:p>
    <w:p w:rsidR="00A90898" w:rsidRDefault="00A90898" w:rsidP="00A90898">
      <w:pPr>
        <w:pStyle w:val="TextoNormal"/>
      </w:pPr>
      <w:r>
        <w:t>Reiteramos que la situación de interés para la seguridad nacional pretende hacer frente a situaciones de crisis, caracterizadas por “la gravedad de sus efectos, urgencia y transversalidad de las medidas para su resolución” y se enmarca en el “desempeño de atribuciones ordinarias”. En el mismo sentido, el art. 23.3 dice que la situación de interés para la seguridad nacional se afrontará con “los poderes y medios ordinarios de las distintas Administraciones Públicas” y, en coherencia con ello, el art. 12.2 de la Ley 36/2015, al referirse a los órganos competentes en materia de seguridad nacional, en el caso de las Comunidades Autónomas, dice que serán “los que correspondan según lo dispuesto en cada Estatuto de Autonomía, en relación con las competencias que en cada caso estén relacionadas con la Seguridad Nacional”.</w:t>
      </w:r>
    </w:p>
    <w:p w:rsidR="00A90898" w:rsidRDefault="00A90898" w:rsidP="00A90898">
      <w:pPr>
        <w:pStyle w:val="TextoNormal"/>
      </w:pPr>
    </w:p>
    <w:p w:rsidR="00A90898" w:rsidRDefault="00A90898" w:rsidP="00A90898">
      <w:pPr>
        <w:pStyle w:val="TextoNormal"/>
      </w:pPr>
      <w:r>
        <w:t>Igualmente, reiteramos que la situación de interés para la seguridad nacional se caracteriza por “una coordinación reforzada de las autoridades competentes” cuya dirección asume el Gobierno “en el marco del sistema de seguridad nacional” (art. 23.2). Así lo confirma el preámbulo de la de la Ley 36/2015 cuando razona que: “la dimensión que adquieren ciertos riesgos y amenazas, su acusada transversalidad, o la combinación de estos rasgos con su naturaleza abierta e incierta, como sucede en las situaciones de interés para la Seguridad Nacional definidas por la presente ley, son factores que indican claramente que toda respuesta que implique a los distintos agentes e instrumentos de la Seguridad Nacional se verá reforzada y resultará más eficiente si se realiza de forma coordinada”.</w:t>
      </w:r>
    </w:p>
    <w:p w:rsidR="00A90898" w:rsidRDefault="00A90898" w:rsidP="00A90898">
      <w:pPr>
        <w:pStyle w:val="TextoNormal"/>
      </w:pPr>
    </w:p>
    <w:p w:rsidR="00A90898" w:rsidRDefault="00A90898" w:rsidP="00A90898">
      <w:pPr>
        <w:pStyle w:val="TextoNormal"/>
      </w:pPr>
      <w:r>
        <w:t>De lo anterior resulta que, tal y como se define en la Ley, la situación de interés para la seguridad nacional no supone una alteración del esquema competencial, ya que parte de la base de que cada Administración seguirá ejerciendo sus competencias. Por tanto, puesto que se trata de afrontar la situación de crisis con las atribuciones y medios ordinarios, la obligación de aportación de recursos humanos y materiales necesarios a tal efecto, que el art. 24.2 de la Ley 36/2015 impone a las autoridades competentes en los casos de declaración de la situación de interés para la seguridad nacional, debe entenderse referida a los que sean precisos, durante dicha situación, para el ejercicio de las competencias de la Administración que ha de aportarlos.</w:t>
      </w:r>
    </w:p>
    <w:p w:rsidR="00A90898" w:rsidRDefault="00A90898" w:rsidP="00A90898">
      <w:pPr>
        <w:pStyle w:val="TextoNormal"/>
      </w:pPr>
    </w:p>
    <w:p w:rsidR="00A90898" w:rsidRDefault="00A90898" w:rsidP="00A90898">
      <w:pPr>
        <w:pStyle w:val="TextoNormal"/>
      </w:pPr>
      <w:r>
        <w:lastRenderedPageBreak/>
        <w:t>Además, del art. 24.1 e) de la Ley 36/2015 (al que la demanda hace referencia, pero cuya constitucionalidad no pone específicamente en duda) resulta que la obligación de aportación de recursos del art. 24.2 de la Ley 36/2015 se circunscribe a los determinados en el real decreto de declaración de la situación de interés para la seguridad nacional, previstos de acuerdo con lo dispuesto en el título IV de la Ley 36/2015, lo que supone su previa identificación y planificación por las administraciones afectadas. Así lo confirma la regulación sobre “contribución de recursos a la seguridad nacional” contenida en los arts. 27 a 29 de la Ley 36/2015, integrantes del citado título IV. Por ejemplo, el artículo 27 según el cual: “2. La organización de la contribución de recursos a la Seguridad Nacional recaerá en el Consejo de Seguridad Nacional, en coordinación con las Comunidades Autónomas, en los términos establecidos en esta ley y en las demás que sean de aplicación”; “3. Las diferentes Administraciones Públicas, a través de sus órganos competentes, dispondrán de un sistema de identificación, evaluación y planificación de medios y recursos correspondientes a sus respectivos ámbitos competenciales, para hacer frente a los posibles riesgos o amenazas a la Seguridad Nacional” y “4. Las Comunidades Autónomas y las Entidades Locales colaborarán en la elaboración de los planes de recursos humanos y materiales necesarios para las situaciones de crisis previstas en esta ley”.</w:t>
      </w:r>
    </w:p>
    <w:p w:rsidR="00A90898" w:rsidRDefault="00A90898" w:rsidP="00A90898">
      <w:pPr>
        <w:pStyle w:val="TextoNormal"/>
      </w:pPr>
    </w:p>
    <w:p w:rsidR="00A90898" w:rsidRDefault="00A90898" w:rsidP="00A90898">
      <w:pPr>
        <w:pStyle w:val="TextoNormal"/>
      </w:pPr>
      <w:r>
        <w:t>En la misma línea, el art. 28 de la Ley 36/2015 contempla el “catálogo de recursos para la seguridad nacional”, que aprueba el Gobierno con los recursos de los sectores estratégicos de la Nación que pueden ser puestos a disposición de las autoridades competentes en la situación de interés para la seguridad nacional, pero señalando que: “su elaboración se realizará en coordinación con lo previsto en los catálogos sectoriales existentes en el conjunto de las Administraciones Públicas” y que “a dichos efectos, las Comunidades Autónomas elaborarán los correspondientes catálogos de recursos en base a sus propias competencias y a la información facilitada por el Gobierno, los cuales se integrarán en el mencionado catálogo”. También el art. 29 de la Ley 36/2015 se refiere, primero, a la “declaración de recursos de interés para la seguridad nacional” que se aprueba por el Gobierno, según dice el art. 14.c) “en coordinación con las Comunidades Autónomas” y, al regular en su apartado 2, la disposición de los recursos mediante su adscripción al sistema de seguridad nacional, se remite a los planes activados y a un futuro desarrollo reglamentario: “en coordinación con las Comunidades Autónomas”.</w:t>
      </w:r>
    </w:p>
    <w:p w:rsidR="00A90898" w:rsidRDefault="00A90898" w:rsidP="00A90898">
      <w:pPr>
        <w:pStyle w:val="TextoNormal"/>
      </w:pPr>
    </w:p>
    <w:p w:rsidR="00A90898" w:rsidRDefault="00A90898" w:rsidP="00A90898">
      <w:pPr>
        <w:pStyle w:val="TextoNormal"/>
      </w:pPr>
      <w:r>
        <w:t>De esta manera, en el contexto legal, la obligación de aportación de recursos humanos y materiales, que el art. 24.2 de la Ley 36/2015 impone a las Administraciones competentes, entendida en el sentido expuesto, tiene encaje en las competencias estatales de defensa y seguridad pública de las materias 4 y 29 del art. 149.1 CE, que dan cobertura a la declaración de la situación de interés para la seguridad nacional, pues no es sino una manifestación del sistema de coordinación reforzada que se pretende lograr, dirigido a conseguir la acción conjunta de las autoridades en la gestión de una situación de crisis especialmente relevantes y en el ejercicio de sus respectivas competencias. Como se ha indicado, el art. 22.1 de la Ley 36/2015 se refiere a la “respuesta óptima y coordinada de los recursos” y el art. 23.2 alude al “funcionamiento óptimo, integrado y flexible de todos los recursos disponibles”.</w:t>
      </w:r>
    </w:p>
    <w:p w:rsidR="00A90898" w:rsidRDefault="00A90898" w:rsidP="00A90898">
      <w:pPr>
        <w:pStyle w:val="TextoNormal"/>
      </w:pPr>
    </w:p>
    <w:p w:rsidR="00A90898" w:rsidRDefault="00A90898" w:rsidP="00A90898">
      <w:pPr>
        <w:pStyle w:val="TextoNormal"/>
      </w:pPr>
      <w:r>
        <w:t xml:space="preserve">No se vulneran las competencias autonómicas sobre protección civil o seguridad pública puesto que, tal y como la situación de interés para la seguridad nacional aparece configurada, estas competencias siguen siendo ejercitadas por las Comunidades Autónomas con sus propios recursos, si bien en el marco de una situación de mayor coordinación, justificada </w:t>
      </w:r>
      <w:r>
        <w:lastRenderedPageBreak/>
        <w:t>por la envergadura y relevancia de la crisis que debe afrontarse, la cual exige una movilización unitaria de los medios disponibles. Como se declara en la citada STC 155/2013, FJ 4, “la competencia estatal en materia de protección civil (art. 149.1.29 CE), concurrente con la que ostenta la Generalitat de Cataluña, en los términos que ya hemos examinado y que declaró la STC 31/2010, permite que el titular de un órgano estatal … asuma las cuestionadas funciones a fin de movilizar recursos en los casos de emergencia previstos que precisan una coordinación o dirección nacional de todas las Administraciones afectadas, por el alcance y dimensión de la emergencia” pues, como se concluye en la misma sentencia, “no pueden negarse al Estado las potestades necesarias para obtener y salvaguardar la coordinación de los distintos servicios y recursos pertenecientes a múltiples sujetos, así como, si fuera necesario, para garantizar una dirección y organización unitaria (SSTC 123/1984, de 18 de diciembre, FJ 4, y 133/1990, de 19 de julio, FJ 6)”. De forma similar, en la STC 133/1990, FJ 6, se declara que la materia de protección civil, por su misma naturaleza, supone “un encuentro o concurrencia de muy diversas Administraciones Públicas (de índole o alcance municipal, supramunicipal o insular, provincial, autonómica, estatal) que deben aportar sus respectivos recursos y servicios” y, en su fundamento jurídico 11, con referencia al art. 13 de la Ley 2/1985, de protección civil, que atribuía a órganos estatales la “movilización de los servicios y medios necesarios” el Tribunal afirma que: “tal decisión deberá producirse ‘en situaciones de grave riesgo, catástrofe o calamidad pública’, como especifica el precepto impugnado, en que no puede excluirse que se vea afectado el interés nacional, y que requieren, por su naturaleza de emergencia grave, una actuación unitaria e inmediata y una movilización de servicios y recursos de titularidad, tanto estatal como autonómica. En consecuencia, no resulta contraria a la competencia autonómica, dados los intereses a salvaguardar, y los recursos a movilizar”.</w:t>
      </w:r>
    </w:p>
    <w:p w:rsidR="00A90898" w:rsidRDefault="00A90898" w:rsidP="00A90898">
      <w:pPr>
        <w:pStyle w:val="TextoNormal"/>
      </w:pPr>
    </w:p>
    <w:p w:rsidR="00A90898" w:rsidRDefault="00A90898" w:rsidP="00A90898">
      <w:pPr>
        <w:pStyle w:val="TextoNormal"/>
      </w:pPr>
      <w:r>
        <w:t>Tampoco se vulneran las competencias de la Generalitat sobre seguridad pública del art. 164 EAC, en particular en relación con la dirección de su propia policía. Si, como se viene indicando, la situación de interés para la seguridad nacional no excluye, sino que conlleva, la actuación de las distintas administraciones en el ejercicio de sus atribuciones ordinarias, la obligación de aportación de recursos que el artículo 24.2 contempla no impide el ejercicio de las competencias autonómicas en la materia, que permanecen inalteradas. Esto es aplicable tanto a las funciones de los mossos d’esquadra definidas en el art. 164.5 EAC, como a las competencias de la Generalitat sobre organización de sus propios servicios policiales (art. 164.1 EAC), así como, de acuerdo con la jurisprudencia constitucional, a las funciones inherentes o complementarias a la misma (SSTC 104/1989, de 8 de junio, FJ 6; 175/1999, FJ 5, y 86/2014, FJ 4). Puesto que la situación de interés para la seguridad nacional se caracteriza por la coordinación reforzada entre administraciones, cabe recordar que “[l]a competencia estatal de coordinación presupone, lógicamente, la existencia de competencias autonómicas que deben ser coordinadas, competencia que el Estado debe respetar, evitando que la coordinación llegue ‘a tal grado de desarrollo’ que deje vacías de contenido las correspondientes competencias de las Comunidades Autónomas” [STC 45/1991, de 28 de febrero, FJ 4 b)].</w:t>
      </w:r>
    </w:p>
    <w:p w:rsidR="00A90898" w:rsidRDefault="00A90898" w:rsidP="00A90898">
      <w:pPr>
        <w:pStyle w:val="TextoNormal"/>
      </w:pPr>
    </w:p>
    <w:p w:rsidR="00A90898" w:rsidRDefault="00A90898" w:rsidP="00A90898">
      <w:pPr>
        <w:pStyle w:val="TextoNormal"/>
      </w:pPr>
      <w:r>
        <w:t xml:space="preserve">Por otra parte, frente a lo que parece afirmar la recurrente, debe dejarse sentado que de la obligación de aportación de recursos humanos y materiales que establece el art. 24.2 de la Ley 36/2015 no resulta una adscripción de los mossos d’esquadra a las autoridades estatales. La adscripción supondría una asignación orgánica y permanente, incompatible con la competencia autonómica; mientras que la aportación de recursos que el precepto contempla </w:t>
      </w:r>
      <w:r>
        <w:lastRenderedPageBreak/>
        <w:t>se refiere a la situación de crisis que se trata de gestionar, que, por definición, será temporal. Así, el apartado c) del art. 24.1 de la Ley 36/2015, no recurrido, dispone que el real decreto que declare la situación de interés para la seguridad nacional debe definir su “duración y, en su caso, su posible prórroga”. Igualmente, el apartado d) del artículo 24.1, cuya inconstitucionalidad tampoco se argumenta, al referirse al posible nombramiento de una autoridad durante la situación de interés para la seguridad nacional, la califica expresamente como “autoridad funcional”, con competencias de “dirección y coordinación” de las actuaciones, y estas competencias han de entenderse en su sentido constitucional. Como se declara en la STC 86/2014, FJ 5: “La coordinación implica la fijación de medios y de sistemas de relación que hagan posible la información recíproca, la homogeneidad técnica en determinados aspectos y la acción conjunta de las autoridades en el ejercicio de sus respectivas competencias de tal modo que se logre la integración de actos parciales en la globalidad del sistema … [es la] facultad consistente en el establecimiento de sistemas y procedimientos que propicien la integración de las partes del conjunto, para lo cual se ejerce un cierto poder de dirección, consecuencia de la posición de superioridad en que se encuentra el que coordina respecto al coordinado”.</w:t>
      </w:r>
    </w:p>
    <w:p w:rsidR="00A90898" w:rsidRDefault="00A90898" w:rsidP="00A90898">
      <w:pPr>
        <w:pStyle w:val="TextoNormal"/>
      </w:pPr>
    </w:p>
    <w:p w:rsidR="00A90898" w:rsidRDefault="00A90898" w:rsidP="00A90898">
      <w:pPr>
        <w:pStyle w:val="TextoNormal"/>
      </w:pPr>
      <w:r>
        <w:t>No desvirtúa lo hasta aquí sentado el hecho de que el art. 29.2 de la Ley 36/2015, al regular la declaración de recursos para la seguridad nacional, utilice el término “adscripción”, pues dicho precepto —que no es objeto de recurso— no permite deducir, a pesar de su tenor, una adscripción orgánica como la que la Generalitat parece denunciar. Su correcta interpretación exige poner en relación el término controvertido con el mandato contenido en el mismo precepto, según el cual “[l]a adscripción de dichos recursos se realizará tal y como se establezca reglamentariamente, en coordinación con las Comunidades Autónomas”.</w:t>
      </w:r>
    </w:p>
    <w:p w:rsidR="00A90898" w:rsidRDefault="00A90898" w:rsidP="00A90898">
      <w:pPr>
        <w:pStyle w:val="TextoNormal"/>
      </w:pPr>
    </w:p>
    <w:p w:rsidR="00A90898" w:rsidRDefault="00A90898" w:rsidP="00A90898">
      <w:pPr>
        <w:pStyle w:val="TextoNormal"/>
      </w:pPr>
      <w:r>
        <w:t>Otra cosa sería que el art. 24.2 de la Ley 36/2015 se entendiera referido a cualesquiera recursos de las Comunidades Autónomas, no necesariamente ligados al ejercicio de las competencias propias relacionadas con la gestión de la crisis que debe afrontarse, o distintos de los identificados conforme a lo previsto en el título IV de la misma Ley 36/2015. En este caso podría producirse una vulneración de las competencias autonómicas en materia de protección civil y seguridad pública o, incluso, en otras materias. Sin embargo, para excluir esta consecuencia basta con afirmar aquí la constitucionalidad del apartado 2 del art. 24 de la Ley 36/2015 siempre y cuando se entienda que se refiere estrictamente a los recursos humanos y materiales, identificados de acuerdo con lo dispuesto en el título IV de la misma Ley, que sean necesarios para afrontar la situación de interés para la seguridad nacional con los poderes y medios ordinarios de las administraciones aportantes, en el ejercicio de sus respectivas competencias.</w:t>
      </w:r>
    </w:p>
    <w:p w:rsidR="00A90898" w:rsidRDefault="00A90898" w:rsidP="00A90898">
      <w:pPr>
        <w:pStyle w:val="TextoNormal"/>
      </w:pPr>
    </w:p>
    <w:p w:rsidR="00A90898" w:rsidRDefault="00A90898" w:rsidP="00A90898">
      <w:pPr>
        <w:pStyle w:val="TextoNormal"/>
      </w:pPr>
      <w:r>
        <w:t xml:space="preserve">En cuanto a las consideraciones de la demanda sobre la supuesta ausencia en la Ley 36/2015 (entendemos que en relación con la obligación de aportación de recursos cuestionada) de mecanismos de colaboración suficientes, en particular al ignorarse los órganos de coordinación ya existentes como el Consejo de Política de Seguridad y la Junta de Seguridad, el reproche se formula de manera genérica frente a preceptos no recurridos, lo que es bastante para rechazarlo. En todo caso, cabe reiterar lo ya dicho sobre la vigencia de las funciones de los órganos citados y la competencia del Estado para articular los mecanismos de participación que estime adecuados en su ámbito competencial. Cabe igualmente destacar que la Ley 36/2015 contempla la participación de las Comunidades Autónomas en la </w:t>
      </w:r>
      <w:r>
        <w:lastRenderedPageBreak/>
        <w:t>situación de interés para la seguridad nacional, bien directamente (artículo 22.2), bien a través del Consejo de Seguridad Nacional al que, como se ha reiterado, deben ser convocadas las Comunidades Autónomas en casos de afectación de sus competencias (artículo 21.6).</w:t>
      </w:r>
    </w:p>
    <w:p w:rsidR="00A90898" w:rsidRDefault="00A90898" w:rsidP="00A90898">
      <w:pPr>
        <w:pStyle w:val="TextoNormal"/>
      </w:pPr>
    </w:p>
    <w:p w:rsidR="00A90898" w:rsidRDefault="00A90898" w:rsidP="00A90898">
      <w:pPr>
        <w:pStyle w:val="TextoNormal"/>
      </w:pPr>
      <w:r>
        <w:t>Por último, respecto a la alegación relativa a la supuesta falta de claridad de las consecuencias de la declaración de la situación de interés para la seguridad nacional, que se esgrime en relación con el art. 24.2 de la Ley 36/2015, el Tribunal concluye que se trataría en todo caso de un defecto de técnica legislativa que no le corresponde enjuiciar y que además, en puridad, no sería imputable al precepto citado, sino al art. 23 de la Ley 36/2015, que es el que define la situación de interés para la seguridad nacional. Se reitera, no obstante, que la Ley 36/2015 configura la situación de interés para la seguridad nacional como un mecanismo de coordinación reforzada en el desempeño por cada Administración de sus atribuciones ordinarias, por lo que no altera el marco competencial.</w:t>
      </w:r>
    </w:p>
    <w:p w:rsidR="00A90898" w:rsidRDefault="00A90898" w:rsidP="00A90898">
      <w:pPr>
        <w:pStyle w:val="TextoNormal"/>
      </w:pPr>
    </w:p>
    <w:p w:rsidR="00A90898" w:rsidRDefault="00A90898" w:rsidP="00A90898">
      <w:pPr>
        <w:pStyle w:val="TextoNormal"/>
      </w:pPr>
      <w:r>
        <w:t>En definitiva, el apartado 2 del art. 24 de la Ley 36/2015 no es inconstitucional, siempre que se interprete conforme a lo expuesto en este fundamento jurídico, por lo que el recurso debe ser desestimado también en este aspecto.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que el art. 24.2 de la Ley 36/2015, de 28 de septiembre, de seguridad nacional, es conforme con la Constitución interpretado en los términos señalados en el fundamento jurídico 7.</w:t>
      </w:r>
    </w:p>
    <w:p w:rsidR="00A90898" w:rsidRDefault="00A90898" w:rsidP="00A90898">
      <w:pPr>
        <w:pStyle w:val="TextoNormal"/>
      </w:pPr>
    </w:p>
    <w:p w:rsidR="00A90898" w:rsidRDefault="00A90898" w:rsidP="00A90898">
      <w:pPr>
        <w:pStyle w:val="TextoNormal"/>
      </w:pPr>
      <w:r>
        <w:t>2º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4" w:name="SENTENCIA_2016_185"/>
      <w:r>
        <w:lastRenderedPageBreak/>
        <w:t>SENTENCIA 185/2016, de 3 de noviembre de 2016</w:t>
      </w:r>
    </w:p>
    <w:bookmarkEnd w:id="64"/>
    <w:p w:rsidR="00A90898" w:rsidRDefault="00A90898" w:rsidP="00A90898">
      <w:pPr>
        <w:pStyle w:val="TtuloResolucin"/>
      </w:pPr>
      <w:r>
        <w:t>Pleno</w:t>
      </w:r>
    </w:p>
    <w:p w:rsidR="00A90898" w:rsidRDefault="00A90898" w:rsidP="00A90898">
      <w:pPr>
        <w:pStyle w:val="TtuloBOE"/>
      </w:pPr>
      <w:r>
        <w:t>(BOE núm. 299, de 12 de diciembre de 2016)</w:t>
      </w:r>
    </w:p>
    <w:p w:rsidR="00A90898" w:rsidRDefault="00A90898" w:rsidP="00A90898">
      <w:pPr>
        <w:pStyle w:val="TextoNormalCentrado"/>
      </w:pPr>
      <w:r>
        <w:t>ECLI:ES:TC:2016:185</w:t>
      </w:r>
    </w:p>
    <w:p w:rsidR="00A90898" w:rsidRDefault="00A90898" w:rsidP="00A90898">
      <w:pPr>
        <w:pStyle w:val="TextoNormalCentrado"/>
      </w:pPr>
    </w:p>
    <w:p w:rsidR="00A90898" w:rsidRDefault="00A90898" w:rsidP="00A90898">
      <w:pPr>
        <w:pStyle w:val="SntesisDescriptiva"/>
      </w:pPr>
      <w:r>
        <w:t>Recurso de inconstitucionalidad 229-2016. Interpuesto por el Gobierno Vasco en relación con la Ley Orgánica 15/2015, de 16 de octubre, de reforma de la Ley Orgánica 2/1979, de 3 de octubre, del Tribunal Constitucional, para la ejecución de las resoluciones del Tribunal Constitucional como garantía del Estado de Derecho.</w:t>
      </w:r>
    </w:p>
    <w:p w:rsidR="00A90898" w:rsidRDefault="00A90898" w:rsidP="00A90898">
      <w:pPr>
        <w:pStyle w:val="SntesisDescriptiva"/>
      </w:pPr>
    </w:p>
    <w:p w:rsidR="00A90898" w:rsidRDefault="00A90898" w:rsidP="00A90898">
      <w:pPr>
        <w:pStyle w:val="SntesisAnaltica"/>
      </w:pPr>
      <w:r>
        <w:t>Procedimiento legislativo y derecho de participación de los parlamentarios; modelo de justicia constitucional, principio de legalidad penal y aforamiento, control de la actividad de las Comunidades Autónomas: constitucionalidad de la regulación legal de medios de ejecución de las resoluciones del Tribunal Constitucional. Votos particulares.</w:t>
      </w:r>
    </w:p>
    <w:p w:rsidR="00A90898" w:rsidRDefault="00A90898" w:rsidP="00A90898">
      <w:pPr>
        <w:pStyle w:val="SntesisAnaltica"/>
      </w:pPr>
    </w:p>
    <w:p w:rsidR="00A90898" w:rsidRDefault="00A90898" w:rsidP="00A90898">
      <w:pPr>
        <w:pStyle w:val="Extracto"/>
      </w:pPr>
      <w:r>
        <w:t>1.</w:t>
      </w:r>
      <w:r>
        <w:tab/>
        <w:t>La regulación de la ejecución de las resoluciones del Tribunal Constitucional y, en particular, de las medidas previstas para garantizar su cumplimiento y efectividad tiene un fundamento constitucionalmente legítimo: garantizar la defensa de la posición institucional del Tribunal y la efectividad de sus sentencias y resoluciones, protegiendo su ámbito jurisdiccional frente a cualquier intromisión ulterior de un poder público que pudiera menoscabarla, que es lo mismo que decir, preservar la supremacía de la Constitución, a la que todos los poderes públicos están subordinados (art. 9.1 CE), y cuyo supremo intérprete y garante último es este Tribunal en el ejercicio de su función jurisdiccional [FJ 10].</w:t>
      </w:r>
    </w:p>
    <w:p w:rsidR="00A90898" w:rsidRDefault="00A90898" w:rsidP="00A90898">
      <w:pPr>
        <w:pStyle w:val="Extracto"/>
      </w:pPr>
    </w:p>
    <w:p w:rsidR="00A90898" w:rsidRDefault="00A90898" w:rsidP="00A90898">
      <w:pPr>
        <w:pStyle w:val="Extracto"/>
      </w:pPr>
      <w:r>
        <w:t>2.</w:t>
      </w:r>
      <w:r>
        <w:tab/>
        <w:t>La medida de suspensión de funciones sólo puede recaer sobre las autoridades o empleados públicos responsables del incumplimiento de la resolución dictada por el Tribunal en el ejercicio de su jurisdicción, una vez advertido tal incumplimiento y si, sustanciado el trámite de audiencia previsto en el art. 92.4 LOTC, el Tribunal aprecia el incumplimiento total o parcial de aquélla, a la vista de informe recibido de las autoridades o empleados públicos a los que corresponde llevar a cabo el cumplimiento de la resolución o transcurrido el plazo fijado sin que hubieran emitido dicho informe y una vez se acredite  voluntad deliberada y persistente de no atender al mismo [FJ 14].</w:t>
      </w:r>
    </w:p>
    <w:p w:rsidR="00A90898" w:rsidRDefault="00A90898" w:rsidP="00A90898">
      <w:pPr>
        <w:pStyle w:val="Extracto"/>
      </w:pPr>
    </w:p>
    <w:p w:rsidR="00A90898" w:rsidRDefault="00A90898" w:rsidP="00A90898">
      <w:pPr>
        <w:pStyle w:val="Extracto"/>
      </w:pPr>
      <w:r>
        <w:t>3.</w:t>
      </w:r>
      <w:r>
        <w:tab/>
        <w:t>No hay componente punitivo alguno en la medida de suspensión en sus funciones de las autoridades o empleados públicos prevista en la LOTC; es una medida que el legislador ha concebido, en el ejercicio de su libertad de configuración, directamente vinculada a la ejecución efectiva de las resoluciones del Tribunal Constitucional, en garantía, por consiguiente, de uno de los componentes esenciales de su función jurisdiccional, que únicamente se puede adoptar previo cumplimiento de los requisitos y condiciones que dispone el citado art. 92.4 b) LOTC [FJ 15].</w:t>
      </w:r>
    </w:p>
    <w:p w:rsidR="00A90898" w:rsidRDefault="00A90898" w:rsidP="00A90898">
      <w:pPr>
        <w:pStyle w:val="Extracto"/>
      </w:pPr>
    </w:p>
    <w:p w:rsidR="00A90898" w:rsidRDefault="00A90898" w:rsidP="00A90898">
      <w:pPr>
        <w:pStyle w:val="Extracto"/>
      </w:pPr>
      <w:r>
        <w:t>4.</w:t>
      </w:r>
      <w:r>
        <w:tab/>
        <w:t xml:space="preserve">Ninguna tacha de constitucionalidad puede hacerse al legislador orgánico por haber recogido explícitamente en la LOTC la ejecución sustitutoria como medio de ejecución de las resoluciones del Tribunal Constitucional, que responde a un fin constitucionalmente legítimo; tampoco cabe inferir que la ejecución sustitutoria </w:t>
      </w:r>
      <w:r>
        <w:lastRenderedPageBreak/>
        <w:t>implique necesariamente la consiguiente vulneración del principio de autonomía [FJ 16].</w:t>
      </w:r>
    </w:p>
    <w:p w:rsidR="00A90898" w:rsidRDefault="00A90898" w:rsidP="00A90898">
      <w:pPr>
        <w:pStyle w:val="Extracto"/>
      </w:pPr>
    </w:p>
    <w:p w:rsidR="00A90898" w:rsidRDefault="00A90898" w:rsidP="00A90898">
      <w:pPr>
        <w:pStyle w:val="Extracto"/>
      </w:pPr>
      <w:r>
        <w:t>5.</w:t>
      </w:r>
      <w:r>
        <w:tab/>
        <w:t>Es el Tribunal quien, entre el elenco de medidas puestas a su disposición por el legislador para hacer frente a los supuestos de incumplimiento de sus resoluciones, puede decidirse, tras el trámite de audiencia del art. 92.4 LOTC, por la ejecución sustitutoria de la resolución de la que se trate y puede requerir la colaboración del Gobierno de la Nación, colaboración que ha de desarrollarse en los términos que fije el propio Tribunal; y el título legitimador de esta medida de ejecución no es un supuesto título competencial del Estado, sino, como el resto de medidas previstas en el mencionado artículo de la LOTC, la garantía de la efectividad y cumplimiento de las resoluciones del Tribunal Constitucional [FJ 16].</w:t>
      </w:r>
    </w:p>
    <w:p w:rsidR="00A90898" w:rsidRDefault="00A90898" w:rsidP="00A90898">
      <w:pPr>
        <w:pStyle w:val="Extracto"/>
      </w:pPr>
    </w:p>
    <w:p w:rsidR="00A90898" w:rsidRDefault="00A90898" w:rsidP="00A90898">
      <w:pPr>
        <w:pStyle w:val="Extracto"/>
      </w:pPr>
      <w:r>
        <w:t>6.</w:t>
      </w:r>
      <w:r>
        <w:tab/>
        <w:t>La reserva de ley orgánica, resulta expresiva, sin duda, del carácter no petrificado del modelo de jurisdicción constitucional diseñado por el constituyente, cuya amplitud hemos destacado como manifestación de la estrecha relación que existe entre la Norma Suprema y la LOTC. Los términos en que se formula esta reserva específica de ley orgánica, la amplitud de las materias (el funcionamiento del Tribunal Constitucional, el estatuto de sus miembros, el procedimiento ante el mismo y las condiciones para el ejercicio de las acciones), su posición de cierre del título IX CE debe llevarnos a rechazar una interpretación restrictiva de tales materias [FJ 8].</w:t>
      </w:r>
    </w:p>
    <w:p w:rsidR="00A90898" w:rsidRDefault="00A90898" w:rsidP="00A90898">
      <w:pPr>
        <w:pStyle w:val="Extracto"/>
      </w:pPr>
    </w:p>
    <w:p w:rsidR="00A90898" w:rsidRDefault="00A90898" w:rsidP="00A90898">
      <w:pPr>
        <w:pStyle w:val="Extracto"/>
      </w:pPr>
      <w:r>
        <w:t>7.</w:t>
      </w:r>
      <w:r>
        <w:tab/>
        <w:t>La reserva de ley orgánica, resulta expresiva, sin duda, del carácter no petrificado del modelo de jurisdicción constitucional diseñado por el constituyente, cuya amplitud hemos destacado como manifestación de la estrecha relación que existe entre la Norma Suprema y la LOTC. Los términos en que se formula esta reserva específica de ley orgánica, la amplitud de las materias (el funcionamiento del Tribunal Constitucional, el estatuto de sus miembros, el procedimiento ante el mismo y las condiciones para el ejercicio de las acciones), su posición de cierre del título IX CE debe llevarnos a rechazar una interpretación restrictiva de tales materias [FJ 8].</w:t>
      </w:r>
    </w:p>
    <w:p w:rsidR="00A90898" w:rsidRDefault="00A90898" w:rsidP="00A90898">
      <w:pPr>
        <w:pStyle w:val="Extracto"/>
      </w:pPr>
    </w:p>
    <w:p w:rsidR="00A90898" w:rsidRDefault="00A90898" w:rsidP="00A90898">
      <w:pPr>
        <w:pStyle w:val="Extracto"/>
      </w:pPr>
      <w:r>
        <w:t>8.</w:t>
      </w:r>
      <w:r>
        <w:tab/>
        <w:t>La presunción de constitucionalidad de normas con rango de ley no puede desvirtuarse sin una argumentación suficiente, no siendo admisibles impugnaciones globales carentes de un razonamiento desarrollado que las sustente (SSTC 100/2013 y 101/2013) [FJ 7].</w:t>
      </w:r>
    </w:p>
    <w:p w:rsidR="00A90898" w:rsidRDefault="00A90898" w:rsidP="00A90898">
      <w:pPr>
        <w:pStyle w:val="Extracto"/>
      </w:pPr>
    </w:p>
    <w:p w:rsidR="00A90898" w:rsidRDefault="00A90898" w:rsidP="00A90898">
      <w:pPr>
        <w:pStyle w:val="Extracto"/>
      </w:pPr>
      <w:r>
        <w:t>9.</w:t>
      </w:r>
      <w:r>
        <w:tab/>
        <w:t>La falta de consenso entre los grupos parlamentarios en orden a la tramitación de la proposición de ley por el procedimiento en lectura única no afecta a la constitucionalidad de dicha tramitación, pues la decisión ha sido adoptada por el órgano competente, a propuesta de los órganos facultados para ello, y por la mayoría reglamentariamente establecida. El consenso político que pudiera suscitar el proyecto o la proposición de ley es algo totalmente ajeno a la concurrencia de los requisitos de simplicidad de formulación o naturaleza del texto normativo que permitan o aconsejen su tramitación por el procedimiento en lectura única (STC 129/2013) [FJ 5].</w:t>
      </w:r>
    </w:p>
    <w:p w:rsidR="00A90898" w:rsidRDefault="00A90898" w:rsidP="00A90898">
      <w:pPr>
        <w:pStyle w:val="Extracto"/>
      </w:pPr>
    </w:p>
    <w:p w:rsidR="00A90898" w:rsidRDefault="00A90898" w:rsidP="00A90898">
      <w:pPr>
        <w:pStyle w:val="Extracto"/>
      </w:pPr>
      <w:r>
        <w:lastRenderedPageBreak/>
        <w:t>10.</w:t>
      </w:r>
      <w:r>
        <w:tab/>
        <w:t>La especial relevancia o la trascendencia constitucional de un texto normativo, no es incompatible con su tramitación por el procedimiento en lectura única, ni suficiente por sí misma, para excluir la utilización de este procedimiento parlamentario, al que no le está vedada materia alguna, incluida la reforma constitucional (STC 238/2012 y ATC 9/2012)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229-2016, promovido por el Gobierno Vasco, representado por el Procurador de los Tribunales don Felipe Juanas Blanco y bajo la dirección letrada de don Carlos Zabaleta Alvarez y don Zelai Nikolas Ezkurdia, Letrados de los Servicios Jurídicos de la Comunidad Autónoma del País Vasco, contra la Ley Orgánica 15/2015, de 16 de octubre, de reforma de la Ley Orgánica 2/1979, de 3 de octubre, del Tribunal Constitucional, para la ejecución de las resoluciones del Tribunal Constitucional como garantía del Estado de Derecho. Han comparecido y formulado alegaciones la Letrada de las Cortes Generales doña Paloma Martínez Santa María, en nombre y representación del Congreso de los Diputados, y el Abogado del Estado, en representación del Gobierno.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Con fecha 15 de enero de 2016 tuvo entrada en el Registro General del Tribunal el recurso de inconstitucionalidad interpuesto por la representación procesal del Gobierno Vasco contra la Ley Orgánica 15/2015, de 16 de octubre, de reforma de la Ley Orgánica 2/1979, de 3 de octubre, para la ejecución de las resoluciones del Tribunal Constitucional como garantía del Estado de Derecho (“BOE” de 17 de octubre de 2015), así como contra el artículo único apartado tres de la misma en la redacción dada a las letras b) y c) del apartado 4 y al apartado 5 del artículo 92 de la Ley Orgánica del Tribunal Constitucional (LOTC).</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Tras exponer el contenido de la Ley impugnada, el escrito rector del presente proceso adelanta la tesis principal que defiende “la modificación normativa otorga una serie de mecanismos de ejecución al alto Tribunal que alteran su configuración constitucional y lo desnaturalizan, situando a la jurisdicción constitucional por encima del resto de los órganos constitucionales, que debe primar, más aun ante las situaciones excepcionales que prevé. Ello implica a nuestro juicio una vulneración de las previsiones constitucionales del título IX de la Constitución, en particular, de los artículos 161 y 164 en relación con el art. 117.3, todos de la CE, sobre atribución de jurisdicción al Tribunal Constitucional”. Además, se sostiene la vulneración de otros preceptos constitucionales: el principio de legalidad penal (art. 25 CE), el régimen de aforamientos previsto en el bloque de constitucionalidad (art. 71 y 102 CE y 32 del Estatuto de Autonomía para el País Vasco —EAPV—, en relación con el art. 24 CE), el derecho fundamental de participación política (art. 23 CE), el principio de autonomía política de las Comunidades Autónomas (arts. 2 y 143 CE), así como el art. 155 CE. En suma, se trata de “una reforma sustancial del sistema político español que consideramos inconstitucional y que afecta al equilibrio entre poderes territoriales y por lo tanto al propio consenso constitucional logrado en 1978”.</w:t>
      </w:r>
    </w:p>
    <w:p w:rsidR="00A90898" w:rsidRDefault="00A90898" w:rsidP="00A90898">
      <w:pPr>
        <w:pStyle w:val="TextoNormal"/>
      </w:pPr>
    </w:p>
    <w:p w:rsidR="00A90898" w:rsidRDefault="00A90898" w:rsidP="00A90898">
      <w:pPr>
        <w:pStyle w:val="TextoNormal"/>
      </w:pPr>
      <w:r>
        <w:t>El recurso se interpone contra la Ley Orgánica en su conjunto, por el procedimiento legislativo seguido para su aprobación, y contra varios de sus apartados: la nueva redacción de las letras b) y c) del apartado 4 y del apartado 5 del art. 92 LOTC. Diversas consideraciones se refieren a la innecesariedad de la reforma, reconociendo que ello no constituye parámetro de constitucionalidad. A este respecto se alude a la falta de reflexión y a la disponibilidad de remedios judiciales ante los incumplimientos de las resoluciones del Tribunal Constitucional (por este orden: arts. 164.1 CE y 38, 87, 92 y 95.4 LOTC; vía penal; y art. 155 CE).</w:t>
      </w:r>
    </w:p>
    <w:p w:rsidR="00A90898" w:rsidRDefault="00A90898" w:rsidP="00A90898">
      <w:pPr>
        <w:pStyle w:val="TextoNormal"/>
      </w:pPr>
    </w:p>
    <w:p w:rsidR="00A90898" w:rsidRDefault="00A90898" w:rsidP="00A90898">
      <w:pPr>
        <w:pStyle w:val="TextoNormal"/>
      </w:pPr>
      <w:r>
        <w:t>Los motivos de inconstitucionalidad se articulan en cinco grandes grupos, que se sintetizan a continuación:</w:t>
      </w:r>
    </w:p>
    <w:p w:rsidR="00A90898" w:rsidRDefault="00A90898" w:rsidP="00A90898">
      <w:pPr>
        <w:pStyle w:val="TextoNormal"/>
      </w:pPr>
    </w:p>
    <w:p w:rsidR="00A90898" w:rsidRDefault="00A90898" w:rsidP="00A90898">
      <w:pPr>
        <w:pStyle w:val="TextoNormal"/>
      </w:pPr>
      <w:r>
        <w:t>a) Procedimiento legislativo: vulneración de los arts. 23 CE, 150.1 del Reglamento del Congreso de los Diputados (RCD) y 129.1 del Reglamento del Senado (RS).</w:t>
      </w:r>
    </w:p>
    <w:p w:rsidR="00A90898" w:rsidRDefault="00A90898" w:rsidP="00A90898">
      <w:pPr>
        <w:pStyle w:val="TextoNormal"/>
      </w:pPr>
    </w:p>
    <w:p w:rsidR="00A90898" w:rsidRDefault="00A90898" w:rsidP="00A90898">
      <w:pPr>
        <w:pStyle w:val="TextoNormal"/>
      </w:pPr>
      <w:r>
        <w:t>Tras exponer el desarrollo del procedimiento legislativo seguido, se afirma que se ha vulnerado el Reglamento del Congreso, pues no se aprecia cumplido ninguno de los dos requisitos exigidos (art. 150.1 RCD y art. 129.1 RS y STC 274/2000, de 15 de noviembre, FJ 10) para que pueda tramitarse el procedimiento de lectura única (que la naturaleza del texto lo aconseje o que lo permita la simplicidad de su formulación). Se considera vulnerado el primer requisito porque la reforma “incluye modificaciones con una relevancia constitucional fuera de discusión en cuanto afecta a principios y valores constitucionales de primera magnitud, a aspectos esenciales relativos a un órgano constitucional que afectan a las relaciones con el resto de los diferentes poderes públicos”. Y en cuanto al segundo requisito, “nada más alejado de la ‘simplicidad’ exigida por los artículos citados, que las modificaciones introducidas por la reforma cuya complejidad técnica exige el análisis de la propia posición institucional del Tribunal Constitucional y de la naturaleza de la jurisdicción constitucional”.</w:t>
      </w:r>
    </w:p>
    <w:p w:rsidR="00A90898" w:rsidRDefault="00A90898" w:rsidP="00A90898">
      <w:pPr>
        <w:pStyle w:val="TextoNormal"/>
      </w:pPr>
    </w:p>
    <w:p w:rsidR="00A90898" w:rsidRDefault="00A90898" w:rsidP="00A90898">
      <w:pPr>
        <w:pStyle w:val="TextoNormal"/>
      </w:pPr>
      <w:r>
        <w:t xml:space="preserve">Se recuerda que, según la STC 103/2008, de 11 de diciembre, el de lectura única es “un procedimiento en el cual resultan notablemente limitadas las posibilidades de participación </w:t>
      </w:r>
      <w:r>
        <w:lastRenderedPageBreak/>
        <w:t xml:space="preserve">en el proceso de elaboración de la norma”, y que, según la STC 99/1987, de 11 de junio, “la inobservancia de los preceptos que regulan el procedimiento legislativo podría viciar de inconstitucionalidad la ley cuando esa inobservancia altere de modo sustancial el proceso de formación de voluntad en el seno de las Cámaras”. Así pues, el procedimiento de lectura única seguido para la elaboración de la Ley Orgánica 15/2015 infringe los Reglamentos de las Cámaras, que forman parte del bloque de la constitucionalidad (art. 28.1 LOTC), condicionando gravemente la formulación de la voluntad de la Cámara y vulnerando el derecho fundamental al </w:t>
      </w:r>
      <w:r w:rsidRPr="00A90898">
        <w:rPr>
          <w:i/>
        </w:rPr>
        <w:t>ius in officium</w:t>
      </w:r>
      <w:r>
        <w:t xml:space="preserve"> de los diputados y, por lo tanto, del art. 23 CE.</w:t>
      </w:r>
    </w:p>
    <w:p w:rsidR="00A90898" w:rsidRDefault="00A90898" w:rsidP="00A90898">
      <w:pPr>
        <w:pStyle w:val="TextoNormal"/>
      </w:pPr>
    </w:p>
    <w:p w:rsidR="00A90898" w:rsidRDefault="00A90898" w:rsidP="00A90898">
      <w:pPr>
        <w:pStyle w:val="TextoNormal"/>
      </w:pPr>
      <w:r>
        <w:t>Además, la proposición de Ley fue presentada, impulsada y aprobada con los votos de un único grupo parlamentario y con la oposición y el rechazo del resto de grupos. Dado que se elevaron protestas y denuncias de toda la oposición de las Cámaras, en el presente caso el Tribunal Constitucional estaría en situación de juzgar tales decisiones, con arreglo a su doctrina reiterada de que dicho Tribunal no debe sobreponer su juicio al de las Cámaras para depurar irregularidades de procedimientos sobre decisiones parlamentarias no enteramente regladas y que no levantaron en su momento protesta alguna en sede parlamentaria [SSTC 136/2011, FJ 10 e); 176/2011, FJ 4; 209/2012, FJ 4 c), y 120/2014, FJ 2 e)].</w:t>
      </w:r>
    </w:p>
    <w:p w:rsidR="00A90898" w:rsidRDefault="00A90898" w:rsidP="00A90898">
      <w:pPr>
        <w:pStyle w:val="TextoNormal"/>
      </w:pPr>
    </w:p>
    <w:p w:rsidR="00A90898" w:rsidRDefault="00A90898" w:rsidP="00A90898">
      <w:pPr>
        <w:pStyle w:val="TextoNormal"/>
      </w:pPr>
      <w:r>
        <w:t>b) Atribución de jurisdicción al Tribunal Constitucional con vulneración de los arts. 117.3, 161 y 164 CE.</w:t>
      </w:r>
    </w:p>
    <w:p w:rsidR="00A90898" w:rsidRDefault="00A90898" w:rsidP="00A90898">
      <w:pPr>
        <w:pStyle w:val="TextoNormal"/>
      </w:pPr>
    </w:p>
    <w:p w:rsidR="00A90898" w:rsidRDefault="00A90898" w:rsidP="00A90898">
      <w:pPr>
        <w:pStyle w:val="TextoNormal"/>
      </w:pPr>
      <w:r>
        <w:t>Esta impugnación se dirige contra los tres apartados antes mencionados [letras b) y c) del apartado 4 y del apartado 5 del art. 92 LOTC]. En síntesis, se sostiene que en el diseño y posición institucional del Tribunal Constitucional previsto en el título IX de la Constitución no se atisba medida alguna parecida a las que introduce la reforma, de lo que se concluye, por una parte, que el legislador orgánico se ha colocado en el plano del constituyente excediendo de la habilitación contenida en el art. 165 CE y, por otra, que la reforma supone un cambio cualitativo en la naturaleza, posición y funciones del Tribunal Constitucional, que altera gravemente el equilibrio y el juego de contrapesos con el resto de poderes del Estado.</w:t>
      </w:r>
    </w:p>
    <w:p w:rsidR="00A90898" w:rsidRDefault="00A90898" w:rsidP="00A90898">
      <w:pPr>
        <w:pStyle w:val="TextoNormal"/>
      </w:pPr>
    </w:p>
    <w:p w:rsidR="00A90898" w:rsidRDefault="00A90898" w:rsidP="00A90898">
      <w:pPr>
        <w:pStyle w:val="TextoNormal"/>
      </w:pPr>
      <w:r>
        <w:t xml:space="preserve">La Ley Orgánica del Tribunal Constitucional no está exenta del control de constitucionalidad: el legislador orgánico del art. 165 CE tiene límites derivados tanto de los preceptos del título IX de la Constitución como del modelo de Tribunal que se deriva de una interpretación conjunta de la norma suprema y de los principios constitucionales que se proyectan sobre el mismo (STC 49/2008, de 9 de abril). Las medidas de ejecución que introduce la reforma y que son objeto del presente recurso se colocan extramuros de dicha función, al punto de alterar la posición institucional del Tribunal con grave quiebra del equilibrio de poderes (horizontal y vertical) implícito en la Constitución, vulnerando en definitiva el modelo de justicia constitucional diseñado por la Constitución. El Tribunal Constitucional viene configurado por la Constitución como un órgano constitucional y a la vez como un tribunal de justicia </w:t>
      </w:r>
      <w:r w:rsidRPr="00A90898">
        <w:rPr>
          <w:i/>
        </w:rPr>
        <w:t>sui generis</w:t>
      </w:r>
      <w:r>
        <w:t xml:space="preserve">, siendo precisamente la articulación o la interacción entre ambos elementos lo que le otorga su nota peculiar y distintiva dentro de la estructura institucional del Estado y lo que determina su estatus y posición dentro del orden constitucional. Como órgano constitucional es la propia Constitución la que determina su composición, su estatus y su sistema de competencias. De ella recibe directamente sus atribuciones fundamentales, su condición y posición. Con los demás órganos constitucionales configura la base del modelo de Estado y en dicha configuración cobra especial valor el conjunto de </w:t>
      </w:r>
      <w:r>
        <w:lastRenderedPageBreak/>
        <w:t>relaciones establecidas entre los mismos, de tal manera que un cambio significativo en dicho sistema de relaciones supone un cambio del sistema mismo. El Tribunal es además el encargado de velar por la supremacía de la Constitución y de asegurar la vigencia de la distribución de poderes establecida en la misma, de ahí que la jurisdicción constitucional sea garantía institucional básica del Estado constitucional de Derecho. Su función esencial es contribuir a que la realización de las funciones-poderes del Estado no se desvíe de la norma constitucional y facilite el diálogo entre poderes dentro del sistema democrático. Difícilmente podrá cumplir su función si él mismo se desvía de la posición que la Constitución le atribuye.</w:t>
      </w:r>
    </w:p>
    <w:p w:rsidR="00A90898" w:rsidRDefault="00A90898" w:rsidP="00A90898">
      <w:pPr>
        <w:pStyle w:val="TextoNormal"/>
      </w:pPr>
    </w:p>
    <w:p w:rsidR="00A90898" w:rsidRDefault="00A90898" w:rsidP="00A90898">
      <w:pPr>
        <w:pStyle w:val="TextoNormal"/>
      </w:pPr>
      <w:r>
        <w:t>Por ello, si el sistema de distribución de poderes (principalmente el horizontal) no queda adecuadamente garantizado por la jurisdicción constitucional, porque en vez de orientarse a impedir la concentración del poder del Estado, la fomenta a través de la atribución de facultades con relación a medidas como la suspensión o la ejecución sustitutoria [arts. 92.4 b) y c) y 92.5 LOTC] y termina rompiéndose el delicado sistema de equilibrio. El Alto Tribunal puede incidir en la dirección política del Estado pero no condicionarla en la manera en que ahora posibilita la reforma: puede “corregir” las actuaciones y decisiones de los órganos constitucionales, pero no intervenir en la adopción de dichas actuaciones y decisiones y mucho menos sustituirles en el ejercicio de sus poderes de decisión y acción. El Tribunal no se encuentra por encima del resto de órganos constitucionales, cada uno es supremo en su orden, y desde luego el Tribunal lo es en la interpretación de la Constitución; pero la paridad entre ellos no es compatible con el predominio de uno de ellos de manera que afecte a la independencia decisora de los demás.</w:t>
      </w:r>
    </w:p>
    <w:p w:rsidR="00A90898" w:rsidRDefault="00A90898" w:rsidP="00A90898">
      <w:pPr>
        <w:pStyle w:val="TextoNormal"/>
      </w:pPr>
    </w:p>
    <w:p w:rsidR="00A90898" w:rsidRDefault="00A90898" w:rsidP="00A90898">
      <w:pPr>
        <w:pStyle w:val="TextoNormal"/>
      </w:pPr>
      <w:r>
        <w:t xml:space="preserve">El precepto constitucional desde el cual debe iniciarse el análisis de la Ley Orgánica 15/2015, en lo que ahora interesa, es el art. 164.1 CE: en él se establecen las características y peculiaridades de la sentencia constitucional, en particular la eficacia </w:t>
      </w:r>
      <w:r w:rsidRPr="00A90898">
        <w:rPr>
          <w:i/>
        </w:rPr>
        <w:t>erga omnes</w:t>
      </w:r>
      <w:r>
        <w:t xml:space="preserve"> de las que declaran la inconstitucionalidad de una norma de rango legal, así como los propios límites para la ejecución de sus resoluciones. Además, la decisión que adopte el Tribunal Constitucional en la ejecución de sus resoluciones dependerá de la naturaleza o tipo de proceso en que haya recaído la Sentencia y de su concreto contenido. A continuación el escrito repasa los “grandes bloques competenciales” de la jurisdicción constitucional y los tipos de sentencia:</w:t>
      </w:r>
    </w:p>
    <w:p w:rsidR="00A90898" w:rsidRDefault="00A90898" w:rsidP="00A90898">
      <w:pPr>
        <w:pStyle w:val="TextoNormal"/>
      </w:pPr>
    </w:p>
    <w:p w:rsidR="00A90898" w:rsidRDefault="00A90898" w:rsidP="00A90898">
      <w:pPr>
        <w:pStyle w:val="TextoNormal"/>
      </w:pPr>
      <w:r>
        <w:t xml:space="preserve">i) En el control abstracto de normas el pronunciamiento de inconstitucionalidad es por naturaleza meramente declarativo. Consecuentemente, la sentencia resolutoria de un recurso o cuestión de inconstitucionalidad no requiere propiamente de ejecución de clase alguna, ya que alcanza efectos generales con su sola publicación oficial (art. 38.1 LOTC; ATC 309/1987, de 12 de marzo, STC 231/2015, de 5 de noviembre). Los efectos de este tipo de sentencias no pertenecen a la ejecución, sino a la aplicación de la ley a la que la sentencia afecta. Ley y aplicación que tienen vida y principios distintos de los de la ejecución jurisdiccional. La pregunta que cabe hacerse es si el legislador puede legítimamente apartarse del fallo y de la doctrina constitucional, reiterando el contenido de un precepto que ha sido declarado inconstitucional o que no se ajusta a la interpretación constitucional efectuada por el Tribunal: en qué supuestos y qué consecuencias puede tener esa reiteración respecto del control de constitucionalidad. Se aducen en este sentido los acuerdos del Pleno de la Sala de lo Penal de 25 de abril de 2006 que manifestaban: “1º.- Que el artículo 5.1 LOPJ interpretado conforme a los artículos 117.1, 161.1 b) y 164.1, no pueden impedir que el Tribunal </w:t>
      </w:r>
      <w:r>
        <w:lastRenderedPageBreak/>
        <w:t>Supremo ejerza con plena jurisdicción las facultades que directamente le confiere el artículo 123.1 CE. 2º.- Mantener la actual jurisprudencia sobre la interrupción de la prescripción pese a la Sentencia del Tribunal Constitucional 63/2005”. Y en cuanto al poder ejecutivo, se hace referencia a lo que constataba la STC 38/2012, con apelación directa al principio de lealtad institucional: “el Abogado del Estado, por su parte, no niega que la Resolución impugnada haya desconocido la doctrina contenida en las SSTC 95/2002 y 190/2002”.</w:t>
      </w:r>
    </w:p>
    <w:p w:rsidR="00A90898" w:rsidRDefault="00A90898" w:rsidP="00A90898">
      <w:pPr>
        <w:pStyle w:val="TextoNormal"/>
      </w:pPr>
    </w:p>
    <w:p w:rsidR="00A90898" w:rsidRDefault="00A90898" w:rsidP="00A90898">
      <w:pPr>
        <w:pStyle w:val="TextoNormal"/>
      </w:pPr>
      <w:r>
        <w:t xml:space="preserve">ii) En las sentencias resolutorias de conflictos positivos de competencia, dado su carácter declarativo o constitutivo, pues se resuelve a quién corresponde la competencia controvertida y, en su caso, se anula la disposición, resolución o acto que está en la base del conflicto, dicha sentencia no requiere actividad ejecutiva de clase alguna y sí solo una actividad de mero diligenciamiento para la efectividad de lo resuelto, tanto dentro del proceso constitucional como fuera de él. La Sentencia podrá disponer lo que fuera procedente respecto de las situaciones de hecho o de derecho creadas al amparo de la disposición o resolución conflictiva anulada (art. 66 LOTC). “Lo procedente” no es otra cosa que lo establecido en el art. 40 LOTC para el supuesto de anulación de una norma por Sentencia declaratoria de inconstitucionalidad. En cuanto a las sentencias que se dicten en conflictos negativos de competencia, no se requiere otra actividad por parte del Tribunal que su comunicación a los órganos enfrentados, pesando sobre el declarado competente el deber de actuar [en un plazo determinado, en su caso, </w:t>
      </w:r>
      <w:r w:rsidRPr="00A90898">
        <w:rPr>
          <w:i/>
        </w:rPr>
        <w:t>ex</w:t>
      </w:r>
      <w:r>
        <w:t xml:space="preserve"> art. 72.3 a) LOTC]: su negativa o inactividad posterior no pertenece a la ejecución de la sentencia.</w:t>
      </w:r>
    </w:p>
    <w:p w:rsidR="00A90898" w:rsidRDefault="00A90898" w:rsidP="00A90898">
      <w:pPr>
        <w:pStyle w:val="TextoNormal"/>
      </w:pPr>
    </w:p>
    <w:p w:rsidR="00A90898" w:rsidRDefault="00A90898" w:rsidP="00A90898">
      <w:pPr>
        <w:pStyle w:val="TextoNormal"/>
      </w:pPr>
      <w:r>
        <w:t>iii) Las sentencias resolutorias de conflictos entre órganos constitucionales no ofrecen peculiaridades respecto a los conflictos positivos de competencia, y las declaraciones sobre la constitucionalidad de los tratados internacionales no plantean cuestión alguna desde la perspectiva de la ejecución.</w:t>
      </w:r>
    </w:p>
    <w:p w:rsidR="00A90898" w:rsidRDefault="00A90898" w:rsidP="00A90898">
      <w:pPr>
        <w:pStyle w:val="TextoNormal"/>
      </w:pPr>
    </w:p>
    <w:p w:rsidR="00A90898" w:rsidRDefault="00A90898" w:rsidP="00A90898">
      <w:pPr>
        <w:pStyle w:val="TextoNormal"/>
      </w:pPr>
      <w:r>
        <w:t>iv) Las sentencias dictadas en recursos de amparo pueden tener contenidos muy diversos como resultado de la combinación de diversos elementos (poder al que se le imputa la lesión, pretensión ejercida, etc.) y, consecuentemente, su ejecución puede ser diversa. El mecanismo procesal constitucional se aproxima al de un tribunal contencioso-administrativo: cuando la vulneración procede de la Administración, el Tribunal Constitucional se encuentra en la misma posición que un tribunal contencioso-administrativo frente a la Administración. Las sentencias de condena son susceptibles de ejecución: su característica es que imponen una conducta al obligado y el restablecimiento del recurrente en la integridad del derecho vulnerado. Las posibilidades de ejecución del Tribunal Constitucional varían en función del acto recurrido y su autor: si el acto procede de una Administración, la ejecución se dirigirá contra la Administración productora del acto; si es una resolución judicial, se dirigirá contra el órgano jurisdiccional, entendiendo que no podrá sustituir a la autoridad judicial en el cometido de interpretar y fijar el alcance de sus propios pronunciamientos (STC 1/2009, de 12 de enero, fijando como situaciones proscritas, los pronunciamientos judiciales contrarios a la decisión del Tribunal Constitucional y los intentos de menoscabar la eficacia, jurídica o material, de lo que aquel ha resuelto y mandado).</w:t>
      </w:r>
    </w:p>
    <w:p w:rsidR="00A90898" w:rsidRDefault="00A90898" w:rsidP="00A90898">
      <w:pPr>
        <w:pStyle w:val="TextoNormal"/>
      </w:pPr>
    </w:p>
    <w:p w:rsidR="00A90898" w:rsidRDefault="00A90898" w:rsidP="00A90898">
      <w:pPr>
        <w:pStyle w:val="TextoNormal"/>
      </w:pPr>
      <w:r>
        <w:t xml:space="preserve">La sentencia constitucional tiene una naturaleza “triédrica”: acto procesal finalizador de un proceso; actividad dirigida a la interpretación e integración creadora del Derecho; y decisión política o acto de poder en dialéctica con los demás poderes del Estado. Por ello, el régimen jurídico de la sentencia constitucional presenta peculiaridades y dificultades para </w:t>
      </w:r>
      <w:r>
        <w:lastRenderedPageBreak/>
        <w:t>extrapolar categorías procesales aplicables a las sentencias recaídas en el proceso judicial, así como para trasvasar, adaptar o introducir los instrumentos de ejecución de las mismas. El art. 164 CE es consciente de esas peculiaridades y destaca expresamente aquellos aspectos de su régimen que presentan diferencias con las del correlativo proceso ordinario. La doctrina administrativista distingue entre cumplimiento de la sentencia (mera realización material de las actuaciones ordenadas en el fallo), llevado a cabo por quienes están obligados a cumplirla, y ejecución procesal de la misma (actividad orientada a asegurar en su caso tal cumplimiento), que solo puede corresponder al tribunal que la dictó. Esta distinción es aplicable al orden constitucional. La redacción del nuevo artículo 92.4 c) [“colaboración del Gobierno de la Nación a fin de que … adopte las medidas necesarias para asegurar el cumplimiento de las resoluciones”] es significativa de que se reformula en cierta manera el antiguo sistema administrativo de ejecución de sentencias del art. 103 de la Ley reguladora de la jurisdicción contencioso-administrativa (LJCA), porque “asegurar el cumplimiento” en la expresión de ese nuevo artículo no es cumplir, sino ejecutar, además a través de las “medidas necesarias”, enunciado como concepto indeterminado que deja al Tribunal un margen de discrecionalidad de dimensiones incompatibles con la seguridad jurídica y la previsibilidad de la actuación de un órgano jurisdiccional. Y resulta llamativo que dicho precepto solo prevea requerir la colaboración del Gobierno del Estado, cuando en un gran número de litigios puede ser el obligado por incumplimiento de una resolución del Tribunal Constitucional. El significado general del art. 92 LOTC es el de atribuir al Tribunal Constitucional como “señor de la ejecución de sus decisiones” la competencia general para exigir a todos los órganos del Estado y a todos los ciudadanos el cumplimiento de sus obligaciones en el caso concreto, pero sin que esa genérica atribución de competencia lleve consigo en todo caso la puesta en sus manos de un procedimiento de ejecución forzosa de sus sentencias que, equivalente al existente en los procesos ordinarios, pueda ser directamente dirigido contra los altos órganos del Estado o de las Comunidades Autónomas: ello excedería de la esencia de la Constitución, pues un aparato de ejecución es concebible frente a los particulares, no frente a poderes constitucionales del más alto rango.</w:t>
      </w:r>
    </w:p>
    <w:p w:rsidR="00A90898" w:rsidRDefault="00A90898" w:rsidP="00A90898">
      <w:pPr>
        <w:pStyle w:val="TextoNormal"/>
      </w:pPr>
    </w:p>
    <w:p w:rsidR="00A90898" w:rsidRDefault="00A90898" w:rsidP="00A90898">
      <w:pPr>
        <w:pStyle w:val="TextoNormal"/>
      </w:pPr>
      <w:r>
        <w:t>Aceptando con naturalidad que el Tribunal Constitucional adopta decisiones en cierta medida políticas, sin perjuicio de su carácter jurisdiccional, ha de concluirse que las medidas que la reforma introduce en los arts. 92.4 b) y c) y 92.5 LOTC, bajo una apariencia formalmente jurídica, intentando equipararlas con medidas judiciales ordinarias, son medidas políticas, desvinculadas de la función de interpretación y aplicación de la Constitución y destinadas a ejecutar decisiones políticas, que exceden claramente de las posibilidades que al Tribunal Constitucional ofrece el título IX, por quebrantar el sistema de equilibrios entre poderes establecido por la propia Constitución, que terminan colocando al propio Tribunal en un plano y posición que no le corresponden, transformándolo de órgano de arbitraje a órgano ejecutor desvinculado del Derecho e inserto en el reino de lo estrictamente político, de “poder neutro” a poder que se superpone a los demás, abocándolo a situaciones de conflicto. Todo ello excede de las funciones que el art. 161.1 CE atribuye al Tribunal Constitucional.</w:t>
      </w:r>
    </w:p>
    <w:p w:rsidR="00A90898" w:rsidRDefault="00A90898" w:rsidP="00A90898">
      <w:pPr>
        <w:pStyle w:val="TextoNormal"/>
      </w:pPr>
    </w:p>
    <w:p w:rsidR="00A90898" w:rsidRDefault="00A90898" w:rsidP="00A90898">
      <w:pPr>
        <w:pStyle w:val="TextoNormal"/>
      </w:pPr>
      <w:r>
        <w:t xml:space="preserve">En cualquier caso, en la doctrina es prácticamente unánime la posición, según la cual la ejecución de las sentencias constitucionales no ha tropezado con mayores dificultades, de tal manera que el cumplimiento voluntario es la regla general, y es la </w:t>
      </w:r>
      <w:r w:rsidRPr="00A90898">
        <w:rPr>
          <w:i/>
        </w:rPr>
        <w:t>auctoritas</w:t>
      </w:r>
      <w:r>
        <w:t xml:space="preserve"> del propio Tribunal y el principio de lealtad constitucional lo que estimula a los demás órganos del Estado a aceptar sin reservas las decisiones de aquel. Es cierto que no han faltado problemas </w:t>
      </w:r>
      <w:r>
        <w:lastRenderedPageBreak/>
        <w:t>en el Derecho comparado (Alemania, Francia e Italia) de ejecución de sentencias de los tribunales constitucionales, pero el problema suscitado no pertenece al terreno de la ejecución procesal, sino al más intrincado, irregulable y político de los conflictos entre instituciones y es ahí donde debe ser solventado.</w:t>
      </w:r>
    </w:p>
    <w:p w:rsidR="00A90898" w:rsidRDefault="00A90898" w:rsidP="00A90898">
      <w:pPr>
        <w:pStyle w:val="TextoNormal"/>
      </w:pPr>
    </w:p>
    <w:p w:rsidR="00A90898" w:rsidRDefault="00A90898" w:rsidP="00A90898">
      <w:pPr>
        <w:pStyle w:val="TextoNormal"/>
      </w:pPr>
      <w:r>
        <w:t>Incluso la medida prevista en la letra b) del art. 92.4 LOTC contempla unos destinatarios en abstracto, autoridades tanto de los ejecutivos como de los legislativos. Sin embargo, el principio de separación de poderes aludido impide que, excepto a través del mecanismo del art. 155 CE, pueda un órgano constitucional suspender a un cargo político de una Comunidad Autónoma o del Estado. Por tanto, la medida de la letra b) del art. 92.4 LOTC resulta contraria al principio de división de poderes, porque intentar la sustitución en sus decisiones de determinados órganos constitucionales (incluso órganos legislativos) resulta imposible dentro del sistema constitucional democrático. Igualmente, por su indeterminación el art. 92.5 LOTC puede incluir medidas que afecten a la actividad parlamentaria. En suma, las medidas contempladas en la reforma inciden en una verdadera función legislativa.</w:t>
      </w:r>
    </w:p>
    <w:p w:rsidR="00A90898" w:rsidRDefault="00A90898" w:rsidP="00A90898">
      <w:pPr>
        <w:pStyle w:val="TextoNormal"/>
      </w:pPr>
    </w:p>
    <w:p w:rsidR="00A90898" w:rsidRDefault="00A90898" w:rsidP="00A90898">
      <w:pPr>
        <w:pStyle w:val="TextoNormal"/>
      </w:pPr>
      <w:r>
        <w:t>El principio democrático es un valor superior de nuestro ordenamiento reflejado en el art. 1.1 CE (STC 204/2011, de 25 de diciembre, FJ 8); y la actividad parlamentaria es inviolable (art. 63.3 CE para las Cortes Generales, y art. 25.4 EAPV para el Parlamento Vasco). La ejecución de las sentencias que declaran la inconstitucionalidad de una ley requiere de iniciativas que solo pueden tomar los parlamentarios y de trámites que implican varios actos legislativos y que se resuelven mediante votación. Una sentencia no puede obligar a un parlamentario a proponer una reforma legislativa o a votar a favor de la misma. Se está ante un problema político cuya forma de resolución fue indicada en la STC 42/2014, de 25 de marzo.</w:t>
      </w:r>
    </w:p>
    <w:p w:rsidR="00A90898" w:rsidRDefault="00A90898" w:rsidP="00A90898">
      <w:pPr>
        <w:pStyle w:val="TextoNormal"/>
      </w:pPr>
    </w:p>
    <w:p w:rsidR="00A90898" w:rsidRDefault="00A90898" w:rsidP="00A90898">
      <w:pPr>
        <w:pStyle w:val="TextoNormal"/>
      </w:pPr>
      <w:r>
        <w:t>c) Principio de legalidad penal: vulneración del art. 161 CE en relación con el art. 25 CE.</w:t>
      </w:r>
    </w:p>
    <w:p w:rsidR="00A90898" w:rsidRDefault="00A90898" w:rsidP="00A90898">
      <w:pPr>
        <w:pStyle w:val="TextoNormal"/>
      </w:pPr>
    </w:p>
    <w:p w:rsidR="00A90898" w:rsidRDefault="00A90898" w:rsidP="00A90898">
      <w:pPr>
        <w:pStyle w:val="TextoNormal"/>
      </w:pPr>
      <w:r>
        <w:t>La reforma contempla la posibilidad de que el Tribunal, en determinados casos, adopte “las medidas de ejecución necesarias”, entre las que se incluyen las de “acordar la suspensión en sus funciones de las autoridades o empleados públicos de la Administración responsable del incumplimiento, durante el tiempo preciso para asegurar la observancia de los pronunciamiento del Tribunal” [art. 92.4 b) LOTC] y “las medidas necesarias para asegurar su debido cumplimiento sin oír a las partes” con respecto a “la ejecución de las resoluciones que acuerden la suspensión de las disposiciones, actos o actuaciones impugnadas y concurrieran circunstancias de especial trascendencia” (art. 92.5 LOTC). Tales medidas no son meras medidas coercitivas, ni simples medidas cautelares: tienen un indudable carácter punitivo, y se aplican además a poderes del Estado, alterando el equilibrio y las reglas fundamentales de funcionamiento del sistema. Y no cumplen con los principios que rigen para las medidas coercitivas: legalidad, proporcionalidad, motivación, instrumentalidad, urgencia, jurisdiccionalidad, provisionalidad, carácter rogado.</w:t>
      </w:r>
    </w:p>
    <w:p w:rsidR="00A90898" w:rsidRDefault="00A90898" w:rsidP="00A90898">
      <w:pPr>
        <w:pStyle w:val="TextoNormal"/>
      </w:pPr>
    </w:p>
    <w:p w:rsidR="00A90898" w:rsidRDefault="00A90898" w:rsidP="00A90898">
      <w:pPr>
        <w:pStyle w:val="TextoNormal"/>
      </w:pPr>
      <w:r>
        <w:t xml:space="preserve">La medida de suspensión no se encuentra en línea directa de continuación con la resolución que constituye el título de la ejecución: si se dirige contra las autoridades y empleados públicos de la Administración responsable del incumplimiento, lo será porque son ellos los encargados de ejecutarla. Pero si les suspende, ya no pueden realizar actividad alguna encaminada a ejecutar la resolución. Por tanto, la suspensión de funciones, al romper la continuidad con la resolución, no es una medida dirigida a asegurar la ejecución de la resolución </w:t>
      </w:r>
      <w:r>
        <w:lastRenderedPageBreak/>
        <w:t>judicial, sino, más sencillamente, a sancionar la conducta de dicha autoridad o empleado. En consecuencia, no se cumplen las exigencias de la doctrina constitucional con respecto a la garantía material del principio de legalidad sancionadora, esto es, a la exigencia de predeterminación normativa de las conductas punibles y sus correspondientes sanciones (SSTC 38/2003, de 27 de febrero, FJ 8; 104/2009, de 4 de mayo, FJ 2, y 196/2013, de 2 de diciembre, FJ 3).</w:t>
      </w:r>
    </w:p>
    <w:p w:rsidR="00A90898" w:rsidRDefault="00A90898" w:rsidP="00A90898">
      <w:pPr>
        <w:pStyle w:val="TextoNormal"/>
      </w:pPr>
    </w:p>
    <w:p w:rsidR="00A90898" w:rsidRDefault="00A90898" w:rsidP="00A90898">
      <w:pPr>
        <w:pStyle w:val="TextoNormal"/>
      </w:pPr>
      <w:r>
        <w:t>La aplicación de la doctrina constitucional reseñada conduce a concluir que los elementos de las conductas antijurídicas previstas en algunas de las disposiciones introducidas por la Ley Orgánica (“advertirse que pudiera estar siendo incumplida”, “acordar la suspensión en sus funciones de las autoridades o empleados públicos responsables del incumplimiento”, “medidas necesarias para asegurar el cumplimiento de las resoluciones”, “circunstancias de especial trascendencia constitucional”, “medidas necesarias para asegurar su debido cumplimiento”) resultan de todo punto insuficientes desde la perspectiva de la garantía material resultante del art. 25.1 CE. Estamos ante una tipificación “sin acotación material alguna ni referencia a bienes jurídicos cuya protección pudiera justificar la sanción” (STC 13/2013, de 28 de enero, FJ 4). La Ley no contiene la definición básica de los comportamientos prohibidos, ni acota materialmente el ámbito al que debe ceñirse el régimen punitivo, ni enuncia su concreta finalidad, ni identifica los sujetos responsables, ni describe suficientemente los elementos objetivos de las conductas antijurídicas. La Ley incluye una amplia serie de conceptos jurídicos indeterminados que no permiten identificar certeramente el ámbito de lo prohibido ni, por tanto, las consecuencias de sus acciones. De esta forma se vulnera el art. 25.1 CE.</w:t>
      </w:r>
    </w:p>
    <w:p w:rsidR="00A90898" w:rsidRDefault="00A90898" w:rsidP="00A90898">
      <w:pPr>
        <w:pStyle w:val="TextoNormal"/>
      </w:pPr>
    </w:p>
    <w:p w:rsidR="00A90898" w:rsidRDefault="00A90898" w:rsidP="00A90898">
      <w:pPr>
        <w:pStyle w:val="TextoNormal"/>
      </w:pPr>
      <w:r>
        <w:t>d) Régimen de aforamientos: vulneración de los arts. 71 y 102 CE y 26.6 y 32 EAPV en relación con el art. 24 CE.</w:t>
      </w:r>
    </w:p>
    <w:p w:rsidR="00A90898" w:rsidRDefault="00A90898" w:rsidP="00A90898">
      <w:pPr>
        <w:pStyle w:val="TextoNormal"/>
      </w:pPr>
    </w:p>
    <w:p w:rsidR="00A90898" w:rsidRDefault="00A90898" w:rsidP="00A90898">
      <w:pPr>
        <w:pStyle w:val="TextoNormal"/>
      </w:pPr>
      <w:r>
        <w:t>Determinadas autoridades y empleados públicos gozan de una “prerrogativa” consistente en la garantía constitucional de predeterminación del juez legal para el conocimiento de las causas seguidas con relación a los mismos y en el ejercicio de sus funciones; garantía que se incorpora al contenido del derecho fundamental reconocido en los arts. 23.2 y 24 CE.</w:t>
      </w:r>
    </w:p>
    <w:p w:rsidR="00A90898" w:rsidRDefault="00A90898" w:rsidP="00A90898">
      <w:pPr>
        <w:pStyle w:val="TextoNormal"/>
      </w:pPr>
    </w:p>
    <w:p w:rsidR="00A90898" w:rsidRDefault="00A90898" w:rsidP="00A90898">
      <w:pPr>
        <w:pStyle w:val="TextoNormal"/>
      </w:pPr>
      <w:r>
        <w:t>El aforamiento está previsto para los miembros de la Familia Real, los Diputados y Senadores, los miembros del Gobierno, los Jueces y miembros del Ministerio Fiscal, los Magistrados del Tribunal Constitucional, los parlamentarios autonómicos y los miembros de los Consejos de Gobierno en las respectivas Comunidades Autónomas. Visto que el cumplimiento de las resoluciones del Tribunal Constitucional puede corresponder a cualquiera de esas autoridades (salvo miembros de la Familia Real), las medidas de ejecución previstas, incluida la suspensión de funciones, por incumplimientos totales o parciales, pueden afectar a cualquiera de los mismos con afectación expresa a los derechos derivados de su condición.</w:t>
      </w:r>
    </w:p>
    <w:p w:rsidR="00A90898" w:rsidRDefault="00A90898" w:rsidP="00A90898">
      <w:pPr>
        <w:pStyle w:val="TextoNormal"/>
      </w:pPr>
    </w:p>
    <w:p w:rsidR="00A90898" w:rsidRDefault="00A90898" w:rsidP="00A90898">
      <w:pPr>
        <w:pStyle w:val="TextoNormal"/>
      </w:pPr>
      <w:r>
        <w:t xml:space="preserve">El art. 26.6 EAPV establece que, durante su mandato, los miembros del Parlamento Vasco no podrán ser detenidos ni retenidos por los actos delictivos cometidos en el ámbito territorial de la Comunidad Autónoma del País Vasco sino en caso de flagrante delito, correspondiendo decidir, en todo caso, sobre su inculpación, prisión, procesamiento y juicio al Tribunal Superior de Justicia del País Vasco. Fuera del ámbito territorial del País Vasco, la responsabilidad penal será exigible en los mismos términos ante la Sala de lo Penal del Tribunal Supremo. Estas prerrogativas, similares a las previstas en el art. 71 y 102 CE para </w:t>
      </w:r>
      <w:r>
        <w:lastRenderedPageBreak/>
        <w:t xml:space="preserve">Diputados, Senadores, Presidente y demás miembros del Gobierno del Estado tienen como finalidad proteger de forma cualificada la libertad, autonomía e independencia de los órganos autonómicos (STC 22/1997, de 11 de febrero, FJ 5). El aforamiento actúa como instrumento para la salvaguarda de la independencia institucional del Gobierno y de los parlamentarios, evitando las presiones de las que en otro caso podrían ser objeto sus miembros. Por ello, tal prerrogativa parlamentaria es imprescindible e irrenunciable (STC 92/1985), es </w:t>
      </w:r>
      <w:r w:rsidRPr="00A90898">
        <w:rPr>
          <w:i/>
        </w:rPr>
        <w:t>ius cogens</w:t>
      </w:r>
      <w:r>
        <w:t xml:space="preserve"> e indisponible para sus titulares, y solo susceptible de una interpretación estricta y vinculada a los supuestos expresamente contemplados en la Constitución (STC 22/1997). Se trata de proteger la independencia del órgano y el ejercicio de las funciones del cargo constitucionalmente relevantes: independencia que queda totalmente anulada con la medida de suspensión de funciones prevista ahora en el nuevo art. 92.4 b) LOTC.</w:t>
      </w:r>
    </w:p>
    <w:p w:rsidR="00A90898" w:rsidRDefault="00A90898" w:rsidP="00A90898">
      <w:pPr>
        <w:pStyle w:val="TextoNormal"/>
      </w:pPr>
    </w:p>
    <w:p w:rsidR="00A90898" w:rsidRDefault="00A90898" w:rsidP="00A90898">
      <w:pPr>
        <w:pStyle w:val="TextoNormal"/>
      </w:pPr>
      <w:r>
        <w:t>El art. 24.2 CE reconoce el derecho al juez ordinario predeterminado por la ley: lo que hace el art. 102.1 CE es precisamente predeterminar el juez competente para enjuiciar causas criminales dirigidas contra los miembros del Gobierno. Ello permitiría, de manera similar a lo que acontece en el caso de los Diputados y Senadores en virtud el art. 71.3 CE, esgrimir como derecho fundamental vulnerado la pretendida instrucción y enjuiciamiento criminal de los miembros del Gobierno por un órgano jurisdiccional distinto de la Sala de lo Penal del Tribunal Supremo.</w:t>
      </w:r>
    </w:p>
    <w:p w:rsidR="00A90898" w:rsidRDefault="00A90898" w:rsidP="00A90898">
      <w:pPr>
        <w:pStyle w:val="TextoNormal"/>
      </w:pPr>
    </w:p>
    <w:p w:rsidR="00A90898" w:rsidRDefault="00A90898" w:rsidP="00A90898">
      <w:pPr>
        <w:pStyle w:val="TextoNormal"/>
      </w:pPr>
      <w:r>
        <w:t>Respeto al ámbito subjetivo del aforamiento, el art. 102.1 CE no impide que mediante norma de rango inferior a la Constitución pueda disponerse, como así acontece en la práctica, el aforamiento especial para dirimir la responsabilidad penal de otras autoridades. Así, en la práctica totalidad de los Estatutos de Autonomía se dispone que corresponderá al respectivo Tribunal Superior de Justicia el conocimiento de los actos delictivos cometidos por los miembros del Consejo de Gobierno en el territorio de la Comunidad Autónoma, y a la Sala de lo Penal del Tribunal Supremo los cometidos fuera de dicho territorio (art. 32 EAPV). Además, el art. 102.2 CE establece un régimen peculiar para el caso de que la responsabilidad exigida al Presidente o a los demás miembros del Gobierno lo fuera en virtud de una acusación por traición o por cualquier delito contra la seguridad del Estado en el ejercicio de sus funciones: sólo podrá ser planteada por iniciativa de la cuarta parte de los miembros del Congreso, y con la aprobación de la mayoría absoluta del mismo. El art. 169 RCD desarrolla lo previsto en el art. 102.2 CE.</w:t>
      </w:r>
    </w:p>
    <w:p w:rsidR="00A90898" w:rsidRDefault="00A90898" w:rsidP="00A90898">
      <w:pPr>
        <w:pStyle w:val="TextoNormal"/>
      </w:pPr>
    </w:p>
    <w:p w:rsidR="00A90898" w:rsidRDefault="00A90898" w:rsidP="00A90898">
      <w:pPr>
        <w:pStyle w:val="TextoNormal"/>
      </w:pPr>
      <w:r>
        <w:t>La reforma vulnera los mencionados preceptos constitucionales y estatutarios en cuanto establece como medida de aseguramiento de la efectividad de las sentencias y resoluciones del Tribunal Constitucional la consistente en que dicho Tribunal acuerde la suspensión en sus funciones de las autoridades o empleados públicos. Dicha medida es real y materialmente una de las penas privativas de derechos contemplada en el art. 39 c) del Código penal (CP), la suspensión de empleo o cargo público, pena que impide o prohíbe el ejercicio de dicho empleo o cargo durante el tiempo de la condena (art. 43 CP), pasada la cual el penado vuelve a la plenitud del desempeño del cargo o empleo afectado. No es, por tanto, una sanción de naturaleza administrativa, sino una verdadera pena. Si ello es así, no puede ser sino una pena que se impone directamente por el Tribunal Constitucional como respuesta al incumplimiento de sus resoluciones y con total inobservancia del fuero que a dichas autoridades o empleados públicos les corresponde constitucionalmente. En definitiva, las medidas de los arts. 92.4 b) y 92.5 LOTC vulneran los arts. 71 y 102 CE y 26.6 y 32 EAPV.</w:t>
      </w:r>
    </w:p>
    <w:p w:rsidR="00A90898" w:rsidRDefault="00A90898" w:rsidP="00A90898">
      <w:pPr>
        <w:pStyle w:val="TextoNormal"/>
      </w:pPr>
    </w:p>
    <w:p w:rsidR="00A90898" w:rsidRDefault="00A90898" w:rsidP="00A90898">
      <w:pPr>
        <w:pStyle w:val="TextoNormal"/>
      </w:pPr>
      <w:r>
        <w:lastRenderedPageBreak/>
        <w:t>e) Vulneración de los arts. 155 y 2 y 143 CE.</w:t>
      </w:r>
    </w:p>
    <w:p w:rsidR="00A90898" w:rsidRDefault="00A90898" w:rsidP="00A90898">
      <w:pPr>
        <w:pStyle w:val="TextoNormal"/>
      </w:pPr>
    </w:p>
    <w:p w:rsidR="00A90898" w:rsidRDefault="00A90898" w:rsidP="00A90898">
      <w:pPr>
        <w:pStyle w:val="TextoNormal"/>
      </w:pPr>
      <w:r>
        <w:t>El art. 155 CE no precisa el alcance de los incumplimientos constitucionales o legales o el grave atentado al interés general de España por parte de una Comunidad Autónoma al que hace referencia o cuáles pueden ser las medidas coactivas (“obligar … al cumplimiento forzoso”) o de protección a poner en práctica por el Gobierno del Estado. La reforma planteada por la Ley Orgánica impugnada supone una alteración del sistema de controles de las Comunidades Autónomas por el Estado proscrito por el Tribunal Constitucional desde sus comienzos (STC 4/1981, de 2 de febrero) en cuanto que no se ajusta al principio de autonomía la previsión de controles genéricos e indeterminados que implican una posición jerárquicamente subordinada de las Comunidades Autónomas a la Administración del Estado. En la STC 76/1983, de 5 de agosto, FJ 12, se analizó un precepto legal que atribuía al Gobierno un poder de vigilancia y la facultad de formular requerimientos, así como un poder de control a través del mecanismo previsto en el art. 155 CE. Esto es lo que declaró el Tribunal Constitucional: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w:t>
      </w:r>
    </w:p>
    <w:p w:rsidR="00A90898" w:rsidRDefault="00A90898" w:rsidP="00A90898">
      <w:pPr>
        <w:pStyle w:val="TextoNormal"/>
      </w:pPr>
    </w:p>
    <w:p w:rsidR="00A90898" w:rsidRDefault="00A90898" w:rsidP="00A90898">
      <w:pPr>
        <w:pStyle w:val="TextoNormal"/>
      </w:pPr>
      <w:r>
        <w:t>Por ello, la referida Sentencia admitió la posibilidad de formular los requerimientos procedentes a fin de subsanar las deficiencias en su caso advertidas en la ejecución de la legislación del Estado por las Comunidades Autónomas, requerimientos no vinculantes. Ahora bien, el poder de control resultaba inconstitucional ya que “de no interpretarse la expresión ‘en su caso’ de forma tal que el precepto se convierta en superfluo en cuanto supondría una repetición del texto constitucional, el contenido de dicho párrafo encierra una redefinición de los supuestos a los que es aplicable el art. 155 de la Constitución. Como hemos señalado en el fundamento cuarto de esta Sentencia, no corresponde al legislador estatal fijar en abstracto el alcance de dichos supuestos, como sucede en el presente caso al incluir en ellos con carácter general aquellos en que los requerimientos sean desatendidos o las informaciones reiteradamente negadas”.</w:t>
      </w:r>
    </w:p>
    <w:p w:rsidR="00A90898" w:rsidRDefault="00A90898" w:rsidP="00A90898">
      <w:pPr>
        <w:pStyle w:val="TextoNormal"/>
      </w:pPr>
    </w:p>
    <w:p w:rsidR="00A90898" w:rsidRDefault="00A90898" w:rsidP="00A90898">
      <w:pPr>
        <w:pStyle w:val="TextoNormal"/>
      </w:pPr>
      <w:r>
        <w:t>Las medidas contempladas en los arts. 92.4 b) y c) y 92.5 son, en realidad, modalidades de control distintas de las constitucionalmente previstas o admisibles, incurriendo en inconstitucionalidad y rebasando la línea divisoria entre poder constituyente y poder constituido. Concretamente, la suspensión en sus funciones de las autoridades o empleados públicos de la Administración responsable del incumplimiento y la adopción de las medidas necesarias para asegurar su debido cumplimiento a instancias del Gobierno quedan configuradas como mecanismos equivalentes al previsto en el art. 155.2 CE, según el cual “el Gobierno podrá dar instrucciones a todas las autoridades de las Comunidades Autónomas”, implica en definitiva una intervención directa sobre la autonomía sin sujeción alguna a las garantías de procedimiento previstas en el art. 155 CE. Los presupuestos de hecho previstos en la Ley (básicamente “caso de que se advierta” que una resolución pudiera estar siendo incumplida, incluida aquellas que acuerdan la suspensión de disposiciones, actos o “actua</w:t>
      </w:r>
      <w:r>
        <w:lastRenderedPageBreak/>
        <w:t>ciones” impugnadas, cuando concurrieran circunstancias de especial trascendencia constitucional) se convierten en realidad en presupuestos de aplicabilidad del art. 155 CE, ocupando el legislador, como ya se ha dicho, el plano del constituyente, porque dichos presupuestos no se contemplan en el art. 155 CE.</w:t>
      </w:r>
    </w:p>
    <w:p w:rsidR="00A90898" w:rsidRDefault="00A90898" w:rsidP="00A90898">
      <w:pPr>
        <w:pStyle w:val="TextoNormal"/>
      </w:pPr>
    </w:p>
    <w:p w:rsidR="00A90898" w:rsidRDefault="00A90898" w:rsidP="00A90898">
      <w:pPr>
        <w:pStyle w:val="TextoNormal"/>
      </w:pPr>
      <w:r>
        <w:t>Por otra parte, las medidas previstas (suspensión en sus funciones, adopción de medidas necesarias por el Gobierno de la Nación o por el propio Tribunal Constitucional) suponen una actividad subsidiaria que implica una forma de control sobre la actuación de la Administración autonómica, además de no prevista constitucionalmente, incompatible con el principio de autonomía (arts. 2 y 143 CE) y con la esfera competencial de ésta (STC 118/1998, de 4 de junio, FJ 26). Dicho de otra manera, si ante un incumplimiento de una Comunidad Autónoma se produjese “la sustitución en la competencia de la Comunidad Autónoma”, dicha “sustitución sería inconstitucional” (STC 134/2011, de 20 de julio, FJ 11).</w:t>
      </w:r>
    </w:p>
    <w:p w:rsidR="00A90898" w:rsidRDefault="00A90898" w:rsidP="00A90898">
      <w:pPr>
        <w:pStyle w:val="TextoNormal"/>
      </w:pPr>
    </w:p>
    <w:p w:rsidR="00A90898" w:rsidRDefault="00A90898" w:rsidP="00A90898">
      <w:pPr>
        <w:pStyle w:val="TextoNormal"/>
      </w:pPr>
      <w:r>
        <w:t>No se trata de que, ante la falta de adopción de una decisión por una Comunidad Autónoma en relación con una resolución del Tribunal Constitucional, la Ley prevea la adopción de medidas de “cumplimiento forzoso”, de medidas coercitivas que pretendan “forzar la voluntad o la conducta” (diccionario de la Real Academia Española) de la Comunidad Autónoma incumplidora, sino que, directamente, ya el Tribunal ya el Gobierno del Estado llevarán a término las resoluciones, sustituyendo a la Comunidad Autónoma. Estamos ante una injerencia ilegítima, por indebida, innecesaria y desproporcionada. Las medidas que prevé la Ley son consecuencia de las previsiones de la propia Ley sobre la apreciación del propio Tribunal sobre el incumplimiento de sus resoluciones, incluida la apreciación de las “circunstancias de especial trascendencia”, y no del incumplimiento de precepto constitucional alguno. El art. 164 CE no contiene referencia alguna a los medios de ejecución de las Sentencias del Tribunal Constitucional. No es el incumplimiento de las obligaciones constitucionales previstas en el art. 164 CE ni lo previsto en el art. 117.3 CE lo que provoca la aplicación de medidas equivalentes a los contenidos en el art. 155 CE, sino el eventual desconocimiento de la eficacia (no de los efectos) de dichas resoluciones. Las medidas previstas en el art. 92 LOTC no encuentran su fundamento constitucional en el art. 164 CE ni en los arts. 117.3 o 118 CE, sino en la previsión del art. 155.1 CE. No operan como medidas encaminadas a garantizar la efectividad de las resoluciones del Tribunal Constitucional para lo que ya existían mecanismos, sino como remedios punitivos al incumplimiento de dichas resoluciones. Así lo declara el preámbulo, al admitir que la reforma responde “a la necesidad de adaptarse a las nuevas situaciones que pretenden evitar o soslayar la efectividad”.</w:t>
      </w:r>
    </w:p>
    <w:p w:rsidR="00A90898" w:rsidRDefault="00A90898" w:rsidP="00A90898">
      <w:pPr>
        <w:pStyle w:val="TextoNormal"/>
      </w:pPr>
    </w:p>
    <w:p w:rsidR="00A90898" w:rsidRDefault="00A90898" w:rsidP="00A90898">
      <w:pPr>
        <w:pStyle w:val="TextoNormal"/>
      </w:pPr>
      <w:r>
        <w:t>El recurso encubierto a la vía prevista en el art. 155 CE que lleva a una actuación sustitutoria del Estado, supone una injerencia clara en la autonomía política de las Comunidades Autónomas, injerencia no autorizada por el texto constitucional sino es a través del procedimiento previsto en el art. 155 CE. La reforma no cumple ninguno de los requisitos que el art. 155 CE exige para que sea posible adoptar las medidas allí previstas.</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Por providencia de 2 de febrero de 2016 el Pleno de este Tribunal, a propuesta de la Sección Tercera, acordó admitir a trámite el recurso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procedimiento y </w:t>
      </w:r>
      <w:r>
        <w:lastRenderedPageBreak/>
        <w:t>formular las alegaciones que estimaren convenientes. Asimismo se acordó publicar la incoación del procedimiento en el “Boletín Oficial del Estado”, lo que se produjo el día 9 de febrero de 2016.</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el 10 de febrero de 2016, el Presidente del Congreso de los Diputados notificó el acuerdo de la Mesa de la Cámara de personarse en el procedimiento, a los solos efectos de formular alegaciones en relación con los vicios de procedimiento legislativo que se denuncian en la demanda, en lo que afecta al Congreso de los Diputados; de encomendar la representación y defensa de la Cámara a la Letrada Jefe de la Asesoría Jurídica de la Secretaría General de la Cámara; de comunicar el acuerdo al Tribunal Constitucional y al Senado; y de remitir la documentación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5</w:t>
      </w:r>
      <w:r>
        <w:t>. El Abogado del Estado, mediante escrito registrado el 12 de febrero de 2016, se personó en el recurso en nombre del Gobierno, y solicitó una prórroga del plazo otorgado para formalizar el escrito de alegaciones, habida cuenta del número de asuntos que penden ante dicha Abogacía.</w:t>
      </w:r>
    </w:p>
    <w:p w:rsidR="00A90898" w:rsidRDefault="00A90898" w:rsidP="00A90898">
      <w:pPr>
        <w:pStyle w:val="TextoNormal"/>
      </w:pPr>
    </w:p>
    <w:p w:rsidR="00A90898" w:rsidRDefault="00A90898" w:rsidP="00A90898">
      <w:pPr>
        <w:pStyle w:val="TextoNormal"/>
      </w:pPr>
      <w:r>
        <w:t>Por providencia de 15 de febrero de 2016, el Pleno acordó incorporar a las actuaciones el escrito del Abogado del Estado, tenerle por personado en la representación que ostenta y otorgarle una prórroga de ocho días respecto al plazo concedido por providencia de 2 de febrero de 2016, a contar desde el siguiente al de expiración del ordinario.</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registrado el día 17 de febrero de 2016, el Presidente del Senado notificó el acuerdo de la Mesa de la Cámara de personarse en el procedimiento y de ofrecer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La Letrada de las Cortes Generales, en nombre y representación del Congreso de los Diputados, formuló mediante escrito de 26 de febrero las siguientes alegaciones, tras resumir el </w:t>
      </w:r>
      <w:r w:rsidRPr="00A90898">
        <w:rPr>
          <w:i/>
        </w:rPr>
        <w:t>iter</w:t>
      </w:r>
      <w:r>
        <w:t xml:space="preserve"> legislativo efectuado.</w:t>
      </w:r>
    </w:p>
    <w:p w:rsidR="00A90898" w:rsidRDefault="00A90898" w:rsidP="00A90898">
      <w:pPr>
        <w:pStyle w:val="TextoNormal"/>
      </w:pPr>
    </w:p>
    <w:p w:rsidR="00A90898" w:rsidRDefault="00A90898" w:rsidP="00A90898">
      <w:pPr>
        <w:pStyle w:val="TextoNormal"/>
      </w:pPr>
      <w:r>
        <w:t>a) La jurisprudencia constitucional ha reconocido un principio de disponibilidad de la Cámara sobre lo que denomina los trámites del procedimiento y su cronología y una libertad de ordenación, que incluye la competencia no solo para decidir el procedimiento aplicable, sino también para resolver las cuestiones incidentales que puedan producirse (STC 136/2011, FJ 6). El art. 150 RCD establece dos presupuestos alternativos para la aplicación de la tramitación en lectura única: que la naturaleza de la iniciativa legislativa lo aconseje o que su simplicidad de formulación lo permita.</w:t>
      </w:r>
    </w:p>
    <w:p w:rsidR="00A90898" w:rsidRDefault="00A90898" w:rsidP="00A90898">
      <w:pPr>
        <w:pStyle w:val="TextoNormal"/>
      </w:pPr>
    </w:p>
    <w:p w:rsidR="00A90898" w:rsidRDefault="00A90898" w:rsidP="00A90898">
      <w:pPr>
        <w:pStyle w:val="TextoNormal"/>
      </w:pPr>
      <w:r>
        <w:t xml:space="preserve">b) El primer presupuesto no se identifica exclusivamente con el segundo. Con independencia de la simplicidad de la formulación, pueden entrar en juego otros factores de índole diversa que aconsejen la aplicación de dicho procedimiento. Este tipo de procedimientos más rápidos y abreviados constituyen un instrumento legítimo en manos del legislador y los puede utilizar en función de sus prioridades legislativas, que especialmente se acentúan cuando era inminente el fin de la legislatura y era más reducido el margen de tiempo hábil disponible para legislar. La apreciación de la inmediata necesidad legislativa que justifica la aplicación del procedimiento de lectura única, al depender de la interpretación de una </w:t>
      </w:r>
      <w:r>
        <w:lastRenderedPageBreak/>
        <w:t>cláusula muy abierta, lleva a que sea la valoración política la que domine su aplicación: dicha valoración política, por las reglas del juego democrático, coincidirá con la valoración de la mayoría de la Cámara, primero en la Mesa que realiza la propuesta de aplicación de este procedimiento, y luego en el Pleno, que lo aprueba (STC 238/2012, FJ 4). El de la naturaleza del proyecto es un concepto abierto, que permite un margen de interpretación mucho más amplio que otros conceptos jurídicos. Al no poderse esclarecer con precisión suficiente lo que significa la naturaleza de un proyecto de ley, pues los proyectos de ley se clasifican con arreglo a otros criterios, el término se convierte en un elemento de aplicación discrecional y, por tanto, de pura valoración política.</w:t>
      </w:r>
    </w:p>
    <w:p w:rsidR="00A90898" w:rsidRDefault="00A90898" w:rsidP="00A90898">
      <w:pPr>
        <w:pStyle w:val="TextoNormal"/>
      </w:pPr>
    </w:p>
    <w:p w:rsidR="00A90898" w:rsidRDefault="00A90898" w:rsidP="00A90898">
      <w:pPr>
        <w:pStyle w:val="TextoNormal"/>
      </w:pPr>
      <w:r>
        <w:t>La Letrada parlamentaria rechaza la interpretación que realiza el recurrente de que la especial relevancia de la reforma impedía su tramitación a través del procedimiento de lectura única, pues dicho criterio no está previsto en el art. 150 RCD. En la práctica la lectura única ha estado disociada de la relevancia y no se ha considerado que la aplicación de dicho procedimiento suponga rebajar el valor o la importancia de una norma en el conjunto del ordenamiento jurídico: es el caso de la reforma de la propia Constitución o del proyecto de ley orgánica por la que se hace efectiva la abdicación de su Majestad el Rey don Juan Carlos I de Borbón. El único requisito es que la tramitación de la materia a regular no esté reservada a un determinado procedimiento, en cuyo caso la lectura única no resulta posible (ATC 9/2012): pero ni la Constitución ni el Reglamento (arts. 150 y 130 a 132) excluyen que las leyes orgánicas, ni específicamente la Ley Orgánica del Tribunal Constitucional, puedan ser tramitadas por el procedimiento de lectura única.</w:t>
      </w:r>
    </w:p>
    <w:p w:rsidR="00A90898" w:rsidRDefault="00A90898" w:rsidP="00A90898">
      <w:pPr>
        <w:pStyle w:val="TextoNormal"/>
      </w:pPr>
    </w:p>
    <w:p w:rsidR="00A90898" w:rsidRDefault="00A90898" w:rsidP="00A90898">
      <w:pPr>
        <w:pStyle w:val="TextoNormal"/>
      </w:pPr>
      <w:r>
        <w:t>c) Por lo que respecta al segundo presupuesto, se discrepa de la interpretación del concepto de simplicidad que realiza el recurrente. La simplicidad debe ir referida al análisis de la estructura interna del texto, si este es comprensible e inteligible, y estructuralmente sencillo de redacción. El texto solo sería complejo si para su entendimiento fuera necesario un proceso intelectivo de segundo nivel que requiriese un esfuerzo por encima de la media. Las referencias del demandante respecto a la vaguedad, la indeterminación o la ambigüedad de la nueva regulación podrían revelar en todo caso un problema de seguridad jurídica, pero ello no implica una supuesta complejidad de los apartados impugnados.</w:t>
      </w:r>
    </w:p>
    <w:p w:rsidR="00A90898" w:rsidRDefault="00A90898" w:rsidP="00A90898">
      <w:pPr>
        <w:pStyle w:val="TextoNormal"/>
      </w:pPr>
    </w:p>
    <w:p w:rsidR="00A90898" w:rsidRDefault="00A90898" w:rsidP="00A90898">
      <w:pPr>
        <w:pStyle w:val="TextoNormal"/>
      </w:pPr>
      <w:r>
        <w:t>d) La Letrada de las Cortes Generales también rechaza la vinculación que efectúa el recurrente entre la falta de consenso manifestada durante la tramitación de la norma y la posibilidad de intervención del Tribunal Constitucional para examinar la inconstitucionalidad del procedimiento, invocando la STC 129/2013, FJ 10. El consenso no tiene nada que ver con la constitucionalidad del procedimiento seguido para tramitar una norma, ni constituye un requisito para su aplicación. Tampoco existe exigencia alguna de mayoría especial para la tramitación de una iniciativa por el procedimiento de lectura única (STC 238/2012). Por lo demás, el control que realiza el Tribunal Constitucional es un control estrictamente jurídico y no político, y no puede entrar a valorar si se ha producido o no consenso en la tramitación y aprobación de una ley.</w:t>
      </w:r>
    </w:p>
    <w:p w:rsidR="00A90898" w:rsidRDefault="00A90898" w:rsidP="00A90898">
      <w:pPr>
        <w:pStyle w:val="TextoNormal"/>
      </w:pPr>
    </w:p>
    <w:p w:rsidR="00A90898" w:rsidRDefault="00A90898" w:rsidP="00A90898">
      <w:pPr>
        <w:pStyle w:val="TextoNormal"/>
      </w:pPr>
      <w:r>
        <w:t xml:space="preserve">e) Ni la aplicación del procedimiento de lectura única ni la urgencia han impedido la posibilidad de debate y de participación de los diputados con todas las garantías debidas. Cada procedimiento tiene su singularidad, de lo contrario no se entendería la existencia de procedimientos diferentes, ordinarios y especiales: el </w:t>
      </w:r>
      <w:r w:rsidRPr="00A90898">
        <w:rPr>
          <w:i/>
        </w:rPr>
        <w:t>ius in officium</w:t>
      </w:r>
      <w:r>
        <w:t xml:space="preserve"> no tiene por qué tener </w:t>
      </w:r>
      <w:r>
        <w:lastRenderedPageBreak/>
        <w:t xml:space="preserve">el mismo contenido en cada procedimiento, sino que se modela de forma diferente, en función de las características de cada procedimiento. Ello no equivale a que la Cámara haya impedido o coartado el desempeño de los derechos y facultades que acompañan al núcleo de la función representativa parlamentaria (ATC 118/1999). El análisis de la tramitación de la proposición de Ley Orgánica demuestra lo contrario y no hace sino corroborar que los diputados pudieron ejercer de forma adecuada su </w:t>
      </w:r>
      <w:r w:rsidRPr="00A90898">
        <w:rPr>
          <w:i/>
        </w:rPr>
        <w:t>ius in officium</w:t>
      </w:r>
      <w:r>
        <w:t>: en el procedimiento se celebraron hasta dos debates plenarios, primero con ocasión de la toma en consideración y luego en el momento de su aprobación; y los diputados pudieron presentar las enmiendas que consideraron convenientes, en total tres enmiendas a la totalidad de texto alternativo y treinta y cuatro al articulado, que fueron defendidas y votadas en la sesión plenaria del 1 de octubre de 2015. La voluntad de la Cámara quedó conformada de forma adecuada y en momento alguno se aprecia que su resultado quedase alterado de modo sustancial, que es el elemento clave que, según el Tribunal Constitucional, debería quedar acreditado para apreciar vicio de inconstitucionalidad (STC 136/2011, FJ 10), ni que se haya visto afectado el principio democrático (art. 1 CE).</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9 de marzo de 2016 el Abogado del Estado, en la representación que legalmente ostenta, formuló las siguientes alegaciones:</w:t>
      </w:r>
    </w:p>
    <w:p w:rsidR="00A90898" w:rsidRDefault="00A90898" w:rsidP="00A90898">
      <w:pPr>
        <w:pStyle w:val="TextoNormal"/>
      </w:pPr>
    </w:p>
    <w:p w:rsidR="00A90898" w:rsidRDefault="00A90898" w:rsidP="00A90898">
      <w:pPr>
        <w:pStyle w:val="TextoNormal"/>
      </w:pPr>
      <w:r>
        <w:t>a) El escrito de alegaciones comienza con un planteamiento general sobre la naturaleza del Tribunal Constitucional, la necesaria garantía en el cumplimiento de sus resoluciones para la efectividad de su función de garante así como del art. 24 CE y los mecanismos que para tal fin prevé la Constitución y la Ley Orgánica del Tribunal Constitucional.</w:t>
      </w:r>
    </w:p>
    <w:p w:rsidR="00A90898" w:rsidRDefault="00A90898" w:rsidP="00A90898">
      <w:pPr>
        <w:pStyle w:val="TextoNormal"/>
      </w:pPr>
    </w:p>
    <w:p w:rsidR="00A90898" w:rsidRDefault="00A90898" w:rsidP="00A90898">
      <w:pPr>
        <w:pStyle w:val="TextoNormal"/>
      </w:pPr>
      <w:r>
        <w:t>El Tribunal Constitucional es un órgano de carácter jurisdiccional, no un órgano político. Sus decisiones pueden tener consecuencias políticas, pero ello también es propio de las decisiones del Poder Judicial. El recurrente confunde las consecuencias políticas de las resoluciones judiciales con los conflictos puramente políticos no sujetos a control por parámetros de constitucionalidad. Cuando el conflicto político excede de los cauces procedimentales constitucionales e incide en la regulación constitucional, en ese momento se transforma en un conflicto jurídico: ese es el ámbito de los órganos jurisdiccionales y en concreto del Tribunal Constitucional como supremo intérprete de la Constitución y garante de su efectividad.</w:t>
      </w:r>
    </w:p>
    <w:p w:rsidR="00A90898" w:rsidRDefault="00A90898" w:rsidP="00A90898">
      <w:pPr>
        <w:pStyle w:val="TextoNormal"/>
      </w:pPr>
    </w:p>
    <w:p w:rsidR="00A90898" w:rsidRDefault="00A90898" w:rsidP="00A90898">
      <w:pPr>
        <w:pStyle w:val="TextoNormal"/>
      </w:pPr>
      <w:r>
        <w:t>La Constitución no excluye en ningún momento que la potestad de ejecución de las resoluciones del Tribunal Constitucional pueda ser llevada a efecto por el propio Tribunal Constitucional. A diferencia de la Constitución austriaca, que atribuye dicha potestad de forma expresa y exclusiva, según el tipo de resolución, a los tribunales ordinarios o al Presidente Federal, la Constitución española deja abierta la cuestión, sin excluirlo, a lo que determine la Ley reguladora del Tribunal Constitucional (art. 165 CE). El sistema es semejante al previsto en Alemania. La Constitución alemana prevé dentro del título dedicado a los órganos jurisdiccionales un órgano como el Tribunal Constitucional (art. 93) y remite a una ley posterior en cuanto a su composición y funcionamiento (art. 94), como hace el art. 165 CE. La Ley reguladora del Tribunal Constitucional Federal alemán contiene, como la española, una cláusula general en materia de ejecución: “el Tribunal Constitucional Federal podrá determinar en su decisión, quién la ejecutará; en algunos casos en particular podrá establecer el modo y la forma de la ejecución” (art. 35).</w:t>
      </w:r>
    </w:p>
    <w:p w:rsidR="00A90898" w:rsidRDefault="00A90898" w:rsidP="00A90898">
      <w:pPr>
        <w:pStyle w:val="TextoNormal"/>
      </w:pPr>
    </w:p>
    <w:p w:rsidR="00A90898" w:rsidRDefault="00A90898" w:rsidP="00A90898">
      <w:pPr>
        <w:pStyle w:val="TextoNormal"/>
      </w:pPr>
      <w:r>
        <w:lastRenderedPageBreak/>
        <w:t>Al igual que en Alemania, en España se han recogido también supuestos de ejecución concreta, junto al principio general del art. 92.1 LOTC. Desde la redacción originaria de la Ley Orgánica del Tribunal Constitucional se preveía la posibilidad de imponer multas coercitivas (art. 95.4 LOTC), como se regula en otros órdenes jurisdiccionales (arts. 112 LJCA y 591, 701 y concordantes de la Ley de enjuiciamiento civil: LEC). También se preveía y se prevé la posibilidad de imponer plazos para ejecutar sus resoluciones, por ejemplo en los conflictos negativos de competencias (art. 72.3 LOTC).</w:t>
      </w:r>
    </w:p>
    <w:p w:rsidR="00A90898" w:rsidRDefault="00A90898" w:rsidP="00A90898">
      <w:pPr>
        <w:pStyle w:val="TextoNormal"/>
      </w:pPr>
    </w:p>
    <w:p w:rsidR="00A90898" w:rsidRDefault="00A90898" w:rsidP="00A90898">
      <w:pPr>
        <w:pStyle w:val="TextoNormal"/>
      </w:pPr>
      <w:r>
        <w:t>En suma, la Constitución no excluye la posibilidad de atribuir al Tribunal Constitucional la potestad de ejecución de sus resoluciones, pues se remite a su Ley reguladora. Esta Ley recoge desde su promulgación como principio general que será el Tribunal Constitucional quien determine la forma de ejecutar sus disposiciones y resolver las incidencias de la ejecución, así como supuestos concretos de ejecución forzosa a cargo del Tribunal, sin perjuicio de poder solicitar el auxilio de otros poderes para dar efectividad a sus resoluciones. Pero la complejidad jurídica y la necesidad de adaptarse ante nuevas situaciones y retos determinaron la modificación de las funciones de ejecución del Tribunal Constitucional con la finalidad última de asegurar la efectividad de la propia Constitución, asegurando la efectividad de las resoluciones de su garante. La primera modificación del sistema de ejecución previsto en la Ley Orgánica del Tribunal Constitucional se produjo mediante la Ley Orgánica 6/2007, que introdujo una especificación en el art. 92.1 LOTC y un supuesto concreto de ejecución para habilitar la adopción de medidas específicas de protección del art. 18.4 CE (art. 86.3 LOTC). La reforma actual avanza en la misma senda, para evitar que la Constitución se convierta en letra muerta (STC 198/2012, FJ 8).</w:t>
      </w:r>
    </w:p>
    <w:p w:rsidR="00A90898" w:rsidRDefault="00A90898" w:rsidP="00A90898">
      <w:pPr>
        <w:pStyle w:val="TextoNormal"/>
      </w:pPr>
    </w:p>
    <w:p w:rsidR="00A90898" w:rsidRDefault="00A90898" w:rsidP="00A90898">
      <w:pPr>
        <w:pStyle w:val="TextoNormal"/>
      </w:pPr>
      <w:r>
        <w:t xml:space="preserve">Por lo que respecta al argumento del recurrente de la falta de necesidad de la reforma, por contar el sistema constitucional con otros mecanismos de reacción (la vía penal y el art. 155 CE), se aduce, por un lado, la necesidad de dotar de efectividad a las resoluciones judiciales como garantía del art. 24 CE, que abarca también a las resoluciones del Tribunal Constitucional (por todos, ATC 1/2009, FJ 2). El derecho al cumplimiento y la efectividad de las resoluciones del Tribunal Constitucional no puede quedar abocado exclusivamente a una reprensión de carácter penal. Por otro lado, se rechaza que las medidas de suspensión o sustitución de órganos autonómicos solo puedan articularse sobre la base del art. 155 CE. La Ley Orgánica 4/1981, reguladora de los estados de anormalidad constitucional en desarrollo del art. 116 CE, ya prevé en el supuesto menos riguroso —el estado de alarma— que el Gobierno de la Nación suspenda y sustituya a autoridades y empleados autonómicos (artículo 10). El estado de alarma se declara exclusivamente por el Gobierno, sin perjuicio de su comunicación al Congreso. La misma actuación puede producirse como consecuencia de la activación del art. 155 CE, también de acuerdo con la apreciación del Gobierno. Siguiendo la argumentación del recurrente habría que admitir que la efectividad de las resoluciones del Tribunal Constitucional que requirieran medidas de sustitución o suspensión de autoridades y empleados públicos debería quedar a la exclusiva apreciación del Gobierno como único legitimado para activar los mecanismos constitucionales correspondientes. Esto sería admitir en nuestro ordenamiento constitucional la existencia implícita de una cláusula semejante a la austriaca, según la cual la efectividad de las sentencias del Tribunal Constitucional queda en manos del Presidente Federal. Tal conclusión choca frontalmente con los principios de autonomía e independencia del Tribunal Constitucional frente al resto de órganos constitucionales, entre ellos el Gobierno (arts. 1.1 y 73 LOTC). Lo relevante es el </w:t>
      </w:r>
      <w:r>
        <w:lastRenderedPageBreak/>
        <w:t>título legitimador que permita adoptar las medidas: en el caso de la jurisdicción constitucional las medidas de suspensión y sustitución se articulan como medios de ejecución, y el título legitimador es la garantía de la efectividad de las resoluciones del Tribunal Constitucional, por tanto los arts. 161 y 165 CE y 1.1 LOTC.</w:t>
      </w:r>
    </w:p>
    <w:p w:rsidR="00A90898" w:rsidRDefault="00A90898" w:rsidP="00A90898">
      <w:pPr>
        <w:pStyle w:val="TextoNormal"/>
      </w:pPr>
    </w:p>
    <w:p w:rsidR="00A90898" w:rsidRDefault="00A90898" w:rsidP="00A90898">
      <w:pPr>
        <w:pStyle w:val="TextoNormal"/>
      </w:pPr>
      <w:r>
        <w:t>Finalmente, en cuanto al ámbito de control de constitucionalidad de las normas reguladoras del Tribunal Constitucional, el Abogado del Estado señala que la doctrina se contiene principalmente en las SSTC 66/1985 y 49/2008: debe ser un control abstracto y, por lo tanto, al margen de su posible aplicación práctica, de los concretos preceptos impugnados y las normas y principios constitucionales que integran en cada caso el parámetro de control; un control limitado a supuestos de conflicto evidente e insalvable con la Constitución; un control que no puede tener en cuenta las intenciones del legislador, su estrategia política o su propósito último. En cambio, a juicio del Abogado del Estado, el recurrente no realiza una crítica en abstracto de la reforma, sino de los supuestos en los que considera que no podrían aplicarse las medidas de suspensión y sustitución: respecto a las resoluciones de determinados procesos constitucionales y a un concreto sujeto obligado al cumplimiento. Este no es el ámbito del control abstracto de constitucionalidad de una reforma de la Ley Orgánica del Tribunal Constitucional. Lo que debe enjuiciarse es si, en abstracto, al margen de su posible aplicación práctica, las medidas de ejecución puestas a disposición del Tribunal Constitucional por parte del legislador orgánico representan una opción constitucional válida, con independencia de que pueda haber otras opciones también constitucionales y válidas y de si su aplicación es apta a todos o a parte de los procesos constitucionales. Será a la hora de valorar su aplicación concreta cuando le corresponderá al Tribunal Constitucional apreciar si es posible o no adoptar una medida de ejecución, teniendo en cuenta la naturaleza del proceso constitucional y el sujeto obligado. Pero esta valoración singularizada no es objeto del presente recurso de inconstitucionalidad.</w:t>
      </w:r>
    </w:p>
    <w:p w:rsidR="00A90898" w:rsidRDefault="00A90898" w:rsidP="00A90898">
      <w:pPr>
        <w:pStyle w:val="TextoNormal"/>
      </w:pPr>
    </w:p>
    <w:p w:rsidR="00A90898" w:rsidRDefault="00A90898" w:rsidP="00A90898">
      <w:pPr>
        <w:pStyle w:val="TextoNormal"/>
      </w:pPr>
      <w:r>
        <w:t>b) Un segundo bloque de alegaciones se dirigen a rechazar la vulneración de los arts. 23.1 CE, 150.1 RCD y 129.1 RS, por razón del procedimiento adoptado para la tramitación legislativa.</w:t>
      </w:r>
    </w:p>
    <w:p w:rsidR="00A90898" w:rsidRDefault="00A90898" w:rsidP="00A90898">
      <w:pPr>
        <w:pStyle w:val="TextoNormal"/>
      </w:pPr>
    </w:p>
    <w:p w:rsidR="00A90898" w:rsidRDefault="00A90898" w:rsidP="00A90898">
      <w:pPr>
        <w:pStyle w:val="TextoNormal"/>
      </w:pPr>
      <w:r>
        <w:t>Por un lado, se señala que el Reglamento del Congreso en modo alguno prohíbe o veda la utilización del procedimiento de lectura única o el de urgencia para tramitar una determinada clase de proposiciones o proyectos de ley, ni previene en relación con determinados o concretos ámbitos materiales de regulación. Ni siquiera la reforma constitucional está vedada al procedimiento de lectura única (STC 238/2012, de 13 de diciembre, FJ 4). Además, el concepto de “simplicidad de la formulación” del texto a tramitar en lectura única es un concepto jurídico indeterminado ajeno al consenso político que pudiera suscitar el proyecto de ley, a su repercusión pública o a la complejidad material intrínseca que suponga la función administrativa de aplicación (STC 129/2013, de 4 de junio, FJ 10). En todo caso, el de la reforma aprobada por Ley Orgánica 15/2015 es un texto breve, claro y conciso.</w:t>
      </w:r>
    </w:p>
    <w:p w:rsidR="00A90898" w:rsidRDefault="00A90898" w:rsidP="00A90898">
      <w:pPr>
        <w:pStyle w:val="TextoNormal"/>
      </w:pPr>
    </w:p>
    <w:p w:rsidR="00A90898" w:rsidRDefault="00A90898" w:rsidP="00A90898">
      <w:pPr>
        <w:pStyle w:val="TextoNormal"/>
      </w:pPr>
      <w:r>
        <w:t xml:space="preserve">Por otro lado, se expone en detalle la tramitación seguida y se concluye que, en la medida en que se observó el procedimiento legalmente previsto, los grupos políticos en el Congreso y en el Senado han tenido la oportunidad de intervenir en la fase plenaria durante el trámite de toma en consideración y de oponerse mediante el oportuno voto a la misma, luego también en la tramitación de la proposición y, ulteriormente, en la propia aprobación de la iniciativa legislativa de reforma de la Ley Orgánica. Si se ha observado el procedimiento, no </w:t>
      </w:r>
      <w:r>
        <w:lastRenderedPageBreak/>
        <w:t xml:space="preserve">puede aducirse que haya habido un “abuso de la mayoría parlamentaria”, sino el propio funcionamiento de la democracia parlamentaria. Y si no acontece infracción de la legalidad del procedimiento, no cabe hablar de vulneración del </w:t>
      </w:r>
      <w:r w:rsidRPr="00A90898">
        <w:rPr>
          <w:i/>
        </w:rPr>
        <w:t>ius in officium</w:t>
      </w:r>
      <w:r>
        <w:t xml:space="preserve"> de los parlamentarios por el hecho de que por mayoría se adopte la decisión correspondiente.</w:t>
      </w:r>
    </w:p>
    <w:p w:rsidR="00A90898" w:rsidRDefault="00A90898" w:rsidP="00A90898">
      <w:pPr>
        <w:pStyle w:val="TextoNormal"/>
      </w:pPr>
    </w:p>
    <w:p w:rsidR="00A90898" w:rsidRDefault="00A90898" w:rsidP="00A90898">
      <w:pPr>
        <w:pStyle w:val="TextoNormal"/>
      </w:pPr>
      <w:r>
        <w:t>c) Un tercer bloque de alegaciones se dirigen a descartar inconstitucionalidad alguna en los arts. 92.4, letras b) y c) y 92.5 LOTC.</w:t>
      </w:r>
    </w:p>
    <w:p w:rsidR="00A90898" w:rsidRDefault="00A90898" w:rsidP="00A90898">
      <w:pPr>
        <w:pStyle w:val="TextoNormal"/>
      </w:pPr>
    </w:p>
    <w:p w:rsidR="00A90898" w:rsidRDefault="00A90898" w:rsidP="00A90898">
      <w:pPr>
        <w:pStyle w:val="TextoNormal"/>
      </w:pPr>
      <w:r>
        <w:t>En relación con el art. 92.4 b) LOTC se examinan dos tachas de inconstitucionalidad. La primera es la pretendida vulneración del principio de legalidad sancionadora (art. 25 CE). Se rechaza que la medida de suspensión de funciones prevista en el art. 92.4 b) LOTC tenga carácter sancionador, invocando la doctrina sentada en, entre otras, la STC 48/2003, de 12 de marzo, en relación con la medida de disolución de partidos políticos ilegales. La medida de suspensión no está diseñada para sancionar un comportamiento, con carácter represivo, sino para evitar la persistencia en el incumplimiento de una resolución. La prueba es que se impone “durante el tiempo preciso para asegurar la observancia de los pronunciamientos del Tribunal” y está condicionada a este hecho, que depende de la voluntad del responsable. Se trata de una suspensión evitable, puesto que el Tribunal no puede imponerla sino tras la constatación, con la tramitación del incidente en el que se da audiencia a las personas afectadas, de la voluntad incumplidora de su destinatario. Solo puede imponerse a la autoridad o empleado público responsable del incumplimiento. Y es una medida con una finalidad muy determinada, que se levanta tan pronto como cese la voluntad incumplidora de la persona responsable. Por tanto, la ausencia de carácter sancionador excluye la aplicación del principio de legalidad recogido en el art. 25 CE. Lo cual, no obstante, no significa que la suspensión no esté dotada de garantías. El escrito desarrolla a este respecto el respeto de los principios de proporcionalidad y de no arbitrariedad, aunque se trata de un argumento no desarrollado en la demanda.</w:t>
      </w:r>
    </w:p>
    <w:p w:rsidR="00A90898" w:rsidRDefault="00A90898" w:rsidP="00A90898">
      <w:pPr>
        <w:pStyle w:val="TextoNormal"/>
      </w:pPr>
    </w:p>
    <w:p w:rsidR="00A90898" w:rsidRDefault="00A90898" w:rsidP="00A90898">
      <w:pPr>
        <w:pStyle w:val="TextoNormal"/>
      </w:pPr>
      <w:r>
        <w:t>Además, rechaza el argumento de que la suspensión de funciones excede de las funciones atribuidas al Tribunal Constitucional. No es irrazonable considerar la hipótesis en que la anulación por el Tribunal Constitucional de una resolución que contraríe lo ordenado por el Tribunal no sea suficiente para su eficacia si la autoridad o el empleado público que debe privar de efectos a la resolución anulada no lo hace y mantiene su eficacia y hace caso omiso a la declaración de nulidad; o el supuesto en que se impone a una autoridad o empleado público una actuación positiva para remediar el orden jurídico alterado y no lo hace.</w:t>
      </w:r>
    </w:p>
    <w:p w:rsidR="00A90898" w:rsidRDefault="00A90898" w:rsidP="00A90898">
      <w:pPr>
        <w:pStyle w:val="TextoNormal"/>
      </w:pPr>
    </w:p>
    <w:p w:rsidR="00A90898" w:rsidRDefault="00A90898" w:rsidP="00A90898">
      <w:pPr>
        <w:pStyle w:val="TextoNormal"/>
      </w:pPr>
      <w:r>
        <w:t>La segunda tacha de inconstitucionalidad examinada en relación con el art. 92.4 b) LOTC es la pretendida vulneración de la normativa sobre aforamientos. El Abogado del Estado no ve la relación que existe entre el aforamiento y las medidas previstas en el art. 92.4 b). La medida de suspensión no tiene carácter penal, por lo que no supone el enjuiciamiento penal (ni de otro tipo) de las personas destinatarias de la medida, respecto a las cuales solo se prevé la suspensión en sus cargos y empleos hasta tanto se allanan al cumplimiento de la resolución del Tribunal. No concurre, pues, el presupuesto de hecho para la aplicación del régimen de aforamiento.</w:t>
      </w:r>
    </w:p>
    <w:p w:rsidR="00A90898" w:rsidRDefault="00A90898" w:rsidP="00A90898">
      <w:pPr>
        <w:pStyle w:val="TextoNormal"/>
      </w:pPr>
    </w:p>
    <w:p w:rsidR="00A90898" w:rsidRDefault="00A90898" w:rsidP="00A90898">
      <w:pPr>
        <w:pStyle w:val="TextoNormal"/>
      </w:pPr>
      <w:r>
        <w:t xml:space="preserve">En cuanto al art. 92.4 c) LOTC, se remite a los argumentos generales antes realizados y a otros posteriores desde la perspectiva del art. 155 CE. En todo caso, se subraya que las normas relativas a la ejecución se contienen en el título de la Ley Orgánica del Tribunal </w:t>
      </w:r>
      <w:r>
        <w:lastRenderedPageBreak/>
        <w:t>Constitucional dedicado a las normas comunes sobre procedimiento, por lo que su aplicación a cada uno de los procesos constitucionales dependerá de la naturaleza y efectos de cada proceso, así como del sujeto obligado al cumplimiento (STC 309/1987). En segundo lugar, se afirma que en los procesos ante el Tribunal Constitucional la posición del Gobierno es distinta, con mayores atribuciones dada su carácter de órgano constitucional, lo que no implica, dada la naturaleza de los procesos y el fin último de garantía del sistema constitucional, que la diferenciación consagrada tanto en la Constitución (arts. 161 y 162 CE) como en la Ley Orgánica del Tribunal Constitucional en desarrollo de la habilitación del art. 164 CE implique una vulneración del principio de igualdad, pues la posición constitucional del Gobierno en orden a la salvaguarda del sistema constitucional es prevalente (arts. 116, 155, 153 CE, etc.). Por ello, dada la naturaleza de la ejecución sustitutoria, el legislador orgánico ha querido limitar su aplicación al Gobierno de la Nación. En tercer lugar, respecto a la inexistencia de título competencial para el ejercicio de competencias autonómicas por sustitución, se señala que el título legitimador no es un título competencial sino la garantía de las resoluciones del Tribunal Constitucional, y que no es el Gobierno quien decide discrecionalmente sustituir al obligado, sino el Tribunal Constitucional quien pide a aquel su colaboración (art. 87.1 LOTC) para dar efectividad a sus resoluciones [art. 92.4 c) LOTC].</w:t>
      </w:r>
    </w:p>
    <w:p w:rsidR="00A90898" w:rsidRDefault="00A90898" w:rsidP="00A90898">
      <w:pPr>
        <w:pStyle w:val="TextoNormal"/>
      </w:pPr>
    </w:p>
    <w:p w:rsidR="00A90898" w:rsidRDefault="00A90898" w:rsidP="00A90898">
      <w:pPr>
        <w:pStyle w:val="TextoNormal"/>
      </w:pPr>
      <w:r>
        <w:t>Por lo que respecta al art. 92.5 LOTC, además de reiterar las alegaciones relativas a la infracción del principio de legalidad y de las normas sobre aforamientos realizadas a propósito del art. 92.4 b) LOTC, se subraya el carácter de norma procesal de la reforma introducida por la Ley Orgánica 15/2015. Se trata de una categoría de decisión cautelar (las llamadas “cautelarísimas”), adaptada por el legislador al proceso constitucional, que en modo alguno pugna con la esencia de un Derecho procesal ajustado a los principios que informan la Constitución. Esta clase de medidas o similares están reconocidas en las normas reguladoras de los procesos en el orden contencioso-administrativo, jurisdicción que tiene por objetivo enjuiciar actuaciones del poder público (art. 135 LJCA).</w:t>
      </w:r>
    </w:p>
    <w:p w:rsidR="00A90898" w:rsidRDefault="00A90898" w:rsidP="00A90898">
      <w:pPr>
        <w:pStyle w:val="TextoNormal"/>
      </w:pPr>
    </w:p>
    <w:p w:rsidR="00A90898" w:rsidRDefault="00A90898" w:rsidP="00A90898">
      <w:pPr>
        <w:pStyle w:val="TextoNormal"/>
      </w:pPr>
      <w:r>
        <w:t>La concurrencia de “circunstancias de especial trascendencia constitucional” es un elemento a valorar en cada caso por el Tribunal; también las concretas medidas que habrá de decidir “de oficio o a instancia del Gobierno”. El Gobierno actúa en el incidente solo como parte procesal.</w:t>
      </w:r>
    </w:p>
    <w:p w:rsidR="00A90898" w:rsidRDefault="00A90898" w:rsidP="00A90898">
      <w:pPr>
        <w:pStyle w:val="TextoNormal"/>
      </w:pPr>
    </w:p>
    <w:p w:rsidR="00A90898" w:rsidRDefault="00A90898" w:rsidP="00A90898">
      <w:pPr>
        <w:pStyle w:val="TextoNormal"/>
      </w:pPr>
      <w:r>
        <w:t xml:space="preserve">Las “circunstancias de especial trascendencia constitucional” hacen referencia implícita también al alcance o dimensión que para la integridad del régimen constitucional y para la aplicación de la Constitución pueda suponer el que una Comunidad Autónoma, cuyas normas o disposiciones hayan sido suspendidas cautelarmente en su vigencia, todavía desacate o infrinja esa obligatoriedad de respeto al efecto suspensivo del auto o providencia judicial que lo hubiere decretado. La finalidad que anima al art. 92.5 CE consiste simplemente en que la Constitución se cumpla. La naturaleza procesal se refleja en el trámite preceptivo subsiguiente a la adopción de las medidas cautelares </w:t>
      </w:r>
      <w:r w:rsidRPr="00A90898">
        <w:rPr>
          <w:i/>
        </w:rPr>
        <w:t>inaudita parte</w:t>
      </w:r>
      <w:r>
        <w:t>, consistente en el otorgamiento de un trámite de audiencia a las partes y al Ministerio Fiscal, para confirmar, revocar o modificar las medidas adoptadas. Se trata, por lo tanto, de una actuación judicial, en fase de ejecución, no de una prerrogativa extraordinaria o excepcional atribuida al Gobierno.</w:t>
      </w:r>
    </w:p>
    <w:p w:rsidR="00A90898" w:rsidRDefault="00A90898" w:rsidP="00A90898">
      <w:pPr>
        <w:pStyle w:val="TextoNormal"/>
      </w:pPr>
    </w:p>
    <w:p w:rsidR="00A90898" w:rsidRDefault="00A90898" w:rsidP="00A90898">
      <w:pPr>
        <w:pStyle w:val="TextoNormal"/>
      </w:pPr>
      <w:r>
        <w:lastRenderedPageBreak/>
        <w:t>El mismo Tribunal Constitucional ha elaborado una doctrina en relación con las circunstancias de especial trascendencia constitucional (ATC 156/2013, de 11 de julio, que mantuvo la suspensión inicial de la Resolución 5/X, de 23 de enero de 2013, del Parlamento de Cataluña). Esta doctrina expeditiva y favorable a calificar las situaciones que afectan a la unidad de España como circunstancias de gran relevancia constitucional tuvo su continuidad en los AATC 182/2015 y 186/2015, ambos de 3 de noviembre. Por lo tanto, el nuevo art. 92.5 LOTC no supone una vulneración de la Constitución creando una prerrogativa a favor del Gobierno, ni se amplía el art. 161.2 CE ampliando la prerrogativa de solicitud de la suspensión cautelar de la norma autonómica impugnada, ni hay alteración de la separación de poderes. En definitiva, el principio de la obligatoriedad del cumplimiento de las sentencias y resoluciones judiciales en general, garantizado por el art. 118 CE es la sola aspiración que se encuentra en la base de la reforma legislativa introducida por la Ley Orgánica 15/2015, de 16 de octubre, también en lo que concierne al artículo 92.5.</w:t>
      </w:r>
    </w:p>
    <w:p w:rsidR="00A90898" w:rsidRDefault="00A90898" w:rsidP="00A90898">
      <w:pPr>
        <w:pStyle w:val="TextoNormal"/>
      </w:pPr>
    </w:p>
    <w:p w:rsidR="00A90898" w:rsidRDefault="00A90898" w:rsidP="00A90898">
      <w:pPr>
        <w:pStyle w:val="TextoNormal"/>
      </w:pPr>
      <w:r>
        <w:t>d) El último bloque de alegaciones rechaza la vulneración de los arts. 155 y 143 CE. El Abogado del Estado señala que el recurrente parte de una confusión en cuanto al título legitimador de las medidas de ejecución de sentencias introducidas por la Ley Orgánica 15/2015 y de las medidas previstas en el art. 155 CE: aunque las medidas puedan ser coincidentes, el título que legitima unas y otras es muy diferente. Las medidas para asegurar la ejecución de sentencias del Tribunal Constitucional previstas en los arts. 92.4 b) y c) y 92.5 LOTC —únicos recurridos— son medidas cuyo título legitimador es el cumplimiento de las sentencias dictadas por nuestro más alto Tribunal para garantizar el cumplimiento de la Constitución y como garantía del Estado de Derecho. Para que se apliquen esas medidas existe un requisito previo, el incumplimiento de una resolución emanada del Tribunal Constitucional, y es este órgano jurisdiccional el que está legitimado para actuar porque la propia Constitución y la Ley Orgánica que regula su funcionamiento así lo establecen. En cambio, en las medidas previstas en el art. 155 CE no hay necesariamente un incumplimiento de una sentencia del Tribunal Constitucional, sino un incumplimiento por una Comunidad Autónoma de las obligaciones que la Constitución u otras leyes le impongan, o una actuación que atente gravemente al interés general de España. Ante dichos incumplimientos es el Gobierno de la Nación el que está legitimado para adoptar las medidas necesarias para obligar a aquella al cumplimiento forzoso de dichas obligaciones o para la protección del mencionado interés general.</w:t>
      </w:r>
    </w:p>
    <w:p w:rsidR="00A90898" w:rsidRDefault="00A90898" w:rsidP="00A90898">
      <w:pPr>
        <w:pStyle w:val="TextoNormal"/>
      </w:pPr>
    </w:p>
    <w:p w:rsidR="00A90898" w:rsidRDefault="00A90898" w:rsidP="00A90898">
      <w:pPr>
        <w:pStyle w:val="TextoNormal"/>
      </w:pPr>
      <w:r>
        <w:t>En suma, las medidas introducidas por la Ley Orgánica 15/2015 no son controles que el Estado realiza sobre las Comunidades Autónomas con vulneración del principio de autonomía (art. 143 CE), sino medidas que el Tribunal Constitucional adopta ante un incumplimiento de las sentencias que dicta, con el objetivo de cumplir el mandato constitucional de sujeción de todos los poderes públicos a la Constitución y a las leyes (art. 9.1 CE). No existe subordinación jerárquica entre el Estado y las Comunidades Autónomas por la adopción de dichas medidas, pues el Tribunal Constitucional también puede adoptarlas en relación con el Estado.</w:t>
      </w:r>
    </w:p>
    <w:p w:rsidR="00A90898" w:rsidRDefault="00A90898" w:rsidP="00A90898">
      <w:pPr>
        <w:pStyle w:val="TextoNormal"/>
      </w:pPr>
    </w:p>
    <w:p w:rsidR="00A90898" w:rsidRDefault="00A90898" w:rsidP="00A90898">
      <w:pPr>
        <w:pStyle w:val="TextoNormal"/>
      </w:pPr>
      <w:r>
        <w:t xml:space="preserve">Es cierto que, en los casos de ejecución sustitutoria de las resoluciones recaídas en los procesos constitucionales, el Tribunal solo podrá requerir la colaboración del Gobierno de la Nación [art. 92.4 c) LOTC], y que, en el caso de las medidas previstas en el art. 92.5 LOTC, solo pueden adoptarse de oficio o a instancia del Gobierno de la Nación. En estos casos el Gobierno tiene una posición procesal distinta a la de las Comunidades Autónomas, </w:t>
      </w:r>
      <w:r>
        <w:lastRenderedPageBreak/>
        <w:t>pero dicha circunstancia no supone ningún control del Gobierno de la Nación sobre las Comunidades Autónomas, ni ninguna subordinación jerárquica, ya que la colaboración con la ejecución sustitutoria se hará “en los términos fijados por el Tribunal” y la situación previa a las medidas previstas en el artículo 92.5 debe ser valorada por el Tribunal, no por el Gobierno, que solo actúa en el incidente promoviéndolo, solo como parte procesal. La posición procesal del Gobierno es, de todas formas, distinta a la de las Comunidades Autónomas, ya que goza de mayores atribuciones al ser órgano constitucional: la posición del Estado es prevalente a la de las Comunidades Autónomas a la hora de salvaguardar el sistema constitucional, tal como se desprende de los artículos 116, 155, 153, etc.</w:t>
      </w:r>
    </w:p>
    <w:p w:rsidR="00A90898" w:rsidRDefault="00A90898" w:rsidP="00A90898">
      <w:pPr>
        <w:pStyle w:val="TextoNormal"/>
      </w:pPr>
    </w:p>
    <w:p w:rsidR="00A90898" w:rsidRDefault="00A90898" w:rsidP="00A90898">
      <w:pPr>
        <w:pStyle w:val="TextoNormal"/>
      </w:pPr>
      <w:r>
        <w:t>A continuación el Abogado del Estado examina las sentencias invocadas por el Gobierno Vasco (SSTC 4/1981, 6/1982 y 76/1983) para argumentar que las medidas de ejecución introducidas por la Ley Orgánica 15/2015 suponen una injerencia en la autonomía política de las Comunidades Autónomas, y obtiene una conclusión contraria atendiendo al criterio del título legitimador de las medidas. A diferencia del precepto enjuiciado en la STC 76/1983 (art. 7.2 del proyecto de la Ley Orgánica de armonización del proceso autonómico), ninguno de los preceptos aquí impugnados se remite al art. 155 CE. Por otra parte, alega la STC 215/2014, de 18 de diciembre, en la que, ante la cuestión de si es constitucionalmente legítimo que el Gobierno pueda proponer a la Administración incumplidora la adopción de una serie de medidas, el Tribunal Constitucional concluyó con una respuesta “necesariamente positiva”, ya que el cumplimiento de los objetivos de déficit y endeudamiento “representa una cuestión de interés general de extraordinaria importancia, respecto de cuya consecución el Estado es garante último”. Y con respecto al recurso al art. 155 CE previsto en la norma entonces enjuiciada, el Tribunal afirmó que “supone una injerencia clara” en la autonomía financiera de las Comunidades Autónomas, pero se trata de una intervención “autorizada por el propio texto constitucional, como reacción última a un incumplimiento flagrante de las obligaciones constitucionalmente impuestas”. Así pues, el Tribunal Constitucional ya ha respaldado la utilización de medidas coercitivas adoptadas por el Gobierno para conseguir el cumplimiento por las Comunidades Autónomas en materia de estabilidad presupuestaria (art. 135 CE) y la utilización de los mecanismos del art. 155 CE con dicho objetivo.</w:t>
      </w:r>
    </w:p>
    <w:p w:rsidR="00A90898" w:rsidRDefault="00A90898" w:rsidP="00A90898">
      <w:pPr>
        <w:pStyle w:val="TextoNormal"/>
      </w:pPr>
    </w:p>
    <w:p w:rsidR="00A90898" w:rsidRDefault="00A90898" w:rsidP="00A90898">
      <w:pPr>
        <w:pStyle w:val="TextoNormal"/>
      </w:pPr>
      <w:r w:rsidRPr="00A90898">
        <w:rPr>
          <w:rStyle w:val="NumeroAFNegritaCaracter"/>
        </w:rPr>
        <w:t>9</w:t>
      </w:r>
      <w:r>
        <w:t>. El Presidente del Tribunal Constitucional, en ejercicio de las competencias del art. 15 de la Ley Orgánica 6/2007, de 24 de mayo, del Tribunal Constitucional acordó, con fecha 27 de octubre de 2016, designar al Excmo. Sr. González-Trevijano Sánchez, Magistrado Ponente del recurso de inconstitucionalidad 229-2016, en sustitución de la Excma. Sra. Asua Batarrita, quien con esa fecha declinó la ponencia.</w:t>
      </w:r>
    </w:p>
    <w:p w:rsidR="00A90898" w:rsidRDefault="00A90898" w:rsidP="00A90898">
      <w:pPr>
        <w:pStyle w:val="TextoNormal"/>
      </w:pPr>
    </w:p>
    <w:p w:rsidR="00A90898" w:rsidRDefault="00A90898" w:rsidP="00A90898">
      <w:pPr>
        <w:pStyle w:val="TextoNormal"/>
      </w:pPr>
      <w:r w:rsidRPr="00A90898">
        <w:rPr>
          <w:rStyle w:val="NumeroAFNegritaCaracter"/>
        </w:rPr>
        <w:t>10</w:t>
      </w:r>
      <w:r>
        <w:t>. Mediante providencia de 2 de noviembre de 2016 se acordó señalar para la deliberación y votación de la presente Sentencia el día 3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Gobierno Vasco impugna, mediante este recurso, la Ley Orgánica 15/2015, de 16 de octubre, de reforma de la Ley Orgánica 2/1979, de 3 de octubre, del Tribunal Constitucional (LOTC), para la ejecución de las resoluciones del Tribunal Constitucional como garantía del Estado de Derecho, por considerar que incurre en vicios de inconstitucionalidad </w:t>
      </w:r>
      <w:r>
        <w:lastRenderedPageBreak/>
        <w:t xml:space="preserve">de orden procedimental y sustantivo. La inconstitucionalidad procedimental traería causa de la inadecuación del procedimiento legislativo seguido en la elaboración de la Ley recurrida, al no concurrir los requisitos establecidos en los arts. 150 del Reglamento del Congreso de los Diputados (RCD) y 129 del Reglamento del Senado (RS) por haberla tramitado por el procedimiento en lectura única, condicionando gravemente la formación de la voluntad de ambas Cámaras, con la consiguiente vulneración del derecho de sus miembros al </w:t>
      </w:r>
      <w:r w:rsidRPr="00A90898">
        <w:rPr>
          <w:i/>
        </w:rPr>
        <w:t>ius in officium</w:t>
      </w:r>
      <w:r>
        <w:t xml:space="preserve"> que les reconoce el art. 23.2 CE. Los motivos de inconstitucionalidad de orden sustantivo se imputan al artículo único, apartado tres, en la nueva redacción que da al art. 92.4 b) y c) y 92.5 LOTC, cuyas previsiones, a juicio del recurrente, infringen los arts. 117.3, 161, 164 y 165 CE, en cuanto desnaturalizan el modelo de jurisdicción constitucional diseñado por la Constitución; vulneran el principio de legalidad penal (art. 25.1 CE), al no satisfacer las exigencias que la garantía material de este principio impone, así como el régimen constitucional y estatutario de los aforamientos (arts. 24, 71 y 72 CE y 26.2 y 32 del Estatuto de Autonomía para el País Vasco —EAPV—); y, finalmente, contravienen los arts. 143 y 155 CE, al establecer mecanismos de control por parte del Estado a las Comunidades Autónomas, que atentan al principio de autonomía.</w:t>
      </w:r>
    </w:p>
    <w:p w:rsidR="00A90898" w:rsidRDefault="00A90898" w:rsidP="00A90898">
      <w:pPr>
        <w:pStyle w:val="TextoNormal"/>
      </w:pPr>
    </w:p>
    <w:p w:rsidR="00A90898" w:rsidRDefault="00A90898" w:rsidP="00A90898">
      <w:pPr>
        <w:pStyle w:val="TextoNormal"/>
      </w:pPr>
      <w:r>
        <w:t>La Letrada de las Cortes Generales, por las razones de las que sucintamente se ha dejado constancia en los antecedentes de esta resolución, interesa la desestimación del recurso en el extremo referido a la inconstitucionalidad procedimental denunciada, motivo al que circunscribe sus alegaciones. Entiende que la tramitación parlamentaria de la Ley impugnada se ha ajustado a las previsiones reglamentarias del procedimiento en lectura única, sin que los diputados hayan visto mermadas o restringidas sus facultades de participación en el procedimiento legislativo, debiendo descartarse, por consiguiente, la vulneración del art. 23.2 CE.</w:t>
      </w:r>
    </w:p>
    <w:p w:rsidR="00A90898" w:rsidRDefault="00A90898" w:rsidP="00A90898">
      <w:pPr>
        <w:pStyle w:val="TextoNormal"/>
      </w:pPr>
    </w:p>
    <w:p w:rsidR="00A90898" w:rsidRDefault="00A90898" w:rsidP="00A90898">
      <w:pPr>
        <w:pStyle w:val="TextoNormal"/>
      </w:pPr>
      <w:r>
        <w:t>Por su parte, el Abogado del Estado, en los términos que también se han resumido en los antecedentes de esta Sentencia, comparte la opinión de la Letrada de las Cortes Generales en cuanto al vicio de inconstitucionalidad procedimental alegado en la demanda, interesando la desestimación del recurso respecto a los motivos de inconstitucionalidad de orden sustantivo que se imputan a la nueva redacción que el art. único, apartado tres, de la Ley Orgánica 15/2015 da al art. 92.4 b) y c) y 92.5 LOTC, al no infringir, a su juicio, ninguno de los preceptos constitucionales y estatutarios invocados por el recurrente.</w:t>
      </w:r>
    </w:p>
    <w:p w:rsidR="00A90898" w:rsidRDefault="00A90898" w:rsidP="00A90898">
      <w:pPr>
        <w:pStyle w:val="TextoNormal"/>
      </w:pPr>
    </w:p>
    <w:p w:rsidR="00A90898" w:rsidRDefault="00A90898" w:rsidP="00A90898">
      <w:pPr>
        <w:pStyle w:val="TextoNormal"/>
      </w:pPr>
      <w:r w:rsidRPr="00A90898">
        <w:rPr>
          <w:rStyle w:val="NumeroAFNegritaCaracter"/>
        </w:rPr>
        <w:t>2</w:t>
      </w:r>
      <w:r>
        <w:t>. La Ley Orgánica 15/2015 define en su preámbulo como uno de los principales componentes de cualquier función jurisdiccional “la existencia de instrumentos suficientes para garantizar la efectividad de las resoluciones dictadas en el ejercicio de dicha función”, lo que constituye además “un elemento esencial para la existencia de un Estado de Derecho”. La finalidad que persigue la reforma es la de introducir “en sede constitucional, instrumentos de ejecución que dot[e]n al Tribunal”, que tiene encomendada la función de supremo intérprete y garante de la Constitución mediante el ejercicio de su función jurisdiccional, “de un haz de potestades para garantizar el cumplimiento efectivo de sus resoluciones”. El legislador deja constancia en el preámbulo de la ley de la conveniencia de completar los principios generales en materia de ejecución contenidos hasta ahora en la Ley Orgánica del Tribunal Constitucional y de desarrollar “los instrumentos necesarios” para que la garantía de la efectividad de aquellas resoluciones sea real, por “la necesidad de adaptarse a las nuevas situaciones que pretenden evitar o soslayar tal efectividad”.</w:t>
      </w:r>
    </w:p>
    <w:p w:rsidR="00A90898" w:rsidRDefault="00A90898" w:rsidP="00A90898">
      <w:pPr>
        <w:pStyle w:val="TextoNormal"/>
      </w:pPr>
    </w:p>
    <w:p w:rsidR="00A90898" w:rsidRDefault="00A90898" w:rsidP="00A90898">
      <w:pPr>
        <w:pStyle w:val="TextoNormal"/>
      </w:pPr>
      <w:r>
        <w:lastRenderedPageBreak/>
        <w:t>Entre las novedades que introduce la Ley Orgánica 15/2015 cabe destacar la aplicación supletoria de la Ley de la jurisdicción contencioso-administrativa en materia de ejecución de resoluciones constitucionales (art. 80 LOTC); la posibilidad de que el Tribunal pueda acordar su notificación personal a cualquier autoridad o empleado público que considere necesario (art. 87.1 LOTC); la atribución a las mismas del carácter de título ejecutivo (art. 87.2 LOTC); el mandato de que el Tribunal ha de velar por su cumplimiento efectivo, pudiendo disponer en ellas de las medidas de ejecución necesarias (art. 92.1 LOTC), así como recabar el auxilio de cualquiera de las administraciones y poderes públicos para garantizar su efectividad (art. 92.2 LOTC).</w:t>
      </w:r>
    </w:p>
    <w:p w:rsidR="00A90898" w:rsidRDefault="00A90898" w:rsidP="00A90898">
      <w:pPr>
        <w:pStyle w:val="TextoNormal"/>
      </w:pPr>
    </w:p>
    <w:p w:rsidR="00A90898" w:rsidRDefault="00A90898" w:rsidP="00A90898">
      <w:pPr>
        <w:pStyle w:val="TextoNormal"/>
      </w:pPr>
      <w:r>
        <w:t>A los efectos que a este proceso constitucional interesan, la Ley recurrida en la nueva redacción que da al art. 92.4 LOTC, cuyos apartados b) y c) han sido impugnados, establece un régimen específico para los supuestos de incumplimiento de las resoluciones del Tribunal Constitucional. En estos casos prevé que, de “advertirse que una resolución dictada en el ejercicio de su jurisdicción pudiera estar siendo incumplida, el Tribunal, de oficio o a instancia de alguna de las partes del proceso en que hubiera recaído, requerirá a las instituciones, autoridades, empleados públicos o particulares a quienes corresponda llevar a cabo su cumplimiento para que en el plazo que se le fije informen al respecto”. Una vez recibido el informe o transcurrido el plazo conferido, “si el Tribunal apreciase el incumplimiento total o parcial de su resolución, podrá adoptar cualesquiera de las medidas siguientes: a) Imponer multa coercitiva de tres mil a treinta mil euros a las autoridades, empleados públicos o particulares que incumplieren las resoluciones del Tribunal, pudiendo reiterar la multa hasta el cumplimiento íntegro de lo mandado; b) Acordar la suspensión en sus funciones de las autoridades o empleados públicos de la Administración responsable del incumplimiento, durante el tiempo preciso para asegurar la observancia de los pronunciamientos del Tribunal; c) La ejecución sustitutoria de las resoluciones recaídas en los procesos constitucionales. En este caso, el Tribunal podrá requerir la colaboración del Gobierno de la Nación a fin de que, en los términos fijados por el Tribunal, adopte las medidas necesarias para asegurar el cumplimiento de sus resoluciones; d) Deducir el oportuno testimonio de particulares para exigir la responsabilidad penal que pudiera corresponder”.</w:t>
      </w:r>
    </w:p>
    <w:p w:rsidR="00A90898" w:rsidRDefault="00A90898" w:rsidP="00A90898">
      <w:pPr>
        <w:pStyle w:val="TextoNormal"/>
      </w:pPr>
    </w:p>
    <w:p w:rsidR="00A90898" w:rsidRDefault="00A90898" w:rsidP="00A90898">
      <w:pPr>
        <w:pStyle w:val="TextoNormal"/>
      </w:pPr>
      <w:r>
        <w:t>Y, en fin, el nuevo apartado 5 del art. 92 LOTC, también impugnado en este proceso, dispone que “[s]i se tratara de la ejecución de las resoluciones que acuerden la suspensión de las disposiciones, actos o actuaciones impugnadas y concurrieran circunstancias de especial trascendencia constitucional, el Tribunal, de oficio o a instancia del Gobierno, adoptará las medidas necesarias para asegurar su debido cumplimiento, sin oír a las partes. En la misma resolución dará audiencia a las partes y al Ministerio Fiscal por plazo común de tres días, tras el cual el Tribunal dictará resolución levantando, confirmando o modificando las medidas previamente adoptadas”.</w:t>
      </w:r>
    </w:p>
    <w:p w:rsidR="00A90898" w:rsidRDefault="00A90898" w:rsidP="00A90898">
      <w:pPr>
        <w:pStyle w:val="TextoNormal"/>
      </w:pPr>
    </w:p>
    <w:p w:rsidR="00A90898" w:rsidRDefault="00A90898" w:rsidP="00A90898">
      <w:pPr>
        <w:pStyle w:val="TextoNormal"/>
      </w:pPr>
      <w:r w:rsidRPr="00A90898">
        <w:rPr>
          <w:rStyle w:val="NumeroAFNegritaCaracter"/>
        </w:rPr>
        <w:t>3</w:t>
      </w:r>
      <w:r>
        <w:t>. Antes de proceder al enjuiciamiento de las cuestiones suscitadas en este recurso, es necesario destacar la singularidad que presenta al impugnarse preceptos que reforman la Ley Orgánica del Tribunal Constitucional, lo que nos sitúa, al igual que en los procesos en los que recayeron las SSTC 49/2008, de 9 de abril, y 118/2016, de 23 de junio, en el terreno de controlar la única ley a la que estamos íntegramente sometidos (art. 1.1 LOTC). En la citada STC 49/2008, cuya doctrina se reitera en la STC 118/2016, nos referimos a las peculiaridades que reviste el control de constitucionalidad de la Ley Orgánica del Tribunal Constitucional, que ahora, siquiera sucintamente, conviene traer a colación.</w:t>
      </w:r>
    </w:p>
    <w:p w:rsidR="00A90898" w:rsidRDefault="00A90898" w:rsidP="00A90898">
      <w:pPr>
        <w:pStyle w:val="TextoNormal"/>
      </w:pPr>
    </w:p>
    <w:p w:rsidR="00A90898" w:rsidRDefault="00A90898" w:rsidP="00A90898">
      <w:pPr>
        <w:pStyle w:val="TextoNormal"/>
      </w:pPr>
      <w:r>
        <w:t>a) Dijimos entonces que el legislador orgánico del Tribunal Constitucional “goza de una libertad de configuración que no sólo se deriva del principio democrático, sino que también está protegida a través de las diversas reservas de ley orgánica previstas en el texto constitucional respecto a esta institución [arts. 161.1.d), 162.2 y 165 CE]”, cuyo contenido, como señalamos en la STC 66/1985, de 23 de mayo, FJ 4, es disponible para el legislador. Lógicamente, esta libertad, por exigencias del principio de supremacía constitucional (art. 9.1 CE), “no es absoluta, sino que tiene límites materiales y formales que tienen su origen no sólo en dichas reservas y en los restantes preceptos que integran el título IX de la Constitución, sino en una interpretación sistemática de todo el texto constitucional”. En otras palabras, aquellos límites constitucionales que se imponen al legislador “no proceden únicamente de una interpretación literal del precepto aducido en cada caso, sino del modelo de Tribunal Constitucional que se deriva de una interpretación conjunta de nuestra Norma Suprema y de los principios constitucionales que se proyectan sobre el mismo”. En consecuencia, “dentro del respeto a las normas constitucionales y a la independencia y función del Tribunal, [el legislador] puede introducir en ella los cambios o modificaciones que entienda oportunos, sin que haya de limitarse a aquellos indispensables para evitar la inconstitucionalidad o asegurar el cumplimiento de los objetivos constitucionales” [FJ 3; en el mismo sentido, STC 118/2016, FJ 3 a)].</w:t>
      </w:r>
    </w:p>
    <w:p w:rsidR="00A90898" w:rsidRDefault="00A90898" w:rsidP="00A90898">
      <w:pPr>
        <w:pStyle w:val="TextoNormal"/>
      </w:pPr>
    </w:p>
    <w:p w:rsidR="00A90898" w:rsidRDefault="00A90898" w:rsidP="00A90898">
      <w:pPr>
        <w:pStyle w:val="TextoNormal"/>
      </w:pPr>
      <w:r>
        <w:t>b) Al legislador le corresponde respetar los límites materiales y formales del texto constitucional, y a este Tribunal controlar, en su función de intérprete supremo, el cumplimiento de estos límites. Lo contrario supondría, como declaramos en la citada STC 49/2008, “no sólo admitir una zona inmune al control de constitucionalidad, sino también hacer dejación de nuestra función en el ámbito tan decisivo para la propia supremacía de la Constitución como la jurisdicción de este Tribunal”. De modo que “[d]ejar en manos del legislador orgánico la concreción [del modelo constitucional de nuestra jurisdicción] y renunciar a controlarla no se correspondería, en efecto, con la pretensión del constituyente de crear un órgano de control de constitucionalidad con amplias competencias y de garantizar su eficacia”. La doble vinculación del Tribunal Constitucional al texto constitucional y a su Ley Orgánica no “puede interpretarse en el sentido de impedir el control de constitucionalidad de nuestra ley reguladora, puesto que ello supondría rechazar la vigencia del principio de supremacía constitucional en la fase creativa del Derecho, es decir, frente al legislador” (FJ 3).</w:t>
      </w:r>
    </w:p>
    <w:p w:rsidR="00A90898" w:rsidRDefault="00A90898" w:rsidP="00A90898">
      <w:pPr>
        <w:pStyle w:val="TextoNormal"/>
      </w:pPr>
    </w:p>
    <w:p w:rsidR="00A90898" w:rsidRDefault="00A90898" w:rsidP="00A90898">
      <w:pPr>
        <w:pStyle w:val="TextoNormal"/>
      </w:pPr>
      <w:r>
        <w:t xml:space="preserve">c) No obstante, el alcance del control de constitucionalidad sobre nuestra Ley Orgánica presenta ciertas especificidades. Así, al margen de los límites del concreto proceso utilizado, hemos de “extremar las consideraciones institucionales y funcionales que siempre acompañan al control del legislador democrático”, siendo evidente, en primer lugar, “que nuestro enjuiciamiento es exclusivamente de constitucionalidad y no político, de oportunidad o de calidad técnica”, debiendo limitarnos a contrastar “con carácter abstracto y, por lo tanto, al margen de su posible aplicación práctica los concretos preceptos impugnados y las normas y principios constitucionales que integran en cada caso el parámetro de control”. En segundo lugar, tratándose del legislador democrático, “no podemos perder de vista que la presunción de constitucionalidad ocupa un lugar destacado en el desarrollo de dicho control, correspondiendo al recurrente no sólo ponerlo en marcha mediante el ejercicio de su legitimación, sino concretar los motivos de la pretendida inconstitucionalidad y colaborar con la jurisdicción constitucional”. En tercer lugar, hemos de tener presente, como cuestión de principio, </w:t>
      </w:r>
      <w:r>
        <w:lastRenderedPageBreak/>
        <w:t>“que el legislador no debe limitarse a ejecutar la Constitución, sino que está constitucionalmente legitimado para tomar todas aquellas medidas que, en el marco caracterizado del pluralismo político, no vulneren los límites que se derivan de la Norma fundamental” (FJ 4; en el mismo sentido, STC 118/2016, FJ 1).</w:t>
      </w:r>
    </w:p>
    <w:p w:rsidR="00A90898" w:rsidRDefault="00A90898" w:rsidP="00A90898">
      <w:pPr>
        <w:pStyle w:val="TextoNormal"/>
      </w:pPr>
    </w:p>
    <w:p w:rsidR="00A90898" w:rsidRDefault="00A90898" w:rsidP="00A90898">
      <w:pPr>
        <w:pStyle w:val="TextoNormal"/>
      </w:pPr>
      <w:r>
        <w:t>Y, en fin, en cuanto al posible resultado de este control de constitucionalidad, hemos tenido ocasión de poner de manifiesto que en la medida que la vinculación de este Tribunal a su Ley Orgánica se proyecta sobre la propia legitimidad de este órgano, “el control de la Ley Orgánica del Tribunal debe limitarse a los supuestos en que existe un conflicto evidente e insalvable entre la misma y el texto constitucional”. Llevar a cabo “un control más intenso —hemos de reiterar ahora— no sólo supondría debilitar la presunción de constitucionalidad de cualquier norma aprobada por el legislador democrático, sino que situaría al Tribunal en una posición que no se corresponde con el papel que cumple la reserva contenida en el art. 165 CE para que sea el legislador quien, a través de la Ley Orgánica del Tribunal Constitucional, desarrolle directamente y con vocación de complitud el título IX CE, el desarrollo legal al que este Tribunal está íntegramente vinculado” (FJ 4).</w:t>
      </w:r>
    </w:p>
    <w:p w:rsidR="00A90898" w:rsidRDefault="00A90898" w:rsidP="00A90898">
      <w:pPr>
        <w:pStyle w:val="TextoNormal"/>
      </w:pPr>
    </w:p>
    <w:p w:rsidR="00A90898" w:rsidRDefault="00A90898" w:rsidP="00A90898">
      <w:pPr>
        <w:pStyle w:val="TextoNormal"/>
      </w:pPr>
      <w:r w:rsidRPr="00A90898">
        <w:rPr>
          <w:rStyle w:val="NumeroAFNegritaCaracter"/>
        </w:rPr>
        <w:t>4</w:t>
      </w:r>
      <w:r>
        <w:t>. Sentado cuanto antecede, nuestro enjuiciamiento ha de comenzar por el denunciado motivo de inconstitucionalidad procedimental, al imputarse y, en consecuencia, afectar a la totalidad de la Ley Orgánica 15/2015.</w:t>
      </w:r>
    </w:p>
    <w:p w:rsidR="00A90898" w:rsidRDefault="00A90898" w:rsidP="00A90898">
      <w:pPr>
        <w:pStyle w:val="TextoNormal"/>
      </w:pPr>
    </w:p>
    <w:p w:rsidR="00A90898" w:rsidRDefault="00A90898" w:rsidP="00A90898">
      <w:pPr>
        <w:pStyle w:val="TextoNormal"/>
      </w:pPr>
      <w:r>
        <w:t xml:space="preserve">Los Letrados del Gobierno Vasco, tras relatar la cronología de elaboración de la ley, desde su presentación como proposición de ley hasta su aprobación, consideran que al haberse tramitado por el procedimiento en lectura única se han infringido los Reglamentos del Congreso de los Diputados (art. 150 RCD) y del Senado (art. 129 RS), condicionado gravemente la formación de la voluntad de las Cámaras y vulnerado el derecho fundamental de los Diputados y Senadores al </w:t>
      </w:r>
      <w:r w:rsidRPr="00A90898">
        <w:rPr>
          <w:i/>
        </w:rPr>
        <w:t>ius in officium</w:t>
      </w:r>
      <w:r>
        <w:t xml:space="preserve"> que garantiza el art. 23 CE. De conformidad con los citados preceptos de ambos reglamentos parlamentarios, el procedimiento en lectura única puede utilizarse sólo para la tramitación de textos legislativos “[c]uando la naturaleza del proyecto o proposición de ley tomada en consideración lo aconsejen o su simplicidad de formulación lo permita”. Pues bien, en este caso no concurría, en su opinión, ninguno de los dos requisitos señalados, ya que la reforma que la Ley Orgánica 15/2015 lleva a cabo de la Ley Orgánica del Tribunal Constitucional presenta una indudable relevancia constitucional, en cuanto afecta a principios y valores constitucionales de primera magnitud y a aspectos esenciales relativos a un órgano constitucional que repercuten en las relaciones con otros órganos constitucionales. Es evidente, asimismo, que nada resulta más alejado de la simplicidad exigida por aquellos preceptos reglamentarios que las modificaciones introducidas en la Ley Orgánica del Tribunal Constitucional por la Ley recurrida, cuya complejidad técnica exige el análisis de la posición institucional del Tribunal Constitucional y de la naturaleza de la jurisdicción constitucional. Concluyen sus alegaciones poniendo de manifiesto la falta de consenso entre los grupos parlamentarios en la tramitación de la proposición de ley, que fue presentada, impulsada y aprobada con los votos de un único grupo, y con la oposición y el rechazo de todos los demás.</w:t>
      </w:r>
    </w:p>
    <w:p w:rsidR="00A90898" w:rsidRDefault="00A90898" w:rsidP="00A90898">
      <w:pPr>
        <w:pStyle w:val="TextoNormal"/>
      </w:pPr>
    </w:p>
    <w:p w:rsidR="00A90898" w:rsidRDefault="00A90898" w:rsidP="00A90898">
      <w:pPr>
        <w:pStyle w:val="TextoNormal"/>
      </w:pPr>
      <w:r>
        <w:t xml:space="preserve">La Letrada de las Cortes Generales estima, por el contrario, que la decisión de utilizar el procedimiento en lectura única ha sido válidamente adoptada por los órganos competentes y de conformidad con las previsiones del Reglamento de la Cámara. Los requisitos exigidos por el art. 150 RCD son requisitos alternativos y no acumulativos; basta, por lo tanto, con </w:t>
      </w:r>
      <w:r>
        <w:lastRenderedPageBreak/>
        <w:t>la concurrencia de uno de ellos. La apreciación de “la naturaleza” del proyecto o de la proposición de ley es un concepto abierto, que concede a los órganos de la Cámara un amplio margen de interpretación, pero que en ningún caso excluye el procedimiento en lectura única en razón de la relevancia especial del texto legislativo, como lo acredita el hecho de que se hayan tramitado por este procedimiento una iniciativa de reforma constitucional y el proyecto de ley orgánica por el que se hizo efectiva la abdicación de su Majestad el Rey Juan Carlos I de Borbón. Por su parte, el concepto de “simplicidad en su formulación” está referido al análisis de la estructura interna del texto, si éste es comprensible e inteligible y estructuralmente sencillo, no teniendo nada que ver con su trascendencia jurídica. En este caso, las reformas que se introducen en la Ley Orgánica del Tribunal Constitucional no son especialmente complejas, ni incurren en infracciones sintácticas, ni utilizan un lenguaje incomprensible, sino que, por el contrario, los artículos modificados precisan de una simple lectura para conocer su alcance. Y la ausencia de consenso no invalida una decisión que ha sido adoptada por quienes reglamentariamente están legitimados para ello y contaban con la mayoría suficiente. En definitiva, concluye la Letrada de las Cortes Generales, los diputados no han visto limitadas ni restringidas sus posibilidades de participación en el proceso de elaboración de la norma, cuyo desarrollo se atuvo a las previsiones reglamentarias, por lo que no puede entenderse vulnerado el art. 23.2 CE.</w:t>
      </w:r>
    </w:p>
    <w:p w:rsidR="00A90898" w:rsidRDefault="00A90898" w:rsidP="00A90898">
      <w:pPr>
        <w:pStyle w:val="TextoNormal"/>
      </w:pPr>
    </w:p>
    <w:p w:rsidR="00A90898" w:rsidRDefault="00A90898" w:rsidP="00A90898">
      <w:pPr>
        <w:pStyle w:val="TextoNormal"/>
      </w:pPr>
      <w:r>
        <w:t>El Abogado del Estado interesa también la desestimación de este motivo de inconstitucionalidad porque no aprecia en la tramitación y aprobación de la Ley recurrida infracción alguna de los reglamentos parlamentarios. No existe materia vedada a la tramitación por el procedimiento en lectura única, hasta el punto que ni siquiera lo está una iniciativa de reforma constitucional (ATC 9/2012, de 13 de enero). De otra parte, el requisito de la “simplicidad de la formulación” del texto legislativo del art. 150 RCD hace referencia a textos normativos que en su redacción no resulten técnicamente complejos, extensos o muy interrelaciones o imbricados en cuanto a su regulación material. En este caso, la brevedad, concisión y claridad del texto de la Ley recurrida justifican su tramitación por el procedimiento en lectura única, sin que se haya constatado en su desarrollo ninguna infracción ni la inobservancia de algún trámite, por lo que no cabe deducir la existencia de una lesión del derecho de participación política de los grupos parlamentarios que el art. 23 CE reconoce.</w:t>
      </w:r>
    </w:p>
    <w:p w:rsidR="00A90898" w:rsidRDefault="00A90898" w:rsidP="00A90898">
      <w:pPr>
        <w:pStyle w:val="TextoNormal"/>
      </w:pPr>
    </w:p>
    <w:p w:rsidR="00A90898" w:rsidRDefault="00A90898" w:rsidP="00A90898">
      <w:pPr>
        <w:pStyle w:val="TextoNormal"/>
      </w:pPr>
      <w:r w:rsidRPr="00A90898">
        <w:rPr>
          <w:rStyle w:val="NumeroAFNegritaCaracter"/>
        </w:rPr>
        <w:t>5</w:t>
      </w:r>
      <w:r>
        <w:t>. El examen de este motivo de inconstitucionalidad requiere sendas precisiones para determinar en sus exactos términos su verdadero alcance.</w:t>
      </w:r>
    </w:p>
    <w:p w:rsidR="00A90898" w:rsidRDefault="00A90898" w:rsidP="00A90898">
      <w:pPr>
        <w:pStyle w:val="TextoNormal"/>
      </w:pPr>
    </w:p>
    <w:p w:rsidR="00A90898" w:rsidRDefault="00A90898" w:rsidP="00A90898">
      <w:pPr>
        <w:pStyle w:val="TextoNormal"/>
      </w:pPr>
      <w:r>
        <w:t xml:space="preserve">a) Pese a que los Letrados de Gobierno Vasco hacen referencia en su alegaciones a la infracción tanto de los preceptos del Reglamento del Congreso de los Diputados como del Reglamento del Senado que regulan el procedimiento en lectura única, lo cierto es que la proposición de ley orgánica que ha dado lugar a la Ley Orgánica 15/2015 sólo se tramitó por este procedimiento en el Congreso de los Diputados, no en el Senado. Ello así, el motivo de inconstitucionalidad ha de quedar limitado a la posible vulneración del </w:t>
      </w:r>
      <w:r w:rsidRPr="00A90898">
        <w:rPr>
          <w:i/>
        </w:rPr>
        <w:t>ius in officium</w:t>
      </w:r>
      <w:r>
        <w:t xml:space="preserve"> de los diputados </w:t>
      </w:r>
      <w:r w:rsidRPr="00A90898">
        <w:rPr>
          <w:i/>
        </w:rPr>
        <w:t>ex</w:t>
      </w:r>
      <w:r>
        <w:t xml:space="preserve"> art. 23.2 CE por haberse tramitado la proposición de ley en la Cámara baja por dicho procedimiento, pues ningún reproche se efectúa en la demanda, ni se contiene en ella razonamiento alguno al respecto, en relación con su tramitación por el procedimiento de urgencia en ambas Cámaras.</w:t>
      </w:r>
    </w:p>
    <w:p w:rsidR="00A90898" w:rsidRDefault="00A90898" w:rsidP="00A90898">
      <w:pPr>
        <w:pStyle w:val="TextoNormal"/>
      </w:pPr>
    </w:p>
    <w:p w:rsidR="00A90898" w:rsidRDefault="00A90898" w:rsidP="00A90898">
      <w:pPr>
        <w:pStyle w:val="TextoNormal"/>
      </w:pPr>
      <w:r>
        <w:t xml:space="preserve">La segunda precisión viene determinada porque los Letrados del Gobierno Vasco no cuestionan que aquella tramitación por el procedimiento en lectura única en el Congreso de </w:t>
      </w:r>
      <w:r>
        <w:lastRenderedPageBreak/>
        <w:t>los Diputados fuese propuesta y decidida por los órganos competentes, como así ha sido, ni que en el transcurso del procedimiento se hubiese prescindido de alguno de sus trámites o se hubiera privado a los Diputados o a los grupos parlamentarios de las facultades reglamentariamente previstas, lo que no ha acontecido. El motivo de inconstitucionalidad se funda exclusivamente en que a su juicio no concurría, por las razones que se han dejado expuestas, ninguno de los requisitos exigidos por el art. 150 RCD para la tramitación de la proposición de ley por el procedimiento en lectura única; esto es, cuando “su naturaleza … lo aconsej[e] o la simplicidad de formulación lo permita”. A este concreto extremo se ciñe el motivo de inconstitucionalidad que por razones procedimentales se aduce en la demanda y estrictamente a él hemos de circunscribir nuestro enjuiciamiento.</w:t>
      </w:r>
    </w:p>
    <w:p w:rsidR="00A90898" w:rsidRDefault="00A90898" w:rsidP="00A90898">
      <w:pPr>
        <w:pStyle w:val="TextoNormal"/>
      </w:pPr>
    </w:p>
    <w:p w:rsidR="00A90898" w:rsidRDefault="00A90898" w:rsidP="00A90898">
      <w:pPr>
        <w:pStyle w:val="TextoNormal"/>
      </w:pPr>
      <w:r>
        <w:t>b) Según doctrina reiterada de este Tribunal, aunque el art. 28.1 LOTC no menciona 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tienen respecto de uno de los valores superiores de nuestro ordenamiento, el pluralismo político (art. 1.1 CE), la inobservancia de los preceptos que regulan el procedimiento legislativo podría viciar de inconstitucionalidad la ley, cuando esa inobservancia altere de modo sustancial el proceso de formación de voluntad en el seno de las Cámaras [STC 99/1987, de 11 de junio, FJ 1 a); doctrina que reitera, entre otras, STC 103/2008, de 11 de septiembre, FJ 5].</w:t>
      </w:r>
    </w:p>
    <w:p w:rsidR="00A90898" w:rsidRDefault="00A90898" w:rsidP="00A90898">
      <w:pPr>
        <w:pStyle w:val="TextoNormal"/>
      </w:pPr>
    </w:p>
    <w:p w:rsidR="00A90898" w:rsidRDefault="00A90898" w:rsidP="00A90898">
      <w:pPr>
        <w:pStyle w:val="TextoNormal"/>
      </w:pPr>
      <w:r>
        <w:t xml:space="preserve">Doctrina que se ha de cohonestar con la jurisprudencia constitucional, según la cual, “la autonomía parlamentaria garantizada constitucionalmente (art. 72 CE) y la propia naturaleza del art. 23.2 CE como derecho de configuración legal también obligan a otorgar a los Parlamentos y, significativamente, a sus órganos rectores, un margen de aplicación en la interpretación de la legalidad parlamentaria que este Tribunal no puede desconocer”. Y, específicamente, en relación con las decisiones parlamentarias referidas al acortamiento de los trámites y plazos del procedimiento legislativo —bien derivadas de la declaración de la tramitación por la vía de urgencia, bien por el procedimiento en lectura única, bien por la concurrencia de causas excepcionales, o por el mero incumplimiento de los plazos establecidos reglamentariamente— este Tribunal tiene declarado que: “(i) no está constitucionalizado ningún procedimiento legislativo abreviado para la tramitación de proyectos normativos caracterizados por la urgencia, salvo una regla temporal para la tramitación en el Senado de los proyectos declarados urgentes por el Gobierno o por el Congreso de los Diputados (art. 90.3 CE), por lo que dicha regulación queda, entonces, encomendada a los reglamentos de las Cámaras [STC 136/2011, de 13 de septiembre, FJ 10 e)]; (ii) que una reducción del tiempo de tramitación no priva a las Cámaras del ejercicio de su función legislativa, ya que incide sólo sobre su cronología, ni tiene por qué traducirse en merma alguna de los principios constitucionales que han de informar el procedimiento legislativo en cuanto procedimiento de formación de voluntad del órgano (STC 234/2000, de 3 de octubre, FJ 13); (iii) que una decisión de estas características debe tener una aplicación tal que afecte por igual a todas las fuerzas políticas con representación parlamentaria en evitación de que se ocasione un tratamiento desigual o discriminatorio (ATC 35/2001, de 23 de febrero, FJ 5); y (iv) que tal reducción del tiempo de tramitación sólo podrá llegar a tener relevancia constitucional cuando su alcance sea de tal magnitud que haya alterado, no de cualquier manera, sino de forma sustancial, el proceso de formación de la voluntad de una Cámara, habiendo afectado, </w:t>
      </w:r>
      <w:r>
        <w:lastRenderedPageBreak/>
        <w:t>en consecuencia, al ejercicio de la función representativa inherente al estatuto del parlamentario [SSTC 136/2011, de 13 de septiembre, FJ 10 e); y 44/2015, de 5 de marzo, FJ 2]” (STC 143/2016, de 19 de septiembre, FJ 3).</w:t>
      </w:r>
    </w:p>
    <w:p w:rsidR="00A90898" w:rsidRDefault="00A90898" w:rsidP="00A90898">
      <w:pPr>
        <w:pStyle w:val="TextoNormal"/>
      </w:pPr>
    </w:p>
    <w:p w:rsidR="00A90898" w:rsidRDefault="00A90898" w:rsidP="00A90898">
      <w:pPr>
        <w:pStyle w:val="TextoNormal"/>
      </w:pPr>
      <w:r>
        <w:t>c) Descendiendo de lo general a lo particular, el art. 150 RCD establece como requisitos para la tramitación de un proyecto o de una proposición de ley por el procedimiento en lectura única que su “naturaleza” lo aconseje o que la “simplicidad de su formulación” lo permita. Requisitos ambos definidos, como la Letrada de las Cortes Generales señala, mediante cláusulas o conceptos abiertos que confieren a los órganos de la Cámara un amplio margen de apreciación o de interpretación en su aplicación. De modo que la valoración sobre la oportunidad de acudir a este tipo de procedimiento, así como sobre la concurrencia de los elementos de simplicidad del texto normativo o de una naturaleza que justifique la tramitación parlamentaria de un proyecto o de una proposición de ley por el procedimiento en lectura única corresponde al Pleno del Congreso de los Diputados, a propuesta de la Mesa de la Cámara, oída la Junta de Portavoces (STC 238/2012, de 13 de diciembre, FJ 4). En este caso, el Pleno del Congreso de los Diputados ha adoptado por mayoría la decisión de tramitar la proposición de ley por el procedimiento en lectura única, manifestando así su criterio de que concurría al menos alguno de los presupuestos a los que el Reglamento de la Cámara supedita la utilización de este procedimiento parlamentario.</w:t>
      </w:r>
    </w:p>
    <w:p w:rsidR="00A90898" w:rsidRDefault="00A90898" w:rsidP="00A90898">
      <w:pPr>
        <w:pStyle w:val="TextoNormal"/>
      </w:pPr>
    </w:p>
    <w:p w:rsidR="00A90898" w:rsidRDefault="00A90898" w:rsidP="00A90898">
      <w:pPr>
        <w:pStyle w:val="TextoNormal"/>
      </w:pPr>
      <w:r>
        <w:t>Desde la perspectiva de control que nos corresponde de tales decisiones parlamentarias hemos de desestimar la denunciada infracción del art. 150 RCD, pues no le es dado a este Tribunal, por respeto a la autonomía de las Cámaras sobre los procedimientos que se desarrollan en su seno (STC 49/2008, FJ 15), reemplazar la voluntad y el criterio de oportunidad de la Mesa del Congreso de los Diputados al proponer la tramitación de la proposición de ley por el procedimiento en lectura única, ni la del Pleno de adoptar dicha decisión. En efecto, la especial relevancia o la trascendencia constitucional de un texto normativo, a la luz del citado precepto reglamentario, no es incompatible con su tramitación por el procedimiento en lectura única, ni suficiente por sí misma, como pretenden los Letrados del Gobierno Vasco, para excluir la utilización de este procedimiento parlamentario, al que no le está vedada materia alguna, incluida la reforma constitucional (STC 238/2012, FJ 4, que reproduce la doctrina del ATC 9/2012, de 13 de enero).</w:t>
      </w:r>
    </w:p>
    <w:p w:rsidR="00A90898" w:rsidRDefault="00A90898" w:rsidP="00A90898">
      <w:pPr>
        <w:pStyle w:val="TextoNormal"/>
      </w:pPr>
    </w:p>
    <w:p w:rsidR="00A90898" w:rsidRDefault="00A90898" w:rsidP="00A90898">
      <w:pPr>
        <w:pStyle w:val="TextoNormal"/>
      </w:pPr>
      <w:r>
        <w:t>A mayor abundamiento, como la Letrada de las Cortes Generales y el Abogado del Estado ponen de manifiesto en sus alegaciones, no resulta arbitraria la consideración de que la simplicidad de la formulación de la proposición de ley, que tampoco puede confundirse con su relevancia material o trascendencia constitucional, pudiera justificar en este caso su tramitación por el procedimiento en lectura única, atendiendo a su estructura, contenido y lenguaje. Ciertamente, como permite apreciar su lectura, la proposición de ley consta de un único artículo, con cuatro apartados, y una disposición final que modifican o dan nueva redacción parcial a cuatro artículos LOTC, con una estructura y un lenguaje, desde la perspectiva de cualquier observador razonable (ATC 141/2016, de 19 de julio, FJ 6), comprensibles, sencillos e inteligibles, sin perjuicio de su incidencia en una materia de indudable calado constitucional.</w:t>
      </w:r>
    </w:p>
    <w:p w:rsidR="00A90898" w:rsidRDefault="00A90898" w:rsidP="00A90898">
      <w:pPr>
        <w:pStyle w:val="TextoNormal"/>
      </w:pPr>
    </w:p>
    <w:p w:rsidR="00A90898" w:rsidRDefault="00A90898" w:rsidP="00A90898">
      <w:pPr>
        <w:pStyle w:val="TextoNormal"/>
      </w:pPr>
      <w:r>
        <w:t xml:space="preserve">En fin, la falta de consenso entre los grupos parlamentarios en orden a la tramitación de la proposición de ley por el procedimiento en lectura única tampoco afecta a la constitucionalidad de dicha tramitación, pues la decisión ha sido adoptada, lo que los Letrados del </w:t>
      </w:r>
      <w:r>
        <w:lastRenderedPageBreak/>
        <w:t>Gobierno Vasco no cuestionan en momento alguno, por el órgano competente, a propuesta de los órganos facultados para ello, y por la mayoría reglamentariamente establecida. El consenso político que pudiera suscitar el proyecto o la proposición de ley es algo totalmente ajeno a la concurrencia de los requisitos de simplicidad de formulación o naturaleza del texto normativo que permitan o aconsejen su tramitación por el procedimiento en lectura única (STC 129/2013, de 4 de junio, FJ 9). En otras palabras, la decisión de recurrir a este procedimiento parlamentario ha de adoptarse por mayoría simple y no por unanimidad o mayoría cualificada alguna, tal y como se deduce de lo dispuesto en el art. 79 CE y de la interpretación realizada por este Tribunal del juego de las mayorías descrito por la norma fundamental, al reconocer que la norma generalmente seguida en los procedimientos parlamentarios es el recurso a la mayoría simple, siendo la excepción la previsión de mayorías cualificadas en aras de obtener un mayor consenso para proteger más eficazmente los derechos e intereses de las minorías o con otro objetivo razonable (SSTC 179/1989, de 2 de noviembre, FJ 7, y 238/2012, FJ 4).</w:t>
      </w:r>
    </w:p>
    <w:p w:rsidR="00A90898" w:rsidRDefault="00A90898" w:rsidP="00A90898">
      <w:pPr>
        <w:pStyle w:val="TextoNormal"/>
      </w:pPr>
    </w:p>
    <w:p w:rsidR="00A90898" w:rsidRDefault="00A90898" w:rsidP="00A90898">
      <w:pPr>
        <w:pStyle w:val="TextoNormal"/>
      </w:pPr>
      <w:r>
        <w:t>Por cuanto antecede, ha de desestimarse la denunciada vulneración del art. 23 CE y, por consiguiente, el vicio de inconstitucionalidad procedimental que se imputa a la Ley recurrida.</w:t>
      </w:r>
    </w:p>
    <w:p w:rsidR="00A90898" w:rsidRDefault="00A90898" w:rsidP="00A90898">
      <w:pPr>
        <w:pStyle w:val="TextoNormal"/>
      </w:pPr>
    </w:p>
    <w:p w:rsidR="00A90898" w:rsidRDefault="00A90898" w:rsidP="00A90898">
      <w:pPr>
        <w:pStyle w:val="TextoNormal"/>
      </w:pPr>
      <w:r w:rsidRPr="00A90898">
        <w:rPr>
          <w:rStyle w:val="NumeroAFNegritaCaracter"/>
        </w:rPr>
        <w:t>6</w:t>
      </w:r>
      <w:r>
        <w:t>. El primero de los motivos de orden sustantivo en los que el Gobierno Vasco funda la inconstitucionalidad del artículo único, apartado 3, de la Ley Orgánica 15/2015, en la nueva redacción que da al art. 92. 4 b) y c) y 5 LOTC, radica en la vulneración de los arts. 161, 164 y 165, en relación con el art. 117.3 CE.</w:t>
      </w:r>
    </w:p>
    <w:p w:rsidR="00A90898" w:rsidRDefault="00A90898" w:rsidP="00A90898">
      <w:pPr>
        <w:pStyle w:val="TextoNormal"/>
      </w:pPr>
    </w:p>
    <w:p w:rsidR="00A90898" w:rsidRDefault="00A90898" w:rsidP="00A90898">
      <w:pPr>
        <w:pStyle w:val="TextoNormal"/>
      </w:pPr>
      <w:r>
        <w:t>En una extensa alegación, en la que abundan consideraciones de índole genérica, los Letrados del Gobierno Vasco impugnan de manera conjunta el art. 92.4 b) y c) y 92. 5 LOTC al estimar, por una parte, que el legislador orgánico se ha excedido de la habilitación que le confiere el art. 165 CE, y, por otra, que las medidas que introduce aquel precepto suponen un cambio cualitativo en la naturaleza, posición y funciones del Tribunal Constitucional, que altera gravemente el equilibrio de poderes del Estado, lo que implica, más que la infracción de uno o varios preceptos de la Constitución, la negación de cláusulas esenciales de la misma y la instauración de un sistema de justicia constitucional en contradicción con el diseñado en el título IX CE. Así pues, lo que se cuestiona en este caso —argumentan— es la atribución de determinadas facultades de ejecución al Tribunal Constitucional en cuanto viene a alterar su posición y funciones, pues deja de ser “un órgano de participación en la dirección política del Estado”, para ocupar una posición prevalente a la que quedan subordinados los demás órganos constitucionales, de manera que el Tribunal interfiere en sus actuaciones y les puede llegar a sustituir en el ejercicio de sus poderes de decisión.</w:t>
      </w:r>
    </w:p>
    <w:p w:rsidR="00A90898" w:rsidRDefault="00A90898" w:rsidP="00A90898">
      <w:pPr>
        <w:pStyle w:val="TextoNormal"/>
      </w:pPr>
    </w:p>
    <w:p w:rsidR="00A90898" w:rsidRDefault="00A90898" w:rsidP="00A90898">
      <w:pPr>
        <w:pStyle w:val="TextoNormal"/>
      </w:pPr>
      <w:r>
        <w:t xml:space="preserve">Los Letrados del Gobierno Vasco prosiguen su alegación afirmando que el significado del art. 92 LOTC es el de atribuir al Tribunal Constitucional, como “señor de la ejecución de sus decisiones”, la competencia general para exigir a todos los órganos del Estado y a todos los ciudadanos el cumplimiento de las mismas. Sin embargo, en su opinión, esta genérica atribución de competencia no puede llevar consigo la puesta a disposición del Tribunal de un procedimiento de ejecución forzosa que pueda dirigirse contra los altos órganos del Estado o de las Comunidades Autónomas, porque ello excede de “la esencia de la Constitución”, en cuanto tal aparato de ejecución únicamente es pensable frente a los particulares. </w:t>
      </w:r>
      <w:r>
        <w:lastRenderedPageBreak/>
        <w:t>Así pues, bajo una apariencia formalmente jurídica, el art. 92.4 b) y c) y 92.5 LOTC introduce “medidas políticas destinadas a ejecutar decisiones políticas”, que exceden claramente de las posibilidades que al Tribunal Constitucional le confiere el título IX CE. El Tribunal puede adoptar en los conflictos constitucionales la decisión que corresponda y de esta forma culmina su función como máximo intérprete de la Constitución, de modo que la realización, la aplicación y la consumación de dicha decisión no pueden depender y quedar sometidas al ejercicio por el propio Tribunal de las medidas que introduce la Ley recurrida. En definitiva, la previsión de las medidas contempladas en el art. 92.4 b) y c) y 92.5 LOTC excede de las funciones que el art. 161.1 CE reserva al Tribunal, no resultando, además, idóneas para alcanzar la finalidad que se afirma perseguir.</w:t>
      </w:r>
    </w:p>
    <w:p w:rsidR="00A90898" w:rsidRDefault="00A90898" w:rsidP="00A90898">
      <w:pPr>
        <w:pStyle w:val="TextoNormal"/>
      </w:pPr>
    </w:p>
    <w:p w:rsidR="00A90898" w:rsidRDefault="00A90898" w:rsidP="00A90898">
      <w:pPr>
        <w:pStyle w:val="TextoNormal"/>
      </w:pPr>
      <w:r>
        <w:t>Los Letrados del Gobierno Vasco concluyen su extensa alegación respecto a este motivo de inconstitucionalidad con un reproche, no menos genérico, dirigido singularmente a cada una de las medidas del art. 92.4 b) y c) y 92.5 LOTC. Así, respecto a la suspensión en sus funciones de autoridades o empleados públicos responsables del incumplimiento [art. 92.4 b) LOTC], sostienen que es una medida que puede afectar tanto a autoridades de órganos ejecutivos como legislativos y que el principio de división de poderes impide que, excepto a través del mecanismo del art. 155 CE, pueda un órgano constitucional suspender a un cargo político de una Comunidad Autónoma o del propio Estado. También resultan contrarias al principio de división de poderes las medidas contempladas en el art. 92.4 c) [ejecución sustitutoria, pudiendo requerir la colaboración del Gobierno de la Nación] y 5 LOTC [adopción de las medidas necesarias para asegurar la ejecución de resoluciones que acuerden la suspensión de disposiciones, actos o actuaciones impugnados], toda vez que la sustitución en sus decisiones de determinados órganos constitucionales resulta imposible dentro del sistema constitucional democrático, pudiendo llegar a afectar a la actividad parlamentaria desarrollada en el seno de las Cámaras, protegida por la prerrogativa de la inviolabilidad.</w:t>
      </w:r>
    </w:p>
    <w:p w:rsidR="00A90898" w:rsidRDefault="00A90898" w:rsidP="00A90898">
      <w:pPr>
        <w:pStyle w:val="TextoNormal"/>
      </w:pPr>
    </w:p>
    <w:p w:rsidR="00A90898" w:rsidRDefault="00A90898" w:rsidP="00A90898">
      <w:pPr>
        <w:pStyle w:val="TextoNormal"/>
      </w:pPr>
      <w:r>
        <w:t>El Abogado del Estado, ante las consideraciones que se hacen en la demanda, comienza sus alegaciones resaltando que el Tribunal Constitucional es un órgano de carácter jurisdiccional, el único del orden jurisdiccional constitucional en España, no un órgano político. A continuación, afirma que la Constitución no excluye que la potestad de ejecución de las resoluciones del Tribunal Constitucional pueda ser encomendada al propio Tribunal, tratándose de una cuestión que el constituyente ha dejado abierta a lo que determine la ley orgánica prevista en el art. 165 CE. Tras referirse a la evolución legislativa de la Ley Orgánica del Tribunal Constitucional en materia de ejecución de resoluciones constitucionales, el Abogado del Estado entiende que el título que se pretende defender con la reforma llevada a cabo por la Ley Orgánica 15/2015 es el principio general de dotar de efectividad a las resoluciones judiciales como garantía del art. 24 CE, que abarca, en este punto, también a las resoluciones del Tribunal Constitucional (ATC 1/2009, de 12 de enero, FJ2). Por lo tanto, lo que se persigue es la defensa del derecho al cumplimiento y efectividad de las resoluciones del Tribunal Constitucional, que no pueden quedar abocados exclusivamente a una represión de carácter penal. En concreto, el título legitimador de las medidas del art. 92.4 b) y c) y 5 LOTC es su articulación y regulación como medios de ejecución y aplicación en garantía de la efectividad de las resoluciones del Tribunal Constitucional, que es lo mismo que decir de su función como garante de la Constitución y, por consiguiente, los arts. 161 y 165 CE son los que legitiman su previsión.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7</w:t>
      </w:r>
      <w:r>
        <w:t>. Lo expuesto en la demanda respecto a este primer motivo de inconstitucionalidad de orden sustantivo y en las alegaciones frente a ella, requiere, para fijar con corrección el objeto y alcance de nuestro enjuiciamiento, las siguientes puntualizaciones.</w:t>
      </w:r>
    </w:p>
    <w:p w:rsidR="00A90898" w:rsidRDefault="00A90898" w:rsidP="00A90898">
      <w:pPr>
        <w:pStyle w:val="TextoNormal"/>
      </w:pPr>
    </w:p>
    <w:p w:rsidR="00A90898" w:rsidRDefault="00A90898" w:rsidP="00A90898">
      <w:pPr>
        <w:pStyle w:val="TextoNormal"/>
      </w:pPr>
      <w:r>
        <w:t>a) Hemos de recordar, una vez más, que nuestro control es exclusivamente de constitucionalidad, de carácter jurídico, no político, ni de oportunidad, ni de calidad técnica, ni de idoneidad. De modo que las intenciones del legislador, su estrategia política o su propósito último no constituyen, como es evidente, objeto de nuestro enjuiciamiento, que ha de circunscribirse a contrastar los concretos preceptos impugnados y las normas y principios constitucionales que integran en cada caso el parámetro de control, sin que pueda convertirse la legítima crítica o discrepancia política en argumento de constitucionalidad [SSTC 49/2008, FF JJ 4 y 5; 197/2014, de 4 de diciembre, FJ 1; 118/2016, FJ 4 a), y 128/2016, de 7 de julio, FJ 5 A) a)].</w:t>
      </w:r>
    </w:p>
    <w:p w:rsidR="00A90898" w:rsidRDefault="00A90898" w:rsidP="00A90898">
      <w:pPr>
        <w:pStyle w:val="TextoNormal"/>
      </w:pPr>
    </w:p>
    <w:p w:rsidR="00A90898" w:rsidRDefault="00A90898" w:rsidP="00A90898">
      <w:pPr>
        <w:pStyle w:val="TextoNormal"/>
      </w:pPr>
      <w:r>
        <w:t>b) En segundo lugar, es preciso advertir, asimismo, que el Tribunal en un recurso de inconstitucionalidad, procedimiento a través del cual se ha articulado la impugnación del precepto recurrido de la Ley Orgánica 15/2015 que ahora nos ocupa, “garantiza la primacía de la Constitución y enjuicia la conformidad o disconformidad con ella de las Leyes, disposiciones o actos impugnados” (art. 27.1 LOTC). El control que lleva a cabo el Tribunal Constitucional en este tipo de procedimiento es un control de carácter abstracto de la norma impugnada, desvinculado de cualquier consideración concreta sobre su aplicación a un específico supuesto de hecho. En otras palabras, en el presente caso, el control de constitucionalidad de nuestra Ley se ha promovido a través de un recurso de inconstitucionalidad, por lo que nuestro pronunciamiento debe estar al margen de cualquier posible o hipotético acto de aplicación de dicho precepto, debiendo limitarnos a contrastar de manera abstracta el precepto recurrido y las normas y principios constitucionales que se estiman infringidos [SSTC 49/2008, FF JJ 3 y 4, y 128/2016, de 7 de julio, FJ 5 A) a)].</w:t>
      </w:r>
    </w:p>
    <w:p w:rsidR="00A90898" w:rsidRDefault="00A90898" w:rsidP="00A90898">
      <w:pPr>
        <w:pStyle w:val="TextoNormal"/>
      </w:pPr>
    </w:p>
    <w:p w:rsidR="00A90898" w:rsidRDefault="00A90898" w:rsidP="00A90898">
      <w:pPr>
        <w:pStyle w:val="TextoNormal"/>
      </w:pPr>
      <w:r>
        <w:t>Es preciso este recordatorio sobre el tipo de control que es propio de un recurso de inconstitucionalidad ante las extensas consideraciones que se efectúan en la demanda respecto del alcance de una hipotética actividad de ejecución del Tribunal en relación con los posibles pronunciamientos que pudieran recaer en los diferentes procesos constitucionales. De lo que se trata aquí, y ahora, es de enjuiciar la existencia o no de contradicción de las medidas o instrumentos impugnados, que el legislador ha puesto a disposición del Tribunal para garantizar el cumplimiento y efectividad de sus resoluciones, con los preceptos constitucionales alegados en el recurso, al margen, por lo tanto, de su aplicación a casos concretos y de la viabilidad de su adopción en los distintos procesos constitucionales. Será con ocasión de las específicas medidas que se pretendan o se soliciten tomar en un determinado proceso constitucional para la ejecución de las resoluciones recaídas en el mismo, cuando procederá examinar su viabilidad y, en su caso, la constitucionalidad de su aplicación en dicho proceso constitucional, pues es evidente que las potestades de ejecución del Tribunal Constitucional habrán de modularse, dentro de los instrumentos o medidas que para ello ha dispuesto el legislador, según el tipo de procedimiento y el contenido del fallo.</w:t>
      </w:r>
    </w:p>
    <w:p w:rsidR="00A90898" w:rsidRDefault="00A90898" w:rsidP="00A90898">
      <w:pPr>
        <w:pStyle w:val="TextoNormal"/>
      </w:pPr>
    </w:p>
    <w:p w:rsidR="00A90898" w:rsidRDefault="00A90898" w:rsidP="00A90898">
      <w:pPr>
        <w:pStyle w:val="TextoNormal"/>
      </w:pPr>
      <w:r>
        <w:t xml:space="preserve">c) En fin, ante la generalidad de las alegaciones en las que se sustenta el primero de los motivos de inconstitucionalidad de orden sustantivo en los que se funda la demanda, hemos de insistir en que no basta para cuestionar la constitucionalidad de una disposición legal con imputarle una u otra vulneración, sino que es imprescindible argumentar sobre la efectividad </w:t>
      </w:r>
      <w:r>
        <w:lastRenderedPageBreak/>
        <w:t>de la vulneración cuya concurrencia se denuncia. Cuando lo que está en juego es la depuración del ordenamiento jurídico, es carga de los recurrentes no sólo la de abrir la vía para que el Tribunal pueda pronunciarse, sino también la de colaborar con la justicia del Tribunal mediante un pormenorizado análisis de las graves cuestiones que se suscitan. Es justo, pues, hablar de una carga del recurrente y en los casos en que ésta no se atienda, de una falta de diligencia procesalmente exigible, como es la de ofrecer la fundamentación que razonablemente es de esperar [SSTC 44/2015, de 5 de marzo, FJ 4, y 118/2016, FJ 3 g)]. En suma, la presunción de constitucionalidad de normas con rango de ley no puede desvirtuarse sin una argumentación suficiente, no siendo admisibles impugnaciones globales carentes de un razonamiento desarrollado que las sustente [STC 101/2013, de 23 de abril, FJ 11; en el mismo sentido SSTC 204/2011, de 15 de diciembre, FJ 2 b), y 100/2013, de 23 de abril, FJ 2 c)].</w:t>
      </w:r>
    </w:p>
    <w:p w:rsidR="00A90898" w:rsidRDefault="00A90898" w:rsidP="00A90898">
      <w:pPr>
        <w:pStyle w:val="TextoNormal"/>
      </w:pPr>
    </w:p>
    <w:p w:rsidR="00A90898" w:rsidRDefault="00A90898" w:rsidP="00A90898">
      <w:pPr>
        <w:pStyle w:val="TextoNormal"/>
      </w:pPr>
      <w:r w:rsidRPr="00A90898">
        <w:rPr>
          <w:rStyle w:val="NumeroAFNegritaCaracter"/>
        </w:rPr>
        <w:t>8</w:t>
      </w:r>
      <w:r>
        <w:t>. La Constitución de 1978 configura al Tribunal Constitucional, al que precisamente bajo esta rúbrica le dedica su título IX, como un órgano jurisdiccional al que le confiere en exclusiva el ejercicio de la jurisdicción constitucional. Los preceptos que integran este título, junto con otros preceptos que lo complementan, diseñan los elementos nucleares de un modelo de jurisdicción constitucional que “el constituyente no quiso [que fuera] un modelo cerrado … petrificado y congelado en el tiempo e incompatible con el carácter evolutivo del Derecho, sino que dejó al legislador orgánico su determinación última”. En ese sentido, hemos afirmado que “[b]asta con acudir a los arts. 161.1 d), 162.2 y 165 CE, para constatar la existencia de una amplia habilitación al legislador orgánico para su ulterior configuración” [STC 118/2016, FJ 4 d)].</w:t>
      </w:r>
    </w:p>
    <w:p w:rsidR="00A90898" w:rsidRDefault="00A90898" w:rsidP="00A90898">
      <w:pPr>
        <w:pStyle w:val="TextoNormal"/>
      </w:pPr>
    </w:p>
    <w:p w:rsidR="00A90898" w:rsidRDefault="00A90898" w:rsidP="00A90898">
      <w:pPr>
        <w:pStyle w:val="TextoNormal"/>
      </w:pPr>
      <w:r>
        <w:t>El carácter no cerrado del modelo de jurisdicción constitucional diseñado principalmente en el título IX CE se constata prácticamente respecto a cada uno de sus elementos definidores. Así, en relación con la designación de los Magistrados que componen el Tribunal, hemos declarado que “la regulación detallada de la elección de los miembros del Tribunal Constitucional” que se contiene en el art. 159.1 CE “no cierra las puertas de modo absoluto a que otras normas puedan desarrollar una regulación constitucional que, entre otras cosas, guarda silencio sobre el procedimiento a seguir en dicha elección”. De modo que “no existe impedimento constitucional para que la regulación constitucional sea desarrollada y concretada siguiendo los requisitos formales y materiales que se derivan del texto constitucional” [STC 49/2008, FJ 7 a)].</w:t>
      </w:r>
    </w:p>
    <w:p w:rsidR="00A90898" w:rsidRDefault="00A90898" w:rsidP="00A90898">
      <w:pPr>
        <w:pStyle w:val="TextoNormal"/>
      </w:pPr>
    </w:p>
    <w:p w:rsidR="00A90898" w:rsidRDefault="00A90898" w:rsidP="00A90898">
      <w:pPr>
        <w:pStyle w:val="TextoNormal"/>
      </w:pPr>
      <w:r>
        <w:t>No ha sido distinta la conclusión alcanzada en relación con la regulación de la figura del Presidente del Tribunal Constitucional contenida en el art. 160 CE. Dijimos en la citada Sentencia que desde “una perspectiva comparada se trata de una regulación más extensa que la de la mayor parte de países de nuestro entorno, de la que se deriva un modelo de Presidencia y de Tribunal Constitucional que otorga a su autonomía orgánica una papel ciertamente relevante, puesto que la Presidencia no sólo debe corresponder necesariamente a uno de sus miembros, sino que la única voluntad que concurre en su elección es la del conjunto de Magistrados”. Sin embargo, continuaba nuestro razonamiento, “ni del art. 160 CE ni de dicho modelo organizativo se colige una regulación constitucional exhaustiva de la figura de la Presidencia del Tribunal Constitucional”, pues, sin ir más lejos, “no se definen constitucionalmente ni sus funciones, ni sus concretas competencias, ni el modo de ejercerlas, aspectos todos ellos que están desarrollados en la Ley Orgánica del Tribunal Constitucional y en las normas que la desarrollan” (STC 49/2008, FJ 18).</w:t>
      </w:r>
    </w:p>
    <w:p w:rsidR="00A90898" w:rsidRDefault="00A90898" w:rsidP="00A90898">
      <w:pPr>
        <w:pStyle w:val="TextoNormal"/>
      </w:pPr>
    </w:p>
    <w:p w:rsidR="00A90898" w:rsidRDefault="00A90898" w:rsidP="00A90898">
      <w:pPr>
        <w:pStyle w:val="TextoNormal"/>
      </w:pPr>
      <w:r>
        <w:lastRenderedPageBreak/>
        <w:t>Tampoco desde la consideración de los procesos a través de los cuales el Tribunal ejerce la jurisdicción constitucional puede hablarse de un modelo cerrado de ésta. Así los arts. 53.2, 95.2, 161 y 163 CE no “acogen una lista exhaustiva de los procesos constitucionales de los que puede conocer este Tribunal Constitucional”, sino que, antes al contrario, los arts. 161.1.d) y 165 CE “legitiman al legislador orgánico para delimitar qué otras ‘materias’” pueden ser del conocimiento y jurisdicción de este Tribunal, de lo que es buena prueba la atribución hasta la fecha de procesos constitucionales no contemplados expresamente por la Constitución [STC 118/2016, FJ 4 d)].</w:t>
      </w:r>
    </w:p>
    <w:p w:rsidR="00A90898" w:rsidRDefault="00A90898" w:rsidP="00A90898">
      <w:pPr>
        <w:pStyle w:val="TextoNormal"/>
      </w:pPr>
    </w:p>
    <w:p w:rsidR="00A90898" w:rsidRDefault="00A90898" w:rsidP="00A90898">
      <w:pPr>
        <w:pStyle w:val="TextoNormal"/>
      </w:pPr>
      <w:r>
        <w:t>También en virtud de las reservas de ley orgánica de los arts. 162.2 y 165 CE, el legislador llamado a cumplirlas se encuentra habilitado para determinar, más allá de las específicas legitimaciones reconocidas en los citados preceptos constitucionales, las personas y órganos legitimados para acudir al Tribunal Constitucional en los diferentes procesos constitucionales.</w:t>
      </w:r>
    </w:p>
    <w:p w:rsidR="00A90898" w:rsidRDefault="00A90898" w:rsidP="00A90898">
      <w:pPr>
        <w:pStyle w:val="TextoNormal"/>
      </w:pPr>
    </w:p>
    <w:p w:rsidR="00A90898" w:rsidRDefault="00A90898" w:rsidP="00A90898">
      <w:pPr>
        <w:pStyle w:val="TextoNormal"/>
      </w:pPr>
      <w:r>
        <w:t>Tras ordenar el art. 164 CE la publicación de las Sentencias del Tribunal y, en su caso, la de los votos particulares, declarar el valor de cosa juzgada de aquellas y determinar sus efectos, previsiones que también han sido desarrolladas por el legislador orgánico del Tribunal Constitucional (arts. 38 a 40 y 86 LOTC), el artículo 165 cierra el título IX CE disponiendo que “[u]na ley orgánica regulará el funcionamiento del Tribunal Constitucional, el estatuto de sus miembros, el procedimiento ante el mismo y las condiciones para el ejercicio de las acciones”.</w:t>
      </w:r>
    </w:p>
    <w:p w:rsidR="00A90898" w:rsidRDefault="00A90898" w:rsidP="00A90898">
      <w:pPr>
        <w:pStyle w:val="TextoNormal"/>
      </w:pPr>
    </w:p>
    <w:p w:rsidR="00A90898" w:rsidRDefault="00A90898" w:rsidP="00A90898">
      <w:pPr>
        <w:pStyle w:val="TextoNormal"/>
      </w:pPr>
      <w:r>
        <w:t>Esta reserva de ley orgánica, resulta expresiva, sin duda, del carácter no cerrado o petrificado del modelo de jurisdicción constitucional diseñado por el constituyente, cuya amplitud y vocación de plenitud hemos destacado como manifestación de la estrecha relación que existe entre la Norma Suprema y la Ley Orgánica del Tribunal Constitucional. En este sentido, este Tribunal tiene declarado que “los términos en que se formula esta reserva específica (‘una ley orgánica…’), la amplitud de las materias (‘el funcionamiento del Tribunal Constitucional, el estatuto de sus miembros, el procedimiento ante el mismo y las condiciones para el ejercicio de las acciones’), su posición de cierre del título IX y el hecho de proyectarse sobre un órgano como el Tribunal Constitucional le otorgan una vocación de complitud que debe llevarnos a rechazar una interpretación restrictiva de tales materias”. Aunque no hemos excluido que otras leyes orgánicas incidan en el alcance de la jurisdicción constitucional atribuyéndole nuevas competencias [art. 161.1 d) CE], sí hemos descartado la traslación a la Ley Orgánica del Tribunal Constitucional de la doctrina sobre el carácter estricto de las reservas de ley orgánica, pues se trata de un supuesto enteramente diferente, dado que “[a]quellas reservas pueden ser interpretadas estricta o incluso restrictivamente porque el ordenamiento tiene a su disposición otro instrumento (la ley ordinaria) para regular aquello que se le veda a la ley orgánica”, lo que no sucede “con la reserva prevista en el art. 165 CE, ya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[STC 49/2008, FF JJ 3 y 16, en el mismo sentido, STC 118/2016, FJ 4 d)].</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La Constitución no contiene previsión alguna en materia de ejecución de las resoluciones del Tribunal Constitucional. Sin embargo, es obvio, que esta falta de previsión no </w:t>
      </w:r>
      <w:r>
        <w:lastRenderedPageBreak/>
        <w:t>puede interpretarse, en el modelo de jurisdicción constitucional diseñado por el constituyente en los términos antes indicados, como un desapoderamiento al Tribunal Constitucional de la potestad de ejecutar y velar por el cumplimiento de sus resoluciones. El Tribunal Constitucional ha sido configurado en el texto constitucional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w:t>
      </w:r>
    </w:p>
    <w:p w:rsidR="00A90898" w:rsidRDefault="00A90898" w:rsidP="00A90898">
      <w:pPr>
        <w:pStyle w:val="TextoNormal"/>
      </w:pPr>
    </w:p>
    <w:p w:rsidR="00A90898" w:rsidRDefault="00A90898" w:rsidP="00A90898">
      <w:pPr>
        <w:pStyle w:val="TextoNormal"/>
      </w:pPr>
      <w:r>
        <w:t xml:space="preserve">Cuestión distinta a la de la titularidad de la potestad de ejecución de sus propias resoluciones es la de la forma o el modo en que se pueda articular dicha ejecución, que, por razones de efectividad o, incluso, de oportunidad, puede llegar a reclamar el auxilio de otros órganos públicos, así como la de los instrumentos o medidas puestas a su disposición para garantizar el cumplimiento y la efectividad de aquellas resoluciones. Como el Abogado del Estado señala en sus alegaciones, estas son cuestiones que el constituyente ha dejado a disposición del legislador orgánico del Tribunal Constitucional </w:t>
      </w:r>
      <w:r w:rsidRPr="00A90898">
        <w:rPr>
          <w:i/>
        </w:rPr>
        <w:t>ex</w:t>
      </w:r>
      <w:r>
        <w:t xml:space="preserve"> art. 165 CE. Así pues, en principio, sin perjuicio de las tachas que puedan llegar a dirigirse o merecer sus concretas previsiones o los singulares instrumentos o medidas destinados a garantizar la efectividad de las resoluciones del Tribunal Constitucional, la regulación de la ejecución de sus resoluciones es materia que encuentra cobertura en la reserva de ley orgánica del art. 165 CE, reserva a cuya amplitud y vocación de plenitud ya nos hemos referido.</w:t>
      </w:r>
    </w:p>
    <w:p w:rsidR="00A90898" w:rsidRDefault="00A90898" w:rsidP="00A90898">
      <w:pPr>
        <w:pStyle w:val="TextoNormal"/>
      </w:pPr>
    </w:p>
    <w:p w:rsidR="00A90898" w:rsidRDefault="00A90898" w:rsidP="00A90898">
      <w:pPr>
        <w:pStyle w:val="TextoNormal"/>
      </w:pPr>
      <w:r>
        <w:t>La redacción originaria de la Ley Orgánica del Tribunal Constitucional, en su título VII, que lleva por rúbrica “de las disposiciones comunes sobre procedimiento”, materia esta expresamente incluida en el ámbito de la reserva de ley orgánica del art. 165 CE, contenía tres preceptos relacionados con la ejecución de las resoluciones del Tribunal Constitucional. El primero, siguiendo un orden numérico, cuyo contenido reproduce el vigente art. 87.1 y 2 LOTC, proclamaba ya que todos los poderes públicos están obligados “al cumplimiento de lo que el Tribunal Constitucional resuelva”, y preveía también que los jueces y tribunales debían prestar “con carácter preferente y urgente al Tribunal Constitucional el auxilio jurisdiccional que éste necesite” (art. 87 LOTC). En materia propiamente de ejecución, el art. 92 LOTC establecía que “[e]l Tribunal podrá disponer en la sentencia, o en la resolución, o en actos posteriores, quien ha de ejecutarla y, en su caso, resolver las incidencias de la ejecución”. El contenido de este precepto se recoge en la actual redacción del apartado primero del art. 92.1 LOTC, con los añadidos de que “[e]l Tribunal Constitucional velará por el cumplimiento efectivo de sus resoluciones” y que puede adoptar “las medidas de ejecución necesarias”. Por último, se contemplaba la posibilidad de imponer multas coercitivas “a cualquier persona, investida o no de poder público, que incumpla los requerimientos del Tribunal dentro de los plazos señalados y reiterar estas multas hasta el total cumplimiento de los interesados, sin perjuicio de cualquier otra responsabilidad a que hubiera lugar” (art. 95.4 LOTC).</w:t>
      </w:r>
    </w:p>
    <w:p w:rsidR="00A90898" w:rsidRDefault="00A90898" w:rsidP="00A90898">
      <w:pPr>
        <w:pStyle w:val="TextoNormal"/>
      </w:pPr>
    </w:p>
    <w:p w:rsidR="00A90898" w:rsidRDefault="00A90898" w:rsidP="00A90898">
      <w:pPr>
        <w:pStyle w:val="TextoNormal"/>
      </w:pPr>
      <w:r>
        <w:lastRenderedPageBreak/>
        <w:t>La Ley Orgánica 6/2007, de 24 de mayo, de reforma de la Ley Orgánica 2/1979, de 3 de octubre, del Tribunal Constitucional, además de modificar la cuantía de las multas coercitivas establecidas en el art. 95.4 LOTC (art. 29), introdujo un párrafo segundo en el art. 92 LOTC, que reproduce el vigente art. 92.1 LOTC, en el que, en coherencia con la nueva redacción que dio al inciso final del art. 4.1 LOTC, faculta al Tribunal para “declarar la nulidad de cualesquiera resoluciones que contravengan las dictadas en el ejercicio de su jurisdicción, con ocasión de la ejecución de éstas, previa audiencia del Ministerio Fiscal y del órgano que las dictó” (art. 28).</w:t>
      </w:r>
    </w:p>
    <w:p w:rsidR="00A90898" w:rsidRDefault="00A90898" w:rsidP="00A90898">
      <w:pPr>
        <w:pStyle w:val="TextoNormal"/>
      </w:pPr>
    </w:p>
    <w:p w:rsidR="00A90898" w:rsidRDefault="00A90898" w:rsidP="00A90898">
      <w:pPr>
        <w:pStyle w:val="TextoNormal"/>
      </w:pPr>
      <w:r>
        <w:t>La reforma de la Ley Orgánica 15/2015, cuyo art. único, apartado 3, se recurre en el presente proceso en la nueva redacción que da al art. 92.4 b) y c) y 92.5 LOTC, tiene como finalidad, como explicita su preámbulo y ya se ha señalado, introducir “en sede constitucional, instrumentos de ejecución que dot[e]n al Tribunal de un haz de potestades para garantizar el cumplimiento efectivo de sus resoluciones”. En concreto, el art. 92.4 b) [suspensión en sus funciones de las autoridades o empleados públicos responsables del incumplimiento] y c) LOTC [ejecución sustitutoria, pudiendo requerir la colaboración del Gobierno de la Nación], recogen sendas medidas que forman parte del elenco de las contempladas en el citado art. 92.4 LOTC, que el Tribunal Constitucional, previa sustanciación del trámite de audiencia legalmente previsto, puede adoptar en los supuestos de incumplimiento de sus resoluciones. Del contenido literal e íntegro de este elenco de medidas se ha dejado constancia en el fundamento jurídico 2.</w:t>
      </w:r>
    </w:p>
    <w:p w:rsidR="00A90898" w:rsidRDefault="00A90898" w:rsidP="00A90898">
      <w:pPr>
        <w:pStyle w:val="TextoNormal"/>
      </w:pPr>
    </w:p>
    <w:p w:rsidR="00A90898" w:rsidRDefault="00A90898" w:rsidP="00A90898">
      <w:pPr>
        <w:pStyle w:val="TextoNormal"/>
      </w:pPr>
      <w:r>
        <w:t>También en el mismo fundamento jurídico hemos reproducido el contenido del art. 92.5 LOTC, objeto igualmente de este proceso constitucional, que atribuye al Tribunal Constitucional, de oficio o a instancia del Gobierno, la facultad de adoptar “las medidas necesarias para asegurar” las resoluciones que acuerden la suspensión de disposiciones, actos o actuaciones impugnadas.</w:t>
      </w:r>
    </w:p>
    <w:p w:rsidR="00A90898" w:rsidRDefault="00A90898" w:rsidP="00A90898">
      <w:pPr>
        <w:pStyle w:val="TextoNormal"/>
      </w:pPr>
    </w:p>
    <w:p w:rsidR="00A90898" w:rsidRDefault="00A90898" w:rsidP="00A90898">
      <w:pPr>
        <w:pStyle w:val="TextoNormal"/>
      </w:pPr>
      <w:r w:rsidRPr="00A90898">
        <w:rPr>
          <w:rStyle w:val="NumeroAFNegritaCaracter"/>
        </w:rPr>
        <w:t>10</w:t>
      </w:r>
      <w:r>
        <w:t>. Llegados aquí, no es posible compartir, con base en las genéricas alegaciones en las que los Letrados del Gobierno Vasco fundan la impugnación conjunta del art. 92.4 b) y c) y 92. 5 LOTC, la denunciada desnaturalización del modelo de jurisdicción constitucional diseñado por la Constitución, con la consiguiente alteración de la posición y funciones de este Tribunal, de la que hacen derivar la vulneración de los arts. 161, 164 y 165, en relación con el art. 117.3, CE.</w:t>
      </w:r>
    </w:p>
    <w:p w:rsidR="00A90898" w:rsidRDefault="00A90898" w:rsidP="00A90898">
      <w:pPr>
        <w:pStyle w:val="TextoNormal"/>
      </w:pPr>
    </w:p>
    <w:p w:rsidR="00A90898" w:rsidRDefault="00A90898" w:rsidP="00A90898">
      <w:pPr>
        <w:pStyle w:val="TextoNormal"/>
      </w:pPr>
      <w:r>
        <w:t xml:space="preserve">a) Modelo de jurisdicción constitucional que el constituyente, como ya se ha indicado, no ha querido que fuese cerrado ni petrificado, confiriendo al legislador orgánico del Tribunal Constitucional [arts. 161.1 d), 162.2 y 165 CE] una amplia habilitación, en los términos expuestos, para la determinación última de los distintos elementos que lo configuran. En la reserva de ley orgánica del art. 165 CE, cuya amplitud y vocación de complitud impide una interpretación restrictiva de su ámbito material, encuentran cobertura, con carácter general, la regulación de la ejecución de las resoluciones del Tribunal Constitucional y, en particular, de las medidas previstas para garantizar su cumplimiento y efectividad. Las concretas medidas contempladas en el art. 92.4 b) y c) y 92.5 LOTC constituyen, al igual que el resto, instrumentos o potestades puestos a disposición del Tribunal por el legislador para garantizar el debido y efectivo cumplimiento de sus sentencias y demás resoluciones, al que están obligados todos los poderes públicos, incluidas las Cámaras legislativas (ATC 170/2016, de 6 de octubre, FJ 2). La finalidad perseguida con ellas, como también con las medidas ahora </w:t>
      </w:r>
      <w:r>
        <w:lastRenderedPageBreak/>
        <w:t>impugnadas, tiene un fundamento constitucionalmente legítimo, cual es el de “garantizar la defensa de la posición institucional del Tribunal Constitucional y la efectividad de sus sentencias y resoluciones, protegiendo su ámbito jurisdiccional frente a cualquier intromisión ulterior de un poder público que pudiera menoscabarla” (</w:t>
      </w:r>
      <w:r w:rsidRPr="00A90898">
        <w:rPr>
          <w:i/>
        </w:rPr>
        <w:t>ibidem</w:t>
      </w:r>
      <w:r>
        <w:t>), que es lo mismo que decir, preservar la supremacía de la Constitución, a la que todos los poderes públicos están subordinados (art. 9.1 CE), y cuyo supremo intérprete y garante último es este Tribunal en el ejercicio de su función jurisdiccional.</w:t>
      </w:r>
    </w:p>
    <w:p w:rsidR="00A90898" w:rsidRDefault="00A90898" w:rsidP="00A90898">
      <w:pPr>
        <w:pStyle w:val="TextoNormal"/>
      </w:pPr>
    </w:p>
    <w:p w:rsidR="00A90898" w:rsidRDefault="00A90898" w:rsidP="00A90898">
      <w:pPr>
        <w:pStyle w:val="TextoNormal"/>
      </w:pPr>
      <w:r>
        <w:t>Así pues, sin perjuicio de las consideraciones que puedan hacerse en su momento respecto a otras posibles vulneraciones constitucionales que se alegan en el recurso, ha de descartarse que el legislador orgánico del Tribunal Constitucional con la introducción de las medidas previstas en el art. 92.4 b) y c) y 92.5 LOTC se haya excedido, por las razones que el demandante aduce en este motivo de inconstitucionalidad, en la habilitación que el constituyente le ha conferido con la reserva de ley orgánica del art. 165 CE, siendo precisamente este precepto constitucional, el que da cobertura a aquellas medidas.</w:t>
      </w:r>
    </w:p>
    <w:p w:rsidR="00A90898" w:rsidRDefault="00A90898" w:rsidP="00A90898">
      <w:pPr>
        <w:pStyle w:val="TextoNormal"/>
      </w:pPr>
    </w:p>
    <w:p w:rsidR="00A90898" w:rsidRDefault="00A90898" w:rsidP="00A90898">
      <w:pPr>
        <w:pStyle w:val="TextoNormal"/>
      </w:pPr>
      <w:r>
        <w:t xml:space="preserve">De igual modo, no puede afirmarse que estas medidas que el legislador, en su libertad de configuración, pone a disposición del Tribunal en el precepto impugnado para los supuestos de incumplimiento de sus resoluciones alteren, por sí mismas, con base en los razonamientos ofrecidos en este primer motivo de inconstitucionalidad, las funciones del Tribunal Constitucional, quien continúa ejerciendo en exclusiva la función jurisdiccional encomendada </w:t>
      </w:r>
      <w:r w:rsidRPr="00A90898">
        <w:rPr>
          <w:i/>
        </w:rPr>
        <w:t>ex constitutione</w:t>
      </w:r>
      <w:r>
        <w:t xml:space="preserve"> mediante el conocimiento de los procesos constitucionales atribuidos bien por el constituyente (arts. 53.2, 95.2, 161.1 y 2 y 163 CE), bien por el legislador orgánico </w:t>
      </w:r>
      <w:r w:rsidRPr="00A90898">
        <w:rPr>
          <w:i/>
        </w:rPr>
        <w:t>ex</w:t>
      </w:r>
      <w:r>
        <w:t xml:space="preserve"> arts. 161.1 d) y 165 CE, sin que, por consiguiente, pueda apreciarse tampoco una alteración de la posición institucional del Tribunal Constitucional. Es justamente en ejercicio de su función jurisdiccional a través de los correspondientes procesos constitucionales, de la que es un componente esencial la potestad de ejecución, cuando el Tribunal, con respeto a los requisitos y garantías establecidos por el legislador, puede llegar a adoptar las medidas legalmente previstas, entre ellas las contempladas en el citado art. 92.4 a) y b) y 92.5 LOTC, para garantizar la efectividad y el cumplimiento de sus resoluciones, de modo que no resultan alteradas ni sus funciones ni su posición institucional.</w:t>
      </w:r>
    </w:p>
    <w:p w:rsidR="00A90898" w:rsidRDefault="00A90898" w:rsidP="00A90898">
      <w:pPr>
        <w:pStyle w:val="TextoNormal"/>
      </w:pPr>
    </w:p>
    <w:p w:rsidR="00A90898" w:rsidRDefault="00A90898" w:rsidP="00A90898">
      <w:pPr>
        <w:pStyle w:val="TextoNormal"/>
      </w:pPr>
      <w:r>
        <w:t xml:space="preserve">b) Por otra parte, ningún precepto constitucional impide explícitamente, ni una prohibición de tal índole cabe inferir de los principios que informan nuestro modelo de jurisdicción constitucional, que el legislador orgánico </w:t>
      </w:r>
      <w:r w:rsidRPr="00A90898">
        <w:rPr>
          <w:i/>
        </w:rPr>
        <w:t>ex</w:t>
      </w:r>
      <w:r>
        <w:t xml:space="preserve"> art. 165 CE pueda establecer un proceso incidental que tenga por objeto velar por la efectividad y cumplimiento de las resoluciones del Tribunal y pueda poner a disposición de éste instrumentos o medidas destinados a dicha finalidad, así como que aquel proceso pueda dirigirse y que estos instrumentos o medidas puedan adoptarse en hipótesis en relación con altos órganos del Estado y de las Comunidades Autónomas cuando sean los destinatarios del cumplimiento de aquellas resoluciones.</w:t>
      </w:r>
    </w:p>
    <w:p w:rsidR="00A90898" w:rsidRDefault="00A90898" w:rsidP="00A90898">
      <w:pPr>
        <w:pStyle w:val="TextoNormal"/>
      </w:pPr>
    </w:p>
    <w:p w:rsidR="00A90898" w:rsidRDefault="00A90898" w:rsidP="00A90898">
      <w:pPr>
        <w:pStyle w:val="TextoNormal"/>
      </w:pPr>
      <w:r>
        <w:t xml:space="preserve">En este extremo, resulta necesario precisar, frente al planteamiento que se desliza en la demanda, que al Tribunal, como ya hemos señalado, no sólo le corresponde decidir las controversias que se susciten en los procesos constitucionales que ante él se promueven, sino también, en cuando componente esencial de la función jurisdiccional que tiene atribuida </w:t>
      </w:r>
      <w:r w:rsidRPr="00A90898">
        <w:rPr>
          <w:i/>
        </w:rPr>
        <w:t>ex constitutione</w:t>
      </w:r>
      <w:r>
        <w:t xml:space="preserve">, la titularidad de la potestad de ejecutar sus resoluciones, velando por el cumplimiento y la efectividad de las mismas, sin la cual aquella función jurisdiccional devendría huera. En fin, hemos de concluir el examen de las alegaciones de los Letrados del Gobierno </w:t>
      </w:r>
      <w:r>
        <w:lastRenderedPageBreak/>
        <w:t>Vasco en las que fundan la impugnación conjunta del art. 92.4 b) y c) y 5 LOTC insistiendo, una vez más, en que todos los poderes públicos, y por ende sus titulares, están obligados al debido cumplimiento de las resoluciones de este Tribunal (art. 87.1 CE), lo que es consecuencia de su sumisión a la Constitución (art. 9.1 CE) [AATC 141/2016, FJ 2, y 170/2016, FF JJ 2 y 8], sin que el contenido de las disposiciones, resoluciones o actos emanados de los poderes públicos, cualquiera que sea, pueda menoscabar la integridad de las competencias que la Constitución encomienda a este Tribunal, que ejercerá cuando proceda (ATC 170 /2016, FJ 8, con cita de los AATC 189/2015, de 5 de noviembre, FJ 3, y 141/2016, FJ 7).</w:t>
      </w:r>
    </w:p>
    <w:p w:rsidR="00A90898" w:rsidRDefault="00A90898" w:rsidP="00A90898">
      <w:pPr>
        <w:pStyle w:val="TextoNormal"/>
      </w:pPr>
    </w:p>
    <w:p w:rsidR="00A90898" w:rsidRDefault="00A90898" w:rsidP="00A90898">
      <w:pPr>
        <w:pStyle w:val="TextoNormal"/>
      </w:pPr>
      <w:r>
        <w:t>c) Los Letrados del Gobierno Vasco concluyen este primer motivo de inconstitucionalidad aduciendo respecto de cada una de las medidas del art. 92.4 b) [suspensión en sus funciones de autoridades o empleados de la Administración responsable del incumplimiento], c) [ejecución sustitutoria, pudiendo requerir la colaboración del Gobierno de la Nación] y 5 LOTC [adopción de medidas necesarias para asegurar el cumplimiento de resoluciones que acuerden la suspensión de disposiciones, actos o actuaciones impugnados y concurran circunstancias de especial trascendencia constitucional] que vulneran el principio de separación de poderes, a lo que añaden, en relación con las medidas contempladas en el art. 92.4 c) y 92.5 LOTC, que pueden llegar a afectar a la actividad de las Cámaras parlamentarias, que gozan de la prerrogativa de la inviolabilidad.</w:t>
      </w:r>
    </w:p>
    <w:p w:rsidR="00A90898" w:rsidRDefault="00A90898" w:rsidP="00A90898">
      <w:pPr>
        <w:pStyle w:val="TextoNormal"/>
      </w:pPr>
    </w:p>
    <w:p w:rsidR="00A90898" w:rsidRDefault="00A90898" w:rsidP="00A90898">
      <w:pPr>
        <w:pStyle w:val="TextoNormal"/>
      </w:pPr>
      <w:r>
        <w:t>Ha de rechazarse, antes de nada, la posible existencia de la vulneración de la Constitución denunciada sobre la base de imputaciones genéricas, como las efectuadas al respecto en la demanda, supuestamente atentatorias de principios constitucionales, como en este caso el principio de división de poderes, pues la invocación genérica de tales principios no puede sustentar en un recurso de inconstitucionalidad la pretensión de que este Tribunal invalide normas con rango de ley [STC 238/2012, FJ 6 a) y jurisprudencia allí citada]. Respecto a la hipotética incidencia que pudiera tener en la actividad de las Cámaras parlamentarias las medidas que con base en el art. 92.4 c) y 92.5 LOTC pudieran llegar a adoptarse en orden a obtener el debido cumplimiento de resoluciones del Tribunal Constitucional, hemos de reiterar que el control de constitucionalidad que hemos de llevar a cabo en este proceso es un control abstracto, que tiene por objeto exclusivamente contrastar los preceptos impugnados, en los que se incluyen medidas que el legislador ha puesto a disposición del Tribunal para garantizar con carácter general la efectividad de sus resoluciones, con los mandatos y principios constitucionales supuestamente vulnerados, al margen, por lo tanto, de su aplicación a casos concretos y de la viabilidad o no de las posibles medidas que se pudieran llegar a adoptar en los distintos procesos constitucionales. Será con ocasión de la aplicación concreta de alguna o algunas de estas medidas a fin de velar por el efectivo cumplimiento de la resolución recaída en un determinado proceso constitucional, cuando procederá examinar entonces su viabilidad.</w:t>
      </w:r>
    </w:p>
    <w:p w:rsidR="00A90898" w:rsidRDefault="00A90898" w:rsidP="00A90898">
      <w:pPr>
        <w:pStyle w:val="TextoNormal"/>
      </w:pPr>
    </w:p>
    <w:p w:rsidR="00A90898" w:rsidRDefault="00A90898" w:rsidP="00A90898">
      <w:pPr>
        <w:pStyle w:val="TextoNormal"/>
      </w:pPr>
      <w:r>
        <w:t>No obstante, sin intención de formular ningún pronunciamiento preventivo sobre hipotéticas aplicaciones de los preceptos recurridos, que, según reiterada doctrina constitucional, ni debemos ni podemos efectuar (STC 85/2016, de 28 de abril, FJ 4), no resulta ocioso traer a colación que este Tribunal tiene declarado que “la autonomía parlamentaria no puede erigirse en razón para soslayar el cumplimiento de las resoluciones del Tribunal Constitucional”, sin que la admonición a cumplir sus resoluciones suponga “en modo alguno una restricción ilegítima” de aquella autonomía “ni comprometa el ejercicio del derecho de parti</w:t>
      </w:r>
      <w:r>
        <w:lastRenderedPageBreak/>
        <w:t>cipación de los representantes políticos garantizado por el art. 23 CE”, pues “es la consecuencia obligada de la sumisión a la Constitución de todos los poderes públicos (art. 9.1 CE)”. En este sentido, hemos señalado también que la interpretación de las disposiciones reglamentarias de las Cámaras, que no pueden contradecir el imperio de la Constitución como norma suprema, ha de cohonestarse con el debido cumplimiento de las resoluciones del Tribunal Constitucional, al que vienen obligados todos los poderes públicos (art. 87.1 LOTC), de modo que aquella interpretación no entre en contradicción con los pronunciamientos del Tribunal Constitucional (ATC 170/2016, FF JJ 6, 7 y 8).</w:t>
      </w:r>
    </w:p>
    <w:p w:rsidR="00A90898" w:rsidRDefault="00A90898" w:rsidP="00A90898">
      <w:pPr>
        <w:pStyle w:val="TextoNormal"/>
      </w:pPr>
    </w:p>
    <w:p w:rsidR="00A90898" w:rsidRDefault="00A90898" w:rsidP="00A90898">
      <w:pPr>
        <w:pStyle w:val="TextoNormal"/>
      </w:pPr>
      <w:r>
        <w:t>Con base en los razonamientos expuestos, ha de ser desestimada la denunciada desnaturalización del modelo de jurisdicción constitucional diseñado en la Constitución, y, por consiguiente, la vulneración, que a ella se anuda, de los arts. 161 y 165 CE. E igual suerte han de correr la lesión del art. 164 CE, puesto que, además de carecer de argumentación alguna, este precepto nada dispone sobre la ejecución de las resoluciones del Tribunal Constitucional; y, en fin, la infracción del art. 117.3 CE, cuyas previsiones se refieren al alcance de la función jurisdiccional de los órganos que integran el Poder Judicial, del que aquél, como resulta del propio texto constitucional y tiene declarada una pronta y reiterada doctrina constitucional, no forma parte (ATC 83/1980, de 5 de mayo, FJ 2).</w:t>
      </w:r>
    </w:p>
    <w:p w:rsidR="00A90898" w:rsidRDefault="00A90898" w:rsidP="00A90898">
      <w:pPr>
        <w:pStyle w:val="TextoNormal"/>
      </w:pPr>
    </w:p>
    <w:p w:rsidR="00A90898" w:rsidRDefault="00A90898" w:rsidP="00A90898">
      <w:pPr>
        <w:pStyle w:val="TextoNormal"/>
      </w:pPr>
      <w:r w:rsidRPr="00A90898">
        <w:rPr>
          <w:rStyle w:val="NumeroAFNegritaCaracter"/>
        </w:rPr>
        <w:t>11</w:t>
      </w:r>
      <w:r>
        <w:t>. Como segundo motivo de inconstitucionalidad de orden sustantivo, los Letrados de Gobierno Vasco imputan al art. único, apartado 3, de la Ley Orgánica 15/2015, en la redacción que da al art. 92.4 b) y c) y 92.5 LOTC, la vulneración del principio de legalidad penal (art. 25.1 CE), así como del régimen constitucional y estatutario en materia de aforamiento (arts. 24, 71 y 72 CE y 26.2 y 32 EAPV). En este sentido se argumenta en la demanda que las medidas contempladas en el art. 92.4 b) y c) y 92.5 LOTC no son meras medidas coercitivas o cautelares, sino que tienen verdadero carácter punitivo. En particular, reviste tal carácter la suspensión en sus funciones de las autoridades o empleados públicos de la Administración responsable del incumplimiento [art. 92.4 b) LOTC], que es claramente una medida ineficaz, en cuanto por definición la suspensión imposibilita que la autoridad o empleado público suspendido pueda desplegar actividad alguna encaminada a ejecutar la resolución judicial, lo que revela, a su vez, que se trata en realidad de una medida destinada a castigar o sancionar la conducta de la autoridad o empleado público concernidos. Dado el carácter sancionador de las medidas del art. 92.4 b) y c) y 92.5 LOTC, el precepto no satisface las exigencias de previsibilidad en la definición de las conductas y de las sanciones que requiere la garantía material del principio de legalidad penal (art. 25.1 CE). Además, la suspensión de funciones constituye también una pena privativa de derechos (arts. 39 y 43 del Código penal: CP), que puede ser impuesta por el Tribunal Constitucional como respuesta al incumplimiento de sus resoluciones, con total inobservancia, por lo tanto, de la garantía del aforamiento que les pueda corresponder a las autoridades y empleados públicos.</w:t>
      </w:r>
    </w:p>
    <w:p w:rsidR="00A90898" w:rsidRDefault="00A90898" w:rsidP="00A90898">
      <w:pPr>
        <w:pStyle w:val="TextoNormal"/>
      </w:pPr>
    </w:p>
    <w:p w:rsidR="00A90898" w:rsidRDefault="00A90898" w:rsidP="00A90898">
      <w:pPr>
        <w:pStyle w:val="TextoNormal"/>
      </w:pPr>
      <w:r>
        <w:t xml:space="preserve">El Abogado del Estado se opone a la estimación de este motivo de inconstitucionalidad, pues entiende que la suspensión de funciones prevista en el art. 92.4 b) LOTC no es una medida sancionadora, dado que no está diseñada para sancionar un comportamiento con carácter represivo, sino para evitar la persistencia en el incumplimiento de una resolución del Tribunal Constitucional. Se trata de una suspensión evitable, ya que el Tribunal no puede imponerla sino tras la constatación, con la tramitación del incidente en el que se da audiencia a las personas afectadas, de la voluntad incumplidora de su destinatario y sólo a la autoridad </w:t>
      </w:r>
      <w:r>
        <w:lastRenderedPageBreak/>
        <w:t>o el empleado público responsable del incumplimiento. La ausencia del carácter sancionador de la medida excluye, afirma el Abogado del Estado, la aplicación del principio de legalidad (art. 25 CE), así como la infracción de la normativa constitucional y estatutaria en materia de aforamiento, puesto que su imposición no implica una actividad de enjuiciamiento penal de sus posibles destinatarios.</w:t>
      </w:r>
    </w:p>
    <w:p w:rsidR="00A90898" w:rsidRDefault="00A90898" w:rsidP="00A90898">
      <w:pPr>
        <w:pStyle w:val="TextoNormal"/>
      </w:pPr>
    </w:p>
    <w:p w:rsidR="00A90898" w:rsidRDefault="00A90898" w:rsidP="00A90898">
      <w:pPr>
        <w:pStyle w:val="TextoNormal"/>
      </w:pPr>
      <w:r w:rsidRPr="00A90898">
        <w:rPr>
          <w:rStyle w:val="NumeroAFNegritaCaracter"/>
        </w:rPr>
        <w:t>12</w:t>
      </w:r>
      <w:r>
        <w:t>. El motivo de inconstitucionalidad cuyo examen procede ahora afrontar se sustenta exclusivamente en el carácter punitivo de las medidas previstas en el art. 92.4 b) y c) y 92.5 LOTC, lo que conllevaría la vulneración de las garantías de orden material que exige el principio de legalidad penal (art. 25.1 CE), así como la infracción de los preceptos constitucionales y estatutarios que regulan la figura del aforamiento.</w:t>
      </w:r>
    </w:p>
    <w:p w:rsidR="00A90898" w:rsidRDefault="00A90898" w:rsidP="00A90898">
      <w:pPr>
        <w:pStyle w:val="TextoNormal"/>
      </w:pPr>
    </w:p>
    <w:p w:rsidR="00A90898" w:rsidRDefault="00A90898" w:rsidP="00A90898">
      <w:pPr>
        <w:pStyle w:val="TextoNormal"/>
      </w:pPr>
      <w:r>
        <w:t>Sin embargo, los Letrados del Gobierno Vasco sólo argumentan sobre el carácter punitivo de la medida de suspensión en sus funciones de autoridades o empleados públicos del art. 92.4 b) LOTC, sin que nada digan al respecto en relación con las contempladas en el art. 92.4 c) y 92.5 LOTC, de modo que únicamente aquella medida puede ser objeto de nuestro enjuiciamiento con base en el motivo de inconstitucionalidad aducido, al no haber satisfecho la demanda, conforme a una reiterada doctrina constitucional de la que ya hemos dejado constancia, la carga de ofrecer una fundamentación suficiente sobre la posible vulneración por las otras dos medidas de los preceptos constitucionales y estatutarios invocados, no siendo admisibles impugnaciones globales carentes de un razonamiento desarrollado que las sustente.</w:t>
      </w:r>
    </w:p>
    <w:p w:rsidR="00A90898" w:rsidRDefault="00A90898" w:rsidP="00A90898">
      <w:pPr>
        <w:pStyle w:val="TextoNormal"/>
      </w:pPr>
    </w:p>
    <w:p w:rsidR="00A90898" w:rsidRDefault="00A90898" w:rsidP="00A90898">
      <w:pPr>
        <w:pStyle w:val="TextoNormal"/>
      </w:pPr>
      <w:r w:rsidRPr="00A90898">
        <w:rPr>
          <w:rStyle w:val="NumeroAFNegritaCaracter"/>
        </w:rPr>
        <w:t>13</w:t>
      </w:r>
      <w:r>
        <w:t xml:space="preserve">. Es doctrina constitucional reiterada que las garantías que la Constitución prevé para los actos de contenido punitivo no resultan, sin más, exigibles a los actos restrictivos de derechos (SSTC 34/2003, de 25 de febrero, FJ 2 y 181/2014, de 6 de noviembre, FJ 5). Así, en relación con el principio de legalidad en materia penal este Tribunal tiene declarado que “los postulados del art. 25 CE no pueden aplicarse a ámbitos que no sean los específicos del ilícito penal o administrativo, siendo improcedente su aplicación extensiva o analógica … a supuestos distintos o a actos por su mera condición de ser restrictivos de derechos, si no representan el efectivo ejercicio del </w:t>
      </w:r>
      <w:r w:rsidRPr="00A90898">
        <w:rPr>
          <w:i/>
        </w:rPr>
        <w:t>ius puniendi</w:t>
      </w:r>
      <w:r>
        <w:t xml:space="preserve"> del Estado o tienen un verdadero sentido sancionador” (STC 48/2003, de 12 de marzo, FJ 9 y doctrina allí citada).</w:t>
      </w:r>
    </w:p>
    <w:p w:rsidR="00A90898" w:rsidRDefault="00A90898" w:rsidP="00A90898">
      <w:pPr>
        <w:pStyle w:val="TextoNormal"/>
      </w:pPr>
    </w:p>
    <w:p w:rsidR="00A90898" w:rsidRDefault="00A90898" w:rsidP="00A90898">
      <w:pPr>
        <w:pStyle w:val="TextoNormal"/>
      </w:pPr>
      <w:r>
        <w:t xml:space="preserve">Como dijimos en esta última Sentencia, para determinar si una consecuencia jurídica tiene o no carácter punitivo habrá que atender, ante todo, a la función que tiene encomendada en el sistema jurídico. De modo que si tiene una función represiva y con ella se restringen derechos como consecuencia de un ilícito, habremos de entender que se trata de una pena o sanción en sentido material, pero si en lugar de la represión concurren otras finalidades justificativas deberá descartarse la existencia de una pena, por más que se trate de una consecuencia gravosa. Así, hemos negado la existencia de una función retributiva porque las medidas impugnadas tenían la finalidad de constreñir a la realización de una prestación o al cumplimiento de una obligación concreta (STC 239/1988, de 14 de diciembre, FJ 2), perseguían la simple aplicación del ordenamiento por la Administración competente (STC 181/1990, de 14 de noviembre, FJ 4) o, en fin, tenían como único objetivo restablecer la legalidad conculcada (STC 119/1991, de 3 de junio, FJ 3). No basta, pues, la sola pretensión de constreñir al cumplimiento de un deber jurídico (como ocurre con las multas coercitivas) o de restablecer la legalidad conculcada frente a quien se desenvuelve sin observar las condiciones establecidas por el ordenamiento para la ejecución de un determinada actividad. Es </w:t>
      </w:r>
      <w:r>
        <w:lastRenderedPageBreak/>
        <w:t>preciso que, de manera autónoma o en concurrencia con esas pretensiones, el perjuicio causado responda a un sentido retributivo, que se traduce en la irrogación de un mal añadido al que de suyo implica el cumplimiento forzoso de una obligación ya debida o la imposibilidad de seguir desarrollando una actividad a la que no se tenía derecho. En fin, el carácter penal o administrativo sancionador de la reacción del ordenamiento sólo aparece cuando, al margen de la voluntad reparadora, se inflige un perjuicio añadido con el que se afecta al infractor en el círculo de los bienes y derechos de los que disfrutaba lícitamente (STC 48/2003, FJ 9; en el mismo sentido, SSTC 331/2006, de 20 de noviembre, FJ 4; 121/2010, de 29 de noviembre, FJ 7; 39/2011, de 31 de marzo, FF JJ 2 y 3, y 17/2013, de 31 de enero, FJ 12).</w:t>
      </w:r>
    </w:p>
    <w:p w:rsidR="00A90898" w:rsidRDefault="00A90898" w:rsidP="00A90898">
      <w:pPr>
        <w:pStyle w:val="TextoNormal"/>
      </w:pPr>
    </w:p>
    <w:p w:rsidR="00A90898" w:rsidRDefault="00A90898" w:rsidP="00A90898">
      <w:pPr>
        <w:pStyle w:val="TextoNormal"/>
      </w:pPr>
      <w:r>
        <w:t xml:space="preserve">Debemos, en consecuencia, indagar la verdadera naturaleza de la medida de suspensión en sus funciones de las autoridades o empleados públicos prevista en el art. 92.4 b) LOTC a efectos de afirmar o descartar su carácter punitivo, para lo que sí es determinante, de conformidad con la doctrina constitucional referida, la función o finalidad que pretende conseguirse con aquella medida [STC, por todas, 181/2014, FJ 6; SSTEDH de 21 de febrero de 1984, asunto </w:t>
      </w:r>
      <w:r w:rsidRPr="00A90898">
        <w:rPr>
          <w:i/>
        </w:rPr>
        <w:t>Öztürk</w:t>
      </w:r>
      <w:r>
        <w:t xml:space="preserve">, serie A, núm. 73 (53 y 70); de 22 de mayo de 1990, asunto </w:t>
      </w:r>
      <w:r w:rsidRPr="00A90898">
        <w:rPr>
          <w:i/>
        </w:rPr>
        <w:t>Weber</w:t>
      </w:r>
      <w:r>
        <w:t xml:space="preserve">, serie A, núm. 177 (31-33) y de 27 de agosto de 1991, asunto </w:t>
      </w:r>
      <w:r w:rsidRPr="00A90898">
        <w:rPr>
          <w:i/>
        </w:rPr>
        <w:t>Demicoli</w:t>
      </w:r>
      <w:r>
        <w:t>, serie A, núm. 210 (33)].</w:t>
      </w:r>
    </w:p>
    <w:p w:rsidR="00A90898" w:rsidRDefault="00A90898" w:rsidP="00A90898">
      <w:pPr>
        <w:pStyle w:val="TextoNormal"/>
      </w:pPr>
    </w:p>
    <w:p w:rsidR="00A90898" w:rsidRDefault="00A90898" w:rsidP="00A90898">
      <w:pPr>
        <w:pStyle w:val="TextoNormal"/>
      </w:pPr>
      <w:r w:rsidRPr="00A90898">
        <w:rPr>
          <w:rStyle w:val="NumeroAFNegritaCaracter"/>
        </w:rPr>
        <w:t>14</w:t>
      </w:r>
      <w:r>
        <w:t>. Los razonamientos en los que los Letrados del Gobierno Vasco sustentan el carácter punitivo de la medida de suspensión de funciones no son concluyentes para dilucidar su naturaleza. El que su adopción no permita la ejecución de la resolución jurisdiccional por la autoridad o empleado público suspendido en sus funciones y responsable del incumplimiento nada dice sobre el carácter punitivo de la medida. La constatación por el Tribunal de la voluntad deliberada y persistente de la autoridad o empleado público de no cumplirla es el presupuesto legal para la aplicación de la medida, con la que precisamente se pretende, no instar de nuevo a su cumplimiento por aquella autoridad o empleado público, sino remover el obstáculo que su manifiesta voluntad incumplidora supone para la efectividad de dicha resolución, de modo que el hecho de que la autoridad o empleado público suspendido no pueda en ejercicio de sus funciones llevarla a término no resulta revelador de su condición punitiva. Tampoco deviene determinante de esta condición su consideración como sanción en la legislación disciplinaria en materia de función pública o como pena en el Código penal, ya que justamente de lo que se trata ahora es de dilucidar si la concreta medida de suspensión de funciones, que el legislador orgánico ha puesto a disposición del Tribunal, tal y como aparece configurada en el art. 92.4 b) LOTC, tiene o no naturaleza punitiva. En otras palabras, lo que hemos de enjuiciar es su cuestionada viabilidad constitucional como potestad conferida al Tribunal para garantizar la ejecución de sus resoluciones. Parece evidente que, en principio, en modo alguno cabe descartar que una misma institución o medida pueda obedecer o atender a finalidades diferentes y pueda presentar, en consecuencia, una distinta naturaleza jurídica.</w:t>
      </w:r>
    </w:p>
    <w:p w:rsidR="00A90898" w:rsidRDefault="00A90898" w:rsidP="00A90898">
      <w:pPr>
        <w:pStyle w:val="TextoNormal"/>
      </w:pPr>
    </w:p>
    <w:p w:rsidR="00A90898" w:rsidRDefault="00A90898" w:rsidP="00A90898">
      <w:pPr>
        <w:pStyle w:val="TextoNormal"/>
      </w:pPr>
      <w:r>
        <w:t xml:space="preserve">La medida ahora controvertida forma parte del elenco de instrumentos que el legislador orgánico ha puesto a disposición del Tribunal en el art. 92.4 LOTC para los supuestos de incumplimiento de sus resoluciones. Medidas, entre ellas la suspensión de funciones, que sólo pueden adoptarse, como ya se ha señalado, una vez advertido que una resolución dictada por el Tribunal en el ejercicio de su jurisdicción pudiera estar siendo incumplida y tras el trámite de audiencia que aquel precepto regula. Esto es, de advertirse tal incumplimiento, el Tribunal, de oficio o a instancia de una de las partes del proceso en las que hubiera recaído </w:t>
      </w:r>
      <w:r>
        <w:lastRenderedPageBreak/>
        <w:t>aquella resolución, “requerirá a las instituciones, autoridades, empleados públicos o particulares a quienes corresponda llevar a cabo su cumplimiento para que en el plazo que se les fije informen al respecto”. Si una vez recibido el informe o transcurrido el plazo fijado, “el Tribunal apreciase el incumplimiento total o parcial de su resolución, podrá adoptar cualesquiera de las medidas” que se recogen en el art. 92.4 LOTC, entre ellas, la suspensión en sus funciones de las autoridades o empleados públicos de la Administración responsable del incumplimiento [b)].</w:t>
      </w:r>
    </w:p>
    <w:p w:rsidR="00A90898" w:rsidRDefault="00A90898" w:rsidP="00A90898">
      <w:pPr>
        <w:pStyle w:val="TextoNormal"/>
      </w:pPr>
    </w:p>
    <w:p w:rsidR="00A90898" w:rsidRDefault="00A90898" w:rsidP="00A90898">
      <w:pPr>
        <w:pStyle w:val="TextoNormal"/>
      </w:pPr>
      <w:r>
        <w:t>Esta medida de suspensión de funciones, como se explicita en la preámbulo de la Ley y resulta de una interpretación sistemática del precepto, sólo puede recaer sobre las autoridades o empleados públicos responsables del incumplimiento de la resolución dictada por el Tribunal en el ejercicio de su jurisdicción, una vez advertido tal incumplimiento y si, sustanciado el trámite de audiencia previsto en el art. 92.4 LOTC, el Tribunal aprecia el incumplimiento total o parcial de la misma, a la vista de informe recibido de las autoridades o empleados públicos a los que corresponde llevar a cabo el cumplimiento de la resolución o transcurrido el plazo fijado sin que hubieran emitido dicho informe. Es obvio que sólo podrá aplicarse, cuando esté en la esfera de actuación de la autoridad o empleado público concernidos el cumplimiento de la resolución de que se trate y se acredite su voluntad deliberada y persistente de no atender al mismo. Así pues, el ámbito subjetivo de aplicación de la medida es exclusivamente el de las autoridades o empleados públicos responsables del incumplimiento, sin que pueda extenderse a autoridades, empleados públicos u otras personas ajenas a dicho ámbito de responsabilidad.</w:t>
      </w:r>
    </w:p>
    <w:p w:rsidR="00A90898" w:rsidRDefault="00A90898" w:rsidP="00A90898">
      <w:pPr>
        <w:pStyle w:val="TextoNormal"/>
      </w:pPr>
    </w:p>
    <w:p w:rsidR="00A90898" w:rsidRDefault="00A90898" w:rsidP="00A90898">
      <w:pPr>
        <w:pStyle w:val="TextoNormal"/>
      </w:pPr>
      <w:r>
        <w:t>La suspensión, además, como se desprende del inciso final del art. 92.4 b) LOTC, sólo se puede acordar “durante el tiempo preciso para asegurar la observancia de los pronunciamientos del Tribunal”, de modo que la duración temporal de la medida queda circunscrita necesariamente a ese periodo, no pudiendo extenderse ni prolongarse más allá de ese lapso de tiempo; asimismo habrá de ajustarse, en la medida en que resulte factible, a las funciones que guarden relación directa con la ejecución de la sentencia.</w:t>
      </w:r>
    </w:p>
    <w:p w:rsidR="00A90898" w:rsidRDefault="00A90898" w:rsidP="00A90898">
      <w:pPr>
        <w:pStyle w:val="TextoNormal"/>
      </w:pPr>
    </w:p>
    <w:p w:rsidR="00A90898" w:rsidRDefault="00A90898" w:rsidP="00A90898">
      <w:pPr>
        <w:pStyle w:val="TextoNormal"/>
      </w:pPr>
      <w:r>
        <w:t>Y, en fin, dado que la medida está orientada a “asegurar la observancia de los pronunciamientos del Tribunal”, hay que concluir que en su adopción no sólo habrán de respetarse los límites subjetivos y temporales ya señalados, sino que, además, únicamente podrá acordarse cuando resulte idónea para la finalidad para la que ha sido prevista por el legislador, esto es, para garantizar la efectividad y el cumplimiento de las resoluciones dictadas por el Tribunal en el ejercicio de su jurisdicción. Eso implica que deberá contraerse al ejercicio de aquellas atribuciones cuya suspensión resulte imprescindible para asegurar la ejecución de la resolución dictada. Asimismo, como el Abogado del Estado pone de manifiesto en su escrito de alegaciones, es una medida que habrá de levantarse tan pronto como cese la voluntad incumplidora de la autoridad o empleado público responsable del cumplimiento de la resolución.</w:t>
      </w:r>
    </w:p>
    <w:p w:rsidR="00A90898" w:rsidRDefault="00A90898" w:rsidP="00A90898">
      <w:pPr>
        <w:pStyle w:val="TextoNormal"/>
      </w:pPr>
    </w:p>
    <w:p w:rsidR="00A90898" w:rsidRDefault="00A90898" w:rsidP="00A90898">
      <w:pPr>
        <w:pStyle w:val="TextoNormal"/>
      </w:pPr>
      <w:r w:rsidRPr="00A90898">
        <w:rPr>
          <w:rStyle w:val="NumeroAFNegritaCaracter"/>
        </w:rPr>
        <w:t>15</w:t>
      </w:r>
      <w:r>
        <w:t>. La medida de suspensión en sus funciones de las autoridades o empleados públicos del art. 92.4 b) LOTC es, desde luego, una consecuencia jurídica gravosa para la autoridad o empleado público al que se le aplique, pero ello no la convierte sin más en un medida punitiva, pues en otro caso habría que conceder “que toda consecuencia jurídica desfavorable … encerraría un componente sancionador” (STC 48/2003, FJ 9).</w:t>
      </w:r>
    </w:p>
    <w:p w:rsidR="00A90898" w:rsidRDefault="00A90898" w:rsidP="00A90898">
      <w:pPr>
        <w:pStyle w:val="TextoNormal"/>
      </w:pPr>
    </w:p>
    <w:p w:rsidR="00A90898" w:rsidRDefault="00A90898" w:rsidP="00A90898">
      <w:pPr>
        <w:pStyle w:val="TextoNormal"/>
      </w:pPr>
      <w:r>
        <w:lastRenderedPageBreak/>
        <w:t>La función de la medida no es la de infligir un castigo ante un comportamiento antijurídico o ilícito, como podría ser la desatención de la obligación de todos los podres públicos y los ciudadanos de cumplir las resoluciones del Tribunal Constitucional, consecuencia de la sujeción de todos a la Constitución y al resto del ordenamiento jurídico (art. 9.1 CE). Para la exigencia de las responsabilidades penales que pudieran derivarse del incumplimiento de aquella obligación, el legislador ha previsto otro tipo de medida como es la deducción del oportuno testimonio de particulares [art. 92.4 d) LOTC], que el preámbulo de la Ley Orgánica 15/2015, manifestando la voluntad del legislador, refiere como medida distinta a la que ahora nos ocupa.</w:t>
      </w:r>
    </w:p>
    <w:p w:rsidR="00A90898" w:rsidRDefault="00A90898" w:rsidP="00A90898">
      <w:pPr>
        <w:pStyle w:val="TextoNormal"/>
      </w:pPr>
    </w:p>
    <w:p w:rsidR="00A90898" w:rsidRDefault="00A90898" w:rsidP="00A90898">
      <w:pPr>
        <w:pStyle w:val="TextoNormal"/>
      </w:pPr>
      <w:r>
        <w:t>El legislador orgánico del Tribunal Constitucional, en ejercicio de la amplia habilitación que le confiere la reserva de ley del art. 165 CE, ha configurado en el art. 92.4 b) LOTC la medida de suspensión de funciones de las autoridades o empleados públicos como una medida para facilitar la plena ejecución de las resoluciones del Tribunal Constitucional mediante la remoción de quien obstaculiza su debida observancia, esto es, la autoridad o empleado público que siendo responsable de su cumplimiento, sin embargo, se muestra renuente al mismo y persiste en esta actitud. Aquella remoción necesaria para que cese el obstáculo al cumplimiento de la resolución permitirá al Tribunal adoptar las medidas necesarias y pertinentes en cada caso para garantizar su efectividad. Así pues, por más que la medida de suspensión controvertida tenga una consecuencia gravosa para la autoridad o empleado público al que se le imponga durante el tiempo preciso para asegurar la observancia de los pronunciamiento del Tribunal, no responde a una finalidad propiamente represiva, retributiva o de castigo, características de las medidas punitivas, sino a la finalidad de garantizar la efectividad y cumplimiento de las resoluciones del Tribunal Constitucional, al que todos los poderes públicos y ciudadanos están obligados.</w:t>
      </w:r>
    </w:p>
    <w:p w:rsidR="00A90898" w:rsidRDefault="00A90898" w:rsidP="00A90898">
      <w:pPr>
        <w:pStyle w:val="TextoNormal"/>
      </w:pPr>
    </w:p>
    <w:p w:rsidR="00A90898" w:rsidRDefault="00A90898" w:rsidP="00A90898">
      <w:pPr>
        <w:pStyle w:val="TextoNormal"/>
      </w:pPr>
      <w:r>
        <w:t>No hay, por tanto, componente punitivo alguno en la medida de suspensión en sus funciones de las autoridades o empleados públicos prevista en el art. 92.4 b) LOTC. Se trata, por el contrario, de una medida que el legislador ha concebido, en el ejercicio de su libertad de configuración, directamente vinculada a la ejecución efectiva de las resoluciones del Tribunal Constitucional, en garantía, por consiguiente, de uno de los componentes esenciales de su función jurisdiccional, que únicamente se puede adoptar previo cumplimiento de los requisitos y condiciones que dispone el citado art. 92.4 b) LOTC. Al margen de la finalidad justificativa apuntada, no cabe apreciar en la configuración que el legislador orgánico ha hecho de la medida de suspensión en sus funciones de las autoridades o empleados públicos del art. 92.4 b) LOTC una pretensión de causar un perjuicio añadido en el círculo de sus bienes y derechos como consecuencia de la realización de una supuesta conducta ilícita.</w:t>
      </w:r>
    </w:p>
    <w:p w:rsidR="00A90898" w:rsidRDefault="00A90898" w:rsidP="00A90898">
      <w:pPr>
        <w:pStyle w:val="TextoNormal"/>
      </w:pPr>
    </w:p>
    <w:p w:rsidR="00A90898" w:rsidRDefault="00A90898" w:rsidP="00A90898">
      <w:pPr>
        <w:pStyle w:val="TextoNormal"/>
      </w:pPr>
      <w:r>
        <w:t>Descartado el carácter punitivo de la medida de suspensión de funciones del art. 92.4 b) LOTC, han de desestimarse las denunciadas infracciones del art. 25.1 CE y de los preceptos constitucionales y estatutarios que regulan la figura del aforamiento.</w:t>
      </w:r>
    </w:p>
    <w:p w:rsidR="00A90898" w:rsidRDefault="00A90898" w:rsidP="00A90898">
      <w:pPr>
        <w:pStyle w:val="TextoNormal"/>
      </w:pPr>
    </w:p>
    <w:p w:rsidR="00A90898" w:rsidRDefault="00A90898" w:rsidP="00A90898">
      <w:pPr>
        <w:pStyle w:val="TextoNormal"/>
      </w:pPr>
      <w:r w:rsidRPr="00A90898">
        <w:rPr>
          <w:rStyle w:val="NumeroAFNegritaCaracter"/>
        </w:rPr>
        <w:t>16</w:t>
      </w:r>
      <w:r>
        <w:t xml:space="preserve">. El último motivo de inconstitucionalidad de orden sustantivo en el que los Letrados del Gobierno Vasco sustentan la impugnación del artículo único, apartado 3, de la Ley Orgánica 15/2015, en la nueva redacción que da al art. 92.4 b) y c) y 92.5 LOTC, consiste en la infracción de los arts. 143 y 155 CE. Argumentan que la Ley Orgánica 15/2015 supone una alteración del sistema de controles de las Comunidades Autónomas por el Estado proscrito por el Tribunal Constitucional, en cuanto no se ajusta al principio de autonomía el </w:t>
      </w:r>
      <w:r>
        <w:lastRenderedPageBreak/>
        <w:t>establecimiento de controles genéricos e indeterminados que implican una posición jerárquicamente subordinada de las Comunidades Autónomas respecto de la Administración del Estado (STC 76/1983, de 5 de agosto, FJ 12). En concreto, las medidas previstas en el art. 92.4 b) y 92.5 LOTC quedan configuradas como mecanismos equivalentes al previsto en el art. 155.2 CE, es decir, se convierten en realidad en presupuesto de aplicabilidad de este precepto constitucional. De otra parte, la medida contemplada en el art. 92.4 c) LOTC supone una actuación subsidiaria que implica una forma de control sobre la actuación de la Administración autonómica incompatible con el principio de autonomía, al sustituirse a la Comunidad Autónoma en el ejercicio de su competencia.</w:t>
      </w:r>
    </w:p>
    <w:p w:rsidR="00A90898" w:rsidRDefault="00A90898" w:rsidP="00A90898">
      <w:pPr>
        <w:pStyle w:val="TextoNormal"/>
      </w:pPr>
    </w:p>
    <w:p w:rsidR="00A90898" w:rsidRDefault="00A90898" w:rsidP="00A90898">
      <w:pPr>
        <w:pStyle w:val="TextoNormal"/>
      </w:pPr>
      <w:r>
        <w:t>El Abogado del Estado se opone también a la estimación de este motivo de inconstitucionalidad, pues entiende que las medidas recogidas en el art. 92.4 b) y c) y 92.5 LOTC no son controles que el Estado realiza sobre las Comunidades Autónomas con vulneración del principio de autonomía (art. 143 CE), sino medidas que se adoptan por el propio Tribunal Constitucional ante el incumplimiento de sus resoluciones, con el objetivo de satisfacer el mandato constitucional de sujeción de todos los poderes públicos a la Constitución y al resto del ordenamiento jurídico (art. 9.1 CE). No existe la alegada subordinación jerárquica entre el Estado y las Comunidades Autónomas por la posible adopción de aquellas medidas, ya que también el Tribunal puede acordarlas en relación con el Estado.</w:t>
      </w:r>
    </w:p>
    <w:p w:rsidR="00A90898" w:rsidRDefault="00A90898" w:rsidP="00A90898">
      <w:pPr>
        <w:pStyle w:val="TextoNormal"/>
      </w:pPr>
    </w:p>
    <w:p w:rsidR="00A90898" w:rsidRDefault="00A90898" w:rsidP="00A90898">
      <w:pPr>
        <w:pStyle w:val="TextoNormal"/>
      </w:pPr>
      <w:r w:rsidRPr="00A90898">
        <w:rPr>
          <w:rStyle w:val="NumeroAFNegritaCaracter"/>
        </w:rPr>
        <w:t>17</w:t>
      </w:r>
      <w:r>
        <w:t>. El enjuiciamiento de este motivo de inconstitucionalidad requiere distinguir, de una parte, el reproche que de manera conjunta se dirige a las medidas del art. 92.4 b) y c) y 92.5 LOTC por posible alteración del sistema de controles del Estado sobre las Comunidades Autónomas, en particular, del mecanismo previsto en el art. 155 CE; y, de otra, la queja que se formula en relación con el art. 92.4 c) LOTC, en cuanto puede implicar la sustitución de la Comunidad Autónoma por el Estado en el ejercicio de sus competencias.</w:t>
      </w:r>
    </w:p>
    <w:p w:rsidR="00A90898" w:rsidRDefault="00A90898" w:rsidP="00A90898">
      <w:pPr>
        <w:pStyle w:val="TextoNormal"/>
      </w:pPr>
    </w:p>
    <w:p w:rsidR="00A90898" w:rsidRDefault="00A90898" w:rsidP="00A90898">
      <w:pPr>
        <w:pStyle w:val="TextoNormal"/>
      </w:pPr>
      <w:r>
        <w:t>a) Los Letrados del Gobierno Vasco parten del presupuesto de considerar equivalentes las nuevas medidas de ejecución que el legislador ha puesto a disposición del Tribunal Constitucional, en concreto las previstas en el art. 92.4 b) y c) y 92.5 LOTC, y el mecanismo del art. 155 CE. Sin embargo, aquellas medidas y este mecanismo descansan en diferentes títulos legitimadores, sin perjuicio de que puedan resultar coincidentes algunas de las medidas que puedan llegar a adoptarse en uno y otro supuesto.</w:t>
      </w:r>
    </w:p>
    <w:p w:rsidR="00A90898" w:rsidRDefault="00A90898" w:rsidP="00A90898">
      <w:pPr>
        <w:pStyle w:val="TextoNormal"/>
      </w:pPr>
    </w:p>
    <w:p w:rsidR="00A90898" w:rsidRDefault="00A90898" w:rsidP="00A90898">
      <w:pPr>
        <w:pStyle w:val="TextoNormal"/>
      </w:pPr>
      <w:r>
        <w:t>Como ya hemos tenido ocasión de señalar, en la reserva de ley orgánica del art. 165 CE encuentran cobertura, con carácter general, la regulación de la ejecución de las resoluciones del Tribunal Constitucional y, en particular, las medidas impugnadas en este proceso constitucional, cuya finalidad no es otra que la de garantizar el debido y efectivo cumplimiento de las resoluciones del Tribunal Constitucional, al que están obligados todos los poderes públicos (ATC 170/2016, FJ 6), protegiendo su posición institucional y su ámbito jurisdiccional. Es al propio Tribunal Constitucional, titular de la potestad de ejecución, al que le corresponde adoptar en caso de incumplimiento de sus resoluciones, tras el trámite de audiencia previsto en el art. 92.4 LOTC, las medidas puestas por el legislador a su disposición que, resultando constitucionalmente procedentes o viables en atención a las circunstancias concurrentes en cada supuesto, considere conveniente en orden a garantizar la efectiva observancia de sus pronunciamientos.</w:t>
      </w:r>
    </w:p>
    <w:p w:rsidR="00A90898" w:rsidRDefault="00A90898" w:rsidP="00A90898">
      <w:pPr>
        <w:pStyle w:val="TextoNormal"/>
      </w:pPr>
    </w:p>
    <w:p w:rsidR="00A90898" w:rsidRDefault="00A90898" w:rsidP="00A90898">
      <w:pPr>
        <w:pStyle w:val="TextoNormal"/>
      </w:pPr>
      <w:r>
        <w:lastRenderedPageBreak/>
        <w:t>Por su parte, el título legitimador para la adopción de “las medidas necesarias” a las que se refiere el art. 155 CE es el incumplimiento por una Comunidad Autónoma de “las obligaciones que la Constitución u otras leyes le impongan” o su actuación “de forma que atente gravemente al interés general de España”. Es al Gobierno de la Nación, previo requerimiento al Presidente de la Comunidad Autónoma, y, en el caso de no ser atendido este, con la aprobación de la mayoría absoluta del Senado, a quien le corresponde adoptar “las medidas necesarias para obligar a aquélla al cumplimiento forzoso de dichas obligaciones o para la protección del mencionado interés general de España”.</w:t>
      </w:r>
    </w:p>
    <w:p w:rsidR="00A90898" w:rsidRDefault="00A90898" w:rsidP="00A90898">
      <w:pPr>
        <w:pStyle w:val="TextoNormal"/>
      </w:pPr>
    </w:p>
    <w:p w:rsidR="00A90898" w:rsidRDefault="00A90898" w:rsidP="00A90898">
      <w:pPr>
        <w:pStyle w:val="TextoNormal"/>
      </w:pPr>
      <w:r>
        <w:t>Se trata, por consiguiente, de medidas que tienen un diferente título legitimador y que, por lo tanto, frente a lo que sostienen apodícticamente los Letrados del Gobierno Vasco, no pueden considerarse como mecanismos equivalentes. Las contempladas en el art. 92.4 b) y c) y 92.5 LOTC, que también pueden llegar a adoptarse en relación con el Estado y a cuya finalidad y fundamento constitucionalmente legítimo ya nos hemos referido, en modo alguno constituyen mecanismos de control del Estado sobre las Comunidades Autónomas, estando exclusivamente orientadas a garantizar la efectividad y el cumplimiento de las resoluciones del Tribunal Constitucional, al que, es preciso insistir de nuevo, están obligados todos los poderes públicos. En otras palabras, el art. 155 CE regula una vía específica de coerción directa para el cumplimiento de obligaciones constitucionales y legales y para la protección del interés general de España, que se diferencia nítidamente de la regulación de las medidas de ejecución de que pueda disponer el Tribunal Constitucional en orden a la efectividad de sus resoluciones, que encuentra cobertura en la reserva de ley orgánica del art. 165 CE.</w:t>
      </w:r>
    </w:p>
    <w:p w:rsidR="00A90898" w:rsidRDefault="00A90898" w:rsidP="00A90898">
      <w:pPr>
        <w:pStyle w:val="TextoNormal"/>
      </w:pPr>
    </w:p>
    <w:p w:rsidR="00A90898" w:rsidRDefault="00A90898" w:rsidP="00A90898">
      <w:pPr>
        <w:pStyle w:val="TextoNormal"/>
      </w:pPr>
      <w:r>
        <w:t>b) El art. 92.4 c) LOTC recoge la ejecución sustitutoria como medida que el Tribunal puede adoptar para instar al cumplimiento de las resoluciones recaídas en los procesos constitucionales. En ese caso, el precepto contempla la posibilidad de que el Tribunal pueda requerir la colaboración del Gobierno de la Nación a fin de que, en los términos fijados por aquél, adopte las medidas necesarias para asegurar el cumplimiento de sus resoluciones.</w:t>
      </w:r>
    </w:p>
    <w:p w:rsidR="00A90898" w:rsidRDefault="00A90898" w:rsidP="00A90898">
      <w:pPr>
        <w:pStyle w:val="TextoNormal"/>
      </w:pPr>
    </w:p>
    <w:p w:rsidR="00A90898" w:rsidRDefault="00A90898" w:rsidP="00A90898">
      <w:pPr>
        <w:pStyle w:val="TextoNormal"/>
      </w:pPr>
      <w:r>
        <w:t xml:space="preserve">Como resulta del tenor del precepto, es el Tribunal quien, entre el elenco de medidas puestas a su disposición por el legislador para hacer frente a los supuestos de incumplimiento de sus resoluciones, puede decidirse, tras el trámite de audiencia del art. 92.4 LOTC, por la ejecución sustitutoria de la resolución de la que se trate y, de optar por esta medida, puede requerir la colaboración del Gobierno de la Nación, colaboración que ha de desarrollarse en los términos que fije el propio Tribunal. Por lo tanto, no es el Gobierno quien discrecionalmente decide intervenir en la ejecución sustitutoria, ni quien decide qué medidas concretas implica la ejecución. El título legitimador de esta medida de ejecución no es, como parece desprenderse de la demanda, un supuesto título competencial del Estado, sino, como el resto de medidas previstas en el art. 92.4 LOTC, la garantía de la efectividad y cumplimiento de las resoluciones del Tribunal Constitucional. Así pues, ninguna tacha de constitucionalidad puede hacerse al legislador orgánico por haber recogido explícitamente en la Ley Orgánica del Tribunal Constitucional la ejecución sustitutoria como medio de ejecución de las resoluciones jurisdiccionales del Tribunal Constitucional, que responde a un fin constitucionalmente legítimo y que sólo puede adoptarse </w:t>
      </w:r>
      <w:r w:rsidRPr="00A90898">
        <w:rPr>
          <w:i/>
        </w:rPr>
        <w:t>ex</w:t>
      </w:r>
      <w:r>
        <w:t xml:space="preserve"> art. 92.4 LOTC una vez constatada la voluntad deliberada y persistente de incumplir la resolución por quien está obligado a su cumplimiento.</w:t>
      </w:r>
    </w:p>
    <w:p w:rsidR="00A90898" w:rsidRDefault="00A90898" w:rsidP="00A90898">
      <w:pPr>
        <w:pStyle w:val="TextoNormal"/>
      </w:pPr>
    </w:p>
    <w:p w:rsidR="00A90898" w:rsidRDefault="00A90898" w:rsidP="00A90898">
      <w:pPr>
        <w:pStyle w:val="TextoNormal"/>
      </w:pPr>
      <w:r>
        <w:lastRenderedPageBreak/>
        <w:t>Finalmente, tampoco cabe inferir del tenor del precepto impugnado que la ejecución sustitutoria implique necesariamente, como sostienen los Letrados del Gobierno Vasco, que el Estado sustituya a la Comunidad Autónoma en el ejercicio de sus competencias con la consiguiente vulneración del principio de autonomía. Para desestimar esta alegación ha de tenerse en cuenta, de un lado, que se podrá recurrir a la ejecución sustitutoria cuando pueda resultar una medida de ejecución idónea y procedente para el cumplimiento de las resoluciones del Tribunal, lo que éste habrá de valorar en cada caso concreto atendiendo a las circunstancias concurrentes en el mismo; de otro lado, que la aplicación de esta medida, al igual que las demás instrumentos de ejecución del art. 92.4 LOTC, ha de cohonestarse y respetar siempre las previsiones constitucionales y nunca podrán dar lugar a la alteración de la posición institucional del Estado y de las Comunidades Autónomas, conforme a la Constitución y a los Estatutos de Autonomía, y sí sólo a la circunstancial adopción de las medidas necesarias y, por tanto, proporcionadas para la ejecución del fallo; y, en fin, que, como con alguna reiteración hemos ya indicado, a este Tribunal no le corresponde pronunciarse en este proceso constitucional sobre hipotéticas aplicaciones del precepto legal recurrido, debiendo limitarse a contrastar su contenido con los preceptos constitucionales cuya vulneración se alega.</w:t>
      </w:r>
    </w:p>
    <w:p w:rsidR="00A90898" w:rsidRDefault="00A90898" w:rsidP="00A90898">
      <w:pPr>
        <w:pStyle w:val="TextoNormal"/>
      </w:pPr>
    </w:p>
    <w:p w:rsidR="00A90898" w:rsidRDefault="00A90898" w:rsidP="00A90898">
      <w:pPr>
        <w:pStyle w:val="TextoNormal"/>
      </w:pPr>
      <w:r>
        <w:t>Por consiguiente, con base en las razones expuestas, ha de desestimarse también este último motivo de inconstitucionalidad.</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noviembre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Adela Asua Batarrita a la Sentencia dictada en el recurso de inconstitucionalidad núm. 229-2016.</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(LOTC), y con pleno respeto a la opinión de la mayoría del Tribunal, formulo Voto particular tanto a la fundamentación como al fallo de esta Sentencia.</w:t>
      </w:r>
    </w:p>
    <w:p w:rsidR="00A90898" w:rsidRDefault="00A90898" w:rsidP="00A90898">
      <w:pPr>
        <w:pStyle w:val="TextoNormal"/>
      </w:pPr>
    </w:p>
    <w:p w:rsidR="00A90898" w:rsidRDefault="00A90898" w:rsidP="00A90898">
      <w:pPr>
        <w:pStyle w:val="TextoNormal"/>
      </w:pPr>
      <w:r>
        <w:t xml:space="preserve">Para resumir mi objeción básica a la presente Sentencia, debo decir que, a mi juicio, estamos ante una lamentable “abdicación” en el ejercicio de la jurisdicción constitucional. La mayoría del Tribunal que sustenta la Sentencia ha eludido entrar en el fondo de diversas cuestiones sobre las que el recurso de inconstitucionalidad le forzaba a pronunciarse (1). La levedad de la argumentación ofrecida se ha pretendido remediar estérilmente con unas notas restrictivas del tenor literal de la norma legal impugnada y unos recordatorios genéricos de los requisitos subjetivos y temporales allí previstos (2). Y cuando, en algún caso, ha entrado </w:t>
      </w:r>
      <w:r>
        <w:lastRenderedPageBreak/>
        <w:t>en las impugnaciones formuladas, el análisis de la Sentencia apenas ha ido más allá de afirmaciones apodícticas o genéricas (3).</w:t>
      </w:r>
    </w:p>
    <w:p w:rsidR="00A90898" w:rsidRDefault="00A90898" w:rsidP="00A90898">
      <w:pPr>
        <w:pStyle w:val="TextoNormal"/>
      </w:pPr>
    </w:p>
    <w:p w:rsidR="00A90898" w:rsidRDefault="00A90898" w:rsidP="00A90898">
      <w:pPr>
        <w:pStyle w:val="TextoNormal"/>
      </w:pPr>
      <w:r>
        <w:t>1. La Sentencia de la que disiento reduce la amplitud y la gravedad de las tachas de inconstitucionalidad que alega el recurso de inconstitucionalidad, a través de una triple estrategia de elusión de las cuestiones constitucionales:</w:t>
      </w:r>
    </w:p>
    <w:p w:rsidR="00A90898" w:rsidRDefault="00A90898" w:rsidP="00A90898">
      <w:pPr>
        <w:pStyle w:val="TextoNormal"/>
      </w:pPr>
    </w:p>
    <w:p w:rsidR="00A90898" w:rsidRDefault="00A90898" w:rsidP="00A90898">
      <w:pPr>
        <w:pStyle w:val="TextoNormal"/>
      </w:pPr>
      <w:r>
        <w:t>a) La primera estrategia consiste en atribuir carácter “genérico”, de forma reiterada, a las tachas alegadas por la representación procesal de la entidad recurrente. En principio, nada de extraordinario debería haber en que los reproches de inconstitucionalidad que motivan el control abstracto de constitucionalidad por este Tribunal sean de “índole genérica”, pues “genérico” denota “común” y se opone a lo “especial” o “privativo”. No obstante, la Sentencia parece utilizar la expresión en otro sentido, como sinónimo de “no argumentado”. Alguna de las tachas puede no estar suficientemente desarrollada en el escrito rector del proceso; pero, en general, se compartan o no, los motivos de impugnación están ampliamente argumentados. Su gravedad y la posición jurídica que ocupa la norma impugnada en el ordenamiento constitucional le obligaban a este Tribunal a tratarlas con la debida seriedad.</w:t>
      </w:r>
    </w:p>
    <w:p w:rsidR="00A90898" w:rsidRDefault="00A90898" w:rsidP="00A90898">
      <w:pPr>
        <w:pStyle w:val="TextoNormal"/>
      </w:pPr>
    </w:p>
    <w:p w:rsidR="00A90898" w:rsidRDefault="00A90898" w:rsidP="00A90898">
      <w:pPr>
        <w:pStyle w:val="TextoNormal"/>
      </w:pPr>
      <w:r>
        <w:t>b) La segunda estrategia consiste en considerar “amplísima” la capacidad de configuración de que dispone el legislador orgánico cuando legisla sobre el Tribunal Constitucional y, correlativamente, deducir la práctica ausencia de límites para disponer del contenido de la reserva de ley orgánica que establece en esta materia la Constitución. Sentado esto, el paso siguiente conduce a la rotunda afirmación de que el art. 165 CE ofrece cobertura no solo para una regulación general de las facultades de ejecución del Tribunal (FJ 9), sino también para la incorporación de las concretas medidas que ha previsto la Ley Orgánica 15/2015 (FJ 10).</w:t>
      </w:r>
    </w:p>
    <w:p w:rsidR="00A90898" w:rsidRDefault="00A90898" w:rsidP="00A90898">
      <w:pPr>
        <w:pStyle w:val="TextoNormal"/>
      </w:pPr>
    </w:p>
    <w:p w:rsidR="00A90898" w:rsidRDefault="00A90898" w:rsidP="00A90898">
      <w:pPr>
        <w:pStyle w:val="TextoNormal"/>
      </w:pPr>
      <w:r>
        <w:t xml:space="preserve">Esta segunda estrategia suscita dos objeciones. Por un lado, la doctrina más autorizada ya advirtió hace años contra la conversión de la susodicha libertad de configuración del legislador en una especie de “macro-criterio hermenéutico” pues se corre el riesgo de confundir el objeto del juicio de constitucionalidad con su resultado. Esto es lo que ocurre en el presente caso. La libertad de configuración del legislador orgánico, cuyo alcance es precisamente el objeto del juicio de constitucionalidad que se le demanda al Tribunal Constitucional, es esgrimida por este como el criterio hermenéutico determinante de la </w:t>
      </w:r>
      <w:r w:rsidRPr="00A90898">
        <w:rPr>
          <w:i/>
        </w:rPr>
        <w:t>ratio decidendi</w:t>
      </w:r>
      <w:r>
        <w:t xml:space="preserve"> de su resolución, confundiendo el objeto de control con el resultado eventual de su juicio de constitucionalidad.</w:t>
      </w:r>
    </w:p>
    <w:p w:rsidR="00A90898" w:rsidRDefault="00A90898" w:rsidP="00A90898">
      <w:pPr>
        <w:pStyle w:val="TextoNormal"/>
      </w:pPr>
    </w:p>
    <w:p w:rsidR="00A90898" w:rsidRDefault="00A90898" w:rsidP="00A90898">
      <w:pPr>
        <w:pStyle w:val="TextoNormal"/>
      </w:pPr>
      <w:r>
        <w:t xml:space="preserve">Por otro lado, en toda su argumentación la Sentencia parece olvidarse de que (también) el legislador orgánico tiene límites constitucionales. La potestad legislativa, como el resto de los poderes constituidos, deriva su existencia, su configuración y sus funciones de la norma constitucional y solo es legítima cuando se ejerce en los términos fijados por la misma. Como señaló la STC 49/2008, FJ 3, y reitera en el fundamento jurídico 3 la Sentencia de la que discrepo —aunque sin extraer aquí las oportunas consecuencias—, la libertad del legislador orgánico “no es absoluta, sino que tiene límites materiales y formales que tienen su origen no sólo en dichas reservas y en los restantes preceptos que integran el título IX de la Constitución, sino en una interpretación sistemática de todo el texto constitucional. </w:t>
      </w:r>
      <w:r>
        <w:lastRenderedPageBreak/>
        <w:t xml:space="preserve">… sus límites constitucionales no proceden únicamente de una interpretación literal del precepto aducido en cada caso, sino del </w:t>
      </w:r>
      <w:r w:rsidRPr="00A90898">
        <w:rPr>
          <w:i/>
        </w:rPr>
        <w:t>modelo de Tribunal Constitucional que se deriva de una interpretación conjunta de nuestra Norma Suprema y de los principios constitucionales que se proyectan sobre el mismo</w:t>
      </w:r>
      <w:r>
        <w:t xml:space="preserve">” (énfasis añadido). En consecuencia, se impone “la necesidad de controlar que el legislador respete </w:t>
      </w:r>
      <w:r w:rsidRPr="00A90898">
        <w:rPr>
          <w:i/>
        </w:rPr>
        <w:t>el modelo constitucional de nuestra jurisdicción</w:t>
      </w:r>
      <w:r>
        <w:t>, puesto que de ello depende en buena medida la efectividad del orden constitucional en todos los ámbitos. Dejar en manos del legislador orgánico la concreción de dicho modelo y renunciar a controlarla no se correspondería, en efecto, con la pretensión del constituyente de crear un órgano de control de constitucionalidad con amplias competencias y de garantizar su eficacia” (énfasis añadido). También la STC 118/2016, de 23 de junio, FJ 3, apeló al “modelo de jurisdicción constitucional diseñado por el constituyente”.</w:t>
      </w:r>
    </w:p>
    <w:p w:rsidR="00A90898" w:rsidRDefault="00A90898" w:rsidP="00A90898">
      <w:pPr>
        <w:pStyle w:val="TextoNormal"/>
      </w:pPr>
    </w:p>
    <w:p w:rsidR="00A90898" w:rsidRDefault="00A90898" w:rsidP="00A90898">
      <w:pPr>
        <w:pStyle w:val="TextoNormal"/>
      </w:pPr>
      <w:r>
        <w:t>La proyección del constituyente no se agota en el momento de promulgación de la Constitución o de la aprobación de la Ley Orgánica reguladora del Tribunal Constitucional. Recordemos las palabras de la STC 76/1983, de 5 de agosto, FJ 3: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w:t>
      </w:r>
    </w:p>
    <w:p w:rsidR="00A90898" w:rsidRDefault="00A90898" w:rsidP="00A90898">
      <w:pPr>
        <w:pStyle w:val="TextoNormal"/>
      </w:pPr>
    </w:p>
    <w:p w:rsidR="00A90898" w:rsidRDefault="00A90898" w:rsidP="00A90898">
      <w:pPr>
        <w:pStyle w:val="TextoNormal"/>
      </w:pPr>
      <w:r>
        <w:t>Pues bien, la Sentencia no contiene elaboración alguna sobre los límites constitucionales del legislador orgánico, ni sobre el “modelo constitucional de nuestra jurisdicción” que quedó objetivado en el texto constitucional y que solo el Tribunal Constitucional puede interpretar, porque solo a él le corresponde precisar cuál es la voluntad y racionalidad del constituyente en los supuestos necesitados de interpretación.</w:t>
      </w:r>
    </w:p>
    <w:p w:rsidR="00A90898" w:rsidRDefault="00A90898" w:rsidP="00A90898">
      <w:pPr>
        <w:pStyle w:val="TextoNormal"/>
      </w:pPr>
    </w:p>
    <w:p w:rsidR="00A90898" w:rsidRDefault="00A90898" w:rsidP="00A90898">
      <w:pPr>
        <w:pStyle w:val="TextoNormal"/>
      </w:pPr>
      <w:r>
        <w:t>No es este el lugar para extenderse sobre las características de nuestro modelo de jurisdicción constitucional. Pero no es ocioso recordar que se distancia de otros modelos europeos de jurisdicción constitucional concentrada, así como del precedente histórico que supuso el Tribunal de Garantías Constitucionales de la Segunda República. Así, a diferencia de lo contemplado en otras Constituciones, no se prevén en la nuestra competencias específicas del Tribunal Constitucional para, por ejemplo, el enjuiciamiento penal, o por infracción constitucional o legal, de los titulares de los órganos constitucionales y de los órganos superiores de las Comunidades Autónomas; tampoco para la prohibición de partidos políticos; ni para acordar la privación de derechos fundamentales a quienes abusen de ellos en sus actividades contra el orden constitucional. Tampoco, por ejemplo, se reconoce una acción de inconstitucionalidad ejercitable por los ciudadanos frente a la ley (STC 137/2010, de 16 de diciembre, FJ 3), pues la legitimación procesal para interponer el recurso de inconstitucionalidad regulada en el art. 162.1 a) CE lo descarta. La ausencia de competencias sobre las aludidas materias o procesos no es casual, sino decisión consciente y deliberada de nuestro constituyente que, teniendo presente el antecedente de la Constitución de 1931 y los modelos de las Constituciones italiana y alemana, optó por un determinado modelo cons</w:t>
      </w:r>
      <w:r>
        <w:lastRenderedPageBreak/>
        <w:t>titucional de jurisdicción que, así como incluye las competencias esenciales de la jurisdicción constitucional en materia de control de normas y tratados internacionales, de resolución de conflictos y de garantía de derechos fundamentales, al mismo tiempo excluye otras.</w:t>
      </w:r>
    </w:p>
    <w:p w:rsidR="00A90898" w:rsidRDefault="00A90898" w:rsidP="00A90898">
      <w:pPr>
        <w:pStyle w:val="TextoNormal"/>
      </w:pPr>
    </w:p>
    <w:p w:rsidR="00A90898" w:rsidRDefault="00A90898" w:rsidP="00A90898">
      <w:pPr>
        <w:pStyle w:val="TextoNormal"/>
      </w:pPr>
      <w:r>
        <w:t>Ciertamente, la Constitución permite que, mediante “leyes orgánicas”, se amplíe ese elenco competencial ordinario o principal [art. 161.1 d) CE]. Esas leyes orgánicas pueden ser tanto la propia Ley Orgánica reguladora del Tribunal Constitucional, o sus posteriores modificaciones, como otras leyes orgánicas. El límite de esa eventual ampliación competencial no es otro que el respeto a la misma Constitución, por lo que dichas leyes orgánicas no pueden atribuir al Tribunal competencias que supongan la vulneración de los ámbitos competenciales constitucionalmente atribuidos a otros órganos, o bien que menoscaben el carácter propio del Tribunal o desvirtúen las competencias constitucionalmente previstas.</w:t>
      </w:r>
    </w:p>
    <w:p w:rsidR="00A90898" w:rsidRDefault="00A90898" w:rsidP="00A90898">
      <w:pPr>
        <w:pStyle w:val="TextoNormal"/>
      </w:pPr>
    </w:p>
    <w:p w:rsidR="00A90898" w:rsidRDefault="00A90898" w:rsidP="00A90898">
      <w:pPr>
        <w:pStyle w:val="TextoNormal"/>
      </w:pPr>
      <w:r>
        <w:t>En lugar de considerar los límites del legislador orgánico, a lo largo de la Sentencia se repite como un mantra que el constituyente no quiso que fuera “un modelo cerrado … petrificado y congelado en el tiempo e incompatible con el carácter evolutivo del Derecho”, argumento formulado de forma innecesaria en la STC 118/2016 [innecesaria pues, como ya se ha indicado, la razón de la admisibilidad de la ampliación de las competencias del Tribunal Constitucional es única y exclusivamente el art. 161.1 d) CE, y no un pretendido modelo abierto de jurisdicción constitucional] y que ahora se eleva a directriz hermenéutica y se desarrolla en extenso en el fundamento jurídico 8. Incluso aunque fuera correcta, que, a mi juicio, no lo es, la afirmación del carácter “abierto” del modelo español de jurisdicción constitucional sería irrelevante para resolver al problema planteado, pues “abierto” no equivale a “ilimitado”. La Sentencia de la que discrepo confunde el carácter no exhaustivo de la regulación constitucional relativa al Tribunal Constitucional con un carácter pretendidamente abierto del modelo objetivado en la Constitución.</w:t>
      </w:r>
    </w:p>
    <w:p w:rsidR="00A90898" w:rsidRDefault="00A90898" w:rsidP="00A90898">
      <w:pPr>
        <w:pStyle w:val="TextoNormal"/>
      </w:pPr>
    </w:p>
    <w:p w:rsidR="00A90898" w:rsidRDefault="00A90898" w:rsidP="00A90898">
      <w:pPr>
        <w:pStyle w:val="TextoNormal"/>
      </w:pPr>
      <w:r>
        <w:t xml:space="preserve">Lo único que señala la Sentencia sobre el modelo español de jurisdicción constitucional se contiene en unas frases ubicadas al principio del fundamento jurídico 9, relativas a la naturaleza jurisdiccional del Tribunal Constitucional y a la facultad de ejecución como “cualidad inherente” a la función de administrar justicia, “también de la justicia constitucional”. He ahí un grave error conceptual de partida en que entiendo que incurre la Sentencia, como tuve ocasión de expresar durante el debate en el Pleno. La ejecución de las sentencias constitucionales no es en absoluto una atribución inherente al elenco de competencias de un Tribunal Constitucional, sino una decisión que puede adoptar el constituyente y, en su defecto, si aquel así lo permite, el legislador orgánico, como se comprueba con el caso italiano (donde no se han previsto facultades de ejecución de las sentencias constitucionales), austriaco (donde la Constitución encomienda la ejecución al Presidente de la República o, cuando se refiere a cuestiones patrimoniales, directamente a los tribunales ordinarios) y alemán (la Constitución de Weimar encomendó la ejecución al Presidente de la República; en cambio, en la Ley fundamental de Bonn nada dijo la Constitución y se confió esa función al propio Tribunal Constitucional, tras mucha discusión antes y después de la promulgación de la Ley reguladora del Tribunal Constitucional; de hecho, el primigenio proyecto de ley reguladora del Tribunal Constitucional federal alemán se lo atribuía al Presidente de la República, y la ejecución de las resoluciones de los tribunales constitucionales de no pocos </w:t>
      </w:r>
      <w:r w:rsidRPr="00A90898">
        <w:rPr>
          <w:i/>
        </w:rPr>
        <w:t>Länder</w:t>
      </w:r>
      <w:r>
        <w:t xml:space="preserve"> se atribuye todavía a los ejecutivos de esos </w:t>
      </w:r>
      <w:r w:rsidRPr="00A90898">
        <w:rPr>
          <w:i/>
        </w:rPr>
        <w:t>Länder</w:t>
      </w:r>
      <w:r>
        <w:t xml:space="preserve">). Si atendemos a los tres mencionados Estados de nuestro entorno, que cuentan con el control concentrado de constitucionalidad más antiguo y sostenido en el tiempo, es claro que se impone cautela a la hora </w:t>
      </w:r>
      <w:r>
        <w:lastRenderedPageBreak/>
        <w:t>de realizar afirmaciones “esencialistas”. El mencionado error conceptual era, por lo demás, evitable porque ya el Abogado del Estado apuntaba en la perspectiva correcta: la Constitución no excluye que la titularidad de la potestad de ejecución de las resoluciones del Tribunal Constitucional pueda ser encomendada al propio Tribunal. Por tanto, el problema constitucional no reside en si el Tribunal Constitucional puede ser titular de la potestad de ejecución de sus resoluciones, sino en si las medidas con las que el nuevo art. 92.4 LOTC pretende garantizar la ejecución son respetuosas del orden constitucional.</w:t>
      </w:r>
    </w:p>
    <w:p w:rsidR="00A90898" w:rsidRDefault="00A90898" w:rsidP="00A90898">
      <w:pPr>
        <w:pStyle w:val="TextoNormal"/>
      </w:pPr>
    </w:p>
    <w:p w:rsidR="00A90898" w:rsidRDefault="00A90898" w:rsidP="00A90898">
      <w:pPr>
        <w:pStyle w:val="TextoNormal"/>
      </w:pPr>
      <w:r>
        <w:t>c) La tercera estrategia, que resulta más inquietante de cara al futuro, consiste en constreñir el alcance del control de constitucionalidad que le compete ejercer al Tribunal Constitucional. Ello se lleva a cabo mediante dos líneas de discurso coincidentes en su finalidad reductora.</w:t>
      </w:r>
    </w:p>
    <w:p w:rsidR="00A90898" w:rsidRDefault="00A90898" w:rsidP="00A90898">
      <w:pPr>
        <w:pStyle w:val="TextoNormal"/>
      </w:pPr>
    </w:p>
    <w:p w:rsidR="00A90898" w:rsidRDefault="00A90898" w:rsidP="00A90898">
      <w:pPr>
        <w:pStyle w:val="TextoNormal"/>
      </w:pPr>
      <w:r>
        <w:t xml:space="preserve">La primera línea discursiva se apoya en la afirmación (fundamento jurídico 3) de unas pretendidas especificidades de la Ley Orgánica del Tribunal Constitucional como objeto del control de constitucionalidad, de forma que la peculiaridad del objeto determinaría una menor intensidad del control que le corresponde ejercer a este Tribunal. En este sentido se afirma que “el control de la Ley Orgánica del Tribunal Constitucional debe limitarse a los supuestos en que existe un conflicto evidente e insalvable entre la misma y el texto constitucional” (FJ 3). Esta cita procede ciertamente de la ya mencionada STC 49/2008. Sin embargo, sería un planteamiento erróneo entenderla como si fuera exigible, para declarar inconstitucional una norma de la Ley Orgánica del Tribunal Constitucional, un nivel de contradicción o incompatibilidad con la Constitución </w:t>
      </w:r>
      <w:r w:rsidRPr="00A90898">
        <w:rPr>
          <w:i/>
        </w:rPr>
        <w:t>superior</w:t>
      </w:r>
      <w:r>
        <w:t xml:space="preserve"> al que se requiere para declarar la inconstitucionalidad de cualquier otra disposición de rango legal. Frente a lo que parece insinuar la Sentencia, no hay dos cánones o intensidades de control de constitucionalidad, uno más estricto para la Ley Orgánica del Tribunal Constitucional y otro más relajado para las demás leyes y normas de rango legal. Más bien, cabría defender justamente lo contrario: que, en razón de la función constitucional de la Ley Orgánica del Tribunal Constitucional y la posición institucional del Tribunal Constitucional, el control de inconstitucionalidad sobre su propia ley reguladora debe ser todavía más exigente, no menos, evitando incluso las sentencias interpretativas, dado que sus destinatarios no serían los aplicadores ordinarios del derecho, sino, como aquí ocurre, el propio autor de la interpretación. Justamente, el Tribunal Constitucional se creó como principal garantía de la Constitución frente al legislador. La existencia del Tribunal Constitucional como órgano especial encargado de garantizar la supremacía de la Constitución frente al legislador es incompatible con una actuación extremadamente deferente. Un Tribunal Constitucional no se instituye para invalidar las leyes solo cuando su inconstitucionalidad sea “evidente”; pues si una ley fuera de verdad “evidentemente” inconstitucional, hay que suponer que cualquier juez ordinario sería capaz de advertirlo, sin necesidad de establecer una jurisdicción constitucional separada.</w:t>
      </w:r>
    </w:p>
    <w:p w:rsidR="00A90898" w:rsidRDefault="00A90898" w:rsidP="00A90898">
      <w:pPr>
        <w:pStyle w:val="TextoNormal"/>
      </w:pPr>
    </w:p>
    <w:p w:rsidR="00A90898" w:rsidRDefault="00A90898" w:rsidP="00A90898">
      <w:pPr>
        <w:pStyle w:val="TextoNormal"/>
      </w:pPr>
      <w:r>
        <w:t xml:space="preserve">La segunda línea de discurso consiste en la proclamación reiterada del carácter abstracto del control que debe realizar el Tribunal, cuyo pronunciamiento “debe estar al margen de cualquier posible o hipotético acto de aplicación de dicho precepto, debiendo limitarnos a contrastar de manera abstracta el precepto recurrido y las normas y principios constitucionales que se estiman infringidos” (FJ 7). La tesis de la Sentencia se reitera explícitamente en los fundamentos jurídicos 7 y 10: “será con ocasión de las específicas medidas que se pretendan o se soliciten tomar en un determinado proceso constitucional para la ejecución de las resoluciones recaídas en el mismo, cuando procederá examinar su viabilidad y, en su </w:t>
      </w:r>
      <w:r>
        <w:lastRenderedPageBreak/>
        <w:t>caso, la constitucionalidad de su aplicación en dicho proceso constitucional”; “será con ocasión de la aplicación concreta de alguna o algunas de estas medidas a fin de velar por el efectivo cumplimiento de la resolución recaída en un determinado proceso constitucional, cuando procederá examinar entonces su viabilidad”. La insistencia en este argumento parece querer justificar la resistencia a abordar el examen de un aspecto esencial de la impugnación: la posible incidencia de las medidas impugnadas en la actividad y en la posición institucional de las autoridades que integran nuestro Estado constitucional y, en particular, en la actividad de las Cámaras parlamentarias. Dicho de otra forma, la Sentencia insinúa que la impugnación de la reforma de la Ley Orgánica del Tribunal Constitucional es preventiva en cuanto que plantea como escenario la hipotética aplicación de las nuevas medidas de ejecución a las autoridades en general o a determinadas autoridades en particular. Con este sencillo subterfugio evita entrar a discutir si la suspensión en sus funciones de un Presidente de Parlamento o de otra autoridad es o no compatible con el derecho fundamental al ejercicio de un cargo público (art. 23.2 CE) y con la inviolabilidad parlamentaria (art. 66.3 CE y los preceptos correspondientes de los diversos Estatutos de Autonomía).</w:t>
      </w:r>
    </w:p>
    <w:p w:rsidR="00A90898" w:rsidRDefault="00A90898" w:rsidP="00A90898">
      <w:pPr>
        <w:pStyle w:val="TextoNormal"/>
      </w:pPr>
    </w:p>
    <w:p w:rsidR="00A90898" w:rsidRDefault="00A90898" w:rsidP="00A90898">
      <w:pPr>
        <w:pStyle w:val="TextoNormal"/>
      </w:pPr>
      <w:r>
        <w:t>La argumentación que la Sentencia emplea desfigura, en primer lugar, el contenido de la reforma de la Ley Orgánica hasta convertirla en superflua: ni el contenido concreto de las medidas de ejecución impugnadas ni la entidad o naturaleza del cargo de funcionario o autoridad del eventual destinatario de esas medidas, resultan al parecer relevantes; el abordaje de los problemas de inconstitucionalidad queda diferido al momento de su aplicación. En “abstracto”, nada podría ser objeto de valoración según la Sentencia.</w:t>
      </w:r>
    </w:p>
    <w:p w:rsidR="00A90898" w:rsidRDefault="00A90898" w:rsidP="00A90898">
      <w:pPr>
        <w:pStyle w:val="TextoNormal"/>
      </w:pPr>
    </w:p>
    <w:p w:rsidR="00A90898" w:rsidRDefault="00A90898" w:rsidP="00A90898">
      <w:pPr>
        <w:pStyle w:val="TextoNormal"/>
      </w:pPr>
      <w:r>
        <w:t xml:space="preserve">En segundo lugar, y lo que es más grave, se desfigura también el sentido del control abstracto de inconstitucionalidad. La contraposición entre abstracción y concreción del control de constitucionalidad ha sido empleada —también por el Tribunal Constitucional— para perfilar el sentido peculiar del recurso de inconstitucionalidad y de la cuestión de inconstitucionalidad. La interpretación que se expresa en la demanda de un recurso de inconstitucionalidad es, inevitablemente, una interpretación abstracta, como corresponde a un planteamiento desligado de cualquier confrontación de enunciados constitucionales y legales con casos o supuestos concretos. Por lo que se refiere a los preceptos legales impugnados en este proceso, la abstracción es casi total y ello puede darle un cierto carácter preventivo a la acción directa de inconstitucionalidad: la norma legal, promulgada y publicada hace un año, no ha sido todavía objeto de aplicación y todos sus elementos han de ser identificados por los recurrentes de un modo casi hipotético, como “propuestas” o “sugerencias” interpretativas ante el Tribunal Constitucional. Ahora bien, ese es el sentido peculiar del recurso de inconstitucionalidad, y si no se acepta en esos términos y con ese alcance, entonces se convierten en superfluas tanto la previsión constitucional de un recurso de inconstitucionalidad como la consiguiente atribución de su conocimiento a este Tribunal. Ni una ley de presupuestos, ni una reforma penal, ni una ley que regule la interrupción voluntaria del embarazo podrían ser objeto, en plenitud, de un control abstracto de constitucionalidad. Una cosa es que el control abstracto de constitucionalidad no pueda prever y abordar todas las hipótesis de aplicación del programa normativo de una disposición legal —pues para eso está la cuestión de inconstitucionalidad—, y otra que este Tribunal no pueda controlar en toda su extensión por medio del recurso de inconstitucionalidad una norma legal recién publicada y promulgada. Centrándonos en el supuesto del presente proceso, frente a lo que sugiere la Sentencia, la entidad recurrente no está planteando situaciones específicas no contempladas en la Ley ni formulando hipótesis rebuscadas de colisiones normativas, sino </w:t>
      </w:r>
      <w:r>
        <w:lastRenderedPageBreak/>
        <w:t>una cuestión constitucional de calado que suscita inmediatamente la lectura del precepto impugnado: si la nueva potestad atribuida a este Tribunal de suspender “en sus funciones”, con arreglo al nuevo art. 92.4 b) LOTC, a “las autoridades o empleados públicos de la Administración responsable del incumplimiento” y, por consiguiente, a los altos órganos del Estado y de las Comunidades Autónomas incluidas sus autoridades parlamentarias, es compatible con diversos preceptos constitucionales. El juez constitucional tiene toda la información necesaria para poder decidir acerca de la constitucionalidad de la norma impugnada. La respuesta del Tribunal Constitucional ante esta impugnación —algo así como “lo veremos cuando llegue el momento”— es, por tanto, insólita.</w:t>
      </w:r>
    </w:p>
    <w:p w:rsidR="00A90898" w:rsidRDefault="00A90898" w:rsidP="00A90898">
      <w:pPr>
        <w:pStyle w:val="TextoNormal"/>
      </w:pPr>
    </w:p>
    <w:p w:rsidR="00A90898" w:rsidRDefault="00A90898" w:rsidP="00A90898">
      <w:pPr>
        <w:pStyle w:val="TextoNormal"/>
      </w:pPr>
      <w:r>
        <w:t xml:space="preserve">La Sentencia, en suma, difiere a los futuros actos de aplicación el juicio de constitucionalidad sobre las medidas de ejecución controvertidas, pero no aclara cómo podría pronunciarse el Tribunal Constitucional sobre las cuestiones constitucionales implicadas en la etapa aplicativa del derecho. En efecto, la única instancia que puede adoptar las medidas de ejecución controvertidas es el propio Tribunal Constitucional, por lo que no se vislumbra cuál sería el proceso constitucional que podría permitir un pleno control de constitucionalidad de los actos de aplicación y, a su través, de la propia norma controvertida: tanto la cuestión de inconstitucionalidad como el recurso de amparo quedan </w:t>
      </w:r>
      <w:r w:rsidRPr="00A90898">
        <w:rPr>
          <w:i/>
        </w:rPr>
        <w:t>prima facie</w:t>
      </w:r>
      <w:r>
        <w:t xml:space="preserve"> descartados. En consecuencia, solo cabría que los afectados alegasen su posible inconstitucionalidad en el seno del propio incidente de ejecución, procedimiento de carácter incidental cuya función constitucional no es la depuración del ordenamiento jurídico, o, alternativamente, con posterioridad a su adopción, mediante un eventual recurso de súplica contra el Auto que adopte la medida de suspensión de funciones o de ejecución sustitutoria. Ahora bien, ninguna de las dos vías mencionadas ofrece un cauce adecuado para satisfacer la tutela judicial efectiva del afectado frente a la aplicación de una Ley que se considera inconstitucional, por lo que el resultado de la abdicación del Tribunal Constitucional en el ejercicio pleno de su jurisdicción será que la Ley Orgánica 15/2015 quede indebidamente inmunizada desde un punto de vista constitucional.</w:t>
      </w:r>
    </w:p>
    <w:p w:rsidR="00A90898" w:rsidRDefault="00A90898" w:rsidP="00A90898">
      <w:pPr>
        <w:pStyle w:val="TextoNormal"/>
      </w:pPr>
    </w:p>
    <w:p w:rsidR="00A90898" w:rsidRDefault="00A90898" w:rsidP="00A90898">
      <w:pPr>
        <w:pStyle w:val="TextoNormal"/>
      </w:pPr>
      <w:r>
        <w:t xml:space="preserve">2. La mayoría que sustenta la Sentencia no ha podido ignorar que las medidas de ejecución impugnadas son de un delicado contenido. Pero, en lugar de afrontar el enjuiciamiento pleno y directo que le reclamaba la demanda, se conforma con el deslizamiento de criterios restrictivos y correctores del tenor literal de la norma legal y con formular recordatorios de los requisitos legales, todo ello con el objetivo de “limar” algunas de sus aristas y “suavizar” su futura aplicación, al menos en apariencia. Así, por un lado, se subraya la necesidad de respetar los límites subjetivos y temporales fijados en el art. 92.4 b) LOTC, lo que resulta una obviedad que nada aporta al juicio de constitucionalidad que le incumbe a este Tribunal. Por otro lado, se afirma que “es evidente que las potestades de ejecución del Tribunal Constitucional habrán de modularse, dentro de los instrumentos o medidas que para ello ha dispuesto el legislador, según el tipo de procedimiento y el contenido del fallo” (FJ 7), sin concretar ni la fuente de esa evidencia ni la forma y el alcance de la modulación resultante. También se aduce que la medida de suspensión de funciones “únicamente podrá acordarse cuando resulte idónea para la finalidad para la que ha sido prevista por el legislador” (FJ 14; en términos similares con respecto a la ejecución sustitutoria, FJ 15), un criterio el de idoneidad que -de nuevo- nada aporta al juicio de constitucionalidad. Una cosa es que el aplicador del derecho interprete la ley de manera teleológica, a fin de evitar resultados absurdos, y otra es el juicio de constitucionalidad sobre la opción legislativa como tal que se le demanda al Tribunal Constitucional y que no se reduce a una interpretación que meramente </w:t>
      </w:r>
      <w:r>
        <w:lastRenderedPageBreak/>
        <w:t>reajusta la ley en sus márgenes aplicativos. Un Tribunal Constitucional no puede abstenerse de entrar en temas constitucionales acudiendo a argumentos interpretativos de legalidad ordinaria.</w:t>
      </w:r>
    </w:p>
    <w:p w:rsidR="00A90898" w:rsidRDefault="00A90898" w:rsidP="00A90898">
      <w:pPr>
        <w:pStyle w:val="TextoNormal"/>
      </w:pPr>
    </w:p>
    <w:p w:rsidR="00A90898" w:rsidRDefault="00A90898" w:rsidP="00A90898">
      <w:pPr>
        <w:pStyle w:val="TextoNormal"/>
      </w:pPr>
      <w:r>
        <w:t>Mayor capacidad restrictiva sobre la futura utilización de las medidas controvertidas pueden desplegar los siguientes aspectos: la exigencia de que la voluntad de incumplir desencadenante de la medidas previstas en las letras b) y c) del art. 92.4 LOTC sea “deliberada” y “persistente” (FFJJ 14 y 17); y la consideración de que la medida de suspensión de funciones habrá de “contraerse únicamente al ejercicio de aquellas atribuciones cuya suspensión resulte imprescindible para asegurar la ejecución de la resolución dictada” (FJ 14). No obstante, estas últimas exigencias no están contempladas en el propio precepto legal impugnado, ni se infieren de una interpretación sistemática. De hecho, la insistencia en el aspecto subjetivo y reiterado de la voluntad incumplidora encaja mejor en la descripción típica de una infracción —por ejemplo, el del delito de desobediencia— que en el presupuesto para la adopción de una medida de ejecución: en efecto, ¿por qué el Tribunal Constitucional solo podría adoptar una medida de ejecución ante la existencia de una voluntad deliberada y persistente? ¿Por qué la supremacía de la Constitución solo debería garantizarse en tal supuesto?</w:t>
      </w:r>
    </w:p>
    <w:p w:rsidR="00A90898" w:rsidRDefault="00A90898" w:rsidP="00A90898">
      <w:pPr>
        <w:pStyle w:val="TextoNormal"/>
      </w:pPr>
    </w:p>
    <w:p w:rsidR="00A90898" w:rsidRDefault="00A90898" w:rsidP="00A90898">
      <w:pPr>
        <w:pStyle w:val="TextoNormal"/>
      </w:pPr>
      <w:r>
        <w:t>La única vía para que el Tribunal Constitucional hubiera impuesto esas condiciones interpretativas tendría que haber sido la técnica de la interpretación conforme, cuyo presupuesto lógico es, precisamente, la previa constatación de una contradicción directa y frontal entre, al menos, parte del enunciado legal y la Constitución. Únicamente tras haber constatado la existencia de una contradicción de esa naturaleza puede procederse a salvarla en un segundo momento, si ello es posible, mediante una interpretación conforme que restrinja el programa normativo vinculado al precepto legal impugnado, de forma que la norma jurídica resultante no sea expulsada del ordenamiento jurídico. Así pues, lo que lleva a cabo la Sentencia no puede considerarse en puridad una “sentencia interpretativa” que fija las condiciones interpretativas bajo las cuales un precepto legal puede permanecer en el ordenamiento jurídico; sería en todo caso una interpretación conforme “disimulada”, que no se identifica como tal, ni se lleva al fallo. Esa interpretación conforme “disimulada” no puede compensar la falta de examen de la cuestión constitucional que la Ley suscita y que la entidad recurrente le reclamaba explícitamente en su escrito de demanda.</w:t>
      </w:r>
    </w:p>
    <w:p w:rsidR="00A90898" w:rsidRDefault="00A90898" w:rsidP="00A90898">
      <w:pPr>
        <w:pStyle w:val="TextoNormal"/>
      </w:pPr>
    </w:p>
    <w:p w:rsidR="00A90898" w:rsidRDefault="00A90898" w:rsidP="00A90898">
      <w:pPr>
        <w:pStyle w:val="TextoNormal"/>
      </w:pPr>
      <w:r>
        <w:t>3. Cuando, excepcionalmente, la Sentencia de la que disiento entra a examinar las graves tachas de inconstitucionalidad que alega el recurso de inconstitucionalidad, las despacha con afirmaciones superficiales y apodícticas. Este es el caso de la impugnación dirigida contra las concretas medidas de ejecución previstas en las letras b) y c) del art. 92.4 LOTC.</w:t>
      </w:r>
    </w:p>
    <w:p w:rsidR="00A90898" w:rsidRDefault="00A90898" w:rsidP="00A90898">
      <w:pPr>
        <w:pStyle w:val="TextoNormal"/>
      </w:pPr>
    </w:p>
    <w:p w:rsidR="00A90898" w:rsidRDefault="00A90898" w:rsidP="00A90898">
      <w:pPr>
        <w:pStyle w:val="TextoNormal"/>
      </w:pPr>
      <w:r>
        <w:t xml:space="preserve">La controvertida naturaleza de la suspensión de funciones se analiza en los fundamentos jurídicos 12-15. La Sentencia se sirve exclusivamente del criterio de la finalidad o función para diferenciar las medidas sancionadoras de otras medidas que contienen limitaciones de derechos. El análisis que realiza sobre el carácter punitivo o no de la suspensión de funciones resulta muy rudimentario: todo se reduce a atribuirle a la suspensión una función no punitiva de forma apodíctica y reiterativa. No hay argumentos convincentes, al menos para quien suscribe este Voto particular. En mi opinión, la suspensión de funciones prevista en la letra b) del art. 92.4 LOTC debió ser declarada inconstitucional y nula porque, al no responder a la lógica de los medios de ejecución y sí a la de las medidas sancionadoras, excede </w:t>
      </w:r>
      <w:r>
        <w:lastRenderedPageBreak/>
        <w:t>de la habilitación conferida al legislador orgánico por el art. 165 CE. A continuación argumento mi posición.</w:t>
      </w:r>
    </w:p>
    <w:p w:rsidR="00A90898" w:rsidRDefault="00A90898" w:rsidP="00A90898">
      <w:pPr>
        <w:pStyle w:val="TextoNormal"/>
      </w:pPr>
    </w:p>
    <w:p w:rsidR="00A90898" w:rsidRDefault="00A90898" w:rsidP="00A90898">
      <w:pPr>
        <w:pStyle w:val="TextoNormal"/>
      </w:pPr>
      <w:r>
        <w:t>a) Debo comenzar señalando que, a mi juicio, la atribución al Tribunal Constitucional de facultades de carácter materialmente sancionador en relación con autoridades y empleados públicos, aunque se refieran a conductas relacionadas con el incumplimiento de las resoluciones de dicho Tribunal, quebranta el carácter propio del Tribunal Constitucional como órgano de naturaleza jurisdiccional cuyas competencias se extienden al control de normas, a la resolución de conflictos y a la garantía de los derechos fundamentales. Este Tribunal, a diferencia de lo establecido en las Constituciones de otros Estados, carece de competencias para enjuiciar penalmente, o por infracción constitucional o legal, a los titulares de los órganos constitucionales, de los órganos superiores de las Comunidades Autónomas o de otras autoridades y empleados públicos. Como aludía al referirme el modelo español de jurisdicción constitucional, las competencias de este Tribunal consisten en analizar la validez constitucional de las normas con rango de ley, declarar la titularidad de competencias controvertidas con ocasión de actuaciones, resoluciones o disposiciones y proteger los derechos fundamentales. No es función del Tribunal Constitucional la depuración de las ilegalidades en las que pudiera haber incurrido la parte frente a la cual se alza un conflicto de competencias, ni la acomodación del ordenamiento jurídico a lo resuelto en una Sentencia constitucional (ATC 726/1986, de 18 de septiembre, FJ 2). Muy especialmente, no es función del Tribunal Constitucional enjuiciar la conformidad constitucional de actuaciones personales e imponer las correspondientes medidas correctoras, porque precisamente estas son funciones propias de los órganos que integran el Poder Judicial. Todo ello sin olvidar las delicadas implicaciones constitucionales que tendría la suspensión de autoridades cuya legitimidad provenga directa o indirectamente de las urnas.</w:t>
      </w:r>
    </w:p>
    <w:p w:rsidR="00A90898" w:rsidRDefault="00A90898" w:rsidP="00A90898">
      <w:pPr>
        <w:pStyle w:val="TextoNormal"/>
      </w:pPr>
    </w:p>
    <w:p w:rsidR="00A90898" w:rsidRDefault="00A90898" w:rsidP="00A90898">
      <w:pPr>
        <w:pStyle w:val="TextoNormal"/>
      </w:pPr>
      <w:r>
        <w:t>b) Sentado lo anterior, la cuestión decisiva es si la medida de suspensión de funciones que se puede imponer a autoridades y empleados públicos de la Administración responsable del incumplimiento tiene carácter punitivo. Esta cuestión es mucho más compleja de lo que deja entrever o quiere aceptar la Sentencia.</w:t>
      </w:r>
    </w:p>
    <w:p w:rsidR="00A90898" w:rsidRDefault="00A90898" w:rsidP="00A90898">
      <w:pPr>
        <w:pStyle w:val="TextoNormal"/>
      </w:pPr>
    </w:p>
    <w:p w:rsidR="00A90898" w:rsidRDefault="00A90898" w:rsidP="00A90898">
      <w:pPr>
        <w:pStyle w:val="TextoNormal"/>
      </w:pPr>
      <w:r>
        <w:t>La jurisprudencia constitucional sobre el carácter sancionador de medidas limitativas de derechos es relativamente abundante. Por ello, no resulta admisible que, ante la gravedad de una medida como la de suspensión de funciones de una autoridad o un funcionario público, que supone una interferencia en el ámbito del derecho fundamental reconocido en el art. 23.2 CE, el análisis que se despliega en la Sentencia sea tan pobre.</w:t>
      </w:r>
    </w:p>
    <w:p w:rsidR="00A90898" w:rsidRDefault="00A90898" w:rsidP="00A90898">
      <w:pPr>
        <w:pStyle w:val="TextoNormal"/>
      </w:pPr>
    </w:p>
    <w:p w:rsidR="00A90898" w:rsidRDefault="00A90898" w:rsidP="00A90898">
      <w:pPr>
        <w:pStyle w:val="TextoNormal"/>
      </w:pPr>
      <w:r>
        <w:t xml:space="preserve">La jurisprudencia constitucional no se ha conformado con la función o finalidad de la medida como criterio exclusivo de delimitación entre las sanciones y otras medidas limitativas de derechos. Es consciente de que, muchas veces, más de una función se solapan en una misma medida. En el pasado, el Tribunal Constitucional ha dedicado muchas páginas para resolver si, por ejemplo, determinados recargos tributarios tienen carácter punitivo y, por lo tanto, les son aplicables las garantías de los arts. 24.2 y 25 CE (véase, en sentido afirmativo del carácter punitivo, las SSTC 276/2000, de 16 de noviembre, y 291/2000, de 30 de noviembre, para recargos tributarios del 50 por 100 y del 100 por 100, respectivamente). También los recargos tributarios persiguen en principio que el obligado tributario cumpla con sus obligaciones tributarias, pero el Tribunal Constitucional consideró que, cuando superan cierto nivel, esos recargos pasan a tener carácter punitivo. De acuerdo con </w:t>
      </w:r>
      <w:r>
        <w:lastRenderedPageBreak/>
        <w:t>la STC 291/2000, FJ 10, el hecho de que una medida tenga por finalidad el cumplimiento de una obligación no excluye su carácter punitivo: “lo fundamental a efectos de pronunciarnos sobre la naturaleza jurídica del recargo es comprobar si cumple una finalidad de castigo, pues el hecho de que pueda cumplir otros fines distintos de los punitivos no excluye sin más esta función”. En concreto, allí se afirmó con respecto a un recargo del 100 por 100 que “tampoco cabe apreciar que cumpla una función de estímulo positivo que excluya su carácter sancionador, ni se trata de un medio para constreñir al cumplimiento de una obligación, ni, por supuesto, tiene naturaleza tributaria”. Sorprende que, para este Tribunal Constitucional, una medida aparentemente modesta como es un recargo tributario del 50 por 100 tenga carácter punitivo y, por tanto, desencadene la aplicación de las garantías procesales y materiales reconocidas en los arts. 24.2 y 25 CE y que, en cambio, descarte de forma absoluta el carácter punitivo de la medida de suspensión de funciones, ya sea de un empleado público e incluso de una autoridad, que interfiere de forma directa sobre el ejercicio de un derecho fundamental susceptible de amparo constitucional (art. 23 CE).</w:t>
      </w:r>
    </w:p>
    <w:p w:rsidR="00A90898" w:rsidRDefault="00A90898" w:rsidP="00A90898">
      <w:pPr>
        <w:pStyle w:val="TextoNormal"/>
      </w:pPr>
    </w:p>
    <w:p w:rsidR="00A90898" w:rsidRDefault="00A90898" w:rsidP="00A90898">
      <w:pPr>
        <w:pStyle w:val="TextoNormal"/>
      </w:pPr>
      <w:r>
        <w:t xml:space="preserve">También la jurisprudencia del Tribunal Europeo de Derechos Humanos (que la Sentencia pretende evocar mediante la cita de dos de sus pronunciamientos) es mucho más sofisticada de lo parece considerar la Sentencia. Para comprobar la complejidad de la cuestión, basta leer las páginas que una obra señera como la de Christoph Grabenwarter, </w:t>
      </w:r>
      <w:r w:rsidRPr="00A90898">
        <w:rPr>
          <w:i/>
        </w:rPr>
        <w:t>European Convention on Human Rights. Commentary</w:t>
      </w:r>
      <w:r>
        <w:t xml:space="preserve"> (Múnich 2014), le dedica (págs. 108-113). Como es sabido, en el ámbito del Convenio europeo de derechos humanos (CEDH) la determinación del carácter “penal” de una medida conduce a la aplicación de las garantías establecidas en el art. 6 CEDH. Además del criterio formal (cómo categoriza el derecho estatal la medida en cuestión, criterio que no es útil cuando la naturaleza de la medida está en disputa, como es ahora el caso), la llamada “doctrina </w:t>
      </w:r>
      <w:r w:rsidRPr="00A90898">
        <w:rPr>
          <w:i/>
        </w:rPr>
        <w:t>Engel</w:t>
      </w:r>
      <w:r>
        <w:t>” del Tribunal Europeo de Derechos Humanos recurre ciertamente a la finalidad (</w:t>
      </w:r>
      <w:r w:rsidRPr="00A90898">
        <w:rPr>
          <w:i/>
        </w:rPr>
        <w:t>nature of the offence, nature de l’infraction</w:t>
      </w:r>
      <w:r>
        <w:t>). Pero el tercer criterio de la jurisprudencia de Estrasburgo es la naturaleza y la gravedad de la propia medida, esto es, las consecuencias perjudiciales que se derivan para el individuo. Aunque la satisfacción de cualquiera de los tres criterios es suficiente, se considera que el segundo y el tercer criterio están interrelacionados. En la jurisprudencia del Tribunal Europeo es evidente que ciertas medidas acarrean la aplicabilidad del art. 6 CEDH: por ejemplo, las medidas de privación de libertad. Más problemas de delimitación suscitan las medidas disciplinarias y las multas. La jurisprudencia atiende al criterio de si afecta de forma adversa al individuo: así, una sanción de cuantía superior a 400 € sí se considera que desencadena la aplicación del art. 6 CEDH.</w:t>
      </w:r>
    </w:p>
    <w:p w:rsidR="00A90898" w:rsidRDefault="00A90898" w:rsidP="00A90898">
      <w:pPr>
        <w:pStyle w:val="TextoNormal"/>
      </w:pPr>
    </w:p>
    <w:p w:rsidR="00A90898" w:rsidRDefault="00A90898" w:rsidP="00A90898">
      <w:pPr>
        <w:pStyle w:val="TextoNormal"/>
      </w:pPr>
      <w:r>
        <w:t xml:space="preserve">Ciertamente, en la jurisprudencia de Estrasburgo no se encuentra un caso similar al aquí examinado. El más próximo sería el abordado por la Sentencia </w:t>
      </w:r>
      <w:r w:rsidRPr="00A90898">
        <w:rPr>
          <w:i/>
        </w:rPr>
        <w:t>Le Compte, van Leuven y de Meyere c. Bélgica</w:t>
      </w:r>
      <w:r>
        <w:t xml:space="preserve"> de 23 de junio de 1981: se trataba de una medida disciplinaria de suspensión temporal (tres meses en un caso, quince días en otro) del ejercicio de una profesión. El Tribunal Europeo de Derechos Humanos abordó la aplicabilidad del art. 6 CEDH desde la perspectiva “civil”, no “penal”, en cuanto “disputa” sobre “derechos y obligaciones civiles” (las consecuencias, en cuanto a la aplicabilidad de las garantías del art. 6 CEDH, son similares). Según el Tribunal, “Unlike certain other disciplinary sanctions that might have been imposed on the applicants (warning, censure and reprimand ...), </w:t>
      </w:r>
      <w:r w:rsidRPr="00A90898">
        <w:rPr>
          <w:i/>
        </w:rPr>
        <w:t>the suspension</w:t>
      </w:r>
      <w:r>
        <w:t xml:space="preserve"> of which they complained </w:t>
      </w:r>
      <w:r w:rsidRPr="00A90898">
        <w:rPr>
          <w:i/>
        </w:rPr>
        <w:t>undoubtedly constituted a direct and material interference with the right to continue to exercise the medical profession</w:t>
      </w:r>
      <w:r>
        <w:t>. The fact that the suspension was temporary did not prevent its impairing that right” (§ 4, énfasis añadido).</w:t>
      </w:r>
    </w:p>
    <w:p w:rsidR="00A90898" w:rsidRDefault="00A90898" w:rsidP="00A90898">
      <w:pPr>
        <w:pStyle w:val="TextoNormal"/>
      </w:pPr>
    </w:p>
    <w:p w:rsidR="00A90898" w:rsidRDefault="00A90898" w:rsidP="00A90898">
      <w:pPr>
        <w:pStyle w:val="TextoNormal"/>
      </w:pPr>
      <w:r>
        <w:t>En consecuencia, ni a la luz de la jurisprudencia constitucional ni desde la perspectiva de la jurisprudencia de Estrasburgo podía descartarse de forma tan expeditiva el alegado carácter punitivo de la medida de suspensión. A continuación expongo lo que considero debieran haber sido los criterios a tener en cuenta al analizar esta cuestión.</w:t>
      </w:r>
    </w:p>
    <w:p w:rsidR="00A90898" w:rsidRDefault="00A90898" w:rsidP="00A90898">
      <w:pPr>
        <w:pStyle w:val="TextoNormal"/>
      </w:pPr>
    </w:p>
    <w:p w:rsidR="00A90898" w:rsidRDefault="00A90898" w:rsidP="00A90898">
      <w:pPr>
        <w:pStyle w:val="TextoNormal"/>
      </w:pPr>
      <w:r>
        <w:t>c) La suspensión de funciones de autoridades o empleados públicos no constituye aquí una medida cautelar de carácter personal, pues la potestad jurisdiccional de suspensión, como todas las medidas cautelares, responde a la necesidad de asegurar, en su caso, la efectividad del pronunciamiento futuro del órgano jurisdiccional (por todas, STC 238/1992, de 17 de diciembre, FJ 3); mientras que en la medida analizada el pronunciamiento ya ha tenido lugar. Además, no cabe acordar cautelarmente medidas que produzcan consecuencias que nunca podrían derivarse de la resolución final; este criterio, que fue afirmado por este Tribunal con respecto a la jurisdicción ordinaria en la STC 39/1995, de 13 de febrero, FJ 4, también se proyecta sobre nuestra propia jurisdicción.</w:t>
      </w:r>
    </w:p>
    <w:p w:rsidR="00A90898" w:rsidRDefault="00A90898" w:rsidP="00A90898">
      <w:pPr>
        <w:pStyle w:val="TextoNormal"/>
      </w:pPr>
    </w:p>
    <w:p w:rsidR="00A90898" w:rsidRDefault="00A90898" w:rsidP="00A90898">
      <w:pPr>
        <w:pStyle w:val="TextoNormal"/>
      </w:pPr>
      <w:r>
        <w:t xml:space="preserve">Tampoco puede considerarse una medida de ejecución, pues no va encaminada de forma inmediata y directa a hacer efectivo el contenido del fallo de una sentencia. Se trata, más bien, en términos estrictos, de una reacción correctora de carácter individualizado ante un supuesto de incumplimiento de una resolución jurisdiccional, que dadas sus características persigue una finalidad distinta a la propia de la ejecución. Quien resulta ser suspendido en el cargo que ocupa deja de estar en situación de cumplir con las obligaciones derivadas de su cargo, tampoco, por tanto, de cumplir el pronunciamiento contenido en el fallo de una resolución del Tribunal Constitucional. Por eso, el sentido de la suspensión de funciones no reside aquí en la imposición del cumplimiento de obligaciones derivadas de resoluciones jurisdiccionales, sino en la “finalidad represiva, retributiva o de castigo” que caracteriza a las medidas sancionadoras (por todas, STC 164/1995, de 13 de noviembre, FJ 4) por negarse a cumplir o no facilitar un determinado cumplimiento. La finalidad represiva se traduce en un </w:t>
      </w:r>
      <w:r w:rsidRPr="00A90898">
        <w:rPr>
          <w:i/>
        </w:rPr>
        <w:t>plus</w:t>
      </w:r>
      <w:r>
        <w:t xml:space="preserve"> con respecto a la obligación a cuyo incumplimiento se anuda: el </w:t>
      </w:r>
      <w:r w:rsidRPr="00A90898">
        <w:rPr>
          <w:i/>
        </w:rPr>
        <w:t>plus</w:t>
      </w:r>
      <w:r>
        <w:t xml:space="preserve"> de la medida prevista en el art. 92.4 b) LOTC es justamente la privación del ejercicio de un derecho fundamental (art. 23 CE) que comporta.</w:t>
      </w:r>
    </w:p>
    <w:p w:rsidR="00A90898" w:rsidRDefault="00A90898" w:rsidP="00A90898">
      <w:pPr>
        <w:pStyle w:val="TextoNormal"/>
      </w:pPr>
    </w:p>
    <w:p w:rsidR="00A90898" w:rsidRDefault="00A90898" w:rsidP="00A90898">
      <w:pPr>
        <w:pStyle w:val="TextoNormal"/>
      </w:pPr>
      <w:r>
        <w:t>A ello no obsta el entendimiento de que, en sentido lato, dicha medida, al igual que la activación de un posible procesamiento penal [medida prevista en la letra d) del mismo art. 92.4], pueda desplegar también una eficacia coercitiva indirecta dirigida al cumplimiento. Toda sanción penal o administrativa refuerza la efectividad de una obligación, pero el solo efecto preventivo e indirecto que deriva, primero, de su previsión legal con carácter general y, segundo, del apercibimiento de su posible imposición en el caso concreto no la convierte en medio de ejecución, en sentido jurídico-procesal, de la correspondiente obligación. Con respecto a la medida de suspensión de funciones son aplicables las palabras de la STC 291/2000, FJ 10: “tampoco cabe apreciar que cumpla una función de estímulo positivo que excluya su carácter sancionador, ni se trata de un medio para constreñir al cumplimiento de una obligación”. Por ello, a mi juicio se podía concluir que la medida prevista en el art. 92.4 b) LOTC constituye materialmente una sanción, una medida punitiva que se anuda al incumplimiento del contenido de una resolución del Tribunal Constitucional. Una medida sancionadora que debe respetar las garantías formales y materiales que contempla la Constitución.</w:t>
      </w:r>
    </w:p>
    <w:p w:rsidR="00A90898" w:rsidRDefault="00A90898" w:rsidP="00A90898">
      <w:pPr>
        <w:pStyle w:val="TextoNormal"/>
      </w:pPr>
    </w:p>
    <w:p w:rsidR="00A90898" w:rsidRDefault="00A90898" w:rsidP="00A90898">
      <w:pPr>
        <w:pStyle w:val="TextoNormal"/>
      </w:pPr>
      <w:r>
        <w:lastRenderedPageBreak/>
        <w:t>d) La conclusión sobre el carácter sancionador de la suspensión de funciones introducida por la reforma de la Ley Orgánica se corrobora con tres consideraciones. En primer lugar, en el ordenamiento jurídico español no hay medida de suspensión de funciones, con una u otra denominación, que no tenga naturaleza sancionadora (disciplinaria) o penal. En segundo lugar, la medida de suspensión de funciones es desconocida como medio de ejecución en nuestra legislación procesal. La Ley reguladora de la jurisdicción contencioso-administrativa, en las disposiciones que dedica a la ejecución de sentencias en dicho orden jurisdiccional, no contempla como medio de ejecución la medida de suspensión de funciones de la autoridad o del empleado público de la Administración responsable del incumplimiento. En tercer y último lugar, por lo que he podido conocer, ninguno de los ordenamientos de los Estados de nuestro entorno dotados de jurisdicción constitucional ha previsto con carácter general -ni ha adoptado nunca con arreglo a las cláusulas generales de atribución de las facultades de ejecución- la suspensión de funciones de autoridades y empleados públicos como instrumento para el cumplimiento de las resoluciones constitucionales.</w:t>
      </w:r>
    </w:p>
    <w:p w:rsidR="00A90898" w:rsidRDefault="00A90898" w:rsidP="00A90898">
      <w:pPr>
        <w:pStyle w:val="TextoNormal"/>
      </w:pPr>
    </w:p>
    <w:p w:rsidR="00A90898" w:rsidRDefault="00A90898" w:rsidP="00A90898">
      <w:pPr>
        <w:pStyle w:val="TextoNormal"/>
      </w:pPr>
      <w:r>
        <w:t>e) La conclusión sobre el carácter sancionador de la medida de suspensión prevista en el art. 92.4 b) LOTC no queda enervada por el carácter temporal limitado e instrumental de su duración (“durante el tiempo preciso para asegurar la observancia de los pronunciamientos del Tribunal”). Por una parte, también las suspensiones de empleo o de funciones recogidas en nuestra legislación como medidas disciplinarias pueden tener un carácter temporal objetivamente limitado (de varios días) si, por ejemplo, se imponen por faltas disciplinarias leves. Por otra parte, la suspensión de funciones prevista en el art. 92.4 b) LOTC no es tanto limitada como indefinida: su duración no está acotada de antemano pues su terminación depende del comportamiento de terceras personas ajenas a la voluntad de la persona suspendida, que estén en situación y tengan la voluntad de dar cumplimiento a los pronunciamientos del Tribunal, lo cual puede significar una duración breve o una prolongación considerable de días o de meses. Frente a lo que aduce el Abogado del Estado, la medida no se levantaría tan pronto como cese la voluntad incumplidora de la persona responsable sino tan pronto cumpla quien, por su ámbito competencial, esté habilitado para cumplirla (al menos si el orden de distribución de competencias prevé o autoriza la alteración de la titularidad o del ejercicio de la competencia en general o en ese supuesto, lo que no puede presumirse en todo caso): si la persona responsable del incumplimiento está suspendida en sus funciones, ya no puede realizar la actividad requerida para dar cumplimiento al pronunciamiento del Tribunal Constitucional, con independencia de que en un momento posterior cese su voluntad incumplidora.</w:t>
      </w:r>
    </w:p>
    <w:p w:rsidR="00A90898" w:rsidRDefault="00A90898" w:rsidP="00A90898">
      <w:pPr>
        <w:pStyle w:val="TextoNormal"/>
      </w:pPr>
    </w:p>
    <w:p w:rsidR="00A90898" w:rsidRDefault="00A90898" w:rsidP="00A90898">
      <w:pPr>
        <w:pStyle w:val="TextoNormal"/>
      </w:pPr>
      <w:r>
        <w:t>De lo razonado hasta ahora se infiere, por tanto, que el art. 92.4 b) LOTC atribuye al Tribunal Constitucional facultades de carácter materialmente sancionador con respecto a autoridades y empleados públicos por el incumplimiento de las resoluciones de dicho Tribunal. Estas facultades van más allá de las facultades sancionadoras de carácter intraprocesal previstas en la propia Ley Orgánica (directamente, en el art. 95, apartados 3 y 4, y por remisión a lo dispuesto en materia de policía de estrados en la Ley Orgánica del Poder Judicial y en la Ley de enjuiciamiento civil, en el art. 80), pues las autoridades y empleados públicos que podrían ser suspendidos no tienen por qué ser idénticas a las partes del proceso.</w:t>
      </w:r>
    </w:p>
    <w:p w:rsidR="00A90898" w:rsidRDefault="00A90898" w:rsidP="00A90898">
      <w:pPr>
        <w:pStyle w:val="TextoNormal"/>
      </w:pPr>
    </w:p>
    <w:p w:rsidR="00A90898" w:rsidRDefault="00A90898" w:rsidP="00A90898">
      <w:pPr>
        <w:pStyle w:val="TextoNormal"/>
      </w:pPr>
      <w:r>
        <w:t xml:space="preserve">4. En definitiva, a mi juicio, mediante la presente Sentencia el Tribunal Constitucional ha abdicado de su cometido esencial, la custodia de la Constitución, ante implícitas “urgencias de Estado”. A través de una argumentación que resulta muy deferente para la libertad </w:t>
      </w:r>
      <w:r>
        <w:lastRenderedPageBreak/>
        <w:t>de configuración del legislador orgánico, se ha adoptado un fallo que parece sumamente “autorrestrictivo” con respecto a la jurisdicción del Tribunal Constitucional, pero que, en último término, paradójicamente, acrecienta enormemente su poder de acción frente al resto de los poderes constituidos.</w:t>
      </w:r>
    </w:p>
    <w:p w:rsidR="00A90898" w:rsidRDefault="00A90898" w:rsidP="00A90898">
      <w:pPr>
        <w:pStyle w:val="TextoNormal"/>
      </w:pPr>
    </w:p>
    <w:p w:rsidR="00A90898" w:rsidRDefault="00A90898" w:rsidP="00A90898">
      <w:pPr>
        <w:pStyle w:val="TextoNormal"/>
      </w:pPr>
      <w:r>
        <w:t>A mi disentimiento se une una nota amarga por no haberse logrado dictar una sentencia susceptible de ser suscrita por todos los magistrados, al priorizarse, por encima de otras consideraciones, la celeridad en la aprobación de una Sentencia desestimatoria.</w:t>
      </w:r>
    </w:p>
    <w:p w:rsidR="00A90898" w:rsidRDefault="00A90898" w:rsidP="00A90898">
      <w:pPr>
        <w:pStyle w:val="TextoNormal"/>
      </w:pPr>
    </w:p>
    <w:p w:rsidR="00A90898" w:rsidRDefault="00A90898" w:rsidP="00A90898">
      <w:pPr>
        <w:pStyle w:val="TextoNormal"/>
      </w:pPr>
      <w:r>
        <w:t>Madrid, a tres de noviembre de dos mil dieciséis.-Adela Asua Batarrita.-Firmado y rubricado.</w:t>
      </w:r>
    </w:p>
    <w:p w:rsidR="00A90898" w:rsidRDefault="00A90898" w:rsidP="00A90898">
      <w:pPr>
        <w:pStyle w:val="TextoNormal"/>
      </w:pPr>
    </w:p>
    <w:p w:rsidR="00A90898" w:rsidRDefault="00A90898" w:rsidP="00A90898">
      <w:pPr>
        <w:pStyle w:val="TextoNormalNegritaCentrado"/>
        <w:keepNext/>
      </w:pPr>
      <w:r>
        <w:t>Voto particular que formula el Magistrado don Fernando Valdés Dal-Ré a la Sentencia dictada en el recurso de inconstitucionalidad núm. 229-2016.</w:t>
      </w:r>
    </w:p>
    <w:p w:rsidR="00A90898" w:rsidRDefault="00A90898" w:rsidP="00A90898">
      <w:pPr>
        <w:pStyle w:val="TextoNormalNegritaCentrado"/>
        <w:keepNext/>
      </w:pPr>
    </w:p>
    <w:p w:rsidR="00A90898" w:rsidRDefault="00A90898" w:rsidP="00A90898">
      <w:pPr>
        <w:pStyle w:val="TextoNormal"/>
      </w:pPr>
      <w:r>
        <w:t>I. Como tuve oportunidad de manifestar durante las sesiones de deliberación del presente proceso constitucional, disiento de la decisión finalmente adoptada; pero también expreso idéntico distanciamiento, y con similar intensidad, en relación con el razonamiento que sustenta la propia decisión. Dentro del obligado respeto hacia el parecer mayoritario de mis compañeros y por las razones que se expondrán seguidamente, entiendo que la Sentencia que resuelve el mencionado recurso de inconstitucionalidad debió de declarar la inconstitucionalidad y nulidad de las letras b) y c) del art. 92.4 de la Ley 15/2015, de 16 de octubre, de reforma de la Ley Orgánica 2/1979, de 3 de octubre (LOTC), para la ejecución de las resoluciones del Tribunal Constitucional como garantía del Estado de Derecho.</w:t>
      </w:r>
    </w:p>
    <w:p w:rsidR="00A90898" w:rsidRDefault="00A90898" w:rsidP="00A90898">
      <w:pPr>
        <w:pStyle w:val="TextoNormal"/>
      </w:pPr>
    </w:p>
    <w:p w:rsidR="00A90898" w:rsidRDefault="00A90898" w:rsidP="00A90898">
      <w:pPr>
        <w:pStyle w:val="TextoNormal"/>
      </w:pPr>
      <w:r>
        <w:t>II. 1. Antes de exponer las razones de ese doble disentimiento, me parece obligado hacer notar, aun cuando la aseveración pudiera calificarse como innecesaria por evidente, la notable relevancia de las cuestiones planteadas de modo directo en el recurso de inconstitucionalidad promovido por el Gobierno Vasco, relevancia ésta apreciable sin dificultad alguna desde una doble y combinada perspectiva. Por lo pronto y desde una vertiente micro, este proceso entra en el núcleo duro de la ordenación jurídica del Tribunal Constitucional, pues lleva a cabo una intensa y extensa ampliación de sus potestades. Pero su transcendencia no solo deriva de esta perspectiva doméstica, a la que ya se adhiere de manera natural una vasta serie de consecuencias externas en atención a la envergadura de las atribuciones que la Constitución española (CE) le confiere. A esta primera óptica se adiciona una segunda que, por decirlo sin sombra alguna de solemnidad, afecta a los cimientos del modelo democrático de Estado que el art. 1.1 CE proclama y su articulado se encarga de desarrollar en sus plurales pero inescindibles facetas.</w:t>
      </w:r>
    </w:p>
    <w:p w:rsidR="00A90898" w:rsidRDefault="00A90898" w:rsidP="00A90898">
      <w:pPr>
        <w:pStyle w:val="TextoNormal"/>
      </w:pPr>
    </w:p>
    <w:p w:rsidR="00A90898" w:rsidRDefault="00A90898" w:rsidP="00A90898">
      <w:pPr>
        <w:pStyle w:val="TextoNormal"/>
      </w:pPr>
      <w:r>
        <w:t>La parte recurrente no solo no ha esquivado el anterior enfoque; antes al contrario, ha querido dejar constancia de él desde las primeras páginas de su escrito de recurso, las destinadas a identificar “el objeto y la finalidad” de la Ley impugnada, señalando que la reforma de la Ley Orgánica del Tribunal Constitucional pretende insertarse “en el entramado de normas que contienen los principios y valores de la organización jurídico-política del Estado”, produciendo así “una grave alteración del sistema de equilibrio de poderes” y afectando al “modelo de Estado de las Autonomías configurado sobre el principio de autonomía política y separación de poderes” (p. 3).</w:t>
      </w:r>
    </w:p>
    <w:p w:rsidR="00A90898" w:rsidRDefault="00A90898" w:rsidP="00A90898">
      <w:pPr>
        <w:pStyle w:val="TextoNormal"/>
      </w:pPr>
    </w:p>
    <w:p w:rsidR="00A90898" w:rsidRDefault="00A90898" w:rsidP="00A90898">
      <w:pPr>
        <w:pStyle w:val="TextoNormal"/>
      </w:pPr>
      <w:r>
        <w:lastRenderedPageBreak/>
        <w:t>No ha sido ésta, sin embargo, la premisa metodológica manejada por la opinión mayoritaria que apoya la sentencia de la que me aparto, que instala su argumentación jurídica en un criticable autismo. En todo caso, esta decisión de mantener el razonamiento en el perímetro interior del Tribunal Constitucional, sin la menor concesión a la apertura de diálogos transversales, obedece, en mi opinión, a una finalidad elusiva; esto es, a la de evitar que la introducción en el análisis constitucional de las quejas alegadas de problemas vinculados con el modelo constitucional de Estado pudiera poner en peligro o, al menos, zarandear el juicio de regularidad de la ley impugnada. Al margen de las observaciones que de inmediato han de efectuarse, la constante y reiterativa alegación que la sentencia hace al control abstracto como obligado canon de enjuiciamiento de la constitucionalidad de los preceptos recurridos de la Ley Orgánica del Tribunal Constitucional constituye una buena prueba de las razones determinantes de la discutible aproximación metodológica adoptada, que por este lado termina ofreciendo un equívoco y liviano apoyo argumentativo al fallo.</w:t>
      </w:r>
    </w:p>
    <w:p w:rsidR="00A90898" w:rsidRDefault="00A90898" w:rsidP="00A90898">
      <w:pPr>
        <w:pStyle w:val="TextoNormal"/>
      </w:pPr>
    </w:p>
    <w:p w:rsidR="00A90898" w:rsidRDefault="00A90898" w:rsidP="00A90898">
      <w:pPr>
        <w:pStyle w:val="TextoNormal"/>
      </w:pPr>
      <w:r>
        <w:t>2. La entera fundamentación de la resolución de mi disentimiento discurre a través de tres grandes ejes que, a pesar de su diverso carácter, formal uno y material los otros dos, interactúan y se complementan recíprocamente. Son ellos: la falta o, en el mejor de los casos, la insuficiente argumentación de la que, respecto de algunas presuntas vulneraciones, adolece el escrito del recurso de inconstitucionalidad; la decisión del constituyente de reenviar a una intensa libertad normativa del legislador orgánico los elementos estructuradores del Tribunal Constitucional y, finalmente —y es un eje al que ya se ha hecho mención— el parámetro de constitucionalidad de obligada utilización en el presente proceso y que no es otro que un control abstracto que actúa con un doble alcance: en sentido negativo, vedando todo pronunciamiento sobre concretas aplicaciones de los preceptos legales recurridos y, en sentido positivo, exigiendo contrastar el contenido de esos preceptos con los pasajes constitucionales cuya infracción se invoca.</w:t>
      </w:r>
    </w:p>
    <w:p w:rsidR="00A90898" w:rsidRDefault="00A90898" w:rsidP="00A90898">
      <w:pPr>
        <w:pStyle w:val="TextoNormal"/>
      </w:pPr>
    </w:p>
    <w:p w:rsidR="00A90898" w:rsidRDefault="00A90898" w:rsidP="00A90898">
      <w:pPr>
        <w:pStyle w:val="TextoNormal"/>
      </w:pPr>
      <w:r>
        <w:t xml:space="preserve">3. El primero de los ejes que sostiene el razonamiento jurídico es, como se viene de señalar, la falta de argumentación o una insuficiente o defectuosa argumentación del escrito de interposición del recurso. Así se hace, por ejemplo, en el fundamento jurídico 7 c) en el que, tras dejar constancia “de la generalidad de las alegaciones” referentes al primero de los motivos sustantivos de inconstitucionalidad (arts. 161, 164 y 165, en relación con el art. 117.3, todos ellos CE), se recuerda, con abundante apoyo de sentencias del Tribunal Constitucional, la consolidada jurisprudencia constitucional sobre la necesidad del recurrente de argumentar sobre la efectividad de la vulneración denunciada. Parecido argumento se formula en el párrafo inicial del fundamento jurídico 10, en donde se descarta, “con base en las genéricas alegaciones” presentadas, “la presunta desnaturalización del modelo de jurisdicción constitucional diseñado por la Constitución”. Idéntica aseveración vuelve a traerse a colación en el segundo párrafo del fundamento jurídico 10 c) a fin de desestimar la violación por los preceptos de la Ley Orgánica del Tribunal Constitucional impugnados del principio de separación de poderes “sobre la base de imputaciones genéricas”. El párrafo final de este mismo fundamento jurídico persiste en desechar la afectación al modelo de justicia constitucional </w:t>
      </w:r>
      <w:r w:rsidRPr="00A90898">
        <w:rPr>
          <w:i/>
        </w:rPr>
        <w:t>ex</w:t>
      </w:r>
      <w:r>
        <w:t xml:space="preserve"> art. 164 CE en atención a que el alegato “carece de argumentación alguna”. En fin, y sin pretensión de aludir a todas las ocasiones en que se evoca este déficit, en el fundamento jurídico 12 se insiste en el incumplimiento de la parte recurrente de “ofrecer fundamentación suficiente” del motivo a examen.</w:t>
      </w:r>
    </w:p>
    <w:p w:rsidR="00A90898" w:rsidRDefault="00A90898" w:rsidP="00A90898">
      <w:pPr>
        <w:pStyle w:val="TextoNormal"/>
      </w:pPr>
    </w:p>
    <w:p w:rsidR="00A90898" w:rsidRDefault="00A90898" w:rsidP="00A90898">
      <w:pPr>
        <w:pStyle w:val="TextoNormal"/>
      </w:pPr>
      <w:r>
        <w:lastRenderedPageBreak/>
        <w:t>Con independencia de la mayor o menor consistencia constitucional de las diversas quejas dirigidas contra la reforma de la Ley Orgánica del Tribunal Constitucional, no comparto este incesante reproche vertido sobre el presente recurso. Así lo confirma la propia extensión del escrito de interposición que, al margen de su apartado introductorio, dedica más de una cincuentena de páginas a dotar de la obligada fundamentación a los cinco motivos de inconstitucionalidad que articula: procedimental uno y sustantivos los cuatro restantes. Pero sobre todo así lo ratifica el extenso escrito presentado por el Abogado del Estado, que no contiene la menor alusión, directa o indirecta, a una objeción semejante que, dicho sea como mérito de la representación del Estado, no suele ser dado de lado cuando concurre efectivamente.</w:t>
      </w:r>
    </w:p>
    <w:p w:rsidR="00A90898" w:rsidRDefault="00A90898" w:rsidP="00A90898">
      <w:pPr>
        <w:pStyle w:val="TextoNormal"/>
      </w:pPr>
    </w:p>
    <w:p w:rsidR="00A90898" w:rsidRDefault="00A90898" w:rsidP="00A90898">
      <w:pPr>
        <w:pStyle w:val="TextoNormal"/>
      </w:pPr>
      <w:r>
        <w:t>En realidad y en mi opinión, este primer eje está al servicio de la premisa metodológica que informa, como ya he hecho constar, el entero razonamiento de la sentencia. Las referencias a las “alegaciones genéricas” así lo sugieren.</w:t>
      </w:r>
    </w:p>
    <w:p w:rsidR="00A90898" w:rsidRDefault="00A90898" w:rsidP="00A90898">
      <w:pPr>
        <w:pStyle w:val="TextoNormal"/>
      </w:pPr>
    </w:p>
    <w:p w:rsidR="00A90898" w:rsidRDefault="00A90898" w:rsidP="00A90898">
      <w:pPr>
        <w:pStyle w:val="TextoNormal"/>
      </w:pPr>
      <w:r>
        <w:t>En este contexto y por lo demás, no deja de producir cierta sorpresa que la Sentencia objeto de mi disentimiento incurra en diversas ocasiones en el defecto que achaca a los recurrentes. El fundamento jurídico 12 ofrece un buen ejemplo de esta contradicción. Dicho fundamento jurídico, en efecto, afirma afrontar la constitucionalidad de las medidas previstas en los arts. 92.4, letras b) y c), y 92.5 a los que la parte recurrente les imputa un carácter punitivo con la consecuente vulneración del art. 25.1 CE. Una vez enunciado el objeto a consideración, la sentencia manifiesta que “los Letrados del Gobierno Vasco sólo argumentan el carácter punitivo de la medida de suspensión en sus funciones de autoridades y empleados públicos, sin que nada digan al respecto en relación con las contempladas en el art. 92.4 c) y 92.5, de modo que únicamente aquella medida puede ser objeto de nuestro enjuiciamiento”. Sin embargo, la opinión mayoritaria de la presente resolución no repara en que la presunta violación del principio de legalidad penal queda circunscrita por el propio recurrente a los arts. 92.4 b) y 92.5 LOTC, tal y como se deduce sin margen para la incertidumbre de la rúbrica y contenido del apartado sexto del escrito de interposición del presente recurso de inconstitucionalidad. Y es que la sentencia aborda como un único motivo de inconstitucionalidad lo que el referido escrito articula como dos motivos diferentes, siendo el segundo, el relativo a la vulneración de los arts. 71 y 103 CE, en relación con el art. 24 CE, el que invoca el art. 92.4 c) LOTC.</w:t>
      </w:r>
    </w:p>
    <w:p w:rsidR="00A90898" w:rsidRDefault="00A90898" w:rsidP="00A90898">
      <w:pPr>
        <w:pStyle w:val="TextoNormal"/>
      </w:pPr>
    </w:p>
    <w:p w:rsidR="00A90898" w:rsidRDefault="00A90898" w:rsidP="00A90898">
      <w:pPr>
        <w:pStyle w:val="TextoNormal"/>
      </w:pPr>
      <w:r>
        <w:t>Más sorprendente resulta, incluso, la forma de abordar y resolver esta última denuncia, la de los arts. 71 y 103 CE, que se solventa a través de la técnica de la mera remisión a los argumentos utilizados para desestimar la infracción por el art. 92.4 b) LOTC de los arts. 161 y 25.1 CE. Por decirlo en los escuetos términos empleados por la Sentencia: “descartado el carácter punitivo de la medida de suspensión de funciones del art. 92.4 b) LOTC, han de desestimarse las denunciadas infracciones del art. 25.1 CE y de los preceptos constitucionales y estatutarios que reglan la figuran del aforamiento” (último párrafo, FJ 15). La parquedad y liviandad de este razonamiento contrasta de manera palmaria con la extensa argumentación manejada tanto por la parte recurrente para fundamentar su reproche (pp. 51-62) como por el Abogado del Estado para descartar la vulneración denunciada (pp. 40-50). Pero, sobre todo, evidencia un doble e inequitativo parámetro en el tratamiento de la consistencia argumentativa: mientras su ausencia en el escrito de recurso se enjuicia con notable severidad (“alegaciones genéricas”, “argumentación apodíctica” o falta de “carga argumental”), su carencia en la sentencia se presume ajustada a las circunstancias del caso a examen.</w:t>
      </w:r>
    </w:p>
    <w:p w:rsidR="00A90898" w:rsidRDefault="00A90898" w:rsidP="00A90898">
      <w:pPr>
        <w:pStyle w:val="TextoNormal"/>
      </w:pPr>
    </w:p>
    <w:p w:rsidR="00A90898" w:rsidRDefault="00A90898" w:rsidP="00A90898">
      <w:pPr>
        <w:pStyle w:val="TextoNormal"/>
      </w:pPr>
      <w:r>
        <w:t>4. El segundo de los ejes que vertebra el razonamiento de la Sentencia de mi disenso, de carácter material ahora, enuncia un juicio sobre la opción de política de derecho utilizada por el poder constituyente al regular los elementos estructurales y estructuradores del Tribunal Constitucional y, en concreto y en lo que aquí interesa destacar, la ejecución de sus resoluciones.</w:t>
      </w:r>
    </w:p>
    <w:p w:rsidR="00A90898" w:rsidRDefault="00A90898" w:rsidP="00A90898">
      <w:pPr>
        <w:pStyle w:val="TextoNormal"/>
      </w:pPr>
    </w:p>
    <w:p w:rsidR="00A90898" w:rsidRDefault="00A90898" w:rsidP="00A90898">
      <w:pPr>
        <w:pStyle w:val="TextoNormal"/>
      </w:pPr>
      <w:r>
        <w:t>Desde luego, inobjetable resulta el resumen de la jurisprudencia que al respecto se enuncia en el fundamento jurídico 3 a) y que cabe sintetizar en dos básicas manifestaciones, las cuales, por cierto, pueden entenderse aplicables a otras muchas instituciones, institutos u órganos de cobertura constitucional. La primera reside en la libertad de configuración de la que goza el legislador orgánico a la hora de establecer el marco legal del Tribunal Constitucional. Es ésta, sin embargo —y se trata de la segunda expresión de esa jurisprudencia—, una libertad que no puede calificarse como absoluta; antes al contrario y por exigencias del principio de supremacía constitucional, tiene diversos límites formales y materiales derivados no solo de los instrumentos de protección establecidos en el art. 53 y en los restantes preceptos del título IX de la Constitución sino, además, “en una interpretación sistemática de todo el texto constitucional”.</w:t>
      </w:r>
    </w:p>
    <w:p w:rsidR="00A90898" w:rsidRDefault="00A90898" w:rsidP="00A90898">
      <w:pPr>
        <w:pStyle w:val="TextoNormal"/>
      </w:pPr>
    </w:p>
    <w:p w:rsidR="00A90898" w:rsidRDefault="00A90898" w:rsidP="00A90898">
      <w:pPr>
        <w:pStyle w:val="TextoNormal"/>
      </w:pPr>
      <w:r>
        <w:t>Así enunciados los componentes esenciales de la doctrina constitucional que delimita las potestades normativas de ordenación del Tribunal Constitucional, la Sentencia objeto de mi disentimiento, al entrar a analizar el nuevo régimen jurídico de la ejecución de las resoluciones dictadas por el Supremo Intérprete de la Constitución, no se atiene o, si se prefiere formular la idea en otros términos, interpreta de una manera notablemente laxa esa doctrina.</w:t>
      </w:r>
    </w:p>
    <w:p w:rsidR="00A90898" w:rsidRDefault="00A90898" w:rsidP="00A90898">
      <w:pPr>
        <w:pStyle w:val="TextoNormal"/>
      </w:pPr>
    </w:p>
    <w:p w:rsidR="00A90898" w:rsidRDefault="00A90898" w:rsidP="00A90898">
      <w:pPr>
        <w:pStyle w:val="TextoNormal"/>
      </w:pPr>
      <w:r>
        <w:t>Un manifiesto ejemplo de la laxitud con la que la sentencia interpreta el ámbito atribuido constitucionalmente al poder normativo del legislador orgánico resulta apreciable en el fundamento jurídico 9 en el que, tras declarar —en afirmación que no puede dejar de compartirse— que el silencio de la Constitución en materia de ejecución no puede entenderse como un desapoderamiento al Tribunal Constitucional de la potestad de ejecutar y velar por el cumplimiento de sus resoluciones, se afirma, sin ningún tipo de restricción o limitación alguna, que “la forma o el modo en que se pueda articular dicha ejecución … así como la de los instrumentos o medidas puestas a su disposición para garantizar el cumplimiento y la efectividad de aquellas resoluciones” es materia que “el constituyente ha dejado a disposición del legislador orgánico del Tribunal Constituciona</w:t>
      </w:r>
      <w:r w:rsidRPr="00A90898">
        <w:rPr>
          <w:i/>
        </w:rPr>
        <w:t xml:space="preserve">l </w:t>
      </w:r>
      <w:r>
        <w:t>ex art. 165 CE”.</w:t>
      </w:r>
    </w:p>
    <w:p w:rsidR="00A90898" w:rsidRDefault="00A90898" w:rsidP="00A90898">
      <w:pPr>
        <w:pStyle w:val="TextoNormal"/>
      </w:pPr>
    </w:p>
    <w:p w:rsidR="00A90898" w:rsidRDefault="00A90898" w:rsidP="00A90898">
      <w:pPr>
        <w:pStyle w:val="TextoNormal"/>
      </w:pPr>
      <w:r>
        <w:t xml:space="preserve">Es esta una idea que se reitera, incluso con mayor contundencia y holgura, en el fundamento jurídico 10 a) en el que, tras sostenerse que los arts. 161.1 d), 162.2 y 165 CE confieren al legislador orgánico del Tribunal Constitucional “una amplia habilitación para la determinación última de los distintos elementos que lo configuran”, se asevera que “en la reserva de ley orgánica del art. 165 CE, </w:t>
      </w:r>
      <w:r w:rsidRPr="00A90898">
        <w:rPr>
          <w:i/>
        </w:rPr>
        <w:t>cuya amplitud y vocación de complitud impide una interpretación restrictiva de su ámbito material</w:t>
      </w:r>
      <w:r>
        <w:t xml:space="preserve">” (cursiva mía), encuentra cobertura, con carácter general, “la regulación de la ejecución de las resoluciones del Tribunal Constitucional y, en particular, de las medidas previstas para garantizar su cumplimiento y efectividad”. Más aún; con la evidente finalidad de evitar dudas sobre la vasta libertad de configuración legal de la materia controvertida, la sentencia cierra la anterior argumentación del modo siguiente: “Las concretas medidas contempladas en el art. 92.4. b) y c) y 92.5 LOTC </w:t>
      </w:r>
      <w:r>
        <w:lastRenderedPageBreak/>
        <w:t>constituyen, al igual que el resto, instrumentos o potestades puestos a disposición del Tribunal por el legislador para garantizar el debido y efectivo cumplimiento de sus sentencias y demás resoluciones”. Para concluir con este razonamiento, la resolución de mi discrepancia no dudará en recurrir a un bucle argumentativo: las medidas impugnadas son constitucionales dado que su finalidad, cual es “garantizar la posición institucional del Tribunal Constitucional y la efectividad” de sus decisiones, “tiene un fundamento constitucionalmente legítimo”.</w:t>
      </w:r>
    </w:p>
    <w:p w:rsidR="00A90898" w:rsidRDefault="00A90898" w:rsidP="00A90898">
      <w:pPr>
        <w:pStyle w:val="TextoNormal"/>
      </w:pPr>
    </w:p>
    <w:p w:rsidR="00A90898" w:rsidRDefault="00A90898" w:rsidP="00A90898">
      <w:pPr>
        <w:pStyle w:val="TextoNormal"/>
      </w:pPr>
      <w:r>
        <w:t xml:space="preserve">Por lo demás, el fundamento jurídico 10 b) se encarga de eliminar todo resquicio de incertidumbre sobre el alcance de la tesis defendida, certificando que “ningún precepto constitucional impide explícitamente, ni una prohibición de tal índole cabe inferir de los principios que nuestro modelo de jurisdicción constitucional, que el legislador orgánico </w:t>
      </w:r>
      <w:r w:rsidRPr="00A90898">
        <w:rPr>
          <w:i/>
        </w:rPr>
        <w:t>ex</w:t>
      </w:r>
      <w:r>
        <w:t xml:space="preserve"> art. 165 CE pueda establecer un proceso incidental que tenga por objeto velar por la efectividad y cumplimiento de las resoluciones del Tribunal y pueda poner a disposición de éste instrumentos o medidas destinados a dicha finalidad, así como que aquel proceso pueda dirigirse y que </w:t>
      </w:r>
      <w:r w:rsidRPr="00A90898">
        <w:rPr>
          <w:i/>
        </w:rPr>
        <w:t>estos instrumentos o medidas puedan adoptarse en hipótesis en relación con altos órganos del Estado y de las Comunidades Autónomas cuando sean destinatarios del cumplimiento de aquellas resoluciones</w:t>
      </w:r>
      <w:r>
        <w:t>” (cursivas mías). Mientras que la primera parte de la certificación transcrita no precisa mayor fundamentación, la segunda se invoca con un lenguaje apodíctico, resultando discutible que de la exactitud de aquella primera pueda hacerse derivar de manera mecánica, incluso aceptando dialécticamente el escenario hipotético evocado, el ajuste constitucional de la segunda. Por este lado, vuelven a emerger con especial intensidad las secuelas de la premisa metodológica a la que obedece el razonamiento de la sentencia; en particular, las que proceden de la renuncia a efectuar una interpretación sistemática de los preceptos impugnados con los preceptos que definen el modelo democrático de Estado.</w:t>
      </w:r>
    </w:p>
    <w:p w:rsidR="00A90898" w:rsidRDefault="00A90898" w:rsidP="00A90898">
      <w:pPr>
        <w:pStyle w:val="TextoNormal"/>
      </w:pPr>
    </w:p>
    <w:p w:rsidR="00A90898" w:rsidRDefault="00A90898" w:rsidP="00A90898">
      <w:pPr>
        <w:pStyle w:val="TextoNormal"/>
      </w:pPr>
      <w:r>
        <w:t>5. El tercero y último de los ejes que articulan y sostienen la entera argumentación de la Sentencia de mi disenso es el canon de enjuiciamiento aplicable en el recurso de inconstitucionalidad a examen, consistente en un control de carácter abstracto; esto es, en un control “desvinculado de cualquier consideración concreta sobre su aplicación a un específico supuesto de hecho” [FJ 7 b)]. El tan mencionado canon de enjuiciamiento consiste, como hace constar el recién citado fundamento jurídico y se reitera en diversas ocasiones, en verificar la adecuación de los preceptos impugnados “con los mandatos y principios constitucionales supuestamente vulnerados, al margen de su aplicación a casos concretos” [FJ 10 c)].</w:t>
      </w:r>
    </w:p>
    <w:p w:rsidR="00A90898" w:rsidRDefault="00A90898" w:rsidP="00A90898">
      <w:pPr>
        <w:pStyle w:val="TextoNormal"/>
      </w:pPr>
    </w:p>
    <w:p w:rsidR="00A90898" w:rsidRDefault="00A90898" w:rsidP="00A90898">
      <w:pPr>
        <w:pStyle w:val="TextoNormal"/>
      </w:pPr>
      <w:r>
        <w:t>Desde luego, el recurso a este canon de constitucionalidad para la sustanciación del presente proceso no es discutible, pues el mismo se erige en el obligado parámetro a fin de constatar, en el marco de los recursos de inconstitucionalidad, la regularidad o el ajuste de singulares reglas jurídicas establecidas por disposiciones con rango de ley a las proposiciones normativas enunciadas en la Constitución. Mi distanciamiento de la opinión mayoritaria que sustenta esta resolución no proviene, así pues, de la modalidad o tipo de canon de enjuiciamiento sino, y es ello bien diferente, de la concreta aplicación que del mismo se hace.</w:t>
      </w:r>
    </w:p>
    <w:p w:rsidR="00A90898" w:rsidRDefault="00A90898" w:rsidP="00A90898">
      <w:pPr>
        <w:pStyle w:val="TextoNormal"/>
      </w:pPr>
    </w:p>
    <w:p w:rsidR="00A90898" w:rsidRDefault="00A90898" w:rsidP="00A90898">
      <w:pPr>
        <w:pStyle w:val="TextoNormal"/>
      </w:pPr>
      <w:r>
        <w:t xml:space="preserve">El enjuiciamiento que la Sentencia lleva a cabo de la alegada infracción por el art. 92.4. b) LOTC de una pluralidad de principios y preceptos constitucionales ofrece un buen ejemplo del uso desviado que la sentencia hace del control abstracto. La sentencia, en efecto, </w:t>
      </w:r>
      <w:r>
        <w:lastRenderedPageBreak/>
        <w:t>considera constitucional el referido precepto de la Ley Orgánica del Tribunal Constitucional, renunciando, bajo la cobertura del tipo de control impuesto, a verificar la constitucionalidad del completo enunciado normativo de la medida de ejecución ahí instituida. Las dudas de constitucionalidad no traen causa en la potestad conferida al Tribunal Constitucional de acordar en abstracto una medida de suspensión sino de adoptar, igualmente en abstracto, una concreta medida de suspensión, en el ejercicio de sus funciones, aplicable a las autoridades a las que se imputa el incumplimiento de una singular decisión.</w:t>
      </w:r>
    </w:p>
    <w:p w:rsidR="00A90898" w:rsidRDefault="00A90898" w:rsidP="00A90898">
      <w:pPr>
        <w:pStyle w:val="TextoNormal"/>
      </w:pPr>
    </w:p>
    <w:p w:rsidR="00A90898" w:rsidRDefault="00A90898" w:rsidP="00A90898">
      <w:pPr>
        <w:pStyle w:val="TextoNormal"/>
      </w:pPr>
      <w:r>
        <w:t>Es en este contexto normativo en el que el recurso al canon de constitucionalidad a examen debió de hacer entrar en juego “los principios constitucionales” alegados como vulnerados; y en concreto y por invocar los más relevantes, el principio de separación de poderes, la inviolabilidad y autonomía parlamentarias, la autonomía política de las comunidades autónomas o, en fin, la posición institucional del Tribunal Constitucional en el entramado del modelo democrático de Estado. No se trata de examinar si, en el supuesto hipotético de que el Tribunal Constitucional, en un determinado momento, se encontrara en la tesitura de suspender en el ejercicio de sus funciones a alguna de las más altas autoridades de órganos constitucionales, la medida pudiera resultar o no constitucional.</w:t>
      </w:r>
    </w:p>
    <w:p w:rsidR="00A90898" w:rsidRDefault="00A90898" w:rsidP="00A90898">
      <w:pPr>
        <w:pStyle w:val="TextoNormal"/>
      </w:pPr>
    </w:p>
    <w:p w:rsidR="00A90898" w:rsidRDefault="00A90898" w:rsidP="00A90898">
      <w:pPr>
        <w:pStyle w:val="TextoNormal"/>
      </w:pPr>
      <w:r>
        <w:t xml:space="preserve">Pero ello descartado, el uso por la sentencia de un parámetro de constitucionalidad de la naturaleza predicable del control abstracto hubiera obligado a enjuiciar el ámbito aplicativo, subjetivo y objetivo —juicio que habría de haber sido igualmente abstracto—, de la noción de autoridad </w:t>
      </w:r>
      <w:r w:rsidRPr="00A90898">
        <w:rPr>
          <w:i/>
        </w:rPr>
        <w:t>ex</w:t>
      </w:r>
      <w:r>
        <w:t xml:space="preserve"> art. 92 b) y, en consecuencia y en razón de esa comprobación, su regularidad constitucional.</w:t>
      </w:r>
    </w:p>
    <w:p w:rsidR="00A90898" w:rsidRDefault="00A90898" w:rsidP="00A90898">
      <w:pPr>
        <w:pStyle w:val="TextoNormal"/>
      </w:pPr>
    </w:p>
    <w:p w:rsidR="00A90898" w:rsidRDefault="00A90898" w:rsidP="00A90898">
      <w:pPr>
        <w:pStyle w:val="TextoNormal"/>
      </w:pPr>
      <w:r>
        <w:t>Por estas razones, las insistentes alegaciones de la resolución de mi disenso de que será “con ocasión de la aplicación concreta de alguna o algunas de las medidas” controvertidas “cuando procederá examinar entonces su viabilidad” [por ejemplo, FJ 10 b)] resultan, en el contexto en que se desarrolla el razonamiento, de una notable equivocidad, derivada de ser el resultado de un enfoque conceptual parcial e incompleto.</w:t>
      </w:r>
    </w:p>
    <w:p w:rsidR="00A90898" w:rsidRDefault="00A90898" w:rsidP="00A90898">
      <w:pPr>
        <w:pStyle w:val="TextoNormal"/>
      </w:pPr>
    </w:p>
    <w:p w:rsidR="00A90898" w:rsidRDefault="00A90898" w:rsidP="00A90898">
      <w:pPr>
        <w:pStyle w:val="TextoNormal"/>
      </w:pPr>
      <w:r>
        <w:t>III. Expuesta como ha quedado la crítica al modo de abordar el enjuiciamiento del art. 92.4 b) LOTC, las razones que a mi entender sustentan la inconstitucionalidad de este precepto, en cuanto regula la medida de ejecución consistente en la suspensión de funciones de las autoridades o empleados públicos de la Administración responsable del incumplimiento, son las recogidas en el Voto particular formulado por la Magistrada doña Adela Asua Batarrita, al que en este punto me adhiero formalmente.</w:t>
      </w:r>
    </w:p>
    <w:p w:rsidR="00A90898" w:rsidRDefault="00A90898" w:rsidP="00A90898">
      <w:pPr>
        <w:pStyle w:val="TextoNormal"/>
      </w:pPr>
    </w:p>
    <w:p w:rsidR="00A90898" w:rsidRDefault="00A90898" w:rsidP="00A90898">
      <w:pPr>
        <w:pStyle w:val="TextoNormal"/>
      </w:pPr>
      <w:r>
        <w:t>IV. 1. Discrepo asimismo de la opinión mayoritaria en el juicio de constitucionalidad del art. 92.4 c) LOTC, que desestima el recurso con base en una argumentación que pivota sobre todo en el diferente título legitimador de este mecanismo de ejecución sustitutoria y el que recoge el art. 155 CE. También resulta aquí particularmente visible la ya advertida insuficiencia argumental general de la sentencia a la hora de abordar una cuestión extremadamente delicada por afectar al equilibrio de la arquitectura constitucional, y a la propia posición que en ella ocupa este Tribunal. De la extraordinaria importancia de la cláusula recogida en el art. 155 CE da cuenta toda la doctrina, y de ella se ha podido afirmar que concentra toda la Constitución en la relación entre poderes central y periféricos del Estado, y que encierra la decisión política más trascendente de las previstas en nuestra Carta Magna.</w:t>
      </w:r>
    </w:p>
    <w:p w:rsidR="00A90898" w:rsidRDefault="00A90898" w:rsidP="00A90898">
      <w:pPr>
        <w:pStyle w:val="TextoNormal"/>
      </w:pPr>
    </w:p>
    <w:p w:rsidR="00A90898" w:rsidRDefault="00A90898" w:rsidP="00A90898">
      <w:pPr>
        <w:pStyle w:val="TextoNormal"/>
      </w:pPr>
      <w:r>
        <w:lastRenderedPageBreak/>
        <w:t>Sin abandonar en ningún momento el control de tipo abstracto propio del recurso de inconstitucionalidad, pero sin olvidar que dicho control no excluye sino que, antes al contrario, impone una interpretación sistemática de la Constitución, por esa sola y poderosa razón el Tribunal hubiera debido analizar en profundidad y en su íntegro contexto el fondo del problema constitucional que plantea este precepto de la reforma de la Ley Orgánica del Tribunal Constitucional.</w:t>
      </w:r>
    </w:p>
    <w:p w:rsidR="00A90898" w:rsidRDefault="00A90898" w:rsidP="00A90898">
      <w:pPr>
        <w:pStyle w:val="TextoNormal"/>
      </w:pPr>
    </w:p>
    <w:p w:rsidR="00A90898" w:rsidRDefault="00A90898" w:rsidP="00A90898">
      <w:pPr>
        <w:pStyle w:val="TextoNormal"/>
      </w:pPr>
      <w:r>
        <w:t>2. De haberlo hecho así, en su debido rigor, hubieran aflorado las facetas presentes en la regulación de la medida de ejecución sustitutoria que no podrían considerarse compatibles con la Constitución, o que, al menos, habrían de reputarse inaplicables en atención a la naturaleza de los procesos encomendados al Tribunal Constitucional.</w:t>
      </w:r>
    </w:p>
    <w:p w:rsidR="00A90898" w:rsidRDefault="00A90898" w:rsidP="00A90898">
      <w:pPr>
        <w:pStyle w:val="TextoNormal"/>
      </w:pPr>
    </w:p>
    <w:p w:rsidR="00A90898" w:rsidRDefault="00A90898" w:rsidP="00A90898">
      <w:pPr>
        <w:pStyle w:val="TextoNormal"/>
      </w:pPr>
      <w:r>
        <w:t>a) Me detengo en primer lugar en los aspectos subjetivos. La medida de ejecución sustitutoria podría afectar a todo tipo “instituciones, autoridades, empleados públicos o particulares” a quienes se dirige el requerimiento previo según el párrafo inicial del art. 92.4 LOTC. Sin embargo, tal vocación universal es solo aparente o parcialmente inconstitucional, si se repara en los límites materiales que derivan de una interpretación sistemática del bloque de la constitucionalidad.</w:t>
      </w:r>
    </w:p>
    <w:p w:rsidR="00A90898" w:rsidRDefault="00A90898" w:rsidP="00A90898">
      <w:pPr>
        <w:pStyle w:val="TextoNormal"/>
      </w:pPr>
    </w:p>
    <w:p w:rsidR="00A90898" w:rsidRDefault="00A90898" w:rsidP="00A90898">
      <w:pPr>
        <w:pStyle w:val="TextoNormal"/>
      </w:pPr>
      <w:r>
        <w:t>El círculo constituido por las instituciones y autoridades que forman parte de las Cortes Generales, así como del Poder Judicial, no puede en modo alguno verse afectado por la medida de ejecución sustitutoria sin transgredir un primer límite constitucional. Todos los poderes del Estado emanan del pueblo español (art. 1.2 CE), y sus atribuciones constitucionales no pueden alterarse o menoscabarse a través de la ejecución sustitutoria encomendada al poder ejecutivo, porque ello comporta poner en entredicho los principios de inviolabilidad y autonomía parlamentaria (arts. 66.3 y 72 CE), y de independencia e inamovilidad judicial (art. 117.1 CE).</w:t>
      </w:r>
    </w:p>
    <w:p w:rsidR="00A90898" w:rsidRDefault="00A90898" w:rsidP="00A90898">
      <w:pPr>
        <w:pStyle w:val="TextoNormal"/>
      </w:pPr>
    </w:p>
    <w:p w:rsidR="00A90898" w:rsidRDefault="00A90898" w:rsidP="00A90898">
      <w:pPr>
        <w:pStyle w:val="TextoNormal"/>
      </w:pPr>
      <w:r>
        <w:t>La posición de los Parlamentos autonómicos está preservada en similares términos en los Estatutos de Autonomía (por citar únicamente el directamente afectado por este recurso, arts. 25.2 y 27 del Estatuto de Autonomía para el País Vasco: EAPV). Estas normas forman parte del bloque de la constitucionalidad y, en particular, no son susceptibles de modificación por otra vía que la prevista en los propios Estatutos, como consecuencia del carácter paccionado de su elaboración y reforma, lo que les dota de una singular rigidez que se erige en garantía del derecho a la autonomía (STC 247/2007, de 12 de diciembre, FJ 6).</w:t>
      </w:r>
    </w:p>
    <w:p w:rsidR="00A90898" w:rsidRDefault="00A90898" w:rsidP="00A90898">
      <w:pPr>
        <w:pStyle w:val="TextoNormal"/>
      </w:pPr>
    </w:p>
    <w:p w:rsidR="00A90898" w:rsidRDefault="00A90898" w:rsidP="00A90898">
      <w:pPr>
        <w:pStyle w:val="TextoNormal"/>
      </w:pPr>
      <w:r>
        <w:t>En el ámbito del poder ejecutivo, la mención a “autoridades” y “empleados públicos” presenta también alguna imprecisión o ambigüedad. Los empleados públicos están sujetos “a la Constitución y al resto del ordenamiento jurídico” (art. 9.1 CE); pero, además, actúan sometidos al principio de jerarquía (art. 103.1 CE). Es pues difícil concebir que un empleado público incumpla de forma autónoma una sentencia constitucional, sin que la “autoridad” de la que dependa inicie un procedimiento disciplinario y/o tome las medidas adecuadas para remediar esta anomalía. De otro modo, la cúspide identificada como “autoridad” sería la que, en última instancia, aparecería como la responsable del incumplimiento.</w:t>
      </w:r>
    </w:p>
    <w:p w:rsidR="00A90898" w:rsidRDefault="00A90898" w:rsidP="00A90898">
      <w:pPr>
        <w:pStyle w:val="TextoNormal"/>
      </w:pPr>
    </w:p>
    <w:p w:rsidR="00A90898" w:rsidRDefault="00A90898" w:rsidP="00A90898">
      <w:pPr>
        <w:pStyle w:val="TextoNormal"/>
      </w:pPr>
      <w:r>
        <w:t xml:space="preserve">La mención a los “particulares” se antoja aquí superflua, incrustada en el precepto legal con una deliberada vocación de convertir en universal un ámbito subjetivo privado de ese </w:t>
      </w:r>
      <w:r>
        <w:lastRenderedPageBreak/>
        <w:t>rasgo. Francamente resulta difícil imaginar un supuesto en el que pudiera aplicarse a particulares la ejecución sustitutoria regulada en el art. 92.4 c) LOTC.</w:t>
      </w:r>
    </w:p>
    <w:p w:rsidR="00A90898" w:rsidRDefault="00A90898" w:rsidP="00A90898">
      <w:pPr>
        <w:pStyle w:val="TextoNormal"/>
      </w:pPr>
    </w:p>
    <w:p w:rsidR="00A90898" w:rsidRDefault="00A90898" w:rsidP="00A90898">
      <w:pPr>
        <w:pStyle w:val="TextoNormal"/>
      </w:pPr>
      <w:r>
        <w:t>Esta operación de sucesiva reducción de la aparente amplitud de destinatarios de la ejecución sustitutoria conduce a entender, por tanto, que la medida tiene en realidad un alcance subjetivo mucho más limitado: las “instituciones” o “autoridades” que no formen parte del poder legislativo o judicial. Y procede añadir, ahora una ulterior precisión: que las mismas no formen parte de la órbita del “Gobierno de la Nación”, dado que éste es precisamente el órgano llamado por el art. 92.4 c) LOTC a colaborar con el Tribunal Constitucional para asegurar el cumplimiento de sus resoluciones. Queda así reducido el ámbito subjetivo de la medida a las instituciones o autoridades pertenecientes a las Comunidades Autónomas o a las entidades locales.</w:t>
      </w:r>
    </w:p>
    <w:p w:rsidR="00A90898" w:rsidRDefault="00A90898" w:rsidP="00A90898">
      <w:pPr>
        <w:pStyle w:val="TextoNormal"/>
      </w:pPr>
    </w:p>
    <w:p w:rsidR="00A90898" w:rsidRDefault="00A90898" w:rsidP="00A90898">
      <w:pPr>
        <w:pStyle w:val="TextoNormal"/>
      </w:pPr>
      <w:r>
        <w:t>Sin embargo y a la luz de lo dispuesto en la legislación local, en particular, los mecanismos excepcionales regulados en los arts. 60, 61 y 67 de la Ley 7/1985, de 2 de abril, reguladora de las bases del régimen local, parece también razonable descartar que sean las autoridades locales las auténticas destinatarias de esta medida de ejecución, puesto que el ordenamiento jurídico ya dispone de mecanismos suficientes para asegurar el cumplimiento regular del conjunto del ordenamiento jurídico, incluyendo la disolución de los órganos de las corporaciones locales “en el supuesto de gestión gravemente dañosa para los intereses generales que suponga incumplimiento de sus obligaciones constitucionales” (artículo 61.1).</w:t>
      </w:r>
    </w:p>
    <w:p w:rsidR="00A90898" w:rsidRDefault="00A90898" w:rsidP="00A90898">
      <w:pPr>
        <w:pStyle w:val="TextoNormal"/>
      </w:pPr>
    </w:p>
    <w:p w:rsidR="00A90898" w:rsidRDefault="00A90898" w:rsidP="00A90898">
      <w:pPr>
        <w:pStyle w:val="TextoNormal"/>
      </w:pPr>
      <w:r>
        <w:t>Despojada de este modo de su ficticia amplitud, no cabe sino concluir que, en un primer ajuste de constitucionalidad, los destinatarios de la medida de ejecución sustitutoria no podrían ser otros que las instituciones o autoridades de las Comunidades Autónomas, con la inexcusable salvedad de las Asambleas Legislativas, en atención a los principios de inviolabilidad y autonomía parlamentaria.</w:t>
      </w:r>
    </w:p>
    <w:p w:rsidR="00A90898" w:rsidRDefault="00A90898" w:rsidP="00A90898">
      <w:pPr>
        <w:pStyle w:val="TextoNormal"/>
      </w:pPr>
    </w:p>
    <w:p w:rsidR="00A90898" w:rsidRDefault="00A90898" w:rsidP="00A90898">
      <w:pPr>
        <w:pStyle w:val="TextoNormal"/>
      </w:pPr>
      <w:r>
        <w:t>b) Determinar con exactitud el alcance objetivo de la medida de ejecución sustitutoria hubiera requerido una tarea hermenéutica análoga a la anterior.</w:t>
      </w:r>
    </w:p>
    <w:p w:rsidR="00A90898" w:rsidRDefault="00A90898" w:rsidP="00A90898">
      <w:pPr>
        <w:pStyle w:val="TextoNormal"/>
      </w:pPr>
    </w:p>
    <w:p w:rsidR="00A90898" w:rsidRDefault="00A90898" w:rsidP="00A90898">
      <w:pPr>
        <w:pStyle w:val="TextoNormal"/>
      </w:pPr>
      <w:r>
        <w:t>La ejecución sustitutoria no tiene cabida como medida para remediar el incumplimiento de las sentencias recaídas en los procedimientos de declaración de inconstitucionalidad regulados en el título II LOTC (recurso de inconstitucionalidad y cuestión de inconstitucionalidad), puesto que su estimación lleva aparejada la declaración de inconstitucionalidad y nulidad de “leyes, disposiciones normativas o actos con fuerza de ley” (art. 31 LOTC) o “norma con rango de ley” (art. 35.1 LOTC). Esto determina la expulsión del ordenamiento jurídico de la norma considerada inconstitucional; cualquier actuación llevada a cabo en aplicación de la misma sería radicalmente nula, y susceptible de control por la jurisdicción ordinaria. No contradice esta afirmación la existencia de supuestos de nulidad diferida, que son excepcionales. En atención a las circunstancias concurrentes, algunas sentencias recientes (a partir de la STC 164/2013, de 26 de septiembre) han acompañado la fijación de un plazo al legislador, vencido el cual surte efectos la declaración de nulidad.</w:t>
      </w:r>
    </w:p>
    <w:p w:rsidR="00A90898" w:rsidRDefault="00A90898" w:rsidP="00A90898">
      <w:pPr>
        <w:pStyle w:val="TextoNormal"/>
      </w:pPr>
    </w:p>
    <w:p w:rsidR="00A90898" w:rsidRDefault="00A90898" w:rsidP="00A90898">
      <w:pPr>
        <w:pStyle w:val="TextoNormal"/>
      </w:pPr>
      <w:r>
        <w:t xml:space="preserve">Tampoco han prosperado “vías indirectas” cuando ha habido controversias competenciales derivadas de la ejecución de una sentencia dictada en un recurso de inconstitucionalidad. Así se pone de relieve en las resoluciones posteriores a la STC 150/2012, de 5 de junio, que inadmitieron tanto los conflictos negativos de competencias como el incidente de ejecución </w:t>
      </w:r>
      <w:r>
        <w:lastRenderedPageBreak/>
        <w:t>planteados por el Abogado del Estado. En la inadmisión del conflicto negativo de competencia, el ATC 207/2014, de 22 de julio, recuerda que “todos los conflictos de competencias tienen en común una controversia competencial, pero no cualquier desacuerdo entre el Estado y las Comunidades Autónomas, sino sólo las que versen sobre la interpretación que debe darse a las normas constitucionales, estatutarias, o delimitadoras de competencias entre el Estado y las Comunidades Autónomas, pues sólo en este caso tienen trascendencia constitucional … ya se trate de la titularidad misma de la competencia o de la forma en que se ha ejercido o ni siquiera se haya llegado a ejercer, debe existir una discrepancia sobre la interpretación de las normas atributivas de competencias del bloque de la constitucionalidad … Con ello, se pretende vedar el acceso al Tribunal Constitucional de pretensiones que hayan sido desatendidas por razones no competenciales o por controversias que, aun siendo de naturaleza competencial, no son, sin embargo, propias de la jurisdicción del Tribunal Constitucional. De forma que, la simple presencia de cuestiones estrictamente fácticas o, incluso, jurídicas en alguna medida vinculadas con el sistema de distribución de competencias, pero cuya solución no requiera de una interpretación de las reglas competenciales, no permite transformar un conflicto de competencias aparente en una verdadera controversia competencial … En otras palabras, no tienen cabida en este tipo de conflictos las controversias que versan sobre cuestiones materiales o incluso jurídicas, en alguna medida vinculadas con el sistema de distribución de competencias, pero cuya solución no requiere de una interpretación de las reglas competenciales del bloque de la constitucionalidad” (FJ 1). Por su parte, el ATC 120/2015, de 7 de julio, por el que se inadmite el incidente de ejecución de la STC 150/2012, recuerda que el pronunciamiento de inconstitucionalidad tiene un carácter meramente declarativo, sin incidir en la situación concreta que conforma el sustrato de aquel proceso constitucional.</w:t>
      </w:r>
    </w:p>
    <w:p w:rsidR="00A90898" w:rsidRDefault="00A90898" w:rsidP="00A90898">
      <w:pPr>
        <w:pStyle w:val="TextoNormal"/>
      </w:pPr>
    </w:p>
    <w:p w:rsidR="00A90898" w:rsidRDefault="00A90898" w:rsidP="00A90898">
      <w:pPr>
        <w:pStyle w:val="TextoNormal"/>
      </w:pPr>
      <w:r>
        <w:t>Pasando revista a los recursos de amparo, la vía incidental del art. 92 LOTC está también presidida por las esenciales exigencias de subsidiariedad de la jurisdicción de amparo, como recuerda el ATC 65/2015, de 13 de abril. Es reiterada doctrina constitucional (ATC 1/2009, de 12 de enero, FJ 3, entre otros muchos), que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(AATC 52/2004, de 23 de febrero, FJ 2, y 323/2008, de 20 de octubre, FJ 2)”. En todo caso, si se trata de resoluciones que hayan otorgado el amparo respecto de decisiones de jueces y tribunales (art. 54 LOTC), no podría ser aplicada la medida de ejecución sustitutoria, en atención al ya mencionado límite infranqueable de los principios de independencia e inamovilidad judicial (art. 117.1 CE).</w:t>
      </w:r>
    </w:p>
    <w:p w:rsidR="00A90898" w:rsidRDefault="00A90898" w:rsidP="00A90898">
      <w:pPr>
        <w:pStyle w:val="TextoNormal"/>
      </w:pPr>
    </w:p>
    <w:p w:rsidR="00A90898" w:rsidRDefault="00A90898" w:rsidP="00A90898">
      <w:pPr>
        <w:pStyle w:val="TextoNormal"/>
      </w:pPr>
      <w:r>
        <w:t xml:space="preserve">Sobre la ejecución de un conflicto positivo de competencia, el Tribunal se ha pronunciado estando ya en vigor esta reforma de la Ley Orgánica del Tribunal Constitucional. Merece la pena reproducir en lo sustancial dicho criterio, por su cercanía al núcleo del problema constitucional que plantea el art. 92.4 c) LOTC. La STC 95/2016, de 12 de mayo, afirma que por regla general “las decisiones que ponen fin a los conflictos positivos de competencia no requieren medidas de ejecución. Como afirmamos en la STC 110/1983, de 25 de noviembre, FJ 2, las finalidades de un conflicto positivo de competencia son dos: por un lado, ‘la determinación de la legitimidad o ilegitimidad constitucional de la disposición </w:t>
      </w:r>
      <w:r>
        <w:lastRenderedPageBreak/>
        <w:t xml:space="preserve">o resolución concreta de que se trate’; por otro, ‘la interpretación y fijación del orden competencial y en la determinación de qué competencias pertenecen a qué sujetos, yéndose así más allá de la mera solución del caso concreto origen del conflicto o controversia’. Por este motivo, el art. 66 LOTC prevé una doble dimensión de la Sentencia constitucional en caso de conflicto. Esta Sentencia debe ‘acordar, en su caso, la anulación de la disposición, resolución o actos que originaron el conflicto en cuanto estuvieren viciados de su competencia’; y, además, debe efectuar un pronunciamiento más general, relativo al orden competencial, ya que, como señala el mismo artículo, en su primer inciso, ‘la Sentencia declarará la titularidad de la competencia controvertida’. La decisión que ponga fin al conflicto positivo de competencias vinculará a todos los poderes públicos y tendrá plenos efectos frente a todos, como indican los arts. 164.1 CE y 61.3 LOTC. La especial vinculación que para todos los poderes públicos tienen las Sentencias de este Tribunal no se limita, según doctrina de este Tribunal, al contenido del fallo, sino que se extiende a la correspondiente fundamentación jurídica, en especial a la que contiene los criterios que conducen a la </w:t>
      </w:r>
      <w:r w:rsidRPr="00A90898">
        <w:rPr>
          <w:i/>
        </w:rPr>
        <w:t>ratio decidendi</w:t>
      </w:r>
      <w:r>
        <w:t xml:space="preserve"> (STC 158/2004, de 21 de septiembre, FJ 4). Como consecuencia, tal como se razonó en la citada STC 110/1983, ‘una vez declarada la titularidad de la competencia de que se trate, desaparece su carácter controvertido, por lo que el ejercicio de esa competencia quedará, tanto respecto a la disposición que dio lugar al conflicto, como en ulteriores ocasiones en que tal competencia pueda ejercerse, atribuido y reservado al titular que la Sentencia señale, en virtud de la interpretación que el Tribunal lleve a cabo de las normas reguladoras del reparto competencial’ ” [FJ 8 a)].</w:t>
      </w:r>
    </w:p>
    <w:p w:rsidR="00A90898" w:rsidRDefault="00A90898" w:rsidP="00A90898">
      <w:pPr>
        <w:pStyle w:val="TextoNormal"/>
      </w:pPr>
    </w:p>
    <w:p w:rsidR="00A90898" w:rsidRDefault="00A90898" w:rsidP="00A90898">
      <w:pPr>
        <w:pStyle w:val="TextoNormal"/>
      </w:pPr>
      <w:r>
        <w:t>c) De la propia naturaleza de la cosa derivan límites complementarios a los anteriores. En primer lugar y para resultar susceptible de ejecución sustitutoria, el fallo de la sentencia habría de contener una obligación de hacer, ámbito característico de esta medida en la legislación procesal ordinaria.</w:t>
      </w:r>
    </w:p>
    <w:p w:rsidR="00A90898" w:rsidRDefault="00A90898" w:rsidP="00A90898">
      <w:pPr>
        <w:pStyle w:val="TextoNormal"/>
      </w:pPr>
    </w:p>
    <w:p w:rsidR="00A90898" w:rsidRDefault="00A90898" w:rsidP="00A90898">
      <w:pPr>
        <w:pStyle w:val="TextoNormal"/>
      </w:pPr>
      <w:r>
        <w:t xml:space="preserve">En segundo lugar, la decisión que desencadene la aplicación del art. 92.4 c) LOTC debería constituir un incumplimiento que excediera de las situaciones que pudieran calificarse de ordinarias: las anomalías o retrasos detectados en determinadas fricciones competenciales en las que, pese a los dilatadísimos retrasos que han podido apreciarse en la ejecución de algunas de sus sentencias, el Tribunal ha llamado a las partes a resolver sus diferencias sin demora, pero renunciando a asumir la dirección de la ejecución en vía jurisdiccional. Buena muestra de ello es la ya citada STC 95/2016: “al afrontar en ocasiones la persistencia de situaciones anómalas de disconformidad con la Constitución, este Tribunal ha proclamado el deber de fidelidad a la Constitución por parte de los poderes públicos (en la STC 247/2007, de 12 diciembre, FJ 4, afirmado ese deber como ‘’un soporte esencial del funcionamiento del Estado autonómico’, y en la STC 42/2014, de 25 de marzo, FJ 4, destacado en relación con las Asambleas Legislativas de las Comunidades Autónomas) o el principio de lealtad constitucional que obliga a todos los poderes públicos (en las SSTC 209/1990, de 20 de diciembre, FJ 4; 158/2004, de 21 de septiembre, FJ 7, y 245/2012, de 18 de diciembre, FJ 26, destacado en relación con las instituciones centrales del Estado). Más en concreto en la STC 208/1999, de 11 de noviembre, FJ 8, afirmamos ‘la necesidad de que, para la plena realización del orden de competencias que se desprende de la Constitución y los Estatutos de Autonomía, se evite la persistencia de situaciones anómalas en las que sigan siendo ejercitadas por el Estado competencias que no le corresponden’, al entender que ‘[e]l Estado de las Autonomías configurado por nuestra Constitución no alcanzará, en esta materia, su diseño acabado en tanto el orden de competencias que se desprende de la Constitución y los </w:t>
      </w:r>
      <w:r>
        <w:lastRenderedPageBreak/>
        <w:t>Estatutos no alcance plena realización’. Son palabras plenamente válidas y suficientes para responder a la pretensión ejercitada por la Comunidad Autónoma promotora del conflicto” [FJ 8 b)].</w:t>
      </w:r>
    </w:p>
    <w:p w:rsidR="00A90898" w:rsidRDefault="00A90898" w:rsidP="00A90898">
      <w:pPr>
        <w:pStyle w:val="TextoNormal"/>
      </w:pPr>
    </w:p>
    <w:p w:rsidR="00A90898" w:rsidRDefault="00A90898" w:rsidP="00A90898">
      <w:pPr>
        <w:pStyle w:val="TextoNormal"/>
      </w:pPr>
      <w:r>
        <w:t>3. Una vez expuestas las sucesivas reducciones subjetivas y objetivas que, por diferentes motivos, han de aplicarse al teórico ámbito de la medida de ejecución sustitutoria del art. 92.4 c) LOTC, o dicho de otro modo, despojada la medida de su ficticio carácter abstracto y genérico, queda de manifiesto su inadmisible solapamiento con lo dispuesto por el art. 155 CE.</w:t>
      </w:r>
    </w:p>
    <w:p w:rsidR="00A90898" w:rsidRDefault="00A90898" w:rsidP="00A90898">
      <w:pPr>
        <w:pStyle w:val="TextoNormal"/>
      </w:pPr>
    </w:p>
    <w:p w:rsidR="00A90898" w:rsidRDefault="00A90898" w:rsidP="00A90898">
      <w:pPr>
        <w:pStyle w:val="TextoNormal"/>
      </w:pPr>
      <w:r>
        <w:t>En efecto, el verdadero núcleo de aplicación del art. 92.4 c) LOTC, enunciado esta vez en positivo, revelaría sin ambages su nudo propósito: tiene como finalidad sustituir a las instituciones o autoridades de los poderes ejecutivos de las Comunidades Autónomas (i) que incumplan una obligación de hacer contenida en el fallo de una resolución del Tribunal Constitucional recaída en un conflicto de competencia o en una impugnación del título V LOTC, (ii) que exceda de los límites habituales de las controversias dirimidas ante el Tribunal (o si se prefiere, que revista caracteres de especial gravedad o trascendencia constitucional) y (iii) que, en los términos utilizados por la sentencia de la que me aparto, no dé lugar “a la alteración de la posición institucional del Estado y de las Comunidades Autónomas” [FJ 17 b)]. En otras palabras, que no implique el ejercicio de una atribución o competencia que el bloque de la constitucionalidad haya atribuido en exclusiva a las Comunidades Autónomas, en atención a su posición institucional en la organización territorial del Estado.</w:t>
      </w:r>
    </w:p>
    <w:p w:rsidR="00A90898" w:rsidRDefault="00A90898" w:rsidP="00A90898">
      <w:pPr>
        <w:pStyle w:val="TextoNormal"/>
      </w:pPr>
    </w:p>
    <w:p w:rsidR="00A90898" w:rsidRDefault="00A90898" w:rsidP="00A90898">
      <w:pPr>
        <w:pStyle w:val="TextoNormal"/>
      </w:pPr>
      <w:r>
        <w:t xml:space="preserve">El inconstitucional solapamiento de la ejecución sustitutoria así concebida con el art. 155 CE se desprende de su contraste con los elementos esenciales del mecanismo diseñado por el constituyente: (i) la genérica expresión Comunidad Autónoma que identifica el ámbito del art. 155 CE sin duda abarca también a las “instituciones” y “autoridades” del poder ejecutivo autonómico; (ii) el incumplimiento de las obligaciones impuestas por la Constitución u otras leyes, primer presupuesto de aplicación del precepto constitucional, comprende </w:t>
      </w:r>
      <w:r w:rsidRPr="00A90898">
        <w:rPr>
          <w:i/>
        </w:rPr>
        <w:t>per se</w:t>
      </w:r>
      <w:r>
        <w:t>, evidentemente, el de las resoluciones del Tribunal Constitucional; (iii) el segundo presupuesto, la actuación “de forma que atente gravemente al interés general de España”, aunque aparezca formulado en términos alternativos respecto del anterior, parece difícil de concebir sin nexo con “las obligaciones impuestas por la Constitución u otras leyes”. Dado que entre las obligaciones impuestas por la Constitución la jurisprudencia constitucional ha incluido aspectos implícitos o inherentes como el deber de lealtad o el deber de colaboración, pocas dudas ofrece la conexión entre ambos enunciados del art. 155 CE.</w:t>
      </w:r>
    </w:p>
    <w:p w:rsidR="00A90898" w:rsidRDefault="00A90898" w:rsidP="00A90898">
      <w:pPr>
        <w:pStyle w:val="TextoNormal"/>
      </w:pPr>
    </w:p>
    <w:p w:rsidR="00A90898" w:rsidRDefault="00A90898" w:rsidP="00A90898">
      <w:pPr>
        <w:pStyle w:val="TextoNormal"/>
      </w:pPr>
      <w:r>
        <w:t>Por la misma razón, también parece difícil concebir que estas situaciones no vengan precedidas de uno o varios pronunciamientos de inconstitucionalidad a cargo del Tribunal, en su condición de intérprete supremo de la Constitución (art. 1.1 LOTC). Y ya he señalado antes que el incumplimiento de las resoluciones del Tribunal susceptibles de ejecución sustitutoria vía Ley Orgánica del Tribunal Constitucional ha de quedar en buena lógica constreñida a aquellos supuestos que desbordan el ámbito ordinario de las controversias competenciales, y revisten por ello caracteres de especial gravedad o trascendencia constitucional.</w:t>
      </w:r>
    </w:p>
    <w:p w:rsidR="00A90898" w:rsidRDefault="00A90898" w:rsidP="00A90898">
      <w:pPr>
        <w:pStyle w:val="TextoNormal"/>
      </w:pPr>
    </w:p>
    <w:p w:rsidR="00A90898" w:rsidRDefault="00A90898" w:rsidP="00A90898">
      <w:pPr>
        <w:pStyle w:val="TextoNormal"/>
      </w:pPr>
      <w:r>
        <w:t xml:space="preserve">En la STC 41/2016, de 3 de marzo, tras calificar la sustitución en el ejercicio de una competencia por incumplimiento como “un control administrativo en sentido técnico”, el </w:t>
      </w:r>
      <w:r>
        <w:lastRenderedPageBreak/>
        <w:t>Tribunal emitió una opinión que, lamentablemente, no se ha visto ratificada por esta sentencia: “en nuestro sistema constitucional no hay más controles administrativos de este tipo que los previstos en el art. 155 CE (para afrontar incumplimientos constitucionales extremadamente cualificados) y en la estabilidad presupuestaria y sostenibilidad financiera (ante el incumplimiento de los objetivos de equilibrio y sostenibilidad presupuestaria)” (FJ 16). Sin dejar de recordar, en cuanto a los segundos, los votos particulares formulados a las SSTC 215/2014, de 18 de diciembre, y 101/2016, de 25 de mayo, me interesa ahora destacar que esta previa reflexión también contribuye a apreciar la práctica identidad del presupuesto que activa las medidas reguladas en las dos normas en contraste.</w:t>
      </w:r>
    </w:p>
    <w:p w:rsidR="00A90898" w:rsidRDefault="00A90898" w:rsidP="00A90898">
      <w:pPr>
        <w:pStyle w:val="TextoNormal"/>
      </w:pPr>
    </w:p>
    <w:p w:rsidR="00A90898" w:rsidRDefault="00A90898" w:rsidP="00A90898">
      <w:pPr>
        <w:pStyle w:val="TextoNormal"/>
      </w:pPr>
      <w:r>
        <w:t xml:space="preserve">4. Recapitulo. La ejecución sustitutoria del art. 92.4 c) LOTC nos llega revestida de una apariencia de medida de ejecución jurisdiccional de </w:t>
      </w:r>
      <w:r w:rsidRPr="00A90898">
        <w:rPr>
          <w:i/>
        </w:rPr>
        <w:t>vis</w:t>
      </w:r>
      <w:r>
        <w:t xml:space="preserve"> neutra, técnica, con el soporte como precedente de la legislación procesal ordinaria, y con ficta vocación de aséptica generalidad. Pero si la sentencia hubiera transcendido la perspectiva meramente formal, para adentrarse en un análisis material, sistemático y teleológico, hubiera sido forzoso apreciar el altísimo grado de coincidencia o solapamiento entre el núcleo real de la medida de ejecución sustitutoria del art. 92.4 c) LOTC y el poder de coerción estatal que el constituyente recogió en el art. 155 CE, que en su génesis parlamentaria quedó configurado como un control político discrecional en las solas manos del Gobierno y del Senado, al quedar descartadas las propuestas que propugnaban la intervención del Tribunal Constitucional en alguna de sus fases. Esta duplicidad, que produce la irrupción del Tribunal en un ámbito reservado por la Constitución a otros órganos constitucionales, es la que pone en entredicho la constitucionalidad del citado precepto de la reforma de la Ley Orgánica del Tribunal Constitucional de 2015.</w:t>
      </w:r>
    </w:p>
    <w:p w:rsidR="00A90898" w:rsidRDefault="00A90898" w:rsidP="00A90898">
      <w:pPr>
        <w:pStyle w:val="TextoNormal"/>
      </w:pPr>
    </w:p>
    <w:p w:rsidR="00A90898" w:rsidRDefault="00A90898" w:rsidP="00A90898">
      <w:pPr>
        <w:pStyle w:val="TextoNormal"/>
      </w:pPr>
      <w:r>
        <w:t>No puede por ello sorprender la invocación de la primordial STC 76/1983 que, entre otras consideraciones de singular importancia para el presente enjuiciamiento, dedica su fundamento jurídico 4 a los límites intrínsecos de la potestad legislativa del Estado afirmando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éste, salvo en el caso en que la propia Constitución les atribuya alguna función constituyente.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w:t>
      </w:r>
    </w:p>
    <w:p w:rsidR="00A90898" w:rsidRDefault="00A90898" w:rsidP="00A90898">
      <w:pPr>
        <w:pStyle w:val="TextoNormal"/>
      </w:pPr>
    </w:p>
    <w:p w:rsidR="00A90898" w:rsidRDefault="00A90898" w:rsidP="00A90898">
      <w:pPr>
        <w:pStyle w:val="TextoNormal"/>
      </w:pPr>
      <w:r>
        <w:t>Como dijera Manuel García-Pelayo, primer Presidente del Tribunal Constitucional conformado por la Constitución de 1978, en realidad todas las competencias del Tribunal tienen como sentido custodiar esta división primaria de la separación de poderes. En mi opinión, y con esto concluyo, hay que lamentar que, en un asunto de esta trascendencia, la sentencia de la que me aparto no haya cumplido debidamente con esta finalidad, que no es exagerado calificar de legitimadora de la propia existencia del Tribunal Constitucional.</w:t>
      </w:r>
    </w:p>
    <w:p w:rsidR="00A90898" w:rsidRDefault="00A90898" w:rsidP="00A90898">
      <w:pPr>
        <w:pStyle w:val="TextoNormal"/>
      </w:pPr>
    </w:p>
    <w:p w:rsidR="00A90898" w:rsidRDefault="00A90898" w:rsidP="00A90898">
      <w:pPr>
        <w:pStyle w:val="TextoNormal"/>
      </w:pPr>
      <w:r>
        <w:t>V. Para terminar, deseo hacer mía y transcribir la conclusión con que se cierra el Voto particular a esta misma Sentencia, elaborado por la Vicepresidenta y ponente originaria del presente recurso de inconstitucionalidad, y que dice así: “a mi disentimiento se une una nota amarga por no haberse logrado dictar una sentencia susceptible de ser suscrita por todos los magistrados, al priorizarse, por encima de otras consideraciones, la celeridad en la aprobación de una sentencia desestimatoria”.</w:t>
      </w:r>
    </w:p>
    <w:p w:rsidR="00A90898" w:rsidRDefault="00A90898" w:rsidP="00A90898">
      <w:pPr>
        <w:pStyle w:val="TextoNormal"/>
      </w:pPr>
    </w:p>
    <w:p w:rsidR="00A90898" w:rsidRDefault="00A90898" w:rsidP="00A90898">
      <w:pPr>
        <w:pStyle w:val="TextoNormal"/>
      </w:pPr>
      <w:r>
        <w:t>En tal sentido formulo el presente Voto particular.</w:t>
      </w:r>
    </w:p>
    <w:p w:rsidR="00A90898" w:rsidRDefault="00A90898" w:rsidP="00A90898">
      <w:pPr>
        <w:pStyle w:val="TextoNormal"/>
      </w:pPr>
    </w:p>
    <w:p w:rsidR="00A90898" w:rsidRDefault="00A90898" w:rsidP="00A90898">
      <w:pPr>
        <w:pStyle w:val="TextoNormal"/>
      </w:pPr>
      <w:r>
        <w:t>Madrid, a tres de noviembre de dos mil dieciséis.-Fernando Valdés Dal-Ré.-Firmado y rubricado.</w:t>
      </w:r>
    </w:p>
    <w:p w:rsidR="00A90898" w:rsidRDefault="00A90898" w:rsidP="00A90898">
      <w:pPr>
        <w:pStyle w:val="TextoNormal"/>
      </w:pPr>
    </w:p>
    <w:p w:rsidR="00A90898" w:rsidRDefault="00A90898" w:rsidP="00A90898">
      <w:pPr>
        <w:pStyle w:val="TextoNormalNegritaCentrado"/>
        <w:keepNext/>
      </w:pPr>
      <w:r>
        <w:t>Voto particular que formula el Magistrado don Juan Antonio Xiol Ríos a la Sentencia dictada en el recurso de inconstitucionalidad núm. 229-2016.</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Pleno en la que se sustenta la sentencia, manifiesto mi discrepancia con la fundamentación jurídica y con el fallo. Considero que debería haber sido estimatorio en relación con la impugnación del artículo 92.4 b) y c) de la Ley Orgánica del Tribunal Constitucional (LOTC), en la redacción dada por la Ley Orgánica 15/2015, de 16 de octubre.</w:t>
      </w:r>
    </w:p>
    <w:p w:rsidR="00A90898" w:rsidRDefault="00A90898" w:rsidP="00A90898">
      <w:pPr>
        <w:pStyle w:val="TextoNormal"/>
      </w:pPr>
    </w:p>
    <w:p w:rsidR="00A90898" w:rsidRDefault="00A90898" w:rsidP="00A90898">
      <w:pPr>
        <w:pStyle w:val="TextoNormal"/>
      </w:pPr>
      <w:r>
        <w:t>Planteamiento.</w:t>
      </w:r>
    </w:p>
    <w:p w:rsidR="00A90898" w:rsidRDefault="00A90898" w:rsidP="00A90898">
      <w:pPr>
        <w:pStyle w:val="TextoNormal"/>
      </w:pPr>
    </w:p>
    <w:p w:rsidR="00A90898" w:rsidRDefault="00A90898" w:rsidP="00A90898">
      <w:pPr>
        <w:pStyle w:val="TextoNormal"/>
      </w:pPr>
      <w:r>
        <w:t>1. El objeto de este recurso de inconstitucionalidad es determinar si la reforma operada por la Ley Orgánica 15/2015, de 16 de octubre, en determinados preceptos de la Ley Orgánica del Tribunal Constitucional, con la pretensión de reforzar sus capacidades de ejecución ante el eventual incumplimiento de sus resoluciones, vulnera determinados preceptos constitucionales. La opinión mayoritaria en la que se sustenta la sentencia da una respuesta negativa a esta cuestión y, por ello, ha desestimado en su integridad este recurso.</w:t>
      </w:r>
    </w:p>
    <w:p w:rsidR="00A90898" w:rsidRDefault="00A90898" w:rsidP="00A90898">
      <w:pPr>
        <w:pStyle w:val="TextoNormal"/>
      </w:pPr>
    </w:p>
    <w:p w:rsidR="00A90898" w:rsidRDefault="00A90898" w:rsidP="00A90898">
      <w:pPr>
        <w:pStyle w:val="TextoNormal"/>
      </w:pPr>
      <w:r>
        <w:t>Mi discrepancia con esta opinión se produce en relación con los siguientes aspectos generales: (I) los límites a la configuración del legislador orgánico en la regulación del Tribunal Constitucional y el correlativo alcance e intensidad del control de constitucionalidad que corresponde al propio Tribunal en los casos en que la norma impugnada sea la Ley Orgánica del Tribunal Constitucional; y (II) la decisión de posponer el análisis del recurso de inconstitucionalidad planteado por la Generalitat de Catalunya en relación con esta misma normativa y, por tanto, descontextualizar el estudio de este recurso.</w:t>
      </w:r>
    </w:p>
    <w:p w:rsidR="00A90898" w:rsidRDefault="00A90898" w:rsidP="00A90898">
      <w:pPr>
        <w:pStyle w:val="TextoNormal"/>
      </w:pPr>
    </w:p>
    <w:p w:rsidR="00A90898" w:rsidRDefault="00A90898" w:rsidP="00A90898">
      <w:pPr>
        <w:pStyle w:val="TextoNormal"/>
      </w:pPr>
      <w:r>
        <w:t>Mi discrepancia se produce también en relación con los siguientes aspectos particulares: (III) la configuración materialmente sancionadora dada a la suspensión de funciones de las autoridades o empleados públicos en el art. 92.4 b) LOTC; y (IV) el conflicto que la regulación de la ejecución sustitutoria establecida en el art. 92.4 c) LOTC tiene con el modelo constitucional de control del art. 155 CE, que hubiera debido determinar la declaración de inconstitucionalidad y la nulidad de ambos preceptos.</w:t>
      </w:r>
    </w:p>
    <w:p w:rsidR="00A90898" w:rsidRDefault="00A90898" w:rsidP="00A90898">
      <w:pPr>
        <w:pStyle w:val="TextoNormal"/>
      </w:pPr>
    </w:p>
    <w:p w:rsidR="00A90898" w:rsidRDefault="00A90898" w:rsidP="00A90898">
      <w:pPr>
        <w:pStyle w:val="TextoNormal"/>
      </w:pPr>
      <w:r>
        <w:t xml:space="preserve">I. Sobre los límites a la configuración del legislador orgánico en la regulación del Tribunal Constitucional y el correlativo alcance e intensidad del control de constitucionalidad que </w:t>
      </w:r>
      <w:r>
        <w:lastRenderedPageBreak/>
        <w:t>debe desarrollarse en los casos en que la norma impugnada sea la Ley Orgánica del Tribunal Constitucional.</w:t>
      </w:r>
    </w:p>
    <w:p w:rsidR="00A90898" w:rsidRDefault="00A90898" w:rsidP="00A90898">
      <w:pPr>
        <w:pStyle w:val="TextoNormal"/>
      </w:pPr>
    </w:p>
    <w:p w:rsidR="00A90898" w:rsidRDefault="00A90898" w:rsidP="00A90898">
      <w:pPr>
        <w:pStyle w:val="TextoNormal"/>
      </w:pPr>
      <w:r>
        <w:t>2. La opinión mayoritaria en la que se sustenta la Sentencia ha tomado como doble premisa básica del control constitucional que debe llevarse a cabo en este recurso las ideas, ya expuestas en la STC 49/2008, de 9 de abril, en el sentido de que cuando el Tribunal Constitucional ha de analizar la constitucionalidad de la Ley Orgánica del Tribunal Constitucional, como única ley a la que está íntegramente sometido de acuerdo con el art. 1.1 LOTC, debe tomar en consideración que (i) el legislador orgánico goza de una libertad de configuración cuyos límites materiales y formales son los establecidos en las reservas y contenido de título IX de la Constitución y en la interpretación sistemática de todo el texto constitucional; y (ii) el control que procede llevar a cabo debe limitarse a los casos en que existe un conflicto evidente e insalvable entre la regulación de la Ley Orgánica del Tribunal Constitucional enjuiciada y el texto constitucional para evitar situar al Tribunal en una posición que no se corresponde con el papel que cumple la reserva contenida en el art. 165 CE de que sea el legislador quien, a través de la Ley Orgánica del Tribunal Constitucional, desarrolle directamente y con vocación de completitud (el texto dice “complitud”) el título IX CE. Además, (iii) se ha incurrido en una actitud elusiva para reducir el nivel de densidad del control de constitucionalidad realizado maximizando el carácter abstracto del control y la exigencia de la carga de fundamentación que compete a los recurrentes.</w:t>
      </w:r>
    </w:p>
    <w:p w:rsidR="00A90898" w:rsidRDefault="00A90898" w:rsidP="00A90898">
      <w:pPr>
        <w:pStyle w:val="TextoNormal"/>
      </w:pPr>
    </w:p>
    <w:p w:rsidR="00A90898" w:rsidRDefault="00A90898" w:rsidP="00A90898">
      <w:pPr>
        <w:pStyle w:val="TextoNormal"/>
      </w:pPr>
      <w:r>
        <w:t xml:space="preserve">Los Votos particulares formulados por la Vicepresidenta de este Tribunal y por el Magistrado don Fernando Valdés Dal-Ré se han extendido en una, a mi juicio, fundada crítica a esta doble premisa y a la actitud elusiva en la que se incurre que, en lo esencial, comparto. A ambas críticas, que hago mías, me remito. En todo caso, creo preciso enfatizar determinados aspectos de mi discrepancia con la asunción por la opinión mayoritaria en la que se sustenta la sentencia de la doctrina establecida en la STC 49/2008, que considero que debía haber sido o bien expresamente reconsiderada por el Pleno de este Tribunal o bien, como ha sucedido en otras ocasiones no infrecuentes con resoluciones de este Tribunal, dejada en el olvido jurisprudencial por </w:t>
      </w:r>
      <w:r w:rsidRPr="00A90898">
        <w:rPr>
          <w:i/>
        </w:rPr>
        <w:t>desuetudo</w:t>
      </w:r>
      <w:r>
        <w:t xml:space="preserve"> [desuso], evocando el concepto propuesto por A. Bickel.</w:t>
      </w:r>
    </w:p>
    <w:p w:rsidR="00A90898" w:rsidRDefault="00A90898" w:rsidP="00A90898">
      <w:pPr>
        <w:pStyle w:val="TextoNormal"/>
      </w:pPr>
    </w:p>
    <w:p w:rsidR="00A90898" w:rsidRDefault="00A90898" w:rsidP="00A90898">
      <w:pPr>
        <w:pStyle w:val="TextoNormal"/>
      </w:pPr>
      <w:r>
        <w:t>3. No existe ningún argumento razonable para considerar que el legislador orgánico, cuando establece la regulación del Tribunal Constitucional, disponga de una mayor libertad de configuración que cuando establece cualquier otro desarrollo normativo. El legislador orgánico, por mandato expreso del art. 165 CE, está llamado a regular el funcionamiento del Tribunal Constitucional, el estatuto de sus miembros, el procedimiento ante el mismo y las condiciones para el ejercicio de las acciones con idénticos límites que cuando regula cualquier otro órgano constitucional u otra institución: el respeto de la Constitución. Dentro de ese límite cuenta con la misma libertad de configuración para regular el Tribunal Constitucional que cualquier otra institución. Por tanto, el Tribunal Constitucional, ya juzgue su propia Ley u otras leyes, debe ejercer el control de constitucionalidad en los mismos términos y no con parámetros debilitados.</w:t>
      </w:r>
    </w:p>
    <w:p w:rsidR="00A90898" w:rsidRDefault="00A90898" w:rsidP="00A90898">
      <w:pPr>
        <w:pStyle w:val="TextoNormal"/>
      </w:pPr>
    </w:p>
    <w:p w:rsidR="00A90898" w:rsidRDefault="00A90898" w:rsidP="00A90898">
      <w:pPr>
        <w:pStyle w:val="TextoNormal"/>
      </w:pPr>
      <w:r>
        <w:t xml:space="preserve">La circunstancia de que el Tribunal esté vinculado solo a la Constitución y a su Ley Orgánica no es un argumento que permita concluir que el control del Tribunal sobre la constitucionalidad de su propia Ley deba ser menos intenso que el que ejerce en relación con las otras leyes. Esa posición implicaría una correlativa habilitación al legislador orgánico para </w:t>
      </w:r>
      <w:r>
        <w:lastRenderedPageBreak/>
        <w:t>debilitar su sometimiento a la Constitución en la regulación legal del Tribunal Constitucional. Esta habilitación no se desprende de la reserva de ley que contiene el art. 165 CE ni es compatible con la configuración constitucional del Tribunal Constitucional.</w:t>
      </w:r>
    </w:p>
    <w:p w:rsidR="00A90898" w:rsidRDefault="00A90898" w:rsidP="00A90898">
      <w:pPr>
        <w:pStyle w:val="TextoNormal"/>
      </w:pPr>
    </w:p>
    <w:p w:rsidR="00A90898" w:rsidRDefault="00A90898" w:rsidP="00A90898">
      <w:pPr>
        <w:pStyle w:val="TextoNormal"/>
      </w:pPr>
      <w:r>
        <w:t>Al contrario, considero que la invocada libertad de configuración del Poder Legislativo debe ser objeto de un singular escrutinio por parte del Tribunal Constitucional en los casos en que la regulación recae sobre cuestiones o aspectos que inciden en materias sobre las que ya existe una previa configuración por parte del Poder Constituyente, como ocurre, paradigmáticamente, con los órganos constitucionales. A estos efectos, resulta de interés recordar como ya desde muy temprana jurisprudencia el Tribunal contempló esta situación y alertó sobre la especial función de control que debía desarrollar en estos supuestos, afirmando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éste, salvo en el caso en que la propia Constitución les atribuya alguna función constituyente.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 (STC 76/1983, de 5 de agosto, FJ 4).</w:t>
      </w:r>
    </w:p>
    <w:p w:rsidR="00A90898" w:rsidRDefault="00A90898" w:rsidP="00A90898">
      <w:pPr>
        <w:pStyle w:val="TextoNormal"/>
      </w:pPr>
    </w:p>
    <w:p w:rsidR="00A90898" w:rsidRDefault="00A90898" w:rsidP="00A90898">
      <w:pPr>
        <w:pStyle w:val="TextoNormal"/>
      </w:pPr>
      <w:r>
        <w:t>4. Del mismo modo, y aunque no sea un argumento utilizado expresamente por la STC 49/2008 ni por la opinión mayoritaria en la que se sustenta la Sentencia, tampoco la circunstancia de que el Tribunal Constitucional tenga que autoenjuiciar el respeto a su configuración constitucional por parte del Poder Legislativo resulta justificante para debilitar su posición de control de constitucionalidad.</w:t>
      </w:r>
    </w:p>
    <w:p w:rsidR="00A90898" w:rsidRDefault="00A90898" w:rsidP="00A90898">
      <w:pPr>
        <w:pStyle w:val="TextoNormal"/>
      </w:pPr>
    </w:p>
    <w:p w:rsidR="00A90898" w:rsidRDefault="00A90898" w:rsidP="00A90898">
      <w:pPr>
        <w:pStyle w:val="TextoNormal"/>
      </w:pPr>
      <w:r>
        <w:t>Puede resultar sugerente sostener la premisa de que en este tipo de enjuiciamientos el Tribunal Constitucional asumiría el doble papel de juez y parte, lo que le debería llevar a una especie de sumisión a los designios del Poder Legislativo por las dudas que podrían plantearse sobre su imparcialidad.</w:t>
      </w:r>
    </w:p>
    <w:p w:rsidR="00A90898" w:rsidRDefault="00A90898" w:rsidP="00A90898">
      <w:pPr>
        <w:pStyle w:val="TextoNormal"/>
      </w:pPr>
    </w:p>
    <w:p w:rsidR="00A90898" w:rsidRDefault="00A90898" w:rsidP="00A90898">
      <w:pPr>
        <w:pStyle w:val="TextoNormal"/>
      </w:pPr>
      <w:r>
        <w:t xml:space="preserve">No comparto esta visión. Como ha reconocido la jurisprudencia constitucional en casos en que habría que enjuiciar actos desarrollados por el propio Tribunal o debían resolverse recusaciones de buena parte o de todos sus Magistrados, la singular naturaleza del Tribunal Constitucional y la necesidad de que no se llegue a resultados absurdos o gravemente perturbadores que le impidan cumplir con las funciones que tiene constitucionalmente asignadas puede suponer que en determinadas circunstancias deba sacrificarse una estricta comprensión del principio de imparcialidad jurisdiccional (así, STC 47/2011, de 12 de abril, FJ 3, y ATC 351/2008, de 4 de noviembre, FJ 1). Este sacrificio, sin embargo, no consiente una mayor holgura del Poder Legislativo en su estricta sumisión a la Constitución en la regulación de otro de los órganos instituidos por el propio Poder constituyente cuya función es, precisamente y entre otras, garantizar la vigencia de la Constitución en el desarrollo de </w:t>
      </w:r>
      <w:r>
        <w:lastRenderedPageBreak/>
        <w:t xml:space="preserve">la labor legislativa. A la inversa: se admitirse así, se incurre en el defecto denigrado por Dworkin cuando denuncia las posiciones populistas favorables al predominio del Poder Legislativo sobre la </w:t>
      </w:r>
      <w:r w:rsidRPr="00A90898">
        <w:rPr>
          <w:i/>
        </w:rPr>
        <w:t>judicial review</w:t>
      </w:r>
      <w:r>
        <w:t xml:space="preserve"> [revisión judicial de la constitucionalidad de las leyes]: se pide que quienes ostentan el poder político sean jueces exclusivos de sus propias decisiones; que juzguen si tienen derecho a hacer lo que han decidido que quieren hacer.</w:t>
      </w:r>
    </w:p>
    <w:p w:rsidR="00A90898" w:rsidRDefault="00A90898" w:rsidP="00A90898">
      <w:pPr>
        <w:pStyle w:val="TextoNormal"/>
      </w:pPr>
    </w:p>
    <w:p w:rsidR="00A90898" w:rsidRDefault="00A90898" w:rsidP="00A90898">
      <w:pPr>
        <w:pStyle w:val="TextoNormal"/>
      </w:pPr>
      <w:r>
        <w:t>5. En íntima conexión con la anterior reflexión sobre el singular control que está llamado a desarrollar el Tribunal Constitucional en este tipo de supuestos, también debo mostrar mi discrepancia con lo que puede ser calificado como una actitud elusiva en la que incurre la opinión mayoritaria en la que se sustenta la sentencia para reducir el nivel de densidad del control de constitucionalidad que debe desarrollarse.</w:t>
      </w:r>
    </w:p>
    <w:p w:rsidR="00A90898" w:rsidRDefault="00A90898" w:rsidP="00A90898">
      <w:pPr>
        <w:pStyle w:val="TextoNormal"/>
      </w:pPr>
    </w:p>
    <w:p w:rsidR="00A90898" w:rsidRDefault="00A90898" w:rsidP="00A90898">
      <w:pPr>
        <w:pStyle w:val="TextoNormal"/>
      </w:pPr>
      <w:r>
        <w:t>Esta actitud elusiva ha consistido en (i) incidir en que el tipo de control que debe ejercer el Tribunal sobre la Ley Orgánica del Tribunal Constitucional es exclusivamente un control abstracto de constitucionalidad y no político o de oportunidad o de calidad técnica, asumiendo con ello de nuevo una idea ya presente en la STC 49/2008; y (ii) abusar del argumento de que no puede juzgarse lo que no se argumenta para eludir el análisis de aspectos que estaban en la raíz de las objeciones constitucionales que se hacían a la novedosa regulación de las potestades otorgadas al Tribunal Constitucional para la ejecución de sus resoluciones en caso de incumplimiento.</w:t>
      </w:r>
    </w:p>
    <w:p w:rsidR="00A90898" w:rsidRDefault="00A90898" w:rsidP="00A90898">
      <w:pPr>
        <w:pStyle w:val="TextoNormal"/>
      </w:pPr>
    </w:p>
    <w:p w:rsidR="00A90898" w:rsidRDefault="00A90898" w:rsidP="00A90898">
      <w:pPr>
        <w:pStyle w:val="TextoNormal"/>
      </w:pPr>
      <w:r>
        <w:t>6. Con carácter general, el control abstracto de constitucionalidad es el que debe desarrollarse en relación con cualquier enjuiciamiento y no es específico del control de constitucionalidad de la Ley Orgánica del Tribunal Constitucional. Ahora bien, lo problemático es que la opinión mayoritaria en la que se sustenta la sentencia ha utilizado esa idea de lo “abstracto” para no tener que afrontar diversas y “concretas” cuestiones interpretativas que plantean estas novedosas potestades de ejecución asignadas por el Poder Legislativo al Tribunal Constitucional. La nota de abstracción del control de constitucionalidad que debe desarrollar el Tribunal en aquellos procedimientos que tienen por objeto la confrontación de normas significa, en contraposición con la labor desarrollada en la jurisdicción de amparo, que su análisis se hace con independencia de un concreto acto aplicativo. De igual modo, la idea de que el control de constitucionalidad no es de oportunidad, político o de corrección técnica también adquiere todo su sentido en atención al amplio margen que tiene el Poder Legislativo en el desarrollo de sus potestades dentro del marco constitucional.</w:t>
      </w:r>
    </w:p>
    <w:p w:rsidR="00A90898" w:rsidRDefault="00A90898" w:rsidP="00A90898">
      <w:pPr>
        <w:pStyle w:val="TextoNormal"/>
      </w:pPr>
    </w:p>
    <w:p w:rsidR="00A90898" w:rsidRDefault="00A90898" w:rsidP="00A90898">
      <w:pPr>
        <w:pStyle w:val="TextoNormal"/>
      </w:pPr>
      <w:r>
        <w:t xml:space="preserve">Ninguna de estas notas propias del control de constitucionalidad y, especialmente, la de abstracción, impide que el Tribunal Constitucional deba entrar en el análisis de todas aquellas cuestiones interpretativas planteadas por los legitimados para la impugnación constitucional de la norma impugnada. Tampoco permite diferir temporalmente el análisis de esos problemas interpretativos a su eventual aplicación futura en casos concretos. De hecho, no son infrecuentes los casos en que el Tribunal, como otros Tribunales Constitucionales, desarrollan su control abstracto precisamente en relación con las diversas interpretaciones y situaciones aplicativas que pudieran llegar a plantearse para, en su caso, excluir aquellas que pudieran resultar inconstitucionales. Es más, hay supuestos, como el presente, en que su singularidad lo que propicia es que deba articularse un análisis especialmente extenso e intenso en este marco del control abstracto respecto de las posibilidades interpretativas y aplicativas de la normativa impugnada. Las razones para ello se basan en este caso no solo en elementales cuestiones de seguridad jurídica, sino en que la aplicación de una concreta </w:t>
      </w:r>
      <w:r>
        <w:lastRenderedPageBreak/>
        <w:t xml:space="preserve">medida de ejecución </w:t>
      </w:r>
      <w:r w:rsidRPr="00A90898">
        <w:rPr>
          <w:i/>
        </w:rPr>
        <w:t>pro futuro</w:t>
      </w:r>
      <w:r>
        <w:t xml:space="preserve"> plantea el problema del necesario control jurisdiccional de la decisión desde la perspectiva de la restricción de los derechos afectados. En esta circunstancia resulta especialmente problemático imaginar el escenario de un nuevo control de constitucionalidad por este Tribunal al que puede obligar el planteamiento de una cuestión de inconstitucionalidad sobre la Ley planteada por el propio Tribunal Constitucional ante sí mismo (la llamada, en el lenguaje propio del Tribunal, cuestión interna). A ello parece invitar, sin embargo, la opinión mayoritaria en que se sustenta la sentencia al diferir </w:t>
      </w:r>
      <w:r w:rsidRPr="00A90898">
        <w:rPr>
          <w:i/>
        </w:rPr>
        <w:t>ad futurum</w:t>
      </w:r>
      <w:r>
        <w:t xml:space="preserve"> aquellos problemas interpretativos.</w:t>
      </w:r>
    </w:p>
    <w:p w:rsidR="00A90898" w:rsidRDefault="00A90898" w:rsidP="00A90898">
      <w:pPr>
        <w:pStyle w:val="TextoNormal"/>
      </w:pPr>
    </w:p>
    <w:p w:rsidR="00A90898" w:rsidRDefault="00A90898" w:rsidP="00A90898">
      <w:pPr>
        <w:pStyle w:val="TextoNormal"/>
      </w:pPr>
      <w:r>
        <w:t>En efecto, el presente recurso de inconstitucionalidad versa sobre la potestad otorgada al Tribunal Constitucional de adoptar medidas para garantizar la ejecutividad de sus decisiones ante un eventual incumplimiento. Algunas de estas medidas, por su propia naturaleza, inciden en aspectos relevantes de la esfera de derechos e intereses de autoridades y empleados públicos. La circunstancia de que esas medidas deban ser adoptadas, precisamente, por el Tribunal Constitucional y en el marco de su función jurisdiccional implica la imposibilidad jurídica de que puedan ser controladas —a salvo de instancias internacionales— por ningún otro órgano de conformidad con la propia posición constitucional de este Tribunal y lo establecido en el art. 4 LOTC. En relación con ello, si la aplicación de estas medidas no es susceptible de ningún tipo de control judicial, ni tampoco mediante la jurisdicción de amparo, resulta difícilmente concebible de qué manera se podría acceder en un futuro a un control de constitucionalidad por la vía de la cuestión de inconstitucionalidad.</w:t>
      </w:r>
    </w:p>
    <w:p w:rsidR="00A90898" w:rsidRDefault="00A90898" w:rsidP="00A90898">
      <w:pPr>
        <w:pStyle w:val="TextoNormal"/>
      </w:pPr>
    </w:p>
    <w:p w:rsidR="00A90898" w:rsidRDefault="00A90898" w:rsidP="00A90898">
      <w:pPr>
        <w:pStyle w:val="TextoNormal"/>
      </w:pPr>
      <w:r>
        <w:t>No se puede desconocer que, tal como expone la opinión mayoritaria en la que se sustenta la sentencia, estas medidas de ejecución se deben adoptar dentro de un procedimiento —normalmente en el marco de un incidente de ejecución— y de que en dicho incidente el Tribunal Constitucional podría, bien a instancia de parte, bien de oficio, plantear una cuestión interna de inconstitucionalidad. Sin embargo, una vez declarada la constitucionalidad de esta regulación, las posibilidades de combatir su constitucionalidad difícilmente podrán vincularse a la naturaleza de dichas medidas ante la apariencia de decisión definitiva con que se revisten las sentencias de constitucionalidad, lo que debilita hasta descender al nivel de la falacia la hipótesis defendida por la opinión mayoritaria en la que se sustenta la sentencia. Por otra parte, habiéndose configurado legalmente como verdaderas potestades del Tribunal Constitucional, tampoco en el marco de ese incidente de ejecución se podría optar por su no ejercicio por razones de oportunidad. Una vez determinada la existencia del incumplimiento, ninguna posibilidad elusiva tiene el Tribunal Constitucional para no adoptar una de ellas. El único margen de discrecionalidad con el que cuenta es, dentro de un necesario juicio de proporcionalidad, seleccionar la medida de ejecución que debe adoptarse. Constituye una grave distorsión pensar que el Tribunal, una vez reconocidas las potestades de ejecución que la Ley le atribuye “puede o no” ejercitarlas; la realidad es que “debe” ejercitarlas si concurren los presupuestos para ello. No recordaré la teoría sobre la potestad como derecho-deber de ejercicio reglado y vinculante.</w:t>
      </w:r>
    </w:p>
    <w:p w:rsidR="00A90898" w:rsidRDefault="00A90898" w:rsidP="00A90898">
      <w:pPr>
        <w:pStyle w:val="TextoNormal"/>
      </w:pPr>
    </w:p>
    <w:p w:rsidR="00A90898" w:rsidRDefault="00A90898" w:rsidP="00A90898">
      <w:pPr>
        <w:pStyle w:val="TextoNormal"/>
      </w:pPr>
      <w:r>
        <w:t xml:space="preserve">7. En conclusión, hay que rehuir el riesgo de la falacia argumental. La opinión mayoritaria en la que se sustenta la Sentencia, bajo la apariencia de la neutral aplicación de la doctrina según la cual el control de constitucionalidad no puede extenderse por su carácter abstracto a todos los supuestos interpretativos y aplicativos, argumenta que se deja una válvula de escape en la eventual posibilidad de un futuro control cuando se haga una aplicación </w:t>
      </w:r>
      <w:r>
        <w:lastRenderedPageBreak/>
        <w:t>efectiva de las mismas. Pero lo que realmente se hace es blindar absolutamente estas potestades con el efecto pragmático de que nunca más puedan volver a ser objeto de un control abstracto. Si además, como efectivamente ocurre, ese control se debilita, eludiendo entrar en aspectos esenciales de la impugnación constitucional de esta normativa con un argumento formal sobre el incumplimiento de la carga de fundamentación que incumbe al recurrente, se comprenderán las razones por las que abogué y me esforcé en la deliberación —con todo el énfasis de que fui capaz, pero sin éxito— por propiciar un estudio más profundo de este asunto que, acaso —estoy convencido de ello— pudiera haber llevado en un tema de tan capital importancia a una posición común. Creo lícito formular esta observación, más fundada en el sentimiento que en la razón, cuando observo que, desde su destacada posición institucional, la Vicepresidenta de este Tribunal hace referencia en su voto particular a la “nota amarga por no haber logrado convencer de la importancia, también en este caso, de dictar una sentencia susceptible de ser suscrita por todos los magistrados, habiéndose priorizado, por encima de otras consideraciones, la celeridad en la aprobación de una Sentencia desestimatoria”.</w:t>
      </w:r>
    </w:p>
    <w:p w:rsidR="00A90898" w:rsidRDefault="00A90898" w:rsidP="00A90898">
      <w:pPr>
        <w:pStyle w:val="TextoNormal"/>
      </w:pPr>
    </w:p>
    <w:p w:rsidR="00A90898" w:rsidRDefault="00A90898" w:rsidP="00A90898">
      <w:pPr>
        <w:pStyle w:val="TextoNormal"/>
      </w:pPr>
      <w:r>
        <w:t>II. Sobre la decisión de posponer el análisis del recurso de inconstitucionalidad planteado por la Generalitat de Catalunya contra la Ley Orgánica 15/2015, de 16 de octubre, y no contextualizar la normativa impugnada.</w:t>
      </w:r>
    </w:p>
    <w:p w:rsidR="00A90898" w:rsidRDefault="00A90898" w:rsidP="00A90898">
      <w:pPr>
        <w:pStyle w:val="TextoNormal"/>
      </w:pPr>
    </w:p>
    <w:p w:rsidR="00A90898" w:rsidRDefault="00A90898" w:rsidP="00A90898">
      <w:pPr>
        <w:pStyle w:val="TextoNormal"/>
      </w:pPr>
      <w:r>
        <w:t>8. La Ley Orgánica 15/2015, de 16 de octubre, de reforma de la Ley Orgánica del Tribunal Constitucional, ha sido objeto de dos recursos de inconstitucionalidad. El primero, tramitado con el núm. 7466-2015, fue planteado por la Generalitat de Catalunya y registrado en este Tribunal el 30 de diciembre de 2015. El segundo, tramitado con el núm. 299-2016, fue el planteado por el Gobierno del País Vasco y registrado en este Tribunal el 15 de enero de 2016, que es el que ha dado lugar a la presente resolución de la que ahora discrepo. Con carácter general, y sin perjuicio de un prudente margen de discrecionalidad en la ordenación del estudio de los recursos, parece razonable que, ante la diversidad de recursos de inconstitucionalidad planteados contra una misma norma, o bien se ordenen de manera temporal o, al menos, se haga un estudio acumulado o, en su caso, simultáneo. Ese no ha sido el caso de la Ley Orgánica 15/2015, en que se ha decidido abordar en primer lugar el análisis del último de los recursos planteados —el del Gobierno del País Vasco—, en detrimento del primero —el de la Generalitat de Catalunya—.</w:t>
      </w:r>
    </w:p>
    <w:p w:rsidR="00A90898" w:rsidRDefault="00A90898" w:rsidP="00A90898">
      <w:pPr>
        <w:pStyle w:val="TextoNormal"/>
      </w:pPr>
    </w:p>
    <w:p w:rsidR="00A90898" w:rsidRDefault="00A90898" w:rsidP="00A90898">
      <w:pPr>
        <w:pStyle w:val="TextoNormal"/>
      </w:pPr>
      <w:r>
        <w:t>Considero, todavía dentro de mis discrepancias con el planteamiento general con el que se ha abordado este recurso, que no solo por razones de prioridad temporal, sino, especialmente, por estar muy singularmente concernida, el análisis debía de haber comenzado por el recurso planteado por la Generalitat de Catalunya. En su defecto, creo que, al menos, no hubiera debido utilizarse el argumento de la falta de sustento argumentativo del recurso soslayando en el análisis la valiosa información que puede y debe aportar la contextualización de la norma cuya constitucionalidad se estudiaba en este recurso.</w:t>
      </w:r>
    </w:p>
    <w:p w:rsidR="00A90898" w:rsidRDefault="00A90898" w:rsidP="00A90898">
      <w:pPr>
        <w:pStyle w:val="TextoNormal"/>
      </w:pPr>
    </w:p>
    <w:p w:rsidR="00A90898" w:rsidRDefault="00A90898" w:rsidP="00A90898">
      <w:pPr>
        <w:pStyle w:val="TextoNormal"/>
      </w:pPr>
      <w:r>
        <w:t xml:space="preserve">9. El preámbulo de la Ley Orgánica 15/2015, en un intento de exposición aséptica de la justificación de la aprobación de esta normativa, se limita a mencionar que “[s]i bien la actual regulación del Tribunal Constitucional contiene los principios generales para garantizar la efectividad de sus resoluciones, la necesidad de adaptarse a las nuevas situaciones que pretenden evitar o soslayar tal efectividad obliga a desarrollar los instrumentos necesarios para que la garantía de efectividad sea real”. No es difícil adivinar, sin embargo, que </w:t>
      </w:r>
      <w:r>
        <w:lastRenderedPageBreak/>
        <w:t>esas nuevas situaciones que pretenden evitar o soslayar la efectividad de las resoluciones del Tribunal Constitucional están en directa relación con diversas decisiones adoptadas por la Generalitat y, especialmente, por el Parlament de Catalunya.</w:t>
      </w:r>
    </w:p>
    <w:p w:rsidR="00A90898" w:rsidRDefault="00A90898" w:rsidP="00A90898">
      <w:pPr>
        <w:pStyle w:val="TextoNormal"/>
      </w:pPr>
    </w:p>
    <w:p w:rsidR="00A90898" w:rsidRDefault="00A90898" w:rsidP="00A90898">
      <w:pPr>
        <w:pStyle w:val="TextoNormal"/>
      </w:pPr>
      <w:r>
        <w:t>Tampoco la opinión mayoritaria en la que se sustenta la sentencia ha hecho expresa la conexión de la norma impugnada con la situación en Catalunya. La necesidad, tan reiterada por esa misma opinión mayoritaria, de proyectar un análisis abstracto sobre las cuestiones planteadas en el recurso no son un obstáculo para que este Tribunal Constitucional hubiera reconocido a efectos de su contextualización la génesis y, en conexión con ella, la finalidad perseguida por la norma. Las interpretaciones subjetiva y teleológica son criterios de singular importancia en el examen de la norma. En este caso, como se pondrá de manifiesto más adelante, sin tener en cuenta ambos criterios se soslaya una información muy relevante para dilucidar, por ejemplo, el carácter materialmente sancionador de la nueva medida de suspensión contenida en el art. 92.4 c) LOTC; o la profunda alteración que en el sistema de contrapesos diseñados por la Constitución supone la nueva regulación de la ejecución sustitutoria establecida en el art. 92.4 c) LOTC.</w:t>
      </w:r>
    </w:p>
    <w:p w:rsidR="00A90898" w:rsidRDefault="00A90898" w:rsidP="00A90898">
      <w:pPr>
        <w:pStyle w:val="TextoNormal"/>
      </w:pPr>
    </w:p>
    <w:p w:rsidR="00A90898" w:rsidRDefault="00A90898" w:rsidP="00A90898">
      <w:pPr>
        <w:pStyle w:val="TextoNormal"/>
      </w:pPr>
      <w:r>
        <w:t>10. La labor de un Tribunal Constitucional no puede hacerse eludiendo el contexto socio-político en que se desarrolla la legislación cuya constitucionalidad tiene la obligación de enjuiciar cuando es requerido para ello. No hay duda de que la vocación de la legislación es la abstracción de sus postulados y su proyección y pervivencia en el tiempo. Un flaco favor se hace a la alta función encomendada a la jurisdicción constitucional si en su ejecución, por un prurito en exceso formalista, se ignora la propia vitalidad del ordenamiento y su permeabilidad a los problemas y debates sociales y de todo tipo que se producen en torno a su desarrollo. Ocultar el contexto justificativo de una concreta normativa en nada ayuda a resolver sobre su eventual constitucionalidad. Partir de que la norma, una vez que entra en vigor, queda limpia de cualquier pecado original que pueda estar en su génesis es ignorar que aquel defecto frecuentemente queda grabado en su propia esencia y la acompaña como una sombra o como una luz durante su vigencia. Esa es la razón por la que en diversos supuestos —solo citaré a modo de ejemplo el control que se desarrolla sobre la concurrencia del llamado presupuesto habilitante de los decretos-leyes— la jurisprudencia constitucional acude a los trabajos parlamentarios en busca de información y argumentos para sustentar su posición.</w:t>
      </w:r>
    </w:p>
    <w:p w:rsidR="00A90898" w:rsidRDefault="00A90898" w:rsidP="00A90898">
      <w:pPr>
        <w:pStyle w:val="TextoNormal"/>
      </w:pPr>
    </w:p>
    <w:p w:rsidR="00A90898" w:rsidRDefault="00A90898" w:rsidP="00A90898">
      <w:pPr>
        <w:pStyle w:val="TextoNormal"/>
      </w:pPr>
      <w:r>
        <w:t>En ese caso es de lamentar que no se haya hecho así por parte de la opinión mayoritaria en la que se sustenta la sentencia. Pero esto no es un obstáculo para que en el marco de este voto particular se incida en este contexto por la relevancia que, como ya he dicho, va a tener en el concreto análisis de determinadas medidas de ejecución impugnadas.</w:t>
      </w:r>
    </w:p>
    <w:p w:rsidR="00A90898" w:rsidRDefault="00A90898" w:rsidP="00A90898">
      <w:pPr>
        <w:pStyle w:val="TextoNormal"/>
      </w:pPr>
    </w:p>
    <w:p w:rsidR="00A90898" w:rsidRDefault="00A90898" w:rsidP="00A90898">
      <w:pPr>
        <w:pStyle w:val="TextoNormal"/>
      </w:pPr>
      <w:r>
        <w:t xml:space="preserve">11. La Ley Orgánica 5/2015 tiene su origen en una proposición de ley del Grupo Parlamentario Popular en el Congreso durante la X Legislatura. La lectura de la defensa que de esta proposición de ley hizo el representante de ese grupo parlamentario en su toma de consideración ante el Congreso de los Diputados y todo el debate que posteriormente se desarrolló en aquella sesión (Diario de sesiones del Congreso de los Diputados —Pleno y Diputación Permanente— núm. 306, de 16 de septiembre de 2015, págs. 102 a 134) pone de manifiesto que la génesis de esta reforma legislativa está en indubitada conexión con lo que ha venido a denominarse el “procés constituent a Catalunya” y que su finalidad exclusiva es dotar al Tribunal Constitucional de los instrumentos necesarios para hacer frente a lo que </w:t>
      </w:r>
      <w:r>
        <w:lastRenderedPageBreak/>
        <w:t>se considera el desafío que supone el incumplimiento de sus resoluciones por parte de esta Comunidad Autónoma.</w:t>
      </w:r>
    </w:p>
    <w:p w:rsidR="00A90898" w:rsidRDefault="00A90898" w:rsidP="00A90898">
      <w:pPr>
        <w:pStyle w:val="TextoNormal"/>
      </w:pPr>
    </w:p>
    <w:p w:rsidR="00A90898" w:rsidRDefault="00A90898" w:rsidP="00A90898">
      <w:pPr>
        <w:pStyle w:val="TextoNormal"/>
      </w:pPr>
      <w:r>
        <w:t>La intervención del representante del grupo parlamentario promotor de esta iniciativa legislativa no deja lugar a dudas. Menciona que “es la realidad la que nos ha demostrado que el grado de incumplimiento y de desacato a sus resoluciones [del Tribunal Constitucional] ha ido paulatinamente en aumento y, por qué no decirlo, esta situación ha ocurrido casi simultáneamente al desarrollo del movimiento independentista creado en Cataluña, cuyo objetivo único es el de destruir España”. Junto a ello, afirma que los casos de incumplimiento son numerosos y evidentes, poniendo de manifiesto “[e]n primer lugar, la sentencia sobre el Estatuto de Autonomía de Cataluña, paradigmático en relación con la utilización predominante del catalán y la exclusión del castellano como lengua vehicular también en el territorio de la enseñanza, lo que ha provocado que muchos padres hayan renunciado a su derecho a que se escolarice a sus hijos en castellano por la presión que cada día ejerce el nacionalismo excluyente y virulento del que hemos tenido conocimiento hoy mismo en algunos periódicos que sonrojan de vergüenza. Y otros casos son la Ley catalana de veguerías, la suspensión de la convocatoria de referéndum por parte de la Generalitat el 9 de septiembre de 2014 o la impugnación del Comisionado para la Transición Nacional. Del mismo modo, el 11 de junio pasado el Tribunal Constitucional ha declarado la inconstitucionalidad del denominado proceso de participación ciudadana y esta misma semana el Tribunal Constitucional ha ordenado la suspensión de la prevista dotación de medios que la Generalitat había acordado para la Agencia Tributaria catalana … En todos estos casos la Generalitat de Catalunya ha puesto y está poniendo de manifiesto una única actitud: el incumplimiento como respuesta, el desacato como conducta y la deslealtad institucional como bandera. Y todo ello para avalar una pretendida afirmación nacional basada en el victimismo inmoral del falso agravio”. Ningún otro incumplimiento, estatal o de cualquier otra Comunidad Autónoma es enunciado como justificativo de la necesidad de esta reforma.</w:t>
      </w:r>
    </w:p>
    <w:p w:rsidR="00A90898" w:rsidRDefault="00A90898" w:rsidP="00A90898">
      <w:pPr>
        <w:pStyle w:val="TextoNormal"/>
      </w:pPr>
    </w:p>
    <w:p w:rsidR="00A90898" w:rsidRDefault="00A90898" w:rsidP="00A90898">
      <w:pPr>
        <w:pStyle w:val="TextoNormal"/>
      </w:pPr>
      <w:r>
        <w:t>Insisto en que un contexto tan marcadamente significado y vinculado con Catalunya como el que demuestra la norma impugnada hubiera merecido, y no solo por su prioridad temporal, bien no posponer el análisis del recurso de inconstitucionalidad planteado por la Generalitat de Catalunya contra la Ley Orgánica 15/2015, de 16 de octubre; bien, en su defecto, no eludir la debida contextualización de la normativa impugnada.</w:t>
      </w:r>
    </w:p>
    <w:p w:rsidR="00A90898" w:rsidRDefault="00A90898" w:rsidP="00A90898">
      <w:pPr>
        <w:pStyle w:val="TextoNormal"/>
      </w:pPr>
    </w:p>
    <w:p w:rsidR="00A90898" w:rsidRDefault="00A90898" w:rsidP="00A90898">
      <w:pPr>
        <w:pStyle w:val="TextoNormal"/>
      </w:pPr>
      <w:r>
        <w:t>III. Sobre el carácter materialmente sancionador de la suspensión de funciones de las autoridades o empleados públicos en el art. 92.4 b) LOTC.</w:t>
      </w:r>
    </w:p>
    <w:p w:rsidR="00A90898" w:rsidRDefault="00A90898" w:rsidP="00A90898">
      <w:pPr>
        <w:pStyle w:val="TextoNormal"/>
      </w:pPr>
    </w:p>
    <w:p w:rsidR="00A90898" w:rsidRDefault="00A90898" w:rsidP="00A90898">
      <w:pPr>
        <w:pStyle w:val="TextoNormal"/>
      </w:pPr>
      <w:r>
        <w:t>12. El Gobierno del País Vasco ha controvertido en su recurso el carácter materialmente sancionador de la medida de suspensión de funciones de autoridades o empleados públicos introducida en el art. 92.4 b) LOTC por la norma impugnada. La opinión mayoritaria en la que se sustenta la sentencia ha rechazado este planteamiento incidiendo en que esta medida tiene como exclusiva finalidad remover el obstáculo que la manifiesta voluntad incumplidora de la autoridad o empleado público supone para la efectividad de dicha resolución y está limitada, por ello, al tiempo preciso para asegurar la observancia de los pronunciamientos del Tribunal.</w:t>
      </w:r>
    </w:p>
    <w:p w:rsidR="00A90898" w:rsidRDefault="00A90898" w:rsidP="00A90898">
      <w:pPr>
        <w:pStyle w:val="TextoNormal"/>
      </w:pPr>
    </w:p>
    <w:p w:rsidR="00A90898" w:rsidRDefault="00A90898" w:rsidP="00A90898">
      <w:pPr>
        <w:pStyle w:val="TextoNormal"/>
      </w:pPr>
      <w:r>
        <w:lastRenderedPageBreak/>
        <w:t>El Voto particular formulado por la Vicepresidenta de este Tribunal ha desarrollado una completa argumentación sobre este particular en que, exponiendo tanto la doctrina del Tribunal Europeo de Derechos Humanos y Tribunal de Justicia de la Unión Europea sobre las llamadas reglas Engel, como los criterios establecidos en la jurisprudencia constitucional sobre esta materia, se fundamenta con singular solidez el carácter materialmente sancionador de esta concreta medida. Me remito a esa exposición, que hago mía. No obstante, creo preciso incidir en algunos argumentos adicionales.</w:t>
      </w:r>
    </w:p>
    <w:p w:rsidR="00A90898" w:rsidRDefault="00A90898" w:rsidP="00A90898">
      <w:pPr>
        <w:pStyle w:val="TextoNormal"/>
      </w:pPr>
    </w:p>
    <w:p w:rsidR="00A90898" w:rsidRDefault="00A90898" w:rsidP="00A90898">
      <w:pPr>
        <w:pStyle w:val="TextoNormal"/>
      </w:pPr>
      <w:r>
        <w:t>13. El art. 92.4 b) LOTC establece que el Tribunal Constitucional, una vez advertido el incumplimiento total o parcial de su resolución podrá adoptar, entre otras, la decisión de “acordar la suspensión en sus funciones de las autoridades o empleados públicos de la Administración responsable del incumplimiento, durante el tiempo preciso para asegurar la observancia de los pronunciamientos del Tribunal”. En defecto de un desarrollo legislativo más específico en cuanto a los concretos presupuestos habilitantes y precisos límites subjetivos, objetivos y temporales en que podría adaptarse la medida de suspensión considero que no pueden enervarse los riesgos ciertos de considerar que materialmente se está ante una medida de naturaleza sancionadora y que, como tal, podría ser utilizada por este Tribunal Constitucional en caso de incumplimiento de sus resoluciones por parte de una autoridad o empleado público.</w:t>
      </w:r>
    </w:p>
    <w:p w:rsidR="00A90898" w:rsidRDefault="00A90898" w:rsidP="00A90898">
      <w:pPr>
        <w:pStyle w:val="TextoNormal"/>
      </w:pPr>
    </w:p>
    <w:p w:rsidR="00A90898" w:rsidRDefault="00A90898" w:rsidP="00A90898">
      <w:pPr>
        <w:pStyle w:val="TextoNormal"/>
      </w:pPr>
      <w:r>
        <w:t>Una primera idea en la que sustento esta opinión es la propia génesis de la norma. Los debates parlamentarios no despejan las dudas sobre la intención de dotar de una naturaleza materialmente sancionadora a estas medidas, sino que lo reafirman. De nuevo transcribo una parte de la intervención del portavoz del grupo parlamentario proponente de la iniciativa que, sin modificación alguna, ha dado lugar a la normativa ahora analizada para sustentar esta afirmación: “[d]e este modo, cuando el Tribunal Constitucional, señorías, solicita en un fallo una acción positiva por parte de un poder público y este responde con una consciente inactividad, se produce el incumplimiento y el desacato por su explícita negativa a dar cumplimiento a lo dispuesto, ya sea a través de la omisión dolosa de lo exigido o simplemente rehusando proceder a la derogación de la ley o actos autonómicos reprobados por el Tribunal Constitucional”. Expresiones como desacato u omisión dolosa son evocadoras de conductas antijurídicas e inciden directamente en la idea de lo penalmente ilícito. Si este es el marco en que los autores de la iniciativa parlamentaria han propuesto esta nueva normativa, creo que están justificadas todas las cautelas respecto de la finalidad sancionatoria que en su génesis aparentan tener estas medidas.</w:t>
      </w:r>
    </w:p>
    <w:p w:rsidR="00A90898" w:rsidRDefault="00A90898" w:rsidP="00A90898">
      <w:pPr>
        <w:pStyle w:val="TextoNormal"/>
      </w:pPr>
    </w:p>
    <w:p w:rsidR="00A90898" w:rsidRDefault="00A90898" w:rsidP="00A90898">
      <w:pPr>
        <w:pStyle w:val="TextoNormal"/>
      </w:pPr>
      <w:r>
        <w:t>También es de destacar que si la pretensión era hacer una traslación a la función jurisdiccional de este Tribunal de las medidas de ejecución previstas en la normativa procesal, a cuyos efectos se ha modificado también el art. 80 LOTC para establecer que en materia de ejecución de resoluciones se aplicará con carácter supletorio los preceptos de la Ley de la jurisdicción contencioso-administrativa, la posibilidad de la suspensión de funciones no se establece como una posible medida de ejecución en dicha normativa. Por el contrario, cuando se encuentra este tipo de medidas suspensivas en el ordenamiento jurídico se hace en el marco de regulaciones disciplinarias administrativas y, desde luego, como sanción propiamente penal ante la comisión de delitos por parte de autoridades y empleados públicos. Este es otro elemento difícil de soslayar cuando se indaga sobre el eventual carácter sancionador de la medida.</w:t>
      </w:r>
    </w:p>
    <w:p w:rsidR="00A90898" w:rsidRDefault="00A90898" w:rsidP="00A90898">
      <w:pPr>
        <w:pStyle w:val="TextoNormal"/>
      </w:pPr>
    </w:p>
    <w:p w:rsidR="00A90898" w:rsidRDefault="00A90898" w:rsidP="00A90898">
      <w:pPr>
        <w:pStyle w:val="TextoNormal"/>
      </w:pPr>
      <w:r>
        <w:lastRenderedPageBreak/>
        <w:t>14. En segundo lugar, a pesar del esfuerzo de la opinión mayoritaria en la que se sustenta la sentencia en delimitar esta medida para minimizar los riesgos de que se identifique con una consecuencia materialmente sancionadora, no solo no se ha conseguido, sino que se ha introducido una más que preocupante distorsión en su aplicación al intentar clarificar sus perfiles jurídicos, que pone en evidencia una funcionalidad puramente represiva.</w:t>
      </w:r>
    </w:p>
    <w:p w:rsidR="00A90898" w:rsidRDefault="00A90898" w:rsidP="00A90898">
      <w:pPr>
        <w:pStyle w:val="TextoNormal"/>
      </w:pPr>
    </w:p>
    <w:p w:rsidR="00A90898" w:rsidRDefault="00A90898" w:rsidP="00A90898">
      <w:pPr>
        <w:pStyle w:val="TextoNormal"/>
      </w:pPr>
      <w:r>
        <w:t>En efecto, la opinión mayoritaria en la que se sustenta la sentencia afirma que “es una medida que habrá de levantarse tan pronto como cese la voluntad incumplidora de la autoridad o empleado público responsable del cumplimiento de la resolución”. La referencia explícita al cese de la voluntad incumplidora de la autoridad o empleado público como uno de los criterios para el levantamiento de la medida pone de manifiesto que para esta opinión mayoritaria la finalidad de esta medida de suspensión puede no ser exclusivamente la de remover un obstáculo para la ejecución de la resolución incumplida a través de la suspensión puntual de la autoridad o empleado público incumplidor mediante su sustitución por otro que posibilite la ejecución de la resolución constitucional, sino conseguir doblegar la voluntad incumplidora. Ese objetivo, nuevamente, redunda en aspectos que la alejan de una pura medida de ejecución y la acercan a medidas sancionatorias en que lo relevante no es garantizar la ejecución de la resolución incumplida, sino la de adoptar una consecuencia jurídica en represión por una conducta renuente al cumplimiento de la resolución. Además, vendría a permitir, profundizando también en su carácter represivo, que esa medida de suspensión se torne en temporalmente ilimitada al vincularse no a que se haya ejecutado definitivamente la resolución incumplida, sino a la necesidad de que la autoridad o empelado público cese en su voluntad incumplidora. En última instancia, la opinión mayoritaria en la que se sustenta la sentencia viene a posibilitar que esta medida se adopte como un mecanismo para doblegar la voluntad de la autoridad o empleado público incumplidor mediante la suspensión en sus funciones.</w:t>
      </w:r>
    </w:p>
    <w:p w:rsidR="00A90898" w:rsidRDefault="00A90898" w:rsidP="00A90898">
      <w:pPr>
        <w:pStyle w:val="TextoNormal"/>
      </w:pPr>
    </w:p>
    <w:p w:rsidR="00A90898" w:rsidRDefault="00A90898" w:rsidP="00A90898">
      <w:pPr>
        <w:pStyle w:val="TextoNormal"/>
      </w:pPr>
      <w:r>
        <w:t>15. Más allá de las anteriores reflexiones, considero que una regulación legislativa más precisa en sus contornos o, al menos, una posición de este Tribunal más exigente y contundente en cuanto al establecimiento de límites claros para su aplicación podrían haber posibilitado despejar las dudas sobre su verdadera naturaleza como una medida de ejecución. Esta opción hubiera sido posible de haberse condicionado la aplicabilidad de esta medida, al menos, a las exigencias de que (i) el incumplimiento recayera en una obligación de hacer; (ii) que su exclusiva finalidad fuera la de posibilitar que un sustituto pudiera adoptar las decisiones necesarias para la ejecución de la resolución constitucional que estuviera siendo incumplida; y, en conexión con ello, (iii) que la suspensión lo fuera exclusivamente en relación con esa concreta función para la que deba ser sustituido; y (iv) por el tiempo estrictamente preciso para que el sustituto pudiera desarrollar esa labor.</w:t>
      </w:r>
    </w:p>
    <w:p w:rsidR="00A90898" w:rsidRDefault="00A90898" w:rsidP="00A90898">
      <w:pPr>
        <w:pStyle w:val="TextoNormal"/>
      </w:pPr>
    </w:p>
    <w:p w:rsidR="00A90898" w:rsidRDefault="00A90898" w:rsidP="00A90898">
      <w:pPr>
        <w:pStyle w:val="TextoNormal"/>
      </w:pPr>
      <w:r>
        <w:t xml:space="preserve">No obstante, incluso con esas limitaciones creo que esta medida difícilmente puede desprenderse de su halo sancionatorio. El recurso a la suspensión de funciones como medida de ejecución resulta desproporcionado. Aun limitando esta medida a las obligaciones de hacer, la capacidad de ejecución de este Tribunal frente a su incumplimiento podría quedar siempre garantizada con la posibilidad de dictar una resolución jurisdiccional con carácter ejecutivo como ya ocurre en la jurisdicción ordinaria en relación con el incumplimiento de alcaldes de la obligación positiva de convocar los Plenos del Ayuntamiento para debatir sobre la moción de censura planteada contra ellos. Este antecedente es demostrativo de que una medida como la controvertida es innecesaria y desproporcionada en cuanto a su mera </w:t>
      </w:r>
      <w:r>
        <w:lastRenderedPageBreak/>
        <w:t>función de medida de ejecución y que, por tanto, siempre hace emerger de manera permanente un componente sancionador subyacente del que es difícil que se desprenda.</w:t>
      </w:r>
    </w:p>
    <w:p w:rsidR="00A90898" w:rsidRDefault="00A90898" w:rsidP="00A90898">
      <w:pPr>
        <w:pStyle w:val="TextoNormal"/>
      </w:pPr>
    </w:p>
    <w:p w:rsidR="00A90898" w:rsidRDefault="00A90898" w:rsidP="00A90898">
      <w:pPr>
        <w:pStyle w:val="TextoNormal"/>
      </w:pPr>
      <w:r>
        <w:t>IV. Sobre la alteración del modelo constitucional de control del art. 155 CE por la regulación de la ejecución sustitutoria establecida en el art. 92.4 c) LOTC.</w:t>
      </w:r>
    </w:p>
    <w:p w:rsidR="00A90898" w:rsidRDefault="00A90898" w:rsidP="00A90898">
      <w:pPr>
        <w:pStyle w:val="TextoNormal"/>
      </w:pPr>
    </w:p>
    <w:p w:rsidR="00A90898" w:rsidRDefault="00A90898" w:rsidP="00A90898">
      <w:pPr>
        <w:pStyle w:val="TextoNormal"/>
      </w:pPr>
      <w:r>
        <w:t>16. El Gobierno del País Vasco también ha controvertido en su recurso la regulación de la ejecución sustitutoria establecida en el art. 92.4 c) CE al considerar que implica una alteración del modelo constitucional de control del cumplimiento por las Comunidades Autónomas de las obligaciones que les impone la Constitución u otras leyes previsto en el art. 155 CE. La opinión mayoritaria en la que se sustenta la sentencia ha rechazado ese planteamiento incidiendo en que el título legitimador de la intervención estatal del art. 155 CE y la del mecanismo de ejecución sustitutoria prevista en la Ley Orgánica del Tribunal Constitucional son diferentes.</w:t>
      </w:r>
    </w:p>
    <w:p w:rsidR="00A90898" w:rsidRDefault="00A90898" w:rsidP="00A90898">
      <w:pPr>
        <w:pStyle w:val="TextoNormal"/>
      </w:pPr>
    </w:p>
    <w:p w:rsidR="00A90898" w:rsidRDefault="00A90898" w:rsidP="00A90898">
      <w:pPr>
        <w:pStyle w:val="TextoNormal"/>
      </w:pPr>
      <w:r>
        <w:t>El Voto particular formulado por el Magistrado don Fernando Valdés Dal-Ré ha desarrollado una prolija argumentación sobre esta cuestión destacando no solo el solapamiento de las medidas de ejecución sustitutorias con las medidas previstas en el art. 155 CE, sino la práctica inaplicación en que queda el art. 155 CE tras la nueva regulación del art. 92.4 c) LOTC. Me remito a esa exposición, que hago mía. No obstante, creo preciso incidir en algunos argumentos adicionales.</w:t>
      </w:r>
    </w:p>
    <w:p w:rsidR="00A90898" w:rsidRDefault="00A90898" w:rsidP="00A90898">
      <w:pPr>
        <w:pStyle w:val="TextoNormal"/>
      </w:pPr>
    </w:p>
    <w:p w:rsidR="00A90898" w:rsidRDefault="00A90898" w:rsidP="00A90898">
      <w:pPr>
        <w:pStyle w:val="TextoNormal"/>
      </w:pPr>
      <w:r>
        <w:t>17. El art. 92.4 c) LOTC establece que el Tribunal Constitucional, una vez advertido el incumplimiento total o parcial de su resolución, podrá adoptar, entre otras, la decisión de la ejecución sustitutoria de sus resoluciones, pudiendo requerir para ello “la colaboración del Gobierno de la Nación a fin de que, en los términos fijados por el Tribunal, adopte las medidas necesarias para asegurar el cumplimiento de las resoluciones”. Por su parte, el art. 155.1 CE establece que, “[s]i una Comunidad Autónoma no cumpliere las obligaciones que la Constitución u otras leyes le impongan … el Gobierno, previo requerimiento al Presidente de la Comunidad Autónoma y, en el caso de no ser atendido, con la aprobación por mayoría absoluta del Senado, podrá adoptar las medidas necesarias para obligar a aquélla al cumplimiento forzoso de dichas obligaciones”.</w:t>
      </w:r>
    </w:p>
    <w:p w:rsidR="00A90898" w:rsidRDefault="00A90898" w:rsidP="00A90898">
      <w:pPr>
        <w:pStyle w:val="TextoNormal"/>
      </w:pPr>
    </w:p>
    <w:p w:rsidR="00A90898" w:rsidRDefault="00A90898" w:rsidP="00A90898">
      <w:pPr>
        <w:pStyle w:val="TextoNormal"/>
      </w:pPr>
      <w:r>
        <w:t>Es difícilmente imaginable la posibilidad de articular el mecanismo del art. 155 CE sin que haya una verificación del incumplimiento de la Constitución por parte de la Comunidad Autónoma mediante resoluciones del Tribunal Constitucional que así lo pongan de manifiesto mediante la suspensión o la anulación de los actos autonómicos (entre otras razones, porque el Gobierno dispone de la facultad de provocar la suspensión automática por el Tribunal de las disposiciones autonómicas impugnadas). Partiendo de esa base, ambos preceptos diseñan modelos de intervención frente al incumplimiento de las obligaciones constitucionales por parte de una Comunidad Autónoma divergentes. Cualquiera de ellos resulta asumible desde una perspectiva sustantiva. Pero esta no es la cuestión. Lo controvertido es si el modelo desarrollado por el legislador orgánico en el marco de la Ley Orgánica del Tribunal Constitucional implica una alteración tal del modelo diseñado por la Constitución que lo haga imposible de reconducir e incompatible con este. En ese caso, se pondría de manifiesto que el legislador orgánico se ha colocado en el mismo plano del Poder constituyente realizando actos propios de este al mutar la voluntad y racionalidad del Poder constituyente objetivadas en la Constitución en la regulación específica de este tipo de conflictos.</w:t>
      </w:r>
    </w:p>
    <w:p w:rsidR="00A90898" w:rsidRDefault="00A90898" w:rsidP="00A90898">
      <w:pPr>
        <w:pStyle w:val="TextoNormal"/>
      </w:pPr>
    </w:p>
    <w:p w:rsidR="00A90898" w:rsidRDefault="00A90898" w:rsidP="00A90898">
      <w:pPr>
        <w:pStyle w:val="TextoNormal"/>
      </w:pPr>
      <w:r>
        <w:t xml:space="preserve">18. El modelo establecido en el art. 92.4 c) LOTC resulta incompatible con el diseñado por el Poder constituyente. La principal divergencia entre ambos, que es en la que me quiero concentrar en este voto particular, es que el modelo del art. 155 CE toma como base la idea de que el conflicto ha de ser resuelto, </w:t>
      </w:r>
      <w:r w:rsidRPr="00A90898">
        <w:rPr>
          <w:i/>
        </w:rPr>
        <w:t>prima facie</w:t>
      </w:r>
      <w:r>
        <w:t>, por instancias políticas; y, por el contrario, el del legislador orgánico en la Ley Orgánica del Tribunal Constitucional está presidido por la idea de la jurisdiccionalización de la reacción estatal por medio del Tribunal Constitucional.</w:t>
      </w:r>
    </w:p>
    <w:p w:rsidR="00A90898" w:rsidRDefault="00A90898" w:rsidP="00A90898">
      <w:pPr>
        <w:pStyle w:val="TextoNormal"/>
      </w:pPr>
    </w:p>
    <w:p w:rsidR="00A90898" w:rsidRDefault="00A90898" w:rsidP="00A90898">
      <w:pPr>
        <w:pStyle w:val="TextoNormal"/>
      </w:pPr>
      <w:r>
        <w:t>Al Poder constituyente corresponde establecer los poderes constituidos, sus funciones, las garantías para su desarrollo y también decidir sobre los mecanismos para la resolución de los eventuales conflictos que pudieran producirse entre ellos, y especialmente entre los órganos constitucionales. En el plano de la organización territorial del Estado, el Poder constituyente decidió objetivar que el eventual incumplimiento de las obligaciones constitucionales por parte de una Comunidad Autónoma debía resolverse, quizá en atención a la propia naturaleza esencialmente política del conflicto, a través de mecanismos políticos y no jurisdiccionales. De ese modo, el art. 155 CE da todo el protagonismo a las instituciones políticas implicadas, dejando no solo la iniciativa sino incluso la decisión última respecto de la conveniencia de adoptar alguna medida a esas instituciones políticas.</w:t>
      </w:r>
    </w:p>
    <w:p w:rsidR="00A90898" w:rsidRDefault="00A90898" w:rsidP="00A90898">
      <w:pPr>
        <w:pStyle w:val="TextoNormal"/>
      </w:pPr>
    </w:p>
    <w:p w:rsidR="00A90898" w:rsidRDefault="00A90898" w:rsidP="00A90898">
      <w:pPr>
        <w:pStyle w:val="TextoNormal"/>
      </w:pPr>
      <w:r>
        <w:t>En el diseño constitucional, el Gobierno del Estado, como órgano constitucional, es quien, en primer lugar y con carácter prioritario, se instituye como garante del cumplimiento por parte de las Comunidades Autónomas de sus obligaciones constitucionales —incluyendo, desde luego, las que se pongan de manifiesto con ocasión del incumplimiento de resoluciones del Tribunal Constitucional, que también tiene, desde este punto de vista, el carácter de órgano constitucional—. Y en ese mismo diseño constitucional se establecen los mecanismos a través de los cuales el Gobierno del Estado debe desarrollar esa función de garante, señalando que es él a quien corresponde tomar la iniciativa escalonando su respuesta mediante un previo requerimiento al Presidente de la Comunidad Autónoma incumplidora y, en caso de desatención, recabando la autorización de la mayoría absoluta del Senado, como Cámara de representación territorial del Estado, para la adopción de las medidas de ejecución sustitutivas que garanticen el cumplimiento forzoso de las obligaciones constitucionales por la Comunidad Autónoma incumplidora.</w:t>
      </w:r>
    </w:p>
    <w:p w:rsidR="00A90898" w:rsidRDefault="00A90898" w:rsidP="00A90898">
      <w:pPr>
        <w:pStyle w:val="TextoNormal"/>
      </w:pPr>
    </w:p>
    <w:p w:rsidR="00A90898" w:rsidRDefault="00A90898" w:rsidP="00A90898">
      <w:pPr>
        <w:pStyle w:val="TextoNormal"/>
      </w:pPr>
      <w:r>
        <w:t>Solo en una segunda fase el Tribunal Constitucional, en su caso, podría someter a control de constitucionalidad dichas medidas a través de los procedimientos jurisdiccionales previstos en el art. 161 CE y en la Ley Orgánica del Tribunal Constitucional. Esto es, en el modelo constitucional se respeta la posibilidad de que el Tribunal Constitucional mantenga la posición arbitral en los conflictos entre el Estado y las Comunidades Autónomas, incluyendo los supuestos de adopción de las medidas del art. 155 CE, permitiendo su participación en un segundo plano de modo que no se comprometa su posición constitucional.</w:t>
      </w:r>
    </w:p>
    <w:p w:rsidR="00A90898" w:rsidRDefault="00A90898" w:rsidP="00A90898">
      <w:pPr>
        <w:pStyle w:val="TextoNormal"/>
      </w:pPr>
    </w:p>
    <w:p w:rsidR="00A90898" w:rsidRDefault="00A90898" w:rsidP="00A90898">
      <w:pPr>
        <w:pStyle w:val="TextoNormal"/>
      </w:pPr>
      <w:r>
        <w:t xml:space="preserve">19. La configuración de la Ley Orgánica del Tribunal Constitucional ahora impugnada altera de manera sustancial este diseño constitucional y los equilibrios procurados por el Poder constituyente entre los distintos órganos constitucionales al enfrentar este tipo de conflictos. En primer lugar, pone en un plano de prioridad al Tribunal Constitucional, que es al que correspondería decidir sobre (i) la existencia del incumplimiento; (ii) las medidas </w:t>
      </w:r>
      <w:r>
        <w:lastRenderedPageBreak/>
        <w:t>que deben adoptarse; y (iii) requerir al Gobierno y dirigir su actuación para asegurar el debido cumplimiento de sus obligaciones constitucionales por parte de la Comunidad Autónoma incumplidora. Pero, en segundo lugar, paradójicamente, coloca también al Tribunal Constitucional en un plano de subordinación al Gobierno, habida cuenta de las posibilidades de iniciativa con que este cuenta en el marco de los procedimientos constitucionales y de sus incidentes de ejecución y de que, como ya se expuso anteriormente, son medidas que se configuran como potestades del Tribunal frente a cuyo cumplimiento no puede sustraerse ni alegar razones de oportunidad —mucho menos de carácter político— para evitar su adopción.</w:t>
      </w:r>
    </w:p>
    <w:p w:rsidR="00A90898" w:rsidRDefault="00A90898" w:rsidP="00A90898">
      <w:pPr>
        <w:pStyle w:val="TextoNormal"/>
      </w:pPr>
    </w:p>
    <w:p w:rsidR="00A90898" w:rsidRDefault="00A90898" w:rsidP="00A90898">
      <w:pPr>
        <w:pStyle w:val="TextoNormal"/>
      </w:pPr>
      <w:r>
        <w:t>Esta reubicación del protagonismo del Tribunal Constitucional en el procedimiento de resolución de este tipo de conflictos, además, lo inhabilita, al menos en esa concreta cuestión, para ejercer una posterior labor de control de constitucionalidad sobre la forma en que se hubieran desarrollado las medidas de ejecución sustitutorias. De ese modo se altera también la función de garante que la Constitución reserva para la jurisdicción de este Tribunal Constitucional y, en suma, desdibuja gravemente su papel como órgano constitucional de garantía.</w:t>
      </w:r>
    </w:p>
    <w:p w:rsidR="00A90898" w:rsidRDefault="00A90898" w:rsidP="00A90898">
      <w:pPr>
        <w:pStyle w:val="TextoNormal"/>
      </w:pPr>
    </w:p>
    <w:p w:rsidR="00A90898" w:rsidRDefault="00A90898" w:rsidP="00A90898">
      <w:pPr>
        <w:pStyle w:val="TextoNormal"/>
      </w:pPr>
      <w:r>
        <w:t>20. Un panorama como el expuesto debería haber llevado a la conclusión de que la mutación que en el diseño originario constitucional supone la norma controvertida era determinante de su inconstitucionalidad no solo por otorgar al Tribunal Constitucional funciones que exceden de las que constitucionalmente tiene reconocidas, sino porque, además, desapodera de ellas a otro poder constituido como es el Gobierno, que sí las tiene constitucionalmente reconocidas.</w:t>
      </w:r>
    </w:p>
    <w:p w:rsidR="00A90898" w:rsidRDefault="00A90898" w:rsidP="00A90898">
      <w:pPr>
        <w:pStyle w:val="TextoNormal"/>
      </w:pPr>
    </w:p>
    <w:p w:rsidR="00A90898" w:rsidRDefault="00A90898" w:rsidP="00A90898">
      <w:pPr>
        <w:pStyle w:val="TextoNormal"/>
      </w:pPr>
      <w:r>
        <w:t>La premura con la que debe redactarse este voto me impide razonar, como hubiera sido mi deseo, que un examen de la situación en el Derecho comparado pone de relieve cómo para la ejecución de las decisiones de los tribunales constitucionales los poderes legislativos tienen especial cuidado en respetar el papel constitucional de los diversos órganos constitucionales y el equilibrio entre ellos, responsabilizando, por ejemplo, en algunos casos, al Presidente de la República de la ejecución de las sentencias de aquellos.</w:t>
      </w:r>
    </w:p>
    <w:p w:rsidR="00A90898" w:rsidRDefault="00A90898" w:rsidP="00A90898">
      <w:pPr>
        <w:pStyle w:val="TextoNormal"/>
      </w:pPr>
    </w:p>
    <w:p w:rsidR="00A90898" w:rsidRDefault="00A90898" w:rsidP="00A90898">
      <w:pPr>
        <w:pStyle w:val="TextoNormal"/>
      </w:pPr>
      <w:r>
        <w:t xml:space="preserve">Pero sí me parece oportuno evocar que el origen de la jurisdicción de control de constitucionalidad de las leyes, en una sentencia valiente y legendaria, pronunciada en condiciones difíciles para la Corte, está vinculada al rechazo de la constitucionalidad de ciertas medidas de ejecución que la legislatura pretendía atribuir mediante ley a la Corte Suprema de los Estados Unidos sin estar previstas en la Constitución. Me refiero, como habrán supuesto los especialistas, a la Sentencia del Tribunal Supremo de Estados Unidos </w:t>
      </w:r>
      <w:r w:rsidRPr="00A90898">
        <w:rPr>
          <w:i/>
        </w:rPr>
        <w:t>Marbury v Madison (1803) 5 US (1 Cranch</w:t>
      </w:r>
      <w:r>
        <w:t xml:space="preserve">) 137. En esta Sentencia, si bien es conocida por haber instituido la posibilidad del control de constitucionalidad de las leyes, se declaró inconstitucional la previsión legal de una potestad de ejecución otorgada al Tribunal Supremo de Estados Unidos al margen de las competencias originarias reconocidas a dicho Tribunal por la Constitución. En la citada Sentencia </w:t>
      </w:r>
      <w:r w:rsidRPr="00A90898">
        <w:rPr>
          <w:i/>
        </w:rPr>
        <w:t>Marbury v Madison</w:t>
      </w:r>
      <w:r>
        <w:t xml:space="preserve"> la situación planteada era que el Presidente Adams, en los últimos días de su Administración, propuso el nombramiento de Marbury como Juez de Paz del Distrito de Columbia, siendo confirmado por el Senado. El nombramiento no llegó a ser notificado mediante la expedición de la necesaria credencial del Secretario de Estado. Ya bajo la presidencia de Jefferson, Marbury solicitó al nuevo Secretario de Estado Madison que entregara el nombramiento, a lo que la nueva Administración </w:t>
      </w:r>
      <w:r>
        <w:lastRenderedPageBreak/>
        <w:t>era renuente por considerarlo ilegal. Ante su negativa, Marbury recurrió al Tribunal Supremo reclamando que ordenase al Secretario de Estado Madison expedir su nombramiento mediante un mandamiento u orden de hacer (</w:t>
      </w:r>
      <w:r w:rsidRPr="00A90898">
        <w:rPr>
          <w:i/>
        </w:rPr>
        <w:t>writ of mandamus</w:t>
      </w:r>
      <w:r>
        <w:t xml:space="preserve">). El Tribunal Supremo finalmente rechazó esta solicitud al considerar que si bien la </w:t>
      </w:r>
      <w:r w:rsidRPr="00A90898">
        <w:rPr>
          <w:i/>
        </w:rPr>
        <w:t>Judiciary Act</w:t>
      </w:r>
      <w:r>
        <w:t xml:space="preserve"> de 1789 autorizaba al Tribunal Supremo de los Estados Unidos a dirigir mandamientos, en los casos autorizados por los principios y usos del Derecho, a todos los Tribunales o autoridades, dicha ley era inconstitucional. Esa declaración de inconstitucionalidad se razonó afirmando que (i) entre las competencias originarias atribuidas por la Constitución al Tribunal Supremo solo aparecían las referidas a embajadores, otros ministros públicos y cónsules, y a aquellos en los cuáles un Estado sea parte, teniendo para el resto de supuestos una jurisdicción de apelación; (ii) la posibilidad de emitir un mandamiento como el solicitado por Marbury era propio de una jurisdicción originaria; por lo que (iii) la competencia para dictar mandamientos frente a los funcionarios públicos que la ley jurisdiccional otorga al Tribunal Supremo, al no estar prevista en la Constitución, era inconstitucional.</w:t>
      </w:r>
    </w:p>
    <w:p w:rsidR="00A90898" w:rsidRDefault="00A90898" w:rsidP="00A90898">
      <w:pPr>
        <w:pStyle w:val="TextoNormal"/>
      </w:pPr>
    </w:p>
    <w:p w:rsidR="00A90898" w:rsidRDefault="00A90898" w:rsidP="00A90898">
      <w:pPr>
        <w:pStyle w:val="TextoNormal"/>
      </w:pPr>
      <w:r>
        <w:t>En el presente caso, a mi juicio, se ha producido un efecto análogo de exceso del legislador orgánico en su capacidad de configurar legalmente las competencias del Tribunal Constitucional al otorgarle unas potestades que el Poder constituyente tenía reservadas a otro órgano constitucional como es el Gobierno.</w:t>
      </w:r>
    </w:p>
    <w:p w:rsidR="00A90898" w:rsidRDefault="00A90898" w:rsidP="00A90898">
      <w:pPr>
        <w:pStyle w:val="TextoNormal"/>
      </w:pPr>
    </w:p>
    <w:p w:rsidR="00A90898" w:rsidRDefault="00A90898" w:rsidP="00A90898">
      <w:pPr>
        <w:pStyle w:val="TextoNormal"/>
      </w:pPr>
      <w:r>
        <w:t>Madrid, a tres de noviembre de dos mil dieciséis.-Juan Antonio Xiol Ríos.-Firmado y rubricado.</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5" w:name="SENTENCIA_2016_186"/>
      <w:r>
        <w:lastRenderedPageBreak/>
        <w:t>SENTENCIA 186/2016, de 3 de noviembre de 2016</w:t>
      </w:r>
    </w:p>
    <w:bookmarkEnd w:id="65"/>
    <w:p w:rsidR="00A90898" w:rsidRDefault="00A90898" w:rsidP="00A90898">
      <w:pPr>
        <w:pStyle w:val="TtuloResolucin"/>
      </w:pPr>
      <w:r>
        <w:t>Pleno</w:t>
      </w:r>
    </w:p>
    <w:p w:rsidR="00A90898" w:rsidRDefault="00A90898" w:rsidP="00A90898">
      <w:pPr>
        <w:pStyle w:val="TtuloBOE"/>
      </w:pPr>
      <w:r>
        <w:t>(BOE núm. 299, de 12 de diciembre de 2016)</w:t>
      </w:r>
    </w:p>
    <w:p w:rsidR="00A90898" w:rsidRDefault="00A90898" w:rsidP="00A90898">
      <w:pPr>
        <w:pStyle w:val="TextoNormalCentrado"/>
      </w:pPr>
      <w:r>
        <w:t>ECLI:ES:TC:2016:186</w:t>
      </w:r>
    </w:p>
    <w:p w:rsidR="00A90898" w:rsidRDefault="00A90898" w:rsidP="00A90898">
      <w:pPr>
        <w:pStyle w:val="TextoNormalCentrado"/>
      </w:pPr>
    </w:p>
    <w:p w:rsidR="00A90898" w:rsidRDefault="00A90898" w:rsidP="00A90898">
      <w:pPr>
        <w:pStyle w:val="SntesisDescriptiva"/>
      </w:pPr>
      <w:r>
        <w:t>Recurso de inconstitucionalidad 2219-2016. Interpuesto por el Gobierno Vasco en relación con diversos preceptos de la Ley 28/2015, de 30 de julio, para la defensa de la calidad alimentaria.</w:t>
      </w:r>
    </w:p>
    <w:p w:rsidR="00A90898" w:rsidRDefault="00A90898" w:rsidP="00A90898">
      <w:pPr>
        <w:pStyle w:val="SntesisDescriptiva"/>
      </w:pPr>
    </w:p>
    <w:p w:rsidR="00A90898" w:rsidRDefault="00A90898" w:rsidP="00A90898">
      <w:pPr>
        <w:pStyle w:val="SntesisAnaltica"/>
      </w:pPr>
      <w:r>
        <w:t>Competencias sobre ordenación general de la economía, agricultura y ganadería: extinción parcial del recurso de inconstitucionalidad; constitucionalidad de los preceptos legales estatales relativos a la responsabilidad por las infracciones, graduación de las sanciones y creación de una red de intercambio de información de calidad alimentaria (STC 142/2016).</w:t>
      </w:r>
    </w:p>
    <w:p w:rsidR="00A90898" w:rsidRDefault="00A90898" w:rsidP="00A90898">
      <w:pPr>
        <w:pStyle w:val="SntesisAnaltica"/>
      </w:pPr>
    </w:p>
    <w:p w:rsidR="00A90898" w:rsidRDefault="00A90898" w:rsidP="00A90898">
      <w:pPr>
        <w:pStyle w:val="Extracto"/>
      </w:pPr>
      <w:r>
        <w:t>1.</w:t>
      </w:r>
      <w:r>
        <w:tab/>
        <w:t>La competencia que ostenta el Estado para regular la planificación general de la actividad económica con carácter básico le faculta para regular, con ese mismo carácter, el régimen sancionador por incumplimiento de las normas sobre calidad alimentaria y ello conlleva la potestad para establecer quiénes han de responder por las infracciones que deriven de dicho régimen (STC 149/1991) [FJ 3].</w:t>
      </w:r>
    </w:p>
    <w:p w:rsidR="00A90898" w:rsidRDefault="00A90898" w:rsidP="00A90898">
      <w:pPr>
        <w:pStyle w:val="Extracto"/>
      </w:pPr>
    </w:p>
    <w:p w:rsidR="00A90898" w:rsidRDefault="00A90898" w:rsidP="00A90898">
      <w:pPr>
        <w:pStyle w:val="Extracto"/>
      </w:pPr>
      <w:r>
        <w:t>2.</w:t>
      </w:r>
      <w:r>
        <w:tab/>
        <w:t>Doctrina sobre defensa de la calidad alimentaria y encuadramiento de la controversia competencial y su relación con la competencia para establecer el régimen sancionador sustantivo (STC 142/2016) [FJ 2].</w:t>
      </w:r>
    </w:p>
    <w:p w:rsidR="00A90898" w:rsidRDefault="00A90898" w:rsidP="00A90898">
      <w:pPr>
        <w:pStyle w:val="Extracto"/>
      </w:pPr>
    </w:p>
    <w:p w:rsidR="00A90898" w:rsidRDefault="00A90898" w:rsidP="00A90898">
      <w:pPr>
        <w:pStyle w:val="Extracto"/>
      </w:pPr>
      <w:r>
        <w:t>3.</w:t>
      </w:r>
      <w:r>
        <w:tab/>
        <w:t>La jurisprudencia constitucional ha declarado en diversas ocasiones el carácter básico de los criterios para la graduación de las sanciones administrativas, dada su vinculación a las exigencias derivadas del art. 149.1.1 CE, que apoderan al Estado para fijar unos principios que eviten divergencias irrazonables o desproporcionadas entre las distintas regulaciones autonómicas (SSTC 87/1985; 124/2003) [FJ 3].</w:t>
      </w:r>
    </w:p>
    <w:p w:rsidR="00A90898" w:rsidRDefault="00A90898" w:rsidP="00A90898">
      <w:pPr>
        <w:pStyle w:val="Extracto"/>
      </w:pPr>
    </w:p>
    <w:p w:rsidR="00A90898" w:rsidRDefault="00A90898" w:rsidP="00A90898">
      <w:pPr>
        <w:pStyle w:val="Extracto"/>
      </w:pPr>
      <w:r>
        <w:t>4.</w:t>
      </w:r>
      <w:r>
        <w:tab/>
        <w:t>La competencia sobre régimen de la policía autónoma se refiere a la función policial prestada, esto es, a la capacidad del poder autonómico de organizar y ejercer funciones o servicios policiales no estatales y las potestades administrativas consideradas como complementarias o inherentes a las tareas de prevención e investigación de hechos delictivos y persecución de los culpables, al mantenimiento del orden ciudadano y otras análogas. Así, la competencia autonómica derivada de la creación de la policía de seguridad propia es la única excepción que el art. 149.1.29 CE contempla a la exclusiva competencia estatal sobre seguridad pública (SSTC 104/1989, 86/2014) [FJ 3].</w:t>
      </w:r>
    </w:p>
    <w:p w:rsidR="00A90898" w:rsidRDefault="00A90898" w:rsidP="00A90898">
      <w:pPr>
        <w:pStyle w:val="Extracto"/>
      </w:pPr>
    </w:p>
    <w:p w:rsidR="00A90898" w:rsidRDefault="00A90898" w:rsidP="00A90898">
      <w:pPr>
        <w:pStyle w:val="Extracto"/>
      </w:pPr>
      <w:r>
        <w:t>5.</w:t>
      </w:r>
      <w:r>
        <w:tab/>
        <w:t xml:space="preserve">No deben confundirse la competencia específica relativa al régimen de la policía autónoma, para la protección de las personas y bienes y el mantenimiento del orden público dentro del territorio autónomo, que se proyecta sobre el sistema de autoridades territoriales y servicios policiales propios en los términos ya expuestos, con la más genérica y, por tanto, de contenido más amplio -en tanto que abarca </w:t>
      </w:r>
      <w:r>
        <w:lastRenderedPageBreak/>
        <w:t>un amplio espectro de actuaciones administrativas-  en materia de seguridad pública que el art. 149.1.29 CE reserva, con los límites ya examinados, al Estado (STC 86/2014)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2219-2016, promovido por el Gobierno Vasco contra los arts.12, 13, 14, 15, 17, 19, 20, 21, 22, 23, 24 y 26 y disposiciones adicional primera y transitoria única de la Ley 28/2015, de 30 de julio, para la defensa de la calidad alimentaria. Ha comparecido y formulado alegaciones el Abogado del Estado.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22 de abril de 2016, el Gobierno Vasco, representado por el Procurador de los Tribunales don Felipe Juanas Blanco y asistido por el Letrado don Luis María Rousse Arroita formula recurso de inconstitucionalidad contra los arts. 12, 13, 14, 15, 17, 19, 20, 21, 22, 23, 24 y 26 y contra la disposición adicional primera y la disposición transitoria única de la Ley 28/2015, de 30 de julio, para la defensa de la calidad alimentaria.</w:t>
      </w:r>
    </w:p>
    <w:p w:rsidR="00A90898" w:rsidRDefault="00A90898" w:rsidP="00A90898">
      <w:pPr>
        <w:pStyle w:val="TextoNormal"/>
      </w:pPr>
    </w:p>
    <w:p w:rsidR="00A90898" w:rsidRDefault="00A90898" w:rsidP="00A90898">
      <w:pPr>
        <w:pStyle w:val="TextoNormal"/>
      </w:pPr>
      <w:r>
        <w:t>El recurso se fundamenta en los siguientes motivos:</w:t>
      </w:r>
    </w:p>
    <w:p w:rsidR="00A90898" w:rsidRDefault="00A90898" w:rsidP="00A90898">
      <w:pPr>
        <w:pStyle w:val="TextoNormal"/>
      </w:pPr>
    </w:p>
    <w:p w:rsidR="00A90898" w:rsidRDefault="00A90898" w:rsidP="00A90898">
      <w:pPr>
        <w:pStyle w:val="TextoNormal"/>
      </w:pPr>
      <w:r>
        <w:t xml:space="preserve">La Ley para la defensa de la calidad alimentaria tiene por objeto establecer la regulación básica en materia de defensa de la calidad alimentaria, incluyendo el régimen sancionador, para dar cumplimiento a la obligación establecida por el art. 55 del Reglamento (CE) núm. 882-2004, del Parlamento Europeo y del Consejo, de 29 de abril de 2004, sobre los controles oficiales efectuados para garantizar la verificación del cumplimiento de la legislación en materia de piensos y alimentos y la normativa sobre salud animal y bienestar de los animales, o reglamento que los sustituya, así como los mecanismos de cooperación. La Ley para la defensa de la calidad alimentaria no se plantea como una disposición de carácter general reguladora de la materia "calidad alimentaria" en sentido estricto, sino que su objetivo principal se concreta en la regulación de lo que entiende mecanismos de defensa de esa materia </w:t>
      </w:r>
      <w:r>
        <w:lastRenderedPageBreak/>
        <w:t>entre los que, más allá de los controles que contempla, destaca un acabado y transversal régimen sancionador aparejado a un subsector de la materia agricultura, como es la calidad alimentaria, de competencia exclusiva de las Comunidades Autónomas. En su disposición final quinta señala que la misma se dicta al amparo de lo dispuesto en el art. 149.1.13 CE, que atribuye al Estado competencia sobre bases y coordinación general de la planificación económica. Sobre tales bases la Ley para la defensa de la calidad alimentaria establece un régimen sancionador uniforme aplicable a cualesquiera normas que tengan por objeto aspectos relacionados con la calidad alimentaria, de forma que, lejos de incidir en un sector específico de la actividad económica, lo hace sobre una diversidad de sectores, en una submateria, calidad alimentaria, que se integra en el título agricultura y ganadería que es competencia exclusiva del País Vasco. En este contexto, el recurso tiene por objeto la impugnación de la mayor parte de los preceptos que la Ley para la defensa de la calidad alimentaria dedica al establecimiento de un régimen sancionador específico cuya regulación el Estado fundamenta en el art.149.1.13 CE. Dicho título se presenta como una competencia transversal ilimitada, lo que constituye una extralimitación en la utilización del citado título competencial y la consiguiente vulneración de la competencia exclusiva de la Comunidad Autónoma del País Vasco en materia de agricultura y ganadería, de acuerdo con la ordenación general de la economía, tal y como dispone el art. 10.9 del Estatuto de Autonomía del País Vasco (EAPV).</w:t>
      </w:r>
    </w:p>
    <w:p w:rsidR="00A90898" w:rsidRDefault="00A90898" w:rsidP="00A90898">
      <w:pPr>
        <w:pStyle w:val="TextoNormal"/>
      </w:pPr>
    </w:p>
    <w:p w:rsidR="00A90898" w:rsidRDefault="00A90898" w:rsidP="00A90898">
      <w:pPr>
        <w:pStyle w:val="TextoNormal"/>
      </w:pPr>
      <w:r>
        <w:t>La demanda argumenta que el art. 149.1.13 CE no faculta al Estado ni para establecer un régimen sancionador, como el previsto en el título III de la Ley para la defensa de la calidad alimentaria, ni para extralimitarse en su utilización en la forma que lo hace al regular el régimen sancionador. Precisa asimismo, que el art. 55 del Reglamento (CE) núm. 882-2004 no predetermina qué instancia del Estado miembro debe establecer las normas sobre las sanciones aplicables a las infracciones en materia de defensa de la calidad alimentaria. Tan solo obliga a tomar las medidas necesarias para garantizar su aplicación y a establecer sanciones eficaces, proporcionadas y disuasorias. El mandato que deriva del aludido precepto puede abordarse así desde la legislación autonómica. Recuerda, además, que el régimen sancionador constituye un aspecto adjetivo de la competencia material que, en ningún caso, implica afección a la ordenación general de la economía.</w:t>
      </w:r>
    </w:p>
    <w:p w:rsidR="00A90898" w:rsidRDefault="00A90898" w:rsidP="00A90898">
      <w:pPr>
        <w:pStyle w:val="TextoNormal"/>
      </w:pPr>
    </w:p>
    <w:p w:rsidR="00A90898" w:rsidRDefault="00A90898" w:rsidP="00A90898">
      <w:pPr>
        <w:pStyle w:val="TextoNormal"/>
      </w:pPr>
      <w:r>
        <w:t xml:space="preserve">La demanda analiza a continuación cada uno de los preceptos recurridos. El art. 12.1 y 2, en la medida en que prevé la aplicación de un régimen sancionador único y uniforme que se superpone a la competencia autonómica en materia de calidad alimentaria, estaría vulnerando el art. 10.9 EAPV. Los arts. 13, 14 y 15, en cuanto establecen una regulación detallada de las infracciones leves, graves y muy graves, que no se limitan a fijar con carácter general los tipos de ilícitos administrativos en materia de defensa de la calidad alimentaria, exceden los límites de una norma de carácter básico. Del art. 17, el apartado 1, en la medida en que contiene una remisión a la tipificación de los arts. 13, 14 y 15, adolece de las mismas tachas de inconstitucionalidad ya señaladas, y los apartados 2 y 3 recogen una regulación exhaustiva de sujetos responsables, cuyo grado de detalle impide la intervención normativa autonómica. El art. 19 establece unas determinaciones detalladas en lo que respecta a las cantidades, porcentajes y plazos concretos de las multas coercitivas, que no se ajustan al concepto de bases y comportan un vaciamiento de la competencia autonómica. El art. 20 vulnera las competencias autonómicas, al no dejar margen al legislador autonómico para aplicar la graduación de las sanciones, o establecer una configuración de las sanciones accesorias distinta de la que figura en este precepto. Esa misma tacha se les reprocha a los arts. 21, sobre la </w:t>
      </w:r>
      <w:r>
        <w:lastRenderedPageBreak/>
        <w:t>graduación de las sanciones, y 22, en cuanto regula un aspecto complementario o accesorio del esquema sancionador como la publicidad de las sanciones. El art. 23 sería inconstitucional por remitirse a la tipificación de infracciones graves y muy graves que se ha impugnado, así como por no dejar margen a la Comunidad Autónoma para regular las sanciones accesorias. El art. 24.1, 2, 4 y 5 regula la prescripción de las infracciones y sanciones, regulación que no está considerada como básica por la Ley 30/1992 y por este motivo el art. 132 de esa norma se remite a la regulación de cada una de las leyes sectoriales que establecen las infracciones y sanciones, sean estatales o autonómicas. Conforme a lo anterior, su determinación corresponde al titular de la competencia.</w:t>
      </w:r>
    </w:p>
    <w:p w:rsidR="00A90898" w:rsidRDefault="00A90898" w:rsidP="00A90898">
      <w:pPr>
        <w:pStyle w:val="TextoNormal"/>
      </w:pPr>
    </w:p>
    <w:p w:rsidR="00A90898" w:rsidRDefault="00A90898" w:rsidP="00A90898">
      <w:pPr>
        <w:pStyle w:val="TextoNormal"/>
      </w:pPr>
      <w:r>
        <w:t>La disposición adicional primera viene a establecer un régimen sancionador en materia de clasificación de canales de vacuno y porcino, que carece de transcendencia para la ordenación general de la economía, y vacía de contenido la regulación sancionadora que corresponde a la Comunidad Autónoma. La disposición transitoria única, que establece la regulación transitoria del procedimiento sancionador, no encuentra tampoco acomodo en el ámbito del art. 149.1.13 CE.</w:t>
      </w:r>
    </w:p>
    <w:p w:rsidR="00A90898" w:rsidRDefault="00A90898" w:rsidP="00A90898">
      <w:pPr>
        <w:pStyle w:val="TextoNormal"/>
      </w:pPr>
    </w:p>
    <w:p w:rsidR="00A90898" w:rsidRDefault="00A90898" w:rsidP="00A90898">
      <w:pPr>
        <w:pStyle w:val="TextoNormal"/>
      </w:pPr>
      <w:r>
        <w:t>Además, al art. 26.3 se le imputa la vulneración de las competencias autonómicas en materia de policía propia, por cuanto este precepto no contempla a los servicios policiales autonómicos en relación con la red de intercambio de información de calidad alimentaria. Entre todas las autoridades competentes de control oficial se incluye al Servicio de Protección de la Naturaleza de la Guardia Civil, pero se obvia la existencia de otros servicios policiales autonómicos, como la Ertzaintza, que tienen atribuido el ejercicio de funciones idénticas.</w:t>
      </w:r>
    </w:p>
    <w:p w:rsidR="00A90898" w:rsidRDefault="00A90898" w:rsidP="00A90898">
      <w:pPr>
        <w:pStyle w:val="TextoNormal"/>
      </w:pPr>
    </w:p>
    <w:p w:rsidR="00A90898" w:rsidRDefault="00A90898" w:rsidP="00A90898">
      <w:pPr>
        <w:pStyle w:val="TextoNormal"/>
      </w:pPr>
      <w:r>
        <w:t>Finalmente, la demanda desarrolla un último motivo de inconstitucionalidad, en la medida en que la norma dice trasponer el art. 55 del Reglamento (CE) núm. 882-2004, del Parlamento Europeo y del Consejo, de 29 de abril de 2004 y se cuestiona la competencia estatal para establecer la regulación sustantiva que se ha impugnado, la conclusión es que la Ley para la defensa de la calidad alimentaria no sería de aplicación directa sino únicamente supletoria en aquellas Comunidades Autónomas que, como el País Vasco, disponen de normativa propia.</w:t>
      </w:r>
    </w:p>
    <w:p w:rsidR="00A90898" w:rsidRDefault="00A90898" w:rsidP="00A90898">
      <w:pPr>
        <w:pStyle w:val="TextoNormal"/>
      </w:pPr>
    </w:p>
    <w:p w:rsidR="00A90898" w:rsidRDefault="00A90898" w:rsidP="00A90898">
      <w:pPr>
        <w:pStyle w:val="TextoNormal"/>
      </w:pPr>
      <w:r w:rsidRPr="00A90898">
        <w:rPr>
          <w:rStyle w:val="NumeroAFNegritaCaracter"/>
        </w:rPr>
        <w:t>2</w:t>
      </w:r>
      <w:r>
        <w:t>. Por providencia de 10 de mayo de 2016 el Pleno, a propuesta de la Sección Primera, acordó admitir a trámite el recurso de inconstitucionalidad promovido por el Gobierno Vasco contra los arts. 12, 13, 14, 15, 17, 19, 20, 21, 22, 23, 24 y 26 y contra la disposición adicional primera y la disposición transitoria única de la Ley 28/2015, de 30 de julio, para la defensa de la calidad alimentaria; dar traslado de la demanda y documentos presentados, conforme establece el art. 34 de la Ley Orgánica del Tribunal Constitucional (LOTC), al Congreso de los Diputados y al Senado, por conducto de sus Presidentes, así como al Gobierno, a través del Ministro de Justicia, al objeto de que, en el plazo de quince días, puedan personarse en el proceso y formular las alegaciones que estimaren convenientes y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en este Tribunal el día 25 de mayo de 2016, el Abogado del Estado se personó en el proceso solicitando una prórroga del plazo para formular alegaciones, que fue concedida mediante providencia del Pleno de 26 de mayo de 2016.</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Mediante escrito registrado con fecha 27 de mayo de 2016 el Presidente del Congreso de los Diputados comunicó el acuerdo de la Mesa de la Cámara de personarse en el procedimiento y ofrecer su colaboración a los efectos del art. 88.1 LOTC. Lo mismo hizo el Presidente del Senado por escrito que tuvo entrada en este Tribunal el día 3 de junio de 2016.</w:t>
      </w:r>
    </w:p>
    <w:p w:rsidR="00A90898" w:rsidRDefault="00A90898" w:rsidP="00A90898">
      <w:pPr>
        <w:pStyle w:val="TextoNormal"/>
      </w:pPr>
    </w:p>
    <w:p w:rsidR="00A90898" w:rsidRDefault="00A90898" w:rsidP="00A90898">
      <w:pPr>
        <w:pStyle w:val="TextoNormal"/>
      </w:pPr>
      <w:r w:rsidRPr="00A90898">
        <w:rPr>
          <w:rStyle w:val="NumeroAFNegritaCaracter"/>
        </w:rPr>
        <w:t>5</w:t>
      </w:r>
      <w:r>
        <w:t>. Las alegaciones presentadas por el Abogado del Estado interesando la desestimación del recurso fueron registradas en este Tribunal el día 23 de junio de 2016.</w:t>
      </w:r>
    </w:p>
    <w:p w:rsidR="00A90898" w:rsidRDefault="00A90898" w:rsidP="00A90898">
      <w:pPr>
        <w:pStyle w:val="TextoNormal"/>
      </w:pPr>
    </w:p>
    <w:p w:rsidR="00A90898" w:rsidRDefault="00A90898" w:rsidP="00A90898">
      <w:pPr>
        <w:pStyle w:val="TextoNormal"/>
      </w:pPr>
      <w:r>
        <w:t>Comienza señalando que la Ley para la defensa de la calidad alimentaria se dicta por el Estado al amparo del art. 149.1.13 CE siendo su ámbito material, únicamente, el aspecto económico de la calidad alimentaria y no el aspecto sanitario cuya competencia es de tales autoridades. Por eso, la memoria de análisis de impacto normativo del anteproyecto, de la que adjunta copia, consideró innecesario invocar como título competencial de cobertura el art. 149.1.16 CE. La misma memoria, dice el representante del Estado, pone de relieve que la Ley para la defensa de la calidad alimentaria es necesaria para conseguir una unidad de mercado real en el sector de la alimentación y bebidas, en lo que se refiere al sistema de control y sancionador. Destaca que el preámbulo de la Ley para la defensa de la calidad alimentaria dice que su contenido es esencialmente económico y recuerda que, tras la STC 34/2013, el Tribunal Constitucional ha diferenciado explícitamente el alcance de lo básico en el título competencial del art. 149.1.13 CE y en el resto de competencias del art. 149.1 CE, que reservan al Estado la aprobación de las bases en una materia concreta.</w:t>
      </w:r>
    </w:p>
    <w:p w:rsidR="00A90898" w:rsidRDefault="00A90898" w:rsidP="00A90898">
      <w:pPr>
        <w:pStyle w:val="TextoNormal"/>
      </w:pPr>
    </w:p>
    <w:p w:rsidR="00A90898" w:rsidRDefault="00A90898" w:rsidP="00A90898">
      <w:pPr>
        <w:pStyle w:val="TextoNormal"/>
      </w:pPr>
      <w:r>
        <w:t>El País Vasco tiene competencia en materia de calidad alimentaria según el art. 10 EAPV, pero éste deja expresamente a salvo las competencias estatales del art. 149.1.13 CE. Además, la jurisprudencia constitucional ha declarado que la atribución de una competencia como exclusiva en un precepto estatutario no impide la aplicación del Derecho del Estado emanado de competencias concurrentes de éste sobre el mismo espacio. Invoca a este respecto la STC 31/2010, FJ 64.</w:t>
      </w:r>
    </w:p>
    <w:p w:rsidR="00A90898" w:rsidRDefault="00A90898" w:rsidP="00A90898">
      <w:pPr>
        <w:pStyle w:val="TextoNormal"/>
      </w:pPr>
    </w:p>
    <w:p w:rsidR="00A90898" w:rsidRDefault="00A90898" w:rsidP="00A90898">
      <w:pPr>
        <w:pStyle w:val="TextoNormal"/>
      </w:pPr>
      <w:r>
        <w:t>Las SSTC 34/2013 y 123/2013 confirman que la competencia estatal del art. 149.1.13 CE no es propiamente una competencia compartida clásica, pues a través de medidas económicas hace posible la intervención del Estado, incluso en sectores materialmente atribuidos a la competencia de las Comunidades Autónomas. Se trata de una regla transversal en el orden económico (STC 130/2013) que permite, tanto normas estatales que fijen directrices y criterios globales de ordenación de sectores económicos concretos, como medidas singulares necesarias para alcanzar los fines propuestos, entre los que la doctrina constitucional sitúa el de garantizar la unidad de mercado o unidad económica. Cita también las SSTC 140/2011, 207/2012 y 69/2013.</w:t>
      </w:r>
    </w:p>
    <w:p w:rsidR="00A90898" w:rsidRDefault="00A90898" w:rsidP="00A90898">
      <w:pPr>
        <w:pStyle w:val="TextoNormal"/>
      </w:pPr>
    </w:p>
    <w:p w:rsidR="00A90898" w:rsidRDefault="00A90898" w:rsidP="00A90898">
      <w:pPr>
        <w:pStyle w:val="TextoNormal"/>
      </w:pPr>
      <w:r>
        <w:t xml:space="preserve">Aplicando la doctrina expuesta a los objetivos de la Ley para la defensa de la calidad alimentaria, entiende el Abogado del Estado que la ordenación básica del sector es claramente la razón de ser de esta Ley. Así se deduce de su memoria de la que destaca las expresiones que indican que la Ley para la defensa de la calidad alimentaria pretende desarrollar el marco legal básico del sector alimentario español, para conseguir que haya unos mínimos comunes en el control oficial y actualizar el régimen sancionador para dar respuesta a los compromisos con la Comisión Europea en el marco del Reglamento europeo de controles. Ello no se ve desvirtuado por la STC 6/2014, que cita la recurrente, que confirma que el </w:t>
      </w:r>
      <w:r>
        <w:lastRenderedPageBreak/>
        <w:t>Estado puede dictar directrices generales aún en materia de competencia exclusiva autonómica.</w:t>
      </w:r>
    </w:p>
    <w:p w:rsidR="00A90898" w:rsidRDefault="00A90898" w:rsidP="00A90898">
      <w:pPr>
        <w:pStyle w:val="TextoNormal"/>
      </w:pPr>
    </w:p>
    <w:p w:rsidR="00A90898" w:rsidRDefault="00A90898" w:rsidP="00A90898">
      <w:pPr>
        <w:pStyle w:val="TextoNormal"/>
      </w:pPr>
      <w:r>
        <w:t>La doctrina constitucional también es favorable, según esta parte, a la competencia básica del Estado en materia sancionadora, con fundamento en el art. 149.1.1 CE. Invoca la STC 136/1991 que declaró ajustado a la Constitución el Real Decreto 1945/1983, que hasta la Ley para la defensa de la calidad alimentaria regulaba el régimen sancionador en materia de defensa del consumidor y producción agroalimentaria. De esta sentencia deduce el Abogado del Estado que la igualdad fundamental que debe concurrir en el ordenamiento sancionador se refiere a todas las materias, incluida la calidad alimentaria. Añade que la materia sancionatoria, frente a lo que alega el recurso, no puede regularse en forma de principios generales cuando se refiere a una concreta materia sectorial. Cita la doctrina constitucional sobre el art. 25.l CE que, como garantía material, conlleva que la norma punitiva permita predecir con suficiente certeza las conductas infractoras y sus sanciones. Afirma asimismo que el título III de la Ley para la defensa de la calidad alimentaria contempla un régimen sancionador básico cuyo desarrollo normativo y ejecución compete a las Comunidades Autónomas, pero cuyo margen es limitado por la necesidad de evitar tratos desiguales. En todo caso, se establece un marco normativo unitario que admite matizaciones de las legislaciones autonómicas. Por ejemplo, se prevén cuantías máximas de las sanciones y se contemplan solo dos sanciones accesorias, con margen para otras.</w:t>
      </w:r>
    </w:p>
    <w:p w:rsidR="00A90898" w:rsidRDefault="00A90898" w:rsidP="00A90898">
      <w:pPr>
        <w:pStyle w:val="TextoNormal"/>
      </w:pPr>
    </w:p>
    <w:p w:rsidR="00A90898" w:rsidRDefault="00A90898" w:rsidP="00A90898">
      <w:pPr>
        <w:pStyle w:val="TextoNormal"/>
      </w:pPr>
      <w:r>
        <w:t>A partir de la doctrina constitucional expuesta el Abogado del Estado comienza el análisis particularizado de los preceptos por el examen del art. 12 de la Ley para la defensa de la calidad alimentaria. Afirma que este precepto responde al criterio doctrinal, pues su carácter abierto o de mínimo común denominador resulta de su tenor, ya que, al referirse a los incumplimientos normativos considerados infracciones, se remite a la normativa de las Administraciones competentes. En cuanto a los arts. 13, 14 y 15 de la Ley , que tipifican las infracciones, su tenor literal presupone la competencia autonómica de ejecución y, aunque el objeto del recurso es más bien el plano normativo, entiende el Abogado del Estado que, dentro de la deseable unidad de tratamiento, también en éste se deja margen al legislador autonómico. La misma memoria de la Ley para la defensa de la calidad alimentaria puso de manifiesto la existencia de leyes autonómicas reguladoras del régimen sancionador en materia de calidad agroalimentaria y señaló que la implantación de la Ley para la defensa de la calidad alimentaria dependerá del grado de discrepancia con ellas. Por eso, varios apartados de los arts. 13, 14 y 15 de la Ley mencionan obligaciones legales, normativa de aplicación o reglamentos de aplicación que serán del Estado o de las Comunidades Autónomas según el caso.</w:t>
      </w:r>
    </w:p>
    <w:p w:rsidR="00A90898" w:rsidRDefault="00A90898" w:rsidP="00A90898">
      <w:pPr>
        <w:pStyle w:val="TextoNormal"/>
      </w:pPr>
    </w:p>
    <w:p w:rsidR="00A90898" w:rsidRDefault="00A90898" w:rsidP="00A90898">
      <w:pPr>
        <w:pStyle w:val="TextoNormal"/>
      </w:pPr>
      <w:r>
        <w:t>Tampoco en el art. 16 de la Ley para la defensa de la calidad alimentaria se aprecia la exhaustividad regulatoria denunciada. Según el Abogado del Estado el precepto contiene concreciones de seguridad jurídica y de aplicación universal de los postulados del art. 25 CE, citado en el mismo artículo. Lo mismo se afirma respecto del art. 17 de la Ley cuyas prescripciones se consideran criterios o normas generales del régimen jurídico sancionador, derivadas de la Constitución, que muy difícilmente podrían configurarse legalmente de otro modo en el marco constitucional y en el de los principios rectores recogidos en el título IX de la Ley de régimen jurídico de las Administraciones públicas y del procedimiento administrativo común (Ley 30/1992, vigente en el momento de la impugnación: LPC).</w:t>
      </w:r>
    </w:p>
    <w:p w:rsidR="00A90898" w:rsidRDefault="00A90898" w:rsidP="00A90898">
      <w:pPr>
        <w:pStyle w:val="TextoNormal"/>
      </w:pPr>
    </w:p>
    <w:p w:rsidR="00A90898" w:rsidRDefault="00A90898" w:rsidP="00A90898">
      <w:pPr>
        <w:pStyle w:val="TextoNormal"/>
      </w:pPr>
      <w:r>
        <w:lastRenderedPageBreak/>
        <w:t>La regulación de las multas coercitivas del art. 19 de la Ley para la defensa de la calidad alimentaria se ajusta a la norma básica del art. 99.l LPC. La declaración de compatibilidad con las sanciones del apartado 3 es propia de la naturaleza de estas multas y la limitación de cuantía del apartado 2 es lógica desde una perspectiva constitucional garantista. El artículo regula un plazo mínimo para su aplicación que deja margen a la regulación autonómica para contemplar uno mayor. El art. 20 de la Ley para la defensa de la calidad alimentaria, que cuantifica las sanciones, deja también margen a las Comunidades Autónomas para sancionar dentro de la horquilla que establece y además, por las remisiones a normativa que puede ser autonómica que hacen los arts. 13, 14 y 15, cabría infracciones tipificadas por las Comunidades Autónomas respecto de las cuales podrían prever las correspondientes sanciones. Se reitera que algunas Comunidades Autónomas tienen legislación propia. Tampoco es inconstitucional el art. 20.2, relativo a las medidas accesorias, pues las prescritas son lógicas y por naturaleza esenciales para la protección del orden general dañado. El art. 22 de la Ley para la defensa de la calidad alimentaria regula la publicidad de las sanciones como posibilidad que puede acordar la autoridad competente, que puede ser la autonómica. Es una medida que precisa un régimen jurídico uniforme circunscrito a las circunstancias de gravedad que pueden motivar la publicidad y los plazos y concretos datos personales objeto de la misma en su caso. Las sanciones accesorias del art. 23 de la Ley son una opción del legislador en aras de la protección del interés general y, una vez que se opta por imponerlas, el principio de tipicidad exige un estricto detalle en la regulación de sus elementos mínimos imprescindibles.</w:t>
      </w:r>
    </w:p>
    <w:p w:rsidR="00A90898" w:rsidRDefault="00A90898" w:rsidP="00A90898">
      <w:pPr>
        <w:pStyle w:val="TextoNormal"/>
      </w:pPr>
    </w:p>
    <w:p w:rsidR="00A90898" w:rsidRDefault="00A90898" w:rsidP="00A90898">
      <w:pPr>
        <w:pStyle w:val="TextoNormal"/>
      </w:pPr>
      <w:r>
        <w:t>La regulación de la prescripción y caducidad de los apartados impugnados del art. 24 de la Ley para la defensa de la calidad alimentaria, por su naturaleza, exige un alto grado de uniformidad y concreción siendo un aspecto nuclear del régimen sancionador. La regla de cómputo de plazos del apartado 2 no puede variar sustancialmente desde la perspectiva de las garantías del presunto responsable. Además, el art. 24 de la Ley impugnada se remite al art. 132 LPC, norma básica indiscutida. También el apartado 5 responde a la idea de configuración uniforme en aras de la seguridad jurídica del afectado.</w:t>
      </w:r>
    </w:p>
    <w:p w:rsidR="00A90898" w:rsidRDefault="00A90898" w:rsidP="00A90898">
      <w:pPr>
        <w:pStyle w:val="TextoNormal"/>
      </w:pPr>
    </w:p>
    <w:p w:rsidR="00A90898" w:rsidRDefault="00A90898" w:rsidP="00A90898">
      <w:pPr>
        <w:pStyle w:val="TextoNormal"/>
      </w:pPr>
      <w:r>
        <w:t>La disposición adicional primera de la Ley para la defensa de la calidad alimentaria responde a la misma estructura y configuración básica de los arts. 13, 14 y 15, dejando margen a la legislación autonómica como resulta de su tenor en varios apartados. Las sanciones también se disponen en una horquilla dentro de la que puede moverse la legislación autonómica si no se genera desigualdad irrazonable. Las sanciones accesorias del apartado 6, son medidas lógicas en aras del interés general.</w:t>
      </w:r>
    </w:p>
    <w:p w:rsidR="00A90898" w:rsidRDefault="00A90898" w:rsidP="00A90898">
      <w:pPr>
        <w:pStyle w:val="TextoNormal"/>
      </w:pPr>
    </w:p>
    <w:p w:rsidR="00A90898" w:rsidRDefault="00A90898" w:rsidP="00A90898">
      <w:pPr>
        <w:pStyle w:val="TextoNormal"/>
      </w:pPr>
      <w:r>
        <w:t>En cuanto al art. 26.3 señala que no se obvia la existencia de otros servicios competentes, pues el mismo tenor del apartado 3 define la Red creada como una red de intercambio de información entre todas las autoridades competentes de control oficial. Y además, establece también que esa Red de coordinación estará relacionada con la de intercambio de información que cree la autoridad de la Unión Europea relativa al seguimiento del fraude alimentario. Se trata así de una participación y acceso a la información existente a disposición de todas las autoridades, estatales y autonómicas, con competencia en el control oficial, incluido el Servicio de Protección de la Naturaleza de la Guardia Civil, pero sin que en modo alguno se obvie a nadie, y a ninguna fuerza de control y prevención, de acceso a la información regulada en ese art. 26 de la Ley para la defensa de la calidad alimentaria.</w:t>
      </w:r>
    </w:p>
    <w:p w:rsidR="00A90898" w:rsidRDefault="00A90898" w:rsidP="00A90898">
      <w:pPr>
        <w:pStyle w:val="TextoNormal"/>
      </w:pPr>
    </w:p>
    <w:p w:rsidR="00A90898" w:rsidRDefault="00A90898" w:rsidP="00A90898">
      <w:pPr>
        <w:pStyle w:val="TextoNormal"/>
      </w:pPr>
      <w:r>
        <w:lastRenderedPageBreak/>
        <w:t>Respecto a la disposición transitoria única de la Ley para la defensa de la calidad alimentaria argumento que es lógica en su contenido.</w:t>
      </w:r>
    </w:p>
    <w:p w:rsidR="00A90898" w:rsidRDefault="00A90898" w:rsidP="00A90898">
      <w:pPr>
        <w:pStyle w:val="TextoNormal"/>
      </w:pPr>
    </w:p>
    <w:p w:rsidR="00A90898" w:rsidRDefault="00A90898" w:rsidP="00A90898">
      <w:pPr>
        <w:pStyle w:val="TextoNormal"/>
      </w:pPr>
      <w:r>
        <w:t>Por último, el Abogado del Estado alude a que la demanda efectúa también una impugnación general de los mismos preceptos de la Ley para la defensa de la calidad alimentaria recurridos, a excepción del art. 26.3, desde otra perspectiva general y complementaria, esgrimiendo la parte recurrente, como argumento común denominador, la supuestamente indebida ejecución por el Estado del art. 55 de Reglamento (CE) núm. 882-2004, del Parlamento Europeo y del Consejo, de 29 de abril de 2004, sobre los controles efectuados para garantizar la verificación del cumplimiento de la legislación en materia de piensos y alimentos compuestos y la normativa sobre salud animal, en lo que a la calidad alimentaria pueda afectar, precepto que impone a los Estados miembros el establecimiento de sanciones eficaces, proporcionadas y disuasorias en esa materia. Reitera al respecto la competencia estatal para dictar la norma, señalando que, presupuesta dicha competencia estatal para aprobar las bases de la ordenación de la economía en el subsector o materia a la que afecta la Ley impugnada, y que nos hallamos en el marco conceptual de las bases, la ejecución, en el ámbito de esta misma materia, de las normas del derecho europeo comunitario, que inciden sobre ella, es consecuentemente competencia del Estado, en tanto que éste se ha mantenido dentro de los límites de su competencia básica al establecer el régimen jurídico sancionatorio de la Ley para la defensa de la calidad alimentaria.</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2 de noviembre de 2016, se señaló para deliberación y votación de la presente Sentencia el día 3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presente resolución ha de resolver el recurso de inconstitucionalidad planteado por el Gobierno Vasco contra los arts. 12, 13, 14, 15, 17, 19, 20, 21, 22, 23, 24, 26 y disposiciones adicional primera y transitoria única de la Ley 28/2015, de 30 de julio, para la defensa de la calidad alimentaria.</w:t>
      </w:r>
    </w:p>
    <w:p w:rsidR="00A90898" w:rsidRDefault="00A90898" w:rsidP="00A90898">
      <w:pPr>
        <w:pStyle w:val="TextoNormal"/>
      </w:pPr>
    </w:p>
    <w:p w:rsidR="00A90898" w:rsidRDefault="00A90898" w:rsidP="00A90898">
      <w:pPr>
        <w:pStyle w:val="TextoNormal"/>
      </w:pPr>
      <w:r>
        <w:t>Como ha quedado expuesto en los antecedentes, el recurso se fundamenta en la consideración de que los preceptos impugnados se extralimitan de las competencias estatales del art. 149.1.13 CE y vulneran con ello el art. 10.9 del Estatuto de Autonomía del País Vasco que atribuye a la Comunidad Autónoma competencia exclusiva en materia de agricultura y ganadería, de acuerdo con la ordenación general de la economía. Por su parte el Abogado del Estado rechaza la vulneración denunciada y considera que la Ley para la defensa de la calidad alimentaria encuentra adecuado fundamento en el art. 149.1.13 CE.</w:t>
      </w:r>
    </w:p>
    <w:p w:rsidR="00A90898" w:rsidRDefault="00A90898" w:rsidP="00A90898">
      <w:pPr>
        <w:pStyle w:val="TextoNormal"/>
      </w:pPr>
    </w:p>
    <w:p w:rsidR="00A90898" w:rsidRDefault="00A90898" w:rsidP="00A90898">
      <w:pPr>
        <w:pStyle w:val="TextoNormal"/>
      </w:pPr>
      <w:r w:rsidRPr="00A90898">
        <w:rPr>
          <w:rStyle w:val="NumeroAFNegritaCaracter"/>
        </w:rPr>
        <w:t>2</w:t>
      </w:r>
      <w:r>
        <w:t>. La Ley para la defensa de la calidad alimentaria ha sido ya objeto de examen en la STC 142/2016, de 21 de julio, resolutoria del recurso de inconstitucionalidad núm. 6014-2015, interpuesto por la Generalitat de Cataluña. La indicada Sentencia cobra relevancia en el presente proceso bajo los siguientes puntos de vista:</w:t>
      </w:r>
    </w:p>
    <w:p w:rsidR="00A90898" w:rsidRDefault="00A90898" w:rsidP="00A90898">
      <w:pPr>
        <w:pStyle w:val="TextoNormal"/>
      </w:pPr>
    </w:p>
    <w:p w:rsidR="00A90898" w:rsidRDefault="00A90898" w:rsidP="00A90898">
      <w:pPr>
        <w:pStyle w:val="TextoNormal"/>
      </w:pPr>
      <w:r>
        <w:t xml:space="preserve">a) El presente recurso impugna algunas previsiones que la STC 142/2016 ha declarado ya inconstitucionales y nulas. Es el caso de los preceptos siguientes: el inciso “de acuerdo con la tipificación de infracciones realizada en este título” del art. 12.1; los arts. 13, 14 y 15; </w:t>
      </w:r>
      <w:r>
        <w:lastRenderedPageBreak/>
        <w:t>el inciso “en la presente ley” del art. 17.l; el segundo párrafo del art. 19.l; el párrafo cuarto del art. 22; el inciso “durante un plazo de cinco años” del art. 23.2; los apartados 2, 3 y 4 de la disposición adicional primera; el inciso “excepto los artículos 15 y 16, que seguirán aplicándose” de la disposición transitoria única, apartado 1 y el apartado 2 de la misma disposición transitoria única.</w:t>
      </w:r>
    </w:p>
    <w:p w:rsidR="00A90898" w:rsidRDefault="00A90898" w:rsidP="00A90898">
      <w:pPr>
        <w:pStyle w:val="TextoNormal"/>
      </w:pPr>
    </w:p>
    <w:p w:rsidR="00A90898" w:rsidRDefault="00A90898" w:rsidP="00A90898">
      <w:pPr>
        <w:pStyle w:val="TextoNormal"/>
      </w:pPr>
      <w:r>
        <w:t>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los preceptos que se han declarado ya inconstitucionales y nulos en la STC 142/2016.</w:t>
      </w:r>
    </w:p>
    <w:p w:rsidR="00A90898" w:rsidRDefault="00A90898" w:rsidP="00A90898">
      <w:pPr>
        <w:pStyle w:val="TextoNormal"/>
      </w:pPr>
    </w:p>
    <w:p w:rsidR="00A90898" w:rsidRDefault="00A90898" w:rsidP="00A90898">
      <w:pPr>
        <w:pStyle w:val="TextoNormal"/>
      </w:pPr>
      <w:r>
        <w:t>b) Ambos recursos de inconstitucionalidad formulan reproches y suscitan controversias competenciales muy similares, en términos generales, por lo que la doctrina de la Sentencia resolutoria del primero sirve para responder a buena parte de las impugnaciones aún subsistentes del segundo. De acuerdo con una pauta no infrecuente [STC 111/2016, de 9 de junio, FJ 2 b) y las que allí se citan] cabe dar aquí por reproducidos los fundamentos jurídicos que la STC 142/2016 dedica a la presentación de la Ley para la defensa de la calidad alimentaria (FJ 2) y al encuadramiento de la controversia competencial y su relación con la competencia para establecer el régimen sancionador sustantivo (FFJJ 3 y 4).</w:t>
      </w:r>
    </w:p>
    <w:p w:rsidR="00A90898" w:rsidRDefault="00A90898" w:rsidP="00A90898">
      <w:pPr>
        <w:pStyle w:val="TextoNormal"/>
      </w:pPr>
    </w:p>
    <w:p w:rsidR="00A90898" w:rsidRDefault="00A90898" w:rsidP="00A90898">
      <w:pPr>
        <w:pStyle w:val="TextoNormal"/>
      </w:pPr>
      <w:r>
        <w:t>c) A este respecto, hay que señalar, en particular, que la STC 142/2016 desestimó impugnaciones formuladas entonces por la Generalidad de Cataluña que el presente recurso plantea en términos análogos; se refieren a los mismos preceptos y se basan en los mismos motivos. A la vista de esta coincidencia objetiva entre los dos recursos de inconstitucionalidad, de acuerdo con la doctrina constitucional (STC 172/1998, de 23 de julio, FJ 2), cabe desestimar algunas de las impugnaciones por remisión a la STC 142/2016, lo que nos exime de reproducirla, siquiera en extracto. Es el caso del artículo 19, primer párrafo del apartado 1 y apartado 2, para el que basta la remisión al fundamento jurídico 6 de la meritada Sentencia; los artículos 20 y, por conexión, 12.2, cuya impugnación se desestima en el fundamento jurídico 7; los párrafos primero, segundo y tercero del artículo 22, a los que se refiere el fundamento jurídico 8; el artículo 23, con la excepción del inciso final del apartado 2 “durante un plazo de cinco años”, examinado en el fundamento jurídico 9; el artículo 24, examinado en el fundamento jurídico 10; la disposición adicional primera, apartados 1, 5 y 6, en los términos del fundamento jurídico 11 y la previsión de un futuro desarrollo reglamentario de la Ley para la defensa de la calidad alimentaria que se anuncia en la disposición transitoria única, al que se refiere el fundamento jurídico 12.</w:t>
      </w:r>
    </w:p>
    <w:p w:rsidR="00A90898" w:rsidRDefault="00A90898" w:rsidP="00A90898">
      <w:pPr>
        <w:pStyle w:val="TextoNormal"/>
      </w:pPr>
    </w:p>
    <w:p w:rsidR="00A90898" w:rsidRDefault="00A90898" w:rsidP="00A90898">
      <w:pPr>
        <w:pStyle w:val="TextoNormal"/>
      </w:pPr>
      <w:r>
        <w:t>d) Finalmente, la remisión al fundamento jurídico 4 de la STC 142/2016 basta para descartar la queja global que se formula a todos los preceptos impugnados, con la excepción del art. 26.3, relacionada con lo que se considera indebida ejecución por el Estado de la normativa comunitaria en la materia.</w:t>
      </w:r>
    </w:p>
    <w:p w:rsidR="00A90898" w:rsidRDefault="00A90898" w:rsidP="00A90898">
      <w:pPr>
        <w:pStyle w:val="TextoNormal"/>
      </w:pPr>
    </w:p>
    <w:p w:rsidR="00A90898" w:rsidRDefault="00A90898" w:rsidP="00A90898">
      <w:pPr>
        <w:pStyle w:val="TextoNormal"/>
      </w:pPr>
      <w:r w:rsidRPr="00A90898">
        <w:rPr>
          <w:rStyle w:val="NumeroAFNegritaCaracter"/>
        </w:rPr>
        <w:t>3</w:t>
      </w:r>
      <w:r>
        <w:t>. Aún subsisten las impugnaciones del presente recurso a los apartados 2 y 3 del art. 17, el art. 21 y el art. 26.3 de la Ley para la defensa de la calidad alimentaria, cuyo enjuiciamiento se aborda a continuación.</w:t>
      </w:r>
    </w:p>
    <w:p w:rsidR="00A90898" w:rsidRDefault="00A90898" w:rsidP="00A90898">
      <w:pPr>
        <w:pStyle w:val="TextoNormal"/>
      </w:pPr>
    </w:p>
    <w:p w:rsidR="00A90898" w:rsidRDefault="00A90898" w:rsidP="00A90898">
      <w:pPr>
        <w:pStyle w:val="TextoNormal"/>
      </w:pPr>
      <w:r>
        <w:lastRenderedPageBreak/>
        <w:t>a) El art. 17 lleva por título “Responsabilidad por las infracciones” y sus apartados 2 y 3 prescriben lo siguiente:</w:t>
      </w:r>
    </w:p>
    <w:p w:rsidR="00A90898" w:rsidRDefault="00A90898" w:rsidP="00A90898">
      <w:pPr>
        <w:pStyle w:val="TextoNormal"/>
      </w:pPr>
    </w:p>
    <w:p w:rsidR="00A90898" w:rsidRDefault="00A90898" w:rsidP="00A90898">
      <w:pPr>
        <w:pStyle w:val="TextoNormal"/>
      </w:pPr>
      <w:r>
        <w:t>“2. Salvo que la normativa de la Unión Europea prevea un régimen diferente, de las infracciones en productos envasados serán responsables las firmas o razones sociales, incluido el distribuidor, que figuren en la etiqueta, bien nominalmente o bien mediante cualquier indicación que permita su identificación cierta. Se exceptúan los casos en que se demuestre falsificación o mala conservación del producto por el tenedor, siempre que se especifiquen en el etiquetado las condiciones de conservación.</w:t>
      </w:r>
    </w:p>
    <w:p w:rsidR="00A90898" w:rsidRDefault="00A90898" w:rsidP="00A90898">
      <w:pPr>
        <w:pStyle w:val="TextoNormal"/>
      </w:pPr>
    </w:p>
    <w:p w:rsidR="00A90898" w:rsidRDefault="00A90898" w:rsidP="00A90898">
      <w:pPr>
        <w:pStyle w:val="TextoNormal"/>
      </w:pPr>
      <w:r>
        <w:t>Asimismo, será responsable solidario el elaborador, fabricante o envasador y el distribuidor que no figure en la etiqueta si se prueba que conocía la infracción cometida y que prestó su consentimiento.</w:t>
      </w:r>
    </w:p>
    <w:p w:rsidR="00A90898" w:rsidRDefault="00A90898" w:rsidP="00A90898">
      <w:pPr>
        <w:pStyle w:val="TextoNormal"/>
      </w:pPr>
    </w:p>
    <w:p w:rsidR="00A90898" w:rsidRDefault="00A90898" w:rsidP="00A90898">
      <w:pPr>
        <w:pStyle w:val="TextoNormal"/>
      </w:pPr>
      <w:r>
        <w:t>En el caso de que se hayan falsificado las etiquetas, la responsabilidad corresponderá al falsificador y a las personas que comercialicen los productos a sabiendas de la falsificación.</w:t>
      </w:r>
    </w:p>
    <w:p w:rsidR="00A90898" w:rsidRDefault="00A90898" w:rsidP="00A90898">
      <w:pPr>
        <w:pStyle w:val="TextoNormal"/>
      </w:pPr>
    </w:p>
    <w:p w:rsidR="00A90898" w:rsidRDefault="00A90898" w:rsidP="00A90898">
      <w:pPr>
        <w:pStyle w:val="TextoNormal"/>
      </w:pPr>
      <w:r>
        <w:t>3. De las infracciones en productos a granel, o envasados sin etiqueta, o cuando en la etiqueta no figure ninguna firma o razón social, será responsable su tenedor, excepto cuando se pueda identificar de manera cierta la responsabilidad de un tenedor anterior, y sin perjuicio de la responsabilidad que corresponda al actual tenedor, incluido el distribuidor.”</w:t>
      </w:r>
    </w:p>
    <w:p w:rsidR="00A90898" w:rsidRDefault="00A90898" w:rsidP="00A90898">
      <w:pPr>
        <w:pStyle w:val="TextoNormal"/>
      </w:pPr>
    </w:p>
    <w:p w:rsidR="00A90898" w:rsidRDefault="00A90898" w:rsidP="00A90898">
      <w:pPr>
        <w:pStyle w:val="TextoNormal"/>
      </w:pPr>
      <w:r>
        <w:t>La impugnación de estos dos apartados debe ser desestimada. La competencia que ostenta el Estado para regular esta materia con carácter básico le faculta para regular, con ese mismo carácter, el régimen sancionador. Ello conlleva, ineludiblemente, la potestad para establecer quiénes han de responder por las infracciones que deriven de dicho régimen [en ese sentido, STC 149/1991, de 4 de julio, FJ 6 b)]. Además, en cuanto el precepto regula los distintos sujetos responsables de las infracciones, su regulación tiene cabida en el régimen sancionador básico de la Ley para la defensa de la calidad alimentaria, en tanto que aplica a diferentes sujetos, operadores del sector alimentario, el principio general de la responsabilidad que deriva de los arts. 130 de la Ley 30/1992, de 26 de noviembre, de régimen jurídico de las Administraciones públicas y del procedimiento administrativo común, y 28 de la Ley 40/2015, de 1 de octubre, de régimen jurídico del sector público, que ha entrado en vigor el 2 de octubre de 2016.</w:t>
      </w:r>
    </w:p>
    <w:p w:rsidR="00A90898" w:rsidRDefault="00A90898" w:rsidP="00A90898">
      <w:pPr>
        <w:pStyle w:val="TextoNormal"/>
      </w:pPr>
    </w:p>
    <w:p w:rsidR="00A90898" w:rsidRDefault="00A90898" w:rsidP="00A90898">
      <w:pPr>
        <w:pStyle w:val="TextoNormal"/>
      </w:pPr>
      <w:r>
        <w:t>b) El art. 21 regula la graduación de las sanciones en los siguientes términos:</w:t>
      </w:r>
    </w:p>
    <w:p w:rsidR="00A90898" w:rsidRDefault="00A90898" w:rsidP="00A90898">
      <w:pPr>
        <w:pStyle w:val="TextoNormal"/>
      </w:pPr>
    </w:p>
    <w:p w:rsidR="00A90898" w:rsidRDefault="00A90898" w:rsidP="00A90898">
      <w:pPr>
        <w:pStyle w:val="TextoNormal"/>
      </w:pPr>
      <w:r>
        <w:t>“Para la determinación concreta de la sanción que se imponga, entre las asignadas a cada tipo de infracción, se tomarán en consideración los siguientes criterios:</w:t>
      </w:r>
    </w:p>
    <w:p w:rsidR="00A90898" w:rsidRDefault="00A90898" w:rsidP="00A90898">
      <w:pPr>
        <w:pStyle w:val="TextoNormal"/>
      </w:pPr>
    </w:p>
    <w:p w:rsidR="00A90898" w:rsidRDefault="00A90898" w:rsidP="00A90898">
      <w:pPr>
        <w:pStyle w:val="TextoNormal"/>
      </w:pPr>
      <w:r>
        <w:t>i) La existencia de intencionalidad o de simple negligencia.</w:t>
      </w:r>
    </w:p>
    <w:p w:rsidR="00A90898" w:rsidRDefault="00A90898" w:rsidP="00A90898">
      <w:pPr>
        <w:pStyle w:val="TextoNormal"/>
      </w:pPr>
    </w:p>
    <w:p w:rsidR="00A90898" w:rsidRDefault="00A90898" w:rsidP="00A90898">
      <w:pPr>
        <w:pStyle w:val="TextoNormal"/>
      </w:pPr>
      <w:r>
        <w:t>ii) La concurrencia de varias irregularidades o infracciones que se sancionen en el mismo procedimiento.</w:t>
      </w:r>
    </w:p>
    <w:p w:rsidR="00A90898" w:rsidRDefault="00A90898" w:rsidP="00A90898">
      <w:pPr>
        <w:pStyle w:val="TextoNormal"/>
      </w:pPr>
    </w:p>
    <w:p w:rsidR="00A90898" w:rsidRDefault="00A90898" w:rsidP="00A90898">
      <w:pPr>
        <w:pStyle w:val="TextoNormal"/>
      </w:pPr>
      <w:r>
        <w:t xml:space="preserve">iii) La naturaleza de los perjuicios causados; en particular, el efecto perjudicial que la infracción hubiese podido producir sobre los intereses económicos de los consumidores, los </w:t>
      </w:r>
      <w:r>
        <w:lastRenderedPageBreak/>
        <w:t>precios, el consumo o, en su caso, el prestigio de las figuras de protección de la calidad diferenciada.</w:t>
      </w:r>
    </w:p>
    <w:p w:rsidR="00A90898" w:rsidRDefault="00A90898" w:rsidP="00A90898">
      <w:pPr>
        <w:pStyle w:val="TextoNormal"/>
      </w:pPr>
    </w:p>
    <w:p w:rsidR="00A90898" w:rsidRDefault="00A90898" w:rsidP="00A90898">
      <w:pPr>
        <w:pStyle w:val="TextoNormal"/>
      </w:pPr>
      <w:r>
        <w:t>iv) El volumen de ventas o producción y la posición de la empresa infractora en el sector.</w:t>
      </w:r>
    </w:p>
    <w:p w:rsidR="00A90898" w:rsidRDefault="00A90898" w:rsidP="00A90898">
      <w:pPr>
        <w:pStyle w:val="TextoNormal"/>
      </w:pPr>
    </w:p>
    <w:p w:rsidR="00A90898" w:rsidRDefault="00A90898" w:rsidP="00A90898">
      <w:pPr>
        <w:pStyle w:val="TextoNormal"/>
      </w:pPr>
      <w:r>
        <w:t>v) El reconocimiento de la infracción y la subsanación de la falta o de los efectos de la misma antes de que se resuelva el correspondiente procedimiento sancionador.</w:t>
      </w:r>
    </w:p>
    <w:p w:rsidR="00A90898" w:rsidRDefault="00A90898" w:rsidP="00A90898">
      <w:pPr>
        <w:pStyle w:val="TextoNormal"/>
      </w:pPr>
    </w:p>
    <w:p w:rsidR="00A90898" w:rsidRDefault="00A90898" w:rsidP="00A90898">
      <w:pPr>
        <w:pStyle w:val="TextoNormal"/>
      </w:pPr>
      <w:r>
        <w:t>vi ) El volumen y valor de las mercancías o productos afectados por la infracción.”</w:t>
      </w:r>
    </w:p>
    <w:p w:rsidR="00A90898" w:rsidRDefault="00A90898" w:rsidP="00A90898">
      <w:pPr>
        <w:pStyle w:val="TextoNormal"/>
      </w:pPr>
    </w:p>
    <w:p w:rsidR="00A90898" w:rsidRDefault="00A90898" w:rsidP="00A90898">
      <w:pPr>
        <w:pStyle w:val="TextoNormal"/>
      </w:pPr>
      <w:r>
        <w:t>El carácter de condiciones básicas de los criterios para la graduación de las sanciones ha sido declarado en diversas ocasiones por este Tribunal [SSTC 87/1985, de 16 de julio, FJ 8; 102/1995, de 26 de junio, FJ 32, y 124/2003, de 19 de junio, FJ 8 a)], dada su vinculación a las exigencias derivadas del art. 149.1.1 CE, que apoderan al Estado para fijar unos principios que eviten divergencias irrazonables o desproporcionadas entre las distintas regulaciones autonómicas. En aplicación de dicha doctrina, este precepto regula un esquema básico respecto a los criterios de graduación de las sanciones al que ha de atenerse el ejercicio de la potestad sancionadora de las Comunidades Autónomas, y que debe ser de aplicación en todo el territorio del Estado, sin perjuicio de que la legislación sancionadora que pueda establecer cada Comunidad Autónoma module tipos y sanciones en el marco de dicha norma estatal.</w:t>
      </w:r>
    </w:p>
    <w:p w:rsidR="00A90898" w:rsidRDefault="00A90898" w:rsidP="00A90898">
      <w:pPr>
        <w:pStyle w:val="TextoNormal"/>
      </w:pPr>
    </w:p>
    <w:p w:rsidR="00A90898" w:rsidRDefault="00A90898" w:rsidP="00A90898">
      <w:pPr>
        <w:pStyle w:val="TextoNormal"/>
      </w:pPr>
      <w:r>
        <w:t>Consecuentemente, la impugnación del art. 21 debe ser desestimada.</w:t>
      </w:r>
    </w:p>
    <w:p w:rsidR="00A90898" w:rsidRDefault="00A90898" w:rsidP="00A90898">
      <w:pPr>
        <w:pStyle w:val="TextoNormal"/>
      </w:pPr>
    </w:p>
    <w:p w:rsidR="00A90898" w:rsidRDefault="00A90898" w:rsidP="00A90898">
      <w:pPr>
        <w:pStyle w:val="TextoNormal"/>
      </w:pPr>
      <w:r>
        <w:t>c) El art. 26.3 dispone:</w:t>
      </w:r>
    </w:p>
    <w:p w:rsidR="00A90898" w:rsidRDefault="00A90898" w:rsidP="00A90898">
      <w:pPr>
        <w:pStyle w:val="TextoNormal"/>
      </w:pPr>
    </w:p>
    <w:p w:rsidR="00A90898" w:rsidRDefault="00A90898" w:rsidP="00A90898">
      <w:pPr>
        <w:pStyle w:val="TextoNormal"/>
      </w:pPr>
      <w:r>
        <w:t>“Se establecerá una Red de Intercambio de Información de Calidad Alimentaria (RIICA) entre todas las autoridades competentes de control oficial, incluido el servicio de Protección de la Naturaleza de la Guardia Civil, con el fin de disponer de los instrumentos idóneos para gestionar cualquier incidencia en el ámbito de la calidad, con la eficacia y con la agilidad requerida en este tipo de actuaciones en todo el territorio nacional. Esta Red de coordinación estará relacionada con la Red de intercambio de información que cree la autoridad de la Unión Europea relativa al seguimiento del fraude alimentario.”</w:t>
      </w:r>
    </w:p>
    <w:p w:rsidR="00A90898" w:rsidRDefault="00A90898" w:rsidP="00A90898">
      <w:pPr>
        <w:pStyle w:val="TextoNormal"/>
      </w:pPr>
    </w:p>
    <w:p w:rsidR="00A90898" w:rsidRDefault="00A90898" w:rsidP="00A90898">
      <w:pPr>
        <w:pStyle w:val="TextoNormal"/>
      </w:pPr>
      <w:r>
        <w:t>El art. 26 concreta para el ámbito de la calidad alimentaria una de las manifestaciones específicas del principio de cooperación entre Administraciones públicas como es el relativo al intercambio de información. Entre otras medidas prevé el establecimiento de una Red de intercambio de información entre todas las autoridades competentes de control oficial, red que, además, se relaciona con la creada por las autoridades comunitarias con una finalidad similar.</w:t>
      </w:r>
    </w:p>
    <w:p w:rsidR="00A90898" w:rsidRDefault="00A90898" w:rsidP="00A90898">
      <w:pPr>
        <w:pStyle w:val="TextoNormal"/>
      </w:pPr>
    </w:p>
    <w:p w:rsidR="00A90898" w:rsidRDefault="00A90898" w:rsidP="00A90898">
      <w:pPr>
        <w:pStyle w:val="TextoNormal"/>
      </w:pPr>
      <w:r>
        <w:t>El Letrado del Parlamento Vasco considera que la norma excluye de dicha red a los servicios policiales autonómicos que pueden tener funciones similares a las del Servicio de Protección de la Naturaleza de la Guardia Civil, vulnerando en concreto el art. 17 del Estatuto de Autonomía del País Vasco (EAPV) que regula las competencias del País Vasco en materia de policía autónoma.</w:t>
      </w:r>
    </w:p>
    <w:p w:rsidR="00A90898" w:rsidRDefault="00A90898" w:rsidP="00A90898">
      <w:pPr>
        <w:pStyle w:val="TextoNormal"/>
      </w:pPr>
    </w:p>
    <w:p w:rsidR="00A90898" w:rsidRDefault="00A90898" w:rsidP="00A90898">
      <w:pPr>
        <w:pStyle w:val="TextoNormal"/>
      </w:pPr>
      <w:r>
        <w:lastRenderedPageBreak/>
        <w:t>Ninguna de ambas cuestiones puede ser apreciada. En primer lugar, debe descartarse la vulneración del art. 17 EAPV, pues la demanda parte de un entendimiento del precepto estatutario que no se corresponde con los términos en los que ha sido interpretado por la doctrina constitucional (por todas, STC 86/2014, de 29 de mayo, FJ 4 y las que allí se citan). En efecto, conforme a dicha doctrina, “la competencia del art. 17 EAPV, al aludir al ‘régimen de la policía autónoma’, se refiere a la función policial prestada por dicha policía autónoma, esto es, a la capacidad de los poderes autonómicos de organizar aquélla y ejercer las funciones o servicios policiales no estatales, así como las potestades administrativas que puedan ser consideradas como complementarias o inherentes a las tareas de prevención e investigación de hechos delictivos y persecución de los culpables, del mantenimiento del orden ciudadano y otras análogas que se atribuyen a los cuerpos y fuerzas de seguridad (por todas, STC 104/1989, FJ 4). Entendida en tales términos (competencias orgánicas y funcionales sobre la propia policía y potestades administrativas inherentes o complementarias a la actividad estrictamente policial) la competencia autonómica derivada de la creación de la policía de seguridad propia es la única excepción que el art. 149.1.29 CE contempla a la exclusiva competencia estatal sobre seguridad pública”. La conclusión es que “lo que no ha de confundirse es la competencia específica relativa al ‘régimen de la policía autónoma, para la protección de las personas y bienes y el mantenimiento del orden público dentro del territorio autónomo’, prevista en el art. 17 EAPV, que se proyecta sobre el sistema de autoridades territoriales y servicios policiales propios en los términos ya expuestos, con la más genérica y, por tanto, de contenido más amplio —en tanto que abarca un amplio espectro de actuaciones administrativas (STC 104/2005, FJ 5)— en materia de seguridad pública que el art. 149.1.29 CE reserva, con los límites ya examinados, al Estado”.</w:t>
      </w:r>
    </w:p>
    <w:p w:rsidR="00A90898" w:rsidRDefault="00A90898" w:rsidP="00A90898">
      <w:pPr>
        <w:pStyle w:val="TextoNormal"/>
      </w:pPr>
    </w:p>
    <w:p w:rsidR="00A90898" w:rsidRDefault="00A90898" w:rsidP="00A90898">
      <w:pPr>
        <w:pStyle w:val="TextoNormal"/>
      </w:pPr>
      <w:r>
        <w:t>Por otra parte, el planteamiento de la demanda tampoco puede compartirse desde un segundo punto de vista.</w:t>
      </w:r>
    </w:p>
    <w:p w:rsidR="00A90898" w:rsidRDefault="00A90898" w:rsidP="00A90898">
      <w:pPr>
        <w:pStyle w:val="TextoNormal"/>
      </w:pPr>
    </w:p>
    <w:p w:rsidR="00A90898" w:rsidRDefault="00A90898" w:rsidP="00A90898">
      <w:pPr>
        <w:pStyle w:val="TextoNormal"/>
      </w:pPr>
      <w:r>
        <w:t>La vulneración competencial que se denuncia no vendría dada por la inclusión del Servicio de Protección de la Naturaleza de la Guardia Civil entre las autoridades competentes de control oficial que participan en la Red de Intercambio de Información de Calidad Alimentaria, sino por lo que se entiende como una omisión debida a la falta de mención expresa a la policía autonómica. Sin embargo, como también ha argumentado el Abogado del Estado, el precepto no impide, como denuncia el recurso, “la existencia de otros servicios”, pues el mismo tenor del apartado impugnado define la Red creada como una red de intercambio de información entre las autoridades competentes de control oficial, en el marco de un mandato general de colaboración y cooperación en el ejercicio del control que deriva del art. 25.1 de la Ley para la defensa de la calidad alimentaria. Este último precepto específicamente dispone que las autoridades competentes en materia de inspección y control podrán solicitar el apoyo necesario de cualquier otra autoridad, de la Guardia Civil y, en su caso, de cualquier otra Fuerza y Cuerpo de Seguridad. En ese mismo sentido, el art. 7.1, relativo a las actuaciones de inspección en el control oficial, regula la posibilidad de solicitar el apoyo necesario de cualquier otra autoridad pública, así como de las Fuerzas y Cuerpos de Seguridad.</w:t>
      </w:r>
    </w:p>
    <w:p w:rsidR="00A90898" w:rsidRDefault="00A90898" w:rsidP="00A90898">
      <w:pPr>
        <w:pStyle w:val="TextoNormal"/>
      </w:pPr>
    </w:p>
    <w:p w:rsidR="00A90898" w:rsidRDefault="00A90898" w:rsidP="00A90898">
      <w:pPr>
        <w:pStyle w:val="TextoNormal"/>
      </w:pPr>
      <w:r>
        <w:t xml:space="preserve">Por tanto, en dicho marco de colaboración con las Fuerzas y Cuerpos de Seguridad, el acceso a la información a la que se refiere el art. 26.3 está a disposición de todas las autoridades, estatales y autonómicas, con competencia en el control oficial, incluido, esto es, no sólo, sino además de otros el Servicio de Protección de la Naturaleza de la Guardia Civil. </w:t>
      </w:r>
      <w:r>
        <w:lastRenderedPageBreak/>
        <w:t>De la falta de mención expresa a otras fuerzas policiales no puede inferirse exclusión alguna, por cuanto, al contrario, ya hemos comprobado que la Ley para la defensa de la calidad alimentaria contempla en varias de sus disposiciones la participación de las Fuerzas y Cuerpos de Seguridad en tareas relacionadas con la inspección y el control. Por tanto, es posible concluir que, como afirma el Abogado del Estado, “en modo alguno se obvia a nadie, y a ninguna fuerza de control y prevención, del acceso a la información regulada en ese art. 26 de la LDCA”.</w:t>
      </w:r>
    </w:p>
    <w:p w:rsidR="00A90898" w:rsidRDefault="00A90898" w:rsidP="00A90898">
      <w:pPr>
        <w:pStyle w:val="TextoNormal"/>
      </w:pPr>
    </w:p>
    <w:p w:rsidR="00A90898" w:rsidRDefault="00A90898" w:rsidP="00A90898">
      <w:pPr>
        <w:pStyle w:val="TextoNormal"/>
      </w:pPr>
      <w:r>
        <w:t>Conforme a lo que se ha expuesto, la impugnación del art. 26.3 ha de ser desestimada.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Declarar extinguida, por pérdida sobrevenida de objeto, la impugnación de los preceptos siguientes de la Ley 28/2015, de 30 de julio, para la defensa de la calidad alimentaria: el inciso “de acuerdo con la tipificación de infracciones realizada en este título” del art. 12.1; los arts. 13, 14 y 15; el inciso “en la presente ley” del art. 17. l.; el segundo párrafo del art. 19.l; el párrafo cuarto del art. 22; el inciso “durante un plazo de cinco años” del art. 23 .2; los apartados 2, 3 y 4 de la disposición adicional primera; el inciso “excepto los artículos 15 y 16, que seguirán aplicándose” de la disposición transitoria única, apartado 1 y el apartado 2 de la misma disposición transitoria única.</w:t>
      </w:r>
    </w:p>
    <w:p w:rsidR="00A90898" w:rsidRDefault="00A90898" w:rsidP="00A90898">
      <w:pPr>
        <w:pStyle w:val="TextoNormal"/>
      </w:pPr>
    </w:p>
    <w:p w:rsidR="00A90898" w:rsidRDefault="00A90898" w:rsidP="00A90898">
      <w:pPr>
        <w:pStyle w:val="TextoNormal"/>
      </w:pPr>
      <w:r>
        <w:t>2º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tres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6" w:name="SENTENCIA_2016_187"/>
      <w:r>
        <w:lastRenderedPageBreak/>
        <w:t>SENTENCIA 187/2016, de 14 de noviembre de 2016</w:t>
      </w:r>
    </w:p>
    <w:bookmarkEnd w:id="66"/>
    <w:p w:rsidR="00A90898" w:rsidRDefault="00A90898" w:rsidP="00A90898">
      <w:pPr>
        <w:pStyle w:val="TtuloResolucin"/>
      </w:pPr>
      <w:r>
        <w:t>Sala Segunda</w:t>
      </w:r>
    </w:p>
    <w:p w:rsidR="00A90898" w:rsidRDefault="00A90898" w:rsidP="00A90898">
      <w:pPr>
        <w:pStyle w:val="TtuloBOE"/>
      </w:pPr>
      <w:r>
        <w:t>(BOE núm. 311, de 26 de diciembre de 2016)</w:t>
      </w:r>
    </w:p>
    <w:p w:rsidR="00A90898" w:rsidRDefault="00A90898" w:rsidP="00A90898">
      <w:pPr>
        <w:pStyle w:val="TextoNormalCentrado"/>
      </w:pPr>
      <w:r>
        <w:t>ECLI:ES:TC:2016:187</w:t>
      </w:r>
    </w:p>
    <w:p w:rsidR="00A90898" w:rsidRDefault="00A90898" w:rsidP="00A90898">
      <w:pPr>
        <w:pStyle w:val="TextoNormalCentrado"/>
      </w:pPr>
    </w:p>
    <w:p w:rsidR="00A90898" w:rsidRDefault="00A90898" w:rsidP="00A90898">
      <w:pPr>
        <w:pStyle w:val="SntesisDescriptiva"/>
      </w:pPr>
      <w:r>
        <w:t>Cuestión de inconstitucionalidad 6600-2013.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w:t>
      </w:r>
    </w:p>
    <w:p w:rsidR="00A90898" w:rsidRDefault="00A90898" w:rsidP="00A90898">
      <w:pPr>
        <w:pStyle w:val="SntesisDescriptiva"/>
      </w:pPr>
    </w:p>
    <w:p w:rsidR="00A90898" w:rsidRDefault="00A90898" w:rsidP="00A90898">
      <w:pPr>
        <w:pStyle w:val="SntesisAnaltica"/>
      </w:pPr>
      <w:r>
        <w:t>Principios de igualdad y de interdicción de la arbitrariedad: STC 167/2016 (constitucionalidad del precepto legal que concreta la obligación de financiación por el sector eléctrico de planes de ahorro y eficiencia energética).</w:t>
      </w:r>
    </w:p>
    <w:p w:rsidR="00A90898" w:rsidRDefault="00A90898" w:rsidP="00A90898">
      <w:pPr>
        <w:pStyle w:val="SntesisAnaltica"/>
      </w:pPr>
    </w:p>
    <w:p w:rsidR="00A90898" w:rsidRDefault="00A90898" w:rsidP="00A90898">
      <w:pPr>
        <w:pStyle w:val="Extracto"/>
      </w:pPr>
      <w:r>
        <w:t>1.</w:t>
      </w:r>
      <w:r>
        <w:tab/>
        <w:t>Reitera la STC 167/2016, en relación con la doctrina sobre el principio de igualdad y de interdicción de la arbitrariedad en materia de financiación por el sector eléctrico de planes de ahorro y eficiencia energética, y la elección de determinadas empresas para paliar el déficit tarifario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6600-2013,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comparecido y formulado alegaciones el Abogado del Estado, el Fiscal General del Estado y la entidad “E.ON España, S.L.”.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Por escrito registrado en este Tribunal el 12 de noviembre de 2013, la Sección Cuarta de la Sala de lo Contencioso-Administrativo de la Audiencia Nacional remitió testimonio del Auto del 11 del mismo mes y año por el que acordaba plantear una cuestión de inconstitucionalidad en relación con la disposición adicional tercera del Real Decreto-ley 14/2010, de 23 de diciembre, por el que se establecen medidas urgentes para la corrección del déficit </w:t>
      </w:r>
      <w:r>
        <w:lastRenderedPageBreak/>
        <w:t>tarifario del sector eléctrico (en lo sucesivo, Real Decreto-ley 14/2010), por vulneración de los artículos 9.3 y 14 de la Constitución.</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la presente cuestión de inconstitucionalidad son los siguientes:</w:t>
      </w:r>
    </w:p>
    <w:p w:rsidR="00A90898" w:rsidRDefault="00A90898" w:rsidP="00A90898">
      <w:pPr>
        <w:pStyle w:val="TextoNormal"/>
      </w:pPr>
    </w:p>
    <w:p w:rsidR="00A90898" w:rsidRDefault="00A90898" w:rsidP="00A90898">
      <w:pPr>
        <w:pStyle w:val="TextoNormal"/>
      </w:pPr>
      <w:r>
        <w:t>a) El 13 de diciembre de 2011 la entidad Gas Natural SDG, S.A., interpuso un recurso contencioso-administrativo ante la Sala correspondiente de la Audiencia Nacional contra la Orden ITC/2844/2011, de 19 de octubre, por la que se regulan las transferencias de fondos con cargo a las empresas productoras de energía eléctrica y a los peajes de acceso de terceros a las instalaciones gasistas de la cuenta específica de la Comisión Nacional de Energía al Instituto para la Diversificación y el Ahorro de la Energía, en el año 2011, para la ejecución de las medidas del plan de acción 2008-2012 de la estrategia de ahorro y eficiencia energética en España 2004-2012 y los criterios para la ejecución de medidas contempladas en dicho plan, por entender que dicha disposición no era ajustada a Derecho.</w:t>
      </w:r>
    </w:p>
    <w:p w:rsidR="00A90898" w:rsidRDefault="00A90898" w:rsidP="00A90898">
      <w:pPr>
        <w:pStyle w:val="TextoNormal"/>
      </w:pPr>
    </w:p>
    <w:p w:rsidR="00A90898" w:rsidRDefault="00A90898" w:rsidP="00A90898">
      <w:pPr>
        <w:pStyle w:val="TextoNormal"/>
      </w:pPr>
      <w:r>
        <w:t>b) Concluidas las actuaciones, el 20 de junio de 2013, la Sección acordó, en aplicación de lo establecido en el art. 35 de la Ley Orgánica del Tribunal Constitucional (LOTC), con suspensión del plazo para dictar sentencia,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que “tiene dudas sobre la adecuación de la citada norma con los principios de interdicción de la arbitrariedad e igualdad establecidos en los arts. 9.3 y 14 de la Constitución, en concreto, si es conforme con las normas constitucionales indicadas el establecer que las cuantías destinadas a la financiación del plan de acción 2008-2012 se financiarán mediante la aportación de determinados porcentajes por un conjunto de empresas productoras o generadoras de electricidad en régimen ordinario nominalmente designadas”. Asimismo, se añadía que “la decisión de la cuestión planteada en el presente recurso depende de la validez de dicha disposición adicional tercera, por cuanto la Orden ITC/2844/2011, de 19 de octubre, objeto del mismo, simplemente concreta las cuantías de esos porcentajes en el año 2011 para cada una de las empresas obligadas y establece el procedimiento para su ingreso en la cuenta de la Comisión Nacional de la Energía”.</w:t>
      </w:r>
    </w:p>
    <w:p w:rsidR="00A90898" w:rsidRDefault="00A90898" w:rsidP="00A90898">
      <w:pPr>
        <w:pStyle w:val="TextoNormal"/>
      </w:pPr>
    </w:p>
    <w:p w:rsidR="00A90898" w:rsidRDefault="00A90898" w:rsidP="00A90898">
      <w:pPr>
        <w:pStyle w:val="TextoNormal"/>
      </w:pPr>
      <w:r>
        <w:t>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00A90898" w:rsidRDefault="00A90898" w:rsidP="00A90898">
      <w:pPr>
        <w:pStyle w:val="TextoNormal"/>
      </w:pPr>
    </w:p>
    <w:p w:rsidR="00A90898" w:rsidRDefault="00A90898" w:rsidP="00A90898">
      <w:pPr>
        <w:pStyle w:val="TextoNormal"/>
      </w:pPr>
      <w:r w:rsidRPr="00A90898">
        <w:rPr>
          <w:rStyle w:val="NumeroAFNegritaCaracter"/>
        </w:rPr>
        <w:t>3</w:t>
      </w:r>
      <w:r>
        <w:t>. El Auto de 11 de noviembre de 2013 de la Sección Cuarta de la Sala de lo Contencioso-Administrativo de la Audiencia Nacional presenta la cuestión en los siguientes términos:</w:t>
      </w:r>
    </w:p>
    <w:p w:rsidR="00A90898" w:rsidRDefault="00A90898" w:rsidP="00A90898">
      <w:pPr>
        <w:pStyle w:val="TextoNormal"/>
      </w:pPr>
    </w:p>
    <w:p w:rsidR="00A90898" w:rsidRDefault="00A90898" w:rsidP="00A90898">
      <w:pPr>
        <w:pStyle w:val="TextoNormal"/>
      </w:pPr>
      <w:r>
        <w:t xml:space="preserve">Comienza exponiendo los hechos que han dado lugar a la presente cuestión de inconstitucionalidad para formular, a continuación, los juicios de aplicabilidad y relevancia exigibles para su válido planteamiento. Así, el órgano promotor entiende que existe una norma </w:t>
      </w:r>
      <w:r>
        <w:lastRenderedPageBreak/>
        <w:t>con rango de ley aplicable al caso y que de su validez depende la resolución del litigio, concretamente, la disposición adicional tercera del Real Decreto-ley 14/2010, en desarrollo de la cual se había dictado la Orden ITC/2844/2011, cuyo artículo 2 determina las cuantías destinadas en el año 2011 a las actuaciones del plan con cargo a las empresas productoras de energía eléctrica (y a los peajes de acceso de terceros a las instalaciones gasistas, que no afectan directamente al presente caso).</w:t>
      </w:r>
    </w:p>
    <w:p w:rsidR="00A90898" w:rsidRDefault="00A90898" w:rsidP="00A90898">
      <w:pPr>
        <w:pStyle w:val="TextoNormal"/>
      </w:pPr>
    </w:p>
    <w:p w:rsidR="00A90898" w:rsidRDefault="00A90898" w:rsidP="00A90898">
      <w:pPr>
        <w:pStyle w:val="TextoNormal"/>
      </w:pPr>
      <w:r>
        <w:t>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teniendo el Real Decreto-ley 14/2010, fuerza de ley”. Asimismo, se pone de relieve que el recurso contencioso se interpone contra los artículos 1, 3 y 6.2 de la orden, si bien el núcleo del debate se centra en el artículo 2, ya que el artículo 1 describe el objeto de la orden, el 3 la liquidación y el 6.2 la aplicación y ejecución. En todo caso, afirma el Auto, “la suerte del litigio descansa sobre la obligación establecida en la disposición adicional tercera del Real Decreto-Ley 14/2010”, a la vista de lo cual la Sala entiende que se cumplen los requisitos de aplicabilidad y relevancia.</w:t>
      </w:r>
    </w:p>
    <w:p w:rsidR="00A90898" w:rsidRDefault="00A90898" w:rsidP="00A90898">
      <w:pPr>
        <w:pStyle w:val="TextoNormal"/>
      </w:pPr>
    </w:p>
    <w:p w:rsidR="00A90898" w:rsidRDefault="00A90898" w:rsidP="00A90898">
      <w:pPr>
        <w:pStyle w:val="TextoNormal"/>
      </w:pPr>
      <w:r>
        <w:t>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00A90898" w:rsidRDefault="00A90898" w:rsidP="00A90898">
      <w:pPr>
        <w:pStyle w:val="TextoNormal"/>
      </w:pPr>
    </w:p>
    <w:p w:rsidR="00A90898" w:rsidRDefault="00A90898" w:rsidP="00A90898">
      <w:pPr>
        <w:pStyle w:val="TextoNormal"/>
      </w:pPr>
      <w:r>
        <w:t>En cuanto a la primera de las cuestiones que formula la Audiencia Nacional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Y,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w:t>
      </w:r>
    </w:p>
    <w:p w:rsidR="00A90898" w:rsidRDefault="00A90898" w:rsidP="00A90898">
      <w:pPr>
        <w:pStyle w:val="TextoNormal"/>
      </w:pPr>
    </w:p>
    <w:p w:rsidR="00A90898" w:rsidRDefault="00A90898" w:rsidP="00A90898">
      <w:pPr>
        <w:pStyle w:val="TextoNormal"/>
      </w:pPr>
      <w:r>
        <w:lastRenderedPageBreak/>
        <w:t>La Sala no discute la legitimidad del legislador para establecer normas que orienten la política económica en un determinado sentido y que, con tal fin, pueda establecer tratamientos diferenciados, pero las argumentaciones que se dan con tal propósito no le parecen suficientes.</w:t>
      </w:r>
    </w:p>
    <w:p w:rsidR="00A90898" w:rsidRDefault="00A90898" w:rsidP="00A90898">
      <w:pPr>
        <w:pStyle w:val="TextoNormal"/>
      </w:pPr>
    </w:p>
    <w:p w:rsidR="00A90898" w:rsidRDefault="00A90898" w:rsidP="00A90898">
      <w:pPr>
        <w:pStyle w:val="TextoNormal"/>
      </w:pPr>
      <w:r>
        <w:t>En primer lugar, pone de relieve que el Real Decreto-ley 14/2010 justifica las medidas adoptadas en las nuevas condiciones económicas que han generado un escenario no previsto, por lo que se adoptan medidas con el fin de evitar que el déficit tarifario aumente sin control. Y,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nos parece tan razonable es que dicha medida justifique que la totalidad del coste de la financiación del plan de acción con cargo al sistema eléctrico, recaiga en exclusiva sobre las empresas generadoras en régimen ordinario”. Entre otras razones, alega que los beneficios del plan favorecen tanto a las empresas productoras en régimen especial como a las empresas productoras en régimen ordinario.</w:t>
      </w:r>
    </w:p>
    <w:p w:rsidR="00A90898" w:rsidRDefault="00A90898" w:rsidP="00A90898">
      <w:pPr>
        <w:pStyle w:val="TextoNormal"/>
      </w:pPr>
    </w:p>
    <w:p w:rsidR="00A90898" w:rsidRDefault="00A90898" w:rsidP="00A90898">
      <w:pPr>
        <w:pStyle w:val="TextoNormal"/>
      </w:pPr>
      <w:r>
        <w:t>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al Auto a concluir que los argumentos esgrimidos para justificar que las empresas de generación de electricidad en régimen ordinario abonen, en exclusiva, el coste de financiación del plan de ahorro no son convincentes, por lo que podría haberse vulnerado el principio de igualdad.</w:t>
      </w:r>
    </w:p>
    <w:p w:rsidR="00A90898" w:rsidRDefault="00A90898" w:rsidP="00A90898">
      <w:pPr>
        <w:pStyle w:val="TextoNormal"/>
      </w:pPr>
    </w:p>
    <w:p w:rsidR="00A90898" w:rsidRDefault="00A90898" w:rsidP="00A90898">
      <w:pPr>
        <w:pStyle w:val="TextoNormal"/>
      </w:pPr>
      <w:r>
        <w:t>A continuación, el Auto afirma que el Real Decreto-ley en cuestión no explica los criterios por los que ha seleccionado a determinadas empresas y analiza las razones aducidas por la Abogacía del Estado para excluir a determinadas entidades, una de las cuales es su escasa cuota de mercado. Acerca de esto, el órgano judicial sostiene que varias de las empresas excluidas tienen una cuota de mercado superior a las seleccionadas en la disposición cuestionada. En segundo lugar, a la Audiencia Nacional le resulta dudoso que se excluya a ciertas empresas por dedicarse, fundamentalmente, a la producción con energías renovables. Finalmente, el órgano promotor asevera que hay empresas de producción en régimen ordinario que la Administración no cita y que no están incluidas en la disposición analizada, respecto de las cuales nada se dice. En definitiva, la Audiencia Nacional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00A90898" w:rsidRDefault="00A90898" w:rsidP="00A90898">
      <w:pPr>
        <w:pStyle w:val="TextoNormal"/>
      </w:pPr>
    </w:p>
    <w:p w:rsidR="00A90898" w:rsidRDefault="00A90898" w:rsidP="00A90898">
      <w:pPr>
        <w:pStyle w:val="TextoNormal"/>
      </w:pPr>
      <w:r>
        <w:t xml:space="preserve">Finalmente, el Auto estima que la disposición adicional tercera también puede ser contraria al principio de interdicción de la arbitrariedad de los poderes públicos, planteándose en primer lugar si es razonable que la totalidad del coste recaiga sobre las empresas enumeradas en la disposición adicional tercera porque el plan de ahorro alcanza a varios sectores, entre los que se halla, sí, el eléctrico, pero dentro del cual se benefician no sólo las empresas </w:t>
      </w:r>
      <w:r>
        <w:lastRenderedPageBreak/>
        <w:t>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00A90898" w:rsidRDefault="00A90898" w:rsidP="00A90898">
      <w:pPr>
        <w:pStyle w:val="TextoNormal"/>
      </w:pPr>
    </w:p>
    <w:p w:rsidR="00A90898" w:rsidRDefault="00A90898" w:rsidP="00A90898">
      <w:pPr>
        <w:pStyle w:val="TextoNormal"/>
      </w:pPr>
      <w:r>
        <w:t>En segundo lugar, la Audiencia Nacional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que están obligadas, en virtud de dicho precepto, a financiar el déficit de la tarifa eléctrica y que tendrán, por tanto, una menor carga como consecuencia del reequilibrio del sistema al que contribuye la medida aquí analizada.</w:t>
      </w:r>
    </w:p>
    <w:p w:rsidR="00A90898" w:rsidRDefault="00A90898" w:rsidP="00A90898">
      <w:pPr>
        <w:pStyle w:val="TextoNormal"/>
      </w:pPr>
    </w:p>
    <w:p w:rsidR="00A90898" w:rsidRDefault="00A90898" w:rsidP="00A90898">
      <w:pPr>
        <w:pStyle w:val="TextoNormal"/>
      </w:pPr>
      <w:r>
        <w:t>Sin embargo, el órgano judicial promotor de la cuestión no considera convincentes las razones esgrimidas, debido a que no llega a indicarse en detalle cómo se han obtenido los porcentajes exigidos a cada entidad y porque el argumento de conexión con la disposición adicional vigésimo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00A90898" w:rsidRDefault="00A90898" w:rsidP="00A90898">
      <w:pPr>
        <w:pStyle w:val="TextoNormal"/>
      </w:pPr>
    </w:p>
    <w:p w:rsidR="00A90898" w:rsidRDefault="00A90898" w:rsidP="00A90898">
      <w:pPr>
        <w:pStyle w:val="TextoNormal"/>
      </w:pPr>
      <w:r>
        <w:t>Las anteriores consideraciones llevan al órgano judicial a reafirmarse en sus dudas de constitucionalidad y acordar, en consecuencia:</w:t>
      </w:r>
    </w:p>
    <w:p w:rsidR="00A90898" w:rsidRDefault="00A90898" w:rsidP="00A90898">
      <w:pPr>
        <w:pStyle w:val="TextoNormal"/>
      </w:pPr>
    </w:p>
    <w:p w:rsidR="00A90898" w:rsidRDefault="00A90898" w:rsidP="00A90898">
      <w:pPr>
        <w:pStyle w:val="TextoNormal"/>
      </w:pPr>
      <w:r>
        <w:t>“[P]lantear cuestión de inconstitucionalidad acerca de la disposición adicional tercera del Real Decreto-ley 14/2010, de 23 de diciembre, que establece medidas urgentes para la corrección del déficit tarifario del sector eléctrico, al dudar de la constitucionalidad de la norma por las siguientes razones:</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empresas productoras de electricidad en régimen ordinario con carácter exclusivo y frente a otras empresas productoras de electricidad.</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concretas empresas establecidas en la disposición y frente al resto de las empresas productoras de energía del sector.</w:t>
      </w:r>
    </w:p>
    <w:p w:rsidR="00A90898" w:rsidRDefault="00A90898" w:rsidP="00A90898">
      <w:pPr>
        <w:pStyle w:val="TextoNormal"/>
      </w:pPr>
    </w:p>
    <w:p w:rsidR="00A90898" w:rsidRDefault="00A90898" w:rsidP="00A90898">
      <w:pPr>
        <w:pStyle w:val="TextoNormal"/>
      </w:pPr>
      <w:r>
        <w:t>- Vulneración del art. 9.3 de la Constitución, por posible arbitrariedad en imponer que las empresas generadoras de electricidad en régimen ordinario abonen la totalidad del coste del plan de acción en el sector eléctrico y al no indicar cómo se han obtenido los porcentajes de los que debe responder cada una de las empresas.”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Por providencia del Pleno de 25 de febrero de 2014 se acordó admitir a trámite la presente cuestión, por posible vulneración de los arts. 9.3 y 14 CE; de conformidad con lo dispuesto en el artículo 10.1 c) LOTC, deferir a la Sala Segunda,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15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55, de 5 de marzo de 2014).</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con fecha 7 de marzo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12 de marzo de 2014.</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registrado el 20 de marzo de 2014, la representación procesal de E.ON España, S.L., solicitó que se le tuviera por personada y parte. Mediante diligencia de ordenación del 27 del mismo mes y año se acordó unir a las actuaciones el referido escrito, teniendo por personada a la entidad citada y concediéndole un plazo de 15 días para que formulara las alegaciones que estimara convenientes.</w:t>
      </w:r>
    </w:p>
    <w:p w:rsidR="00A90898" w:rsidRDefault="00A90898" w:rsidP="00A90898">
      <w:pPr>
        <w:pStyle w:val="TextoNormal"/>
      </w:pPr>
    </w:p>
    <w:p w:rsidR="00A90898" w:rsidRDefault="00A90898" w:rsidP="00A90898">
      <w:pPr>
        <w:pStyle w:val="TextoNormal"/>
      </w:pPr>
      <w:r w:rsidRPr="00A90898">
        <w:rPr>
          <w:rStyle w:val="NumeroAFNegritaCaracter"/>
        </w:rPr>
        <w:t>7</w:t>
      </w:r>
      <w:r>
        <w:t>. Las alegaciones presentadas por el Abogado del Estado, interesando la desestimación de la cuestión, fueron registradas en este Tribunal el 20 de marzo de 2014.</w:t>
      </w:r>
    </w:p>
    <w:p w:rsidR="00A90898" w:rsidRDefault="00A90898" w:rsidP="00A90898">
      <w:pPr>
        <w:pStyle w:val="TextoNormal"/>
      </w:pPr>
    </w:p>
    <w:p w:rsidR="00A90898" w:rsidRDefault="00A90898" w:rsidP="00A90898">
      <w:pPr>
        <w:pStyle w:val="TextoNormal"/>
      </w:pPr>
      <w:r>
        <w:t>En su escrito, el representante de la Administración del Estado califica la obligación recogida en la disposición adicional tercera del Real Decreto-ley 14/2010 como una prestación patrimonial de carácter público que ha sido establecida mediante una norma con rango de ley, en cumplimiento de lo previsto en el art. 31.3 CE. Y resalta la circunstancia de haber sido establecida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—afirma— no es causa en sí misma de inconstitucionalidad.</w:t>
      </w:r>
    </w:p>
    <w:p w:rsidR="00A90898" w:rsidRDefault="00A90898" w:rsidP="00A90898">
      <w:pPr>
        <w:pStyle w:val="TextoNormal"/>
      </w:pPr>
    </w:p>
    <w:p w:rsidR="00A90898" w:rsidRDefault="00A90898" w:rsidP="00A90898">
      <w:pPr>
        <w:pStyle w:val="TextoNormal"/>
      </w:pPr>
      <w: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w:t>
      </w:r>
      <w:r w:rsidRPr="00A90898">
        <w:rPr>
          <w:i/>
        </w:rPr>
        <w:t>status</w:t>
      </w:r>
      <w:r>
        <w:t xml:space="preserve">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00A90898" w:rsidRDefault="00A90898" w:rsidP="00A90898">
      <w:pPr>
        <w:pStyle w:val="TextoNormal"/>
      </w:pPr>
    </w:p>
    <w:p w:rsidR="00A90898" w:rsidRDefault="00A90898" w:rsidP="00A90898">
      <w:pPr>
        <w:pStyle w:val="TextoNormal"/>
      </w:pPr>
      <w:r>
        <w:lastRenderedPageBreak/>
        <w:t>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 lo que añade que el legislador no tiene obligación de expresar los motivos que le llevan a adoptar una determinada decisión, por lo que la falta de justificación expresa no debe considerarse generadora de arbitrariedad.</w:t>
      </w:r>
    </w:p>
    <w:p w:rsidR="00A90898" w:rsidRDefault="00A90898" w:rsidP="00A90898">
      <w:pPr>
        <w:pStyle w:val="TextoNormal"/>
      </w:pPr>
    </w:p>
    <w:p w:rsidR="00A90898" w:rsidRDefault="00A90898" w:rsidP="00A90898">
      <w:pPr>
        <w:pStyle w:val="TextoNormal"/>
      </w:pPr>
      <w:r>
        <w:t>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promotor de la cuestión cuando, en lo que califica como una “excesiva compartimentación”, separa el problema del déficit del sistema eléctrico y la financiación de los planes de ahorro energético, para concluir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00A90898" w:rsidRDefault="00A90898" w:rsidP="00A90898">
      <w:pPr>
        <w:pStyle w:val="TextoNormal"/>
      </w:pPr>
    </w:p>
    <w:p w:rsidR="00A90898" w:rsidRDefault="00A90898" w:rsidP="00A90898">
      <w:pPr>
        <w:pStyle w:val="TextoNormal"/>
      </w:pPr>
      <w:r>
        <w:t>En particular, considera que la norma enjuiciada “tiene su propia justificación y obedece a razones objetivas, se compartan o no”, en la medida en que la actividad de las compañías generadoras de régimen ordinario no es ajena al déficit tarifario, pues,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00A90898" w:rsidRDefault="00A90898" w:rsidP="00A90898">
      <w:pPr>
        <w:pStyle w:val="TextoNormal"/>
      </w:pPr>
    </w:p>
    <w:p w:rsidR="00A90898" w:rsidRDefault="00A90898" w:rsidP="00A90898">
      <w:pPr>
        <w:pStyle w:val="TextoNormal"/>
      </w:pPr>
      <w:r>
        <w:t>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vigésimo primera de la Ley 54/1997, sobre financiación del déficit de tarifa, para acabar, enlazando con sus primeras consideraciones, recordando la naturaleza legislativa del acto juzgado en este proceso, y que no se debe exigir al legislador una exposición detallada de las razones de su actividad reguladora. Con base en todo lo cual, interesa que se desestime la cuestión.</w:t>
      </w:r>
    </w:p>
    <w:p w:rsidR="00A90898" w:rsidRDefault="00A90898" w:rsidP="00A90898">
      <w:pPr>
        <w:pStyle w:val="TextoNormal"/>
      </w:pPr>
    </w:p>
    <w:p w:rsidR="00A90898" w:rsidRDefault="00A90898" w:rsidP="00A90898">
      <w:pPr>
        <w:pStyle w:val="TextoNormal"/>
      </w:pPr>
      <w:r w:rsidRPr="00A90898">
        <w:rPr>
          <w:rStyle w:val="NumeroAFNegritaCaracter"/>
        </w:rPr>
        <w:t>8</w:t>
      </w:r>
      <w:r>
        <w:t>. El Fiscal General del Estado presentó sus alegaciones el 4 de abril de 2014, en las que solicitó la desestimación de la cuestión de inconstitucionalidad, por los motivos que seguidamente se exponen.</w:t>
      </w:r>
    </w:p>
    <w:p w:rsidR="00A90898" w:rsidRDefault="00A90898" w:rsidP="00A90898">
      <w:pPr>
        <w:pStyle w:val="TextoNormal"/>
      </w:pPr>
    </w:p>
    <w:p w:rsidR="00A90898" w:rsidRDefault="00A90898" w:rsidP="00A90898">
      <w:pPr>
        <w:pStyle w:val="TextoNormal"/>
      </w:pPr>
      <w:r>
        <w:lastRenderedPageBreak/>
        <w:t>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la cual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00A90898" w:rsidRDefault="00A90898" w:rsidP="00A90898">
      <w:pPr>
        <w:pStyle w:val="TextoNormal"/>
      </w:pPr>
    </w:p>
    <w:p w:rsidR="00A90898" w:rsidRDefault="00A90898" w:rsidP="00A90898">
      <w:pPr>
        <w:pStyle w:val="TextoNormal"/>
      </w:pPr>
      <w:r>
        <w:t>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como es corregir el déficit tarifario mediante un esfuerzo adicional de todos los agentes del sector. Y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00A90898" w:rsidRDefault="00A90898" w:rsidP="00A90898">
      <w:pPr>
        <w:pStyle w:val="TextoNormal"/>
      </w:pPr>
    </w:p>
    <w:p w:rsidR="00A90898" w:rsidRDefault="00A90898" w:rsidP="00A90898">
      <w:pPr>
        <w:pStyle w:val="TextoNormal"/>
      </w:pPr>
      <w:r>
        <w:t xml:space="preserve">Respecto de la selección de determinadas empresas generadoras de régimen ordinario que hace la norma cuestionada, y haciéndose eco de las aclaraciones ofrecidas por la Abogacía del Estado en la contestación a la demanda del proceso </w:t>
      </w:r>
      <w:r w:rsidRPr="00A90898">
        <w:rPr>
          <w:i/>
        </w:rPr>
        <w:t>a quo</w:t>
      </w:r>
      <w:r>
        <w:t>,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00A90898" w:rsidRDefault="00A90898" w:rsidP="00A90898">
      <w:pPr>
        <w:pStyle w:val="TextoNormal"/>
      </w:pPr>
    </w:p>
    <w:p w:rsidR="00A90898" w:rsidRDefault="00A90898" w:rsidP="00A90898">
      <w:pPr>
        <w:pStyle w:val="TextoNormal"/>
      </w:pPr>
      <w:r>
        <w:t xml:space="preserve">Por último, en relación con los porcentajes de contribución a los planes de ahorro y eficiencia energética exigidos a cada entidad, y una vez acotado ya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w:t>
      </w:r>
      <w:r w:rsidRPr="00A90898">
        <w:rPr>
          <w:i/>
        </w:rPr>
        <w:t>a quo</w:t>
      </w:r>
      <w:r>
        <w:t>, según las cuales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00A90898" w:rsidRDefault="00A90898" w:rsidP="00A90898">
      <w:pPr>
        <w:pStyle w:val="TextoNormal"/>
      </w:pPr>
    </w:p>
    <w:p w:rsidR="00A90898" w:rsidRDefault="00A90898" w:rsidP="00A90898">
      <w:pPr>
        <w:pStyle w:val="TextoNormal"/>
      </w:pPr>
      <w:r>
        <w:t>Con base en lo anterior, el Fiscal General del Estado solicita que se desestime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9</w:t>
      </w:r>
      <w:r>
        <w:t>. La representación procesal de E.ON España, S.L., cumplimentó el día 23 de abril de 2014 el trámite de alegaciones conferido, interesando la estimación de la cuestión, por las razones que se resumen a continuación.</w:t>
      </w:r>
    </w:p>
    <w:p w:rsidR="00A90898" w:rsidRDefault="00A90898" w:rsidP="00A90898">
      <w:pPr>
        <w:pStyle w:val="TextoNormal"/>
      </w:pPr>
    </w:p>
    <w:p w:rsidR="00A90898" w:rsidRDefault="00A90898" w:rsidP="00A90898">
      <w:pPr>
        <w:pStyle w:val="TextoNormal"/>
      </w:pPr>
      <w:r>
        <w:t>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lo cual argumenta que las órdenes ministeriales de desarrollo de la disposición adicional tercera se aprobaron meses y, en algunos casos, años después de la aprobación del Real Decreto-ley 14/2010.</w:t>
      </w:r>
    </w:p>
    <w:p w:rsidR="00A90898" w:rsidRDefault="00A90898" w:rsidP="00A90898">
      <w:pPr>
        <w:pStyle w:val="TextoNormal"/>
      </w:pPr>
    </w:p>
    <w:p w:rsidR="00A90898" w:rsidRDefault="00A90898" w:rsidP="00A90898">
      <w:pPr>
        <w:pStyle w:val="TextoNormal"/>
      </w:pPr>
      <w:r>
        <w:t>A continuación, aborda la infracción de los arts. 9.3 y 14 CE, para coincidir con los argumentos del Auto de planteamiento sobre el carácter discriminatorio y arbitrario de la disposición objetada.</w:t>
      </w:r>
    </w:p>
    <w:p w:rsidR="00A90898" w:rsidRDefault="00A90898" w:rsidP="00A90898">
      <w:pPr>
        <w:pStyle w:val="TextoNormal"/>
      </w:pPr>
    </w:p>
    <w:p w:rsidR="00A90898" w:rsidRDefault="00A90898" w:rsidP="00A90898">
      <w:pPr>
        <w:pStyle w:val="TextoNormal"/>
      </w:pPr>
      <w:r>
        <w:t>La entidad E.ON España, S.L., estima que se ha vulnerado, asimismo, el principio de reserva de ley del art. 31.3 CE porque se ha impuesto una prestación patrimonial de carácter público sin definir, siquiera indiciariamente, los elementos esenciales de la misma, a lo que se suma que se ha seguido un instrumento normativo, el Real Decreto-ley, no solo faltando el presupuesto de la “extraordinaria y urgente necesidad”, sino excediendo los límites materiales previstos para dicha figura, con la que no puede afectarse al deber de contribuir, como aquí se ha hecho.</w:t>
      </w:r>
    </w:p>
    <w:p w:rsidR="00A90898" w:rsidRDefault="00A90898" w:rsidP="00A90898">
      <w:pPr>
        <w:pStyle w:val="TextoNormal"/>
      </w:pPr>
    </w:p>
    <w:p w:rsidR="00A90898" w:rsidRDefault="00A90898" w:rsidP="00A90898">
      <w:pPr>
        <w:pStyle w:val="TextoNormal"/>
      </w:pPr>
      <w:r>
        <w:t>Por lo anterior, concluye que la disposición adicional tercera del Real Decreto-ley 14/2010 resulta contraria a los arts. 9.3, 14, 31 y 86 CE.</w:t>
      </w:r>
    </w:p>
    <w:p w:rsidR="00A90898" w:rsidRDefault="00A90898" w:rsidP="00A90898">
      <w:pPr>
        <w:pStyle w:val="TextoNormal"/>
      </w:pPr>
    </w:p>
    <w:p w:rsidR="00A90898" w:rsidRDefault="00A90898" w:rsidP="00A90898">
      <w:pPr>
        <w:pStyle w:val="TextoNormal"/>
      </w:pPr>
      <w:r w:rsidRPr="00A90898">
        <w:rPr>
          <w:rStyle w:val="NumeroAFNegritaCaracter"/>
        </w:rPr>
        <w:t>10</w:t>
      </w:r>
      <w:r>
        <w:t>. A través de un escrito registrado el 24 de abril de 2014, la sociedad Gas Natural SDG, S.A., solicitó su personación en el presente proceso constitucional. Por providencia de 29 de abril del mismo año se acordó unir el escrito a las actuaciones y declarar que no había lugar a su personación, al haber transcurrido en exceso el plazo de 15 días desde la publicación de la incoación de la cuestión de inconstitucionalidad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11</w:t>
      </w:r>
      <w:r>
        <w:t>. Mediante providencia de fecha de 10 de noviembre de 2016 se señaló para deliberación y votación de la presente Sentencia el día 14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de la Constitución.</w:t>
      </w:r>
    </w:p>
    <w:p w:rsidR="00A90898" w:rsidRDefault="00A90898" w:rsidP="00A90898">
      <w:pPr>
        <w:pStyle w:val="TextoNormal"/>
      </w:pPr>
    </w:p>
    <w:p w:rsidR="00A90898" w:rsidRDefault="00A90898" w:rsidP="00A90898">
      <w:pPr>
        <w:pStyle w:val="TextoNormal"/>
      </w:pPr>
      <w:r>
        <w:lastRenderedPageBreak/>
        <w:t>El precepto cuestionado, bajo el título “Financiación de planes de ahorro y eficiencia energética para los años 2011, 2012 y 2013”, establece lo siguiente:</w:t>
      </w:r>
    </w:p>
    <w:p w:rsidR="00A90898" w:rsidRDefault="00A90898" w:rsidP="00A90898">
      <w:pPr>
        <w:pStyle w:val="TextoNormal"/>
      </w:pPr>
    </w:p>
    <w:p w:rsidR="00A90898" w:rsidRDefault="00A90898" w:rsidP="00A90898">
      <w:pPr>
        <w:pStyle w:val="TextoNormal"/>
      </w:pPr>
      <w:r>
        <w:t>“1.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19 de octubre de 2003, previstas para los años 2011 y 2012 de 270 Millones de euros y 250 Millones de euros respectivamente, se financiarán mediante la aportación de cada una de las empresas productoras según los porcentajes recogidos en la siguiente tabla:</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....................EMPRESA................................PORCENTAJE</w:t>
      </w:r>
    </w:p>
    <w:p w:rsidR="00A90898" w:rsidRDefault="00A90898" w:rsidP="00A90898">
      <w:pPr>
        <w:pStyle w:val="TextoNormal"/>
      </w:pPr>
    </w:p>
    <w:p w:rsidR="00A90898" w:rsidRDefault="00A90898" w:rsidP="00A90898">
      <w:pPr>
        <w:pStyle w:val="TextoNormal"/>
      </w:pPr>
      <w:r>
        <w:t>..........Endesa Generación S.A........................34,66</w:t>
      </w:r>
    </w:p>
    <w:p w:rsidR="00A90898" w:rsidRDefault="00A90898" w:rsidP="00A90898">
      <w:pPr>
        <w:pStyle w:val="TextoNormal"/>
      </w:pPr>
    </w:p>
    <w:p w:rsidR="00A90898" w:rsidRDefault="00A90898" w:rsidP="00A90898">
      <w:pPr>
        <w:pStyle w:val="TextoNormal"/>
      </w:pPr>
      <w:r>
        <w:t>..........Iberdrola Generación, S.A....................32,71</w:t>
      </w:r>
    </w:p>
    <w:p w:rsidR="00A90898" w:rsidRDefault="00A90898" w:rsidP="00A90898">
      <w:pPr>
        <w:pStyle w:val="TextoNormal"/>
      </w:pPr>
    </w:p>
    <w:p w:rsidR="00A90898" w:rsidRDefault="00A90898" w:rsidP="00A90898">
      <w:pPr>
        <w:pStyle w:val="TextoNormal"/>
      </w:pPr>
      <w:r>
        <w:t>..........GAS Natural S.D.G, S.A.......................16,37</w:t>
      </w:r>
    </w:p>
    <w:p w:rsidR="00A90898" w:rsidRDefault="00A90898" w:rsidP="00A90898">
      <w:pPr>
        <w:pStyle w:val="TextoNormal"/>
      </w:pPr>
    </w:p>
    <w:p w:rsidR="00A90898" w:rsidRDefault="00A90898" w:rsidP="00A90898">
      <w:pPr>
        <w:pStyle w:val="TextoNormal"/>
      </w:pPr>
      <w:r>
        <w:t>..........Hidroeléctrica del Cantábrico, S.A..........4,38</w:t>
      </w:r>
    </w:p>
    <w:p w:rsidR="00A90898" w:rsidRDefault="00A90898" w:rsidP="00A90898">
      <w:pPr>
        <w:pStyle w:val="TextoNormal"/>
      </w:pPr>
    </w:p>
    <w:p w:rsidR="00A90898" w:rsidRDefault="00A90898" w:rsidP="00A90898">
      <w:pPr>
        <w:pStyle w:val="TextoNormal"/>
      </w:pPr>
      <w:r>
        <w:t>..........E.ON Generación, S.L...........................2,96</w:t>
      </w:r>
    </w:p>
    <w:p w:rsidR="00A90898" w:rsidRDefault="00A90898" w:rsidP="00A90898">
      <w:pPr>
        <w:pStyle w:val="TextoNormal"/>
      </w:pPr>
    </w:p>
    <w:p w:rsidR="00A90898" w:rsidRDefault="00A90898" w:rsidP="00A90898">
      <w:pPr>
        <w:pStyle w:val="TextoNormal"/>
      </w:pPr>
      <w:r>
        <w:t>..........AES Cartagena, S.R.L...........................2,07</w:t>
      </w:r>
    </w:p>
    <w:p w:rsidR="00A90898" w:rsidRDefault="00A90898" w:rsidP="00A90898">
      <w:pPr>
        <w:pStyle w:val="TextoNormal"/>
      </w:pPr>
    </w:p>
    <w:p w:rsidR="00A90898" w:rsidRDefault="00A90898" w:rsidP="00A90898">
      <w:pPr>
        <w:pStyle w:val="TextoNormal"/>
      </w:pPr>
      <w:r>
        <w:t>..........Bizkaia Energía, S.L.............................1,42</w:t>
      </w:r>
    </w:p>
    <w:p w:rsidR="00A90898" w:rsidRDefault="00A90898" w:rsidP="00A90898">
      <w:pPr>
        <w:pStyle w:val="TextoNormal"/>
      </w:pPr>
    </w:p>
    <w:p w:rsidR="00A90898" w:rsidRDefault="00A90898" w:rsidP="00A90898">
      <w:pPr>
        <w:pStyle w:val="TextoNormal"/>
      </w:pPr>
      <w:r>
        <w:t>..........Castelnou Energía, S.L.........................1,58</w:t>
      </w:r>
    </w:p>
    <w:p w:rsidR="00A90898" w:rsidRDefault="00A90898" w:rsidP="00A90898">
      <w:pPr>
        <w:pStyle w:val="TextoNormal"/>
      </w:pPr>
    </w:p>
    <w:p w:rsidR="00A90898" w:rsidRDefault="00A90898" w:rsidP="00A90898">
      <w:pPr>
        <w:pStyle w:val="TextoNormal"/>
      </w:pPr>
      <w:r>
        <w:t>..........Nueva Generadora del Sur, S.A.............1,62</w:t>
      </w:r>
    </w:p>
    <w:p w:rsidR="00A90898" w:rsidRDefault="00A90898" w:rsidP="00A90898">
      <w:pPr>
        <w:pStyle w:val="TextoNormal"/>
      </w:pPr>
    </w:p>
    <w:p w:rsidR="00A90898" w:rsidRDefault="00A90898" w:rsidP="00A90898">
      <w:pPr>
        <w:pStyle w:val="TextoNormal"/>
      </w:pPr>
      <w:r>
        <w:t>..........Bahía de Bizkaia Electricidad, S.L...........1,42</w:t>
      </w:r>
    </w:p>
    <w:p w:rsidR="00A90898" w:rsidRDefault="00A90898" w:rsidP="00A90898">
      <w:pPr>
        <w:pStyle w:val="TextoNormal"/>
      </w:pPr>
    </w:p>
    <w:p w:rsidR="00A90898" w:rsidRDefault="00A90898" w:rsidP="00A90898">
      <w:pPr>
        <w:pStyle w:val="TextoNormal"/>
      </w:pPr>
      <w:r>
        <w:t>..........Tarragona Power, S.L...........................0,81</w:t>
      </w:r>
    </w:p>
    <w:p w:rsidR="00A90898" w:rsidRDefault="00A90898" w:rsidP="00A90898">
      <w:pPr>
        <w:pStyle w:val="TextoNormal"/>
      </w:pPr>
    </w:p>
    <w:p w:rsidR="00A90898" w:rsidRDefault="00A90898" w:rsidP="00A90898">
      <w:pPr>
        <w:pStyle w:val="TextoNormal"/>
      </w:pPr>
      <w:r>
        <w:t>....................Total.....................................100,00</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00A90898" w:rsidRDefault="00A90898" w:rsidP="00A90898">
      <w:pPr>
        <w:pStyle w:val="TextoNormal"/>
      </w:pPr>
    </w:p>
    <w:p w:rsidR="00A90898" w:rsidRDefault="00A90898" w:rsidP="00A90898">
      <w:pPr>
        <w:pStyle w:val="TextoNormal"/>
      </w:pPr>
      <w:r>
        <w:t xml:space="preserve">El órgano judicial considera que la obligación impuesta a las once empresas productoras de electricidad citadas en la norma de financiar, en exclusiva y en los porcentajes expresamente indicados, los planes de ahorro y eficiencia energética para los años 2011, 2012 y </w:t>
      </w:r>
      <w:r>
        <w:lastRenderedPageBreak/>
        <w:t>2013, podría incurrir en vulneración de los arts. 9.3 y 14 CE, al no justificarse por qué se han seleccionado once entidades en concreto ni los porcentajes atribuidos.</w:t>
      </w:r>
    </w:p>
    <w:p w:rsidR="00A90898" w:rsidRDefault="00A90898" w:rsidP="00A90898">
      <w:pPr>
        <w:pStyle w:val="TextoNormal"/>
      </w:pPr>
    </w:p>
    <w:p w:rsidR="00A90898" w:rsidRDefault="00A90898" w:rsidP="00A90898">
      <w:pPr>
        <w:pStyle w:val="TextoNormal"/>
      </w:pPr>
      <w:r>
        <w:t>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w:t>
      </w:r>
    </w:p>
    <w:p w:rsidR="00A90898" w:rsidRDefault="00A90898" w:rsidP="00A90898">
      <w:pPr>
        <w:pStyle w:val="TextoNormal"/>
      </w:pPr>
    </w:p>
    <w:p w:rsidR="00A90898" w:rsidRDefault="00A90898" w:rsidP="00A90898">
      <w:pPr>
        <w:pStyle w:val="TextoNormal"/>
      </w:pPr>
      <w:r>
        <w:t>Por su parte, la entidad E.ON España, S.L., solicita la estimación, al apreciar que el precepto vulnera el art. 14 CE, en cuanto impone una carga solo a determinadas empresas de generación eléctrica, dando lugar a una desigualdad injustificada; y denuncia, asimismo, la infracción del art. 9.3 CE, por no existir causa que explique la selección de las empresas obligadas, ni el porcentaje de contribución exigido a cada una de ellas. La citada sociedad apunta también a la posible inconstitucionalidad de la norma por colisión con el art. 31.3 CE, porque se ha impuesto una prestación patrimonial de carácter público sin definir los elementos esenciales de la misma, y con el art. 86.1 CE, al haberse establecido mediante un real decreto-ley sin concurrir el presupuesto habilitante de este instrumento normativo (la extraordinaria y urgente necesidad) y afectarse, además, al deber de contribuir a que se refiere el art. 31.1 CE.</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examen de fondo, procede efectuar determinadas consideraciones preliminares, a fin de delimitar con precisión el objeto de la controversia y el alcance de nuestro enjuiciamiento:</w:t>
      </w:r>
    </w:p>
    <w:p w:rsidR="00A90898" w:rsidRDefault="00A90898" w:rsidP="00A90898">
      <w:pPr>
        <w:pStyle w:val="TextoNormal"/>
      </w:pPr>
    </w:p>
    <w:p w:rsidR="00A90898" w:rsidRDefault="00A90898" w:rsidP="00A90898">
      <w:pPr>
        <w:pStyle w:val="TextoNormal"/>
      </w:pPr>
      <w:r>
        <w:t xml:space="preserve">a) La primera se refiere a que, durante la pendencia del proceso judicial </w:t>
      </w:r>
      <w:r w:rsidRPr="00A90898">
        <w:rPr>
          <w:i/>
        </w:rPr>
        <w:t>a quo</w:t>
      </w:r>
      <w:r>
        <w:t>,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00A90898" w:rsidRDefault="00A90898" w:rsidP="00A90898">
      <w:pPr>
        <w:pStyle w:val="TextoNormal"/>
      </w:pPr>
    </w:p>
    <w:p w:rsidR="00A90898" w:rsidRDefault="00A90898" w:rsidP="00A90898">
      <w:pPr>
        <w:pStyle w:val="TextoNormal"/>
      </w:pPr>
      <w: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sí es aplicable en el proceso </w:t>
      </w:r>
      <w:r w:rsidRPr="00A90898">
        <w:rPr>
          <w:i/>
        </w:rPr>
        <w:t>a quo</w:t>
      </w:r>
      <w:r>
        <w:t xml:space="preserve"> y de su validez depende la decisión a adoptar en este, como exige el art. 163 CE (juicios de aplicabilidad y relevancia, que aquí no se discuten),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00A90898" w:rsidRDefault="00A90898" w:rsidP="00A90898">
      <w:pPr>
        <w:pStyle w:val="TextoNormal"/>
      </w:pPr>
    </w:p>
    <w:p w:rsidR="00A90898" w:rsidRDefault="00A90898" w:rsidP="00A90898">
      <w:pPr>
        <w:pStyle w:val="TextoNormal"/>
      </w:pPr>
      <w:r>
        <w:lastRenderedPageBreak/>
        <w:t>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tal y como demanda el art. 35.2 de la Ley Orgánica del Tribunal Constitucional (LOTC).</w:t>
      </w:r>
    </w:p>
    <w:p w:rsidR="00A90898" w:rsidRDefault="00A90898" w:rsidP="00A90898">
      <w:pPr>
        <w:pStyle w:val="TextoNormal"/>
      </w:pPr>
    </w:p>
    <w:p w:rsidR="00A90898" w:rsidRDefault="00A90898" w:rsidP="00A90898">
      <w:pPr>
        <w:pStyle w:val="TextoNormal"/>
      </w:pPr>
      <w:r>
        <w:t>A pesar de que la entidad E.ON España, S.L., suscita en su escrito de alegaciones la posible infracción de otros preceptos de la Constitución, aparte de los señalados por el órgano promotor, sobre los que, por tanto, el resto de partes no han sido oídas, no por ello debemos extender a ellos nuestro análisis de constitucionalidad, puesto que las partes personadas no pueden, al hilo de lo dispuesto en el art. 37.2 LOTC, hacer valer una pretensión propia, sino únicamente defender u oponerse a la cuestión formulada por el órgano judicial, dentro de los parámetros fijados por éste en su auto de planteamiento. Todo ello sin perjuicio de la posibilidad que reconoce el art. 39.2 LOTC, como atribución de este Tribunal, y no de las partes del proceso constitucional (SSTC 81/2003, de 30 de abril, FJ 7; 126/2008, de 27 de octubre, FJ 1, y 126/2011, de 18 de julio, FJ 7), de “fundar la declaración de inconstitucionalidad en la infracción de cualquier precepto constitucional, haya o no sido invocado en el curso del proceso”.</w:t>
      </w:r>
    </w:p>
    <w:p w:rsidR="00A90898" w:rsidRDefault="00A90898" w:rsidP="00A90898">
      <w:pPr>
        <w:pStyle w:val="TextoNormal"/>
      </w:pPr>
    </w:p>
    <w:p w:rsidR="00A90898" w:rsidRDefault="00A90898" w:rsidP="00A90898">
      <w:pPr>
        <w:pStyle w:val="TextoNormal"/>
      </w:pPr>
      <w:r>
        <w:t>Por consiguiente, nuestro examen debe circunscribirse al contraste de la disposición cuestionada con los arts. 9.3 y 14 CE, sin entrar en la pretendida contradicción que alega E.ON España, S.L., con los arts. 31.3 y 86.1 CE, no incluidos en el Auto de planteamiento.</w:t>
      </w:r>
    </w:p>
    <w:p w:rsidR="00A90898" w:rsidRDefault="00A90898" w:rsidP="00A90898">
      <w:pPr>
        <w:pStyle w:val="TextoNormal"/>
      </w:pPr>
    </w:p>
    <w:p w:rsidR="00A90898" w:rsidRDefault="00A90898" w:rsidP="00A90898">
      <w:pPr>
        <w:pStyle w:val="TextoNormal"/>
      </w:pPr>
      <w:r w:rsidRPr="00A90898">
        <w:rPr>
          <w:rStyle w:val="NumeroAFNegritaCaracter"/>
        </w:rPr>
        <w:t>3</w:t>
      </w:r>
      <w:r>
        <w:t>.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la STC 167/2016, de 6 de octubre. El órgano promotor es la Sección Cuarta en ambas cuestiones y el Auto de planteamiento se encuentra redactado en los mismos términos, coincidiendo en su integridad tanto la norma impugnada como los preceptos constitucionales en juego y los argumentos esgrimidos por las partes en defensa de sus pretensiones.</w:t>
      </w:r>
    </w:p>
    <w:p w:rsidR="00A90898" w:rsidRDefault="00A90898" w:rsidP="00A90898">
      <w:pPr>
        <w:pStyle w:val="TextoNormal"/>
      </w:pPr>
    </w:p>
    <w:p w:rsidR="00A90898" w:rsidRDefault="00A90898" w:rsidP="00A90898">
      <w:pPr>
        <w:pStyle w:val="TextoNormal"/>
      </w:pPr>
      <w:r>
        <w:t>Pues bien, en la STC 167/2016, de 6 de octubre, tras encuadrar la controversia en el ámbito de la regulación del sector eléctrico y de la contención del déficit tarifario, y a la vista de nuestra doctrina sobre el principio de igualdad, hemos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y, por lo que respecta al resto de empresas productoras de régimen ordinario, que la selección de las once entidades obligadas a financiar los planes de ahorro y eficiencia energética tiene una justificación objetiva y razonable, respetando, asimismo, el canon de proporcionalidad exigible. Y,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00A90898" w:rsidRDefault="00A90898" w:rsidP="00A90898">
      <w:pPr>
        <w:pStyle w:val="TextoNormal"/>
      </w:pPr>
    </w:p>
    <w:p w:rsidR="00A90898" w:rsidRDefault="00A90898" w:rsidP="00A90898">
      <w:pPr>
        <w:pStyle w:val="TextoNormal"/>
      </w:pPr>
      <w:r>
        <w:lastRenderedPageBreak/>
        <w:t>En consecuencia, por evidentes razones de unidad de doctrina, solo cabe, con íntegra remisión a lo resuelto en la citada STC 167/2016, llegar aquí a la misma conclusión desestimatoria.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catorce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7" w:name="SENTENCIA_2016_188"/>
      <w:r>
        <w:lastRenderedPageBreak/>
        <w:t>SENTENCIA 188/2016, de 14 de noviembre de 2016</w:t>
      </w:r>
    </w:p>
    <w:bookmarkEnd w:id="67"/>
    <w:p w:rsidR="00A90898" w:rsidRDefault="00A90898" w:rsidP="00A90898">
      <w:pPr>
        <w:pStyle w:val="TtuloResolucin"/>
      </w:pPr>
      <w:r>
        <w:t>Sala Segunda</w:t>
      </w:r>
    </w:p>
    <w:p w:rsidR="00A90898" w:rsidRDefault="00A90898" w:rsidP="00A90898">
      <w:pPr>
        <w:pStyle w:val="TtuloBOE"/>
      </w:pPr>
      <w:r>
        <w:t>(BOE núm. 311, de 26 de diciembre de 2016)</w:t>
      </w:r>
    </w:p>
    <w:p w:rsidR="00A90898" w:rsidRDefault="00A90898" w:rsidP="00A90898">
      <w:pPr>
        <w:pStyle w:val="TextoNormalCentrado"/>
      </w:pPr>
      <w:r>
        <w:t>ECLI:ES:TC:2016:188</w:t>
      </w:r>
    </w:p>
    <w:p w:rsidR="00A90898" w:rsidRDefault="00A90898" w:rsidP="00A90898">
      <w:pPr>
        <w:pStyle w:val="TextoNormalCentrado"/>
      </w:pPr>
    </w:p>
    <w:p w:rsidR="00A90898" w:rsidRDefault="00A90898" w:rsidP="00A90898">
      <w:pPr>
        <w:pStyle w:val="SntesisDescriptiva"/>
      </w:pPr>
      <w:r>
        <w:t>Cuestión de inconstitucionalidad 3031-2014.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w:t>
      </w:r>
    </w:p>
    <w:p w:rsidR="00A90898" w:rsidRDefault="00A90898" w:rsidP="00A90898">
      <w:pPr>
        <w:pStyle w:val="SntesisDescriptiva"/>
      </w:pPr>
    </w:p>
    <w:p w:rsidR="00A90898" w:rsidRDefault="00A90898" w:rsidP="00A90898">
      <w:pPr>
        <w:pStyle w:val="SntesisAnaltica"/>
      </w:pPr>
      <w:r>
        <w:t>Principios de igualdad y de interdicción de la arbitrariedad: STC 167/2016 (constitucionalidad del precepto legal que concreta la obligación de financiación por el sector eléctrico de planes de ahorro y eficiencia energética).</w:t>
      </w:r>
    </w:p>
    <w:p w:rsidR="00A90898" w:rsidRDefault="00A90898" w:rsidP="00A90898">
      <w:pPr>
        <w:pStyle w:val="SntesisAnaltica"/>
      </w:pPr>
    </w:p>
    <w:p w:rsidR="00A90898" w:rsidRDefault="00A90898" w:rsidP="00A90898">
      <w:pPr>
        <w:pStyle w:val="Extracto"/>
      </w:pPr>
      <w:r>
        <w:t>1.</w:t>
      </w:r>
      <w:r>
        <w:tab/>
        <w:t>Reitera la STC 167/2016, en relación con la doctrina sobre el principio de igualdad y de interdicción de la arbitrariedad en materia de financiación por el sector eléctrico de planes de ahorro y eficiencia energética, y la elección de determinadas empresas para paliar el déficit tarifario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3031-2014,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comparecido y formulado alegaciones el Abogado del Estado, el Fiscal General del Estado y la entidad “GDF Suez Cartagena Energía, S.L.”.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Por escrito registrado en este Tribunal el 13 de mayo de 2014, la Sección Cuarta de la Sala de lo Contencioso-Administrativo de la Audiencia Nacional remitió testimonio del Auto del 11 de abril del mismo año por el que acordaba plantear una cuestión de inconstitucionalidad en relación con la disposición adicional tercera del Real Decreto-ley 14/2010, de 23 de diciembre, por el que se establecen medidas urgentes para la corrección del déficit </w:t>
      </w:r>
      <w:r>
        <w:lastRenderedPageBreak/>
        <w:t>tarifario del sector eléctrico (en lo sucesivo, Real Decreto-ley 14/2010), por vulneración de los arts. 9.3 y 14 de la Constitución.</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la presente cuestión de inconstitucionalidad son los siguientes:</w:t>
      </w:r>
    </w:p>
    <w:p w:rsidR="00A90898" w:rsidRDefault="00A90898" w:rsidP="00A90898">
      <w:pPr>
        <w:pStyle w:val="TextoNormal"/>
      </w:pPr>
    </w:p>
    <w:p w:rsidR="00A90898" w:rsidRDefault="00A90898" w:rsidP="00A90898">
      <w:pPr>
        <w:pStyle w:val="TextoNormal"/>
      </w:pPr>
      <w:r>
        <w:t>a) El 28 de octubre de 2011 la entidad AES Energía Cartagena, S.L., interpuso un recurso contencioso-administrativo ante la Sala correspondiente de la Audiencia Nacional contra la Orden ITC/2844/2011, de 19 de octubre, por la que se regulan las transferencias de fondos con cargo a las empresas productoras de energía eléctrica y a los peajes de acceso de terceros a las instalaciones gasistas de la cuenta específica de la Comisión Nacional de la Energía al Instituto para la Diversificación y el Ahorro de la Energía, en el año 2011, para la ejecución de las medidas del plan de acción 2008-2012 de la estrategia de ahorro y eficiencia energética en España 2004-2012 y los criterios para la ejecución de medidas contempladas en dicho plan, por entender que dicha disposición no era ajustada a Derecho.</w:t>
      </w:r>
    </w:p>
    <w:p w:rsidR="00A90898" w:rsidRDefault="00A90898" w:rsidP="00A90898">
      <w:pPr>
        <w:pStyle w:val="TextoNormal"/>
      </w:pPr>
    </w:p>
    <w:p w:rsidR="00A90898" w:rsidRDefault="00A90898" w:rsidP="00A90898">
      <w:pPr>
        <w:pStyle w:val="TextoNormal"/>
      </w:pPr>
      <w:r>
        <w:t>b) Concluidas las actuaciones, el 27 de febrero de 2014, la Sección acordó, en aplicación de lo establecido en el art. 35 de la Ley Orgánica del Tribunal Constitucional (LOTC), con suspensión del plazo para dictar sentencia,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que “tiene dudas sobre la adecuación de la citada norma con los principios de interdicción de la arbitrariedad e igualdad establecidos en los arts. 9.3 y 14 de la Constitución, en concreto, si es conforme con las normas constitucionales indicadas el establecer que las cuantías destinadas a la financiación del plan de acción 2008-2012 se financiarán mediante la aportación de determinados porcentajes por un conjunto de empresas productoras o generadoras de electricidad en régimen ordinario nominalmente designadas”. Asimismo, se añadía que “la decisión de la cuestión planteada en el presente recurso depende de la validez de dicha disposición adicional tercera, por cuanto la Orden ITC/2844/2011, de 19 de octubre, objeto del mismo, simplemente concreta las cuantías de esos porcentajes en el año 2011 para cada una de las empresas obligadas y establece el procedimiento para su ingreso en la cuenta de la Comisión Nacional de la Energía”.</w:t>
      </w:r>
    </w:p>
    <w:p w:rsidR="00A90898" w:rsidRDefault="00A90898" w:rsidP="00A90898">
      <w:pPr>
        <w:pStyle w:val="TextoNormal"/>
      </w:pPr>
    </w:p>
    <w:p w:rsidR="00A90898" w:rsidRDefault="00A90898" w:rsidP="00A90898">
      <w:pPr>
        <w:pStyle w:val="TextoNormal"/>
      </w:pPr>
      <w:r>
        <w:t>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00A90898" w:rsidRDefault="00A90898" w:rsidP="00A90898">
      <w:pPr>
        <w:pStyle w:val="TextoNormal"/>
      </w:pPr>
    </w:p>
    <w:p w:rsidR="00A90898" w:rsidRDefault="00A90898" w:rsidP="00A90898">
      <w:pPr>
        <w:pStyle w:val="TextoNormal"/>
      </w:pPr>
      <w:r w:rsidRPr="00A90898">
        <w:rPr>
          <w:rStyle w:val="NumeroAFNegritaCaracter"/>
        </w:rPr>
        <w:t>3</w:t>
      </w:r>
      <w:r>
        <w:t>. El Auto de 11 de abril de 2014 de la Sección Cuarta de la Sala de lo Contencioso-Administrativo de la Audiencia Nacional presenta la cuestión en los siguientes términos:</w:t>
      </w:r>
    </w:p>
    <w:p w:rsidR="00A90898" w:rsidRDefault="00A90898" w:rsidP="00A90898">
      <w:pPr>
        <w:pStyle w:val="TextoNormal"/>
      </w:pPr>
    </w:p>
    <w:p w:rsidR="00A90898" w:rsidRDefault="00A90898" w:rsidP="00A90898">
      <w:pPr>
        <w:pStyle w:val="TextoNormal"/>
      </w:pPr>
      <w:r>
        <w:t xml:space="preserve">Comienza exponiendo los hechos que han dado lugar a la presente cuestión de inconstitucionalidad para formular, a continuación, los juicios de aplicabilidad y relevancia exigibles para su válido planteamiento. Así, el órgano promotor entiende que existe una norma con rango de ley aplicable al caso y que de su validez depende la resolución del litigio, </w:t>
      </w:r>
      <w:r>
        <w:lastRenderedPageBreak/>
        <w:t>concretamente, la disposición adicional tercera del Real Decreto-ley 14/2010, en desarrollo de la cual se había dictado la Orden ITC/2844/2011, cuyo artículo 2 determina las cuantías destinadas en el año 2011 a las actuaciones del plan con cargo a las empresas productoras de energía eléctrica (y a los peajes de acceso de terceros a las instalaciones gasistas, que no afectan directamente al presente caso).</w:t>
      </w:r>
    </w:p>
    <w:p w:rsidR="00A90898" w:rsidRDefault="00A90898" w:rsidP="00A90898">
      <w:pPr>
        <w:pStyle w:val="TextoNormal"/>
      </w:pPr>
    </w:p>
    <w:p w:rsidR="00A90898" w:rsidRDefault="00A90898" w:rsidP="00A90898">
      <w:pPr>
        <w:pStyle w:val="TextoNormal"/>
      </w:pPr>
      <w:r>
        <w:t>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teniendo el Real Decreto-Ley 14/2010, fuerza de ley”. Asimismo, se pone de relieve que el recurso contencioso se interpone contra los arts. 1, 3 y 6.2 de la orden, si bien el núcleo del debate se centra en el art. 2, ya que el art. 1 describe el objeto de la orden, el 3 la liquidación y el 6.2 la aplicación y ejecución. En todo caso, afirma el Auto, “la suerte del litigio descansa sobre la obligación establecida en la disposición adicional tercera del Real Decreto-Ley 14/2010”, a la vista de lo cual la Sala entiende que se cumplen los requisitos de aplicabilidad y relevancia.</w:t>
      </w:r>
    </w:p>
    <w:p w:rsidR="00A90898" w:rsidRDefault="00A90898" w:rsidP="00A90898">
      <w:pPr>
        <w:pStyle w:val="TextoNormal"/>
      </w:pPr>
    </w:p>
    <w:p w:rsidR="00A90898" w:rsidRDefault="00A90898" w:rsidP="00A90898">
      <w:pPr>
        <w:pStyle w:val="TextoNormal"/>
      </w:pPr>
      <w:r>
        <w:t>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00A90898" w:rsidRDefault="00A90898" w:rsidP="00A90898">
      <w:pPr>
        <w:pStyle w:val="TextoNormal"/>
      </w:pPr>
    </w:p>
    <w:p w:rsidR="00A90898" w:rsidRDefault="00A90898" w:rsidP="00A90898">
      <w:pPr>
        <w:pStyle w:val="TextoNormal"/>
      </w:pPr>
      <w:r>
        <w:t>En cuanto a la primera de las cuestiones que formula la Audiencia Nacional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Y,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w:t>
      </w:r>
    </w:p>
    <w:p w:rsidR="00A90898" w:rsidRDefault="00A90898" w:rsidP="00A90898">
      <w:pPr>
        <w:pStyle w:val="TextoNormal"/>
      </w:pPr>
    </w:p>
    <w:p w:rsidR="00A90898" w:rsidRDefault="00A90898" w:rsidP="00A90898">
      <w:pPr>
        <w:pStyle w:val="TextoNormal"/>
      </w:pPr>
      <w:r>
        <w:lastRenderedPageBreak/>
        <w:t>La Sala no discute la legitimidad del legislador para establecer normas que orienten la política económica en un determinado sentido y que, con tal fin, pueda establecer tratamientos diferenciados, pero las argumentaciones que se dan con tal propósito no le parecen suficientes.</w:t>
      </w:r>
    </w:p>
    <w:p w:rsidR="00A90898" w:rsidRDefault="00A90898" w:rsidP="00A90898">
      <w:pPr>
        <w:pStyle w:val="TextoNormal"/>
      </w:pPr>
    </w:p>
    <w:p w:rsidR="00A90898" w:rsidRDefault="00A90898" w:rsidP="00A90898">
      <w:pPr>
        <w:pStyle w:val="TextoNormal"/>
      </w:pPr>
      <w:r>
        <w:t>En primer lugar, pone de relieve que el Real Decreto-ley 14/2010 justifica las medidas adoptadas en las nuevas condiciones económicas que han generado un escenario no previsto, por lo que se adoptan medidas con el fin de evitar que el déficit tarifario aumente sin control. Y,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nos parece tan razonable es que dicha medida justifique que la totalidad del coste de la financiación del plan de acción con cargo al sistema eléctrico, recaiga en exclusiva sobre las empresas generadoras en régimen ordinario”. Entre otras razones, alega que los beneficios del plan favorecen tanto a las empresas productoras en régimen especial como a las empresas productoras en régimen ordinario.</w:t>
      </w:r>
    </w:p>
    <w:p w:rsidR="00A90898" w:rsidRDefault="00A90898" w:rsidP="00A90898">
      <w:pPr>
        <w:pStyle w:val="TextoNormal"/>
      </w:pPr>
    </w:p>
    <w:p w:rsidR="00A90898" w:rsidRDefault="00A90898" w:rsidP="00A90898">
      <w:pPr>
        <w:pStyle w:val="TextoNormal"/>
      </w:pPr>
      <w:r>
        <w:t>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al Auto a concluir que los argumentos esgrimidos para justificar que las empresas de generación de electricidad en régimen ordinario abonen, en exclusiva, el coste de financiación del plan de ahorro no son convincentes, por lo que podría haberse vulnerado el principio de igualdad.</w:t>
      </w:r>
    </w:p>
    <w:p w:rsidR="00A90898" w:rsidRDefault="00A90898" w:rsidP="00A90898">
      <w:pPr>
        <w:pStyle w:val="TextoNormal"/>
      </w:pPr>
    </w:p>
    <w:p w:rsidR="00A90898" w:rsidRDefault="00A90898" w:rsidP="00A90898">
      <w:pPr>
        <w:pStyle w:val="TextoNormal"/>
      </w:pPr>
      <w:r>
        <w:t>A continuación, el Auto afirma que el Real Decreto-ley en cuestión no explica los criterios por los que ha seleccionado a determinadas empresas y analiza las razones aducidas por la Abogacía del Estado para excluir a determinadas entidades, una de las cuales es su escasa cuota de mercado. Acerca de esto, el órgano judicial sostiene que varias de las empresas excluidas tienen una cuota de mercado superior a las seleccionadas en la disposición cuestionada. En segundo lugar, a la Audiencia Nacional le resulta dudoso que se excluya a ciertas empresas por dedicarse, fundamentalmente, a la producción con energías renovables. Finalmente, el órgano promotor asevera que hay empresas de producción en régimen ordinario que la Administración no cita y que no están incluidas en la disposición analizada, respecto de las cuales nada se dice. En definitiva, la Audiencia Nacional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00A90898" w:rsidRDefault="00A90898" w:rsidP="00A90898">
      <w:pPr>
        <w:pStyle w:val="TextoNormal"/>
      </w:pPr>
    </w:p>
    <w:p w:rsidR="00A90898" w:rsidRDefault="00A90898" w:rsidP="00A90898">
      <w:pPr>
        <w:pStyle w:val="TextoNormal"/>
      </w:pPr>
      <w:r>
        <w:t xml:space="preserve">Finalmente, el Auto estima que la disposición adicional tercera también puede ser contraria al principio de interdicción de la arbitrariedad de los poderes públicos, planteándose en primer lugar si es razonable que la totalidad del coste recaiga sobre las empresas enumeradas en la disposición adicional tercera porque el plan de ahorro alcanza a varios sectores, entre los que se halla, sí, el eléctrico, pero dentro del cual se benefician no sólo las empresas </w:t>
      </w:r>
      <w:r>
        <w:lastRenderedPageBreak/>
        <w:t>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00A90898" w:rsidRDefault="00A90898" w:rsidP="00A90898">
      <w:pPr>
        <w:pStyle w:val="TextoNormal"/>
      </w:pPr>
    </w:p>
    <w:p w:rsidR="00A90898" w:rsidRDefault="00A90898" w:rsidP="00A90898">
      <w:pPr>
        <w:pStyle w:val="TextoNormal"/>
      </w:pPr>
      <w:r>
        <w:t>En segundo lugar, la Audiencia Nacional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que están obligadas, en virtud de dicho precepto, a financiar el déficit de la tarifa eléctrica y que tendrán, por tanto, una menor carga como consecuencia del reequilibrio del sistema al que contribuye la medida aquí analizada.</w:t>
      </w:r>
    </w:p>
    <w:p w:rsidR="00A90898" w:rsidRDefault="00A90898" w:rsidP="00A90898">
      <w:pPr>
        <w:pStyle w:val="TextoNormal"/>
      </w:pPr>
    </w:p>
    <w:p w:rsidR="00A90898" w:rsidRDefault="00A90898" w:rsidP="00A90898">
      <w:pPr>
        <w:pStyle w:val="TextoNormal"/>
      </w:pPr>
      <w:r>
        <w:t>Sin embargo, el órgano judicial promotor de la cuestión no considera convincentes las razones esgrimidas, debido a que no llega a indicarse en detalle cómo se han obtenido los porcentajes exigidos a cada entidad y porque el argumento de conexión con la disposición adicional vigésimo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00A90898" w:rsidRDefault="00A90898" w:rsidP="00A90898">
      <w:pPr>
        <w:pStyle w:val="TextoNormal"/>
      </w:pPr>
    </w:p>
    <w:p w:rsidR="00A90898" w:rsidRDefault="00A90898" w:rsidP="00A90898">
      <w:pPr>
        <w:pStyle w:val="TextoNormal"/>
      </w:pPr>
      <w:r>
        <w:t>Las anteriores consideraciones llevan al órgano judicial a reafirmarse en sus dudas de constitucionalidad y acordar, en consecuencia:</w:t>
      </w:r>
    </w:p>
    <w:p w:rsidR="00A90898" w:rsidRDefault="00A90898" w:rsidP="00A90898">
      <w:pPr>
        <w:pStyle w:val="TextoNormal"/>
      </w:pPr>
    </w:p>
    <w:p w:rsidR="00A90898" w:rsidRDefault="00A90898" w:rsidP="00A90898">
      <w:pPr>
        <w:pStyle w:val="TextoNormal"/>
      </w:pPr>
      <w:r>
        <w:t>“[P]lantear cuestión de inconstitucionalidad acerca de la disposición adicional tercera del Real Decreto-ley 14/2010, de 23 de diciembre, que establece medidas urgentes para la corrección del déficit tarifario del sector eléctrico, al dudar de la constitucionalidad de la norma por las siguientes razones:</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empresas productoras de electricidad en régimen ordinario con carácter exclusivo y frente a otras empresas productoras de electricidad.</w:t>
      </w:r>
    </w:p>
    <w:p w:rsidR="00A90898" w:rsidRDefault="00A90898" w:rsidP="00A90898">
      <w:pPr>
        <w:pStyle w:val="TextoNormal"/>
      </w:pPr>
    </w:p>
    <w:p w:rsidR="00A90898" w:rsidRDefault="00A90898" w:rsidP="00A90898">
      <w:pPr>
        <w:pStyle w:val="TextoNormal"/>
      </w:pPr>
      <w:r>
        <w:t>- Vulneración del art. 14 de la Constitución, en relación con el art. 9.3 de la misma norma, al establecer que el plan de ahorro debe ser abonado por las concretas empresas establecidas en la disposición y frente al resto de las empresas productoras de energía del sector.</w:t>
      </w:r>
    </w:p>
    <w:p w:rsidR="00A90898" w:rsidRDefault="00A90898" w:rsidP="00A90898">
      <w:pPr>
        <w:pStyle w:val="TextoNormal"/>
      </w:pPr>
    </w:p>
    <w:p w:rsidR="00A90898" w:rsidRDefault="00A90898" w:rsidP="00A90898">
      <w:pPr>
        <w:pStyle w:val="TextoNormal"/>
      </w:pPr>
      <w:r>
        <w:t>- Vulneración del art. 9.3 de la Constitución, por posible arbitrariedad en imponer que las empresas generadoras de electricidad en régimen ordinario abonen la totalidad del coste del plan de acción en el sector eléctrico y al no indicar cómo se han obtenido los porcentajes de los que debe responder cada una de las empresas.”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Por providencia del Pleno de 15 de julio de 2014 se acordó admitir a trámite la presente cuestión, por posible vulneración de los arts. 9.3 y 14 CE; de conformidad con lo dispuesto en el art. 10.1 c) LOTC, deferir a la Sala Segunda, a la que por turno objetivo le ha correspondido, el conocimiento de la presente cuestión;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177, de 22 de julio de 2014).</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con fecha 25 de julio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8 de septiembre de 2014.</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registrado el 31 de julio de 2014, la representación procesal de GDF Suez Cartagena Energía, S.L. (sucesora de AES Energía Cartagena, S.L.), solicitó que se le tuviera por personada y parte. Mediante diligencia de ordenación del 3 de septiembre del mismo año se acordó unir a las actuaciones el referido escrito, teniendo por personada a la entidad citada y concediéndole un plazo de quince días para que formulara las alegaciones que estimara convenientes.</w:t>
      </w:r>
    </w:p>
    <w:p w:rsidR="00A90898" w:rsidRDefault="00A90898" w:rsidP="00A90898">
      <w:pPr>
        <w:pStyle w:val="TextoNormal"/>
      </w:pPr>
    </w:p>
    <w:p w:rsidR="00A90898" w:rsidRDefault="00A90898" w:rsidP="00A90898">
      <w:pPr>
        <w:pStyle w:val="TextoNormal"/>
      </w:pPr>
      <w:r w:rsidRPr="00A90898">
        <w:rPr>
          <w:rStyle w:val="NumeroAFNegritaCaracter"/>
        </w:rPr>
        <w:t>7</w:t>
      </w:r>
      <w:r>
        <w:t>. Las alegaciones presentadas por el Abogado del Estado, interesando la desestimación de la cuestión, fueron registradas en este Tribunal el 4 de septiembre de 2014.</w:t>
      </w:r>
    </w:p>
    <w:p w:rsidR="00A90898" w:rsidRDefault="00A90898" w:rsidP="00A90898">
      <w:pPr>
        <w:pStyle w:val="TextoNormal"/>
      </w:pPr>
    </w:p>
    <w:p w:rsidR="00A90898" w:rsidRDefault="00A90898" w:rsidP="00A90898">
      <w:pPr>
        <w:pStyle w:val="TextoNormal"/>
      </w:pPr>
      <w:r>
        <w:t>En su escrito, el representante de la Administración del Estado califica la obligación recogida en la disposición adicional tercera del Real Decreto-ley 14/2010 como una prestación patrimonial de carácter público que ha sido establecida mediante una norma con rango de ley, en cumplimiento de lo previsto en el art. 31.3 CE. Y resalta la circunstancia de haber sido establecida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—afirma— no es causa en sí misma de inconstitucionalidad.</w:t>
      </w:r>
    </w:p>
    <w:p w:rsidR="00A90898" w:rsidRDefault="00A90898" w:rsidP="00A90898">
      <w:pPr>
        <w:pStyle w:val="TextoNormal"/>
      </w:pPr>
    </w:p>
    <w:p w:rsidR="00A90898" w:rsidRDefault="00A90898" w:rsidP="00A90898">
      <w:pPr>
        <w:pStyle w:val="TextoNormal"/>
      </w:pPr>
      <w: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w:t>
      </w:r>
      <w:r w:rsidRPr="00A90898">
        <w:rPr>
          <w:i/>
        </w:rPr>
        <w:t>status</w:t>
      </w:r>
      <w:r>
        <w:t xml:space="preserve">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00A90898" w:rsidRDefault="00A90898" w:rsidP="00A90898">
      <w:pPr>
        <w:pStyle w:val="TextoNormal"/>
      </w:pPr>
    </w:p>
    <w:p w:rsidR="00A90898" w:rsidRDefault="00A90898" w:rsidP="00A90898">
      <w:pPr>
        <w:pStyle w:val="TextoNormal"/>
      </w:pPr>
      <w:r>
        <w:t>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 lo que añade que el legislador no tiene obligación de expresar los motivos que le llevan a adoptar una determinada decisión, por lo que la falta de justificación expresa no debe considerarse generadora de arbitrariedad.</w:t>
      </w:r>
    </w:p>
    <w:p w:rsidR="00A90898" w:rsidRDefault="00A90898" w:rsidP="00A90898">
      <w:pPr>
        <w:pStyle w:val="TextoNormal"/>
      </w:pPr>
    </w:p>
    <w:p w:rsidR="00A90898" w:rsidRDefault="00A90898" w:rsidP="00A90898">
      <w:pPr>
        <w:pStyle w:val="TextoNormal"/>
      </w:pPr>
      <w:r>
        <w:t>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promotor de la cuestión cuando, en lo que califica como una “excesiva compartimentación”, separa el problema del déficit del sistema eléctrico y la financiación de los planes de ahorro energético, para concluir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00A90898" w:rsidRDefault="00A90898" w:rsidP="00A90898">
      <w:pPr>
        <w:pStyle w:val="TextoNormal"/>
      </w:pPr>
    </w:p>
    <w:p w:rsidR="00A90898" w:rsidRDefault="00A90898" w:rsidP="00A90898">
      <w:pPr>
        <w:pStyle w:val="TextoNormal"/>
      </w:pPr>
      <w:r>
        <w:t>En particular, considera que la norma enjuiciada “tiene su propia justificación y obedece a razones objetivas, se compartan o no”, en la medida en que la actividad de las compañías generadoras de régimen ordinario no es ajena al déficit tarifario, pues,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00A90898" w:rsidRDefault="00A90898" w:rsidP="00A90898">
      <w:pPr>
        <w:pStyle w:val="TextoNormal"/>
      </w:pPr>
    </w:p>
    <w:p w:rsidR="00A90898" w:rsidRDefault="00A90898" w:rsidP="00A90898">
      <w:pPr>
        <w:pStyle w:val="TextoNormal"/>
      </w:pPr>
      <w:r>
        <w:t>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vigésimo primera de la Ley 54/1997, sobre financiación del déficit de tarifa, para acabar, enlazando con sus primeras consideraciones, recordando la naturaleza legislativa del acto juzgado en este proceso, y que no se debe exigir al legislador una exposición detallada de las razones de su actividad reguladora. Con base en todo lo cual, interesa que se desestime la cuestión.</w:t>
      </w:r>
    </w:p>
    <w:p w:rsidR="00A90898" w:rsidRDefault="00A90898" w:rsidP="00A90898">
      <w:pPr>
        <w:pStyle w:val="TextoNormal"/>
      </w:pPr>
    </w:p>
    <w:p w:rsidR="00A90898" w:rsidRDefault="00A90898" w:rsidP="00A90898">
      <w:pPr>
        <w:pStyle w:val="TextoNormal"/>
      </w:pPr>
      <w:r w:rsidRPr="00A90898">
        <w:rPr>
          <w:rStyle w:val="NumeroAFNegritaCaracter"/>
        </w:rPr>
        <w:t>8</w:t>
      </w:r>
      <w:r>
        <w:t>. La representación procesal de GDF Suez Cartagena Energía, S.L., cumplimentó el día 26 de septiembre de 2014 el trámite de alegaciones conferido, interesando la estimación de la cuestión, por las razones que se resumen a continuación.</w:t>
      </w:r>
    </w:p>
    <w:p w:rsidR="00A90898" w:rsidRDefault="00A90898" w:rsidP="00A90898">
      <w:pPr>
        <w:pStyle w:val="TextoNormal"/>
      </w:pPr>
    </w:p>
    <w:p w:rsidR="00A90898" w:rsidRDefault="00A90898" w:rsidP="00A90898">
      <w:pPr>
        <w:pStyle w:val="TextoNormal"/>
      </w:pPr>
      <w:r>
        <w:lastRenderedPageBreak/>
        <w:t>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lo cual argumenta que las órdenes ministeriales de desarrollo de la disposición adicional tercera se aprobaron meses y, en algunos casos, años después de la aprobación del Real Decreto-ley 14/2010.</w:t>
      </w:r>
    </w:p>
    <w:p w:rsidR="00A90898" w:rsidRDefault="00A90898" w:rsidP="00A90898">
      <w:pPr>
        <w:pStyle w:val="TextoNormal"/>
      </w:pPr>
    </w:p>
    <w:p w:rsidR="00A90898" w:rsidRDefault="00A90898" w:rsidP="00A90898">
      <w:pPr>
        <w:pStyle w:val="TextoNormal"/>
      </w:pPr>
      <w:r>
        <w:t>A continuación, aborda la infracción de los arts. 9.3 y 14 CE, para coincidir con los argumentos del Auto de planteamiento sobre el carácter discriminatorio y arbitrario de la disposición objetada.</w:t>
      </w:r>
    </w:p>
    <w:p w:rsidR="00A90898" w:rsidRDefault="00A90898" w:rsidP="00A90898">
      <w:pPr>
        <w:pStyle w:val="TextoNormal"/>
      </w:pPr>
    </w:p>
    <w:p w:rsidR="00A90898" w:rsidRDefault="00A90898" w:rsidP="00A90898">
      <w:pPr>
        <w:pStyle w:val="TextoNormal"/>
      </w:pPr>
      <w:r>
        <w:t>La entidad GDF Suez Cartagena Energía, S.L., estima que se ha vulnerado, asimismo, el principio de reserva de ley del art. 31.3 CE porque se ha impuesto una prestación patrimonial de carácter público sin definir, siquiera indiciariamente, los elementos esenciales de la misma, a lo que se suma que se ha seguido un instrumento normativo, el Real Decreto-ley, no solo faltando el presupuesto de la “extraordinaria y urgente necesidad”, sino excediendo los límites materiales previstos para dicha figura, con la que no puede afectarse al deber de contribuir, como aquí se ha hecho.</w:t>
      </w:r>
    </w:p>
    <w:p w:rsidR="00A90898" w:rsidRDefault="00A90898" w:rsidP="00A90898">
      <w:pPr>
        <w:pStyle w:val="TextoNormal"/>
      </w:pPr>
    </w:p>
    <w:p w:rsidR="00A90898" w:rsidRDefault="00A90898" w:rsidP="00A90898">
      <w:pPr>
        <w:pStyle w:val="TextoNormal"/>
      </w:pPr>
      <w:r>
        <w:t>Por lo anterior, concluye que la disposición adicional tercera del Real Decreto-ley 14/2010 resulta contraria a los arts. 9.3, 14, 31 y 86 CE.</w:t>
      </w:r>
    </w:p>
    <w:p w:rsidR="00A90898" w:rsidRDefault="00A90898" w:rsidP="00A90898">
      <w:pPr>
        <w:pStyle w:val="TextoNormal"/>
      </w:pPr>
    </w:p>
    <w:p w:rsidR="00A90898" w:rsidRDefault="00A90898" w:rsidP="00A90898">
      <w:pPr>
        <w:pStyle w:val="TextoNormal"/>
      </w:pPr>
      <w:r w:rsidRPr="00A90898">
        <w:rPr>
          <w:rStyle w:val="NumeroAFNegritaCaracter"/>
        </w:rPr>
        <w:t>9</w:t>
      </w:r>
      <w:r>
        <w:t>. El Fiscal General del Estado presentó sus alegaciones el 30 de septiembre de 2014, en las que solicitó la desestimación de la cuestión de inconstitucionalidad, por los motivos que seguidamente se exponen.</w:t>
      </w:r>
    </w:p>
    <w:p w:rsidR="00A90898" w:rsidRDefault="00A90898" w:rsidP="00A90898">
      <w:pPr>
        <w:pStyle w:val="TextoNormal"/>
      </w:pPr>
    </w:p>
    <w:p w:rsidR="00A90898" w:rsidRDefault="00A90898" w:rsidP="00A90898">
      <w:pPr>
        <w:pStyle w:val="TextoNormal"/>
      </w:pPr>
      <w:r>
        <w:t>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la cual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00A90898" w:rsidRDefault="00A90898" w:rsidP="00A90898">
      <w:pPr>
        <w:pStyle w:val="TextoNormal"/>
      </w:pPr>
    </w:p>
    <w:p w:rsidR="00A90898" w:rsidRDefault="00A90898" w:rsidP="00A90898">
      <w:pPr>
        <w:pStyle w:val="TextoNormal"/>
      </w:pPr>
      <w:r>
        <w:t>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como es corregir el déficit tarifario mediante un esfuerzo adicional de todos los agentes del sector. Y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00A90898" w:rsidRDefault="00A90898" w:rsidP="00A90898">
      <w:pPr>
        <w:pStyle w:val="TextoNormal"/>
      </w:pPr>
    </w:p>
    <w:p w:rsidR="00A90898" w:rsidRDefault="00A90898" w:rsidP="00A90898">
      <w:pPr>
        <w:pStyle w:val="TextoNormal"/>
      </w:pPr>
      <w:r>
        <w:lastRenderedPageBreak/>
        <w:t xml:space="preserve">Respecto de la selección de determinadas empresas generadoras de régimen ordinario que hace la norma cuestionada, y haciéndose eco de las aclaraciones ofrecidas por la Abogacía del Estado en la contestación a la demanda del proceso </w:t>
      </w:r>
      <w:r w:rsidRPr="00A90898">
        <w:rPr>
          <w:i/>
        </w:rPr>
        <w:t>a quo</w:t>
      </w:r>
      <w:r>
        <w:t>,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00A90898" w:rsidRDefault="00A90898" w:rsidP="00A90898">
      <w:pPr>
        <w:pStyle w:val="TextoNormal"/>
      </w:pPr>
    </w:p>
    <w:p w:rsidR="00A90898" w:rsidRDefault="00A90898" w:rsidP="00A90898">
      <w:pPr>
        <w:pStyle w:val="TextoNormal"/>
      </w:pPr>
      <w:r>
        <w:t xml:space="preserve">Por último, en relación con los porcentajes de contribución a los planes de ahorro y eficiencia energética exigidos a cada entidad, y una vez acotado ya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w:t>
      </w:r>
      <w:r w:rsidRPr="00A90898">
        <w:rPr>
          <w:i/>
        </w:rPr>
        <w:t>a quo</w:t>
      </w:r>
      <w:r>
        <w:t>, según las cuales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00A90898" w:rsidRDefault="00A90898" w:rsidP="00A90898">
      <w:pPr>
        <w:pStyle w:val="TextoNormal"/>
      </w:pPr>
    </w:p>
    <w:p w:rsidR="00A90898" w:rsidRDefault="00A90898" w:rsidP="00A90898">
      <w:pPr>
        <w:pStyle w:val="TextoNormal"/>
      </w:pPr>
      <w:r>
        <w:t>Con base en lo anterior, el Fiscal General del Estado solicita que se desestime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10</w:t>
      </w:r>
      <w:r>
        <w:t>. Mediante providencia de fecha de 10 de noviembre de 2016 se señaló para deliberación y votación de la presente Sentencia el día 14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de la Constitución.</w:t>
      </w:r>
    </w:p>
    <w:p w:rsidR="00A90898" w:rsidRDefault="00A90898" w:rsidP="00A90898">
      <w:pPr>
        <w:pStyle w:val="TextoNormal"/>
      </w:pPr>
    </w:p>
    <w:p w:rsidR="00A90898" w:rsidRDefault="00A90898" w:rsidP="00A90898">
      <w:pPr>
        <w:pStyle w:val="TextoNormal"/>
      </w:pPr>
      <w:r>
        <w:t>El precepto cuestionado, bajo el título “Financiación de planes de ahorro y eficiencia energética para los años 2011, 2012 y 2013”, establece lo siguiente:</w:t>
      </w:r>
    </w:p>
    <w:p w:rsidR="00A90898" w:rsidRDefault="00A90898" w:rsidP="00A90898">
      <w:pPr>
        <w:pStyle w:val="TextoNormal"/>
      </w:pPr>
    </w:p>
    <w:p w:rsidR="00A90898" w:rsidRDefault="00A90898" w:rsidP="00A90898">
      <w:pPr>
        <w:pStyle w:val="TextoNormal"/>
      </w:pPr>
      <w:r>
        <w:t xml:space="preserve">“1.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19 de octubre de 2003, previstas para los años 2011 y 2012 de 270 Millones de euros y 250 Millones </w:t>
      </w:r>
      <w:r>
        <w:lastRenderedPageBreak/>
        <w:t>de euros respectivamente, se financiarán mediante la aportación de cada una de las empresas productoras según los porcentajes recogidos en la siguiente tabla:</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....................EMPRESA................................PORCENTAJE</w:t>
      </w:r>
    </w:p>
    <w:p w:rsidR="00A90898" w:rsidRDefault="00A90898" w:rsidP="00A90898">
      <w:pPr>
        <w:pStyle w:val="TextoNormal"/>
      </w:pPr>
    </w:p>
    <w:p w:rsidR="00A90898" w:rsidRDefault="00A90898" w:rsidP="00A90898">
      <w:pPr>
        <w:pStyle w:val="TextoNormal"/>
      </w:pPr>
      <w:r>
        <w:t>..........Endesa Generación S.A........................34,66</w:t>
      </w:r>
    </w:p>
    <w:p w:rsidR="00A90898" w:rsidRDefault="00A90898" w:rsidP="00A90898">
      <w:pPr>
        <w:pStyle w:val="TextoNormal"/>
      </w:pPr>
    </w:p>
    <w:p w:rsidR="00A90898" w:rsidRDefault="00A90898" w:rsidP="00A90898">
      <w:pPr>
        <w:pStyle w:val="TextoNormal"/>
      </w:pPr>
      <w:r>
        <w:t>..........Iberdrola Generación, S.A....................32,71</w:t>
      </w:r>
    </w:p>
    <w:p w:rsidR="00A90898" w:rsidRDefault="00A90898" w:rsidP="00A90898">
      <w:pPr>
        <w:pStyle w:val="TextoNormal"/>
      </w:pPr>
    </w:p>
    <w:p w:rsidR="00A90898" w:rsidRDefault="00A90898" w:rsidP="00A90898">
      <w:pPr>
        <w:pStyle w:val="TextoNormal"/>
      </w:pPr>
      <w:r>
        <w:t>..........GAS Natural S.D.G, S.A.......................16,37</w:t>
      </w:r>
    </w:p>
    <w:p w:rsidR="00A90898" w:rsidRDefault="00A90898" w:rsidP="00A90898">
      <w:pPr>
        <w:pStyle w:val="TextoNormal"/>
      </w:pPr>
    </w:p>
    <w:p w:rsidR="00A90898" w:rsidRDefault="00A90898" w:rsidP="00A90898">
      <w:pPr>
        <w:pStyle w:val="TextoNormal"/>
      </w:pPr>
      <w:r>
        <w:t>..........Hidroeléctrica del Cantábrico, S.A..........4,38</w:t>
      </w:r>
    </w:p>
    <w:p w:rsidR="00A90898" w:rsidRDefault="00A90898" w:rsidP="00A90898">
      <w:pPr>
        <w:pStyle w:val="TextoNormal"/>
      </w:pPr>
    </w:p>
    <w:p w:rsidR="00A90898" w:rsidRDefault="00A90898" w:rsidP="00A90898">
      <w:pPr>
        <w:pStyle w:val="TextoNormal"/>
      </w:pPr>
      <w:r>
        <w:t>..........E.ON Generación, S.L...........................2,96</w:t>
      </w:r>
    </w:p>
    <w:p w:rsidR="00A90898" w:rsidRDefault="00A90898" w:rsidP="00A90898">
      <w:pPr>
        <w:pStyle w:val="TextoNormal"/>
      </w:pPr>
    </w:p>
    <w:p w:rsidR="00A90898" w:rsidRDefault="00A90898" w:rsidP="00A90898">
      <w:pPr>
        <w:pStyle w:val="TextoNormal"/>
      </w:pPr>
      <w:r>
        <w:t>..........AES Cartagena, S.R.L...........................2,07</w:t>
      </w:r>
    </w:p>
    <w:p w:rsidR="00A90898" w:rsidRDefault="00A90898" w:rsidP="00A90898">
      <w:pPr>
        <w:pStyle w:val="TextoNormal"/>
      </w:pPr>
    </w:p>
    <w:p w:rsidR="00A90898" w:rsidRDefault="00A90898" w:rsidP="00A90898">
      <w:pPr>
        <w:pStyle w:val="TextoNormal"/>
      </w:pPr>
      <w:r>
        <w:t>..........Bizkaia Energía, S.L.............................1,42</w:t>
      </w:r>
    </w:p>
    <w:p w:rsidR="00A90898" w:rsidRDefault="00A90898" w:rsidP="00A90898">
      <w:pPr>
        <w:pStyle w:val="TextoNormal"/>
      </w:pPr>
    </w:p>
    <w:p w:rsidR="00A90898" w:rsidRDefault="00A90898" w:rsidP="00A90898">
      <w:pPr>
        <w:pStyle w:val="TextoNormal"/>
      </w:pPr>
      <w:r>
        <w:t>..........Castelnou Energía, S.L.........................1,58</w:t>
      </w:r>
    </w:p>
    <w:p w:rsidR="00A90898" w:rsidRDefault="00A90898" w:rsidP="00A90898">
      <w:pPr>
        <w:pStyle w:val="TextoNormal"/>
      </w:pPr>
    </w:p>
    <w:p w:rsidR="00A90898" w:rsidRDefault="00A90898" w:rsidP="00A90898">
      <w:pPr>
        <w:pStyle w:val="TextoNormal"/>
      </w:pPr>
      <w:r>
        <w:t>..........Nueva Generadora del Sur, S.A.............1,62</w:t>
      </w:r>
    </w:p>
    <w:p w:rsidR="00A90898" w:rsidRDefault="00A90898" w:rsidP="00A90898">
      <w:pPr>
        <w:pStyle w:val="TextoNormal"/>
      </w:pPr>
    </w:p>
    <w:p w:rsidR="00A90898" w:rsidRDefault="00A90898" w:rsidP="00A90898">
      <w:pPr>
        <w:pStyle w:val="TextoNormal"/>
      </w:pPr>
      <w:r>
        <w:t>..........Bahía de Bizkaia Electricidad, S.L...........1,42</w:t>
      </w:r>
    </w:p>
    <w:p w:rsidR="00A90898" w:rsidRDefault="00A90898" w:rsidP="00A90898">
      <w:pPr>
        <w:pStyle w:val="TextoNormal"/>
      </w:pPr>
    </w:p>
    <w:p w:rsidR="00A90898" w:rsidRDefault="00A90898" w:rsidP="00A90898">
      <w:pPr>
        <w:pStyle w:val="TextoNormal"/>
      </w:pPr>
      <w:r>
        <w:t>..........Tarragona Power, S.L...........................0,81</w:t>
      </w:r>
    </w:p>
    <w:p w:rsidR="00A90898" w:rsidRDefault="00A90898" w:rsidP="00A90898">
      <w:pPr>
        <w:pStyle w:val="TextoNormal"/>
      </w:pPr>
    </w:p>
    <w:p w:rsidR="00A90898" w:rsidRDefault="00A90898" w:rsidP="00A90898">
      <w:pPr>
        <w:pStyle w:val="TextoNormal"/>
      </w:pPr>
      <w:r>
        <w:t>....................Total.....................................100,00</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00A90898" w:rsidRDefault="00A90898" w:rsidP="00A90898">
      <w:pPr>
        <w:pStyle w:val="TextoNormal"/>
      </w:pPr>
    </w:p>
    <w:p w:rsidR="00A90898" w:rsidRDefault="00A90898" w:rsidP="00A90898">
      <w:pPr>
        <w:pStyle w:val="TextoNormal"/>
      </w:pPr>
      <w:r>
        <w:t>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11 entidades en concreto ni los porcentajes atribuidos.</w:t>
      </w:r>
    </w:p>
    <w:p w:rsidR="00A90898" w:rsidRDefault="00A90898" w:rsidP="00A90898">
      <w:pPr>
        <w:pStyle w:val="TextoNormal"/>
      </w:pPr>
    </w:p>
    <w:p w:rsidR="00A90898" w:rsidRDefault="00A90898" w:rsidP="00A90898">
      <w:pPr>
        <w:pStyle w:val="TextoNormal"/>
      </w:pPr>
      <w:r>
        <w:t xml:space="preserve">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w:t>
      </w:r>
      <w:r>
        <w:lastRenderedPageBreak/>
        <w:t>criterio para fijar el porcentaje concreto en que cada una debe contribuir a la financiación de los planes indicados.</w:t>
      </w:r>
    </w:p>
    <w:p w:rsidR="00A90898" w:rsidRDefault="00A90898" w:rsidP="00A90898">
      <w:pPr>
        <w:pStyle w:val="TextoNormal"/>
      </w:pPr>
    </w:p>
    <w:p w:rsidR="00A90898" w:rsidRDefault="00A90898" w:rsidP="00A90898">
      <w:pPr>
        <w:pStyle w:val="TextoNormal"/>
      </w:pPr>
      <w:r>
        <w:t>Por su parte, la entidad GDF Suez Cartagena Energía, S.L., solicita la estimación, al apreciar que el precepto vulnera el art. 14 CE, en cuanto impone una carga solo a determinadas empresas de generación eléctrica, dando lugar a una desigualdad injustificada; y denuncia, asimismo, la infracción del art. 9.3 CE, por no existir causa que explique la selección de las empresas obligadas, ni el porcentaje de contribución exigido a cada una de ellas. La citada sociedad apunta también a la posible inconstitucionalidad de la norma por colisión con el art. 31.3 CE, porque se ha impuesto una prestación patrimonial de carácter público sin definir los elementos esenciales de la misma, y con el art. 86.1 CE, al haberse establecido mediante un real decreto-ley sin concurrir el presupuesto habilitante de este instrumento normativo (la extraordinaria y urgente necesidad) y afectarse, además, al deber de contribuir a que se refiere el art. 31.1 CE.</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examen de fondo, procede efectuar determinadas consideraciones preliminares, a fin de delimitar con precisión el objeto de la controversia y el alcance de nuestro enjuiciamiento:</w:t>
      </w:r>
    </w:p>
    <w:p w:rsidR="00A90898" w:rsidRDefault="00A90898" w:rsidP="00A90898">
      <w:pPr>
        <w:pStyle w:val="TextoNormal"/>
      </w:pPr>
    </w:p>
    <w:p w:rsidR="00A90898" w:rsidRDefault="00A90898" w:rsidP="00A90898">
      <w:pPr>
        <w:pStyle w:val="TextoNormal"/>
      </w:pPr>
      <w:r>
        <w:t xml:space="preserve">a) La primera se refiere a que, durante la pendencia del proceso judicial </w:t>
      </w:r>
      <w:r w:rsidRPr="00A90898">
        <w:rPr>
          <w:i/>
        </w:rPr>
        <w:t>a quo</w:t>
      </w:r>
      <w:r>
        <w:t>,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00A90898" w:rsidRDefault="00A90898" w:rsidP="00A90898">
      <w:pPr>
        <w:pStyle w:val="TextoNormal"/>
      </w:pPr>
    </w:p>
    <w:p w:rsidR="00A90898" w:rsidRDefault="00A90898" w:rsidP="00A90898">
      <w:pPr>
        <w:pStyle w:val="TextoNormal"/>
      </w:pPr>
      <w: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sí es aplicable en el proceso </w:t>
      </w:r>
      <w:r w:rsidRPr="00A90898">
        <w:rPr>
          <w:i/>
        </w:rPr>
        <w:t>a quo</w:t>
      </w:r>
      <w:r>
        <w:t xml:space="preserve"> y de su validez depende la decisión a adoptar en este, como exige el art. 163 CE (juicios de aplicabilidad y relevancia, que aquí no se discuten),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00A90898" w:rsidRDefault="00A90898" w:rsidP="00A90898">
      <w:pPr>
        <w:pStyle w:val="TextoNormal"/>
      </w:pPr>
    </w:p>
    <w:p w:rsidR="00A90898" w:rsidRDefault="00A90898" w:rsidP="00A90898">
      <w:pPr>
        <w:pStyle w:val="TextoNormal"/>
      </w:pPr>
      <w:r>
        <w:t>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tal y como demanda el art. 35.2 LOTC.</w:t>
      </w:r>
    </w:p>
    <w:p w:rsidR="00A90898" w:rsidRDefault="00A90898" w:rsidP="00A90898">
      <w:pPr>
        <w:pStyle w:val="TextoNormal"/>
      </w:pPr>
    </w:p>
    <w:p w:rsidR="00A90898" w:rsidRDefault="00A90898" w:rsidP="00A90898">
      <w:pPr>
        <w:pStyle w:val="TextoNormal"/>
      </w:pPr>
      <w:r>
        <w:lastRenderedPageBreak/>
        <w:t>A pesar de que la entidad GDF Suez Cartagena Energía, S.L., suscita en su escrito de alegaciones la posible infracción de otros preceptos de la Constitución, aparte de los señalados por el órgano promotor, sobre los que, por tanto, el resto de partes no han sido oídas, no por ello debemos extender a ellos nuestro análisis de constitucionalidad, puesto que las partes personadas no pueden, al hilo de lo dispuesto en el art. 37.2 LOTC, hacer valer una pretensión propia, sino únicamente defender u oponerse a la cuestión formulada por el órgano judicial, dentro de los parámetros fijados por éste en su auto de planteamiento. Todo ello sin perjuicio de la posibilidad que reconoce el art. 39.2 LOTC, como atribución de este Tribunal, y no de las partes del proceso constitucional (SSTC 81/2003, de 30 de abril, FJ 7; 126/2008, de 27 de octubre, FJ 1, y 126/2011, de 18 de julio, FJ 7), de “fundar la declaración de inconstitucionalidad en la infracción de cualquier precepto constitucional, haya o no sido invocado en el curso del proceso”.</w:t>
      </w:r>
    </w:p>
    <w:p w:rsidR="00A90898" w:rsidRDefault="00A90898" w:rsidP="00A90898">
      <w:pPr>
        <w:pStyle w:val="TextoNormal"/>
      </w:pPr>
    </w:p>
    <w:p w:rsidR="00A90898" w:rsidRDefault="00A90898" w:rsidP="00A90898">
      <w:pPr>
        <w:pStyle w:val="TextoNormal"/>
      </w:pPr>
      <w:r>
        <w:t>Por consiguiente, nuestro examen debe circunscribirse al contraste de la disposición cuestionada con los arts. 9.3 y 14 CE, sin entrar en la pretendida contradicción que alega GDF Suez Cartagena Energía, S.L. con los arts. 31.3 y 86.1 CE, no incluidos en el Auto de planteamiento.</w:t>
      </w:r>
    </w:p>
    <w:p w:rsidR="00A90898" w:rsidRDefault="00A90898" w:rsidP="00A90898">
      <w:pPr>
        <w:pStyle w:val="TextoNormal"/>
      </w:pPr>
    </w:p>
    <w:p w:rsidR="00A90898" w:rsidRDefault="00A90898" w:rsidP="00A90898">
      <w:pPr>
        <w:pStyle w:val="TextoNormal"/>
      </w:pPr>
      <w:r w:rsidRPr="00A90898">
        <w:rPr>
          <w:rStyle w:val="NumeroAFNegritaCaracter"/>
        </w:rPr>
        <w:t>3</w:t>
      </w:r>
      <w:r>
        <w:t>.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la STC 167/2016, de 6 de octubre. El órgano promotor es la Sección Cuarta en ambas cuestiones y el Auto de planteamiento se encuentra redactado en los mismos términos, coincidiendo en su integridad tanto la norma impugnada como los preceptos constitucionales en juego y los argumentos esgrimidos por las partes en defensa de sus pretensiones.</w:t>
      </w:r>
    </w:p>
    <w:p w:rsidR="00A90898" w:rsidRDefault="00A90898" w:rsidP="00A90898">
      <w:pPr>
        <w:pStyle w:val="TextoNormal"/>
      </w:pPr>
    </w:p>
    <w:p w:rsidR="00A90898" w:rsidRDefault="00A90898" w:rsidP="00A90898">
      <w:pPr>
        <w:pStyle w:val="TextoNormal"/>
      </w:pPr>
      <w:r>
        <w:t>Pues bien, en la STC 167/2016, de 6 de octubre, tras encuadrar la controversia en el ámbito de la regulación del sector eléctrico y de la contención del déficit tarifario, y a la vista de nuestra doctrina sobre el principio de igualdad, hemos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y, por lo que respecta al resto de empresas productoras de régimen ordinario, que la selección de las 11 entidades obligadas a financiar los planes de ahorro y eficiencia energética tiene una justificación objetiva y razonable, respetando, asimismo, el canon de proporcionalidad exigible. Y,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00A90898" w:rsidRDefault="00A90898" w:rsidP="00A90898">
      <w:pPr>
        <w:pStyle w:val="TextoNormal"/>
      </w:pPr>
    </w:p>
    <w:p w:rsidR="00A90898" w:rsidRDefault="00A90898" w:rsidP="00A90898">
      <w:pPr>
        <w:pStyle w:val="TextoNormal"/>
      </w:pPr>
      <w:r>
        <w:t>En consecuencia, por evidentes razones de unidad de doctrina, solo cabe, con íntegra remisión a lo resuelto en la citada STC 167/2016, llegar aquí a la misma conclusión desestimatoria.</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catorce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8" w:name="SENTENCIA_2016_189"/>
      <w:r>
        <w:lastRenderedPageBreak/>
        <w:t>SENTENCIA 189/2016, de 14 de noviembre de 2016</w:t>
      </w:r>
    </w:p>
    <w:bookmarkEnd w:id="68"/>
    <w:p w:rsidR="00A90898" w:rsidRDefault="00A90898" w:rsidP="00A90898">
      <w:pPr>
        <w:pStyle w:val="TtuloResolucin"/>
      </w:pPr>
      <w:r>
        <w:t>Sala Segunda</w:t>
      </w:r>
    </w:p>
    <w:p w:rsidR="00A90898" w:rsidRDefault="00A90898" w:rsidP="00A90898">
      <w:pPr>
        <w:pStyle w:val="TtuloBOE"/>
      </w:pPr>
      <w:r>
        <w:t>(BOE núm. 311, de 26 de diciembre de 2016)</w:t>
      </w:r>
    </w:p>
    <w:p w:rsidR="00A90898" w:rsidRDefault="00A90898" w:rsidP="00A90898">
      <w:pPr>
        <w:pStyle w:val="TextoNormalCentrado"/>
      </w:pPr>
      <w:r>
        <w:t>ECLI:ES:TC:2016:189</w:t>
      </w:r>
    </w:p>
    <w:p w:rsidR="00A90898" w:rsidRDefault="00A90898" w:rsidP="00A90898">
      <w:pPr>
        <w:pStyle w:val="TextoNormalCentrado"/>
      </w:pPr>
    </w:p>
    <w:p w:rsidR="00A90898" w:rsidRDefault="00A90898" w:rsidP="00A90898">
      <w:pPr>
        <w:pStyle w:val="SntesisDescriptiva"/>
      </w:pPr>
      <w:r>
        <w:t>Recurso de amparo 2443-2015. Promovido por don Ignacio Berenguer Sánchez y don Ángel Berenguer Sánchez, en relación con la Sentencia de la Sala de lo Penal del Tribunal Supremo que declaró la nulidad, con retroacción de actuaciones, de una Sentencia absolutoria dictada por la Audiencia Provincial de Madrid.</w:t>
      </w:r>
    </w:p>
    <w:p w:rsidR="00A90898" w:rsidRDefault="00A90898" w:rsidP="00A90898">
      <w:pPr>
        <w:pStyle w:val="SntesisDescriptiva"/>
      </w:pPr>
    </w:p>
    <w:p w:rsidR="00A90898" w:rsidRDefault="00A90898" w:rsidP="00A90898">
      <w:pPr>
        <w:pStyle w:val="SntesisAnaltica"/>
      </w:pPr>
      <w:r>
        <w:t>Alegada vulneración de los derechos a la tutela judicial efectiva y a la presunción de inocencia: inadmisión del recurso de amparo por falta de agotamiento de los medios de impugnación utilizables.</w:t>
      </w:r>
    </w:p>
    <w:p w:rsidR="00A90898" w:rsidRDefault="00A90898" w:rsidP="00A90898">
      <w:pPr>
        <w:pStyle w:val="SntesisAnaltica"/>
      </w:pPr>
    </w:p>
    <w:p w:rsidR="00A90898" w:rsidRDefault="00A90898" w:rsidP="00A90898">
      <w:pPr>
        <w:pStyle w:val="Extracto"/>
      </w:pPr>
      <w:r>
        <w:t>1.</w:t>
      </w:r>
      <w:r>
        <w:tab/>
        <w:t xml:space="preserve">Dado que la resolución impugnada en amparo no era susceptible de recurso alguno, los demandantes deberían haber interpuesto frente a la misma un incidente de nulidad de actuaciones para agotar debidamente la vía judicial previa antes de acudir en amparo ante este Tribunal. El incidente de nulidad era claramente ejercitable </w:t>
      </w:r>
      <w:r w:rsidRPr="00A90898">
        <w:rPr>
          <w:i/>
        </w:rPr>
        <w:t>ex</w:t>
      </w:r>
      <w:r>
        <w:t xml:space="preserve"> art. 241.1 LOPJ sin necesidad de superar unas dificultades interpretativas mayores de lo exigible razonablemente (STC 131/2016), por lo que debió formalizarse como único medio para poner en conocimiento de la jurisdicción ordinaria las pretendidas lesiones y posibilitar, en su caso, su reparación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2443-2015, promovido por don Ignacio Berenguer Sánchez y don Ángel Berenguer Sánchez, representados por el Procurador de los Tribunales don Ignacio Melchor de Oruña y asistidos por el Abogado don Óscar Enrique Gilsanz Martín, contra la Sentencia de 17 de marzo de 2015 de la Sala de lo Penal del Tribunal Supremo, dictada en el recurso de casación núm. 1159-2014, que declaró la nulidad de la Sentencia de 11 de abril de 2014 de la Sección Quinta de la Audiencia Provincial de Madrid, en causa Rollo de Sala núm.16-2012, correspondiente al procedimiento sumario núm. 1/2011 del Juzgado de Instrucción núm. 2 de Navalcarnero seguido por delito contra la salud pública. Ha intervenido el Ministerio Fiscal. Ha comparecido la Procuradora de los Tribunales doña Elisa Zabía de la Mata, en nombre y representación de don Álvaro Abad Portillo, y el Procurador don Juan Torrecilla Jiménez, en nombre y representación de don José Luis Cardeña </w:t>
      </w:r>
      <w:r>
        <w:lastRenderedPageBreak/>
        <w:t>Pérez y don Mario Cardeña Pérez.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28 de abril de 2015, el Procurador de los Tribunales don Ignacio Melchor de Oruña, actuando en nombre y representación de don Ignacio Berenguer Sánchez y don Ángel Berenguer Sánchez, presentó recurso de amparo constitucional contra la Sentencia de 17 de marzo de 2015 de la Sala de lo Penal del Tribunal Supremo, dictada en el recurso de casación núm. 1159-2014, que declaró la nulidad de la Sentencia de 11 de abril de 2014 de la Sección Quinta de la Audiencia Provincial de Madrid, en causa rollo de Sala núm. 16-2012, correspondiente al procedimiento sumario núm. 1-2011 del Juzgado de Instrucción núm. 2 de Navalcarnero seguido por delito contra la salud pública, acordando la retroacción de las actuaciones “a la fase de deliberación subsiguiente a la celebración del juicio, para que, por los mismos magistrados que la dictaron, se delibere y redacte una nueva sentencia, partiendo de la regularidad de la cadena de custodia y validez de los informes periciales analíticos emitidos, sobre las distintas sustancias incautadas”.</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son, en síntesis, los siguientes:</w:t>
      </w:r>
    </w:p>
    <w:p w:rsidR="00A90898" w:rsidRDefault="00A90898" w:rsidP="00A90898">
      <w:pPr>
        <w:pStyle w:val="TextoNormal"/>
      </w:pPr>
    </w:p>
    <w:p w:rsidR="00A90898" w:rsidRDefault="00A90898" w:rsidP="00A90898">
      <w:pPr>
        <w:pStyle w:val="TextoNormal"/>
      </w:pPr>
      <w:r>
        <w:t>a) El Juzgado de Instrucción núm. 2 de Navalcarnero incoó procedimiento sumario núm. 1-2011. En dicha causa la Sección Quinta de la Audiencia Provincial de Madrid, tras celebrar juicio oral y público, dictó Sentencia el 11 de abril de 2014, que contenía el siguiente fallo: “Que debemos Absolver y Absolvemos a Sergio Cazorla González, Álvaro Abad Portillo e Ignacio Berenguer Sánchez como responsables en concepto de autor de un delito contra la salud pública del artículo 368, párrafo primero y parágrafo primero, del Código Penal en relación con su artículo 369.5 y de que venían acusados; declarando de oficio las costas causadas de su respecto. Que debemos de absolver y absolvemos a Mario Cardeña Pérez, José Luis Cardeña Pérez y Ángel Berenguer Sánchez del delito del artículo 368, párrafo primero y parágrafo primero, del Código Penal y declarando de oficio las costas de su respecto”.</w:t>
      </w:r>
    </w:p>
    <w:p w:rsidR="00A90898" w:rsidRDefault="00A90898" w:rsidP="00A90898">
      <w:pPr>
        <w:pStyle w:val="TextoNormal"/>
      </w:pPr>
    </w:p>
    <w:p w:rsidR="00A90898" w:rsidRDefault="00A90898" w:rsidP="00A90898">
      <w:pPr>
        <w:pStyle w:val="TextoNormal"/>
      </w:pPr>
      <w:r>
        <w:t xml:space="preserve">b) La </w:t>
      </w:r>
      <w:r w:rsidRPr="00A90898">
        <w:rPr>
          <w:i/>
        </w:rPr>
        <w:t>ratio decidendi</w:t>
      </w:r>
      <w:r>
        <w:t xml:space="preserve"> de la absolución radicó en la valoración que hizo el órgano judicial sobre la cadena de custodia de las sustancias incautadas a los acusados. Razona la Sala de la Audiencia Provincial de Madrid que el formulario empleado no se ajustó al que procede y que la sustancia intervenida permaneció en dependencias policiales, al parecer, sin estar convenientemente individualizada e identificada a la espera de ser remitida al organismo correspondiente, lo que impediría afirmar con las debidas garantías y la certidumbre precisa que lo en su día aprehendido coincidiera con lo depositado y analizado. Por ello, tras apreciar la ruptura de la cadena de custodia, resuelve la Sentencia la ausencia de prueba de cargo suficiente para desvirtuar la presunción de inocencia de los acusados y procede, así, a su absolución, en los términos más atrás transcritos.</w:t>
      </w:r>
    </w:p>
    <w:p w:rsidR="00A90898" w:rsidRDefault="00A90898" w:rsidP="00A90898">
      <w:pPr>
        <w:pStyle w:val="TextoNormal"/>
      </w:pPr>
    </w:p>
    <w:p w:rsidR="00A90898" w:rsidRDefault="00A90898" w:rsidP="00A90898">
      <w:pPr>
        <w:pStyle w:val="TextoNormal"/>
      </w:pPr>
      <w:r>
        <w:t>c) Notificada la resolución a las partes, se preparó por el Ministerio Fiscal recurso de casación por infracción de ley y de precepto constitucional (derechos a la tutela judicial efectiva y a un proceso con todas las garantías, art. 24 CE).</w:t>
      </w:r>
    </w:p>
    <w:p w:rsidR="00A90898" w:rsidRDefault="00A90898" w:rsidP="00A90898">
      <w:pPr>
        <w:pStyle w:val="TextoNormal"/>
      </w:pPr>
    </w:p>
    <w:p w:rsidR="00A90898" w:rsidRDefault="00A90898" w:rsidP="00A90898">
      <w:pPr>
        <w:pStyle w:val="TextoNormal"/>
      </w:pPr>
      <w:r>
        <w:t>La Sentencia recurrida en amparo, dictada por la Sala de lo Penal del Tribunal Supremo el día 17 de marzo de 2015, estimó el recurso y declaró “la nulidad de la sentencia de instancia, retrotrayéndose las actuaciones a la fase de deliberación subsiguiente a la celebración del juicio, para que, por los mismos magistrados que la dictaron, se delibere y redacte una nueva sentencia, partiendo de la regularidad de la cadena de custodia y validez de los informes periciales analíticos emitidos, sobre las distintas sustancia incautadas”. Fundaba su decisión en los datos obrantes en las actuaciones y en la no concurrencia de ningún suceso o de circunstancia alguna que permitiese siquiera sospechar que la sustancia incautada no fuera la misma que posteriormente se trasladó al laboratorio para su análisis, sin que la incorrecta cumplimentación de los formularios y atestados por los citados funcionarios —decía la Sala— pudiera sustentar la duda de que la sustancia hubiese sido de algún modo manipulada hasta su llegada al laboratorio, y sin que cupiera tampoco establecer una presunción, como se derivaría de la sentencia de instancia, de que las actuaciones policiales y judiciales en la custodia de la sustancia intervenida fueran ilegítimas o irregulares.</w:t>
      </w:r>
    </w:p>
    <w:p w:rsidR="00A90898" w:rsidRDefault="00A90898" w:rsidP="00A90898">
      <w:pPr>
        <w:pStyle w:val="TextoNormal"/>
      </w:pPr>
    </w:p>
    <w:p w:rsidR="00A90898" w:rsidRDefault="00A90898" w:rsidP="00A90898">
      <w:pPr>
        <w:pStyle w:val="TextoNormal"/>
      </w:pPr>
      <w:r w:rsidRPr="00A90898">
        <w:rPr>
          <w:rStyle w:val="NumeroAFNegritaCaracter"/>
        </w:rPr>
        <w:t>3</w:t>
      </w:r>
      <w:r>
        <w:t>. A juicio de los recurrentes en amparo se ha vulnerado el art. 24 CE, en cuanto a los derechos a la presunción de inocencia y a la tutela judicial efectiva, en relación con el principio de inmediación y el carácter público del proceso. Aducen irregularidades determinantes y de entidad en la cadena de custodia, toda vez que, como dijera la Sentencia de instancia, no queda acreditado inequívocamente que la sustancia enviada al laboratorio oficial fuera la incautada. Así lo declaró la Sentencia casada, con oralidad e inmediación judicial en la práctica de la prueba; con un conocimiento, por tanto, más completo y directo que el adquirido por la Sala de lo Penal del Tribunal Supremo sin la referida inmediación. Por lo demás, se añade, no hubo ratificación del atestado policial por los agentes en el plenario, de suerte que su contenido no debió ser tenido en cuenta de manera genérica e íntegra, pese a lo cual lo hizo el Tribunal Supremo, existiendo asimismo defectos de forma en la cumplimentación de los formularios.</w:t>
      </w:r>
    </w:p>
    <w:p w:rsidR="00A90898" w:rsidRDefault="00A90898" w:rsidP="00A90898">
      <w:pPr>
        <w:pStyle w:val="TextoNormal"/>
      </w:pPr>
    </w:p>
    <w:p w:rsidR="00A90898" w:rsidRDefault="00A90898" w:rsidP="00A90898">
      <w:pPr>
        <w:pStyle w:val="TextoNormal"/>
      </w:pPr>
      <w:r>
        <w:t>Mediante otrosí, la demanda de amparo solicitaba la suspensión cautelar del procedimiento seguido en la Sección quinta de la Audiencia Provincial de Madrid.</w:t>
      </w:r>
    </w:p>
    <w:p w:rsidR="00A90898" w:rsidRDefault="00A90898" w:rsidP="00A90898">
      <w:pPr>
        <w:pStyle w:val="TextoNormal"/>
      </w:pPr>
    </w:p>
    <w:p w:rsidR="00A90898" w:rsidRDefault="00A90898" w:rsidP="00A90898">
      <w:pPr>
        <w:pStyle w:val="TextoNormal"/>
      </w:pPr>
      <w:r w:rsidRPr="00A90898">
        <w:rPr>
          <w:rStyle w:val="NumeroAFNegritaCaracter"/>
        </w:rPr>
        <w:t>4</w:t>
      </w:r>
      <w:r>
        <w:t>. En virtud de providencia de la Sección Cuarta de la Sala Segunda de este Tribunal, de 30 de noviembre de 2015, se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así como, y de conformidad con lo dispuesto en el art. 51 de la Ley Orgánica del Tribunal Constitucional (LOTC), dirigir atenta comunicación a la Sala de lo Penal del Tribunal Supremo y a la Sección Quinta de la Audiencia Provincial de Madrid a fin de que, en plazo que no excediera de diez días, remitieran certificación o fotocopia adverada de las actuaciones correspondientes y que, por el último órgano judicial citado, se emplazase a quienes hubieran sido parte en el procedimiento, excepto a los demandantes en amparo, para que en el plazo de diez días pudieran comparecer en este proceso constitucional. Asimismo, acordó formar la correspondiente pieza separada de suspensión.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5</w:t>
      </w:r>
      <w:r>
        <w:t>. Por providencia de la misma fecha, la Sala segunda abrió la pieza separada para la tramitación del incidente de suspensión, concediéndose un plazo común de tres días a la parte recurrente y al Ministerio Fiscal para que formularan alegaciones sobre el particular, conforme a lo previsto en el art. 56 LOTC. Por Auto de 18 de enero de 2016 se denegó la suspensión solicitada.</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en este Tribunal el día 8 de febrero de 2016, la Procuradora doña Elisa Zabía de la Mata solicitó que se le tuviera por personada en nombre y representación de don Álvaro Abad Portillo. Hizo lo propio, por escrito de 11 de febrero de 2016, el Procurador don Juan Torrecilla Jiménez, en nombre y representación de don José Luis Cardeña Pérez y don Mario Cardeña Pérez.</w:t>
      </w:r>
    </w:p>
    <w:p w:rsidR="00A90898" w:rsidRDefault="00A90898" w:rsidP="00A90898">
      <w:pPr>
        <w:pStyle w:val="TextoNormal"/>
      </w:pPr>
    </w:p>
    <w:p w:rsidR="00A90898" w:rsidRDefault="00A90898" w:rsidP="00A90898">
      <w:pPr>
        <w:pStyle w:val="TextoNormal"/>
      </w:pPr>
      <w:r w:rsidRPr="00A90898">
        <w:rPr>
          <w:rStyle w:val="NumeroAFNegritaCaracter"/>
        </w:rPr>
        <w:t>7</w:t>
      </w:r>
      <w:r>
        <w:t>. Por diligencia de ordenación de la Secretaría de Justicia de la Sala Segunda de este Tribunal, de 19 de febrero de 2016, se tuvieron por recibidos los anteriores escritos de la Procuradora doña Elisa Zabía de la Mata y del Procurador don Juan Torrecilla Jiménez, a quienes se tuvo por personados y parte en la representación que ostentan. Se acordó, asimismo, abrir el plazo común de 20 días al Ministerio Fiscal y a las partes personadas, de conformidad con el art. 52.1 LOTC, para que pudieran presentar las alegaciones que a su derecho conviniere.</w:t>
      </w:r>
    </w:p>
    <w:p w:rsidR="00A90898" w:rsidRDefault="00A90898" w:rsidP="00A90898">
      <w:pPr>
        <w:pStyle w:val="TextoNormal"/>
      </w:pPr>
    </w:p>
    <w:p w:rsidR="00A90898" w:rsidRDefault="00A90898" w:rsidP="00A90898">
      <w:pPr>
        <w:pStyle w:val="TextoNormal"/>
      </w:pPr>
      <w:r w:rsidRPr="00A90898">
        <w:rPr>
          <w:rStyle w:val="NumeroAFNegritaCaracter"/>
        </w:rPr>
        <w:t>8</w:t>
      </w:r>
      <w:r>
        <w:t>. La representación procesal de los demandantes de amparo se ratificó en el contenido de su demanda, según consta en escrito de 8 de marzo de 2016, destacando particularmente en este trámite que se produjo una indebida valoración de la prueba por parte del Tribunal Supremo, lesiva del derecho a un proceso con todas las garantías (art. 24.2 CE), por haberse revocado la absolución inicial a partir de una nueva valoración de pruebas personales realizada sin las garantías de inmediación y contradicción que sí tuvo la Audiencia Provincial de Madrid y que este Tribunal ha exigido para las condenas en segunda instancia.</w:t>
      </w:r>
    </w:p>
    <w:p w:rsidR="00A90898" w:rsidRDefault="00A90898" w:rsidP="00A90898">
      <w:pPr>
        <w:pStyle w:val="TextoNormal"/>
      </w:pPr>
    </w:p>
    <w:p w:rsidR="00A90898" w:rsidRDefault="00A90898" w:rsidP="00A90898">
      <w:pPr>
        <w:pStyle w:val="TextoNormal"/>
      </w:pPr>
      <w:r w:rsidRPr="00A90898">
        <w:rPr>
          <w:rStyle w:val="NumeroAFNegritaCaracter"/>
        </w:rPr>
        <w:t>9</w:t>
      </w:r>
      <w:r>
        <w:t>. Evacuó el trámite la Procuradora doña Elisa Zabía de la Mata por escrito registrado el día 8 de marzo de 2016, que coincide en términos enteramente literales con el de alegaciones de los recurrentes en amparo, solicitando la extensión de los efectos de la Sentencia a su representado, don Álvaro Abad Portillo.</w:t>
      </w:r>
    </w:p>
    <w:p w:rsidR="00A90898" w:rsidRDefault="00A90898" w:rsidP="00A90898">
      <w:pPr>
        <w:pStyle w:val="TextoNormal"/>
      </w:pPr>
    </w:p>
    <w:p w:rsidR="00A90898" w:rsidRDefault="00A90898" w:rsidP="00A90898">
      <w:pPr>
        <w:pStyle w:val="TextoNormal"/>
      </w:pPr>
      <w:r w:rsidRPr="00A90898">
        <w:rPr>
          <w:rStyle w:val="NumeroAFNegritaCaracter"/>
        </w:rPr>
        <w:t>10</w:t>
      </w:r>
      <w:r>
        <w:t>. El Ministerio Fiscal presentó su escrito de alegaciones con fecha 13 de abril de 2016. A su juicio el recurso debería ser inadmitido, al amparo del art. 44 1 a) LOTC, por no haberse agotado la vía judicial previa.</w:t>
      </w:r>
    </w:p>
    <w:p w:rsidR="00A90898" w:rsidRDefault="00A90898" w:rsidP="00A90898">
      <w:pPr>
        <w:pStyle w:val="TextoNormal"/>
      </w:pPr>
    </w:p>
    <w:p w:rsidR="00A90898" w:rsidRDefault="00A90898" w:rsidP="00A90898">
      <w:pPr>
        <w:pStyle w:val="TextoNormal"/>
      </w:pPr>
      <w:r>
        <w:t xml:space="preserve">Señala que, conforme a la doctrina de este Tribunal, la regla general es la recurribilidad de la sentencia que cierra el proceso judicial, resultando en este caso que en el momento de presentación de la demanda de amparo aquél permanecía abierto y en curso. Admite, sin embargo, que sería dudosa la aplicación de ese criterio de prematuridad del amparo al presente recurso porque “es difícil imaginar que, a quien hipotéticamente resultara condenado en esa segunda sentencia, le cupiera la posibilidad de alegar esta vulneración ya que el Tribunal Supremo la rechazaría de plano, sin entrar en su análisis pues sobre ella ya se ha pronunciado en la sentencia objeto del recurso de amparo, y no olvidemos que la nulidad que acuerda sólo lo es desde el momento de deliberar la sentencia, no cabe pues que se </w:t>
      </w:r>
      <w:r>
        <w:lastRenderedPageBreak/>
        <w:t>aumente el acervo probatorio, con nuevas pruebas que le permitieran revisar su propia decisión en relación con la validez de la cadena de custodia y las pruebas derivadas de la misma”.</w:t>
      </w:r>
    </w:p>
    <w:p w:rsidR="00A90898" w:rsidRDefault="00A90898" w:rsidP="00A90898">
      <w:pPr>
        <w:pStyle w:val="TextoNormal"/>
      </w:pPr>
    </w:p>
    <w:p w:rsidR="00A90898" w:rsidRDefault="00A90898" w:rsidP="00A90898">
      <w:pPr>
        <w:pStyle w:val="TextoNormal"/>
      </w:pPr>
      <w:r>
        <w:t>No le cabe duda alguna, por el contrario, de la concurrencia de otra objeción fundada en el art. 44.1 a) LOTC: la derivada de la no formalización del remedio procesal del art. 241 de la Ley Orgánica del Poder Judicial contra la resolución recurrida. A su juicio, la Sentencia que se impugna cumplía el requisito de ser inatacable en vía de recurso, ya que lo que la misma acuerda no es ni la culpabilidad ni la inocencia de los procesados sino la nulidad de una parte del procedimiento (desde la Sentencia absolutoria dictada) y la retroacción de las actuaciones para una nueva resolución que acogiera lo declarado sobre la validez de la prueba. Una decisión, por tanto, que no era susceptible de nuevos pronunciamientos. En consecuencia, como los recurrentes denuncian que no se cumplió la garantía de inmediación por el Tribunal Supremo, alegación que no pudieron formular con anterioridad al dictado de la Sentencia recurrida, deberían haber dado al órgano judicial la oportunidad de restaurar por sí la constitucionalidad cuestionada a través del cauce del incidente de nulidad de actuaciones.</w:t>
      </w:r>
    </w:p>
    <w:p w:rsidR="00A90898" w:rsidRDefault="00A90898" w:rsidP="00A90898">
      <w:pPr>
        <w:pStyle w:val="TextoNormal"/>
      </w:pPr>
    </w:p>
    <w:p w:rsidR="00A90898" w:rsidRDefault="00A90898" w:rsidP="00A90898">
      <w:pPr>
        <w:pStyle w:val="TextoNormal"/>
      </w:pPr>
      <w:r>
        <w:t>Solicita por ello la inadmisión del recurso, razonando no obstante, para el caso de que el Tribunal entrara en el fondo del asunto, que no concurren tampoco las lesiones aducidas.</w:t>
      </w:r>
    </w:p>
    <w:p w:rsidR="00A90898" w:rsidRDefault="00A90898" w:rsidP="00A90898">
      <w:pPr>
        <w:pStyle w:val="TextoNormal"/>
      </w:pPr>
    </w:p>
    <w:p w:rsidR="00A90898" w:rsidRDefault="00A90898" w:rsidP="00A90898">
      <w:pPr>
        <w:pStyle w:val="TextoNormal"/>
      </w:pPr>
      <w:r w:rsidRPr="00A90898">
        <w:rPr>
          <w:rStyle w:val="NumeroAFNegritaCaracter"/>
        </w:rPr>
        <w:t>11</w:t>
      </w:r>
      <w:r>
        <w:t>. No formuló alegaciones el Procurador don Juan Torrecilla Jiménez, personado en nombre y representación de don José Luis Cardeña Pérez y don Mario Cardeña Pérez, según se hace constar en diligencia de la Secretaria de Justicia de la Sala segunda, de 14 de abril de 2016.</w:t>
      </w:r>
    </w:p>
    <w:p w:rsidR="00A90898" w:rsidRDefault="00A90898" w:rsidP="00A90898">
      <w:pPr>
        <w:pStyle w:val="TextoNormal"/>
      </w:pPr>
    </w:p>
    <w:p w:rsidR="00A90898" w:rsidRDefault="00A90898" w:rsidP="00A90898">
      <w:pPr>
        <w:pStyle w:val="TextoNormal"/>
      </w:pPr>
      <w:r w:rsidRPr="00A90898">
        <w:rPr>
          <w:rStyle w:val="NumeroAFNegritaCaracter"/>
        </w:rPr>
        <w:t>12</w:t>
      </w:r>
      <w:r>
        <w:t>. A instancia de este Tribunal, el Tribunal Supremo remitió la Sentencia de la Sala de lo Penal, núm. 490/2016, 7 de junio de 2016, que cierra el proceso confirmando la previamente dictada por la Sección Quinta de la Audiencia Provincial de Madrid, en causa rollo de Sala núm.16-2012, de 29 de septiembre de 2015, que condena a los recurrentes en amparo.</w:t>
      </w:r>
    </w:p>
    <w:p w:rsidR="00A90898" w:rsidRDefault="00A90898" w:rsidP="00A90898">
      <w:pPr>
        <w:pStyle w:val="TextoNormal"/>
      </w:pPr>
    </w:p>
    <w:p w:rsidR="00A90898" w:rsidRDefault="00A90898" w:rsidP="00A90898">
      <w:pPr>
        <w:pStyle w:val="TextoNormal"/>
      </w:pPr>
      <w:r>
        <w:t>La Sección Cuarta de la Sala Segunda de este Tribunal, por providencia de 28 de junio de 2016, dio trámite de alegaciones sobre la documentación recibida del Alto Tribunal a las partes personadas y al Ministerio Fiscal. Todas ellos destacaron que las citadas resoluciones no son objeto del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13</w:t>
      </w:r>
      <w:r>
        <w:t>. Por providencia de 10 de noviembre de 2016 se señaló para la deliberación y votación de la presente Sentencia el día 14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Los recurrentes en amparo consideran que vulnera el art. 24 CE, en cuanto a los derechos a la presunción de inocencia y a la tutela judicial efectiva, en relación con el principio de inmediación y el carácter público del proceso, la Sentencia de 17 de marzo de 2015 de la Sala de lo Penal del Tribunal Supremo, dictada en el recurso de casación núm. 1159-2014, </w:t>
      </w:r>
      <w:r>
        <w:lastRenderedPageBreak/>
        <w:t>que declaró la nulidad de la Sentencia de 11 de abril de 2014 de la Sección Quinta de la Audiencia Provincial de Madrid, en causa rollo de Sala núm.16-2012, correspondiente al procedimiento sumario núm. 1-2011 del Juzgado de Instrucción núm. 2 de Navalcarnero seguido por delito contra la salud pública, acordando la retroacción de las actuaciones a la fase de deliberación subsiguiente a la celebración del juicio para que, por los mismos Magistrados que la dictaron, se delibere y redacte una nueva Sentencia partiendo de la regularidad de la cadena de custodia y validez de los informes periciales analíticos emitidos sobre las distintas sustancias incautadas, según ha sido descrito en los antecedentes. Aducen irregularidades determinantes y de entidad en la cadena de custodia, no apreciadas por el Tribunal Supremo pese las relevantes dudas existentes sobre ella, como dijera el órgano judicial de instancia, y asimismo que el Alto Tribunal revocó la absolución a partir de una nueva valoración de pruebas personales sin las garantías de inmediación y contradicción que la doctrina constitucional ha exigido para las condenas en segunda instancia.</w:t>
      </w:r>
    </w:p>
    <w:p w:rsidR="00A90898" w:rsidRDefault="00A90898" w:rsidP="00A90898">
      <w:pPr>
        <w:pStyle w:val="TextoNormal"/>
      </w:pPr>
    </w:p>
    <w:p w:rsidR="00A90898" w:rsidRDefault="00A90898" w:rsidP="00A90898">
      <w:pPr>
        <w:pStyle w:val="TextoNormal"/>
      </w:pPr>
      <w:r>
        <w:t>Iguales conclusiones alcanza la representación procesal de don Álvaro Abad Portillo, personado en este proceso constitucional, solicitando la extensión de los efectos de la Sentencia. El Ministerio Fiscal interesa, por su parte, la inadmisión del recurso de amparo, en virtud de lo dispuesto en el art. 44 1 a) de la Ley Orgánica del Tribunal Constitucional (LOTC), por no haberse agotado la vía judicial previa, defendiendo, subsidiariamente, que no se han causado tampoco las vulneraciones denunciadas.</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comparecidas ha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(STEDH de 20 de enero de 2015, caso </w:t>
      </w:r>
      <w:r w:rsidRPr="00A90898">
        <w:rPr>
          <w:i/>
        </w:rPr>
        <w:t>Arribas Antón c. España</w:t>
      </w:r>
      <w:r>
        <w:t>, § 46) obligan a explicitar el cumplimiento del mismo para hacer así recognoscibles los criterios empleados al efecto por este Tribunal.</w:t>
      </w:r>
    </w:p>
    <w:p w:rsidR="00A90898" w:rsidRDefault="00A90898" w:rsidP="00A90898">
      <w:pPr>
        <w:pStyle w:val="TextoNormal"/>
      </w:pPr>
    </w:p>
    <w:p w:rsidR="00A90898" w:rsidRDefault="00A90898" w:rsidP="00A90898">
      <w:pPr>
        <w:pStyle w:val="TextoNormal"/>
      </w:pPr>
      <w:r>
        <w:t>La demanda de amparo ha sido admitida a trámite por apreciar que concurre una especial trascendencia constitucional, toda vez que el recurso puede dar ocasión al Tribunal para aclarar o cambiar su doctrina, como consecuencia de un proceso de reflexión interna [STC 155/2009, FJ 2, b)], en concreto en lo relativo al orden de tratamiento y a la relación existente entre distintos óbices de procedibilidad del amparo, como se razonará en la argumentación que sigue.</w:t>
      </w:r>
    </w:p>
    <w:p w:rsidR="00A90898" w:rsidRDefault="00A90898" w:rsidP="00A90898">
      <w:pPr>
        <w:pStyle w:val="TextoNormal"/>
      </w:pPr>
    </w:p>
    <w:p w:rsidR="00A90898" w:rsidRDefault="00A90898" w:rsidP="00A90898">
      <w:pPr>
        <w:pStyle w:val="TextoNormal"/>
      </w:pPr>
      <w:r w:rsidRPr="00A90898">
        <w:rPr>
          <w:rStyle w:val="NumeroAFNegritaCaracter"/>
        </w:rPr>
        <w:t>3</w:t>
      </w:r>
      <w:r>
        <w:t>. Si es de ese modo con carácter general, con mayor razón y en función de dicha especial trascendencia constitucional nuestro examen ha de comenzar por las objeciones de admisibilidad, ya que, de concurrir, sin necesidad de ulterior análisis y sin que a ello se oponga que el procedimiento haya alcanzado el trámite de Sentencia, procedería declarar la inadmisión de la demanda de amparo (por todas, recientemente, STC 94/2016, de 9 de mayo, FJ 2, y las allí citadas).</w:t>
      </w:r>
    </w:p>
    <w:p w:rsidR="00A90898" w:rsidRDefault="00A90898" w:rsidP="00A90898">
      <w:pPr>
        <w:pStyle w:val="TextoNormal"/>
      </w:pPr>
    </w:p>
    <w:p w:rsidR="00A90898" w:rsidRDefault="00A90898" w:rsidP="00A90898">
      <w:pPr>
        <w:pStyle w:val="TextoNormal"/>
      </w:pPr>
      <w:r>
        <w:t>El Ministerio Fiscal, propiamente, enuncia una única objeción procesal, la relativa a la falta de agotamiento de la vía judicial previa por no formalización de un incidente de nulidad de actuaciones del art. 241 de la Ley Orgánica del Poder Judicial (LOPJ).</w:t>
      </w:r>
    </w:p>
    <w:p w:rsidR="00A90898" w:rsidRDefault="00A90898" w:rsidP="00A90898">
      <w:pPr>
        <w:pStyle w:val="TextoNormal"/>
      </w:pPr>
    </w:p>
    <w:p w:rsidR="00A90898" w:rsidRDefault="00A90898" w:rsidP="00A90898">
      <w:pPr>
        <w:pStyle w:val="TextoNormal"/>
      </w:pPr>
      <w:r>
        <w:lastRenderedPageBreak/>
        <w:t>Y no cabe sino declarar la concurrencia de dicho óbice procesal. Tal como se ha expuesto en los antecedentes, los recurrentes entienden que en la Sentencia impugnada el Tribunal Supremo incurrió en una indebida valoración de la prueba, lesiva del derecho a un proceso con todas las garantías (art. 24.2 CE), entre otros motivos que no es preciso reiterar porque revocó la absolución a partir de una nueva valoración de pruebas personales sin las garantías de inmediación y contradicción que este Tribunal ha exigido para las condenas en segunda instancia. Al Alto Tribunal y solo a su resolución se les imputan las lesiones denunciadas, que, precisamente por su naturaleza (garantías en ese grado jurisdiccional y valoración probatoria por ese órgano judicial), no fueron objeto de la Sentencia de instancia de la Audiencia Provincial de Madrid.</w:t>
      </w:r>
    </w:p>
    <w:p w:rsidR="00A90898" w:rsidRDefault="00A90898" w:rsidP="00A90898">
      <w:pPr>
        <w:pStyle w:val="TextoNormal"/>
      </w:pPr>
    </w:p>
    <w:p w:rsidR="00A90898" w:rsidRDefault="00A90898" w:rsidP="00A90898">
      <w:pPr>
        <w:pStyle w:val="TextoNormal"/>
      </w:pPr>
      <w:r>
        <w:t xml:space="preserve">Dado que la resolución impugnada en amparo no era susceptible de recurso alguno, los demandantes deberían haber interpuesto frente a la misma un incidente de nulidad de actuaciones para agotar debidamente la vía judicial previa antes de acudir en amparo ante este Tribunal. El incidente de nulidad era claramente ejercitable </w:t>
      </w:r>
      <w:r w:rsidRPr="00A90898">
        <w:rPr>
          <w:i/>
        </w:rPr>
        <w:t>ex</w:t>
      </w:r>
      <w:r>
        <w:t xml:space="preserve"> art. 241.1 LOPJ “sin necesidad de superar unas dificultades interpretativas mayores de lo exigible razonablemente” (por todas, recientemente, STC 131/2016, de 18 de julio, FJ 2), por lo que debió formalizarse como único medio para poner en conocimiento de la jurisdicción ordinaria las pretendidas lesiones y posibilitar, en su caso, su reparación. De prosperar la denuncia con la interposición de ese remedio procesal, las vulneraciones hubiesen resultado paliadas, eventualmente además con la confirmación de la inicial Sentencia de 11 de abril de 2014 de la Sección Quinta de la Audiencia Provincial de Madrid, en causa rollo de Sala núm.16-2012, obteniendo la absolución que los recurrentes procuraban en el proceso penal.</w:t>
      </w:r>
    </w:p>
    <w:p w:rsidR="00A90898" w:rsidRDefault="00A90898" w:rsidP="00A90898">
      <w:pPr>
        <w:pStyle w:val="TextoNormal"/>
      </w:pPr>
    </w:p>
    <w:p w:rsidR="00A90898" w:rsidRDefault="00A90898" w:rsidP="00A90898">
      <w:pPr>
        <w:pStyle w:val="TextoNormal"/>
      </w:pPr>
      <w:r>
        <w:t>Por consiguiente, no se dio el debido cumplimiento al requisito del agotamiento de la vía judicial establecido en el art. 44.1 a) LOTC, razón que conduce a la apreciación de dicho óbice y a la inadmisión del recurso de amparo.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Inadmitir el recurso de amparo.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catorce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69" w:name="SENTENCIA_2016_190"/>
      <w:r>
        <w:lastRenderedPageBreak/>
        <w:t>SENTENCIA 190/2016, de 15 de noviembre de 2016</w:t>
      </w:r>
    </w:p>
    <w:bookmarkEnd w:id="69"/>
    <w:p w:rsidR="00A90898" w:rsidRDefault="00A90898" w:rsidP="00A90898">
      <w:pPr>
        <w:pStyle w:val="TtuloResolucin"/>
      </w:pPr>
      <w:r>
        <w:t>Pleno</w:t>
      </w:r>
    </w:p>
    <w:p w:rsidR="00A90898" w:rsidRDefault="00A90898" w:rsidP="00A90898">
      <w:pPr>
        <w:pStyle w:val="TtuloBOE"/>
      </w:pPr>
      <w:r>
        <w:t>(BOE núm. 311, de 26 de diciembre de 2016)</w:t>
      </w:r>
    </w:p>
    <w:p w:rsidR="00A90898" w:rsidRDefault="00A90898" w:rsidP="00A90898">
      <w:pPr>
        <w:pStyle w:val="TextoNormalCentrado"/>
      </w:pPr>
      <w:r>
        <w:t>ECLI:ES:TC:2016:190</w:t>
      </w:r>
    </w:p>
    <w:p w:rsidR="00A90898" w:rsidRDefault="00A90898" w:rsidP="00A90898">
      <w:pPr>
        <w:pStyle w:val="TextoNormalCentrado"/>
      </w:pPr>
    </w:p>
    <w:p w:rsidR="00A90898" w:rsidRDefault="00A90898" w:rsidP="00A90898">
      <w:pPr>
        <w:pStyle w:val="SntesisDescriptiva"/>
      </w:pPr>
      <w:r>
        <w:t>Recurso de inconstitucionalidad 5261-2011. Interpuesto por el Consejo de Gobierno de la Generalitat de Cataluña en relación con diversos preceptos de la Ley 40/2010, de 29 de diciembre, de almacenamiento geológico de dióxido de carbono.</w:t>
      </w:r>
    </w:p>
    <w:p w:rsidR="00A90898" w:rsidRDefault="00A90898" w:rsidP="00A90898">
      <w:pPr>
        <w:pStyle w:val="SntesisDescriptiva"/>
      </w:pPr>
    </w:p>
    <w:p w:rsidR="00A90898" w:rsidRDefault="00A90898" w:rsidP="00A90898">
      <w:pPr>
        <w:pStyle w:val="SntesisAnaltica"/>
      </w:pPr>
      <w:r>
        <w:t>Competencias sobre ordenación general de la economía, ordenación del territorio, medio ambiente y minas: STC 165/2016 (constitucionalidad de los preceptos legales que reservan a la Administración del Estado la concesión de almacenamiento). Voto particular.</w:t>
      </w:r>
    </w:p>
    <w:p w:rsidR="00A90898" w:rsidRDefault="00A90898" w:rsidP="00A90898">
      <w:pPr>
        <w:pStyle w:val="SntesisAnaltica"/>
      </w:pPr>
    </w:p>
    <w:p w:rsidR="00A90898" w:rsidRDefault="00A90898" w:rsidP="00A90898">
      <w:pPr>
        <w:pStyle w:val="Extracto"/>
      </w:pPr>
      <w:r>
        <w:t>1.</w:t>
      </w:r>
      <w:r>
        <w:tab/>
        <w:t>Asunto sustancialmente idéntico al resuelto por la STC 165/2016, sobre reserva a la Administración del Estado de la concesión de almacenamiento geológico de dióxido de carbono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compuesto por don Francisco Pérez de los Cobos Orihuel, doña Adela Asua Batarrita, don Andrés Ollero Tassara, don Fernando Valdés Dal-Ré, don Juan José González Rivas, don Santiago Martínez-Vares García, don Juan Antonio Xiol Ríos, don Pedro José González-Trevijano Sánchez, y don Ricardo Enríquez Sancho,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5261-2011, promovido por la Generalitat de Cataluña y, en su representación y defensa, por el Letrado de la misma, en relación con los artículos 5, apartados 1,2, y 4; 6, apartados 3 y 4; 8, apartado 6 segundo párrafo; 9, apartados 6 y 7; 10, apartados 4, 6 y 7; 11, apartados 1,2 y 6; 13; 15, apartados 1, 2, 3, 4, 5 y 7; 19, apartados 2 y 3; 23; 24, apartados 1,2,3 y 4; 25; 26, apartados 1, 3, 4 y 5; 27, apartado 1; 38, apartado 1; disposición adicional tercera, apartado 5; así como la atribución del carácter básico a los citados preceptos en la disposición final undécima, de la Ley 40/2010, de 29 de diciembre, de almacenamiento geológico de dióxido de carbono. Ha comparecido y formulado alegaciones el Abogado del Estado.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día 29 de septiembre de 2011 tuvo entrada en el Registro General de este Tribunal Constitucional, escrito del Letrado de la Generalitat de Cataluña, por el que, en nombre y </w:t>
      </w:r>
      <w:r>
        <w:lastRenderedPageBreak/>
        <w:t>representación de la misma, interpone recurso de inconstitucionalidad en relación con los artículos 5, apartados 1,2, y 4; 6, apartados 3 y 4; 8, apartado 6, segundo párrafo; 9, apartados 6 y 7; 10, apartados 4, 6 y 7; 11, apartados 1,2 y 6; 13; 15, apartados 1, 2, 3, 4, 5 y 7; 19, apartados 2 y 3; 23; 24, apartados 1, 2, 3 y 4; 25; 26, apartados 1, 3, 4 y 5, 27, apartado 1; 38, apartado 1; disposición adicional tercera, apartado 5; así como la atribución del carácter básico a los citados preceptos en la disposición final undécima, de la Ley 40/2010, de 29 de diciembre, de almacenamiento geológico de dióxido de carbono.</w:t>
      </w:r>
    </w:p>
    <w:p w:rsidR="00A90898" w:rsidRDefault="00A90898" w:rsidP="00A90898">
      <w:pPr>
        <w:pStyle w:val="TextoNormal"/>
      </w:pPr>
    </w:p>
    <w:p w:rsidR="00A90898" w:rsidRDefault="00A90898" w:rsidP="00A90898">
      <w:pPr>
        <w:pStyle w:val="TextoNormal"/>
      </w:pPr>
      <w:r>
        <w:t>El escrito de demanda se refiere en primer término, al seguimiento del procedimiento previsto en el art. 33.2 de la Ley Orgánica del Tribunal Constitucional (LOTC), al objeto de resolver las discrepancias suscitadas en relación con los artículos 5, 6, 11, 13, 15, 19, 23, 26, 27, la disposición final undécima y su proyección en otros preceptos conexos de la Ley 40/2010, de 29 de diciembre, de almacenamiento geológico de dióxido de carbono, indicando que en el “BOE” y “DOGC” de 7 de junio de 2011 se publicó el acuerdo de la Comisión Bilateral de Cooperación Administración General del Estado-Comunidad Autónoma de Cataluña. Y dado que en el seno de dicho órgano no se llegó a un acuerdo, el Gobierno de la Generalitat de Cataluña ha procedido a la formalización del presente recurso.</w:t>
      </w:r>
    </w:p>
    <w:p w:rsidR="00A90898" w:rsidRDefault="00A90898" w:rsidP="00A90898">
      <w:pPr>
        <w:pStyle w:val="TextoNormal"/>
      </w:pPr>
    </w:p>
    <w:p w:rsidR="00A90898" w:rsidRDefault="00A90898" w:rsidP="00A90898">
      <w:pPr>
        <w:pStyle w:val="TextoNormal"/>
      </w:pPr>
      <w:r>
        <w:t>El Letrado de la Generalitat examina a continuación el contenido de la Ley 40/2010, afirmando que la norma se inscribe en el marco de la acción comunitaria en materia de medio ambiente, al trasponer la Directiva (Directiva 2009/31/CE, del Parlamento Europeo y del Consejo, de 23 de abril de 2009). Dicha Directiva tiene por objeto el establecimiento de un marco jurídico para el almacenamiento geológico, en condiciones seguras para el medio ambiente, de dióxido de carbono (CO2) para contribuir a la lucha contra el cambio climático, mediante una técnica innovadora, cuya introducción en España debe realizarse de modo acorde con el reparto competencial constitucionalmente establecido, correspondiéndole a las Comunidades Autónomas las funciones de naturaleza ejecutiva correlativas al ejercicio por el Estado de su competencia para dictar la legislación básica en materia de protección del medio ambiente (art. 149.1.23 CE), establecer las bases y coordinación de la planificación general de la actividad económica (art. 149.1.13 CE), así como las bases sobre el régimen minero y energético (art. 149.1.25 CE), tal y como resulta de los arts. 144.1, 152.2 y 133.4 del Estatuto de Autonomía de Cataluña (EAC).</w:t>
      </w:r>
    </w:p>
    <w:p w:rsidR="00A90898" w:rsidRDefault="00A90898" w:rsidP="00A90898">
      <w:pPr>
        <w:pStyle w:val="TextoNormal"/>
      </w:pPr>
    </w:p>
    <w:p w:rsidR="00A90898" w:rsidRDefault="00A90898" w:rsidP="00A90898">
      <w:pPr>
        <w:pStyle w:val="TextoNormal"/>
      </w:pPr>
      <w:r>
        <w:t>A juicio del Letrado, el sistema diseñado por la Ley se aparta de este criterio constitucional al reservar a órganos de la Administración del Estado la realización de las principales y más significativas funciones de naturaleza ejecutiva, desplazando a los órganos competentes de la Generalitat de Cataluña. A los efectos de exponer la argumentación impugnatoria agrupa los preceptos cuestionados en tres bloques correspondientes a cada uno de los títulos competenciales mencionados, en la disposición final undécima de la Ley 40/2010 (arts. 149.1.13, 23 y 25 CE), adelantando que el título competencial relativo a la materia del medio ambiente (art. 149.1.23 CE) es el preeminente.</w:t>
      </w:r>
    </w:p>
    <w:p w:rsidR="00A90898" w:rsidRDefault="00A90898" w:rsidP="00A90898">
      <w:pPr>
        <w:pStyle w:val="TextoNormal"/>
      </w:pPr>
    </w:p>
    <w:p w:rsidR="00A90898" w:rsidRDefault="00A90898" w:rsidP="00A90898">
      <w:pPr>
        <w:pStyle w:val="TextoNormal"/>
      </w:pPr>
      <w:r>
        <w:t>En primer lugar examina la reserva estatal de funciones ejecutivas al amparo del art. 149.1.13 CE, en orden a centralizar la competencia para el otorgamiento de funciones ejecutivas antes y después del otorgamiento de las concesiones de almacenamiento de CO2. Con cita de la doctrina constitucional aborda el contenido de la competencia estatal del artículo 149.1.3 CE, así como la necesidad de su interpretación restrictiva para evitar el va</w:t>
      </w:r>
      <w:r>
        <w:lastRenderedPageBreak/>
        <w:t>ciamiento de competencias autonómicas, siendo aceptable constitucionalmente su aplicación tan solo en los casos de incidencia directa y significativa sobre la actividad económica general, exigiéndose una justificación clara y concluyente a tal fin. En este punto considera que el preámbulo de la Ley 40/2010, pretende la justificación como título habilitante del art. 149.1.13 CE, con base a criterios ambiguos basados en probabilidades de futuro, haciendo uso de argumentos especulativos como el carácter estratégico de los almacenamientos para la economía del Estado, que no permiten justificar la incidencia directa y significativa sobre la economía general. Por lo que concluye este primer bloque argumental afirmando la ausencia de cobertura habilitante del artículo 149.1.13, respecto de artículos 10, apartados 4, 6 y 7; 11, apartados 2 y 6; 13; 15, apartados 1, 2, 3, 4, 5 y 7; 24, apartados 1, 2, 3 y 4 y 25 que contemplan trámites administrativos previos y posteriores al otorgamiento de la concesión de almacenamiento de CO2, que debieran corresponder a los órganos competentes de las Comunidades Autónomas.</w:t>
      </w:r>
    </w:p>
    <w:p w:rsidR="00A90898" w:rsidRDefault="00A90898" w:rsidP="00A90898">
      <w:pPr>
        <w:pStyle w:val="TextoNormal"/>
      </w:pPr>
    </w:p>
    <w:p w:rsidR="00A90898" w:rsidRDefault="00A90898" w:rsidP="00A90898">
      <w:pPr>
        <w:pStyle w:val="TextoNormal"/>
      </w:pPr>
      <w:r>
        <w:t>A continuación, argumenta que el artículo 149.1.25 CE (bases del régimen minero y energético), no puede amparar las funciones ejecutivas que se contemplan en los artículos. 6, apartados 3 y 4; 8, apartado 6 segundo párrafo; 9, apartados 6 y 7; 26, apartados 1, 3, 4 y 5 y 27, apartado 1, relacionadas con el acceso de terceros a las redes y con la solución de los conflictos que puedan generarse. A tal fin, expone el contenido de la competencia estatal contemplada en el artículo 149.1.25 CE a la luz de la doctrina constitucional, en relación con la competencia en materia de energía y minas (artículo 133.1 y 4 EAC). Reconoce que el régimen de acceso a las redes de transporte y a los lugares de almacenamiento de CO2, se sitúa dentro de las materias del régimen minero y energético, ahora bien, la asunción por parte del Estado de competencias ejecutivas, como la función de resolución de conflictos (artículo 27.1), o la función para adoptar medias de garantía del acceso a las redes (artículo 26.1), o para la realización de mejoras (artículo 26.5), e inclusive la remisión en blanco al Ministerio de Industria, Turismo y Comercio, de la determinación del régimen retributivo del acceso a las redes (artículo 26.3, segundo inciso), carecen de justificación, exceden del concepto de bases y suponen una vulneración del orden de distribución de competencias. Examina, también en este bloque, los artículos 6, apartados 3 y 4; 8, apartado 6; y 9, apartados 6 y 7, remitiéndose a su examen más adelante, pero indicando que es la Comunidad Autónoma la que dispone de un mejor y más fundado conocimiento de cuál es la explotación de mayor interés para la resolución de los conflictos, afirmando que el resultado sobre los trabajos de investigación deben recibirse por la administración otorgante.</w:t>
      </w:r>
    </w:p>
    <w:p w:rsidR="00A90898" w:rsidRDefault="00A90898" w:rsidP="00A90898">
      <w:pPr>
        <w:pStyle w:val="TextoNormal"/>
      </w:pPr>
    </w:p>
    <w:p w:rsidR="00A90898" w:rsidRDefault="00A90898" w:rsidP="00A90898">
      <w:pPr>
        <w:pStyle w:val="TextoNormal"/>
      </w:pPr>
      <w:r>
        <w:t xml:space="preserve">En el tercer bloque argumental examina la reserva estatal de funciones ejecutivas al amparo del artículo 149.1.23 CE, por el que se atribuye al Estado competencia para la legislación básica sobre la protección del medio ambiente, sin perjuicio de las facultades de las Comunidades Autónomas de establecer normas adicionales de protección (art. 144.1 EAC). Expone la doctrina constitucional sobre el concepto de bases, en su doble dimensión: material y formal, así como de los requisitos que deben concurrir para que quede justificado el carácter básico de las funciones ejecutivas. Señala a continuación que los arts. 11,13 y 15 de la Ley, deben encuadrarse en la materia de medio ambiente, en atención al contenido y finalidad de la regulación, y que la concesión de almacenamiento, todo el procedimiento que la regula, incluyendo su hipotética revocación, es una técnica administrativa que permite alcanzar el objetivo del almacenamiento en condiciones seguras para el medio ambiente, integrando un acto típico de ejecución, por lo que no está justificado que el Estado </w:t>
      </w:r>
      <w:r>
        <w:lastRenderedPageBreak/>
        <w:t>le haya atribuido carácter básico, máxime al tratarse de actos meramente aplicativos y notablemente reglados. Observa en dicho sentido que el artículo 5.3 a), desarrollado por el artículo 8 de la misma Ley, atribuye a las Comunidades Autónomas una función importante en el sistema de almacenamiento como es el otorgamiento de los permisos de investigación, de los que en buena medida puede depender el otorgamiento de la propia concesión. Ni tan siquiera en el hipotético caso de que la atribución del otorgamiento de la concesión pudiera provocar algún tipo de dificultad o disfunción, se justificaría eludir el orden de reparto competencial. Extiende la inconstitucionalidad por conexión con los mencionados preceptos al artículo 10, apartados 4, 6 y 7 de la Ley, al atribuir al Ministerio de Industria, Turismo y Comercio, como competente para otorgar la concesión, la facultad de informar a los demás departamentos ministeriales y administraciones públicas sobre la solicitud de la concesión y su prórroga. Argumento que también es de aplicación al apartado 6 del artículo 11 de la Ley en cuanto atribuye al Instituto Geológico y Minero de España la facultad de informar de forma preceptiva sobre la solicitud de la concesión.</w:t>
      </w:r>
    </w:p>
    <w:p w:rsidR="00A90898" w:rsidRDefault="00A90898" w:rsidP="00A90898">
      <w:pPr>
        <w:pStyle w:val="TextoNormal"/>
      </w:pPr>
    </w:p>
    <w:p w:rsidR="00A90898" w:rsidRDefault="00A90898" w:rsidP="00A90898">
      <w:pPr>
        <w:pStyle w:val="TextoNormal"/>
      </w:pPr>
      <w:r>
        <w:t>Añade respecto del artículos 19, apartados 2 y 3; 23; 5, en sus apartados 1,2, y 4; 24, apartados 1,2,3 y 4; 25; atribuyen también al Estado funciones ejecutivas y de gestión que vulneran el orden competencial de los arts. 149.1.23 CE y 144.1 h) EAC, por las mismas razones anteriormente expuestas. Por último, cierra este bloque argumental indicando que en esta misma infracción constitucional incurre el art. 38, en su apartado 1, que centraliza en el Estado competencias ejecutivas de carácter sancionador que son instrumentales de las competencias sustantivas relativas al otorgamiento de los permisos y de las concesiones.</w:t>
      </w:r>
    </w:p>
    <w:p w:rsidR="00A90898" w:rsidRDefault="00A90898" w:rsidP="00A90898">
      <w:pPr>
        <w:pStyle w:val="TextoNormal"/>
      </w:pPr>
    </w:p>
    <w:p w:rsidR="00A90898" w:rsidRDefault="00A90898" w:rsidP="00A90898">
      <w:pPr>
        <w:pStyle w:val="TextoNormal"/>
      </w:pPr>
      <w:r>
        <w:t>Finaliza el recurso con el examen de los permisos de investigación que afecten al ámbito territorial superior al de una comunidad autónoma o al subsuelo marino, indicando que en tanto que la competencia del artículo 5.1 a) de la Ley, a la vista del artículo 149.1.23 CE, no prevé una delimitación territorial específica de esta competencia, el Estado no puede atribuirse el otorgamiento del permiso de investigación en el caso de que se extienda sobre el territorio de más de una Comunidad Autónoma, debiendo agotarse las fórmulas de cooperación y coordinación. Por lo que dicho precepto, en lo que se refiere al otorgamiento de permisos de investigación que afecten al ámbito territorial de más de una Comunidad Autónoma, vulnera el orden competencial por ser contrario a los artículos 149.1.23 CE y 115 y 144.1 EAC. Finalmente considera el artículo 5.1 a), 5.1 i), 5.4 y la disposición adicional tercera apartado 5, de la Ley, en cuanto se refieren al subsuelo marino, también son contrarios a los artículos 149.1.23 CE y 144.1 h) EAC, al atribuir funciones, que por su carácter ejecutivo le corresponde a las Comunidades Autónomas.</w:t>
      </w:r>
    </w:p>
    <w:p w:rsidR="00A90898" w:rsidRDefault="00A90898" w:rsidP="00A90898">
      <w:pPr>
        <w:pStyle w:val="TextoNormal"/>
      </w:pPr>
    </w:p>
    <w:p w:rsidR="00A90898" w:rsidRDefault="00A90898" w:rsidP="00A90898">
      <w:pPr>
        <w:pStyle w:val="TextoNormal"/>
      </w:pPr>
      <w:r w:rsidRPr="00A90898">
        <w:rPr>
          <w:rStyle w:val="NumeroAFNegritaCaracter"/>
        </w:rPr>
        <w:t>2</w:t>
      </w:r>
      <w:r>
        <w:t>. El Pleno del Tribunal por providencia de 18 de octubre de 2011, admitió a trámite el presente recurso de inconstitucionalidad, acordando dar traslado de la demanda y documentos presentados, conforme dispone el artículo 34 de la Ley Orgánica del Tribunal Constitucional, al Congreso de los Diputados y al Senado, por conducto de sus Presidentes, y al Gobierno de la Nación a través del Ministro de Justicia, al objeto de que en el plazo de 15 días, pudieran personarse en el proceso y formular las alegaciones que estimaran pertinentes. Finalmente se ordenó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La Mesa del Senado, por escrito de su Presidente de 27 de octubre de 2011, acuerda dar por personada a la Cámara en este procedimiento y por ofrecida su colaboración a los </w:t>
      </w:r>
      <w:r>
        <w:lastRenderedPageBreak/>
        <w:t>efectos del artículo 88.1 de la Ley Orgánica del Tribunal Constitucional. En idéntico sentido se pronuncia la Mesa de la Diputación Permanente del Congreso, en escrito de la misma fecha.</w:t>
      </w:r>
    </w:p>
    <w:p w:rsidR="00A90898" w:rsidRDefault="00A90898" w:rsidP="00A90898">
      <w:pPr>
        <w:pStyle w:val="TextoNormal"/>
      </w:pPr>
    </w:p>
    <w:p w:rsidR="00A90898" w:rsidRDefault="00A90898" w:rsidP="00A90898">
      <w:pPr>
        <w:pStyle w:val="TextoNormal"/>
      </w:pPr>
      <w:r w:rsidRPr="00A90898">
        <w:rPr>
          <w:rStyle w:val="NumeroAFNegritaCaracter"/>
        </w:rPr>
        <w:t>4</w:t>
      </w:r>
      <w:r>
        <w:t>. En fecha 10 de noviembre de 2011, el Abogado del Estado se persona en el recurso, en nombre del Gobierno y solicita una prórroga de ocho días en el plazo concedido para formular alegaciones. El Pleno del Tribunal, por providencia de 11 de noviembre, acuerda la concesión de la prórroga solicitada.</w:t>
      </w:r>
    </w:p>
    <w:p w:rsidR="00A90898" w:rsidRDefault="00A90898" w:rsidP="00A90898">
      <w:pPr>
        <w:pStyle w:val="TextoNormal"/>
      </w:pPr>
    </w:p>
    <w:p w:rsidR="00A90898" w:rsidRDefault="00A90898" w:rsidP="00A90898">
      <w:pPr>
        <w:pStyle w:val="TextoNormal"/>
      </w:pPr>
      <w:r w:rsidRPr="00A90898">
        <w:rPr>
          <w:rStyle w:val="NumeroAFNegritaCaracter"/>
        </w:rPr>
        <w:t>5</w:t>
      </w:r>
      <w:r>
        <w:t>. En fecha 29 de noviembre de 2011 tiene entrada en el Registro General de este Tribunal el escrito de alegaciones que formula el Abogado del Estado, en nombre y representación del Gobierno de la Nación, en el que solicita que se desestime la demanda y se declare la plena constitucionalidad de la totalidad de los preceptos impugnados.</w:t>
      </w:r>
    </w:p>
    <w:p w:rsidR="00A90898" w:rsidRDefault="00A90898" w:rsidP="00A90898">
      <w:pPr>
        <w:pStyle w:val="TextoNormal"/>
      </w:pPr>
    </w:p>
    <w:p w:rsidR="00A90898" w:rsidRDefault="00A90898" w:rsidP="00A90898">
      <w:pPr>
        <w:pStyle w:val="TextoNormal"/>
      </w:pPr>
      <w:r>
        <w:t>Comienza el escrito efectuando un análisis pormenorizado del contenido de la Ley 40/2010 en el contexto general de la importancia estratégica del almacenamiento geológico de dióxido de carbono. Se refiere, en primer término, al mercado europeo de derechos de emisión y a la llamada Directiva 2003, por la que se establece un régimen para el comercio de los derechos de emisión de gases de efecto invernadero en la Comunidad (modificada por la Directiva 2009/29/CE, del Parlamento europeo y del Consejo, de 23 de abril de 2009). Estas Directivas se incorporan al derecho interno a través de la Ley 1/2005, reformada por la Ley 13/201; y en relación a este proceso viene a destacar los siguientes extremos:</w:t>
      </w:r>
    </w:p>
    <w:p w:rsidR="00A90898" w:rsidRDefault="00A90898" w:rsidP="00A90898">
      <w:pPr>
        <w:pStyle w:val="TextoNormal"/>
      </w:pPr>
    </w:p>
    <w:p w:rsidR="00A90898" w:rsidRDefault="00A90898" w:rsidP="00A90898">
      <w:pPr>
        <w:pStyle w:val="TextoNormal"/>
      </w:pPr>
      <w:r>
        <w:t>1) Para el período 2008-2012, el modelo se apoya en la aprobación por cada Estado de un plan nacional de asignación de derechos de emisión, que debe ser notificado a la Comisión. A partir de la Directiva 2009, se fija un máximo europeo de derechos de emisión, integrado por la suma de los contemplados en los planes nacionales, y se prevé a partir de 2013 una reducción de los derechos de emisión para la Comunidad en su conjunto.</w:t>
      </w:r>
    </w:p>
    <w:p w:rsidR="00A90898" w:rsidRDefault="00A90898" w:rsidP="00A90898">
      <w:pPr>
        <w:pStyle w:val="TextoNormal"/>
      </w:pPr>
    </w:p>
    <w:p w:rsidR="00A90898" w:rsidRDefault="00A90898" w:rsidP="00A90898">
      <w:pPr>
        <w:pStyle w:val="TextoNormal"/>
      </w:pPr>
      <w:r>
        <w:t>2) Las instalaciones referidas en el anexo I de la Ley 1/2005 “deberán contar con una autorización de emisión de gases efecto invernadero a partir del 1 de enero de 2005, cuyo otorgamiento corresponde al órgano competente de la Comunidad Autónoma en la que se ubique” (art. 4 de la Ley 1/2005).</w:t>
      </w:r>
    </w:p>
    <w:p w:rsidR="00A90898" w:rsidRDefault="00A90898" w:rsidP="00A90898">
      <w:pPr>
        <w:pStyle w:val="TextoNormal"/>
      </w:pPr>
    </w:p>
    <w:p w:rsidR="00A90898" w:rsidRDefault="00A90898" w:rsidP="00A90898">
      <w:pPr>
        <w:pStyle w:val="TextoNormal"/>
      </w:pPr>
      <w:r>
        <w:t>3) La titularidad originaria de la totalidad de los derechos de emisión que figuren en cada Plan nacional de asignación corresponde a la Administración General del Estado, que los asignará, enajenará o cancelará de conformidad con lo establecido en la Ley 1/2005, y se contempla que los derechos de emisión son transmisibles. La directiva 2009 prevé que a partir de 2013, los Estados miembros subastarán todos los derechos de emisión que no se asignen de forma gratuita.</w:t>
      </w:r>
    </w:p>
    <w:p w:rsidR="00A90898" w:rsidRDefault="00A90898" w:rsidP="00A90898">
      <w:pPr>
        <w:pStyle w:val="TextoNormal"/>
      </w:pPr>
    </w:p>
    <w:p w:rsidR="00A90898" w:rsidRDefault="00A90898" w:rsidP="00A90898">
      <w:pPr>
        <w:pStyle w:val="TextoNormal"/>
      </w:pPr>
      <w:r>
        <w:t xml:space="preserve">En definitiva, el diseño del mercado europeo de derechos de emisión produce el efecto de limitar la generación de energía y la producción industrial emisora, salvo que simultáneamente se adopten tecnologías que permitan reducir las emisiones totales sin afectar a la actividad económica. Por ello, parece evidente que el crecimiento económico y el mantenimiento del nivel de vida depende de la aplicación de tecnologías que permitan el incremento de la producción con una disminución de emisiones de gases de efecto invernadero y, entre </w:t>
      </w:r>
      <w:r>
        <w:lastRenderedPageBreak/>
        <w:t>esas tecnologías destaca por su viabilidad, la captación, transporte y almacenamiento geológico de dióxido de carbono.</w:t>
      </w:r>
    </w:p>
    <w:p w:rsidR="00A90898" w:rsidRDefault="00A90898" w:rsidP="00A90898">
      <w:pPr>
        <w:pStyle w:val="TextoNormal"/>
      </w:pPr>
    </w:p>
    <w:p w:rsidR="00A90898" w:rsidRDefault="00A90898" w:rsidP="00A90898">
      <w:pPr>
        <w:pStyle w:val="TextoNormal"/>
      </w:pPr>
      <w:r>
        <w:t>La Ley 40/2010 viene así a transponer al ordenamiento interno la Directiva 2009/31, que fija los objetivos sobre reducción de emisiones mediante el almacenamiento geológico de carbono (CAC). En este contexto, resulta obvio que el preámbulo de la Ley califique la CAC de interés estratégico para la economía nacional, dado que la misma desempeña un papel central en el cambio de modelo energético y en el diseño de las políticas energética, industrial y de lucha contra el cambio climático; de acuerdo con los análisis realizados por la Comisión Europea, la reducción de emisiones de gases de efecto invernadero del 30 por 100 en 2030 tendría unos costes un 40 por 100 más elevados sin emplear la CAC, por lo que no utilizar esta tecnología no sólo pondría en riesgo el logro de los objetivos medioambientales de la Unión Europea, sino que también puede conllevar efectos negativos sobre la competitividad y el empleo. En un escenario de importantes limitaciones en cuanto a la posibilidad de emitir gases de efecto invernadero y de costes crecientes ligados a estas emisiones, el acceso a la CAC se configura como un elemento central a la hora de adoptar decisiones de inversión por los operadores energéticos, permitiendo un ahorro de costes para las empresas, en la medida en que no tendrán que adquirir derechos de emisión mediante subasta o en el mercado, al tiempo que se configura como una pieza clave para el diseño de la política energética nacional.</w:t>
      </w:r>
    </w:p>
    <w:p w:rsidR="00A90898" w:rsidRDefault="00A90898" w:rsidP="00A90898">
      <w:pPr>
        <w:pStyle w:val="TextoNormal"/>
      </w:pPr>
    </w:p>
    <w:p w:rsidR="00A90898" w:rsidRDefault="00A90898" w:rsidP="00A90898">
      <w:pPr>
        <w:pStyle w:val="TextoNormal"/>
      </w:pPr>
      <w:r>
        <w:t>A ello se une que, en el sistema de captura y almacenamiento de dióxido de carbono, está presente, como elemento relevante, el componente territorial de una futura red de transporte de CO2 que deberá acabar conectando instalaciones energéticas (y posiblemente industriales) con lugares de almacenamiento, y ello acabará configurando una red de infraestructuras de ámbito supraautonómico interconectadas en todo el territorio nacional.</w:t>
      </w:r>
    </w:p>
    <w:p w:rsidR="00A90898" w:rsidRDefault="00A90898" w:rsidP="00A90898">
      <w:pPr>
        <w:pStyle w:val="TextoNormal"/>
      </w:pPr>
    </w:p>
    <w:p w:rsidR="00A90898" w:rsidRDefault="00A90898" w:rsidP="00A90898">
      <w:pPr>
        <w:pStyle w:val="TextoNormal"/>
      </w:pPr>
      <w:r>
        <w:t>El Abogado del Estado se refiere a continuación al contenido de la Ley 40/2010, señalando que el legislador estatal ha optado por establecer un régimen específico para el almacenamiento del CO2, a imagen del derecho comunitario que transpone, en lugar de reformar la legislación minera; y ello porque la finalidad de la CAC no es la explotación de un recurso minero sino garantizar un suministro energético de calidad y a precio razonable y un crecimiento económico sostenible, reduciendo los perjuicios para el medio ambiente. La ley regula principalmente la actividad de almacenamiento y sólo contiene previsiones puntuales en relación a la captura y el transporte; en relación con las redes de transporte, pretende garantizar el acceso a las mismas en condiciones transparentes y no discriminatorias y contempla la resolución de posibles conflictos, tanto nacionales como transfronterizos. Su aplicación se extiende a las estructuras subterráneas en España, incluyendo su mar territorial, su zona económica exclusiva y su plataforma continental. El artículo 5 señala las competencias que corresponden a cada Administración, atribuyéndose al Ministerio de Industria, entre otras, las de otorgar los permisos de investigación cuya superficie abarque el territorio de más de una Comunidad Autónoma o el subsuelo marino, y las de otorgar y revocar las concesiones de almacenamiento. Las Comunidades Autónomas serán responsables de otorgar los permisos de investigación en su territorio, establecer un sistema de inspecciones en los lugares de almacenamiento, realizar el seguimiento, fijar las medidas correctoras oportunas, y aprobar el plan de seguimiento.</w:t>
      </w:r>
    </w:p>
    <w:p w:rsidR="00A90898" w:rsidRDefault="00A90898" w:rsidP="00A90898">
      <w:pPr>
        <w:pStyle w:val="TextoNormal"/>
      </w:pPr>
    </w:p>
    <w:p w:rsidR="00A90898" w:rsidRDefault="00A90898" w:rsidP="00A90898">
      <w:pPr>
        <w:pStyle w:val="TextoNormal"/>
      </w:pPr>
      <w:r>
        <w:lastRenderedPageBreak/>
        <w:t>En lo que respecta los títulos competenciales aplicables, considera el Abogado del Estado que resulta de aplicación la STC 18/2011, que sintetiza la doctrina sobre la concurrencia de los títulos recogidos en el art. 149.1.13 y 25 CE, y le lleva a concluir que corresponde al Estado no sólo establecer un conjunto normativo suficientemente homogéneo sino, además, adoptar aquellas medidas que sean precisas para la optimización de los recursos energéticos desde el punto de vista del interés nacional. En relación con el título contemplado en el art. 149.1.23 CE, estima que resulta de aplicación lo dispuesto en las SSTC 98/2001 y 14/2004, en las que el Tribunal examinó una serie de medidas estatales que tenían por objeto la “promoción de actuaciones de uso racional de la energía y la utilización de las energías renovables” con una evidente finalidad de conciliar el desarrollo económico con la preservación del medio ambiente, y en las que el Tribunal afirmó que de los dos títulos competenciales aducidos —medio ambiente y régimen energético— es el correspondiente al régimen energético el que por su mayor especificidad debe prevalecer. En relación con el título contemplado en el art. 149.1.22 CE, afirma que la jurisprudencia constitucional ha reconocido de forma categórica la competencia exclusiva del Estado para la autorización de instalaciones eléctricas cuando su aprovechamiento afecte a otra Comunidad o el transporte salga de su ámbito territorial y, como ha quedado expuesto, la CAC resulta tan vinculada con las grandes instalaciones de generación eléctrica, que la propia disposición adicional segunda de la Ley 40/2010 vincula la autorización de aquéllas a la condiciones de previsión de espacio de captación de CO2 para su posterior transporte y almacenamiento.</w:t>
      </w:r>
    </w:p>
    <w:p w:rsidR="00A90898" w:rsidRDefault="00A90898" w:rsidP="00A90898">
      <w:pPr>
        <w:pStyle w:val="TextoNormal"/>
      </w:pPr>
    </w:p>
    <w:p w:rsidR="00A90898" w:rsidRDefault="00A90898" w:rsidP="00A90898">
      <w:pPr>
        <w:pStyle w:val="TextoNormal"/>
      </w:pPr>
      <w:r>
        <w:t>A continuación, el Abogado del Estado examina las concretas alegaciones contenidas en la demanda, señalando sintéticamente lo siguiente:</w:t>
      </w:r>
    </w:p>
    <w:p w:rsidR="00A90898" w:rsidRDefault="00A90898" w:rsidP="00A90898">
      <w:pPr>
        <w:pStyle w:val="TextoNormal"/>
      </w:pPr>
    </w:p>
    <w:p w:rsidR="00A90898" w:rsidRDefault="00A90898" w:rsidP="00A90898">
      <w:pPr>
        <w:pStyle w:val="TextoNormal"/>
      </w:pPr>
      <w:r>
        <w:t>a) Resulta clara la relevancia del título competencial del art. 149.1.13 CE, dado que una adecuada implantación de la tecnología CAC es imprescindible para asegurar un crecimiento económico sostenible, al menos en los próximos 40 años, que permita además cumplir los compromisos internacionales asumidos por España y por la Unión Europea para la reducción de las emisiones de gases de efecto invernadero. Por ello, lo que habrá de precisarse es en qué preceptos de la Ley 40/2010 prevalece el contenido económico y en cuáles la orientación medioambiental.</w:t>
      </w:r>
    </w:p>
    <w:p w:rsidR="00A90898" w:rsidRDefault="00A90898" w:rsidP="00A90898">
      <w:pPr>
        <w:pStyle w:val="TextoNormal"/>
      </w:pPr>
    </w:p>
    <w:p w:rsidR="00A90898" w:rsidRDefault="00A90898" w:rsidP="00A90898">
      <w:pPr>
        <w:pStyle w:val="TextoNormal"/>
      </w:pPr>
      <w:r>
        <w:t>b) El Estado ostenta la competencia para otorgar permisos de investigación supraautonómicos y concesiones de almacenamiento. El núcleo de la demanda se dirige a reprochar la atribución al Estado de facultades ejecutivas en este ámbito, y ha de tenerse en cuenta al respecto, que el Tribunal ha declarado que la competencia configurada como básica puede incluir funciones ejecutivas (STC 33/2005).</w:t>
      </w:r>
    </w:p>
    <w:p w:rsidR="00A90898" w:rsidRDefault="00A90898" w:rsidP="00A90898">
      <w:pPr>
        <w:pStyle w:val="TextoNormal"/>
      </w:pPr>
    </w:p>
    <w:p w:rsidR="00A90898" w:rsidRDefault="00A90898" w:rsidP="00A90898">
      <w:pPr>
        <w:pStyle w:val="TextoNormal"/>
      </w:pPr>
      <w:r>
        <w:t xml:space="preserve">Partiendo de lo anterior, afirma que el permiso de investigación carece de un enfoque específicamente medioambiental y, en relación con el mismo, debe prevalecer el título de ordenación general de la economía; el permiso de investigación se configura como previo a la concesión de almacenamiento, por lo que cabe predicar de él el mismo carácter que tenga esta última, que la disposición final undécima de la ley considera amparada en el art. 149.1.13 CE. La previa investigación de lugares de almacenamiento y la ulterior concesión engarzan con la finalidad prevalente de poner a disposición del crecimiento económico sostenible, lugares que permitan la aplicación de la innovación tecnológica regulada en el Ley 40/2010. El ámbito supraautonómico del permiso justificaría la atribución de competencia </w:t>
      </w:r>
      <w:r>
        <w:lastRenderedPageBreak/>
        <w:t>ejecutiva al Estado, pues estamos ante una actividad pública que no es susceptible de fraccionamiento, en cuanto ejerciéndose sobre una estructura geológica que se extiende al territorio de varias Comunidades Autónomas, técnicamente resulta imposible la división de la estructura por Comunidades. La investigación para la que se otorga el permiso ha de servir para verificar que una determinada cavidad resulta apta para su sellado y almacenamiento de gas, de forma que requiere un estudio conjunto, por lo que no resulta posible que se otorguen permisos de investigación limitados al territorio de una Comunidad Autónoma para investigar formaciones geológicas que se extienden más allá de dicho territorio, pues tal estudio fragmentado no podrá determinar la aptitud de la cavidad en su conjunto para almacenar gases. La actuación tampoco puede ejercerse mediante mecanismos de cooperación o coordinación, requiriendo un grado de homogeneidad que sólo puede garantizar su atribución al Estado, pues existirán criterios o intereses diversos que sólo pueden armonizarse por el Estado. Además, la Ley 40/2010 incorpora al procedimiento de otorgamiento del permiso un intenso mecanismo colaborativo a través del informe preceptivo de las Comunidades Autónomas.</w:t>
      </w:r>
    </w:p>
    <w:p w:rsidR="00A90898" w:rsidRDefault="00A90898" w:rsidP="00A90898">
      <w:pPr>
        <w:pStyle w:val="TextoNormal"/>
      </w:pPr>
    </w:p>
    <w:p w:rsidR="00A90898" w:rsidRDefault="00A90898" w:rsidP="00A90898">
      <w:pPr>
        <w:pStyle w:val="TextoNormal"/>
      </w:pPr>
      <w:r>
        <w:t>En lo que respecta al otorgamiento de permisos de investigación cuando afecten al “subsuelo marino”, la doctrina constitucional es clara (SSTC 149/1991 y 38/2002), afirmando que las competencias de las Comunidades Autónomas se circunscriben a su ámbito territorial, y que la proyección de esas competencias sobre el mar territorial tiene carácter extraordinario y dependerá, bien del explícito reconocimiento estatutario, bien de la naturaleza de la competencia, tal como resulta de la interpretación del bloque de la constitucionalidad; elementos excepcionales que no concurren en el presente supuesto. Estaría así razonada la constitucionalidad de los arts. 5.1 a) y g), 2 a), 3 a), 8.6 y 9.6 y 7 y de la disposición adicional tercera.</w:t>
      </w:r>
    </w:p>
    <w:p w:rsidR="00A90898" w:rsidRDefault="00A90898" w:rsidP="00A90898">
      <w:pPr>
        <w:pStyle w:val="TextoNormal"/>
      </w:pPr>
    </w:p>
    <w:p w:rsidR="00A90898" w:rsidRDefault="00A90898" w:rsidP="00A90898">
      <w:pPr>
        <w:pStyle w:val="TextoNormal"/>
      </w:pPr>
      <w:r>
        <w:t>En relación con los apartados 3 y 4 del artículo 6, y el apartado 6, párrafo 2 del artículo 8 de la Ley 40/2010, debe descartarse la impugnación pues, el apartado 4 del artículo 6, se limita a atribuir competencias para la resolución de las incidencias que puedan presentarse en el caso de concurrencia de dos o más permisos de investigación sobre una misma estructura geológica al “órgano competente de la comunidad autónoma o (a)l Ministerio de Industria, Turismo y Comercio, en el caso de permisos de investigación de su competencia”, por lo que solo se reserva al Estado la resolución de las incidencias cuando concurran permisos de investigación de su competencia, sin que nada diga sobre la concurrencia de permisos de competencia estatal y autonómicos. Por otra parte el artículo 6.3, que refiere a las solicitudes de permisos de investigación o concesiones de almacenamiento, de CO2 y de otras sustancias mineras, que se cuestiona por la Comunidad Autónoma al entender que disponen del “mejor y más fundamentado conocimiento sobre cuál es la explotación que resulta de mayor interés”, entra, a juicio del Abogado del Estado, de lleno en las facultades de coordinación, titularidad de quien ostenta las competencias normativas, al conllevar cierto poder de dirección. Finalmente el artículo 8.6, párrafo 2, se cuestiona por imponer a los titulares de un permiso de investigación que remitan al Ministerio de Industria, Turismo y Comercio “el resultado de los trabajos de investigación”, imposición que es absolutamente razonable de acuerdo con el esquema competencial de la Ley 40/2010.</w:t>
      </w:r>
    </w:p>
    <w:p w:rsidR="00A90898" w:rsidRDefault="00A90898" w:rsidP="00A90898">
      <w:pPr>
        <w:pStyle w:val="TextoNormal"/>
      </w:pPr>
    </w:p>
    <w:p w:rsidR="00A90898" w:rsidRDefault="00A90898" w:rsidP="00A90898">
      <w:pPr>
        <w:pStyle w:val="TextoNormal"/>
      </w:pPr>
      <w:r>
        <w:t xml:space="preserve">En lo que atañe a las concesiones de almacenamiento, reguladas fundamentalmente en los arts. 5.1 b) y 10 a 15 de la Ley, las mismas resultan adecuadamente amparadas por el título competencial del art. 149.1.13 CE, en cuanto constituyen la piedra angular de toda la </w:t>
      </w:r>
      <w:r>
        <w:lastRenderedPageBreak/>
        <w:t>estructura que forma la tecnología de la CAC, por lo que resultan de aplicación los argumentos señalados respecto de su importancia estratégica para la economía nacional y europea, y la garantía del crecimiento económico sostenible. En aplicación del mencionado título competencial, el legislador estatal ha optado por atribuir al Estado las competencias directamente relacionadas con la planificación económica, singularmente la elección de los lugares de almacenamiento, reservando a la Comunidad Autónoma la adopción de las cautelas para que esa actividad, potencialmente dañina para el medio ambiente pero imprescindible para mantener el crecimiento económico, no llegue a realizar perjuicios en el entorno natural. Por lo demás, la ubicación del lugar de almacenamiento tiene carácter estratégico, pues habrá de conectarse a través de una red de transporte nacional y transnacional con instalaciones emisoras de CO2, y está sujeta a una intervención a escala comunitaria con arreglo al principio de subsidiariedad.</w:t>
      </w:r>
    </w:p>
    <w:p w:rsidR="00A90898" w:rsidRDefault="00A90898" w:rsidP="00A90898">
      <w:pPr>
        <w:pStyle w:val="TextoNormal"/>
      </w:pPr>
    </w:p>
    <w:p w:rsidR="00A90898" w:rsidRDefault="00A90898" w:rsidP="00A90898">
      <w:pPr>
        <w:pStyle w:val="TextoNormal"/>
      </w:pPr>
      <w:r>
        <w:t>No estamos pues, como pretende la Comunidad Autónoma, ante una actividad reglada, sino ante una planificación que deberá hacerse desde una perspectiva estatal, a través de tres instrumentos: la autorización estatal de las grandes instalaciones de generación, el diseño y gestión de la futura red de transporte de CO2, y la elección de los lugares de almacenamiento de CO2 mediante el otorgamiento de la correspondiente concesión. Estando claro el carácter estratégico de las concesiones de almacenamiento, ha de afirmarse la legitimidad de su asunción por el Estado, máxime cuando se han establecido fuertes mecanismos colaborativos que convierten a las Comunidades en los actores principales de la protección del medio ambiente, reservándose a la gestión centralizada únicamente los aspectos estrictamente relacionados con el sistema nacional CAC. Con ello, la Ley 40/2010 sigue el esquema de distribución competencial de la Ley 1/2005, reservando el Estado actos de ejecución que se consideran estratégicos para la economía nacional: aprobación del plan nacional de asignación de derechos de emisión, asignación individualizada de esos derechos y gestión del mercado nacional de derechos de emisión.</w:t>
      </w:r>
    </w:p>
    <w:p w:rsidR="00A90898" w:rsidRDefault="00A90898" w:rsidP="00A90898">
      <w:pPr>
        <w:pStyle w:val="TextoNormal"/>
      </w:pPr>
    </w:p>
    <w:p w:rsidR="00A90898" w:rsidRDefault="00A90898" w:rsidP="00A90898">
      <w:pPr>
        <w:pStyle w:val="TextoNormal"/>
      </w:pPr>
      <w:r>
        <w:t>El permiso de investigación se limita al estudio de la aptitud de una formación para constituir lugar idóneo para el almacenamiento; nada impide, por tanto, que si la formación que se pretende investigar tiene ámbito autonómico, sea la Comunidad quien otorgue el permiso. Sin embargo la concesión de almacenamiento es, en todo caso, estratégica desde la perspectiva nacional; su interés suprautonómico se percibe si tenemos en cuenta que cada lugar de almacenamiento habrá de formar parte de la una red europea interconectada y que servirá de depósito de CO2 captado a instalaciones situadas en diversas Comunidades Autónomas o incluso en otros Estado de la Unión. Pueden existir en esta materia intereses contrapuestos o divergentes de Comunidades Autónomas que sólo el Estado puede cohonestar en atención al interés público superior. Justificado el carácter estatal de la concesión de almacenamiento, participarían de esta misma naturaleza todas las actuaciones conexas, recogidas en los arts. 5.1 b), c), d), e) y g), y 4; 10, apartados 4, 6 y 7; 11, apartados 1, 2 y 6; 13; 15, apartados 1, 2, 3, 4, 5 y 7; 19, apartados 2 y 3, y 23.</w:t>
      </w:r>
    </w:p>
    <w:p w:rsidR="00A90898" w:rsidRDefault="00A90898" w:rsidP="00A90898">
      <w:pPr>
        <w:pStyle w:val="TextoNormal"/>
      </w:pPr>
    </w:p>
    <w:p w:rsidR="00A90898" w:rsidRDefault="00A90898" w:rsidP="00A90898">
      <w:pPr>
        <w:pStyle w:val="TextoNormal"/>
      </w:pPr>
      <w:r>
        <w:t xml:space="preserve">Respecto de la impugnación formulada en relación con los apartados 1 a 4 del artículo 24 y 25, afirma el representante estatal que la argumentación de la demanda no levanta la carga que le incumbe de fundamentar la impugnación, indicando, que, en todo caso, los preceptos regulan la atribución al Estado de la responsabilidad de las obligaciones legales tras el cierre de una instalación de almacenamiento de CO2 e imponen al Gobierno el seguimiento de estos lugares de almacenamiento tras su cierre, por lo que las mismas razones </w:t>
      </w:r>
      <w:r>
        <w:lastRenderedPageBreak/>
        <w:t>que justificaban la asunción por el Estado de la titularidad demanial de los lugares de almacenamiento y del otorgamiento de la concesión de almacenamiento amparan igualmente los artículos 24 y 25.</w:t>
      </w:r>
    </w:p>
    <w:p w:rsidR="00A90898" w:rsidRDefault="00A90898" w:rsidP="00A90898">
      <w:pPr>
        <w:pStyle w:val="TextoNormal"/>
      </w:pPr>
    </w:p>
    <w:p w:rsidR="00A90898" w:rsidRDefault="00A90898" w:rsidP="00A90898">
      <w:pPr>
        <w:pStyle w:val="TextoNormal"/>
      </w:pPr>
      <w:r>
        <w:t>En lo relativo a la impugnación de los artículos 5, 26 y 27, remitiéndose a lo ya señalado, considera que las redes de transporte tienen carácter supranacional, por lo que no existen dudas sobre su naturaleza supraautonómica, debiendo ponerse de relieve además que la gestión de esa red no resulta fraccionable por Comunidades Autónomas, pues ha de unir instalaciones emisoras con lugares de almacenamiento que pueden encontrarse no sólo en distintas Comunidades Autónomas sino en otros países, por lo que sólo el Estado desde una perspectiva global puede gestionar la red, conciliando, en su caso, los intereses contrapuestos de las diversas Comunidades, y garantizando un equitativo acceso a los lugares de almacenamiento a través de una red integrada de transporte. Señala que la ley habilitante regula con detalle y precisión los parámetros en que habrá de moverse la norma reglamentaria, en particular, el propio artículo 26.3 impone que el régimen retributivo que se establezca respecte “los principios de transparencia y no discriminación” en el acceso a las redes de transporte. Por otro lado, desde un punto de vista formal, el Tribunal tiene reconocida la aptitud del reglamento para el ejercicio de la competencia básica.</w:t>
      </w:r>
    </w:p>
    <w:p w:rsidR="00A90898" w:rsidRDefault="00A90898" w:rsidP="00A90898">
      <w:pPr>
        <w:pStyle w:val="TextoNormal"/>
      </w:pPr>
    </w:p>
    <w:p w:rsidR="00A90898" w:rsidRDefault="00A90898" w:rsidP="00A90898">
      <w:pPr>
        <w:pStyle w:val="TextoNormal"/>
      </w:pPr>
      <w:r>
        <w:t>Analiza a continuación el representante estatal el artículo 38, indicando que es aplicable a este supuesto la doctrina del Tribunal sobre el carácter instrumental de la potestad sancionadora en la materia sobre la que recae. Por lo que justificada la plena constitucionalidad de la asunción por el Estado de la competencia material, lo estaría también la potestad sancionadora vinculada a aquélla. Finalmente, y en cuanto a la disposición final undécima, ésta se limita a especificar los títulos competenciales en cuya virtud se dictan los preceptos de la Ley 40/2010, por lo que ha de correr la misma suerte que los preceptos que son objeto de impugnación.</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15 de noviembre de 2016 se acordó señalar para deliberación y votación de la presente Sentencia el día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proceso constitucional tiene por objeto resolver el recurso de inconstitucionalidad formulado por la Generalidad de Cataluña en relación con los artículos 5, apartados 1, 2, y 4; 6, apartados 3 y 4; 8, apartado 6 segundo párrafo; 9, apartados 6 y 7; 10, apartados 4, 6 y 7; 11, apartados 1, 2 y 6; 13; 15, apartados 1, 2, 3, 4, 5 y 7; 19, apartados 2 y 3; 23; 24, apartados 1, 2, 3 y 4; 25; 26, apartados 1, 3, 4 y 5; 27, apartado 1; 38, apartado 1; disposición adicional tercera, apartado 5; así como la atribución del carácter básico a los citados preceptos en la disposición final undécima de la Ley 40/2010, de 29 de diciembre, de almacenamiento geológico de dióxido de carbono.</w:t>
      </w:r>
    </w:p>
    <w:p w:rsidR="00A90898" w:rsidRDefault="00A90898" w:rsidP="00A90898">
      <w:pPr>
        <w:pStyle w:val="TextoNormal"/>
      </w:pPr>
    </w:p>
    <w:p w:rsidR="00A90898" w:rsidRDefault="00A90898" w:rsidP="00A90898">
      <w:pPr>
        <w:pStyle w:val="TextoNormal"/>
      </w:pPr>
      <w:r>
        <w:t xml:space="preserve">Como se ha expuesto con detalle en los antecedentes el recurso se fundamenta en la vulneración del orden constitucional de distribución de competencias que deriva de lo dispuesto en los artículos 149.1.13, 23 y 25 CE, al entender que el sistema diseñado por la Ley 40/2010, se aparta del contenido de los mencionados títulos competenciales por reservar a </w:t>
      </w:r>
      <w:r>
        <w:lastRenderedPageBreak/>
        <w:t>órganos de la Administración del Estado la realización de funciones importantes de naturaleza ejecutiva, desplazando a los órganos competentes de la Generalitat de Cataluña: a) tanto en relación con los trámites administrativos previos y posteriores al otorgamiento de la concesión de almacenamiento de CO2 (en el caso de los artículos 10, apartados 4, 6 y 7; 11, apartados 2 y 6; 13; 15, apartados 1, 2, 3, 4, 5 y 7; 24, apartados 1, 2, 3 y 4 y 25); b) como en la configuración del acceso de terceros a las redes, o con la solución de los conflictos que puedan generarse arts. 6, apartados 3 y 4; 8, apartado 6 segundo párrafo; 9, apartados 6 y 7; 26, apartados 1, 3, 4 y 5 y 27, apartado 1; c) y, en la atribución al Estado de facultades ejecutivas que forman parte de las competencias autonómicas de desarrollo y/o de ejecución de la legislación básica estatal en materia de medioambiente (artículos 5, apartados 1, 2, 3 y 4; 8; 10, apartados 4, 6 y 7; 11; 13; 15; 19; 24, apartados 1, 2, 3 y 4; 25 y apartado 1 del artículo 38).</w:t>
      </w:r>
    </w:p>
    <w:p w:rsidR="00A90898" w:rsidRDefault="00A90898" w:rsidP="00A90898">
      <w:pPr>
        <w:pStyle w:val="TextoNormal"/>
      </w:pPr>
    </w:p>
    <w:p w:rsidR="00A90898" w:rsidRDefault="00A90898" w:rsidP="00A90898">
      <w:pPr>
        <w:pStyle w:val="TextoNormal"/>
      </w:pPr>
      <w:r>
        <w:t>El Abogado del Estado, como se expone más detalladamente en los antecedentes, se opone al recurso, razonando que las previsiones impugnadas no incurren en el exceso competencial denunciado.</w:t>
      </w:r>
    </w:p>
    <w:p w:rsidR="00A90898" w:rsidRDefault="00A90898" w:rsidP="00A90898">
      <w:pPr>
        <w:pStyle w:val="TextoNormal"/>
      </w:pPr>
    </w:p>
    <w:p w:rsidR="00A90898" w:rsidRDefault="00A90898" w:rsidP="00A90898">
      <w:pPr>
        <w:pStyle w:val="TextoNormal"/>
      </w:pPr>
      <w:r w:rsidRPr="00A90898">
        <w:rPr>
          <w:rStyle w:val="NumeroAFNegritaCaracter"/>
        </w:rPr>
        <w:t>2</w:t>
      </w:r>
      <w:r>
        <w:t>. La Ley 40/2010, de 29 de diciembre, ha sido objeto de la STC 165/2016, de 6 de octubre, dictada en el recurso de inconstitucionalidad núm. 1870-2011, promovido contra la misma por el Gobierno de Aragón, y de la STC 182/2016, de 3 noviembre que resuelve el recurso de inconstitucionalidad núm. 5252-2011, promovido por la Junta de Galicia. En ambas Sentencias se han desestimado en su integridad las impugnaciones formuladas por las referidas Comunidades Autónomas.</w:t>
      </w:r>
    </w:p>
    <w:p w:rsidR="00A90898" w:rsidRDefault="00A90898" w:rsidP="00A90898">
      <w:pPr>
        <w:pStyle w:val="TextoNormal"/>
      </w:pPr>
    </w:p>
    <w:p w:rsidR="00A90898" w:rsidRDefault="00A90898" w:rsidP="00A90898">
      <w:pPr>
        <w:pStyle w:val="TextoNormal"/>
      </w:pPr>
      <w:r>
        <w:t>Las indicadas Sentencias son referencia obligada, dado que resuelven controversias competenciales similares a las planteadas ahora respecto de los mismos preceptos, por lo que la doctrina allí contenida resulta trasladable para resolver el presente recurso, debiendo por ello remitirnos a los fundamentos jurídicos que la STC 165/2016 dedica al examen del contenido de la Ley 40/2010 (FJ 3), al encuadramiento de la controversia competencial (FJ 4), y a la consideración como título competencial prevalente, de la competencia estatal sobre las bases del régimen minero, contemplado en el art. 149.1.25 CE (FFJJ 5, 6, 7 y 8).</w:t>
      </w:r>
    </w:p>
    <w:p w:rsidR="00A90898" w:rsidRDefault="00A90898" w:rsidP="00A90898">
      <w:pPr>
        <w:pStyle w:val="TextoNormal"/>
      </w:pPr>
    </w:p>
    <w:p w:rsidR="00A90898" w:rsidRDefault="00A90898" w:rsidP="00A90898">
      <w:pPr>
        <w:pStyle w:val="TextoNormal"/>
      </w:pPr>
      <w:r>
        <w:t>Las SSTC 165/2016 y 182/2016, de 3 noviembre desestimaron la impugnación formulada por el Gobierno de Aragón y la Junta de Galicia en relación con la atribución al Estado de la competencia relativa a la concesión de almacenamiento, así como del conjunto de facultades administrativas conexas que allí se impugnaron, y que en el presente recurso se plantean en términos coincidentes. A la vista de esta coincidencia objetiva, de acuerdo con la doctrina constitucional (STC 172/1998, de 23 de julio, FJ 2), procede desestimar las impugnaciones formuladas contra los artículos 5, apartados 1,2, y 4; 8, apartado 6 segundo párrafo; 9, apartados 6 y 7; 10, apartados 4, 6 y 7; 11, apartados 1, 2 y 6; 13; 15, apartados 1, 2, 3, 4, 5 y 7; 19, apartados 2 y 3; 23; 24, 25, 26, apartados 1, 3, 4 y 5; 27, apartado 1; 39; disposición adicional tercera, así como la atribución del carácter básico a los citados preceptos en la disposición final undécima por remisión a lo dispuesto en las SSTC 165/2016 y 182/2016, de 3 noviembre, cuyos fundamentos jurídicos 9 a 13 y 2 a 5, respectivamente, cabe dar por reproducidos, lo que nos exime de incluirlos siquiera sea en extracto (STC 100/2016, de 25 de mayo, FJ 2).</w:t>
      </w:r>
    </w:p>
    <w:p w:rsidR="00A90898" w:rsidRDefault="00A90898" w:rsidP="00A90898">
      <w:pPr>
        <w:pStyle w:val="TextoNormal"/>
      </w:pPr>
    </w:p>
    <w:p w:rsidR="00A90898" w:rsidRDefault="00A90898" w:rsidP="00A90898">
      <w:pPr>
        <w:pStyle w:val="TextoNormal"/>
      </w:pPr>
      <w:r>
        <w:lastRenderedPageBreak/>
        <w:t>Finalmente en relación con la impugnación competencial dirigida a los apartados 3 y 4 del art. 6 de la Ley 40/2010, que si bien no fueron objeto de impugnación expresa en los recursos de inconstitucionalidad resueltos por las SSTC 165/2016 y 182/2016, su inconstitucionalidad por exceso de atribución de competencias ejecutivas a los órganos del Estado fue descartada expresamente al examinar la impugnación de los apartados 1 a) y 3 a) del artículo 5, en el fundamento jurídico 13 de la STC 165/2016, al que nuevamente nos tenemos que remitir.</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noviembre de dos mil dieciséis.</w:t>
      </w:r>
    </w:p>
    <w:p w:rsidR="00A90898" w:rsidRDefault="00A90898" w:rsidP="00A90898">
      <w:pPr>
        <w:pStyle w:val="ParrafoNormal"/>
      </w:pPr>
    </w:p>
    <w:p w:rsidR="00A90898" w:rsidRDefault="00A90898" w:rsidP="00A90898">
      <w:pPr>
        <w:pStyle w:val="TextoNormalNegritaCentrado"/>
        <w:keepNext/>
      </w:pPr>
      <w:r>
        <w:t>Voto particular que formula el Magistrado don Juan Antonio Xiol Ríos respecto de la Sentencia dictada en el recurso de inconstitucionalidad núm. 5261-2011.</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Pleno en la que se sustenta la Sentencia, manifiesto mi discrepancia con su fundamentación jurídica y con su fallo, que considero que hubiera debido ser estimatorio.</w:t>
      </w:r>
    </w:p>
    <w:p w:rsidR="00A90898" w:rsidRDefault="00A90898" w:rsidP="00A90898">
      <w:pPr>
        <w:pStyle w:val="TextoNormal"/>
      </w:pPr>
    </w:p>
    <w:p w:rsidR="00A90898" w:rsidRDefault="00A90898" w:rsidP="00A90898">
      <w:pPr>
        <w:pStyle w:val="TextoNormal"/>
      </w:pPr>
      <w:r>
        <w:t>La razón de mi discrepancia es coincidente con la que ya fue expuesta en el Voto particular formulado a la STC 165/2016, de 6 de octubre, al que para evitar reiteraciones innecesarias me remito. Madrid, a diecisiete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0" w:name="SENTENCIA_2016_191"/>
      <w:r>
        <w:lastRenderedPageBreak/>
        <w:t>SENTENCIA 191/2016, de 15 de noviembre de 2016</w:t>
      </w:r>
    </w:p>
    <w:bookmarkEnd w:id="70"/>
    <w:p w:rsidR="00A90898" w:rsidRDefault="00A90898" w:rsidP="00A90898">
      <w:pPr>
        <w:pStyle w:val="TtuloResolucin"/>
      </w:pPr>
      <w:r>
        <w:t>Pleno</w:t>
      </w:r>
    </w:p>
    <w:p w:rsidR="00A90898" w:rsidRDefault="00A90898" w:rsidP="00A90898">
      <w:pPr>
        <w:pStyle w:val="TtuloBOE"/>
      </w:pPr>
      <w:r>
        <w:t>(BOE núm. 311, de 26 de diciembre de 2016)</w:t>
      </w:r>
    </w:p>
    <w:p w:rsidR="00A90898" w:rsidRDefault="00A90898" w:rsidP="00A90898">
      <w:pPr>
        <w:pStyle w:val="TextoNormalCentrado"/>
      </w:pPr>
      <w:r>
        <w:t>ECLI:ES:TC:2016:191</w:t>
      </w:r>
    </w:p>
    <w:p w:rsidR="00A90898" w:rsidRDefault="00A90898" w:rsidP="00A90898">
      <w:pPr>
        <w:pStyle w:val="TextoNormalCentrado"/>
      </w:pPr>
    </w:p>
    <w:p w:rsidR="00A90898" w:rsidRDefault="00A90898" w:rsidP="00A90898">
      <w:pPr>
        <w:pStyle w:val="SntesisDescriptiva"/>
      </w:pPr>
      <w:r>
        <w:t>Recurso de inconstitucionalidad 5465-2013. Interpuesto por más de cincuenta diputados del Grupo Parlamentario Socialista del Congreso de los Diputados en relación con diversos preceptos de la Ley Orgánica del Poder Judicial, en la redacción dada por la Ley Orgánica 4/2013, de 28 de junio, de reforma del Consejo General del Poder Judicial, por la que se modifica la Ley Orgánica 6/1985, de 1 de julio, del Poder Judicial.</w:t>
      </w:r>
    </w:p>
    <w:p w:rsidR="00A90898" w:rsidRDefault="00A90898" w:rsidP="00A90898">
      <w:pPr>
        <w:pStyle w:val="SntesisDescriptiva"/>
      </w:pPr>
    </w:p>
    <w:p w:rsidR="00A90898" w:rsidRDefault="00A90898" w:rsidP="00A90898">
      <w:pPr>
        <w:pStyle w:val="SntesisAnaltica"/>
      </w:pPr>
      <w:r>
        <w:t>Consejo General del Poder Judicial: interpretación conforme con la Constitución del precepto legal relativo a los deberes de comparecencia ante las cámaras parlamentarias del presidente y vocales del Consejo General del Poder Judicial.</w:t>
      </w:r>
    </w:p>
    <w:p w:rsidR="00A90898" w:rsidRDefault="00A90898" w:rsidP="00A90898">
      <w:pPr>
        <w:pStyle w:val="SntesisAnaltica"/>
      </w:pPr>
    </w:p>
    <w:p w:rsidR="00A90898" w:rsidRDefault="00A90898" w:rsidP="00A90898">
      <w:pPr>
        <w:pStyle w:val="Extracto"/>
      </w:pPr>
      <w:r>
        <w:t>1.</w:t>
      </w:r>
      <w:r>
        <w:tab/>
        <w:t>El Consejo General del Poder Judicial -en adelante CGPJ- queda comprometido, al igual que cualesquiera otras autoridades públicas, para prestar a las Cámaras y a sus Comisiones la información y ayuda que se les solicite, siempre que la solicitud al efecto se corresponda con el ámbito de atribuciones del propio Consejo y no menoscabe el ejercicio independiente de las mismas [FJ 6].</w:t>
      </w:r>
    </w:p>
    <w:p w:rsidR="00A90898" w:rsidRDefault="00A90898" w:rsidP="00A90898">
      <w:pPr>
        <w:pStyle w:val="Extracto"/>
      </w:pPr>
    </w:p>
    <w:p w:rsidR="00A90898" w:rsidRDefault="00A90898" w:rsidP="00A90898">
      <w:pPr>
        <w:pStyle w:val="Extracto"/>
      </w:pPr>
      <w:r>
        <w:t>2.</w:t>
      </w:r>
      <w:r>
        <w:tab/>
        <w:t>Ni la norma controvertida dispone cosa alguna sobre los procedimientos mediante los cuales se haya de canalizar la relación entre el CGPJ y las Cámaras parlamentarias, ni prescribe en particular que la asistencia que prevé deba realizarse a través de la comparecencia parlamentaria de las autoridades a las que se refiere; comparecencia que, por contraste, sí contempla, como es propio al sistema parlamentario de gobierno, el artículo 110.1 CE, conforme al cual, las Cámaras y sus Comisiones pueden reclamar la presencia de los miembros del Gobierno [FJ 6].</w:t>
      </w:r>
    </w:p>
    <w:p w:rsidR="00A90898" w:rsidRDefault="00A90898" w:rsidP="00A90898">
      <w:pPr>
        <w:pStyle w:val="Extracto"/>
      </w:pPr>
    </w:p>
    <w:p w:rsidR="00A90898" w:rsidRDefault="00A90898" w:rsidP="00A90898">
      <w:pPr>
        <w:pStyle w:val="Extracto"/>
      </w:pPr>
      <w:r>
        <w:t>3.</w:t>
      </w:r>
      <w:r>
        <w:tab/>
        <w:t>En manera alguna cabe deducir de la Constitución la prohibición de modificar la legislación relativa al gobierno del Poder Judicial en el momento y en el sentido que el legislador entienda más oportunos, y siempre dentro del respeto a las reglas de contenido material y formal definidas por el bloque de la constitucionalidad (STC 238/2012) [FJ 3].</w:t>
      </w:r>
    </w:p>
    <w:p w:rsidR="00A90898" w:rsidRDefault="00A90898" w:rsidP="00A90898">
      <w:pPr>
        <w:pStyle w:val="Extracto"/>
      </w:pPr>
    </w:p>
    <w:p w:rsidR="00A90898" w:rsidRDefault="00A90898" w:rsidP="00A90898">
      <w:pPr>
        <w:pStyle w:val="Extracto"/>
      </w:pPr>
      <w:r>
        <w:t>4.</w:t>
      </w:r>
      <w:r>
        <w:tab/>
        <w:t>Una constante jurisprudencia constitucional tiene establecido que es carga de quien impugna la ley aportar en la demanda la argumentación suficiente con vistas a fundamentar la inconstitucionalidad denunciada, sin que sean admisibles, en particular, impugnaciones globales carentes de razonamiento desarrollado (STC 12/2015) [FJ 2].</w:t>
      </w:r>
    </w:p>
    <w:p w:rsidR="00A90898" w:rsidRDefault="00A90898" w:rsidP="00A90898">
      <w:pPr>
        <w:pStyle w:val="Extracto"/>
      </w:pPr>
    </w:p>
    <w:p w:rsidR="00A90898" w:rsidRDefault="00A90898" w:rsidP="00A90898">
      <w:pPr>
        <w:pStyle w:val="Extracto"/>
      </w:pPr>
      <w:r>
        <w:t>5.</w:t>
      </w:r>
      <w:r>
        <w:tab/>
        <w:t>Para la resolución de este proceso constitucional nada dicen juicios de técnica legislativa (STC 14/2015), ponderaciones cautelares o preventivas sobre hipotéticas inconstitucionalidades futuras (SSTC 56/1990 y 111/2013) o, en fin, estimaciones sobre las supuestas intenciones del legislador (STC 197/2014); es, estrictamente, un juicio sobre reglas de Derecho a partir de la norma superior del Ordenamiento y con arreglo a criterios de interpretación estrictamente jurídicos [FJ 3].</w:t>
      </w:r>
    </w:p>
    <w:p w:rsidR="00A90898" w:rsidRDefault="00A90898" w:rsidP="00A90898">
      <w:pPr>
        <w:pStyle w:val="Extracto"/>
      </w:pPr>
    </w:p>
    <w:p w:rsidR="00A90898" w:rsidRDefault="00A90898" w:rsidP="00A90898">
      <w:pPr>
        <w:pStyle w:val="Extracto"/>
      </w:pPr>
      <w:r>
        <w:lastRenderedPageBreak/>
        <w:t>6.</w:t>
      </w:r>
      <w:r>
        <w:tab/>
        <w:t>El control sobre la constitucionalidad de las leyes que ejerce el Tribunal no puede realizarse sin reconocer y respetar el muy amplio margen o libertad de configuración que le corresponde al legislador para dar curso a sus opciones políticas; opciones que no están previamente programadas en la Constitución (STC 11/1981) [FJ 3].</w:t>
      </w:r>
    </w:p>
    <w:p w:rsidR="00A90898" w:rsidRDefault="00A90898" w:rsidP="00A90898">
      <w:pPr>
        <w:pStyle w:val="Extracto"/>
      </w:pPr>
    </w:p>
    <w:p w:rsidR="00A90898" w:rsidRDefault="00A90898" w:rsidP="00A90898">
      <w:pPr>
        <w:pStyle w:val="Extracto"/>
      </w:pPr>
      <w:r>
        <w:t>7.</w:t>
      </w:r>
      <w:r>
        <w:tab/>
        <w:t>La norma fundamental descarta pretensiones de responsabilidad y control político sobre un órgano constitucional al que ha confiado, en garantía de la independencia de jueces y magistrados, unas funciones que no pueden quedar  sujetas a fiscalización por el poder político, sin amenaza o daño para esa independencia [FJ 5].</w:t>
      </w:r>
    </w:p>
    <w:p w:rsidR="00A90898" w:rsidRDefault="00A90898" w:rsidP="00A90898">
      <w:pPr>
        <w:pStyle w:val="Extracto"/>
      </w:pPr>
    </w:p>
    <w:p w:rsidR="00A90898" w:rsidRDefault="00A90898" w:rsidP="00A90898">
      <w:pPr>
        <w:pStyle w:val="Extracto"/>
      </w:pPr>
      <w:r>
        <w:t>8.</w:t>
      </w:r>
      <w:r>
        <w:tab/>
        <w:t>Ninguna objeción constitucional cabe oponer a que el legislador disponga prevenciones subsidiarias para la hipótesis de que, debiendo concurrir ambas Cámaras, por separado, a la designación de los vocales cuya propuesta les corresponde, tan solo una de ellas, por los motivos que sean, esté en condiciones de cumplir su cometido [FJ 8].</w:t>
      </w:r>
    </w:p>
    <w:p w:rsidR="00A90898" w:rsidRDefault="00A90898" w:rsidP="00A90898">
      <w:pPr>
        <w:pStyle w:val="Extracto"/>
      </w:pPr>
    </w:p>
    <w:p w:rsidR="00A90898" w:rsidRDefault="00A90898" w:rsidP="00A90898">
      <w:pPr>
        <w:pStyle w:val="Extracto"/>
      </w:pPr>
      <w:r>
        <w:t>9.</w:t>
      </w:r>
      <w:r>
        <w:tab/>
        <w:t>La prohibición constitucional de que jueces y magistrados, mientras estén en servicio activo, no desempeñen otros cargos públicos está dirigida, inequívocamente, a cargos ajenos al ámbito propiamente judicial, condición que no se da en la de vocal del CGPJ, órgano no jurisdiccional, pero al que corresponde, por ministerio del art. 122.2 de la Constitución, el gobierno del Poder Judicial [FJ 9].</w:t>
      </w:r>
    </w:p>
    <w:p w:rsidR="00A90898" w:rsidRDefault="00A90898" w:rsidP="00A90898">
      <w:pPr>
        <w:pStyle w:val="Extracto"/>
      </w:pPr>
    </w:p>
    <w:p w:rsidR="00A90898" w:rsidRDefault="00A90898" w:rsidP="00A90898">
      <w:pPr>
        <w:pStyle w:val="Extracto"/>
      </w:pPr>
      <w:r>
        <w:t>10.</w:t>
      </w:r>
      <w:r>
        <w:tab/>
        <w:t xml:space="preserve">En la hipótesis de que el Presidente del TS y del CGPJ deba ser sustituido </w:t>
      </w:r>
      <w:r w:rsidRPr="00A90898">
        <w:rPr>
          <w:i/>
        </w:rPr>
        <w:t xml:space="preserve">pro tempore </w:t>
      </w:r>
      <w:r>
        <w:t>en el ejercicio de uno y otro cargo, la presidencia del Consejo la ejercerá el Vicepresidente del Tribunal Supremo no bajo esta condición, sino a título de Presidente en funciones del propio Tribunal Supremo y también del Consejo; esto es, con la condición indubitada de miembro de este último órgano. La Ley Orgánica dispone aquí dos modos, ordinario y extraordinario, de ser titular de la presidencia, y por tanto miembro, del CGPJ: por elección y a tiempo cierto o determinable, en el primer caso, y por llamamiento legal, y en tanto surjan y se mantengan determinadas circunstancias, en el segundo [FJ 10].</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don Andrés Ollero Tassara, don Fernando Valdés Dal-Ré, don Juan José González Rivas, don Santiago Martínez-Vares García, don Juan Antonio Xiol Ríos, don Pedro José González-Trevijano Sánchez y don Ricardo Enríquez Sancho,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recurso de inconstitucionalidad núm. 5465-2013, interpuesto por más de cincuenta diputados del Grupo Parlamentario Socialista del Congreso de los Diputados contra los arts. 564, 570.1 y 3, 579.1, 580.1, 590, 591.1, 599, 600.4 y 638.2 de la Ley Orgánica del Poder Judicial (LOPJ), en redacción dada a los mismos por la Ley Orgánica 4/2013, de 28 de junio, de reforma del Consejo General del Poder Judicial (CGPJ), por la que se modifica la Ley Orgánica 6/1985, de 1 de julio, del Poder Judicial, así como contra el apartado 3 de la disposición transitoria décima de la misma Ley Orgánica 4/2013. Ha intervenido y formulado alegaciones el Abogado del Estado. Ha sido Ponente el Magistrado don Fernando Valdés Dal-Ré, que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el Tribunal Constitucional el 26 de septiembre de 2013, doña Virginia Aragón Segura, Procuradora de los Tribunales y comisionada al efecto por más de cincuenta diputados del Grupo Parlamentario Socialista del Congreso de los Diputados, presentó demanda de recurso de inconstitucionalidad contra los arts. 564, 570.1 y 3, 579.1, 580.1, 590, 591.1, 599, 600.4 y 638.2 de la Ley Orgánica del Poder Judicial (LOPJ), en redacción dada a los mismos por la Ley Orgánica 4/2013, de 28 de junio, de reforma del Consejo General del Poder Judicial, por la que se modifica la Ley Orgánica 6/1985, de 1 de julio, del Poder Judicial, así como contra el apartado 3 de la disposición transitoria décima de la citada Ley Orgánica 4/2013.</w:t>
      </w:r>
    </w:p>
    <w:p w:rsidR="00A90898" w:rsidRDefault="00A90898" w:rsidP="00A90898">
      <w:pPr>
        <w:pStyle w:val="TextoNormal"/>
      </w:pPr>
    </w:p>
    <w:p w:rsidR="00A90898" w:rsidRDefault="00A90898" w:rsidP="00A90898">
      <w:pPr>
        <w:pStyle w:val="TextoNormal"/>
      </w:pPr>
      <w:r>
        <w:t>a) Tras transcribir el texto de los preceptos impugnados y referirse a los presupuestos procesales del presente recurso, la demanda expone un “planteamiento constitucional general” con carácter previo a la argumentación de los motivos de inconstitucionalidad. En síntesis, reflexiona sobre el sentido institucional del Consejo General del Poder Judicial, la jurisprudencia constitucional sobre el mismo (en particular, la STC 108/1986, de 29 de julio) y las competencias que, conforme al art. 122.2 CE, le corresponde, manifestando que la reducción notoria de las competencias del Consejo y, sobre todo, las limitaciones y obstrucciones a su funcionamiento, ante todo en materia presupuestaria, pueden generar el efecto, rechazado por la Constitución, de colocar a los miembros del Poder Judicial en una relación de clara subordinación con respeto al poder ejecutivo. Esa posición autónoma y no subordinada resulta difícilmente compatible, se añade, con las limitaciones que se establecen en la Ley Orgánica 4/2013 y preceptos cuya declaración de inconstitucionalidad se pretende, citándose al respecto el artículo 570.3, que, vulnerando lo dispuesto en el art. 122.3 CE, permite incluso la reducción para algunos de los vocales del mandato de cinco años constitucionalmente fijado, consintiendo la formación de un órgano en el que la mitad de los miembros pueda tener una duración inferior a la que la Constitución ha querido para el órgano en su conjunto.</w:t>
      </w:r>
    </w:p>
    <w:p w:rsidR="00A90898" w:rsidRDefault="00A90898" w:rsidP="00A90898">
      <w:pPr>
        <w:pStyle w:val="TextoNormal"/>
      </w:pPr>
    </w:p>
    <w:p w:rsidR="00A90898" w:rsidRDefault="00A90898" w:rsidP="00A90898">
      <w:pPr>
        <w:pStyle w:val="TextoNormal"/>
      </w:pPr>
      <w:r>
        <w:t xml:space="preserve">El nuevo artículo 570.1 y la disposición transitoria décima, apartado 3 permiten, con vulneración de la Constitución, la posible renovación parcial del órgano y su constitución con los vocales nombrados por una sola Cámara. El art. 159.3 CE ha establecido la renovación parcial del Tribunal Constitucional, lo que no se contempla en el artículo 122.3 para el Consejo General del Poder Judicial, precisamente por el carácter político de este órgano. </w:t>
      </w:r>
      <w:r>
        <w:lastRenderedPageBreak/>
        <w:t>Pero lo que resulta de extrema gravedad —se dice— es que, con el supuesto pretexto de “eliminación de situaciones de bloqueo en la constitución del Consejo General del Poder Judicial”, se someta a los representantes de la soberanía popular a una presión evidente; y más en supuestos como el del presente momento histórico, en que en una de las Cámaras el partido que sustenta al Gobierno tiene una mayoría que le permite por sí solo designar los diez vocales que correspondería designar a esa Cámara. La opción legislativa, respaldada por la Carta Magna, de la elección parlamentaria de los vocales del Consejo ha de permitir que ambas Cámaras, sin presiones de ningún género, puedan elegir a aquellos vocales que ostenten el mérito y la capacidad necesarios al efecto. La previsión de que una Cámara, amparada en la mayoría política de determinado partido, pueda proceder a la renovación parcial del Consejo, condicionando la actuación de la otra Cámara y pudiendo llegar a limitar la duración del mandato de la mitad de los vocales del órgano, no sólo carece de apoyo constitucional, sino que es expresión de la voluntad de control político del órgano de gobierno del Poder Judicial. Del mismo modo, el artículo 579.1, al hacer distinciones entre los vocales y su compatibilidad con el ejercicio de otras actividades, según pertenezcan o no a la Comisión Permanente, genera unas evidentes disfunciones en el funcionamiento del Consejo que claramente comportarán, por su falta de estabilidad, una situación que dificultará esa necesaria autonomía destinada a garantizar la independencia de cada órgano en el ejercicio de la función jurisdiccional.</w:t>
      </w:r>
    </w:p>
    <w:p w:rsidR="00A90898" w:rsidRDefault="00A90898" w:rsidP="00A90898">
      <w:pPr>
        <w:pStyle w:val="TextoNormal"/>
      </w:pPr>
    </w:p>
    <w:p w:rsidR="00A90898" w:rsidRDefault="00A90898" w:rsidP="00A90898">
      <w:pPr>
        <w:pStyle w:val="TextoNormal"/>
      </w:pPr>
      <w:r>
        <w:t xml:space="preserve">Esta diferenciación entre dos categorías de vocales tiene otras manifestaciones, como son las retributivas o las relativas al régimen de recursos de los actos (artículo 638.2, también inconstitucional), pues al convertir en firmes los actos de la Comisión Permanente, solamente recurribles ante la jurisdicción contencioso-administrativa, se refuerza aún más la especialización o diferenciación de los vocales que resulten designados para formar parte de este órgano. Se trata de una distinción obviamente inconstitucional, pues la Constitución quiso garantizar la independencia respecto del poder ejecutivo de las funciones que encomienda al Consejo en una doble manera. En primer lugar, retirándolas del ámbito del ejecutivo y, en segundo lugar, confiándolas a un órgano deliberadamente complejo, con estructura de colegio y sin una jerarquización interna que determine al fin la atribución de esos poderes o competencias a una sola persona. La exigencia de colegialidad está en la propia elección de un órgano configurado como colegio o asamblea. A ella le es inherente la posibilidad y exigencia de actuación en términos de igualdad de poder, estatus y garantías de cada uno de sus integrantes. El espíritu y la filosofía que preside la reforma y cuya inconstitucionalidad se hace patente en los preceptos referidos, así como en los artículos 590 y 591.1, es de una clara desconfianza y ausencia de respeto al Consejo General del Poder Judicial. La Ley Orgánica 4/2013 impone a este órgano un sistema de funcionamiento tan constreñido y restringido que facilitará su control por el ejecutivo y que, sin duda, podría generar el efecto de colocar a jueces y juezas en el ejercicio de la jurisdicción en una situación de dudosa garantía de su independencia. Esa desconfianza hacia el órgano y hacia la mayor parte de los integrantes de la Sala Tercera del Tribunal Supremo, encargada hasta ahora de conocer de los recursos frente a los actos del Consejo, se manifiesta en el sometimiento de los recursos contra las decisiones del pleno y de la comisión permanente a una sección especialmente configurada dentro de la Sala de lo Contencioso-administrativo del Tribunal Supremo, artículo 638.2, lo que constituye una excepción al régimen común de los recursos que merece ser examinada en cuanto a su constitucionalidad. El contexto político, económico y social en el que se promulga la Ley Orgánica 4/2013 pone en evidencia que </w:t>
      </w:r>
      <w:r>
        <w:lastRenderedPageBreak/>
        <w:t>esta reforma tiene por objeto dificultar y limitar la actuación del Consejo, en claro menoscabo de la garantía y protección de la independencia judicial.</w:t>
      </w:r>
    </w:p>
    <w:p w:rsidR="00A90898" w:rsidRDefault="00A90898" w:rsidP="00A90898">
      <w:pPr>
        <w:pStyle w:val="TextoNormal"/>
      </w:pPr>
    </w:p>
    <w:p w:rsidR="00A90898" w:rsidRDefault="00A90898" w:rsidP="00A90898">
      <w:pPr>
        <w:pStyle w:val="TextoNormal"/>
      </w:pPr>
      <w:r>
        <w:t>b) En cuanto a la fundamentación de unas y otras impugnaciones, se comienza por argumentar la del artículo 564, de conformidad con el cual “(f)uera del supuesto previsto en el artículo anterior, sobre el Presidente del Tribunal Supremo y los Vocales del Consejo General del Poder Judicial no recaerá deber alguno de comparecer ante las Cámaras por razón de sus funciones”. El artículo 563, al que remite el transcrito, se refiere a la memoria anual que el Consejo remitirá a las Cortes Generales y contempla en su número 3 la posibilidad de que las Cortes, de acuerdo con los reglamentos de las Cámaras, puedan debatir el contenido de esa memoria y solicitar la comparecencia del Presidente del Tribunal Supremo, a fin de responder a las preguntas que acerca de aquélla se le formulasen.</w:t>
      </w:r>
    </w:p>
    <w:p w:rsidR="00A90898" w:rsidRDefault="00A90898" w:rsidP="00A90898">
      <w:pPr>
        <w:pStyle w:val="TextoNormal"/>
      </w:pPr>
    </w:p>
    <w:p w:rsidR="00A90898" w:rsidRDefault="00A90898" w:rsidP="00A90898">
      <w:pPr>
        <w:pStyle w:val="TextoNormal"/>
      </w:pPr>
      <w:r>
        <w:t xml:space="preserve">Entienden los recurrentes que la exclusión que realiza el precepto de la obligación del Presidente y de los vocales del Consejo General del Poder Judicial en orden a comparecer ante las Cámaras por razón de sus funciones supone una vulneración de la reserva a favor de los reglamentos parlamentarios </w:t>
      </w:r>
      <w:r w:rsidRPr="00A90898">
        <w:rPr>
          <w:i/>
        </w:rPr>
        <w:t>ex</w:t>
      </w:r>
      <w:r>
        <w:t xml:space="preserve"> art. 72.1 CE, precepto que atribuye a las Cámaras la capacidad para establecer sus propios reglamentos; una infracción, asimismo, de lo prevenido en el art. 109 CE y, en fin, la conculcación de lo establecido en el artículo 76.2 de la misma norma fundamental en orden a la obligación de comparecer, a requerimiento de las Cámaras, ante sus Comisiones de investigación. En uso de aquella autonomía reglamentaria, el vigente art. 44 del Reglamento del Congreso de los Diputados prevé que las comisiones de las Cámaras puedan recabar, además de la presencia de miembros del Gobierno, también la de autoridades y funcionarios públicos competentes por razón de la materia objeto de debate, a fin de informar a la comisión y, a iguales efectos, la de otras personas competentes en la materia, observándose que ha sido relativamente frecuente que, en aplicación de esta norma, han tenido lugar comparecencias parlamentarias de miembros del Consejo de este tipo, habiéndose admitido solicitudes que la demanda relaciona de modo pormenorizado y que han creado —se dice— una práctica parlamentaria consolidada que no se basa en la atribución de ninguna facultad de control parlamentario sobre la actuación de los miembros del Consejo, sino en el desarrollo normal de una previsión del Reglamento de la Cámara, que hace posible la presencia de cualesquiera autoridades y funcionarios a los efectos de informar a la comisión competente en las materias que son objeto de debate.</w:t>
      </w:r>
    </w:p>
    <w:p w:rsidR="00A90898" w:rsidRDefault="00A90898" w:rsidP="00A90898">
      <w:pPr>
        <w:pStyle w:val="TextoNormal"/>
      </w:pPr>
    </w:p>
    <w:p w:rsidR="00A90898" w:rsidRDefault="00A90898" w:rsidP="00A90898">
      <w:pPr>
        <w:pStyle w:val="TextoNormal"/>
      </w:pPr>
      <w:r>
        <w:t xml:space="preserve">Estas materias pueden abarcar desde la tramitación de proyectos y proposiciones de ley hasta la aprobación de los presupuestos generales del Estado, en los que se incluyen los del propio Consejo, y para cuya aprobación puede ser necesario que informe a la comisión de presupuestos, o cualquier otro asunto no legislativo objeto de debate parlamentario y en el que las Cámaras pueden precisar la información, opinión o ayuda de los miembros del Consejo. La exclusión de esta posibilidad no sólo se considera inconveniente por exclusiva de los miembros del Consejo y no atribuible a las demás autoridades del Estado, sino que resulta claramente contraria a lo dispuesto en los arts. 72.1 y 109 CE. Se habría infringido también lo dispuesto en el art. 76.2 CE, en punto a la obligación de comparecer ante las Comisiones de investigación de las Cámaras, pues el artículo 564 no establece ninguna reserva relacionada con este supuesto. La configuración constitucional del Consejo General del Poder Judicial como órgano constitucional que ejerce funciones ejecutivas de carácter público relativas a la organización de juzgados y tribunales y a la aplicación del estatuto jurídico de Jueces y Magistrados no le posiciona como órgano exento de rendir cuentas ante </w:t>
      </w:r>
      <w:r>
        <w:lastRenderedPageBreak/>
        <w:t>las Cortes Generales y ante la ciudadanía. La proyección del principio democrático y del principio de separación de poderes en que se fundamenta el Estado constitucional (art. 1 CE), en este ámbito institucional de gobernanza del poder judicial, impide configurar un órgano de gobierno del poder judicial que asuma funciones de carácter ejecutivo que no pueden atribuirse al Gobierno, porque perturbarían la independencia judicial, exento de control por la representación legítima de la soberanía nacional.</w:t>
      </w:r>
    </w:p>
    <w:p w:rsidR="00A90898" w:rsidRDefault="00A90898" w:rsidP="00A90898">
      <w:pPr>
        <w:pStyle w:val="TextoNormal"/>
      </w:pPr>
    </w:p>
    <w:p w:rsidR="00A90898" w:rsidRDefault="00A90898" w:rsidP="00A90898">
      <w:pPr>
        <w:pStyle w:val="TextoNormal"/>
      </w:pPr>
      <w:r>
        <w:t>La Ley Orgánica del Poder Judicial incurre en inconstitucionalidad por omisión al no prever un sistema de responsabilidad política del Consejo General del Poder Judicial, por lo que debe regularse el deber del Presidente y de los vocales de este órgano de atender las peticiones de comparecencia de las comisiones de justicia de las Cámaras para analizar cualquier cuestión que afecte a la Administración de Justicia, ya que repugna con el designio de la Constitución que las Cortes Generales vean mermada su capacidad de control en asuntos que interesan al funcionamiento de la Administración de Justicia, de conformidad con lo dispuesto en el art. 66 CE.</w:t>
      </w:r>
    </w:p>
    <w:p w:rsidR="00A90898" w:rsidRDefault="00A90898" w:rsidP="00A90898">
      <w:pPr>
        <w:pStyle w:val="TextoNormal"/>
      </w:pPr>
    </w:p>
    <w:p w:rsidR="00A90898" w:rsidRDefault="00A90898" w:rsidP="00A90898">
      <w:pPr>
        <w:pStyle w:val="TextoNormal"/>
      </w:pPr>
      <w:r>
        <w:t>c) Se afirma también la inconstitucionalidad de los apartados 1 y 3 del artículo 570, y del apartado 3 de la disposición transitoria décima, por vulneración del art. 122.3 CE.</w:t>
      </w:r>
    </w:p>
    <w:p w:rsidR="00A90898" w:rsidRDefault="00A90898" w:rsidP="00A90898">
      <w:pPr>
        <w:pStyle w:val="TextoNormal"/>
      </w:pPr>
    </w:p>
    <w:p w:rsidR="00A90898" w:rsidRDefault="00A90898" w:rsidP="00A90898">
      <w:pPr>
        <w:pStyle w:val="TextoNormal"/>
      </w:pPr>
      <w:r>
        <w:t xml:space="preserve">Tales preceptos prevén la constitución de un nuevo Consejo con los vocales que hubieran sido designados por una de las Cámaras, sin esperar a la designación realizada por la otra, y que los vocales que fueran designados con posterioridad por esa Cámara tengan una duración de su mandato inferior a cinco años, período fijado por el art. 122.3 CE. La Constitución —se observa— ha establecido un mandato de cinco años con referencia no al órgano, sino a los vocales, estableciendo que todos ellos, sin excepción alguna, deberán tener un mandato de esa duración. La limitación del mandato de la mitad de los vocales que podría derivarse de la aplicación del artículo 570.3 contraviene el citado artículo 122.3 del texto constitucional. Pero es que, además, la Constitución ha querido en tal precepto que todos los vocales sean nombrados en unidad de acto, excluyendo las “reformas parciales”. La exposición de motivos de la Ley Orgánica justifica esta regulación en la “eliminación de las situaciones de bloqueo en la constitución del Consejo General del Poder Judicial”, manifestándose en la demanda que aun cuando sea, efectivamente, conveniente la renovación en plazo de los vocales, la fórmula a la que se acude, permitiendo la constitución del Consejo con los diez vocales designados por la Cámara que hubiera procedido a la renovación sin esperar al nombramiento del total de 20 miembros, es contraria a lo previsto en el art. 122. 3 CE, que ha fijado el número de 20 vocales, con un mandato de cinco años, y que han de ser nombrados en unidad de acto por el Rey. El art. 159.3 CE prevé la renovación del Tribunal Constitucional por terceras partes; sin embargo, esta renovación parcial no está en modo alguno constitucionalmente prevista para el Consejo General del Poder Judicial. Que históricamente haya habido retrasos en la renovación del órgano no puede justificar una renovación parcial del mismo, no querida por el constituyente, ni reducir el mandato de la mitad de sus miembros. La previsión legislativa de constitución del Consejo General del Poder Judicial con los vocales designados por una de las Cámaras y con los salientes, elegidos por la otra Cámara, que formaron parte del anterior Consejo, supone una flagrante fractura del principio democrático, en cuanto rompe con la noción de designación unitaria e integral del Consejo y con el principio de “temporalidad”, que limita la duración del mandato electivo del cargo público que se consagra en el art. 122 CE, propiciando la quiebra de la letra y el espíritu constitucional el que una fuerza política mayoritaria en una Cámara </w:t>
      </w:r>
      <w:r>
        <w:lastRenderedPageBreak/>
        <w:t>pueda prevalecerse injustificadamente de esa posición, sin respetar la norma o convención “subconstitucional”, enunciada por el Tribunal Constitucional, de que el Consejo no sea reflejo o expresión de la “lucha de partidos”. Argumentan los recurrentes que no pueden dejar de poner de relieve, como representantes de la soberanía popular y en relación a un órgano constitucional de la relevancia del Consejo, en cuanto garante de la independencia de los miembros del mismo, la falta de respeto y consideración que para las Cámaras legislativas supone la regulación contemplada en la Ley, cuya exposición de motivos justifica la imposición a los representantes de la soberanía popular de una presión no aceptable para acelerar la renovación del órgano cuando dice: “(s)iendo así, las Cámaras pueden en todo momento evitar una situación manifiestamente inadecuada para el correcto funcionamiento de las instituciones como es esta”.</w:t>
      </w:r>
    </w:p>
    <w:p w:rsidR="00A90898" w:rsidRDefault="00A90898" w:rsidP="00A90898">
      <w:pPr>
        <w:pStyle w:val="TextoNormal"/>
      </w:pPr>
    </w:p>
    <w:p w:rsidR="00A90898" w:rsidRDefault="00A90898" w:rsidP="00A90898">
      <w:pPr>
        <w:pStyle w:val="TextoNormal"/>
      </w:pPr>
      <w:r>
        <w:t>Por la misma razón, adolecería de inconstitucionalidad el apartado 3 de la disposición transitoria décima, que remite a lo dispuesto en el artículo 570.</w:t>
      </w:r>
    </w:p>
    <w:p w:rsidR="00A90898" w:rsidRDefault="00A90898" w:rsidP="00A90898">
      <w:pPr>
        <w:pStyle w:val="TextoNormal"/>
      </w:pPr>
    </w:p>
    <w:p w:rsidR="00A90898" w:rsidRDefault="00A90898" w:rsidP="00A90898">
      <w:pPr>
        <w:pStyle w:val="TextoNormal"/>
      </w:pPr>
      <w:r>
        <w:t>d) Se aduce, a continuación, la inconstitucionalidad de los artículos 579.1, 580.1 y 638.2.</w:t>
      </w:r>
    </w:p>
    <w:p w:rsidR="00A90898" w:rsidRDefault="00A90898" w:rsidP="00A90898">
      <w:pPr>
        <w:pStyle w:val="TextoNormal"/>
      </w:pPr>
    </w:p>
    <w:p w:rsidR="00A90898" w:rsidRDefault="00A90898" w:rsidP="00A90898">
      <w:pPr>
        <w:pStyle w:val="TextoNormal"/>
      </w:pPr>
      <w:r>
        <w:t>El primero de estos preceptos establece que los vocales del Consejo General del Poder Judicial, salvo los que integren la comisión permanente, permanecerán en servicio activo si pertenecen a la carrera judicial o a algún cuerpo de funcionarios y seguirán desempeñando su actividad profesional si son abogados, procuradores de los Tribunales o ejercen cualquier otra profesión liberal. El artículo 580.1 dispone, por su parte, que el ejercicio de la función de vocal del Consejo será incompatible con cualquier otro cargo público, electivo o no electivo, con la sola excepción, en su caso, del servicio en el cuerpo a que pertenezcan. El nuevo artículo 638.2, en fin, prevé que los acuerdos del pleno y de la comisión permanente pondrán fin a la vía administrativa y que los mismos serán recurribles ante la Sala de lo Contencioso-Administrativo del Tribunal Supremo, correspondiendo el conocimiento de estos asuntos a una sección integrada por el Presidente de dicha Sala, que la presidirá, y por los demás presidentes de sección de la misma. Luego de transcribir estos preceptos, citan los recurrentes el art. 127 CE, en cuyo número 1 se dispone que los Jueces y Magistrados, así como los fiscales, mientras se hallen en activo, no podrán desempeñar otros cargos públicos, y en cuyo número 2 se prevé que la ley establecerá el régimen de incompatibilidades de los miembros del Poder judicial, que deberá asegurar la total independencia de los mismos.</w:t>
      </w:r>
    </w:p>
    <w:p w:rsidR="00A90898" w:rsidRDefault="00A90898" w:rsidP="00A90898">
      <w:pPr>
        <w:pStyle w:val="TextoNormal"/>
      </w:pPr>
    </w:p>
    <w:p w:rsidR="00A90898" w:rsidRDefault="00A90898" w:rsidP="00A90898">
      <w:pPr>
        <w:pStyle w:val="TextoNormal"/>
      </w:pPr>
      <w:r>
        <w:t xml:space="preserve">La exposición de motivos de la Ley Orgánica 4/2013 justifica el que denomina “ejercicio a tiempo parcial del cargo de vocal”, manifestando que facilitará una mayor cercanía de los vocales a la realidad que han de gobernar; al tiempo que permitirá que asuntos que hasta la fecha eran llevados por los vocales lo sean ahora por los funcionarios del cuerpo de letrados. Dicen los recurrentes que, sin ningún recato, se pone así de relieve la evidente privación de funciones y competencias al Consejo General del Poder Judicial, desapoderando a quienes lo constituyen propiamente —sus vocales— para entregar unas funciones no claramente delimitadas, pero con vocación de permanencia, a un cuerpo de funcionarios seleccionados bajo unas convocatorias, órganos de selección y regulación establecidos por la “mayoría dirigente” en cada caso del órgano. La vocación de control, mediante una expropiación en beneficio de una solución corporativa, propia —se dice— de las soluciones administrativas de los años 20 del pasado siglo en Italia y 40 del mismo en nuestro país, resulta reveladora de la inspiración de la reforma, obviamente contraria a la voluntad que animó al constituyente al configurar el Consejo como órgano de garantía. Atribuir funciones de éste a órganos </w:t>
      </w:r>
      <w:r>
        <w:lastRenderedPageBreak/>
        <w:t>administrativos o a un cuerpo de funcionarios regulados por normas de rango secundario, sometidos a los principios de jerarquía y eficiencia, entre otros, propios de la Administración general y ajenos por completo a la configuración como colegio del Consejo General del Poder Judicial, resulta opuesto a la condición de órgano de garantía que constituye la esencia de éste.</w:t>
      </w:r>
    </w:p>
    <w:p w:rsidR="00A90898" w:rsidRDefault="00A90898" w:rsidP="00A90898">
      <w:pPr>
        <w:pStyle w:val="TextoNormal"/>
      </w:pPr>
    </w:p>
    <w:p w:rsidR="00A90898" w:rsidRDefault="00A90898" w:rsidP="00A90898">
      <w:pPr>
        <w:pStyle w:val="TextoNormal"/>
      </w:pPr>
      <w:r>
        <w:t>También la compatibilidad de los vocales del Consejo pertenecientes a la carrera judicial con el ejercicio de la jurisdicción, salvo los que pertenezcan a su Comisión Permanente, es contraria al art. 127 CE, pues el mandato del número 1 de este precepto tiene por fin asegurar la total independencia de la función jurisdiccional, de manera que, sin perjuicio del régimen de incompatibilidades, la Constitución prohíbe expresamente a los Jueces, Magistrados y fiscales desempeñan otros cargos públicos mientras estén en activo. Esta previsión ha de vincularse a lo establecido en los apartados 3 y 4 del art. 117 CE, referidos al ejercicio exclusivo de la potestad jurisdiccional, salvo el cumplimiento de otras posibles funciones, atribuidas por ley, en garantía de un derecho. Pero es evidente —se observa— que la intervención de Jueces, Magistrados y fiscales en el cargo de vocales del Consejo General del Poder Judicial no está vinculada a la garantía de derecho alguno, ni de los integrantes del Poder Judicial ni de los derechos y libertades a cuya preservación sirve el Poder Judicial, pues las razones ya invocadas por la exposición de motivos de la ley a fin de justificar la compatibilidad que impone son completamente ajenas a la tutela o garantía de derecho alguno.</w:t>
      </w:r>
    </w:p>
    <w:p w:rsidR="00A90898" w:rsidRDefault="00A90898" w:rsidP="00A90898">
      <w:pPr>
        <w:pStyle w:val="TextoNormal"/>
      </w:pPr>
    </w:p>
    <w:p w:rsidR="00A90898" w:rsidRDefault="00A90898" w:rsidP="00A90898">
      <w:pPr>
        <w:pStyle w:val="TextoNormal"/>
      </w:pPr>
      <w:r>
        <w:t>Tampoco cabe justificar la modificación equiparando el ejercicio del cargo público de vocal con la participación en los órganos de gobierno interno del Poder Judicial, tales como Salas de Gobierno. Obviamente, el gobierno interno sólo puede ser ejercido por los propios miembros del colectivo gobernado y ese no es el caso del Consejo General del Poder Judicial. La Constitución distingue entre lo que es gobierno interno de juzgados y tribunales (artículo 122.1) y el Consejo General del Poder Judicial (artículo 122.2), como órgano de gobierno del mismo cuyas funciones trascienden de la propia labor de gobierno al ostentar también facultades de informe, así como la potestad reglamentaria que se le otorga o la propuesta de nombramiento de dos Magistrados del Tribunal Constitucional.</w:t>
      </w:r>
    </w:p>
    <w:p w:rsidR="00A90898" w:rsidRDefault="00A90898" w:rsidP="00A90898">
      <w:pPr>
        <w:pStyle w:val="TextoNormal"/>
      </w:pPr>
    </w:p>
    <w:p w:rsidR="00A90898" w:rsidRDefault="00A90898" w:rsidP="00A90898">
      <w:pPr>
        <w:pStyle w:val="TextoNormal"/>
      </w:pPr>
      <w:r>
        <w:t>Si se considera que el número de 20 vocales es excesivo, habría de haberse modificado la Constitución, sin vaciar las funciones, poderes y garantías que la propia Constitución establece a favor de los integrantes del Consejo, lo que supone un fraude constitucional.</w:t>
      </w:r>
    </w:p>
    <w:p w:rsidR="00A90898" w:rsidRDefault="00A90898" w:rsidP="00A90898">
      <w:pPr>
        <w:pStyle w:val="TextoNormal"/>
      </w:pPr>
    </w:p>
    <w:p w:rsidR="00A90898" w:rsidRDefault="00A90898" w:rsidP="00A90898">
      <w:pPr>
        <w:pStyle w:val="TextoNormal"/>
      </w:pPr>
      <w:r>
        <w:t>El constituyente, al establecer la radical incompatibilidad entre el ejercicio de la jurisdicción y el desempeño de cargos públicos, pretendía salvaguardar no sólo la independencia e imparcialidad de Jueces y Magistrados, sino la mera apariencia de ellas, que se verán afectadas por la compatibilidad que se controvierte.</w:t>
      </w:r>
    </w:p>
    <w:p w:rsidR="00A90898" w:rsidRDefault="00A90898" w:rsidP="00A90898">
      <w:pPr>
        <w:pStyle w:val="TextoNormal"/>
      </w:pPr>
    </w:p>
    <w:p w:rsidR="00A90898" w:rsidRDefault="00A90898" w:rsidP="00A90898">
      <w:pPr>
        <w:pStyle w:val="TextoNormal"/>
      </w:pPr>
      <w:r>
        <w:t xml:space="preserve">Además, el régimen de incompatibilidad ahora reformado constituía una segunda forma de garantía, pues, con la única y plena dedicación de los vocales a las funciones propias de su condición de integrantes de un órgano colegiado, se garantiza también su liberación de cualesquiera presiones por medio de o en su condición de Jueces o Magistrados, a cuyo efecto se refieren los recurrentes al régimen de exigencia de productividad asociado a motivaciones profesionales, retributivas o disciplinarias. Añaden que, a lo largo de la tramitación parlamentaria, el inicial proyecto de ley, que ya presentaba una laxitud mayor que “la </w:t>
      </w:r>
      <w:r>
        <w:lastRenderedPageBreak/>
        <w:t>Ley actual”, en cuanto a las actividades incompatibles, incluso para los que queden en dedicación exclusiva, tras su trámite en el Senado el régimen de incompatibilidades se flexibilizó aún más, por cuanto las enmiendas del Grupo Popular, al reformar el artículo 573, permiten que se compatibilice la condición de vocal con el desempeño de cualquier cargo que lleve aparejado responsabilidades gubernativas, siempre que no se tenga dedicación exclusiva, supuesto para el que el artículo 579, cerrando el sistema, prevé que en caso de incompatibilidad sea aquel reemplazado por el sustituto natural.</w:t>
      </w:r>
    </w:p>
    <w:p w:rsidR="00A90898" w:rsidRDefault="00A90898" w:rsidP="00A90898">
      <w:pPr>
        <w:pStyle w:val="TextoNormal"/>
      </w:pPr>
    </w:p>
    <w:p w:rsidR="00A90898" w:rsidRDefault="00A90898" w:rsidP="00A90898">
      <w:pPr>
        <w:pStyle w:val="TextoNormal"/>
      </w:pPr>
      <w:r>
        <w:t>e) Por lo que se refiere a la inconstitucionalidad de los artículos 590 y 591.1, señalan los recurrentes que, suprimida la vicepresidencia del Consejo, la nueva figura de la vicepresidencia del Tribunal Supremo carece de precedentes históricos en la organización judicial española, por más que no habría nada que objetar, desde la perspectiva de la constitucionalidad, a tal nueva figura. Sí debe hacerse tal objeción, sin embargo, a las previsiones de los artículos 590 y 591.1 cuando, al regular la sustitución de las funciones del Presidente, se atribuye tal función al Vicepresidente del Tribunal Supremo, y no sólo se le otorga en relación al propio Tribunal Supremo, lo que resultaría lógico, sino que se amplía esa competencia para la sustitución respecto al Consejo General del Poder Judicial, órgano del que no es miembro, con clara infracción del art. 122.3 CE. Que el Presidente del Tribunal Supremo, por designio de la Constitución, ostente la presidencia del Consejo no autoriza a que la sustitución del mismo pueda, en relación con ese órgano de gobierno del Poder Judicial, realizarse por el Vicepresidente del Tribunal Supremo, que no es miembro del Consejo. A esta situación, se dice, serían extrapolables algunas de las consideraciones realizadas en la STC 103/2013.</w:t>
      </w:r>
    </w:p>
    <w:p w:rsidR="00A90898" w:rsidRDefault="00A90898" w:rsidP="00A90898">
      <w:pPr>
        <w:pStyle w:val="TextoNormal"/>
      </w:pPr>
    </w:p>
    <w:p w:rsidR="00A90898" w:rsidRDefault="00A90898" w:rsidP="00A90898">
      <w:pPr>
        <w:pStyle w:val="TextoNormal"/>
      </w:pPr>
      <w:r>
        <w:t>El nuevo tenor del artículo 597 revela una manifestación de confusión conceptual en la alambicada afirmación de que la Presidencia del Tribunal Supremo y del Consejo General del Poder Judicial “es una función inherente al cargo de Presidente del Tribunal Supremo”. Se trata de un “galimatías” revelador de la voluntad subyacente al conjunto de la reforma incorporada a la regulación del Consejo: el vaciamiento del órgano, de su función y de su relevancia constitucionalmente establecidos sin pasar para ello por la reforma constitucional. La sustitución del Presidente por la Vicepresidencia de otro órgano es una manifestación más de ese “desmantelamiento” que se pretende. Al Vicepresidente del Tribunal Supremo se le da un tratamiento de órgano del Consejo General del Poder Judicial sin serlo, lo que queda de manifiesto con una simple lectura de los artículos 592, 596, 599 y de las propias rúbricas de los títulos III y IV, que incrusta, de una manera forzada y extraña, la figura del Vicepresidente del Tribunal Supremo, ajena a la materia objeto de regulación, que conduce inexorablemente a subrayar la más que posible inconstitucionalidad de la regulación, al incluir como integrante del Consejo a un cargo no contenido en el art. 122.3 CE. Con la nueva redacción de los artículos 590 y 591 se posibilita que el Vicepresidente del Tribunal Supremo, que no lo es del Consejo ni tiene la condición de vocal, sustituya, en casos de vacante, ausencia o enfermedad, al Presidente del Consejo; es decir, ostente competencias propias de un órgano del Consejo sin serlo.</w:t>
      </w:r>
    </w:p>
    <w:p w:rsidR="00A90898" w:rsidRDefault="00A90898" w:rsidP="00A90898">
      <w:pPr>
        <w:pStyle w:val="TextoNormal"/>
      </w:pPr>
    </w:p>
    <w:p w:rsidR="00A90898" w:rsidRDefault="00A90898" w:rsidP="00A90898">
      <w:pPr>
        <w:pStyle w:val="TextoNormal"/>
      </w:pPr>
      <w:r>
        <w:t>f) Se argumenta igualmente la inconstitucionalidad de los apartados 1, 3 y 4 del artículo 599.1, en relación con el artículo 600.4, por haberse vulnerado con ellos el art. 122.3 CE.</w:t>
      </w:r>
    </w:p>
    <w:p w:rsidR="00A90898" w:rsidRDefault="00A90898" w:rsidP="00A90898">
      <w:pPr>
        <w:pStyle w:val="TextoNormal"/>
      </w:pPr>
    </w:p>
    <w:p w:rsidR="00A90898" w:rsidRDefault="00A90898" w:rsidP="00A90898">
      <w:pPr>
        <w:pStyle w:val="TextoNormal"/>
      </w:pPr>
      <w:r>
        <w:t xml:space="preserve">Alegan los recurrentes que prescindir de las mayorías reforzadas de tres quintos, que requería la presencia de catorce de sus miembros, incluido el Presidente o quien lo sustituya, </w:t>
      </w:r>
      <w:r>
        <w:lastRenderedPageBreak/>
        <w:t xml:space="preserve">previstas en el artículo 129 de la Ley derogada, para la constitución válida del órgano, a la vez que se suprime la exigencia de que las mayorías cualificadas se computen referidas al conjunto de miembros que conforman el órgano, cifrado en veintiuno, incluso en supuestos para los que la ley exige mayoría de tres quintos, conduce a que la misma se compute exclusivamente sobre los presentes, lo que, además de eludir, por la vía de los hechos, la deseable concurrencia de consensos, afecta directamente al necesario pluralismo establecido en la Constitución no sólo en el artículo 1.1, sino también en la configuración que hace del Consejo General del Poder Judicial en cuanto a su composición y funcionamiento . Tras citar la STC 238/2012, de 13 de diciembre, se dice que la interpretación que se deriva de la exégesis sistemática de los preceptos impugnados —que con diez vocales y el Presidente queda constituido válidamente el Consejo— es la que se deriva de las enmiendas del Grupo Popular en el Senado, con lo que sólo se exigirá </w:t>
      </w:r>
      <w:r w:rsidRPr="00A90898">
        <w:rPr>
          <w:i/>
        </w:rPr>
        <w:t>quorum</w:t>
      </w:r>
      <w:r>
        <w:t xml:space="preserve"> reforzado para la válida constitución del pleno en el que se elija Presidente, que requerirá la presencia de 12 de sus miembros. No obstante, esta misma mayoría de tres quintos se exige en otros supuestos, en concreto para el cese del Presidente y del Vicepresidente del Tribunal Supremo, el cese de vocales y la propuesta de nombramiento de Magistrados del Tribunal Constitucional (artículos 580.4, 582.1, 586.3, 588.1.3, 589.5 y 599.1.1) y nada se prevé respecto del refuerzo del </w:t>
      </w:r>
      <w:r w:rsidRPr="00A90898">
        <w:rPr>
          <w:i/>
        </w:rPr>
        <w:t>quorum</w:t>
      </w:r>
      <w:r>
        <w:t xml:space="preserve">, lo que, de conformidad con el apartado 4 del artículo 600, que fija el </w:t>
      </w:r>
      <w:r w:rsidRPr="00A90898">
        <w:rPr>
          <w:i/>
        </w:rPr>
        <w:t>quorum</w:t>
      </w:r>
      <w:r>
        <w:t xml:space="preserve"> en diez vocales más el Presidente, permitirá que con la votación de sólo siete vocales se puedan adoptar acuerdos de tanta relevancia como los mencionados en estos artículos. Esto abunda en la vulneración del necesario pluralismo, al permitir que con los solos votos de vocales elegidos por una Cámara amparada en la mayoría política de un determinado partido, ejerza una suerte de control político del órgano de gobierno y, a través del mismo, del propio Poder Judicial mediante el control de los nombramientos y de cuantas decisiones tome en el ejercicio de sus funciones. Por ello, la propuesta de nombramiento de los Magistrados del Tribunal Supremo y de los altos cargos judiciales debe realizarse con la mayoría reforzada de tres quintos sobre el total de miembros del Consejo, con la finalidad de preservar el pluralismo en el seno de la organización judicial y armonizar los requisitos de designación de los miembros de los Tribunales que culminan el Estado constitucional de Derecho.</w:t>
      </w:r>
    </w:p>
    <w:p w:rsidR="00A90898" w:rsidRDefault="00A90898" w:rsidP="00A90898">
      <w:pPr>
        <w:pStyle w:val="TextoNormal"/>
      </w:pPr>
    </w:p>
    <w:p w:rsidR="00A90898" w:rsidRDefault="00A90898" w:rsidP="00A90898">
      <w:pPr>
        <w:pStyle w:val="TextoNormal"/>
      </w:pPr>
      <w:r>
        <w:t>El escrito de demanda concluye suplicando que se tenga por interpuesto recurso de inconstitucionalidad contra los arts. 564, 570.1 y 3, 579.1, 580.1, 590, 591.1, 599, 600.4 y 638.2, de la Ley Orgánica del Poder Judicial (LOPJ), conforme a su redacción por el apartado uno del artículo único de la Ley Orgánica 4/2013, así como contra el apartado 3 de la disposición transitoria décima de la citada Ley Orgánica, y que se dicte Sentencia en la que se declare la inconstitucionalidad y consiguiente nulidad de las disposiciones recurridas.</w:t>
      </w:r>
    </w:p>
    <w:p w:rsidR="00A90898" w:rsidRDefault="00A90898" w:rsidP="00A90898">
      <w:pPr>
        <w:pStyle w:val="TextoNormal"/>
      </w:pPr>
    </w:p>
    <w:p w:rsidR="00A90898" w:rsidRDefault="00A90898" w:rsidP="00A90898">
      <w:pPr>
        <w:pStyle w:val="TextoNormal"/>
      </w:pPr>
      <w:r w:rsidRPr="00A90898">
        <w:rPr>
          <w:rStyle w:val="NumeroAFNegritaCaracter"/>
        </w:rPr>
        <w:t>2</w:t>
      </w:r>
      <w:r>
        <w:t>. Por providencia del Pleno de 5 de noviembre de 2013 se acordó, a propuesta de la Sección Cuarta,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15 días, pudieran personarse en el proceso y formular las alegaciones que estimaren convenientes, y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Por escrito de 14 de noviembre de 2013, registrado en el Tribunal en igual fecha, la Procuradora de los Tribunales doña Virginia Aragón Segura, actuando en nombre del Grupo </w:t>
      </w:r>
      <w:r>
        <w:lastRenderedPageBreak/>
        <w:t>Parlamentario Socialista en el Congreso de los Diputados dentro del presente procedimiento, subsanó determinados errores materiales padecidos en el anterior escrito de interposición del recurso, aclarando las líneas ilegibles de aquel escrito. Por providencia de 3 de diciembre de 2013, el Pleno acordó unir a las actuaciones el escrito anterior y entregar copia del mismo a todas las partes.</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de 19 de noviembre de 2013, registrado en el Tribunal Constitucional el día siguiente, el Presidente del Senado comunicó el acuerdo de la Mesa de la Cámara de igual fecha en orden a dar por personado al Senado en este procedimiento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de 19 de noviembre de 2013, registrado en el Tribunal el día 21 del mismo mes, el Presidente del Congreso de los Diputados comunicó el acuerdo de la Mesa de la Cámara, de la misma fecha, en orden a dar por personado al Congreso de los Diputados en este procedimiento y por ofrecida su colaboración a los efectos del art. 88.1 LOTC, así como remitir copia del recurso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de 21 de noviembre de 2013, registrado en el Tribunal Constitucional en la misma fecha, la Abogacía del Estado se personó en nombre del Gobierno en este procedimiento y solicitó, habida cuenta del número de asuntos pendientes ante esa Abogacía, que se prorrogara por el máximo legal el plazo concedido para formular alegaciones.</w:t>
      </w:r>
    </w:p>
    <w:p w:rsidR="00A90898" w:rsidRDefault="00A90898" w:rsidP="00A90898">
      <w:pPr>
        <w:pStyle w:val="TextoNormal"/>
      </w:pPr>
    </w:p>
    <w:p w:rsidR="00A90898" w:rsidRDefault="00A90898" w:rsidP="00A90898">
      <w:pPr>
        <w:pStyle w:val="TextoNormal"/>
      </w:pPr>
      <w:r>
        <w:t>Por providencia del Pleno de 22 de noviembre de 2013, se prorrogó en ocho días más el plazo inicialmente concedido para alegaciones, a contar desde el siguiente al de expiración del ordinario.</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de 16 de diciembre de 2013, registrado en el Tribunal Constitucional en la misma fecha, presentó sus alegaciones el Abogado del Estado, que pueden resumirse como sigue:</w:t>
      </w:r>
    </w:p>
    <w:p w:rsidR="00A90898" w:rsidRDefault="00A90898" w:rsidP="00A90898">
      <w:pPr>
        <w:pStyle w:val="TextoNormal"/>
      </w:pPr>
    </w:p>
    <w:p w:rsidR="00A90898" w:rsidRDefault="00A90898" w:rsidP="00A90898">
      <w:pPr>
        <w:pStyle w:val="TextoNormal"/>
      </w:pPr>
      <w:r>
        <w:t>a) Tras referirse al objeto del recurso de inconstitucionalidad, se señala que, sin perjuicio de lo que se dirá sobre la falta de fundamentación suficiente de los motivos de impugnación, en la demanda puede distinguirse una parte general introductoria, centrada en afirmaciones genéricas sobre la inconstitucionalidad de la reforma, a la que sigue una fundamentación de la inconstitucionalidad de cada artículo impugnado. En aquella parte introductoria se hace referencia, para fundamentar la tesis de que la nueva Ley ha privado de competencias al Consejo General del Poder Judicial, al artículo 565, que es el precepto que regula la elaboración del presupuesto de dicha institución, alegación improcedente en la medida en que dicho precepto no ha sido objeto de impugnación, pues no consta en el suplico de la demanda ni en ninguna otra parte del escrito. Por lo demás, la falta de la obligada fundamentación argumentativa de tales afirmaciones haría innecesario que esta parte o el Tribunal se pronuncien sobre las mismas (STC 47/2005, de 3 de marzo). Dice el Abogado del Estado que esta es una característica general de la demanda y cita, en apoyo de la aseveración, la STC 189/2002, de 14 de octubre, FJ 3.</w:t>
      </w:r>
    </w:p>
    <w:p w:rsidR="00A90898" w:rsidRDefault="00A90898" w:rsidP="00A90898">
      <w:pPr>
        <w:pStyle w:val="TextoNormal"/>
      </w:pPr>
    </w:p>
    <w:p w:rsidR="00A90898" w:rsidRDefault="00A90898" w:rsidP="00A90898">
      <w:pPr>
        <w:pStyle w:val="TextoNormal"/>
      </w:pPr>
      <w:r>
        <w:lastRenderedPageBreak/>
        <w:t>También con carácter previo se entiende necesario recordar dos cuestiones básicas, estrechamente vinculadas entre sí. En primer lugar, que el juicio de constitucionalidad de las leyes y también, por tanto, de la aquí impugnada, debe ejercerse de forma que no imponga constricciones indebidas al poder legislativo y respete sus opciones políticas, todo ello conforme a la jurisprudencia constitucional que cita. Ello es especialmente trascendente cuando el canon de constitucionalidad es el art. 122 CE, precepto que, si bien establece unos criterios sobre la composición y organización del Consejo, otorga también una amplia libertad de configuración al legislador. En segundo lugar, en cuanto a la genérica invocación del principio de interdicción de la arbitrariedad, la inconcreción del recurso haría innecesario profundizar en esta alegación, citándose diversas sentencias de este Tribunal, entre otras la STC 104/2000, de 13 de abril, FJ 8.</w:t>
      </w:r>
    </w:p>
    <w:p w:rsidR="00A90898" w:rsidRDefault="00A90898" w:rsidP="00A90898">
      <w:pPr>
        <w:pStyle w:val="TextoNormal"/>
      </w:pPr>
    </w:p>
    <w:p w:rsidR="00A90898" w:rsidRDefault="00A90898" w:rsidP="00A90898">
      <w:pPr>
        <w:pStyle w:val="TextoNormal"/>
      </w:pPr>
      <w:r>
        <w:t>b) Expone a continuación el Abogado del Estado determinadas consideraciones sobre la configuración del Consejo General del Poder Judicial en el art. 122 CE, precepto —se dice— en el que la Constitución ha diseñado un órgano constitucional, al que define como órgano de gobierno del Poder Judicial y para la regulación de cuyo estatuto y funciones deja un amplio margen de configuración al legislador orgánico (SSTC 238/2012, de 13 de diciembre, FJ 8 y 108/1986, de 29 de julio, FFJJ 8 y 10). La constitucionalidad de la Ley Orgánica 4/2013 se ha de enjuiciar desde esta perspectiva; es decir, asumiendo que la configuración del Consejo, como gobierno autónomo del Poder Judicial, está abierta en el art. 122.2 CE a diversas concreciones, siendo la opción del legislador en la Ley Orgánica 4/2013 perfectamente constitucional.</w:t>
      </w:r>
    </w:p>
    <w:p w:rsidR="00A90898" w:rsidRDefault="00A90898" w:rsidP="00A90898">
      <w:pPr>
        <w:pStyle w:val="TextoNormal"/>
      </w:pPr>
    </w:p>
    <w:p w:rsidR="00A90898" w:rsidRDefault="00A90898" w:rsidP="00A90898">
      <w:pPr>
        <w:pStyle w:val="TextoNormal"/>
      </w:pPr>
      <w:r>
        <w:t>Tras citar determinados pasajes del preámbulo de la propia ley impugnada, el representante de Estado alude a lo expuesto por los recurrentes en la ya mencionada parte introductoria del recurso, observando al respecto que lo que allí se expone es una serie de afirmaciones genéricas, sin ofrecer fundamento alguno que las sustente, ni precepto constitucional infringido. Así sucede, por ejemplo, cuando los recurrentes se refieren a la reducción notoria de competencias del Consejo General del Poder Judicial, sin indicar en qué materias se produce dicha reducción ni qué precepto constitucional se entiende vulnerado, o cuando el recurso se limita a afirmar que es un ataque a la independencia judicial el que se sometan las decisiones del Pleno y de la Comisión Permanente a una sección específica de la Sala de lo Contencioso-Administrativo del Tribunal Supremo, lo cual sería razón suficiente ya para desestimar el motivo de impugnación. En todo caso, un análisis comparado del art. 111 de la Ley Orgánica 6/1985 y del art. 560 de la Ley Orgánica 4/2013 permite comprobar que no existe la notoria reducción de competencias a la que aluden los recurrentes, recogiéndose en el texto de la Ley impugnada todas aquellas competencias que constitucionalmente vienen atribuidas al Consejo General del Poder Judicial. De igual forma, tampoco se especifican cuáles son los preceptos de la Ley Orgánica 4/2013 que ocasionan limitaciones y obstrucciones al funcionamiento del Consejo, salvo la referencia a la necesidad de que, cuando en el ejercicio de las atribuciones legalmente previstas, el Consejo adopte medidas que comporten un incremento de gasto, será preciso informe favorable de la Administración competente que deba soportar dicho gasto. Esta previsión del artículo 565, que no puede ser sometida al control constitucional, pues no ha sido objeto de este recurso, no se argumenta por los demandantes y tampoco puede ser extendida por conexión. En todo caso, el precepto no vulnera el art. 122 CE, citándose al respecto el pasaje del preámbulo de la Ley Orgánica 4/2013 relativo al presupuesto del propio Consejo General del Poder Judicial.</w:t>
      </w:r>
    </w:p>
    <w:p w:rsidR="00A90898" w:rsidRDefault="00A90898" w:rsidP="00A90898">
      <w:pPr>
        <w:pStyle w:val="TextoNormal"/>
      </w:pPr>
    </w:p>
    <w:p w:rsidR="00A90898" w:rsidRDefault="00A90898" w:rsidP="00A90898">
      <w:pPr>
        <w:pStyle w:val="TextoNormal"/>
      </w:pPr>
      <w:r>
        <w:lastRenderedPageBreak/>
        <w:t>c) Ya en cuanto al examen de los concretos preceptos impugnados, examina el Abogado del Estado la aducida inconstitucionalidad del art. 564 de la Ley Orgánica 6/1985, en la redacción dada a dicho precepto por la Ley Orgánica 4/2013. Los recurrentes entienden que la exclusión por esta norma de la obligación del Presidente y de los vocales del Consejo General del Poder Judicial de comparecer en las Cámaras por razón de sus funciones supone una vulneración de la reserva que el art. 72.1 CE establece a favor de los reglamentos parlamentarios y de las previsiones del art. 109 CE; asimismo sería contrario al art. 76.2 CE, en orden a la obligatoriedad de comparecer ante las Comisiones de investigación de las Cámaras, y del principio democrático y de separación de poderes del art. 1 CE. Sin embargo, ninguno de los preceptos constitucionales invocados ha sido vulnerado.</w:t>
      </w:r>
    </w:p>
    <w:p w:rsidR="00A90898" w:rsidRDefault="00A90898" w:rsidP="00A90898">
      <w:pPr>
        <w:pStyle w:val="TextoNormal"/>
      </w:pPr>
    </w:p>
    <w:p w:rsidR="00A90898" w:rsidRDefault="00A90898" w:rsidP="00A90898">
      <w:pPr>
        <w:pStyle w:val="TextoNormal"/>
      </w:pPr>
      <w:r>
        <w:t>El art. 72.1 CE se limita a prever que las Cámaras establecen sus propios Reglamentos, en tanto que el art. 109 CE señala que las mismas Cámaras podrán recabar la información y ayuda que necesiten de cualquier autoridad del Estado. Pues bien, el artículo 564 impugnado establece que, fuera del supuesto de comparecencia del Presidente del Consejo para responder a las preguntas acerca de la memoria del mismo (artículo 563), no recae deber de comparecer ante las Cámaras por razón de sus funciones ni al Presidente ni a los vocales. La mera lectura de los preceptos mencionados permite comprobar que no existe confrontación alguna con las normas constitucionales invocadas. En primer lugar, la Ley Orgánica impugnada no sustrae al Consejo General del Poder Judicial de la obligación de comparecencia ante las Cámaras, sino que la circunscribe al ámbito subjetivo y objetivo propio de un órgano constitucional. Por eso el artículo 563 establece la obligación de comparecencia del Presidente, es decir, del representante del órgano, para responder sobre todas aquellas cuestiones que se susciten respecto de la memoria. Si, conforme al artículo 563.1, en este documento se contiene todo lo relativo al estado, funcionamiento y actividades del propio Consejo y de los juzgados y tribunales, así como lo relativo al impacto de género en el ámbito judicial, huelga decir que en modo alguno puede afirmarse, como el recurso hace, que se le posiciona como órgano exento de rendir cuentas ante las Cortes Generales. Al contrario, el citado artículo 563 es la plasmación expresa de ese deber en todo aquello que tenga que ver con el funcionamiento del órgano al que representa. En segundo lugar, el artículo 564 no impide que pueda el Presidente comparecer voluntariamente, tanto a petición propia como por solicitud de una de las Cámaras. Tampoco la norma prohíbe la presencia de los miembros del Consejo en las comisiones de investigación. En tercer lugar, y con las matizaciones que se considere oportuno realizar, lo cierto es que las previsiones del artículo 109 CE, así como, más específicamente, las de las comparecencias previstas en el art. 110 CE y reguladas en los Reglamentos de las Cámaras, se refieren en todo momento al Gobierno, como órgano objeto de control político por las Cortes. Tal función de control político no puede apreciarse en el Consejo General del Poder Judicial, que no es un órgano que deba responder ante las Cortes, de modo que no puede ser objeto de censura política, entre otras cosas porque sus funciones carecen de carácter político y se limitan a aquellas competencias necesarias para asegurar la independencia judicial a fin de coadyuvar al ejercicio de la función jurisdiccional, que está atribuida a cada juez.</w:t>
      </w:r>
    </w:p>
    <w:p w:rsidR="00A90898" w:rsidRDefault="00A90898" w:rsidP="00A90898">
      <w:pPr>
        <w:pStyle w:val="TextoNormal"/>
      </w:pPr>
    </w:p>
    <w:p w:rsidR="00A90898" w:rsidRDefault="00A90898" w:rsidP="00A90898">
      <w:pPr>
        <w:pStyle w:val="TextoNormal"/>
      </w:pPr>
      <w:r>
        <w:t xml:space="preserve">De igual forma debe rechazarse la invocación del principio democrático como motivo de inconstitucionalidad del art. 564, por las razones expuestas en las SSTC 136/2011, de 13 de septiembre, y 238/2012, de 13 de diciembre. Los recurrentes entienden, finalmente, que la reforma de la Ley Orgánica del Poder Judicial incurre en inconstitucionalidad por omisión, al no prever un sistema de responsabilidad política del Consejo General del Poder Judicial, </w:t>
      </w:r>
      <w:r>
        <w:lastRenderedPageBreak/>
        <w:t>razón por la cual consideran necesario regular el deber del Presidente y de los vocales de este órgano de atender las peticiones de comparecencia de las Comisiones de Justicia de las Cámaras. La inconstitucionalidad por omisión se puede definir como la falta de desarrollo por el legislador, durante un tiempo excesivamente largo, de aquellas normas constitucionales de obligatoria y concreta regulación jurídica, de forma tal que se impida su eficaz aplicación. Es necesario, por lo tanto, la existencia de un mandato de la Constitución que contenga una obligación, explícita o implícita, de desarrollo normativo posterior. No existe en este caso precepto constitucional que pueda invocarse para generar una obligación semejante, sin que, de seguro, tal mandato pueda derivarse, como el recurso pretende del art. 66 CE, que establece la competencia de las Cortes Generales en orden al control de la acción del Gobierno. Y ello, por la razón de que el Consejo se configura en el propio texto constitucional como órgano constitucional autónomo.</w:t>
      </w:r>
    </w:p>
    <w:p w:rsidR="00A90898" w:rsidRDefault="00A90898" w:rsidP="00A90898">
      <w:pPr>
        <w:pStyle w:val="TextoNormal"/>
      </w:pPr>
    </w:p>
    <w:p w:rsidR="00A90898" w:rsidRDefault="00A90898" w:rsidP="00A90898">
      <w:pPr>
        <w:pStyle w:val="TextoNormal"/>
      </w:pPr>
      <w:r>
        <w:t>d) Por lo que se refiere a la alegada inconstitucionalidad del artículo 570, en sus apartados 1 y 3, así como del apartado 3 de la disposición transitoria décima de la Ley Orgánica por vulneración del art. 122.3 CE, al considerar los recurrentes que la Constitución ha fijado una duración del mandato de cinco años con relación a los vocales y no al órgano y que ha querido que todos los vocales sean nombrados en unidad de acto, excluyendo las reformas parciales, a diferencia de lo que ocurre con el Tribunal Constitucional (art. 159.3 CE), estima el Abogado del Estado que el art. 122.3 CE no exige ni que los 20 vocales sean nombrados en unidad de acto por el Rey ni que haya vocales con mandato inferior a cinco años. Señala asimismo que la Ley Orgánica 4/2013 prevé el mecanismo de renovación ordinaria del Consejo cada cinco años. Ahora bien, una vez establecida la forma normal de proceder, se incluye también una medida destinada a impedir que el incumplimiento de la obligación constitucional de designación de los vocales, por parte de una o de las dos Cámaras, conlleve el bloqueo de funcionamiento de este órgano constitucional. La solución prevista para el caso de que ninguna de las Cámaras proceda a la designación no es distinta de la que opera “en la actualidad”; es decir, el Consejo continúa en funciones ejerciendo sus competencias hasta la constitución del nuevo Consejo General del Poder Judicial. Admitida esta opción, ningún reparo de constitucionalidad puede hacerse cuando es una de las Cámaras la que incumple su obligación de designación de vocales. La ley no altera la duración del mandato de cinco años de los vocales, tal y como está prevista en la Constitución. Cuando la Cámara que no ha cumplido tempestivamente procede a designar a los vocales, estos serán nombrados por el período que resta del mandato del Consejo. Ninguna duda de constitucionalidad plantea tal previsión cuando la propia Ley Orgánica del Poder Judicial 6/1985 contempla la posibilidad de mandatos inferiores a cinco años si uno de los vocales cesa por cualquier causa y debe procederse a nombrar un sustituto (artículo 116.2). No hay que olvidar, en todo caso, que la constitución del Consejo General del Poder Judicial, cuando sólo una de las Cámaras haya procedido en tiempo a la designación así como la posibilidad de mandato inferior a cinco años, son medidas que operarían exclusivamente cuando haya un incumplimiento por el Congreso o por el Senado.</w:t>
      </w:r>
    </w:p>
    <w:p w:rsidR="00A90898" w:rsidRDefault="00A90898" w:rsidP="00A90898">
      <w:pPr>
        <w:pStyle w:val="TextoNormal"/>
      </w:pPr>
    </w:p>
    <w:p w:rsidR="00A90898" w:rsidRDefault="00A90898" w:rsidP="00A90898">
      <w:pPr>
        <w:pStyle w:val="TextoNormal"/>
      </w:pPr>
      <w:r>
        <w:t>e) Con relación a la inconstitucionalidad de los artículos 579.1 y 580.1 por vulneración del art. 127.1 CE, y tras resumir los alegatos de los recurrentes, el escrito del Abogado del Estado manifiesta que, una vez más, el recurso se limita a realizar afirmaciones categóricas carentes de la necesaria argumentación jurídica, como sucede cuando se afirma que se pro</w:t>
      </w:r>
      <w:r>
        <w:lastRenderedPageBreak/>
        <w:t>duce un desapoderamiento de funciones de los vocales, sin concretar la aseveración en precepto alguno de la Ley ni el precepto constitucional infringido, lo que sería suficiente para rechazar dichas invocaciones.</w:t>
      </w:r>
    </w:p>
    <w:p w:rsidR="00A90898" w:rsidRDefault="00A90898" w:rsidP="00A90898">
      <w:pPr>
        <w:pStyle w:val="TextoNormal"/>
      </w:pPr>
    </w:p>
    <w:p w:rsidR="00A90898" w:rsidRDefault="00A90898" w:rsidP="00A90898">
      <w:pPr>
        <w:pStyle w:val="TextoNormal"/>
      </w:pPr>
      <w:r>
        <w:t>Algunas de estas impugnaciones afectan a la parte más esencial de la reforma introducida por la Ley Orgánica 4/2013. Con cita, por extenso, de pasajes de la exposición de motivos de la Ley Orgánica impugnada, señala el Abogado del Estado que nada puede reprocharse a la reforma impugnada. En ningún caso hay desapoderamiento de las funciones y competencias de los vocales a favor de los letrados del Consejo. Estos forman parte, tal y como se recoge en el capítulo III del título V de la Ley Orgánica 4/2013, del personal del Consejo General del Poder Judicial, que desempeña sus funciones en sus distintos órganos, sin que ningún precepto prevea la asunción de competencia alguna que corresponda a los vocales. En cuanto a la forma de ingreso, el artículo 621 prevé que los letrados de carácter permanente ingresen por concurso-oposición, que se adecuará a los criterios que sean aprobados por el Pleno del Consejo y publicados en el “BOE”, garantizando así la transparencia y publicidad y no, como señalan los recurrentes, de acuerdo con criterios establecidos por la mayoría dirigente en cada caso del órgano.</w:t>
      </w:r>
    </w:p>
    <w:p w:rsidR="00A90898" w:rsidRDefault="00A90898" w:rsidP="00A90898">
      <w:pPr>
        <w:pStyle w:val="TextoNormal"/>
      </w:pPr>
    </w:p>
    <w:p w:rsidR="00A90898" w:rsidRDefault="00A90898" w:rsidP="00A90898">
      <w:pPr>
        <w:pStyle w:val="TextoNormal"/>
      </w:pPr>
      <w:r>
        <w:t xml:space="preserve">En cuanto a la compatibilidad en el ejercicio del cargo de vocal, no cabe olvidar que, como señala la STC 108/1986, la previsión constitucional de que 12 de los vocales sean elegidos entre jueces y magistrados tiene como principal finalidad que un número mayoritario de vocales del Consejo tenga criterio propio por experiencia directa sobre los problemas que los titulares de los órganos judiciales afrontan en su quehacer diario y no puede negarse mejor cercanía a los problemas a quienes compatibilizan su cargo de vocal con el ejercicio de la jurisdicción, pudiendo decirse lo mismo de los vocales elegidos entre juristas de reconocida competencia, en quienes, según la Sentencia citada, se busca que aporten su experiencia personas conocedoras del funcionamiento de la justicia desde otros puntos de vista distintos de quienes la administran. Siendo así, el desempeño del cargo de vocal con carácter no exclusivo, lejos de contrariar los designios constitucionales, los sitúa en el marco de la finalidad que les atribuye el Tribunal Constitucional. Por otra parte, no existe en esta previsión colisión con precepto constitucional alguno y menos aún cabe encontrarla en el art. 127 CE, claramente referido a la prohibición de ocupar cargos fuera del ámbito judicial. Es más, respecto de los vocales elegidos por el turno judicial, lo cierto es que la situación no dista mucho de la que actualmente concurre en figuras de nuestro sistema judicial, como el propio Presidente del Tribunal Supremo, que ejerce tanto funciones jurisdiccionales como gubernativas, o del propio funcionamiento de las Salas de Gobierno, sin que con ello se pretenda una total equiparación entre unos y otros. El principal problema que se suele anudar a la compatibilidad del cargo de vocal con el ejercicio de la jurisdicción o de la actividad profesional es el riesgo de uso indebido de la condición de vocal. Obviamente no puede negarse que el riesgo existe, como también en “el sistema actual”, pues de igual forma un vocal puede con “el sistema vigente” incurrir en comportamientos clientelistas. Aunque el riesgo no puede evitarse, sí pueden adoptarse medidas que minimicen las posibilidades de que se incurra en ello. De estas medidas, alguna ya las ofrece la Ley Orgánica 6/1985 y otras se incorporan en la Ley Orgánica 4/2013. Transcribe el Abogado del Estado el art. 580 de la última Ley Orgánica citada, así como el artículo 14 de la primera de las referidas y señala que, en todo caso, la mera posibilidad de que la aplicación de un determinado régimen legal pueda conllevar la existencia de determinados riesgos no conduce a entender que esos riesgos son consecuencia obligada del régimen legal establecido y, en consecuencia, servir de </w:t>
      </w:r>
      <w:r>
        <w:lastRenderedPageBreak/>
        <w:t>fundamento para defender su inconstitucionalidad, citando a este respecto la STC 238/2012. La falta de sustento jurídico de lo argumentado por los recurrentes resulta evidente cuando ejemplifican los riesgos a los que se pueden ver sometidos los vocales que ejercen el cargo en régimen de compatibilidad en las presiones ilícitas a las que se les puede someter por quienes proceden a la fijación de la carga de trabajo, cuando, conforme al artículo 560 de la Ley impugnada, ésta es, precisamente, una de las atribuciones del propio Consejo, lo que significaría, siguiendo su argumentación, que el Consejo del que forman parte los vocales fijaría una carga de trabajo a los que ejercen el cargo en régimen de compatibilidad como vía de presión indirecta sobre los mismos.</w:t>
      </w:r>
    </w:p>
    <w:p w:rsidR="00A90898" w:rsidRDefault="00A90898" w:rsidP="00A90898">
      <w:pPr>
        <w:pStyle w:val="TextoNormal"/>
      </w:pPr>
    </w:p>
    <w:p w:rsidR="00A90898" w:rsidRDefault="00A90898" w:rsidP="00A90898">
      <w:pPr>
        <w:pStyle w:val="TextoNormal"/>
      </w:pPr>
      <w:r>
        <w:t>No existe mandato constitucional que obligue al desempeño del cargo de vocal en exclusiva y, contrariamente, la jurisprudencia constitucional encuentra precisamente en su actividad o función de origen la finalidad por la que deben ser elegidos vocales. Ventajas que están por encima de unos potenciales riesgos frente a los cuales el legislador orgánico ha tomado las medidas necesarias tanto para impedirlos como para, cuando excepcionalmente ello no se logre, sancionar la conducta contraria a la previsión legal.</w:t>
      </w:r>
    </w:p>
    <w:p w:rsidR="00A90898" w:rsidRDefault="00A90898" w:rsidP="00A90898">
      <w:pPr>
        <w:pStyle w:val="TextoNormal"/>
      </w:pPr>
    </w:p>
    <w:p w:rsidR="00A90898" w:rsidRDefault="00A90898" w:rsidP="00A90898">
      <w:pPr>
        <w:pStyle w:val="TextoNormal"/>
      </w:pPr>
      <w:r>
        <w:t>f) Por lo que se refiere a la inconstitucionalidad de los artículos 590 y 591, según la nueva redacción por la Ley Orgánica 4/2013, por vulneración del art. 122.3 CE, los recurrentes alegan que se suprime la Vicepresidencia del Consejo General del Poder Judicial, ignorándose las razones, y consideran que la creación de la figura de la Vicepresidencia del Tribunal Supremo no plantea en sí, problemas de constitucionalidad, pero si las competencias que se le atribuyen respecto del Consejo, pues no es miembro de dicho órgano ni se encuentra incluido entre los miembros que el texto constitucional dispone expresamente que forman parte del Consejo, siendo, en consecuencia, extrapolables algunas de las consideraciones de la STC 103/2013.</w:t>
      </w:r>
    </w:p>
    <w:p w:rsidR="00A90898" w:rsidRDefault="00A90898" w:rsidP="00A90898">
      <w:pPr>
        <w:pStyle w:val="TextoNormal"/>
      </w:pPr>
    </w:p>
    <w:p w:rsidR="00A90898" w:rsidRDefault="00A90898" w:rsidP="00A90898">
      <w:pPr>
        <w:pStyle w:val="TextoNormal"/>
      </w:pPr>
      <w:r>
        <w:t xml:space="preserve">Para el Abogado del Estado, ninguno de estos argumentos es suficiente para entender vulnerada la Constitución. Tras citar de nuevo el preámbulo de la Ley Orgánica, señala que la demanda adolece aquí, nuevamente, de justificación de la inconstitucionalidad de la norma. Dicen los recurrentes que la suprimida figura de Vicepresidente del Consejo General del Poder Judicial ostentaba la legitimidad de haber sido designado por quienes a su vez lo eran por los representantes de la soberanía popular y éste es, precisamente, el modo de designación al que la Ley Orgánica 4/2013 somete al Vicepresidente del Tribunal Supremo. En segundo lugar, se prevé el cese del Vicepresidente por el Pleno del Consejo, garantizando así la primacía del órgano frente al cargo. En cuanto a las funciones del Vicepresidente, son fundamentalmente labores de colaboración y auxilio del Presidente, además del supuesto de sustitución en ambas instituciones y de aquellas que ejerza por delegación del Presidente. En todo caso, los propios recurrentes admiten la constitucionalidad de la figura del Vicepresidente del Tribunal Supremo y, con relación a las funciones que le corresponde desempeñar, la Ley introduce algunas especificaciones en su régimen jurídico que despejan cualquier sospecha sobre el mismo tanto desde la perspectiva del Tribunal Supremo como desde la del alto órgano judicial. Señala así el Abogado del Estado que el Vicepresidente lo será sólo del Tribunal Supremo, que no será vocal del Consejo General del Poder Judicial, que será nombrado por el Pleno de este órgano, a propuesta del Presidente, que para figurar en la propuesta será preciso tener la categoría de magistrado del Tribunal Supremo en activo y reunir los requisitos para ser presidente de sala del mismo y que podrá ser cesado por el </w:t>
      </w:r>
      <w:r>
        <w:lastRenderedPageBreak/>
        <w:t>Pleno del Consejo por causa justificada, apreciada por tres quintos de sus miembros. Relaciona, a continuación, el Abogado del Estado las funciones del Vicepresidente, para concluir con la observación de que la Ley Orgánica 4/2013 ha sido especialmente cautelosa a la hora de atribuir a esta figura funciones en el Consejo General del Poder Judicial, que no van más allá de las que le corresponden por sustitución o delegación expresa y motivada del Presidente. Rechaza igualmente la aplicación al caso de la STC 103/2013, pues los miembros del Consejo no son elegidos como representantes de la soberanía popular ni ostentan ningún tipo de mandato representativo, siendo elegidos por su condición de especialistas en Derecho para ejercer las funciones atribuidas al Consejo General del Poder Judicial. El nombramiento de una alta magistratura por las Cortes no convierte a las personas por ellas designadas en representantes de la soberanía popular. La configuración del Consejo es distinta radicalmente a la de órganos formados por cargos electos por los ciudadanos, citándose a este respecto la STC 108/1986 (FFJJ 9 y 10).</w:t>
      </w:r>
    </w:p>
    <w:p w:rsidR="00A90898" w:rsidRDefault="00A90898" w:rsidP="00A90898">
      <w:pPr>
        <w:pStyle w:val="TextoNormal"/>
      </w:pPr>
    </w:p>
    <w:p w:rsidR="00A90898" w:rsidRDefault="00A90898" w:rsidP="00A90898">
      <w:pPr>
        <w:pStyle w:val="TextoNormal"/>
      </w:pPr>
      <w:r>
        <w:t>g) Por lo que se refiere a la inconstitucionalidad de los apartados 1.1, 1.3 y 1.4 del artículo 599, todos ellos en relación con el art. 600.4 LOPJ en su nueva redacción, señalan los recurrentes que, prescindir de las mayorías reforzadas de tres quintos para la constitución, así como computar las mayorías exclusivamente sobre los presentes, afecta directamente al necesario pluralismo defendido por la Constitución y entienden que la propuesta de nombramiento de los Magistrados del Tribunal Supremo y de los altos cargos judiciales debe realizarse con la mayoría reforzada de tres quintos sobre el total de miembros del Consejo.</w:t>
      </w:r>
    </w:p>
    <w:p w:rsidR="00A90898" w:rsidRDefault="00A90898" w:rsidP="00A90898">
      <w:pPr>
        <w:pStyle w:val="TextoNormal"/>
      </w:pPr>
    </w:p>
    <w:p w:rsidR="00A90898" w:rsidRDefault="00A90898" w:rsidP="00A90898">
      <w:pPr>
        <w:pStyle w:val="TextoNormal"/>
      </w:pPr>
      <w:r>
        <w:t xml:space="preserve">Observa el Abogado del Estado, en primer lugar, que, si bien la súplica de la demanda señala como impugnado el artículo 599 en su totalidad, sólo se realiza una argumentación, por lo demás insuficiente, respecto de los apartados 1, 3 y 4, de modo que el resto de apartados deben ser excluidos del objeto de este recurso. Además, si el fundamento de la pretensión es el </w:t>
      </w:r>
      <w:r w:rsidRPr="00A90898">
        <w:rPr>
          <w:i/>
        </w:rPr>
        <w:t>quorum</w:t>
      </w:r>
      <w:r>
        <w:t xml:space="preserve"> necesario para la formación de la voluntad, sólo se podría impugnar el artículo 600.4.</w:t>
      </w:r>
    </w:p>
    <w:p w:rsidR="00A90898" w:rsidRDefault="00A90898" w:rsidP="00A90898">
      <w:pPr>
        <w:pStyle w:val="TextoNormal"/>
      </w:pPr>
    </w:p>
    <w:p w:rsidR="00A90898" w:rsidRDefault="00A90898" w:rsidP="00A90898">
      <w:pPr>
        <w:pStyle w:val="TextoNormal"/>
      </w:pPr>
      <w:r>
        <w:t xml:space="preserve">El motivo debe rechazarse pues, con independencia de la preferencia por una de las distintas opciones que pueda adoptar el legislador orgánico, la exigencia de una u otra determinada mayoría reforzada no plantea problemas de constitucionalidad, invocando la STC 238/2012 (FJ 7). Por lo demás, no tiene sentido impugnar la insuficiencia del </w:t>
      </w:r>
      <w:r w:rsidRPr="00A90898">
        <w:rPr>
          <w:i/>
        </w:rPr>
        <w:t>quorum</w:t>
      </w:r>
      <w:r>
        <w:t xml:space="preserve"> como motivo de inconstitucionalidad cuando, por definición, la asistencia a las reuniones del Consejo General del Poder Judicial es una obligación del vocal que nadie puede impedirle cumplir.</w:t>
      </w:r>
    </w:p>
    <w:p w:rsidR="00A90898" w:rsidRDefault="00A90898" w:rsidP="00A90898">
      <w:pPr>
        <w:pStyle w:val="TextoNormal"/>
      </w:pPr>
    </w:p>
    <w:p w:rsidR="00A90898" w:rsidRDefault="00A90898" w:rsidP="00A90898">
      <w:pPr>
        <w:pStyle w:val="TextoNormal"/>
      </w:pPr>
      <w:r>
        <w:t>h) Por último y en lo que se refiere a la alegada inconstitucionalidad del nuevo art. 638.2 LOPJ, el Abogado del Estado hace constar que la insuficiencia argumental de la demanda es aquí especialmente notoria, pues sólo aparece mencionado en la parte introductoria y se fundamenta en la alegada “desconfianza” del legislador hacia la Sala Tercera del Tribunal Supremo y no se entiende por qué es un ataque a la independencia judicial el que se sometan las decisiones del Pleno y de la Comisión Permanente a una sección específica de la Sala de lo Contencioso-Administrativo, conformada con todas las garantías constitucionales. Tal ausencia de argumentos debe conducir directamente a la desestimación de este motivo del recurso.</w:t>
      </w:r>
    </w:p>
    <w:p w:rsidR="00A90898" w:rsidRDefault="00A90898" w:rsidP="00A90898">
      <w:pPr>
        <w:pStyle w:val="TextoNormal"/>
      </w:pPr>
    </w:p>
    <w:p w:rsidR="00A90898" w:rsidRDefault="00A90898" w:rsidP="00A90898">
      <w:pPr>
        <w:pStyle w:val="TextoNormal"/>
      </w:pPr>
      <w:r>
        <w:lastRenderedPageBreak/>
        <w:t>Concluyó sus alegaciones el Abogado del Estado con la súplica de que se dictara sentencia desestimando el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15 de noviembre de 2016 se señaló para deliberación y votación de este recurso de inconstitucionalidad ese mismo día.</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Como en los antecedentes se ha expuesto, los diputados que han promovido este recurso impugnan, por inconstitucionales, determinados preceptos de la Ley Orgánica 4/2013, de 28 de junio, de reforma del Consejo General del Poder Judicial, por la que se modifica la Ley Orgánica 6/1985, de 1 de julio, del Poder Judicial. Además del apartado 3 de la disposición transitoria décima de aquella Ley Orgánica, las normas que se dicen contrarias a la Constitución están contenidas en algunos de los preceptos que el artículo único, número uno, de la misma Ley Orgánica 4/2013 incorporó al nuevo libro VIII de la Ley Orgánica del Poder Judicial (LOPJ). Son los siguientes: artículo 564, conforme al cual sobre el Presidente del Tribunal Supremo y los vocales del Consejo no recaerá deber alguno de comparecer ante las Cámaras de las Cortes Generales, por razón de sus funciones, fuera del supuesto previsto en el artículo 563, esto es, con ocasión del debate parlamentario de la memoria que el Consejo ha de remitir cada año a las Cortes; apartados 1 y 3 del artículo 570, en los que, para el caso de que una de las Cámaras no hubiera elegido en tiempo a los vocales que le corresponde designar, se prevé, respectivamente, la constitución del nuevo Consejo con los diez vocales designados por la otra Cámara junto a los del Consejo saliente nombrados en su día por “la Cámara que haya incumplido el plazo de designación” y se dispone, en relación con ello, que los vocales tardíamente designados no lo serán por tiempo superior a los cinco años de mandato del Consejo ya constituido; artículos 579.1 y 580.1, que disponen que los vocales del Consejo General del Poder Judicial, salvo los que integren su comisión permanente, permanecerán en servicio activo en la carrera judicial o cuerpo de origen o continuarán en el desempeño, si no provienen de la judicatura ni son funcionarios, de su propia actividad profesional; artículos 590 y 591.1, en lo que tales preceptos disponen sobre el ejercicio en funciones, por el Vicepresidente del Tribunal Supremo, de los cargos de Presidente del mismo Tribunal y, específicamente, de Presidente del Consejo General del Poder Judicial; artículos 599 y 600.4, impugnado el primero en relación con la regulación que establece del modo de ejercicio por el Pleno del Consejo de algunas de sus atribuciones y el segundo respecto del </w:t>
      </w:r>
      <w:r w:rsidRPr="00A90898">
        <w:rPr>
          <w:i/>
        </w:rPr>
        <w:t>quorum</w:t>
      </w:r>
      <w:r>
        <w:t xml:space="preserve"> para la válida constitución del propio Pleno; y, en fin, el artículo 638.2, en cuanto configura una nueva sección en la Sala de lo Contencioso-Administrativo del Tribunal Supremo a la que corresponderá conocer de los recursos contra los acuerdos del pleno y de la comisión permanente del Consejo.</w:t>
      </w:r>
    </w:p>
    <w:p w:rsidR="00A90898" w:rsidRDefault="00A90898" w:rsidP="00A90898">
      <w:pPr>
        <w:pStyle w:val="TextoNormal"/>
      </w:pPr>
    </w:p>
    <w:p w:rsidR="00A90898" w:rsidRDefault="00A90898" w:rsidP="00A90898">
      <w:pPr>
        <w:pStyle w:val="TextoNormal"/>
      </w:pPr>
      <w:r>
        <w:t>Antes de entrar en el enjuiciamiento constitucional que se nos pide es preciso, vistos los términos de la demanda, delimitar el objeto de este juicio y el propio alcance de nuestro examen jurisdiccional.</w:t>
      </w:r>
    </w:p>
    <w:p w:rsidR="00A90898" w:rsidRDefault="00A90898" w:rsidP="00A90898">
      <w:pPr>
        <w:pStyle w:val="TextoNormal"/>
      </w:pPr>
    </w:p>
    <w:p w:rsidR="00A90898" w:rsidRDefault="00A90898" w:rsidP="00A90898">
      <w:pPr>
        <w:pStyle w:val="TextoNormal"/>
      </w:pPr>
      <w:r w:rsidRPr="00A90898">
        <w:rPr>
          <w:rStyle w:val="NumeroAFNegritaCaracter"/>
        </w:rPr>
        <w:t>2</w:t>
      </w:r>
      <w:r>
        <w:t>. Para la correcta determinación del concreto objeto de este recurso es conveniente efectuar algunas consideraciones.</w:t>
      </w:r>
    </w:p>
    <w:p w:rsidR="00A90898" w:rsidRDefault="00A90898" w:rsidP="00A90898">
      <w:pPr>
        <w:pStyle w:val="TextoNormal"/>
      </w:pPr>
    </w:p>
    <w:p w:rsidR="00A90898" w:rsidRDefault="00A90898" w:rsidP="00A90898">
      <w:pPr>
        <w:pStyle w:val="TextoNormal"/>
      </w:pPr>
      <w:r>
        <w:lastRenderedPageBreak/>
        <w:t>a) La demanda, ya se ha dicho, no sólo argumenta la inconstitucionalidad de los preceptos que identifica como impugnados en su encabezamiento y súplica. Vierte también, al hilo de esa fundamentación, determinadas críticas contra otras modificaciones de la Ley Orgánica del Poder Judicial efectuadas por el artículo único, número uno, de la Ley recurrida; así ocurre con las menciones que la representación actora hace a los arts. 560.4, 592, 596 y 597 LOPJ. Tales censuras incidentales y ajenas al núcleo objetivo de la presente impugnación, no pueden ser objeto de atención, pues, como con reiteración hemos dicho, el recurso de inconstitucionalidad ha de versar exclusivamente sobre los reproches formulados en la súplica de su escrito rector (por todas las resoluciones en este sentido, STC 201/2013, de 5 de diciembre, FJ 2).</w:t>
      </w:r>
    </w:p>
    <w:p w:rsidR="00A90898" w:rsidRDefault="00A90898" w:rsidP="00A90898">
      <w:pPr>
        <w:pStyle w:val="TextoNormal"/>
      </w:pPr>
    </w:p>
    <w:p w:rsidR="00A90898" w:rsidRDefault="00A90898" w:rsidP="00A90898">
      <w:pPr>
        <w:pStyle w:val="TextoNormal"/>
      </w:pPr>
      <w:r>
        <w:t xml:space="preserve">b) Una constante jurisprudencia constitucional tiene establecido que es carga de quien impugna la ley aportar en la demanda la argumentación suficiente con vistas a fundamentar la inconstitucionalidad denunciada, sin que sean admisibles, en particular, impugnaciones globales carentes de razonamiento desarrollado (por todas, STC 12/2015, de 5 de febrero, FJ 2). Esta doctrina es ahora de pertinente mención en lo que toca al art. 599 LOPJ. La demanda, en apariencia, impugnaría </w:t>
      </w:r>
      <w:r w:rsidRPr="00A90898">
        <w:rPr>
          <w:i/>
        </w:rPr>
        <w:t>in toto</w:t>
      </w:r>
      <w:r>
        <w:t xml:space="preserve"> este precepto, integrado por 12 apartados de muy heterogéneo contenido, pero su pretendida inconstitucionalidad tan sólo se argumenta respecto de los apartados 1, 3 y 4, únicos, por tanto, que podrán ser objeto de nuestro enjuiciamiento.</w:t>
      </w:r>
    </w:p>
    <w:p w:rsidR="00A90898" w:rsidRDefault="00A90898" w:rsidP="00A90898">
      <w:pPr>
        <w:pStyle w:val="TextoNormal"/>
      </w:pPr>
    </w:p>
    <w:p w:rsidR="00A90898" w:rsidRDefault="00A90898" w:rsidP="00A90898">
      <w:pPr>
        <w:pStyle w:val="TextoNormal"/>
      </w:pPr>
      <w:r>
        <w:t>c) Por las mismas razones no puede ser objeto de enjuiciamiento la impugnación relativa al art. 638.2 LOPJ. Este precepto establece que “[l]os acuerdos del Pleno y de la Comisión Permanente pondrán fin a la vía administrativa y serán recurribles ante la Sala de lo Contencioso-Administrativo del Tribunal Supremo. El conocimiento de estos asuntos corresponderá a una sección integrada por el Presidente de la Sala de lo Contencioso-Administrativo del Tribunal Supremo, que la presidirá, y por los demás Presidentes de sección de dicha Sala". En relación con esta norma los recurrentes se limitan a aducir para fundamentar su queja de inconstitucionalidad que “al convertir los actos de la Comisión Permanente en firmes, y solamente recurribles ante la jurisdicción contencioso-administrativa y no el Pleno [sic] se refuerza aún más la especialidad o diferenciación de los vocales para forma parte de este órgano”. Según se sostiene, esta circunstancia conlleva que existan diferencias entre los vocales al tener estos un diferente estatus, lo que, a su juicio, determina que exista una “jerarquización interna” y una merma de “la exigencia de colegiabilidad”. Junto a ello sostienen también que este precepto, al establecer que conocerán de los acuerdos del pleno y de la comisión permanente una sección integrada por el Presidente de la Sala de lo Contencioso-Administrativo del Tribunal Supremo, que la presidirá, y por los demás Presidentes de sección de dicha Sala, constituye una muestra de “desconfianza” hacía “la mayor parte de los integrantes de la Sala Tercera del Tribunal Supremo”.</w:t>
      </w:r>
    </w:p>
    <w:p w:rsidR="00A90898" w:rsidRDefault="00A90898" w:rsidP="00A90898">
      <w:pPr>
        <w:pStyle w:val="TextoNormal"/>
      </w:pPr>
    </w:p>
    <w:p w:rsidR="00A90898" w:rsidRDefault="00A90898" w:rsidP="00A90898">
      <w:pPr>
        <w:pStyle w:val="TextoNormal"/>
      </w:pPr>
      <w:r>
        <w:t xml:space="preserve">Tales alegaciones no alcanzan la condición de argumentos aptos para poner en duda la constitucionalidad de la norma, pues para que pueda entenderse cumplido debidamente el deber de argumentar que pesa sobre quien pretenda instar la declaración de inconstitucionalidad de una disposición de ley, adoptada, pues, por el órgano que ostenta la representación del pueblo (arts. 66.1 y 2 CE) sin otros límites que los que derivan, inequívocamente, del bloque de la constitucionalidad, es preciso que los motivos que alegue pongan de manifiesto que la norma recurrida no ha respetado esos límites y en el presente caso las razones en las que se funda la inconstitucionalidad del art. 638.2 LOPJ no están fundamentadas en </w:t>
      </w:r>
      <w:r>
        <w:lastRenderedPageBreak/>
        <w:t>contravenciones de la norma constitucional, pues ni se invoca ningún precepto de la Constitución que pueda ser infringido por esta norma, ni tampoco se exponen razones en las que se sostenga que la regulación contenida el mismo sea lesivo de algún principio constitucional. Las razones esgrimidas se limitan a exponer los motivos que llevan a los recurrentes a no estar de acuerdo con la regulación que contiene el precepto impugnado, pero tales motivos, como acaba de indicarse, no se fundamentan en razones constitucionales, lo que impide, como se ha señalado, que este Tribunal pueda entrar a enjuiciar la constitucionalidad del art. 638.2 LOPJ.</w:t>
      </w:r>
    </w:p>
    <w:p w:rsidR="00A90898" w:rsidRDefault="00A90898" w:rsidP="00A90898">
      <w:pPr>
        <w:pStyle w:val="TextoNormal"/>
      </w:pPr>
    </w:p>
    <w:p w:rsidR="00A90898" w:rsidRDefault="00A90898" w:rsidP="00A90898">
      <w:pPr>
        <w:pStyle w:val="TextoNormal"/>
      </w:pPr>
      <w:r>
        <w:t>d) Tampoco puede ser objeto de análisis la alegación que formulan los recurrentes al impugnar los arts. 579.1, 580 y 638.2 LOPJ por la que aducen que “el vaciamiento de las funciones, poderes y garantías establecidas por aquella [la Constitución] a favor de los integrantes del Consejo General del Poder Judicial supone un fraude constitucional, un vicio de inconstitucionalidad en la medida que excede sustancia y esencialmente un desarrollo legal de la configuración constitucional de la institución y sus fines”. Esta alegación constituye una alegación genérica que carece de relación con la materia regulada por los referidos preceptos.</w:t>
      </w:r>
    </w:p>
    <w:p w:rsidR="00A90898" w:rsidRDefault="00A90898" w:rsidP="00A90898">
      <w:pPr>
        <w:pStyle w:val="TextoNormal"/>
      </w:pPr>
    </w:p>
    <w:p w:rsidR="00A90898" w:rsidRDefault="00A90898" w:rsidP="00A90898">
      <w:pPr>
        <w:pStyle w:val="TextoNormal"/>
      </w:pPr>
      <w:r>
        <w:t>e) El recurso se dirige también contra el apartado 3 de la disposición transitoria décima de la Ley Orgánica 4/2013, relativa, en su conjunto, al primer proceso de renovación del Consejo General del Poder Judicial tras la entrada en vigor de la propia Ley. La inconstitucionalidad de este apartado 3 (de su último inciso, en rigor) derivaría, para los recurrentes, de la remisión que en él se hace, a efectos de la citada renovación, al también impugnado artículo 570, precepto cuyos números 1 y 3 prevén, respectivamente, la constitución del Consejo en la hipótesis de que una de las Cámaras no hubiera designado en tiempo a los vocales de su elección y la acomodación del mandato de los tardíamente designados al mandato mismo, por cinco años, del propio Consejo.</w:t>
      </w:r>
    </w:p>
    <w:p w:rsidR="00A90898" w:rsidRDefault="00A90898" w:rsidP="00A90898">
      <w:pPr>
        <w:pStyle w:val="TextoNormal"/>
      </w:pPr>
    </w:p>
    <w:p w:rsidR="00A90898" w:rsidRDefault="00A90898" w:rsidP="00A90898">
      <w:pPr>
        <w:pStyle w:val="TextoNormal"/>
      </w:pPr>
      <w:r>
        <w:t xml:space="preserve">El Tribunal no enjuiciará este precepto, ya que su impugnación ha perdido objeto. No se trata de que, por su condición de Derecho </w:t>
      </w:r>
      <w:r w:rsidRPr="00A90898">
        <w:rPr>
          <w:i/>
        </w:rPr>
        <w:t>pro tempore</w:t>
      </w:r>
      <w:r>
        <w:t>, esta norma, como alguna vez hemos advertido al considerar otras reglas transitorias, haya dejado de producir efectos por el transcurso del tiempo (STC 223/2012, de 29 de noviembre, FJ 4, por todas). Ocurre, más bien, que el inciso final del apartado 3 de la disposición transitoria décima no ha desplegado, en ningún momento, efecto jurídico alguno, pues la hipótesis que allí se contempla de que, cara a la renovación pendiente del Consejo, una de las Cámaras no llegara a designar en tiempo a diez de los vocales no se ha verificado. El pleno del Congreso de los Diputados llevó a cabo esa designación el 26 de noviembre de 2013 y el del Senado hizo lo propio el siguiente día 27, habiendo sido nombrados unos y otros vocales por Reales Decretos 930/2013 y 931/2013, ambos de 29 del mismo mes de noviembre (“Boletín Oficial del Estado” núm. 289, de 3 de diciembre). No aplicada en la única ocasión para la que fue concebida, la previsión transitoria en cuestión perdió, en definitiva, toda virtualidad jurídica tras la interposición, en septiembre de 2013, del presente recurso de inconstitucionalidad. Su impugnación, por ello, carece ya de objeto.</w:t>
      </w:r>
    </w:p>
    <w:p w:rsidR="00A90898" w:rsidRDefault="00A90898" w:rsidP="00A90898">
      <w:pPr>
        <w:pStyle w:val="TextoNormal"/>
      </w:pPr>
    </w:p>
    <w:p w:rsidR="00A90898" w:rsidRDefault="00A90898" w:rsidP="00A90898">
      <w:pPr>
        <w:pStyle w:val="TextoNormal"/>
      </w:pPr>
      <w:r w:rsidRPr="00A90898">
        <w:rPr>
          <w:rStyle w:val="NumeroAFNegritaCaracter"/>
        </w:rPr>
        <w:t>3</w:t>
      </w:r>
      <w:r>
        <w:t>. Aún son precisas dos consideraciones adicionales, referidas esta vez al alcance y carácter del enjuiciamiento que cabe ahora esperar del Tribunal.</w:t>
      </w:r>
    </w:p>
    <w:p w:rsidR="00A90898" w:rsidRDefault="00A90898" w:rsidP="00A90898">
      <w:pPr>
        <w:pStyle w:val="TextoNormal"/>
      </w:pPr>
    </w:p>
    <w:p w:rsidR="00A90898" w:rsidRDefault="00A90898" w:rsidP="00A90898">
      <w:pPr>
        <w:pStyle w:val="TextoNormal"/>
      </w:pPr>
      <w:r>
        <w:lastRenderedPageBreak/>
        <w:t>a) Junto a censuras de inconstitucionalidad basadas, como es propio, en preceptos de la norma fundamental, la demanda también formula a la legislación que parcialmente impugna reproches de otro género. Algunos parten de lo que vienen a ser juicios de orden técnico, como cuando se aduce que la nueva organización del Consejo General del Poder Judicial deparará “evidentes disfunciones” en su actuación. Otras críticas se presentan como pronósticos o anticipos de los resultados contrarios a la Constitución a que llevaría la aplicación de algunas de las reglas impugnadas; y así se afirma, junto a otras aseveraciones análogas, que la controvertida reforma de este órgano “facilitará la posibilidad de su control por parte del Poder Ejecutivo”. Y otras constituyen, en fin, valoraciones adversas sobre lo que los recurrentes llaman “[e]l espíritu y la filosofía que preside la reforma” o la “voluntad subyacente” a la misma.</w:t>
      </w:r>
    </w:p>
    <w:p w:rsidR="00A90898" w:rsidRDefault="00A90898" w:rsidP="00A90898">
      <w:pPr>
        <w:pStyle w:val="TextoNormal"/>
      </w:pPr>
    </w:p>
    <w:p w:rsidR="00A90898" w:rsidRDefault="00A90898" w:rsidP="00A90898">
      <w:pPr>
        <w:pStyle w:val="TextoNormal"/>
      </w:pPr>
      <w:r>
        <w:t>Estas apreciaciones son irrelevantes en este proceso constitucional, para cuya resolución nada dicen juicios de técnica legislativa (STC 14/2015, de 5 de febrero, FJ 5, por todas), ponderaciones cautelares o preventivas sobre hipotéticas inconstitucionalidades futuras (SSTC 56/1990, de 29 de marzo, FJ 44, y, entre otras muchas, 111/2013, de 9 de mayo, FJ 4) o, en fin, estimaciones sobre las supuestas intenciones del legislador (STC 197/2014, de 4 de diciembre, FJ 5, y jurisprudencia allí citada). El nuestro es, estrictamente, un juicio sobre reglas de Derecho a partir de la norma superior del Ordenamiento y con arreglo a criterios de interpretación estrictamente jurídicos.</w:t>
      </w:r>
    </w:p>
    <w:p w:rsidR="00A90898" w:rsidRDefault="00A90898" w:rsidP="00A90898">
      <w:pPr>
        <w:pStyle w:val="TextoNormal"/>
      </w:pPr>
    </w:p>
    <w:p w:rsidR="00A90898" w:rsidRDefault="00A90898" w:rsidP="00A90898">
      <w:pPr>
        <w:pStyle w:val="TextoNormal"/>
      </w:pPr>
      <w:r>
        <w:t>b) Es también relevante puntualizar, en relación con este enjuiciamiento, que el control sobre la constitucionalidad de las leyes que a este Tribunal le cumple no puede realizarse sin reconocer y respetar el muy amplio margen o libertad de configuración que le corresponde al legislador para dar curso a sus opciones políticas, opciones que, como tempranamente dijimos, no están previamente programadas en la Constitución de una vez por todas, como si lo único que cupiera hacer en lo sucesivo fuera desarrollar tal programa previo (STC 11/1981, de 8 de abril, FJ 7). En la resolución que ahora evocamos, y en idéntico pasaje, ya advertimos que la Constitución es un marco de coincidencias suficientemente amplio como para que dentro de él quepan opciones políticas de muy diferente signo; por tanto, la labor de interpretación no consiste necesariamente en cerrar el paso a otras opciones o variantes, imponiendo autoritariamente una de ellas. Así hemos seguido recordándolo en similares términos (por todas, STC 49/2008, de 9 de abril, FJ 12).</w:t>
      </w:r>
    </w:p>
    <w:p w:rsidR="00A90898" w:rsidRDefault="00A90898" w:rsidP="00A90898">
      <w:pPr>
        <w:pStyle w:val="TextoNormal"/>
      </w:pPr>
    </w:p>
    <w:p w:rsidR="00A90898" w:rsidRDefault="00A90898" w:rsidP="00A90898">
      <w:pPr>
        <w:pStyle w:val="TextoNormal"/>
      </w:pPr>
      <w:r>
        <w:t xml:space="preserve">Es, pues, principio básico para la interpretación constitucional que el legislador no ejecuta la Constitución, sino que crea Derecho con libertad dentro del marco que ésta ofrece (STC 209/1987, de 22 de diciembre, FJ 3), siendo su corolario evidente que, en el juicio a la ley, este Tribunal no ha de hacer las veces de propio legislador (SSTC 19/1988, de 16 de febrero, FJ 8, y 235/1999, de 20 de diciembre, FJ 13), constriñendo su libertad de disposición allá donde la Constitución no lo haga de manera inequívoca. Este recordatorio resulta pertinente en el presente recurso en el que se nos pide juzgar la validez de normas legales que han dado nueva ordenación, en determinados aspectos, a una institución, el Consejo General del Poder Judicial, prevista y parcialmente disciplinada en la Constitución (arts. 122.2 y 3, 123.2, 124.4 y 159.1 </w:t>
      </w:r>
      <w:r w:rsidRPr="00A90898">
        <w:rPr>
          <w:i/>
        </w:rPr>
        <w:t>in fine</w:t>
      </w:r>
      <w:r>
        <w:t>) y que, desde su inicial regulación legislativa (Ley Orgánica 1/1980, de 10 de enero), ha sido objeto de reformas sucesivas, en unos aspectos u otros, por el legislador orgánico al que remite, en sus apartados 2 y 3, el citado art. 122 CE.</w:t>
      </w:r>
    </w:p>
    <w:p w:rsidR="00A90898" w:rsidRDefault="00A90898" w:rsidP="00A90898">
      <w:pPr>
        <w:pStyle w:val="TextoNormal"/>
      </w:pPr>
    </w:p>
    <w:p w:rsidR="00A90898" w:rsidRDefault="00A90898" w:rsidP="00A90898">
      <w:pPr>
        <w:pStyle w:val="TextoNormal"/>
      </w:pPr>
      <w:r>
        <w:lastRenderedPageBreak/>
        <w:t>Al ponderar el juicio de constitucionalidad, han de tenerse en cuenta dos consideraciones complementarias entre sí. La primera reside en que la Constitución, en los apartados 2 y 3 del artículo 122, ha regulado fragmentariamente este órgano constitucional, de modo tal que no todos sus rasgos o elementos pueden deducirse de aquella ordenación parcial por la norma fundamental (STC 108/1986, de 29 de julio, FJ 11). El legislador orgánico está condicionado, sin duda, por lo dispuesto en ellas; por el respeto, también, a la “naturaleza del Consejo” (STC 108/1986, FJ 12) y por lo que impongan, en general, las demás reglas y principios constitucionales. Pero no pesan sobre él más límites, de modo que bien puede decirse que la vinculación de la ley a la Constitución es, aquí también, de carácter negativo, excluyente de toda transgresión constitucional, pero no impositiva de una sola configuración del órgano, acabada en todos sus extremos (STC 49/2008, de 9 de abril, FJ 16, relativa a la Ley Orgánica del Tribunal Constitucional).</w:t>
      </w:r>
    </w:p>
    <w:p w:rsidR="00A90898" w:rsidRDefault="00A90898" w:rsidP="00A90898">
      <w:pPr>
        <w:pStyle w:val="TextoNormal"/>
      </w:pPr>
    </w:p>
    <w:p w:rsidR="00A90898" w:rsidRDefault="00A90898" w:rsidP="00A90898">
      <w:pPr>
        <w:pStyle w:val="TextoNormal"/>
      </w:pPr>
      <w:r>
        <w:t>Se sigue también de ello —y se trata de la segunda consideración— que no es dable valorar en Derecho una reforma legal del Consejo General del Poder Judicial sobre la base de lo dispuesto en la legislación precisamente modificada, pues en todo aquello que no ha sido predeterminado por la Constitución el legislador, al margen del juicio político que pueda merecer su obra, dispone de libertad para volver sobre sus anteriores decisiones. En manera alguna cabe deducir de la Constitución, en otras palabras, “la prohibición de modificar la legislación relativa al gobierno del Poder Judicial en el momento y en el sentido que el legislador entienda más oportunos, y siempre dentro del respeto a las reglas de contenido material y formal definidas por el bloque de la constitucionalidad” (STC 238/2012, de 13 de diciembre, FJ 8).</w:t>
      </w:r>
    </w:p>
    <w:p w:rsidR="00A90898" w:rsidRDefault="00A90898" w:rsidP="00A90898">
      <w:pPr>
        <w:pStyle w:val="TextoNormal"/>
      </w:pPr>
    </w:p>
    <w:p w:rsidR="00A90898" w:rsidRDefault="00A90898" w:rsidP="00A90898">
      <w:pPr>
        <w:pStyle w:val="TextoNormal"/>
      </w:pPr>
      <w:r w:rsidRPr="00A90898">
        <w:rPr>
          <w:rStyle w:val="NumeroAFNegritaCaracter"/>
        </w:rPr>
        <w:t>4</w:t>
      </w:r>
      <w:r>
        <w:t>. Sobre la base de cuanto antecede, es ya posible pasar al examen de las concretas impugnaciones del recurso.</w:t>
      </w:r>
    </w:p>
    <w:p w:rsidR="00A90898" w:rsidRDefault="00A90898" w:rsidP="00A90898">
      <w:pPr>
        <w:pStyle w:val="TextoNormal"/>
      </w:pPr>
    </w:p>
    <w:p w:rsidR="00A90898" w:rsidRDefault="00A90898" w:rsidP="00A90898">
      <w:pPr>
        <w:pStyle w:val="TextoNormal"/>
      </w:pPr>
      <w:r>
        <w:t>Se dirige éste, en primer lugar, contra el nuevo art. 564 LOPJ, a tenor del cual “(f)uera del supuesto previsto en el artículo anterior, sobre el Presidente del Tribunal Supremo y los Vocales del Consejo General Poder Judicial no recaerá deber alguno de comparecer ante las Cámaras por razón de sus funciones”. El artículo 563, al que así se refiere el impugnado, dispone en su número 1 que el Consejo General del Poder Judicial remitirá anualmente a las Cortes Generales una memoria sobre el estado, funcionamiento y actividades del propio Consejo y de los juzgados y tribunales, en la que se incluirán las necesidades que, a juicio de este órgano constitucional, existan en materia de personal, instalaciones y recursos para el correcto desempeño de las funciones que la Constitución y las leyes asignan al Poder Judicial. Tras prescribir, en su número 2, que la Memoria incorporará también un capítulo sobre el “impacto de género” en el ámbito judicial, el último apartado 3 del pasaje legal dispone lo siguiente: “[l]as Cortes Generales, de acuerdo con los Reglamentos de las Cámaras, podrán debatir el contenido de la Memoria y solicitar la comparecencia del Presidente del Tribunal Supremo, a fin de responder a las preguntas que se le formulen acerca de la referida Memoria”.</w:t>
      </w:r>
    </w:p>
    <w:p w:rsidR="00A90898" w:rsidRDefault="00A90898" w:rsidP="00A90898">
      <w:pPr>
        <w:pStyle w:val="TextoNormal"/>
      </w:pPr>
    </w:p>
    <w:p w:rsidR="00A90898" w:rsidRDefault="00A90898" w:rsidP="00A90898">
      <w:pPr>
        <w:pStyle w:val="TextoNormal"/>
      </w:pPr>
      <w:r>
        <w:t xml:space="preserve">Para situar en su contexto histórico la norma que se impugna, interesa recordar que la previsión de que el Consejo General del Poder Judicial habría de remitir una memoria anual a las Cortes Generales estaba ya en el artículo 4 de la antes citada Ley Orgánica 1/1980 (precepto que disponía que aquélla habría de remitirse también al Gobierno) y que acerca </w:t>
      </w:r>
      <w:r>
        <w:lastRenderedPageBreak/>
        <w:t>de tal previsión, mantenida hasta el presente, el art. 109.2 LOPJ disponía, en redacción proveniente de la Ley Orgánica 6/1985, de 1 de julio, y hasta su derogación por la Ley Orgánica hoy parcialmente impugnada, que las Cortes Generales, de acuerdo con los reglamentos de las Cámaras, “podrán debatir el contenido de dicha memoria y reclamar, en su caso, la comparecencia del Presidente del Consejo General Poder Judicial o del miembro del mismo en quién aquél delegue”. Añadía el precepto que el repetido contenido de la memoria, de acuerdo siempre con los reglamentos parlamentarios, “podrá dar lugar a la presentación de mociones, preguntas de obligada contestación por parte del Consejo y, en general, a la adopción de cuantas medidas prevean aquellos Reglamentos”. Tal era el dictado del precepto al que, por lo que ahora hace al caso, ha venido a sustituir el antes transcrito art. 563.3 LOPJ, norma, esta última, a la que remite el impugnado artículo 564 al determinar que, fuera de aquel supuesto de comparecencia con ocasión del debate parlamentario de la memoria, sobre el Presidente del Tribunal Supremo y los vocales del Consejo “no recaerá deber alguno de comparecer ante las Cámaras por razón de sus funciones”.</w:t>
      </w:r>
    </w:p>
    <w:p w:rsidR="00A90898" w:rsidRDefault="00A90898" w:rsidP="00A90898">
      <w:pPr>
        <w:pStyle w:val="TextoNormal"/>
      </w:pPr>
    </w:p>
    <w:p w:rsidR="00A90898" w:rsidRDefault="00A90898" w:rsidP="00A90898">
      <w:pPr>
        <w:pStyle w:val="TextoNormal"/>
      </w:pPr>
      <w:r>
        <w:t xml:space="preserve">Los recurrentes, como se expuso en los antecedentes, tachan de inconstitucional este artículo 564 por estimar que, al dictarlo, el legislador orgánico ha desconocido la reserva a favor de los reglamentos parlamentarios </w:t>
      </w:r>
      <w:r w:rsidRPr="00A90898">
        <w:rPr>
          <w:i/>
        </w:rPr>
        <w:t>ex</w:t>
      </w:r>
      <w:r>
        <w:t xml:space="preserve"> art. 72.1 CE; la obligatoriedad de comparecer, a requerimiento de las Cámaras, ante sus comisiones de investigación (art. 76.2 CE) y, en fin, lo prevenido en el artículo 109 de la misma norma fundamental, de conformidad con el cual —por lo que ahora importa— las Cámaras y sus comisiones podrán requerir, a través de los presidentes de aquéllas, la información y ayuda que precisen “de cualesquiera autoridades del Estado”. Adicionalmente citan lo prevenido en los apartados 3 y 4 del art. 44 del Reglamento del Congreso de los Diputados (RCD), en punto a la posibilidad de que las comisiones de la Cámara, por conducto del Presidente del Congreso, recaben la presencia de “autoridades y funcionarios públicos competentes por razón de la materia objeto de debate, a fin de informar a la Comisión”, así como la comparecencia de “otras personas competentes en la materia“ para “informar y asesorar” a aquélla. Luego de referirse a la “práctica parlamentaria consolidada” a la que, en relación con el Consejo General del Poder Judicial, habría dado lugar esta previsión reglamentaria, los recurrentes cierran la argumentación que resumimos con una invocación a los principios “democrático” y de “separación de poderes”, a cuyo efecto invocan el art. 1 CE, concluyendo que la Ley Orgánica del Poder Judicial  habría incurrido en este punto en “inconstitucionalidad por omisión, al no prever un sistema de responsabilidad política del Consejo General Poder Judicial, por lo que debe regularse —observan— el deber del Presidente y de los Vocales … de atender las peticiones de comparecencia de las Comisiones de Justicia de las Cámaras para analizar cualquier cuestión que afecte a la Administración de Justicia”.</w:t>
      </w:r>
    </w:p>
    <w:p w:rsidR="00A90898" w:rsidRDefault="00A90898" w:rsidP="00A90898">
      <w:pPr>
        <w:pStyle w:val="TextoNormal"/>
      </w:pPr>
    </w:p>
    <w:p w:rsidR="00A90898" w:rsidRDefault="00A90898" w:rsidP="00A90898">
      <w:pPr>
        <w:pStyle w:val="TextoNormal"/>
      </w:pPr>
      <w:r>
        <w:t>A estos reproches se ha opuesto el Abogado del Estado, quien observa, en particular, que el precepto impugnado no veta una comparecencia voluntaria ante las Cámaras del Presidente del Tribunal Supremo o de los vocales del Consejo y que, en otro orden de cosas, el evocado art. 109 CE está referido al control político en sede parlamentaria del Gobierno, no del Consejo General del Poder Judicial.</w:t>
      </w:r>
    </w:p>
    <w:p w:rsidR="00A90898" w:rsidRDefault="00A90898" w:rsidP="00A90898">
      <w:pPr>
        <w:pStyle w:val="TextoNormal"/>
      </w:pPr>
    </w:p>
    <w:p w:rsidR="00A90898" w:rsidRDefault="00A90898" w:rsidP="00A90898">
      <w:pPr>
        <w:pStyle w:val="TextoNormal"/>
      </w:pPr>
      <w:r>
        <w:t>Esta controversia se proyecta sobre un aspecto relevante de la posición institucional del Consejo General del Poder Judicial, lo que exige, antes de resolverla, un recordatorio de la jurisprudencia del Tribunal sobre la naturaleza de este órgano constitucional.</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5</w:t>
      </w:r>
      <w:r>
        <w:t>. El Consejo es, por determinación constitucional, “órgano de gobierno” del Poder Judicial (art. 122.2 CE), poder éste, dijimos tempranamente, “de configuración plural” (STC 45/1986, de 17 de abril, FJ 5); esto es, encarnado en jueces y magistrados a los que la norma fundamental atribuye, en exclusividad, la función de administrar justicia con independencia, inamovilidad y responsabilidad y sin otro sometimiento que el debido al imperio de la ley (art. 117.1 y 3 CE). Precisamente en garantía de esa independencia, la Constitución configuró el Consejo como “órgano autónomo y separado” (STC 108/1986, FJ 7) al que atribuyó, sin perjuicio de las demás competencias que le confiriera la ley, el ejercicio necesario de algunas de las funciones que más podrían servir, en poder de otros órganos, para influir, o así intentarlo, sobre los titulares del Poder Judicial. Conforme al dictado constitucional, tales funciones se refieren a la “materia de nombramientos, ascensos, inspección y régimen disciplinario” (art. 122.2 CE).</w:t>
      </w:r>
    </w:p>
    <w:p w:rsidR="00A90898" w:rsidRDefault="00A90898" w:rsidP="00A90898">
      <w:pPr>
        <w:pStyle w:val="TextoNormal"/>
      </w:pPr>
    </w:p>
    <w:p w:rsidR="00A90898" w:rsidRDefault="00A90898" w:rsidP="00A90898">
      <w:pPr>
        <w:pStyle w:val="TextoNormal"/>
      </w:pPr>
      <w:r>
        <w:t xml:space="preserve">La prevención que así llevó a erigir el órgano y a confiarle, en exclusiva, estas últimas funciones lo fue, ante todo, respecto del Gobierno (STC 108/1986, </w:t>
      </w:r>
      <w:r w:rsidRPr="00A90898">
        <w:rPr>
          <w:i/>
        </w:rPr>
        <w:t>ibidem</w:t>
      </w:r>
      <w:r>
        <w:t>) o, en otras palabras, frente al “área de influencia del Poder Ejecutivo” (STC 105/2000, de 13 de abril, FJ 4), pues a los gobiernos, en el pasado, les fueron conferidas las tareas y funciones con las que la Constitución apoderó al Consejo General del Poder Judicial. Más allá de tal referencia histórica, sin embargo, la norma fundamental configura el Consejo como una institución “no subordinada a los demás poderes públicos”, en general, de manera que sus vocales, ya en concreto, no pueden ser vistos como “delegados o comisionados” del Congreso y del Senado, por más que a una y a otra de estas Cámaras corresponda, por imperativo constitucional, la designación de parte de aquéllos y hoy, en opción legislativa que en su día juzgamos no inválida, la propuesta para el nombramiento de todos los integrantes del órgano (STC 108/1986, FFJJ 10 y concordantes). Los vocales del Consejo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aquél y éstas medie “una vinculación de dependencia política” que el constituyente, como en su día advertimos, también quiso evitar (STC 238/2012, FJ 8, y jurisprudencia allí citada). Esta autonomía y separación funcionales del Consejo respecto de los demás poderes públicos es la única que se compadece con su condición de órgano no político; esto es, de institución que no ha sido llamada por la Constitución a ejercer sus funciones sobre la base de orientaciones ideológicas o de partido, del todo legítimas para el actuar de gobiernos o parlamentos, pero inconciliables con los cometidos y la función de garantía de la independencia judicial que corresponden al Consejo.</w:t>
      </w:r>
    </w:p>
    <w:p w:rsidR="00A90898" w:rsidRDefault="00A90898" w:rsidP="00A90898">
      <w:pPr>
        <w:pStyle w:val="TextoNormal"/>
      </w:pPr>
    </w:p>
    <w:p w:rsidR="00A90898" w:rsidRDefault="00A90898" w:rsidP="00A90898">
      <w:pPr>
        <w:pStyle w:val="TextoNormal"/>
      </w:pPr>
      <w:r>
        <w:t>Esto recordado, procede ya examinar la impugnación de la que ha sido objeto el artículo 564.</w:t>
      </w:r>
    </w:p>
    <w:p w:rsidR="00A90898" w:rsidRDefault="00A90898" w:rsidP="00A90898">
      <w:pPr>
        <w:pStyle w:val="TextoNormal"/>
      </w:pPr>
    </w:p>
    <w:p w:rsidR="00A90898" w:rsidRDefault="00A90898" w:rsidP="00A90898">
      <w:pPr>
        <w:pStyle w:val="TextoNormal"/>
      </w:pPr>
      <w:r w:rsidRPr="00A90898">
        <w:rPr>
          <w:rStyle w:val="NumeroAFNegritaCaracter"/>
        </w:rPr>
        <w:t>6</w:t>
      </w:r>
      <w:r>
        <w:t>. El Tribunal no puede compartir que este precepto haya contrariado los preceptos constitucionales que en la demanda se invocan:</w:t>
      </w:r>
    </w:p>
    <w:p w:rsidR="00A90898" w:rsidRDefault="00A90898" w:rsidP="00A90898">
      <w:pPr>
        <w:pStyle w:val="TextoNormal"/>
      </w:pPr>
    </w:p>
    <w:p w:rsidR="00A90898" w:rsidRDefault="00A90898" w:rsidP="00A90898">
      <w:pPr>
        <w:pStyle w:val="TextoNormal"/>
      </w:pPr>
      <w:r>
        <w:t xml:space="preserve">A) Al dictar el artículo 564, el legislador orgánico no ha vulnerado, en primer lugar, la norma conforme a la cual “[l]as Cámaras establecen sus propios Reglamentos” (art. 72.1 CE), previsión ésta a la que puede y debe asociarse una específica reserva reglamentaria para la ordenación, en el respeto general a la Constitución, de la vida interna de las asambleas, de los derechos y atribuciones de los parlamentarios y de los procedimientos que se </w:t>
      </w:r>
      <w:r>
        <w:lastRenderedPageBreak/>
        <w:t>desarrollan en el seno de las Cámaras, todo ello como manifestación de la esfera de decisión o capacidad de autoorganización propias del Parlamento (STC 49/2008, FJ 15, y jurisprudencia allí citada). Tal reserva trae causa de la propia autonomía de las Cámaras; esto es, de la facultad de cada una de ellas para, en lo que ahora importa, dictar sus propios reglamentos sin interferencias de otros órganos o poderes del Estado (STC 234/2000, de 3 de octubre, FJ 12). Por consiguiente y como puntualizamos en la citada Sentencia 49/2008, en idéntico fundamento jurídico, la autonomía reglamentaria tiene una “dimensión interna” a la vida de las asambleas; y así lo hemos señalado también, en otras ocasiones, respecto de los parlamentos de las Comunidades Autónomas (SSTC 44/1995, de 13 de febrero, FJ 3, y 227/2004, de 29 de noviembre, FJ 2).</w:t>
      </w:r>
    </w:p>
    <w:p w:rsidR="00A90898" w:rsidRDefault="00A90898" w:rsidP="00A90898">
      <w:pPr>
        <w:pStyle w:val="TextoNormal"/>
      </w:pPr>
    </w:p>
    <w:p w:rsidR="00A90898" w:rsidRDefault="00A90898" w:rsidP="00A90898">
      <w:pPr>
        <w:pStyle w:val="TextoNormal"/>
      </w:pPr>
      <w:r>
        <w:t>Ya por referencia a las Cortes Generales, las anteriores observaciones significan que a los Reglamentos de las Cámaras no les está genéricamente reservada la ordenación exclusiva de lo que, para ocasiones distintas, hemos llamado “sistema de relaciones entre órganos constitucionales” (STC 234/2000, de 3 de octubre, FJ 4, y jurisprudencia allí citada) o, más en concreto, entre las Cámaras mismas y los demás órganos que tienen aquélla condición. Y ello sin perjuicio de que a dichos Reglamentos sí les corresponda, de manera singular, la regulación de cuanto hace al control inmediato o directo de “la acción del Gobierno” (art. 66.2 CE y título V, en su conjunto, de la misma norma fundamental), por lo mismo que esta última función —como recordamos, entre otras, en la STC 208/2003, de 1 de diciembre, FJ 5— ha de entenderse incluida en el núcleo básico de la función parlamentaria garantizado por el art. 23.2 CE, cuya ordenación general, cabe añadir ahora, corresponde, con sujeción a la Constitución, a la autonomía de cada Cámara.</w:t>
      </w:r>
    </w:p>
    <w:p w:rsidR="00A90898" w:rsidRDefault="00A90898" w:rsidP="00A90898">
      <w:pPr>
        <w:pStyle w:val="TextoNormal"/>
      </w:pPr>
    </w:p>
    <w:p w:rsidR="00A90898" w:rsidRDefault="00A90898" w:rsidP="00A90898">
      <w:pPr>
        <w:pStyle w:val="TextoNormal"/>
      </w:pPr>
      <w:r>
        <w:t>Los Reglamentos del Congreso y del Senado no son en modo alguno, con la salvedad señalada, las únicas normas enderezadas a disciplinar aquellas relaciones entre las propias cámaras y los demás poderes públicos. Una interpretación distinta, como la demanda hace, comportaría no sólo extravasar, con mucho, lo que es propio de la dimensión interna de las asambleas, sino ignorar, al tiempo, prevenciones inequívocas de la propia Constitución, que, por lo que aquí importa, remite a la ley orgánica la ordenación del “estatuto” del Consejo General del Poder Judicial (art. 122.2 CE), encomienda ésta en la que entra, con toda naturalidad, la de regular en sus líneas básicas, cuando proceda, las relaciones entre el Consejo mismo y las Cortes Generales. Y todo ello al margen de que, atendidas tales previsiones de la ley, puedan las normas propias de las Cámaras disponer, a efectos internos, la ordenación procedimental y complementaria que corresponda.</w:t>
      </w:r>
    </w:p>
    <w:p w:rsidR="00A90898" w:rsidRDefault="00A90898" w:rsidP="00A90898">
      <w:pPr>
        <w:pStyle w:val="TextoNormal"/>
      </w:pPr>
    </w:p>
    <w:p w:rsidR="00A90898" w:rsidRDefault="00A90898" w:rsidP="00A90898">
      <w:pPr>
        <w:pStyle w:val="TextoNormal"/>
      </w:pPr>
      <w:r>
        <w:t>Por lo razonado, el artículo 564 no ha invadido, en suma, la reserva constitucional a favor de los Reglamentos de cada una de las Cámaras que componen las Cortes Generales.</w:t>
      </w:r>
    </w:p>
    <w:p w:rsidR="00A90898" w:rsidRDefault="00A90898" w:rsidP="00A90898">
      <w:pPr>
        <w:pStyle w:val="TextoNormal"/>
      </w:pPr>
    </w:p>
    <w:p w:rsidR="00A90898" w:rsidRDefault="00A90898" w:rsidP="00A90898">
      <w:pPr>
        <w:pStyle w:val="TextoNormal"/>
      </w:pPr>
      <w:r>
        <w:t xml:space="preserve">B) El art. 76.2 CE, también citado como infringido en la demanda, establece la obligación de comparecer, a requerimiento de las Cámaras, ante las Comisiones de investigación que las mismas puedan instituir. Este precepto constitucional no ha sido contrariado, sin embargo, por la previsión del art. 564 LOPJ, pues el objeto de esta norma legal es reglar un aspecto general, en conexión con el artículo 563, de las relaciones entre las Cortes y el Consejo General del Poder Judicial, relaciones generales u ordinarias entre ambas instituciones cuya disciplina nada dice respecto de lo que pudiera eventualmente derivar del ejercicio por las Cámaras de la función extraordinaria u ocasional que desempeñan por medio de sus Comisiones de investigación. La finalidad del artículo 564 es, en suma, la de regular </w:t>
      </w:r>
      <w:r>
        <w:lastRenderedPageBreak/>
        <w:t>un concreto aspecto de relaciones institucionales ordinarias, sin que quepa echar en falta en su enunciado, con los efectos de inconstitucionalidad que se pretenden, una específica salvedad referida al art. 76.2 CE y a lo que de su aplicación pudiera seguirse, llegado el caso, para los integrantes del Consejo General del Poder Judicial, así como, por lo demás, para cualesquiera personas, sean o no autoridades públicas o funcionarios.</w:t>
      </w:r>
    </w:p>
    <w:p w:rsidR="00A90898" w:rsidRDefault="00A90898" w:rsidP="00A90898">
      <w:pPr>
        <w:pStyle w:val="TextoNormal"/>
      </w:pPr>
    </w:p>
    <w:p w:rsidR="00A90898" w:rsidRDefault="00A90898" w:rsidP="00A90898">
      <w:pPr>
        <w:pStyle w:val="TextoNormal"/>
      </w:pPr>
      <w:r>
        <w:t>C) Aducen también los recurrentes, en su censura al precepto impugnado, que el Consejo General del Poder Judicial no está “exento de rendir cuentas ante las Cortes Generales y ante la ciudadanía” y que la Ley Orgánica 4/2013 debió prever, por ello, “un sistema de responsabilidad política” del Consejo ante el Parlamento, alegato que se formula con cita, según recordamos, del art. 109 CE; del art. 1, también, de la norma fundamental (principios “democrático” y, se dice, de “separación de poderes”) y, por último, del artículo 44, apartados 3 y 4, RCD. Invocan al hilo de todo ello, en fin, una “práctica parlamentaria consolidada” de admisión por la Mesa del Congreso de diferentes solicitudes de comparecencia del Presidente del Consejo General del Poder Judicial ante la Comisión de Justicia, o de Justicia e Interior, de la propia Cámara sobre cuestiones de diverso orden y en circunstancias distintas al debate parlamentario sobre la memoria anual del propio Consejo. Práctica parlamentaria, observa con todo la demanda, “que no se basa en la atribución de ninguna facultad de control parlamentario sobre la actuación de los miembros del Consejo”.</w:t>
      </w:r>
    </w:p>
    <w:p w:rsidR="00A90898" w:rsidRDefault="00A90898" w:rsidP="00A90898">
      <w:pPr>
        <w:pStyle w:val="TextoNormal"/>
      </w:pPr>
    </w:p>
    <w:p w:rsidR="00A90898" w:rsidRDefault="00A90898" w:rsidP="00A90898">
      <w:pPr>
        <w:pStyle w:val="TextoNormal"/>
      </w:pPr>
      <w:r>
        <w:t>a) El actual art. 563.3 LOPJ prevé que las Cortes Generales pueden, de acuerdo con los Reglamentos de las Cámaras, “solicitar la comparecencia” del Presidente del Tribunal Supremo con ocasión del debate sobre la Memoria anual del Consejo General del Poder Judicial “a fin de responder a las preguntas que se le formulen acerca de la referida Memoria”. Sólo en tal caso, conforme al impugnado art 564 y sin perjuicio de lo razonado en el apartado B) de este mismo fundamento jurídico, “recaerá deber” de comparecencia parlamentaria, “por razón de sus funciones”, sobre el propio Presidente del Tribunal Supremo y sobre los vocales del Consejo.</w:t>
      </w:r>
    </w:p>
    <w:p w:rsidR="00A90898" w:rsidRDefault="00A90898" w:rsidP="00A90898">
      <w:pPr>
        <w:pStyle w:val="TextoNormal"/>
      </w:pPr>
    </w:p>
    <w:p w:rsidR="00A90898" w:rsidRDefault="00A90898" w:rsidP="00A90898">
      <w:pPr>
        <w:pStyle w:val="TextoNormal"/>
      </w:pPr>
      <w:r>
        <w:t>b) En la hipótesis de que la Constitución impusiera, más allá y en contra de lo dispuesto en el artículo 564, un genérico deber de comparecencia parlamentaria, a requerimiento de las Cámaras, sobre el Presidente y los demás miembros del Consejo General del Poder Judicial, dicho deber nunca podría hacerse derivar, frente a lo que la demanda aduce, de los principios enunciados en el art. 1 CE ni, en particular, del carácter democrático de nuestro Estado (apartado primero del citado precepto). La invocación genérica de tales principios no puede sustentar, en el recurso de inconstitucionalidad, la pretensión de que este Tribunal invalide normas de ley que son fruto, precisamente, de la potestad legislativa de las Cortes Generales, expresión máxima de la voluntad popular por ellas representada [en tal sentido, STC 238/2012, FJ 6 a), y jurisprudencia allí citada].</w:t>
      </w:r>
    </w:p>
    <w:p w:rsidR="00A90898" w:rsidRDefault="00A90898" w:rsidP="00A90898">
      <w:pPr>
        <w:pStyle w:val="TextoNormal"/>
      </w:pPr>
    </w:p>
    <w:p w:rsidR="00A90898" w:rsidRDefault="00A90898" w:rsidP="00A90898">
      <w:pPr>
        <w:pStyle w:val="TextoNormal"/>
      </w:pPr>
      <w:r>
        <w:t xml:space="preserve">Tampoco puede ser medida de validez del precepto impugnado, ya en otro orden de consideraciones, el art. 44 RCD. Es cierto que esta disposición prevé, en su número 3, que las Comisiones de la Cámara podrán, por conducto del Presidente del Congreso, recabar la presencia de “autoridades” competentes por razón de la materia objeto del debate, a fin de informar a la propia Comisión. Pero no es menos cierto, sin embargo, que esta genérica previsión reglamentaria posee, al margen de las relaciones con el Gobierno, una eficacia exclusivamente </w:t>
      </w:r>
      <w:r w:rsidRPr="00A90898">
        <w:rPr>
          <w:i/>
        </w:rPr>
        <w:t>ad intra</w:t>
      </w:r>
      <w:r>
        <w:t xml:space="preserve"> de los procedimientos parlamentarios, pues a los Reglamentos de las Cámaras no les atribuye la Constitución la exclusiva competencia para ordenar por sí </w:t>
      </w:r>
      <w:r>
        <w:lastRenderedPageBreak/>
        <w:t>solos, con la salvedad repetida, las relaciones entre las Cortes Generales y los demás órganos constitucionales. El art. 44.3 RCD encuentra su fundamento, sin duda, en lo dispuesto en el art. 109 CE, al que de inmediato nos referiremos (SSTC 208/2003, FJ 6; 89/2005, FJ 4, y 90/2005, FJ 4, ambas de 18 de abril). Pero en un juicio a la ley, como el planteado aquí, es sólo aquel precepto constitucional, no el reglamentario que en él se basa, el que puede llegar a ponerse en contraste con la disposición recurrida a efectos de determinar la validez de esta última. Del repetido precepto del Reglamento del Congreso de los Diputados, en suma, no deriva vinculación alguna para la ley a la que remite el art. 122.2 CE ni, por lo mismo, deber directo de comparecencia parlamentaria, al margen de lo previsto en dicha ley, sobre los integrantes del Consejo General del Poder Judicial. Por lo demás, este Tribunal Constitucional no ha dado por sentado un tal deber jurídico de comparecencia parlamentaria para órganos no dependientes de las Cortes, habiéndose cuidado, por el contrario, de dejar a salvo, precisamente respecto del Consejo, “el criterio de quien ostenta la representación de ese órgano colegiado” (STC 208/2003, FFJJ 6 y 9; consideraciones parangonables en SSTC 89/2005 y 90/2005, FFJJ 4 y 7 de una y otra resolución).</w:t>
      </w:r>
    </w:p>
    <w:p w:rsidR="00A90898" w:rsidRDefault="00A90898" w:rsidP="00A90898">
      <w:pPr>
        <w:pStyle w:val="TextoNormal"/>
      </w:pPr>
    </w:p>
    <w:p w:rsidR="00A90898" w:rsidRDefault="00A90898" w:rsidP="00A90898">
      <w:pPr>
        <w:pStyle w:val="TextoNormal"/>
      </w:pPr>
      <w:r>
        <w:t>Por lo expuesto, ninguna relevancia habría de tener para enjuiciar la constitucionalidad del artículo 563 la “práctica parlamentaria” en aplicación del art. 44 RCD que la demanda invoca. Ni la práctica ni los usos parlamentarios son pautas válidas para el control de la ley.</w:t>
      </w:r>
    </w:p>
    <w:p w:rsidR="00A90898" w:rsidRDefault="00A90898" w:rsidP="00A90898">
      <w:pPr>
        <w:pStyle w:val="TextoNormal"/>
      </w:pPr>
    </w:p>
    <w:p w:rsidR="00A90898" w:rsidRDefault="00A90898" w:rsidP="00A90898">
      <w:pPr>
        <w:pStyle w:val="TextoNormal"/>
      </w:pPr>
      <w:r>
        <w:t>c) Tampoco puede en modo alguno argumentarse un genérico deber de comparecencia parlamentaria, para los miembros del Consejo General del Poder Judicial, sobre la base de lo que la demanda afirma en orden a la “responsabilidad política” de este órgano o de su necesario “control” por las Cámaras. Basta a este respecto con que nos remitamos a lo expuesto en el fundamento jurídico 5 que antecede a propósito de la posición institucional que la Constitución preserva para el Consejo y a su no vinculación o dependencia respecto de los demás poderes públicos y, en especial, de aquellos en los que se manifiesta y articula la orientación política general del Estado. La norma fundamental descarta, sin sombra de duda, semejantes pretensiones de “responsabilidad” y “control” políticos sobre un órgano constitucional al que ha confiado, en garantía de la independencia de jueces y magistrados, unas funciones que no pueden quedar, sin amenaza o daño para esa independencia, sujetas a fiscalización por el poder político, incluido, claro está, el que se expresa en las Cámaras representativas. La forma política de nuestro Estado es la monarquía parlamentaria (art. 1.3 CE) y a las Cortes Generales, de acuerdo con ello, les corresponde la representación del pueblo español y la función, entre otras tareas capitales, de controlar la “acción del Gobierno” (art. 66.1 y 2 CE). Pero la “supremacía del Parlamento” (STC 136/2011, de 13 de septiembre, FJ 5) que de ello deriva ha de conciliarse, como es propio al Estado constitucional y democrático de Derecho (art. 1.1 CE), con el respeto a la posición institucional de otros órganos constitucionales —el Consejo General del Poder Judicial entre ellos— que no se configuran ni ejercen sus funciones con arreglo a lo que en su día llamamos “la lógica del Estado de partidos” (STC 108/1986, FJ 13).</w:t>
      </w:r>
    </w:p>
    <w:p w:rsidR="00A90898" w:rsidRDefault="00A90898" w:rsidP="00A90898">
      <w:pPr>
        <w:pStyle w:val="TextoNormal"/>
      </w:pPr>
    </w:p>
    <w:p w:rsidR="00A90898" w:rsidRDefault="00A90898" w:rsidP="00A90898">
      <w:pPr>
        <w:pStyle w:val="TextoNormal"/>
      </w:pPr>
      <w:r>
        <w:t xml:space="preserve">d) El art. 109 CE, citado asimismo en la demanda, establece que “[l]as Cámaras y sus Comisiones podrán recabar a través de los Presidentes de aquéllas, la información y ayuda que precisen del Gobierno y de sus Departamentos y de cualesquiera autoridades del Estado y de las Comunidades Autónomas”. Es cierto, y así viene a observarlo el Abogado del Estado, que este precepto se inscribe en el título V de la Constitución, cuya rúbrica se abre con el título “de las relaciones entre el Gobierno y las Cortes Generales”; pero ello no impide </w:t>
      </w:r>
      <w:r>
        <w:lastRenderedPageBreak/>
        <w:t>reconocer que, en el amplio enunciado con el que se refiere la norma, a los efectos de “información y ayuda” a “cualesquiera autoridades del Estado”, entra, sin duda, el Consejo General del Poder Judicial, no siendo discutible que su asistencia institucional puede resultar necesaria para las Cámaras a fin de desarrollar, con la efectividad necesaria, sus potestades de legislar, de aprobar los presupuestos del Estado y de controlar la acción del Gobierno, junto a las demás competencias que la Constitución atribuye a las Cortes (art. 66.2 CE).</w:t>
      </w:r>
    </w:p>
    <w:p w:rsidR="00A90898" w:rsidRDefault="00A90898" w:rsidP="00A90898">
      <w:pPr>
        <w:pStyle w:val="TextoNormal"/>
      </w:pPr>
    </w:p>
    <w:p w:rsidR="00A90898" w:rsidRDefault="00A90898" w:rsidP="00A90898">
      <w:pPr>
        <w:pStyle w:val="TextoNormal"/>
      </w:pPr>
      <w:r>
        <w:t>El Consejo, por tanto, queda también comprometido por este precepto constitucional, al igual que cualesquiera otras autoridades públicas, para prestar a las Cámaras y a sus Comisiones aquella “información y ayuda”, siempre que la solicitud al efecto se corresponda con el ámbito de atribuciones del propio Consejo y no menoscabe el ejercicio independiente de las mismas. Sin embargo, el requerimiento constitucional y el consiguiente deber que de él dimana no van más lejos, pues ni la norma dispone cosa alguna sobre los procedimientos mediante los cuales se haya de canalizar tal relación ni prescribe en particular, e importa destacarlo, que la asistencia que prevé deba realizarse a través de la comparecencia parlamentaria de las “autoridades” a las que se refiere, comparecencia que, por contraste, sí contempla, como es propio al sistema parlamentario de gobierno, el artículo 110.1 de la misma norma fundamental, conforme al cual, “(l)as Cámaras y sus Comisiones pueden reclamar la presencia de los miembros del Gobierno”. En definitiva, la información y ayuda que las Cámaras puedan precisar del Consejo puede allegarse de muy diversos modos y la determinación de cuáles hayan de ser estos es algo que no queda en absoluto predeterminado por la Constitución, aunque sí deriva de ella, con claridad plena, que la información mediante comparecencia del Presidente o de los miembros del Consejo General del Poder Judicial, salvo lo dispuesto en el art. 76.2 CE, solamente puede ser prevista e impuesta, en su caso, por la ley orgánica a la que remite, para la regulación del “estatuto” de este órgano, el art. 122.2 CE, no siendo dable desconocer que tales personaciones ante las Cámaras, por más que no hubieran de conllevar control político de tipo alguno, afectan directamente, de ser impuestas o debidas, a la posición institucional del Consejo, razón por la cual sólo pueden ser previstas y reguladas, en el respeto a la Constitución, por aquella ley orgánica.</w:t>
      </w:r>
    </w:p>
    <w:p w:rsidR="00A90898" w:rsidRDefault="00A90898" w:rsidP="00A90898">
      <w:pPr>
        <w:pStyle w:val="TextoNormal"/>
      </w:pPr>
    </w:p>
    <w:p w:rsidR="00A90898" w:rsidRDefault="00A90898" w:rsidP="00A90898">
      <w:pPr>
        <w:pStyle w:val="TextoNormal"/>
      </w:pPr>
      <w:r>
        <w:t xml:space="preserve">No otra cosa ha concretado, en sus versiones sucesivas, la ley orgánica a la que remite el art. 122.2 CE, ley que ha contemplado tales comparecencias, y las consiguientes preguntas parlamentarias, tan sólo con ocasión del debate en las Cámaras sobre el contenido de la memoria anual del Consejo General del Poder Judicial, opción ésta sin la menor duda legítima, entre otras varias posibles. El vigente art. 563.3 LOPJ difiere, ciertamente, de la norma anterior sobre igual objeto, pues el derogado art. 109.2 LOPJ preveía, a tal fin, que la comparecencia del Presidente del Consejo General del Poder Judicial, o del miembro del órgano en quién aquél delegare, podría dar lugar no ya sólo a preguntas de los parlamentarios, como también contempla el actual texto, sino asimismo a la “presentación de mociones” y, “en general, de cuantas medidas prevean” los Reglamentos parlamentarios. Que tal norma legal haya sido modificada nada dice, como es obvio, en contra de la constitucionalidad de la vigente, fruto como son, una y otra, de la libertad de configuración del legislador, que tampoco ha forzado ni contrariado la Constitución, en atención a todo lo dicho, por haber dispuesto en el impugnado art. 564 que, fuera de la comparecencia prevista en el precepto que le antecede, ninguna otra será debida para el Presidente del Tribunal Supremo o para los vocales del Consejo General del Poder Judicial. El artículo 563.3 prevé, como la norma anterior ya derogada, una determinada vía de información a las Cámaras que da curso a lo </w:t>
      </w:r>
      <w:r>
        <w:lastRenderedPageBreak/>
        <w:t>previsto en el art. 109 CE y que en manera alguna excluye otros cauces de información y ayuda a las Cortes que, al margen ya de la comparecencia del Presidente o de los vocales del Consejo, puedan también usarse para satisfacer aquella exigencia constitucional, según lo demanden las Cámaras de conformidad con la propia Constitución: información por escrito o, eventualmente, mediante la presencia, cuando proceda, de altos funcionarios del Consejo.</w:t>
      </w:r>
    </w:p>
    <w:p w:rsidR="00A90898" w:rsidRDefault="00A90898" w:rsidP="00A90898">
      <w:pPr>
        <w:pStyle w:val="TextoNormal"/>
      </w:pPr>
    </w:p>
    <w:p w:rsidR="00A90898" w:rsidRDefault="00A90898" w:rsidP="00A90898">
      <w:pPr>
        <w:pStyle w:val="TextoNormal"/>
      </w:pPr>
      <w:r>
        <w:t>Procede reparar, por lo demás, en que la propia Ley Orgánica 4/2013 ha dispuesto en el nuevo art. 561.1 LOPJ que se someterá a informe del Consejo General del Poder Judicial, además de otros asuntos allí individualizados, “[c]ualquier otra cuestión que … las Cortes Generales … estimen oportuna” (regla 9). Esta previsión normativa resulta en cierto modo lateral a lo que hasta ahora hemos considerado aquí, entroncada como está, más bien, en la que cabe llamar función consultiva del Consejo, de exclusiva base legal. Sin embargo, el precepto habilita en muy amplios términos un nuevo cauce para la colaboración, cuando proceda, entre el Consejo mismo y las Cámaras, colaboración que podría dar lugar —sin necesidad ahora de más precisiones— a que por el Congreso o el Senado se interese el informe o parecer de aquél sobre asunto determinado de su incumbencia institucional. También así se vendría a realizar, en suma, la información y ayuda que prevé, en términos generales, el artículo 109 de la norma fundamental.</w:t>
      </w:r>
    </w:p>
    <w:p w:rsidR="00A90898" w:rsidRDefault="00A90898" w:rsidP="00A90898">
      <w:pPr>
        <w:pStyle w:val="TextoNormal"/>
      </w:pPr>
    </w:p>
    <w:p w:rsidR="00A90898" w:rsidRDefault="00A90898" w:rsidP="00A90898">
      <w:pPr>
        <w:pStyle w:val="TextoNormal"/>
      </w:pPr>
      <w:r>
        <w:t>Los anteriores razonamientos determinan la constitucionalidad del precepto, entendido en el sentido expuesto en el presente fundamento jurídico.</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Impugna también la demanda los apartados 1 y 3 del art. 570 LOPJ. A tenor del primero de estos preceptos, “[s]i el día de la sesión constitutiva del nuevo Consejo General del Poder Judicial no hubiera alguna de las Cámaras procedido aún a la elección de los Vocales cuya designación le corresponda, se constituirá el Consejo General del Poder Judicial con los diez Vocales designados por la otra Cámara y con los Vocales del Consejo saliente que hubieran sido designados en su momento por la Cámara que haya incumplido el plazo de designación, pudiendo desde entonces ejercer todas sus atribuciones”. El apartado 3 del mismo artículo 570 dispone, por su parte, que “[e]l nombramiento de Vocales con posterioridad a la expiración del plazo concedido legalmente para su designación no supondrá, en ningún caso, la ampliación de su cargo más allá de los cinco años de mandato del Consejo General del Poder Judicial para el que hubieren sido designados, salvo lo previsto con el apartado anterior”. El apartado 2 al que así remite </w:t>
      </w:r>
      <w:r w:rsidRPr="00A90898">
        <w:rPr>
          <w:i/>
        </w:rPr>
        <w:t>in fine</w:t>
      </w:r>
      <w:r>
        <w:t xml:space="preserve"> el precepto recién transcrito establece que “[s]i ninguna de las dos Cámaras hubieren (</w:t>
      </w:r>
      <w:r w:rsidRPr="00A90898">
        <w:rPr>
          <w:i/>
        </w:rPr>
        <w:t>sic</w:t>
      </w:r>
      <w:r>
        <w:t>) efectuado en el plazo legalmente previsto la designación de los Vocales que les corresponda, el Consejo saliente continuará en funciones hasta la toma de posesión del nuevo, no pudiendo procederse, hasta entonces, a la elección del nuevo Presidente del Consejo General Poder Judicial”.</w:t>
      </w:r>
    </w:p>
    <w:p w:rsidR="00A90898" w:rsidRDefault="00A90898" w:rsidP="00A90898">
      <w:pPr>
        <w:pStyle w:val="TextoNormal"/>
      </w:pPr>
    </w:p>
    <w:p w:rsidR="00A90898" w:rsidRDefault="00A90898" w:rsidP="00A90898">
      <w:pPr>
        <w:pStyle w:val="TextoNormal"/>
      </w:pPr>
      <w:r>
        <w:t xml:space="preserve">Estiman los diputados recurrentes que el artículo 570 es, en sus apartados 1 y 3, contrario al art. 122.3 CE y ello en atención a dos consideraciones complementarias. De una parte, por cuanto la Constitución, en el precepto invocado, habría fijado el mandato de cinco años “con referencia no al órgano, sino a los Vocales”, de modo tal que la “limitación” de la duración del cargo que, para diez de aquéllos, se prevé en el artículo 570.3, sería inconstitucional. También lo sería, de otro lado, la previsión del número 1 del mismo artículo según la cual el Consejo General del Poder Judicial pudiera constituirse, en la hipótesis allí contemplada, con diez vocales designados por una sola Cámara y con otros tantos del Consejo </w:t>
      </w:r>
      <w:r>
        <w:lastRenderedPageBreak/>
        <w:t>saliente, pues -se aduce- la norma fundamental ha querido que todos los vocales sean nombrados “en unidad de acto”, esto es, con exclusión de renovaciones “parciales”. El Abogado del Estado argumenta, de contrario, que las previsiones legales impugnadas no establecen nada que resulte prohibido por el art. 122.3 CE y que, en segundo lugar, la Ley Orgánica del Poder Judicial, según la Ley Orgánica 4/2013, prevé el “mecanismo … ordinario” de que el Consejo se renueve cada cinco años, aunque también incluye medidas destinadas a impedir que el incumplimiento de la obligación constitucional de designación de los vocales, por una Cámara o por ambas, conlleve el “bloqueo de funcionamiento” del Consejo, previéndose así, como hasta ahora, que, si ninguna Cámara procede a la designación, el Consejo continuará en funciones y disponiéndose, para el caso de que sea una sola Cámara la que lleve a cabo tardíamente su propuesta, que los vocales así designados serán nombrados por el período que reste del mandato del Consejo, previsión esta última –observa el Abogado del Estado- que no debe plantear duda de constitucionalidad, pues no diferiría de la establecida para el caso de que uno de los vocales cese por cualquier motivo y deba -dice el Abogado del Estado- “procederse a nombrar un sustituto”.</w:t>
      </w:r>
    </w:p>
    <w:p w:rsidR="00A90898" w:rsidRDefault="00A90898" w:rsidP="00A90898">
      <w:pPr>
        <w:pStyle w:val="TextoNormal"/>
      </w:pPr>
    </w:p>
    <w:p w:rsidR="00A90898" w:rsidRDefault="00A90898" w:rsidP="00A90898">
      <w:pPr>
        <w:pStyle w:val="TextoNormal"/>
      </w:pPr>
      <w:r>
        <w:t>Así planteada la contradicción, y antes de resolverla, conviene efectuar algunas consideraciones preliminares.</w:t>
      </w:r>
    </w:p>
    <w:p w:rsidR="00A90898" w:rsidRDefault="00A90898" w:rsidP="00A90898">
      <w:pPr>
        <w:pStyle w:val="TextoNormal"/>
      </w:pPr>
    </w:p>
    <w:p w:rsidR="00A90898" w:rsidRDefault="00A90898" w:rsidP="00A90898">
      <w:pPr>
        <w:pStyle w:val="TextoNormal"/>
      </w:pPr>
      <w:r>
        <w:t>a) El art. 122.3 CE dispone que “[e]l Consejo General del Poder Judicial estará integrado por el Presidente del Tribunal Supremo, que lo presidirá, y por veinte miembros nombrados por el Rey por un período de cinco años”. Añade el precepto que 12 de estos miembros del órgano serán nombrados “entre Jueces y Magistrados de todas las categorías judiciales, en los términos que establezca la ley orgánica”, cuatro lo serán “a propuesta del Congreso de los Diputados” y otros tantos habrán de serlo “a propuesta del Senado, elegidos en ambos casos por mayoría de tres quintos de sus miembros, entre abogados y otros juristas, todos ellos de reconocida competencia y con más de quince años de ejercicio en su profesión”.</w:t>
      </w:r>
    </w:p>
    <w:p w:rsidR="00A90898" w:rsidRDefault="00A90898" w:rsidP="00A90898">
      <w:pPr>
        <w:pStyle w:val="TextoNormal"/>
      </w:pPr>
    </w:p>
    <w:p w:rsidR="00A90898" w:rsidRDefault="00A90898" w:rsidP="00A90898">
      <w:pPr>
        <w:pStyle w:val="TextoNormal"/>
      </w:pPr>
      <w:r>
        <w:t>La Ley Orgánica 6/1985, del Poder Judicial, dispuso (artículo 112.1) que los 20 vocales del Consejo General del Poder Judicial habrían de ser propuestos por el Congreso de los Diputados y por el Senado, a razón de diez vocales por cada Cámara (apartados 2 y 3 del mismo artículo). Nuestra STC 108/1986 no consideró inconstitucional esta determinación legal, en punto a los vocales nombrados “entre Jueces y Magistrados”, por entender que la misma “no impide una interpretación adecuada a la Constitución” (FJ 13).</w:t>
      </w:r>
    </w:p>
    <w:p w:rsidR="00A90898" w:rsidRDefault="00A90898" w:rsidP="00A90898">
      <w:pPr>
        <w:pStyle w:val="TextoNormal"/>
      </w:pPr>
    </w:p>
    <w:p w:rsidR="00A90898" w:rsidRDefault="00A90898" w:rsidP="00A90898">
      <w:pPr>
        <w:pStyle w:val="TextoNormal"/>
      </w:pPr>
      <w:r>
        <w:t>La elección de todos los vocales por las Cámaras se ha mantenido hasta el presente (art. 567 LOPJ, redactado conforme a la Ley Orgánica 4/2013).</w:t>
      </w:r>
    </w:p>
    <w:p w:rsidR="00A90898" w:rsidRDefault="00A90898" w:rsidP="00A90898">
      <w:pPr>
        <w:pStyle w:val="TextoNormal"/>
      </w:pPr>
    </w:p>
    <w:p w:rsidR="00A90898" w:rsidRDefault="00A90898" w:rsidP="00A90898">
      <w:pPr>
        <w:pStyle w:val="TextoNormal"/>
      </w:pPr>
      <w:r>
        <w:t>b) Nada dice el art. 122.3 CE sobre el modo de renovación, si parcial o general, del Consejo. No siendo seguramente inconcebible algún sistema de renovación del órgano por partes, es lo cierto que su sustitución íntegra o de conjunto ha sido, desde el principio, la fórmula por la que ha optado el legislador al que, en este punto, remite aquel precepto constitucional. Así, la Ley Orgánica 1/1980 dispuso ya, en lo que ahora interesa, que el Consejo General del Poder Judicial “se renovará en su totalidad cada cinco años, computados desde la fecha de su constitución” (artículo 9). Esta previsión se ha mantenido inalterada hasta el presente (art. 568.1 LOPJ, en su vigente redacción).Ninguna duda de constitucionalidad puede suscitar esta opción legislativa.</w:t>
      </w:r>
    </w:p>
    <w:p w:rsidR="00A90898" w:rsidRDefault="00A90898" w:rsidP="00A90898">
      <w:pPr>
        <w:pStyle w:val="TextoNormal"/>
      </w:pPr>
    </w:p>
    <w:p w:rsidR="00A90898" w:rsidRDefault="00A90898" w:rsidP="00A90898">
      <w:pPr>
        <w:pStyle w:val="TextoNormal"/>
      </w:pPr>
      <w:r>
        <w:lastRenderedPageBreak/>
        <w:t>c) Las previsiones contenidas en los apartados 1 y 3 del impugnado artículo 570 han de ser entendidas a la luz de lo que sobre ellas se dice en el preámbulo de la Ley Orgánica 4/2013. Se lee allí que la actual regulación del Consejo General del Poder Judicial “permite que la falta de renovación del órgano cuando finaliza su mandato dé lugar a la prórroga, a menudo durante mucho tiempo” y que “(e)ste fenómeno debe ser evitado en la medida de lo posible”. Por ello —prosigue el preámbulo— “se establece que la prórroga del Consejo no sea posible, salvo en el supuesto muy excepcional de que ninguna de las Cámaras cumpliese el mandato de designación, de tal forma que bastará la sola presencia de los Vocales designados por una de las Cámaras para que el nuevo Consejo pueda constituirse, ya que su número se completará con los Vocales que en su momento hubiesen sido designados por la Cámara que ahora incumple el mandato. Sólo —se añade— si ambas Cámaras no proceden a designar a los Vocales que les corresponde (</w:t>
      </w:r>
      <w:r w:rsidRPr="00A90898">
        <w:rPr>
          <w:i/>
        </w:rPr>
        <w:t>sic</w:t>
      </w:r>
      <w:r>
        <w:t>), el Consejo continuará actuando en funciones hasta el momento en el que una de ellas cumpla con el mandato legal”. Concluye este pasaje del preámbulo con la observación de que “(s)iendo así, las Cámaras pueden en todo momento evitar una situación manifiestamente inadecuada para el correcto funcionamiento de las instituciones como es ésta”.</w:t>
      </w:r>
    </w:p>
    <w:p w:rsidR="00A90898" w:rsidRDefault="00A90898" w:rsidP="00A90898">
      <w:pPr>
        <w:pStyle w:val="TextoNormal"/>
      </w:pPr>
    </w:p>
    <w:p w:rsidR="00A90898" w:rsidRDefault="00A90898" w:rsidP="00A90898">
      <w:pPr>
        <w:pStyle w:val="TextoNormal"/>
      </w:pPr>
      <w:r>
        <w:t>Aunque los pasajes transcritos del preámbulo figuran bajo la rúbrica genérica “(e)liminación de situaciones de bloqueo en la constitución del Consejo General del Poder Judicial”, parece evidente que el sentido objetivo, así ilustrado, de los preceptos impugnados no es tanto el de compeler directamente a las Cámaras para que provean en tiempo a la designación que les cumple —siendo este, como es, un deber incoercible en Derecho—, cuanto impedir que la propuesta tardía de una de ellas, constituido ya el Consejo del modo subsidiario que mandata el artículo 570.1, conlleve, hacia el futuro, la imposible renovación del órgano en su totalidad cada cinco años, que es la opción —constitucionalmente inobjetable, como queda dicho, aunque no la única posible para el legislador— que figura en el antes citado artículo 568.1. La nueva regulación procura, en otras palabras, que la Cámara que está en condiciones de cumplir su cometido de propuesta lo lleve a cabo efectivamente, siquiera sea en solitario, y que la ulterior designación por la Cámara que no logró proponer en tiempo no determine para sucesivas renovaciones, de manera ya indefinida, la imposible renovación íntegra del órgano (artículo 568.1).</w:t>
      </w:r>
    </w:p>
    <w:p w:rsidR="00A90898" w:rsidRDefault="00A90898" w:rsidP="00A90898">
      <w:pPr>
        <w:pStyle w:val="TextoNormal"/>
      </w:pPr>
    </w:p>
    <w:p w:rsidR="00A90898" w:rsidRDefault="00A90898" w:rsidP="00A90898">
      <w:pPr>
        <w:pStyle w:val="TextoNormal"/>
      </w:pPr>
      <w:r>
        <w:t>Expuesto lo anterior, ya se está en condiciones de enjuiciar la constitucionalidad de los preceptos impugnados.</w:t>
      </w:r>
    </w:p>
    <w:p w:rsidR="00A90898" w:rsidRDefault="00A90898" w:rsidP="00A90898">
      <w:pPr>
        <w:pStyle w:val="TextoNormal"/>
      </w:pPr>
    </w:p>
    <w:p w:rsidR="00A90898" w:rsidRDefault="00A90898" w:rsidP="00A90898">
      <w:pPr>
        <w:pStyle w:val="TextoNormal"/>
      </w:pPr>
      <w:r w:rsidRPr="00A90898">
        <w:rPr>
          <w:rStyle w:val="NumeroAFNegritaCaracter"/>
        </w:rPr>
        <w:t>8</w:t>
      </w:r>
      <w:r>
        <w:t>. Estos preceptos no pueden estimarse inconstitucionales por los motivos que seguidamente se desarrollan.</w:t>
      </w:r>
    </w:p>
    <w:p w:rsidR="00A90898" w:rsidRDefault="00A90898" w:rsidP="00A90898">
      <w:pPr>
        <w:pStyle w:val="TextoNormal"/>
      </w:pPr>
    </w:p>
    <w:p w:rsidR="00A90898" w:rsidRDefault="00A90898" w:rsidP="00A90898">
      <w:pPr>
        <w:pStyle w:val="TextoNormal"/>
      </w:pPr>
      <w:r>
        <w:t xml:space="preserve">a) La renovación en su integridad del Consejo General del Poder Judicial es, como se ha dicho, una opción legítima del legislador orgánico. Se siguen de ella, en situaciones de normalidad institucional, dos consecuencias. La primera, que ambas Cámaras han de proceder a sus propuestas, si no necesariamente en igual fecha o, como equivocadamente se viene a decir en la demanda, en “unidad de acto”, sí con la mayor simultaneidad posible y dentro siempre del respeto del plazo que al efecto prescribe la Ley Orgánica del Poder Judicial (artículo 569.2, en conexión con lo previsto en el artículo 568.2 y en los artículos 572 a 578). La segunda consecuencia es que, de no producirse demoras contrarias a la ley en la propuesta de una de las Cámaras, el mandato de cinco años de los vocales (art. 122.3 CE) </w:t>
      </w:r>
      <w:r>
        <w:lastRenderedPageBreak/>
        <w:t>deviene, obviamente, mandato colegiado del órgano, y así lo prevé, el artículo 568.1: “[e]l Consejo General del Poder Judicial se renovará en su totalidad cada cinco años”.</w:t>
      </w:r>
    </w:p>
    <w:p w:rsidR="00A90898" w:rsidRDefault="00A90898" w:rsidP="00A90898">
      <w:pPr>
        <w:pStyle w:val="TextoNormal"/>
      </w:pPr>
    </w:p>
    <w:p w:rsidR="00A90898" w:rsidRDefault="00A90898" w:rsidP="00A90898">
      <w:pPr>
        <w:pStyle w:val="TextoNormal"/>
      </w:pPr>
      <w:r>
        <w:t xml:space="preserve">b) Pero las previsiones normativas no garantizan, con su solo enunciado vinculante, la efectividad plena de lo dispuesto en ellas, de modo que ninguna objeción constitucional cabe oponer a que el legislador disponga prevenciones subsidiarias para la hipótesis de que, debiendo concurrir ambas Cámaras, por separado, a la designación de los vocales cuya propuesta les corresponde, tan sólo una de ellas, por los motivos que sean, esté en condiciones de cumplir su cometido. Y en este punto son relevantes dos consideraciones. La primera, que, por mandato del art. 122.3 CE, la propuesta corresponde a cada una de las Cámaras, al Congreso de los Diputados y al Senado, no, pues, al órgano “de estructura global”, “plural” o compleja que son las Cortes Generales (SSTC 45/1986, de 17 de abril, FFJJ 2 y 4, y 155/2005, de 9 de junio, FJ 5) ni a éstas últimas, obviamente, en sesión conjunta. La propuesta de vocales no constituye en particular un acto orgánico compuesto para cuya adopción tendrían que existir dos actos coincidentes de órganos incompletos, acto cuyo paradigma, en nuestro Parlamento bicameral, viene a ser la ley. En orden a las propuestas que aquí consideramos, cada Cámara es órgano </w:t>
      </w:r>
      <w:r w:rsidRPr="00A90898">
        <w:rPr>
          <w:i/>
        </w:rPr>
        <w:t>a se</w:t>
      </w:r>
      <w:r>
        <w:t xml:space="preserve">; esto es, cada una ostenta la potestad, y la responsabilidad consiguiente, de designar, en el tiempo legalmente prescrito, los vocales de su elección. Por otro lado —esta es la segunda consideración que anunciábamos—, la propuesta o designación de que tratamos es, para cada una de las Cámaras, un genuino poder-deber. Una potestad, sin duda, pero también, al tiempo, un deber </w:t>
      </w:r>
      <w:r w:rsidRPr="00A90898">
        <w:rPr>
          <w:i/>
        </w:rPr>
        <w:t>ex Constitutione</w:t>
      </w:r>
      <w:r>
        <w:t>, con términos trasladables aquí respecto de previsiones legales relativas a la renovación de este mismo Tribunal Constitucional (SSTC 49/2008, FFJJ 7 y 19, y 101/2008, de 24 de julio, FFJJ 8 y 9).</w:t>
      </w:r>
    </w:p>
    <w:p w:rsidR="00A90898" w:rsidRDefault="00A90898" w:rsidP="00A90898">
      <w:pPr>
        <w:pStyle w:val="TextoNormal"/>
      </w:pPr>
    </w:p>
    <w:p w:rsidR="00A90898" w:rsidRDefault="00A90898" w:rsidP="00A90898">
      <w:pPr>
        <w:pStyle w:val="TextoNormal"/>
      </w:pPr>
      <w:r>
        <w:t xml:space="preserve">c) A partir de la premisa anterior, no le asiste razón jurídica a la demanda cuando reprocha al art. 570.1 haber propiciado una renovación “parcial” del Consejo no prevista en la Constitución. Lo que los demandantes llaman renovación “parcial” del órgano no es otra cosa, en el precepto impugnado, que una previsión –subsidiaria, reiteramos, de la regla general que establece la renovación íntegra- para el caso, que habría de ser rigurosamente excepcional, de que una Cámara esté en condiciones, pero no la otra, de cumplir su deber constitucional. Tachar de inconstitucional este precepto supone tanto como pretender, para la hipótesis que contempla, que el no cumplimiento </w:t>
      </w:r>
      <w:r w:rsidRPr="00A90898">
        <w:rPr>
          <w:i/>
        </w:rPr>
        <w:t>ratione temporis</w:t>
      </w:r>
      <w:r>
        <w:t xml:space="preserve"> de una Cámara arrastre y conlleve el de la que sí pueda, sin embargo, dar satisfacción al deber que pesa sobre ella, cuyo incumplimiento —así se colige de la demanda– se le habría de haber impuesto por el legislador.</w:t>
      </w:r>
    </w:p>
    <w:p w:rsidR="00A90898" w:rsidRDefault="00A90898" w:rsidP="00A90898">
      <w:pPr>
        <w:pStyle w:val="TextoNormal"/>
      </w:pPr>
    </w:p>
    <w:p w:rsidR="00A90898" w:rsidRDefault="00A90898" w:rsidP="00A90898">
      <w:pPr>
        <w:pStyle w:val="TextoNormal"/>
      </w:pPr>
      <w:r>
        <w:t xml:space="preserve">d) La misma falta de razón jurídica puede predicarse de la impugnación del art. 570.3 LOPJ. Para el supuesto de nombramiento tardío que prevé, este precepto atempera el mandato individual de los vocales extemporáneamente designados al de cinco años del Consejo ya constituido, pero tal prevención legislativa es la única que, en los términos de la Ley Orgánica 4/2013, garantiza que el Consejo General del Poder Judicial se renueve, para lo sucesivo, en su integridad (artículo 568.1), regla ésta que —se reitera— no merece reproche constitucional alguno y que quedaría desplazada si los vocales nombrados fuera de plazo por una Cámara se mantuvieran en el cargo (al margen ahora la </w:t>
      </w:r>
      <w:r w:rsidRPr="00A90898">
        <w:rPr>
          <w:i/>
        </w:rPr>
        <w:t>prorogatio</w:t>
      </w:r>
      <w:r>
        <w:t xml:space="preserve"> de los números 1 y 2 del artículo 570) por un tiempo superior al del mandato colegiado del Consejo. Reiterando lo ya razonado con anterioridad, en modo alguno cabe postular que la ordenación por la norma fundamental de los órganos constitucionales sea siempre, en todos sus extremos, </w:t>
      </w:r>
      <w:r>
        <w:lastRenderedPageBreak/>
        <w:t xml:space="preserve">exhaustiva y, en cuanto tal, excluyente de todo margen de configuración e integración por reglas de rango inferior. Que esto no es necesariamente así lo hemos venido apreciando desde nuestros pronunciamientos iniciales en la materia (STC 40/1981, de 18 de diciembre, FJ 3). Y ahora es preciso observar, con igual fundamento, que el legislador dispone de margen de libertad, como aquí ha hecho, para atender a eventualidades que, por anómalas o atípicas que sean, pueden llegar a verificarse y que no fueron objeto de expresa prevención por la norma fundamental. Una previsión de este género es la que dispuso, y establece aún, que los vocales nombrados como sustitutos de los inicialmente designados no se mantengan en el cargo más allá del mandato que corresponde al órgano como tal (art. 11, </w:t>
      </w:r>
      <w:r w:rsidRPr="00A90898">
        <w:rPr>
          <w:i/>
        </w:rPr>
        <w:t>in fine</w:t>
      </w:r>
      <w:r>
        <w:t>, de la derogada Ley Orgánica 1/1980 y art. 571.2 del vigente texto LOPJ).</w:t>
      </w:r>
    </w:p>
    <w:p w:rsidR="00A90898" w:rsidRDefault="00A90898" w:rsidP="00A90898">
      <w:pPr>
        <w:pStyle w:val="TextoNormal"/>
      </w:pPr>
    </w:p>
    <w:p w:rsidR="00A90898" w:rsidRDefault="00A90898" w:rsidP="00A90898">
      <w:pPr>
        <w:pStyle w:val="TextoNormal"/>
      </w:pPr>
      <w:r>
        <w:t>En sus apartados 1 y 3, en definitiva, el art. 570 LOPJ ha conciliado la realización por cada Cámara del deber de designación que la Constitución le impone con la previsión legal, conforme también a la Constitución, de que el Consejo se renueve “en su totalidad” (artículo 568.1). Nada hay que objetar, en términos jurídico-constitucionales, a la opción legislativa que así busca paliar los efectos de una eventual anomalía, opción que por lo demás, y como es evidente, no habría de librar de censura ni de convertir en constitucionalmente correcta, llegado el caso, cualquier hipotética relajación de las Cámaras en el cumplimiento diligente de sus respectivos deberes de propuesta.</w:t>
      </w:r>
    </w:p>
    <w:p w:rsidR="00A90898" w:rsidRDefault="00A90898" w:rsidP="00A90898">
      <w:pPr>
        <w:pStyle w:val="TextoNormal"/>
      </w:pPr>
    </w:p>
    <w:p w:rsidR="00A90898" w:rsidRDefault="00A90898" w:rsidP="00A90898">
      <w:pPr>
        <w:pStyle w:val="TextoNormal"/>
      </w:pPr>
      <w:r w:rsidRPr="00A90898">
        <w:rPr>
          <w:rStyle w:val="NumeroAFNegritaCaracter"/>
        </w:rPr>
        <w:t>9</w:t>
      </w:r>
      <w:r>
        <w:t>. Han sido impugnados, igualmente, los arts. 579.1 y 580.1 LOPJ. Dispone el primero de estos preceptos que “[l]os Vocales del Consejo General del Poder Judicial, salvo los que integren la Comisión Permanente, permanecerán en servicio activo si pertenecen a la carrera judicial o a algún cuerpo de funcionarios, y seguirán desempeñando su actividad profesional si son abogados, procuradores de los Tribunales o ejercen cualquier otra profesión liberal”. El art. 580.1 prescribe, por su parte, que “[e]l ejercicio de la función de Vocal del Consejo General del Poder Judicial será incompatible con cualquier otro cargo público, electivo o no electivo, con la sola excepción en su caso del servicio en el cuerpo a que pertenezcan”. Aducen los recurrentes que estas normas son contrarias al art. 127.1 CE, junto al que también citan, de modo incidental, los apartados 3 y 4 del artículo 117 de la misma norma fundamental. A este contraste entre normas, legales y constitucionales, se añaden algunos genéricos reproches al así previsto “ejercicio a tiempo parcial del cargo de Vocal”. Señalan también, en fin, que la compatibilidad entre la función jurisdiccional y la del vocal del Consejo expone al juez o magistrado a la posibilidad de “ser sometido a presiones ilícitas por la vía de los hechos”. El Abogado del Estado se opone también a esta impugnación. Tras citar pasajes al respecto del preámbulo de esta Ley Orgánica, destaca que la norma constitucional que prohíbe a jueces y magistrados, mientras estén en activo, el desempeño de otros cargos públicos (art. 127.1 CE) estaría claramente referida a cargos que estén “fuera del ámbito judicial” y que incluso el Presidente del Tribunal Supremo ejerce tanto funciones gubernativas como jurisdiccionales, circunstancia que también se da respecto de las salas de gobierno de los Tribunales. Observa el Abogado del Estado que el riesgo de un “uso indebido de la condición de Vocal” no puede evitarse, aunque sí minimizarse, a cuyo efecto cita lo previsto en el art. 580 LOPJ en punto a causas de abstención y recusación de los vocales del Consejo y a la prohibición de invocar o hacer uso de su condición de tales en el ejercicio de su profesión.</w:t>
      </w:r>
    </w:p>
    <w:p w:rsidR="00A90898" w:rsidRDefault="00A90898" w:rsidP="00A90898">
      <w:pPr>
        <w:pStyle w:val="TextoNormal"/>
      </w:pPr>
    </w:p>
    <w:p w:rsidR="00A90898" w:rsidRDefault="00A90898" w:rsidP="00A90898">
      <w:pPr>
        <w:pStyle w:val="TextoNormal"/>
      </w:pPr>
      <w:r>
        <w:t xml:space="preserve">Sin entrar a rebatir las censuras genéricas frente a la organización interna del Consejo General del Poder Judicial definida por la Ley Orgánica 4/2013, y centrando la atención en </w:t>
      </w:r>
      <w:r>
        <w:lastRenderedPageBreak/>
        <w:t>la previsión de los preceptos impugnados en orden a que los vocales que no sean miembros de la Comisión Permanente puedan compatibilizar su condición de tales con la permanencia en activo en su carrera o cuerpo de origen o con el ejercicio, en general, de su profesión respectiva, es preciso destacar que el art. 122.2 CE nada predetermina al respecto, de modo que, en principio, estaríamos ante una opción legítima del legislador, al que aquel precepto constitucional remite para ordenar el “estatuto” del Consejo y el “régimen de incompatibilidades de sus miembros y sus funciones”. Con todo, este legislador se halla sujeto no ya sólo al mentado art. 122.2 CE, sino a la norma fundamental en su conjunto, de modo que lo que procede ahora determinar es si los arts. 579.1 y 580.1 LOPJ han vulnerado, como los recurrentes dicen, lo establecido en el art. 127.1 CE, con arreglo a cuyo primer inciso “[l]os Jueces y Magistrados, así como los Fiscales, mientras se hallen en activo, no podrán desempeñar otros cargos públicos”. Este es el precepto que de modo principal, como se dijo, los demandantes invocan y el que, en todo caso, resultaría aquí de referencia, dirigido como está a ordenar un aspecto del estatuto de jueces y magistrados en garantía de su independencia y en preservación de su imparcialidad. Independencia e imparcialidad al servicio de la que también está, ciertamente, la previsión, asimismo citada en el recurso, de que los juzgados y tribunales no ejercerán más funciones que las jurisdiccionales y aquellas otras que expresamente les sean atribuidas por ley en garantía de cualquier derecho (artículo 117.4), por más que esta última norma parta de una perspectiva orgánica (“Juzgados y Tribunales”), vinculada, como hemos dicho, a la “separación de poderes” (STC 108/1986, FJ 6) y no tenga por objeto directo, en consecuencia, el estatuto constitucional de los titulares del Poder Judicial, que es el que habría resultado conculcado, a decir de la demanda, por estos preceptos legales.</w:t>
      </w:r>
    </w:p>
    <w:p w:rsidR="00A90898" w:rsidRDefault="00A90898" w:rsidP="00A90898">
      <w:pPr>
        <w:pStyle w:val="TextoNormal"/>
      </w:pPr>
    </w:p>
    <w:p w:rsidR="00A90898" w:rsidRDefault="00A90898" w:rsidP="00A90898">
      <w:pPr>
        <w:pStyle w:val="TextoNormal"/>
      </w:pPr>
      <w:r>
        <w:t xml:space="preserve">Tal conculcación, sin embargo, no se ha producido. Como con pertinencia observa el Abogado del Estado, la prohibición </w:t>
      </w:r>
      <w:r w:rsidRPr="00A90898">
        <w:rPr>
          <w:i/>
        </w:rPr>
        <w:t>ex</w:t>
      </w:r>
      <w:r>
        <w:t xml:space="preserve"> art. 127.1 CE de que Jueces y Magistrados, mientras estén en servicio activo, no desempeñen otros cargos públicos está dirigida, inequívocamente, a cargos ajenos al ámbito propiamente judicial, condición que no se da, como es obvio, en la de vocal del Consejo General del Poder Judicial, órgano no jurisdiccional, desde luego, pero al que corresponde, por ministerio de la Constitución, el gobierno, precisamente, del Poder Judicial (art. 122.2 CE). La prohibición del repetido art. 127.1 CE no alcanza a los cargos y funciones que se integran y se ejercen en el ámbito judicial y, específicamente, en el de su gobierno. Así lo confirma el que la propia Constitución ha querido que sea miembro del Consejo, con la condición de presidente del mismo, el Presidente del Tribunal Supremo, esto es, del “órgano jurisdiccional superior en todos los órdenes, salvo lo dispuesto en materia de garantías constitucionales” (art. 123.1 CE). Iría contra un elemental principio de interpretación sistemática de la Constitución, en otras palabras, el que se pretendiera derivar de uno de sus preceptos (artículo 127.1) una interdicción genérica que colisionaría, sin embargo, con lo que la Constitución impone -no ya permite- para un caso ciertamente singular (el Presidente del Tribunal Supremo que lo es, al tiempo, del Consejo), pero en el que concurriría la misma razón material de incompatibilidad que los recurrentes aducen.</w:t>
      </w:r>
    </w:p>
    <w:p w:rsidR="00A90898" w:rsidRDefault="00A90898" w:rsidP="00A90898">
      <w:pPr>
        <w:pStyle w:val="TextoNormal"/>
      </w:pPr>
    </w:p>
    <w:p w:rsidR="00A90898" w:rsidRDefault="00A90898" w:rsidP="00A90898">
      <w:pPr>
        <w:pStyle w:val="TextoNormal"/>
      </w:pPr>
      <w:r>
        <w:t xml:space="preserve">Los Magistrados y Jueces en activo que sean al tiempo vocales del Consejo General del Poder Judicial pueden encontrarse sin duda —como los que ejerzan gobierno en juzgados y tribunales (art. 122.1 CE)— ante situaciones que lleguen a determinar, por el ejercicio de esa diversidad de funciones, su abstención o que puedan justificar su recusación (al respecto, STC 5/2004, de 16 de enero, FJ 4); pero ello nada dice en contra de la constitucionalidad de </w:t>
      </w:r>
      <w:r>
        <w:lastRenderedPageBreak/>
        <w:t>la norma legal que consiente compatibilizar, sin lesión del art. 127.1 CE, el ejercicio de la jurisdicción con otras funciones consustanciales al ámbito propiamente judicial. Haber optado por esa compatibilidad para algunos de los vocales del Consejo es una opción que corresponde, de nuevo, a la libre disposición del legislador orgánico y que, aunque pueda suscitar polémicas políticas o de oportunidad, no merece censura constitucional.</w:t>
      </w:r>
    </w:p>
    <w:p w:rsidR="00A90898" w:rsidRDefault="00A90898" w:rsidP="00A90898">
      <w:pPr>
        <w:pStyle w:val="TextoNormal"/>
      </w:pPr>
    </w:p>
    <w:p w:rsidR="00A90898" w:rsidRDefault="00A90898" w:rsidP="00A90898">
      <w:pPr>
        <w:pStyle w:val="TextoNormal"/>
      </w:pPr>
      <w:r>
        <w:t>Los artículos 579.1 y 580.1 no son, en suma, inconstitucionales por las razones expuestas en el recurso.</w:t>
      </w:r>
    </w:p>
    <w:p w:rsidR="00A90898" w:rsidRDefault="00A90898" w:rsidP="00A90898">
      <w:pPr>
        <w:pStyle w:val="TextoNormal"/>
      </w:pPr>
    </w:p>
    <w:p w:rsidR="00A90898" w:rsidRDefault="00A90898" w:rsidP="00A90898">
      <w:pPr>
        <w:pStyle w:val="TextoNormal"/>
      </w:pPr>
      <w:r w:rsidRPr="00A90898">
        <w:rPr>
          <w:rStyle w:val="NumeroAFNegritaCaracter"/>
        </w:rPr>
        <w:t>10</w:t>
      </w:r>
      <w:r>
        <w:t>. También se impugnan los arts. 590 y 591.1 LOPJ. Dispone el primero de estos preceptos que el Vicepresidente del Tribunal Supremo (elegido, a propuesta del Presidente, por el pleno del Consejo, que podrá cesarlo “por causa justificada”: artículo 589) “ejercerá, en funciones, el cargo de Presidente del Tribunal Supremo y del Consejo General del Poder Judicial en los casos legalmente previstos de cese anticipado del Presidente y hasta el nombramiento de un nuevo Presidente”. Conforme al artículo 591.1, “[e]l Vicepresidente prestará al Presidente del Tribunal Supremo y del Consejo General del Poder Judicial la colaboración necesaria para el adecuado cumplimiento de sus funciones. A estos efectos, le sustituirá en los supuestos de vacante, ausencia, enfermedad u otro motivo legítimo”. Entienden los diputados recurrentes que los preceptos transcritos son inconstitucionales por contrarios al art. 122.3 CE, en la medida en que establecen que quien no es miembro del Consejo General del Poder Judicial conforme a la citada norma constitucional, como no lo es el Vicepresidente del Tribunal Supremo, pueda, sin embargo, pasar a presidirlo, por vía de sustitución del Presidente, en los supuestos previstos en las disposiciones legales transcritas. Esta censura de inconstitucionalidad ha sido contradicha, en los términos expuestos en los antecedentes, por el Abogado del Estado.</w:t>
      </w:r>
    </w:p>
    <w:p w:rsidR="00A90898" w:rsidRDefault="00A90898" w:rsidP="00A90898">
      <w:pPr>
        <w:pStyle w:val="TextoNormal"/>
      </w:pPr>
    </w:p>
    <w:p w:rsidR="00A90898" w:rsidRDefault="00A90898" w:rsidP="00A90898">
      <w:pPr>
        <w:pStyle w:val="TextoNormal"/>
      </w:pPr>
      <w:r>
        <w:t>Toda vez que los recurrentes contraen su impugnación a las previsiones legales relativas a la sustitución del Presidente del Tribunal Supremo y del Consejo General del Poder Judicial en la presidencia de este último órgano, la impugnación se ha de entender acotada, respecto del artículo 590, a la alusión relativa al Consejo (“y del Consejo General del Poder Judicial”) y, en lo que se refiere al artículo 591.1, al segundo inciso de su enunciado, en el que, implícita, pero inequívocamente, se prevé que al titular de la vicepresidencia le corresponderá presidir el Consejo, en sustitución del Presidente, en los supuestos de vacante, ausencia, enfermedad u otro motivo legítimo. El Tribunal no puede compartir los motivos de esta impugnación.</w:t>
      </w:r>
    </w:p>
    <w:p w:rsidR="00A90898" w:rsidRDefault="00A90898" w:rsidP="00A90898">
      <w:pPr>
        <w:pStyle w:val="TextoNormal"/>
      </w:pPr>
    </w:p>
    <w:p w:rsidR="00A90898" w:rsidRDefault="00A90898" w:rsidP="00A90898">
      <w:pPr>
        <w:pStyle w:val="TextoNormal"/>
      </w:pPr>
      <w:r>
        <w:t xml:space="preserve">Ninguna duda puede haber, desde luego, sobre la posibilidad constitucional de que la Ley Orgánica del Poder Judicial haya creado la figura del Vicepresidente del Tribunal Supremo. Tampoco acerca de que la misma Ley Orgánica prevea, como así hace, que al titular del nuevo cargo le corresponda, entre otros cometidos, la sustitución, cuando legalmente proceda, del Presidente del Tribunal Supremo o, como dice el artículo 590, el ejercicio “en funciones”, en tales hipótesis, de este último cargo. Siendo una y otra opciones legítimas que ha adoptado libremente el legislador, importa recordar que el Presidente del Tribunal Supremo lo es, también, del Consejo (art. 122.3 CE) o, en palabras del art. 597 LOPJ, que “[l]a Presidencia del Tribunal Supremo y del Consejo General del Poder Judicial es una función inherente al cargo de Presidente del Tribunal Supremo”. Por todo ello, ninguna vulneración de la Constitución es de apreciar en que el legislador haya dispuesto que la sustitución del Presidente del Tribunal Supremo por el Vicepresidente del mismo lo será, </w:t>
      </w:r>
      <w:r>
        <w:lastRenderedPageBreak/>
        <w:t xml:space="preserve">cuando proceda, no sólo para el Tribunal Supremo, sino también para el Consejo General, manteniendo así —en opción tal vez no única, pero constitucionalmente inobjetable— la conjunción en un solo titular, para casos de sustitución, de la presidencia de uno y otro órgano, conjunción que, en general, ha querido la Constitución, como decimos, en su art. 122.3. Arguyen los recurrentes que con ello la norma lleva a presidir el Consejo General del Poder Judicial a quien, como el Vicepresidente del Tribunal Supremo, no es, conforme al precepto constitucional recién citado, miembro del propio Consejo, pero esta apreciación parte de un error conceptual sobre lo que la sustitución implica. La relación de sustitución no supone, en Derecho público, que las competencias de un determinado órgano (aquí, la presidencia del Tribunal Supremo) sean ejercidas por otro (la vicepresidencia del propio Tribunal, en lo que ahora hace al caso), sino que el titular de cierto órgano pase a serlo también, por llamamiento legal, de otro órgano distinto, a cuyo titular </w:t>
      </w:r>
      <w:r w:rsidRPr="00A90898">
        <w:rPr>
          <w:i/>
        </w:rPr>
        <w:t>quoad titulum</w:t>
      </w:r>
      <w:r>
        <w:t xml:space="preserve"> originario sustituye, de modo tal que quien viene llamado por ley a sustituir es, en tanto lo haga, titular en funciones, </w:t>
      </w:r>
      <w:r w:rsidRPr="00A90898">
        <w:rPr>
          <w:i/>
        </w:rPr>
        <w:t>quoad exertitium</w:t>
      </w:r>
      <w:r>
        <w:t xml:space="preserve">, del órgano cuyas competencias ejerce temporal o circunstancialmente. Algo en este sentido señalamos ya, por lo que hace a cierta discusión sobre la legitimación para interponer el recurso de inconstitucionalidad, en la STC 71/2014, de 6 de mayo (FJ 2), y no otra cosa cabe ahora apreciar, por cuanto queda dicho, ante la argumentación que sustenta la impugnación de estos preceptos legales. En la hipótesis, prevista en ellos, de que el Presidente del Tribunal Supremo y del Consejo General del Poder Judicial deba ser sustituido </w:t>
      </w:r>
      <w:r w:rsidRPr="00A90898">
        <w:rPr>
          <w:i/>
        </w:rPr>
        <w:t>pro tempore</w:t>
      </w:r>
      <w:r>
        <w:t xml:space="preserve"> en el ejercicio de uno y otro cargo, la presidencia del Consejo la ejercerá el Vicepresidente del Tribunal Supremo no bajo esta condición, sino a título de Presidente en funciones del propio Tribunal Supremo y también del Consejo; esto es, con la condición indubitada de miembro de este último órgano. Como otras normas y para otras instituciones, la Ley Orgánica dispone aquí, en suma, dos modos, ordinario y extraordinario, de ser titular de la presidencia, y por tanto miembro, del Consejo General del Poder Judicial: por elección y a tiempo cierto o determinable, en el primer caso, y por llamamiento legal, y en tanto surjan y se mantengan determinadas circunstancias, en el segundo.</w:t>
      </w:r>
    </w:p>
    <w:p w:rsidR="00A90898" w:rsidRDefault="00A90898" w:rsidP="00A90898">
      <w:pPr>
        <w:pStyle w:val="TextoNormal"/>
      </w:pPr>
    </w:p>
    <w:p w:rsidR="00A90898" w:rsidRDefault="00A90898" w:rsidP="00A90898">
      <w:pPr>
        <w:pStyle w:val="TextoNormal"/>
      </w:pPr>
      <w:r>
        <w:t>Basta con lo dicho para excluir la tacha de inconstitucionalidad opuesta frente a estos preceptos, sin que sea ya preciso, por lo demás, poner especial énfasis en la distinción entre la concreta controversia constitucional que así queda resuelta y la suscitada en el caso al que puso fin la STC 103/2013, de 25 de abril, resolución que los recurrentes han invocado en apoyo de su pretensión. Se trató en aquel supuesto (FJ 6) de hacer valer y garantizar al principio representativo en la conformación legal de los órganos de las corporaciones locales (art. 140 CE), pero el Consejo General del Poder Judicial no es órgano de representación. No lo es, desde luego, del Poder Judicial (SSTC 45/1986, FJ 5, y 108/1986, FJ 9) y tampoco su Presidente representa a los vocales del órgano, sino al órgano mismo (art. 598.1 LOPJ).</w:t>
      </w:r>
    </w:p>
    <w:p w:rsidR="00A90898" w:rsidRDefault="00A90898" w:rsidP="00A90898">
      <w:pPr>
        <w:pStyle w:val="TextoNormal"/>
      </w:pPr>
    </w:p>
    <w:p w:rsidR="00A90898" w:rsidRDefault="00A90898" w:rsidP="00A90898">
      <w:pPr>
        <w:pStyle w:val="TextoNormal"/>
      </w:pPr>
      <w:r w:rsidRPr="00A90898">
        <w:rPr>
          <w:rStyle w:val="NumeroAFNegritaCaracter"/>
        </w:rPr>
        <w:t>11</w:t>
      </w:r>
      <w:r>
        <w:t>. Como ya se dejó constancia (FJ 2 B), la demanda pide en su súplica la declaración de inconstitucionalidad, indiferenciadamente, del art. 599 LOPJ. No obstante, en el cuerpo del propio escrito sólo se individualiza y fundamenta esa pretensión por referencia a los apartados 1, 3 y 4 del referido pasaje legal, de tal modo que nuestro enjuiciamiento habría de ceñirse a estas concretas previsiones legales, impugnadas, alega la demanda, “en relación” con lo dispuesto en el art. 600.4 de la misma LOPJ.</w:t>
      </w:r>
    </w:p>
    <w:p w:rsidR="00A90898" w:rsidRDefault="00A90898" w:rsidP="00A90898">
      <w:pPr>
        <w:pStyle w:val="TextoNormal"/>
      </w:pPr>
    </w:p>
    <w:p w:rsidR="00A90898" w:rsidRDefault="00A90898" w:rsidP="00A90898">
      <w:pPr>
        <w:pStyle w:val="TextoNormal"/>
      </w:pPr>
      <w:r>
        <w:lastRenderedPageBreak/>
        <w:t xml:space="preserve">Los apartados impugnados del artículo 599 se refieren a diferentes competencias del pleno del Consejo, por más que no sean las competencias mismas objeto de censura constitucional en el recurso, sino el régimen de mayorías para la adopción por el Pleno de las correspondientes decisiones, ello en relación, según la demanda, con el </w:t>
      </w:r>
      <w:r w:rsidRPr="00A90898">
        <w:rPr>
          <w:i/>
        </w:rPr>
        <w:t>quorum</w:t>
      </w:r>
      <w:r>
        <w:t xml:space="preserve"> requerido por el artículo 600.4. Tales decisiones son la propuesta de nombramiento, por mayoría de tres quintos, de dos Magistrados del Tribunal Constitucional (apartado 1); el nombramiento, “en los términos previstos por esta Ley Orgánica”, del Vicepresidente del Tribunal Supremo, del Secretario General y del Vicesecretario General del Consejo General del Poder Judicial (apartado 3) y, en fin, todos los nombramientos o propuestas de nombramientos y promociones que impliquen, dice la norma, “algún margen de discrecionalidad o apreciación de méritos” (apartado 4).</w:t>
      </w:r>
    </w:p>
    <w:p w:rsidR="00A90898" w:rsidRDefault="00A90898" w:rsidP="00A90898">
      <w:pPr>
        <w:pStyle w:val="TextoNormal"/>
      </w:pPr>
    </w:p>
    <w:p w:rsidR="00A90898" w:rsidRDefault="00A90898" w:rsidP="00A90898">
      <w:pPr>
        <w:pStyle w:val="TextoNormal"/>
      </w:pPr>
      <w:r>
        <w:t>Salvo en el apartado 1, ninguno de estos preceptos hace referencia a las mayorías necesarias para la adopción por el Pleno de las correspondientes decisiones, de manera que la controversia que a este respecto introducen los recurrentes sólo puede entenderse si se tiene presente que el no impugnado artículo 630.1 dispone, en lo que ahora importa, que los acuerdos de los órganos colegiados del Consejo General del Poder Judicial serán adoptados por mayoría simple de los miembros presentes, “salvo cuando esta Ley Orgánica disponga otra cosa”, y que, respecto de los acuerdos a los que se refieren los apartados 3 y 4 del artículo 599, antes mencionado, tan sólo prevé la Ley Orgánica del Poder Judicial una mayoría cualificada para el nombramiento por el Pleno del Vicepresidente del Tribunal Supremo (mayoría “absoluta”, conforme al artículo 589.2). Los preceptos así controvertidos lo son pues “en relación”, según la demanda, con el artículo 600.4, de conformidad con el cual para la válida constitución del Pleno será siempre necesaria, “como mínimo”, la presencia de diez vocales y del Presidente, con la sola excepción de lo dispuesto en el apartado 3 del mismo artículo 600, que exige la presencia de, al menos, doce de los miembros del Consejo para esa válida constitución en la sesión en la que se haya de proceder a la elección del Presidente del Tribunal Supremo y del propio Consejo General del Poder Judicial.</w:t>
      </w:r>
    </w:p>
    <w:p w:rsidR="00A90898" w:rsidRDefault="00A90898" w:rsidP="00A90898">
      <w:pPr>
        <w:pStyle w:val="TextoNormal"/>
      </w:pPr>
    </w:p>
    <w:p w:rsidR="00A90898" w:rsidRDefault="00A90898" w:rsidP="00A90898">
      <w:pPr>
        <w:pStyle w:val="TextoNormal"/>
      </w:pPr>
      <w:r>
        <w:t>Afirman los recurrentes, sin ulterior precisión al respecto, que los preceptos legales así impugnados vulneran lo dispuesto en el art. 122.2 CE. Sostienen asimismo que, al prescindir la Ley Orgánica de “las mayorías reforzadas de tres quintos” y de la presencia de catorce de los miembros del Consejo para la válida constitución del Pleno (presencia, recuerdan, requerida por el derogado art. 129 LOPJ), se “afecta directamente al necesario pluralismo defendido por nuestro texto constitucional”, a cuyo efecto citan el art. 1.1 de la norma fundamental. Para la demanda, en conclusión, la propuesta de nombramiento de los Magistrados del Tribunal Supremo y de otros “altos cargos judiciales” debe “realizarse con la mayoría reforzada de tres quintos sobre el total de miembros del Consejo, con la finalidad de preservar el pluralismo en el seno de la organización judicial y armonizar los requisitos de designación de los miembros de los Tribunales que culminan el Estado Constitucional de Derecho”. El Abogado del Estado, como en los antecedentes se expuso, se opone a la pretensión de inconstitucionalidad y observa, al hacerlo, que la exigencia de una u otra mayoría reforzada no plantea problema de constitucionalidad. El Tribunal no puede hacer suyos los argumentos de la demanda.</w:t>
      </w:r>
    </w:p>
    <w:p w:rsidR="00A90898" w:rsidRDefault="00A90898" w:rsidP="00A90898">
      <w:pPr>
        <w:pStyle w:val="TextoNormal"/>
      </w:pPr>
    </w:p>
    <w:p w:rsidR="00A90898" w:rsidRDefault="00A90898" w:rsidP="00A90898">
      <w:pPr>
        <w:pStyle w:val="TextoNormal"/>
      </w:pPr>
      <w:r>
        <w:t xml:space="preserve">Nada dice el invocado art. 122.2 CE, en primer lugar, sobre el régimen de adopción de acuerdos por el Consejo General del Poder Judicial y por sus órganos de decisión, extremo que queda confiado a la ley orgánica a la que el precepto remite y que el legislador, por ello, </w:t>
      </w:r>
      <w:r>
        <w:lastRenderedPageBreak/>
        <w:t xml:space="preserve">puede regular de acuerdo con las opciones de política legislativa que en cada caso asuma como más convenientes u oportunas. Ningún reproche de constitucionalidad merece, en consecuencia, que el artículo 600.4 haya fijado en once miembros del Consejo —mayoría, pues, de sus integrantes— el </w:t>
      </w:r>
      <w:r w:rsidRPr="00A90898">
        <w:rPr>
          <w:i/>
        </w:rPr>
        <w:t>quorum</w:t>
      </w:r>
      <w:r>
        <w:t xml:space="preserve"> general para la válida constitución del Pleno, sustituyendo así la regla que antes exigía, a tales efectos, la presencia de 14 miembros del órgano. Tampoco la Constitución enuncia previsión sobre las mayorías, simples o cualificadas, mediante las que, en unos casos y otros, deba ejercer el Pleno del Consejo General del Poder Judicial sus competencias ni sobre el </w:t>
      </w:r>
      <w:r w:rsidRPr="00A90898">
        <w:rPr>
          <w:i/>
        </w:rPr>
        <w:t>quorum</w:t>
      </w:r>
      <w:r>
        <w:t xml:space="preserve"> para la válida constitución del órgano. No lo hace, en general, en el artículo 122.2 y tampoco, por lo que se refiere al impugnado apartado 1 del art. 599 LOPJ, en su art. 159.1 </w:t>
      </w:r>
      <w:r w:rsidRPr="00A90898">
        <w:rPr>
          <w:i/>
        </w:rPr>
        <w:t>in fine</w:t>
      </w:r>
      <w:r>
        <w:t>. De nuevo aquí son libres las Cortes Generales para orientarse según criterios de política legislativa ajenos a nuestro control, sin que la regulación de la legislación derogada, invocada en algún punto de la demanda pueda ser tomada como pauta para el enjuiciamiento de la vigente. Como dijimos en la STC 238/2012, “la mayoría exigida para proceder a los nombramientos queda a criterio del legislador orgánico, sin que la opción por una u otra mayoría pueda considerarse contraria a la Constitución” (FJ 7). La demanda invoca en pro de su pretensión algún pasaje de la Sentencia recién citada, en el que fundamentamos la no inconstitucionalidad de determinadas mayorías reforzadas para el ejercicio por el Pleno del Consejo de algunas de sus competencias; debiera ser claro, sin embargo, que la no contradicción con la Constitución, apreciada entonces por este Tribunal, de una concreta disposición de ley no conlleva, en modo alguno, la afirmación implícita de que tal disposición fuera, con radical supresión de la libertad del legislador, la única opción que la Constitución consienta.</w:t>
      </w:r>
    </w:p>
    <w:p w:rsidR="00A90898" w:rsidRDefault="00A90898" w:rsidP="00A90898">
      <w:pPr>
        <w:pStyle w:val="TextoNormal"/>
      </w:pPr>
    </w:p>
    <w:p w:rsidR="00A90898" w:rsidRDefault="00A90898" w:rsidP="00A90898">
      <w:pPr>
        <w:pStyle w:val="TextoNormal"/>
      </w:pPr>
      <w:r>
        <w:t>Invocan, en fin, los recurrentes, con cita del art. 1.1 CE, el “necesario pluralismo defendido por nuestro texto constitucional”, lo que exigiría las mayorías cualificadas o reforzadas que echan en falta en las normas que impugnan. No es sin embargo el Consejo, por cuanto quedó recordado en el fundamento jurídico 5, un órgano que deba organizarse conforme al pluralismo político que proclama como valor superior del Ordenamiento aquel precepto constitucional. Tampoco cabría, por lo mismo, argumentar en Derecho sobre la base de la existencia en su seno de mayorías y de minorías preconstituidas, protegidas las segundas por unas reglas reforzadas para la adopción de decisiones que serían supuestamente obligadas. Tal modo de razonar podría ser el adecuado, en su caso, para exigir o explicar el establecimiento de aquellas mayorías cualificadas, ante hipótesis muy determinadas, en órganos de representación política y, en particular, en las asambleas legislativas (STC 179/1989, de 2 de noviembre, FJ 7). Pero no es el Consejo General del Poder Judicial, cabe reiterar, institución de representación, sino de garantía.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Entender que el artículo 564 de la Ley Orgánica del Poder Judicial es constitucional interpretado de conformidad con lo razonado en el fundamento jurídico 6.</w:t>
      </w:r>
    </w:p>
    <w:p w:rsidR="00A90898" w:rsidRDefault="00A90898" w:rsidP="00A90898">
      <w:pPr>
        <w:pStyle w:val="TextoNormal"/>
      </w:pPr>
    </w:p>
    <w:p w:rsidR="00A90898" w:rsidRDefault="00A90898" w:rsidP="00A90898">
      <w:pPr>
        <w:pStyle w:val="TextoNormal"/>
      </w:pPr>
      <w:r>
        <w:lastRenderedPageBreak/>
        <w:t>2º Desestimar el recurso en todo lo restante.</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1" w:name="SENTENCIA_2016_192"/>
      <w:r>
        <w:lastRenderedPageBreak/>
        <w:t>SENTENCIA 192/2016, de 16 de noviembre de 2016</w:t>
      </w:r>
    </w:p>
    <w:bookmarkEnd w:id="71"/>
    <w:p w:rsidR="00A90898" w:rsidRDefault="00A90898" w:rsidP="00A90898">
      <w:pPr>
        <w:pStyle w:val="TtuloResolucin"/>
      </w:pPr>
      <w:r>
        <w:t>Pleno</w:t>
      </w:r>
    </w:p>
    <w:p w:rsidR="00A90898" w:rsidRDefault="00A90898" w:rsidP="00A90898">
      <w:pPr>
        <w:pStyle w:val="TtuloBOE"/>
      </w:pPr>
      <w:r>
        <w:t>(BOE núm. 311, de 26 de diciembre de 2016)</w:t>
      </w:r>
    </w:p>
    <w:p w:rsidR="00A90898" w:rsidRDefault="00A90898" w:rsidP="00A90898">
      <w:pPr>
        <w:pStyle w:val="TextoNormalCentrado"/>
      </w:pPr>
      <w:r>
        <w:t>ECLI:ES:TC:2016:192</w:t>
      </w:r>
    </w:p>
    <w:p w:rsidR="00A90898" w:rsidRDefault="00A90898" w:rsidP="00A90898">
      <w:pPr>
        <w:pStyle w:val="TextoNormalCentrado"/>
      </w:pPr>
    </w:p>
    <w:p w:rsidR="00A90898" w:rsidRDefault="00A90898" w:rsidP="00A90898">
      <w:pPr>
        <w:pStyle w:val="SntesisDescriptiva"/>
      </w:pPr>
      <w:r>
        <w:t>Recurso de inconstitucionalidad 3859-2011. Interpuesto por el Presidente de Gobierno respecto de la Ley de las Cortes Valencianas 5/2011, de 1 de abril, de relaciones familiares de los hijos e hijas cuyos progenitores no conviven.</w:t>
      </w:r>
    </w:p>
    <w:p w:rsidR="00A90898" w:rsidRDefault="00A90898" w:rsidP="00A90898">
      <w:pPr>
        <w:pStyle w:val="SntesisDescriptiva"/>
      </w:pPr>
    </w:p>
    <w:p w:rsidR="00A90898" w:rsidRDefault="00A90898" w:rsidP="00A90898">
      <w:pPr>
        <w:pStyle w:val="SntesisAnaltica"/>
      </w:pPr>
      <w:r>
        <w:t>Competencia sobre Derecho civil: nulidad de la Ley autonómica dictada en materia no integrada en el acervo normativo o consuetudinario del Derecho civil histórico valenciano (STC 82/2016). Voto particular.</w:t>
      </w:r>
    </w:p>
    <w:p w:rsidR="00A90898" w:rsidRDefault="00A90898" w:rsidP="00A90898">
      <w:pPr>
        <w:pStyle w:val="SntesisAnaltica"/>
      </w:pPr>
    </w:p>
    <w:p w:rsidR="00A90898" w:rsidRDefault="00A90898" w:rsidP="00A90898">
      <w:pPr>
        <w:pStyle w:val="Extracto"/>
      </w:pPr>
      <w:r>
        <w:t>1.</w:t>
      </w:r>
      <w:r>
        <w:tab/>
        <w:t>La posible conexión entre los antiguos y derogados Furs del Reino de Valencia y las relaciones paterno-filiales reguladas en la Ley de las Cortes Valencianas controvertida en el presente recurso no resulta relevante, ya que lo que debe probarse es la pervivencia en el año 1978 de las costumbres que pudieran servir de punto de conexión [FJ 4].</w:t>
      </w:r>
    </w:p>
    <w:p w:rsidR="00A90898" w:rsidRDefault="00A90898" w:rsidP="00A90898">
      <w:pPr>
        <w:pStyle w:val="Extracto"/>
      </w:pPr>
    </w:p>
    <w:p w:rsidR="00A90898" w:rsidRDefault="00A90898" w:rsidP="00A90898">
      <w:pPr>
        <w:pStyle w:val="Extracto"/>
      </w:pPr>
      <w:r>
        <w:t>2.</w:t>
      </w:r>
      <w:r>
        <w:tab/>
        <w:t>El derecho consuetudinario es fuente del ordenamiento siempre que no sea contrario a la moral y al orden público, y que, en todo caso, su vigencia resulte acreditada (STC 82/2016) [FJ 4].</w:t>
      </w:r>
    </w:p>
    <w:p w:rsidR="00A90898" w:rsidRDefault="00A90898" w:rsidP="00A90898">
      <w:pPr>
        <w:pStyle w:val="Extracto"/>
      </w:pPr>
    </w:p>
    <w:p w:rsidR="00A90898" w:rsidRDefault="00A90898" w:rsidP="00A90898">
      <w:pPr>
        <w:pStyle w:val="Extracto"/>
      </w:pPr>
      <w:r>
        <w:t>3.</w:t>
      </w:r>
      <w:r>
        <w:tab/>
        <w:t>Cuando se invoca una norma consuetudinaria la comprobación de su pervivencia y de su aplicación a través del tiempo es una exigencia requerida de manera general en cualquier ámbito del ordenamiento jurídico, incluido el ámbito de los derechos civiles, ya sean forales o especiales, o ya se trate del derecho civil común. La acreditación de su existencia es el corolario del principio general según el cual únicamente las costumbres notorias están exentas de prueba [FJ 4].</w:t>
      </w:r>
    </w:p>
    <w:p w:rsidR="00A90898" w:rsidRDefault="00A90898" w:rsidP="00A90898">
      <w:pPr>
        <w:pStyle w:val="Extracto"/>
      </w:pPr>
    </w:p>
    <w:p w:rsidR="00A90898" w:rsidRDefault="00A90898" w:rsidP="00A90898">
      <w:pPr>
        <w:pStyle w:val="Extracto"/>
      </w:pPr>
      <w:r>
        <w:t>4.</w:t>
      </w:r>
      <w:r>
        <w:tab/>
        <w:t>El pronunciamiento de inconstitucionalidad no afectará a las situaciones jurídicas consolidadas, pues el Tribunal entiende que las decisiones adoptadas por los órganos judiciales durante la vigencia de la norma impugnada se fundaron en la recta aplicación del principio que rige esta materia que no es otro que el del beneficio y protección del interés del menor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3859-2011 promovido por el Presidente de Gobierno contra la totalidad de la Ley de la Comunitat Valenciana 5/2011, de 1 de abril, de relaciones familiares de los hijos e hijas cuyos progenitores no conviven. Han sido parte la Generalitat Valenciana y las Cortes Valencianas.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4 de julio de 2011, el Abogado del Estado, en nombre del Presidente del Gobierno, presentó escrito de interposición de recurso de inconstitucionalidad contra la Ley de las Cortes Valencianas 5/2011, de 1 de abril, de relaciones familiares de los hijos e hijas cuyos progenitores no conviven (en adelante Ley 5/2011).</w:t>
      </w:r>
    </w:p>
    <w:p w:rsidR="00A90898" w:rsidRDefault="00A90898" w:rsidP="00A90898">
      <w:pPr>
        <w:pStyle w:val="TextoNormal"/>
      </w:pPr>
    </w:p>
    <w:p w:rsidR="00A90898" w:rsidRDefault="00A90898" w:rsidP="00A90898">
      <w:pPr>
        <w:pStyle w:val="TextoNormal"/>
      </w:pPr>
      <w:r>
        <w:t xml:space="preserve">El escrito comienza aclarando que el recurso tiene por objeto la impugnación de la totalidad de la Ley antes mencionada por entender que la regulación contenida en la misma excede de las competencias para la conservación, modificación y desarrollo del derecho civil propio atribuidas a la Comunidad Autónoma de Valencia en el art. 49.1.2 de su Estatuto de Autonomía (en adelante, EAV), vulnerando con ello la competencia exclusiva del Estado sobre legislación civil </w:t>
      </w:r>
      <w:r w:rsidRPr="00A90898">
        <w:rPr>
          <w:i/>
        </w:rPr>
        <w:t>ex</w:t>
      </w:r>
      <w:r>
        <w:t xml:space="preserve"> art. 149.1.8 CE.</w:t>
      </w:r>
    </w:p>
    <w:p w:rsidR="00A90898" w:rsidRDefault="00A90898" w:rsidP="00A90898">
      <w:pPr>
        <w:pStyle w:val="TextoNormal"/>
      </w:pPr>
    </w:p>
    <w:p w:rsidR="00A90898" w:rsidRDefault="00A90898" w:rsidP="00A90898">
      <w:pPr>
        <w:pStyle w:val="TextoNormal"/>
      </w:pPr>
      <w:r>
        <w:t>Concretados los motivos, la Abogacía del Estado pasa a exponer los argumentos que le llevan a solicitar la declaración de inconstitucionalidad de la totalidad de la Ley 5/2011, subrayando que dadas las similitudes que este recurso presenta con el registrado con el núm. 9888-2007 contra la Ley valenciana 10/2007, de 20 de marzo, de régimen económico matrimonial valenciano la línea argumental debe ser idéntica:</w:t>
      </w:r>
    </w:p>
    <w:p w:rsidR="00A90898" w:rsidRDefault="00A90898" w:rsidP="00A90898">
      <w:pPr>
        <w:pStyle w:val="TextoNormal"/>
      </w:pPr>
    </w:p>
    <w:p w:rsidR="00A90898" w:rsidRDefault="00A90898" w:rsidP="00A90898">
      <w:pPr>
        <w:pStyle w:val="TextoNormal"/>
      </w:pPr>
      <w:r>
        <w:t>a) Se inicia recordando que la Ley de relaciones familiares de los hijos e hijas cuyos progenitores no conviven (Ley 5/2011), es el segundo paso que da la Comunidad Valenciana en la elaboración de un Código civil especial propio, que inició con la Ley de régimen económico matrimonial valenciano, también recurrida ante este Tribunal, con el expresado propósito de recuperar los antiguos fueros del histórico Reino de Valencia, desarrollarlos y adaptarlos a los valores y principios constitucionales. La diferencia que presenta este recurso frente a aquél es que, en este caso, ni siquiera consta que los antiguos fueros valencianos derogados en 1707 contuvieran una especialidad civil conexa con las materias objeto de la Ley 5/2011, por lo que difícilmente podría justificarse la subsistencia hasta nuestros días de una costumbre foral sobre la materia.</w:t>
      </w:r>
    </w:p>
    <w:p w:rsidR="00A90898" w:rsidRDefault="00A90898" w:rsidP="00A90898">
      <w:pPr>
        <w:pStyle w:val="TextoNormal"/>
      </w:pPr>
    </w:p>
    <w:p w:rsidR="00A90898" w:rsidRDefault="00A90898" w:rsidP="00A90898">
      <w:pPr>
        <w:pStyle w:val="TextoNormal"/>
      </w:pPr>
      <w:r>
        <w:t xml:space="preserve">Advierte el Abogado del Estado que, al igual que hizo con la Ley de régimen económico matrimonial valenciano, el legislador valenciano pretende amparar la recuperación de los antiguos fueros en el art. 49.1.2 EAV, en relación con el art. 7 y la disposición transitoria tercera del texto estatutario. Así, el preámbulo de esta Ley nuevamente expresa esa intención al señalar que en virtud de la reforma del Estatuto de Autonomía para la Comunidad Valenciana, llevada a cabo por la Ley Orgánica 1/2006, de 10 de abril, que supuso “un salto </w:t>
      </w:r>
      <w:r>
        <w:lastRenderedPageBreak/>
        <w:t>cualitativo en materia competencial, se atribuyó competencia exclusiva a la Generalitat, en el artículo 49.1.2 a), para la conservación, desarrollo y modificación del derecho civil foral valenciano. En el ejercicio de dicha competencia se aprobó la Ley 10/2007, de 20 de marzo, de la Generalitat, de Régimen Económico Matrimonial Valenciano, modificada por la Ley 8/2009, de 4 de noviembre, de la Generalitat, el primer paso en un camino cuya meta final es la elaboración de un futuro Código de derecho civil foral valenciano que englobe las distintas leyes que se promulguen”.</w:t>
      </w:r>
    </w:p>
    <w:p w:rsidR="00A90898" w:rsidRDefault="00A90898" w:rsidP="00A90898">
      <w:pPr>
        <w:pStyle w:val="TextoNormal"/>
      </w:pPr>
    </w:p>
    <w:p w:rsidR="00A90898" w:rsidRDefault="00A90898" w:rsidP="00A90898">
      <w:pPr>
        <w:pStyle w:val="TextoNormal"/>
      </w:pPr>
      <w:r>
        <w:t>El legislador valenciano da este segundo paso en la elaboración del futuro Código civil valenciano regulando lo que el Derecho civil de familia denomina “los efectos comunes a la nulidad, separación y divorcio” (arts. 90 y ss. del Código civil, en lo sucesivo CC) y más genéricamente algunos aspectos de las “relaciones paterno-filiales” (arts. 154 y ss. CC). Al igual que hacía la Ley de régimen económico matrimonial valenciano, la pretensión de la Ley de las Cortes Valencianas 5/2011 es desplazar en esta materia al Código civil, que quedaría como puro Derecho supletorio. En este mismo sentido, advierte que del contenido de la Ley 5/2011 resulta notorio que sería irrelevante el título competencial autonómico de “servicios sociales” en su proyección sobre los menores (contenido en los apartados 24, 25 y 27 del art. 49.1 EAV), pues se limita a regular las relaciones puramente privadas entre las partes en materia de Derecho de familia, sin establecer ninguna norma administrativa tutelar de menores que rija la relación de éstos con la Administración autonómica. Resulta, por tanto, claro, como así lo declara explícitamente el legislador autonómico, que el título preva1ente es el relativo a la legislación civil (SSTC 37/1981, 71/1982, 88/1986, 62/1991 y 14/1998).</w:t>
      </w:r>
    </w:p>
    <w:p w:rsidR="00A90898" w:rsidRDefault="00A90898" w:rsidP="00A90898">
      <w:pPr>
        <w:pStyle w:val="TextoNormal"/>
      </w:pPr>
    </w:p>
    <w:p w:rsidR="00A90898" w:rsidRDefault="00A90898" w:rsidP="00A90898">
      <w:pPr>
        <w:pStyle w:val="TextoNormal"/>
      </w:pPr>
      <w:r>
        <w:t xml:space="preserve">b) Para la Abogacía del Estado, la Ley de las Cortes Valencianas 5/2011 de nuevo rompe con la pacífica interpretación del art. 149.1.8 CE, en cuya virtud las comunidades autónomas sin derecho foral compilado sólo tienen competencia para legislar las costumbres derivadas de los antiguos fueros que hayan subsistido. Subraya cómo esta interpretación fue en su día aceptada por la Generalitat, concretamente, la primera vez que ejerció de forma inmediata la competencia sobre derecho civil con la Ley 6/1986, de 15 diciembre, de arrendamientos históricos valencianos, que ya su preámbulo reconoce que, tras la abolición del derecho foral por los Decretos de nueva planta, “en la práctica habitual y cotidiana quedaron al menos vestigios o retazos del antiguo régimen foral, en buena medida amparados por el sistema de libertad de pactos y de formas que históricamente ha caracterizado el derecho castellano”. Fue por tanto la Comunidad Valenciana la que aceptó que su competencia sobre Derecho foral civil exigía acreditar la subsistencia de una costumbre derivada de los antiguos fueros. Sin embargo, tras la promulgación de la reforma de su Estatuto de Autonomía (Ley Orgánica 1/2006, de 10 abril), en el que se atribuye competencia exclusiva para la conservación, desarrollo y modificación del Derecho civil foral valenciano (art. 49.1.2 EAV), ha considerado que la competencia autonómica derivada del precepto estatutario no sólo tiene como presupuesto la vigencia de un derecho consuetudinario en el momento de entrada en vigor de la Constitución, sino que su contenido se extiende al desarrollo de las materias reguladas en los fueros del Reino de Valencia que deben armonizarse con los principios y valores constitucionales. Es evidente pues, para el representante del Gobierno de la Nación que, a través de la modificación estatutaria, lo que se pretende es forzar una diversa interpretación del art. 149.1.8 CE, hasta ahora pacíficamente entendida, aunque es un objetivo que no se ha alcanzado, porque con la asunción de competencias legislativas en materia de derecho </w:t>
      </w:r>
      <w:r>
        <w:lastRenderedPageBreak/>
        <w:t>civil valenciano, cualquier ley civil valenciana queda sometida a la Constitución y a la doctrina constitucional el art. 149.1.8 CE.</w:t>
      </w:r>
    </w:p>
    <w:p w:rsidR="00A90898" w:rsidRDefault="00A90898" w:rsidP="00A90898">
      <w:pPr>
        <w:pStyle w:val="TextoNormal"/>
      </w:pPr>
    </w:p>
    <w:p w:rsidR="00A90898" w:rsidRDefault="00A90898" w:rsidP="00A90898">
      <w:pPr>
        <w:pStyle w:val="TextoNormal"/>
      </w:pPr>
      <w:r>
        <w:t>Por lo demás, recuerda que el término “desarrollo” del art. 149.1.8 CE solamente permite legislar sobre “instituciones conexas con las ya reguladas en la Compilación dentro de una actualización o innovación de los contenidos de ésta” y no ilimitadamente (STC 88/1993, 156/1993 y 127/1999). La conclusión a la que ha de llegarse, por tanto, es clara: las competencias autonómicas en materia de Derecho civil exigen la existencia y vigencia efectiva del Derecho foral, incluido el consuetudinario, pues no se puede conservar, modificar o desarrollar aquello que no es una realidad normativa reconocible.</w:t>
      </w:r>
    </w:p>
    <w:p w:rsidR="00A90898" w:rsidRDefault="00A90898" w:rsidP="00A90898">
      <w:pPr>
        <w:pStyle w:val="TextoNormal"/>
      </w:pPr>
    </w:p>
    <w:p w:rsidR="00A90898" w:rsidRDefault="00A90898" w:rsidP="00A90898">
      <w:pPr>
        <w:pStyle w:val="TextoNormal"/>
      </w:pPr>
      <w:r>
        <w:t>c) Los Estatutos de Autonomía están jerárquicamente subordinados a la Constitución, según resulta de sus artículos 147.2 d) y 161.1 a) y del art. 27.2 a) de la Ley Orgánica del Tribunal Constitucional (LOTC). Por tanto, dado que no pueden ampliar sus competencias, más allá de lo permitido en la Norma fundamental, se insta a llevar a cabo una interpretación constitucionalmente respetuosa del art. 7 y de la disposición adicional tercera del Estatuto de Autonomía para la Comunidad Valenciana, cuando aluden a la recuperación de los fueros del histórico Reino de Valencia. En tal sentido, la Abogacía del Estado sostiene que el art. 7.1 EAV es un precepto competencialmente neutro, que no atribuye competencias a la Generalitat, sino que establece un principio de actuación conforme a la Constitución que habrá de informar el ejercicio de las competencias autonómicas. Idéntica interpretación conforme debe hacerse de la disposición adicional tercera del Estatuto de Autonomía para la Comunidad Valenciana, que alude a la recuperación y actualización de la “normativa foral del histórico Reino de Valencia” y lo hace “en los términos establecidos por este Estatuto”, es decir, por el art. 49.1.2 EAV, y “al amparo de la Constitución Española”, esto es, con plena sujeción al art. 149.1.8 CE. En definitiva, el art. 7 y la disposición adicional tercera EAV presuponen una competencia que no se amplía y que se remite al art. 49.1.2 EAV, es decir, a la competencia exclusiva sobre la “conservación, desarrollo y modificación del Derecho civil foral valenciano”, con el contenido y alcance antes expresado. Por último, recuerda lo dicho en la STC 31/2010, FJ 76, a propósito del Estatuto de Autonomía de Cataluña, y afirma la que la competencia estatal del art. 149.1.8 CE es “invulnerable” al legislador estatutario.</w:t>
      </w:r>
    </w:p>
    <w:p w:rsidR="00A90898" w:rsidRDefault="00A90898" w:rsidP="00A90898">
      <w:pPr>
        <w:pStyle w:val="TextoNormal"/>
      </w:pPr>
    </w:p>
    <w:p w:rsidR="00A90898" w:rsidRDefault="00A90898" w:rsidP="00A90898">
      <w:pPr>
        <w:pStyle w:val="TextoNormal"/>
      </w:pPr>
      <w:r>
        <w:t xml:space="preserve">d) Sentado lo anterior, y recordando que el Decreto de nueva planta promulgado el 29 de junio de 1707 supuso la definitiva abolición y derogación de los fueros de Valencia —que nunca se recuperaron, a diferencia de lo ocurrido en otros territorios— el representante del Gobierno de la Nación concluye que tras casi tres siglos de vigencia del Derecho civil común en aquella Comunidad Autónoma, el Derecho civil valenciano que pueda estar vigente es exclusivamente de carácter consuetudinario, y vinculado esencialmente a costumbres de carácter agrario o pesquero, además de los arrendamientos históricos. Por ello, aunque la opinión doctrinal mayoritaria admite la posibilidad de recuperar esas costumbres, rechaza sin embargo la “recuperación romántica o indiscriminada” del Derecho foral valenciano. Así pues, la razón de la impugnación de la Ley 5/2011 viene a ser el no reflejar una realidad consuetudinaria efectivamente existente, como condición constitucional imprescindible, sino crear </w:t>
      </w:r>
      <w:r w:rsidRPr="00A90898">
        <w:rPr>
          <w:i/>
        </w:rPr>
        <w:t>ex novo</w:t>
      </w:r>
      <w:r>
        <w:t xml:space="preserve"> una normativa sin ninguna conexión precisa con sus usos vigentes, normativa que además entra en contradicción con el Código civil. Es más, en el caso del presente recurso, los fueros históricos del Reino de Valencia nunca contuvieron una regulación conexa con la recogida en la Ley de las Cortes Valencianas 5/2011, ni especialidad alguna </w:t>
      </w:r>
      <w:r>
        <w:lastRenderedPageBreak/>
        <w:t>en materia de convivencia de los progenitores con sus hijos. Es, por tanto, palmaria la contradicción de la Ley 5/2011 no sólo con el art. 149.1.8 CE, sino también con los arts. 7 y 49.1.2 y la disposición transitoria tercera EAV, porque todos ellos fijan como presupuesto para el legítimo ejercicio de la competencia autonómica la preexistencia de un Derecho foral escrito o consuetudinario vigente que se actualiza mediante su conservación, modificación o desarrollo por la norma autonómica.</w:t>
      </w:r>
    </w:p>
    <w:p w:rsidR="00A90898" w:rsidRDefault="00A90898" w:rsidP="00A90898">
      <w:pPr>
        <w:pStyle w:val="TextoNormal"/>
      </w:pPr>
    </w:p>
    <w:p w:rsidR="00A90898" w:rsidRDefault="00A90898" w:rsidP="00A90898">
      <w:pPr>
        <w:pStyle w:val="TextoNormal"/>
      </w:pPr>
      <w:r>
        <w:t>e) Para la Abogacía del Estado, los razonamientos anteriores bastan para fundar la declaración de inconstitucionalidad de la totalidad de la Ley autonómica. Sin embargo, a mayor abundamiento señala que la Ley 5/2011 diverge claramente de la legislación civil común, especialmente en lo que ésta denomina régimen de convivencia compartida (arts. 3 y 5), apartándose deliberadamente de la terminología del Código civil e introduciendo notable confusión en el concepto de custodia. Tampoco en el contenido de los restantes preceptos se ajusta al Código civil. Por ejemplo, al regular el contenido mínimo del pacto de convivencia familiar (art. 4) no lo fija en los mismos términos previstos en el art. 90 para el convenio regulador, o en el art. 6 establece criterios para el uso de la vivienda y el ajuar familiares que se apartan notablemente de los criterios que el art. 96 CC, o por lo que respecta a la atención a las cargas familiares el art. 7 de la Ley 5/2011 difiere del régimen establecido en el art. 93 CC.</w:t>
      </w:r>
    </w:p>
    <w:p w:rsidR="00A90898" w:rsidRDefault="00A90898" w:rsidP="00A90898">
      <w:pPr>
        <w:pStyle w:val="TextoNormal"/>
      </w:pPr>
    </w:p>
    <w:p w:rsidR="00A90898" w:rsidRDefault="00A90898" w:rsidP="00A90898">
      <w:pPr>
        <w:pStyle w:val="TextoNormal"/>
      </w:pPr>
      <w:r>
        <w:t>f) Finaliza sus argumentos en defensa de la inconstitucionalidad de la totalidad de la Ley de las Cortes Valencianas 5/2011 recordando que, dado que la competencia legislativa civil en este caso la ostenta de manera exclusiva el Estado, incluso aunque la norma valenciana se limitara a reproducir exacta y fielmente la norma estatal, de acuerdo con la consolidada doctrina del Tribunal Constitucional, sería inconstitucional. Es más, el riesgo de esta práctica legislativa adquiere una especial intensidad cuando concurre el vicio de incompetencia material de la Comunidad Autónoma, “porque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35/1983). En este sentido, cumple recordar lo declarado por este Tribunal en su STC 10/1982 (FJ 8) y más recientemente recogido en las SSTC 62/1991 [FJ 4, apartado b)] y 147/1993 (FJ 4) como antes citamos, la simple reproducción por la legislación autonómica además de ser una peligrosa técnica legislativa, incurre en inconstitucionalidad por invasión de competencias en materias cuya regulación no corresponde a las Comunidades Autónomas”.</w:t>
      </w:r>
    </w:p>
    <w:p w:rsidR="00A90898" w:rsidRDefault="00A90898" w:rsidP="00A90898">
      <w:pPr>
        <w:pStyle w:val="TextoNormal"/>
      </w:pPr>
    </w:p>
    <w:p w:rsidR="00A90898" w:rsidRDefault="00A90898" w:rsidP="00A90898">
      <w:pPr>
        <w:pStyle w:val="TextoNormal"/>
      </w:pPr>
      <w:r>
        <w:t>Se concluyó, por todo ello, con la súplica de que se dictara sentencia en la que se declarase la inconstitucionalidad y consiguiente nulidad de la ley impugnada.</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Mediante providencia de 19 de julio de 2011, el Pleno, a propuesta de la Sección Primera, acordó admitir a trámite el recurso de inconstitucionalidad y dar traslado de la demanda y documentos presentados al Congreso de los Diputados y al Senado, así como al Gobierno y a las Cortes valencianas, al objeto, de que, en el plazo de 15 días, pudieran personarse en el proceso y formular las alegaciones estimaren convenientes. Se dispuso, tener por invocado por el Presidente del gobierno el art. 161.2 CE, lo que produce la suspensión establecida en el art. 30 LOTC, comunicándolo a los Presidentes del Gobierno de la Generalitat Valenciana y de las Cortes valencianas. Por último, se ordenó publicar en el </w:t>
      </w:r>
      <w:r>
        <w:lastRenderedPageBreak/>
        <w:t>“Boletín Oficial del Estado” y en el “Diari Oficial de la Generalitat Valenciana” la incoación del recurso.</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día 28 de julio de 2011, el Director General de la Abogacía General de la Generalitat Valenciana, en su representación y defensa, puso de manifiesto la previsión de que no pudiera presentarse el escrito de alegaciones en el plazo de 15 días inicialmente conferido en atención a la complejidad de la cuestión planteada y a la carga de trabajo que pesa sobre el indicado órgano de la Administración autonómica y solicitó, por ello, la concesión de una prórroga por el máximo legal, siendo atendida dicha petición por providencia de este Tribunal de 5 de septiembre de 2011, por la que se prorrogó en ocho días más el plazo concedido por la anterior providencia de 19 de julio de 2011, a contar desde el día siguiente al de expiración del ordinario.</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registrado el día 29 de julio de 2011, el Presidente del Congreso de los Diputados comunicó al Tribunal el acuerdo de la Mesa de la Cámara de conformidad con el cual el Congreso de los Diputados se persona en el procedimiento y ofrece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el día 2 de septiembre de 2011, el Letrado de las Cortes Valencianas, en su representación y defensa, comparece y pone de manifiesto la previsión de que no pudiera presentarse el escrito de alegaciones en el plazo de 15 días inicialmente conferido en atención a la complejidad de la cuestión planteada solicitando, por ello, la concesión de una prórroga por el máximo legal, siendo atendida dicha petición por providencia de este Tribunal de 5 de septiembre de 2011, por la que se prorrogó en ocho días más el plazo concedido por la anterior providencia de 19 de julio de 2011, a contar desde el día siguiente al de expiración del ordinario.</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el día 8 de septiembre de 2011, el Presidente del Senado rogó se tuviera a la Cámara por personada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registrado en este Tribunal en fecha 29 de septiembre de 2011, el Director General de la Abogacía General de la Generalitat Valenciana presentó sus alegaciones en las que solicita la íntegra desestimación del recurso formulado.</w:t>
      </w:r>
    </w:p>
    <w:p w:rsidR="00A90898" w:rsidRDefault="00A90898" w:rsidP="00A90898">
      <w:pPr>
        <w:pStyle w:val="TextoNormal"/>
      </w:pPr>
    </w:p>
    <w:p w:rsidR="00A90898" w:rsidRDefault="00A90898" w:rsidP="00A90898">
      <w:pPr>
        <w:pStyle w:val="TextoNormal"/>
      </w:pPr>
      <w:r>
        <w:t>En el escrito se comienza advirtiendo que la Generalitat ya ha expuesto todos sus argumentos en el recurso, pendiente de resolver, interpuesto por el Estado contra la Ley de régimen económico matrimonial valenciano, cuya esencia y fundamentos son exactamente idénticos a los presentes, y ello le lleva a reproducirlos en defensa de la constitucionalidad de la norma de la Generalitat recurrida, en lo que entiende una interpretación posible del ejercicio de las competencias en materia de Derecho civil a la luz de los textos que integran el bloque de constitucionalidad y la doctrina del Tribunal Constitucional.</w:t>
      </w:r>
    </w:p>
    <w:p w:rsidR="00A90898" w:rsidRDefault="00A90898" w:rsidP="00A90898">
      <w:pPr>
        <w:pStyle w:val="TextoNormal"/>
      </w:pPr>
    </w:p>
    <w:p w:rsidR="00A90898" w:rsidRDefault="00A90898" w:rsidP="00A90898">
      <w:pPr>
        <w:pStyle w:val="TextoNormal"/>
      </w:pPr>
      <w:r>
        <w:t xml:space="preserve">En primer lugar, se realiza una introducción histórica sobre la evolución del derecho civil foral valenciano desde su abolición en el año 1707 hasta nuestros días, para concluir que, aun reconociendo la evidente ausencia de una compilación de normas forales valencianas en el momento de aprobar la Constitución, la reivindicación de la recuperación de tal cuerpo </w:t>
      </w:r>
      <w:r>
        <w:lastRenderedPageBreak/>
        <w:t>legal ha sido una constante histórica. Se añade que, en contra de lo que afirma la Abogacía del Estado, los furs contenían concretas referencias a las relaciones entre padres e hijos, y se reproducen literalmente algunos pasajes que, en su opinión, evidencian que instituciones civiles como los peculios adventicio y profecticio, y diversas otras, muestran la presencia en el Derecho histórico de textos que versaban exactamente sobre la misma materia regulada en la Ley de las Cortes Valencianas 5/2011.</w:t>
      </w:r>
    </w:p>
    <w:p w:rsidR="00A90898" w:rsidRDefault="00A90898" w:rsidP="00A90898">
      <w:pPr>
        <w:pStyle w:val="TextoNormal"/>
      </w:pPr>
    </w:p>
    <w:p w:rsidR="00A90898" w:rsidRDefault="00A90898" w:rsidP="00A90898">
      <w:pPr>
        <w:pStyle w:val="TextoNormal"/>
      </w:pPr>
      <w:r>
        <w:t>A continuación, se procede a un detallado análisis sobre el ejercicio de la competencia autonómica en materia de Derecho civil foral, que puede resumirse básicamente en las siguientes ideas: en primer lugar, la competencia en legislación civil fue delegada por el Estado a favor de la Generalitat (art. 150.2 CE), primero a través de la Ley Orgánica, de 10 de agosto, de transferencia de competencias de titularidad estatal a la Comunidad Autónoma Valenciana (en adelante, Ley Orgánica 12/1982), cuyo fin fue equiparar a esta Autonomía con las del art. 151 y disposición transitoria segunda CE, y después fue asumida plenamente mediante la Ley Orgánica 5/1994, de 5 de marzo, de reforma del Estatuto de Autonomía para la Comunidad Valenciana. En segundo término, esa competencia “trae causa … de lo prevenido en el citado art. 149.1.8 CE”, tal y como proclamó la STC 121/1992, FJ 1, y, por consiguiente, tenía por objeto tutelar la foralidad civil valenciana. Sin embargo, la posición expresada en esa misma STC 121/1992, FJ 1, de que la competencia autonómica en materia civil “no puede estimarse referida sino al Derecho consuetudinario que, tras la abolición de los Fueros y hasta nuestros días, subsistiera en el territorio de la Comunidad Autónoma” es inasumible desde un punto de vista técnico-jurídico, por dos razones: ante todo, porque las costumbres forales fueron derogadas, como los mismos fueros, en 1707. En consecuencia, a partir de entonces las costumbres que han observado los valencianos son costumbres primero de Derecho castellano y después de Derecho común, de suerte que no puede sostenerse con rigor que estén vigentes en la actualidad costumbres forales. A ello hay que añadir que, la simple conversión de esas costumbres en normas legales chocaría con la limitación de su ámbito territorial, de imprecisa y difícil fijación, pues lo normal es que los usos sean locales y no uniformes, así como también con la competencia exclusiva e indelegable del Estado para regular la aplicación y eficacia de las normas jurídicas de acuerdo con el art. 149.1.8 CE.</w:t>
      </w:r>
    </w:p>
    <w:p w:rsidR="00A90898" w:rsidRDefault="00A90898" w:rsidP="00A90898">
      <w:pPr>
        <w:pStyle w:val="TextoNormal"/>
      </w:pPr>
    </w:p>
    <w:p w:rsidR="00A90898" w:rsidRDefault="00A90898" w:rsidP="00A90898">
      <w:pPr>
        <w:pStyle w:val="TextoNormal"/>
      </w:pPr>
      <w:r>
        <w:t xml:space="preserve">En segundo lugar, la doctrina de la STC 121/1992 encorseta el contenido de las leyes valencianas en términos incompatibles con el ejercicio constitucional y estatutario de la competencia civil, conduciendo a su vaciado e inutilidad, porque es obvia la inexistencia de leyes civiles valencianas posteriores a la de arrendamientos históricos, a la que se refirió la citada STC 121/1992. Frente a ello, el Estatuto de Autonomía de 2006 pretende “el reconocimiento de la Comunidad Valenciana como Nacionalidad Histórica por sus raíces históricas, por su personalidad diferenciada, por su lengua y cultura y por su Derecho civil foral”. Los arts. 7.1, 49.1.2 y disposición transitoria tercera EAV de 2006 parten del contenido de los fueros vigentes al tiempo de su abolición, en el año 1707, para dotar así de sentido a esa competencia previamente transferida (Ley Orgánica 12/1982) y luego asumida (Ley Orgánica 5/1994), respetando siempre, eso sí, los valores y principios constitucionales y estatutarios. De manera que la Ley Orgánica 5/1994 habría derogado la Ley Orgánica 12/1982 “por innecesaria”, dice el representante de la Generalitat, pues la citada Ley Orgánica 5/1994 también había modificado la disposición adicional tercera EAV de 1982, en el sentido de descalificar las competencias como transferidas para darles a todas un carácter plenamente estatutario. Considera esencial para enfocar correctamente este recurso advertir </w:t>
      </w:r>
      <w:r>
        <w:lastRenderedPageBreak/>
        <w:t>que la competencia legislativa de la Generalitat en materia de Derecho civil no deriva de la aplicación del art. 149.1.8 CE, sino de la transferencia llevada a cabo por la Ley Orgánica 12/1982, tal como reconoce el propio Tribunal Constitucional en su STC 121/1992. En definitiva —se argumenta—, la finalidad de la reforma radica en que la Generalitat pueda ejercer su competencia para legislar Derecho civil valenciano como si no hubiera existido abolición, aunque ello suponga llevar a cabo una reinterpretación del bloque de la constitucionalidad.</w:t>
      </w:r>
    </w:p>
    <w:p w:rsidR="00A90898" w:rsidRDefault="00A90898" w:rsidP="00A90898">
      <w:pPr>
        <w:pStyle w:val="TextoNormal"/>
      </w:pPr>
    </w:p>
    <w:p w:rsidR="00A90898" w:rsidRDefault="00A90898" w:rsidP="00A90898">
      <w:pPr>
        <w:pStyle w:val="TextoNormal"/>
      </w:pPr>
      <w:r>
        <w:t>En un apartado dedicado al derecho comparado autonómico, se pone de manifiesto la clara intención del Estatuto de Autonomía para la Comunidad Valenciana, desde su inicial aprobación en el año 1982, de equipararse a los Estatutos de los territorios que gozaban de unos derechos forales compilados en el momento de entrada en vigor de la Constitución, alejándose de aquellos otros Estatutos de Autonomía como el asturiano, el extremeño o el murciano, carentes de dicho acerbo jurídico y cuya forma de enfocar sus competencias en materia civil estaba claramente volcada a la tutela de las costumbres que pudieran subsistir.</w:t>
      </w:r>
    </w:p>
    <w:p w:rsidR="00A90898" w:rsidRDefault="00A90898" w:rsidP="00A90898">
      <w:pPr>
        <w:pStyle w:val="TextoNormal"/>
      </w:pPr>
    </w:p>
    <w:p w:rsidR="00A90898" w:rsidRDefault="00A90898" w:rsidP="00A90898">
      <w:pPr>
        <w:pStyle w:val="TextoNormal"/>
      </w:pPr>
      <w:r>
        <w:t>A pesar de ello, el trato que el Estado ha conferido a la Comunidad Valenciana en esta materia es absolutamente distinto al otorgado a otras Comunidades Autónomas, produciéndose una discriminación contraria al principio de igualdad consagrado en el art. 14 CE. Así, por ejemplo, se compara con el entonces vigente art. 9 del Código de familia catalán, relativo a la eficacia civil de los actos inscribibles en el Registro de la propiedad y en el Registro civil; la también entonces vigente Ley de Aragón 2/2003, de 12 de febrero, de régimen económico matrimonial y de viudedad, que fijaba una serie de plazos de prescripción y caducidad en sus arts. 8.2, 31.1 y 99.2; la también aragonesa Ley 2/2010, de 26 de mayo, de igualdad en las relaciones familiares ante la ruptura de convivencia de los padres, que establece la guardia y custodia compartida; la Ley 2/2006, de Derecho civil de Galicia, que permanece vigente e incluye una serie de preceptos que se refieren a plazos de prescripción y caducidad; o el Decreto Legislativo 79/1990, de 6 de septiembre, por el que se aprueba la Compilación del Derecho civil de Baleares. Todos estos casos eran muy similares a determinados preceptos de la Ley valenciana y, sin embargo, nunca fueron cuestionados por parte del Gobierno de la Nación.</w:t>
      </w:r>
    </w:p>
    <w:p w:rsidR="00A90898" w:rsidRDefault="00A90898" w:rsidP="00A90898">
      <w:pPr>
        <w:pStyle w:val="TextoNormal"/>
      </w:pPr>
    </w:p>
    <w:p w:rsidR="00A90898" w:rsidRDefault="00A90898" w:rsidP="00A90898">
      <w:pPr>
        <w:pStyle w:val="TextoNormal"/>
      </w:pPr>
      <w:r>
        <w:t>Por último, agrupados bajo el epígrafe “Otros aspectos sustantivos contenidos en el recurso interpuesto contra la Ley 5/2011”, la Abogacía de la Generalitat responde a los concretos reproches de inconstitucionalidad que se realizan a la Ley impugnada.</w:t>
      </w:r>
    </w:p>
    <w:p w:rsidR="00A90898" w:rsidRDefault="00A90898" w:rsidP="00A90898">
      <w:pPr>
        <w:pStyle w:val="TextoNormal"/>
      </w:pPr>
    </w:p>
    <w:p w:rsidR="00A90898" w:rsidRDefault="00A90898" w:rsidP="00A90898">
      <w:pPr>
        <w:pStyle w:val="TextoNormal"/>
      </w:pPr>
      <w:r>
        <w:t xml:space="preserve">Así, de un lado, se opone al genérico argumento empleado por la representación del Estado sobre la técnica normativa consistente en la reproducción de normas estatales fundamentando su oposición, esencialmente, en la total ausencia de preceptos concretos de la Ley de las Cortes Valencianas 5/2011 a los que imputar dicha tacha de inconstitucionalidad. Para el Abogado del Gobierno autonómico se trata de una acusación hueca y vacía de contenido, pero en todo caso, dado que la Comunidad Valenciana tiene competencia sobre la materia civil, de acuerdo con la jurisprudencia constitucional, está legitimada para reproducir normas civiles estatales. Es decir, una vez reconocida su competencia legislativa en materia de derecho civil, el legislador autonómico es libre para determinar, en relación a esas instituciones propias de su derecho foral y las materias conexas, cuál vaya a ser su desarrollo, con independencia de que la redacción de los preceptos que materializan dicha voluntad </w:t>
      </w:r>
      <w:r>
        <w:lastRenderedPageBreak/>
        <w:t>sea, o no, coincidente con la prevista en el Código Civil. Finaliza enfatizando que recuperación y desarrollo son actuaciones que se imponen al legislador autonómico, de conformidad con el Estatuto de Autonomía para la Comunidad Valenciana y la Generalitat tiene plena competencia para llevar a cabo y ejecutar dichos mandatos de su legislador estatutario, en la forma que considere conveniente.</w:t>
      </w:r>
    </w:p>
    <w:p w:rsidR="00A90898" w:rsidRDefault="00A90898" w:rsidP="00A90898">
      <w:pPr>
        <w:pStyle w:val="TextoNormal"/>
      </w:pPr>
    </w:p>
    <w:p w:rsidR="00A90898" w:rsidRDefault="00A90898" w:rsidP="00A90898">
      <w:pPr>
        <w:pStyle w:val="TextoNormal"/>
      </w:pPr>
      <w:r>
        <w:t>Por todo ello, solicita que se desestime el recurso de inconstitucionalidad contra la Ley 5/2011, declarando su conformidad al ordenamiento constitucional y estatutario.</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día 3 de octubre de 2011, el Letrado Mayor de las Cortes Valencianas, en su representación y defensa, formuló las siguientes alegaciones:</w:t>
      </w:r>
    </w:p>
    <w:p w:rsidR="00A90898" w:rsidRDefault="00A90898" w:rsidP="00A90898">
      <w:pPr>
        <w:pStyle w:val="TextoNormal"/>
      </w:pPr>
    </w:p>
    <w:p w:rsidR="00A90898" w:rsidRDefault="00A90898" w:rsidP="00A90898">
      <w:pPr>
        <w:pStyle w:val="TextoNormal"/>
      </w:pPr>
      <w:r>
        <w:t>Comienza su escrito advirtiendo que si bien puede entenderse que el régimen de guardia y custodia compartida no estaba presente en los fueros valencianos derogados en 1707, no cabe duda de que éstos regulaban relaciones paterno-filiales, íntimamente conectadas con la materia objeto de la Ley impugnada.</w:t>
      </w:r>
    </w:p>
    <w:p w:rsidR="00A90898" w:rsidRDefault="00A90898" w:rsidP="00A90898">
      <w:pPr>
        <w:pStyle w:val="TextoNormal"/>
      </w:pPr>
    </w:p>
    <w:p w:rsidR="00A90898" w:rsidRDefault="00A90898" w:rsidP="00A90898">
      <w:pPr>
        <w:pStyle w:val="TextoNormal"/>
      </w:pPr>
      <w:r>
        <w:t xml:space="preserve">A continuación, se desarrollan los argumentos que fundamentan la competencia de la Generalitat Valenciana para proceder a la regulación de la materia mediante la Ley de las Cortes Valencianas 5/2011. Para ello comienza con los antecedentes históricos, destacando que, efectivamente, los fueros, privilegios prácticas y costumbres del Reino de Valencia se abolieron mediante el Decreto de 1707 y que, desde entonces, sólo pervivieron usos y costumbres relativos a ciertas costumbres nupciales en concretos supuestos sucesorios. A todo ello se suma el que en la tradición valenciana se encontraban aspectos diferentes como los sistemas de transmisión de la propiedad; la explotación de recursos naturales; las formas de explotación de la tierra; los contratos para las empresas agrarias; las sucesiones </w:t>
      </w:r>
      <w:r w:rsidRPr="00A90898">
        <w:rPr>
          <w:i/>
        </w:rPr>
        <w:t>mortis causa</w:t>
      </w:r>
      <w:r>
        <w:t>. Igualmente, esos usos y costumbres se mantendrían y se conservarían en las atribuciones por razón de matrimonio, con influencia en el régimen económico matrimonial, como ha sido defendido por prestigiosos juristas y catedráticos de las Universidades valencianas desde hace muchos años hasta fechas recientes.</w:t>
      </w:r>
    </w:p>
    <w:p w:rsidR="00A90898" w:rsidRDefault="00A90898" w:rsidP="00A90898">
      <w:pPr>
        <w:pStyle w:val="TextoNormal"/>
      </w:pPr>
    </w:p>
    <w:p w:rsidR="00A90898" w:rsidRDefault="00A90898" w:rsidP="00A90898">
      <w:pPr>
        <w:pStyle w:val="TextoNormal"/>
      </w:pPr>
      <w:r>
        <w:t>El art. 3 EAV de 1982, ya reconocía a la Generalitat Valenciana competencia exclusiva sobre la conservación, modificación y de desarrollo del Derecho civil valenciano en idénticos términos al Estatuto de Autonomía de Galicia (art. 27.4) y del Estatuto de Autonomía de Cataluña (art. 9.2). No obstante, la norma institucional básica de la Comunidad Valenciana contenía alguna peculiaridad no compartida con Estatuto alguno en materia de Derecho civil como fue considerar los bienes de herencias intestadas, cuando el causante ostentara la condición política de valenciano, al describir la composición del patrimonio de la Generalitat en su art. 51.I c). Pero es que, yendo más allá, para el Letrado del Parlamento autonómico no se debe olvidar que el propio Tribunal Constitucional, bajo la vigencia del anterior Estatuto de Autonomía para la Comunidad Valenciana de 1982, reconoció la existencia de un derecho civil valenciano y la indubitada competencia de la Generalitat Valenciana “para legislar sobre instituciones que han tenido una configuración consuetudinaria específica en su ámbito territorial” (STC 121/1992, de 28 de septiembre).</w:t>
      </w:r>
    </w:p>
    <w:p w:rsidR="00A90898" w:rsidRDefault="00A90898" w:rsidP="00A90898">
      <w:pPr>
        <w:pStyle w:val="TextoNormal"/>
      </w:pPr>
    </w:p>
    <w:p w:rsidR="00A90898" w:rsidRDefault="00A90898" w:rsidP="00A90898">
      <w:pPr>
        <w:pStyle w:val="TextoNormal"/>
      </w:pPr>
      <w:r>
        <w:t xml:space="preserve">Posteriormente, la reforma del Estatuto de Autonomía para la Comunidad Valenciana de 2006 afirma ya la constitucionalidad de la recuperación y plena actualización del Derecho civil foral y, en consecuencia, niega una “interpretación reduccionista” de la competencia </w:t>
      </w:r>
      <w:r>
        <w:lastRenderedPageBreak/>
        <w:t>autonómica en materia de Derecho civil que la limite a normas consuetudinarias. En el actual art. 49.1.2 a) figura ahora la competencia exclusiva de la Generalitat para la “conservación, desarrollo y modificación del Derecho civil foral valenciano”, y en la disposición transitoria tercera, se reafirma en lo anterior señalando que “la competencia exclusiva sobre el Derecho civil foral valenciano se ejercerá, por la Generalitat, en los términos establecidos por este Estatuto, a partir de la normativa foral dcl histórico Reino de Valencia, que se recupera y actualiza, al amparo de la Constitución española”. Para la representación de la Generalitat, la incorporación del término “foral” al art. 49.1.2 EAV de 2006 despeja definitivamente todas las dudas sobre la plena capacidad legislativa en materia foral, y zanja de una vez por todas el debate doctrinal acerca de la expresión “allí donde existan” (art. 149.1.8 CE). A partir de la reforma estatutaria, ya no cabe interpretar el Derecho civil autonómico referido al momento de la entrada en vigor de la Constitución, sino en un sentido amplio a la vigencia del Derecho foral en algún momento anterior, aunque en 1978 se encontrara derogado. La expresión “allí donde existan” no representa por tanto, necesariamente, la vigencia actual del Derecho civil valenciano, esto es, en 1978, sino que basta la pretérita. Concluye, pues, que el art. 149.1.8 CE no se opone al ejercicio de esa competencia asumida por la Generalitat de acuerdo con el art. 49.1.2 EAV de 2006, sin perjuicio de recordar, además, que la reforma del Estatuto de Autonomía de 2006 por la que se asumió esa competencia exclusiva no ha sido objeto de recurso de inconstitucionalidad en esa concreta materia. En este mismo sentido, subraya que si legislar supone innovar, esta posibilidad debe reconocerse no sólo a aquellas Comunidades en las que se efectúo una labor meramente científica de Compilación sino a todas en las que su Estatuto de Autonomía haya recogido dicha competencia legislativa. Cuestión distinta es que, en unos casos y en otros, existan una serie de principios constitucionales como el de igualdad o la unidad de mercado que deban ser respetados por los legisladores autonómicos o unos precedentes en el ámbito de lo que siempre hubo de Derecho civil propio y distinto en su territorio.</w:t>
      </w:r>
    </w:p>
    <w:p w:rsidR="00A90898" w:rsidRDefault="00A90898" w:rsidP="00A90898">
      <w:pPr>
        <w:pStyle w:val="TextoNormal"/>
      </w:pPr>
    </w:p>
    <w:p w:rsidR="00A90898" w:rsidRDefault="00A90898" w:rsidP="00A90898">
      <w:pPr>
        <w:pStyle w:val="TextoNormal"/>
      </w:pPr>
      <w:r>
        <w:t xml:space="preserve">Asentada de este modo en el marco constitucional la competencia asumida en materia de legislación civil por la Generalitat, el escrito de alegaciones se detiene a analizar la adecuación al Estatuto de Autonomía y a la Constitución de la Ley de las Cortes Valencianas 5/2011. Para ello parte de la base de que una somera revisión de los Fueros del histórico Reino de Valencia permiten encontrar distintas menciones a las relaciones paterno-filiales que pueden considerarse como punto de partida para el desarrollo legislativo contenido en la ley que es objeto del presente recurso de inconstitucionalidad. En todo caso, advierte de la semejanza de esta regulación con las leyes aprobadas en las Comunidades Autónomas de Aragón (Ley 2/2010, de 26 de mayo, de igualdad en las relaciones familiares ante la ruptura de la convivencia de los padres) y Cataluña (Ley 25/2010, de 29 de julio, del libro segundo del Código civil de Cataluña, relativo a la persona y familia). Para las Cortes Valencianas, la competencia legislativa civil no se circunscribe a lo que establecían o no los Fueros históricos, sino que éstos se deben considerar un punto de referencia, punto de recuperación para su posterior adaptación a la Constitución y actualización a las necesidades sociales de cada momento. En tal sentido, afirma taxativamente que el art. 149.1.8 CE no se opone al ejercicio de esta competencia por la Generalitat en el sentido en que se preceptúa en el Estatuto de Autonomía para la Comunidad Valenciana que lo será en exclusiva para la conservación, desarrollo y modificación del Derecho civil foral valenciano, pudiendo abordar esta labor no sólo desde “instituciones conexas” o costumbres existentes [en el sentido que se ha interpretado por el Tribunal Constitucional (SSTC 88/1993 y 156/1993)], sino a partir de la normativa foral del histórico Reino de Valencia, que se recupera y actualiza, al amparo </w:t>
      </w:r>
      <w:r>
        <w:lastRenderedPageBreak/>
        <w:t>de la Constitución Española. Como ejemplo de estas afirmaciones, que se contiene en la disposición transitoria tercera del Estatuto de Autonomía tras su reforma de 2006 se encuentra la Ley 5/2011 impugnada.</w:t>
      </w:r>
    </w:p>
    <w:p w:rsidR="00A90898" w:rsidRDefault="00A90898" w:rsidP="00A90898">
      <w:pPr>
        <w:pStyle w:val="TextoNormal"/>
      </w:pPr>
    </w:p>
    <w:p w:rsidR="00A90898" w:rsidRDefault="00A90898" w:rsidP="00A90898">
      <w:pPr>
        <w:pStyle w:val="TextoNormal"/>
      </w:pPr>
      <w:r>
        <w:t>Por último, recuerda que junto a la competencia autonómica en materia de derecho civil valenciano, no se puede ignorar la competencia que en materia de protección de menores tiene atribuida la Generalitat Valenciana, sin olvidar que es un mandato constitucional dirigido a todos los poderes públicos (art. 39 CE). Por este motivo, advierte que la restricción de la competencia en materia de protección de menores, en circunstancias tan graves como lo son las crisis familiares, en los que son especialmente vulnerables, supondría impedir a la Comunidad Autónoma también el ejercicio de esta competencia.</w:t>
      </w:r>
    </w:p>
    <w:p w:rsidR="00A90898" w:rsidRDefault="00A90898" w:rsidP="00A90898">
      <w:pPr>
        <w:pStyle w:val="TextoNormal"/>
      </w:pPr>
    </w:p>
    <w:p w:rsidR="00A90898" w:rsidRDefault="00A90898" w:rsidP="00A90898">
      <w:pPr>
        <w:pStyle w:val="TextoNormal"/>
      </w:pPr>
      <w:r>
        <w:t>Se solicita, en consecuencia, la íntegra desestimación del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9</w:t>
      </w:r>
      <w:r>
        <w:t>. El Pleno del Tribunal Constitucional, por providencia de 6 de octubre de 2011, acordó oír a las partes personadas para que en el plazo común de cinco días expusiesen lo que tuvieran por conveniente acerca del mantenimiento o levantamiento de la suspensión de la Ley 5/2011. Evacuado el trámite de alegaciones conferido, el Pleno del Tribunal, por ATC 161/2011, de 22 de noviembre, acordó levantar la suspensión de la vigencia de Ley 5/2011, de 20 de marzo, de relaciones familiares de los hijos e hijas cuyos progenitores no conviven.</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15 de noviembre de 2016, se señaló para deliberación y votación de la presente Sentencia el día 16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Presidente del Gobierno impugna la Ley de las Cortes Valencianas 5/2011, de 1 de abril, de relaciones familiares de los hijos e hijas cuyos progenitores no conviven (Ley 5/2011), por considerar que invade la competencia exclusiva del Estado en materia de legislación civil derivada del art. 149.1.8 CE y, singularmente, de la doctrina establecida en la STC 121/1992, de 28 de septiembre, que limita el ámbito de la competencia asumible por la Comunidad Valenciana en la materia al derecho consuetudinario que subsista tras la abolición de los fueros. Subraya también que la competencia legislativa civil pertenece en este caso de manera exclusiva al Estado, incluso aunque la norma valenciana se limitara a reproducir exacta y fielmente la norma estatal.</w:t>
      </w:r>
    </w:p>
    <w:p w:rsidR="00A90898" w:rsidRDefault="00A90898" w:rsidP="00A90898">
      <w:pPr>
        <w:pStyle w:val="TextoNormal"/>
      </w:pPr>
    </w:p>
    <w:p w:rsidR="00A90898" w:rsidRDefault="00A90898" w:rsidP="00A90898">
      <w:pPr>
        <w:pStyle w:val="TextoNormal"/>
      </w:pPr>
      <w:r>
        <w:t xml:space="preserve">Los representantes de la Generalitat y de las Cortes valencianas niegan el reproche y defienden la plena constitucionalidad de la Ley impugnada, apoyándose en los argumentos que han quedado detalladamente expuestos en los antecedentes 7 y 8 de esta resolución. Resumidamente, según puede comprobarse en los mismos, mientras la Generalitat defiende que el calificativo “foral” incluido en el art. 49.1.2 y en la disposición transitoria tercera del  Estatuto de Autonomía para la Comunidad Valenciana (EAV) para referirse al Derecho civil valenciano, resulta esencial para la resolución de este litigio por ser el que justifica la plena recuperación del Derecho del histórico Reino de Valencia contenido en sus antiguos Furs derogados en 1707 para la representación de las Cortes Valencianas es la Ley Orgánica 12/1982 y el respeto a la doctrina de la STC 121/1992 lo que conduce necesariamente a </w:t>
      </w:r>
      <w:r>
        <w:lastRenderedPageBreak/>
        <w:t>afirmar que la competencia legislativa de la Generalitat en materia de Derecho civil no deriva de la aplicación del art. 149.1.8 CE, sino de la transferencia llevada a cabo por la Ley Orgánica de 10 de agosto, de transferencia de competencias de titularidad estatal a la Comunidad Autónoma Valenciana (en adelante, Ley Orgánica 12/1982).</w:t>
      </w:r>
    </w:p>
    <w:p w:rsidR="00A90898" w:rsidRDefault="00A90898" w:rsidP="00A90898">
      <w:pPr>
        <w:pStyle w:val="TextoNormal"/>
      </w:pPr>
    </w:p>
    <w:p w:rsidR="00A90898" w:rsidRDefault="00A90898" w:rsidP="00A90898">
      <w:pPr>
        <w:pStyle w:val="TextoNormal"/>
      </w:pPr>
      <w:r>
        <w:t>Como ha quedado conformado el debate de acuerdo con las alegaciones de las partes, se pide a este Tribunal que resuelva si la Comunidad Valenciana tiene competencia o no para dictar la Ley 5/2011 impugnada.</w:t>
      </w:r>
    </w:p>
    <w:p w:rsidR="00A90898" w:rsidRDefault="00A90898" w:rsidP="00A90898">
      <w:pPr>
        <w:pStyle w:val="TextoNormal"/>
      </w:pPr>
    </w:p>
    <w:p w:rsidR="00A90898" w:rsidRDefault="00A90898" w:rsidP="00A90898">
      <w:pPr>
        <w:pStyle w:val="TextoNormal"/>
      </w:pPr>
      <w:r w:rsidRPr="00A90898">
        <w:rPr>
          <w:rStyle w:val="NumeroAFNegritaCaracter"/>
        </w:rPr>
        <w:t>2</w:t>
      </w:r>
      <w:r>
        <w:t>. Hay que subrayar que la cuestión sometida a nuestra decisión es, si no idéntica, muy similar a la planteada, por un lado, en el recurso de inconstitucionalidad 9888-2007 promovido por el Presidente del Gobierno contra la totalidad de la Ley de la Comunitat Valenciana 10/2007, de 20 de marzo, de régimen económico matrimonial valenciano, y resuelta en la reciente STC 82/2016, de 28 de abril; y, por otro, en el recurso de inconstitucionalidad 4522-2013, promovido por el Presidente del Gobierno contra la Ley 5/2012, de 15 de octubre, de uniones de hecho formalizadas de la Comunitat Valenciana, y resuelta en la STC 110/2016, de 9 de junio. Tal cuestión se concreta en la posible vulneración de la Constitución por el legislador autonómico por exceso de su competencia en materia de Derecho civil. Por ello, resultan aplicables en gran medida los mismos razonamientos expuestos en dichas Sentencias.</w:t>
      </w:r>
    </w:p>
    <w:p w:rsidR="00A90898" w:rsidRDefault="00A90898" w:rsidP="00A90898">
      <w:pPr>
        <w:pStyle w:val="TextoNormal"/>
      </w:pPr>
    </w:p>
    <w:p w:rsidR="00A90898" w:rsidRDefault="00A90898" w:rsidP="00A90898">
      <w:pPr>
        <w:pStyle w:val="TextoNormal"/>
      </w:pPr>
      <w:r>
        <w:t xml:space="preserve">El reproche se dirige contra la totalidad de la Ley 5/2011, de 1 de abril, de la Generalitat, de relaciones familiares de los hijos e hijas cuyos progenitores no conviven, al entender la parte recurrente que la materia legislada posee un carácter marcadamente civil, y que la Comunidad Autónoma valenciana no puede invocar su competencia para conservarla, desarrollarla o modificarla </w:t>
      </w:r>
      <w:r w:rsidRPr="00A90898">
        <w:rPr>
          <w:i/>
        </w:rPr>
        <w:t>ex</w:t>
      </w:r>
      <w:r>
        <w:t xml:space="preserve"> art. 149.1.8 CE, por tratarse de una materia que nunca ha formado parte de su derecho civil, cuestión de la que discrepan los representantes del Gobierno autonómico y del Parlamento valenciano. Por ello, nuestro enjuiciamiento debe partir del encuadramiento competencial de las disposiciones que nos ocupan y del examen del título competencial que pueda tener incidencia en la materia regulada, así como del análisis de la reiterada jurisprudencia de este Tribunal Constitucional en relación con el alcance de las respectivas competencias.</w:t>
      </w:r>
    </w:p>
    <w:p w:rsidR="00A90898" w:rsidRDefault="00A90898" w:rsidP="00A90898">
      <w:pPr>
        <w:pStyle w:val="TextoNormal"/>
      </w:pPr>
    </w:p>
    <w:p w:rsidR="00A90898" w:rsidRDefault="00A90898" w:rsidP="00A90898">
      <w:pPr>
        <w:pStyle w:val="TextoNormal"/>
      </w:pPr>
      <w:r>
        <w:t>Las partes coinciden en el encuadramiento material de los preceptos impugnados, que se insertan en el ámbito relativo a la regulación de las relaciones paterno-filiales tras la ruptura de la convivencia de los progenitores, y cuya pertenencia a la materia civil no se discute. El ámbito material en el que deben incardinarse las normas cuestionadas es, por tanto, el relativo al Derecho civil, por ser ésta la materia directamente afectada, tal y como queda confirmado por la remisión que se realiza al art. 149.1.8 CE en el preámbulo de la Ley de las Cortes Valencianas 5/2011 en la que se contienen.</w:t>
      </w:r>
    </w:p>
    <w:p w:rsidR="00A90898" w:rsidRDefault="00A90898" w:rsidP="00A90898">
      <w:pPr>
        <w:pStyle w:val="TextoNormal"/>
      </w:pPr>
    </w:p>
    <w:p w:rsidR="00A90898" w:rsidRDefault="00A90898" w:rsidP="00A90898">
      <w:pPr>
        <w:pStyle w:val="TextoNormal"/>
      </w:pPr>
      <w:r>
        <w:t xml:space="preserve">Los preceptos de referencia para la resolución de este conflicto son, consiguientemente, los arts. 149.1.8 CE y 49.1.2 EAV que regulan la distribución de competencias entre el Estado y la Comunitat Autónoma en materia de Derecho civil. Según el primero, “[e]l Estado tiene competencia exclusiva sobre las siguientes materias: … Legislación civil, sin perjuicio de la conservación, modificación y desarrollo por las Comunidades Autónomas de los derechos civiles, forales o especiales, allí donde existan. En todo caso, las reglas relativas a la aplicación y eficacia de las normas jurídicas, relaciones jurídico-civiles relativas a las </w:t>
      </w:r>
      <w:r>
        <w:lastRenderedPageBreak/>
        <w:t>formas de matrimonio, ordenación de los registros e instrumentos públicos, bases de las obligaciones contractuales, normas para resolver los conflictos de leyes y determinación de las fuentes del derecho, con respeto, en este último caso, a las normas de derecho foral o especial”. Por su parte, el art. 49.1.2 EAV dispone que “[l]a Generalitat tiene competencia exclusiva sobre las siguientes materias: … Conservación, desarrollo y modificación del Derecho civil foral valenciano”.</w:t>
      </w:r>
    </w:p>
    <w:p w:rsidR="00A90898" w:rsidRDefault="00A90898" w:rsidP="00A90898">
      <w:pPr>
        <w:pStyle w:val="TextoNormal"/>
      </w:pPr>
    </w:p>
    <w:p w:rsidR="00A90898" w:rsidRDefault="00A90898" w:rsidP="00A90898">
      <w:pPr>
        <w:pStyle w:val="TextoNormal"/>
      </w:pPr>
      <w:r>
        <w:t>Junto a ellos, cuya aplicación al caso nadie discute, los órganos ejecutivo y legislativo de la Comunidad Valenciana citan también el art. 7.1 y la disposición transitoria tercera EAV y la Ley Orgánica 12/1982.</w:t>
      </w:r>
    </w:p>
    <w:p w:rsidR="00A90898" w:rsidRDefault="00A90898" w:rsidP="00A90898">
      <w:pPr>
        <w:pStyle w:val="TextoNormal"/>
      </w:pPr>
    </w:p>
    <w:p w:rsidR="00A90898" w:rsidRDefault="00A90898" w:rsidP="00A90898">
      <w:pPr>
        <w:pStyle w:val="TextoNormal"/>
      </w:pPr>
      <w:r>
        <w:t>a) Para los representantes autonómicos, a través de la Ley Orgánica 12/1982 la Comunidad Autónoma ha asumido plenamente la competencia exclusiva para legislar en materia de Derecho civil. Asunción que fue confirmada posteriormente por la Ley Orgánica 5/1994, de 24 de marzo, de reforma del Estatuto de Autonomía de 1982 y, finalmente, por la reforma de este mismo Estatuto por Ley Orgánica 1/2006. De esta manera, es la Ley Orgánica 12/1982 y no el Estatuto de Autonomía para la Comunidad Valenciana la que proporciona la solución a este conflicto.</w:t>
      </w:r>
    </w:p>
    <w:p w:rsidR="00A90898" w:rsidRDefault="00A90898" w:rsidP="00A90898">
      <w:pPr>
        <w:pStyle w:val="TextoNormal"/>
      </w:pPr>
    </w:p>
    <w:p w:rsidR="00A90898" w:rsidRDefault="00A90898" w:rsidP="00A90898">
      <w:pPr>
        <w:pStyle w:val="TextoNormal"/>
      </w:pPr>
      <w:r>
        <w:t>Como hemos expuesto en la STC 82/2016, a cuyo FJ 3 a) nos remitimos, tal asunción no resulta conforme con el modelo diseñado por la Constitución, al que debemos atenernos de acuerdo con el art. 1.1 de la Ley Orgánica del Tribunal Constitucional (LOTC). La competencia autonómica en materia de derecho civil foral valenciano tiene su origen en la transferencia efectuada por la Ley Orgánica 12/1982, pero en ningún caso podía ir más allá de lo dispuesto en el art. 149 CE, por lo que la competencia autonómica se debe situar necesariamente en el marco del art. 149.1.8 CE, que permite a las Comunidades Autónomas legislar en orden a la conservación, modificación y desarrollo del derecho civil foral o especial preexistente a la aprobación del texto constitucional, sin que la argumentación esgrimida por los recurrentes permita admitir la existencia de un derecho foral valenciano susceptible de actualización independientemente de su preexistencia [en este mismo sentido, STC 110/2016, FJ 3 b)].</w:t>
      </w:r>
    </w:p>
    <w:p w:rsidR="00A90898" w:rsidRDefault="00A90898" w:rsidP="00A90898">
      <w:pPr>
        <w:pStyle w:val="TextoNormal"/>
      </w:pPr>
    </w:p>
    <w:p w:rsidR="00A90898" w:rsidRDefault="00A90898" w:rsidP="00A90898">
      <w:pPr>
        <w:pStyle w:val="TextoNormal"/>
      </w:pPr>
      <w:r>
        <w:t>b) Asimismo, en el fundamento jurídico 3 b) de la STC 82/2016, y en el FJ 3 a) y c) de la STC 110/2016, se hacía constar que si bien la Comunidad Valenciana ha asumido estatutariamente la competencia en materia de “conservación, modificación y desarrollo” de su Derecho civil foral (art. 49.1.2 EAV), el calificativo “foral” incluido en la reforma estatutaria referido al derecho civil foral valenciano (art. 49.1.2 y disposición transitoria tercera EAV) no puede alterar el techo competencial establecido en el art. 149.1.8 CE. Ni la Ley Orgánica 12/1982, ni otros principios informadores de la actuación de los poderes públicos autonómicos contenidos en el Estatuto de Autonomía para la Comunidad Valenciana (en concreto en su art. 7.1 y disposición transitoria tercera) permiten modificar o superar el ámbito delimitado por el art. 149.1.8 CE.</w:t>
      </w:r>
    </w:p>
    <w:p w:rsidR="00A90898" w:rsidRDefault="00A90898" w:rsidP="00A90898">
      <w:pPr>
        <w:pStyle w:val="TextoNormal"/>
      </w:pPr>
    </w:p>
    <w:p w:rsidR="00A90898" w:rsidRDefault="00A90898" w:rsidP="00A90898">
      <w:pPr>
        <w:pStyle w:val="TextoNormal"/>
      </w:pPr>
      <w:r w:rsidRPr="00A90898">
        <w:rPr>
          <w:rStyle w:val="NumeroAFNegritaCaracter"/>
        </w:rPr>
        <w:t>3</w:t>
      </w:r>
      <w:r>
        <w:t>. Dado que el debate, una vez más, queda ceñido a la interpretación que debe dársele al citado art. 149.1.8 CE, cuestión a la que ha dado ya respuesta en numerosas ocasiones este Tribunal, y, concretamente, en el caso de la Comunidad Valenciana en la STC 82/2016, FJ 4, y en la STC 110/2016, FJ 5, debemos insistir en los siguientes puntos:</w:t>
      </w:r>
    </w:p>
    <w:p w:rsidR="00A90898" w:rsidRDefault="00A90898" w:rsidP="00A90898">
      <w:pPr>
        <w:pStyle w:val="TextoNormal"/>
      </w:pPr>
    </w:p>
    <w:p w:rsidR="00A90898" w:rsidRDefault="00A90898" w:rsidP="00A90898">
      <w:pPr>
        <w:pStyle w:val="TextoNormal"/>
      </w:pPr>
      <w:r>
        <w:lastRenderedPageBreak/>
        <w:t>a) “La expresión ‘allí donde existan’ referida a los derechos civiles forales o especiales, como presupuesto indispensable para ejercer la competencia legislativa ex art. 149.1.8 CE alude a la previa existencia de un Derecho civil propio (SSTC 28/2012, de 1 de marzo, FJ 3, y 81/2013, de 11 de abril, FJ 4). Una preexistencia que no debe valorarse además con referencia a cualquier coordenada temporal, como se pretende desde la Comunidad Autónoma, sino muy precisamente ‘al tiempo de la entrada en vigor de la Constitución’ (STC 121/1992, de 28 de septiembre, FJ 1) o ‘a la entrada en vigor de la Constitución’ (SSTC 88/1993, de 12 de marzo, FJ 1, y 31/2010, de 28 de junio, FJ 76), sin que sea lícito, remontarse a cualquier otro momento anterior.”</w:t>
      </w:r>
    </w:p>
    <w:p w:rsidR="00A90898" w:rsidRDefault="00A90898" w:rsidP="00A90898">
      <w:pPr>
        <w:pStyle w:val="TextoNormal"/>
      </w:pPr>
    </w:p>
    <w:p w:rsidR="00A90898" w:rsidRDefault="00A90898" w:rsidP="00A90898">
      <w:pPr>
        <w:pStyle w:val="TextoNormal"/>
      </w:pPr>
      <w:r>
        <w:t>La remisión a los “derechos civiles forales o especiales” alcanza “no solo a aquellos derechos civiles especiales que habían sido objeto de compilación al tiempo de la entrada en vigor de la Constitución, sino también a normas civiles de ámbito regional o local y de formación consuetudinaria preexistentes a la Constitución”, es decir, a aquellas que “‘tras la abolición de los Fueros y hasta nuestros días, subsistiera en el territorio de la Comunidad Autónoma, siendo notoria la inexistencia de toda regla escrita que, antes de la Ley hoy impugnada, ordenara en dicho ámbito cualquier instituto civil de modo especial respecto al Derecho común’ (STC 121/1992, FJ 1).”</w:t>
      </w:r>
    </w:p>
    <w:p w:rsidR="00A90898" w:rsidRDefault="00A90898" w:rsidP="00A90898">
      <w:pPr>
        <w:pStyle w:val="TextoNormal"/>
      </w:pPr>
    </w:p>
    <w:p w:rsidR="00A90898" w:rsidRDefault="00A90898" w:rsidP="00A90898">
      <w:pPr>
        <w:pStyle w:val="TextoNormal"/>
      </w:pPr>
      <w:r>
        <w:t>b) El contenido de la competencia está siempre vinculado a la “conservación, modificación y desarrollo” de ese Derecho civil foral o especial previamente existente, de modo que los concretos términos empleados por la Constitución son “los que dan positivamente la medida y el límite primero de las competencias así atribuibles y ejercitables y con arreglo a los que habrá que apreciar … la constitucionalidad o inconstitucionalidad de las normas en tal ámbito dictadas por el Legislador autonómico” [SSTC 88/1993, de 12 de marzo, FJ 1; 156/1993, de 6 de mayo, FJ 1 a); 31/2010, de 28 de junio, FJ 76; 4/2014, de 16 de enero, FJ 4 e), y 82/2016, FJ 4 b)].</w:t>
      </w:r>
    </w:p>
    <w:p w:rsidR="00A90898" w:rsidRDefault="00A90898" w:rsidP="00A90898">
      <w:pPr>
        <w:pStyle w:val="TextoNormal"/>
      </w:pPr>
    </w:p>
    <w:p w:rsidR="00A90898" w:rsidRDefault="00A90898" w:rsidP="00A90898">
      <w:pPr>
        <w:pStyle w:val="TextoNormal"/>
      </w:pPr>
      <w:r>
        <w:t>c) Conforme a nuestra doctrina, el art. 149.1.8 CE extiende la garantía de foralidad a aquellos derechos civiles especiales que habían sido objeto de compilación al tiempo de entrada en vigor de la Constitución Española, pero no a normas civiles de ámbito regional o local y de formación consuetudinaria cuya vigencia hubiera decaído antes de dicha fecha. Conviene destacar, además, que el art. 149.1.8 CE incluye también dentro de las competencias autonómicas al sistema de fuentes normativas propio de cada uno de los derechos forales, pues así se dispone expresamente en la norma constitucional citada (“y determinación de las fuentes del Derecho, con respeto en este último caso, a las normas de Derecho foral o especial”). En cuanto a la Comunidad Autónoma de Valencia, como ya pusimos de manifiesto, la costumbre es susceptible de legislarse, de tal modo que mediante el ejercicio de la competencia legislativa autonómica el derecho consuetudinario puede pasar a ser derecho legislado [STC 82/2016, FJ 4 d)].</w:t>
      </w:r>
    </w:p>
    <w:p w:rsidR="00A90898" w:rsidRDefault="00A90898" w:rsidP="00A90898">
      <w:pPr>
        <w:pStyle w:val="TextoNormal"/>
      </w:pPr>
    </w:p>
    <w:p w:rsidR="00A90898" w:rsidRDefault="00A90898" w:rsidP="00A90898">
      <w:pPr>
        <w:pStyle w:val="TextoNormal"/>
      </w:pPr>
      <w:r>
        <w:t xml:space="preserve">d) Ahora bien, es indispensable que cualquier institución jurídico civil, haya sido recogida por norma positiva o por norma consuetudinaria, respecto a la cual se pretenda emprender la tarea legislativa sin exceder de la competencia contemplada en el art. 149.1.8 CE, tenga previamente acreditada su existencia en el momento de entrada en vigor de la Constitución Española. Por tanto, no cabe más que reiterar lo declarado ya en la STC 121/1992, FJ 2: “la existencia de un especial régimen consuetudinario para determinados arrendamientos rústicos en el actual territorio de la Comunidad Autónoma valenciana se constituye en </w:t>
      </w:r>
      <w:r>
        <w:lastRenderedPageBreak/>
        <w:t xml:space="preserve">auténtico presupuesto </w:t>
      </w:r>
      <w:r w:rsidRPr="00A90898">
        <w:rPr>
          <w:i/>
        </w:rPr>
        <w:t>ex</w:t>
      </w:r>
      <w:r>
        <w:t xml:space="preserve"> art. 149.1.8 para el válido ejercicio de la competencia conferida por el art. 31.2 del Estatuto de Autonomía y que dicha competencia solo podrá ejercerse en la medida en que tal régimen consuetudinario sea efectivamente reconocible sobre el objeto ordenado, hasta la adopción de la Ley hoy impugnada, por la costumbre”, doctrina que se reitera en la reciente STC 82/2016, FJ 4 c).</w:t>
      </w:r>
    </w:p>
    <w:p w:rsidR="00A90898" w:rsidRDefault="00A90898" w:rsidP="00A90898">
      <w:pPr>
        <w:pStyle w:val="TextoNormal"/>
      </w:pPr>
    </w:p>
    <w:p w:rsidR="00A90898" w:rsidRDefault="00A90898" w:rsidP="00A90898">
      <w:pPr>
        <w:pStyle w:val="TextoNormal"/>
      </w:pPr>
      <w:r>
        <w:t>La reforma del Estatuto de Autonomía para la Comunidad Valenciana producida por la Ley Orgánica 1/2006 no puede conducir a modificar esta interpretación derivada del tenor de la norma constitucional. Tampoco podemos estimar la denuncia de la Generalitat Valenciana de padecer discriminación y desigualdad de trato en comparación con otras Comunidades Autónomas con competencias en materia de Derecho civil, pues el límite a las competencias autonómicas alcanza a todas ellas en los mismos términos expresados en el art. 149.1.8 CE.</w:t>
      </w:r>
    </w:p>
    <w:p w:rsidR="00A90898" w:rsidRDefault="00A90898" w:rsidP="00A90898">
      <w:pPr>
        <w:pStyle w:val="TextoNormal"/>
      </w:pPr>
    </w:p>
    <w:p w:rsidR="00A90898" w:rsidRDefault="00A90898" w:rsidP="00A90898">
      <w:pPr>
        <w:pStyle w:val="TextoNormal"/>
      </w:pPr>
      <w:r w:rsidRPr="00A90898">
        <w:rPr>
          <w:rStyle w:val="NumeroAFNegritaCaracter"/>
        </w:rPr>
        <w:t>4</w:t>
      </w:r>
      <w:r>
        <w:t>. Como hemos recordado recientemente con motivo de la impugnación de la Ley de las Cortes Valencianas 10/2007, de 20 de marzo, de régimen económico matrimonial valenciano, el derecho consuetudinario es fuente del ordenamiento (art. 1.1 CC) siempre que no sea contrario a la moral y al orden público, y que, en todo caso, su vigencia resulte acreditada. Y, por ello, “el hecho de que la Comunidad Autónoma valenciana haya asumido el desarrollo legislativo de sus instituciones civiles (EAV), permite que reglas de su ordenamiento que quedaron cristalizadas en normas consuetudinarias puedan llegar a convertirse en normas legales en virtud del ejercicio de tal competencia. Sin embargo, la cuestión planteada en el presente recurso no ha de centrarse en la competencia de Valencia para legislar sus costumbres —para lo que indudablemente posee competencia—, sino en determinar si las instituciones jurídicas que pretende convertir en norma legal, es decir, en derecho escrito legislado, pertenecen o no a su derecho consuetudinario” (STC 82/2016, FJ 5).</w:t>
      </w:r>
    </w:p>
    <w:p w:rsidR="00A90898" w:rsidRDefault="00A90898" w:rsidP="00A90898">
      <w:pPr>
        <w:pStyle w:val="TextoNormal"/>
      </w:pPr>
    </w:p>
    <w:p w:rsidR="00A90898" w:rsidRDefault="00A90898" w:rsidP="00A90898">
      <w:pPr>
        <w:pStyle w:val="TextoNormal"/>
      </w:pPr>
      <w:r>
        <w:t>Cuando se invoca una norma consuetudinaria la comprobación de su pervivencia y de su aplicación a través del tiempo es una exigencia requerida de manera general en cualquier ámbito del ordenamiento jurídico, incluido el ámbito de los derechos civiles, ya sean forales o especiales, o ya se trate del derecho civil común. La acreditación de su existencia es el corolario del principio general según el cual únicamente las costumbres notorias están exentas de prueba.</w:t>
      </w:r>
    </w:p>
    <w:p w:rsidR="00A90898" w:rsidRDefault="00A90898" w:rsidP="00A90898">
      <w:pPr>
        <w:pStyle w:val="TextoNormal"/>
      </w:pPr>
    </w:p>
    <w:p w:rsidR="00A90898" w:rsidRDefault="00A90898" w:rsidP="00A90898">
      <w:pPr>
        <w:pStyle w:val="TextoNormal"/>
      </w:pPr>
      <w:r>
        <w:t>Aplicando la doctrina de la citada STC 121/1992, resulta que la validez de la Ley de las Cortes Valencianas 5/2011, al igual que ocurría en relación al enjuiciamiento de la Ley de régimen económico matrimonial valenciano plasmado en la STC 82/2016, depende de que la Comunidad Autónoma acredite la pervivencia de reglas consuetudinarias en materia de relaciones paterno-filiales que estuvieran en vigor al aprobarse la Constitución Española de 1978. O, en su caso, como ocurría en relación con el enjuiciamiento de la Ley 5/2012, de uniones de hecho formalizadas de la Comunidad Valenciana, plasmado en la STC 110/2016, que pudiera acreditarse la pervivencia de otra institución civil diferente a la regulada pero “conexa” a ella que pudiera servir de base para estimar que estamos ante la competencia de “desarrollo” de su Derecho civil propio.</w:t>
      </w:r>
    </w:p>
    <w:p w:rsidR="00A90898" w:rsidRDefault="00A90898" w:rsidP="00A90898">
      <w:pPr>
        <w:pStyle w:val="TextoNormal"/>
      </w:pPr>
    </w:p>
    <w:p w:rsidR="00A90898" w:rsidRDefault="00A90898" w:rsidP="00A90898">
      <w:pPr>
        <w:pStyle w:val="TextoNormal"/>
      </w:pPr>
      <w:r>
        <w:t xml:space="preserve">Como se señala en la STC 82/2016, FJ 6, “tras los avatares codificadores y la solución dada a la llamada cuestión foral, donde no estaba Valencia, a día de hoy el art. 149.1.8 CE le reconoce competencia legislativa sobre aquellas materias civiles que forman parte de su </w:t>
      </w:r>
      <w:r>
        <w:lastRenderedPageBreak/>
        <w:t xml:space="preserve">acervo normativo o consuetudinario antes de la entrada en vigor de la Constitución. El EAV tanto en su redacción primigenia como en la reciente reforma, asume idéntica competencia sobre el derecho civil valenciano, pero tal competencia legislativa sólo puede tener por objeto las probadas y subsistentes costumbres forales que se hayan observado en determinadas zonas del territorio autonómico, siendo vetado a la Comunidad Autónoma valenciana, crear un Derecho civil </w:t>
      </w:r>
      <w:r w:rsidRPr="00A90898">
        <w:rPr>
          <w:i/>
        </w:rPr>
        <w:t>ex novo</w:t>
      </w:r>
      <w:r>
        <w:t>”.</w:t>
      </w:r>
    </w:p>
    <w:p w:rsidR="00A90898" w:rsidRDefault="00A90898" w:rsidP="00A90898">
      <w:pPr>
        <w:pStyle w:val="TextoNormal"/>
      </w:pPr>
    </w:p>
    <w:p w:rsidR="00A90898" w:rsidRDefault="00A90898" w:rsidP="00A90898">
      <w:pPr>
        <w:pStyle w:val="TextoNormal"/>
      </w:pPr>
      <w:r>
        <w:t>Por ello, la posible conexión entre los antiguos y derogados Furs del Reino de Valencia y las relaciones paterno-filiales reguladas en la Ley de las Cortes Valencianas 5/2011 no resulta relevante, ya que lo que debe probarse es la pervivencia en el año 1978 de las costumbres que pudieran servir de punto de conexión. A este respecto, a diferencia de lo que quedó establecido en relación a los arrendamientos históricos, aquí no se ha acreditado la subsistencia de tales costumbres [STC 121/1992, FJ 2 a)], lo que resultaba imprescindible de conformidad con nuestra doctrina (SSTC 121/1992, FJ 2, y 182 /1992, FJ 3).</w:t>
      </w:r>
    </w:p>
    <w:p w:rsidR="00A90898" w:rsidRDefault="00A90898" w:rsidP="00A90898">
      <w:pPr>
        <w:pStyle w:val="TextoNormal"/>
      </w:pPr>
    </w:p>
    <w:p w:rsidR="00A90898" w:rsidRDefault="00A90898" w:rsidP="00A90898">
      <w:pPr>
        <w:pStyle w:val="TextoNormal"/>
      </w:pPr>
      <w:r>
        <w:t>En suma, a la vista de las circunstancias concurrentes y de las razones expuestas, hemos de concluir que no se ha aportado prueba que permita apreciar la concurrencia de los requisitos que el art. 149.1.8 CE exige para que la Comunidad Autónoma de Valencia pueda regular las relaciones familiares de los hijos e hijas cuyos progenitores no conviven, en uso de su competencia para conservar, desarrollar o modificar su propio derecho civil valenciano. Lo cual va a determinar el sentido de la presente resolución, ya que no se ha demostrado pervivencia de normas consuetudinarias que permitieran reconocer siquiera una referencia a costumbres vigentes hasta 1978, tras la derogación de los antiguos fueros del Reino de Valencia.</w:t>
      </w:r>
    </w:p>
    <w:p w:rsidR="00A90898" w:rsidRDefault="00A90898" w:rsidP="00A90898">
      <w:pPr>
        <w:pStyle w:val="TextoNormal"/>
      </w:pPr>
    </w:p>
    <w:p w:rsidR="00A90898" w:rsidRDefault="00A90898" w:rsidP="00A90898">
      <w:pPr>
        <w:pStyle w:val="TextoNormal"/>
      </w:pPr>
      <w:r>
        <w:t>De todo lo hasta aquí expuesto se deriva la falta de competencia de la Comunidad Valenciana, en este caso, para regular las consecuencias civiles de las relaciones paterno-filiales tras la ruptura de la convivencia de los progenitores. Lo cual debe conducir a declarar la inconstitucionalidad de la totalidad de la Ley 5/2011, de 1 de abril, de la Generalitat, de relaciones familiares de los hijos e hijas cuyos progenitores no conviven, porque, a pesar de que efectivamente este Tribunal ha reconocido la posibilidad legítima de la Comunidad Valenciana de legislar las normas civiles consuetudinarias, en el caso de la materia de derecho de familia concernida no se ha probado su vigencia en el territorio autonómico y, en consecuencia, no se cumplen los requisitos exigidos por el art. 149.1.8 CE para el reconocimiento de la competencia a la Comunidad Autónoma.</w:t>
      </w:r>
    </w:p>
    <w:p w:rsidR="00A90898" w:rsidRDefault="00A90898" w:rsidP="00A90898">
      <w:pPr>
        <w:pStyle w:val="TextoNormal"/>
      </w:pPr>
    </w:p>
    <w:p w:rsidR="00A90898" w:rsidRDefault="00A90898" w:rsidP="00A90898">
      <w:pPr>
        <w:pStyle w:val="TextoNormal"/>
      </w:pPr>
      <w:r w:rsidRPr="00A90898">
        <w:rPr>
          <w:rStyle w:val="NumeroAFNegritaCaracter"/>
        </w:rPr>
        <w:t>5</w:t>
      </w:r>
      <w:r>
        <w:t>. En cuanto al alcance de nuestro pronunciamiento de inconstitucionalidad debe precisarse que no afectará a las situaciones jurídicas consolidadas, pues este Tribunal entiende que las decisiones adoptadas por los órganos judiciales durante la vigencia de la Ley 5/2011 que ahora se declara inconstitucional, en relación a la fijación de un determinado régimen de guardia y custodia para los hijos menores —independientemente de cuál fuera el régimen que indiquen como preferente o deseable los legisladores estatal y autonómico—, se fundaron en la recta aplicación del principio que rige esta materia que no es otro que el del beneficio y protección del interés del menor. Asimismo, conforme al principio constitucional de seguridad jurídica, procede el mantenimiento de las referidas situaciones ya consolidadas con anterioridad al momento de la presente resolución.</w:t>
      </w:r>
    </w:p>
    <w:p w:rsidR="00A90898" w:rsidRDefault="00A90898" w:rsidP="00A90898">
      <w:pPr>
        <w:pStyle w:val="TextoNormal"/>
      </w:pPr>
    </w:p>
    <w:p w:rsidR="00A90898" w:rsidRDefault="00A90898" w:rsidP="00A90898">
      <w:pPr>
        <w:pStyle w:val="TextoNormal"/>
      </w:pPr>
      <w:r>
        <w:lastRenderedPageBreak/>
        <w:t>Por todo lo cual, los regímenes de guardia y custodia establecidos judicialmente en los casos que hubieran sido pertinentes, adoptados bajo la supervisión del Ministerio Fiscal y en atención al superior beneficio de los menores, seguirán rigiéndose, tras la publicación de esta Sentencia, por el mismo régimen de guarda que hubiera sido en su momento ordenado judicialmente, sin que este pronunciamiento deba conllevar necesariamente la modificación de medidas a que se refiere el art. 775 LEC.</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presente recurso y, en consecuencia, declarar la inconstitucionalidad y consiguiente nulidad de la Ley de las Cortes Valencianas 5/2011, de 1 de abril, de relaciones familiares de los hijos e hijas cuyos progenitores no conviven, con los efectos previstos en el fundamento jurídico 5.</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dieciséis de noviembre de dos mil dieciséis.</w:t>
      </w:r>
    </w:p>
    <w:p w:rsidR="00A90898" w:rsidRDefault="00A90898" w:rsidP="00A90898">
      <w:pPr>
        <w:pStyle w:val="ParrafoNormal"/>
      </w:pPr>
    </w:p>
    <w:p w:rsidR="00A90898" w:rsidRDefault="00A90898" w:rsidP="00A90898">
      <w:pPr>
        <w:pStyle w:val="TextoNormalNegritaCentrado"/>
        <w:keepNext/>
      </w:pPr>
      <w:r>
        <w:t>Voto particular que formula el Magistrado don Juan Antonio Xiol Ríos a la Sentencia dictada en el recurso de inconstitucionalidad número 3859-2011.</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Pleno en la que se sustenta la Sentencia, manifiesto mi discrepancia con su fundamentación jurídica y con su fallo, que, en mi opinión, hubiera debido ser íntegramente desestimatorio.</w:t>
      </w:r>
    </w:p>
    <w:p w:rsidR="00A90898" w:rsidRDefault="00A90898" w:rsidP="00A90898">
      <w:pPr>
        <w:pStyle w:val="TextoNormal"/>
      </w:pPr>
    </w:p>
    <w:p w:rsidR="00A90898" w:rsidRDefault="00A90898" w:rsidP="00A90898">
      <w:pPr>
        <w:pStyle w:val="TextoNormal"/>
      </w:pPr>
      <w:r>
        <w:t>La opinión mayoritaria en la que se sustenta la Sentencia fundamenta la inconstitucionalidad de determinados preceptos con contenido civil de la Ley 5/2011, de 1 de abril, de relaciones familiares de los hijos e hijas cuyos progenitores no conviven de la Comunitat Valenciana en la doctrina constitucional sentada en la STC 82/2016, de 28 de abril, en que se resolvió el recurso de inconstitucionalidad número 9888-2007 interpuesto contra la Ley 10/2007, de 20 de marzo, de régimen económico matrimonial valenciano; que fue posteriormente aplicada en la STC 110/2016, de 9 de junio, en que se resolvió el recurso de inconstitucionalidad número 4522-2013 interpuesto contra la Ley 5/2012, de 15 de octubre, de uniones de hechos formalizadas de la Comunitat Valenciana.</w:t>
      </w:r>
    </w:p>
    <w:p w:rsidR="00A90898" w:rsidRDefault="00A90898" w:rsidP="00A90898">
      <w:pPr>
        <w:pStyle w:val="TextoNormal"/>
      </w:pPr>
    </w:p>
    <w:p w:rsidR="00A90898" w:rsidRDefault="00A90898" w:rsidP="00A90898">
      <w:pPr>
        <w:pStyle w:val="TextoNormal"/>
      </w:pPr>
      <w:r>
        <w:t xml:space="preserve">Las razones de mi discrepancia con la doctrina establecida en las SSTC 82/2016 y 110/2016 ya fueron expuestas en sendos Votos particulares que formulé contra dichas Sentencias en que me manifesté en defensa de la constitucionalidad de las competencias que ostenta la Comunitat Valenciana en materia de Derecho civil foral referidas a la regulación del matrimonio. Aquellas razones son íntegramente extensibles a los aspectos civiles de la normativa ahora controvertida sobre relaciones familiares de los hijos con sus progenitores no convivientes que se ha declarado inconstitucional por razones competenciales. Esto es, creo que también la regulación normativa valenciana ahora controvertida (i) se funda en una </w:t>
      </w:r>
      <w:r>
        <w:lastRenderedPageBreak/>
        <w:t>competencia reconocida inequívocamente en la reforma del Estatuto de Autonomía de la Comunitat Valenciana; (ii) los derechos históricos en materia de instituciones privadas son reconocidos por el Tribunal Constitucional cuando se consagran en un estatuto de autonomía; y (iii) aunque no fuera así, dentro de las competencias ordinarias en materia de Derecho civil, la Comunitat Valenciana puede regular esta materia.</w:t>
      </w:r>
    </w:p>
    <w:p w:rsidR="00A90898" w:rsidRDefault="00A90898" w:rsidP="00A90898">
      <w:pPr>
        <w:pStyle w:val="TextoNormal"/>
      </w:pPr>
    </w:p>
    <w:p w:rsidR="00A90898" w:rsidRDefault="00A90898" w:rsidP="00A90898">
      <w:pPr>
        <w:pStyle w:val="TextoNormal"/>
      </w:pPr>
      <w:r>
        <w:t>En este caso, creo que es necesario insistir en dichas ideas, tal como las expuse en el Voto particular formulado a la citada STC 82/2016, del que los siguientes apartados es una reproducción:</w:t>
      </w:r>
    </w:p>
    <w:p w:rsidR="00A90898" w:rsidRDefault="00A90898" w:rsidP="00A90898">
      <w:pPr>
        <w:pStyle w:val="TextoNormal"/>
      </w:pPr>
    </w:p>
    <w:p w:rsidR="00A90898" w:rsidRDefault="00A90898" w:rsidP="00A90898">
      <w:pPr>
        <w:pStyle w:val="TextoNormal"/>
      </w:pPr>
      <w:r>
        <w:t>“1. La ley impugnada se funda en una competencia reconocida inequívocamente en la reforma del Estatuto de Autonomía de la Comunitat Valenciana.</w:t>
      </w:r>
    </w:p>
    <w:p w:rsidR="00A90898" w:rsidRDefault="00A90898" w:rsidP="00A90898">
      <w:pPr>
        <w:pStyle w:val="TextoNormal"/>
      </w:pPr>
    </w:p>
    <w:p w:rsidR="00A90898" w:rsidRDefault="00A90898" w:rsidP="00A90898">
      <w:pPr>
        <w:pStyle w:val="TextoNormal"/>
      </w:pPr>
      <w:r>
        <w:t>La modificación del año 2006 del Estatuto de Autonomía de la Comunitat Valenciana ha alterado sustancialmente la competencia de esta comunidad autónoma en materia civil, pues (i) en general para todas las competencias, el art. 7.1 dirige un mandato a la Generalitat para ‘la recuperación de los contenidos correspondientes de los Fueros del histórico Reino de Valencia’; (ii) específicamente en materia civil, la disposición transitoria tercera realiza de manera expresa una consagración de la ‘competencia exclusiva’ sobre el ‘Derecho civil foral valenciano’, ejercida ‘a partir de la normativa foral del histórico Reino de Valencia, que se recupera y actualiza al amparo de la Constitución Española’ y (iii) en el art. 49.1.2 reconoce la competencia de la Comunidad para la ‘[c]onservación, desarrollo y modificación’ del Derecho civil valenciano, ahora calificado reiteradamente a lo largo del nuevo de Estatuto de Autonomía (en las seis ocasiones en que aparece) como ‘foral’, frente a ninguna en el texto originario.</w:t>
      </w:r>
    </w:p>
    <w:p w:rsidR="00A90898" w:rsidRDefault="00A90898" w:rsidP="00A90898">
      <w:pPr>
        <w:pStyle w:val="TextoNormal"/>
      </w:pPr>
    </w:p>
    <w:p w:rsidR="00A90898" w:rsidRDefault="00A90898" w:rsidP="00A90898">
      <w:pPr>
        <w:pStyle w:val="TextoNormal"/>
      </w:pPr>
      <w:r>
        <w:t>La opinión mayoritaria en que se funda la sentencia, sin embargo, parte de la suposición de que la situación competencial de la Comunitat Valenciana en materia de Derecho civil es exactamente la misma que con anterioridad a la modificación del año 2006, a pesar de que en el primitivo Estatuto de Autonomía no se hacía referencia alguna al Derecho foral histórico. Para sustentar esta posición afirma que la disposición transitoria y el artículo séptimo carecen de relevancia alguna desde el punto de vista competencial. Considera, en suma, que el único artículo relevante a efectos competenciales es el citado artículo 49.1.2 (que, por cierto, también incluye por vez primera la palabra ‘foral’).</w:t>
      </w:r>
    </w:p>
    <w:p w:rsidR="00A90898" w:rsidRDefault="00A90898" w:rsidP="00A90898">
      <w:pPr>
        <w:pStyle w:val="TextoNormal"/>
      </w:pPr>
    </w:p>
    <w:p w:rsidR="00A90898" w:rsidRDefault="00A90898" w:rsidP="00A90898">
      <w:pPr>
        <w:pStyle w:val="TextoNormal"/>
      </w:pPr>
      <w:r>
        <w:t xml:space="preserve">A mi juicio resulta del todo imposible desconocer la importancia que tiene en materia competencial la citada disposición transitoria (que, recordemos, invoca la ‘competencia exclusiva’ en materia civil), el artículo séptimo, y, en su conjunto, la apelación a la normativa foral histórica del Reino de Valencia, reiterada persistentemente en el nuevo Estatuto. Mantener que las referidas disposiciones carecen de relevancia competencial alguna implica, a mi juicio, una trivialización de la modificación del Estatuto de Autonomía y, en último término, del Estatuto en sí y de la normativa foral histórica cuya recuperación se ordena en el marco del ejercicio de la competencia en Derecho civil de la Generalitat. Por no salirme de las referencias al Código civil felizmente gratas (al menos en este caso) a la opinión mayoritaria, debo recordar que una norma capital en la interpretación de los contratos, unánimemente considerada aplicable también a cualquier proposición jurídica, y por ende, a las normas, establece que si una cláusula admite diversos sentidos deberá entenderse en el más </w:t>
      </w:r>
      <w:r>
        <w:lastRenderedPageBreak/>
        <w:t>adecuado para que produzca efecto. Con la interpretación que sustenta la opinión mayoritaria la disposición transitoria tercera del Estatuto de Autonomía se limitaría a dirigir un evanescente mandato al legislador para que al desarrollar el Derecho civil trate de armonizarlo con el contenido de los antiguos fueros. Este mandato, aparte de estéril, no tendría sentido, habida cuenta del carácter consuetudinario al que la propia opinión mayoritaria reduce el alcance del Derecho civil valenciano.</w:t>
      </w:r>
    </w:p>
    <w:p w:rsidR="00A90898" w:rsidRDefault="00A90898" w:rsidP="00A90898">
      <w:pPr>
        <w:pStyle w:val="TextoNormal"/>
      </w:pPr>
    </w:p>
    <w:p w:rsidR="00A90898" w:rsidRDefault="00A90898" w:rsidP="00A90898">
      <w:pPr>
        <w:pStyle w:val="TextoNormal"/>
      </w:pPr>
      <w:r>
        <w:t>El texto de la referida disposición transitoria, en relación con el artículo 7.1 del Estatuto de Autonomía, hace prevalecer sin lugar a dudas la interpretación de que en ella se trata de la recuperación de la normativa histórica de la Comunidad Valenciana vinculada a los antiguos fueros (no se opone a ello la discutible opinión mayoritaria según la cual Valencia ha estado ausente de la ‘cuestión foral’), y así se deduce también del devenir histórico de su aprobación.</w:t>
      </w:r>
    </w:p>
    <w:p w:rsidR="00A90898" w:rsidRDefault="00A90898" w:rsidP="00A90898">
      <w:pPr>
        <w:pStyle w:val="TextoNormal"/>
      </w:pPr>
    </w:p>
    <w:p w:rsidR="00A90898" w:rsidRDefault="00A90898" w:rsidP="00A90898">
      <w:pPr>
        <w:pStyle w:val="TextoNormal"/>
      </w:pPr>
      <w:r>
        <w:t>El rigor imponía que, como traté de exponer durante la deliberación con más extensión que en este Voto particular (agradeciendo la paciencia demostrada por mis colegas), el Tribunal se plantease si la recuperación del Derecho histórico valenciano cabe o no en la Constitución. En el caso de que la respuesta mayoritaria, como parece inevitable (en contra de mi criterio), hubiera sido negativa, habría sido necesario que el Tribunal se hubiera planteado la constitucionalidad de la disposición transitoria tercera del Estatuto de Autonomía, pues así lo ordena la Ley Orgánica del Tribunal Constitucional. Según esta ley si la competencia controvertida hubiera sido atribuida por ley o norma con rango de ley (y un estatuto de autonomía es una ley orgánica definidora de las competencias de la comunidad autónoma), el conflicto de competencia se tramitará desde su inicio o, en su caso, desde que en defensa de la competencia ejercida se invocare la existencia de la norma legal habilitante, en la forma prevista para el recurso de inconstitucionalidad (artículo 67).</w:t>
      </w:r>
    </w:p>
    <w:p w:rsidR="00A90898" w:rsidRDefault="00A90898" w:rsidP="00A90898">
      <w:pPr>
        <w:pStyle w:val="TextoNormal"/>
      </w:pPr>
    </w:p>
    <w:p w:rsidR="00A90898" w:rsidRDefault="00A90898" w:rsidP="00A90898">
      <w:pPr>
        <w:pStyle w:val="TextoNormal"/>
      </w:pPr>
      <w:r>
        <w:t>Es decir, en el supuesto enjuiciado resulta improcedente plantearse aisladamente la inconstitucionalidad del acto dictado en el ejercicio la competencia controvertida, en este caso la Ley de Régimen económico matrimonial valenciano, pues esta trae causa directamente del Estatuto. La doctrina ha admitido profusamente el llamado incidente de constitucionalidad dentro de los procesos constitucionales, a pesar de la opinión contraria mantenida en la deliberación y quizá implícita en la sentencia.</w:t>
      </w:r>
    </w:p>
    <w:p w:rsidR="00A90898" w:rsidRDefault="00A90898" w:rsidP="00A90898">
      <w:pPr>
        <w:pStyle w:val="TextoNormal"/>
      </w:pPr>
    </w:p>
    <w:p w:rsidR="00A90898" w:rsidRDefault="00A90898" w:rsidP="00A90898">
      <w:pPr>
        <w:pStyle w:val="TextoNormal"/>
      </w:pPr>
      <w:r>
        <w:t>La supuesta osadía que alguien pudiera ver en el hecho de (auto)plantearse la inconstitucionalidad del Estatuto de Autonomía queda notablemente compensada por el riesgo de trivialización que supone esterilizar y convertir en yermos preceptos de sustancial importancia pertenecientes a una norma que tiene carácter institucional básico para la comunidad autónoma y que, como reiteradamente ha dicho el Tribunal, forma parte del bloque de la constitucionalidad y, como tal, es parámetro de constitucionalidad desde el punto de vista de la atribución de competencias.</w:t>
      </w:r>
    </w:p>
    <w:p w:rsidR="00A90898" w:rsidRDefault="00A90898" w:rsidP="00A90898">
      <w:pPr>
        <w:pStyle w:val="TextoNormal"/>
      </w:pPr>
    </w:p>
    <w:p w:rsidR="00A90898" w:rsidRDefault="00A90898" w:rsidP="00A90898">
      <w:pPr>
        <w:pStyle w:val="TextoNormal"/>
      </w:pPr>
      <w:r>
        <w:t>2. Los derechos históricos en materia de instituciones privadas son reconocidos por el Tribunal Constitucional cuando se consagran en un estatuto de autonomía.</w:t>
      </w:r>
    </w:p>
    <w:p w:rsidR="00A90898" w:rsidRDefault="00A90898" w:rsidP="00A90898">
      <w:pPr>
        <w:pStyle w:val="TextoNormal"/>
      </w:pPr>
    </w:p>
    <w:p w:rsidR="00A90898" w:rsidRDefault="00A90898" w:rsidP="00A90898">
      <w:pPr>
        <w:pStyle w:val="TextoNormal"/>
      </w:pPr>
      <w:r>
        <w:t xml:space="preserve">Según la posición predominante en la doctrina, de acuerdo con determinada interpretación histórica, aceptada por la jurisprudencia constitucional, la disposición adicional primera de la Constitución, que consagra la actualización de los derechos históricos de los </w:t>
      </w:r>
      <w:r>
        <w:lastRenderedPageBreak/>
        <w:t>territorios forales, únicamente puede entenderse referida al País Vasco y a Navarra, es decir, a los territorios forales así denominados tradicionalmente. Con ello se excluye a las demás comunidades con antecedentes forales de la posibilidad de ser reconocidas como titulares de derechos de esta naturaleza.</w:t>
      </w:r>
    </w:p>
    <w:p w:rsidR="00A90898" w:rsidRDefault="00A90898" w:rsidP="00A90898">
      <w:pPr>
        <w:pStyle w:val="TextoNormal"/>
      </w:pPr>
    </w:p>
    <w:p w:rsidR="00A90898" w:rsidRDefault="00A90898" w:rsidP="00A90898">
      <w:pPr>
        <w:pStyle w:val="TextoNormal"/>
      </w:pPr>
      <w:r>
        <w:t>Esta restricción del ámbito geográfico de reconocimiento de los derechos históricos por parte de la Constitución por la jurisprudencia constitucional se refiere específicamente al Derecho público: es decir, a las instituciones de autogobierno. La jurisprudencia antigua del Tribunal Constitucional no se pronunció en cuanto a la posible recuperación de derechos históricos en materia de Derecho privado por parte de otros territorios.</w:t>
      </w:r>
    </w:p>
    <w:p w:rsidR="00A90898" w:rsidRDefault="00A90898" w:rsidP="00A90898">
      <w:pPr>
        <w:pStyle w:val="TextoNormal"/>
      </w:pPr>
    </w:p>
    <w:p w:rsidR="00A90898" w:rsidRDefault="00A90898" w:rsidP="00A90898">
      <w:pPr>
        <w:pStyle w:val="TextoNormal"/>
      </w:pPr>
      <w:r>
        <w:t>La primera vez en que el Tribunal Constitucional se enfrenta con esa materia es en la STC 31/2010, de 28 de junio, sobre el Estatuto de Autonomía de Cataluña, que resolvió diversas cuestiones relacionadas con el Derecho civil catalán, al abordar la cuestión relativa al papel de los derechos históricos.</w:t>
      </w:r>
    </w:p>
    <w:p w:rsidR="00A90898" w:rsidRDefault="00A90898" w:rsidP="00A90898">
      <w:pPr>
        <w:pStyle w:val="TextoNormal"/>
      </w:pPr>
    </w:p>
    <w:p w:rsidR="00A90898" w:rsidRDefault="00A90898" w:rsidP="00A90898">
      <w:pPr>
        <w:pStyle w:val="TextoNormal"/>
      </w:pPr>
      <w:r>
        <w:t xml:space="preserve">El Tribunal Constitucional comprueba (FJ 10) que, "[d]e acuerdo con el art. 5 EAC ‘[e]l autogobierno de Cataluña se fundamenta también en los derechos históricos del pueblo catalán, en sus instituciones seculares y en la tradición jurídica catalana, que el presente Estatuto incorpora y actualiza al amparo del artículo 2, la disposición transitoria segunda y otros preceptos de la Constitución’”. A juicio de los recurrentes en aquel proceso, esto “supone recabar para el Estatuto de Autonomía una facultad de actualización de los derechos históricos y, con ella, de asunción de competencias por los cauces que la Constitución ha reservado a los territorios forales en su disposición adicional primera.’ Pues bien, el Tribunal Constitucional afirma que ‘[t]anto los derechos históricos como las instituciones seculares y la tradición jurídica de Cataluña invocados por el precepto son únicamente aquellos de los que deriva el reconocimiento de una posición singular de la Generalitat en relación con el derecho civil … Se trata, pues, de derechos históricos en un sentido bien distinto del que corresponde a los derechos de los territorios forales a que se refiere la disposición adicional primera de la Constitución. Y ello porque </w:t>
      </w:r>
      <w:r w:rsidRPr="00A90898">
        <w:rPr>
          <w:i/>
        </w:rPr>
        <w:t>se refieren a derechos y tradiciones de Derecho privado</w:t>
      </w:r>
      <w:r>
        <w:t xml:space="preserve"> o, en el ámbito del Derecho público, al derecho que la disposición transitoria segunda de la Constitución ha querido atribuir a los territorios que en el pasado hubieran plebiscitado Estatutos de autonomía … Sólo de manera impropia podría entenderse que tales derechos históricos son también, jurídicamente, fundamento del autogobierno de Cataluña’. (Resaltado mío).</w:t>
      </w:r>
    </w:p>
    <w:p w:rsidR="00A90898" w:rsidRDefault="00A90898" w:rsidP="00A90898">
      <w:pPr>
        <w:pStyle w:val="TextoNormal"/>
      </w:pPr>
    </w:p>
    <w:p w:rsidR="00A90898" w:rsidRDefault="00A90898" w:rsidP="00A90898">
      <w:pPr>
        <w:pStyle w:val="TextoNormal"/>
      </w:pPr>
      <w:r>
        <w:t>La Sentencia termina haciendo una interpretación constitucional del art. 5 del Estatuto de Autonomía de Cataluña (EAC), con arreglo al cual este "no es contrario a la Constitución interpretado en el sentido de que su inciso ‘en los derechos históricos del pueblo catalán’ no remite al contenido de la disposición adicional primera de la Constitución ni es fundamento jurídico propio del autogobierno de Cataluña al margen de la Constitución misma, y así se dispondrá en el fallo."</w:t>
      </w:r>
    </w:p>
    <w:p w:rsidR="00A90898" w:rsidRDefault="00A90898" w:rsidP="00A90898">
      <w:pPr>
        <w:pStyle w:val="TextoNormal"/>
      </w:pPr>
    </w:p>
    <w:p w:rsidR="00A90898" w:rsidRDefault="00A90898" w:rsidP="00A90898">
      <w:pPr>
        <w:pStyle w:val="TextoNormal"/>
      </w:pPr>
      <w:r>
        <w:t xml:space="preserve">En suma, el Tribunal Constitucional reconoce relevancia al mandato de actualización de derechos históricos en materia de Derecho privado cuando se incorpora a un Estatuto de Autonomía, entendiendo que dicho reconocimiento, por operar en el campo del Derecho privado, no se opone a la limitación geográfica impuesta por la disposición adicional primera de la Constitución, mientras que, en el campo del Derecho público, la única referencia </w:t>
      </w:r>
      <w:r>
        <w:lastRenderedPageBreak/>
        <w:t>válida a los derechos históricos es la que deriva del reconocimiento de una vía especial de acceso a la autonomía al amparo de la disposición transitoria segunda de la Constitución.</w:t>
      </w:r>
    </w:p>
    <w:p w:rsidR="00A90898" w:rsidRDefault="00A90898" w:rsidP="00A90898">
      <w:pPr>
        <w:pStyle w:val="TextoNormal"/>
      </w:pPr>
    </w:p>
    <w:p w:rsidR="00A90898" w:rsidRDefault="00A90898" w:rsidP="00A90898">
      <w:pPr>
        <w:pStyle w:val="TextoNormal"/>
      </w:pPr>
      <w:r>
        <w:t>No es discutible que la actualización de derechos históricos, posible en el campo del Derecho privado siempre que la establezca un Estatuto de Autonomía, ha de tener lugar de conformidad con la Constitución, como el Estatuto de Autonomía de la Comunitat Valenciana reconoce repetidamente. Hay que suponer que según la opinión mayoritaria en que se funda la sentencia esta recuperación no sería posible en la Comunitat Valenciana, puesto que el régimen histórico foral valenciano no estaba vigente en el momento de la entrada en vigor de la Constitución.</w:t>
      </w:r>
    </w:p>
    <w:p w:rsidR="00A90898" w:rsidRDefault="00A90898" w:rsidP="00A90898">
      <w:pPr>
        <w:pStyle w:val="TextoNormal"/>
      </w:pPr>
    </w:p>
    <w:p w:rsidR="00A90898" w:rsidRDefault="00A90898" w:rsidP="00A90898">
      <w:pPr>
        <w:pStyle w:val="TextoNormal"/>
      </w:pPr>
      <w:r>
        <w:t xml:space="preserve">A mi juicio, esta objeción carece de valor por las siguientes razones: (i) El concepto general de actualización de los derechos históricos, una vez admitido por la jurisprudencia constitucional, carece de sentido alguno en el marco del Derecho privado si no se entiende que puede referirse a sistemas no vigentes en el momento de la entrada en vigor de la Constitución, pues para los que se hallaban vigentes en esta fecha no cabe hablar de actualización o recuperación de derechos históricos, sino simplemente de conservación de sistemas vigentes; (ii) la jurisprudencia del Tribunal Constitucional ha venido efectivamente diciendo que los derechos forales o especiales reconocidos por el artículo 149.1.8 CE solo son aquellos vigentes al momento de la entrada en vigor de la Constitución; sin embargo, esta afirmación se ha hecho siempre con el carácter de </w:t>
      </w:r>
      <w:r w:rsidRPr="00A90898">
        <w:rPr>
          <w:i/>
        </w:rPr>
        <w:t>obiter dictum</w:t>
      </w:r>
      <w:r>
        <w:t>, pues los casos resueltos se refieren a instituciones la controversia acerca de las cuales no versaba sobre el momento de su vigencia, sino únicamente sobre su valor como Derecho civil foral o especial o su conexión con el Derecho foral; o a costumbres en las cuales, por su naturaleza de normas fundadas en la repetición consciente de conductas como obligatorias, la vigencia se confunde con la existencia; (iii) entender que una frase tan genérica como ‘allí donde existan’, utilizada por el artículo 149.1.8 CE exige el dato de la vigencia efectiva del Derecho foral o especial en el momento de la entrada en vigor de la Constitución, que es la tesis que propugna la opinión mayoritaria en que se funda la Sentencia, tiene su fundamento, a mi juicio, en una concepción restrictiva de los Derechos civiles territoriales, entendidos como realidades históricas residuales que deben conservarse provisionalmente o ‘por ahora’ en los territorios donde ‘subsistan’, como decía en su redacción original el Código civil. No parece necesario esforzarse en demostrar que esta concepción residual no es la que mantiene la Constitución, que habla de una manera amplia de la legislación en materia de “derechos forales o especiales” como competencia ordinaria de determinadas Comunidades Autónomas y reserva al Estado concretas materias que son las que verdaderamente se considera necesario mantener frente a estos derechos en el ámbito de su competencia exclusiva; (iv) tratándose de los derechos históricos por antonomasia, es decir, de los pertenecientes en el ámbito del Derecho público al País Vasco y la Comunidad Foral de Navarra, resulta una evidencia histórica que no todos los derechos reconocidos en este ámbito territorial estaban vigentes en el momento de la entrada en vigor de la Constitución, pues el concierto económico para Guipúzcoa y Vizcaya se restauró prácticamente de forma contemporánea a la Constitución, tras un largo periodo de supresión, y otros derechos históricos, como la existencia de una policía propia en el País Vasco, se remontan a realidades históricas anteriores.</w:t>
      </w:r>
    </w:p>
    <w:p w:rsidR="00A90898" w:rsidRDefault="00A90898" w:rsidP="00A90898">
      <w:pPr>
        <w:pStyle w:val="TextoNormal"/>
      </w:pPr>
    </w:p>
    <w:p w:rsidR="00A90898" w:rsidRDefault="00A90898" w:rsidP="00A90898">
      <w:pPr>
        <w:pStyle w:val="TextoNormal"/>
      </w:pPr>
      <w:r>
        <w:t xml:space="preserve">A mi juicio, por consiguiente, no existe óbice alguno para admitir que no se opone al artículo 149.1.8 CE el reconocimiento de un sistema de Derecho privado foral por parte del Estatuto de Autonomía, aun cuando no estuviera vigente en el momento de la entrada en </w:t>
      </w:r>
      <w:r>
        <w:lastRenderedPageBreak/>
        <w:t>vigor de la Constitución, siempre que sea posible calificarlo como sistema de Derecho privado efectivamente vigente en el ámbito histórico, geográfico y sustantivo propio de los Derechos forales, como, sin que quepa duda alguna razonable en términos historiográficos, es el caso del Derecho foral de Valencia.</w:t>
      </w:r>
    </w:p>
    <w:p w:rsidR="00A90898" w:rsidRDefault="00A90898" w:rsidP="00A90898">
      <w:pPr>
        <w:pStyle w:val="TextoNormal"/>
      </w:pPr>
    </w:p>
    <w:p w:rsidR="00A90898" w:rsidRDefault="00A90898" w:rsidP="00A90898">
      <w:pPr>
        <w:pStyle w:val="TextoNormal"/>
      </w:pPr>
      <w:r>
        <w:t>3. Aunque no fuera así, dentro de las competencias ordinarias en materia de Derecho civil, la Comunitat Valenciana puede regular esta materia.</w:t>
      </w:r>
    </w:p>
    <w:p w:rsidR="00A90898" w:rsidRDefault="00A90898" w:rsidP="00A90898">
      <w:pPr>
        <w:pStyle w:val="TextoNormal"/>
      </w:pPr>
    </w:p>
    <w:p w:rsidR="00A90898" w:rsidRDefault="00A90898" w:rsidP="00A90898">
      <w:pPr>
        <w:pStyle w:val="TextoNormal"/>
      </w:pPr>
      <w:r>
        <w:t>Si se admite, siguiendo la propia argumentación de la opinión mayoritaria en que se sustenta la sentencia, que existe un Derecho consuetudinario valenciano que tiene el valor de Derecho foral desde el punto de vista del artículo 149.1.8 CE (es decir, que existe competencia legislativa de la Comunidad Autónoma sobre su Derecho foral), parece inexplicable que la posible calificación de la ley impugnada como integrante del Derecho foral se busque en unos hipotéticos antecedentes consuetudinarios, exigiendo la prueba de su existencia en el momento de la entrada en vigor de la Constitución, y no, de acuerdo con jurisprudencia constitucional reiterada, en la posible relación de conexión existente entre la ley impugnada y las instituciones reconocidas como forales, las cuales han adquirido, como la opinión de la que disiento reconoce, rango legislativo.</w:t>
      </w:r>
    </w:p>
    <w:p w:rsidR="00A90898" w:rsidRDefault="00A90898" w:rsidP="00A90898">
      <w:pPr>
        <w:pStyle w:val="TextoNormal"/>
      </w:pPr>
    </w:p>
    <w:p w:rsidR="00A90898" w:rsidRDefault="00A90898" w:rsidP="00A90898">
      <w:pPr>
        <w:pStyle w:val="TextoNormal"/>
      </w:pPr>
      <w:r>
        <w:t>Como es sabido, una vez reconocido el sistema de Derecho civil foral o especial como fundamento de las competencias civiles de la comunidad autónoma, la jurisprudencia del Tribunal Constitucional sigue un criterio muy amplio para determinar el alcance de sus competencias normativas, fundado en los principios constitucionales de ‘desarrollo’ y ‘modificación’.</w:t>
      </w:r>
    </w:p>
    <w:p w:rsidR="00A90898" w:rsidRDefault="00A90898" w:rsidP="00A90898">
      <w:pPr>
        <w:pStyle w:val="TextoNormal"/>
      </w:pPr>
    </w:p>
    <w:p w:rsidR="00A90898" w:rsidRDefault="00A90898" w:rsidP="00A90898">
      <w:pPr>
        <w:pStyle w:val="TextoNormal"/>
      </w:pPr>
      <w:r>
        <w:t>Esta jurisprudencia se basa en algunos puntos capitales: (i) ‘El término ‘allí donde existan’ a que se refiere el art. 149.1.8 CE, al delimitar la competencia autonómica en la materia, ha de entenderse más por referencia al Derecho foral en su conjunto que a instituciones forales concretas’ (STS 88/1993, FJ 3, entre otras); (ii)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(STS 88/1993, FJ 3, entre otras); (iii) “[L]as competencias autonómicas para ‘desarrollar’, en lo que aquí interesa, el propio Derecho civil pueden dar lugar a la actualización y crecimiento orgánico de este y, en concreto, a la regulación de materias que, aun ausentes del texto originario de la Compilación, guarden una relación de conexión suficiente con institutos ya disciplinados en aquella o en otras normas integrantes del propio ordenamiento civil.’ (STC 156/1993, FJ 6, entre otras).</w:t>
      </w:r>
    </w:p>
    <w:p w:rsidR="00A90898" w:rsidRDefault="00A90898" w:rsidP="00A90898">
      <w:pPr>
        <w:pStyle w:val="TextoNormal"/>
      </w:pPr>
    </w:p>
    <w:p w:rsidR="00A90898" w:rsidRDefault="00A90898" w:rsidP="00A90898">
      <w:pPr>
        <w:pStyle w:val="TextoNormal"/>
      </w:pPr>
      <w:r>
        <w:t xml:space="preserve">Estas condiciones se cumplen en la Comunitat Valenciana, pues, (i) reconocida la vigencia del Derecho foral valenciano por la vía de la prueba de la existencia de instituciones consuetudinarias en el momento de la entrada en vigor de la Constitución (dado que la garantía de la foralidad, según infiere de la STC 121/1993 la opinión mayoritaria, alcanza a normas civiles de ámbito regional o local de formación consuetudinaria), (ii) la Constitución permite que este Derecho foral pueda ser objeto de modificación y desarrollo dando lugar a su actualización y crecimiento orgánico (iii) mediante la regulación de materias que guarden </w:t>
      </w:r>
      <w:r>
        <w:lastRenderedPageBreak/>
        <w:t>una relación de conexión suficiente con institutos ya disciplinados u otras normas integrantes del propio ordenamiento civil.</w:t>
      </w:r>
    </w:p>
    <w:p w:rsidR="00A90898" w:rsidRDefault="00A90898" w:rsidP="00A90898">
      <w:pPr>
        <w:pStyle w:val="TextoNormal"/>
      </w:pPr>
    </w:p>
    <w:p w:rsidR="00A90898" w:rsidRDefault="00A90898" w:rsidP="00A90898">
      <w:pPr>
        <w:pStyle w:val="TextoNormal"/>
      </w:pPr>
      <w:r>
        <w:t>Dado que este criterio de conexión ha sido utilizado con una enorme flexibilidad por parte de la jurisprudencia constitucional, no cabe descartar que pudiera encontrarse alguna conexión de esta naturaleza con las instituciones consuetudinarias valencianas ya reconocidas como Derecho foral y que han pasado a ser Derecho legislado. En todo caso, parece extraño que la opinión mayoritaria en que se funda la sentencia no haya seguido esta vía y, por el contrario, se haya encerrado en la imposible pretensión de examinar la existencia o no de prueba acerca del valor consuetudinario del Derecho foral histórico, el cual, por su propia naturaleza, no puede ser equiparado a la costumbre ni estar sujeto a los requisitos para su reconocimiento, por tratarse de una fuente del Derecho de naturaleza distinta a las que integran el Derecho foral escrito, que es aquel a cuya recuperación y actualización se refiere el Estatuto de Autonomía de la Comunitat Valenciana. Tan cierto es que la costumbre solo regirá si resulta probada como que la vigencia de la norma escrita depende de procedimientos de aprobación, promulgación y publicación.</w:t>
      </w:r>
    </w:p>
    <w:p w:rsidR="00A90898" w:rsidRDefault="00A90898" w:rsidP="00A90898">
      <w:pPr>
        <w:pStyle w:val="TextoNormal"/>
      </w:pPr>
    </w:p>
    <w:p w:rsidR="00A90898" w:rsidRDefault="00A90898" w:rsidP="00A90898">
      <w:pPr>
        <w:pStyle w:val="TextoNormal"/>
      </w:pPr>
      <w:r>
        <w:t>Pero lo que me importa subrayar aquí es que no comparto el criterio según el cual el criterio de conexión opera como límite para el desarrollo y modificación de los derechos forales o especiales (reconozco que hasta ahora es el mantenido por la jurisprudencia constitucional), aunque soy consciente de mi absoluta soledad en la actual composición del Tribunal, habida cuenta de la contundencia con que el criterio de un desarrollo limitado del Derecho foral o especial —emparentado con la que he llamado concepción residual— se mantiene en la argumentación desarrollada por la opinión mayoritaria incorporada a la sentencia (que se refleja, por ejemplo, en el párrafo primero del Fundamento jurídico 6).</w:t>
      </w:r>
    </w:p>
    <w:p w:rsidR="00A90898" w:rsidRDefault="00A90898" w:rsidP="00A90898">
      <w:pPr>
        <w:pStyle w:val="TextoNormal"/>
      </w:pPr>
    </w:p>
    <w:p w:rsidR="00A90898" w:rsidRDefault="00A90898" w:rsidP="00A90898">
      <w:pPr>
        <w:pStyle w:val="TextoNormal"/>
      </w:pPr>
      <w:r>
        <w:t>Partiendo de conceptuar los Derechos forales o especiales como subsistemas jurídicos completos, autosuficientes, modernos y susceptibles de desarrollo (y no como realidades fragmentarias premodernas reconocidas provisionalmente con carácter subordinado al Derecho común), de acuerdo con una acreditada teoría surgida en el ámbito de la doctrina civilista, mi posición es la de los Votos particulares formulados a la STC 88/1993, de 12 marzo, según los cuales el Derecho civil foral no puede ser concebido como una serie más o menos residual de normas e instituciones aisladas y asistemáticas, sino como un sistema normativo dotado de la sistematización y conexión interna y de la completitud propias de un ordenamiento que tiene además constitucionalmente reconocida la posibilidad de determinar sus específicas fuentes de producción normativa. Los expresados votos sustentan esta tesis (i) en el argumento analítico fundado en la interpretación literal de la expresión Derecho civil; (ii) en el argumento sistemático de que de otro modo no tiene sentido la reserva competencial al Estado de determinadas materias, algunas de las cuales no formaban parte de los Derechos forales o especiales; (iii) en el argumento apagógico de que la interpretación contraria hace depender el desarrollo de los derechos de factores aleatorios; (iv) y en el argumento teleológico según el cual la conservación de la legislación civil solo tiene sentido si se entiende limitada por razones históricas a determinadas comunidades autónomas, pero no en función del ámbito material de su contenido en cada una de ellas.”</w:t>
      </w:r>
    </w:p>
    <w:p w:rsidR="00A90898" w:rsidRDefault="00A90898" w:rsidP="00A90898">
      <w:pPr>
        <w:pStyle w:val="TextoNormal"/>
      </w:pPr>
    </w:p>
    <w:p w:rsidR="00A90898" w:rsidRDefault="00A90898" w:rsidP="00A90898">
      <w:pPr>
        <w:pStyle w:val="TextoNormal"/>
      </w:pPr>
      <w:r>
        <w:t>Madrid, a diecisiete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2" w:name="SENTENCIA_2016_193"/>
      <w:r>
        <w:lastRenderedPageBreak/>
        <w:t>SENTENCIA 193/2016, de 16 de noviembre de 2016</w:t>
      </w:r>
    </w:p>
    <w:bookmarkEnd w:id="72"/>
    <w:p w:rsidR="00A90898" w:rsidRDefault="00A90898" w:rsidP="00A90898">
      <w:pPr>
        <w:pStyle w:val="TtuloResolucin"/>
      </w:pPr>
      <w:r>
        <w:t>Pleno</w:t>
      </w:r>
    </w:p>
    <w:p w:rsidR="00A90898" w:rsidRDefault="00A90898" w:rsidP="00A90898">
      <w:pPr>
        <w:pStyle w:val="TtuloBOE"/>
      </w:pPr>
      <w:r>
        <w:t>(BOE núm. 311, de 26 de diciembre de 2016)</w:t>
      </w:r>
    </w:p>
    <w:p w:rsidR="00A90898" w:rsidRDefault="00A90898" w:rsidP="00A90898">
      <w:pPr>
        <w:pStyle w:val="TextoNormalCentrado"/>
      </w:pPr>
      <w:r>
        <w:t>ECLI:ES:TC:2016:193</w:t>
      </w:r>
    </w:p>
    <w:p w:rsidR="00A90898" w:rsidRDefault="00A90898" w:rsidP="00A90898">
      <w:pPr>
        <w:pStyle w:val="TextoNormalCentrado"/>
      </w:pPr>
    </w:p>
    <w:p w:rsidR="00A90898" w:rsidRDefault="00A90898" w:rsidP="00A90898">
      <w:pPr>
        <w:pStyle w:val="SntesisDescriptiva"/>
      </w:pPr>
      <w:r>
        <w:t>Conflicto positivo de competencia 2386-2012. Planteado por el Gobierno de la Nación respecto de la Orden de 13 de febrero de 2012, de la Consejería de Educación de la Junta de Andalucía por la que se convocan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w:t>
      </w:r>
    </w:p>
    <w:p w:rsidR="00A90898" w:rsidRDefault="00A90898" w:rsidP="00A90898">
      <w:pPr>
        <w:pStyle w:val="SntesisDescriptiva"/>
      </w:pPr>
    </w:p>
    <w:p w:rsidR="00A90898" w:rsidRDefault="00A90898" w:rsidP="00A90898">
      <w:pPr>
        <w:pStyle w:val="SntesisAnaltica"/>
      </w:pPr>
      <w:r>
        <w:t>Competencias sobre ordenación general de la economía y educación: nulidad de la convocatoria autonómica de plazas docentes que rebasa los límites fijados por la normativa básica estatal.</w:t>
      </w:r>
    </w:p>
    <w:p w:rsidR="00A90898" w:rsidRDefault="00A90898" w:rsidP="00A90898">
      <w:pPr>
        <w:pStyle w:val="SntesisAnaltica"/>
      </w:pPr>
    </w:p>
    <w:p w:rsidR="00A90898" w:rsidRDefault="00A90898" w:rsidP="00A90898">
      <w:pPr>
        <w:pStyle w:val="Extracto"/>
      </w:pPr>
      <w:r>
        <w:t>1.</w:t>
      </w:r>
      <w:r>
        <w:tab/>
        <w:t>Procede declarar nula la Orden objeto del presente conflicto, respecto a la convocatoria de pruebas selectivas para cubrir plazas de cuerpos de funcionarios docentes no universitarios, que exceden en número de plazas de nuevo ingreso los límites establecidos en la normativa básica, vulnerando la competencia del Estado para establecer medidas de contención del gasto público en materia de personal que a este corresponde al amparo del art. 149.1.13 CE, en relación con el art. 156.1 CE [FJ 5].</w:t>
      </w:r>
    </w:p>
    <w:p w:rsidR="00A90898" w:rsidRDefault="00A90898" w:rsidP="00A90898">
      <w:pPr>
        <w:pStyle w:val="Extracto"/>
      </w:pPr>
    </w:p>
    <w:p w:rsidR="00A90898" w:rsidRDefault="00A90898" w:rsidP="00A90898">
      <w:pPr>
        <w:pStyle w:val="Extracto"/>
      </w:pPr>
      <w:r>
        <w:t>2.</w:t>
      </w:r>
      <w:r>
        <w:tab/>
        <w:t>Doctrina sobre medidas de limitación de las retribuciones del personal al servicio de la administración pública adoptadas por el Estado (STC 222/2006) [FJ 2].</w:t>
      </w:r>
    </w:p>
    <w:p w:rsidR="00A90898" w:rsidRDefault="00A90898" w:rsidP="00A90898">
      <w:pPr>
        <w:pStyle w:val="Extracto"/>
      </w:pPr>
    </w:p>
    <w:p w:rsidR="00A90898" w:rsidRDefault="00A90898" w:rsidP="00A90898">
      <w:pPr>
        <w:pStyle w:val="Extracto"/>
      </w:pPr>
      <w:r>
        <w:t>3.</w:t>
      </w:r>
      <w:r>
        <w:tab/>
        <w:t xml:space="preserve">Se señala la vinculación directa de la limitación de las retribuciones del personal al servicio de las Administraciones Públicas con la fijación de la política económica general por parte del Estado </w:t>
      </w:r>
      <w:r w:rsidRPr="00A90898">
        <w:rPr>
          <w:i/>
        </w:rPr>
        <w:t>ex</w:t>
      </w:r>
      <w:r>
        <w:t xml:space="preserve"> art. 149.1.13 CE por cuanto se trata de una medida dirigida a contener la expansión relativa de uno de los componentes esenciales del gasto público, sin que quepa olvidar que dicha autonomía financiera de las Comunidades Autónomas la concibe nuestra Constitución con arreglo a los principios de coordinación con la Hacienda estatal y de solidaridad entre todos los españoles </w:t>
      </w:r>
      <w:r w:rsidRPr="00A90898">
        <w:rPr>
          <w:i/>
        </w:rPr>
        <w:t>ex</w:t>
      </w:r>
      <w:r>
        <w:t xml:space="preserve"> art. 156.1 CE (SSTC 63/1986 y 222/2006) [FJ 2].</w:t>
      </w:r>
    </w:p>
    <w:p w:rsidR="00A90898" w:rsidRDefault="00A90898" w:rsidP="00A90898">
      <w:pPr>
        <w:pStyle w:val="Extracto"/>
      </w:pPr>
    </w:p>
    <w:p w:rsidR="00A90898" w:rsidRDefault="00A90898" w:rsidP="00A90898">
      <w:pPr>
        <w:pStyle w:val="Extracto"/>
      </w:pPr>
      <w:r>
        <w:t>4.</w:t>
      </w:r>
      <w:r>
        <w:tab/>
        <w:t>Extensión de la doctrina sobre la facultad del Estado de limitar las retribuciones del personal al servicio de las Administraciones públicas  a otras medidas de ahorro en materia de personal, como las restrictivas de las aportaciones de las Administraciones a los planes de pensiones de los empleados públicos   (STC 215/2015) [FJ 2].</w:t>
      </w:r>
    </w:p>
    <w:p w:rsidR="00A90898" w:rsidRDefault="00A90898" w:rsidP="00A90898">
      <w:pPr>
        <w:pStyle w:val="Extracto"/>
      </w:pPr>
    </w:p>
    <w:p w:rsidR="00A90898" w:rsidRDefault="00A90898" w:rsidP="00A90898">
      <w:pPr>
        <w:pStyle w:val="Extracto"/>
      </w:pPr>
      <w:r>
        <w:t>5.</w:t>
      </w:r>
      <w:r>
        <w:tab/>
        <w:t xml:space="preserve">Este Tribunal ha admitido la posibilidad de establecer restricciones a la autonomía financiera de las Comunidades Autónomas por fundamentar su carácter básico: en el art. 149.1.13 CE y, al mismo tiempo, en el límite a la autonomía financiera que establece el principio de coordinación con la Hacienda estatal del art. 156.1 CE; si bien, la adopción de limitaciones a la autonomía financiera de las </w:t>
      </w:r>
      <w:r>
        <w:lastRenderedPageBreak/>
        <w:t>Comunidades Autónomas no supone que quede a la entera disponibilidad del Estado el alcance de tales restricciones, sino que las decisiones que el Estado adopte deben ceñirse a aquellos aspectos estrictamente indispensables para la consecución de fines de política económica (SSTC 152/1988, 215/2015) [FJ 2].</w:t>
      </w:r>
    </w:p>
    <w:p w:rsidR="00A90898" w:rsidRDefault="00A90898" w:rsidP="00A90898">
      <w:pPr>
        <w:pStyle w:val="Extracto"/>
      </w:pPr>
    </w:p>
    <w:p w:rsidR="00A90898" w:rsidRDefault="00A90898" w:rsidP="00A90898">
      <w:pPr>
        <w:pStyle w:val="Extracto"/>
      </w:pPr>
      <w:r>
        <w:t>6.</w:t>
      </w:r>
      <w:r>
        <w:tab/>
        <w:t>Se consideran preceptos  de carácter básico los que suponen la imposición de una medida dirigida a la contención de los gastos del personal de todas las Administraciones públicas –y no una medida aislada- debido a su inclusión en el Real Decreto-ley en el que se recogían otras medidas de ahorro, insertándose en el ámbito de una decisión general de política económica, que transciende a cada uno de los conceptos retributivos que integran la masa salarial de los empleados públicos (STC 215/2015) [FJ 4].</w:t>
      </w:r>
    </w:p>
    <w:p w:rsidR="00A90898" w:rsidRDefault="00A90898" w:rsidP="00A90898">
      <w:pPr>
        <w:pStyle w:val="Extracto"/>
      </w:pPr>
    </w:p>
    <w:p w:rsidR="00A90898" w:rsidRDefault="00A90898" w:rsidP="00A90898">
      <w:pPr>
        <w:pStyle w:val="Extracto"/>
      </w:pPr>
      <w:r>
        <w:t>7.</w:t>
      </w:r>
      <w:r>
        <w:tab/>
        <w:t>Doctrina sobre diferentes modalidades de limitación de la oferta de empleo público (SSTC 178/2006 y 24/2002)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conflicto positivo de competencia núm. 2386-2012, interpuesto por el Gobierno, representado por el Abogado del Estado, contra la Orden de 13 de febrero de 2012, de la Consejería de Educación de la Junta de Andalucía por la que se convocan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 Ha comparecido y formulado alegaciones la Letrada de la Junta de Andalucía.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Mediante escrito registrado en este Tribunal Constitucional el 23 de abril de 2012, el Abogado del Estado, en nombre del Gobierno, interpuso conflicto positivo de competencia contra la Orden de 13 de febrero de 2012, de la Consejería de Educación de la Junta de </w:t>
      </w:r>
      <w:r>
        <w:lastRenderedPageBreak/>
        <w:t>Andalucía, por la que se convocan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 (Orden 2012).</w:t>
      </w:r>
    </w:p>
    <w:p w:rsidR="00A90898" w:rsidRDefault="00A90898" w:rsidP="00A90898">
      <w:pPr>
        <w:pStyle w:val="TextoNormal"/>
      </w:pPr>
    </w:p>
    <w:p w:rsidR="00A90898" w:rsidRDefault="00A90898" w:rsidP="00A90898">
      <w:pPr>
        <w:pStyle w:val="TextoNormal"/>
      </w:pPr>
      <w:r w:rsidRPr="00A90898">
        <w:rPr>
          <w:rStyle w:val="NumeroAFNegritaCaracter"/>
        </w:rPr>
        <w:t>2</w:t>
      </w:r>
      <w:r>
        <w:t>. El conflicto de competencia promovido por el Gobierno se basa en los motivos que, sucintamente, se recogen a continuación:</w:t>
      </w:r>
    </w:p>
    <w:p w:rsidR="00A90898" w:rsidRDefault="00A90898" w:rsidP="00A90898">
      <w:pPr>
        <w:pStyle w:val="TextoNormal"/>
      </w:pPr>
    </w:p>
    <w:p w:rsidR="00A90898" w:rsidRDefault="00A90898" w:rsidP="00A90898">
      <w:pPr>
        <w:pStyle w:val="TextoNormal"/>
      </w:pPr>
      <w:r>
        <w:t>a) Comienza el escrito del Abogado del Estado recordando los antecedentes del conflicto y delimitando su objeto. Explica que la Orden 2012 (base primera, apdo. 1.1), convocó pruebas selectivas para cubrir 2.389 plazas de los cuerpos de funcionarios docentes no universitarios arriba mencionados con lo que excedió los límites que, con carácter básico, estableció el Real Decreto-ley 20/2011, de 30 de diciembre, de medidas urgentes en materia presupuestaria, tributaria y financiera para la corrección del déficit público (Real Decreto-ley 20/2011). Este Real Decreto-ley, convalidado por el Congreso de los Diputados el 11 de enero de 2012, con carácter general, prohibió (art. 3.1) la incorporación de nuevo personal, salvo en determinados sectores que incluían el del personal docente en el sector educativo en el que se fijaba en un 10 por 100 la tasa de reposición de efectivos [art. 3.5 A)]. Por ello, la Orden 2012 infringe directamente el art. 3 del Real Decreto-ley 20/2011 y vulnera de forma mediata o indirecta los arts. 149.1.13 y 156.1 CE, que le dan cobertura y consagran la competencia estatal para dictar “las bases y coordinación de la planificación general de la actividad económica en materia de gastos de personal al servicio del sector público” y el límite a la autonomía financiera de las Comunidades Autónomas resultante del principio de coordinación con la hacienda estatal.</w:t>
      </w:r>
    </w:p>
    <w:p w:rsidR="00A90898" w:rsidRDefault="00A90898" w:rsidP="00A90898">
      <w:pPr>
        <w:pStyle w:val="TextoNormal"/>
      </w:pPr>
    </w:p>
    <w:p w:rsidR="00A90898" w:rsidRDefault="00A90898" w:rsidP="00A90898">
      <w:pPr>
        <w:pStyle w:val="TextoNormal"/>
      </w:pPr>
      <w:r>
        <w:t>b) Invocando la STC 178/2006 destaca que, a partir de los arts.149.1.13 y 156.1 CE, la doctrina constitucional ha reconocido la competencia del Estado para establecer con carácter básico límites al incremento global de las retribuciones del personal al servicio del sector público y al volumen cuantitativo de las plazas de las ofertas de empleo público, obligatorios para todas las Administraciones. Por ello, afirma que el límite a la convocatoria de plazas de nuevo acceso del Real Decreto-ley 20/2011 se dictó al amparo de las competencias constitucionales del Estado al ser indudable que es una medida de control del gasto público y del déficit por lo que, las disposiciones de las Comunidades Autónomas que impliquen una oferta de empleo público superior al 10 por 100 de la tasa de reposición de efectivos, adolecen de inconstitucionalidad al vulnerar el orden de competencias en la materia.</w:t>
      </w:r>
    </w:p>
    <w:p w:rsidR="00A90898" w:rsidRDefault="00A90898" w:rsidP="00A90898">
      <w:pPr>
        <w:pStyle w:val="TextoNormal"/>
      </w:pPr>
    </w:p>
    <w:p w:rsidR="00A90898" w:rsidRDefault="00A90898" w:rsidP="00A90898">
      <w:pPr>
        <w:pStyle w:val="TextoNormal"/>
      </w:pPr>
      <w:r>
        <w:t>c) El Abogado del Estado explica que la Orden 2012 se basa en la Ley 18/2011, de 23 de diciembre, del presupuesto de la Comunidad Autónoma de Andalucía para el año 2012 que, en cuanto a la oferta de empleo público para ese año, en su art. 11.1, contemplaba como máximo un 10 por 100 de tasa de reposición de efectivos que había de concentrarse en los sectores considerados prioritarios, exceptuando de la limitación los casos determinados en la legislación básica del Estado o en norma legal. La misma Orden 2012 citaba igualmente el Decreto 373/2011, de 27 de diciembre, que aprobó la oferta de empleo público de 2012, cuyo art. 1.1, fijaba ya las 2.389 plazas de profesores que son objeto de la orden.</w:t>
      </w:r>
    </w:p>
    <w:p w:rsidR="00A90898" w:rsidRDefault="00A90898" w:rsidP="00A90898">
      <w:pPr>
        <w:pStyle w:val="TextoNormal"/>
      </w:pPr>
    </w:p>
    <w:p w:rsidR="00A90898" w:rsidRDefault="00A90898" w:rsidP="00A90898">
      <w:pPr>
        <w:pStyle w:val="TextoNormal"/>
      </w:pPr>
      <w:r>
        <w:t xml:space="preserve">Tanto la Ley 18/2011 como el Decreto 373/2011, sigue diciendo el escrito de interposición, se aprobaron antes de la Ley de presupuestos generales del Estado para 2012 por lo </w:t>
      </w:r>
      <w:r>
        <w:lastRenderedPageBreak/>
        <w:t xml:space="preserve">que partían de la tasa de reposición de efectivos fijada en la Ley de presupuestos del Estado de 2011 que, si en general era del 10 por 100, en el ámbito educativo, excepcionalmente, se fijaba en el 30 por 100. Sin embargo, a juicio del representante de la Administración, al aprobarse el Real Decreto-ley 20/2011, desapareció la conformidad originaria de la oferta de empleo pública andaluza para 2012 a las bases estatales por lo que la Orden 2012, posterior al Real Decreto-ley 20/2011, incurre en inconstitucionalidad sobrevenida según la doctrina constitucional sobre el </w:t>
      </w:r>
      <w:r w:rsidRPr="00A90898">
        <w:rPr>
          <w:i/>
        </w:rPr>
        <w:t>ius superviniens</w:t>
      </w:r>
      <w:r>
        <w:t>.</w:t>
      </w:r>
    </w:p>
    <w:p w:rsidR="00A90898" w:rsidRDefault="00A90898" w:rsidP="00A90898">
      <w:pPr>
        <w:pStyle w:val="TextoNormal"/>
      </w:pPr>
    </w:p>
    <w:p w:rsidR="00A90898" w:rsidRDefault="00A90898" w:rsidP="00A90898">
      <w:pPr>
        <w:pStyle w:val="TextoNormal"/>
      </w:pPr>
      <w:r>
        <w:t>d) A partir de la doctrina relativa a la inconstitucionalidad indirecta o mediata, el escrito que promueve el conflicto, analiza primero si el art. 3 del Real Decreto-ley 20/2011, que se erige en parámetro de constitucionalidad de la Orden 2012, tiene naturaleza básica. Tras reproducir el precepto, concluye que, formalmente, tiene rango de ley y proclama además expresamente el carácter básico de sus apartados 1, 2 y 5, al amparo de los arts. 149.1.13 y 156.1 CE, en su apartado 6. También se considera que el precepto es materialmente básico pues se trata de una medida económica, de carácter presupuestario, dirigida a contener el gasto público, como resulta del preámbulo del Real Decreto-ley 20/2011. Se añade que, si este Tribunal ha reconocido la idoneidad de las leyes de presupuestos del Estado para limitar con carácter básico la oferta de empleo público, como vehículo de dirección de la política económica del Gobierno (STC 178/2006, FJ 3) no cabe negarle la posibilidad de hacerlo a través de un Decreto-ley si, como explica su preámbulo, era inviable aprobar la nueva Ley de presupuestos, e incluso una ley ordinaria por el procedimiento de urgencia, antes de fin de año.</w:t>
      </w:r>
    </w:p>
    <w:p w:rsidR="00A90898" w:rsidRDefault="00A90898" w:rsidP="00A90898">
      <w:pPr>
        <w:pStyle w:val="TextoNormal"/>
      </w:pPr>
    </w:p>
    <w:p w:rsidR="00A90898" w:rsidRDefault="00A90898" w:rsidP="00A90898">
      <w:pPr>
        <w:pStyle w:val="TextoNormal"/>
      </w:pPr>
      <w:r>
        <w:t>e) A continuación se examina si existe contradicción entre el art. 3 del Real Decreto-ley 20/2011 y la Orden 2012, a lo que se responde afirmativamente. Las plazas ofertadas en la Orden vulneran la normativa básica, al superar el 10 por 100 de la tasa de reposición como resulta del informe de la Dirección General de Costes de Personal y de Pensiones Públicas del Ministerio de Hacienda y Administraciones públicas, de 23 de marzo de 2012, que se aporta. De este informe se deduce que el 10 por 100 de la tasa de reposición solo permitiría cubrir 318 plazas de funcionarios docentes en Andalucía lo que supone que, las 2.389 plazas ofertadas exceden en 2.071 plazas el límite legal e incluso superan con creces el 30 por 100 de la tasa de reposición.</w:t>
      </w:r>
    </w:p>
    <w:p w:rsidR="00A90898" w:rsidRDefault="00A90898" w:rsidP="00A90898">
      <w:pPr>
        <w:pStyle w:val="TextoNormal"/>
      </w:pPr>
    </w:p>
    <w:p w:rsidR="00A90898" w:rsidRDefault="00A90898" w:rsidP="00A90898">
      <w:pPr>
        <w:pStyle w:val="TextoNormal"/>
      </w:pPr>
      <w:r>
        <w:t>Concluye que, si se llegase a hacer efectiva la convocatoria de 2.389 plazas de la Orden 2012, no se conseguiría la reducción del déficit público perseguida por el Estado como base de la planificación general de la actividad económica por lo que la Orden es inconstitucional. Invoca el art. 161.2 CE a fin de que se produzca la suspensión del acuerdo impugnado.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Por providencia de 22 de mayo de 2012, el Pleno de este Tribunal, a propuesta de la Sección Tercera, acordó admitir a trámite el conflicto positivo de competencia y dar traslado de la demanda y documentos presentados a la Junta de Andalucía, por conducto de su Presidente, al objeto de que en el plazo de 20 días aporte cuantos documentos y alegaciones considere convenientes. Asimismo, se tuvo por invocado el art. 161.2 CE lo que, a su tenor y conforme dispone el art. 64.2 de la Ley Orgánica del Tribunal Constitucional (LOTC) produce la suspensión de la vigencia y aplicación de la Orden impugnada desde el 23 de abril de 2012, fecha de interposición del conflicto, lo que se acordó comunicar al Presidente de la Junta de Andalucía. Se acordó también comunicar la incoación del conflicto a la Sala de lo Contencioso-Administrativo por si se impugnara o estuviese impugnada ante ella la </w:t>
      </w:r>
      <w:r>
        <w:lastRenderedPageBreak/>
        <w:t>Orden objeto del conflicto en cuyo caso se suspenderá el curso del proceso según dispone el art. 61.2 LOTC y publicar la incoación del conflicto en el “Boletín Oficial del Estado” y en el “Boletín Oficial de la Junta de Andalucía”.</w:t>
      </w:r>
    </w:p>
    <w:p w:rsidR="00A90898" w:rsidRDefault="00A90898" w:rsidP="00A90898">
      <w:pPr>
        <w:pStyle w:val="TextoNormal"/>
      </w:pPr>
    </w:p>
    <w:p w:rsidR="00A90898" w:rsidRDefault="00A90898" w:rsidP="00A90898">
      <w:pPr>
        <w:pStyle w:val="TextoNormal"/>
      </w:pPr>
      <w:r w:rsidRPr="00A90898">
        <w:rPr>
          <w:rStyle w:val="NumeroAFNegritaCaracter"/>
        </w:rPr>
        <w:t>4</w:t>
      </w:r>
      <w:r>
        <w:t>. El 19 de junio de 2012, la Letrada de la Junta de Andalucía, en la representación que ostenta, se personó en el proceso y formuló sus alegaciones en las que solicitó la desestimación del conflicto con fundamento en los siguientes argumentos:</w:t>
      </w:r>
    </w:p>
    <w:p w:rsidR="00A90898" w:rsidRDefault="00A90898" w:rsidP="00A90898">
      <w:pPr>
        <w:pStyle w:val="TextoNormal"/>
      </w:pPr>
    </w:p>
    <w:p w:rsidR="00A90898" w:rsidRDefault="00A90898" w:rsidP="00A90898">
      <w:pPr>
        <w:pStyle w:val="TextoNormal"/>
      </w:pPr>
      <w:r>
        <w:t>a) A modo de consideración previa, afirma que el conflicto de competencia planteado por el Gobierno de España, carece de contenido constitucional ya que la Orden 2012 admite una interpretación conforme con la Constitución que es la que debe prevalecer según la doctrina constitucional, por lo que el debate planteado se reduce a una cuestión de legalidad ordinaria.</w:t>
      </w:r>
    </w:p>
    <w:p w:rsidR="00A90898" w:rsidRDefault="00A90898" w:rsidP="00A90898">
      <w:pPr>
        <w:pStyle w:val="TextoNormal"/>
      </w:pPr>
    </w:p>
    <w:p w:rsidR="00A90898" w:rsidRDefault="00A90898" w:rsidP="00A90898">
      <w:pPr>
        <w:pStyle w:val="TextoNormal"/>
      </w:pPr>
      <w:r>
        <w:t>b) La Orden de 2012 se ajusta al art. 3 del Real Decreto-ley 20/2011 cuyos apartados 1 y 5 se pueden interpretar en el sentido de entender que no impiden a las Administraciones públicas con competencias educativas convocar las plazas que estén incursas en procesos de consolidación de empleo previstos en la disposición transitoria cuarta del texto refundido de la Ley del estatuto básico del empleado público para el acceso a cuerpos de funcionarios docentes, ni imponen que el 10 por 100 de la tasa de reposición haya de computarse únicamente con los efectivos del ámbito educativo, sino que cabe considerar el total de efectivos del sector público andaluz a reponer.</w:t>
      </w:r>
    </w:p>
    <w:p w:rsidR="00A90898" w:rsidRDefault="00A90898" w:rsidP="00A90898">
      <w:pPr>
        <w:pStyle w:val="TextoNormal"/>
      </w:pPr>
    </w:p>
    <w:p w:rsidR="00A90898" w:rsidRDefault="00A90898" w:rsidP="00A90898">
      <w:pPr>
        <w:pStyle w:val="TextoNormal"/>
      </w:pPr>
      <w:r>
        <w:t>Sobre la tasa de reposición del 10 por 100, es necesario realizar una interpretación sistemática del art. 3.5 del Real Decreto-ley 20/2011 cuya literalidad no se refiere al ámbito concreto de incorporación del nuevo personal, teniendo en cuenta que, tanto la Ley de presupuestos del Estado de 2011, como la Ley del presupuesto de la Comunidad Autónoma de Andalucía para 2012, como el Decreto 373/2011, permiten que las plazas de nuevo ingreso se puedan concentrar en los sectores, funciones o categorías que se consideren prioritarios, o que afecten al funcionamiento de los servicios públicos esenciales, como ha ocurrido en este caso en que el Decreto 373/2011 consideró el servicio educativo de carácter esencial.</w:t>
      </w:r>
    </w:p>
    <w:p w:rsidR="00A90898" w:rsidRDefault="00A90898" w:rsidP="00A90898">
      <w:pPr>
        <w:pStyle w:val="TextoNormal"/>
      </w:pPr>
    </w:p>
    <w:p w:rsidR="00A90898" w:rsidRDefault="00A90898" w:rsidP="00A90898">
      <w:pPr>
        <w:pStyle w:val="TextoNormal"/>
      </w:pPr>
      <w:r>
        <w:t>De esta forma, de las 2.389 plazas convocadas por la Orden 2012, 1.752 corresponden a la aplicación de lo dispuesto en la disposición transitoria cuarta del texto refundido de la Ley del estatuto del empleado público lo que, dice la Letrada autonómica, se acredita con un certificado del Director General de Profesorado y Gestión de Recursos Humanos de la Consejería de Educación de la Junta de Andalucía que se aporta. La cifra de las 637 plazas restantes, está por debajo del 10 por 100 de la tasa de reposición aplicado sobre el total de efectivos a reponer en la Comunidad Autónoma según el informe del Ministerio de Hacienda y Administraciones públicas aportado con el escrito de planteamiento del conflicto.</w:t>
      </w:r>
    </w:p>
    <w:p w:rsidR="00A90898" w:rsidRDefault="00A90898" w:rsidP="00A90898">
      <w:pPr>
        <w:pStyle w:val="TextoNormal"/>
      </w:pPr>
    </w:p>
    <w:p w:rsidR="00A90898" w:rsidRDefault="00A90898" w:rsidP="00A90898">
      <w:pPr>
        <w:pStyle w:val="TextoNormal"/>
      </w:pPr>
      <w:r w:rsidRPr="00A90898">
        <w:rPr>
          <w:rStyle w:val="NumeroAFNegritaCaracter"/>
        </w:rPr>
        <w:t>5</w:t>
      </w:r>
      <w:r>
        <w:t>. Estando próximo a finalizar el plazo de cinco meses que señala el art. 65.2 LOTC desde que se produjo la suspensión de la Orden impugnada, el Pleno de este Tribunal, mediante providencia de 21 de junio de 2012, acordó oír a las partes personadas en el proceso para que, en el plazo de cinco días, expusieran lo que consideraran conveniente acerca del mantenimiento o levantamiento de dicha suspensión.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Por el ATC 161/2012, de 13 de septiembre, el Tribunal acordó mantener la suspensión de la Orden de la Consejería de Educación de la Junta de Andalucía, de 13 de febrero de 2012.</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15 de noviembre de 2016, se acordó señalar para deliberación y fallo de esta Sentencia el día 16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conflicto positivo de competencia tiene por objeto dilucidar si es conforme con el orden constitucional de competencias la Orden de 13 de febrero de 2012, de la Consejería de Educación de la Junta de Andalucía, por la que se convocan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 (Orden 2012).</w:t>
      </w:r>
    </w:p>
    <w:p w:rsidR="00A90898" w:rsidRDefault="00A90898" w:rsidP="00A90898">
      <w:pPr>
        <w:pStyle w:val="TextoNormal"/>
      </w:pPr>
    </w:p>
    <w:p w:rsidR="00A90898" w:rsidRDefault="00A90898" w:rsidP="00A90898">
      <w:pPr>
        <w:pStyle w:val="TextoNormal"/>
      </w:pPr>
      <w:r>
        <w:t>De conformidad con los antecedentes que se han resumido, el Gobierno fundamenta su impugnación en la supuesta inconstitucionalidad mediata de la Orden 2012 impugnada que, al convocar en Andalucía un número de plazas de personal docente superior a la tasa de reposición establecida en el art. 3 del Real Decreto-ley 20/2011, vulneraría la competencia estatal del art. 149.1.13 CE en relación con el art. 156.1 CE. La Letrada de la Junta de Andalucía considera, por su parte, que cabe una interpretación de la Orden 2012 conforme con el art. 3 del Real Decreto-ley 20/2011 por lo que no se habría producido la vulneración competencial que se afirma.</w:t>
      </w:r>
    </w:p>
    <w:p w:rsidR="00A90898" w:rsidRDefault="00A90898" w:rsidP="00A90898">
      <w:pPr>
        <w:pStyle w:val="TextoNormal"/>
      </w:pPr>
    </w:p>
    <w:p w:rsidR="00A90898" w:rsidRDefault="00A90898" w:rsidP="00A90898">
      <w:pPr>
        <w:pStyle w:val="TextoNormal"/>
      </w:pPr>
      <w:r w:rsidRPr="00A90898">
        <w:rPr>
          <w:rStyle w:val="NumeroAFNegritaCaracter"/>
        </w:rPr>
        <w:t>2</w:t>
      </w:r>
      <w:r>
        <w:t>. Una vez expuestas sintéticamente las posiciones de las partes, al ser el presupuesto de todo conflicto positivo de competencia la alegación de una vulneración competencial que se imputa a la disposición o resolución impugnada, procede analizar en primer lugar el título competencial invocado por el Gobierno estatal como infringido. Este es, como se ha dicho, el del art. 149.1.13 CE en relación con el art. 156.1 CE en cuanto, dentro de la competencia exclusiva estatal relativa a las “bases y coordinación de la planificación general de la actividad económica”, en relación con el principio de coordinación entre las Haciendas autonómicas y la estatal que recoge el art. 156.1 CE, se entienden incluidas las medidas orientadas a la contención del gasto público en materia de personal.</w:t>
      </w:r>
    </w:p>
    <w:p w:rsidR="00A90898" w:rsidRDefault="00A90898" w:rsidP="00A90898">
      <w:pPr>
        <w:pStyle w:val="TextoNormal"/>
      </w:pPr>
    </w:p>
    <w:p w:rsidR="00A90898" w:rsidRDefault="00A90898" w:rsidP="00A90898">
      <w:pPr>
        <w:pStyle w:val="TextoNormal"/>
      </w:pPr>
      <w:r>
        <w:t xml:space="preserve">Como dijimos, por ejemplo, en la STC 94/2015, de 14 de mayo, FJ 3, refiriéndonos a medidas de naturaleza retributiva que “este Tribunal ha entendido que las medidas de limitación de las retribuciones adoptadas por el Estado deben analizarse desde la perspectiva de los arts. 149.1.13 y 156.1 CE. Siguiendo lo afirmado en STC 222/2006, FJ 3, debemos ahora reiterar que, aunque no cabe duda de que la decisión del legislador estatal de establecer un crecimiento cero en las retribuciones del personal al servicio de las Administraciones Públicas incide en la autonomía presupuestaria de las Comunidades Autónomas, su legitimidad constitucional debe ser admitida a la luz de la doctrina que este Tribunal ha empleado reiteradamente para defender la facultad del Estado de limitar las retribuciones del personal </w:t>
      </w:r>
      <w:r>
        <w:lastRenderedPageBreak/>
        <w:t xml:space="preserve">al servicio de las Administraciones públicas. En efecto, hemos señalado la vinculación directa de estos límites con la fijación de la política económica general por parte del Estado </w:t>
      </w:r>
      <w:r w:rsidRPr="00A90898">
        <w:rPr>
          <w:i/>
        </w:rPr>
        <w:t>ex</w:t>
      </w:r>
      <w:r>
        <w:t xml:space="preserve"> art. 149.1.13 CE (STC 96/1990, de 24 de mayo, FJ 3) por cuanto se trata de una medida dirigida a contener la expansión relativa de uno de los componentes esenciales del gasto público (STC 63/1986, de 21 de mayo, FJ 11), sin que quepa olvidar que dicha autonomía financiera de las Comunidades Autónomas la concibe nuestra Constitución ‘con arreglo a los principios de coordinación con la Hacienda estatal y de solidaridad entre todos los españoles’ (art. 156.1 CE)”.</w:t>
      </w:r>
    </w:p>
    <w:p w:rsidR="00A90898" w:rsidRDefault="00A90898" w:rsidP="00A90898">
      <w:pPr>
        <w:pStyle w:val="TextoNormal"/>
      </w:pPr>
    </w:p>
    <w:p w:rsidR="00A90898" w:rsidRDefault="00A90898" w:rsidP="00A90898">
      <w:pPr>
        <w:pStyle w:val="TextoNormal"/>
      </w:pPr>
      <w:r>
        <w:t>La misma doctrina es aplicable a medidas restrictivas de la contratación de personal pues, como declara la STC 178/2006, de 6 de junio, FJ 3: “…[si] hemos reconocido que la competencia estatal de ordenación general de la economía (art. 149.1.13 CE) y el principio de coordinación de la autonomía financiera de las Comunidades Autónomas con la hacienda estatal (art. 156.1 CE) justifican que el Estado pueda establecer topes máximos a dichas retribuciones, también debe aceptarse que el mismo pueda limitar la oferta de empleo público por parte de las Administraciones públicas y, singularmente, las autonómicas. Así, desde la perspectiva del art. 149.1.13 CE no resulta difícil reconocer que dicha limitación está dirigida, como hemos reconocido en el caso de las retribuciones de los funcionarios (entre otras, SSTC 63/1986, de 21 de mayo, FJ 11; 96/1990, de 24 de mayo, FJ 3; 24/2002, de 31 de enero, FJ 5), ‘a contener la expansión relativa de uno de los componentes esenciales del gasto público’, como es el capítulo de personal. De hecho, el propio preámbulo de la Ley de presupuestos generales del Estado para 1997 justifica la restricción de la oferta de empleo público y otras medidas como la congelación salarial de todo el personal al servicio del sector público a partir de la corrección de los desequilibrios en materia de inflación y déficit público y las exigencias derivadas de la convergencia nominal con la Unión Monetaria”.</w:t>
      </w:r>
    </w:p>
    <w:p w:rsidR="00A90898" w:rsidRDefault="00A90898" w:rsidP="00A90898">
      <w:pPr>
        <w:pStyle w:val="TextoNormal"/>
      </w:pPr>
    </w:p>
    <w:p w:rsidR="00A90898" w:rsidRDefault="00A90898" w:rsidP="00A90898">
      <w:pPr>
        <w:pStyle w:val="TextoNormal"/>
      </w:pPr>
      <w:r>
        <w:t>En la STC 215/2015, de 22 de octubre, en la que resolvimos un recurso de inconstitucionalidad relativo a otro artículo (el art. 2) del mismo Real Decreto-ley 20/2011 que ahora nos ocupa, hemos hecho extensiva la misma doctrina a otras medidas de ahorro en materia de personal, como las restrictivas de las aportaciones de las Administraciones a los planes de pensiones de los empleados públicos. Así, hemos reiterado (FJ 6) que “el Tribunal ha admitido pues, la posibilidad de establecer esta suerte de restricciones a la autonomía financiera de las Comunidades Autónomas por fundamentar su carácter básico en el art. 149.1.13 CE y, al mismo tiempo, en el límite a la autonomía financiera que establece el principio de coordinación con la Hacienda estatal del art. 156.1 CE”, si bien: “La adopción de limitaciones a la autonomía financiera de las Comunidades Autónomas no supone, naturalmente, que quede a la entera disponibilidad del Estado el alcance e intensidad de tales restricciones, sino que las decisiones que el Estado adopte con base en el art. 149.1.13 CE deben ceñirse a aquellos aspectos estrictamente indispensables para la consecución de los fines de política económica que aquéllas persigan (entre otras muchas, SSTC 152/1988, FJ 4; y 201/1988, FJ 2)”.</w:t>
      </w:r>
    </w:p>
    <w:p w:rsidR="00A90898" w:rsidRDefault="00A90898" w:rsidP="00A90898">
      <w:pPr>
        <w:pStyle w:val="TextoNormal"/>
      </w:pPr>
    </w:p>
    <w:p w:rsidR="00A90898" w:rsidRDefault="00A90898" w:rsidP="00A90898">
      <w:pPr>
        <w:pStyle w:val="TextoNormal"/>
      </w:pPr>
      <w:r w:rsidRPr="00A90898">
        <w:rPr>
          <w:rStyle w:val="NumeroAFNegritaCaracter"/>
        </w:rPr>
        <w:t>3</w:t>
      </w:r>
      <w:r>
        <w:t>. A partir de lo expuesto, estamos ya en condiciones de analizar si la Orden 2012 incurre, como dice el Abogado del Estado, en inconstitucionalidad mediata por infringir el art. 3 del Real Decreto-ley 20/2011, dictado con carácter de norma básica en ejercicio de la competencia del art. 149.1.13 en relación con el 156.1 CE a la que nos hemos referido.</w:t>
      </w:r>
    </w:p>
    <w:p w:rsidR="00A90898" w:rsidRDefault="00A90898" w:rsidP="00A90898">
      <w:pPr>
        <w:pStyle w:val="TextoNormal"/>
      </w:pPr>
    </w:p>
    <w:p w:rsidR="00A90898" w:rsidRDefault="00A90898" w:rsidP="00A90898">
      <w:pPr>
        <w:pStyle w:val="TextoNormal"/>
      </w:pPr>
      <w:r>
        <w:lastRenderedPageBreak/>
        <w:t>El Real Decreto-ley 20/2011 como ya se ha dicho, se aprobó como Real Decreto-ley de medidas urgentes en materia presupuestaria, tributaria y financiera para la corrección del déficit público y, su art. 3, bajo la rúbrica “Oferta de empleo público u otro instrumento similar de gestión de la provisión de necesidades de personal”, en lo que ahora interesa, disponía:</w:t>
      </w:r>
    </w:p>
    <w:p w:rsidR="00A90898" w:rsidRDefault="00A90898" w:rsidP="00A90898">
      <w:pPr>
        <w:pStyle w:val="TextoNormal"/>
      </w:pPr>
    </w:p>
    <w:p w:rsidR="00A90898" w:rsidRDefault="00A90898" w:rsidP="00A90898">
      <w:pPr>
        <w:pStyle w:val="TextoNormal"/>
      </w:pPr>
      <w:r>
        <w:t>“Uno. A lo largo del ejercicio 2012 no se procederá a la incorporación de nuevo personal, salvo la que pueda derivarse de la ejecución de procesos selectivos correspondientes a Ofertas de Empleo Público de ejercicios anteriores o de plazas de militares de Tropa y Marinería necesarios para alcanzar los efectivos fijados en la disposición adicional décima Ley 39/2010, de 22 de diciembre, de Presupuestos Generales del Estado para el año 2011.</w:t>
      </w:r>
    </w:p>
    <w:p w:rsidR="00A90898" w:rsidRDefault="00A90898" w:rsidP="00A90898">
      <w:pPr>
        <w:pStyle w:val="TextoNormal"/>
      </w:pPr>
    </w:p>
    <w:p w:rsidR="00A90898" w:rsidRDefault="00A90898" w:rsidP="00A90898">
      <w:pPr>
        <w:pStyle w:val="TextoNormal"/>
      </w:pPr>
      <w:r>
        <w:t>Esta limitación alcanza a las plazas incursas en los procesos de consolidación de empleo previstos en la disposición transitoria cuarta del Estatuto Básico del Empleado Público.</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Cinco. Respetando, en todo caso, las disponibilidades presupuestarias del capítulo I de los correspondientes presupuestos de gastos, la limitación contenida en los apartados anteriores no será de aplicación a los siguientes sectores y administraciones en los que la tasa de reposición se fija en el 10 por 100:</w:t>
      </w:r>
    </w:p>
    <w:p w:rsidR="00A90898" w:rsidRDefault="00A90898" w:rsidP="00A90898">
      <w:pPr>
        <w:pStyle w:val="TextoNormal"/>
      </w:pPr>
    </w:p>
    <w:p w:rsidR="00A90898" w:rsidRDefault="00A90898" w:rsidP="00A90898">
      <w:pPr>
        <w:pStyle w:val="TextoNormal"/>
      </w:pPr>
      <w:r>
        <w:t>A. A las Administraciones públicas con competencias educativas para el desarrollo de la Ley Orgánica 2/2006, de 3 de mayo, de Educación, en relación con la determinación del número de plazas para el acceso a los cuerpos de funcionarios docentes.</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Seis. Los apartados Uno, Dos y Cinco de este artículo tienen carácter básico y se dictan al amparo de los artículos 149.1.13 y 156.1 de la Constitución.”</w:t>
      </w:r>
    </w:p>
    <w:p w:rsidR="00A90898" w:rsidRDefault="00A90898" w:rsidP="00A90898">
      <w:pPr>
        <w:pStyle w:val="TextoNormal"/>
      </w:pPr>
    </w:p>
    <w:p w:rsidR="00A90898" w:rsidRDefault="00A90898" w:rsidP="00A90898">
      <w:pPr>
        <w:pStyle w:val="TextoNormal"/>
      </w:pPr>
      <w:r>
        <w:t>Por su parte, la Orden de 13 de febrero de 2012, publicada en el “Boletín Oficial de la Junta de Andalucía”, de 22 de febrero siguiente, en su base primera, 1.1, dice:</w:t>
      </w:r>
    </w:p>
    <w:p w:rsidR="00A90898" w:rsidRDefault="00A90898" w:rsidP="00A90898">
      <w:pPr>
        <w:pStyle w:val="TextoNormal"/>
      </w:pPr>
    </w:p>
    <w:p w:rsidR="00A90898" w:rsidRDefault="00A90898" w:rsidP="00A90898">
      <w:pPr>
        <w:pStyle w:val="TextoNormal"/>
      </w:pPr>
      <w:r>
        <w:t>“Se convocan pruebas selectivas para cubrir 2.389 plazas de los Cuerpos de Profesores de Enseñanza Secundaria, Profesores Técnicos de Formación Profesional, Profesores de Escuelas Oficiales de Idiomas, Profesores de Música y Artes Escénicas, Profesores de Artes Plásticas y Diseño, situadas en el ámbito de gestión de la Consejería de Educación, con el desglose de plazas por especialidades y turnos que se indica.”</w:t>
      </w:r>
    </w:p>
    <w:p w:rsidR="00A90898" w:rsidRDefault="00A90898" w:rsidP="00A90898">
      <w:pPr>
        <w:pStyle w:val="TextoNormal"/>
      </w:pPr>
    </w:p>
    <w:p w:rsidR="00A90898" w:rsidRDefault="00A90898" w:rsidP="00A90898">
      <w:pPr>
        <w:pStyle w:val="TextoNormal"/>
      </w:pPr>
      <w:r>
        <w:t>A continuación, la orden incluye el desglose de plazas convocadas por especialidad distinguiendo, dentro de ellas, las de nuevo ingreso (que suman 1.244), las reservadas a discapacitados (que suman 171) y las de promoción interna, acceso A2 al A1 (que suman 974). En cuanto al comienzo del proceso selectivo, la orden señalaba (base 7.1.) que este habría de comenzar a partir del mes de junio de 2012.</w:t>
      </w:r>
    </w:p>
    <w:p w:rsidR="00A90898" w:rsidRDefault="00A90898" w:rsidP="00A90898">
      <w:pPr>
        <w:pStyle w:val="TextoNormal"/>
      </w:pPr>
    </w:p>
    <w:p w:rsidR="00A90898" w:rsidRDefault="00A90898" w:rsidP="00A90898">
      <w:pPr>
        <w:pStyle w:val="TextoNormal"/>
      </w:pPr>
      <w:r>
        <w:t xml:space="preserve">Interesa precisar que, aunque el Real Decreto-ley 20/2011, es posterior, no ya a la Orden 2012 pero sí a la normativa autonómica en que dicha orden se ampara (Decreto 373/2011, </w:t>
      </w:r>
      <w:r>
        <w:lastRenderedPageBreak/>
        <w:t>de 27 de diciembre, por el que se aprobó la oferta de empleo público andaluza correspondiente al año 2012 para ingreso y acceso a los cuerpos de profesores de enseñanza secundaria, de profesores técnicos de formación profesional, de profesores de escuelas oficiales de idiomas, de profesores de música y artes escénicas y de profesores de artes plásticas y diseño y art. 11 de la Ley 18/2011, de 23 de diciembre, del presupuesto de la Comunidad Autónoma de Andalucía para el año 2012), ello no obsta a que sea aplicable al caso, como norma básica que priva al citado Decreto 373/2011 de toda posibilidad de proporcionar cobertura a la norma impugnada en este proceso.</w:t>
      </w:r>
    </w:p>
    <w:p w:rsidR="00A90898" w:rsidRDefault="00A90898" w:rsidP="00A90898">
      <w:pPr>
        <w:pStyle w:val="TextoNormal"/>
      </w:pPr>
    </w:p>
    <w:p w:rsidR="00A90898" w:rsidRDefault="00A90898" w:rsidP="00A90898">
      <w:pPr>
        <w:pStyle w:val="TextoNormal"/>
      </w:pPr>
      <w:r>
        <w:t>Igualmente, aunque el art. 3 del Real Decreto-ley 20/2011 se refiera al ejercicio 2012, es la norma que hemos de utilizar como parámetro de contraste ya que nos encontramos ante dos normas de vigencia temporal limitadas a un concreto ejercicio presupuestario (o, en caso de la orden, a una específica convocatoria de plazas a realizar en el mismo). Por tanto, estamos ante una controversia competencial sobre la posible contratación de nuevo personal en el sector público docente autonómico, en un ejercicio presupuestario determinado (2012), al que era aplicable, en todo su devenir, el precepto citado del Real Decreto-ley 20/2011.</w:t>
      </w:r>
    </w:p>
    <w:p w:rsidR="00A90898" w:rsidRDefault="00A90898" w:rsidP="00A90898">
      <w:pPr>
        <w:pStyle w:val="TextoNormal"/>
      </w:pPr>
    </w:p>
    <w:p w:rsidR="00A90898" w:rsidRDefault="00A90898" w:rsidP="00A90898">
      <w:pPr>
        <w:pStyle w:val="TextoNormal"/>
      </w:pPr>
      <w:r w:rsidRPr="00A90898">
        <w:rPr>
          <w:rStyle w:val="NumeroAFNegritaCaracter"/>
        </w:rPr>
        <w:t>4</w:t>
      </w:r>
      <w:r>
        <w:t>. Planteado el debate en los términos expuestos, procede recordar en este punto, que “es doctrina consolidada del Tribunal que, para constatar la existencia de una inconstitucionalidad mediata o indirecta como la que aquí se suscita,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(STC 210/2014, de 18 de diciembre, FJ 4 citada en STC 200/2015, de 24 de septiembre, FJ 4).</w:t>
      </w:r>
    </w:p>
    <w:p w:rsidR="00A90898" w:rsidRDefault="00A90898" w:rsidP="00A90898">
      <w:pPr>
        <w:pStyle w:val="TextoNormal"/>
      </w:pPr>
    </w:p>
    <w:p w:rsidR="00A90898" w:rsidRDefault="00A90898" w:rsidP="00A90898">
      <w:pPr>
        <w:pStyle w:val="TextoNormal"/>
      </w:pPr>
      <w:r>
        <w:t>Sobre la primera de las dos condiciones, el art. 3, apartados 1 y 5, del Real Decreto-ley 20/2011, es norma formalmente básica, dado su rango y el tenor de su apartado 6.</w:t>
      </w:r>
    </w:p>
    <w:p w:rsidR="00A90898" w:rsidRDefault="00A90898" w:rsidP="00A90898">
      <w:pPr>
        <w:pStyle w:val="TextoNormal"/>
      </w:pPr>
    </w:p>
    <w:p w:rsidR="00A90898" w:rsidRDefault="00A90898" w:rsidP="00A90898">
      <w:pPr>
        <w:pStyle w:val="TextoNormal"/>
      </w:pPr>
      <w:r>
        <w:t xml:space="preserve">Desde la perspectiva material, también consideramos que el art. 3 del Real Decreto-ley 20/2011, es norma básica pues, análogamente a lo que razonamos en la STC 215/2015, FJ 7, “impone una medida dirigida a la contención de los gastos del personal de todas las Administraciones públicas” y “no constituye…una medida aislada” sino que, dada su inclusión en el Real Decreto-ley citado en el que se recogían otras medidas de ahorro como la examinada en la última sentencia mencionada: “se inserta en el ámbito de una decisión general de política económica, que transciende a cada uno de los conceptos retributivos que integran la masa salarial de los empleados públicos”. Así, el preámbulo del Real Decreto-ley comenzaba explicando que “[l]a importante desviación del saldo presupuestario estimada en el momento presente para el conjunto de las Administraciones Públicas para el ejercicio 2011 respecto al objetivo de estabilidad comprometido, obliga al Gobierno a tomar medidas de carácter urgente para su corrección” y que “[e]stas primeras medidas, que comportan acciones tanto por el lado de los ingresos públicos como por el lado de los gastos, suponen una reducción de carácter inmediato del desequilibrio presupuestario en más de un punto porcentual del Producto Interior Bruto. Con estas acciones se pretende garantizar que el sector público español inicie una senda de reequilibrio que aporte credibilidad a la evolución futura de la deuda y déficit públicos”. En concreto, en cuanto a los gastos de personal, el mismo preámbulo de la norma señalaba, de forma general, que “se mantienen las cuantías de las </w:t>
      </w:r>
      <w:r>
        <w:lastRenderedPageBreak/>
        <w:t>retribuciones del personal y altos cargos del sector público. Igualmente se acuerda la congelación de la oferta de empleo público, con ciertas excepciones que se recogen en el mismo artículo”.</w:t>
      </w:r>
    </w:p>
    <w:p w:rsidR="00A90898" w:rsidRDefault="00A90898" w:rsidP="00A90898">
      <w:pPr>
        <w:pStyle w:val="TextoNormal"/>
      </w:pPr>
    </w:p>
    <w:p w:rsidR="00A90898" w:rsidRDefault="00A90898" w:rsidP="00A90898">
      <w:pPr>
        <w:pStyle w:val="TextoNormal"/>
      </w:pPr>
      <w:r>
        <w:t>Por tanto, son trasladables al caso las consideraciones recogidas en el fundamento jurídico 3 de la STC 178/2006, a cuyo tenor, “la limitación de la oferta de empleo público de nuevo ingreso ‘a los sectores, funciones y categorías profesionales que se consideren absolutamente prioritarios’ y, sobre todo, al 25 por 100, como máximo, de la tasa de reposición de efectivos constituye ‘una medida que tiene relación directa con los objetivos de política económica’ (SSTC 171/1996, de 30 de octubre, FFJJ 2 y 3; 62/2001, de 1 de marzo, FJ 4; y 24/2002, de 31 de enero, FJ 5) y que, sobre todo, aunque los apartados 1 y 5 del Real Decreto Ley 20/2011 no coincidan exactamente con el art. 17.4 de la Ley de presupuestos generales del Estado para 1997, Ley 12/1996, de 30 de diciembre, que fueron examinados en la STC 178/2006, también los citados del Real Decreto Ley 20/2011 dejan margen de maniobra a las Comunidades Autónomas para ejercer sus competencias en materia de función pública. Basta constatar, en este último sentido, que la limitación de la oferta de empleo público a través de la técnica del tope máximo porcentual, así como la utilización de criterios genéricos como el carácter absolutamente prioritario de los sectores, funciones y categorías en que debe concentrarse no predeterminan un resultado singular (SSTC 63/1986, de 21 de mayo, FJ 11, y 24/2002, de 31 de enero, FJ 5, entre otras)”.</w:t>
      </w:r>
    </w:p>
    <w:p w:rsidR="00A90898" w:rsidRDefault="00A90898" w:rsidP="00A90898">
      <w:pPr>
        <w:pStyle w:val="TextoNormal"/>
      </w:pPr>
    </w:p>
    <w:p w:rsidR="00A90898" w:rsidRDefault="00A90898" w:rsidP="00A90898">
      <w:pPr>
        <w:pStyle w:val="TextoNormal"/>
      </w:pPr>
      <w:r w:rsidRPr="00A90898">
        <w:rPr>
          <w:rStyle w:val="NumeroAFNegritaCaracter"/>
        </w:rPr>
        <w:t>5</w:t>
      </w:r>
      <w:r>
        <w:t>. Confirmado el carácter básico del art. 3, apartados 1 y 5 del Real Decreto-ley 20/2011 y su aplicación al caso, resulta necesario analizar, siguiendo el orden expositivo anunciado, si la Orden 2012 entra en contradicción con él y, por tanto, es inconstitucional de forma mediata al vulnerar la competencia estatal para adoptar medidas de contención del gasto público en materia de personal al amparo del art. 149.1.13 en relación con el 156.1 CE.</w:t>
      </w:r>
    </w:p>
    <w:p w:rsidR="00A90898" w:rsidRDefault="00A90898" w:rsidP="00A90898">
      <w:pPr>
        <w:pStyle w:val="TextoNormal"/>
      </w:pPr>
    </w:p>
    <w:p w:rsidR="00A90898" w:rsidRDefault="00A90898" w:rsidP="00A90898">
      <w:pPr>
        <w:pStyle w:val="TextoNormal"/>
      </w:pPr>
      <w:r>
        <w:t>Considerando que, como se ha expuesto, el art. 3.1 del Real Decreto-ley 20/2011, decía que, en 2012, no se procedería a la incorporación de nuevo personal en el sector público (con las únicas excepciones enumeradas en el apartado 5, en las que se permitía una tasa de reposición del 10 por 100 y entre las que se incluían los cuerpos de funcionarios docentes) solo podría entenderse que la orden impugnada no vulnera este precepto si, las 2.389 plazas que la misma convocaba en dicho ejercicio, no superaban este límite cuantitativo. Sin embargo, el informe del Ministerio de Hacienda y Administraciones públicas que se acompaña con el escrito de promoción del conflicto, que no ha sido cuestionado por la Junta de Andalucía, acredita la superación de dicho límite en 1.097 plazas (no en 2.071 plazas como dice el Abogado del Estado puesto que 974 plazas eran de promoción interna). Por tanto, existe la contradicción efectiva e insalvable entre la norma básica estatal y la norma autonómica impugnada que hemos exigido para declarar la inconstitucionalidad de esta última.</w:t>
      </w:r>
    </w:p>
    <w:p w:rsidR="00A90898" w:rsidRDefault="00A90898" w:rsidP="00A90898">
      <w:pPr>
        <w:pStyle w:val="TextoNormal"/>
      </w:pPr>
    </w:p>
    <w:p w:rsidR="00A90898" w:rsidRDefault="00A90898" w:rsidP="00A90898">
      <w:pPr>
        <w:pStyle w:val="TextoNormal"/>
      </w:pPr>
      <w:r>
        <w:t xml:space="preserve">La interpretación del art. 3 del Real Decreto-ley 20/2011 que propone la Letrada de la Junta de Andalucía para oponerse a la inconstitucionalidad de la Orden de 2012, no es correcta a juicio de este Tribunal. Aún si, como dice la Letrada autonómica, de las 2.389 plazas convocadas, 1.752 correspondieran a plazas incursas en procesos de consolidación de empleo de los previstos en la disposición transitoria cuarta del estatuto básico del empleado público, (que permitía a las Administraciones efectuar convocatorias de consolidación de empleo para personal interino o temporal anterior al 1 de enero de 2005) ello no supondría diferencia alguna puesto que el art. 3.1 del Real Decreto-ley 20/2011 dice, claramente, que </w:t>
      </w:r>
      <w:r>
        <w:lastRenderedPageBreak/>
        <w:t>la limitación que contempla (la prohibición de incorporación de nuevo personal): “alcanza a las plazas incursas en los procesos de consolidación de empleo previstos en la disposición transitoria cuarta del Estatuto Básico del Empleado Público” (El Real Decreto Legislativo 5/2015, de 30 de octubre, que aprobó el texto refundido de la Ley del estatuto básico del empleado público no supone modificación alguna en lo que a la disposición transitoria cuarta respecta). La excepción que, de lo previsto en el apartado 1, contempla el 5, tiene por único objeto admitir, en los supuestos que se enumeran, una tasa de reposición del 10 por 100 pero no, como sostiene la Comunidad Autónoma, decir lo contrario de lo que, sobre los procesos de consolidación de empleo, dice el apartado 1. Por tanto, la afirmación de la Junta de Andalucía según la cual el art. 3.5 del Real Decreto-ley 20/2011, permite a las Administraciones públicas con competencias educativas convocar estas plazas, no tiene apoyo en el tenor literal de este apartado.</w:t>
      </w:r>
    </w:p>
    <w:p w:rsidR="00A90898" w:rsidRDefault="00A90898" w:rsidP="00A90898">
      <w:pPr>
        <w:pStyle w:val="TextoNormal"/>
      </w:pPr>
    </w:p>
    <w:p w:rsidR="00A90898" w:rsidRDefault="00A90898" w:rsidP="00A90898">
      <w:pPr>
        <w:pStyle w:val="TextoNormal"/>
      </w:pPr>
      <w:r>
        <w:t>A mayor abundamiento, si bien es cierto que el Decreto 373/2011, sobre oferta de empleo público docente en Andalucía para el 2012 (en adelante, Decreto 373/2011), aprobó las 2.389 plazas, luego convocadas por la Orden 2012 y dijo, en su art. 1.2, que, de esas plazas, 1.752 correspondían a lo dispuesto en la disposición transitoria cuarta del texto refundido de la Ley del estatuto básico del empleado público, la Orden 2012, como destaca el informe del Ministerio de Hacienda mencionado, no dijo nada al respecto y se limitó, como se ha señalado, a convocar 1.244 plazas de nuevo ingreso, 171 plazas reservadas a discapacitados y 974 plazas de promoción interna para acceso del grupo A 2 al A1.</w:t>
      </w:r>
    </w:p>
    <w:p w:rsidR="00A90898" w:rsidRDefault="00A90898" w:rsidP="00A90898">
      <w:pPr>
        <w:pStyle w:val="TextoNormal"/>
      </w:pPr>
    </w:p>
    <w:p w:rsidR="00A90898" w:rsidRDefault="00A90898" w:rsidP="00A90898">
      <w:pPr>
        <w:pStyle w:val="TextoNormal"/>
      </w:pPr>
      <w:r>
        <w:t>Tampoco entendemos acertado el razonamiento de la Junta de Andalucía, según el cual el 10 por 100 de la tasa de reposición de efectivos del art. 3.5 del Real Decreto-ley 20/2011 debe computarse sobre el total de efectivos a reponer en el sector autonómico y no solo sobre los efectivos del sector docente. Si se leen conjuntamente, como propone la Letrada autonómica, el Decreto 373/2011 y los arts. 23.1 de la Ley 39/2010, de 22 de diciembre, de presupuestos generales del Estado para el año 2011 (LPGE 2011) y 11 de la Ley 18/2011, de 23 de diciembre, del presupuesto de la Comunidad Autónoma de Andalucía para el año 2012 (Ley de presupuestos de Andalucía 2012) a que se remite dicho Decreto y se comparan con el art. 3 Real Decreto-ley 20/2011, resulta una interpretación distinta a la que esta parte procesal sostiene.</w:t>
      </w:r>
    </w:p>
    <w:p w:rsidR="00A90898" w:rsidRDefault="00A90898" w:rsidP="00A90898">
      <w:pPr>
        <w:pStyle w:val="TextoNormal"/>
      </w:pPr>
    </w:p>
    <w:p w:rsidR="00A90898" w:rsidRDefault="00A90898" w:rsidP="00A90898">
      <w:pPr>
        <w:pStyle w:val="TextoNormal"/>
      </w:pPr>
      <w:r>
        <w:t xml:space="preserve">Así, tanto el art. 23.1 de la Ley de presupuestos generales del Estado para 2011, como el art. 11 de la Ley de presupuestos de Andalucía para 2012, diseñaron un sistema en que, respectivamente en los años 2011 y 2012, se permitía, como regla general y en sus ámbitos de aplicación, convocar plazas de nuevo ingreso en el sector público correspondiente hasta un máximo del 10 por 100 de la tasa de reposición en el total de dicho sector que, efectivamente, como dice la Junta de Andalucía, se podía concentrar en sectores, funciones o categorías profesionales considerados prioritarios o esenciales. Sin embargo, como excepción, la Ley de presupuestos del Estado para 2011 elevaba el límite genérico del 10 por 100, al 30 por 100, en los concretos sectores o supuestos descritos. El art. 3 del Real Decreto-ley 20/2011, para el ejercicio 2012, modificó el sistema en el sentido de hacerlo más restrictivo puesto que sustituyó la regla general del 10 por 100 por la de prohibición de incorporación de nuevo personal. Esta prohibición del precepto abarcaba, como se ha visto, incluso a las plazas de los procesos de consolidación de empleo previstos en el estatuto básico del empleado público que, en cambio, en la Ley de presupuestos generales del Estado para 2011 se excluían de forma expresa. Además, el art. 3 del Real Decreto-ley 20/2011, redujo la </w:t>
      </w:r>
      <w:r>
        <w:lastRenderedPageBreak/>
        <w:t>excepción del 30 por 100 de la tasa de reposición permitida en algunos sectores, al 10 por 100. En todo caso, la redacción del precepto permite afirmar que este porcentaje habría de computarse sobre los sectores concretos y no sobre el total de los efectivos de la Administración correspondiente, puesto que expresamente dice que se fija la tasa de reposición en el 10 por 100 en “los siguientes sectores y administraciones”. Esta, por otra parte, es la solución lógica y más ajustada a la finalidad de la norma puesto que la justificación de la excepción es la concreta necesidad existente en tales sectores y no en otros. Por tanto, la interpretación que propone la Administración autonómica no es correcta en cuanto se basa en el tenor de la regla general establecida en normas anteriores para ampliar, a juicio de este Tribunal de forma indebida, el ámbito de la norma excepcional aplicable al caso.</w:t>
      </w:r>
    </w:p>
    <w:p w:rsidR="00A90898" w:rsidRDefault="00A90898" w:rsidP="00A90898">
      <w:pPr>
        <w:pStyle w:val="TextoNormal"/>
      </w:pPr>
    </w:p>
    <w:p w:rsidR="00A90898" w:rsidRDefault="00A90898" w:rsidP="00A90898">
      <w:pPr>
        <w:pStyle w:val="TextoNormal"/>
      </w:pPr>
      <w:r>
        <w:t>Por cuanto antecede, procede declarar que la orden objeto del presente conflicto, en cuanto convoca pruebas selectivas para cubrir 2.389 plazas de cuerpos de funcionarios docentes no universitarios, que exceden en 1.097 plazas de nuevo ingreso los límites establecidos en la normativa básica, conforme a lo razonado en el fundamento jurídico 5 de esta Sentencia, vulnera la competencia del Estado para establecer medidas de contención del gasto público en materia de personal que a este corresponde al amparo del art. 149.1.13, en relación con el art. 156.1 CE, por lo que debe ser anulada en cuanto a la convocatoria de dichas plazas se refiere.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conflicto positivo de competencias núm. 2386-2012 y, en consecuencia declarar que la Orden de 13 de febrero de 2012, de la Consejería de Educación de la Junta de Andalucía por la que se convocan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 es contraria al orden constitucional de distribución de competencias y, por tanto, inconstitucional y nula.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dieciséis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3" w:name="SENTENCIA_2016_194"/>
      <w:r>
        <w:lastRenderedPageBreak/>
        <w:t>SENTENCIA 194/2016, de 16 de noviembre de 2016</w:t>
      </w:r>
    </w:p>
    <w:bookmarkEnd w:id="73"/>
    <w:p w:rsidR="00A90898" w:rsidRDefault="00A90898" w:rsidP="00A90898">
      <w:pPr>
        <w:pStyle w:val="TtuloResolucin"/>
      </w:pPr>
      <w:r>
        <w:t>Pleno</w:t>
      </w:r>
    </w:p>
    <w:p w:rsidR="00A90898" w:rsidRDefault="00A90898" w:rsidP="00A90898">
      <w:pPr>
        <w:pStyle w:val="TtuloBOE"/>
      </w:pPr>
      <w:r>
        <w:t>(BOE núm. 311, de 26 de diciembre de 2016)</w:t>
      </w:r>
    </w:p>
    <w:p w:rsidR="00A90898" w:rsidRDefault="00A90898" w:rsidP="00A90898">
      <w:pPr>
        <w:pStyle w:val="TextoNormalCentrado"/>
      </w:pPr>
      <w:r>
        <w:t>ECLI:ES:TC:2016:194</w:t>
      </w:r>
    </w:p>
    <w:p w:rsidR="00A90898" w:rsidRDefault="00A90898" w:rsidP="00A90898">
      <w:pPr>
        <w:pStyle w:val="TextoNormalCentrado"/>
      </w:pPr>
    </w:p>
    <w:p w:rsidR="00A90898" w:rsidRDefault="00A90898" w:rsidP="00A90898">
      <w:pPr>
        <w:pStyle w:val="SntesisDescriptiva"/>
      </w:pPr>
      <w:r>
        <w:t>Recurso de inconstitucionalidad 1814-2013. Interpuesto por el Gobierno Vasco en relación con diversos preceptos de la Ley 17/2012, de 27 de diciembre, de presupuestos generales del Estado para el año 2013.</w:t>
      </w:r>
    </w:p>
    <w:p w:rsidR="00A90898" w:rsidRDefault="00A90898" w:rsidP="00A90898">
      <w:pPr>
        <w:pStyle w:val="SntesisDescriptiva"/>
      </w:pPr>
    </w:p>
    <w:p w:rsidR="00A90898" w:rsidRDefault="00A90898" w:rsidP="00A90898">
      <w:pPr>
        <w:pStyle w:val="SntesisAnaltica"/>
      </w:pPr>
      <w:r>
        <w:t>Competencias sobre ordenación general de la economía y función pública: constitucionalidad del precepto legal estatal relativo a las limitaciones de incorporación nuevos empleados públicos (SSTC 215/2015 y 179/2016). Voto particular.</w:t>
      </w:r>
    </w:p>
    <w:p w:rsidR="00A90898" w:rsidRDefault="00A90898" w:rsidP="00A90898">
      <w:pPr>
        <w:pStyle w:val="SntesisAnaltica"/>
      </w:pPr>
    </w:p>
    <w:p w:rsidR="00A90898" w:rsidRDefault="00A90898" w:rsidP="00A90898">
      <w:pPr>
        <w:pStyle w:val="Extracto"/>
      </w:pPr>
      <w:r>
        <w:t>1.</w:t>
      </w:r>
      <w:r>
        <w:tab/>
        <w:t>La limitación de la oferta de empleo público a través de la técnica del tope máximo porcentual, así como la utilización de criterios genéricos como el carácter absolutamente prioritario de los sectores, funciones y categorías en que debe concentrarse no predeterminan un resultado singular. En este caso se emplea también el criterio del carácter prioritario, indicándose además expresamente los sectores afectados. Por tanto, la norma impugnada resulta compatible con las competencias de autoorganización que tiene asumidas la Comunidad Autónoma del País Vasco recurrente (STC 178/2006) [FJ 3].</w:t>
      </w:r>
    </w:p>
    <w:p w:rsidR="00A90898" w:rsidRDefault="00A90898" w:rsidP="00A90898">
      <w:pPr>
        <w:pStyle w:val="Extracto"/>
      </w:pPr>
    </w:p>
    <w:p w:rsidR="00A90898" w:rsidRDefault="00A90898" w:rsidP="00A90898">
      <w:pPr>
        <w:pStyle w:val="Extracto"/>
      </w:pPr>
      <w:r>
        <w:t>2.</w:t>
      </w:r>
      <w:r>
        <w:tab/>
        <w:t>En relación con la prohibición de aportaciones a los planes de pensiones y empleo durante el ejercicio 2013, la doctrina constitucional ya ha señalado la directa relación existente entre la fijación de las retribuciones del personal al servicio de las Administraciones públicas y la fijación de la política económica general por parte del Estado, de manera que las medidas de limitación de las retribuciones adoptadas por el Estado deben analizarse desde la perspectiva de los arts. 149.1.13 y 156.1 CE (STC  215/2015) [FJ 2].</w:t>
      </w:r>
    </w:p>
    <w:p w:rsidR="00A90898" w:rsidRDefault="00A90898" w:rsidP="00A90898">
      <w:pPr>
        <w:pStyle w:val="Extracto"/>
      </w:pPr>
    </w:p>
    <w:p w:rsidR="00A90898" w:rsidRDefault="00A90898" w:rsidP="00A90898">
      <w:pPr>
        <w:pStyle w:val="Extracto"/>
      </w:pPr>
      <w:r>
        <w:t>3.</w:t>
      </w:r>
      <w:r>
        <w:tab/>
        <w:t>La prohibición de aportaciones a los planes de pensiones y empleo durante el ejercicio 2013 se justifica, no sólo porque el Estado puede establecer topes máximos a los incrementos retributivos de los funcionarios autonómicos, sino porque también puede decantarse por la congelación salarial en un ejercicio, o por la reducción e incluso la supresión de un determinado concepto retributivo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recurso de inconstitucionalidad núm. 1814-2013, interpuesto por el Gobierno de la Comunidad Autónoma del País Vasco contra los arts. 22.3 y 23.1.2 y las disposiciones adicionales octogésima primera y octogésima cuarta, de la Ley 17/2012, de 27 de diciembre, de presupuestos generales del Estado para el año 2013. Ha comparecido y formulado alegaciones el Abogado del Estado. Ha sido Ponente el Magistrado don Pedro José González-Trevijano Sánchez, que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26 de marzo de 2013 la representación procesal del Gobierno de la Comunidad Autónoma del País Vasco interpuso recurso de inconstitucionalidad contra los arts. 22.3 y 23.1.2 y las disposiciones adicionales octogésima primera y octogésima cuarta de la Ley 17/2012, de 27 de diciembre, de presupuestos generales del Estado para el año 2013.</w:t>
      </w:r>
    </w:p>
    <w:p w:rsidR="00A90898" w:rsidRDefault="00A90898" w:rsidP="00A90898">
      <w:pPr>
        <w:pStyle w:val="TextoNormal"/>
      </w:pPr>
    </w:p>
    <w:p w:rsidR="00A90898" w:rsidRDefault="00A90898" w:rsidP="00A90898">
      <w:pPr>
        <w:pStyle w:val="TextoNormal"/>
      </w:pPr>
      <w:r>
        <w:t>El escrito de interposición comienza su alegato exponiendo las coincidencias entre el objeto de este recurso y el registrado con el número 1815-2013, interpuesto también por el Gobierno Vasco contra los arts. 22.3 y 23.1.2 y las disposiciones adicionales duodécima, cuadragésima y septuagésima primera de la Ley 2/2012, de 29 de junio, de presupuestos generales del Estado para el año 2012. En el caso de la impugnación referida al art. 22.3, la remisión lo es, además, al recurso registrado con el número 5423-2012 e interpuesto por la misma demandante, que se dirigió frente al art. 2.3 del Real Decreto-ley 20/2011, de 30 de diciembre, de medidas urgentes en materia presupuestaria, tributaria y financiera para la corrección del déficit público.</w:t>
      </w:r>
    </w:p>
    <w:p w:rsidR="00A90898" w:rsidRDefault="00A90898" w:rsidP="00A90898">
      <w:pPr>
        <w:pStyle w:val="TextoNormal"/>
      </w:pPr>
    </w:p>
    <w:p w:rsidR="00A90898" w:rsidRDefault="00A90898" w:rsidP="00A90898">
      <w:pPr>
        <w:pStyle w:val="TextoNormal"/>
      </w:pPr>
      <w:r>
        <w:t>a) El art. 22.3 de la Ley 17/2012, que establece la prohibición de aportaciones a los planes de pensiones y empleo durante el ejercicio 2013, se reputa contrario a los arts. 2; 149.1.13; 149.1.18 y 156.1 CE, en relación con los arts. 10.4 y 44 de la Ley Orgánica 3/1979, de 18 de diciembre, del Estatuto de Autonomía para el País Vasco (EAPV); y los arts. 21 y 29 de la Ley del estatuto básico del empleado público.</w:t>
      </w:r>
    </w:p>
    <w:p w:rsidR="00A90898" w:rsidRDefault="00A90898" w:rsidP="00A90898">
      <w:pPr>
        <w:pStyle w:val="TextoNormal"/>
      </w:pPr>
    </w:p>
    <w:p w:rsidR="00A90898" w:rsidRDefault="00A90898" w:rsidP="00A90898">
      <w:pPr>
        <w:pStyle w:val="TextoNormal"/>
      </w:pPr>
      <w:r>
        <w:t>En este punto la remisión al recurso interpuesto frente al art. 22.3 de la Ley 2/2012 implica la remisión en bloque a los argumentos expuestos por el mismo recurrente frente al art. 2.3 del Real Decreto-ley 20/2011, contenidos en el recurso de inconstitucionalidad ya citado (número 5423-2012).</w:t>
      </w:r>
    </w:p>
    <w:p w:rsidR="00A90898" w:rsidRDefault="00A90898" w:rsidP="00A90898">
      <w:pPr>
        <w:pStyle w:val="TextoNormal"/>
      </w:pPr>
    </w:p>
    <w:p w:rsidR="00A90898" w:rsidRDefault="00A90898" w:rsidP="00A90898">
      <w:pPr>
        <w:pStyle w:val="TextoNormal"/>
      </w:pPr>
      <w:r>
        <w:t xml:space="preserve">La demanda considera que la prohibición de aportaciones a planes de pensiones y empleo, en los términos previstos en el art. 22.3 de la Ley 17/2012, no encuentra amparo en la competencia estatal para regular las bases del régimen estatutario de los funcionarios públicos, excediendo de lo que ha de calificarse como básico. Igualmente se afirma que el objetivo de política económica dirigido a la contención del gasto de personal ha de articularse de forma global pues, en caso contrario, se termina por absorber totalmente el espacio sustantivo que deriva de los arts. 10.4 y 44 EAPV para determinar las retribuciones del personal al servicio de la Comunidad Autónoma. Tampoco se advierte razón alguna de política económica o de planificación de la actividad económica que justifique una intervención del </w:t>
      </w:r>
      <w:r>
        <w:lastRenderedPageBreak/>
        <w:t>legislador estatal sobre una concreta retribución que es ajena a su acervo competencial. Por último, se argumenta que el artículo impugnado convierte las retribuciones diferidas en una suerte de retribución básica cuyos contornos define el Estado en su totalidad. La recurrente entiende así que de la doctrina constitucional sobre el art. 149.1.13 CE, particularmente en lo relativo a la imposición de límites porcentuales a los incrementos retributivos de los empleados del sector público, se deriva que las limitaciones a establecer han de referirse al volumen total de las retribuciones, sin vaciar por tanto de contenido las competencias autonómicas. Señalado lo anterior, argumentan que el precepto impugnado no se ajusta a tales límites y vulnera la autonomía financiera de la Comunidad Autónoma del País Vasco reconocida en los arts. 156.1 CE y 44 EAPV. Por último, señala la demanda que el precepto impugnado es, además, contrario al principio de solidaridad que ha de inspirar el sacrificio que se exige al conjunto de las Administraciones públicas, de acuerdo con el art. 2 CE.</w:t>
      </w:r>
    </w:p>
    <w:p w:rsidR="00A90898" w:rsidRDefault="00A90898" w:rsidP="00A90898">
      <w:pPr>
        <w:pStyle w:val="TextoNormal"/>
      </w:pPr>
    </w:p>
    <w:p w:rsidR="00A90898" w:rsidRDefault="00A90898" w:rsidP="00A90898">
      <w:pPr>
        <w:pStyle w:val="TextoNormal"/>
      </w:pPr>
      <w:r>
        <w:t>b) En relación con el art. 23.1.2 de la Ley 17/2012, sobre la tasa de reposición aplicable a la oferta de empleo público, la demanda destaca también la vinculación con el mismo precepto de la Ley 2/2012, remitiéndose a los argumentos esgrimidos en el recurso registrado con el número 1815-2013. Añade sin embargo que el ahora impugnado contiene algunas variaciones con respecto de la disposición contenida en la Ley 2/2012, ya que se contempla ahora una relación más prolija de los sectores en los que se reconoce la posibilidad de alcanzar un máximo del 10 por 100 como tasa de reposición de efectivos.</w:t>
      </w:r>
    </w:p>
    <w:p w:rsidR="00A90898" w:rsidRDefault="00A90898" w:rsidP="00A90898">
      <w:pPr>
        <w:pStyle w:val="TextoNormal"/>
      </w:pPr>
    </w:p>
    <w:p w:rsidR="00A90898" w:rsidRDefault="00A90898" w:rsidP="00A90898">
      <w:pPr>
        <w:pStyle w:val="TextoNormal"/>
      </w:pPr>
      <w:r>
        <w:t>La disposición se dicta al amparo de los arts. 149.1.13 y 156.1 CE. Sin cuestionar este encuadramiento competencial, se alega que la intensidad de la intervención prevista en el precepto y, en concreto, la predeterminación de los ámbitos en los que cabe la tasa de reposición, condiciona la organización interna de la Comunidad Autónoma y afecta por ello al núcleo indisponible intrínseco a la capacidad de auto organización a que se refiere el art. 10.2 EAPV.</w:t>
      </w:r>
    </w:p>
    <w:p w:rsidR="00A90898" w:rsidRDefault="00A90898" w:rsidP="00A90898">
      <w:pPr>
        <w:pStyle w:val="TextoNormal"/>
      </w:pPr>
    </w:p>
    <w:p w:rsidR="00A90898" w:rsidRDefault="00A90898" w:rsidP="00A90898">
      <w:pPr>
        <w:pStyle w:val="TextoNormal"/>
      </w:pPr>
      <w:r>
        <w:t>La demanda sostiene que la competencia del Estado no permite una regulación de este detalle e intensidad, predeterminando los ámbitos en los que cabe la tasa de reposición del personal. Afirma que ello se ha llevado a cabo sin que se aporte una justificación de relevancia económica que permita entender desde parámetros de constitucionalidad el fundamento estatal para identificar unos sectores en detrimento de los demás. Añade que cualquiera de los objetivos de política económica es en todo caso alcanzable con un límite global, como establece el párrafo uno del mismo artículo, límite que habría de conjugarse con una previsión flexibilizadora que admitiera la intervención de la Comunidad Autónoma en la determinación de los sectores en los que cupiera una reposición de efectivos que superara la previsión general, y que habría de jugar necesariamente con carácter excepcional. Considera que sólo tal modelo más flexible podría ser constitucional, de acuerdo con la jurisprudencia contenida en la STC 178/2006, FJ 3 (que cita las SSTC 63/1986, FJ 11, y 24/2002, FJ 5).</w:t>
      </w:r>
    </w:p>
    <w:p w:rsidR="00A90898" w:rsidRDefault="00A90898" w:rsidP="00A90898">
      <w:pPr>
        <w:pStyle w:val="TextoNormal"/>
      </w:pPr>
    </w:p>
    <w:p w:rsidR="00A90898" w:rsidRDefault="00A90898" w:rsidP="00A90898">
      <w:pPr>
        <w:pStyle w:val="TextoNormal"/>
      </w:pPr>
      <w:r>
        <w:t>Por ello, aun reconociendo la posibilidad de que el Estado limite la oferta de empleo público a través de la técnica del tope máximo porcentual, ello no le permite establecer, además, los concretos sectores que se verían exceptuados. En suma, lo que vulnera la competencia autonómica es la predeterminación de los ámbitos en los que cabe la tasa de reposición del 10 por 100, pues se condiciona con ello la organización interna. Concluye afir</w:t>
      </w:r>
      <w:r>
        <w:lastRenderedPageBreak/>
        <w:t>mando que allí donde el control del gasto y la autonomía sean cohonestables, como propugna el Tribunal Constitucional, las soluciones que coartan innecesariamente el ámbito de decisión autonómico no admiten su amparo en el art. 149.1.13 ni en el art. 156.1 CE, vulnerando en consecuencia el art. 10.2 EAPV.</w:t>
      </w:r>
    </w:p>
    <w:p w:rsidR="00A90898" w:rsidRDefault="00A90898" w:rsidP="00A90898">
      <w:pPr>
        <w:pStyle w:val="TextoNormal"/>
      </w:pPr>
    </w:p>
    <w:p w:rsidR="00A90898" w:rsidRDefault="00A90898" w:rsidP="00A90898">
      <w:pPr>
        <w:pStyle w:val="TextoNormal"/>
      </w:pPr>
      <w:r>
        <w:t>c) En relación con la disposición adicional octogésima primera de la Ley 17/2012, relativa a la gestión de las acciones, medidas y programas establecidos en la letra h) del art. 13 de la Ley 56/2003, de empleo, la demanda considera vulnerado el art. 12.2 EAPV, efectuando también en este caso una remisión en bloque a los argumentos esgrimidos por el mismo demandante frente a la disposición adicional duodécima de la Ley 2/2012, de contenido idéntico, en el recurso de inconstitucionalidad registrado con el número 1815-2013.</w:t>
      </w:r>
    </w:p>
    <w:p w:rsidR="00A90898" w:rsidRDefault="00A90898" w:rsidP="00A90898">
      <w:pPr>
        <w:pStyle w:val="TextoNormal"/>
      </w:pPr>
    </w:p>
    <w:p w:rsidR="00A90898" w:rsidRDefault="00A90898" w:rsidP="00A90898">
      <w:pPr>
        <w:pStyle w:val="TextoNormal"/>
      </w:pPr>
      <w:r>
        <w:t>Se alega así que la medida supone la centralización de siete aplicaciones presupuestarias destinadas a financiar acciones y medidas en materia de fomento de la contratación laboral, con lo que se ignora la competencia autonómica en materia de ejecución de la legislación laboral contenida en el art. 12.2 EAPV.</w:t>
      </w:r>
    </w:p>
    <w:p w:rsidR="00A90898" w:rsidRDefault="00A90898" w:rsidP="00A90898">
      <w:pPr>
        <w:pStyle w:val="TextoNormal"/>
      </w:pPr>
    </w:p>
    <w:p w:rsidR="00A90898" w:rsidRDefault="00A90898" w:rsidP="00A90898">
      <w:pPr>
        <w:pStyle w:val="TextoNormal"/>
      </w:pPr>
      <w:r>
        <w:t>Mediante la disposición impugnada se materializa formalmente la exigencia, contenida en el art. 14.3 de la Ley de empleo, de identificar y desagregar debidamente en el presupuesto del Servicio Público de Empleo Estatal los que denomina “fondos de empleo de ámbito nacional”, y de establecer una reserva de crédito que evite el principio general de distribución de tales fondos entre la Comunidades Autónomas, que permita gestionar directamente por el Servicio Público de Empleo Estatal las acciones y medidas señaladas en el artículo 13 h) de la citada Ley.</w:t>
      </w:r>
    </w:p>
    <w:p w:rsidR="00A90898" w:rsidRDefault="00A90898" w:rsidP="00A90898">
      <w:pPr>
        <w:pStyle w:val="TextoNormal"/>
      </w:pPr>
    </w:p>
    <w:p w:rsidR="00A90898" w:rsidRDefault="00A90898" w:rsidP="00A90898">
      <w:pPr>
        <w:pStyle w:val="TextoNormal"/>
      </w:pPr>
      <w:r>
        <w:t>La tacha de inconstitucionalidad se refiere a la centralización del gasto. Razona la demanda que la disposición adicional octogésima primera de la Ley 17/2012, tras especificar las aplicaciones presupuestarias objeto de esta reserva de crédito, se habría limitado a reproducir el texto del art. 13 h) y del art. 14.3 de la Ley 56/2003, de 16 de diciembre, de empleo, sin argumentar mínimamente los motivos que justifican tal asunción de la gestión directa por el Estado. Por el contrario, la norma se habría limitado a reproducir de una manera estrictamente formal, sin contenido material alguno, las condiciones exigidas por la jurisprudencia constitucional en la STC 13/1992.</w:t>
      </w:r>
    </w:p>
    <w:p w:rsidR="00A90898" w:rsidRDefault="00A90898" w:rsidP="00A90898">
      <w:pPr>
        <w:pStyle w:val="TextoNormal"/>
      </w:pPr>
    </w:p>
    <w:p w:rsidR="00A90898" w:rsidRDefault="00A90898" w:rsidP="00A90898">
      <w:pPr>
        <w:pStyle w:val="TextoNormal"/>
      </w:pPr>
      <w:r>
        <w:t>Tal centralización, se alega, necesariamente debería suponer una excepción al principio general, proclamado por el art. 149.1.7 CE, de la ejecución de la legislación laboral por las Comunidades Autónomas, competencia que además está atribuida a la Comunidad Autónoma del País Vasco por el art. 12.2 EAPV, y que conlleva la gestión por las Comunidades Autónomas de las acciones públicas traspasadas en materia de políticas activas de empleo.</w:t>
      </w:r>
    </w:p>
    <w:p w:rsidR="00A90898" w:rsidRDefault="00A90898" w:rsidP="00A90898">
      <w:pPr>
        <w:pStyle w:val="TextoNormal"/>
      </w:pPr>
    </w:p>
    <w:p w:rsidR="00A90898" w:rsidRDefault="00A90898" w:rsidP="00A90898">
      <w:pPr>
        <w:pStyle w:val="TextoNormal"/>
      </w:pPr>
      <w:r>
        <w:t xml:space="preserve">En relación con el ámbito competencial autonómico, se afirma en la demanda que la Comunidad Autónoma del País Vasco tiene en este ámbito una competencia de mayor extensión que el resto de las Comunidades Autónomas, citando en este punto los Estatutos de Autonomía coetáneos, en sus versiones originarias (citando así, entre otros, el art. 11.2 de la Ley Orgánica 4/1979, del antiguo Estatuto de Autonomía de Cataluña). Se refiere igualmente, en sustento de su tesis, al Real Decreto 1441/2010, de 5 de noviembre, sobre traspaso de funciones y servicios a la Comunidad Autónoma del País Vasco en materia de ejecución de la legislación laboral en el ámbito del trabajo, el empleo y la formación profesional para </w:t>
      </w:r>
      <w:r>
        <w:lastRenderedPageBreak/>
        <w:t>el empleo, que realiza el Servicio Público de Empleo Estatal. Los términos en los que se materializa la transferencia en dicha norma suponen, se afirma, reconocer un régimen competencial singular para la Comunidad Autónoma del País Vasco en relación con el art. 13 de la Ley de empleo, ya que la reserva competencial del Servicio Público de Empleo Estatal, incluyendo por tanto los fondos de ámbito nacional contemplados en el artículo 14.3 de la referida Ley, —fondos incluidos entre las competencias de la Comunidad Autónoma de acuerdo con el art. 12.2 EAPV—, únicamente se producirá en el supuesto de que la actuación o programa concreto no tenga incidencia en la Comunidad Autónoma. Por tanto, siempre que se afecte a esta Comunidad, la competencia corresponderá ejercerla al servicio autonómico de empleo. En consecuencia, la disposición impugnada debería haber salvaguardado de forma expresa el ámbito competencial reflejado en el citado Real Decreto, incluyendo la correspondiente referencia a la exclusión de la Comunidad Autónoma del País Vasco de la aplicación de esta reserva de crédito. Cita asimismo la demanda los principios que rigen las relaciones de índole financiera entre el Estado y la Comunidad Autónoma del País Vasco, reflejados en la Ley 12/2002, de 23 de mayo, del concierto económico con el País Vasco (artículo 48). A partir de ahí, razona que se establece un régimen competencial singular para la Comunidad Autónoma del País Vasco en relación con el art. 13 de la Ley de empleo.</w:t>
      </w:r>
    </w:p>
    <w:p w:rsidR="00A90898" w:rsidRDefault="00A90898" w:rsidP="00A90898">
      <w:pPr>
        <w:pStyle w:val="TextoNormal"/>
      </w:pPr>
    </w:p>
    <w:p w:rsidR="00A90898" w:rsidRDefault="00A90898" w:rsidP="00A90898">
      <w:pPr>
        <w:pStyle w:val="TextoNormal"/>
      </w:pPr>
      <w:r>
        <w:t>Se enumeran a continuación las aplicaciones presupuestarias del presupuesto correspondiente al Servicio Público de Empleo Estatal, adscrito al Ministerio de Empleo y Seguridad Social, concluyendo que se han centralizado la gestión en el Servicio Público de Empleo Estatal de siete aplicaciones presupuestarias, que detalla. Añade que la disposición adicional centraliza, asimismo, la gestión de otra aplicación presupuestaria —19.101.241—A.482 (titulada “fomento de la inserción y estabilidad laboral. Reserva de gestión directa del Servicio Público de Empleo Estatal de créditos destinados a programas de fomento de empleo”) integrada a su vez por otros subconceptos que constituyen auténticas políticas activas de empleo, incidiendo, por tanto, de forma directa en el ámbito competencial asumido, en los términos expuestos, en el marco del Estatuto de Autonomía y tal y como ha quedado plasmado en el Real Decreto 1441/2010.</w:t>
      </w:r>
    </w:p>
    <w:p w:rsidR="00A90898" w:rsidRDefault="00A90898" w:rsidP="00A90898">
      <w:pPr>
        <w:pStyle w:val="TextoNormal"/>
      </w:pPr>
    </w:p>
    <w:p w:rsidR="00A90898" w:rsidRDefault="00A90898" w:rsidP="00A90898">
      <w:pPr>
        <w:pStyle w:val="TextoNormal"/>
      </w:pPr>
      <w:r>
        <w:t>En fin, la competencia de ejecución que otorga a esta Comunidad Autónoma el art. 12.2 EAVP se ve vulnerada por la citada centralización de las partidas presupuestarias.</w:t>
      </w:r>
    </w:p>
    <w:p w:rsidR="00A90898" w:rsidRDefault="00A90898" w:rsidP="00A90898">
      <w:pPr>
        <w:pStyle w:val="TextoNormal"/>
      </w:pPr>
    </w:p>
    <w:p w:rsidR="00A90898" w:rsidRDefault="00A90898" w:rsidP="00A90898">
      <w:pPr>
        <w:pStyle w:val="TextoNormal"/>
      </w:pPr>
      <w:r>
        <w:t>d) Por último, la disposición adicional octogésima cuarta de la Ley 17/2012, —por la que se suspende, durante el año 2013, la aplicación de los arts. 7.2, 8.2 a), 10 y 32.3 (primer párrafo) y la disposición transitoria primera de la Ley 39/2006, de 14 de diciembre, de promoción de la autonomía personal y atención a las personas en situación de dependencia—, se impugna también con remisión a los argumentos esgrimidos frente a la disposición adicional cuadragésima de la Ley 2/2012 en el recurso 1815-2013.</w:t>
      </w:r>
    </w:p>
    <w:p w:rsidR="00A90898" w:rsidRDefault="00A90898" w:rsidP="00A90898">
      <w:pPr>
        <w:pStyle w:val="TextoNormal"/>
      </w:pPr>
    </w:p>
    <w:p w:rsidR="00A90898" w:rsidRDefault="00A90898" w:rsidP="00A90898">
      <w:pPr>
        <w:pStyle w:val="TextoNormal"/>
      </w:pPr>
      <w:r>
        <w:t xml:space="preserve">La Ley 39/2006 regula uno de los tres niveles de la protección de la dependencia, que se ha venido acordando entre el Estado y la Administración de cada Comunidad Autónoma. Se afecta por tanto al contenido mínimo del derecho allí protegido en el segundo de los niveles del protección a que se refiere el art. 7.22 de la Ley, así como al principio de colaboración sobre el que se articula el sistema de atención a la dependencia y a la propia suficiencia financiera del sistema que se va a situar en un marco de insostenibilidad financiera. La suspensión temporal del nivel de protección acordado tiene una incidencia necesaria en </w:t>
      </w:r>
      <w:r>
        <w:lastRenderedPageBreak/>
        <w:t xml:space="preserve">el contenido mínimo del derecho, pues no se trata además de un mero nivel de protección facultativo sino que el mismo se proyecta sobre el núcleo del derecho, sobre las prestaciones que le dan contenido. El Estado no puede abstraerse de este objetivo, menos aún en ejercicio de la competencia </w:t>
      </w:r>
      <w:r w:rsidRPr="00A90898">
        <w:rPr>
          <w:i/>
        </w:rPr>
        <w:t>ex</w:t>
      </w:r>
      <w:r>
        <w:t xml:space="preserve"> art. 149.1.1 CE, pues estaría procurando la eliminación, por medio de su competencia normativa, de uno de los elementos en que se sustenta la Ley para hacer efectivo el derecho de atención a las personas en situación de dependencia. Resalta, detallando los pormenores de la financiación del sistema, que la financiación del nivel acordado se suma a la del nivel mínimo de protección para procurar un sistema solvente y estable desde una perspectiva estrictamente económica. Por ello, si la suficiencia financiera del sistema no queda garantizada, —y es un hecho que la suspensión del nivel acordado, de la cooperación interadministrativa y de la financiación anudada a la misma, sirven a tal fin—, la efectividad del derecho es una falacia y su ejercido en condiciones de igualdad un objetivo inalcanzable.</w:t>
      </w:r>
    </w:p>
    <w:p w:rsidR="00A90898" w:rsidRDefault="00A90898" w:rsidP="00A90898">
      <w:pPr>
        <w:pStyle w:val="TextoNormal"/>
      </w:pPr>
    </w:p>
    <w:p w:rsidR="00A90898" w:rsidRDefault="00A90898" w:rsidP="00A90898">
      <w:pPr>
        <w:pStyle w:val="TextoNormal"/>
      </w:pPr>
      <w:r>
        <w:t>Dicha suspensión también se reputa contraria al principio de lealtad constitucional en cuanto que a la Comunidad Autónoma se le sigue exigiendo una aportación al menos igual a la que el Estado ha de aportar en el nivel mínimo de protección, lo que supone el condicionamiento de sus recursos, vulnerando su autonomía financiera además de, específicamente, el principio de lealtad a que se refiere el art. 9 de la Ley Orgánica 2/2012, de 27 de abril, de estabilidad presupuestaria y sostenibilidad financiera.</w:t>
      </w:r>
    </w:p>
    <w:p w:rsidR="00A90898" w:rsidRDefault="00A90898" w:rsidP="00A90898">
      <w:pPr>
        <w:pStyle w:val="TextoNormal"/>
      </w:pPr>
    </w:p>
    <w:p w:rsidR="00A90898" w:rsidRDefault="00A90898" w:rsidP="00A90898">
      <w:pPr>
        <w:pStyle w:val="TextoNormal"/>
      </w:pPr>
      <w:r>
        <w:t>En fin, con la suspensión de los artículos 7; 8.2 a); 10 y 32.3, párrafo primero y la disposición transitoria primera de la Ley 39/2006, el Estado incide en el sistema atendiendo únicamente a un interés propio de ahorro, y desentendiéndose del interés general ligado a la eficacia de aquel sistema, así como ignorando igualmente la posición de las Comunidades Autónomas, impedidas de realizar un ejercicio eficaz de su competencia sobre asistencia social. Además, este desistimiento unilateral por parte del Estado del marco cooperativo y de colaboración supone un menoscabo efectivo de la competencia de esta Comunidad Autónoma. El ejercicio por el Estado de la competencia propia no puede producir, como en este caso, una afectación, un condicionamiento de la competencia sobre asistencia social de esta Comunidad Autónoma (</w:t>
      </w:r>
      <w:r w:rsidRPr="00A90898">
        <w:rPr>
          <w:i/>
        </w:rPr>
        <w:t>ex</w:t>
      </w:r>
      <w:r>
        <w:t xml:space="preserve"> art. 10.12 EAPV), menos aún, si se tiene en cuenta que la financiación procedente del nivel de protección acordado se conforma en la Ley como un mecanismo de financiación estable, cuya supresión temporal, mediado ya el ejercicio 2012, al que se aplicará la medida, resulta intempestivo e imprevisible para las Comunidades Autónomas.</w:t>
      </w:r>
    </w:p>
    <w:p w:rsidR="00A90898" w:rsidRDefault="00A90898" w:rsidP="00A90898">
      <w:pPr>
        <w:pStyle w:val="TextoNormal"/>
      </w:pPr>
    </w:p>
    <w:p w:rsidR="00A90898" w:rsidRDefault="00A90898" w:rsidP="00A90898">
      <w:pPr>
        <w:pStyle w:val="TextoNormal"/>
      </w:pPr>
      <w:r>
        <w:t>La disposición vulnera así tanto la competencia del País Vasco en materia de asistencia social (art. 10.12 EAPV), como el artículo 149.1.1, en relación con los artículos 9.2; 138 y 139.1; 149.1.13; y 156.1, todos de la Constitución, además del art. 9 de la Ley Orgánica 2/2012, de 27 de abril, de estabilidad presupuestaria y sostenibilidad financiera.</w:t>
      </w:r>
    </w:p>
    <w:p w:rsidR="00A90898" w:rsidRDefault="00A90898" w:rsidP="00A90898">
      <w:pPr>
        <w:pStyle w:val="TextoNormal"/>
      </w:pPr>
    </w:p>
    <w:p w:rsidR="00A90898" w:rsidRDefault="00A90898" w:rsidP="00A90898">
      <w:pPr>
        <w:pStyle w:val="TextoNormal"/>
      </w:pPr>
      <w:r>
        <w:t>Concluye el escrito recordando que en el recurso de inconstitucionalidad interpuesto frente a la Ley 2/2012 (recurso 1815-2013) ya se había solicitado la acumulación al recurso registrado con el número 5423-2012, promovido por el Gobierno Vasco frente el apartado 3 del art. 2 del Real Decreto-ley 20/2011, de 30 de diciembre, petición que se extiende al presente recurso en el entendimiento de que la conexión entre los tres recursos citados justifica la unidad de tramitación y decisión.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Mediante providencia de 23 de abril de 2013, el Pleno, a propuesta de la Sección Segunda, acordó admitir a trámite el presente recurso de inconstitucionalidad. Igualmente, se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 lo que se llevó a efecto en el núm. 114, de 13 de mayo de 2013.</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10 de mayo, el Abogado del Estado se personó en nombre del Gobierno, solicitando una prórroga del plazo concedido para formular alegaciones. Por providencia de 13 de mayo de 2013, se acordó tenerle por personado y prorrogarle en ocho días más el plazo inicialmente concedido para la formulación de alegaciones.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registrado el 16 de mayo de 2013, el Presidente del Senado comunicó el acuerdo de la Mesa de la Cámara de personarse en el procedimiento y ofrecer su colaboración a los efectos del art. 88.1 LOTC. Lo mismo hizo el Presidente del Congreso de los Diputados en su escrito de 17 de mayo de 2013, indicando también el acuerdo de remisión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5</w:t>
      </w:r>
      <w:r>
        <w:t>. El 5 de junio de 2013 tuvo entrada en el Registro General de este Tribunal el escrito de alegaciones del Abogado del Estado, en la representación que legalmente ostenta, por el que solicita la desestimación del presente recurso de inconstitucionalidad.</w:t>
      </w:r>
    </w:p>
    <w:p w:rsidR="00A90898" w:rsidRDefault="00A90898" w:rsidP="00A90898">
      <w:pPr>
        <w:pStyle w:val="TextoNormal"/>
      </w:pPr>
    </w:p>
    <w:p w:rsidR="00A90898" w:rsidRDefault="00A90898" w:rsidP="00A90898">
      <w:pPr>
        <w:pStyle w:val="TextoNormal"/>
      </w:pPr>
      <w:r>
        <w:t>El Abogado del Estado comienza su alegato enmarcando las medidas de la Ley 17/2012 en el ámbito del mandato constitucional de estabilidad presupuestaria contenido en el art. 135.1 y 2 CE, reproduciendo a tal efecto algunos fragmentos de la exposición de motivos de dicha Ley, y haciendo referencia al contexto de grave crisis económica en que España se ha visto inmersa, dando cuenta a tal efecto de diversos informes del Banco de España, así como de varios pronunciamientos en los que el Tribunal Constitucional se ha hecho eco de la profunda crisis presupuestaria. Según indica, las normas impugnadas parten de esta situación socio-económica y persiguen el cumplimiento del mandato constitucional, además de asegurar la subsistencia y viabilidad del propio sistema prestacional en función de los recursos económicos disponibles.</w:t>
      </w:r>
    </w:p>
    <w:p w:rsidR="00A90898" w:rsidRDefault="00A90898" w:rsidP="00A90898">
      <w:pPr>
        <w:pStyle w:val="TextoNormal"/>
      </w:pPr>
    </w:p>
    <w:p w:rsidR="00A90898" w:rsidRDefault="00A90898" w:rsidP="00A90898">
      <w:pPr>
        <w:pStyle w:val="TextoNormal"/>
      </w:pPr>
      <w:r>
        <w:t>a) Respecto de la impugnación referida al art. 22.3 de la Ley 17/2012 recoge el escrito esencialmente los argumentos esgrimidos en el recurso de inconstitucionalidad núm. 5423-2012, interpuesto por el Gobierno de la Comunidad Autónoma del País Vasco, contra el apartado 3 del art. 2 del Real Decreto-ley 20/2011, de 30 de diciembre.</w:t>
      </w:r>
    </w:p>
    <w:p w:rsidR="00A90898" w:rsidRDefault="00A90898" w:rsidP="00A90898">
      <w:pPr>
        <w:pStyle w:val="TextoNormal"/>
      </w:pPr>
    </w:p>
    <w:p w:rsidR="00A90898" w:rsidRDefault="00A90898" w:rsidP="00A90898">
      <w:pPr>
        <w:pStyle w:val="TextoNormal"/>
      </w:pPr>
      <w:r>
        <w:t xml:space="preserve">Comienza señalando que el análisis de constitucionalidad del art. 22.3 ha de efectuarse por contraste con lo dispuesto en el art. 149.1.13 CE y, por su específica relación con el título competencial que tal precepto reconoce al Estado, teniendo igualmente presente el principio de coordinación con las haciendas públicas, consagrado en el art. 156 CE. Recuerda que, con base en los arts. 149.1.13 y 156.1 CE, consolidada doctrina del Tribunal Constitucional (cita las SSTC 148/2006, de 11 de mayo, 195/2006, de 22 de junio, y </w:t>
      </w:r>
      <w:r>
        <w:lastRenderedPageBreak/>
        <w:t>297/2006, de 11 de octubre) ha reconocido la capacidad del Estado para establecer con carácter básico y, por tanto, de obligada observancia por todas las Administraciones públicas, límites al incremento global de las retribuciones del personal al servicio del sector público. Por ello, afirma que dado que la limitación de incrementos retributivos del personal del sector público está constitucionalmente fundada no en el art. 149.1.18 CE, sino en la relativa a la dirección y ordenación general de la economía (art. 149.1.13 CE) y en el principio de coordinación financiera (art. 156.1 CE), nos hallamos en este supuesto ante una medida que, amparada en el art. 149.1.13 CE, alcanza a todo el personal al servicio de las Administraciones públicas, y disfruta de un carácter excepcional cuya aplicación se justifica por la actual coyuntura económica, quedando su vigencia limitada al mantenimiento de las condiciones macroeconómicas que impone un escenario presupuestario de contención del gasto público.</w:t>
      </w:r>
    </w:p>
    <w:p w:rsidR="00A90898" w:rsidRDefault="00A90898" w:rsidP="00A90898">
      <w:pPr>
        <w:pStyle w:val="TextoNormal"/>
      </w:pPr>
    </w:p>
    <w:p w:rsidR="00A90898" w:rsidRDefault="00A90898" w:rsidP="00A90898">
      <w:pPr>
        <w:pStyle w:val="TextoNormal"/>
      </w:pPr>
      <w:r>
        <w:t>La norma impugnada satisface plenamente la doble vertiente material y formal que ha de concurrir en lo básico. Desde el punto de vista formal, tiene rango de ley y, materialmente, la disposición representa una previsión de política económica general de carácter básico similar a la que integran el contenido constitucionalmente previsto para las leyes de presupuestos. Y dada la naturaleza retributiva de carácter diferido que ostentan las aportaciones a que se refiere el precepto impugnado, su prohibición constituye, a juicio del Abogado del Estado, una reducción de tal concepto retributivo para todos los empleados públicos que venían siendo beneficiarios de ellas, reducción que se superpone a la congelación retributiva prevista en el apartado dos de igual precepto. Se refiere por último al ejercicio de la autonomía financiera de las Comunidades Autónomas, que tiene como límites materiales los principios de solidaridad entre todos los españoles y de coordinación con la hacienda estatal (arts. 138.1 y 156.1 CE). Principio de coordinación que constituye un límite condicionante de su autonomía financiera (SSTC 171/1996, de 30 de octubre, FJ 2; 103/1997, de 22 de mayo, FJ 1, y 62/2001, de 1 marzo, FJ 4). Concluye que la medida impugnada tampoco supone un trato desigual entre Administraciones públicas pues, como tampoco lo suponían anteriores limitaciones, es una medida de carácter general para la contención del gasto que se aplica por igual en el conjunto del sector público.</w:t>
      </w:r>
    </w:p>
    <w:p w:rsidR="00A90898" w:rsidRDefault="00A90898" w:rsidP="00A90898">
      <w:pPr>
        <w:pStyle w:val="TextoNormal"/>
      </w:pPr>
    </w:p>
    <w:p w:rsidR="00A90898" w:rsidRDefault="00A90898" w:rsidP="00A90898">
      <w:pPr>
        <w:pStyle w:val="TextoNormal"/>
      </w:pPr>
      <w:r>
        <w:t>En definitiva, el principio de autonomía financiera autonómica en relación con el gasto no es absoluto y puede quedar afectado constitucionalmente por decisiones del Estado en materia de ordenación general de la economía como es la medida que recoge el art. 22.3 recurrido. Por todo ello, una vez razonado el carácter materialmente básico de la medida recurrida y su correcto amparo competencial en los arts. 149.1.13 y 156 CE, por su íntima conexión con el objetivo de reducción del déficit público, no procede sino rechazar todas las tachas de inconstitucionalidad que la demanda imputa al citado precepto.</w:t>
      </w:r>
    </w:p>
    <w:p w:rsidR="00A90898" w:rsidRDefault="00A90898" w:rsidP="00A90898">
      <w:pPr>
        <w:pStyle w:val="TextoNormal"/>
      </w:pPr>
    </w:p>
    <w:p w:rsidR="00A90898" w:rsidRDefault="00A90898" w:rsidP="00A90898">
      <w:pPr>
        <w:pStyle w:val="TextoNormal"/>
      </w:pPr>
      <w:r>
        <w:t>b) En relación con el art. 23.1.2 de la Ley 17/2012, que se refiere a la competencia estatal para la fijación de sectores a los que se aplica la tasa de reposición del 10 por 100, comienza con la cita de la STC 178/2006, que declaró inconstitucional el art. 32 de la Ley de presupuestos de Asturias para 1997, por contener una regulación de la oferta de empleo público autonómico que rebasaba la permitida en la Ley de presupuestos generales del Estado para ese ejercicio, recogiendo el fundamento jurídico 3 de la misma.</w:t>
      </w:r>
    </w:p>
    <w:p w:rsidR="00A90898" w:rsidRDefault="00A90898" w:rsidP="00A90898">
      <w:pPr>
        <w:pStyle w:val="TextoNormal"/>
      </w:pPr>
    </w:p>
    <w:p w:rsidR="00A90898" w:rsidRDefault="00A90898" w:rsidP="00A90898">
      <w:pPr>
        <w:pStyle w:val="TextoNormal"/>
      </w:pPr>
      <w:r>
        <w:t xml:space="preserve">Añade que la configuración de la oferta en la Ley de presupuestos para 2013 es semejante de la que contenía la Ley de presupuestos del Estado para el año 1997, en cuyo artículo 14.4 </w:t>
      </w:r>
      <w:r>
        <w:lastRenderedPageBreak/>
        <w:t>se autorizaba una tasa de reposición del 25 por 100 y, a continuación, establecía diversos sectores a los que no se aplicaba el tope de reposición de efectivos (así para militares de empleo o personal docente no universitario o despliegue de policía autonómica).</w:t>
      </w:r>
    </w:p>
    <w:p w:rsidR="00A90898" w:rsidRDefault="00A90898" w:rsidP="00A90898">
      <w:pPr>
        <w:pStyle w:val="TextoNormal"/>
      </w:pPr>
    </w:p>
    <w:p w:rsidR="00A90898" w:rsidRDefault="00A90898" w:rsidP="00A90898">
      <w:pPr>
        <w:pStyle w:val="TextoNormal"/>
      </w:pPr>
      <w:r>
        <w:t>En la norma que ahora se impugna se establece, igualmente, una regla general, que es la prohibición de convocatoria de plazas de nuevo ingreso y a continuación se enumeran diversos sectores en los que no se aplica esa regla, fijándose una tasa del 10 por 100. Además, precisa que es posible que una Comunidad Autónoma acumule la tasa de reposición de un sector en cualquier otro sector de los autorizados, lo que dibuja un amplio margen de actuación para que las Comunidades Autónomas decidan los ámbitos en los que van a convocar plazas de nuevo ingreso lo que, en palabras del Tribunal Constitucional, no les deja sin margen de maniobra para que puedan decidir, dentro de los sectores definidos, a cuáles dedicar la tasa de reposición permitida por la Ley de presupuestos generales del Estado.</w:t>
      </w:r>
    </w:p>
    <w:p w:rsidR="00A90898" w:rsidRDefault="00A90898" w:rsidP="00A90898">
      <w:pPr>
        <w:pStyle w:val="TextoNormal"/>
      </w:pPr>
    </w:p>
    <w:p w:rsidR="00A90898" w:rsidRDefault="00A90898" w:rsidP="00A90898">
      <w:pPr>
        <w:pStyle w:val="TextoNormal"/>
      </w:pPr>
      <w:r>
        <w:t>c) En relación con la disposición adicional octogésima primera, sobre la gestión de las acciones, medidas y programas establecidos en la letra h) del art. 13 de la Ley 56/2003, de 16 de diciembre, de empleo, el Abogado del Estado afirma que esta norma se limita a realizar la consignación presupuestaria de la reserva de crédito a favor de determinadas ayudas, medidas y programas para su gestión por el Servicio Público de Empleo Estatal, pero que no atribuye competencia alguna al Estado, estando dicha competencia regulada en el art. 13 h) de la Ley de empleo, que no es objeto del presente recurso de inconstitucionalidad y respecto de la que la Ley 17/2012 se limita a reproducir su contenido. Considera, en consecuencia, que sólo podría ser objeto del presente recurso si dicha Ley 17/2012 puede contener esa reserva de crédito a favor de determinadas ayudas, medidas o programas.</w:t>
      </w:r>
    </w:p>
    <w:p w:rsidR="00A90898" w:rsidRDefault="00A90898" w:rsidP="00A90898">
      <w:pPr>
        <w:pStyle w:val="TextoNormal"/>
      </w:pPr>
    </w:p>
    <w:p w:rsidR="00A90898" w:rsidRDefault="00A90898" w:rsidP="00A90898">
      <w:pPr>
        <w:pStyle w:val="TextoNormal"/>
      </w:pPr>
      <w:r>
        <w:t>Al respecto, se refiere a lo dicho en el fundamento jurídico 5 de la STC 13/1992, en cuya doctrina considera que se incardina el presente supuesto. Reitera que la Ley 17/2012 se limita a realizar una reserva de crédito sobre la base y en ejecución de una norma distinta —el art. 13 h) de la Ley de empleo—, que es la que, en su caso, podría producir la vulneración de la competencia autonómica o, en su defecto, los actos de ejecución de esta norma, esto es, las concretas normas que regulan cada subvención determinada. En tal sentido, indica que cada uno de los aspectos generales mencionados en el art. 13 h) de la Ley de empleo tiene su concreción en normativa específica que regula la concesión de ayudas, dando cuenta de las normas específicas que permiten al Servicio Público de Empleo Estatal la concesión de ayudas a entidades o personas. En definitiva, la reserva de crédito para gasto recogida en la Ley 17/2012 no vulnera, por sí misma, competencia autonómica alguna, pues tal vulneración, en su caso, se produciría por la norma de cobertura concreta —el art. 13 h) de la Ley de empleo—, que no es objeto del presente proceso de inconstitucionalidad, y más en concreto por la ejecución particular del Estado al definir cada subvención en las correspondientes normas, que será respecto a las que habría de aplicarse la doctrina constitucional sentada en la STC 13/1992 sobre los supuestos en que puede existir esa gestión centralizada, como ocurre en los casos analizados en las SSTC 52/2012, 37/2013 y 36/2013.</w:t>
      </w:r>
    </w:p>
    <w:p w:rsidR="00A90898" w:rsidRDefault="00A90898" w:rsidP="00A90898">
      <w:pPr>
        <w:pStyle w:val="TextoNormal"/>
      </w:pPr>
    </w:p>
    <w:p w:rsidR="00A90898" w:rsidRDefault="00A90898" w:rsidP="00A90898">
      <w:pPr>
        <w:pStyle w:val="TextoNormal"/>
      </w:pPr>
      <w:r>
        <w:t>d) Por último se refiere a la disposición adicional octogésima cuarta de la Ley 17/2012, sobre la suspensión de la aplicación de determinados preceptos de la Ley 39/2006, de 14 de diciembre, de promoción de la autonomía personal y atención a las personas en situación de dependencia. Se recogen en el escrito los argumentos ya esgrimidos en los recursos de inconstitucionalidad núm. 1743-2013 y 1744-2013, interpuestos por el Gobierno de Cataluña.</w:t>
      </w:r>
    </w:p>
    <w:p w:rsidR="00A90898" w:rsidRDefault="00A90898" w:rsidP="00A90898">
      <w:pPr>
        <w:pStyle w:val="TextoNormal"/>
      </w:pPr>
    </w:p>
    <w:p w:rsidR="00A90898" w:rsidRDefault="00A90898" w:rsidP="00A90898">
      <w:pPr>
        <w:pStyle w:val="TextoNormal"/>
      </w:pPr>
      <w:r>
        <w:t>El Abogado del Estado señala que la Ley 39/2006 instaura una nueva modalidad de protección social que amplía y complementa la acción protectora de la Seguridad Social y del Estado, y mediante la que se garantiza un marco estable de recursos y servicios, asegurando un nivel mínimo homogéneo, sin dejar el tratamiento del tema a la plena discreción de las Comunidades Autónomas competentes en materia de asistencia social. Seguidamente, examina los títulos competenciales estatales y su delimitación en relación con la atención a las situaciones de dependencia. Así, recuerda la doctrina constitucional en materia de asistencia social y sobre el art. 149.1.1 CE en relación con los mandatos de los principios rectores de los arts. 41, 49 y 50 CE y con los arts. 14 y 15 CE, sobre los que, indica, incide la Ley 39/2006. Alude también al art. 149.1.17 CE que atribuye al Estado competencias en materia de seguridad social, recordando la doctrina constitucional al respecto, que entiende aquí aplicable en la medida en que la aspiración de la Ley 39/2006 es rebasar el ámbito de la simple asistencia social y generar un verdadero sistema nacional de apoyo a la dependencia de carácter universal, por lo que si esta Ley trata de superar un modelo asistencial insuficiente, no puede sostenerse que nos encontramos en el ámbito de la “asistencia social”, o al menos exclusivamente en este ámbito. Pues bien, en su opinión, esta actuación y la aprobación de la Ley 39/2006 encuentran cobertura en los apartados 1 y 17 del art. 149.1 CE. Igual que del análisis de diversos preceptos constitucionales (arts. 43, 51, 149.1.1 y 139.2) el Tribunal Constitucional ha inferido la exigencia constitucional de que exista un sistema normativo de la sanidad nacional (STC 32/1983; 87/1985), considera que, del mismo modo, las previsiones constitucionales indicadas permiten deducir la exigencia de un sistema nacional de dependencia.</w:t>
      </w:r>
    </w:p>
    <w:p w:rsidR="00A90898" w:rsidRDefault="00A90898" w:rsidP="00A90898">
      <w:pPr>
        <w:pStyle w:val="TextoNormal"/>
      </w:pPr>
    </w:p>
    <w:p w:rsidR="00A90898" w:rsidRDefault="00A90898" w:rsidP="00A90898">
      <w:pPr>
        <w:pStyle w:val="TextoNormal"/>
      </w:pPr>
      <w:r>
        <w:t xml:space="preserve">Seguidamente, el Abogado del Estado da cuenta de la doctrina constitucional sobre el principio de colaboración o cooperación. Entre otros aspectos, destaca la doble dimensión de este principio: la negativa, en virtud de la que el Estado y las Comunidades Autónomas en el ejercicio de sus propias competencias deben abstenerse de lesionar los intereses del sistema en su conjunto y los de las demás organizaciones territoriales, de modo que se prohíbe obstaculizar el ejercicio de las competencias ajenas a través del ejercicio de las propias; y la positiva, en virtud de la cual el Estado y las Comunidades Autónomas deben ejercer sus propias competencias en beneficio de los demás cuando ello resulte necesario. Asimismo, resalta la diferencia establecida por el Tribunal Constitucional entre el concepto de coordinación —que conecta con la idea de imposición— y el concepto de cooperación —que se caracteriza por la voluntariedad— (SSTC 32/1983, FJ 2; 214/1989, FJ 20, y 194/2004, FFJJ 8 y 9). Igualmente señala que, en virtud del art. 149.1.18 CE, corresponde al Estado la competencia para la regulación general de los mecanismos o técnicas derivados del deber de cooperación, y que, por su parte, la regulación sectorial de estos mecanismos corresponde a la organización titular de la respectiva competencia sectorial (entre otras, SSTC 76/1983, FJ 13, y 13/1992, FJ 10). Añade también que cuando concurren diversos títulos competenciales para la regulación de una materia o actividad —en este caso, seguridad social y regulación de las condiciones básicas para el ejercicio de determinados derechos, y asistencia social— es necesario el establecimiento de mecanismos de colaboración o cooperación para el ejercicio de una concurrencia pacífica, siendo diversas las técnicas a utilizar para ello —entre otras, el convenio—. Pues bien, de manera específica, el Abogado del Estado señala que, en la Ley 39/2006, el nivel concertado de protección —que es el suspendido temporalmente— se articula a través de una cooperación bilateral por medio de convenios, de modo que, en este nivel, no existen aspectos que el Estado imponga a las </w:t>
      </w:r>
      <w:r>
        <w:lastRenderedPageBreak/>
        <w:t>Comunidades Autónomas, destacando además que algunos aspectos sistémicos se concretan en el Consejo Territorial del Sistema para la Autonomía y Atención a la Dependencia, en el que están representados el Estado y cada una de las Comunidades Autónomas, teniendo éstas mayoría. Más en concreto, detalla que la articulación de ese nivel acordado se produce en dos fases (arts. 7 y 10 de la Ley 39/2006): primero en el seno del Consejo Territorial del Sistema para la Autonomía y Atención a la Dependencia, en que el Estado y las Comunidades Autónomas acuerdan el marco de cooperación interadministrativa, cuya fijación es puramente adjetiva, pues no afecta ni a la decisión de cada Comunidad de establecer el segundo nivel, ni conlleva realizar aportación alguna; es después a través de los convenios del Estado con cada Comunidad Autónoma donde se acuerdan los objetivos, medios y recursos para la aplicación de los servicios y prestaciones, así como la financiación que corresponde a uno y otra, siendo enteramente libres las Comunidades Autónomas para decidir si desean este segundo nivel de protección, que se articula con pleno respeto a las competencias autonómicas. También el Abogado del Estado afirma que el segundo párrafo del art. 32.3 de la Ley 39/2006 no “impone una cofinanciación e incluso su cuantía mínima” a ninguna Comunidad Autónoma, sino que, al dibujar los trazos de la financiación cooperativa Estado-Comunidades Autónomas para incrementar el nivel mínimo de protección (artículo 10.2), lo que hace es poner un límite máximo a la aportación de la Administración general del Estado, que nunca podrá ser superior a la financiación aportada por la Comunidad Autónoma, pero sin imponer nada a ésta: se trata así de una limitación al gasto de la Administración estatal, que queda dentro de la competencia exclusiva del Estado del art. 149.1.14 CE, en relación con el art. 133.4 CE y el art. 31.2 CE.</w:t>
      </w:r>
    </w:p>
    <w:p w:rsidR="00A90898" w:rsidRDefault="00A90898" w:rsidP="00A90898">
      <w:pPr>
        <w:pStyle w:val="TextoNormal"/>
      </w:pPr>
    </w:p>
    <w:p w:rsidR="00A90898" w:rsidRDefault="00A90898" w:rsidP="00A90898">
      <w:pPr>
        <w:pStyle w:val="TextoNormal"/>
      </w:pPr>
      <w:r>
        <w:t>A partir de las anteriores consideraciones, el Abogado del Estado niega los reproches de inconstitucionalidad realizados en el recurso, no sin antes precisar que sin la suspensión del nivel de protección acordado, la Comunidad Autónoma que no quisiera firmar el oportuno convenio bilateral quedaría obligada a aportar una financiación equivalente a la financiación del nivel mínimo realizada por el Estado. Por ello, considera que dicha obligación de aportación no es una consecuencia de la suspensión del nivel acordado, sino que tiene naturaleza autónoma de este nivel, se suspenda o se llegue a acordar o no. Asimismo rechaza que esa suspensión se haya efectuado de forma sorpresiva, pues el último de los convenios aludidos en el recurso es de 2011.</w:t>
      </w:r>
    </w:p>
    <w:p w:rsidR="00A90898" w:rsidRDefault="00A90898" w:rsidP="00A90898">
      <w:pPr>
        <w:pStyle w:val="TextoNormal"/>
      </w:pPr>
    </w:p>
    <w:p w:rsidR="00A90898" w:rsidRDefault="00A90898" w:rsidP="00A90898">
      <w:pPr>
        <w:pStyle w:val="TextoNormal"/>
      </w:pPr>
      <w:r>
        <w:t>También concluye que esa suspensión del nivel acordado, articulado a través de convenios bilaterales como mecanismo de cooperación ante competencias concurrentes, no vulnera la competencia de Cataluña respecto de los servicios sociales, que se mantiene incólume por dicha suspensión. Tal competencia autonómica, añade, tampoco se ve afectada por el retraso en un año en el reconocimiento de la efectividad de un determinado nivel de dependencia, que lo único que persigue es mantener un mínimo de igualdad entre todos los españoles, con lo que la modificación queda cubierta por el título competencial previsto en el art. 149.1.1 CE y su vinculación con los arts. 14 y 15 CE.</w:t>
      </w:r>
    </w:p>
    <w:p w:rsidR="00A90898" w:rsidRDefault="00A90898" w:rsidP="00A90898">
      <w:pPr>
        <w:pStyle w:val="TextoNormal"/>
      </w:pPr>
    </w:p>
    <w:p w:rsidR="00A90898" w:rsidRDefault="00A90898" w:rsidP="00A90898">
      <w:pPr>
        <w:pStyle w:val="TextoNormal"/>
      </w:pPr>
      <w:r>
        <w:t>Respecto al principio de lealtad institucional, subraya su vinculación con la suficiencia financiera de las Comunidades Autónomas, indicando que no condiciona el ejercicio de la potestad legislativa por parte del Estado (SSTC 109/2011, FJ 5; 204/2011, FJ 9, y 31/2010, FJ 136). Por ello, considera que la suspensión del nivel acordado no conlleva infracción de tal principio de lealtad.</w:t>
      </w:r>
    </w:p>
    <w:p w:rsidR="00A90898" w:rsidRDefault="00A90898" w:rsidP="00A90898">
      <w:pPr>
        <w:pStyle w:val="TextoNormal"/>
      </w:pPr>
    </w:p>
    <w:p w:rsidR="00A90898" w:rsidRDefault="00A90898" w:rsidP="00A90898">
      <w:pPr>
        <w:pStyle w:val="TextoNormal"/>
      </w:pPr>
      <w:r>
        <w:lastRenderedPageBreak/>
        <w:t>Por último, en relación con el principio de autonomía financiera, razona que la implicación del Estado en la financiación de cada nivel de protección es diferente: en el nivel mínimo supone una financiación mínima y obligatoria establecida para cada beneficiario, sujeta por tanto a variación en función del colectivo existente en el sistema en cada momento; en cambio, la financiación del nivel acordado persigue facilitar la implantación del sistema de dependencia y posee un carácter discrecional en la determinación de su cuantía, sin tener por qué atender a la evolución del colectivo de beneficiarios. Además señala que la carga a la hacienda autonómica por el nivel convenido se produce sólo si existe acuerdo y se fija su financiación, supuesto en que no existiría vulneración alguna por tratarse de acuerdos voluntarios. Asimismo, indica, que la suspensión del nivel acordado no implica carga añadida para la hacienda autonómica, pues será ella la que voluntariamente decida, en el ejercicio de sus competencias, realizar una mayor o menor financiación, pero ya no como nivel acordado, sino como nivel adicional de protección (art. 7.3 de la Ley 39/2006), a más del mínimo financiado por el Estado.</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15 de noviembre de 2016 se señaló para deliberación y votación de la presente Sentencia el día 16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el Gobierno de la Comunidad Autónoma del País Vasco contra los arts. 22.3 [“Bases y coordinación de la planificación general de la actividad económica en materia de gastos de personal al servicio del sector público”] y 23.1.2 [“Oferta de empleo público u otro instrumento similar de gestión de la provisión de necesidades de personal”] y las disposiciones adicionales octogésima primera [“Gestión de las acciones, medidas y programas establecidos en la letra h) del artículo 13 de la Ley 56/2003, de 16 de diciembre, de empleo”] y octogésima cuarta [“Suspensión de la aplicación de determinados preceptos de la Ley 39/2006, de 14 de diciembre, de promoción de la autonomía personal y atención a las personas en situación de dependencia”] de la Ley 17/2012, de 27 de diciembre, de presupuestos generales del Estado para el año 2013.</w:t>
      </w:r>
    </w:p>
    <w:p w:rsidR="00A90898" w:rsidRDefault="00A90898" w:rsidP="00A90898">
      <w:pPr>
        <w:pStyle w:val="TextoNormal"/>
      </w:pPr>
    </w:p>
    <w:p w:rsidR="00A90898" w:rsidRDefault="00A90898" w:rsidP="00A90898">
      <w:pPr>
        <w:pStyle w:val="TextoNormal"/>
      </w:pPr>
      <w:r>
        <w:t>La demanda señala la conexión existente, por un lado, entre las impugnaciones del art. 22.3 y las disposiciones adicionales octogésima primera y octogésima cuarta; y por otro lado, las impugnaciones de los arts. 22.3; y disposiciones adicionales duodécima y cuadragésima, de contenido similar, de la Ley 2/2012, de 29 de junio, de presupuestos generales del Estado para el año 2012. Estas últimas han sido impugnadas por el Gobierno Vasco en el recurso de inconstitucionalidad registrado con el número 1815-2013, pendiente de resolución. El escrito de demanda en este proceso se remite en bloque a los argumentos esgrimidos en este último recurso.</w:t>
      </w:r>
    </w:p>
    <w:p w:rsidR="00A90898" w:rsidRDefault="00A90898" w:rsidP="00A90898">
      <w:pPr>
        <w:pStyle w:val="TextoNormal"/>
      </w:pPr>
    </w:p>
    <w:p w:rsidR="00A90898" w:rsidRDefault="00A90898" w:rsidP="00A90898">
      <w:pPr>
        <w:pStyle w:val="TextoNormal"/>
      </w:pPr>
      <w:r w:rsidRPr="00A90898">
        <w:rPr>
          <w:rStyle w:val="NumeroAFNegritaCaracter"/>
        </w:rPr>
        <w:t>2</w:t>
      </w:r>
      <w:r>
        <w:t>. Las cuestiones que se plantean con respecto de los arts. 22.3; y las disposiciones adicionales octogésima primera y octogésima cuarta, han sido ya resueltas en las SSTC 215/2015, de 22 de octubre, 99/2016, de 25 de mayo, y 179/2016, de 20 de octubre, cuya doctrina debe ser aplicada para resolver los motivos de inconstitucionalidad que ahora se alegan, teniendo en cuenta las siguientes consideraciones:</w:t>
      </w:r>
    </w:p>
    <w:p w:rsidR="00A90898" w:rsidRDefault="00A90898" w:rsidP="00A90898">
      <w:pPr>
        <w:pStyle w:val="TextoNormal"/>
      </w:pPr>
    </w:p>
    <w:p w:rsidR="00A90898" w:rsidRDefault="00A90898" w:rsidP="00A90898">
      <w:pPr>
        <w:pStyle w:val="TextoNormal"/>
      </w:pPr>
      <w:r>
        <w:lastRenderedPageBreak/>
        <w:t>a) El art. 22.3 de la Ley 17/2012, que establece la prohibición de aportaciones a los planes de pensiones y empleo durante el ejercicio 2013, se reputa por la demanda contrario a los arts. 2; 149.1.13; 149.1.18 y 156.1 CE, en relación con los arts. 10.4 y 44 del Estatuto de Autonomía para el País Vasco (EAPV) y arts. 21 y 29 del estatuto básico del empleado público.</w:t>
      </w:r>
    </w:p>
    <w:p w:rsidR="00A90898" w:rsidRDefault="00A90898" w:rsidP="00A90898">
      <w:pPr>
        <w:pStyle w:val="TextoNormal"/>
      </w:pPr>
    </w:p>
    <w:p w:rsidR="00A90898" w:rsidRDefault="00A90898" w:rsidP="00A90898">
      <w:pPr>
        <w:pStyle w:val="TextoNormal"/>
      </w:pPr>
      <w:r>
        <w:t>El precepto señala que “[d]urante el ejercicio 2013, las Administraciones, entidades y sociedades a que se refiere el apartado Uno de este artículo no podrán realizar aportaciones a planes de pensiones de empleo o contratos de seguro colectivos que incluyan la cobertura de la contingencia de jubilación.”</w:t>
      </w:r>
    </w:p>
    <w:p w:rsidR="00A90898" w:rsidRDefault="00A90898" w:rsidP="00A90898">
      <w:pPr>
        <w:pStyle w:val="TextoNormal"/>
      </w:pPr>
    </w:p>
    <w:p w:rsidR="00A90898" w:rsidRDefault="00A90898" w:rsidP="00A90898">
      <w:pPr>
        <w:pStyle w:val="TextoNormal"/>
      </w:pPr>
      <w:r>
        <w:t>Esta limitación ya había sido prevista, en idénticos términos y para el ejercicio 2012, en el art. 2.3 del Real Decreto-ley 20/2011, de 30 de diciembre, de medidas urgentes en materia presupuestaria, tributaria y financiera para la corrección del déficit público. El escrito de demanda expresamente se remite a los argumentos esgrimidos por el mismo Gobierno Vasco frente al art. 2.3 del Real Decreto-ley 20/2011, en el recurso de inconstitucionalidad registrado con el número 5423-2012.</w:t>
      </w:r>
    </w:p>
    <w:p w:rsidR="00A90898" w:rsidRDefault="00A90898" w:rsidP="00A90898">
      <w:pPr>
        <w:pStyle w:val="TextoNormal"/>
      </w:pPr>
    </w:p>
    <w:p w:rsidR="00A90898" w:rsidRDefault="00A90898" w:rsidP="00A90898">
      <w:pPr>
        <w:pStyle w:val="TextoNormal"/>
      </w:pPr>
      <w:r>
        <w:t>Este recurso ha sido ya resuelto en la STC 215/2015, de 22 de octubre, cuyos fundamentos sexto y séptimo deben darse ahora por reproducidos, bastando aquí recordar, por un lado, que “nuestra doctrina ha señalado la directa relación existente entre la fijación de las retribuciones del personal al servicio de las Administraciones públicas y la fijación de la política económica general por parte del Estado, de manera que este Tribunal ha entendido que las medidas de limitación de las retribuciones adoptadas por el Estado deben analizarse desde la perspectiva de los arts. 149.1.13 y 156.1 CE (STC 94/2015, FJ 3), por lo que debemos rechazar la vulneración de los arts. 149.1.18 CE y 10.4 EAPV que el Gobierno Vasco imputa al precepto recurrido” (FJ 6); y, por otro, que la medida tampoco excede de las fronteras en que ha de moverse el núcleo de lo básico, puesto que “no constituye … una medida aislada que incida sobre un único concepto retributivo, sino que se inserta en el ámbito de una decisión general de política económica, que transciende a cada uno de los conceptos retributivos que integran la masa salarial de los empleados públicos, incluidas, por tanto, las retribuciones diferidas que aquí se analizan. Y es esto precisamente —y así lo ha reconocido nuestra doctrina— lo que justifica, no sólo que el Estado pueda establecer topes máximos a los incrementos retributivos de los funcionarios autonómicos, sino que pueda decantarse por la congelación salarial en un ejercicio concreto (supuesto examinado en la STC 94/2015), o por la reducción e incluso la supresión de un determinado concepto retributivo (como se vino a reconocer en la STC 81/2015, de 30 de abril), que es lo que sucede en el presente supuesto. No se produce, en consecuencia, la alegada vulneración del art. 149.1.13 CE” (FJ 7).</w:t>
      </w:r>
    </w:p>
    <w:p w:rsidR="00A90898" w:rsidRDefault="00A90898" w:rsidP="00A90898">
      <w:pPr>
        <w:pStyle w:val="TextoNormal"/>
      </w:pPr>
    </w:p>
    <w:p w:rsidR="00A90898" w:rsidRDefault="00A90898" w:rsidP="00A90898">
      <w:pPr>
        <w:pStyle w:val="TextoNormal"/>
      </w:pPr>
      <w:r>
        <w:t>A partir de la doctrina anterior, la impugnación queda desestimada.</w:t>
      </w:r>
    </w:p>
    <w:p w:rsidR="00A90898" w:rsidRDefault="00A90898" w:rsidP="00A90898">
      <w:pPr>
        <w:pStyle w:val="TextoNormal"/>
      </w:pPr>
    </w:p>
    <w:p w:rsidR="00A90898" w:rsidRDefault="00A90898" w:rsidP="00A90898">
      <w:pPr>
        <w:pStyle w:val="TextoNormal"/>
      </w:pPr>
      <w:r>
        <w:t>b) La disposición adicional octogésima primera de la Ley 17/2012 —relativa a la gestión de las acciones, medidas y programas establecidos en la letra h) del art. 13 de la Ley 56/2003, de empleo—, fue objeto del recurso de inconstitucionalidad núm. 1744-2013, interpuesto por el Gobierno de Cataluña, y que ha sido desestimado por la STC 179/2016, de 20 de octubre.</w:t>
      </w:r>
    </w:p>
    <w:p w:rsidR="00A90898" w:rsidRDefault="00A90898" w:rsidP="00A90898">
      <w:pPr>
        <w:pStyle w:val="TextoNormal"/>
      </w:pPr>
    </w:p>
    <w:p w:rsidR="00A90898" w:rsidRDefault="00A90898" w:rsidP="00A90898">
      <w:pPr>
        <w:pStyle w:val="TextoNormal"/>
      </w:pPr>
      <w:r>
        <w:lastRenderedPageBreak/>
        <w:t>Para poder trasladar las consideraciones de la STC 179/2016 debemos antes precisar los términos del reparto de competencias entre el Estado y la Comunidad Autónoma del País Vasco, a los efectos del precepto específicamente impugnado.</w:t>
      </w:r>
    </w:p>
    <w:p w:rsidR="00A90898" w:rsidRDefault="00A90898" w:rsidP="00A90898">
      <w:pPr>
        <w:pStyle w:val="TextoNormal"/>
      </w:pPr>
    </w:p>
    <w:p w:rsidR="00A90898" w:rsidRDefault="00A90898" w:rsidP="00A90898">
      <w:pPr>
        <w:pStyle w:val="TextoNormal"/>
      </w:pPr>
      <w:r>
        <w:t>Como ha quedado expuesto en los antecedentes, la demanda alega la infracción del art. 12.2 EAPV, que contiene la competencia autonómica en materia de ejecución de la legislación laboral. Su argumento principal es que la medida supondría la centralización de siete aplicaciones presupuestarias destinadas a financiar acciones y medidas en materia de fomento de la contratación laboral, invadiendo por ello su competencia. El alegato es así, en lo esencial, coincidente con los motivos esgrimidos por el Gobierno de Cataluña en el proceso resuelto por la STC 179/2016. Sin embargo, la Comunidad Autónoma del País Vasco ha mantenido en su escrito que ostenta una competencia en la materia de mayor alcance y extensión que el resto de las Comunidades Autónomas, citando expresamente los Estatutos de Autonomía coetáneos, en sus versiones originarias (se refiere así, entre otros, al art. 11.2 de la Ley Orgánica 4/1979, del antiguo Estatuto de Autonomía de Cataluña). Razona, en apoyo de su tesis, que tal ámbito competencial, superior al resto de Comunidades Autónomas, encuentra además reflejo en el Real Decreto 1441/2010, de 5 de noviembre, sobre traspaso de funciones y servicios a la Comunidad Autónoma del País Vasco en materia de ejecución de la legislación laboral en el ámbito del trabajo, el empleo y la formación profesional para el empleo, que realiza el Servicio Público de Empleo Estatal. Por último, aduce la demanda que este mayor ámbito competencial en la materia deriva igualmente de los principios que rigen las relaciones de índole financiera entre el Estado y la Comunidad Autónoma del País Vasco, reflejados en la Ley 12/2002, de 23 de mayo, del concierto económico con el País Vasco (artículo 48).</w:t>
      </w:r>
    </w:p>
    <w:p w:rsidR="00A90898" w:rsidRDefault="00A90898" w:rsidP="00A90898">
      <w:pPr>
        <w:pStyle w:val="TextoNormal"/>
      </w:pPr>
    </w:p>
    <w:p w:rsidR="00A90898" w:rsidRDefault="00A90898" w:rsidP="00A90898">
      <w:pPr>
        <w:pStyle w:val="TextoNormal"/>
      </w:pPr>
      <w:r>
        <w:t>Esta alegación debe ser rechazada. Sin perjuicio de las sustanciales diferencias existentes entre el Estatuto de Autonomía del País Vasco y el resto, que no son relevantes para este proceso, por lo que se refiere al objeto concreto de la impugnación, el alcance de las competencias ejecutivas en la materia asumidas por la Comunidad Autónoma del País Vasco en el art. 12.2 EAPV no resulta de mayor amplitud y extensión que el resto de Comunidad Autónomas y, en particular, que el ámbito competencial asumido en el art. 170 del Estatuto de Autonomía para Cataluña (EAC), tras su reforma mediante la Ley Orgánica 6/2006, de 19 de julio, en materia de trabajo y relaciones laborales, que es el examinado en la citada STC 179/2016, lo que permite trasladar las conclusiones alcanzadas en la misma la controversia que aquí se dirime.</w:t>
      </w:r>
    </w:p>
    <w:p w:rsidR="00A90898" w:rsidRDefault="00A90898" w:rsidP="00A90898">
      <w:pPr>
        <w:pStyle w:val="TextoNormal"/>
      </w:pPr>
    </w:p>
    <w:p w:rsidR="00A90898" w:rsidRDefault="00A90898" w:rsidP="00A90898">
      <w:pPr>
        <w:pStyle w:val="TextoNormal"/>
      </w:pPr>
      <w:r>
        <w:t xml:space="preserve">No enerva la conclusión anterior la referencia que contiene la demanda al Real Decreto 1441/2010, sobre traspaso de funciones, norma que, como sucede con los distintos decretos de traspasos, no contiene en sí misma un reparto de competencias materiales, sino que se limita a concretar presupuestariamente los términos del reparto competencial ya previsto en la Constitución y en el bloque de la constitucionalidad, esto es, en las normas estatutarias, y sin que por tanto pueda alterar los términos de tal reparto. Así se ha reiterado en la doctrina de este Tribunal, en la que hemos insistido en que tales decretos de transferencias “no atribuyen ni reconocen competencias, sino 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en este sentido </w:t>
      </w:r>
      <w:r>
        <w:lastRenderedPageBreak/>
        <w:t>las competencias son indisponibles por las Administraciones, lo que impide hacer prevalecer una presunta voluntad, fruto del acuerdo formalizado en los Decretos de transferencias, sobre el sentido objetivo de las normas constitucionales y estatutarias” (STC 147/1998, de 2 de julio, FJ 10; doctrina reiterada, entre otras, en las SSTC 9/2001, de 18 de enero, FJ 6; 44/2007, de 1 de marzo, FJ 6, y 28/2016, de 18 de febrero, FJ 6).</w:t>
      </w:r>
    </w:p>
    <w:p w:rsidR="00A90898" w:rsidRDefault="00A90898" w:rsidP="00A90898">
      <w:pPr>
        <w:pStyle w:val="TextoNormal"/>
      </w:pPr>
    </w:p>
    <w:p w:rsidR="00A90898" w:rsidRDefault="00A90898" w:rsidP="00A90898">
      <w:pPr>
        <w:pStyle w:val="TextoNormal"/>
      </w:pPr>
      <w:r>
        <w:t>Por último, la conclusión alcanzada tampoco puede verse modificada por la referencia al régimen especial de concierto, con cita de la disposición adicional primera de la Constitución y del art. 48 de la Ley del concierto, que se contiene en la demanda como argumento de cierre. Se trata, de nuevo, de dos planos diferentes; el de la competencia material o sustantiva, cuyos términos ya han quedado expuestos por remisión a nuestra doctrina, y el régimen de su financiación, todo ello sin perjuicio que el sistema de Concierto económico tiene un contenido esencialmente tributario, como también hemos recordado. En concreto, y por lo que a esta controversia interesa, es evidente por su propio tenor que la disposición adicional octogésima primera de la Ley 17/2012 no altera en modo alguno, directa o indirectamente, el régimen de cálculo del cupo ni por tanto el régimen de concierto, que tampoco puede por tanto verse soslayado por la gestión centralizada de las partidas presupuestarias allí recogidas.</w:t>
      </w:r>
    </w:p>
    <w:p w:rsidR="00A90898" w:rsidRDefault="00A90898" w:rsidP="00A90898">
      <w:pPr>
        <w:pStyle w:val="TextoNormal"/>
      </w:pPr>
    </w:p>
    <w:p w:rsidR="00A90898" w:rsidRDefault="00A90898" w:rsidP="00A90898">
      <w:pPr>
        <w:pStyle w:val="TextoNormal"/>
      </w:pPr>
      <w:r>
        <w:t>Una vez sentado lo anterior, tal y como se desprende de los antecedentes, el resto de motivos impugnatorios son esencialmente coincidentes en este proceso y en el resuelto en la STC 179/2016. Lo controvertido en ambos es la centralización de las partidas presupuestarias y su afectación a la competencia de ejecución en la materia de empleo. Ello permite trasladar a este proceso las consideraciones que en relación con el reparto de competencias se realizan en el fundamento jurídico 2, letra c) de la STC 179/2016, incluyendo expresamente la cita a la STC 22/2014, de 13 de febrero, FFJJ 4 y 7 y que deben también darse aquí también por reproducidos, pues sus conclusiones son aplicables al art. 12.2 EAPV. A partir de ahí, procede igualmente dar por reproducido aquí el fundamento jurídico 2, letra d), de la STC 179/2016, en el que se examinan las diferentes partidas presupuestarias que aquí se controvierten, desestimándose que dicha centralización haya supuesto una vulneración actual y efectiva de la competencia autonómica contenida en el art. 12.2 EAPV.</w:t>
      </w:r>
    </w:p>
    <w:p w:rsidR="00A90898" w:rsidRDefault="00A90898" w:rsidP="00A90898">
      <w:pPr>
        <w:pStyle w:val="TextoNormal"/>
      </w:pPr>
    </w:p>
    <w:p w:rsidR="00A90898" w:rsidRDefault="00A90898" w:rsidP="00A90898">
      <w:pPr>
        <w:pStyle w:val="TextoNormal"/>
      </w:pPr>
      <w:r>
        <w:t>Queda en consecuencia desestimada la impugnación referida a la disposición adicional octogésima primera de la Ley 17/2012, en aplicación de la doctrina contenida en la STC 179/2016, FJ 2.</w:t>
      </w:r>
    </w:p>
    <w:p w:rsidR="00A90898" w:rsidRDefault="00A90898" w:rsidP="00A90898">
      <w:pPr>
        <w:pStyle w:val="TextoNormal"/>
      </w:pPr>
    </w:p>
    <w:p w:rsidR="00A90898" w:rsidRDefault="00A90898" w:rsidP="00A90898">
      <w:pPr>
        <w:pStyle w:val="TextoNormal"/>
      </w:pPr>
      <w:r>
        <w:t>c) La disposición adicional octogésima cuarta de la Ley 17/2012 fue asimismo recurrida por el Gobierno de Cataluña en el proceso resuelto por la citada STC 179/2016. La misma demandante había impugnado también la disposición adicional cuadragésima de la Ley 2/2012, de idéntico contenido a la recurrida en este proceso, en el recurso de inconstitucionalidad registrado con el número 1743-2013, que fue desestimado por la STC 99/2016, de 25 de mayo.</w:t>
      </w:r>
    </w:p>
    <w:p w:rsidR="00A90898" w:rsidRDefault="00A90898" w:rsidP="00A90898">
      <w:pPr>
        <w:pStyle w:val="TextoNormal"/>
      </w:pPr>
    </w:p>
    <w:p w:rsidR="00A90898" w:rsidRDefault="00A90898" w:rsidP="00A90898">
      <w:pPr>
        <w:pStyle w:val="TextoNormal"/>
      </w:pPr>
      <w:r>
        <w:t>También en este supuesto los motivos impugnatorios son esencialmente coincidentes en este proceso y en los ya resueltos, tal y como se constata en los antecedentes. En consecuencia, procede dar aquí por reproducidos los fundamentos jurídicos 4 y 5 de la STC 99/2016, por un lado, y el fundamento jurídico tercero de la STC 179/2016, por otro, a partir de los cuales debe desestimarse la impugnación de esta disposición.</w:t>
      </w:r>
    </w:p>
    <w:p w:rsidR="00A90898" w:rsidRDefault="00A90898" w:rsidP="00A90898">
      <w:pPr>
        <w:pStyle w:val="TextoNormal"/>
      </w:pPr>
    </w:p>
    <w:p w:rsidR="00A90898" w:rsidRDefault="00A90898" w:rsidP="00A90898">
      <w:pPr>
        <w:pStyle w:val="TextoNormal"/>
      </w:pPr>
      <w:r w:rsidRPr="00A90898">
        <w:rPr>
          <w:rStyle w:val="NumeroAFNegritaCaracter"/>
        </w:rPr>
        <w:t>3</w:t>
      </w:r>
      <w:r>
        <w:t>. Debe abordarse por último la impugnación del art. 23.1.2 de la Ley 17/2012.</w:t>
      </w:r>
    </w:p>
    <w:p w:rsidR="00A90898" w:rsidRDefault="00A90898" w:rsidP="00A90898">
      <w:pPr>
        <w:pStyle w:val="TextoNormal"/>
      </w:pPr>
    </w:p>
    <w:p w:rsidR="00A90898" w:rsidRDefault="00A90898" w:rsidP="00A90898">
      <w:pPr>
        <w:pStyle w:val="TextoNormal"/>
      </w:pPr>
      <w:r>
        <w:t>a) Con carácter previo, es preciso despejar la pervivencia de su objeto, pese a tratarse de un precepto incluido en una ley de presupuestos y con vigencia para el ejercicio de 2013.</w:t>
      </w:r>
    </w:p>
    <w:p w:rsidR="00A90898" w:rsidRDefault="00A90898" w:rsidP="00A90898">
      <w:pPr>
        <w:pStyle w:val="TextoNormal"/>
      </w:pPr>
    </w:p>
    <w:p w:rsidR="00A90898" w:rsidRDefault="00A90898" w:rsidP="00A90898">
      <w:pPr>
        <w:pStyle w:val="TextoNormal"/>
      </w:pPr>
      <w:r>
        <w:t>Tal y como hemos reiterado [por todas, STC 179/2016, FJ 2 a), con cita de muchas otras], el recurso pervive pese a su vigencia limitada a un ejercicio, toda vez que se trata de una impugnación de carácter competencial, de suerte que lo relevante no es tanto el agotamiento de los efectos de la concreta norma impugnada, cuanto determinar si con ese agotamiento ha cesado o no la controversia competencial. En este caso debemos apreciar que similares previsiones a la ahora recurrida han venido reiterándose en las posteriores Leyes de presupuestos generales del Estado dictadas hasta el momento (art. 21.2 de la Ley 22/2013, de 23 de diciembre, de presupuestos generales del Estado para el año 2014; y art. 21.2 de la Ley 36/2014, de 26 de diciembre, de presupuestos generales del Estado para el año 2015). En consecuencia, ha de afirmarse la subsistencia del objeto de este proceso constitucional en cuanto a la impugnación del art. art. 23.1.2 de la Ley 17/2012.</w:t>
      </w:r>
    </w:p>
    <w:p w:rsidR="00A90898" w:rsidRDefault="00A90898" w:rsidP="00A90898">
      <w:pPr>
        <w:pStyle w:val="TextoNormal"/>
      </w:pPr>
    </w:p>
    <w:p w:rsidR="00A90898" w:rsidRDefault="00A90898" w:rsidP="00A90898">
      <w:pPr>
        <w:pStyle w:val="TextoNormal"/>
      </w:pPr>
      <w:r>
        <w:t>b) Sentado lo anterior, el artículo 23.1.2, intitulado “oferta de empleo público u otro instrumento similar de gestión de la provisión de necesidades de personal”, establece en su apartado primero una limitación a la incorporación de nuevo personal, previendo en el apartado 2, que es el impugnado en este proceso, una serie de excepciones para el citado límite, con el siguiente tenor:</w:t>
      </w:r>
    </w:p>
    <w:p w:rsidR="00A90898" w:rsidRDefault="00A90898" w:rsidP="00A90898">
      <w:pPr>
        <w:pStyle w:val="TextoNormal"/>
      </w:pPr>
    </w:p>
    <w:p w:rsidR="00A90898" w:rsidRDefault="00A90898" w:rsidP="00A90898">
      <w:pPr>
        <w:pStyle w:val="TextoNormal"/>
      </w:pPr>
      <w:r>
        <w:t>“2. Respetando, en todo caso, las disponibilidades presupuestarias del Capítulo I de los correspondientes presupuestos de gastos, la limitación contenida en el apartado anterior no será de aplicación a los siguientes sectores y administraciones en los que la tasa de reposición se fijará hasta un máximo del 10 por ciento:</w:t>
      </w:r>
    </w:p>
    <w:p w:rsidR="00A90898" w:rsidRDefault="00A90898" w:rsidP="00A90898">
      <w:pPr>
        <w:pStyle w:val="TextoNormal"/>
      </w:pPr>
    </w:p>
    <w:p w:rsidR="00A90898" w:rsidRDefault="00A90898" w:rsidP="00A90898">
      <w:pPr>
        <w:pStyle w:val="TextoNormal"/>
      </w:pPr>
      <w:r>
        <w:t>A) A las Administraciones Públicas con competencias educativas para el desarrollo de la Ley Orgánica 2/2006, de 3 de mayo, de Educación, en relación con la determinación del número de plazas para el acceso a los cuerpos de funcionarios docentes.</w:t>
      </w:r>
    </w:p>
    <w:p w:rsidR="00A90898" w:rsidRDefault="00A90898" w:rsidP="00A90898">
      <w:pPr>
        <w:pStyle w:val="TextoNormal"/>
      </w:pPr>
    </w:p>
    <w:p w:rsidR="00A90898" w:rsidRDefault="00A90898" w:rsidP="00A90898">
      <w:pPr>
        <w:pStyle w:val="TextoNormal"/>
      </w:pPr>
      <w:r>
        <w:t>B) A las Administraciones Públicas con competencias sanitarias respecto de las plazas de hospitales y centros de salud del Sistema Nacional de Salud.</w:t>
      </w:r>
    </w:p>
    <w:p w:rsidR="00A90898" w:rsidRDefault="00A90898" w:rsidP="00A90898">
      <w:pPr>
        <w:pStyle w:val="TextoNormal"/>
      </w:pPr>
    </w:p>
    <w:p w:rsidR="00A90898" w:rsidRDefault="00A90898" w:rsidP="00A90898">
      <w:pPr>
        <w:pStyle w:val="TextoNormal"/>
      </w:pPr>
      <w:r>
        <w:t>C) A las Fuerzas y Cuerpos de Seguridad del Estado, a aquellas Comunidades Autónomas que cuenten con Cuerpos de Policía Autónoma propios en su territorio, y en el ámbito de la Administración Local a las correspondientes al personal de la Policía Local, en relación con la cobertura de las correspondientes plazas.</w:t>
      </w:r>
    </w:p>
    <w:p w:rsidR="00A90898" w:rsidRDefault="00A90898" w:rsidP="00A90898">
      <w:pPr>
        <w:pStyle w:val="TextoNormal"/>
      </w:pPr>
    </w:p>
    <w:p w:rsidR="00A90898" w:rsidRDefault="00A90898" w:rsidP="00A90898">
      <w:pPr>
        <w:pStyle w:val="TextoNormal"/>
      </w:pPr>
      <w:r>
        <w:t xml:space="preserve">En el supuesto de las plazas correspondientes al personal de la policía local, se podrá alcanzar el cien por cien de la tasa de reposición de efectivos siempre que se trate de Entidades locales que cumplan o no superen los límites que fije la legislación reguladora de las Haciendas locales o, en su caso, las Leyes de Presupuestos Generales del Estado, en materia de autorización de operaciones de endeudamiento. Además deberán cumplir el principio de estabilidad al que se refiere el artículo 11.4 de la Ley Orgánica 2/2012, de 27 de abril, de </w:t>
      </w:r>
      <w:r>
        <w:lastRenderedPageBreak/>
        <w:t>Estabilidad Presupuestaria y Sostenibilidad Financiera tanto en la liquidación del presupuesto del ejercicio inmediato anterior como en el presupuesto vigente. En relación con este último, los respectivos Plenos de las Entidades locales deberán aprobar un plan económico financiero en el que se incluya la medida a la que se refiere la presente norma y se ponga de manifiesto que, igualmente, se da cumplimiento al citado principio de estabilidad presupuestaria. Lo indicado en el presente párrafo deberá ser acreditado por la correspondiente Entidad local ante el Ministerio de Hacienda y Administraciones Públicas, previamente a la aprobación de la convocatoria de plazas.</w:t>
      </w:r>
    </w:p>
    <w:p w:rsidR="00A90898" w:rsidRDefault="00A90898" w:rsidP="00A90898">
      <w:pPr>
        <w:pStyle w:val="TextoNormal"/>
      </w:pPr>
    </w:p>
    <w:p w:rsidR="00A90898" w:rsidRDefault="00A90898" w:rsidP="00A90898">
      <w:pPr>
        <w:pStyle w:val="TextoNormal"/>
      </w:pPr>
      <w:r>
        <w:t>D) A las Fuerzas Armadas en relación con las plazas de militares de carrera y militares de complemento de acuerdo con lo previsto en la Ley 39/2007, de 19 de noviembre, de carrera militar.</w:t>
      </w:r>
    </w:p>
    <w:p w:rsidR="00A90898" w:rsidRDefault="00A90898" w:rsidP="00A90898">
      <w:pPr>
        <w:pStyle w:val="TextoNormal"/>
      </w:pPr>
    </w:p>
    <w:p w:rsidR="00A90898" w:rsidRDefault="00A90898" w:rsidP="00A90898">
      <w:pPr>
        <w:pStyle w:val="TextoNormal"/>
      </w:pPr>
      <w:r>
        <w:t>E) A las Administraciones Públicas respecto del control y lucha contra el fraude fiscal, laboral, de subvenciones públicas y en materia de Seguridad Social.</w:t>
      </w:r>
    </w:p>
    <w:p w:rsidR="00A90898" w:rsidRDefault="00A90898" w:rsidP="00A90898">
      <w:pPr>
        <w:pStyle w:val="TextoNormal"/>
      </w:pPr>
    </w:p>
    <w:p w:rsidR="00A90898" w:rsidRDefault="00A90898" w:rsidP="00A90898">
      <w:pPr>
        <w:pStyle w:val="TextoNormal"/>
      </w:pPr>
      <w:r>
        <w:t>F) A las Administraciones Públicas respecto del asesoramiento jurídico, la gestión y el control de la asignación eficiente de los recursos públicos.</w:t>
      </w:r>
    </w:p>
    <w:p w:rsidR="00A90898" w:rsidRDefault="00A90898" w:rsidP="00A90898">
      <w:pPr>
        <w:pStyle w:val="TextoNormal"/>
      </w:pPr>
    </w:p>
    <w:p w:rsidR="00A90898" w:rsidRDefault="00A90898" w:rsidP="00A90898">
      <w:pPr>
        <w:pStyle w:val="TextoNormal"/>
      </w:pPr>
      <w:r>
        <w:t>G) A la Administración de Justicia y a la Acción Exterior del Estado.</w:t>
      </w:r>
    </w:p>
    <w:p w:rsidR="00A90898" w:rsidRDefault="00A90898" w:rsidP="00A90898">
      <w:pPr>
        <w:pStyle w:val="TextoNormal"/>
      </w:pPr>
    </w:p>
    <w:p w:rsidR="00A90898" w:rsidRDefault="00A90898" w:rsidP="00A90898">
      <w:pPr>
        <w:pStyle w:val="TextoNormal"/>
      </w:pPr>
      <w:r>
        <w:t>H) A las Administraciones Públicas respecto de la cobertura de las plazas correspondientes al personal de los servicios de prevención y extinción de incendios.</w:t>
      </w:r>
    </w:p>
    <w:p w:rsidR="00A90898" w:rsidRDefault="00A90898" w:rsidP="00A90898">
      <w:pPr>
        <w:pStyle w:val="TextoNormal"/>
      </w:pPr>
    </w:p>
    <w:p w:rsidR="00A90898" w:rsidRDefault="00A90898" w:rsidP="00A90898">
      <w:pPr>
        <w:pStyle w:val="TextoNormal"/>
      </w:pPr>
      <w:r>
        <w:t>I) A las Administraciones Públicas en relación con las plazas de personal investigador doctor de los Cuerpos y Escalas de los organismos públicos de investigación definidos en la Ley 14/2011, de 1 de junio, de la Ciencia, la Tecnología y la Innovación.</w:t>
      </w:r>
    </w:p>
    <w:p w:rsidR="00A90898" w:rsidRDefault="00A90898" w:rsidP="00A90898">
      <w:pPr>
        <w:pStyle w:val="TextoNormal"/>
      </w:pPr>
    </w:p>
    <w:p w:rsidR="00A90898" w:rsidRDefault="00A90898" w:rsidP="00A90898">
      <w:pPr>
        <w:pStyle w:val="TextoNormal"/>
      </w:pPr>
      <w:r>
        <w:t>J) A las Administraciones Públicas respecto de la supervisión e inspección de los mercados de valores y de los que en ellos intervienen.</w:t>
      </w:r>
    </w:p>
    <w:p w:rsidR="00A90898" w:rsidRDefault="00A90898" w:rsidP="00A90898">
      <w:pPr>
        <w:pStyle w:val="TextoNormal"/>
      </w:pPr>
    </w:p>
    <w:p w:rsidR="00A90898" w:rsidRDefault="00A90898" w:rsidP="00A90898">
      <w:pPr>
        <w:pStyle w:val="TextoNormal"/>
      </w:pPr>
      <w:r>
        <w:t>K) A la Agencia Estatal de Seguridad Aérea respecto del personal que realiza actuaciones de inspección y supervisión de la seguridad aérea y las operaciones de vuelo, siempre que se acredite, con carácter previo, que no ha resultado posible la cobertura de las plazas objeto de oferta por empleados públicos con una relación preexistente de carácter fijo e indefinido en el Sector Público Estatal.</w:t>
      </w:r>
    </w:p>
    <w:p w:rsidR="00A90898" w:rsidRDefault="00A90898" w:rsidP="00A90898">
      <w:pPr>
        <w:pStyle w:val="TextoNormal"/>
      </w:pPr>
    </w:p>
    <w:p w:rsidR="00A90898" w:rsidRDefault="00A90898" w:rsidP="00A90898">
      <w:pPr>
        <w:pStyle w:val="TextoNormal"/>
      </w:pPr>
      <w:r>
        <w:t>Esta excepción será también de aplicación a las plazas de los cuerpos de personal investigador de las Universidades, siempre que por parte de las administraciones públicas de las que dependan se autoricen las correspondientes convocatorias, previa acreditación de que la oferta de empleo público de las citadas plazas no afecta al cumplimiento de los objetivos de estabilidad presupuestaria establecidos para la correspondiente Universidad, ni de los demás límites fijados en la Ley Orgánica 2/2012, de 27 de abril, de Estabilidad Presupuestaria y Sostenibilidad Financiera.”</w:t>
      </w:r>
    </w:p>
    <w:p w:rsidR="00A90898" w:rsidRDefault="00A90898" w:rsidP="00A90898">
      <w:pPr>
        <w:pStyle w:val="TextoNormal"/>
      </w:pPr>
    </w:p>
    <w:p w:rsidR="00A90898" w:rsidRDefault="00A90898" w:rsidP="00A90898">
      <w:pPr>
        <w:pStyle w:val="TextoNormal"/>
      </w:pPr>
      <w:r>
        <w:t>c) En los términos que han quedado recogidos en los antecedentes, la demanda reprocha a la norma que se condicione la organización interna de la Comunidad Autónoma, afectando a su competencia y sin que el Estado se encuentre habilitado para ello.</w:t>
      </w:r>
    </w:p>
    <w:p w:rsidR="00A90898" w:rsidRDefault="00A90898" w:rsidP="00A90898">
      <w:pPr>
        <w:pStyle w:val="TextoNormal"/>
      </w:pPr>
    </w:p>
    <w:p w:rsidR="00A90898" w:rsidRDefault="00A90898" w:rsidP="00A90898">
      <w:pPr>
        <w:pStyle w:val="TextoNormal"/>
      </w:pPr>
      <w:r>
        <w:t>La demanda no cuestiona así el encuadramiento competencial de la medida, que se encuentra en los arts. 149.1.13 y 156.1 CE, pero razona que la intensidad de la intervención prevista en el precepto y en concreto la predeterminación de los ámbitos en los que cabe la tasa de reposición, condiciona la organización interna de la Comunidad Autónoma y afecta por ello al núcleo indisponible intrínseco a la capacidad de auto organización a que se refiere el art. 10.2 EAPV, por lo que vulnera la competencia autonómica. Considera que una intervención de este detalle no puede tener amparo en el art. 149.1.13 ni en el art. 156.1 CE, pues de acuerdo con la doctrina contenida en la STC 178/2006, FJ 3 (que cita las SSTC 63/1986, FJ 11, y 24/2002, FJ 5), incluso reconociendo la posibilidad de que el Estado limite la oferta de empleo público a través de la técnica del tope máximo porcentual, ello no le permite establecer, además, los concretos sectores que se verían exceptuados. Añade que habría sido posible conseguir el mismo resultado de una forma más respetuosa con el ámbito competencial de la Comunidad Autónoma, de suerte que tanto la contención del gasto de personal como una eventual reducción de plantilla podrían haberse conseguido operando en magnitudes globales y no mediante limitaciones concretas.</w:t>
      </w:r>
    </w:p>
    <w:p w:rsidR="00A90898" w:rsidRDefault="00A90898" w:rsidP="00A90898">
      <w:pPr>
        <w:pStyle w:val="TextoNormal"/>
      </w:pPr>
    </w:p>
    <w:p w:rsidR="00A90898" w:rsidRDefault="00A90898" w:rsidP="00A90898">
      <w:pPr>
        <w:pStyle w:val="TextoNormal"/>
      </w:pPr>
      <w:r>
        <w:t>La impugnación se ciñe, por lo tanto, no a la limitación de la oferta de empleo público ni tampoco al establecimiento de una tasa de reposición del 10 por 100, sino al hecho de que se hayan detallado excesivamente los sectores de la Administración pública a los que se aplicaría la excepción a la limitación de oferta de empleo público.</w:t>
      </w:r>
    </w:p>
    <w:p w:rsidR="00A90898" w:rsidRDefault="00A90898" w:rsidP="00A90898">
      <w:pPr>
        <w:pStyle w:val="TextoNormal"/>
      </w:pPr>
    </w:p>
    <w:p w:rsidR="00A90898" w:rsidRDefault="00A90898" w:rsidP="00A90898">
      <w:pPr>
        <w:pStyle w:val="TextoNormal"/>
      </w:pPr>
      <w:r>
        <w:t>d) Así concretada la impugnación, el motivo debe ser desestimado con base en la misma doctrina citada por la demanda, también recogida en el alegato del Abogado del Estado, según consta en los antecedentes, para lo que procede dar por reproducido el fundamento tercero de la STC 178/2006, de 6 de junio, a partir del cual deben hacerse las siguientes consideraciones:</w:t>
      </w:r>
    </w:p>
    <w:p w:rsidR="00A90898" w:rsidRDefault="00A90898" w:rsidP="00A90898">
      <w:pPr>
        <w:pStyle w:val="TextoNormal"/>
      </w:pPr>
    </w:p>
    <w:p w:rsidR="00A90898" w:rsidRDefault="00A90898" w:rsidP="00A90898">
      <w:pPr>
        <w:pStyle w:val="TextoNormal"/>
      </w:pPr>
      <w:r>
        <w:t>El art. 23.1.2 de la Ley 17/2012 es formalmente básico, tal y como dispone el apartado sexto del mismo precepto, que establece su dictado al amparo de los artículos 149.1.13 y 156.1 de la Constitución. Tiene, además, carácter materialmente básico y encuentra cobertura en los citados preceptos, de acuerdo con nuestra doctrina. En efecto, la STC 178/2006, de 6 de junio, FJ 3, ya consideró que el Estado, en el ejercicio de su de competencia en materia de ordenación general de la economía (art. 149.1.13 CE) y en virtud del principio de coordinación de la autonomía financiera de las Comunidades Autónomas con la hacienda estatal (art. 156.1 CE), podía limitar la oferta de empleo público por parte de las Administraciones públicas y, singularmente, de las autonómicas, pues esa decisión tiene relación directa con los objetivos de política económica, en cuanto que está dirigida a contener la expansión relativa de uno de los componentes esenciales del gasto público como es el caso de los gastos de personal.</w:t>
      </w:r>
    </w:p>
    <w:p w:rsidR="00A90898" w:rsidRDefault="00A90898" w:rsidP="00A90898">
      <w:pPr>
        <w:pStyle w:val="TextoNormal"/>
      </w:pPr>
    </w:p>
    <w:p w:rsidR="00A90898" w:rsidRDefault="00A90898" w:rsidP="00A90898">
      <w:pPr>
        <w:pStyle w:val="TextoNormal"/>
      </w:pPr>
      <w:r>
        <w:t xml:space="preserve">Sentado lo anterior, no puede negarse que la norma impugnada establece una limitación de sectores para los cuales se fija una tasa de reposición mínima y que, en dicha tarea, el art. 23.1.2 de la Ley 17/2012 ofrece menor margen al desarrollo autonómico que el precepto examinado en la STC 178/2006. Sin embargo, esa circunstancia no determina por sí sola la vulneración de la competencia autonómica en los términos denunciados. Al respecto conviene advertir que este precepto utiliza también la técnica del tope máximo porcentual y </w:t>
      </w:r>
      <w:r>
        <w:lastRenderedPageBreak/>
        <w:t>señala de forma amplia los sectores de la Administración a los que resulta aplicable la excepción a la aplicación de la tasa de reposición. De esta forma la Comunidad Autónoma, en el marco diseñado por la norma básica, dispone de margen de actuación para decidir, dentro de los sectores definidos, la aplicación de la tasa de reposición prevista en la ley estatal.</w:t>
      </w:r>
    </w:p>
    <w:p w:rsidR="00A90898" w:rsidRDefault="00A90898" w:rsidP="00A90898">
      <w:pPr>
        <w:pStyle w:val="TextoNormal"/>
      </w:pPr>
    </w:p>
    <w:p w:rsidR="00A90898" w:rsidRDefault="00A90898" w:rsidP="00A90898">
      <w:pPr>
        <w:pStyle w:val="TextoNormal"/>
      </w:pPr>
      <w:r>
        <w:t>La cuestión guarda así relación con lo decidido en la STC 178/2006, FJ 3, en la que declaramos que “la limitación de la oferta de empleo público a través de la técnica del tope máximo porcentual, así como la utilización de criterios genéricos como el carácter absolutamente prioritario de los sectores, funciones y categorías en que debe concentrarse no predeterminan un resultado singular”. En este caso se emplea también el criterio del carácter prioritario, indicándose además expresamente los sectores afectados. Por tanto, la norma resulta compatible con las competencias de autoorganización que tiene asumidas la Comunidad Autónoma del País Vasco en el art. 10.2 EAPV.</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dieciséis de noviembre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el recurso de inconstitucionalidad núm. 1814-2013.</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la mayoría del Tribunal, formulo Voto particular, tanto a la fundamentación como al fallo de esta Sentencia, únicamente en relación a la disposición adicional octogésima primera de la Ley 17/2012, de 27 de diciembre, de presupuestos generales del Estado para 2013.</w:t>
      </w:r>
    </w:p>
    <w:p w:rsidR="00A90898" w:rsidRDefault="00A90898" w:rsidP="00A90898">
      <w:pPr>
        <w:pStyle w:val="TextoNormal"/>
      </w:pPr>
    </w:p>
    <w:p w:rsidR="00A90898" w:rsidRDefault="00A90898" w:rsidP="00A90898">
      <w:pPr>
        <w:pStyle w:val="TextoNormal"/>
      </w:pPr>
      <w:r>
        <w:t>Las razones de mi discrepancia parcial con la presente Sentencia son las mismas que ya expuse en el Voto particular que formulé a la STC 179/2016, de 20 de octubre, que resolvió el recurso de inconstitucionalidad núm. 1744-2013, con respecto a la disposición adicional octogésima primera de la Ley 17/2012 antes indicada.</w:t>
      </w:r>
    </w:p>
    <w:p w:rsidR="00A90898" w:rsidRDefault="00A90898" w:rsidP="00A90898">
      <w:pPr>
        <w:pStyle w:val="TextoNormal"/>
      </w:pPr>
    </w:p>
    <w:p w:rsidR="00A90898" w:rsidRDefault="00A90898" w:rsidP="00A90898">
      <w:pPr>
        <w:pStyle w:val="TextoNormal"/>
      </w:pPr>
      <w:r>
        <w:t>Madrid, a dieciséis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4" w:name="SENTENCIA_2016_195"/>
      <w:r>
        <w:lastRenderedPageBreak/>
        <w:t>SENTENCIA 195/2016, de 16 de noviembre de 2016</w:t>
      </w:r>
    </w:p>
    <w:bookmarkEnd w:id="74"/>
    <w:p w:rsidR="00A90898" w:rsidRDefault="00A90898" w:rsidP="00A90898">
      <w:pPr>
        <w:pStyle w:val="TtuloResolucin"/>
      </w:pPr>
      <w:r>
        <w:t>Pleno</w:t>
      </w:r>
    </w:p>
    <w:p w:rsidR="00A90898" w:rsidRDefault="00A90898" w:rsidP="00A90898">
      <w:pPr>
        <w:pStyle w:val="TtuloBOE"/>
      </w:pPr>
      <w:r>
        <w:t>(BOE núm. 311, de 26 de diciembre de 2016)</w:t>
      </w:r>
    </w:p>
    <w:p w:rsidR="00A90898" w:rsidRDefault="00A90898" w:rsidP="00A90898">
      <w:pPr>
        <w:pStyle w:val="TextoNormalCentrado"/>
      </w:pPr>
      <w:r>
        <w:t>ECLI:ES:TC:2016:195</w:t>
      </w:r>
    </w:p>
    <w:p w:rsidR="00A90898" w:rsidRDefault="00A90898" w:rsidP="00A90898">
      <w:pPr>
        <w:pStyle w:val="TextoNormalCentrado"/>
      </w:pPr>
    </w:p>
    <w:p w:rsidR="00A90898" w:rsidRDefault="00A90898" w:rsidP="00A90898">
      <w:pPr>
        <w:pStyle w:val="SntesisDescriptiva"/>
      </w:pPr>
      <w:r>
        <w:t>Recurso de inconstitucionalidad 5951-2014. Interpuesto por el Consejo de Gobierno del Principado de Asturias en relación con los artículos 4 y 7 del Real Decreto-ley 8/2014, de 4 de julio, de aprobación de medidas urgentes para el crecimiento, la competitividad y la eficiencia.</w:t>
      </w:r>
    </w:p>
    <w:p w:rsidR="00A90898" w:rsidRDefault="00A90898" w:rsidP="00A90898">
      <w:pPr>
        <w:pStyle w:val="SntesisDescriptiva"/>
      </w:pPr>
    </w:p>
    <w:p w:rsidR="00A90898" w:rsidRDefault="00A90898" w:rsidP="00A90898">
      <w:pPr>
        <w:pStyle w:val="SntesisAnaltica"/>
      </w:pPr>
      <w:r>
        <w:t>Límites a los decretos-leyes, competencias en materia de comercio interior: constitucionalidad de los preceptos legales estatales relativos a las zonas de gran afluencia turística (STC 18/2016). Votos particulares.</w:t>
      </w:r>
    </w:p>
    <w:p w:rsidR="00A90898" w:rsidRDefault="00A90898" w:rsidP="00A90898">
      <w:pPr>
        <w:pStyle w:val="SntesisAnaltica"/>
      </w:pPr>
    </w:p>
    <w:p w:rsidR="00A90898" w:rsidRDefault="00A90898" w:rsidP="00A90898">
      <w:pPr>
        <w:pStyle w:val="Extracto"/>
      </w:pPr>
      <w:r>
        <w:t>1.</w:t>
      </w:r>
      <w:r>
        <w:tab/>
        <w:t>Aun cuando la norma estatal establezca un régimen mínimo de regulación en materia de determinación de zonas de gran afluencia turística, con sujeción al mismo las Comunidades Autónomas pueden, también, añadir otras zonas con dicha calificación (SSTC 156/2015, 18/2016) [FJ 5].</w:t>
      </w:r>
    </w:p>
    <w:p w:rsidR="00A90898" w:rsidRDefault="00A90898" w:rsidP="00A90898">
      <w:pPr>
        <w:pStyle w:val="Extracto"/>
      </w:pPr>
    </w:p>
    <w:p w:rsidR="00A90898" w:rsidRDefault="00A90898" w:rsidP="00A90898">
      <w:pPr>
        <w:pStyle w:val="Extracto"/>
      </w:pPr>
      <w:r>
        <w:t>2.</w:t>
      </w:r>
      <w:r>
        <w:tab/>
        <w:t>La regulación de las zonas de gran afluencia turística es materialmente básica, por cuanto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(SSTC 156/2015, 18/2016) [FJ 5].</w:t>
      </w:r>
    </w:p>
    <w:p w:rsidR="00A90898" w:rsidRDefault="00A90898" w:rsidP="00A90898">
      <w:pPr>
        <w:pStyle w:val="Extracto"/>
      </w:pPr>
    </w:p>
    <w:p w:rsidR="00A90898" w:rsidRDefault="00A90898" w:rsidP="00A90898">
      <w:pPr>
        <w:pStyle w:val="Extracto"/>
      </w:pPr>
      <w:r>
        <w:t>3.</w:t>
      </w:r>
      <w:r>
        <w:tab/>
        <w:t>La declaración de zona de gran afluencia turística de la totalidad del municipio durante todo el año, con la consecuencia de que los comerciantes dispondrán de plena libertad para la apertura de sus establecimientos, solamente se producirá si la Comunidad Autónoma no decide ejercer sus potestades para determinar temporal y territorialmente cuales son las zonas de gran afluencia turística (SSTC 18/2016, 119/2016) [FJ 5].</w:t>
      </w:r>
    </w:p>
    <w:p w:rsidR="00A90898" w:rsidRDefault="00A90898" w:rsidP="00A90898">
      <w:pPr>
        <w:pStyle w:val="Extracto"/>
      </w:pPr>
    </w:p>
    <w:p w:rsidR="00A90898" w:rsidRDefault="00A90898" w:rsidP="00A90898">
      <w:pPr>
        <w:pStyle w:val="Extracto"/>
      </w:pPr>
      <w:r>
        <w:t>4.</w:t>
      </w:r>
      <w:r>
        <w:tab/>
        <w:t>Regular la plena libertad horaria es una opción a disposición de la Comunidad Autónoma para el caso de que decida no ejercer las posibilidades de regulación que le ofrece la norma estatal, modulando el alcance de la declaración en el sentido de limitar territorial o temporalmente la libertad de apertura que lleva implícita la declaración de la zona de gran afluencia turística (STC 18/2016) [FJ 6].</w:t>
      </w:r>
    </w:p>
    <w:p w:rsidR="00A90898" w:rsidRDefault="00A90898" w:rsidP="00A90898">
      <w:pPr>
        <w:pStyle w:val="Extracto"/>
      </w:pPr>
    </w:p>
    <w:p w:rsidR="00A90898" w:rsidRDefault="00A90898" w:rsidP="00A90898">
      <w:pPr>
        <w:pStyle w:val="Extracto"/>
      </w:pPr>
      <w:r>
        <w:t>5.</w:t>
      </w:r>
      <w:r>
        <w:tab/>
        <w:t>Respecto a las medidas previstas en la norma estatal para el caso de que las Comunidades Autónomas no hicieran uso de las posibilidades de regulación en materia de fijación del horario global semanal y determinación de los domingos y festivos de apertura autorizados, son opciones a disposición de la Comunidad Autónoma para el caso de que decidiera no ejercer las posibilidades de regulación que derivaban de la norma estatal. (SSTC 18/2016, 119/2016) [FJ 5].</w:t>
      </w:r>
    </w:p>
    <w:p w:rsidR="00A90898" w:rsidRDefault="00A90898" w:rsidP="00A90898">
      <w:pPr>
        <w:pStyle w:val="Extracto"/>
      </w:pPr>
    </w:p>
    <w:p w:rsidR="00A90898" w:rsidRDefault="00A90898" w:rsidP="00A90898">
      <w:pPr>
        <w:pStyle w:val="Extracto"/>
      </w:pPr>
      <w:r>
        <w:lastRenderedPageBreak/>
        <w:t>6.</w:t>
      </w:r>
      <w:r>
        <w:tab/>
        <w:t>Aun existiendo una competencia sobre un subsector económico que una Comunidad Autónoma ha asumido como ‘exclusiva’ en su Estatuto, esta atribución competencial no excluye la competencia estatal para establecer las bases y la coordinación de ese subsector, que en ejercicio autonómico de esta competencia propia y diferenciada pueden desplegarse autónomamente sobre diversos campos o materias (STC 77/2004) [FJ 4].</w:t>
      </w:r>
    </w:p>
    <w:p w:rsidR="00A90898" w:rsidRDefault="00A90898" w:rsidP="00A90898">
      <w:pPr>
        <w:pStyle w:val="Extracto"/>
      </w:pPr>
    </w:p>
    <w:p w:rsidR="00A90898" w:rsidRDefault="00A90898" w:rsidP="00A90898">
      <w:pPr>
        <w:pStyle w:val="Extracto"/>
      </w:pPr>
      <w:r>
        <w:t>7.</w:t>
      </w:r>
      <w:r>
        <w:tab/>
        <w:t>La doctrina de este Tribunal acerca la pérdida de objeto de los recursos de inconstitucionalidad con contenido competencial sostiene que esta pérdida no se produce cuando la norma impugnada es derogada y sustituida por otra que plantea esencialmente los mismos problemas competenciales (SSTC 40/1998, de 19 de febrero, y 233/2016, de 16 de diciembre)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5951-2014, interpuesto por el Consejo de Gobierno del Principado de Asturias contra los arts. 4 y 7 del Real Decreto-ley 8/2014, de 4 de julio, de aprobación de medidas urgentes para el crecimiento, la competitividad y la eficiencia. Ha comparecido y formulado alegaciones el Abogado del Estado.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día 3 de octubre de 2014 el Letrado del Servicio Jurídico del Principado de Asturias, en la representación que ostenta del Consejo de Gobierno de esa Comunidad Autónoma, interpuso recurso de inconstitucionalidad contra los arts. 4 y 7 del Real Decreto-ley 8/2014, de 4 de julio, de aprobación de medidas urgentes para el crecimiento, la competitividad y la eficiencia.</w:t>
      </w:r>
    </w:p>
    <w:p w:rsidR="00A90898" w:rsidRDefault="00A90898" w:rsidP="00A90898">
      <w:pPr>
        <w:pStyle w:val="TextoNormal"/>
      </w:pPr>
    </w:p>
    <w:p w:rsidR="00A90898" w:rsidRDefault="00A90898" w:rsidP="00A90898">
      <w:pPr>
        <w:pStyle w:val="TextoNormal"/>
      </w:pPr>
      <w:r>
        <w:t>Los motivos del recurso son, resumidamente expuestos, los siguientes:</w:t>
      </w:r>
    </w:p>
    <w:p w:rsidR="00A90898" w:rsidRDefault="00A90898" w:rsidP="00A90898">
      <w:pPr>
        <w:pStyle w:val="TextoNormal"/>
      </w:pPr>
    </w:p>
    <w:p w:rsidR="00A90898" w:rsidRDefault="00A90898" w:rsidP="00A90898">
      <w:pPr>
        <w:pStyle w:val="TextoNormal"/>
      </w:pPr>
      <w:r>
        <w:lastRenderedPageBreak/>
        <w:t xml:space="preserve">Tras aludir al cumplimiento de los requisitos procesales para la interposición del recurso, el Letrado autonómico señala que los preceptos constitucionales que se consideran vulnerados son el art. 86.1 y 149.1.13 CE, así como el art. 10.1.14 del Estatuto de Autonomía del Principado de Asturias, relativo a la competencia autonómica en materia de comercio interior. Reproduce a continuación las normas impugnadas, señalando que de su contenido se desprende que se impone la declaración de un régimen de plena libertad horaria para las grandes superficies y los establecimientos pertenecientes a grandes empresas en los municipios de Oviedo y Gijón (incluidos entre las diez nuevas ciudades que se enumeran en el anexo I del Real Decreto-ley 8/2014), sin que la Comunidad Autónoma disponga </w:t>
      </w:r>
      <w:r w:rsidRPr="00A90898">
        <w:rPr>
          <w:i/>
        </w:rPr>
        <w:t>per se</w:t>
      </w:r>
      <w:r>
        <w:t xml:space="preserve"> de margen alguno para modular su aplicación, por cuanto las limitaciones “de carácter temporal o territorial” (ligadas a una zona del municipio o a la temporada turística) se vinculan a la previa propuesta del Ayuntamiento respectivo.</w:t>
      </w:r>
    </w:p>
    <w:p w:rsidR="00A90898" w:rsidRDefault="00A90898" w:rsidP="00A90898">
      <w:pPr>
        <w:pStyle w:val="TextoNormal"/>
      </w:pPr>
    </w:p>
    <w:p w:rsidR="00A90898" w:rsidRDefault="00A90898" w:rsidP="00A90898">
      <w:pPr>
        <w:pStyle w:val="TextoNormal"/>
      </w:pPr>
      <w:r>
        <w:t>La demanda describe las sucesivas modificaciones que se han producido en torno al concepto de zona de gran afluencia turística a efectos comerciales, concluyendo que, en este régimen “se asiste a una paulatina intervención del Estado de intensidad creciente, con el consiguiente estrechamiento del campo reconocido a las Comunidades Autónomas”. La demanda alega que la nueva regulación introducida por el Real Decreto-ley impugnado configura la competencia autonómica como una potestad de control de la iniciativa municipal, de alcance limitado. La Comunidad Autónoma ha de verificar si las restricciones que proponga la Administración local están suficientemente justificadas. La Administración autonómica carece de la iniciativa para determinar ese tipo de zonas y su intervención se circunscribe, o bien a aceptar por silencio la delimitación que proponga el Ayuntamiento, o bien a asumir que la zona coincida con la totalidad del municipio durante todo el año si juzga injustificada una propuesta con un deslinde que no alcance a todo el término municipal o una extensión temporal inferior a la anual.</w:t>
      </w:r>
    </w:p>
    <w:p w:rsidR="00A90898" w:rsidRDefault="00A90898" w:rsidP="00A90898">
      <w:pPr>
        <w:pStyle w:val="TextoNormal"/>
      </w:pPr>
    </w:p>
    <w:p w:rsidR="00A90898" w:rsidRDefault="00A90898" w:rsidP="00A90898">
      <w:pPr>
        <w:pStyle w:val="TextoNormal"/>
      </w:pPr>
      <w:r>
        <w:t>En suma, el Letrado autonómico sostiene que, invocando el art. 149.1.13 CE, el Estado dispone como regla la libertad de horarios en las zonas de gran afluencia turística; zonas descritas en unos casos con criterios vagos o indeterminados que dejan margen de apreciación y en otros con criterios rígidos y cerrados. La excepción o modulación territorial y temporal de esta regla queda en manos de los Ayuntamientos con la intervención, limitada y con resultados reglados, de la Comunidad Autónoma.</w:t>
      </w:r>
    </w:p>
    <w:p w:rsidR="00A90898" w:rsidRDefault="00A90898" w:rsidP="00A90898">
      <w:pPr>
        <w:pStyle w:val="TextoNormal"/>
      </w:pPr>
    </w:p>
    <w:p w:rsidR="00A90898" w:rsidRDefault="00A90898" w:rsidP="00A90898">
      <w:pPr>
        <w:pStyle w:val="TextoNormal"/>
      </w:pPr>
      <w:r>
        <w:t>Sobre la vulneración del art. 86.1 CE, la demanda recoge la doctrina constitucional en la materia argumentando que, en este caso, no se ha incorporado una justificación suficiente que permita advertir la concurrencia del presupuesto habilitante, en la medida en que no se aprecia conexión de sentido entre la situación de urgencia que detalla el Gobierno y la norma adoptada en materia de declaración de zonas de gran afluencia turística y tampoco se ha justificado cuáles serían los perjuicios u obstáculos que, para la consecución de los objetivos perseguidos, se seguirían de su tramitación por el procedimiento legislativo. Tampoco estamos ante lo que la doctrina constitucional ha calificado de “coyunturas económicas problemáticas”. En este sentido, entiende que hay una clara expansión económica del turismo y las medidas adoptadas lo son únicamente para proceder a su maximización y rentabilización o mejora, pero no para afrontar una situación problemática de extraordinaria y urgente necesidad.</w:t>
      </w:r>
    </w:p>
    <w:p w:rsidR="00A90898" w:rsidRDefault="00A90898" w:rsidP="00A90898">
      <w:pPr>
        <w:pStyle w:val="TextoNormal"/>
      </w:pPr>
    </w:p>
    <w:p w:rsidR="00A90898" w:rsidRDefault="00A90898" w:rsidP="00A90898">
      <w:pPr>
        <w:pStyle w:val="TextoNormal"/>
      </w:pPr>
      <w:r>
        <w:lastRenderedPageBreak/>
        <w:t>El Letrado del Principado de Asturias también reprocha a los preceptos impugnados la extralimitación en el ejercicio de las competencias estatales con la correlativa vulneración de las competencias autonómicas en materia de comercio interior. Para justificar dicha vulneración se parte de la doctrina constitucional en materia de bases y coordinación de la planificación económica y comercio interior, pues la norma impugnada pretende ampararse en el art. 149.1.13 CE. Sostiene que la dinámica constitucional bases-desarrollo en esta materia implica que las primeras no pueden suponer una regulación exhaustiva o detallada que consuma el margen de decisión política reservado al operador autonómico. Igualmente, las bases han de tener una incidencia directa y significativa sobre la actividad económica general. La demanda cita específicamente la doctrina constitucional en materia de comercio interior, señalando que de ella se deriva la necesidad de un examen de la norma estatal y de la finalidad que persigue, habiendo avalado el Tribunal Constitucional la consistente en estimular la actividad en el sector de la distribución, lo que puede legítimamente perseguirse a través del establecimiento de un régimen de libertad de actividades por tratarse de una medida de política económica general que responde a fines de interés general basados en la búsqueda de un mayor dinamismo de las empresas distribuidoras y una mayor flexibilización de la oferta comercial. Así, en un esquema competencial bases-desarrollo, la norma estatal se reconduce a la fijación de bases que deben venir delimitadas por dos criterios: (i) la acreditación de una incidencia directa y significativa sobre la actividad económica general, y (ii) la garantía de espacio normativo suficiente a las Comunidades Autónomas para que puedan desarrollar sus competencias normativas y de ejecución en materia de comercio minorista y horarios comerciales, y, en suma, establecer una política propia en materia de comercio adaptada a sus características peculiares.</w:t>
      </w:r>
    </w:p>
    <w:p w:rsidR="00A90898" w:rsidRDefault="00A90898" w:rsidP="00A90898">
      <w:pPr>
        <w:pStyle w:val="TextoNormal"/>
      </w:pPr>
    </w:p>
    <w:p w:rsidR="00A90898" w:rsidRDefault="00A90898" w:rsidP="00A90898">
      <w:pPr>
        <w:pStyle w:val="TextoNormal"/>
      </w:pPr>
      <w:r>
        <w:t xml:space="preserve">Los preceptos impugnados no se ajustarían a tales criterios, ya que, a diferencia de regulaciones anteriores, agotan el régimen de horarios comerciales para determinadas porciones del territorio y rigen sin margen de modulación para todos los municipios con más de 100.000 habitantes que hayan registrado más de 600.000 pernoctaciones en el año inmediatamente anterior, reservando a la iniciativa local la restricción de la libertad horaria a ciertos periodos o a determinadas partes del territorio municipal. En la práctica se viene a fijar un régimen de libertad horaria en las dos principales aglomeraciones urbanas del Principado de Asturias sin que la Comunidad Autónoma disponga de margen alguno de modulación. Lo que se introduce con la reforma operada es la libertad plena de horarios para los grandes establecimientos o cadenas radicados en los municipios que alcancen ciertos umbrales de población y pernoctaciones. Este efecto revela que nos hallamos ante una medida específica o de detalle que no encaja en el concepto de bases ni guarda la necesaria relación con los fines en los que se sustenta la competencia estatal. Se advierte así que el régimen de libertad plena invade competencias autonómicas, no por su vertiente de libertad, desregulación o no intervención, sino por su carácter detallado, pues lo que se arbitra es la libertad horaria para los grandes establecimientos físicamente ubicados en los municipios más populosos, agotando la regulación de la materia en un espacio territorial singularmente relevante, sin que se reconozca a las Comunidades Autónomas un margen para adaptar ese régimen a su territorio, tal como explícitamente se contemplaba en la Ley de horarios comerciales antes de la reforma y se señaló por la doctrina constitucional (con cita de la STC 88/2010). La nueva regulación incurre así en un exceso competencial, pues el régimen singular de libertad horaria se sustrae al operador autonómico, al que ya no se vincula ni la determinación de los municipios (en cuanto incorporados </w:t>
      </w:r>
      <w:r w:rsidRPr="00A90898">
        <w:rPr>
          <w:i/>
        </w:rPr>
        <w:t>nominatim</w:t>
      </w:r>
      <w:r>
        <w:t xml:space="preserve"> al anexo), ni las modulaciones espaciales o temporales del régimen, que se someten a la iniciativa local. La extrema especificidad de la </w:t>
      </w:r>
      <w:r>
        <w:lastRenderedPageBreak/>
        <w:t xml:space="preserve">medida introducida conduce a estimarla ajena a la noción de bases, que atiende al </w:t>
      </w:r>
      <w:r w:rsidRPr="00A90898">
        <w:rPr>
          <w:i/>
        </w:rPr>
        <w:t>minimum</w:t>
      </w:r>
      <w:r>
        <w:t xml:space="preserve"> necesario o conveniente para el correcto funcionamiento del mercado.</w:t>
      </w:r>
    </w:p>
    <w:p w:rsidR="00A90898" w:rsidRDefault="00A90898" w:rsidP="00A90898">
      <w:pPr>
        <w:pStyle w:val="TextoNormal"/>
      </w:pPr>
    </w:p>
    <w:p w:rsidR="00A90898" w:rsidRDefault="00A90898" w:rsidP="00A90898">
      <w:pPr>
        <w:pStyle w:val="TextoNormal"/>
      </w:pPr>
      <w:r>
        <w:t xml:space="preserve">Por lo expuesto, la demanda concluye apreciando que los arts. 4 y 7 del Real Decreto-ley 8/2014, de 4 de julio desconocen la competencia autonómica en materia de comercio interior </w:t>
      </w:r>
      <w:r w:rsidRPr="00A90898">
        <w:rPr>
          <w:i/>
        </w:rPr>
        <w:t>ex</w:t>
      </w:r>
      <w:r>
        <w:t xml:space="preserve"> art. 10.1.14 del Estatuto de Autonomía.</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21 de octubre de 2014, el Pleno, a propuesta de la Sección Primera, acordó admitir a trámite el recurso de inconstitucionalidad promovido por el Consejo de Gobierno del Principado de Asturias y, en su representación y defensa, por el Letrado del mismo, contra los arts. 4 y 7 del Real Decreto-ley 8/2014, de 4 de julio, de aprobación de medidas urgentes para el crecimiento, la competitividad y la eficiencia;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con fecha 29 de octubre de 2014, el Presidente del Senado comunicó el acuerdo de la Mesa de la Cámara de personarse en el procedimiento y ofrecer su colaboración a los efectos del art. 88.1 LOTC. Lo propio hizo el Presidente del Congreso de los Diputados por escrito que tuvo entrada en este Tribunal el día 30 de octubre de 2014.</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el 30 de octubre de 2014, el Abogado del Estado se personó en nombre del Gobierno solicitando una prórroga en el plazo para la formulación de alegaciones, prórroga que le fue concedida por providencia del Pleno de 31 de octubre de 2014.</w:t>
      </w:r>
    </w:p>
    <w:p w:rsidR="00A90898" w:rsidRDefault="00A90898" w:rsidP="00A90898">
      <w:pPr>
        <w:pStyle w:val="TextoNormal"/>
      </w:pPr>
    </w:p>
    <w:p w:rsidR="00A90898" w:rsidRDefault="00A90898" w:rsidP="00A90898">
      <w:pPr>
        <w:pStyle w:val="TextoNormal"/>
      </w:pPr>
      <w:r w:rsidRPr="00A90898">
        <w:rPr>
          <w:rStyle w:val="NumeroAFNegritaCaracter"/>
        </w:rPr>
        <w:t>5</w:t>
      </w:r>
      <w:r>
        <w:t>. Las alegaciones presentadas por el Abogado del Estado interesando la desestimación del recurso fueron registradas en este Tribunal el día 25 de noviembre de 2014.</w:t>
      </w:r>
    </w:p>
    <w:p w:rsidR="00A90898" w:rsidRDefault="00A90898" w:rsidP="00A90898">
      <w:pPr>
        <w:pStyle w:val="TextoNormal"/>
      </w:pPr>
    </w:p>
    <w:p w:rsidR="00A90898" w:rsidRDefault="00A90898" w:rsidP="00A90898">
      <w:pPr>
        <w:pStyle w:val="TextoNormal"/>
      </w:pPr>
      <w:r>
        <w:t>En cuanto a la existencia del presupuesto habilitante exigido por el art. 86.1 CE, el Abogado del Estado recuerda cuál es la doctrina constitucional en la materia, para proceder, acto seguido, a especificar cuál es el que concurre en este caso, y establecer que el mismo se encuentra debida y extensamente expuesto en la exposición de motivos y en el discurso de convalidación ante el Congreso de la Vicepresidenta del Gobierno. Por lo que se refiere a la exposición de motivos, en ella se alude a la decisión adoptada el 6 junio por el Consejo de Ministros que aprobó el plan de “medidas para el crecimiento, la competitividad y la eficiencia, que contempla un paquete de medidas con el objetivo de saneamiento fiscal, que impulsen el crecimiento y la competitividad presente y futura de la economía y la financiación empresarial”, siendo el decreto-ley la norma que articula las medidas legislativas necesarias para la ejecución del plan. Todas ellas se dirigen a aumentar la competitividad y fomentar el funcionamiento eficiente de los mercados y mejorar la financiación, así como a optimizar la empleabilidad en el contexto de la superación de una notoria e intensa crisis económica, organizándose las medidas en torno a tres ejes: fomentar la competitividad y el funcionamiento eficiente de los mercados; mejorar el acceso a la financiación; y fomentar la empleabilidad y la ocupación, avanzándose además algunas medidas de la reforma fiscal.</w:t>
      </w:r>
    </w:p>
    <w:p w:rsidR="00A90898" w:rsidRDefault="00A90898" w:rsidP="00A90898">
      <w:pPr>
        <w:pStyle w:val="TextoNormal"/>
      </w:pPr>
    </w:p>
    <w:p w:rsidR="00A90898" w:rsidRDefault="00A90898" w:rsidP="00A90898">
      <w:pPr>
        <w:pStyle w:val="TextoNormal"/>
      </w:pPr>
      <w:r>
        <w:t>Sobre los arts. 4 y 7, afirma que se trata de fomentar la competitividad y el funcionamiento eficiente de los mercados. En esos preceptos se encuadran las medidas en el ámbito de la liberalización comercial, así como las destinadas aumentar eficiencia y competitividad de las infraestructuras portuarias y aeroportuarias. Por lo que hace a la liberalización de los horarios, la adopción de esta medida se explica con el objetivo de dinamizar el sector comercial y favorecer la reactivación económica. Por su parte, en relación con las disposiciones que aluden a la simplificación de procedimientos de autorización seguidos en el ámbito del comercio minorista y a la regulación de las zonas de gran afluencia turística, se justifica su adopción por la necesidad de contribuir a mejorar la normativa reguladora de dichas zonas, y para favorecer la inmediata reactivación de las ventas, en particular en lo que a consumo turístico se refiere, como consecuencia del incremento de visitantes registrados a lo largo del ejercicio 2013.</w:t>
      </w:r>
    </w:p>
    <w:p w:rsidR="00A90898" w:rsidRDefault="00A90898" w:rsidP="00A90898">
      <w:pPr>
        <w:pStyle w:val="TextoNormal"/>
      </w:pPr>
    </w:p>
    <w:p w:rsidR="00A90898" w:rsidRDefault="00A90898" w:rsidP="00A90898">
      <w:pPr>
        <w:pStyle w:val="TextoNormal"/>
      </w:pPr>
      <w:r>
        <w:t>Acerca de las vulneraciones competenciales denunciadas, señala que la regulación estatal en materia de horarios comerciales se integra en el art. 149.1.13 CE. El carácter exclusivo de la competencia autonómica en materia de comercio interior no impide la confluencia del título del Estado sobre ordenación general de la economía, el cual puede afectar a un subsector determinado y concreto como la libertad de horarios comerciales en las denominadas zonas de gran afluencia turística así declaradas. Así, resulta constitucionalmente conforme que el Estado incida, por razones de regulación general uniforme (que en última instancia deben ser valoradas por el Tribunal Constitucional) en un área más reducida o subsector específico de una competencia autonómica más amplia. Esto es, que la normativa estatal venga a incidir sobre aspectos puntuales relevantes para la ordenación económica general, como por ejemplo, la liberalización de determinados ámbitos del sector comercio interior en función de la declaración de zonas de gran afluencia turística.</w:t>
      </w:r>
    </w:p>
    <w:p w:rsidR="00A90898" w:rsidRDefault="00A90898" w:rsidP="00A90898">
      <w:pPr>
        <w:pStyle w:val="TextoNormal"/>
      </w:pPr>
    </w:p>
    <w:p w:rsidR="00A90898" w:rsidRDefault="00A90898" w:rsidP="00A90898">
      <w:pPr>
        <w:pStyle w:val="TextoNormal"/>
      </w:pPr>
      <w:r>
        <w:t>Las normas impugnadas contienen una regulación que amplía el alcance liberalizador de los horarios comerciales que se establecía hasta el momento en la legislación estatal vigente en la línea previamente marcada por el art. 27 del Real Decreto-ley 20/2012. Propósito liberalizador que no puede enervarse mediante el subterfugio de un supuesto desarrollo normativo autonómico de lo que la ley liberalizadora no prevé. Se trata de unas normas de naturaleza propia de ley básica que amplían el techo de libertad comercial o de autogestión comercial de manera conforme con la doctrina constitucional (con cita de las SSTC 88/2010, 140/2011 y 26/2012). La reforma ahora cuestionada únicamente amplía un tanto el ámbito de la liberalización ya efectuada conforme a la norma básica enjuiciada en los pronunciamientos anteriormente expuestos, pues, se añaden los municipios de más de 100.000 habitantes (antes lo eran a partir de 200.000) y a aquellos en los que las pernoctaciones superen el número de 600.000 anuales (cuando lo eran a más de l.000.000, antes de la reforma), manteniéndose el régimen jurídico restante ya vigente. Se trata de adaptaciones legislativas que profundizan el alcance de la liberalización de un subsector de la economía, manteniendo la decisión autonómica sobre la base de criterios generales que la norma estatal regula, a la vez que establece unos plazos de decisión y su consecuencia. Pero no suprime en modo alguno el margen de decisión de las Administraciones territoriales que intervienen en la declaración de zonas de gran afluencia turística.</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15 de noviembre de 2016, se señaló para deliberación y votación de la presente Sentencia el día 16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En el presente proceso constitucional debe resolverse el recurso de inconstitucionalidad interpuesto por el Consejo de Gobierno del Principado de Asturias contra los arts. 4 y 7 del Real Decreto-ley 8/2014, de 4 de julio, de aprobación de medidas urgentes para el crecimiento, la competitividad y la eficiencia.</w:t>
      </w:r>
    </w:p>
    <w:p w:rsidR="00A90898" w:rsidRDefault="00A90898" w:rsidP="00A90898">
      <w:pPr>
        <w:pStyle w:val="TextoNormal"/>
      </w:pPr>
    </w:p>
    <w:p w:rsidR="00A90898" w:rsidRDefault="00A90898" w:rsidP="00A90898">
      <w:pPr>
        <w:pStyle w:val="TextoNormal"/>
      </w:pPr>
      <w:r>
        <w:t>El recurso se fundamenta en dos motivos: i) falta del presupuesto habilitante exigido por el art. 86.1 CE en cuanto que, según la demanda, no existe conexión de sentido entre la situación de urgencia que detalla el Gobierno y la norma adoptada en materia de declaración de zonas de gran afluencia turística, sin que tampoco se haya justificado la razón por la que el objetivo perseguido por la medida no se puede conseguir por el procedimiento legislativo ordinario, y ii) extralimitación de las competencias estatales, incurriendo en una correlativa invasión de las competencias autonómicas en materia de comercio interior.</w:t>
      </w:r>
    </w:p>
    <w:p w:rsidR="00A90898" w:rsidRDefault="00A90898" w:rsidP="00A90898">
      <w:pPr>
        <w:pStyle w:val="TextoNormal"/>
      </w:pPr>
    </w:p>
    <w:p w:rsidR="00A90898" w:rsidRDefault="00A90898" w:rsidP="00A90898">
      <w:pPr>
        <w:pStyle w:val="TextoNormal"/>
      </w:pPr>
      <w:r>
        <w:t>El Abogado del Estado, tal como consta en los antecedentes, ha negado las infracciones constitucionales denunciadas interesando la desestimación integra del recurso.</w:t>
      </w:r>
    </w:p>
    <w:p w:rsidR="00A90898" w:rsidRDefault="00A90898" w:rsidP="00A90898">
      <w:pPr>
        <w:pStyle w:val="TextoNormal"/>
      </w:pPr>
    </w:p>
    <w:p w:rsidR="00A90898" w:rsidRDefault="00A90898" w:rsidP="00A90898">
      <w:pPr>
        <w:pStyle w:val="TextoNormal"/>
      </w:pPr>
      <w:r w:rsidRPr="00A90898">
        <w:rPr>
          <w:rStyle w:val="NumeroAFNegritaCaracter"/>
        </w:rPr>
        <w:t>2</w:t>
      </w:r>
      <w:r>
        <w:t>. Expuestas las posiciones de las partes en el proceso, antes de comenzar a resolverlo se debe examinar la incidencia que modificaciones normativas posteriores a la interposición del recurso hayan podido tener sobre su pervivencia.</w:t>
      </w:r>
    </w:p>
    <w:p w:rsidR="00A90898" w:rsidRDefault="00A90898" w:rsidP="00A90898">
      <w:pPr>
        <w:pStyle w:val="TextoNormal"/>
      </w:pPr>
    </w:p>
    <w:p w:rsidR="00A90898" w:rsidRDefault="00A90898" w:rsidP="00A90898">
      <w:pPr>
        <w:pStyle w:val="TextoNormal"/>
      </w:pPr>
      <w:r>
        <w:t>El Real Decreto-ley 8/2014, de conformidad con lo dispuesto en el art. 86.2 CE, fue sometido a debate y votación de totalidad por el Congreso de los Diputados en su sesión del día 10 de julio de 2014, en la que se acordó su convalidación, tramitándose posteriormente para su aprobación como proyecto de ley. El proyecto sería finalmente aprobado, sin modificaciones, como Ley 18/2014, de 15 de octubre, de aprobación de medidas urgentes para el crecimiento, la competitividad y la eficiencia. En lo que ahora interesa el texto de la Ley coincide sustancialmente con el del Decreto-ley.</w:t>
      </w:r>
    </w:p>
    <w:p w:rsidR="00A90898" w:rsidRDefault="00A90898" w:rsidP="00A90898">
      <w:pPr>
        <w:pStyle w:val="TextoNormal"/>
      </w:pPr>
    </w:p>
    <w:p w:rsidR="00A90898" w:rsidRDefault="00A90898" w:rsidP="00A90898">
      <w:pPr>
        <w:pStyle w:val="TextoNormal"/>
      </w:pPr>
      <w:r>
        <w:t>Como ya señaló la STC 199/2015, de 24 de septiembre, FJ 2 b), con cita de doctrina anterior, “una vez se sigue para el decreto-ley la vía prevista en el art. 86.3 CE, de tramitación como proyecto de ley, en el momento en que este sea aprobado quedará ‘extinguido el Decreto-ley mediante la promulgación de una ley destinada a reemplazarle’ (STC 178/2004, FJ 6)”.</w:t>
      </w:r>
    </w:p>
    <w:p w:rsidR="00A90898" w:rsidRDefault="00A90898" w:rsidP="00A90898">
      <w:pPr>
        <w:pStyle w:val="TextoNormal"/>
      </w:pPr>
    </w:p>
    <w:p w:rsidR="00A90898" w:rsidRDefault="00A90898" w:rsidP="00A90898">
      <w:pPr>
        <w:pStyle w:val="TextoNormal"/>
      </w:pPr>
      <w:r>
        <w:t>No obstante esta novación que, en el caso que nos ocupa, supone la sustitución absoluta del Decreto-ley 8/2014, por la Ley 18/2014, no implica, atendiendo a nuestra doctrina al respecto (por todas, STC 96/2014, de 2 de junio, FJ 2), la desaparición del objeto del presente proceso constitucional.</w:t>
      </w:r>
    </w:p>
    <w:p w:rsidR="00A90898" w:rsidRDefault="00A90898" w:rsidP="00A90898">
      <w:pPr>
        <w:pStyle w:val="TextoNormal"/>
      </w:pPr>
    </w:p>
    <w:p w:rsidR="00A90898" w:rsidRDefault="00A90898" w:rsidP="00A90898">
      <w:pPr>
        <w:pStyle w:val="TextoNormal"/>
      </w:pPr>
      <w:r>
        <w:t xml:space="preserve">En lo que hace a la infracción del art. 86.1 CE, esa derogación tácita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w:t>
      </w:r>
      <w:r>
        <w:lastRenderedPageBreak/>
        <w:t>decidiendo la validez o invalidez de las normas impugnadas sin atender a su vigencia o derogación en el momento en que se pronuncia el fallo” (STC 137/2011, FJ 12).</w:t>
      </w:r>
    </w:p>
    <w:p w:rsidR="00A90898" w:rsidRDefault="00A90898" w:rsidP="00A90898">
      <w:pPr>
        <w:pStyle w:val="TextoNormal"/>
      </w:pPr>
    </w:p>
    <w:p w:rsidR="00A90898" w:rsidRDefault="00A90898" w:rsidP="00A90898">
      <w:pPr>
        <w:pStyle w:val="TextoNormal"/>
      </w:pPr>
      <w:r>
        <w:t>Y en cuanto a la tacha competencial denunciada en el proceso, la doctrina de este Tribunal acerca de la pérdida de objeto de los recursos de inconstitucionalidad con contenido competencial es que esta pérdida no se produce cuando la norma impugnada es derogada y sustituida por otra que plantea esencialmente los mismos problemas competenciales. Por ello, en la medida en que el recurso discute la competencia estatal para dictar los preceptos impugnados, la controversia trabada no se ve alterada por su sustitución por otros del mismo tenor literal, por lo que subsiste el interés de un pronunciamiento de este Tribunal Constitucional sobre la titularidad de la competencia discutida (SSTC 40/1998, de 19 de febrero, y 233/1999, de 16 de diciembre).</w:t>
      </w:r>
    </w:p>
    <w:p w:rsidR="00A90898" w:rsidRDefault="00A90898" w:rsidP="00A90898">
      <w:pPr>
        <w:pStyle w:val="TextoNormal"/>
      </w:pPr>
    </w:p>
    <w:p w:rsidR="00A90898" w:rsidRDefault="00A90898" w:rsidP="00A90898">
      <w:pPr>
        <w:pStyle w:val="TextoNormal"/>
      </w:pPr>
      <w:r w:rsidRPr="00A90898">
        <w:rPr>
          <w:rStyle w:val="NumeroAFNegritaCaracter"/>
        </w:rPr>
        <w:t>3</w:t>
      </w:r>
      <w:r>
        <w:t>. Se debe examinar en primer lugar la vulneración del art. 86.1 CE, pues la misma, de ser estimada, haría innecesario el análisis de las restantes infracciones constitucionales denunciadas (STC 125/2016, de 7 de julio, FJ 2).</w:t>
      </w:r>
    </w:p>
    <w:p w:rsidR="00A90898" w:rsidRDefault="00A90898" w:rsidP="00A90898">
      <w:pPr>
        <w:pStyle w:val="TextoNormal"/>
      </w:pPr>
    </w:p>
    <w:p w:rsidR="00A90898" w:rsidRDefault="00A90898" w:rsidP="00A90898">
      <w:pPr>
        <w:pStyle w:val="TextoNormal"/>
      </w:pPr>
      <w:r>
        <w:t>Este primer motivo de recurso ha de ser desestimado en atención a la doctrina fijada para un asunto similar en la STC 199/2015, FJ 6.</w:t>
      </w:r>
    </w:p>
    <w:p w:rsidR="00A90898" w:rsidRDefault="00A90898" w:rsidP="00A90898">
      <w:pPr>
        <w:pStyle w:val="TextoNormal"/>
      </w:pPr>
    </w:p>
    <w:p w:rsidR="00A90898" w:rsidRDefault="00A90898" w:rsidP="00A90898">
      <w:pPr>
        <w:pStyle w:val="TextoNormal"/>
      </w:pPr>
      <w:r>
        <w:t>La Sentencia citada considera que “la individualización de la situación de urgencia se produce y se identifica con la necesidad de maximizar los efectos de una situación económica a la que el Gobierno valora como positiva, tras la crisis precedente. La conexión de sentido, por tanto, se cumple también, al vincularse las medidas al aprovechamiento de los efectos de lo que el Gobierno considera una incipiente recuperación económica”.</w:t>
      </w:r>
    </w:p>
    <w:p w:rsidR="00A90898" w:rsidRDefault="00A90898" w:rsidP="00A90898">
      <w:pPr>
        <w:pStyle w:val="TextoNormal"/>
      </w:pPr>
    </w:p>
    <w:p w:rsidR="00A90898" w:rsidRDefault="00A90898" w:rsidP="00A90898">
      <w:pPr>
        <w:pStyle w:val="TextoNormal"/>
      </w:pPr>
      <w:r>
        <w:t>Específicamente sobre los arts. 4, 5 y 7 se apreció que existía “una justificación del Gobierno, en relación con la concurrencia de una situación de extraordinaria y urgente necesidad, que exige la inmediata entrada en vigor de la medida de liberalización de horarios, ámbito al que ya nos referimos, respecto de su regulación por decreto-ley en la STC 31/2011, de 17 de marzo. El cambio del régimen de horarios comerciales exige, tal y como está planteado, que las Comunidades Autónomas y los municipios competentes procedan a las modificaciones que exige el real decreto-ley en el plazo de entre dos y seis meses, asociando la norma impugnada un automatismo que supone la modificación de la declaración de zonas de gran afluencia turística, de las que dependen los horarios, en caso de inactividad de las Administraciones autonómica y local. Por tanto, y frente a lo expresado por los recurrentes, el Decreto-ley no difiere su entrada en vigor en este punto, sino que exige la inmediata entrada en vigor, que depende de otras Administraciones, apuntando un mecanismo subsidiario de actuación del nuevo modelo, lo que denota la verdadera necesidad de implantarlo y la premura de dicha implantación, en aras, como indican los documentos transcritos, a lograr la reactivación del comercio minorista aprovechando el incremento registrado de afluencia turística”.</w:t>
      </w:r>
    </w:p>
    <w:p w:rsidR="00A90898" w:rsidRDefault="00A90898" w:rsidP="00A90898">
      <w:pPr>
        <w:pStyle w:val="TextoNormal"/>
      </w:pPr>
    </w:p>
    <w:p w:rsidR="00A90898" w:rsidRDefault="00A90898" w:rsidP="00A90898">
      <w:pPr>
        <w:pStyle w:val="TextoNormal"/>
      </w:pPr>
      <w:r>
        <w:t>La justificación anterior llevó a concluir que “Concurren, por tanto, respecto de esta medida, la justificación del presupuesto habilitante y la conexión de sentido” (STC 199/2015, FJ 6). Conclusión a la que debe llegarse también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4</w:t>
      </w:r>
      <w:r>
        <w:t>. Cumple responder ahora al segundo motivo de inconstitucionalidad alegado.</w:t>
      </w:r>
    </w:p>
    <w:p w:rsidR="00A90898" w:rsidRDefault="00A90898" w:rsidP="00A90898">
      <w:pPr>
        <w:pStyle w:val="TextoNormal"/>
      </w:pPr>
    </w:p>
    <w:p w:rsidR="00A90898" w:rsidRDefault="00A90898" w:rsidP="00A90898">
      <w:pPr>
        <w:pStyle w:val="TextoNormal"/>
      </w:pPr>
      <w:r>
        <w:t>El escrito de interposición del recurso considera que el Estado se ha extralimitado en el ejercicio de sus competencias, por cuanto el art. 149.1.13 CE no permite vaciar de contenido una materia más específica, como son los horarios comerciales, pues la normativa básica ha de dejar un espacio normativo suficiente para que las Comunidades Autónomas puedan desarrollar sus competencias normativas y de ejecución, estableciendo una política comercial adaptada a sus peculiaridades. Las normas impugnadas habrían agotado el régimen de horarios comerciales para determinadas partes del territorio al dejar sin margen de modulación al legislador autonómico, en los casos previstos en el Real Decreto-ley, según se ha dicho en los antecedentes de esta sentencia.</w:t>
      </w:r>
    </w:p>
    <w:p w:rsidR="00A90898" w:rsidRDefault="00A90898" w:rsidP="00A90898">
      <w:pPr>
        <w:pStyle w:val="TextoNormal"/>
      </w:pPr>
    </w:p>
    <w:p w:rsidR="00A90898" w:rsidRDefault="00A90898" w:rsidP="00A90898">
      <w:pPr>
        <w:pStyle w:val="TextoNormal"/>
      </w:pPr>
      <w:r>
        <w:t>El Abogado del Estado no comparte dicha opinión según se expone en el antecedente 5.</w:t>
      </w:r>
    </w:p>
    <w:p w:rsidR="00A90898" w:rsidRDefault="00A90898" w:rsidP="00A90898">
      <w:pPr>
        <w:pStyle w:val="TextoNormal"/>
      </w:pPr>
    </w:p>
    <w:p w:rsidR="00A90898" w:rsidRDefault="00A90898" w:rsidP="00A90898">
      <w:pPr>
        <w:pStyle w:val="TextoNormal"/>
      </w:pPr>
      <w:r>
        <w:t>Lo que se plantea es una controversia competencial que, ha de encuadrarse en la materia comercio interior en la que, conforme a nuestra doctrina, se integran los horarios comerciales (por todas, STC 88/2010, de 15 de noviembre, FJ 2). No se trata de una cuestión discutida por las partes comparecidas que han centrado el debate en el alcance que ha de atribuirse a las competencias estatales derivadas del art. 149.1.13 CE en relación con las competencias autonómicas exclusivas en materia de comercio interior atribuidas por el art. 10.1.14 del Estatuto de Autonomía del Principado de Asturias, “sin perjuicio de la política general de precios, de la libre circulación de bienes en el territorio del Estado y de la legislación sobre defensa de la competencia”.</w:t>
      </w:r>
    </w:p>
    <w:p w:rsidR="00A90898" w:rsidRDefault="00A90898" w:rsidP="00A90898">
      <w:pPr>
        <w:pStyle w:val="TextoNormal"/>
      </w:pPr>
    </w:p>
    <w:p w:rsidR="00A90898" w:rsidRDefault="00A90898" w:rsidP="00A90898">
      <w:pPr>
        <w:pStyle w:val="TextoNormal"/>
      </w:pPr>
      <w:r>
        <w:t>Sobre esto último, debe tenerse en cuenta que este Tribunal ha precisado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77/2004, de 29 de abril, FJ 3, y las en ella citadas). En el presente caso, la intervención estatal en la regulación de los horarios comerciales ya ha sido reconocida por nuestra doctrina por su carácter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(STC 88/2010, de 15 de noviembre, FJ 5, reiterado en la STC 26/2012, de 1 de marzo, FJ 7).</w:t>
      </w:r>
    </w:p>
    <w:p w:rsidR="00A90898" w:rsidRDefault="00A90898" w:rsidP="00A90898">
      <w:pPr>
        <w:pStyle w:val="TextoNormal"/>
      </w:pPr>
    </w:p>
    <w:p w:rsidR="00A90898" w:rsidRDefault="00A90898" w:rsidP="00A90898">
      <w:pPr>
        <w:pStyle w:val="TextoNormal"/>
      </w:pPr>
      <w:r>
        <w:t xml:space="preserve">Las normas estatales son básicas desde la perspectiva formal, por cuanto la disposición final primera.3 del Real Decreto-ley 8/2014 afirma que “Los artículos 4, 5 y 7 de este real decreto-ley se dictan al amparo del artículo 149.1.13 de la Constitución que atribuye al Estado la competencia sobre las bases y coordinación de la planificación general de la actividad económica”. En cuanto a su carácter materialmente básico, la Comunidad Autónoma no discute que el art. 149.1.13 CE ampare la regulación estatal en este ámbito, pero cuestiona que, en este caso, el Estado se habría excedido en la definición de las bases al no permitir ulteriores desarrollos autonómicos. Para resolver esta cuestión debe aplicarse la doctrina según la cual “el ámbito de lo básico, desde la perspectiva material, incluye las determinaciones que aseguran un mínimo común normativo en el sector material de que se trate y, con ello, una orientación unitaria y dotada de cierta estabilidad en todo aquello que </w:t>
      </w:r>
      <w:r>
        <w:lastRenderedPageBreak/>
        <w:t>el legislador considera en cada momento aspectos esenciales de dicho sector material” (STC 14/2004, de 13 de febrero, FJ 11, con cita de otras).</w:t>
      </w:r>
    </w:p>
    <w:p w:rsidR="00A90898" w:rsidRDefault="00A90898" w:rsidP="00A90898">
      <w:pPr>
        <w:pStyle w:val="TextoNormal"/>
      </w:pPr>
    </w:p>
    <w:p w:rsidR="00A90898" w:rsidRDefault="00A90898" w:rsidP="00A90898">
      <w:pPr>
        <w:pStyle w:val="TextoNormal"/>
      </w:pPr>
      <w:r w:rsidRPr="00A90898">
        <w:rPr>
          <w:rStyle w:val="NumeroAFNegritaCaracter"/>
        </w:rPr>
        <w:t>5</w:t>
      </w:r>
      <w:r>
        <w:t>. Así planteada la controversia competencial, debe resolverse en primer lugar la relativa al art. 7 del Real Decreto-ley 8/2014, que modifica el régimen sustantivo aplicable a las denominadas zonas de gran afluencia turística, régimen al que se remite el también impugnado art. 4.</w:t>
      </w:r>
    </w:p>
    <w:p w:rsidR="00A90898" w:rsidRDefault="00A90898" w:rsidP="00A90898">
      <w:pPr>
        <w:pStyle w:val="TextoNormal"/>
      </w:pPr>
    </w:p>
    <w:p w:rsidR="00A90898" w:rsidRDefault="00A90898" w:rsidP="00A90898">
      <w:pPr>
        <w:pStyle w:val="TextoNormal"/>
      </w:pPr>
      <w:r>
        <w:t>a) El art. 7 contiene dos apartados. El primero de ellos añade dos nuevos párrafos finales al art. 5.4 de la Ley 1/2004, de 21 de diciembre, de horarios comerciales, según los cuales:</w:t>
      </w:r>
    </w:p>
    <w:p w:rsidR="00A90898" w:rsidRDefault="00A90898" w:rsidP="00A90898">
      <w:pPr>
        <w:pStyle w:val="TextoNormal"/>
      </w:pPr>
    </w:p>
    <w:p w:rsidR="00A90898" w:rsidRDefault="00A90898" w:rsidP="00A90898">
      <w:pPr>
        <w:pStyle w:val="TextoNormal"/>
      </w:pPr>
      <w:r>
        <w:t>“En los supuestos en los que concurran las circunstancias enumeradas y la propuesta de declaración de zona de gran afluencia turística formulada por el Ayuntamiento interesado contenga una limitación de carácter temporal o territorial, deberán justificarse en la propuesta las razones en las que se funda tal limitación temporal o territorial, de acuerdo con los intereses comerciales, turísticos y en beneficio del consumidor. En el caso de que la comunidad autónoma considerase que no está suficientemente justificada esta restricción, se declarará zona de gran afluencia turística la totalidad del municipio todo el año.</w:t>
      </w:r>
    </w:p>
    <w:p w:rsidR="00A90898" w:rsidRDefault="00A90898" w:rsidP="00A90898">
      <w:pPr>
        <w:pStyle w:val="TextoNormal"/>
      </w:pPr>
    </w:p>
    <w:p w:rsidR="00A90898" w:rsidRDefault="00A90898" w:rsidP="00A90898">
      <w:pPr>
        <w:pStyle w:val="TextoNormal"/>
      </w:pPr>
      <w:r>
        <w:t>Si en el plazo que determine su legislación o, en su defecto, en el plazo de seis meses, la Comunidad Autónoma competente no resolviera la solicitud del Ayuntamiento interesado, se entenderá declarada como zona de gran afluencia turística la propuesta por dicho Ayuntamiento.”</w:t>
      </w:r>
    </w:p>
    <w:p w:rsidR="00A90898" w:rsidRDefault="00A90898" w:rsidP="00A90898">
      <w:pPr>
        <w:pStyle w:val="TextoNormal"/>
      </w:pPr>
    </w:p>
    <w:p w:rsidR="00A90898" w:rsidRDefault="00A90898" w:rsidP="00A90898">
      <w:pPr>
        <w:pStyle w:val="TextoNormal"/>
      </w:pPr>
      <w:r>
        <w:t>El art. 5.4 de la Ley de horarios comerciales enumera, “a los efectos de lo establecido en el apartado 1”, las circunstancias que han de concurrir para que las Comunidades Autónomas, a propuesta de los Ayuntamientos correspondientes, determinen las zonas de gran afluencia turística para su respectivo ámbito territorial. Conforme al art. 5.1 de la Ley de horarios comerciales los establecimientos comerciales situados en tales zonas “tendrán plena libertad para determinar los días y horas en que permanecerán abiertos al público en todo el territorio nacional”.</w:t>
      </w:r>
    </w:p>
    <w:p w:rsidR="00A90898" w:rsidRDefault="00A90898" w:rsidP="00A90898">
      <w:pPr>
        <w:pStyle w:val="TextoNormal"/>
      </w:pPr>
    </w:p>
    <w:p w:rsidR="00A90898" w:rsidRDefault="00A90898" w:rsidP="00A90898">
      <w:pPr>
        <w:pStyle w:val="TextoNormal"/>
      </w:pPr>
      <w:r>
        <w:t xml:space="preserve">Sobre dicho art. 5.4 de la Ley de horarios comerciales, en la redacción dada al mismo por el art. 27 del Real Decreto-ley 20/2012, ya se han pronunciado las SSTC 156/2015, FJ 10 y 18/2016, FJ 9 c). En ambas, “hemos considerado que se trata de reglas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sin que las normas sean tan exhaustivas o minuciosas que agoten la regulación de la materia, sino que establecen un </w:t>
      </w:r>
      <w:r w:rsidRPr="00A90898">
        <w:rPr>
          <w:i/>
        </w:rPr>
        <w:t>minimum</w:t>
      </w:r>
      <w:r>
        <w:t xml:space="preserve"> sobre el que la Comunidad Autónoma puede establecer una normativa adicional en el ejercicio de sus competencias” [STC 37/2016, de 3 de marzo, FJ 3 c)]. En efecto, como señaló la citada STC 156/2015, FJ 10, la ley estatal establece un régimen mínimo de regulación en materia de determinación de zonas de gran afluencia turística, pues, con sujeción al mismo, las Comunidades Autónomas pueden, también, añadir otras zonas con dicha calificación, haciendo uso de la circunstancia contenida en la letra g) del apartado 4 que les permite, no sólo de</w:t>
      </w:r>
      <w:r>
        <w:lastRenderedPageBreak/>
        <w:t>terminar las que deban considerarse como tales, teniendo en cuenta las circunstancias enumeradas en las letras a) a f) del apartado 4, sino añadir, también, otras zonas de gran afluencia turística cuando aprecie que concurren circunstancias especiales que así lo justifiquen.</w:t>
      </w:r>
    </w:p>
    <w:p w:rsidR="00A90898" w:rsidRDefault="00A90898" w:rsidP="00A90898">
      <w:pPr>
        <w:pStyle w:val="TextoNormal"/>
      </w:pPr>
    </w:p>
    <w:p w:rsidR="00A90898" w:rsidRDefault="00A90898" w:rsidP="00A90898">
      <w:pPr>
        <w:pStyle w:val="TextoNormal"/>
      </w:pPr>
      <w:r>
        <w:t>La regulación ahora introducida responde a los mismos criterios. La norma impugnada se dirige a delimitar el contenido de la propuesta que ha de formular el Ayuntamiento, estableciendo que la misma ha de expresar las razones en las que se funda tal limitación temporal o territorial de lo que, en caso contrario, supondría la aplicación de un completo régimen de libertad horaria en aplicación del art. 5.1 de la Ley de horarios comerciales. Tales posibles razones guardan relación con el concepto y fines de la zona de gran afluencia turística y se formulan con un elevado grado de generalidad, lo que permite la correspondiente valoración autonómica a la hora de tomar la decisión que le corresponde respecto a la declaración de una zona de gran afluencia turística y, a su vez, determina que puedan ser consideradas básicas, en tanto que también se relacionan con la medida liberalizadora de los horarios comerciales en que consiste la citada declaración.</w:t>
      </w:r>
    </w:p>
    <w:p w:rsidR="00A90898" w:rsidRDefault="00A90898" w:rsidP="00A90898">
      <w:pPr>
        <w:pStyle w:val="TextoNormal"/>
      </w:pPr>
    </w:p>
    <w:p w:rsidR="00A90898" w:rsidRDefault="00A90898" w:rsidP="00A90898">
      <w:pPr>
        <w:pStyle w:val="TextoNormal"/>
      </w:pPr>
      <w:r>
        <w:t>En todo caso, la norma básica determina que la valoración de la concurrencia de las circunstancias alegadas por el Ayuntamiento proponente corresponde a la Comunidad Autónoma. Eso es lo que recuerda el inciso del precepto que señala que si se considera que no está suficientemente justificada esta restricción, se declarará zona de gran afluencia turística la totalidad del municipio todo el año. Decisión que ha de ser interpretada en coherencia con la concurrencia de las circunstancias determinantes de la declaración de una zona de gran afluencia turística, de las que se sigue que, en principio y salvo circunstancia que justifique la limitación, tal declaración abarcaría la totalidad del municipio. No obstante, este recordatorio expreso del régimen aplicable a la declaración de zona de gran afluencia turística no puede ser entendido en un sentido limitativo de las opciones de la Comunidad Autónoma a la hora de adoptar la decisión que le corresponde. Tal interpretación no se ajustaría al esquema diseñado por el propio legislador básico, que parte de la fijación de una serie de criterios, a partir de los cuales y previa la propuesta del Ayuntamiento como regla general, se desarrolla el margen de decisión autonómico. Margen reconocido por el propio art. 5.4 de la Ley de horarios comerciales que afirma que pueden ser consideradas zonas de gran afluencia turística “la totalidad del municipio o parte del mismo” y que, por lo demás, ya había sido destacado por este Tribunal cuando ha tenido ocasión de examinar esta cuestión (así, STC 88/2010, FJ 5; y STC 156/2015, FJ 10). La norma no impide a la Comunidad Autónoma realizar un examen pleno de la propuesta que ha sido sometida a su consideración, de manera que, igual que puede aprobarla en sus propios términos o rechazarla, nada le impide modularla realizando su propia valoración acerca de la posible limitación temporal o territorial a la que alude el penúltimo párrafo del art. 5.4 de la Ley de horarios comerciales. Ello no es sino consecuencia de que, en los términos de la norma básica y como confirma la doctrina de este Tribunal, es a la Comunidad Autónoma a quien corresponde la decisión última en el marco diseñado al efecto por el legislador estatal. No es, por ello, posible un entendimiento en negativo de la norma impugnada que implique perjudicar las competencias de la Comunidad Autónoma al respecto ya que sería contrario a la doctrina según la cual en este ámbito son posibles “desarrollos normativos que, sin detrimento de la eficacia de la norma estatal básica, permitan que cada Comunidad Autónoma pueda establecer sistemas singularizados en materia de apertura de comercios en domingos y festivos y en materia de determinación de las zonas de gran afluencia turística” (STC 156/2015, FJ 10).</w:t>
      </w:r>
    </w:p>
    <w:p w:rsidR="00A90898" w:rsidRDefault="00A90898" w:rsidP="00A90898">
      <w:pPr>
        <w:pStyle w:val="TextoNormal"/>
      </w:pPr>
    </w:p>
    <w:p w:rsidR="00A90898" w:rsidRDefault="00A90898" w:rsidP="00A90898">
      <w:pPr>
        <w:pStyle w:val="TextoNormal"/>
      </w:pPr>
      <w:r>
        <w:lastRenderedPageBreak/>
        <w:t>Tampoco vulnera las competencias autonómicas el último inciso del precepto. Aquí la norma establece simplemente una consecuencia para el caso de falta de ejercicio de las competencias autonómicas en materia de declaración de zonas de gran afluencia turística [en un sentido similar STC 18/2016, FFJJ 9 a) y b), reiterado en STC 119/2016, de 23 de junio, FJ 5 d)], a la par que sirve para regular las relaciones interadministrativas en un campo en el que se entrecruzan los intereses locales y autonómicos, tal como ya hemos apreciado.</w:t>
      </w:r>
    </w:p>
    <w:p w:rsidR="00A90898" w:rsidRDefault="00A90898" w:rsidP="00A90898">
      <w:pPr>
        <w:pStyle w:val="TextoNormal"/>
      </w:pPr>
    </w:p>
    <w:p w:rsidR="00A90898" w:rsidRDefault="00A90898" w:rsidP="00A90898">
      <w:pPr>
        <w:pStyle w:val="TextoNormal"/>
      </w:pPr>
      <w:r>
        <w:t>Consecuentemente, el art. 7.1 del Real Decreto-ley 8/2014 no es contrario al orden constitucional de distribución de competencias.</w:t>
      </w:r>
    </w:p>
    <w:p w:rsidR="00A90898" w:rsidRDefault="00A90898" w:rsidP="00A90898">
      <w:pPr>
        <w:pStyle w:val="TextoNormal"/>
      </w:pPr>
    </w:p>
    <w:p w:rsidR="00A90898" w:rsidRDefault="00A90898" w:rsidP="00A90898">
      <w:pPr>
        <w:pStyle w:val="TextoNormal"/>
      </w:pPr>
      <w:r>
        <w:t>b) El artículo 7.2 modifica el apartado 5 del art. 5 de la Ley de horarios comerciales, el cual queda redactado como sigue:</w:t>
      </w:r>
    </w:p>
    <w:p w:rsidR="00A90898" w:rsidRDefault="00A90898" w:rsidP="00A90898">
      <w:pPr>
        <w:pStyle w:val="TextoNormal"/>
      </w:pPr>
    </w:p>
    <w:p w:rsidR="00A90898" w:rsidRDefault="00A90898" w:rsidP="00A90898">
      <w:pPr>
        <w:pStyle w:val="TextoNormal"/>
      </w:pPr>
      <w:r>
        <w:t>“5. En todo caso, en los municipios con más de 100.000 habitantes que hayan registrado más de 600.000 pernoctaciones en el año inmediatamente anterior o que cuenten con puertos en los que operen cruceros turísticos que hayan recibido en el año inmediato anterior más de 400.000 pasajeros, se declarará, al menos, una zona de gran afluencia turística aplicando los criterios previstos en el apartado anterior. Para la obtención de estos datos estadísticos se considerarán fuentes las publicaciones del Instituto Nacional de Estadística y de Puertos del Estado.</w:t>
      </w:r>
    </w:p>
    <w:p w:rsidR="00A90898" w:rsidRDefault="00A90898" w:rsidP="00A90898">
      <w:pPr>
        <w:pStyle w:val="TextoNormal"/>
      </w:pPr>
    </w:p>
    <w:p w:rsidR="00A90898" w:rsidRDefault="00A90898" w:rsidP="00A90898">
      <w:pPr>
        <w:pStyle w:val="TextoNormal"/>
      </w:pPr>
      <w:r>
        <w:t>Si en el plazo de seis meses a partir de la publicación de estos datos, las Comunidades Autónomas competentes no hubieran declarado alguna zona de gran afluencia turística en el municipio en el que concurran las circunstancias señaladas en el párrafo anterior, se entenderá declarada como tal la totalidad del municipio y los comerciantes dispondrán de plena libertad para la apertura de sus establecimientos durante todo el año.”</w:t>
      </w:r>
    </w:p>
    <w:p w:rsidR="00A90898" w:rsidRDefault="00A90898" w:rsidP="00A90898">
      <w:pPr>
        <w:pStyle w:val="TextoNormal"/>
      </w:pPr>
    </w:p>
    <w:p w:rsidR="00A90898" w:rsidRDefault="00A90898" w:rsidP="00A90898">
      <w:pPr>
        <w:pStyle w:val="TextoNormal"/>
      </w:pPr>
      <w:r>
        <w:t>El art. 5.5 de la Ley de horarios comerciales en la redacción anterior, la del art. 27 del Real Decreto-ley 20/2012, fue examinado en la STC 156/2015, FJ 10, en el que consideramos que “en el caso del apartado 5 del art. 5, se establece que, cuando concurran las circunstancias que el propio apartado prevé (tratarse de municipios con más de 200.000 habitantes que hayan registrado más de 1.000.000 de pernoctaciones en el año inmediatamente anterior o que cuenten con puertos en los que operen cruceros turísticos que hayan recibido en el año inmediato anterior más de 400.000 pasajeros), se declarará al menos una zona de gran afluencia turística, permitiendo, así que las Comunidades Autónomas puedan establecer zonas adicionales aplicando los criterios previstos en el apartado 4 del propio precepto”. Apreciación que nos llevó a concluir que se trataba de criterios para la determinación de las zonas de gran afluencia turística, lo que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Dicha decisión fue posteriormente confirmada por las SSTC 18/2016 y 37/2016.</w:t>
      </w:r>
    </w:p>
    <w:p w:rsidR="00A90898" w:rsidRDefault="00A90898" w:rsidP="00A90898">
      <w:pPr>
        <w:pStyle w:val="TextoNormal"/>
      </w:pPr>
    </w:p>
    <w:p w:rsidR="00A90898" w:rsidRDefault="00A90898" w:rsidP="00A90898">
      <w:pPr>
        <w:pStyle w:val="TextoNormal"/>
      </w:pPr>
      <w:r>
        <w:t xml:space="preserve">Dicha doctrina conduce a la desestimación de la impugnación, pues las razones que allí llevaron a esa decisión son aplicables al precepto impugnado que se ha limitado a modificar, reduciéndolas cuantitativamente, las circunstancias, en forma de umbral de pernoctaciones y de población, que deben tenerse en cuenta para la determinación de las zonas de gran </w:t>
      </w:r>
      <w:r>
        <w:lastRenderedPageBreak/>
        <w:t>afluencia turística, reducción que en nada obsta a que la decisión final sobre las mismas corresponda a la Comunidad Autónoma, ni le priva de margen de actuación, según hemos apreciado en este mismo fundamento jurídico.</w:t>
      </w:r>
    </w:p>
    <w:p w:rsidR="00A90898" w:rsidRDefault="00A90898" w:rsidP="00A90898">
      <w:pPr>
        <w:pStyle w:val="TextoNormal"/>
      </w:pPr>
    </w:p>
    <w:p w:rsidR="00A90898" w:rsidRDefault="00A90898" w:rsidP="00A90898">
      <w:pPr>
        <w:pStyle w:val="TextoNormal"/>
      </w:pPr>
      <w:r>
        <w:t>Igualmente, al segundo inciso del precepto le es predicable la ya mencionada doctrina de la STC 18/2016, FJ 9 a) y b), reiterada en STC 119/2016, de 23 de junio, FJ 5 d). Allí se examinaron las medidas previstas en la norma estatal para el caso de que las Comunidades Autónomas no hicieran uso de las posibilidades de regulación en materia de fijación del horario global semanal y determinación de los domingos y festivos de apertura autorizados. Y se concluyó que se trataba de opciones a disposición de la Comunidad Autónoma para el caso de que decidiera no ejercer las posibilidades de regulación que derivaban de la norma estatal. Eso mismo es lo que sucede en el presente caso en el que la declaración de zona de gran afluencia turística de la totalidad del municipio durante todo el año, con la consecuencia de que los comerciantes dispondrán de plena libertad para la apertura de sus establecimientos, solamente se producirá si la Comunidad Autónoma no decide ejercer sus potestades para determinar temporal y territorialmente cuáles son las zonas de gran afluencia turística.</w:t>
      </w:r>
    </w:p>
    <w:p w:rsidR="00A90898" w:rsidRDefault="00A90898" w:rsidP="00A90898">
      <w:pPr>
        <w:pStyle w:val="TextoNormal"/>
      </w:pPr>
    </w:p>
    <w:p w:rsidR="00A90898" w:rsidRDefault="00A90898" w:rsidP="00A90898">
      <w:pPr>
        <w:pStyle w:val="TextoNormal"/>
      </w:pPr>
      <w:r>
        <w:t>Por tanto, la impugnación del art. 7.2 del Real Decreto-ley 8/2014 debe ser desestimada.</w:t>
      </w:r>
    </w:p>
    <w:p w:rsidR="00A90898" w:rsidRDefault="00A90898" w:rsidP="00A90898">
      <w:pPr>
        <w:pStyle w:val="TextoNormal"/>
      </w:pPr>
    </w:p>
    <w:p w:rsidR="00A90898" w:rsidRDefault="00A90898" w:rsidP="00A90898">
      <w:pPr>
        <w:pStyle w:val="TextoNormal"/>
      </w:pPr>
      <w:r w:rsidRPr="00A90898">
        <w:rPr>
          <w:rStyle w:val="NumeroAFNegritaCaracter"/>
        </w:rPr>
        <w:t>6</w:t>
      </w:r>
      <w:r>
        <w:t>. Resta por examinar el art. 4 del Real Decreto-ley 8/2014, titulado “Declaración de zonas de gran afluencia turística en los municipios que reuniesen en 2013 los requisitos del artículo 5.5 de la Ley 1/2004, de 21 de diciembre, de Horarios Comerciales, en la redacción dada por este real decreto-ley”. Dicho precepto tiene la siguiente redacción:</w:t>
      </w:r>
    </w:p>
    <w:p w:rsidR="00A90898" w:rsidRDefault="00A90898" w:rsidP="00A90898">
      <w:pPr>
        <w:pStyle w:val="TextoNormal"/>
      </w:pPr>
    </w:p>
    <w:p w:rsidR="00A90898" w:rsidRDefault="00A90898" w:rsidP="00A90898">
      <w:pPr>
        <w:pStyle w:val="TextoNormal"/>
      </w:pPr>
      <w:r>
        <w:t>A los efectos de lo establecido en el artículo 5.5 de la Ley 1/2004, de 21 de diciembre, de horarios comerciales, en la redacción dada por este real decreto-ley, son municipios que a la entrada en vigor de este real decreto-ley cumplen con los criterios establecidos para la declaración de zona de gran afluencia turística, los descritos en el anexo I.</w:t>
      </w:r>
    </w:p>
    <w:p w:rsidR="00A90898" w:rsidRDefault="00A90898" w:rsidP="00A90898">
      <w:pPr>
        <w:pStyle w:val="TextoNormal"/>
      </w:pPr>
    </w:p>
    <w:p w:rsidR="00A90898" w:rsidRDefault="00A90898" w:rsidP="00A90898">
      <w:pPr>
        <w:pStyle w:val="TextoNormal"/>
      </w:pPr>
      <w:r>
        <w:t>Si en el plazo de seis meses a partir de la entrada en vigor de este real decreto-ley, las comunidades autónomas competentes no hubiesen declarado ninguna zona de gran afluencia turística en los municipios recogidos en el anexo I, se entenderá declarada como tal la totalidad del municipio y los comerciantes dispondrán de plena libertad para la apertura de sus establecimientos durante todo el año.</w:t>
      </w:r>
    </w:p>
    <w:p w:rsidR="00A90898" w:rsidRDefault="00A90898" w:rsidP="00A90898">
      <w:pPr>
        <w:pStyle w:val="TextoNormal"/>
      </w:pPr>
    </w:p>
    <w:p w:rsidR="00A90898" w:rsidRDefault="00A90898" w:rsidP="00A90898">
      <w:pPr>
        <w:pStyle w:val="TextoNormal"/>
      </w:pPr>
      <w:r>
        <w:t>Ya hemos señalado que el art. 5.5 de la Ley de horarios comerciales regula la declaración de, al menos, una zona de gran afluencia turística en los municipios que cumplan los requisitos de población y pernoctaciones que allí se fijan. Importa advertir que la remisión al art. 5.5 de la Ley de horarios comerciales determina que, conforme a su tenor, en este caso no resulta necesaria la previa propuesta del Ayuntamiento. En esa línea, el art. 4 remite al anexo I, que cual relaciona una serie de municipios respecto a los que se considera que “cumplen con los criterios establecidos para la declaración de zona de gran afluencia turística”, con la consecuencia de que, de no declararse en tales municipios ninguna zona de gran afluencia turística la libertad horaria que lleva implícita tal calificación se aplica a la totalidad del municipio y durante todo el año.</w:t>
      </w:r>
    </w:p>
    <w:p w:rsidR="00A90898" w:rsidRDefault="00A90898" w:rsidP="00A90898">
      <w:pPr>
        <w:pStyle w:val="TextoNormal"/>
      </w:pPr>
    </w:p>
    <w:p w:rsidR="00A90898" w:rsidRDefault="00A90898" w:rsidP="00A90898">
      <w:pPr>
        <w:pStyle w:val="TextoNormal"/>
      </w:pPr>
      <w:r>
        <w:lastRenderedPageBreak/>
        <w:t>La determinación de zonas de gran afluencia turística fue examinada por este Tribunal en la ya citada STC 156/2015, FJ 10, a la que se remite la STC 18/2016, FJ 9 c). En lo que ahora importa, en la primera de ellas se señaló que la norma estatal establecía “un régimen mínimo de regulación en materia de determinación de zonas de gran afluencia turística, pues, con sujeción al mismo las Comunidades Autónomas pueden, también, añadir otras zonas con dicha calificación, haciendo uso de la circunstancia contenida en la letra g) del apartado 4”. Igualmente hemos recogido ya el criterio del Tribunal sobre el art. 5.5 de la Ley de horarios comerciales, en su redacción anterior en cuanto que la exigencia allí establecida permitía “que las Comunidades Autónomas puedan establecer zonas adicionales aplicando los criterios previstos en el apartado 4 del propio precepto”. Eso llevó a concluir que la regulación de las zonas de gran afluencia turística era materialmente básica, por cuanto no suponía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w:t>
      </w:r>
    </w:p>
    <w:p w:rsidR="00A90898" w:rsidRDefault="00A90898" w:rsidP="00A90898">
      <w:pPr>
        <w:pStyle w:val="TextoNormal"/>
      </w:pPr>
    </w:p>
    <w:p w:rsidR="00A90898" w:rsidRDefault="00A90898" w:rsidP="00A90898">
      <w:pPr>
        <w:pStyle w:val="TextoNormal"/>
      </w:pPr>
      <w:r>
        <w:t>En aplicación de dicha doctrina, la STC 18/2016, FJ 9 c) desestimó la impugnación de la disposición adicional undécima y anexo del Real Decreto-ley 20/2012, normas que tenían un contenido materialmente similar al primer párrafo de la disposición que ahora se examina, lo que determina que se deba ahora adoptar la misma decisión.</w:t>
      </w:r>
    </w:p>
    <w:p w:rsidR="00A90898" w:rsidRDefault="00A90898" w:rsidP="00A90898">
      <w:pPr>
        <w:pStyle w:val="TextoNormal"/>
      </w:pPr>
    </w:p>
    <w:p w:rsidR="00A90898" w:rsidRDefault="00A90898" w:rsidP="00A90898">
      <w:pPr>
        <w:pStyle w:val="TextoNormal"/>
      </w:pPr>
      <w:r>
        <w:t>En cuanto al párrafo segundo, procede igualmente su desestimación. Como ya señaló la STC 18/2016, FJ 9.a) y b), y ha reiterado esta sentencia en supuestos similares, regular la plena libertad horaria es una opción a disposición de la Comunidad Autónoma para el caso de que decida no ejercer las posibilidades de regulación que le ofrece la norma estatal, modulando el alcance de la declaración en el sentido de limitar territorial o temporalmente la libertad de apertura que lleva implícita la declaración de la zona de gran afluencia turística.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dieciséis de noviembre de dos mil dieciséis.</w:t>
      </w:r>
    </w:p>
    <w:p w:rsidR="00A90898" w:rsidRDefault="00A90898" w:rsidP="00A90898">
      <w:pPr>
        <w:pStyle w:val="ParrafoNormal"/>
      </w:pPr>
    </w:p>
    <w:p w:rsidR="00A90898" w:rsidRDefault="00A90898" w:rsidP="00A90898">
      <w:pPr>
        <w:pStyle w:val="TextoNormalNegritaCentrado"/>
        <w:keepNext/>
      </w:pPr>
      <w:r>
        <w:lastRenderedPageBreak/>
        <w:t>Voto particular que formulan la Magistrada doña Adela Asua Batarrita y el Magistrado don Fernando Valdés Dal-Ré a la Sentencia dictada en el recurso de inconstitucionalidad núm. 5951-2014.</w:t>
      </w:r>
    </w:p>
    <w:p w:rsidR="00A90898" w:rsidRDefault="00A90898" w:rsidP="00A90898">
      <w:pPr>
        <w:pStyle w:val="TextoNormalNegritaCentrado"/>
        <w:keepNext/>
      </w:pPr>
    </w:p>
    <w:p w:rsidR="00A90898" w:rsidRDefault="00A90898" w:rsidP="00A90898">
      <w:pPr>
        <w:pStyle w:val="TextoNormal"/>
      </w:pPr>
      <w:r>
        <w:t>Con el máximo respeto a la opinión mayoritaria de nuestros compañeros de Pleno en la que se sustenta la Sentencia, manifestamos nuestra discrepancia con su fundamentación jurídica y fallo. Consideramos que hubiera debido ser estimatoria al haberse producido una extralimitación de los presupuestos habilitantes de la extraordinaria y urgente necesidad que para este tipo de normas exige el art. 86.1 CE.</w:t>
      </w:r>
    </w:p>
    <w:p w:rsidR="00A90898" w:rsidRDefault="00A90898" w:rsidP="00A90898">
      <w:pPr>
        <w:pStyle w:val="TextoNormal"/>
      </w:pPr>
    </w:p>
    <w:p w:rsidR="00A90898" w:rsidRDefault="00A90898" w:rsidP="00A90898">
      <w:pPr>
        <w:pStyle w:val="TextoNormal"/>
      </w:pPr>
      <w:r>
        <w:t>Las razones por las que consideramos que, en su conjunto, el Real Decreto-ley 8/2014, de 4 de julio, de aprobación de medidas urgentes para el crecimiento, la competitividad y la eficiencia, excedió con creces de la posición conferida por nuestro sistema constitucional a la legislación de urgencia quedaron puestas de manifiesto en el Voto particular que en su momento formulamos a la STC 199/2015, de 24 de septiembre, al que nos remitimos en su integridad.</w:t>
      </w:r>
    </w:p>
    <w:p w:rsidR="00A90898" w:rsidRDefault="00A90898" w:rsidP="00A90898">
      <w:pPr>
        <w:pStyle w:val="TextoNormal"/>
      </w:pPr>
    </w:p>
    <w:p w:rsidR="00A90898" w:rsidRDefault="00A90898" w:rsidP="00A90898">
      <w:pPr>
        <w:pStyle w:val="TextoNormal"/>
      </w:pPr>
      <w:r>
        <w:t>En aquel momento renunciamos a entrar en la crítica de detalle a la falta de presupuesto habilitante para las numerosas y heterogéneas medidas contenidas en dicha norma de urgencia, por considerar de mayor relevancia poner el foco en el problema general que planteaba una norma de sus desmedidas características. En esta ocasión, a lo allí dicho hemos de añadir que tampoco estamos de acuerdo con la posición mayoritaria en cuanto a la concurrencia del presupuesto habilitante para dictar las específicas medidas ahora impugnadas, concretamente los arts. 4 y 7, recogidos en el capítulo II del título I del Real Decreto-ley 8/2014, rubricado “Comercio minorista y unidad de mercado”, del que se ocupa la STC 199/2015, FJ 6, y del que la resolución de la que ahora discrepamos es tributaria (FJ 3).</w:t>
      </w:r>
    </w:p>
    <w:p w:rsidR="00A90898" w:rsidRDefault="00A90898" w:rsidP="00A90898">
      <w:pPr>
        <w:pStyle w:val="TextoNormal"/>
      </w:pPr>
    </w:p>
    <w:p w:rsidR="00A90898" w:rsidRDefault="00A90898" w:rsidP="00A90898">
      <w:pPr>
        <w:pStyle w:val="TextoNormal"/>
      </w:pPr>
      <w:r>
        <w:t xml:space="preserve">Las modificaciones que los citados arts. 4 y 7 introducen en el régimen de las zonas de gran afluencia turística a efectos de la liberalización de horarios comerciales consisten esencialmente en ampliar los umbrales de población y pernoctaciones determinantes de su declaración como tales zonas de gran afluencia turística y en fijar un plazo de seis meses para que las Comunidades Autónomas apliquen la normativa así modificada, transcurrido el cual se entenderán declaradas como tales zonas de gran afluencia turística el íntegro territorio de los municipios afectados. En nuestra opinión, la mera alteración de los antedichos criterios cuantitativos, unida al muy dilatado plazo previsto para su puesta en práctica, no justifica en modo alguno la concurrencia de las circunstancias de extraordinaria y urgente necesidad que impone el art. 86.1 CE. Las explicaciones que proporcionan la exposición de motivos, el debate de convalidación o el expediente de elaboración de la norma, ampliamente transcritas en el fundamento jurídico 6 de la STC 195/2015 en apoyo de la desestimación de aquella impugnación, pueden dar cuenta de su oportunidad en la coyuntura económica en la que se adoptan, pero no tienen la entidad suficiente para conformar el presupuesto habilitante que dota de sentido constitucional a la legislación de urgencia. Ya la STC 31/2011, de 17 de marzo, se ocupó de una medida de liberalización de horarios comerciales adoptada por decreto-ley, advirtiendo que “aun cuando apreciar si una determinada situación reviste las notas de extraordinaria y urgente necesidad que justifica el establecimiento de una norma por Decreto-ley es una tarea que corresponde, en principio, al Gobierno y para la cual ha de gozar de un razonable margen de discrecionalidad en la apreciación de dicha urgencia, lo </w:t>
      </w:r>
      <w:r>
        <w:lastRenderedPageBreak/>
        <w:t xml:space="preserve">que pudiera conducir a considerar que la flexibilización y liberalización de los horarios comerciales, en tanto que medida de impulso de la economía, pudiera justificar el uso del Decreto-ley, lo cierto es que dicho margen no le autoriza, sin embargo, para incluir en el Decreto-Ley cualquier género de disposiciones” (FJ 6). Y, sin perder de vista que la regulación allí enjuiciada difería de la que ahora nos ocupa, a nuestro juicio lo que entonces se argumentó hubiera debido resultar aplicable, </w:t>
      </w:r>
      <w:r w:rsidRPr="00A90898">
        <w:rPr>
          <w:i/>
        </w:rPr>
        <w:t>mutatis mutandis</w:t>
      </w:r>
      <w:r>
        <w:t>, a la resolución de este recurso de inconstitucionalidad: “la medida fue tomada seis meses antes de que acabara el plazo, teniendo el legislador en su mano el procedimiento legislativo ordinario, ya que, como antes se señaló, dicho plazo no era una fecha ineluctable de finalización de vigencia, lo que hacía que tuviese en sus manos tiempo suficiente para realizar el cambio normativo sobre horarios comerciales que estimase oportuno a través, como se ha dicho, del procedimiento legislativo ordinario sin necesidad de acudir a la vía del Decreto-ley. Junto a ello, y como este Tribunal ya tuvo ocasión de señalar (STC 124/2003, de 19 de junio, FJ 9), los cambios en la regulación aplicable -el horario global semanal, el número de domingos y días festivos en que los comercios podrán abrir al público y los establecimientos comerciales a los que se reconoce un régimen especial de libertad horaria- no resultan de gran relevancia de modo que, aplazada la efectiva implantación de la libertad horaria, no existe un tratamiento novedoso de la materia respecto a la regulación sustantiva a la que las reglas del artículo 43 venían a sustituir. Tampoco, en consecuencia, desde el punto de vista de la necesidad de introducir una innovación normativa efectiva (STC 332/2005, de 15 de diciembre, FJ 7), se aprecia la nota de imprevisibilidad que define la existencia de una necesidad extraordinaria a la que ha de hacerse frente a la misma en un plazo” (FJ 7).</w:t>
      </w:r>
    </w:p>
    <w:p w:rsidR="00A90898" w:rsidRDefault="00A90898" w:rsidP="00A90898">
      <w:pPr>
        <w:pStyle w:val="TextoNormal"/>
      </w:pPr>
    </w:p>
    <w:p w:rsidR="00A90898" w:rsidRDefault="00A90898" w:rsidP="00A90898">
      <w:pPr>
        <w:pStyle w:val="TextoNormal"/>
      </w:pPr>
      <w:r>
        <w:t>Por ello entendemos que la resolución de la que ahora discrepamos es una buena ocasión para insistir en la necesidad de recuperar el rigor exigible en el control de la constitucionalidad de los decretos-leyes, a fin de que no quede difuminada su naturaleza excepcional.</w:t>
      </w:r>
    </w:p>
    <w:p w:rsidR="00A90898" w:rsidRDefault="00A90898" w:rsidP="00A90898">
      <w:pPr>
        <w:pStyle w:val="TextoNormal"/>
      </w:pPr>
    </w:p>
    <w:p w:rsidR="00A90898" w:rsidRDefault="00A90898" w:rsidP="00A90898">
      <w:pPr>
        <w:pStyle w:val="TextoNormal"/>
      </w:pPr>
      <w:r>
        <w:t>Y en este sentido emitimos este Voto particular.</w:t>
      </w:r>
    </w:p>
    <w:p w:rsidR="00A90898" w:rsidRDefault="00A90898" w:rsidP="00A90898">
      <w:pPr>
        <w:pStyle w:val="TextoNormal"/>
      </w:pPr>
    </w:p>
    <w:p w:rsidR="00A90898" w:rsidRDefault="00A90898" w:rsidP="00A90898">
      <w:pPr>
        <w:pStyle w:val="TextoNormal"/>
      </w:pPr>
      <w:r>
        <w:t>Madrid, a dieciséis de noviembre de dos mil dieciséis.</w:t>
      </w:r>
    </w:p>
    <w:p w:rsidR="00A90898" w:rsidRDefault="00A90898" w:rsidP="00A90898">
      <w:pPr>
        <w:pStyle w:val="TextoNormal"/>
      </w:pPr>
    </w:p>
    <w:p w:rsidR="00A90898" w:rsidRDefault="00A90898" w:rsidP="00A90898">
      <w:pPr>
        <w:pStyle w:val="TextoNormalNegritaCentrado"/>
        <w:keepNext/>
      </w:pPr>
      <w:r>
        <w:t>Voto particular que formula el Magistrado don Juan Antonio Xiol Ríos respecto de la Sentencia dictada en el recurso de inconstitucionalidad núm. 5951-2014.</w:t>
      </w:r>
    </w:p>
    <w:p w:rsidR="00A90898" w:rsidRDefault="00A90898" w:rsidP="00A90898">
      <w:pPr>
        <w:pStyle w:val="TextoNormalNegritaCentrado"/>
        <w:keepNext/>
      </w:pPr>
    </w:p>
    <w:p w:rsidR="00A90898" w:rsidRDefault="00A90898" w:rsidP="00A90898">
      <w:pPr>
        <w:pStyle w:val="TextoNormal"/>
      </w:pPr>
      <w:r>
        <w:t>Con el máximo respeto a la opinión mayoritaria de mis compañeros de Pleno en la que se sustenta la Sentencia, manifiesto mi discrepancia con su fundamentación jurídica y con su fallo, que considero que hubiera debido ser estimatorio.</w:t>
      </w:r>
    </w:p>
    <w:p w:rsidR="00A90898" w:rsidRDefault="00A90898" w:rsidP="00A90898">
      <w:pPr>
        <w:pStyle w:val="TextoNormal"/>
      </w:pPr>
    </w:p>
    <w:p w:rsidR="00A90898" w:rsidRDefault="00A90898" w:rsidP="00A90898">
      <w:pPr>
        <w:pStyle w:val="TextoNormal"/>
      </w:pPr>
      <w:r>
        <w:t>La razón de mi discrepancia es coincidente con la que ya fue expuesta en el Voto particular formulado a la STC 199/2015, de 24 de septiembre, al que para evitar reiteraciones innecesarias me remito, en que se defendía que el Real Decreto-ley 8/2014, de 4 de julio, en su conjunto, vulneraba el art. 86.1 CE por haberse producido una extralimitación de los presupuestos habilitantes de la extraordinaria y urgente necesidad exigibles para este tipo de normas.</w:t>
      </w:r>
    </w:p>
    <w:p w:rsidR="00A90898" w:rsidRDefault="00A90898" w:rsidP="00A90898">
      <w:pPr>
        <w:pStyle w:val="TextoNormal"/>
      </w:pPr>
    </w:p>
    <w:p w:rsidR="00A90898" w:rsidRDefault="00A90898" w:rsidP="00A90898">
      <w:pPr>
        <w:pStyle w:val="TextoNormal"/>
      </w:pPr>
      <w:r>
        <w:t>Madrid, a diecisiete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lastRenderedPageBreak/>
        <w:br w:type="page"/>
      </w:r>
    </w:p>
    <w:p w:rsidR="00A90898" w:rsidRDefault="00A90898" w:rsidP="00A90898">
      <w:pPr>
        <w:pStyle w:val="TtuloResolucin"/>
      </w:pPr>
      <w:bookmarkStart w:id="75" w:name="SENTENCIA_2016_196"/>
      <w:r>
        <w:lastRenderedPageBreak/>
        <w:t>SENTENCIA 196/2016, de 28 de noviembre de 2016</w:t>
      </w:r>
    </w:p>
    <w:bookmarkEnd w:id="75"/>
    <w:p w:rsidR="00A90898" w:rsidRDefault="00A90898" w:rsidP="00A90898">
      <w:pPr>
        <w:pStyle w:val="TtuloResolucin"/>
      </w:pPr>
      <w:r>
        <w:t>Sala Segunda</w:t>
      </w:r>
    </w:p>
    <w:p w:rsidR="00A90898" w:rsidRDefault="00A90898" w:rsidP="00A90898">
      <w:pPr>
        <w:pStyle w:val="TtuloBOE"/>
      </w:pPr>
      <w:r>
        <w:t>(BOE núm. 7, de 9 de enero de 2017)</w:t>
      </w:r>
    </w:p>
    <w:p w:rsidR="00A90898" w:rsidRDefault="00A90898" w:rsidP="00A90898">
      <w:pPr>
        <w:pStyle w:val="TextoNormalCentrado"/>
      </w:pPr>
      <w:r>
        <w:t>ECLI:ES:TC:2016:196</w:t>
      </w:r>
    </w:p>
    <w:p w:rsidR="00A90898" w:rsidRDefault="00A90898" w:rsidP="00A90898">
      <w:pPr>
        <w:pStyle w:val="TextoNormalCentrado"/>
      </w:pPr>
    </w:p>
    <w:p w:rsidR="00A90898" w:rsidRDefault="00A90898" w:rsidP="00A90898">
      <w:pPr>
        <w:pStyle w:val="SntesisDescriptiva"/>
      </w:pPr>
      <w:r>
        <w:t>Recurso de amparo 354-2014. Promovido por Endesa, S.A., en relación con la liquidación provisional de las actividades reguladas del sector eléctrico correspondiente al ejercicio de 2012, practicada por la Comisión Nacional de Energía y las Sentencias de las Salas de lo Contencioso-Administrativo de la Audiencia Nacional y del Tribunal Supremo que desestimaron la impugnación contra la misma.</w:t>
      </w:r>
    </w:p>
    <w:p w:rsidR="00A90898" w:rsidRDefault="00A90898" w:rsidP="00A90898">
      <w:pPr>
        <w:pStyle w:val="SntesisDescriptiva"/>
      </w:pPr>
    </w:p>
    <w:p w:rsidR="00A90898" w:rsidRDefault="00A90898" w:rsidP="00A90898">
      <w:pPr>
        <w:pStyle w:val="SntesisAnaltica"/>
      </w:pPr>
      <w:r>
        <w:t>Supuesta vulneración del derecho a la igualdad: préstamo forzoso exigido a las empresas dedicadas principalmente a la producción de energía eléctrica en régimen ordinario y destinado a cubrir desajustes temporales en las liquidaciones de las actividades reguladas (STC 167/2016).</w:t>
      </w:r>
    </w:p>
    <w:p w:rsidR="00A90898" w:rsidRDefault="00A90898" w:rsidP="00A90898">
      <w:pPr>
        <w:pStyle w:val="SntesisAnaltica"/>
      </w:pPr>
    </w:p>
    <w:p w:rsidR="00A90898" w:rsidRDefault="00A90898" w:rsidP="00A90898">
      <w:pPr>
        <w:pStyle w:val="Extracto"/>
      </w:pPr>
      <w:r>
        <w:t>1.</w:t>
      </w:r>
      <w:r>
        <w:tab/>
        <w:t>La cuestión planteada sobre la obligación de contribución en materia de financiación por el sector eléctrico de planes de ahorro y eficiencia energética, y la elección de determinadas empresas para paliar el déficit tarifario es sustancialmente igual a la decidida por la STC 167/2016 [FJ 3].</w:t>
      </w:r>
    </w:p>
    <w:p w:rsidR="00A90898" w:rsidRDefault="00A90898" w:rsidP="00A90898">
      <w:pPr>
        <w:pStyle w:val="Extracto"/>
      </w:pPr>
    </w:p>
    <w:p w:rsidR="00A90898" w:rsidRDefault="00A90898" w:rsidP="00A90898">
      <w:pPr>
        <w:pStyle w:val="Extracto"/>
      </w:pPr>
      <w:r>
        <w:t>2.</w:t>
      </w:r>
      <w:r>
        <w:tab/>
        <w:t>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[FJ 4].</w:t>
      </w:r>
    </w:p>
    <w:p w:rsidR="00A90898" w:rsidRDefault="00A90898" w:rsidP="00A90898">
      <w:pPr>
        <w:pStyle w:val="Extracto"/>
      </w:pPr>
    </w:p>
    <w:p w:rsidR="00A90898" w:rsidRDefault="00A90898" w:rsidP="00A90898">
      <w:pPr>
        <w:pStyle w:val="Extracto"/>
      </w:pPr>
      <w:r>
        <w:t>3.</w:t>
      </w:r>
      <w:r>
        <w:tab/>
        <w:t>Lo que prohíbe el principio de igualdad son las desigualdades que resulten artificiosas o injustificadas por no venir fundadas en criterios objetivos y razonables, según criterios o juicios de valor generalmente aceptados, luego para que sea constitucionalmente lícita la diferencia de trato, las consecuencias jurídicas que se deriven de tal distinción deben ser proporcionadas a la finalidad perseguida, de suerte que se eviten resultados excesivamente gravosos o desmedidos (SSTC 22/1981, 167/2016)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lastRenderedPageBreak/>
        <w:t>SENTENCIA</w:t>
      </w:r>
    </w:p>
    <w:p w:rsidR="00A90898" w:rsidRDefault="00A90898" w:rsidP="00A90898">
      <w:pPr>
        <w:pStyle w:val="TextoNormalCentrado"/>
        <w:keepNext/>
      </w:pPr>
    </w:p>
    <w:p w:rsidR="00A90898" w:rsidRDefault="00A90898" w:rsidP="00A90898">
      <w:pPr>
        <w:pStyle w:val="TextoNormal"/>
      </w:pPr>
      <w:r>
        <w:t>En el recurso de amparo núm. 354-2014, promovido por Endesa, S.A., representada por el Procurador de los Tribunales don Manuel Lanchares Perlado y asistida por los Abogados don Félix Plasencia Sánchez, don José Antonio Rodríguez Álvarez y don Jaime Almenar Belenguer, contra: i) la resolución de la Comisión Nacional de Energía, de 12 de abril de 2012, por la que se practicó la liquidación provisional núm. 2-2012 de las actividades reguladas del sector eléctrico; ii) la Sentencia de la Sala de lo Contencioso-Administrativo de la Audiencia Nacional, de 30 de enero de 2013, por la que se desestimó el recurso contencioso-administrativo núm. 9-2012 interpuesto contra la citada resolución; y iii) la Sentencia de la Sala de lo Contencioso-Administrativo del Tribunal Supremo (Pleno), de 18 de noviembre de 2013, que desestimó el recurso de casación núm. 848-2013 presentado contra la Sentencia de instancia. Han comparecido y formulado alegaciones el Abogado del Estado, el Ministerio Fiscal y la entidad Endesa, S.A.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20 de enero de 2014, el Procurador de los Tribunales don Manuel Lanchares Perlado, en nombre y representación de Endesa, S.A., interpuso un recurso de amparo contra las resoluciones referidas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de amparo son los siguientes:</w:t>
      </w:r>
    </w:p>
    <w:p w:rsidR="00A90898" w:rsidRDefault="00A90898" w:rsidP="00A90898">
      <w:pPr>
        <w:pStyle w:val="TextoNormal"/>
      </w:pPr>
    </w:p>
    <w:p w:rsidR="00A90898" w:rsidRDefault="00A90898" w:rsidP="00A90898">
      <w:pPr>
        <w:pStyle w:val="TextoNormal"/>
      </w:pPr>
      <w:r>
        <w:t>a) Endesa, S.A., interpuso un recurso contencioso-administrativo por el procedimiento especial para la protección de los derechos fundamentales contra la resolución del Consejo de la Comisión Nacional de Energía que aprobó la liquidación provisional núm. 2 de las actividades reguladas del sector eléctrico del ejercicio 2012 (en lo sucesivo, liquidación 2-2012), por la que se establecía una obligación de abono de 93.031.339 € a cargo de Endesa, S.A., en concepto de financiación del déficit de tarifa, conforme a lo previsto en la disposición adicional vigésima primera de la Ley 54/1997, de 27 de noviembre, del sector eléctrico (LSE, en lo que sigue). La demandante sostenía que, al imponer la carga de financiación del déficit de tarifa exclusivamente a las cinco empresas del sector que señala la norma (entre ellas Endesa, S.A.), se lesiona el derecho a la igualdad ante la ley, reconocido por el art. 14 CE.</w:t>
      </w:r>
    </w:p>
    <w:p w:rsidR="00A90898" w:rsidRDefault="00A90898" w:rsidP="00A90898">
      <w:pPr>
        <w:pStyle w:val="TextoNormal"/>
      </w:pPr>
    </w:p>
    <w:p w:rsidR="00A90898" w:rsidRDefault="00A90898" w:rsidP="00A90898">
      <w:pPr>
        <w:pStyle w:val="TextoNormal"/>
      </w:pPr>
      <w:r>
        <w:t>b) Tramitado dicho recurso ante la Sección Cuarta de la Sala de lo Contencioso-Administrativo de la Audiencia Nacional con el núm. 9-2012, fue desestimado por la Sentencia de 30 de enero de 2013, declarando la resolución impugnada ajustada a Derecho, al compartir las razones esgrimidas por la Administración, según la cual la selección de las cinco empresas financiadoras se justificaba en el hecho de haber sido perceptoras en el pasado de los costes de transición a la competencia.</w:t>
      </w:r>
    </w:p>
    <w:p w:rsidR="00A90898" w:rsidRDefault="00A90898" w:rsidP="00A90898">
      <w:pPr>
        <w:pStyle w:val="TextoNormal"/>
      </w:pPr>
    </w:p>
    <w:p w:rsidR="00A90898" w:rsidRDefault="00A90898" w:rsidP="00A90898">
      <w:pPr>
        <w:pStyle w:val="TextoNormal"/>
      </w:pPr>
      <w:r>
        <w:t>c) Contra la referida Sentencia la sociedad mercantil demandante interpuso un recurso de casación (núm. 848-2013), aduciendo la vulneración del art. 14 CE y de los principios de imprescriptibilidad, irrenunciabilidad, indisponibilidad y permanencia de los derechos fundamentales y, en particular, del derecho a la igualdad.</w:t>
      </w:r>
    </w:p>
    <w:p w:rsidR="00A90898" w:rsidRDefault="00A90898" w:rsidP="00A90898">
      <w:pPr>
        <w:pStyle w:val="TextoNormal"/>
      </w:pPr>
    </w:p>
    <w:p w:rsidR="00A90898" w:rsidRDefault="00A90898" w:rsidP="00A90898">
      <w:pPr>
        <w:pStyle w:val="TextoNormal"/>
      </w:pPr>
      <w:r>
        <w:t xml:space="preserve">d) Por Sentencia de 18 de noviembre de 2013 el Pleno de la Sala de lo Contencioso-Administrativo del Tribunal Supremo desestimó el recurso de casación. Acogiendo la argumentación de la Sentencia de instancia, compartida por el Abogado del Estado y el Ministerio Fiscal, la Sala razonó que la obligación impuesta a la recurrente, junto a otras cuatro empresas eléctricas, se fundamentaba en que se trata de operadores dominantes del sector, que fue precisamente el motivo de que se les reconociera en su momento el derecho a percibir la compensación por los costes de transición a la competencia. En contra de lo alegado por la empresa, según la cual la justificación aportada por la Administración y el Ministerio público para la selección de un número determinado de entidades obligadas era fruto de una elaboración </w:t>
      </w:r>
      <w:r w:rsidRPr="00A90898">
        <w:rPr>
          <w:i/>
        </w:rPr>
        <w:t>ex post facto</w:t>
      </w:r>
      <w:r>
        <w:t>, el Tribunal Supremo consideró justificada la decisión del legislador, debido a la posición singular de Endesa, S.A., en el sector eléctrico español y, en particular, en la coincidencia en los porcentajes con los que se benefició de las compensaciones por los costes de transición a la competencia, una vez tenidas en cuenta las operaciones que le llevaron a hacerse con otras empresas que también accedieron en su día a las mismas. A lo anterior la Sala añade que las empresas obligadas no son ajenas a la creación del déficit, que es consecuencia de un sistema del que se han beneficiado; que son grupos de empresas integrados verticalmente, con presencia en todos los subsectores de actividad; y que su singular posición va acompañada de una especial solvencia y capacidad para asumir la obligación impuesta.</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de amparo se fundamenta en un único motivo: la vulneración del derecho de la sociedad demandante a la igualdad de trato sin discriminación (art. 14 CE), achacable a la liquidación 2-2012; ahora bien, como este acto administrativo se dictó en aplicación de la disposición adicional vigésima primera LSE, en la redacción vigente en aquel momento, entiende que la infracción deriva directamente de la inconstitucionalidad de dicha norma legal.</w:t>
      </w:r>
    </w:p>
    <w:p w:rsidR="00A90898" w:rsidRDefault="00A90898" w:rsidP="00A90898">
      <w:pPr>
        <w:pStyle w:val="TextoNormal"/>
      </w:pPr>
    </w:p>
    <w:p w:rsidR="00A90898" w:rsidRDefault="00A90898" w:rsidP="00A90898">
      <w:pPr>
        <w:pStyle w:val="TextoNormal"/>
      </w:pPr>
      <w:r>
        <w:t>La especial trascendencia constitucional del recurso se justifica por la demandante con apoyo en cuatro razones: i) la vulneración del derecho fundamental que se denuncia proviene de la ley, en particular, de la disposición adicional vigésima primera LSE; ii) el asunto suscitado trasciende del caso concreto y plantea una cuestión jurídica de relevante y general repercusión social o económica; iii) el recurso plantea nuevos problemas o facetas de un derecho fundamental susceptible de amparo; y iv) la contradicción de la doctrina que ahora se recurre con la expuesta por la Sentencia del Tribunal Supremo de 7 de febrero de 2012, sobre el “bono social”.</w:t>
      </w:r>
    </w:p>
    <w:p w:rsidR="00A90898" w:rsidRDefault="00A90898" w:rsidP="00A90898">
      <w:pPr>
        <w:pStyle w:val="TextoNormal"/>
      </w:pPr>
    </w:p>
    <w:p w:rsidR="00A90898" w:rsidRDefault="00A90898" w:rsidP="00A90898">
      <w:pPr>
        <w:pStyle w:val="TextoNormal"/>
      </w:pPr>
      <w:r>
        <w:t xml:space="preserve">La demandante de amparo argumenta que la infracción del art. 14 CE se produce porque se impone una obligación extremadamente onerosa a un grupo de empresas de forma singularizada y nominativa, sin que tal selección de destinatarios concretos y no de otros en situación análoga presente una justificación objetiva y razonable. En este sentido, invoca como términos de comparación válidos que demostrarían la discriminación: i) por un lado, el resto de empresas del sector eléctrico, en particular las empresas titulares de activos de régimen especial, porque, a su juicio, si la financiación del déficit no se asume por los presupuestos ni por los ciudadanos, debe recaer sobre el conjunto del sector, y no únicamente sobre las cinco entidades seleccionadas, resultando, además, que las productoras de régimen especial son especialmente responsables, por las primas que reciben, del déficit tarifario; y ii) en segundo lugar, otros sectores empresariales ajenos al eléctrico, ya que el déficit se ha </w:t>
      </w:r>
      <w:r>
        <w:lastRenderedPageBreak/>
        <w:t>producido por una decisión de política económica y su financiación puede hacerse descansar también sobre otros sectores que emplean la electricidad en sus procesos productivos y que se benefician de la contención de la tarifa eléctrica, que está en el origen del déficit.</w:t>
      </w:r>
    </w:p>
    <w:p w:rsidR="00A90898" w:rsidRDefault="00A90898" w:rsidP="00A90898">
      <w:pPr>
        <w:pStyle w:val="TextoNormal"/>
      </w:pPr>
    </w:p>
    <w:p w:rsidR="00A90898" w:rsidRDefault="00A90898" w:rsidP="00A90898">
      <w:pPr>
        <w:pStyle w:val="TextoNormal"/>
      </w:pPr>
      <w:r>
        <w:t>A juicio de la demandante, no hay una justificación que explique la imposición a determinadas empresas de la obligación de financiar el déficit de la tarifa eléctrica. No la hay en la ley, ni en sus antecedentes, y la que se ha aducido por la Administración, aunque acogida por los tribunales que han confirmado la resolución administrativa, no es objetiva ni razonable. En particular, la circunstancia de haber percibido los costes de transición a la competencia no puede fundamentar la obligación analizada, puesto que estos eran una compensación legalmente reconocida por la liberalización del mercado eléctrico y, por tanto, sin relación con déficit de tarifa. En todo caso, esa hipotética relación desapareció en 2005, cuando se empezó a designar nominativamente a las empresas obligadas, y, sin ningún género de dudas, a partir de 2006, puesto que el Real Decreto-ley 7/2006 suprimió el régimen de los costes de transición a la competencia. Tampoco puede admitirse que las obligadas se hayan seleccionado por ser causantes del déficit, pues este es consecuencia de la decisión legislativa de no trasladar a los consumidores el coste real de la energía.</w:t>
      </w:r>
    </w:p>
    <w:p w:rsidR="00A90898" w:rsidRDefault="00A90898" w:rsidP="00A90898">
      <w:pPr>
        <w:pStyle w:val="TextoNormal"/>
      </w:pPr>
    </w:p>
    <w:p w:rsidR="00A90898" w:rsidRDefault="00A90898" w:rsidP="00A90898">
      <w:pPr>
        <w:pStyle w:val="TextoNormal"/>
      </w:pPr>
      <w:r>
        <w:t>La recurrente también estima infundadas el resto de razones aducidas. Así, en cuanto a la condición de operador dominante, afirma que se trata de un concepto legal, que lleva aparejadas determinadas restricciones, pero que no guarda relación alguna con el déficit ni con su financiación, siendo además una condición mutable. En cuanto al hecho de tratarse de un grupo integrado verticalmente, no se comprende por qué razón le cualifica para financiar el déficit frente a otros operadores no integrados. Por último, tampoco el criterio de solvencia es una razón válida, pues en 2011 había 36 empresas productoras de electricidad y solo se elige a cinco, a pesar de que entre el resto hay entidades españolas e internacionales de reconocida solvencia; y en otros subsectores, como el transporte, operan entidades como Red Eléctrica Española, S.A., que cotiza en el IBEX 35, y que también podría haber quedado sujeta a la carga de financiar el déficit.</w:t>
      </w:r>
    </w:p>
    <w:p w:rsidR="00A90898" w:rsidRDefault="00A90898" w:rsidP="00A90898">
      <w:pPr>
        <w:pStyle w:val="TextoNormal"/>
      </w:pPr>
    </w:p>
    <w:p w:rsidR="00A90898" w:rsidRDefault="00A90898" w:rsidP="00A90898">
      <w:pPr>
        <w:pStyle w:val="TextoNormal"/>
      </w:pPr>
      <w:r>
        <w:t>Además, los porcentajes en que resultan obligadas no se corresponden ni con el peso en el sector, ni con su solvencia económica general, prueba de lo cual es que son prácticamente los mismos desde 2005. En particular, el porcentaje exigido a Endesa, S.A. es absolutamente desproporcionado en relación con su peso en el mercado, sin que tampoco se pueda justificar por participación en los costes de transición a la competencia puesto que el último porcentaje de reparto de estos atribuía a la entidad una cuota del 47,12 por 100, mientras que su porcentaje de financiación del déficit asciende al 44,16 por 100. En definitiva, según la empresa, todas las razones aducidas son un “puro ejercicio de voluntarismo”.</w:t>
      </w:r>
    </w:p>
    <w:p w:rsidR="00A90898" w:rsidRDefault="00A90898" w:rsidP="00A90898">
      <w:pPr>
        <w:pStyle w:val="TextoNormal"/>
      </w:pPr>
    </w:p>
    <w:p w:rsidR="00A90898" w:rsidRDefault="00A90898" w:rsidP="00A90898">
      <w:pPr>
        <w:pStyle w:val="TextoNormal"/>
      </w:pPr>
      <w:r>
        <w:t xml:space="preserve">La recurrente en amparo añade a lo anterior que su derecho a la igualdad también debe interpretarse a la luz del ordenamiento comunitario, con arreglo al cual la imposición de la carga de financiar el déficit es una obligación de servicio público de la Directiva 2009/72 (art. 3.2), lo que impide otorgar un trato diferenciado en situaciones comparables. Al hilo de este enfoque comunitario, abunda en el argumento de que la percepción de los costes de transición a la competencia en el pasado no puede fundamentar la imposición de esta obligación para el futuro. Agrega que la carga se impone a empresas como Gas Natural SDG, S.A., que no percibió costes de transición a la competencia, y, por contra, no se exige a Elcogás, S.A., que sí los cobró. Por último, alega que lo razonable en todo caso habría sido </w:t>
      </w:r>
      <w:r>
        <w:lastRenderedPageBreak/>
        <w:t>que el importe de la carga hubiera estado limitado a la cuantía de los costes de transición a la competencia recibidos.</w:t>
      </w:r>
    </w:p>
    <w:p w:rsidR="00A90898" w:rsidRDefault="00A90898" w:rsidP="00A90898">
      <w:pPr>
        <w:pStyle w:val="TextoNormal"/>
      </w:pPr>
    </w:p>
    <w:p w:rsidR="00A90898" w:rsidRDefault="00A90898" w:rsidP="00A90898">
      <w:pPr>
        <w:pStyle w:val="TextoNormal"/>
      </w:pPr>
      <w:r>
        <w:t>En conclusión, ni aisladamente ni en su conjunto, las razones expuestas sirven para justificar la desigualdad de trato, por todo lo cual solicita que se anule la liquidación 2-2012 impugnada y se reconozca vulnerado el art. 14 CE, previa elevación de la cuestión al Pleno, con base en lo dispuesto en el art. 55.2 de la Ley Orgánica del Tribunal Constitucional (LOTC) y planteando, en caso de que el Tribunal considerara dudosa la interpretación del principio comunitario de igualdad de trato, una cuestión prejudicial de conformidad con el art. 267 Tratado de funcionamiento de la Unión Europea.</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6 de noviembre de 2014 la Sala Segunda de este Tribunal acordó la admisión a trámite del recurso de amparo por lo que, a tenor de lo dispuesto en el art. 51 LOTC, ordenó requerir atentamente al Pleno de la Sala de lo Contencioso-Administrativo del Tribunal Supremo y a la Sección Cuarta de la Sala de lo Contencioso-Administrativo de la Audiencia Nacional para que en el plazo de diez días remitieran, respectivamente, certificación o copia adverada de las actuaciones correspondientes al recurso de casación núm. 848-2013 y al recurso contencioso-administrativo núm. 9-2012, tramitado por el procedimiento especial para la protección de los derechos fundamentales, interesándose al propio tiempo el emplazamiento de quienes hubieran sido parte en ese procedimiento, excepto la parte recurrente en amparo, para que en el plazo de diez días pudieran comparecer, si lo deseaban, en 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Por diligencia de ordenación del Secretario de Justicia de la Sección Tercera de la Sala Segunda de 26 de diciembre de 2014 se tuvo por personado y parte al Abogado del Estado y a los Procuradores doña Pilar Irribarren Cavalle en nombre y representación de Gas Natural SDG, S.A., y don Carlos Mairata Laviña en nombre y representación de Hidroeléctrica del Cantábrico, S.A. Asimismo, se tuvieron por recibidos los testimonios de las actuaciones remitidos por los correspondientes órganos judiciales y se procedió, conforme a lo establecido en el art. 52.1 LOTC, a dar vista de las actuaciones por plazo común de veinte días a las partes y al Ministerio Fiscal, para que presentaran las alegaciones que estimasen pertinentes.</w:t>
      </w:r>
    </w:p>
    <w:p w:rsidR="00A90898" w:rsidRDefault="00A90898" w:rsidP="00A90898">
      <w:pPr>
        <w:pStyle w:val="TextoNormal"/>
      </w:pPr>
    </w:p>
    <w:p w:rsidR="00A90898" w:rsidRDefault="00A90898" w:rsidP="00A90898">
      <w:pPr>
        <w:pStyle w:val="TextoNormal"/>
      </w:pPr>
      <w:r w:rsidRPr="00A90898">
        <w:rPr>
          <w:rStyle w:val="NumeroAFNegritaCaracter"/>
        </w:rPr>
        <w:t>6</w:t>
      </w:r>
      <w:r>
        <w:t>. La representación procesal de Endesa, S.A., presentó su escrito de alegaciones en este Tribunal el 29 de enero de 2015, ratificándose en las alegaciones formuladas en su escrito de demanda.</w:t>
      </w:r>
    </w:p>
    <w:p w:rsidR="00A90898" w:rsidRDefault="00A90898" w:rsidP="00A90898">
      <w:pPr>
        <w:pStyle w:val="TextoNormal"/>
      </w:pPr>
    </w:p>
    <w:p w:rsidR="00A90898" w:rsidRDefault="00A90898" w:rsidP="00A90898">
      <w:pPr>
        <w:pStyle w:val="TextoNormal"/>
      </w:pPr>
      <w:r w:rsidRPr="00A90898">
        <w:rPr>
          <w:rStyle w:val="NumeroAFNegritaCaracter"/>
        </w:rPr>
        <w:t>7</w:t>
      </w:r>
      <w:r>
        <w:t>. El Abogado del Estado dio cumplimiento al trámite de alegaciones conferido mediante escrito registrado en este Tribunal también el 29 de enero de 2015, por el que solicita que se desestime el recurso de amparo, por las razones que a continuación se sintetizan.</w:t>
      </w:r>
    </w:p>
    <w:p w:rsidR="00A90898" w:rsidRDefault="00A90898" w:rsidP="00A90898">
      <w:pPr>
        <w:pStyle w:val="TextoNormal"/>
      </w:pPr>
    </w:p>
    <w:p w:rsidR="00A90898" w:rsidRDefault="00A90898" w:rsidP="00A90898">
      <w:pPr>
        <w:pStyle w:val="TextoNormal"/>
      </w:pPr>
      <w:r>
        <w:t xml:space="preserve">El representante de la Administración del Estado comienza señalando que, aunque la demandante critica la Sentencia impugnada por irracional y arbitraria, no invoca el art. 24.1 CE, lo que pone en evidencia que, a pesar de su argumentación, simplemente la considera no correcta, pero no carente de racionalidad. Y, tras recordar que las personas jurídicas son también titulares de derechos fundamentales y, en particular, del derecho a la igualdad del </w:t>
      </w:r>
      <w:r>
        <w:lastRenderedPageBreak/>
        <w:t>art. 14 CE, matiza que, no obstante, existe una diferencia de intensidad en relación con las personas físicas.</w:t>
      </w:r>
    </w:p>
    <w:p w:rsidR="00A90898" w:rsidRDefault="00A90898" w:rsidP="00A90898">
      <w:pPr>
        <w:pStyle w:val="TextoNormal"/>
      </w:pPr>
    </w:p>
    <w:p w:rsidR="00A90898" w:rsidRDefault="00A90898" w:rsidP="00A90898">
      <w:pPr>
        <w:pStyle w:val="TextoNormal"/>
      </w:pPr>
      <w:r>
        <w:t>A continuación, entra a valorar los términos de comparación ofrecidos por la recurrente, como elemento esencial para apreciar la vulneración del principio de igualdad, no sin antes recordar que la Administración ha negado la existencia de tales términos, tanto en el proceso ante la Audiencia Nacional como en la casación ante el Tribunal Supremo. En este sentido, considera que la apelación al resto de empresas de otros sectores económicos es una alegación genérica, que la doctrina constitucional niega como válida; en cuanto a las empresas eléctricas de régimen especial, alega que con su invocación la demandante está realmente criticando la opción legislativa sobre la financiación del déficit, pero sin recoger un término de comparación, a lo que añade que, desde 2010, la carga de reestructuración del sector eléctrico ha recaído de manera intensa en las empresas sujetas al régimen especial; de igual modo, entiende que la referencia al resto de empresas del sector eléctrico es genérica, sin concretar una situación singular equiparable a la de la demandante (empresa dominante, que cobró costes de transición a la competencia y es actor principal del sector eléctrico nacional).</w:t>
      </w:r>
    </w:p>
    <w:p w:rsidR="00A90898" w:rsidRDefault="00A90898" w:rsidP="00A90898">
      <w:pPr>
        <w:pStyle w:val="TextoNormal"/>
      </w:pPr>
    </w:p>
    <w:p w:rsidR="00A90898" w:rsidRDefault="00A90898" w:rsidP="00A90898">
      <w:pPr>
        <w:pStyle w:val="TextoNormal"/>
      </w:pPr>
      <w:r>
        <w:t>Sostiene el Abogado del Estado que, a falta de un término válido de comparación, el juicio de igualdad se ha de llevar a cabo desde la perspectiva de la interdicción de la arbitrariedad. Y en este punto recuerda que nos encontramos ante una norma con rango legal, que goza de presunción de constitucionalidad, de acuerdo con la doctrina constitucional que cita. En este sentido, la medida enjuiciada debe enmarcarse en un entorno de grave crisis económica que obligó a dictar numerosos reales decretos-leyes para hacer frente al creciente déficit tarifario.</w:t>
      </w:r>
    </w:p>
    <w:p w:rsidR="00A90898" w:rsidRDefault="00A90898" w:rsidP="00A90898">
      <w:pPr>
        <w:pStyle w:val="TextoNormal"/>
      </w:pPr>
    </w:p>
    <w:p w:rsidR="00A90898" w:rsidRDefault="00A90898" w:rsidP="00A90898">
      <w:pPr>
        <w:pStyle w:val="TextoNormal"/>
      </w:pPr>
      <w:r>
        <w:t>Para argumentar la justificación objetiva y razonable de la medida controvertida, se remite a la posición mantenida por la Abogacía del Estado ante la Audiencia Nacional y el Tribunal Supremo, que ha sido acogida por ambos tribunales, por lo que no cabe sino insistir en el razonamiento de la Sentencia del Pleno de la Sala de lo Contencioso-Administrativo de 18 de noviembre de 2013, aquí impugnada, y en los rasgos de Endesa, S.A., y de las otras cuatro obligadas que la Sentencia identifica como distintivos, sin olvidar, como hace el Tribunal Supremo, que “aunque el legislador hubiera podido optar por otra forma de afrontarlo [el déficit de tarifa]”, la decisión política plasmada en la disposición adicional vigésima primera LSE descansa en unos hechos indubitados.</w:t>
      </w:r>
    </w:p>
    <w:p w:rsidR="00A90898" w:rsidRDefault="00A90898" w:rsidP="00A90898">
      <w:pPr>
        <w:pStyle w:val="TextoNormal"/>
      </w:pPr>
    </w:p>
    <w:p w:rsidR="00A90898" w:rsidRDefault="00A90898" w:rsidP="00A90898">
      <w:pPr>
        <w:pStyle w:val="TextoNormal"/>
      </w:pPr>
      <w:r>
        <w:t>Por lo que se refiere a la invocación del derecho comunitario y a la calificación de la obligación impuesta como una obligación de servicio público a los efectos del art. 3.2 de la Directiva 2009/72, recuerda que el Tribunal Constitucional ha declarado reiteradamente que las cuestiones de aplicación del Derecho comunitario corresponden a los tribunales ordinarios, valorando esta aplicación solo desde la perspectiva del art. 24.1 CE, como se refleja en la STC 145/2012. Por tanto, el Tribunal solo podría cuestionar la Sentencia impugnada desde el punto de vista del Derecho de la Unión Europea si su razonamiento hubiera incurrido en arbitrariedad o irracionalidad, lo que no es el caso.</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El Ministerio Fiscal presentó el 6 de febrero de 2015 su escrito de alegaciones en el que, tras exponer los antecedentes del asunto, analiza el contenido de la vulneración constitucional denunciada por la sociedad demandante de amparo, que debe enmarcarse en el </w:t>
      </w:r>
      <w:r>
        <w:lastRenderedPageBreak/>
        <w:t>art. 43 LOTC, puesto que se causó originariamente por un acto de la Administración, que las Sentencias impugnadas no han hecho sino confirmar.</w:t>
      </w:r>
    </w:p>
    <w:p w:rsidR="00A90898" w:rsidRDefault="00A90898" w:rsidP="00A90898">
      <w:pPr>
        <w:pStyle w:val="TextoNormal"/>
      </w:pPr>
    </w:p>
    <w:p w:rsidR="00A90898" w:rsidRDefault="00A90898" w:rsidP="00A90898">
      <w:pPr>
        <w:pStyle w:val="TextoNormal"/>
      </w:pPr>
      <w:r>
        <w:t>Tras reproducir el tenor literal de la disposición adicional vigésima primera LSE y traer a colación la doctrina constitucional sobre el principio de igualdad, se centra en los dos términos de comparación invocados por la recurrente en amparo, a saber: i) las demás empresas que operan en el sector eléctrico; y ii) las empresas que actúan en otros sectores económicos distintos del eléctrico. Comienza rechazando de plano el segundo de los términos propuestos, pues no es posible aceptar que empresas cuya actividad es ajena a este sector puedan considerarse iguales u homogéneas a la recurrente. En cuanto a las restantes empresas eléctricas, la demanda no acredita la identidad de situación con Endesa, S.A., siendo así que, por ejemplo y por lo que concierne a las productoras eléctricas de régimen especial, estas ya han sido objeto de otras medidas legales encaminadas a superar el déficit estructural del sistema.</w:t>
      </w:r>
    </w:p>
    <w:p w:rsidR="00A90898" w:rsidRDefault="00A90898" w:rsidP="00A90898">
      <w:pPr>
        <w:pStyle w:val="TextoNormal"/>
      </w:pPr>
    </w:p>
    <w:p w:rsidR="00A90898" w:rsidRDefault="00A90898" w:rsidP="00A90898">
      <w:pPr>
        <w:pStyle w:val="TextoNormal"/>
      </w:pPr>
      <w:r>
        <w:t>A continuación, la Fiscal pone de manifiesto, con cita de la STC 49/2008, que no es exigible al legislador que incorpore a la norma la explicación de los motivos tenidos en cuenta para su aprobación, siempre que estos se puedan identificar. Y examina, a renglón seguido, la justificación de la medida, encuadrándola previamente en el contexto de la regulación del mercado eléctrico y, en concreto, del reconocimiento de los costes de transición a la competencia. Así, enfatiza la conexión directa que existió en un primer momento entre la percepción de estos derechos y la obligación de cubrir el déficit, vínculo que quedó implícito en la regulación posterior, materializada en la redacción dada a la disposición adicional vigésima primera LSE por el Real Decreto-ley 6/2010, de 9 de abril, aplicable al caso enjuiciado. Añade que las diferencias entre el listado original de obligados y porcentajes y los recogidos en la disposición adicional vigésima primera LSE se explican por las operaciones societarias llevadas a cabo entre las empresas del sector.</w:t>
      </w:r>
    </w:p>
    <w:p w:rsidR="00A90898" w:rsidRDefault="00A90898" w:rsidP="00A90898">
      <w:pPr>
        <w:pStyle w:val="TextoNormal"/>
      </w:pPr>
    </w:p>
    <w:p w:rsidR="00A90898" w:rsidRDefault="00A90898" w:rsidP="00A90898">
      <w:pPr>
        <w:pStyle w:val="TextoNormal"/>
      </w:pPr>
      <w:r>
        <w:t xml:space="preserve">Partiendo de lo anterior, la Fiscal aborda las razones aducidas por la Administración para justificar la imposición de la carga controvertida, y que el Tribunal Supremo hace suyas. Descarta, en primer lugar, que sean factores elaborados </w:t>
      </w:r>
      <w:r w:rsidRPr="00A90898">
        <w:rPr>
          <w:i/>
        </w:rPr>
        <w:t>ex novo</w:t>
      </w:r>
      <w:r>
        <w:t>, sino que derivan de datos reales y objetivos, que resultan de la propia sucesión de las normas reguladoras del sector eléctrico, particularmente de las referidas a la percepción de los costes de transición a la competencia. La condición de beneficiaria de estas compensaciones sirve como justificación objetiva aun habiéndose suprimido este régimen, debido a las retribuciones adicionales obtenidas por la recurrente y el resto de empresas obligadas. Y, al igual que en el régimen de los costes de transición a la competencia, la obligación de financiación se impone a las sociedades matrices de cada grupo empresarial, lo que ratifica la conexión entre ambas normativas. Además, este factor de singularización y el resto de los indicados deben valorarse en su conjunto, y no de forma aislada, como pretende la recurrente.</w:t>
      </w:r>
    </w:p>
    <w:p w:rsidR="00A90898" w:rsidRDefault="00A90898" w:rsidP="00A90898">
      <w:pPr>
        <w:pStyle w:val="TextoNormal"/>
      </w:pPr>
    </w:p>
    <w:p w:rsidR="00A90898" w:rsidRDefault="00A90898" w:rsidP="00A90898">
      <w:pPr>
        <w:pStyle w:val="TextoNormal"/>
      </w:pPr>
      <w:r>
        <w:t xml:space="preserve">Por lo que concierne a la proporcionalidad de la medida, el Ministerio público destaca que no se trata de una obligación de pago definitiva, sino de un empréstito forzoso, con derecho a reembolso y al abono de un interés de mercado, pudiéndose además movilizar el préstamo mediante su titulización. No niega la Fiscal que el legislador pudiera haber optado por un sistema de financiación distinto e igualmente razonable, pero la decisión adoptada se enmarca en el margen de configuración que le corresponde. Y, en cuanto a la proporcionalidad de los porcentajes, la demandante no identifica el término de comparación con el </w:t>
      </w:r>
      <w:r>
        <w:lastRenderedPageBreak/>
        <w:t>que el porcentaje exigido daría lugar a una discriminación, debiendo reiterarse que las posibles diferencias entre los aplicados a los costes de transición a la competencia y los previstos en la disposición adicional vigésima primera LSE se deben a los procesos de reestructuración empresarial llevados a cabo. Es llamativa —puntualiza—, la referencia que hace la demandante a que el último porcentaje que le fue asignado en los costes de transición a la competencia fue el 47,12 por 100 mientras que la parte de déficit que se le imputa es de 44,16 por 100 (de lo que cabría colegir que en términos relativos ha sido mayor el beneficio derivado de las compensaciones que la carga de financiación reclamada). Y concluye, con base en lo expuesto, que existe una justificación objetiva, razonable y proporcionada del trato desigual.</w:t>
      </w:r>
    </w:p>
    <w:p w:rsidR="00A90898" w:rsidRDefault="00A90898" w:rsidP="00A90898">
      <w:pPr>
        <w:pStyle w:val="TextoNormal"/>
      </w:pPr>
    </w:p>
    <w:p w:rsidR="00A90898" w:rsidRDefault="00A90898" w:rsidP="00A90898">
      <w:pPr>
        <w:pStyle w:val="TextoNormal"/>
      </w:pPr>
      <w:r>
        <w:t>Termina su escrito el Ministerio Fiscal refiriéndose a la invocación del Derecho de la Unión Europea que hace la demanda, recordando que no puede considerarse un canon autónomo de constitucionalidad, para negar, a continuación, que nos hallemos ante una obligación de servicio público en el sentido de la Directiva 2009/72 sino ante una prestación patrimonial pública no tributaria de las previstas en el art. 31.3 CE, por lo que no cabe invocar la Sentencia del Tribunal Supremo de 7 de febrero de 2012 referida al “bono social”.</w:t>
      </w:r>
    </w:p>
    <w:p w:rsidR="00A90898" w:rsidRDefault="00A90898" w:rsidP="00A90898">
      <w:pPr>
        <w:pStyle w:val="TextoNormal"/>
      </w:pPr>
    </w:p>
    <w:p w:rsidR="00A90898" w:rsidRDefault="00A90898" w:rsidP="00A90898">
      <w:pPr>
        <w:pStyle w:val="TextoNormal"/>
      </w:pPr>
      <w:r>
        <w:t>Por todo lo expuesto, concluye interesando que, sin acceder a la solicitud de la demandante de que se eleve la decisión al Pleno, con base en el art. 55.2 LOTC, ni de que se plantee una cuestión prejudicial ante el Tratado de funcionamiento de la Unión Europea, se dicte Sentencia por la que se desestime el recurso de amparo interpuesto por la citada entidad.</w:t>
      </w:r>
    </w:p>
    <w:p w:rsidR="00A90898" w:rsidRDefault="00A90898" w:rsidP="00A90898">
      <w:pPr>
        <w:pStyle w:val="TextoNormal"/>
      </w:pPr>
    </w:p>
    <w:p w:rsidR="00A90898" w:rsidRDefault="00A90898" w:rsidP="00A90898">
      <w:pPr>
        <w:pStyle w:val="TextoNormal"/>
      </w:pPr>
      <w:r w:rsidRPr="00A90898">
        <w:rPr>
          <w:rStyle w:val="NumeroAFNegritaCaracter"/>
        </w:rPr>
        <w:t>9</w:t>
      </w:r>
      <w:r>
        <w:t>. Mediante providencia de 29 de febrero de 2016 la Sala Segunda de este Tribunal acordó conceder a las partes personadas y al Ministerio Fiscal un plazo común de diez días, con arreglo a lo dispuesto en el art. 84 LOTC, para alegar lo que estimaran pertinente sobre la eventual pérdida de objeto del recurso de amparo.</w:t>
      </w:r>
    </w:p>
    <w:p w:rsidR="00A90898" w:rsidRDefault="00A90898" w:rsidP="00A90898">
      <w:pPr>
        <w:pStyle w:val="TextoNormal"/>
      </w:pPr>
    </w:p>
    <w:p w:rsidR="00A90898" w:rsidRDefault="00A90898" w:rsidP="00A90898">
      <w:pPr>
        <w:pStyle w:val="TextoNormal"/>
      </w:pPr>
      <w:r>
        <w:t>Evacuando el trámite conferido, mediante escrito de 28 de marzo de 2016, el Abogado del Estado manifestó que coincidía con la pérdida de objeto del recurso, al haberse satisfecho la cantidad exigida a la recurrente, tal y como se acreditaba con la documentación que aportaba de la que se desprendía que la entidad recuperó las cantidades aportadas en el propio ejercicio 2012, por lo que no se devengaron intereses.</w:t>
      </w:r>
    </w:p>
    <w:p w:rsidR="00A90898" w:rsidRDefault="00A90898" w:rsidP="00A90898">
      <w:pPr>
        <w:pStyle w:val="TextoNormal"/>
      </w:pPr>
    </w:p>
    <w:p w:rsidR="00A90898" w:rsidRDefault="00A90898" w:rsidP="00A90898">
      <w:pPr>
        <w:pStyle w:val="TextoNormal"/>
      </w:pPr>
      <w:r>
        <w:t>Por su parte, Endesa, S.A., se manifestó en contra de la pérdida de objeto, por medio de un escrito registrado el 29 de marzo de 2016, en el que argumentaba que, si bien había recuperado las cantidades anticipadas, no se había producido la reparación de los derechos vulnerados ni la satisfacción de los perjuicios soportados como consecuencia del préstamo forzoso exigido.</w:t>
      </w:r>
    </w:p>
    <w:p w:rsidR="00A90898" w:rsidRDefault="00A90898" w:rsidP="00A90898">
      <w:pPr>
        <w:pStyle w:val="TextoNormal"/>
      </w:pPr>
    </w:p>
    <w:p w:rsidR="00A90898" w:rsidRDefault="00A90898" w:rsidP="00A90898">
      <w:pPr>
        <w:pStyle w:val="TextoNormal"/>
      </w:pPr>
      <w:r w:rsidRPr="00A90898">
        <w:rPr>
          <w:rStyle w:val="NumeroAFNegritaCaracter"/>
        </w:rPr>
        <w:t>10</w:t>
      </w:r>
      <w:r>
        <w:t>. Por el Auto 97/2016, de 4 de mayo, la Sala Segunda acordó estimar justificada la causa de abstención formulada por el Magistrado don Ricardo Enríquez Sancho, apartándole definitivamente del conocimiento del presente recurso y de todas sus incidencias.</w:t>
      </w:r>
    </w:p>
    <w:p w:rsidR="00A90898" w:rsidRDefault="00A90898" w:rsidP="00A90898">
      <w:pPr>
        <w:pStyle w:val="TextoNormal"/>
      </w:pPr>
    </w:p>
    <w:p w:rsidR="00A90898" w:rsidRDefault="00A90898" w:rsidP="00A90898">
      <w:pPr>
        <w:pStyle w:val="TextoNormal"/>
      </w:pPr>
      <w:r w:rsidRPr="00A90898">
        <w:rPr>
          <w:rStyle w:val="NumeroAFNegritaCaracter"/>
        </w:rPr>
        <w:t>11</w:t>
      </w:r>
      <w:r>
        <w:t xml:space="preserve">. Mediante el Auto de la Sala Segunda 100/2016, de 9 de mayo, se declaró que la efectiva recuperación de las cantidades anticipadas al sistema eléctrico no permitía concluir </w:t>
      </w:r>
      <w:r>
        <w:lastRenderedPageBreak/>
        <w:t>que el recurso de amparo hubiera perdido su objeto, puesto que lo solicitado por la recurrente era que se declarase inconstitucional la obligación que se le impuso, no el reconocimiento de su derecho a recuperar el préstamo forzoso realizado, que es inherente a tal figura y que, por otra parte, no resultaba controvertido; a lo que se añadía que la entidad recurrente había alegado que, como consecuencia del préstamo forzoso que le fue exigido, había experimentado una serie de perjuicios, cuya indemnización pretendía reclamar. Por todo lo cual, se acordó que el recurso no había perdido su objeto.</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22 de noviembre de 2016, se acordó señalar para deliberación y votación de la presente Sentencia el día 28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objeto del presente recurso de amparo es determinar si la resolución del Consejo de la Comisión Nacional de Energía que aprobó la liquidación 2-2012, de las actividades reguladas del sector eléctrico del ejercicio 2012, así como las resoluciones judiciales que la han confirmado, han vulnerado el derecho de Endesa, S.A., a la igualdad (art. 14 CE), en la medida en que la sociedad ha sido designada de forma nominativa para cubrir en un determinado porcentaje el denominado “déficit de tarifa”, sin que resulte justificado que se le imponga esta carga a ella y no a otras empresas que se encuentran, a su juicio, en una situación comparable.</w:t>
      </w:r>
    </w:p>
    <w:p w:rsidR="00A90898" w:rsidRDefault="00A90898" w:rsidP="00A90898">
      <w:pPr>
        <w:pStyle w:val="TextoNormal"/>
      </w:pPr>
    </w:p>
    <w:p w:rsidR="00A90898" w:rsidRDefault="00A90898" w:rsidP="00A90898">
      <w:pPr>
        <w:pStyle w:val="TextoNormal"/>
      </w:pPr>
      <w:r>
        <w:t>Tanto la Abogacía del Estado como el Ministerio Fiscal interesan la desestimación del amparo, puesto que la norma con base en la cual se dicta la resolución administrativa se fundamenta en la situación singular de la demandante: empresa dominante, que cobró costes de transición a la competencia y es actor principal del sector eléctrico nacional, lo que constituye una justificación objetiva y razonable a efectos del art. 14 CE.</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comparecidas ha puesto en duda la especial trascendencia constitucional de este recurso, que es requisito para su admisión de conformidad con el art. 50.1 b) de la Ley Orgánica del Tribunal Constitucional (LOTC) y, por consiguiente, de orden público procesal (entre otras, STC 113/2012, de 24 de mayo, FJ 2, y las allí citadas), exigencias de certeza y buena administración de justicia (STEDH de 20 de enero de 2015, caso </w:t>
      </w:r>
      <w:r w:rsidRPr="00A90898">
        <w:rPr>
          <w:i/>
        </w:rPr>
        <w:t>Arribas Antón c. España</w:t>
      </w:r>
      <w:r>
        <w:t>, § 46) obligan a explicitar el cumplimiento del mismo para hacer así recognoscibles los criterios empleados al efecto por este Tribunal.</w:t>
      </w:r>
    </w:p>
    <w:p w:rsidR="00A90898" w:rsidRDefault="00A90898" w:rsidP="00A90898">
      <w:pPr>
        <w:pStyle w:val="TextoNormal"/>
      </w:pPr>
    </w:p>
    <w:p w:rsidR="00A90898" w:rsidRDefault="00A90898" w:rsidP="00A90898">
      <w:pPr>
        <w:pStyle w:val="TextoNormal"/>
      </w:pPr>
      <w:r>
        <w:t>La demandante de amparo alega varias razones por las que el recurso revestiría la especial trascendencia constitucional exigible, entre ellas, que la vulneración denunciada proviene de la ley, que es uno de los supuestos específicamente contemplados en el fundamento jurídico 2 c), de nuestra STC 155/2009, de 25 de junio (que “la vulneración del derecho fundamental que se denuncia provenga de la ley o de otra disposición de carácter general”).</w:t>
      </w:r>
    </w:p>
    <w:p w:rsidR="00A90898" w:rsidRDefault="00A90898" w:rsidP="00A90898">
      <w:pPr>
        <w:pStyle w:val="TextoNormal"/>
      </w:pPr>
    </w:p>
    <w:p w:rsidR="00A90898" w:rsidRDefault="00A90898" w:rsidP="00A90898">
      <w:pPr>
        <w:pStyle w:val="TextoNormal"/>
      </w:pPr>
      <w:r>
        <w:t xml:space="preserve">En efecto, es una cuestión no controvertida que la liquidación impugnada se ha dictado en estricto cumplimiento de lo previsto en la disposición adicional vigésima primera de la Ley 54/1997, de 27 de noviembre, del sector eléctrico (LSE), por lo que la vulneración del art. 14 CE en que hubiera podido incurrir el acto administrativo derivaría directa y necesariamente de la citada norma legal, que es, cabalmente, el supuesto a que se refiere la STC </w:t>
      </w:r>
      <w:r>
        <w:lastRenderedPageBreak/>
        <w:t>155/2009, FJ 2 c). Por consiguiente, el recurso reviste, efectivamente, la especial trascendencia constitucional.</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Entrando en el fondo del recurso, debemos comenzar recordando que la disposición adicional vigésima primera LSE, bajo el encabezamiento “Suficiencia de los peajes de acceso y desajustes de ingresos de las actividades reguladas del sector eléctrico”, establece un método para financiar los posibles desajustes en las liquidaciones de las actividades reguladas, lo que comúnmente se viene conociendo como “déficit de tarifa”, entendido en sentido amplio como la diferencia entre los costes del sistema eléctrico y los ingresos obtenidos a partir de los precios regulados por el Estado. Pues bien, en la redacción aplicable </w:t>
      </w:r>
      <w:r w:rsidRPr="00A90898">
        <w:rPr>
          <w:i/>
        </w:rPr>
        <w:t>ratione temporis</w:t>
      </w:r>
      <w:r>
        <w:t xml:space="preserve"> (dada por el Real Decreto-ley 6/2010, de 9 de abril), la citada norma dispone en su apartado 2 (referido a la cobertura de los desajustes hasta 1 de enero de 2013, que es lo relevante, puesto que se analiza una liquidación correspondiente a 2012), en lo que ahora estrictamente interesa, lo siguiente:</w:t>
      </w:r>
    </w:p>
    <w:p w:rsidR="00A90898" w:rsidRDefault="00A90898" w:rsidP="00A90898">
      <w:pPr>
        <w:pStyle w:val="TextoNormal"/>
      </w:pPr>
    </w:p>
    <w:p w:rsidR="00A90898" w:rsidRDefault="00A90898" w:rsidP="00A90898">
      <w:pPr>
        <w:pStyle w:val="TextoNormal"/>
      </w:pPr>
      <w:r>
        <w:t>“Cuando por la aparición de desajustes temporales, el fondo acumulado en la cuenta específica a que se refiere el Real Decreto 2017/1997, de 26 de diciembre, abierta en régimen de depósito arrojara un saldo negativo, éste será liquidado por la Comisión Nacional de Energía en las liquidaciones mensuales aplicando los siguientes porcentajes de reparto:</w:t>
      </w:r>
    </w:p>
    <w:p w:rsidR="00A90898" w:rsidRDefault="00A90898" w:rsidP="00A90898">
      <w:pPr>
        <w:pStyle w:val="TextoNormal"/>
      </w:pPr>
    </w:p>
    <w:p w:rsidR="00A90898" w:rsidRDefault="00A90898" w:rsidP="00A90898">
      <w:pPr>
        <w:pStyle w:val="TextoNormal"/>
      </w:pPr>
      <w:r>
        <w:t>....................EMPRESA................................PORCENTAJE</w:t>
      </w:r>
    </w:p>
    <w:p w:rsidR="00A90898" w:rsidRDefault="00A90898" w:rsidP="00A90898">
      <w:pPr>
        <w:pStyle w:val="TextoNormal"/>
      </w:pPr>
    </w:p>
    <w:p w:rsidR="00A90898" w:rsidRDefault="00A90898" w:rsidP="00A90898">
      <w:pPr>
        <w:pStyle w:val="TextoNormal"/>
      </w:pPr>
      <w:r>
        <w:t>..........Iberdrola S.A. ………….................... 35,01 por ciento</w:t>
      </w:r>
    </w:p>
    <w:p w:rsidR="00A90898" w:rsidRDefault="00A90898" w:rsidP="00A90898">
      <w:pPr>
        <w:pStyle w:val="TextoNormal"/>
      </w:pPr>
    </w:p>
    <w:p w:rsidR="00A90898" w:rsidRDefault="00A90898" w:rsidP="00A90898">
      <w:pPr>
        <w:pStyle w:val="TextoNormal"/>
      </w:pPr>
      <w:r>
        <w:t>..........Hidroeléctrica del Cantábrico, S.A....... 6,08 por ciento</w:t>
      </w:r>
    </w:p>
    <w:p w:rsidR="00A90898" w:rsidRDefault="00A90898" w:rsidP="00A90898">
      <w:pPr>
        <w:pStyle w:val="TextoNormal"/>
      </w:pPr>
    </w:p>
    <w:p w:rsidR="00A90898" w:rsidRDefault="00A90898" w:rsidP="00A90898">
      <w:pPr>
        <w:pStyle w:val="TextoNormal"/>
      </w:pPr>
      <w:r>
        <w:t>..........Endesa S.A. ………….......................  44,16 por ciento</w:t>
      </w:r>
    </w:p>
    <w:p w:rsidR="00A90898" w:rsidRDefault="00A90898" w:rsidP="00A90898">
      <w:pPr>
        <w:pStyle w:val="TextoNormal"/>
      </w:pPr>
    </w:p>
    <w:p w:rsidR="00A90898" w:rsidRDefault="00A90898" w:rsidP="00A90898">
      <w:pPr>
        <w:pStyle w:val="TextoNormal"/>
      </w:pPr>
      <w:r>
        <w:t>..........EON España, S.L. …............................  1,00 por ciento</w:t>
      </w:r>
    </w:p>
    <w:p w:rsidR="00A90898" w:rsidRDefault="00A90898" w:rsidP="00A90898">
      <w:pPr>
        <w:pStyle w:val="TextoNormal"/>
      </w:pPr>
    </w:p>
    <w:p w:rsidR="00A90898" w:rsidRDefault="00A90898" w:rsidP="00A90898">
      <w:pPr>
        <w:pStyle w:val="TextoNormal"/>
      </w:pPr>
      <w:r>
        <w:t>..........GAS Natural S.D.G, S.A..................... 13,75 por ciento</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Estos porcentajes de reparto podrán ser modificados por real decreto, cuando se produzcan desinversiones significativas que afecten a las empresas en la actividad de distribución, cuando se produzcan cambios estructurales sustanciales en la actividad de generación que así lo justifiquen o como consecuencia de inversiones o desinversiones significativas en activos de generación.</w:t>
      </w:r>
    </w:p>
    <w:p w:rsidR="00A90898" w:rsidRDefault="00A90898" w:rsidP="00A90898">
      <w:pPr>
        <w:pStyle w:val="TextoNormal"/>
      </w:pPr>
    </w:p>
    <w:p w:rsidR="00A90898" w:rsidRDefault="00A90898" w:rsidP="00A90898">
      <w:pPr>
        <w:pStyle w:val="TextoNormal"/>
      </w:pPr>
      <w:r>
        <w:t>Las empresas tendrán derecho a recuperar las aportaciones por este concepto en las 14 liquidaciones correspondientes al periodo en que se modifiquen las tarifas de acceso para el reconocimiento de dicho desajuste temporal. Las cantidades aportadas por este concepto serán devueltas reconociéndose un tipo de interés en condiciones equivalentes a las del mercado que se fijará en la orden por la que se aprueban los peajes.”</w:t>
      </w:r>
    </w:p>
    <w:p w:rsidR="00A90898" w:rsidRDefault="00A90898" w:rsidP="00A90898">
      <w:pPr>
        <w:pStyle w:val="TextoNormal"/>
      </w:pPr>
    </w:p>
    <w:p w:rsidR="00A90898" w:rsidRDefault="00A90898" w:rsidP="00A90898">
      <w:pPr>
        <w:pStyle w:val="TextoNormal"/>
      </w:pPr>
      <w:r>
        <w:t xml:space="preserve">Todas las partes coinciden en calificar la obligación impuesta a las cinco entidades relacionadas como una “prestación patrimonial de carácter público” que hemos caracterizado </w:t>
      </w:r>
      <w:r>
        <w:lastRenderedPageBreak/>
        <w:t>como aquellas impuestas coactivamente, esto es,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(SSTC 185/1995, de 14 de diciembre, FJ 3; 182/1997, de 28 de octubre, FJ 15; 233/1999, de 16 de diciembre, FJ 33; 83/2014, de 29 de mayo, FJ 3, y 167/2016, de 6 de octubre, FJ 4).</w:t>
      </w:r>
    </w:p>
    <w:p w:rsidR="00A90898" w:rsidRDefault="00A90898" w:rsidP="00A90898">
      <w:pPr>
        <w:pStyle w:val="TextoNormal"/>
      </w:pPr>
    </w:p>
    <w:p w:rsidR="00A90898" w:rsidRDefault="00A90898" w:rsidP="00A90898">
      <w:pPr>
        <w:pStyle w:val="TextoNormal"/>
      </w:pPr>
      <w:r>
        <w:t>En particular, la prestación impuesta consiste en un préstamo forzoso, en virtud del cual las mencionadas compañías deben efectuar un desembolso, que se cuantifica aplicando los porcentajes de reparto establecidos al saldo negativo de la cuenta de liquidación de los costes e ingresos regulados del sistema, teniendo “derecho a recuperar las aportaciones por este concepto … [que] serán devueltas reconociéndose un tipo de interés en condiciones equivalentes a las del mercado que se fijará en la orden por la que se aprueban los peajes”, tal y como disponen el apartado 2, último párrafo, y el apartado 5 de la disposición adicional vigésima primera LSE. El apartado 5, párrafo primero, de la citada norma añade que “[l]os déficit del sistema de liquidaciones eléctrico generarán derechos de cobro consistentes en el derecho a percibir un importe de la facturación mensual por peajes de acceso de los años sucesivos hasta su satisfacción” y que tales derechos de cobro “se podrán ceder a un fondo de titulización que se constituirá a estos efectos y se denominará Fondo de Titulización del Déficit del Sistema Eléctrico”. De hecho, en el incidente abierto sobre la posible pérdida sobrevenida del objeto de este proceso el Abogado del Estado acreditó que los derechos de cobro de la liquidación 2-2012 habían sido cedidos al citado fondo, por lo que la entidad recurrente ya había recuperado su importe.</w:t>
      </w:r>
    </w:p>
    <w:p w:rsidR="00A90898" w:rsidRDefault="00A90898" w:rsidP="00A90898">
      <w:pPr>
        <w:pStyle w:val="TextoNormal"/>
      </w:pPr>
    </w:p>
    <w:p w:rsidR="00A90898" w:rsidRDefault="00A90898" w:rsidP="00A90898">
      <w:pPr>
        <w:pStyle w:val="TextoNormal"/>
      </w:pPr>
      <w:r>
        <w:t>Pues bien, en nuestra reciente STC 167/2016, de 6 de octubre, mediante la que se ha resuelto la cuestión de inconstitucionalidad núm. 6599-2013, referida a la disposición adicional tercera del Real Decreto-ley 14/2010, de 23 de diciembre, por el que se establecen medidas urgentes para la corrección del déficit tarifario del sector eléctrico, hemos analizado la obligación impuesta a 11 compañías generadoras de electricidad de asumir, en un determinado porcentaje, el coste de los planes de ahorro y eficiencia energética de los años 2011, 2012 y 2013. Dicha norma es similar a la que aquí resulta controvertida, tanto por su naturaleza (una prestación patrimonial de carácter público no tributaria), como por sus destinatarios (un número determinado de empresas del sector eléctrico), su carácter temporal y el contexto normativo en que se enmarca (la adopción de medidas para afrontar el déficit de la tarifa eléctrica), diferenciándose tan solo por el contenido de tal prestación, pues la prevista en el Real Decreto-ley 14/2010 es una contribución definitiva, mientras que la disposición adicional vigésima primera LSE regula un préstamo al sistema eléctrico y, por consiguiente, con derecho de reembolso.</w:t>
      </w:r>
    </w:p>
    <w:p w:rsidR="00A90898" w:rsidRDefault="00A90898" w:rsidP="00A90898">
      <w:pPr>
        <w:pStyle w:val="TextoNormal"/>
      </w:pPr>
    </w:p>
    <w:p w:rsidR="00A90898" w:rsidRDefault="00A90898" w:rsidP="00A90898">
      <w:pPr>
        <w:pStyle w:val="TextoNormal"/>
      </w:pPr>
      <w:r>
        <w:t xml:space="preserve">Al igual que la obligación examinada en la STC 167/2016, la carga de anticipar unas cantidades para equilibrar el desajuste entre los costes e ingresos regulados debe situarse en el marco de la relación económica que los sujetos obligados mantienen con el Estado dentro de un sector necesaria e intensamente regulado como el eléctrico, </w:t>
      </w:r>
      <w:r w:rsidRPr="00A90898">
        <w:rPr>
          <w:i/>
        </w:rPr>
        <w:t>status</w:t>
      </w:r>
      <w:r>
        <w:t xml:space="preserve"> del que pueden surgir tanto derechos como cargas que asumir. A este equilibrio entre derechos y cargas también nos hemos referido al analizar otras actividades reguladas, como en la STC 83/2014, de 29 de mayo, en la que declaramos ajustada a la Constitución la deducción sobre </w:t>
      </w:r>
      <w:r>
        <w:lastRenderedPageBreak/>
        <w:t>la facturación mensual de las oficinas de farmacia introducida por el Real Decreto-ley 5/2000, de 23 de junio.</w:t>
      </w:r>
    </w:p>
    <w:p w:rsidR="00A90898" w:rsidRDefault="00A90898" w:rsidP="00A90898">
      <w:pPr>
        <w:pStyle w:val="TextoNormal"/>
      </w:pPr>
    </w:p>
    <w:p w:rsidR="00A90898" w:rsidRDefault="00A90898" w:rsidP="00A90898">
      <w:pPr>
        <w:pStyle w:val="TextoNormal"/>
      </w:pPr>
      <w:r>
        <w:t xml:space="preserve">Junto a la similitud entre la disposición adicional tercera del Real Decreto-ley 14/2010 y la disposición adicional vigésima primera LSE, interesa destacar que en la STC 167/2016 nuestro análisis se ha enfocado también desde el canon del art. 14 CE, por lo que, sin perder de vista la distinta naturaleza y efectos de cada proceso constitucional, las circunstancias aquí concurrentes hacen extensible, </w:t>
      </w:r>
      <w:r w:rsidRPr="00A90898">
        <w:rPr>
          <w:i/>
        </w:rPr>
        <w:t>mutatis mutandis</w:t>
      </w:r>
      <w:r>
        <w:t>, el razonamiento contenido en dicha Sentencia al juicio de igualdad que debemos abordar en el presente proceso de amparo.</w:t>
      </w:r>
    </w:p>
    <w:p w:rsidR="00A90898" w:rsidRDefault="00A90898" w:rsidP="00A90898">
      <w:pPr>
        <w:pStyle w:val="TextoNormal"/>
      </w:pPr>
    </w:p>
    <w:p w:rsidR="00A90898" w:rsidRDefault="00A90898" w:rsidP="00A90898">
      <w:pPr>
        <w:pStyle w:val="TextoNormal"/>
      </w:pPr>
      <w:r w:rsidRPr="00A90898">
        <w:rPr>
          <w:rStyle w:val="NumeroAFNegritaCaracter"/>
        </w:rPr>
        <w:t>4</w:t>
      </w:r>
      <w:r>
        <w:t>. A partir de lo anterior, procede recordar que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luego para que sea constitucionalmente lícita la diferencia de trato, las consecuencias jurídicas que se deriven de tal distinción deben ser proporcionadas a la finalidad perseguida, de suerte que se eviten resultados excesivamente gravosos o desmedidos (entre muchas otras, SSTC 22/1981, de 2 de julio, FJ 3; 255/2004, de 23 de diciembre, FJ 4; 10/2005, de 20 de enero, FJ 5; 295/2006, de 11 de octubre, FJ 5; 83/2014, de 29 de mayo, FJ 7, y 167/2016, FJ 5).</w:t>
      </w:r>
    </w:p>
    <w:p w:rsidR="00A90898" w:rsidRDefault="00A90898" w:rsidP="00A90898">
      <w:pPr>
        <w:pStyle w:val="TextoNormal"/>
      </w:pPr>
    </w:p>
    <w:p w:rsidR="00A90898" w:rsidRDefault="00A90898" w:rsidP="00A90898">
      <w:pPr>
        <w:pStyle w:val="TextoNormal"/>
      </w:pPr>
      <w:r>
        <w:t>Conforme a nuestra doctrina sobre el art. 14 CE recién sintetizada, y comoquiera que lo propio del juicio de igualdad es su carácter relacional (por todas, STC 71/2016, de 14 de abril, FJ 3), para comprobar si la disposición adicional vigésima primera LSE observa dicho precepto, es preciso, en primer lugar, concretar si las situaciones que se pretenden comparar son iguales (juicio de comparabilidad); en segundo término, y una vez razonado que las situaciones son comparables, si concurre una finalidad objetiva y razonable que legitime el trato desigual de esas situaciones (juicio de razonabilidad, en clave de legitimidad y funcionalidad para el fin perseguido); y, por último, si las consecuencias jurídicas a que conduce la disparidad de trato son razonables, por existir una relación de proporcionalidad entre el medio empleado y la finalidad perseguida, evitando resultados especialmente gravosos o desmedidos (juicio de proporcionalidad).</w:t>
      </w:r>
    </w:p>
    <w:p w:rsidR="00A90898" w:rsidRDefault="00A90898" w:rsidP="00A90898">
      <w:pPr>
        <w:pStyle w:val="TextoNormal"/>
      </w:pPr>
    </w:p>
    <w:p w:rsidR="00A90898" w:rsidRDefault="00A90898" w:rsidP="00A90898">
      <w:pPr>
        <w:pStyle w:val="TextoNormal"/>
      </w:pPr>
      <w:r>
        <w:t xml:space="preserve">El </w:t>
      </w:r>
      <w:r w:rsidRPr="00A90898">
        <w:rPr>
          <w:i/>
        </w:rPr>
        <w:t>iter</w:t>
      </w:r>
      <w:r>
        <w:t xml:space="preserve"> valorativo apuntado debe partir de la premisa, no discutida por las partes que han comparecido en este proceso, de que las cinco entidades incluidas en la norma que se juzga son —considerando las operaciones de concentración producidas y los subsiguientes cambios de denominación— los operadores tradicionales del mercado eléctrico español. Fueron estos operadores (entre ellos, la recurrente), que habían estado desarrollando su actividad bajo el denominado “marco legal estable”, los que, ante la necesidad de adaptar el ordenamiento español a la Directiva 96/92/CE, sobre normas comunes para el mercado interior de la electricidad, impulsaron a través de la “Asociación Española de la Industria Eléctrica”, junto con el Ministerio de Industria y Energía, el “Protocolo para el establecimiento de una nueva regulación del sistema eléctrico nacional” suscrito el 11 de diciembre de 1996, y que precedió a la Ley del sector eléctrico de 27 de noviembre de 1997. Esta ley avanzó en la liberalización del sector para su adaptación al Derecho de la Unión Europea, proceso en el </w:t>
      </w:r>
      <w:r>
        <w:lastRenderedPageBreak/>
        <w:t>marco del cual se reconoció a tales operadores el derecho a percibir los costes de transición a la competencia, según el régimen incorporado a la disposición transitoria sexta de la ley. La exposición de motivos de la Ley del sector eléctrico (norma que estuvo en vigor, aun con múltiples modificaciones, hasta su sustitución por la Ley 24/2013, de 26 de diciembre) resalta la importancia del referido acuerdo y de sus firmantes, cuando afirma: “El citado Protocolo, carente de la eficacia normativa de toda norma general, supuso la concreción de un diseño complejo y global de transición de un sistema intervenido y burocratizado a un sistema más libre de funcionamiento del sector. Supuso, asimismo, el acuerdo con los principales agentes económicos de la industria sobre una profunda modificación del sistema retributivo hasta ahora vigente y sobre el escalonamiento progresivo de las distintas etapas conducentes a la liberalización del mercado. El Protocolo se configuró, en definitiva, para que, considerado en toda su extensión, fuese elemento inspirador de un profundo proceso de cambio”.</w:t>
      </w:r>
    </w:p>
    <w:p w:rsidR="00A90898" w:rsidRDefault="00A90898" w:rsidP="00A90898">
      <w:pPr>
        <w:pStyle w:val="TextoNormal"/>
      </w:pPr>
    </w:p>
    <w:p w:rsidR="00A90898" w:rsidRDefault="00A90898" w:rsidP="00A90898">
      <w:pPr>
        <w:pStyle w:val="TextoNormal"/>
      </w:pPr>
      <w:r>
        <w:t>Es evidente que la obligación de financiar el déficit tarifario que se exige a las empresas mencionadas en la disposición adicional vigésima primera LSE entraña una diferencia de tratamiento frente a otros sujetos. Ahora bien, para valorar una posible transgresión del art. 14 CE es preciso dilucidar antes si tales sujetos constituyen un término válido de comparación respecto de las sociedades afectadas por la prestación. En este sentido, los términos de comparación propuestos por la demandante son: a) las empresas que operan en otros sectores de actividad económica; y b) las empresas del sector eléctrico que operan en otros subsectores, como el transporte, así como el resto de empresas generadoras aparte de las cinco obligadas.</w:t>
      </w:r>
    </w:p>
    <w:p w:rsidR="00A90898" w:rsidRDefault="00A90898" w:rsidP="00A90898">
      <w:pPr>
        <w:pStyle w:val="TextoNormal"/>
      </w:pPr>
    </w:p>
    <w:p w:rsidR="00A90898" w:rsidRDefault="00A90898" w:rsidP="00A90898">
      <w:pPr>
        <w:pStyle w:val="TextoNormal"/>
      </w:pPr>
      <w:r>
        <w:t xml:space="preserve">a) La comparación con las empresas de otros sectores económicos debe rechazarse </w:t>
      </w:r>
      <w:r w:rsidRPr="00A90898">
        <w:rPr>
          <w:i/>
        </w:rPr>
        <w:t>a limine</w:t>
      </w:r>
      <w:r>
        <w:t>, toda vez que la disposición adicional vigésima primera LSE es una norma propia de la regulación del sector eléctrico que hace frente a un problema específico del mismo, como es el desajuste entre sus ingresos y gastos regulados. Tal y como hemos indicado en la STC 167/2016, FJ 3, “el margen de configuración del legislador debe comprender la posibilidad de disponer, con base en criterios técnicos, económicos y de oportunidad, qué costes se imputan al sistema eléctrico (en última instancia, a los consumidores, que deberán hacer frente a ellos, antes o después), a las empresas del sector o de un subsector en particular, y a los presupuestos generales del Estado, es decir, tomar la decisión política sobre la distribución del esfuerzo necesario para contener el déficit de tarifa”, conclusión que en tal pronunciamiento predicamos de las medidas para reducir el déficit, pero que es plenamente aplicable a la financiación del existente. No corresponde a este Tribunal valorar desde un punto de vista político o técnico el acierto de una determinada medida encaminada a reducir el déficit, como era la disposición adicional tercera del Real Decreto-ley 14/2010, o a financiar el ya producido, caso de la disposición adicional vigésima primera LSE, pero parece indiscutible que los operadores de otros sectores económicos no se hallan en una situación comparable a la de las empresas seleccionadas por la norma en cuestión, ya que estas actúan en un sector fuertemente intervenido como el eléctrico, con sujeción a un régimen definido de derechos y cargas, definido en la Ley del sector eléctrico y en la normativa de desarrollo, que no las sitúa en una posición asimilable, a los efectos que aquí importan, a la de otros ámbitos de la actividad económica.</w:t>
      </w:r>
    </w:p>
    <w:p w:rsidR="00A90898" w:rsidRDefault="00A90898" w:rsidP="00A90898">
      <w:pPr>
        <w:pStyle w:val="TextoNormal"/>
      </w:pPr>
    </w:p>
    <w:p w:rsidR="00A90898" w:rsidRDefault="00A90898" w:rsidP="00A90898">
      <w:pPr>
        <w:pStyle w:val="TextoNormal"/>
      </w:pPr>
      <w:r>
        <w:t xml:space="preserve">b) Sugiere también Endesa, S.A., la comparación con otras empresas del sector eléctrico, ya sea la transportista (Red Eléctrica de España, S.A.), ya sean otras generadoras aparte de </w:t>
      </w:r>
      <w:r>
        <w:lastRenderedPageBreak/>
        <w:t>las cinco empresas financiadoras, aludiendo, sobre todo, a las titulares de instalaciones de régimen especial, perceptoras de primas que han contribuido al incremento del déficit, pese a lo cual han resultado excluidas de la carga impuesta.</w:t>
      </w:r>
    </w:p>
    <w:p w:rsidR="00A90898" w:rsidRDefault="00A90898" w:rsidP="00A90898">
      <w:pPr>
        <w:pStyle w:val="TextoNormal"/>
      </w:pPr>
    </w:p>
    <w:p w:rsidR="00A90898" w:rsidRDefault="00A90898" w:rsidP="00A90898">
      <w:pPr>
        <w:pStyle w:val="TextoNormal"/>
      </w:pPr>
      <w:r>
        <w:t>En relación con el resto de empresas del sector eléctrico, como las dedicadas al transporte, debemos señalar, en primer lugar, que se trata de una actividad sometida a un régimen jurídico y económico diferente al de la producción, que constituye la principal actividad de los grupos a cuyas matrices se impone la prestación patrimonial de la disposición adicional vigésima primera LSE. Buena prueba de lo cual es que la Ley del sector eléctrico dedica un título independiente para ella (título VI “Transporte de energía eléctrica”), atendiendo a sus características diferenciales y a la necesidad de mayor regulación, dada su condición de monopolio natural, frente a la producción, subsector para el que, en contraste, se impulsa un régimen de competencia que no es posible en aquél. Por tanto, el régimen económico de las actividades de producción y de transporte no es igual, lo que impide la comparación entre los sujetos de uno y otro subsector.</w:t>
      </w:r>
    </w:p>
    <w:p w:rsidR="00A90898" w:rsidRDefault="00A90898" w:rsidP="00A90898">
      <w:pPr>
        <w:pStyle w:val="TextoNormal"/>
      </w:pPr>
    </w:p>
    <w:p w:rsidR="00A90898" w:rsidRDefault="00A90898" w:rsidP="00A90898">
      <w:pPr>
        <w:pStyle w:val="TextoNormal"/>
      </w:pPr>
      <w:r>
        <w:t>En lo concerniente al subsector de la producción eléctrica, en especial las productoras de régimen especial, se debe partir de que en la Ley del sector eléctrico, aquí aplicable, el régimen ordinario de producción, a grandes rasgos, era el correspondiente a las instalaciones de generación que emplean tecnologías convencionales, es decir, el parque tradicional de producción eléctrica en España (que corresponde, en esencia, a las cinco empresas de la disposición adicional vigésima primera LSE), mientras que, de acuerdo con el art. 27.1 LSE, el régimen especial era fundamentalmente el aplicable a las instalaciones de producción con energías renovables, generación con residuos y cogeneración. En este sentido, tanto la Abogacía del Estado como el Ministerio Fiscal sostienen que tampoco en este caso nos hallamos ante un término válido de comparación, puesto que la producción de electricidad en régimen ordinario y en régimen especial tienen una diferente ordenación en la Ley del sector eléctrico (capítulos I y II, respectivamente, del título IV), de acuerdo con criterios de política económica y medioambiental, que justifican un sistema de retribución propio para cada una.</w:t>
      </w:r>
    </w:p>
    <w:p w:rsidR="00A90898" w:rsidRDefault="00A90898" w:rsidP="00A90898">
      <w:pPr>
        <w:pStyle w:val="TextoNormal"/>
      </w:pPr>
    </w:p>
    <w:p w:rsidR="00A90898" w:rsidRDefault="00A90898" w:rsidP="00A90898">
      <w:pPr>
        <w:pStyle w:val="TextoNormal"/>
      </w:pPr>
      <w:r>
        <w:t>Este Tribunal comparte dicho razonamiento, toda vez que el distinto régimen económico legalmente establecido impide considerar que ambas formas de producción se encuentren en situaciones iguales en los términos del art. 14 CE, de modo que los derechos y cargas no tienen que ser necesariamente los mismos para ambas modalidades. Dos ejemplos ilustrativos de las diferencias económicas entre ellas son el reconocimiento a las principales empresas de régimen ordinario de los llamados “pagos por capacidad”, con base en el art. 16.1 c) LSE, así como de los costes de transición a la competencia, cuya percepción, como enseguida comprobaremos, singulariza definitivamente a las empresas obligadas en virtud de la disposición adicional vigésima primera LSE.</w:t>
      </w:r>
    </w:p>
    <w:p w:rsidR="00A90898" w:rsidRDefault="00A90898" w:rsidP="00A90898">
      <w:pPr>
        <w:pStyle w:val="TextoNormal"/>
      </w:pPr>
    </w:p>
    <w:p w:rsidR="00A90898" w:rsidRDefault="00A90898" w:rsidP="00A90898">
      <w:pPr>
        <w:pStyle w:val="TextoNormal"/>
      </w:pPr>
      <w:r>
        <w:t>A la circunstancia de que los distintos agentes del sector con los que pretende compararse la recurrente operan bajo un régimen económico diferente al suyo, se suma el hecho de que una medida como la que estamos enjuiciando debe enmarcarse en el conjunto de disposiciones aprobadas para evitar que el déficit de tarifa pusiera en riesgo la sostenibilidad del sistema eléctrico. A las numerosas medidas adoptadas con tal finalidad hemos tenido ocasión de referirnos con cierto detalle en la ya citada STC 167/2016, FJ 3, llegando a la conclusión de que se “han dispuesto ajustes para todos los sujetos implicados en el sector eléc</w:t>
      </w:r>
      <w:r>
        <w:lastRenderedPageBreak/>
        <w:t>trico, tanto las empresas de los distintos subsectores que lo integran (productoras, transportistas, distribuidoras, comercializadoras, etc.), como para los consumidores y el conjunto de los contribuyentes”, todo ello de acuerdo con la idea de esfuerzo compartido —no necesariamente idéntico—, que se puede encontrar en las exposiciones de motivos de las normas aprobadas para reducir el déficit tarifario, como los Reales Decretos-leyes 14/2010, de 23 de diciembre; 20/2012, de 13 de julio, y 9/2013, de 12 de julio, entre otras.</w:t>
      </w:r>
    </w:p>
    <w:p w:rsidR="00A90898" w:rsidRDefault="00A90898" w:rsidP="00A90898">
      <w:pPr>
        <w:pStyle w:val="TextoNormal"/>
      </w:pPr>
    </w:p>
    <w:p w:rsidR="00A90898" w:rsidRDefault="00A90898" w:rsidP="00A90898">
      <w:pPr>
        <w:pStyle w:val="TextoNormal"/>
      </w:pPr>
      <w:r>
        <w:t>Por consiguiente, a través de la sucesión de normas dirigidas a controlar y financiar el déficit de tarifa se han arbitrado medidas que han afectado a otros subsectores del sistema, minorando sus retribuciones (por ejemplo, para el caso del transporte, por los Reales Decretos-leyes 20/2012 y 9/2013, y para las instalaciones de generación en régimen especial, mediante los Reales Decretos-leyes 14/2010 y 9/2013); así como a los consumidores, con aumentos de tarifa, y al conjunto de los contribuyentes, imputando ciertas partidas de costes a los presupuestos generales del Estado o creando tributos específicos sobre el sector (Ley 15/2012, de 27 de diciembre).</w:t>
      </w:r>
    </w:p>
    <w:p w:rsidR="00A90898" w:rsidRDefault="00A90898" w:rsidP="00A90898">
      <w:pPr>
        <w:pStyle w:val="TextoNormal"/>
      </w:pPr>
    </w:p>
    <w:p w:rsidR="00A90898" w:rsidRDefault="00A90898" w:rsidP="00A90898">
      <w:pPr>
        <w:pStyle w:val="TextoNormal"/>
      </w:pPr>
      <w:r>
        <w:t>De lo expuesto se desprende que la aplicación de una concreta medida, como la que aquí se examina, tan solo a los grupos eléctricos dedicados principalmente a la producción de electricidad en régimen ordinario, y no a las empresas dedicadas a otras actividades eléctricas o a las productoras que utilizan de forma primordial energías renovables y otras propias del régimen especial, no introduce una diferencia entre situaciones que puedan calificarse iguales, al menos por dos razones: i) el diferente régimen jurídico y económico aplicable a cada actividad, lo que conlleva distintos derechos y cargas, siguiendo la terminología de la STC 83/2014, de 29 de mayo, FJ 3, y ii) el necesario enfoque de esta norma en el contexto de las adoptadas para contener el déficit de tarifa eléctrica, de suerte que a cada tipo de actividad se le han exigido ajustes, siendo legítimo que el legislador tenga en cuenta la diferente contribución de cada subsector para imponer solo a ciertos grupos la financiación del déficit.</w:t>
      </w:r>
    </w:p>
    <w:p w:rsidR="00A90898" w:rsidRDefault="00A90898" w:rsidP="00A90898">
      <w:pPr>
        <w:pStyle w:val="TextoNormal"/>
      </w:pPr>
    </w:p>
    <w:p w:rsidR="00A90898" w:rsidRDefault="00A90898" w:rsidP="00A90898">
      <w:pPr>
        <w:pStyle w:val="TextoNormal"/>
      </w:pPr>
      <w:r>
        <w:t>En suma, no existe vulneración del art. 14 CE.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recurso de amparo núm. 354-2014 interpuesto por Endesa, S.A.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veintiocho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6" w:name="SENTENCIA_2016_197"/>
      <w:r>
        <w:lastRenderedPageBreak/>
        <w:t>SENTENCIA 197/2016, de 28 de noviembre de 2016</w:t>
      </w:r>
    </w:p>
    <w:bookmarkEnd w:id="76"/>
    <w:p w:rsidR="00A90898" w:rsidRDefault="00A90898" w:rsidP="00A90898">
      <w:pPr>
        <w:pStyle w:val="TtuloResolucin"/>
      </w:pPr>
      <w:r>
        <w:t>Sala Primera</w:t>
      </w:r>
    </w:p>
    <w:p w:rsidR="00A90898" w:rsidRDefault="00A90898" w:rsidP="00A90898">
      <w:pPr>
        <w:pStyle w:val="TtuloBOE"/>
      </w:pPr>
      <w:r>
        <w:t>(BOE núm. 7, de 9 de enero de 2017)</w:t>
      </w:r>
    </w:p>
    <w:p w:rsidR="00A90898" w:rsidRDefault="00A90898" w:rsidP="00A90898">
      <w:pPr>
        <w:pStyle w:val="TextoNormalCentrado"/>
      </w:pPr>
      <w:r>
        <w:t>ECLI:ES:TC:2016:197</w:t>
      </w:r>
    </w:p>
    <w:p w:rsidR="00A90898" w:rsidRDefault="00A90898" w:rsidP="00A90898">
      <w:pPr>
        <w:pStyle w:val="TextoNormalCentrado"/>
      </w:pPr>
    </w:p>
    <w:p w:rsidR="00A90898" w:rsidRDefault="00A90898" w:rsidP="00A90898">
      <w:pPr>
        <w:pStyle w:val="SntesisDescriptiva"/>
      </w:pPr>
      <w:r>
        <w:t>Cuestión de inconstitucionalidad 2611-2014.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w:t>
      </w:r>
    </w:p>
    <w:p w:rsidR="00A90898" w:rsidRDefault="00A90898" w:rsidP="00A90898">
      <w:pPr>
        <w:pStyle w:val="SntesisDescriptiva"/>
      </w:pPr>
    </w:p>
    <w:p w:rsidR="00A90898" w:rsidRDefault="00A90898" w:rsidP="00A90898">
      <w:pPr>
        <w:pStyle w:val="SntesisAnaltica"/>
      </w:pPr>
      <w:r>
        <w:t>Principios de igualdad y de interdicción de la arbitrariedad: STC 167/2016 (constitucionalidad del precepto legal que concreta la obligación de financiación por el sector eléctrico de planes de ahorro y eficiencia energética).</w:t>
      </w:r>
    </w:p>
    <w:p w:rsidR="00A90898" w:rsidRDefault="00A90898" w:rsidP="00A90898">
      <w:pPr>
        <w:pStyle w:val="SntesisAnaltica"/>
      </w:pPr>
    </w:p>
    <w:p w:rsidR="00A90898" w:rsidRDefault="00A90898" w:rsidP="00A90898">
      <w:pPr>
        <w:pStyle w:val="Extracto"/>
      </w:pPr>
      <w:r>
        <w:t>1.</w:t>
      </w:r>
      <w:r>
        <w:tab/>
        <w:t>Asunto sustancialmente idéntico al resuelto por la STC 167/2016, en relación con la doctrina sobre el principio de igualdad y de interdicción de la arbitrariedad en materia de financiación por el sector eléctrico de planes de ahorro y eficiencia energética, y la elección de determinadas empresas para paliar el déficit tarifario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núm. 2611-2014,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intervenido el Fiscal General del Estado y el Abogado del Estado. Han comparecido y formulado alegaciones las entidades Castelnou Energía, S.L., representada por la Procuradora de los Tribunales doña Adela Cano Lantero y asistida por el Abogado don Gervasio Martínez-Villaseñor Fernández, y E.ON España, S.L., representada por la Procuradora de los Tribunales doña María Jesús Gutiérrez Aceves y asistida por la Abogada doña Nuria Encinar Arroyo.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Por escrito registrado en este Tribunal el 24 de abril de 2014, la Sección Cuarta de la Sala de lo Contencioso-Administrativo de la Audiencia Nacional remitió testimonio del Auto del día 11 del mismo mes y año por el que acordaba plantear cuestión de inconstitucionalidad en relación con la disposición adicional tercera del Real Decreto-ley 14/2010, de 23 de diciembre, por el que se establecen medidas urgentes para la corrección del déficit tarifario del sector eléctrico (en lo sucesivo, Real Decreto-ley 14/2010), por vulneración de los arts. 9.3 y 14 CE.</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la presente cuestión de inconstitucionalidad son los siguientes:</w:t>
      </w:r>
    </w:p>
    <w:p w:rsidR="00A90898" w:rsidRDefault="00A90898" w:rsidP="00A90898">
      <w:pPr>
        <w:pStyle w:val="TextoNormal"/>
      </w:pPr>
    </w:p>
    <w:p w:rsidR="00A90898" w:rsidRDefault="00A90898" w:rsidP="00A90898">
      <w:pPr>
        <w:pStyle w:val="TextoNormal"/>
      </w:pPr>
      <w:r>
        <w:t>a) El 28 de octubre de 2011 la entidad Castelnou Energía, S.L., interpuso un recurso contencioso-administrativo ante la Sala correspondiente de la Audiencia Nacional contra la Orden ITC/2844/2011, de 19 de octubre, por la que se regulan las transferencias de fondos con cargo a las empresas productoras de energía eléctrica y a los peajes de acceso de terceros a las instalaciones gasistas de la cuenta específica de la Comisión Nacional de Energía al Instituto para la Diversificación y el Ahorro de la Energía, en el año 2011, para la ejecución de las medidas del plan de acción 2008-2012 de la estrategia de ahorro y eficiencia energética en España 2004-2012 y los criterios para la ejecución de medidas contempladas en dicho plan, por entender que dicha disposición no era ajustada a Derecho.</w:t>
      </w:r>
    </w:p>
    <w:p w:rsidR="00A90898" w:rsidRDefault="00A90898" w:rsidP="00A90898">
      <w:pPr>
        <w:pStyle w:val="TextoNormal"/>
      </w:pPr>
    </w:p>
    <w:p w:rsidR="00A90898" w:rsidRDefault="00A90898" w:rsidP="00A90898">
      <w:pPr>
        <w:pStyle w:val="TextoNormal"/>
      </w:pPr>
      <w:r>
        <w:t>b) Concluidas las actuaciones, el 27 de febrero de 2014, la Sección acordó, en aplicación de lo establecido en el art. 35 de la Ley Orgánica del Tribunal Constitucional (LOTC), con suspensión del plazo para dictar sentencia,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tener dudas sobre la adecuación de la citada norma con los principios de interdicción de la arbitrariedad e igualdad establecidos en los arts. 9.3 y 14 CE, “en concreto, si es conforme con las normas constitucionales indicadas el establecer que las cuantías destinadas a la financiación del plan de acción 2008 2012 se financiarán mediante la aportación de determinados porcentajes por un conjunto de empresas productoras o generadoras de electricidad en régimen ordinario nominalmente designadas”. Asimismo, añadía que “la decisión de la cuestión planteada en el presente recurso depende de la validez de dicha disposición adicional tercera, por cuanto la Orden ITC/2844/2011, de 19 de octubre, objeto del mismo, simplemente concreta las cuantías de esos porcentajes en el año 2011 para cada una de las empresas obligadas y establece el procedimiento para su ingreso en la cuenta de la Comisión Nacional de la Energía”.</w:t>
      </w:r>
    </w:p>
    <w:p w:rsidR="00A90898" w:rsidRDefault="00A90898" w:rsidP="00A90898">
      <w:pPr>
        <w:pStyle w:val="TextoNormal"/>
      </w:pPr>
    </w:p>
    <w:p w:rsidR="00A90898" w:rsidRDefault="00A90898" w:rsidP="00A90898">
      <w:pPr>
        <w:pStyle w:val="TextoNormal"/>
      </w:pPr>
      <w:r>
        <w:t>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El Auto de 11 de abril de 2014 de la Sección Cuarta de la Sala de lo Contencioso-Administrativo de la Audiencia Nacional presenta la cuestión en los siguientes términos.</w:t>
      </w:r>
    </w:p>
    <w:p w:rsidR="00A90898" w:rsidRDefault="00A90898" w:rsidP="00A90898">
      <w:pPr>
        <w:pStyle w:val="TextoNormal"/>
      </w:pPr>
    </w:p>
    <w:p w:rsidR="00A90898" w:rsidRDefault="00A90898" w:rsidP="00A90898">
      <w:pPr>
        <w:pStyle w:val="TextoNormal"/>
      </w:pPr>
      <w:r>
        <w:t>Comienza exponiendo los hechos que han dado lugar a la presente cuestión de inconstitucionalidad para formular, a continuación, los juicios de aplicabilidad y relevancia exigibles para su válido planteamiento. Así, entiende que existe una norma con rango de ley aplicable al caso y que de su validez depende la resolución del litigio, concretamente, la disposición adicional tercera del Real Decreto-ley 14/2010, en desarrollo de la cual se dictó la Orden ITC/2844/2011, cuyo art. 2 determina las cuantías destinadas en el año 2011 a las actuaciones del Plan con cargo a las empresas productoras de energía eléctrica (y a los peajes de acceso de terceros a las instalaciones gasistas, que no afectan directamente al presente caso).</w:t>
      </w:r>
    </w:p>
    <w:p w:rsidR="00A90898" w:rsidRDefault="00A90898" w:rsidP="00A90898">
      <w:pPr>
        <w:pStyle w:val="TextoNormal"/>
      </w:pPr>
    </w:p>
    <w:p w:rsidR="00A90898" w:rsidRDefault="00A90898" w:rsidP="00A90898">
      <w:pPr>
        <w:pStyle w:val="TextoNormal"/>
      </w:pPr>
      <w:r>
        <w:t>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Asimismo señala que el recurso contencioso se interpone contra los arts. 1, 3 y 6.2 de la Orden ITC/2844/2011, si bien el núcleo del debate se centra en el art. 2, ya que el art. 1 describe el objeto de la orden, el art. 3 la liquidación y el art. 6.2 la aplicación y ejecución.</w:t>
      </w:r>
    </w:p>
    <w:p w:rsidR="00A90898" w:rsidRDefault="00A90898" w:rsidP="00A90898">
      <w:pPr>
        <w:pStyle w:val="TextoNormal"/>
      </w:pPr>
    </w:p>
    <w:p w:rsidR="00A90898" w:rsidRDefault="00A90898" w:rsidP="00A90898">
      <w:pPr>
        <w:pStyle w:val="TextoNormal"/>
      </w:pPr>
      <w:r>
        <w:t>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00A90898" w:rsidRDefault="00A90898" w:rsidP="00A90898">
      <w:pPr>
        <w:pStyle w:val="TextoNormal"/>
      </w:pPr>
    </w:p>
    <w:p w:rsidR="00A90898" w:rsidRDefault="00A90898" w:rsidP="00A90898">
      <w:pPr>
        <w:pStyle w:val="TextoNormal"/>
      </w:pPr>
      <w:r>
        <w:t xml:space="preserve">En cuanto a la primera de las cuestiones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 La Sala no discute la legitimidad del legislador para establecer </w:t>
      </w:r>
      <w:r>
        <w:lastRenderedPageBreak/>
        <w:t>normas que orienten la política económica en un determinado sentido y que, con tal fin, pueda establecer tratamientos diferenciados, pero las argumentaciones que se ofrecen al respecto no le parecen suficientes.</w:t>
      </w:r>
    </w:p>
    <w:p w:rsidR="00A90898" w:rsidRDefault="00A90898" w:rsidP="00A90898">
      <w:pPr>
        <w:pStyle w:val="TextoNormal"/>
      </w:pPr>
    </w:p>
    <w:p w:rsidR="00A90898" w:rsidRDefault="00A90898" w:rsidP="00A90898">
      <w:pPr>
        <w:pStyle w:val="TextoNormal"/>
      </w:pPr>
      <w:r>
        <w:t>En primer lugar, pone de relieve que el Real Decreto-ley 14/2010 justifica las medidas adoptadas en las nuevas condiciones económicas que han generado un escenario no previsto, por lo que se adoptan medidas con el fin de evitar que el déficit tarifario aumente sin control.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parece razonable es “que dicha medida justifique que la totalidad del coste de la financiación del plan de acción con cargo al sistema eléctrico, recaiga en exclusiva sobre las empresas generadoras en régimen ordinario”. Entre otras razones, porque los beneficios del plan favorecen tanto a las empresas productoras en régimen especial como a las empresas productoras en régimen ordinario.</w:t>
      </w:r>
    </w:p>
    <w:p w:rsidR="00A90898" w:rsidRDefault="00A90898" w:rsidP="00A90898">
      <w:pPr>
        <w:pStyle w:val="TextoNormal"/>
      </w:pPr>
    </w:p>
    <w:p w:rsidR="00A90898" w:rsidRDefault="00A90898" w:rsidP="00A90898">
      <w:pPr>
        <w:pStyle w:val="TextoNormal"/>
      </w:pPr>
      <w:r>
        <w:t>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 la Sala a concluir que los argumentos esgrimidos para justificar que las empresas de generación de electricidad en régimen ordinario abonen, en exclusiva, el coste de financiación del plan de ahorro no son convincentes, por lo que podría haberse vulnerado el principio de igualdad (art. 14 CE).</w:t>
      </w:r>
    </w:p>
    <w:p w:rsidR="00A90898" w:rsidRDefault="00A90898" w:rsidP="00A90898">
      <w:pPr>
        <w:pStyle w:val="TextoNormal"/>
      </w:pPr>
    </w:p>
    <w:p w:rsidR="00A90898" w:rsidRDefault="00A90898" w:rsidP="00A90898">
      <w:pPr>
        <w:pStyle w:val="TextoNormal"/>
      </w:pPr>
      <w:r>
        <w:t>A continuación, la Sala afirma que el Real Decreto-ley 14/2010 no explica los criterios por los que ha seleccionado a determinadas empresas y analiza las razones aducidas por la Abogacía del Estado para excluir a otras entidades, una de las cuales es su escasa cuota de mercado. Acerca de esto, el órgano judicial sostiene que varias de las empresas excluidas tienen una cuota de mercado superior a las seleccionadas en la disposición cuestionada. Además, le resulta dudoso que se excluya a ciertas empresas por dedicarse, fundamentalmente, a la producción con energías renovables. Finalmente, la Sala asevera que hay empresas de producción en régimen ordinario que la Administración no cita y que no están incluidas en la disposición analizada, respecto de las cuales nada se dice. En definitiva, la Sala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00A90898" w:rsidRDefault="00A90898" w:rsidP="00A90898">
      <w:pPr>
        <w:pStyle w:val="TextoNormal"/>
      </w:pPr>
    </w:p>
    <w:p w:rsidR="00A90898" w:rsidRDefault="00A90898" w:rsidP="00A90898">
      <w:pPr>
        <w:pStyle w:val="TextoNormal"/>
      </w:pPr>
      <w:r>
        <w:t xml:space="preserve">La Sala estima que la disposición cuestionada también puede ser contraria al principio de interdicción de la arbitrariedad de los poderes públicos (art. 9.3 CE). Se plantea, en primer lugar si es razonable que la totalidad del coste recaiga sobre las empresas enumeradas en la disposición cuestionada, porque el plan de ahorro alcanza a varios sectores, entre los que se halla el eléctrico, pero dentro del cual se benefician no sólo las empresas productoras de electricidad en régimen ordinario sino también otras empresas y los consumidores; prueba de lo cual es que el legislador entendió (hasta la aprobación de la norma discutida) </w:t>
      </w:r>
      <w:r>
        <w:lastRenderedPageBreak/>
        <w:t>que el coste de estas medidas debía ser abonado por los consumidores, como un coste más del sistema eléctrico.</w:t>
      </w:r>
    </w:p>
    <w:p w:rsidR="00A90898" w:rsidRDefault="00A90898" w:rsidP="00A90898">
      <w:pPr>
        <w:pStyle w:val="TextoNormal"/>
      </w:pPr>
    </w:p>
    <w:p w:rsidR="00A90898" w:rsidRDefault="00A90898" w:rsidP="00A90898">
      <w:pPr>
        <w:pStyle w:val="TextoNormal"/>
      </w:pPr>
      <w:r>
        <w:t>En segundo lugar, la Sala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Ellas están obligadas, en virtud de dicho precepto, a financiar el déficit de la tarifa eléctrica y tendrán, por tanto, una menor carga como consecuencia del reequilibrio del sistema al que contribuye la medida aquí analizada. Sin embargo, la Sala no considera convincentes las razones esgrimidas, debido a que no llega a indicarse en detalle cómo se han obtenido los porcentajes exigidos a cada entidad. Por otra parte, el argumento de conexión con la disposición adicional vigésima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00A90898" w:rsidRDefault="00A90898" w:rsidP="00A90898">
      <w:pPr>
        <w:pStyle w:val="TextoNormal"/>
      </w:pPr>
    </w:p>
    <w:p w:rsidR="00A90898" w:rsidRDefault="00A90898" w:rsidP="00A90898">
      <w:pPr>
        <w:pStyle w:val="TextoNormal"/>
      </w:pPr>
      <w:r>
        <w:t>Las anteriores consideraciones llevan al órgano judicial a reafirmarse en sus dudas de constitucionalidad y acordar, en consecuencia plantear cuestión de inconstitucionalidad acerca de la disposición adicional tercera del Real Decreto-ley 14/2010, de 23 de diciembre, que establece medidas urgentes para la corrección del déficit tarifario del sector eléctrico, por posible vulneración de los arts. 9.3 y 14 CE, al determinar que sean exclusivamente las empresas generadoras de electricidad en régimen ordinario que señala las que abonen la totalidad del coste del plan de acción en el sector eléctrico, y no indicar cómo se han obtenido los porcentajes de los que debe responder cada una de las empresas afectadas.</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del Pleno de este Tribunal de 15 de julio de 2014 se acordó admitir a trámite la presente cuestión, por posible vulneración de los arts. 9.3 y 14 CE; de conformidad con lo dispuesto en el artículo 10.1 c) LOTC, deferir a la Sala Primera,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 registrado con fecha 24 de julio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8 de septiembre de 2014.</w:t>
      </w:r>
    </w:p>
    <w:p w:rsidR="00A90898" w:rsidRDefault="00A90898" w:rsidP="00A90898">
      <w:pPr>
        <w:pStyle w:val="TextoNormal"/>
      </w:pPr>
    </w:p>
    <w:p w:rsidR="00A90898" w:rsidRDefault="00A90898" w:rsidP="00A90898">
      <w:pPr>
        <w:pStyle w:val="TextoNormal"/>
      </w:pPr>
      <w:r w:rsidRPr="00A90898">
        <w:rPr>
          <w:rStyle w:val="NumeroAFNegritaCaracter"/>
        </w:rPr>
        <w:t>6</w:t>
      </w:r>
      <w:r>
        <w:t>. Por sendos escritos registrados el 31 de julio de 2014, las entidades Castelnou Energía, S.L., y E.ON España, S.L., solicitaron que se les tuviera por personadas y partes. Mediante diligencia de ordenación del 3 de septiembre del mismo año se acordó unir a las actuaciones los referidos escritos, teniendo por personadas a las sociedades citadas y concediéndoles un plazo de 15 días para que formularan las alegaciones que estimaran convenientes.</w:t>
      </w:r>
    </w:p>
    <w:p w:rsidR="00A90898" w:rsidRDefault="00A90898" w:rsidP="00A90898">
      <w:pPr>
        <w:pStyle w:val="TextoNormal"/>
      </w:pPr>
    </w:p>
    <w:p w:rsidR="00A90898" w:rsidRDefault="00A90898" w:rsidP="00A90898">
      <w:pPr>
        <w:pStyle w:val="TextoNormal"/>
      </w:pPr>
      <w:r w:rsidRPr="00A90898">
        <w:rPr>
          <w:rStyle w:val="NumeroAFNegritaCaracter"/>
        </w:rPr>
        <w:t>7</w:t>
      </w:r>
      <w:r>
        <w:t>. Las alegaciones presentadas por el Abogado del Estado, interesando la desestimación de la cuestión, fueron registradas en este Tribunal el 4 de septiembre de 2014.</w:t>
      </w:r>
    </w:p>
    <w:p w:rsidR="00A90898" w:rsidRDefault="00A90898" w:rsidP="00A90898">
      <w:pPr>
        <w:pStyle w:val="TextoNormal"/>
      </w:pPr>
    </w:p>
    <w:p w:rsidR="00A90898" w:rsidRDefault="00A90898" w:rsidP="00A90898">
      <w:pPr>
        <w:pStyle w:val="TextoNormal"/>
      </w:pPr>
      <w:r>
        <w:t>En su escrito, el Abogado del Estado califica la obligación recogida en la disposición adicional tercera del Real Decreto-ley 14/2010 como una prestación patrimonial de carácter público, que ha sido establecida mediante una norma con rango de ley, en cumplimiento de lo previsto en el art. 31.3 CE. Resalta la circunstancia de haber sido creada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no es causa en sí misma de inconstitucionalidad.</w:t>
      </w:r>
    </w:p>
    <w:p w:rsidR="00A90898" w:rsidRDefault="00A90898" w:rsidP="00A90898">
      <w:pPr>
        <w:pStyle w:val="TextoNormal"/>
      </w:pPr>
    </w:p>
    <w:p w:rsidR="00A90898" w:rsidRDefault="00A90898" w:rsidP="00A90898">
      <w:pPr>
        <w:pStyle w:val="TextoNormal"/>
      </w:pPr>
      <w: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w:t>
      </w:r>
      <w:r w:rsidRPr="00A90898">
        <w:rPr>
          <w:i/>
        </w:rPr>
        <w:t>status</w:t>
      </w:r>
      <w:r>
        <w:t xml:space="preserve">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00A90898" w:rsidRDefault="00A90898" w:rsidP="00A90898">
      <w:pPr>
        <w:pStyle w:val="TextoNormal"/>
      </w:pPr>
    </w:p>
    <w:p w:rsidR="00A90898" w:rsidRDefault="00A90898" w:rsidP="00A90898">
      <w:pPr>
        <w:pStyle w:val="TextoNormal"/>
      </w:pPr>
      <w:r>
        <w:t>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Añade a ello que el legislador no tiene obligación de expresar los motivos que le llevan a adoptar una determinada decisión, por lo que la falta de justificación expresa no debe considerarse generadora de arbitrariedad.</w:t>
      </w:r>
    </w:p>
    <w:p w:rsidR="00A90898" w:rsidRDefault="00A90898" w:rsidP="00A90898">
      <w:pPr>
        <w:pStyle w:val="TextoNormal"/>
      </w:pPr>
    </w:p>
    <w:p w:rsidR="00A90898" w:rsidRDefault="00A90898" w:rsidP="00A90898">
      <w:pPr>
        <w:pStyle w:val="TextoNormal"/>
      </w:pPr>
      <w:r>
        <w:t xml:space="preserve">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judicial promotor de la cuestión cuando, en lo que califica como una “excesiva compartimentación”, separa el problema del déficit del sistema eléctrico y la financiación de los planes de ahorro energético. Concluye que, dentro del margen de libertad de regulación que corresponde al legislador, se incluye la imposición de cargas generales a las compañías de producción de régimen ordinario, en el marco de un </w:t>
      </w:r>
      <w:r>
        <w:lastRenderedPageBreak/>
        <w:t>conjunto de “medidas urgentes para la corrección del déficit tarifario del sector eléctrico”, título del Real Decreto-ley en el que se inserta la disposición debatida.</w:t>
      </w:r>
    </w:p>
    <w:p w:rsidR="00A90898" w:rsidRDefault="00A90898" w:rsidP="00A90898">
      <w:pPr>
        <w:pStyle w:val="TextoNormal"/>
      </w:pPr>
    </w:p>
    <w:p w:rsidR="00A90898" w:rsidRDefault="00A90898" w:rsidP="00A90898">
      <w:pPr>
        <w:pStyle w:val="TextoNormal"/>
      </w:pPr>
      <w:r>
        <w:t>En particular, considera que la norma enjuiciada tiene su propia justificación y obedece a razones objetivas, se compartan o no, en la medida en que la actividad de las compañías generadoras de régimen ordinario no es ajena al déficit tarifario.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00A90898" w:rsidRDefault="00A90898" w:rsidP="00A90898">
      <w:pPr>
        <w:pStyle w:val="TextoNormal"/>
      </w:pPr>
    </w:p>
    <w:p w:rsidR="00A90898" w:rsidRDefault="00A90898" w:rsidP="00A90898">
      <w:pPr>
        <w:pStyle w:val="TextoNormal"/>
      </w:pPr>
      <w:r>
        <w:t>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vigésima primera de la Ley 54/1997, sobre financiación del déficit de tarifa, para acabar. Enlaza con sus primeras consideraciones, recordando la naturaleza legislativa del acto juzgado en este proceso, y que no se debe exigir al legislador una exposición detallada de las razones de su actividad reguladora. Por todo ello, interesa que se desestime la cuestión.</w:t>
      </w:r>
    </w:p>
    <w:p w:rsidR="00A90898" w:rsidRDefault="00A90898" w:rsidP="00A90898">
      <w:pPr>
        <w:pStyle w:val="TextoNormal"/>
      </w:pPr>
    </w:p>
    <w:p w:rsidR="00A90898" w:rsidRDefault="00A90898" w:rsidP="00A90898">
      <w:pPr>
        <w:pStyle w:val="TextoNormal"/>
      </w:pPr>
      <w:r w:rsidRPr="00A90898">
        <w:rPr>
          <w:rStyle w:val="NumeroAFNegritaCaracter"/>
        </w:rPr>
        <w:t>8</w:t>
      </w:r>
      <w:r>
        <w:t>. La representación procesal de Castelnou Energía, S.L., cumplimentó el día 26 de septiembre de 2014 el trámite de alegaciones conferido, interesando la estimación de la cuestión, por las razones que se resumen a continuación.</w:t>
      </w:r>
    </w:p>
    <w:p w:rsidR="00A90898" w:rsidRDefault="00A90898" w:rsidP="00A90898">
      <w:pPr>
        <w:pStyle w:val="TextoNormal"/>
      </w:pPr>
    </w:p>
    <w:p w:rsidR="00A90898" w:rsidRDefault="00A90898" w:rsidP="00A90898">
      <w:pPr>
        <w:pStyle w:val="TextoNormal"/>
      </w:pPr>
      <w:r>
        <w:t>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ello argumenta que las órdenes ministeriales de desarrollo de la disposición adicional tercera se aprobaron meses y, en algunos casos, años después de la aprobación del Real Decreto-ley 14/2010.</w:t>
      </w:r>
    </w:p>
    <w:p w:rsidR="00A90898" w:rsidRDefault="00A90898" w:rsidP="00A90898">
      <w:pPr>
        <w:pStyle w:val="TextoNormal"/>
      </w:pPr>
    </w:p>
    <w:p w:rsidR="00A90898" w:rsidRDefault="00A90898" w:rsidP="00A90898">
      <w:pPr>
        <w:pStyle w:val="TextoNormal"/>
      </w:pPr>
      <w:r>
        <w:t>A continuación, aborda la infracción de los arts. 9.3 y 14 CE, para coincidir con los argumentos del Auto de planteamiento sobre el carácter discriminatorio y arbitrario de la disposición objetada.</w:t>
      </w:r>
    </w:p>
    <w:p w:rsidR="00A90898" w:rsidRDefault="00A90898" w:rsidP="00A90898">
      <w:pPr>
        <w:pStyle w:val="TextoNormal"/>
      </w:pPr>
    </w:p>
    <w:p w:rsidR="00A90898" w:rsidRDefault="00A90898" w:rsidP="00A90898">
      <w:pPr>
        <w:pStyle w:val="TextoNormal"/>
      </w:pPr>
      <w:r>
        <w:t>La entidad Castelnou Energía, S.L., estima que se ha vulnerado, asimismo, el principio de reserva de ley del art. 31.3 CE porque se ha impuesto una prestación patrimonial de carácter público sin definir, siquiera indiciariamente, los elementos esenciales de la misma, a lo que se añade que se ha seguido un instrumento normativo, el Real Decreto-ley, no solo faltando el presupuesto de la “extraordinaria y urgente necesidad”, sino excediendo los límites materiales previstos para dicha figura, con la que no puede afectarse al deber de contribuir (art. 31.1 CE), como aquí se ha hecho.</w:t>
      </w:r>
    </w:p>
    <w:p w:rsidR="00A90898" w:rsidRDefault="00A90898" w:rsidP="00A90898">
      <w:pPr>
        <w:pStyle w:val="TextoNormal"/>
      </w:pPr>
    </w:p>
    <w:p w:rsidR="00A90898" w:rsidRDefault="00A90898" w:rsidP="00A90898">
      <w:pPr>
        <w:pStyle w:val="TextoNormal"/>
      </w:pPr>
      <w:r>
        <w:lastRenderedPageBreak/>
        <w:t>Por lo anterior, concluye que la disposición adicional tercera del Real Decreto-ley 14/2010 resulta contraria a los arts. 9.3, 14, 31 y 86.1 CE.</w:t>
      </w:r>
    </w:p>
    <w:p w:rsidR="00A90898" w:rsidRDefault="00A90898" w:rsidP="00A90898">
      <w:pPr>
        <w:pStyle w:val="TextoNormal"/>
      </w:pPr>
    </w:p>
    <w:p w:rsidR="00A90898" w:rsidRDefault="00A90898" w:rsidP="00A90898">
      <w:pPr>
        <w:pStyle w:val="TextoNormal"/>
      </w:pPr>
      <w:r w:rsidRPr="00A90898">
        <w:rPr>
          <w:rStyle w:val="NumeroAFNegritaCaracter"/>
        </w:rPr>
        <w:t>9</w:t>
      </w:r>
      <w:r>
        <w:t>. La representación procesal de E.ON Generación, S.L., cumplimentó, también el día 26 de septiembre de 2014, el trámite de alegaciones, solicitando la estimación de la cuestión, por razones análogas a las esgrimidas por Castelnou Energía, S.L., según se resume a renglón seguido.</w:t>
      </w:r>
    </w:p>
    <w:p w:rsidR="00A90898" w:rsidRDefault="00A90898" w:rsidP="00A90898">
      <w:pPr>
        <w:pStyle w:val="TextoNormal"/>
      </w:pPr>
    </w:p>
    <w:p w:rsidR="00A90898" w:rsidRDefault="00A90898" w:rsidP="00A90898">
      <w:pPr>
        <w:pStyle w:val="TextoNormal"/>
      </w:pPr>
      <w:r>
        <w:t>Considera la entidad que no concurren los requisitos exigidos por el art. 86.1 CE para la aprobación del Real Decreto-ley que se enjuicia, pues ni se daba la situación de “extraordinaria y urgente necesidad” ni existe la necesaria conexión del presupuesto habilitante con las medidas establecidas en su disposición adicional tercera.</w:t>
      </w:r>
    </w:p>
    <w:p w:rsidR="00A90898" w:rsidRDefault="00A90898" w:rsidP="00A90898">
      <w:pPr>
        <w:pStyle w:val="TextoNormal"/>
      </w:pPr>
    </w:p>
    <w:p w:rsidR="00A90898" w:rsidRDefault="00A90898" w:rsidP="00A90898">
      <w:pPr>
        <w:pStyle w:val="TextoNormal"/>
      </w:pPr>
      <w:r>
        <w:t>Añade a lo anterior que la norma cuestionada vulnera los arts. 9.3 y 14 CE, en línea con los razonamientos del Auto de planteamiento sobre el carácter discriminatorio y arbitrario de la medida.</w:t>
      </w:r>
    </w:p>
    <w:p w:rsidR="00A90898" w:rsidRDefault="00A90898" w:rsidP="00A90898">
      <w:pPr>
        <w:pStyle w:val="TextoNormal"/>
      </w:pPr>
    </w:p>
    <w:p w:rsidR="00A90898" w:rsidRDefault="00A90898" w:rsidP="00A90898">
      <w:pPr>
        <w:pStyle w:val="TextoNormal"/>
      </w:pPr>
      <w:r>
        <w:t>Finalmente, estima también infringidos el art. 31.3 CE, porque la norma cuestionada crea una prestación patrimonial de carácter público sin regular los elementos esenciales de la misma, así como el art. 86.1 CE, toda vez que se ha utilizado el Real Decreto-ley excediendo el límite material de no afectar al deber de contribuir (art. 31.1 CE).</w:t>
      </w:r>
    </w:p>
    <w:p w:rsidR="00A90898" w:rsidRDefault="00A90898" w:rsidP="00A90898">
      <w:pPr>
        <w:pStyle w:val="TextoNormal"/>
      </w:pPr>
    </w:p>
    <w:p w:rsidR="00A90898" w:rsidRDefault="00A90898" w:rsidP="00A90898">
      <w:pPr>
        <w:pStyle w:val="TextoNormal"/>
      </w:pPr>
      <w:r w:rsidRPr="00A90898">
        <w:rPr>
          <w:rStyle w:val="NumeroAFNegritaCaracter"/>
        </w:rPr>
        <w:t>10</w:t>
      </w:r>
      <w:r>
        <w:t>. El Fiscal General del Estado presentó sus alegaciones el 29 de septiembre de 2014, en las que solicitó la desestimación de la cuestión de constitucionalidad, por los motivos que seguidamente se exponen.</w:t>
      </w:r>
    </w:p>
    <w:p w:rsidR="00A90898" w:rsidRDefault="00A90898" w:rsidP="00A90898">
      <w:pPr>
        <w:pStyle w:val="TextoNormal"/>
      </w:pPr>
    </w:p>
    <w:p w:rsidR="00A90898" w:rsidRDefault="00A90898" w:rsidP="00A90898">
      <w:pPr>
        <w:pStyle w:val="TextoNormal"/>
      </w:pPr>
      <w:r>
        <w:t>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esta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00A90898" w:rsidRDefault="00A90898" w:rsidP="00A90898">
      <w:pPr>
        <w:pStyle w:val="TextoNormal"/>
      </w:pPr>
    </w:p>
    <w:p w:rsidR="00A90898" w:rsidRDefault="00A90898" w:rsidP="00A90898">
      <w:pPr>
        <w:pStyle w:val="TextoNormal"/>
      </w:pPr>
      <w:r>
        <w:t>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corregir el déficit tarifario mediante un esfuerzo adicional de todos los agentes del sector.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00A90898" w:rsidRDefault="00A90898" w:rsidP="00A90898">
      <w:pPr>
        <w:pStyle w:val="TextoNormal"/>
      </w:pPr>
    </w:p>
    <w:p w:rsidR="00A90898" w:rsidRDefault="00A90898" w:rsidP="00A90898">
      <w:pPr>
        <w:pStyle w:val="TextoNormal"/>
      </w:pPr>
      <w:r>
        <w:lastRenderedPageBreak/>
        <w:t xml:space="preserve">Respecto de la selección de determinadas empresas generadoras de régimen ordinario que hace la norma cuestionada, y haciéndose eco de las aclaraciones ofrecidas por la Abogacía del Estado en la contestación a la demanda del proceso </w:t>
      </w:r>
      <w:r w:rsidRPr="00A90898">
        <w:rPr>
          <w:i/>
        </w:rPr>
        <w:t>a quo</w:t>
      </w:r>
      <w:r>
        <w:t>,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00A90898" w:rsidRDefault="00A90898" w:rsidP="00A90898">
      <w:pPr>
        <w:pStyle w:val="TextoNormal"/>
      </w:pPr>
    </w:p>
    <w:p w:rsidR="00A90898" w:rsidRDefault="00A90898" w:rsidP="00A90898">
      <w:pPr>
        <w:pStyle w:val="TextoNormal"/>
      </w:pPr>
      <w:r>
        <w:t xml:space="preserve">Por último, en relación con los porcentajes de contribución a los planes de ahorro y eficiencia energética exigidos a cada entidad, y una vez acotado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w:t>
      </w:r>
      <w:r w:rsidRPr="00A90898">
        <w:rPr>
          <w:i/>
        </w:rPr>
        <w:t>a quo</w:t>
      </w:r>
      <w:r>
        <w:t>; según ellas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00A90898" w:rsidRDefault="00A90898" w:rsidP="00A90898">
      <w:pPr>
        <w:pStyle w:val="TextoNormal"/>
      </w:pPr>
    </w:p>
    <w:p w:rsidR="00A90898" w:rsidRDefault="00A90898" w:rsidP="00A90898">
      <w:pPr>
        <w:pStyle w:val="TextoNormal"/>
      </w:pPr>
      <w:r>
        <w:t>Con fundamento en lo anterior, el Fiscal General del Estado solicita que se desestime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11</w:t>
      </w:r>
      <w:r>
        <w:t>. Mediante providencia de fecha 24 de noviembre de 2016 se señaló para deliberación y votación de la presente Sentencia el día 28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CE.</w:t>
      </w:r>
    </w:p>
    <w:p w:rsidR="00A90898" w:rsidRDefault="00A90898" w:rsidP="00A90898">
      <w:pPr>
        <w:pStyle w:val="TextoNormal"/>
      </w:pPr>
    </w:p>
    <w:p w:rsidR="00A90898" w:rsidRDefault="00A90898" w:rsidP="00A90898">
      <w:pPr>
        <w:pStyle w:val="TextoNormal"/>
      </w:pPr>
      <w:r>
        <w:t>El precepto cuestionado, bajo el título “Financiación de planes de ahorro y eficiencia energética para los años 2011, 2012 y 2013”, establece lo siguiente:</w:t>
      </w:r>
    </w:p>
    <w:p w:rsidR="00A90898" w:rsidRDefault="00A90898" w:rsidP="00A90898">
      <w:pPr>
        <w:pStyle w:val="TextoNormal"/>
      </w:pPr>
    </w:p>
    <w:p w:rsidR="00A90898" w:rsidRDefault="00A90898" w:rsidP="00A90898">
      <w:pPr>
        <w:pStyle w:val="TextoNormal"/>
      </w:pPr>
      <w:r>
        <w:t xml:space="preserve">“1.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19 de octubre de 2003, previstas para los años 2011 y 2012 de 270 millones de euros y 250 millones </w:t>
      </w:r>
      <w:r>
        <w:lastRenderedPageBreak/>
        <w:t>de euros respectivamente, se financiarán mediante la aportación de cada una de las empresas productoras según los porcentajes recogidos en la siguiente tabla:</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....................EMPRESA................................PORCENTAJE</w:t>
      </w:r>
    </w:p>
    <w:p w:rsidR="00A90898" w:rsidRDefault="00A90898" w:rsidP="00A90898">
      <w:pPr>
        <w:pStyle w:val="TextoNormal"/>
      </w:pPr>
    </w:p>
    <w:p w:rsidR="00A90898" w:rsidRDefault="00A90898" w:rsidP="00A90898">
      <w:pPr>
        <w:pStyle w:val="TextoNormal"/>
      </w:pPr>
      <w:r>
        <w:t>..........Endesa Generación S.A........................34,66</w:t>
      </w:r>
    </w:p>
    <w:p w:rsidR="00A90898" w:rsidRDefault="00A90898" w:rsidP="00A90898">
      <w:pPr>
        <w:pStyle w:val="TextoNormal"/>
      </w:pPr>
    </w:p>
    <w:p w:rsidR="00A90898" w:rsidRDefault="00A90898" w:rsidP="00A90898">
      <w:pPr>
        <w:pStyle w:val="TextoNormal"/>
      </w:pPr>
      <w:r>
        <w:t>..........Iberdrola Generación, S.A....................32,71</w:t>
      </w:r>
    </w:p>
    <w:p w:rsidR="00A90898" w:rsidRDefault="00A90898" w:rsidP="00A90898">
      <w:pPr>
        <w:pStyle w:val="TextoNormal"/>
      </w:pPr>
    </w:p>
    <w:p w:rsidR="00A90898" w:rsidRDefault="00A90898" w:rsidP="00A90898">
      <w:pPr>
        <w:pStyle w:val="TextoNormal"/>
      </w:pPr>
      <w:r>
        <w:t>..........GAS Natural S.D.G, S.A.......................16,37</w:t>
      </w:r>
    </w:p>
    <w:p w:rsidR="00A90898" w:rsidRDefault="00A90898" w:rsidP="00A90898">
      <w:pPr>
        <w:pStyle w:val="TextoNormal"/>
      </w:pPr>
    </w:p>
    <w:p w:rsidR="00A90898" w:rsidRDefault="00A90898" w:rsidP="00A90898">
      <w:pPr>
        <w:pStyle w:val="TextoNormal"/>
      </w:pPr>
      <w:r>
        <w:t>..........Hidroeléctrica del Cantábrico, S.A..........4,38</w:t>
      </w:r>
    </w:p>
    <w:p w:rsidR="00A90898" w:rsidRDefault="00A90898" w:rsidP="00A90898">
      <w:pPr>
        <w:pStyle w:val="TextoNormal"/>
      </w:pPr>
    </w:p>
    <w:p w:rsidR="00A90898" w:rsidRDefault="00A90898" w:rsidP="00A90898">
      <w:pPr>
        <w:pStyle w:val="TextoNormal"/>
      </w:pPr>
      <w:r>
        <w:t>..........E.ON Generación, S.L...........................2,96</w:t>
      </w:r>
    </w:p>
    <w:p w:rsidR="00A90898" w:rsidRDefault="00A90898" w:rsidP="00A90898">
      <w:pPr>
        <w:pStyle w:val="TextoNormal"/>
      </w:pPr>
    </w:p>
    <w:p w:rsidR="00A90898" w:rsidRDefault="00A90898" w:rsidP="00A90898">
      <w:pPr>
        <w:pStyle w:val="TextoNormal"/>
      </w:pPr>
      <w:r>
        <w:t>..........AES Cartagena, S.R.L...........................2,07</w:t>
      </w:r>
    </w:p>
    <w:p w:rsidR="00A90898" w:rsidRDefault="00A90898" w:rsidP="00A90898">
      <w:pPr>
        <w:pStyle w:val="TextoNormal"/>
      </w:pPr>
    </w:p>
    <w:p w:rsidR="00A90898" w:rsidRDefault="00A90898" w:rsidP="00A90898">
      <w:pPr>
        <w:pStyle w:val="TextoNormal"/>
      </w:pPr>
      <w:r>
        <w:t>..........Bizkaia Energía, S.L.............................1,42</w:t>
      </w:r>
    </w:p>
    <w:p w:rsidR="00A90898" w:rsidRDefault="00A90898" w:rsidP="00A90898">
      <w:pPr>
        <w:pStyle w:val="TextoNormal"/>
      </w:pPr>
    </w:p>
    <w:p w:rsidR="00A90898" w:rsidRDefault="00A90898" w:rsidP="00A90898">
      <w:pPr>
        <w:pStyle w:val="TextoNormal"/>
      </w:pPr>
      <w:r>
        <w:t>..........Castelnou Energía, S.L.........................1,58</w:t>
      </w:r>
    </w:p>
    <w:p w:rsidR="00A90898" w:rsidRDefault="00A90898" w:rsidP="00A90898">
      <w:pPr>
        <w:pStyle w:val="TextoNormal"/>
      </w:pPr>
    </w:p>
    <w:p w:rsidR="00A90898" w:rsidRDefault="00A90898" w:rsidP="00A90898">
      <w:pPr>
        <w:pStyle w:val="TextoNormal"/>
      </w:pPr>
      <w:r>
        <w:t>..........Nueva Generadora del Sur, S.A.............1,62</w:t>
      </w:r>
    </w:p>
    <w:p w:rsidR="00A90898" w:rsidRDefault="00A90898" w:rsidP="00A90898">
      <w:pPr>
        <w:pStyle w:val="TextoNormal"/>
      </w:pPr>
    </w:p>
    <w:p w:rsidR="00A90898" w:rsidRDefault="00A90898" w:rsidP="00A90898">
      <w:pPr>
        <w:pStyle w:val="TextoNormal"/>
      </w:pPr>
      <w:r>
        <w:t>..........Bahía de Bizkaia Electricidad, S.L...........1,42</w:t>
      </w:r>
    </w:p>
    <w:p w:rsidR="00A90898" w:rsidRDefault="00A90898" w:rsidP="00A90898">
      <w:pPr>
        <w:pStyle w:val="TextoNormal"/>
      </w:pPr>
    </w:p>
    <w:p w:rsidR="00A90898" w:rsidRDefault="00A90898" w:rsidP="00A90898">
      <w:pPr>
        <w:pStyle w:val="TextoNormal"/>
      </w:pPr>
      <w:r>
        <w:t>..........Tarragona Power, S.L...........................0,81</w:t>
      </w:r>
    </w:p>
    <w:p w:rsidR="00A90898" w:rsidRDefault="00A90898" w:rsidP="00A90898">
      <w:pPr>
        <w:pStyle w:val="TextoNormal"/>
      </w:pPr>
    </w:p>
    <w:p w:rsidR="00A90898" w:rsidRDefault="00A90898" w:rsidP="00A90898">
      <w:pPr>
        <w:pStyle w:val="TextoNormal"/>
      </w:pPr>
      <w:r>
        <w:t>....................Total.....................................100,00</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00A90898" w:rsidRDefault="00A90898" w:rsidP="00A90898">
      <w:pPr>
        <w:pStyle w:val="TextoNormal"/>
      </w:pPr>
    </w:p>
    <w:p w:rsidR="00A90898" w:rsidRDefault="00A90898" w:rsidP="00A90898">
      <w:pPr>
        <w:pStyle w:val="TextoNormal"/>
      </w:pPr>
      <w:r>
        <w:t>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estas once entidades en concreto ni los porcentajes atribuidos a cada una.</w:t>
      </w:r>
    </w:p>
    <w:p w:rsidR="00A90898" w:rsidRDefault="00A90898" w:rsidP="00A90898">
      <w:pPr>
        <w:pStyle w:val="TextoNormal"/>
      </w:pPr>
    </w:p>
    <w:p w:rsidR="00A90898" w:rsidRDefault="00A90898" w:rsidP="00A90898">
      <w:pPr>
        <w:pStyle w:val="TextoNormal"/>
      </w:pPr>
      <w:r>
        <w:t>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 conforme ha quedado expuesto en los antecedentes.</w:t>
      </w:r>
    </w:p>
    <w:p w:rsidR="00A90898" w:rsidRDefault="00A90898" w:rsidP="00A90898">
      <w:pPr>
        <w:pStyle w:val="TextoNormal"/>
      </w:pPr>
    </w:p>
    <w:p w:rsidR="00A90898" w:rsidRDefault="00A90898" w:rsidP="00A90898">
      <w:pPr>
        <w:pStyle w:val="TextoNormal"/>
      </w:pPr>
      <w:r>
        <w:t>Por su parte, las entidades Castelnou Energía, S.L., y E.ON España, S.L., solicitan la estimación de la cuestión, al apreciar que el precepto vulnera el art. 14 CE, en cuanto impone una carga solo a determinadas empresas de generación eléctrica, dando lugar a una desigualdad injustificada. Denuncian, asimismo, la infracción del art. 9.3 CE, por no existir causa que explique la selección de las empresas obligadas, ni el porcentaje de contribución exigido a cada una de ellas. Las citadas sociedades apuntan también a la posible inconstitucionalidad de la norma por colisión con el art. 31.3 CE, al haberse impuesto una prestación patrimonial de carácter público sin definir los elementos esenciales de la misma; también con el art. 86.1 CE, al haberse establecido mediante un Real Decreto-ley sin concurrir el presupuesto habilitante de este instrumento normativo (la extraordinaria y urgente necesidad) y afectarse, además, al deber de contribuir a que se refiere el art. 31.1 CE.</w:t>
      </w:r>
    </w:p>
    <w:p w:rsidR="00A90898" w:rsidRDefault="00A90898" w:rsidP="00A90898">
      <w:pPr>
        <w:pStyle w:val="TextoNormal"/>
      </w:pPr>
    </w:p>
    <w:p w:rsidR="00A90898" w:rsidRDefault="00A90898" w:rsidP="00A90898">
      <w:pPr>
        <w:pStyle w:val="TextoNormal"/>
      </w:pPr>
      <w:r w:rsidRPr="00A90898">
        <w:rPr>
          <w:rStyle w:val="NumeroAFNegritaCaracter"/>
        </w:rPr>
        <w:t>2</w:t>
      </w:r>
      <w:r>
        <w:t>. Con carácter previo al examen de fondo, procede efectuar determinadas consideraciones preliminares, a fin de delimitar con precisión el objeto de la controversia y el alcance de nuestro enjuiciamiento:</w:t>
      </w:r>
    </w:p>
    <w:p w:rsidR="00A90898" w:rsidRDefault="00A90898" w:rsidP="00A90898">
      <w:pPr>
        <w:pStyle w:val="TextoNormal"/>
      </w:pPr>
    </w:p>
    <w:p w:rsidR="00A90898" w:rsidRDefault="00A90898" w:rsidP="00A90898">
      <w:pPr>
        <w:pStyle w:val="TextoNormal"/>
      </w:pPr>
      <w:r>
        <w:t xml:space="preserve">a) La primera se refiere a que, durante la pendencia del proceso </w:t>
      </w:r>
      <w:r w:rsidRPr="00A90898">
        <w:rPr>
          <w:i/>
        </w:rPr>
        <w:t>a quo</w:t>
      </w:r>
      <w:r>
        <w:t>,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00A90898" w:rsidRDefault="00A90898" w:rsidP="00A90898">
      <w:pPr>
        <w:pStyle w:val="TextoNormal"/>
      </w:pPr>
    </w:p>
    <w:p w:rsidR="00A90898" w:rsidRDefault="00A90898" w:rsidP="00A90898">
      <w:pPr>
        <w:pStyle w:val="TextoNormal"/>
      </w:pPr>
      <w: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es aplicable en el proceso </w:t>
      </w:r>
      <w:r w:rsidRPr="00A90898">
        <w:rPr>
          <w:i/>
        </w:rPr>
        <w:t>a quo</w:t>
      </w:r>
      <w:r>
        <w:t xml:space="preserve"> y de su validez depende la decisión a adoptar en este, como exigen el art. 163 CE y el art. 35 LOTC,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00A90898" w:rsidRDefault="00A90898" w:rsidP="00A90898">
      <w:pPr>
        <w:pStyle w:val="TextoNormal"/>
      </w:pPr>
    </w:p>
    <w:p w:rsidR="00A90898" w:rsidRDefault="00A90898" w:rsidP="00A90898">
      <w:pPr>
        <w:pStyle w:val="TextoNormal"/>
      </w:pPr>
      <w:r>
        <w:t>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tal y como demanda el art. 35.2 de la Ley Orgánica del Tribunal Constitucional (LOTC).</w:t>
      </w:r>
    </w:p>
    <w:p w:rsidR="00A90898" w:rsidRDefault="00A90898" w:rsidP="00A90898">
      <w:pPr>
        <w:pStyle w:val="TextoNormal"/>
      </w:pPr>
    </w:p>
    <w:p w:rsidR="00A90898" w:rsidRDefault="00A90898" w:rsidP="00A90898">
      <w:pPr>
        <w:pStyle w:val="TextoNormal"/>
      </w:pPr>
      <w:r>
        <w:t xml:space="preserve">A pesar de que las entidades Castelnou Energía, S.L., y E.ON España, S.L., suscitan en sus escritos de alegaciones la posible infracción de otros preceptos de la Constitución, aparte de los señalados por el órgano promotor, sobre los que, por tanto, el resto de partes no han sido oídas, no por ello debemos extender a ellos nuestro análisis de constitucionalidad. Las </w:t>
      </w:r>
      <w:r>
        <w:lastRenderedPageBreak/>
        <w:t>partes personadas no pueden, al hilo de lo dispuesto en el art. 37.2 LOTC, hacer valer una pretensión propia, sino únicamente defender u oponerse a la cuestión formulada por el órgano judicial, dentro de los parámetros fijados por este en su Auto de planteamiento. Todo ello sin perjuicio de la posibilidad que reconoce el art. 39.2 LOTC, como atribución de este Tribunal, y no de las partes del proceso constitucional (SSTC 81/2003, de 30 de abril, FJ 7; 126/2008, de 27 de octubre, FJ 1, y 126/2011, de 18 de julio, FJ 7, por todas), de fundar la declaración de inconstitucionalidad, en su caso, en la infracción de cualquier precepto constitucional, haya o no sido invocado en el curso del proceso.</w:t>
      </w:r>
    </w:p>
    <w:p w:rsidR="00A90898" w:rsidRDefault="00A90898" w:rsidP="00A90898">
      <w:pPr>
        <w:pStyle w:val="TextoNormal"/>
      </w:pPr>
    </w:p>
    <w:p w:rsidR="00A90898" w:rsidRDefault="00A90898" w:rsidP="00A90898">
      <w:pPr>
        <w:pStyle w:val="TextoNormal"/>
      </w:pPr>
      <w:r>
        <w:t>Por consiguiente, nuestro examen debe circunscribirse al contraste de la disposición cuestionada con los arts. 9.3 y 14 CE, sin entrar en la pretendida contradicción que alegan Castelnou Energía, S.L., y E.ON España, S.L., con los arts. 31.1 y 3 y 86.1 CE, no incluidos en el Auto de planteamiento.</w:t>
      </w:r>
    </w:p>
    <w:p w:rsidR="00A90898" w:rsidRDefault="00A90898" w:rsidP="00A90898">
      <w:pPr>
        <w:pStyle w:val="TextoNormal"/>
      </w:pPr>
    </w:p>
    <w:p w:rsidR="00A90898" w:rsidRDefault="00A90898" w:rsidP="00A90898">
      <w:pPr>
        <w:pStyle w:val="TextoNormal"/>
      </w:pPr>
      <w:r w:rsidRPr="00A90898">
        <w:rPr>
          <w:rStyle w:val="NumeroAFNegritaCaracter"/>
        </w:rPr>
        <w:t>3</w:t>
      </w:r>
      <w:r>
        <w:t>. La Sección Cuarta de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STC 167/2016, de 6 de octubre. El órgano judicial promotor es el mismo en ambas cuestiones y el Auto de planteamiento se encuentra redactado en los mismos términos, coincidiendo en su integridad tanto la norma impugnada como los preceptos constitucionales en juego, así como los argumentos esgrimidos por las partes en defensa de sus pretensiones.</w:t>
      </w:r>
    </w:p>
    <w:p w:rsidR="00A90898" w:rsidRDefault="00A90898" w:rsidP="00A90898">
      <w:pPr>
        <w:pStyle w:val="TextoNormal"/>
      </w:pPr>
    </w:p>
    <w:p w:rsidR="00A90898" w:rsidRDefault="00A90898" w:rsidP="00A90898">
      <w:pPr>
        <w:pStyle w:val="TextoNormal"/>
      </w:pPr>
      <w:r>
        <w:t>En la STC 167/2016, de 6 de octubre, tras encuadrar la controversia en el ámbito de la regulación del sector eléctrico y de la contención del déficit tarifario, y a la vista de nuestra doctrina sobre el principio de igualdad, se ha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Por lo que respecta al resto de empresas productoras de régimen ordinario, la selección de las once entidades obligadas a financiar los planes de ahorro y eficiencia energética tiene una justificación objetiva y razonable, respetando, asimismo, el canon de proporcionalidad exigible.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00A90898" w:rsidRDefault="00A90898" w:rsidP="00A90898">
      <w:pPr>
        <w:pStyle w:val="TextoNormal"/>
      </w:pPr>
    </w:p>
    <w:p w:rsidR="00A90898" w:rsidRDefault="00A90898" w:rsidP="00A90898">
      <w:pPr>
        <w:pStyle w:val="TextoNormal"/>
      </w:pPr>
      <w:r>
        <w:t>En consecuencia, con íntegra remisión a lo resuelto en la citada STC 167/2016, se llega aquí a la misma conclusión desestimatoria.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Desestimar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veintiocho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7" w:name="SENTENCIA_2016_198"/>
      <w:r>
        <w:lastRenderedPageBreak/>
        <w:t>SENTENCIA 198/2016, de 28 de noviembre de 2016</w:t>
      </w:r>
    </w:p>
    <w:bookmarkEnd w:id="77"/>
    <w:p w:rsidR="00A90898" w:rsidRDefault="00A90898" w:rsidP="00A90898">
      <w:pPr>
        <w:pStyle w:val="TtuloResolucin"/>
      </w:pPr>
      <w:r>
        <w:t>Sala Segunda</w:t>
      </w:r>
    </w:p>
    <w:p w:rsidR="00A90898" w:rsidRDefault="00A90898" w:rsidP="00A90898">
      <w:pPr>
        <w:pStyle w:val="TtuloBOE"/>
      </w:pPr>
      <w:r>
        <w:t>(BOE núm. 7, de 9 de enero de 2017)</w:t>
      </w:r>
    </w:p>
    <w:p w:rsidR="00A90898" w:rsidRDefault="00A90898" w:rsidP="00A90898">
      <w:pPr>
        <w:pStyle w:val="TextoNormalCentrado"/>
      </w:pPr>
      <w:r>
        <w:t>ECLI:ES:TC:2016:198</w:t>
      </w:r>
    </w:p>
    <w:p w:rsidR="00A90898" w:rsidRDefault="00A90898" w:rsidP="00A90898">
      <w:pPr>
        <w:pStyle w:val="TextoNormalCentrado"/>
      </w:pPr>
    </w:p>
    <w:p w:rsidR="00A90898" w:rsidRDefault="00A90898" w:rsidP="00A90898">
      <w:pPr>
        <w:pStyle w:val="SntesisDescriptiva"/>
      </w:pPr>
      <w:r>
        <w:t>Recurso de amparo 6887-2014. Promovido por Iberdrola, S.A., en relación con la liquidación provisional de las actividades reguladas del sector eléctrico correspondiente al ejercicio de 2011, practicada por la Comisión Nacional de Energía y las Sentencias de las Salas de lo Contencioso-Administrativo de la Audiencia Nacional y del Tribunal Supremo que desestimaron la impugnación contra la misma.</w:t>
      </w:r>
    </w:p>
    <w:p w:rsidR="00A90898" w:rsidRDefault="00A90898" w:rsidP="00A90898">
      <w:pPr>
        <w:pStyle w:val="SntesisDescriptiva"/>
      </w:pPr>
    </w:p>
    <w:p w:rsidR="00A90898" w:rsidRDefault="00A90898" w:rsidP="00A90898">
      <w:pPr>
        <w:pStyle w:val="SntesisAnaltica"/>
      </w:pPr>
      <w:r>
        <w:t>Supuesta vulneración del derecho a la igualdad: préstamo forzoso exigido a las empresas dedicadas principalmente a la producción de energía eléctrica en régimen ordinario y destinado a cubrir desajustes temporales en las liquidaciones de las actividades reguladas (STC 167/2016).</w:t>
      </w:r>
    </w:p>
    <w:p w:rsidR="00A90898" w:rsidRDefault="00A90898" w:rsidP="00A90898">
      <w:pPr>
        <w:pStyle w:val="SntesisAnaltica"/>
      </w:pPr>
    </w:p>
    <w:p w:rsidR="00A90898" w:rsidRDefault="00A90898" w:rsidP="00A90898">
      <w:pPr>
        <w:pStyle w:val="Extracto"/>
      </w:pPr>
      <w:r>
        <w:t>1.</w:t>
      </w:r>
      <w:r>
        <w:tab/>
        <w:t>La cuestión planteada sobre la obligación de contribución en materia de financiación por el sector eléctrico de planes de ahorro y eficiencia energética, y la elección de determinadas empresas para paliar el déficit tarifario es sustancialmente igual a la decidida por la STC 167/2016 [FJ 3].</w:t>
      </w:r>
    </w:p>
    <w:p w:rsidR="00A90898" w:rsidRDefault="00A90898" w:rsidP="00A90898">
      <w:pPr>
        <w:pStyle w:val="Extracto"/>
      </w:pPr>
    </w:p>
    <w:p w:rsidR="00A90898" w:rsidRDefault="00A90898" w:rsidP="00A90898">
      <w:pPr>
        <w:pStyle w:val="Extracto"/>
      </w:pPr>
      <w:r>
        <w:t>2.</w:t>
      </w:r>
      <w:r>
        <w:tab/>
        <w:t>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[FJ 4].</w:t>
      </w:r>
    </w:p>
    <w:p w:rsidR="00A90898" w:rsidRDefault="00A90898" w:rsidP="00A90898">
      <w:pPr>
        <w:pStyle w:val="Extracto"/>
      </w:pPr>
    </w:p>
    <w:p w:rsidR="00A90898" w:rsidRDefault="00A90898" w:rsidP="00A90898">
      <w:pPr>
        <w:pStyle w:val="Extracto"/>
      </w:pPr>
      <w:r>
        <w:t>3.</w:t>
      </w:r>
      <w:r>
        <w:tab/>
        <w:t>Lo que prohíbe el principio de igualdad son, en suma, las desigualdades que resulten artificiosas o injustificadas por no venir fundadas en criterios objetivos y razonables, según criterios o juicios de valor generalmente aceptados, luego para que sea constitucionalmente lícita la diferencia de trato, las consecuencias jurídicas que se deriven de tal distinción deben ser proporcionadas a la finalidad perseguida, de suerte que se eviten resultados excesivamente gravosos o desmedidos (entre muchas otras, (SSTC 22/1981, 167/2016) [FJ 4].</w:t>
      </w:r>
    </w:p>
    <w:p w:rsidR="00A90898" w:rsidRDefault="00A90898" w:rsidP="00A90898">
      <w:pPr>
        <w:pStyle w:val="Extracto"/>
      </w:pPr>
    </w:p>
    <w:p w:rsidR="00A90898" w:rsidRDefault="00A90898" w:rsidP="00A90898">
      <w:pPr>
        <w:pStyle w:val="Extracto"/>
      </w:pPr>
      <w:r>
        <w:t>4.</w:t>
      </w:r>
      <w:r>
        <w:tab/>
        <w:t>El derecho a la tutela judicial efectiva no incluye un pretendido derecho al acierto judicial (SSTC 147/1999 y 276/2006) [FJ 5].</w:t>
      </w:r>
    </w:p>
    <w:p w:rsidR="00A90898" w:rsidRDefault="00A90898" w:rsidP="00A90898">
      <w:pPr>
        <w:pStyle w:val="Extracto"/>
      </w:pPr>
    </w:p>
    <w:p w:rsidR="00A90898" w:rsidRDefault="00A90898" w:rsidP="00A90898">
      <w:pPr>
        <w:pStyle w:val="Extracto"/>
      </w:pPr>
      <w:r>
        <w:t>5.</w:t>
      </w:r>
      <w:r>
        <w:tab/>
        <w:t>En lo atinente a la supuesta incongruencia omisiva, el derecho a la tutela judicial efectiva no exige una contestación explícita y pormenorizada a todas y cada una de las alegaciones que se aducen por las partes como fundamentado de su pretensión  (STC 178/2014)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6887-2014, promovido por Iberdrola, S.A., representada por el Procurador de los Tribunales don José Luis Martín Jaureguibeitia y asistida por los Abogados don Juan José Lavilla Rubira, doña María Luisa García Blanco y don Isaac Salama Salama, contra: i) la resolución de la Comisión Nacional de Energía, de 12 de enero de 2012, por la que se practicó la liquidación provisional núm. 11-2011 de las actividades reguladas del sistema eléctrico; ii) la Sentencia de la Sala de lo Contencioso-Administrativo de la Audiencia Nacional, de 19 de diciembre de 2012, por la que se desestimó el recurso contencioso-administrativo núm. 1-2012 interpuesto contra la citada resolución; iii) la Sentencia de la Sala de lo Contencioso-Administrativo del Tribunal Supremo (Sección Séptima), de 28 de marzo de 2014, que desestimó el recurso de casación núm. 292-2013 presentado contra la Sentencia de instancia; y iv) el Auto de la misma Sala, de 25 de septiembre de 2014, por el que se desestimó el incidente de nulidad de actuaciones promovido frente a la anterior. Han comparecido y formulado alegaciones el Abogado del Estado, el Ministerio Fiscal y la entidad Iberdrola, S.A.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14 de noviembre de 2014, el Procurador de los Tribunales don José Luis Martín Jaureguibeitia, en nombre y representación de Iberdrola, S.A., interpuso un recurso de amparo contra las resoluciones referidas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de amparo son los siguientes:</w:t>
      </w:r>
    </w:p>
    <w:p w:rsidR="00A90898" w:rsidRDefault="00A90898" w:rsidP="00A90898">
      <w:pPr>
        <w:pStyle w:val="TextoNormal"/>
      </w:pPr>
    </w:p>
    <w:p w:rsidR="00A90898" w:rsidRDefault="00A90898" w:rsidP="00A90898">
      <w:pPr>
        <w:pStyle w:val="TextoNormal"/>
      </w:pPr>
      <w:r>
        <w:t>a) Iberdrola, S.A., interpuso un recurso contencioso-administrativo por el procedimiento especial para la protección de los derechos fundamentales contra la resolución del Consejo de la Comisión Nacional de Energía que aprobó la liquidación provisional núm. 11 de las actividades reguladas del sector eléctrico del ejercicio 2011 (en lo sucesivo, liquidación 11-2011). En ella se establecía una obligación de abono de 108.958.368,27 € a cargo de Iberdrola, S.A., para la financiación del déficit de tarifa, conforme a lo previsto en la disposición adicional vigésima primera de la Ley 54/1997, de 27 de noviembre, del sector eléctrico (disposición adicional vigésima primera de la Ley del sector eléctrico: LSE, en lo que sigue). La demandante sostenía que, al imponer la carga de financiación del déficit exclusivamente a las cinco empresas del sector que señala la norma (entre ellas Iberdrola, S.A.), se lesiona el derecho a la igualdad ante la ley, reconocido por el art. 14 CE.</w:t>
      </w:r>
    </w:p>
    <w:p w:rsidR="00A90898" w:rsidRDefault="00A90898" w:rsidP="00A90898">
      <w:pPr>
        <w:pStyle w:val="TextoNormal"/>
      </w:pPr>
    </w:p>
    <w:p w:rsidR="00A90898" w:rsidRDefault="00A90898" w:rsidP="00A90898">
      <w:pPr>
        <w:pStyle w:val="TextoNormal"/>
      </w:pPr>
      <w:r>
        <w:lastRenderedPageBreak/>
        <w:t>b) Tramitado dicho recurso ante la Sección Cuarta de la Sala de lo Contencioso-Administrativo de la Audiencia Nacional con el núm. 1-2012, fue desestimado por la Sentencia de 19 de diciembre de 2012, que declaró la resolución impugnada ajustada a Derecho, al entender que existe una justificación objetiva y razonable para exigir a las empresas incluidas en la disposición adicional vigésima primera LSE la financiación del déficit de tarifa, como es el hecho de ser las operadoras principales del sector, motivo que les había hecho acreedoras en su día del derecho a percibir los costes de transición a la competencia.</w:t>
      </w:r>
    </w:p>
    <w:p w:rsidR="00A90898" w:rsidRDefault="00A90898" w:rsidP="00A90898">
      <w:pPr>
        <w:pStyle w:val="TextoNormal"/>
      </w:pPr>
    </w:p>
    <w:p w:rsidR="00A90898" w:rsidRDefault="00A90898" w:rsidP="00A90898">
      <w:pPr>
        <w:pStyle w:val="TextoNormal"/>
      </w:pPr>
      <w:r>
        <w:t>c) Contra la referida Sentencia la sociedad mercantil demandante interpuso un recurso de casación (núm. 292-2013), aduciendo la vulneración del art. 14 CE y de los principios de imprescriptibilidad, irrenunciabilidad, indisponibilidad y permanencia de los derechos fundamentales y, en concreto, del derecho a la igualdad.</w:t>
      </w:r>
    </w:p>
    <w:p w:rsidR="00A90898" w:rsidRDefault="00A90898" w:rsidP="00A90898">
      <w:pPr>
        <w:pStyle w:val="TextoNormal"/>
      </w:pPr>
    </w:p>
    <w:p w:rsidR="00A90898" w:rsidRDefault="00A90898" w:rsidP="00A90898">
      <w:pPr>
        <w:pStyle w:val="TextoNormal"/>
      </w:pPr>
      <w:r>
        <w:t>d) Por Sentencia de 28 de marzo de 2014 la Sección Séptima de la Sala de lo Contencioso-Administrativo del Tribunal Supremo desestimó el recurso de casación, recordando que mediante dos Sentencias del Pleno de 18 de noviembre de 2013 (recursos de casación 843-2013 y 848-2013) ya había desestimado dos recursos semejantes interpuestos por otras compañías eléctricas afectadas también por la disposición adicional vigésima primera LSE (la Sentencia que resuelve el recurso de casación núm. 848-2013 es a su vez objeto del recurso de amparo núm. 354-2014, promovido por “Endesa, S.A.”, cuyo contenido coincide sustancialmente con el presente recurso núm. 6887-2014). Por tanto, se remite a lo razonado en tales Sentencias, insistiendo especialmente en que la recurrente fue perceptora de los costes de transición a la competencia y que, desde un enfoque global del sector eléctrico, esto la singulariza respecto de las demás empresas del sector y, con mayor motivo, respecto de los demás sectores económicos.</w:t>
      </w:r>
    </w:p>
    <w:p w:rsidR="00A90898" w:rsidRDefault="00A90898" w:rsidP="00A90898">
      <w:pPr>
        <w:pStyle w:val="TextoNormal"/>
      </w:pPr>
    </w:p>
    <w:p w:rsidR="00A90898" w:rsidRDefault="00A90898" w:rsidP="00A90898">
      <w:pPr>
        <w:pStyle w:val="TextoNormal"/>
      </w:pPr>
      <w:r>
        <w:t>e) Contra la Sentencia desestimatoria fue interpuesto un incidente de nulidad de actuaciones por la posible vulneración del art. 24.1 CE por incurrir, según la recurrente, en error patente e incongruencia omisiva. El incidente fue desestimado por Auto de 25 de septiembre de 2014.</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de amparo se fundamenta en dos motivos: i) la vulneración del derecho de la sociedad demandante a la igualdad de trato sin discriminación (art. 14 CE), que achaca a la liquidación 11-2011; y ii) la infracción del art. 24.1 CE en que incurre, a su juicio, la Sentencia del Tribunal Supremo que la confirma.</w:t>
      </w:r>
    </w:p>
    <w:p w:rsidR="00A90898" w:rsidRDefault="00A90898" w:rsidP="00A90898">
      <w:pPr>
        <w:pStyle w:val="TextoNormal"/>
      </w:pPr>
    </w:p>
    <w:p w:rsidR="00A90898" w:rsidRDefault="00A90898" w:rsidP="00A90898">
      <w:pPr>
        <w:pStyle w:val="TextoNormal"/>
      </w:pPr>
      <w:r>
        <w:t xml:space="preserve">Comienza su argumentación con la primera infracción, que habría ocasionado la Administración al dictar la liquidación impugnada, en aplicación de la disposición adicional vigésima primera LSE, de tal manera que la vulneración sería resultado de la inconstitucionalidad de dicha norma legal. Considera Iberdrola, S.A., que el precepto indicado incurre en una desigualdad de trato sin fundamento entre categorías de personas equiparables desde el punto de vista de la finalidad de la norma. En este sentido, invoca como términos de comparación válidos que demostrarían la discriminación: i) en primer término, otras empresas de tamaño similar a las llamadas a financiar el déficit tarifario (cita a las empresas del IBEX 35), que compiten con ellas en un mercado financiero cada vez más restrictivo; ii) en segundo lugar, las empresas de otros sectores energéticos distintos al eléctrico (cita, entre otras, a Repsol, S.A.), dada la intercambiabilidad de la electricidad con otras modalidades </w:t>
      </w:r>
      <w:r>
        <w:lastRenderedPageBreak/>
        <w:t>de energía; y iii) por último, otras empresas del sector eléctrico, mencionando a Red Eléctrica de España, S.A., dedicada al transporte, y las demás empresas generadoras distintas de las cinco obligadas.</w:t>
      </w:r>
    </w:p>
    <w:p w:rsidR="00A90898" w:rsidRDefault="00A90898" w:rsidP="00A90898">
      <w:pPr>
        <w:pStyle w:val="TextoNormal"/>
      </w:pPr>
    </w:p>
    <w:p w:rsidR="00A90898" w:rsidRDefault="00A90898" w:rsidP="00A90898">
      <w:pPr>
        <w:pStyle w:val="TextoNormal"/>
      </w:pPr>
      <w:r>
        <w:t xml:space="preserve">La recurrente considera totalmente injustificada la selección de las cinco entidades obligadas por la disposición adicional vigésima primera LSE centrándose en contrarrestar la conexión que traza la Sentencia impugnada con la percepción de los costes de transición a la competencia, que considera una justificación </w:t>
      </w:r>
      <w:r w:rsidRPr="00A90898">
        <w:rPr>
          <w:i/>
        </w:rPr>
        <w:t>ex post</w:t>
      </w:r>
      <w:r>
        <w:t>. Tras recordar que estos derechos se suprimieron en 2006, alega que no hay vínculo alguno entre ellos y el déficit tarifario. A esto añade que no hay identidad entre las empresas perceptoras de los costes de transición a la competencia y las incluidas en la disposición adicional vigésima primera, aclarando que aquellas se definían de forma abstracta, prueba de lo cual es que la transmisión de la titularidad de las instalaciones a las que se asociaban las compensaciones llevaba aparejada la del propio derecho a su percepción. En concreto, niega que las operaciones societarias llevadas a cabo en el sector puedan explicar la diferencia entre las empresas beneficiarias de los costes de transición a la competencia y las incluidas en la norma controvertida; al igual que tampoco cabe sostener que los porcentajes de la disposición adicional vigésima primera LSE coincidan con los de los costes de transición a la competencia, puesto que Iberdrola, S.A., tenía derecho a cobrar por tales derechos un 27,10 por 100 y, en cambio, se le impone una obligación de financiación del 35,01 por 100 del déficit.</w:t>
      </w:r>
    </w:p>
    <w:p w:rsidR="00A90898" w:rsidRDefault="00A90898" w:rsidP="00A90898">
      <w:pPr>
        <w:pStyle w:val="TextoNormal"/>
      </w:pPr>
    </w:p>
    <w:p w:rsidR="00A90898" w:rsidRDefault="00A90898" w:rsidP="00A90898">
      <w:pPr>
        <w:pStyle w:val="TextoNormal"/>
      </w:pPr>
      <w:r>
        <w:t>Iberdrola, S.A., tampoco considera razón suficiente para la desigualdad ninguno de los otros factores aducidos por la Sentencia impugnada, por remisión a la Sentencia del Pleno del Tribunal Supremo de 18 de noviembre de 2013, puesto que ni las obligadas son causantes del déficit, cuyo origen está en la decisión política de no incrementar la tarifa en la medida necesaria; ni la condición de operador dominante cualifica a Iberdrola, S.A., como obligada a sufragar el déficit de tarifa; ni el dato de operar de forma integrada debe servir para fundamentar la diferenciación. Por último, la supuesta solvencia y capacidad para asumir la obligación impuesta tampoco puede justificar la discriminación, pues, por ejemplo, E.On España, S.L., está obligada a financiar un 1 por 100 del déficit, frente a Iberdrola, S.A., cuyo porcentaje es del 35,01 por 100, lo que conllevaría admitir que la solvencia financiera de esta es 35 veces mayor que la de aquella, lo que evidentemente no es cierto.</w:t>
      </w:r>
    </w:p>
    <w:p w:rsidR="00A90898" w:rsidRDefault="00A90898" w:rsidP="00A90898">
      <w:pPr>
        <w:pStyle w:val="TextoNormal"/>
      </w:pPr>
    </w:p>
    <w:p w:rsidR="00A90898" w:rsidRDefault="00A90898" w:rsidP="00A90898">
      <w:pPr>
        <w:pStyle w:val="TextoNormal"/>
      </w:pPr>
      <w:r>
        <w:t>Por lo que se refiere al requisito de proporcionalidad de la diferencia, insiste en que el porcentaje del 35,01 por 100 que se le exige no coincide con el de percepción de los costes de transición a la competencia, ni se conoce su origen. Esto se agrava si se repara en que, al imponerse a la matriz del grupo, se está cargando también sobre sus filiales y activos en el extranjero, en perjuicio de su credibilidad en los mercados internacionales, y con evidente desproporción respecto de la finalidad de la medida, que debe ceñirse al ámbito nacional. La desproporción se pone además de manifiesto con solo observar que la Ley 24/2013, de 26 de diciembre, del sector eléctrico sustituye la relación nominal de las obligadas por una fórmula abstracta que incluye a todos los sujetos del sistema de liquidación, lo que supone un reconocimiento de la desproporción del sistema previsto en la disposición adicional vigésima primera LSE.</w:t>
      </w:r>
    </w:p>
    <w:p w:rsidR="00A90898" w:rsidRDefault="00A90898" w:rsidP="00A90898">
      <w:pPr>
        <w:pStyle w:val="TextoNormal"/>
      </w:pPr>
    </w:p>
    <w:p w:rsidR="00A90898" w:rsidRDefault="00A90898" w:rsidP="00A90898">
      <w:pPr>
        <w:pStyle w:val="TextoNormal"/>
      </w:pPr>
      <w:r>
        <w:t xml:space="preserve">En relación con la infracción del art. 14 CE, la recurrente aborda, por último, la perspectiva del Derecho de la Unión Europea, señalando que la obligación impuesta tiene naturaleza de obligación de servicio público y debería por ello recibir el mismo tratamiento que el </w:t>
      </w:r>
      <w:r>
        <w:lastRenderedPageBreak/>
        <w:t xml:space="preserve">dispensado al llamado “bono social” por la Sentencia del Tribunal Supremo de 7 de febrero de 2012, con base, a su vez, en la doctrina del Tribunal de Justicia de la Unión Europea (asunto </w:t>
      </w:r>
      <w:r w:rsidRPr="00A90898">
        <w:rPr>
          <w:i/>
        </w:rPr>
        <w:t>Federutility</w:t>
      </w:r>
      <w:r>
        <w:t>).</w:t>
      </w:r>
    </w:p>
    <w:p w:rsidR="00A90898" w:rsidRDefault="00A90898" w:rsidP="00A90898">
      <w:pPr>
        <w:pStyle w:val="TextoNormal"/>
      </w:pPr>
    </w:p>
    <w:p w:rsidR="00A90898" w:rsidRDefault="00A90898" w:rsidP="00A90898">
      <w:pPr>
        <w:pStyle w:val="TextoNormal"/>
      </w:pPr>
      <w:r>
        <w:t>Por lo que se refiere a la supuesta vulneración del art. 24.1 CE, la recurrente considera que la Sentencia impugnada ha incurrido en un error patente al afirmar que la Audiencia Nacional aceptó la argumentación de la Administración acerca del origen de los porcentajes de financiación del déficit, cuando la Sentencia de instancia consideró que esta era una cuestión de legalidad ordinaria, ajena al procedimiento especial de protección de los derechos fundamentales; yerra, asimismo, el Tribunal Supremo al afirmar que la recurrente justificaba la irrazonabilidad del porcentaje atribuido a Iberdrola, S.A., en la financiación del déficit de tarifa en que otros sectores empresariales deben participar en esa financiación obligatoria, pues no era ese el fundamento de la irrazonabilidad, sino la falta de correlación con su cuota de mercado o su participación en los costes de transición a la competencia. Agrega la recurrente que, si bien en el caso de Endesa, S.A., el porcentaje de los costes de transición a la competencia y de cobertura del déficit es muy similar (44,84 por 100 frente a 44,16 por 100, respectivamente), no sucede así en su caso, por lo que si la Sentencia del Pleno de 18 de noviembre de 2013 avaló la vinculación entre ambas medidas en el caso de dicha compañía, por el mismo motivo debe considerar irrazonable el porcentaje atribuido a Iberdrola, S.A. Por último, también incurre en error patente la Sentencia impugnada al aseverar que las cinco empresas obligadas por la disposición adicional vigésima primera LSE representan la “práctica totalidad del sector eléctrico”, puesto que casi la mitad del mercado de generación y toda la actividad de transporte quedan fuera de la obligación analizada.</w:t>
      </w:r>
    </w:p>
    <w:p w:rsidR="00A90898" w:rsidRDefault="00A90898" w:rsidP="00A90898">
      <w:pPr>
        <w:pStyle w:val="TextoNormal"/>
      </w:pPr>
    </w:p>
    <w:p w:rsidR="00A90898" w:rsidRDefault="00A90898" w:rsidP="00A90898">
      <w:pPr>
        <w:pStyle w:val="TextoNormal"/>
      </w:pPr>
      <w:r>
        <w:t>Por otra parte, para el caso de que se entendiera que no se ha incurrido en error patente, se alega que la Sentencia impugnada no supera el test reforzado de razonabilidad, ni realiza una valoración razonable de la prueba practicada, pues esta desmiente la conclusión de que las empresas financiadoras constituyeran la práctica totalidad del sector eléctrico y acredita, además, los perjuicios irrogados a la recurrente, a pesar de lo cual el Tribunal Supremo afirma, irrazonablemente, que al cumplir con la disposición adicional vigésima primera LSE las empresas financiadoras “actúan en su propio provecho”. En relación con la parte del sector excluida, se habría incurrido en incongruencia omisiva, ya que no se ha dado respuesta a una alegación sustancial de “Iberdrola, S.A.” como era la relativa a que un 41,02 por 100 del sector de generación de energía eléctrica había quedado eximida de la obligación de financiar el déficit de tarifa.</w:t>
      </w:r>
    </w:p>
    <w:p w:rsidR="00A90898" w:rsidRDefault="00A90898" w:rsidP="00A90898">
      <w:pPr>
        <w:pStyle w:val="TextoNormal"/>
      </w:pPr>
    </w:p>
    <w:p w:rsidR="00A90898" w:rsidRDefault="00A90898" w:rsidP="00A90898">
      <w:pPr>
        <w:pStyle w:val="TextoNormal"/>
      </w:pPr>
      <w:r>
        <w:t>Finaliza la demanda justificando la especial trascendencia constitucional del recurso con apoyo en tres supuestos de los identificados en la STC 155/2009, FJ 2: i) plantea un problema o una faceta de un derecho fundamental susceptible de amparo sobre el que no hay doctrina del Tribunal Constitucional, cual es la figura de los “empréstitos forzosos”; ii) la vulneración del derecho fundamental que se denuncia proviene de la ley, en particular, de la disposición adicional vigésima primera LSE y iii) el asunto suscitado trasciende del caso concreto porque plantea una cuestión jurídica de relevante y general repercusión social o económica, a la vista de la importancia cuantitativa del déficit de tarifa.</w:t>
      </w:r>
    </w:p>
    <w:p w:rsidR="00A90898" w:rsidRDefault="00A90898" w:rsidP="00A90898">
      <w:pPr>
        <w:pStyle w:val="TextoNormal"/>
      </w:pPr>
    </w:p>
    <w:p w:rsidR="00A90898" w:rsidRDefault="00A90898" w:rsidP="00A90898">
      <w:pPr>
        <w:pStyle w:val="TextoNormal"/>
      </w:pPr>
      <w:r>
        <w:t xml:space="preserve">Por todo lo expuesto, solicita que se dicte Sentencia estimatoria, reconociendo el derecho fundamental violado y restableciendo en él a la actora, previa elevación de la cuestión al </w:t>
      </w:r>
      <w:r>
        <w:lastRenderedPageBreak/>
        <w:t>Pleno, con base en lo dispuesto en el art. 55.2 de la Ley Orgánica del Tribunal Constitucional (LOTC), si procede.</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16 de abril de 2015 la Sala Segunda de este Tribunal acordó la admisión a trámite del recurso de amparo, como consecuencia de que la posible vulneración pudiera provenir de la ley o de otra disposición de carácter general [STC 155/2009, FJ 2 c)], por lo que, a tenor de lo dispuesto en el art. 51 LOTC, ordenó requerir atentamente a la Sección Séptima de la Sala de lo Contencioso-Administrativo del Tribunal Supremo y a la Sección Cuarta de la Sala de lo Contencioso-Administrativo de la Audiencia Nacional para que en el plazo de diez días remitieran, respectivamente, certificación o copia adverada de las actuaciones correspondientes al recurso de casación núm. 292-2013 y al recurso contencioso-administrativo núm. 1-2012, tramitado por el procedimiento especial para la protección de los derechos fundamentales, interesándose al propio tiempo el emplazamiento de quienes hubieran sido parte en ese procedimiento, excepto la parte recurrente en amparo, para que en el plazo de diez días pudieran comparecer, si lo deseaban, en 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Por diligencia de ordenación de la Secretaria de Justicia de la Sección Cuarta de la Sala Segunda de 8 de junio de 2015 se tuvo por personado y parte al Abogado del Estado y a los Procuradores doña Pilar Irribarren Cavalle, en nombre y representación de Gas Natural SDG, S.A., y a don Carlos Mairata Laviña, en nombre y representación de Hidroeléctrica del Cantábrico, S.A. Asimismo, se tuvieron por recibidos los testimonios de las actuaciones remitidos por los correspondientes órganos judiciales y se procedió, conforme a lo establecido en el art. 52.1 LOTC, a dar vista de las mismas por plazo común de veinte días a las partes y al Ministerio Fiscal, para que presentaran las alegaciones que estimasen pertinentes.</w:t>
      </w:r>
    </w:p>
    <w:p w:rsidR="00A90898" w:rsidRDefault="00A90898" w:rsidP="00A90898">
      <w:pPr>
        <w:pStyle w:val="TextoNormal"/>
      </w:pPr>
    </w:p>
    <w:p w:rsidR="00A90898" w:rsidRDefault="00A90898" w:rsidP="00A90898">
      <w:pPr>
        <w:pStyle w:val="TextoNormal"/>
      </w:pPr>
      <w:r w:rsidRPr="00A90898">
        <w:rPr>
          <w:rStyle w:val="NumeroAFNegritaCaracter"/>
        </w:rPr>
        <w:t>6</w:t>
      </w:r>
      <w:r>
        <w:t>. El Abogado del Estado dio cumplimiento al trámite de alegaciones conferido mediante escrito registrado en este Tribunal el 6 de julio de 2015, por el que solicita que se desestime el recurso de amparo, por las razones que a continuación se sintetizan.</w:t>
      </w:r>
    </w:p>
    <w:p w:rsidR="00A90898" w:rsidRDefault="00A90898" w:rsidP="00A90898">
      <w:pPr>
        <w:pStyle w:val="TextoNormal"/>
      </w:pPr>
    </w:p>
    <w:p w:rsidR="00A90898" w:rsidRDefault="00A90898" w:rsidP="00A90898">
      <w:pPr>
        <w:pStyle w:val="TextoNormal"/>
      </w:pPr>
      <w:r>
        <w:t>El representante de la Administración del Estado comienza señalando que el recurso ha perdido su objeto puesto que ya a la fecha de presentarse la entidad había recuperado el importe anticipado, junto con los intereses correspondientes. En segundo lugar, niega que se haya producido la vulneración del art. 24.1 CE, que la demanda fundamenta en referencias aisladas a la Sentencia del Tribunal Supremo, y no al conjunto de su razonamiento, como viene exigiendo la doctrina constitucional.</w:t>
      </w:r>
    </w:p>
    <w:p w:rsidR="00A90898" w:rsidRDefault="00A90898" w:rsidP="00A90898">
      <w:pPr>
        <w:pStyle w:val="TextoNormal"/>
      </w:pPr>
    </w:p>
    <w:p w:rsidR="00A90898" w:rsidRDefault="00A90898" w:rsidP="00A90898">
      <w:pPr>
        <w:pStyle w:val="TextoNormal"/>
      </w:pPr>
      <w:r>
        <w:t xml:space="preserve">A continuación, entra a valorar los términos de comparación ofrecidos por la recurrente, como elemento esencial para apreciar la vulneración del principio de igualdad, no sin antes recordar que la Administración ha negado la existencia de tales términos, tanto en el proceso ante la Audiencia Nacional como en la casación ante el Tribunal Supremo. En este sentido, considera que la apelación al resto de empresas de otros sectores económicos es una alegación genérica, que la doctrina constitucional no acepta como válida; en cuanto a las empresas eléctricas que operan en el llamado régimen especial, alega que con su invocación la demandante está realmente criticando la opción legislativa sobre la financiación del déficit, pero sin recoger un término de comparación, a lo que añade que, desde 2010, la carga de reestructuración del sector eléctrico ha recaído de manera intensa en las empresas sujetas a </w:t>
      </w:r>
      <w:r>
        <w:lastRenderedPageBreak/>
        <w:t>régimen especial; de igual modo, considera genérica la referencia al resto de empresas del sector eléctrico, pero sin concretar una situación singular equiparable a la de la demandante, que cobró los costes de transición a la competencia y es actor principal del sistema eléctrico nacional.</w:t>
      </w:r>
    </w:p>
    <w:p w:rsidR="00A90898" w:rsidRDefault="00A90898" w:rsidP="00A90898">
      <w:pPr>
        <w:pStyle w:val="TextoNormal"/>
      </w:pPr>
    </w:p>
    <w:p w:rsidR="00A90898" w:rsidRDefault="00A90898" w:rsidP="00A90898">
      <w:pPr>
        <w:pStyle w:val="TextoNormal"/>
      </w:pPr>
      <w:r>
        <w:t>Sostiene el Abogado del Estado que, a falta de un término válido de comparación, el juicio de igualdad se ha de llevar a cabo desde la perspectiva de la interdicción de la arbitrariedad. Y en este punto recuerda que nos encontramos ante una norma con rango legal, que goza de presunción de constitucionalidad, de acuerdo con la doctrina constitucional que cita. En este sentido, la medida enjuiciada debe enmarcarse en un entorno de grave crisis económica que obligó a dictar numerosos reales decretos-leyes para hacer frente al creciente déficit tarifario.</w:t>
      </w:r>
    </w:p>
    <w:p w:rsidR="00A90898" w:rsidRDefault="00A90898" w:rsidP="00A90898">
      <w:pPr>
        <w:pStyle w:val="TextoNormal"/>
      </w:pPr>
    </w:p>
    <w:p w:rsidR="00A90898" w:rsidRDefault="00A90898" w:rsidP="00A90898">
      <w:pPr>
        <w:pStyle w:val="TextoNormal"/>
      </w:pPr>
      <w:r>
        <w:t>Para argumentar la justificación objetiva y razonable de la medida controvertida, se remite a la posición mantenida por la Abogacía del Estado ante la Audiencia Nacional y el Tribunal Supremo, que ha sido acogida por ambos tribunales, por lo que no cabe sino insistir en el razonamiento de la Sentencia del Pleno de la Sala de lo Contencioso-Administrativo del Tribunal Supremo de 18 de noviembre de 2013, y en los rasgos de Iberdrola, S.A., y de las otras cuatro obligadas que la Sentencia identifica como distintivos, debiendo recordar, como hace la Sala, que “aunque el legislador hubiera podido optar por otra forma de afrontarlo”, la decisión política sobre la financiación del déficit de tarifa plasmada en la disposición adicional vigésima primera LSE descansa en unos hechos indubitados y es, por ello, constitucional.</w:t>
      </w:r>
    </w:p>
    <w:p w:rsidR="00A90898" w:rsidRDefault="00A90898" w:rsidP="00A90898">
      <w:pPr>
        <w:pStyle w:val="TextoNormal"/>
      </w:pPr>
    </w:p>
    <w:p w:rsidR="00A90898" w:rsidRDefault="00A90898" w:rsidP="00A90898">
      <w:pPr>
        <w:pStyle w:val="TextoNormal"/>
      </w:pPr>
      <w:r>
        <w:t>Por lo que se refiere a la invocación del derecho comunitario y a la calificación de la obligación impuesta como una obligación de servicio público a los efectos del art. 3.2. de la Directiva 2009/72/CE, recuerda que el Tribunal Constitucional ha declarado reiteradamente que las cuestiones de aplicación del Derecho comunitario corresponden a los Tribunales ordinarios, entrando solo a valorar esta aplicación desde la perspectiva del art. 24.1 CE, cuando el razonamiento hubiera incurrido en arbitrariedad o irracionalidad (cita, en este sentido, la STC 145/2012).</w:t>
      </w:r>
    </w:p>
    <w:p w:rsidR="00A90898" w:rsidRDefault="00A90898" w:rsidP="00A90898">
      <w:pPr>
        <w:pStyle w:val="TextoNormal"/>
      </w:pPr>
    </w:p>
    <w:p w:rsidR="00A90898" w:rsidRDefault="00A90898" w:rsidP="00A90898">
      <w:pPr>
        <w:pStyle w:val="TextoNormal"/>
      </w:pPr>
      <w:r w:rsidRPr="00A90898">
        <w:rPr>
          <w:rStyle w:val="NumeroAFNegritaCaracter"/>
        </w:rPr>
        <w:t>7</w:t>
      </w:r>
      <w:r>
        <w:t>. La representación procesal de Iberdrola, S.A., presentó su escrito de alegaciones en este Tribunal el 8 de julio de 2015, manifestando que se ratificaba en las alegaciones formuladas en su escrito de demanda, de las que hacía una recapitulación.</w:t>
      </w:r>
    </w:p>
    <w:p w:rsidR="00A90898" w:rsidRDefault="00A90898" w:rsidP="00A90898">
      <w:pPr>
        <w:pStyle w:val="TextoNormal"/>
      </w:pPr>
    </w:p>
    <w:p w:rsidR="00A90898" w:rsidRDefault="00A90898" w:rsidP="00A90898">
      <w:pPr>
        <w:pStyle w:val="TextoNormal"/>
      </w:pPr>
      <w:r w:rsidRPr="00A90898">
        <w:rPr>
          <w:rStyle w:val="NumeroAFNegritaCaracter"/>
        </w:rPr>
        <w:t>8</w:t>
      </w:r>
      <w:r>
        <w:t>. El Ministerio Fiscal presentó el 28 de julio de 2015 su escrito de alegaciones en el que, tras reproducir el tenor literal de la disposición adicional vigésima primera LSE y recordar la doctrina constitucional sobre el principio de igualdad, se centra en los términos de comparación invocados por la recurrente en amparo, a saber: i) las demás empresas que operan en el sector eléctrico; y ii) las empresas que actúan en otros sectores económicos distintos del eléctrico. Comienza rechazando de plano el segundo de los términos propuestos, pues no es posible aceptar que empresas cuya actividad es ajena a este sector puedan considerarse iguales u homogéneas a la recurrente. En cuanto a las restantes empresas eléctricas, la Fiscal arguye que la demanda no acredita la identidad de situación con Iberdrola, S.A., siendo así que, por ejemplo y por lo que concierne a las productoras eléctricas de régimen especial, estas ya han sido objeto de otras medidas legales encaminadas a superar el déficit estructural del sistema.</w:t>
      </w:r>
    </w:p>
    <w:p w:rsidR="00A90898" w:rsidRDefault="00A90898" w:rsidP="00A90898">
      <w:pPr>
        <w:pStyle w:val="TextoNormal"/>
      </w:pPr>
    </w:p>
    <w:p w:rsidR="00A90898" w:rsidRDefault="00A90898" w:rsidP="00A90898">
      <w:pPr>
        <w:pStyle w:val="TextoNormal"/>
      </w:pPr>
      <w:r>
        <w:t>A continuación, la Fiscal pone de manifiesto, con cita de la STC 49/2008, que no es exigible al legislador que incorpore a la norma la explicación de los motivos tenidos en cuenta para su aprobación, siempre que estos se puedan identificar. Y examina, a renglón seguido, la justificación de la medida, encuadrándola previamente en el contexto de la regulación del mercado eléctrico y, en particular, del reconocimiento de los costes de transición a la competencia. Así, enfatiza la conexión directa que existió en un primer momento entre la percepción de estos derechos y la obligación de cubrir el déficit, conexión que quedó implícita en la regulación posterior, materializada en la disposición adicional vigésima primera LSE. Añade que las diferencias entre el listado original de obligados y porcentajes y los recogidos en la disposición adicional vigésima primera LSE en aplicación de la que se dicta la liquidación 11-2011 se explican por las operaciones societarias llevadas a cabo entre las empresas correspondientes.</w:t>
      </w:r>
    </w:p>
    <w:p w:rsidR="00A90898" w:rsidRDefault="00A90898" w:rsidP="00A90898">
      <w:pPr>
        <w:pStyle w:val="TextoNormal"/>
      </w:pPr>
    </w:p>
    <w:p w:rsidR="00A90898" w:rsidRDefault="00A90898" w:rsidP="00A90898">
      <w:pPr>
        <w:pStyle w:val="TextoNormal"/>
      </w:pPr>
      <w:r>
        <w:t xml:space="preserve">Partiendo de lo anterior, el Ministerio público trae a colación las razones aducidas por la Administración para explicar la imposición de la carga controvertida, y que el Tribunal Supremo hace suyas. Descarta, en primer lugar, que sean factores elaborados </w:t>
      </w:r>
      <w:r w:rsidRPr="00A90898">
        <w:rPr>
          <w:i/>
        </w:rPr>
        <w:t>ex novo</w:t>
      </w:r>
      <w:r>
        <w:t>, sino que derivan de datos reales y objetivos, que resultan de la propia sucesión de las normas reguladoras del sector eléctrico, particularmente las referidas a la percepción de los costes de transición a la competencia. La condición de beneficiaria de estas compensaciones sirve como justificación objetiva, aun habiéndose suprimido este régimen, debido a las retribuciones adicionales obtenidas por la recurrente y el resto de empresas relacionadas en la disposición adicional vigésima primera LSE. Y, al igual que en el régimen de los costes de transición a la competencia, la obligación de financiación se impone a las sociedades matrices de cada grupo empresarial, lo que refuerza la conexión entre ambas normativas, pues fueron estas las perceptoras de dichas compensaciones. Insiste en que este factor de singularización y el resto de los indicados deben valorarse en su conjunto, y no de forma aislada, como pretende la recurrente.</w:t>
      </w:r>
    </w:p>
    <w:p w:rsidR="00A90898" w:rsidRDefault="00A90898" w:rsidP="00A90898">
      <w:pPr>
        <w:pStyle w:val="TextoNormal"/>
      </w:pPr>
    </w:p>
    <w:p w:rsidR="00A90898" w:rsidRDefault="00A90898" w:rsidP="00A90898">
      <w:pPr>
        <w:pStyle w:val="TextoNormal"/>
      </w:pPr>
      <w:r>
        <w:t>Por lo que concierne a la proporcionalidad de la medida, el Ministerio Fiscal destaca que no se trata de una obligación de pago definitivo, sino de un empréstito forzoso, con derecho a reembolso y al abono de un interés de mercado, pudiéndose además movilizar el préstamo mediante su titulización. No niega la Fiscal que el legislador pudiera haber optado por un sistema de financiación distinto e igualmente razonable, pero la decisión adoptada se enmarca en el margen de configuración que le corresponde. Y, en cuanto a la proporcionalidad de los porcentajes, aduce que la demandante no identifica el término de comparación respecto del que existiría una discriminación, debiendo reiterarse que las posibles diferencias entre los aplicados a los costes de transición a la competencia y los previstos en la disposición adicional vigésima primera LSE se deben a los procesos de reestructuración empresarial llevados a cabo.</w:t>
      </w:r>
    </w:p>
    <w:p w:rsidR="00A90898" w:rsidRDefault="00A90898" w:rsidP="00A90898">
      <w:pPr>
        <w:pStyle w:val="TextoNormal"/>
      </w:pPr>
    </w:p>
    <w:p w:rsidR="00A90898" w:rsidRDefault="00A90898" w:rsidP="00A90898">
      <w:pPr>
        <w:pStyle w:val="TextoNormal"/>
      </w:pPr>
      <w:r>
        <w:t>Termina sus consideraciones sobre el art. 14 CE refiriéndose a la invocación del Derecho de la Unión Europea, recordando que no puede considerarse un canon autónomo de constitucionalidad, para negar a continuación que nos hallemos ante una obligación de servicio público en el sentido de la Directiva 2009/72/CE, sino ante una prestación patrimonial pública no tributaria de las previstas en el art. 31.3 CE, por lo que no cabe invocar la Sentencia del Tribunal Supremo de 7 de febrero de 2012 referida al “bono social”.</w:t>
      </w:r>
    </w:p>
    <w:p w:rsidR="00A90898" w:rsidRDefault="00A90898" w:rsidP="00A90898">
      <w:pPr>
        <w:pStyle w:val="TextoNormal"/>
      </w:pPr>
    </w:p>
    <w:p w:rsidR="00A90898" w:rsidRDefault="00A90898" w:rsidP="00A90898">
      <w:pPr>
        <w:pStyle w:val="TextoNormal"/>
      </w:pPr>
      <w:r>
        <w:lastRenderedPageBreak/>
        <w:t>Finalmente, la Fiscal aborda la posible lesión del art. 24.1 CE, negando que la Sentencia del Tribunal Supremo incurra en errores patentes en el sentido que la doctrina constitucional reserva para este término; ni que sea irracional en su razonamiento, supuesto vicio que realmente pone de manifiesto la falta de acuerdo con la fundamentación jurídica de la Sentencia; ni, en fin, que pueda calificarse como incongruencia omisiva lo que no es sino una desestimación tácita del argumento relativo al peso que tienen las empresas generadoras de régimen especial en el mercado de producción eléctrica.</w:t>
      </w:r>
    </w:p>
    <w:p w:rsidR="00A90898" w:rsidRDefault="00A90898" w:rsidP="00A90898">
      <w:pPr>
        <w:pStyle w:val="TextoNormal"/>
      </w:pPr>
    </w:p>
    <w:p w:rsidR="00A90898" w:rsidRDefault="00A90898" w:rsidP="00A90898">
      <w:pPr>
        <w:pStyle w:val="TextoNormal"/>
      </w:pPr>
      <w:r>
        <w:t>Por todo lo expuesto, concluye interesando que, sin acceder a la solicitud de Iberdrola, S.A., de que se eleve la decisión al Pleno, ni de que se plantee una cuestión prejudicial ante el Tribunal de Justicia de la Unión Europea, se dicte sentencia por la que se desestime el recurso de amparo interpuesto por la citada entidad.</w:t>
      </w:r>
    </w:p>
    <w:p w:rsidR="00A90898" w:rsidRDefault="00A90898" w:rsidP="00A90898">
      <w:pPr>
        <w:pStyle w:val="TextoNormal"/>
      </w:pPr>
    </w:p>
    <w:p w:rsidR="00A90898" w:rsidRDefault="00A90898" w:rsidP="00A90898">
      <w:pPr>
        <w:pStyle w:val="TextoNormal"/>
      </w:pPr>
      <w:r w:rsidRPr="00A90898">
        <w:rPr>
          <w:rStyle w:val="NumeroAFNegritaCaracter"/>
        </w:rPr>
        <w:t>9</w:t>
      </w:r>
      <w:r>
        <w:t>. Mediante providencia de 15 de febrero de 2016 la Sala Segunda de este Tribunal acordó conceder a las partes personadas y al Ministerio Fiscal un plazo común de diez días, con arreglo a lo dispuesto en el art. 84 LOTC, para alegar lo que estimaran pertinente sobre la eventual pérdida de objeto del recurso de amparo.</w:t>
      </w:r>
    </w:p>
    <w:p w:rsidR="00A90898" w:rsidRDefault="00A90898" w:rsidP="00A90898">
      <w:pPr>
        <w:pStyle w:val="TextoNormal"/>
      </w:pPr>
    </w:p>
    <w:p w:rsidR="00A90898" w:rsidRDefault="00A90898" w:rsidP="00A90898">
      <w:pPr>
        <w:pStyle w:val="TextoNormal"/>
      </w:pPr>
      <w:r>
        <w:t>Evacuando el trámite conferido, mediante escrito de 26 de febrero de 2016, el Abogado del Estado manifestó que procedía declarar la pérdida de objeto del recurso, al haberse satisfecho la cantidad exigida a la recurrente, tal y como se acreditaba con la documentación que había aportado.</w:t>
      </w:r>
    </w:p>
    <w:p w:rsidR="00A90898" w:rsidRDefault="00A90898" w:rsidP="00A90898">
      <w:pPr>
        <w:pStyle w:val="TextoNormal"/>
      </w:pPr>
    </w:p>
    <w:p w:rsidR="00A90898" w:rsidRDefault="00A90898" w:rsidP="00A90898">
      <w:pPr>
        <w:pStyle w:val="TextoNormal"/>
      </w:pPr>
      <w:r>
        <w:t>Por su parte, Iberdrola, S.A., se manifestó en contra de la pérdida de objeto, por medio de un escrito registrado el 1 de marzo de 2016, en el que argumentaba que, si bien había recuperado las cantidades anticipadas al sistema eléctrico, no se había producido la reparación de los derechos vulnerados ni la satisfacción de los perjuicios soportados como consecuencia del préstamo forzoso exigido.</w:t>
      </w:r>
    </w:p>
    <w:p w:rsidR="00A90898" w:rsidRDefault="00A90898" w:rsidP="00A90898">
      <w:pPr>
        <w:pStyle w:val="TextoNormal"/>
      </w:pPr>
    </w:p>
    <w:p w:rsidR="00A90898" w:rsidRDefault="00A90898" w:rsidP="00A90898">
      <w:pPr>
        <w:pStyle w:val="TextoNormal"/>
      </w:pPr>
      <w:r>
        <w:t>El Ministerio Fiscal se pronunció también en contra de que se declarase la pérdida sobrevenida del objeto del recurso por cuanto este no era solo la concreta liquidación impugnada sino la obligación de financiar el déficit de tarifa, por lo que iba más allá de la mera pretensión de que restituyesen los fondos anticipados.</w:t>
      </w:r>
    </w:p>
    <w:p w:rsidR="00A90898" w:rsidRDefault="00A90898" w:rsidP="00A90898">
      <w:pPr>
        <w:pStyle w:val="TextoNormal"/>
      </w:pPr>
    </w:p>
    <w:p w:rsidR="00A90898" w:rsidRDefault="00A90898" w:rsidP="00A90898">
      <w:pPr>
        <w:pStyle w:val="TextoNormal"/>
      </w:pPr>
      <w:r w:rsidRPr="00A90898">
        <w:rPr>
          <w:rStyle w:val="NumeroAFNegritaCaracter"/>
        </w:rPr>
        <w:t>10</w:t>
      </w:r>
      <w:r>
        <w:t>. Por Auto de la Sala Segunda de 11 de mayo de 2016 se acordó estimar justificada la causa de abstención formulada por el Magistrado Ponente don Ricardo Enríquez Sancho, apartándole definitivamente del conocimiento del presente recurso y de todas sus incidencias, siendo designado nuevo Ponente el Magistrado don Antonio Narváez Rodríguez mediante Acuerdo de la Presidenta de la Sala Segunda de 1 de junio de 2016.</w:t>
      </w:r>
    </w:p>
    <w:p w:rsidR="00A90898" w:rsidRDefault="00A90898" w:rsidP="00A90898">
      <w:pPr>
        <w:pStyle w:val="TextoNormal"/>
      </w:pPr>
    </w:p>
    <w:p w:rsidR="00A90898" w:rsidRDefault="00A90898" w:rsidP="00A90898">
      <w:pPr>
        <w:pStyle w:val="TextoNormal"/>
      </w:pPr>
      <w:r w:rsidRPr="00A90898">
        <w:rPr>
          <w:rStyle w:val="NumeroAFNegritaCaracter"/>
        </w:rPr>
        <w:t>11</w:t>
      </w:r>
      <w:r>
        <w:t>. Por medio de Auto de la Sala Segunda de 18 de julio de 2016 se declaró que la efectiva recuperación de las cantidades anticipadas al sistema eléctrico no permitía concluir que el recurso de amparo hubiera perdido su objeto, puesto que lo solicitado por la recurrente era que se declarase inconstitucional la obligación que se le impuso; a lo que se añadía que la entidad recurrente había alegado que, como consecuencia del préstamo forzoso que le fue exigido, había experimentado una serie de perjuicios, cuya indemnización pretendía reclamar. Por todo lo cual, se acordó que el recurso no había perdido su objeto.</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22 de noviembre de 2016, se acordó señalar para deliberación y votación de la presente Sentencia el día 28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objeto del presente recurso de amparo es determinar si la resolución del Consejo de la Comisión Nacional de Energía que aprobó la liquidación 11-2011, de las actividades reguladas del sector eléctrico del ejercicio 2011, así como las resoluciones judiciales que la han confirmado, han vulnerado el derecho de Iberdrola, S.A., al principio de igualdad (art. 14 CE), en la medida en que la sociedad ha sido designada de forma nominativa para cubrir en un determinado porcentaje el denominado “déficit de tarifa”, sin que resulte justificado que se le imponga esta carga a ella y no a otras empresas que se encuentran, a su juicio, en una situación comparable.</w:t>
      </w:r>
    </w:p>
    <w:p w:rsidR="00A90898" w:rsidRDefault="00A90898" w:rsidP="00A90898">
      <w:pPr>
        <w:pStyle w:val="TextoNormal"/>
      </w:pPr>
    </w:p>
    <w:p w:rsidR="00A90898" w:rsidRDefault="00A90898" w:rsidP="00A90898">
      <w:pPr>
        <w:pStyle w:val="TextoNormal"/>
      </w:pPr>
      <w:r>
        <w:t>Junto a la posible infracción del art. 14 CE, que se atribuye al citado acto administrativo, la demandante considera también quebrantado el art. 24.1 CE, lesión esta que achaca a la Sentencia del Tribunal Supremo, que desestima el recurso de casación, por lo que nos encontramos ante un recurso de amparo mixto correspondiente tanto a la previsión del art. 43 como a la del art. 44 de la Ley Orgánica del Tribunal Constitucional (LOTC).</w:t>
      </w:r>
    </w:p>
    <w:p w:rsidR="00A90898" w:rsidRDefault="00A90898" w:rsidP="00A90898">
      <w:pPr>
        <w:pStyle w:val="TextoNormal"/>
      </w:pPr>
    </w:p>
    <w:p w:rsidR="00A90898" w:rsidRDefault="00A90898" w:rsidP="00A90898">
      <w:pPr>
        <w:pStyle w:val="TextoNormal"/>
      </w:pPr>
      <w:r>
        <w:t>Tanto la Abogacía del Estado como el Ministerio Fiscal interesan la desestimación del amparo, puesto que la norma con base en la cual se dicta la resolución administrativa se justifica en la situación singular de la demandante: empresa dominante, que cobró costes de transición a la competencia y es actor principal del sector eléctrico nacional, lo que constituye una justificación objetiva y razonable a efectos del art. 14 CE. Asimismo, ambos descartan que se hayan producido las infracciones del art. 24.1 CE que se denuncian.</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comparecidas ha puesto en duda la especial trascendencia constitucional de este recurso, que es requisito para su admisión de conformidad con el art. 50.1 b) LOTC y, por consiguiente, de orden público procesal (entre otras, STC 113/2012, de 24 de mayo, FJ 2, y las allí citadas), exigencias de certeza y buena administración de justicia (STEDH de 20 de enero de 2015, asunto </w:t>
      </w:r>
      <w:r w:rsidRPr="00A90898">
        <w:rPr>
          <w:i/>
        </w:rPr>
        <w:t>Arribas Antón c. España</w:t>
      </w:r>
      <w:r>
        <w:t>, § 46) obligan a explicitar el cumplimiento del mismo para hacer así reconoscibles los criterios empleados al efecto por este Tribunal.</w:t>
      </w:r>
    </w:p>
    <w:p w:rsidR="00A90898" w:rsidRDefault="00A90898" w:rsidP="00A90898">
      <w:pPr>
        <w:pStyle w:val="TextoNormal"/>
      </w:pPr>
    </w:p>
    <w:p w:rsidR="00A90898" w:rsidRDefault="00A90898" w:rsidP="00A90898">
      <w:pPr>
        <w:pStyle w:val="TextoNormal"/>
      </w:pPr>
      <w:r>
        <w:t>La demandante de amparo alega varias razones por las que el recurso revestiría la especial trascendencia constitucional exigible, entre ellas, la de que la vulneración denunciada proviene de la ley, que es uno de los supuestos específicamente contemplados en el fundamento jurídico 2 letra c), de nuestra STC 155/2009, de 25 de junio (que “la vulneración del derecho fundamental que se denuncia provenga de la ley o de otra disposición de carácter general”).</w:t>
      </w:r>
    </w:p>
    <w:p w:rsidR="00A90898" w:rsidRDefault="00A90898" w:rsidP="00A90898">
      <w:pPr>
        <w:pStyle w:val="TextoNormal"/>
      </w:pPr>
    </w:p>
    <w:p w:rsidR="00A90898" w:rsidRDefault="00A90898" w:rsidP="00A90898">
      <w:pPr>
        <w:pStyle w:val="TextoNormal"/>
      </w:pPr>
      <w:r>
        <w:t xml:space="preserve">En efecto, es una cuestión no controvertida que la liquidación impugnada se ha dictado en estricto cumplimiento de lo previsto en la disposición adicional vigésima primera de la Ley 54/1997, de 27 de noviembre, del sector eléctrico, por lo que la vulneración del art. 14 CE en que hubiera podido incurrir el acto administrativo derivaría directa y necesariamente </w:t>
      </w:r>
      <w:r>
        <w:lastRenderedPageBreak/>
        <w:t>de la citada norma legal, que es, cabalmente, el supuesto a que se refiere la STC 155/2009, FJ 2 c). Por consiguiente, el recurso reviste, efectivamente, la especial trascendencia constitucional.</w:t>
      </w:r>
    </w:p>
    <w:p w:rsidR="00A90898" w:rsidRDefault="00A90898" w:rsidP="00A90898">
      <w:pPr>
        <w:pStyle w:val="TextoNormal"/>
      </w:pPr>
    </w:p>
    <w:p w:rsidR="00A90898" w:rsidRDefault="00A90898" w:rsidP="00A90898">
      <w:pPr>
        <w:pStyle w:val="TextoNormal"/>
      </w:pPr>
      <w:r>
        <w:t>La circunstancia de que nos encontremos ante un recurso de amparo mixto “determina que analicemos en primer término las eventuales vulneraciones que serían imputables a la actuación administrativa para efectuar con posterioridad, en su caso, el enjuiciamiento de las lesiones constitucionales imputadas a la resolución judicial” (STC 195/2005, de 18 de julio, FJ 2). En aplicación de este criterio, constante en la doctrina de este Tribunal (por todas, STC 118/2012, de 4 de junio, FJ 3), hemos de comenzar nuestro estudio por la infracción constitucional del art. 14 CE imputada a la Administración, lo que nos remite, según hemos adelantado, al análisis de la disposición adicional vigésima primera LSE desde el prisma del derecho a la igualdad.</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Entrando en el fondo del recurso, debemos comenzar recordando que la disposición adicional vigésima primera LSE, bajo el encabezamiento “suficiencia de los peajes de acceso y desajustes de ingresos de las actividades reguladas del sector eléctrico”, establece un método para financiar los posibles desajustes en las liquidaciones de las actividades reguladas, lo que comúnmente se viene conociendo como “déficit de tarifa”, entendido en sentido amplio como la diferencia entre los costes del sistema eléctrico y los ingresos obtenidos a partir de los precios regulados por el Estado. Pues bien, en la redacción aplicable </w:t>
      </w:r>
      <w:r w:rsidRPr="00A90898">
        <w:rPr>
          <w:i/>
        </w:rPr>
        <w:t>ratione temporis</w:t>
      </w:r>
      <w:r>
        <w:t xml:space="preserve"> (dada por el Real Decreto-ley 6/2010, de 9 de abril), la citada norma dispone en su apartado 2 (referido a la cobertura de los desajustes hasta 1 de enero de 2013, que es lo relevante, puesto que se analiza una liquidación correspondiente a 2011), en lo que aquí estrictamente interesa, lo siguiente:</w:t>
      </w:r>
    </w:p>
    <w:p w:rsidR="00A90898" w:rsidRDefault="00A90898" w:rsidP="00A90898">
      <w:pPr>
        <w:pStyle w:val="TextoNormal"/>
      </w:pPr>
    </w:p>
    <w:p w:rsidR="00A90898" w:rsidRDefault="00A90898" w:rsidP="00A90898">
      <w:pPr>
        <w:pStyle w:val="TextoNormal"/>
      </w:pPr>
      <w:r>
        <w:t>“Cuando por la aparición de desajustes temporales, el fondo acumulado en la cuenta específica a que se refiere el Real Decreto 2017/1997, de 26 de diciembre, abierta en régimen de depósito arrojara un saldo negativo, éste será liquidado por la Comisión Nacional de Energía en las liquidaciones mensuales aplicando los siguientes porcentajes de reparto:</w:t>
      </w:r>
    </w:p>
    <w:p w:rsidR="00A90898" w:rsidRDefault="00A90898" w:rsidP="00A90898">
      <w:pPr>
        <w:pStyle w:val="TextoNormal"/>
      </w:pPr>
    </w:p>
    <w:p w:rsidR="00A90898" w:rsidRDefault="00A90898" w:rsidP="00A90898">
      <w:pPr>
        <w:pStyle w:val="TextoNormal"/>
      </w:pPr>
      <w:r>
        <w:t>....................EMPRESA................................PORCENTAJE</w:t>
      </w:r>
    </w:p>
    <w:p w:rsidR="00A90898" w:rsidRDefault="00A90898" w:rsidP="00A90898">
      <w:pPr>
        <w:pStyle w:val="TextoNormal"/>
      </w:pPr>
    </w:p>
    <w:p w:rsidR="00A90898" w:rsidRDefault="00A90898" w:rsidP="00A90898">
      <w:pPr>
        <w:pStyle w:val="TextoNormal"/>
      </w:pPr>
      <w:r>
        <w:t>..........Iberdrola S.A. ………….................... 35,01 por 100</w:t>
      </w:r>
    </w:p>
    <w:p w:rsidR="00A90898" w:rsidRDefault="00A90898" w:rsidP="00A90898">
      <w:pPr>
        <w:pStyle w:val="TextoNormal"/>
      </w:pPr>
    </w:p>
    <w:p w:rsidR="00A90898" w:rsidRDefault="00A90898" w:rsidP="00A90898">
      <w:pPr>
        <w:pStyle w:val="TextoNormal"/>
      </w:pPr>
      <w:r>
        <w:t>..........Hidroeléctrica del Cantábrico, S.A....... 6,08 por 100</w:t>
      </w:r>
    </w:p>
    <w:p w:rsidR="00A90898" w:rsidRDefault="00A90898" w:rsidP="00A90898">
      <w:pPr>
        <w:pStyle w:val="TextoNormal"/>
      </w:pPr>
    </w:p>
    <w:p w:rsidR="00A90898" w:rsidRDefault="00A90898" w:rsidP="00A90898">
      <w:pPr>
        <w:pStyle w:val="TextoNormal"/>
      </w:pPr>
      <w:r>
        <w:t>..........Endesa S.A. ………….......................  44,16 por 100</w:t>
      </w:r>
    </w:p>
    <w:p w:rsidR="00A90898" w:rsidRDefault="00A90898" w:rsidP="00A90898">
      <w:pPr>
        <w:pStyle w:val="TextoNormal"/>
      </w:pPr>
    </w:p>
    <w:p w:rsidR="00A90898" w:rsidRDefault="00A90898" w:rsidP="00A90898">
      <w:pPr>
        <w:pStyle w:val="TextoNormal"/>
      </w:pPr>
      <w:r>
        <w:t>..........EON España, S.L. …............................  1,00 por 100</w:t>
      </w:r>
    </w:p>
    <w:p w:rsidR="00A90898" w:rsidRDefault="00A90898" w:rsidP="00A90898">
      <w:pPr>
        <w:pStyle w:val="TextoNormal"/>
      </w:pPr>
    </w:p>
    <w:p w:rsidR="00A90898" w:rsidRDefault="00A90898" w:rsidP="00A90898">
      <w:pPr>
        <w:pStyle w:val="TextoNormal"/>
      </w:pPr>
      <w:r>
        <w:t>..........GAS Natural S.D.G, S.A..................... 13,75 por 100</w:t>
      </w:r>
    </w:p>
    <w:p w:rsidR="00A90898" w:rsidRDefault="00A90898" w:rsidP="00A90898">
      <w:pPr>
        <w:pStyle w:val="TextoNormal"/>
      </w:pPr>
    </w:p>
    <w:p w:rsidR="00A90898" w:rsidRDefault="00A90898" w:rsidP="00A90898">
      <w:pPr>
        <w:pStyle w:val="TextoNormal"/>
      </w:pPr>
    </w:p>
    <w:p w:rsidR="00A90898" w:rsidRDefault="00A90898" w:rsidP="00A90898">
      <w:pPr>
        <w:pStyle w:val="TextoNormal"/>
      </w:pPr>
      <w:r>
        <w:t xml:space="preserve">Estos porcentajes de reparto podrán ser modificados por real decreto, cuando se produzcan desinversiones significativas que afecten a las empresas en la actividad de distribución, cuando se produzcan cambios estructurales sustanciales en la actividad de generación que </w:t>
      </w:r>
      <w:r>
        <w:lastRenderedPageBreak/>
        <w:t>así lo justifiquen o como consecuencia de inversiones o desinversiones significativas en activos de generación.</w:t>
      </w:r>
    </w:p>
    <w:p w:rsidR="00A90898" w:rsidRDefault="00A90898" w:rsidP="00A90898">
      <w:pPr>
        <w:pStyle w:val="TextoNormal"/>
      </w:pPr>
    </w:p>
    <w:p w:rsidR="00A90898" w:rsidRDefault="00A90898" w:rsidP="00A90898">
      <w:pPr>
        <w:pStyle w:val="TextoNormal"/>
      </w:pPr>
      <w:r>
        <w:t>Las empresas tendrán derecho a recuperar las aportaciones por este concepto en las 14 liquidaciones correspondientes al periodo en que se modifiquen las tarifas de acceso para el reconocimiento de dicho desajuste temporal. Las cantidades aportadas por este concepto serán devueltas reconociéndose un tipo de interés en condiciones equivalentes a las del mercado que se fijará en la orden por la que se aprueban los peajes.”</w:t>
      </w:r>
    </w:p>
    <w:p w:rsidR="00A90898" w:rsidRDefault="00A90898" w:rsidP="00A90898">
      <w:pPr>
        <w:pStyle w:val="TextoNormal"/>
      </w:pPr>
    </w:p>
    <w:p w:rsidR="00A90898" w:rsidRDefault="00A90898" w:rsidP="00A90898">
      <w:pPr>
        <w:pStyle w:val="TextoNormal"/>
      </w:pPr>
      <w:r>
        <w:t>Todas las partes coinciden en calificar la obligación impuesta a las cinco entidades relacionadas como una “prestación patrimonial de carácter público” que hemos caracterizado como aquellas impuestas coactivamente, esto es,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(SSTC 185/1995, de 14 de diciembre, FJ 3; 182/1997, de 28 de octubre, FJ 15; 233/1999, de 16 de diciembre, FJ 33; 83/2014, de 29 de mayo, FJ 3, y 167/2016, de 6 de octubre, FJ 4).</w:t>
      </w:r>
    </w:p>
    <w:p w:rsidR="00A90898" w:rsidRDefault="00A90898" w:rsidP="00A90898">
      <w:pPr>
        <w:pStyle w:val="TextoNormal"/>
      </w:pPr>
    </w:p>
    <w:p w:rsidR="00A90898" w:rsidRDefault="00A90898" w:rsidP="00A90898">
      <w:pPr>
        <w:pStyle w:val="TextoNormal"/>
      </w:pPr>
      <w:r>
        <w:t>En particular, la prestación impuesta consiste en un préstamo forzoso, en virtud del cual las mencionadas compañías deben efectuar un desembolso, que se cuantifica aplicando los porcentajes de reparto establecidos al saldo negativo de la cuenta de liquidación de los costes e ingresos regulados del sistema, teniendo “derecho a recuperar las aportaciones por este concepto … (que) serán devueltas reconociéndose un tipo de interés en condiciones equivalentes a las del mercado que se fijará en la orden por la que se aprueban los peajes”, tal y como disponen el apartado 2, último párrafo, y el apartado 5 de la disposición adicional vigésima primera LSE. El apartado 5, párrafo primero, de la citada norma añade que “[l]os déficit del sistema de liquidaciones eléctrico generarán derechos de cobro consistentes en el derecho a percibir un importe de la facturación mensual por peajes de acceso de los años sucesivos hasta su satisfacción” y que tales derechos de cobro “se podrán ceder a un fondo de titulización que se constituirá a estos efectos y se denominará Fondo de Titulización del Déficit del Sistema Eléctrico”. De hecho, en el incidente abierto sobre la posible pérdida sobrevenida del objeto de este proceso el Abogado del Estado acreditó que los derechos de cobro de la liquidación 11-2011 habían sido cedidos al citado fondo, por lo que la entidad recurrente ya había recuperado su importe.</w:t>
      </w:r>
    </w:p>
    <w:p w:rsidR="00A90898" w:rsidRDefault="00A90898" w:rsidP="00A90898">
      <w:pPr>
        <w:pStyle w:val="TextoNormal"/>
      </w:pPr>
    </w:p>
    <w:p w:rsidR="00A90898" w:rsidRDefault="00A90898" w:rsidP="00A90898">
      <w:pPr>
        <w:pStyle w:val="TextoNormal"/>
      </w:pPr>
      <w:r>
        <w:t>Pues bien, en nuestra reciente STC 167/2016, de 6 de octubre, mediante la que se ha resuelto la cuestión de inconstitucionalidad núm. 6599-2013, referida a la disposición adicional tercera del Real Decreto-ley 14/2010, de 23 de diciembre, por el que se establecen medidas urgentes para la corrección del déficit tarifario del sector eléctrico, hemos analizado la obligación impuesta a once compañías generadoras de electricidad de asumir, en un determinado porcentaje, el coste de los planes de ahorro y eficiencia energética de los años 2011, 2012 y 2013. Dicha norma es similar a la que aquí resulta controvertida, tanto por su naturaleza (una prestación patrimonial de carácter público no tributaria), como por sus destinatarios (un número determinado de empresas del sector eléctrico), su carácter temporal y el contexto normativo en que se enmarca (la adopción de medidas para afrontar el déficit de la tarifa eléctrica), diferenciándose tan solo por el contenido de la prestación, pues la pre</w:t>
      </w:r>
      <w:r>
        <w:lastRenderedPageBreak/>
        <w:t>vista en el Real Decreto-ley 14/2010 es una contribución definitiva, mientras que la disposición adicional vigésima primera LSE regula un préstamo al sistema eléctrico y, por consiguiente, con derecho de reembolso.</w:t>
      </w:r>
    </w:p>
    <w:p w:rsidR="00A90898" w:rsidRDefault="00A90898" w:rsidP="00A90898">
      <w:pPr>
        <w:pStyle w:val="TextoNormal"/>
      </w:pPr>
    </w:p>
    <w:p w:rsidR="00A90898" w:rsidRDefault="00A90898" w:rsidP="00A90898">
      <w:pPr>
        <w:pStyle w:val="TextoNormal"/>
      </w:pPr>
      <w:r>
        <w:t xml:space="preserve">Al igual que la obligación examinada en la STC 167/2016, la carga de anticipar unas cantidades para equilibrar el desajuste entre los costes e ingresos regulados debe situarse en el marco de la relación económica que los sujetos obligados mantienen con el Estado dentro de un sector necesaria e intensamente regulado como el eléctrico, </w:t>
      </w:r>
      <w:r w:rsidRPr="00A90898">
        <w:rPr>
          <w:i/>
        </w:rPr>
        <w:t>status</w:t>
      </w:r>
      <w:r>
        <w:t xml:space="preserve"> del que pueden surgir tanto derechos como cargas que asumir. A este equilibrio entre derechos y cargas también nos hemos referido al analizar otras actividades reguladas, como en la STC 83/2014, de 29 de mayo, en la que declaramos ajustada a la Constitución la deducción sobre la facturación mensual de las oficinas de farmacia introducida por el Real Decreto-ley 5/2000, de 23 de junio.</w:t>
      </w:r>
    </w:p>
    <w:p w:rsidR="00A90898" w:rsidRDefault="00A90898" w:rsidP="00A90898">
      <w:pPr>
        <w:pStyle w:val="TextoNormal"/>
      </w:pPr>
    </w:p>
    <w:p w:rsidR="00A90898" w:rsidRDefault="00A90898" w:rsidP="00A90898">
      <w:pPr>
        <w:pStyle w:val="TextoNormal"/>
      </w:pPr>
      <w:r>
        <w:t xml:space="preserve">Junto a la similitud entre la disposición adicional tercera del Real Decreto-ley 14/2010 y la disposición adicional vigésima primera LSE, interesa destacar que en la STC 167/2016 nuestro análisis se ha enfocado también desde el canon del art. 14 CE, por lo que, sin perder de vista la distinta naturaleza y efectos de cada proceso constitucional, las circunstancias aquí concurrentes hacen extensible, </w:t>
      </w:r>
      <w:r w:rsidRPr="00A90898">
        <w:rPr>
          <w:i/>
        </w:rPr>
        <w:t>mutatis mutandis</w:t>
      </w:r>
      <w:r>
        <w:t>, el razonamiento contenido en dicha Sentencia al juicio de igualdad que debemos abordar en el presente proceso de amparo.</w:t>
      </w:r>
    </w:p>
    <w:p w:rsidR="00A90898" w:rsidRDefault="00A90898" w:rsidP="00A90898">
      <w:pPr>
        <w:pStyle w:val="TextoNormal"/>
      </w:pPr>
    </w:p>
    <w:p w:rsidR="00A90898" w:rsidRDefault="00A90898" w:rsidP="00A90898">
      <w:pPr>
        <w:pStyle w:val="TextoNormal"/>
      </w:pPr>
      <w:r w:rsidRPr="00A90898">
        <w:rPr>
          <w:rStyle w:val="NumeroAFNegritaCaracter"/>
        </w:rPr>
        <w:t>4</w:t>
      </w:r>
      <w:r>
        <w:t>. A partir de lo anterior, procede recordar que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luego para que sea constitucionalmente lícita la diferencia de trato, las consecuencias jurídicas que se deriven de tal distinción deben ser proporcionadas a la finalidad perseguida, de suerte que se eviten resultados excesivamente gravosos o desmedidos (entre muchas otras, SSTC 22/1981, de 2 de julio, FJ 3; 255/2004, de 23 de diciembre, FJ 4; 10/2005, de 20 de enero, FJ 5; 295/2006, de 11 de octubre, FJ 5; 83/2014, de 29 de mayo, FJ 7, y 167/2016, FJ 5).</w:t>
      </w:r>
    </w:p>
    <w:p w:rsidR="00A90898" w:rsidRDefault="00A90898" w:rsidP="00A90898">
      <w:pPr>
        <w:pStyle w:val="TextoNormal"/>
      </w:pPr>
    </w:p>
    <w:p w:rsidR="00A90898" w:rsidRDefault="00A90898" w:rsidP="00A90898">
      <w:pPr>
        <w:pStyle w:val="TextoNormal"/>
      </w:pPr>
      <w:r>
        <w:t>Conforme a nuestra doctrina sobre el art. 14 CE recién sintetizada, y como quiera que lo propio del juicio de igualdad es su carácter relacional (por todas, STC 71/2016, de 14 de abril, FJ 3), para comprobar si la disposición adicional vigésima primera LSE observa dicho precepto, es preciso, en primer lugar, concretar si las situaciones que se pretenden comparar son iguales (juicio de comparabilidad); en segundo término, y una vez razonado que las situaciones son comparables, si concurre una finalidad objetiva y razonable que legitime el trato desigual de esas situaciones (juicio de razonabilidad, en clave de legitimidad y funcionalidad para el fin perseguido); y, por último, si las consecuencias jurídicas a que conduce la disparidad de trato son razonables, por existir una relación de proporcionalidad entre el medio empleado y la finalidad perseguida, evitando resultados especialmente gravosos o desmedidos (juicio de proporcionalidad).</w:t>
      </w:r>
    </w:p>
    <w:p w:rsidR="00A90898" w:rsidRDefault="00A90898" w:rsidP="00A90898">
      <w:pPr>
        <w:pStyle w:val="TextoNormal"/>
      </w:pPr>
    </w:p>
    <w:p w:rsidR="00A90898" w:rsidRDefault="00A90898" w:rsidP="00A90898">
      <w:pPr>
        <w:pStyle w:val="TextoNormal"/>
      </w:pPr>
      <w:r>
        <w:lastRenderedPageBreak/>
        <w:t xml:space="preserve">El </w:t>
      </w:r>
      <w:r w:rsidRPr="00A90898">
        <w:rPr>
          <w:i/>
        </w:rPr>
        <w:t>iter</w:t>
      </w:r>
      <w:r>
        <w:t xml:space="preserve"> valorativo apuntado debe partir de la premisa, no discutida por las partes que han comparecido en este proceso, de que las cinco entidades incluidas en la norma que se juzga son —considerando las operaciones de concentración producidas y los subsiguientes cambios de denominación— los operadores tradicionales del mercado eléctrico español. Fueron estos operadores (entre ellos, la recurrente), que habían estado desarrollando su actividad bajo el denominado “marco legal estable”, los que, ante la necesidad de adaptar el ordenamiento español a la Directiva 96/92/CE, sobre normas comunes para el mercado interior de la electricidad, impulsaron a través de la “Asociación Española de la Industria Eléctrica”, junto con el Ministerio de Industria y Energía, el “protocolo para el establecimiento de una nueva regulación del sistema eléctrico nacional” suscrito el 11 de diciembre de 1996, y que precedió a la Ley del sector eléctrico de 27 de noviembre de 1997. Esta ley avanzó en la liberalización del sector para su adaptación al Derecho de la Unión Europea, proceso en el marco del cual se reconoció a tales operadores el derecho a percibir los costes de transición a la competencia, según el régimen incorporado a la disposición transitoria sexta de la ley. La exposición de motivos de la Ley del sector eléctrico (norma que estuvo en vigor, aun con múltiples modificaciones, hasta su sustitución por la Ley 24/2013, de 26 de diciembre) resalta la importancia del referido acuerdo y de sus firmantes, cuando afirma que “el citado Protocolo, carente de la eficacia normativa de toda norma general, supuso la concreción de un diseño complejo y global de transición de un sistema intervenido y burocratizado a un sistema más libre de funcionamiento del sector. Supuso, asimismo, el acuerdo con los principales agentes económicos de la industria sobre una profunda modificación del sistema retributivo hasta ahora vigente y sobre el escalonamiento progresivo de las distintas etapas conducentes a la liberalización del mercado. El Protocolo se configuró, en definitiva, para que, considerado en toda su extensión, fuese elemento inspirador de un profundo proceso de cambio”.</w:t>
      </w:r>
    </w:p>
    <w:p w:rsidR="00A90898" w:rsidRDefault="00A90898" w:rsidP="00A90898">
      <w:pPr>
        <w:pStyle w:val="TextoNormal"/>
      </w:pPr>
    </w:p>
    <w:p w:rsidR="00A90898" w:rsidRDefault="00A90898" w:rsidP="00A90898">
      <w:pPr>
        <w:pStyle w:val="TextoNormal"/>
      </w:pPr>
      <w:r>
        <w:t>Es evidente que la obligación de financiar el déficit tarifario que se exige a las empresas mencionadas en la disposición adicional vigésima primera LSE entraña una diferencia de tratamiento frente a otros sujetos. Ahora bien, para valorar una posible transgresión del art. 14 CE es preciso dilucidar antes si tales sujetos constituyen un término válido de comparación respecto de las sociedades afectadas por la prestación. En este sentido, los términos de comparación propuestos por la demandante son: a) las empresas de tamaño similar que operan en otros sectores de actividad económica; b) las empresas de otros sectores energéticos distintos al eléctrico; y c) por último, las empresas del sector eléctrico que operan en otros subsectores, como el transporte, así como el resto de empresas generadoras aparte de las cinco obligadas.</w:t>
      </w:r>
    </w:p>
    <w:p w:rsidR="00A90898" w:rsidRDefault="00A90898" w:rsidP="00A90898">
      <w:pPr>
        <w:pStyle w:val="TextoNormal"/>
      </w:pPr>
    </w:p>
    <w:p w:rsidR="00A90898" w:rsidRDefault="00A90898" w:rsidP="00A90898">
      <w:pPr>
        <w:pStyle w:val="TextoNormal"/>
      </w:pPr>
      <w:r>
        <w:t xml:space="preserve">a) La comparación con las empresas de otros sectores económicos que pudieran tener un tamaño similar debe rechazarse </w:t>
      </w:r>
      <w:r w:rsidRPr="00A90898">
        <w:rPr>
          <w:i/>
        </w:rPr>
        <w:t>a limine</w:t>
      </w:r>
      <w:r>
        <w:t xml:space="preserve">, toda vez que la disposición adicional vigésima primera LSE es una norma propia de la regulación del sector eléctrico que hace frente a un problema específico del mismo, como es el desajuste entre sus ingresos y gastos regulados. Tal y como hemos indicado en la STC 167/2016, FJ 3, “el margen de configuración del legislador debe comprender la posibilidad de disponer, con base en criterios técnicos, económicos y de oportunidad, qué costes se imputan al sistema eléctrico (en última instancia, a los consumidores, que deberán hacer frente a ellos, antes o después), a las empresas del sector o de un subsector en particular, y a los presupuestos generales del Estado, es decir, tomar la decisión política sobre la distribución del esfuerzo necesario para contener el déficit de tarifa”, conclusión que en tal pronunciamiento predicamos de las medidas para reducir </w:t>
      </w:r>
      <w:r>
        <w:lastRenderedPageBreak/>
        <w:t>el déficit, pero que es plenamente aplicable a la financiación del existente. No corresponde a este Tribunal valorar desde un punto de vista político o técnico el acierto de una determinada medida encaminada a reducir el déficit, como era la disposición adicional tercera del Real Decreto-ley 14/2010, o a financiar el ya producido, caso de la disposición adicional vigésima primera LSE, pero parece indiscutible que los operadores de otros sectores económicos no se hallan en una situación comparable a la de las empresas seleccionadas por la norma en cuestión, ya que estas actúan en un sector fuertemente intervenido como el eléctrico, con sujeción a un régimen definido de derechos y cargas, definido en la Ley del sector eléctrico y en la normativa de desarrollo, que no las sitúa en una posición asimilable, a los efectos que aquí importan, a la de otros ámbitos de la actividad económica.</w:t>
      </w:r>
    </w:p>
    <w:p w:rsidR="00A90898" w:rsidRDefault="00A90898" w:rsidP="00A90898">
      <w:pPr>
        <w:pStyle w:val="TextoNormal"/>
      </w:pPr>
    </w:p>
    <w:p w:rsidR="00A90898" w:rsidRDefault="00A90898" w:rsidP="00A90898">
      <w:pPr>
        <w:pStyle w:val="TextoNormal"/>
      </w:pPr>
      <w:r>
        <w:t>b) Análogo razonamiento nos conduce a excluir como término homogéneo de comparación las empresas de otros sectores energéticos distintos al eléctrico. Aunque la importancia que revisten las distintas fuentes de energía para el aparato productivo del país y para la calidad de vida de los ciudadanos hacen necesaria su regulación en mayor o menor grado, las características propias de cada mercado energético aconsejan una legislación propia para cada uno, con un régimen económico adecuado a sus particularidades. Así, por ejemplo, la entidad Repsol, S.A., que la demandante cita de forma expresa, opera principalmente en un campo sujeto a la Ley 34/1998, de 7 de octubre, del sector de hidrocarburos, que no se puede considerar asimilable cuando se trata de arbitrar una solución para el déficit de la tarifa eléctrica.</w:t>
      </w:r>
    </w:p>
    <w:p w:rsidR="00A90898" w:rsidRDefault="00A90898" w:rsidP="00A90898">
      <w:pPr>
        <w:pStyle w:val="TextoNormal"/>
      </w:pPr>
    </w:p>
    <w:p w:rsidR="00A90898" w:rsidRDefault="00A90898" w:rsidP="00A90898">
      <w:pPr>
        <w:pStyle w:val="TextoNormal"/>
      </w:pPr>
      <w:r>
        <w:t>Por consiguiente, en cuanto a los dos primeros términos propuestos por la demandante, debemos coincidir con la afirmación del Ministerio Fiscal de que “además de tener distinta regulación jurídica, no es posible en ningún caso establecer respecto de ellos la vinculación objetiva con la finalidad de la norma que es financiar el déficit de la tarifa eléctrica”.</w:t>
      </w:r>
    </w:p>
    <w:p w:rsidR="00A90898" w:rsidRDefault="00A90898" w:rsidP="00A90898">
      <w:pPr>
        <w:pStyle w:val="TextoNormal"/>
      </w:pPr>
    </w:p>
    <w:p w:rsidR="00A90898" w:rsidRDefault="00A90898" w:rsidP="00A90898">
      <w:pPr>
        <w:pStyle w:val="TextoNormal"/>
      </w:pPr>
      <w:r>
        <w:t>c) Sugiere en tercer lugar Iberdrola, S.A., la comparación con otras empresas del sector eléctrico, ya sea la transportista (Red Eléctrica de España, S.A.), ya sean otras generadoras aparte de las cinco empresas financiadoras, aludiendo sobre todo a las titulares de instalaciones de régimen especial, que representan, según la recurrente, más del 40 por 100 del subsector de producción y que, pese a ello, han resultado excluidas de la carga impuesta.</w:t>
      </w:r>
    </w:p>
    <w:p w:rsidR="00A90898" w:rsidRDefault="00A90898" w:rsidP="00A90898">
      <w:pPr>
        <w:pStyle w:val="TextoNormal"/>
      </w:pPr>
    </w:p>
    <w:p w:rsidR="00A90898" w:rsidRDefault="00A90898" w:rsidP="00A90898">
      <w:pPr>
        <w:pStyle w:val="TextoNormal"/>
      </w:pPr>
      <w:r>
        <w:t>En relación con el resto de empresas del sector eléctrico, como las dedicadas al transporte, debemos señalar, en primer lugar, que se trata de una actividad sometida a un régimen jurídico y económico diferente al de la producción, que constituye la principal actividad de los grupos a cuyas matrices se impone la prestación patrimonial de la disposición adicional vigésima primera LSE. Buena prueba de lo cual es que la Ley del sector eléctrico dedica un título independiente para ella (título VI “transporte de energía eléctrica”), atendiendo a sus características diferenciales y a la necesidad de mayor regulación, dada su condición de monopolio natural, frente a la producción, subsector para el que, en contraste, se impulsa un régimen de competencia que no es posible en aquél. Por tanto, el régimen retributivo de las actividades de producción y de transporte no es igual, lo que impide la comparación entre los sujetos de uno y otro subsector.</w:t>
      </w:r>
    </w:p>
    <w:p w:rsidR="00A90898" w:rsidRDefault="00A90898" w:rsidP="00A90898">
      <w:pPr>
        <w:pStyle w:val="TextoNormal"/>
      </w:pPr>
    </w:p>
    <w:p w:rsidR="00A90898" w:rsidRDefault="00A90898" w:rsidP="00A90898">
      <w:pPr>
        <w:pStyle w:val="TextoNormal"/>
      </w:pPr>
      <w:r>
        <w:t xml:space="preserve">Por lo concerniente al subsector de la producción eléctrica, en especial las productoras de régimen especial, se debe partir de que en la Ley del sector eléctrico, aquí aplicable, el régimen ordinario de producción, a grandes rasgos, era el correspondiente a las instalaciones </w:t>
      </w:r>
      <w:r>
        <w:lastRenderedPageBreak/>
        <w:t>de generación que emplean tecnologías convencionales, es decir, el parque tradicional de producción eléctrica en España (que corresponde, en esencia, a las cinco empresas de la disposición adicional vigésima primera LSE), mientras que, de acuerdo con el art. 27.1 LSE, el régimen especial era fundamentalmente el aplicable a las instalaciones de producción con energías renovables, generación con residuos y cogeneración. En este sentido, tanto la Abogacía del Estado como el Ministerio Fiscal sostienen que tampoco en este caso nos hallamos ante un término válido de comparación, puesto que la producción de electricidad en régimen ordinario y en régimen especial tienen una diferente ordenación en la Ley del sector eléctrico (capítulos I y II, respectivamente, del título IV), de acuerdo con criterios de política económica y medioambiental, que justifican un sistema de retribución propio para cada una.</w:t>
      </w:r>
    </w:p>
    <w:p w:rsidR="00A90898" w:rsidRDefault="00A90898" w:rsidP="00A90898">
      <w:pPr>
        <w:pStyle w:val="TextoNormal"/>
      </w:pPr>
    </w:p>
    <w:p w:rsidR="00A90898" w:rsidRDefault="00A90898" w:rsidP="00A90898">
      <w:pPr>
        <w:pStyle w:val="TextoNormal"/>
      </w:pPr>
      <w:r>
        <w:t>Este Tribunal comparte dicho razonamiento, toda vez que el distinto régimen económico legalmente establecido impide considerar que ambas formas de producción se encuentren en situaciones iguales en los términos del art. 14 CE, de modo que los derechos y cargas no tienen que ser necesariamente los mismos para ambas modalidades. Dos ejemplos ilustrativos de las diferencias económicas entre ellas son el reconocimiento a las principales empresas de régimen ordinario de los llamados “pagos por capacidad”, con base en el art. 16.1 c) LSE, así como de los costes de transición a la competencia, cuya percepción, como enseguida comprobaremos, singulariza definitivamente a las empresas obligadas en virtud de la disposición adicional vigésima primera LSE.</w:t>
      </w:r>
    </w:p>
    <w:p w:rsidR="00A90898" w:rsidRDefault="00A90898" w:rsidP="00A90898">
      <w:pPr>
        <w:pStyle w:val="TextoNormal"/>
      </w:pPr>
    </w:p>
    <w:p w:rsidR="00A90898" w:rsidRDefault="00A90898" w:rsidP="00A90898">
      <w:pPr>
        <w:pStyle w:val="TextoNormal"/>
      </w:pPr>
      <w:r>
        <w:t>A la circunstancia de que los distintos agentes del sector con los que pretende compararse la recurrente operan bajo un régimen económico diferente al suyo, se suma el hecho de que una medida como la que estamos enjuiciando debe enmarcarse en el conjunto de disposiciones aprobadas para evitar que el déficit de tarifa pusiera en riesgo la sostenibilidad del sistema eléctrico. A las numerosas medidas adoptadas con tal finalidad hemos tenido ocasión de referirnos con cierto detalle en la ya citada STC 167/2016, FJ 3, llegando a la conclusión de que se “han dispuesto ajustes para todos los sujetos implicados en el sector eléctrico, tanto las empresas de los distintos subsectores que lo integran (productoras, transportistas, distribuidoras, comercializadoras, etc.), como para los consumidores y el conjunto de los contribuyentes”, todo ello de acuerdo con la idea de esfuerzo compartido —no necesariamente idéntico—, que se puede encontrar en las exposiciones de motivos de las normas aprobadas para reducir el déficit tarifario, como los Reales Decretos-leyes 14/2010, de 23 de diciembre, 20/2012, de 13 de julio, y 9/2013, de 12 de julio, entre otras.</w:t>
      </w:r>
    </w:p>
    <w:p w:rsidR="00A90898" w:rsidRDefault="00A90898" w:rsidP="00A90898">
      <w:pPr>
        <w:pStyle w:val="TextoNormal"/>
      </w:pPr>
    </w:p>
    <w:p w:rsidR="00A90898" w:rsidRDefault="00A90898" w:rsidP="00A90898">
      <w:pPr>
        <w:pStyle w:val="TextoNormal"/>
      </w:pPr>
      <w:r>
        <w:t>Por consiguiente, a través de la sucesión de normas aprobadas para controlar y financiar el déficit de tarifa se han arbitrado medidas que han afectado a otros subsectores del sistema, minorando sus retribuciones (por ejemplo, para el caso del transporte, por los Reales Decretos-leyes 20/2012 y 9/2013; y para las instalaciones de generación en régimen especial, mediante los Reales Decretos-leyes 14/2010 e, igualmente, 9/2013); así como a los consumidores, con aumentos de tarifa, y al conjunto de los contribuyentes, imputando ciertas partidas de costes a los presupuestos generales del Estado o creando tributos específicos sobre el sector (Ley 15/2012, de 27 de diciembre).</w:t>
      </w:r>
    </w:p>
    <w:p w:rsidR="00A90898" w:rsidRDefault="00A90898" w:rsidP="00A90898">
      <w:pPr>
        <w:pStyle w:val="TextoNormal"/>
      </w:pPr>
    </w:p>
    <w:p w:rsidR="00A90898" w:rsidRDefault="00A90898" w:rsidP="00A90898">
      <w:pPr>
        <w:pStyle w:val="TextoNormal"/>
      </w:pPr>
      <w:r>
        <w:t xml:space="preserve">De lo expuesto se desprende que la aplicación de una concreta medida, como la que aquí se examina, tan solo a los grupos eléctricos dedicados principalmente a la producción de electricidad en régimen ordinario, y no a las empresas dedicadas a otras actividades eléctricas o a las productoras que utilizan de forma primordial energías renovables y otras propias </w:t>
      </w:r>
      <w:r>
        <w:lastRenderedPageBreak/>
        <w:t>del régimen especial, no introduce una diferencia entre situaciones que puedan calificarse iguales, al menos por dos razones: i) el diferente régimen jurídico y económico aplicable a cada actividad, lo que conlleva distintos derechos y cargas, siguiendo la terminología de la STC 83/2014, de 29 de mayo, FJ 3 y ii) el necesario enfoque de esta norma en el contexto de las adoptadas para contener el déficit de tarifa eléctrica, de suerte que a cada tipo de actividad se le han exigido ajustes, siendo legítimo que el legislador tenga en cuenta la diferente contribución de cada subsector para imponer solo a ciertos grupos la financiación del déficit.</w:t>
      </w:r>
    </w:p>
    <w:p w:rsidR="00A90898" w:rsidRDefault="00A90898" w:rsidP="00A90898">
      <w:pPr>
        <w:pStyle w:val="TextoNormal"/>
      </w:pPr>
    </w:p>
    <w:p w:rsidR="00A90898" w:rsidRDefault="00A90898" w:rsidP="00A90898">
      <w:pPr>
        <w:pStyle w:val="TextoNormal"/>
      </w:pPr>
      <w:r>
        <w:t>En suma y por las razones expuestas, no hay vulneración del art. 14 CE.</w:t>
      </w:r>
    </w:p>
    <w:p w:rsidR="00A90898" w:rsidRDefault="00A90898" w:rsidP="00A90898">
      <w:pPr>
        <w:pStyle w:val="TextoNormal"/>
      </w:pPr>
    </w:p>
    <w:p w:rsidR="00A90898" w:rsidRDefault="00A90898" w:rsidP="00A90898">
      <w:pPr>
        <w:pStyle w:val="TextoNormal"/>
      </w:pPr>
      <w:r w:rsidRPr="00A90898">
        <w:rPr>
          <w:rStyle w:val="NumeroAFNegritaCaracter"/>
        </w:rPr>
        <w:t>5</w:t>
      </w:r>
      <w:r>
        <w:t>. Procede, por último, enjuiciar la posible infracción del art. 24.1 CE que se denuncia por la actora, según la cual la Sentencia de la Sala de lo Contencioso-Administrativo del Tribunal Supremo de 28 de marzo de 2014 habría incurrido en error patente, irracionabilidad e incongruencia omisiva. El Abogado del Estado, por el contrario, niega que estos vicios puedan predicarse de fundamentos aislados de una resolución judicial, como pretende la recurrente, debiendo considerarse la Sentencia de forma global, mientras que la Fiscal arguye que la denuncia no hace sino encubrir el desacuerdo con los razonamientos de la resolución.</w:t>
      </w:r>
    </w:p>
    <w:p w:rsidR="00A90898" w:rsidRDefault="00A90898" w:rsidP="00A90898">
      <w:pPr>
        <w:pStyle w:val="TextoNormal"/>
      </w:pPr>
    </w:p>
    <w:p w:rsidR="00A90898" w:rsidRDefault="00A90898" w:rsidP="00A90898">
      <w:pPr>
        <w:pStyle w:val="TextoNormal"/>
      </w:pPr>
      <w:r>
        <w:t>Hemos declarado reiteradamente que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w:t>
      </w:r>
    </w:p>
    <w:p w:rsidR="00A90898" w:rsidRDefault="00A90898" w:rsidP="00A90898">
      <w:pPr>
        <w:pStyle w:val="TextoNormal"/>
      </w:pPr>
    </w:p>
    <w:p w:rsidR="00A90898" w:rsidRDefault="00A90898" w:rsidP="00A90898">
      <w:pPr>
        <w:pStyle w:val="TextoNormal"/>
      </w:pPr>
      <w:r>
        <w:t xml:space="preserve">En cuanto a la imputación de que la Sentencia impugnada incurre en errores patentes, conviene recordar que no toda inexactitud o equivocación del juzgador tiene relevancia constitucional, sino que es necesario que concurran en él ciertas características (por todas, STC 112/2008, de 29 de septiembre, FJ 3) que, como señala el Ministerio Fiscal, a todas luces no se dan aquí. Es claro que los errores invocados en la demanda no se refieren al sustrato fáctico del asunto enjuiciado, como exige la doctrina constitucional, sino a la forma en que el Tribunal Supremo ha interpretado determinados razonamientos de la Sentencia de instancia (en concreto, sobre si el porcentaje de cobertura del déficit asignado a “Iberdrola, S.A.” se ha considerado una cuestión de prueba o no); o de la propia recurrente en casación (acerca de si la invocación como término de comparación de otros ámbitos empresariales es </w:t>
      </w:r>
      <w:r>
        <w:lastRenderedPageBreak/>
        <w:t xml:space="preserve">lo que fundamenta la desproporción del porcentaje de financiación). Por tanto, no nos enfrentamos a un error “de hecho” ni, desde luego, este sería “determinante de la decisión adoptada, de forma que constituya el soporte único o fundamental de la resolución, su </w:t>
      </w:r>
      <w:r w:rsidRPr="00A90898">
        <w:rPr>
          <w:i/>
        </w:rPr>
        <w:t>ratio decidendi</w:t>
      </w:r>
      <w:r>
        <w:t>, de tal suerte que, comprobada su existencia, la fundamentación jurídica pierde el sentido y alcance que la justificaba” (STC 161/2007, de 2 de julio, FJ 4).</w:t>
      </w:r>
    </w:p>
    <w:p w:rsidR="00A90898" w:rsidRDefault="00A90898" w:rsidP="00A90898">
      <w:pPr>
        <w:pStyle w:val="TextoNormal"/>
      </w:pPr>
    </w:p>
    <w:p w:rsidR="00A90898" w:rsidRDefault="00A90898" w:rsidP="00A90898">
      <w:pPr>
        <w:pStyle w:val="TextoNormal"/>
      </w:pPr>
      <w:r>
        <w:t>Idéntica conclusión desestimatoria debemos alcanzar sobre la denuncia de irracionabilidad basada en que la Sentencia desestimatoria del recurso de casación no habría respetado el canon reforzado exigible cuando están en juego derechos fundamentales (por todas, STC 138/2014, de 8 de septiembre, FJ 3). La falta de razonabilidad se conecta con los errores en que, a juicio de la demandante, habría incurrido el Tribunal Supremo. Así, se aduce que la Sentencia hace una valoración irrazonable de la prueba cuando concluye que las empresas financiadoras constituyen la práctica totalidad del sector eléctrico, lo que, a juicio de la actora, no es así. Pero a esto se ha de oponer, de un lado, que la irracionabilidad de la resolución debe valorarse en su conjunto, como recuerda el Abogado del Estado; y, de otro, que, según venimos reiterando, la Sentencia de 28 de marzo de 2014, concluye que la disposición adicional vigésima primera LSE singulariza a las obligadas por haber percibido los costes de transición a la competencia, de tal forma que el peso que tengan en el sector eléctrico (extremo que admite varias interpretaciones, según se trate del sector en su conjunto, o de los distintos subsectores que lo integran, así como el momento temporal que se tome en cuenta) no ha sido el principal elemento determinante del fallo. En modo alguno cabe tildar de irrazonable la Sentencia impugnada, ya que sus fundamentos jurídicos 7 y 8 expresan con absoluta claridad, remitiéndose en parte a las Sentencias del Pleno de 18 de noviembre de 2013, por qué motivos la disposición adicional vigésima primera LSE no quebranta el art. 14 CE, sin que la discrepancia con ellos pueda servir para sustentar una denuncia de irracionabilidad.</w:t>
      </w:r>
    </w:p>
    <w:p w:rsidR="00A90898" w:rsidRDefault="00A90898" w:rsidP="00A90898">
      <w:pPr>
        <w:pStyle w:val="TextoNormal"/>
      </w:pPr>
    </w:p>
    <w:p w:rsidR="00A90898" w:rsidRDefault="00A90898" w:rsidP="00A90898">
      <w:pPr>
        <w:pStyle w:val="TextoNormal"/>
      </w:pPr>
      <w:r>
        <w:t>En lo atinente a la supuesta incongruencia omisiva, por no haber dado respuesta a la alegación de que no está justificado que la obligación se imponga solo a cinco grupos que son fundamentalmente titulares de instalaciones de generación en régimen ordinario, dejando fuera al 41,2 por 100 del subsector de producción que aplica el régimen especial, conviene recordar que la satisfacción del derecho a la tutela judicial efectiva no exige una contestación explícita y pormenorizada a todas y cada una de las alegaciones que se aducen por las partes como fundamento de su pretensión [por todas, STC 178/2014, de 3 de noviembre, FJ 6 b)].Y, como hemos reseñado, el peso que actualmente tenga el grupo de las empresas obligadas no ha sido el criterio de singularización determinante de la norma, por lo que la falta de mención expresa a este aspecto no implica infracción constitucional alguna.</w:t>
      </w:r>
    </w:p>
    <w:p w:rsidR="00A90898" w:rsidRDefault="00A90898" w:rsidP="00A90898">
      <w:pPr>
        <w:pStyle w:val="TextoNormal"/>
      </w:pPr>
    </w:p>
    <w:p w:rsidR="00A90898" w:rsidRDefault="00A90898" w:rsidP="00A90898">
      <w:pPr>
        <w:pStyle w:val="TextoNormal"/>
      </w:pPr>
      <w:r>
        <w:t xml:space="preserve">Por último, también debe incardinarse en el ámbito del art. 24.1 CE la referencia que hace Iberdrola, S.A., al Derecho de la Unión Europea, en especial al principio de igualdad de la Directiva 2009/72/CE, sobre normas comunes para el mercado interior de la electricidad, aspecto sobre el que este Tribunal ha reiterado que ni el fenómeno de la integración europea, ni el art. 93 CE a través del que ésta se instrumenta, ni el principio de primacía del Derecho de la Unión que rige las relaciones entre ambos ordenamientos, han dotado a las normas del Derecho de la Unión Europea, originario o derivado, “de rango y fuerza constitucionales” [por todas, STC 215/2014, de 18 de diciembre, FJ 3 a), con cita de otras]. Pues bien, en el presente caso, los tribunales de la jurisdicción ordinaria, en ejercicio de su competencia, han estimado razonadamente que la disposición adicional vigésima primera LSE </w:t>
      </w:r>
      <w:r>
        <w:lastRenderedPageBreak/>
        <w:t>no es una obligación de servicio público a la que resulte aplicable la Directiva 2009/72/CE, sin que esta conclusión entrañe lesión alguna del art. 24.1 CE, que solo existiría en la hipótesis de que se hubiera desconocido el Derecho de la Unión tal y como ha sido interpretado por el Tribunal de Justicia de la Unión Europea, dando lugar a una “selección irrazonable y arbitraria de una norma aplicable al proceso”, conforme se recoge en las SSTC 145/2012, de 2 de julio, FFJJ 5 y 6, y 232/2015, de 5 de noviembre, FFJJ 4 y 5, lo que no ha tenido lugar en el presente proceso.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Publíquese esta Sentencia en el “Boletín Oficial del Estado”.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veintiocho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8" w:name="SENTENCIA_2016_199"/>
      <w:r>
        <w:lastRenderedPageBreak/>
        <w:t>SENTENCIA 199/2016, de 28 de noviembre de 2016</w:t>
      </w:r>
    </w:p>
    <w:bookmarkEnd w:id="78"/>
    <w:p w:rsidR="00A90898" w:rsidRDefault="00A90898" w:rsidP="00A90898">
      <w:pPr>
        <w:pStyle w:val="TtuloResolucin"/>
      </w:pPr>
      <w:r>
        <w:t>Sala Primera</w:t>
      </w:r>
    </w:p>
    <w:p w:rsidR="00A90898" w:rsidRDefault="00A90898" w:rsidP="00A90898">
      <w:pPr>
        <w:pStyle w:val="TtuloBOE"/>
      </w:pPr>
      <w:r>
        <w:t>(BOE núm. 7, de 9 de enero de 2017)</w:t>
      </w:r>
    </w:p>
    <w:p w:rsidR="00A90898" w:rsidRDefault="00A90898" w:rsidP="00A90898">
      <w:pPr>
        <w:pStyle w:val="TextoNormalCentrado"/>
      </w:pPr>
      <w:r>
        <w:t>ECLI:ES:TC:2016:199</w:t>
      </w:r>
    </w:p>
    <w:p w:rsidR="00A90898" w:rsidRDefault="00A90898" w:rsidP="00A90898">
      <w:pPr>
        <w:pStyle w:val="TextoNormalCentrado"/>
      </w:pPr>
    </w:p>
    <w:p w:rsidR="00A90898" w:rsidRDefault="00A90898" w:rsidP="00A90898">
      <w:pPr>
        <w:pStyle w:val="SntesisDescriptiva"/>
      </w:pPr>
      <w:r>
        <w:t>Recurso de amparo 3766-2015. Promovido por doña Patricia del Pozo Fernández respecto de la proclamación de los Secretarios de la Mesa del Parlamento de Andalucía efectuada por el Presidente de la sesión constitutiva de la Cámara.</w:t>
      </w:r>
    </w:p>
    <w:p w:rsidR="00A90898" w:rsidRDefault="00A90898" w:rsidP="00A90898">
      <w:pPr>
        <w:pStyle w:val="SntesisDescriptiva"/>
      </w:pPr>
    </w:p>
    <w:p w:rsidR="00A90898" w:rsidRDefault="00A90898" w:rsidP="00A90898">
      <w:pPr>
        <w:pStyle w:val="SntesisAnaltica"/>
      </w:pPr>
      <w:r>
        <w:t>Vulneración del derecho al ejercicio de los cargos públicos en condiciones de igualdad en relación con el derecho a la participación política de los ciudadanos a través de sus representantes: interpretación del reglamento parlamentario que priva injustificadamente a la recurrente de su derecho a formar parte de la mesa de la Cámara.</w:t>
      </w:r>
    </w:p>
    <w:p w:rsidR="00A90898" w:rsidRDefault="00A90898" w:rsidP="00A90898">
      <w:pPr>
        <w:pStyle w:val="SntesisAnaltica"/>
      </w:pPr>
    </w:p>
    <w:p w:rsidR="00A90898" w:rsidRDefault="00A90898" w:rsidP="00A90898">
      <w:pPr>
        <w:pStyle w:val="Extracto"/>
      </w:pPr>
      <w:r>
        <w:t>1.</w:t>
      </w:r>
      <w:r>
        <w:tab/>
        <w:t>La decisión del Presidente de la sesión constitutiva, fundada en una interpretación del Reglamento que deja sin efectividad en el caso concreto el procedimiento de elección de los Secretarios de la Mesa, priva injustificadamente a la diputada recurrente de su derecho a formar parte como Secretaria de la Mesa del Parlamento de Andalucía [FJ 5].</w:t>
      </w:r>
    </w:p>
    <w:p w:rsidR="00A90898" w:rsidRDefault="00A90898" w:rsidP="00A90898">
      <w:pPr>
        <w:pStyle w:val="Extracto"/>
      </w:pPr>
    </w:p>
    <w:p w:rsidR="00A90898" w:rsidRDefault="00A90898" w:rsidP="00A90898">
      <w:pPr>
        <w:pStyle w:val="Extracto"/>
      </w:pPr>
      <w:r>
        <w:t>2.</w:t>
      </w:r>
      <w:r>
        <w:tab/>
        <w:t>Corresponde a los diputados el derecho a formar parte de la Mesa de la Cámara, con los requisitos que el Reglamento de la misma determine, y dicha facultad pertenece al núcleo de la función representativa parlamentaria, dada la naturaleza y la importante función que le corresponde a la Mesa en los actuales Parlamentos y su imprescindible labor técnico-jurídica, dirigida a ordenar y racionalizar el funcionamiento de las Cámaras para su mayor eficiencia, como foro de debate y participación en la cosa pública (STC 38/1999) [FJ 3].</w:t>
      </w:r>
    </w:p>
    <w:p w:rsidR="00A90898" w:rsidRDefault="00A90898" w:rsidP="00A90898">
      <w:pPr>
        <w:pStyle w:val="Extracto"/>
      </w:pPr>
    </w:p>
    <w:p w:rsidR="00A90898" w:rsidRDefault="00A90898" w:rsidP="00A90898">
      <w:pPr>
        <w:pStyle w:val="Extracto"/>
      </w:pPr>
      <w:r>
        <w:t>3.</w:t>
      </w:r>
      <w:r>
        <w:tab/>
        <w:t xml:space="preserve">Los amparos parlamentarios tienen una particularidad respecto del resto de los recursos de amparo en cuanto al marco de garantías del que disponen los eventuales recurrentes para invocar sus derechos fundamentales: la ausencia de una vía jurisdiccional previa al amparo constitucional en la que postular la reparación de los derechos vulnerados y que se retrotrae, en origen, a la doctrina de los </w:t>
      </w:r>
      <w:r w:rsidRPr="00A90898">
        <w:rPr>
          <w:i/>
        </w:rPr>
        <w:t>interna corporis acta</w:t>
      </w:r>
      <w:r>
        <w:t xml:space="preserve"> [FJ 2].</w:t>
      </w:r>
    </w:p>
    <w:p w:rsidR="00A90898" w:rsidRDefault="00A90898" w:rsidP="00A90898">
      <w:pPr>
        <w:pStyle w:val="Extracto"/>
      </w:pPr>
    </w:p>
    <w:p w:rsidR="00A90898" w:rsidRDefault="00A90898" w:rsidP="00A90898">
      <w:pPr>
        <w:pStyle w:val="Extracto"/>
      </w:pPr>
      <w:r>
        <w:t>4.</w:t>
      </w:r>
      <w:r>
        <w:tab/>
        <w:t xml:space="preserve">De acuerdo con doctrina de los </w:t>
      </w:r>
      <w:r w:rsidRPr="00A90898">
        <w:rPr>
          <w:i/>
        </w:rPr>
        <w:t xml:space="preserve">interna corporis </w:t>
      </w:r>
      <w:r>
        <w:t>acta, los actos parlamentarios resultan infiscalizables por los tribunales ordinarios, circunstancia que ha de conjugarse con el ejercicio del</w:t>
      </w:r>
      <w:r w:rsidRPr="00A90898">
        <w:rPr>
          <w:i/>
        </w:rPr>
        <w:t xml:space="preserve"> ius in officium </w:t>
      </w:r>
      <w:r>
        <w:t>por parte de los representantes políticos sin perturbaciones ilegítimas y, en última instancia, con el derecho de los propios ciudadanos a participar en los asuntos públicos mediante sus representantes</w:t>
      </w:r>
      <w:r w:rsidRPr="00A90898">
        <w:rPr>
          <w:i/>
        </w:rPr>
        <w:t xml:space="preserve"> ex </w:t>
      </w:r>
      <w:r>
        <w:t>art. 23.1 CE. Esta circunstancia sitúa a los amparos parlamentarios en una posición especial a la hora de valorar la especial trascendencia constitucional (STC 155/2009) [FJ 2].</w:t>
      </w:r>
    </w:p>
    <w:p w:rsidR="00A90898" w:rsidRDefault="00A90898" w:rsidP="00A90898">
      <w:pPr>
        <w:pStyle w:val="Extracto"/>
      </w:pPr>
    </w:p>
    <w:p w:rsidR="00A90898" w:rsidRDefault="00A90898" w:rsidP="00A90898">
      <w:pPr>
        <w:pStyle w:val="Extracto"/>
      </w:pPr>
      <w:r>
        <w:t>5.</w:t>
      </w:r>
      <w:r>
        <w:tab/>
        <w:t>No cabe negar al Presidente de la sesión constitutiva la facultad de interpretación, en tanto que órgano directamente responsable de la aplicación de una previsión reglamentaria [FJ 4].</w:t>
      </w:r>
    </w:p>
    <w:p w:rsidR="00A90898" w:rsidRDefault="00A90898" w:rsidP="00A90898">
      <w:pPr>
        <w:pStyle w:val="Extracto"/>
      </w:pPr>
    </w:p>
    <w:p w:rsidR="00A90898" w:rsidRDefault="00A90898" w:rsidP="00A90898">
      <w:pPr>
        <w:pStyle w:val="Extracto"/>
      </w:pPr>
      <w:r>
        <w:lastRenderedPageBreak/>
        <w:t>6.</w:t>
      </w:r>
      <w:r>
        <w:tab/>
        <w:t>Procede el restablecimiento a la recurrente en la integridad del derecho fundamental vulnerado, anulando la decisión del Presidente de la sesión constitutiva del Parlamento de Andalucía, en cuanto excluye a la recurrente, y declarar que ésta tiene derecho a formar parte de la Mesa en calidad de Secretaria segunda, debiendo el Parlamento de Andalucía arbitrar las medidas oportunas para hacer efectivo este derecho. Asimismo, en virtud del principio de seguridad jurídica, el alcance del fallo no afecta a los actos, acuerdos y decisiones de la Mesa del Parlamento de Andalucía adoptados con anterioridad a la publicación de la Sentencia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3766-2015 promovido por doña Patricia del Pozo Fernández, representada por el Procurador de los Tribunales don Manuel Sánchez-Puelles González-Carvajal y asistida por la Abogada doña María Dolores Martínez Pérez, contra la decisión del Presidente de la sesión constitutiva del Parlamento de Andalucía, celebrada el 16 de abril de 2015, por la que se proclamó a los tres Secretarios de la Mesa. Han intervenido el Parlamento de Andalucía y el Ministerio Fiscal.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25 de junio de 2015, doña Patricia del Pozo Fernández, diputada del Grupo Parlamentario Popular en el Parlamento de Andalucía, representada por el Procurador de los Tribunales don Manuel Sánchez-Puelles González-Carvajal y asistida por la Abogada doña María Dolores Martínez Pérez, interpuso demanda de amparo contra la decisión del Presidente de la sesión constitutiva del Parlamento de Andalucía a la que se hace referencia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que se fundamenta la demanda de amparo son los que siguen.</w:t>
      </w:r>
    </w:p>
    <w:p w:rsidR="00A90898" w:rsidRDefault="00A90898" w:rsidP="00A90898">
      <w:pPr>
        <w:pStyle w:val="TextoNormal"/>
      </w:pPr>
    </w:p>
    <w:p w:rsidR="00A90898" w:rsidRDefault="00A90898" w:rsidP="00A90898">
      <w:pPr>
        <w:pStyle w:val="TextoNormal"/>
      </w:pPr>
      <w:r>
        <w:t xml:space="preserve">a) El 22 de marzo de 2015 se celebraron las elecciones al Parlamento de Andalucía y el 16 de abril de ese mismo año la Cámara celebró su sesión constitutiva, presidida, de acuerdo con el art. 3 del Reglamento del Parlamento de Andalucía (RPA), por el diputado electo de mayor edad (que resultó ser don Luis Pizarro Medina, diputado electo del PSOE) asistido, </w:t>
      </w:r>
      <w:r>
        <w:lastRenderedPageBreak/>
        <w:t>en calidad de Secretarios, por los dos diputados más jóvenes (que resultaron ser también dos diputados del PSOE). Una vez declarada abierta la sesión y tras dar lectura al Decreto de convocatoria y a la relación de diputados electos, se procedió a la elección de la Mesa del Parlamento (compuesta por el Presidente, tres Vicepresidentes y tres Secretarios, según establece el art. 27.2 RPA), de acuerdo con el procedimiento regulado en los arts. 33 y 34 RPA, a los que se remite el art. 3.2 RPA.</w:t>
      </w:r>
    </w:p>
    <w:p w:rsidR="00A90898" w:rsidRDefault="00A90898" w:rsidP="00A90898">
      <w:pPr>
        <w:pStyle w:val="TextoNormal"/>
      </w:pPr>
    </w:p>
    <w:p w:rsidR="00A90898" w:rsidRDefault="00A90898" w:rsidP="00A90898">
      <w:pPr>
        <w:pStyle w:val="TextoNormal"/>
      </w:pPr>
      <w:r>
        <w:t>En lo que importa al presente recurso de amparo, el art. 33.4 RPA determina que “las votaciones de Presidente o Presidenta, Vicepresidentes y Secretarios se harán sucesivamente”, y el art. 34 RPA establece lo siguiente:</w:t>
      </w:r>
    </w:p>
    <w:p w:rsidR="00A90898" w:rsidRDefault="00A90898" w:rsidP="00A90898">
      <w:pPr>
        <w:pStyle w:val="TextoNormal"/>
      </w:pPr>
    </w:p>
    <w:p w:rsidR="00A90898" w:rsidRDefault="00A90898" w:rsidP="00A90898">
      <w:pPr>
        <w:pStyle w:val="TextoNormal"/>
      </w:pPr>
      <w:r>
        <w:t>“1. Para la elección de Presidente o Presidenta, cada miembro del Parlamento escribirá un solo nombre en la papeleta, y resultará elegido el que obtenga la mayoría absoluta. Si no la hubiera, se repetirá la elección entre los dos Diputados que se hayan acercado más a la mayoría, y resultará elegido quien obtenga el mayor número de votos. En caso de empate, se celebrarán sucesivas votaciones entre los candidatos igualados en votos y, si el empate persistiera después de cuatro votaciones, se considerará elegido el candidato o candidata propuesto individual o conjuntamente por los partidos, coaliciones o grupos con mayor respaldo electoral, atendiendo, incluso, al criterio de lista más votada en las elecciones.</w:t>
      </w:r>
    </w:p>
    <w:p w:rsidR="00A90898" w:rsidRDefault="00A90898" w:rsidP="00A90898">
      <w:pPr>
        <w:pStyle w:val="TextoNormal"/>
      </w:pPr>
    </w:p>
    <w:p w:rsidR="00A90898" w:rsidRDefault="00A90898" w:rsidP="00A90898">
      <w:pPr>
        <w:pStyle w:val="TextoNormal"/>
      </w:pPr>
      <w:r>
        <w:t>2. Para la elección de los tres Vicepresidentes, cada Diputado o Diputada escribirá un nombre en la papeleta y resultarán elegidos quienes por orden correlativo obtengan la mayoría de votos.</w:t>
      </w:r>
    </w:p>
    <w:p w:rsidR="00A90898" w:rsidRDefault="00A90898" w:rsidP="00A90898">
      <w:pPr>
        <w:pStyle w:val="TextoNormal"/>
      </w:pPr>
    </w:p>
    <w:p w:rsidR="00A90898" w:rsidRDefault="00A90898" w:rsidP="00A90898">
      <w:pPr>
        <w:pStyle w:val="TextoNormal"/>
      </w:pPr>
      <w:r>
        <w:t>3. De la misma forma serán elegidos los tres Secretarios.</w:t>
      </w:r>
    </w:p>
    <w:p w:rsidR="00A90898" w:rsidRDefault="00A90898" w:rsidP="00A90898">
      <w:pPr>
        <w:pStyle w:val="TextoNormal"/>
      </w:pPr>
    </w:p>
    <w:p w:rsidR="00A90898" w:rsidRDefault="00A90898" w:rsidP="00A90898">
      <w:pPr>
        <w:pStyle w:val="TextoNormal"/>
      </w:pPr>
      <w:r>
        <w:t>4. Si en alguna votación se produjese empate, se celebrarán sucesivas votaciones entre los candidatos igualados en votos hasta que el empate quede dirimido.</w:t>
      </w:r>
    </w:p>
    <w:p w:rsidR="00A90898" w:rsidRDefault="00A90898" w:rsidP="00A90898">
      <w:pPr>
        <w:pStyle w:val="TextoNormal"/>
      </w:pPr>
    </w:p>
    <w:p w:rsidR="00A90898" w:rsidRDefault="00A90898" w:rsidP="00A90898">
      <w:pPr>
        <w:pStyle w:val="TextoNormal"/>
      </w:pPr>
      <w:r>
        <w:t>5. Ningún partido, federación, coalición o agrupación de electores podrá presentar más de un candidato o candidata para cada uno de los puestos de la Mesa.”</w:t>
      </w:r>
    </w:p>
    <w:p w:rsidR="00A90898" w:rsidRDefault="00A90898" w:rsidP="00A90898">
      <w:pPr>
        <w:pStyle w:val="TextoNormal"/>
      </w:pPr>
    </w:p>
    <w:p w:rsidR="00A90898" w:rsidRDefault="00A90898" w:rsidP="00A90898">
      <w:pPr>
        <w:pStyle w:val="TextoNormal"/>
      </w:pPr>
      <w:r>
        <w:t>b) En aplicación de los preceptos indicados, en la sesión constitutiva del Parlamento de Andalucía se procedió a la elección del Presidente conforme al procedimiento regulado en el art. 34.1 RPA, resultando elegido, en segunda votación, el candidato propuesto por el PSOE, por mayoría de 47 votos. A continuación, siguiendo el procedimiento previsto en el art. 34.2 RPA, se procedió a la elección de los tres Vicepresidentes; de los 109 votos emitidos, la candidata propuesta por el PSOE obtuvo 47 votos, siendo proclamada Vicepresidenta primera; la candidata propuesta por el PP obtuvo 33 votos, siendo proclamada Vicepresidenta segunda; el candidato propuesto por Podemos obtuvo 15 votos, siendo proclamado Vicepresidente tercero.</w:t>
      </w:r>
    </w:p>
    <w:p w:rsidR="00A90898" w:rsidRDefault="00A90898" w:rsidP="00A90898">
      <w:pPr>
        <w:pStyle w:val="TextoNormal"/>
      </w:pPr>
    </w:p>
    <w:p w:rsidR="00A90898" w:rsidRDefault="00A90898" w:rsidP="00A90898">
      <w:pPr>
        <w:pStyle w:val="TextoNormal"/>
      </w:pPr>
      <w:r>
        <w:t xml:space="preserve">Tal y como consta en el “Diario de Sesiones del Parlamento de Andalucía” núm. 1, de 16 de abril de 2015, p. 22, tras ser elegidos los Vicepresidentes, el Presidente de la sesión constitutiva se dirigió a la Cámara en los siguientes términos: “a continuación, de la misma forma que se ha procedido para la elección de los Vicepresidentes, corresponde en este momento, de conformidad con lo dispuesto en el art. 34.3 del Reglamento de la Cámara, que el Pleno proceda a la elección de los tres Secretarios. Al igual que en la ocasión anterior, </w:t>
      </w:r>
      <w:r>
        <w:lastRenderedPageBreak/>
        <w:t>cada diputado o diputada escribirá un nombre en la papeleta. Resultarán elegidos los que, por orden correlativo, obtengan la mayoría de votos”. Asimismo añadió: “Debo aclarar, en cumplimiento de lo previsto en el art. 37 del Reglamento, el derecho de cada grupo a un miembro en la Mesa, así como la exigencia del respeto al principio de presencia equilibrada de hombres y mujeres. Puede ser necesaria la intervención de la Mesa resolviendo de oficio los procedentes para dar cumplimiento a dicha normativa”.</w:t>
      </w:r>
    </w:p>
    <w:p w:rsidR="00A90898" w:rsidRDefault="00A90898" w:rsidP="00A90898">
      <w:pPr>
        <w:pStyle w:val="TextoNormal"/>
      </w:pPr>
    </w:p>
    <w:p w:rsidR="00A90898" w:rsidRDefault="00A90898" w:rsidP="00A90898">
      <w:pPr>
        <w:pStyle w:val="TextoNormal"/>
      </w:pPr>
      <w:r>
        <w:t>A los efectos del presente recurso de amparo interesa señalar que, tal como se desprende de la lectura íntegra de la intervención del Presidente de la sesión constitutiva, ha de entenderse que su referencia al art. 37 RPA lo es en realidad al art. 36 RPA, que establece que “todos los partidos, federaciones y coaliciones que, habiendo concurrido a las anteriores elecciones, hubieran obtenido en las mismas representación suficiente para constituir Grupo parlamentario, tendrán derecho a estar presentes en la Mesa”.</w:t>
      </w:r>
    </w:p>
    <w:p w:rsidR="00A90898" w:rsidRDefault="00A90898" w:rsidP="00A90898">
      <w:pPr>
        <w:pStyle w:val="TextoNormal"/>
      </w:pPr>
    </w:p>
    <w:p w:rsidR="00A90898" w:rsidRDefault="00A90898" w:rsidP="00A90898">
      <w:pPr>
        <w:pStyle w:val="TextoNormal"/>
      </w:pPr>
      <w:r>
        <w:t>Seguidamente el Presidente de la sesión constitutiva pasó a preguntar a los distintos grupos parlamentarios los nombres de los diputados propuestos para ocupar uno de los puestos de Secretario en la Mesa. Una vez efectuada la votación el resultado del escrutinio fue el siguiente: de un total de 109 votos emitidos, la candidata propuesta por el PSOE obtuvo 47 votos; la candidata propuesta por el PP (doña Patricia del Pozo Fernández, recurrente en amparo) obtuvo 33 votos; el candidato de Ciudadanos (C’s) obtuvo 9 votos y el candidato de Izquierda Unida (IU) 5 votos, emitiéndose 15 votos en blanco (Podemos no presentó ningún candidato).</w:t>
      </w:r>
    </w:p>
    <w:p w:rsidR="00A90898" w:rsidRDefault="00A90898" w:rsidP="00A90898">
      <w:pPr>
        <w:pStyle w:val="TextoNormal"/>
      </w:pPr>
    </w:p>
    <w:p w:rsidR="00A90898" w:rsidRDefault="00A90898" w:rsidP="00A90898">
      <w:pPr>
        <w:pStyle w:val="TextoNormal"/>
      </w:pPr>
      <w:r>
        <w:t>A continuación el Presidente de la sesión constitutiva expuso lo siguiente: “como todas las fuerzas políticas significativas tienen derecho, como mínimo, a que uno de los miembros elegidos proceda de su propuesta, en caso de que ello no fuera posible, con arreglo a criterios de proporcionalidad pura cederá un puesto la propuesta … que, teniendo ya asegurada la elección de un miembro de la Mesa, obtenga en esa tercera votación menor número de votos” (“Diario de Sesiones del Parlamento de Andalucía”, núm. 1, de 16 de abril de 2015, p. 27). En aplicación de lo manifestado, que deriva de la interpretación que el Presidente de la sesión constitutiva hace del art. 36 RPA, proclamó como Secretaria primera a la candidata propuesta por el PSOE; como Secretario segundo al candidato de C’s; y como Secretario tercero al candidato de IU. Quedó excluida, por tanto, la recurrente en amparo.</w:t>
      </w:r>
    </w:p>
    <w:p w:rsidR="00A90898" w:rsidRDefault="00A90898" w:rsidP="00A90898">
      <w:pPr>
        <w:pStyle w:val="TextoNormal"/>
      </w:pPr>
    </w:p>
    <w:p w:rsidR="00A90898" w:rsidRDefault="00A90898" w:rsidP="00A90898">
      <w:pPr>
        <w:pStyle w:val="TextoNormal"/>
      </w:pPr>
      <w:r>
        <w:t>En el “Diario de Sesiones del Parlamento de Andalucía” (núm. 1, de 16 de abril de 2015, pp. 32 y 33) se refleja también que el Sr. Rojas García, diputado del PP, manifestó su discrepancia respecto de la decisión tomada por el Presidente de la sesión constitutiva, aduciendo que este no tiene ninguna facultad para interpretar el Reglamento de la Cámara, debiendo aplicarse exclusivamente a la elección de Secretarios de la Mesa lo dispuesto en los arts. 33 y 34 RPA, a los que se remite el art. 3.2 RPA.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Recurre en amparo doña Patricia del Pozo Fernández, diputada del Parlamento de Andalucía y candidata del PP al cargo de Secretaria de la Mesa del Parlamento. La demanda se plantea al amparo del art. 42 de la Ley Orgánica del Tribunal Constitucional (LOTC) y en ella se solicita la nulidad de la decisión del Presidente de la sesión constitutiva del Parlamento de Andalucía de 16 de abril de 2015 por la que se proclamó a los tres Secretarios de la Mesa del Parlamento sin respetar, aun exigiéndolo el Reglamento de la Cámara, los </w:t>
      </w:r>
      <w:r>
        <w:lastRenderedPageBreak/>
        <w:t>resultados de la votación previa, vulnerando el derecho fundamental de la diputada recurrente, elegida para ocupar la Secretaría segunda de la Mesa, a ejercer las funciones representativas con los requisitos que señalan las leyes.</w:t>
      </w:r>
    </w:p>
    <w:p w:rsidR="00A90898" w:rsidRDefault="00A90898" w:rsidP="00A90898">
      <w:pPr>
        <w:pStyle w:val="TextoNormal"/>
      </w:pPr>
    </w:p>
    <w:p w:rsidR="00A90898" w:rsidRDefault="00A90898" w:rsidP="00A90898">
      <w:pPr>
        <w:pStyle w:val="TextoNormal"/>
      </w:pPr>
      <w:r>
        <w:t>Según la recurrente, siguiendo el procedimiento del art. 34 RPA el Presidente de la sesión constitutiva estaba obligado a proclamar Secretarios de la Mesa a aquellos Diputados propuestos que por orden correlativo hubiesen obtenido la mayoría de votos, es decir, Secretario primero al candidato del PSOE, que obtuvo 47 votos; Secretaria segunda a la recurrente, con 33 votos, y Secretario tercero al candidato de C’s, con 9 votos. Sin embargo el Presidente de la sesión constitutiva decidió unilateralmente y sin base jurídica alguna excluir a la representante del PP y nombrar como Secretario de la Mesa al representante de IU, que solo obtuvo 5 votos. Para la recurrente dicha decisión vulnera su derecho fundamental a acceder en condiciones de igualdad a las funciones y cargos públicos, con los requisitos que señalen las leyes (art. 23.2 CE), por las siguientes razones.</w:t>
      </w:r>
    </w:p>
    <w:p w:rsidR="00A90898" w:rsidRDefault="00A90898" w:rsidP="00A90898">
      <w:pPr>
        <w:pStyle w:val="TextoNormal"/>
      </w:pPr>
    </w:p>
    <w:p w:rsidR="00A90898" w:rsidRDefault="00A90898" w:rsidP="00A90898">
      <w:pPr>
        <w:pStyle w:val="TextoNormal"/>
      </w:pPr>
      <w:r>
        <w:t>Se vulnera el derecho a la predeterminación normativa del procedimiento de acceso a los cargos públicos, porque la decisión impugnada es arbitraria y se aparta del procedimiento establecido en el Reglamento del Parlamento de Andalucía, al imponer el Presidente de la sesión constitutiva un criterio para la composición de la Mesa del Parlamento que sólo se hizo público una vez conocido el resultado del escrutinio.</w:t>
      </w:r>
    </w:p>
    <w:p w:rsidR="00A90898" w:rsidRDefault="00A90898" w:rsidP="00A90898">
      <w:pPr>
        <w:pStyle w:val="TextoNormal"/>
      </w:pPr>
    </w:p>
    <w:p w:rsidR="00A90898" w:rsidRDefault="00A90898" w:rsidP="00A90898">
      <w:pPr>
        <w:pStyle w:val="TextoNormal"/>
      </w:pPr>
      <w:r>
        <w:t>El Presidente de la sesión constitutiva carece de competencia para interpretar el Reglamento de la Cámara, pues el art. 29 RPA solo atribuye dicha facultad al Presidente del Parlamento. El art. 3.2 RPA se remite exclusivamente a los arts. 33 y 34 RPA para proceder a la elección de los miembros de la Mesa y, sin embargo, el Presidente de la sesión constitutiva aplicó el art. 36 RPA, estableciendo criterios para solventar una supuesta contradicción entre preceptos reglamentarios y sin hacer públicos esos criterios hasta conocer el resultado de la votación, lo que impidió que ocupara el puesto de Secretaria segunda de la Mesa la recurrente, quien había obtenido el cargo de manera legítima y democrática.</w:t>
      </w:r>
    </w:p>
    <w:p w:rsidR="00A90898" w:rsidRDefault="00A90898" w:rsidP="00A90898">
      <w:pPr>
        <w:pStyle w:val="TextoNormal"/>
      </w:pPr>
    </w:p>
    <w:p w:rsidR="00A90898" w:rsidRDefault="00A90898" w:rsidP="00A90898">
      <w:pPr>
        <w:pStyle w:val="TextoNormal"/>
      </w:pPr>
      <w:r>
        <w:t>La interpretación realizada por el Presidente de la sesión constitutiva es en cualquier caso incorrecta y vulnera el derecho fundamental a acceder y ejercer en condiciones de igualdad a los cargos públicos representativos, toda vez que el art. 36 RPA resultaría imposible de aplicar cuando el número de grupos parlamentarios supere el de miembros de la Mesa (que son siete). Hay que entender que ese precepto se refiere al derecho de los grupos parlamentarios a designar un vocal para poder estar presente en las reuniones de la Mesa, tal y como ha ocurrido en otras legislaturas. No obstante lo anterior, expone la recurrente que, aunque se admitiese el criterio de una mayor representación de grupos parlamentarios en la Mesa, una distribución ajustada al principio de proporcionalidad en atención a los resultados obtenidos llevaría a la conclusión de que no sería al PP sino al PSOE al que correspondería ceder un representante en la Mesa.</w:t>
      </w:r>
    </w:p>
    <w:p w:rsidR="00A90898" w:rsidRDefault="00A90898" w:rsidP="00A90898">
      <w:pPr>
        <w:pStyle w:val="TextoNormal"/>
      </w:pPr>
    </w:p>
    <w:p w:rsidR="00A90898" w:rsidRDefault="00A90898" w:rsidP="00A90898">
      <w:pPr>
        <w:pStyle w:val="TextoNormal"/>
      </w:pPr>
      <w:r>
        <w:t>Por todo ello solicita la recurrente que se le otorgue el amparo por vulneración del art. 23.2 CE y que, en consecuencia, se declare la nulidad de la decisión impugnada y se reconozca su derecho a ocupar el cargo de Secretaria segunda de la Mesa del Parlamento de Andalucía, como consecuencia del resultado de la votación celebrada en la sesión constitutiva de 16 de abril de 2015, con efectos desde esa fecha.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La Sala Primera de este Tribunal, por providencia de 11 de abril de 2016, acordó admitir a trámite la demanda de amparo, apreciando que concurre una especial trascendencia constitucional (art. 50.1 LOTC) porque el asunto suscitado trasciende del caso concreto porque pudiera tener unas consecuencias políticas generales [STC 155/2009, FJ 2 g)]. Asimismo, en aplicación de lo dispuesto en el art. 51 LOTC, acordó requerir al Presidente del Parlamento de Andalucía la remisión del testimonio de las actuaciones, acompañándose copia de la demanda a los efectos de su personación en el presente proceso.</w:t>
      </w:r>
    </w:p>
    <w:p w:rsidR="00A90898" w:rsidRDefault="00A90898" w:rsidP="00A90898">
      <w:pPr>
        <w:pStyle w:val="TextoNormal"/>
      </w:pPr>
    </w:p>
    <w:p w:rsidR="00A90898" w:rsidRDefault="00A90898" w:rsidP="00A90898">
      <w:pPr>
        <w:pStyle w:val="TextoNormal"/>
      </w:pPr>
      <w:r w:rsidRPr="00A90898">
        <w:rPr>
          <w:rStyle w:val="NumeroAFNegritaCaracter"/>
        </w:rPr>
        <w:t>5</w:t>
      </w:r>
      <w:r>
        <w:t>. El Letrado del Parlamento de Andalucía presentó escrito el 28 de abril de 2016 solicitando que se le tuviera por personado en la representación que ostenta.</w:t>
      </w:r>
    </w:p>
    <w:p w:rsidR="00A90898" w:rsidRDefault="00A90898" w:rsidP="00A90898">
      <w:pPr>
        <w:pStyle w:val="TextoNormal"/>
      </w:pPr>
    </w:p>
    <w:p w:rsidR="00A90898" w:rsidRDefault="00A90898" w:rsidP="00A90898">
      <w:pPr>
        <w:pStyle w:val="TextoNormal"/>
      </w:pPr>
      <w:r w:rsidRPr="00A90898">
        <w:rPr>
          <w:rStyle w:val="NumeroAFNegritaCaracter"/>
        </w:rPr>
        <w:t>6</w:t>
      </w:r>
      <w:r>
        <w:t>. La Secretaría de Justicia de la Sala Primera de este Tribunal, por diligencia de ordenación de 3 de mayo de 2016, acordó tener por personado y parte al Letrado del Parlamento de Andalucía y dar vista de las actuaciones al Ministerio Fiscal y a las partes personadas por plazo común de veinte días para presentar las alegaciones que estimasen pertinentes, de conformidad con el art. 52 LOTC.</w:t>
      </w:r>
    </w:p>
    <w:p w:rsidR="00A90898" w:rsidRDefault="00A90898" w:rsidP="00A90898">
      <w:pPr>
        <w:pStyle w:val="TextoNormal"/>
      </w:pPr>
    </w:p>
    <w:p w:rsidR="00A90898" w:rsidRDefault="00A90898" w:rsidP="00A90898">
      <w:pPr>
        <w:pStyle w:val="TextoNormal"/>
      </w:pPr>
      <w:r w:rsidRPr="00A90898">
        <w:rPr>
          <w:rStyle w:val="NumeroAFNegritaCaracter"/>
        </w:rPr>
        <w:t>7</w:t>
      </w:r>
      <w:r>
        <w:t>. El Letrado del Parlamento de Andalucía, mediante escrito registrado el 8 de junio de 2016, formuló sus alegaciones solicitando la desestimación del recurso de amparo, al entender que el acuerdo impugnado no vulnera el art. 23 CE, toda vez que fue adoptado en cumplimiento de lo establecido en el Reglamento de la Cámara.</w:t>
      </w:r>
    </w:p>
    <w:p w:rsidR="00A90898" w:rsidRDefault="00A90898" w:rsidP="00A90898">
      <w:pPr>
        <w:pStyle w:val="TextoNormal"/>
      </w:pPr>
    </w:p>
    <w:p w:rsidR="00A90898" w:rsidRDefault="00A90898" w:rsidP="00A90898">
      <w:pPr>
        <w:pStyle w:val="TextoNormal"/>
      </w:pPr>
      <w:r>
        <w:t>El Letrado del Parlamento de Andalucía comienza sus alegaciones afirmando que la cuestión de fondo que se plantea se centra en determinar cuáles son las funciones o facultades que corresponden al Presidente de la Mesa de Edad en el desarrollo de la sesión constitutiva. En este sentido, afirma que la dirección parlamentaria del desarrollo del proceso de elección de los miembros de la Mesa y la resolución de cuantas cuestiones se planteen al respecto, hasta culminar efectivamente con la considerada elección y la ocupación de sus puestos por los elegidos, ha de recaer sobre quien ostente la presidencia de la sesión, lo que le lleva a concluir que al Presidente de la Mesa de Edad ha de corresponder, por una parte, la dirección del proceso de elección y el mantenimiento del orden en el desarrollo del mismo y, por otra parte, resolver lo procedente respecto de esa elección, interpretando, en su caso, los preceptos que resulten de aplicación. Afecta, por tanto, al Presidente de la Mesa de edad el art. 29.2 RPA, que otorga al Presidente del Parlamento la facultad de “cumplir y hacer cumplir el Reglamento, interpretándolo en los casos de duda y supliéndolo en los de omisión”, en cuanto resulte preciso para resolver las cuestiones o incidencias que se planteen durante la sesión y que efectivamente deban resolverse de modo inmediato. Quedaría así justificada la interpretación del Reglamento de la Cámara por el Presidente de la Mesa de edad, con la finalidad de garantizar que en la sesión constitutiva del Parlamento sean elegidos y ocupen sus puestos los miembros de la Mesa.</w:t>
      </w:r>
    </w:p>
    <w:p w:rsidR="00A90898" w:rsidRDefault="00A90898" w:rsidP="00A90898">
      <w:pPr>
        <w:pStyle w:val="TextoNormal"/>
      </w:pPr>
    </w:p>
    <w:p w:rsidR="00A90898" w:rsidRDefault="00A90898" w:rsidP="00A90898">
      <w:pPr>
        <w:pStyle w:val="TextoNormal"/>
      </w:pPr>
      <w:r>
        <w:t xml:space="preserve">Asimismo, considera que en la demanda de amparo se traslada incorrectamente la doctrina del Tribunal Constitucional en relación con el acceso a la función pública que se desprende, entre otras, de la STC 48/1998, de 2 de marzo, y que la necesidad de predeterminación normativa que invoca la recurrente no es aplicable al caso; esa doctrina constitucional se refiere a los requisitos de mérito y capacidad previstos en el art. 103.3 CE, lo que no es </w:t>
      </w:r>
      <w:r>
        <w:lastRenderedPageBreak/>
        <w:t>trasladable al supuesto de acceso a los cargos públicos representativos. En todo caso, entiende que no vulnera el art. 23.2 CE la circunstancia de que el criterio aplicado para la distribución de los cargos de Secretarios de la Mesa se diera a conocer después de la votación, pues la interpretación realizada resulta jurídicamente posible sin alterar las reglas del razonamiento lógico, sin que pueda el Tribunal Constitucional sustituir a los órganos parlamentarios en la tarea interpretativa de las normas jurídicas que deben aplicar, ni juzgar su acierto, porque ello supondría vulnerar el principio de autonomía parlamentaria.</w:t>
      </w:r>
    </w:p>
    <w:p w:rsidR="00A90898" w:rsidRDefault="00A90898" w:rsidP="00A90898">
      <w:pPr>
        <w:pStyle w:val="TextoNormal"/>
      </w:pPr>
    </w:p>
    <w:p w:rsidR="00A90898" w:rsidRDefault="00A90898" w:rsidP="00A90898">
      <w:pPr>
        <w:pStyle w:val="TextoNormal"/>
      </w:pPr>
      <w:r>
        <w:t>Por último el Letrado señala que tras la reforma del Reglamento del Parlamento de Andalucía que tuvo lugar en el año 1996 y que introduce el actual artículo 36, es la primera vez en la historia del Parlamento de Andalucía que se plantea un supuesto análogo al que nos ocupa, pues nunca hasta ahora había sido precisa la aplicación de dicho precepto como consecuencia de los resultados de las votaciones, pues en las legislaturas anteriores todas las formaciones habían obtenido, al menos, un miembro de la Mesa. En este caso, en la sesión constitutiva del Parlamento quedó elegida la Mesa cumpliendo lo establecido en el art. 36 RPA, de forma que, aunque cabe sostener que podían existir otras soluciones a la cuestión planteada que hubieran sido asimismo razonables y lógicas, la decisión impugnada es conforme al Reglamento del Parlamento de Andalucía y no vulnera el derecho fundamental reconocido por el art. 23.2 CE.</w:t>
      </w:r>
    </w:p>
    <w:p w:rsidR="00A90898" w:rsidRDefault="00A90898" w:rsidP="00A90898">
      <w:pPr>
        <w:pStyle w:val="TextoNormal"/>
      </w:pPr>
    </w:p>
    <w:p w:rsidR="00A90898" w:rsidRDefault="00A90898" w:rsidP="00A90898">
      <w:pPr>
        <w:pStyle w:val="TextoNormal"/>
      </w:pPr>
      <w:r w:rsidRPr="00A90898">
        <w:rPr>
          <w:rStyle w:val="NumeroAFNegritaCaracter"/>
        </w:rPr>
        <w:t>8</w:t>
      </w:r>
      <w:r>
        <w:t>. La representación procesal de la recurrente en amparo presentó su escrito de alegaciones en este Tribunal el 9 de junio de 2016, en el que reitera lo expuesto en la demanda de amparo, poniendo de relieve, asimismo, la legitimación pasiva del Parlamento de Andalucía en el presente proceso, de acuerdo con lo previsto en el art. 41.2 LOTC, pese a que los actos recurridos se producen durante la sesión constitutiva del Parlamento.</w:t>
      </w:r>
    </w:p>
    <w:p w:rsidR="00A90898" w:rsidRDefault="00A90898" w:rsidP="00A90898">
      <w:pPr>
        <w:pStyle w:val="TextoNormal"/>
      </w:pPr>
    </w:p>
    <w:p w:rsidR="00A90898" w:rsidRDefault="00A90898" w:rsidP="00A90898">
      <w:pPr>
        <w:pStyle w:val="TextoNormal"/>
      </w:pPr>
      <w:r w:rsidRPr="00A90898">
        <w:rPr>
          <w:rStyle w:val="NumeroAFNegritaCaracter"/>
        </w:rPr>
        <w:t>9</w:t>
      </w:r>
      <w:r>
        <w:t>. El Ministerio Fiscal presentó su escrito de alegaciones en este Tribunal el 13 de junio de 2016, en el que interesa que se dicte Sentencia estimando el recurso de amparo y, en consecuencia, que se declare la nulidad de la decisión impugnada y se retrotraigan las actuaciones relativas a la elección de los Secretarios de la Mesa al momento en el que se hizo el escrutinio de la votación para estos cargos, con proclamación de este resultado.</w:t>
      </w:r>
    </w:p>
    <w:p w:rsidR="00A90898" w:rsidRDefault="00A90898" w:rsidP="00A90898">
      <w:pPr>
        <w:pStyle w:val="TextoNormal"/>
      </w:pPr>
    </w:p>
    <w:p w:rsidR="00A90898" w:rsidRDefault="00A90898" w:rsidP="00A90898">
      <w:pPr>
        <w:pStyle w:val="TextoNormal"/>
      </w:pPr>
      <w:r>
        <w:t>Tras exponer detalladamente los antecedentes de los que trae causa el recurso, así como los principales argumentos contenidos en la demanda de amparo, el Fiscal aduce que la privación del cargo de Secretaria de la Mesa que sufrió la recurrente se produjo por decisión del Presidente de la sesión constitutiva al constatar que el resultado de las votaciones para la elección de los miembros la Mesa del Parlamento dejaba fuera al Diputado propuesto por el grupo de IU. Resolvió aplicar el art 36 RPA con un criterio que no está expresamente contemplado en la norma reglamentaria, ni había sido aprobado por los órganos de la Cámara en la legislatura precedente, ni consta que hubiera sido objeto de informe por los servicios jurídicos de la Cámara. Señala el Fiscal que el cargo de Presidente de la sesión constitutiva no es electivo, sino que, de conformidad con lo previsto en el Reglamento del Parlamento de Andalucía, es desempeñado por el Diputado de mayor edad y su función está limitada, a los efectos que aquí interesan, a dar paso al proceso de constitución de la Mesa del Parlamento con la elección de sus miembros mediante el procedimiento previsto en los arts. 33 y 34 RPA.</w:t>
      </w:r>
    </w:p>
    <w:p w:rsidR="00A90898" w:rsidRDefault="00A90898" w:rsidP="00A90898">
      <w:pPr>
        <w:pStyle w:val="TextoNormal"/>
      </w:pPr>
    </w:p>
    <w:p w:rsidR="00A90898" w:rsidRDefault="00A90898" w:rsidP="00A90898">
      <w:pPr>
        <w:pStyle w:val="TextoNormal"/>
      </w:pPr>
      <w:r>
        <w:lastRenderedPageBreak/>
        <w:t>Para el Fiscal lo relevante es que el Presidente de la sesión constitutiva no tiene atribuidas en el Reglamento del Parlamento de Andalucía facultades para interpretar o integrar las disposiciones reglamentarias, sino que dicha función es atribuida, exclusivamente, de acuerdo con lo dispuesto en el art 29.2 RPA, al Presidente del Parlamento. Asimismo, el Fiscal recuerda la doctrina de las SSTC 226/2004 y 227/2004 según la cual si bien es posible la interpretación y la integración de las disposiciones de los Reglamentos parlamentarios con normas interpretativas o supletorias, esta función corresponde exclusivamente a los órganos rectores o de gobierno de la Cámara y siempre con el límite del propio Reglamento, que no podrá resultar modificado o contradicho. En este sentido, concluye que el Presidente de la sesión constitutiva se arrogó funciones de integración del Reglamento parlamentario que no le corresponden y estableció un criterio interpretativo de la previsión del art 36 RPA en contra de lo previsto en los arts. 33 y 34 RPA. Alteró así el resultado de la votación para la elección de los tres Secretarios de la Mesa vulnerando el derecho fundamental de la recurrente (art. 23.2 CE en conexión con el art. 23.1 CE) a acceder en condiciones de igualdad al cargo de Secretaria de la Mesa, para el que fue propuesta por su grupo parlamentario y resultó elegida por votación conforme al procedimiento previsto en el Reglamento del Parlamento de Andalucía.</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24 de noviembre de 2016, se señaló para la deliberación y votación de la presente Sentencia el día 28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Como se ha expuesto con mayor detalle en los antecedentes, la cuestión suscitada en el presente recurso de amparo se contrae a determinar si la decisión del Presidente de la sesión constitutiva del Parlamento de Andalucía, celebrada el 16 de abril de 2015, por la que se proclamó a los tres Secretarios de la Mesa del Parlamento de Andalucía, vulnera el derecho de la demandante a acceder en condiciones de igualdad a las funciones y cargos públicos reconocido en el art. 23.2 CE, en relación con el derecho de los ciudadanos a participar en los asuntos públicos a través de sus representantes, garantizado en el art. 23.1 CE.</w:t>
      </w:r>
    </w:p>
    <w:p w:rsidR="00A90898" w:rsidRDefault="00A90898" w:rsidP="00A90898">
      <w:pPr>
        <w:pStyle w:val="TextoNormal"/>
      </w:pPr>
    </w:p>
    <w:p w:rsidR="00A90898" w:rsidRDefault="00A90898" w:rsidP="00A90898">
      <w:pPr>
        <w:pStyle w:val="TextoNormal"/>
      </w:pPr>
      <w:r>
        <w:t xml:space="preserve">La recurrente, diputada del Parlamento andaluz y candidata propuesta por el grupo parlamentario del PP al cargo de Secretaria de la Mesa, alega que el Presidente de la sesión constitutiva se apartó del procedimiento establecido en los arts. 33 y 34 del Reglamento del Parlamento de Andalucía (RPA), al que remite expresa y taxativamente el art. 3.2 RPA. De acuerdo con él resultaría obligado proclamar como Secretarios de la Mesa a aquellos diputados que, por orden correlativo, hubiesen obtenido la mayoría de votos. Conforme a los resultados de la votación celebrada el 16 de abril de 2015, debió pues ser proclamada Secretaria primera (como lo fue) la candidata del PSOE, que obtuvo 47 votos; Secretaria segunda a la recurrente, con 33 votos; y Secretario tercero el candidato de Ciudadanos (C’s), con 9 votos (finalmente proclamado como Secretario segundo). Sin embargo, el Presidente de la sesión constitutiva del Parlamento decidió unilateralmente y sin base jurídica alguna excluir a la diputada recurrente y nombrar como Secretario de la Mesa (Secretario tercero) al diputado propuesto por Izquierda Unida (IU), que solo obtuvo 5 votos. Esa decisión la llevó a cabo mediante una interpretación arbitraria del art. 36 RPA, sin que, como Presidente de la sesión constitutiva, tuviera competencia para interpretar el Reglamento de la Cámara, sin respetar el principio de proporcionalidad y fijando un criterio para la composición de la </w:t>
      </w:r>
      <w:r>
        <w:lastRenderedPageBreak/>
        <w:t>Mesa que solo hizo público tras conocerse los resultados de la votación para la elección de Secretarios de la Mesa.</w:t>
      </w:r>
    </w:p>
    <w:p w:rsidR="00A90898" w:rsidRDefault="00A90898" w:rsidP="00A90898">
      <w:pPr>
        <w:pStyle w:val="TextoNormal"/>
      </w:pPr>
    </w:p>
    <w:p w:rsidR="00A90898" w:rsidRDefault="00A90898" w:rsidP="00A90898">
      <w:pPr>
        <w:pStyle w:val="TextoNormal"/>
      </w:pPr>
      <w:r>
        <w:t>Por su parte, el Letrado del Parlamento de Andalucía solicita la desestimación del recurso de amparo al entender, como se expone con más detalle en los antecedentes, que el Presidente de la sesión constitutiva ejerció legítimamente sus facultades y llevó a cabo una correcta labor interpretativa del Reglamento de la Cámara, sin que pueda considerarse que vulnera el art. 23.2 CE la circunstancia de que el criterio aplicado para la distribución de los cargos de Secretarios de la Mesa se diera a conocer después de la votación. La interpretación realizada resultaría jurídicamente posible sin alterar las reglas del razonamiento lógico y no podría el Tribunal Constitucional sustituir a los órganos parlamentarios en la tarea interpretativa de las normas jurídicas que deben aplicar, ni juzgar su acierto, porque sería vulnerar el principio de autonomía parlamentaria.</w:t>
      </w:r>
    </w:p>
    <w:p w:rsidR="00A90898" w:rsidRDefault="00A90898" w:rsidP="00A90898">
      <w:pPr>
        <w:pStyle w:val="TextoNormal"/>
      </w:pPr>
    </w:p>
    <w:p w:rsidR="00A90898" w:rsidRDefault="00A90898" w:rsidP="00A90898">
      <w:pPr>
        <w:pStyle w:val="TextoNormal"/>
      </w:pPr>
      <w:r>
        <w:t>El Ministerio Fiscal interesa la estimación del recurso de amparo en los términos que han quedado reflejados en los antecedentes, al considerar que el Presidente de la sesión constitutiva del Parlamento de Andalucía se arrogó funciones de integración del Reglamento de la Cámara que no le otorga esta norma. Habría establecido, sin informe previo ni consulta a los órganos rectores del Parlamento, una norma de integración de la previsión del art 36 RPA que modifica lo dispuesto en los arts. 33 y 34 RPA sobre la elección de los miembros de la Mesa; dejó así sin efecto el resultado de la votación para el cargo de Secretario segundo, que había recaído en la diputada recurrente.</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que comparecen en este proceso de amparo ha puesto en duda la especial trascendencia constitucional de este recurso, que es requisito para su admisión de conformidad con los arts. 49.1 y 50.1 b) de la Ley Orgánica del Tribunal Constitucional (LOTC) y, por consiguiente, requisito de orden público procesal (STC 113/2012, de 24 de mayo, FJ 2, y las allí citadas), lo cierto es que exigencias de certeza y buena administración de la justicia (STEDH de 20 de enero de 2015, asunto </w:t>
      </w:r>
      <w:r w:rsidRPr="00A90898">
        <w:rPr>
          <w:i/>
        </w:rPr>
        <w:t>Arribas Antón c. España</w:t>
      </w:r>
      <w:r>
        <w:t>, § 46) conducen a hacer explícito el cumplimiento de ese requisito para conocer los criterios empleados al efecto por el Tribunal Constitucional.</w:t>
      </w:r>
    </w:p>
    <w:p w:rsidR="00A90898" w:rsidRDefault="00A90898" w:rsidP="00A90898">
      <w:pPr>
        <w:pStyle w:val="TextoNormal"/>
      </w:pPr>
    </w:p>
    <w:p w:rsidR="00A90898" w:rsidRDefault="00A90898" w:rsidP="00A90898">
      <w:pPr>
        <w:pStyle w:val="TextoNormal"/>
      </w:pPr>
      <w:r>
        <w:t xml:space="preserve">En el presente caso, este Tribunal decidió admitir a trámite la demanda de amparo, por providencia de 11 de abril de 2016, apreciando que concurre una especial trascendencia constitucional (art. 50.1 LOTC) porque el asunto suscitado no afecta solo al caso concreto sino que podría tener consecuencias políticas generales [STC 155/2009, FJ 2 g)]; a lo que cabe añadir —como se desprende, entre otras, de la STC 200/2014, de 15 de diciembre, FJ 2— que los amparos parlamentarios (art. 42 LOTC) tienen una particularidad respecto del resto de los recursos de amparo en cuanto al marco de garantías del que disponen los eventuales recurrentes para invocar sus derechos fundamentales: la ausencia de una vía jurisdiccional previa al amparo constitucional en la que postular la reparación de los derechos vulnerados y que se retrotrae, en origen, a la doctrina de los </w:t>
      </w:r>
      <w:r w:rsidRPr="00A90898">
        <w:rPr>
          <w:i/>
        </w:rPr>
        <w:t>interna corporis acta</w:t>
      </w:r>
      <w:r>
        <w:t xml:space="preserve">. De acuerdo con ella los actos parlamentarios resultan infiscalizables por los tribunales ordinarios, circunstancia que ha de conjugarse con el ejercicio del </w:t>
      </w:r>
      <w:r w:rsidRPr="00A90898">
        <w:rPr>
          <w:i/>
        </w:rPr>
        <w:t>ius in officium</w:t>
      </w:r>
      <w:r>
        <w:t xml:space="preserve"> por parte de los representantes políticos sin perturbaciones ilegítimas y, en última instancia, con el derecho de los propios ciudadanos a participar en los asuntos públicos mediante sus representantes (art. 23.1 CE). Esta circunstancia sitúa a los amparos parlamentarios en una posición especial a la hora de valorar la especial trascendencia constitucional (STC 155/2009, FJ 2), dada la </w:t>
      </w:r>
      <w:r>
        <w:lastRenderedPageBreak/>
        <w:t>repercusión general que tiene el ejercicio de la función representativa, que excede del ámbito particular del parlamentario y del grupo en el que se integra. Esto no significa que tales factores, relevantes para decidir la admisión del recurso, deban trasladarse al núcleo de la decisión sobre el fondo del asunto, como ya tuvo ocasión de aclarar este Tribunal (SSTC 9/2015, de 2 de febrero, FJ 3, y 242/2015, de 30 de noviembre, FJ 2, entre otras).</w:t>
      </w:r>
    </w:p>
    <w:p w:rsidR="00A90898" w:rsidRDefault="00A90898" w:rsidP="00A90898">
      <w:pPr>
        <w:pStyle w:val="TextoNormal"/>
      </w:pPr>
    </w:p>
    <w:p w:rsidR="00A90898" w:rsidRDefault="00A90898" w:rsidP="00A90898">
      <w:pPr>
        <w:pStyle w:val="TextoNormal"/>
      </w:pPr>
      <w:r w:rsidRPr="00A90898">
        <w:rPr>
          <w:rStyle w:val="NumeroAFNegritaCaracter"/>
        </w:rPr>
        <w:t>3</w:t>
      </w:r>
      <w:r>
        <w:t>. Entrando ya en el análisis de la queja que se formula en la demanda de amparo, resulta oportuno traer a colación la doctrina constitucional sobre los derechos fundamentales invocados, en conexión con el contenido y finalidad del acuerdo parlamentario impugnado.</w:t>
      </w:r>
    </w:p>
    <w:p w:rsidR="00A90898" w:rsidRDefault="00A90898" w:rsidP="00A90898">
      <w:pPr>
        <w:pStyle w:val="TextoNormal"/>
      </w:pPr>
    </w:p>
    <w:p w:rsidR="00A90898" w:rsidRDefault="00A90898" w:rsidP="00A90898">
      <w:pPr>
        <w:pStyle w:val="TextoNormal"/>
      </w:pPr>
      <w:r>
        <w:t>Así, deber recordarse que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40/2003, de 17 de febrero, FJ 2, y 1/2015, de 19 de enero, FJ 3, entre otras). Esta garantía resulta de particular relevancia cuando, como ocurre en el presente caso, la petición de amparo es aducida por un representante parlamentario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de 14 de octubre, FJ 3; 40/2003, FJ 2, y 1/2015, FJ 3, entre otras muchas).</w:t>
      </w:r>
    </w:p>
    <w:p w:rsidR="00A90898" w:rsidRDefault="00A90898" w:rsidP="00A90898">
      <w:pPr>
        <w:pStyle w:val="TextoNormal"/>
      </w:pPr>
    </w:p>
    <w:p w:rsidR="00A90898" w:rsidRDefault="00A90898" w:rsidP="00A90898">
      <w:pPr>
        <w:pStyle w:val="TextoNormal"/>
      </w:pPr>
      <w:r>
        <w:t>En una línea jurisprudencial que se inicia con las citadas SSTC 5/1983 y 10/1983, este Tribunal ha establecido una conexión directa entre el derecho de los parlamentarios (art. 23.2 CE) y el derecho de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40/2003, de 17 de febrero, FJ 2, y 1/2015, de 19 de enero, FJ 3, entre otras muchas).</w:t>
      </w:r>
    </w:p>
    <w:p w:rsidR="00A90898" w:rsidRDefault="00A90898" w:rsidP="00A90898">
      <w:pPr>
        <w:pStyle w:val="TextoNormal"/>
      </w:pPr>
    </w:p>
    <w:p w:rsidR="00A90898" w:rsidRDefault="00A90898" w:rsidP="00A90898">
      <w:pPr>
        <w:pStyle w:val="TextoNormal"/>
      </w:pPr>
      <w:r>
        <w:t xml:space="preserve">Ha de recordarse asimismo, como inequívocamente se desprende del inciso final del propio art. 23.2 CE, que se trata de un derecho de configuración legal, que corresponde a los reglamentos parlamentarios, a los que compete fijar y ordenar los derechos y atribuciones propios de los parlamentarios. Estos, una vez creados, quedan integrados en el estatuto propio de su cargo, con la consecuencia de que podrán sus titulares, al amparo del art. 23.2 CE, reclamar la protección del </w:t>
      </w:r>
      <w:r w:rsidRPr="00A90898">
        <w:rPr>
          <w:i/>
        </w:rPr>
        <w:t>ius in officium</w:t>
      </w:r>
      <w:r>
        <w:t xml:space="preserve"> que consideren ilegítimamente constreñido o ignorado por actos del poder público, incluidos los provenientes del propio órgano en el que se integren y, en concreto, hacerlo ante este Tribunal por el cauce del recurso de amparo, según lo previsto en el art. 42 LOTC (SSTC 161/1988, FJ 7; 38/1999, FJ 2; 27/2000, de 31 de enero, FJ 4; 107/2001, FJ 3; 203/2001, FJ 2; 177/2002, FJ 3; 40/2003, de 17 de febrero, FJ 2, y 1/2015, de 19 de enero, FJ 3, entre otras muchas).</w:t>
      </w:r>
    </w:p>
    <w:p w:rsidR="00A90898" w:rsidRDefault="00A90898" w:rsidP="00A90898">
      <w:pPr>
        <w:pStyle w:val="TextoNormal"/>
      </w:pPr>
    </w:p>
    <w:p w:rsidR="00A90898" w:rsidRDefault="00A90898" w:rsidP="00A90898">
      <w:pPr>
        <w:pStyle w:val="TextoNormal"/>
      </w:pPr>
      <w:r>
        <w:lastRenderedPageBreak/>
        <w:t xml:space="preserve">En este sentido, este Tribunal ha venido reiterando que no cualquier acto del órgano parlamentario que infrinja la legalidad del </w:t>
      </w:r>
      <w:r w:rsidRPr="00A90898">
        <w:rPr>
          <w:i/>
        </w:rPr>
        <w:t>ius in officium</w:t>
      </w:r>
      <w:r>
        <w:t xml:space="preserve"> resulta lesivo del derecho fundamental. Sólo poseen relevancia constitucional, a estos efectos, los derechos o facultades atribuidos al representante que pertenezcan al núcleo de su función representativa parlamentaria, siendo vulnerado el art. 23.2 CE si los propios órganos de las Asambleas legislativas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De lo contrario, no solo vulneran el derecho fundamental del representante de los ciudadanos a ejercer su cargo (art. 23.2 CE), sino que también infringen el de estos a participar en los asuntos públicos </w:t>
      </w:r>
      <w:r w:rsidRPr="00A90898">
        <w:rPr>
          <w:i/>
        </w:rPr>
        <w:t>ex</w:t>
      </w:r>
      <w:r>
        <w:t xml:space="preserve"> art. 23.1 CE (SSTC 38/1999, FJ 2; 107/2001, FJ 3; 40/2003, FJ 2; 1/2015, FJ 3, y 23/2015, de 16 de febrero, FJ 3, entre otras muchas).</w:t>
      </w:r>
    </w:p>
    <w:p w:rsidR="00A90898" w:rsidRDefault="00A90898" w:rsidP="00A90898">
      <w:pPr>
        <w:pStyle w:val="TextoNormal"/>
      </w:pPr>
    </w:p>
    <w:p w:rsidR="00A90898" w:rsidRDefault="00A90898" w:rsidP="00A90898">
      <w:pPr>
        <w:pStyle w:val="TextoNormal"/>
      </w:pPr>
      <w:r>
        <w:t>Esta doctrina ha sido aplicada por este Tribunal en relación con el ejercicio de diversos derechos de los parlamentarios. Entre otros supuestos, y sin ánimo exhaustivo, cabe recordar los siguientes: constitución de grupos parlamentarios (STC 64/2002, de 16 de abril); solicitud de sesión extraordinaria (STC 81/1991, de 22 de abril); participación en comisiones de investigación (ATC 215/2000, de 21 de septiembre); presentación de candidaturas de senadores autonómicos (STC 76/1989, de 27 de abril); solicitudes de información (STC 203/2001, de 15 de octubre); presentación de proposiciones de ley (STC 242/2006, de 22 de marzo); solicitud de comparecencias (STC 23/2015, de 16 de febrero); formulación de preguntas (STC 1/2015, de 19 de enero); y presentación de proposiciones no de ley (STC 200/2014, de 15 de diciembre).</w:t>
      </w:r>
    </w:p>
    <w:p w:rsidR="00A90898" w:rsidRDefault="00A90898" w:rsidP="00A90898">
      <w:pPr>
        <w:pStyle w:val="TextoNormal"/>
      </w:pPr>
    </w:p>
    <w:p w:rsidR="00A90898" w:rsidRDefault="00A90898" w:rsidP="00A90898">
      <w:pPr>
        <w:pStyle w:val="TextoNormal"/>
      </w:pPr>
      <w:r>
        <w:t>La referida doctrina constitucional es de aplicación al caso que nos ocupa, pues no cabe duda de que corresponde a los diputados el derecho a formar parte de la Mesa de la Cámara, con los requisitos que el Reglamento de la misma determine, y que dicha facultad pertenece al núcleo de la función representativa parlamentaria, dada la naturaleza y la importante función que le corresponde a la Mesa en los actuales Parlamentos y su imprescindible labor técnico-jurídica, “dirigida a ordenar y racionalizar el funcionamiento de las Cámaras para su mayor eficiencia, como foro de debate y participación en la cosa pública” (STC 38/1999, FJ 3).</w:t>
      </w:r>
    </w:p>
    <w:p w:rsidR="00A90898" w:rsidRDefault="00A90898" w:rsidP="00A90898">
      <w:pPr>
        <w:pStyle w:val="TextoNormal"/>
      </w:pPr>
    </w:p>
    <w:p w:rsidR="00A90898" w:rsidRDefault="00A90898" w:rsidP="00A90898">
      <w:pPr>
        <w:pStyle w:val="TextoNormal"/>
      </w:pPr>
      <w:r w:rsidRPr="00A90898">
        <w:rPr>
          <w:rStyle w:val="NumeroAFNegritaCaracter"/>
        </w:rPr>
        <w:t>4</w:t>
      </w:r>
      <w:r>
        <w:t>. Expuesto lo anterior, debemos recordar también que cuando se reclama la tutela de derechos o facultades que pertenecen al núcleo de la función representativa parlamentaria frente a posibles vulneraciones de los órganos de la Cámara correspondiente, este Tribunal debe ser especialmente cuidadoso en la identificación, en primer lugar, de la base normativa del derecho alegado (toda vez que estamos ante un derecho fundamental de configuración legal, como se ha dicho) y, en segundo lugar, en la identificación de la regulación reglamentaria de las facultades del órgano de la Cámara al que se imputa la vulneración.</w:t>
      </w:r>
    </w:p>
    <w:p w:rsidR="00A90898" w:rsidRDefault="00A90898" w:rsidP="00A90898">
      <w:pPr>
        <w:pStyle w:val="TextoNormal"/>
      </w:pPr>
    </w:p>
    <w:p w:rsidR="00A90898" w:rsidRDefault="00A90898" w:rsidP="00A90898">
      <w:pPr>
        <w:pStyle w:val="TextoNormal"/>
      </w:pPr>
      <w:r>
        <w:t xml:space="preserve">En este sentido, dentro del título preliminar del Reglamento del Parlamento andaluz, el art. 2 RPA dispone que la sesión constitutiva de la Cámara será presidida inicialmente por el Diputado electo de mayor edad de los presentes (asistido por los dos más jóvenes, en calidad de Secretarios). Una vez declarada abierta la sesión y tras dar lectura al Decreto de convocatoria y a la relación de diputados electos, “procederá seguidamente a la elección de </w:t>
      </w:r>
      <w:r>
        <w:lastRenderedPageBreak/>
        <w:t>la Mesa del Parlamento, de acuerdo con el procedimiento regulado en los arts. 33 y 34 de este Reglamento” (art. 3.2 RPA). En lo que importa al presente recurso de amparo, ese procedimiento previsto en los arts. 33 y 34 RPA (ubicados en la Sección Segunda del capítulo primero del título tercero RPA, bajo el epígrafe “de la elección de los miembros de la Mesa”), en lo que atañe a los tres Secretarios, consiste en que cada diputado escribirá un solo nombre en la papeleta de entre los candidatos propuestos por los grupos parlamentarios y resultarán elegidos quienes por orden correlativo obtengan la mayoría de votos.</w:t>
      </w:r>
    </w:p>
    <w:p w:rsidR="00A90898" w:rsidRDefault="00A90898" w:rsidP="00A90898">
      <w:pPr>
        <w:pStyle w:val="TextoNormal"/>
      </w:pPr>
    </w:p>
    <w:p w:rsidR="00A90898" w:rsidRDefault="00A90898" w:rsidP="00A90898">
      <w:pPr>
        <w:pStyle w:val="TextoNormal"/>
      </w:pPr>
      <w:r>
        <w:t>Así pues, ni el art. 3.2 RPA se refiere al art. 36 RPA cuando determina el procedimiento a seguir para la elección de la Mesa del Parlamento, ni este último precepto se menciona en ningún momento en el título preliminar RPA, dedicado a la sesión constitutiva del Parlamento. La aplicación del art. 36 RPA (“Todos los partidos, federaciones y coaliciones que, habiendo concurrido a las anteriores elecciones, hubieran obtenido en las mismas representación suficiente para constituir grupo parlamentario, tendrán derecho a estar presentes en la Mesa”), en la interpretación que del mismo realizó el Presidente de la sesión constitutiva, resultó determinante para que la diputada recurrente fuera excluida del cargo de Secretaria de la Mesa, pese a que fue la segunda en número de votos.</w:t>
      </w:r>
    </w:p>
    <w:p w:rsidR="00A90898" w:rsidRDefault="00A90898" w:rsidP="00A90898">
      <w:pPr>
        <w:pStyle w:val="TextoNormal"/>
      </w:pPr>
    </w:p>
    <w:p w:rsidR="00A90898" w:rsidRDefault="00A90898" w:rsidP="00A90898">
      <w:pPr>
        <w:pStyle w:val="TextoNormal"/>
      </w:pPr>
      <w:r>
        <w:t>La recurrente sostiene, en primer término, que el Presidente de la sesión constitutiva carece de competencia para interpretar el Reglamento de la Cámara, porque el art. 29 RPA solo atribuye dicha facultad de manera expresa al Presidente del Parlamento. Esta tacha debe ser rechazada, pues no cabe negar al Presidente de la sesión constitutiva esa facultad de interpretación, en tanto que órgano directamente responsable de la aplicación de una previsión reglamentaria. Como acertadamente señala el Letrado del Parlamento de Andalucía, al Presidente de la sesión constitutiva le compete dirigir el proceso de elección y mantener el orden en el desarrollo del mismo, así como resolver lo procedente respecto de esa elección, interpretando, en su caso, los preceptos del Reglamento de la Cámara que resulten aplicables.</w:t>
      </w:r>
    </w:p>
    <w:p w:rsidR="00A90898" w:rsidRDefault="00A90898" w:rsidP="00A90898">
      <w:pPr>
        <w:pStyle w:val="TextoNormal"/>
      </w:pPr>
    </w:p>
    <w:p w:rsidR="00A90898" w:rsidRDefault="00A90898" w:rsidP="00A90898">
      <w:pPr>
        <w:pStyle w:val="TextoNormal"/>
      </w:pPr>
      <w:r>
        <w:t>Ciertamente, lo dispuesto en el art. 36 RPA puede suscitar, como ha sucedido en el presente asunto, dificultades interpretativas en su aplicación, teniendo en cuenta lo previsto en los arts. 33 y 34 RPA, a los que se remite el art. 3.2 RPA, en cuanto al procedimiento de elección de los miembros de la Mesa del Parlamento andaluz. Así, sin ánimo de agotar todas las hipótesis, en caso de que se entendiera que el art. 36 RPA está reconociendo el derecho de todo grupo parlamentario a tener, al menos, un representante en la Mesa, se ofrece la dificultad de determinar cómo se materializará este derecho cuando —como ocurrió en este caso—, no resulte compatible con la aplicación de lo dispuesto en el art. 34 RPA, que establece un criterio claro, expreso y taxativo para la elección del Presidente, de los tres Vicepresidentes y de los tres Secretarios. Otro tanto sucedería si el número de grupos parlamentarios fuera superior al de miembros de la Mesa, que en la actualidad es de siete (art. 27.2 RPA).</w:t>
      </w:r>
    </w:p>
    <w:p w:rsidR="00A90898" w:rsidRDefault="00A90898" w:rsidP="00A90898">
      <w:pPr>
        <w:pStyle w:val="TextoNormal"/>
      </w:pPr>
    </w:p>
    <w:p w:rsidR="00A90898" w:rsidRDefault="00A90898" w:rsidP="00A90898">
      <w:pPr>
        <w:pStyle w:val="TextoNormal"/>
      </w:pPr>
      <w:r>
        <w:t xml:space="preserve">Por otro lado, del tenor literal del art. 36 RPA no se desprende que el Reglamento de la Cámara esté haciendo referencia a la posibilidad de que los grupos parlamentarios sin representación en la Mesa designen Vocales; figura que desapareció tras la reforma del Reglamento del Parlamento de Andalucía aprobada por el Pleno del Parlamento en sesión celebrada el 16 de julio de 1996 (“Boletín Oficial del Parlamento de Andalucía” núm. 27, de 18 de julio de 1996; corrección de errores en “Boletín Oficial del Parlamento de Andalucía” </w:t>
      </w:r>
      <w:r>
        <w:lastRenderedPageBreak/>
        <w:t>núm. 43, de 24 de septiembre de 1996). Tampoco sería descartable que el art. 36 RPA esté simplemente reconociendo el derecho de todo grupo parlamentario a presentar candidatos para poder formar parte de la Mesa, lo que es algo muy distinto a reconocer automáticamente un puesto en la Mesa para cada grupo.</w:t>
      </w:r>
    </w:p>
    <w:p w:rsidR="00A90898" w:rsidRDefault="00A90898" w:rsidP="00A90898">
      <w:pPr>
        <w:pStyle w:val="TextoNormal"/>
      </w:pPr>
    </w:p>
    <w:p w:rsidR="00A90898" w:rsidRDefault="00A90898" w:rsidP="00A90898">
      <w:pPr>
        <w:pStyle w:val="TextoNormal"/>
      </w:pPr>
      <w:r>
        <w:t>Lo que resulta innegable, sin embargo, es que, sea cual fuere el alcance que deba darse a lo dispuesto en el art. 36 RPA, norma que presenta un carácter abierto, el Reglamento de la Cámara andaluza es taxativo cuando determina el modo en que el Pleno debe proceder, en la sesión constitutiva a la elección de los miembros de la Mesa, esto es, “de acuerdo con el procedimiento regulado en los artículos 33 y 34 de este Reglamento” (art. 3.2 RPA). Igualmente cuando establece, en el art. 34.3 RPA, que los tres Secretarios de la Mesa serán elegidos de la misma forma que los tres Vicepresidentes: “cada diputado o diputada escribirá un nombre en la papeleta y resultarán elegidos quienes por orden correlativo obtengan la mayoría de votos”.</w:t>
      </w:r>
    </w:p>
    <w:p w:rsidR="00A90898" w:rsidRDefault="00A90898" w:rsidP="00A90898">
      <w:pPr>
        <w:pStyle w:val="TextoNormal"/>
      </w:pPr>
    </w:p>
    <w:p w:rsidR="00A90898" w:rsidRDefault="00A90898" w:rsidP="00A90898">
      <w:pPr>
        <w:pStyle w:val="TextoNormal"/>
      </w:pPr>
      <w:r>
        <w:t>Desde la limitada perspectiva de control que puede desarrollar este Tribunal en esta jurisdicción de amparo parlamentario, con respeto a la autonomía de la Cámara en el ejercicio de sus funciones de interpretación de su propia normativa, hay que concluir que no nos corresponde determinar cuál sea la solución más adecuada para conciliar las previsiones del art. 36 RPA con lo dispuesto en los arts. 33 y 34 RPA, en cuanto al procedimiento de elección de los miembros de la Mesa. Nuestro control de constitucionalidad debe limitarse a comprobar si la aplicación en el presente caso del art. 36 RPA, en la interpretación que del mismo llevó a cabo el Presidente de la sesión constitutiva del Parlamento de Andalucía celebrada el 16 de abril de 2015, respetó el derecho de la diputada recurrente a acceder en condiciones de igualdad a las funciones y cargos públicos (art. 23.2 CE), pues, como antes quedó expuesto, no cabe duda de que el derecho de los diputados a formar parte de la Mesa de la Cámara, con arreglo a los requisitos que el Reglamento de la misma establezca, pertenece al núcleo esencial de la función representativa parlamentaria.</w:t>
      </w:r>
    </w:p>
    <w:p w:rsidR="00A90898" w:rsidRDefault="00A90898" w:rsidP="00A90898">
      <w:pPr>
        <w:pStyle w:val="TextoNormal"/>
      </w:pPr>
    </w:p>
    <w:p w:rsidR="00A90898" w:rsidRDefault="00A90898" w:rsidP="00A90898">
      <w:pPr>
        <w:pStyle w:val="TextoNormal"/>
      </w:pPr>
      <w:r w:rsidRPr="00A90898">
        <w:rPr>
          <w:rStyle w:val="NumeroAFNegritaCaracter"/>
        </w:rPr>
        <w:t>5</w:t>
      </w:r>
      <w:r>
        <w:t>. Sentado lo anterior, conviene recordar que, tal y como se ha reproducido en los antecedentes y consta en el “Diario de Sesiones del Parlamento de Andalucía” (núm. 1, de 16 de abril de 2015), reunido el Parlamento en sesión constitutiva el día 16 de abril de 2015, se procedió a la elección de los miembros de la Mesa. Tras ser elegido el Presidente y los Vicepresidentes, se procedió a la elección de los tres Secretarios. Una vez efectuada la votación, el resultado del escrutinio fue: de un total de 109 votos emitidos la candidata propuesta por el PSOE obtuvo 47 votos; la candidata propuesta por el PP, hoy recurrente en amparo, obtuvo 33 votos; el candidato de C’s obtuvo 9 votos y el candidato de IU 5 votos, emitiéndose 15 votos en blanco. En consecuencia, de conformidad con lo dispuesto en el art. 34.3 RPA, en relación con el art. 34.2 RPA, debía ser proclamada Secretaria primera (como efectivamente lo fue) la candidata del PSOE; Secretaria segunda la recurrente, candidata propuesta por el PP; y Secretario tercero el candidato de C’s. Sin embargo, el Presidente de la sesión constitutiva del Parlamento, aludiendo a lo dispuesto en el art. 36 RPA, decidió excluir de la Mesa a la diputada recurrente y proclamar como Secretario tercero al diputado propuesto por IU (pasando el candidato de C’s a ser designado Secretario segundo).</w:t>
      </w:r>
    </w:p>
    <w:p w:rsidR="00A90898" w:rsidRDefault="00A90898" w:rsidP="00A90898">
      <w:pPr>
        <w:pStyle w:val="TextoNormal"/>
      </w:pPr>
    </w:p>
    <w:p w:rsidR="00A90898" w:rsidRDefault="00A90898" w:rsidP="00A90898">
      <w:pPr>
        <w:pStyle w:val="TextoNormal"/>
      </w:pPr>
      <w:r>
        <w:t xml:space="preserve">Esa decisión del Presidente de la sesión constitutiva, fundada en una interpretación del art. 36 RPA que deja sin efectividad en el caso concreto el procedimiento de elección de los </w:t>
      </w:r>
      <w:r>
        <w:lastRenderedPageBreak/>
        <w:t>Secretarios de la Mesa establecido en el art. 34 RPA, priva injustificadamente a la diputada recurrente de su derecho a formar parte como Secretaria de la Mesa del Parlamento de Andalucía. Esto, como ya se ha expuesto, pertenece al núcleo de su función representativa parlamentaria, impidiéndole ejercer las funciones inherentes al cargo que le habría correspondido ocupar, conforme a lo establecido en el art. 34.3 RPA (en relación con el art. 34.2 RPA), por haber obtenido mayor número de votos que los candidatos propuestos por los grupos de C’s y de IU. Resulta así que la decisión impugnada del Presidente de la sesión constitutiva del Parlamento de Andalucía, por la que se proclamó a los tres Secretarios de la Mesa sin atenerse a los resultados de la votación celebrada según lo dispuesto en el art. 34.3 RPA, no puede considerarse respetuosa con el derecho de la diputada recurrente a ejercer las funciones representativas con los requisitos que señalan las leyes (art. 23.2 CE), en relación con el derecho de los ciudadanos a participar en los asuntos públicos a través de sus representantes (art. 23.1 CE).</w:t>
      </w:r>
    </w:p>
    <w:p w:rsidR="00A90898" w:rsidRDefault="00A90898" w:rsidP="00A90898">
      <w:pPr>
        <w:pStyle w:val="TextoNormal"/>
      </w:pPr>
    </w:p>
    <w:p w:rsidR="00A90898" w:rsidRDefault="00A90898" w:rsidP="00A90898">
      <w:pPr>
        <w:pStyle w:val="TextoNormal"/>
      </w:pPr>
      <w:r>
        <w:t>De conformidad con los razonamientos precedentes procede otorgar el amparo solicitado. Esto comporta, de acuerdo con lo dispuesto en el art. 55.1 LOTC, que restablezcamos a la recurrente en la integridad del derecho fundamental vulnerado, anulando la decisión del Presidente de la sesión constitutiva del Parlamento de Andalucía de 16 de abril de 2015 por la que se proclamó a los tres Secretarios de la Mesa del Parlamento, en cuanto excluye a la recurrente, y declarando que esta tiene derecho a formar parte de la Mesa en calidad de Secretaria segunda, debiendo el Parlamento de Andalucía arbitrar las medidas oportunas para hacer efectivo este derecho.</w:t>
      </w:r>
    </w:p>
    <w:p w:rsidR="00A90898" w:rsidRDefault="00A90898" w:rsidP="00A90898">
      <w:pPr>
        <w:pStyle w:val="TextoNormal"/>
      </w:pPr>
    </w:p>
    <w:p w:rsidR="00A90898" w:rsidRDefault="00A90898" w:rsidP="00A90898">
      <w:pPr>
        <w:pStyle w:val="TextoNormal"/>
      </w:pPr>
      <w:r>
        <w:t>Asimismo es necesario precisar que, en virtud del principio de seguridad jurídica (art. 9.3 CE), el alcance de nuestro fallo no afecta a los actos, acuerdos y decisiones de la Mesa del Parlamento de Andalucía adoptados con anterioridad a la publicación de esta Sentencia.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doña Patricia del Pozo Fernández y, en su virtud:</w:t>
      </w:r>
    </w:p>
    <w:p w:rsidR="00A90898" w:rsidRDefault="00A90898" w:rsidP="00A90898">
      <w:pPr>
        <w:pStyle w:val="TextoNormal"/>
      </w:pPr>
    </w:p>
    <w:p w:rsidR="00A90898" w:rsidRDefault="00A90898" w:rsidP="00A90898">
      <w:pPr>
        <w:pStyle w:val="TextoNormal"/>
      </w:pPr>
      <w:r>
        <w:t>1º Declarar que ha sido vulnerado su derecho a ejercer las funciones representativas con los requisitos que señalan las leyes (art. 23.2 CE), en relación con el derecho de los ciudadanos a participar en los asuntos públicos a través de sus representantes (art. 23.1 CE).</w:t>
      </w:r>
    </w:p>
    <w:p w:rsidR="00A90898" w:rsidRDefault="00A90898" w:rsidP="00A90898">
      <w:pPr>
        <w:pStyle w:val="TextoNormal"/>
      </w:pPr>
    </w:p>
    <w:p w:rsidR="00A90898" w:rsidRDefault="00A90898" w:rsidP="00A90898">
      <w:pPr>
        <w:pStyle w:val="TextoNormal"/>
      </w:pPr>
      <w:r>
        <w:t>2º Restablecer a la recurrente en su derecho y, a tal fin, declarar la nulidad de la decisión del Presidente de la sesión constitutiva del Parlamento de Andalucía celebrada el 16 de abril de 2015 por la que se proclamó a los tres Secretarios de la Mesa, en cuanto excluye a la recurrente, y reconocer su derecho a formar parte de la Mesa del Parlamento de Andalucía como Secretaria segunda, todo ello con los efectos indicados en el fundamento jurídico quinto de esta Sentencia.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veintiocho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79" w:name="SENTENCIA_2016_200"/>
      <w:r>
        <w:lastRenderedPageBreak/>
        <w:t>SENTENCIA 200/2016, de 28 de noviembre de 2016</w:t>
      </w:r>
    </w:p>
    <w:bookmarkEnd w:id="79"/>
    <w:p w:rsidR="00A90898" w:rsidRDefault="00A90898" w:rsidP="00A90898">
      <w:pPr>
        <w:pStyle w:val="TtuloResolucin"/>
      </w:pPr>
      <w:r>
        <w:t>Sala Segunda</w:t>
      </w:r>
    </w:p>
    <w:p w:rsidR="00A90898" w:rsidRDefault="00A90898" w:rsidP="00A90898">
      <w:pPr>
        <w:pStyle w:val="TtuloBOE"/>
      </w:pPr>
      <w:r>
        <w:t>(BOE núm. 7, de 9 de enero de 2017)</w:t>
      </w:r>
    </w:p>
    <w:p w:rsidR="00A90898" w:rsidRDefault="00A90898" w:rsidP="00A90898">
      <w:pPr>
        <w:pStyle w:val="TextoNormalCentrado"/>
      </w:pPr>
      <w:r>
        <w:t>ECLI:ES:TC:2016:200</w:t>
      </w:r>
    </w:p>
    <w:p w:rsidR="00A90898" w:rsidRDefault="00A90898" w:rsidP="00A90898">
      <w:pPr>
        <w:pStyle w:val="TextoNormalCentrado"/>
      </w:pPr>
    </w:p>
    <w:p w:rsidR="00A90898" w:rsidRDefault="00A90898" w:rsidP="00A90898">
      <w:pPr>
        <w:pStyle w:val="SntesisDescriptiva"/>
      </w:pPr>
      <w:r>
        <w:t>Recurso de amparo 4960-2015. Promovido por Sporafrik, S.L., en relación con el Auto de un Juzgado de Primera Instancia de Orihuela, que denegó su solicitud de nulidad de actuaciones en procedimiento de ejecución hipotecaria.</w:t>
      </w:r>
    </w:p>
    <w:p w:rsidR="00A90898" w:rsidRDefault="00A90898" w:rsidP="00A90898">
      <w:pPr>
        <w:pStyle w:val="SntesisDescriptiva"/>
      </w:pPr>
    </w:p>
    <w:p w:rsidR="00A90898" w:rsidRDefault="00A90898" w:rsidP="00A90898">
      <w:pPr>
        <w:pStyle w:val="SntesisAnaltica"/>
      </w:pPr>
      <w:r>
        <w:t>Vulneración del derecho a la tutela judicial sin indefensión: emplazamiento mediante edictos de la demandada sin agotar los medios de conocimiento de su domicilio real (STC 122/2013).</w:t>
      </w:r>
    </w:p>
    <w:p w:rsidR="00A90898" w:rsidRDefault="00A90898" w:rsidP="00A90898">
      <w:pPr>
        <w:pStyle w:val="SntesisAnaltica"/>
      </w:pPr>
    </w:p>
    <w:p w:rsidR="00A90898" w:rsidRDefault="00A90898" w:rsidP="00A90898">
      <w:pPr>
        <w:pStyle w:val="Extracto"/>
      </w:pPr>
      <w:r>
        <w:t>1.</w:t>
      </w:r>
      <w:r>
        <w:tab/>
        <w:t>El órgano judicial deber agotar los medios que tenga a su alcance para notificar al ejecutado la existencia del proceso en su domicilio real (STC 122/2013) [FJ 5].</w:t>
      </w:r>
    </w:p>
    <w:p w:rsidR="00A90898" w:rsidRDefault="00A90898" w:rsidP="00A90898">
      <w:pPr>
        <w:pStyle w:val="Extracto"/>
      </w:pPr>
    </w:p>
    <w:p w:rsidR="00A90898" w:rsidRDefault="00A90898" w:rsidP="00A90898">
      <w:pPr>
        <w:pStyle w:val="Extracto"/>
      </w:pPr>
      <w:r>
        <w:t>2.</w:t>
      </w:r>
      <w:r>
        <w:tab/>
        <w:t>Lo verdaderamente decisivo desde la perspectiva constitucional reside en la actuación del órgano judicial, al que le venía impuesto, una vez fracasado el intento de citación personal en el domicilio que constaba en la escritura de préstamo, averiguar la vigencia en aquel momento, del domicilio social, dirigiéndose al Registro oficial y público, lo que no hizo. Una pasividad que se mantuvo cuando, antes de la celebración de la subasta, declinó ejecutar cualquier diligencia dirigida a dar satisfacción a las garantías del derecho de defensa y acceso al proceso (art. 24.1 CE), consumando la lesión [FJ 6].</w:t>
      </w:r>
    </w:p>
    <w:p w:rsidR="00A90898" w:rsidRDefault="00A90898" w:rsidP="00A90898">
      <w:pPr>
        <w:pStyle w:val="Extracto"/>
      </w:pPr>
    </w:p>
    <w:p w:rsidR="00A90898" w:rsidRDefault="00A90898" w:rsidP="00A90898">
      <w:pPr>
        <w:pStyle w:val="Extracto"/>
      </w:pPr>
      <w:r>
        <w:t>3.</w:t>
      </w:r>
      <w:r>
        <w:tab/>
        <w:t>La comunicación edictal en todo procedimiento sólo puede utilizarse cuando se hayan agotado los medios de averiguación del domicilio del deudor o ejecutado y cuando el órgano judicial tenga la profunda convicción de que resultan inviables e inútiles otros medios de comunicación procesal (STC 126/2014) [FJ 4].</w:t>
      </w:r>
    </w:p>
    <w:p w:rsidR="00A90898" w:rsidRDefault="00A90898" w:rsidP="00A90898">
      <w:pPr>
        <w:pStyle w:val="Extracto"/>
      </w:pPr>
    </w:p>
    <w:p w:rsidR="00A90898" w:rsidRDefault="00A90898" w:rsidP="00A90898">
      <w:pPr>
        <w:pStyle w:val="Extracto"/>
      </w:pPr>
      <w:r>
        <w:t>4.</w:t>
      </w:r>
      <w:r>
        <w:tab/>
        <w:t>Un instrumento capital de la correcta constitución de la relación jurídico procesal, cuya quiebra puede constituir una lesión del derecho a la tutela judicial efectiva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(SSTC 219/2016, 128/2000) [FJ 4].</w:t>
      </w:r>
    </w:p>
    <w:p w:rsidR="00A90898" w:rsidRDefault="00A90898" w:rsidP="00A90898">
      <w:pPr>
        <w:pStyle w:val="Extracto"/>
      </w:pPr>
    </w:p>
    <w:p w:rsidR="00A90898" w:rsidRDefault="00A90898" w:rsidP="00A90898">
      <w:pPr>
        <w:pStyle w:val="Extracto"/>
      </w:pPr>
      <w:r>
        <w:t>5.</w:t>
      </w:r>
      <w:r>
        <w:tab/>
        <w:t>Se otorga el amparo, declarando la nulidad del Auto impugnado y retrotrayendo las actuaciones al momento anterior al requerimiento de pago a la sociedad demandada para que se le comunique en legal forma el despacho de ejecución [FJ 7].</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4960-2015, promovido por Sporafrik, S.L., representada por la Procuradora de los Tribunales doña Isabel Juliá Corujo y asistida por el Abogado don Francisco Zaragoza Gómez de Ramón, contra el Auto de 24 de junio de 2015 del Juzgado de Primera Instancia núm. 2 de Orihuela (autos de ejecución hipotecaria núm. 175-2014), que desestimó la solicitud de nulidad del procedimiento, y frente a todas las actuaciones posteriores a la admisión de la demanda ejecutiva y notificación y emplazamiento de la demandada. Ha intervenido el Ministerio Fiscal. Ha comparecido la Procuradora de los Tribunales doña María José Bueno Ramírez, en nombre y representación de Banco Popular Español, S.A.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que tuvo entrada en el Registro General de este Tribunal el día 7 de septiembre de 2015, la Procuradora de los Tribunales doña Isabel Juliá Corujo, actuando en nombre y representación de Sporafrik, S.L., presentó recurso de amparo constitucional contra el Auto de 24 de junio de 2015 del Juzgado de Primera Instancia núm. 2 de Orihuela (autos de ejecución hipotecaria núm. 175-2014), que desestimó la solicitud de nulidad del procedimiento, y frente a todas las actuaciones posteriores a la admisión de la demanda ejecutiva y notificación y emplazamiento de la demandada.</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son, en síntesis, los siguientes:</w:t>
      </w:r>
    </w:p>
    <w:p w:rsidR="00A90898" w:rsidRDefault="00A90898" w:rsidP="00A90898">
      <w:pPr>
        <w:pStyle w:val="TextoNormal"/>
      </w:pPr>
    </w:p>
    <w:p w:rsidR="00A90898" w:rsidRDefault="00A90898" w:rsidP="00A90898">
      <w:pPr>
        <w:pStyle w:val="TextoNormal"/>
      </w:pPr>
      <w:r>
        <w:t>a) Contra la sociedad demandante de amparo se siguió un proceso de ejecución hipotecaria a instancias del Banco Popular Español, S.A., en garantía de deuda, despachándose la ejecución por Auto de 21 de febrero de 2014 del Juzgado de Primera Instancia núm. 2 de Orihuela.</w:t>
      </w:r>
    </w:p>
    <w:p w:rsidR="00A90898" w:rsidRDefault="00A90898" w:rsidP="00A90898">
      <w:pPr>
        <w:pStyle w:val="TextoNormal"/>
      </w:pPr>
    </w:p>
    <w:p w:rsidR="00A90898" w:rsidRDefault="00A90898" w:rsidP="00A90898">
      <w:pPr>
        <w:pStyle w:val="TextoNormal"/>
      </w:pPr>
      <w:r>
        <w:t>b) Se realizó a Sporafrik, S.L., el requerimiento de pago, con apercibimiento de que, en caso de no cumplimiento, continuaría la ejecución hasta la realización de los bienes hipotecados u otra forma de satisfacción del derecho del ejecutante.</w:t>
      </w:r>
    </w:p>
    <w:p w:rsidR="00A90898" w:rsidRDefault="00A90898" w:rsidP="00A90898">
      <w:pPr>
        <w:pStyle w:val="TextoNormal"/>
      </w:pPr>
    </w:p>
    <w:p w:rsidR="00A90898" w:rsidRDefault="00A90898" w:rsidP="00A90898">
      <w:pPr>
        <w:pStyle w:val="TextoNormal"/>
      </w:pPr>
      <w:r>
        <w:t>Al folio núm. 157 de las actuaciones consta, sin embargo, que el intento de notificación fue infructuoso. En la diligencia negativa de notificación, de 22 de abril de 2014, cuya práctica fue intentada en el domicilio señalado por la ejecutante en su demanda (calle Mayor 43, bajo, Alicante), indica el funcionario que “dicha dirección corresponde con la de un despacho de abogados donde manifiestan que dicha empresa no es cliente suyo ignorando su paradero”.</w:t>
      </w:r>
    </w:p>
    <w:p w:rsidR="00A90898" w:rsidRDefault="00A90898" w:rsidP="00A90898">
      <w:pPr>
        <w:pStyle w:val="TextoNormal"/>
      </w:pPr>
    </w:p>
    <w:p w:rsidR="00A90898" w:rsidRDefault="00A90898" w:rsidP="00A90898">
      <w:pPr>
        <w:pStyle w:val="TextoNormal"/>
      </w:pPr>
      <w:r>
        <w:t>c) Por diligencia de ordenación de 29 de abril de 2014, se acordó realizar el requerimiento a la demandada mediante publicación de edicto en el tablón de anuncios del Juzgado, donde permaneció hasta el día 15 de mayo de 2014.</w:t>
      </w:r>
    </w:p>
    <w:p w:rsidR="00A90898" w:rsidRDefault="00A90898" w:rsidP="00A90898">
      <w:pPr>
        <w:pStyle w:val="TextoNormal"/>
      </w:pPr>
    </w:p>
    <w:p w:rsidR="00A90898" w:rsidRDefault="00A90898" w:rsidP="00A90898">
      <w:pPr>
        <w:pStyle w:val="TextoNormal"/>
      </w:pPr>
      <w:r>
        <w:t>d) A instancias de la ejecutante, por diligencia de ordenación de 28 de julio de 2014, se señaló la subasta de los bienes ejecutados para el día 13 de noviembre de 2014, siendo posteriormente modificada su fecha por nueva diligencia de ordenación, de 12 de noviembre de 2014, que la estableció para el día 23 de febrero de 2015.</w:t>
      </w:r>
    </w:p>
    <w:p w:rsidR="00A90898" w:rsidRDefault="00A90898" w:rsidP="00A90898">
      <w:pPr>
        <w:pStyle w:val="TextoNormal"/>
      </w:pPr>
    </w:p>
    <w:p w:rsidR="00A90898" w:rsidRDefault="00A90898" w:rsidP="00A90898">
      <w:pPr>
        <w:pStyle w:val="TextoNormal"/>
      </w:pPr>
      <w:r>
        <w:t>e) El folio 238 de las actuaciones recoge el acta de comparecencia del administrador de la ejecutada ante el Juzgado, el día 6 de febrero de 2015, donde declaró que en ese acto se le hacía entrega del Auto que despachó la ejecución, el decreto de medidas, la diligencia de ordenación que acordó el requerimiento de pago a través de edictos y la que señaló la fecha de la subasta.</w:t>
      </w:r>
    </w:p>
    <w:p w:rsidR="00A90898" w:rsidRDefault="00A90898" w:rsidP="00A90898">
      <w:pPr>
        <w:pStyle w:val="TextoNormal"/>
      </w:pPr>
    </w:p>
    <w:p w:rsidR="00A90898" w:rsidRDefault="00A90898" w:rsidP="00A90898">
      <w:pPr>
        <w:pStyle w:val="TextoNormal"/>
      </w:pPr>
      <w:r>
        <w:t>f) De conformidad con lo dispuesto en los arts. 225 y siguientes de la Ley de enjuiciamiento civil (LEC), Sporafrik, S.L., en fecha de 10 de febrero de 2015, interesó la nulidad de las actuaciones, aduciendo indefensión. Denunciaba que el intento de notificación del emplazamiento se efectúo en un domicilio distinto al inscrito en el Registro Mercantil, al haber sido objeto de modificación por escritura autorizada el día 12 de marzo de 2009, inscrita en el Registro Mercantil de Alicante y publicada en el “Boletín Oficial del Registro Mercantil” el día 5 de junio de 2009, pasándose con ello del domicilio social anterior, situado en la calle Mayor 43, bajo, de Alicante, al sito en la Avenida Condes de Pino Hermoso s/n de Daya Vieja. En consecuencia, se aducía, el órgano judicial no cumplió la doctrina constitucional que impone apurar los intentos de notificación personal, causándose indefensión.</w:t>
      </w:r>
    </w:p>
    <w:p w:rsidR="00A90898" w:rsidRDefault="00A90898" w:rsidP="00A90898">
      <w:pPr>
        <w:pStyle w:val="TextoNormal"/>
      </w:pPr>
    </w:p>
    <w:p w:rsidR="00A90898" w:rsidRDefault="00A90898" w:rsidP="00A90898">
      <w:pPr>
        <w:pStyle w:val="TextoNormal"/>
      </w:pPr>
      <w:r>
        <w:t>g) Pese a dicha petición de nulidad del procedimiento, con fecha 23 de febrero de 2015 se celebró la subasta, sin que concurrieran postores. La ejecutante solicitó la adjudicación de los bienes por el 50 por 100 de su valoración.</w:t>
      </w:r>
    </w:p>
    <w:p w:rsidR="00A90898" w:rsidRDefault="00A90898" w:rsidP="00A90898">
      <w:pPr>
        <w:pStyle w:val="TextoNormal"/>
      </w:pPr>
    </w:p>
    <w:p w:rsidR="00A90898" w:rsidRDefault="00A90898" w:rsidP="00A90898">
      <w:pPr>
        <w:pStyle w:val="TextoNormal"/>
      </w:pPr>
      <w:r>
        <w:t>h) En fecha posterior, el día 24 de junio de 2015, el Juzgado dicta Auto desestimando la solicitud de nulidad de las actuaciones. Razona que no se ha producido vulneración alguna del derecho fundamental de la recurrente ni desatención de la doctrina constitucional en la materia (extracta la STC 122/2013, de 20 de mayo), dado que, “en nuestro caso, se fijó un domicilio a efectos de notificaciones en la escritura pública, sin que en el procedimiento hubiera constancia de ningún otro domicilio real distinto del demandado”. Añade a renglón seguido que “en la escritura de novación de hipoteca de fecha 29 de septiembre de 2010, objeto de autos, se indica por el ejecutado como domicilio a efectos de notificaciones calle Mayor 43, bajo de Alicante, y dicha escritura es de fecha posterior al cambio social del domicilio que invoca la ejecutada que data del año 2009”. Con esas bases rechaza la nulidad que se le demandaba.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La sociedad recurrente en amparo denuncia la vulneración del derecho a la tutela judicial efectiva sin indefensión (art. 24.1 CE). A su juicio, el razonamiento del Juzgado descarta la obligación del órgano judicial de averiguar el domicilio real y efectivo de la parte demandada, en contra de lo que dispusieron las SSTC 122/2013, de 20 de mayo, y 89/2015, </w:t>
      </w:r>
      <w:r>
        <w:lastRenderedPageBreak/>
        <w:t>de 11 de mayo. En consecuencia, solicita el reconocimiento de su derecho fundamental, la declaración de nulidad del Auto de 24 de junio de 2015, así como de todas las actuaciones posteriores a la admisión de la demanda y notificación y emplazamiento de la demandada, con retroacción de las actuaciones al momento inmediatamente anterior a la notificación de la demanda, requerimiento de pago y emplazamiento al procedimiento.</w:t>
      </w:r>
    </w:p>
    <w:p w:rsidR="00A90898" w:rsidRDefault="00A90898" w:rsidP="00A90898">
      <w:pPr>
        <w:pStyle w:val="TextoNormal"/>
      </w:pPr>
    </w:p>
    <w:p w:rsidR="00A90898" w:rsidRDefault="00A90898" w:rsidP="00A90898">
      <w:pPr>
        <w:pStyle w:val="TextoNormal"/>
      </w:pPr>
      <w:r>
        <w:t>Por medio de otrosí postulaba asimismo la suspensión de los efectos del Auto recurrido, con el fin de que no se cause un daño irreparable con la adjudicación a la ejecutante de los inmuebles controvertidos.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1 de febrero de 2016, la Sección Cuarta de este Tribunal acordó admitir a trámite el recurso de amparo, apreciando que ofrece especial transcendencia constitucional [art. 50.1 de la Ley Orgánica del Tribunal Constitucional (LOTC)] “porque el recurso puede dar ocasión al Tribunal para aclarar o cambiar su doctrina, como consecuencia de cambios normativos relevantes para la configuración del contenido del derecho fundamental [STC 155/2009, FJ 2 b)]”, y, adicionalmente, porque “el órgano judicial pudiera haber incurrido en una negativa manifiesta del deber de acatamiento de la doctrina de este Tribunal [STC 155/2009, FJ 2 f)]”.</w:t>
      </w:r>
    </w:p>
    <w:p w:rsidR="00A90898" w:rsidRDefault="00A90898" w:rsidP="00A90898">
      <w:pPr>
        <w:pStyle w:val="TextoNormal"/>
      </w:pPr>
    </w:p>
    <w:p w:rsidR="00A90898" w:rsidRDefault="00A90898" w:rsidP="00A90898">
      <w:pPr>
        <w:pStyle w:val="TextoNormal"/>
      </w:pPr>
      <w:r>
        <w:t>Habiéndose interesado anteriormente la remisión de certificación de las actuaciones jurisdiccionales, de conformidad con lo dispuesto en el art. 51 LOTC, se acordó dirigir atenta comunicación al Juzgado de Primera Instancia núm.2 de Orihuela a fin de que, en plazo que no excediera de diez días, emplazase a quienes hubieran sido parte en el procedimiento, excepto a la parte recurrente en amparo, para que en el plazo de diez días pudieran comparecer en el presente proceso constitucional.</w:t>
      </w:r>
    </w:p>
    <w:p w:rsidR="00A90898" w:rsidRDefault="00A90898" w:rsidP="00A90898">
      <w:pPr>
        <w:pStyle w:val="TextoNormal"/>
      </w:pPr>
    </w:p>
    <w:p w:rsidR="00A90898" w:rsidRDefault="00A90898" w:rsidP="00A90898">
      <w:pPr>
        <w:pStyle w:val="TextoNormal"/>
      </w:pPr>
      <w:r w:rsidRPr="00A90898">
        <w:rPr>
          <w:rStyle w:val="NumeroAFNegritaCaracter"/>
        </w:rPr>
        <w:t>5</w:t>
      </w:r>
      <w:r>
        <w:t>.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 dictándose el ATC 48/2016, de 29 de febrero, que dispuso “suspender la ejecución de la resolución recurrida y de toda actuación judicial sucesiva que pueda tener como efecto la adjudicación a terceros de los inmuebles controvertidos”.</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en este Tribunal el día 29 de marzo de 2016, la Procuradora doña María José Bueno Ramírez solicitó que se le tuviera por personada en nombre y representación del Banco Popular Español, S.A.</w:t>
      </w:r>
    </w:p>
    <w:p w:rsidR="00A90898" w:rsidRDefault="00A90898" w:rsidP="00A90898">
      <w:pPr>
        <w:pStyle w:val="TextoNormal"/>
      </w:pPr>
    </w:p>
    <w:p w:rsidR="00A90898" w:rsidRDefault="00A90898" w:rsidP="00A90898">
      <w:pPr>
        <w:pStyle w:val="TextoNormal"/>
      </w:pPr>
      <w:r w:rsidRPr="00A90898">
        <w:rPr>
          <w:rStyle w:val="NumeroAFNegritaCaracter"/>
        </w:rPr>
        <w:t>7</w:t>
      </w:r>
      <w:r>
        <w:t>. Por diligencia de ordenación de la Secretaría de Justicia de la Sala Segunda de este Tribunal, de 8 de julio de 2016, se tuvo por personada y parte en la representación que ostenta a la Procuradora citada y se acordó, asimismo, abrir un plazo común de veinte días al Ministerio Fiscal y a las partes personadas, de conformidad con el art. 52.1 LOTC, para que pudieran presentar las alegaciones que a su derecho conviniere.</w:t>
      </w:r>
    </w:p>
    <w:p w:rsidR="00A90898" w:rsidRDefault="00A90898" w:rsidP="00A90898">
      <w:pPr>
        <w:pStyle w:val="TextoNormal"/>
      </w:pPr>
    </w:p>
    <w:p w:rsidR="00A90898" w:rsidRDefault="00A90898" w:rsidP="00A90898">
      <w:pPr>
        <w:pStyle w:val="TextoNormal"/>
      </w:pPr>
      <w:r w:rsidRPr="00A90898">
        <w:rPr>
          <w:rStyle w:val="NumeroAFNegritaCaracter"/>
        </w:rPr>
        <w:t>8</w:t>
      </w:r>
      <w:r>
        <w:t>. La parte recurrente, con fecha 12 de septiembre de 2016, presentó su escrito de alegaciones remitiéndose en esencia a su demanda de amparo.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9</w:t>
      </w:r>
      <w:r>
        <w:t>. La Procuradora doña María José Bueno Ramírez, en representación del banco personado, por escrito registrado en este Tribunal el día 12 de septiembre de 2016, evacuó el trámite de alegaciones. En oposición a la pretensión de la parte recurrente, aduce que su mandante estableció en la demanda como domicilio a efectos de notificaciones a la mercantil ejecutada aquel que ésta había designado a tal fin en las escrituras; domicilio que también figuraba en la escritura de novación, de 29 de septiembre de 2010, de fecha posterior a la variación del domicilio social que se manifiesta por la sociedad recurrente. Un cambio que, por lo demás, no se notificó a la entidad bancaria. En consecuencia, y de acuerdo con la regulación entonces vigente del art. 686 LEC, la actuación del Juzgado en el trámite del requerimiento de pago al deudor fue conforme a Derecho, por cuanto acudió al domicilio señalado en la escritura de préstamo hipotecario y solo al resultar infructuoso el intento procedió a la notificación edictal. De otra parte, añade a continuación, el administrador de la empresa se personó en el proceso pero no intentó oponerse a la ejecución, instando, por el contrario, la nulidad de actuaciones, a cuyo través, en todo caso, ejerció su derecho de defensa, con independencia de cuál fuera su resultado, por lo que la denuncia no puede prosperar.</w:t>
      </w:r>
    </w:p>
    <w:p w:rsidR="00A90898" w:rsidRDefault="00A90898" w:rsidP="00A90898">
      <w:pPr>
        <w:pStyle w:val="TextoNormal"/>
      </w:pPr>
    </w:p>
    <w:p w:rsidR="00A90898" w:rsidRDefault="00A90898" w:rsidP="00A90898">
      <w:pPr>
        <w:pStyle w:val="TextoNormal"/>
      </w:pPr>
      <w:r w:rsidRPr="00A90898">
        <w:rPr>
          <w:rStyle w:val="NumeroAFNegritaCaracter"/>
        </w:rPr>
        <w:t>10</w:t>
      </w:r>
      <w:r>
        <w:t xml:space="preserve">. Por escrito presentado en este Tribunal el día 12 de septiembre de 2016, formuló alegaciones el Ministerio Fiscal. A su criterio, el muy escueto escrito de recurso dedica el apartado IV de su fundamentación a “acreditar” tanto la especial trascendencia constitucional como la vulneración de derecho fundamental alegado, la tutela judicial efectiva (art. 24.1 CE). Se deduce de él que lo que pretendidamente justifica aquella especial trascendencia constitucional son los hechos acaecidos, lo que no puede considerarse suficiente para entender cumplida la carga ineludible e insubsanable contenida en el art. 49.1 </w:t>
      </w:r>
      <w:r w:rsidRPr="00A90898">
        <w:rPr>
          <w:i/>
        </w:rPr>
        <w:t>in fine</w:t>
      </w:r>
      <w:r>
        <w:t xml:space="preserve"> LOTC. El recurso de amparo, dicho de otro modo, se limita a enunciar la concurrencia del requisito, sin aportar ninguna razón objetiva que lo justifique, lo que debe conducir a su inadmisión.</w:t>
      </w:r>
    </w:p>
    <w:p w:rsidR="00A90898" w:rsidRDefault="00A90898" w:rsidP="00A90898">
      <w:pPr>
        <w:pStyle w:val="TextoNormal"/>
      </w:pPr>
    </w:p>
    <w:p w:rsidR="00A90898" w:rsidRDefault="00A90898" w:rsidP="00A90898">
      <w:pPr>
        <w:pStyle w:val="TextoNormal"/>
      </w:pPr>
      <w:r>
        <w:t>En su defecto, para el caso de que aprecie el Tribunal que no concurre el óbice procesal referido, interesa el Ministerio Fiscal el otorgamiento del amparo. Tras reproducir parcialmente las SSTC 78/2008, de 7 de julio; 150/2008, de 17 de noviembre, y 122/2013, de 20 de mayo, subraya que el órgano judicial acudió a la citación edictal de manera inmediata, sin llevar a cabo una mínima diligencia de averiguación de un domicilio alternativo al que figuraba en la escritura. La actitud del Juzgado fue, así, absolutamente pasiva, limitándose a constatar el resultado negativo de la citación que se intentó para, sin solución de continuidad, acudir a los edictos. Esta forma de actuar resulta contraria a la doctrina del Tribunal Constitucional en la materia, máxime cuando, como sucede en el presente caso, la indagación de otro posible domicilio era especialmente sencilla, pues bastaba con acudir al Registro público en el que consta, desde 2009, la nueva sede social. Una pasividad judicial, por lo demás, que se mantuvo incluso cuando al propio juzgador le llegaron todos los datos con la presentación de la demanda que solicitaba la nulidad de actuaciones, habiendo optado pese a ello por no reparar la lesión.</w:t>
      </w:r>
    </w:p>
    <w:p w:rsidR="00A90898" w:rsidRDefault="00A90898" w:rsidP="00A90898">
      <w:pPr>
        <w:pStyle w:val="TextoNormal"/>
      </w:pPr>
    </w:p>
    <w:p w:rsidR="00A90898" w:rsidRDefault="00A90898" w:rsidP="00A90898">
      <w:pPr>
        <w:pStyle w:val="TextoNormal"/>
      </w:pPr>
      <w:r>
        <w:t>En atención a lo expuesto, el Fiscal interesa la inadmisión del recurso por haber incurrido en el defecto procesal antes señalado o, en su defecto, otorgar el amparo declarando la nulidad del Auto de 24 de junio de 2015 y la retroacción de las actuaciones al momento inmediatamente anterior al requerimiento de pago, para que se comunique a la sociedad recurrente el despacho de ejecución en legal forma.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11</w:t>
      </w:r>
      <w:r>
        <w:t>. Por providencia de 22 de noviembre de 2016 se señaló para la deliberación y votación de la presente Sentencia el día 28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dirige contra el Auto de 24 de junio de 2015, dictado por el Juzgado de Primera Instancia núm. 2 de Orihuela, por el que se desestimó la solicitud de nulidad de actuaciones planteada por la sociedad recurrente en amparo, y frente a todas las actuaciones posteriores a la admisión de la demanda ejecutiva y notificación y emplazamiento de Sporafrik, S.L., en el procedimiento de ejecución hipotecaria núm. 175-2014. En la demanda se imputa a la resolución recurrida la vulneración del derecho fundamental a la tutela judicial efectiva sin indefensión (art. 24.1 CE), al haberse practicado el emplazamiento edictal sin agotar previamente las posibilidades de notificación personal.</w:t>
      </w:r>
    </w:p>
    <w:p w:rsidR="00A90898" w:rsidRDefault="00A90898" w:rsidP="00A90898">
      <w:pPr>
        <w:pStyle w:val="TextoNormal"/>
      </w:pPr>
    </w:p>
    <w:p w:rsidR="00A90898" w:rsidRDefault="00A90898" w:rsidP="00A90898">
      <w:pPr>
        <w:pStyle w:val="TextoNormal"/>
      </w:pPr>
      <w:r>
        <w:t xml:space="preserve">El Ministerio Fiscal interesa la inadmisión del recurso por incumplimiento del requisito de justificación de la especial trascendencia constitucional [art. 49.1 </w:t>
      </w:r>
      <w:r w:rsidRPr="00A90898">
        <w:rPr>
          <w:i/>
        </w:rPr>
        <w:t>in fine</w:t>
      </w:r>
      <w:r>
        <w:t xml:space="preserve"> de la Ley Orgánica del Tribunal Constitucional (LOTC)], o en su defecto el otorgamiento del amparo, en tanto que la representación del Banco Popular Español, S.A., se opone a las pretensiones de fondo formuladas.</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Aduce el Fiscal, como ha quedado dicho, que la demanda no razona suficientemente sobre la especial trascendencia constitucional del recurso (art. 49.1 LOTC), pues se hace descansar ésta, únicamente, en los hechos acaecidos, sin aportarse ninguna razón que objetive el amparo más allá de la lesión subjetiva que se denuncia. Ciertamente, la demanda no contiene una argumentación en este punto que se desarrolle con una clara y nítida autonomía de la propia de la lesión que se alega. Sin embargo, aunque no resulte el recurso un ejemplo de escrito procesal al objeto de dar cumplimiento a la exigencia del art. 49.1 </w:t>
      </w:r>
      <w:r w:rsidRPr="00A90898">
        <w:rPr>
          <w:i/>
        </w:rPr>
        <w:t>in fine</w:t>
      </w:r>
      <w:r>
        <w:t xml:space="preserve"> LOTC, sí debe calificarse su contenido como suficiente a tal propósito, pues traslada materialmente al Tribunal una cuestión de dimensión constitucional objetiva, subsumible en el listado de causas enunciado en la STC 155/2009. En efecto, no se reduce lo alegado en la demanda a una “simple o abstracta mención” de la especial trascendencia constitucional (STC 69/2011, de 16 de mayo, FJ 3), como tampoco a una sola alusión al tenor literal del art. 50.1 b) LOTC, huérfana de toda argumentación adicional (por todas, STC 178/2012, de 15 de octubre, FJ 3). Se advierte en el recurso, antes al contrario, que la recurrente censura la resistencia del órgano judicial a acatar la doctrina constitucional en materia de emplazamiento edictal [STC 155/2009, de 25 de junio, FJ 2, f)]. En efecto, se repara en ello cuando afirma que la tesis del Juzgado “pugna abiertamente” con la cobertura del derecho fundamental establecida por la doctrina constitucional, que cita; reproche que concuerda con lo que la parte adujo al promover la nulidad de actuaciones, en cuyo escrito puso de manifiesto la doctrina de este Tribunal sobre la diligencia exigida al órgano judicial para apurar las posibilidades de notificación personal a la parte ejecutada.</w:t>
      </w:r>
    </w:p>
    <w:p w:rsidR="00A90898" w:rsidRDefault="00A90898" w:rsidP="00A90898">
      <w:pPr>
        <w:pStyle w:val="TextoNormal"/>
      </w:pPr>
    </w:p>
    <w:p w:rsidR="00A90898" w:rsidRDefault="00A90898" w:rsidP="00A90898">
      <w:pPr>
        <w:pStyle w:val="TextoNormal"/>
      </w:pPr>
      <w:r>
        <w:t xml:space="preserve">Por tanto, cabe apreciar un esfuerzo argumental de la parte recurrente que da satisfacción a la carga impuesta en el art. 49.1 </w:t>
      </w:r>
      <w:r w:rsidRPr="00A90898">
        <w:rPr>
          <w:i/>
        </w:rPr>
        <w:t>in fine</w:t>
      </w:r>
      <w:r>
        <w:t xml:space="preserve"> LOTC, dado que, pese a su precariedad, resulta posible disociar en la demanda de amparo los argumentos destinados a impugnar la lesión del derecho fundamental de los encaminados a justificar la especial trascendencia constitucional del recurso, por la negativa manifiesta del órgano judicial a acatar la jurisprudencia </w:t>
      </w:r>
      <w:r>
        <w:lastRenderedPageBreak/>
        <w:t>de este Tribunal [letra f) del elenco contenido en el fundamento jurídico 2 de la STC 155/2009, de reiterada cita].</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Aunque ninguna de las partes comparecidas haya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obligan a explicitar el cumplimiento del mismo para hacer así recognoscibles los criterios empleados al efecto por este Tribunal (STEDH de 20 de enero de 2015, caso </w:t>
      </w:r>
      <w:r w:rsidRPr="00A90898">
        <w:rPr>
          <w:i/>
        </w:rPr>
        <w:t>Arribas Antón c. España</w:t>
      </w:r>
      <w:r>
        <w:t>, § 46).</w:t>
      </w:r>
    </w:p>
    <w:p w:rsidR="00A90898" w:rsidRDefault="00A90898" w:rsidP="00A90898">
      <w:pPr>
        <w:pStyle w:val="TextoNormal"/>
      </w:pPr>
    </w:p>
    <w:p w:rsidR="00A90898" w:rsidRDefault="00A90898" w:rsidP="00A90898">
      <w:pPr>
        <w:pStyle w:val="TextoNormal"/>
      </w:pPr>
      <w:r>
        <w:t>La decisión de admisión, declarando que concurría en el recurso especial trascendencia constitucional, se fundó en que éste “puede dar ocasión al Tribunal para aclarar o cambiar su doctrina, como consecuencia de cambios normativos relevantes para la configuración del contenido del derecho fundamental [STC 155/2009, FJ 2 b)]”, y, asimismo, y como viene de apuntarse en el fundamento jurídico anterior al ocuparnos del alegato de la parte, porque “el órgano judicial pudiera haber incurrido en una negativa manifiesta del deber de acatamiento de la doctrina de este Tribunal [STC 155/2009, FJ 2 f)]”.</w:t>
      </w:r>
    </w:p>
    <w:p w:rsidR="00A90898" w:rsidRDefault="00A90898" w:rsidP="00A90898">
      <w:pPr>
        <w:pStyle w:val="TextoNormal"/>
      </w:pPr>
    </w:p>
    <w:p w:rsidR="00A90898" w:rsidRDefault="00A90898" w:rsidP="00A90898">
      <w:pPr>
        <w:pStyle w:val="TextoNormal"/>
      </w:pPr>
      <w:r>
        <w:t>Una jurisprudencia que fue puesta de manifiesto y sin embargo abiertamente desatendida en el proceso judicial, y que deberá ser ahora, de nuevo, como se dirá, objeto de aplicación en este pronunciamiento para su debido cumplimiento en el caso de autos. Y es que la resolución enjuiciada pone de relieve que algunos órganos judiciales no siguen o se resisten a aplicar la doctrina de este Tribunal Constitucional en materia de emplazamiento y notificaciones, no obstante su conocimiento. Por esa razón, se considera indispensable que el Tribunal siga profundizando en la línea marcada en sus pronunciamientos previos, configurando así un importante cuerpo jurisprudencial que detenga la reiteración de interpretaciones y actuaciones como la que ha consumado el órgano judicial en el presente asunto, evitando que su doctrina sea soslayada.</w:t>
      </w:r>
    </w:p>
    <w:p w:rsidR="00A90898" w:rsidRDefault="00A90898" w:rsidP="00A90898">
      <w:pPr>
        <w:pStyle w:val="TextoNormal"/>
      </w:pPr>
    </w:p>
    <w:p w:rsidR="00A90898" w:rsidRDefault="00A90898" w:rsidP="00A90898">
      <w:pPr>
        <w:pStyle w:val="TextoNormal"/>
      </w:pPr>
      <w:r w:rsidRPr="00A90898">
        <w:rPr>
          <w:rStyle w:val="NumeroAFNegritaCaracter"/>
        </w:rPr>
        <w:t>4</w:t>
      </w:r>
      <w:r>
        <w:t>. El análisis de la cuestión planteada, desde la estricta perspectiva constitucional, consiste en analizar la validez del emplazamiento edictal en un juicio de ejecución hipotecaria, tras resultar negativa la notificación y emplazamiento llevado a cabo en el domicilio que constaba en la escritura pública de préstamo hipotecario, señalado a efectos de notificaciones por el Banco demandante.</w:t>
      </w:r>
    </w:p>
    <w:p w:rsidR="00A90898" w:rsidRDefault="00A90898" w:rsidP="00A90898">
      <w:pPr>
        <w:pStyle w:val="TextoNormal"/>
      </w:pPr>
    </w:p>
    <w:p w:rsidR="00A90898" w:rsidRDefault="00A90898" w:rsidP="00A90898">
      <w:pPr>
        <w:pStyle w:val="TextoNormal"/>
      </w:pPr>
      <w:r>
        <w:t>Este Tribunal ha declarado de manera invariable y constante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En este sentido, conforme dijéramos en la STC 122/2013, de 20 de mayo, FJ 3, y repitiéramos después, entre otras, en la STC 167/2015, de 20 de julio, FJ 3,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w:t>
      </w:r>
      <w:r>
        <w:lastRenderedPageBreak/>
        <w:t>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w:t>
      </w:r>
    </w:p>
    <w:p w:rsidR="00A90898" w:rsidRDefault="00A90898" w:rsidP="00A90898">
      <w:pPr>
        <w:pStyle w:val="TextoNormal"/>
      </w:pPr>
    </w:p>
    <w:p w:rsidR="00A90898" w:rsidRDefault="00A90898" w:rsidP="00A90898">
      <w:pPr>
        <w:pStyle w:val="TextoNormal"/>
      </w:pPr>
      <w:r>
        <w:t>En procedimientos ejecutivos no hemos hecho sino afianzar esa doctrina. Recordaría la STC 126/2014, de 21 de julio, FJ 5, como tantas otras lo hicieran antes y después de ella, que “la comunicación edictal en todo procedimiento sólo puede utilizarse cuando se hayan agotado los medios de averiguación del domicilio del deudor o ejecutado y cuando el órgano judicial tenga la profunda convicción de que resultan inviables e inútiles otros medios de comunicación procesal. Por lo demás, se trata en todo caso de una operación sencilla que no requiere mayor esfuerzo intelectual, en la medida en que el art. 155.3 [de la Ley de enjuiciamiento civil] no da un mandato a los órganos judiciales de realizar la notificación sólo en el domicilio del título ejecutivo y una sola vez y del espíritu de este precepto se deriva, claramente, su intención de apertura a todas las opciones que puedan permitir el acceso a la notificación personal, por lo que nada impide a los órganos judiciales realizar varios intentos de notificación en un domicilio o en varios”.</w:t>
      </w:r>
    </w:p>
    <w:p w:rsidR="00A90898" w:rsidRDefault="00A90898" w:rsidP="00A90898">
      <w:pPr>
        <w:pStyle w:val="TextoNormal"/>
      </w:pPr>
    </w:p>
    <w:p w:rsidR="00A90898" w:rsidRDefault="00A90898" w:rsidP="00A90898">
      <w:pPr>
        <w:pStyle w:val="TextoNormal"/>
      </w:pPr>
      <w:r>
        <w:t xml:space="preserve">En la ya citada STC 122/2013, FJ 5, tras apreciar </w:t>
      </w:r>
      <w:r w:rsidRPr="00A90898">
        <w:rPr>
          <w:i/>
        </w:rPr>
        <w:t>ad casum</w:t>
      </w:r>
      <w:r>
        <w:t xml:space="preserve"> que el órgano judicial no agotó las posibilidades de localización del deudor, destacamos que esa exigencia establecida en nuestra doctrina no puede quedar interferida por la reforma operada por la Ley 13/2009, de 3 de noviembre, que añadió un nuevo apartado 3 al art. 686 de la Ley de enjuiciamiento civil (LEC), habida cuenta que, decíamos allí, “todos los preceptos relativos a la notificación del despacho de la ejecución y del requerimiento de pago han de ser interpretados en coherencia con la jurisprudencia de este Tribunal”. Dicho en sus términos literales: “Así, desde una estricta perspectiva constitucional, procede realizar una interpretación </w:t>
      </w:r>
      <w:r w:rsidRPr="00A90898">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00A90898" w:rsidRDefault="00A90898" w:rsidP="00A90898">
      <w:pPr>
        <w:pStyle w:val="TextoNormal"/>
      </w:pPr>
    </w:p>
    <w:p w:rsidR="00A90898" w:rsidRDefault="00A90898" w:rsidP="00A90898">
      <w:pPr>
        <w:pStyle w:val="TextoNormal"/>
      </w:pPr>
      <w:r w:rsidRPr="00A90898">
        <w:rPr>
          <w:rStyle w:val="NumeroAFNegritaCaracter"/>
        </w:rPr>
        <w:t>5</w:t>
      </w:r>
      <w:r>
        <w:t>. Trasladando esa doctrina al presente caso, se estima la concurrencia de una lesión del derecho a la tutela judicial efectiva sin indefensión (art. 24.1 CE) de la sociedad demandante de amparo, al no haberse agotado los medios de averiguación del domicilio real antes de la comunicación por edictos.</w:t>
      </w:r>
    </w:p>
    <w:p w:rsidR="00A90898" w:rsidRDefault="00A90898" w:rsidP="00A90898">
      <w:pPr>
        <w:pStyle w:val="TextoNormal"/>
      </w:pPr>
    </w:p>
    <w:p w:rsidR="00A90898" w:rsidRDefault="00A90898" w:rsidP="00A90898">
      <w:pPr>
        <w:pStyle w:val="TextoNormal"/>
      </w:pPr>
      <w:r>
        <w:t xml:space="preserve">Según se desprende de las actuaciones judiciales (folio núm. 157), cuando el servicio común de actos de comunicación y ejecución intentó sin éxito la notificación en el domicilio especificado en la demanda ejecutiva, indicó el funcionario que “dicha dirección corresponde con la de un despacho de abogados donde manifiestan que dicha empresa no es cliente </w:t>
      </w:r>
      <w:r>
        <w:lastRenderedPageBreak/>
        <w:t>suyo ignorando su paradero”. A la vista de esta circunstancia, el Juzgado no ordenó la práctica de ninguna comprobación encaminada a conocer otro domicilio de la sociedad a través de los diferentes organismos públicos a los que se remite la Ley de enjuiciamiento civil en su art. 155.3, ni tampoco por los medios que se recogen en el art. 156 de la misma Ley, sino que acudió directamente a la notificación edictal (en igual sentido, STC 181/2015, de 7 de septiembre, FJ 4).</w:t>
      </w:r>
    </w:p>
    <w:p w:rsidR="00A90898" w:rsidRDefault="00A90898" w:rsidP="00A90898">
      <w:pPr>
        <w:pStyle w:val="TextoNormal"/>
      </w:pPr>
    </w:p>
    <w:p w:rsidR="00A90898" w:rsidRDefault="00A90898" w:rsidP="00A90898">
      <w:pPr>
        <w:pStyle w:val="TextoNormal"/>
      </w:pPr>
      <w:r>
        <w:t>Antes al contrario, el órgano judicial, tras la solicitud de nulidad de actuaciones, no sólo no paralizó la celebración de la subasta señalada sino que se conformó con insistir en que la escritura indicaba aquel domicilio (fallido, como se dijo, a efecto de notificaciones), o que esa localización fue reiterada después en la sucesiva escritura de novación de la hipoteca, resaltando, como si ese hecho impidiera llevar a cabo diligencias de averiguación, que no constaba en el procedimiento ningún otro domicilio. Lo hizo, además, aun mostrando expreso conocimiento de la doctrina constitucional, pues mantuvo su decisión y las consecuencias de ella pese a reproducir parcialmente en el Auto recurrido un pronunciamiento de este Tribunal, la STC 122/2013, de 20 de mayo, que abiertamente subraya la subsidiariedad de la comunicación edictal y el deber que se le impone al órgano judicial para que “agote los medios que tenga a su alcance para notificar al ejecutado la existencia del proceso en su domicilio real”. Un mandato, según se expuso en el fundamento jurídico anterior, que tiene pleno acomodo en los procedimientos de ejecución hipotecaria, conforme al criterio que —justamente en la Sentencia que la resolución impugnada transcribe— sentó este Tribunal sobre el art. 686.3 LEC, despejando cualquier duda que pudiera derivarse de la reforma operada por la Ley 13/2009, de 3 de noviembre, y que, por lo demás, ha sido más tarde acogido en la nueva redacción dada al apartado 3 del art. 686 por el art. 1.25 de la Ley 19/2015, de 13 de julio, de medidas de reforma administrativa en el ámbito de la Administración de Justicia y del Registro Civil.</w:t>
      </w:r>
    </w:p>
    <w:p w:rsidR="00A90898" w:rsidRDefault="00A90898" w:rsidP="00A90898">
      <w:pPr>
        <w:pStyle w:val="TextoNormal"/>
      </w:pPr>
    </w:p>
    <w:p w:rsidR="00A90898" w:rsidRDefault="00A90898" w:rsidP="00A90898">
      <w:pPr>
        <w:pStyle w:val="TextoNormal"/>
      </w:pPr>
      <w:r>
        <w:t>En suma, el órgano judicial no agotó todos los medios que tenía a su alcance para llevar a cabo una notificación personal, soslayando manifiestamente la diligencia que le era debida para asegurar el emplazamiento de la sociedad demandante de amparo y su presencia en el procedimiento.</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A mayor abundamiento, los datos que figuran en las actuaciones no permiten objetar la conclusión anterior en función de una actitud consciente y deliberada de la demandante dirigida a impedir o dificultar su localización y entorpecer el proceso judicial, ni desvelan tampoco que haya tenido conocimiento extraprocesal de su existencia, o que la imposibilidad de emplazarla haya obedecido a su posible negligencia, descuido o impericia, supuestos que privarían de relevancia constitucional a la queja. Al respecto, hemos insistido en que la falta o deficiente realización del acto de comunicación tiene relevancia constitucional siempre que las situaciones de incomunicación no sean imputables a la propia conducta del afectado por haberse situado voluntaria o negligentemente al margen del proceso, pese a tener conocimiento por otros medios distintos de su existencia, si bien hemos matizado, a su vez, que la posible negligencia, descuido o impericia imputables a la parte, o el conocimiento extraprocesal de la causa judicial tramitada </w:t>
      </w:r>
      <w:r w:rsidRPr="00A90898">
        <w:rPr>
          <w:i/>
        </w:rPr>
        <w:t>inaudita parte</w:t>
      </w:r>
      <w:r>
        <w:t>,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(por todas, STC 30/2014, de 24 de febrero, FJ 3, y las allí citadas).</w:t>
      </w:r>
    </w:p>
    <w:p w:rsidR="00A90898" w:rsidRDefault="00A90898" w:rsidP="00A90898">
      <w:pPr>
        <w:pStyle w:val="TextoNormal"/>
      </w:pPr>
    </w:p>
    <w:p w:rsidR="00A90898" w:rsidRDefault="00A90898" w:rsidP="00A90898">
      <w:pPr>
        <w:pStyle w:val="TextoNormal"/>
      </w:pPr>
      <w:r>
        <w:t>En el presente caso, tanto en el escrito que promovió la nulidad de actuaciones como en la demanda de amparo se afirma el desconocimiento de la existencia del proceso. Ello motivó que en fecha 6 de febrero de 2015 se personara en el Juzgado el administrador de la sociedad, a quien se le entregó el Auto despachando ejecución y otras resoluciones, como el requerimiento de pago. Frente a esta alegación, el órgano judicial nada dice. Resuelve con otros parámetros de juicio, oponiendo únicamente el hecho cierto del domicilio que constaba en la escritura original y en la sucesiva de novación de la hipoteca; circunstancia que, como es patente, no acredita un conocimiento extraprocesal del procedimiento, que el órgano judicial tampoco declara, y sobre todo no excusa, en lo que importa, la actuación judicial antes de la comparecencia de 6 de febrero de 2015, al incumplir abiertamente los mandatos de la ley y de nuestra jurisprudencia, ni menos aún, si cabe, puede explicarla después de aquella fecha, cuando la recurrente puso de manifiesto su desconocimiento del proceso.</w:t>
      </w:r>
    </w:p>
    <w:p w:rsidR="00A90898" w:rsidRDefault="00A90898" w:rsidP="00A90898">
      <w:pPr>
        <w:pStyle w:val="TextoNormal"/>
      </w:pPr>
    </w:p>
    <w:p w:rsidR="00A90898" w:rsidRDefault="00A90898" w:rsidP="00A90898">
      <w:pPr>
        <w:pStyle w:val="TextoNormal"/>
      </w:pPr>
      <w:r>
        <w:t>Como con acierto señala el Ministerio Fiscal, no se discute que en la escritura de constitución de préstamo hipotecario se fijase un domicilio de la sociedad, para notificaciones y requerimientos, que coincidía con el que en aquellos momentos era el domicilio social debidamente inscrito, ni tampoco que fuera en esa sede donde se intentó la notificación personal y no se pudo llevar a efecto, haciéndose constar, por manifestaciones de terceros, que no residía allí la ejecutada. No está a debate tampoco, a los efectos que nos ocupan, que la entidad bancaria ejecutante fuera conocedora o no de dicha situación, como por igual no otorgamos relevancia alguna al hecho de que, incluso antes del intento de la citación personal, el Banco Popular Español S.A., ya hubiere solicitado del órgano judicial que se acudiera automáticamente al requerimiento por edictos, como se desprende de las actuaciones (folios núm. 156 y 157). Lo verdaderamente decisivo desde la perspectiva constitucional, redundamos para concluir, reside en la actuación del órgano judicial, al que le venía impuesto, una vez fracasado el intento de citación personal en el domicilio que constaba en la escritura de préstamo, averiguar, dirigiéndose al Registro oficial y público, la vigencia actual, en ese momento, en el año 2014, del domicilio social, lo que no hizo. Una pasividad que se mantuvo cuando, antes de la celebración de la subasta señalada para dos semanas después, con la comparecencia de 6 de febrero de 2015 y con el posterior escrito de nulidad, de 10 de febrero de 2015, declinó ejecutar cualquier diligencia dirigida a dar satisfacción a las garantías del derecho de defensa y acceso al proceso (art. 24.1 CE), consumando la lesión.</w:t>
      </w:r>
    </w:p>
    <w:p w:rsidR="00A90898" w:rsidRDefault="00A90898" w:rsidP="00A90898">
      <w:pPr>
        <w:pStyle w:val="TextoNormal"/>
      </w:pPr>
    </w:p>
    <w:p w:rsidR="00A90898" w:rsidRDefault="00A90898" w:rsidP="00A90898">
      <w:pPr>
        <w:pStyle w:val="TextoNormal"/>
      </w:pPr>
      <w:r w:rsidRPr="00A90898">
        <w:rPr>
          <w:rStyle w:val="NumeroAFNegritaCaracter"/>
        </w:rPr>
        <w:t>7</w:t>
      </w:r>
      <w:r>
        <w:t>. Los razonamientos anteriores, de conformidad con lo dispuesto en el art. 55.1 LOTC, conducen a otorgar el amparo, declarando la nulidad del Auto impugnado y retrotrayendo las actuaciones al momento anterior al requerimiento de pago a la sociedad demandada para que se le comunique en legal forma el despacho de ejecución.</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Estimar el recurso de amparo interpuesto por Sporafrik, S.L., y, en su virtud:</w:t>
      </w:r>
    </w:p>
    <w:p w:rsidR="00A90898" w:rsidRDefault="00A90898" w:rsidP="00A90898">
      <w:pPr>
        <w:pStyle w:val="TextoNormal"/>
      </w:pPr>
    </w:p>
    <w:p w:rsidR="00A90898" w:rsidRDefault="00A90898" w:rsidP="00A90898">
      <w:pPr>
        <w:pStyle w:val="TextoNormal"/>
      </w:pPr>
      <w:r>
        <w:t>1º Declarar que ha sido vulnerado el derecho fundamental de la demandante de amparo a la tutela judicial efectiva sin indefensión (art. 24.1 CE).</w:t>
      </w:r>
    </w:p>
    <w:p w:rsidR="00A90898" w:rsidRDefault="00A90898" w:rsidP="00A90898">
      <w:pPr>
        <w:pStyle w:val="TextoNormal"/>
      </w:pPr>
    </w:p>
    <w:p w:rsidR="00A90898" w:rsidRDefault="00A90898" w:rsidP="00A90898">
      <w:pPr>
        <w:pStyle w:val="TextoNormal"/>
      </w:pPr>
      <w:r>
        <w:t>2º Restablecerle en su derecho y, en consecuencia, declarar la nulidad del Auto de 24 de junio de 2015 dictado por el Juzgado de Primera Instancia núm. 2 de Orihuela, que desestimó la solicitud de nulidad de actuaciones promovida en el procedimiento de ejecución hipotecaria núm. 175-2014, así como de las actuaciones sucesivas derivadas sobre los bienes objeto del mismo.</w:t>
      </w:r>
    </w:p>
    <w:p w:rsidR="00A90898" w:rsidRDefault="00A90898" w:rsidP="00A90898">
      <w:pPr>
        <w:pStyle w:val="TextoNormal"/>
      </w:pPr>
    </w:p>
    <w:p w:rsidR="00A90898" w:rsidRDefault="00A90898" w:rsidP="00A90898">
      <w:pPr>
        <w:pStyle w:val="TextoNormal"/>
      </w:pPr>
      <w:r>
        <w:t>3º Retrotraer las actuaciones al momento inmediatamente anterior al requerimiento de pago a la demandada para que se le comunique el despacho de ejecución en legal forma.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veintiocho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0" w:name="SENTENCIA_2016_201"/>
      <w:r>
        <w:lastRenderedPageBreak/>
        <w:t>SENTENCIA 201/2016, de 28 de noviembre de 2016</w:t>
      </w:r>
    </w:p>
    <w:bookmarkEnd w:id="80"/>
    <w:p w:rsidR="00A90898" w:rsidRDefault="00A90898" w:rsidP="00A90898">
      <w:pPr>
        <w:pStyle w:val="TtuloResolucin"/>
      </w:pPr>
      <w:r>
        <w:t>Sala Segunda</w:t>
      </w:r>
    </w:p>
    <w:p w:rsidR="00A90898" w:rsidRDefault="00A90898" w:rsidP="00A90898">
      <w:pPr>
        <w:pStyle w:val="TtuloBOE"/>
      </w:pPr>
      <w:r>
        <w:t>(BOE núm. 7, de 9 de enero de 2017)</w:t>
      </w:r>
    </w:p>
    <w:p w:rsidR="00A90898" w:rsidRDefault="00A90898" w:rsidP="00A90898">
      <w:pPr>
        <w:pStyle w:val="TextoNormalCentrado"/>
      </w:pPr>
      <w:r>
        <w:t>ECLI:ES:TC:2016:201</w:t>
      </w:r>
    </w:p>
    <w:p w:rsidR="00A90898" w:rsidRDefault="00A90898" w:rsidP="00A90898">
      <w:pPr>
        <w:pStyle w:val="TextoNormalCentrado"/>
      </w:pPr>
    </w:p>
    <w:p w:rsidR="00A90898" w:rsidRDefault="00A90898" w:rsidP="00A90898">
      <w:pPr>
        <w:pStyle w:val="SntesisDescriptiva"/>
      </w:pPr>
      <w:r>
        <w:t>Recurso de amparo 201-2016. Promovido por don Abdelmajij Bilal, en calidad de tutor legal de don Z.B., en relación con las resoluciones de la Subdelegación del Gobierno en Barcelona que acordaron la salida del territorio nacional, y las Sentencias del Tribunal Superior de Justicia de Cataluña y un Juzgado de lo Contencioso-Administrativo de Barcelona que desestimaron su impugnación.</w:t>
      </w:r>
    </w:p>
    <w:p w:rsidR="00A90898" w:rsidRDefault="00A90898" w:rsidP="00A90898">
      <w:pPr>
        <w:pStyle w:val="SntesisDescriptiva"/>
      </w:pPr>
    </w:p>
    <w:p w:rsidR="00A90898" w:rsidRDefault="00A90898" w:rsidP="00A90898">
      <w:pPr>
        <w:pStyle w:val="SntesisAnaltica"/>
      </w:pPr>
      <w:r>
        <w:t>Vulneración del derecho a la tutela judicial: resoluciones administrativa y judicial que no ponderan las circunstancias familiares y de arraigo al acordar la expulsión de un extranjero del territorio nacional (STC 131/2016).</w:t>
      </w:r>
    </w:p>
    <w:p w:rsidR="00A90898" w:rsidRDefault="00A90898" w:rsidP="00A90898">
      <w:pPr>
        <w:pStyle w:val="SntesisAnaltica"/>
      </w:pPr>
    </w:p>
    <w:p w:rsidR="00A90898" w:rsidRDefault="00A90898" w:rsidP="00A90898">
      <w:pPr>
        <w:pStyle w:val="Extracto"/>
      </w:pPr>
      <w:r>
        <w:t>1.</w:t>
      </w:r>
      <w:r>
        <w:tab/>
        <w:t>Las resoluciones administrativas que no tienen carácter sancionador, como son las impugnadas en este caso, no pueden vulnerar el art. 24 CE pero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(STC 46/2014) [FJ 4].</w:t>
      </w:r>
    </w:p>
    <w:p w:rsidR="00A90898" w:rsidRDefault="00A90898" w:rsidP="00A90898">
      <w:pPr>
        <w:pStyle w:val="Extracto"/>
      </w:pPr>
    </w:p>
    <w:p w:rsidR="00A90898" w:rsidRDefault="00A90898" w:rsidP="00A90898">
      <w:pPr>
        <w:pStyle w:val="Extracto"/>
      </w:pPr>
      <w:r>
        <w:t>2.</w:t>
      </w:r>
      <w:r>
        <w:tab/>
        <w:t>Aunque la expulsión acordada no tenía naturaleza sancionadora, esa calificación jurídica no eximía de ponderar las circunstancias del recurrente y, de este modo, el incumplimiento del deber de motivación verificado en sede administrativa se convirtió, ya en sede judicial, en verdadera lesión del derecho a la tutela judicial efectiva [FJ 4].</w:t>
      </w:r>
    </w:p>
    <w:p w:rsidR="00A90898" w:rsidRDefault="00A90898" w:rsidP="00A90898">
      <w:pPr>
        <w:pStyle w:val="Extracto"/>
      </w:pPr>
    </w:p>
    <w:p w:rsidR="00A90898" w:rsidRDefault="00A90898" w:rsidP="00A90898">
      <w:pPr>
        <w:pStyle w:val="Extracto"/>
      </w:pPr>
      <w:r>
        <w:t>3.</w:t>
      </w:r>
      <w:r>
        <w:tab/>
        <w:t xml:space="preserve">Las resoluciones administrativas impugnadas no cumplieron con el deber de motivación que pesa sobre la Administración: el recurrente no sólo había puesto de manifiesto circunstancias personales y familiares determinantes de un singular arraigo en España; también había introducido en el acervo probatorio elementos indicativos de una situación de especial vulnerabilidad. Sin embargo, ni ésta ni ninguna otra de las singularidades del asunto fueron específicamente valoradas por las resoluciones administrativas dictadas, que dedican a las circunstancias del actor cláusulas desestimatorias puramente formularias, inhábiles por sí mismas para expresar una auténtica ponderación </w:t>
      </w:r>
      <w:r w:rsidRPr="00A90898">
        <w:rPr>
          <w:i/>
        </w:rPr>
        <w:t xml:space="preserve">ad casum </w:t>
      </w:r>
      <w:r>
        <w:t>[FJ 4].</w:t>
      </w:r>
    </w:p>
    <w:p w:rsidR="00A90898" w:rsidRDefault="00A90898" w:rsidP="00A90898">
      <w:pPr>
        <w:pStyle w:val="Extracto"/>
      </w:pPr>
    </w:p>
    <w:p w:rsidR="00A90898" w:rsidRDefault="00A90898" w:rsidP="00A90898">
      <w:pPr>
        <w:pStyle w:val="Extracto"/>
      </w:pPr>
      <w:r>
        <w:t>4.</w:t>
      </w:r>
      <w:r>
        <w:tab/>
        <w:t>La argumentación proporcionada por las resoluciones judiciales impugnadas, que excluye la ponderación de las circunstancias personales y familiares del recurrente porque la normativa sobre extranjería aplicada no contempla una sanción, no puede ser aceptada pues al estar en juego, asociados a derechos fundamentales  -como los contemplados en los arts. 18.1 y 24.2 CE-, una pluralidad de intereses constitucionales como el de protección social, económica y jurídica de la familia (art. 39.1 CE), es preciso en todo caso ponderar las circunstancias de cada supuesto y tener en cuenta la gravedad de los hechos (SSTC 46/2014 y 131/2016) [FJ 3].</w:t>
      </w:r>
    </w:p>
    <w:p w:rsidR="00A90898" w:rsidRDefault="00A90898" w:rsidP="00A90898">
      <w:pPr>
        <w:pStyle w:val="Extracto"/>
      </w:pPr>
    </w:p>
    <w:p w:rsidR="00A90898" w:rsidRDefault="00A90898" w:rsidP="00A90898">
      <w:pPr>
        <w:pStyle w:val="Extracto"/>
      </w:pPr>
      <w:r>
        <w:t>5.</w:t>
      </w:r>
      <w:r>
        <w:tab/>
        <w:t>Procede la retroacción de actuaciones al momento inmediatamente anterior al de dictarse la Sentencia para que el órgano judicial dicte una nueva resolución respetuosa con el derecho fundamental del actor, en la que valore de manera específica las concretas circunstancias personales y familiares alegadas por éste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201-2016, promovido por don Abdelmajij Bilal, en su calidad de tutor legal de don Z. B., representado por la Procuradora de los Tribunales doña Raquel Gracia Moneva y asistido por el Abogado don David Puig Ges, contra la Sentencia de la Sala de lo Contencioso-Administrativo (Sección Segunda) del Tribunal Superior de Justicia de Cataluña de 11 de diciembre de 2015, dictada en el recurso de apelación núm. 168-2015, desestimatoria del recurso interpuesto contra la Sentencia del Juzgado de lo Contencioso-Administrativo núm. 8 de Barcelona de 24 de noviembre de 2014, recaída en el procedimiento abreviado núm. 516-2013, desestimatoria del recurso contencioso administrativo presentado contra la resolución de la Subdelegación del Gobierno en Cataluña, de 15 de abril de 2014, ésta a su vez desestimatoria del recurso de reposición formalizado, en el expediente administrativo núm. 080220130004729, contra la resolución del mismo órgano de 8 de noviembre de 2013. Ha sido parte la Abogada del Estado, en la representación que ostenta, y ha intervenido el Ministerio Fiscal.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día 14 de enero de 2016, la Procuradora de los Tribunales doña Raquel Gracia Moneva, en nombre y representación de don Abdelmajil Bilal, en su calidad de tutor legal de don Z. B., interpuso recurso de amparo contra las resoluciones judiciales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que dan lugar al presente recurso de amparo son, sucintamente expuestos, los siguientes:</w:t>
      </w:r>
    </w:p>
    <w:p w:rsidR="00A90898" w:rsidRDefault="00A90898" w:rsidP="00A90898">
      <w:pPr>
        <w:pStyle w:val="TextoNormal"/>
      </w:pPr>
    </w:p>
    <w:p w:rsidR="00A90898" w:rsidRDefault="00A90898" w:rsidP="00A90898">
      <w:pPr>
        <w:pStyle w:val="TextoNormal"/>
      </w:pPr>
      <w:r>
        <w:t xml:space="preserve">a) Mediante decreto de 8 de noviembre de 2013, la Subdelegación del Gobierno en Barcelona resolvió, al amparo del art. 57.2 de la Ley Orgánica sobre derechos y libertades de </w:t>
      </w:r>
      <w:r>
        <w:lastRenderedPageBreak/>
        <w:t>los extranjeros en España y su integración social (LOEx), “la expulsión del territorio nacional de [Z. B.] de nacionalidad marroquí, prohibiéndosele la entrada en España por un período de 5 años, a contar desde la fecha en que se lleve a efecto la expulsión, así como la extinción de la autorización de residencia que tiene concedida”. En la referida resolución se afirma que el recurrente de amparo “ha sido condenado por conducta dolosa que constituye en nuestro país delito sancionado con una pena privativa de libertad superior a un año” y se añade acto seguido que “[l]as alegaciones formuladas por el interesado en el procedimiento tramitado no han desvirtuado los hechos antes indicados ya que no consta que los antecedentes penales hayan sido cancelados respondiendo los mismos a una conducta del interesado que representa una amenaza real y suficientemente grave para el orden público y la seguridad pública”. La resolución añade que “[e]n la instrucción del expediente de expulsión se ha tomado en consideración los elementos siguientes: la permanencia en territorio español, la edad de la persona implicada, las consecuencias para él y para los miembros de su familia y los vínculos con el país de residencia o la ausencia de vínculos con el país de origen”.</w:t>
      </w:r>
    </w:p>
    <w:p w:rsidR="00A90898" w:rsidRDefault="00A90898" w:rsidP="00A90898">
      <w:pPr>
        <w:pStyle w:val="TextoNormal"/>
      </w:pPr>
    </w:p>
    <w:p w:rsidR="00A90898" w:rsidRDefault="00A90898" w:rsidP="00A90898">
      <w:pPr>
        <w:pStyle w:val="TextoNormal"/>
      </w:pPr>
      <w:r>
        <w:t>En el seno del expediente administrativo, el actor había presentado un escrito de fecha 14 de septiembre de 2013, en el que alegaba, en lo que interesa al presente recurso de amparo, que era residente de larga duración, que vivía en España desde hacía veinte años, que no contaba con vínculo alguno con su país de origen, que tenía residencia fija y estable en Vic, donde se encontraba empadronado con su familia, que su padre, madre y hermanos tenían la nacionalidad española y que sufría una enfermedad mental que le impedía gobernarse por sí mismo, razón por la que había sido civilmente incapacitado y estaba sujeto a la tutela de su hermano.</w:t>
      </w:r>
    </w:p>
    <w:p w:rsidR="00A90898" w:rsidRDefault="00A90898" w:rsidP="00A90898">
      <w:pPr>
        <w:pStyle w:val="TextoNormal"/>
      </w:pPr>
    </w:p>
    <w:p w:rsidR="00A90898" w:rsidRDefault="00A90898" w:rsidP="00A90898">
      <w:pPr>
        <w:pStyle w:val="TextoNormal"/>
      </w:pPr>
      <w:r>
        <w:t>b) Frente a la resolución indicada, el interesado presentó recurso potestativo de reposición reiterando “las alegaciones en su día vertidas en nuestro escrito de fecha 14 de septiembre de 2013”, reproduciéndolas de forma literal. Dicho recurso fue desestimado por la Subdelegación de Gobierno en decreto de 15 de abril de 2014 con la siguiente argumentación: “las alegaciones que formula [el interesado] en el recurso interpuesto no desvirtúan los hechos imputados, ya que no consta que los antecedentes penales hayan sido cancelados, los cuales responden a una conducta del interesado que representa una amenaza real y suficientemente grave para el orden público o la seguridad pública”. Se añade que “[e]n la resolución del presente recurso potestativo de reposición se han tenido en consideración los elementos siguientes: la permanencia en territorio español, la edad de la persona implicada, las consecuencias para él y para los miembros de su familia y los vínculos con el país de residencia o la ausencia de vínculos con el país de origen”. Señala, finamente, el decreto de expulsión que “[e]l principio de proporcionalidad debe entenderse respetado al haberse tenido en cuenta el período de prohibición de entrada impuesto”.</w:t>
      </w:r>
    </w:p>
    <w:p w:rsidR="00A90898" w:rsidRDefault="00A90898" w:rsidP="00A90898">
      <w:pPr>
        <w:pStyle w:val="TextoNormal"/>
      </w:pPr>
    </w:p>
    <w:p w:rsidR="00A90898" w:rsidRDefault="00A90898" w:rsidP="00A90898">
      <w:pPr>
        <w:pStyle w:val="TextoNormal"/>
      </w:pPr>
      <w:r>
        <w:t>c) Antes de que recayera la resolución del mencionado recurso de reposición, y ante la expiración del plazo previsto para resolver el mismo, el actor presentó, en fecha 23 de diciembre de 2013, demanda contencioso-administrativa ante el Decanato de los Juzgados de Barcelona, demanda que fue turnada al Juzgado de lo Contencioso-Administrativo núm. 8 de dicha ciudad, dando lugar al procedimiento abreviado núm. 516-2013.</w:t>
      </w:r>
    </w:p>
    <w:p w:rsidR="00A90898" w:rsidRDefault="00A90898" w:rsidP="00A90898">
      <w:pPr>
        <w:pStyle w:val="TextoNormal"/>
      </w:pPr>
    </w:p>
    <w:p w:rsidR="00A90898" w:rsidRDefault="00A90898" w:rsidP="00A90898">
      <w:pPr>
        <w:pStyle w:val="TextoNormal"/>
      </w:pPr>
      <w:r>
        <w:lastRenderedPageBreak/>
        <w:t>En dicha demanda, el actor afirmaba que había alegado “a lo largo de todo el procedimiento administrativo que la expulsión fundamentada en el art. 57.2 LOEx, cual es el presente caso, no podía aplicarse de forma automática cuando afecta a residentes de larga duración” y que resultaba imprescindible “la ponderación de las circunstancias concurrentes en cada caso (especialmente tomándose en consideración el arraigo existente) así como la existencia o no de una amenaza grave y actual para el orden público y la seguridad nacional, pues no olvidemos que además nos hallamos frente a un residente de larga duración”. Con esta premisa, el recurrente sostenía que las resoluciones impugnadas no habían especificado en modo alguno la amenaza que suponía para el orden público “habida cuenta de que sólo consta un único antecedente judicial en el expediente (del cual ni siquiera conocemos a qué hechos y circunstancias se refiere)”. Añadía el actor que “en el expediente no se ha realizado (cuando resulta imperativo) siquiera un examen sobre la existencia o no de una amenaza”, y mucho menos sobre su carácter “grave” y “actual”. De otro lado, la Administración tampoco había ponderado la situación personal y familiar del recurrente, en particular su residencia fija y estable en España desde hacía veinte años (conviviendo con su hermano y tutor en Vic), la ausencia de vínculo alguno con su país de origen, la nacionalidad española de sus familiares directos (aportándose copia del DNI de cada uno de ellos) y su afiliación a la seguridad social (teniendo el actor cotizados cuatro años y siendo beneficiario de una prestación por incapacidad permanente reconocida por el Instituto Nacional de la Seguridad Social).</w:t>
      </w:r>
    </w:p>
    <w:p w:rsidR="00A90898" w:rsidRDefault="00A90898" w:rsidP="00A90898">
      <w:pPr>
        <w:pStyle w:val="TextoNormal"/>
      </w:pPr>
    </w:p>
    <w:p w:rsidR="00A90898" w:rsidRDefault="00A90898" w:rsidP="00A90898">
      <w:pPr>
        <w:pStyle w:val="TextoNormal"/>
      </w:pPr>
      <w:r>
        <w:t>Por último, la demanda hacía hincapié en la enfermedad mental del recurrente, como circunstancia que le hacía depender enteramente de su familia, en especial de su hermano y tutor legal. Concluía, por ello, que se trataba de una persona especialmente vulnerable, cuya incapacidad para gobernarse por sí misma había sido judicialmente reconocida en la vía civil, circunstancia que tampoco había sido ponderada por la Administración. El actor adjuntaba a la demanda diversa documentación, que incluía la copia de la Sentencia de incapacitación y de la resolución del Instituto Nacional de la Seguridad Social relativa a la incapacidad absoluta, así como los documentos de identidad y certificados de empadronamiento de sus familiares y los documentos relativos al arraigo del tutor, en especial la certificación de que éste contaba con un contrato de trabajo indefinido.</w:t>
      </w:r>
    </w:p>
    <w:p w:rsidR="00A90898" w:rsidRDefault="00A90898" w:rsidP="00A90898">
      <w:pPr>
        <w:pStyle w:val="TextoNormal"/>
      </w:pPr>
    </w:p>
    <w:p w:rsidR="00A90898" w:rsidRDefault="00A90898" w:rsidP="00A90898">
      <w:pPr>
        <w:pStyle w:val="TextoNormal"/>
      </w:pPr>
      <w:r>
        <w:t>d) En fecha 27 de febrero de 2014 el Juzgado dictó Auto acordando, como medida cautelar, la suspensión de la ejecutividad del decreto de expulsión, Asimismo, mediante escrito de 7 de mayo de 2014, el demandante solicitó la ampliación de la demanda a la resolución expresa desestimatoria del recurso de reposición, dictada por la Subdelegación del Gobierno en fecha 15 de abril de 2014, ampliación que fue admitida sin oposición en Auto de 27 de mayo de 2014.</w:t>
      </w:r>
    </w:p>
    <w:p w:rsidR="00A90898" w:rsidRDefault="00A90898" w:rsidP="00A90898">
      <w:pPr>
        <w:pStyle w:val="TextoNormal"/>
      </w:pPr>
    </w:p>
    <w:p w:rsidR="00A90898" w:rsidRDefault="00A90898" w:rsidP="00A90898">
      <w:pPr>
        <w:pStyle w:val="TextoNormal"/>
      </w:pPr>
      <w:r>
        <w:t xml:space="preserve">e) En fecha 24 de noviembre de 2014, el Juzgado dictó Sentencia desestimatoria del recurso contencioso-administrativo. En dicha resolución se constata, de un lado, “que consta en autos (certificado del registro central de penados, expedido en fecha 4 de octubre de 2013 –folios 115 a 117 del expediente administrativo—) las condenas a varios años de prisión por delitos dolosos varios (destacan los delitos de lesiones, robo con violencia o intimidación, robo con fuerza en las cosas, que suman sólo los mencionados penas de prisión de más de 7 años … sin que dichos antecedentes figuren cancelados (ni se aporta por la parte recurrente solicitud de cancelación de los mismos)”. Para el órgano judicial esta base documental es suficiente para subsumir los hechos en la causa de expulsión prevista en el art. 57.2 </w:t>
      </w:r>
      <w:r>
        <w:lastRenderedPageBreak/>
        <w:t>LOEx, aplicable al extranjero que haya sido condenado “por conducta dolosa que constituya en nuestro país delito sancionado con pena privativa de libertad superior a un año, salvo que los antecedentes penales hubieran sido cancelados”.</w:t>
      </w:r>
    </w:p>
    <w:p w:rsidR="00A90898" w:rsidRDefault="00A90898" w:rsidP="00A90898">
      <w:pPr>
        <w:pStyle w:val="TextoNormal"/>
      </w:pPr>
    </w:p>
    <w:p w:rsidR="00A90898" w:rsidRDefault="00A90898" w:rsidP="00A90898">
      <w:pPr>
        <w:pStyle w:val="TextoNormal"/>
      </w:pPr>
      <w:r>
        <w:t xml:space="preserve">El Juzgado argumenta en su resolución que la Sala de lo Contencioso Administrativo (Sección Segunda) del Tribunal Superior de Justicia de Cataluña ha cambiado en varias Sentencias del año 2014 su criterio interpretativo sobre los presupuestos de aplicación del citado art. 57.2 LOEx, retomando “aquella doctrina inicial … conforme a la cual no procede la valoración de las circunstancias de arraigo en el supuesto de expulsión del art. 57.2 de la Ley Orgánica incluso tratándose de residentes de larga duración”. Por ello, aunque “en el supuesto de autos viene acreditada la residencia de larga duración del recurrente en España … resulta de aplicación la vigente doctrina … que acaba de reproducirse”. De este modo, “al no tratarse la expulsión </w:t>
      </w:r>
      <w:r w:rsidRPr="00A90898">
        <w:rPr>
          <w:i/>
        </w:rPr>
        <w:t>ex</w:t>
      </w:r>
      <w:r>
        <w:t xml:space="preserve"> art. 57.2 de la Ley Orgánica 4/2000 de una sanción”, no resulta necesaria la ponderación de las circunstancias personales del actor.</w:t>
      </w:r>
    </w:p>
    <w:p w:rsidR="00A90898" w:rsidRDefault="00A90898" w:rsidP="00A90898">
      <w:pPr>
        <w:pStyle w:val="TextoNormal"/>
      </w:pPr>
    </w:p>
    <w:p w:rsidR="00A90898" w:rsidRDefault="00A90898" w:rsidP="00A90898">
      <w:pPr>
        <w:pStyle w:val="TextoNormal"/>
      </w:pPr>
      <w:r>
        <w:t>f) En fecha 29 de diciembre de 2014 tuvo entrada en el Juzgado el escrito de interposición del recurso de apelación del demandante, en el que reitera, en lo que a este recurso de amparo interesa, que era obligatoria la ponderación de sus circunstancias personales y familiares. La Sala de lo Contencioso-Administrativo (Sección Segunda) del Tribunal Superior de Justicia de Cataluña dictó Sentencia desestimatoria de dicho recurso en fecha 11 de diciembre de 2015.</w:t>
      </w:r>
    </w:p>
    <w:p w:rsidR="00A90898" w:rsidRDefault="00A90898" w:rsidP="00A90898">
      <w:pPr>
        <w:pStyle w:val="TextoNormal"/>
      </w:pPr>
    </w:p>
    <w:p w:rsidR="00A90898" w:rsidRDefault="00A90898" w:rsidP="00A90898">
      <w:pPr>
        <w:pStyle w:val="TextoNormal"/>
      </w:pPr>
      <w:r>
        <w:t>Para la Sala, resulta decisivo que la resolución administrativa que acuerda la expulsión del territorio nacional se fundamente en lo previsto en el art. 57.2 LOEx, pues tal precepto no contempla un supuesto de “sanción” de expulsión sino una “consecuencia legal asociada a la imposición de la pena privativa de libertad”. Para fundar este criterio, cita la STC 236/2007, de 7 de noviembre, según la cual “la ley de extranjería subordin[a] el derecho a residir en España al cumplimiento de determinadas condiciones, como la de no haber cometido delitos de cierta entidad”. La comisión de un delito doloso castigado con pena de prisión superior a un año evidencia, por ello, el incumplimiento sobrevenido de las condiciones en las que se asienta la concesión del permiso de residencia, lo que determina que la revocación de dicho permiso y la expulsión del extranjero titular del mismo sean imperativas. Esta naturaleza jurídica no sancionadora hace, según se razona, que no sean aplicables al supuesto del art. 57.2 LOEx las previsiones legales relativas a la ponderación de las circunstancias reseñadas en el art. 57.5 b) de la misma ley, que son exclusivamente aplicables a la “sanción de expulsión”. Con estos argumentos, la Sala confirma la Sentencia de instancia, desestimatoria del recurso contencioso-administrativo.</w:t>
      </w:r>
    </w:p>
    <w:p w:rsidR="00A90898" w:rsidRDefault="00A90898" w:rsidP="00A90898">
      <w:pPr>
        <w:pStyle w:val="TextoNormal"/>
      </w:pPr>
    </w:p>
    <w:p w:rsidR="00A90898" w:rsidRDefault="00A90898" w:rsidP="00A90898">
      <w:pPr>
        <w:pStyle w:val="TextoNormal"/>
      </w:pPr>
      <w:r w:rsidRPr="00A90898">
        <w:rPr>
          <w:rStyle w:val="NumeroAFNegritaCaracter"/>
        </w:rPr>
        <w:t>3</w:t>
      </w:r>
      <w:r>
        <w:t>. El recurrente, persona civilmente incapacitada que actúa a través de su representante legal, plantea en la demanda los siguientes motivos de amparo:</w:t>
      </w:r>
    </w:p>
    <w:p w:rsidR="00A90898" w:rsidRDefault="00A90898" w:rsidP="00A90898">
      <w:pPr>
        <w:pStyle w:val="TextoNormal"/>
      </w:pPr>
    </w:p>
    <w:p w:rsidR="00A90898" w:rsidRDefault="00A90898" w:rsidP="00A90898">
      <w:pPr>
        <w:pStyle w:val="TextoNormal"/>
      </w:pPr>
      <w:r>
        <w:t>a) Se alega, en primer lugar, la vulneración del derecho a la tutela judicial efectiva (art. 24.1 CE). El demandante señala que, dado su estatus de “residente de larga duración”, la fundamentación de la decisión relativa a la expulsión del territorio nacional debía contener la “necesaria ponderación” de las “circunstancias personales, el arraigo y la proporcionalidad”. Con este presupuesto, entiende que las resoluciones impugnadas incurren en dos graves defectos determinantes de la lesión del citado derecho fundamental:</w:t>
      </w:r>
    </w:p>
    <w:p w:rsidR="00A90898" w:rsidRDefault="00A90898" w:rsidP="00A90898">
      <w:pPr>
        <w:pStyle w:val="TextoNormal"/>
      </w:pPr>
    </w:p>
    <w:p w:rsidR="00A90898" w:rsidRDefault="00A90898" w:rsidP="00A90898">
      <w:pPr>
        <w:pStyle w:val="TextoNormal"/>
      </w:pPr>
      <w:r>
        <w:lastRenderedPageBreak/>
        <w:t>(i) De un lado, las resoluciones impugnadas no concretan cuál es el peligro que el actor representa para el orden público y la seguridad nacional; ni siquiera justifican, según se afirma en la demanda, si la amenaza “es grave y actual, tal y como exige de forma meridianamente clara tanto la Ley como la jurisprudencia en materia de expulsiones de residentes de larga duración”. De hecho, se alega que en las actuaciones no figura la sentencia condenatoria dictada en el ámbito del orden penal por lo que resulta “materialmente imposible … efectuar tal ponderación ni mucho menos efectuar un juicio de proporcionalidad con el arraigo y restantes circunstancias personales”.</w:t>
      </w:r>
    </w:p>
    <w:p w:rsidR="00A90898" w:rsidRDefault="00A90898" w:rsidP="00A90898">
      <w:pPr>
        <w:pStyle w:val="TextoNormal"/>
      </w:pPr>
    </w:p>
    <w:p w:rsidR="00A90898" w:rsidRDefault="00A90898" w:rsidP="00A90898">
      <w:pPr>
        <w:pStyle w:val="TextoNormal"/>
      </w:pPr>
      <w:r>
        <w:t>(ii) De otro lado, el actor considera que “nunca (ni en vía administrativa ni tampoco en vía judicial) se ha dado respuesta al hecho de que el expulsado es una persona incapaz sobre la que hay judicialmente establecida una institución de protección de la persona como la tutela”. Añade el recurrente que “esa falta de respuesta supone una falta de motivación (en un aspecto esencial) de los actos administrativos, máxime cuando nos encontramos frente a una medida tan drástica como la expulsión de una persona con las capacidades intelectivas y volitivas mermadas, incapaz de gobernarse y que no puede valerse por sí misma”. Se da, además, la circunstancia de que el recurrente de amparo carece de todo vínculo con su país de origen por lo que la expulsión le causaría “una especial situación de desamparo y desprotección, con consecuencias gravísimas para su salud y su integridad”. En este punto, el actor estima que la ausencia de respuesta a esta concreta alegación supone no sólo un defecto de motivación sino también una auténtica incongruencia omisiva. La falta de ponderación de la peculiar situación personal del recurrente —en particular de su condición de persona civilmente incapacitada— determina la violación del art. 24.1 CE tanto desde la óptica del derecho a una resolución motivada como desde la perspectiva del derecho a obtener una resolución congruente con las pretensiones formuladas.</w:t>
      </w:r>
    </w:p>
    <w:p w:rsidR="00A90898" w:rsidRDefault="00A90898" w:rsidP="00A90898">
      <w:pPr>
        <w:pStyle w:val="TextoNormal"/>
      </w:pPr>
    </w:p>
    <w:p w:rsidR="00A90898" w:rsidRDefault="00A90898" w:rsidP="00A90898">
      <w:pPr>
        <w:pStyle w:val="TextoNormal"/>
      </w:pPr>
      <w:r>
        <w:t>b) Se plantea, asimismo, la vulneración del derecho a una vida digna y a la integridad en relación con la dignidad de la persona (arts. 10, 15 y 49 CE), así como del derecho a la intimidad personal y familiar en relación con la protección social y económica de la familia (arts. 18, 39 y 49 CE). También en este caso la lesión procedería de la ausencia de una fundamentación de la decisión de expulsión acorde con la condición del actor de “incapacitado civilmente”. La demanda afirma que la decisión de expulsión supone, en este supuesto, “no solo una desmembración de la familia (toda ella española, como se ha acreditado) sino también … la separación de un tutor con su tutelado … causando una auténtica situación de desprotección para el incapaz que se ve expulsado a un país completamente ajeno a él”. Los incapacitados, argumenta el demandante, son un colectivo especialmente vulnerable, por lo que la decisión de expulsión que no pondera la situación de desproporción que genera supone “una medida enteramente desproporcional (sic)” contraria al derecho a una “vida digna”, a la integridad, a la intimidad personal y familiar y “a otros principios y preceptos del ordenamiento”.</w:t>
      </w:r>
    </w:p>
    <w:p w:rsidR="00A90898" w:rsidRDefault="00A90898" w:rsidP="00A90898">
      <w:pPr>
        <w:pStyle w:val="TextoNormal"/>
      </w:pPr>
    </w:p>
    <w:p w:rsidR="00A90898" w:rsidRDefault="00A90898" w:rsidP="00A90898">
      <w:pPr>
        <w:pStyle w:val="TextoNormal"/>
      </w:pPr>
      <w:r>
        <w:t>Finalmente, y por medio de otrosí, el actor solicita en su demanda la suspensión de la ejecución de la medida de expulsión, cuya ejecución le produciría perjuicios de difícil reparación que privarían al amparo de efectividad en el caso de eventual estimación, teniendo en cuenta su situación personal, pues se vería obligado a salir del territorio nacional, lo que supondría, de facto, dejarle en una “auténtica situación de desamparo”, al no poder contar con la protección tutelar establecida en vía civil.</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Por diligencia de ordenación de la Secretaría de Justicia de la Sala Segunda de 10 de febrero de 2016 se acordó, antes de entrar a resolver sobre la admisibilidad del recurso, dirigir atenta comunicación a la Sección Segunda de la Sala de lo Contencioso-Administrativo del Tribunal Superior de Justicia de Cataluña y al Juzgado de lo Contencioso-Administrativo núm. 8 de Barcelona a fin de que remitieran certificación o fotocopia adverada de las actuaciones correspondientes al rollo de apelación 168-2015 y al recurso contencioso-administrativo núm. 516-13-D, respectivamente.</w:t>
      </w:r>
    </w:p>
    <w:p w:rsidR="00A90898" w:rsidRDefault="00A90898" w:rsidP="00A90898">
      <w:pPr>
        <w:pStyle w:val="TextoNormal"/>
      </w:pPr>
    </w:p>
    <w:p w:rsidR="00A90898" w:rsidRDefault="00A90898" w:rsidP="00A90898">
      <w:pPr>
        <w:pStyle w:val="TextoNormal"/>
      </w:pPr>
      <w:r w:rsidRPr="00A90898">
        <w:rPr>
          <w:rStyle w:val="NumeroAFNegritaCaracter"/>
        </w:rPr>
        <w:t>5</w:t>
      </w:r>
      <w:r>
        <w:t>. Una vez recibidos los testimonios solicitados, la Sala Segunda acordó por providencia de 7 de junio de 2016 admitir a trámite la demanda, y, en aplicación de lo dispuesto en el art. 51 de la Ley Orgánica del Tribunal Constitucional (LOTC), dirigir atenta comunicación al Juzgado de lo Contencioso-Administrativo núm. 8 de Barcelona para que emplazara a quienes hubieran sido parte en el procedimiento, excepto a la parte recurrente en amparo, para que pudieran comparecer en plazo de diez días. La aludida providencia aclara que el recurso de amparo “ofrece especial trascendencia constitucional (art. 50.1 LOTC)” porque “puede dar ocasión al Tribunal para aclarar o cambiar su doctrina, como consecuencia de un proceso de reflexión interna [STC 155/2009, FJ 2 b)]” y porque “el asunto suscitado trasciende del caso concreto porque plantea una cuestión jurídica de relevante y general repercusión social o económica [STC 155/2009, FJ 2 g)]”.</w:t>
      </w:r>
    </w:p>
    <w:p w:rsidR="00A90898" w:rsidRDefault="00A90898" w:rsidP="00A90898">
      <w:pPr>
        <w:pStyle w:val="TextoNormal"/>
      </w:pPr>
    </w:p>
    <w:p w:rsidR="00A90898" w:rsidRDefault="00A90898" w:rsidP="00A90898">
      <w:pPr>
        <w:pStyle w:val="TextoNormal"/>
      </w:pPr>
      <w:r>
        <w:t>De conformidad con la solicitud formulada por la parte actora, la providencia también acuerda la formación de pieza separada de suspensión, en el seno de la cual se dictó Auto de 22 de junio de 2016 por el que se acuerda suspender la ejecución de la medida de expulsión impuesta al actor.</w:t>
      </w:r>
    </w:p>
    <w:p w:rsidR="00A90898" w:rsidRDefault="00A90898" w:rsidP="00A90898">
      <w:pPr>
        <w:pStyle w:val="TextoNormal"/>
      </w:pPr>
    </w:p>
    <w:p w:rsidR="00A90898" w:rsidRDefault="00A90898" w:rsidP="00A90898">
      <w:pPr>
        <w:pStyle w:val="TextoNormal"/>
      </w:pPr>
      <w:r w:rsidRPr="00A90898">
        <w:rPr>
          <w:rStyle w:val="NumeroAFNegritaCaracter"/>
        </w:rPr>
        <w:t>6</w:t>
      </w:r>
      <w:r>
        <w:t>. Efectuados los emplazamientos requeridos, mediante escrito registrado el 21 de junio de 2016, el Abogado del Estado, en la representación que ostenta, se personó en el procedimiento. Asimismo, por diligencia de ordenación de la Secretaría de Justicia de la Sala Segunda de fecha 11 de julio de 2016 se tuvo por personado al Abogado del Estado, acordándose entender con él las sucesivas actuaciones. En la misma resolución se acordó dar vista de las actuaciones a las partes personadas y al Ministerio Fiscal, por plazo común de 20 días, para que formularan las alegaciones que estimaran pertinentes, conforme determina el art. 52.1 LOTC.</w:t>
      </w:r>
    </w:p>
    <w:p w:rsidR="00A90898" w:rsidRDefault="00A90898" w:rsidP="00A90898">
      <w:pPr>
        <w:pStyle w:val="TextoNormal"/>
      </w:pPr>
    </w:p>
    <w:p w:rsidR="00A90898" w:rsidRDefault="00A90898" w:rsidP="00A90898">
      <w:pPr>
        <w:pStyle w:val="TextoNormal"/>
      </w:pPr>
      <w:r w:rsidRPr="00A90898">
        <w:rPr>
          <w:rStyle w:val="NumeroAFNegritaCaracter"/>
        </w:rPr>
        <w:t>7</w:t>
      </w:r>
      <w:r>
        <w:t>. En fecha 12 de septiembre de 2016 tuvo entrada en el Registro General de este Tribunal el escrito de alegaciones de la Abogada del Estado, en el que reconoce que ha sido vulnerado el derecho a la tutela judicial efectiva del demandante (art. 24.1 CE) y solicita, en consecuencia, el otorgamiento de amparo.</w:t>
      </w:r>
    </w:p>
    <w:p w:rsidR="00A90898" w:rsidRDefault="00A90898" w:rsidP="00A90898">
      <w:pPr>
        <w:pStyle w:val="TextoNormal"/>
      </w:pPr>
    </w:p>
    <w:p w:rsidR="00A90898" w:rsidRDefault="00A90898" w:rsidP="00A90898">
      <w:pPr>
        <w:pStyle w:val="TextoNormal"/>
      </w:pPr>
      <w:r>
        <w:t xml:space="preserve">Para la Abogada del Estado, el caso planteado “ya ha sido resuelto en varias Sentencias del Tribunal Constitucional, siendo la última de ellas la reciente STC 131/2016, de 18 de julio”. Esta resolución es, a juicio de la representante procesal de la Administración, “clara y rotunda al considerar que el deber de motivación de las resoluciones administrativas, y más aún de las judiciales, tiene una dimensión constitucional no solo en los casos de procedimientos sancionadores sino también cuando se trate de procedimientos que restrinjan o limiten derechos fundamentales, lo que desde luego concurre en estos casos”. En particular, sigue afirmando la Abogada del Estado, “en el supuesto de expulsiones de extranjeros con </w:t>
      </w:r>
      <w:r>
        <w:lastRenderedPageBreak/>
        <w:t>autorización de residencia permanente deben valorarse las circunstancias personales y familiares”. La negativa de la Administración a tener en consideración tales circunstancias “supone una vulneración del derecho a la tutela judicial efectiva por falta de motivación”. Entiende, en suma, que la Sentencia citada “no deja lugar a dudas de que la no valoración de las circunstancias personales y familiares del extranjero residente permanentemente en España, en los casos de expulsión por el motivo previsto en el art. 57.2 LOEx, supone una vulneración del derecho a la tutela judicial efectiva por falta de motivación (art. 24.1 CE) por lo que esta Abogacía … reconoce que las resoluciones recurridas en amparo vulneran el derecho a la tutela judicial efectiva por falta de motivación”. Esto evita, según afirma la Abogada del Estado, “entrar en las demás vulneraciones de derecho fundamental aducidas de contrario”.</w:t>
      </w:r>
    </w:p>
    <w:p w:rsidR="00A90898" w:rsidRDefault="00A90898" w:rsidP="00A90898">
      <w:pPr>
        <w:pStyle w:val="TextoNormal"/>
      </w:pPr>
    </w:p>
    <w:p w:rsidR="00A90898" w:rsidRDefault="00A90898" w:rsidP="00A90898">
      <w:pPr>
        <w:pStyle w:val="TextoNormal"/>
      </w:pPr>
      <w:r>
        <w:t>Ha de reseñarse que la Abogado del Estado acompaña a las alegaciones formuladas una Resolución de 9 de septiembre de 2016 de la Abogado General del Estado por la que ésta autoriza “el reconocimiento procesal de la pretensión formulada” por el actor en el presente recurso de amparo en lo “referente a la vulneración del derecho a la tutela judicial efectiva por falta de motivación”.</w:t>
      </w:r>
    </w:p>
    <w:p w:rsidR="00A90898" w:rsidRDefault="00A90898" w:rsidP="00A90898">
      <w:pPr>
        <w:pStyle w:val="TextoNormal"/>
      </w:pPr>
    </w:p>
    <w:p w:rsidR="00A90898" w:rsidRDefault="00A90898" w:rsidP="00A90898">
      <w:pPr>
        <w:pStyle w:val="TextoNormal"/>
      </w:pPr>
      <w:r w:rsidRPr="00A90898">
        <w:rPr>
          <w:rStyle w:val="NumeroAFNegritaCaracter"/>
        </w:rPr>
        <w:t>8</w:t>
      </w:r>
      <w:r>
        <w:t>. En fecha 23 de septiembre de 2016 tuvieron entrada en el registro de este Tribunal las alegaciones del Fiscal ante el Tribunal Constitucional, que interesa que se otorgue amparo por vulneración del derecho del recurrente a la tutela judicial efectiva (art. 24.1 CE).</w:t>
      </w:r>
    </w:p>
    <w:p w:rsidR="00A90898" w:rsidRDefault="00A90898" w:rsidP="00A90898">
      <w:pPr>
        <w:pStyle w:val="TextoNormal"/>
      </w:pPr>
    </w:p>
    <w:p w:rsidR="00A90898" w:rsidRDefault="00A90898" w:rsidP="00A90898">
      <w:pPr>
        <w:pStyle w:val="TextoNormal"/>
      </w:pPr>
      <w:r>
        <w:t xml:space="preserve">Afirma el Fiscal que la trascendencia constitucional del asunto resulta indudable, pues “ofrece trascendencia social por afectar potencialmente la resolución —al igual que en el caso de la STC 131/2016, de 18 de julio, FJ 3, </w:t>
      </w:r>
      <w:r w:rsidRPr="00A90898">
        <w:rPr>
          <w:i/>
        </w:rPr>
        <w:t>in fine</w:t>
      </w:r>
      <w:r>
        <w:t>— a numerosos residentes de terceros países inmersos en un proceso de expulsión en el caso de que fueran objeto de una condena a pena privativa de libertad superior a un año por una conducta dolosa, con independencia de sus circunstancias personales, familiares, laborales y sociales”, dándose además “la singularidad añadida” de que el demandante es “una persona declarada incapaz y sometida a tutela de un familiar de nuestro país, lo que le caracteriza como perteneciente a un colectivo de especial vulnerabilidad”.</w:t>
      </w:r>
    </w:p>
    <w:p w:rsidR="00A90898" w:rsidRDefault="00A90898" w:rsidP="00A90898">
      <w:pPr>
        <w:pStyle w:val="TextoNormal"/>
      </w:pPr>
    </w:p>
    <w:p w:rsidR="00A90898" w:rsidRDefault="00A90898" w:rsidP="00A90898">
      <w:pPr>
        <w:pStyle w:val="TextoNormal"/>
      </w:pPr>
      <w:r>
        <w:t xml:space="preserve">Sentado este presupuesto, el Ministerio Fiscal considera que el caso planteado presenta una identidad sustancial con el resuelto en la STC 131/2016. Como en aquel supuesto, “en las resoluciones dictadas no se han respondido ni tenido en cuenta las alegaciones que se formularon en el procedimiento administrativo acerca de las circunstancias personales y de arraigo concurrentes”, en especial la cualidad del interesado de persona sujeta a la tutela de su hermano por razón de su incapacidad para gobernarse a sí mismo, reconocida en vía civil, así como “su arraigo personal y familiar en España sin vínculos con su país de origen”. En concreto, el Fiscal constata que las resoluciones administrativas rechazaron las alegaciones del recurrente relativas a sus circunstancias personales y familiares “mediante fórmulas estereotipadas” que ponían de manifiesto “una patente renuencia de la Administración a valorar la circunstancias alegadas por el actor”. Esto supone, de conformidad con la doctrina fijada en la STC 131/2016, una vulneración del derecho del demandante de amparo a la tutela judicial efectiva, en su vertiente de derecho a una resolución motivada. Y ello sin necesidad de calificar la medida de expulsión adoptada como sancionadora, al constituir dicha decisión “una clara limitación de derechos fundamentales del actor”, pues éste “se ve privado de su autorización de residencia, lo que implica la alteración de su propia condición </w:t>
      </w:r>
      <w:r>
        <w:lastRenderedPageBreak/>
        <w:t>de ciudadano y de la posibilidad del ejercicio de los derechos y libertades inherentes a la misma, aparte de las consecuencias que la medida tiene en su vida familiar”.</w:t>
      </w:r>
    </w:p>
    <w:p w:rsidR="00A90898" w:rsidRDefault="00A90898" w:rsidP="00A90898">
      <w:pPr>
        <w:pStyle w:val="TextoNormal"/>
      </w:pPr>
    </w:p>
    <w:p w:rsidR="00A90898" w:rsidRDefault="00A90898" w:rsidP="00A90898">
      <w:pPr>
        <w:pStyle w:val="TextoNormal"/>
      </w:pPr>
      <w:r>
        <w:t>En la misma vulneración habrían incurrido, al parecer del Fiscal, las resoluciones judiciales impugnadas, pues ni la Sentencia del Juzgado ni la dictada por la Sala tienen en consideración las circunstancias personales y familiares del recurrente, pues entienden, erróneamente, que la naturaleza no sancionadora de la medida exime de tal obligación.</w:t>
      </w:r>
    </w:p>
    <w:p w:rsidR="00A90898" w:rsidRDefault="00A90898" w:rsidP="00A90898">
      <w:pPr>
        <w:pStyle w:val="TextoNormal"/>
      </w:pPr>
    </w:p>
    <w:p w:rsidR="00A90898" w:rsidRDefault="00A90898" w:rsidP="00A90898">
      <w:pPr>
        <w:pStyle w:val="TextoNormal"/>
      </w:pPr>
      <w:r>
        <w:t>En suma, al estar en juego una “pluralidad de intereses constitucionales como el de protección social, económica y jurídica de la familia (art. 39.1 CE)” que están “asociados a derechos fundamentales como los contemplados en los arts. 18.1 y 24.2 CE”, los órganos judiciales debieron ponderar las circunstancias de cada supuesto y tener en cuenta la gravedad de los hechos “sin que pudieran ampararse, como acabaron por hacer, en la imposibilidad legal de realizar tal ponderación”.</w:t>
      </w:r>
    </w:p>
    <w:p w:rsidR="00A90898" w:rsidRDefault="00A90898" w:rsidP="00A90898">
      <w:pPr>
        <w:pStyle w:val="TextoNormal"/>
      </w:pPr>
    </w:p>
    <w:p w:rsidR="00A90898" w:rsidRDefault="00A90898" w:rsidP="00A90898">
      <w:pPr>
        <w:pStyle w:val="TextoNormal"/>
      </w:pPr>
      <w:r w:rsidRPr="00A90898">
        <w:rPr>
          <w:rStyle w:val="NumeroAFNegritaCaracter"/>
        </w:rPr>
        <w:t>9</w:t>
      </w:r>
      <w:r>
        <w:t>. El recurrente dejó expirar el plazo conferido sin formular alegaciones.</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22 de noviembre de 2016, se señaló para la deliberación y votación de la presente Sentencia el día 28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Se dirige el presente recurso de amparo contra la Sentencia de la Sala de lo Contencioso-Administrativo (Sección Segunda) del Tribunal Superior de Justicia de Cataluña, de fecha 11 de diciembre de 2015, que desestimó el recurso de apelación interpuesto por el actor contra la Sentencia del Juzgado de lo Contencioso-Administrativo núm. 8 de Barcelona, de 24 de noviembre de 2014, que, a su vez, había desestimado el recurso contencioso-administrativo interpuesto contra la resolución de la Subdelegación del Gobierno en Barcelona de 15 de abril de 2014, en la que se desestimaba el recurso de reposición presentado frente a la resolución de 8 de noviembre de 2013 dictada por el mismo órgano en la que se acordaba la expulsión del recurrente del territorio nacional, resoluciones administrativas contra las que también se dirige el presente recurso de amparo.</w:t>
      </w:r>
    </w:p>
    <w:p w:rsidR="00A90898" w:rsidRDefault="00A90898" w:rsidP="00A90898">
      <w:pPr>
        <w:pStyle w:val="TextoNormal"/>
      </w:pPr>
    </w:p>
    <w:p w:rsidR="00A90898" w:rsidRDefault="00A90898" w:rsidP="00A90898">
      <w:pPr>
        <w:pStyle w:val="TextoNormal"/>
      </w:pPr>
      <w:r>
        <w:t>Considera el demandante que las resoluciones administrativas y judiciales indicadas han vulnerado su derecho a la tutela judicial efectiva, en su vertiente de derecho a obtener una resolución motivada, al haber adoptado y confirmado, respectivamente, una decisión de expulsión de un residente de larga duración sin previa acreditación del peligro que éste puede representar para el orden y la seguridad públicos y sin haber procedido a la imprescindible ponderación de sus circunstancias, en especial de su arraigo personal y familiar, y en particular de su condición de persona incapacitada judicialmente por razón de enfermedad mental (sujeta a la tutela de su hermano y carente de todo vínculo con su país de origen). También estima el recurrente en amparo que se ha vulnerado su derecho a una “vida digna” y a su integridad (art. 15 CE), así como su derecho a la intimidad familiar del artículo 18 CE, en relación con el art. 39 CE, al no haberse valorado su situación de especial vulnerabilidad y su arraigo familiar en España.</w:t>
      </w:r>
    </w:p>
    <w:p w:rsidR="00A90898" w:rsidRDefault="00A90898" w:rsidP="00A90898">
      <w:pPr>
        <w:pStyle w:val="TextoNormal"/>
      </w:pPr>
    </w:p>
    <w:p w:rsidR="00A90898" w:rsidRDefault="00A90898" w:rsidP="00A90898">
      <w:pPr>
        <w:pStyle w:val="TextoNormal"/>
      </w:pPr>
      <w:r>
        <w:lastRenderedPageBreak/>
        <w:t>Tanto la Abogada del Estado como el Ministerio Fiscal interesan, con los argumentos reseñados en los antecedentes, la estimación del recurso al apreciar que se ha vulnerado el art. 24.1 CE por la falta de ponderación de las circunstancias personales del interesado.</w:t>
      </w:r>
    </w:p>
    <w:p w:rsidR="00A90898" w:rsidRDefault="00A90898" w:rsidP="00A90898">
      <w:pPr>
        <w:pStyle w:val="TextoNormal"/>
      </w:pPr>
    </w:p>
    <w:p w:rsidR="00A90898" w:rsidRDefault="00A90898" w:rsidP="00A90898">
      <w:pPr>
        <w:pStyle w:val="TextoNormal"/>
      </w:pPr>
      <w:r w:rsidRPr="00A90898">
        <w:rPr>
          <w:rStyle w:val="NumeroAFNegritaCaracter"/>
        </w:rPr>
        <w:t>2</w:t>
      </w:r>
      <w:r>
        <w:t>. Como ponen de relieve la Abogado del Estado y el Ministerio Fiscal, el presente recurso coincide, en su esencia, con el recientemente resuelto en la STC 131/2016, de 18 de julio, identidad que debe llevar, sin más preámbulo, a la estimación del recurso planteado por vulneración del art. 24.1 CE.</w:t>
      </w:r>
    </w:p>
    <w:p w:rsidR="00A90898" w:rsidRDefault="00A90898" w:rsidP="00A90898">
      <w:pPr>
        <w:pStyle w:val="TextoNormal"/>
      </w:pPr>
    </w:p>
    <w:p w:rsidR="00A90898" w:rsidRDefault="00A90898" w:rsidP="00A90898">
      <w:pPr>
        <w:pStyle w:val="TextoNormal"/>
      </w:pPr>
      <w:r>
        <w:t>En el caso que ahora nos ocupa, ninguna de las resoluciones impugnadas, pese a reconocer la condición del recurrente de residente de larga duración en España, aborda la necesaria ponderación de sus circunstancias personales y familiares. Las resoluciones administrativas se limitan, por una parte, a despachar con fórmulas estereotipadas las alegaciones del actor relativas a su arraigo, lo que, como bien afirma el Fiscal, pone de manifiesto “una patente renuencia de la Administración a valorar la circunstancias alegadas”, mientras que las resoluciones judiciales consideran, de otro lado, que la naturaleza jurídica no sancionadora de la medida impuesta exime del deber de ponderar las circunstancias personales y familiares del extranjero, ya que la expulsión del art. 57.2 de la Ley Orgánica sobre derechos y libertades de los extranjeros en España y su integración social (LOEx) constituye, según se razona, una consecuencia legalmente tasada que procede imperativamente ante una circunstancia —la comisión de un delito castigado con pena superior a un año de prisión— que evidencia el incumplimiento sobrevenido de las circunstancias en las que se asienta la autorización para residir en España.</w:t>
      </w:r>
    </w:p>
    <w:p w:rsidR="00A90898" w:rsidRDefault="00A90898" w:rsidP="00A90898">
      <w:pPr>
        <w:pStyle w:val="TextoNormal"/>
      </w:pPr>
    </w:p>
    <w:p w:rsidR="00A90898" w:rsidRDefault="00A90898" w:rsidP="00A90898">
      <w:pPr>
        <w:pStyle w:val="TextoNormal"/>
      </w:pPr>
      <w:r>
        <w:t>Ninguna de las razones expuestas es suficiente para cumplir con el deber de motivación que en el presente caso pesaba tanto sobre la Administración como sobre los órganos del Poder Judicial por imperativo del derecho del recurrente a la tutela judicial efectiva (art. 24.1 CE).</w:t>
      </w:r>
    </w:p>
    <w:p w:rsidR="00A90898" w:rsidRDefault="00A90898" w:rsidP="00A90898">
      <w:pPr>
        <w:pStyle w:val="TextoNormal"/>
      </w:pPr>
    </w:p>
    <w:p w:rsidR="00A90898" w:rsidRDefault="00A90898" w:rsidP="00A90898">
      <w:pPr>
        <w:pStyle w:val="TextoNormal"/>
      </w:pPr>
      <w:r w:rsidRPr="00A90898">
        <w:rPr>
          <w:rStyle w:val="NumeroAFNegritaCaracter"/>
        </w:rPr>
        <w:t>3</w:t>
      </w:r>
      <w:r>
        <w:t>. Razones de lógica nos llevan a comenzar nuestro escrutinio por el argumento seguido por las resoluciones judiciales. Afirman éstas que a la Administración no le era exigible ningún tipo de ponderación. Es obvio que sólo si dicho argumento es rechazado tiene sentido examinar, después, la corrección de las valoraciones que se contienen en las resoluciones administrativas sobre las circunstancias de arraigo personal y familiar del recurrente. En otras palabras, si las resoluciones judiciales estuvieran en lo cierto, cabría descartar, sin mayor indagación, que el derecho a la tutela judicial efectiva hubiera sido vulnerado, ya que ni la Administración ni los órganos judiciales habrían tenido deber alguno de ponderar las circunstancias del actor, circunstancia que permitiría descartar de plano la lesión del derecho fundamental.</w:t>
      </w:r>
    </w:p>
    <w:p w:rsidR="00A90898" w:rsidRDefault="00A90898" w:rsidP="00A90898">
      <w:pPr>
        <w:pStyle w:val="TextoNormal"/>
      </w:pPr>
    </w:p>
    <w:p w:rsidR="00A90898" w:rsidRDefault="00A90898" w:rsidP="00A90898">
      <w:pPr>
        <w:pStyle w:val="TextoNormal"/>
      </w:pPr>
      <w:r>
        <w:t>En las resoluciones judiciales impugnadas se sostiene, en efecto, que la Administración, al adoptar la decisión de expulsión al amparo del art. 57.2 LOEx, no tenía por qué realizar ponderación alguna relativa a las circunstancias personales y familiares del ahora demandante de amparo, pues le bastaba, de acuerdo con el tenor del aludido precepto, la simple constatación de la existencia de una condena no cancelada por delito doloso castigado con pena de prisión superior a un año. Sólo si la medida impuesta por la Administración hubiera tenido naturaleza sancionadora habría sido precisa, desde esta óptica, una motivación adi</w:t>
      </w:r>
      <w:r>
        <w:lastRenderedPageBreak/>
        <w:t>cional relativa a la proporcionalidad de la “sanción de expulsión” en relación con las circunstancias personales y familiares del individuo sancionado, tal y como expresamente contempla el art. 57.5 LOEx.</w:t>
      </w:r>
    </w:p>
    <w:p w:rsidR="00A90898" w:rsidRDefault="00A90898" w:rsidP="00A90898">
      <w:pPr>
        <w:pStyle w:val="TextoNormal"/>
      </w:pPr>
    </w:p>
    <w:p w:rsidR="00A90898" w:rsidRDefault="00A90898" w:rsidP="00A90898">
      <w:pPr>
        <w:pStyle w:val="TextoNormal"/>
      </w:pPr>
      <w:r>
        <w:t>Pues bien, el argumento expuesto no puede ser aceptado, ya que, dejando de lado su dudosa compatibilidad con lo que, en el ámbito de la legalidad ordinaria, se dispone en la Directiva 2003/109/CE del Consejo, de 25 de noviembre de 2003, relativa al estatuto de los nacionales de terceros países residentes de larga duración —cuyo art. 12 obliga a ponderar las circunstancias familiares en toda decisión de expulsión (también, por tanto, en la que no tiene naturaleza sancionadora)—, la medida de expulsión impuesta por la Administración estaba sujeta en todo caso, por el grado de gravamen que representa en intereses constitucionalmente salvaguardados, a especiales exigencias de motivación, y esto aun cuando no pudiera atribuírsele una naturaleza jurídica sancionadora.</w:t>
      </w:r>
    </w:p>
    <w:p w:rsidR="00A90898" w:rsidRDefault="00A90898" w:rsidP="00A90898">
      <w:pPr>
        <w:pStyle w:val="TextoNormal"/>
      </w:pPr>
    </w:p>
    <w:p w:rsidR="00A90898" w:rsidRDefault="00A90898" w:rsidP="00A90898">
      <w:pPr>
        <w:pStyle w:val="TextoNormal"/>
      </w:pPr>
      <w:r>
        <w:t>En efecto, hemos recordado en la reciente STC 131/2016, de 18 de julio (FJ 6), que “el deber de motivación en el ámbito administrativo con relevancia constitucional no sólo se produce en el supuesto de las sanciones administrativas” y que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También hemos reiterado en dicha resolución que esto ocurre precisamente cuando los actos administrativos limitan o restringen “el ejercicio de derechos fundamentales” pues en tal caso la actuación de la Administración “es tan grave que necesita encontrar una especial causalización y el hecho o el conjunto de hechos que lo justifican deben explicarse con el fin de que los destinatarios conozcan las razones por las cuales su derecho se sacrificó y los intereses a los que se sacrificó” (STC 131/2016, de 18 de junio, FJ 6). Específicamente, hemos añadido que la expulsión del extranjero con residencia de larga duración supone “una clara limitación a derechos fundamentales del actor que, como consecuencia de acordarse su expulsión del territorio nacional, se ha visto privado de su autorización de residencia, lo que implica la alteración de su propia condición de ciudadano y de la posibilidad del ejercicio de los derechos y libertades inherentes a la misma, aparte de las consecuencias que la medida tiene en su vida familiar” (STC 131/2016, de 18 de junio, FJ 6), lo que hace que sea extensible a dicha medida ese deber constitucional de motivación al margen de su eventual naturaleza jurídica sancionadora.</w:t>
      </w:r>
    </w:p>
    <w:p w:rsidR="00A90898" w:rsidRDefault="00A90898" w:rsidP="00A90898">
      <w:pPr>
        <w:pStyle w:val="TextoNormal"/>
      </w:pPr>
    </w:p>
    <w:p w:rsidR="00A90898" w:rsidRDefault="00A90898" w:rsidP="00A90898">
      <w:pPr>
        <w:pStyle w:val="TextoNormal"/>
      </w:pPr>
      <w:r>
        <w:t>De acuerdo con la doctrina expuesta, la argumentación proporcionada por las resoluciones judiciales impugnadas, que excluye la ponderación de las circunstancias personales y familiares del recurrente por no contemplar el art. 57.2 LOEx una sanción, no puede ser aceptada pues “[a]l estar en juego, asociados a derechos fundamentales como los contemplados en los arts. 18.1 y 24.2 CE (STC 46/2014, FJ 7), una pluralidad de intereses constitucionales como el de protección social, económica y jurídica de la familia (art. 39.1 CE)”, es preciso en todo caso “ponderar las circunstancias de cada supuesto” y “tener en cuenta la gravedad de los hechos” (STC 46/2014, de 7 de abril, FJ 7 y 131/2016, de 18 de junio, FJ 6).</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Sentado, pues, que la ponderación de las circunstancias personales y familiares del recurrente era necesaria al margen de la concreta naturaleza jurídica de la medida de expulsión adoptada, resta por examinar si dicha ponderación fue adecuadamente abordada en las resoluciones impugnadas.</w:t>
      </w:r>
    </w:p>
    <w:p w:rsidR="00A90898" w:rsidRDefault="00A90898" w:rsidP="00A90898">
      <w:pPr>
        <w:pStyle w:val="TextoNormal"/>
      </w:pPr>
    </w:p>
    <w:p w:rsidR="00A90898" w:rsidRDefault="00A90898" w:rsidP="00A90898">
      <w:pPr>
        <w:pStyle w:val="TextoNormal"/>
      </w:pPr>
      <w:r>
        <w:t xml:space="preserve">(i) De un lado, las resoluciones dictadas por la Administración contienen, en realidad, una mera apariencia de motivación, pues recurren a fórmulas estereotipadas, idóneas por su generalidad para ser aplicadas a todo tipo de supuestos de hecho. En este sentido, hemos tomado como paradigma de resolución que no aborda una verdadera ponderación aquella que se limita a incluir una motivación estereotipada, inadecuada, por definición, para plasmar las circunstancias particulares propias de un caso concreto (SSTC 112/1996, de 24 de junio, FJ 5; 2/1997, de 13 de enero, FJ 4, y 226/2015, de 2 de noviembre, FJ 4). En el presente supuesto, el recurrente no sólo había puesto de manifiesto circunstancias personales y familiares determinantes de un singular arraigo en España (y que evidenciaban asimismo la falta de vínculos con el país de origen); también había introducido en el acervo probatorio elementos indicativos de una situación de especial vulnerabilidad, pues alegaba que había sido judicialmente incapacitado por razón de su enfermedad mental, lo que le hacía depender enteramente del auxilio de su tutor, su hermano, con quien convive en nuestro país. Sin embargo, ni ésta ni ninguna otra de las singularidades del asunto fueron específicamente valoradas por las resoluciones administrativas dictadas, que dedican a las circunstancias del actor cláusulas desestimatorias puramente formularias, inhábiles por sí mismas para expresar una auténtica ponderación </w:t>
      </w:r>
      <w:r w:rsidRPr="00A90898">
        <w:rPr>
          <w:i/>
        </w:rPr>
        <w:t>ad casum</w:t>
      </w:r>
      <w:r>
        <w:t>.</w:t>
      </w:r>
    </w:p>
    <w:p w:rsidR="00A90898" w:rsidRDefault="00A90898" w:rsidP="00A90898">
      <w:pPr>
        <w:pStyle w:val="TextoNormal"/>
      </w:pPr>
    </w:p>
    <w:p w:rsidR="00A90898" w:rsidRDefault="00A90898" w:rsidP="00A90898">
      <w:pPr>
        <w:pStyle w:val="TextoNormal"/>
      </w:pPr>
      <w:r>
        <w:t>Las resoluciones administrativas impugnadas no cumplieron, por tanto, con el deber de motivación que, en el supuesto planteado, pesaba sobre la Administración.</w:t>
      </w:r>
    </w:p>
    <w:p w:rsidR="00A90898" w:rsidRDefault="00A90898" w:rsidP="00A90898">
      <w:pPr>
        <w:pStyle w:val="TextoNormal"/>
      </w:pPr>
    </w:p>
    <w:p w:rsidR="00A90898" w:rsidRDefault="00A90898" w:rsidP="00A90898">
      <w:pPr>
        <w:pStyle w:val="TextoNormal"/>
      </w:pPr>
      <w:r>
        <w:t>(ii) Por su parte, y como ya se ha señalado, las resoluciones judiciales omitieron, por las razones ya expresadas, toda motivación relativa a las circunstancias personales y familiares del recurrente, en la consideración de que la expulsión acordada no tenía naturaleza sancionadora. Sin embargo, como ya hemos señalado, esa calificación jurídica del art. 57.2 LOEX no eximía de ponderar las circunstancias del recurrente. De este modo, el incumplimiento del deber de motivación verificado en sede administrativa se convirtió, ya en sede judicial, en verdadera lesión del derecho a la tutela judicial efectiva (art. 24.1 CE), imputable tanto a la resolución del Juzgado de lo Contencioso como a la Sentencia de apelación.</w:t>
      </w:r>
    </w:p>
    <w:p w:rsidR="00A90898" w:rsidRDefault="00A90898" w:rsidP="00A90898">
      <w:pPr>
        <w:pStyle w:val="TextoNormal"/>
      </w:pPr>
    </w:p>
    <w:p w:rsidR="00A90898" w:rsidRDefault="00A90898" w:rsidP="00A90898">
      <w:pPr>
        <w:pStyle w:val="TextoNormal"/>
      </w:pPr>
      <w:r>
        <w:t>Puede, por tanto, concluirse, como en la STC 46/2014, de 7 de abril (FJ 7), que ciertamente “las resoluciones administrativas que no tienen carácter sancionador, como son las impugnadas en este caso, no pueden vulnerar el art. 24 CE” pero que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Así, las Sentencias también impugnadas en esta sede, se han limitado a confirmar las resoluciones administrativas sin ponderar las especiales circunstancias personales del demandante de amparo, cuando la norma legal aplicable consentía una interpretación que hubiera permitido tal ponderación”.</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Por todo lo expuesto, ha de estimarse el presente recurso de amparo por vulneración del derecho del actor a la tutela judicial efectiva, lo que nos exime de examinar el motivo </w:t>
      </w:r>
      <w:r>
        <w:lastRenderedPageBreak/>
        <w:t>de queja alegado adicionalmente (motivo que, al referirse nuevamente a la falta de ponderación de las circunstancias particulares del actor más podía considerarse un refuerzo argumental tendente a evidenciar los intereses constitucionales en juego y carente de sustantividad propia).</w:t>
      </w:r>
    </w:p>
    <w:p w:rsidR="00A90898" w:rsidRDefault="00A90898" w:rsidP="00A90898">
      <w:pPr>
        <w:pStyle w:val="TextoNormal"/>
      </w:pPr>
    </w:p>
    <w:p w:rsidR="00A90898" w:rsidRDefault="00A90898" w:rsidP="00A90898">
      <w:pPr>
        <w:pStyle w:val="TextoNormal"/>
      </w:pPr>
      <w:r>
        <w:t>Al haberse consumado la vulneración del derecho fundamental en las dos resoluciones judiciales impugnadas, debe acordarse la nulidad de éstas y la retroacción de las actuaciones al momento inmediatamente anterior al de dictarse la Sentencia del Juzgado de lo Contencioso-Administrativo núm. 8 de Barcelona de 24 de noviembre de 2014, para que dicho órgano judicial dicte una nueva resolución respetuosa con el derecho fundamental del actor, en la que valore de manera específica las concretas circunstancias personales y familiares alegadas por éste.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el representante legal de don Z. B. y, en su virtud:</w:t>
      </w:r>
    </w:p>
    <w:p w:rsidR="00A90898" w:rsidRDefault="00A90898" w:rsidP="00A90898">
      <w:pPr>
        <w:pStyle w:val="TextoNormal"/>
      </w:pPr>
    </w:p>
    <w:p w:rsidR="00A90898" w:rsidRDefault="00A90898" w:rsidP="00A90898">
      <w:pPr>
        <w:pStyle w:val="TextoNormal"/>
      </w:pPr>
      <w:r>
        <w:t>1º Declarar que ha sido vulnerado su derecho a la tutela judicial efectiva (art. 24.1 CE).</w:t>
      </w:r>
    </w:p>
    <w:p w:rsidR="00A90898" w:rsidRDefault="00A90898" w:rsidP="00A90898">
      <w:pPr>
        <w:pStyle w:val="TextoNormal"/>
      </w:pPr>
    </w:p>
    <w:p w:rsidR="00A90898" w:rsidRDefault="00A90898" w:rsidP="00A90898">
      <w:pPr>
        <w:pStyle w:val="TextoNormal"/>
      </w:pPr>
      <w:r>
        <w:t>2º Restablecerle en su derecho y, en consecuencia, anular la Sentencia del Juzgado de lo Contencioso-Administrativo núm. 8 de Barcelona de 24 de noviembre de 2014, dictada en el procedimiento abreviado núm. 516-2013 y la Sentencia de la Sala de lo Contencioso-Administrativo (Sección Segunda) del Tribunal Superior de Justicia de Cataluña de 11 de diciembre de 2015, dictada en el rollo de apelación núm. 168-2015.</w:t>
      </w:r>
    </w:p>
    <w:p w:rsidR="00A90898" w:rsidRDefault="00A90898" w:rsidP="00A90898">
      <w:pPr>
        <w:pStyle w:val="TextoNormal"/>
      </w:pPr>
    </w:p>
    <w:p w:rsidR="00A90898" w:rsidRDefault="00A90898" w:rsidP="00A90898">
      <w:pPr>
        <w:pStyle w:val="TextoNormal"/>
      </w:pPr>
      <w:r>
        <w:t>3º Retrotraer las actuaciones al momento inmediatamente anterior al de dictarse la Sentencia del Juzgado de lo Contencioso-Administrativo núm. 8 de Barcelona de 24 de noviembre de 2014, para que dicho órgano judicial dicte una nueva resolución compatible con el derecho fundamental vulnerado en los términos que se precisan en el fundamento jurídico 5.</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veintiocho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1" w:name="SENTENCIA_2016_202"/>
      <w:r>
        <w:lastRenderedPageBreak/>
        <w:t>SENTENCIA 202/2016, de 1 de diciembre de 2016</w:t>
      </w:r>
    </w:p>
    <w:bookmarkEnd w:id="81"/>
    <w:p w:rsidR="00A90898" w:rsidRDefault="00A90898" w:rsidP="00A90898">
      <w:pPr>
        <w:pStyle w:val="TtuloResolucin"/>
      </w:pPr>
      <w:r>
        <w:t>Pleno</w:t>
      </w:r>
    </w:p>
    <w:p w:rsidR="00A90898" w:rsidRDefault="00A90898" w:rsidP="00A90898">
      <w:pPr>
        <w:pStyle w:val="TtuloBOE"/>
      </w:pPr>
      <w:r>
        <w:t>(BOE núm. 7, de 9 de enero de 2017)</w:t>
      </w:r>
    </w:p>
    <w:p w:rsidR="00A90898" w:rsidRDefault="00A90898" w:rsidP="00A90898">
      <w:pPr>
        <w:pStyle w:val="TextoNormalCentrado"/>
      </w:pPr>
      <w:r>
        <w:t>ECLI:ES:TC:2016:202</w:t>
      </w:r>
    </w:p>
    <w:p w:rsidR="00A90898" w:rsidRDefault="00A90898" w:rsidP="00A90898">
      <w:pPr>
        <w:pStyle w:val="TextoNormalCentrado"/>
      </w:pPr>
    </w:p>
    <w:p w:rsidR="00A90898" w:rsidRDefault="00A90898" w:rsidP="00A90898">
      <w:pPr>
        <w:pStyle w:val="SntesisDescriptiva"/>
      </w:pPr>
      <w:r>
        <w:t>Recurso de inconstitucionalidad 4972-2013. Interpuesto por el Gobierno de Canarias en relación con diversos preceptos de la Ley 10/2012, de 20 de noviembre, por la que se regulan determinadas tasas en el ámbito de la Administración de Justicia y del Instituto Nacional de Toxicología y Ciencias Forenses.</w:t>
      </w:r>
    </w:p>
    <w:p w:rsidR="00A90898" w:rsidRDefault="00A90898" w:rsidP="00A90898">
      <w:pPr>
        <w:pStyle w:val="SntesisDescriptiva"/>
      </w:pPr>
    </w:p>
    <w:p w:rsidR="00A90898" w:rsidRDefault="00A90898" w:rsidP="00A90898">
      <w:pPr>
        <w:pStyle w:val="SntesisAnaltica"/>
      </w:pPr>
      <w:r>
        <w:t>Derechos a la tutela judicial efectiva (acceso a la justicia y acceso al recurso) y a la igualdad en la ley y principio de capacidad económica: pérdida parcial de objeto del recurso (STC 140/2016), regulación del devengo de la tasa en el orden social y en el recurso contencioso-administrativo.</w:t>
      </w:r>
    </w:p>
    <w:p w:rsidR="00A90898" w:rsidRDefault="00A90898" w:rsidP="00A90898">
      <w:pPr>
        <w:pStyle w:val="SntesisAnaltica"/>
      </w:pPr>
    </w:p>
    <w:p w:rsidR="00A90898" w:rsidRDefault="00A90898" w:rsidP="00A90898">
      <w:pPr>
        <w:pStyle w:val="Extracto"/>
      </w:pPr>
      <w:r>
        <w:t>1.</w:t>
      </w:r>
      <w:r>
        <w:tab/>
        <w:t>Una vez iniciada a instancias del interesado la actividad del Estado en pos de satisfacer su derecho a la tutela judicial efectiva, la constitucionalidad de la corresponsabilidad en la financiación del proceso, que constituye la finalidad legítima perseguida por el legislador, no queda condicionada a que el referido devengo tenga lugar en un estadio procesal más avanzado, en el que el interesado cuente con mayor información acerca de la viabilidad de su pretensión. De aceptarse esa tesis la constitucionalidad del momento del devengo de la tasa quedaría sujeta a un factor ajeno al inicio de la actividad que configura el hecho imponible por haberse proveído a la solicitud del procedimiento [FJ 4].</w:t>
      </w:r>
    </w:p>
    <w:p w:rsidR="00A90898" w:rsidRDefault="00A90898" w:rsidP="00A90898">
      <w:pPr>
        <w:pStyle w:val="Extracto"/>
      </w:pPr>
    </w:p>
    <w:p w:rsidR="00A90898" w:rsidRDefault="00A90898" w:rsidP="00A90898">
      <w:pPr>
        <w:pStyle w:val="Extracto"/>
      </w:pPr>
      <w:r>
        <w:t>2.</w:t>
      </w:r>
      <w:r>
        <w:tab/>
        <w:t>Aplica la doctrina sobre el hecho imponible de la tasa judicial y su exigencia en la fase inicial de los distintos procedimientos judiciales de la STC 162/2012 [FJ 4].</w:t>
      </w:r>
    </w:p>
    <w:p w:rsidR="00A90898" w:rsidRDefault="00A90898" w:rsidP="00A90898">
      <w:pPr>
        <w:pStyle w:val="Extracto"/>
      </w:pPr>
    </w:p>
    <w:p w:rsidR="00A90898" w:rsidRDefault="00A90898" w:rsidP="00A90898">
      <w:pPr>
        <w:pStyle w:val="Extracto"/>
      </w:pPr>
      <w:r>
        <w:t>3.</w:t>
      </w:r>
      <w:r>
        <w:tab/>
        <w:t>Aplica la doctrina sobre vulneración del derecho al acceso a la jurisdicción y el acceso al recurso en relación con las tasas judiciales establecida en la STC 140/2016 [FJ 3].</w:t>
      </w:r>
    </w:p>
    <w:p w:rsidR="00A90898" w:rsidRDefault="00A90898" w:rsidP="00A90898">
      <w:pPr>
        <w:pStyle w:val="Extracto"/>
      </w:pPr>
    </w:p>
    <w:p w:rsidR="00A90898" w:rsidRDefault="00A90898" w:rsidP="00A90898">
      <w:pPr>
        <w:pStyle w:val="Extracto"/>
      </w:pPr>
      <w:r>
        <w:t>4.</w:t>
      </w:r>
      <w:r>
        <w:tab/>
        <w:t>Aplica la doctrina de la STC 140/2016 en relación con la pérdida sobrevenida parcial del objeto del recurso por haberse declarado inconstitucionales y nulos ciertos preceptos [FJ 3].</w:t>
      </w:r>
    </w:p>
    <w:p w:rsidR="00A90898" w:rsidRDefault="00A90898" w:rsidP="00A90898">
      <w:pPr>
        <w:pStyle w:val="Extracto"/>
      </w:pPr>
    </w:p>
    <w:p w:rsidR="00A90898" w:rsidRDefault="00A90898" w:rsidP="00A90898">
      <w:pPr>
        <w:pStyle w:val="Extracto"/>
      </w:pPr>
      <w:r>
        <w:t>5.</w:t>
      </w:r>
      <w:r>
        <w:tab/>
        <w:t>Aplica la doctrina de la STC 140/2016 en relación con la pérdida sobrevenida parcial del objeto del recurso debido a diversas modificaciones que se produjeron en la norma después de la interposición del recurso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lastRenderedPageBreak/>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4972-2013, interpuesto por el Gobierno de Canarias, contra los arts. 1; 2 en sus apartados c), e) y f); 4; 5 en sus apartados 2 y 3; 6; 7, y la disposición final primera de la Ley 10/2012, de 20 de noviembre, por la que se regulan determinadas tasas en el ámbito de la Administración de Justicia y del Instituto Nacional de Toxicología y Ciencias Forenses. Ha intervenido el Abogado del Estado, en la representación que legalmente ostenta.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día 12 de agosto de 2013 tuvo entrada en el Registro General de este Tribunal Constitucional, un escrito presentado por la Directora General del servicio jurídico del Gobierno de Canarias, actuando en la representación que legalmente ostenta de este último, por el que formula demanda de inconstitucionalidad contra determinados preceptos de la Ley 10/2012, de 20 de noviembre, por la que se regulan determinadas tasas en el ámbito de la Administración de Justicia y del Instituto Nacional de Toxicología y Ciencias Forenses. Según se concreta en el suplico, se impugnan sus arts. 1 (ámbito de aplicación de la tasa), 2 (hecho imponible) en sus apartados c) [en la dicción dada al mismo por el Real Decreto-ley 3/2013, de 22 de febrero, de modificación parcial de aquella Ley 10/2012], e) y f); el art. 4 (exenciones objetivas y subjetivas) en la redacción que resulta del Real Decreto-ley 3/2013; el art. 5 (devengo de la tasa) en sus apartados 2 y 3; el art. 6 (base imponible), y el art. 7 (determinación de la cuota del tributo, fija y variable), así como la disposición final primera [por la que se modifica el apartado m)] del art. 13 de la Ley 8/1989, de 13 de abril, de tasas y precios públicos.</w:t>
      </w:r>
    </w:p>
    <w:p w:rsidR="00A90898" w:rsidRDefault="00A90898" w:rsidP="00A90898">
      <w:pPr>
        <w:pStyle w:val="TextoNormal"/>
      </w:pPr>
    </w:p>
    <w:p w:rsidR="00A90898" w:rsidRDefault="00A90898" w:rsidP="00A90898">
      <w:pPr>
        <w:pStyle w:val="TextoNormal"/>
      </w:pPr>
      <w:r>
        <w:t>La demanda precisa en sus antecedentes, en primer lugar, que el tenor de los preceptos que impugna son los de la Ley 10/2012, con la modificación que algunos de ellos han tenido por mor del Real Decreto-ley 3/2013, de 22 de febrero, por lo que “de este modo, quedan afectadas ambas regulaciones abordadas por el legislador estatal”. Y describe, en segundo lugar, el procedimiento seguido previamente a la interposición del recurso.</w:t>
      </w:r>
    </w:p>
    <w:p w:rsidR="00A90898" w:rsidRDefault="00A90898" w:rsidP="00A90898">
      <w:pPr>
        <w:pStyle w:val="TextoNormal"/>
      </w:pPr>
    </w:p>
    <w:p w:rsidR="00A90898" w:rsidRDefault="00A90898" w:rsidP="00A90898">
      <w:pPr>
        <w:pStyle w:val="TextoNormal"/>
      </w:pPr>
      <w:r>
        <w:t xml:space="preserve">Ya en los fundamentos jurídicos procesales, se destaca el cumplimiento de los presupuestos exigibles, en especial el de la legitimación activa, con cita en su apoyo de la STC 84/1982, de 23 de diciembre, que asienta la doctrina de este Tribunal favorable al reconocimiento de legitimación a las Comunidades Autónomas para poder instar el control de constitucionalidad de normas con fuerza de ley del Estado, sin que tenga que acreditar para ello la invasión de una de sus competencias propias, pues prevalece el fin de depuración del ordenamiento jurídico. En este caso, partiendo del reconocimiento de la competencia del Estado para fijar una tasa por el ejercicio de la potestad jurisdiccional, </w:t>
      </w:r>
      <w:r w:rsidRPr="00A90898">
        <w:rPr>
          <w:i/>
        </w:rPr>
        <w:t>ex</w:t>
      </w:r>
      <w:r>
        <w:t xml:space="preserve"> art. 149.1.5 CE, recuerda la demanda que con arreglo a lo previsto en el art. 28 del Estatuto de Autonomía </w:t>
      </w:r>
      <w:r>
        <w:lastRenderedPageBreak/>
        <w:t>de Canarias, a dicha Comunidad Autónoma le fue transferida la competencia para la provisión de medios personales y materiales al servicio de la Administración de Justicia, citando la STC 162/2012, de 20 de septiembre, lo que en definitiva permite que se hable de una afectación de una competencia propia, en el sentido del art. 32.2 de la Ley Orgánica de este Tribunal.</w:t>
      </w:r>
    </w:p>
    <w:p w:rsidR="00A90898" w:rsidRDefault="00A90898" w:rsidP="00A90898">
      <w:pPr>
        <w:pStyle w:val="TextoNormal"/>
      </w:pPr>
    </w:p>
    <w:p w:rsidR="00A90898" w:rsidRDefault="00A90898" w:rsidP="00A90898">
      <w:pPr>
        <w:pStyle w:val="TextoNormal"/>
      </w:pPr>
      <w:r>
        <w:t>A continuación la demanda vertebra sus fundamentos jurídicos materiales en cinco apartados:</w:t>
      </w:r>
    </w:p>
    <w:p w:rsidR="00A90898" w:rsidRDefault="00A90898" w:rsidP="00A90898">
      <w:pPr>
        <w:pStyle w:val="TextoNormal"/>
      </w:pPr>
    </w:p>
    <w:p w:rsidR="00A90898" w:rsidRDefault="00A90898" w:rsidP="00A90898">
      <w:pPr>
        <w:pStyle w:val="TextoNormal"/>
      </w:pPr>
      <w:r>
        <w:t>a) El primero se titula: “I. Consideraciones comunes a la presente demanda de inconstitucionalidad” y en él se adelantan las premisas sobre las que se asienta la impugnación de la Ley 10/2012. Se reproduce parte de la exposición de motivos de esta última, así como algunos de los fundamentos jurídicos de la STC 20/2012, de 16 de febrero, que enjuició la conformidad con el art. 24.1 CE, de la tasa para el ejercicio de la potestad jurisdiccional prevista en el art. 35 de la Ley 53/2002, de 30 de diciembre, de medidas fiscales, administrativas y del orden social, en concreto respecto de su exigencia en el orden civil; y la posterior STC 218/2012, de 26 de noviembre. Tras esto se indican los aspectos de la Ley recurrida que vulneran a su entender el derecho fundamental a la tutela judicial efectiva (art. 24.1 CE), como son: “a) La extensión de la exigencia de la tasa al orden jurisdiccional social, aún limitado al derecho a acceder a los recursos legales. b) La configuración como hecho imponible de la tasa la interposición del recurso en el orden jurisdiccional contencioso administrativo, en el caso del procedimiento ordinario. c) La extensión del ámbito subjetivo de las tasas judiciales, en todos los órdenes, a las personas físicas, con la única exención subjetiva de los que tengan reconocido el derecho a la asistencia jurídica gratuita. d) La cuantía de las tasas, en todos los órdenes jurisdiccionales, sin tener en cuenta la capacidad de pago del sujeto pasivo ni la naturaleza del proceso”.</w:t>
      </w:r>
    </w:p>
    <w:p w:rsidR="00A90898" w:rsidRDefault="00A90898" w:rsidP="00A90898">
      <w:pPr>
        <w:pStyle w:val="TextoNormal"/>
      </w:pPr>
    </w:p>
    <w:p w:rsidR="00A90898" w:rsidRDefault="00A90898" w:rsidP="00A90898">
      <w:pPr>
        <w:pStyle w:val="TextoNormal"/>
      </w:pPr>
      <w:r>
        <w:t>b) Los apartados siguientes sirven de desarrollo a cada uno de los motivos de impugnación enunciados. El segundo se titula “Exigencia de tasas judiciales en el orden jurisdiccional social”. Luego de traer a colación el pasaje de la exposición de motivos de la Ley 10/2012 en el que se justifica la imposición de la tasa para los recursos de suplicación y casación laborales, se cita la STC 20/2012 para recordar que ésta únicamente analizó la constitucionalidad de la tasa de la Ley 53/2002 en el orden civil, dejando fuera por tanto (FJ 4) las “especiales características que protegen el acceso a la justicia”, entre otros en el orden social.</w:t>
      </w:r>
    </w:p>
    <w:p w:rsidR="00A90898" w:rsidRDefault="00A90898" w:rsidP="00A90898">
      <w:pPr>
        <w:pStyle w:val="TextoNormal"/>
      </w:pPr>
    </w:p>
    <w:p w:rsidR="00A90898" w:rsidRDefault="00A90898" w:rsidP="00A90898">
      <w:pPr>
        <w:pStyle w:val="TextoNormal"/>
      </w:pPr>
      <w:r>
        <w:t>Se invoca asimismo la STC 48/1995, de 14 de febrero, que contiene doctrina general sobre el derecho de acceso a la jurisdicción, para de inmediato afirmar que la exigencia de la tasa en los recursos laborales mencionados, supone la vulneración del “art. 24.1 CE en su vertiente de acceso a los recursos”. En su apoyo cita a su vez la STC 3/1983, de 25 de enero, sobre las singularidades reconocidas al proceso laboral como instrumento corrector de la desigualdad de las partes, en beneficio de los trabajadores, y la necesidad de asegurar el acceso a la justicia de estos últimos, lo que determina que aunque limitado a la interposición de recursos, la exigencia de dicha tasa vulnere el art. 24.1 CE.</w:t>
      </w:r>
    </w:p>
    <w:p w:rsidR="00A90898" w:rsidRDefault="00A90898" w:rsidP="00A90898">
      <w:pPr>
        <w:pStyle w:val="TextoNormal"/>
      </w:pPr>
    </w:p>
    <w:p w:rsidR="00A90898" w:rsidRDefault="00A90898" w:rsidP="00A90898">
      <w:pPr>
        <w:pStyle w:val="TextoNormal"/>
      </w:pPr>
      <w:r>
        <w:t xml:space="preserve">Advierte además que si bien el Pleno de la Sala de lo Social del Tribunal Supremo adoptó un acuerdo no jurisdiccional en fecha 5 de junio de 2013, por el que mediante una interpretación sistemática de la Ley 10/2012 y las previsiones de la Ley 1/1996 de asistencia jurídica </w:t>
      </w:r>
      <w:r>
        <w:lastRenderedPageBreak/>
        <w:t>gratuita (LAJG), dispensar del pago de la tasa aquí mencionada a los trabajadores, a los beneficiarios de la seguridad social, y a los funcionarios o personal estatutario de las Administraciones públicas en los pleitos propios; sin embargo, razona la demanda, no desaparece por ello el vicio de inconstitucionalidad que pesa sobre los preceptos directamente afectados y que obligan a su denuncia en este recurso.</w:t>
      </w:r>
    </w:p>
    <w:p w:rsidR="00A90898" w:rsidRDefault="00A90898" w:rsidP="00A90898">
      <w:pPr>
        <w:pStyle w:val="TextoNormal"/>
      </w:pPr>
    </w:p>
    <w:p w:rsidR="00A90898" w:rsidRDefault="00A90898" w:rsidP="00A90898">
      <w:pPr>
        <w:pStyle w:val="TextoNormal"/>
      </w:pPr>
      <w:r>
        <w:t>Tales preceptos, según precisa el Gobierno de Canarias, son en primer término los arts. 1 y 2 f) de la Ley 10/2012, pues aunque la doctrina constitucional ha venido a distinguir entre el derecho de acceso a la jurisdicción y el del acceso al recurso, como recuerda la STC 20/2012 (FJ 5), a su juicio prevalecen las “características peculiares de la jurisdicción social”; sin olvidar además que el derecho al recurso puede resultar conculcado, según recogen pronunciamientos de este Tribunal, por disposiciones legales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114/1992, de 14 de septiembre, FJ 3, y 273/2005, de 27 de octubre, FJ 5).</w:t>
      </w:r>
    </w:p>
    <w:p w:rsidR="00A90898" w:rsidRDefault="00A90898" w:rsidP="00A90898">
      <w:pPr>
        <w:pStyle w:val="TextoNormal"/>
      </w:pPr>
    </w:p>
    <w:p w:rsidR="00A90898" w:rsidRDefault="00A90898" w:rsidP="00A90898">
      <w:pPr>
        <w:pStyle w:val="TextoNormal"/>
      </w:pPr>
      <w:r>
        <w:t>Añade la demanda que por este motivo se impugna igualmente el art. 5.3 de la propia Ley 10/2012, en cuanto en él se dispone el devengo de la tasa al tiempo de interponerse los recursos de suplicación y casación en el orden social.</w:t>
      </w:r>
    </w:p>
    <w:p w:rsidR="00A90898" w:rsidRDefault="00A90898" w:rsidP="00A90898">
      <w:pPr>
        <w:pStyle w:val="TextoNormal"/>
      </w:pPr>
    </w:p>
    <w:p w:rsidR="00A90898" w:rsidRDefault="00A90898" w:rsidP="00A90898">
      <w:pPr>
        <w:pStyle w:val="TextoNormal"/>
      </w:pPr>
      <w:r>
        <w:t>c) Prosigue el escrito del recurso con el apartado III, titulado “La exigencia de la tasa judicial en relación a determinadas actuaciones procesales en el ámbito de la jurisdicción contencioso administrativa”. Con cita de la STC 116/2012, de 4 de junio, recurso de amparo promovido contra la denegación de un recurso de apelación contencioso-administrativo por impago de la tasa del art. 35 de la Ley 53/2002, en la que a su vez se trae a colación la mención efectuada por la STC 20/2012 (FJ 4) a las peculiaridades del orden contencioso-administrativo, “consecuencia del mandato contenido en el art. 106.1 CE”, la demanda postula que resulta contrario al derecho fundamental a la tutela judicial efectiva, el que la Ley 10/2012 configure como hecho imponible de la tasa en el art. 2 c), la mera presentación del escrito de interposición de un recurso contencioso-administrativo, que es el acto de iniciación del proceso ordinario, según resulta de la reforma de este art. 2 c) por el Real Decreto-ley 3/2013. Se viene a exigir así el pago de la tasa sin esperar a que la causa se halle en trámite de formalizar demanda, como sí se preveía en la norma original.</w:t>
      </w:r>
    </w:p>
    <w:p w:rsidR="00A90898" w:rsidRDefault="00A90898" w:rsidP="00A90898">
      <w:pPr>
        <w:pStyle w:val="TextoNormal"/>
      </w:pPr>
    </w:p>
    <w:p w:rsidR="00A90898" w:rsidRDefault="00A90898" w:rsidP="00A90898">
      <w:pPr>
        <w:pStyle w:val="TextoNormal"/>
      </w:pPr>
      <w:r>
        <w:t>En apoyo a su tesis impugnatoria, argumenta que al momento de presentar el escrito de interposición del recurso, “el recurrente no dispone del expediente administrativo por lo que la tasa se devenga antes de contar con los antecedentes que permitan fundamentar convenientemente la acción”. Se recuerda una vez más la diferencia trazada por la doctrina constitucional entre el derecho de acceso a la jurisdicción y del acceso al recurso; el hecho de que la STC 20/2012 no se pronunciara sobre la constitucionalidad de la tasa en este último ámbito y que sí lo hiciera la posterior STC 79/2012, de 17 de abril, que al efecto reproduce, de cuya lectura deduce que se vulnera el art. 24.1 CE en los términos expuestos, ya que “el recurrente carece aún, por la dinámica propia del proceso ordinario de este orden jurisdiccional, de todos los elementos de juicio que permitan sostener con cierto fundamento su pretensión … son restricciones carente (</w:t>
      </w:r>
      <w:r w:rsidRPr="00A90898">
        <w:rPr>
          <w:i/>
        </w:rPr>
        <w:t>sic</w:t>
      </w:r>
      <w:r>
        <w:t>) de razonabilidad y proporcionalidad, pues no guarda relación con la finalidad pretendida. El sacrificio que se impone al eventual recu</w:t>
      </w:r>
      <w:r>
        <w:lastRenderedPageBreak/>
        <w:t>rrente que, en definitiva, pretende instar la revisión jurisdiccional de la actuación administrativa, de su derecho de acceso a la jurisdicción es sumamente desproporcionado en atención al momento procesal en el que se le exige el abono de la tasa: esto es cuando —tratándose del procedimiento ordinario— desconoce los pormenores de la actuación administrativa que se propone combatir a fin de instar la facultad revisora de los jueces y tribunales de lo contencioso-administrativo”.</w:t>
      </w:r>
    </w:p>
    <w:p w:rsidR="00A90898" w:rsidRDefault="00A90898" w:rsidP="00A90898">
      <w:pPr>
        <w:pStyle w:val="TextoNormal"/>
      </w:pPr>
    </w:p>
    <w:p w:rsidR="00A90898" w:rsidRDefault="00A90898" w:rsidP="00A90898">
      <w:pPr>
        <w:pStyle w:val="TextoNormal"/>
      </w:pPr>
      <w:r>
        <w:t>Al hilo de esta última reflexión, que cuestiona no solamente la fijación del acto de interposición del recurso como hecho imponible, sino también el momento de devengo, la demanda añade que por ello se impugna también el art. 5.2 de la Ley.</w:t>
      </w:r>
    </w:p>
    <w:p w:rsidR="00A90898" w:rsidRDefault="00A90898" w:rsidP="00A90898">
      <w:pPr>
        <w:pStyle w:val="TextoNormal"/>
      </w:pPr>
    </w:p>
    <w:p w:rsidR="00A90898" w:rsidRDefault="00A90898" w:rsidP="00A90898">
      <w:pPr>
        <w:pStyle w:val="TextoNormal"/>
      </w:pPr>
      <w:r>
        <w:t xml:space="preserve">d) El apartado IV de la demanda se titula “La extensión del ámbito subjetivo de las tasas judiciales, en todos los órdenes a las personas físicas, con la única exención subjetiva de los que tengan reconocido el derecho a la asistencia jurídica gratuita”. Objeta el Gobierno de Canarias en este punto, que el art. 4.2 a) de la Ley 10/2012 —vigente a la fecha de formalizarse dicho recurso— únicamente dispensa del pago de la tasa a las personas físicas que tengan reconocido el beneficio de justicia gratuita, según su normativa reguladora. De este modo, y con invocación por la STC 20/2012, FJ 9, de la doctrina constitucional relativa al reconocimiento de un contenido indisponible del derecho a la justicia gratuita para las personas físicas, </w:t>
      </w:r>
      <w:r w:rsidRPr="00A90898">
        <w:rPr>
          <w:i/>
        </w:rPr>
        <w:t>ex</w:t>
      </w:r>
      <w:r>
        <w:t xml:space="preserve"> art. 119 CE, se sostiene que la falta de una exención subjetiva a estas últimas para el pago de la tasa por el ejercicio de la potestad jurisdiccional, con la única excepción ya mencionada, “supone, desde luego, un importante mecanismo disuasorio respecto del derecho a impetrar y obtener la tutela judicial efectiva. Los fines perseguidos con el establecimiento de la tasa —se dice racionalizar el ejercicio de la potestad jurisdiccional y aportar mayores recursos que permitan mejorar la financiación del sistema judicial— no puede amparar el establecimiento de trabas excesivas y carentes de razonabilidad y proporcionalidad”. Si bien, añade la demanda, esto “sólo se puede apreciar si valoramos conjuntamente esta previsión legal con la que pasamos a exponer a continuación, sobre la cuantía de las tasas judiciales”.</w:t>
      </w:r>
    </w:p>
    <w:p w:rsidR="00A90898" w:rsidRDefault="00A90898" w:rsidP="00A90898">
      <w:pPr>
        <w:pStyle w:val="TextoNormal"/>
      </w:pPr>
    </w:p>
    <w:p w:rsidR="00A90898" w:rsidRDefault="00A90898" w:rsidP="00A90898">
      <w:pPr>
        <w:pStyle w:val="TextoNormal"/>
      </w:pPr>
      <w:r>
        <w:t>e) Así, de inmediato se alega como apartado V: “La cuantía de las tasas, en todos los órdenes jurisdiccionales, sin tener en cuenta la capacidad de pago del sujeto pasivo ni la naturaleza del proceso”. Bajo este enunciado empieza el escrito del recurso citando de nuevo la STC 20/2012, acerca del fin legítimo de financiación de la justicia que poseía la tasa de la Ley 53/2002, sin perjuicio de advertir en el fundamento jurídico 10, sobre la eventualidad de una vulneración del art. 24.1 CE si la cuantía de la tasa establecida —que no fue el caso de la enjuiciada entonces— se considerase tan elevada que impidiera en la práctica el ejercicio del derecho fundamental; así como jurisprudencia del Tribunal Europeo de Derechos Humanos en el ámbito del acceso a la justicia del art. 6.1 del Convenio de Roma, también en relación a su conculcación por el establecimiento de tasas excesivas.</w:t>
      </w:r>
    </w:p>
    <w:p w:rsidR="00A90898" w:rsidRDefault="00A90898" w:rsidP="00A90898">
      <w:pPr>
        <w:pStyle w:val="TextoNormal"/>
      </w:pPr>
    </w:p>
    <w:p w:rsidR="00A90898" w:rsidRDefault="00A90898" w:rsidP="00A90898">
      <w:pPr>
        <w:pStyle w:val="TextoNormal"/>
      </w:pPr>
      <w:r>
        <w:t xml:space="preserve">Dado que la demanda tiene en cuenta el tenor de los preceptos de la Ley 10/2012 luego de su modificación por el Real Decreto-ley 3/2013, se destaca que pese a lo dicho en la exposición de motivos de este último, y reducirse el gravamen para las personas físicas, sin embargo según la demanda, “la determinación de la cuota tributaria que se hace en el artículo 7 del texto legal, en combinación con la determinación de la base imponible del artículo 6, induce sin mayor esfuerzo a concluir que los importes totales a satisfacer por tasas </w:t>
      </w:r>
      <w:r>
        <w:lastRenderedPageBreak/>
        <w:t>judiciales, en los distintos órdenes jurisdiccionales, desalienta y disuade al ciudadano persona física, suponiendo una carga económica excesiva que no está justificada ni es proporcional en relación con la finalidad perseguida. Resulta significativo al respecto la comparación de las actuales cuantías (su parte fija) con las establecidas en la anterior Ley 53/2002, de 30 de diciembre”. Tras recordar cómo se calcula el importe de la tasa, de acuerdo con las cuotas fija y variable que recoge el artículo 7 y de acuerdo con la base imponible del tributo, que a su vez se fija en el artículo 6 de la ley haciéndola coincidente con la cuantía del litigio, se insiste en lo limitada de la exención de la tasa a las personas físicas, a tenor de su artículo 4.</w:t>
      </w:r>
    </w:p>
    <w:p w:rsidR="00A90898" w:rsidRDefault="00A90898" w:rsidP="00A90898">
      <w:pPr>
        <w:pStyle w:val="TextoNormal"/>
      </w:pPr>
    </w:p>
    <w:p w:rsidR="00A90898" w:rsidRDefault="00A90898" w:rsidP="00A90898">
      <w:pPr>
        <w:pStyle w:val="TextoNormal"/>
      </w:pPr>
      <w:r>
        <w:t>En combinación con los umbrales para gozar del beneficio de justicia gratuita que trae la Ley 1/1996, de 10 de enero, de asistencia jurídica gratuita, la demanda da ejemplos del importe que supondría el pago por una persona física no integrada en una unidad familiar y que pretendiera ejercer una acción de responsabilidad patrimonial de la Administración por negligencia médica, tanto en primera instancia como en vía de apelación o de casación.</w:t>
      </w:r>
    </w:p>
    <w:p w:rsidR="00A90898" w:rsidRDefault="00A90898" w:rsidP="00A90898">
      <w:pPr>
        <w:pStyle w:val="TextoNormal"/>
      </w:pPr>
    </w:p>
    <w:p w:rsidR="00A90898" w:rsidRDefault="00A90898" w:rsidP="00A90898">
      <w:pPr>
        <w:pStyle w:val="TextoNormal"/>
      </w:pPr>
      <w:r>
        <w:t>Por lo que concierne a la cuantía de la tasa para las personas jurídicas, la demanda afirma que tampoco son suficientes las exenciones subjetivas del artículo 4 de la Ley, pues no comprende a “las entidades sin fines lucrativos, ni las entidades total o parcialmente exentas del Impuesto de Sociedades, ni los sujetos pasivos que tengan la consideración de entidades de reducida dimensión de acuerdo con lo previsto en la normativa reguladora del Impuesto de Sociedades”. Se recuerda asimismo que la STC 20/2012 declaró la constitucionalidad de la tasa entonces vigente, en el orden civil, en atención a la facturación elevada de las entidades obligadas a su devengo. Por lo que la situación a la fecha de la demanda, es que se está ante “importes ciertamente elevados… la Ley 10/2012 vulnera el artículo 24.1 CE y el derecho de acceso a la justifica y al recurso que consagra”.</w:t>
      </w:r>
    </w:p>
    <w:p w:rsidR="00A90898" w:rsidRDefault="00A90898" w:rsidP="00A90898">
      <w:pPr>
        <w:pStyle w:val="TextoNormal"/>
      </w:pPr>
    </w:p>
    <w:p w:rsidR="00A90898" w:rsidRDefault="00A90898" w:rsidP="00A90898">
      <w:pPr>
        <w:pStyle w:val="TextoNormal"/>
      </w:pPr>
      <w:r>
        <w:t>Como consecuencia directa, alega la demanda que se produce también la lesión del derecho a la igualdad del art. 14 CE, “desconociendo además las exigencias que impone el art. 31 de la CE” y el deber de contribuir al sostenimiento de los gastos públicos “de acuerdo con su capacidad económica mediante un sistema tributario justo inspirado en los principios de igualdad y progresividad que, en ningún caso, tendrá alcance confiscatorio”.</w:t>
      </w:r>
    </w:p>
    <w:p w:rsidR="00A90898" w:rsidRDefault="00A90898" w:rsidP="00A90898">
      <w:pPr>
        <w:pStyle w:val="TextoNormal"/>
      </w:pPr>
    </w:p>
    <w:p w:rsidR="00A90898" w:rsidRDefault="00A90898" w:rsidP="00A90898">
      <w:pPr>
        <w:pStyle w:val="TextoNormal"/>
      </w:pPr>
      <w:r>
        <w:t xml:space="preserve">Y una vez más con invocación de la STC 20/2012, FJ 9, en la que se alude a la relevancia de la inclusión en la Ley (53/2002, art. 35) de un catálogo de “numerosas exenciones objetivas y subjetivas”, y a las consideraciones fijadas en las SSTEDH de 19 de junio de 2011, asunto </w:t>
      </w:r>
      <w:r w:rsidRPr="00A90898">
        <w:rPr>
          <w:i/>
        </w:rPr>
        <w:t>Kreuz c. Polonia</w:t>
      </w:r>
      <w:r>
        <w:t xml:space="preserve">, y 26 de julio de 2005, asunto </w:t>
      </w:r>
      <w:r w:rsidRPr="00A90898">
        <w:rPr>
          <w:i/>
        </w:rPr>
        <w:t>Kniat c. Polonia</w:t>
      </w:r>
      <w:r>
        <w:t>, la demanda de inconstitucionalidad recapitula, a modo de resumen, que: “La configuración del hecho imponible de la tasa (artículo 2), el régimen, parco, en cuanto a exenciones subjetivas que se contempla en el artículo 4; la determinación de la cuota tributaria con previa delimitación de la base imponible en los términos en que se configuran … los artículos 6 y 7 de la Ley 10/2012, conduce, el conjunto de esta regulación, a la conclusión final de entender limitado el acceso a jueces y tribunales, imponiendo excesivas trabas a los ciudadanos, sin la debida proporción entre el interés público económico perseguido, y el que ostentan los ciudadanos de acceder a la Justicia”.</w:t>
      </w:r>
    </w:p>
    <w:p w:rsidR="00A90898" w:rsidRDefault="00A90898" w:rsidP="00A90898">
      <w:pPr>
        <w:pStyle w:val="TextoNormal"/>
      </w:pPr>
    </w:p>
    <w:p w:rsidR="00A90898" w:rsidRDefault="00A90898" w:rsidP="00A90898">
      <w:pPr>
        <w:pStyle w:val="TextoNormal"/>
      </w:pPr>
      <w:r>
        <w:t xml:space="preserve">f) Finaliza sus alegaciones el Gobierno de Canarias, en este mismo apartado V, aclarando que la impugnación de la disposición final primera de la Ley 10/2012, de 20 de noviembre, </w:t>
      </w:r>
      <w:r>
        <w:lastRenderedPageBreak/>
        <w:t>se formaliza solamente: “Por íntima conexión con lo anterior… en cuanto modifica la Ley 8/1989, de 13 de abril, de Tasas y Precios Públicos al efecto de introducir la tasa por el ejercicio de la potestad jurisdiccional en los órdenes civil, contencioso-administrativo y social”.</w:t>
      </w:r>
    </w:p>
    <w:p w:rsidR="00A90898" w:rsidRDefault="00A90898" w:rsidP="00A90898">
      <w:pPr>
        <w:pStyle w:val="TextoNormal"/>
      </w:pPr>
    </w:p>
    <w:p w:rsidR="00A90898" w:rsidRDefault="00A90898" w:rsidP="00A90898">
      <w:pPr>
        <w:pStyle w:val="TextoNormal"/>
      </w:pPr>
      <w:r>
        <w:t>g) El suplico de la demanda solicitó que este Tribunal tuviera por presentado dicho escrito, se sirviera admitirlo y tener por formulado recurso de inconstitucionalidad “contra los artículos 1, 2 c), e) y f), 4, 5.2 y 3, 6, 7 y disposición final primera” de la Ley 10/2012, dictándose Sentencia “por la que declare la inconstitucionalidad y nulidad de los referidos preceptos”.</w:t>
      </w:r>
    </w:p>
    <w:p w:rsidR="00A90898" w:rsidRDefault="00A90898" w:rsidP="00A90898">
      <w:pPr>
        <w:pStyle w:val="TextoNormal"/>
      </w:pPr>
    </w:p>
    <w:p w:rsidR="00A90898" w:rsidRDefault="00A90898" w:rsidP="00A90898">
      <w:pPr>
        <w:pStyle w:val="TextoNormal"/>
      </w:pPr>
      <w:r w:rsidRPr="00A90898">
        <w:rPr>
          <w:rStyle w:val="NumeroAFNegritaCaracter"/>
        </w:rPr>
        <w:t>2</w:t>
      </w:r>
      <w:r>
        <w:t>. El Pleno de este Tribunal acordó admitir a trámite el recurso mediante providencia de 24 de septiembre de 2013, dando traslado de la demanda y documentos presentados al Congreso de los Diputados y al Senado, por conducto de sus Presidentes, y al Gobierno a través del Ministro de Justicia, conforme establece el art. 34 de la Ley Orgánica del Tribunal Constitucional (LOTC), para que en el plazo de 15 días pudieran personarse en el procedimiento y formular las alegaciones que estimaren convenientes. Todo ello con publicación en el “Boletín Oficial del Estado” (núm. 240, de 7 de octubre de 2013).</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día 9 de octubre de 2013, el Abogado del Estado, en la representación que legalmente ostenta, se personó ante este Tribunal y solicitó prórroga por el máximo legal concedido para formular alegaciones, “habida cuenta del número de asuntos que penden ante esta Abogacía”. En virtud de providencia del Pleno de 10 de octubre de 2013, se accedió a lo solicitado acordándose la prórroga en ocho días más del plazo para alegaciones.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presentado en el Registro General de este Tribunal el día 7 de octubre de 2013, el Presidente del Congreso de los Diputados dio traslado del acuerdo adoptado el 1 de octubre de 2013 por la Mesa de dicha Cámara, para su personación en el procedimiento y ofrecer su colaboración, a los efectos del art. 88.1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5</w:t>
      </w:r>
      <w:r>
        <w:t>. Con idéntica finalidad, tuvo entrada en este Tribunal el 9 de octubre de 2013 un escrito del Presidente del Senado, dando traslado del Acuerdo de la Mesa de esta Cámara adoptado el 8 de octubre de 2013, dándose por personada en el procedimiento “y por ofrecida su colaboración a los efectos del art. 88.1 de la Ley Orgánica del Tribunal Constitucional”.</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el día 30 de octubre de 2013, el Abogado del Estado presentó sus alegaciones interesando la desestimación íntegra del recurso:</w:t>
      </w:r>
    </w:p>
    <w:p w:rsidR="00A90898" w:rsidRDefault="00A90898" w:rsidP="00A90898">
      <w:pPr>
        <w:pStyle w:val="TextoNormal"/>
      </w:pPr>
    </w:p>
    <w:p w:rsidR="00A90898" w:rsidRDefault="00A90898" w:rsidP="00A90898">
      <w:pPr>
        <w:pStyle w:val="TextoNormal"/>
      </w:pPr>
      <w:r>
        <w:t xml:space="preserve">a) Las tres alegaciones iniciales se refieren a cuestiones de índole general: así, en la primera se resumen los aspectos de la Ley 10/2012 cuestionados por el Gobierno de Canarias, mientras que la alegación segunda enuncia la doctrina constitucional que se considera relevante para resolver el recurso, citando al efecto la STC 20/2012, de 16 de febrero, de la que reproduce parte de sus FFJJ 7, 8 y 10, en conexión con la STEDH recaída en el asunto </w:t>
      </w:r>
      <w:r w:rsidRPr="00A90898">
        <w:rPr>
          <w:i/>
        </w:rPr>
        <w:t>Kreuz c. Polonia</w:t>
      </w:r>
      <w:r>
        <w:t xml:space="preserve">; y la STC 79/2012, de 17 de abril. De todas ellas extrae la constitucionalidad de la tasa judicial, también la de la Ley aquí impugnada, excepto en el caso en que por su cuantía resultara una barrera desproporcionada para el acceso a la justicia. Asimismo, con </w:t>
      </w:r>
      <w:r>
        <w:lastRenderedPageBreak/>
        <w:t xml:space="preserve">base en las dos Sentencias de este Tribunal ya referenciadas, se recuerda el distinto grado de protección constitucional dispensada al derecho de acceso a la jurisdicción, y al derecho de acceso al recurso, este último menos intenso y carente del canon de ponderación del </w:t>
      </w:r>
      <w:r w:rsidRPr="00A90898">
        <w:rPr>
          <w:i/>
        </w:rPr>
        <w:t>pro actione</w:t>
      </w:r>
      <w:r>
        <w:t xml:space="preserve"> (SSTC 20/2012, FJ 5; 79/2012, FJ 4).</w:t>
      </w:r>
    </w:p>
    <w:p w:rsidR="00A90898" w:rsidRDefault="00A90898" w:rsidP="00A90898">
      <w:pPr>
        <w:pStyle w:val="TextoNormal"/>
      </w:pPr>
    </w:p>
    <w:p w:rsidR="00A90898" w:rsidRDefault="00A90898" w:rsidP="00A90898">
      <w:pPr>
        <w:pStyle w:val="TextoNormal"/>
      </w:pPr>
      <w:r>
        <w:t xml:space="preserve">Por su parte, la alegación tercera se refiere a la “finalidad legítima” de las tasas judiciales: partiendo del reconocimiento que ha hecho este Tribunal de la legitimidad del propósito que ha guiado al legislador al establecerla, como es el de contribuir al sostenimiento de la Administración de Justicia, en los términos justificados por el preámbulo de la Ley 10/2012 y la vinculación de dicha tasa a financiar la justicia gratuita (art. 11), con el fin de garantizar el derecho a la gratuidad de la justicia </w:t>
      </w:r>
      <w:r w:rsidRPr="00A90898">
        <w:rPr>
          <w:i/>
        </w:rPr>
        <w:t>ex</w:t>
      </w:r>
      <w:r>
        <w:t xml:space="preserve"> art. 119 CE. Se advierte por el Abogado del Estado de las “excepcionales circunstancias” económicas que rodearon el dictado de la Ley 10/2012, en orden a la consecución del principio de estabilidad presupuestaria del art. 135 CE, de las que se hizo eco el dictamen del Consejo de Estado al entonces proyecto de ley, y las referencias contenidas en la memoria del análisis del impacto normativo que acompañaba al anteproyecto de ley. Se hace mención a los informes del Banco de España en cuanto a la magnitud de la crisis económica existente en España desde 2008 y la necesidad de políticas destinadas a su superación, entre ellas la de consolidación fiscal exigida por la Unión Europea en el programa de estabilidad y crecimiento 2012-2015. Concluye en este punto el Abogado del Estado, diciendo que “si bien la Ley 10/2012 ha mantenido un medido equilibrio entre el respeto del principio constitucional de estabilidad presupuestaria y la plena garantía del derecho fundamental a la tutela judicial efectiva del artículo 24 CE, tras la reforma llevada a cabo por el RD-ley 3/2013 objeto de impugnación, como inmediatamente veremos, la balanza se ha desplazado claramente del lado de la más absoluta garantía del derecho del artículo 24 CE”.</w:t>
      </w:r>
    </w:p>
    <w:p w:rsidR="00A90898" w:rsidRDefault="00A90898" w:rsidP="00A90898">
      <w:pPr>
        <w:pStyle w:val="TextoNormal"/>
      </w:pPr>
    </w:p>
    <w:p w:rsidR="00A90898" w:rsidRDefault="00A90898" w:rsidP="00A90898">
      <w:pPr>
        <w:pStyle w:val="TextoNormal"/>
      </w:pPr>
      <w:r>
        <w:t>b) Las siguientes alegaciones del escrito se centran en aquellos aspectos de la Ley 10/2012, específicamente impugnados en el recurso del Gobierno de Canarias. Así, la alegación cuarta se titula “Constitucionalidad de las tasas en el ámbito de la jurisdicción contencioso-administrativa”, y empieza con una cita de la STC 20/2012, FJ 4, en el que se aclara que quedaba fuera del objeto de enjuiciamiento de la cuestión de inconstitucionalidad planteada, la exigencia de las tasas judiciales (entonces, reguladas en el art. 35 de la Ley 53/2002) en los procesos contencioso-administrativos, aunque dejando hecha reserva de la prohibición que pende sobre el legislador en cuanto a impedir “en términos absolutos e incondicionales” el acceso a la justicia en dicho ámbito de jurisdicción, en cuanto vulnerador del art. 24.1 CE, prohibición que se refuerza con el mandato constitucional del art. 106.1 para el control judicial de la actividad administrativa. Luego, no se excluye la fijación de requisitos procesales si son razonables y proporcionados. Tras esto, se indica una vez más el distinto nivel de protección dado por este Tribunal Constitucional al derecho de acceso a la jurisdicción y al derecho de acceso al recurso, desde la STC 37/1995, de 7 de febrero, FJ 5).</w:t>
      </w:r>
    </w:p>
    <w:p w:rsidR="00A90898" w:rsidRDefault="00A90898" w:rsidP="00A90898">
      <w:pPr>
        <w:pStyle w:val="TextoNormal"/>
      </w:pPr>
    </w:p>
    <w:p w:rsidR="00A90898" w:rsidRDefault="00A90898" w:rsidP="00A90898">
      <w:pPr>
        <w:pStyle w:val="TextoNormal"/>
      </w:pPr>
      <w:r>
        <w:t xml:space="preserve">Ya en relación a la demanda de inconstitucionalidad, se señala que el apartado 1 del art. 1 del Real Decreto-ley 3/2013 se limitó a introducir una modificación técnica en el art. 2 e) de la Ley 10/2012, sustituyendo la frase “La interposición de demanda en el orden jurisdiccional contencioso-administrativo”, por la de “La interposición del recurso contencioso-administrativo”. Que el art. 1 de la ley se limita a definir el ámbito de aplicación de la tasa por el ejercicio de la potestad jurisdiccional en los órdenes civil, contencioso-administrativo y </w:t>
      </w:r>
      <w:r>
        <w:lastRenderedPageBreak/>
        <w:t>social, y que lo único que no está permitido es la fijación de unas tasas que por su cuantía supongan una barrera desproporcionada a dicho acceso: “lo relevante aquí es si con el gravamen se introduce un obstáculo irrazonable y, esto depende de la cuantía no del acto gravado”. Tampoco, por tanto, cabe colegir vulneración de los arts. 14 y 31 CE por parte del art. 1 de la Ley 10/2012.</w:t>
      </w:r>
    </w:p>
    <w:p w:rsidR="00A90898" w:rsidRDefault="00A90898" w:rsidP="00A90898">
      <w:pPr>
        <w:pStyle w:val="TextoNormal"/>
      </w:pPr>
    </w:p>
    <w:p w:rsidR="00A90898" w:rsidRDefault="00A90898" w:rsidP="00A90898">
      <w:pPr>
        <w:pStyle w:val="TextoNormal"/>
      </w:pPr>
      <w:r>
        <w:t>Prosigue el escrito del Abogado del Estado con la alegación que identifica como “cuarta” (en realidad, es la quinta), la cual trata sobre la “Extensión de la obligación de abonar tasas judiciales a las personas físicas, con la única exención de quienes tengan atribuido el beneficio de justicia gratuita”, a propósito de la impugnación que suscita el recurso del Gobierno de Canarias. Ante todo, niega que pueda merecer objeción constitucional alguna la mera inclusión de las personas físicas en el ámbito subjetivo de la tasa judicial, siendo que la jurisprudencia del Tribunal Europeo de Derechos Humanos no lo cuestiona, centrándose en examinar más bien la cuantía (proporcionalidad) de ellas. En todo caso, se destaca que el apartado 8 del art. 1 del Real Decreto-ley 3/2013, de 22 de febrero, por el que se introduce un apartado 3 al art. 7 de la Ley 10/2012, reduce “sustancialmente” para las personas físicas el porcentaje e importe máximo a satisfacer por de la cuota variable de la tasa, que va en paralelo con una reforma de la Ley 1/1996 de asistencia jurídica gratuita por mor del art. 2 del citado Real Decreto-ley 3/2013, en cuanto a los requisitos generales para el otorgamiento del beneficio de justicia gratuita del art. 3, en función de los ingresos económicos de la persona o unidad familiar; y además con una “importante cautela moderadora” en el art. 5 de esta última Ley 1/1996, que en atención a las circunstancias extraordinarias del solicitante puede dispensar el beneficio aunque se superen los límites de ingresos del art. 3 (siempre que no excedan el quíntuplo del indicador público de renta de efectos múltiples).</w:t>
      </w:r>
    </w:p>
    <w:p w:rsidR="00A90898" w:rsidRDefault="00A90898" w:rsidP="00A90898">
      <w:pPr>
        <w:pStyle w:val="TextoNormal"/>
      </w:pPr>
    </w:p>
    <w:p w:rsidR="00A90898" w:rsidRDefault="00A90898" w:rsidP="00A90898">
      <w:pPr>
        <w:pStyle w:val="TextoNormal"/>
      </w:pPr>
      <w:r>
        <w:t>d) A continuación aparece en el escrito de alegaciones el apartado que dedica a la “Extensión de la existencia de la tasa al orden jurisdiccional social, aun limitado al derecho de acceder a los recursos”. En él, luego de dar cuenta de las declaraciones formuladas por este Tribunal en sus SSTC 3/1983, de 25 de enero (sobre la finalidad del proceso laboral para corregir la desigualdad existente en perjuicio de los trabajadores); 118/1987, de 8 de julio (en cuanto al carácter anti formalista de dicho proceso) y 48/1995, de 14 de febrero, FJ 3 (que prima la celeridad de las actuaciones, aun a costa de la fijación de ciertos requisitos y cargas procesales), sostiene el Abogado del Estado que no cabe postular la inconstitucionalidad de toda norma, procesal o material, únicamente porque no efectúe una diferencia de trato entre el empresario y el trabajador, pues la doctrina constitucional de manera reiterada ha descartado, bajo la invocación de supuesta infracción del art. 14 CE, lo que denomina “discriminación por indiferenciación” o derecho a la desigualdad de trato. De cualquier modo, prosigue, la Ley 20/2012 (</w:t>
      </w:r>
      <w:r w:rsidRPr="00A90898">
        <w:rPr>
          <w:i/>
        </w:rPr>
        <w:t>rectius</w:t>
      </w:r>
      <w:r>
        <w:t xml:space="preserve">, 10/2012) introdujo “notables diferencias legislativas” a favor de los trabajadores, que no quedaron afectadas por el posterior Real Decreto-ley 3/2013, como es la exención del 60 por 100 para los trabajadores, para el pago de la tasa en los recursos de suplicación y casación laborales, ayudando a corregir así mismo las desigualdades originarias entre trabajador y empresario. Sin olvidar, además, como ha indicado el Consejo de Estado, que los trabajadores y beneficiarios de la seguridad social gozan del beneficio de justicia gratuita, para su defensa en juicio y para el ejercicio de acciones para la efectividad de los derechos laborales en los procedimientos concursales, </w:t>
      </w:r>
      <w:r w:rsidRPr="00A90898">
        <w:rPr>
          <w:i/>
        </w:rPr>
        <w:t>ex</w:t>
      </w:r>
      <w:r>
        <w:t xml:space="preserve"> art. 2 d) LAJG; y, añade, en los procesos sobre esas mismas materias en el orden contencioso-administrativo.</w:t>
      </w:r>
    </w:p>
    <w:p w:rsidR="00A90898" w:rsidRDefault="00A90898" w:rsidP="00A90898">
      <w:pPr>
        <w:pStyle w:val="TextoNormal"/>
      </w:pPr>
    </w:p>
    <w:p w:rsidR="00A90898" w:rsidRDefault="00A90898" w:rsidP="00A90898">
      <w:pPr>
        <w:pStyle w:val="TextoNormal"/>
      </w:pPr>
      <w:r>
        <w:lastRenderedPageBreak/>
        <w:t>Se refiere a continuación de nuevo a los arts. 14 y 31 CE, en relación al principio de igualdad tributaria, y la doctrina constitucional sobre la inexistencia del derecho a la desigualdad de trato también en este ámbito, descartando así la vulneración de esos preceptos, y observa que la tasa en el orden social se contempla por la Ley 10/2012 únicamente para recursos —suplicación y casación en sus distintas modalidades—, arts. 2 f) y 5.3, por lo que adquiere relevancia la ya apuntada distinción entre el derecho de acceso a la jurisdicción y al recurso, con cita al efecto, otra vez, de las SSTC 20/2012, FJ 5 y 79/2012, FJ 4.</w:t>
      </w:r>
    </w:p>
    <w:p w:rsidR="00A90898" w:rsidRDefault="00A90898" w:rsidP="00A90898">
      <w:pPr>
        <w:pStyle w:val="TextoNormal"/>
      </w:pPr>
    </w:p>
    <w:p w:rsidR="00A90898" w:rsidRDefault="00A90898" w:rsidP="00A90898">
      <w:pPr>
        <w:pStyle w:val="TextoNormal"/>
      </w:pPr>
      <w:r>
        <w:t>Tras dejar sentado lo que antecede, y siempre dentro del mismo apartado del escrito de alegaciones, aborda el Abogado del Estado la impugnación por el recurso del art. 4 de la Ley 10/2012, en el que se contiene el listado de exenciones objetivas y subjetivas de la tasa judicial. Se sostiene que dicho cuestionamiento respondería por su naturaleza a una inconstitucionalidad más bien por omisión del legislador y no por lo que éste establece, con cita de la STC 120/2010, de 24 de noviembre, FJ 6, que reproduce. Formulada la propuesta de la demanda en tales términos, entiende el representante del Gobierno de la Nación que “para que pueda apreciarse esta modalidad excepcional de inconstitucionalidad es preciso mucho mayor esfuerzo argumentativo que el que hace la demanda. Así es preciso que se justifique cumplidamente la existencia de una discriminación en la ley manifiestamente irrazonable entre dos supuestos que se hallen en la misma situación”. Lo que a su parecer no se ha hecho en este caso.</w:t>
      </w:r>
    </w:p>
    <w:p w:rsidR="00A90898" w:rsidRDefault="00A90898" w:rsidP="00A90898">
      <w:pPr>
        <w:pStyle w:val="TextoNormal"/>
      </w:pPr>
    </w:p>
    <w:p w:rsidR="00A90898" w:rsidRDefault="00A90898" w:rsidP="00A90898">
      <w:pPr>
        <w:pStyle w:val="TextoNormal"/>
      </w:pPr>
      <w:r>
        <w:t>e) Por último, como alegación “sexta”, el escrito del Abogado del Estado se refiere a la “Constitucionalidad de los apartados Seis, Siete y Ocho del art. 1 RD-ley 3/2013 (cuantía de la tasa en sí)”. En este punto se rechazan los argumentos dados por el recurso para considerar que el artículo 7 de la Ley es contrario a los arts. 14, 24 y 31 CE, incidiendo en la rebaja de la cuota fija introducida por el Real Decreto-ley 3/2013 cuando se trata de la impugnación de sanciones económicas, así como la distinción entre personas físicas y jurídicas en el importe de la cuota variable, todo lo cual determina la “plena adecuación constitucional” de las cuantías establecidas. Señala el Abogado del Estado los criterios para ponderar la proporcionalidad de la tasa (cuantía, capacidad económica de los destinatarios y momento en que se impone su pago) e invoca la doctrina de este Tribunal sobre el principio de normalidad de los casos, en cuya virtud el enjuiciamiento de la constitucionalidad de la norma debe hacerse en función del “caso normal y no las posibles excepciones”. Por ello no cabe fundar la impugnación del artículo 7 en casos “extremos” o “patológicos” no queridos por el legislador, existiendo además el mecanismo corrector ya indicado del art. 5 LAJG. A continuación se ponen algunos ejemplos que para el Abogado del Estado evidencian el carácter no excesivo de las tasas, teniendo en cuenta el valor del litigio, y se acota que el art. 4.1 a) de la Ley ha declarado exento de la misma a procesos de capacidad civil y de familia.</w:t>
      </w:r>
    </w:p>
    <w:p w:rsidR="00A90898" w:rsidRDefault="00A90898" w:rsidP="00A90898">
      <w:pPr>
        <w:pStyle w:val="TextoNormal"/>
      </w:pPr>
    </w:p>
    <w:p w:rsidR="00A90898" w:rsidRDefault="00A90898" w:rsidP="00A90898">
      <w:pPr>
        <w:pStyle w:val="TextoNormal"/>
      </w:pPr>
      <w:r>
        <w:t>Expuesto lo que antecede, se formula en el escrito de alegaciones una recapitulación de los distintos motivos que ha ido desglosando para defender la constitucionalidad de los preceptos de la Ley 10/2012 impugnados por el Gobierno de Canarias, añadiendo como nuevos factores a su favor, que “la generalización del criterio del vencimiento en las costas y la inclusión expresa de las tasas judiciales entre las partidas objeto de tasación hace que, en caso de estimación de las pretensiones, el demandante recupere la tasa anticipada. Con lo que el sistema consigue que tengan acceso a la jurisdicción las pretensiones más fundadas” En definitiva, sostiene que se “configura así un modelo perfectamente conforme con la Constitución”.</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29 de noviembre de 2016 se señaló para deliberación y votación de la presente Sentencia el 1 de diciembre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Gobierno de Canarias, conforme enuncia en el suplico de su escrito de demanda, ha interpuesto recurso de inconstitucionalidad contra los arts. 1; 2 en sus apartados c), e) y f); 4; 5 en sus apartados 2 y 3; 6; 7 y la disposición final primera, de la Ley 10/2012, de 20 de noviembre, “por la que se regulan determinadas tasas en el ámbito de la Administración de Justicia y del Instituto Nacional de Toxicología y Ciencias Forenses”. Como se precisa en el antecedente primero de la demanda, los preceptos que se impugnan son los vigentes a la fecha de interposición del recurso (12 de agosto de 2013), es decir, con las modificaciones introducidas en algunos de ellos por el Real Decreto-ley 3/2013, de 22 de febrero, “por el que se modifica el régimen de las tasas en el ámbito de la Administración de Justicia y el sistema de asistencia jurídica gratuita”; extensión ésta que habrá de ser rechazada, sin embargo, por las razones que se explicarán en el siguiente fundamento jurídico. El recurso que promueve con la legitimación que deriva del art. 32.2 de la Ley Orgánica del Tribunal Constitucional (LOTC), y en aplicación de la doctrina constitucional favorable a su reconocimiento a las Comunidades Autónomas, con el fin de contribuir a la depuración objetiva del ordenamiento ante una posible norma inconstitucional [invoca en tal sentido la STC 84/1982, de 23 de diciembre, pudiendo citarse más recientemente y en el mismo sentido, la STC 118/2016, de 23 de junio, FJ 1 b)].</w:t>
      </w:r>
    </w:p>
    <w:p w:rsidR="00A90898" w:rsidRDefault="00A90898" w:rsidP="00A90898">
      <w:pPr>
        <w:pStyle w:val="TextoNormal"/>
      </w:pPr>
    </w:p>
    <w:p w:rsidR="00A90898" w:rsidRDefault="00A90898" w:rsidP="00A90898">
      <w:pPr>
        <w:pStyle w:val="TextoNormal"/>
      </w:pPr>
      <w:r>
        <w:t>En síntesis, considera la entidad recurrente que la imposición de una tasa por poder impetrar el ejercicio de la potestad jurisdiccional en determinados procesos contencioso-administrativos y laborales (recursos); el no haber establecido la ley de manera generalizada exenciones a las personas físicas y jurídicas; no tener en consideración en todo caso la capacidad económica de los sujetos gravados con dicho tributo; así como la excesiva cuantía de algunas de las tasas; resulta contrario todo ello al derecho fundamental a la tutela judicial efectiva (art. 24.1 CE), consecuencia de lo cual se conculcan también, a su parecer, los principios del sistema tributario del art. 31 CE, y se generan algunas situaciones de discriminación, lesivas del art. 14 CE.</w:t>
      </w:r>
    </w:p>
    <w:p w:rsidR="00A90898" w:rsidRDefault="00A90898" w:rsidP="00A90898">
      <w:pPr>
        <w:pStyle w:val="TextoNormal"/>
      </w:pPr>
    </w:p>
    <w:p w:rsidR="00A90898" w:rsidRDefault="00A90898" w:rsidP="00A90898">
      <w:pPr>
        <w:pStyle w:val="TextoNormal"/>
      </w:pPr>
      <w:r>
        <w:t>Por su parte, el Abogado del Estado, actuando en representación del Gobierno de la Nación, interesa la desestimación del recurso por entender que los preceptos de la ley que se impugnan son constitucionales, conforme a la doctrina asentada por este Tribunal a propósito de la tasa judicial que regulaba el art. 35 de la Ley 53/2002, de 30 de diciembre, de medidas sociales, administrativas y del orden social. Constitucionalidad que incluso ha quedado reforzada con la aprobación del mencionado Real Decreto-ley 3/2013, de 22 de febrero, en cuya virtud se introdujeron algunas exenciones inicialmente no previstas, y se redujo tanto la cuota fija como variable, especialmente a las personas físicas.</w:t>
      </w:r>
    </w:p>
    <w:p w:rsidR="00A90898" w:rsidRDefault="00A90898" w:rsidP="00A90898">
      <w:pPr>
        <w:pStyle w:val="TextoNormal"/>
      </w:pPr>
    </w:p>
    <w:p w:rsidR="00A90898" w:rsidRDefault="00A90898" w:rsidP="00A90898">
      <w:pPr>
        <w:pStyle w:val="TextoNormal"/>
      </w:pPr>
      <w:r w:rsidRPr="00A90898">
        <w:rPr>
          <w:rStyle w:val="NumeroAFNegritaCaracter"/>
        </w:rPr>
        <w:t>2</w:t>
      </w:r>
      <w:r>
        <w:t>. Previamente a iniciar el análisis de fondo del recurso, debemos delimitar el objeto de nuestro enjuiciamiento:</w:t>
      </w:r>
    </w:p>
    <w:p w:rsidR="00A90898" w:rsidRDefault="00A90898" w:rsidP="00A90898">
      <w:pPr>
        <w:pStyle w:val="TextoNormal"/>
      </w:pPr>
    </w:p>
    <w:p w:rsidR="00A90898" w:rsidRDefault="00A90898" w:rsidP="00A90898">
      <w:pPr>
        <w:pStyle w:val="TextoNormal"/>
      </w:pPr>
      <w:r>
        <w:lastRenderedPageBreak/>
        <w:t>a) En primer lugar, se constata que la demanda no contiene ninguna fundamentación que sustente la inconstitucionalidad de los siguientes preceptos de Ley 10/2012, que aparecen formalmente impugnados en el suplico:</w:t>
      </w:r>
    </w:p>
    <w:p w:rsidR="00A90898" w:rsidRDefault="00A90898" w:rsidP="00A90898">
      <w:pPr>
        <w:pStyle w:val="TextoNormal"/>
      </w:pPr>
    </w:p>
    <w:p w:rsidR="00A90898" w:rsidRDefault="00A90898" w:rsidP="00A90898">
      <w:pPr>
        <w:pStyle w:val="TextoNormal"/>
      </w:pPr>
      <w:r>
        <w:t>(i) El art. 2 e), que recoge como hecho imponible de la tasa la interposición de los recursos de apelación y casación en los órdenes civil y contencioso-administrativo.</w:t>
      </w:r>
    </w:p>
    <w:p w:rsidR="00A90898" w:rsidRDefault="00A90898" w:rsidP="00A90898">
      <w:pPr>
        <w:pStyle w:val="TextoNormal"/>
      </w:pPr>
    </w:p>
    <w:p w:rsidR="00A90898" w:rsidRDefault="00A90898" w:rsidP="00A90898">
      <w:pPr>
        <w:pStyle w:val="TextoNormal"/>
      </w:pPr>
      <w:r>
        <w:t>(ii) Los apartados b) y c) del artículo 5.2, en los que, respectivamente, se fija el devengo de la tasa al momento de la interposición de los recursos de apelación y casación en el orden contencioso-administrativo, y,</w:t>
      </w:r>
    </w:p>
    <w:p w:rsidR="00A90898" w:rsidRDefault="00A90898" w:rsidP="00A90898">
      <w:pPr>
        <w:pStyle w:val="TextoNormal"/>
      </w:pPr>
    </w:p>
    <w:p w:rsidR="00A90898" w:rsidRDefault="00A90898" w:rsidP="00A90898">
      <w:pPr>
        <w:pStyle w:val="TextoNormal"/>
      </w:pPr>
      <w:r>
        <w:t>(iii) El art. 7.1, en lo que atañe a la cuota fija para los procesos civiles en primera instancia, tanto declarativos, como de ejecución y concursales.</w:t>
      </w:r>
    </w:p>
    <w:p w:rsidR="00A90898" w:rsidRDefault="00A90898" w:rsidP="00A90898">
      <w:pPr>
        <w:pStyle w:val="TextoNormal"/>
      </w:pPr>
    </w:p>
    <w:p w:rsidR="00A90898" w:rsidRDefault="00A90898" w:rsidP="00A90898">
      <w:pPr>
        <w:pStyle w:val="TextoNormal"/>
      </w:pPr>
      <w:r>
        <w:t>Por tanto, respecto de tales arts., dada la prohibición que pesa sobre este Tribunal de reconstruir de oficio toda demanda que adolezca de falta de contenido de los correspondientes motivos de impugnación [por todas, SSTC 160/2013, de 26 de septiembre, FJ 4 e) y 140/2016, de 21 de julio, FJ 2 a)], no cabe que nos pronunciemos sobre su validez constitucional, quedando así excluidos de nuestro examen.</w:t>
      </w:r>
    </w:p>
    <w:p w:rsidR="00A90898" w:rsidRDefault="00A90898" w:rsidP="00A90898">
      <w:pPr>
        <w:pStyle w:val="TextoNormal"/>
      </w:pPr>
    </w:p>
    <w:p w:rsidR="00A90898" w:rsidRDefault="00A90898" w:rsidP="00A90898">
      <w:pPr>
        <w:pStyle w:val="TextoNormal"/>
      </w:pPr>
      <w:r>
        <w:t xml:space="preserve">b) En segundo lugar, y aunque no ha sido opuesto como óbice procesal por el Abogado del Estado, ha de quedar excluido de nuestro análisis la impugnación por la demanda de los arts. 4 y 6 de la Ley 10/2012, de 20 de noviembre, los cuales no aparecen incluidos en el acuerdo de la Comisión Bilateral de Cooperación Administración General del Estado-Comunidad Autónoma de Canarias, de 15 de febrero de 2013 (“BOE” núm. 67, del 19 de marzo de 2013), la cual circunscribe la discrepancia a los artículos 1; 2, letras c), e) y f); 5.2 y 3; 7; 8.2 [éste, no impugnado en la demanda]; 11 y la disposición final primera de aquella ley. Conforme con nuestra doctrina [últimamente, STC 82/2016, de 28 de abril, FJ 2 a) y las que ahí se citan], su inclusión </w:t>
      </w:r>
      <w:r w:rsidRPr="00A90898">
        <w:rPr>
          <w:i/>
        </w:rPr>
        <w:t>ex novo</w:t>
      </w:r>
      <w:r>
        <w:t xml:space="preserve"> en la demanda resulta extemporánea cuando la Comunidad Autónoma ha optado por acudir al mecanismo de negociación del art. 33.2 LOTC, superando el plazo general de tres meses para promover el recurso (art. 33.1 LOTC).</w:t>
      </w:r>
    </w:p>
    <w:p w:rsidR="00A90898" w:rsidRDefault="00A90898" w:rsidP="00A90898">
      <w:pPr>
        <w:pStyle w:val="TextoNormal"/>
      </w:pPr>
    </w:p>
    <w:p w:rsidR="00A90898" w:rsidRDefault="00A90898" w:rsidP="00A90898">
      <w:pPr>
        <w:pStyle w:val="TextoNormal"/>
      </w:pPr>
      <w:r>
        <w:t>Asimismo y como expresamente alega la demanda, el art. 2 c) de la Ley 10/2012 se impugna en la redacción dada al mismo por el Real Decreto-ley 3/2013. Sin embargo, ninguna alusión se hace a los preceptos de este Real Decreto-ley en el mencionado acuerdo de la Comisión Bilateral de Cooperación Administración General del Estado-Comunidad Autónoma de Canarias, de 15 de febrero de 2013, por lo que no cabe tampoco acceder a la extensión objetiva del recurso que se pretende. Acerca del art. 2 c) original de la Ley, la demanda defiende que sí es constitucional, lo que releva a su vez de todo examen.</w:t>
      </w:r>
    </w:p>
    <w:p w:rsidR="00A90898" w:rsidRDefault="00A90898" w:rsidP="00A90898">
      <w:pPr>
        <w:pStyle w:val="TextoNormal"/>
      </w:pPr>
    </w:p>
    <w:p w:rsidR="00A90898" w:rsidRDefault="00A90898" w:rsidP="00A90898">
      <w:pPr>
        <w:pStyle w:val="TextoNormal"/>
      </w:pPr>
      <w:r>
        <w:t xml:space="preserve">c) En tercer término, debemos traer a colación las declaraciones efectuadas en la STC 140/2016, de 21 de julio, FJ 2 c), resolutoria del recurso de inconstitucionalidad núm. 973-2013 planteado por más de 50 diputados del Grupo Parlamentario Socialista en el Congreso de los Diputados, contra varios artículos de la misma Ley 10/2012, de 20 de noviembre, a propósito de las modificaciones que introdujo en esta última el art. 11 del Real Decreto-ley 1/2015, de 27 de febrero, de “mecanismos de segunda oportunidad, reducción de carga financiera y otras medidas de orden social” (convalidado por acuerdo del Congreso de los Diputados, de 12 de marzo de 2015, publicado en el “BOE” núm. 66, de 18 de marzo)”, en </w:t>
      </w:r>
      <w:r>
        <w:lastRenderedPageBreak/>
        <w:t>concreto al acordar la exención del pago de esta tasa a todas las personas físicas [art. 4.2 a)], y suprimir en coherencia con ello el apartado 3 del art. 7 en el que se preveía la cuota variable y escalas para dichas personas físicas; modificaciones éstas asumidas con posterioridad por el art. 10, apartados 1 y 3 respectivamente, de la Ley 25/2015, de 28 de julio, “de mecanismo de segunda oportunidad, reducción de la carga financiera y otras medidas de orden social” (entrada en vigor el 30 de julio de 2015, día siguiente al de su publicación en el “BOE” núm. 180, del día 29).</w:t>
      </w:r>
    </w:p>
    <w:p w:rsidR="00A90898" w:rsidRDefault="00A90898" w:rsidP="00A90898">
      <w:pPr>
        <w:pStyle w:val="TextoNormal"/>
      </w:pPr>
    </w:p>
    <w:p w:rsidR="00A90898" w:rsidRDefault="00A90898" w:rsidP="00A90898">
      <w:pPr>
        <w:pStyle w:val="TextoNormal"/>
      </w:pPr>
      <w:r>
        <w:t>Señalamos entonces, que como consecuencia de estas modificaciones se produjo “la pérdida sobrevenida parcial del objeto del recurso en cuanto concierne a la imposición de la tasa de la Ley 10/2012 a las personas físicas, puesto que no se trata de una simple modificación de las condiciones en que la misma ha de ser satisfecha por ellas, sino que tales reglas dejan de serles aplicables, a salvo, lógicamente, aquella que contempla la exención [art. 4.2 a)]. Además, no existe dato alguno que permita inferir que la medida de exención introducida resulte meramente coyuntural, y no nos encontramos tampoco dentro de las excepciones reconocidas a la indicada doctrina general (temas competenciales o de depuración del procedimiento legislativo), que permitiera considerar viva la controversia en este punto”. Con posterioridad han apreciado la pérdida de objeto, con base en este pronunciamiento, el ATC 175/2016, de 18 de octubre (recurso de inconstitucionalidad núm. 4948-2013), FJ 2, y el ATC de 2 de noviembre de 2016 (recurso de inconstitucionalidad núm. 995-2013), FFJJ 2 y 3.</w:t>
      </w:r>
    </w:p>
    <w:p w:rsidR="00A90898" w:rsidRDefault="00A90898" w:rsidP="00A90898">
      <w:pPr>
        <w:pStyle w:val="TextoNormal"/>
      </w:pPr>
    </w:p>
    <w:p w:rsidR="00A90898" w:rsidRDefault="00A90898" w:rsidP="00A90898">
      <w:pPr>
        <w:pStyle w:val="TextoNormal"/>
      </w:pPr>
      <w:r>
        <w:t>La repercusión de lo así declarado, sobre los motivos que se plantean en el presente recurso de inconstitucionalidad, determina:</w:t>
      </w:r>
    </w:p>
    <w:p w:rsidR="00A90898" w:rsidRDefault="00A90898" w:rsidP="00A90898">
      <w:pPr>
        <w:pStyle w:val="TextoNormal"/>
      </w:pPr>
    </w:p>
    <w:p w:rsidR="00A90898" w:rsidRDefault="00A90898" w:rsidP="00A90898">
      <w:pPr>
        <w:pStyle w:val="TextoNormal"/>
      </w:pPr>
      <w:r>
        <w:t>(i) De igual modo a como se apreció en la citada STC 140/2016, FJ 2 c), la pérdida sobrevenida parcial de objeto en relación con la impugnación de los arts. 1 y 7 de la Ley 10/2012, en lo que atañe a la exigencia de dicha tasa a las personas físicas, y,</w:t>
      </w:r>
    </w:p>
    <w:p w:rsidR="00A90898" w:rsidRDefault="00A90898" w:rsidP="00A90898">
      <w:pPr>
        <w:pStyle w:val="TextoNormal"/>
      </w:pPr>
    </w:p>
    <w:p w:rsidR="00A90898" w:rsidRDefault="00A90898" w:rsidP="00A90898">
      <w:pPr>
        <w:pStyle w:val="TextoNormal"/>
      </w:pPr>
      <w:r>
        <w:t>(ii) Con el mismo razonamiento, la pérdida sobrevenida parcial de objeto en cuanto a la impugnación de los arts. 2 f); 5.2 a); y 5.3 de la misma Ley 10/2012.</w:t>
      </w:r>
    </w:p>
    <w:p w:rsidR="00A90898" w:rsidRDefault="00A90898" w:rsidP="00A90898">
      <w:pPr>
        <w:pStyle w:val="TextoNormal"/>
      </w:pPr>
    </w:p>
    <w:p w:rsidR="00A90898" w:rsidRDefault="00A90898" w:rsidP="00A90898">
      <w:pPr>
        <w:pStyle w:val="TextoNormal"/>
      </w:pPr>
      <w:r>
        <w:t>d) También concurre la pérdida sobrevenida de objeto en relación con aquellos preceptos de la Ley 10/2012 impugnados en el presente recurso y que han sido declarados inconstitucionales y nulos por la citada STC 140/2016. En efecto, constituye doctrina de este Tribunal la de que, una vez declarada nula una norma por inconstitucional y por tanto expulsada del ordenamiento, se produce “la desaparición sobrevenida del objeto de esta impugnación, que no requiere, por lo mismo, un nuevo pronunciamiento por parte de este Tribunal” [STC 16/1996, de 1 de febrero, FJ 5; en el mismo sentido, STC 184/2014, de 6 de noviembre, FJ 2 c)]. En esta situación se encuentran los motivos del recurso articulados contra:</w:t>
      </w:r>
    </w:p>
    <w:p w:rsidR="00A90898" w:rsidRDefault="00A90898" w:rsidP="00A90898">
      <w:pPr>
        <w:pStyle w:val="TextoNormal"/>
      </w:pPr>
    </w:p>
    <w:p w:rsidR="00A90898" w:rsidRDefault="00A90898" w:rsidP="00A90898">
      <w:pPr>
        <w:pStyle w:val="TextoNormal"/>
      </w:pPr>
      <w:r>
        <w:t>(i) El art. 7.1 de la Ley 10/2012, en la cuota fija regulada en los siguientes incisos: “en el orden jurisdiccional contencioso-administrativo: abreviado: 200 €; ordinario: 350 €” [STC 140/2016, FJ 11 y fallo].</w:t>
      </w:r>
    </w:p>
    <w:p w:rsidR="00A90898" w:rsidRDefault="00A90898" w:rsidP="00A90898">
      <w:pPr>
        <w:pStyle w:val="TextoNormal"/>
      </w:pPr>
    </w:p>
    <w:p w:rsidR="00A90898" w:rsidRDefault="00A90898" w:rsidP="00A90898">
      <w:pPr>
        <w:pStyle w:val="TextoNormal"/>
      </w:pPr>
      <w:r>
        <w:t xml:space="preserve">(ii) El art. 7.1 de la Ley 10/2012, en la cuota fija regulada en los siguientes incisos: “en el orden jurisdiccional civil: …apelación: 800 €; casación y extraordinario por infracción procesal: 1.200 €”; “en el orden jurisdiccional contencioso administrativo: apelación: 800 </w:t>
      </w:r>
      <w:r>
        <w:lastRenderedPageBreak/>
        <w:t>€; casación: 1.200 €”; y “en el orden social: suplicación: 500 €; casación: 750 €” [STC 140/2016, FJ 12 y fallo], y:</w:t>
      </w:r>
    </w:p>
    <w:p w:rsidR="00A90898" w:rsidRDefault="00A90898" w:rsidP="00A90898">
      <w:pPr>
        <w:pStyle w:val="TextoNormal"/>
      </w:pPr>
    </w:p>
    <w:p w:rsidR="00A90898" w:rsidRDefault="00A90898" w:rsidP="00A90898">
      <w:pPr>
        <w:pStyle w:val="TextoNormal"/>
      </w:pPr>
      <w:r>
        <w:t>(iii) El art. 7.2 de la Ley 10/2012, en el que se preveía la cuota variable para las personas jurídicas [STC 140/2016, FJ 13 y fallo].</w:t>
      </w:r>
    </w:p>
    <w:p w:rsidR="00A90898" w:rsidRDefault="00A90898" w:rsidP="00A90898">
      <w:pPr>
        <w:pStyle w:val="TextoNormal"/>
      </w:pPr>
    </w:p>
    <w:p w:rsidR="00A90898" w:rsidRDefault="00A90898" w:rsidP="00A90898">
      <w:pPr>
        <w:pStyle w:val="TextoNormal"/>
      </w:pPr>
      <w:r>
        <w:t>e) Como sucediera con la demanda del recurso de inconstitucionalidad núm. 973-2013, la que aquí deduce el Gobierno de Canarias sostiene que la conculcación del derecho fundamental a la tutela judicial efectiva (derecho de acceso a la jurisdicción y al recurso) por las tasas del art. 7 de la Ley 10/2012, de 20 de noviembre, trae como consecuencia también un desconocimiento de los principios tributarios de capacidad económica y progresividad recogidos en el art. 31 CE.</w:t>
      </w:r>
    </w:p>
    <w:p w:rsidR="00A90898" w:rsidRDefault="00A90898" w:rsidP="00A90898">
      <w:pPr>
        <w:pStyle w:val="TextoNormal"/>
      </w:pPr>
    </w:p>
    <w:p w:rsidR="00A90898" w:rsidRDefault="00A90898" w:rsidP="00A90898">
      <w:pPr>
        <w:pStyle w:val="TextoNormal"/>
      </w:pPr>
      <w:r>
        <w:t>Pues bien, según se señaló al efecto en la STC 140/2016, de 21 de julio, FJ 14, doctrina que resulta trasladable aquí: “dado que la demanda se está refiriendo a las tasas del art. 7 de la Ley 10/2012 que ya hemos declarado inconstitucionales y nulas por vulnerar el derecho a la tutela judicial efectiva (art. 24.1 CE), pues no hace referencia a supuestos distintos de los que sirvieron de fundamento a su pretensión ya estimada, resulta por ello innecesario pronunciarnos sobre este último motivo del recurso de inconstitucionalidad, al haber sido ya erradicadas dichas tasas del ordenamiento jurídico, conforme doctrina reiterada de este Tribunal" (entre otras, SSTC 16/1996, de 1 de febrero, FJ 7; 238/2015, de 19 de noviembre, FJ 8, y 82/2016, de 28 de abril, FJ 7)”.</w:t>
      </w:r>
    </w:p>
    <w:p w:rsidR="00A90898" w:rsidRDefault="00A90898" w:rsidP="00A90898">
      <w:pPr>
        <w:pStyle w:val="TextoNormal"/>
      </w:pPr>
    </w:p>
    <w:p w:rsidR="00A90898" w:rsidRDefault="00A90898" w:rsidP="00A90898">
      <w:pPr>
        <w:pStyle w:val="TextoNormal"/>
      </w:pPr>
      <w:r>
        <w:t>f) Como resultado de la delimitación que antecede, el objeto del presente recurso de inconstitucionalidad queda circunscrito a los motivos siguientes de la demanda:</w:t>
      </w:r>
    </w:p>
    <w:p w:rsidR="00A90898" w:rsidRDefault="00A90898" w:rsidP="00A90898">
      <w:pPr>
        <w:pStyle w:val="TextoNormal"/>
      </w:pPr>
    </w:p>
    <w:p w:rsidR="00A90898" w:rsidRDefault="00A90898" w:rsidP="00A90898">
      <w:pPr>
        <w:pStyle w:val="TextoNormal"/>
      </w:pPr>
      <w:r>
        <w:t>(i) La exigencia del pago de la tasa por la interposición de los recursos de suplicación y casación en el orden social, lo que concierne a los arts. 1, 2 f) y 5.3 de la Ley 10/2012, en su aplicación a las personas jurídicas.</w:t>
      </w:r>
    </w:p>
    <w:p w:rsidR="00A90898" w:rsidRDefault="00A90898" w:rsidP="00A90898">
      <w:pPr>
        <w:pStyle w:val="TextoNormal"/>
      </w:pPr>
    </w:p>
    <w:p w:rsidR="00A90898" w:rsidRDefault="00A90898" w:rsidP="00A90898">
      <w:pPr>
        <w:pStyle w:val="TextoNormal"/>
      </w:pPr>
      <w:r>
        <w:t>(ii) La exigencia de la tasa por la interposición del recurso contencioso-administrativo en el proceso ordinario, lo que afecta a su vez al art. 5.2 a) de la Ley 10/2012, también en cuanto a su aplicación a las personas jurídicas.</w:t>
      </w:r>
    </w:p>
    <w:p w:rsidR="00A90898" w:rsidRDefault="00A90898" w:rsidP="00A90898">
      <w:pPr>
        <w:pStyle w:val="TextoNormal"/>
      </w:pPr>
    </w:p>
    <w:p w:rsidR="00A90898" w:rsidRDefault="00A90898" w:rsidP="00A90898">
      <w:pPr>
        <w:pStyle w:val="TextoNormal"/>
      </w:pPr>
      <w:r>
        <w:t>(iii) La impugnación “por conexión con lo anterior”, de la disposición final primera de la citada Ley 10/2012.</w:t>
      </w:r>
    </w:p>
    <w:p w:rsidR="00A90898" w:rsidRDefault="00A90898" w:rsidP="00A90898">
      <w:pPr>
        <w:pStyle w:val="TextoNormal"/>
      </w:pPr>
    </w:p>
    <w:p w:rsidR="00A90898" w:rsidRDefault="00A90898" w:rsidP="00A90898">
      <w:pPr>
        <w:pStyle w:val="TextoNormal"/>
      </w:pPr>
      <w:r w:rsidRPr="00A90898">
        <w:rPr>
          <w:rStyle w:val="NumeroAFNegritaCaracter"/>
        </w:rPr>
        <w:t>3</w:t>
      </w:r>
      <w:r>
        <w:t>. Así, la demanda impugna conjuntamente los 1, 2 f) y 5.3 de la Ley 10/2012, de 20 de noviembre, todos ellos en su redacción original —en cuanto no modificados por ninguna norma posterior—, y que preceptúan lo siguiente:</w:t>
      </w:r>
    </w:p>
    <w:p w:rsidR="00A90898" w:rsidRDefault="00A90898" w:rsidP="00A90898">
      <w:pPr>
        <w:pStyle w:val="TextoNormal"/>
      </w:pPr>
    </w:p>
    <w:p w:rsidR="00A90898" w:rsidRDefault="00A90898" w:rsidP="00A90898">
      <w:pPr>
        <w:pStyle w:val="TextoNormal"/>
      </w:pPr>
      <w:r>
        <w:t>“Artículo 1. Ámbito de aplicación de la tasa por el ejercicio de la potestad jurisdiccional en los órdenes civil, contencioso-administrativo y social.</w:t>
      </w:r>
    </w:p>
    <w:p w:rsidR="00A90898" w:rsidRDefault="00A90898" w:rsidP="00A90898">
      <w:pPr>
        <w:pStyle w:val="TextoNormal"/>
      </w:pPr>
    </w:p>
    <w:p w:rsidR="00A90898" w:rsidRDefault="00A90898" w:rsidP="00A90898">
      <w:pPr>
        <w:pStyle w:val="TextoNormal"/>
      </w:pPr>
      <w:r>
        <w:t xml:space="preserve">La tasa por el ejercicio de la potestad jurisdiccional en los órdenes civil, contencioso-administrativo y social tiene carácter estatal y será exigible por igual en todo el territorio nacional en los supuestos previstos en esta Ley, sin perjuicio de las tasas y demás tributos </w:t>
      </w:r>
      <w:r>
        <w:lastRenderedPageBreak/>
        <w:t>que puedan exigir las Comunidades Autónomas en el ejercicio de sus respectivas competencias financieras, los cuales no podrán gravar los mismos hechos imponibles.”</w:t>
      </w:r>
    </w:p>
    <w:p w:rsidR="00A90898" w:rsidRDefault="00A90898" w:rsidP="00A90898">
      <w:pPr>
        <w:pStyle w:val="TextoNormal"/>
      </w:pPr>
    </w:p>
    <w:p w:rsidR="00A90898" w:rsidRDefault="00A90898" w:rsidP="00A90898">
      <w:pPr>
        <w:pStyle w:val="TextoNormal"/>
      </w:pPr>
      <w:r>
        <w:t>“Artículo 2. Hecho imponible de la tasa.</w:t>
      </w:r>
    </w:p>
    <w:p w:rsidR="00A90898" w:rsidRDefault="00A90898" w:rsidP="00A90898">
      <w:pPr>
        <w:pStyle w:val="TextoNormal"/>
      </w:pPr>
    </w:p>
    <w:p w:rsidR="00A90898" w:rsidRDefault="00A90898" w:rsidP="00A90898">
      <w:pPr>
        <w:pStyle w:val="TextoNormal"/>
      </w:pPr>
      <w:r>
        <w:t xml:space="preserve">Constituye el hecho imponible de la tasa el ejercicio de la potestad jurisdiccional originada por el ejercicio de los siguientes actos procesales: </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f) La interposición de recursos de suplicación y de casación en el orden social.”</w:t>
      </w:r>
    </w:p>
    <w:p w:rsidR="00A90898" w:rsidRDefault="00A90898" w:rsidP="00A90898">
      <w:pPr>
        <w:pStyle w:val="TextoNormal"/>
      </w:pPr>
    </w:p>
    <w:p w:rsidR="00A90898" w:rsidRDefault="00A90898" w:rsidP="00A90898">
      <w:pPr>
        <w:pStyle w:val="TextoNormal"/>
      </w:pPr>
      <w:r>
        <w:t xml:space="preserve">“Artículo 5. Devengo de la tasa. </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3. En el orden social, el devengo de la tasa se produce en el momento de la interposición del recurso de suplicación o de casación.”</w:t>
      </w:r>
    </w:p>
    <w:p w:rsidR="00A90898" w:rsidRDefault="00A90898" w:rsidP="00A90898">
      <w:pPr>
        <w:pStyle w:val="TextoNormal"/>
      </w:pPr>
    </w:p>
    <w:p w:rsidR="00A90898" w:rsidRDefault="00A90898" w:rsidP="00A90898">
      <w:pPr>
        <w:pStyle w:val="TextoNormal"/>
      </w:pPr>
      <w:r>
        <w:t>Postula el Gobierno de Canarias a través de su representante procesal, que resulta contrario al derecho fundamental a la tutela judicial efectiva (art. 24.1 CE) el exigir el pago de la tasa para poder interponer los recursos de suplicación y de casación (ésta, tanto la ordinaria como para la unificación de doctrina) laboral, únicos procedimientos de este orden jurisdiccional gravados por la Ley 10/2012. Advierte la demanda que este Tribunal no analizó la constitucionalidad de la tasa judicial en ese ámbito de la justicia, en su STC 20/2012, de 16 de febrero, dictada en relación con el entonces vigente art. 35 de la Ley 53/2002, de 30 de diciembre, pero respecto a su exigencia en el orden civil. Sin embargo, continúa, sí dejó hecha reserva en su fundamento jurídico 4 sobre las “especiales características que protegen el acceso a la justicia” en este orden jurisdiccional, lo que debe cohonestarse con otros pronunciamientos de nuestra doctrina acerca del carácter tuitivo del proceso laboral, rectificador de la desigualdad existente entre las partes, en concreto en perjuicio de los trabajadores; reconociendo en todo caso la distinción trazada por este Tribunal entre el canon de control aplicable para ponderar la lesión del derecho de acceso a la jurisdicción, y el que resulta a su vez para el derecho de acceso al recurso.</w:t>
      </w:r>
    </w:p>
    <w:p w:rsidR="00A90898" w:rsidRDefault="00A90898" w:rsidP="00A90898">
      <w:pPr>
        <w:pStyle w:val="TextoNormal"/>
      </w:pPr>
    </w:p>
    <w:p w:rsidR="00A90898" w:rsidRDefault="00A90898" w:rsidP="00A90898">
      <w:pPr>
        <w:pStyle w:val="TextoNormal"/>
      </w:pPr>
      <w:r>
        <w:t xml:space="preserve">A esta pretensión se opone el Abogado del Estado, actuando en representación del Gobierno de la Nación, al entender que la meritada naturaleza tuitiva del proceso laboral, así como la interpretación no formalista de ciertos requisitos procesales en orden a facilitar el acceso a la justicia en este ámbito, no acarrean la inconstitucionalidad que se predica, pues no cabe sostener un derecho a la discriminación por indiferenciación </w:t>
      </w:r>
      <w:r w:rsidRPr="00A90898">
        <w:rPr>
          <w:i/>
        </w:rPr>
        <w:t>ex</w:t>
      </w:r>
      <w:r>
        <w:t xml:space="preserve"> art. 14 CE, conforme a reiterada doctrina de este Tribunal. Y porque además tanto la Ley 10/2012 —al recoger la reducción del 60 por 100 del pago de la tasa a los trabajadores—, como la Ley 1/1996 de asistencia jurídica gratuita al otorgar dicho beneficio en su art. 2 d), a estos últimos así como a los beneficiarios de la seguridad social, contribuye de modo satisfactorio también a eliminar las desigualdades entre las partes.</w:t>
      </w:r>
    </w:p>
    <w:p w:rsidR="00A90898" w:rsidRDefault="00A90898" w:rsidP="00A90898">
      <w:pPr>
        <w:pStyle w:val="TextoNormal"/>
      </w:pPr>
    </w:p>
    <w:p w:rsidR="00A90898" w:rsidRDefault="00A90898" w:rsidP="00A90898">
      <w:pPr>
        <w:pStyle w:val="TextoNormal"/>
      </w:pPr>
      <w:r>
        <w:t xml:space="preserve">Expuestas ambas posiciones, debemos recordar que en la STC 140/2016, de 21 de julio, este Tribunal ya ha tenido ocasión de pronunciarse sobre la vulneración del art. 24.1 CE </w:t>
      </w:r>
      <w:r>
        <w:lastRenderedPageBreak/>
        <w:t xml:space="preserve">(acceso a la jurisdicción y acceso al recurso), atribuida al art. 1 de la Ley 10/2012 por la sola circunstancia de establecer el pago de una tasa por impetrar el ejercicio de la potestad jurisdiccional, en los órdenes contencioso-administrativo y social. Señalamos entonces en el fundamento jurídico 3, a fin de centrar el debate, que: “la queja debe ser respondida partiendo del contenido y límites del derecho previsto en el art. 119 CE, a cuyo tenor ‘la justicia será gratuita cuando así lo disponga la ley y, en todo caso, respecto de quienes acrediten insuficiencia de recursos para litigar’. La doctrina de este Tribunal tiene asentado, así, que el derecho a una justicia gratuita deviene instrumental del ejercicio del derecho fundamental a la tutela judicial efectiva (por todas, SSTC 9/2008, de 21 de enero, FJ 2, y 10/2008, de 21 de enero, FJ 2, así como las que en ellas se citan). Ahora bien, el art. 119 CE consagra un derecho de configuración legal, en cuya consecuencia ha de reconocerse libertad al legislador para regular los requisitos de su otorgamiento, pudiendo ‘modular la gratuidad en función del orden jurisdiccional afectado —penal, laboral, civil...— o incluso del tipo concreto de proceso y, por supuesto, en función de los recursos económicos de los que pueda disponer en cada momento’ (STC 16/1994, de 20 de enero, FJ 3). Ciertamente, hemos identificado dentro del enunciado de este derecho un ‘núcleo indisponible’ para el legislador, el cual atiende solamente a una circunstancia personal, que es la insuficiencia de recursos para litigar del solicitante (STC 16/1994, de 20 de enero, FJ 3). El art. 119 CE no reconoce un derecho a la gratuidad de la justicia en atención a la naturaleza de los derechos e intereses legítimos controvertidos o al tipo de proceso que permite su tutela. Ningún orden jurisdiccional, ni siquiera el penal, tiene garantizado </w:t>
      </w:r>
      <w:r w:rsidRPr="00A90898">
        <w:rPr>
          <w:i/>
        </w:rPr>
        <w:t>ex Constitutione</w:t>
      </w:r>
      <w:r>
        <w:t xml:space="preserve"> la gratuidad para quienes entablan acciones o recursos en ellos. En la STC 20/2012, de 16 de febrero, declaramos que la tasa judicial del art. 35 de la Ley 53/2002 no era contraria al derecho de acceso a la jurisdicción (art. 24.1 CE), no solamente porque su cuantía no resultaba desproporcionada en función de la alta capacidad económica que se atribuye a las entidades que venían sujetas a su pago, sino porque con ella se perseguía una finalidad legítima, la de ‘financiar el servicio público de la Administración de Justicia con cargo a los justiciables que más se benefician de la actividad jurisdiccional, disminuyendo correlativamente la financiación procedente de los impuestos’ (FJ 8). Esa misma finalidad legítima está presente también en la Ley aquí impugnada”.</w:t>
      </w:r>
    </w:p>
    <w:p w:rsidR="00A90898" w:rsidRDefault="00A90898" w:rsidP="00A90898">
      <w:pPr>
        <w:pStyle w:val="TextoNormal"/>
      </w:pPr>
    </w:p>
    <w:p w:rsidR="00A90898" w:rsidRDefault="00A90898" w:rsidP="00A90898">
      <w:pPr>
        <w:pStyle w:val="TextoNormal"/>
      </w:pPr>
      <w:r>
        <w:t>En particular, respecto de la imposición de la tasa en el orden social, declaramos asimismo —también en el fundamento jurídico 3— que ésta no resultaba inconstitucional en los términos planteados, teniendo en cuenta que: “La STC 20/2012, FJ 4, hizo advertencia entonces de las ‘especiales características que protegen el acceso a la justicia en materia … social’, con cita de las precedentes SSTC 3/1983, de 25 de enero, FJ 3; 118/1987, de 8 de julio, FJ 3, y 48/1995, de 14 de febrero, FJ 3, queriendo destacar con las dos últimas el carácter no rigurosamente formalista del proceso laboral y, con la primera de ellas, que si bien no existe un derecho constitucional de gratuidad de la justicia en este ámbito, el fin que hemos atribuido a dicho proceso como instrumento corrector de desigualdades entre el trabajador y el empresario, no puede quedar comprometido por la exigencia de un esfuerzo económico excesivo en la satisfacción de un tributo para su acceso. La constatación de si esta última cautela ha sido atendida por la Ley 10/2012 que se impugna, en relación con los importes fijados para interponer los recursos de suplicación y casación laborales, queda postergada igualmente al estudio de constitucionalidad del artículo 7”.</w:t>
      </w:r>
    </w:p>
    <w:p w:rsidR="00A90898" w:rsidRDefault="00A90898" w:rsidP="00A90898">
      <w:pPr>
        <w:pStyle w:val="TextoNormal"/>
      </w:pPr>
    </w:p>
    <w:p w:rsidR="00A90898" w:rsidRDefault="00A90898" w:rsidP="00A90898">
      <w:pPr>
        <w:pStyle w:val="TextoNormal"/>
      </w:pPr>
      <w:r>
        <w:t xml:space="preserve">Reconocido pues el fin constitucionalmente legítimo que mueve al legislador con la fijación de este tributo en el orden jurisdiccional social, aplicable actualmente a las personas </w:t>
      </w:r>
      <w:r>
        <w:lastRenderedPageBreak/>
        <w:t>jurídicas —conforme ya se ha razonado en el anterior fundamento jurídico, apartado b), de esta Sentencia—, no se aporta por la entidad autonómica recurrente, motivo nuevo o distinto de los ya considerados entonces, que puedan llevarnos a modificar la decisión adoptada en aquella STC 140/2016, FJ 3, respecto del art. 1 de la Ley 10/2012.</w:t>
      </w:r>
    </w:p>
    <w:p w:rsidR="00A90898" w:rsidRDefault="00A90898" w:rsidP="00A90898">
      <w:pPr>
        <w:pStyle w:val="TextoNormal"/>
      </w:pPr>
    </w:p>
    <w:p w:rsidR="00A90898" w:rsidRDefault="00A90898" w:rsidP="00A90898">
      <w:pPr>
        <w:pStyle w:val="TextoNormal"/>
      </w:pPr>
      <w:r>
        <w:t>Como además se desprende de la propia demanda, el cuestionamiento a su vez de los artículos 2 f) y 5.3 no tiene contenido propio, sino que tales preceptos se impugnan por conexión con aquel artículo 1, al plasmar respectivamente la incardinación como hecho imponible de la tasa la interposición de los mencionados recursos devolutivos, y su devengo a la fecha de presentación de los correspondientes escritos (de interposición).</w:t>
      </w:r>
    </w:p>
    <w:p w:rsidR="00A90898" w:rsidRDefault="00A90898" w:rsidP="00A90898">
      <w:pPr>
        <w:pStyle w:val="TextoNormal"/>
      </w:pPr>
    </w:p>
    <w:p w:rsidR="00A90898" w:rsidRDefault="00A90898" w:rsidP="00A90898">
      <w:pPr>
        <w:pStyle w:val="TextoNormal"/>
      </w:pPr>
      <w:r>
        <w:t>En consecuencia, se desestima este motivo, y declaramos que los arts. 1, 2 f) y 5.3 de la Ley 10/2012, de 20 de noviembre, no resultan contrarios al art. 24.1 CE, en relación con el art. 119 CE.</w:t>
      </w:r>
    </w:p>
    <w:p w:rsidR="00A90898" w:rsidRDefault="00A90898" w:rsidP="00A90898">
      <w:pPr>
        <w:pStyle w:val="TextoNormal"/>
      </w:pPr>
    </w:p>
    <w:p w:rsidR="00A90898" w:rsidRDefault="00A90898" w:rsidP="00A90898">
      <w:pPr>
        <w:pStyle w:val="TextoNormal"/>
      </w:pPr>
      <w:r w:rsidRPr="00A90898">
        <w:rPr>
          <w:rStyle w:val="NumeroAFNegritaCaracter"/>
        </w:rPr>
        <w:t>4</w:t>
      </w:r>
      <w:r>
        <w:t>. Plantea a continuación la demanda que la exigencia de la tasa al tiempo de presentarse el escrito de interposición del recurso contencioso-administrativo ordinario (ya sólo, en su aplicación a las personas jurídicas), resulta contraria al ejercicio del derecho a la tutela judicial efectiva (art. 24.1 CE). Aunque incluye la cita formal del artículo 2 c), que se refiere a la sola previsión del hecho imponible y que en todo caso hemos dejado fuera de nuestro examen (anterior fundamento segundo, b), el Gobierno de Canarias centra su reproche sobre todo en el otro de los preceptos que invoca, el art. 5.2 a) de la Ley, ya que es éste donde se fija el momento procesal en que ha de satisfacerse el tributo, causa nuclear de su impugnación. Dicho precepto indica:</w:t>
      </w:r>
    </w:p>
    <w:p w:rsidR="00A90898" w:rsidRDefault="00A90898" w:rsidP="00A90898">
      <w:pPr>
        <w:pStyle w:val="TextoNormal"/>
      </w:pPr>
    </w:p>
    <w:p w:rsidR="00A90898" w:rsidRDefault="00A90898" w:rsidP="00A90898">
      <w:pPr>
        <w:pStyle w:val="TextoNormal"/>
      </w:pPr>
      <w:r>
        <w:t xml:space="preserve">“Artículo 5. Devengo de la tasa. </w:t>
      </w:r>
    </w:p>
    <w:p w:rsidR="00A90898" w:rsidRDefault="00A90898" w:rsidP="00A90898">
      <w:pPr>
        <w:pStyle w:val="TextoNormal"/>
      </w:pPr>
    </w:p>
    <w:p w:rsidR="00A90898" w:rsidRDefault="00A90898" w:rsidP="00A90898">
      <w:pPr>
        <w:pStyle w:val="TextoNormal"/>
      </w:pPr>
      <w:r>
        <w:t>…</w:t>
      </w:r>
    </w:p>
    <w:p w:rsidR="00A90898" w:rsidRDefault="00A90898" w:rsidP="00A90898">
      <w:pPr>
        <w:pStyle w:val="TextoNormal"/>
      </w:pPr>
    </w:p>
    <w:p w:rsidR="00A90898" w:rsidRDefault="00A90898" w:rsidP="00A90898">
      <w:pPr>
        <w:pStyle w:val="TextoNormal"/>
      </w:pPr>
      <w:r>
        <w:t>2. En el orden contencioso-administrativo, el devengo de la tasa se produce en los siguientes momentos procesales:</w:t>
      </w:r>
    </w:p>
    <w:p w:rsidR="00A90898" w:rsidRDefault="00A90898" w:rsidP="00A90898">
      <w:pPr>
        <w:pStyle w:val="TextoNormal"/>
      </w:pPr>
    </w:p>
    <w:p w:rsidR="00A90898" w:rsidRDefault="00A90898" w:rsidP="00A90898">
      <w:pPr>
        <w:pStyle w:val="TextoNormal"/>
      </w:pPr>
      <w:r>
        <w:t>a) Interposición del recurso contencioso-administrativo, acompañada o no de la formulación de demanda.”</w:t>
      </w:r>
    </w:p>
    <w:p w:rsidR="00A90898" w:rsidRDefault="00A90898" w:rsidP="00A90898">
      <w:pPr>
        <w:pStyle w:val="TextoNormal"/>
      </w:pPr>
    </w:p>
    <w:p w:rsidR="00A90898" w:rsidRDefault="00A90898" w:rsidP="00A90898">
      <w:pPr>
        <w:pStyle w:val="TextoNormal"/>
      </w:pPr>
      <w:r>
        <w:t xml:space="preserve">El recurso de inconstitucionalidad no rechaza de modo absoluto la constitucionalidad de la tasa para poder impetrar la tutela jurisdiccional en el orden contencioso-administrativo. Lo que impugna, únicamente, es la exigencia de dicho pago cuando se trata de la primera o única instancia del proceso ordinario de los arts. 43 y siguientes de la Ley 29/1998, de 13 de julio, reguladora de la Jurisdicción Contencioso-administrativa (en adelante, LJCA), en la fase inicial de interposición del recurso. Se alega en síntesis, como se detalló en los antecedentes, que al contemplarse como hecho imponible, y situar la fecha de devengo del tributo, en el momento de aquel acto procesal, el justiciable de turno se halla todavía en una situación en la que no ha tenido acceso al expediente administrativo de la causa, por lo que la tasa se satisface “antes de contar con los antecedentes que permitan fundamentar convenientemente la acción”. Tal exigencia se reputa como un sacrificio carente de razonabilidad y desproporcionado, que no toma en cuenta la doctrina de este Tribunal sobre el contenido del derecho de acceso a la jurisdicción (art. 24.1 CE), recordando que la STC 20/2012 hizo </w:t>
      </w:r>
      <w:r>
        <w:lastRenderedPageBreak/>
        <w:t>reserva de las peculiaridades de esta tasa en el orden contencioso-administrativo, “consecuencia del mandato contenido en el art. 106.1 CE”.</w:t>
      </w:r>
    </w:p>
    <w:p w:rsidR="00A90898" w:rsidRDefault="00A90898" w:rsidP="00A90898">
      <w:pPr>
        <w:pStyle w:val="TextoNormal"/>
      </w:pPr>
    </w:p>
    <w:p w:rsidR="00A90898" w:rsidRDefault="00A90898" w:rsidP="00A90898">
      <w:pPr>
        <w:pStyle w:val="TextoNormal"/>
      </w:pPr>
      <w:r>
        <w:t>Por su lado, el Abogado del Estado mantiene que los citados preceptos son constitucionales, teniendo en cuenta que la doctrina de este Tribunal lo que proscribe es la imposición de unas tasas cuya cuantía impida “en términos absolutos e incondicionados” el acceso a la justicia en este ámbito, lo que no se regula en los que ahora se analizan. Además, el legislador se limitó a una reforma técnica del artículo 2 c) a través del Real Decreto-ley 3/2013, sustituyendo el término original de “demanda”, por el de “la interposición del recurso contencioso-administrativo” (el Abogado del Estado no oponía óbice sobre este precepto).</w:t>
      </w:r>
    </w:p>
    <w:p w:rsidR="00A90898" w:rsidRDefault="00A90898" w:rsidP="00A90898">
      <w:pPr>
        <w:pStyle w:val="TextoNormal"/>
      </w:pPr>
    </w:p>
    <w:p w:rsidR="00A90898" w:rsidRDefault="00A90898" w:rsidP="00A90898">
      <w:pPr>
        <w:pStyle w:val="TextoNormal"/>
      </w:pPr>
      <w:r>
        <w:t>Circunscrito el debate, insistimos, al art. 5.2 a) de la Ley, debe adelantarse la desestimación del motivo del recurso que se propone, atendiendo a las consideraciones siguientes:</w:t>
      </w:r>
    </w:p>
    <w:p w:rsidR="00A90898" w:rsidRDefault="00A90898" w:rsidP="00A90898">
      <w:pPr>
        <w:pStyle w:val="TextoNormal"/>
      </w:pPr>
    </w:p>
    <w:p w:rsidR="00A90898" w:rsidRDefault="00A90898" w:rsidP="00A90898">
      <w:pPr>
        <w:pStyle w:val="TextoNormal"/>
      </w:pPr>
      <w:r>
        <w:t xml:space="preserve">a) Ante todo, conviene precisar que en el tenor original de la Ley 10/2012 existía una cierta discordancia, entre la delimitación normativa del hecho imponible de la tasa y la del momento de su devengo en el orden contencioso-administrativo, en los procesos de primera o única instancia: así, el artículo 2 c) señalaba como hecho imponible el de “la interposición de la demanda”, anudando la fase inicial del proceso con un acto procesal concreto, la formalización del escrito de demanda, como si fuera éste el único modo de impetrar el ejercicio de la potestad jurisdiccional contencioso-administrativa. No resulta así desde luego en el proceso ordinario, donde la generalidad de los asuntos comienzan mediante la presentación del llamado “escrito de interposición del recurso” del art. 45.1 LJCA, resultando más bien excepcional su deducción a través de demanda (sólo en recursos de lesividad planteados por las Administraciones —art. 45.4 LJCA—, las cuales por cierto no pagan tasa judicial </w:t>
      </w:r>
      <w:r w:rsidRPr="00A90898">
        <w:rPr>
          <w:i/>
        </w:rPr>
        <w:t>ex</w:t>
      </w:r>
      <w:r>
        <w:t xml:space="preserve"> art. 4.2. de la Ley 10/2012; y en recursos promovidos contra una disposición general, acto, inactividad o vía de hecho, cuando no aparecen terceros interesados —art. 45.5 LJCA—).</w:t>
      </w:r>
    </w:p>
    <w:p w:rsidR="00A90898" w:rsidRDefault="00A90898" w:rsidP="00A90898">
      <w:pPr>
        <w:pStyle w:val="TextoNormal"/>
      </w:pPr>
    </w:p>
    <w:p w:rsidR="00A90898" w:rsidRDefault="00A90898" w:rsidP="00A90898">
      <w:pPr>
        <w:pStyle w:val="TextoNormal"/>
      </w:pPr>
      <w:r>
        <w:t>En cambio, el art. 5.2 a) de la Ley 10/2012 precisa, desde su dictado original y todavía hoy, que el devengo de la tasa se proyecta a la fecha de la “interposición del recurso contencioso-administrativo, acompañada o no de la formulación de demanda”. Distingue así correctamente el precepto, por un lado, la fase procesal en sentido estricto (la inicial de interposición del recurso), y de otro lado, el modo de formalizar el derecho de acción (con “demanda” o no, según el procedimiento).</w:t>
      </w:r>
    </w:p>
    <w:p w:rsidR="00A90898" w:rsidRDefault="00A90898" w:rsidP="00A90898">
      <w:pPr>
        <w:pStyle w:val="TextoNormal"/>
      </w:pPr>
    </w:p>
    <w:p w:rsidR="00A90898" w:rsidRDefault="00A90898" w:rsidP="00A90898">
      <w:pPr>
        <w:pStyle w:val="TextoNormal"/>
      </w:pPr>
      <w:r>
        <w:t>b) En todo caso el recurso de inconstitucionalidad, interesa destacarlo, no pone en entredicho que pueda girarse la tasa en la fase inicial del proceso contencioso-administrativo solamente por esta circunstancia temporal; o lo que es lo mismo, no postula que la tasa deba cobrarse ya avanzado el procedimiento, ni después de su finalización por resolución definitiva dictada en la (primera o única) instancia. Lo que rechaza es que la tasa se exija al recurrente —recordemos: persona jurídica—, como sucede en el proceso ordinario, cuando todavía no ha tenido acceso al expediente administrativo con el fin de articular de manera completa su pretensión, lo que únicamente tiene lugar posteriormente, en el trámite de deducir la demand</w:t>
      </w:r>
      <w:r w:rsidRPr="00A90898">
        <w:rPr>
          <w:i/>
        </w:rPr>
        <w:t xml:space="preserve">a </w:t>
      </w:r>
      <w:r>
        <w:t>ex art 52 LJCA.</w:t>
      </w:r>
    </w:p>
    <w:p w:rsidR="00A90898" w:rsidRDefault="00A90898" w:rsidP="00A90898">
      <w:pPr>
        <w:pStyle w:val="TextoNormal"/>
      </w:pPr>
    </w:p>
    <w:p w:rsidR="00A90898" w:rsidRDefault="00A90898" w:rsidP="00A90898">
      <w:pPr>
        <w:pStyle w:val="TextoNormal"/>
      </w:pPr>
      <w:r>
        <w:t xml:space="preserve">Este Tribunal ya se ha referido al hecho imponible de la tasa judicial y su exigencia en la fase inicial de los distintos procedimientos judiciales, en nuestra STC 162/2012, de 20 de septiembre, FJ 5, a propósito del art. 35.1 de la Ley 53/2002, pero que resultan enteramente </w:t>
      </w:r>
      <w:r>
        <w:lastRenderedPageBreak/>
        <w:t>predicables del art. 2 e) de la Ley 10/2012: “La propia configuración de la tasa … pone claramente de manifiesto la relación con esa función jurisdiccional del Estado a la que se acaba de aludir, pues se refiere a la puesta en marcha o a la continuación de determinados procesos … En efecto, la tasa se vincula directamente con el acceso a la jurisdicción … así como con la continuación de procesos judiciales ya iniciados en esos órdenes jurisdiccionales y persigue financiar los costes generados por la actividad jurisdiccional que conlleva juzgar las demandas que determinados justiciables deciden libremente interponer en defensa de sus derechos e intereses legítimos, disminuyendo así correlativamente la financiación procedente de los impuestos con cargo a la generalidad de los ciudadanos … Por tanto, la regulación de la tasa por el Estado se justifica porque el hecho imponible se hace recaer … específicamente, sobre ‘el ejercicio de la potestad jurisdiccional’ que es una actividad típica e indeclinablemente estatal, en cuanto manifestación de uno de los poderes del Estado ante el que se ha puesto en marcha un proceso o instado su continuación”.</w:t>
      </w:r>
    </w:p>
    <w:p w:rsidR="00A90898" w:rsidRDefault="00A90898" w:rsidP="00A90898">
      <w:pPr>
        <w:pStyle w:val="TextoNormal"/>
      </w:pPr>
    </w:p>
    <w:p w:rsidR="00A90898" w:rsidRDefault="00A90898" w:rsidP="00A90898">
      <w:pPr>
        <w:pStyle w:val="TextoNormal"/>
      </w:pPr>
      <w:r>
        <w:t>La fase de interposición del recurso contencioso-administrativo, con independencia de que su formalización se materialice por medio de demanda o del escrito de interposición del art. 45 LJCA, determina siempre el momento a partir del cual se inicia la actividad del Estado (art. 149.1.5 CE), lo que configura el hecho imponible de la tasa de la Ley 10/2012, puesto que tanto en uno como en otro caso el órgano judicial competente tiene el deber de proveer a lo solicitado por la parte recurrente. Tratándose del proceso ordinario, ello comporta actuaciones que incluyen, por ejemplo, la reclamación del expediente a la Administración recurrida (art. 48 LJCA), asegurando el emplazamiento de los interesados en la causa (art. 49); y la eventual apertura del trámite de admisión del recurso por alguno de los motivos del art. 51 de la misma Ley jurisdiccional 29/1998, todo esto antes del plazo para presentar la demanda (art. 52 LJCA).</w:t>
      </w:r>
    </w:p>
    <w:p w:rsidR="00A90898" w:rsidRDefault="00A90898" w:rsidP="00A90898">
      <w:pPr>
        <w:pStyle w:val="TextoNormal"/>
      </w:pPr>
    </w:p>
    <w:p w:rsidR="00A90898" w:rsidRDefault="00A90898" w:rsidP="00A90898">
      <w:pPr>
        <w:pStyle w:val="TextoNormal"/>
      </w:pPr>
      <w:r>
        <w:t>c) Si en cambio el problema se hace bascular, no en la duda de si existe ejercicio de la potestad jurisdiccional del Estado en la fase inicial o de interposición del recurso contencioso-administrativo, que la hay en todos los procesos (ordinario, abreviado, y especiales), sea cual fuere el acto procesal en el que se plasma la solicitud de tutela jurisdiccional (con pretensión completa —demanda— o sin ella —escrito de interposición—), sino en que el justiciable debería poder elegir entre pagar o no la tasa según sus posibilidades de éxito en la contienda, a partir de la previa lectura del expediente administrativo, semejante planteamiento no puede aceptarse en cuanto entrañaría la instrumentación de la justicia para fines particulares. La legislación procesal contempla mecanismos para la terminación anticipada del proceso contencioso-administrativo, a petición de las partes o a propuesta del órgano judicial, bajo ciertas condiciones (arts. 74-77 LJCA). Pero esto no se puede confundir con una justicia concebida “a beneficio de inventario”, en el que puede negarse el deber de corresponsabilidad en la financiación del proceso abierto precisamente a petición del interesado, hasta tanto no esté convencido de su utilidad y sólo a partir de ese momento.</w:t>
      </w:r>
    </w:p>
    <w:p w:rsidR="00A90898" w:rsidRDefault="00A90898" w:rsidP="00A90898">
      <w:pPr>
        <w:pStyle w:val="TextoNormal"/>
      </w:pPr>
    </w:p>
    <w:p w:rsidR="00A90898" w:rsidRDefault="00A90898" w:rsidP="00A90898">
      <w:pPr>
        <w:pStyle w:val="TextoNormal"/>
      </w:pPr>
      <w:r>
        <w:t xml:space="preserve">Conforme a lo ya expuesto, la impugnación del precepto se funda en que el devengo de la tasa se produce cuando aún el interesado no cuenta con los elementos de juicio necesarios para calibrar el fundamento de su pretensión, lo que se considera contrario al parámetro de razonabilidad y proporcionalidad y, por ello, el demandante entiende que vulnera el art. 24.1 CE. Dicha argumentación no resulta atendible pues, una vez iniciada a instancias del interesado la actividad del Estado en pos de satisfacer su derecho a la tutela judicial efectiva, la constitucionalidad de la corresponsabilidad en la financiación del proceso, que constituye </w:t>
      </w:r>
      <w:r>
        <w:lastRenderedPageBreak/>
        <w:t>la finalidad legítima perseguida por el legislador, no queda condicionada a que el referido devengo tenga lugar en un estadio procesal más avanzado, en el que el interesado cuente con mayor información acerca de la viabilidad de su pretensión. De aceptarse esa tesis la constitucionalidad del momento del devengo de la tasa quedaría sujeta a un factor ajeno al inicio de la actividad que configura el hecho imponible, según hemos razonado anteriormente, por haberse proveído a la solicitud del procedimiento.</w:t>
      </w:r>
    </w:p>
    <w:p w:rsidR="00A90898" w:rsidRDefault="00A90898" w:rsidP="00A90898">
      <w:pPr>
        <w:pStyle w:val="TextoNormal"/>
      </w:pPr>
    </w:p>
    <w:p w:rsidR="00A90898" w:rsidRDefault="00A90898" w:rsidP="00A90898">
      <w:pPr>
        <w:pStyle w:val="TextoNormal"/>
      </w:pPr>
      <w:r>
        <w:t>A falta pues de datos en la demanda que sustenten la inconstitucionalidad del art. 5.2 a) de la Ley 10/2012, debemos declarar que este precepto no resulta contrario al derecho fundamental a la tutela judicial efectiva (art. 24.1 CE).</w:t>
      </w:r>
    </w:p>
    <w:p w:rsidR="00A90898" w:rsidRDefault="00A90898" w:rsidP="00A90898">
      <w:pPr>
        <w:pStyle w:val="TextoNormal"/>
      </w:pPr>
    </w:p>
    <w:p w:rsidR="00A90898" w:rsidRDefault="00A90898" w:rsidP="00A90898">
      <w:pPr>
        <w:pStyle w:val="TextoNormal"/>
      </w:pPr>
      <w:r w:rsidRPr="00A90898">
        <w:rPr>
          <w:rStyle w:val="NumeroAFNegritaCaracter"/>
        </w:rPr>
        <w:t>5</w:t>
      </w:r>
      <w:r>
        <w:t>. Al no haberse estimado ninguna de las impugnaciones de la demanda, carece de sentido pronunciarnos sobre la validez de la disposición final primera de la citada Ley 10/2012, último de los preceptos impugnados por el Gobierno de Canarias, la cual se limita a introducir un apartado (el “m”) en el art. 13 de la Ley 8/1989, de 13 de abril, de tasas y precios públicos, incluyendo el ejercicio de la potestad jurisdiccional en los órdenes civil, contencioso-administrativo y social dentro de las actividades en régimen de Derecho público sobre la que puede establecerse tasa por su realización. A este respecto y como ya se dejó indicado, la demanda reconoce que dicha impugnación se plantea únicamente por “íntima conexión con lo anterior” (esto es, con los anteriores motivos del recurso), sin dotar a la misma de un contenido propio, lo que nos releva de toda otra consideración.</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1º Inadmitir el presente recurso, en lo que se refiere a los arts. 4 y 6 de la Ley 10/2012.</w:t>
      </w:r>
    </w:p>
    <w:p w:rsidR="00A90898" w:rsidRDefault="00A90898" w:rsidP="00A90898">
      <w:pPr>
        <w:pStyle w:val="TextoNormal"/>
      </w:pPr>
    </w:p>
    <w:p w:rsidR="00A90898" w:rsidRDefault="00A90898" w:rsidP="00A90898">
      <w:pPr>
        <w:pStyle w:val="TextoNormal"/>
      </w:pPr>
      <w:r>
        <w:t>2º Declarar la pérdida sobrevenida del objeto del recurso, en lo que se refiere a la impugnación de los arts. 1; 2 f); 5.2 a); 5.3 y 7 de la Ley 10/2012, de 20 de noviembre, en su aplicación a las personas físicas.</w:t>
      </w:r>
    </w:p>
    <w:p w:rsidR="00A90898" w:rsidRDefault="00A90898" w:rsidP="00A90898">
      <w:pPr>
        <w:pStyle w:val="TextoNormal"/>
      </w:pPr>
    </w:p>
    <w:p w:rsidR="00A90898" w:rsidRDefault="00A90898" w:rsidP="00A90898">
      <w:pPr>
        <w:pStyle w:val="TextoNormal"/>
      </w:pPr>
      <w:r>
        <w:t>3º Declarar la pérdida sobrevenida del objeto del presente recurso, en lo que se refiere a la impugnación del art. 7.1 de la Ley 10/2012, en la cuota fija regulada en los siguientes incisos: “en el orden jurisdiccional contencioso-administrativo: abreviado: 200 €; ordinario: 350 €”; “en el orden jurisdiccional civil: …apelación: 800 €; casación y extraordinario por infracción procesal: 1.200 €”; “en el orden jurisdiccional contencioso administrativo: apelación: 800 €; casación: 1.200 €”; y “en el orden social: suplicación: 500 €; casación: 750 €”; así como la pérdida de objeto en cuanto a la impugnación del art. 7.2 de la misma Ley 10/2012, en su aplicación a las personas jurídicas.</w:t>
      </w:r>
    </w:p>
    <w:p w:rsidR="00A90898" w:rsidRDefault="00A90898" w:rsidP="00A90898">
      <w:pPr>
        <w:pStyle w:val="TextoNormal"/>
      </w:pPr>
    </w:p>
    <w:p w:rsidR="00A90898" w:rsidRDefault="00A90898" w:rsidP="00A90898">
      <w:pPr>
        <w:pStyle w:val="TextoNormal"/>
      </w:pPr>
      <w:r>
        <w:t>4º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lastRenderedPageBreak/>
        <w:t>Dada en Madrid, a uno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2" w:name="SENTENCIA_2016_203"/>
      <w:r>
        <w:lastRenderedPageBreak/>
        <w:t>SENTENCIA 203/2016, de 1 de diciembre de 2016</w:t>
      </w:r>
    </w:p>
    <w:bookmarkEnd w:id="82"/>
    <w:p w:rsidR="00A90898" w:rsidRDefault="00A90898" w:rsidP="00A90898">
      <w:pPr>
        <w:pStyle w:val="TtuloResolucin"/>
      </w:pPr>
      <w:r>
        <w:t>Pleno</w:t>
      </w:r>
    </w:p>
    <w:p w:rsidR="00A90898" w:rsidRDefault="00A90898" w:rsidP="00A90898">
      <w:pPr>
        <w:pStyle w:val="TtuloBOE"/>
      </w:pPr>
      <w:r>
        <w:t>(BOE núm. 7, de 9 de enero de 2017)</w:t>
      </w:r>
    </w:p>
    <w:p w:rsidR="00A90898" w:rsidRDefault="00A90898" w:rsidP="00A90898">
      <w:pPr>
        <w:pStyle w:val="TextoNormalCentrado"/>
      </w:pPr>
      <w:r>
        <w:t>ECLI:ES:TC:2016:203</w:t>
      </w:r>
    </w:p>
    <w:p w:rsidR="00A90898" w:rsidRDefault="00A90898" w:rsidP="00A90898">
      <w:pPr>
        <w:pStyle w:val="TextoNormalCentrado"/>
      </w:pPr>
    </w:p>
    <w:p w:rsidR="00A90898" w:rsidRDefault="00A90898" w:rsidP="00A90898">
      <w:pPr>
        <w:pStyle w:val="SntesisDescriptiva"/>
      </w:pPr>
      <w:r>
        <w:t>Cuestión prejudicial sobre normas forales fiscales 1042-2016. Planteada por la Sala de lo Contencioso-Administrativo del Tribunal Superior de Justicia del País Vasco en relación con el artículo 30.2 de la Norma Foral 10/2006, de 29 de diciembre, reguladora del impuesto sobre la renta de las personas físicas del territorio histórico de Gipuzkoa.</w:t>
      </w:r>
    </w:p>
    <w:p w:rsidR="00A90898" w:rsidRDefault="00A90898" w:rsidP="00A90898">
      <w:pPr>
        <w:pStyle w:val="SntesisDescriptiva"/>
      </w:pPr>
    </w:p>
    <w:p w:rsidR="00A90898" w:rsidRDefault="00A90898" w:rsidP="00A90898">
      <w:pPr>
        <w:pStyle w:val="SntesisAnaltica"/>
      </w:pPr>
      <w:r>
        <w:t>Sistema tributario de los territorios históricos: nulidad de las modificaciones introducidas en el método de estimación objetiva de determinación de la base imponible del impuesto sobre la renta de las personas físicas.</w:t>
      </w:r>
    </w:p>
    <w:p w:rsidR="00A90898" w:rsidRDefault="00A90898" w:rsidP="00A90898">
      <w:pPr>
        <w:pStyle w:val="SntesisAnaltica"/>
      </w:pPr>
    </w:p>
    <w:p w:rsidR="00A90898" w:rsidRDefault="00A90898" w:rsidP="00A90898">
      <w:pPr>
        <w:pStyle w:val="Extracto"/>
      </w:pPr>
      <w:r>
        <w:t>1.</w:t>
      </w:r>
      <w:r>
        <w:tab/>
        <w:t>Aplica la doctrina sobre los parámetros de constitucionalidad de las cuestiones prejudiciales de validez de normas forales fiscales de la STC 118/2016 [FFJJ 2, 5].</w:t>
      </w:r>
    </w:p>
    <w:p w:rsidR="00A90898" w:rsidRDefault="00A90898" w:rsidP="00A90898">
      <w:pPr>
        <w:pStyle w:val="Extracto"/>
      </w:pPr>
    </w:p>
    <w:p w:rsidR="00A90898" w:rsidRDefault="00A90898" w:rsidP="00A90898">
      <w:pPr>
        <w:pStyle w:val="Extracto"/>
      </w:pPr>
      <w:r>
        <w:t>2.</w:t>
      </w:r>
      <w:r>
        <w:tab/>
        <w:t>El precepto impugnado configura una estimación directa que se puede denominar como “impropia” dado que en el supuesto de producirse diferencia entre el rendimiento real de la actividad y el derivado de la correcta aplicación del régimen de estimación objetiva se debe proceder al correspondiente ingreso o devolución de la cuota resultante; ello vulnera la regla de armonización que obliga a los territorios forales a adecuar su normativa a la Ley general tributaria, lo que determina la nulidad del precepto foral impugnado, por desfigurar el concepto de estimación objetiva contenido de la ley estatal, sin que existan peculiaridades en la Ley del concierto que permitan apartarse del mismo [FJ 5].</w:t>
      </w:r>
    </w:p>
    <w:p w:rsidR="00A90898" w:rsidRDefault="00A90898" w:rsidP="00A90898">
      <w:pPr>
        <w:pStyle w:val="Extracto"/>
      </w:pPr>
    </w:p>
    <w:p w:rsidR="00A90898" w:rsidRDefault="00A90898" w:rsidP="00A90898">
      <w:pPr>
        <w:pStyle w:val="Extracto"/>
      </w:pPr>
      <w:r>
        <w:t>3.</w:t>
      </w:r>
      <w:r>
        <w:tab/>
        <w:t>Existiendo un notable paralelismo entre esta modalidad de proceso constitucional -Cuestión prejudicial de validez de normas forales fiscales- y el de la Cuestión de inconstitucionalidad, resulta de aplicación al mismo la doctrina sobre la persistencia del contenido de la cuestión prejudicial suscitada y de su necesaria resolución (SSTC 166/2012 y 183/2013) [FJ 2].</w:t>
      </w:r>
    </w:p>
    <w:p w:rsidR="00A90898" w:rsidRDefault="00A90898" w:rsidP="00A90898">
      <w:pPr>
        <w:pStyle w:val="Extracto"/>
      </w:pPr>
    </w:p>
    <w:p w:rsidR="00A90898" w:rsidRDefault="00A90898" w:rsidP="00A90898">
      <w:pPr>
        <w:pStyle w:val="Extracto"/>
      </w:pPr>
      <w:r>
        <w:t>4.</w:t>
      </w:r>
      <w:r>
        <w:tab/>
        <w:t>No puede considerarse que respeta el concepto de estimación objetiva contenido en la LGT aquel régimen que obliga al contribuyente, en el supuesto de producirse diferencia entre el rendimiento real de la actividad y el derivado de la correcta aplicación del régimen de estimación objetiva, a proceder al ingreso o devolución de la cuota resultante, pues la inamovilidad de la cuantía derivada de la correcta aplicación de la estimación objetiva es una característica intrínseca de aquel régimen de determinación de la base del tributo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prejudicial de validez de normas forales fiscales núm. 1042-2015, promovida por la Sección Segunda de la Sala de lo Contencioso-Administrativo del Tribunal Superior de Justicia del País Vasco en relación con el art. 30.2 de la Norma Foral 10/2006, de 29 de diciembre, reguladora del impuesto sobre la renta de las personas físicas del territorio histórico de Gipuzkoa, por presunta vulneración del art. 3 a) de la Ley 12/2002, de 23 de mayo, por la que se aprueba el concierto económico con la Comunidad Autónoma del País Vasco. Han comparecido y formulado alegaciones el Abogado del Estado, en representación del Gobierno de la Nación; el Letrado del Gobierno Vasco, en su representación; la Procuradora de los Tribunales, doña Rocío Martín Echagüe, en representación, tanto de las Juntas Generales de Gipuzkoa como de la Diputación Foral de Gipuzkoa; y la Fiscal General del Estado.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día 24 de febrero de 2015 tuvo entrada en el Registro General del Tribunal Constitucional un escrito de la Sección Segunda de la Sala de lo Contencioso-Administrativo del Tribunal Superior de Justicia del País Vasco, al que se acompaña, junto al testimonio del correspondiente procedimiento, el Auto de 4 de febrero de 2015 (en los recursos acumulados núms. 200-2013 y 389-2013), por el que se acuerda plantear una cuestión prejudicial sobre la validez del art. 30.2 de la Norma Foral 10/2006, de 29 de diciembre, reguladora del impuesto sobre la renta de las personas físicas del territorio histórico de Gipuzkoa, por presunta vulneración del art. 3 a) de la Ley 12/2002, de 23 de mayo, por la que se aprueba el concierto económico con la Comunidad Autónoma del País Vasco.</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hecho del planteamiento de la presente cuestión prejudicial son los siguientes:</w:t>
      </w:r>
    </w:p>
    <w:p w:rsidR="00A90898" w:rsidRDefault="00A90898" w:rsidP="00A90898">
      <w:pPr>
        <w:pStyle w:val="TextoNormal"/>
      </w:pPr>
    </w:p>
    <w:p w:rsidR="00A90898" w:rsidRDefault="00A90898" w:rsidP="00A90898">
      <w:pPr>
        <w:pStyle w:val="TextoNormal"/>
      </w:pPr>
      <w:r>
        <w:t>a) Don J.I.M.C, transportista autónomo de mercancías por carretera, estaba acogido para la determinación de sus rendimientos de actividades económicas en el impuesto sobre la renta de las personas físicas durante los ejercicios 2008 y 2009, al método de estimación objetiva por módulos. Una vez presentadas las autoliquidaciones del citado impuesto, el servicio de gestión de impuestos directos de la hacienda foral de Gipuzkoa le giró dos liquidaciones provisionales por importes de 6.850,07 € (liquidación núm. 529663730000Z) y 12.348,89 € (liquidación núm. 529663729000), respectivamente, en aplicación del artículo 30.2 de la Norma Foral 10/2006, calculándole de oficio la renta real derivada de su actividad económica.</w:t>
      </w:r>
    </w:p>
    <w:p w:rsidR="00A90898" w:rsidRDefault="00A90898" w:rsidP="00A90898">
      <w:pPr>
        <w:pStyle w:val="TextoNormal"/>
      </w:pPr>
    </w:p>
    <w:p w:rsidR="00A90898" w:rsidRDefault="00A90898" w:rsidP="00A90898">
      <w:pPr>
        <w:pStyle w:val="TextoNormal"/>
      </w:pPr>
      <w:r>
        <w:lastRenderedPageBreak/>
        <w:t>b) Contra las liquidaciones anteriores se interpusieron sendas reclamaciones económico-administrativas ante el Tribunal Económico-Administrativo Foral de Gipuzkoa (reclamaciones acumuladas núms. 2012-0206 y 2012-0207), respecto de las cuales, una vez transcurrido un año desde su interposición, la parte reclamante las entendió desestimadas por silencio negativo (de conformidad con lo dispuesto en el art. 245 de la Norma Foral 2/2005, general tributaria).</w:t>
      </w:r>
    </w:p>
    <w:p w:rsidR="00A90898" w:rsidRDefault="00A90898" w:rsidP="00A90898">
      <w:pPr>
        <w:pStyle w:val="TextoNormal"/>
      </w:pPr>
    </w:p>
    <w:p w:rsidR="00A90898" w:rsidRDefault="00A90898" w:rsidP="00A90898">
      <w:pPr>
        <w:pStyle w:val="TextoNormal"/>
      </w:pPr>
      <w:r>
        <w:t>c) Promovidos dos recursos contencioso-administrativos (núms. 200-2013 y 389-2013) contra las anteriores desestimaciones presuntas, se procedió a su acumulación en un solo procedimiento por Auto de fecha 25 de noviembre de 2013, que, una vez concluso, mediante providencia con fecha de 9 de diciembre de 2014 se señaló para votación y fallo el día 16 de diciembre de 2014. Acto seguido, mediante escrito registrado el día 15 de diciembre de 2014, la parte recurrente puso en conocimiento del órgano judicial que el Tribunal Supremo, mediante Sentencia de fecha 23 de octubre de 2014, había declarado la nulidad del art. 26.2 de la Norma Foral de Gipuzkoa 8/1998, de 24 de diciembre, de contenido idéntico al art. 30.2 de la Norma Foral 10/2006, aplicada a las liquidaciones objeto del recurso contencioso-administrativo.</w:t>
      </w:r>
    </w:p>
    <w:p w:rsidR="00A90898" w:rsidRDefault="00A90898" w:rsidP="00A90898">
      <w:pPr>
        <w:pStyle w:val="TextoNormal"/>
      </w:pPr>
    </w:p>
    <w:p w:rsidR="00A90898" w:rsidRDefault="00A90898" w:rsidP="00A90898">
      <w:pPr>
        <w:pStyle w:val="TextoNormal"/>
      </w:pPr>
      <w:r>
        <w:t>d) Por nueva providencia del día 19 de diciembre de 2014, con suspensión del plazo para dictar Sentencia, de conformidad con el art. 35.2 de la Ley Orgánica del Tribunal Constitucional (LOTC), la Sala acordó oír a las partes y al Ministerio Fiscal para que alegasen lo que considerasen oportuno sobre la pertinencia de plantear una cuestión prejudicial con relación al artículo 30.2 de la Norma Formal 10/2006, de 29 de diciembre, del territorio histórico de Gipuzkoa, por la posible vulneración de la disposición adicional primera y del art. 31, ambos de la Constitución, en relación con el art. 3 a) de la Ley 12/2002, de 23 de mayo, por la que se aprueba el concierto económico con la Comunidad Autónoma del País Vasco.</w:t>
      </w:r>
    </w:p>
    <w:p w:rsidR="00A90898" w:rsidRDefault="00A90898" w:rsidP="00A90898">
      <w:pPr>
        <w:pStyle w:val="TextoNormal"/>
      </w:pPr>
    </w:p>
    <w:p w:rsidR="00A90898" w:rsidRDefault="00A90898" w:rsidP="00A90898">
      <w:pPr>
        <w:pStyle w:val="TextoNormal"/>
      </w:pPr>
      <w:r>
        <w:t>e) Evacuado el trámite de alegaciones conferido, las representaciones procesales de la Diputación Foral de Gipuzkoa y de las Juntas Generales de Gipuzkoa consideraron innecesario el planteamiento de la cuestión. Por su parte, la parte recurrente y el Ministerio Fiscal entendieron que era procedente su promoción.</w:t>
      </w:r>
    </w:p>
    <w:p w:rsidR="00A90898" w:rsidRDefault="00A90898" w:rsidP="00A90898">
      <w:pPr>
        <w:pStyle w:val="TextoNormal"/>
      </w:pPr>
    </w:p>
    <w:p w:rsidR="00A90898" w:rsidRDefault="00A90898" w:rsidP="00A90898">
      <w:pPr>
        <w:pStyle w:val="TextoNormal"/>
      </w:pPr>
      <w:r w:rsidRPr="00A90898">
        <w:rPr>
          <w:rStyle w:val="NumeroAFNegritaCaracter"/>
        </w:rPr>
        <w:t>3</w:t>
      </w:r>
      <w:r>
        <w:t>. En la fundamentación jurídica del Auto que ha promovido la cuestión prejudicial, tras precisar los antecedentes de hecho en su planteamiento y concretar las alegaciones de las partes y del Ministerio Fiscal sobre la constitucionalidad del precepto controvertido, precisa el órgano judicial, antes de nada, que ha venido entendiendo que el art. 26.2 de la Norma Foral de Gipuzkoa 8/1998, no vulneraba el art. 3 a) del concierto económico, pues lo previsto en aquél precepto se habría de enmarcar dentro del ámbito de la potestad normativa reconocida a las instituciones forales y, en concreto, a las juntas generales. Sin embargo, este criterio fue rechazado por la Sentencia de la Sección Segunda de la Sala Tercera del Tribunal Supremo de 23 de octubre de 2014 (recurso de casación núm. 230-2012), que consideró que el artículo 26.2 de la Norma Foral de Gipuzkoa 8/1998 no respetaba el concepto de estimación objetiva, ya que autorizaba a los órganos forales de gestión e inspección a modificar el importe obtenido como base imponible aun cuando se hubiese aplicado correctamente el régimen de signos, índices o módulos, lo que llevaba a una configuración de un sistema de estimación directa impropia que subvertía el concepto de estimación objetiva derivado de la Ley general tributaria, con vulneración del artículo 3 a) de la Ley del concierto.</w:t>
      </w:r>
    </w:p>
    <w:p w:rsidR="00A90898" w:rsidRDefault="00A90898" w:rsidP="00A90898">
      <w:pPr>
        <w:pStyle w:val="TextoNormal"/>
      </w:pPr>
    </w:p>
    <w:p w:rsidR="00A90898" w:rsidRDefault="00A90898" w:rsidP="00A90898">
      <w:pPr>
        <w:pStyle w:val="TextoNormal"/>
      </w:pPr>
      <w:r>
        <w:t xml:space="preserve">Concretamente, a juicio de la citada Sentencia del Tribunal Supremo, la Norma Foral preveía que, “de producirse diferencia entre el rendimiento real de la actividad y el derivado de la correcta aplicación de esta modalidad de determinación del rendimiento”, se procedería al “ingreso o devolución de la cuota resultante”. Sin embargo, en la medida que la estimación objetiva de la base del tributo, a diferencia de lo que acontece con la estimación directa, por su propia naturaleza, sólo puede arrojar un resultado estimativo, la previsión foral no respeta el concepto de estimación objetiva, ya que autoriza a los órganos forales de gestión e inspección a modificar el importe obtenido como base imponible cuando se haya aplicado correctamente el régimen de signos, índices o módulos. De hecho, ni siquiera se aligeran las obligaciones formales —otra de las características intrínsecas de la estimación objetiva— pues al permitirse el ajuste del resultado de módulos al rendimiento real de la actividad económica, se está exigiendo tener disponible la documentación suficiente para acreditarlo. Por otra parte, al ser un régimen voluntario, cuando el obligado tributario opta por acogerse a la estimación objetiva está asumiendo su carácter presuntivo, y lo mismo debería hacer la Administración, so pena de subvertir el concepto de estimación objetiva para convertirla en una suerte de estimación directa “impropia”. En fin, no es, ni puede ser bastante, para respetar las normas armonizadoras, la mera coincidencia nominal, el mero </w:t>
      </w:r>
      <w:r w:rsidRPr="00A90898">
        <w:rPr>
          <w:i/>
        </w:rPr>
        <w:t>nomen iuris</w:t>
      </w:r>
      <w:r>
        <w:t>, cuando la configuración que se ha hecho no responde a las características intrínsecas que determinan este concepto tributario en la Ley general tributaria.</w:t>
      </w:r>
    </w:p>
    <w:p w:rsidR="00A90898" w:rsidRDefault="00A90898" w:rsidP="00A90898">
      <w:pPr>
        <w:pStyle w:val="TextoNormal"/>
      </w:pPr>
    </w:p>
    <w:p w:rsidR="00A90898" w:rsidRDefault="00A90898" w:rsidP="00A90898">
      <w:pPr>
        <w:pStyle w:val="TextoNormal"/>
      </w:pPr>
      <w:r>
        <w:t>Según lo que antecede, considera el órgano judicial que, con fundamento en la doctrina del Tribunal Supremo, que no comparte pero respecto de la que se siente vinculado, debe plantear la cuestión prejudicial puesto que los argumentos del Tribunal Supremo para declarar nulo el art. 26.2 de la Norma Foral de Gipuzkoa 8/1998, son trasladables al contenido del art 30.2 de la Norma Foral de Gipuzkoa 10/2006, de similar contenido.</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providencia de fecha 7 de julio de 2015, el Pleno de este Tribunal acordó admitir a trámite la cuestión prejudicial planteada y, de conformidad con lo previsto en el art. 10.1 c) LOTC, reservar para sí el conocimiento de la cuestión, dando traslado de las actuaciones recibidas, conforme establece la disposición adicional quinta, apartado 2, y el art. 37.3, ambos de la Ley Orgánica del Tribunal Constitucional, al Congreso de los Diputados y al Senado, al Gobierno de la Nación, al Gobierno y al Parlamento del País Vasco, a las Juntas Generales del territorio histórico de Gipuzkoa y a la Diputación Foral de Gipuzkoa, por conducto de sus Presidentes, del Ministro de Justicia y del Diputado General, y al Fiscal General del Estado, al objeto de que, en el improrrogable plazo de 15 días, pudieran personarse en el proceso y formular las alegaciones que estimaran convenientes, así como publicar la incoación de la cuestión en el “Boletín Oficial del Estado”, en el “Boletín Oficial del País Vasco” y en el “Boletín Oficial de Gipuzkoa” (lo que tuvo lugar en el “BOE” núm. 168, de 15 de julio; en el “BOPV” núm. 141, de 28 de julio; y en el “BOG” núm. 142, de 28 de julio).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Por escrito registrado en este Tribunal el día 16 de julio de 2015 se recibió una comunicación de la Vicepresidenta Primera y Presidenta en funciones del Congreso de los Diputados, por la que ponía en conocimiento de este Tribunal el acuerdo de dar por personada a esta Cámara en el procedimiento y por ofrecida su colaboración a los efectos del art. 88.1 LOTC, con remisión a la Dirección de Estudios, Análisis y Publicaciones, y a la Asesoría Jurídica de la Secretaría General. Posteriormente, mediante escrito registrado el día 20 de </w:t>
      </w:r>
      <w:r>
        <w:lastRenderedPageBreak/>
        <w:t>julio siguiente, el Presidente del Senado remitió otra comunicación, por la que se trasladaba a este Tribunal el acuerdo de que se tuviera a dicha Cámara por personada en el procedimiento y por ofrecida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El Abogado del Estado presentó escrito en el Registro General de este Tribunal el día 30 de julio de 2015 en el que suplicaba que se dictase Sentencia por la que se estimase la presente cuestión. A tal efecto, ha arrancado en su escrito precisando que el art. 30.2 de la Norma Foral 10/2006 recoge la regulación del régimen de estimación objetiva del impuesto sobre la renta de las personas físicas de Gipuzkoa, de forma idéntica a como lo hacía el art. 28.2 de la Norma Foral 8/1998, que fue declarada nula por la Sentencia del Tribunal Supremo de 23 de octubre de 2014, por infracción de los mismos artículos constitucionales y legales recogidos en el planteamiento de la cuestión prejudicial. Señala a este respecto que para el Tribunal Supremo, la regulación de la estimación objetiva prevista en el precepto cuestionado difiere sustancialmente de la recogida en la Ley general tributaria, cuyo marco debe necesariamente respetar Gipuzkoa, </w:t>
      </w:r>
      <w:r w:rsidRPr="00A90898">
        <w:rPr>
          <w:i/>
        </w:rPr>
        <w:t>ex</w:t>
      </w:r>
      <w:r>
        <w:t xml:space="preserve"> art. 3 a) de la Ley del concierto económico con el País Vasco, habiéndose creado un régimen “impropio” de estimación directa que sólo coincide en su denominación formal con el régimen de estimación objetiva previsto en la Ley general tributaria, y que altera lo que se pueden considerar como elementos esenciales del mismo: la voluntariedad en su aplicación, la tributación por el rendimiento imputado y el aligeramiento en la llevanza de contabilidad.</w:t>
      </w:r>
    </w:p>
    <w:p w:rsidR="00A90898" w:rsidRDefault="00A90898" w:rsidP="00A90898">
      <w:pPr>
        <w:pStyle w:val="TextoNormal"/>
      </w:pPr>
    </w:p>
    <w:p w:rsidR="00A90898" w:rsidRDefault="00A90898" w:rsidP="00A90898">
      <w:pPr>
        <w:pStyle w:val="TextoNormal"/>
      </w:pPr>
      <w:r>
        <w:t>Para el Abogado del Estado los territorios históricos, titulares de la potestad tributaria derivada de la disposición adicional primera de la Constitución, tienen que ejercerla en el marco de armonización con el Estado, pues como señalaba la STC 208/2012 (FJ 4), el reconocimiento de los derechos previstos en esa disposición constitucional, se realizará por medio de las leyes de desarrollo de la autonomía y, en particular, por las leyes que, en su marco, se dicten para el ejercicio de la potestad tributaria, que, en el caso del País Vasco, es la Ley 12/2002, conforme a la cual los territorios históricos en la elaboración de la normativa tributaria “[s]e adecuarán a la Ley General Tributaria en cuanto a terminología y conceptos, sin perjuicio de las peculiaridades establecidas en el presente Concierto Económico” [art. 3 a)]. Sin embargo, la regulación contenida en art. 30.2 de la Norma Foral 10/2006 sobre el régimen de estimación objetiva no reúne los caracteres esenciales de dicho régimen contenidos en el art. 52 de la Ley general tributaria y, por tanto, infringe el art. 3 a) del concierto, al apartarse en su regulación sustancialmente del régimen común que actúa como límite de su competencia tributaria.</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Mediante escrito registrado en este Tribunal el día 28 de agosto de 2015, don Javier Otaola Bajeneta, Letrado del Gobierno Vasco-Eusko Jaurlaritza, solicitó que se le tuviera por personado en nombre y representación del mismo y que se desestimara la presente cuestión prejudicial, declarando que el art. 30.2 de la Norma Foral 10/2006, de 29 de diciembre, es plenamente constitucional. Tras precisar los efectos que ha tenido la aprobación de la Ley Orgánica 1/2010, de 19 de febrero, de modificación de las leyes orgánicas del Tribunal Constitucional y del Poder judicial, en la corrección del déficit de protección constitucional de la foralidad, señala el Letrado del Gobierno Vasco que la duda suscitada por el órgano judicial no responde a una falta de claridad y criterio, sino que viene forzada por la Sentencia de la Sala de lo Contencioso-Administrativo del Tribunal Supremo de 23 de octubre de 2014 (por la que se casó la Sentencia del Tribunal Superior de Justicia del País Vasco de 2 de diciembre de 2011), que anuló el art. 26.2 de la Norma Foral 8/1998, de 24 de diciembre </w:t>
      </w:r>
      <w:r>
        <w:lastRenderedPageBreak/>
        <w:t>(que tenía una redacción idéntica a la del art. 30.2 de la Norma Foral 10/2006), desautorizando la doctrina elaborada por el órgano judicial conforme a la cual concluía con la validez del citado art. 30.2 de la Norma Foral 10/2006.</w:t>
      </w:r>
    </w:p>
    <w:p w:rsidR="00A90898" w:rsidRDefault="00A90898" w:rsidP="00A90898">
      <w:pPr>
        <w:pStyle w:val="TextoNormal"/>
      </w:pPr>
    </w:p>
    <w:p w:rsidR="00A90898" w:rsidRDefault="00A90898" w:rsidP="00A90898">
      <w:pPr>
        <w:pStyle w:val="TextoNormal"/>
      </w:pPr>
      <w:r>
        <w:t>Una vez hecha la precisión que antecede, subraya el Gobierno vasco que, de conformidad con el art. 1 de la Ley 12/2002, de 23 de mayo, por la que se aprueba el concierto Económico con la Comunidad Autónoma del País Vasco, los Territorios Históricos “podrán mantener, establecer y regular, dentro de su territorio, su régimen tributario”, lo que no se limita a una regulación de desarrollo o complementariedad del régimen tributario general sino a la de un régimen tributario propio, aunque concertado con el común. Esto supone que cuando el art. 3 a) de la Ley 12/2002 dispone que los regímenes tributarios de los territorios históricos “[s]e adecuarán a la Ley General Tributaria en cuanto a terminología y conceptos, sin perjuicio de las peculiaridades establecidas en el presente Concierto Económico”, está exigiendo sólo la existencia de un orden general común mínimo para todos los tributos, pero en modo alguno impide que las normas forales generales tributarias de los territorios históricos vascos puedan establecer variaciones de regulación con respecto a lo dispuesto en la Ley general tributaria siempre, claro está, que estas no afecten a los elementos básicos de igualdad, ni alteren conceptos tributarios que definen la naturaleza de los diferente tributos. Pues bien, la estimación objetiva es un elemento instrumental en la definición del impuesto sobre la renta de las personas físicas que por no afectar a su naturaleza, entra dentro del ámbito competencial de las juntas generales de los territorios históricos, como lo ponía de manifiesto la primera Ley del concierto, la Ley 12/1981, de 12 de mayo, cuyo art. 7 d) reservaba a las diputaciones forales la regulación del régimen de estimación objetiva, con un único límite como era no establecer “en el conjunto una presión tributaria inferior a la existente en el territorio de régimen común por este concepto”. Sin embargo, al prever el art. 30.2 de la Norma Foral 10/2006 la prevalencia de la estimación directa, esto supone, en todo caso, una presión tributaria superior —no inferior— a la existente en el territorio de régimen común.</w:t>
      </w:r>
    </w:p>
    <w:p w:rsidR="00A90898" w:rsidRDefault="00A90898" w:rsidP="00A90898">
      <w:pPr>
        <w:pStyle w:val="TextoNormal"/>
      </w:pPr>
    </w:p>
    <w:p w:rsidR="00A90898" w:rsidRDefault="00A90898" w:rsidP="00A90898">
      <w:pPr>
        <w:pStyle w:val="TextoNormal"/>
      </w:pPr>
      <w:r>
        <w:t>Tampoco violaría la norma foral cuestionada el principio de igualdad en la contribución al sostenimiento de las cargas públicas del art. 31.1 CE, a juicio del Gobierno vasco, por cuanto viene a primar el método de estimación directa para la determinación de la base imponible respecto del método objetivo o por signos, cuando el cálculo real del rendimiento acredite una mayor capacidad contributiva, pues con ello no hace sino ajustarse a la exigencia constitucional de tributar conforme a la verdadera capacidad económica.</w:t>
      </w:r>
    </w:p>
    <w:p w:rsidR="00A90898" w:rsidRDefault="00A90898" w:rsidP="00A90898">
      <w:pPr>
        <w:pStyle w:val="TextoNormal"/>
      </w:pPr>
    </w:p>
    <w:p w:rsidR="00A90898" w:rsidRDefault="00A90898" w:rsidP="00A90898">
      <w:pPr>
        <w:pStyle w:val="TextoNormal"/>
      </w:pPr>
      <w:r>
        <w:t>Pues bien, para el Gobierno vasco estamos ante un debate simplemente semántico o de definición, entendido como determinación o delimitación conceptual de lo que es esencial en un ente, en el que se trata de dilucidar si el régimen de estimación objetiva en el impuesto sobre la renta es esencial y, por tanto, alternativo al de estimación directa e irrevocable, o, por el contrario, es renunciable o revocable, sin afectar a la naturaleza ni a la funcionalidad del impuesto. Y, en este sentido, una simple lectura de la Ley general tributaria acredita que no estamos ante un método intrínsecamente alternativo e irrevocable, sino ante un método instrumental y no esencial, como lo acredita, además, que haya sido suprimido de la regulación del impuesto sobre la renta del territorio histórico de Gipuzkoa por la Norma Foral 3/2014, de 17 de enero.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Con fecha de 1 de septiembre de 2015 la representación procesal de la Excma. Diputación Foral de Gipuzkoa, presentó escrito en el Registro General de este Tribunal solicitando se la tuviera por personada y parte en el proceso, declarándose que el art. 30.2 de la Norma Foral 10/2006 no es contrario a la disposición adicional primera, ni al art. 31, ambos de la Constitución, en relación con el art. 3 a) de la Ley 12/2002, de 23 de mayo, por la que se aprueba el concierto económico con la Comunidad Autónoma del País Vasco.</w:t>
      </w:r>
    </w:p>
    <w:p w:rsidR="00A90898" w:rsidRDefault="00A90898" w:rsidP="00A90898">
      <w:pPr>
        <w:pStyle w:val="TextoNormal"/>
      </w:pPr>
    </w:p>
    <w:p w:rsidR="00A90898" w:rsidRDefault="00A90898" w:rsidP="00A90898">
      <w:pPr>
        <w:pStyle w:val="TextoNormal"/>
      </w:pPr>
      <w:r>
        <w:t>Tras precisar los antecedentes de hecho más relevantes en el planteamiento de la cuestión prejudicial y concretar la evolución del concierto económico como instrumento regulador de las competencias tributarias de los territorios históricos del País Vasco, subraya la Diputación Foral de Gipuzkoa, en particular, la modificación operada en la Ley del concierto relativa a la aplicación de la Ley general tributaria, pues si bien el art. 4.1 de la Ley 12/1981 exigía que la normativa foral se adecuara a su “sistemática, terminología y conceptos”, el art. 3 a) de la Ley 12/2002 sólo exige que se adecúe “en cuanto terminología y conceptos”, lo que viene a suponer que los límites armonizadores son ahora más flexibles.</w:t>
      </w:r>
    </w:p>
    <w:p w:rsidR="00A90898" w:rsidRDefault="00A90898" w:rsidP="00A90898">
      <w:pPr>
        <w:pStyle w:val="TextoNormal"/>
      </w:pPr>
    </w:p>
    <w:p w:rsidR="00A90898" w:rsidRDefault="00A90898" w:rsidP="00A90898">
      <w:pPr>
        <w:pStyle w:val="TextoNormal"/>
      </w:pPr>
      <w:r>
        <w:t>Para la Diputación Foral de Gipuzkoa, la Sentencia del Tribunal Supremo de 23 de octubre de 2014 anulatoria del art. 26.2 de la Norma Foral 8/1998, de 24 de diciembre (con la misma redacción que la del art. 30.2 de la Norma Foral 10/2006, de 29 de diciembre), realiza un análisis ajeno a los límites realmente fijados por el concierto económico. A juicio de la Diputación Foral la regla armonizadora del art. 3 a) del concierto económico exige que la normativa foral se adecúe a la terminología y a los conceptos de la Ley general tributaria, circunstancias que cumple el cuestionado art. 30.2, puesto que la norma foral no sólo prevé un método de estimación objetiva para el cálculo de la base imponible mediante unos índices o módulos de la misma manera que la Ley general tributaria regula como sistema de cálculo de la base imponible el realizado a través de la fijación de unos signos o módulos (vertiente conceptual), sino que utiliza también los mismos términos —signos, índices o módulos— que la Ley general tributaria (vertiente terminológica).</w:t>
      </w:r>
    </w:p>
    <w:p w:rsidR="00A90898" w:rsidRDefault="00A90898" w:rsidP="00A90898">
      <w:pPr>
        <w:pStyle w:val="TextoNormal"/>
      </w:pPr>
    </w:p>
    <w:p w:rsidR="00A90898" w:rsidRDefault="00A90898" w:rsidP="00A90898">
      <w:pPr>
        <w:pStyle w:val="TextoNormal"/>
      </w:pPr>
      <w:r>
        <w:t>En suma, al no existir otra limitación competencial más allá de la obligada adecuación del concepto y terminología que debe utilizar la normativa foral, el resto de las reglas delimitadoras de la base imponible descansan en un principio básico: que el impuesto sobre la renta es un tributo concertado de normativa autónoma (art. 8 de la Ley del concierto) fruto del reconocimiento constitucional de la disposición adicional primera. Por tanto, una cosa es el concepto de estimación objetiva y la terminología utilizada y otra cuestión bien distinta son sus reglas reguladoras. En cualquier caso, puesto que la aplicación de este método es voluntaria, ningún derecho puede ser vulnerado ni menospreciado al aplicar unas reglas diferentes a las existentes en el ámbito competencial del territorio común.</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Por escrito registrado en este Tribunal el día 1 de septiembre de 2015, la representación procesal de las Juntas Generales de Gipuzkoa, solicitó que se declarase ajustado al marco constitucional el art. 30.2 de la Norma Foral 10/2006, de 29 de diciembre, reguladora del impuesto sobre la renta de las personas físicas del territorio histórico de Gipuzkoa. Precisan, antes de nada, que la cuestión prejudicial planteada por la Sala proponente se basa en la posible vulneración del art. 3 a) de la Ley 12/2002, de 23 de mayo, por la que se aprueba el concierto económico con la Comunidad Autónoma del País Vasco, en los términos en que ha sido interpretado por la Sentencia del Tribunal Supremo de 23 de octubre de 2014, que considera que el art. 26.2 de la Norma Foral 8/1998 (y, por tanto, también el art. 30.2 </w:t>
      </w:r>
      <w:r>
        <w:lastRenderedPageBreak/>
        <w:t>de la Norma Foral 10/2006) contiene una regla de determinación de la base imponible mediante la estimación objetiva que no se adecúa a lo previsto en la Ley general tributaria, porque este régimen debe contener una serie de características esenciales: debe ser voluntario para el obligado tributario, implica el aligeramiento para el sujeto pasivo de las obligaciones formales, supone un método alternativo y no complementario a la estimación directa y arroja siempre un resultado estimativo de cuantía inamovible. Conforme a esto, considera el Tribunal Supremo que al permitir la norma foral a la Administración corregir el resultado de la aplicación del método, aun habiendo sido correctamente aplicado por el obligado tributario, desborda el concepto de estimación objetiva y, por consiguiente, vulnera la regla de armonización del concierto económico contenida en su artículo 3 a).</w:t>
      </w:r>
    </w:p>
    <w:p w:rsidR="00A90898" w:rsidRDefault="00A90898" w:rsidP="00A90898">
      <w:pPr>
        <w:pStyle w:val="TextoNormal"/>
      </w:pPr>
    </w:p>
    <w:p w:rsidR="00A90898" w:rsidRDefault="00A90898" w:rsidP="00A90898">
      <w:pPr>
        <w:pStyle w:val="TextoNormal"/>
      </w:pPr>
      <w:r>
        <w:t>Para las Juntas Generales de Gipuzkoa, de conformidad con el marco normativo vigente (disposición adicional primera de la Constitución, art. 41.1 de la Ley Orgánica 3/1979, de 18 de diciembre de Estatuto de Autonomía para el País Vasco, y arts. 1.1, 2 y 2 de la Ley 12/2002, de 23 de mayo, del concierto económico con la Comunidad Autónoma del País Vasco), los territorios históricos de la Comunidad Autónoma del País Vasco pueden establecer su sistema tributario respetando los criterios de armonización y coordinación con el Estado contenidos en el propio concierto. Pues bien, el art. 30.2 de la Norma Foral 10/2006, dentro un tributo concertado de normativa autónoma (art. 6.1 del Concierto), encuentra su acomodo competencial en las plenas potestades normativas atribuidas con carácter exclusivo a los territorios históricos (art. 41.2 a del Estatuto de Autonomía), que forman parte esencial de la foralidad, por lo que su desconocimiento conllevaría la vulneración de la garantía institucional en materia tributaria, tanto más si se tiene en cuenta que la capacidad de las juntas generales resulta plenamente equiparable a la del legislador estatal, puesto que la reserva de ley en el ámbito estatal es colmada en el ámbito foral por la reserva de norma foral. Dicho esto, reconocen las juntas generales que los tributos concertados se encuentran sujetos a las reglas específicas de coordinación y armonización fiscal contenidas en la Ley del concierto, como forma de relacionarse e integrarse con el sistema tributario estatal, aunque consideran que ello no puede esconder una visión uniformizadora, puesto que el fundamento mismo de la existencia de estas reglas armonizadoras implica la coexistencia de diversos sistemas tributarios generales.</w:t>
      </w:r>
    </w:p>
    <w:p w:rsidR="00A90898" w:rsidRDefault="00A90898" w:rsidP="00A90898">
      <w:pPr>
        <w:pStyle w:val="TextoNormal"/>
      </w:pPr>
    </w:p>
    <w:p w:rsidR="00A90898" w:rsidRDefault="00A90898" w:rsidP="00A90898">
      <w:pPr>
        <w:pStyle w:val="TextoNormal"/>
      </w:pPr>
      <w:r>
        <w:t>Para las Juntas Generales de Gipuzkoa, la regla armonizadora contenida en el art. 3 a) del concierto ha evolucionado hacia una ampliación en las capacidades normativas forales pues se ha pasado de una exigencia conforme a la cual “[s]e aplicarán la Ley General Tributaria y las normas que la desarrollan, como medida de coordinación en cuanto a sistemática, terminología y conceptos” (Ley 12/1981, de 13 de mayo), a la sustitución del término “aplicarán” por el de “adecuarán” (Ley 12/2002, de 23 de mayo), con una clara voluntad de ampliar el ámbito de la capacidad normativa de los territorios históricos en materia tributaria. Así las cosas, consideran que la regla armonizadora debe cohonestarse con el máximo respeto a la garantía institucional de la foralidad en materia tributaria, de manera que debe entenderse que la normativa tributaria foral cuenta con un margen de libertad de configuración normativa a la hora de adaptar, acomodar o adecuar la terminología y conceptos de la Ley general tributaria.</w:t>
      </w:r>
    </w:p>
    <w:p w:rsidR="00A90898" w:rsidRDefault="00A90898" w:rsidP="00A90898">
      <w:pPr>
        <w:pStyle w:val="TextoNormal"/>
      </w:pPr>
    </w:p>
    <w:p w:rsidR="00A90898" w:rsidRDefault="00A90898" w:rsidP="00A90898">
      <w:pPr>
        <w:pStyle w:val="TextoNormal"/>
      </w:pPr>
      <w:r>
        <w:t xml:space="preserve">En fin, concluyen, el precepto foral cuestionado replica, punto por punto, lo prescrito por la Ley 58/2003, de 17 de diciembre, general tributaria, concretamente, en sus arts. 50.3 y </w:t>
      </w:r>
      <w:r>
        <w:lastRenderedPageBreak/>
        <w:t>52, al recoger el método de estimación directa con los mismos rasgos definidores. La interpretación que ha hecho el Tribunal Supremo en su Sentencia de 23 de octubre de 2014 pivota sobre la apreciación de una serie de características que se consideran esenciales y constitutivas del régimen de estimación objetiva, que impiden un margen de configuración propia y que vacían de contenido el margen de actuación foral, en contra del propio texto del Concierto que exige que la normativa foral sólo se “adecúe” a la Ley general tributaria.</w:t>
      </w:r>
    </w:p>
    <w:p w:rsidR="00A90898" w:rsidRDefault="00A90898" w:rsidP="00A90898">
      <w:pPr>
        <w:pStyle w:val="TextoNormal"/>
      </w:pPr>
    </w:p>
    <w:p w:rsidR="00A90898" w:rsidRDefault="00A90898" w:rsidP="00A90898">
      <w:pPr>
        <w:pStyle w:val="TextoNormal"/>
      </w:pPr>
      <w:r w:rsidRPr="00A90898">
        <w:rPr>
          <w:rStyle w:val="NumeroAFNegritaCaracter"/>
        </w:rPr>
        <w:t>10</w:t>
      </w:r>
      <w:r>
        <w:t>. La Fiscal General del Estado presentó su escrito de alegaciones en el Registro General de este Tribunal el día 22 de septiembre de 2015 considerando que el art. 30.2 de la Norma Foral 10/2006, de 29 de diciembre, reguladora del impuesto sobre la renta de las personas físicas del territorio histórico de Gipuzkoa, no es respetuoso, ni con la disposición adicional primera de la Constitución al vulnerar la regla de armonización prevista en el art. 3 a) de la Ley 12/2002, de 23 de mayo, del concierto económico con la Comunidad Autónoma del País Vasco, ni tampoco con el principio de igualdad consagrado en el art. 14 CE.</w:t>
      </w:r>
    </w:p>
    <w:p w:rsidR="00A90898" w:rsidRDefault="00A90898" w:rsidP="00A90898">
      <w:pPr>
        <w:pStyle w:val="TextoNormal"/>
      </w:pPr>
    </w:p>
    <w:p w:rsidR="00A90898" w:rsidRDefault="00A90898" w:rsidP="00A90898">
      <w:pPr>
        <w:pStyle w:val="TextoNormal"/>
      </w:pPr>
      <w:r>
        <w:t>Tras precisar los antecedentes de hecho del planteamiento de la cuestión, concretar el contenido del Auto de planteamiento, analizar el cumplimiento de los requisitos previstos en el art. 35.2 LOTC en orden a su planteamiento y, en fin, subrayar la doctrina previa del órgano judicial promotor de la cuestión (Sentencia de 2 de diciembre de 2011, luego casada por la Sentencia del Tribunal Supremo de 23 de octubre de 2014), señala que la cuestión a resolver es simplemente determinar si la previsión normativa del art. 30.2 de la Norma Foral 10/2006 desnaturaliza el método de estimación objetiva por signos, índices o módulos, para el cálculo de los rendimientos de las actividades empresariales en cuanto que dispone que “[l]a aplicación de esta modalidad de estimación objetiva nunca podrá dejar de someter a gravamen los rendimientos reales de la actividad económica”, de modo que desconocería el régimen de estimación objetiva de la Ley 58/2003, de 17 de diciembre, general tributaria.</w:t>
      </w:r>
    </w:p>
    <w:p w:rsidR="00A90898" w:rsidRDefault="00A90898" w:rsidP="00A90898">
      <w:pPr>
        <w:pStyle w:val="TextoNormal"/>
      </w:pPr>
    </w:p>
    <w:p w:rsidR="00A90898" w:rsidRDefault="00A90898" w:rsidP="00A90898">
      <w:pPr>
        <w:pStyle w:val="TextoNormal"/>
      </w:pPr>
      <w:r>
        <w:t>Sobre este particular, considera la Fiscal General del Estado que, de la normativa (disposición adicional primera de la Constitución, art. 41 de la Ley Orgánica 3/1979, del Estatuto de Autonomía, y art. 1 de la Ley 12/2002, del concierto económico), así como de la doctrina recogida en la STC 76/1988, puede afirmarse la capacidad normativa de los territorios históricos forales para regular con completa autonomía e independencia los tributos propios y, por ende, la facultad normativa del territorio histórico de Gipuzkoa para establecer la normativa del impuesto sobre la renta para dicho territorio, sin más limitaciones que las señaladas en la Ley del concierto económico y en la Constitución, entre las que se encuentra la regla de armonización del art. 3 de la Ley 12/2002, que exige que la norma foral se adecúe a la Ley general tributaria “en cuanto a terminología y conceptos” y que la Administración tributaria foral debe respetar en el ejercicio de sus competencias normativas sobre los tributos que les son propios.</w:t>
      </w:r>
    </w:p>
    <w:p w:rsidR="00A90898" w:rsidRDefault="00A90898" w:rsidP="00A90898">
      <w:pPr>
        <w:pStyle w:val="TextoNormal"/>
      </w:pPr>
    </w:p>
    <w:p w:rsidR="00A90898" w:rsidRDefault="00A90898" w:rsidP="00A90898">
      <w:pPr>
        <w:pStyle w:val="TextoNormal"/>
      </w:pPr>
      <w:r>
        <w:t>Dicho lo que antecede, precisa la Fiscal General del Estado que, aunque la mera coincidencia terminológica no supone que se respete la citada regla de armonización, tampoco toda excepción a las características del método de estimación objetiva supone que se desnaturalice el método de determinación de la base imponible, pues, con la regla de armonización, no se pretende alcanzar la uniformidad mimética de toda la normativa que deba emanar de los órganos competentes de los territorios históricos en materia tributaria con la del Estado, esto es, no se busca evitar toda diferenciación entre sistemas tributarios, sino simplemente se pretende establecer las líneas básicas por las que deben desenvolverse los mismos.</w:t>
      </w:r>
    </w:p>
    <w:p w:rsidR="00A90898" w:rsidRDefault="00A90898" w:rsidP="00A90898">
      <w:pPr>
        <w:pStyle w:val="TextoNormal"/>
      </w:pPr>
    </w:p>
    <w:p w:rsidR="00A90898" w:rsidRDefault="00A90898" w:rsidP="00A90898">
      <w:pPr>
        <w:pStyle w:val="TextoNormal"/>
      </w:pPr>
      <w:r>
        <w:t>No obstante lo anterior, añade, una de las razones que avalan el establecimiento de estimaciones objetivas es la simplificación de los deberes formales para determinados contribuyentes, basados fundamentalmente en la exención de la llevanza de contabilidad, habida cuenta de la inutilidad de la misma en un sistema que no toma en consideración los datos en ella contenidos. Ahora bien, aunque tanto la normativa foral como la estatal dispensan al contribuyente que se acoge al método objetivo de la obligación de llevar contabilidad, en la medida que el método le atribuye unos rendimientos presuntos, sin embargo, sí mantienen la obligación de conservar las facturas emitidas, lo que permitirá al obligado tributario la defensa y prueba de cuál ha sido el verdadero rendimiento real de la actividad empresarial frente a la eventual liquidación provisional que puedan realizar los órganos de gestión e inspección de la hacienda foral. De esta manera, este requisito formal no es un elemento determinante de una posible desnaturalización del método de estimación objetiva por módulos.</w:t>
      </w:r>
    </w:p>
    <w:p w:rsidR="00A90898" w:rsidRDefault="00A90898" w:rsidP="00A90898">
      <w:pPr>
        <w:pStyle w:val="TextoNormal"/>
      </w:pPr>
    </w:p>
    <w:p w:rsidR="00A90898" w:rsidRDefault="00A90898" w:rsidP="00A90898">
      <w:pPr>
        <w:pStyle w:val="TextoNormal"/>
      </w:pPr>
      <w:r>
        <w:t>Para la Fiscal General del Estado, mediante el método de estimación objetiva la Administración y el contribuyente optan por renunciar a la determinación directa de la base imponible (a datos reales) para hacerlo conforme a índices, signos o módulos que permiten estimar unos rendimientos presuntos. De este modo, cuando la Norma Foral 10/2006 prevé el ajuste, al alza o la baja, del rendimiento derivado de la aplicación de los módulos al rendimiento real obtenido en la actividad, no sólo está corrigiendo la disfunción que en la determinación del rendimiento supone el método objetivo sino que se acerca más al principio de justicia tributaria por cuanto se hace tributar al contribuyente por su verdadera capacidad económica. Ahora bien, puesto que en el sistema de la Ley general tributaria y en la Ley del impuesto sobre la renta de las personas físicas estatal no se pueden gravar las diferencias entre el beneficio real y el objetivamente estimado, la posibilidad que asiste a la Administración Tributaria Foral de corregir el resultado obtenido mediante la aplicación del método de estimación objetiva, le hace perder su principal característica, subvirtiendo la voluntad del contribuyente de tributar por régimen estimativo para imponerle una estimación real, lo que le hace perder su esencia.</w:t>
      </w:r>
    </w:p>
    <w:p w:rsidR="00A90898" w:rsidRDefault="00A90898" w:rsidP="00A90898">
      <w:pPr>
        <w:pStyle w:val="TextoNormal"/>
      </w:pPr>
    </w:p>
    <w:p w:rsidR="00A90898" w:rsidRDefault="00A90898" w:rsidP="00A90898">
      <w:pPr>
        <w:pStyle w:val="TextoNormal"/>
      </w:pPr>
      <w:r>
        <w:t xml:space="preserve">Por otra parte y desde el punto de vista de los principios constitucionales consagrados en los arts. 9.3 y 31.1, ambos de la Constitución, descarta la Fiscal General del Estado, en primer lugar, cualquier vulneración del principio de seguridad jurídica porque el contribuyente conoce de antemano la posibilidad de tener que tributar por los rendimientos reales de su actividad. Considera, a continuación, que no puede desconocerse que el método de estimación objetiva no casa con el principio de capacidad económica al no gravar rentas reales sino rentas estimadas, por lo que el sistema establecido por la norma foral de gravar los rendimientos reales de la actividad económica, aunque se haya realizado correctamente la determinación del rendimiento neto por el método objetivo, es más respetuoso con este principio, al obligarse a tributar conforme a la capacidad económica realmente puesta de manifiesto, sin consecuencia gravosa adicional alguna para el contribuyente, al no ser factible la imposición de recargos, intereses de demora o sanciones. Entiende, en fin, que no supone una quiebra del principio de igualdad tributaria del art. 31.1 CE (diferencia objetiva) la obligación que se impone al contribuyente del territorio foral de tributar por la diferencia entre el rendimiento real de la actividad económica y el rendimiento derivado del método de estimación objetiva, a diferencia de lo que sucede con los contribuyentes de régimen común, pues ni el principio de igualdad exige la total uniformidad fiscal en todo el territorio </w:t>
      </w:r>
      <w:r>
        <w:lastRenderedPageBreak/>
        <w:t>nacional, ni la norma carece de una finalidad legítima (persigue evitar que dejen de tributar los rendimientos reales de las actividades sometidas al régimen de estimación objetiva), ni la finalidad es irrazonable (potenciar el gravamen de las rentas reales como forma de combatir indirectamente un posible fraude fiscal), ni, en fin, es desproporcionada (al prever incluso la devolución del exceso ingresado cuando el rendimiento real sea inferior al estimado y excluir cualquier resultado gravoso por no permitir la imposición de sanciones ni habilitar la exigencia de intereses de demora o de recargos por pagos fuera de plazo).</w:t>
      </w:r>
    </w:p>
    <w:p w:rsidR="00A90898" w:rsidRDefault="00A90898" w:rsidP="00A90898">
      <w:pPr>
        <w:pStyle w:val="TextoNormal"/>
      </w:pPr>
    </w:p>
    <w:p w:rsidR="00A90898" w:rsidRDefault="00A90898" w:rsidP="00A90898">
      <w:pPr>
        <w:pStyle w:val="TextoNormal"/>
      </w:pPr>
      <w:r>
        <w:t>La conclusión anterior no impide considerar a la Fiscal General del Estado, sin embargo, que sí existe una discriminación entre el sujeto que se ve sometido a la norma foral y aquel otro a quien se aplica la norma estatal, pero desde la perspectiva del principio de igualdad del art. 14 CE (diferencia subjetiva). A su juicio, la trasgresión de las normas de armonización fiscal y la aplicación que ha efectuado la Administración foral del precepto cuestionado conduce a un claro tratamiento desigual de situaciones idénticas (quienes se hallan sometidos al régimen tributario común y quienes lo están al régimen foral de Gipuzkoa, de un lado, e incluso quienes estando sometidos al régimen foral ven como su situación es regularizada mientras que a otros no se les regulariza al tratarse de una facultad discrecional de la Administración tributaria foral, de otro) que llevan a asignar consecuencias jurídicas diferentes a hechos análogos sin existir una justificación objetiva razonable, además de producirse un resultado claramente desproporcionado entre la medida adoptada, el resultado producido y la finalidad pretendida.</w:t>
      </w:r>
    </w:p>
    <w:p w:rsidR="00A90898" w:rsidRDefault="00A90898" w:rsidP="00A90898">
      <w:pPr>
        <w:pStyle w:val="TextoNormal"/>
      </w:pPr>
    </w:p>
    <w:p w:rsidR="00A90898" w:rsidRDefault="00A90898" w:rsidP="00A90898">
      <w:pPr>
        <w:pStyle w:val="TextoNormal"/>
      </w:pPr>
      <w:r w:rsidRPr="00A90898">
        <w:rPr>
          <w:rStyle w:val="NumeroAFNegritaCaracter"/>
        </w:rPr>
        <w:t>11</w:t>
      </w:r>
      <w:r>
        <w:t>. Mediante providencia de 29 de noviembre de 2016, se señaló para deliberación y votación de la presente Sentencia el día 1 de diciembre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Sección Segunda de la Sala de lo Contencioso-Administrativo del Tribunal Superior de Justicia del País Vasco ha planteado una cuestión prejudicial sobre la validez del art. 30.2 de la Norma Foral 10/2006, de 29 de diciembre, reguladora del impuesto sobre la renta de las personas físicas del territorio histórico de Gipuzkoa, por posible infracción del art. 3 a) de la Ley 12/2002, de 23 de mayo, por la que se aprueba el concierto económico con la Comunidad Autónoma del País Vasco.</w:t>
      </w:r>
    </w:p>
    <w:p w:rsidR="00A90898" w:rsidRDefault="00A90898" w:rsidP="00A90898">
      <w:pPr>
        <w:pStyle w:val="TextoNormal"/>
      </w:pPr>
    </w:p>
    <w:p w:rsidR="00A90898" w:rsidRDefault="00A90898" w:rsidP="00A90898">
      <w:pPr>
        <w:pStyle w:val="TextoNormal"/>
      </w:pPr>
      <w:r>
        <w:t>Antes de entrar a dar respuesta a las dudas planteadas por el órgano judicial es necesario hacer dos precisiones previas:</w:t>
      </w:r>
    </w:p>
    <w:p w:rsidR="00A90898" w:rsidRDefault="00A90898" w:rsidP="00A90898">
      <w:pPr>
        <w:pStyle w:val="TextoNormal"/>
      </w:pPr>
    </w:p>
    <w:p w:rsidR="00A90898" w:rsidRDefault="00A90898" w:rsidP="00A90898">
      <w:pPr>
        <w:pStyle w:val="TextoNormal"/>
      </w:pPr>
      <w:r>
        <w:t xml:space="preserve">En primer lugar, poner de manifiesto que la Norma Foral 10/2006, de 29 de diciembre ha sido derogada en su conjunto por la Norma Foral 3/2014, de 17 de enero, que es la que rige al momento presente y que, además, el régimen de estimación objetiva del rendimiento neto de las actividades económicas en el impuesto sobre la renta de las personas físicas (IRPF), que regulaba el art. 30.2 de aquélla ahora cuestionado, ha desaparecido del nuevo texto normativo (art. 25.1), en el que figura de modo exclusivo el sistema de estimación directa para la determinación de aquel. Pese a ello, la cuestión prejudicial de validez no ha perdido sobrevenidamente su objeto, toda vez que el precepto cuestionado resulta aplicable en el proceso </w:t>
      </w:r>
      <w:r w:rsidRPr="00A90898">
        <w:rPr>
          <w:i/>
        </w:rPr>
        <w:t>a quo</w:t>
      </w:r>
      <w:r>
        <w:t xml:space="preserve"> y también depende de su validez la decisión a adoptar por el órgano judicial.</w:t>
      </w:r>
    </w:p>
    <w:p w:rsidR="00A90898" w:rsidRDefault="00A90898" w:rsidP="00A90898">
      <w:pPr>
        <w:pStyle w:val="TextoNormal"/>
      </w:pPr>
    </w:p>
    <w:p w:rsidR="00A90898" w:rsidRDefault="00A90898" w:rsidP="00A90898">
      <w:pPr>
        <w:pStyle w:val="TextoNormal"/>
      </w:pPr>
      <w:r>
        <w:t xml:space="preserve">Conforme a reiterada doctrina constitucional, en las cuestiones de inconstitucionalidad, con las que las cuestiones prejudiciales de validez de normas forales tributarias mantienen en este extremo un notable paralelismo, los efectos extintivos sobre el objeto del proceso constitucional como consecuencia de la derogación o modificación de la norma legal cuestionada vienen determinados por el hecho de que esa norma, tras su derogación o modificación, siga resultando aplicable en el proceso </w:t>
      </w:r>
      <w:r w:rsidRPr="00A90898">
        <w:rPr>
          <w:i/>
        </w:rPr>
        <w:t>a quo</w:t>
      </w:r>
      <w:r>
        <w:t xml:space="preserve"> y que de su validez dependa la decisión a adoptar en el mismo (entre otras, SSTC 255/2004, de 23 de diciembre, FJ 2; 22/2010, de 27 de abril, FJ 2, y 73/2014, de 8 de mayo, FJ 2). Por eso, como regla general, ni la derogación ni la modificación de la norma cuestionada provocan la desaparición sobrevenida del objeto de la cuestión, ya que la aplicabilidad de la norma en el proceso </w:t>
      </w:r>
      <w:r w:rsidRPr="00A90898">
        <w:rPr>
          <w:i/>
        </w:rPr>
        <w:t>a quo</w:t>
      </w:r>
      <w:r>
        <w:t>, con el enunciado vigente en el momento de plantearse la cuestión, puede seguir requiriendo el juicio de constitucionalidad (por todas, SSTC 111/1983, de 2 de diciembre, FJ 2; 45/1989, de 20 de febrero, FJ 3; 63/2003, de 27 de marzo, FJ 3, y 101/2009, de 27 de abril, FJ 2).</w:t>
      </w:r>
    </w:p>
    <w:p w:rsidR="00A90898" w:rsidRDefault="00A90898" w:rsidP="00A90898">
      <w:pPr>
        <w:pStyle w:val="TextoNormal"/>
      </w:pPr>
    </w:p>
    <w:p w:rsidR="00A90898" w:rsidRDefault="00A90898" w:rsidP="00A90898">
      <w:pPr>
        <w:pStyle w:val="TextoNormal"/>
      </w:pPr>
      <w:r>
        <w:t xml:space="preserve">En consecuencia, existiendo en este extremo un notable paralelismo entre esta modalidad de proceso constitucional y el de la cuestión de inconstitucionalidad, resulta de aplicación al mismo la doctrina de este Tribunal sobre la persistencia del contenido de la cuestión prejudicial suscitada y de su necesaria resolución (por todas, las SSTC 166/2012, FJ 2, o 183/2013, de 23 de octubre, FJ 3). La derogación del art. 30.2 de la Norma Foral 10/2006, de 29 de diciembre, reguladora del impuesto sobre la renta de las personas físicas del territorio histórico de Gipuzkoa no hace decaer el objeto del presente proceso constitucional en la medida que su pérdida de vigencia no provoca que la norma cuestionada deje de ser aplicable en el proceso </w:t>
      </w:r>
      <w:r w:rsidRPr="00A90898">
        <w:rPr>
          <w:i/>
        </w:rPr>
        <w:t>a quo</w:t>
      </w:r>
      <w:r>
        <w:t>, dependiendo aún de su validez la decisión a adoptar en el mismo [por todas, STC 93/2014, de 29 de mayo, FJ 1 a)].</w:t>
      </w:r>
    </w:p>
    <w:p w:rsidR="00A90898" w:rsidRDefault="00A90898" w:rsidP="00A90898">
      <w:pPr>
        <w:pStyle w:val="TextoNormal"/>
      </w:pPr>
    </w:p>
    <w:p w:rsidR="00A90898" w:rsidRDefault="00A90898" w:rsidP="00A90898">
      <w:pPr>
        <w:pStyle w:val="TextoNormal"/>
      </w:pPr>
      <w:r>
        <w:t>Y, en segundo término, se hace necesario, también, concretar con precisión el objeto al que debe contraerse el presente proceso constitucional, pues las alegaciones efectuadas por la Fiscal General del Estado han tomado como punto de partida el debate efectuado en el proceso contencioso-administrativo y no la concreta duda planteada por el órgano judicial en el auto de promoción de la presente cuestión prejudicial de validez.</w:t>
      </w:r>
    </w:p>
    <w:p w:rsidR="00A90898" w:rsidRDefault="00A90898" w:rsidP="00A90898">
      <w:pPr>
        <w:pStyle w:val="TextoNormal"/>
      </w:pPr>
    </w:p>
    <w:p w:rsidR="00A90898" w:rsidRDefault="00A90898" w:rsidP="00A90898">
      <w:pPr>
        <w:pStyle w:val="TextoNormal"/>
      </w:pPr>
      <w:r>
        <w:t>Es cierto que el trámite de audiencia previo al planteamiento de la cuestión prejudicial se articuló en relación con la posible contradicción entre el art. 30.2 de la Norma Foral 10/2006 y los arts. 31 CE y 3 a) de la Ley 12/2002. Sin embargo, el Auto de planteamiento limita luego su duda a la eventual contradicción entre aquel precepto foral y el art. 3 a) de esa Ley 12/2002, sustentada en los argumentos expuestos en la Sentencia del Tribunal Supremo de 23 de octubre de 2014, que transcribe y que se limitan a analizar esta confrontación. Según esto, este último precepto va a constituir el parámetro de constitucionalidad de nuestro enjuiciamiento [STC 118/2016, de 23 de junio, FJ 3 c)].</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Este Tribunal, a través de los nuevos procesos introducidos en nuestra normativa orgánica por la Ley Orgánica 1/2010, de 19 de febrero, tiene ocasión de resolver por vez primera una cuestión prejudicial de validez de una norma foral tributaria de los territorios históricos vascos. Por ello, se hace preciso dedicar este fundamento jurídico al análisis, aunque sea sucinto, de uno de los procesos constitucionales creados por la mencionada Ley Orgánica 1/2010, de 19 de febrero, de modificación de las leyes orgánicas del Tribunal Constitucional y del Poder Judicial, procesos que se añaden a aquellos de los que ya venía </w:t>
      </w:r>
      <w:r>
        <w:lastRenderedPageBreak/>
        <w:t xml:space="preserve">conociendo [art. 2.1 d) </w:t>
      </w:r>
      <w:r w:rsidRPr="00A90898">
        <w:rPr>
          <w:i/>
        </w:rPr>
        <w:t>bis</w:t>
      </w:r>
      <w:r>
        <w:t xml:space="preserve"> de la Ley Orgánica del Tribunal Constitucional (LOTC)], y que se regulan en la disposición adicional quinta de la Ley Orgánica 2/1979, de 3 de octubre, del Tribunal Constitucional.</w:t>
      </w:r>
    </w:p>
    <w:p w:rsidR="00A90898" w:rsidRDefault="00A90898" w:rsidP="00A90898">
      <w:pPr>
        <w:pStyle w:val="TextoNormal"/>
      </w:pPr>
    </w:p>
    <w:p w:rsidR="00A90898" w:rsidRDefault="00A90898" w:rsidP="00A90898">
      <w:pPr>
        <w:pStyle w:val="TextoNormal"/>
      </w:pPr>
      <w:r>
        <w:t>Así, el art. 1 de la Ley Orgánica 1/2010, de 19 de febrero, ha introducido una nueva disposición adicional quinta en la Ley Orgánica del Tribunal Constitucional, de conformidad con cuyos apartados 1 y 2 corresponderá al Tribunal Constitucional el conocimiento tanto “de los recursos interpuestos contra las normas forales fiscales de los territorios de Álava, Guipúzcoa y Vizcaya”, como de “las cuestiones que se susciten con carácter prejudicial por los órganos jurisdiccionales sobre la validez de las referidas disposiciones” (apartado 1). A tal fin, “[l]a interposición y sus efectos, la legitimación, tramitación y sentencia de los recursos y cuestiones referidos en el apartado anterior, se regirá por lo dispuesto en el título II de esta Ley para los recursos y cuestiones de inconstitucionalidad respectivamente” (apartado 2). Con esta reforma, aunque siguen siendo los Tribunales ordinarios los que “controlan la potestad reglamentaria y la legalidad de la actuación administrativa, así como el sometimiento de esta a los fines que la justifican” [arts. 106.1 CE y 8 de la Ley Orgánica del Poder Judicial (LOPJ), en conexión con el art. art. 38.3 del Estatuto de Autonomía para el País Vasco (EAPV)], quedan excluidos del conocimiento de los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LOPJ y 3 d) de la Ley reguladora de la jurisdicción contencioso-administrativa (LJCA), ambos en la redacción que les ha dado el art. 2 y la disposición adicional única, respectivamente, de la Ley Orgánica 1/2010]. Lo que supone que los recursos directos basados en fundamentos de inconstitucionalidad quedan excluidos del conocimiento de los tribunales contencioso-administrativos por corresponder al Tribunal Constitucional, mientras que los recursos indirectos basados en la inconstitucionalidad de la norma foral fiscal no podrán ser resueltos sin plantear previamente ante el Tribunal Constitucional la cuestión de validez de la norma foral fiscal.</w:t>
      </w:r>
    </w:p>
    <w:p w:rsidR="00A90898" w:rsidRDefault="00A90898" w:rsidP="00A90898">
      <w:pPr>
        <w:pStyle w:val="TextoNormal"/>
      </w:pPr>
    </w:p>
    <w:p w:rsidR="00A90898" w:rsidRDefault="00A90898" w:rsidP="00A90898">
      <w:pPr>
        <w:pStyle w:val="TextoNormal"/>
      </w:pPr>
      <w:r>
        <w:t>Según recuerda la STC 118/2016, que resuelve los recursos de inconstitucionalidad acumulados contra la Ley Orgánica 1/2010,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que hayan sido dictadas en el ejercicio de las competencias reconocidas por el art. 41.2 a) EAPV, a saber, las que se dirijan a mantener, establecer y regular, dentro de su territorio, el régimen tributario, atendiendo a la estructura general impositiva del Estado”.</w:t>
      </w:r>
    </w:p>
    <w:p w:rsidR="00A90898" w:rsidRDefault="00A90898" w:rsidP="00A90898">
      <w:pPr>
        <w:pStyle w:val="TextoNormal"/>
      </w:pPr>
    </w:p>
    <w:p w:rsidR="00A90898" w:rsidRDefault="00A90898" w:rsidP="00A90898">
      <w:pPr>
        <w:pStyle w:val="TextoNormal"/>
      </w:pPr>
      <w:r>
        <w:t xml:space="preserve">Dispone la reforma que tanto en el caso de los recursos interpuestos contra las normas forales fiscales como en el supuesto de la cuestión prejudicial sobre las mismas, “[e]l parámetro de validez de las normas forales enjuiciadas se ajustará a lo dispuesto en el artículo veintiocho de esta Ley” (apartado 1 de la disposición adicional quinta de la Ley Orgánica del Tribunal Constitucional, en la redacción dada por la Ley Orgánica 1/2010), conforme al cual, para determinar la conformidad o disconformidad con la Constitución de esas normas forales fiscales se tomarán en consideración tanto “los preceptos constitucionales” como </w:t>
      </w:r>
      <w:r>
        <w:lastRenderedPageBreak/>
        <w:t>“las Leyes que, dentro del marco constitucional, se hubieran dictado para delimitar las competencias del Estado y las diferentes Comunidades Autónomas o para regular o armonizar el ejercicio de las competencias de estas”.</w:t>
      </w:r>
    </w:p>
    <w:p w:rsidR="00A90898" w:rsidRDefault="00A90898" w:rsidP="00A90898">
      <w:pPr>
        <w:pStyle w:val="TextoNormal"/>
      </w:pPr>
    </w:p>
    <w:p w:rsidR="00A90898" w:rsidRDefault="00A90898" w:rsidP="00A90898">
      <w:pPr>
        <w:pStyle w:val="TextoNormal"/>
      </w:pPr>
      <w:r>
        <w:t>Este Tribunal ha declarado la constitucionalidad de estos nuevos procesos establecidos por la Ley Orgánica 1/2010, de 19 de febrero, al afirmar que “puesto que las normas forales fiscales han venido sustituyendo en los territorios históricos a las disposiciones legislativas del Estado en materia tributaria, fruto de la garantía de la foralidad que el texto constitucional consagra (disposición adicional primera), y dado que el constituyente ha habilitado expresamente al legislador orgánico para que, dentro de su libertad de configuración, introduzca nuevos procesos de control de constitucionalidad con los que atender a la consecución de cualesquiera fines de relevancia constitucional [arts. 161.1 d), 162.2 y 165 CE], ningún reparo se le puede oponer al hecho de que haya decidido someter a aquellas normas al mismo mecanismo de control jurisdiccional que tienen las disposiciones de la Comunidad Foral de Navarra, al responder unas normas y otras, legales y reglamentarias, a la misma finalidad constitucional, actualizada en el marco de la Constitución y los Estatutos de Autonomía: el mantenimiento, establecimiento y regulación, dentro de su territorio, de su propio régimen tributario” [STC 118/2016, de 23 de junio, FJ 3 d)].</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art. 30 de la Norma Foral 10/2006, de 29 de diciembre, reguladora del IRPF de Gipuzkoa, norma aplicable al caso de autos y objeto de la presente cuestión prejudicial, bajo el título de “Normas para la determinación del rendimiento neto en estimación objetiva por signos, índices o módulos”, dispone lo siguiente: </w:t>
      </w:r>
    </w:p>
    <w:p w:rsidR="00A90898" w:rsidRDefault="00A90898" w:rsidP="00A90898">
      <w:pPr>
        <w:pStyle w:val="TextoNormal"/>
      </w:pPr>
    </w:p>
    <w:p w:rsidR="00A90898" w:rsidRDefault="00A90898" w:rsidP="00A90898">
      <w:pPr>
        <w:pStyle w:val="TextoNormal"/>
      </w:pPr>
      <w:r>
        <w:t xml:space="preserve">“1. El método de estimación objetiva por signos, índices o módulos se aplicará, en los términos, límites cuantitativos y para sectores de actividad económica, excluidas las actividades profesionales, que reglamentariamente se establezcan. </w:t>
      </w:r>
    </w:p>
    <w:p w:rsidR="00A90898" w:rsidRDefault="00A90898" w:rsidP="00A90898">
      <w:pPr>
        <w:pStyle w:val="TextoNormal"/>
      </w:pPr>
    </w:p>
    <w:p w:rsidR="00A90898" w:rsidRDefault="00A90898" w:rsidP="00A90898">
      <w:pPr>
        <w:pStyle w:val="TextoNormal"/>
      </w:pPr>
      <w:r>
        <w:t xml:space="preserve">2. La aplicación de esta modalidad de estimación objetiva nunca podrá dejar sin someter a gravamen los rendimientos reales de la actividad económica. [/] En el supuesto de producirse diferencia entre el rendimiento real de la actividad y el derivado de la correcta aplicación de esta modalidad de determinación del rendimiento neto, se procederá al ingreso o devolución de la cuota resultante, sin que resulten exigibles el recargo por ingreso fuera de plazo, los intereses de demora o las sanciones. </w:t>
      </w:r>
    </w:p>
    <w:p w:rsidR="00A90898" w:rsidRDefault="00A90898" w:rsidP="00A90898">
      <w:pPr>
        <w:pStyle w:val="TextoNormal"/>
      </w:pPr>
    </w:p>
    <w:p w:rsidR="00A90898" w:rsidRDefault="00A90898" w:rsidP="00A90898">
      <w:pPr>
        <w:pStyle w:val="TextoNormal"/>
      </w:pPr>
      <w:r>
        <w:t>3.En todo caso, al rendimiento resultante de la aplicación de las reglas que para esta modalidad se aprueben, se sumarán o restarán las ganancias o pérdidas derivadas de la enajenación de elementos afectos a las actividades económicas de conformidad con lo dispuesto en el apartado 5 del artículo 26 de esta Norma Foral.”</w:t>
      </w:r>
    </w:p>
    <w:p w:rsidR="00A90898" w:rsidRDefault="00A90898" w:rsidP="00A90898">
      <w:pPr>
        <w:pStyle w:val="TextoNormal"/>
      </w:pPr>
    </w:p>
    <w:p w:rsidR="00A90898" w:rsidRDefault="00A90898" w:rsidP="00A90898">
      <w:pPr>
        <w:pStyle w:val="TextoNormal"/>
      </w:pPr>
      <w:r>
        <w:t xml:space="preserve">Para la Sección Segunda de la Sala de lo Contencioso-Administrativo del Tribunal Superior de Justicia del País Vasco el apartado 2 del artículo 30 puede ser contrario al art. 3 a) de la Ley 12/2002, de 23 de mayo, por la que se aprueba el concierto económico con la Comunidad Autónoma del País Vasco, pues, con independencia del </w:t>
      </w:r>
      <w:r w:rsidRPr="00A90898">
        <w:rPr>
          <w:i/>
        </w:rPr>
        <w:t>nomen iuris</w:t>
      </w:r>
      <w:r>
        <w:t xml:space="preserve"> usado por la norma foral (estimación objetiva), está regulando una suerte de estimación directa “impropia” que no respeta las características intrínsecas que determinan este método en la Ley general tributaria . De la misma opinión es el Abogado del Estado para quien el régimen de estimación objetiva configurado por la norma foral no reúne los caracteres esenciales que </w:t>
      </w:r>
      <w:r>
        <w:lastRenderedPageBreak/>
        <w:t>dicho régimen tiene en la Ley general tributaria. La Fiscal General del Estado se suma a esta postura pues, a su juicio, la mera coincidencia terminológica no supone que se respete la citada regla de armonización y, dado que en el sistema de la Ley general tributaria  y de la Ley del IRPF no se pueden gravar las diferencias entre el rendimiento real y el objetivamente estimado, la previsión foral le hace perder su principal característica y, por tanto, su esencia. De la opinión contraria son, sin embargo, la Diputación Foral y las Juntas Generales de Gipuzkoa, para quienes el art. 30.2 se adecúa a la terminología de la Ley general tributaria al contemplar un método de estimación objetiva para el cálculo de base imponible, sin que el hecho de que su regulación sea diferente contradiga limitación alguna, al ser fruto de la libertad de configuración normativa derivada de la garantía institucional prevista en la disposición adicional primera de la Constitución.</w:t>
      </w:r>
    </w:p>
    <w:p w:rsidR="00A90898" w:rsidRDefault="00A90898" w:rsidP="00A90898">
      <w:pPr>
        <w:pStyle w:val="TextoNormal"/>
      </w:pPr>
    </w:p>
    <w:p w:rsidR="00A90898" w:rsidRDefault="00A90898" w:rsidP="00A90898">
      <w:pPr>
        <w:pStyle w:val="TextoNormal"/>
      </w:pPr>
      <w:r w:rsidRPr="00A90898">
        <w:rPr>
          <w:rStyle w:val="NumeroAFNegritaCaracter"/>
        </w:rPr>
        <w:t>4</w:t>
      </w:r>
      <w:r>
        <w:t>. La disposición adicional primera de la Constitución consagra el respeto a “los derechos históricos de los territorios forales” (párrafo primero), cuya actualización “se llevará a cabo, en su caso, en el marco de la Constitución y de los Estatutos de Autonomía” (párrafo segundo). Al amparo de estas previsiones, de conformidad con la Ley Orgánica 3/1979, de 18 de diciembre, de Estatuto de Autonomía para el País Vasco —EAPV—, las instituciones competentes de los territorios históricos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[art. 41.2 a) EAPV]. Fruto de esta previsión estatutaria fue dictada la Ley 12/2002, de 23 de mayo, aprobatoria del concierto económico con la Comunidad Autónoma del País Vasco, que condiciona el régimen tributario de los territorios históricos, no sólo “a la estructura general impositiva del Estado” (art. 2.1), sino también a la “[c]oordinación, armonización fiscal y colaboración con el Estado, de acuerdo con las normas del presente Concierto Económico” (art. 2.3), lo que exige que se adecúe “a la Ley general tributaria  en cuanto a terminología y conceptos, sin perjuicio de las peculiaridades establecidas en el presente concierto económico” [art. 3 a)].</w:t>
      </w:r>
    </w:p>
    <w:p w:rsidR="00A90898" w:rsidRDefault="00A90898" w:rsidP="00A90898">
      <w:pPr>
        <w:pStyle w:val="TextoNormal"/>
      </w:pPr>
    </w:p>
    <w:p w:rsidR="00A90898" w:rsidRDefault="00A90898" w:rsidP="00A90898">
      <w:pPr>
        <w:pStyle w:val="TextoNormal"/>
      </w:pPr>
      <w:r>
        <w:t>Es importante tener presente que, como rasgo histórico de la foralidad, actualizada en el marco de Constitución y del Estatuto de Autonomía, los territorios de Álava, Gipuzkoa y Bizkaia han conservado, de forma exclusiva, la competencia para mantener, establecer, regular y gestionar, dentro de cada uno de sus territorios, su propio régimen tributario, aunque atendiendo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y 118/2016, de 23 de junio, FJ 2 a)], al quedar condicionados “por las normas que dicte el Estado en la materia” [SSTC 100/2012, de 8 de mayo, FJ 7; y 118/2016, de 23 de junio, FJ 2 b)]. De esta manera, aunque las normas forales fiscales operan sobre “un cierto contenido competencial que vendría siendo ejercido de forma continuada por la Institución Foral” [SSTC 208/2012, de 14 de noviembre, FJ 4; y 118/2016, de 23 de junio, FJ 2 b)], su “ejercicio, (…) no sólo queda condicionado por la Constitución, sino también por las normas que dicte el Estado en la materia” [SSTC 100/2012, de 8 de mayo, FJ 7; y 118/2016, de 23 de junio, FJ 2 b)].</w:t>
      </w:r>
    </w:p>
    <w:p w:rsidR="00A90898" w:rsidRDefault="00A90898" w:rsidP="00A90898">
      <w:pPr>
        <w:pStyle w:val="TextoNormal"/>
      </w:pPr>
    </w:p>
    <w:p w:rsidR="00A90898" w:rsidRDefault="00A90898" w:rsidP="00A90898">
      <w:pPr>
        <w:pStyle w:val="TextoNormal"/>
      </w:pPr>
      <w:r>
        <w:t xml:space="preserve">De conformidad con la disposición adicional quinta de la Ley Orgánica 2/1979, de 3 de octubre, del Tribunal Constitucional (en la redacción que le ha dado la Ley Orgánica </w:t>
      </w:r>
      <w:r>
        <w:lastRenderedPageBreak/>
        <w:t>1/2010), “el parámetro de validez de las normas forales enjuiciadas se ajustará a lo dispuesto en el artículo 28 de esta Ley”, conforme al cual, se tomarán en consideración para determinar su conformidad o disconformidad con la Constitución, “los preceptos constitucionales” y “las Leyes que, dentro del marco constitucional, se hubieran dictado para delimitar las competencias del Estado y las diferentes Comunidades Autónomas o para regular o armonizar el ejercicio de las competencias de estas”. Así las cosas, “la remisión que hace aquella disposición adicional quinta al art. 28 LOTC, para fijar el parámetro de validez de las normas forales fiscales, debe entenderse en el sentido de que únicamente serán objeto del control atribuido a este Tribunal Constitucional, aquellas normas forales fiscales de las previstas en el art. 41.2 a) EAPV, que desconozcan o contradigan alguna disposición integrante del bloque de la constitucionalidad a que hace referencia el art. 28 LOTC, o, lo que es lo mismo, las que vulneren la Constitución o las ‘leyes’ que se hayan dictado ‘para delimitar las competencias’ del Estado y de los territorios históricos” [STC 118/2016, de 23 de junio, FJ 3 c)].</w:t>
      </w:r>
    </w:p>
    <w:p w:rsidR="00A90898" w:rsidRDefault="00A90898" w:rsidP="00A90898">
      <w:pPr>
        <w:pStyle w:val="TextoNormal"/>
      </w:pPr>
    </w:p>
    <w:p w:rsidR="00A90898" w:rsidRDefault="00A90898" w:rsidP="00A90898">
      <w:pPr>
        <w:pStyle w:val="TextoNormal"/>
      </w:pPr>
      <w:r>
        <w:t>Lo anterior supone que son parámetro inmediato o directo de la validez de las normas forales fiscales, además de la Constitución, tanto el Estatuto de Autonomía (Ley Orgánica 3/1979), como el concierto (Ley 12/2002), al ser normas ordenadoras de las relaciones tributarias entre el Estado y los territorios históricos de Álava, Bizkaia y Gipuzkoa. Pero también “son parámetro mediato o indirecto del enjuiciamiento de aquella validez, por expresa remisión de la Ley del Concierto, tanto las normas estatales reguladoras de los diferentes tributos que configuran ‘la estructura general impositiva del Estado’ (art. 2.1.2 de la Ley del Concierto Económico) como “la Ley General Tributaria” [art. 3 a) de la Ley del Concierto Económico], pues únicamente en contraste con las mismas puede comprenderse el concreto alcance y comprobarse el correcto ejercicio de las competencias normativas que les han sido reconocidas” [STC 118/2016, de 23 de junio, FJ 3 c)].</w:t>
      </w:r>
    </w:p>
    <w:p w:rsidR="00A90898" w:rsidRDefault="00A90898" w:rsidP="00A90898">
      <w:pPr>
        <w:pStyle w:val="TextoNormal"/>
      </w:pPr>
    </w:p>
    <w:p w:rsidR="00A90898" w:rsidRDefault="00A90898" w:rsidP="00A90898">
      <w:pPr>
        <w:pStyle w:val="TextoNormal"/>
      </w:pPr>
      <w:r>
        <w:t>No obstante lo anterior, las normas estatales reguladoras de los diferentes tributos serán parámetro de constitucionalidad de las normas forales únicamente en la medida en que la competencia de los territorios forales para mantener, establecer, regular y gestionar, su propio régimen tributario deba atender a la estructura general impositiva del Estado [art. 41.2 a) EAPV y art. 2.1.2 de la Ley del concierto económico], pues aquellos territorios han de establecer unos impuestos en los que sea “identificable la imagen de los que integran el sistema tributario estatal” [SSTC 110/2014, de 26 de junio, FJ 3; y 118/2016, de 23 de junio, FJ 2 a)]; sin que quepa exigir una identidad regulatoria completa que llegue al punto de considerar que cualquier elemento contenido en la norma estatal reguladora de cada una de las figuras tributarias que integran dicho sistema sea un elemento configurador de la estructura general impositiva del Estado.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Una vez concretado el alcance de las competencias normativas de los territorios históricos, para dar respuesta a la duda planteada por el órgano judicial —que se limita a la eventual contradicción entre el art. 30.2 de la Norma Foral 10/2006, de 29 de diciembre, reguladora del IRPF de Gipuzkoa y el art. 3 a) de la Ley 12/2002, de 23 de mayo, por la que se aprueba el concierto económico con la Comunidad Autónoma del País Vasco, en conexión tanto con el art. 41.2 a) de la Ley Orgánica 3/1979, de 18 de diciembre, de Estatuto de Autonomía para el País Vasco, como con la disposición adicional primera de la Constitución—, nuestro análisis debe arrancar de lo previsto en la Ley 58/2003, de 17 de diciembre, general tributaria (en lo sucesivo, LGT), puesto que es a esta ley a la que se remite el art. 3 </w:t>
      </w:r>
      <w:r>
        <w:lastRenderedPageBreak/>
        <w:t>a) de la Ley 12/2002 cuando exige que los territorios históricos en la elaboración de la normativa tributaria se adecúen “a la Ley General Tributaria  en cuanto a terminología y conceptos, sin perjuicio de las peculiaridades establecidas en el presente Concierto Económico”.</w:t>
      </w:r>
    </w:p>
    <w:p w:rsidR="00A90898" w:rsidRDefault="00A90898" w:rsidP="00A90898">
      <w:pPr>
        <w:pStyle w:val="TextoNormal"/>
      </w:pPr>
    </w:p>
    <w:p w:rsidR="00A90898" w:rsidRDefault="00A90898" w:rsidP="00A90898">
      <w:pPr>
        <w:pStyle w:val="TextoNormal"/>
      </w:pPr>
      <w:r>
        <w:t>Así, la Ley general tributaria acoge tres métodos de determinación de la base imponible: la estimación directa, la estimación objetiva y la estimación indirecta (art. 50.2 LGT). Esta misma norma subraya, a renglón seguido, que, aunque “[l]as bases imponibles se determinarán con carácter general a través del método de estimación directa”, sin embargo, “la ley podrá establecer los supuestos en que sea de aplicación el método de estimación objetiva, que tendrá, en todo caso, carácter voluntario para los obligados tributarios” (art. 50.3 LGT). Finalmente, concluye que “[e]l método de estimación objetiva podrá utilizarse para la determinación de la base imponible mediante la aplicación de magnitudes, índices, módulos o datos previstos en la normativa propia de cada tributo” (art. 52 LGT).</w:t>
      </w:r>
    </w:p>
    <w:p w:rsidR="00A90898" w:rsidRDefault="00A90898" w:rsidP="00A90898">
      <w:pPr>
        <w:pStyle w:val="TextoNormal"/>
      </w:pPr>
    </w:p>
    <w:p w:rsidR="00A90898" w:rsidRDefault="00A90898" w:rsidP="00A90898">
      <w:pPr>
        <w:pStyle w:val="TextoNormal"/>
      </w:pPr>
      <w:r>
        <w:t>De conformidad con lo expuesto, dado que la Ley 58/2003, de 17 de diciembre, general tributaria , “establece los principios y las normas jurídicas generales del sistema tributario español”, siendo aplicable “a todas las Administraciones tributarias”, claro está, “sin perjuicio de lo dispuesto en las leyes que aprueba el Convenio y el Concierto Económico” (art. 1.1 LGT), y puesto que esta norma legal ha habilitado a los diferentes entes territoriales competentes para poder adoptar, en su caso, el régimen de estimación objetiva como método de estimación de la base imponible (arts. 50.3 y 52, ambos de la LGT), no cabe duda de que corresponde a las respectivas Juntas Generales de los Territorios Históricos adoptar la decisión sobre la aplicación de tal método en los tributos de su competencia y, en concreto, en el IRPF, tributo este concertado de normativa autónoma (art. 6.1 de la Ley 12/2002). Por esta razón, si la Norma Foral 10/2006, aquí cuestionada, se inclinó por acoger formalmente el método de estimación objetiva (art. 30), sin embargo, la posterior Norma Foral 3/2014, de 17 de enero, del impuesto sobre la renta de las personas físicas del territorio histórico de Gipuzkoa, ha optado, a partir del 1 de enero de 2014, por excluirla como método para la determinación del rendimiento neto de las actividades económicas.</w:t>
      </w:r>
    </w:p>
    <w:p w:rsidR="00A90898" w:rsidRDefault="00A90898" w:rsidP="00A90898">
      <w:pPr>
        <w:pStyle w:val="TextoNormal"/>
      </w:pPr>
    </w:p>
    <w:p w:rsidR="00A90898" w:rsidRDefault="00A90898" w:rsidP="00A90898">
      <w:pPr>
        <w:pStyle w:val="TextoNormal"/>
      </w:pPr>
      <w:r>
        <w:t xml:space="preserve">Una vez precisado que las juntas generales tienen la posibilidad, tanto de establecer como de suprimir el régimen de estimación objetiva, debemos reiterar que la normativa propia del tributo aplicable en el proceso </w:t>
      </w:r>
      <w:r w:rsidRPr="00A90898">
        <w:rPr>
          <w:i/>
        </w:rPr>
        <w:t>a quo</w:t>
      </w:r>
      <w:r>
        <w:t>, y por tanto la aquí cuestionada, se recoge en la Norma Foral 10/2006, de 29 de diciembre, reguladora del IRPF del territorio histórico de Gipuzkoa, que acogió la aplicación del método de estimación objetiva por signos, índices o módulos, para la determinación del rendimiento neto de las actividades económicas “que reglamentariamente se establezcan” (art. 30.1), eso sí, precisando, a renglón seguido, que su aplicación “nunca podrá dejar sin someter a gravamen los rendimientos reales de la actividad económica”, de manera que, “[e]n el supuesto de producirse diferencia entre el rendimiento real de la actividad y el derivado de la correcta aplicación de esta modalidad de determinación del rendimiento neto, se procederá al ingreso o devolución de la cuota resultante, sin que resulten exigibles el recargo por ingreso fuera de plazo, los intereses de demora o las sanciones” (artículo 30.2).</w:t>
      </w:r>
    </w:p>
    <w:p w:rsidR="00A90898" w:rsidRDefault="00A90898" w:rsidP="00A90898">
      <w:pPr>
        <w:pStyle w:val="TextoNormal"/>
      </w:pPr>
    </w:p>
    <w:p w:rsidR="00A90898" w:rsidRDefault="00A90898" w:rsidP="00A90898">
      <w:pPr>
        <w:pStyle w:val="TextoNormal"/>
      </w:pPr>
      <w:r>
        <w:t xml:space="preserve">Nos corresponde determinar si el apartado 2 del art. 30 de la Norma Foral 10/2006, ha respetado la exigencia establecida en el art. 3 a) de la Ley 12/2002 que dispone que los </w:t>
      </w:r>
      <w:r>
        <w:lastRenderedPageBreak/>
        <w:t>territorios históricos en la elaboración de la normativa tributaria se adecuarán a la Ley general tributaria  en cuanto a terminología y conceptos, sin perjuicio de las peculiaridades establecidas en el presente concierto económico. Para ello, desde el plano del enjuiciamiento constitucional que ahora nos corresponde, habremos de poner en relación la terminología y conceptos que, para el sistema de estimación objetiva ha establecido la Ley General Tributaria, con el diseño establecido por el precepto cuestionado de la norma foral de referencia.</w:t>
      </w:r>
    </w:p>
    <w:p w:rsidR="00A90898" w:rsidRDefault="00A90898" w:rsidP="00A90898">
      <w:pPr>
        <w:pStyle w:val="TextoNormal"/>
      </w:pPr>
    </w:p>
    <w:p w:rsidR="00A90898" w:rsidRDefault="00A90898" w:rsidP="00A90898">
      <w:pPr>
        <w:pStyle w:val="TextoNormal"/>
      </w:pPr>
      <w:r>
        <w:t>A este respecto, de la regulación prevista en la Ley 58/2003, de 17 de diciembre, general tributaria, sobre el concepto de estimación objetiva se pueden extraer las siguientes características: 1º) La estimación objetiva es un método alternativo al de estimación directa para la determinación del rendimiento neto de determinadas actividades económicas en aquellos tributos en los que así lo haya considerado el legislador [“la ley podrá” (art. 50.2 LGT); “el método … podrá utilizarse” (art. 52 LGT)]. 2º) Una vez que la normativa reguladora de un tributo ha acogido la estimación objetiva como uno de los métodos dirigidos a la determinación de las bases imponibles, su aplicación será voluntaria para los obligados tributarios [“que tendrá, en todo caso, carácter voluntario” (art. 50.3 LGT)]. 3º) Bajo el método de estimación objetiva la determinación de la base imponible se realiza mediante la aplicación de las magnitudes, índices, módulos o datos previstos en la normativa propia de cada tributo [la determinación de la base imponible mediante la aplicación de las magnitudes, índices, módulos o datos (art. 52 LGT)].</w:t>
      </w:r>
    </w:p>
    <w:p w:rsidR="00A90898" w:rsidRDefault="00A90898" w:rsidP="00A90898">
      <w:pPr>
        <w:pStyle w:val="TextoNormal"/>
      </w:pPr>
    </w:p>
    <w:p w:rsidR="00A90898" w:rsidRDefault="00A90898" w:rsidP="00A90898">
      <w:pPr>
        <w:pStyle w:val="TextoNormal"/>
      </w:pPr>
      <w:r>
        <w:t>Si bien es cierto que el contenido de la estimación objetiva por signos, índices y módulos del territorio histórico puede ser diferente al establecido en el territorio común, las normas forales sobre el impuesto sobre la renta de las personas físicas deberán en todo caso —y porque así lo exige el art. 3 a) de la Ley del concierto— respetar las características intrínsecas del concepto de estimación objetiva ofrecido por la Ley general tributaria. En este sentido, la estimación objetiva por signos, índices o módulos de la base imponible de un tributo por su propia naturaleza sólo puede arrojar un resultado estimativo a diferencia de lo que acontece con la estimación directa. Por ello, no puede considerarse que respeta el concepto de estimación objetiva contenido en la Ley general tributaria aquel régimen que obliga al contribuyente, en el supuesto de producirse diferencia entre el rendimiento real de la actividad y el derivado de la correcta aplicación del régimen de estimación objetiva, “a proceder al ingreso o devolución de la cuota resultante” (art. 30.2 de la Norma Foral 10/2006), pues la inamovilidad de la cuantía derivada de la correcta aplicación de la estimación objetiva es una característica intrínseca de aquel régimen de determinación de la base del tributo. En este mismo sentido se pronunció la Sala de lo Contencioso-Administrativo del Tribunal Supremo en su Sentencia de 23 octubre 2014 (recurso de casación núm. 230-2012), al resolver un recurso frente a una norma foral fiscal distinta (el artículo 26.2 de la Norma foral del territorio histórico de Gipuzkoa 8/1998, de 24 de diciembre), pero de contenido similar a la enjuiciada en el presente proceso.</w:t>
      </w:r>
    </w:p>
    <w:p w:rsidR="00A90898" w:rsidRDefault="00A90898" w:rsidP="00A90898">
      <w:pPr>
        <w:pStyle w:val="TextoNormal"/>
      </w:pPr>
    </w:p>
    <w:p w:rsidR="00A90898" w:rsidRDefault="00A90898" w:rsidP="00A90898">
      <w:pPr>
        <w:pStyle w:val="TextoNormal"/>
      </w:pPr>
      <w:r>
        <w:t xml:space="preserve">El apartado 2 del art. 30 de la Norma foral 10/2006 configura un régimen de determinación de la base imponible que no es alternativo a la estimación directa, sino que se superpone a la misma, permitiendo que ambos métodos puedan aplicarse sucesivamente para el cálculo de una misma obligación tributaria. El precepto impugnado configura así una estimación directa que se puede denominar como “impropia” dado que en el supuesto de producirse diferencia entre el rendimiento real de la actividad y el derivado de la correcta aplicación </w:t>
      </w:r>
      <w:r>
        <w:lastRenderedPageBreak/>
        <w:t xml:space="preserve">del régimen de estimación objetiva se debe proceder al correspondiente ingreso o devolución de la cuota resultante. Se vulnera con ello la regla de armonización impuesta en el art. 3 a) de la Ley 12/2002 que obliga a los territorios forales a adecuar su normativa a la Ley general tributaria en cuanto a terminología y conceptos, lo que determina la nulidad del precepto foral por desfigurar el concepto de estimación objetiva contenido en este último texto legal del Estado, sin que existan especialidades o peculiaridades en la Ley del concierto que permitan, </w:t>
      </w:r>
      <w:r w:rsidRPr="00A90898">
        <w:rPr>
          <w:i/>
        </w:rPr>
        <w:t>ex</w:t>
      </w:r>
      <w:r>
        <w:t xml:space="preserve"> art. 3 a) de la Ley 12/2002, apartarse del mismo.</w:t>
      </w:r>
    </w:p>
    <w:p w:rsidR="00A90898" w:rsidRDefault="00A90898" w:rsidP="00A90898">
      <w:pPr>
        <w:pStyle w:val="TextoNormal"/>
      </w:pPr>
    </w:p>
    <w:p w:rsidR="00A90898" w:rsidRDefault="00A90898" w:rsidP="00A90898">
      <w:pPr>
        <w:pStyle w:val="TextoNormal"/>
      </w:pPr>
      <w:r>
        <w:t>Debe declararse, en consecuencia, que el art. 30.2 de la Norma Foral 10/2006, de 29 de diciembre, reguladora del impuesto sobre la renta de las personas físicas del territorio histórico de Gipuzkoa, es contrario al art. 3 a) de la Ley 12/2002, de 23 de mayo, por la que se aprueba el concierto económico con la Comunidad Autónoma del País Vasco, en conexión tanto con el art. 41.2 a) de la Ley Orgánica 3/1979, de 18 de diciembre, de Estatuto de Autonomía para el País Vasco, como con la disposición adicional primera de la Constitución, al no responder las modificaciones introducidas en el método de estimación objetiva de determinación de la base imponible del IRPF por el precepto impugnado de la Norma Foral de referencia a peculiaridad alguna contenida en el concierto económico.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la presente cuestión prejudicial de validez de las normas forales fiscales de los territorios históricos vascos y, en consecuencia, declarar inconstitucional y nulo el art. 30.2 de la Norma Foral 10/2006, de 29 de diciembre, reguladora del impuesto sobre la renta de las personas físicas del territorio histórico de Gipuzkoa.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uno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3" w:name="SENTENCIA_2016_204"/>
      <w:r>
        <w:lastRenderedPageBreak/>
        <w:t>SENTENCIA 204/2016, de 1 de diciembre de 2016</w:t>
      </w:r>
    </w:p>
    <w:bookmarkEnd w:id="83"/>
    <w:p w:rsidR="00A90898" w:rsidRDefault="00A90898" w:rsidP="00A90898">
      <w:pPr>
        <w:pStyle w:val="TtuloResolucin"/>
      </w:pPr>
      <w:r>
        <w:t>Pleno</w:t>
      </w:r>
    </w:p>
    <w:p w:rsidR="00A90898" w:rsidRDefault="00A90898" w:rsidP="00A90898">
      <w:pPr>
        <w:pStyle w:val="TtuloBOE"/>
      </w:pPr>
      <w:r>
        <w:t>(BOE núm. 7, de 9 de enero de 2017)</w:t>
      </w:r>
    </w:p>
    <w:p w:rsidR="00A90898" w:rsidRDefault="00A90898" w:rsidP="00A90898">
      <w:pPr>
        <w:pStyle w:val="TextoNormalCentrado"/>
      </w:pPr>
      <w:r>
        <w:t>ECLI:ES:TC:2016:204</w:t>
      </w:r>
    </w:p>
    <w:p w:rsidR="00A90898" w:rsidRDefault="00A90898" w:rsidP="00A90898">
      <w:pPr>
        <w:pStyle w:val="TextoNormalCentrado"/>
      </w:pPr>
    </w:p>
    <w:p w:rsidR="00A90898" w:rsidRDefault="00A90898" w:rsidP="00A90898">
      <w:pPr>
        <w:pStyle w:val="SntesisDescriptiva"/>
      </w:pPr>
      <w:r>
        <w:t>Cuestión de inconstitucionalidad 6036-2015. Planteada por el Juzgado de lo Contencioso-Administrativo núm. 4 de Bilbao en relación con el artículo 89.2 de la Ley 6/1989, de 6 de julio, de la función pública vasca.</w:t>
      </w:r>
    </w:p>
    <w:p w:rsidR="00A90898" w:rsidRDefault="00A90898" w:rsidP="00A90898">
      <w:pPr>
        <w:pStyle w:val="SntesisDescriptiva"/>
      </w:pPr>
    </w:p>
    <w:p w:rsidR="00A90898" w:rsidRDefault="00A90898" w:rsidP="00A90898">
      <w:pPr>
        <w:pStyle w:val="SntesisAnaltica"/>
      </w:pPr>
      <w:r>
        <w:t>Competencia sobre función pública: inadmisión de la cuestión de inconstitucionalidad en la que se aduce inconstitucionalidad sobrevenida de un precepto legal autonómico (STC 102/2016). Votos particulares.</w:t>
      </w:r>
    </w:p>
    <w:p w:rsidR="00A90898" w:rsidRDefault="00A90898" w:rsidP="00A90898">
      <w:pPr>
        <w:pStyle w:val="SntesisAnaltica"/>
      </w:pPr>
    </w:p>
    <w:p w:rsidR="00A90898" w:rsidRDefault="00A90898" w:rsidP="00A90898">
      <w:pPr>
        <w:pStyle w:val="Extracto"/>
      </w:pPr>
      <w:r>
        <w:t>1.</w:t>
      </w:r>
      <w:r>
        <w:tab/>
        <w:t>Aunque, a diferencia del supuesto resuelto por la STC 102/2016, en el presente caso la norma de cuya constitucionalidad duda el Juzgado recurrente no reproduce precepto alguno estatal de carácter básico sino que se trata de un precepto dictado en ausencia de legislación básica estatal, la razón de decidir de aquella Sentencia sirve para resolver también el presente proceso constitucional. En ambos casos se trata de una ley autonómica a la que, en el momento en que se dictó, no podía imputarse vicio alguno de inconstitucionalidad, y que, sin embargo, deviene incompatible con una ley básica del Estado aprobada con posterioridad [FJ 3].</w:t>
      </w:r>
    </w:p>
    <w:p w:rsidR="00A90898" w:rsidRDefault="00A90898" w:rsidP="00A90898">
      <w:pPr>
        <w:pStyle w:val="Extracto"/>
      </w:pPr>
    </w:p>
    <w:p w:rsidR="00A90898" w:rsidRDefault="00A90898" w:rsidP="00A90898">
      <w:pPr>
        <w:pStyle w:val="Extracto"/>
      </w:pPr>
      <w:r>
        <w:t>2.</w:t>
      </w:r>
      <w:r>
        <w:tab/>
        <w:t>Reitera la doctrina de la STC 102/2016 sobre la prevalencia del derecho estatal [FJ 3].</w:t>
      </w:r>
    </w:p>
    <w:p w:rsidR="00A90898" w:rsidRDefault="00A90898" w:rsidP="00A90898">
      <w:pPr>
        <w:pStyle w:val="Extracto"/>
      </w:pPr>
    </w:p>
    <w:p w:rsidR="00A90898" w:rsidRDefault="00A90898" w:rsidP="00A90898">
      <w:pPr>
        <w:pStyle w:val="Extracto"/>
      </w:pPr>
      <w:r>
        <w:t>3.</w:t>
      </w:r>
      <w:r>
        <w:tab/>
        <w:t>El legislador autonómico debe acomodar su legislación a la posterior estatal de carácter básico (SSTC 102/2016, 127/2016)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la cuestión de inconstitucionalidad núm. 6036-2015, planteada por el Juzgado de lo Contencioso-Administrativo núm. 4 de Bilbao en relación con el art. 89.2 de la Ley 6/1989, de 6 de julio, de la función pública vasca, por posible vulneración del art. 149.1.18 CE. Han </w:t>
      </w:r>
      <w:r>
        <w:lastRenderedPageBreak/>
        <w:t>comparecido y formulado alegaciones, el Abogado del Estado y el Fiscal General del Estado.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29 de octubre de 2015, al que se acompaña el correspondiente Auto de 7 de octubre del mismo año, el Juzgado de lo Contencioso-Administrativo núm. 4 de Bilbao, acuerda plantear cuestión de inconstitucionalidad en relación con el art. 89.2 de la Ley 6/1989, de 6 de julio, de la función pública vasca, por posible vulneración del art. 149.1.18 de la Constitución al establecer la norma autonómica un plazo de prescripción de las faltas leves distinto al establecido en el art. 97 de la Ley 7/2007, de 12 de abril, del estatuto básico del empleado público (en adelante LEEP).</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de hecho del planteamiento de la presente cuestión de inconstitucionalidad son los siguientes:</w:t>
      </w:r>
    </w:p>
    <w:p w:rsidR="00A90898" w:rsidRDefault="00A90898" w:rsidP="00A90898">
      <w:pPr>
        <w:pStyle w:val="TextoNormal"/>
      </w:pPr>
    </w:p>
    <w:p w:rsidR="00A90898" w:rsidRDefault="00A90898" w:rsidP="00A90898">
      <w:pPr>
        <w:pStyle w:val="TextoNormal"/>
      </w:pPr>
      <w:r>
        <w:t>a) Don Francisco Javier Crespo Corcés interpuso recurso contencioso-administrativo contra la resolución de 4 de julio de 2014, de la Alcaldía-Presidencia de Bilbao, que desestimó el recurso de reposición interpuesto contra la resolución de 30 de abril de 2014, del Concejal delegado del área de recursos humanos, que le impuso una sanción de apercibimiento por la comisión de una falta disciplinaria leve prevista en el art. 44 b) de la Ley 1/1996, de 3 de abril de gestión de emergencias. En su demanda contenciosa impugnaba la resolución sancionadora, alegando —además de la caducidad del procedimiento y de la infracción del principio de tipicidad—, que la falta había prescrito al haber transcurrido el plazo de un mes, previsto en el art. 89.2 de la Ley 6/1989, de 6 de julio, de la función pública vasca, para las faltas leves, precepto, que, pese a establecer un plazo de prescripción distinto al previsto en el art. 97 LEEP, no supone, a su juicio, una infracción del orden competencial.</w:t>
      </w:r>
    </w:p>
    <w:p w:rsidR="00A90898" w:rsidRDefault="00A90898" w:rsidP="00A90898">
      <w:pPr>
        <w:pStyle w:val="TextoNormal"/>
      </w:pPr>
    </w:p>
    <w:p w:rsidR="00A90898" w:rsidRDefault="00A90898" w:rsidP="00A90898">
      <w:pPr>
        <w:pStyle w:val="TextoNormal"/>
      </w:pPr>
      <w:r>
        <w:t>b) Por la representación del Ayuntamiento, en el acto de la vista celebrada el 8 de julio de 2015, se solicitó la desestimación de la demanda, y en relación con la alegada prescripción indicó que conforme al art. 97 LEEP el plazo de prescripción de la infracción es de seis meses para las faltas leves, siendo dicha norma la aplicable conforme al art. 149.1.18 CE, por lo que la infracción no ha prescrito.</w:t>
      </w:r>
    </w:p>
    <w:p w:rsidR="00A90898" w:rsidRDefault="00A90898" w:rsidP="00A90898">
      <w:pPr>
        <w:pStyle w:val="TextoNormal"/>
      </w:pPr>
    </w:p>
    <w:p w:rsidR="00A90898" w:rsidRDefault="00A90898" w:rsidP="00A90898">
      <w:pPr>
        <w:pStyle w:val="TextoNormal"/>
      </w:pPr>
      <w:r>
        <w:t>c) Estando el procedimiento concluso para sentencia, y con suspensión del mismo, el Juzgado de lo Contencioso-Administrativo núm. 4 de Bilbao dictó, el 15 de julio de 2015, un Auto por el que de conformidad con lo previsto en el art. 35.2 de la Ley Orgánica del Tribunal Constitucional (LOTC), acordaba conferir un plazo común de diez días a las partes y al Ministerio Fiscal para que formularan alegaciones sobre la pertinencia de plantear cuestión de inconstitucionalidad respecto del art. 89.2 de la Ley 6/1989, de 6 de julio, de la función pública vasca, por posible vulneración del art. 149.1.18 de la Constitución, al haber entrado en contradicción con el art. 97 LEEP.</w:t>
      </w:r>
    </w:p>
    <w:p w:rsidR="00A90898" w:rsidRDefault="00A90898" w:rsidP="00A90898">
      <w:pPr>
        <w:pStyle w:val="TextoNormal"/>
      </w:pPr>
    </w:p>
    <w:p w:rsidR="00A90898" w:rsidRDefault="00A90898" w:rsidP="00A90898">
      <w:pPr>
        <w:pStyle w:val="TextoNormal"/>
      </w:pPr>
      <w:r>
        <w:t xml:space="preserve">d) Al evacuar dicho trámite, el Ministerio Fiscal manifestó, mediante escrito fechado el 3 de septiembre de 2015, que concurrían los presupuestos procesales y que no se oponía al planteamiento de la cuestión que se suscitaba. El recurrente, mediante escrito presentado el </w:t>
      </w:r>
      <w:r>
        <w:lastRenderedPageBreak/>
        <w:t>10 de septiembre de 2015, se opuso al planteamiento de la cuestión de inconstitucionalidad por entender que la contradicción entre la normas podía resolverse por vía interpretativa, pues la STC 37/2002 declaró que no se infringía dicho precepto por una norma autonómica que estableciese un plazo de prescripción diferente al previsto en la norma estatal para el régimen disciplinario de los funcionarios públicos.</w:t>
      </w:r>
    </w:p>
    <w:p w:rsidR="00A90898" w:rsidRDefault="00A90898" w:rsidP="00A90898">
      <w:pPr>
        <w:pStyle w:val="TextoNormal"/>
      </w:pPr>
    </w:p>
    <w:p w:rsidR="00A90898" w:rsidRDefault="00A90898" w:rsidP="00A90898">
      <w:pPr>
        <w:pStyle w:val="TextoNormal"/>
      </w:pPr>
      <w:r w:rsidRPr="00A90898">
        <w:rPr>
          <w:rStyle w:val="NumeroAFNegritaCaracter"/>
        </w:rPr>
        <w:t>3</w:t>
      </w:r>
      <w:r>
        <w:t>. Por Auto de 7 de octubre de 2015, el órgano judicial planteó la posible inconstitucionalidad sobrevenida del art. 89.2 de la Ley 6/1989, de 6 de julio, de la función pública vasca, al haber entrado en vigor la Ley 7/2007, de 12 de abril, del estatuto básico del empleado público, en cuyo art. 97 establece un plazo de prescripción para faltas leves distinto e incompatible con el previsto en la norma autonómica. Afirma, que el precepto de la Constitución que podría haber resultado infringido es el art. 149.1.18 CE, en cuanto reserva al Estado la legislación sobre las bases Considera, que a diferencia de lo resuelto en la STC 37/2002, en el supuesto ahora planteado, el legislador estatal ha declarado comprendidos en el ámbito de lo básico los plazos de prescripción de las faltas leves de los funcionarios, pues no sólo el art. 97 LEEP sino la totalidad de su regulación tiene tal carácter conforme a su artículo 1.1. Por otra parte, pone de relieve que no se ha alegado por las partes la posible inconstitucionalidad del art. 97 LEEP, ni le constan al Juzgado los motivos por los que dicho precepto pudiera vulnerar la Constitución.</w:t>
      </w:r>
    </w:p>
    <w:p w:rsidR="00A90898" w:rsidRDefault="00A90898" w:rsidP="00A90898">
      <w:pPr>
        <w:pStyle w:val="TextoNormal"/>
      </w:pPr>
    </w:p>
    <w:p w:rsidR="00A90898" w:rsidRDefault="00A90898" w:rsidP="00A90898">
      <w:pPr>
        <w:pStyle w:val="TextoNormal"/>
      </w:pPr>
      <w:r>
        <w:t>Respecto a la incompatibilidad entre disposiciones contenidas en una ley autonómica y una base estatal posterior, cita, entre otras, las SSTC 1/2003 y 66/2011, y considera que ha de dirigirse al Tribunal Constitucional para que determine si concurre la causa de inconstitucionalidad sobrevenida.</w:t>
      </w:r>
    </w:p>
    <w:p w:rsidR="00A90898" w:rsidRDefault="00A90898" w:rsidP="00A90898">
      <w:pPr>
        <w:pStyle w:val="TextoNormal"/>
      </w:pPr>
    </w:p>
    <w:p w:rsidR="00A90898" w:rsidRDefault="00A90898" w:rsidP="00A90898">
      <w:pPr>
        <w:pStyle w:val="TextoNormal"/>
      </w:pPr>
      <w:r>
        <w:t>Entiende el órgano judicial que “la opción por la vigencia y aplicación de una u otra norma (autonómica o estatal posterior de naturaleza básica) resulta relevante para la resolución del presente recurso, puesto que no es cuestión discutida entre las partes que la notificación de la incoación del procedimiento sancionador se produjo transcurrido un mes desde el hecho sancionado y antes de que transcurrieran seis”.</w:t>
      </w:r>
    </w:p>
    <w:p w:rsidR="00A90898" w:rsidRDefault="00A90898" w:rsidP="00A90898">
      <w:pPr>
        <w:pStyle w:val="TextoNormal"/>
      </w:pPr>
      <w:r>
        <w:t>del régimen estatutario de los funcionarios de las Administraciones públicas.</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19 de enero de 2016, el Pleno de este Tribunal acordó admitir a trámite la cuestión de inconstitucionalidad, reservando para sí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15 días pudieran personarse en el procedimiento y formular las alegaciones que estimasen convenientes (art. 37.3 LOTC). Asimismo, se ordenó, por un lado, comunicar esa resolución al Juzgado de lo Contencioso-Administrativo núm. 4 de Bilbao a fin de que, de conformidad con el art. 35.3 LOTC, permaneciese suspendido el proceso hasta que este Tribunal resolviese definitivamente la cuestión y, por otro, publicar la admisión de la misma en el “Boletín Oficial del Estado” (lo que se llevó a efecto en el número 22, de 26 de enero de 2016).</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Mediante escrito presentado en el Registro General de este Tribunal el 3 de febrero de 2016, el Presidente del Senado comunicó el acuerdo de la Mesa de esa Cámara de personarse </w:t>
      </w:r>
      <w:r>
        <w:lastRenderedPageBreak/>
        <w:t>en el presente proceso constitucional, ofreciendo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Igualmente, por escrito presentado en el Registro General de este Tribunal el 5 de febrero de 2016, el Presidente del Congreso de los Diputados comunicó el acuerdo de la Mesa de la Cámara de personarse en el presente proceso constitucional, ofreciendo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registrado en este Tribunal el 9 de febrero de 2016, el Abogado del Estado evacuó el trámite de alegaciones, interesando la estimación de la cuestión de inconstitucionalidad planteada.</w:t>
      </w:r>
    </w:p>
    <w:p w:rsidR="00A90898" w:rsidRDefault="00A90898" w:rsidP="00A90898">
      <w:pPr>
        <w:pStyle w:val="TextoNormal"/>
      </w:pPr>
    </w:p>
    <w:p w:rsidR="00A90898" w:rsidRDefault="00A90898" w:rsidP="00A90898">
      <w:pPr>
        <w:pStyle w:val="TextoNormal"/>
      </w:pPr>
      <w:r>
        <w:t>Inicia el escrito de alegaciones afirmando que el objeto de la presente cuestión viene delimitado por el art. 89.2 de la Ley 6/1989, de 6 de julio, de la función pública vasca, en cuanto que establece como plazo de prescripción de las infracciones leves el de un mes, a diferencia del art. 97 de la Ley 7/2007, del estatuto básico del empleado público, que establece para las infracciones leves un plazo de prescripción de 6 meses, produciéndose la inconstitucionalidad sobrevenida del mismo al tener el art. 97 de la Ley 7/2007 el carácter de legislación básica y suponer una vulneración de la competencia exclusiva que tiene el Estado en la materia del régimen disciplinario de los funcionarios públicos, de acuerdo con el art. 149.1.18 CE.</w:t>
      </w:r>
    </w:p>
    <w:p w:rsidR="00A90898" w:rsidRDefault="00A90898" w:rsidP="00A90898">
      <w:pPr>
        <w:pStyle w:val="TextoNormal"/>
      </w:pPr>
    </w:p>
    <w:p w:rsidR="00A90898" w:rsidRDefault="00A90898" w:rsidP="00A90898">
      <w:pPr>
        <w:pStyle w:val="TextoNormal"/>
      </w:pPr>
      <w:r>
        <w:t>Entiende que el art. 89.2 de la Ley de la función pública vasca es un precepto aplicable al caso y de cuya validez depende el fallo, ya que la infracción que ha dado lugar a la incoación del procedimiento sancionador es una falta leve, que se ha notificado transcurrido el plazo de un mes desde que se cometió la misma, pero antes de que pasaran los seis meses, con lo que si la norma vasca es válida la infracción estará prescrita, no estándolo en caso contrario.</w:t>
      </w:r>
    </w:p>
    <w:p w:rsidR="00A90898" w:rsidRDefault="00A90898" w:rsidP="00A90898">
      <w:pPr>
        <w:pStyle w:val="TextoNormal"/>
      </w:pPr>
    </w:p>
    <w:p w:rsidR="00A90898" w:rsidRDefault="00A90898" w:rsidP="00A90898">
      <w:pPr>
        <w:pStyle w:val="TextoNormal"/>
      </w:pPr>
      <w:r>
        <w:t>Afirma, que debe estimarse la cuestión por ser contraria a las competencias exclusivas del Estado recogidas en el art. 149.1.18 CE, tratándose de una inconstitucionalidad mediata sobrevenida por vulneración de la legislación básica estatal en materia de régimen disciplinario. Es claro que el art. 97 LEEP (actualmente art. 97 del Real Decreto Legislativo 5/2015, de 30 de octubre, por el que se aprueba el texto refundido de la Ley del estatuto básico del empleado público) ha sido dictado en virtud de las competencias exclusivas del Estado en materia del régimen disciplinario de los funcionarios públicos (art. 149.1.18 CE), por lo que tiene el carácter de legislación básica. En tal sentido resulta de la disposición final primera de la Ley del estatuto básico del empleado público.</w:t>
      </w:r>
    </w:p>
    <w:p w:rsidR="00A90898" w:rsidRDefault="00A90898" w:rsidP="00A90898">
      <w:pPr>
        <w:pStyle w:val="TextoNormal"/>
      </w:pPr>
    </w:p>
    <w:p w:rsidR="00A90898" w:rsidRDefault="00A90898" w:rsidP="00A90898">
      <w:pPr>
        <w:pStyle w:val="TextoNormal"/>
      </w:pPr>
      <w:r w:rsidRPr="00A90898">
        <w:rPr>
          <w:rStyle w:val="NumeroAFNegritaCaracter"/>
        </w:rPr>
        <w:t>8</w:t>
      </w:r>
      <w:r>
        <w:t>. El 11 de febrero de 2016 tuvo entrada en este Tribunal un escrito presentado por el Procurador don Felipe Juanas Blanco, en nombre y representación de la Administración de la Comunidad Autónoma del País Vasco, mediante el que se personaba en el proceso constitucional, solicitando que se entendieran con él las actuaciones sucesivas.</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Por escrito registrado el 11 de febrero de 2016, la Letrada del Parlamento Vasco, doña Montserrat Auzmendi Del Solar, solicitó que se le tuviera por personado al Parlamento </w:t>
      </w:r>
      <w:r>
        <w:lastRenderedPageBreak/>
        <w:t>Vasco y se le comunicaran las incidencias que en lo sucesivo se produzca, así como se le notifique la resolución final que recaiga en esta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10</w:t>
      </w:r>
      <w:r>
        <w:t>. El 24 de febrero de 2016 se presentó en este Tribunal el escrito de alegaciones de la Fiscal General del Estado por el que solicita la estimación de la cuestión de inconstitucionalidad planteada.</w:t>
      </w:r>
    </w:p>
    <w:p w:rsidR="00A90898" w:rsidRDefault="00A90898" w:rsidP="00A90898">
      <w:pPr>
        <w:pStyle w:val="TextoNormal"/>
      </w:pPr>
    </w:p>
    <w:p w:rsidR="00A90898" w:rsidRDefault="00A90898" w:rsidP="00A90898">
      <w:pPr>
        <w:pStyle w:val="TextoNormal"/>
      </w:pPr>
      <w:r>
        <w:t>En primer lugar, la Fiscal General del Estado aprecia que se cumplen los presupuestos procesales de correcta identificación de las disposiciones legales que suscitan las dudas de validez constitucional y de los preceptos constitucionales que, supuestamente, resultan infringidos, así como de la correcta realización del juicio de aplicabilidad y de relevancia de la norma para la resolución del proceso subyacente.</w:t>
      </w:r>
    </w:p>
    <w:p w:rsidR="00A90898" w:rsidRDefault="00A90898" w:rsidP="00A90898">
      <w:pPr>
        <w:pStyle w:val="TextoNormal"/>
      </w:pPr>
    </w:p>
    <w:p w:rsidR="00A90898" w:rsidRDefault="00A90898" w:rsidP="00A90898">
      <w:pPr>
        <w:pStyle w:val="TextoNormal"/>
      </w:pPr>
      <w:r>
        <w:t>Entrando ya en el fondo de la cuestión planteada, refiere que el art. 89.2 de la Ley de la función pública vasca establece unos plazos de prescripción de las faltas disciplinarias de los funcionarios públicos: de seis años para las faltas muy graves, dos años para la graves y de un mes para las leves, que son diferentes a los que ha fijado el art. 97 LEEP, en el cual se prevé un plazo de tres años para las faltas muy graves, dos años para las graves y de seis meses para las leves, siendo esta última clase la que es objeto de sanción en el proceso de origen de la cuestión.</w:t>
      </w:r>
    </w:p>
    <w:p w:rsidR="00A90898" w:rsidRDefault="00A90898" w:rsidP="00A90898">
      <w:pPr>
        <w:pStyle w:val="TextoNormal"/>
      </w:pPr>
    </w:p>
    <w:p w:rsidR="00A90898" w:rsidRDefault="00A90898" w:rsidP="00A90898">
      <w:pPr>
        <w:pStyle w:val="TextoNormal"/>
      </w:pPr>
      <w:r>
        <w:t>Afirma, que desde el punto de vista formal, el art. 97 LEEP es una norma estatal básica puesto que la propia disposición final primera de la Ley del estatuto básico del empleado público lo establece expresamente. Además desde el punto de vista material, el precepto legal cuestionado está incluido en el título de la Ley sobre el régimen disciplinario, regulando los plazos de prescripción de las faltas disciplinarias, y, como ha puesto de manifiesto el Alto Tribunal, el régimen disciplinario es un aspecto esencial del régimen estatutario de los funcionarios públicos (STC 37/2002, FJ 8).</w:t>
      </w:r>
    </w:p>
    <w:p w:rsidR="00A90898" w:rsidRDefault="00A90898" w:rsidP="00A90898">
      <w:pPr>
        <w:pStyle w:val="TextoNormal"/>
      </w:pPr>
    </w:p>
    <w:p w:rsidR="00A90898" w:rsidRDefault="00A90898" w:rsidP="00A90898">
      <w:pPr>
        <w:pStyle w:val="TextoNormal"/>
      </w:pPr>
      <w:r>
        <w:t>La competencia exclusiva que establece el art. 10.4 del Estatuto del País Vasco, está expresamente condicionada a la observancia de la competencia que al Estado otorga el art. 149.1.18 CE, sin que la regulación común de los plazos de prescripción en materia disciplinaria, pueda entenderse una intromisión en la organización y funcionamiento de la Administración Autonómica, ni en su singularidad institucional, por lo que tampoco es uno de los supuestos a los que se refiere la disposición final segunda de la Ley del estatuto básico del empleado público.</w:t>
      </w:r>
    </w:p>
    <w:p w:rsidR="00A90898" w:rsidRDefault="00A90898" w:rsidP="00A90898">
      <w:pPr>
        <w:pStyle w:val="TextoNormal"/>
      </w:pPr>
    </w:p>
    <w:p w:rsidR="00A90898" w:rsidRDefault="00A90898" w:rsidP="00A90898">
      <w:pPr>
        <w:pStyle w:val="TextoNormal"/>
      </w:pPr>
      <w:r>
        <w:t>La incompatibilidad de los plazos de prescripción establecida por la disposición legal autonómica respecto de las faltas muy graves y las faltas leves, frente al art. 97 LEEP, determina que la contradicción entre ambas normas deba entenderse insalvable, y, por ello, la norma autonómica incurre en una infracción del art. 149.1 18 CE.</w:t>
      </w:r>
    </w:p>
    <w:p w:rsidR="00A90898" w:rsidRDefault="00A90898" w:rsidP="00A90898">
      <w:pPr>
        <w:pStyle w:val="TextoNormal"/>
      </w:pPr>
    </w:p>
    <w:p w:rsidR="00A90898" w:rsidRDefault="00A90898" w:rsidP="00A90898">
      <w:pPr>
        <w:pStyle w:val="TextoNormal"/>
      </w:pPr>
      <w:r>
        <w:t>En virtud de lo expuesto solicita que se acuerde la estimación de la cuestión de inconstitucionalidad elevada por Auto de 7 de octubre de 2015, del Juzgado de lo Contencioso-Administrativo núm. 4 de Bilbao, respecto del art. 89.2 de la Ley 6/1989, de 6 de julio, de la función pública vasca.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11</w:t>
      </w:r>
      <w:r>
        <w:t>. Por providencia de 29 de noviembre de 2016 se señaló para deliberación y votación de la presente Sentencia el día 1 de diciembre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1. El Juzgado de lo Contencioso-Administrativo núm. 4 de Bilbao plantea cuestión de inconstitucionalidad del art. 89.2 de la Ley 6/1989, de 6 de julio, de la función pública vasca, por contravenir el art. 97 de la Ley 7/2007, de 12 de abril, del estatuto básico del empleado público (en adelante LEEP), dictado por el Estado al amparo del art. 149.1.18 CE, en el que se establece un plazo de prescripción para faltas leves —seis meses—, distinto e incompatible con el establecido en la norma autonómica —un mes—.</w:t>
      </w:r>
    </w:p>
    <w:p w:rsidR="00A90898" w:rsidRDefault="00A90898" w:rsidP="00A90898">
      <w:pPr>
        <w:pStyle w:val="TextoNormal"/>
      </w:pPr>
    </w:p>
    <w:p w:rsidR="00A90898" w:rsidRDefault="00A90898" w:rsidP="00A90898">
      <w:pPr>
        <w:pStyle w:val="TextoNormal"/>
      </w:pPr>
      <w:r>
        <w:t xml:space="preserve">En los términos recogidos en los antecedentes de esta Sentencia, el Ministerio Fiscal y el Abogado del Estado, coinciden con el juicio de inconstitucionalidad formulado por el Tribunal </w:t>
      </w:r>
      <w:r w:rsidRPr="00A90898">
        <w:rPr>
          <w:i/>
        </w:rPr>
        <w:t>a quo</w:t>
      </w:r>
      <w:r>
        <w:t>, por lo que interesan la estimación de la misma.</w:t>
      </w:r>
    </w:p>
    <w:p w:rsidR="00A90898" w:rsidRDefault="00A90898" w:rsidP="00A90898">
      <w:pPr>
        <w:pStyle w:val="TextoNormal"/>
      </w:pPr>
    </w:p>
    <w:p w:rsidR="00A90898" w:rsidRDefault="00A90898" w:rsidP="00A90898">
      <w:pPr>
        <w:pStyle w:val="TextoNormal"/>
      </w:pPr>
      <w:r w:rsidRPr="00A90898">
        <w:rPr>
          <w:rStyle w:val="NumeroAFNegritaCaracter"/>
        </w:rPr>
        <w:t>2</w:t>
      </w:r>
      <w:r>
        <w:t>. Conviene poner de relieve que el objeto del proceso en el que se planteó la presente cuestión de inconstitucionalidad tuvo como origen la impugnación de una resolución del Alcalde-Presidente de Bilbao por la que se imponía al recurrente una sanción de apercibimiento por la comisión de una falta disciplinaria leve, que éste consideraba prescrita al haber transcurrido el plazo de un mes, previsto en el art. 89.2 de la Ley 6/1989, de 6 de julio, de la función pública vasca. La representación del Ayuntamiento discrepaba del recurrente al entender aplicable, dado su carácter básico, el art. 97 LEEP, que para las faltas leves establecía un plazo de prescripción de seis meses.</w:t>
      </w:r>
    </w:p>
    <w:p w:rsidR="00A90898" w:rsidRDefault="00A90898" w:rsidP="00A90898">
      <w:pPr>
        <w:pStyle w:val="TextoNormal"/>
      </w:pPr>
    </w:p>
    <w:p w:rsidR="00A90898" w:rsidRDefault="00A90898" w:rsidP="00A90898">
      <w:pPr>
        <w:pStyle w:val="TextoNormal"/>
      </w:pPr>
      <w:r>
        <w:t>El órgano judicial, que no duda del carácter básico de la norma estatal, plantea la presente cuestión de inconstitucionalidad respecto del art. 89.2 de la Ley vasca, que reprodujo, en lo relativo al plazo de un mes de prescripción de las faltas leves, el art. 87.2 de la Ley de funcionarios civiles del Estado, aprobada mediante Decreto 315/1964, de 7 de febrero. Este último precepto —que se mantuvo vigente tras la Ley 30/1984, de 2 de agosto de medidas para la reforma de la función pública—, fue posteriormente derogado por el apartado a) de la disposición derogatoria única de la Ley del estatuto básico del empleado público, que en el párrafo primero del artículo 97 elevó el plazo de prescripción de las faltas leves a seis meses y en cuya disposición final primera, se indica que “las disposiciones de este Estatuto se dictan al amparo del artículo 149.1.18 de la Constitución, constituyendo aquellas bases del régimen estatutario de los funcionarios”. Finalmente, dicho artículo ha sido derogado e incorporado literalmente al art. 97 del Real Decreto Legislativo 5/2015, de 30 de octubre, por el que se aprueba el texto refundido de la Ley del estatuto básico del empleado público.</w:t>
      </w:r>
    </w:p>
    <w:p w:rsidR="00A90898" w:rsidRDefault="00A90898" w:rsidP="00A90898">
      <w:pPr>
        <w:pStyle w:val="TextoNormal"/>
      </w:pPr>
    </w:p>
    <w:p w:rsidR="00A90898" w:rsidRDefault="00A90898" w:rsidP="00A90898">
      <w:pPr>
        <w:pStyle w:val="TextoNormal"/>
      </w:pPr>
      <w:r>
        <w:t>Nos encontramos, por tanto, ante un supuesto de inconstitucionalidad mediata o indirecta, en la que la norma autonómica no vulnera directamente la Constitución, sino que lo hace de manera secundaria o derivada, por infringir una norma de rango infraconstitucional dictada por el Estado en el ejercicio de sus competencias propias (entre otras, STC 102/2016, de 25 de mayo, FJ 1).</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Aunque, a diferencia del supuesto resuelto por la STC 102/2016, en el presente caso la norma de cuya constitucionalidad duda el Juzgado de lo Contencioso-Administrativo núm. 4 de Bilbao no reproduce precepto alguno estatal de carácter básico, sino que se trata de un precepto dictado en ausencia de legislación básica estatal, la razón de decidir de aquella Sentencia sirve para resolver también el presente proceso constitucional. En ambos casos se trata de una ley autonómica a la que, en el momento en que se dictó, no podía imputarse vicio alguno de inconstitucionalidad, y que, sin embargo, deviene incompatible con una ley básica del Estado aprobada con posterioridad.</w:t>
      </w:r>
    </w:p>
    <w:p w:rsidR="00A90898" w:rsidRDefault="00A90898" w:rsidP="00A90898">
      <w:pPr>
        <w:pStyle w:val="TextoNormal"/>
      </w:pPr>
    </w:p>
    <w:p w:rsidR="00A90898" w:rsidRDefault="00A90898" w:rsidP="00A90898">
      <w:pPr>
        <w:pStyle w:val="TextoNormal"/>
      </w:pPr>
      <w:r>
        <w:t>Partiendo de que, en tales casos, el legislador autonómico debe acomodar su legislación a la posterior estatal de carácter básico, este Tribunal ha asentado en la Sentencia antes citada, y en las posteriores 116/2016, de 20 de junio, y 127/2016, de 7 de julio, la doctrina que, en lo que ahora interesa, recogemos a continuación:</w:t>
      </w:r>
    </w:p>
    <w:p w:rsidR="00A90898" w:rsidRDefault="00A90898" w:rsidP="00A90898">
      <w:pPr>
        <w:pStyle w:val="TextoNormal"/>
      </w:pPr>
    </w:p>
    <w:p w:rsidR="00A90898" w:rsidRDefault="00A90898" w:rsidP="00A90898">
      <w:pPr>
        <w:pStyle w:val="TextoNormal"/>
      </w:pPr>
      <w:r>
        <w:t>“Pero si esa acomodación no tiene lugar el operador jurídico primario se encuentra ante una alternativa en la que inevitablemente ha de dar preferencia a una de las dos leyes en conflicto, en detrimento de la otra…</w:t>
      </w:r>
    </w:p>
    <w:p w:rsidR="00A90898" w:rsidRDefault="00A90898" w:rsidP="00A90898">
      <w:pPr>
        <w:pStyle w:val="TextoNormal"/>
      </w:pPr>
    </w:p>
    <w:p w:rsidR="00A90898" w:rsidRDefault="00A90898" w:rsidP="00A90898">
      <w:pPr>
        <w:pStyle w:val="TextoNormal"/>
      </w:pPr>
      <w:r>
        <w:t>El operador jurídico primario, al que preferentemente van destinadas las normas, tiene necesariamente que operar con la técnica del desplazamiento de una de las leyes en conflicto y no tiene legitimación para suscitar cuestión de inconstitucionalidad, pues su planteamiento se reserva a los jueces y tribunales, y esto significa que el asunto se ha judicializado, lo que representa siempre una situación indeseable, de tal modo que otorgar preferencia a la legislación básica estatal es la solución lógica a una situación provocada por la propia Comunidad Autónoma que ha incumplido su deber de inmediata acomodación de su legislación de desarrollo a la nueva legislación básica …. Es la técnica que utiliza con toda naturalidad la jurisdicción ordinaria para inaplicar, sin que esto signifique su nulidad, preceptos de reglamentos ejecutivos que transcriben la ley que desarrollan, cuando ésta se modifica. Es la técnica que también se utiliza por la jurisdicción ordinaria, y que este Tribunal ha considerado conforme con la Constitución (SSTC 145/2012, de 2 de julio, FJ 5, y 232/2015, de 5 de noviembre, FJ 6), cuando inaplica normas con rango legal que contradicen normativa comunitaria europea. Es fin, es la solución que se corresponde con lo dispuesto en el art. 149.3 CE que atribuye a las normas del Estado prevalencia sobre las de las Comunidades Autónomas en todo lo que no esté atribuido a la exclusiva competencia de éstas.</w:t>
      </w:r>
    </w:p>
    <w:p w:rsidR="00A90898" w:rsidRDefault="00A90898" w:rsidP="00A90898">
      <w:pPr>
        <w:pStyle w:val="TextoNormal"/>
      </w:pPr>
    </w:p>
    <w:p w:rsidR="00A90898" w:rsidRDefault="00A90898" w:rsidP="00A90898">
      <w:pPr>
        <w:pStyle w:val="TextoNormal"/>
      </w:pPr>
      <w:r>
        <w:t>El art. 149.3 CE es un precepto destinado no a fijar las competencias del Estado y de las Comunidades Autónomas, sino a solucionar los conflictos que puedan producirse en aplicación de las normas respectivas y que no hayan de resolverse mediante la declaración de inconstitucionalidad de una de ellas. De sus distintas reglas, una de las cuales es la de la prevalencia de las normas del derecho estatal en los términos que la misma describe (‘prevalecerán, en caso de conflicto, sobre las de las Comunidades Autónomas en todo lo que no esté atribuido a la exclusiva competencia de éstas’), resultan destinatarios los aplicadores del Derecho sin distinción, y su finalidad no es otra que la de asegurar la plenitud del ordenamiento, tal y como ha afirmado de manera reiterada este Tribunal [entre otras, SSTC 118/1996, de 27 de junio, FFJJ 4 y 9; 61/1997, de 20 de marzo, FJ 12.c); 157/2004, de 21 de septiembre, FJ 13, o 139/2011, de 14 de septiembre, FJ 4]; reservando la Constitución a su vez a este último, el monopolio de la declaración de inconstitucionalidad de las leyes.</w:t>
      </w:r>
    </w:p>
    <w:p w:rsidR="00A90898" w:rsidRDefault="00A90898" w:rsidP="00A90898">
      <w:pPr>
        <w:pStyle w:val="TextoNormal"/>
      </w:pPr>
    </w:p>
    <w:p w:rsidR="00A90898" w:rsidRDefault="00A90898" w:rsidP="00A90898">
      <w:pPr>
        <w:pStyle w:val="TextoNormal"/>
      </w:pPr>
      <w:r>
        <w:lastRenderedPageBreak/>
        <w:t>El art. 149.3 CE proporciona una herramienta útil para que las relaciones entre el ordenamiento jurídico estatal y los de las Comunidades Autónomas puedan desarrollarse con fluidez, en situaciones que no demanden como respuesta la declaración de inconstitucionalidad de las leyes de alguno de ellos; teniendo en cuenta que las Comunidades Autónomas ni son competentes ‘…para determinar los efectos que sus normas producen sobre el Derecho estatal preexistente, pues la vigencia y aplicabilidad de éste será la que resulte de las normas constitucionales que regulen la relación entre el ordenamiento estatal y el autonómico (así, el art. 149.3 CE), y no lo que establezca el legislador autonómico (STC 132/1989, FJ 33)’ [STC 157/2004, de 21 de septiembre, FJ 13], ni lo pueden ser para condicionar el Derecho estatal posterior.</w:t>
      </w:r>
    </w:p>
    <w:p w:rsidR="00A90898" w:rsidRDefault="00A90898" w:rsidP="00A90898">
      <w:pPr>
        <w:pStyle w:val="TextoNormal"/>
      </w:pPr>
    </w:p>
    <w:p w:rsidR="00A90898" w:rsidRDefault="00A90898" w:rsidP="00A90898">
      <w:pPr>
        <w:pStyle w:val="TextoNormal"/>
      </w:pPr>
      <w:r>
        <w:t>Este Tribunal ha declarado hasta ahora que el control de la adecuación de la legislación autonómica a la legislación básica que desarrolla, no puede llevarse a cabo por aplicación del principio de prevalencia de las normas del Estado (art. 149.3 CE), sino que es un auténtico control de constitucionalidad reservado al Tribunal Constitucional (STC 163/1995, de 8 de noviembre, FJ 4). Por ello, en los supuestos en que con apoyo en títulos competenciales distintos, Comunidad Autónoma y Estado aprueban productos normativos incompatibles, el conflicto planteado se resuelve sin traer a colación el art. 149.3 CE, en favor del título competencial considerado más específico (SSTC 87/1987, de 2 de junio, FJ 2; 190/2000, de 13 de julio, FJ 4; 188/2001 de 20 de septiembre, FJ 6, y 214/2015, de 22 de octubre, FJ 3; así como las citadas en este mismo fundamento jurídico).</w:t>
      </w:r>
    </w:p>
    <w:p w:rsidR="00A90898" w:rsidRDefault="00A90898" w:rsidP="00A90898">
      <w:pPr>
        <w:pStyle w:val="TextoNormal"/>
      </w:pPr>
    </w:p>
    <w:p w:rsidR="00A90898" w:rsidRDefault="00A90898" w:rsidP="00A90898">
      <w:pPr>
        <w:pStyle w:val="TextoNormal"/>
      </w:pPr>
      <w:r>
        <w:t>La cuestión que se plantea en este caso es diferente, pues la Comunidad Autónoma de Galicia, al incluir en la Ley 5/1997, de 22 de julio, su artículo 32.1, no lo hizo reclamando una competencia propia … Este es uno de los casos en los que la aplicación del principio de prevalencia del derecho estatal no determina la derogación de la norma autonómica ni ha de conducir a su nulidad por inconstitucionalidad sobrevenida, sino que puede resolverse … inaplicando la ley autonómica por considerar prevalente la posterior legislación básica estatal. Supone el único resultado constitucionalmente respetuoso con la plenitud del ordenamiento (art. 149.3 CE), si el asunto no se hubiera judicializado, y es el único también al que en todo caso puede llegar el órgano judicial que conoce del mismo en vía contencioso-administrativa, tras el planteamiento y estimación de una cuestión de inconstitucionalidad ante este Tribunal, la cual resulta por todo ello innecesaria.</w:t>
      </w:r>
    </w:p>
    <w:p w:rsidR="00A90898" w:rsidRDefault="00A90898" w:rsidP="00A90898">
      <w:pPr>
        <w:pStyle w:val="TextoNormal"/>
      </w:pPr>
    </w:p>
    <w:p w:rsidR="00A90898" w:rsidRDefault="00A90898" w:rsidP="00A90898">
      <w:pPr>
        <w:pStyle w:val="TextoNormal"/>
      </w:pPr>
      <w:r>
        <w:t>La consecuencia de todo lo anterior significa que la Xunta de Galicia actuó acertadamente y que esa prevalencia del Derecho estatal debe jugar en tanto no haya sido puesta en duda la constitucionalidad de la legislación básica modificada, pues en tal caso el Juez sí debería plantear cuestión de inconstitucionalidad, pero no sobre la legislación autonómica sino sobre la propia legislación básica posterior, si considerase que efectivamente concurrían las condiciones para ello.” (FJ 6).</w:t>
      </w:r>
    </w:p>
    <w:p w:rsidR="00A90898" w:rsidRDefault="00A90898" w:rsidP="00A90898">
      <w:pPr>
        <w:pStyle w:val="TextoNormal"/>
      </w:pPr>
    </w:p>
    <w:p w:rsidR="00A90898" w:rsidRDefault="00A90898" w:rsidP="00A90898">
      <w:pPr>
        <w:pStyle w:val="TextoNormal"/>
      </w:pPr>
      <w:r w:rsidRPr="00A90898">
        <w:rPr>
          <w:rStyle w:val="NumeroAFNegritaCaracter"/>
        </w:rPr>
        <w:t>4</w:t>
      </w:r>
      <w:r>
        <w:t>. De lo anteriormente expuesto debemos concluir —como hemos ya adelantado—, que se nos pregunta sobre la constitucionalidad de una norma que no resulta aplicable al caso, de modo que debemos declarar la inadmisibilidad del presente proceso constitucional, posibilidad que permanece abierta no obstante haberse pronunciado este Tribunal, en su día, en favor de su admisión (así, por ejemplo, SSTC 102/2016, de 27 de mayo, FJ 7).</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Inadmitir la presente cuestión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uno de diciembre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la cuestión de inconstitucionalidad núm. 6036-2015.</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y con pleno respeto a la opinión de la mayoría del Tribunal, formulo Voto particular tanto a la fundamentación como al fallo de esta Sentencia.</w:t>
      </w:r>
    </w:p>
    <w:p w:rsidR="00A90898" w:rsidRDefault="00A90898" w:rsidP="00A90898">
      <w:pPr>
        <w:pStyle w:val="TextoNormal"/>
      </w:pPr>
    </w:p>
    <w:p w:rsidR="00A90898" w:rsidRDefault="00A90898" w:rsidP="00A90898">
      <w:pPr>
        <w:pStyle w:val="TextoNormal"/>
      </w:pPr>
      <w:r>
        <w:t>La inadmisión de la presente cuestión de inconstitucionalidad se basa enteramente en la novedosa doctrina de la prevalencia del derecho estatal enunciada y aplicada por primera vez en la STC 102/2016, de 25 de mayo. En el Voto particular que formulé a dicha Sentencia expuse en detalle las razones por las que considero inasumible dicha doctrina, así como mi disconformidad con la ausencia de justificación de tan fundamental alteración de los principios que han regulado las relaciones entre los ordenamientos estatal y autonómico durante treinta y seis años. Alteración fundamental que, además, fue alcanzada por la mínima mayoría del número de Magistrados, como se constata en los Votos formulados a la STC 116/2016, de 20 de junio, de la Sala Primera, y a la STC 127/2016, de 7 de julio, del Pleno.</w:t>
      </w:r>
    </w:p>
    <w:p w:rsidR="00A90898" w:rsidRDefault="00A90898" w:rsidP="00A90898">
      <w:pPr>
        <w:pStyle w:val="TextoNormal"/>
      </w:pPr>
    </w:p>
    <w:p w:rsidR="00A90898" w:rsidRDefault="00A90898" w:rsidP="00A90898">
      <w:pPr>
        <w:pStyle w:val="TextoNormal"/>
      </w:pPr>
      <w:r>
        <w:t>Así pues, las razones de fondo de mi discrepancia con la presente Sentencia, que de nuevo inadmite una cuestión de inconstitucionalidad a partir del entendimiento de que el órgano judicial no solo puede, sino que está obligado, por su propia autoridad, a inaplicar una norma autonómica devenida incompatible con una norma estatal de cuyo carácter básico no duda, son las mismas que ya expuse en el Voto particular referido a la citada STC 102/2016, y a ellas me remito ahora. Por las razones que desarrollé allí considero que en este proceso debería haberse admitido la cuestión de inconstitucionalidad promovida por el Juzgado de lo Contencioso-Administrativo núm. 4 de Bilbao.</w:t>
      </w:r>
    </w:p>
    <w:p w:rsidR="00A90898" w:rsidRDefault="00A90898" w:rsidP="00A90898">
      <w:pPr>
        <w:pStyle w:val="TextoNormal"/>
      </w:pPr>
    </w:p>
    <w:p w:rsidR="00A90898" w:rsidRDefault="00A90898" w:rsidP="00A90898">
      <w:pPr>
        <w:pStyle w:val="TextoNormal"/>
      </w:pPr>
      <w:r>
        <w:t xml:space="preserve">Mi decisión de formular un nuevo Voto particular se debe a razones metodológicas cuya observancia es, en mi opinión, esencial para sustentar la legitimidad de la jurisdicción constitucional. La actual Sentencia aplica ahora la doctrina de la prevalencia a un supuesto de hecho que no presenta ninguna de las tres circunstancias que este mismo Tribunal consideró relevantes en la STC 102/2016 para apartarse de la doctrina canónica, según la cual un órgano de la jurisdicción ordinaria no puede inaplicar, por su propia y exclusiva autoridad, una norma de rango legal, sino que el sometimiento estricto de la jurisdicción ordinaria al imperio de la ley (art. 117.1 CE) y el monopolio de este Tribunal Constitucional en la fiscalización de la constitucionalidad de las leyes obligan, de acuerdo con el art. 163 CE, a </w:t>
      </w:r>
      <w:r>
        <w:lastRenderedPageBreak/>
        <w:t xml:space="preserve">promover la correspondiente cuestión de inconstitucionalidad. La consideración del carácter distintivo específico del supuesto de hecho entonces abordado recorrió toda la fundamentación de la Sentencia y se explicitó reiteradamente en ciertos fragmentos. De forma elocuente, tras recordar el contenido de la doctrina canónica, en los términos antes expuestos, afirmaba que: “este Tribunal considera, sin embargo, que según los argumentos que se exponen a continuación, debe apartarse de la doctrina indicada en un caso como el que da origen a la presente cuestión de inconstitucionalidad en que la legislación autonómica no ha hecho sino reproducir la legislación básica, y ésta se modifica después en un sentido incompatible con aquella legislación autonómica” (FJ 2, </w:t>
      </w:r>
      <w:r w:rsidRPr="00A90898">
        <w:rPr>
          <w:i/>
        </w:rPr>
        <w:t>in fine</w:t>
      </w:r>
      <w:r>
        <w:t>). Más adelante se vuelve a afirmar que “la cuestión que se plantea en este caso es diferente” (FJ 6).</w:t>
      </w:r>
    </w:p>
    <w:p w:rsidR="00A90898" w:rsidRDefault="00A90898" w:rsidP="00A90898">
      <w:pPr>
        <w:pStyle w:val="TextoNormal"/>
      </w:pPr>
    </w:p>
    <w:p w:rsidR="00A90898" w:rsidRDefault="00A90898" w:rsidP="00A90898">
      <w:pPr>
        <w:pStyle w:val="TextoNormal"/>
      </w:pPr>
      <w:r>
        <w:t>Desde el punto de vista sustantivo, estas fueron las tres circunstancias del supuesto de hecho consideradas relevantes en la STC 102/2016 para apartarse de la inveterada doctrina anterior:</w:t>
      </w:r>
    </w:p>
    <w:p w:rsidR="00A90898" w:rsidRDefault="00A90898" w:rsidP="00A90898">
      <w:pPr>
        <w:pStyle w:val="TextoNormal"/>
      </w:pPr>
    </w:p>
    <w:p w:rsidR="00A90898" w:rsidRDefault="00A90898" w:rsidP="00A90898">
      <w:pPr>
        <w:pStyle w:val="TextoNormal"/>
      </w:pPr>
      <w:r>
        <w:t xml:space="preserve">a) En la STC 102/2016 este Tribunal afirmó hasta seis veces que uno de los elementos decisivos conducentes a la solución de prevalencia por la que se optaba era el carácter de </w:t>
      </w:r>
      <w:r w:rsidRPr="00A90898">
        <w:rPr>
          <w:i/>
        </w:rPr>
        <w:t>lex repetita</w:t>
      </w:r>
      <w:r>
        <w:t xml:space="preserve"> de la norma autonómica, que reproducía textualmente una norma estatal: “este Tribunal considera, sin embargo, que según los argumentos que se exponen a continuación, debe apartarse de la doctrina antes indicada en un caso como el que da origen a la presente cuestión de inconstitucionalidad en que la legislación autonómica no ha hecho sino </w:t>
      </w:r>
      <w:r w:rsidRPr="00A90898">
        <w:rPr>
          <w:i/>
        </w:rPr>
        <w:t>reproducir la legislación básica</w:t>
      </w:r>
      <w:r>
        <w:t xml:space="preserve">, y ésta se modifica después en un sentido incompatible con aquella legislación autonómica” (FJ 2); “se trata de una ley autonómica que en el momento de su aprobación no contradecía legislación básica alguna porque se limitaba a reproducir su texto, cuando la legislación básica se modifica en términos incompatibles con aquella legislación autonómica y hemos de considerar si esta modificación determina el desplazamiento de la legislación autonómica en favor de la aplicación de la legislación básica estatal posterior, o la inconstitucionalidad sobrevenida de aquélla” (FJ 3); “la práctica frecuente del legislador autonómico de introducir en su normativa de desarrollo preceptos que corresponden a la legislación básica que se pretendía desarrollar ha dado lugar a numerosos pronunciamientos de este Tribunal” (FJ 5); “la </w:t>
      </w:r>
      <w:r w:rsidRPr="00A90898">
        <w:rPr>
          <w:i/>
        </w:rPr>
        <w:t>reproducción</w:t>
      </w:r>
      <w:r>
        <w:t xml:space="preserve"> por la legislación autonómica de desarrollo de preceptos de la legislación básica puede utilizarse y de hecho se utiliza normalmente como medio para facilitar al operador jurídico el conocimiento de la normativa aplicable” (FJ 6); “pero su virtualidad no alcanza, como es obvio, a alterar la naturaleza de la legislación reproducida” (FJ 6); “si esa modificación [de la norma básica que es reproducida por la autonómica] se produce es el legislador autonómico el que debe acomodarse a la modificación de la legislación estatal básica … Pero si esa acomodación no tiene lugar” (FJ 6); “es la solución que deriva del carácter superfluo de la legislación reproductora, que no añade nada a la legislación básica para que aquélla pueda ser considerada realmente normativa de desarrollo” (FJ 6).</w:t>
      </w:r>
    </w:p>
    <w:p w:rsidR="00A90898" w:rsidRDefault="00A90898" w:rsidP="00A90898">
      <w:pPr>
        <w:pStyle w:val="TextoNormal"/>
      </w:pPr>
    </w:p>
    <w:p w:rsidR="00A90898" w:rsidRDefault="00A90898" w:rsidP="00A90898">
      <w:pPr>
        <w:pStyle w:val="TextoNormal"/>
      </w:pPr>
      <w:r>
        <w:t xml:space="preserve">Pues bien, en el presente caso la norma autonómica que se quiere desplazar no es una </w:t>
      </w:r>
      <w:r w:rsidRPr="00A90898">
        <w:rPr>
          <w:i/>
        </w:rPr>
        <w:t>lex repetita</w:t>
      </w:r>
      <w:r>
        <w:t xml:space="preserve"> en sentido técnico pues, cuando fue aprobada, no existía norma básica alguna sobre la materia. Cuando en 1989 el legislador vasco optó por un plazo de prescripción de un mes para las infracciones disciplinarias leves, ciertamente se pudo inspirar en el plazo vigente para la prescripción de las infracciones leves en el ámbito de la Administración general del Estado de acuerdo con el art. 87.2 de la Ley de funcionarios civiles del Estado, aprobada mediante Decreto 315/1964, de 7 de febrero, y que se mantuvo vigente tras la Ley 30/1984, </w:t>
      </w:r>
      <w:r>
        <w:lastRenderedPageBreak/>
        <w:t>de 2 de agosto, de medidas para la reforma de la función pública. Ahora bien, esa norma no era básica: la STC 37/2002, de 14 de febrero, FFJJ 9 y 11, descartó que el art. 87.2 de la Ley de funcionarios civiles del Estado tuviera carácter básico.</w:t>
      </w:r>
    </w:p>
    <w:p w:rsidR="00A90898" w:rsidRDefault="00A90898" w:rsidP="00A90898">
      <w:pPr>
        <w:pStyle w:val="TextoNormal"/>
      </w:pPr>
    </w:p>
    <w:p w:rsidR="00A90898" w:rsidRDefault="00A90898" w:rsidP="00A90898">
      <w:pPr>
        <w:pStyle w:val="TextoNormal"/>
      </w:pPr>
      <w:r>
        <w:t>b) En la STC 102/2016 este Tribunal afirmó que “[l]a cuestión que se plantea en este caso es diferente, pues la Comunidad Autónoma de Galicia, al incluir en la Ley 5/1997, de 22 de julio, su artículo 32.1, no lo hizo reclamando una competencia propia, sino por puro mimetismo con la regulación contenida en la legislación básica que aquella ley pretendía desarrollar” (FJ 6).</w:t>
      </w:r>
    </w:p>
    <w:p w:rsidR="00A90898" w:rsidRDefault="00A90898" w:rsidP="00A90898">
      <w:pPr>
        <w:pStyle w:val="TextoNormal"/>
      </w:pPr>
    </w:p>
    <w:p w:rsidR="00A90898" w:rsidRDefault="00A90898" w:rsidP="00A90898">
      <w:pPr>
        <w:pStyle w:val="TextoNormal"/>
      </w:pPr>
      <w:r>
        <w:t>Pues bien, a diferencia de lo que se afirmaba en la STC 102/2016, el Parlamento Vasco aprobó la norma aquí controvertida ejerciendo en su día “una competencia propia”: la competencia de legislar en materia de función pública en relación con sus propios empleados, que se concretó en el art. 89.2 de la Ley 6/1989, de 6 de julio, de la función pública vasca. Así pues, hasta la entrada en vigor del estatuto básico del empleado público (aprobado por la Ley 7/2007, de 12 de abril), primera norma estatal que regula el plazo de prescripción de las infracciones disciplinarias leves y que se afirma básica, la Comunidad Autónoma del País Vasco estaba ejerciendo una competencia propia derivada de su Estatuto de Autonomía.</w:t>
      </w:r>
    </w:p>
    <w:p w:rsidR="00A90898" w:rsidRDefault="00A90898" w:rsidP="00A90898">
      <w:pPr>
        <w:pStyle w:val="TextoNormal"/>
      </w:pPr>
    </w:p>
    <w:p w:rsidR="00A90898" w:rsidRDefault="00A90898" w:rsidP="00A90898">
      <w:pPr>
        <w:pStyle w:val="TextoNormal"/>
      </w:pPr>
      <w:r>
        <w:t>c) Finalmente, a diferencia de lo que se afirmaba en la STC 102/2016, en este caso la norma estatal que sirve de contraste y que se afirma que debe prevalecer sobre la norma autonómica no había sido examinada y calificada previamente como básica por el Tribunal Constitucional.</w:t>
      </w:r>
    </w:p>
    <w:p w:rsidR="00A90898" w:rsidRDefault="00A90898" w:rsidP="00A90898">
      <w:pPr>
        <w:pStyle w:val="TextoNormal"/>
      </w:pPr>
    </w:p>
    <w:p w:rsidR="00A90898" w:rsidRDefault="00A90898" w:rsidP="00A90898">
      <w:pPr>
        <w:pStyle w:val="TextoNormal"/>
      </w:pPr>
      <w:r>
        <w:t xml:space="preserve">En suma, la doctrina perfilada en la STC 102/2016 se aplicaba a un supuesto muy especial caracterizado por la concurrencia de tres circunstancias: el carácter de </w:t>
      </w:r>
      <w:r w:rsidRPr="00A90898">
        <w:rPr>
          <w:i/>
        </w:rPr>
        <w:t>lex repetita</w:t>
      </w:r>
      <w:r>
        <w:t xml:space="preserve"> de la norma autonómica, la ausencia de competencia autonómica al respecto en el momento en que se dicta la norma autonómica </w:t>
      </w:r>
      <w:r w:rsidRPr="00A90898">
        <w:rPr>
          <w:i/>
        </w:rPr>
        <w:t>repetita</w:t>
      </w:r>
      <w:r>
        <w:t xml:space="preserve"> y el carácter básico de la norma estatal así declarado previamente por este Tribunal. Por tanto, la STC 102/2016 no llegaba a dejar en manos de los órganos judiciales de forma incondicional la importante función de la apreciación de la contradicción de la norma autonómica con la norma estatal que se afirma básica y que provoca una consecuencia tan importante como es su desplazamiento. Este efecto es el que ahora se avala con la generalización incondicionada de la doctrina de la prevalencia que efectúa la presente Sentencia. La ausencia de las tres mencionadas circunstancias en el presente caso debía haber impedido la traslación mecánica de la doctrina de la STC 102/2016 o, dicho de otro modo, el apartamiento radical de nuestra doctrina canónica; y como mínimo, al optar por tal ampliación, era inexcusable exponer de forma precisa las razones que pudieran justificar tal extensión o exigían la extensión de la doctrina de la prevalencia fuera de aquel concreto supuesto de hecho.</w:t>
      </w:r>
    </w:p>
    <w:p w:rsidR="00A90898" w:rsidRDefault="00A90898" w:rsidP="00A90898">
      <w:pPr>
        <w:pStyle w:val="TextoNormal"/>
      </w:pPr>
    </w:p>
    <w:p w:rsidR="00A90898" w:rsidRDefault="00A90898" w:rsidP="00A90898">
      <w:pPr>
        <w:pStyle w:val="TextoNormal"/>
      </w:pPr>
      <w:r>
        <w:t xml:space="preserve">La Sentencia no oculta, sino al contrario, reconoce explícitamente, que el presente caso no puede identificarse con el analizado en la STC 102/2016: “a diferencia del supuesto resuelto por la STC 102/2016, en el presente caso la norma de cuya constitucionalidad duda el Juzgado … no reproduce precepto alguno estatal de carácter básico, sino que se trata de un precepto dictado en ausencia de legislación básica estatal”. Pero se conforma con constatar la falta de identidad en uno solo de los elementos y no se pronuncia con respecto a los demás. Y a renglón seguido afirma lo siguiente, con un énfasis en la aseveración que no </w:t>
      </w:r>
      <w:r>
        <w:lastRenderedPageBreak/>
        <w:t xml:space="preserve">logra encubrir el vacío de argumentación: “la razón de decidir de aquella Sentencia sirve para resolver también el presente proceso constitucional. En ambos casos se trata de una ley autonómica a la que, en el momento en que se dictó, no podía imputarse vicio alguno de inconstitucionalidad, y que, sin embargo, deviene incompatible con una ley básica del Estado aprobada con posterioridad” (FJ 3). A continuación se reproduce un extenso fragmento del fundamento jurídico 3 de la STC 102/2016, en el que, convenientemente, se omiten todas aquellas frases que hacían alusión al carácter de </w:t>
      </w:r>
      <w:r w:rsidRPr="00A90898">
        <w:rPr>
          <w:i/>
        </w:rPr>
        <w:t>lex repetita</w:t>
      </w:r>
      <w:r>
        <w:t xml:space="preserve"> de la norma autonómica. Esto es, la doctrina especial de la prevalencia, formulada inicialmente, hace solo seis meses, como excepción a la doctrina general de la obligación judicial de plantear cuestión de inconstitucionalidad, y que fue circunscrita a la concurrencia de tres requisitos, aparece ya liberada de la rémora de esos tres requisitos y se convierte en una doctrina con vocación de generalidad. Solo se mantiene la necesidad de plantear la cuestión de inconstitucionalidad cuando el órgano judicial dude expresamente del carácter básico de la norma estatal. Esa entronización de la doctrina de la prevalencia queda ayuna de una explicación acorde a su trascendencia.</w:t>
      </w:r>
    </w:p>
    <w:p w:rsidR="00A90898" w:rsidRDefault="00A90898" w:rsidP="00A90898">
      <w:pPr>
        <w:pStyle w:val="TextoNormal"/>
      </w:pPr>
    </w:p>
    <w:p w:rsidR="00A90898" w:rsidRDefault="00A90898" w:rsidP="00A90898">
      <w:pPr>
        <w:pStyle w:val="TextoNormal"/>
      </w:pPr>
      <w:r>
        <w:t>En consecuencia, tal generalización incondicionada de la doctrina de la prevalencia en relación con las inconstitucionalidades sobrevenidas en el ámbito de las competencias compartidas, con el correlativo abandono de la sólida doctrina sobre la incompetencia de los órganos judiciales para fiscalizar las normas posconstitucionales con rango de ley, debilita nuestro modelo de jurisdicción constitucional concentrada, por lo que respecta tanto a la determinación del carácter básico de las normas estatales, como a la apreciación de si se da o no una contradicción insalvable de la norma autonómica. Asimismo se menoscaba la dignidad del legislador autonómico, que es un legislador tan democrático como el estatal, permitiendo que sus normas puedan ser desplazadas por la propia autoridad de cualquier órgano judicial que las considere incompatibles con una norma estatal sobrevenida. Todo ello, sin conceder oportunidad alguna al autor de la norma o a la Administración de la Comunidad Autónoma correspondiente para personarse en el proceso jurisdiccional en el que se produce esa inaplicación y poder de esta forma defender su conformidad constitucional, o articular un pertinente recurso contra la decisión del órgano judicial; a diferencia precisamente de lo establecido para la cuestión de inconstitucionalidad, proceso constitucional que permite, como así ha acontecido en el presente caso, que tanto la representación del Parlamento autonómico autor de la norma cuestionada como la representación de la Administración de la Comunidad Autónoma correspondiente se personen en este proceso y realicen las alegaciones que estimen oportunas.</w:t>
      </w:r>
    </w:p>
    <w:p w:rsidR="00A90898" w:rsidRDefault="00A90898" w:rsidP="00A90898">
      <w:pPr>
        <w:pStyle w:val="TextoNormal"/>
      </w:pPr>
    </w:p>
    <w:p w:rsidR="00A90898" w:rsidRDefault="00A90898" w:rsidP="00A90898">
      <w:pPr>
        <w:pStyle w:val="TextoNormal"/>
      </w:pPr>
      <w:r>
        <w:t>Por todo ello, quiero expresar mi más profundo disentimiento con el fondo y la forma en la que se ha llevado a cabo una generalización incondicionada de la doctrina de la prevalencia que sin duda será fuente de conflictos, situaciones injustificadas de tratamiento desigual, inseguridad jurídica e indefensión, y que además debilita la posición del legislador autonómico en el sistema de fuentes.</w:t>
      </w:r>
    </w:p>
    <w:p w:rsidR="00A90898" w:rsidRDefault="00A90898" w:rsidP="00A90898">
      <w:pPr>
        <w:pStyle w:val="TextoNormal"/>
      </w:pPr>
    </w:p>
    <w:p w:rsidR="00A90898" w:rsidRDefault="00A90898" w:rsidP="00A90898">
      <w:pPr>
        <w:pStyle w:val="TextoNormal"/>
      </w:pPr>
      <w:r>
        <w:t>Y en tal sentido emito este Voto particular.</w:t>
      </w:r>
    </w:p>
    <w:p w:rsidR="00A90898" w:rsidRDefault="00A90898" w:rsidP="00A90898">
      <w:pPr>
        <w:pStyle w:val="TextoNormal"/>
      </w:pPr>
    </w:p>
    <w:p w:rsidR="00A90898" w:rsidRDefault="00A90898" w:rsidP="00A90898">
      <w:pPr>
        <w:pStyle w:val="TextoNormal"/>
      </w:pPr>
      <w:r>
        <w:t>Madrid, a uno de diciembre de dos mil dieciséis.</w:t>
      </w:r>
    </w:p>
    <w:p w:rsidR="00A90898" w:rsidRDefault="00A90898" w:rsidP="00A90898">
      <w:pPr>
        <w:pStyle w:val="TextoNormal"/>
      </w:pPr>
    </w:p>
    <w:p w:rsidR="00A90898" w:rsidRDefault="00A90898" w:rsidP="00A90898">
      <w:pPr>
        <w:pStyle w:val="TextoNormalNegritaCentrado"/>
        <w:keepNext/>
      </w:pPr>
      <w:r>
        <w:lastRenderedPageBreak/>
        <w:t>Voto particular que formula el Magistrado don Santiago Martínez-Vares García a 1a Sentencia dictada en la cuestión de inconstitucionalidad núm. 6036-2015.</w:t>
      </w:r>
    </w:p>
    <w:p w:rsidR="00A90898" w:rsidRDefault="00A90898" w:rsidP="00A90898">
      <w:pPr>
        <w:pStyle w:val="TextoNormalNegritaCentrado"/>
        <w:keepNext/>
      </w:pPr>
    </w:p>
    <w:p w:rsidR="00A90898" w:rsidRDefault="00A90898" w:rsidP="00A90898">
      <w:pPr>
        <w:pStyle w:val="TextoNormal"/>
      </w:pPr>
      <w:r>
        <w:t>En el ejercicio de la facultad que me confiere el art. 90.2 de la Ley Orgánica del Tribunal Constitucional (LOTC) y con pleno respeto a la opinión del resto de Magistrados, por medio de este Voto particular quiero expresar mi discrepancia con la Sentencia mayoritaria. Si bien, antes de adentrarme en el motivo de la divergencia, creo necesario efectuar unas consideraciones previas.</w:t>
      </w:r>
    </w:p>
    <w:p w:rsidR="00A90898" w:rsidRDefault="00A90898" w:rsidP="00A90898">
      <w:pPr>
        <w:pStyle w:val="TextoNormal"/>
      </w:pPr>
    </w:p>
    <w:p w:rsidR="00A90898" w:rsidRDefault="00A90898" w:rsidP="00A90898">
      <w:pPr>
        <w:pStyle w:val="TextoNormal"/>
      </w:pPr>
      <w:r>
        <w:t>Tengo la convicción de que el Voto particular no es sino la manifestación de un doble fracaso, pues quien lo formula no ha logrado convencer a la mayoría de Magistrados del acierto constitucional de su enfoque, ni tampoco estos han conseguido persuadir al discrepante de la corrección constitucional de su posición. Ciertamente la situación del que sostiene la tesis minoritaria es más delicada, no solo porque se aparta del criterio mayoritario, sino porque con la decisión de plasmar la discordancia en el Voto particular, debilita la doctrina constitucional, ocasionando cierta inseguridad sobre la evolución de la misma, que no es deseable en ningún caso en la interpretación de las normas, pero aún es menos conveniente cuando el desacuerdo se produce en el seno del órgano que concentra el control de la constitucionalidad de las leyes. Tales valoraciones, han venido pesando sobre mí en las ocasiones en que he tenido que decidir hacer pública mi discrepancia con la mayoría a través de la plasmación de un Voto particular —muestra de ello son los escasos Votos que he emitido—, y, desde luego, me imponen en el presente un uso prudente y leal a la institución a la que sirvo.</w:t>
      </w:r>
    </w:p>
    <w:p w:rsidR="00A90898" w:rsidRDefault="00A90898" w:rsidP="00A90898">
      <w:pPr>
        <w:pStyle w:val="TextoNormal"/>
      </w:pPr>
    </w:p>
    <w:p w:rsidR="00A90898" w:rsidRDefault="00A90898" w:rsidP="00A90898">
      <w:pPr>
        <w:pStyle w:val="TextoNormal"/>
      </w:pPr>
      <w:r>
        <w:t>Efectuadas tales apreciaciones, debo en primer lugar remitirme a los argumentos que se plasmaron extensamente en el Voto particular suscrito por un Magistrado a la STC 102/2016, que son plenamente aplicables a esta Sentencia, no en vano, puede afirmarse que nada se añade en esta Sentencia distinto a lo razonado en aquella. Es precisamente esta identidad argumental, esto es, la ausencia de argumentación que acomode la respuesta a las significativas diferencias existentes entre los casos resueltos en la referida Sentencia y en la actual —y que se señalarán más adelante—, la que suscita la incertidumbre sobre el alcance del giro jurisprudencial advertido en el anterior Voto particular y que ahora se evidencia como real.</w:t>
      </w:r>
    </w:p>
    <w:p w:rsidR="00A90898" w:rsidRDefault="00A90898" w:rsidP="00A90898">
      <w:pPr>
        <w:pStyle w:val="TextoNormal"/>
      </w:pPr>
    </w:p>
    <w:p w:rsidR="00A90898" w:rsidRDefault="00A90898" w:rsidP="00A90898">
      <w:pPr>
        <w:pStyle w:val="TextoNormal"/>
      </w:pPr>
      <w:r>
        <w:t>La diferencia entre los supuestos resueltos es reconocida en el fundamento jurídico 3, al afirmar que “a diferencia del supuesto resuelto por la STC 102/2016, en el presente caso la norma de cuya constitucionalidad duda el Juzgado de lo Contencioso-Administrativo núm. 4 de Bilbao no reproduce precepto alguno estatal de carácter básico, sino que se trata de un precepto dictado en ausencia de legislación básica estatal”, añadiendo, de modo aseverativo que “la razón de decidir de aquella Sentencia sirve para resolver también el presente proceso constitucional. En ambos casos se trata de una ley autonómica a la que, en el momento en que se dictó, no podía imputarse vicio alguno de inconstitucionalidad, y que, sin embargo, deviene incompatible con una ley básica del Estado aprobada con posterioridad”.</w:t>
      </w:r>
    </w:p>
    <w:p w:rsidR="00A90898" w:rsidRDefault="00A90898" w:rsidP="00A90898">
      <w:pPr>
        <w:pStyle w:val="TextoNormal"/>
      </w:pPr>
    </w:p>
    <w:p w:rsidR="00A90898" w:rsidRDefault="00A90898" w:rsidP="00A90898">
      <w:pPr>
        <w:pStyle w:val="TextoNormal"/>
      </w:pPr>
      <w:r>
        <w:t xml:space="preserve">Sin embargo, no parece que la Sentencia vislumbre la intensidad de las consecuencias que un cambio de semejante envergadura puede ocasionar en nuestro modelo concentrado </w:t>
      </w:r>
      <w:r>
        <w:lastRenderedPageBreak/>
        <w:t>de justicia constitucional, al abrir una vía de entrada al modelo de control difuso de constitucionalidad de las leyes sin los reajustes necesarios para evitar la inseguridad jurídica y preservar la posición de los Parlamentos autonómicos. Es por ello necesario exponer, en primer lugar, el alcance de los elementos diferenciales entre los supuestos tratados en ambas Sentencias, para posteriormente mostrar los desequilibrios que en el control de constitucionalidad concentrado, —y en la posición de los Parlamentos autonómicos—, ocasiona la aplicación de la nueva doctrina al abandonar las excepcionales circunstancias que justificaron su nacimiento.</w:t>
      </w:r>
    </w:p>
    <w:p w:rsidR="00A90898" w:rsidRDefault="00A90898" w:rsidP="00A90898">
      <w:pPr>
        <w:pStyle w:val="TextoNormal"/>
      </w:pPr>
    </w:p>
    <w:p w:rsidR="00A90898" w:rsidRDefault="00A90898" w:rsidP="00A90898">
      <w:pPr>
        <w:pStyle w:val="TextoNormal"/>
      </w:pPr>
      <w:r>
        <w:t>El caso que dio origen al cambio de la doctrina constitucional (STC 102/2016), dadas las características difícilmente repetibles sobre las que asentaba el incremento de las potestades de control judicial de la inconstitucionalidad mediata de las leyes, no permitía advertir las importantes consecuencias que ahora se dejan entrever, al proyectar el cambio sin las limitaciones del caso. En efecto, la STC 102/2016, partía de la afirmación de la doctrina tradicional, por la que ante un nuevo caso de inconstitucionalidad indirecta o mediata, en los que la norma autonómica controvertida no vulnera directa o frontalmente un precepto de la Constitución, sino que lo hace de manera secundaria o derivada, por infringir una norma de rango infraconstitucional dictada por el Estado en el ejercicio de sus competencias propias “no puede un órgano de la jurisdicción ordinaria inaplicar, por su propia y exclusiva autoridad, esa norma de rango legal, sino que el sometimiento estricto de la jurisdicción ordinaria al ‘imperio de la ley’ (art. 117.1 CE) y el monopolio de este Tribunal Constitucional en la fiscalización de la constitucionalidad de las leyes obligan, de acuerdo con el art. 163 CE, a promover la correspondiente cuestión de inconstitucionalidad. Descansa esa doctrina, como decimos, en la idea de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(SSTC 66/2011, FJ 6, y 159/2012, FJ 5, ambas con cita de la STC 173/2002, de 9 de octubre, FJ 9; en el mismo sentido, STC 162/2009, de 29 de junio, FJ 3).”</w:t>
      </w:r>
    </w:p>
    <w:p w:rsidR="00A90898" w:rsidRDefault="00A90898" w:rsidP="00A90898">
      <w:pPr>
        <w:pStyle w:val="TextoNormal"/>
      </w:pPr>
    </w:p>
    <w:p w:rsidR="00A90898" w:rsidRDefault="00A90898" w:rsidP="00A90898">
      <w:pPr>
        <w:pStyle w:val="TextoNormal"/>
      </w:pPr>
      <w:r>
        <w:t>Indicaba que en estricta aplicación de esa doctrina, “la Sección Segunda de la Sala de lo Contencioso-Administrativo del Tribunal Superior de Justicia de Galicia elevaba la cuestión de inconstitucionalidad para que este Tribunal declare esa ‘inconstitucionalidad sobrevenida’ del art. 32.1 de la Ley de la Administración local de Galicia, teniendo presente el carácter formal y materialmente básico del nuevo art. 47.2 LBRL ya declarado en las citadas SSTC 66/2011 y 159/2012, por referencia a su letra d).”</w:t>
      </w:r>
    </w:p>
    <w:p w:rsidR="00A90898" w:rsidRDefault="00A90898" w:rsidP="00A90898">
      <w:pPr>
        <w:pStyle w:val="TextoNormal"/>
      </w:pPr>
    </w:p>
    <w:p w:rsidR="00A90898" w:rsidRDefault="00A90898" w:rsidP="00A90898">
      <w:pPr>
        <w:pStyle w:val="TextoNormal"/>
      </w:pPr>
      <w:r>
        <w:t xml:space="preserve">La STC 102/2016, tras afirmar la doctrina tradicional, vinculaba el apartamiento de la misma a las circunstancias del caso, afirmando que “este Tribunal … debe apartarse de la doctrina antes indicada en un caso como el que da origen a la presente cuestión de inconstitucionalidad en que la legislación autonómica no ha hecho sino reproducir la legislación </w:t>
      </w:r>
      <w:r>
        <w:lastRenderedPageBreak/>
        <w:t>básica, y ésta se modifica después en un sentido incompatible con aquella legislación autonómica”. Para la STC 102/2016, era el caso que daba origen a la cuestión: ley autonómica que reproducía ley básica estatal, que se modifica en un sentido incompatible con la legislación autonómica, habiéndose afirmado “el carácter formal y materialmente básico del nuevo art. 47.2 LBRL ya declarado en las citadas SSTC 66/2011 y 159/2012”, el que permitía apartarse de la doctrina.</w:t>
      </w:r>
    </w:p>
    <w:p w:rsidR="00A90898" w:rsidRDefault="00A90898" w:rsidP="00A90898">
      <w:pPr>
        <w:pStyle w:val="TextoNormal"/>
      </w:pPr>
    </w:p>
    <w:p w:rsidR="00A90898" w:rsidRDefault="00A90898" w:rsidP="00A90898">
      <w:pPr>
        <w:pStyle w:val="TextoNormal"/>
      </w:pPr>
      <w:r>
        <w:t>Así plasmadas las circunstancias de inaplicación de la doctrina —que no de su derogación—, se completaba el contexto de la decisión con argumentos tales como que era “práctica frecuente del legislador autonómico de introducir en su normativa de desarrollo preceptos que corresponden a la legislación básica que se pretendía desarrollar”, siendo utilizada dicha práctica “como medio para facilitar al operador jurídico el conocimiento de la normativa aplicable”, añadiendo que si se modificaba la legislación básica “es el legislador autonómico el que debe acomodarse a la modificación de la legislación estatal básica”. Finalmente tras reconocer que si bien “el control de la adecuación de la legislación autonómica a la legislación básica que desarrolla, no puede llevarse a cabo por aplicación del principio de prevalencia de las normas del Estado (art. 149.1 CE), sino que es un auténtico control de constitucionalidad reservado al Tribunal Constitucional (STC 163/1995, de 8 de noviembre, FJ 4)”, reiteraba que la “cuestión que se plantea en este caso es diferente, pues la Comunidad Autónoma de Galicia, al incluir en la Ley 5/1997, de 22 de julio, su artículo 32.1, no lo hizo reclamando una competencia propia, sino por puro mimetismo con la regulación contenida en la legislación básica que aquella ley pretendía desarrollar.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 Supone el único resultado constitucionalmente respetuoso con la plenitud del ordenamiento (art. 149.3 CE)”.</w:t>
      </w:r>
    </w:p>
    <w:p w:rsidR="00A90898" w:rsidRDefault="00A90898" w:rsidP="00A90898">
      <w:pPr>
        <w:pStyle w:val="TextoNormal"/>
      </w:pPr>
    </w:p>
    <w:p w:rsidR="00A90898" w:rsidRDefault="00A90898" w:rsidP="00A90898">
      <w:pPr>
        <w:pStyle w:val="TextoNormal"/>
      </w:pPr>
      <w:r>
        <w:t xml:space="preserve">Sin embargo, la Sentencia frente a la que se formula el presente Voto, no supone como indicaba la STC 102/2016, un mero “apartarse de la doctrina” tradicional —que precisamente por ser exceptuada para el caso concreto era afirmada como válida con carácter general, con la consecuencia de minimizar el impacto constitucional de lo resuelto—, sino que supone de facto su derogación y la apertura de una grieta en el monopolio de este Tribunal Constitucional en la fiscalización de la constitucionalidad de las leyes postconstitucionales, con las consecuencias y desajustes que posteriormente se expondrán. En efecto, ninguno de los presupuestos que permitieron el apartamiento de la tradicional doctrina, concurrían en el caso actual, por lo que el planteamiento de la cuestión de inconstitucionalidad por el órgano judicial era obligado. En tal sentido, el art. 89.2 de la Ley vasca, se aprobó reclamando una competencia propia, pues no existía regulación básica en materia disciplinaria, estableciendo el plazo de un mes de prescripción de las faltas leves. El art. 87.2 de la Ley de funcionarios civiles del Estado, aprobada mediante Decreto 315/1964, de 7 de febrero, contemplaba idéntico plazo de prescripción, pero no predicaba de sí misma, por razones obvias, su carácter formalmente básico. Además la STC 37/2002, de 14 de febrero, FFJJ 9 y 11 había descartado que dicho precepto —el artículo 87.2—, tuviera el carácter básico, en tanto que no era posible “inferir bases de normas legales preconstitucionales en el supuesto de que el legislador estatal postconstitucional hubiera procedido a establecer con aparente amplitud e innovación las bases de una determinada materia” (STC 37/2002, FJ 9). Por lo que el art. 89.2 de la Ley vasca no era expresión de la “práctica frecuente del legislador </w:t>
      </w:r>
      <w:r>
        <w:lastRenderedPageBreak/>
        <w:t>autonómico de introducir en su normativa de desarrollo preceptos que corresponden a la legislación básica que se pretendía desarrollar”, ni suponía el ejercicio de funciones que no eran propias del legislador autonómico. No fue hasta que se aprobó la Ley del estatuto básico del empleado público, que se atribuye formalmente el carácter de básico, cuando en el párrafo primero del artículo 97 se eleva el plazo de prescripción de las faltas leves a seis meses, precepto que ha sido finalmente derogado e incorporado literalmente al art. 97 del Real Decreto Legislativo 5/2015, de 30 de octubre, por el que se aprueba el texto refundido de la Ley del estatuto básico del empleado público, sin que a diferencia de lo que acontecía en la STC 102/2016, dicho precepto se haya declarado “materialmente básico” por este Tribunal.</w:t>
      </w:r>
    </w:p>
    <w:p w:rsidR="00A90898" w:rsidRDefault="00A90898" w:rsidP="00A90898">
      <w:pPr>
        <w:pStyle w:val="TextoNormal"/>
      </w:pPr>
    </w:p>
    <w:p w:rsidR="00A90898" w:rsidRDefault="00A90898" w:rsidP="00A90898">
      <w:pPr>
        <w:pStyle w:val="TextoNormal"/>
      </w:pPr>
      <w:r>
        <w:t>Pese a la distancia entre los dos supuestos planteados, la Sentencia se limita a indicar que se “trata de una ley autonómica a la que, en el momento en que se dictó, no podía imputarse vicio alguno de inconstitucionalidad, y que, sin embargo, deviene incompatible con una ley básica del Estado aprobada con posterioridad”. Ahora bien, el art. 97 del Real Decreto Legislativo 5/2015, no ha sido declarado básico por este Tribunal, que tampoco se ha pronunciado sobre si el contenido del mismo excede de la regulación de lo básico, ni tampoco la incompatibilidad entre el art. 97 del Real Decreto Legislativo 5/2015 y el art. 89.2 de la Ley vasca. De este modo, la Sentencia viene a atribuir el control mediato de la constitucionalidad de la Ley vasca a la jurisdicción ordinaria, que será la facultada para encuadrar la materia en un título competencial, determinar, en su caso, si ha existido o no un exceso en el ejercicio de las competencias por parte del Estado y si concluye que el Estado ha ejercido, sin exceso, la competencia para el establecimiento de las bases, deberá verificar si la legislación básica y la autonómica de desarrollo son incompatibles, desplazando la legislación autonómica en caso de que sea incompatible con la legislación básica estatal y ello sin intervención alguna de este Tribunal, que ni tan siquiera habrá declarado el carácter básico del precepto estatal aplicado.</w:t>
      </w:r>
    </w:p>
    <w:p w:rsidR="00A90898" w:rsidRDefault="00A90898" w:rsidP="00A90898">
      <w:pPr>
        <w:pStyle w:val="TextoNormal"/>
      </w:pPr>
    </w:p>
    <w:p w:rsidR="00A90898" w:rsidRDefault="00A90898" w:rsidP="00A90898">
      <w:pPr>
        <w:pStyle w:val="TextoNormal"/>
      </w:pPr>
      <w:r>
        <w:t>Como hemos adelantado, no parece que la Sentencia entrevea los desajustes que la grieta abierta en nuestro modelo concentrado de justicia constitucional, va a ocasionar con la aparición de un control difuso de constitucionalidad de las leyes, ejercido por la jurisdicción ordinaria, sin posibilidad de ulterior supervisión de este Tribunal. Baste apuntar algunos inconvenientes que la doctrina plasmada en la presente Sentencia plantea.</w:t>
      </w:r>
    </w:p>
    <w:p w:rsidR="00A90898" w:rsidRDefault="00A90898" w:rsidP="00A90898">
      <w:pPr>
        <w:pStyle w:val="TextoNormal"/>
      </w:pPr>
    </w:p>
    <w:p w:rsidR="00A90898" w:rsidRDefault="00A90898" w:rsidP="00A90898">
      <w:pPr>
        <w:pStyle w:val="TextoNormal"/>
      </w:pPr>
      <w:r>
        <w:t xml:space="preserve">Será posible que el precepto estatal, formalmente básico, éste recurrido ante este Tribunal por una Comunidad Autónoma o cuestionado por otro órgano judicial, pese a lo cual la aplicación de la doctrina expuesta facultará —más bien impondrá—, al Juez o Tribunal, ante quien se plantee el conflicto, que no dude del carácter básico del precepto estatal, a desplazar la norma autonómica incompatible con aquél, pudiendo adoptar dicha decisión incluso sin posibilidad de recurso alguno ante la jurisdicción ordinaria. Dicha decisión ni tan siquiera será controlable por este Tribunal a través del recurso de amparo (arts. 53.2 CE, 41.1 y 44.1 LOTC), al no ser éste un instrumento apto para el control de la correcta distribución de competencias entre el Estado y las Comunidades Autónomas, sin que, por otra parte, el derecho a la tutela judicial efectiva incluya, salvo que se modifique su contenido, un pretendido derecho al acierto judicial en la selección, interpretación y aplicación de las disposiciones legales (por todas, STC 169/2015). Tal pérdida del monopolio en la fiscalización de la constitucionalidad traerá consigo la lógica inseguridad jurídica por la disparidad </w:t>
      </w:r>
      <w:r>
        <w:lastRenderedPageBreak/>
        <w:t>de criterios existentes. No será tampoco inusual que el Parlamento autonómico o la Comunidad Autónoma que haya impugnado una norma estatal por no considerarla básica o por considerar que el Estado se ha excedido en la regulación de lo básico, no pueda oponerse en modo alguno a que se inaplique la norma autonómica por los órganos judiciales —al no ser parte en el procedimiento—, sin que exista mecanismo alguno que lo remedie para el caso de que se estime el recurso de inconstitucionalidad o el conflicto de competencias planteado por la Comunidad Autónoma o por su Parlamento. A la merma de las posibilidades de defensa se le sumará, como hemos adelantado, la inseguridad constitucional derivada de las distintas apreciaciones entre órganos judiciales sobre la compatibilidad entre la norma básica y la autonómica de desarrollo, con la consecuencia de que unos órganos apliquen la Ley autonómica y otros la dejen inaplicada.</w:t>
      </w:r>
    </w:p>
    <w:p w:rsidR="00A90898" w:rsidRDefault="00A90898" w:rsidP="00A90898">
      <w:pPr>
        <w:pStyle w:val="TextoNormal"/>
      </w:pPr>
    </w:p>
    <w:p w:rsidR="00A90898" w:rsidRDefault="00A90898" w:rsidP="00A90898">
      <w:pPr>
        <w:pStyle w:val="TextoNormal"/>
      </w:pPr>
      <w:r>
        <w:t>Por otra parte, la imposibilidad de que el órgano judicial plantee la cuestión de inconstitucionalidad de la norma autonómica que colisione con una ley formalmente básica y la obligación del mismo de inaplicar la Ley autonómica, se tomará sin oír al Parlamento autonómico y a la Comunidad Autónoma —que frecuentemente no serán parte en el procedimiento judicial—, viéndose de este modo privados —a resultas del cambio de doctrina constitucional—, del cauce previsto en la Ley Orgánica del Tribunal Constitucional para defender la constitucionalidad de la Ley autonómica, su compatibilidad con la Ley estatal formalmente básica, o el exceso de competencia del Estado en la delimitación de lo básico. Tal desajuste, ocasionado por la modificación de la doctrina, privará al Parlamento o al Gobierno autonómico de la posibilidad de defender la dignidad de una ley aprobada por un Parlamento autonómico que representa la voluntad del pueblo, que en otro caso podría defender en el marco del proceso constitucional.</w:t>
      </w:r>
    </w:p>
    <w:p w:rsidR="00A90898" w:rsidRDefault="00A90898" w:rsidP="00A90898">
      <w:pPr>
        <w:pStyle w:val="TextoNormal"/>
      </w:pPr>
    </w:p>
    <w:p w:rsidR="00A90898" w:rsidRDefault="00A90898" w:rsidP="00A90898">
      <w:pPr>
        <w:pStyle w:val="TextoNormal"/>
      </w:pPr>
      <w:r>
        <w:t>En tal sentido formulo el presente Voto particular.</w:t>
      </w:r>
    </w:p>
    <w:p w:rsidR="00A90898" w:rsidRDefault="00A90898" w:rsidP="00A90898">
      <w:pPr>
        <w:pStyle w:val="TextoNormal"/>
      </w:pPr>
    </w:p>
    <w:p w:rsidR="00A90898" w:rsidRDefault="00A90898" w:rsidP="00A90898">
      <w:pPr>
        <w:pStyle w:val="TextoNormal"/>
      </w:pPr>
      <w:r>
        <w:t>Madrid, a uno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4" w:name="SENTENCIA_2016_205"/>
      <w:r>
        <w:lastRenderedPageBreak/>
        <w:t>SENTENCIA 205/2016, de 1 de diciembre de 2016</w:t>
      </w:r>
    </w:p>
    <w:bookmarkEnd w:id="84"/>
    <w:p w:rsidR="00A90898" w:rsidRDefault="00A90898" w:rsidP="00A90898">
      <w:pPr>
        <w:pStyle w:val="TtuloResolucin"/>
      </w:pPr>
      <w:r>
        <w:t>Pleno</w:t>
      </w:r>
    </w:p>
    <w:p w:rsidR="00A90898" w:rsidRDefault="00A90898" w:rsidP="00A90898">
      <w:pPr>
        <w:pStyle w:val="TtuloBOE"/>
      </w:pPr>
      <w:r>
        <w:t>(BOE núm. 7, de 9 de enero de 2017)</w:t>
      </w:r>
    </w:p>
    <w:p w:rsidR="00A90898" w:rsidRDefault="00A90898" w:rsidP="00A90898">
      <w:pPr>
        <w:pStyle w:val="TextoNormalCentrado"/>
      </w:pPr>
      <w:r>
        <w:t>ECLI:ES:TC:2016:205</w:t>
      </w:r>
    </w:p>
    <w:p w:rsidR="00A90898" w:rsidRDefault="00A90898" w:rsidP="00A90898">
      <w:pPr>
        <w:pStyle w:val="TextoNormalCentrado"/>
      </w:pPr>
    </w:p>
    <w:p w:rsidR="00A90898" w:rsidRDefault="00A90898" w:rsidP="00A90898">
      <w:pPr>
        <w:pStyle w:val="SntesisDescriptiva"/>
      </w:pPr>
      <w:r>
        <w:t>Recurso de inconstitucionalidad 36-2016. Interpuesto por el Presidente del Gobierno respecto del apartado 12 del artículo único de la Ley de la Asamblea Regional de Murcia 11/2015, de 30 de marzo, de modificación de la Ley 10/2006, de 21 de diciembre, de energías renovables y ahorro y eficiencia energética de la Región de Murcia.</w:t>
      </w:r>
    </w:p>
    <w:p w:rsidR="00A90898" w:rsidRDefault="00A90898" w:rsidP="00A90898">
      <w:pPr>
        <w:pStyle w:val="SntesisDescriptiva"/>
      </w:pPr>
    </w:p>
    <w:p w:rsidR="00A90898" w:rsidRDefault="00A90898" w:rsidP="00A90898">
      <w:pPr>
        <w:pStyle w:val="SntesisAnaltica"/>
      </w:pPr>
      <w:r>
        <w:t>Competencias en materia de energía: nulidad del precepto legal autonómico que regula el autoconsumo de energía eléctrica vulnerando la normativa básica estatal (STC 60/2016).</w:t>
      </w:r>
    </w:p>
    <w:p w:rsidR="00A90898" w:rsidRDefault="00A90898" w:rsidP="00A90898">
      <w:pPr>
        <w:pStyle w:val="SntesisAnaltica"/>
      </w:pPr>
    </w:p>
    <w:p w:rsidR="00A90898" w:rsidRDefault="00A90898" w:rsidP="00A90898">
      <w:pPr>
        <w:pStyle w:val="Extracto"/>
      </w:pPr>
      <w:r>
        <w:t>1.</w:t>
      </w:r>
      <w:r>
        <w:tab/>
        <w:t>Con carácter básico, el legislador estatal en la Ley del sector eléctrico -en adelante LSE- determina que el Gobierno estatal establecerá las condiciones administrativas y técnicas para la conexión a la red de las instalaciones con autoconsumo, lo que efectivamente ha llevado a cabo mediante el Real Decreto 900/2015 (STC 32/2016) [FJ 4].</w:t>
      </w:r>
    </w:p>
    <w:p w:rsidR="00A90898" w:rsidRDefault="00A90898" w:rsidP="00A90898">
      <w:pPr>
        <w:pStyle w:val="Extracto"/>
      </w:pPr>
    </w:p>
    <w:p w:rsidR="00A90898" w:rsidRDefault="00A90898" w:rsidP="00A90898">
      <w:pPr>
        <w:pStyle w:val="Extracto"/>
      </w:pPr>
      <w:r>
        <w:t>2.</w:t>
      </w:r>
      <w:r>
        <w:tab/>
        <w:t>La regulación del autoconsumo de energía eléctrica persigue integrar este modo de producción y consumo de electricidad en el sistema eléctrico, así como prever el establecimiento por vía reglamentaria de un régimen económico de las distintas modalidades de autoconsumo, determinando la contribución de la energía autoconsumida a la cobertura de los costes y servicios del sistema eléctrico (SSTC 60/2016 y 72/2016) [FJ 3].</w:t>
      </w:r>
    </w:p>
    <w:p w:rsidR="00A90898" w:rsidRDefault="00A90898" w:rsidP="00A90898">
      <w:pPr>
        <w:pStyle w:val="Extracto"/>
      </w:pPr>
    </w:p>
    <w:p w:rsidR="00A90898" w:rsidRDefault="00A90898" w:rsidP="00A90898">
      <w:pPr>
        <w:pStyle w:val="Extracto"/>
      </w:pPr>
      <w:r>
        <w:t>3.</w:t>
      </w:r>
      <w:r>
        <w:tab/>
        <w:t>La regulación del autoconsumo corresponde al legislador estatal, por tratarse de una cuestión que se sitúa en el ámbito de la ordenación básica de las actividades de suministro de energía eléctrica y del establecimiento de su régimen económico (SSTC 60/2016 y 72/2016) [FJ 4].</w:t>
      </w:r>
    </w:p>
    <w:p w:rsidR="00A90898" w:rsidRDefault="00A90898" w:rsidP="00A90898">
      <w:pPr>
        <w:pStyle w:val="Extracto"/>
      </w:pPr>
    </w:p>
    <w:p w:rsidR="00A90898" w:rsidRDefault="00A90898" w:rsidP="00A90898">
      <w:pPr>
        <w:pStyle w:val="Extracto"/>
      </w:pPr>
      <w:r>
        <w:t>4.</w:t>
      </w:r>
      <w:r>
        <w:tab/>
        <w:t>En materia de registros administrativos, es constitucionalmente posible la creación de un Registro único para todo el Estado que garantice la centralización de todos los datos a los estrictos efectos de información y publicidad. (SSTC 197/1996 y 11/2015) [FJ 3].</w:t>
      </w:r>
    </w:p>
    <w:p w:rsidR="00A90898" w:rsidRDefault="00A90898" w:rsidP="00A90898">
      <w:pPr>
        <w:pStyle w:val="Extracto"/>
      </w:pPr>
    </w:p>
    <w:p w:rsidR="00A90898" w:rsidRDefault="00A90898" w:rsidP="00A90898">
      <w:pPr>
        <w:pStyle w:val="Extracto"/>
      </w:pPr>
      <w:r>
        <w:t>5.</w:t>
      </w:r>
      <w:r>
        <w:tab/>
        <w:t>El precepto autonómico que define y regula las instalaciones de intercambio de energía y determina que la cesión de energía de estas instalaciones al sistema eléctrico no llevará aparejada contraprestación económica alguna, crea una nueva categoría de instalaciones de autoconsumo invadiendo las previstas por el legislador estatal, al situarse en el ámbito de la ordenación básica de las actividades de suministro de energía eléctrica y del establecimiento de su régimen económico (SSTC 60/2016 y 72/2016)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36-2016, promovido por el Presidente del Gobierno contra el apartado 12 del artículo único de la Ley de la Asamblea Regional de Murcia 11/2015, de 30 de marzo, de modificación de la Ley 10/2006, de 21 de diciembre, de energías renovables y ahorro y eficiencia energética de la Región de Murcia. Ha comparecido y formulado alegaciones el Consejo de Gobierno de la Región de Murcia.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Mediante escrito registrado en este Tribunal el 5 de enero de 2016, se ha promovido recurso de inconstitucionalidad por el Abogado del Estado, en nombre del Presidente del Gobierno, contra el apartado 12 del artículo único de la Ley 11/2015, de 30 de marzo, de modificación de la Ley 10/2006, de 21 de diciembre, de energías renovables y ahorro y eficiencia energética de la Región de Murcia. El precepto impugnado añade un nuevo art. 20 </w:t>
      </w:r>
      <w:r w:rsidRPr="00A90898">
        <w:rPr>
          <w:i/>
        </w:rPr>
        <w:t>bis</w:t>
      </w:r>
      <w:r>
        <w:t xml:space="preserve"> a la citada Ley 10/2006, del siguiente tenor:</w:t>
      </w:r>
    </w:p>
    <w:p w:rsidR="00A90898" w:rsidRDefault="00A90898" w:rsidP="00A90898">
      <w:pPr>
        <w:pStyle w:val="TextoNormal"/>
      </w:pPr>
    </w:p>
    <w:p w:rsidR="00A90898" w:rsidRDefault="00A90898" w:rsidP="00A90898">
      <w:pPr>
        <w:pStyle w:val="TextoNormal"/>
      </w:pPr>
      <w:r>
        <w:t xml:space="preserve">“Artículo 20 </w:t>
      </w:r>
      <w:r w:rsidRPr="00A90898">
        <w:rPr>
          <w:i/>
        </w:rPr>
        <w:t>bis</w:t>
      </w:r>
      <w:r>
        <w:t>. Instalaciones para aprovechamiento y consumo directo de fuentes de energía renovables. Instalaciones de intercambio de energía.</w:t>
      </w:r>
    </w:p>
    <w:p w:rsidR="00A90898" w:rsidRDefault="00A90898" w:rsidP="00A90898">
      <w:pPr>
        <w:pStyle w:val="TextoNormal"/>
      </w:pPr>
    </w:p>
    <w:p w:rsidR="00A90898" w:rsidRDefault="00A90898" w:rsidP="00A90898">
      <w:pPr>
        <w:pStyle w:val="TextoNormal"/>
      </w:pPr>
      <w:r>
        <w:t>1. Las instalaciones previstas para el aprovechamiento de fuentes de energía renovables cuya finalidad sea la producción de energía eléctrica, sobre las que quede acreditado el consumo de la totalidad de la energía producida, así como la ausencia de conexión eléctrica con la red del sistema eléctrico, bien mediante el aislamiento físico o bien mediante medios técnicos que produzcan un efecto equivalente al mismo, podrán ser consideradas como instalaciones aisladas del sistema eléctrico.</w:t>
      </w:r>
    </w:p>
    <w:p w:rsidR="00A90898" w:rsidRDefault="00A90898" w:rsidP="00A90898">
      <w:pPr>
        <w:pStyle w:val="TextoNormal"/>
      </w:pPr>
    </w:p>
    <w:p w:rsidR="00A90898" w:rsidRDefault="00A90898" w:rsidP="00A90898">
      <w:pPr>
        <w:pStyle w:val="TextoNormal"/>
      </w:pPr>
      <w:r>
        <w:t>2. Las instalaciones generadoras de energía eléctrica a partir de fuentes de energía renovables, y en particular las de tecnología solar fotovoltaica de pequeña potencia, previstas para el consumo instantáneo o diferido en las modalidades de autoconsumo reguladas en la Ley 24/2013, de 26 de diciembre, del Sector Eléctrico, podrán considerarse como instalaciones de intercambio de energía. La cesión de energía producida por estas instalaciones al sistema eléctrico no llevará aparejada contraprestación económica alguna, estableciéndose por la Consejería competente en materia de energía las compensaciones por dicha cesión, en términos energéticos, sin perjuicio del cumplimiento de las condiciones económicas establecidas por el Gobierno para la venta de energía no autoconsumida.</w:t>
      </w:r>
    </w:p>
    <w:p w:rsidR="00A90898" w:rsidRDefault="00A90898" w:rsidP="00A90898">
      <w:pPr>
        <w:pStyle w:val="TextoNormal"/>
      </w:pPr>
    </w:p>
    <w:p w:rsidR="00A90898" w:rsidRDefault="00A90898" w:rsidP="00A90898">
      <w:pPr>
        <w:pStyle w:val="TextoNormal"/>
      </w:pPr>
      <w:r>
        <w:t>3. Por orden de la Consejería competente en materia de energía se definirán las condiciones técnicas y administrativas que deberán cumplir las instalaciones para aprovechamiento y consumo directo de fuentes de energía renovables, para ser consideradas como aisladas del sistema eléctrico, así como para ser consideradas como instalaciones de intercambio de energía.”</w:t>
      </w:r>
    </w:p>
    <w:p w:rsidR="00A90898" w:rsidRDefault="00A90898" w:rsidP="00A90898">
      <w:pPr>
        <w:pStyle w:val="TextoNormal"/>
      </w:pPr>
    </w:p>
    <w:p w:rsidR="00A90898" w:rsidRDefault="00A90898" w:rsidP="00A90898">
      <w:pPr>
        <w:pStyle w:val="TextoNormal"/>
      </w:pPr>
      <w:r w:rsidRPr="00A90898">
        <w:rPr>
          <w:rStyle w:val="NumeroAFNegritaCaracter"/>
        </w:rPr>
        <w:t>2</w:t>
      </w:r>
      <w:r>
        <w:t>. El recurso se fundamenta en las consideraciones que a continuación se resumen.</w:t>
      </w:r>
    </w:p>
    <w:p w:rsidR="00A90898" w:rsidRDefault="00A90898" w:rsidP="00A90898">
      <w:pPr>
        <w:pStyle w:val="TextoNormal"/>
      </w:pPr>
    </w:p>
    <w:p w:rsidR="00A90898" w:rsidRDefault="00A90898" w:rsidP="00A90898">
      <w:pPr>
        <w:pStyle w:val="TextoNormal"/>
      </w:pPr>
      <w:r>
        <w:t>a) Señala el Abogado del Estado que debe entenderse que la Región de Murcia dicta la regulación que se impugna al amparo del art. 10.1.28 de su Estatuto de Autonomía, aprobado por Ley Orgánica 4/1982, de 9 de junio (EARM), en cuya virtud corresponde a la Comunidad Autónoma la competencia exclusiva en materia de “Instalaciones de producción, distribución y transporte de energía cuando el transporte no salga de su territorio y su aprovechamiento no afecte a otra Comunidad Autónoma. Todo ello sin perjuicio de lo establecido en los números 22 y 25 del apartado 1 del artículo 149 de la Constitución”. Esta competencia autonómica debe desenvolverse en el marco de las normas que con carácter básico haya dictado el Estado en el ejercicio de las competencias que con carácter exclusivo le atribuye el art. 149.1 CE en materia energética, que son las bases y coordinación de la planificación general actividad económica (art. 149.1.13 CE) y las bases del régimen minero y energético (art. 149.1.25 CE).</w:t>
      </w:r>
    </w:p>
    <w:p w:rsidR="00A90898" w:rsidRDefault="00A90898" w:rsidP="00A90898">
      <w:pPr>
        <w:pStyle w:val="TextoNormal"/>
      </w:pPr>
    </w:p>
    <w:p w:rsidR="00A90898" w:rsidRDefault="00A90898" w:rsidP="00A90898">
      <w:pPr>
        <w:pStyle w:val="TextoNormal"/>
      </w:pPr>
      <w:r>
        <w:t>b) Según el Abogado del Estado, el precepto impugnado incurre en inconstitucionalidad mediata, al suponer una extralimitación normativa respecto de la regulación básica estatal, contenida principalmente en el art. 9 de la Ley 24/2013, de 26 de diciembre, del sector eléctrico (LSE), dictada al amparo de los títulos competenciales que atribuyen al Estado competencia exclusiva en materia energética (art. 149.1.13 y 25 CE). Las alusiones explícitas en el precepto autonómico impugnado a la ley básica estatal o a las condiciones establecidas por el Gobierno para la venta de energía autoconsumida no subsanan el vicio de inconstitucionalidad competencial de la norma. Constituyen sólo un artificio para introducir una pretendida regulación de desarrollo que en realidad -si se analizan los efectos constitutivos materiales de la norma autonómica, según se razona en el escrito de recurso- resulta incompatible con la normativa estatal básica.</w:t>
      </w:r>
    </w:p>
    <w:p w:rsidR="00A90898" w:rsidRDefault="00A90898" w:rsidP="00A90898">
      <w:pPr>
        <w:pStyle w:val="TextoNormal"/>
      </w:pPr>
    </w:p>
    <w:p w:rsidR="00A90898" w:rsidRDefault="00A90898" w:rsidP="00A90898">
      <w:pPr>
        <w:pStyle w:val="TextoNormal"/>
      </w:pPr>
      <w:r>
        <w:t>Con cita de la doctrina constitucional en la materia (se refiere el Abogado del Estado a las SSTC 18/2011, de 3 de marzo; 136/2011, de 13 de septiembre; 148/2011, de 28 de septiembre, y 102/2013, de 23 de abril), se afirma en el recurso el carácter básico del art. 9 LSE, que regula el autoconsumo; su desarrollo lo lleva a cabo el Real Decreto 900/2015, de 9 de octubre, del que se afirma igualmente su carácter básico. De acuerdo con esta normativa, tanto la definición de las instalaciones de autoconsumo —mediante la delimitación de los requisitos necesarios para reunir tal condición— como la regulación de su régimen económico son aspectos cuya determinación corresponde en exclusiva al Estado con carácter básico, conforme a lo dispuesto en el art. 149.1.13 y 25 CE.</w:t>
      </w:r>
    </w:p>
    <w:p w:rsidR="00A90898" w:rsidRDefault="00A90898" w:rsidP="00A90898">
      <w:pPr>
        <w:pStyle w:val="TextoNormal"/>
      </w:pPr>
    </w:p>
    <w:p w:rsidR="00A90898" w:rsidRDefault="00A90898" w:rsidP="00A90898">
      <w:pPr>
        <w:pStyle w:val="TextoNormal"/>
      </w:pPr>
      <w:r>
        <w:t xml:space="preserve">c) Partiendo de las premisas expuestas, procede seguidamente el Abogado del Estado a argumentar las concretas tachas de inconstitucionalidad que dirige a cada uno de los apartados del art. 20 </w:t>
      </w:r>
      <w:r w:rsidRPr="00A90898">
        <w:rPr>
          <w:i/>
        </w:rPr>
        <w:t>bis</w:t>
      </w:r>
      <w:r>
        <w:t xml:space="preserve"> de la Ley de la Asamblea Regional de Murcia 10/2006, en la redacción dada al mismo por el apartado 12 del artículo único de la Ley 11/2015.</w:t>
      </w:r>
    </w:p>
    <w:p w:rsidR="00A90898" w:rsidRDefault="00A90898" w:rsidP="00A90898">
      <w:pPr>
        <w:pStyle w:val="TextoNormal"/>
      </w:pPr>
    </w:p>
    <w:p w:rsidR="00A90898" w:rsidRDefault="00A90898" w:rsidP="00A90898">
      <w:pPr>
        <w:pStyle w:val="TextoNormal"/>
      </w:pPr>
      <w:r>
        <w:t xml:space="preserve">Sostiene que el apartado 1 del art. 20 </w:t>
      </w:r>
      <w:r w:rsidRPr="00A90898">
        <w:rPr>
          <w:i/>
        </w:rPr>
        <w:t>bis</w:t>
      </w:r>
      <w:r>
        <w:t xml:space="preserve"> de la Ley 10/2006 contradice la normativa básica, pues el otorgamiento del carácter aislado a instalaciones de autoconsumo se hace por la norma impugnada con la intención de evitar el pago de los peajes o cargos que sean establecidos reglamentariamente como desarrollo de lo previsto en el art. 9.3 LSE. Del art. 9 LSE se deduce que el principio de contribución se vincula con la conexión al sistema; si, en relación con tal conexión, la eventual exoneración de la obligación de contribuir al sistema se vincula con la situación técnica de aislamiento de una instalación, la definición legal de lo que sea aislamiento o las circunstancias de su exención es cuestión cuya determinación corresponde al Estado y no a las Comunidades Autónomas. Tampoco corresponde a estas la creación de nuevas categorías de instalaciones distintas de las previstas en la enumeración del art. 9 LSE. La regulación autonómica invadiría pues competencias que corresponden en exclusiva al Estado para la ordenación básica de las actividades de suministro de energía eléctrica y del establecimiento de su régimen económico, de conformidad con el art. 149.1.13 y 25 CE; no solo por delimitar una figura (autoconsumo) cuya regulación corresponde al legislador estatal, sino también por exonerar a las instalaciones que califica como aisladas del pago de los cánones y peajes que la Ley del sector eléctrico establece.</w:t>
      </w:r>
    </w:p>
    <w:p w:rsidR="00A90898" w:rsidRDefault="00A90898" w:rsidP="00A90898">
      <w:pPr>
        <w:pStyle w:val="TextoNormal"/>
      </w:pPr>
    </w:p>
    <w:p w:rsidR="00A90898" w:rsidRDefault="00A90898" w:rsidP="00A90898">
      <w:pPr>
        <w:pStyle w:val="TextoNormal"/>
      </w:pPr>
      <w:r>
        <w:t xml:space="preserve">Por su parte, el apartado 2 del art. 20 </w:t>
      </w:r>
      <w:r w:rsidRPr="00A90898">
        <w:rPr>
          <w:i/>
        </w:rPr>
        <w:t>bis</w:t>
      </w:r>
      <w:r>
        <w:t xml:space="preserve"> contradice también la normativa básica estatal, pues es al Estado al que corresponde la definición de las posibles nuevas categorías de instalaciones que sea necesario regular en función de los desarrollos tecnológicos que así lo requieran. En contradicción con ello el precepto impugnado, al referirse a consumos diferidos, pretende justificar —sobre la base de la instalación de sistemas de almacenamiento— un trato para estas “instalaciones de intercambio de energía” distinto del previsto en la Ley del sector eléctrico y en el Real Decreto 900/2015 para las instalaciones de autoconsumo.</w:t>
      </w:r>
    </w:p>
    <w:p w:rsidR="00A90898" w:rsidRDefault="00A90898" w:rsidP="00A90898">
      <w:pPr>
        <w:pStyle w:val="TextoNormal"/>
      </w:pPr>
    </w:p>
    <w:p w:rsidR="00A90898" w:rsidRDefault="00A90898" w:rsidP="00A90898">
      <w:pPr>
        <w:pStyle w:val="TextoNormal"/>
      </w:pPr>
      <w:r>
        <w:t xml:space="preserve">Finalmente, el apartado 3 del art. 20 </w:t>
      </w:r>
      <w:r w:rsidRPr="00A90898">
        <w:rPr>
          <w:i/>
        </w:rPr>
        <w:t>bis</w:t>
      </w:r>
      <w:r>
        <w:t>, sobre la base de esa atribución sustantiva de competencias a la Comunidad Autónoma en los apartados anteriores del precepto, declara la potestad reglamentaria derivada de ello. La Consejería correspondiente fijaría las condiciones técnicas y administrativas que deberán cumplir las instalaciones; lo cual supone, por las mismas razones ya expresadas, la inconstitucionalidad de este apartado. Esa atribución de competencia reglamentaria afecta indebidamente al ámbito objetivo propio del régimen unitario y uniforme que al Estado corresponde regular; como efectivamente lo ha hecho, mediante el citado Real Decreto 900/2015.</w:t>
      </w:r>
    </w:p>
    <w:p w:rsidR="00A90898" w:rsidRDefault="00A90898" w:rsidP="00A90898">
      <w:pPr>
        <w:pStyle w:val="TextoNormal"/>
      </w:pPr>
    </w:p>
    <w:p w:rsidR="00A90898" w:rsidRDefault="00A90898" w:rsidP="00A90898">
      <w:pPr>
        <w:pStyle w:val="TextoNormal"/>
      </w:pPr>
      <w:r>
        <w:t>d) Por todo ello solicita el Abogado del Estado que se dicte Sentencia por la que, con estimación del recurso, se declare inconstitucional y nulo el apartado 12 del artículo único de la Ley 11/2015, de 30 de marzo, de modificación de la Ley 10/2006, de 21 de diciembre, de energías renovables y ahorro y eficiencia energética de la Región de Murcia.</w:t>
      </w:r>
    </w:p>
    <w:p w:rsidR="00A90898" w:rsidRDefault="00A90898" w:rsidP="00A90898">
      <w:pPr>
        <w:pStyle w:val="TextoNormal"/>
      </w:pPr>
    </w:p>
    <w:p w:rsidR="00A90898" w:rsidRDefault="00A90898" w:rsidP="00A90898">
      <w:pPr>
        <w:pStyle w:val="TextoNormal"/>
      </w:pPr>
      <w:r w:rsidRPr="00A90898">
        <w:rPr>
          <w:rStyle w:val="NumeroAFNegritaCaracter"/>
        </w:rPr>
        <w:t>3</w:t>
      </w:r>
      <w:r>
        <w:t>. Por providencia de 19 de enero de 2016, el Pleno, a propuesta de la Sección Segunda, acordó admitir a trámite el recurso de inconstitucionalidad promovido por el Presidente del Gobierno contra el apartado 12 del artículo único de la Ley de la Asamblea Regional de Murcia 11/2015, de 30 de marzo, de modificación de la Ley 10/2006, de 21 de diciembre, de energías renovables y ahorro y eficiencia energética de la Región de Murcia. Igualmente dar traslado de la demanda y documentos presentados, conforme establece el art. 34 de la Ley Orgánica del Tribunal Constitucional (LOTC), al Congreso de los Diputados y al Se</w:t>
      </w:r>
      <w:r>
        <w:lastRenderedPageBreak/>
        <w:t>nado, así como al Gobierno y a la Asamblea Regional de Murcia, por conducto de sus Presidentes respectivos, al objeto de que, en el plazo de 15 días, pudieran personarse en el proceso y formular las alegaciones que estimaren convenientes. Acordó asimismo tener por invocado por el Presidente del Gobierno el art. 161.2 CE, lo que, a su tenor y conforme al art. 30 LOTC, produce la suspensión de la vigencia y aplicación del inciso del precepto impugnado desde la fecha de interposición del recurso (5 de enero de 2016) para las partes del proceso y desde el día en que aparezca publicada la suspensión en el “Boletín Oficial del Estado” para los terceros; ordena en consecuencia la comunicación de la suspensión a los Presidentes del Gobierno y de la Asamblea Regional de Murcia, así como publicar la incoación del recurso en el “Boletín Oficial del Estado” y en el “Boletín Oficial de la Región de Murcia”.</w:t>
      </w:r>
    </w:p>
    <w:p w:rsidR="00A90898" w:rsidRDefault="00A90898" w:rsidP="00A90898">
      <w:pPr>
        <w:pStyle w:val="TextoNormal"/>
      </w:pPr>
    </w:p>
    <w:p w:rsidR="00A90898" w:rsidRDefault="00A90898" w:rsidP="00A90898">
      <w:pPr>
        <w:pStyle w:val="TextoNormal"/>
      </w:pPr>
      <w:r w:rsidRPr="00A90898">
        <w:rPr>
          <w:rStyle w:val="NumeroAFNegritaCaracter"/>
        </w:rPr>
        <w:t>4</w:t>
      </w:r>
      <w:r>
        <w:t>. Con fecha 26 de enero de 2016, el Letrado de la Comunidad Autónoma de la Región de Murcia comparece en el proceso en la representación que legalmente ostenta del Gobierno de dicha Región para que este Tribunal le tenga por personado, al tiempo que solicita una prórroga por ocho días más del plazo concedido para formular sus alegaciones.</w:t>
      </w:r>
    </w:p>
    <w:p w:rsidR="00A90898" w:rsidRDefault="00A90898" w:rsidP="00A90898">
      <w:pPr>
        <w:pStyle w:val="TextoNormal"/>
      </w:pPr>
    </w:p>
    <w:p w:rsidR="00A90898" w:rsidRDefault="00A90898" w:rsidP="00A90898">
      <w:pPr>
        <w:pStyle w:val="TextoNormal"/>
      </w:pPr>
      <w:r w:rsidRPr="00A90898">
        <w:rPr>
          <w:rStyle w:val="NumeroAFNegritaCaracter"/>
        </w:rPr>
        <w:t>5</w:t>
      </w:r>
      <w:r>
        <w:t>. El Pleno del Tribunal, mediante providencia de 27 de enero de 2016, acordó tener por personado al Letrado de la Comunidad Autónoma de la Región de Murcia en nombre de su Consejo de Gobierno y prorrogar en ocho días más el plazo concedido para presentar sus alegaciones.</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escritos registrados en este Tribunal el 29 de enero y el 4 de febrero de 2016, respectivamente, los Presidentes del Senado y del Congreso de los Diputados comunicaron el acuerdo de la Mesa de sus respectivas Cámaras de personarse en el procedimiento y ofrecer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7</w:t>
      </w:r>
      <w:r>
        <w:t>. La Letrada-Secretaria General de la Asamblea Regional de Murcia, por escrito que tuvo entrada en el Registro General de este Tribunal el 5 de febrero de 2016, comunicó el acuerdo de la Mesa de esta Cámara de personarse en el procedimiento, sin formular alegaciones, y ofrecer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8</w:t>
      </w:r>
      <w:r>
        <w:t>. El Letrado de la Comunidad Autónoma de la Región de Murcia presentó sus alegaciones mediante escrito registrado en este Tribunal el 18 de febrero de 2016, en el que solicita la desestimación del recurso de inconstitucionalidad por las razones que siguen.</w:t>
      </w:r>
    </w:p>
    <w:p w:rsidR="00A90898" w:rsidRDefault="00A90898" w:rsidP="00A90898">
      <w:pPr>
        <w:pStyle w:val="TextoNormal"/>
      </w:pPr>
    </w:p>
    <w:p w:rsidR="00A90898" w:rsidRDefault="00A90898" w:rsidP="00A90898">
      <w:pPr>
        <w:pStyle w:val="TextoNormal"/>
      </w:pPr>
      <w:r>
        <w:t xml:space="preserve">a) Comienza señalando que el sector eléctrico es crucial en las economías desarrolladas y que su importancia económica y geoestratégica no ha dejado de crecer con la globalización. Desde el punto de vista jurídico, el sector energético se caracteriza por tres rasgos principales: la incesante adaptación de su regulación, la progresiva liberalización y la influencia del Derecho de la Unión Europea. La modernización de la regulación del sector energético comenzó en España con la Ley 54/1997, de 27 de noviembre, del sector eléctrico y la Ley 34/1988, de 7 de octubre, del sector de hidrocarburos; ambas han sido objeto de numerosas modificaciones desde su entrada en vigor, habiéndose establecido para el primero un nuevo marco normativo por la Ley 24/2013, de 26 de diciembre, del sector eléctrico (LSE). Esta Ley, como normativa básica, halla su amparo competencial en los títulos del </w:t>
      </w:r>
      <w:r>
        <w:lastRenderedPageBreak/>
        <w:t>art. 149.1.13 y 25 CE, a los que hay que añadir el título del art. 149.1.22 CE para los preceptos relativos a la autorización de las instalaciones.</w:t>
      </w:r>
    </w:p>
    <w:p w:rsidR="00A90898" w:rsidRDefault="00A90898" w:rsidP="00A90898">
      <w:pPr>
        <w:pStyle w:val="TextoNormal"/>
      </w:pPr>
    </w:p>
    <w:p w:rsidR="00A90898" w:rsidRDefault="00A90898" w:rsidP="00A90898">
      <w:pPr>
        <w:pStyle w:val="TextoNormal"/>
      </w:pPr>
      <w:r>
        <w:t>b) La normativa básica estatal constituida por la Ley del sector eléctrico responde en síntesis a dos grandes finalidades: la garantía del suministro eléctrico y el establecimiento del régimen económico de dicho sector. Los aspectos relacionados con la continuidad y la calidad del suministro eléctrico constituyen un elemento normativo común necesario para asegurar el principio de garantía del suministro, con la necesaria continuidad y calidad. Las medidas para garantizar el suministro eléctrico son también básicas aunque tengan carácter ejecutivo, siempre que cumplan dos condiciones: de un lado, el Gobierno debe justificar, en cada supuesto en el que haga uso de sus potestades de actuación, el carácter materialmente básico de la medida adoptada; de otro, esta facultad estatal no impide que las Comunidades Autónomas puedan prever, en el marco de sus competencias de desarrollo legislativo y de ejecución en materia energética, la adopción y puesta en práctica de otras medidas que pudieran ser adecuadas para la garantía del suministro eléctrico en cada Comunidad Autónoma. En concreto, la Comunidad Autónoma de la Región de Murcia ostenta, conforme a su Estatuto de Autonomía, competencia exclusiva en materia de instalaciones de producción, distribución y transporte de energía, cuando el transporte no salga de su territorio y su aprovechamiento no afecte a otra Comunidad Autónoma (art. 10.1.28 EARM); le compete también el desarrollo legislativo y ejecución en el marco de la legislación básica del Estado en materia de régimen minero y energético (art. 11.4 EARM).</w:t>
      </w:r>
    </w:p>
    <w:p w:rsidR="00A90898" w:rsidRDefault="00A90898" w:rsidP="00A90898">
      <w:pPr>
        <w:pStyle w:val="TextoNormal"/>
      </w:pPr>
    </w:p>
    <w:p w:rsidR="00A90898" w:rsidRDefault="00A90898" w:rsidP="00A90898">
      <w:pPr>
        <w:pStyle w:val="TextoNormal"/>
      </w:pPr>
      <w:r>
        <w:t xml:space="preserve">c) El recurso de inconstitucionalidad se fundamenta en la vulneración por el art. 20 </w:t>
      </w:r>
      <w:r w:rsidRPr="00A90898">
        <w:rPr>
          <w:i/>
        </w:rPr>
        <w:t>bis</w:t>
      </w:r>
      <w:r>
        <w:t xml:space="preserve"> de la Ley 10/2006 de la normativa básica estatal; constituida por el art. 9 LSE, referido al autoconsumo de energía eléctrica y por el Real Decreto 900/2015, de 9 de octubre, que lo desarrolla. A juicio del Letrado autonómico, de la regulación contenida en el art. 9 LSE cabe fácilmente deducir que la energía eléctrica autoconsumida es aquella que se produce y consume en la propia instalación del consumidor; por tanto, desde la vertiente estrictamente territorial, no existe ningún tipo de duda de que se produce íntegramente en el ámbito de la Comunidad Autónoma. Este hecho es relevante porque, técnicamente, en los sistemas eléctricos tradicionales todos los elementos o componentes —desde las centrales de generación de energía hasta el último de los consumidores finales— estaban conectados; lo que implicaba que se influían mutuamente. Actualmente esto no tiene por qué suceder, puesto que el estado actual de la técnica permite que un consumidor genere energía eléctrica y, en cambio, la red solo reciba el impacto de su consumo.</w:t>
      </w:r>
    </w:p>
    <w:p w:rsidR="00A90898" w:rsidRDefault="00A90898" w:rsidP="00A90898">
      <w:pPr>
        <w:pStyle w:val="TextoNormal"/>
      </w:pPr>
    </w:p>
    <w:p w:rsidR="00A90898" w:rsidRDefault="00A90898" w:rsidP="00A90898">
      <w:pPr>
        <w:pStyle w:val="TextoNormal"/>
      </w:pPr>
      <w:r>
        <w:t xml:space="preserve">Desde la vertiente económica resulta que el autoconsumo, tal como se regula en la Ley del sector eléctrico, tiene un impacto reducido, porque afecta fundamentalmente a la demanda de energía eléctrica. La única influencia que puede provocar el autoconsumo sobre el conjunto del sistema eléctrico es que su existencia reduzca la demanda del consumidor y, en este sentido, no tiene por qué afectar a la economía del sistema eléctrico más que a cualquier otra medida de ahorro energético prevista por la Ley del sector eléctrico. El legislador estatal, a través de la regulación del art. 9 LSE, ha previsto la existencia de este tipo de consumidores —los “autoconsumidores”— y regulado su régimen, pero no cabe atribuirles una relevancia o influencia de gran magnitud que singularice a este tipo de consumidores respecto de cualesquiera otros. En todo caso, las genéricas previsiones de contenido económico contenidas en el art. 9.3 LSE pretenden solo compensar la afectación económica que </w:t>
      </w:r>
      <w:r>
        <w:lastRenderedPageBreak/>
        <w:t>recibe el sistema eléctrico, por otra parte, mínima. Ese impacto económico ínfimo e irrelevante sobre el sector eléctrico en sentido estricto se confirma por el hecho de que, según los datos estadísticos correspondientes al año 2012, publicados por el propio Ministerio de Industria, Energía y Turismo, el autoconsumo no llega al 1,5 por 100 del total de la energía eléctrica consumida en España. Por todo ello, entiende el Letrado autonómico que debe rechazarse la incidencia del título competencial del art. 149.1.13 CE en este ámbito.</w:t>
      </w:r>
    </w:p>
    <w:p w:rsidR="00A90898" w:rsidRDefault="00A90898" w:rsidP="00A90898">
      <w:pPr>
        <w:pStyle w:val="TextoNormal"/>
      </w:pPr>
    </w:p>
    <w:p w:rsidR="00A90898" w:rsidRDefault="00A90898" w:rsidP="00A90898">
      <w:pPr>
        <w:pStyle w:val="TextoNormal"/>
      </w:pPr>
      <w:r>
        <w:t>Tampoco la regulación estatal podría ampararse en el título competencial previsto en el art. 149.1.25 CE, pues la normativa básica no puede vaciar de contenido la competencia autonómica en materia de energía (art. 10.1.28 EARM). Tal vaciamiento se produciría porque el art. 9 LSE regula la energía eléctrica producida y consumida en la propia instalación del consumidor, esto es, íntegramente en el territorio de la Comunidad Autónoma; por lo que el Estado no podría hacer valer tampoco el título del art. 149.1.22 CE. Además, por lo que se refiere específicamente al art. 9.4 LSE, que establece la obligación de los consumidores acogidos a la modalidad de autoconsumo de inscribirse en un registro administrativo estatal, el precepto sería inconstitucional porque el autoconsumo se realiza en el ámbito territorial autonómico y “la autorización y registro estatales no constituyen actuaciones imprescindibles para asegurar el cumplimiento de la normativa básica” (STC 223/2000, de 21 de septiembre, FJ 12, en relación con el Real Decreto 1085/1992, por el que se aprueba el reglamento de la actividad de distribución de gases licuados del petróleo).</w:t>
      </w:r>
    </w:p>
    <w:p w:rsidR="00A90898" w:rsidRDefault="00A90898" w:rsidP="00A90898">
      <w:pPr>
        <w:pStyle w:val="TextoNormal"/>
      </w:pPr>
    </w:p>
    <w:p w:rsidR="00A90898" w:rsidRDefault="00A90898" w:rsidP="00A90898">
      <w:pPr>
        <w:pStyle w:val="TextoNormal"/>
      </w:pPr>
      <w:r>
        <w:t xml:space="preserve">En suma, no es el art. 20 </w:t>
      </w:r>
      <w:r w:rsidRPr="00A90898">
        <w:rPr>
          <w:i/>
        </w:rPr>
        <w:t>bis</w:t>
      </w:r>
      <w:r>
        <w:t xml:space="preserve"> de la Ley 10/2006 el que vulnera el reparto competencial constitucionalmente establecido en materia de sector eléctrico, sino la regulación estatal del autoconsumo, contenida en el art. 9 LSE (y en el Real Decreto 900/2015, que lo desarrolla). El Letrado autonómico niega su carácter básico, señalando que sobre este precepto penden las impugnaciones contenidas en tres recursos de inconstitucionalidad, interpuestos por el Gobierno y el Parlamento de Cataluña (núms. 1908-2014 y 1820-2014, respectivamente) y por la Junta de Andalucía (núm. 5819-2014).</w:t>
      </w:r>
    </w:p>
    <w:p w:rsidR="00A90898" w:rsidRDefault="00A90898" w:rsidP="00A90898">
      <w:pPr>
        <w:pStyle w:val="TextoNormal"/>
      </w:pPr>
    </w:p>
    <w:p w:rsidR="00A90898" w:rsidRDefault="00A90898" w:rsidP="00A90898">
      <w:pPr>
        <w:pStyle w:val="TextoNormal"/>
      </w:pPr>
      <w:r>
        <w:t>d) Tanto la Ley 10/2006, de energías renovables y ahorro y eficiencia energética de la Región de Murcia, como la Ley 11/2015, que la modifica, se dictan al amparo del art. 10.1.28 EARM, en cuya virtud corresponde a la Región de Murcia el ejercicio de la competencia exclusiva en materia de “instalaciones de producción, distribución y transporte de energía, cuando el transporte no salga de su territorio y su aprovechamiento no afecte a otra Comunidad Autónoma. Todo ello sin perjuicio de lo dispuesto en los números 22 y 25 del artículo 149.1 de la Constitución”. Dicha competencia comprende la potestad legislativa, la reglamentaria y la función ejecutiva, que se ejercerán respetando, en todo caso, lo dispuesto en la Constitución (art. 10.2 EARM); a lo que debe añadirse, para los aspectos medioambientales, la competencia autonómica de desarrollo legislativo y ejecución en materia de normas adicionales de protección del medio ambiente, en el marco de la legislación básica del Estado y, en su caso, en los términos que la misma establezca (art. 11.3 EARM).</w:t>
      </w:r>
    </w:p>
    <w:p w:rsidR="00A90898" w:rsidRDefault="00A90898" w:rsidP="00A90898">
      <w:pPr>
        <w:pStyle w:val="TextoNormal"/>
      </w:pPr>
    </w:p>
    <w:p w:rsidR="00A90898" w:rsidRDefault="00A90898" w:rsidP="00A90898">
      <w:pPr>
        <w:pStyle w:val="TextoNormal"/>
      </w:pPr>
      <w:r>
        <w:t xml:space="preserve">En el ejercicio de esos títulos competenciales, la Ley 11/2015, mediante la adición de un art. 20 </w:t>
      </w:r>
      <w:r w:rsidRPr="00A90898">
        <w:rPr>
          <w:i/>
        </w:rPr>
        <w:t>bis</w:t>
      </w:r>
      <w:r>
        <w:t xml:space="preserve"> a la Ley 10/2006, busca dar respuesta a las exigencias de reducir significativamente la dependencia energética externa y aumentar la diversificación, mediante el aprovechamiento de las fuentes de energía renovable a través de instalaciones generadoras de pe</w:t>
      </w:r>
      <w:r>
        <w:lastRenderedPageBreak/>
        <w:t>queña y mediana potencia, minorando con ello la factura energética y aumentando la competitividad de las pequeñas y medianas empresas gracias a la mejora de la eficiencia en el uso de la energía.</w:t>
      </w:r>
    </w:p>
    <w:p w:rsidR="00A90898" w:rsidRDefault="00A90898" w:rsidP="00A90898">
      <w:pPr>
        <w:pStyle w:val="TextoNormal"/>
      </w:pPr>
    </w:p>
    <w:p w:rsidR="00A90898" w:rsidRDefault="00A90898" w:rsidP="00A90898">
      <w:pPr>
        <w:pStyle w:val="TextoNormal"/>
      </w:pPr>
      <w:r>
        <w:t xml:space="preserve">Es cierto que el art. 20 </w:t>
      </w:r>
      <w:r w:rsidRPr="00A90898">
        <w:rPr>
          <w:i/>
        </w:rPr>
        <w:t>bis</w:t>
      </w:r>
      <w:r>
        <w:t xml:space="preserve"> de la Ley 10/2006 viene a reconocer el carácter aislado del sistema eléctrico de las instalaciones para el aprovechamiento de fuentes de energía renovables cuya finalidad sea la producción de energía eléctrica para el autoconsumo; pero dicho reconocimiento no es incondicionado, sino que se supedita al cumplimiento de sendos requisitos: i) acreditar el consumo de la totalidad de la energía producida; y ii) ausencia de conexión con la red del sistema eléctrico.</w:t>
      </w:r>
    </w:p>
    <w:p w:rsidR="00A90898" w:rsidRDefault="00A90898" w:rsidP="00A90898">
      <w:pPr>
        <w:pStyle w:val="TextoNormal"/>
      </w:pPr>
    </w:p>
    <w:p w:rsidR="00A90898" w:rsidRDefault="00A90898" w:rsidP="00A90898">
      <w:pPr>
        <w:pStyle w:val="TextoNormal"/>
      </w:pPr>
      <w:r>
        <w:t xml:space="preserve">La acreditación del consumo de la totalidad de la energía producida, para que una instalación pueda ser considerada como instalación aislada, implica la ausencia de vertido a la red y, por consiguiente, de contraprestación económica alguna. Por tanto, nada establece el artículo 20 </w:t>
      </w:r>
      <w:r w:rsidRPr="00A90898">
        <w:rPr>
          <w:i/>
        </w:rPr>
        <w:t>bis</w:t>
      </w:r>
      <w:r>
        <w:t xml:space="preserve"> que afecte al régimen económico de las que califica como “instalaciones de intercambio de energía”, previstas para el consumo instantáneo o diferido. De haber alguna contraprestación, la Ley 10/2006 solo la contempla en términos energéticos, lo que estaría en consonancia con el concepto de balance horario o “vertido horario” establecido en la normativa estatal: saldo neto horario de energía eléctrica generada por una instalación de generación conectada a la red interior de un consumidor y vertida al sistema eléctrico. Por otra parte, permite la Ley 10/2006 que la ausencia de conexión a la red pueda acreditarse bien mediante su aislamiento físico, bien por medios técnicos que produzcan un efecto equivalente. Qué ha de entenderse por aislamiento físico no entraña ninguna dificultad. En cuanto a los “medios técnicos” que permiten el aislamiento de la instalación de producción respecto de la red eléctrica y que equivalen al aislamiento físico, su existencia aparece reconocida en el art. 7.2 del Real Decreto 900/2015, cuando se refiere a los consumidores que acrediten contar con “un dispositivo que impida el vertido instantáneo de energía a la red de distribución”.</w:t>
      </w:r>
    </w:p>
    <w:p w:rsidR="00A90898" w:rsidRDefault="00A90898" w:rsidP="00A90898">
      <w:pPr>
        <w:pStyle w:val="TextoNormal"/>
      </w:pPr>
    </w:p>
    <w:p w:rsidR="00A90898" w:rsidRDefault="00A90898" w:rsidP="00A90898">
      <w:pPr>
        <w:pStyle w:val="TextoNormal"/>
      </w:pPr>
      <w:r>
        <w:t xml:space="preserve">La previsión del apartado 1 del art. 20 </w:t>
      </w:r>
      <w:r w:rsidRPr="00A90898">
        <w:rPr>
          <w:i/>
        </w:rPr>
        <w:t>bis</w:t>
      </w:r>
      <w:r>
        <w:t xml:space="preserve"> de la Ley 10/2006 no viene sino a reconocer la existencia de medios técnicos que, por hacer posible la desconexión material o física de la instalación de producción eléctrica del consumidor respecto de la red de transporte o distribución, permiten atribuir a la instalación la condición de aislada; atribución que puede realizar el legislador autonómico en virtud del criterio de territorialidad que concurre en las instalaciones de producción eléctrica destinadas al autoconsumo. Este principio, consagrado en el art. 10.1.28 EARM, sirve de fundamento también a la potestad reglamentaria prevista en el apartado 3 del artículo 20 </w:t>
      </w:r>
      <w:r w:rsidRPr="00A90898">
        <w:rPr>
          <w:i/>
        </w:rPr>
        <w:t>bi</w:t>
      </w:r>
      <w:r>
        <w:t>s de la Ley 10/2006.</w:t>
      </w:r>
    </w:p>
    <w:p w:rsidR="00A90898" w:rsidRDefault="00A90898" w:rsidP="00A90898">
      <w:pPr>
        <w:pStyle w:val="TextoNormal"/>
      </w:pPr>
    </w:p>
    <w:p w:rsidR="00A90898" w:rsidRDefault="00A90898" w:rsidP="00A90898">
      <w:pPr>
        <w:pStyle w:val="TextoNormal"/>
      </w:pPr>
      <w:r>
        <w:t xml:space="preserve">e) Por último, en contestación al alegato del recurso referido a que la definición del art. 20 </w:t>
      </w:r>
      <w:r w:rsidRPr="00A90898">
        <w:rPr>
          <w:i/>
        </w:rPr>
        <w:t>bis</w:t>
      </w:r>
      <w:r>
        <w:t xml:space="preserve"> de la Ley 10/2006 pretende evitar el pago de los peajes o cargos que se establezcan por el Estado (actualmente en el Real Decreto 900/2015), señala el Letrado autonómico que, conforme a reiterada doctrina constitucional, la posición jurídica de los ciudadanos puede ser diferente en las distintas partes del territorio nacional, puesto que el principio de igualdad de todos los españoles no puede ser entendido como una “uniforme y monolítica uniformidad del ordenamiento”, resultando por el contrario constitucionalmente compatibles la unidad económica y la diversidad jurídica que deriva del sistema autonómico (STC 88/1986, FJ 6).</w:t>
      </w:r>
    </w:p>
    <w:p w:rsidR="00A90898" w:rsidRDefault="00A90898" w:rsidP="00A90898">
      <w:pPr>
        <w:pStyle w:val="TextoNormal"/>
      </w:pPr>
    </w:p>
    <w:p w:rsidR="00A90898" w:rsidRDefault="00A90898" w:rsidP="00A90898">
      <w:pPr>
        <w:pStyle w:val="TextoNormal"/>
      </w:pPr>
      <w:r>
        <w:lastRenderedPageBreak/>
        <w:t>La Comunidad Autónoma de la Región de Murcia, en su legítimo interés de regular el desarrollo de las instalaciones de generación eléctrica renovable, consideró oportuno regular el marco legal de dichas instalaciones, concretando, a falta de la aprobación de la correspondiente regulación estatal, lo que creía que debería definir una instalación generadora de energía eléctrica a partir de fuentes de energía renovables; en particular las de tecnología solar fotovoltaica de pequeña potencia previstas para el consumo instantáneo o diferido en las modalidades de autoconsumo. Esta regulación no contraviene la legislación básica estatal ni en su aspecto técnico ni en el económico, por cuanto no estipula gravámenes, precios, formas de medida o requisitos para la conexión a la red. Además, la radiación solar no es un bien demanial, por lo que su disfrute no puede ni debe ser objeto de “tributación”, como no puede serlo tampoco el aprovechamiento del agua de lluvia o del viento, de modo que el disfrute de la energía eléctrica obtenida por la transformación de la radiación solar mediante captadores fotovoltaicos, sin mediar transacción mercantil, no debe ser objeto de gravamen.</w:t>
      </w:r>
    </w:p>
    <w:p w:rsidR="00A90898" w:rsidRDefault="00A90898" w:rsidP="00A90898">
      <w:pPr>
        <w:pStyle w:val="TextoNormal"/>
      </w:pPr>
    </w:p>
    <w:p w:rsidR="00A90898" w:rsidRDefault="00A90898" w:rsidP="00A90898">
      <w:pPr>
        <w:pStyle w:val="TextoNormal"/>
      </w:pPr>
      <w:r w:rsidRPr="00A90898">
        <w:rPr>
          <w:rStyle w:val="NumeroAFNegritaCaracter"/>
        </w:rPr>
        <w:t>9</w:t>
      </w:r>
      <w:r>
        <w:t>. Mediante providencia de 3 de marzo de 2016, el Pleno del Tribunal acordó dar traslado a las partes por cinco días para alegaciones sobre el mantenimiento o levantamiento de la suspensión del precepto impugnado, acordada inicialmente al amparo del art. 161.2 CE.</w:t>
      </w:r>
    </w:p>
    <w:p w:rsidR="00A90898" w:rsidRDefault="00A90898" w:rsidP="00A90898">
      <w:pPr>
        <w:pStyle w:val="TextoNormal"/>
      </w:pPr>
    </w:p>
    <w:p w:rsidR="00A90898" w:rsidRDefault="00A90898" w:rsidP="00A90898">
      <w:pPr>
        <w:pStyle w:val="TextoNormal"/>
      </w:pPr>
      <w:r w:rsidRPr="00A90898">
        <w:rPr>
          <w:rStyle w:val="NumeroAFNegritaCaracter"/>
        </w:rPr>
        <w:t>10</w:t>
      </w:r>
      <w:r>
        <w:t>. Evacuado por el Abogado del Estado y por el Letrado de la Comunidad Autónoma de la Región de Murcia el traslado conferido, mediante ATC 105/2016, de 10 de mayo, el Pleno del Tribunal acordó levantar la suspensión del precepto legal impugnado.</w:t>
      </w:r>
    </w:p>
    <w:p w:rsidR="00A90898" w:rsidRDefault="00A90898" w:rsidP="00A90898">
      <w:pPr>
        <w:pStyle w:val="TextoNormal"/>
      </w:pPr>
    </w:p>
    <w:p w:rsidR="00A90898" w:rsidRDefault="00A90898" w:rsidP="00A90898">
      <w:pPr>
        <w:pStyle w:val="TextoNormal"/>
      </w:pPr>
      <w:r w:rsidRPr="00A90898">
        <w:rPr>
          <w:rStyle w:val="NumeroAFNegritaCaracter"/>
        </w:rPr>
        <w:t>11</w:t>
      </w:r>
      <w:r>
        <w:t>. Mediante providencia de 29 de noviembre de 2016, se señaló para deliberación y votación de la presente Sentencia el día 1 de diciembre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presente recurso de inconstitucionalidad ha sido promovido por el Presidente del Gobierno contra el apartado 12 del artículo único de la Ley de la Asamblea Regional de Murcia 11/2015, de 30 de marzo, de modificación de la Ley 10/2006, de 21 de diciembre, de energías renovables y ahorro y eficiencia energética de la Región de Murcia. El precepto impugnado añade a la citada Ley 10/2006 un nuevo art. 20 </w:t>
      </w:r>
      <w:r w:rsidRPr="00A90898">
        <w:rPr>
          <w:i/>
        </w:rPr>
        <w:t>bis</w:t>
      </w:r>
      <w:r>
        <w:t>, que ha quedado reproducido en los antecedentes de esta resolución.</w:t>
      </w:r>
    </w:p>
    <w:p w:rsidR="00A90898" w:rsidRDefault="00A90898" w:rsidP="00A90898">
      <w:pPr>
        <w:pStyle w:val="TextoNormal"/>
      </w:pPr>
    </w:p>
    <w:p w:rsidR="00A90898" w:rsidRDefault="00A90898" w:rsidP="00A90898">
      <w:pPr>
        <w:pStyle w:val="TextoNormal"/>
      </w:pPr>
      <w:r>
        <w:t xml:space="preserve">En su apartado 1, el art. 20 </w:t>
      </w:r>
      <w:r w:rsidRPr="00A90898">
        <w:rPr>
          <w:i/>
        </w:rPr>
        <w:t>bis</w:t>
      </w:r>
      <w:r>
        <w:t xml:space="preserve"> de la Ley 10/2006, añadido por el apartado 12 del artículo único de la Ley 11/2015, permite considerar como “instalaciones aisladas”, y por tanto exentas del pago de peajes al sistema eléctrico, a las instalaciones de autoconsumo previstas para el aprovechamiento de fuentes de energía renovables, “sobre las que quede acreditado el consumo de la totalidad de la energía producida, así como la ausencia de conexión eléctrica con la red del sistema eléctrico, bien mediante el aislamiento físico o bien mediante medios técnicos que produzcan un efecto equivalente”.</w:t>
      </w:r>
    </w:p>
    <w:p w:rsidR="00A90898" w:rsidRDefault="00A90898" w:rsidP="00A90898">
      <w:pPr>
        <w:pStyle w:val="TextoNormal"/>
      </w:pPr>
    </w:p>
    <w:p w:rsidR="00A90898" w:rsidRDefault="00A90898" w:rsidP="00A90898">
      <w:pPr>
        <w:pStyle w:val="TextoNormal"/>
      </w:pPr>
      <w:r>
        <w:t xml:space="preserve">En su apartado 2, el art. 20 </w:t>
      </w:r>
      <w:r w:rsidRPr="00A90898">
        <w:rPr>
          <w:i/>
        </w:rPr>
        <w:t>bis</w:t>
      </w:r>
      <w:r>
        <w:t xml:space="preserve"> de la Ley 10/2006 contempla la nueva figura de las “instalaciones de intercambio de energía”. Considera como tales las instalaciones generadoras de energía eléctrica a partir de fuentes de energía renovables (en particular las de tecnología solar fotovoltaica de pequeña potencia), “previstas para el consumo instantáneo o diferido </w:t>
      </w:r>
      <w:r>
        <w:lastRenderedPageBreak/>
        <w:t>en las modalidades de autoconsumo reguladas en la Ley 24/2013, de 26 de diciembre, del Sector Eléctrico”. Determina asimismo que la cesión de energía producida por estas instalaciones no llevará aparejada contraprestación económica alguna al sistema eléctrico.</w:t>
      </w:r>
    </w:p>
    <w:p w:rsidR="00A90898" w:rsidRDefault="00A90898" w:rsidP="00A90898">
      <w:pPr>
        <w:pStyle w:val="TextoNormal"/>
      </w:pPr>
    </w:p>
    <w:p w:rsidR="00A90898" w:rsidRDefault="00A90898" w:rsidP="00A90898">
      <w:pPr>
        <w:pStyle w:val="TextoNormal"/>
      </w:pPr>
      <w:r>
        <w:t xml:space="preserve">Finalmente, el apartado 3 del art. 20 </w:t>
      </w:r>
      <w:r w:rsidRPr="00A90898">
        <w:rPr>
          <w:i/>
        </w:rPr>
        <w:t>bis</w:t>
      </w:r>
      <w:r>
        <w:t xml:space="preserve"> de la Ley 10/2006 remite a una orden de la Consejería competente del Gobierno murciano la definición de las condiciones técnicas y administrativas que deben cumplir las instalaciones para ser consideradas como “aisladas del sistema eléctrico” o “de intercambio de energía”.</w:t>
      </w:r>
    </w:p>
    <w:p w:rsidR="00A90898" w:rsidRDefault="00A90898" w:rsidP="00A90898">
      <w:pPr>
        <w:pStyle w:val="TextoNormal"/>
      </w:pPr>
    </w:p>
    <w:p w:rsidR="00A90898" w:rsidRDefault="00A90898" w:rsidP="00A90898">
      <w:pPr>
        <w:pStyle w:val="TextoNormal"/>
      </w:pPr>
      <w:r>
        <w:t>Como se ha expuesto en los antecedentes, el Abogado del Estado sostiene que el precepto impugnado incurre en inconstitucionalidad mediata, al suponer una extralimitación normativa respecto de la regulación básica estatal, dictada al amparo de los títulos competenciales que atribuyen al Estado competencia exclusiva en materia energética (art. 149.1.13 y 25 CE), y contenida en el art. 9 de la Ley 24/2013, de 26 de diciembre, del sector eléctrico (LSE). Su desarrollo reglamentario lo lleva a cabo el Real Decreto 900/2015, de 9 de octubre, por el que se regulan las condiciones administrativas, técnicas y económicas de las modalidades de suministro de energía eléctrica con autoconsumo y de producción con autoconsumo. Las alusiones explícitas en el precepto impugnado a la Ley del sector eléctrico y a las condiciones establecidas por el Gobierno para la venta de energía autoconsumida no subsanan el vicio de inconstitucionalidad que se denuncia, pues si se analizan los efectos constitutivos materiales de la norma autonómica, según se razona en el escrito de recurso, resultan incompatibles con la normativa estatal básica.</w:t>
      </w:r>
    </w:p>
    <w:p w:rsidR="00A90898" w:rsidRDefault="00A90898" w:rsidP="00A90898">
      <w:pPr>
        <w:pStyle w:val="TextoNormal"/>
      </w:pPr>
    </w:p>
    <w:p w:rsidR="00A90898" w:rsidRDefault="00A90898" w:rsidP="00A90898">
      <w:pPr>
        <w:pStyle w:val="TextoNormal"/>
      </w:pPr>
      <w:r>
        <w:t xml:space="preserve">Por su parte, el Letrado de la Comunidad Autónoma de la Región de Murcia considera que el art. 20 </w:t>
      </w:r>
      <w:r w:rsidRPr="00A90898">
        <w:rPr>
          <w:i/>
        </w:rPr>
        <w:t>bis</w:t>
      </w:r>
      <w:r>
        <w:t xml:space="preserve"> de la Ley de la Asamblea Regional de Murcia 10/2006, añadido por el apartado 12 del artículo único de la Ley 11/2015, no incurre en infracción alguna de las competencias estatales en materia energética, habiendo sido dictado por la Comunidad Autónoma en el legítimo ejercicio de las competencias que ostenta en esta materia conforme a su Estatuto de Autonomía (EARM). En realidad, es la regulación estatal del autoconsumo contenida en el art. 9 LSE (y en el Real Decreto 900/2015, que lo desarrolla) la que no puede encontrar acomodo en los títulos competenciales en materia energética del art. 149.1.13 y 25 CE. Por ello solicita la desestimación del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Puesto que del examen de la demanda se deduce con claridad que nos encontramos ante un recurso de inconstitucionalidad de carácter exclusivamente competencial, debemos comenzar por efectuar el encuadramiento del precepto controvertido en el orden constitucional de distribución de competencias, debiendo señalar al respecto que nos hallamos en el ámbito material de la energía; en particular, en el sector eléctrico. De hecho, tratándose de la materia “energía eléctrica” las partes no discrepan en los títulos competenciales que consideran de aplicación para la resolución del presente proceso constitucional, sino en su alcance en relación con el precepto impugnado. Mientras el Abogado del Estado sostiene que el art. 20 </w:t>
      </w:r>
      <w:r w:rsidRPr="00A90898">
        <w:rPr>
          <w:i/>
        </w:rPr>
        <w:t>bis</w:t>
      </w:r>
      <w:r>
        <w:t xml:space="preserve"> de la Ley de la Asamblea Regional de Murcia 10/2006 incurre en inconstitucionalidad mediata, al contradecir de manera insalvable la regulación básica estatal, contenida fundamentalmente en el art. 9 LSE, el Letrado de la Comunidad Autónoma de la Región de Murcia entiende que es el Estado el que ha incurrido en su regulación del autoconsumo de energía eléctrica en una extralimitación en el ejercicio de sus competencias básicas en la materia.</w:t>
      </w:r>
    </w:p>
    <w:p w:rsidR="00A90898" w:rsidRDefault="00A90898" w:rsidP="00A90898">
      <w:pPr>
        <w:pStyle w:val="TextoNormal"/>
      </w:pPr>
    </w:p>
    <w:p w:rsidR="00A90898" w:rsidRDefault="00A90898" w:rsidP="00A90898">
      <w:pPr>
        <w:pStyle w:val="TextoNormal"/>
      </w:pPr>
      <w:r>
        <w:lastRenderedPageBreak/>
        <w:t>Así pues, los títulos competenciales estatales que preferentemente debemos tomar en consideración son los establecidos en las reglas 13 (“bases y coordinación de la planificación general de la actividad económica”) y 25 (“bases del régimen … energético”) del art. 149.1 CE, invocados ambos expresamente en la disposición final segunda LSE.</w:t>
      </w:r>
    </w:p>
    <w:p w:rsidR="00A90898" w:rsidRDefault="00A90898" w:rsidP="00A90898">
      <w:pPr>
        <w:pStyle w:val="TextoNormal"/>
      </w:pPr>
    </w:p>
    <w:p w:rsidR="00A90898" w:rsidRDefault="00A90898" w:rsidP="00A90898">
      <w:pPr>
        <w:pStyle w:val="TextoNormal"/>
      </w:pPr>
      <w:r>
        <w:t>Respecto al alcance de ambos títulos competenciales no debe olvidarse que el sector eléctrico constituye, como recuerdan las SSTC 18/2011, de 3 de marzo, FJ 6 c); 135/2012, de 19 de junio, FFJJ 2 y 4, y 4/2013, de 17 de enero, FJ 2, un sector estratégico para el funcionamiento de cualquier sociedad moderna. Representa por sí mismo una parte muy importante dentro del conjunto de la economía nacional y, además, es clave como factor de producción esencial para la práctica totalidad de los restantes sectores económicos; condiciona de manera determinante en muchos casos su competitividad, sin olvidar que es indispensable para la vida cotidiana de los ciudadanos. Estas circunstancias justifican que el Estado pueda intervenir en la ordenación del sector eléctrico, tanto a través del título general relativo a la planificación general de la economía (art. 149.1.13 CE) como mediante el más específico relativo al sector energético (art. 149.1.25 CE), “teniendo en cuenta que, tal como hemos recordado en la STC 18/2011, de 3 de marzo, el Estado está habilitado para dictar normas básicas que regulen el funcionamiento del sector eléctrico en un entorno liberalizado si bien, como toda normativa básica, esas normas han de cumplir determinadas exigencias de índole material y formal” (STC 4/2013, FJ 2). A esos títulos cabe añadir, en su caso, la competencia estatal prevista en el art. 149.1.22 CE: “autorización de las instalaciones eléctricas cuando su aprovechamiento afecte a otra Comunidad Autónoma o el transporte de energía salga de su ámbito territorial”.</w:t>
      </w:r>
    </w:p>
    <w:p w:rsidR="00A90898" w:rsidRDefault="00A90898" w:rsidP="00A90898">
      <w:pPr>
        <w:pStyle w:val="TextoNormal"/>
      </w:pPr>
    </w:p>
    <w:p w:rsidR="00A90898" w:rsidRDefault="00A90898" w:rsidP="00A90898">
      <w:pPr>
        <w:pStyle w:val="TextoNormal"/>
      </w:pPr>
      <w:r>
        <w:t xml:space="preserve">Por lo que se refiere a las competencias autonómicas, dichos títulos han de ser puestos en relación con el art. 10.1.28 EARM, que atribuye a la Comunidad Autónoma de la Región de Murcia “la competencia exclusiva en materia de instalaciones de producción, distribución y transporte de energía, cuando el transporte no salga de su territorio y su aprovechamiento no afecte a otra Comunidad Autónoma … sin perjuicio de lo establecido en los números 22 y 25 del apartado 1 del art. 149 de la Constitución”; competencia que comprende “la potestad legislativa, la potestad reglamentaria y la función ejecutiva, que se ejercerán respetando, en todo caso, lo dispuesto en la Constitución” (art. 10.2 EARM). Conviene advertir que, como ya tenemos establecido (por todas, STC 31/2010, de 28 de junio, FJ 59), la proclamada exclusividad de la competencia autonómica no impide el ejercicio de las competencias del Estado </w:t>
      </w:r>
      <w:r w:rsidRPr="00A90898">
        <w:rPr>
          <w:i/>
        </w:rPr>
        <w:t>ex</w:t>
      </w:r>
      <w:r>
        <w:t xml:space="preserve"> art. 149.1 CE. Asimismo, a la Comunidad Autónoma de la Región de Murcia le corresponden las competencias de desarrollo legislativo y ejecución en materia de “régimen minero y energético”, en el marco de la legislación básica del Estado y en los términos que la misma establezca (art. 11.4 EARM).</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Determinado así el encuadramiento competencial, la cuestión que se suscita en el presente proceso es, por tanto, si el art. 20 </w:t>
      </w:r>
      <w:r w:rsidRPr="00A90898">
        <w:rPr>
          <w:i/>
        </w:rPr>
        <w:t>bis</w:t>
      </w:r>
      <w:r>
        <w:t xml:space="preserve"> de la Ley de la Asamblea Regional de Murcia 10/2006, añadido por el apartado 12 del artículo único de la Ley 11/2015, puede ser entendido como un precepto compatible con lo previsto en la legislación básica en materia de autoconsumo de energía eléctrica, contenida en el art. 9 LSE; o si, por el contrario, ha de considerarse que no respeta tal normativa básica, resultando entonces el precepto impugnado lesivo del orden constitucional de distribución de competencias y por ello inconstitucional y nulo.</w:t>
      </w:r>
    </w:p>
    <w:p w:rsidR="00A90898" w:rsidRDefault="00A90898" w:rsidP="00A90898">
      <w:pPr>
        <w:pStyle w:val="TextoNormal"/>
      </w:pPr>
    </w:p>
    <w:p w:rsidR="00A90898" w:rsidRDefault="00A90898" w:rsidP="00A90898">
      <w:pPr>
        <w:pStyle w:val="TextoNormal"/>
      </w:pPr>
      <w:r>
        <w:lastRenderedPageBreak/>
        <w:t xml:space="preserve">Al fundamentarse la impugnación del art. 20 </w:t>
      </w:r>
      <w:r w:rsidRPr="00A90898">
        <w:rPr>
          <w:i/>
        </w:rPr>
        <w:t>bis</w:t>
      </w:r>
      <w:r>
        <w:t xml:space="preserve"> de la Ley 10/2006, por la Ley 11/2015, en su inconstitucionalidad mediata o indirecta, lo primero que hay que analizar es si la norma estatal, que el Abogado del Estado reputa infringida por la ley autonómica, es una norma básica en el doble sentido material y formal y, por tanto, dictada legítimamente al amparo de los correspondientes títulos competenciales que la Constitución ha reservado al Estado. En segundo lugar, constatar si la contradicción entre ambas normas, estatal y autonómica, es efectiva e insalvable por vía interpretativa (SSTC 151/1992, de 19 de octubre, FJ 1; 166/2002, de 18 de septiembre, FJ 3; 4/2013, de 17 de enero, FJ 3; 219/2013, de 19 de diciembre, FJ 4; 106/2014, de 24 de junio, FJ 5; 200/2015, de 24 de septiembre, FJ 4, y 88/2016, de 28 de abril, FJ 3, por todas).</w:t>
      </w:r>
    </w:p>
    <w:p w:rsidR="00A90898" w:rsidRDefault="00A90898" w:rsidP="00A90898">
      <w:pPr>
        <w:pStyle w:val="TextoNormal"/>
      </w:pPr>
    </w:p>
    <w:p w:rsidR="00A90898" w:rsidRDefault="00A90898" w:rsidP="00A90898">
      <w:pPr>
        <w:pStyle w:val="TextoNormal"/>
      </w:pPr>
      <w:r>
        <w:t xml:space="preserve">Conforme a lo expuesto resulta preciso determinar si el art. 9 LSE tiene el carácter de norma básica y, en consecuencia, susceptible de constituirse en parámetro de enjuiciamiento del art. 20 </w:t>
      </w:r>
      <w:r w:rsidRPr="00A90898">
        <w:rPr>
          <w:i/>
        </w:rPr>
        <w:t>bis</w:t>
      </w:r>
      <w:r>
        <w:t xml:space="preserve"> de la Ley de la Asamblea Regional de Murcia 10/2006 (añadido por el apartado 12 del artículo único de la Ley 11/2015), para valorar su adecuación al orden constitucional de competencias.</w:t>
      </w:r>
    </w:p>
    <w:p w:rsidR="00A90898" w:rsidRDefault="00A90898" w:rsidP="00A90898">
      <w:pPr>
        <w:pStyle w:val="TextoNormal"/>
      </w:pPr>
    </w:p>
    <w:p w:rsidR="00A90898" w:rsidRDefault="00A90898" w:rsidP="00A90898">
      <w:pPr>
        <w:pStyle w:val="TextoNormal"/>
      </w:pPr>
      <w:r>
        <w:t>El art. 9 LSE (modificado en su apartado 3 por el art. 6 del Real Decreto-ley 9/2015, de 10 de julio, al que añade el párrafo final), que regula el “autoconsumo de energía eléctrica”, dispone lo siguiente:</w:t>
      </w:r>
    </w:p>
    <w:p w:rsidR="00A90898" w:rsidRDefault="00A90898" w:rsidP="00A90898">
      <w:pPr>
        <w:pStyle w:val="TextoNormal"/>
      </w:pPr>
    </w:p>
    <w:p w:rsidR="00A90898" w:rsidRDefault="00A90898" w:rsidP="00A90898">
      <w:pPr>
        <w:pStyle w:val="TextoNormal"/>
      </w:pPr>
      <w:r>
        <w:t>“1. A los efectos de esta ley, se entenderá por autoconsumo el consumo de energía eléctrica proveniente de instalaciones de generación conectadas en el interior de una red de un consumidor o a través de una línea directa de energía eléctrica asociadas a un consumidor.</w:t>
      </w:r>
    </w:p>
    <w:p w:rsidR="00A90898" w:rsidRDefault="00A90898" w:rsidP="00A90898">
      <w:pPr>
        <w:pStyle w:val="TextoNormal"/>
      </w:pPr>
    </w:p>
    <w:p w:rsidR="00A90898" w:rsidRDefault="00A90898" w:rsidP="00A90898">
      <w:pPr>
        <w:pStyle w:val="TextoNormal"/>
      </w:pPr>
      <w:r>
        <w:t>Se distinguen las siguientes modalidades de autoconsumo:</w:t>
      </w:r>
    </w:p>
    <w:p w:rsidR="00A90898" w:rsidRDefault="00A90898" w:rsidP="00A90898">
      <w:pPr>
        <w:pStyle w:val="TextoNormal"/>
      </w:pPr>
    </w:p>
    <w:p w:rsidR="00A90898" w:rsidRDefault="00A90898" w:rsidP="00A90898">
      <w:pPr>
        <w:pStyle w:val="TextoNormal"/>
      </w:pPr>
      <w:r>
        <w:t>a) Modalidades de suministro con autoconsumo. Cuando se trate de un consumidor que dispusiera de una instalación de generación, destinada al consumo propio, conectada en el interior de la red de su punto de suministro y que no estuviera dada de alta en el correspondiente registro como instalación de producción. En este caso existirá un único sujeto de los previstos en el artículo 6, que será el sujeto consumidor.</w:t>
      </w:r>
    </w:p>
    <w:p w:rsidR="00A90898" w:rsidRDefault="00A90898" w:rsidP="00A90898">
      <w:pPr>
        <w:pStyle w:val="TextoNormal"/>
      </w:pPr>
    </w:p>
    <w:p w:rsidR="00A90898" w:rsidRDefault="00A90898" w:rsidP="00A90898">
      <w:pPr>
        <w:pStyle w:val="TextoNormal"/>
      </w:pPr>
      <w:r>
        <w:t>b) Modalidades de producción con autoconsumo. Cuando se trate de un consumidor asociado a una instalación de producción debidamente inscrita en el registro administrativo de instalaciones de producción de energía eléctrica conectada en el interior de su red. En este caso existirán dos sujetos de los previstos en el artículo 6, el sujeto consumidor y el productor.</w:t>
      </w:r>
    </w:p>
    <w:p w:rsidR="00A90898" w:rsidRDefault="00A90898" w:rsidP="00A90898">
      <w:pPr>
        <w:pStyle w:val="TextoNormal"/>
      </w:pPr>
    </w:p>
    <w:p w:rsidR="00A90898" w:rsidRDefault="00A90898" w:rsidP="00A90898">
      <w:pPr>
        <w:pStyle w:val="TextoNormal"/>
      </w:pPr>
      <w:r>
        <w:t>c) Modalidades de producción con autoconsumo de un consumidor conectado a través de una línea directa con una instalación de producción. Cuando se trate de un consumidor asociado a una instalación de producción debidamente inscrita en el registro administrativo de instalaciones de producción de energía eléctrica a la que estuviera conectado a través de una línea directa. En este caso existirán dos sujetos de los previstos en el artículo 6, el sujeto consumidor y el productor.</w:t>
      </w:r>
    </w:p>
    <w:p w:rsidR="00A90898" w:rsidRDefault="00A90898" w:rsidP="00A90898">
      <w:pPr>
        <w:pStyle w:val="TextoNormal"/>
      </w:pPr>
    </w:p>
    <w:p w:rsidR="00A90898" w:rsidRDefault="00A90898" w:rsidP="00A90898">
      <w:pPr>
        <w:pStyle w:val="TextoNormal"/>
      </w:pPr>
      <w:r>
        <w:t>d) Cualquier otra modalidad de consumo de energía eléctrica proveniente de una instalación de generación de energía eléctrica asociada a un consumidor.</w:t>
      </w:r>
    </w:p>
    <w:p w:rsidR="00A90898" w:rsidRDefault="00A90898" w:rsidP="00A90898">
      <w:pPr>
        <w:pStyle w:val="TextoNormal"/>
      </w:pPr>
    </w:p>
    <w:p w:rsidR="00A90898" w:rsidRDefault="00A90898" w:rsidP="00A90898">
      <w:pPr>
        <w:pStyle w:val="TextoNormal"/>
      </w:pPr>
      <w:r>
        <w:t>2. En el caso en que la instalación de producción de energía eléctrica o de consumo esté conectada total o parcialmente al sistema eléctrico, los titulares de ambas estarán sujetos a las obligaciones y derechos previstos en la presente ley y en su normativa de desarrollo.</w:t>
      </w:r>
    </w:p>
    <w:p w:rsidR="00A90898" w:rsidRDefault="00A90898" w:rsidP="00A90898">
      <w:pPr>
        <w:pStyle w:val="TextoNormal"/>
      </w:pPr>
    </w:p>
    <w:p w:rsidR="00A90898" w:rsidRDefault="00A90898" w:rsidP="00A90898">
      <w:pPr>
        <w:pStyle w:val="TextoNormal"/>
      </w:pPr>
      <w:r>
        <w:t>3. Todos los consumidores sujetos a cualquier modalidad de autoconsumo tendrán la obligación de contribuir a los costes y servicios del sistema por la energía autoconsumida, cuando la instalación de generación o de consumo esté conectada total o parcialmente al sistema eléctrico.</w:t>
      </w:r>
    </w:p>
    <w:p w:rsidR="00A90898" w:rsidRDefault="00A90898" w:rsidP="00A90898">
      <w:pPr>
        <w:pStyle w:val="TextoNormal"/>
      </w:pPr>
    </w:p>
    <w:p w:rsidR="00A90898" w:rsidRDefault="00A90898" w:rsidP="00A90898">
      <w:pPr>
        <w:pStyle w:val="TextoNormal"/>
      </w:pPr>
      <w:r>
        <w:t>Para ello estarán obligados a pagar los mismos peajes de acceso a las redes, cargos asociados a los costes del sistema y costes para la provisión de los servicios de respaldo del sistema que correspondan a un consumidor no sujeto a ninguna de las modalidades de autoconsumo descritas en el apartado anterior.</w:t>
      </w:r>
    </w:p>
    <w:p w:rsidR="00A90898" w:rsidRDefault="00A90898" w:rsidP="00A90898">
      <w:pPr>
        <w:pStyle w:val="TextoNormal"/>
      </w:pPr>
    </w:p>
    <w:p w:rsidR="00A90898" w:rsidRDefault="00A90898" w:rsidP="00A90898">
      <w:pPr>
        <w:pStyle w:val="TextoNormal"/>
      </w:pPr>
      <w:r>
        <w:t>El Gobierno podrá establecer reglamentariamente reducciones en dichos peajes, cargos y costes en los sistemas no peninsulares, cuando las modalidades de autoconsumo supongan una reducción de los costes de dichos sistemas.</w:t>
      </w:r>
    </w:p>
    <w:p w:rsidR="00A90898" w:rsidRDefault="00A90898" w:rsidP="00A90898">
      <w:pPr>
        <w:pStyle w:val="TextoNormal"/>
      </w:pPr>
    </w:p>
    <w:p w:rsidR="00A90898" w:rsidRDefault="00A90898" w:rsidP="00A90898">
      <w:pPr>
        <w:pStyle w:val="TextoNormal"/>
      </w:pPr>
      <w:r>
        <w:t>Asimismo, de forma excepcional y siempre que se garantice la seguridad y la sostenibilidad económica y financiera del sistema, con las condiciones que el Gobierno regule, se podrán establecer reducciones de peajes, cargos y costes para determinadas categorías de consumidores de baja tensión de la modalidad de suministro con autoconsumo. En todo caso, tanto la potencia máxima contratada de consumo como la instalada de generación no serán superiores a 10 kW.</w:t>
      </w:r>
    </w:p>
    <w:p w:rsidR="00A90898" w:rsidRDefault="00A90898" w:rsidP="00A90898">
      <w:pPr>
        <w:pStyle w:val="TextoNormal"/>
      </w:pPr>
    </w:p>
    <w:p w:rsidR="00A90898" w:rsidRDefault="00A90898" w:rsidP="00A90898">
      <w:pPr>
        <w:pStyle w:val="TextoNormal"/>
      </w:pPr>
      <w:r>
        <w:t>4. Los consumidores acogidos a las modalidades de autoconsumo de energía eléctrica tendrán la obligación de inscribirse en el registro administrativo de autoconsumo de energía eléctrica, creado a tal efecto en el Ministerio de Industria, Energía y Turismo.</w:t>
      </w:r>
    </w:p>
    <w:p w:rsidR="00A90898" w:rsidRDefault="00A90898" w:rsidP="00A90898">
      <w:pPr>
        <w:pStyle w:val="TextoNormal"/>
      </w:pPr>
    </w:p>
    <w:p w:rsidR="00A90898" w:rsidRDefault="00A90898" w:rsidP="00A90898">
      <w:pPr>
        <w:pStyle w:val="TextoNormal"/>
      </w:pPr>
      <w:r>
        <w:t>Reglamentariamente, previa audiencia de las Comunidades Autónomas y Ciudades de Ceuta y Melilla, se establecerá por el Gobierno la organización, así como el procedimiento de inscripción y comunicación de datos al registro administrativo de autoconsumo de energía eléctrica.</w:t>
      </w:r>
    </w:p>
    <w:p w:rsidR="00A90898" w:rsidRDefault="00A90898" w:rsidP="00A90898">
      <w:pPr>
        <w:pStyle w:val="TextoNormal"/>
      </w:pPr>
    </w:p>
    <w:p w:rsidR="00A90898" w:rsidRDefault="00A90898" w:rsidP="00A90898">
      <w:pPr>
        <w:pStyle w:val="TextoNormal"/>
      </w:pPr>
      <w:r>
        <w:t>5. El Gobierno establecerá las condiciones administrativas y técnicas para la conexión a la red de las instalaciones con autoconsumo.</w:t>
      </w:r>
    </w:p>
    <w:p w:rsidR="00A90898" w:rsidRDefault="00A90898" w:rsidP="00A90898">
      <w:pPr>
        <w:pStyle w:val="TextoNormal"/>
      </w:pPr>
    </w:p>
    <w:p w:rsidR="00A90898" w:rsidRDefault="00A90898" w:rsidP="00A90898">
      <w:pPr>
        <w:pStyle w:val="TextoNormal"/>
      </w:pPr>
      <w:r>
        <w:t>Asimismo el Gobierno establecerá las condiciones económicas para que las instalaciones de la modalidad b) de producción con autoconsumo vendan al sistema la energía no autoconsumida.”</w:t>
      </w:r>
    </w:p>
    <w:p w:rsidR="00A90898" w:rsidRDefault="00A90898" w:rsidP="00A90898">
      <w:pPr>
        <w:pStyle w:val="TextoNormal"/>
      </w:pPr>
    </w:p>
    <w:p w:rsidR="00A90898" w:rsidRDefault="00A90898" w:rsidP="00A90898">
      <w:pPr>
        <w:pStyle w:val="TextoNormal"/>
      </w:pPr>
      <w:r>
        <w:t xml:space="preserve">En suma, el art. 9 LSE se refiere al concepto, a las modalidades de autoconsumo, al desarrollo reglamentario de las condiciones administrativas y técnicas para la conexión de las instalaciones de autoconsumo a la red eléctrica y de las condiciones económicas para verter la energía no autoconsumida a la red, así como a las obligaciones y derechos que derivan de la conexión para dichos consumidores y a la obligatoria inscripción en el registro administrativo de autoconsumo. La regulación del régimen jurídico del autoconsumo de </w:t>
      </w:r>
      <w:r>
        <w:lastRenderedPageBreak/>
        <w:t>energía eléctrica constituye una de las novedades principales de la vigente Ley del sector eléctrico, que tuvo para ello en cuenta, como señala en su preámbulo, que “el desarrollo del autoconsumo como fuente alternativa de generación de electricidad al margen del sistema eléctrico requiere la regulación de una actividad que no tenía hasta la fecha un marco legal y reglamentario específico”; por ello, “la ley tiene por finalidad garantizar un desarrollo ordenado de la actividad, compatible con la necesidad de garantizar la sostenibilidad técnica y económica del sistema eléctrico en su conjunto. En este sentido, el articulado de la ley establece la obligación de las instalaciones de autoconsumo de contribuir a la financiación de los costes y servicios del sistema en la misma cuantía que el resto de los consumidores”.</w:t>
      </w:r>
    </w:p>
    <w:p w:rsidR="00A90898" w:rsidRDefault="00A90898" w:rsidP="00A90898">
      <w:pPr>
        <w:pStyle w:val="TextoNormal"/>
      </w:pPr>
    </w:p>
    <w:p w:rsidR="00A90898" w:rsidRDefault="00A90898" w:rsidP="00A90898">
      <w:pPr>
        <w:pStyle w:val="TextoNormal"/>
      </w:pPr>
      <w:r>
        <w:t xml:space="preserve">En primer lugar cabe pues señalar que el art. 9 LSE cumple con los requisitos formales que nuestra doctrina ha exigido a la legislación básica, puesto que se trata de un precepto de rango legal declarado básico </w:t>
      </w:r>
      <w:r w:rsidRPr="00A90898">
        <w:rPr>
          <w:i/>
        </w:rPr>
        <w:t>ex</w:t>
      </w:r>
      <w:r>
        <w:t xml:space="preserve"> art. 149.1.13 y 25 CE en virtud de la disposición final segunda de la Ley del sector eléctrico.</w:t>
      </w:r>
    </w:p>
    <w:p w:rsidR="00A90898" w:rsidRDefault="00A90898" w:rsidP="00A90898">
      <w:pPr>
        <w:pStyle w:val="TextoNormal"/>
      </w:pPr>
    </w:p>
    <w:p w:rsidR="00A90898" w:rsidRDefault="00A90898" w:rsidP="00A90898">
      <w:pPr>
        <w:pStyle w:val="TextoNormal"/>
      </w:pPr>
      <w:r>
        <w:t>Por otro lado, desde la perspectiva o dimensión material, se constata que en el planteamiento del Letrado de la Comunidad Autónoma de la Región de Murcia para rechazar que el art. 9 LSE sea básico late una cierta confusión entre las competencias en materia de autorización de instalaciones eléctricas, al enfatizar que la energía autoconsumida se produce y consume íntegramente en el ámbito territorial de la Comunidad Autónoma (a las que se refieren tanto el art. 149.1.22 CE como el art. 10.1.28 EARM), con las competencias estatales para el establecimiento de las bases del sector eléctrico que derivan del art. 149.1.25 CE y que delimitan el alcance de la competencia autonómica. Conviene advertir que, como ya hemos señalado en las SSTC 60/2016, de 17 de marzo, FJ 3, y 72/2016, de 14 de abril, FJ 3, se aprecia que el contenido del art. 9 LSE no desborda el concepto material de bases que se define en la STC 32/2016, de 18 de febrero, FJ 4, con cita a su vez de doctrina precedente al respecto.</w:t>
      </w:r>
    </w:p>
    <w:p w:rsidR="00A90898" w:rsidRDefault="00A90898" w:rsidP="00A90898">
      <w:pPr>
        <w:pStyle w:val="TextoNormal"/>
      </w:pPr>
    </w:p>
    <w:p w:rsidR="00A90898" w:rsidRDefault="00A90898" w:rsidP="00A90898">
      <w:pPr>
        <w:pStyle w:val="TextoNormal"/>
      </w:pPr>
      <w:r>
        <w:t>La regulación del autoconsumo de energía eléctrica contenida en el art. 9 LSE “persigue integrar este modo de producción y consumo de electricidad en el sistema eléctrico, así como prever el establecimiento por vía reglamentaria de un régimen económico de las distintas modalidades de autoconsumo, determinando la contribución de la energía autoconsumida a la cobertura de los costes y servicios del sistema eléctrico. Por un lado, define el régimen básico de la actividad de uno de los sujetos que interviene en el sistema eléctrico, definición que ha de responder a unas características homogéneas en un sistema que opera de forma única para todo el territorio nacional; por otro, establece una serie de criterios generales respecto al régimen económico aplicable al mismo, extremos ambos que tienen por finalidad garantizar un desarrollo ordenado de la actividad compatible con la sostenibilidad económica y técnica del sistema en su conjunto que es uno de los objetivos fundamentales de la Ley del sector eléctrico. Se trata de una cuestión que se sitúa en el ámbito de la ordenación básica de las actividades de suministro de energía eléctrica y del establecimiento de su régimen económico, para lo que los títulos de los arts. 149.1.13 y 25 CE proporcionan fundamento competencial adecuado” (SSTC 60/2016, FJ 3, y 72/2016, FJ 3).</w:t>
      </w:r>
    </w:p>
    <w:p w:rsidR="00A90898" w:rsidRDefault="00A90898" w:rsidP="00A90898">
      <w:pPr>
        <w:pStyle w:val="TextoNormal"/>
      </w:pPr>
    </w:p>
    <w:p w:rsidR="00A90898" w:rsidRDefault="00A90898" w:rsidP="00A90898">
      <w:pPr>
        <w:pStyle w:val="TextoNormal"/>
      </w:pPr>
      <w:r>
        <w:t>En consecuencia, el alegato en el que el representante legal de la Comunidad Autónoma de la Región de Murcia funda su rechazo al carácter materialmente básico del art. 9 LSE, en su integridad, debe ser desestimado.</w:t>
      </w:r>
    </w:p>
    <w:p w:rsidR="00A90898" w:rsidRDefault="00A90898" w:rsidP="00A90898">
      <w:pPr>
        <w:pStyle w:val="TextoNormal"/>
      </w:pPr>
    </w:p>
    <w:p w:rsidR="00A90898" w:rsidRDefault="00A90898" w:rsidP="00A90898">
      <w:pPr>
        <w:pStyle w:val="TextoNormal"/>
      </w:pPr>
      <w:r>
        <w:lastRenderedPageBreak/>
        <w:t>Ha de descartarse asimismo la tacha específica que el Letrado de la Comunidad Autónoma de la Región de Murcia dirige al art. 9.4 LSE, relativo al registro administrativo de autoconsumo de energía eléctrica. Niega su carácter básico porque entiende que, como el autoconsumo se realiza en el ámbito territorial autonómico, el registro estatal no constituye actuación imprescindible para asegurar el cumplimiento de la normativa básica. Como ya se dijo en la STC 32/2016, FJ 6:</w:t>
      </w:r>
    </w:p>
    <w:p w:rsidR="00A90898" w:rsidRDefault="00A90898" w:rsidP="00A90898">
      <w:pPr>
        <w:pStyle w:val="TextoNormal"/>
      </w:pPr>
    </w:p>
    <w:p w:rsidR="00A90898" w:rsidRDefault="00A90898" w:rsidP="00A90898">
      <w:pPr>
        <w:pStyle w:val="TextoNormal"/>
      </w:pPr>
      <w:r>
        <w:t>“[H]emos de partir de nuestra doctrina en materia de registros administrativos, recordada recientemente en la STC 45/2015, de 5 de marzo, FJ 6 a), de la que se deduce que ‘sin olvidar las diferencias entre unas y otras materias desde los diferentes criterios de distribución competencial’, ‘es constitucionalmente posible la creación de un Registro único para todo el Estado que garantice la centralización de todos los datos a los estrictos efectos de información y publicidad’ (SSTC 197/1996, de 28 de noviembre, FJ 12, y 11/2015, de 5 de febrero, FJ 6). También este Tribunal ha señalado (STC 85/2015, de 30 de abril, FJ 5, con cita de otras)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w:t>
      </w:r>
    </w:p>
    <w:p w:rsidR="00A90898" w:rsidRDefault="00A90898" w:rsidP="00A90898">
      <w:pPr>
        <w:pStyle w:val="TextoNormal"/>
      </w:pPr>
    </w:p>
    <w:p w:rsidR="00A90898" w:rsidRDefault="00A90898" w:rsidP="00A90898">
      <w:pPr>
        <w:pStyle w:val="TextoNormal"/>
      </w:pPr>
      <w:r>
        <w:t>Sin embargo, la disposición controvertida no incurre en esa vulneración competencial, ya que se limita a crear un registro único en relación con los consumidores acogidos a las modalidades de autoconsumo de energía eléctrica, quedando diferido a un posterior desarrollo reglamentario las cuestiones relativas a la organización, así como el procedimiento de inscripción y comunicación de datos en relación con el registro estatal. Atendiendo a las competencias estatales en la materia, la mera creación del registro administrativo de autoconsumo de energía eléctrica, único contenido del precepto impugnado, no ha invadido las competencias autonómicas, sin perjuicio de señalar que el uso que ha hecho el Gobierno de la remisión al reglamento (Real Decreto 900/2015, de 9 de octubre, por el que se regulan las condiciones administrativas, técnicas y económicas de las modalidades de suministro de energía eléctrica con autoconsumo y de producción con autoconsumo) pueda, en su caso, ser objeto del correspondiente control, por las vías procedimentales apropiadas, ante este Tribunal o ante la jurisdicción ordinaria” (STC 32/2016, FJ 6, cuya doctrina reiteran las SSTC 60/2016, FJ 3, y 72/2016, FJ 3).</w:t>
      </w:r>
    </w:p>
    <w:p w:rsidR="00A90898" w:rsidRDefault="00A90898" w:rsidP="00A90898">
      <w:pPr>
        <w:pStyle w:val="TextoNormal"/>
      </w:pPr>
    </w:p>
    <w:p w:rsidR="00A90898" w:rsidRDefault="00A90898" w:rsidP="00A90898">
      <w:pPr>
        <w:pStyle w:val="TextoNormal"/>
      </w:pPr>
      <w:r>
        <w:t>Asimismo ha de afirmarse de manera específica el carácter básico, en su dimensión material, del art. 9.5 LSE, relativo a la determinación reglamentaria de las condiciones administrativas y técnicas para la conexión a la red de las instalaciones con autoconsumo, “pues, como se desprende de su propio tenor, se trata de una materia técnica en la que, conforme a la doctrina sobre el carácter material de las bases en el sector eléctrico que antes se ha recogido, resulta posible la colaboración reglamentaria” (STC 32/2016, FJ 6).</w:t>
      </w:r>
    </w:p>
    <w:p w:rsidR="00A90898" w:rsidRDefault="00A90898" w:rsidP="00A90898">
      <w:pPr>
        <w:pStyle w:val="TextoNormal"/>
      </w:pPr>
    </w:p>
    <w:p w:rsidR="00A90898" w:rsidRDefault="00A90898" w:rsidP="00A90898">
      <w:pPr>
        <w:pStyle w:val="TextoNormal"/>
      </w:pPr>
      <w:r>
        <w:t>En definitiva, ha de concluirse que el art. 9 LSE tiene carácter básico en sentido material.</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Constatado que la regulación del autoconsumo de energía eléctrica que contiene el art. 9 LSE es formal y materialmente básica, conforme a la doctrina de este Tribunal (SSTC </w:t>
      </w:r>
      <w:r>
        <w:lastRenderedPageBreak/>
        <w:t>32/2016, FJ 6; 60/2016, FJ 3, y 72/2016, FJ 3), es claro que el precepto autonómico impugnado sería inconstitucional si resultase contradictorio con aquella norma básica de un modo insalvable por vía interpretativa.</w:t>
      </w:r>
    </w:p>
    <w:p w:rsidR="00A90898" w:rsidRDefault="00A90898" w:rsidP="00A90898">
      <w:pPr>
        <w:pStyle w:val="TextoNormal"/>
      </w:pPr>
    </w:p>
    <w:p w:rsidR="00A90898" w:rsidRDefault="00A90898" w:rsidP="00A90898">
      <w:pPr>
        <w:pStyle w:val="TextoNormal"/>
      </w:pPr>
      <w:r>
        <w:t xml:space="preserve">a) Como se ha visto, el apartado 1 del art. 20 </w:t>
      </w:r>
      <w:r w:rsidRPr="00A90898">
        <w:rPr>
          <w:i/>
        </w:rPr>
        <w:t>bis</w:t>
      </w:r>
      <w:r>
        <w:t xml:space="preserve"> de la Ley de la Asamblea Regional de Murcia 10/2006, añadido por el apartado 12 del artículo único de la Ley 11/2015, otorga la consideración de “instalaciones aisladas” (y por tanto exentas del pago de peajes al sistema eléctrico), a las instalaciones de autoconsumo previstas para el aprovechamiento de fuentes de energía renovables, en las que se acredite el “consumo de la totalidad de la energía producida” y “la ausencia de conexión con la red del sistema eléctrico, bien mediante el aislamiento físico o bien mediante medios técnicos que produzcan un efecto equivalente”. En suma, el precepto autonómico procede a otorgar el carácter de “instalaciones aisladas” a las instalaciones de autoconsumo que define, con el objeto de evitar a estas instalaciones el pago de los peajes o cargos al sistema eléctrico.</w:t>
      </w:r>
    </w:p>
    <w:p w:rsidR="00A90898" w:rsidRDefault="00A90898" w:rsidP="00A90898">
      <w:pPr>
        <w:pStyle w:val="TextoNormal"/>
      </w:pPr>
    </w:p>
    <w:p w:rsidR="00A90898" w:rsidRDefault="00A90898" w:rsidP="00A90898">
      <w:pPr>
        <w:pStyle w:val="TextoNormal"/>
      </w:pPr>
      <w:r>
        <w:t>Por su parte, el art. 9.1 LSE establece con carácter básico que se entiende por autoconsumo “el consumo de energía eléctrica proveniente de instalaciones de generación conectadas en el interior de una red de un consumidor o a través de una línea directa de energía eléctrica asociadas a un consumidor”. A su vez el art. 9.5 LSE, cuyo carácter básico también hemos confirmado específicamente (STC 32/2016, FJ 6), determina que “el Gobierno establecerá las condiciones administrativas y técnicas para la conexión a la red de las instalaciones con autoconsumo”, lo que efectivamente ha llevado a cabo mediante el citado Real Decreto 900/2015. Por tanto, conforme a la normativa básica, solo el Gobierno puede determinar reglamentariamente las condiciones de conexión a la red de las instalaciones con autoconsumo; no una ley autonómica estableciendo las suyas propias. En tal sentido la STC 120/2016, de 23 de junio, FJ 3 c), recuerda que “en el caso de la ordenación del sector eléctrico la intervención de la norma reglamentaria, amparada tanto en el título general relativo a la planificación de la economía (art. 149.1.13 CE) como en el más específico relativo al sector energético (art. 149.1.25 CE), se justifica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00A90898" w:rsidRDefault="00A90898" w:rsidP="00A90898">
      <w:pPr>
        <w:pStyle w:val="TextoNormal"/>
      </w:pPr>
    </w:p>
    <w:p w:rsidR="00A90898" w:rsidRDefault="00A90898" w:rsidP="00A90898">
      <w:pPr>
        <w:pStyle w:val="TextoNormal"/>
      </w:pPr>
      <w:r>
        <w:t>Por otra parte, el art. 9.5 LSE también habilita al Gobierno para establecer las condiciones económicas para que las instalaciones de producción con autoconsumo vendan al sistema la energía no autoconsumida, habilitación igualmente básica en cuanto atañe al régimen económico del sector eléctrico, que es un segmento específico y diferenciado dentro de la propia materia “régimen energético”, cuyo establecimiento, dada su trascendencia, corresponde al Estado (STC 4/2013, de 17 de enero, FJ 10, con cita de la STC 18/2011, de 3 de marzo, FFJJ 8 y 21) al ser necesaria esa regulación para calcular la retribución de los distintos operadores que realizan las diferentes actividades destinadas al suministro eléctrico y para repercutir los costes sobre los consumidores.</w:t>
      </w:r>
    </w:p>
    <w:p w:rsidR="00A90898" w:rsidRDefault="00A90898" w:rsidP="00A90898">
      <w:pPr>
        <w:pStyle w:val="TextoNormal"/>
      </w:pPr>
    </w:p>
    <w:p w:rsidR="00A90898" w:rsidRDefault="00A90898" w:rsidP="00A90898">
      <w:pPr>
        <w:pStyle w:val="TextoNormal"/>
      </w:pPr>
      <w:r>
        <w:t xml:space="preserve">En definitiva, la remisión de la Ley del sector eléctrico (art. 9.5) al reglamento no resulta contraria al orden constitucional de distribución de competencias, sin perjuicio de que esa </w:t>
      </w:r>
      <w:r>
        <w:lastRenderedPageBreak/>
        <w:t>regulación reglamentaria (Real Decreto 900/2015) sea susceptible de control por las vías oportunas, como también precisa la citada STC 32/2016, FJ 6. Ha de señalarse en tal sentido que sobre el Real Decreto 900/2015 se ha trabado el conflicto positivo de competencias núm. 574-2016, interpuesto por el Gobierno de la Generalitat de Cataluña.</w:t>
      </w:r>
    </w:p>
    <w:p w:rsidR="00A90898" w:rsidRDefault="00A90898" w:rsidP="00A90898">
      <w:pPr>
        <w:pStyle w:val="TextoNormal"/>
      </w:pPr>
    </w:p>
    <w:p w:rsidR="00A90898" w:rsidRDefault="00A90898" w:rsidP="00A90898">
      <w:pPr>
        <w:pStyle w:val="TextoNormal"/>
      </w:pPr>
      <w:r>
        <w:t>Cumplidas esas condiciones de conexión a la red que señala el art. 9 LSE, las instalaciones de autoconsumo de energía eléctrica deberán contribuir a la cobertura de los costes y servicios del sistema eléctrico por la energía consumida, al igual que están obligados a hacerlo el resto de sujetos del sistema, en los términos que se establezcan reglamentariamente por el Gobierno (regulación que se contiene en el Real Decreto 900/2015). Así lo determina, igualmente con carácter básico, el art. 9.3 LSE: “Todos los consumidores sujetos a cualquier modalidad de autoconsumo tendrán la obligación de contribuir a los costes y servicios del sistema por la energía autoconsumida, cuando la instalación de generación o de consumo esté conectada total o parcialmente al sistema eléctrico. Para ello estarán obligados a pagar los mismos peajes de acceso a las redes, cargos asociados a los costes del sistema y costes para la provisión de los servicios de respaldo del sistema que correspondan a un consumidor no sujeto a ninguna de las modalidades de autoconsumo” (enunciadas en el art. 9.1 LSE).</w:t>
      </w:r>
    </w:p>
    <w:p w:rsidR="00A90898" w:rsidRDefault="00A90898" w:rsidP="00A90898">
      <w:pPr>
        <w:pStyle w:val="TextoNormal"/>
      </w:pPr>
    </w:p>
    <w:p w:rsidR="00A90898" w:rsidRDefault="00A90898" w:rsidP="00A90898">
      <w:pPr>
        <w:pStyle w:val="TextoNormal"/>
      </w:pPr>
      <w:r>
        <w:t xml:space="preserve">El apartado 1 del art. 20 </w:t>
      </w:r>
      <w:r w:rsidRPr="00A90898">
        <w:rPr>
          <w:i/>
        </w:rPr>
        <w:t>bis</w:t>
      </w:r>
      <w:r>
        <w:t xml:space="preserve"> de la Ley de la Asamblea Regional de Murcia 10/2006 considera como instalaciones “aisladas” (y por tanto exentas del pago de peajes al sistema eléctrico) las de autoconsumo para el aprovechamiento de fuentes de energía renovables “sobre las que quede acreditado el consumo de la totalidad de la energía producida, así como la ausencia de conexión eléctrica con la red del sistema eléctrico, bien mediante el aislamiento físico o bien mediante medios técnicos que produzcan un efecto equivalente”. Esta regulación contradice la normativa básica (art. 9 LSE) dictada por el Estado al amparo de sus competencias exclusivas para la ordenación básica de las actividades de suministro de energía eléctrica y del establecimiento de su régimen económico (art. 149.1.25 y 13 CE), pues la norma autonómica procede a delimitar la figura del autoconsumo de energía eléctrica, cuya regulación corresponde al legislador estatal, por tratarse de una cuestión que se sitúa “en el ámbito de la ordenación básica de las actividades de suministro de energía eléctrica y del establecimiento de su régimen económico” (SSTC 60/2016, FJ 3, y 72/2016, FJ 3). La definición legal de lo que deba entenderse por “aislamiento” o “instalación aislada”, o la regulación de los requisitos para exonerar, en su caso, a tales instalaciones de la obligación de contribuir a los costes y servicios del sistema eléctrico por la energía autoconsumida, son cuestiones cuya determinación corresponde al Estado y no a las Comunidades Autónomas; al igual que tampoco corresponde a estas la creación (y definición) de nuevas categorías o modalidades de instalaciones de autoconsumo distintas de las previstas con carácter básico en la enumeración taxativa del art. 9.1 LSE, exceso competencial en el que incurre la norma impugnada.</w:t>
      </w:r>
    </w:p>
    <w:p w:rsidR="00A90898" w:rsidRDefault="00A90898" w:rsidP="00A90898">
      <w:pPr>
        <w:pStyle w:val="TextoNormal"/>
      </w:pPr>
    </w:p>
    <w:p w:rsidR="00A90898" w:rsidRDefault="00A90898" w:rsidP="00A90898">
      <w:pPr>
        <w:pStyle w:val="TextoNormal"/>
      </w:pPr>
      <w:r>
        <w:t xml:space="preserve">En suma, el apartado 1 del art. 20 </w:t>
      </w:r>
      <w:r w:rsidRPr="00A90898">
        <w:rPr>
          <w:i/>
        </w:rPr>
        <w:t>bis</w:t>
      </w:r>
      <w:r>
        <w:t xml:space="preserve"> de la Ley de la Asamblea Regional de Murcia 10/2006, añadido por el apartado 12 del artículo único de la Ley 11/2015, contradice de manera efectiva e insalvable la normativa básica contenida en el art. 9 LSE, lo que determina su inconstitucionalidad y nulidad, por invadir la competencia exclusiva del Estado para establecer la legislación básica en materia de régimen energético (art. 149.1.25 CE), así como en materia de ordenación general de la economía (art. 149.1.13 CE).</w:t>
      </w:r>
    </w:p>
    <w:p w:rsidR="00A90898" w:rsidRDefault="00A90898" w:rsidP="00A90898">
      <w:pPr>
        <w:pStyle w:val="TextoNormal"/>
      </w:pPr>
    </w:p>
    <w:p w:rsidR="00A90898" w:rsidRDefault="00A90898" w:rsidP="00A90898">
      <w:pPr>
        <w:pStyle w:val="TextoNormal"/>
      </w:pPr>
      <w:r>
        <w:lastRenderedPageBreak/>
        <w:t xml:space="preserve">b) El apartado 2 del art. 20 </w:t>
      </w:r>
      <w:r w:rsidRPr="00A90898">
        <w:rPr>
          <w:i/>
        </w:rPr>
        <w:t>bis</w:t>
      </w:r>
      <w:r>
        <w:t xml:space="preserve"> de la Ley 10/2006, añadido por el apartado 12 del artículo único de la Ley 11/2015, crea, en primer lugar, la categoría de las “instalaciones de intercambio de energía”; considerando como tales “las instalaciones generadoras de energía eléctrica a partir de fuentes de energía renovables, y en particular las de tecnología solar fotovoltaica de pequeña potencia, previstas para el consumo instantáneo o diferido en las modalidades de autoconsumo reguladas en la Ley 24/2013, de 26 de diciembre, del Sector Eléctrico”. En segundo lugar, determina que “la cesión de energía producida por estas instalaciones al sistema eléctrico no llevará aparejada contraprestación económica alguna”, correspondiendo a la Consejería competente establecer “las compensaciones por dicha cesión, en términos energéticos, sin perjuicio del cumplimiento de las condiciones económicas establecidas por el Gobierno para la venta de energía no autoconsumida”.</w:t>
      </w:r>
    </w:p>
    <w:p w:rsidR="00A90898" w:rsidRDefault="00A90898" w:rsidP="00A90898">
      <w:pPr>
        <w:pStyle w:val="TextoNormal"/>
      </w:pPr>
    </w:p>
    <w:p w:rsidR="00A90898" w:rsidRDefault="00A90898" w:rsidP="00A90898">
      <w:pPr>
        <w:pStyle w:val="TextoNormal"/>
      </w:pPr>
      <w:r>
        <w:t xml:space="preserve">El apartado 2 del art. 20 </w:t>
      </w:r>
      <w:r w:rsidRPr="00A90898">
        <w:rPr>
          <w:i/>
        </w:rPr>
        <w:t>bis</w:t>
      </w:r>
      <w:r>
        <w:t xml:space="preserve"> de la Ley 10/2006 contradice también de manera efectiva e insalvable la normativa básica (art. 9 LSE), pues es al Estado al que corresponde, de conformidad con sus competencias para la ordenación básica de las actividades de suministro de energía eléctrica (art. 149.1.25 CE) y del establecimiento de su régimen económico (art. 149.1.13 CE), la definición y regulación de las posibles nuevas categorías o modalidades de instalaciones de autoconsumo de energía eléctrica que sea necesario establecer, en su caso, cuando los desarrollos tecnológicos así lo requieran. Como ya hemos señalado, la regulación del autoconsumo de energía eléctrica contenida en el art. 9 LSE “por un lado, define el régimen básico de la actividad de uno de los sujetos que interviene en el sistema eléctrico, definición que ha de responder a unas características homogéneas en un sistema que opera de forma única para todo el territorio nacional, y, por otro, establece una serie de criterios generales respecto al régimen económico aplicable al mismo, extremos ambos que tienen por finalidad garantizar un desarrollo ordenado de la actividad compatible con la sostenibilidad económica y técnica del sistema en su conjunto, uno de los objetivos fundamentales de la LSE” (SSTC 60/2016, FJ 3, y 72/2016, FJ 3).</w:t>
      </w:r>
    </w:p>
    <w:p w:rsidR="00A90898" w:rsidRDefault="00A90898" w:rsidP="00A90898">
      <w:pPr>
        <w:pStyle w:val="TextoNormal"/>
      </w:pPr>
    </w:p>
    <w:p w:rsidR="00A90898" w:rsidRDefault="00A90898" w:rsidP="00A90898">
      <w:pPr>
        <w:pStyle w:val="TextoNormal"/>
      </w:pPr>
      <w:r>
        <w:t>En contradicción con la normativa básica, el precepto autonómico impugnado define y regula las “instalaciones de intercambio de energía” y determina que la cesión de energía de estas instalaciones al sistema eléctrico no llevará aparejada contraprestación económica alguna. Crea, por tanto, una nueva categoría de instalaciones de autoconsumo distinta de las previstas con carácter básico en la enumeración taxativa del art. 9.1 LSE, exonerándola de la obligación de contribuir a los costes y servicios del sistema eléctrico (art. 9.3 LSE). Invade así la definición y regulación del régimen básico de la actividad del autoconsumo de energía eléctrica y de su régimen económico, que corresponden al legislador estatal, por situarse “en el ámbito de la ordenación básica de las actividades de suministro de energía eléctrica y del establecimiento de su régimen económico” (SSTC 60/2016, FJ 3, y 72/2016, FJ 3).</w:t>
      </w:r>
    </w:p>
    <w:p w:rsidR="00A90898" w:rsidRDefault="00A90898" w:rsidP="00A90898">
      <w:pPr>
        <w:pStyle w:val="TextoNormal"/>
      </w:pPr>
    </w:p>
    <w:p w:rsidR="00A90898" w:rsidRDefault="00A90898" w:rsidP="00A90898">
      <w:pPr>
        <w:pStyle w:val="TextoNormal"/>
      </w:pPr>
      <w:r>
        <w:t xml:space="preserve">En consecuencia, el apartado 2 del art. 20 </w:t>
      </w:r>
      <w:r w:rsidRPr="00A90898">
        <w:rPr>
          <w:i/>
        </w:rPr>
        <w:t>bis</w:t>
      </w:r>
      <w:r>
        <w:t xml:space="preserve"> de la Ley de la Región de Murcia 10/2006, añadido por el apartado 12 del artículo único de la Ley 11/2015, contradice de manera efectiva e insalvable la normativa básica contenida en el art. 9 LSE, lo que conduce a declararlo inconstitucional y nulo, por invasión de la competencia exclusiva del Estado para establecer la legislación básica en materia de régimen energético y en materia de ordenación general de la economía (art. 149.1.25 y 13 CE).</w:t>
      </w:r>
    </w:p>
    <w:p w:rsidR="00A90898" w:rsidRDefault="00A90898" w:rsidP="00A90898">
      <w:pPr>
        <w:pStyle w:val="TextoNormal"/>
      </w:pPr>
    </w:p>
    <w:p w:rsidR="00A90898" w:rsidRDefault="00A90898" w:rsidP="00A90898">
      <w:pPr>
        <w:pStyle w:val="TextoNormal"/>
      </w:pPr>
      <w:r>
        <w:lastRenderedPageBreak/>
        <w:t xml:space="preserve">c) A la misma conclusión cabe llegar en relación con el apartado 3 del art. 20 </w:t>
      </w:r>
      <w:r w:rsidRPr="00A90898">
        <w:rPr>
          <w:i/>
        </w:rPr>
        <w:t>bis</w:t>
      </w:r>
      <w:r>
        <w:t xml:space="preserve"> de la Ley de la Asamblea Regional de Murcia 10/2006, añadido por el apartado 12 del artículo único de la Ley 11/2015. Este precepto, como ya se dijo, remite a una Orden de la Consejería competente del Gobierno murciano la definición de las condiciones técnicas y administrativas que deben cumplir las instalaciones para ser consideradas como “aisladas del sistema eléctrico” o “de intercambio de energía”.</w:t>
      </w:r>
    </w:p>
    <w:p w:rsidR="00A90898" w:rsidRDefault="00A90898" w:rsidP="00A90898">
      <w:pPr>
        <w:pStyle w:val="TextoNormal"/>
      </w:pPr>
    </w:p>
    <w:p w:rsidR="00A90898" w:rsidRDefault="00A90898" w:rsidP="00A90898">
      <w:pPr>
        <w:pStyle w:val="TextoNormal"/>
      </w:pPr>
      <w:r>
        <w:t xml:space="preserve">La ya apreciada inconstitucionalidad indirecta o mediata de los apartados 1 y 2 del art. 20 </w:t>
      </w:r>
      <w:r w:rsidRPr="00A90898">
        <w:rPr>
          <w:i/>
        </w:rPr>
        <w:t>bis</w:t>
      </w:r>
      <w:r>
        <w:t xml:space="preserve"> de la Ley 10/2006, por contradecir de manera efectiva e insalvable la normativa básica estatal en materia de autoconsumo de energía eléctrica, contenida en el art. 9 LSE, lleva aparejada, por la misma razón, la inconstitucionalidad y consiguiente nulidad del apartado 3 del art. 20 </w:t>
      </w:r>
      <w:r w:rsidRPr="00A90898">
        <w:rPr>
          <w:i/>
        </w:rPr>
        <w:t>bis</w:t>
      </w:r>
      <w:r>
        <w:t xml:space="preserve"> de la Ley 10/2006; en cuanto que la atribución de competencia reglamentaria a la Consejería murciana correspondiente para fijar las condiciones técnicas y administrativas que deberán cumplir las instalaciones para ser consideradas como “aisladas del sistema eléctrico” o “de intercambio de energía”, vulnera el orden constitucional de distribución de competencias. Es al Estado al que corresponde definir y regular, conforme a los títulos competenciales de los arts. 149.1.13 y 25 CE, el régimen básico de la actividad de autoconsumo de energía eléctrica, integrando este modo de producción y consumo de electricidad en el sistema eléctrico y determinando por vía reglamentaria la contribución de la energía autoconsumida, en sus distintas modalidades o categorías, a la cobertura de los costes y servicios del sistema eléctrico, como ya hemos tenido ocasión de señalar en las citadas SSTC 60/2016, FJ 3, y 72/2016, FJ 3.</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 xml:space="preserve">Estimar el recurso y, en consecuencia, declarar la inconstitucionalidad y nulidad del apartado 12 del artículo único de la Ley de la Asamblea Regional de Murcia 11/2015, de 30 de marzo, de modificación de la Ley 10/2006, de 21 de diciembre, de energías renovables y ahorro y eficiencia energética de la Región de Murcia, que añade a esta un nuevo art. 20 </w:t>
      </w:r>
      <w:r w:rsidRPr="00A90898">
        <w:rPr>
          <w:i/>
        </w:rPr>
        <w:t>bis</w:t>
      </w:r>
      <w:r>
        <w:t>.</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uno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5" w:name="SENTENCIA_2016_206"/>
      <w:r>
        <w:lastRenderedPageBreak/>
        <w:t>SENTENCIA 206/2016, de 12 de diciembre de 2016</w:t>
      </w:r>
    </w:p>
    <w:bookmarkEnd w:id="85"/>
    <w:p w:rsidR="00A90898" w:rsidRDefault="00A90898" w:rsidP="00A90898">
      <w:pPr>
        <w:pStyle w:val="TtuloResolucin"/>
      </w:pPr>
      <w:r>
        <w:t>Sala Primera</w:t>
      </w:r>
    </w:p>
    <w:p w:rsidR="00A90898" w:rsidRDefault="00A90898" w:rsidP="00A90898">
      <w:pPr>
        <w:pStyle w:val="TtuloBOE"/>
      </w:pPr>
      <w:r>
        <w:t>(BOE núm. 17, de 20 de enero de 2017)</w:t>
      </w:r>
    </w:p>
    <w:p w:rsidR="00A90898" w:rsidRDefault="00A90898" w:rsidP="00A90898">
      <w:pPr>
        <w:pStyle w:val="TextoNormalCentrado"/>
      </w:pPr>
      <w:r>
        <w:t>ECLI:ES:TC:2016:206</w:t>
      </w:r>
    </w:p>
    <w:p w:rsidR="00A90898" w:rsidRDefault="00A90898" w:rsidP="00A90898">
      <w:pPr>
        <w:pStyle w:val="TextoNormalCentrado"/>
      </w:pPr>
    </w:p>
    <w:p w:rsidR="00A90898" w:rsidRDefault="00A90898" w:rsidP="00A90898">
      <w:pPr>
        <w:pStyle w:val="SntesisDescriptiva"/>
      </w:pPr>
      <w:r>
        <w:t>Recurso de amparo 1429-2015. Promovido por don Jaume Bassas Soriano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Asunto sustancialmente idéntico al resuelto por la STC 148/2016, en relación con la doctrina sobre la vulneración del derecho a la tutela judicial efectiva como consecuencia de la exclusión o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r>
        <w:t>2.</w:t>
      </w:r>
      <w:r>
        <w:tab/>
        <w:t>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1429-2015, promovido por don Jaume Bassas Soriano, representado por la Procuradora de los Tribunales doña María José Rodríguez Teijeiro y asistido por el Abogado don Sebastián Rodés Cerveto, contra el Auto de la Sección Decimoquinta de la Audiencia Provincial de Barcelona, de 29 de enero de 2015, que desestimó el incidente de nulidad de actuaciones interpuesto contra el Auto de 14 de octubre de 2014, dictado por la misma Sección, que desestimó el recurso de apelación (rollo núm. 173-2014), promovido contra el Auto del Juzgado de lo Mercantil núm. 4 de Barcelona, de 22 de enero </w:t>
      </w:r>
      <w:r>
        <w:lastRenderedPageBreak/>
        <w:t>de 2014 (procedimiento ordinario núm. 492-2013). Ha actuado como parte la entidad CaixaBank, S.A., representada por el Procurador don Miguel Ángel Montero Reiter y asistida por el Abogado don Francesc Torres Vallespi. Ha intervenido el Ministerio Fiscal.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11 de marzo de 2015, la Procuradora de los Tribunales doña María José Rodríguez Teijeiro, actuando en nombre de don Jaume Bassas Soriano,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Con fecha 10 de julio de 2013, el demandante de amparo interpuso demanda de juicio ordinario frente a la entidad CaixaBank, S.A., ejercitando conjuntamente una acción declarativa de nulidad de una condición general de la contratación (la comúnmente conocida como cláusula suelo) y otra de reclamación de cantidad. Se alegaba por el recurrente que en el contrato de crédito hipotecario que había firmado con dicha entidad, se incluía una cláusula suelo cuya nulidad interesaba que se declarase por su carácter abusivo, así como que la demandada fuera condenada a devolver las sumas abonadas como consecuencia de su aplicación.</w:t>
      </w:r>
    </w:p>
    <w:p w:rsidR="00A90898" w:rsidRDefault="00A90898" w:rsidP="00A90898">
      <w:pPr>
        <w:pStyle w:val="TextoNormal"/>
      </w:pPr>
    </w:p>
    <w:p w:rsidR="00A90898" w:rsidRDefault="00A90898" w:rsidP="00A90898">
      <w:pPr>
        <w:pStyle w:val="TextoNormal"/>
      </w:pPr>
      <w:r>
        <w:t>b) La demanda fue turnada al Juzgado de lo Mercantil núm. 4 de Barcelona dando lugar a la incoación del procedimiento ordinario núm. 492-2013. Conferido traslado de la misma a la parte demandada, ésta se opuso a las pretensiones del actor alegando la excepción de prejudicialidad civil, porque en el Juzgado de lo Mercantil núm. 11 de Madrid se estaba tramitando, a instancia de la Asociación de usuarios de Bancos, Cajas de Ahorros y Seguros de España (ADICAE), el procedimiento 471-2010, seguido contra distintas entidades bancarias, entre la que se encontraba CaixaBank, S.A., siendo objeto de dicho proceso tanto que se declarasen abusivas las cláusulas suelo que las demandadas incluyeron en los contratos de préstamo con garantía hipotecaria, como que se resarciesen las cantidades indebidamente percibidas en virtud de su aplicación, encontrándose el proceso pendiente de celebración de la vista en el momento de presentarse la demanda.</w:t>
      </w:r>
    </w:p>
    <w:p w:rsidR="00A90898" w:rsidRDefault="00A90898" w:rsidP="00A90898">
      <w:pPr>
        <w:pStyle w:val="TextoNormal"/>
      </w:pPr>
    </w:p>
    <w:p w:rsidR="00A90898" w:rsidRDefault="00A90898" w:rsidP="00A90898">
      <w:pPr>
        <w:pStyle w:val="TextoNormal"/>
      </w:pPr>
      <w:r>
        <w:t xml:space="preserve">c) Con fecha 22 de enero de 2014, el Juzgado de lo Mercantil núm. 4 de Barcelona dictó Auto —aclarado por otro del 31 de enero siguiente—, en el que se acordó estimar la excepción de prejudicialidad civil planteada por la representación de CaixaBank, S.A., y en consecuencia ordenó la suspensión del procedimiento hasta que recayera resolución firme en el proceso seguido ante el Juzgado de lo Mercantil núm. 11 de Madrid. En su fundamentación, el Juzgado, luego de reconocer la complejidad de la cuestión que le había sido suscitada por la dificultad de tener que “compatibilizar los diferentes intereses en juego” y de señalar que, de una parte, el art. 11.1 de la Ley de enjuiciamiento civil (LEC) reconocía legitimación a las asociaciones de consumidores y usuarios para defender los intereses de éstos, pero también, de otra, confería legitimación activa a los consumidores individuales para defender </w:t>
      </w:r>
      <w:r>
        <w:lastRenderedPageBreak/>
        <w:t>sus propios intereses, permitiendo extender los efectos de la cosa juzgada material a los consumidores no litigantes, destacaba de modo textual en su fundamento jurídico 3 que tal circunstancia “implicaría que promovido un pleito con las misma [</w:t>
      </w:r>
      <w:r w:rsidRPr="00A90898">
        <w:rPr>
          <w:i/>
        </w:rPr>
        <w:t>sic</w:t>
      </w:r>
      <w:r>
        <w:t>] pretensiones por una asociación de consumidores no pudieran plantearse acciones individuales o las que se plantearan fueran sobreseídas, art. 421 LEC, mientras que se [</w:t>
      </w:r>
      <w:r w:rsidRPr="00A90898">
        <w:rPr>
          <w:i/>
        </w:rPr>
        <w:t>sic</w:t>
      </w:r>
      <w:r>
        <w:t>] la coincidencia no es total sino parcial, el procedimiento tendría que suspenderse por prejudicialidad civil, arts. 421.1 y 43 LEC”. Por ello y, según refería la resolución, para evitar “resoluciones contradictorias” y con apoyo, también, en un precedente Auto de la Sección Decimoquinta de la Audiencia Provincial de Barcelona (de 11 de junio de 2013), que, según razonaba el Juzgado, era similar al de autos, estimó procedente la existencia de una prejudicialidad civil, conforme prevé el art. 43 LEC, y acordó la suspensión del procedimiento hasta tanto fuera resuelto el seguido ante el Juzgado de lo Mercantil núm. 11 de Madrid.</w:t>
      </w:r>
    </w:p>
    <w:p w:rsidR="00A90898" w:rsidRDefault="00A90898" w:rsidP="00A90898">
      <w:pPr>
        <w:pStyle w:val="TextoNormal"/>
      </w:pPr>
    </w:p>
    <w:p w:rsidR="00A90898" w:rsidRDefault="00A90898" w:rsidP="00A90898">
      <w:pPr>
        <w:pStyle w:val="TextoNormal"/>
      </w:pPr>
      <w:r>
        <w:t>d) Contra el indicado Auto, el demandante de amparo interpuso recurso de apelación alegando sustancialmente que no concurrían los requisitos necesarios para la estimación de la excepción de prejudicialidad civil. Afirmaba, que la tesis del Juzgado de lo Mercantil conducía “al absurdo de que una medida legal creada para reforzar la defensa de los consumidores y usuarios, como son las acciones colectivas, son contraproducentes (sic) para la defensa individual de esos consumidores y usuarios puesto que, aunque quisieran ejercer sus acciones de forma personal e individualizada, no podrían hacerlo o, si lo hacen, tienen que esperar al resultado del proceso colectivo”.</w:t>
      </w:r>
    </w:p>
    <w:p w:rsidR="00A90898" w:rsidRDefault="00A90898" w:rsidP="00A90898">
      <w:pPr>
        <w:pStyle w:val="TextoNormal"/>
      </w:pPr>
    </w:p>
    <w:p w:rsidR="00A90898" w:rsidRDefault="00A90898" w:rsidP="00A90898">
      <w:pPr>
        <w:pStyle w:val="TextoNormal"/>
      </w:pPr>
      <w:r>
        <w:t>e) La Sección Decimoquinta de la Audiencia Provincial de Barcelona (rollo de apelación núm. 173-2014) dictó Auto el día 14 de octubre de 2014,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w:t>
      </w:r>
    </w:p>
    <w:p w:rsidR="00A90898" w:rsidRDefault="00A90898" w:rsidP="00A90898">
      <w:pPr>
        <w:pStyle w:val="TextoNormal"/>
      </w:pPr>
    </w:p>
    <w:p w:rsidR="00A90898" w:rsidRDefault="00A90898" w:rsidP="00A90898">
      <w:pPr>
        <w:pStyle w:val="TextoNormal"/>
      </w:pPr>
      <w:r>
        <w:t>En su argumentación reproduce los argumentos expuestos en el Auto de 9 de octubre de 2013, rollo de apelación núm. 500-2013 (que ha sido objeto del recurso de amparo núm. 7120-2014, estimado por la STC 148/2016, de 19 de septiembre). En síntesis el razonamiento expuesto por el órgano judicial es el siguiente:</w:t>
      </w:r>
    </w:p>
    <w:p w:rsidR="00A90898" w:rsidRDefault="00A90898" w:rsidP="00A90898">
      <w:pPr>
        <w:pStyle w:val="TextoNormal"/>
      </w:pPr>
    </w:p>
    <w:p w:rsidR="00A90898" w:rsidRDefault="00A90898" w:rsidP="00A90898">
      <w:pPr>
        <w:pStyle w:val="TextoNormal"/>
      </w:pPr>
      <w:r>
        <w:t xml:space="preserve">En primer lugar, con apoyo en el art. 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artículo 15 LEC, esto es, intervenir en el proceso, o bien solicitar la acumulación de la acción individual a la colectiva (siempre que se cumplan los requisitos que exige el artículo 76.2.1 LEC) o interesar la extensión de los efectos del pronunciamiento en fase de ejecución (artículo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ya que cosa juzgada y litispendencia no son más que dos aspectos de una misma cuestión separados por una perspectiva temporal. La litispendencia se produce de forma provisional en los mismos supuestos en los que vendrá </w:t>
      </w:r>
      <w:r>
        <w:lastRenderedPageBreak/>
        <w:t>a operar el efecto negativo de la cosa juzgada, impidiendo la apertura del proceso o su continuación una vez iniciado. De manera que tiene razón la recurrente cuando alega que no se cumplen en el supuesto enjuiciado los presupuestos establecidos en el artículo 43 LEC, norma que regula la prejudicialidad civil, sino que lo que existe es identidad de objeto”. A la vista de este razonamiento, llega a la conclusión de que “existe identidad de objeto en el supuesto enjuiciado porque la condición general impugnada en ambos es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00A90898" w:rsidRDefault="00A90898" w:rsidP="00A90898">
      <w:pPr>
        <w:pStyle w:val="TextoNormal"/>
      </w:pPr>
    </w:p>
    <w:p w:rsidR="00A90898" w:rsidRDefault="00A90898" w:rsidP="00A90898">
      <w:pPr>
        <w:pStyle w:val="TextoNormal"/>
      </w:pPr>
      <w:r>
        <w:t>En segundo término, la Sala arguye que, aun cuando el art. 11.1 LEC reconozca legitimación activa a los perjudicados titulares de acciones individuales, tal circunstancia no se opone a la apreciación de litispendencia, pues sostiene que el hecho de que “tengan legitimación activa los particulares afectados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sino que únicamente se condiciona el ejercicio de las acciones individuales de una forma concreta y determinada (acumulada a otras, las colectivas), de manera que permite conciliar esos derechos individuales con los de los demás afectados”. Se trataría, por tanto, de “normas de organización procesal que pretenden salvaguardar el interés general (los intereses colectivos) respetando el buen orden procesal (la cosa juzgada)”.</w:t>
      </w:r>
    </w:p>
    <w:p w:rsidR="00A90898" w:rsidRDefault="00A90898" w:rsidP="00A90898">
      <w:pPr>
        <w:pStyle w:val="TextoNormal"/>
      </w:pPr>
    </w:p>
    <w:p w:rsidR="00A90898" w:rsidRDefault="00A90898" w:rsidP="00A90898">
      <w:pPr>
        <w:pStyle w:val="TextoNormal"/>
      </w:pPr>
      <w:r>
        <w:t>Finalmente, concluye la Sala afirmando que la cosa juzgada es “una cuestión que forma parte del orden público procesal”, de forma que tanto el órgano de la primera instancia como el de la segunda pueden apreciarla de oficio. Ello autoriza a ir más allá de lo que los términos del recurso permiten para modificar el contenido del pronunciamiento recurrido y establecerlo en términos más onerosos incluso para la parte recurrente, dado que lo procedente no es solo la suspensión del proceso sino su archivo, consecuencia de la apreciación de la concurrencia de litispendencia. Insiste en este sentido, en la tesis de que el principio de prohibición de la reforma peyorativa debe ceder ante cuestiones de orden público procesal. “Si nos limitásemos a desestimar el recurso y confirmar la resolución recurrida estaríamos dando lugar a un equívoco inadmisible, por incompatible con el efecto negativo de la cosa juzgada: cuando finalice el pleito anterior como consecuencia de haber recaído una sentencia firme no podrá reiniciarse este proceso sea cual sea el resultado de la acción colectiva. Situación ésta que en nada favorecería los intereses de los consumidores afectados”.</w:t>
      </w:r>
    </w:p>
    <w:p w:rsidR="00A90898" w:rsidRDefault="00A90898" w:rsidP="00A90898">
      <w:pPr>
        <w:pStyle w:val="TextoNormal"/>
      </w:pPr>
    </w:p>
    <w:p w:rsidR="00A90898" w:rsidRDefault="00A90898" w:rsidP="00A90898">
      <w:pPr>
        <w:pStyle w:val="TextoNormal"/>
      </w:pPr>
      <w:r>
        <w:t xml:space="preserve">f) Notificado el Auto a la parte apelante, se promovió por ésta incidente de nulidad de actuaciones mediante escrito de fecha 17 de noviembre de 2014, en el que alegó que se había vulnerado su derecho a la tutela judicial efectiva sin indefensión (art. 24.1 CE), porque </w:t>
      </w:r>
      <w:r>
        <w:lastRenderedPageBreak/>
        <w:t>se privaba a la parte de una resolución sobre el fondo de las pretensiones planteadas, apreciando de oficio la excepción de litispendencia sin que previamente se le hubiera otorgado audiencia. El apelante razonaba que causaría indefensión en el caso de que el procedimiento que se sigue en el Juzgado de Madrid terminará por una resolución definitiva sin un pronunciamiento de fondo, circunstancia que podría producirse en el caso de que el demandante desistiera.</w:t>
      </w:r>
    </w:p>
    <w:p w:rsidR="00A90898" w:rsidRDefault="00A90898" w:rsidP="00A90898">
      <w:pPr>
        <w:pStyle w:val="TextoNormal"/>
      </w:pPr>
    </w:p>
    <w:p w:rsidR="00A90898" w:rsidRDefault="00A90898" w:rsidP="00A90898">
      <w:pPr>
        <w:pStyle w:val="TextoNormal"/>
      </w:pPr>
      <w:r>
        <w:t>g) Por Auto de 29 enero 2015 la Sección Decimoquinta de la Audiencia Provincial de Barcelona desestimó el incidente de nulidad argumentando que el derecho a la tutela judicial efectiva no es un derecho incondicional, pues exige que concurran los presupuestos procesales que hacen posible un pronunciamiento sobre el fondo. Tales presupuestos procesales no concurren “porque la misma cuestión está siendo objeto de enjuiciamiento en un proceso iniciado previamente ante un juzgado distinto. Por tanto, opera listispendencia como óbice procesal que impide el pronunciamiento en el fondo, con el que el ordenamiento intenta evitar el riesgo de sentencias contradictorias entre sí”. Añade que tratándose de un óbice procesal “nuestro ordenamiento procesal civil no condiciona la posibilidad de apreciar de oficio la concurrencia de un óbice procesal a la contradicción previa de las partes”.</w:t>
      </w:r>
    </w:p>
    <w:p w:rsidR="00A90898" w:rsidRDefault="00A90898" w:rsidP="00A90898">
      <w:pPr>
        <w:pStyle w:val="TextoNormal"/>
      </w:pPr>
    </w:p>
    <w:p w:rsidR="00A90898" w:rsidRDefault="00A90898" w:rsidP="00A90898">
      <w:pPr>
        <w:pStyle w:val="TextoNormal"/>
      </w:pPr>
      <w:r w:rsidRPr="00A90898">
        <w:rPr>
          <w:rStyle w:val="NumeroAFNegritaCaracter"/>
        </w:rPr>
        <w:t>3</w:t>
      </w:r>
      <w:r>
        <w:t>. Seguidamente, el recurrente formalizó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El demandante expone que el art. 11 LEC permite a los particulares que lo deseen personarse en el procedimiento de acciones colectivas, pero la intervención individual en la acción colectiva no es obligatoria. En tal sentido no se priva a la parte del derecho a ejercitar la acción individual, pues el propio precepto, al reconocer legitimación a las asociaciones para el ejercicio de las acciones colectivas, lo hace “sin perjuicio de la legitimación individual de los perjudicados”, mención que permite afirmar la posibilidad del ejercicio simultáneo de acciones colectivas y acciones individuales. Argumenta, que es el particular quien puede decir si desea sumarse a una acción colectiva o ejercer de forma individual los derechos que le asisten. Razona, que la resolución impugnada debió interpretar la norma interna en armonía con lo dispuesto en la norma comunitaria, que garantiza al consumidor su derecho a elegir si quiere integrarse en una acción colectiva o ejercitar la acción individual. Considera que no existe riesgo alguno para la seguridad jurídica por razón de resoluciones contradictorias en tanto que los intereses en juego en cada una de las acciones son distintos, tanto más, como es el caso, cuando el recurrente no forma parte del elenco de los concretos intereses defendidos en el otro proceso, ni tan siquiera ha sido llamado a ese proceso lo que, en todo caso, no puede constituirse ni en una obligación, ni en una carga procesal con consecuencias negativas frente a su derecho individual a la tutela judicial efectiva.</w:t>
      </w:r>
    </w:p>
    <w:p w:rsidR="00A90898" w:rsidRDefault="00A90898" w:rsidP="00A90898">
      <w:pPr>
        <w:pStyle w:val="TextoNormal"/>
      </w:pPr>
    </w:p>
    <w:p w:rsidR="00A90898" w:rsidRDefault="00A90898" w:rsidP="00A90898">
      <w:pPr>
        <w:pStyle w:val="TextoNormal"/>
      </w:pPr>
      <w:r>
        <w:t xml:space="preserve">Continúa su exposición con la cita de diversas Sentencias del Tribunal Constitucional, de las que extrae que no pueden ser admisibles las interpretaciones irrazonables, rigoristas en exceso o restrictivas en materia de legitimación procesal, como sucede en la resolución impugnada. Añade que es desproporcionado el archivo de un procedimiento que no podrá volver a reanudarse ni a interponerse, cuando la propia legislación ordinaria procesal en cumplimiento de lo dispuesto en la Constitución permite la concurrencia de una acción colectiva y una individual. Insiste, como ya lo hiciera al plantear el incidente de nulidad de actuaciones, en la problemática que se plantearía en el caso en que se procediera a desistir </w:t>
      </w:r>
      <w:r>
        <w:lastRenderedPageBreak/>
        <w:t>del procedimiento que se sigue en virtud de la acción colectiva. Indica que “la afirmación contenida en el Fundamento de Derecho Quinto.17, según la cual no podrá reiniciarse este proceso sea cual sea el resultado de la acción colectiva, adquiere en tal eventual, pero posible supuesto, gravedad desde la perspectiva del Derecho Fundamental invocado a la Tutela Judicial Efectiva, generando una situación de indefensión imposible si solamente se suspendiera el proceso por prejudicialidad civil, como se acordó por el Juzgado Mercantil nº 4 de Barcelona en el auto que dio lugar al recurso de apelación” (</w:t>
      </w:r>
      <w:r w:rsidRPr="00A90898">
        <w:rPr>
          <w:i/>
        </w:rPr>
        <w:t>sic</w:t>
      </w:r>
      <w:r>
        <w:t>).</w:t>
      </w:r>
    </w:p>
    <w:p w:rsidR="00A90898" w:rsidRDefault="00A90898" w:rsidP="00A90898">
      <w:pPr>
        <w:pStyle w:val="TextoNormal"/>
      </w:pPr>
    </w:p>
    <w:p w:rsidR="00A90898" w:rsidRDefault="00A90898" w:rsidP="00A90898">
      <w:pPr>
        <w:pStyle w:val="TextoNormal"/>
      </w:pPr>
      <w:r>
        <w:t>Considera que ante la duda interpretativa planteada respecto a la compatibilidad entre acciones colectivas e individuales, debe prevalecer una interpretación más favorable al derecho fundamental a la tutela judicial efectiva, debiendo efectuarse una interpretación tendente a favorecer el acceso a la jurisdicción, de modo que ante la existencia de varias interpretaciones posibles, el órgano judicial ha de decantarse por la que resulte más favorable a la tutela judicial efectiva.</w:t>
      </w:r>
    </w:p>
    <w:p w:rsidR="00A90898" w:rsidRDefault="00A90898" w:rsidP="00A90898">
      <w:pPr>
        <w:pStyle w:val="TextoNormal"/>
      </w:pPr>
    </w:p>
    <w:p w:rsidR="00A90898" w:rsidRDefault="00A90898" w:rsidP="00A90898">
      <w:pPr>
        <w:pStyle w:val="TextoNormal"/>
      </w:pPr>
      <w:r>
        <w:t>Concluye su exposición cuestionando la apreciación de oficio de la litispendencia, no invocada en la contestación a la demanda ni en oposición al recurso de apelación, al considerar que el Tribunal debió poner de manifiesto la posible apreciación de la misma, dando traslado a las partes para que pudieran efectuar alegaciones, pues como se ha expuesto, la apreciación de litispendencia puede resultar especialmente gravosa en determinados supuestos, como pudiera ser el desistimiento en el procedimiento colectivo, o, la desestimación de la demanda, total o parcial, por causas que no generan efectos de cosa juzgada.</w:t>
      </w:r>
    </w:p>
    <w:p w:rsidR="00A90898" w:rsidRDefault="00A90898" w:rsidP="00A90898">
      <w:pPr>
        <w:pStyle w:val="TextoNormal"/>
      </w:pPr>
    </w:p>
    <w:p w:rsidR="00A90898" w:rsidRDefault="00A90898" w:rsidP="00A90898">
      <w:pPr>
        <w:pStyle w:val="TextoNormal"/>
      </w:pPr>
      <w:r>
        <w:t>En el suplico de la demanda solicita la declaración de nulidad del Auto de la Sección Decimoquinta de la Audiencia Provincial de Barcelona, de 14 de octubre de 2014 y que, como consecuencia de ello, “se ordene la emisión de una sentencia sobre el fondo según las pretensiones y peticiones de las partes que constan en los autos, restableciendo de este modo los derechos a la tutela judicial efectiva de los recurrentes”.</w:t>
      </w:r>
    </w:p>
    <w:p w:rsidR="00A90898" w:rsidRDefault="00A90898" w:rsidP="00A90898">
      <w:pPr>
        <w:pStyle w:val="TextoNormal"/>
      </w:pPr>
    </w:p>
    <w:p w:rsidR="00A90898" w:rsidRDefault="00A90898" w:rsidP="00A90898">
      <w:pPr>
        <w:pStyle w:val="TextoNormal"/>
      </w:pPr>
      <w:r w:rsidRPr="00A90898">
        <w:rPr>
          <w:rStyle w:val="NumeroAFNegritaCaracter"/>
        </w:rPr>
        <w:t>4</w:t>
      </w:r>
      <w:r>
        <w:t>. Con fecha 21 de septiembre de 2015, la Sala Primera de este Tribunal, dictó providencia admitiendo a trámite la demanda de amparo, “apreciando que ofrece especial trascendencia constitucional [art. 50.1 de la Ley Orgánica del Tribunal Constitucional (LOTC)], toda vez que, el recurso puede dar ocasión al Tribunal para aclarar o cambiar su doctrina, como consecuencia del surgimiento de nuevas realidades sociales [STC 155/2009, FJ 2 b)]”. Asimismo, se acordó dirigir comunicación a la Sección Decimoquinta de la Audiencia Provincial de Barcelona, y al Juzgado de lo Mercantil núm. 4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5</w:t>
      </w:r>
      <w:r>
        <w:t>. Por medio de escrito presentado el día 2 de noviembre de 2015, el Procurador de los Tribunales don Miguel Ángel Montero Reiter vino a personarse en nombre y representación de la entidad CaixaBank, S.A., solicitando se entendieran con él las sucesivas diligencias y notificaciones.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La Secretaría de Justicia de la Sala Primera de este Tribunal dictó diligencia de ordenación el día 10 de noviembre de 2015, por la que tuvo por personado y parte en el procedimiento al Procurador indicado, en nombre y representación de CaixaBank, S.A., y se acordó abrir trámite de audiencia por 20 días a las partes personadas y al Ministerio Fiscal, a fin de que pudieran presentar alegaciones conforme determina el art. 52.1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registrado el día 19 de noviembre de 2015, la representante procesal del recurrente en amparo presentó sus alegaciones, informando que ante el Tribunal de Justicia de la Unión Europea pendía una cuestión prejudicial relativa a la interpretación de la Directiva 91/13/CEE del Consejo, de 5 de abril de 1993, sobre las cláusulas abusivas en los contratos celebrados con consumidores, en la que se plantea “si el art. 7 de dicha Directiva se opone a una normativa procesal nacional según la cual los procedimientos judiciales individuales sobre cláusulas abusivas, entablados paralelamente a procedimientos colectivos, deben suspenderse, por existir prejudicialidad civil, hasta que recaiga sentencia firme en los procedimientos colectivos, quedando también vinculados a lo que se decida en dicha sentencia”. En relación a dicho procedimiento, se aportó informe del Servicio Jurídico de la Comisión Europea en los asuntos acumulados C-381/14 y C-385/14, cuyo criterio “es relevante y debe ser conocido por este Alto Tribunal”, acompañando copia del mismo, y reproduciendo varios de sus apartados así como su conclusión, según la cual una norma nacional que prevea suspender los procedimientos individuales hasta que recaiga Sentencia firme en los procesos colectivos, se opone al art. 7 de la Directiva 93/13/CEE.</w:t>
      </w:r>
    </w:p>
    <w:p w:rsidR="00A90898" w:rsidRDefault="00A90898" w:rsidP="00A90898">
      <w:pPr>
        <w:pStyle w:val="TextoNormal"/>
      </w:pPr>
    </w:p>
    <w:p w:rsidR="00A90898" w:rsidRDefault="00A90898" w:rsidP="00A90898">
      <w:pPr>
        <w:pStyle w:val="TextoNormal"/>
      </w:pPr>
      <w:r w:rsidRPr="00A90898">
        <w:rPr>
          <w:rStyle w:val="NumeroAFNegritaCaracter"/>
        </w:rPr>
        <w:t>8</w:t>
      </w:r>
      <w:r>
        <w:t>. El Ministerio Fiscal formalizó su escrito de alegaciones con fecha 11 de diciembre de 2015, interesando la estimación del amparo por entender que el Auto dictado por el Juzgado de lo Mercantil y el Auto de la Audiencia Provincial de Barcelona desestimando el recurso de apelación contra el anterior, así como el de este último órgano judicial de 29 de enero de 2015 desestimando el incidente de nulidad de actuaciones han vulnerado el art. 24.1 CE que tutela el acceso al proceso y a obtener una resolución de fondo, restableciendo al demandante de amparo en su derecho fundamental, debiendo reponerse las actuaciones al momento en que se dictó el primero de los mismos para que se dicte otro que respete el contenido del derecho fundamental vulnerado.</w:t>
      </w:r>
    </w:p>
    <w:p w:rsidR="00A90898" w:rsidRDefault="00A90898" w:rsidP="00A90898">
      <w:pPr>
        <w:pStyle w:val="TextoNormal"/>
      </w:pPr>
    </w:p>
    <w:p w:rsidR="00A90898" w:rsidRDefault="00A90898" w:rsidP="00A90898">
      <w:pPr>
        <w:pStyle w:val="TextoNormal"/>
      </w:pPr>
      <w:r>
        <w:t>Expone los antecedentes de hecho y precisa que el recurso, aunque solamente impugne el Auto de 14 octubre 2014 de la Audiencia Provincial de Barcelona, debe entenderse que también se dirige contra el Auto de 29 de enero de 2015 que desestimó el incidente de nulidad de actuaciones, así como contra el Auto de 22 de enero de 2014 del Juzgado Mercantil núm. 4 de Barcelona, al resultar confirmado parcialmente por el Auto de la Audiencia Provincial, además, en caso de resultar procedente del otorgamiento del amparo que se pide, no debe quedar subsistente una resolución judicial en la que se contiene una vulneración de derechos fundamentales. Añade que aun siendo motivaciones distintas las que impiden el acceso a la jurisdicción del demandante de amparo, todas ellas tienen un nexo común, cuál es la finalidad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A90898" w:rsidRDefault="00A90898" w:rsidP="00A90898">
      <w:pPr>
        <w:pStyle w:val="TextoNormal"/>
      </w:pPr>
    </w:p>
    <w:p w:rsidR="00A90898" w:rsidRDefault="00A90898" w:rsidP="00A90898">
      <w:pPr>
        <w:pStyle w:val="TextoNormal"/>
      </w:pPr>
      <w:r>
        <w:lastRenderedPageBreak/>
        <w:t>A continuación expone la doctrina del Tribunal Constitucional en relación con la vulneración del derecho a la tutela judicial efectiva, desde la perspectiva de acceso a la jurisdicción e indica que el art. 10 LEC reconoce legitimación para comparecer en juicio a los titulares de las relaciones jurídicas controvertidas, salvo los casos en que dicha legitimación se atribuya por ley a persona distinta del titular. Afirma que la legitimación para el ejercicio de las acciones colectivas se encuentra regulada en el art. 11.1 LEC, del que observa que la legitimación para ejercitar acciones en defensa de los intereses generales de los consumidores y usuarios que se concede a las asociaciones de consumidores y usuarios es compatible con la legitimación individual de los perjudicados, según resulta de la dicción literal del precepto.</w:t>
      </w:r>
    </w:p>
    <w:p w:rsidR="00A90898" w:rsidRDefault="00A90898" w:rsidP="00A90898">
      <w:pPr>
        <w:pStyle w:val="TextoNormal"/>
      </w:pPr>
    </w:p>
    <w:p w:rsidR="00A90898" w:rsidRDefault="00A90898" w:rsidP="00A90898">
      <w:pPr>
        <w:pStyle w:val="TextoNormal"/>
      </w:pPr>
      <w:r>
        <w:t>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 xml:space="preserve">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 relaciones procesales existentes en aquél, el momento procesal en que se encontraba su tramitación y lo actuado hasta ese momento, así como los llamamientos a quienes pudieran ser parte en el mismo al tenor de los arts. 11 y 15 LEC. Y lo mismo cabe decir del art. 43 LEC, pues el Auto en ningún momento concreta ni razona cuales sean las similitudes y las diferencias que le permitan llegar a esa conclusión: “un déficit argumentativo y fundamentador que es de alcance grave para con una decisión de tanta relevancia como lo es la suspensión de un proceso y el impedimento, al menos momentáneo, de que prospere el </w:t>
      </w:r>
      <w:r w:rsidRPr="00A90898">
        <w:rPr>
          <w:i/>
        </w:rPr>
        <w:t>petitum</w:t>
      </w:r>
      <w:r>
        <w:t xml:space="preserve"> de los demandantes”.</w:t>
      </w:r>
    </w:p>
    <w:p w:rsidR="00A90898" w:rsidRDefault="00A90898" w:rsidP="00A90898">
      <w:pPr>
        <w:pStyle w:val="TextoNormal"/>
      </w:pPr>
    </w:p>
    <w:p w:rsidR="00A90898" w:rsidRDefault="00A90898" w:rsidP="00A90898">
      <w:pPr>
        <w:pStyle w:val="TextoNormal"/>
      </w:pPr>
      <w:r>
        <w:t>Y en segundo lugar, prosigue diciendo, que tampoco el Auto del Juzgado motiva por qué no era posible acordar la acumulación de procesos antes de tener que llegar a la solución de declarar la prejudicialidad y no toma en consideración que la Sentencia que declare la nulidad puede limitar sus efectos solamente a quienes hayan sido parte en el proceso correspondiente (art. 221.1.2 LEC).</w:t>
      </w:r>
    </w:p>
    <w:p w:rsidR="00A90898" w:rsidRDefault="00A90898" w:rsidP="00A90898">
      <w:pPr>
        <w:pStyle w:val="TextoNormal"/>
      </w:pPr>
    </w:p>
    <w:p w:rsidR="00A90898" w:rsidRDefault="00A90898" w:rsidP="00A90898">
      <w:pPr>
        <w:pStyle w:val="TextoNormal"/>
      </w:pPr>
      <w:r>
        <w:t>En relación con la resolución de apelación, y en cuanto a la interpretación de las normas que llevan a la Audiencia a afirmar que la admisión a trámite de una acción colectiva de nulidad de cláusulas abusivas por una asociación de consumidores y usuarios, comporta la negación de la legitimación individual reconocida a los perjudicados en el art. 11.1 LEC, el Fiscal da por reproducidas las consideraciones efectuadas a propósito del Auto del Juzgado.</w:t>
      </w:r>
    </w:p>
    <w:p w:rsidR="00A90898" w:rsidRDefault="00A90898" w:rsidP="00A90898">
      <w:pPr>
        <w:pStyle w:val="TextoNormal"/>
      </w:pPr>
    </w:p>
    <w:p w:rsidR="00A90898" w:rsidRDefault="00A90898" w:rsidP="00A90898">
      <w:pPr>
        <w:pStyle w:val="TextoNormal"/>
      </w:pPr>
      <w:r>
        <w:t xml:space="preserve">A continuación, observa que el contenido de algunas Sentencias dictadas en materia de cláusulas abusivas tanto por la Sala Primera del Tribunal Supremo, como por el Tribunal de Justicia de la Unión Europea, revelan la complejidad de estos asuntos, frente a la cual los </w:t>
      </w:r>
      <w:r>
        <w:lastRenderedPageBreak/>
        <w:t>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Concluye argumentando el Fiscal que la vulneración del art. 24.1 CE, trae consigo, en definitiva, que se prime la acción colectiva de manera radicalmente excluyente de la 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9</w:t>
      </w:r>
      <w:r>
        <w:t>. Con fecha 14 de diciembre de 2015 se formalizó escrito de alegaciones por el representante procesal de la entidad CaixaBank, S.A. Considera en relación con la queja relativa a la infracción del trámite de audiencia por parte de la Audiencia Provincial, que el recurrente ha tenido la posibilidad de efectuar alegaciones en el incidente de nulidad de actuaciones. Entiende que la cuestión planteada es de legalidad ordinaria, e indica que las leyes procesales imposibilitan ejercitar una acción individual cuando ya se ha iniciado el proceso colectivo, exponiendo las razones que permiten alcanzar dicha conclusión a través de una interpretación de los arts. 11, 15.1, 221 y 519 LEC.</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7 diciembre de 2016, se señaló para deliberación y votación de la presente Sentencia el día 12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tiene por objeto enjuiciar si las resoluciones en él impugnadas lesionaron el derecho de acceso a la jurisdicción (art. 24.1 CE) del recurrente, al haberse apreciado -primero por el Juzgado de lo Mercantil núm. 4 de Barcelona- la excepción procesal de prejudicialidad civil, y, posteriormente —por la Sección Decimoquinta de la Audiencia Provincial de Barcelona—, la litispendencia, en el procedimiento abierto a su instancia contra CaixaBank, S.A., para que se declarara la nulidad de la cláusula contractual —conocida como cláusula suelo— incluida en el contrato de préstamo suscrito entre ambas partes, y ello en favor del procedimiento instado a su vez en el año 2010 por la asociación de consumidores ADICAE contra diversas entidades,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parte dispositiva como la </w:t>
      </w:r>
      <w:r w:rsidRPr="00A90898">
        <w:rPr>
          <w:i/>
        </w:rPr>
        <w:t>ratio decidendi</w:t>
      </w:r>
      <w:r>
        <w:t xml:space="preserve"> de las resoluciones impugnadas: la del Juzgado </w:t>
      </w:r>
      <w:r w:rsidRPr="00A90898">
        <w:rPr>
          <w:i/>
        </w:rPr>
        <w:t>a quo</w:t>
      </w:r>
      <w:r>
        <w:t xml:space="preserve"> (en este caso, incluso, es el mismo: el Mercantil núm. 4 de Barcelona) que declara la suspensión del proceso individual por prejudicialidad, </w:t>
      </w:r>
      <w:r>
        <w:lastRenderedPageBreak/>
        <w:t>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00A90898" w:rsidRDefault="00A90898" w:rsidP="00A90898">
      <w:pPr>
        <w:pStyle w:val="TextoNormal"/>
      </w:pPr>
    </w:p>
    <w:p w:rsidR="00A90898" w:rsidRDefault="00A90898" w:rsidP="00A90898">
      <w:pPr>
        <w:pStyle w:val="TextoNormal"/>
      </w:pPr>
      <w:r w:rsidRPr="00A90898">
        <w:rPr>
          <w:rStyle w:val="NumeroAFNegritaCaracter"/>
        </w:rPr>
        <w:t>3</w:t>
      </w:r>
      <w:r>
        <w:t>.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w:t>
      </w:r>
      <w:r w:rsidRPr="00A90898">
        <w:rPr>
          <w:i/>
        </w:rPr>
        <w:t>prima facie</w:t>
      </w:r>
      <w:r>
        <w:t xml:space="preserv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00A90898" w:rsidRDefault="00A90898" w:rsidP="00A90898">
      <w:pPr>
        <w:pStyle w:val="TextoNormal"/>
      </w:pPr>
    </w:p>
    <w:p w:rsidR="00A90898" w:rsidRDefault="00A90898" w:rsidP="00A90898">
      <w:pPr>
        <w:pStyle w:val="TextoNormal"/>
      </w:pPr>
      <w:r>
        <w:t>En la mencionada STC 148/2016, fundamentos jurídicos 4 y 5, este Tribunal hizo un detallado examen de la normativa interna española y también de la Unión Europea, de la que, a modo de resumen, podemos destacar lo siguiente:</w:t>
      </w:r>
    </w:p>
    <w:p w:rsidR="00A90898" w:rsidRDefault="00A90898" w:rsidP="00A90898">
      <w:pPr>
        <w:pStyle w:val="TextoNormal"/>
      </w:pPr>
    </w:p>
    <w:p w:rsidR="00A90898" w:rsidRDefault="00A90898" w:rsidP="00A90898">
      <w:pPr>
        <w:pStyle w:val="TextoNormal"/>
      </w:pPr>
      <w:r>
        <w:t xml:space="preserve">En relación con el análisis del Ordenamiento jurídico nacional, este Tribunal, hizo referencia, en primer lugar, al régimen de legitimación activa (restringida a las entidades e instituciones señaladas en su artículo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w:t>
      </w:r>
      <w:r>
        <w:lastRenderedPageBreak/>
        <w:t>artículo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00A90898" w:rsidRDefault="00A90898" w:rsidP="00A90898">
      <w:pPr>
        <w:pStyle w:val="TextoNormal"/>
      </w:pPr>
    </w:p>
    <w:p w:rsidR="00A90898" w:rsidRDefault="00A90898" w:rsidP="00A90898">
      <w:pPr>
        <w:pStyle w:val="TextoNormal"/>
      </w:pPr>
      <w:r>
        <w:t>Y, a continuación, la STC 148/2016 centró su atención en el vigente texto refundido de la Ley general para la defensa de los consumidores y usuarios y otras leyes complementarias, aprobado por Real Decreto Legislativo 1/2007, de 16 de noviembre, que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00A90898" w:rsidRDefault="00A90898" w:rsidP="00A90898">
      <w:pPr>
        <w:pStyle w:val="TextoNormal"/>
      </w:pPr>
    </w:p>
    <w:p w:rsidR="00A90898" w:rsidRDefault="00A90898" w:rsidP="00A90898">
      <w:pPr>
        <w:pStyle w:val="TextoNormal"/>
      </w:pPr>
      <w:r>
        <w:t>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b)].</w:t>
      </w:r>
    </w:p>
    <w:p w:rsidR="00A90898" w:rsidRDefault="00A90898" w:rsidP="00A90898">
      <w:pPr>
        <w:pStyle w:val="TextoNormal"/>
      </w:pPr>
    </w:p>
    <w:p w:rsidR="00A90898" w:rsidRDefault="00A90898" w:rsidP="00A90898">
      <w:pPr>
        <w:pStyle w:val="TextoNormal"/>
      </w:pPr>
      <w:r>
        <w:t>Por último, y, a mayor abundamiento, hay que destacar que, en la STC 148/2016, FJ 5 cuya doctrina resulta de aplicación, se señalaba que, en el ámbito del Derecho comunitario,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 [STC 148/2016, FJ 5 a)].</w:t>
      </w:r>
    </w:p>
    <w:p w:rsidR="00A90898" w:rsidRDefault="00A90898" w:rsidP="00A90898">
      <w:pPr>
        <w:pStyle w:val="TextoNormal"/>
      </w:pPr>
    </w:p>
    <w:p w:rsidR="00A90898" w:rsidRDefault="00A90898" w:rsidP="00A90898">
      <w:pPr>
        <w:pStyle w:val="TextoNormal"/>
      </w:pPr>
      <w: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w:t>
      </w:r>
      <w:r w:rsidRPr="00A90898">
        <w:rPr>
          <w:i/>
        </w:rPr>
        <w:t>a quo</w:t>
      </w:r>
      <w:r>
        <w:t xml:space="preserve"> de aplicar el art. 43 de la Ley de enjuiciamiento civil (LEC) con suspensión de los procesos de acción individual de nulidad de cláusula abusiva, hasta que recayera Sentencia firme en el proceso de cesación instado por ADICAE ante el Juzgado de lo Mercantil núm. 11 de Madrid (proc.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(STJUE, apartado 32).</w:t>
      </w:r>
    </w:p>
    <w:p w:rsidR="00A90898" w:rsidRDefault="00A90898" w:rsidP="00A90898">
      <w:pPr>
        <w:pStyle w:val="TextoNormal"/>
      </w:pPr>
    </w:p>
    <w:p w:rsidR="00A90898" w:rsidRDefault="00A90898" w:rsidP="00A90898">
      <w:pPr>
        <w:pStyle w:val="TextoNormal"/>
      </w:pPr>
      <w:r>
        <w:t>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(LCU), del que hace cita la Sentencia del Pleno de la Sala Primera del Tribunal Supremo núm. 241/2013, de 9 de mayo, FFJJ 235 a 238 y 246, para reconocer que esta regla de juicio por fuerza debe matizarse al resolver demandas de cesación.</w:t>
      </w:r>
    </w:p>
    <w:p w:rsidR="00A90898" w:rsidRDefault="00A90898" w:rsidP="00A90898">
      <w:pPr>
        <w:pStyle w:val="TextoNormal"/>
      </w:pPr>
    </w:p>
    <w:p w:rsidR="00A90898" w:rsidRDefault="00A90898" w:rsidP="00A90898">
      <w:pPr>
        <w:pStyle w:val="TextoNormal"/>
      </w:pPr>
      <w:r>
        <w:t>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(de la Ley de condiciones generales de </w:t>
      </w:r>
      <w:r>
        <w:lastRenderedPageBreak/>
        <w:t>la contratación y del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00A90898" w:rsidRDefault="00A90898" w:rsidP="00A90898">
      <w:pPr>
        <w:pStyle w:val="TextoNormal"/>
      </w:pPr>
    </w:p>
    <w:p w:rsidR="00A90898" w:rsidRDefault="00A90898" w:rsidP="00A90898">
      <w:pPr>
        <w:pStyle w:val="TextoNormal"/>
      </w:pPr>
      <w:r>
        <w:t xml:space="preserve">En consecuencia, si los aquí recurrentes no eran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w:t>
      </w:r>
      <w:r w:rsidRPr="00A90898">
        <w:rPr>
          <w:i/>
        </w:rPr>
        <w:t>a quo</w:t>
      </w:r>
      <w:r>
        <w:t xml:space="preserve">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A90898" w:rsidRDefault="00A90898" w:rsidP="00A90898">
      <w:pPr>
        <w:pStyle w:val="TextoNormal"/>
      </w:pPr>
    </w:p>
    <w:p w:rsidR="00A90898" w:rsidRDefault="00A90898" w:rsidP="00A90898">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LCU), como por ejemplo el cumplimiento del principio de transparencia. El objeto controvertido por tanto entre ambos procesos es similar, pero no idéntico. Ello no obsta, por supuesto, a que el Juzgado </w:t>
      </w:r>
      <w:r w:rsidRPr="00A90898">
        <w:rPr>
          <w:i/>
        </w:rPr>
        <w:t>a quo</w:t>
      </w:r>
      <w:r>
        <w:t>,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A90898" w:rsidRDefault="00A90898" w:rsidP="00A90898">
      <w:pPr>
        <w:pStyle w:val="TextoNormal"/>
      </w:pPr>
    </w:p>
    <w:p w:rsidR="00A90898" w:rsidRDefault="00A90898" w:rsidP="00A90898">
      <w:pPr>
        <w:pStyle w:val="TextoNormal"/>
      </w:pPr>
      <w:r>
        <w:lastRenderedPageBreak/>
        <w:t>Procede por tanto el otorgamiento del amparo que se solicita, declarando para ello la nulidad de los Autos recurridos, con retroacción de las actuaciones al momento inmediatamente anterior al de haberse dictado el Auto de 22 de enero de 2014, para que el Juzgado de lo Mercantil núm. 4 de Barcelona provea en términos que resulten respetuosos con el derecho fundamental declarado. Esto es, ordenando la continuación del procedimiento en primera instancia (juicio ordinario 492-2013)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amparo interpuesto por don Jaume Bassas Soriano, y, en su virtud:</w:t>
      </w:r>
    </w:p>
    <w:p w:rsidR="00A90898" w:rsidRDefault="00A90898" w:rsidP="00A90898">
      <w:pPr>
        <w:pStyle w:val="TextoNormal"/>
      </w:pPr>
    </w:p>
    <w:p w:rsidR="00A90898" w:rsidRDefault="00A90898" w:rsidP="00A90898">
      <w:pPr>
        <w:pStyle w:val="TextoNormal"/>
      </w:pPr>
      <w:r>
        <w:t>1º Declarar que ha sido vulnerado su derecho fundamental a la tutela judicial efectiva.</w:t>
      </w:r>
    </w:p>
    <w:p w:rsidR="00A90898" w:rsidRDefault="00A90898" w:rsidP="00A90898">
      <w:pPr>
        <w:pStyle w:val="TextoNormal"/>
      </w:pPr>
    </w:p>
    <w:p w:rsidR="00A90898" w:rsidRDefault="00A90898" w:rsidP="00A90898">
      <w:pPr>
        <w:pStyle w:val="TextoNormal"/>
      </w:pPr>
      <w:r>
        <w:t>2º Restablecerlo en la integridad de su derecho y, a tal fin, declarar la nulidad del Auto del Juzgado de lo Mercantil núm. 4 de Barcelona, de 22 de enero de 2014 (procedimiento ordinario núm. 492-2013); así como la nulidad de los Autos de la Sección Decimoquinta de la Audiencia Provincial de Barcelona, de 29 de enero de 2015 y de 14 de octubre de 2014 (rollo de apelación núm. 550-2014).</w:t>
      </w:r>
    </w:p>
    <w:p w:rsidR="00A90898" w:rsidRDefault="00A90898" w:rsidP="00A90898">
      <w:pPr>
        <w:pStyle w:val="TextoNormal"/>
      </w:pPr>
    </w:p>
    <w:p w:rsidR="00A90898" w:rsidRDefault="00A90898" w:rsidP="00A90898">
      <w:pPr>
        <w:pStyle w:val="TextoNormal"/>
      </w:pPr>
      <w:r>
        <w:t>3º Retrotraer las actuaciones hasta el momento inmediatamente anterior al de dictarse el Auto de 22 de enero de 2014, para que el Juzgado de lo Mercantil núm. 4 de Barcelona dicte otra resolución respetuosa con el derecho fundamental declarado.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uno de noviembre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6" w:name="SENTENCIA_2016_207"/>
      <w:r>
        <w:lastRenderedPageBreak/>
        <w:t>SENTENCIA 207/2016, de 12 de diciembre de 2016</w:t>
      </w:r>
    </w:p>
    <w:bookmarkEnd w:id="86"/>
    <w:p w:rsidR="00A90898" w:rsidRDefault="00A90898" w:rsidP="00A90898">
      <w:pPr>
        <w:pStyle w:val="TtuloResolucin"/>
      </w:pPr>
      <w:r>
        <w:t>Sala Primera</w:t>
      </w:r>
    </w:p>
    <w:p w:rsidR="00A90898" w:rsidRDefault="00A90898" w:rsidP="00A90898">
      <w:pPr>
        <w:pStyle w:val="TtuloBOE"/>
      </w:pPr>
      <w:r>
        <w:t>(BOE núm. 17, de 20 de enero de 2017)</w:t>
      </w:r>
    </w:p>
    <w:p w:rsidR="00A90898" w:rsidRDefault="00A90898" w:rsidP="00A90898">
      <w:pPr>
        <w:pStyle w:val="TextoNormalCentrado"/>
      </w:pPr>
      <w:r>
        <w:t>ECLI:ES:TC:2016:207</w:t>
      </w:r>
    </w:p>
    <w:p w:rsidR="00A90898" w:rsidRDefault="00A90898" w:rsidP="00A90898">
      <w:pPr>
        <w:pStyle w:val="TextoNormalCentrado"/>
      </w:pPr>
    </w:p>
    <w:p w:rsidR="00A90898" w:rsidRDefault="00A90898" w:rsidP="00A90898">
      <w:pPr>
        <w:pStyle w:val="SntesisDescriptiva"/>
      </w:pPr>
      <w:r>
        <w:t>Recurso de amparo 1765-2015. Promovido por doña Aroa Pardell Martín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Asunto sustancialmente idéntico al resuelto por la STC 148/2016, en relación con la doctrina sobre la vulneración del derecho a la tutela judicial efectiva como consecuencia de la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r>
        <w:t>2.</w:t>
      </w:r>
      <w:r>
        <w:tab/>
        <w:t>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w:t>
      </w:r>
    </w:p>
    <w:p w:rsidR="00A90898" w:rsidRDefault="00A90898" w:rsidP="00A90898">
      <w:pPr>
        <w:pStyle w:val="Extracto"/>
      </w:pPr>
    </w:p>
    <w:p w:rsidR="00A90898" w:rsidRDefault="00A90898" w:rsidP="00A90898">
      <w:pPr>
        <w:pStyle w:val="Extracto"/>
      </w:pPr>
      <w:r>
        <w:t>3.</w:t>
      </w:r>
      <w:r>
        <w:tab/>
        <w:t>Se rechaza el óbice procesal alegado por la entidad bancaria personada, relativo a la falta de agotamiento de la vía judicial previa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1765-2015, promovido por doña Aroa Pardell Martín, representada por la Procuradora de los Tribunales doña María José Rodríguez Teijeiro y asistida por el Letrado don Sebastián Rodés Cerveto, contra el Auto del Juzgado de lo Mercantil núm. 1 de Barcelona, de 14 de mayo de 2014 (procedimiento ordinario núm. 694-2013) y contra el Auto de la Sección Decimoquinta de la Audiencia Provincial de Barcelona, </w:t>
      </w:r>
      <w:r>
        <w:lastRenderedPageBreak/>
        <w:t>de 5 de febrero de 2015, que desestimó el recurso de apelación (rollo núm. 410-2014) promovido contra la resolución anterior. Ha actuado como parte la entidad Caixabank, S.A., representada por el Procurador don Miguel Ángel Montero Reiter y asistida por el Letrado don Alejandro Ferreres Comella. Ha intervenido el Ministerio Fiscal.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24 de marzo de 2015, la Procuradora de los Tribunales doña María José Rodríguez Teijeiro, actuando en nombre de doña Aroa Pardell Martín,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Con fecha 11 de octubre de 2013, la ahora recurrente en amparo interpuso demanda de juicio ordinario frente a la entidad Caixabank, S.A., ejercitando conjuntamente una acción declarativa de nulidad de una condición general de la contratación y otra de reclamación de cantidad. Se alegaba por la recurrente que, tras la constitución el día 20 de octubre de 2006, de una hipoteca sobre la vivienda de su propiedad con el fin de garantizar la devolución del préstamo otorgado a su favor por la entidad Monte de Piedad y Cajas de Ahorros de Huelva y Sevilla, se incluyó una cláusula sobre el tipo de interés aplicable a la vida del préstamo, que consistía en el establecimiento, en una primera etapa de seis meses cuyo inicio de devengo era el de la fecha de disposición por la parte prestataria de cualquier cantidad del préstamo, del 4,1 por 100 nominal anual (estipulación tercera); y otra segunda etapa, “de interés variable”, comprendida desde el día siguiente al de finalización de la primera etapa hasta el día de vencimiento del préstamo, en la que se determinaba (estipulación tercera bis) que: “en ningún caso, el tipo de interés será inferior al cuatro enteros con diez centésimas por ciento (4,1 por 100) ni superior al catorce enteros por ciento (14,00 por 100)”.</w:t>
      </w:r>
    </w:p>
    <w:p w:rsidR="00A90898" w:rsidRDefault="00A90898" w:rsidP="00A90898">
      <w:pPr>
        <w:pStyle w:val="TextoNormal"/>
      </w:pPr>
    </w:p>
    <w:p w:rsidR="00A90898" w:rsidRDefault="00A90898" w:rsidP="00A90898">
      <w:pPr>
        <w:pStyle w:val="TextoNormal"/>
      </w:pPr>
      <w:r>
        <w:t>La demanda de la actora combatía precisamente el extremo de esa estipulación que hacía referencia al límite mínimo del 4,1 por 100 nominal anual, en referencia a lo que se conoce como “cláusula suelo”. Argumentaba aquélla que dicha cláusula era nula de pleno derecho por abusiva, al no haber podido negociarse individualmente, resultar contraria a las exigencias de la buena fe y causar un desequilibrio contractual en su perjuicio, con incumplimiento del principio de transparencia en cuanto a la información de las consecuencias de la cláusula, teniendo en cuenta su condición jurídica de consumidores. Por ello, solicitaba, además de su nulidad, la devolución de lo pagado al prestatario en aplicación de la referida cláusula, con los intereses legales devengados.</w:t>
      </w:r>
    </w:p>
    <w:p w:rsidR="00A90898" w:rsidRDefault="00A90898" w:rsidP="00A90898">
      <w:pPr>
        <w:pStyle w:val="TextoNormal"/>
      </w:pPr>
    </w:p>
    <w:p w:rsidR="00A90898" w:rsidRDefault="00A90898" w:rsidP="00A90898">
      <w:pPr>
        <w:pStyle w:val="TextoNormal"/>
      </w:pPr>
      <w:r>
        <w:t xml:space="preserve">b) La demanda “sobre acción declarativa de nulidad de condición general de la contratación y acción de reclamación de cantidad” fue turnada al Juzgado de lo Mercantil núm. 1 de Barcelona y admitida a trámite en virtud de Decreto de su Secretaría de 25 de noviembre de 2013. Conferido traslado de la misma a la parte demandada, la entidad Caixabank, S.A., su representación procesal presentó escrito de contestación a la demanda el 22 de enero de </w:t>
      </w:r>
      <w:r>
        <w:lastRenderedPageBreak/>
        <w:t>2014, en el que planteó diversas excepciones procesales, en concreto y por lo que importa a este amparo, la de prejudicialidad civil respecto del procedimiento instado por la Asociación de usuarios de Bancos, Cajas de Ahorros y Seguros de España (ADICAE), para la protección de derechos e intereses colectivos y difusos de consumidores y usuarios, conforme a demanda de la que se aportaba copia de la cédula de emplazamiento, autos seguidos ante el Juzgado de lo Mercantil núm. 11 de Madrid (procedimiento ordinario núm. 471-2010) donde se impugnaba, entre otras, la cláusula suelo de la demandada.</w:t>
      </w:r>
    </w:p>
    <w:p w:rsidR="00A90898" w:rsidRDefault="00A90898" w:rsidP="00A90898">
      <w:pPr>
        <w:pStyle w:val="TextoNormal"/>
      </w:pPr>
    </w:p>
    <w:p w:rsidR="00A90898" w:rsidRDefault="00A90898" w:rsidP="00A90898">
      <w:pPr>
        <w:pStyle w:val="TextoNormal"/>
      </w:pPr>
      <w:r>
        <w:t>También se opuso al fondo de las pretensiones suscitadas en la demanda y solicitó su desestimación íntegra.</w:t>
      </w:r>
    </w:p>
    <w:p w:rsidR="00A90898" w:rsidRDefault="00A90898" w:rsidP="00A90898">
      <w:pPr>
        <w:pStyle w:val="TextoNormal"/>
      </w:pPr>
    </w:p>
    <w:p w:rsidR="00A90898" w:rsidRDefault="00A90898" w:rsidP="00A90898">
      <w:pPr>
        <w:pStyle w:val="TextoNormal"/>
      </w:pPr>
      <w:r>
        <w:t>c) La Secretaría del Juzgado dictó diligencia de ordenación el 30 de enero de 2014, teniendo por presentado el escrito de contestación a la demanda y convocando a las partes a la celebración del acto de la audiencia previa el 14 de mayo de 2014.</w:t>
      </w:r>
    </w:p>
    <w:p w:rsidR="00A90898" w:rsidRDefault="00A90898" w:rsidP="00A90898">
      <w:pPr>
        <w:pStyle w:val="TextoNormal"/>
      </w:pPr>
    </w:p>
    <w:p w:rsidR="00A90898" w:rsidRDefault="00A90898" w:rsidP="00A90898">
      <w:pPr>
        <w:pStyle w:val="TextoNormal"/>
      </w:pPr>
      <w:r>
        <w:t>d) En la fecha de referencia —14 de mayo de 2014—, el Juzgado dictó Auto estimatorio de la excepción de prejudicialidad civil planteada por la representación de Caixabank, S.A., y acordó la suspensión del procedimiento hasta que recayera resolución firme en el proceso seguido ante el Juzgado de lo Mercantil núm. 11 de Madrid. En su fundamentación, el Juzgado señaló que existían “dos orientaciones contradictorias”, de una parte, el art. 11.1 de la Ley de enjuiciamiento civil (LEC) reconocía legitimación a las asociaciones de consumidores y usuarios para defender los intereses de éstos, pero también, de otra, confería legitimación activa a los consumidores individuales para defender sus propios intereses, permitiendo extender los efectos de la cosa juzgada material a los consumidores no litigantes, destacaba de modo textual en su fundamento jurídico 3 que tal circunstancia “implicaría que promovido un pleito con las mismas pretensiones por una asociación de consumidores no pudieran plantearse acciones individuales o las que se plantearan fueran sobreseídas, art. 421 LEC, mientras que si la coincidencia no es total sino parcial, el procedimiento tendría que suspenderse por prejudicialidad civil, art. 421.1 y 43 LEC”. Por ello y, según refería la resolución, para evitar “resoluciones contradictorias” y con apoyo, también, en un precedente Auto de la Sección Decimoquinta de la Audiencia Provincial de Barcelona (de 11 de junio de 2013), que, según razonaba el Juzgado, era similar al de autos, estimó procedente la existencia de una prejudicialidad civil, conforme prevé el art. 43 LEC, y acordó pues la suspensión del procedimiento hasta tanto fuera resuelto el seguido ante el Juzgado de lo Mercantil núm. 11 de Madrid.</w:t>
      </w:r>
    </w:p>
    <w:p w:rsidR="00A90898" w:rsidRDefault="00A90898" w:rsidP="00A90898">
      <w:pPr>
        <w:pStyle w:val="TextoNormal"/>
      </w:pPr>
    </w:p>
    <w:p w:rsidR="00A90898" w:rsidRDefault="00A90898" w:rsidP="00A90898">
      <w:pPr>
        <w:pStyle w:val="TextoNormal"/>
      </w:pPr>
      <w:r>
        <w:t>e) Contra el indicado Auto, la parte actora interpuso recurso de apelación en el que, además de alegar en el plano de la legalidad ordinaria la infracción del art. 43 LEC y argumentar que el ejercicio de la acción colectiva por parte de ADICAE no impedía a los interesados ejercitar las acciones individuales que tuvieran por conveniente con base en lo previsto en el art. 11.1 LEC, la recurrente sostuvo que la tesis del Juzgado conducía a una vulneración del derecho fundamental a la tutela judicial efectiva, consagrado en el art. 24.1 CE.</w:t>
      </w:r>
    </w:p>
    <w:p w:rsidR="00A90898" w:rsidRDefault="00A90898" w:rsidP="00A90898">
      <w:pPr>
        <w:pStyle w:val="TextoNormal"/>
      </w:pPr>
    </w:p>
    <w:p w:rsidR="00A90898" w:rsidRDefault="00A90898" w:rsidP="00A90898">
      <w:pPr>
        <w:pStyle w:val="TextoNormal"/>
      </w:pPr>
      <w:r>
        <w:t xml:space="preserve">f) La Sección Decimoquinta de la Audiencia Provincial de Barcelona dictó Auto el día 5 de febrero de 2015, en el seno del rollo de apelación 410-2014, por el que desestimó el recurso interpuesto, si bien en su parte dispositiva agregó el siguiente tenor literal: “[N]o obstante lo cual, modificamos de oficio la resolución recurrida apreciando que no concurre </w:t>
      </w:r>
      <w:r>
        <w:lastRenderedPageBreak/>
        <w:t>prejudicialidad sino litispendencia, de manera que procede el archivo de las actuaciones”, sin expresa imposición de costas.</w:t>
      </w:r>
    </w:p>
    <w:p w:rsidR="00A90898" w:rsidRDefault="00A90898" w:rsidP="00A90898">
      <w:pPr>
        <w:pStyle w:val="TextoNormal"/>
      </w:pPr>
    </w:p>
    <w:p w:rsidR="00A90898" w:rsidRDefault="00A90898" w:rsidP="00A90898">
      <w:pPr>
        <w:pStyle w:val="TextoNormal"/>
      </w:pPr>
      <w:r>
        <w:t>Los argumentos desplegados por el Auto de referencia (fundamentos jurídicos 3 a 5) para tomar su decisión fueron, en síntesis, los siguientes:</w:t>
      </w:r>
    </w:p>
    <w:p w:rsidR="00A90898" w:rsidRDefault="00A90898" w:rsidP="00A90898">
      <w:pPr>
        <w:pStyle w:val="TextoNormal"/>
      </w:pPr>
    </w:p>
    <w:p w:rsidR="00A90898" w:rsidRDefault="00A90898" w:rsidP="00A90898">
      <w:pPr>
        <w:pStyle w:val="TextoNormal"/>
      </w:pPr>
      <w:r>
        <w:t>En primer lugar (fundamento jurídico 3), con apoyo en el art. 222.3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 15 LEC, esto es, intervenir en el proceso, o bien solicitar la acumulación de la acción individual a la colectiva (siempre que se cumplan los requisitos que exige el art. 76.2.1 LEC) o interesar la extensión de los efectos del pronunciamiento en fase de ejecución (art.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Afirma que no se cumplen en el supuesto enjuiciado los presupuestos establecidos en el art. 43 LEC, norma que regula la prejudicialidad civil, sino que existe identidad de objeto “porque la condición general impugnada en ambos en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00A90898" w:rsidRDefault="00A90898" w:rsidP="00A90898">
      <w:pPr>
        <w:pStyle w:val="TextoNormal"/>
      </w:pPr>
    </w:p>
    <w:p w:rsidR="00A90898" w:rsidRDefault="00A90898" w:rsidP="00A90898">
      <w:pPr>
        <w:pStyle w:val="TextoNormal"/>
      </w:pPr>
      <w:r>
        <w:t>En segundo término (fundamento jurídico 4), la Sala arguye que, aun cuando el art. 11.1 LEC reconozca legitimación activa a los perjudicados titulares de acciones individuales, tal circunstancia no se opone a la apreciación de litispendencia, pues sostiene que el hecho de que los perjudicados “tengan legitimación activa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ni se les impide el acceso a la tutela sino que únicamente se condiciona el ejercicio de las acciones individuales de una forma concreta y determinada (acumulada a otras, las colectivas), de manera que permite conciliar esos derechos individuales con los de los demás afectados”. Se trataría por tanto, concluye, de “normas de organización procesal que pretenden salvaguardar el interés general (los intereses colectivos) respetando el buen orden procesal (la cosa juzgada)”.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La actora formalizó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00A90898" w:rsidRDefault="00A90898" w:rsidP="00A90898">
      <w:pPr>
        <w:pStyle w:val="TextoNormal"/>
      </w:pPr>
    </w:p>
    <w:p w:rsidR="00A90898" w:rsidRDefault="00A90898" w:rsidP="00A90898">
      <w:pPr>
        <w:pStyle w:val="TextoNormal"/>
      </w:pPr>
      <w:r>
        <w:t>Más adelante, en el bloque de fundamentos de derecho procesales, en concreto en el epígrafe dedicado al requisito del debido agotamiento de la vía judicial previa al amparo, art. 44.1 a) de la Ley Orgánica del Tribunal Constitucional (LOTC), la demanda explica que no se promovió incidente de nulidad de actuaciones contra el auto de la Audiencia Provincial “al haber sido rechazada dicha nulidad por el mismo Tribunal en otro asunto sustancialmente idéntico al presente, según el Auto de fecha 29 de enero de 2015 … dictado en rollo núm. 173/2014-1ª”.</w:t>
      </w:r>
    </w:p>
    <w:p w:rsidR="00A90898" w:rsidRDefault="00A90898" w:rsidP="00A90898">
      <w:pPr>
        <w:pStyle w:val="TextoNormal"/>
      </w:pPr>
    </w:p>
    <w:p w:rsidR="00A90898" w:rsidRDefault="00A90898" w:rsidP="00A90898">
      <w:pPr>
        <w:pStyle w:val="TextoNormal"/>
      </w:pPr>
      <w: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del canon del principio </w:t>
      </w:r>
      <w:r w:rsidRPr="00A90898">
        <w:rPr>
          <w:i/>
        </w:rPr>
        <w:t>pro actione</w:t>
      </w:r>
      <w:r>
        <w:t>,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Tras citar la recomendación de 11 de junio de 2013 de la Comisión Europea, defiende que no hay peligro en estos casos de sentencias contradictorias “pues los intereses en juego en cada una de las acciones es distinto y tanto más cuando, como es el caso, los recurrentes [</w:t>
      </w:r>
      <w:r w:rsidRPr="00A90898">
        <w:rPr>
          <w:i/>
        </w:rPr>
        <w:t>sic</w:t>
      </w:r>
      <w:r>
        <w:t xml:space="preserve">] no forman parte del elenco de los concretos intereses defendidos en el otro proceso ni tan siquiera que hayan sido llamados a ese proceso lo que, en todo caso, no puede constituirse ni en una obligación ni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w:t>
      </w:r>
      <w:r w:rsidRPr="00A90898">
        <w:rPr>
          <w:i/>
        </w:rPr>
        <w:t>causa petendi</w:t>
      </w:r>
      <w:r>
        <w:t xml:space="preserve"> entre la acción ejercida por esta parte y la acción colectiva interpuesta por ADICAE y que se sustancia en el Juzgado Mercantil núm. 11 de Madrid”. Insiste finalmente en una lectura </w:t>
      </w:r>
      <w:r>
        <w:lastRenderedPageBreak/>
        <w:t>integrada de los arts. 11.1 LEC y 24.1 CE, para no excluir el ejercicio de las acciones individuales.</w:t>
      </w:r>
    </w:p>
    <w:p w:rsidR="00A90898" w:rsidRDefault="00A90898" w:rsidP="00A90898">
      <w:pPr>
        <w:pStyle w:val="TextoNormal"/>
      </w:pPr>
    </w:p>
    <w:p w:rsidR="00A90898" w:rsidRDefault="00A90898" w:rsidP="00A90898">
      <w:pPr>
        <w:pStyle w:val="TextoNormal"/>
      </w:pPr>
      <w:r>
        <w:t>El suplico de la demanda solicita la declaración de nulidad del Auto de la Sección Decimoquinta de la Audiencia Provincial de Barcelona, de 5 de febrero de 2015 y que, como consecuencia de ello, “se ordene la emisión de una sentencia sobre el fondo según las pretensiones y peticiones de las partes que constan en los autos, restableciendo de este modo los derechos a la tutela judicial efectiva de los recurrentes” [</w:t>
      </w:r>
      <w:r w:rsidRPr="00A90898">
        <w:rPr>
          <w:i/>
        </w:rPr>
        <w:t>sic</w:t>
      </w:r>
      <w:r>
        <w:t>].</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Mediante diligencia de ordenación de 6 de abril de 2015, la Secretaría de Justicia de la Sección Primera de este Tribunal requirió a la Procuradora de la recurrente para que aportara copia del Auto dictado por el Juzgado de lo Mercantil núm. 1 de Barcelona; ya para que otorgara apoderamiento </w:t>
      </w:r>
      <w:r w:rsidRPr="00A90898">
        <w:rPr>
          <w:i/>
        </w:rPr>
        <w:t>apud acta</w:t>
      </w:r>
      <w:r>
        <w:t>, pudiendo comparecer en la Secretaría de la Sala con tal finalidad. Ambos requerimientos fueron cumplimentados por dicha representación procesal, a través de escritos presentados, respectivamente, los días 23 y 22 de abril de 2015 (el apoderamiento se había otorgado ante el Juzgado Decano de Barcelona, el 14 de mayo de 2014).</w:t>
      </w:r>
    </w:p>
    <w:p w:rsidR="00A90898" w:rsidRDefault="00A90898" w:rsidP="00A90898">
      <w:pPr>
        <w:pStyle w:val="TextoNormal"/>
      </w:pPr>
    </w:p>
    <w:p w:rsidR="00A90898" w:rsidRDefault="00A90898" w:rsidP="00A90898">
      <w:pPr>
        <w:pStyle w:val="TextoNormal"/>
      </w:pPr>
      <w:r w:rsidRPr="00A90898">
        <w:rPr>
          <w:rStyle w:val="NumeroAFNegritaCaracter"/>
        </w:rPr>
        <w:t>5</w:t>
      </w:r>
      <w:r>
        <w:t>. Con fecha 30 de noviembre de 2015, la Sala Primera de este Tribunal, dictó providencia admitiendo a trámite la demanda de amparo, apreciando que “concurre en el mismo una especial trascendencia constitucional (art. 50.1 LOTC), como consecuencia de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4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Por medio de escrito presentado el día 30 de diciembre de 2015, el Procurador de los Tribunales don Miguel Ángel Montero Reiter vino a personarse en nombre y representación de la entidad Caixabank, S.A., solicitando se entendieran con él las sucesivas diligencias y notificaciones.</w:t>
      </w:r>
    </w:p>
    <w:p w:rsidR="00A90898" w:rsidRDefault="00A90898" w:rsidP="00A90898">
      <w:pPr>
        <w:pStyle w:val="TextoNormal"/>
      </w:pPr>
    </w:p>
    <w:p w:rsidR="00A90898" w:rsidRDefault="00A90898" w:rsidP="00A90898">
      <w:pPr>
        <w:pStyle w:val="TextoNormal"/>
      </w:pPr>
      <w:r w:rsidRPr="00A90898">
        <w:rPr>
          <w:rStyle w:val="NumeroAFNegritaCaracter"/>
        </w:rPr>
        <w:t>7</w:t>
      </w:r>
      <w:r>
        <w:t>. La Secretaría de Justicia de la Sala Primera de este Tribunal dictó diligencia de ordenación el día 5 de enero de 2016, por la que tuvo por personado y parte en el procedimiento al Procurador indicado, en nombre y representación de Caixabank, S.A. Asimismo, se acordó abrir trámite de audiencia por veinte días a las partes personadas y al Ministerio Fiscal, a fin de que pudieran presentar alegaciones conforme determina el art. 52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8</w:t>
      </w:r>
      <w:r>
        <w:t>. Con fecha 5 de octubre de 2015 se formalizó escrito de alegaciones por el representante procesal de la entidad Caixabank, S.A. Como primer punto, se alega la infracción del requisito de procedibilidad del art. 44.1 a) LOTC, referido al agotamiento previo de la vía judicial por no haber interpuesto incidente de nulidad de actuaciones contra el Auto de apelación, haciendo cita de las SSTC 216/2013, de 19 de diciembre, FJ 2, y 242/2015, de 30 de noviembre, FJ 3; así como del ATC 65/2015, de 13 de abril, FJ 3.</w:t>
      </w:r>
    </w:p>
    <w:p w:rsidR="00A90898" w:rsidRDefault="00A90898" w:rsidP="00A90898">
      <w:pPr>
        <w:pStyle w:val="TextoNormal"/>
      </w:pPr>
    </w:p>
    <w:p w:rsidR="00A90898" w:rsidRDefault="00A90898" w:rsidP="00A90898">
      <w:pPr>
        <w:pStyle w:val="TextoNormal"/>
      </w:pPr>
      <w:r>
        <w:t>Por lo que se refiere a la cuestión de fondo, sostiene la entidad bancaria que no hay la vulneración que se aduce de contrario en la demanda, porque los consumidores y usuarios tienen legitimación para ejercitar una acción individual bien que en casos como éste han de hacerlo en el procedimiento colectivo, acumulando su acción individual. Se refiere también al planteamiento de cuestión prejudicial por el Juzgado de lo Mercantil núm. 9 de Barcelona, asunto C-381-2014, poniendo de relieve la disparidad de criterios, y reproduce un párrafo de las conclusiones del Abogado General presentadas en dicho proceso; insistiendo por último en el carácter de configuración legal del derecho a la tutela judicial efectiva.</w:t>
      </w:r>
    </w:p>
    <w:p w:rsidR="00A90898" w:rsidRDefault="00A90898" w:rsidP="00A90898">
      <w:pPr>
        <w:pStyle w:val="TextoNormal"/>
      </w:pPr>
    </w:p>
    <w:p w:rsidR="00A90898" w:rsidRDefault="00A90898" w:rsidP="00A90898">
      <w:pPr>
        <w:pStyle w:val="TextoNormal"/>
      </w:pPr>
      <w:r w:rsidRPr="00A90898">
        <w:rPr>
          <w:rStyle w:val="NumeroAFNegritaCaracter"/>
        </w:rPr>
        <w:t>9</w:t>
      </w:r>
      <w:r>
        <w:t>. El Ministerio Fiscal formalizó su escrito de alegaciones con fecha 10 de febrero de 2016, interesando la estimación del amparo “por entender que el Auto dictado por el Juzgado de lo Mercantil … y el Auto … de la Audiencia Provincial de Barcelona desestimando el recurso de apelación contra el anterior han vulnerado el art. 24.1 CE que tutela el acceso al proceso y a obtener una resolución de fondo, restableciendo a los demandantes en amparo en su derecho fundamental”.</w:t>
      </w:r>
    </w:p>
    <w:p w:rsidR="00A90898" w:rsidRDefault="00A90898" w:rsidP="00A90898">
      <w:pPr>
        <w:pStyle w:val="TextoNormal"/>
      </w:pPr>
    </w:p>
    <w:p w:rsidR="00A90898" w:rsidRDefault="00A90898" w:rsidP="00A90898">
      <w:pPr>
        <w:pStyle w:val="TextoNormal"/>
      </w:pPr>
      <w:r>
        <w:t>Tras exponer los antecedentes de hecho, se precisa que “son dos las resoluciones judiciales impugnadas porque en ambas, tanto en la de instancia como en la de apelación, se deniega el acceso a la jurisdicción, si bien por motivos diferentes”; la del Juzgado acordando la suspensión por prejudicialidad, y la Audiencia el archivo del procedimiento por litispendencia. Así, “siendo motivaciones distintas las que impiden el acceso a la jurisdicción de las demandantes de amparo, ambas tienen un nexo común, cual es la finalidad de ambas resoluciones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A90898" w:rsidRDefault="00A90898" w:rsidP="00A90898">
      <w:pPr>
        <w:pStyle w:val="TextoNormal"/>
      </w:pPr>
    </w:p>
    <w:p w:rsidR="00A90898" w:rsidRDefault="00A90898" w:rsidP="00A90898">
      <w:pPr>
        <w:pStyle w:val="TextoNormal"/>
      </w:pPr>
      <w:r>
        <w:t>En relación al motivo de fondo del recurso, el Ministerio público se centra en el art. 11.1 LEC, del que observa que prevé la legitimación de las asociaciones de consumidores y usuarios para ejercitar acciones en defensa de los intereses generales de éstos, “sin perjuicio de la legitimación individual de los perjudicados”, quedando así establecida la compatibilidad entre ambas. Pasa a referirse a los razonamientos dados en el Auto del Juzgado de lo Mercantil núm. 1 de Barcelona, y critica la solución de suspender el procedimiento hasta que recaiga sentencia firme en la causa seguida por ADICAE ante el Juzgado de lo Mercantil núm. 11 de Madrid, al no tratarse de las mismas partes, “porque en el proceso previo es una asociación de consumidores y en el proceso que se encuentra en el origen del presente recurso son los demandantes de amparo, que ni consta pertenezcan a la asociación demandante ni tan siquiera que hayan sido llamados a dicho proceso”.</w:t>
      </w:r>
    </w:p>
    <w:p w:rsidR="00A90898" w:rsidRDefault="00A90898" w:rsidP="00A90898">
      <w:pPr>
        <w:pStyle w:val="TextoNormal"/>
      </w:pPr>
    </w:p>
    <w:p w:rsidR="00A90898" w:rsidRDefault="00A90898" w:rsidP="00A90898">
      <w:pPr>
        <w:pStyle w:val="TextoNormal"/>
      </w:pPr>
      <w:r>
        <w:t>Así las cosas, 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 xml:space="preserve">A su parecer, además, la resolución del Juzgado adolece de una deficiente fundamentación, por dos causas: “En primer lugar porque en ningún momento se ha aportado en el proceso” ni el Juzgado y luego ante la Sección en apelación, ni lo aportó la entidad demandada, “que eran a los que correspondía hacerlo, la documentación del proceso preexistente que permitiera de manera cierta documentar no sólo la </w:t>
      </w:r>
      <w:r w:rsidRPr="00A90898">
        <w:rPr>
          <w:i/>
        </w:rPr>
        <w:t>litis</w:t>
      </w:r>
      <w:r>
        <w:t xml:space="preserve"> del mismo y el alcance final de esta sino asimismo las relaciones procesales existentes en aquél, el momento procesal y lo actuado hasta ese momento así como los llamamientos a quienes pudieran ser parte en el mismo al tenor de los arts. 11 y 15 LEC. Y lo mismo cabe decir del art. 43 LEC para poder decidir si concurría o no prejudicialidad civil … en ningún momento concreta ni razona cuales sean las similitudes y las diferencias que le permitan llegar a esa conclusión; un déficit argumentativo y fundamentador que es de alcance grave para con una decisión de tanta relevancia como lo es la suspensión de un proceso y el impedimento, al menos momentáneo, de que prospere el </w:t>
      </w:r>
      <w:r w:rsidRPr="00A90898">
        <w:rPr>
          <w:i/>
        </w:rPr>
        <w:t>petitum</w:t>
      </w:r>
      <w:r>
        <w:t xml:space="preserve"> de los demandantes”.</w:t>
      </w:r>
    </w:p>
    <w:p w:rsidR="00A90898" w:rsidRDefault="00A90898" w:rsidP="00A90898">
      <w:pPr>
        <w:pStyle w:val="TextoNormal"/>
      </w:pPr>
    </w:p>
    <w:p w:rsidR="00A90898" w:rsidRDefault="00A90898" w:rsidP="00A90898">
      <w:pPr>
        <w:pStyle w:val="TextoNormal"/>
      </w:pPr>
      <w:r>
        <w:t>Y en segundo lugar, prosigue diciendo, porque tampoco el Auto del Juzgado motiva por qué no era posible acordar la acumulación de procesos antes de tener que llegar a la solución de declarar la prejudicialidad.</w:t>
      </w:r>
    </w:p>
    <w:p w:rsidR="00A90898" w:rsidRDefault="00A90898" w:rsidP="00A90898">
      <w:pPr>
        <w:pStyle w:val="TextoNormal"/>
      </w:pPr>
    </w:p>
    <w:p w:rsidR="00A90898" w:rsidRDefault="00A90898" w:rsidP="00A90898">
      <w:pPr>
        <w:pStyle w:val="TextoNormal"/>
      </w:pPr>
      <w:r>
        <w:t>De la resolución de apelación, considera a su vez el Fiscal que “incide en los mismos defectos constitucionales que hemos atribuido a la de instancia”.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al efecto las consideraciones efectuadas ya a propósito del Auto del Juzgado.</w:t>
      </w:r>
    </w:p>
    <w:p w:rsidR="00A90898" w:rsidRDefault="00A90898" w:rsidP="00A90898">
      <w:pPr>
        <w:pStyle w:val="TextoNormal"/>
      </w:pPr>
    </w:p>
    <w:p w:rsidR="00A90898" w:rsidRDefault="00A90898" w:rsidP="00A90898">
      <w:pPr>
        <w:pStyle w:val="TextoNormal"/>
      </w:pPr>
      <w:r>
        <w:t xml:space="preserve">A continuación, cuestiona la declaración de oficio de la litispendencia hecha por la Audiencia, lo que “podría suponer la vulneración del derecho a no padecer indefensión anudada a incongruencia </w:t>
      </w:r>
      <w:r w:rsidRPr="00A90898">
        <w:rPr>
          <w:i/>
        </w:rPr>
        <w:t>extra petita</w:t>
      </w:r>
      <w:r>
        <w:t xml:space="preserve"> (art. 24.1 CE) e incluso del proceso debido (art. 24.2 CE)”. De otro lado,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10</w:t>
      </w:r>
      <w:r>
        <w:t>. La representación procesal de la recurrente no presentó alegaciones, según se hizo constar en diligencia de la Secretaría de Justicia de 23 de febrero de 2016.</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7 de diciembre de 2016, se señaló para deliberación y votación de la presente Sentencia el día 12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demanda de amparo solicita en su suplico, por los motivos que expone en sus fundamentos y que luego se analizarán, que este Tribunal declare la nulidad del Auto de la Sección Decimoquinta de la Audiencia Provincial de Barcelona dictado el 5 de febrero de 2015, por vulnerar el derecho de acceso a la jurisdicción (art. 24.1 CE) de la recurrente, al haber estimado la excepción procesal de litispendencia respecto del procedimiento abierto a su instancia contra la entidad Caixabank, S.A., para la nulidad de la cláusula suelo incluida en el contrato de préstamo suscrito entre ambas partes; en favor del procedimiento instado a su vez en el año 2010 por la asociación de consumidores ADICAE contra diversas entidades financieras —entre ellas la aquí demandada—,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t>Ahora bien, aunque no en el suplico, el escrito de demanda sí que hace referencia en sus fundamentos a que el Juzgado de lo Mercantil núm. 1 de Barcelona había dictado Auto el 14 de mayo de 2014, acordando estimar la excepción de prejudicialidad del art. 43 de la Ley de enjuiciamiento civil (LEC) planteada por la entidad demandada, en relación con aquel otro proceso seguido a instancias de ADICAE, trayendo consigo que se suspendieran las actuaciones hasta recaer sentencia firme en este último, a fin de estar a lo resuelto en el mismo para dilucidar la controversia aquí planteada. Esta decisión judicial propició, según explica la propia demanda, la interposición de un recurso de apelación en el que, aparte de otros argumentos, se hizo expresa invocación del art. 24.1 CE, al entenderse como impeditiva del derecho de la recurrente a obtener una resolución de fondo sobre sus pretensiones.</w:t>
      </w:r>
    </w:p>
    <w:p w:rsidR="00A90898" w:rsidRDefault="00A90898" w:rsidP="00A90898">
      <w:pPr>
        <w:pStyle w:val="TextoNormal"/>
      </w:pPr>
    </w:p>
    <w:p w:rsidR="00A90898" w:rsidRDefault="00A90898" w:rsidP="00A90898">
      <w:pPr>
        <w:pStyle w:val="TextoNormal"/>
      </w:pPr>
      <w:r>
        <w:t xml:space="preserve">A la vista de esa denuncia, y dado que la demanda en ningún momento afirma que el Auto de la Audiencia hubiere reparado la lesión producida por el Juzgado </w:t>
      </w:r>
      <w:r w:rsidRPr="00A90898">
        <w:rPr>
          <w:i/>
        </w:rPr>
        <w:t>a quo</w:t>
      </w:r>
      <w:r>
        <w:t>, ha de 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dispositiva como la </w:t>
      </w:r>
      <w:r w:rsidRPr="00A90898">
        <w:rPr>
          <w:i/>
        </w:rPr>
        <w:t>ratio decidendi</w:t>
      </w:r>
      <w:r>
        <w:t xml:space="preserve"> de las resoluciones impugnadas: la del Juzgado </w:t>
      </w:r>
      <w:r w:rsidRPr="00A90898">
        <w:rPr>
          <w:i/>
        </w:rPr>
        <w:t>a quo</w:t>
      </w:r>
      <w:r>
        <w:t xml:space="preserve"> (en este caso, incluso, es el mismo: el Mercantil núm. 4 de Barcelona)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w:t>
      </w:r>
      <w:r>
        <w:lastRenderedPageBreak/>
        <w:t>ni distintas de las ya enjuiciadas entonces, se impone por unidad de criterio que traslademos aquí los razonamientos vertidos en aquella STC 148/2016.</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Antes de entrar en el examen del fondo del recurso hemos de dar, aunque sea de modo sucinto, debida respuesta al óbice procesal que plantea la entidad bancaria personada, relativo a la falta de agotamiento de la vía judicial previa </w:t>
      </w:r>
      <w:r w:rsidRPr="00A90898">
        <w:rPr>
          <w:i/>
        </w:rPr>
        <w:t>ex</w:t>
      </w:r>
      <w:r>
        <w:t xml:space="preserve"> art. 44.1 a) de la Ley Orgánica del Tribunal Constitucional (LOTC).</w:t>
      </w:r>
    </w:p>
    <w:p w:rsidR="00A90898" w:rsidRDefault="00A90898" w:rsidP="00A90898">
      <w:pPr>
        <w:pStyle w:val="TextoNormal"/>
      </w:pPr>
    </w:p>
    <w:p w:rsidR="00A90898" w:rsidRDefault="00A90898" w:rsidP="00A90898">
      <w:pPr>
        <w:pStyle w:val="TextoNormal"/>
      </w:pPr>
      <w:r>
        <w:t>Extractando lo que ya señalamos, ante una alegación similar, en la STC 148/2016, FJ 2: “…la demanda de amparo alega como único motivo la vulneración de su derecho a la tutela judicial efectiva en su vertiente del derecho de acceso a la Jurisdicción (art. 24.1 CE), que, a su parecer, se ha conculcado por una interpretación de la legalidad procesal que, en su sustrato, comparten, tanto el Juzgado como la Audiencia, como es la negación a que se dicte sentencia de fondo resolviendo las pretensiones de las partes con arreglo a la razón de pedir expuestas por éstas en sus escritos y con ponderación de las concretas circunstancias concurrentes en el caso”.</w:t>
      </w:r>
    </w:p>
    <w:p w:rsidR="00A90898" w:rsidRDefault="00A90898" w:rsidP="00A90898">
      <w:pPr>
        <w:pStyle w:val="TextoNormal"/>
      </w:pPr>
    </w:p>
    <w:p w:rsidR="00A90898" w:rsidRDefault="00A90898" w:rsidP="00A90898">
      <w:pPr>
        <w:pStyle w:val="TextoNormal"/>
      </w:pPr>
      <w:r>
        <w:t>Aunque “los dos órganos judiciales han llegado a soluciones distintas … en ambas instancias, lo que al final aconteció, es que los ahora demandantes de amparo vieron impedido su acceso a la Jurisdicción y, por ende, la decisión judicial de fondo que resolviera sobre sus pretensiones … este pedido es lo que constituye la única razón de ser de su demanda de amparo … Por ello, ha de entenderse correctamente agotada la vía jurisdiccional previa”.</w:t>
      </w:r>
    </w:p>
    <w:p w:rsidR="00A90898" w:rsidRDefault="00A90898" w:rsidP="00A90898">
      <w:pPr>
        <w:pStyle w:val="TextoNormal"/>
      </w:pPr>
    </w:p>
    <w:p w:rsidR="00A90898" w:rsidRDefault="00A90898" w:rsidP="00A90898">
      <w:pPr>
        <w:pStyle w:val="TextoNormal"/>
      </w:pPr>
      <w:r>
        <w:t>Se rechaza en consecuencia el óbice procesal alegado por la entidad personada.</w:t>
      </w:r>
    </w:p>
    <w:p w:rsidR="00A90898" w:rsidRDefault="00A90898" w:rsidP="00A90898">
      <w:pPr>
        <w:pStyle w:val="TextoNormal"/>
      </w:pPr>
    </w:p>
    <w:p w:rsidR="00A90898" w:rsidRDefault="00A90898" w:rsidP="00A90898">
      <w:pPr>
        <w:pStyle w:val="TextoNormal"/>
      </w:pPr>
      <w:r w:rsidRPr="00A90898">
        <w:rPr>
          <w:rStyle w:val="NumeroAFNegritaCaracter"/>
        </w:rPr>
        <w:t>4</w:t>
      </w:r>
      <w:r>
        <w:t>.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w:t>
      </w:r>
      <w:r w:rsidRPr="00A90898">
        <w:rPr>
          <w:i/>
        </w:rPr>
        <w:t>prima facie</w:t>
      </w:r>
      <w:r>
        <w:t xml:space="preserve"> de las disposiciones que regulan su ejercicio. Y, obtenida una respuesta negativa a este interrogante, en los términos que ahora se dirán, atendimos en segundo lugar al tratamiento que recibe la acción de cesación en el Derecho comunitario, que </w:t>
      </w:r>
      <w:r>
        <w:lastRenderedPageBreak/>
        <w:t>es donde ésta tiene su origen, alcanzando resultado idéntico en cuanto a la inexistencia de causa que justifique la exclusión o preterición de la acción individual.</w:t>
      </w:r>
    </w:p>
    <w:p w:rsidR="00A90898" w:rsidRDefault="00A90898" w:rsidP="00A90898">
      <w:pPr>
        <w:pStyle w:val="TextoNormal"/>
      </w:pPr>
    </w:p>
    <w:p w:rsidR="00A90898" w:rsidRDefault="00A90898" w:rsidP="00A90898">
      <w:pPr>
        <w:pStyle w:val="TextoNormal"/>
      </w:pPr>
      <w:r>
        <w:t>En la mencionada STC 148/2016, FFJJ 4 y 5, este Tribunal hizo un detallado examen de la normativa interna española y también de la Unión Europea, de la que, a modo de resumen, podemos destacar lo siguiente:</w:t>
      </w:r>
    </w:p>
    <w:p w:rsidR="00A90898" w:rsidRDefault="00A90898" w:rsidP="00A90898">
      <w:pPr>
        <w:pStyle w:val="TextoNormal"/>
      </w:pPr>
    </w:p>
    <w:p w:rsidR="00A90898" w:rsidRDefault="00A90898" w:rsidP="00A90898">
      <w:pPr>
        <w:pStyle w:val="TextoNormal"/>
      </w:pPr>
      <w:r>
        <w:t>En relación con el análisis del Ordenamiento jurídico nacional, este Tribunal, hizo referencia, en primer lugar, al régimen de legitimación activa (restringida a las entidades e instituciones señaladas en su artículo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00A90898" w:rsidRDefault="00A90898" w:rsidP="00A90898">
      <w:pPr>
        <w:pStyle w:val="TextoNormal"/>
      </w:pPr>
    </w:p>
    <w:p w:rsidR="00A90898" w:rsidRDefault="00A90898" w:rsidP="00A90898">
      <w:pPr>
        <w:pStyle w:val="TextoNormal"/>
      </w:pPr>
      <w:r>
        <w:t>Y, a continuación, la STC 148/2016 centró su atención en el vigente texto refundido de la Ley general para la defensa de los consumidores y usuarios y otras leyes complementarias, aprobado por Real Decreto Legislativo 1/2007, de 16 de noviembre, que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00A90898" w:rsidRDefault="00A90898" w:rsidP="00A90898">
      <w:pPr>
        <w:pStyle w:val="TextoNormal"/>
      </w:pPr>
    </w:p>
    <w:p w:rsidR="00A90898" w:rsidRDefault="00A90898" w:rsidP="00A90898">
      <w:pPr>
        <w:pStyle w:val="TextoNormal"/>
      </w:pPr>
      <w:r>
        <w:t xml:space="preserve">Y, en relación con este extremo, concluyó la STC 148/2016 afirmando que “de lo expuesto se deriva que no aparecen normas que habiliten al juez para acordar la exclusión o archivo del proceso de nulidad individual por la mera admisión a trámite de una acción de </w:t>
      </w:r>
      <w:r>
        <w:lastRenderedPageBreak/>
        <w:t>cesación de la misma cláusula, resultando más bien claras las expresiones del legislador en sentido contrario a esa tesis restrictiva del derecho de acceso a la jurisdicción” [STC 148/2016, FJ 4 b)].</w:t>
      </w:r>
    </w:p>
    <w:p w:rsidR="00A90898" w:rsidRDefault="00A90898" w:rsidP="00A90898">
      <w:pPr>
        <w:pStyle w:val="TextoNormal"/>
      </w:pPr>
    </w:p>
    <w:p w:rsidR="00A90898" w:rsidRDefault="00A90898" w:rsidP="00A90898">
      <w:pPr>
        <w:pStyle w:val="TextoNormal"/>
      </w:pPr>
      <w:r>
        <w:t>Por último, y, a mayor abundamiento, hay que destacar que, en la STC 148/2016, FJ 5, cuya doctrina resulta de aplicación, se señalaba que, en el ámbito del Derecho comunitario,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Directivas 98/27/CE y 2009/22/CE). Pero siempre y cuando esto último no acarree la exclusión de las acciones individuales” [STC 148/2016, FJ 5 a)].</w:t>
      </w:r>
    </w:p>
    <w:p w:rsidR="00A90898" w:rsidRDefault="00A90898" w:rsidP="00A90898">
      <w:pPr>
        <w:pStyle w:val="TextoNormal"/>
      </w:pPr>
    </w:p>
    <w:p w:rsidR="00A90898" w:rsidRDefault="00A90898" w:rsidP="00A90898">
      <w:pPr>
        <w:pStyle w:val="TextoNormal"/>
      </w:pPr>
      <w: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w:t>
      </w:r>
      <w:r w:rsidRPr="00A90898">
        <w:rPr>
          <w:i/>
        </w:rPr>
        <w:t>a quo</w:t>
      </w:r>
      <w:r>
        <w:t xml:space="preserve"> de aplicar el art. 43 LEC con suspensión de los procesos de acción individual de nulidad de cláusula abusiva, hasta que recayera sentencia firme en el proceso de cesación instado por ADICAE ante el Juzgado de lo Mercantil núm. 11 de Madrid (procedimiento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(STJUE, apartado 32).</w:t>
      </w:r>
    </w:p>
    <w:p w:rsidR="00A90898" w:rsidRDefault="00A90898" w:rsidP="00A90898">
      <w:pPr>
        <w:pStyle w:val="TextoNormal"/>
      </w:pPr>
    </w:p>
    <w:p w:rsidR="00A90898" w:rsidRDefault="00A90898" w:rsidP="00A90898">
      <w:pPr>
        <w:pStyle w:val="TextoNormal"/>
      </w:pPr>
      <w:r>
        <w:t>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del que hace cita la Sentencia del Pleno de la Sala Primera del Tribunal Supremo núm. 241/2013, de 9 de mayo, FFJJ 235 a 238 y 246, para reconocer que esta regla de juicio por fuerza debe matizarse al resolver demandas de cesación.</w:t>
      </w:r>
    </w:p>
    <w:p w:rsidR="00A90898" w:rsidRDefault="00A90898" w:rsidP="00A90898">
      <w:pPr>
        <w:pStyle w:val="TextoNormal"/>
      </w:pPr>
    </w:p>
    <w:p w:rsidR="00A90898" w:rsidRDefault="00A90898" w:rsidP="00A90898">
      <w:pPr>
        <w:pStyle w:val="TextoNormal"/>
      </w:pPr>
      <w:r>
        <w:lastRenderedPageBreak/>
        <w:t>En definitiva, a la vista del extenso análisis efectuado de las normativas nacional y del derecho de la UE,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t>5</w:t>
      </w:r>
      <w:r>
        <w:t>.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4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00A90898" w:rsidRDefault="00A90898" w:rsidP="00A90898">
      <w:pPr>
        <w:pStyle w:val="TextoNormal"/>
      </w:pPr>
    </w:p>
    <w:p w:rsidR="00A90898" w:rsidRDefault="00A90898" w:rsidP="00A90898">
      <w:pPr>
        <w:pStyle w:val="TextoNormal"/>
      </w:pPr>
      <w:r>
        <w:t xml:space="preserve">En consecuencia, si los aquí recurrentes no eran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w:t>
      </w:r>
      <w:r w:rsidRPr="00A90898">
        <w:rPr>
          <w:i/>
        </w:rPr>
        <w:t>a quo</w:t>
      </w:r>
      <w:r>
        <w:t xml:space="preserve">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A90898" w:rsidRDefault="00A90898" w:rsidP="00A90898">
      <w:pPr>
        <w:pStyle w:val="TextoNormal"/>
      </w:pPr>
    </w:p>
    <w:p w:rsidR="00A90898" w:rsidRDefault="00A90898" w:rsidP="00A90898">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w:t>
      </w:r>
      <w:r>
        <w:lastRenderedPageBreak/>
        <w:t xml:space="preserve">‘su’ contrato, ni de las circunstancias concurrentes en su celebración (arts. 4.1 de la Directiva 93/13/CEE, y 82.3 del texto refundido de la Ley para la defensa de los consumidores y usuarios), como por ejemplo el cumplimiento del principio de transparencia. El objeto controvertido por tanto entre ambos procesos es similar, pero no idéntico. Ello no obsta, por supuesto, a que el Juzgado </w:t>
      </w:r>
      <w:r w:rsidRPr="00A90898">
        <w:rPr>
          <w:i/>
        </w:rPr>
        <w:t>a quo</w:t>
      </w:r>
      <w:r>
        <w:t>,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A90898" w:rsidRDefault="00A90898" w:rsidP="00A90898">
      <w:pPr>
        <w:pStyle w:val="TextoNormal"/>
      </w:pPr>
    </w:p>
    <w:p w:rsidR="00A90898" w:rsidRDefault="00A90898" w:rsidP="00A90898">
      <w:pPr>
        <w:pStyle w:val="TextoNormal"/>
      </w:pPr>
      <w:r>
        <w:t xml:space="preserve">Procede por tanto el otorgamiento del amparo que se solicita, declarando para ello la nulidad de los Autos recurridos, con retroacción de las actuaciones al momento inmediatamente anterior al de haberse dictado el Auto de 14 de mayo de 2014, para que el Juzgado de lo Mercantil </w:t>
      </w:r>
      <w:r w:rsidRPr="00A90898">
        <w:rPr>
          <w:i/>
        </w:rPr>
        <w:t>a quo</w:t>
      </w:r>
      <w:r>
        <w:t xml:space="preserve"> provea en términos que resulten respetuosos con el derecho fundamental declarado. Esto es, ordenando la continuación del procedimiento en primera instancia (juicio ordinario 694-2013)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doña Aroa Pardell Martín, y, en consecuencia:</w:t>
      </w:r>
    </w:p>
    <w:p w:rsidR="00A90898" w:rsidRDefault="00A90898" w:rsidP="00A90898">
      <w:pPr>
        <w:pStyle w:val="TextoNormal"/>
      </w:pPr>
    </w:p>
    <w:p w:rsidR="00A90898" w:rsidRDefault="00A90898" w:rsidP="00A90898">
      <w:pPr>
        <w:pStyle w:val="TextoNormal"/>
      </w:pPr>
      <w:r>
        <w:t>1º Reconocer el derecho fundamental de la demandante a la tutela judicial efectiva.</w:t>
      </w:r>
    </w:p>
    <w:p w:rsidR="00A90898" w:rsidRDefault="00A90898" w:rsidP="00A90898">
      <w:pPr>
        <w:pStyle w:val="TextoNormal"/>
      </w:pPr>
    </w:p>
    <w:p w:rsidR="00A90898" w:rsidRDefault="00A90898" w:rsidP="00A90898">
      <w:pPr>
        <w:pStyle w:val="TextoNormal"/>
      </w:pPr>
      <w:r>
        <w:t>2º Restablecerla en la integridad de su derecho y, a tal fin, declarar la nulidad del Auto del Juzgado de lo Mercantil núm. 1 de Barcelona, de 14 de mayo de 2014 (procedimiento ordinario núm. 694-2013); así como la nulidad del Auto de la Sección Decimoquinta de la Audiencia Provincial de Barcelona, de 5 de febrero de 2015 (rollo de apelación núm. 410-2014).</w:t>
      </w:r>
    </w:p>
    <w:p w:rsidR="00A90898" w:rsidRDefault="00A90898" w:rsidP="00A90898">
      <w:pPr>
        <w:pStyle w:val="TextoNormal"/>
      </w:pPr>
    </w:p>
    <w:p w:rsidR="00A90898" w:rsidRDefault="00A90898" w:rsidP="00A90898">
      <w:pPr>
        <w:pStyle w:val="TextoNormal"/>
      </w:pPr>
      <w:r>
        <w:lastRenderedPageBreak/>
        <w:t xml:space="preserve">3º Retrotraer las actuaciones hasta el momento inmediatamente anterior al de dictarse el Auto de 14 de mayo de 2014, para que el Juzgado de lo Mercantil </w:t>
      </w:r>
      <w:r w:rsidRPr="00A90898">
        <w:rPr>
          <w:i/>
        </w:rPr>
        <w:t>a quo</w:t>
      </w:r>
      <w:r>
        <w:t xml:space="preserve"> provea a las actuaciones de una manera que resulte respetuosa con el derecho fundamental declarado, en los términos que fijamos en el anterior fundamento jurídico 5.</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doce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7" w:name="SENTENCIA_2016_208"/>
      <w:r>
        <w:lastRenderedPageBreak/>
        <w:t>SENTENCIA 208/2016, de 12 de diciembre de 2016</w:t>
      </w:r>
    </w:p>
    <w:bookmarkEnd w:id="87"/>
    <w:p w:rsidR="00A90898" w:rsidRDefault="00A90898" w:rsidP="00A90898">
      <w:pPr>
        <w:pStyle w:val="TtuloResolucin"/>
      </w:pPr>
      <w:r>
        <w:t>Sala Primera</w:t>
      </w:r>
    </w:p>
    <w:p w:rsidR="00A90898" w:rsidRDefault="00A90898" w:rsidP="00A90898">
      <w:pPr>
        <w:pStyle w:val="TtuloBOE"/>
      </w:pPr>
      <w:r>
        <w:t>(BOE núm. 17, de 20 de enero de 2017)</w:t>
      </w:r>
    </w:p>
    <w:p w:rsidR="00A90898" w:rsidRDefault="00A90898" w:rsidP="00A90898">
      <w:pPr>
        <w:pStyle w:val="TextoNormalCentrado"/>
      </w:pPr>
      <w:r>
        <w:t>ECLI:ES:TC:2016:208</w:t>
      </w:r>
    </w:p>
    <w:p w:rsidR="00A90898" w:rsidRDefault="00A90898" w:rsidP="00A90898">
      <w:pPr>
        <w:pStyle w:val="TextoNormalCentrado"/>
      </w:pPr>
    </w:p>
    <w:p w:rsidR="00A90898" w:rsidRDefault="00A90898" w:rsidP="00A90898">
      <w:pPr>
        <w:pStyle w:val="SntesisDescriptiva"/>
      </w:pPr>
      <w:r>
        <w:t>Recurso de amparo 3691-2015. Promovido por don José Antonio Pacheco Cordero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Asunto sustancialmente idéntico al resuelto por la STC 148/2016, en relación con la doctrina sobre la vulneración del derecho a la tutela judicial efectiva como consecuencia de la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r>
        <w:t>2.</w:t>
      </w:r>
      <w:r>
        <w:tab/>
        <w:t>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3691-2015, promovido por don José Antonio Pacheco Cordero, representado por la Procuradora de los Tribunales doña María José Rodríguez Teijeiro y asistida por la Letrada doña Montse Andrés Sabaté, contra el Auto del Juzgado de lo Mercantil núm. 6 de Barcelona, de 10 de febrero de 2014 (procedimiento ordinario núm. 787-2012) y contra el Auto de la Sección Decimoquinta de la Audiencia Provincial de Barcelona, de 14 de mayo de 2015, que desestimó el recurso de apelación (rollo núm. 246-2014) promovido contra la resolución anterior. Ha actuado como parte la entidad Catalunya Banc, S.A., representada por el Procurador don Argimiro Vázquez Guillérn y asistida por </w:t>
      </w:r>
      <w:r>
        <w:lastRenderedPageBreak/>
        <w:t>el Letrado don Ignasi Fernández de Senespleda. Ha intervenido el Ministerio Fiscal. Ha sido Ponente el Magistrado don Francisco Pérez de los Cobos Orihuel,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22 de junio de 2015, la Procuradora de los Tribunales doña María José Rodríguez Teijeiro, actuando en nombre de don José Antonio Pacheco Cordero,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Con fecha 23 de noviembre de 2012, el ahora recurrente en amparo interpuso demanda de juicio ordinario frente a la entidad Catalunya Banc, S.A., ejercitando conjuntamente una acción declarativa de nulidad de una condición general de la contratación y otra de reclamación de cantidad. Se alegaba por el recurrente la constitución el día 28 de febrero de 2008, de una hipoteca sobre la vivienda de su propiedad con el fin de garantizar la devolución del préstamo otorgado a su favor por la entidad Caixa d’Estalvis de Manresa, cuyas condiciones fueron objeto de un pacto de novación mediante nueva escritura pública otorgada el 8 de octubre de 2009. La estipulación cuarta incluida en esta última, se refiere a la modificación del tipo de interés aplicable al préstamo, y en ella se dispuso que consistía en el establecimiento, en una primera etapa de un año a contar desde la fecha de otorgamiento de la escritura de novación, del 3,5 por 100 nominal anual; y otra segunda etapa, “de interés variable”, comprendida desde el día siguiente al de finalización de la primera etapa hasta el día de vencimiento del préstamo, en la que se determinaba (apartado B) que: “en ningún caso [será] superior al 15,00 por 100 nominal anual, ni inferior al 3,50 por ciento nominal anual”.</w:t>
      </w:r>
    </w:p>
    <w:p w:rsidR="00A90898" w:rsidRDefault="00A90898" w:rsidP="00A90898">
      <w:pPr>
        <w:pStyle w:val="TextoNormal"/>
      </w:pPr>
    </w:p>
    <w:p w:rsidR="00A90898" w:rsidRDefault="00A90898" w:rsidP="00A90898">
      <w:pPr>
        <w:pStyle w:val="TextoNormal"/>
      </w:pPr>
      <w:r>
        <w:t>La demanda de la parte actora combatía precisamente el extremo de esa estipulación que hacía referencia al límite mínimo del 3,5 por 100 nominal anual, en referencia a lo que se conoce como “cláusula suelo”. Argumentaba aquélla que dicha cláusula era nula de pleno derecho por abusiva, al no haber podido negociarse individualmente, resultar contraria a las exigencias de la buena fe y causar un desequilibrio contractual en su perjuicio, con incumplimiento del principio de transparencia en cuanto a la información de las consecuencias de la cláusula, teniendo en cuenta su condición jurídica de consumidores. Por ello, solicitaba, además de su nulidad, la devolución de lo pagado al prestatario en aplicación de la referida cláusula, que cuantificaba en la cantidad de 2.297,72 €, con los intereses legales devengados; y el pago a favor del prestatario de todas las cantidades que se vayan pagando por éste también en aplicación de la referida cláusula, con sus intereses legales.</w:t>
      </w:r>
    </w:p>
    <w:p w:rsidR="00A90898" w:rsidRDefault="00A90898" w:rsidP="00A90898">
      <w:pPr>
        <w:pStyle w:val="TextoNormal"/>
      </w:pPr>
    </w:p>
    <w:p w:rsidR="00A90898" w:rsidRDefault="00A90898" w:rsidP="00A90898">
      <w:pPr>
        <w:pStyle w:val="TextoNormal"/>
      </w:pPr>
      <w:r>
        <w:t xml:space="preserve">b) La demanda “sobre acción declarativa de nulidad de condición general de la contratación y acción de reclamación de cantidad” fue turnada al Juzgado de lo Mercantil núm. 6 de Barcelona y admitida a trámite en virtud de decreto de su Secretaría de 10 de diciembre de 2012 (procedimiento ordinario 78/7/2012). Conferido traslado de la misma a la parte demandada, la Entidad Catalunya Banc, S.A., su representación procesal presentó escrito de </w:t>
      </w:r>
      <w:r>
        <w:lastRenderedPageBreak/>
        <w:t>contestación a la demanda el 17 de enero de 2013, en el que planteó dos excepciones procesales, la primera por prejudicialidad civil y la segunda por litispendencia, en ambos casos respecto del procedimiento instado por la Asociación de usuarios de Bancos, Cajas de Ahorros y Seguros de España (ADICAE), para la protección de derechos e intereses colectivos y difusos de consumidores y usuarios, conforme a demanda de la que se aportaba copia, autos seguidos ante el Juzgado de lo Mercantil núm. 11 de Madrid (procedimiento ordinario núm. 471-2010) donde se impugnaba, entre otras, la cláusula suelo de la demandada.</w:t>
      </w:r>
    </w:p>
    <w:p w:rsidR="00A90898" w:rsidRDefault="00A90898" w:rsidP="00A90898">
      <w:pPr>
        <w:pStyle w:val="TextoNormal"/>
      </w:pPr>
    </w:p>
    <w:p w:rsidR="00A90898" w:rsidRDefault="00A90898" w:rsidP="00A90898">
      <w:pPr>
        <w:pStyle w:val="TextoNormal"/>
      </w:pPr>
      <w:r>
        <w:t>También se opuso al fondo de las pretensiones suscitadas en la demanda y solicitó su desestimación íntegra.</w:t>
      </w:r>
    </w:p>
    <w:p w:rsidR="00A90898" w:rsidRDefault="00A90898" w:rsidP="00A90898">
      <w:pPr>
        <w:pStyle w:val="TextoNormal"/>
      </w:pPr>
    </w:p>
    <w:p w:rsidR="00A90898" w:rsidRDefault="00A90898" w:rsidP="00A90898">
      <w:pPr>
        <w:pStyle w:val="TextoNormal"/>
      </w:pPr>
      <w:r>
        <w:t>c) La Secretaría del Juzgado dictó diligencia de ordenación el 24 de enero de 2013, teniendo por presentado el escrito de contestación a la demanda y convocando a las partes a la celebración del acto de la audiencia previa el 5 de marzo de 2013. Este último señalamiento fue dejado sin efecto, dictándose nueva diligencia de ordenación el 25 de febrero de 2015, acordando celebrar la audiencia previa el 15 de abril de 2013 a las 11:30 horas.</w:t>
      </w:r>
    </w:p>
    <w:p w:rsidR="00A90898" w:rsidRDefault="00A90898" w:rsidP="00A90898">
      <w:pPr>
        <w:pStyle w:val="TextoNormal"/>
      </w:pPr>
    </w:p>
    <w:p w:rsidR="00A90898" w:rsidRDefault="00A90898" w:rsidP="00A90898">
      <w:pPr>
        <w:pStyle w:val="TextoNormal"/>
      </w:pPr>
      <w:r>
        <w:t>d) La Secretaría del Juzgado dictó diligencia de ordenación el 1 de abril de 2013, por la que “habiéndose apreciado que en el escrito de contestación a la demanda se ha alegado por la parte demandada una cuestión prejudicial civil … concedo a la parte contraria un plazo de cinco días para que muestre su conformidad sobre la solicitud de suspensión por prejudicialidad civil o manifieste lo que a su derecho convenga”.</w:t>
      </w:r>
    </w:p>
    <w:p w:rsidR="00A90898" w:rsidRDefault="00A90898" w:rsidP="00A90898">
      <w:pPr>
        <w:pStyle w:val="TextoNormal"/>
      </w:pPr>
    </w:p>
    <w:p w:rsidR="00A90898" w:rsidRDefault="00A90898" w:rsidP="00A90898">
      <w:pPr>
        <w:pStyle w:val="TextoNormal"/>
      </w:pPr>
      <w:r>
        <w:t>Formulado escrito de alegaciones por el representante procesal del actor el 18 de abril de 2013, oponiéndose a la petición de suspensión, el Juzgado dictó Auto el 22 de abril de 2013 declarando no haber lugar a decretar la suspensión del presente procedimiento, “por no concurrencia de la causa prejudicial civil invocada”.</w:t>
      </w:r>
    </w:p>
    <w:p w:rsidR="00A90898" w:rsidRDefault="00A90898" w:rsidP="00A90898">
      <w:pPr>
        <w:pStyle w:val="TextoNormal"/>
      </w:pPr>
    </w:p>
    <w:p w:rsidR="00A90898" w:rsidRDefault="00A90898" w:rsidP="00A90898">
      <w:pPr>
        <w:pStyle w:val="TextoNormal"/>
      </w:pPr>
      <w:r>
        <w:t>Como resultado de esta última resolución, la Secretaría del Juzgado dictó a su vez diligencia de ordenación el 31 de mayo de 2013, por la que acordó que: “Habiendo desaparecido la causa por la que se suspendió el anterior señalamiento, se procede a señalar nuevamente para la celebración de la Audiencia Previa que[e] tengra [sic] lugar el próximo día 16 de septiembre de 2013 a las 11:00 horas”.</w:t>
      </w:r>
    </w:p>
    <w:p w:rsidR="00A90898" w:rsidRDefault="00A90898" w:rsidP="00A90898">
      <w:pPr>
        <w:pStyle w:val="TextoNormal"/>
      </w:pPr>
    </w:p>
    <w:p w:rsidR="00A90898" w:rsidRDefault="00A90898" w:rsidP="00A90898">
      <w:pPr>
        <w:pStyle w:val="TextoNormal"/>
      </w:pPr>
      <w:r>
        <w:t>En la fecha de referencia —16 de septiembre de 2013—, tuvo lugar el acto de audiencia previa, en la que el Magistrado-Juez resolvió conceder a las partes plazo de alegaciones respecto a los efectos al asunto de autos, de la Sentencia del Tribunal Supremo de fecha 9 de mayo de 2013, presentándose los correspondientes escritos, por la representación procesal del demandante (el 20 de septiembre de 2013) y de la entidad demandada (el 2 de octubre de 2013).</w:t>
      </w:r>
    </w:p>
    <w:p w:rsidR="00A90898" w:rsidRDefault="00A90898" w:rsidP="00A90898">
      <w:pPr>
        <w:pStyle w:val="TextoNormal"/>
      </w:pPr>
    </w:p>
    <w:p w:rsidR="00A90898" w:rsidRDefault="00A90898" w:rsidP="00A90898">
      <w:pPr>
        <w:pStyle w:val="TextoNormal"/>
      </w:pPr>
      <w:r>
        <w:t xml:space="preserve">e) Con fecha 10 de febrero de 2014, el Juzgado dictó Auto con la siguiente dispositiva: “Se decreta la suspensión del presente procedimiento, por concurrencia de causa de </w:t>
      </w:r>
      <w:r w:rsidRPr="00A90898">
        <w:rPr>
          <w:i/>
        </w:rPr>
        <w:t>litis</w:t>
      </w:r>
      <w:r>
        <w:t xml:space="preserve"> pendencia. Ello hasta que recaiga sentencia firme en los autos de juicio ordinario núm. 471/20 [</w:t>
      </w:r>
      <w:r w:rsidRPr="00A90898">
        <w:rPr>
          <w:i/>
        </w:rPr>
        <w:t>sic</w:t>
      </w:r>
      <w:r>
        <w:t>] que se sustancia ante el Juzgado Mercantil núm. 11 de Madrid”.</w:t>
      </w:r>
    </w:p>
    <w:p w:rsidR="00A90898" w:rsidRDefault="00A90898" w:rsidP="00A90898">
      <w:pPr>
        <w:pStyle w:val="TextoNormal"/>
      </w:pPr>
    </w:p>
    <w:p w:rsidR="00A90898" w:rsidRDefault="00A90898" w:rsidP="00A90898">
      <w:pPr>
        <w:pStyle w:val="TextoNormal"/>
      </w:pPr>
      <w:r>
        <w:t xml:space="preserve">En su fundamentación, el Juzgado señaló que el objeto del procedimiento que se tramitaba ante el Juzgado de lo Mercantil núm. 11 de Madrid, “si bien no mantiene una plena </w:t>
      </w:r>
      <w:r>
        <w:lastRenderedPageBreak/>
        <w:t>identidad de objeto de este procedimiento”, podría extender sus efectos sobre él, con apoyo, también, en un precedente Auto de la Sección Quince de la Audiencia Provincial de Barcelona (de 11 de junio de 2013), que, según razonaba el Juzgado, era similar al de autos, por lo que debía “priorizarse” la acción colectiva promovida por ADICAE sobre el derecho a la acción individual del art. 11.1 LEC, estimando así la excepción de litispendencia. No obstante, tras reconocer que los efectos derivados de dicha declaración implicarían el sobreseimiento de la causa, el Juzgado razona que “se estima procedente acordar solamente la suspensión a la espera de la resolución definitiva que recaiga en el juicio ordinario nº 471/2010, reseñado anteriormente”, pues “podría darse el caso de que la sentencia que se dicta en apelación pudiera determinar que ésta no produjera efectos a quienes no hayan sido parte en el proceso”, y porque además “la asociación instante del procedimiento no ejercitó de forma acumulada una acción de condena dineraria”.</w:t>
      </w:r>
    </w:p>
    <w:p w:rsidR="00A90898" w:rsidRDefault="00A90898" w:rsidP="00A90898">
      <w:pPr>
        <w:pStyle w:val="TextoNormal"/>
      </w:pPr>
    </w:p>
    <w:p w:rsidR="00A90898" w:rsidRDefault="00A90898" w:rsidP="00A90898">
      <w:pPr>
        <w:pStyle w:val="TextoNormal"/>
      </w:pPr>
      <w:r>
        <w:t>f) Contra el indicado Auto, la parte actora interpuso recurso de apelación en el que, además de combatir la apreciación por el Juzgado de la excepción procesal ya indicada, en el plano de la legalidad ordinaria, y argumentar que el ejercicio de la acción colectiva por parte de ADICAE no impedía a los interesados ejercitar las acciones individuales que tuvieran por conveniente con base en lo previsto en el art. 11.1 LEC, el recurrente sostuvo que la tesis del Juzgado conducía a una vulneración del derecho fundamental a la tutela judicial efectiva, consagrado en el art. 24.1 CE.</w:t>
      </w:r>
    </w:p>
    <w:p w:rsidR="00A90898" w:rsidRDefault="00A90898" w:rsidP="00A90898">
      <w:pPr>
        <w:pStyle w:val="TextoNormal"/>
      </w:pPr>
    </w:p>
    <w:p w:rsidR="00A90898" w:rsidRDefault="00A90898" w:rsidP="00A90898">
      <w:pPr>
        <w:pStyle w:val="TextoNormal"/>
      </w:pPr>
      <w:r>
        <w:t>g) La Sección Decimoquinta de la Audiencia Provincial de Barcelona dictó Auto el día 14 de mayo de 2015, en el seno del rollo de apelación 246-2014, por el que desestimó el recurso interpuesto, si bien en su parte dispositiva agregó el siguiente tenor literal: “no obstante lo cual, modificamos de oficio la resolución recurrida acordando el archivo de las actuaciones por causa de litispendencia”, sin expresa imposición de costas.</w:t>
      </w:r>
    </w:p>
    <w:p w:rsidR="00A90898" w:rsidRDefault="00A90898" w:rsidP="00A90898">
      <w:pPr>
        <w:pStyle w:val="TextoNormal"/>
      </w:pPr>
    </w:p>
    <w:p w:rsidR="00A90898" w:rsidRDefault="00A90898" w:rsidP="00A90898">
      <w:pPr>
        <w:pStyle w:val="TextoNormal"/>
      </w:pPr>
      <w:r>
        <w:t>Los argumentos desplegados por el Auto de referencia (FFJJ 3 a 5) para tomar su decisión fueron, en síntesis, los siguientes:</w:t>
      </w:r>
    </w:p>
    <w:p w:rsidR="00A90898" w:rsidRDefault="00A90898" w:rsidP="00A90898">
      <w:pPr>
        <w:pStyle w:val="TextoNormal"/>
      </w:pPr>
    </w:p>
    <w:p w:rsidR="00A90898" w:rsidRDefault="00A90898" w:rsidP="00A90898">
      <w:pPr>
        <w:pStyle w:val="TextoNormal"/>
      </w:pPr>
      <w:r>
        <w:t xml:space="preserve">En primer lugar (FJ 3), con apoyo en el art. 222.3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artículo 15 LEC, esto es, intervenir en el proceso, o bien solicitar la acumulación de la acción individual a la colectiva (siempre que se cumplan los requisitos que exige el artículo 76.2.1 LEC) o interesar “la extensión de los efectos del pronunciamiento en fase de ejecución (artículo 519 LEC)”. De aquí deduce la Sala que “si los efectos de la acción colectiva con los atributos propios de la cosa juzgada se extienden a los particulares titulares de acciones individuales, debe seguirse la idea de que tienen absolutamente vedado iniciar con posterioridad a la acción colectiva acciones de carácter individual que versen sobre el mismo objeto”. Afirma que no se cumplen en el supuesto enjuiciado los presupuestos establecidos en el artículo 43 LEC, norma que regula la prejudicialidad civil, sino que existe identidad de objeto “porque la condición general impugnada en ambos en la misma, no es solo similar. Y también porque en la acción colectiva ADICAE no se limitó a solicitar la nulidad de la cláusula sino que también ejercitó la acción de restitución de cantidades, acción que aunque tiene un carácter general debemos considerar que </w:t>
      </w:r>
      <w:r>
        <w:lastRenderedPageBreak/>
        <w:t>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00A90898" w:rsidRDefault="00A90898" w:rsidP="00A90898">
      <w:pPr>
        <w:pStyle w:val="TextoNormal"/>
      </w:pPr>
    </w:p>
    <w:p w:rsidR="00A90898" w:rsidRDefault="00A90898" w:rsidP="00A90898">
      <w:pPr>
        <w:pStyle w:val="TextoNormal"/>
      </w:pPr>
      <w:r>
        <w:t>En segundo término (FJ 6), la Sala arguye que, aun cuando el art. 11.1 de la Ley de enjuiciamiento civil (LEC) reconozca legitimación activa a los perjudicados titulares de acciones individuales, tal circunstancia no se opone a la apreciación de litispendencia, pues sostiene que el hecho de que los perjudicados “tengan legitimación activa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ni se les impide el acceso a la tutela sino que únicamente se condiciona el ejercicio de las acciones individuales de una forma concreta y determinada (acumulada a otras, las colectivas), de manera que permite conciliar esos derechos individuales con los de los demás afectados”. Se trataría por tanto, concluye, de “normas de organización procesal que pretenden salvaguardar el interés general (los intereses colectivos) respetando el buen orden procesal (la cosa juzgada)”.</w:t>
      </w:r>
    </w:p>
    <w:p w:rsidR="00A90898" w:rsidRDefault="00A90898" w:rsidP="00A90898">
      <w:pPr>
        <w:pStyle w:val="TextoNormal"/>
      </w:pPr>
    </w:p>
    <w:p w:rsidR="00A90898" w:rsidRDefault="00A90898" w:rsidP="00A90898">
      <w:pPr>
        <w:pStyle w:val="TextoNormal"/>
      </w:pPr>
      <w:r w:rsidRPr="00A90898">
        <w:rPr>
          <w:rStyle w:val="NumeroAFNegritaCaracter"/>
        </w:rPr>
        <w:t>3</w:t>
      </w:r>
      <w:r>
        <w:t>. La parte actora formalizó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00A90898" w:rsidRDefault="00A90898" w:rsidP="00A90898">
      <w:pPr>
        <w:pStyle w:val="TextoNormal"/>
      </w:pPr>
    </w:p>
    <w:p w:rsidR="00A90898" w:rsidRDefault="00A90898" w:rsidP="00A90898">
      <w:pPr>
        <w:pStyle w:val="TextoNormal"/>
      </w:pPr>
      <w:r>
        <w:t xml:space="preserve">Más adelante, en el bloque de fundamentos de derecho procesales, en concreto en el epígrafe dedicado al requisito del debido agotamiento de la vía judicial previa al amparo, art. 44.1 a) de la Ley Orgánica del Tribunal Constitucional (LOTC), la demanda explica que dicha parte actora “ha tenido serias dificultades” para su cumplimiento. Que, siendo el Auto de la Audiencia Provincial firme y no caber contra él recurso alguno, “parecía claro que la vía judicial previa al recurso de amparo se agotaba con la interposición del recurso de nulidad de actuaciones ante el órgano que dictó dicha resolución”. Sin embargo, prosigue diciendo la demanda, “dicha interpretación, fue pacífica hasta que el Tribunal Constitucional, en Pleno, dictó la STC 216/2013, de 19 de diciembre”, de la que reproduce su fundamento jurídico 2 d), donde se declara que, para el agotamiento de la vía judicial previa, “basta comprobar que los órganos judiciales han tenido la oportunidad de pronunciarse sobre los </w:t>
      </w:r>
      <w:r>
        <w:lastRenderedPageBreak/>
        <w:t>derechos fundamentales luego invocados en vía de amparo constitucional, para estimar cumplido el mencionado requisito”, por lo que “cuando el objeto del proceso consista en el estudio de la lesión directa del derecho … consecuencia de la revocación de las sentencias de las instancias previas, no requiere la necesaria interposición del incidente de nulidad”. Añade el escrito que la disyuntiva entre interponer el incidente o no hacerlo “no es baladí, ya que optar por la interposición del recurso sin ser necesario conllevaría una interposición extemporánea del recurso de amparo, y no interponerlo siendo preceptivo conllevaría una inadmisión del recurso por no cumplir el requisito del agotamiento previo de la vía judicial”. Y finaliza en este punto la demanda diciendo: “En consecuencia, esta parte ha llegado a la conclusión que en este supuesto no es necesaria la interposición del recurso [</w:t>
      </w:r>
      <w:r w:rsidRPr="00A90898">
        <w:rPr>
          <w:i/>
        </w:rPr>
        <w:t>sic</w:t>
      </w:r>
      <w:r>
        <w:t>] de nulidad de actuaciones y que, por tanto, debemos interponer directamente el presente recurso de amparo, habida cuenta que el órgano judicial que dictó el Auto, recurrido ahora en amparo, ya tuvo oportunidad de pronunciarse sobre la vulneración del derecho fundamental objeto de la presente demanda (art. 24. CE) entendiendo que no existía ‘afectación alguna relevante desde la perspectiva del art. 24 CE’, por ende, ha de concluirse que se han agotado todos los recursos preceptivos de la vía judicial”.</w:t>
      </w:r>
    </w:p>
    <w:p w:rsidR="00A90898" w:rsidRDefault="00A90898" w:rsidP="00A90898">
      <w:pPr>
        <w:pStyle w:val="TextoNormal"/>
      </w:pPr>
    </w:p>
    <w:p w:rsidR="00A90898" w:rsidRDefault="00A90898" w:rsidP="00A90898">
      <w:pPr>
        <w:pStyle w:val="TextoNormal"/>
      </w:pPr>
      <w: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del canon del principio </w:t>
      </w:r>
      <w:r w:rsidRPr="00A90898">
        <w:rPr>
          <w:i/>
        </w:rPr>
        <w:t>pro actione</w:t>
      </w:r>
      <w:r>
        <w:t>,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Tras citar la recomendación de 11 de junio de 2013 de la Comisión Europea, defiende que no hay peligro en estos casos de sentencias contradictorias “pues los intereses en juego en cada una de las acciones es distinto y tanto más cuando, como es el caso, los recurrentes [</w:t>
      </w:r>
      <w:r w:rsidRPr="00A90898">
        <w:rPr>
          <w:i/>
        </w:rPr>
        <w:t>sic</w:t>
      </w:r>
      <w:r>
        <w:t xml:space="preserve">] no forman parte del elenco de los concretos intereses defendidos en el otro proceso ni tan siquiera que hayan sido llamados a ese proceso lo que, en todo caso, no puede constituirse ni en una obligación ni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w:t>
      </w:r>
      <w:r w:rsidRPr="00A90898">
        <w:rPr>
          <w:i/>
        </w:rPr>
        <w:t>causa petendi</w:t>
      </w:r>
      <w:r>
        <w:t xml:space="preserve"> entre la acción ejercida por esta parte y la acción colectiva interpuesta”. Insiste finalmente en una lectura integrada de los arts. 11.1 LEC y 24.1 CE, para no excluir el ejercicio de las acciones individuales.</w:t>
      </w:r>
    </w:p>
    <w:p w:rsidR="00A90898" w:rsidRDefault="00A90898" w:rsidP="00A90898">
      <w:pPr>
        <w:pStyle w:val="TextoNormal"/>
      </w:pPr>
    </w:p>
    <w:p w:rsidR="00A90898" w:rsidRDefault="00A90898" w:rsidP="00A90898">
      <w:pPr>
        <w:pStyle w:val="TextoNormal"/>
      </w:pPr>
      <w:r>
        <w:t xml:space="preserve">El suplico de la demanda solicita la declaración de nulidad del Auto de la Sección Decimoquinta de la Audiencia Provincial de Barcelona, de 5 de febrero de 2015 y que, como </w:t>
      </w:r>
      <w:r>
        <w:lastRenderedPageBreak/>
        <w:t>consecuencia de ello, “se ordene la emisión de una sentencia sobre el fondo según las pretensiones y peticiones de las partes que constan en los autos, restableciendo de este modo los derechos a la tutela judicial efectiva de los recurrentes” [</w:t>
      </w:r>
      <w:r w:rsidRPr="00A90898">
        <w:rPr>
          <w:i/>
        </w:rPr>
        <w:t>sic</w:t>
      </w:r>
      <w:r>
        <w:t>].</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diligencia de ordenación de 29 de junio de 2015, la Secretaría de Justicia de la Sección Primera de este Tribunal requirió a la Procuradora del recurrente para que aportara copia de la escritura de poder. Dicho requerimiento fue cumplimentado por dicha representación procesal, a través de escrito presentado el 6 de julio de 2015.</w:t>
      </w:r>
    </w:p>
    <w:p w:rsidR="00A90898" w:rsidRDefault="00A90898" w:rsidP="00A90898">
      <w:pPr>
        <w:pStyle w:val="TextoNormal"/>
      </w:pPr>
    </w:p>
    <w:p w:rsidR="00A90898" w:rsidRDefault="00A90898" w:rsidP="00A90898">
      <w:pPr>
        <w:pStyle w:val="TextoNormal"/>
      </w:pPr>
      <w:r w:rsidRPr="00A90898">
        <w:rPr>
          <w:rStyle w:val="NumeroAFNegritaCaracter"/>
        </w:rPr>
        <w:t>5</w:t>
      </w:r>
      <w:r>
        <w:t>. Con fecha 30 de noviembre de 2015, la Sala Primera de este Tribunal, dictó providencia admitiendo a trámite la demanda de amparo, apreciando que “concurre en el mismo una especial trascendencia constitucional (art. 50.1 LOTC), como consecuencia de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6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Por medio de escrito presentado el día 8 de enero de 2016, el Procurador de los Tribunales don Argimiro Vázquez Guillén vino a personarse en nombre y representación de la entidad Catalunya Banc, S.A., solicitando se entendieran con él las sucesivas diligencias y notificaciones.</w:t>
      </w:r>
    </w:p>
    <w:p w:rsidR="00A90898" w:rsidRDefault="00A90898" w:rsidP="00A90898">
      <w:pPr>
        <w:pStyle w:val="TextoNormal"/>
      </w:pPr>
    </w:p>
    <w:p w:rsidR="00A90898" w:rsidRDefault="00A90898" w:rsidP="00A90898">
      <w:pPr>
        <w:pStyle w:val="TextoNormal"/>
      </w:pPr>
      <w:r w:rsidRPr="00A90898">
        <w:rPr>
          <w:rStyle w:val="NumeroAFNegritaCaracter"/>
        </w:rPr>
        <w:t>7</w:t>
      </w:r>
      <w:r>
        <w:t>. La Secretaría de Justicia de la Sala Primera de este Tribunal dictó diligencia de ordenación el día 11 de enero de 2016, por la que tuvo por personado y parte en el procedimiento al Procurador indicado, en nombre y representación de Catalunya Banc, S.A. Asimismo, se acordó abrir trámite de audiencia por 20 días a las partes personadas y al Ministerio Fiscal, a fin de que pudieran presentar alegaciones conforme determina el art. 52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8</w:t>
      </w:r>
      <w:r>
        <w:t>. Con fecha 9 de febrero de 2016 se formalizó escrito de alegaciones por el representante procesal de la entidad Catalunya Banc, S.A. En él se refiere al planteamiento de una cuestión prejudicial por el Juzgado de lo Mercantil núm. 9 de Barcelona, asuntos acumulados “C-381/11 [</w:t>
      </w:r>
      <w:r w:rsidRPr="00A90898">
        <w:rPr>
          <w:i/>
        </w:rPr>
        <w:t>sic</w:t>
      </w:r>
      <w:r>
        <w:t>] y 385/14”, sobre la interpretación de la Directiva 93/13/CEE, del Consejo, de 5 de abril de 1993, sobre cláusulas abusivas y si el sistema español de prejudicialidad del art. 43 LEC, puede considerarse un mecanismo eficaz conforme al art. 7.1 de la citada Directiva. En cuanto al fondo del recurso de amparo, efectúa diversas consideraciones para sustentar la solicitud de desestimación, desde la tesis de la preferencia de la acción colectiva sobre la individual, con cita de la STC 12/2009, de 12 de enero, en un asunto laboral, y diversos preceptos de la Ley de enjuiciamiento civil. En el suplico solicita la desestimación del presente recurso de amparo y, mediante otrosí digo, su acumulación con el que se sigue ante la Sala Segunda de este Tribunal con el número 7120-2014.</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9</w:t>
      </w:r>
      <w:r>
        <w:t>. El Ministerio Fiscal formalizó su escrito de alegaciones con fecha 10 de febrero de 2016, interesando la estimación del amparo “por entender que el Auto dictado por el Juzgado de lo Mercantil … y el Auto … de la Audiencia Provincial de Barcelona desestimando el recurso de apelación contra el anterior han vulnerado el art. 24.1 CE que tutela el acceso al proceso y a obtener una resolución de fondo, restableciendo a los demandantes en amparo en su derecho fundamental”.</w:t>
      </w:r>
    </w:p>
    <w:p w:rsidR="00A90898" w:rsidRDefault="00A90898" w:rsidP="00A90898">
      <w:pPr>
        <w:pStyle w:val="TextoNormal"/>
      </w:pPr>
    </w:p>
    <w:p w:rsidR="00A90898" w:rsidRDefault="00A90898" w:rsidP="00A90898">
      <w:pPr>
        <w:pStyle w:val="TextoNormal"/>
      </w:pPr>
      <w:r>
        <w:t>Tras exponer los antecedentes de hecho, se precisa que “son dos las resoluciones judiciales impugnadas porque en ambas, tanto en la de instancia como en la de apelación, se deniega el acceso a la jurisdicción, si bien su argumentación no es totalmente coincidente”; la del Juzgado acordando la litispendencia “lo que impide el acceso a la jurisdicción, si bien sea de modo provisional o transitorio … se acuerda la suspensión del proceso”, y la Audiencia el archivo del procedimiento por litispendencia. Así, “siendo motivaciones distintas las que impiden el acceso a la jurisdicción de las demandantes de amparo, ambas tienen un nexo común, cual es la finalidad de ambas resoluciones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A90898" w:rsidRDefault="00A90898" w:rsidP="00A90898">
      <w:pPr>
        <w:pStyle w:val="TextoNormal"/>
      </w:pPr>
    </w:p>
    <w:p w:rsidR="00A90898" w:rsidRDefault="00A90898" w:rsidP="00A90898">
      <w:pPr>
        <w:pStyle w:val="TextoNormal"/>
      </w:pPr>
      <w:r>
        <w:t>En relación al motivo de fondo del recurso, el Ministerio público se centra en el art. 11.1 LEC, del que observa que prevé la legitimación de las asociaciones de consumidores y usuarios para ejercitar acciones en defensa de los intereses generales de éstos, “sin perjuicio de la legitimación individual de los perjudicados”, quedando así establecida la compatibilidad entre ambas. Pasa a referirse a los razonamientos dados en el Auto del Juzgado de lo Mercantil núm. 6 de Barcelona, y critica la solución de suspender el procedimiento hasta que recaiga Sentencia firme en la causa seguida por ADICAE ante el Juzgado de lo Mercantil núm. 11 de Madrid. 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las relaciones procesales existentes en aquél, el momento procesal en que se encontraba su tramitación y lo actuado hasta ese momento, así como los llamamientos a quienes pudieran ser parte en el mismo a tenor de los arts. 11 y 15 LEC, no se contiene razonamiento alguno encaminado a demostrar, de manera contundente y sin vacilación alguna, la concurrencia de la excepción que se estima”.</w:t>
      </w:r>
    </w:p>
    <w:p w:rsidR="00A90898" w:rsidRDefault="00A90898" w:rsidP="00A90898">
      <w:pPr>
        <w:pStyle w:val="TextoNormal"/>
      </w:pPr>
    </w:p>
    <w:p w:rsidR="00A90898" w:rsidRDefault="00A90898" w:rsidP="00A90898">
      <w:pPr>
        <w:pStyle w:val="TextoNormal"/>
      </w:pPr>
      <w:r>
        <w:t>Y en segundo lugar, prosigue diciendo, porque tampoco el Auto del Juzgado motiva por qué no era posible acordar la acumulación de procesos antes de tener que llegar a la solución de declarar la litispendencia con suspensión transitoria.</w:t>
      </w:r>
    </w:p>
    <w:p w:rsidR="00A90898" w:rsidRDefault="00A90898" w:rsidP="00A90898">
      <w:pPr>
        <w:pStyle w:val="TextoNormal"/>
      </w:pPr>
    </w:p>
    <w:p w:rsidR="00A90898" w:rsidRDefault="00A90898" w:rsidP="00A90898">
      <w:pPr>
        <w:pStyle w:val="TextoNormal"/>
      </w:pPr>
      <w:r>
        <w:t>De la resolución de apelación, considera a su vez el Fiscal que “incide en los mismos defectos constitucionales que hemos atribuido a la de instancia”.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al efecto las consideraciones efectuadas ya a propósito del Auto del Juzgado.</w:t>
      </w:r>
    </w:p>
    <w:p w:rsidR="00A90898" w:rsidRDefault="00A90898" w:rsidP="00A90898">
      <w:pPr>
        <w:pStyle w:val="TextoNormal"/>
      </w:pPr>
    </w:p>
    <w:p w:rsidR="00A90898" w:rsidRDefault="00A90898" w:rsidP="00A90898">
      <w:pPr>
        <w:pStyle w:val="TextoNormal"/>
      </w:pPr>
      <w:r>
        <w:t xml:space="preserve">A continuación, cuestiona la declaración de oficio de la litispendencia hecha por la Audiencia, lo que “podría suponer la vulneración del derecho a no padecer indefensión anudada a incongruencia </w:t>
      </w:r>
      <w:r w:rsidRPr="00A90898">
        <w:rPr>
          <w:i/>
        </w:rPr>
        <w:t>extrapetita</w:t>
      </w:r>
      <w:r>
        <w:t xml:space="preserve"> (art. 24.1 CE) e incluso del proceso debido (art. 24.2 CE)”. De otro lado,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10</w:t>
      </w:r>
      <w:r>
        <w:t>. La representación procesal de la recurrente no presentó alegaciones, según se hizo constar en diligencia de la Secretaría de Justicia de 23 de febrero de 2016.</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7 de diciembre de 2016 se señaló para deliberación y votación de la presente Sentencia el día 12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demanda de amparo solicita en su suplico, por los motivos que expone en sus fundamentos y que luego se analizarán, que este Tribunal declare la nulidad del Auto de la Sección Decimoquinta de la Audiencia Provincial de Barcelona dictado el 14 de mayo de 2015, por vulnerar el derecho de acceso a la jurisdicción (art. 24.1 CE) del recurrente, al haber estimado la excepción procesal de litispendencia respecto del procedimiento abierto a su instancia contra la entidad Catalunya Banc, S.A., para la nulidad de la cláusula suelo incluida en el contrato de préstamo suscrito entre ambas partes; en favor del procedimiento instado a su vez en el año 2010 por la asociación de consumidores ADICAE contra diversas entidades financieras —entre ellas la aquí demandada—,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t xml:space="preserve">Ahora bien, aunque no en el suplico, el escrito de demanda sí que hace referencia en sus fundamentos a que el Juzgado de lo Mercantil núm. 6 de Barcelona había dictado Auto el 10 de febrero de 2014, acordando estimar la excepción de litispendencia planteada por la </w:t>
      </w:r>
      <w:r>
        <w:lastRenderedPageBreak/>
        <w:t>entidad demandada, en relación con aquel otro proceso seguido a instancias de ADICAE, trayendo consigo como efecto procesal que, argumenta el Juzgado, no es el propio de dicha excepción procesal pero sí el adecuado a las circunstancias, que se suspendieran las actuaciones hasta recaer sentencia firme en este último, a fin de estar a lo resuelto en el mismo para dilucidar la controversia aquí planteada. Esta decisión judicial propició, según explica la propia demanda, la interposición de un recurso de apelación en el que, aparte de otros argumentos, se hizo expresa invocación del art. 24.1 CE, al entenderse como impeditiva del derecho del recurrente a obtener una resolución de fondo sobre sus pretensiones.</w:t>
      </w:r>
    </w:p>
    <w:p w:rsidR="00A90898" w:rsidRDefault="00A90898" w:rsidP="00A90898">
      <w:pPr>
        <w:pStyle w:val="TextoNormal"/>
      </w:pPr>
    </w:p>
    <w:p w:rsidR="00A90898" w:rsidRDefault="00A90898" w:rsidP="00A90898">
      <w:pPr>
        <w:pStyle w:val="TextoNormal"/>
      </w:pPr>
      <w:r>
        <w:t xml:space="preserve">A la vista de esa denuncia, y dado que la demanda en ningún momento afirma que el Auto de la Audiencia hubiere reparado la lesión producida por el Juzgado </w:t>
      </w:r>
      <w:r w:rsidRPr="00A90898">
        <w:rPr>
          <w:i/>
        </w:rPr>
        <w:t>a quo</w:t>
      </w:r>
      <w:r>
        <w:t>, ha de 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dispositiva como la </w:t>
      </w:r>
      <w:r w:rsidRPr="00A90898">
        <w:rPr>
          <w:i/>
        </w:rPr>
        <w:t>ratio decidendi</w:t>
      </w:r>
      <w:r>
        <w:t xml:space="preserve"> de las resoluciones impugnadas: la del Juzgado </w:t>
      </w:r>
      <w:r w:rsidRPr="00A90898">
        <w:rPr>
          <w:i/>
        </w:rPr>
        <w:t>a quo</w:t>
      </w:r>
      <w:r>
        <w:t>,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00A90898" w:rsidRDefault="00A90898" w:rsidP="00A90898">
      <w:pPr>
        <w:pStyle w:val="TextoNormal"/>
      </w:pPr>
    </w:p>
    <w:p w:rsidR="00A90898" w:rsidRDefault="00A90898" w:rsidP="00A90898">
      <w:pPr>
        <w:pStyle w:val="TextoNormal"/>
      </w:pPr>
      <w:r w:rsidRPr="00A90898">
        <w:rPr>
          <w:rStyle w:val="NumeroAFNegritaCaracter"/>
        </w:rPr>
        <w:t>3</w:t>
      </w:r>
      <w:r>
        <w:t>. No opuesto óbice procesal por ninguna de las partes,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w:t>
      </w:r>
      <w:r w:rsidRPr="00A90898">
        <w:rPr>
          <w:i/>
        </w:rPr>
        <w:t>prima facie</w:t>
      </w:r>
      <w:r>
        <w:t xml:space="preserv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00A90898" w:rsidRDefault="00A90898" w:rsidP="00A90898">
      <w:pPr>
        <w:pStyle w:val="TextoNormal"/>
      </w:pPr>
    </w:p>
    <w:p w:rsidR="00A90898" w:rsidRDefault="00A90898" w:rsidP="00A90898">
      <w:pPr>
        <w:pStyle w:val="TextoNormal"/>
      </w:pPr>
      <w:r>
        <w:t>En la mencionada STC 148/2016 (FFJJ 4 y 5), este Tribunal hizo un detallado examen de la normativa interna española y también de la Unión Europea, de la que, a modo de resumen, podemos destacar lo siguiente:</w:t>
      </w:r>
    </w:p>
    <w:p w:rsidR="00A90898" w:rsidRDefault="00A90898" w:rsidP="00A90898">
      <w:pPr>
        <w:pStyle w:val="TextoNormal"/>
      </w:pPr>
    </w:p>
    <w:p w:rsidR="00A90898" w:rsidRDefault="00A90898" w:rsidP="00A90898">
      <w:pPr>
        <w:pStyle w:val="TextoNormal"/>
      </w:pPr>
      <w:r>
        <w:t>En relación con el análisis del Ordenamiento jurídico nacional, este Tribunal, hizo referencia, en primer lugar, al régimen de legitimación activa (restringida a las entidades e instituciones señaladas en su art.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de la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00A90898" w:rsidRDefault="00A90898" w:rsidP="00A90898">
      <w:pPr>
        <w:pStyle w:val="TextoNormal"/>
      </w:pPr>
    </w:p>
    <w:p w:rsidR="00A90898" w:rsidRDefault="00A90898" w:rsidP="00A90898">
      <w:pPr>
        <w:pStyle w:val="TextoNormal"/>
      </w:pPr>
      <w:r>
        <w:t xml:space="preserve">Y, a continuación, la STC 148/2016 centró su atención en el vigente texto refundido de la Ley general para la defensa de los consumidores y usuarios y otras leyes complementarias, aprobado por Real Decreto Legislativo 1/2007, de 16 de noviembre, que prevé en su art.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w:t>
      </w:r>
      <w:r>
        <w:lastRenderedPageBreak/>
        <w:t>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00A90898" w:rsidRDefault="00A90898" w:rsidP="00A90898">
      <w:pPr>
        <w:pStyle w:val="TextoNormal"/>
      </w:pPr>
    </w:p>
    <w:p w:rsidR="00A90898" w:rsidRDefault="00A90898" w:rsidP="00A90898">
      <w:pPr>
        <w:pStyle w:val="TextoNormal"/>
      </w:pPr>
      <w:r>
        <w:t>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b)].</w:t>
      </w:r>
    </w:p>
    <w:p w:rsidR="00A90898" w:rsidRDefault="00A90898" w:rsidP="00A90898">
      <w:pPr>
        <w:pStyle w:val="TextoNormal"/>
      </w:pPr>
    </w:p>
    <w:p w:rsidR="00A90898" w:rsidRDefault="00A90898" w:rsidP="00A90898">
      <w:pPr>
        <w:pStyle w:val="TextoNormal"/>
      </w:pPr>
      <w:r>
        <w:t>Por último, y, a mayor abundamiento, hay que destacar que, en la STC 148/2016, FJ 5 cuya doctrina resulta de aplicación, se señalaba que, en el ámbito del Derecho de la Unión Europea,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 [STC 148/2016, FJ 5 a)].</w:t>
      </w:r>
    </w:p>
    <w:p w:rsidR="00A90898" w:rsidRDefault="00A90898" w:rsidP="00A90898">
      <w:pPr>
        <w:pStyle w:val="TextoNormal"/>
      </w:pPr>
    </w:p>
    <w:p w:rsidR="00A90898" w:rsidRDefault="00A90898" w:rsidP="00A90898">
      <w:pPr>
        <w:pStyle w:val="TextoNormal"/>
      </w:pPr>
      <w: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w:t>
      </w:r>
      <w:r w:rsidRPr="00A90898">
        <w:rPr>
          <w:i/>
        </w:rPr>
        <w:t>a quo</w:t>
      </w:r>
      <w:r>
        <w:t xml:space="preserve"> de aplicar el art. 43 de la Ley de enjuiciamiento civil con suspensión de los procesos de acción individual de nulidad de cláusula abusiva, hasta que recayera Sentencia firme en el proceso de cesación instado por ADICAE ante el Juzgado de lo Mercantil núm. 11 de Madrid (procedimiento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(STJUE, apartado 32).</w:t>
      </w:r>
    </w:p>
    <w:p w:rsidR="00A90898" w:rsidRDefault="00A90898" w:rsidP="00A90898">
      <w:pPr>
        <w:pStyle w:val="TextoNormal"/>
      </w:pPr>
    </w:p>
    <w:p w:rsidR="00A90898" w:rsidRDefault="00A90898" w:rsidP="00A90898">
      <w:pPr>
        <w:pStyle w:val="TextoNormal"/>
      </w:pPr>
      <w:r>
        <w:t xml:space="preserve">Pues bien, según la citada resolución, el derecho del consumidor individual se considera incumplido al producir una vinculación de dicho derecho con el resultado de la acción de cesación “incluso cuando decida no participar en la misma” y sin poder tener en cuenta las </w:t>
      </w:r>
      <w:r>
        <w:lastRenderedPageBreak/>
        <w:t>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del que hace cita la Sentencia del Pleno de la Sala Primera del Tribunal Supremo núm. 241/2013, de 9 de mayo, FFJJ 235 a 238 y 246, para reconocer que esta regla de juicio por fuerza debe matizarse al resolver demandas de cesación.</w:t>
      </w:r>
    </w:p>
    <w:p w:rsidR="00A90898" w:rsidRDefault="00A90898" w:rsidP="00A90898">
      <w:pPr>
        <w:pStyle w:val="TextoNormal"/>
      </w:pPr>
    </w:p>
    <w:p w:rsidR="00A90898" w:rsidRDefault="00A90898" w:rsidP="00A90898">
      <w:pPr>
        <w:pStyle w:val="TextoNormal"/>
      </w:pPr>
      <w:r>
        <w:t>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t>4</w:t>
      </w:r>
      <w:r>
        <w:t>.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00A90898" w:rsidRDefault="00A90898" w:rsidP="00A90898">
      <w:pPr>
        <w:pStyle w:val="TextoNormal"/>
      </w:pPr>
    </w:p>
    <w:p w:rsidR="00A90898" w:rsidRDefault="00A90898" w:rsidP="00A90898">
      <w:pPr>
        <w:pStyle w:val="TextoNormal"/>
      </w:pPr>
      <w:r>
        <w:t xml:space="preserve">En consecuencia, si los aquí recurrentes no eran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w:t>
      </w:r>
      <w:r w:rsidRPr="00A90898">
        <w:rPr>
          <w:i/>
        </w:rPr>
        <w:t>a quo</w:t>
      </w:r>
      <w:r>
        <w:t xml:space="preserve">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A90898" w:rsidRDefault="00A90898" w:rsidP="00A90898">
      <w:pPr>
        <w:pStyle w:val="TextoNormal"/>
      </w:pPr>
    </w:p>
    <w:p w:rsidR="00A90898" w:rsidRDefault="00A90898" w:rsidP="00A90898">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w:t>
      </w:r>
      <w:r w:rsidRPr="00A90898">
        <w:rPr>
          <w:i/>
        </w:rPr>
        <w:t>a quo</w:t>
      </w:r>
      <w:r>
        <w:t>,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A90898" w:rsidRDefault="00A90898" w:rsidP="00A90898">
      <w:pPr>
        <w:pStyle w:val="TextoNormal"/>
      </w:pPr>
    </w:p>
    <w:p w:rsidR="00A90898" w:rsidRDefault="00A90898" w:rsidP="00A90898">
      <w:pPr>
        <w:pStyle w:val="TextoNormal"/>
      </w:pPr>
      <w:r>
        <w:t xml:space="preserve">Procede por tanto el otorgamiento del amparo que se solicita, declarando para ello la nulidad de los Autos recurridos, con retroacción de las actuaciones al momento inmediatamente anterior al de haberse dictado el Auto de 10 de febrero de 2014, para que el Juzgado de lo Mercantil </w:t>
      </w:r>
      <w:r w:rsidRPr="00A90898">
        <w:rPr>
          <w:i/>
        </w:rPr>
        <w:t>a quo</w:t>
      </w:r>
      <w:r>
        <w:t xml:space="preserve"> provea en términos que resulten respetuosos con el derecho fundamental declarado. Esto es, ordenando la continuación del procedimiento en primera instancia (juicio ordinario 787-2012)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don José Antonio Pacheco Cordero, y, en consecuencia:</w:t>
      </w:r>
    </w:p>
    <w:p w:rsidR="00A90898" w:rsidRDefault="00A90898" w:rsidP="00A90898">
      <w:pPr>
        <w:pStyle w:val="TextoNormal"/>
      </w:pPr>
    </w:p>
    <w:p w:rsidR="00A90898" w:rsidRDefault="00A90898" w:rsidP="00A90898">
      <w:pPr>
        <w:pStyle w:val="TextoNormal"/>
      </w:pPr>
      <w:r>
        <w:lastRenderedPageBreak/>
        <w:t>1º Reconocer el derecho fundamental del demandante a la tutela judicial efectiva.</w:t>
      </w:r>
    </w:p>
    <w:p w:rsidR="00A90898" w:rsidRDefault="00A90898" w:rsidP="00A90898">
      <w:pPr>
        <w:pStyle w:val="TextoNormal"/>
      </w:pPr>
    </w:p>
    <w:p w:rsidR="00A90898" w:rsidRDefault="00A90898" w:rsidP="00A90898">
      <w:pPr>
        <w:pStyle w:val="TextoNormal"/>
      </w:pPr>
      <w:r>
        <w:t>2º Restablecerle en la integridad de su derecho y, a tal fin, declarar la nulidad del Auto del Juzgado de lo Mercantil núm. 6 de Barcelona, de 10 de febrero de 2014 (procedimiento ordinario núm. 787-2012); así como la nulidad del Auto de la Sección Decimoquinta de la Audiencia Provincial de Barcelona, de 14 de mayo de 2015, que desestimó el recurso de apelación (rollo núm. 246-2014).</w:t>
      </w:r>
    </w:p>
    <w:p w:rsidR="00A90898" w:rsidRDefault="00A90898" w:rsidP="00A90898">
      <w:pPr>
        <w:pStyle w:val="TextoNormal"/>
      </w:pPr>
    </w:p>
    <w:p w:rsidR="00A90898" w:rsidRDefault="00A90898" w:rsidP="00A90898">
      <w:pPr>
        <w:pStyle w:val="TextoNormal"/>
      </w:pPr>
      <w:r>
        <w:t xml:space="preserve">3º Retrotraer las actuaciones hasta el momento inmediatamente anterior al de dictarse el Auto de 10 de febrero de 2014, para que el Juzgado de lo Mercantil </w:t>
      </w:r>
      <w:r w:rsidRPr="00A90898">
        <w:rPr>
          <w:i/>
        </w:rPr>
        <w:t>a quo</w:t>
      </w:r>
      <w:r>
        <w:t xml:space="preserve"> provea a las actuaciones de una manera que resulte respetuosa con el derecho fundamental declarado, en los términos que fijamos en el anterior fundamento jurídico 4.</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doce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88" w:name="SENTENCIA_2016_209"/>
      <w:r>
        <w:lastRenderedPageBreak/>
        <w:t>SENTENCIA 209/2016, de 12 de diciembre de 2016</w:t>
      </w:r>
    </w:p>
    <w:bookmarkEnd w:id="88"/>
    <w:p w:rsidR="00A90898" w:rsidRDefault="00A90898" w:rsidP="00A90898">
      <w:pPr>
        <w:pStyle w:val="TtuloResolucin"/>
      </w:pPr>
      <w:r>
        <w:t>Sala Primera</w:t>
      </w:r>
    </w:p>
    <w:p w:rsidR="00A90898" w:rsidRDefault="00A90898" w:rsidP="00A90898">
      <w:pPr>
        <w:pStyle w:val="TtuloBOE"/>
      </w:pPr>
      <w:r>
        <w:t>(BOE núm. 17, de 20 de enero de 2017)</w:t>
      </w:r>
    </w:p>
    <w:p w:rsidR="00A90898" w:rsidRDefault="00A90898" w:rsidP="00A90898">
      <w:pPr>
        <w:pStyle w:val="TextoNormalCentrado"/>
      </w:pPr>
      <w:r>
        <w:t>ECLI:ES:TC:2016:209</w:t>
      </w:r>
    </w:p>
    <w:p w:rsidR="00A90898" w:rsidRDefault="00A90898" w:rsidP="00A90898">
      <w:pPr>
        <w:pStyle w:val="TextoNormalCentrado"/>
      </w:pPr>
    </w:p>
    <w:p w:rsidR="00A90898" w:rsidRDefault="00A90898" w:rsidP="00A90898">
      <w:pPr>
        <w:pStyle w:val="SntesisDescriptiva"/>
      </w:pPr>
      <w:r>
        <w:t>Recurso de amparo 4093-2015. Promovido por don José Lara Aragón y doña María Nieves Rodríguez Guzmán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Asunto sustancialmente idéntico al resuelto por la STC 148/2016, en relación con la doctrina sobre la vulneración del derecho a la tutela judicial efectiva como consecuencia de la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r>
        <w:t>2.</w:t>
      </w:r>
      <w:r>
        <w:tab/>
        <w:t>Asunto sustancialmente idéntico al resuelto por la STC 148/2016, en relación con la doctrina sobre la vulneración del derecho a la tutela judicial efectiva como consecuencia de la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4093-2015, promovido por don José Lara Aragón y doña Maria Nieves Rodríguez Guzmán, representados por la Procuradora de los Tribunales doña María José Rodríguez Teijeiro y asistidos por la Abogada doña Montserrat Andrés Sabaté, contra el Auto de la Sección Decimoquinta de la Audiencia Provincial de Barcelona, de 28 de mayo de 2015, que desestimó el recurso de apelación (rollo núm. 550-2014), promovido contra el Auto del Juzgado de lo Mercantil núm. 6 de Barcelona, de 23 de junio de 2014 (procedimiento ordinario núm. 807-2013). Ha actuado como parte la entidad CaixaBank, </w:t>
      </w:r>
      <w:r>
        <w:lastRenderedPageBreak/>
        <w:t>S.A., representada por el Procurador don Javier Segura Zariquiey y asistida por el Abogado don Antonio Valmaña Cabanes. Ha intervenido el Ministerio Fiscal. Ha sido Ponente el Magistrado don Santiago Martínez-Vares García,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9 de julio de 2015, la Procuradora de los Tribunales doña María José Rodríguez Teijeiro, actuando en nombre de don José Lara Aragón y doña María Nieves Rodríguez Guzmán,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Con fecha 4 de noviembre de 2013, los demandantes de amparo interpusieron demanda de juicio ordinario frente a la entidad CaixaBank, S.A., ejercitando conjuntamente una acción declarativa de nulidad de una condición general de la contratación (la comúnmente conocida como cláusula suelo) y otra de reclamación de cantidad. Se alegaba por el recurrente que en el contrato de crédito hipotecario que había firmado con esa entidad, se incluía una cláusula suelo cuya nulidad interesaba que se declarase por su carácter abusivo, así como que la demandada fuera condenada a devolver las sumas abonadas como consecuencia de su aplicación.</w:t>
      </w:r>
    </w:p>
    <w:p w:rsidR="00A90898" w:rsidRDefault="00A90898" w:rsidP="00A90898">
      <w:pPr>
        <w:pStyle w:val="TextoNormal"/>
      </w:pPr>
    </w:p>
    <w:p w:rsidR="00A90898" w:rsidRDefault="00A90898" w:rsidP="00A90898">
      <w:pPr>
        <w:pStyle w:val="TextoNormal"/>
      </w:pPr>
      <w:r>
        <w:t>b) La demanda fue turnada al Juzgado de lo Mercantil núm. 6 de Barcelona dando lugar a la incoación del procedimiento ordinario núm. 807-2013. Conferido traslado de la misma a la parte demandada, ésta se opuso a las pretensiones de los actores alegando la excepción de prejudicialidad civil, porque en el Juzgado de lo Mercantil núm. 11 de Madrid se estaba tramitando, a instancia de la Asociación de usuarios de Bancos, Cajas de Ahorros y Seguros de España (ADICAE), el procedimiento 471-2010, seguido contra distintas entidades bancarias, entre la que se encontraba CaixaBank, S.A., siendo objeto de dicho proceso tanto que se declarasen abusivas las cláusulas suelo que las demandadas incluyeron en los contratos de préstamo con garantía hipotecaria, como que se resarciesen las cantidades indebidamente percibidas en virtud de su aplicación, encontrándose el proceso pendiente de celebración de la vista en el momento de presentarse la demanda.</w:t>
      </w:r>
    </w:p>
    <w:p w:rsidR="00A90898" w:rsidRDefault="00A90898" w:rsidP="00A90898">
      <w:pPr>
        <w:pStyle w:val="TextoNormal"/>
      </w:pPr>
    </w:p>
    <w:p w:rsidR="00A90898" w:rsidRDefault="00A90898" w:rsidP="00A90898">
      <w:pPr>
        <w:pStyle w:val="TextoNormal"/>
      </w:pPr>
      <w:r>
        <w:t xml:space="preserve">c) Con fecha 23 de junio de 2014, el Juzgado de lo Mercantil núm. 6 de Barcelona dictó Auto en el que se acordó estimar la excepción de prejudicialidad civil planteada por la representación de CaixaBank, S.A., y, en consecuencia, ordenó la suspensión del procedimiento hasta que recayera resolución firme en el proceso seguido ante el Juzgado de lo Mercantil núm. 11 de Madrid. El Juzgado exponía la existencia de identidad entre la </w:t>
      </w:r>
      <w:r w:rsidRPr="00A90898">
        <w:rPr>
          <w:i/>
        </w:rPr>
        <w:t>causa petendi</w:t>
      </w:r>
      <w:r>
        <w:t xml:space="preserve"> y el </w:t>
      </w:r>
      <w:r w:rsidRPr="00A90898">
        <w:rPr>
          <w:i/>
        </w:rPr>
        <w:t>petitum</w:t>
      </w:r>
      <w:r>
        <w:t xml:space="preserve"> de las pretensiones planteadas en ambos procesos y refería que la falta de identidad entre las partes podía ser salvada mediante la posibilidad de personación de los demandantes de amparo en el proceso en trámite como consecuencia del ejercicio de la acción colectiva, estando garantizado de este modo el derecho a la tutela judicial efectiva y también por la posibilidad de pedir en su favor incluso la ejecución de la sentencia que recayese en el proceso previo, aunque no hubiese sido parte en el mismo. Afirma que debe priorizarse el principio de seguridad jurídica del art. 9 CE, dada la conexión existente entre </w:t>
      </w:r>
      <w:r>
        <w:lastRenderedPageBreak/>
        <w:t>ambos procesos, al ser interdependientes, lo que podría provocar situaciones de sentencias contradictorias de imposible coexistencia jurídica.</w:t>
      </w:r>
    </w:p>
    <w:p w:rsidR="00A90898" w:rsidRDefault="00A90898" w:rsidP="00A90898">
      <w:pPr>
        <w:pStyle w:val="TextoNormal"/>
      </w:pPr>
    </w:p>
    <w:p w:rsidR="00A90898" w:rsidRDefault="00A90898" w:rsidP="00A90898">
      <w:pPr>
        <w:pStyle w:val="TextoNormal"/>
      </w:pPr>
      <w:r>
        <w:t>d) Contra el indicado Auto los demandantes de amparo interpusieron recurso de apelación alegando que no se justifica por CaixaBank, S.A., que el recurso presentado por ADICAE se estuviera tramitando. Añaden que no concurren los presupuestos del art. 43 de la Ley de enjuiciamiento civil (LEC) y que el ejercicio de una acción colectiva en defensa de los consumidores y usuarios no impide que los interesados puedan ejercer sus acciones de forma individual, por lo que no es posible apreciar prejudicialidad. Consideran que la tesis del Juzgado de lo Mercantil conduce “al absurdo de que una medida legal creada para reforzar la defensa de los consumidores y usuarios, como son las acciones colectivas, son contraproducentes [</w:t>
      </w:r>
      <w:r w:rsidRPr="00A90898">
        <w:rPr>
          <w:i/>
        </w:rPr>
        <w:t>sic</w:t>
      </w:r>
      <w:r>
        <w:t>] para la defensa individual de esos consumidores y usuarios puesto que, aunque quisieran ejercer sus acciones de forma personal e individualizada, no podrían hacerlo o, si lo hacen, tienen que esperar al resultado del proceso colectivo”.</w:t>
      </w:r>
    </w:p>
    <w:p w:rsidR="00A90898" w:rsidRDefault="00A90898" w:rsidP="00A90898">
      <w:pPr>
        <w:pStyle w:val="TextoNormal"/>
      </w:pPr>
    </w:p>
    <w:p w:rsidR="00A90898" w:rsidRDefault="00A90898" w:rsidP="00A90898">
      <w:pPr>
        <w:pStyle w:val="TextoNormal"/>
      </w:pPr>
      <w:r>
        <w:t>e) La Sección Decimoquinta de la Audiencia Provincial de Barcelona (rollo de apelación núm. 550-2014) dictó Auto el día 28 de mayo de 2015,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w:t>
      </w:r>
    </w:p>
    <w:p w:rsidR="00A90898" w:rsidRDefault="00A90898" w:rsidP="00A90898">
      <w:pPr>
        <w:pStyle w:val="TextoNormal"/>
      </w:pPr>
    </w:p>
    <w:p w:rsidR="00A90898" w:rsidRDefault="00A90898" w:rsidP="00A90898">
      <w:pPr>
        <w:pStyle w:val="TextoNormal"/>
      </w:pPr>
      <w:r>
        <w:t>En síntesis el razonamiento expuesto por el órgano judicial es el siguiente:</w:t>
      </w:r>
    </w:p>
    <w:p w:rsidR="00A90898" w:rsidRDefault="00A90898" w:rsidP="00A90898">
      <w:pPr>
        <w:pStyle w:val="TextoNormal"/>
      </w:pPr>
    </w:p>
    <w:p w:rsidR="00A90898" w:rsidRDefault="00A90898" w:rsidP="00A90898">
      <w:pPr>
        <w:pStyle w:val="TextoNormal"/>
      </w:pPr>
      <w:r>
        <w:t>En primer lugar, con apoyo en el art. 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 15 LEC, esto es, intervenir en el proceso, o bien solicitar la acumulación de la acción individual a la colectiva (siempre que se cumplan los requisitos que exige el art. 76.2.1 LEC) o interesar la extensión de los efectos del pronunciamiento en fase de ejecución (art.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Entiende que no procede la acumulación de procesos cuando el particular ha podido acudir al proceso colectivo, sea mediante el mecanismo de la acumulación inicial de acciones o por el de la intervención del art. 15 LEC. Afirma que el Juzgado debió apreciar la litispendencia al existir identidad de objeto y no mera conexidad.</w:t>
      </w:r>
    </w:p>
    <w:p w:rsidR="00A90898" w:rsidRDefault="00A90898" w:rsidP="00A90898">
      <w:pPr>
        <w:pStyle w:val="TextoNormal"/>
      </w:pPr>
    </w:p>
    <w:p w:rsidR="00A90898" w:rsidRDefault="00A90898" w:rsidP="00A90898">
      <w:pPr>
        <w:pStyle w:val="TextoNormal"/>
      </w:pPr>
      <w:r>
        <w:t xml:space="preserve">En segundo término, la Sala arguye que, aun cuando el art. 11.1 LEC reconozca legitimación activa a los perjudicados titulares de acciones individuales, tal circunstancia no se opone a la apreciación de litispendencia, pues sostiene que el hecho de que “tengan legitimación activa los particulares afectados no significa que deban mantener abierta de forma incondicional la posibilidad de actuar en un proceso separado. Iniciada la acción colectiva su legitimación se concreta, como resulta de lo establecido en el art. 15 LEC, en intervenir en el proceso en el que se sustancia la acción colectiva para hacer valer en él su derecho o </w:t>
      </w:r>
      <w:r>
        <w:lastRenderedPageBreak/>
        <w:t>interés singular, tal y como expresa ese precepto en su apartado 1”. Del mismo modo, descarta el órgano judicial que exista afectación relevante alguna al derecho a la tutela judicial efectiva pues, a su parecer, no se restringe la legitimación de los afectados sino que únicamente se condiciona el ejercicio de las acciones individuales de una forma concreta y determinada (acumulada a otras, las colectivas), de manera que permite conciliar esos derechos individuales con los de los demás afectados. Se trataría, por tanto, de normas de organización procesal que pretenden salvaguardar el interés general (los intereses colectivos) respetando el buen orden procesal (la cosa juzgada).</w:t>
      </w:r>
    </w:p>
    <w:p w:rsidR="00A90898" w:rsidRDefault="00A90898" w:rsidP="00A90898">
      <w:pPr>
        <w:pStyle w:val="TextoNormal"/>
      </w:pPr>
    </w:p>
    <w:p w:rsidR="00A90898" w:rsidRDefault="00A90898" w:rsidP="00A90898">
      <w:pPr>
        <w:pStyle w:val="TextoNormal"/>
      </w:pPr>
      <w:r w:rsidRPr="00A90898">
        <w:rPr>
          <w:rStyle w:val="NumeroAFNegritaCaracter"/>
        </w:rPr>
        <w:t>3</w:t>
      </w:r>
      <w:r>
        <w:t>. Seguidamente, los recurrentes formalizaron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Los demandantes exponen que el art. 11 LEC permite a los particulares que lo deseen personarse en el procedimiento de acciones colectivas, pero la intervención individual en la acción colectiva no es obligatoria. En tal sentido no se priva a la parte del derecho a ejercitar la acción individual, pues el propio precepto, al reconocer legitimación a las asociaciones para el ejercicio de las acciones colectivas, lo hace “sin perjuicio de la legitimación individual de los perjudicados”, mención que permite afirmar la posibilidad del ejercicio simultáneo de acciones colectivas y acciones individuales. Argumentan que es el particular quien puede decir si desea sumarse a una acción colectiva o ejercer de forma individual los derechos que le asisten. Razonan, que la resolución impugnada debió interpretar la norma interna en armonía con lo dispuesto en la norma comunitaria, que garantiza al consumidor su derecho a elegir si quiere integrarse en una acción colectiva o ejercitar la acción individual. Consideran que no existe riesgo alguno para la seguridad jurídica por razón de resoluciones contradictorias en tanto que los intereses en juego en cada una de las acciones son distintos, tanto más, como es el caso, cuando el recurrente no forma parte del elenco de los concretos intereses defendidos en el otro proceso ni tan siquiera ha sido llamado a ese proceso lo que, en todo caso, no puede constituirse ni en una obligación, ni en una carga procesal con consecuencias negativas frente a su derecho individual a la tutela judicial efectiva.</w:t>
      </w:r>
    </w:p>
    <w:p w:rsidR="00A90898" w:rsidRDefault="00A90898" w:rsidP="00A90898">
      <w:pPr>
        <w:pStyle w:val="TextoNormal"/>
      </w:pPr>
    </w:p>
    <w:p w:rsidR="00A90898" w:rsidRDefault="00A90898" w:rsidP="00A90898">
      <w:pPr>
        <w:pStyle w:val="TextoNormal"/>
      </w:pPr>
      <w:r>
        <w:t>Continúan su exposición con la cita de diversas Sentencias del Tribunal Constitucional, de las que extraen que no pueden ser admisibles las interpretaciones irrazonables, rigoristas en exceso o restrictivas en materia de legitimación procesal, como sucede en la resolución impugnada. Añaden que es desproporcionado el archivo de un procedimiento que no podrá volver a reanudarse ni a interponerse, cuando la propia legislación ordinaria procesal en cumplimiento de lo dispuesto en la Constitución permite la concurrencia de una acción colectiva y una individual. Insisten en la problemática que se plantearía en el caso en que se procediera a desistir del procedimiento que se sigue en virtud de la acción colectiva.</w:t>
      </w:r>
    </w:p>
    <w:p w:rsidR="00A90898" w:rsidRDefault="00A90898" w:rsidP="00A90898">
      <w:pPr>
        <w:pStyle w:val="TextoNormal"/>
      </w:pPr>
    </w:p>
    <w:p w:rsidR="00A90898" w:rsidRDefault="00A90898" w:rsidP="00A90898">
      <w:pPr>
        <w:pStyle w:val="TextoNormal"/>
      </w:pPr>
      <w:r>
        <w:t>En el suplico de la demanda solicitan la declaración de nulidad del Auto de la Sección Decimoquinta de la Audiencia Provincial de Barcelona, de 14 de octubre de 2014 y que, como consecuencia de ello, “se ordene la emisión de una sentencia sobre el fondo según las pretensiones y peticiones de las partes que constan en los autos, restableciendo de este modo los derechos a la tutela judicial efectiva de los recurrentes”.</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Con fecha de 18 de enero de 2016, la Sala Primera, de este Tribunal, dictó providencia admitiendo a trámite la demanda de amparo, “apreciando que ofrece especial trascendencia </w:t>
      </w:r>
      <w:r>
        <w:lastRenderedPageBreak/>
        <w:t>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6 de Barcelona, para que remitieran certificación o fotocopia adverada de las actuaciones correspondientes, con emplazamiento a quienes hubiesen sido parte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5</w:t>
      </w:r>
      <w:r>
        <w:t>. Por medio de escrito presentado el día 25 de febrero de 2016, el Procurador de los Tribunales don Javier Segura Zariquiey presentó escrito de oposición al recurso de amparo en nombre y representación de la entidad CaixaBank, S.A., solicitando se entendieran con él las sucesivas diligencias y notificaciones.</w:t>
      </w:r>
    </w:p>
    <w:p w:rsidR="00A90898" w:rsidRDefault="00A90898" w:rsidP="00A90898">
      <w:pPr>
        <w:pStyle w:val="TextoNormal"/>
      </w:pPr>
    </w:p>
    <w:p w:rsidR="00A90898" w:rsidRDefault="00A90898" w:rsidP="00A90898">
      <w:pPr>
        <w:pStyle w:val="TextoNormal"/>
      </w:pPr>
      <w:r>
        <w:t>Considera que los demandantes no respetan “las normas de organización procesal”. Afirma que la decisión de la Audiencia Provincial se ajusta a la legalidad procesal, sin que la misma alcance al derecho fundamental invocado, cuyo contenido no es absoluto y precisa de normas que lo desarrollen. El derecho a la tutela judicial efectiva garantiza la obtención de una respuesta razonada, pero no que esa respuesta sea la esperada, e indica que tanto la resolución de la Audiencia Provincial como del Juzgado de lo Mercantil son razonadas y fundadas en Derecho. Posteriormente efectúa unas consideraciones sobre la causa de nulidad invocada por los demandantes al impugnar la ‘cláusula suelo’, con referencias a la doctrina de los actos propios, indicando que “ellos mismos han convertido su caso en una acción colectiva impropia, al plantearlo únicamente como una extensión de la problemática general que afecta a la cláusula suelo”.</w:t>
      </w:r>
    </w:p>
    <w:p w:rsidR="00A90898" w:rsidRDefault="00A90898" w:rsidP="00A90898">
      <w:pPr>
        <w:pStyle w:val="TextoNormal"/>
      </w:pPr>
    </w:p>
    <w:p w:rsidR="00A90898" w:rsidRDefault="00A90898" w:rsidP="00A90898">
      <w:pPr>
        <w:pStyle w:val="TextoNormal"/>
      </w:pPr>
      <w:r w:rsidRPr="00A90898">
        <w:rPr>
          <w:rStyle w:val="NumeroAFNegritaCaracter"/>
        </w:rPr>
        <w:t>6</w:t>
      </w:r>
      <w:r>
        <w:t>. La Secretaría de Justicia de la Sala Primera de este Tribunal dictó diligencia de ordenación el día 10 de noviembre de 2015, por la que tuvo por personado y parte en el procedimiento al Procurador indicado, en nombre y representación de CaixaBank, S.A., y se acordó abrir trámite de audiencia por 20 días a las partes personadas y al Ministerio Fiscal, a fin de que pudieran presentar alegaciones conforme determina el art. 52.1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7</w:t>
      </w:r>
      <w:r>
        <w:t>. El Ministerio Fiscal formalizó su escrito de alegaciones con fecha 5 de mayo de 2016, interesando la estimación del amparo por entender que el Auto dictado por el Juzgado de lo Mercantil y el Auto de la Audiencia Provincial de Barcelona desestimando el recurso de apelación contra el anterior han vulnerado el art. 24.1 CE que tutela el acceso al proceso y a obtener una resolución de fondo, restableciendo a los demandantes de amparo en su derecho fundamental, debiendo reponerse las actuaciones al momento en que se dictó el primero de los mismos, para que se dicte otro que respete el contenido del derecho fundamental vulnerado.</w:t>
      </w:r>
    </w:p>
    <w:p w:rsidR="00A90898" w:rsidRDefault="00A90898" w:rsidP="00A90898">
      <w:pPr>
        <w:pStyle w:val="TextoNormal"/>
      </w:pPr>
    </w:p>
    <w:p w:rsidR="00A90898" w:rsidRDefault="00A90898" w:rsidP="00A90898">
      <w:pPr>
        <w:pStyle w:val="TextoNormal"/>
      </w:pPr>
      <w:r>
        <w:t xml:space="preserve">Expone los antecedentes de hecho y precisa que el recurso, aunque solamente impugne el Auto de 28 mayo 2015 de la Sección Decimoquinta de la Audiencia Provincial de Barcelona, debe entenderse que también se dirige contra el Auto de 23 junio de 2014 del Juzgado </w:t>
      </w:r>
      <w:r>
        <w:lastRenderedPageBreak/>
        <w:t>Mercantil núm. 6 de Barcelona, al resultar confirmado parcialmente por el Auto de la Audiencia Provincial, además, en caso de resultar procedente del otorgamiento del amparo que se pide, no debe quedar subsistente una resolución judicial en la que se contiene una vulneración de derechos fundamentales. Añade que aun siendo motivaciones distintas las que impiden el acceso a la jurisdicción del demandante de amparo, todas ellas tienen un nexo común, cuál es la finalidad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A90898" w:rsidRDefault="00A90898" w:rsidP="00A90898">
      <w:pPr>
        <w:pStyle w:val="TextoNormal"/>
      </w:pPr>
    </w:p>
    <w:p w:rsidR="00A90898" w:rsidRDefault="00A90898" w:rsidP="00A90898">
      <w:pPr>
        <w:pStyle w:val="TextoNormal"/>
      </w:pPr>
      <w:r>
        <w:t>A continuación refiere la doctrina del Tribunal Constitucional en relación con la vulneración del derecho a la tutela judicial efectiva, desde la perspectiva de acceso a la jurisdicción e indica que el art. 10 LEC reconoce legitimación para comparecer en juicio a los titulares de las relaciones jurídicas controvertidas, salvo en los casos en que dicha legitimación se atribuya por ley a persona distinta del titular. Afirma que la legitimación para el ejercicio de las acciones colectivas se encuentra regulada en el art. 11.1 LEC, del que observa que la legitimación para ejercitar acciones en defensa de los intereses generales de los consumidores y usuarios que se concede a las asociaciones de consumidores y usuarios es compatible con la legitimación individual de los perjudicados, según resulta de la dicción literal del precepto.</w:t>
      </w:r>
    </w:p>
    <w:p w:rsidR="00A90898" w:rsidRDefault="00A90898" w:rsidP="00A90898">
      <w:pPr>
        <w:pStyle w:val="TextoNormal"/>
      </w:pPr>
    </w:p>
    <w:p w:rsidR="00A90898" w:rsidRDefault="00A90898" w:rsidP="00A90898">
      <w:pPr>
        <w:pStyle w:val="TextoNormal"/>
      </w:pPr>
      <w:r>
        <w:t>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 xml:space="preserve">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 relaciones procesales existentes en aquél, el momento procesal en que se encontraba su tramitación y lo actuado hasta ese momento, así como los llamamientos a quienes pudieran ser parte en el mismo al tenor de los arts. 11 y 15 LEC. Indica que el Auto incurre en “un déficit argumentativo y fundamentador que es de alcance grave para con una decisión de tanta relevancia como lo es la suspensión de un proceso y el impedimento, al menos momentáneo, de que prospere el </w:t>
      </w:r>
      <w:r w:rsidRPr="00A90898">
        <w:rPr>
          <w:i/>
        </w:rPr>
        <w:t>petitum</w:t>
      </w:r>
      <w:r>
        <w:t xml:space="preserve"> de los demandantes”.</w:t>
      </w:r>
    </w:p>
    <w:p w:rsidR="00A90898" w:rsidRDefault="00A90898" w:rsidP="00A90898">
      <w:pPr>
        <w:pStyle w:val="TextoNormal"/>
      </w:pPr>
    </w:p>
    <w:p w:rsidR="00A90898" w:rsidRDefault="00A90898" w:rsidP="00A90898">
      <w:pPr>
        <w:pStyle w:val="TextoNormal"/>
      </w:pPr>
      <w:r>
        <w:t>Y en segundo lugar, prosigue diciendo, que conforme a lo dispuesto en el art. 77.2.1 LEC, habría sido necesario descartar también la imposibilidad de resolver los problemas que plantea la tramitación de distintos procedimientos con un mismo objeto mediante la aplicación de las normas que regulan la acumulación de acciones. Añade, que el Auto no toma en consideración que la sentencia que declare la nulidad puede limitar sus efectos solamente a quienes hayan sido parte en el proceso correspondiente (art. 221.1.2 LEC).</w:t>
      </w:r>
    </w:p>
    <w:p w:rsidR="00A90898" w:rsidRDefault="00A90898" w:rsidP="00A90898">
      <w:pPr>
        <w:pStyle w:val="TextoNormal"/>
      </w:pPr>
    </w:p>
    <w:p w:rsidR="00A90898" w:rsidRDefault="00A90898" w:rsidP="00A90898">
      <w:pPr>
        <w:pStyle w:val="TextoNormal"/>
      </w:pPr>
      <w:r>
        <w:lastRenderedPageBreak/>
        <w:t>En relación con la resolución de apelación, y en cuanto a la interpretación de las normas que llevan a la Audiencia a afirmar que la admisión a trámite de una acción colectiva de nulidad de cláusulas abusivas por una asociación de consumidores y usuarios, comporta la negación de la legitimación individual reconocida a los perjudicados en el art. 11.1 LEC, el Fiscal da por reproducidas las consideraciones efectuadas a propósito del Auto del Juzgado.</w:t>
      </w:r>
    </w:p>
    <w:p w:rsidR="00A90898" w:rsidRDefault="00A90898" w:rsidP="00A90898">
      <w:pPr>
        <w:pStyle w:val="TextoNormal"/>
      </w:pPr>
    </w:p>
    <w:p w:rsidR="00A90898" w:rsidRDefault="00A90898" w:rsidP="00A90898">
      <w:pPr>
        <w:pStyle w:val="TextoNormal"/>
      </w:pPr>
      <w:r>
        <w:t>A continuación,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día 6 de mayo de 2016, la representante procesal de los recurrentes en amparo presentó sus alegaciones, informando que con fecha de 14 de abril de 2016 el Tribunal de Justicia de la Unión Europea había dictado Sentencia dando respuesta a la cuestión prejudicial planteada por el Juzgado Mercantil núm. 9 de Barcelona en relación a sí la suspensión por prejudicialidad de un procedimiento judicial por existir una acción colectiva previa instando la nulidad de cláusulas análogas conllevaba una infracción del art. 7 de la Directiva 93/13/CE del Consejo de 5 de abril de 1993, reproduciendo en su escrito parte de la decisión mencionada.</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7 diciembre de 2016, se señaló para deliberación y votación de la presente Sentencia el día 12 de diciembre del mismo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tiene por objeto enjuiciar si las resoluciones en él impugnadas lesionaron el derecho de acceso a la jurisdicción (art. 24.1 CE) de los recurrentes, al haberse apreciado -primero por el Juzgado de lo Mercantil núm. 6 de Barcelona-, la excepción procesal de prejudicialidad civil, y, posteriormente —por la Sección Decimoquinta de la Audiencia Provincial de Barcelona—, la litispendencia, en el procedimiento abierto a su instancia contra CaixaBank, S.A., para que se declarara la nulidad de la cláusula contractual —conocida como cláusula suelo— incluida en el contrato de préstamo suscrito entre ambas partes, y ello en favor del procedimiento instado a su vez en el año 2010 por la asociación de consumidores ADICAE contra diversas entidades,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xml:space="preserve">.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parte dispositiva como la </w:t>
      </w:r>
      <w:r w:rsidRPr="00A90898">
        <w:rPr>
          <w:i/>
        </w:rPr>
        <w:t>ratio decidendi</w:t>
      </w:r>
      <w:r>
        <w:t xml:space="preserve"> de las resoluciones impugnadas: la del Juzgado </w:t>
      </w:r>
      <w:r w:rsidRPr="00A90898">
        <w:rPr>
          <w:i/>
        </w:rPr>
        <w:t>a quo</w:t>
      </w:r>
      <w:r>
        <w:t xml:space="preserve"> (en este caso el Mercantil núm. 6 de Barcelona)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00A90898" w:rsidRDefault="00A90898" w:rsidP="00A90898">
      <w:pPr>
        <w:pStyle w:val="TextoNormal"/>
      </w:pPr>
    </w:p>
    <w:p w:rsidR="00A90898" w:rsidRDefault="00A90898" w:rsidP="00A90898">
      <w:pPr>
        <w:pStyle w:val="TextoNormal"/>
      </w:pPr>
      <w:r w:rsidRPr="00A90898">
        <w:rPr>
          <w:rStyle w:val="NumeroAFNegritaCaracter"/>
        </w:rPr>
        <w:t>3</w:t>
      </w:r>
      <w:r>
        <w:t>.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w:t>
      </w:r>
      <w:r w:rsidRPr="00A90898">
        <w:rPr>
          <w:i/>
        </w:rPr>
        <w:t>prima facie</w:t>
      </w:r>
      <w:r>
        <w:t xml:space="preserv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00A90898" w:rsidRDefault="00A90898" w:rsidP="00A90898">
      <w:pPr>
        <w:pStyle w:val="TextoNormal"/>
      </w:pPr>
    </w:p>
    <w:p w:rsidR="00A90898" w:rsidRDefault="00A90898" w:rsidP="00A90898">
      <w:pPr>
        <w:pStyle w:val="TextoNormal"/>
      </w:pPr>
      <w:r>
        <w:t>En la mencionada STC 148/2016 (FFJJ 4 y 5), este Tribunal hizo un detallado examen de la normativa interna española y también de la Unión Europea, de la que, a modo de resumen, podemos destacar lo siguiente:</w:t>
      </w:r>
    </w:p>
    <w:p w:rsidR="00A90898" w:rsidRDefault="00A90898" w:rsidP="00A90898">
      <w:pPr>
        <w:pStyle w:val="TextoNormal"/>
      </w:pPr>
    </w:p>
    <w:p w:rsidR="00A90898" w:rsidRDefault="00A90898" w:rsidP="00A90898">
      <w:pPr>
        <w:pStyle w:val="TextoNormal"/>
      </w:pPr>
      <w:r>
        <w:lastRenderedPageBreak/>
        <w:t>En relación con el análisis del Ordenamiento jurídico nacional, este Tribunal, hizo referencia, en primer lugar, al régimen de legitimación activa (restringida a las entidades e instituciones señaladas en su artículo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00A90898" w:rsidRDefault="00A90898" w:rsidP="00A90898">
      <w:pPr>
        <w:pStyle w:val="TextoNormal"/>
      </w:pPr>
    </w:p>
    <w:p w:rsidR="00A90898" w:rsidRDefault="00A90898" w:rsidP="00A90898">
      <w:pPr>
        <w:pStyle w:val="TextoNormal"/>
      </w:pPr>
      <w:r>
        <w:t>Y, a continuación, la STC 148/2016 centró su atención en el vigente texto refundido de la Ley general para la defensa de los consumidores y usuarios y otras leyes complementarias, aprobado por Real Decreto Legislativo 1/2007, de 16 de noviembre, que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00A90898" w:rsidRDefault="00A90898" w:rsidP="00A90898">
      <w:pPr>
        <w:pStyle w:val="TextoNormal"/>
      </w:pPr>
    </w:p>
    <w:p w:rsidR="00A90898" w:rsidRDefault="00A90898" w:rsidP="00A90898">
      <w:pPr>
        <w:pStyle w:val="TextoNormal"/>
      </w:pPr>
      <w:r>
        <w:t>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b)].</w:t>
      </w:r>
    </w:p>
    <w:p w:rsidR="00A90898" w:rsidRDefault="00A90898" w:rsidP="00A90898">
      <w:pPr>
        <w:pStyle w:val="TextoNormal"/>
      </w:pPr>
    </w:p>
    <w:p w:rsidR="00A90898" w:rsidRDefault="00A90898" w:rsidP="00A90898">
      <w:pPr>
        <w:pStyle w:val="TextoNormal"/>
      </w:pPr>
      <w:r>
        <w:t xml:space="preserve">Por último, y, a mayor abundamiento, hay que destacar que, en la STC 148/2016, FJ 5 cuya doctrina resulta de aplicación, se señalaba que, en el ámbito del Derecho comunitario, se constata que, tanto la Directiva 98/27/CE sobre acciones de cesación, como la Directiva </w:t>
      </w:r>
      <w:r>
        <w:lastRenderedPageBreak/>
        <w:t>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 [STC 148/2016, FJ 5 a)].</w:t>
      </w:r>
    </w:p>
    <w:p w:rsidR="00A90898" w:rsidRDefault="00A90898" w:rsidP="00A90898">
      <w:pPr>
        <w:pStyle w:val="TextoNormal"/>
      </w:pPr>
    </w:p>
    <w:p w:rsidR="00A90898" w:rsidRDefault="00A90898" w:rsidP="00A90898">
      <w:pPr>
        <w:pStyle w:val="TextoNormal"/>
      </w:pPr>
      <w: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w:t>
      </w:r>
      <w:r w:rsidRPr="00A90898">
        <w:rPr>
          <w:i/>
        </w:rPr>
        <w:t>a quo</w:t>
      </w:r>
      <w:r>
        <w:t xml:space="preserve"> de aplicar el art. 43 LEC con suspensión de los procesos de acción individual de nulidad de cláusula abusiva, hasta que recayera sentencia firme en el proceso de cesación instado por ADICAE ante el Juzgado de lo Mercantil núm. 11 de Madrid (procedimiento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(STJUE, apartado 32).</w:t>
      </w:r>
    </w:p>
    <w:p w:rsidR="00A90898" w:rsidRDefault="00A90898" w:rsidP="00A90898">
      <w:pPr>
        <w:pStyle w:val="TextoNormal"/>
      </w:pPr>
    </w:p>
    <w:p w:rsidR="00A90898" w:rsidRDefault="00A90898" w:rsidP="00A90898">
      <w:pPr>
        <w:pStyle w:val="TextoNormal"/>
      </w:pPr>
      <w:r>
        <w:t>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del que hace cita la Sentencia del Pleno de la Sala Primera del Tribunal Supremo núm. 241/2013, de 9 de mayo, FFJJ 235 a 238 y 246, para reconocer que esta regla de juicio por fuerza debe matizarse al resolver demandas de cesación.</w:t>
      </w:r>
    </w:p>
    <w:p w:rsidR="00A90898" w:rsidRDefault="00A90898" w:rsidP="00A90898">
      <w:pPr>
        <w:pStyle w:val="TextoNormal"/>
      </w:pPr>
    </w:p>
    <w:p w:rsidR="00A90898" w:rsidRDefault="00A90898" w:rsidP="00A90898">
      <w:pPr>
        <w:pStyle w:val="TextoNormal"/>
      </w:pPr>
      <w:r>
        <w:t>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de la Ley de enjuiciamiento civil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(de la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00A90898" w:rsidRDefault="00A90898" w:rsidP="00A90898">
      <w:pPr>
        <w:pStyle w:val="TextoNormal"/>
      </w:pPr>
    </w:p>
    <w:p w:rsidR="00A90898" w:rsidRDefault="00A90898" w:rsidP="00A90898">
      <w:pPr>
        <w:pStyle w:val="TextoNormal"/>
      </w:pPr>
      <w:r>
        <w:t xml:space="preserve">En consecuencia, si los aquí recurrentes no eran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w:t>
      </w:r>
      <w:r w:rsidRPr="00A90898">
        <w:rPr>
          <w:i/>
        </w:rPr>
        <w:t>a quo</w:t>
      </w:r>
      <w:r>
        <w:t xml:space="preserve">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A90898" w:rsidRDefault="00A90898" w:rsidP="00A90898">
      <w:pPr>
        <w:pStyle w:val="TextoNormal"/>
      </w:pPr>
    </w:p>
    <w:p w:rsidR="00A90898" w:rsidRDefault="00A90898" w:rsidP="00A90898">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w:t>
      </w:r>
      <w:r w:rsidRPr="00A90898">
        <w:rPr>
          <w:i/>
        </w:rPr>
        <w:t>a quo</w:t>
      </w:r>
      <w:r>
        <w:t xml:space="preserve">, al dictar Sentencia sobre el fondo, deba de tener en cuenta los pronunciamientos ante todo del Tribunal Supremo, máximo intérprete </w:t>
      </w:r>
      <w:r>
        <w:lastRenderedPageBreak/>
        <w:t>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A90898" w:rsidRDefault="00A90898" w:rsidP="00A90898">
      <w:pPr>
        <w:pStyle w:val="TextoNormal"/>
      </w:pPr>
    </w:p>
    <w:p w:rsidR="00A90898" w:rsidRDefault="00A90898" w:rsidP="00A90898">
      <w:pPr>
        <w:pStyle w:val="TextoNormal"/>
      </w:pPr>
      <w:r>
        <w:t>Procede por tanto el otorgamiento del amparo que se solicita, declarando para ello la nulidad de los Autos recurridos, con retroacción de las actuaciones al momento inmediatamente anterior al de haberse dictado el Auto de 23 de junio de 2014, para que el Juzgado de lo Mercantil núm. 6 de Barcelona provea en términos que resulten respetuosos con el derecho fundamental declarado. Esto es, ordenando la continuación del procedimiento en primera instancia (juicio ordinario 807-2013)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amparo interpuesto por don José Lara Aragón y doña María Nieves Rodríguez Guzmán, y, en su virtud:</w:t>
      </w:r>
    </w:p>
    <w:p w:rsidR="00A90898" w:rsidRDefault="00A90898" w:rsidP="00A90898">
      <w:pPr>
        <w:pStyle w:val="TextoNormal"/>
      </w:pPr>
    </w:p>
    <w:p w:rsidR="00A90898" w:rsidRDefault="00A90898" w:rsidP="00A90898">
      <w:pPr>
        <w:pStyle w:val="TextoNormal"/>
      </w:pPr>
      <w:r>
        <w:t>1º Declarar que ha sido vulnerado su derecho fundamental a la tutela judicial efectiva.</w:t>
      </w:r>
    </w:p>
    <w:p w:rsidR="00A90898" w:rsidRDefault="00A90898" w:rsidP="00A90898">
      <w:pPr>
        <w:pStyle w:val="TextoNormal"/>
      </w:pPr>
    </w:p>
    <w:p w:rsidR="00A90898" w:rsidRDefault="00A90898" w:rsidP="00A90898">
      <w:pPr>
        <w:pStyle w:val="TextoNormal"/>
      </w:pPr>
      <w:r>
        <w:t>2º Restablecerlos en la integridad de su derecho y, a tal fin, declarar la nulidad del Auto del Juzgado de lo Mercantil núm. 6 de Barcelona, de 23 de junio de 2014 (procedimiento ordinario núm. 807-2013); así como la nulidad del Auto de la Sección Decimoquinta de la Audiencia Provincial de Barcelona, de 28 de mayo de 2015 (rollo de apelación núm. 550-2014).</w:t>
      </w:r>
    </w:p>
    <w:p w:rsidR="00A90898" w:rsidRDefault="00A90898" w:rsidP="00A90898">
      <w:pPr>
        <w:pStyle w:val="TextoNormal"/>
      </w:pPr>
    </w:p>
    <w:p w:rsidR="00A90898" w:rsidRDefault="00A90898" w:rsidP="00A90898">
      <w:pPr>
        <w:pStyle w:val="TextoNormal"/>
      </w:pPr>
      <w:r>
        <w:t>3º Retrotraer las actuaciones hasta el momento inmediatamente anterior al de dictarse el Auto de 23 de junio de 2014, para que el Juzgado de lo Mercantil núm. 6 de Barcelona dicte otra resolución respetuosa con el derecho fundamental declarado.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doce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lastRenderedPageBreak/>
        <w:br w:type="page"/>
      </w:r>
    </w:p>
    <w:p w:rsidR="00A90898" w:rsidRDefault="00A90898" w:rsidP="00A90898">
      <w:pPr>
        <w:pStyle w:val="TtuloResolucin"/>
      </w:pPr>
      <w:bookmarkStart w:id="89" w:name="SENTENCIA_2016_210"/>
      <w:r>
        <w:lastRenderedPageBreak/>
        <w:t>SENTENCIA 210/2016, de 15 de diciembre de 2016</w:t>
      </w:r>
    </w:p>
    <w:bookmarkEnd w:id="89"/>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ECLI:ES:TC:2016:210</w:t>
      </w:r>
    </w:p>
    <w:p w:rsidR="00A90898" w:rsidRDefault="00A90898" w:rsidP="00A90898">
      <w:pPr>
        <w:pStyle w:val="TextoNormalCentrado"/>
      </w:pPr>
    </w:p>
    <w:p w:rsidR="00A90898" w:rsidRDefault="00A90898" w:rsidP="00A90898">
      <w:pPr>
        <w:pStyle w:val="SntesisDescriptiva"/>
      </w:pPr>
      <w:r>
        <w:t>Recurso de inconstitucionalidad 4539-2012. Interpuesto por el Presidente del Gobierno en relación con el artículo único del Decreto-ley 3/2011, de 13 de diciembre, por el que se aprueban medidas urgentes sobre prestación farmacéutica del sistema sanitario público de Andalucía.</w:t>
      </w:r>
    </w:p>
    <w:p w:rsidR="00A90898" w:rsidRDefault="00A90898" w:rsidP="00A90898">
      <w:pPr>
        <w:pStyle w:val="SntesisDescriptiva"/>
      </w:pPr>
    </w:p>
    <w:p w:rsidR="00A90898" w:rsidRDefault="00A90898" w:rsidP="00A90898">
      <w:pPr>
        <w:pStyle w:val="SntesisAnaltica"/>
      </w:pPr>
      <w:r>
        <w:t>Competencias sobre condiciones básicas de igualdad, sanidad, farmacia y Seguridad Social: constitucionalidad de las previsiones legales autonómicas relativas a la selección, mediante la correspondiente convocatoria pública, por el servicio de salud, de los medicamentos o productos sanitarios a dispensar por las oficinas de farmacia cuando se prescriban por principio activo o denominación genérica.</w:t>
      </w:r>
    </w:p>
    <w:p w:rsidR="00A90898" w:rsidRDefault="00A90898" w:rsidP="00A90898">
      <w:pPr>
        <w:pStyle w:val="SntesisAnaltica"/>
      </w:pPr>
    </w:p>
    <w:p w:rsidR="00A90898" w:rsidRDefault="00A90898" w:rsidP="00A90898">
      <w:pPr>
        <w:pStyle w:val="Extracto"/>
      </w:pPr>
      <w:r>
        <w:t>1.</w:t>
      </w:r>
      <w:r>
        <w:tab/>
        <w:t>A nivel estatal no hay una norma básica que condicione o limite las medidas que en materia de dispensación de productos sanitarios pueden adoptar las Comunidades Autónomas y, en consecuencia, no podemos entender que la norma andaluza al aprobar una medida que tiende a racionalizar el gasto en materia de productos sanitarios al seleccionar el producto sanitario que debe ser dispensado por la oficina de farmacia cuando se prescriba por denominación genérica, haya producido diferencias en las condiciones de acceso a los productos sanitarios financiados por el Sistema Nacional de Salud, ni en el catálogo ni en los precios [FJ 8].</w:t>
      </w:r>
    </w:p>
    <w:p w:rsidR="00A90898" w:rsidRDefault="00A90898" w:rsidP="00A90898">
      <w:pPr>
        <w:pStyle w:val="Extracto"/>
      </w:pPr>
    </w:p>
    <w:p w:rsidR="00A90898" w:rsidRDefault="00A90898" w:rsidP="00A90898">
      <w:pPr>
        <w:pStyle w:val="Extracto"/>
      </w:pPr>
      <w:r>
        <w:t>2.</w:t>
      </w:r>
      <w:r>
        <w:tab/>
        <w:t>El destinatario de la prestación farmacéutica va a recibir en todo caso el medicamento de precio más bajo, tal y como prevé la normal estatal, la única diferencia es que en Andalucía la selección del precio más bajo la hace el Servicio Andaluz de Salud y en el resto del Estado la hace el farmacéutico, sin que ello suponga perjuicio alguno para el destinatario [FJ 8].</w:t>
      </w:r>
    </w:p>
    <w:p w:rsidR="00A90898" w:rsidRDefault="00A90898" w:rsidP="00A90898">
      <w:pPr>
        <w:pStyle w:val="Extracto"/>
      </w:pPr>
    </w:p>
    <w:p w:rsidR="00A90898" w:rsidRDefault="00A90898" w:rsidP="00A90898">
      <w:pPr>
        <w:pStyle w:val="Extracto"/>
      </w:pPr>
      <w:r>
        <w:t>3.</w:t>
      </w:r>
      <w:r>
        <w:tab/>
        <w:t>La Constitución no solo atribuye al Estado una facultad, sino que le exige que preserve la existencia de un sistema normativo sanitario nacional con una regulación uniforme mínima y de vigencia en todo el territorio español, sin perjuicio de las normas que sobre la materia puedan dictar las Comunidades Autónomas en virtud de sus respectivas competencias [FJ 6].</w:t>
      </w:r>
    </w:p>
    <w:p w:rsidR="00A90898" w:rsidRDefault="00A90898" w:rsidP="00A90898">
      <w:pPr>
        <w:pStyle w:val="Extracto"/>
      </w:pPr>
    </w:p>
    <w:p w:rsidR="00A90898" w:rsidRDefault="00A90898" w:rsidP="00A90898">
      <w:pPr>
        <w:pStyle w:val="Extracto"/>
      </w:pPr>
      <w:r>
        <w:t>4.</w:t>
      </w:r>
      <w:r>
        <w:tab/>
        <w:t>Los preceptos impugnados no se circunscriben a la asistencia sanitaria que es dispensada por el sistema de Seguridad Social a favor de los beneficiarios que se encuentran dentro de su campo de aplicación, sino, más ampliamente, al contenido de una prestación sanitaria proporcionada por el Sistema Nacional de Salud a todos los ciudadanos, no afectando de forma directa al régimen económico de la Seguridad Social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José González-Trevijano Sánchez, don Ricardo Enríquez Sancho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4539-2012, interpuesto por el Presidente del Gobierno, representado por el Abogado del Estado, contra el artículo único del Decreto-ley 3/2011, de 13 de diciembre, por el que se aprueban medidas urgentes sobre prestación farmacéutica del sistema sanitario público de Andalucía. Ha comparecido y formulado alegaciones el Parlamento de Andalucía.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Constitucional el día 20 de julio de 2012, el Abogado del Estado, en nombre del Presidente del Gobierno, interpuso recurso de inconstitucionalidad contra el artículo único del Decreto-ley 3/2011, de 13 de diciembre, por el que se aprueban medidas urgentes sobre prestación farmacéutica del sistema sanitario público de Andalucía.</w:t>
      </w:r>
    </w:p>
    <w:p w:rsidR="00A90898" w:rsidRDefault="00A90898" w:rsidP="00A90898">
      <w:pPr>
        <w:pStyle w:val="TextoNormal"/>
      </w:pPr>
    </w:p>
    <w:p w:rsidR="00A90898" w:rsidRDefault="00A90898" w:rsidP="00A90898">
      <w:pPr>
        <w:pStyle w:val="TextoNormal"/>
      </w:pPr>
      <w:r w:rsidRPr="00A90898">
        <w:rPr>
          <w:rStyle w:val="NumeroAFNegritaCaracter"/>
        </w:rPr>
        <w:t>2</w:t>
      </w:r>
      <w:r>
        <w:t>. Los motivos del recurso de inconstitucionalidad interpuesto por el Presidente del Gobierno son los que, sucintamente, se recogen a continuación:</w:t>
      </w:r>
    </w:p>
    <w:p w:rsidR="00A90898" w:rsidRDefault="00A90898" w:rsidP="00A90898">
      <w:pPr>
        <w:pStyle w:val="TextoNormal"/>
      </w:pPr>
    </w:p>
    <w:p w:rsidR="00A90898" w:rsidRDefault="00A90898" w:rsidP="00A90898">
      <w:pPr>
        <w:pStyle w:val="TextoNormal"/>
      </w:pPr>
      <w:r>
        <w:t xml:space="preserve">a) Comienza el Abogado del Estado su escrito señalando que este recurso de inconstitucionalidad tiene indudable conexión con el conflicto de competencias 1923-2012 promovido por el Gobierno de la Nación contra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 En realidad, esta resolución de 2012 se dictó de conformidad con el apartado 1 del art. 60 </w:t>
      </w:r>
      <w:r w:rsidRPr="00A90898">
        <w:rPr>
          <w:i/>
        </w:rPr>
        <w:t>bis</w:t>
      </w:r>
      <w:r>
        <w:t xml:space="preserve"> y concordantes de la Ley 22/2007, de 18 de diciembre, de farmacia de Andalucía, según redacción dada por el Decreto-ley 3/2011. La existencia de un acuerdo de la subcomisión de seguimiento normativo, prevención y solución de controversias de la comisión bilateral de cooperación Junta de Andalucía-Estado, de 5 de marzo de 2012 por el que se decidió acudir al mecanismo conciliador del art. 33.2 de la Ley Orgánica del Tribunal Constitucional (LOTC) en relación con el Decreto-ley 3/2011, es lo que ha provocado, según señala el Abogado del Estado, que el conflicto contra la resolución de 2012 haya antecedido en el tiempo al presente recurso.</w:t>
      </w:r>
    </w:p>
    <w:p w:rsidR="00A90898" w:rsidRDefault="00A90898" w:rsidP="00A90898">
      <w:pPr>
        <w:pStyle w:val="TextoNormal"/>
      </w:pPr>
    </w:p>
    <w:p w:rsidR="00A90898" w:rsidRDefault="00A90898" w:rsidP="00A90898">
      <w:pPr>
        <w:pStyle w:val="TextoNormal"/>
      </w:pPr>
      <w:r>
        <w:lastRenderedPageBreak/>
        <w:t>b) Una vez aclarada la relación de este recurso con el conflicto de competencias 1923-2012, el Abogado del Estado pasa a exponer los títulos competenciales y la normativa en materia de prestación farmacéutica.</w:t>
      </w:r>
    </w:p>
    <w:p w:rsidR="00A90898" w:rsidRDefault="00A90898" w:rsidP="00A90898">
      <w:pPr>
        <w:pStyle w:val="TextoNormal"/>
      </w:pPr>
    </w:p>
    <w:p w:rsidR="00A90898" w:rsidRDefault="00A90898" w:rsidP="00A90898">
      <w:pPr>
        <w:pStyle w:val="TextoNormal"/>
      </w:pPr>
      <w:r>
        <w:t>Comienza analizando la trascendencia que tiene para este proceso constitucional la competencia reconocida en el art. 149.1.1 CE, en tanto precepto que faculta al Estado para la consecución de la igualdad efectiva en el ámbito prestacional sanitario. A su juicio, la claridad con la que la Constitución española efectúa, en el capítulo III de su título I, art. 43.1, la formulación de la protección de la salud como derecho, arrastra la llamada al art. 149.1.1 CE. Señala que las condiciones básicas garantizadoras de la igualdad se predican de los derechos constitucionales de prestación, pues como dice la STC 32/1983, de 28 de abril, FJ 2, el perfil que los correspondientes preceptos constitucionales dibujan de los derechos prestacionales debe ser completado con el del art. 149.1.1 CE.</w:t>
      </w:r>
    </w:p>
    <w:p w:rsidR="00A90898" w:rsidRDefault="00A90898" w:rsidP="00A90898">
      <w:pPr>
        <w:pStyle w:val="TextoNormal"/>
      </w:pPr>
    </w:p>
    <w:p w:rsidR="00A90898" w:rsidRDefault="00A90898" w:rsidP="00A90898">
      <w:pPr>
        <w:pStyle w:val="TextoNormal"/>
      </w:pPr>
      <w:r>
        <w:t>Tras exponer la doctrina constitucional sobre el art. 149.1.1 CE, señala el Abogado del Estado que no hay dudas respecto al alcance que hay que dar a los criterios de igualdad y equidad manejados por la Ley 14/1986 y por la Ley 16/2003, como principios que, en el ámbito de las prestaciones sanitarias, obligan al Estado a garantizar un mínimo común denominador, un nivel mínimo de prestaciones suficiente para hacer efectivo el derecho a la salud de todos los ciudadanos. A su juicio, la prestación de la asistencia sanitaria es un ámbito material que concentra de modo preferente la preocupación del legislador por garantizar la igualdad efectiva de todos los ciudadanos con independencia de su lugar de residencia. Preocupación, añade, que se traduce en la formulación de unas reglas comunes sobre los sujetos que tienen derecho a la asistencia sanitaria, sobre el contenido de las prestaciones sanitarias y sobre las condiciones en las que éstas se materializan en todo el territorio nacional. Por ello, señala, los aspectos nucleares relativos a la protección de la salud, como sería singularmente la definición de los beneficiarios, han de abordarse desde la perspectiva del art. 149.1.1 CE, en virtud del cual el Estado ostenta competencia exclusiva, no susceptible propiamente de desarrollo autonómico.</w:t>
      </w:r>
    </w:p>
    <w:p w:rsidR="00A90898" w:rsidRDefault="00A90898" w:rsidP="00A90898">
      <w:pPr>
        <w:pStyle w:val="TextoNormal"/>
      </w:pPr>
    </w:p>
    <w:p w:rsidR="00A90898" w:rsidRDefault="00A90898" w:rsidP="00A90898">
      <w:pPr>
        <w:pStyle w:val="TextoNormal"/>
      </w:pPr>
      <w:r>
        <w:t>c) Por lo que se refiere a la competencia estatal sobre sanidad regulada en el art. 149.1.16 CE, señala que en el presente recurso interesa las competencias sobre las “bases y coordinación general de la sanidad” y sobre la “legislación sobre productos farmacéuticos”.</w:t>
      </w:r>
    </w:p>
    <w:p w:rsidR="00A90898" w:rsidRDefault="00A90898" w:rsidP="00A90898">
      <w:pPr>
        <w:pStyle w:val="TextoNormal"/>
      </w:pPr>
    </w:p>
    <w:p w:rsidR="00A90898" w:rsidRDefault="00A90898" w:rsidP="00A90898">
      <w:pPr>
        <w:pStyle w:val="TextoNormal"/>
      </w:pPr>
      <w:r>
        <w:t>Señala que nos encontramos sin duda ante uno de los más importantes servicios prestados desde la Administración, como es el servicio sanitario público para cuyo diseño se ofreció un amplio margen a favor la actuación de las Comunidades Autónomas. En todo caso, recuerda que la opción organizativa adoptada —servicios autonómicos de salud— no puede funcionar como una serie de piezas inconexas sino que su conjunto debe conformar un “sistema”, tal y como establece la Ley 14/1986.</w:t>
      </w:r>
    </w:p>
    <w:p w:rsidR="00A90898" w:rsidRDefault="00A90898" w:rsidP="00A90898">
      <w:pPr>
        <w:pStyle w:val="TextoNormal"/>
      </w:pPr>
    </w:p>
    <w:p w:rsidR="00A90898" w:rsidRDefault="00A90898" w:rsidP="00A90898">
      <w:pPr>
        <w:pStyle w:val="TextoNormal"/>
      </w:pPr>
      <w:r>
        <w:t xml:space="preserve">Indica que mientras la regulación de cuestiones relativas a la estructura, organización y funcionamiento coherente del sistema sanitario se encuadra en el título competencial del art. 149.1.16 CE, la regulación de las prestaciones sanitarias se incardina de manera fundamental en lo que son “condiciones básicas de igualdad” en el ejercicio del derecho a la protección de la salud y, por tanto, además de en el número 16, también en el título competencial que prevé el número 1 del art. 149.1 CE, de modo que la regulación del catálogo de prestaciones sanitarias fija el contenido primario y común del derecho a la protección de la salud. </w:t>
      </w:r>
      <w:r>
        <w:lastRenderedPageBreak/>
        <w:t>Señala que el Real Decreto-ley 16/2012 ha introducido aquí importantes modificaciones y recuerda que el art. 7.1 de la Ley 16/2003 establece que el catálogo de prestaciones del Sistema Nacional de Salud tiene como objeto garantizar las condiciones básicas y comunes para una atención integral, continuada y en el nivel adecuado de atención; y que se consideran prestaciones de atención sanitaria del Sistema Nacional de Salud los servicios o conjuntos de servicios preventivos, diagnósticos, terapéuticos, de rehabilitación y de promoción y mantenimiento de la salud dirigidos a los ciudadanos; indicando, por último, las prestaciones que comprenderá el catálogo.</w:t>
      </w:r>
    </w:p>
    <w:p w:rsidR="00A90898" w:rsidRDefault="00A90898" w:rsidP="00A90898">
      <w:pPr>
        <w:pStyle w:val="TextoNormal"/>
      </w:pPr>
    </w:p>
    <w:p w:rsidR="00A90898" w:rsidRDefault="00A90898" w:rsidP="00A90898">
      <w:pPr>
        <w:pStyle w:val="TextoNormal"/>
      </w:pPr>
      <w:r>
        <w:t>Asimismo, señala que el art. 8.1 modificado por el Real Decreto-ley 16/2012 define la “cartera común de servicios del Sistema Nacional de Salud” y que el art. 8.3 de la Ley 16/2003 establece que la cartera común de servicios habrá de acordarse en el seno del Consejo Interterritorial del Sistema Nacional de Salud, que se aprobará mediante Real Decreto. Continúa el escrito recordando que en el Real Decreto 1030/2006, que mantiene su vigencia en los términos de la disposición transitoria segunda del Real Decreto-ley 16/2012, se definen las prestaciones que el sistema sanitario público actualmente está ofertando a los ciudadanos, y que se hacen efectivas mediante la cartera de servicios comunes a la que tendrán acceso los usuarios del Sistema Nacional de Salud en condiciones de igualdad.</w:t>
      </w:r>
    </w:p>
    <w:p w:rsidR="00A90898" w:rsidRDefault="00A90898" w:rsidP="00A90898">
      <w:pPr>
        <w:pStyle w:val="TextoNormal"/>
      </w:pPr>
    </w:p>
    <w:p w:rsidR="00A90898" w:rsidRDefault="00A90898" w:rsidP="00A90898">
      <w:pPr>
        <w:pStyle w:val="TextoNormal"/>
      </w:pPr>
      <w:r>
        <w:t xml:space="preserve">De este modo, a su juicio, la legislación estatal, al fijar la cartera común de servicios del Sistema Nacional de Salud define el contenido primario y común del derecho a la protección de la salud. Mediante esta cartera se establecen las condiciones básicas y comunes para una atención integral, por lo que su contenido es indisponible por las Comunidades Autónomas. Afirma que éstas podrán añadir nuevas prestaciones con cargo a sus presupuestos en los términos del artículo </w:t>
      </w:r>
      <w:r w:rsidRPr="00A90898">
        <w:rPr>
          <w:i/>
        </w:rPr>
        <w:t>quinquies</w:t>
      </w:r>
      <w:r>
        <w:t xml:space="preserve"> mediante las correspondientes carteras complementarias, pero en ningún caso podrán excluir alguna de las previstas en la cartera común.</w:t>
      </w:r>
    </w:p>
    <w:p w:rsidR="00A90898" w:rsidRDefault="00A90898" w:rsidP="00A90898">
      <w:pPr>
        <w:pStyle w:val="TextoNormal"/>
      </w:pPr>
    </w:p>
    <w:p w:rsidR="00A90898" w:rsidRDefault="00A90898" w:rsidP="00A90898">
      <w:pPr>
        <w:pStyle w:val="TextoNormal"/>
      </w:pPr>
      <w:r>
        <w:t>En definitiva, a su juicio, constituyendo la prestación farmacéutica una de las prestaciones sanitarias incluidas en la cartera común, no es sólo el mínimo común normativo exigible en todo el territorio español para garantizar la igualdad de todos los españoles en el acceso a las prestaciones del Sistema Nacional de Salud (art. 149.1.16 CE), sino una condición básica para todos los ciudadanos en el ejercicio de un derecho constitucional (art. 149.1.1 CE), como es el derecho a la protección de la salud reconocido en el art. 43.1 CE.</w:t>
      </w:r>
    </w:p>
    <w:p w:rsidR="00A90898" w:rsidRDefault="00A90898" w:rsidP="00A90898">
      <w:pPr>
        <w:pStyle w:val="TextoNormal"/>
      </w:pPr>
    </w:p>
    <w:p w:rsidR="00A90898" w:rsidRDefault="00A90898" w:rsidP="00A90898">
      <w:pPr>
        <w:pStyle w:val="TextoNormal"/>
      </w:pPr>
      <w:r>
        <w:t xml:space="preserve">d) Por lo que respecta a la competencia en materia de legislación sobre productos farmacéuticos recuerda que le corresponde al Estado la competencia normativa única y exclusiva, esto es, dictar la legislación completa, no sólo las bases y, en consecuencia, lo que las Comunidades Autónomas pueden asumir es la competencia ejecutiva. Tras exponer la doctrina sentada por la STC 152/2003 en cuanto a la delimitación entre los títulos competenciales “productos farmacéuticos” y “ordenación farmacéutica o de establecimientos farmacéuticos”, indica que la regulación relativa a la dispensación de medicamentos corresponde al Estado, en tanto forma parte del régimen de los productos farmacéuticos. Concretamente, señala que el art. 30 de la Ley 16/2003 atribuye al Estado la competencia para decidir qué productos farmacéuticos deben tener financiación pública. Esta exclusiva competencia estatal se ejerce por la Dirección General de Farmacia y Productos Sanitarios, mediante la aprobación del nomenclátor oficial de productos farmacéuticos del Sistema Nacional de Salud. El nomenclátor, gestionado y actualizado mensualmente por la Dirección General de </w:t>
      </w:r>
      <w:r>
        <w:lastRenderedPageBreak/>
        <w:t>Farmacia y Productos sanitarios, contiene la relación de todos los medicamentos y productos sanitarios incluidos en la financiación pública, con la identificación de cada producto, su precio, así como la información para su facturación. Los datos del nomenclátor, que son necesarios para la facturación de las recetas con cargo a fondos públicos, se envían tras su actualización mensual por la Dirección General de Farmacia y Productos Sanitarios a todas las Comunidades Autónomas, así como a mutualidades de funcionarios y al Consejo General de Colegios Oficiales de Farmacéuticos quien a su vez lo remite a todos los colegios farmacéuticos de España.</w:t>
      </w:r>
    </w:p>
    <w:p w:rsidR="00A90898" w:rsidRDefault="00A90898" w:rsidP="00A90898">
      <w:pPr>
        <w:pStyle w:val="TextoNormal"/>
      </w:pPr>
    </w:p>
    <w:p w:rsidR="00A90898" w:rsidRDefault="00A90898" w:rsidP="00A90898">
      <w:pPr>
        <w:pStyle w:val="TextoNormal"/>
      </w:pPr>
      <w:r>
        <w:t>Asimismo, señala que en desarrollo de la competencia sobre legislación de productos farmacéuticos, los arts. 85, 86, 90, 91, 92 y 93 de la Ley 29/2006, modificados por el Real Decreto-ley 16/2012 vienen a regular la prescripción y dispensación de medicamentos, así como lo relativo a la fijación y revisión de los precios de referencia.</w:t>
      </w:r>
    </w:p>
    <w:p w:rsidR="00A90898" w:rsidRDefault="00A90898" w:rsidP="00A90898">
      <w:pPr>
        <w:pStyle w:val="TextoNormal"/>
      </w:pPr>
    </w:p>
    <w:p w:rsidR="00A90898" w:rsidRDefault="00A90898" w:rsidP="00A90898">
      <w:pPr>
        <w:pStyle w:val="TextoNormal"/>
      </w:pPr>
      <w:r>
        <w:t>e) Expuestas las anteriores consideraciones en torno a ambas vertientes del título competencial del Estado sobre sanidad procede el Abogado del Estado a realizar las oportunas consideraciones sobre la virtualidad del art. 149.1.17 CE.</w:t>
      </w:r>
    </w:p>
    <w:p w:rsidR="00A90898" w:rsidRDefault="00A90898" w:rsidP="00A90898">
      <w:pPr>
        <w:pStyle w:val="TextoNormal"/>
      </w:pPr>
    </w:p>
    <w:p w:rsidR="00A90898" w:rsidRDefault="00A90898" w:rsidP="00A90898">
      <w:pPr>
        <w:pStyle w:val="TextoNormal"/>
      </w:pPr>
      <w:r>
        <w:t>Considera que la competencia prevista en el art. 149.1.17 CE ampara el dictado por el Estado, entre otros, de los arts. 88 y 89 de la Ley 29/2006. Añade que el que el derecho a la asistencia sanitaria esté vinculado a la condición de asegurado o beneficiario del mismo tiene su razón de ser en el hecho de que la asistencia sanitaria facilitada por el Sistema Nacional de Salud constituye una de las prestaciones comprendidas dentro de la acción protectora del sistema de la Seguridad Social que tiene naturaleza de prestación no contributiva. En este sentido, recuerda que el Tribunal Constitucional ha llegado a reconocer en la STC 239/2002 que las prestaciones no contributivas de la Seguridad Social deben calificarse como asistencia social interna del sistema de la Seguridad Social, y por tanto forman parte del patrimonio de la Seguridad Social y se integran en la llamada caja única del sistema, lo que determina, además, que quedan incluidas en la competencia exclusiva del Estado en materia de régimen económico de la Seguridad Social.</w:t>
      </w:r>
    </w:p>
    <w:p w:rsidR="00A90898" w:rsidRDefault="00A90898" w:rsidP="00A90898">
      <w:pPr>
        <w:pStyle w:val="TextoNormal"/>
      </w:pPr>
    </w:p>
    <w:p w:rsidR="00A90898" w:rsidRDefault="00A90898" w:rsidP="00A90898">
      <w:pPr>
        <w:pStyle w:val="TextoNormal"/>
      </w:pPr>
      <w:r>
        <w:t>Añade que el hecho de que la asistencia sanitaria haya abandonado la partida presupuestaria especial de la Seguridad Social y haya pasado al sistema general de financiación autonómica con el resto de partidas presupuestarias, no puede significar la absoluta supresión de la conexión que existe entre la prestación farmacéutica y la Seguridad Social. Para el Abogado del Estado, sea la financiación de la asistencia sanitaria por medio de la Seguridad Social, o se constituya en un sistema propio (Sistema Nacional de Salud) de carácter universal y con cargo a presupuestos públicos soportada de forma principal a través de impuestos, ha de entenderse inadmisible que por un cambio de los sistema de organización financiera de las prestaciones, los ciudadanos se resientan al recibir la prestación sanitaria como producto de la gestión de los poderes públicos.</w:t>
      </w:r>
    </w:p>
    <w:p w:rsidR="00A90898" w:rsidRDefault="00A90898" w:rsidP="00A90898">
      <w:pPr>
        <w:pStyle w:val="TextoNormal"/>
      </w:pPr>
    </w:p>
    <w:p w:rsidR="00A90898" w:rsidRDefault="00A90898" w:rsidP="00A90898">
      <w:pPr>
        <w:pStyle w:val="TextoNormal"/>
      </w:pPr>
      <w:r>
        <w:t xml:space="preserve">El mantenimiento de la asistencia sanitaria dentro de la Seguridad Social conlleva, a su juicio, la aplicación de la competencia exclusiva del Estado sobre régimen económico de la Seguridad Social y, aunque este título competencial está pensado para mantener la unidad financiera propia de una Seguridad Social de carácter contributivo, el mismo puede tener </w:t>
      </w:r>
      <w:r>
        <w:lastRenderedPageBreak/>
        <w:t>también implicaciones en ámbitos de la Seguridad Social configurados como no contributivos, concretamente, para excluir las divergencias autonómicas en el establecimiento de contribuciones a abonar por los usuarios.</w:t>
      </w:r>
    </w:p>
    <w:p w:rsidR="00A90898" w:rsidRDefault="00A90898" w:rsidP="00A90898">
      <w:pPr>
        <w:pStyle w:val="TextoNormal"/>
      </w:pPr>
    </w:p>
    <w:p w:rsidR="00A90898" w:rsidRDefault="00A90898" w:rsidP="00A90898">
      <w:pPr>
        <w:pStyle w:val="TextoNormal"/>
      </w:pPr>
      <w:r>
        <w:t>f) Seguidamente el Abogado del Estado analiza el carácter básico de la normativa reguladora de las prestaciones sanitarias. A su juicio, se dan los requisitos formales y materiales para confirmar que el régimen contenido en los preceptos legales que nos sirven de parámetro de constitucionalidad constituyen bases de la sanidad, según lo previsto en el art. 149.16 CE.</w:t>
      </w:r>
    </w:p>
    <w:p w:rsidR="00A90898" w:rsidRDefault="00A90898" w:rsidP="00A90898">
      <w:pPr>
        <w:pStyle w:val="TextoNormal"/>
      </w:pPr>
    </w:p>
    <w:p w:rsidR="00A90898" w:rsidRDefault="00A90898" w:rsidP="00A90898">
      <w:pPr>
        <w:pStyle w:val="TextoNormal"/>
      </w:pPr>
      <w:r>
        <w:t>Señala que la competencia básica ejercida por el Estado al dictar las Leyes 16/2003 y 29/2006 resulta indudable. Los preceptos de estas leyes tratan de proporcionar al sistema sanitario una regulación mínimamente uniforme, a partir de la cual podrá cada Comunidad Autónoma desarrollar sus competencias estatutarias, sin olvidar que ninguna de ellas podrá ofrecer prestaciones por debajo de ese mínimo estatal que sólo resulta susceptible de ser mejorado. Expone que en la fijación por el Estado de una cartera común de servicios del Sistema Nacional de Salud concurre indudablemente la exigencia material de lo básico, constituyendo así un nivel mínimo homogéneo susceptible de ampliación comunitaria.</w:t>
      </w:r>
    </w:p>
    <w:p w:rsidR="00A90898" w:rsidRDefault="00A90898" w:rsidP="00A90898">
      <w:pPr>
        <w:pStyle w:val="TextoNormal"/>
      </w:pPr>
    </w:p>
    <w:p w:rsidR="00A90898" w:rsidRDefault="00A90898" w:rsidP="00A90898">
      <w:pPr>
        <w:pStyle w:val="TextoNormal"/>
      </w:pPr>
      <w:r>
        <w:t>g) A continuación analiza las competencias de la Junta de Andalucía en materia de salud, sanidad y farmacia, que aparece recogidas en el art. 55 del Estatuto de Autonomía para Andalucía, reformado por Ley Orgánica 2/2007, de 19 de marzo. Recuerda que tal atribución de competencia a la Comunidad Autónoma ha de actuarse dentro de los límites de lo establecido en los números 1, 16 y 17 del apartado 1 del art. 149 CE. Así, señala que las Comunidades Autónomas pueden fijar carteras de servicios pero siempre que al hacerlo respeten lo establecido por el Estado en materia de productos farmacéuticos financiados, respeto que necesariamente se traduce en la íntegra asunción por tales entidades de la cartera de servicios común del Sistema Nacional de Salud. La cartera de servicios estatal sólo resulta susceptible de ampliación o mejora por parte de las Comunidades Autónomas, nunca de restricción. Y precisamente, añade, dentro de esta normativa mínima que las Comunidades Autónomas han de respetar en su integridad, se halla el sistema de precios de referencia establecido por el Estado al objeto de determinar el alcance de la financiación pública de los medicamentos y, por supuesto, el conjunto de medicamentos incluidos a través del nomenclátor en el Sistema Nacional de Salud.</w:t>
      </w:r>
    </w:p>
    <w:p w:rsidR="00A90898" w:rsidRDefault="00A90898" w:rsidP="00A90898">
      <w:pPr>
        <w:pStyle w:val="TextoNormal"/>
      </w:pPr>
    </w:p>
    <w:p w:rsidR="00A90898" w:rsidRDefault="00A90898" w:rsidP="00A90898">
      <w:pPr>
        <w:pStyle w:val="TextoNormal"/>
      </w:pPr>
      <w:r>
        <w:t>h) Una vez realizadas todas las consideraciones generales expuestas sobre los títulos competenciales y la normativa en materia de prestación farmacéutica, el Abogado del Estado se centra en la inconstitucionalidad del Decreto-ley 3/2011, que modifica la Ley 22/2007, de 18 de diciembre, de farmacia de Andalucía.</w:t>
      </w:r>
    </w:p>
    <w:p w:rsidR="00A90898" w:rsidRDefault="00A90898" w:rsidP="00A90898">
      <w:pPr>
        <w:pStyle w:val="TextoNormal"/>
      </w:pPr>
    </w:p>
    <w:p w:rsidR="00A90898" w:rsidRDefault="00A90898" w:rsidP="00A90898">
      <w:pPr>
        <w:pStyle w:val="TextoNormal"/>
      </w:pPr>
      <w:r>
        <w:t>Tras exponer el contenido del Decreto-ley 3/2011 y de la Resolución de 25 de enero de 2012, expone la contradicción que, a su juicio, existe entre el régimen andaluz establecido en los apartados impugnados del artículo único del Decreto-ley 3/2011 y la normativa estatal vigente en todo el territorio nacional. Así, señala que el Decreto-ley 3/2011 prevé la celebración de convocatorias públicas para la selección de medicamentos y productos sanitarios a dispensar por las oficinas de farmacia cuando, en el marco del sistema sanitario público de Andalucía, se les presente una receta médica u orden de dispensación en las que el me</w:t>
      </w:r>
      <w:r>
        <w:lastRenderedPageBreak/>
        <w:t>dicamento se identifique por principio activo o el producto sanitario se prescriba por denominación genérica. En consecuencia, indica que la normativa andaluza se articula en torno a la selección de un único medicamento para cada formulación de principio o principios activos y de un único producto sanitario para cada grupo o tipo de producto sanitario o conjunto de intercambio. Es decir, a su entender el Sistema Andaluz de Salud sólo financiará en Andalucía la presentación que aparezca en el primer lugar del listado que se elabore, de menor a mayor, en función del coste final de los mismos para el Sistema Andaluz de Salud. Afirma que, por tanto, en Andalucía quedan fuera de la cartera de servicios comunes de la prestación farmacéutica aprobada por todo el Sistema Nacional de Salud, las restantes presentaciones y productos que figuran en el nomenclátor estatal y que, sin embargo, no resulten seleccionadas a través del concurso impugnado.</w:t>
      </w:r>
    </w:p>
    <w:p w:rsidR="00A90898" w:rsidRDefault="00A90898" w:rsidP="00A90898">
      <w:pPr>
        <w:pStyle w:val="TextoNormal"/>
      </w:pPr>
    </w:p>
    <w:p w:rsidR="00A90898" w:rsidRDefault="00A90898" w:rsidP="00A90898">
      <w:pPr>
        <w:pStyle w:val="TextoNormal"/>
      </w:pPr>
      <w:r>
        <w:t>Además, considera que el Decreto-ley 3/2011 colisiona con la competencia exclusiva del Estado en materia de legislación sobre productos farmacéuticos, en relación con la dispensación de productos farmacéuticos y su sustitución, en tanto que sólo se dispensarán en Andalucía los medicamentos y productos sanitarios seleccionados, restringiendo el ámbito objetivo de la dispensación de los medicamentos en una parte del territorio del Estado.</w:t>
      </w:r>
    </w:p>
    <w:p w:rsidR="00A90898" w:rsidRDefault="00A90898" w:rsidP="00A90898">
      <w:pPr>
        <w:pStyle w:val="TextoNormal"/>
      </w:pPr>
    </w:p>
    <w:p w:rsidR="00A90898" w:rsidRDefault="00A90898" w:rsidP="00A90898">
      <w:pPr>
        <w:pStyle w:val="TextoNormal"/>
      </w:pPr>
      <w:r>
        <w:t>A su juicio, el régimen andaluz habrá de producir fuertes distorsiones en el funcionamiento de la sanidad pública en esa Comunidad en cuanto las previsiones andaluzas eliminan la flexibilidad que, en beneficio del usuario del Sistema Nacional de Salud establece la normativa estatal, en cuanto en ésta la oficina de farmacia, de acuerdo con el paciente, puede elegir entre varias presentaciones o productos que tengan igual precio (el menor) y formen parte de la misma agrupación, cuál conviene más a las necesidades del ciudadano, en función de qué presentación esté acostumbrado a utilizar y de la conveniente adherencia a un tratamiento concreto.</w:t>
      </w:r>
    </w:p>
    <w:p w:rsidR="00A90898" w:rsidRDefault="00A90898" w:rsidP="00A90898">
      <w:pPr>
        <w:pStyle w:val="TextoNormal"/>
      </w:pPr>
    </w:p>
    <w:p w:rsidR="00A90898" w:rsidRDefault="00A90898" w:rsidP="00A90898">
      <w:pPr>
        <w:pStyle w:val="TextoNormal"/>
      </w:pPr>
      <w:r>
        <w:t>Considera el Abogado del Estado que también resulta ignorada la competencia exclusiva del Estado en materia de financiación pública de las prestaciones farmacéuticas en el Sistema Nacional de Salud, pues al diseñar un mecanismo de selección de un único medicamento y un único producto sanitario, excluye de financiación pública aquellos medicamentos y productos que, reuniendo los requisitos establecidos para ser dispensados ante una prescripción por principio, no hayan sido seleccionados mediante el procedimiento establecido. Además, a juicio, de la aplicación del sistema previsto por la normativa andaluza resulta que el Sistema Andaluz de Salud paga por cada medicamento un precio reducido, sin embargo, el porcentaje que debe satisfacer el beneficiario de la prestación farmacéutica se calcula sobre el precio íntegro de venta al público, de manera que el beneficiario está soportando un porcentaje final sobre el precio reducido que paga el Sistema Andaluz de Salud, superior al fijado por el Estado para todo el territorio nacional.</w:t>
      </w:r>
    </w:p>
    <w:p w:rsidR="00A90898" w:rsidRDefault="00A90898" w:rsidP="00A90898">
      <w:pPr>
        <w:pStyle w:val="TextoNormal"/>
      </w:pPr>
    </w:p>
    <w:p w:rsidR="00A90898" w:rsidRDefault="00A90898" w:rsidP="00A90898">
      <w:pPr>
        <w:pStyle w:val="TextoNormal"/>
      </w:pPr>
      <w:r>
        <w:t>Concluye el Abogado del Estado afirmando que las Comunidades Autónomas están facultadas para incluir en sus carteras de servicios nuevas prestaciones, pero en ningún caso pueden excluir de la prestación sanitaria pública que ofrecen en sus respectivos ámbitos territoriales fármacos incluidos en la prestación farmacéutica del Sistema Nacional de Salud. Ello supondría una ruptura de la igualdad en el acceso a la prestación farmacéutica reconocida como mínima y común por la normativa estatal.</w:t>
      </w:r>
    </w:p>
    <w:p w:rsidR="00A90898" w:rsidRDefault="00A90898" w:rsidP="00A90898">
      <w:pPr>
        <w:pStyle w:val="TextoNormal"/>
      </w:pPr>
    </w:p>
    <w:p w:rsidR="00A90898" w:rsidRDefault="00A90898" w:rsidP="00A90898">
      <w:pPr>
        <w:pStyle w:val="TextoNormal"/>
      </w:pPr>
      <w:r>
        <w:lastRenderedPageBreak/>
        <w:t>Finaliza su escrito suplicando que se tenga por planteado recurso de inconstitucionalidad contra el artículo único del Decreto-ley 3/2011, de 13 de diciembre, y por medio de otrosí dice que invoca el art. 161.2 CE en relación con el art. 30 LOTC a los efectos de que se suspenda inmediatamente la vigencia del artículo impugnado.</w:t>
      </w:r>
    </w:p>
    <w:p w:rsidR="00A90898" w:rsidRDefault="00A90898" w:rsidP="00A90898">
      <w:pPr>
        <w:pStyle w:val="TextoNormal"/>
      </w:pPr>
    </w:p>
    <w:p w:rsidR="00A90898" w:rsidRDefault="00A90898" w:rsidP="00A90898">
      <w:pPr>
        <w:pStyle w:val="TextoNormal"/>
      </w:pPr>
      <w:r w:rsidRPr="00A90898">
        <w:rPr>
          <w:rStyle w:val="NumeroAFNegritaCaracter"/>
        </w:rPr>
        <w:t>3</w:t>
      </w:r>
      <w:r>
        <w:t>. El Pleno, a propuesta de la Sección Cuarta, acordó, por providencia de 24 de julio de 2012, admitir a trámite el recurso y dar traslado de la demanda y documentos presentados, conforme establece el art. 34 LOTC, al Congreso de los Diputados y al Senado, así como al Gobierno y al Parlamento de Andalucía, por conducto de sus Presidentes, al objeto de que en el plazo de quince días pudieran personarse en el proceso y formular las alegaciones que estimaran convenientes. Asimismo, acordó tener por invocado el art. 161.2 CE en relación con el art. 30 LOTC, para que la admisión del recurso produjera la suspensión de la vigencia y aplicación de los preceptos impugnados, desde la fecha de interposición del recurso para las partes del proceso y desde el día en que aparezca publicada en el “Boletín Oficial del Estado” para los terceros. Por último, también se ordenó publicar la incoación del recurso y de la suspensión acordada en el “Boletín Oficial del Estado” y en el “Boletín Oficial de la Junta de Andalucía”. Por último, se acordó también requerir al Abogado del Estado para que, en el plazo de diez días, aportara el preceptivo informe del Consejo de Estado, emitido según lo dispuesto en el art. 22.6 de la Ley Orgánica 3/1980, de 22 de abril, de dicho Consejo.</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en este Tribunal el 27 de julio de 2012 el Abogado del Estado aportó el dictamen del Consejo de Estado.</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registrado en el Tribunal el 30 de julio de 2012, se personó el Letrado del Parlamento de Andalucía y solicitó prórroga del plazo concedido para la presentación del escrito de alegaciones.</w:t>
      </w:r>
    </w:p>
    <w:p w:rsidR="00A90898" w:rsidRDefault="00A90898" w:rsidP="00A90898">
      <w:pPr>
        <w:pStyle w:val="TextoNormal"/>
      </w:pPr>
    </w:p>
    <w:p w:rsidR="00A90898" w:rsidRDefault="00A90898" w:rsidP="00A90898">
      <w:pPr>
        <w:pStyle w:val="TextoNormal"/>
      </w:pPr>
      <w:r>
        <w:t>El Pleno del Tribunal acordó, por providencia de 30 de julio de 2012, tener por personado al Letrado del Parlamento de Andalucía y concederle una prórroga en ocho días más del plazo concedido para realizar alegaciones.</w:t>
      </w:r>
    </w:p>
    <w:p w:rsidR="00A90898" w:rsidRDefault="00A90898" w:rsidP="00A90898">
      <w:pPr>
        <w:pStyle w:val="TextoNormal"/>
      </w:pPr>
    </w:p>
    <w:p w:rsidR="00A90898" w:rsidRDefault="00A90898" w:rsidP="00A90898">
      <w:pPr>
        <w:pStyle w:val="TextoNormal"/>
      </w:pPr>
      <w:r w:rsidRPr="00A90898">
        <w:rPr>
          <w:rStyle w:val="NumeroAFNegritaCaracter"/>
        </w:rPr>
        <w:t>6</w:t>
      </w:r>
      <w:r>
        <w:t>. El Presidente del Congreso de los Diputados, mediante escrito registrado el día 7 de septiembre de 2012, comunicó que la Cámara se personaba en el procedimiento ofreciendo su colaboración a los efectos del art. 88.1 LOTC. Lo mismo hizo el Presidente del Senado por escrito registrado el 5 de septiembre de 2012.</w:t>
      </w:r>
    </w:p>
    <w:p w:rsidR="00A90898" w:rsidRDefault="00A90898" w:rsidP="00A90898">
      <w:pPr>
        <w:pStyle w:val="TextoNormal"/>
      </w:pPr>
    </w:p>
    <w:p w:rsidR="00A90898" w:rsidRDefault="00A90898" w:rsidP="00A90898">
      <w:pPr>
        <w:pStyle w:val="TextoNormal"/>
      </w:pPr>
      <w:r w:rsidRPr="00A90898">
        <w:rPr>
          <w:rStyle w:val="NumeroAFNegritaCaracter"/>
        </w:rPr>
        <w:t>7</w:t>
      </w:r>
      <w:r>
        <w:t>. La Letrada de la Junta de Andalucía se personó, mediante escrito de alegaciones registrado en el Tribunal el 31 de julio de 2012, interesando el levantamiento de la suspensión antes del transcurso del plazo de cinco meses.</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18 de septiembre de 2012 la Letrada de la Junta de Andalucía solicitó la desestimación del recurso interpuesto por las razones que, resumidamente, se exponen a continuación:</w:t>
      </w:r>
    </w:p>
    <w:p w:rsidR="00A90898" w:rsidRDefault="00A90898" w:rsidP="00A90898">
      <w:pPr>
        <w:pStyle w:val="TextoNormal"/>
      </w:pPr>
    </w:p>
    <w:p w:rsidR="00A90898" w:rsidRDefault="00A90898" w:rsidP="00A90898">
      <w:pPr>
        <w:pStyle w:val="TextoNormal"/>
      </w:pPr>
      <w:r>
        <w:lastRenderedPageBreak/>
        <w:t>a) Comienza su escrito la Letrada de la Junta de Andalucía realizando una serie de precisiones acerca de los títulos competenciales esgrimidos por la Administración del Estado. La primera se refiere a la invocación como título competencial implicado del art. 149.1.1 CE. A su juicio, en todo momento las condiciones básicas que garantizan la igualdad de todos los ciudadanos son respetadas, siendo así que con la convocatoria y normativa de referencia en modo alguno se ha cambiado la relación paciente-farmacéutico-Administración Pública, sino la relación farmacéutico-laboratorio-Administración.</w:t>
      </w:r>
    </w:p>
    <w:p w:rsidR="00A90898" w:rsidRDefault="00A90898" w:rsidP="00A90898">
      <w:pPr>
        <w:pStyle w:val="TextoNormal"/>
      </w:pPr>
    </w:p>
    <w:p w:rsidR="00A90898" w:rsidRDefault="00A90898" w:rsidP="00A90898">
      <w:pPr>
        <w:pStyle w:val="TextoNormal"/>
      </w:pPr>
      <w:r>
        <w:t>Por lo que se refiere al art. 149.17 CE, considera que la resolución que se impugna no afecta al régimen económico de la Seguridad Social y para ello cita la STC 98/2004, de 25 de mayo. A su juicio, es claro que el Decreto-ley impugnado, modificador de la Ley de farmacia de Andalucía, no incide ni en el régimen económico de la Seguridad Social, ni en sus recursos financieros, ni en la vigencia del principio de “caja única” por el que se rige. Añade que el encuadramiento de la resolución dictada el propio del Sistema Nacional de Salud (art. 149.1.16 CE), en cuanto forma parte del conjunto de servicios y prestaciones sanitarias a proporcionar a todos los ciudadanos y dentro de éste sistema a su vez, se enmarca en el ámbito propio de la competencia autonómica de regulación de la función de dispensación de medicamentos de las farmacias en el ejercicio ordinario de su actividad.</w:t>
      </w:r>
    </w:p>
    <w:p w:rsidR="00A90898" w:rsidRDefault="00A90898" w:rsidP="00A90898">
      <w:pPr>
        <w:pStyle w:val="TextoNormal"/>
      </w:pPr>
    </w:p>
    <w:p w:rsidR="00A90898" w:rsidRDefault="00A90898" w:rsidP="00A90898">
      <w:pPr>
        <w:pStyle w:val="TextoNormal"/>
      </w:pPr>
      <w:r>
        <w:t>Por último, en cuanto a la invocación que se realiza del art. 149.1.16 CE, señala que nada hay que objetar en cuanto a la consideración de las bases y coordinación general en materia de sanidad como un mínimo común denominador establecido por el Estado, dentro del que perfectamente se inserta la norma impugnada, pero no sucede lo mismo en cuanto a la legislación sobre productos farmacéuticos. En este sentido, entiende que la dispensación de medicamentos forma parte de la actividad ordinaria de las oficinas de farmacia y ha de quedar enmarcada en la competencia autonómica sobre ordenación farmacéutica, que es precisamente lo que ocurre en el presente caso.</w:t>
      </w:r>
    </w:p>
    <w:p w:rsidR="00A90898" w:rsidRDefault="00A90898" w:rsidP="00A90898">
      <w:pPr>
        <w:pStyle w:val="TextoNormal"/>
      </w:pPr>
    </w:p>
    <w:p w:rsidR="00A90898" w:rsidRDefault="00A90898" w:rsidP="00A90898">
      <w:pPr>
        <w:pStyle w:val="TextoNormal"/>
      </w:pPr>
      <w:r>
        <w:t>Partiendo del contenido que se viene a regular, la Letrada de la Junta de Andalucía concluye que la ley se dicta al amparo de los arts. 149.1.16 CE y 55 del Estatuto de Autonomía para Andalucía.</w:t>
      </w:r>
    </w:p>
    <w:p w:rsidR="00A90898" w:rsidRDefault="00A90898" w:rsidP="00A90898">
      <w:pPr>
        <w:pStyle w:val="TextoNormal"/>
      </w:pPr>
    </w:p>
    <w:p w:rsidR="00A90898" w:rsidRDefault="00A90898" w:rsidP="00A90898">
      <w:pPr>
        <w:pStyle w:val="TextoNormal"/>
      </w:pPr>
      <w:r>
        <w:t>b) A continuación, trata de sistematizar la normativa estatal existente en el marco de protección de la salud. Tras exponer el marco general legislativo de garantía de la calidad y cohesión del Sistema Nacional de Salud y la legislación que con carácter específico regula la prestación farmacéutica pasa a exponer las modificaciones introducidas por el Decreto-ley impugnado. Indica que la norma prevé una convocatoria en la que pueden participar todos los laboratorios farmacéuticos interesados, para seleccionar, de entre los medicamentos o productos sanitarios comercializados aquellos que tengan un “precio autorizado igual o inferior al precio menor correspondiente, establecido en el Sistema Nacional de Salud”, aquél que deberá ser dispensado por las oficinas de farmacia cuando, en marco de la prestación farmacéutica del sistema sanitario público de Andalucía, se les presente una receta médica u orden de dispensación en las que el medicamento o producto correspondiente se identifica exclusivamente por la denominación oficial de sus principios activos.</w:t>
      </w:r>
    </w:p>
    <w:p w:rsidR="00A90898" w:rsidRDefault="00A90898" w:rsidP="00A90898">
      <w:pPr>
        <w:pStyle w:val="TextoNormal"/>
      </w:pPr>
    </w:p>
    <w:p w:rsidR="00A90898" w:rsidRDefault="00A90898" w:rsidP="00A90898">
      <w:pPr>
        <w:pStyle w:val="TextoNormal"/>
      </w:pPr>
      <w:r>
        <w:t xml:space="preserve">Puede así comprobarse, a su juicio, que la norma ha sido dictada dentro del ámbito de la competencia autonómica de ordenación farmacéutica. Considera la Letrada de la Junta de Andalucía que la norma andaluza ni innova, ni contradice, la legislación básica estatal en </w:t>
      </w:r>
      <w:r>
        <w:lastRenderedPageBreak/>
        <w:t>materia de financiación pública de medicamentos, sino que por el contrario, parte de dicha normativa, para precisamente procurar la racionalización del gasto sanitario que le compete, en cuanto que entiende, que ordenando en la forma que lo ha hecho, la dispensación farmacéutica sin afectación al sistema de financiación, es posible, ahorrar gastos al sistema sanitario de Andalucía.</w:t>
      </w:r>
    </w:p>
    <w:p w:rsidR="00A90898" w:rsidRDefault="00A90898" w:rsidP="00A90898">
      <w:pPr>
        <w:pStyle w:val="TextoNormal"/>
      </w:pPr>
    </w:p>
    <w:p w:rsidR="00A90898" w:rsidRDefault="00A90898" w:rsidP="00A90898">
      <w:pPr>
        <w:pStyle w:val="TextoNormal"/>
      </w:pPr>
      <w:r>
        <w:t>Señala que la piedra angular del sistema de financiación farmacéutica diseñado por el Estado en el ejercicio de sus competencias básicas es el denominado “precio de referencia”, y que la Ley de farmacia de Andalucía en modo alguno interfiere en dicho sistema porque se mueve sólo en el ámbito que le es propio, que no es otro que la ordenación farmacéutica. A su juicio, lo que pretende regular la norma y por lo tanto ejecutar su concurso, tiene su objeto muy acotado al ámbito de la regulación de la función de dispensación de medicamentos de las farmacias en el ejercicio ordinario de su actividad. No se afecta la prescripción médica, sino a la dispensación farmacéutica cuando el medicamento prescrito sea un genérico, quedando fuera de esta regulación el supuesto de prescripción y en consecuencia dispensación de medicamentos por marcas comerciales.</w:t>
      </w:r>
    </w:p>
    <w:p w:rsidR="00A90898" w:rsidRDefault="00A90898" w:rsidP="00A90898">
      <w:pPr>
        <w:pStyle w:val="TextoNormal"/>
      </w:pPr>
    </w:p>
    <w:p w:rsidR="00A90898" w:rsidRDefault="00A90898" w:rsidP="00A90898">
      <w:pPr>
        <w:pStyle w:val="TextoNormal"/>
      </w:pPr>
      <w:r>
        <w:t xml:space="preserve">Indica que la dispensación de medicamentos o productos sanitarios por principio activo presupone una labor farmacéutica de selección de los productos sanitarios prescritos por los médicos. Pues bien, señala que es precisamente sobre esta opción que se otorga a los farmacéuticos para la selección de los productos a dispensar, sobre la que pretenden incidir los arts. 60 </w:t>
      </w:r>
      <w:r w:rsidRPr="00A90898">
        <w:rPr>
          <w:i/>
        </w:rPr>
        <w:t>bis</w:t>
      </w:r>
      <w:r>
        <w:t xml:space="preserve"> y </w:t>
      </w:r>
      <w:r w:rsidRPr="00A90898">
        <w:rPr>
          <w:i/>
        </w:rPr>
        <w:t>ter</w:t>
      </w:r>
      <w:r>
        <w:t xml:space="preserve"> de la Ley de farmacia de Andalucía, mediante un sistema de concurso, en forma tal que la elección del producto de precio menor/más bajo que ahora corresponde al farmacéutico en forma absolutamente libre, sea ejercitada conforme a unas pautas regladas. O lo que es lo mismo, se pretende que este acto de compra que realiza el Servicio Andaluz de Salud de los medicamentos y productos farmacéuticos a través de intermediario (farmacéutico), el poder de decisión corresponda al comprador, y no al dispensador al público, lo que por otra parte, no sólo es que sea más conforme con la normativa comunitaria dado que el poder adjudicador es la Administración pública, sino que además permite que sea esta —y no los intermediarios o farmacéuticos—, la que se beneficie de los descuentos que por volumen de ventas o pronto pago ofrecen los distribuidores. Por todo ello, a su entender la Ley de farmacia de Andalucía, con la redacción dada por el Decreto-ley 3/2011, se inserta plenamente en la competencia autonómica de ordenación farmacéutica, desde el momento en que incide directamente sobre la actuación de dispensación ordinaria de los productos farmacéuticos por las oficinas de farmacia.</w:t>
      </w:r>
    </w:p>
    <w:p w:rsidR="00A90898" w:rsidRDefault="00A90898" w:rsidP="00A90898">
      <w:pPr>
        <w:pStyle w:val="TextoNormal"/>
      </w:pPr>
    </w:p>
    <w:p w:rsidR="00A90898" w:rsidRDefault="00A90898" w:rsidP="00A90898">
      <w:pPr>
        <w:pStyle w:val="TextoNormal"/>
      </w:pPr>
      <w:r>
        <w:t>Añade la Letrada de la Junta de Andalucía que el marco normativo de prescripción no se altera en lo más mínimo y, por tanto, en forma alguna puede sostenerse que se modifica la cartera básica de una prestación que, por definición, es de prescripción facultativa, siendo al prescriptor al único al que corresponde decidir si a su paciente le prescribe el medicamento que necesita, por marca (por una necesidad terapéutica) o por principio activo (norma general).</w:t>
      </w:r>
    </w:p>
    <w:p w:rsidR="00A90898" w:rsidRDefault="00A90898" w:rsidP="00A90898">
      <w:pPr>
        <w:pStyle w:val="TextoNormal"/>
      </w:pPr>
    </w:p>
    <w:p w:rsidR="00A90898" w:rsidRDefault="00A90898" w:rsidP="00A90898">
      <w:pPr>
        <w:pStyle w:val="TextoNormal"/>
      </w:pPr>
      <w:r w:rsidRPr="00A90898">
        <w:rPr>
          <w:rStyle w:val="NumeroAFNegritaCaracter"/>
        </w:rPr>
        <w:t>9</w:t>
      </w:r>
      <w:r>
        <w:t>. Por escrito registrado en el Tribunal el 2 de octubre de 2012 el Letrado del Parlamento de Andalucía solicitó la desestimación del recurso por las razones que se exponen a continuación:</w:t>
      </w:r>
    </w:p>
    <w:p w:rsidR="00A90898" w:rsidRDefault="00A90898" w:rsidP="00A90898">
      <w:pPr>
        <w:pStyle w:val="TextoNormal"/>
      </w:pPr>
    </w:p>
    <w:p w:rsidR="00A90898" w:rsidRDefault="00A90898" w:rsidP="00A90898">
      <w:pPr>
        <w:pStyle w:val="TextoNormal"/>
      </w:pPr>
      <w:r>
        <w:lastRenderedPageBreak/>
        <w:t>a) Comienza señalado el Letrado del Parlamento de Andalucía que la argumentación que despliega el recurrente para sostener, de modo concreto y específico, la inconstitucionalidad de los distintos preceptos del artículo único del Decreto-ley 3/2011 es sumamente escueta y concisa, alejada de un examen directo y preciso de la supuesta discordancia entre el contenido concreto de esos preceptos y las exigencias constitucionales. Pero es que además, añade, en relación con algunos de esos preceptos del artículo único, formalmente impugnados, esa argumentación no existe ni siquiera mínimamente. Es decir, no se exponen en absoluto las razones por las que tales preceptos son inconstitucionales. Así ocurre, indica, respecto de lo establecido en el apartado 1, el apartado 2, en el apartado 7, en el apartado 8 y en el apartado 10. En consecuencia, para el Letrado del Parlamento de Andalucía dichos preceptos deben tenerse por no recurridos.</w:t>
      </w:r>
    </w:p>
    <w:p w:rsidR="00A90898" w:rsidRDefault="00A90898" w:rsidP="00A90898">
      <w:pPr>
        <w:pStyle w:val="TextoNormal"/>
      </w:pPr>
    </w:p>
    <w:p w:rsidR="00A90898" w:rsidRDefault="00A90898" w:rsidP="00A90898">
      <w:pPr>
        <w:pStyle w:val="TextoNormal"/>
      </w:pPr>
      <w:r>
        <w:t>b) Por lo que se refiere a los títulos competenciales en los que se encuadran las cuestiones planteadas afirma el Letrado del Parlamento de Andalucía que hay que tener en cuenta que la finalidad de los preceptos impugnados es operar fundamental y esencialmente en un ámbito previo al de la dispensación del producto farmacéutico. De lo que se trata, a su juicio, es de seleccionar previamente, y exclusivamente por razones económicas el medicamento o productos sanitario que menor coste va a representar para las arcas públicas, en función de la mejora económica que van a ofrecer los laboratorios farmacéuticos o proveedores. Por ello, considera que nos encontramos en la segunda vertiente de la dispensación según la doctrina del Tribunal Constitucional, aquella que tiene que ver con la función de la farmacia al dispensar el medicamento o producto sanitario, y que no se encuadra en el título competencial relativo a la “legislación sobre productos farmacéuticos”, sino en otro ámbitos materiales competenciales, como el de sanidad o el de ordenación farmacéutica.</w:t>
      </w:r>
    </w:p>
    <w:p w:rsidR="00A90898" w:rsidRDefault="00A90898" w:rsidP="00A90898">
      <w:pPr>
        <w:pStyle w:val="TextoNormal"/>
      </w:pPr>
    </w:p>
    <w:p w:rsidR="00A90898" w:rsidRDefault="00A90898" w:rsidP="00A90898">
      <w:pPr>
        <w:pStyle w:val="TextoNormal"/>
      </w:pPr>
      <w:r>
        <w:t>Descarta también que la normativa impugnada pueda incardinarse en la materia competencial “Seguridad Social” y, en concreto, que se refiera al título competencial estatal relativo al “régimen económico de la Seguridad Social”, y también que tenga incidencia sobre la cuestión planteada la competencia estatal reconocida en el art. 149.1.1 CE, todo ello siguiendo lo dispuesto en la STC 98/2004.</w:t>
      </w:r>
    </w:p>
    <w:p w:rsidR="00A90898" w:rsidRDefault="00A90898" w:rsidP="00A90898">
      <w:pPr>
        <w:pStyle w:val="TextoNormal"/>
      </w:pPr>
    </w:p>
    <w:p w:rsidR="00A90898" w:rsidRDefault="00A90898" w:rsidP="00A90898">
      <w:pPr>
        <w:pStyle w:val="TextoNormal"/>
      </w:pPr>
      <w:r>
        <w:t>Expuestas con detalle las consideraciones de la STC 98/2004, el Letrado del Parlamento de Andalucía afirma que la materia competencial en la que se encuadran las cuestiones planteadas es la relativa a sanidad, y señala que dichas consideraciones han sido confirmadas muy recientemente en la STC 136/2012, de 19 de junio.</w:t>
      </w:r>
    </w:p>
    <w:p w:rsidR="00A90898" w:rsidRDefault="00A90898" w:rsidP="00A90898">
      <w:pPr>
        <w:pStyle w:val="TextoNormal"/>
      </w:pPr>
    </w:p>
    <w:p w:rsidR="00A90898" w:rsidRDefault="00A90898" w:rsidP="00A90898">
      <w:pPr>
        <w:pStyle w:val="TextoNormal"/>
      </w:pPr>
      <w:r>
        <w:t>c) A continuación el Letrado examina el alcance la competencia estatal en materia de sanidad, así como las competencias que el art. 55 del Estatuto de Autonomía de Andalucía otorga a dicha Comunidad Autónoma en materia de salud, sanidad y farmacia.</w:t>
      </w:r>
    </w:p>
    <w:p w:rsidR="00A90898" w:rsidRDefault="00A90898" w:rsidP="00A90898">
      <w:pPr>
        <w:pStyle w:val="TextoNormal"/>
      </w:pPr>
    </w:p>
    <w:p w:rsidR="00A90898" w:rsidRDefault="00A90898" w:rsidP="00A90898">
      <w:pPr>
        <w:pStyle w:val="TextoNormal"/>
      </w:pPr>
      <w:r>
        <w:t>Respecto al alcance de la competencia estatal reproduce la doctrina constitucional sentada en la STC 98/2004 y por lo que se refiere a las competencias autonómicas señala que el art. 55.1 del Estatuto de Autonomía para Andalucía atribuye expresamente a la Comunidad Autónoma competencias en materia de “ordenación farmacéutica” “en el marco del art. 149.11.6 CE”. De este modo, afirma que la materia ordenación farmacéutica se configura como una materia específica, sometida, en relación con el ejercicio de las competencias autonómicas, a los mismos límites que la materia genérica en la que se integra, la sanidad, esto es, a los títulos competenciales reconocidos al Estado en el art. 149.1.16 CE.</w:t>
      </w:r>
    </w:p>
    <w:p w:rsidR="00A90898" w:rsidRDefault="00A90898" w:rsidP="00A90898">
      <w:pPr>
        <w:pStyle w:val="TextoNormal"/>
      </w:pPr>
    </w:p>
    <w:p w:rsidR="00A90898" w:rsidRDefault="00A90898" w:rsidP="00A90898">
      <w:pPr>
        <w:pStyle w:val="TextoNormal"/>
      </w:pPr>
      <w:r>
        <w:t>d) Seguidamente el Letrado del Parlamento de Andalucía examina cuál es la normativa estatal de contraste a considerar, si la misma tiene realmente carácter básico y si existe contradicción entre la normativa estatal básica y los preceptos autonómicos impugnados. En este sentido, comienza señalando que los preceptos impugnados del Decreto-ley 3/2011 no suponen la exclusión de medicamento o producto sanitario alguno de la cartera de servicios aprobada por el Estado sino que, por el contrario, la norma impugnada parte precisamente de los medicamentos o productos sanitarios que forman parte de esa cartera de servicios estatalmente aprobada y entre los mismos procede a seleccionar uno de ellos, el que menor coste económico supone para las arcas públicas.</w:t>
      </w:r>
    </w:p>
    <w:p w:rsidR="00A90898" w:rsidRDefault="00A90898" w:rsidP="00A90898">
      <w:pPr>
        <w:pStyle w:val="TextoNormal"/>
      </w:pPr>
    </w:p>
    <w:p w:rsidR="00A90898" w:rsidRDefault="00A90898" w:rsidP="00A90898">
      <w:pPr>
        <w:pStyle w:val="TextoNormal"/>
      </w:pPr>
      <w:r>
        <w:t>Recuerda que de la propia normativa estatal en modo alguno se deriva, frente a lo que quiere sostener el recurrente, que todos los medicamentos o productos sanitarios incluidos en la cartera de servicios de la prestación farmacéutica del Sistema Nacional de Salud, estatalmente aprobada, puedan ser dispensados indiferenciada e indistintamente, sino que existen unas normas estatales que determinan cuáles, entre aquellos medicamentos o productos sanitarios, habrán de ser dispensados.</w:t>
      </w:r>
    </w:p>
    <w:p w:rsidR="00A90898" w:rsidRDefault="00A90898" w:rsidP="00A90898">
      <w:pPr>
        <w:pStyle w:val="TextoNormal"/>
      </w:pPr>
    </w:p>
    <w:p w:rsidR="00A90898" w:rsidRDefault="00A90898" w:rsidP="00A90898">
      <w:pPr>
        <w:pStyle w:val="TextoNormal"/>
      </w:pPr>
      <w:r>
        <w:t>Por lo que se refiere a la normativa estatal que se encontraba en vigor en el momento de la aprobación y entrada en vigor del Decreto-ley 3/2011, señala que el art. 85.1 de la Ley 29/2006, en la redacción entonces vigente, establecía, como regla general, que la prescripción, indicación o autorización de dispensación de los medicamentos se realizará por principio activo, y que en relación con los productos sanitarios para pacientes no hospitalizados que requieran para su dispensación en oficina de farmacia tal receta u orden, la prescripción, indicación o autorización de dispensación se realizará por denominación genérica por tipo de producto. Y añade ese art. 85.1 que en ambos casos el farmacéutico dispensará la presentación del medicamento o del producto sanitario que tenga menor precio. Pues bien, a su juicio, partiendo del pleno respeto a esas bases estatales, esto es, respetando la regla de dispensación del medicamento o producto sanitario de menor precio, el Decreto-ley 3/2011, en desarrollo de esta previsiones, moviéndose adecuadamente en el marco de las competencias autonómicas en materia de sanidad u ordenación farmacéutica, establece un sistema para la determinación, mediante las correspondientes convocatorias públicas de procesos selectivos, de cuál, entre los distintos medicamentos o productos sanitarios de menor precio según la normativa estatal, debe ser dispensado en el marco de la prestación farmacéutica del sistema sanitario público de Andalucía.</w:t>
      </w:r>
    </w:p>
    <w:p w:rsidR="00A90898" w:rsidRDefault="00A90898" w:rsidP="00A90898">
      <w:pPr>
        <w:pStyle w:val="TextoNormal"/>
      </w:pPr>
    </w:p>
    <w:p w:rsidR="00A90898" w:rsidRDefault="00A90898" w:rsidP="00A90898">
      <w:pPr>
        <w:pStyle w:val="TextoNormal"/>
      </w:pPr>
      <w:r>
        <w:t>No existía, por tanto, a su entender, en el momento de aprobación y entrada en vigor del Decreto-ley 3/2011, vulneración alguna de la normativa básica estatal en la materia, porque, en cualquier caso, quedaba garantizado que los medicamentos o productos sanitarios seleccionados en Andalucía serían siempre y en todo caso alguno de los medicamentos o productos sanitarios de menor precio, en los términos de la normativa estatal básica.</w:t>
      </w:r>
    </w:p>
    <w:p w:rsidR="00A90898" w:rsidRDefault="00A90898" w:rsidP="00A90898">
      <w:pPr>
        <w:pStyle w:val="TextoNormal"/>
      </w:pPr>
    </w:p>
    <w:p w:rsidR="00A90898" w:rsidRDefault="00A90898" w:rsidP="00A90898">
      <w:pPr>
        <w:pStyle w:val="TextoNormal"/>
      </w:pPr>
      <w:r>
        <w:t xml:space="preserve">Señala que la normativa estatal básica en materia de sanidad, en los aspectos que estamos examinando, relativos a la financiación pública de los medicamentos o productos sanitarios, debe dejar un margen de actuación a las Comunidades Autónomas con competencia de desarrollo legislativo en la materia, para que puedan establecer aquellas medidas concretas </w:t>
      </w:r>
      <w:r>
        <w:lastRenderedPageBreak/>
        <w:t>y específicas que permitan obtener un menor coste público, siempre que se realice una adecuada ponderación de los demás derechos, intereses y garantías que puedan estar en presencia.</w:t>
      </w:r>
    </w:p>
    <w:p w:rsidR="00A90898" w:rsidRDefault="00A90898" w:rsidP="00A90898">
      <w:pPr>
        <w:pStyle w:val="TextoNormal"/>
      </w:pPr>
    </w:p>
    <w:p w:rsidR="00A90898" w:rsidRDefault="00A90898" w:rsidP="00A90898">
      <w:pPr>
        <w:pStyle w:val="TextoNormal"/>
      </w:pPr>
      <w:r>
        <w:t>Añade que el art. 85.1 de la Ley 29/2006, en la redacción vigente en el momento de la aprobación y entrada en vigor del Decreto-ley 3/2011, respondía adecuadamente a ese carácter básico, al establecer las reglas precisas para que los medicamentos o productos sanitarios a dispensar fueran los de menor precio. Y partiendo de que esa expresión “menor precio” no se refería a la existencia de un determinado o concreto medicamento o producto sanitario que tuviera el precio más bajo, sino que, por el contrario, era un específico concepto legal que se refería a la existencia de un determinado y concreto precio, el precio menor, fijado de acuerdo con las correspondientes agrupaciones homogéneas, por debajo del cual debían encontrarse los distintos medicamentos o productos sanitarios que podían en cada caso ser dispensados, dicha normativa básica estatal respetaba otra de las exigencias impuestas por el Tribunal Constitucional para confirmar el carácter básico de la normativa cual es, “que el Estado no puede en el ejercicio de una competencia básica, agotar la regulación de la materia, sino que debe dejar un margen normativo propio a la Comunidad Autónoma” (STC 98/2004, FJ 6). Ese margen normativo autonómico se traducía, a su juicio, en la posibilidad de establecer reglas que se considerasen precisas para, también en la búsqueda de un precio público ajustado, seleccionar o determinar, entre los medicamentos o productos sanitarios de “menor precio”, aquel o aquellos que deban ser dispensados en el marco de la prestación farmacéutica del sistema sanitario público de Andalucía. Y en ejercicio de esas competencias autonómicas de desarrollo legislativo en materia de sanidad u ordenación farmacéutica se procedió a establecer un conjunto de reglas o procedimientos para la selección del correspondiente medicamento o producto sanitario que habría de ser dispensado en Andalucía, atendiendo al criterio del menor coste económico final para el Servicio Andaluz de Salud, y siempre dentro de los medicamentos o productos sanitarios de “menor precio”, en los términos de la normativa básica estatal.</w:t>
      </w:r>
    </w:p>
    <w:p w:rsidR="00A90898" w:rsidRDefault="00A90898" w:rsidP="00A90898">
      <w:pPr>
        <w:pStyle w:val="TextoNormal"/>
      </w:pPr>
    </w:p>
    <w:p w:rsidR="00A90898" w:rsidRDefault="00A90898" w:rsidP="00A90898">
      <w:pPr>
        <w:pStyle w:val="TextoNormal"/>
      </w:pPr>
      <w:r>
        <w:t>Continúa señalando el Letrado del Parlamento de Andalucía que tras la aprobación y entrada en vigor del Decreto-ley 3/2011 se ha producido la modificación de la normativa estatal que habrá de contrastarse con las previsiones de los preceptos impugnados. Así, indica que el Real Decreto-ley 3/2012, de 20 de abril, por una parte, ha modificado la redacción del art. 85 de la Ley 29/2006 y, por otra parte, ha introducido en la Ley 29/2006 otros preceptos que, supuestamente podrían entrar en contradicción con los preceptos impugnados del Decreto-ley 3/2011.</w:t>
      </w:r>
    </w:p>
    <w:p w:rsidR="00A90898" w:rsidRDefault="00A90898" w:rsidP="00A90898">
      <w:pPr>
        <w:pStyle w:val="TextoNormal"/>
      </w:pPr>
    </w:p>
    <w:p w:rsidR="00A90898" w:rsidRDefault="00A90898" w:rsidP="00A90898">
      <w:pPr>
        <w:pStyle w:val="TextoNormal"/>
      </w:pPr>
      <w:r>
        <w:t>En este sentido indica que la modificación del art. 85 radica en que cuando la prescripción se realice por principio activo el farmacéutico dispensará el medicamento de “precio más bajo de su agrupación homogénea”. Se sustituye, por tanto, la referencia al “menor precio” por la correspondiente al “precio más bajo”. Señala que si el sentido de la expresión “precio más bajo” es el mismo que normativamente tenía la de “menor precio” anteriormente existente, no se produciría ningún problema, ya que la situación, desde el punto de vista competencial seguiría siendo la misma. Ahora bien, el problema surge, a su juicio, si se entiende que esa referencia al “precio más bajo” supone que la normativa estatal está previendo la dispensación, en cada caso, precisamente de los medicamentos que tengan un determinado y preciso precio, en concreto el precio más bajo o de inferior cuantía de entre los precios autorizados.</w:t>
      </w:r>
    </w:p>
    <w:p w:rsidR="00A90898" w:rsidRDefault="00A90898" w:rsidP="00A90898">
      <w:pPr>
        <w:pStyle w:val="TextoNormal"/>
      </w:pPr>
    </w:p>
    <w:p w:rsidR="00A90898" w:rsidRDefault="00A90898" w:rsidP="00A90898">
      <w:pPr>
        <w:pStyle w:val="TextoNormal"/>
      </w:pPr>
      <w:r>
        <w:t>Afirma que es posible que existan distintos medicamentos que tengan el mismo precio, y que ese precio sea precisamente el “precio más bajo” de la correspondiente agrupación homogénea. Pues bien, señala si esto es posible, también lo es que el Decreto-ley 3/2011 permita seleccionar entre los mismos, a través de las reglas que establece, cuál de entre ellos, por representar un menor coste económico final para el Servicio Andaluz de Salud, va a ser dispensado en el marco de la prestación farmacéutica del Sistema Sanitario Público de Andalucía. Nos encontraríamos, en su opinión, ante un supuesto de adecuación automática y sobrevenida de las previsiones del Decreto-ley 3/2011 a lo establecido en la nueva normativa estatal.</w:t>
      </w:r>
    </w:p>
    <w:p w:rsidR="00A90898" w:rsidRDefault="00A90898" w:rsidP="00A90898">
      <w:pPr>
        <w:pStyle w:val="TextoNormal"/>
      </w:pPr>
    </w:p>
    <w:p w:rsidR="00A90898" w:rsidRDefault="00A90898" w:rsidP="00A90898">
      <w:pPr>
        <w:pStyle w:val="TextoNormal"/>
      </w:pPr>
      <w:r>
        <w:t>Además, señala que el art. 85.4 de la Ley 29/2006, en la redacción que le ha dado el Real Decreto-ley 16/2012, no puede tener carácter básico, por no responder su contenido a las exigencias materiales de lo básico en materia de sanidad. Siguiendo la doctrina sentada en la STC 98/2004 considera que la financiación pública del medicamento constituye un aspecto esencial o nuclear de la regulación de la prestación farmacéutica, pero solo en cuanto que tal financiación busca, entre otros objetivos, garantizar el acceso de los ciudadanos a los medicamentos con un precio público ajustado. Partiendo de esta doctrina, entiende que una previsión estatal que impidiera a las Comunidades Autónomas obtener determinados medicamentos en unas condiciones económicas más ventajosas para el sector público, no podrá tener carácter básico, porque tal precepto estatal en materia de financiación pública de la prestación farmacéutica no cumpliría ya los requisitos de contenido que justifican que responda a las exigencias materiales de lo básico.</w:t>
      </w:r>
    </w:p>
    <w:p w:rsidR="00A90898" w:rsidRDefault="00A90898" w:rsidP="00A90898">
      <w:pPr>
        <w:pStyle w:val="TextoNormal"/>
      </w:pPr>
    </w:p>
    <w:p w:rsidR="00A90898" w:rsidRDefault="00A90898" w:rsidP="00A90898">
      <w:pPr>
        <w:pStyle w:val="TextoNormal"/>
      </w:pPr>
      <w:r>
        <w:t>Por todo ello, afirma que el art. 85.4 de la Ley 29/2006 no tiene carácter básico y es inconstitucional, por dictarse con exceso en el ejercicio de las competencias estatales en materia de sanidad. Y, en lo que específicamente interesa en este proceso constitucional, señala que en modo alguno puede funcionar como parámetro de constitucionalidad de los preceptos impugnados.</w:t>
      </w:r>
    </w:p>
    <w:p w:rsidR="00A90898" w:rsidRDefault="00A90898" w:rsidP="00A90898">
      <w:pPr>
        <w:pStyle w:val="TextoNormal"/>
      </w:pPr>
    </w:p>
    <w:p w:rsidR="00A90898" w:rsidRDefault="00A90898" w:rsidP="00A90898">
      <w:pPr>
        <w:pStyle w:val="TextoNormal"/>
      </w:pPr>
      <w:r>
        <w:t>Por último, el Letrado del Parlamento de Andalucía indica que el recurrente introduce una argumentación falaz, al comparar dos magnitudes radicalmente distintas en su concepto y decir que una es mayor que otra: el porcentaje de participación del usuario en función del coste final para el Servicio Andaluz de Salud en un caso y el porcentaje de participación del usuario sobre el precio de venta al público en otro caso. A su juicio, ese distinto porcentaje de participación, en relación con conceptos distintos, carece de toda relevancia jurídica, porque precisamente lo que la tiene es que se mantiene el mismo porcentaje de participación en toda España sobre el precio de venta al público y, en consecuencia, es la misma la aportación del usuario en toda España, de modo que, en definitiva, lo que se consigue con la aplicación de los preceptos impugnados del Decreto-ley 3/2011 es que se disminuya o que sea menor la cantidad que corresponde al porcentaje de financiación pública de ese precio de venta al público, disminución de cantidad y consiguiente ahorro para las arcas públicas en el que, por supuesto, no existe ninguna exigencia que imponga que en la misma deban participar los usuarios o que deba beneficiar a los mismos y que, en definitiva, lo que supone es que los correspondientes laboratorios farmacéuticos o proveedores son los que van a soportar esa mejora económica en el coste final del medicamento o producto sanitario para las arcas públicas.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10</w:t>
      </w:r>
      <w:r>
        <w:t>. Por providencia de 3 de octubre de 2012, el Pleno del Tribunal acordó dar traslado al Abogado del Estado y al Parlamento de Andalucía de copia del escrito presentado por la Letrada de la Junta de Andalucía el 31 de julio de 2012 en el que se interesaba el levantamiento de la suspensión, y les concedió un plazo de cinco días para que expusieran lo que consideraran conveniente al respecto.</w:t>
      </w:r>
    </w:p>
    <w:p w:rsidR="00A90898" w:rsidRDefault="00A90898" w:rsidP="00A90898">
      <w:pPr>
        <w:pStyle w:val="TextoNormal"/>
      </w:pPr>
    </w:p>
    <w:p w:rsidR="00A90898" w:rsidRDefault="00A90898" w:rsidP="00A90898">
      <w:pPr>
        <w:pStyle w:val="TextoNormal"/>
      </w:pPr>
      <w:r w:rsidRPr="00A90898">
        <w:rPr>
          <w:rStyle w:val="NumeroAFNegritaCaracter"/>
        </w:rPr>
        <w:t>11</w:t>
      </w:r>
      <w:r>
        <w:t>. El Abogado del Estado por escrito registrado en este Tribunal el 16 de octubre de 2012 solicitó el mantenimiento de la suspensión.</w:t>
      </w:r>
    </w:p>
    <w:p w:rsidR="00A90898" w:rsidRDefault="00A90898" w:rsidP="00A90898">
      <w:pPr>
        <w:pStyle w:val="TextoNormal"/>
      </w:pPr>
    </w:p>
    <w:p w:rsidR="00A90898" w:rsidRDefault="00A90898" w:rsidP="00A90898">
      <w:pPr>
        <w:pStyle w:val="TextoNormal"/>
      </w:pPr>
      <w:r>
        <w:t>Por su parte, el Letrado del Parlamento de Andalucía solicitó el levantamiento de la suspensión por escrito registrado el 22 de octubre de 2012.</w:t>
      </w:r>
    </w:p>
    <w:p w:rsidR="00A90898" w:rsidRDefault="00A90898" w:rsidP="00A90898">
      <w:pPr>
        <w:pStyle w:val="TextoNormal"/>
      </w:pPr>
    </w:p>
    <w:p w:rsidR="00A90898" w:rsidRDefault="00A90898" w:rsidP="00A90898">
      <w:pPr>
        <w:pStyle w:val="TextoNormal"/>
      </w:pPr>
      <w:r w:rsidRPr="00A90898">
        <w:rPr>
          <w:rStyle w:val="NumeroAFNegritaCaracter"/>
        </w:rPr>
        <w:t>12</w:t>
      </w:r>
      <w:r>
        <w:t>. Mediante ATC 238/2012, de 12 de diciembre, el Pleno del Tribunal Constitucional acordó levantar la suspensión del precepto en cuestión.</w:t>
      </w:r>
    </w:p>
    <w:p w:rsidR="00A90898" w:rsidRDefault="00A90898" w:rsidP="00A90898">
      <w:pPr>
        <w:pStyle w:val="TextoNormal"/>
      </w:pPr>
    </w:p>
    <w:p w:rsidR="00A90898" w:rsidRDefault="00A90898" w:rsidP="00A90898">
      <w:pPr>
        <w:pStyle w:val="TextoNormal"/>
      </w:pPr>
      <w:r w:rsidRPr="00A90898">
        <w:rPr>
          <w:rStyle w:val="NumeroAFNegritaCaracter"/>
        </w:rPr>
        <w:t>13</w:t>
      </w:r>
      <w:r>
        <w:t>. Por providencia de 13 de diciembre de 2016, se señaló para deliberación y votación de la presente Sentencia el día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inconstitucionalidad se interpone por el Presidente del Gobierno contra el artículo único del Decreto-ley 3/2011, de 13 de diciembre, por el que se aprueban medidas urgentes sobre prestación farmacéutica del sistema sanitario público de Andalucía.</w:t>
      </w:r>
    </w:p>
    <w:p w:rsidR="00A90898" w:rsidRDefault="00A90898" w:rsidP="00A90898">
      <w:pPr>
        <w:pStyle w:val="TextoNormal"/>
      </w:pPr>
    </w:p>
    <w:p w:rsidR="00A90898" w:rsidRDefault="00A90898" w:rsidP="00A90898">
      <w:pPr>
        <w:pStyle w:val="TextoNormal"/>
      </w:pPr>
      <w:r>
        <w:t>El Decreto-ley 3/2011 prevé la selección por el Servicio Andaluz de Salud, mediante convocatoria pública, y de entre los medicamentos y/o productos sanitarios comercializados con precio autorizado igual o inferior al precio menor correspondiente establecido por el Sistema Nacional de Salud, de aquel que será dispensado por las oficinas de farmacia en el marco de la prestación farmacéutica del sistema sanitario público de Andalucía cuando se les presente una receta médica u orden de dispensación en las que el medicamento o producto sanitario se identifique exclusivamente por la denominación oficial de sus principios activos o por su denominación genérica. Este régimen, a juicio del Abogado del Estado, vulnera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w:t>
      </w:r>
    </w:p>
    <w:p w:rsidR="00A90898" w:rsidRDefault="00A90898" w:rsidP="00A90898">
      <w:pPr>
        <w:pStyle w:val="TextoNormal"/>
      </w:pPr>
    </w:p>
    <w:p w:rsidR="00A90898" w:rsidRDefault="00A90898" w:rsidP="00A90898">
      <w:pPr>
        <w:pStyle w:val="TextoNormal"/>
      </w:pPr>
      <w:r>
        <w:t>Por su parte, la Junta de Andalucía y el Parlamento de Andalucía niegan la inconstitucionalidad de la norma impugnada en tanto que consideran que la misma responde al ejercicio de las competencias de la Comunidad Autónoma de Andalucía en materia de sanidad u ordenación farmacéutica, con pleno respeto a las previsiones de la normativa estatal que pueda vincularla en razón de su carácter básico.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Hemos de comenzar por precisar dos aspectos previos del presente proceso constitucional.</w:t>
      </w:r>
    </w:p>
    <w:p w:rsidR="00A90898" w:rsidRDefault="00A90898" w:rsidP="00A90898">
      <w:pPr>
        <w:pStyle w:val="TextoNormal"/>
      </w:pPr>
    </w:p>
    <w:p w:rsidR="00A90898" w:rsidRDefault="00A90898" w:rsidP="00A90898">
      <w:pPr>
        <w:pStyle w:val="TextoNormal"/>
      </w:pPr>
      <w:r>
        <w:t>a) Como ha quedado reflejado en los antecedentes, para el Letrado del Parlamento de Andalucía deben excluirse del objeto de este proceso constitucional el apartado 1, el apartado 2, el apartado 7, el apartado 8 y el apartado 10 del artículo único del Decreto-ley 3/2011 pues en relación con dichos apartados, formalmente impugnados, no se concreta y precisa ninguna razón que determine su inconstitucionalidad sin que esas supuestas razones puedan derivarse o extraerse siquiera de la argumentación de carácter general que se expone en la demanda.</w:t>
      </w:r>
    </w:p>
    <w:p w:rsidR="00A90898" w:rsidRDefault="00A90898" w:rsidP="00A90898">
      <w:pPr>
        <w:pStyle w:val="TextoNormal"/>
      </w:pPr>
    </w:p>
    <w:p w:rsidR="00A90898" w:rsidRDefault="00A90898" w:rsidP="00A90898">
      <w:pPr>
        <w:pStyle w:val="TextoNormal"/>
      </w:pPr>
      <w:r>
        <w:t>En efecto, aunque el presente recurso de inconstitucionalidad se interpone contra el artículo único del Decreto-ley 3/2011, de 13 de diciembre, por el que se aprueban medidas urgentes sobre prestación farmacéutica del sistema sanitario público de Andalucía, en su integridad, esto es, en sus diez apartados, lo cierto es que esta norma modifica distintos preceptos de la Ley 22/2007, de 18 de diciembre, de farmacia de Andalucía, con un alcance diverso, y que los argumentos utilizados por el Abogado del Estado se centran exclusivamente en aquellos preceptos que hacen alusión a la selección de los medicamentos o productos sanitarios a dispensar por las oficinas de farmacia cuando se prescriban por principio activo o denominación genérica, que se hará mediante convocatoria pública.</w:t>
      </w:r>
    </w:p>
    <w:p w:rsidR="00A90898" w:rsidRDefault="00A90898" w:rsidP="00A90898">
      <w:pPr>
        <w:pStyle w:val="TextoNormal"/>
      </w:pPr>
    </w:p>
    <w:p w:rsidR="00A90898" w:rsidRDefault="00A90898" w:rsidP="00A90898">
      <w:pPr>
        <w:pStyle w:val="TextoNormal"/>
      </w:pPr>
      <w:r>
        <w:t>A este respecto hemos de recordar una vez más que,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A90898" w:rsidRDefault="00A90898" w:rsidP="00A90898">
      <w:pPr>
        <w:pStyle w:val="TextoNormal"/>
      </w:pPr>
    </w:p>
    <w:p w:rsidR="00A90898" w:rsidRDefault="00A90898" w:rsidP="00A90898">
      <w:pPr>
        <w:pStyle w:val="TextoNormal"/>
      </w:pPr>
      <w:r>
        <w:t>En consecuencia, el objeto del presente proceso ha de quedar delimitado a los artículos siguientes, respecto de los que el Abogado del Estado aporta, efectivamente, su argumentación: apartados 3, 4, 5, 6, 9 y 10 del artículo único del Decreto-ley 3/2011, que regulan el nuevo régimen de selección de productos sanitarios mediante convocatoria pública que se instaura en Andalucía.</w:t>
      </w:r>
    </w:p>
    <w:p w:rsidR="00A90898" w:rsidRDefault="00A90898" w:rsidP="00A90898">
      <w:pPr>
        <w:pStyle w:val="TextoNormal"/>
      </w:pPr>
    </w:p>
    <w:p w:rsidR="00A90898" w:rsidRDefault="00A90898" w:rsidP="00A90898">
      <w:pPr>
        <w:pStyle w:val="TextoNormal"/>
      </w:pPr>
      <w:r>
        <w:t xml:space="preserve">b) Por otro lado, debe tenerse en cuenta que concurre en este proceso lo que hemos denominado “inconstitucionalidad de carácter mediato o indirecto” (por todas, STC 162/2009, de 29 de junio, FJ 2), pues “la infracción del orden constitucional de distribución de competencias derivaría de su contradicción con la norma estatal básica. En consecuencia, para la resolución de la controversia será preciso que la norma estatal infringida tenga el carácter de norma básica, desde la doble perspectiva formal y material. Finalmente, deberá de tomarse como parámetro de control la legislación básica estatal vigente en el momento de dictar la correspondiente Sentencia, y no en el momento de interposición del recurso de </w:t>
      </w:r>
      <w:r>
        <w:lastRenderedPageBreak/>
        <w:t>inconstitucionalidad [por todas, SSTC 1/2003, de 16 de enero, FJ 2; y 26/2012, de 1 de marzo, FJ 2 c)]” (STC 136/2012, de 19 de junio, FJ 2).</w:t>
      </w:r>
    </w:p>
    <w:p w:rsidR="00A90898" w:rsidRDefault="00A90898" w:rsidP="00A90898">
      <w:pPr>
        <w:pStyle w:val="TextoNormal"/>
      </w:pPr>
    </w:p>
    <w:p w:rsidR="00A90898" w:rsidRDefault="00A90898" w:rsidP="00A90898">
      <w:pPr>
        <w:pStyle w:val="TextoNormal"/>
      </w:pPr>
      <w:r w:rsidRPr="00A90898">
        <w:rPr>
          <w:rStyle w:val="NumeroAFNegritaCaracter"/>
        </w:rPr>
        <w:t>3</w:t>
      </w:r>
      <w:r>
        <w:t>. Con la finalidad de encuadrar el objeto de debate —la selección por el Servicio Andaluz de Salud, a través de la correspondiente convocatoria pública, de los medicamentos o productos sanitarios a dispensar por las oficinas de farmacia cuando se prescriban por principio activo o denominación genérica— en la materia correspondiente de entre aquéllas que determinan el orden de competencias en nuestro bloque de la constitucionalidad, es preciso comenzar concretando el marco normativo en el que se desenvuelve la presente controversia, para lo cual debemos partir necesariamente de la normativa estatal.</w:t>
      </w:r>
    </w:p>
    <w:p w:rsidR="00A90898" w:rsidRDefault="00A90898" w:rsidP="00A90898">
      <w:pPr>
        <w:pStyle w:val="TextoNormal"/>
      </w:pPr>
    </w:p>
    <w:p w:rsidR="00A90898" w:rsidRDefault="00A90898" w:rsidP="00A90898">
      <w:pPr>
        <w:pStyle w:val="TextoNormal"/>
      </w:pPr>
      <w:r>
        <w:t>La prestación farmacéutica forma parte del catálogo de prestaciones del sistema nacional de salud (art. 7 de la Ley 16/2003, de 28 de mayo, de cohesión y calidad del sistema nacional de salud, y anexo V del Real Decreto 1030/2006, de 15 de septiembre, por el que se establece la cartera de servicios comunes del sistema nacional de salud y el procedimiento para su actualización), comprendiendo, conforme al art. 16 de la Ley 16/2003, “los medicamentos y productos sanitarios y el conjunto de actuaciones encaminadas a que los pacientes los reciban de forma adecuada a sus necesidades clínicas, en las dosis precisas según sus requerimientos individuales, durante el período de tiempo adecuado y al menor coste posible para ellos y para la comunidad” y añade que “esta prestación se regirá por lo dispuesto en la Ley 25/1990, de 20 de diciembre, del medicamento, y por la normativa en materia de productos sanitarios y demás disposiciones aplicables”. La Ley 25/1990, de 20 de diciembre, del medicamento, fue derogada y sustituida por la Ley 29/2006, de 26 de julio, de garantías y uso racional de los medicamentos y productos sanitarios, que a su vez ha sido derogada y sustituida por el Real Decreto Legislativo 1/2015, de 24 de julio, por el que se aprueba el texto refundido de la Ley de garantías y uso racional de los medicamentos y productos sanitarios, en el que se regula, entre otras cuestiones, la dispensación de los medicamentos de la prestación farmacéutica. El título VIII de este texto legal, titulado “De la financiación pública de los medicamentos y productos sanitarios”, comienza con el art. 91, que refiriéndose al “principio de igualdad territorial y procedimiento coordinado”, reconoce en su apartado 1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Conforme al principio de uso racional de los medicamentos, el Real Decreto Legislativo 1/2015 plantea la ordenación de la prestación farmacéutica bajo el objetivo de que ésta se preste a precios razonables y con un gasto público ajustado mediante la financiación pública selectiva y no indiscriminada y una selectiva contribución de los enfermos.</w:t>
      </w:r>
    </w:p>
    <w:p w:rsidR="00A90898" w:rsidRDefault="00A90898" w:rsidP="00A90898">
      <w:pPr>
        <w:pStyle w:val="TextoNormal"/>
      </w:pPr>
    </w:p>
    <w:p w:rsidR="00A90898" w:rsidRDefault="00A90898" w:rsidP="00A90898">
      <w:pPr>
        <w:pStyle w:val="TextoNormal"/>
      </w:pPr>
      <w:r>
        <w:t>Por lo que se refiere a la dispensación de los medicamentos de la prestación farmacéutica, el artículo 87 del texto refundido aprobado por el Real Decreto Legislativo 1/2015 dispone lo siguiente:</w:t>
      </w:r>
    </w:p>
    <w:p w:rsidR="00A90898" w:rsidRDefault="00A90898" w:rsidP="00A90898">
      <w:pPr>
        <w:pStyle w:val="TextoNormal"/>
      </w:pPr>
    </w:p>
    <w:p w:rsidR="00A90898" w:rsidRDefault="00A90898" w:rsidP="00A90898">
      <w:pPr>
        <w:pStyle w:val="TextoNormal"/>
      </w:pPr>
      <w:r>
        <w:t>“1. La prescripción de medicamentos y productos sanitarios en el sistema nacional de salud se efectuará en la forma más apropiada para el beneficio de los pacientes, a la vez que se protege la sostenibilidad del sistema.</w:t>
      </w:r>
    </w:p>
    <w:p w:rsidR="00A90898" w:rsidRDefault="00A90898" w:rsidP="00A90898">
      <w:pPr>
        <w:pStyle w:val="TextoNormal"/>
      </w:pPr>
    </w:p>
    <w:p w:rsidR="00A90898" w:rsidRDefault="00A90898" w:rsidP="00A90898">
      <w:pPr>
        <w:pStyle w:val="TextoNormal"/>
      </w:pPr>
      <w:r>
        <w:lastRenderedPageBreak/>
        <w:t>2. En el sistema nacional de salud, las prescripciones de medicamentos incluidos en el sistema de precios de referencia o de agrupaciones homogéneas no incluidas en el mismo se efectuarán de acuerdo con el siguiente esquema:</w:t>
      </w:r>
    </w:p>
    <w:p w:rsidR="00A90898" w:rsidRDefault="00A90898" w:rsidP="00A90898">
      <w:pPr>
        <w:pStyle w:val="TextoNormal"/>
      </w:pPr>
    </w:p>
    <w:p w:rsidR="00A90898" w:rsidRDefault="00A90898" w:rsidP="00A90898">
      <w:pPr>
        <w:pStyle w:val="TextoNormal"/>
      </w:pPr>
      <w:r>
        <w:t>a) Para procesos agudos, la prescripción se hará, de forma general, por principio activo.</w:t>
      </w:r>
    </w:p>
    <w:p w:rsidR="00A90898" w:rsidRDefault="00A90898" w:rsidP="00A90898">
      <w:pPr>
        <w:pStyle w:val="TextoNormal"/>
      </w:pPr>
    </w:p>
    <w:p w:rsidR="00A90898" w:rsidRDefault="00A90898" w:rsidP="00A90898">
      <w:pPr>
        <w:pStyle w:val="TextoNormal"/>
      </w:pPr>
      <w:r>
        <w:t>b) Para los procesos crónicos, la primera prescripción, correspondiente a la instauración del primer tratamiento, se hará, de forma general, por principio activo.</w:t>
      </w:r>
    </w:p>
    <w:p w:rsidR="00A90898" w:rsidRDefault="00A90898" w:rsidP="00A90898">
      <w:pPr>
        <w:pStyle w:val="TextoNormal"/>
      </w:pPr>
    </w:p>
    <w:p w:rsidR="00A90898" w:rsidRDefault="00A90898" w:rsidP="00A90898">
      <w:pPr>
        <w:pStyle w:val="TextoNormal"/>
      </w:pPr>
      <w:r>
        <w:t>c) Para los procesos crónicos cuya prescripción se corresponda con la continuidad de tratamiento, podrá realizarse por denominación comercial, siempre y cuando ésta se encuentre incluida en el sistema de precios de referencia o sea la de menor precio dentro de su agrupación homogénea.</w:t>
      </w:r>
    </w:p>
    <w:p w:rsidR="00A90898" w:rsidRDefault="00A90898" w:rsidP="00A90898">
      <w:pPr>
        <w:pStyle w:val="TextoNormal"/>
      </w:pPr>
    </w:p>
    <w:p w:rsidR="00A90898" w:rsidRDefault="00A90898" w:rsidP="00A90898">
      <w:pPr>
        <w:pStyle w:val="TextoNormal"/>
      </w:pPr>
      <w:r>
        <w:t>3. No obstante, la prescripción por denominación comercial de medicamentos será posible siempre y cuando se respete el principio de mayor eficiencia para el sistema y en el caso de los medicamentos considerados como no sustituibles.</w:t>
      </w:r>
    </w:p>
    <w:p w:rsidR="00A90898" w:rsidRDefault="00A90898" w:rsidP="00A90898">
      <w:pPr>
        <w:pStyle w:val="TextoNormal"/>
      </w:pPr>
    </w:p>
    <w:p w:rsidR="00A90898" w:rsidRDefault="00A90898" w:rsidP="00A90898">
      <w:pPr>
        <w:pStyle w:val="TextoNormal"/>
      </w:pPr>
      <w:r>
        <w:t>4. Cuando la prescripción se realice por principio activo, el farmacéutico dispensará el medicamento de precio más bajo de su agrupación homogénea.</w:t>
      </w:r>
    </w:p>
    <w:p w:rsidR="00A90898" w:rsidRDefault="00A90898" w:rsidP="00A90898">
      <w:pPr>
        <w:pStyle w:val="TextoNormal"/>
      </w:pPr>
    </w:p>
    <w:p w:rsidR="00A90898" w:rsidRDefault="00A90898" w:rsidP="00A90898">
      <w:pPr>
        <w:pStyle w:val="TextoNormal"/>
      </w:pPr>
      <w:r>
        <w:t>5. En todo caso, la prescripción de un medicamento para su utilización en condiciones diferentes a las establecidas en su ficha técnica deberá ser autorizada previamente por la comisión responsable de los protocolos terapéuticos u órgano colegiado equivalente en cada comunidad autónoma.”</w:t>
      </w:r>
    </w:p>
    <w:p w:rsidR="00A90898" w:rsidRDefault="00A90898" w:rsidP="00A90898">
      <w:pPr>
        <w:pStyle w:val="TextoNormal"/>
      </w:pPr>
    </w:p>
    <w:p w:rsidR="00A90898" w:rsidRDefault="00A90898" w:rsidP="00A90898">
      <w:pPr>
        <w:pStyle w:val="TextoNormal"/>
      </w:pPr>
      <w:r>
        <w:t>Es decir, conforme a esta norma estatal, la regla general, si bien con las excepciones en ella previstas, será la prescripción de los medicamentos por principio activo, estableciendo además un criterio de dispensación, cuando la prescripción se haya realizado por principio activo, basado exclusivamente en el precio del medicamento de forma que el farmacéutico viene obligado a dispensar aquel de precio más bajo de su agrupación homogénea, criterio este del precio más bajo que también se aplica al régimen de sustitución del medicamento prescrito conforme al art. 89.2 y 5 del texto refundido aprobado por Real Decreto Legislativo 1/2015. En el mismo sentido se pronuncia el art. 60 de la Ley andaluza 22/2007, en cuanto dispone que la dispensación de recetas médicas y órdenes de dispensación de medicamentos y productos sanitarios, se efectuará de acuerdo con lo dispuesto en los artículos 85.1 y 86 de la Ley 29/2006 (actuales arts. 87.1 y 89 del texto refundido aprobado por Real Decreto Legislativo 1/2015).</w:t>
      </w:r>
    </w:p>
    <w:p w:rsidR="00A90898" w:rsidRDefault="00A90898" w:rsidP="00A90898">
      <w:pPr>
        <w:pStyle w:val="TextoNormal"/>
      </w:pPr>
    </w:p>
    <w:p w:rsidR="00A90898" w:rsidRDefault="00A90898" w:rsidP="00A90898">
      <w:pPr>
        <w:pStyle w:val="TextoNormal"/>
      </w:pPr>
      <w:r>
        <w:t xml:space="preserve">Además la financiación pública de los medicamentos se encuentra también sometida al denominado sistema de precios de referencia así como al sistema de precios seleccionados. El primero se regula en el art. 98 del texto refundido aprobado por Real Decreto Legislativo 1/2015, conforme al cual dicho precio de referencia es la cuantía máxima con la que se financiarán las presentaciones de medicamentos incluidas en cada uno de los conjuntos que se determinen, siempre que se prescriban y dispensen con cargo a fondos públicos, entendiendo, a estos efectos, por conjunto la totalidad de las presentaciones de medicamentos que tengan el mismo principio activo e idéntica vía de administración entre las que existirá, al menos, una presentación de medicamento genérico. Este mismo artículo 98 establece que </w:t>
      </w:r>
      <w:r>
        <w:lastRenderedPageBreak/>
        <w:t>deberá garantizarse el abastecimiento a las oficinas de farmacia para los medicamentos de precio menor así como que los medicamentos no podrán superar el precio de referencia del conjunto al que pertenezcan. El segundo se regula en el art. 99 del texto refundido aprobado por Real Decreto Legislativo 1/2015. En esencia este segundo sistema supone, como mecanismo para controlar el gasto y racionalizar aquellos grupos de medicamentos y productos sanitarios que sean de alto consumo, el establecimiento de un procedimiento en cuya virtud se determina un precio máximo de financiación para ciertos medicamentos determinados en atención al consumo del conjunto, su impacto presupuestario, la existencia de, al menos, tres medicamentos en el conjunto así como la inexistencia de riesgo de desabastecimiento. Dicho precio seleccionado tiene una vigencia de dos años y su aplicación determina que aquellos medicamentos que superen el precio máximo financiable quedarán excluidos de la financiación por el sistema nacional de salud e igualmente supondrá la exclusión de la financiación pública de aquellas presentaciones de medicamentos que no resulten seleccionadas, por el tiempo de vigencia del precio seleccionado.</w:t>
      </w:r>
    </w:p>
    <w:p w:rsidR="00A90898" w:rsidRDefault="00A90898" w:rsidP="00A90898">
      <w:pPr>
        <w:pStyle w:val="TextoNormal"/>
      </w:pPr>
    </w:p>
    <w:p w:rsidR="00A90898" w:rsidRDefault="00A90898" w:rsidP="00A90898">
      <w:pPr>
        <w:pStyle w:val="TextoNormal"/>
      </w:pPr>
      <w:r>
        <w:t>Así, y como ya apreciamos en los AATC 95/2011, de 21 de junio, FJ 4; 96/2011, de 21 de junio, FJ 4; y, 147/2012, de 16 de julio, FJ 5, de cuanto venimos exponiendo, se deduce sin dificultad que el importe de la prestación farmacéutica, en tanto que integrante de las prestaciones del Sistema Nacional de Salud, no es un aspecto indiferente a su configuración legal, hasta el punto de que su prestación al menor coste posible es uno de los elementos integrantes de la misma, articulándose su financiación pública mediante un sistema de fijación de precios máximos —el de los denominados precios de referencia— así como otro de precios seleccionados que persigue un declarado objetivo de control del gasto farmacéutico, lo que se complementa con medidas que, tanto en el plano de la prescripción como en el que aquí nos interesa, el de la dispensación, pretenden reforzar la política de promoción de medicamentos genéricos y la consiguiente obtención de ahorros al Sistema Nacional de Salud.</w:t>
      </w:r>
    </w:p>
    <w:p w:rsidR="00A90898" w:rsidRDefault="00A90898" w:rsidP="00A90898">
      <w:pPr>
        <w:pStyle w:val="TextoNormal"/>
      </w:pPr>
    </w:p>
    <w:p w:rsidR="00A90898" w:rsidRDefault="00A90898" w:rsidP="00A90898">
      <w:pPr>
        <w:pStyle w:val="TextoNormal"/>
      </w:pPr>
      <w:r w:rsidRPr="00A90898">
        <w:rPr>
          <w:rStyle w:val="NumeroAFNegritaCaracter"/>
        </w:rPr>
        <w:t>4</w:t>
      </w:r>
      <w:r>
        <w:t>. Una vez descrito el sistema estatal, debemos analizar la norma andaluza impugnada.</w:t>
      </w:r>
    </w:p>
    <w:p w:rsidR="00A90898" w:rsidRDefault="00A90898" w:rsidP="00A90898">
      <w:pPr>
        <w:pStyle w:val="TextoNormal"/>
      </w:pPr>
    </w:p>
    <w:p w:rsidR="00A90898" w:rsidRDefault="00A90898" w:rsidP="00A90898">
      <w:pPr>
        <w:pStyle w:val="TextoNormal"/>
      </w:pPr>
      <w:r>
        <w:t>Con el objetivo de ordenar los servicios y establecimientos farmacéuticos, así como la regulación de los derechos y obligaciones que se deriven de la atención farmacéutica que se presta a la población, la Comunidad Autónoma de Andalucía dictó la Ley 22/2007, de 18 de diciembre, de farmacia de Andalucía. Como consecuencia de la situación de inestabilidad financiera, que obliga a la reducción de los objetivos de déficit, esta Ley ha sido modificada por el Decreto-ley 3/2011, de 13 de diciembre, por el que se aprueban medidas urgentes sobre prestación farmacéutica del sistema sanitario público de Andalucía. La finalidad primordial de este Decreto-ley, como señala expresamente su exposición de motivos, radica en la adopción de medidas que coadyuven en la consecución de los objetivos de reducción del déficit público, a los que la actual coyuntura económica obliga, junto a la necesidad de reforzar y profundizar en la dilatada experiencia del sistema sanitario público de Andalucía sobre prescripción y dispensación de medicamentos por principio activo y de productos sanitarios por denominación genérica, para mejorar el margen de eficiencia en la prestación farmacéutica de la Junta de Andalucía.</w:t>
      </w:r>
    </w:p>
    <w:p w:rsidR="00A90898" w:rsidRDefault="00A90898" w:rsidP="00A90898">
      <w:pPr>
        <w:pStyle w:val="TextoNormal"/>
      </w:pPr>
    </w:p>
    <w:p w:rsidR="00A90898" w:rsidRDefault="00A90898" w:rsidP="00A90898">
      <w:pPr>
        <w:pStyle w:val="TextoNormal"/>
      </w:pPr>
      <w:r>
        <w:t xml:space="preserve">El Decreto-ley 3/2011, de 13 de diciembre, añade los arts. 60 </w:t>
      </w:r>
      <w:r w:rsidRPr="00A90898">
        <w:rPr>
          <w:i/>
        </w:rPr>
        <w:t>bis</w:t>
      </w:r>
      <w:r>
        <w:t xml:space="preserve"> a </w:t>
      </w:r>
      <w:r w:rsidRPr="00A90898">
        <w:rPr>
          <w:i/>
        </w:rPr>
        <w:t>quinquies</w:t>
      </w:r>
      <w:r>
        <w:t xml:space="preserve"> en la Ley 22/2007, de 18 diciembre, de farmacia de Andalucía para introducir un sistema de convocatorias públicas, respetando los principios de libre competencia y transparencia, en las que </w:t>
      </w:r>
      <w:r>
        <w:lastRenderedPageBreak/>
        <w:t>podrán participar todos los laboratorios farmacéuticos interesados o todas las empresas proveedoras de productos sanitarios, para seleccionar los medicamentos o los productos sanitarios a dispensar por las oficinas de farmacia, en el marco de la prestación farmacéutica del sistema sanitario público de Andalucía, cuando se les presente una receta médica oficial u orden de dispensación, en las que el medicamento correspondiente se identifica exclusivamente por la denominación oficial de sus principios activos, o en las que el producto sanitario correspondiente se identifica por su denominación genérica.</w:t>
      </w:r>
    </w:p>
    <w:p w:rsidR="00A90898" w:rsidRDefault="00A90898" w:rsidP="00A90898">
      <w:pPr>
        <w:pStyle w:val="TextoNormal"/>
      </w:pPr>
    </w:p>
    <w:p w:rsidR="00A90898" w:rsidRDefault="00A90898" w:rsidP="00A90898">
      <w:pPr>
        <w:pStyle w:val="TextoNormal"/>
      </w:pPr>
      <w:r>
        <w:t xml:space="preserve">El presente recurso de inconstitucionalidad se dirige contra los apartados 3, 4, 5, 6, 9 y 10 del artículo único del Decreto-ley 3/2011, mediante los que se adicionan a la Ley 22/2007, de 18 de diciembre, de farmacia de Andalucía, los nuevos artículos 60 </w:t>
      </w:r>
      <w:r w:rsidRPr="00A90898">
        <w:rPr>
          <w:i/>
        </w:rPr>
        <w:t>bis, 60 ter, 60 quater, 60 quinquies</w:t>
      </w:r>
      <w:r>
        <w:t>, disposición adicional octava y disposición transitoria sexta. Tales preceptos regulan respectivamente:</w:t>
      </w:r>
    </w:p>
    <w:p w:rsidR="00A90898" w:rsidRDefault="00A90898" w:rsidP="00A90898">
      <w:pPr>
        <w:pStyle w:val="TextoNormal"/>
      </w:pPr>
    </w:p>
    <w:p w:rsidR="00A90898" w:rsidRDefault="00A90898" w:rsidP="00A90898">
      <w:pPr>
        <w:pStyle w:val="TextoNormal"/>
      </w:pPr>
      <w:r>
        <w:t xml:space="preserve">— La determinación de los medicamentos a dispensar cuando se prescriban o indiquen por principio activo, que se realizará mediante convocatorias públicas para la selección del medicamento que deberá ser dispensado por las oficinas de farmacia cuando se les presente una receta médica u orden de dispensación y que recaerá sobre el medicamento que, teniendo un precio autorizado igual o inferior al precio menor correspondiente establecido en el Sistema Nacional de Salud, ofrezca un menor coste final de la prescripción correspondiente. Para los cálculos oportunos se tendrá en cuenta la diferencia entre el precio autorizado de cada medicamento y la cuantía de la mejora económica ofrecida al Servicio Andaluz de Salud por el laboratorio farmacéutico, sin que las mejoras económicas ofrecidas puedan afectar a los precios autorizados de los medicamentos seleccionados. En todo caso, si el precio menor de referencia para un medicamento seleccionado cambiara durante el plazo de vigencia del convenio, el laboratorio farmacéutico deberá ajustar, si fuese necesario, el precio autorizado de dicho medicamento para mantenerlo igual o por debajo del nuevo precio menor, sin que ello pueda afectar a la cuantía de la mejora económica que venía realizando al Servicio Andaluz de Salud (art. 60 </w:t>
      </w:r>
      <w:r w:rsidRPr="00A90898">
        <w:rPr>
          <w:i/>
        </w:rPr>
        <w:t>bis</w:t>
      </w:r>
      <w:r>
        <w:t xml:space="preserve"> de la Ley 22/2007).</w:t>
      </w:r>
    </w:p>
    <w:p w:rsidR="00A90898" w:rsidRDefault="00A90898" w:rsidP="00A90898">
      <w:pPr>
        <w:pStyle w:val="TextoNormal"/>
      </w:pPr>
    </w:p>
    <w:p w:rsidR="00A90898" w:rsidRDefault="00A90898" w:rsidP="00A90898">
      <w:pPr>
        <w:pStyle w:val="TextoNormal"/>
      </w:pPr>
      <w:r>
        <w:t xml:space="preserve">— La selección de los productos sanitarios a dispensar cuando se prescriban por denominación genérica, que se hará mediante convocatoria pública para la elección del producto sanitario que deberán dispensar las oficinas de farmacia cuando se les presente receta médica u orden de dispensación y que atenderá al menor coste final de prescripción de los productos, calculado en atención a la diferencia entre el precio autorizado, si tiene establecido precio menor de referencia en el Sistema Nacional de Salud, o, en su defecto, el precio máximo de facturación correspondiente fijado en la forma prevista en la disposición transitoria sexta añadida por el punto 10 del Decreto-ley, y la cuantía de la mejora económica para el Servicio Andaluz de Salud (art. 60 </w:t>
      </w:r>
      <w:r w:rsidRPr="00A90898">
        <w:rPr>
          <w:i/>
        </w:rPr>
        <w:t>ter</w:t>
      </w:r>
      <w:r>
        <w:t xml:space="preserve"> de la Ley 22/2007).</w:t>
      </w:r>
    </w:p>
    <w:p w:rsidR="00A90898" w:rsidRDefault="00A90898" w:rsidP="00A90898">
      <w:pPr>
        <w:pStyle w:val="TextoNormal"/>
      </w:pPr>
    </w:p>
    <w:p w:rsidR="00A90898" w:rsidRDefault="00A90898" w:rsidP="00A90898">
      <w:pPr>
        <w:pStyle w:val="TextoNormal"/>
      </w:pPr>
      <w:r>
        <w:t xml:space="preserve">— Los convenios a suscribir por el Servicio Andaluz de Salud con los laboratorios farmacéuticos o las empresas proveedoras de productos sanitarios seleccionados, que no pueden tener en ningún caso un plazo de vigencia superior a dos años (art. 60 </w:t>
      </w:r>
      <w:r w:rsidRPr="00A90898">
        <w:rPr>
          <w:i/>
        </w:rPr>
        <w:t>quater</w:t>
      </w:r>
      <w:r>
        <w:t xml:space="preserve"> de la Ley 22/2007).</w:t>
      </w:r>
    </w:p>
    <w:p w:rsidR="00A90898" w:rsidRDefault="00A90898" w:rsidP="00A90898">
      <w:pPr>
        <w:pStyle w:val="TextoNormal"/>
      </w:pPr>
    </w:p>
    <w:p w:rsidR="00A90898" w:rsidRDefault="00A90898" w:rsidP="00A90898">
      <w:pPr>
        <w:pStyle w:val="TextoNormal"/>
      </w:pPr>
      <w:r>
        <w:t xml:space="preserve">— La dispensación de medicamentos y productos seleccionados por las oficinas de farmacia (art. 60 </w:t>
      </w:r>
      <w:r w:rsidRPr="00A90898">
        <w:rPr>
          <w:i/>
        </w:rPr>
        <w:t>quinquies</w:t>
      </w:r>
      <w:r>
        <w:t xml:space="preserve"> Ley de la 22/2007).</w:t>
      </w:r>
    </w:p>
    <w:p w:rsidR="00A90898" w:rsidRDefault="00A90898" w:rsidP="00A90898">
      <w:pPr>
        <w:pStyle w:val="TextoNormal"/>
      </w:pPr>
    </w:p>
    <w:p w:rsidR="00A90898" w:rsidRDefault="00A90898" w:rsidP="00A90898">
      <w:pPr>
        <w:pStyle w:val="TextoNormal"/>
      </w:pPr>
      <w:r>
        <w:lastRenderedPageBreak/>
        <w:t>— La elaboración de una propuesta de convenio tipo entre el Servicio Andaluz de Salud y los laboratorios farmacéuticas o empresas seleccionadas (disposición adicional octava de la Ley 22/2007).</w:t>
      </w:r>
    </w:p>
    <w:p w:rsidR="00A90898" w:rsidRDefault="00A90898" w:rsidP="00A90898">
      <w:pPr>
        <w:pStyle w:val="TextoNormal"/>
      </w:pPr>
    </w:p>
    <w:p w:rsidR="00A90898" w:rsidRDefault="00A90898" w:rsidP="00A90898">
      <w:pPr>
        <w:pStyle w:val="TextoNormal"/>
      </w:pPr>
      <w:r>
        <w:t>— La regulación transitoria de los precios máximos de facturación de productos sanitarios correspondiendo al Servicio Andaluz de Salud, en tanto que no se establezca un precio menor para cada tipo de producto sanitario incluido en la prestación farmacéutica del Sistema Nacional de Salud, la fijación de su precio máximo a efectos de facturación, precio máximo por el encima del cual no podrá facturarse al Servicio Andaluz de Salud, con independencia de cuál sea el precio de venta al público del producto dispensado por la oficina de farmacia (disposición transitoria sexta de la Ley 22/2007).</w:t>
      </w:r>
    </w:p>
    <w:p w:rsidR="00A90898" w:rsidRDefault="00A90898" w:rsidP="00A90898">
      <w:pPr>
        <w:pStyle w:val="TextoNormal"/>
      </w:pPr>
    </w:p>
    <w:p w:rsidR="00A90898" w:rsidRDefault="00A90898" w:rsidP="00A90898">
      <w:pPr>
        <w:pStyle w:val="TextoNormal"/>
      </w:pPr>
      <w:r w:rsidRPr="00A90898">
        <w:rPr>
          <w:rStyle w:val="NumeroAFNegritaCaracter"/>
        </w:rPr>
        <w:t>5</w:t>
      </w:r>
      <w:r>
        <w:t>. Partiendo del contenido de los preceptos citados nos encontramos con que la titularidad de la materia discutida, esto es, la selección por el Servicio Andaluz de Salud, a través de la correspondiente convocatoria pública, de los medicamentos o productos sanitarios a dispensar por las oficinas de farmacia cuando se prescriban por principio activo o denominación genérica, se encaja por el Abogado del Estado en los títulos competenciales de las reglas 1, 16 y 17 del art. 149.1 CE, ya sea como condición básica del ejercicio de un derecho constitucional (el derecho a la salud), ya lo sea como bases y coordinación general de la sanidad, como legislación sobre productos farmacéuticos, o, en fin, como régimen económico de la Seguridad Social.</w:t>
      </w:r>
    </w:p>
    <w:p w:rsidR="00A90898" w:rsidRDefault="00A90898" w:rsidP="00A90898">
      <w:pPr>
        <w:pStyle w:val="TextoNormal"/>
      </w:pPr>
    </w:p>
    <w:p w:rsidR="00A90898" w:rsidRDefault="00A90898" w:rsidP="00A90898">
      <w:pPr>
        <w:pStyle w:val="TextoNormal"/>
      </w:pPr>
      <w:r>
        <w:t>Por lo que se refiere al título competencial relativo a la “legislación sobre productos farmacéuticos” (de competencia exclusiva del Estado conforme al 149.1.16 CE), siguiendo lo dispuesto en la STC 211/2014, de 18 de diciembre, FJ 3, debemos descartarlo desde el primer momento al no formar parte los preceptos impugnados “de ese conjunto de normas que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 Ciertamente, al igual que afirmamos en la STC 98/2004, de 25 de mayo, en relación con la incardinación competencial de la normativa reguladora de los precios de referencia de las diferentes especialidades farmacéuticas y, reiteramos en las SSTC 211/2014, de 18 de diciembre y 6/2015, de 22 de enero, en relación con la creación de un catálogo priorizado de productos farmacéuticos en la Comunidad Autónoma de Galicia, la norma andaluza no regula el medicamento en el sentido apuntado, sino que lo contempla en su dimensión de “prestación sanitaria” del sistema de salud, al abordar la regulación de la selección de los medicamentos o productos sanitarios a dispensar por las oficinas de farmacia cuando se indiquen por principio activo o denominación genérica.</w:t>
      </w:r>
    </w:p>
    <w:p w:rsidR="00A90898" w:rsidRDefault="00A90898" w:rsidP="00A90898">
      <w:pPr>
        <w:pStyle w:val="TextoNormal"/>
      </w:pPr>
    </w:p>
    <w:p w:rsidR="00A90898" w:rsidRDefault="00A90898" w:rsidP="00A90898">
      <w:pPr>
        <w:pStyle w:val="TextoNormal"/>
      </w:pPr>
      <w:r>
        <w:t xml:space="preserve">Debemos descartar también que la normativa impugnada pueda incardinarse en la materia competencial Seguridad Social y, en concreto, que se refiera al título competencial estatal relativo al “régimen económico de la Seguridad Social”. En efecto, dado que los preceptos aquí impugnados afectan a la dispensación de medicamentos y productos sanitarios, es decir, al contenido de una de las prestaciones (los medicamentos y productos sanitarios) proporcionadas por el Sistema Nacional de Salud, nuestro control de la constitucionalidad determina que el marco conceptual y competencial específico aplicable aquí sea el de la sanidad (art. 149.1.16 CE) y no el de la Seguridad Social (art. 149.1.17 CE). En efecto, </w:t>
      </w:r>
      <w:r>
        <w:lastRenderedPageBreak/>
        <w:t>como afirmamos en la STC 98/2004, de 25 de mayo, FJ 4,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salud de acuerdo con las concretas necesidades clínicas de los usuarios)”, siendo esta última a la que los preceptos impugnados se refieren, al regular uno de los aspectos que garantizan el acceso a ella a través de la dispensación del medicamento.</w:t>
      </w:r>
    </w:p>
    <w:p w:rsidR="00A90898" w:rsidRDefault="00A90898" w:rsidP="00A90898">
      <w:pPr>
        <w:pStyle w:val="TextoNormal"/>
      </w:pPr>
    </w:p>
    <w:p w:rsidR="00A90898" w:rsidRDefault="00A90898" w:rsidP="00A90898">
      <w:pPr>
        <w:pStyle w:val="TextoNormal"/>
      </w:pPr>
      <w:r>
        <w:t>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competencial relativo a ella (art. 149.1.17 CE)” (STC 98/2004, de 25 de mayo, FJ 5). Como acabamos de decir, los preceptos impugnados no se circunscriben a la asistencia sanitaria que es dispensada por el sistema de Seguridad Social a favor de los beneficiarios que se encuentran dentro de su campo de aplicación, sino, más ampliamente, al contenido de una prestación sanitaria (medicamentos y productos sanitarios) proporcionada por el Sistema Nacional de Salud a todos los ciudadanos. En este sentido, se aprecia que la norma andaluza “no afecta al régimen económico de la Seguridad Social, ni a sus recursos financieros, ni a la vigencia del principio de ‘caja única’ por el que se rige” (STC 98/2004, de 25 de mayo, FJ 5). Por tanto, y puesto que no se afecta de forma directa al régimen económico de la Seguridad Social debemos concluir que el ámbito material más estrechamente relacionado con la controversia constitucional es la sanidad.</w:t>
      </w:r>
    </w:p>
    <w:p w:rsidR="00A90898" w:rsidRDefault="00A90898" w:rsidP="00A90898">
      <w:pPr>
        <w:pStyle w:val="TextoNormal"/>
      </w:pPr>
    </w:p>
    <w:p w:rsidR="00A90898" w:rsidRDefault="00A90898" w:rsidP="00A90898">
      <w:pPr>
        <w:pStyle w:val="TextoNormal"/>
      </w:pPr>
      <w:r>
        <w:t>Y ello determina que, al igual que en la STC 211/2014, de 18 de diciembre, la norma impugnada haya de someterse al contraste con los arts. 87 y 91 del Real Decreto Legislativo 1/2015 —arts. 85 y 88 de la Ley 29/2006, de 26 de julio, de garantías y uso racional de los medicamentos—, sin que se oponga a esta conclusión el que dichos preceptos se hayan dictado, el primero con la condición de legislación sobre productos farmacéuticos, al amparo del art. 149.1.16 de la Constitución, y el segundo al amparo del art. 149.1.17 de la Constitución, que atribuye al Estado competencia exclusiva en materia de régimen económico de la Seguridad Social (disposición final primera 1 y 3 del Real Decreto Legislativo 1/2015), pues hemos declarado repetidamente que “al margen de cualesquiera otras posibles consideraciones sobre la capacidad del legislador estatal en orden a la interpretación de preceptos constitucionales o la delimitación de competencias entre el Estado y las Comunidades Autónomas, que la calificación de las competencias ejercidas por dicho legislador contenidas en una norma dictada por el mismo no puede vincular a este Tribunal, intérprete supremo de la Constitución (art. 1 LOTC)” (SSTC 114/1985, de 25 de octubre, FJ 1, y 6/2014, de 27 de enero, FJ 5).</w:t>
      </w:r>
    </w:p>
    <w:p w:rsidR="00A90898" w:rsidRDefault="00A90898" w:rsidP="00A90898">
      <w:pPr>
        <w:pStyle w:val="TextoNormal"/>
      </w:pPr>
    </w:p>
    <w:p w:rsidR="00A90898" w:rsidRDefault="00A90898" w:rsidP="00A90898">
      <w:pPr>
        <w:pStyle w:val="TextoNormal"/>
      </w:pPr>
      <w:r>
        <w:lastRenderedPageBreak/>
        <w:t>Asimismo ha de subrayarse que, como ya hemos advertido, dichos preceptos han experimentado diversas modificaciones desde que se interpuso el presente recurso de inconstitucionalidad, por lo que nuestro análisis debe partir de su redacción vigente en este momento, teniendo en cuenta nuestra reiterada doctrina que declara que en los supuestos de inconstitucionalidad mediata, como es el que ahora nos ocupa, el contraste de la legislación autonómica con la legislación básica estatal debe llevarse a cabo teniendo en cuenta la legislación estatal vigente en el momento de realizar ese enjuiciamiento (SSTC 161/2014, de 7 de octubre, y 171/2014, de 23 de octubre).</w:t>
      </w:r>
    </w:p>
    <w:p w:rsidR="00A90898" w:rsidRDefault="00A90898" w:rsidP="00A90898">
      <w:pPr>
        <w:pStyle w:val="TextoNormal"/>
      </w:pPr>
    </w:p>
    <w:p w:rsidR="00A90898" w:rsidRDefault="00A90898" w:rsidP="00A90898">
      <w:pPr>
        <w:pStyle w:val="TextoNormal"/>
      </w:pPr>
      <w:r>
        <w:t>Por último, en cuanto a la competencia estatal del art. 149.1.1 CE también invocada por el Abogado del Estado, ya establecimos que “dada la función uniformadora que ha de cumplir la normativa básica, ha de señalarse que tal competencia [del art. 149.1.1 CE] queda absorbida por la que le corresponde al Estado en la regulación de las bases de la sanidad, que es más específica y puede dotarse también de un mayor contenido” (STC 109/2003, de 5 de junio, FJ 3).</w:t>
      </w:r>
    </w:p>
    <w:p w:rsidR="00A90898" w:rsidRDefault="00A90898" w:rsidP="00A90898">
      <w:pPr>
        <w:pStyle w:val="TextoNormal"/>
      </w:pPr>
    </w:p>
    <w:p w:rsidR="00A90898" w:rsidRDefault="00A90898" w:rsidP="00A90898">
      <w:pPr>
        <w:pStyle w:val="TextoNormal"/>
      </w:pPr>
      <w:r w:rsidRPr="00A90898">
        <w:rPr>
          <w:rStyle w:val="NumeroAFNegritaCaracter"/>
        </w:rPr>
        <w:t>6</w:t>
      </w:r>
      <w:r>
        <w:t>. Una vez que hemos concluido que la materia competencial en la que debe encuadrarse la regulación cuestionada es la relativa a sanidad, es preciso examinar las competencias que sobre la misma tienen tanto el Estado como la Comunidad Autónoma de Andalucía.</w:t>
      </w:r>
    </w:p>
    <w:p w:rsidR="00A90898" w:rsidRDefault="00A90898" w:rsidP="00A90898">
      <w:pPr>
        <w:pStyle w:val="TextoNormal"/>
      </w:pPr>
    </w:p>
    <w:p w:rsidR="00A90898" w:rsidRDefault="00A90898" w:rsidP="00A90898">
      <w:pPr>
        <w:pStyle w:val="TextoNormal"/>
      </w:pPr>
      <w:r>
        <w:t>Por lo que al Estado respecta, el art. 149.1.16 CE le reconoce competencia exclusiva tanto sobre la “sanidad exterior” como sobre las “bases y coordinación general de la sanidad”. Por su parte, el Estatuto de Autonomía de Andalucía, aprobado por Ley Orgánica 2/2007, de 19 de marzo, establece en su art. 55.2 que corresponde a la Comunidad Autónoma de Andalucía la competencia compartida en materia de sanidad interior.</w:t>
      </w:r>
    </w:p>
    <w:p w:rsidR="00A90898" w:rsidRDefault="00A90898" w:rsidP="00A90898">
      <w:pPr>
        <w:pStyle w:val="TextoNormal"/>
      </w:pPr>
    </w:p>
    <w:p w:rsidR="00A90898" w:rsidRDefault="00A90898" w:rsidP="00A90898">
      <w:pPr>
        <w:pStyle w:val="TextoNormal"/>
      </w:pPr>
      <w:r>
        <w:t>En relación con este marco competencial, es preciso recordar que “corresponden al Estado en materia de sanidad interior las bases, la coordinación general y la alta inspección” (STC 32/1983, de 28 de abril, FJ 2).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w:t>
      </w:r>
    </w:p>
    <w:p w:rsidR="00A90898" w:rsidRDefault="00A90898" w:rsidP="00A90898">
      <w:pPr>
        <w:pStyle w:val="TextoNormal"/>
      </w:pPr>
    </w:p>
    <w:p w:rsidR="00A90898" w:rsidRDefault="00A90898" w:rsidP="00A90898">
      <w:pPr>
        <w:pStyle w:val="TextoNormal"/>
      </w:pPr>
      <w:r>
        <w:t xml:space="preserve">Por lo que se refiere específicamente a la materia sanidad hemos señalado en la STC 98/2004, de 25 de mayo, FJ 7, que,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w:t>
      </w:r>
      <w:r>
        <w:lastRenderedPageBreak/>
        <w:t>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w:t>
      </w:r>
    </w:p>
    <w:p w:rsidR="00A90898" w:rsidRDefault="00A90898" w:rsidP="00A90898">
      <w:pPr>
        <w:pStyle w:val="TextoNormal"/>
      </w:pPr>
    </w:p>
    <w:p w:rsidR="00A90898" w:rsidRDefault="00A90898" w:rsidP="00A90898">
      <w:pPr>
        <w:pStyle w:val="TextoNormal"/>
      </w:pPr>
      <w:r w:rsidRPr="00A90898">
        <w:rPr>
          <w:rStyle w:val="NumeroAFNegritaCaracter"/>
        </w:rPr>
        <w:t>7</w:t>
      </w:r>
      <w:r>
        <w:t>. Como venimos señalando, la selección de medicamentos y productos sanitarios por el Servicio Andaluz de Salud mediante un sistema de convocatoria pública afecta a la dispensación de productos farmacéuticos. De conformidad con lo dispuesto en los preceptos impugnados, cuando un medicamento se prescriba por principio activo y un producto sanitario se prescriba por denominación genérica, las oficinas de farmacia deberán dispensar el medicamento o producto sanitario seleccionado por el Servicio Andaluz de Salud tras la correspondiente convocatoria pública. En consecuencia, debemos precisar, partiendo de la doctrina constitucional expuesta, si la dispensación de prestaciones farmacéuticas constituye un criterio básico en materia de sanidad. Y la respuesta a esta cuestión debe ser afirmativa tal y como hemos mantenido en la STC 211/2014, de 18 de diciembre. En efecto, la prescripción y dispensación de medicamentos constituye un criterio básico en materia de sanidad, en primer lugar, “porque se satisfacen las exigencias formales de la legislación básica por la inclusión de esta materia en una norma de rango legal, la Ley 29/2006, de 26 de julio. Y, en segundo lugar, porque se satisfacen las exigencias materiales de la legislación básica, pues la prescripción y dispensación de medicamentos es, ciertamente, un aspecto esencial o nuclear de la regulación de la prestación farmacéutica, al ser un presupuesto necesario para el acceso de los ciudadanos a los medicamentos en condiciones de igualdad. Partiendo del carácter básico de la materia en cuestión dentro del marco normativo que regula la sanidad, forzosamente se ha de afirmar que es al Estado al que corresponde su regulación, en tanto que el art. 149.1.16 CE le otorga la competencia exclusiva sobre las bases y coordinación general de la sanidad” (STC 211/2014, de 18 de diciembre, FJ 5).</w:t>
      </w:r>
    </w:p>
    <w:p w:rsidR="00A90898" w:rsidRDefault="00A90898" w:rsidP="00A90898">
      <w:pPr>
        <w:pStyle w:val="TextoNormal"/>
      </w:pPr>
    </w:p>
    <w:p w:rsidR="00A90898" w:rsidRDefault="00A90898" w:rsidP="00A90898">
      <w:pPr>
        <w:pStyle w:val="TextoNormal"/>
      </w:pPr>
      <w:r>
        <w:t xml:space="preserve">De esta forma, como señala la STC 98/2004, de 25 de mayo, FJ 7, “se garantiza una uniformidad mínima en las condiciones de acceso a los medicamentos con independencia del lugar en el que dentro del territorio nacional se resida y se evita la introducción de factores de desigualdad en la protección básica de la salud. Sin embargo,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Efectivamente,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w:t>
      </w:r>
      <w:r>
        <w:lastRenderedPageBreak/>
        <w:t>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Lo expuesto se concreta en el art. 23 de la propia Ley 16/2003, que establece que todos los usuarios del Sistema Nacional de Salud tendrán acceso a las prestaciones sanitarias en ella reconocidas en condiciones de igualdad efectiva. Y siendo una de las citadas prestaciones el medicamento, es evidente que el acceso al mismo en condiciones de igualdad presupone necesariamente una regulación uniforme mínima y de vigencia en todo el territorio español”.</w:t>
      </w:r>
    </w:p>
    <w:p w:rsidR="00A90898" w:rsidRDefault="00A90898" w:rsidP="00A90898">
      <w:pPr>
        <w:pStyle w:val="TextoNormal"/>
      </w:pPr>
    </w:p>
    <w:p w:rsidR="00A90898" w:rsidRDefault="00A90898" w:rsidP="00A90898">
      <w:pPr>
        <w:pStyle w:val="TextoNormal"/>
      </w:pPr>
      <w:r w:rsidRPr="00A90898">
        <w:rPr>
          <w:rStyle w:val="NumeroAFNegritaCaracter"/>
        </w:rPr>
        <w:t>8</w:t>
      </w:r>
      <w:r>
        <w:t>. Sentado lo anterior, procede ahora determinar, en qué medida la selección por el Servicio Andaluz de Salud, a través de la correspondiente convocatoria pública, del medicamento o producto sanitario a dispensar por las oficinas de farmacia cuando se prescriba por principio activo o denominación genérica supone una modificación del sistema de dispensación previsto con carácter general en el Real Decreto Legislativo 1/2015, de 24 de julio, y conlleva, como sostiene el Abogado del Estado, una restricción del ámbito objetivo de la dispensación de los medicamentos en una parte del territorio del Estado.</w:t>
      </w:r>
    </w:p>
    <w:p w:rsidR="00A90898" w:rsidRDefault="00A90898" w:rsidP="00A90898">
      <w:pPr>
        <w:pStyle w:val="TextoNormal"/>
      </w:pPr>
    </w:p>
    <w:p w:rsidR="00A90898" w:rsidRDefault="00A90898" w:rsidP="00A90898">
      <w:pPr>
        <w:pStyle w:val="TextoNormal"/>
      </w:pPr>
      <w:r>
        <w:t>Según el art. 91.1 del texto refundido aprobado por Real Decreto Legislativo 1/2015, el derecho de todos los ciudadanos a obtener medicamentos en condiciones de igualdad en todo el Sistema Nacional de Salud, se reconoce “sin perjuicio de las medidas tendentes a racionalizar la prescripción y la utilización de medicamentos y productos sanitarios que puedan adoptar las Comunidades Autónomas en ejercicio de sus competencias”, de tal modo que, no estando discutidas las competencias de la Comunidad Autónoma de Andalucía en materia de sanidad, “la cuestión se reduce a valorar si en su ejercicio ha desbordado los límites que impone el citado precepto de la Ley estatal” (STC 211/2014, de 18 de diciembre, FJ 6), que, en cuanto aquí importa, se concretan en que la selección de un único medicamento para cada formulación de principio activo y de un único producto sanitario para cada grupo o tipo de producto sanitario o conjunto de intercambio no produzca diferencias en las condiciones de acceso a los medicamentos y productos sanitarios financiados por el Sistema Nacional de Salud, catálogo de prestaciones y precio.</w:t>
      </w:r>
    </w:p>
    <w:p w:rsidR="00A90898" w:rsidRDefault="00A90898" w:rsidP="00A90898">
      <w:pPr>
        <w:pStyle w:val="TextoNormal"/>
      </w:pPr>
    </w:p>
    <w:p w:rsidR="00A90898" w:rsidRDefault="00A90898" w:rsidP="00A90898">
      <w:pPr>
        <w:pStyle w:val="TextoNormal"/>
      </w:pPr>
      <w:r>
        <w:t>En materia de dispensación de prestaciones farmacéuticas, debemos distinguir entre la dispensación de medicamentos y la dispensación de productos sanitarios, pues la normativa estatal prevé reglas distintas en cada caso.</w:t>
      </w:r>
    </w:p>
    <w:p w:rsidR="00A90898" w:rsidRDefault="00A90898" w:rsidP="00A90898">
      <w:pPr>
        <w:pStyle w:val="TextoNormal"/>
      </w:pPr>
    </w:p>
    <w:p w:rsidR="00A90898" w:rsidRDefault="00A90898" w:rsidP="00A90898">
      <w:pPr>
        <w:pStyle w:val="TextoNormal"/>
      </w:pPr>
      <w:r>
        <w:t xml:space="preserve">Así, por lo que se refiere en primer lugar a la dispensación de medicamentos, a partir de la publicación del Real Decreto-ley 9/2011, de 19 de agosto, de medidas para la mejora de la calidad y cohesión del Sistema Nacional de Salud, de contribución a la consolidación fiscal, y de elevación del importe máximo de los avales del Estado para 2011, se ha establecido como norma general la prescripción por principio activo en el Sistema Nacional de Salud y la dispensación por el farmacéutico del medicamento de menor precio, de acuerdo con las agrupaciones homogéneas establecidas por el Ministerio de Sanidad. Como ya hemos señalado, cuando la prescripción se realice por principio activo, el farmacéutico dispensará el medicamento de precio más bajo de su agrupación homogénea (art. 87.4 del texto refundido aprobado por Real Decreto Legislativo 1/2015). Con carácter excepcional, </w:t>
      </w:r>
      <w:r>
        <w:lastRenderedPageBreak/>
        <w:t>cuando por causa de desabastecimiento no se disponga en la oficina de farmacia del medicamento prescrito o concurran razones de urgente necesidad en su dispensación, el farmacéutico podrá sustituirlo por el de menor precio. En todo caso, deberá tener igual composición, forma farmacéutica, vía de administración y dosificación. El farmacéutico informará al paciente sobre la sustitución y se asegurará de que conozca el tratamiento prescrito por el médico. Quedarán exceptuados de esta posibilidad de sustitución aquellos medicamentos que, por razón de sus características de biodisponibilidad y estrecho rango terapéutico, determine el Ministerio de Sanidad y Consumo (arts. 89.2 y 89.4 del texto refundido aprobado por Real Decreto Legislativo 1/2015).</w:t>
      </w:r>
    </w:p>
    <w:p w:rsidR="00A90898" w:rsidRDefault="00A90898" w:rsidP="00A90898">
      <w:pPr>
        <w:pStyle w:val="TextoNormal"/>
      </w:pPr>
    </w:p>
    <w:p w:rsidR="00A90898" w:rsidRDefault="00A90898" w:rsidP="00A90898">
      <w:pPr>
        <w:pStyle w:val="TextoNormal"/>
      </w:pPr>
      <w:r>
        <w:t>Por su parte, en la Comunidad Autónoma de Andalucía de entre los medicamentos comercializados que tengan un precio autorizado igual o inferior al precio menor correspondiente establecido en el Sistema Nacional de Salud, el Servicio Andaluz de Salud seleccionará, mediante la correspondiente convocatoria pública, aquél que deberá ser dispensado por el farmacéutico cuando se le presente una receta médica u orden de dispensación, sin que en ningún caso las mejoras económicas que los laboratorios farmacéuticos ofrezcan al Servicio Andaluz de Salud afecten a los precios de los medicamentos seleccionados. Así, la oficina de farmacia sólo podrá dispensar el medicamento perteneciente al laboratorio farmacéutico que ha sido seleccionado en primer lugar y con el que el Servicio Andaluz de Salud habrá suscrito el correspondiente convenio. Es decir, en Andalucía respecto de los medicamentos sometidos a convocatoria pública, la selección de los medicamentos a dispensar cuando se prescriban por principio activo no la hace la oficina de farmacia, sino que la selección la hace el Servicio Andaluz de Salud. En el sistema estatal, por el contrario, es el farmacéutico el que hace la selección, debiendo dispensar, en caso de que existan varios, el medicamento de precio más bajo de su agrupación homogénea.</w:t>
      </w:r>
    </w:p>
    <w:p w:rsidR="00A90898" w:rsidRDefault="00A90898" w:rsidP="00A90898">
      <w:pPr>
        <w:pStyle w:val="TextoNormal"/>
      </w:pPr>
    </w:p>
    <w:p w:rsidR="00A90898" w:rsidRDefault="00A90898" w:rsidP="00A90898">
      <w:pPr>
        <w:pStyle w:val="TextoNormal"/>
      </w:pPr>
      <w:r>
        <w:t>De este modo, el destinatario de la prestación farmacéutica va a recibir en todo caso el medicamento de precio más bajo, tal y como prevé la norma estatal, la única diferencia es que en Andalucía la selección del precio más bajo la hace el Servicio Andaluz de Salud y en el resto del Estado la hace el farmacéutico, sin que ello suponga perjuicio alguno para el destinatario.</w:t>
      </w:r>
    </w:p>
    <w:p w:rsidR="00A90898" w:rsidRDefault="00A90898" w:rsidP="00A90898">
      <w:pPr>
        <w:pStyle w:val="TextoNormal"/>
      </w:pPr>
    </w:p>
    <w:p w:rsidR="00A90898" w:rsidRDefault="00A90898" w:rsidP="00A90898">
      <w:pPr>
        <w:pStyle w:val="TextoNormal"/>
      </w:pPr>
      <w:r>
        <w:t>Afirma el Abogado del Estado que en Andalucía quedan fuera de la cartera de servicios comunes de la prestación farmacéutica aprobada por el Sistema Nacional de Salud, las restantes presentaciones y productos que figuran en el nomenclátor estatal y que, sin embargo, no resulten seleccionadas a través del correspondiente concurso. Pero a este respecto hemos de señalar, por un lado, que la inclusión de un medicamento en ese nomenclátor es condición necesaria pero insuficiente para su financiación en cada caso concreto, pues a ello ha de añadirse que para su dispensación es preciso que se trate del medicamento de menor precio dentro de los incluidos en la correspondiente agrupación homogénea, y, por otro que, en la actualidad, y como consecuencia de la aprobación del sistema de precios seleccionados por el Real Decreto-ley 16/2012, de 20 de abril, de medidas urgentes para garantizar la sostenibilidad del Sistema Nacional de Salud y mejorar la calidad y seguridad de sus prestaciones, recogido en el art. 99 del texto refundido aprobado por Real Decreto Legislativo 1/2015, la normativa estatal también excluye de la financiación por el Sistema Nacional de Salud a los medicamentos y/o productos sanitarios que superen el precio máximo financiable seleccionado a pesar de figurar en el nomenclátor.</w:t>
      </w:r>
    </w:p>
    <w:p w:rsidR="00A90898" w:rsidRDefault="00A90898" w:rsidP="00A90898">
      <w:pPr>
        <w:pStyle w:val="TextoNormal"/>
      </w:pPr>
    </w:p>
    <w:p w:rsidR="00A90898" w:rsidRDefault="00A90898" w:rsidP="00A90898">
      <w:pPr>
        <w:pStyle w:val="TextoNormal"/>
      </w:pPr>
      <w:r>
        <w:lastRenderedPageBreak/>
        <w:t>En consecuencia, debemos afirmar que la selección por el Servicio Andaluz de Salud, a través de la correspondiente convocatoria pública, de los medicamentos a dispensar por las oficinas de farmacia no establece diferencias en las condiciones de acceso a los medicamentos financiados por el Sistema Nacional de Salud, catálogo y precios.</w:t>
      </w:r>
    </w:p>
    <w:p w:rsidR="00A90898" w:rsidRDefault="00A90898" w:rsidP="00A90898">
      <w:pPr>
        <w:pStyle w:val="TextoNormal"/>
      </w:pPr>
    </w:p>
    <w:p w:rsidR="00A90898" w:rsidRDefault="00A90898" w:rsidP="00A90898">
      <w:pPr>
        <w:pStyle w:val="TextoNormal"/>
      </w:pPr>
      <w:r>
        <w:t>Por lo que se refiere, en segundo lugar, a la dispensación de los productos sanitarios, el Real Decreto Legislativo 1/2015 no prevé reglas específicas. Antes de la modificación que en esta materia introdujo el Real Decreto-ley 16/2012, de 20 de abril, de medidas urgentes para garantizar la sostenibilidad del sistema nacional de salud y mejorar la calidad y seguridad de sus prestaciones, la Ley 29/2006, de 26 de julio, de garantías y uso racional de los medicamentos y productos sanitarios, preveía en su art. 85.1 que “en los productos sanitarios para pacientes no hospitalizados que requieran para su dispensación en oficina de farmacia receta médica oficial u orden de dispensación, del Sistema Nacional de Salud, la prescripción, indicación o autorización de dispensación se realizará por denominación genérica por tipo de producto y por las características que lo definan, especificando su tamaño y contenido” y el farmacéutico debía dispensar la presentación del producto sanitario que tuviera menor precio, de acuerdo con las agrupaciones homogéneas que determine la Dirección General de Farmacia y Productos Sanitarios del Ministerio de Sanidad, Política Social e Igualdad. Sin embargo, el Real Decreto-ley 16/2012 modificó dicho precepto y, en la actualidad, el art. 87 del texto refundido aprobado por Real Decreto Legislativo 1/2015 —que recoge el contenido del art. 85 de la Ley 29/2006— únicamente señala que “la prescripción de medicamentos y productos sanitarios en el Sistema Nacional de Salud se efectuará en la forma más apropiada para el beneficio de los pacientes, a la vez que se protege la sostenibilidad del sistema”. A partir de esta afirmación, la norma no contiene ninguna regla concreta relativa ni a la prescripción ni a la dispensación de productos sanitarios, sólo en relación a los medicamentos, de manera que el farmacéutico cuando se le presente una receta oficial deberá dispensar el producto sanitario prescrito por el médico que sea financiado por el Sistema Nacional de Salud.</w:t>
      </w:r>
    </w:p>
    <w:p w:rsidR="00A90898" w:rsidRDefault="00A90898" w:rsidP="00A90898">
      <w:pPr>
        <w:pStyle w:val="TextoNormal"/>
      </w:pPr>
    </w:p>
    <w:p w:rsidR="00A90898" w:rsidRDefault="00A90898" w:rsidP="00A90898">
      <w:pPr>
        <w:pStyle w:val="TextoNormal"/>
      </w:pPr>
      <w:r>
        <w:t xml:space="preserve">Por su parte, en la Comunidad Autónoma de Andalucía, el art. 60 </w:t>
      </w:r>
      <w:r w:rsidRPr="00A90898">
        <w:rPr>
          <w:i/>
        </w:rPr>
        <w:t>ter</w:t>
      </w:r>
      <w:r>
        <w:t xml:space="preserve"> de la Ley 22/2007, de 18 de diciembre, de farmacia de Andalucía, introducido por el artículo único apartado 4 del Decreto-ley 3/2011, de 13 de diciembre, prevé para la dispensación de productos sanitarios que se prescriban por denominación genérica las mismas reglas que para la dispensación de medicamentos, de manera que el Servicio Andaluz de Salud seleccionará, mediante la correspondiente convocatoria pública, el producto sanitario que podrá ser dispensado por las oficinas de farmacia cuando se les presente una receta médica u orden de dispensación en las que el mismo se identifica, exclusivamente, por su denominación genérica.</w:t>
      </w:r>
    </w:p>
    <w:p w:rsidR="00A90898" w:rsidRDefault="00A90898" w:rsidP="00A90898">
      <w:pPr>
        <w:pStyle w:val="TextoNormal"/>
      </w:pPr>
    </w:p>
    <w:p w:rsidR="00A90898" w:rsidRDefault="00A90898" w:rsidP="00A90898">
      <w:pPr>
        <w:pStyle w:val="TextoNormal"/>
      </w:pPr>
      <w:r>
        <w:t>A nivel estatal no existe, por tanto, regla específica en materia de dispensación de productos sanitarios. No hay una norma básica que condicione o limite las medidas que en materia de dispensación de productos sanitarios pueden adoptar las Comunidades Autónomas y, en consecuencia, no podemos entender que la norma andaluza al aprobar una medida como la descrita, que tiende a racionalizar el gasto en materia de productos sanitarios al seleccionar el producto sanitario que debe ser dispensado por la oficina de farmacia cuando se prescriba por denominación genérica, haya producido diferencias en las condiciones de acceso a los productos sanitarios financiados por el Sistema Nacional de Salud, ni en el catálogo ni en los precios.</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0" w:name="SENTENCIA_2016_211"/>
      <w:r>
        <w:lastRenderedPageBreak/>
        <w:t>SENTENCIA 211/2016, de 15 de diciembre de 2016</w:t>
      </w:r>
    </w:p>
    <w:bookmarkEnd w:id="90"/>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ECLI:ES:TC:2016:211</w:t>
      </w:r>
    </w:p>
    <w:p w:rsidR="00A90898" w:rsidRDefault="00A90898" w:rsidP="00A90898">
      <w:pPr>
        <w:pStyle w:val="TextoNormalCentrado"/>
      </w:pPr>
    </w:p>
    <w:p w:rsidR="00A90898" w:rsidRDefault="00A90898" w:rsidP="00A90898">
      <w:pPr>
        <w:pStyle w:val="SntesisDescriptiva"/>
      </w:pPr>
      <w:r>
        <w:t>Recurso de inconstitucionalidad 630-2013. Interpuesto por el Presidente del Gobierno en relación con diversos preceptos del Decreto-ley de Cataluña 4/2012, de 30 de octubre, de medidas en materia de horarios comerciales y determinadas actividades de promoción.</w:t>
      </w:r>
    </w:p>
    <w:p w:rsidR="00A90898" w:rsidRDefault="00A90898" w:rsidP="00A90898">
      <w:pPr>
        <w:pStyle w:val="SntesisDescriptiva"/>
      </w:pPr>
    </w:p>
    <w:p w:rsidR="00A90898" w:rsidRDefault="00A90898" w:rsidP="00A90898">
      <w:pPr>
        <w:pStyle w:val="SntesisAnaltica"/>
      </w:pPr>
      <w:r>
        <w:t>Límites a los decretos-leyes autonómicos; competencias sobre legislación mercantil, comercio y ordenación general de la economía: nulidad de los preceptos legales autonómicos que limitan, por razones tanto espaciales o temporales, la libertad de horarios comerciales establecida en la normativa básica estatal.</w:t>
      </w:r>
    </w:p>
    <w:p w:rsidR="00A90898" w:rsidRDefault="00A90898" w:rsidP="00A90898">
      <w:pPr>
        <w:pStyle w:val="SntesisAnaltica"/>
      </w:pPr>
    </w:p>
    <w:p w:rsidR="00A90898" w:rsidRDefault="00A90898" w:rsidP="00A90898">
      <w:pPr>
        <w:pStyle w:val="Extracto"/>
      </w:pPr>
      <w:r>
        <w:t>1.</w:t>
      </w:r>
      <w:r>
        <w:tab/>
        <w:t>La ley básica estatal establece un régimen sobre libertad de horarios, que determina la intervención autonómica; y, vulnerando la libertad otorgada por la ley básica estatal, la norma autonómica impone límites al horario diario de apertura de los establecimientos comerciales [FJ 7].</w:t>
      </w:r>
    </w:p>
    <w:p w:rsidR="00A90898" w:rsidRDefault="00A90898" w:rsidP="00A90898">
      <w:pPr>
        <w:pStyle w:val="Extracto"/>
      </w:pPr>
    </w:p>
    <w:p w:rsidR="00A90898" w:rsidRDefault="00A90898" w:rsidP="00A90898">
      <w:pPr>
        <w:pStyle w:val="Extracto"/>
      </w:pPr>
      <w:r>
        <w:t>2.</w:t>
      </w:r>
      <w:r>
        <w:tab/>
        <w:t>La urgente y extraordinaria necesidad se encuentra en el ejercicio de la potestad autonómica de determinación del régimen de horarios comerciales, con el fin de evitar que la ausencia de regulación territorial comportase la aplicación del régimen de libertad absoluta establecido en la normativa estatal  (Real Decreto-ley 20/2012); y viene también justificada por la disolución del Parlamento catalán debido a la convocatoria de elecciones autonómicas lo que, ya de por sí, imposibilitaba la intervención de la Cámara para aprobar las normas reclamadas o permitidas por la regulación estatal en el plazo por ella prevista [FJ 5].</w:t>
      </w:r>
    </w:p>
    <w:p w:rsidR="00A90898" w:rsidRDefault="00A90898" w:rsidP="00A90898">
      <w:pPr>
        <w:pStyle w:val="Extracto"/>
      </w:pPr>
    </w:p>
    <w:p w:rsidR="00A90898" w:rsidRDefault="00A90898" w:rsidP="00A90898">
      <w:pPr>
        <w:pStyle w:val="Extracto"/>
      </w:pPr>
      <w:r>
        <w:t>3.</w:t>
      </w:r>
      <w:r>
        <w:tab/>
        <w:t>Aplica la doctrina sobre la pérdida de objeto de recursos de inconstitucionalidad con contenido competencial contenida en la STC 82/2016 [FJ 2].</w:t>
      </w:r>
    </w:p>
    <w:p w:rsidR="00A90898" w:rsidRDefault="00A90898" w:rsidP="00A90898">
      <w:pPr>
        <w:pStyle w:val="Extracto"/>
      </w:pPr>
    </w:p>
    <w:p w:rsidR="00A90898" w:rsidRDefault="00A90898" w:rsidP="00A90898">
      <w:pPr>
        <w:pStyle w:val="Extracto"/>
      </w:pPr>
      <w:r>
        <w:t>4.</w:t>
      </w:r>
      <w:r>
        <w:tab/>
        <w:t>Aplica la doctrina sobre el carácter básico de la normativa estatal, el artículo 27 del Real Decreto-ley 20/2012, contenida en las SSTC 156/2015 y 18/2016 [FJ 6].</w:t>
      </w:r>
    </w:p>
    <w:p w:rsidR="00A90898" w:rsidRDefault="00A90898" w:rsidP="00A90898">
      <w:pPr>
        <w:pStyle w:val="Extracto"/>
      </w:pPr>
    </w:p>
    <w:p w:rsidR="00A90898" w:rsidRDefault="00A90898" w:rsidP="00A90898">
      <w:pPr>
        <w:pStyle w:val="Extracto"/>
      </w:pPr>
      <w:r>
        <w:t>5.</w:t>
      </w:r>
      <w:r>
        <w:tab/>
        <w:t>En el régimen aplicable a las ventas en rebajas, se introducen medidas restrictivas de la libertad del comerciante que no tienen cabida en el régimen liberalizador que configura el legislador estatal, con carácter básico, en este ámbito [FJ 9].</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lastRenderedPageBreak/>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630-2013, promovido por el Presidente del Gobierno contra los arts. 1.2, letras a) a e); 2.1, letras b), c), d), f), i) y l); 2.2 y 5 del Decreto-ley de Cataluña 4/2012, de 30 de octubre, de medidas en materia de horarios comerciales y determinadas actividades de promoción. Han comparecido y formulado alegaciones los Letrados del Gobierno de la Generalitat de Cataluña y del Parlamento de Cataluña.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Constitucional el día 1 de febrero de 2013 el Abogado del Estado, en nombre del Presidente del Gobierno, interpone recurso de inconstitucionalidad contra los arts. 1.2, letras a) a e); 2.1, letras b), c), d), f), i) y l); 2.2 y 5 del Decreto-ley de Cataluña 4/2012, de 30 de octubre, de medidas en materia de horarios comerciales y determinadas actividades de promoción. El Abogado del Estado invocó el art. 161.2 CE, a fin de que se acordarse la suspensión de los preceptos impugnados.</w:t>
      </w:r>
    </w:p>
    <w:p w:rsidR="00A90898" w:rsidRDefault="00A90898" w:rsidP="00A90898">
      <w:pPr>
        <w:pStyle w:val="TextoNormal"/>
      </w:pPr>
    </w:p>
    <w:p w:rsidR="00A90898" w:rsidRDefault="00A90898" w:rsidP="00A90898">
      <w:pPr>
        <w:pStyle w:val="TextoNormal"/>
      </w:pPr>
      <w:r>
        <w:t>El recurso se fundamenta en los motivos que se exponen a continuación.</w:t>
      </w:r>
    </w:p>
    <w:p w:rsidR="00A90898" w:rsidRDefault="00A90898" w:rsidP="00A90898">
      <w:pPr>
        <w:pStyle w:val="TextoNormal"/>
      </w:pPr>
    </w:p>
    <w:p w:rsidR="00A90898" w:rsidRDefault="00A90898" w:rsidP="00A90898">
      <w:pPr>
        <w:pStyle w:val="TextoNormal"/>
      </w:pPr>
      <w:r>
        <w:t xml:space="preserve">El Abogado del Estado señala que el Decreto-ley 4/2012 viene a adaptar la normativa reguladora de la actividad comercial en Cataluña a las modificaciones normativas introducidas por el Real Decreto-ley 20/2012, de 13 de julio, de medidas para garantizar la estabilidad presupuestaria y de fomento de la competitividad, tanto en materia de horarios comerciales como en determinados aspectos de la regulación de las ventas promocionales. Los motivos de inconstitucionalidad son dos: la falta de concurrencia del presupuesto habilitante que justifique el dictado del Decreto-ley 4/2012 y la extralimitación competencial de la norma con la consiguiente vulneración de las competencias estatales </w:t>
      </w:r>
      <w:r w:rsidRPr="00A90898">
        <w:rPr>
          <w:i/>
        </w:rPr>
        <w:t>ex</w:t>
      </w:r>
      <w:r>
        <w:t xml:space="preserve"> arts. 149.1.6 y 149.1.13 CE.</w:t>
      </w:r>
    </w:p>
    <w:p w:rsidR="00A90898" w:rsidRDefault="00A90898" w:rsidP="00A90898">
      <w:pPr>
        <w:pStyle w:val="TextoNormal"/>
      </w:pPr>
    </w:p>
    <w:p w:rsidR="00A90898" w:rsidRDefault="00A90898" w:rsidP="00A90898">
      <w:pPr>
        <w:pStyle w:val="TextoNormal"/>
      </w:pPr>
      <w:r>
        <w:t xml:space="preserve">En cuanto a la falta de presupuesto habilitante de la norma impugnada, el Abogado del Estado precisa la identidad a este respecto entre el art. 86.1 CE y 64 del Estatuto de Autonomía de Cataluña (EAC). Recuerda la doctrina constitucional sobre el presupuesto habilitante de la extraordinaria y urgente necesidad, aludiendo a la justificación que el Decreto-ley 4/2012 aporta en su exposición de motivos: la situación generada por la entrada en vigor del Real Decreto-ley 20/2012 que obliga “al Gobierno de la Generalidad, por razones de urgencia y sobre todo de seguridad jurídica, detallar de una manera clara en una disposición, que por los motivos expuestos tiene que utilizar la figura del decreto ley, cuál es la normativa aplicable en Cataluña en materia de horarios comerciales y en materia de actividades comerciales promocionales, visto el conjunto de modificaciones normativas mencionadas, y en virtud de los títulos competenciales en juego, en defensa de las competencias exclusivas </w:t>
      </w:r>
      <w:r>
        <w:lastRenderedPageBreak/>
        <w:t>de la Generalidad en materia de comercio. Además, teniendo en cuenta que las medidas adoptadas en relación al conflicto planteado pueden conducir previsiblemente a la interposición del correspondiente recurso de inconstitucionalidad y considerando la demora inherente a los procedimientos que se sustancian ante el Tribunal Constitucional, se hace necesario aprobar, de manera urgente y como medida cautelar, este Decreto ley con la finalidad de evitar daños irreparables derivados del impacto de la nueva regulación que ha sido impulsada por el Gobierno del Estado”.</w:t>
      </w:r>
    </w:p>
    <w:p w:rsidR="00A90898" w:rsidRDefault="00A90898" w:rsidP="00A90898">
      <w:pPr>
        <w:pStyle w:val="TextoNormal"/>
      </w:pPr>
    </w:p>
    <w:p w:rsidR="00A90898" w:rsidRDefault="00A90898" w:rsidP="00A90898">
      <w:pPr>
        <w:pStyle w:val="TextoNormal"/>
      </w:pPr>
      <w:r>
        <w:t>A juicio del Abogado del Estado esa motivación resulta inadmisible en tanto que se incardina en un ámbito meramente especulativo sobre previsiones futuras y se presenta como respuesta a una modificación del marco normativo estatal del que se deduce la necesidad de que la Comunidad Autónoma ocupe un determinado espacio normativo con el fin de excluir del mismo a la norma estatal. No justificaría la urgencia la necesidad de adaptación a las concretas medidas adoptadas por el Real Decreto-ley 20/2012 sobre horarios comerciales y ventas promocionales, pues la norma estatal permite una aplicación diferida y fija plazos para la citada adaptación, de manera que, al igual que en el caso resuelto en la STC 31/2011, de 17 de marzo, tampoco desde esta segunda perspectiva se justifica el recurso a la legislación de urgencia.</w:t>
      </w:r>
    </w:p>
    <w:p w:rsidR="00A90898" w:rsidRDefault="00A90898" w:rsidP="00A90898">
      <w:pPr>
        <w:pStyle w:val="TextoNormal"/>
      </w:pPr>
    </w:p>
    <w:p w:rsidR="00A90898" w:rsidRDefault="00A90898" w:rsidP="00A90898">
      <w:pPr>
        <w:pStyle w:val="TextoNormal"/>
      </w:pPr>
      <w:r>
        <w:t>Sobre la extralimitación competencial en la que incurrirían los preceptos impugnados al vulnerar el art. 149.1.13 CE, el Abogado del Estado indica que se trata de una inconstitucionalidad mediata o indirecta, en cuanto que la legislación básica sería desconocida por la norma autonómica. Recuerda que para que pueda prosperar una pretensión de inconstitucionalidad de preceptos autonómicos por infracción de la legislación básica, han de concurrir dos exigencias: (i) que se justifique una contradicción frontal e insalvable por vía interpretativa entre el precepto autonómico y el básico estatal y (ii) que la normativa estatal tenga efectivamente el carácter de básica. A continuación examina la doctrina constitucional sobre la extensión de las bases en materia de horarios comerciales, el carácter de básico del art. 27 del Real Decreto-ley 20/2012 y la infracción del mismo por parte de los preceptos impugnados del Decreto-ley 4/2012.</w:t>
      </w:r>
    </w:p>
    <w:p w:rsidR="00A90898" w:rsidRDefault="00A90898" w:rsidP="00A90898">
      <w:pPr>
        <w:pStyle w:val="TextoNormal"/>
      </w:pPr>
    </w:p>
    <w:p w:rsidR="00A90898" w:rsidRDefault="00A90898" w:rsidP="00A90898">
      <w:pPr>
        <w:pStyle w:val="TextoNormal"/>
      </w:pPr>
      <w:r>
        <w:t>El Abogado del Estado alude a la doctrina constitucional sobre la extensión de las bases en materia de horarios comerciales. Doctrina en la que se han examinado diversas normativas estatales que establecían muy diversos grados de liberalización y, por tanto, permitían un correlativo mayor o menor espacio de desarrollo autonómico. Las SSTC 225/1993, FJ 4; 264/1993, FJ 3 c), y 284/1993, FJ 4 examinan una legislación estatal completamente liberalizadora estableciendo una doctrina que se reitera en la STC 140/2011, según la cual “cuando la normativa estatal básica desregule, por liberalizar, un sector, resulta lógico que no permita normativa autonómica de desarrollo, salvo que ésta se limitase a reproducir la liberalización ya efectuada desde la norma básica. Pero es que además, una norma básica que afecte sólo a una submateria —horarios comerciales— de un título competencial autonómico más amplio –comercio interior—, nunca puede producir un vaciamiento, por sí sola, de esta competencia, dado que ésta siempre tendría un ámbito material más extenso sobre el que podría seguir desplegándose, y que no quedaría afectado por el ejercicio por el Estado de la competencia liberalizadora en materia económica”.</w:t>
      </w:r>
    </w:p>
    <w:p w:rsidR="00A90898" w:rsidRDefault="00A90898" w:rsidP="00A90898">
      <w:pPr>
        <w:pStyle w:val="TextoNormal"/>
      </w:pPr>
    </w:p>
    <w:p w:rsidR="00A90898" w:rsidRDefault="00A90898" w:rsidP="00A90898">
      <w:pPr>
        <w:pStyle w:val="TextoNormal"/>
      </w:pPr>
      <w:r>
        <w:t xml:space="preserve">Respecto al art. 27 del Real Decreto-ley 20/2012, el Abogado del Estado recuerda su carácter formalmente básico y señala que, desde su dimensión material, no es una norma </w:t>
      </w:r>
      <w:r>
        <w:lastRenderedPageBreak/>
        <w:t>que imponga una liberalización total sino que admite el desarrollo autonómico en la propia submateria que integran los horarios comerciales. El artículo 27 da nueva redacción a los arts. 3.1, 4 y 5 de la Ley 1/2004, de 21 de diciembre, de horarios comerciales. La nueva redacción del art. 3.1 de la Ley de horarios comerciales fija el número de horas mínimas en que los comercios podrán estar abiertos semanalmente en 90, frente a las 72 que establecía la redacción anterior. En cualquier caso, se trata de una formulación típicamente básica en la que se opta por fijar un mínimo nacional de liberalización por razones económicas, que las Comunidades Autónomas pueden aumentar, gozando, por tanto, de margen de desarrollo. En cuanto al art. 4.2 de la Ley de horarios comerciales fija en diez el límite mínimo de domingos y festivos de apertura autorizada de establecimientos comerciales. Límite éste que en todo caso debe ser respetado por las Comunidades Autónomas, sin perjuicio de que puedan aumentarlo, en atención a sus necesidades comerciales. Nuevamente el precepto se mantiene en un plano típicamente básico de fijar un mínimo de liberalización que puede incrementarse por las Comunidades Autónomas, en ejercicio de su facultad de desarrollo autonómico. Sobre el artículo 4.5, que fija criterios para que las Comunidades Autónomas concreten los festivos y domingos de apertura en función a “su atractivo comercial”, afirma que son “criterios flexibles que otorgan un amplio margen de concreción a las Comunidades Autónomas, resultando claramente constitucionales” y lo mismo sucede respecto al art. 5 de la Ley de horarios comerciales, respecto a las zonas de gran afluencia turística. Por todo ello, concluye que ha quedado justificado el carácter formal y materialmente básico del art. 27 del Real Decreto-ley 20/2012. Por último, los apartados 4 y 5 del artículo 27 se limitan a establecer un régimen supletorio de plena libertad de horarios, para el caso de que las Comunidades Autónomas opten por no concretar el horario global de apertura o por no determinar los domingos y festivos en que podrán abrir los comercios. Es un precepto, por tanto, que se limita a dar seguridad jurídica a los establecimientos comerciales para el supuesto en que los poderes públicos autonómicos no concreten el marco básico mínimo.</w:t>
      </w:r>
    </w:p>
    <w:p w:rsidR="00A90898" w:rsidRDefault="00A90898" w:rsidP="00A90898">
      <w:pPr>
        <w:pStyle w:val="TextoNormal"/>
      </w:pPr>
    </w:p>
    <w:p w:rsidR="00A90898" w:rsidRDefault="00A90898" w:rsidP="00A90898">
      <w:pPr>
        <w:pStyle w:val="TextoNormal"/>
      </w:pPr>
      <w:r>
        <w:t>En conclusión, el Abogado del Estado defiende que se trata de una regulación que sólo incide parcialmente en un subsector de un título competencial autonómico más amplio, sin que las bases establecidas sean agotadoras sino que permiten, dentro de ellas, que las Comunidades Autónomas opten por establecer grados superiores de libertad de horarios comerciales.</w:t>
      </w:r>
    </w:p>
    <w:p w:rsidR="00A90898" w:rsidRDefault="00A90898" w:rsidP="00A90898">
      <w:pPr>
        <w:pStyle w:val="TextoNormal"/>
      </w:pPr>
    </w:p>
    <w:p w:rsidR="00A90898" w:rsidRDefault="00A90898" w:rsidP="00A90898">
      <w:pPr>
        <w:pStyle w:val="TextoNormal"/>
      </w:pPr>
      <w:r>
        <w:t>Sentado lo anterior, el Abogado del Estado examina la vulneración en la que incurrirían los preceptos impugnados agrupándolos en función de la materia de la que tratan. A partir de la premisa de que las Comunidades Autónomas pueden optar por grados superiores de liberalización, comienza por el artículo 1.2 del cual afirma que contradice la Ley de horarios comerciales en los extremos siguientes: la obligación de clausura de los establecimientos comerciales entre las 22:00 horas y las 7:00 horas con carácter general, adelantándose a las 20:00 horas los días 24 y 31 de diciembre [artículo 1.2 a)] y la limitación a 12 y 72, respectivamente, del número máximo de horas diarias y semanales de apertura de los establecimientos comerciales [artículo 1.2 b) y c)] y la limitación de 10 a 8 del número de domingos y festivos anuales de apertura de los establecimientos comerciales [artículo 1.2 d)]; la previsión de cierre obligatorio de los establecimientos comerciales el domingo y el lunes de pascua y los días 25 y 26 de diciembre [artículo 1.2 e)].</w:t>
      </w:r>
    </w:p>
    <w:p w:rsidR="00A90898" w:rsidRDefault="00A90898" w:rsidP="00A90898">
      <w:pPr>
        <w:pStyle w:val="TextoNormal"/>
      </w:pPr>
    </w:p>
    <w:p w:rsidR="00A90898" w:rsidRDefault="00A90898" w:rsidP="00A90898">
      <w:pPr>
        <w:pStyle w:val="TextoNormal"/>
      </w:pPr>
      <w:r>
        <w:t xml:space="preserve">Afirma que el artículo 2 contradice la norma básica (art. 5 de la Ley de horarios comerciales) en lo siguiente: la limitación de la exclusión del horario comercial general solo en el </w:t>
      </w:r>
      <w:r>
        <w:lastRenderedPageBreak/>
        <w:t>supuesto de establecimientos comerciales situados en lugares accesibles únicamente desde el interior de las estaciones y medios de transporte terrestre, marítimo y aéreo [artículo 2.l b)]; la limitación de la exclusión del horario comercial general únicamente en el supuesto de establecimientos comerciales anexos a las gasolineras que se dediquen esencialmente a la venta de recambios y otros productos complementarios de la automoción [artículo 2.l c)]; la inclusión entre los supuestos de exclusión del horario comercial general de los establecimientos situados en municipios turísticos, de acuerdo con la definición que de los mismos hace el artículo 3 de la Ley 8/2004, “municipios en los que, por afluencia estacional, la media ponderada anual de población es superior al número de residentes y en los que el número de alojamientos turísticos y segundas residencias es superior al número de viviendas de residencia primaria, o que son lugares con gran afluencia de visitantes por motivos turísticos”, ya que no se recogen los criterios establecidos en la norma estatal para la determinación de las zonas de gran afluencia turística; la limitación de la exclusión del horario comercial general únicamente en el supuesto de las farmacias, olvidando incluir a los estancos [artículo 2.1 f)]; la limitación de la exclusión del horario comercial general únicamente en el supuesto de establecimientos comerciales de venta personalizada o en régimen de autoservicio cuyos titulares son pymes, que no pertenezcan a grupos o cadenas de distribución ni operen bajo el mismo nombre comercial, siempre que la superficie de venta no supere los 150 metros cuadrados y tengan una oferta orientada esencialmente a productos de compra cotidiana de alimentación o que, con la misma limitación de superficie de venta, estén situados en municipios de menos de 5.000 habitantes, previa autorización en este último caso del Pleno municipal y comunicación del Ayuntamiento a la Dirección General de Comercio [arts. 2.1 i) y 1)] y, finalmente, la restricción a la libertad horaria impuesta por el artículo 2.2 a los establecimientos situados en municipios turísticos, a las tiendas de conveniencia y a los establecimientos comerciales de venta personalizada o en régimen de autoservicio recogidos en las letras i) y 1) del artículo 2.1, adelantando su horario de cierre a las 20:00 horas los días 24 y 31 de diciembre y obligando a que permanezcan cerrados los día 1 de enero y 25 de diciembre.</w:t>
      </w:r>
    </w:p>
    <w:p w:rsidR="00A90898" w:rsidRDefault="00A90898" w:rsidP="00A90898">
      <w:pPr>
        <w:pStyle w:val="TextoNormal"/>
      </w:pPr>
    </w:p>
    <w:p w:rsidR="00A90898" w:rsidRDefault="00A90898" w:rsidP="00A90898">
      <w:pPr>
        <w:pStyle w:val="TextoNormal"/>
      </w:pPr>
      <w:r>
        <w:t>Por último, sostiene que el art. 5 del Decreto-ley 4/2012 colisiona con el art. 25 de la Ley 7/1996, de 15 de enero, de ordenación del comercio minorista (LOCM) —dictado al amparo de la competencia exclusiva del Estado para regular el derecho mercantil, ex artículo 149.1.6 CE, como expresa la disposición final única de la Ley 7/1996—, en la redacción dada al mismo por el Real Decreto-ley 20/2012, que dispone que las ventas en rebajas podrán tener lugar en los períodos estacionales de mayor interés comercial según el criterio de cada comerciante (apartado 1) y que la duración de cada periodo de rebajas será decidida libremente por cada comerciante (apartado 2).</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Por providencia de 26 de febrero de 2013 el Pleno, a propuesta de la Sección Tercera, acordó admitir a trámite el recurso de inconstitucionalidad promovido por el Presidente del Gobierno y, en su representación y defensa, por el Abogado del Estado, contra los arts. 1.2, letras a) a e) de la Ley del Parlamento de Cataluña 8/2004, de 23 de diciembre, de horarios comerciales, en la redacción dada por el art. 1 del Decreto-ley 4/2012; los arts. 2.1, letras b), c), d), f), i) y l) y 2.2 de la misma Ley 8/2004, en la redacción dada por el art. 2 del Decreto-ley 4/2012 y el art. 5 del Decreto-ley 4/2012; dar traslado de la demanda y documentos presentados, conforme establece el art. 34 de la Ley Orgánica del Tribunal Constitucional (LOTC), al Congreso de los Diputados y al Senado, por conducto de sus Presidentes, así como al Gobierno y al Parlamento de Cataluña, por conducto de sus Presidentes, al </w:t>
      </w:r>
      <w:r>
        <w:lastRenderedPageBreak/>
        <w:t>objeto de que, en el plazo de 15 días, puedan personarse en el proceso y formular las alegaciones que estimaren convenientes; tener por invocado por el Presidente del Gobierno el art. 161.2 CE, lo que, a su tenor y conforme dispone el art. 30 LOTC, produce la suspensión de la vigencia y aplicación de los preceptos impugnados, desde la fecha de interposición del recurso —1 de febrero de 2013— para las partes del proceso y desde el día en que aparezca publicada la suspensión en el “Boletín Oficial del Estado” para los terceros y publicar la incoación del recurso en el “Boletín Oficial del Estado” y en el “Diari Oficial de la Generalitat de Cataluña”.</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con fecha 6 de marzo de 2013 el Presidente del Senado comunicó el acuerdo de la Mesa de la Cámara de personarse en el procedimiento y ofrecer su colaboración a los efectos del art. 88.1 LOTC. Lo mismo hizo el Presidente del Congreso de los Diputados por escrito que tuvo entrada en este Tribunal el día 8 de marzo de 2013.</w:t>
      </w:r>
    </w:p>
    <w:p w:rsidR="00A90898" w:rsidRDefault="00A90898" w:rsidP="00A90898">
      <w:pPr>
        <w:pStyle w:val="TextoNormal"/>
      </w:pPr>
    </w:p>
    <w:p w:rsidR="00A90898" w:rsidRDefault="00A90898" w:rsidP="00A90898">
      <w:pPr>
        <w:pStyle w:val="TextoNormal"/>
      </w:pPr>
      <w:r w:rsidRPr="00A90898">
        <w:rPr>
          <w:rStyle w:val="NumeroAFNegritaCaracter"/>
        </w:rPr>
        <w:t>4</w:t>
      </w:r>
      <w:r>
        <w:t>. Las alegaciones presentadas por la Abogada de la Generalitat de Cataluña interesando la desestimación del recurso fueron registradas en este Tribunal el día 22 de marzo de 2013.</w:t>
      </w:r>
    </w:p>
    <w:p w:rsidR="00A90898" w:rsidRDefault="00A90898" w:rsidP="00A90898">
      <w:pPr>
        <w:pStyle w:val="TextoNormal"/>
      </w:pPr>
    </w:p>
    <w:p w:rsidR="00A90898" w:rsidRDefault="00A90898" w:rsidP="00A90898">
      <w:pPr>
        <w:pStyle w:val="TextoNormal"/>
      </w:pPr>
      <w:r>
        <w:t>Menciona en primer lugar el objeto del recurso así como los motivos de impugnación para, en segundo término, referirse a los antecedentes y circunstancias que han determinado la aprobación del Decreto-ley 4/2012. La norma pretende ofrecer una ordenación del comercio minorista capaz de compatibilizar los distintos intereses públicos y privados que convergen en el desarrollo de la actividad comercial y de atender, asimismo, los requerimientos derivados del Derecho de la Unión Europea. Igualmente considera que el consenso existente sobre el modelo comercial ha sido roto por el Estado tras la aprobación del Real Decreto-ley 20/2012, en la medida en que esta norma ha declarado básicas determinaciones a las que la legislación estatal precedente no atribuía dicho carácter, lo que ha reducido a la nada el espacio normativo a disposición de las Comunidades Autónomas, privándolas por ello de su derecho a desarrollar una política comercial propia e implantar un modelo comercial acorde con sus propias especificidades. El modelo comercial del Real Decreto-ley 20/2012 es, según la Letrada de la Generalitat de Cataluña, opuesto al desarrollado por la Comunidad Autónoma, lo que motivó que se iniciase el procedimiento conducente a la interposición de un recurso de inconstitucionalidad por vulneración tanto del art. 86.1 CE como de las competencias autonómicas en materia de comercio interior. Junto a lo anterior, puesto que el Real Decreto-ley 20/2012 contenía diversas remisiones al legislador autonómico para que, dentro de unos plazos perentorios, complementara la regulación estatal, a riesgo de la aplicación de la libertad de horarios y de apertura de domingos y festivos prevista supletoriamente por la norma estatal, el Gobierno de la Generalitat de Cataluña, optó por aprobar, al amparo del art. 64 EAC, el Decreto-ley 4/2012, mediante el que llevar a cabo el referido complemento normativo y precisar a su vez, el marco regulador del comercio en Cataluña. La Letrada de la Generalitat de Cataluña reconoce que la norma no se ha ceñido al escaso marco regulador que otorgaba el Real Decreto-ley 20/2012, sino que ha establecido una ordenación de los horarios comerciales, de la apertura de domingos y festivos y de las temporadas de rebajas que se aparta de las modificaciones introducidas en la legislación básica en aquellos aspectos en que el Gobierno de Cataluña ha estimado que exceden del ámbito de las competencias estatales.</w:t>
      </w:r>
    </w:p>
    <w:p w:rsidR="00A90898" w:rsidRDefault="00A90898" w:rsidP="00A90898">
      <w:pPr>
        <w:pStyle w:val="TextoNormal"/>
      </w:pPr>
    </w:p>
    <w:p w:rsidR="00A90898" w:rsidRDefault="00A90898" w:rsidP="00A90898">
      <w:pPr>
        <w:pStyle w:val="TextoNormal"/>
      </w:pPr>
      <w:r>
        <w:lastRenderedPageBreak/>
        <w:t>El siguiente apartado del escrito de la Letrada de la Generalitat de Cataluña se dedica a justificar la existencia de una situación de extraordinaria y urgente necesidad para la aprobación del Decreto-ley 4/2012. En tal sentido señala que concurría el presupuesto de hecho habilitante de la legislación de urgencia, habida cuenta de que se dictó para hacer frente a la extraordinaria y urgente necesidad de eliminar la inseguridad jurídica respecto de los horarios comerciales que generó el Real Decreto-ley 20/2012 que no establecía plazo para que, a falta de regulación autonómica, rigiera supletoriamente la libertad de horarios en él prevista, así como también para resolver la urgente y extraordinaria necesidad de fijar los domingos y festivos de apertura y las temporadas de ventas en rebajas, dentro de los reducidos plazos otorgados por la norma estatal, para evitar la aplicación supletoria de la libertad absoluta de apertura de domingos y festivos y de la libertad de venta en rebajas, que la convocatoria anticipada de las elecciones autonómicas impedía establecer mediante una norma parlamentaria. Destaca al respecto que la norma básica no cerraba la regulación sobre los horarios comerciales y domingos y festivos de apertura, sino que incluía una remisión a la legislación autonómica para que determinara, dentro de los límites fijados por el propio Real Decreto-ley 20/2012, el horario global semanal, sin fijar plazo alguno para que la norma autonómica realizara tal tarea, y el calendario de domingos y festivos de apertura para el año 2013, estableciendo supletoriamente, en caso de ausencia de regulación autonómica, la plena libertad de los comerciantes para la fijación de los horarios comerciales y de los domingos y festivos de apertura. Del mismo modo se podía deducir del art. 25 LOCM, en la redacción otorgada por el art. 28.3 del Real Decreto-ley 20/2012, puesto en relación con el art. 4.5 b) de la Ley de horarios comerciales, en la redacción otorgada por el art. 27.2 de dicho Real Decreto-ley 20/2012, que correspondía a las Comunidades Autónomas establecer las temporadas de ventas en rebajas.</w:t>
      </w:r>
    </w:p>
    <w:p w:rsidR="00A90898" w:rsidRDefault="00A90898" w:rsidP="00A90898">
      <w:pPr>
        <w:pStyle w:val="TextoNormal"/>
      </w:pPr>
    </w:p>
    <w:p w:rsidR="00A90898" w:rsidRDefault="00A90898" w:rsidP="00A90898">
      <w:pPr>
        <w:pStyle w:val="TextoNormal"/>
      </w:pPr>
      <w:r>
        <w:t>De lo anterior se deduce que la norma autonómica se aprobó para resolver la situación de inseguridad jurídica respecto de los horarios comerciales creada por Real Decreto-ley 20/2012 y el riesgo de aplicación supletoria de la libertad de horarios y de apertura de domingos y festivos allí fijada, ante la ausencia de una norma autonómica dentro de unos plazos perentorios, que no podían cumplirse mediante una norma parlamentaria, dada la convocatoria anticipada de las elecciones autonómicas. Inseguridad jurídica que también alcanzaba a la regulación de las temporadas de rebajas, ya que la disposición transitoria decimocuarta del Real Decreto-ley 20/2012 se limitó a respetar el periodo de rebajas estival correspondiente al año 2012, siendo precisa una regulación autonómica que estableciera las temporadas de rebajas aplicables al año 2013. Estima también que es indudable la conexión de sentido entre la situación de hecho y las medidas aprobadas, lo que se constata también a la vista de la existencia de legislación de urgencia al respecto en otras cinco Comunidades Autónomas. Por último , frente a la finalidad meramente preventiva de futuras lesiones competenciales que el Abogado del Estado atribuye al Decreto-ley 4/2012, rechaza que su aprobación tuviera esa finalidad, aun cuando el preámbulo pueda haber inducido a semejante conclusión, pues el verdadero propósito de la norma de urgencia fue, en ejercicio de la competencia autonómica en materia de comercio interior, la anteriormente expresada de evitar la aplicación supletoria de las normas estatales sobre horarios, apertura en domingos y festivos y venta en rebajas.</w:t>
      </w:r>
    </w:p>
    <w:p w:rsidR="00A90898" w:rsidRDefault="00A90898" w:rsidP="00A90898">
      <w:pPr>
        <w:pStyle w:val="TextoNormal"/>
      </w:pPr>
    </w:p>
    <w:p w:rsidR="00A90898" w:rsidRDefault="00A90898" w:rsidP="00A90898">
      <w:pPr>
        <w:pStyle w:val="TextoNormal"/>
      </w:pPr>
      <w:r>
        <w:t xml:space="preserve">Seguidamente la Letrada de la Generalitat de Cataluña argumenta que los arts. 3, 4 y 5 de la Ley de horarios comerciales y 25 LOCM, en la redacción dada por el Real Decreto-ley 20/2012, son inconstitucionales y no pueden operar como canon de constitucionalidad </w:t>
      </w:r>
      <w:r>
        <w:lastRenderedPageBreak/>
        <w:t>de los preceptos autonómicos. Así, considera que los artículos 27 y 28 y disposiciones adicional undécima, transitoria decimocuarta y finales segunda y tercera del mencionado Real Decreto-ley 20/2012 vulneran el art. 86.1 CE ya que, ni en la exposición de motivos de la norma, ni en el debate de convalidación se ha acreditado la existencia de una necesidad urgente y extraordinaria, ni tampoco se ha justificado la conexión de sentido entre las medidas y la situación de urgencia.</w:t>
      </w:r>
    </w:p>
    <w:p w:rsidR="00A90898" w:rsidRDefault="00A90898" w:rsidP="00A90898">
      <w:pPr>
        <w:pStyle w:val="TextoNormal"/>
      </w:pPr>
    </w:p>
    <w:p w:rsidR="00A90898" w:rsidRDefault="00A90898" w:rsidP="00A90898">
      <w:pPr>
        <w:pStyle w:val="TextoNormal"/>
      </w:pPr>
      <w:r>
        <w:t xml:space="preserve">Por otra parte las reformas propuestas exceden del ámbito competencial estatal por cuanto carecen de la incidencia directa, inmediata y significativa en la marcha general de la economía que conforme a la doctrina constitucional se requiere para que las medidas tengan amparo en el art. 149.1.13 CE y, en cualquier caso, exceden del ámbito funcional atribuido al Estado por dicho precepto, lo que se traduce en una invasión de la competencia exclusiva de la Generalitat de Cataluña en materia de comercio (art. 121 EAC). Para justificar la existencia de dichas infracciones recuerda la doctrina constitucional en materia de comercio y, en especial, el alcance de la competencia estatal </w:t>
      </w:r>
      <w:r w:rsidRPr="00A90898">
        <w:rPr>
          <w:i/>
        </w:rPr>
        <w:t>ex</w:t>
      </w:r>
      <w:r>
        <w:t xml:space="preserve"> art. 149.1.13 CE cuando concurre con competencias autonómicas exclusivas y su proyección específica sobre la materia comercio, lo que se traduce en la aplicación restrictiva del título competencial estatal, que ha de ir acompañado, además, de una interpretación finalista conforme a la cual únicamente pueden considerarse amparadas en dicho título horizontal aquellas medidas que guarden una relación directa e inmediata con la dirección y planificación de la actividad económica y tengan una incidencia directa y significativa sobre la actividad económica general. Dicha doctrina es puesta en relación con las competencias de la Generalitat de Cataluña en materia de comercio atribuidas por el art. 121.1 EAC y su conformidad constitucional según la STC 31/2010, FJ 68, pronunciamiento del que deduce que corresponde a la Generalitat de Cataluña la regulación de todas las modalidades de venta, incluida la venta en rebajas, y que asimismo es competente para establecer los horarios comerciales, si bien en este caso, la fijación de los horarios y días de apertura debe cohonestarse con las determinaciones que legítimamente pueda establecer el Estado al amparo del art. 149.1.13 CE. De acuerdo con lo anterior, se alega que los preceptos impugnados no tienen cobertura en el art. 149.1.13 CE e invaden la competencia exclusiva de la Generalitat de Cataluña en materia de comercio y su competencia compartida en materia de planificación de la actividad económica.</w:t>
      </w:r>
    </w:p>
    <w:p w:rsidR="00A90898" w:rsidRDefault="00A90898" w:rsidP="00A90898">
      <w:pPr>
        <w:pStyle w:val="TextoNormal"/>
      </w:pPr>
    </w:p>
    <w:p w:rsidR="00A90898" w:rsidRDefault="00A90898" w:rsidP="00A90898">
      <w:pPr>
        <w:pStyle w:val="TextoNormal"/>
      </w:pPr>
      <w:r>
        <w:t xml:space="preserve">La nueva regulación presenta una densidad normativa que no se compadece con la finalidad de constituir un denominador normativo común que es propio de la normativa básica. En cuanto a la determinación de los horarios comerciales de los arts. 27.1 y 4 del Real Decreto-ley 20/2012, la demanda señala que las 90 horas de apertura mínima para los seis días laborables de la semana es en realidad un máximo normativo que encubre una modalidad de libertad horaria, de modo que la opción que se deja a las Comunidades Autónomas, se contrae a que acepten el horario de 90 horas semanales, a razón de 15 horas diarias de apertura o bien a que declaren la plena liberalización horaria. Vaciamiento del espacio normativo autonómico que no tiene cobertura en el art. 149.1.13 CE y resulta inconstitucional. En cuanto a los domingos y festivos de apertura, a los que se refiere el artículo 27.2 y 5 y disposiciones transitoria decimocuarta, párrafo primero, y final tercera, señala que el primero de ellos no se limita a establecer una horquilla anual de los domingos y festivos en los que los establecimientos comerciales pueden permanecer abiertos, remitiendo a las Comunidades Autónomas la determinación del número de domingos y festivos de apertura comercial en cada Comunidad Autónoma, sino que, además, fija los criterios que se deben respetar en la confección de los respectivos calendarios de apertura. Criterios que tampoco </w:t>
      </w:r>
      <w:r>
        <w:lastRenderedPageBreak/>
        <w:t>tienen amparo en el art. 149.1.13 CE, pues se trata de prescripciones que no tienen una incidencia directa, inmediata y significativa, en la marcha general de la economía, y predeterminan la elección autonómica de los domingos y festivos de apertura, convirtiéndola en una potestad reglada, sin dejar espacio normativo para la competencia autonómica. En cuanto a los horarios especiales del artículo 27.3 y disposiciones adicional undécima y anexo y final segunda, señala que de los mismos se infiere una importantísima ampliación de los establecimientos a los que se otorga plena libertad de horarios y días de apertura respecto de la regulación precedente, lo que supone de hecho la desregulación de la práctica totalidad del sector minorista en Cataluña, lo que entraña el vaciamiento de la competencia autonómica. En cuanto al art. 25 LOCM indica que si se admite la interpretación de que las Comunidades Autónomas pueden predeterminar las temporadas de rebajas, nada habría que reprochar a la norma estatal, pero si se interpreta en el sentido de que atribuye a los comerciantes libertad absoluta para determinar los períodos de rebajas, debería necesariamente concluirse que dicho art. 25 LOCM es inconstitucional, por vulneración de la competencia exclusiva en materia de comercio.</w:t>
      </w:r>
    </w:p>
    <w:p w:rsidR="00A90898" w:rsidRDefault="00A90898" w:rsidP="00A90898">
      <w:pPr>
        <w:pStyle w:val="TextoNormal"/>
      </w:pPr>
    </w:p>
    <w:p w:rsidR="00A90898" w:rsidRDefault="00A90898" w:rsidP="00A90898">
      <w:pPr>
        <w:pStyle w:val="TextoNormal"/>
      </w:pPr>
      <w:r>
        <w:t>La parte final del escrito de la Letrada de la Generalitat de Cataluña se dedica a justificar la conformidad competencial de los preceptos impugnados que entiende dictados al amparo de la competencia exclusiva en materia de comercio del art. 121.1 EAC. Estima que existe una contradicción entre las 90 horas de apertura semanal previstas en la norma estatal y las 72 horas de la regulación autonómica, divergencia que no comporta la inconstitucionalidad de la regulación autonómica, pues la norma estatal no puede operar como canon de constitucionalidad. Ese mismo exceso competencial se le reprocha a la libertad de cierre y apertura diaria que el art. 3.2 de la Ley de horarios comerciales otorga a los comerciantes y a la regulación de la apertura en domingos y festivos del art. 4.2 y 4.5 de la Ley de horarios comerciales. Respecto a los establecimientos con régimen especial de horarios la Letrada de la Generalitat niega que los artículos 2.1 b) y c) infrinjan las bases, pues lo único que hacen es introducir modulaciones permitidas por la norma estatal. En cuanto al artículo 2.1 e), que otorga libertad horaria y de días de apertura a los establecimientos situados en municipios turísticos, conforme a la definición de municipio turístico recogida en el art. 3, no aprecia la existencia de contradicción pues existe una concurrencia de criterios entre la regulación autonómica que prevé, con carácter general la libertad de horarios para los establecimientos instalados en municipios que, conforme a la normativa autonómica, merezcan la calificación de turísticos y la previsión estatal de que en las zonas de gran afluencia turística rija la libertad de horarios y días de apertura. Sobre el artículo 2.1 f) indica que la omisión de los estancos no convierte, sin más en inconstitucional la norma autonómica, ni afecta a la norma estatal, que mantendrá su eficacia en la medida en que se trate de una norma constitucionalmente legítima. En cuanto a los arts. 2.1 i) y l) reconoce que la contradicción con la norma estatal es evidente, pero que dicha contradicción no puede saldarse con la inconstitucionalidad del precepto autonómico, dado el exceso competencial en el que habría incurrido la norma estatal. Igualmente respecto al artículo 2.2 considera que las limitaciones derivadas de la norma autonómica son de índole menor. Finalmente señala que el artículo 5 se ampara en la competencia que el art. 121.1 b) EAC atribuye a la Generalidad de Cataluña sobre la regulación administrativa de las modalidades de ventas y no infringe el orden constitucional de competencias.</w:t>
      </w:r>
    </w:p>
    <w:p w:rsidR="00A90898" w:rsidRDefault="00A90898" w:rsidP="00A90898">
      <w:pPr>
        <w:pStyle w:val="TextoNormal"/>
      </w:pPr>
    </w:p>
    <w:p w:rsidR="00A90898" w:rsidRDefault="00A90898" w:rsidP="00A90898">
      <w:pPr>
        <w:pStyle w:val="TextoNormal"/>
      </w:pPr>
      <w:r>
        <w:lastRenderedPageBreak/>
        <w:t>La Letrada de la Generalitat de Cataluña solicita mediante otrosí, el levantamiento anticipado de la suspensión, por las razones que ya quedaron expuestas en el antecedente 4 del ATC 146/2013, de 5 de junio.</w:t>
      </w:r>
    </w:p>
    <w:p w:rsidR="00A90898" w:rsidRDefault="00A90898" w:rsidP="00A90898">
      <w:pPr>
        <w:pStyle w:val="TextoNormal"/>
      </w:pPr>
    </w:p>
    <w:p w:rsidR="00A90898" w:rsidRDefault="00A90898" w:rsidP="00A90898">
      <w:pPr>
        <w:pStyle w:val="TextoNormal"/>
      </w:pPr>
      <w:r w:rsidRPr="00A90898">
        <w:rPr>
          <w:rStyle w:val="NumeroAFNegritaCaracter"/>
        </w:rPr>
        <w:t>5</w:t>
      </w:r>
      <w:r>
        <w:t>. La Letrada del Parlamento de Cataluña formuló sus alegaciones mediante escrito registrado el día 25 de marzo de 2013.</w:t>
      </w:r>
    </w:p>
    <w:p w:rsidR="00A90898" w:rsidRDefault="00A90898" w:rsidP="00A90898">
      <w:pPr>
        <w:pStyle w:val="TextoNormal"/>
      </w:pPr>
    </w:p>
    <w:p w:rsidR="00A90898" w:rsidRDefault="00A90898" w:rsidP="00A90898">
      <w:pPr>
        <w:pStyle w:val="TextoNormal"/>
      </w:pPr>
      <w:r>
        <w:t xml:space="preserve">En cuanto a la concurrencia del presupuesto habilitante, alude en primer lugar la regulación estatutaria del decreto-ley así como a la doctrina constitucional acerca de la concurrencia de una necesidad extraordinaria y urgente y los elementos a tener en cuenta para valorarla. La Letrada del Parlamento de Cataluña argumenta que la norma impugnada cumple el presupuesto habilitante de la “necesidad extraordinaria y urgente”, establecido en el art. 64 EAC y las circunstancias que exigen la adopción de la legislación de urgencia han quedado suficientemente explicitadas y razonadas. Menciona la regulación en materia de horarios comerciales en Cataluña y la situación provocada por la entrada en vigor del Real Decreto-ley 20/2012, que, a su entender, ha comportado una ampliación considerable del nivel de regulación y de detalle de las bases en virtud del art. 149.1.13 CE toda vez que el grado o nivel de detalle de los preceptos declarados básicos ha sido tal que es imposible que tenga cabida el ejercicio de competencias estatutariamente asumidas por la Generalitat de Cataluña </w:t>
      </w:r>
      <w:r w:rsidRPr="00A90898">
        <w:rPr>
          <w:i/>
        </w:rPr>
        <w:t>ex</w:t>
      </w:r>
      <w:r>
        <w:t xml:space="preserve"> art. 121.1 EAC. De ahí que frente a la situación producida con la entrada en vigor del Real Decreto-ley 20/2012, una vez disuelta la IX Legislatura y convocadas las elecciones del Parlamento de Cataluña y ante la imposibilidad de iniciar el correspondiente trámite parlamentario, se aprobó la norma cuestionada, a los efectos de configurar de forma inmediata las normas regulatorias referidas al ejercicio de la actividad comercial en Cataluña, clarificar su aplicación y contenido y con el fin de minimizar al máximo los efectos negativos y la inseguridad jurídica que comportaba la doble regulación hacia un sector tan vulnerable como es el del comercio, restableciendo una situación similar a la existente con anterioridad a la entrada en vigor del Real Decreto-ley 20/2012, tal como se deduce de la exposición de motivos de la norma, de su memoria justificativa y del propio debate de convalidación. La urgencia en la adopción de las medidas cuestionadas vendría dada por la imposibilidad de tramitar un proyecto de ley mediante el procedimiento legislativo ordinario al estar disuelta la IX Legislatura, junto con la necesidad de “resolver la situación imprevisible que conllevó el cambio del régimen jurídico en materia de horarios comerciales producido unilateralmente por parte del Gobierno estatal, lo que produjo una desconcertante situación de inseguridad jurídica”. Alude a la doctrina constitucional en torno al reconocimiento de una situación de extraordinaria y urgente necesidad y los supuestos en lo que ha sido así apreciado, para concluir que el Decreto-ley 4/2012 no adolece de inconstitucionalidad por ser respetuoso con lo previsto en el apartado primero del art. 64 EAC, toda vez que concurre el presupuesto habilitante de la necesidad extraordinaria y urgente, por estar ésta explicitada y razonada, y por existir la necesaria conexión de sentido entre la situación de urgencia y excepcionalidad definida y la medida adoptada para hacerle frente.</w:t>
      </w:r>
    </w:p>
    <w:p w:rsidR="00A90898" w:rsidRDefault="00A90898" w:rsidP="00A90898">
      <w:pPr>
        <w:pStyle w:val="TextoNormal"/>
      </w:pPr>
    </w:p>
    <w:p w:rsidR="00A90898" w:rsidRDefault="00A90898" w:rsidP="00A90898">
      <w:pPr>
        <w:pStyle w:val="TextoNormal"/>
      </w:pPr>
      <w:r>
        <w:t xml:space="preserve">Seguidamente indica que el Decreto-ley 4/2012 es plenamente acorde con el orden constitucional de distribución de competencias por cuanto responde al ejercicio de una competencia autonómica reconocida en el art. 121.1 EAC. Expone también que la regulación en materia de comercio interior, objeto de la impugnación por la parte recurrente, cuyos aspectos regula también el Real Decreto-ley 20/2012, no ha sido una cuestión pacífica, toda vez </w:t>
      </w:r>
      <w:r>
        <w:lastRenderedPageBreak/>
        <w:t>que desde el Parlamento de Cataluña y desde el Gobierno de la Generalitat ya se ha manifestado explícitamente, aunque sea por distintos cauces, la disconformidad desde el punto de vista de la constitucionalidad del referido Real Decreto-ley.</w:t>
      </w:r>
    </w:p>
    <w:p w:rsidR="00A90898" w:rsidRDefault="00A90898" w:rsidP="00A90898">
      <w:pPr>
        <w:pStyle w:val="TextoNormal"/>
      </w:pPr>
    </w:p>
    <w:p w:rsidR="00A90898" w:rsidRDefault="00A90898" w:rsidP="00A90898">
      <w:pPr>
        <w:pStyle w:val="TextoNormal"/>
      </w:pPr>
      <w:r>
        <w:t>Entrando ya en el examen de los concretos preceptos impugnados señala que el recurso se basa en que la legislación básica de referencia para invocar la inconstitucionalidad mediata o indirecta del precepto autonómico impugnado respeta el bloque constitucional de reparto de competencias en materia de comercio interior. Por dicha razón, pasa a analizar el régimen constitucional y estatutario de distribución de competencias en materia de comercio interior, con la finalidad de justificar que los preceptos impugnados responden a un adecuado ejercicio de la competencia autonómica en materia de comercio del art. 121.1 EAC. Sostiene que la competencia autonómica sobre comercio interior debe interpretarse en el sentido de que no debe obstaculizar, ni directa ni indirectamente, la libertad de circulación de bienes, capitales y servicios y de mano de obra y además debe respetar la igualdad de las condiciones básicas de la actividad económica establecida en el art. 139.2 CE, sin que este último precepto pueda entenderse en términos absolutos. Con cita de decisiones de este Tribunal concluye que su posición consiste en ser respetuosa con la existencia de un claro equilibrio entre la necesidad del Estado de implementar unos principios básicos del orden económico en todo el territorio del Estado, y el efectivo ejercicio de las competencias autonómicas reconocidas estatutariamente en materia de comercio interior, con el fin de complementar y completar el referido orden competencial. En definitiva, de lo que se trata es de no postergar la capacidad de normación del legislador autonómico por el sólo hecho de aducir la competencia estatal sobre las bases de la planificación general de la actividad económica.</w:t>
      </w:r>
    </w:p>
    <w:p w:rsidR="00A90898" w:rsidRDefault="00A90898" w:rsidP="00A90898">
      <w:pPr>
        <w:pStyle w:val="TextoNormal"/>
      </w:pPr>
    </w:p>
    <w:p w:rsidR="00A90898" w:rsidRDefault="00A90898" w:rsidP="00A90898">
      <w:pPr>
        <w:pStyle w:val="TextoNormal"/>
      </w:pPr>
      <w:r>
        <w:t>Aplicando los anteriores criterios al régimen de distribución de competencias en materia de horarios comerciales y ventas promocionales, señala que el art. 149.1.13 CE, es un título que se define por la finalidad que persigue y no por las materias sobre las que actúa. Indica que, a su juicio, se ha llevado a cabo una interpretación excesivamente expansiva del referido título competencial, de modo que se ha aprobado una regulación que vulnera el bloque de la constitucionalidad, toda vez que se ha vetado cualquier posible opción al legislador autonómico en el ejercicio de las competencias estatutariamente reconocidas en materia de horarios comerciales y ventas promocionales. En definitiva, sostiene que al analizar la normativa impugnada se debe efectuar una valoración sobre la adecuación del Real Decreto-ley 20/2012 al art. 149.1.13 CE para determinar su verdadera incidencia, tanto en la actividad económica general como en la particular, siempre que atienda a fines generales y, una vez analizada dicha incidencia, se deberá dilucidar cuál es el margen que la legislación estatal básica deja a la Generalitat para regular la materia de comercio interior.</w:t>
      </w:r>
    </w:p>
    <w:p w:rsidR="00A90898" w:rsidRDefault="00A90898" w:rsidP="00A90898">
      <w:pPr>
        <w:pStyle w:val="TextoNormal"/>
      </w:pPr>
    </w:p>
    <w:p w:rsidR="00A90898" w:rsidRDefault="00A90898" w:rsidP="00A90898">
      <w:pPr>
        <w:pStyle w:val="TextoNormal"/>
      </w:pPr>
      <w:r>
        <w:t xml:space="preserve">Con arreglo a lo anterior la Letrada del Parlamento de Cataluña sostiene que la regulación contenida en los arts. 27 y 28 del Real Decreto-ley 20/2012, es formalmente básica pero desde el punto de vista material, excede de lo que debe entenderse como básico. El grado de desarrollo y detalle de la regulación estatal de urgencia es tan extensa que ocasiona un vaciamiento de las competencias de la Generalitat en materia de horarios comerciales y modalidades de venta </w:t>
      </w:r>
      <w:r w:rsidRPr="00A90898">
        <w:rPr>
          <w:i/>
        </w:rPr>
        <w:t>ex</w:t>
      </w:r>
      <w:r>
        <w:t xml:space="preserve"> art. 121.1 b) y c) EAC hasta el punto de desplazar o anular la potestad legislativa autonómica en materia de comercio interior, en la medida en que, una vez establecido el núcleo esencial sobre la materia de horarios comerciales y actividad promocional de venta para determinar la regulación común o uniforme para todo el territorio, </w:t>
      </w:r>
      <w:r>
        <w:lastRenderedPageBreak/>
        <w:t>se procede a descender a regulaciones de detalle que impiden el desarrollo normativo por parte de las Comunidades Autónomas en desarrollo de las competencias estatutariamente previstas. La consecuencia de lo anterior es que el Real Decreto-ley 20/2012 infringe el orden constitucional de distribución de competencias al descender a la regulación de cuestiones de detalle que no tienen incidencia sobre la ordenación general de la economía.</w:t>
      </w:r>
    </w:p>
    <w:p w:rsidR="00A90898" w:rsidRDefault="00A90898" w:rsidP="00A90898">
      <w:pPr>
        <w:pStyle w:val="TextoNormal"/>
      </w:pPr>
    </w:p>
    <w:p w:rsidR="00A90898" w:rsidRDefault="00A90898" w:rsidP="00A90898">
      <w:pPr>
        <w:pStyle w:val="TextoNormal"/>
      </w:pPr>
      <w:r>
        <w:t>Con arreglo a las anteriores premisas se examinan cada uno de los preceptos impugnados. En cuanto al apartado 2 del art. 1, letras a) b) e) d) y e) de la Ley catalana 8/2004, de horarios comerciales, en la redacción dada por el art. 1 del Decreto-ley 4/2012, establece una serie de normas a los efectos de poder modular el horario general. Indica que las normas de los horarios contenidas en las letras a) hasta la letra d) no suponen ningún cambio respecto a la establecida en su día. Y respecto a los motivos de la impugnación, añade que el límite de mínimos de la norma estatal impide cualquier opción propia de la Generalitat, de modo que el hecho que se establezca un número de horas máximas de apertura a las semana, la regulación del máximo de apertura de horas diarias o los días festivos en los que los establecimientos deban permanecer cerrados, no encuentra acomodo a los efectos de establecer una regulación general al amparo de la competencia en materia de ordenación y coordinación de la planificación general de la economía, sino que se relaciona con la competencia autonómica de ordenación administrativa de la actividad comercial.</w:t>
      </w:r>
    </w:p>
    <w:p w:rsidR="00A90898" w:rsidRDefault="00A90898" w:rsidP="00A90898">
      <w:pPr>
        <w:pStyle w:val="TextoNormal"/>
      </w:pPr>
    </w:p>
    <w:p w:rsidR="00A90898" w:rsidRDefault="00A90898" w:rsidP="00A90898">
      <w:pPr>
        <w:pStyle w:val="TextoNormal"/>
      </w:pPr>
      <w:r>
        <w:t>Respecto a las letras b), e), d), f), i), y j) del art. 2 de la Ley catalana 8/2004, en la redacción dada por el art. 2 del Decreto-ley 4/2012, afirma que establecen los criterios que deben tener en cuenta los establecimientos comerciales en materia de régimen de flexibilización horaria. Niega, asimismo, que se vulnere el art. 5 de la Ley de horarios comerciales, tal como se sostiene en la demanda, ya que ese precepto contiene una regulación tan detallada que no deja margen a la Generalitat para decidir su propia política de comercio en materia de horarios comerciales, así como para decidir qué tipo de establecimientos podrían disfrutar de un régimen de flexibilización horaria. Una argumentación similar se plantea respecto al artículo 2.2. Finalmente, la constitucionalidad del artículo 5 se defiende señalando que la submateria de ventas promocionales se incluye dentro del concepto o título competencial “comercio interior”, por lo que debe rechazarse el título competencial del Estado en materia de legislación mercantil invocado en el recurso de inconstitucionalidad.</w:t>
      </w:r>
    </w:p>
    <w:p w:rsidR="00A90898" w:rsidRDefault="00A90898" w:rsidP="00A90898">
      <w:pPr>
        <w:pStyle w:val="TextoNormal"/>
      </w:pPr>
    </w:p>
    <w:p w:rsidR="00A90898" w:rsidRDefault="00A90898" w:rsidP="00A90898">
      <w:pPr>
        <w:pStyle w:val="TextoNormal"/>
      </w:pPr>
      <w:r>
        <w:t>Por último, la Letrada del Parlamento de Cataluña solicita mediante otrosí, el levantamiento anticipado de la suspensión, por las razones que ya quedaron expuestas en el antecedente 5 del ATC 146/2013, de 5 de junio.</w:t>
      </w:r>
    </w:p>
    <w:p w:rsidR="00A90898" w:rsidRDefault="00A90898" w:rsidP="00A90898">
      <w:pPr>
        <w:pStyle w:val="TextoNormal"/>
      </w:pPr>
    </w:p>
    <w:p w:rsidR="00A90898" w:rsidRDefault="00A90898" w:rsidP="00A90898">
      <w:pPr>
        <w:pStyle w:val="TextoNormal"/>
      </w:pPr>
      <w:r w:rsidRPr="00A90898">
        <w:rPr>
          <w:rStyle w:val="NumeroAFNegritaCaracter"/>
        </w:rPr>
        <w:t>6</w:t>
      </w:r>
      <w:r>
        <w:t>. El Pleno, por providencia de 1 de abril de 2013, acordó incorporar a los autos los escritos de alegaciones que formulan los Letrados del Gobierno y del Parlamento de Cataluña, en representación de dicho Gobierno y Parlamento, y en cuanto a las solicitudes que formulan en los otrosíes acerca del levantamiento anticipado de la suspensión, oír al Abogado del Estado para que, en el plazo de cinco días, exponga lo que estime procedente al respecto.</w:t>
      </w:r>
    </w:p>
    <w:p w:rsidR="00A90898" w:rsidRDefault="00A90898" w:rsidP="00A90898">
      <w:pPr>
        <w:pStyle w:val="TextoNormal"/>
      </w:pPr>
    </w:p>
    <w:p w:rsidR="00A90898" w:rsidRDefault="00A90898" w:rsidP="00A90898">
      <w:pPr>
        <w:pStyle w:val="TextoNormal"/>
      </w:pPr>
      <w:r>
        <w:t>Evacuado dicho trámite por el Abogado del Estado el 9 de abril de 2013, el Pleno por ATC 146/2013, de 5 de junio, acordó mantener la suspensión de los preceptos impugnados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7</w:t>
      </w:r>
      <w:r>
        <w:t>. Por providencia de 13 de diciembre de 2016, se señaló para deliberación y votación de la presente Sentencia el día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presente resolución ha de resolver el recurso de inconstitucionalidad planteado por el Presidente del Gobierno contra los arts. 1.2, letras a) a e); 2.1, letras b), c), d), f), i) y l) y 2.2 de la Ley del Parlamento de Cataluña 8/2004, de 23 de diciembre, de horarios comerciales, en la redacción dada por el Decreto-ley 4/2012, de 30 de octubre, de medidas en materia de horarios comerciales, y 5 del mismo Decreto-ley 4/2012.</w:t>
      </w:r>
    </w:p>
    <w:p w:rsidR="00A90898" w:rsidRDefault="00A90898" w:rsidP="00A90898">
      <w:pPr>
        <w:pStyle w:val="TextoNormal"/>
      </w:pPr>
    </w:p>
    <w:p w:rsidR="00A90898" w:rsidRDefault="00A90898" w:rsidP="00A90898">
      <w:pPr>
        <w:pStyle w:val="TextoNormal"/>
      </w:pPr>
      <w:r>
        <w:t xml:space="preserve">Los motivos de inconstitucionalidad alegados son dos: la falta de concurrencia del presupuesto habilitante que justifique su inclusión en el Decreto-ley 4/2012 y la extralimitación competencial en la que incurrirían con la consiguiente vulneración de las competencias estatales </w:t>
      </w:r>
      <w:r w:rsidRPr="00A90898">
        <w:rPr>
          <w:i/>
        </w:rPr>
        <w:t>ex</w:t>
      </w:r>
      <w:r>
        <w:t xml:space="preserve"> arts. 149.1.6 y 149.1.13 CE, tal como las mismas se han ejercido en los arts. 27 y 28 del Real Decreto-ley 20/2012, de 13 de julio, de medidas para garantizar la estabilidad presupuestaria y de fomento de la competitividad. Tal como consta en los antecedentes, las representaciones procesales de la Generalitat de Cataluña y del Parlamento de Cataluña han negado las vulneraciones denunciadas.</w:t>
      </w:r>
    </w:p>
    <w:p w:rsidR="00A90898" w:rsidRDefault="00A90898" w:rsidP="00A90898">
      <w:pPr>
        <w:pStyle w:val="TextoNormal"/>
      </w:pPr>
    </w:p>
    <w:p w:rsidR="00A90898" w:rsidRDefault="00A90898" w:rsidP="00A90898">
      <w:pPr>
        <w:pStyle w:val="TextoNormal"/>
      </w:pPr>
      <w:r w:rsidRPr="00A90898">
        <w:rPr>
          <w:rStyle w:val="NumeroAFNegritaCaracter"/>
        </w:rPr>
        <w:t>2</w:t>
      </w:r>
      <w:r>
        <w:t>. Pendiente el presente proceso la disposición derogatoria.1 de la Ley 3/2014, de 19 de febrero, de horarios comerciales y de medidas para determinadas actividades de promoción de Cataluña, ha derogado la norma impugnada, lo que nos obliga a plantearnos los efectos que dicha derogación tiene sobre este recurso de inconstitucionalidad.</w:t>
      </w:r>
    </w:p>
    <w:p w:rsidR="00A90898" w:rsidRDefault="00A90898" w:rsidP="00A90898">
      <w:pPr>
        <w:pStyle w:val="TextoNormal"/>
      </w:pPr>
    </w:p>
    <w:p w:rsidR="00A90898" w:rsidRDefault="00A90898" w:rsidP="00A90898">
      <w:pPr>
        <w:pStyle w:val="TextoNormal"/>
      </w:pPr>
      <w:r>
        <w:t>Por tanto, es preciso recordar los criterios de la doctrina de este Tribunal respecto a la pérdida de objeto en los recursos de inconstitucionalidad, en relación con los dos motivos alegados por el Abogado del Estado.</w:t>
      </w:r>
    </w:p>
    <w:p w:rsidR="00A90898" w:rsidRDefault="00A90898" w:rsidP="00A90898">
      <w:pPr>
        <w:pStyle w:val="TextoNormal"/>
      </w:pPr>
    </w:p>
    <w:p w:rsidR="00A90898" w:rsidRDefault="00A90898" w:rsidP="00A90898">
      <w:pPr>
        <w:pStyle w:val="TextoNormal"/>
      </w:pPr>
      <w:r>
        <w:t>a) En primer lugar, la derogación de normas aprobadas en virtud de facultades legislativas de urgencia que tiene lugar durante la pendencia del recurso de inconstitucionalidad no excluye el control de este Tribunal sobre si al dictarlas se desbordaron los límites constitucionales ex art. 86.1 CE y, en lo que aquí interesa, sobre si concurría el presupuesto habilitante de la norma de urgencia (SSTC 155/2005, de 9 de junio, FJ 2; 329/2005, de 15 de diciembre, FJ 4, y 68/2007, de 28 de marzo, FJ 4). De este modo, este Tribunal puede velar por el recto ejercicio de la potestad de dictar decretos-leyes, dentro del marco constitucional, decidiendo la validez o invalidez de las normas impugnadas, sin atender a su vigencia o derogación en el momento en que se pronuncia el fallo [por todas, STC 183/2014, de 6 de noviembre, FJ 2 c)].</w:t>
      </w:r>
    </w:p>
    <w:p w:rsidR="00A90898" w:rsidRDefault="00A90898" w:rsidP="00A90898">
      <w:pPr>
        <w:pStyle w:val="TextoNormal"/>
      </w:pPr>
    </w:p>
    <w:p w:rsidR="00A90898" w:rsidRDefault="00A90898" w:rsidP="00A90898">
      <w:pPr>
        <w:pStyle w:val="TextoNormal"/>
      </w:pPr>
      <w:r>
        <w:t>Esta doctrina supone que la denuncia de vulneración de los arts. 86.1 CE y 64 del Estatuto de Autonomía de Cataluña (EAC) no se ve afectada por la regla general de la pérdida de objeto. La derogación de la norma no impedirá, por tanto, que podamos controlar si el ejercicio de la potestad reconocida al Gobierno de la Generalitat de Cataluña se realizó siguiendo las condiciones que le imponen la Constitución y el Estatuto de Autonomía de Cataluña [en un sentido similar, STC 230/2015, de 5 de noviembre, FJ 3 a)].</w:t>
      </w:r>
    </w:p>
    <w:p w:rsidR="00A90898" w:rsidRDefault="00A90898" w:rsidP="00A90898">
      <w:pPr>
        <w:pStyle w:val="TextoNormal"/>
      </w:pPr>
    </w:p>
    <w:p w:rsidR="00A90898" w:rsidRDefault="00A90898" w:rsidP="00A90898">
      <w:pPr>
        <w:pStyle w:val="TextoNormal"/>
      </w:pPr>
      <w:r>
        <w:lastRenderedPageBreak/>
        <w:t>b) La STC 82/2016, de 28 de abril, sintetiza la doctrina de este Tribunal acerca de la pérdida de objeto de los recursos de inconstitucionalidad con contenido competencial del modo siguiente: “a) en primer lugar, no pierden objeto cuando la norma impugnada es derogada y sustituida por otra que plantea esencialmente los mismos problemas competenciales, para lo cual resulta necesario realizar un contraste entre la Ley impugnada y la Ley vigente (así, SSTC 168/1993, de 27 de mayo, FJ 7; 61/1997, de 20 de marzo, FJ 3; 196/1997, de 13 de noviembre, FJ 2; 147/1998, de 2 de julio, FJ 5; 233/1999, de 12 de diciembre, FJ 3; 148/2000, de 1 de junio, FJ 3; 72/2003, de 10 de abril, FJ 2, y 18/2011, de 3 de marzo, FJ 3, por todas); b) lo mismo se ha afirmado cuando la norma impugnada no ha sido derogada, sino simplemente modificada, siempre y cuando el resultado de esa modificación permita concluir que el nuevo texto legal continúa suscitando, en esencia, los mismos problemas competenciales (así, SSTC 111/2012, de 24 de mayo, FJ 2, y 133/2012, de 19 de junio, FJ 2), pues en caso contrario habrá de concluirse que el recurso de inconstitucionalidad ha perdido su objeto [por todas, STC 143/2012, de 5 de julio, FJ 2 c)] de acuerdo con ese mismo criterio objetivo, si la norma impugnada es lisa y llanamente derogada sin que otra venga a sustituirla, o si la que la sustituye ya no plantea el mismo problema competencial, o si estamos ante una modificación en la que el nuevo texto legal resultante altera la controversia competencial planteada, la conclusión habrá de ser la aplicación de la regla general, según la cual el recurso de inconstitucionalidad se extingue en caso de derogación o modificación normativa, por desaparición sobrevenida del objeto del proceso constitucional”.</w:t>
      </w:r>
    </w:p>
    <w:p w:rsidR="00A90898" w:rsidRDefault="00A90898" w:rsidP="00A90898">
      <w:pPr>
        <w:pStyle w:val="TextoNormal"/>
      </w:pPr>
    </w:p>
    <w:p w:rsidR="00A90898" w:rsidRDefault="00A90898" w:rsidP="00A90898">
      <w:pPr>
        <w:pStyle w:val="TextoNormal"/>
      </w:pPr>
      <w:r>
        <w:t>c) El análisis debe realizarse, por tanto, precepto por precepto. La aplicación de los anteriores criterios al caso que examinamos produce el siguiente resultado.</w:t>
      </w:r>
    </w:p>
    <w:p w:rsidR="00A90898" w:rsidRDefault="00A90898" w:rsidP="00A90898">
      <w:pPr>
        <w:pStyle w:val="TextoNormal"/>
      </w:pPr>
    </w:p>
    <w:p w:rsidR="00A90898" w:rsidRDefault="00A90898" w:rsidP="00A90898">
      <w:pPr>
        <w:pStyle w:val="TextoNormal"/>
      </w:pPr>
      <w:r>
        <w:t>Por lo que respecta al art. 1.2, letras a) a e), de la Ley 8/2004, de 23 de diciembre, de horarios comerciales, en la redacción dada por el art. 1 del Decreto-ley 4/2012, resulta: i) que la letra c) del artículo 1.2 establecía en la redacción impugnada que “El tiempo semanal de apertura de estos establecimientos los días laborables es de setenta y dos horas, como máximo”, norma que no aparece en el vigente art. 1 de la Ley 3/2014, por lo que forzoso será concluir que el recurso ha perdido objeto en este punto, por cuanto la nueva norma ya no plantea esa controversia competencial relacionada con la limitación expresa del tiempo semanal de apertura autorizada; ii) la letra d) del mismo artículo 1.2 disponía en la redacción impugnada que “el número de domingos y festivos en que pueden permanecer abiertos los establecimientos es de ocho al año en total”, mientras que el vigente art. 1.2 c) de la Ley 3/2014 prescribe ahora que “el número de domingos y festivos en que pueden permanecer abiertos los establecimientos comerciales es de ocho al año. Cada ayuntamiento debe fijar dos festivos más para su ámbito territorial municipal, que deben comunicarse de acuerdo con lo que establezca una orden del departamento competente en materia de comercio”. La impugnación del Abogado del Estado se basaba en la contradicción con el art. 4.2 de la Ley 1/2004, de 21 de diciembre, de horarios comerciales, contradicción que no es posible apreciar ahora en la medida que la norma estatal fija un mínimo de diez domingos o festivos de apertura autorizada, número que coincide con el fijado ahora por la norma autonómica vigente. Por tanto, debemos considerar que no subsiste la controversia competencial trabada respecto a este precepto; iii) la controversia subsiste en los términos en los que fue planteada respecto a las letras a), b) y e) del art. 1.2 de la Ley 8/2004, en la redacción impugnada, que es la del Decreto-ley 4/2012, pues las tres previsiones se mantienen en la ya mencionada Ley 3/2014.</w:t>
      </w:r>
    </w:p>
    <w:p w:rsidR="00A90898" w:rsidRDefault="00A90898" w:rsidP="00A90898">
      <w:pPr>
        <w:pStyle w:val="TextoNormal"/>
      </w:pPr>
    </w:p>
    <w:p w:rsidR="00A90898" w:rsidRDefault="00A90898" w:rsidP="00A90898">
      <w:pPr>
        <w:pStyle w:val="TextoNormal"/>
      </w:pPr>
      <w:r>
        <w:lastRenderedPageBreak/>
        <w:t>En cuanto al art. 2.1, letras b), c), d), f), i) y l) y 2.2 de la misma Ley 8/2004, en la redacción dada por el Decreto-ley 4/2012, y 5 del Decreto-ley 4/2012 hemos de considerar que el recurso subsiste, pues dichas normas han sido sustituidas por otras de redacción similar (arts. 2 y 16.10 de la Ley 3/2014, respectivamente) con lo que continúan suscitándose los mismos problemas competenciales.</w:t>
      </w:r>
    </w:p>
    <w:p w:rsidR="00A90898" w:rsidRDefault="00A90898" w:rsidP="00A90898">
      <w:pPr>
        <w:pStyle w:val="TextoNormal"/>
      </w:pPr>
    </w:p>
    <w:p w:rsidR="00A90898" w:rsidRDefault="00A90898" w:rsidP="00A90898">
      <w:pPr>
        <w:pStyle w:val="TextoNormal"/>
      </w:pPr>
      <w:r>
        <w:t>d) En suma, en el presente proceso analizaremos la vulneración de los arts. 86.1 CE y 64 EAC que se imputa a todos los preceptos impugnados y las tachas de extralimitación competencial que se formulan a las letras a), b) y e) del art. 1.2, así como al art. 2.1, letras b), c), d), f), i) y l) y 2.2 de la Ley 8/2004, en la redacción del Decreto-ley 4/2012, y 5 del mismo Decreto-ley 4/2012.</w:t>
      </w:r>
    </w:p>
    <w:p w:rsidR="00A90898" w:rsidRDefault="00A90898" w:rsidP="00A90898">
      <w:pPr>
        <w:pStyle w:val="TextoNormal"/>
      </w:pPr>
    </w:p>
    <w:p w:rsidR="00A90898" w:rsidRDefault="00A90898" w:rsidP="00A90898">
      <w:pPr>
        <w:pStyle w:val="TextoNormal"/>
      </w:pPr>
      <w:r w:rsidRPr="00A90898">
        <w:rPr>
          <w:rStyle w:val="NumeroAFNegritaCaracter"/>
        </w:rPr>
        <w:t>3</w:t>
      </w:r>
      <w:r>
        <w:t>. Es también doctrina de este Tribunal —doctrina que se ha establecido en relación con los Decretos-leyes estatales pero que resulta igualmente de aplicación a los Decretos-leyes autonómicos (STC 104/2015, de 28 de mayo, FJ 4)— que “el examen de las infracciones que se refieren al art. 86 CE ha de ser prioritario en el orden de nuestro enjuiciamiento, toda vez que en este caso las infracciones denunciadas inciden directamente sobre la validez de los preceptos impugnados y se cuestiona la legitimidad constitucional de su inclusión en una norma de urgencia … de modo que, si se estimaran las alegaciones relativas al art. 86 CE, resultaría innecesario el examen de las restantes alegaciones” (entre otras, SSTC 1/2012, de 13 de enero, FJ 3; 182/2013, de 23 de octubre, FJ 3, y 104/2015,de 28 de mayo, FJ 4).</w:t>
      </w:r>
    </w:p>
    <w:p w:rsidR="00A90898" w:rsidRDefault="00A90898" w:rsidP="00A90898">
      <w:pPr>
        <w:pStyle w:val="TextoNormal"/>
      </w:pPr>
    </w:p>
    <w:p w:rsidR="00A90898" w:rsidRDefault="00A90898" w:rsidP="00A90898">
      <w:pPr>
        <w:pStyle w:val="TextoNormal"/>
      </w:pPr>
      <w:r>
        <w:t>De ahí que proceda examinar en primer lugar este motivo del recurso.</w:t>
      </w:r>
    </w:p>
    <w:p w:rsidR="00A90898" w:rsidRDefault="00A90898" w:rsidP="00A90898">
      <w:pPr>
        <w:pStyle w:val="TextoNormal"/>
      </w:pPr>
    </w:p>
    <w:p w:rsidR="00A90898" w:rsidRDefault="00A90898" w:rsidP="00A90898">
      <w:pPr>
        <w:pStyle w:val="TextoNormal"/>
      </w:pPr>
      <w:r>
        <w:t>Este Tribunal ha considerado que aunque la Constitución no prevea el Decreto-ley autonómico nada impide que el legislador estatutario pueda atribuir al Gobierno de las Comunidades Autónomas la potestad de dictar normas provisionales con rango de ley que adopten la forma de Decreto-ley siempre que los límites formales y materiales a los que se encuentren sometidos sean, como mínimo, los mismos que la Constitución impone al Decreto-ley estatal (SSTC 93/2015, de 14 de mayo, FFJJ 3 a 6; 104/2015 de 28 de mayo, FJ 4, y 38/2016, de 3 marzo, FJ 2, entre otras). Esto es, el Estatuto puede sólo añadir “cautelas o exclusiones adicionales” con el fin de “preservar más intensamente la posición del parlamento autonómico”. Ello implica que, para resolver la impugnación planteada frente al Decreto-ley catalán 4/2012, debamos tomar en consideración tanto la doctrina constitucional relativa al art. 86.1 CE, como los límites que haya podido concretar o añadir el legislador estatutario para el decreto-ley autonómico. En lo que resulta relevante para este proceso, el art. 64.1 EAC se refiere también a la “necesidad extraordinaria y urgente” como presupuesto habilitante para que el Gobierno pueda dictar “disposiciones legislativas provisionales bajo las forma de Decreto-ley”.</w:t>
      </w:r>
    </w:p>
    <w:p w:rsidR="00A90898" w:rsidRDefault="00A90898" w:rsidP="00A90898">
      <w:pPr>
        <w:pStyle w:val="TextoNormal"/>
      </w:pPr>
    </w:p>
    <w:p w:rsidR="00A90898" w:rsidRDefault="00A90898" w:rsidP="00A90898">
      <w:pPr>
        <w:pStyle w:val="TextoNormal"/>
      </w:pPr>
      <w:r>
        <w:t xml:space="preserve">En el examen de esta cuestión hemos de partir de la doctrina de la STC 93/2015, de 14 de mayo, recogida en la STC 230/2015, de 5 de noviembre. Allí señalamos que “un Estatuto de Autonomía no puede atribuir al Consejo de Gobierno autonómico poderes de legislación de urgencia que no estén sujetos, en lo que corresponda, a los límites consignados en el art. 86.1 CE como garantía del principio democrático. En todo caso el Tribunal Constitucional podrá, aplicando directamente el parámetro constitucional ínsito en dicho principio, controlar la constitucionalidad de la legislación de urgencia que pueda adoptar el citado Consejo </w:t>
      </w:r>
      <w:r>
        <w:lastRenderedPageBreak/>
        <w:t>de Gobierno”, y se añade que “a la hora de enjuiciar la concurrencia del presupuesto habilitante del art. 86.1 CE, esto es, la extraordinaria y urgente necesidad del decreto-ley autonómico, este Tribunal deberá ponderar la competencia autonómica ejercida al efecto, pues la naturaleza y alcance de las competencias autonómicas hacen, en principio, menos necesario el recurso a la aprobación de normas legales de urgencia” (STC 93/2015, FJ 5).</w:t>
      </w:r>
    </w:p>
    <w:p w:rsidR="00A90898" w:rsidRDefault="00A90898" w:rsidP="00A90898">
      <w:pPr>
        <w:pStyle w:val="TextoNormal"/>
      </w:pPr>
    </w:p>
    <w:p w:rsidR="00A90898" w:rsidRDefault="00A90898" w:rsidP="00A90898">
      <w:pPr>
        <w:pStyle w:val="TextoNormal"/>
      </w:pPr>
      <w:r>
        <w:t>La doctrina de este Tribunal ha sostenido también que,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157/2016, de 22 de septiembre, FJ 5, con cita de otras).</w:t>
      </w:r>
    </w:p>
    <w:p w:rsidR="00A90898" w:rsidRDefault="00A90898" w:rsidP="00A90898">
      <w:pPr>
        <w:pStyle w:val="TextoNormal"/>
      </w:pPr>
    </w:p>
    <w:p w:rsidR="00A90898" w:rsidRDefault="00A90898" w:rsidP="00A90898">
      <w:pPr>
        <w:pStyle w:val="TextoNormal"/>
      </w:pPr>
      <w:r>
        <w:t>Lo anterior supone que el Gobierno autonómico debe describir, como se le exige al ejecutivo estatal, “la situación de necesidad de modo explícito y razonado”, sin necesidad de que “se refiera expresamente a todos y cada uno de los elementos determinantes de la misma, lo que no sería coherente con que la citada doctrina constitucional califique la decisión gubernativa de dictar un decreto-ley de ‘juicio político o de oportunidad’ y defina la verificación de esta decisión que atañe al Tribunal como ‘control externo’ a realizar mediante una ‘valoración conjunta de todos aquellos factores que determinaron al Gobierno a dictar la disposición legal excepcional’” (STC 93/2015, FJ 5). Finalmente nuestra doctrina recuerda que, es potestad del Tribunal valorar, de acuerdo al control externo referido, la concurrencia del presupuesto habilitante en términos más exigentes que los expresados en relación con los decretos-leyes estatales, a la hora de valorar la necesidad de “una acción legislativa que se materialice ‘en un plazo más breve que el requerido para la tramitación de las Leyes’ (por todas, STC 111/1983, de 2 de diciembre, FJ 6)” y a la hora de encuadrar el ejercicio de la potestad normativa autonómica dentro del haz de competencias que son propias de la Comunidad Autónoma.</w:t>
      </w:r>
    </w:p>
    <w:p w:rsidR="00A90898" w:rsidRDefault="00A90898" w:rsidP="00A90898">
      <w:pPr>
        <w:pStyle w:val="TextoNormal"/>
      </w:pPr>
    </w:p>
    <w:p w:rsidR="00A90898" w:rsidRDefault="00A90898" w:rsidP="00A90898">
      <w:pPr>
        <w:pStyle w:val="TextoNormal"/>
      </w:pPr>
      <w:r w:rsidRPr="00A90898">
        <w:rPr>
          <w:rStyle w:val="NumeroAFNegritaCaracter"/>
        </w:rPr>
        <w:t>4</w:t>
      </w:r>
      <w:r>
        <w:t>. Conforme a lo anterior, cumple ahora valorar si, siempre dentro del “control externo” que nos compete, concurría el presupuesto habilitante de extraordinaria y urgente necesidad en el momento de ser aprobado el Decreto-ley 4/2012.</w:t>
      </w:r>
    </w:p>
    <w:p w:rsidR="00A90898" w:rsidRDefault="00A90898" w:rsidP="00A90898">
      <w:pPr>
        <w:pStyle w:val="TextoNormal"/>
      </w:pPr>
    </w:p>
    <w:p w:rsidR="00A90898" w:rsidRDefault="00A90898" w:rsidP="00A90898">
      <w:pPr>
        <w:pStyle w:val="TextoNormal"/>
      </w:pPr>
      <w:r>
        <w:t>Esa valoración exige acudir a un doble canon aplicable también en el caso de los decretos-leyes autonómicos, es decir, i) la identificación, por el Gobierno autonómico, de manera explícita y razonada de la concurrencia de esa singular situación, la extraordinaria y urgente necesidad, determinante de la aparición del presupuesto que le habilita para dictar con carácter excepcional una norma con rango de ley formal, y ii) la verificación de la existencia de una conexión de sentido o relación de adecuación entre ese presupuesto habilitante y las medidas contenidas en la norma de urgencia, de modo que éstas han de guardar una relación directa o de congruencia con la situación que se trata de afrontar.</w:t>
      </w:r>
    </w:p>
    <w:p w:rsidR="00A90898" w:rsidRDefault="00A90898" w:rsidP="00A90898">
      <w:pPr>
        <w:pStyle w:val="TextoNormal"/>
      </w:pPr>
    </w:p>
    <w:p w:rsidR="00A90898" w:rsidRDefault="00A90898" w:rsidP="00A90898">
      <w:pPr>
        <w:pStyle w:val="TextoNormal"/>
      </w:pPr>
      <w:r>
        <w:t>En cuanto al primero de estos aspectos, la definición de la situación de urgencia se razona en la exposición de motivos del Decreto-ley 4/2012 en los términos siguientes.</w:t>
      </w:r>
    </w:p>
    <w:p w:rsidR="00A90898" w:rsidRDefault="00A90898" w:rsidP="00A90898">
      <w:pPr>
        <w:pStyle w:val="TextoNormal"/>
      </w:pPr>
    </w:p>
    <w:p w:rsidR="00A90898" w:rsidRDefault="00A90898" w:rsidP="00A90898">
      <w:pPr>
        <w:pStyle w:val="TextoNormal"/>
      </w:pPr>
      <w:r>
        <w:lastRenderedPageBreak/>
        <w:t>Tras exponer la evolución del régimen de la actividad comercial en Cataluña, señala que la publicación del Real Decreto-ley 20/2012, de 13 de julio, introduce modificaciones normativas significativas en la regulación de los horarios comerciales y en la regulación de las actividades promocionales de ventas, que, a juicio de la exposición de motivos, “introducen nuevos elementos de ambigüedad en relación al marco normativo aplicable a partir de las competencias que el Estatuto de autonomía de Cataluña reconoce como exclusivas”. Indica además que “este Real Decreto-ley establece una serie de preceptos en materia de horarios comerciales con unos plazos que finalizan bien a los seis meses de su entrada en vigor o bien el 31 de diciembre de este año”, mientras que respecto a la venta en rebajas explica que la regulación estatal señala por un lado que “las rebajas se podrán realizar en los períodos estacionales de mayor interés comercial, según el criterio de cada comerciante; asimismo se establece que la duración de cada período de rebajas será decidido libremente por cada comerciante” y también fija en cuanto a los criterios a tener en cuenta a la hora de determinar los días festivos de apertura comercial autorizada —“la apertura en domingos y festivos correspondientes a los períodos de rebajas”, lo que “obliga a establecer cuáles son estos períodos en los que el comerciante libremente podrá realizar, o no, venta en rebajas sin las limitaciones, que desaparecen, que hasta la entrada en vigor del Real decreto ley 20/2012, se establecían en el punto 2 del artículo 25 de la Ley 7/1996 —duraciones mínimas y máximas de la venta en rebajas”.</w:t>
      </w:r>
    </w:p>
    <w:p w:rsidR="00A90898" w:rsidRDefault="00A90898" w:rsidP="00A90898">
      <w:pPr>
        <w:pStyle w:val="TextoNormal"/>
      </w:pPr>
    </w:p>
    <w:p w:rsidR="00A90898" w:rsidRDefault="00A90898" w:rsidP="00A90898">
      <w:pPr>
        <w:pStyle w:val="TextoNormal"/>
      </w:pPr>
      <w:r>
        <w:t>En otro orden de cuestiones, se señala que la entrada en vigor del Real Decreto-ley 20/2012 “ha comportado la ruptura del equilibrio competencial existente hasta este momento entre Estado y Generalidad, tanto en materia de horarios comerciales como en determinados aspectos de la regulación de las ventas promocionales, y en todo caso este nuevo marco normativo obliga a adoptar con carácter de urgencia medidas que clarifiquen cuáles son las disposiciones aplicables en Cataluña en estos ámbitos, especialmente teniendo en cuenta los efectos que prevén los puntos 4 y 5 del artículo 27 del Real decreto ley 20/2012, de 13 de julio —de manera inmediata: libertad de horarios, 24 horas al día 365 días al año, excepto los días festivos, y de manera diferida (a partir del 1 de enero de 2013) apertura durante todos los días festivos del año—, en caso de que la Generalidad no apruebe una regulación específica”. Esta situación requiere “detallar de una manera clara en una disposición, que por los motivos expuestos tiene que utilizar la figura del decreto ley, cuál es la normativa aplicable en Cataluña en materia de horarios comerciales y en materia de actividades comerciales promocionales, visto el conjunto de modificaciones normativas mencionadas, y en virtud de los títulos competenciales en juego, en defensa de las competencias exclusivas de la Generalidad en materia de comercio”.</w:t>
      </w:r>
    </w:p>
    <w:p w:rsidR="00A90898" w:rsidRDefault="00A90898" w:rsidP="00A90898">
      <w:pPr>
        <w:pStyle w:val="TextoNormal"/>
      </w:pPr>
    </w:p>
    <w:p w:rsidR="00A90898" w:rsidRDefault="00A90898" w:rsidP="00A90898">
      <w:pPr>
        <w:pStyle w:val="TextoNormal"/>
      </w:pPr>
      <w:r>
        <w:t>Se alude finalmente al previsible surgimiento de controversias competenciales respecto a la norma estatal y a la necesidad de “preservar y clarificar el marco jurídico aplicable en Cataluña hasta el momento en que se produce el pronunciamiento de la autoridad jurisdiccional competente por lo que respecta a los títulos competenciales respectivamente invocados”.</w:t>
      </w:r>
    </w:p>
    <w:p w:rsidR="00A90898" w:rsidRDefault="00A90898" w:rsidP="00A90898">
      <w:pPr>
        <w:pStyle w:val="TextoNormal"/>
      </w:pPr>
    </w:p>
    <w:p w:rsidR="00A90898" w:rsidRDefault="00A90898" w:rsidP="00A90898">
      <w:pPr>
        <w:pStyle w:val="TextoNormal"/>
      </w:pPr>
      <w:r>
        <w:t xml:space="preserve">Estas mismas razones se reiteran, en sede parlamentaria, por el Consejero de Empresa y Ocupación de la Generalitat, con ocasión del debate parlamentario de validación del Decreto-ley 4/2012 que tuvo lugar en la Diputación Permanente del Parlamento de Cataluña el día 3 de diciembre de 2012. Así, alude a lo que considera una invasión competencial estatal en materia de horarios comerciales y actividades de promoción de ventas, señalando que la </w:t>
      </w:r>
      <w:r>
        <w:lastRenderedPageBreak/>
        <w:t>norma pretende restaurar la seguridad jurídica y defender las competencias exclusivas. En concreto, justifica la necesidad extraordinaria y urgente indicando que la norma estatal contiene disposiciones de aplicación directa a los operadores u obligaciones con plazos que finalizan el 31 de diciembre de 2012.</w:t>
      </w:r>
    </w:p>
    <w:p w:rsidR="00A90898" w:rsidRDefault="00A90898" w:rsidP="00A90898">
      <w:pPr>
        <w:pStyle w:val="TextoNormal"/>
      </w:pPr>
    </w:p>
    <w:p w:rsidR="00A90898" w:rsidRDefault="00A90898" w:rsidP="00A90898">
      <w:pPr>
        <w:pStyle w:val="TextoNormal"/>
      </w:pPr>
      <w:r w:rsidRPr="00A90898">
        <w:rPr>
          <w:rStyle w:val="NumeroAFNegritaCaracter"/>
        </w:rPr>
        <w:t>5</w:t>
      </w:r>
      <w:r>
        <w:t>. De acuerdo con lo expuesto y en el ámbito del control externo que corresponde realizar a este Tribunal, “que debe verificar, pero no sustituir, el juicio político o de oportunidad que corresponde al Gobierno” (STC 182/1997, de 30 de octubre, FJ 3), el Tribunal aprecia, en primer lugar, que el Gobierno de la Generalitat cumple con la exigencia de exponer explícita y razonadamente la situación de extraordinaria y urgente necesidad que le habilita, según el art. 64 EAC, a dictar disposiciones legislativas provisionales con la forma de decretos-leyes, aportando una justificación suficiente que permite apreciar la existencia de dicho presupuesto habilitante.</w:t>
      </w:r>
    </w:p>
    <w:p w:rsidR="00A90898" w:rsidRDefault="00A90898" w:rsidP="00A90898">
      <w:pPr>
        <w:pStyle w:val="TextoNormal"/>
      </w:pPr>
    </w:p>
    <w:p w:rsidR="00A90898" w:rsidRDefault="00A90898" w:rsidP="00A90898">
      <w:pPr>
        <w:pStyle w:val="TextoNormal"/>
      </w:pPr>
      <w:r>
        <w:t>Dicha justificación alude a dos aspectos. La discrepancia competencial planteada en torno a la regulación del Real Decreto-ley 20/2012, que se entiende invasiva de las competencias autonómicas. Y la decisión de desarrollar aquellos aspectos en materia de horarios, apertura en festivos y venta en rebajas que, a juicio del Gobierno catalán, era posible efectuar conforme al propio marco normativo derivado del Real Decreto-ley 20/2012.</w:t>
      </w:r>
    </w:p>
    <w:p w:rsidR="00A90898" w:rsidRDefault="00A90898" w:rsidP="00A90898">
      <w:pPr>
        <w:pStyle w:val="TextoNormal"/>
      </w:pPr>
    </w:p>
    <w:p w:rsidR="00A90898" w:rsidRDefault="00A90898" w:rsidP="00A90898">
      <w:pPr>
        <w:pStyle w:val="TextoNormal"/>
      </w:pPr>
      <w:r>
        <w:t>Tal y como ha apreciado este Tribunal [STC 18/2016, de 4 de febrero, FFJJ 9 a) y b)], el Real Decreto-ley 20/2012 contenía diversas remisiones al legislador autonómico para que, dentro de unos plazos perentorios, complementara la regulación estatal, estableciendo, en su defecto, la aplicación de un régimen de libertad de horarios y de apertura en domingos y festivos. Ciertamente la norma que examinamos ha fijado una ordenación de los horarios comerciales, de la apertura de domingos y festivos y de las temporadas de rebajas que no ha resultado pacífica en cuanto que también ha sido impugnada por motivos competenciales, pero eso no resulta relevante en este momento del enjuiciamiento, centrado en la existencia del presupuesto habilitante de la norma de urgencia. Lo que sí es relevante es que, como también ha señalado el Abogado del Estado en sus alegaciones, la regulación en la norma estatal de los horarios comerciales y de los domingos y festivos de apertura autorizada no era cerrada, sino que incluía una remisión a la legislación autonómica para que determinara, dentro de los límites fijados por el propio Real Decreto-ley 20/2012, el horario global semanal y el calendario de domingos y festivos de apertura para el año 2013. También dispuso, en ausencia de regulación autonómica, la plena libertad de los comerciantes para la fijación de los horarios comerciales y de los domingos y festivos de apertura autorizada. Es decir, que era la propia norma estatal la que reclamaba la intervención normativa autonómica estableciendo, en su defecto, un régimen de plena libertad horaria. Junto a ello, también ha quedado justificada, desde la perspectiva de la extraordinaria y urgente necesidad que estamos examinando, la necesidad de regular los períodos de venta en rebajas, pues la exposición de motivos argumenta que puede deducirse de un determinado entendimiento de las normas estatales [art. 25 de la Ley de ordenación del comercio minorista en relación con el art. 4.5 b) de la Ley de horarios comerciales], que correspondía a las Comunidades Autónomas determinar las temporadas de ventas en rebajas, sin que nos corresponda ahora hacer juicio alguno sobre dicha interpretación desde la perspectiva de la distribución de competencias entre el Estado y la Comunidad Autónoma.</w:t>
      </w:r>
    </w:p>
    <w:p w:rsidR="00A90898" w:rsidRDefault="00A90898" w:rsidP="00A90898">
      <w:pPr>
        <w:pStyle w:val="TextoNormal"/>
      </w:pPr>
    </w:p>
    <w:p w:rsidR="00A90898" w:rsidRDefault="00A90898" w:rsidP="00A90898">
      <w:pPr>
        <w:pStyle w:val="TextoNormal"/>
      </w:pPr>
      <w:r>
        <w:lastRenderedPageBreak/>
        <w:t>Es decir, la urgente y extraordinaria necesidad se encuentra en el ejercicio de la potestad autonómica de determinación del régimen de horarios comerciales, domingos y festivos de apertura y de temporadas de rebajas con el fin de evitar que la ausencia de regulación territorial comportase la aplicación del régimen de libertad absoluta establecido en los arts. 27 y 28 y las disposiciones adicional undécima, transitoria decimocuarta y finales segunda y tercera del Real Decreto-ley 20/2012. Recurso a la norma de urgencia que, por lo demás, se ha producido en otras Comunidades Autónomas, por las mismas razones de adaptación urgente al marco normativo estatal que aquí apreciamos, sin que dicha actuación del legislador de urgencia haya resultado controvertida. Es el caso de Castilla y León (artículo 8 del Decreto-ley 1/2012, de 16 de agosto, de medidas urgentes para garantizar la estabilidad presupuestaria); Andalucía (artículo único del Decreto-ley 1/2013, de 29 de enero, que el Decreto Legislativo 1/2012, de 20 de marzo, que aprueba el texto refundido de la Ley del comercio interior de Andalucía y establece otras medidas urgentes en el ámbito comercial, turístico y urbanístico); Aragón (artículo 2 del Decreto-ley 1/2013, de 9 de enero, que modifica la Ley 9/1989, de 5 de octubre, de ordenación de la actividad comercial y la Ley 7/2005, de 4 de octubre, de horarios comerciales y apertura de festivos); Extremadura (artículos 1 a 4 del Decreto-ley 3/2012, de 19 de octubre, de estímulo de la actividad comercial), o Illes Balears (artículos 1 a 4 del Decreto-ley 11/2012, de 19 de octubre, de modificación de la Ley 11/2001, de 15 de junio, de ordenación de la actividad comercial en las Illes Balears).</w:t>
      </w:r>
    </w:p>
    <w:p w:rsidR="00A90898" w:rsidRDefault="00A90898" w:rsidP="00A90898">
      <w:pPr>
        <w:pStyle w:val="TextoNormal"/>
      </w:pPr>
    </w:p>
    <w:p w:rsidR="00A90898" w:rsidRDefault="00A90898" w:rsidP="00A90898">
      <w:pPr>
        <w:pStyle w:val="TextoNormal"/>
      </w:pPr>
      <w:r>
        <w:t>A ello se une, que, en el caso de Cataluña, ese recurso al decreto-ley viene también justificado por la disolución del Parlamento debido a la convocatoria de elecciones autonómicas (Decreto 104/2012, de 1 de octubre, de convocatoria de elecciones al Parlamento de Cataluña y de su disolución, que dispone la celebración de elecciones el 25 de noviembre de 2012), lo que, ya de por sí, imposibilitaba la intervención de la Cámara para aprobar las normas reclamadas o permitidas por la regulación estatal en el plazo por ella prevista.</w:t>
      </w:r>
    </w:p>
    <w:p w:rsidR="00A90898" w:rsidRDefault="00A90898" w:rsidP="00A90898">
      <w:pPr>
        <w:pStyle w:val="TextoNormal"/>
      </w:pPr>
    </w:p>
    <w:p w:rsidR="00A90898" w:rsidRDefault="00A90898" w:rsidP="00A90898">
      <w:pPr>
        <w:pStyle w:val="TextoNormal"/>
      </w:pPr>
      <w:r>
        <w:t>Esta conclusión no se ve enervada por la referencia a la primera de las razones alegadas —la discrepancia competencial con la norma estatal— que, a juicio del Abogado del Estado, se presenta como respuesta a una modificación del marco normativo estatal del que se deduce la necesidad de que la Comunidad Autónoma ocupe un determinado espacio con el fin de excluir del mismo a la norma estatal, en tanto se sustancia por el Tribunal Constitucional la controversia competencial en esta materia. En efecto, de las afirmaciones de la exposición de motivos acerca del debate competencial trabado entre la norma estatal y la autonómica no cabe deducir, como hace el Abogado del Estado, que el Decreto-ley se dicte con la finalidad de no cumplir la norma estatal, sino únicamente su voluntad de establecer la ordenación del comercio en Cataluña, específicamente en los tres aspectos que ya se han mencionado que, en el ejercicio de sus competencias, se considere mejor para los intereses de la Comunidad Autónoma. La circunstancia de que esta regulación se dicte con la finalidad de fijar de manera clara las normas aplicables no es, en sí misma, merecedora de reproche alguno, pues de la misma solo cabe presumir el legítimo ejercicio de sus competencias, sin perjuicio de advertir que, en el momento en que esta norma de urgencia se aprueba, el carácter básico de las previsiones del Real Decreto-ley 20/2012 no había sido confirmado por este Tribunal (en un sentido similar, STC 157/2016, FJ 6).</w:t>
      </w:r>
    </w:p>
    <w:p w:rsidR="00A90898" w:rsidRDefault="00A90898" w:rsidP="00A90898">
      <w:pPr>
        <w:pStyle w:val="TextoNormal"/>
      </w:pPr>
    </w:p>
    <w:p w:rsidR="00A90898" w:rsidRDefault="00A90898" w:rsidP="00A90898">
      <w:pPr>
        <w:pStyle w:val="TextoNormal"/>
      </w:pPr>
      <w:r>
        <w:t xml:space="preserve">Por último, ha de apreciarse también que existe la necesaria conexión de sentido entre la situación de urgencia apreciada y las medidas adoptadas, pues es evidente que desarrollan </w:t>
      </w:r>
      <w:r>
        <w:lastRenderedPageBreak/>
        <w:t>la regulación estatal en la materia, sin perjuicio del juicio de fondo que merezcan en el examen desde la perspectiva competencial que el proceso nos reclama.</w:t>
      </w:r>
    </w:p>
    <w:p w:rsidR="00A90898" w:rsidRDefault="00A90898" w:rsidP="00A90898">
      <w:pPr>
        <w:pStyle w:val="TextoNormal"/>
      </w:pPr>
    </w:p>
    <w:p w:rsidR="00A90898" w:rsidRDefault="00A90898" w:rsidP="00A90898">
      <w:pPr>
        <w:pStyle w:val="TextoNormal"/>
      </w:pPr>
      <w:r>
        <w:t>Consecuentemente, no cabe apreciar que el Decreto-ley impugnado haya vulnerado los arts. 86.1 CE y 64.1 EAC.</w:t>
      </w:r>
    </w:p>
    <w:p w:rsidR="00A90898" w:rsidRDefault="00A90898" w:rsidP="00A90898">
      <w:pPr>
        <w:pStyle w:val="TextoNormal"/>
      </w:pPr>
    </w:p>
    <w:p w:rsidR="00A90898" w:rsidRDefault="00A90898" w:rsidP="00A90898">
      <w:pPr>
        <w:pStyle w:val="TextoNormal"/>
      </w:pPr>
      <w:r w:rsidRPr="00A90898">
        <w:rPr>
          <w:rStyle w:val="NumeroAFNegritaCaracter"/>
        </w:rPr>
        <w:t>6</w:t>
      </w:r>
      <w:r>
        <w:t>. En segundo lugar el Abogado del Estado alega la extralimitación competencial en la que incurrirían los preceptos impugnados al regular los horarios comerciales, que se entienden contrarios a las competencias estatales del art. 149.1.13 CE.</w:t>
      </w:r>
    </w:p>
    <w:p w:rsidR="00A90898" w:rsidRDefault="00A90898" w:rsidP="00A90898">
      <w:pPr>
        <w:pStyle w:val="TextoNormal"/>
      </w:pPr>
    </w:p>
    <w:p w:rsidR="00A90898" w:rsidRDefault="00A90898" w:rsidP="00A90898">
      <w:pPr>
        <w:pStyle w:val="TextoNormal"/>
      </w:pPr>
      <w:r>
        <w:t>Las normas autonómicas estarían desconociendo la legislación básica dictada al amparo de dicho título competencial, en particular el art. 27 del Real Decreto-ley 20/2012 en materia de horarios comerciales. El artículo 27 modificó los arts. 3.1 (horario global), 4 (domingos y festivos), 5 (establecimientos con régimen especial de horarios), así como las disposiciones adicionales primera (régimen de libertad de horarios) y segunda (libertad de elección de domingos y festivos), de la de la Ley de horarios comerciales. Tales reproches se formulan a la nueva redacción que los arts. 1 y 2 del Decreto-ley 4/2012 han dado a los arts. 1.2, letras a) y e); 2.1, letras b), c), d), f), i) y l) y 2.2 de la Ley del Parlamento de Cataluña 8/2004, de 23 de diciembre, de horarios comerciales.</w:t>
      </w:r>
    </w:p>
    <w:p w:rsidR="00A90898" w:rsidRDefault="00A90898" w:rsidP="00A90898">
      <w:pPr>
        <w:pStyle w:val="TextoNormal"/>
      </w:pPr>
    </w:p>
    <w:p w:rsidR="00A90898" w:rsidRDefault="00A90898" w:rsidP="00A90898">
      <w:pPr>
        <w:pStyle w:val="TextoNormal"/>
      </w:pPr>
      <w:r>
        <w:t>Dicha vulneración competencial es negada por las representaciones procesales de la Generalitat y del Parlamento de Cataluña que argumentan que las normas impugnadas responden a un adecuado ejercicio de la competencia autonómica en materia de comercio interior y niegan el carácter básico de la Ley de horarios comerciales, en la redacción dada a la misma por el art. 27 del Real Decreto-ley 20/2012, de manera que no podría operar como parámetro de control de los preceptos autonómicos.</w:t>
      </w:r>
    </w:p>
    <w:p w:rsidR="00A90898" w:rsidRDefault="00A90898" w:rsidP="00A90898">
      <w:pPr>
        <w:pStyle w:val="TextoNormal"/>
      </w:pPr>
    </w:p>
    <w:p w:rsidR="00A90898" w:rsidRDefault="00A90898" w:rsidP="00A90898">
      <w:pPr>
        <w:pStyle w:val="TextoNormal"/>
      </w:pPr>
      <w:r>
        <w:t>Las partes no discuten el encuadramiento competencial de la cuestión discutida que es el del comercio interior, competencia en la que, conforme a nuestra doctrina, se integran los horarios comerciales (por todas, STC 88/2010, de 15 de noviembre, FJ 2). El debate se centra en determinar si la norma autonómica vulnera la normativa básica en materia de horarios comerciales constituida, en el momento de interponerse el recurso, por la Ley 1/2004, en la redacción dada por el art. 27 del Real Decreto-ley 20/2012, o si, por el contrario, la regulación estatal que se propone como parámetro indirecto o mediato de constitucionalidad no tiene realmente carácter básico.</w:t>
      </w:r>
    </w:p>
    <w:p w:rsidR="00A90898" w:rsidRDefault="00A90898" w:rsidP="00A90898">
      <w:pPr>
        <w:pStyle w:val="TextoNormal"/>
      </w:pPr>
    </w:p>
    <w:p w:rsidR="00A90898" w:rsidRDefault="00A90898" w:rsidP="00A90898">
      <w:pPr>
        <w:pStyle w:val="TextoNormal"/>
      </w:pPr>
      <w:r>
        <w:t>Se plantea así un problema que la doctrina de este Tribunal ha calificado de inconstitucionalidad mediata o indirecta, de manera que lo primero que hay que analizar es “si la norma estatal infringida por la ley autonómica [es], en el doble sentido material y formal, una norma básica y, por tanto, dictada legítimamente al amparo del correspondiente título competencial que la Constitución haya reservado al Estado. Y, en segundo lugar, [si] la contradicción entre ambas normas, estatal y autonómica, [es] efectiva e insalvable por vía interpretativa” (SSTC 219/2013, de 19 de diciembre, FJ 4, y 210/2014, de 18 de diciembre, FJ 4, citada en STC 200/2015, de 24 de septiembre, FJ 4).</w:t>
      </w:r>
    </w:p>
    <w:p w:rsidR="00A90898" w:rsidRDefault="00A90898" w:rsidP="00A90898">
      <w:pPr>
        <w:pStyle w:val="TextoNormal"/>
      </w:pPr>
    </w:p>
    <w:p w:rsidR="00A90898" w:rsidRDefault="00A90898" w:rsidP="00A90898">
      <w:pPr>
        <w:pStyle w:val="TextoNormal"/>
      </w:pPr>
      <w:r>
        <w:t xml:space="preserve">Puesto que en el enjuiciamiento competencial que se nos demanda hemos de atender al parámetro vigente en el momento de dictar Sentencia, cumple también advertir que los apartados 1 y 2 del art. 7 del Real Decreto-ley 8/2014, de 4 de julio, de aprobación de medidas </w:t>
      </w:r>
      <w:r>
        <w:lastRenderedPageBreak/>
        <w:t>urgentes para el crecimiento, la competitividad y la eficiencia, y, después, por los apartados 1 y 2 del art. 7 de la Ley 18/2014, de 15 de octubre, también de aprobación de medidas urgentes para el crecimiento, la competitividad y la eficiencia, modificaron los apartados 4 y 5 del art. 5 de aquella Ley 1/2004, si bien tales modificaciones no resultan ahora relevantes a efectos de este proceso, tal y como se verá a continuación.</w:t>
      </w:r>
    </w:p>
    <w:p w:rsidR="00A90898" w:rsidRDefault="00A90898" w:rsidP="00A90898">
      <w:pPr>
        <w:pStyle w:val="TextoNormal"/>
      </w:pPr>
    </w:p>
    <w:p w:rsidR="00A90898" w:rsidRDefault="00A90898" w:rsidP="00A90898">
      <w:pPr>
        <w:pStyle w:val="TextoNormal"/>
      </w:pPr>
      <w:r>
        <w:t xml:space="preserve">El artículo 27 del Real Decreto-ley 20/2012 es un precepto formalmente básico, pues con tal carácter se proclama en su disposición final cuarta. Su carácter materialmente básico se desprende de la doctrina que este Tribunal ha establecido en las SSTC 156/2015, de 9 de julio, FJ 10, y 18/2016, de 4 de febrero, FJ 9. En ambas se señaló que el Estado al dictar las reglas impugnadas contenidas en el art. 27 del Real Decreto-ley 20/2012, con el carácter de norma básica </w:t>
      </w:r>
      <w:r w:rsidRPr="00A90898">
        <w:rPr>
          <w:i/>
        </w:rPr>
        <w:t>ex</w:t>
      </w:r>
      <w:r>
        <w:t xml:space="preserve"> art. 149.1.13 CE, se había atenido a un ejercicio adecuado de sus competencias, sin incurrir en un exceso competencial vulnerador de las competencias autonómicas en materia de comercio interior, criterio ratificado en decisiones posteriores, como las SSTC 37/2016, de 3 de marzo, FJ 4, y 55/2016, de 17 de marzo, FJ 4.</w:t>
      </w:r>
    </w:p>
    <w:p w:rsidR="00A90898" w:rsidRDefault="00A90898" w:rsidP="00A90898">
      <w:pPr>
        <w:pStyle w:val="TextoNormal"/>
      </w:pPr>
    </w:p>
    <w:p w:rsidR="00A90898" w:rsidRDefault="00A90898" w:rsidP="00A90898">
      <w:pPr>
        <w:pStyle w:val="TextoNormal"/>
      </w:pPr>
      <w:r>
        <w:t>Por tanto, sentado el carácter básico de las normas estatales que se proponen como parámetro de las autonómicas objeto del recurso, la solución al debate trabado respecto a éstos últimos requiere analizar si los mismos incurren en una contradicción insalvable con la norma básica, lo que deberá hacerse examinando cada uno de los preceptos que han sido impugnados por este motivo. Como ya se ha señalado en el fundamento jurídico 2, eso implica que debemos examinar las tachas de extralimitación competencial que se formulan a las letras a), b) y e) del art. 1.2 de la Ley 8/2004, en la redacción impugnada, que es la del Decreto-ley 4/2012, así como al art. 2.1, letras b), c), d), f), i) y l) y 2.2 de la misma Ley 8/2004, en la redacción dada por el Decreto-ley 4/2012.</w:t>
      </w:r>
    </w:p>
    <w:p w:rsidR="00A90898" w:rsidRDefault="00A90898" w:rsidP="00A90898">
      <w:pPr>
        <w:pStyle w:val="TextoNormal"/>
      </w:pPr>
    </w:p>
    <w:p w:rsidR="00A90898" w:rsidRDefault="00A90898" w:rsidP="00A90898">
      <w:pPr>
        <w:pStyle w:val="TextoNormal"/>
      </w:pPr>
      <w:r w:rsidRPr="00A90898">
        <w:rPr>
          <w:rStyle w:val="NumeroAFNegritaCaracter"/>
        </w:rPr>
        <w:t>7</w:t>
      </w:r>
      <w:r>
        <w:t>. Abordaremos en primer lugar las impugnaciones relativas al art. 1.2 de la Ley 8/2004.</w:t>
      </w:r>
    </w:p>
    <w:p w:rsidR="00A90898" w:rsidRDefault="00A90898" w:rsidP="00A90898">
      <w:pPr>
        <w:pStyle w:val="TextoNormal"/>
      </w:pPr>
    </w:p>
    <w:p w:rsidR="00A90898" w:rsidRDefault="00A90898" w:rsidP="00A90898">
      <w:pPr>
        <w:pStyle w:val="TextoNormal"/>
      </w:pPr>
      <w:r>
        <w:t>a) El artículo 1.2 a) dispone que “los establecimientos comerciales no pueden permanecer abiertos, ni realizar ninguna actividad de venta entre las 22 h y las 7 h. Los días 24 y 31 de diciembre han de adelantar su horario de cierre a las 20 h”.</w:t>
      </w:r>
    </w:p>
    <w:p w:rsidR="00A90898" w:rsidRDefault="00A90898" w:rsidP="00A90898">
      <w:pPr>
        <w:pStyle w:val="TextoNormal"/>
      </w:pPr>
    </w:p>
    <w:p w:rsidR="00A90898" w:rsidRDefault="00A90898" w:rsidP="00A90898">
      <w:pPr>
        <w:pStyle w:val="TextoNormal"/>
      </w:pPr>
      <w:r>
        <w:t>Este precepto contradice la norma básica, el art. 3 de la Ley de horarios comerciales, en dos aspectos. Por un lado es básica la norma que atribuye al propietario, dentro del respeto al límite semanal, determinar el horario diario de apertura y cierre del establecimiento (STC 26/2012, FJ 7). Con respecto al horario diario de apertura, la Ley de horarios comerciales establece el principio básico de libertad de decisión por parte de cada comerciante, libertad que, en todo caso, puede ser limitada por la norma autonómica en el horario global semanal al que han de ajustarse los establecimientos comerciales de su territorio y dentro del cual corresponderá a cada comerciante determinar el horario diario de apertura y cierre de su establecimiento. Resulta entonces que la base estatal establece, con los límites del respeto al horario global semanal antes aludidos, un régimen de libertad de horarios respecto de los días laborables de la semana que, al igual que los examinados en otras ocasiones por este Tribunal (STC 140/2011, FJ 4, y las allí citadas), excluye la intervención autonómica en este concreto aspecto.</w:t>
      </w:r>
    </w:p>
    <w:p w:rsidR="00A90898" w:rsidRDefault="00A90898" w:rsidP="00A90898">
      <w:pPr>
        <w:pStyle w:val="TextoNormal"/>
      </w:pPr>
    </w:p>
    <w:p w:rsidR="00A90898" w:rsidRDefault="00A90898" w:rsidP="00A90898">
      <w:pPr>
        <w:pStyle w:val="TextoNormal"/>
      </w:pPr>
      <w:r>
        <w:lastRenderedPageBreak/>
        <w:t>En este caso, no se respeta dicha regla por cuanto, frente a la libertad otorgada por la base estatal, la norma autonómica impone límites al horario diario de apertura de los establecimientos comerciales. Por esa razón es contraria al orden constitucional de distribución de competencias y, por tanto, inconstitucional y nula. Conclusión igualmente predicable de la letra b) del mismo artículo 1.2, en cuanto que también introduce limitaciones al horario diario de apertura de los establecimientos comerciales al prescribir que “el número máximo de horas diarias en que los establecimientos comerciales pueden permanecer abiertos es de doce”.</w:t>
      </w:r>
    </w:p>
    <w:p w:rsidR="00A90898" w:rsidRDefault="00A90898" w:rsidP="00A90898">
      <w:pPr>
        <w:pStyle w:val="TextoNormal"/>
      </w:pPr>
    </w:p>
    <w:p w:rsidR="00A90898" w:rsidRDefault="00A90898" w:rsidP="00A90898">
      <w:pPr>
        <w:pStyle w:val="TextoNormal"/>
      </w:pPr>
      <w:r>
        <w:t>b) La letra e) del artículo 1.2 prescribe que “los establecimientos comerciales tienen que permanecer cerrados con carácter general los días 1 y 6 de enero, Domingo y Lunes de Pascua, 1 de mayo, 24 de junio, 11 de septiembre y 25 y 26 de diciembre”.</w:t>
      </w:r>
    </w:p>
    <w:p w:rsidR="00A90898" w:rsidRDefault="00A90898" w:rsidP="00A90898">
      <w:pPr>
        <w:pStyle w:val="TextoNormal"/>
      </w:pPr>
    </w:p>
    <w:p w:rsidR="00A90898" w:rsidRDefault="00A90898" w:rsidP="00A90898">
      <w:pPr>
        <w:pStyle w:val="TextoNormal"/>
      </w:pPr>
      <w:r>
        <w:t>El Abogado del Estado alega la contravención de dos de los criterios del art. 4.5 de la Ley de horarios comerciales, los de las letras a) “La apertura en al menos un día festivo cuando se produzca la coincidencia de dos o más días festivos continuados” y d) “La apertura en los domingos o festivos de la campaña de Navidad”. La STC 156/2015, FJ 10, afirmó el carácter básico de ambos, pues sostuvo que la regulación de criterios para la determinación de los domingos y festivos de apertura en función del atractivo comercial para los consumidores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La STC 18/2016, FJ 9 b) consideró que “la nueva redacción del art. 4.5 de la Ley 1/2004, establece un régimen mínimo de regulación en materia de apertura de comercios en domingos y festivos, mínimo que, una vez respetado, permite a las Comunidades Autónomas determinar el número y los concretos días de apertura, respondiendo así, en cuanto tiene por finalidad fijar las bases de la regulación en la ordenación de la actividad comercial, a un adecuado ejercicio de las competencias estatales del art. 149.1.13 CE, tal como hemos dejado sentado en la STC 156/2015, FJ 10”.</w:t>
      </w:r>
    </w:p>
    <w:p w:rsidR="00A90898" w:rsidRDefault="00A90898" w:rsidP="00A90898">
      <w:pPr>
        <w:pStyle w:val="TextoNormal"/>
      </w:pPr>
    </w:p>
    <w:p w:rsidR="00A90898" w:rsidRDefault="00A90898" w:rsidP="00A90898">
      <w:pPr>
        <w:pStyle w:val="TextoNormal"/>
      </w:pPr>
      <w:r>
        <w:t>Afirmado el carácter materialmente básico de las normas estatales, la conclusión no puede ser otra que la inconstitucionalidad y nulidad de los incisos “domingo y lunes de pascua” y “25 y 26 de diciembre” del art. 1.2 e) de la Ley 8/2004, en la redacción dada por el Decreto-ley 4/2012, en los que, atendiendo a los criterios establecidos por las bases (STC 59/2016, de 17 de marzo, FJ 4), se residencia la contradicción entre el precepto autonómico y las normas estatales antes señaladas.</w:t>
      </w:r>
    </w:p>
    <w:p w:rsidR="00A90898" w:rsidRDefault="00A90898" w:rsidP="00A90898">
      <w:pPr>
        <w:pStyle w:val="TextoNormal"/>
      </w:pPr>
    </w:p>
    <w:p w:rsidR="00A90898" w:rsidRDefault="00A90898" w:rsidP="00A90898">
      <w:pPr>
        <w:pStyle w:val="TextoNormal"/>
      </w:pPr>
      <w:r w:rsidRPr="00A90898">
        <w:rPr>
          <w:rStyle w:val="NumeroAFNegritaCaracter"/>
        </w:rPr>
        <w:t>8</w:t>
      </w:r>
      <w:r>
        <w:t>. Del art. 2 de la Ley 8/2004 se han impugnado su apartado 1, letras b), c), d), f), i) y l) y su apartado 2, en la redacción dada por el Decreto-ley 4/2012.</w:t>
      </w:r>
    </w:p>
    <w:p w:rsidR="00A90898" w:rsidRDefault="00A90898" w:rsidP="00A90898">
      <w:pPr>
        <w:pStyle w:val="TextoNormal"/>
      </w:pPr>
    </w:p>
    <w:p w:rsidR="00A90898" w:rsidRDefault="00A90898" w:rsidP="00A90898">
      <w:pPr>
        <w:pStyle w:val="TextoNormal"/>
      </w:pPr>
      <w:r>
        <w:t>Examinaremos cada uno de los preceptos por separado.</w:t>
      </w:r>
    </w:p>
    <w:p w:rsidR="00A90898" w:rsidRDefault="00A90898" w:rsidP="00A90898">
      <w:pPr>
        <w:pStyle w:val="TextoNormal"/>
      </w:pPr>
    </w:p>
    <w:p w:rsidR="00A90898" w:rsidRDefault="00A90898" w:rsidP="00A90898">
      <w:pPr>
        <w:pStyle w:val="TextoNormal"/>
      </w:pPr>
      <w:r>
        <w:t xml:space="preserve">a) El primer precepto impugnado es el art. 2.1 b) que, entre los supuestos de exclusión del horario comercial general, contempla “Los establecimientos instalados en puntos fronterizos y los que solo son accesibles desde el interior de las estaciones y medios de transporte terrestre, marítimo y aéreo”. El parámetro de contraste que se entiende vulnerado es el art. </w:t>
      </w:r>
      <w:r>
        <w:lastRenderedPageBreak/>
        <w:t>5.1 de la Ley de horarios comerciales que reconoce libertad horaria a, entre otros, los establecimientos situados “en estaciones y medios de transporte terrestre, marítimo y aéreo”.</w:t>
      </w:r>
    </w:p>
    <w:p w:rsidR="00A90898" w:rsidRDefault="00A90898" w:rsidP="00A90898">
      <w:pPr>
        <w:pStyle w:val="TextoNormal"/>
      </w:pPr>
    </w:p>
    <w:p w:rsidR="00A90898" w:rsidRDefault="00A90898" w:rsidP="00A90898">
      <w:pPr>
        <w:pStyle w:val="TextoNormal"/>
      </w:pPr>
      <w:r>
        <w:t>El artículo 5 es un precepto básico, conforme a la STC 18/2016, FJ 9 c), que afirma lo siguiente: “En cuanto al primero de los aspectos discutidos la Generalitat de Cataluña cuestiona que la nueva regulación del artículo 5 en lo relativo a los establecimientos que gozan de libertad horaria supone el vaciamiento de la competencia autonómica en la materia. Tacha que no puede ser apreciada, pues, en la medida en que se establece una desregulación para determinados tipos de establecimientos es aplicable la doctrina de la STC 140/2011, de 14 de septiembre, FJ 4, en la que consideramos, en relación a determinados establecimientos que resultaba ‘legítimo que el Estado, por consecuencia, establezca un régimen homogéneo de libertad para todo el territorio nacional, de modo que el empresario decida el régimen de horarios que en cada caso resulta más conveniente para la atención de dicha demanda; legitimidad que no resulta enervada porque en este caso, a diferencia de otras regulaciones de la misma ley, no quepa intervención normativa de las Comunidades Autónomas’”.</w:t>
      </w:r>
    </w:p>
    <w:p w:rsidR="00A90898" w:rsidRDefault="00A90898" w:rsidP="00A90898">
      <w:pPr>
        <w:pStyle w:val="TextoNormal"/>
      </w:pPr>
    </w:p>
    <w:p w:rsidR="00A90898" w:rsidRDefault="00A90898" w:rsidP="00A90898">
      <w:pPr>
        <w:pStyle w:val="TextoNormal"/>
      </w:pPr>
      <w:r>
        <w:t>La norma impugnada se aparta de la base estatal en cuanto supone la introducción de una restricción no contemplada por ella que produce el efecto de reducir el ámbito de los establecimientos que, situados en estaciones y medios de transporte terrestre, marítimo y aéreo, gozan de plena libertad para determinar su horario de apertura al público. Se incurre así en una contradicción insalvable por vía interpretativa determinante de la inconstitucionalidad y nulidad del inciso “los que solo son accesibles desde el interior de” del art. 2.1 b).</w:t>
      </w:r>
    </w:p>
    <w:p w:rsidR="00A90898" w:rsidRDefault="00A90898" w:rsidP="00A90898">
      <w:pPr>
        <w:pStyle w:val="TextoNormal"/>
      </w:pPr>
    </w:p>
    <w:p w:rsidR="00A90898" w:rsidRDefault="00A90898" w:rsidP="00A90898">
      <w:pPr>
        <w:pStyle w:val="TextoNormal"/>
      </w:pPr>
      <w:r>
        <w:t>b) El artículo 2.1 c) incluye entre los supuestos de exclusión del horario comercial general a los establecimientos dedicados a “la venta de combustibles y carburantes, sin que esta excepción abarque los establecimientos comerciales anexos a las gasolineras a menos que se limiten, esencialmente, a la venta de recambios y otros productos complementarios de la automoción.”</w:t>
      </w:r>
    </w:p>
    <w:p w:rsidR="00A90898" w:rsidRDefault="00A90898" w:rsidP="00A90898">
      <w:pPr>
        <w:pStyle w:val="TextoNormal"/>
      </w:pPr>
    </w:p>
    <w:p w:rsidR="00A90898" w:rsidRDefault="00A90898" w:rsidP="00A90898">
      <w:pPr>
        <w:pStyle w:val="TextoNormal"/>
      </w:pPr>
      <w:r>
        <w:t>Lo controvertido es la exclusión de la libertad horaria de los establecimientos comerciales anexos a las gasolineras que el Abogado del Estado entiende contrario al art. 5.3 de la Ley de horarios comerciales, en la medida en que este precepto reconoce libertad horaria a las denominadas tiendas de conveniencia.</w:t>
      </w:r>
    </w:p>
    <w:p w:rsidR="00A90898" w:rsidRDefault="00A90898" w:rsidP="00A90898">
      <w:pPr>
        <w:pStyle w:val="TextoNormal"/>
      </w:pPr>
    </w:p>
    <w:p w:rsidR="00A90898" w:rsidRDefault="00A90898" w:rsidP="00A90898">
      <w:pPr>
        <w:pStyle w:val="TextoNormal"/>
      </w:pPr>
      <w:r>
        <w:t>Sin embargo, el precepto no incurre en la vulneración competencial que se denuncia en cuanto que admite una interpretación conforme con el orden constitucional y estatutario de distribución de competencias. Así, debe ser entendido en el sentido de que no excluye de la libertad horaria a aquellos establecimientos anexos a las gasolineras incluidos en supuestos en las que las normas estatales o autonómicas han reconocido dicha libertad para fijar su propio horario de apertura, sin vincularlas a que se encuentren ubicadas en un lugar concreto. Es lo que sucede, entre otros supuestos, con las tiendas de conveniencia en las que el Abogado del Estado ha centrado su queja [así, arts. 5.1 y 5.3 de la Ley de horarios comerciales y 2.1 a) de la Ley catalana 8/2004].</w:t>
      </w:r>
    </w:p>
    <w:p w:rsidR="00A90898" w:rsidRDefault="00A90898" w:rsidP="00A90898">
      <w:pPr>
        <w:pStyle w:val="TextoNormal"/>
      </w:pPr>
    </w:p>
    <w:p w:rsidR="00A90898" w:rsidRDefault="00A90898" w:rsidP="00A90898">
      <w:pPr>
        <w:pStyle w:val="TextoNormal"/>
      </w:pPr>
      <w:r>
        <w:t>c) El siguiente precepto impugnado es el artículo 2.1 d) según el cual “los establecimientos situados en municipios turísticos de acuerdo con lo que establece el artículo 3” están excluidos del horario comercial general.</w:t>
      </w:r>
    </w:p>
    <w:p w:rsidR="00A90898" w:rsidRDefault="00A90898" w:rsidP="00A90898">
      <w:pPr>
        <w:pStyle w:val="TextoNormal"/>
      </w:pPr>
    </w:p>
    <w:p w:rsidR="00A90898" w:rsidRDefault="00A90898" w:rsidP="00A90898">
      <w:pPr>
        <w:pStyle w:val="TextoNormal"/>
      </w:pPr>
      <w:r>
        <w:t>Respecto a este precepto el Abogado del Estado entiende que la remisión al artículo 3 vulnera el art. 5 de la Ley de horarios comerciales al no recoger los criterios establecidos en este último. La queja que se plantea no se refiere al horario de determinados establecimientos comerciales, sino a los criterios en virtud de los que se determina cuando un municipio puede ser considerado turístico a efectos comerciales.</w:t>
      </w:r>
    </w:p>
    <w:p w:rsidR="00A90898" w:rsidRDefault="00A90898" w:rsidP="00A90898">
      <w:pPr>
        <w:pStyle w:val="TextoNormal"/>
      </w:pPr>
    </w:p>
    <w:p w:rsidR="00A90898" w:rsidRDefault="00A90898" w:rsidP="00A90898">
      <w:pPr>
        <w:pStyle w:val="TextoNormal"/>
      </w:pPr>
      <w:r>
        <w:t>Ahora bien, la demanda se limita a señalar que el art. 3.1 de la Ley 8/2004, precepto al que se remite el que ahora impugna, vulnera los apartados 4 y 5 del art. 5 de la Ley de horarios comerciales, sin que tal alegación venga acompañada de un mínimo de argumentación acerca del reproche de inconstitucionalidad que se formula. Por ello, en relación con esta supuesta infracción de la normativa básica y de la vulneración mediata de la Constitución que podría conllevar, el Abogado del Estado ha incumplido la carga alegatoria que le incumbe, por lo que no procede entrar a examinarla (en un sentido similar, STC 157/2016, FJ 8).</w:t>
      </w:r>
    </w:p>
    <w:p w:rsidR="00A90898" w:rsidRDefault="00A90898" w:rsidP="00A90898">
      <w:pPr>
        <w:pStyle w:val="TextoNormal"/>
      </w:pPr>
    </w:p>
    <w:p w:rsidR="00A90898" w:rsidRDefault="00A90898" w:rsidP="00A90898">
      <w:pPr>
        <w:pStyle w:val="TextoNormal"/>
      </w:pPr>
      <w:r>
        <w:t>d) Se impugna el art. 2.1 f) que dispone que están excluidos del horario general “las farmacias, que se rigen por su normativa específica”, en razón de que la norma no ha incluido a los estancos en el precepto, lo que sí hace el art. 5.6 de la Ley de horarios comerciales.</w:t>
      </w:r>
    </w:p>
    <w:p w:rsidR="00A90898" w:rsidRDefault="00A90898" w:rsidP="00A90898">
      <w:pPr>
        <w:pStyle w:val="TextoNormal"/>
      </w:pPr>
    </w:p>
    <w:p w:rsidR="00A90898" w:rsidRDefault="00A90898" w:rsidP="00A90898">
      <w:pPr>
        <w:pStyle w:val="TextoNormal"/>
      </w:pPr>
      <w:r>
        <w:t>La impugnación ha de ser desestimada pues la base que se reputa vulnerada, el art. 5.6 de la Ley de horarios comerciales, no hace sino remitirse a la legislación específica que regula los estancos con lo cual carece de contenido regulador propio. El art. 29 g) del Real Decreto 1199/1999, de 9 de julio, que desarrolla la Ley 13/1998, de ordenación del mercado de tabacos y normativa tributaria y regula el estatuto concesional de la red de expendedurías de tabaco y timbre, dispone un mínimo de apertura de ocho horas diarias de lunes a viernes, y cuatro horas los sábados por la mañana, excepto festivos. Previsiones sobre las que no puede decirse que hayan quedado contradichas por la norma autonómica. Al contrario, pues su silencio en nada obsta a la aplicación de esta previsión, que, por otra parte, es lo único que reclama la norma estatal de horarios comerciales.</w:t>
      </w:r>
    </w:p>
    <w:p w:rsidR="00A90898" w:rsidRDefault="00A90898" w:rsidP="00A90898">
      <w:pPr>
        <w:pStyle w:val="TextoNormal"/>
      </w:pPr>
    </w:p>
    <w:p w:rsidR="00A90898" w:rsidRDefault="00A90898" w:rsidP="00A90898">
      <w:pPr>
        <w:pStyle w:val="TextoNormal"/>
      </w:pPr>
      <w:r>
        <w:t>e) El artículo 2.1 i) prescribe la exclusión del horario general de “los establecimientos comerciales, de venta personalizada o en régimen de autoservicio, cuyos titulares son pequeñas o medianas empresas, que no pertenezcan a grupos o cadenas de distribución ni operen bajo el mismo nombre comercial, siempre que la superficie de venta no supere los 150 m2 y tengan una oferta orientada esencialmente a productos de compra cotidiana de alimentación”.</w:t>
      </w:r>
    </w:p>
    <w:p w:rsidR="00A90898" w:rsidRDefault="00A90898" w:rsidP="00A90898">
      <w:pPr>
        <w:pStyle w:val="TextoNormal"/>
      </w:pPr>
    </w:p>
    <w:p w:rsidR="00A90898" w:rsidRDefault="00A90898" w:rsidP="00A90898">
      <w:pPr>
        <w:pStyle w:val="TextoNormal"/>
      </w:pPr>
      <w:r>
        <w:t xml:space="preserve">Se ha señalado ya que la regulación del artículo 5 de la Ley de horarios comerciales en lo relativo a los establecimientos que gozan de libertad horaria, ha de ser considerada básica [STC 18/2016, FJ 9 c), con remisión a la STC 140/2011, de 14 de septiembre, FJ 4]. Del contraste de la norma básica con la regulación autonómica se deduce que esta última introduce tres restricciones incompatibles con la libertad horaria reconocida a los establecimientos comerciales que dispongan de una superficie útil para la exposición y venta al público inferior a 300 metros cuadrados en los términos del art. 5.2 de la Ley de horarios comerciales. Exige una superficie menor, 150 metros cuadrados; una limitación en la oferta de productos, esencialmente productos de compra cotidiana de alimentación, y que se trate de </w:t>
      </w:r>
      <w:r>
        <w:lastRenderedPageBreak/>
        <w:t>establecimientos de titularidad de pequeñas o medianas empresas. Por tanto, al incurrir en dicha contradicción con la norma básica, este precepto es contrario al orden constitucional de distribución de competencias y, por tanto, inconstitucional y nulo.</w:t>
      </w:r>
    </w:p>
    <w:p w:rsidR="00A90898" w:rsidRDefault="00A90898" w:rsidP="00A90898">
      <w:pPr>
        <w:pStyle w:val="TextoNormal"/>
      </w:pPr>
    </w:p>
    <w:p w:rsidR="00A90898" w:rsidRDefault="00A90898" w:rsidP="00A90898">
      <w:pPr>
        <w:pStyle w:val="TextoNormal"/>
      </w:pPr>
      <w:r>
        <w:t>f) Sobre el artículo 2.1 l) no hay argumentación específica en la demanda pues la que se formula, bien que vinculada al artículo 2.1 i), se refiere en realidad a la letra j). Dicha letra j) no ha sido formalmente impugnada, dado que no aparece en el acuerdo del Presidente del Gobierno por el que se decide interponer el presente recurso, el cual sí incluye la mencionada letra l). Procede, por tanto, su desestimación.</w:t>
      </w:r>
    </w:p>
    <w:p w:rsidR="00A90898" w:rsidRDefault="00A90898" w:rsidP="00A90898">
      <w:pPr>
        <w:pStyle w:val="TextoNormal"/>
      </w:pPr>
    </w:p>
    <w:p w:rsidR="00A90898" w:rsidRDefault="00A90898" w:rsidP="00A90898">
      <w:pPr>
        <w:pStyle w:val="TextoNormal"/>
      </w:pPr>
      <w:r>
        <w:t>g) Resta por examinar el artículo 2.2 según el cual “los establecimientos situados en municipios turísticos, las tiendas de conveniencia y los establecimientos a los que hacen referencia las letras i) y l) del punto 1 de este artículo han de adelantar también su horario de cierre a las 20:00 horas los días 24 y 31 de diciembre, y tienen que permanecer cerrados los días 1 de enero y 25 de diciembre”.</w:t>
      </w:r>
    </w:p>
    <w:p w:rsidR="00A90898" w:rsidRDefault="00A90898" w:rsidP="00A90898">
      <w:pPr>
        <w:pStyle w:val="TextoNormal"/>
      </w:pPr>
    </w:p>
    <w:p w:rsidR="00A90898" w:rsidRDefault="00A90898" w:rsidP="00A90898">
      <w:pPr>
        <w:pStyle w:val="TextoNormal"/>
      </w:pPr>
      <w:r>
        <w:t>La STC 26/2012, FJ 7, ya declaró que las normas estatales establecían “el principio básico de libertad de decisión por parte de cada comerciante, libertad que, en todo caso, puede ser limitada por la decisión autonómica en torno al horario global semanal al que han de ajustarse los establecimientos comerciales de su territorio y dentro del cual corresponderá a cada comerciante determinar el horario diario de apertura y cierre de su establecimiento, aspecto este último integrado en el margen de decisión otorgado a cada comerciante por la base estatal”. Ese principio básico se encuentra en el art. 3.2 de la Ley de horarios comerciales. A ello se añade que el carácter básico del reconocimiento de los supuestos de establecimientos comerciales que gozan de libertad horaria en el art. 5 de la Ley de horarios comerciales ha sido confirmado por la STC 18/2016, FJ 9.c). Ambas circunstancias determinan que el precepto, en cuanto limita el horario de apertura de establecimientos que gozan de libertad horaria conforme a la propia norma autonómica, incurra en una contradicción con las bases que resulta insalvable por vía interpretativa.</w:t>
      </w:r>
    </w:p>
    <w:p w:rsidR="00A90898" w:rsidRDefault="00A90898" w:rsidP="00A90898">
      <w:pPr>
        <w:pStyle w:val="TextoNormal"/>
      </w:pPr>
    </w:p>
    <w:p w:rsidR="00A90898" w:rsidRDefault="00A90898" w:rsidP="00A90898">
      <w:pPr>
        <w:pStyle w:val="TextoNormal"/>
      </w:pPr>
      <w:r>
        <w:t>En consecuencia el artículo 2.2 es contrario al orden constitucional de distribución de competencias y por ello, inconstitucional y nulo.</w:t>
      </w:r>
    </w:p>
    <w:p w:rsidR="00A90898" w:rsidRDefault="00A90898" w:rsidP="00A90898">
      <w:pPr>
        <w:pStyle w:val="TextoNormal"/>
      </w:pPr>
    </w:p>
    <w:p w:rsidR="00A90898" w:rsidRDefault="00A90898" w:rsidP="00A90898">
      <w:pPr>
        <w:pStyle w:val="TextoNormal"/>
      </w:pPr>
      <w:r w:rsidRPr="00A90898">
        <w:rPr>
          <w:rStyle w:val="NumeroAFNegritaCaracter"/>
        </w:rPr>
        <w:t>9</w:t>
      </w:r>
      <w:r>
        <w:t>. El último precepto impugnado es el artículo 5 que intitulado “Períodos para realizar ventas en rebajas” dispone lo siguiente:</w:t>
      </w:r>
    </w:p>
    <w:p w:rsidR="00A90898" w:rsidRDefault="00A90898" w:rsidP="00A90898">
      <w:pPr>
        <w:pStyle w:val="TextoNormal"/>
      </w:pPr>
    </w:p>
    <w:p w:rsidR="00A90898" w:rsidRDefault="00A90898" w:rsidP="00A90898">
      <w:pPr>
        <w:pStyle w:val="TextoNormal"/>
      </w:pPr>
      <w:r>
        <w:t>“La venta en rebajas se puede llevar a cabo, a criterio de cada comerciante y durante el plazo que este considere adecuado, dentro de los siguientes períodos estacionales:</w:t>
      </w:r>
    </w:p>
    <w:p w:rsidR="00A90898" w:rsidRDefault="00A90898" w:rsidP="00A90898">
      <w:pPr>
        <w:pStyle w:val="TextoNormal"/>
      </w:pPr>
    </w:p>
    <w:p w:rsidR="00A90898" w:rsidRDefault="00A90898" w:rsidP="00A90898">
      <w:pPr>
        <w:pStyle w:val="TextoNormal"/>
      </w:pPr>
      <w:r>
        <w:t>a) Período estacional de invierno: desde el día 7 de enero hasta el día 6 de marzo, ambos incluidos.</w:t>
      </w:r>
    </w:p>
    <w:p w:rsidR="00A90898" w:rsidRDefault="00A90898" w:rsidP="00A90898">
      <w:pPr>
        <w:pStyle w:val="TextoNormal"/>
      </w:pPr>
    </w:p>
    <w:p w:rsidR="00A90898" w:rsidRDefault="00A90898" w:rsidP="00A90898">
      <w:pPr>
        <w:pStyle w:val="TextoNormal"/>
      </w:pPr>
      <w:r>
        <w:t>b) Período estacional de verano: desde el día 1 de julio hasta el día 31 de agosto, ambos incluidos.”</w:t>
      </w:r>
    </w:p>
    <w:p w:rsidR="00A90898" w:rsidRDefault="00A90898" w:rsidP="00A90898">
      <w:pPr>
        <w:pStyle w:val="TextoNormal"/>
      </w:pPr>
    </w:p>
    <w:p w:rsidR="00A90898" w:rsidRDefault="00A90898" w:rsidP="00A90898">
      <w:pPr>
        <w:pStyle w:val="TextoNormal"/>
      </w:pPr>
      <w:r>
        <w:t xml:space="preserve">A este precepto se le reprocha que colisiona con el art. 28 del Real Decreto-ley 20/2012, cuyo apartado 3 modifica el art. 25 de la Ley 7/1996, de 15 de enero, de ordenación del comercio minorista, que fijaba las temporadas de rebajas y su duración, para establecer que </w:t>
      </w:r>
      <w:r>
        <w:lastRenderedPageBreak/>
        <w:t>cada comerciante podrá decidirlos libremente. Las Letradas de la Generalitat de Cataluña y del Parlamento de Cataluña han negado la contradicción con las normas estatales entendiendo que se trata de un desarrollo compatible con ellas en el sentido de que correspondería a las Comunidades Autónomas la definición de las temporadas de rebajas dentro de las que lo comerciantes pueden ejercer su libertad. Para el caso de que no se acepte esa interpretación sostienen que el precepto estatal no supone un ejercicio legítimo de las competencias estatales, de suerte que no puede ser utilizado como parámetro de constitucionalidad de la norma autonómica.</w:t>
      </w:r>
    </w:p>
    <w:p w:rsidR="00A90898" w:rsidRDefault="00A90898" w:rsidP="00A90898">
      <w:pPr>
        <w:pStyle w:val="TextoNormal"/>
      </w:pPr>
    </w:p>
    <w:p w:rsidR="00A90898" w:rsidRDefault="00A90898" w:rsidP="00A90898">
      <w:pPr>
        <w:pStyle w:val="TextoNormal"/>
      </w:pPr>
      <w:r>
        <w:t xml:space="preserve">Esta queja ha de ser estimada. La ya citada STC 59/2016, FJ 4, se pronunció sobre un precepto materialmente muy similar incluido en la Ley Foral 17/2001, de 12 de julio, reguladora del comercio en Navarra. Allí se señaló que: “El art. 28.3 del Real Decreto-ley 20/2012 es un precepto básico en el doble sentido material y formal. En el sentido formal, porque así se declara en la disposición final cuarta del Real Decreto-ley 20/2012. También lo es en sentido material, pues ‘le es aplicable nuestra doctrina según la cual las normas que regulan un marco temporal para el desarrollo de específicas modalidades de ventas, deben considerarse integradas en las normas que velan por la defensa de la competencia (por todas, STC 106/2009, de 4 de mayo, FJ 2), siendo, por tanto, competencia del Estado </w:t>
      </w:r>
      <w:r w:rsidRPr="00A90898">
        <w:rPr>
          <w:i/>
        </w:rPr>
        <w:t>ex</w:t>
      </w:r>
      <w:r>
        <w:t xml:space="preserve"> art. 149.1.13 CE’ (STC 18/2016, FJ 10)”. Además consideramos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w:t>
      </w:r>
    </w:p>
    <w:p w:rsidR="00A90898" w:rsidRDefault="00A90898" w:rsidP="00A90898">
      <w:pPr>
        <w:pStyle w:val="TextoNormal"/>
      </w:pPr>
    </w:p>
    <w:p w:rsidR="00A90898" w:rsidRDefault="00A90898" w:rsidP="00A90898">
      <w:pPr>
        <w:pStyle w:val="TextoNormal"/>
      </w:pPr>
      <w:r>
        <w:t>Al igual que en el caso resuelto en la STC 59/2016, el contraste entre el tenor del precepto estatal y el contenido del precepto autonómico es evidente, resulta indudable ya que este último limita el número de períodos de ventas en rebajas a dos únicas temporadas al año, acotando las épocas en que cada una de ellas podrá tener lugar, e impone, además, para cada uno de tales períodos una duración máxima de dos meses. De este modo en el régimen aplicable a las ventas en rebajas, se introducen unas medidas restrictivas de la libertad del comerciante que no tienen cabida en el régimen liberalizador que configura el legislador estatal con carácter básico en este ámbito.</w:t>
      </w:r>
    </w:p>
    <w:p w:rsidR="00A90898" w:rsidRDefault="00A90898" w:rsidP="00A90898">
      <w:pPr>
        <w:pStyle w:val="TextoNormal"/>
      </w:pPr>
    </w:p>
    <w:p w:rsidR="00A90898" w:rsidRDefault="00A90898" w:rsidP="00A90898">
      <w:pPr>
        <w:pStyle w:val="TextoNormal"/>
      </w:pPr>
      <w:r>
        <w:t>Consecuentemente, el inciso “dentro de los siguientes períodos estacionales” y las letras a) y b) del art. 5 del Decreto-ley 4/2012, en los que se residencia la contradicción con la norma estatal, son contrarios al orden constitucional de distribución de competencias y, por tanto, inconstitucionales y nulos.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 xml:space="preserve">1º Declarar extinguida, por pérdida sobrevenida de objeto, la impugnación de los arts. 1.2 c) y 1.2 d) de la Ley 8/2004, de 23 de diciembre, de horarios comerciales, en la redacción </w:t>
      </w:r>
      <w:r>
        <w:lastRenderedPageBreak/>
        <w:t>dada por el Decreto-ley 4/2012, de 30 de octubre, de medidas en materia de horarios comerciales y determinadas actividades de promoción.</w:t>
      </w:r>
    </w:p>
    <w:p w:rsidR="00A90898" w:rsidRDefault="00A90898" w:rsidP="00A90898">
      <w:pPr>
        <w:pStyle w:val="TextoNormal"/>
      </w:pPr>
    </w:p>
    <w:p w:rsidR="00A90898" w:rsidRDefault="00A90898" w:rsidP="00A90898">
      <w:pPr>
        <w:pStyle w:val="TextoNormal"/>
      </w:pPr>
      <w:r>
        <w:t>2º Declarar que son inconstitucionales y nulos los arts. 1.2 a) y b); los incisos “domingo y lunes de pascua” y “25 y 26 de diciembre” del art. 1.2 e); el inciso “los que solo son accesibles desde el interior de” del art. 2.1 b); el art. 2.1 i) y el art. 2.2, todos ellos de la Ley 8/2004, de 23 de diciembre, de horarios comerciales, en la redacción dada por el Decreto-ley 4/2012, de 30 de octubre, de medidas en materia de horarios comerciales y determinadas actividades de promoción, así como el inciso “dentro de los siguientes períodos estacionales” y las letras a) y b) del art. 5 del Decreto-ley 4/2012, de 30 de octubre.</w:t>
      </w:r>
    </w:p>
    <w:p w:rsidR="00A90898" w:rsidRDefault="00A90898" w:rsidP="00A90898">
      <w:pPr>
        <w:pStyle w:val="TextoNormal"/>
      </w:pPr>
    </w:p>
    <w:p w:rsidR="00A90898" w:rsidRDefault="00A90898" w:rsidP="00A90898">
      <w:pPr>
        <w:pStyle w:val="TextoNormal"/>
      </w:pPr>
      <w:r>
        <w:t>3º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1" w:name="SENTENCIA_2016_212"/>
      <w:r>
        <w:lastRenderedPageBreak/>
        <w:t>SENTENCIA 212/2016, de 15 de diciembre de 2016</w:t>
      </w:r>
    </w:p>
    <w:bookmarkEnd w:id="91"/>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ECLI:ES:TC:2016:212</w:t>
      </w:r>
    </w:p>
    <w:p w:rsidR="00A90898" w:rsidRDefault="00A90898" w:rsidP="00A90898">
      <w:pPr>
        <w:pStyle w:val="TextoNormalCentrado"/>
      </w:pPr>
    </w:p>
    <w:p w:rsidR="00A90898" w:rsidRDefault="00A90898" w:rsidP="00A90898">
      <w:pPr>
        <w:pStyle w:val="SntesisDescriptiva"/>
      </w:pPr>
      <w:r>
        <w:t>Recurso de amparo 1206-2013. Promovido por doña Mónica Oltra Jarque en relación con los acuerdos de la Mesa de las Cortes Valencianas sobre inadmisión a trámite de una proposición no de ley.</w:t>
      </w:r>
    </w:p>
    <w:p w:rsidR="00A90898" w:rsidRDefault="00A90898" w:rsidP="00A90898">
      <w:pPr>
        <w:pStyle w:val="SntesisDescriptiva"/>
      </w:pPr>
    </w:p>
    <w:p w:rsidR="00A90898" w:rsidRDefault="00A90898" w:rsidP="00A90898">
      <w:pPr>
        <w:pStyle w:val="SntesisAnaltica"/>
      </w:pPr>
      <w:r>
        <w:t>Vulneración del derecho al ejercicio de las funciones representativas: inadmisión de una iniciativa parlamentaria carente de motivación suficiente (STC 44/2010).</w:t>
      </w:r>
    </w:p>
    <w:p w:rsidR="00A90898" w:rsidRDefault="00A90898" w:rsidP="00A90898">
      <w:pPr>
        <w:pStyle w:val="SntesisAnaltica"/>
      </w:pPr>
    </w:p>
    <w:p w:rsidR="00A90898" w:rsidRDefault="00A90898" w:rsidP="00A90898">
      <w:pPr>
        <w:pStyle w:val="Extracto"/>
      </w:pPr>
      <w:r>
        <w:t>1.</w:t>
      </w:r>
      <w:r>
        <w:tab/>
        <w:t>La inadmisión a trámite de la proposición no de ley objeto de este recurso de amparo carece de motivación suficiente, sin que esta deficiencia haya sido subsanada con ocasión de resolver el recurso de reposición. Con esta forma de actuación, la Mesa de las Cortes Valencianas no ha satisfecho la exigencia de motivar expresa, suficiente y adecuadamente la aplicación de las normas con las que ha contrastado la iniciativa, lo que se ha traducido en una limitación del ejercicio del derecho a formular proposiciones no de ley de la recurrente que se integra en el estatuto constitucionalmente relevante de los representantes políticos (STC 44/2010) [FJ 6].</w:t>
      </w:r>
    </w:p>
    <w:p w:rsidR="00A90898" w:rsidRDefault="00A90898" w:rsidP="00A90898">
      <w:pPr>
        <w:pStyle w:val="Extracto"/>
      </w:pPr>
    </w:p>
    <w:p w:rsidR="00A90898" w:rsidRDefault="00A90898" w:rsidP="00A90898">
      <w:pPr>
        <w:pStyle w:val="Extracto"/>
      </w:pPr>
      <w:r>
        <w:t>2.</w:t>
      </w:r>
      <w:r>
        <w:tab/>
        <w:t xml:space="preserve">No cualquier acto del órgano parlamentario que infrinja la legalidad del </w:t>
      </w:r>
      <w:r w:rsidRPr="00A9089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[FJ 3].</w:t>
      </w:r>
    </w:p>
    <w:p w:rsidR="00A90898" w:rsidRDefault="00A90898" w:rsidP="00A90898">
      <w:pPr>
        <w:pStyle w:val="Extracto"/>
      </w:pPr>
    </w:p>
    <w:p w:rsidR="00A90898" w:rsidRDefault="00A90898" w:rsidP="00A90898">
      <w:pPr>
        <w:pStyle w:val="Extracto"/>
      </w:pPr>
      <w:r>
        <w:t>3.</w:t>
      </w:r>
      <w:r>
        <w:tab/>
        <w:t>Aplica la doctrina sobre  proposiciones no de ley de la STC 44/2010 [FJ 3].</w:t>
      </w:r>
    </w:p>
    <w:p w:rsidR="00A90898" w:rsidRDefault="00A90898" w:rsidP="00A90898">
      <w:pPr>
        <w:pStyle w:val="Extracto"/>
      </w:pPr>
    </w:p>
    <w:p w:rsidR="00A90898" w:rsidRDefault="00A90898" w:rsidP="00A90898">
      <w:pPr>
        <w:pStyle w:val="Extracto"/>
      </w:pPr>
      <w:r>
        <w:t>4.</w:t>
      </w:r>
      <w:r>
        <w:tab/>
        <w:t>Aplica la doctrina sobre admisión a trámite de las Mesas parlamentarias de la STC 44/2010 [FJ 4].</w:t>
      </w:r>
    </w:p>
    <w:p w:rsidR="00A90898" w:rsidRDefault="00A90898" w:rsidP="00A90898">
      <w:pPr>
        <w:pStyle w:val="Extracto"/>
      </w:pPr>
    </w:p>
    <w:p w:rsidR="00A90898" w:rsidRDefault="00A90898" w:rsidP="00A90898">
      <w:pPr>
        <w:pStyle w:val="Extracto"/>
      </w:pPr>
      <w:r>
        <w:t>5.</w:t>
      </w:r>
      <w:r>
        <w:tab/>
        <w:t>Cuando se reclama la tutela de derechos o facultades que pertenecen al núcleo de la función representativa parlamentaria frente a posibles vulneraciones de los órganos de la Cámara correspondiente, este Tribunal debe ser especialmente cuidadoso en la identificación de la base normativa del derecho alegado y en la identificación de la regulación reglamentaria de las facultades del órgano de la Cámara al que se imputa la vulneración [FJ 5].</w:t>
      </w:r>
    </w:p>
    <w:p w:rsidR="00A90898" w:rsidRDefault="00A90898" w:rsidP="00A90898">
      <w:pPr>
        <w:pStyle w:val="Extracto"/>
      </w:pPr>
    </w:p>
    <w:p w:rsidR="00A90898" w:rsidRDefault="00A90898" w:rsidP="00A90898">
      <w:pPr>
        <w:pStyle w:val="Extracto"/>
      </w:pPr>
      <w:r>
        <w:t>6.</w:t>
      </w:r>
      <w:r>
        <w:tab/>
        <w:t>Los amparos parlamentarios tienen una particularidad respecto del resto de los recursos de amparo en cuanto al marco de garantías del que disponen los eventuales recurrentes para invocar sus derechos fundamentales, como es la ausencia de una vía jurisdiccional previa al amparo constitucional en la que postular la reparación de los derechos vulnerados, lo que sitúa a los amparos parlamentarios en una posición especial a la hora de determinar su dimensión objetiva al valorar la especial trascendencia constitucional por parte de este Tribunal (STC 155/2009)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y don Ricardo Enríquez Sancho,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1206-2013 promovido por doña Mónica Oltra Jarque, diputada y portavoz adjunta del Grupo Parlamentario Compromís de las Cortes Valencianas, representada por el procurador don José Antonio Sandín Fernández, contra el acuerdo de la Mesa de las Cortes Valencianas adoptado en sesión de 6 de noviembre de 2012 por el que se acordó la inadmisión a trámite de una proposición no de ley (RE- 36.482), así como frente al acuerdo adoptado por la Mesa de la Cámara en la sesión celebrada el día 27 de noviembre de 2012, por el que se desestimó el recurso de reposición formulado ante la Mesa de la Cámara por la hoy demandante de amparo contra el citado acuerdo de 6 de noviembre de 2012. Han comparecido las Cortes Valencianas, a través de su representante. Ha intervenido el Ministerio Fiscal. Ha sido Ponente la Magistrada doña Encarnación Roca Trías,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procurador de los Tribunales don José Antonio Sandín Fernández, en nombre y representación de doña Mónica Oltra Jarque, diputada y portavoz adjunta del Grupo Parlamentario Compromís de las Cortes Valencianas, interpuso demanda de amparo mediante escrito registrado en este Tribunal el día 1 de marzo de 2013, contra los acuerdos parlamentarios que se mencionan en el encabezamiento de esta Sentencia y cuyo contenido se sintetiza a continuación:</w:t>
      </w:r>
    </w:p>
    <w:p w:rsidR="00A90898" w:rsidRDefault="00A90898" w:rsidP="00A90898">
      <w:pPr>
        <w:pStyle w:val="TextoNormal"/>
      </w:pPr>
    </w:p>
    <w:p w:rsidR="00A90898" w:rsidRDefault="00A90898" w:rsidP="00A90898">
      <w:pPr>
        <w:pStyle w:val="TextoNormal"/>
      </w:pPr>
      <w:r>
        <w:t>a) El 23 de octubre de 2012 doña Mónica Oltra Jarque, diputada y portavoz adjunta del Grupo Parlamentario Compromís de las Cortes Valencianas formuló, al amparo de lo establecido en el art. 160 y ss. del Reglamento de las Cortes Valencianas, la siguiente proposición no de ley.</w:t>
      </w:r>
    </w:p>
    <w:p w:rsidR="00A90898" w:rsidRDefault="00A90898" w:rsidP="00A90898">
      <w:pPr>
        <w:pStyle w:val="TextoNormal"/>
      </w:pPr>
    </w:p>
    <w:p w:rsidR="00A90898" w:rsidRDefault="00A90898" w:rsidP="00A90898">
      <w:pPr>
        <w:pStyle w:val="TextoNormal"/>
      </w:pPr>
      <w:r>
        <w:t>“El ejército israelí ha frenado un nuevo intento organizado por activistas pacíficos a través de la III ‘Flotilla de la Libertad’ de romper el bloqueo marítimo al que Israel somete a la franja de Gaza.</w:t>
      </w:r>
    </w:p>
    <w:p w:rsidR="00A90898" w:rsidRDefault="00A90898" w:rsidP="00A90898">
      <w:pPr>
        <w:pStyle w:val="TextoNormal"/>
      </w:pPr>
    </w:p>
    <w:p w:rsidR="00A90898" w:rsidRDefault="00A90898" w:rsidP="00A90898">
      <w:pPr>
        <w:pStyle w:val="TextoNormal"/>
      </w:pPr>
      <w:r>
        <w:lastRenderedPageBreak/>
        <w:t>El hecho de que el ejército israelí vulnere con total impunidad la normativa internacional para asaltar un barco que pacíficamente surca las aguas internacionales no puede dejarse sin respuesta.</w:t>
      </w:r>
    </w:p>
    <w:p w:rsidR="00A90898" w:rsidRDefault="00A90898" w:rsidP="00A90898">
      <w:pPr>
        <w:pStyle w:val="TextoNormal"/>
      </w:pPr>
    </w:p>
    <w:p w:rsidR="00A90898" w:rsidRDefault="00A90898" w:rsidP="00A90898">
      <w:pPr>
        <w:pStyle w:val="TextoNormal"/>
      </w:pPr>
      <w:r>
        <w:t>Las Cortes Valencianas han de pronunciarse condenando el bloqueo marítimo al que se somete a la población palestina residente en Gaza, impidiendo la llegada de ayuda humanitaria y vetando la pesca de la población en sus propias aguas, siendo Gaza la única puerta al mar de Palestina.</w:t>
      </w:r>
    </w:p>
    <w:p w:rsidR="00A90898" w:rsidRDefault="00A90898" w:rsidP="00A90898">
      <w:pPr>
        <w:pStyle w:val="TextoNormal"/>
      </w:pPr>
    </w:p>
    <w:p w:rsidR="00A90898" w:rsidRDefault="00A90898" w:rsidP="00A90898">
      <w:pPr>
        <w:pStyle w:val="TextoNormal"/>
      </w:pPr>
      <w:r>
        <w:t>A esta restricción hay que sumar el hecho de que el gobierno de Israel controla la entrada de alimentos a la franja de Gaza, permitiendo una entrada muy inferior a las necesidades de la población según sus propios cálculos, condenándolos a la malnutrición.</w:t>
      </w:r>
    </w:p>
    <w:p w:rsidR="00A90898" w:rsidRDefault="00A90898" w:rsidP="00A90898">
      <w:pPr>
        <w:pStyle w:val="TextoNormal"/>
      </w:pPr>
    </w:p>
    <w:p w:rsidR="00A90898" w:rsidRDefault="00A90898" w:rsidP="00A90898">
      <w:pPr>
        <w:pStyle w:val="TextoNormal"/>
      </w:pPr>
      <w:r>
        <w:t>El silencio internacional ante las reiteradas vulneraciones tanto de los derechos humanos del pueblo palestino como de la normativa internacional, ha de ser roto mediante el apoyo unánime a la presente resolución parlamentaria.</w:t>
      </w:r>
    </w:p>
    <w:p w:rsidR="00A90898" w:rsidRDefault="00A90898" w:rsidP="00A90898">
      <w:pPr>
        <w:pStyle w:val="TextoNormal"/>
      </w:pPr>
    </w:p>
    <w:p w:rsidR="00A90898" w:rsidRDefault="00A90898" w:rsidP="00A90898">
      <w:pPr>
        <w:pStyle w:val="TextoNormal"/>
      </w:pPr>
      <w:r>
        <w:t>Les Corts acuerdan:</w:t>
      </w:r>
    </w:p>
    <w:p w:rsidR="00A90898" w:rsidRDefault="00A90898" w:rsidP="00A90898">
      <w:pPr>
        <w:pStyle w:val="TextoNormal"/>
      </w:pPr>
    </w:p>
    <w:p w:rsidR="00A90898" w:rsidRDefault="00A90898" w:rsidP="00A90898">
      <w:pPr>
        <w:pStyle w:val="TextoNormal"/>
      </w:pPr>
      <w:r>
        <w:t>Condenan el asalto a la II ‘Flotilla de la libertad’ en la que iba un diputado del Congreso de los Diputados, que pretendía romper el bloqueo marítimo al pueblo palestino.</w:t>
      </w:r>
    </w:p>
    <w:p w:rsidR="00A90898" w:rsidRDefault="00A90898" w:rsidP="00A90898">
      <w:pPr>
        <w:pStyle w:val="TextoNormal"/>
      </w:pPr>
    </w:p>
    <w:p w:rsidR="00A90898" w:rsidRDefault="00A90898" w:rsidP="00A90898">
      <w:pPr>
        <w:pStyle w:val="TextoNormal"/>
      </w:pPr>
      <w:r>
        <w:t>Condenan el bloqueo marítimo y económico al que Israel somete al pueblo de Gaza y a toda Palestina.</w:t>
      </w:r>
    </w:p>
    <w:p w:rsidR="00A90898" w:rsidRDefault="00A90898" w:rsidP="00A90898">
      <w:pPr>
        <w:pStyle w:val="TextoNormal"/>
      </w:pPr>
    </w:p>
    <w:p w:rsidR="00A90898" w:rsidRDefault="00A90898" w:rsidP="00A90898">
      <w:pPr>
        <w:pStyle w:val="TextoNormal"/>
      </w:pPr>
      <w:r>
        <w:t>Reafirman su solidaridad con el pueblo palestino que lleva sufriendo casi 65 años de despojo, limpieza étnica, colonización, apartheid, y la ocupación militar más larga de la historia contemporánea.</w:t>
      </w:r>
    </w:p>
    <w:p w:rsidR="00A90898" w:rsidRDefault="00A90898" w:rsidP="00A90898">
      <w:pPr>
        <w:pStyle w:val="TextoNormal"/>
      </w:pPr>
    </w:p>
    <w:p w:rsidR="00A90898" w:rsidRDefault="00A90898" w:rsidP="00A90898">
      <w:pPr>
        <w:pStyle w:val="TextoNormal"/>
      </w:pPr>
      <w:r>
        <w:t>Les Corts instan al Consell a trasladar a todas las instancias nacionales e internacionales competentes la condena a la vulneración del derecho internacional y la condena a la impunidad del ejército israelí al asaltar un barco en aguas internacionales.</w:t>
      </w:r>
    </w:p>
    <w:p w:rsidR="00A90898" w:rsidRDefault="00A90898" w:rsidP="00A90898">
      <w:pPr>
        <w:pStyle w:val="TextoNormal"/>
      </w:pPr>
    </w:p>
    <w:p w:rsidR="00A90898" w:rsidRDefault="00A90898" w:rsidP="00A90898">
      <w:pPr>
        <w:pStyle w:val="TextoNormal"/>
      </w:pPr>
      <w:r>
        <w:t>Les Corts instan al Consell a que inste al gobierno del Estado a llevar a cabo las actuaciones necesarias para lograr que la ONU y la Unión Europea se pronuncien sobre este hecho, condenen el bloqueo marítimo y económico y obliguen al gobierno israelí a poner fin cuanto antes a ambos bloqueos.”</w:t>
      </w:r>
    </w:p>
    <w:p w:rsidR="00A90898" w:rsidRDefault="00A90898" w:rsidP="00A90898">
      <w:pPr>
        <w:pStyle w:val="TextoNormal"/>
      </w:pPr>
    </w:p>
    <w:p w:rsidR="00A90898" w:rsidRDefault="00A90898" w:rsidP="00A90898">
      <w:pPr>
        <w:pStyle w:val="TextoNormal"/>
      </w:pPr>
      <w:r>
        <w:t>b) La Mesa de las Cortes Valencianas, mediante acuerdo 6 de noviembre de 2012, inadmitió a trámite dicha iniciativa parlamentaria razonando que “de acuerdo con lo previsto en el art. 161.2 y visto el acuerdo contrario de la Junta de Síndics, no se admite a trámite toda vez que se trata de un asunto que no afecta al interés directo de los ciudadanos y las ciudadanas de la Comunidad Valenciana”.</w:t>
      </w:r>
    </w:p>
    <w:p w:rsidR="00A90898" w:rsidRDefault="00A90898" w:rsidP="00A90898">
      <w:pPr>
        <w:pStyle w:val="TextoNormal"/>
      </w:pPr>
    </w:p>
    <w:p w:rsidR="00A90898" w:rsidRDefault="00A90898" w:rsidP="00A90898">
      <w:pPr>
        <w:pStyle w:val="TextoNormal"/>
      </w:pPr>
      <w:r>
        <w:t>El contenido del art. 161 del Reglamento de las Cortes Valencianas, es el siguiente:</w:t>
      </w:r>
    </w:p>
    <w:p w:rsidR="00A90898" w:rsidRDefault="00A90898" w:rsidP="00A90898">
      <w:pPr>
        <w:pStyle w:val="TextoNormal"/>
      </w:pPr>
    </w:p>
    <w:p w:rsidR="00A90898" w:rsidRDefault="00A90898" w:rsidP="00A90898">
      <w:pPr>
        <w:pStyle w:val="TextoNormal"/>
      </w:pPr>
      <w:r>
        <w:t xml:space="preserve">“Art. 161. 1. Las proposiciones no de ley deberán presentarse por escrito a la Mesa de Les Corts que, oída la Junta de Síndics, decidirá sobre su admisibilidad; ordenará, en su </w:t>
      </w:r>
      <w:r>
        <w:lastRenderedPageBreak/>
        <w:t>caso, la publicación y acordará la tramitación ante la comisión competente o ante el Pleno, en función de que se trate de iniciativas de tramitación ordinaria o iniciativas de tramitación especial de urgencia.</w:t>
      </w:r>
    </w:p>
    <w:p w:rsidR="00A90898" w:rsidRDefault="00A90898" w:rsidP="00A90898">
      <w:pPr>
        <w:pStyle w:val="TextoNormal"/>
      </w:pPr>
    </w:p>
    <w:p w:rsidR="00A90898" w:rsidRDefault="00A90898" w:rsidP="00A90898">
      <w:pPr>
        <w:pStyle w:val="TextoNormal"/>
      </w:pPr>
      <w:r>
        <w:t>2. Cuando las proposiciones no de ley se refieran a cuestiones que, no siendo competencia de la Generalitat, afecten al interés directo de los ciudadanos y ciudadanas de la Comunitat Valenciana, la Mesa solicitará el acuerdo de la Junta de Síndics antes de acordar su admisión a trámite.”</w:t>
      </w:r>
    </w:p>
    <w:p w:rsidR="00A90898" w:rsidRDefault="00A90898" w:rsidP="00A90898">
      <w:pPr>
        <w:pStyle w:val="TextoNormal"/>
      </w:pPr>
    </w:p>
    <w:p w:rsidR="00A90898" w:rsidRDefault="00A90898" w:rsidP="00A90898">
      <w:pPr>
        <w:pStyle w:val="TextoNormal"/>
      </w:pPr>
      <w:r>
        <w:t>c) La hoy demandante de amparo, en desacuerdo con la referida decisión de la Mesa, elevó ante el citado órgano un recurso de reposición que fue desestimado mediante Acuerdo de 27 de noviembre de 2012, en el que se señala, entre otros extremos, que lo lógico es que “las actuaciones de un ejército extranjero tengan tratamiento en el Parlamento de la Nación y no en el de una Comunidad Autónoma y eso mismo parece ser también cuando se pretende instar a la ONU y a la Unión Europea a pronunciarse sobre un bloqueo marítimo y económico del Gobierno de Israel”. Asimismo, en dicha resolución se apela a lo dispuesto en el art. 161.2 del Reglamento de las Cortes Valencianas indicando que, “al no existir acuerdo favorable de la Junta de Síndics … no se puede acceder a lo solicitado por GP Compromís”. Más claramente todavía, se señala que la Mesa de las Corts se limitó “a trasladar aquel acuerdo de la Junta de Síndics”.</w:t>
      </w:r>
    </w:p>
    <w:p w:rsidR="00A90898" w:rsidRDefault="00A90898" w:rsidP="00A90898">
      <w:pPr>
        <w:pStyle w:val="TextoNormal"/>
      </w:pPr>
    </w:p>
    <w:p w:rsidR="00A90898" w:rsidRDefault="00A90898" w:rsidP="00A90898">
      <w:pPr>
        <w:pStyle w:val="TextoNormal"/>
      </w:pPr>
      <w:r>
        <w:t>El principal argumento de la Mesa en su resolución de denegación del recurso de reposición se encuentra en el punto II, en el que se afirma que “conocido el criterio de la Junta, la Mesa no tiene ninguna posibilidad de ignorarlo, porque en este caso sí que incurriría en un incumplimiento de la norma reglamentaria, admitiendo a trámite una iniciativa que no cuenta, como exige el art. 161.2 RC, con el acuerdo favorable de la Junta de Síndics, acuerdo que no se produjo”.</w:t>
      </w:r>
    </w:p>
    <w:p w:rsidR="00A90898" w:rsidRDefault="00A90898" w:rsidP="00A90898">
      <w:pPr>
        <w:pStyle w:val="TextoNormal"/>
      </w:pPr>
    </w:p>
    <w:p w:rsidR="00A90898" w:rsidRDefault="00A90898" w:rsidP="00A90898">
      <w:pPr>
        <w:pStyle w:val="TextoNormal"/>
      </w:pPr>
      <w:r w:rsidRPr="00A90898">
        <w:rPr>
          <w:rStyle w:val="NumeroAFNegritaCaracter"/>
        </w:rPr>
        <w:t>2</w:t>
      </w:r>
      <w:r>
        <w:t>. La demanda se interpone al amparo del art. 42 de la Ley Orgánica del Tribunal Constitucional (LOTC) y en la misma se solicita la declaración de nulidad de los acuerdos de la Mesa citados anteriormente. Entiende la parte demandante que se ha vulnerado el art. 23 CE en sus dos apartados, toda vez que “la Mesa con su veto se aparta de su función de control de la regularidad legal de la iniciativa, para utilizar el órgano como un instrumento de veto político coartando el debate de lo que no le interesa al grupo mayoritario, escudándose en un desplazamiento de su competencia a la Junta de Portavoces, órgano político, cuando ni es eso lo que dice el reglamento de la cámara, ni esa interpretación es constitucionalmente viable, ni es esa la justificación que se da en la primera denegación de tramitación de la iniciativa. Sería como delegar en la Junta de Portavoces el debate que necesariamente ha de producirse en los órganos deliberativos de la cámara, impidiendo el debate y el juicio que consecuentemente se pudiera hacer la opinión pública al respecto”. Asimismo, se aduce que no consta ninguna motivación sustantiva que justifique la inadmisión de la iniciativa.</w:t>
      </w:r>
    </w:p>
    <w:p w:rsidR="00A90898" w:rsidRDefault="00A90898" w:rsidP="00A90898">
      <w:pPr>
        <w:pStyle w:val="TextoNormal"/>
      </w:pPr>
    </w:p>
    <w:p w:rsidR="00A90898" w:rsidRDefault="00A90898" w:rsidP="00A90898">
      <w:pPr>
        <w:pStyle w:val="TextoNormal"/>
      </w:pPr>
      <w:r>
        <w:t xml:space="preserve">Por ello la recurrente considera que la negativa a tramitar la iniciativa presentada supone “una vulneración de los derechos contenidos en el artículo 23 de la Constitución Española”, pues los Acuerdos recurridos afectan al núcleo esencial del </w:t>
      </w:r>
      <w:r w:rsidRPr="00A90898">
        <w:rPr>
          <w:i/>
        </w:rPr>
        <w:t>ius in officium</w:t>
      </w:r>
      <w:r>
        <w:t xml:space="preserve"> de los representantes parlamentarios toda vez que se refieren a “la posibilidad de formular iniciativas ante los órganos de la Cámara de representación y que éstas se debatan y sometan a votación, </w:t>
      </w:r>
      <w:r>
        <w:lastRenderedPageBreak/>
        <w:t>máxime tratándose de una proposición no de ley, instrumento de iniciativa parlamentaria por excelencia”. Para apoyar esta alegación, la parte recurrente razona que la Mesa vulnera lo previsto en los arts. 160 y 162 del Reglamento de las Cortes Valencianas pues, a su juicio, la única interpretación posible de tales preceptos es “considerar que la solicitud del acuerdo a la Junta con carácter previo al acuerdo de admisión es una formalidad. No encajando en nuestra vigente Constitución que el órgano político que es la Junta de Portavoces tenga la potestad de impedir la tramitación de iniciativas parlamentarias bajo un criterio político. En caso contrario lo que queda es el capricho o la arbitrariedad de quien utiliza su mayoría, bien en la Mesa, bien en la Junta de Portavoces, para imponer su voluntad”, añadiendo que, de no interpretarse así estos preceptos, se impide el debate en comisión parlamentaria o en Pleno y, en consecuencia, se limita el derecho de participación de las minorías.</w:t>
      </w:r>
    </w:p>
    <w:p w:rsidR="00A90898" w:rsidRDefault="00A90898" w:rsidP="00A90898">
      <w:pPr>
        <w:pStyle w:val="TextoNormal"/>
      </w:pPr>
    </w:p>
    <w:p w:rsidR="00A90898" w:rsidRDefault="00A90898" w:rsidP="00A90898">
      <w:pPr>
        <w:pStyle w:val="TextoNormal"/>
      </w:pPr>
      <w:r>
        <w:t>Con cita de la jurisprudencia del Tribunal Constitucional (SSTC 203/2001, 40/2003, 74/2009 y 44/2010), la parte demandante afirma que la Mesa se extralimitó en sus facultades de calificación y admisión a trámite, facultades que debe ceñirse al exclusivo examen de los requisitos reglamentariamente establecidos y no debe suponer la adopción de decisiones políticas que sólo al Pleno o a las comisiones parlamentarias corresponde, lo que supone la obstaculización de “la posibilidad de que se celebre un debate público entre las distintas fuerzas políticas con representación parlamentaria, cuyos efectos representativos ante los electores se cumplen con su mera existencia, al margen, claro está de que la iniciativa, en su caso, prospere” (STC 44/2010, de 26 de julio, FJ 5).</w:t>
      </w:r>
    </w:p>
    <w:p w:rsidR="00A90898" w:rsidRDefault="00A90898" w:rsidP="00A90898">
      <w:pPr>
        <w:pStyle w:val="TextoNormal"/>
      </w:pPr>
    </w:p>
    <w:p w:rsidR="00A90898" w:rsidRDefault="00A90898" w:rsidP="00A90898">
      <w:pPr>
        <w:pStyle w:val="TextoNormal"/>
      </w:pPr>
      <w:r>
        <w:t>Por último, en la demanda también se denuncia, invocando exclusivamente el art. 23 CE, que “la situación que padecen los diputados y diputada del Grupo Parlamentario Compromís no la padecen los diputados y diputadas del Grupo Popular ni del Grupo de Esquerra Unida, pues a estos grupos la cámara no les rechaza sus iniciativas legislativas de contenido similar al presentado por el grupo Compromís cuya tramitación ha sido denegada”, denuncia que entienden acreditada mediante la aportación de copias simples del “Boletín Oficial de las Cortes” de fechas 28 de septiembre de 2010 y 19 de octubre de 2012 acreditativas de la tramitación de sendas proposiciones no de ley, a instancias del grupo Popular y del grupo Esquerra Unida, relativas a doña Sakineh Mohammadi Ashtiani, condenada a ser lapidada en Irán, y a la campaña internacional Flotilla por la Libertad de 2012, aclarando que solamente esta última corresponde a la misma legislatura que la proposición no de ley objeto del recurso de amparo. De la demanda se desprende claramente que esta última queja queda subsumida en el derecho garantizado en el art. 23 CE, que es el único precepto constitucional que se invoca, teniendo en cuenta la doctrina reiterada de este Tribunal según la cual el art. 23.2 CE también garantiza el derecho a la igualdad en el ejercicio de las funciones y cargos públicos.</w:t>
      </w:r>
    </w:p>
    <w:p w:rsidR="00A90898" w:rsidRDefault="00A90898" w:rsidP="00A90898">
      <w:pPr>
        <w:pStyle w:val="TextoNormal"/>
      </w:pPr>
    </w:p>
    <w:p w:rsidR="00A90898" w:rsidRDefault="00A90898" w:rsidP="00A90898">
      <w:pPr>
        <w:pStyle w:val="TextoNormal"/>
      </w:pPr>
      <w:r w:rsidRPr="00A90898">
        <w:rPr>
          <w:rStyle w:val="NumeroAFNegritaCaracter"/>
        </w:rPr>
        <w:t>3</w:t>
      </w:r>
      <w:r>
        <w:t>. La Sala Primera de este Tribunal, por providencia de 30 de noviembre de 2015, acordó admitir a trámite la demanda de amparo, apreciando que concurre una especial trascendencia constitucional (art. 50.1 LOTC) porque el asunto suscitado trasciende del caso concreto porque pudiera dar ocasión al Tribunal para aclarar o cambiar su doctrina [STC 155/2009, FJ 2 b)]. Asimismo, en aplicación de lo dispuesto en el art. 51 LOTC, acordó requerir al Excmo. Sr. Presidente de las Cortes Valencianas la remisión del testimonio de las actuaciones, acompañándose copia de la demanda a los efectos de su personación en el presente proceso.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La Secretaría de Justicia de la Sala Primera de este Tribunal, por diligencia de ordenación de 4 de enero de 2016, acordó tener por personado y parte al Letrado Mayor de las Cortes Valencianas y dar vista de las actuaciones al Ministerio Fiscal y a las partes personadas por plazo común de veinte días para presentar las alegaciones que estimasen pertinentes, de conformidad con el art. 52 LOTC.</w:t>
      </w:r>
    </w:p>
    <w:p w:rsidR="00A90898" w:rsidRDefault="00A90898" w:rsidP="00A90898">
      <w:pPr>
        <w:pStyle w:val="TextoNormal"/>
      </w:pPr>
    </w:p>
    <w:p w:rsidR="00A90898" w:rsidRDefault="00A90898" w:rsidP="00A90898">
      <w:pPr>
        <w:pStyle w:val="TextoNormal"/>
      </w:pPr>
      <w:r w:rsidRPr="00A90898">
        <w:rPr>
          <w:rStyle w:val="NumeroAFNegritaCaracter"/>
        </w:rPr>
        <w:t>5</w:t>
      </w:r>
      <w:r>
        <w:t>. El Letrado Mayor de las Cortes Valencianas, mediante escrito registrado el 8 febrero de 2016, formuló sus alegaciones solicitando la desestimación del recurso de amparo y afirmando que los acuerdos impugnados de la Mesa de las Cortes Valencianas no vulneran el art. 23 CE y fueron adoptados en cumplimiento de lo establecido en el Reglamento de las Cortes y en el Estatuto de Autonomía de la Comunidad Valenciana.</w:t>
      </w:r>
    </w:p>
    <w:p w:rsidR="00A90898" w:rsidRDefault="00A90898" w:rsidP="00A90898">
      <w:pPr>
        <w:pStyle w:val="TextoNormal"/>
      </w:pPr>
    </w:p>
    <w:p w:rsidR="00A90898" w:rsidRDefault="00A90898" w:rsidP="00A90898">
      <w:pPr>
        <w:pStyle w:val="TextoNormal"/>
      </w:pPr>
      <w:r>
        <w:t>El Letrado Mayor pone de manifiesto que la actuación de la Mesa reunida en fecha 27 de noviembre de 2012 se ajustó a la interpretación literal que se hacía del art. 161.2 del Reglamento de la Cámara en la anterior legislatura, según la cual no era posible la admisión a trámite de las proposiciones no de ley sin el acuerdo de la Junta de Portavoces, pero explica que tal criterio ha cambiado en la actual legislatura como consecuencia de diversas Sentencias del Tribunal Constitucional que anularon acuerdos de la Mesa de las Cortes Valencianas y en las que se dictó doctrina sosteniendo que corresponde a la Mesa la calificación de los escritos, pese a la dicción literal del art. 161.2 del Reglamento de las Cortes Valencianas (SSTC 44/2010, 29/2011 y 158/2014).</w:t>
      </w:r>
    </w:p>
    <w:p w:rsidR="00A90898" w:rsidRDefault="00A90898" w:rsidP="00A90898">
      <w:pPr>
        <w:pStyle w:val="TextoNormal"/>
      </w:pPr>
    </w:p>
    <w:p w:rsidR="00A90898" w:rsidRDefault="00A90898" w:rsidP="00A90898">
      <w:pPr>
        <w:pStyle w:val="TextoNormal"/>
      </w:pPr>
      <w:r>
        <w:t>Así, continúa el representante de las Cortes Valencianas, como consecuencia de dichos pronunciamientos, la Mesa solicitó un informe a los Servicios Jurídicos, del que tuvo conocimiento en su reunión del 20 de enero de 2015, fecha a partir de la cual se cambió de criterio interpretativo, actuando la Mesa de conformidad con el criterio manifestado por el Tribunal Constitucional, en el sentido de que la intervención de la Junta de Síndics no exime a la Mesa de la competencia exclusiva que ésta tiene atribuida en lo que se refiere a la admisión a trámite de las iniciativas parlamentarias y, por tanto, el acuerdo de la Mesa ha de estar motivado de forma suficiente, concluyendo que es “criterio unánime de la Cámara proceder a la modificación del art. 161.2 del Reglamento de las Cortes Valencianas”.</w:t>
      </w:r>
    </w:p>
    <w:p w:rsidR="00A90898" w:rsidRDefault="00A90898" w:rsidP="00A90898">
      <w:pPr>
        <w:pStyle w:val="TextoNormal"/>
      </w:pPr>
    </w:p>
    <w:p w:rsidR="00A90898" w:rsidRDefault="00A90898" w:rsidP="00A90898">
      <w:pPr>
        <w:pStyle w:val="TextoNormal"/>
      </w:pPr>
      <w:r w:rsidRPr="00A90898">
        <w:rPr>
          <w:rStyle w:val="NumeroAFNegritaCaracter"/>
        </w:rPr>
        <w:t>6</w:t>
      </w:r>
      <w:r>
        <w:t>. El Ministerio Fiscal presentó su escrito de alegaciones en este Tribunal el 11 de febrero de 2016, en el que interesa se dicte sentencia estimando el recurso de amparo y se declare vulnerado el derecho fundamental de la demandante de amparo a ejercer sus funciones representativas de acuerdo con lo garantizado en el art. 23.2 CE.</w:t>
      </w:r>
    </w:p>
    <w:p w:rsidR="00A90898" w:rsidRDefault="00A90898" w:rsidP="00A90898">
      <w:pPr>
        <w:pStyle w:val="TextoNormal"/>
      </w:pPr>
    </w:p>
    <w:p w:rsidR="00A90898" w:rsidRDefault="00A90898" w:rsidP="00A90898">
      <w:pPr>
        <w:pStyle w:val="TextoNormal"/>
      </w:pPr>
      <w:r>
        <w:t xml:space="preserve">Tras exponer detalladamente los antecedentes de los que trae causa el recurso, así como los principales argumentos esgrimidos por la recurrente, el Fiscal reproduce los preceptos del Reglamento de las Cortes Valencianas relativos a la materia y sintetiza la jurisprudencia dictada por el Tribunal Constitucional en aquellos casos en los que, como el presente, se recurrieron acuerdos de la Mesa del Parlamento de Valencia que inadmitieron a trámite proposiciones no de ley presentadas al amparo del art. 161.2 del Reglamento de las Cortes Valencianas. El Fiscal llega a la conclusión de que el razonamiento que ha de emplear el Tribunal Constitucional para resolver el presente recurso de amparo ha de ser semejante al vertido en la STC 29/2011, de 14 de marzo, de la que se desprende, en primer lugar, que la admisión a trámite es función que corresponde estrictamente a la Mesa de la Cámara, de </w:t>
      </w:r>
      <w:r>
        <w:lastRenderedPageBreak/>
        <w:t>conformidad con las facultades de calificación y admisión de los escritos de índole parlamentaria que le atribuye la norma reglamentaria (art. 34.1.6 del Reglamento de las Cortes Valencianas), y, en segundo término, que la Mesa de la Cámara, al decidir sobre la admisión de la iniciativa, no puede en ningún caso desconocer que tal iniciativa es manifestación del ejercicio del derecho del parlamentario que la formula y que, por ello, cualquier rechazo arbitrario o no motivado es causa de lesión del derecho fundamental del diputado a desarrollar sus funciones parlamentarias sin impedimentos ilegítimos.</w:t>
      </w:r>
    </w:p>
    <w:p w:rsidR="00A90898" w:rsidRDefault="00A90898" w:rsidP="00A90898">
      <w:pPr>
        <w:pStyle w:val="TextoNormal"/>
      </w:pPr>
    </w:p>
    <w:p w:rsidR="00A90898" w:rsidRDefault="00A90898" w:rsidP="00A90898">
      <w:pPr>
        <w:pStyle w:val="TextoNormal"/>
      </w:pPr>
      <w:r>
        <w:t>En consecuencia, el Fiscal sostiene que aunque formalmente la Mesa inadmitió la proposición no de ley sobre la base de que se trataba de un asunto que no afectaba al interés directo de los ciudadanos de la Comunidad Valenciana, en realidad lo que estaba haciendo era dar valor absoluto al criterio de la Junta de Síndicos, como se pondría de manifiesto con mayor claridad cuando la Mesa procedió a resolver el recurso de reposición, motivación ésta que, a juicio del Ministerio Fiscal, no puede ser considerada suficiente, pues supondría someter a razones de oportunidad política el ejercicio de facultades otorgadas por el Reglamento de la Cámara a los parlamentarios y los grupos en que se integran y que forman parte del derecho fundamental reconocido en el art. 23 CE. Resulta, por tanto, que en la medida en que no consta ningún motivo de fondo que justifique la inadmisión de la iniciativa, las resoluciones de la Mesa constituyen una limitación ilegítima al ejercicio de los derechos y facultades que integran el estatuto constitucionalmente relevante de los representantes políticos y, en consecuencia, del derecho a ejercer la función parlamentaria (art. 23.2 CE) y del derecho de participación ciudadana en los asuntos públicos (art. 23.1 CE).</w:t>
      </w:r>
    </w:p>
    <w:p w:rsidR="00A90898" w:rsidRDefault="00A90898" w:rsidP="00A90898">
      <w:pPr>
        <w:pStyle w:val="TextoNormal"/>
      </w:pPr>
    </w:p>
    <w:p w:rsidR="00A90898" w:rsidRDefault="00A90898" w:rsidP="00A90898">
      <w:pPr>
        <w:pStyle w:val="TextoNormal"/>
      </w:pPr>
      <w:r>
        <w:t>Además, concluye el fiscal, como se indica en la demanda, que en otros casos, iniciativas similares a la que ahora se considera, presentadas por otros grupos parlamentarios, sí fueron admitidas a trámite, sin que constara razón alguna que justificara tal disparidad de criterio, y ello, a pesar de que el art. 23.2 CE no sólo reclama la observancia de los requisitos legales sino también la observancia de las condiciones de igualdad.</w:t>
      </w:r>
    </w:p>
    <w:p w:rsidR="00A90898" w:rsidRDefault="00A90898" w:rsidP="00A90898">
      <w:pPr>
        <w:pStyle w:val="TextoNormal"/>
      </w:pPr>
    </w:p>
    <w:p w:rsidR="00A90898" w:rsidRDefault="00A90898" w:rsidP="00A90898">
      <w:pPr>
        <w:pStyle w:val="TextoNormal"/>
      </w:pPr>
      <w:r w:rsidRPr="00A90898">
        <w:rPr>
          <w:rStyle w:val="NumeroAFNegritaCaracter"/>
        </w:rPr>
        <w:t>7</w:t>
      </w:r>
      <w:r>
        <w:t>. Por providencia de 1 de marzo de 2016, el Pleno acordó, a propuesta de la Sala Primera y de conformidad con el art. 10.1 n) LOTC, recabar para sí el conocimiento de este recurso de amparo.</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13 de diciembre de 2016, se señaló para la deliberación y votación de la presente Sentencia el día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Como se ha expuesto con mayor detalle en los antecedentes, la cuestión suscitada en el presente recurso de amparo se centra en determinar si los acuerdos de la Mesa de las Cortes Valencianas que se mencionan en el encabezamiento de esta Sentencia y mediante los que se inadmitió a trámite una proposición no de ley presentada por la portavoz adjunta del Grupo Parlamentario Compromís en las Cortes Valencianas, vulneran el derecho a acceder en condiciones de igualdad a las funciones y cargos públicos regulado en el art. 23.2 CE, en relación con el derecho de los ciudadanos a participar en los asuntos públicos a través de sus representantes, previsto en el artículo 23.1 CE.</w:t>
      </w:r>
    </w:p>
    <w:p w:rsidR="00A90898" w:rsidRDefault="00A90898" w:rsidP="00A90898">
      <w:pPr>
        <w:pStyle w:val="TextoNormal"/>
      </w:pPr>
    </w:p>
    <w:p w:rsidR="00A90898" w:rsidRDefault="00A90898" w:rsidP="00A90898">
      <w:pPr>
        <w:pStyle w:val="TextoNormal"/>
      </w:pPr>
      <w:r>
        <w:lastRenderedPageBreak/>
        <w:t>La parte recurrente alega que la Mesa se aparta de su función de control de la regularidad legal de la iniciativa parlamentaria y asume una función política que no le corresponde, restringiendo el debate en comisión o en pleno y escudándose en un desplazamiento de su competencia a la junta de portavoces. Asimismo, aduce que no consta ninguna motivación sustantiva que justifique la inadmisión de la iniciativa y que se vulnera el derecho a la igualdad entre los grupos parlamentarios que se desprende del art. 23 CE, pues en otros supuestos similares las iniciativas parlamentarias sí han resultado admitidas.</w:t>
      </w:r>
    </w:p>
    <w:p w:rsidR="00A90898" w:rsidRDefault="00A90898" w:rsidP="00A90898">
      <w:pPr>
        <w:pStyle w:val="TextoNormal"/>
      </w:pPr>
    </w:p>
    <w:p w:rsidR="00A90898" w:rsidRDefault="00A90898" w:rsidP="00A90898">
      <w:pPr>
        <w:pStyle w:val="TextoNormal"/>
      </w:pPr>
      <w:r>
        <w:t>El Ministerio Fiscal interesa la estimación del recurso de amparo en los términos que han quedado expresados en los antecedentes de la presente Sentencia.</w:t>
      </w:r>
    </w:p>
    <w:p w:rsidR="00A90898" w:rsidRDefault="00A90898" w:rsidP="00A90898">
      <w:pPr>
        <w:pStyle w:val="TextoNormal"/>
      </w:pPr>
    </w:p>
    <w:p w:rsidR="00A90898" w:rsidRDefault="00A90898" w:rsidP="00A90898">
      <w:pPr>
        <w:pStyle w:val="TextoNormal"/>
      </w:pPr>
      <w:r>
        <w:t>El Letrado Mayor de las Cortes Valencianas solicita la desestimación del recurso de amparo, pues entiende que la Mesa ejerció legítimamente sus facultades y aplicó correctamente las normas del Reglamento de las Cortes Valencianas que regulan la tramitación de las proposiciones no de ley, por lo que, a su juicio, no cabe imputar a la actuación de la Mesa la pretendida lesión de los derechos fundamentales garantizados por el art. 23 CE.</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que comparecen en este proceso de amparo ha puesto en duda la especial trascendencia constitucional de este recurso, que es requisito para su admisión de conformidad con los arts. 49.1 y 50.1 b) LOTC y, por consiguiente, requisito de orden público procesal (STC 113/2012, de 24 de mayo, FJ 2 y las allí citadas), lo cierto es que exigencias de certeza y buena administración de justicia (STEDH de 20 de enero de 2015, asunto </w:t>
      </w:r>
      <w:r w:rsidRPr="00A90898">
        <w:rPr>
          <w:i/>
        </w:rPr>
        <w:t>Arribas Antón c. España</w:t>
      </w:r>
      <w:r>
        <w:t>, apartado 46), obligan a hacer explícito el cumplimiento de ese requisito para conocer los criterios empleados al efecto por el Tribunal Constitucional.</w:t>
      </w:r>
    </w:p>
    <w:p w:rsidR="00A90898" w:rsidRDefault="00A90898" w:rsidP="00A90898">
      <w:pPr>
        <w:pStyle w:val="TextoNormal"/>
      </w:pPr>
    </w:p>
    <w:p w:rsidR="00A90898" w:rsidRDefault="00A90898" w:rsidP="00A90898">
      <w:pPr>
        <w:pStyle w:val="TextoNormal"/>
      </w:pPr>
      <w:r>
        <w:t xml:space="preserve">En el presente caso, este Tribunal decidió admitir a trámite la demanda de amparo, por providencia de 30 de noviembre de 2015, apreciando que concurre una especial trascendencia constitucional (art. 50.1 de la Ley Orgánica del Tribunal Constitucional: LOTC) porque el asunto suscitado trasciende del caso concreto al dar ocasión al Tribunal para aclarar o cambiar su doctrina [STC 155/2009, FJ 2 b)], a lo que habría que añadir, como se desprende de la STC 200/2014, de 15 de diciembre, FJ 2, que los amparos parlamentarios, </w:t>
      </w:r>
      <w:r w:rsidRPr="00A90898">
        <w:rPr>
          <w:i/>
        </w:rPr>
        <w:t>ex</w:t>
      </w:r>
      <w:r>
        <w:t xml:space="preserve"> art. 42 LOTC, tienen una particularidad respecto del resto de los recursos de amparo en cuanto al marco de garantías del que disponen los eventuales recurrentes para invocar sus derechos fundamentales, como es la ausencia de una vía jurisdiccional previa al amparo constitucional en la que postular la reparación de los derechos vulnerados, lo que sitúa a los amparos parlamentarios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lo que no significa que estos factores relevantes para decidir la admisión del recurso deban trasladarse al núcleo de la decisión sobre el fondo del recurso, como ya tuvo ocasión de aclarar este Tribunal en las SSTC 9/2015, de 2 de febrero, FJ 3, y 242/2015, de 30 de noviembre, FJ 2, entre otras.</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Entrando ya en el análisis del fondo de la demanda de amparo, la resolución del presente recurso requiere, en primer lugar, traer a colación la doctrina constitucional sobre los </w:t>
      </w:r>
      <w:r>
        <w:lastRenderedPageBreak/>
        <w:t>derechos fundamentales invocados para, en segundo término, ponerla en conexión con el contenido y finalidad de los acuerdos impugnados.</w:t>
      </w:r>
    </w:p>
    <w:p w:rsidR="00A90898" w:rsidRDefault="00A90898" w:rsidP="00A90898">
      <w:pPr>
        <w:pStyle w:val="TextoNormal"/>
      </w:pPr>
    </w:p>
    <w:p w:rsidR="00A90898" w:rsidRDefault="00A90898" w:rsidP="00A90898">
      <w:pPr>
        <w:pStyle w:val="TextoNormal"/>
      </w:pPr>
      <w:r>
        <w:t>a) 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40/2003, de 17 de febrero, FJ 2, y 1/2015, de 19 de enero, FJ 3, entre otras). Esta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de 14 de octubre, FJ 3; 40/2003, FJ 2, y 1/2015, FJ 3, entre otras muchas).</w:t>
      </w:r>
    </w:p>
    <w:p w:rsidR="00A90898" w:rsidRDefault="00A90898" w:rsidP="00A90898">
      <w:pPr>
        <w:pStyle w:val="TextoNormal"/>
      </w:pPr>
    </w:p>
    <w:p w:rsidR="00A90898" w:rsidRDefault="00A90898" w:rsidP="00A90898">
      <w:pPr>
        <w:pStyle w:val="TextoNormal"/>
      </w:pPr>
      <w:r>
        <w:t>En una línea jurisprudencial que se inicia con las SSTC 5/1983 y 10/1983, este Tribunal ha establecido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40/2003, de 17 de febrero, FJ 2, y 1/2015, de 19 de enero, FJ 3, entre otras muchas).</w:t>
      </w:r>
    </w:p>
    <w:p w:rsidR="00A90898" w:rsidRDefault="00A90898" w:rsidP="00A90898">
      <w:pPr>
        <w:pStyle w:val="TextoNormal"/>
      </w:pPr>
    </w:p>
    <w:p w:rsidR="00A90898" w:rsidRDefault="00A90898" w:rsidP="00A90898">
      <w:pPr>
        <w:pStyle w:val="TextoNormal"/>
      </w:pPr>
      <w:r>
        <w:t xml:space="preserve">b) Ha de recordarse asimismo, como inequívocamente se desprende del inciso final del propio art. 23.2 CE, que se trata de un derecho de configuración legal que corresponde establecer a los Reglamentos parlamentarios, a los que compete fijar y ordenar los derechos y atribuciones propios de los parlamentarios que, una vez creados, quedan integrados en el estatuto propio de su cargo, con la consecuencia de que podrán sus titulares, al amparo del art. 23.2 CE, reclamar la protección del </w:t>
      </w:r>
      <w:r w:rsidRPr="00A90898">
        <w:rPr>
          <w:i/>
        </w:rPr>
        <w:t>ius in officium</w:t>
      </w:r>
      <w:r>
        <w:t xml:space="preserve"> que consideren ilegítimamente constreñido o ignorado por actos del poder público, incluidos los provenientes del propio órgano en el que se integren. En concreto, podrán reclamarlos ante este Tribunal por el cauce del recurso de amparo, según lo previsto en el art. 42 de nuestra Ley Orgánica (SSTC 161/1988, FJ 7; 38/1999, FJ 2; 27/2000, de 31 de enero, FJ 4; 107/2001, FJ 3; 203/2001, FJ 2; 177/2002, FJ 3; 40/2003, de 17 de febrero, FJ 2, y 1/2015, de 19 de enero, FJ 3, entre otras muchas).</w:t>
      </w:r>
    </w:p>
    <w:p w:rsidR="00A90898" w:rsidRDefault="00A90898" w:rsidP="00A90898">
      <w:pPr>
        <w:pStyle w:val="TextoNormal"/>
      </w:pPr>
    </w:p>
    <w:p w:rsidR="00A90898" w:rsidRDefault="00A90898" w:rsidP="00A90898">
      <w:pPr>
        <w:pStyle w:val="TextoNormal"/>
      </w:pPr>
      <w:r>
        <w:t xml:space="preserve">En este sentido, este Tribunal ha venido reiterando que no cualquier acto del órgano parlamentario que infrinja la legalidad del </w:t>
      </w:r>
      <w:r w:rsidRPr="00A9089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 23.2 CE si los propios órganos de las Asambleas impiden o coartan su práctica o adoptan decisiones que contraríen la naturaleza de la representación </w:t>
      </w:r>
      <w:r>
        <w:lastRenderedPageBreak/>
        <w:t xml:space="preserve">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A90898">
        <w:rPr>
          <w:i/>
        </w:rPr>
        <w:t>ex</w:t>
      </w:r>
      <w:r>
        <w:t xml:space="preserve"> art. 23.1 CE (SSTC 38/1999, FJ 2; 107/2001, FJ 3; 40/2003, FJ 2; 1/2015, FJ 3, y 23/2015, de 16 de febrero, FJ 3, entre otras muchas).</w:t>
      </w:r>
    </w:p>
    <w:p w:rsidR="00A90898" w:rsidRDefault="00A90898" w:rsidP="00A90898">
      <w:pPr>
        <w:pStyle w:val="TextoNormal"/>
      </w:pPr>
    </w:p>
    <w:p w:rsidR="00A90898" w:rsidRDefault="00A90898" w:rsidP="00A90898">
      <w:pPr>
        <w:pStyle w:val="TextoNormal"/>
      </w:pPr>
      <w:r>
        <w:t>c) Por último, y en relación con el tipo de iniciativa parlamentaria que se inadmite en el caso que nos ocupa, es doctrina consolidada de este Tribunal que las proposiciones no de ley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de 27 de febrero, FJ 7, 78/2006, de 13 de marzo, FJ 3, y 158/2014, FJ 4). Queda, pues, de manifiesto la relevancia de este tipo de mecanismos de impulso y control político a los efectos del art. 23.2 CE, estando ante una facultad parlamentaria que forma parte del núcleo de la función representativa del diputado.</w:t>
      </w:r>
    </w:p>
    <w:p w:rsidR="00A90898" w:rsidRDefault="00A90898" w:rsidP="00A90898">
      <w:pPr>
        <w:pStyle w:val="TextoNormal"/>
      </w:pPr>
    </w:p>
    <w:p w:rsidR="00A90898" w:rsidRDefault="00A90898" w:rsidP="00A90898">
      <w:pPr>
        <w:pStyle w:val="TextoNormal"/>
      </w:pPr>
      <w:r w:rsidRPr="00A90898">
        <w:rPr>
          <w:rStyle w:val="NumeroAFNegritaCaracter"/>
        </w:rPr>
        <w:t>4</w:t>
      </w:r>
      <w:r>
        <w:t>. Expuesto lo anterior, debemos comenzar señalando que la cuestión que ha de someterse a consideración no es nueva en términos materiales, ni tampoco en razón de su procedencia. El Tribunal Constitucional ha tenido la ocasión de pronunciarse en diversas ocasiones sobre supuestos similares acontecidos en la Cámara valenciana e, incluso, en recursos presentados por la misma demandante (así, por ejemplo, en las SSTC 44/2010, de 26 de julio, 29/2011, de 14 de marzo, y 158/2014, de 6 de octubre). Precisamente por ello, este Tribunal considera necesario aclarar y precisar la doctrina dictada en dichas resoluciones, avocando el presente recurso de amparo al Pleno del Tribunal [art. 10.1 n) LOTC], en virtud de lo establecido en el art. 13 LOTC, toda vez que este nuevo recurso de amparo pone de manifiesto que los términos del art. 161.2 del Reglamento de las Cortes Valencianas conducen reiteradamente a la Mesa de la Cortes Valencianas a inadmitir, sin suficiente motivación y escudándose en un previo acuerdo desfavorable de la Junta de Portavoces, determinadas proposiciones no de ley que se refieren a cuestiones que, no siendo competencia de la Generalitat, afectan al interés directo de los ciudadanos y ciudadanas de la Comunidad Valenciana.</w:t>
      </w:r>
    </w:p>
    <w:p w:rsidR="00A90898" w:rsidRDefault="00A90898" w:rsidP="00A90898">
      <w:pPr>
        <w:pStyle w:val="TextoNormal"/>
      </w:pPr>
    </w:p>
    <w:p w:rsidR="00A90898" w:rsidRDefault="00A90898" w:rsidP="00A90898">
      <w:pPr>
        <w:pStyle w:val="TextoNormal"/>
      </w:pPr>
      <w:r>
        <w:t>Así, en la STC 29/2011, de 14 de marzo, este Tribunal estimó el recurso de amparo interpuesto contra el acuerdo de la Mesa de las Cortes Valencianas que inadmitió a trámite dos proposiciones no de ley en aplicación del art. 161.2 del Reglamento de las Cortes Va</w:t>
      </w:r>
      <w:r>
        <w:lastRenderedPageBreak/>
        <w:t>lencianas. En este caso la Mesa justificó su decisión de no tramitar las iniciativas argumentando “que la Junta de Síndics se opone a dicha tramitación” y, una vez elevado recurso de reposición, la Mesa ni siquiera entró a resolver el fondo de la queja, sino que se limitó a señalar que su función se reduce a trasladar a la Junta de Síndics las dos proposiciones no de ley planteadas y que, una vez conocido el criterio contrario a su tramitación, a ponerlo en conocimiento de la recurrente, argumento que consideró suficiente para oponerse a la tramitación del recurso de reposición.</w:t>
      </w:r>
    </w:p>
    <w:p w:rsidR="00A90898" w:rsidRDefault="00A90898" w:rsidP="00A90898">
      <w:pPr>
        <w:pStyle w:val="TextoNormal"/>
      </w:pPr>
    </w:p>
    <w:p w:rsidR="00A90898" w:rsidRDefault="00A90898" w:rsidP="00A90898">
      <w:pPr>
        <w:pStyle w:val="TextoNormal"/>
      </w:pPr>
      <w:r>
        <w:t>En dicha Sentencia el Tribunal Constitucional recuerda que “la admisión a trámite es función que corresponde estrictamente a la Mesa de la Cámara, de conformidad con las facultades de calificación y admisión de los escritos de índole parlamentaria que le atribuye el propio Reglamento (art. 34.1.6, del Reglamento de las Cortes Valencianas) … con independencia de que, en supuestos como el presente, haya de recabar previamente el acuerdo de la Junta de Síndics”. En consecuencia, este Tribunal advierte que la inadmisión de un recurso de reposición por parte de la Mesa, escudándose en que el acuerdo desfavorable a la admisión y tramitación de la proposición no de ley proviene de la Junta de Síndics, no puede considerarse “motivación suficiente o adecuada que permita conocer las razones del [acuerdo de la Mesa], teniendo en cuenta que ha obstaculizado el ejercicio de una facultad —la de formular proposiciones no de ley—, reconocida a los grupos parlamentarios y que, de acuerdo con la doctrina de este Tribunal, se encuentra integrada en el estatus de los representantes políticos (SSTC 40/2003, de 27 de febrero, FJ 3; 78/2006, de 13 de marzo, FJ 3, y 44/2010, de 26 de julio, FJ 5, entre otras)” (STC 29/2011, FJ 4).</w:t>
      </w:r>
    </w:p>
    <w:p w:rsidR="00A90898" w:rsidRDefault="00A90898" w:rsidP="00A90898">
      <w:pPr>
        <w:pStyle w:val="TextoNormal"/>
      </w:pPr>
    </w:p>
    <w:p w:rsidR="00A90898" w:rsidRDefault="00A90898" w:rsidP="00A90898">
      <w:pPr>
        <w:pStyle w:val="TextoNormal"/>
      </w:pPr>
      <w:r>
        <w:t>En el mismo sentido, en la STC 158/2014, de 6 de octubre, el Tribunal consideró insuficientemente motivada la inadmisión por la Mesa de una proposición no de ley de las previstas en el art. 161.2 del Reglamento de las Cortes Valencianas toda vez que los términos del acuerdo de inadmisión no permitían identificar cuál era el órgano que asumía dicha decisión (la Mesa o la Junta de Síndics) pues, dada la sucinta motivación de la Mesa: “no es posible conocer realmente a quién se imputa dicha argumentación” (FJ 4). Por otra parte, en la resolución recaída en reposición, la Mesa se limitó a manifestar que no podía admitir la proposición no de ley al no existir parecer favorable de la Junta de Síndics de la Cámara. Ello lleva a este Tribunal a afirmar, una vez más, que: “la admisión a trámite es función que corresponde estrictamente a la Mesa de la Cámara, de conformidad con las facultades de calificación y admisión de los escritos de índole parlamentaria que le atribuye el propio Reglamento (art. 34.1.6 del Reglamento de las Cortes Valencianas)” (FJ 4) y ello, “con independencia de que haya de recabar previamente el acuerdo de la Junta de Síndics”, concluyendo, en el mismo fundamento jurídico y citando la STC 44/2010, de 26 de julio, FJ 5, que con esta forma de actuación, la Mesa de las Cortes Valencianas no ha satisfecho “la exigencia de motivar expresa, suficiente y adecuadamente la aplicación que ha efectuado en este caso de las normas con las que ha contrastado la iniciativa, que se ha traducido en una limitación del ejercicio de un derecho de que los grupos parlamentarios puedan formular proposiciones no de ley, que, como hemos dicho, se integra en el estatuto constitucionalmente relevante de los representantes políticos”.</w:t>
      </w:r>
    </w:p>
    <w:p w:rsidR="00A90898" w:rsidRDefault="00A90898" w:rsidP="00A90898">
      <w:pPr>
        <w:pStyle w:val="TextoNormal"/>
      </w:pPr>
    </w:p>
    <w:p w:rsidR="00A90898" w:rsidRDefault="00A90898" w:rsidP="00A90898">
      <w:pPr>
        <w:pStyle w:val="TextoNormal"/>
      </w:pPr>
      <w:r>
        <w:t xml:space="preserve">La doctrina anteriormente reproducida es aplicable al caso que nos ocupa en el presente recurso de amparo, toda vez que, a la vista del acuerdo de la Junta de Síndics, la Mesa de la Cámara dispuso la inadmisión de la proposición no de ley esgrimiendo el mismo motivo que la Junta, por lo que, dada la sucinta motivación del acuerdo de inadmisión de 6 de </w:t>
      </w:r>
      <w:r>
        <w:lastRenderedPageBreak/>
        <w:t>noviembre de 2012, no es posible conocer qué órgano asume realmente dicha decisión. Asimismo, de la resolución recaída en reposición, con fecha de 27 de noviembre de 2012, se desprende claramente, como se ha reproducido literalmente en los antecedentes de esta Sentencia, que la Mesa entiende que no puede admitir la proposición no de ley al no existir parecer favorable de la Junta de Síndics. La ausencia de motivación suficiente es especialmente relevante en este supuesto pues, como se ha expuesto, existen varias Sentencias de este Tribunal insistiendo en que corresponde a la Mesa decidir y motivar de forma suficiente y adecuada la inadmisión de las proposiciones no de ley. Esta repetida actuación de la Mesa de las Cortes Valencianas obliga a aclarar la doctrina constitucional, con la finalidad de precisar cuál es el papel de la Junta de Portavoces en la tramitación de las proposiciones no de ley a las que se refiere el art. 161.2 del Reglamento de las Cortes Valencianas.</w:t>
      </w:r>
    </w:p>
    <w:p w:rsidR="00A90898" w:rsidRDefault="00A90898" w:rsidP="00A90898">
      <w:pPr>
        <w:pStyle w:val="TextoNormal"/>
      </w:pPr>
    </w:p>
    <w:p w:rsidR="00A90898" w:rsidRDefault="00A90898" w:rsidP="00A90898">
      <w:pPr>
        <w:pStyle w:val="TextoNormal"/>
      </w:pPr>
      <w:r w:rsidRPr="00A90898">
        <w:rPr>
          <w:rStyle w:val="NumeroAFNegritaCaracter"/>
        </w:rPr>
        <w:t>5</w:t>
      </w:r>
      <w:r>
        <w:t>. Se debe comenzar recordando que, cuando se reclama la tutela de derechos o facultades que pertenecen al núcleo de la función representativa parlamentaria frente a posibles vulneraciones de los órganos de la Cámara correspondiente, este Tribunal debe ser especialmente cuidadoso en la identificación, primero, de la base normativa del derecho alegado —toda vez que estamos ante un derecho fundamental de configuración legal, como se ha expuesto en el fundamento jurídico tercero—, y, segundo, en la identificación de la regulación reglamentaria de las facultades del órgano de la Cámara al que se imputa la vulneración.</w:t>
      </w:r>
    </w:p>
    <w:p w:rsidR="00A90898" w:rsidRDefault="00A90898" w:rsidP="00A90898">
      <w:pPr>
        <w:pStyle w:val="TextoNormal"/>
      </w:pPr>
    </w:p>
    <w:p w:rsidR="00A90898" w:rsidRDefault="00A90898" w:rsidP="00A90898">
      <w:pPr>
        <w:pStyle w:val="TextoNormal"/>
      </w:pPr>
      <w:r>
        <w:t xml:space="preserve">Así, el art. 160.1 del Reglamento de las Cortes Valencianas reconoce que “los grupos parlamentarios o un diputado o diputada con la firma de otros cuatro podrán presentar proposiciones no de ley a través de las que formulen propuestas de resolución a la cámara”. Por su parte, el art. 161 del Reglamento de las Cortes Valencianas concreta el ejercicio de esta iniciativa parlamentaria en los siguientes términos: </w:t>
      </w:r>
    </w:p>
    <w:p w:rsidR="00A90898" w:rsidRDefault="00A90898" w:rsidP="00A90898">
      <w:pPr>
        <w:pStyle w:val="TextoNormal"/>
      </w:pPr>
    </w:p>
    <w:p w:rsidR="00A90898" w:rsidRDefault="00A90898" w:rsidP="00A90898">
      <w:pPr>
        <w:pStyle w:val="TextoNormal"/>
      </w:pPr>
      <w:r>
        <w:t xml:space="preserve">“1. Las proposiciones no de ley deberán presentarse por escrito a la Mesa de Les Corts que, oída la Junta de Síndics, decidirá sobre su admisibilidad; ordenará, en su caso, la publicación y acordará la tramitación ante la comisión competente o ante el Pleno, en función de que se trate de iniciativas de tramitación ordinaria o iniciativas de tramitación especial de urgencia. </w:t>
      </w:r>
    </w:p>
    <w:p w:rsidR="00A90898" w:rsidRDefault="00A90898" w:rsidP="00A90898">
      <w:pPr>
        <w:pStyle w:val="TextoNormal"/>
      </w:pPr>
    </w:p>
    <w:p w:rsidR="00A90898" w:rsidRDefault="00A90898" w:rsidP="00A90898">
      <w:pPr>
        <w:pStyle w:val="TextoNormal"/>
      </w:pPr>
      <w:r>
        <w:t>2. Cuando las proposiciones no de ley se refieran a cuestiones que, no siendo competencia de la Generalitat, afecten al interés directo de los ciudadanos y ciudadanas de la Comunitat Valenciana, la Mesa solicitará el acuerdo de la Junta de Síndics antes de acordar su admisión a trámite.”</w:t>
      </w:r>
    </w:p>
    <w:p w:rsidR="00A90898" w:rsidRDefault="00A90898" w:rsidP="00A90898">
      <w:pPr>
        <w:pStyle w:val="TextoNormal"/>
      </w:pPr>
    </w:p>
    <w:p w:rsidR="00A90898" w:rsidRDefault="00A90898" w:rsidP="00A90898">
      <w:pPr>
        <w:pStyle w:val="TextoNormal"/>
      </w:pPr>
      <w:r>
        <w:t xml:space="preserve">De los preceptos reproducidos, se desprende que el Reglamento de la Cámara reconoce a los diputados la posibilidad de presentar proposiciones no de ley sobre materias que no sean competencia de la Generalitat, condicionando su admisión a trámite por parte de la Mesa al cumplimiento de dos requisitos específicos: i) uno de carácter material: “que sean cuestiones que afecten al interés directo de los ciudadanos y ciudadanas de la Comunidad”, y ii) otro formal: “la Mesa solicitará el acuerdo de la Junta de Síndics antes de acordar su admisión a trámite”. De todos modos, la facultad de tramitación y admisión de la iniciativa parlamentaria que nos ocupa corresponde exclusivamente a la Mesa, tal y como se desprende inequívocamente del Reglamento de las Cortes Valencianas que atribuye a la Mesa, como órgano rector de la Cámara (art. 30.1 del Reglamento de las Cortes Valencianas), la función de calificar los escritos y documentos de índole parlamentaria, así como declarar la </w:t>
      </w:r>
      <w:r>
        <w:lastRenderedPageBreak/>
        <w:t>admisibilidad o inadmisibilidad de los mismos (art. 34.1.6 del Reglamento de las Cortes Valencianas). Esta concreta facultad es susceptible de recurso de reposición en los términos previstos en el art. 34.2 del Reglamento de las Cortes Valencianas, recurso que, sin embargo, no cabe frente a los actos de la Junta de Síndics, ni siquiera frente a todos los actos de la Mesa, tal y como se desprende del Reglamento de la Cámara.</w:t>
      </w:r>
    </w:p>
    <w:p w:rsidR="00A90898" w:rsidRDefault="00A90898" w:rsidP="00A90898">
      <w:pPr>
        <w:pStyle w:val="TextoNormal"/>
      </w:pPr>
    </w:p>
    <w:p w:rsidR="00A90898" w:rsidRDefault="00A90898" w:rsidP="00A90898">
      <w:pPr>
        <w:pStyle w:val="TextoNormal"/>
      </w:pPr>
      <w:r>
        <w:t>Pues bien, la función de la Mesa de calificar los escritos y documentos de índole parlamentaria, así como la de declarar la admisibilidad o inadmisibilidad de los mismos, es de naturaleza técnica, en aras de la eficacia del trabajo parlamentario, y consiste en verificar la regularidad jurídica y la viabilidad procesal de la iniciativa (STC 38/1999, de 22 de marzo, FJ 3), esto es, en examinar si se cumplen los requisitos formales exigidos por la norma reglamentaria, función que puede extenderse a aspectos materiales cuando así lo prevean expresamente las correspondientes normas [SSTC 40/2003, de 25 de febrero, FJ 2, y 78/2006, de 13 de marzo, FJ 3 a)]. En consecuencia “la Mesa debe cuidarse de no perturbar con su decisión el derecho de los representantes a suscitar el debate parlamentario sobre una materia determinada mediante el recurso a la iniciativa legislativa (STC 124/1995). Si no fuese así, la Mesa dejaría de obrar como un órgano de gobierno de la Cámara ejerciendo el debido control legal sobre la regularidad jurídica de la iniciativa, para mutarse en un órgano netamente político, impidiendo, además, que las iniciativas promovidas por las minorías parlamentarias se sometiesen al debate público en la Cámara. Lo que colocaría a estos representantes en una posición de inferioridad y desigualdad lesiva del art.23.2 CE (STC 118/1995)” (STC 38/1999, FJ 3).</w:t>
      </w:r>
    </w:p>
    <w:p w:rsidR="00A90898" w:rsidRDefault="00A90898" w:rsidP="00A90898">
      <w:pPr>
        <w:pStyle w:val="TextoNormal"/>
      </w:pPr>
    </w:p>
    <w:p w:rsidR="00A90898" w:rsidRDefault="00A90898" w:rsidP="00A90898">
      <w:pPr>
        <w:pStyle w:val="TextoNormal"/>
      </w:pPr>
      <w:r>
        <w:t xml:space="preserve">Cuestión distinta es el papel que el art. 161.2 del Reglamento de las Cortes Valencianas otorga al acuerdo de la Junta de Síndics y que, en atención a la lógica del sistema democrático parlamentario y a la naturaleza política de dicho órgano, no puede ser vinculante para la Mesa, porque ello implicaría despojar al órgano rector de las atribuciones técnicas de calificación y admisión a trámite que le otorga el Reglamento y, correlativamente, otorgar a la Junta de Síndics, órgano de naturaleza política (que adopta sus decisiones atendiendo a criterios de oportunidad y no ha de motivar sus acuerdos) la facultad de decidir la admisión a trámite de una iniciativa parlamentaria que forma parte del núcleo de la función representativa de los diputados. Esta es la única interpretación constitucional posible del art. 161.2 del Reglamento de las Cortes Valencianas pues, caso contrario, la mayoría parlamentaria (representada en la Junta de Síndics), decidiría, </w:t>
      </w:r>
      <w:r w:rsidRPr="00A90898">
        <w:rPr>
          <w:i/>
        </w:rPr>
        <w:t>a limine</w:t>
      </w:r>
      <w:r>
        <w:t xml:space="preserve"> y por motivos de oportunidad política, la admisión a trámite de este tipo de iniciativas parlamentarias, con un claro límite para el ejercicio del derecho por parte de las minorías, que verían restringido su derecho a poner en marcha instrumentos para el impulso político y para forzar el debate que ha de producirse en los órganos deliberativos de la Cámara, impidiendo, asimismo, la publicidad y el juicio de la opinión pública, toda vez que las sesiones del Pleno y de las comisiones son públicas, salvo los supuestos excepcionales previstos en el Reglamento, y a ellas podrán asistir los representantes debidamente acreditados de los medios de comunicación social, levantándose acta de las mismas y quedando todas las intervenciones y acuerdos adoptados reproducidos en el “Diario de Sesiones”.</w:t>
      </w:r>
    </w:p>
    <w:p w:rsidR="00A90898" w:rsidRDefault="00A90898" w:rsidP="00A90898">
      <w:pPr>
        <w:pStyle w:val="TextoNormal"/>
      </w:pPr>
    </w:p>
    <w:p w:rsidR="00A90898" w:rsidRDefault="00A90898" w:rsidP="00A90898">
      <w:pPr>
        <w:pStyle w:val="TextoNormal"/>
      </w:pPr>
      <w:r>
        <w:t xml:space="preserve">En consecuencia, la intervención de la Junta de Síndics en el proceso de admisión a trámite de las proposiciones no de ley a las que se refiere el art. 161.2 del Reglamento de las Cortes Valencianas ha de entenderse en los mismos términos que para el resto de proposiciones no de ley (art. 161.1 del Reglamento de las Cortes Valencianas), esto es, ha de ser </w:t>
      </w:r>
      <w:r>
        <w:lastRenderedPageBreak/>
        <w:t>oída, pero su decisión no vincula a la Mesa, que es el órgano de control de la regularidad reglamentaria en la tramitación de las iniciativas parlamentarias y que cumple “la función jurídico-técnica de ordenar y racionalizar el funcionamiento de las Cámaras para su mayor eficiencia, precisamente como tal foro de debate y participación en la cosa pública” (STC 208/2003, de 1 de diciembre, FJ 4). Sólo en este sentido puede interpretarse el requisito formal de admisibilidad previsto en el art. 161.2 del Reglamento de las Cortes Valencianas consistente en que “la Mesa solicitará el acuerdo de la Junta de Síndics antes de acordar su admisión a trámite”, única interpretación posible teniendo en cuenta la naturaleza de las proposiciones no de ley, como vía adecuada para forzar el debate político y obligar a que los distintos grupos parlamentarios tengan que tomar expreso partido sobre la oportunidad de que la misma prospere.</w:t>
      </w:r>
    </w:p>
    <w:p w:rsidR="00A90898" w:rsidRDefault="00A90898" w:rsidP="00A90898">
      <w:pPr>
        <w:pStyle w:val="TextoNormal"/>
      </w:pPr>
    </w:p>
    <w:p w:rsidR="00A90898" w:rsidRDefault="00A90898" w:rsidP="00A90898">
      <w:pPr>
        <w:pStyle w:val="TextoNormal"/>
      </w:pPr>
      <w:r>
        <w:t>Por todo ello, la Mesa de la Cámara, al decidir sobre la admisión de la iniciativa, no podrá en ningún caso desconocer que es manifestación del ejercicio del derecho del parlamentario que la formula y que, por ello, cualquier rechazo arbitrario o no motivado de forma suficiente causará lesión del derecho fundamental del diputado a desarrollar sus funciones sin impedimentos ilegítimos, reconocido en el art. 23.2 CE (SSTC 203/2001, de 15 de octubre, FJ 3; 177/2002, de 14 de octubre, FJ 3, y 208/2003, FJ 4).</w:t>
      </w:r>
    </w:p>
    <w:p w:rsidR="00A90898" w:rsidRDefault="00A90898" w:rsidP="00A90898">
      <w:pPr>
        <w:pStyle w:val="TextoNormal"/>
      </w:pPr>
    </w:p>
    <w:p w:rsidR="00A90898" w:rsidRDefault="00A90898" w:rsidP="00A90898">
      <w:pPr>
        <w:pStyle w:val="TextoNormal"/>
      </w:pPr>
      <w:r w:rsidRPr="00A90898">
        <w:rPr>
          <w:rStyle w:val="NumeroAFNegritaCaracter"/>
        </w:rPr>
        <w:t>6</w:t>
      </w:r>
      <w:r>
        <w:t>. A la vista de lo expuesto, ha de concluirse que la inadmisión a trámite de la proposición no de ley objeto de este recurso de amparo carece de motivación suficiente conforme a las exigencias de nuestra doctrina, sin que esta deficiencia haya sido subsanada con ocasión de resolver el recurso de reposición. Con esta forma de actuación, la Mesa de las Cortes Valencianas no ha satisfecho la exigencia de motivar expresa, suficiente y adecuadamente la aplicación de las normas con las que ha contrastado la iniciativa, lo que se ha traducido en una limitación del ejercicio del derecho a formular proposiciones no de ley de la recurrente que, como hemos dicho, se integra en el estatuto constitucionalmente relevante de los representantes políticos.</w:t>
      </w:r>
    </w:p>
    <w:p w:rsidR="00A90898" w:rsidRDefault="00A90898" w:rsidP="00A90898">
      <w:pPr>
        <w:pStyle w:val="TextoNormal"/>
      </w:pPr>
    </w:p>
    <w:p w:rsidR="00A90898" w:rsidRDefault="00A90898" w:rsidP="00A90898">
      <w:pPr>
        <w:pStyle w:val="TextoNormal"/>
      </w:pPr>
      <w:r>
        <w:t>En consecuencia, ha de declararse vulnerado el derecho fundamental de la Diputada recurrente garantizado por el art. 23.2 CE, en conexión con el derecho de los ciudadanos a participar en los asuntos públicos reconocido en el art. 23.1 CE.</w:t>
      </w:r>
    </w:p>
    <w:p w:rsidR="00A90898" w:rsidRDefault="00A90898" w:rsidP="00A90898">
      <w:pPr>
        <w:pStyle w:val="TextoNormal"/>
      </w:pPr>
    </w:p>
    <w:p w:rsidR="00A90898" w:rsidRDefault="00A90898" w:rsidP="00A90898">
      <w:pPr>
        <w:pStyle w:val="TextoNormal"/>
      </w:pPr>
      <w:r w:rsidRPr="00A90898">
        <w:rPr>
          <w:rStyle w:val="NumeroAFNegritaCaracter"/>
        </w:rPr>
        <w:t>7</w:t>
      </w:r>
      <w:r>
        <w:t>. Debe precisarse el alcance del otorgamiento del amparo solicitado, toda vez que al dictarse éste nos encontramos con que la adopción de los acuerdos impugnados tuvo lugar en una legislatura ya finalizada. Por ello (al igual que hemos hecho y explicado en las SSTC 107/2001, de 23 de abril, FJ 10; 203/2001, de 15 de octubre, FJ 6; 177/2002, de 14 de octubre, FJ 11; 90/2005, de 18 de abril, FJ 8; 141/2007, de 18 de junio, FJ 6, y 33/2010, de 19 de julio, FJ 6), no cabe adoptar en el fallo de nuestra Sentencia una medida destinada al pleno restablecimiento del derecho vulnerado por la Mesa de las Cortes Valencianas, de suerte que la pretensión de los demandantes de amparo ha de quedar satisfecha mediante la declaración de la lesión de su derecho recogido en el art. 23.2 CE y la declaración de la nulidad de los acuerdos que, en primera instancia, impidieron su ejercicio (STC 74/2009, de 23 de marzo, FJ 5).</w:t>
      </w:r>
    </w:p>
    <w:p w:rsidR="00A90898" w:rsidRDefault="00A90898" w:rsidP="00A90898">
      <w:pPr>
        <w:pStyle w:val="TextoNormal"/>
      </w:pPr>
    </w:p>
    <w:p w:rsidR="00A90898" w:rsidRDefault="00A90898" w:rsidP="00A90898">
      <w:pPr>
        <w:pStyle w:val="TextoNormalCentrado"/>
        <w:keepNext/>
      </w:pPr>
      <w:r>
        <w:lastRenderedPageBreak/>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doña Mónica Oltra Jarque y, en su virtud:</w:t>
      </w:r>
    </w:p>
    <w:p w:rsidR="00A90898" w:rsidRDefault="00A90898" w:rsidP="00A90898">
      <w:pPr>
        <w:pStyle w:val="TextoNormal"/>
      </w:pPr>
    </w:p>
    <w:p w:rsidR="00A90898" w:rsidRDefault="00A90898" w:rsidP="00A90898">
      <w:pPr>
        <w:pStyle w:val="TextoNormal"/>
      </w:pPr>
      <w:r>
        <w:t>1º Declarar que se ha vulnerado su derecho a ejercer las funciones representativas con los requisitos que señalan las leyes (art. 23.2 CE).</w:t>
      </w:r>
    </w:p>
    <w:p w:rsidR="00A90898" w:rsidRDefault="00A90898" w:rsidP="00A90898">
      <w:pPr>
        <w:pStyle w:val="TextoNormal"/>
      </w:pPr>
    </w:p>
    <w:p w:rsidR="00A90898" w:rsidRDefault="00A90898" w:rsidP="00A90898">
      <w:pPr>
        <w:pStyle w:val="TextoNormal"/>
      </w:pPr>
      <w:r>
        <w:t>2º Restablecer a la recurrente en su derecho y, a tal fin, declarar la nulidad del acuerdo de la Mesa de las Cortes Valencianas de 6 de noviembre de 2012, que dispuso la inadmisión de la proposición no de ley RE 36.482, y del acuerdo de 27 de noviembre de 2012, desestimatorio de la reconsideración.</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2" w:name="SENTENCIA_2016_213"/>
      <w:r>
        <w:lastRenderedPageBreak/>
        <w:t>SENTENCIA 213/2016, de 15 de diciembre de 2016</w:t>
      </w:r>
    </w:p>
    <w:bookmarkEnd w:id="92"/>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ECLI:ES:TC:2016:213</w:t>
      </w:r>
    </w:p>
    <w:p w:rsidR="00A90898" w:rsidRDefault="00A90898" w:rsidP="00A90898">
      <w:pPr>
        <w:pStyle w:val="TextoNormalCentrado"/>
      </w:pPr>
    </w:p>
    <w:p w:rsidR="00A90898" w:rsidRDefault="00A90898" w:rsidP="00A90898">
      <w:pPr>
        <w:pStyle w:val="SntesisDescriptiva"/>
      </w:pPr>
      <w:r>
        <w:t>Recurso de inconstitucionalidad 4985-2013. Interpuesto por más de cincuenta diputados del Grupo Parlamentario Socialista del Congreso de los Diputados respecto de la Ley 1/2013, de 14 de mayo, de medidas para reforzar la protección a los deudores hipotecarios, reestructuración de deuda y alquiler social.</w:t>
      </w:r>
    </w:p>
    <w:p w:rsidR="00A90898" w:rsidRDefault="00A90898" w:rsidP="00A90898">
      <w:pPr>
        <w:pStyle w:val="SntesisDescriptiva"/>
      </w:pPr>
    </w:p>
    <w:p w:rsidR="00A90898" w:rsidRDefault="00A90898" w:rsidP="00A90898">
      <w:pPr>
        <w:pStyle w:val="SntesisAnaltica"/>
      </w:pPr>
      <w:r>
        <w:t>Iniciativa legislativa popular y derechos a la igualdad, inviolabilidad domiciliaria, tutela judicial efectiva y a una vivienda digna; protección de los consumidores: constitucionalidad del texto legal resultante de la tramitación conjunta de una iniciativa legislativa popular y un proyecto de ley; pérdida parcial de objeto del recurso; constitucionalidad del régimen transitorio establecido en la ley.</w:t>
      </w:r>
    </w:p>
    <w:p w:rsidR="00A90898" w:rsidRDefault="00A90898" w:rsidP="00A90898">
      <w:pPr>
        <w:pStyle w:val="SntesisAnaltica"/>
      </w:pPr>
    </w:p>
    <w:p w:rsidR="00A90898" w:rsidRDefault="00A90898" w:rsidP="00A90898">
      <w:pPr>
        <w:pStyle w:val="Extracto"/>
      </w:pPr>
      <w:r>
        <w:t>1.</w:t>
      </w:r>
      <w:r>
        <w:tab/>
        <w:t>La posibilidad de tramitación conjunta de dos iniciativas legislativas no está expresamente prevista en el Reglamento del Congreso de los Diputados, pero tampoco se establece su prohibición en ningún precepto del mismo [FJ 4].</w:t>
      </w:r>
    </w:p>
    <w:p w:rsidR="00A90898" w:rsidRDefault="00A90898" w:rsidP="00A90898">
      <w:pPr>
        <w:pStyle w:val="Extracto"/>
      </w:pPr>
    </w:p>
    <w:p w:rsidR="00A90898" w:rsidRDefault="00A90898" w:rsidP="00A90898">
      <w:pPr>
        <w:pStyle w:val="Extracto"/>
      </w:pPr>
      <w:r>
        <w:t>2.</w:t>
      </w:r>
      <w:r>
        <w:tab/>
        <w:t>Hay que distinguir las decisiones políticas y el enjuiciamiento político que tales decisiones merezcan, del plano bien distinto de la calificación de inconstitucionalidad, que tiene que hacerse con arreglo a criterios estrictamente jurídicos (STC 136/2011) [FJ 3].</w:t>
      </w:r>
    </w:p>
    <w:p w:rsidR="00A90898" w:rsidRDefault="00A90898" w:rsidP="00A90898">
      <w:pPr>
        <w:pStyle w:val="Extracto"/>
      </w:pPr>
    </w:p>
    <w:p w:rsidR="00A90898" w:rsidRDefault="00A90898" w:rsidP="00A90898">
      <w:pPr>
        <w:pStyle w:val="Extracto"/>
      </w:pPr>
      <w:r>
        <w:t>3.</w:t>
      </w:r>
      <w:r>
        <w:tab/>
        <w:t>Como ya hemos afirmado en relación con el derecho de enmienda, el autor de la iniciativa (art. 87 CE), tiene la prerrogativa de decidir qué materias serán sometidas al conocimiento, debate, y, en su caso, aprobación de las Cortes Generales (STC 136/2011). Por lo tanto, en la tramitación conjunta de dos iniciativas legislativas es exigible, como en el ejercicio de derecho de enmienda, que exista una conexión material entre ambas iniciativas (STC 216/2015) [FJ 4].</w:t>
      </w:r>
    </w:p>
    <w:p w:rsidR="00A90898" w:rsidRDefault="00A90898" w:rsidP="00A90898">
      <w:pPr>
        <w:pStyle w:val="Extracto"/>
      </w:pPr>
    </w:p>
    <w:p w:rsidR="00A90898" w:rsidRDefault="00A90898" w:rsidP="00A90898">
      <w:pPr>
        <w:pStyle w:val="Extracto"/>
      </w:pPr>
      <w:r>
        <w:t>4.</w:t>
      </w:r>
      <w:r>
        <w:tab/>
        <w:t>La derogación o modificación de los preceptos recurridos hace desaparecer el objeto del recurso de inconstitucionalidad en lo que a ellos se refiere (STC 223/2012) [FJ 5].</w:t>
      </w:r>
    </w:p>
    <w:p w:rsidR="00A90898" w:rsidRDefault="00A90898" w:rsidP="00A90898">
      <w:pPr>
        <w:pStyle w:val="Extracto"/>
      </w:pPr>
    </w:p>
    <w:p w:rsidR="00A90898" w:rsidRDefault="00A90898" w:rsidP="00A90898">
      <w:pPr>
        <w:pStyle w:val="Extracto"/>
      </w:pPr>
      <w:r>
        <w:t>5.</w:t>
      </w:r>
      <w:r>
        <w:tab/>
        <w:t>Carecería de sentido que este Tribunal se pronunciase sobre normas que el mismo legislador ha expulsado ya de dicho ordenamiento (STC 134/2011), salvo cuando la controversia se suscite sobre el carácter orgánico de un precepto o sobre motivos competenciales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4985-2013, promovido por más de cincuenta diputados del Grupo Parlamentario Socialista del Congreso de los Diputados, contra la Ley 1/2013, de 14 de mayo, de medidas para reforzar la protección a los deudores hipotecarios, reestructuración de deuda y alquiler social. Ha comparecido y formulado alegaciones el Letrado de las Cortes Generales, en la representación que legalmente ostenta. Ha comparecido el Abogado del Estado. Ha sido parte el Congreso de los Diputados y el Gobierno de la Nación y Ponente el Magistrado don Santiago Martínez-Vares García, quien expresa el parecer de este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16 de agosto de 2013, se promovió recurso de inconstitucionalidad núm. 4985/2013 por más de cincuenta diputados del Grupo Parlamentario Socialista del Congreso de los Diputados, contra la Ley 1/2013, de 14 de mayo, de medidas para reforzar la protección a los deudores hipotecarios, reestructuración de deuda y alquiler social (publicada en el “Boletín Oficial del Estado” núm. 116, de 15 de mayo de 2013). El recurso tiene por objeto, de un lado, la impugnación de la totalidad de la Ley por considerar que su tramitación parlamentaria vulnera los arts. 87.3 y 23.1 y 2 CE y, de otro, se impugnan, además, los arts. 1; 3, apartado 3 (así como las referencias e incisos de la Ley al procedimiento de ejecución o venta extrajudicial, que, de acuerdo con el escrito de interposición del recurso se contienen en los arts. 1, 2, disposición adicional cuarta, disposiciones transitorias primera, segunda y quinta; y disposición final primera); art. 7, apartados 1 y 14 (en la modificación, respectivamente, de los arts. 552.1 y 695.4 de la Ley 1/2000, de 7 de enero, de enjuiciamiento civil); art. 8.2 (en la modificación del art. 3.1 b) 4 del Real Decreto-ley 6/2012, de 9 de marzo, de medidas urgentes de protección de deudores hipotecarios sin recursos); disposición adicional primera; y disposiciones transitorias primera, segunda y cuarta.</w:t>
      </w:r>
    </w:p>
    <w:p w:rsidR="00A90898" w:rsidRDefault="00A90898" w:rsidP="00A90898">
      <w:pPr>
        <w:pStyle w:val="TextoNormal"/>
      </w:pPr>
    </w:p>
    <w:p w:rsidR="00A90898" w:rsidRDefault="00A90898" w:rsidP="00A90898">
      <w:pPr>
        <w:pStyle w:val="TextoNormal"/>
      </w:pPr>
      <w:r>
        <w:t>En la fundamentación del recurso se comenzó recordando que la Ley impugnada es el resultado de la refundición de dos iniciativas legislativas: el proyecto de ley de modificación del Real Decreto-ley 27/2012, de 15 de noviembre, de medidas urgentes para reforzar la protección a los deudores hipotecarios y de la proposición de ley de iniciativa legislativa popular de dación en pago, de paralización de los desahucios y de alquiler social, promovida por la Plataforma de Afectados por la Hipoteca (PAH).</w:t>
      </w:r>
    </w:p>
    <w:p w:rsidR="00A90898" w:rsidRDefault="00A90898" w:rsidP="00A90898">
      <w:pPr>
        <w:pStyle w:val="TextoNormal"/>
      </w:pPr>
    </w:p>
    <w:p w:rsidR="00A90898" w:rsidRDefault="00A90898" w:rsidP="00A90898">
      <w:pPr>
        <w:pStyle w:val="TextoNormal"/>
      </w:pPr>
      <w:r>
        <w:t>A continuación, se pasó a fundamentar las concretas impugnaciones deducidas:</w:t>
      </w:r>
    </w:p>
    <w:p w:rsidR="00A90898" w:rsidRDefault="00A90898" w:rsidP="00A90898">
      <w:pPr>
        <w:pStyle w:val="TextoNormal"/>
      </w:pPr>
    </w:p>
    <w:p w:rsidR="00A90898" w:rsidRDefault="00A90898" w:rsidP="00A90898">
      <w:pPr>
        <w:pStyle w:val="TextoNormal"/>
      </w:pPr>
      <w:r>
        <w:lastRenderedPageBreak/>
        <w:t>A) En un primer bloque de impugnaciones, los Diputados recurrentes consideran que la inconstitucionalidad de la Ley 1/2013, de 14 de mayo, en su totalidad, se fundamenta en la vulneración de los arts. 87.3 y 23.1 y 2 CE, dado que las irregularidades cometidas en la tramitación parlamentaria originaron la desaparición de la proposición de ley de iniciativa legislativa popular de dación en pago, de paralización de los desahucios y de alquiler social.</w:t>
      </w:r>
    </w:p>
    <w:p w:rsidR="00A90898" w:rsidRDefault="00A90898" w:rsidP="00A90898">
      <w:pPr>
        <w:pStyle w:val="TextoNormal"/>
      </w:pPr>
    </w:p>
    <w:p w:rsidR="00A90898" w:rsidRDefault="00A90898" w:rsidP="00A90898">
      <w:pPr>
        <w:pStyle w:val="TextoNormal"/>
      </w:pPr>
      <w:r>
        <w:t>En tal sentido, se pone de manifiesto que, habiéndose admitido la iniciativa por la Mesa e incluida en el orden del día del Pleno del Congreso del 12 de febrero de 2013 para el debate de su toma en consideración, fue aprobada por 334 votos a favor, 0 en contra y 1 sola abstención. Una vez pasado el texto a la Comisión parlamentaria de Economía y Competitividad se abrió el plazo de presentación de enmiendas, sin que se presentase ninguna enmienda a la totalidad. No obstante, el Grupo Parlamentario Popular presentó enmiendas a todos y cada uno de los artículos de la iniciativa, de forma que quedaba vacía de contenido. Posteriormente, la mayoría del Grupo Popular en la Comisión, con la oposición del Grupo Socialista, decidió que la iniciativa se tramitara conjuntamente y se refundiera con el proyecto de ley, ya existente en tramitación, del que luego sería el Real Decreto-ley 27/2012, de 15 de noviembre, de medidas urgentes para reforzar la protección a los deudores hipotecarios. Se subraya que también fue rechazada por la mayoría de los miembros del Grupo Popular que componen la Mesa del Congreso de los Diputados la avocación del texto al Pleno de la Cámara y que, finalmente, el texto unificado fue aprobado por la Comisión de economía y competitividad, rechazándose la propuesta de veto presentada por diferentes grupos parlamentarios, con el único apoyo del Grupo Popular. Por su parte el Pleno del Senado aprobó la proposición de ley, texto que fue publicado en el “BOE” como Ley 1/2013, de 14 de mayo.</w:t>
      </w:r>
    </w:p>
    <w:p w:rsidR="00A90898" w:rsidRDefault="00A90898" w:rsidP="00A90898">
      <w:pPr>
        <w:pStyle w:val="TextoNormal"/>
      </w:pPr>
    </w:p>
    <w:p w:rsidR="00A90898" w:rsidRDefault="00A90898" w:rsidP="00A90898">
      <w:pPr>
        <w:pStyle w:val="TextoNormal"/>
      </w:pPr>
      <w:r>
        <w:t>En cuanto a la vulneración del art. 87.3 CE, los recurrentes hacen referencia a la regulación de la iniciativa legislativa popular, en la Ley Orgánica 3/1984, de 26 de marzo, reguladora de la iniciativa legislativa popular, y en el Reglamento del Congreso de los Diputados (RCD). Se hace referencia tanto a la tramitación conforme a lo establecido en relación con las proposiciones de ley como a lo dispuesto en el art. 13.2 de la Ley Orgánica 3/1984 (conforme a la redacción dada por la Ley Orgánica 4/2006) de acuerdo con el cual “la tramitación parlamentaria se efectuará conforme a lo que dispongan los Reglamentos de las Cámaras que podrán contemplar la participación de una persona designada por la Comisión Promotora”, si bien el Reglamento de la Cámara no había desarrollado dicha previsión. Se pone, además de manifiesto, que el grupo parlamentario mayoritario rechazó la solicitud de comparecencia en comisión de un representante de la plataforma de afectados por la hipoteca. Las actuaciones referidas comportaron la desaparición de la iniciativa, lo que a juicio de los recurrentes, ha impedido la participación directa de la ciudadanía en el procedimiento legislativo, y ello debe conllevar la declaración de inconstitucionalidad de la propia ley (SSTC 99/1987, de 11 de junio, FJ 1 a); 103/2008, de 11 de septiembre, FJ 5; 136/2011, de 13 de septiembre, FJ 10, y 176/2011, de 8 de noviembre, FJ 4).</w:t>
      </w:r>
    </w:p>
    <w:p w:rsidR="00A90898" w:rsidRDefault="00A90898" w:rsidP="00A90898">
      <w:pPr>
        <w:pStyle w:val="TextoNormal"/>
      </w:pPr>
    </w:p>
    <w:p w:rsidR="00A90898" w:rsidRDefault="00A90898" w:rsidP="00A90898">
      <w:pPr>
        <w:pStyle w:val="TextoNormal"/>
      </w:pPr>
      <w:r>
        <w:t xml:space="preserve">En segundo término, estos mismos vicios procedimentales comportan la vulneración del derecho de participación política de los cargos públicos y representativos, reconocido en el art. 23.2 CE, en condiciones de igualdad [SSTC 38/1999, de 22 de marzo, FJ 2; 107/2001, de 23 de abril, FJ 3 a); 203/2001, de 15 de octubre, FJ 2; 177/2002, de 14 de octubre, FJ 3, y 40/2003, de 27 de febrero, FJ 2 a)], dado que a los miembros de los grupos de las minorías </w:t>
      </w:r>
      <w:r>
        <w:lastRenderedPageBreak/>
        <w:t>parlamentarias se les ha imposibilitado debatir adecuadamente sobre los acuerdos de procedimiento que se han venido adoptando en relación con la iniciativa legislativa y, por consiguiente, sobre la proposición y el contenido de la futura ley.</w:t>
      </w:r>
    </w:p>
    <w:p w:rsidR="00A90898" w:rsidRDefault="00A90898" w:rsidP="00A90898">
      <w:pPr>
        <w:pStyle w:val="TextoNormal"/>
      </w:pPr>
    </w:p>
    <w:p w:rsidR="00A90898" w:rsidRDefault="00A90898" w:rsidP="00A90898">
      <w:pPr>
        <w:pStyle w:val="TextoNormal"/>
      </w:pPr>
      <w:r>
        <w:t>Conforme al anterior razonamiento, mantienen que cuando los arts. 112 y 126.5 del Reglamento de la Cámara ordenan que las enmiendas de totalidad que se presenten a las proposiciones de ley deban ser debatidas en el Pleno de la Cámara, lo que se está asegurando es que la decisión sobre el conjunto de la iniciativa y sus elementos esenciales se sometan al mismo órgano de decisión que acordó su toma en consideración y que no se vea subrepticia y sustancialmente modificada por la actuación de la comisión legislativa correspondiente. En el mismo sentido, afirman que se ha vulnerado el art.114 del Reglamento del Congreso, que exige que el debate en la comisión se produzca artículo por artículo. Al refundirse en un solo texto la iniciativa legislativa popular y el texto del proyecto de ley, y desapareciendo aquellos, los grupos parlamentarios no han tenido la posibilidad, no ya solo de aprobar, sino simplemente de debatir el texto articulado de la iniciativa legislativa popular. Para los recurrentes, tal modo de proceder ha alterado la función representativa-parlamentaria impidiendo a los miembros de las minorías ejercer su función, en un debate que debía haber sido en el Pleno.</w:t>
      </w:r>
    </w:p>
    <w:p w:rsidR="00A90898" w:rsidRDefault="00A90898" w:rsidP="00A90898">
      <w:pPr>
        <w:pStyle w:val="TextoNormal"/>
      </w:pPr>
    </w:p>
    <w:p w:rsidR="00A90898" w:rsidRDefault="00A90898" w:rsidP="00A90898">
      <w:pPr>
        <w:pStyle w:val="TextoNormal"/>
      </w:pPr>
      <w:r>
        <w:t xml:space="preserve">Por último, respecto a este primer bloque de impugnaciones referidas al incumplimiento de las reglas del procedimiento legislativo, denuncian la vulneración del derecho de los ciudadanos a participar en los asuntos públicos, </w:t>
      </w:r>
      <w:r w:rsidRPr="00A90898">
        <w:rPr>
          <w:i/>
        </w:rPr>
        <w:t>ex</w:t>
      </w:r>
      <w:r>
        <w:t xml:space="preserve"> art. 23.1 CE, al entender que la viciada tramitación parlamentaria impuesta por el grupo mayoritario del Congreso de los Diputados supone una grave vulneración del derecho fundamental del casi un millón y medio de electores que avalaron la iniciativa legislativa popular, impidiéndoles que tuviera una tramitación acorde con lo establecido en los Reglamentos parlamentarios.</w:t>
      </w:r>
    </w:p>
    <w:p w:rsidR="00A90898" w:rsidRDefault="00A90898" w:rsidP="00A90898">
      <w:pPr>
        <w:pStyle w:val="TextoNormal"/>
      </w:pPr>
    </w:p>
    <w:p w:rsidR="00A90898" w:rsidRDefault="00A90898" w:rsidP="00A90898">
      <w:pPr>
        <w:pStyle w:val="TextoNormal"/>
      </w:pPr>
      <w:r>
        <w:t>B) En un segundo bloque de impugnaciones, se denuncia la inconstitucionalidad de algunos concretos preceptos de la Ley 1/2013.</w:t>
      </w:r>
    </w:p>
    <w:p w:rsidR="00A90898" w:rsidRDefault="00A90898" w:rsidP="00A90898">
      <w:pPr>
        <w:pStyle w:val="TextoNormal"/>
      </w:pPr>
    </w:p>
    <w:p w:rsidR="00A90898" w:rsidRDefault="00A90898" w:rsidP="00A90898">
      <w:pPr>
        <w:pStyle w:val="TextoNormal"/>
      </w:pPr>
      <w:r>
        <w:t>a) Así, en primer lugar, se impugna en su integridad el artículo 1 por vulneración de los arts. 18.2 CE en relación con el art. 24 CE, al permitir la suspensión de lanzamientos de ejecución hipotecaria sin una intervención judicial que individualice y valore las circunstancias concurrentes.</w:t>
      </w:r>
    </w:p>
    <w:p w:rsidR="00A90898" w:rsidRDefault="00A90898" w:rsidP="00A90898">
      <w:pPr>
        <w:pStyle w:val="TextoNormal"/>
      </w:pPr>
    </w:p>
    <w:p w:rsidR="00A90898" w:rsidRDefault="00A90898" w:rsidP="00A90898">
      <w:pPr>
        <w:pStyle w:val="TextoNormal"/>
      </w:pPr>
      <w:r>
        <w:t xml:space="preserve">Se sostiene que, en un contexto de clara alarma social por el aumento de ejecuciones hipotecarias y lanzamientos de vivienda instados por entidades financieras, en el marco de una situación de grave crisis económica reconocida en la propia exposición de motivos, la Ley 1/2013 tan solo incorpora medidas paliativas sobre casos específicos de lanzamiento de vivienda habitual sin margen alguno a la apreciación judicial de las circunstancias concurrentes en cada uno de los casos. Entienden que la doctrina constitucional y europea sobre injerencias en el domicilio y en la intimidad familiar queda vulnerada en el art. 1 de la Ley, por incorporar un sistema tasado de suspensiones, sin que el legislador haya previsto un cauce procesal adecuado para llevar a cabo un juicio de proporcionalidad (SSTC 22/1984, 17 de febrero, FJ 5; 94/1999, de 31 de mayo, FJ 5, y 119/2001, de 24 de mayo, FJ 6). Afirman que, en los casos de lanzamiento de vivienda habitual, la existencia de una resolución judicial que ordene la entrada en el domicilio —con la consecuente limitación del derecho fundamental previsto en el art. 18 CE— debe ser fruto de un previo juicio valorativo de las </w:t>
      </w:r>
      <w:r>
        <w:lastRenderedPageBreak/>
        <w:t>circunstancias concretas de cada caso. Insisten en que la decisión última de irrupción en el domicilio del ejecutado debe estar justificada, motivada y exenta de cualquier arbitrariedad (SSTC 62/1982 de 15 de octubre; 13/1985, de 31 de enero; 151/1997, de 29 de septiembre; 175/1997, de 27 de octubre; 200/1997, de 24 de noviembre; 177/1998, de 14 de septiembre, y 18/1999, de 22 de febrero), teniendo en cuenta además, las circunstancias especiales de cada afectado por la medida. Por ello, esta falta de previsión legislativa también vulnera, en opinión de los recurrentes, el derecho fundamental a una resolución motivada (art. 24 CE), indispensable para otorgar cualquier autorización judicial que suponga una intrusión en el domicilio, además de incumplir gravemente las garantías establecidas en esta materia por la Declaración universal de derechos humanos (1948), el Pacto internacional de derechos económicos, sociales y culturales (1966), la Convención sobre los derechos del niño, el Pacto internacional de derechos civiles y políticos (1966) y el Convenio europeo de derechos humanos (1950).</w:t>
      </w:r>
    </w:p>
    <w:p w:rsidR="00A90898" w:rsidRDefault="00A90898" w:rsidP="00A90898">
      <w:pPr>
        <w:pStyle w:val="TextoNormal"/>
      </w:pPr>
    </w:p>
    <w:p w:rsidR="00A90898" w:rsidRDefault="00A90898" w:rsidP="00A90898">
      <w:pPr>
        <w:pStyle w:val="TextoNormal"/>
      </w:pPr>
      <w:r>
        <w:t>b) El siguiente precepto impugnado es el apartado 2 c) del art. 1 de la Ley 1/2013, por vulneración de los arts. 10, 14, 15, 39.4 y 47 CE, al haber limitado la suspensión de los lanzamientos de la vivienda habitual a las de las unidades familiares de las que forme parte un menor de tres años y no contemplar aquellas otras en las que existan otros menores de distinta edad. Con el mismo argumento se denuncia la inconstitucionalidad del art. 8 que, modificando el art. 3.l b) del Real Decreto-ley 6/2012, de 9 de marzo, reconoce ciertos beneficios en materia de reestructuración de la deuda hipotecaria a la unidad familiar de la que forme parte un menor de tres años. Esta injustificada y desproporcionada distinción en razón de la edad del menor plantea la exclusión de otros menores que, a efectos de un desahucio, se encuentran en situación de análoga vulnerabilidad lo que, interpretado a la luz del Convenio de derechos del niño, comporta una vulneración del derecho a la igualdad (art. 14 CE) y una posible afectación del derecho a la integridad física y moral (art. 15 CE) y al libre desarrollo de su personalidad (art. 10.1 CE), que se producen en concurrencia con la violación del derecho a una vivienda digna (art. 47 CE) y la injustificada desprotección de la vida familiar de los menores (art. 39.4 CE).</w:t>
      </w:r>
    </w:p>
    <w:p w:rsidR="00A90898" w:rsidRDefault="00A90898" w:rsidP="00A90898">
      <w:pPr>
        <w:pStyle w:val="TextoNormal"/>
      </w:pPr>
    </w:p>
    <w:p w:rsidR="00A90898" w:rsidRDefault="00A90898" w:rsidP="00A90898">
      <w:pPr>
        <w:pStyle w:val="TextoNormal"/>
      </w:pPr>
      <w:r>
        <w:t>En síntesis, se razona que el art. 39.4 CE establece el deber de protección a la infancia de acuerdo con los tratados internacionales que velan por sus derechos (fundamentalmente, la Convención de derechos del niño de la Asamblea de Naciones Unidas de 20 de noviembre de 1989) y que, si bien este deber de protección admite tratos diferenciados entre menores por razón de edad, se debe intensificar cuando la persona objeto de la discriminación es un niño (STC 237/2005, de 27 de octubre). En estos supuestos, los Estados están obligados a otorgar una prioridad máxima a la protección de los intereses de aquellos que gocen de tal condición, como se refleja en los arts. 10.3 y 11.1 del Pacto internacional sobre los derechos económicos, sociales y culturales o el art. 24.1 del Pacto internacional de derechos civiles y políticos. Sin embargo, el art. 1 apartado 2 c) de la Ley 1/2013 infringe esta prioridad al fijar injustificadamente un umbral de edad que reduce de manera notable el espectro de población protegida frente al lanzamiento de vivienda habitual, sin que pueda advertirse la razón por la que los menores que superan los tres años de edad pasan a encontrarse en una situación de menor vulnerabilidad que los que no los han cumplido.</w:t>
      </w:r>
    </w:p>
    <w:p w:rsidR="00A90898" w:rsidRDefault="00A90898" w:rsidP="00A90898">
      <w:pPr>
        <w:pStyle w:val="TextoNormal"/>
      </w:pPr>
    </w:p>
    <w:p w:rsidR="00A90898" w:rsidRDefault="00A90898" w:rsidP="00A90898">
      <w:pPr>
        <w:pStyle w:val="TextoNormal"/>
      </w:pPr>
      <w:r>
        <w:t xml:space="preserve">En consecuencia, una distinción entre menores por razón de edad, excluyendo a la mayoría de ellos de la protección frente al lanzamiento de la vivienda familiar (art. 47 CE), sin </w:t>
      </w:r>
      <w:r>
        <w:lastRenderedPageBreak/>
        <w:t>previsión alguna de alternativa habitacional, supone una discriminación difícilmente justificable que en absoluto responde al interés de los propios menores. Por la misma razón, la inconstitucionalidad debe extenderse al art. 8.2 de la Ley 1/2013, dado que limita a la unidad familiar de que forme parte un menor de tres años la posibilidad de solicitar a las entidades financieras que suscriban el “Código de buenas prácticas” una reestructuración de la deuda hipotecaria contraída.</w:t>
      </w:r>
    </w:p>
    <w:p w:rsidR="00A90898" w:rsidRDefault="00A90898" w:rsidP="00A90898">
      <w:pPr>
        <w:pStyle w:val="TextoNormal"/>
      </w:pPr>
    </w:p>
    <w:p w:rsidR="00A90898" w:rsidRDefault="00A90898" w:rsidP="00A90898">
      <w:pPr>
        <w:pStyle w:val="TextoNormal"/>
      </w:pPr>
      <w:r>
        <w:t>c) El siguiente precepto recurrido es la disposición adicional primera de la Ley 1/2013 que prevé la constitución del fondo social de viviendas, propiedad de las entidades financieras, para dar cobertura a aquellas personas que hayan sido desalojadas de su vivienda habitual por impago de un préstamo hipotecario, vulnerando el derecho a una vivienda digna y adecuada (art. 47 CE), en conexión con el derecho a la integridad física, psíquica y moral (art. 15 CE), a la dignidad y al libre desarrollo de la personalidad (art. 10.1), así como al deber de protección de la familia (art. 39.4), interpretados a la luz del Pacto internacional de derechos económicos, sociales y culturales y el Convenio de derechos del niño.</w:t>
      </w:r>
    </w:p>
    <w:p w:rsidR="00A90898" w:rsidRDefault="00A90898" w:rsidP="00A90898">
      <w:pPr>
        <w:pStyle w:val="TextoNormal"/>
      </w:pPr>
    </w:p>
    <w:p w:rsidR="00A90898" w:rsidRDefault="00A90898" w:rsidP="00A90898">
      <w:pPr>
        <w:pStyle w:val="TextoNormal"/>
      </w:pPr>
      <w:r>
        <w:t>Para los recurrentes, la sola previsión normativa de encomendar al Gobierno la promoción de dicho fondo social excede los márgenes de discrecionalidad admitidos al legislador y carece de razonabilidad, ya que no ofrece una solución adecuada, a corto plazo, para los colectivos que la propia ley define como especialmente vulnerables, contraviniendo su deber de tuición de los derechos y libertades de todos los ciudadanos consagrado en los arts. 9.2 y 10 CE. Asimismo, en la medida en que los destinatarios de la norma son menores de edad, introduce un riesgo cierto de vulneración de su derecho a la integridad física, psíquica y moral (art. 15 CE), a su dignidad (art. 10.1 CE) y al deber de protección de la vida familiar (art. 39).</w:t>
      </w:r>
    </w:p>
    <w:p w:rsidR="00A90898" w:rsidRDefault="00A90898" w:rsidP="00A90898">
      <w:pPr>
        <w:pStyle w:val="TextoNormal"/>
      </w:pPr>
    </w:p>
    <w:p w:rsidR="00A90898" w:rsidRDefault="00A90898" w:rsidP="00A90898">
      <w:pPr>
        <w:pStyle w:val="TextoNormal"/>
      </w:pPr>
      <w:r>
        <w:t>d) Bajo la rúbrica: “8. Inconstitucionalidad de la disposición transitoria 1 y 2 por vulneración del (</w:t>
      </w:r>
      <w:r w:rsidRPr="00A90898">
        <w:rPr>
          <w:i/>
        </w:rPr>
        <w:t>sic</w:t>
      </w:r>
      <w:r>
        <w:t xml:space="preserve">) 9, 10, 24 y 96 de la Constitución. Vulneración de la tutela judicial efectiva y derecho a la defensa en relación con las garantías procesales ofrecidas a los consumidores frente a los profesionales bajo el principio </w:t>
      </w:r>
      <w:r w:rsidRPr="00A90898">
        <w:rPr>
          <w:i/>
        </w:rPr>
        <w:t>pro consumatore</w:t>
      </w:r>
      <w:r>
        <w:t xml:space="preserve"> que se concreta en el ordenamiento jurídico de TJE (</w:t>
      </w:r>
      <w:r w:rsidRPr="00A90898">
        <w:rPr>
          <w:i/>
        </w:rPr>
        <w:t>sic</w:t>
      </w:r>
      <w:r>
        <w:t>) con la Directiva 93/13/CEE, del Consejo, de 5 de abril de 1993, Convenio Europeo de Derechos Humanos, Pacto Internacional de Derechos Civiles y Políticos, derecho a un procedimiento con todas las garantías”, se realizan dos consideraciones: en primer lugar, se afirma que no es admisible que el consumidor vea mermado su derecho a la defensa cuando, precisamente, la Directiva 93/13/CEE impone no solo el derecho a la defensa plena del consumidor en los procedimientos judiciales, sino la obligación del juzgador de garantizar los derechos de la parte débil de la relación contractual, por medio de un control jurisdiccional que vaya más allá de lo alegado por el consumidor (STJUE de 14 de marzo de 2013). Ello quiere decir que el juez nacional tiene la obligación de aplicar íntegramente el Derecho comunitario y proteger los derechos que éste confiere a los particulares, dejando sin aplicación toda disposición de la ley nacional que sea contraria a aquél.</w:t>
      </w:r>
    </w:p>
    <w:p w:rsidR="00A90898" w:rsidRDefault="00A90898" w:rsidP="00A90898">
      <w:pPr>
        <w:pStyle w:val="TextoNormal"/>
      </w:pPr>
    </w:p>
    <w:p w:rsidR="00A90898" w:rsidRDefault="00A90898" w:rsidP="00A90898">
      <w:pPr>
        <w:pStyle w:val="TextoNormal"/>
      </w:pPr>
      <w:r>
        <w:t xml:space="preserve">En segundo lugar, respecto a la elección de la publicación de la Ley en el “BOE” como instrumento de notificación del nuevo plazo de un mes para formular el incidente extraordinario de oposición a la ejecución, otorgado a aquellos deudores que hayan visto transcurrir el periodo de oposición, (disposición transitoria cuarta de la Ley 1/2013), los Diputados recurrentes afirman que el art. 9.3 CE garantiza la publicidad de las normas y la seguridad jurídica, y que la notificación por “BOE” del plazo de preclusión de un mes puede llevar a </w:t>
      </w:r>
      <w:r>
        <w:lastRenderedPageBreak/>
        <w:t>que muchos de los ejecutados en procedimientos de ejecución hipotecaria ignoren sus derechos o se vean imposibilitados de asumir en tan breve espacio de tiempo los gastos que acarrea el ejercicio de una acción ante los tribunales. Recuerda la doctrina y jurisprudencia relativa al carácter subsidiario de la notificación edictal y a la publicación en diarios oficiales, e indica que la notificación señalada en la disposición transitoria cuarta de la Ley 1/2013, vulnera de forma flagrante el derecho a la tutela judicial efectiva (art. 24 CE), el derecho a un procedimiento con todas las garantías, a la publicidad de las normas y a la seguridad jurídica (art. 9.3 CE). En su opinión, la vía elegida por el legislador de comunicar el plazo de preclusión para denunciar la existencia de cláusulas abusivas en los contratos de préstamo con garantía hipotecaria, no solo incumple los referidos derechos constitucionales, máxime si se considera que el plazo se reduce a un mes y los consumidores afectados pueden no estar tan siquiera personados en los procedimientos de ejecución, sino que es contraria al Derecho comunitario, toda vez que “la protección de la Directiva 93/13 se opone a una normativa interna que prohíba al Juez nacional, al expirar un plazo de preclusión, declarar, de oficio o por la vía de excepción opuesta por el consumidor, una cláusula abusiva inserta en un contrato” (STJUE de 21 de noviembre de 2002).</w:t>
      </w:r>
    </w:p>
    <w:p w:rsidR="00A90898" w:rsidRDefault="00A90898" w:rsidP="00A90898">
      <w:pPr>
        <w:pStyle w:val="TextoNormal"/>
      </w:pPr>
    </w:p>
    <w:p w:rsidR="00A90898" w:rsidRDefault="00A90898" w:rsidP="00A90898">
      <w:pPr>
        <w:pStyle w:val="TextoNormal"/>
      </w:pPr>
      <w:r>
        <w:t>e) Asimismo se denuncia la inconstitucionalidad apartados 1 y 14 del art. 7 de la Ley 1/2013, que modifican, respectivamente, los arts. 552.1 y 695.4 de la Ley 1/2000, de 7 de enero, de enjuiciamiento civil (LEC), por vulneración del art.14 CE (derecho a la igualdad de armas procesales en relación con el derecho a la tutela judicial efectiva y derecho de acceso a los recursos establecidos por la ley</w:t>
      </w:r>
      <w:r w:rsidRPr="00A90898">
        <w:rPr>
          <w:i/>
        </w:rPr>
        <w:t xml:space="preserve">, </w:t>
      </w:r>
      <w:r>
        <w:t>ex art. 24 CE).</w:t>
      </w:r>
    </w:p>
    <w:p w:rsidR="00A90898" w:rsidRDefault="00A90898" w:rsidP="00A90898">
      <w:pPr>
        <w:pStyle w:val="TextoNormal"/>
      </w:pPr>
    </w:p>
    <w:p w:rsidR="00A90898" w:rsidRDefault="00A90898" w:rsidP="00A90898">
      <w:pPr>
        <w:pStyle w:val="TextoNormal"/>
      </w:pPr>
      <w:r>
        <w:t>Los recurrentes recuerdan que la norma impugnada es consecuencia de la STJUE de 14 de marzo de 2013 y recoge la modificación del procedimiento ejecutivo a efectos de que, de oficio o a instancia de parte, el órgano judicial pueda analizar la existencia de cláusulas abusivas en el título ejecutivo. Sin embargo, estando dicho precepto destinado a modificar la Ley de enjuiciamiento civil, tan sólo ha añadido un segundo párrafo al art.552.1 LEC en los siguientes términos: “cuando el tribunal apreciare que alguna de las cláusulas incluidas en un título ejecutivo de los citados en el art. 557.1 pueda ser calificada como abusiva, dará audiencia por quince días a las partes. Oídas éstas, acordará lo procedente en el plazo de cinco días hábiles conforme a lo previsto en el art. 561.1”. Sin embargo, su párrafo 2 no ha sido modificado y sigue disponiendo que “el auto que deniegue el despacho de la ejecución será directamente apelable, sustanciándose la apelación solo con el acreedor. También podrá el acreedor, a su elección, intentar recurso de reposición previo al de apelación”. En consecuencia, solo el acreedor hipotecario tiene la posibilidad de interponer recurso de apelación frente al Auto que deniegue el despacho de ejecución, lo que, en cambio, no se permite al deudor ejecutado, conculcando el art. 24 CE en relación con el principio de igualdad del art. 14 CE, porque ante un mismo hecho —resolución desfavorable a los intereses de una parte—, se trata a una de ellas de forma diferente a la otra, sin que exista una finalidad constitucionalmente aceptable que justifique priorizar al acreedor sobre el deudor.</w:t>
      </w:r>
    </w:p>
    <w:p w:rsidR="00A90898" w:rsidRDefault="00A90898" w:rsidP="00A90898">
      <w:pPr>
        <w:pStyle w:val="TextoNormal"/>
      </w:pPr>
    </w:p>
    <w:p w:rsidR="00A90898" w:rsidRDefault="00A90898" w:rsidP="00A90898">
      <w:pPr>
        <w:pStyle w:val="TextoNormal"/>
      </w:pPr>
      <w:r>
        <w:t>Iguales consideraciones realizan respecto al art. 695.4 LEC, que otorga al acreedor la posibilidad de recurrir la estimación judicial del carácter abusivo de una cláusula, pero ese mismo recurso se le deniega al deudor cuando la ha visto desestimada. A juicio de los recurrentes, tales normas solo pueden considerarse inconstitucionales al quebrantar el principio de igualdad de armas procesales y de acceso a los recursos (art. 24 CE), en relación con el derecho de igualdad (art. 14 CE).</w:t>
      </w:r>
    </w:p>
    <w:p w:rsidR="00A90898" w:rsidRDefault="00A90898" w:rsidP="00A90898">
      <w:pPr>
        <w:pStyle w:val="TextoNormal"/>
      </w:pPr>
    </w:p>
    <w:p w:rsidR="00A90898" w:rsidRDefault="00A90898" w:rsidP="00A90898">
      <w:pPr>
        <w:pStyle w:val="TextoNormal"/>
      </w:pPr>
      <w:r>
        <w:t>f) Por último, se impugna el apartado 3 del art. 3 de la Ley 1/2013, por el que se modifica el art. 129 de la Ley hipotecaria (en adelante, LH), así como las referencias e incisos de la Ley al procedimiento de venta extrajudicial (que, de acuerdo con el escrito de interposición del recurso se contienen en los arts. 1, 2, disposición adicional cuarta, disposiciones transitorias primera, segunda y quinta; y disposición final primera), por vulneración de los arts. 14, 24, 51.1 y 117.3 CE.</w:t>
      </w:r>
    </w:p>
    <w:p w:rsidR="00A90898" w:rsidRDefault="00A90898" w:rsidP="00A90898">
      <w:pPr>
        <w:pStyle w:val="TextoNormal"/>
      </w:pPr>
    </w:p>
    <w:p w:rsidR="00A90898" w:rsidRDefault="00A90898" w:rsidP="00A90898">
      <w:pPr>
        <w:pStyle w:val="TextoNormal"/>
      </w:pPr>
      <w:r>
        <w:t xml:space="preserve">En opinión de los recurrentes, el procedimiento de ejecución extrajudicial, conocido como “venta extrajudicial”, contraviene el monopolio de la función jurisdiccional (art. 117.3 CE), dado que implica una verdadera ejecución del bien hipotecado, cuya tramitación discurre al margen de los tribunales de justicia. El derecho a la tutela judicial efectiva, </w:t>
      </w:r>
      <w:r w:rsidRPr="00A90898">
        <w:rPr>
          <w:i/>
        </w:rPr>
        <w:t>ex</w:t>
      </w:r>
      <w:r>
        <w:t xml:space="preserve"> art. 24 CE, presupone la existencia de un proceso que no se elude otorgando al ejecutado la posibilidad de acudir a un procedimiento declarativo, donde se ventilen cuestiones tan esenciales como la existencia de cláusulas abusivas [nueva redacción art. 129.2 f) LH]. Se añade que la configuración del título ejecutivo mediante una simple determinación no impugnable del saldo deudor, realizada unilateralmente por la parte acreedora, causa una grave indefensión al deudor hipotecario, que contrasta con lo dispuesto en el art. 695.2 LEC para el procedimiento judicial de ejecución donde, por el contrario, se admite una oposición basada en error en la determinación de la cantidad exigible. En consecuencia, es obvio que se produce una desigualdad injustificada a la par que arbitraria, con infracción evidente del art. 14 CE. En el mismo sentido, recordando la STJUE de 14 de marzo de 2013, se subraya que la protección a consumidores exige, para ser efectiva, que sea el juez quien aprecie de oficio el carácter abusivo de una cláusula contractual y restablezca, si así lo considera, el desequilibrio entre el consumidor y el profesional.</w:t>
      </w:r>
    </w:p>
    <w:p w:rsidR="00A90898" w:rsidRDefault="00A90898" w:rsidP="00A90898">
      <w:pPr>
        <w:pStyle w:val="TextoNormal"/>
      </w:pPr>
    </w:p>
    <w:p w:rsidR="00A90898" w:rsidRDefault="00A90898" w:rsidP="00A90898">
      <w:pPr>
        <w:pStyle w:val="TextoNormal"/>
      </w:pPr>
      <w:r>
        <w:t>Se concluyó, por todo ello, con la súplica de que se dictara sentencia en la que se declarase la inconstitucionalidad y consiguiente nulidad de los preceptos impugnados.</w:t>
      </w:r>
    </w:p>
    <w:p w:rsidR="00A90898" w:rsidRDefault="00A90898" w:rsidP="00A90898">
      <w:pPr>
        <w:pStyle w:val="TextoNormal"/>
      </w:pPr>
    </w:p>
    <w:p w:rsidR="00A90898" w:rsidRDefault="00A90898" w:rsidP="00A90898">
      <w:pPr>
        <w:pStyle w:val="TextoNormal"/>
      </w:pPr>
      <w:r w:rsidRPr="00A90898">
        <w:rPr>
          <w:rStyle w:val="NumeroAFNegritaCaracter"/>
        </w:rPr>
        <w:t>2</w:t>
      </w:r>
      <w:r>
        <w:t>. Mediante providencia de 24 de septiembre de 2013, el Pleno acordó admitir a trámite el recurso de inconstitucionalidad y dar traslado de la demanda y documentos presentados al Congreso de los Diputados, al Senado y al Gobierno, al objeto, de que, en el plazo de quince días, pudieran personarse en el proceso y formular las alegaciones que estimaran convenientes. Se dispuso, por último, publicar la formalización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el día 9 de octubre de 2013, el Abogado del Estado, en la representación que legalmente ostenta, se personó en nombre del Gobierno de la Nación y solicitó prórroga por el máximo legal del plazo concedido para formular alegaciones, concediéndole este Tribunal, por providencia de fecha de 10 de octubre de 2013, una prórroga de ocho días, a contar desde el siguiente al de la expiración del ordinario.</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con fecha de 9 de octubre de 2013, el Presidente del Senado rogó se tuviera a la Cámara por personada y por ofrecida su colaboración a los efectos del art. 88.1 de la Ley Orgánica del Tribunal Constitucional (LOTC).</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5</w:t>
      </w:r>
      <w:r>
        <w:t>. Con fecha de 7 de octubre de 2013, se comunicó al Tribunal el acuerdo de la Mesa de la Cámara de conformidad con el cual, el Congreso de los Diputados se persona en el procedimiento, a los solos efectos de formular alegaciones en relación con los vicios de procedimiento legislativo que se denuncian en la demanda.</w:t>
      </w:r>
    </w:p>
    <w:p w:rsidR="00A90898" w:rsidRDefault="00A90898" w:rsidP="00A90898">
      <w:pPr>
        <w:pStyle w:val="TextoNormal"/>
      </w:pPr>
    </w:p>
    <w:p w:rsidR="00A90898" w:rsidRDefault="00A90898" w:rsidP="00A90898">
      <w:pPr>
        <w:pStyle w:val="TextoNormal"/>
      </w:pPr>
      <w:r w:rsidRPr="00A90898">
        <w:rPr>
          <w:rStyle w:val="NumeroAFNegritaCaracter"/>
        </w:rPr>
        <w:t>6</w:t>
      </w:r>
      <w:r>
        <w:t>. Por escrito registrado el día 17 de octubre de 2013, el Letrado de las Cortes Generales, en nombre y representación y defensa del Congreso de los Diputados, formuló las alegaciones que a continuación se resumen y que se concretan exclusivamente a las vulneraciones vinculadas a la tramitación parlamentaria:</w:t>
      </w:r>
    </w:p>
    <w:p w:rsidR="00A90898" w:rsidRDefault="00A90898" w:rsidP="00A90898">
      <w:pPr>
        <w:pStyle w:val="TextoNormal"/>
      </w:pPr>
    </w:p>
    <w:p w:rsidR="00A90898" w:rsidRDefault="00A90898" w:rsidP="00A90898">
      <w:pPr>
        <w:pStyle w:val="TextoNormal"/>
      </w:pPr>
      <w:r>
        <w:t>Se comenzó por recordar, con numerosos ejemplos, que la tramitación agrupada de iniciativas legislativas se ha producido desde la I Legislatura, articulándose de formas diversas en función de la naturaleza de los textos, y atendiendo tanto a la facultad que el art. 31.1.5 RCD atribuye a la Mesa de la Cámara para decidir la tramitación de los distintos textos de la Cámara como a la amplitud y flexibilidad con que la Ponencia ejerce su función de redactar su informe para cada una de las iniciativas legislativas, y porque son los órganos de la Cámara los que deciden, por motivos de conveniencia, oportunidad, y orientación política.</w:t>
      </w:r>
    </w:p>
    <w:p w:rsidR="00A90898" w:rsidRDefault="00A90898" w:rsidP="00A90898">
      <w:pPr>
        <w:pStyle w:val="TextoNormal"/>
      </w:pPr>
    </w:p>
    <w:p w:rsidR="00A90898" w:rsidRDefault="00A90898" w:rsidP="00A90898">
      <w:pPr>
        <w:pStyle w:val="TextoNormal"/>
      </w:pPr>
      <w:r>
        <w:t>Tras realizar un análisis de la naturaleza jurídica, finalidad y regulación de la iniciativa legislativa popular (art. 87.3 CE) en la Ley Orgánica 3/1984, de 26 de marzo, como modalidad legislativa que responde a la idea de participación directa del ciudadano en la función política, (art. 23 CE). Afirma que existe un derecho identificable y ejercitable de los ciudadanos, pero en ese derecho no se incluye que la iniciativa sea tomada en consideración (STC 76/1994). La citada conclusión obliga a matizar la existencia en la actual regulación constitucional de un procedimiento legislativo de iniciativa popular configurado en términos de un procedimiento completo, como parece que se deduce del texto del recurso, sino que se trata de determinadas especialidades que se integran en el procedimiento común.</w:t>
      </w:r>
    </w:p>
    <w:p w:rsidR="00A90898" w:rsidRDefault="00A90898" w:rsidP="00A90898">
      <w:pPr>
        <w:pStyle w:val="TextoNormal"/>
      </w:pPr>
    </w:p>
    <w:p w:rsidR="00A90898" w:rsidRDefault="00A90898" w:rsidP="00A90898">
      <w:pPr>
        <w:pStyle w:val="TextoNormal"/>
      </w:pPr>
      <w:r>
        <w:t>A continuación, se pasan a analizar las concretas vulneraciones constitucionales de los arts. 87.3, 23.1 y 2 CE, que en el recurso se imputa a la tramitación de dicha iniciativa legislativa popular promovida por la plataforma de afectados por la hipoteca.</w:t>
      </w:r>
    </w:p>
    <w:p w:rsidR="00A90898" w:rsidRDefault="00A90898" w:rsidP="00A90898">
      <w:pPr>
        <w:pStyle w:val="TextoNormal"/>
      </w:pPr>
    </w:p>
    <w:p w:rsidR="00A90898" w:rsidRDefault="00A90898" w:rsidP="00A90898">
      <w:pPr>
        <w:pStyle w:val="TextoNormal"/>
      </w:pPr>
      <w:r>
        <w:t>Con cita de las SSTC 39/2008, de 10 de marzo, 27/2000, de 31 de enero, y 234/2000, de 3 de octubre, se subraya que en la tramitación del proyecto de ley de medidas urgentes para reforzar la protección a los deudores hipotecarios (procedente del Real Decreto-ley 27/2012, de 15 de noviembre) (núm. de expediente 121-000131) se produjeron comparecencias para informar a la Comisión de economía y competitividad sobre la materia de la reforma legislativa, en las que tras un acuerdo adoptado por los órganos competentes, participaron algunos de los representantes de los ciudadanos firmantes de la iniciativa legislativa popular (núm. de expediente 120-000006). En consecuencia, se concluye que no existe conculcación alguna del art. 23.2 CE, pues los derechos derivados del ejercicio de la función representativa se ejercieron sin restricción, extendiéndose a la presentación de enmiendas a los proyectos posteriormente acumulados, a la intervención en el debate sobre la toma en consideración, a la participación en la reunión en la ponencia y en la tramitación en Comisión del texto unificado.</w:t>
      </w:r>
    </w:p>
    <w:p w:rsidR="00A90898" w:rsidRDefault="00A90898" w:rsidP="00A90898">
      <w:pPr>
        <w:pStyle w:val="TextoNormal"/>
      </w:pPr>
    </w:p>
    <w:p w:rsidR="00A90898" w:rsidRDefault="00A90898" w:rsidP="00A90898">
      <w:pPr>
        <w:pStyle w:val="TextoNormal"/>
      </w:pPr>
      <w:r>
        <w:lastRenderedPageBreak/>
        <w:t>Igualmente se sostiene que la denegación de una avocación del debate al Pleno de la Cámara es una posibilidad habilitada normativamente por el art. 75.2 CE y, por consiguiente, no cabe sino afirmar la plena constitucionalidad del procedimiento de lectura única y la adecuación con la legalidad de la denegación por la propia Mesa del Congreso de los Diputados de la avocación, pues era la competente una vez iniciados los trámites de la ponencia y trabada su competencia (STC 238/2012).</w:t>
      </w:r>
    </w:p>
    <w:p w:rsidR="00A90898" w:rsidRDefault="00A90898" w:rsidP="00A90898">
      <w:pPr>
        <w:pStyle w:val="TextoNormal"/>
      </w:pPr>
    </w:p>
    <w:p w:rsidR="00A90898" w:rsidRDefault="00A90898" w:rsidP="00A90898">
      <w:pPr>
        <w:pStyle w:val="TextoNormal"/>
      </w:pPr>
      <w:r>
        <w:t>En síntesis, se afirma que la tramitación no vulneró en absoluto los derechos del representante, puesto que la opción por la tramitación con competencia legislativa plena no disminuye el nivel de garantías de procedimiento del art. 23.2 CE (STC 37/2000, de 31 de enero), sino que se trata de una opción constitucional que, como indica el art. 148 del Reglamento del Congreso de los Diputados, no se extiende al conocimiento por el Pleno en los trámites de debate de totalidad y de toma en consideración y, además, se excluye tan sólo en contados supuestos, sin que puedan ampliarse las restricciones en la aplicación de la delegación más allá de ese límite constitucional.</w:t>
      </w:r>
    </w:p>
    <w:p w:rsidR="00A90898" w:rsidRDefault="00A90898" w:rsidP="00A90898">
      <w:pPr>
        <w:pStyle w:val="TextoNormal"/>
      </w:pPr>
    </w:p>
    <w:p w:rsidR="00A90898" w:rsidRDefault="00A90898" w:rsidP="00A90898">
      <w:pPr>
        <w:pStyle w:val="TextoNormal"/>
      </w:pPr>
      <w:r>
        <w:t>De todo lo expuesto, se concluye que no ha lugar a declarar la inconstitucionalidad de la Ley 1/2013, de 14 de mayo y que procede, por ello, desestimar íntegramente el presente recurso.</w:t>
      </w:r>
    </w:p>
    <w:p w:rsidR="00A90898" w:rsidRDefault="00A90898" w:rsidP="00A90898">
      <w:pPr>
        <w:pStyle w:val="TextoNormal"/>
      </w:pPr>
    </w:p>
    <w:p w:rsidR="00A90898" w:rsidRDefault="00A90898" w:rsidP="00A90898">
      <w:pPr>
        <w:pStyle w:val="TextoNormal"/>
      </w:pPr>
      <w:r w:rsidRPr="00A90898">
        <w:rPr>
          <w:rStyle w:val="NumeroAFNegritaCaracter"/>
        </w:rPr>
        <w:t>7</w:t>
      </w:r>
      <w:r>
        <w:t>. Mediante escrito registrado el día 30 de octubre de 2013, el Abogado del Estado, en representación y defensa del Gobierno de la Nación, formuló sus alegaciones:</w:t>
      </w:r>
    </w:p>
    <w:p w:rsidR="00A90898" w:rsidRDefault="00A90898" w:rsidP="00A90898">
      <w:pPr>
        <w:pStyle w:val="TextoNormal"/>
      </w:pPr>
    </w:p>
    <w:p w:rsidR="00A90898" w:rsidRDefault="00A90898" w:rsidP="00A90898">
      <w:pPr>
        <w:pStyle w:val="TextoNormal"/>
      </w:pPr>
      <w:r>
        <w:t>a) En primer lugar, respecto a la alegada falta de adecuación de la tramitación legislativa, entiende que no concurre vulneración del art. 23 CE, ni de otros preceptos relacionados con el derecho de iniciativa y participación política, toda vez que las decisiones que se adoptaron en el seno de la tramitación parlamentaria de la iniciativa legislativa popular promovida por la plataforma de afectados por la hipoteca, lo fueron en virtud de la composición parlamentaria en la legislatura presente y del marco jurídico establecido tanto en el Reglamento del Congreso de los Diputados como en la Ley Orgánica 3/1984, de iniciativa legislativa popular, reformada parcialmente en 2006.</w:t>
      </w:r>
    </w:p>
    <w:p w:rsidR="00A90898" w:rsidRDefault="00A90898" w:rsidP="00A90898">
      <w:pPr>
        <w:pStyle w:val="TextoNormal"/>
      </w:pPr>
    </w:p>
    <w:p w:rsidR="00A90898" w:rsidRDefault="00A90898" w:rsidP="00A90898">
      <w:pPr>
        <w:pStyle w:val="TextoNormal"/>
      </w:pPr>
      <w:r>
        <w:t>Para el representante del Gobierno de la Nación, lo que los recurrentes, en definitiva, reprochan al funcionamiento de los órganos parlamentarios, Comisión de economía y competitividad, Mesa del Pleno del Congreso, es que la toma de acuerdos utilizando el juego de las mayorías previstas, impida a los grupos parlamentarios minoritarios afectados seguir adelante con el texto de la iniciativa legislativa popular, tal como la elaboraron los firmantes.</w:t>
      </w:r>
    </w:p>
    <w:p w:rsidR="00A90898" w:rsidRDefault="00A90898" w:rsidP="00A90898">
      <w:pPr>
        <w:pStyle w:val="TextoNormal"/>
      </w:pPr>
    </w:p>
    <w:p w:rsidR="00A90898" w:rsidRDefault="00A90898" w:rsidP="00A90898">
      <w:pPr>
        <w:pStyle w:val="TextoNormal"/>
      </w:pPr>
      <w:r>
        <w:t>En tal sentido, le parece oportuno recordar que el reconocimiento del derecho a la iniciativa legislativa popular (art. 87.3 CE), no garantiza la prosperabilidad de los textos en su integridad, ni superar los diferentes trámites procedimentales frente al juego parlamentario de mayorías en el seno de los respectivos órganos.</w:t>
      </w:r>
    </w:p>
    <w:p w:rsidR="00A90898" w:rsidRDefault="00A90898" w:rsidP="00A90898">
      <w:pPr>
        <w:pStyle w:val="TextoNormal"/>
      </w:pPr>
    </w:p>
    <w:p w:rsidR="00A90898" w:rsidRDefault="00A90898" w:rsidP="00A90898">
      <w:pPr>
        <w:pStyle w:val="TextoNormal"/>
      </w:pPr>
      <w:r>
        <w:t xml:space="preserve">Las mismas razones llevan a rechazar la pretendida vulneración del art. 23 CE, pues la suerte que, en un sentido u otro, producto del juego de mayorías parlamentarias, obtenga finalmente un texto introducido a propuesta de una iniciativa legislativa popular, no trae consigo la violación constitucional aducida si no se constata la infracción de las normas que </w:t>
      </w:r>
      <w:r>
        <w:lastRenderedPageBreak/>
        <w:t>regulan el procedimiento de elaboración normativa correspondiente. A mayor abundamiento se señala que, en este caso, no se hurtó debate alguno a los parlamentarios de uno y otro grupo en relación con la tramitación de lo que al final produjo el texto de la Ley 1/2013, de 14 de mayo, ahora impugnada.</w:t>
      </w:r>
    </w:p>
    <w:p w:rsidR="00A90898" w:rsidRDefault="00A90898" w:rsidP="00A90898">
      <w:pPr>
        <w:pStyle w:val="TextoNormal"/>
      </w:pPr>
    </w:p>
    <w:p w:rsidR="00A90898" w:rsidRDefault="00A90898" w:rsidP="00A90898">
      <w:pPr>
        <w:pStyle w:val="TextoNormal"/>
      </w:pPr>
      <w:r>
        <w:t>b) En segundo término, destaca que la falta de previsión que se imputa al art. 1 de la Ley impugnada, de la presencia judicial durante el lanzamiento de los ocupantes de la vivienda ejecutada no infringe el derecho a la inviolabilidad del domicilio ( art. 18.2 CE), pues se trata ya en sí misma de la ejecución de una resolución judicial, y la protección constitucional del derecho no exige que el titular del órgano judicial vuelva a controlar, en fase de ejecución material, la misma medida que ya ha autorizado al despachar la ejecución (art. 551 LEC).</w:t>
      </w:r>
    </w:p>
    <w:p w:rsidR="00A90898" w:rsidRDefault="00A90898" w:rsidP="00A90898">
      <w:pPr>
        <w:pStyle w:val="TextoNormal"/>
      </w:pPr>
    </w:p>
    <w:p w:rsidR="00A90898" w:rsidRDefault="00A90898" w:rsidP="00A90898">
      <w:pPr>
        <w:pStyle w:val="TextoNormal"/>
      </w:pPr>
      <w:r>
        <w:t>Tampoco resulta lesionado el art. 24 CE, dado que el derecho a la tutela judicial efectiva es un derecho de configuración legal (STC 25/2007, de 17 de diciembre, FJ 4), que no exige que el legislador prevea la inmediatez del juez en los actos de ejecución material de un procedimiento que, como el hipotecario, está controlado precisamente por el órgano jurisdiccional y cuyos consecuencias, además, pueden ser revisadas posteriormente. Por tanto, la norma cumple sobradamente los estándares de protección previstos en los Instrumentos y recomendaciones de carácter internacional (art. 10.2 CE).</w:t>
      </w:r>
    </w:p>
    <w:p w:rsidR="00A90898" w:rsidRDefault="00A90898" w:rsidP="00A90898">
      <w:pPr>
        <w:pStyle w:val="TextoNormal"/>
      </w:pPr>
    </w:p>
    <w:p w:rsidR="00A90898" w:rsidRDefault="00A90898" w:rsidP="00A90898">
      <w:pPr>
        <w:pStyle w:val="TextoNormal"/>
      </w:pPr>
      <w:r>
        <w:t>c) Respecto a la pretendida inconstitucionalidad del art.1.2 c) de la Ley 1/2013, que contempla a la unidad familiar de la que forma parte un menor de tres años como un supuesto especial, por infracción del art. 14 CE, el Abogado del Estado si bien reconoce la especial protección de estos menores en relación con el conjunto de medidas generales de protección familiar en materia de desahucios, la incluye y justifica en el margen de discrecionalidad del legislador para arbitrar medidas de protección de la infancia y de la familia en los casos de ejecución hipotecaria.</w:t>
      </w:r>
    </w:p>
    <w:p w:rsidR="00A90898" w:rsidRDefault="00A90898" w:rsidP="00A90898">
      <w:pPr>
        <w:pStyle w:val="TextoNormal"/>
      </w:pPr>
    </w:p>
    <w:p w:rsidR="00A90898" w:rsidRDefault="00A90898" w:rsidP="00A90898">
      <w:pPr>
        <w:pStyle w:val="TextoNormal"/>
      </w:pPr>
      <w:r>
        <w:t>d) Para la Abogacía del Estado, de igual adecuación al art. 47 CE es la norma contenida en la disposición adicional primera de la Ley, sobre la creación de un fondo social de viviendas encomendado al Gobierno, para la cobertura de aquellas personas que hayan sufrido el desalojo, pues es evidente que se trata de una medida de alcance protector y, por ello, su sola previsión normativa no puede vulnerar el derecho a una vivienda digna, ni los pactos internacionales sobre derechos humanos ratificados por España.</w:t>
      </w:r>
    </w:p>
    <w:p w:rsidR="00A90898" w:rsidRDefault="00A90898" w:rsidP="00A90898">
      <w:pPr>
        <w:pStyle w:val="TextoNormal"/>
      </w:pPr>
    </w:p>
    <w:p w:rsidR="00A90898" w:rsidRDefault="00A90898" w:rsidP="00A90898">
      <w:pPr>
        <w:pStyle w:val="TextoNormal"/>
      </w:pPr>
      <w:r>
        <w:t>e) Tampoco acierta a entender la representación del Gobierno de la Nación, desde una perspectiva del derecho transitorio, porqué deberían ser calificadas de inconstitucionales las disposiciones transitorias primera y segunda de la Ley 1/2013, que extienden su vigencia a los procedimientos ya iniciados con anterioridad, pero en los que todavía no se ha ordenado el lanzamiento (disposición transitoria primera), pues es uno de los objetivos de la nueva regulación, como también lo es la limitación de los intereses de demora de los préstamos garantizados con hipotecas constituidas sobre viviendas habituales, aunque hayan sido formalizados con anterioridad a la entrada en vigor de la Ley (disposición transitoria segunda). Sobre este particular se subraya que el efecto retroactivo de medidas favorables no vulnera el art. 9.3 CE, ni puede ser contrario a la seguridad jurídica.</w:t>
      </w:r>
    </w:p>
    <w:p w:rsidR="00A90898" w:rsidRDefault="00A90898" w:rsidP="00A90898">
      <w:pPr>
        <w:pStyle w:val="TextoNormal"/>
      </w:pPr>
    </w:p>
    <w:p w:rsidR="00A90898" w:rsidRDefault="00A90898" w:rsidP="00A90898">
      <w:pPr>
        <w:pStyle w:val="TextoNormal"/>
      </w:pPr>
      <w:r>
        <w:lastRenderedPageBreak/>
        <w:t>Por otra parte, se sostiene que la modificación de las normas contenidas en la Ley de enjuiciamiento civil sobre el procedimiento de ejecución hipotecaria, siendo además siempre revisable judicialmente difícilmente pueden contravenir el derecho a la tutela jurisdiccional reconocido en el art. 24 CE, ni las disposiciones del Derecho comunitario europeo (art. 51 CE), pues con independencia del hecho de haberse traspuesto la Directiva 93/13/CE, del Consejo, de 5 de abril de 1993 al ordenamiento interno español, que establece la potestad de los órganos jurisdiccionales para apreciar lo abusivo de las cláusulas contractuales, vuelve a reiterar que la protección de los consumidores en materia hipotecaria es el objetivo de la Ley y, precisamente por ello, se han introducido los criterios de la STJUE de 14 de marzo de 2013 y modificado con tal fin los arts. 552.1, 557 y 561 LEC (art. 7 de la Ley 1/2013).</w:t>
      </w:r>
    </w:p>
    <w:p w:rsidR="00A90898" w:rsidRDefault="00A90898" w:rsidP="00A90898">
      <w:pPr>
        <w:pStyle w:val="TextoNormal"/>
      </w:pPr>
    </w:p>
    <w:p w:rsidR="00A90898" w:rsidRDefault="00A90898" w:rsidP="00A90898">
      <w:pPr>
        <w:pStyle w:val="TextoNormal"/>
      </w:pPr>
      <w:r>
        <w:t>f) Para la Abogacía del Estado tampoco existe deficiencia de orden constitucional, en relación con el derecho a la tutela judicial efectiva (art. 24 CE), en la disposición transitoria cuarta de la Ley 1/2013, por prever un plazo preclusivo de un mes desde la publicación en el “BOE” de la Ley, a fin de que, con carácter extraordinario, los deudores hipotecarios puedan oponer el abuso de las cláusulas contractuales en todos aquellos procedimientos en los que ya hubiera ya transcurrido el plazo legalmente establecido para la oposición a la ejecución. La razón es clara: se trata de una norma favorable para los ejecutados y su modo de publicidad nada tiene en común con la notificación del edicto.</w:t>
      </w:r>
    </w:p>
    <w:p w:rsidR="00A90898" w:rsidRDefault="00A90898" w:rsidP="00A90898">
      <w:pPr>
        <w:pStyle w:val="TextoNormal"/>
      </w:pPr>
    </w:p>
    <w:p w:rsidR="00A90898" w:rsidRDefault="00A90898" w:rsidP="00A90898">
      <w:pPr>
        <w:pStyle w:val="TextoNormal"/>
      </w:pPr>
      <w:r>
        <w:t>g) Defiende igualmente la constitucionalidad del sistema de recursos frente a resoluciones sobre el despacho y causas de oposición a la ejecución (por efecto de la remisión general a los arts. 681.2 y 522.2 LEC), pues no solo respeta el derecho a la tutela judicial efectiva (art. 24 CE), al entrar en el marco de libre decisión del legislador, sino que es un sistema lógico, pues prevé la impugnación de una resolución judicial que perjudica al acreedor. La hipotética desigualdad de armas no aparece, en tanto que no se hurta al deudor la posibilidad de oponer las causas legalmente previstas (art. 695.4 LEC) y está justificada por la propia naturaleza sumaria del procedimiento de ejecución hipotecaria.</w:t>
      </w:r>
    </w:p>
    <w:p w:rsidR="00A90898" w:rsidRDefault="00A90898" w:rsidP="00A90898">
      <w:pPr>
        <w:pStyle w:val="TextoNormal"/>
      </w:pPr>
    </w:p>
    <w:p w:rsidR="00A90898" w:rsidRDefault="00A90898" w:rsidP="00A90898">
      <w:pPr>
        <w:pStyle w:val="TextoNormal"/>
      </w:pPr>
      <w:r>
        <w:t>h) Por último, en cuanto a la constitucionalidad del art. 3.3 de la Ley 1/2013, por el que se modifica el art. 129 LH y otras disposiciones de la Ley impugnada que hacen referencias al procedimiento extrajudicial de ejecución hipotecaria, por su supuesta vulneración de los arts. 117 y 24 CE, entiende el Abogado del Estado que tal procedimiento resulta explícitamente susceptible de fiscalización por los tribunales de justicia. Por lo demás, recuerda que con tal “venta extrajudicial” tan solo se respeta el principio de la autonomía de la voluntad y se pone en práctica una cláusula de sometimiento expreso a este tipo de procedimiento pactada libre y voluntariamente. Se subraya, además, que esta reforma viene dada por las exigencias de la Directiva 93/13/CEE del Consejo, de 5 de abril y la incorporación de la doctrina sentada en la STJUE de 14 de marzo de 2013, tratándose, en cualquier caso, de modificaciones favorables y tuitivas respecto del deudor ejecutado, no sustraídas al posible control judicial posterior, por lo que no cabe decir que sea contraria al derecho a la tutela judicial efectiva, ni contravenga el art. 117 CE.</w:t>
      </w:r>
    </w:p>
    <w:p w:rsidR="00A90898" w:rsidRDefault="00A90898" w:rsidP="00A90898">
      <w:pPr>
        <w:pStyle w:val="TextoNormal"/>
      </w:pPr>
    </w:p>
    <w:p w:rsidR="00A90898" w:rsidRDefault="00A90898" w:rsidP="00A90898">
      <w:pPr>
        <w:pStyle w:val="TextoNormal"/>
      </w:pPr>
      <w:r>
        <w:t>De todo ello concluye que el recurso de inconstitucionalidad debiera ser desestimado en su integridad.</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8</w:t>
      </w:r>
      <w:r>
        <w:t>. Por providencia de 13 de diciembre de 2016, se señaló para deliberación y fallo de esta Sentencia el día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objeto del presente recurso de inconstitucionalidad es analizar, en primer lugar, la constitucionalidad de la totalidad de la Ley 1/2013, de 14 de mayo, de medidas para reforzar la protección a los deudores hipotecarios, reestructuración de deuda y alquiler social. El recurso se dirige también, subsidiariamente, contra determinados preceptos de esa misma norma legal, concretamente, contra los arts. 1; 3, apartado 3 (así como las referencias e incisos en la Ley al procedimiento de ejecución o venta extrajudicial); art. 7, apartados 1 y 14 (en la modificación, respectivamente, de los arts. 552.1 y 695.4 de la Ley 1/2000, de 7 de enero, de enjuiciamiento civil); art. 8.2 [en la modificación del art. 3.1 b)] 4 del Real Decreto-ley 6/2012, de 9 de marzo, de medidas urgentes de protección de deudores hipotecarios sin recursos; disposición adicional primera; y disposiciones transitorias primera, segunda y cuarta.</w:t>
      </w:r>
    </w:p>
    <w:p w:rsidR="00A90898" w:rsidRDefault="00A90898" w:rsidP="00A90898">
      <w:pPr>
        <w:pStyle w:val="TextoNormal"/>
      </w:pPr>
    </w:p>
    <w:p w:rsidR="00A90898" w:rsidRDefault="00A90898" w:rsidP="00A90898">
      <w:pPr>
        <w:pStyle w:val="TextoNormal"/>
      </w:pPr>
      <w:r>
        <w:t>Los motivos de inconstitucionalidad, siguiendo el orden establecido por las partes en este proceso, son los siguientes: la vulneración del art. 87.3 CE, que reconoce la iniciativa legislativa popular en relación con los apartados 1 y 2 del art. 23 CE sobre el derecho a la participación en los asuntos públicos y a acceder en condiciones de igualdad a las funciones y cargos públicos. Seguidamente, se denuncia la vulneración del derecho a la inviolabilidad del domicilio (art. 18.2 CE), a la igualdad (art. 14 CE), a una vivienda digna (art. 47 CE) y a la tutela judicial efectiva (art. 24 CE), con infracción del art. 51 CE por la inobservancia del Derecho de la Unión.</w:t>
      </w:r>
    </w:p>
    <w:p w:rsidR="00A90898" w:rsidRDefault="00A90898" w:rsidP="00A90898">
      <w:pPr>
        <w:pStyle w:val="TextoNormal"/>
      </w:pPr>
    </w:p>
    <w:p w:rsidR="00A90898" w:rsidRDefault="00A90898" w:rsidP="00A90898">
      <w:pPr>
        <w:pStyle w:val="TextoNormal"/>
      </w:pPr>
      <w:r>
        <w:t>El representante de las Cortes Generales defiende la regularidad y la adecuación de la tramitación parlamentaria a las normas legales y constitucionales, solicitando la desestimación del recurso.</w:t>
      </w:r>
    </w:p>
    <w:p w:rsidR="00A90898" w:rsidRDefault="00A90898" w:rsidP="00A90898">
      <w:pPr>
        <w:pStyle w:val="TextoNormal"/>
      </w:pPr>
    </w:p>
    <w:p w:rsidR="00A90898" w:rsidRDefault="00A90898" w:rsidP="00A90898">
      <w:pPr>
        <w:pStyle w:val="TextoNormal"/>
      </w:pPr>
      <w:r>
        <w:t>En idéntico sentido se pronuncia el Abogado del Estado proponiendo igualmente su desestimación, al entender que no solo no se han vulnerado las normas en la fase de producción legislativa, sino que su contenido es plenamente respetuoso con los derechos constitucionales invocados por los Diputados recurrentes.</w:t>
      </w:r>
    </w:p>
    <w:p w:rsidR="00A90898" w:rsidRDefault="00A90898" w:rsidP="00A90898">
      <w:pPr>
        <w:pStyle w:val="TextoNormal"/>
      </w:pPr>
    </w:p>
    <w:p w:rsidR="00A90898" w:rsidRDefault="00A90898" w:rsidP="00A90898">
      <w:pPr>
        <w:pStyle w:val="TextoNormal"/>
      </w:pPr>
      <w:r w:rsidRPr="00A90898">
        <w:rPr>
          <w:rStyle w:val="NumeroAFNegritaCaracter"/>
        </w:rPr>
        <w:t>2</w:t>
      </w:r>
      <w:r>
        <w:t>. Es necesario comenzar valorando el alcance de las numerosas reformas legislativas sobrevenidas durante el curso del presente procedimiento que han provocado que la mayor parte de las disposiciones impugnadas no se encuentren hoy vigentes y, por ello, en su momento determinaremos la repercusión que tienen sobre una eventual desaparición, por pérdida de objeto en el recurso. En tal sentido, hay que recordar desde ahora mismo que la regla general en el ámbito de los recursos de inconstitucionalidad como el presente, es que la derogación de la norma impugnada extingue el objeto del recurso, si bien tampoco “cabe dar una respuesta unívoca y general a la cuestión relativa a los efectos de la modificación, derogación o pérdida de vigencia de una disposición legal, ulterior a su impugnación, sobre la eventual desaparición del objeto de los diversos procesos constitucionales … no pudiendo resolverse apriorísticamente en función de criterios abstractos o genéricos” (recientemente recordado en la STC 94/2014, de 12 de junio, FJ 2).</w:t>
      </w:r>
    </w:p>
    <w:p w:rsidR="00A90898" w:rsidRDefault="00A90898" w:rsidP="00A90898">
      <w:pPr>
        <w:pStyle w:val="TextoNormal"/>
      </w:pPr>
    </w:p>
    <w:p w:rsidR="00A90898" w:rsidRDefault="00A90898" w:rsidP="00A90898">
      <w:pPr>
        <w:pStyle w:val="TextoNormal"/>
      </w:pPr>
      <w:r>
        <w:t>Precisamente por la imposibilidad de dar una respuesta general a estos casos, hemos declarado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y 385/1993, FJ 2). Por idéntica razón, para excluir ‘toda aplicación posterior de la disposición legal controvertida, privándola así del vestigio de vigencia que pudiera conservar’, puede resultar útil —conveniente— su enjuiciamiento, aun cuando haya sido derogada (SSTC 160/1987, FJ 6, y 385/1993, FJ 2).” (STC 124/2003, de 19 de junio, FJ 3).</w:t>
      </w:r>
    </w:p>
    <w:p w:rsidR="00A90898" w:rsidRDefault="00A90898" w:rsidP="00A90898">
      <w:pPr>
        <w:pStyle w:val="TextoNormal"/>
      </w:pPr>
    </w:p>
    <w:p w:rsidR="00A90898" w:rsidRDefault="00A90898" w:rsidP="00A90898">
      <w:pPr>
        <w:pStyle w:val="TextoNormal"/>
      </w:pPr>
      <w:r>
        <w:t>Ahora bien, en el caso del presente recurso de inconstitucionalidad también es conveniente subrayar que el hecho de que algunos de los preceptos o disposiciones de la Ley impugnada hayan podido ser eventualmente modificados o derogados no priva del todo de objeto al presente recurso, sino que, antes al contrario, “es necesario que este Tribunal Constitucional se pronuncie, porque una parte de los motivos alegados por los Diputados recurrentes afectan al procedimiento legislativo de aprobación de la ley y a su contenido posible, por lo que la eventual derogación o modificación de alguna de las normas contenidas en esta disposición legal no incidiría en el control de los vicios de validez en que pudiera haberse incurrido al momento de su aprobación, con lo cual subsiste el interés constitucional de velar por el recto ejercicio de la potestad legislativa (STC 136/2011, de 13 de septiembre, FJ 2). Ello, no obstante, sin perjuicio de que cuando se impute a preceptos concretos la violación de las normas que integran el bloque de la constitucionalidad, se pueda entrar a delimitar los efectos que sobre el objeto del presente proceso constitucional pueda tener la eventual derogación o modificación de los mismos” (STC 132/2013, de 5 de junio, FJ 1). Por ello, daremos respuesta, en primer lugar a las tachas constitucionales imputadas al procedimiento parlamentario, sin perjuicio de que posteriormente se analicen las concretas vulneraciones de cada uno de los preceptos impugnados.</w:t>
      </w:r>
    </w:p>
    <w:p w:rsidR="00A90898" w:rsidRDefault="00A90898" w:rsidP="00A90898">
      <w:pPr>
        <w:pStyle w:val="TextoNormal"/>
      </w:pPr>
    </w:p>
    <w:p w:rsidR="00A90898" w:rsidRDefault="00A90898" w:rsidP="00A90898">
      <w:pPr>
        <w:pStyle w:val="TextoNormal"/>
      </w:pPr>
      <w:r w:rsidRPr="00A90898">
        <w:rPr>
          <w:rStyle w:val="NumeroAFNegritaCaracter"/>
        </w:rPr>
        <w:t>3</w:t>
      </w:r>
      <w:r>
        <w:t>. El primer bloque de impugnaciones las refieren los Diputados recurrentes a la inobservancia de las normas que regulan el procedimiento legislativo, sosteniendo la inconstitucionalidad de la Ley 1/2013, de 14 de mayo, resultado de la tramitación conjunta de la proposición de la iniciativa legislativa popular de dación en pago, paralización de los desahucios y de alquiler social promovida por la plataforma de afectados por la hipoteca y el texto del proyecto de ley de reforma del Real Decreto-ley 27/2012, de 15 de noviembre, de medidas urgentes para reforzar la protección a los deudores hipotecarios, por vulnerar los arts. 87.3 y 23 CE.</w:t>
      </w:r>
    </w:p>
    <w:p w:rsidR="00A90898" w:rsidRDefault="00A90898" w:rsidP="00A90898">
      <w:pPr>
        <w:pStyle w:val="TextoNormal"/>
      </w:pPr>
    </w:p>
    <w:p w:rsidR="00A90898" w:rsidRDefault="00A90898" w:rsidP="00A90898">
      <w:pPr>
        <w:pStyle w:val="TextoNormal"/>
      </w:pPr>
      <w:r>
        <w:t xml:space="preserve">Los recurrentes, tras relatar la cronología de elaboración de la Ley, alegan la vulneración de los arts. 112, 126.5 y 114 del Reglamento del Congreso de los Diputados (en lo sucesivo RCD) y hacen referencia a diferentes actuaciones desarrolladas en el seno del procedimiento </w:t>
      </w:r>
      <w:r>
        <w:lastRenderedPageBreak/>
        <w:t>legislativo a las que anudan la vulneración de los citados preceptos: la presentación por el Grupo Parlamentario Popular a la iniciativa legislativa popular de dación en pago, paralización de los desahucios y de alquiler social, promovida por la PAH, de enmiendas al articulado que, a juicio de los recurrentes, era una enmienda a la totalidad con texto alternativo que debería haberse tramitado en el Pleno de la Cámara, y su ulterior aprobación con la consiguiente desaparición del texto presentado como iniciativa legislativa popular; la tramitación conjunta de la proposición de la iniciativa legislativa popular de dación en pago, paralización de los desahucios y de alquiler social promovida por la PAH y el texto del proyecto de ley de reforma del Real Decreto-ley 27/2012, de 15 de noviembre, de medidas urgentes para reforzar la protección a los deudores hipotecarios; así como la decisión de la Mesa del Congreso de no someter a deliberación la propuesta de avocación al Pleno de esta iniciativa, lo que comportó la desaparición del texto propuesto por los firmantes de aquella, en comisión, sin participación del Pleno de la Cámara.</w:t>
      </w:r>
    </w:p>
    <w:p w:rsidR="00A90898" w:rsidRDefault="00A90898" w:rsidP="00A90898">
      <w:pPr>
        <w:pStyle w:val="TextoNormal"/>
      </w:pPr>
    </w:p>
    <w:p w:rsidR="00A90898" w:rsidRDefault="00A90898" w:rsidP="00A90898">
      <w:pPr>
        <w:pStyle w:val="TextoNormal"/>
      </w:pPr>
      <w:r>
        <w:t>A los efectos de dar debida respuesta a los motivos de inconstitucionalidad aducidos, debemos tener presente que una constante jurisprudencia constitucional tiene establecido que es carga de quien impugna la ley aportar en la demanda la argumentación suficiente con vistas a fundamentar la inconstitucionalidad denunciada [por todas, STC 191/2016, FJ 2 a)] y, en este caso, no podemos sino advertir que, pese a lo extenso de la demanda en la descripción del procedimiento legislativo que condujo a la aprobación de la Ley 1/2013, ahora impugnada, la misma adolece de generalidad y falta de concreción en cuanto a la determinación de los preceptos del Reglamento del Congreso de los Diputados cuya infracción pudiera comportar la vulneración de la Constitución. Además, cabe observar, también, que en un plano hay que situar las decisiones políticas y el enjuiciamiento político que tales decisiones merezcan, y en otro plano bien distinto la calificación de inconstitucionalidad, que tiene que hacerse con arreglo a criterios estrictamente jurídicos (STC 136/2011, FJ 3), por lo que, sin perjuicio de lo que afirmaremos a continuación, la reprobación que hacen los recurrentes a la tramitación parlamentaria contiene un juicio de evidente valor político, pero no convierte per se a la norma, desde el punto de vista jurídico-constitucional, en contraria a la Constitución.</w:t>
      </w:r>
    </w:p>
    <w:p w:rsidR="00A90898" w:rsidRDefault="00A90898" w:rsidP="00A90898">
      <w:pPr>
        <w:pStyle w:val="TextoNormal"/>
      </w:pPr>
    </w:p>
    <w:p w:rsidR="00A90898" w:rsidRDefault="00A90898" w:rsidP="00A90898">
      <w:pPr>
        <w:pStyle w:val="TextoNormal"/>
      </w:pPr>
      <w:r>
        <w:t xml:space="preserve">Los motivos de inconstitucionalidad aducidos por los recurrentes se circunscriben a la tramitación parlamentaria de la iniciativa legislativa popular una vez había sido admitida a trámite y tomada en consideración. Al respecto, debemos partir de la premisa de que “la iniciativa legislativa popular es un instrumento de democracia directa cuyo ejercicio debe desarrollarse en la forma jurídicamente prevista en cada caso al ser un derecho de configuración legal” y que “la vulneración del art. 23.1 CE no se deriva de la mera existencia de irregularidades en el procedimiento de tramitación con ocasión del ejercicio de la iniciativa, sino de la presencia de una relación causal entre irregularidad procedimental y transgresión del contenido del derecho fundamental, de suerte que se haga evidente la imposibilidad de ejercicio de la iniciativa popular en virtud de obstáculos imprevisibles e insalvables” (STC 19/2015, de 16 de febrero, FJ 2). Además, pese al juicio que pudiera merecer la necesidad de que una vez ejercida la iniciativa legislativa popular, esta iniciativa estuviera vinculada a especialidades en el procedimiento legislativo determinadas por el origen de la misma, lo cierto es que, ateniéndonos a lo dispuesto en el art. 13.2 de la Ley Orgánica 3/1984, de 26 de marzo, reguladora de la iniciativa legislativa popular (Ley Orgánica de iniciativa legislativa popular) y en el art. 127 RCD, el procedimiento legislativo subsiguiente a la toma en consideración es el mismo que el de las demás proposiciones de ley. La única especialidad, </w:t>
      </w:r>
      <w:r>
        <w:lastRenderedPageBreak/>
        <w:t>prevista en la Ley Orgánica 3/1984, en su versión vigente, tras su reforma por Ley Orgánica 3/2015, de 30 de marzo, es que la persona designada por la comisión promotora será llamada a comparecer en la Comisión del Congreso de los Diputados competente por razón de la materia, con carácter previo al debate de toma en consideración por el Pleno, para que exponga los motivos que justifican la presentación de la iniciativa legislativa popular.</w:t>
      </w:r>
    </w:p>
    <w:p w:rsidR="00A90898" w:rsidRDefault="00A90898" w:rsidP="00A90898">
      <w:pPr>
        <w:pStyle w:val="TextoNormal"/>
      </w:pPr>
    </w:p>
    <w:p w:rsidR="00A90898" w:rsidRDefault="00A90898" w:rsidP="00A90898">
      <w:pPr>
        <w:pStyle w:val="TextoNormal"/>
      </w:pPr>
      <w:r>
        <w:t>En efecto, la Ley Orgánica 3/1984 dispone en su art. 13.2 que, “la tramitación parlamentaria se efectuará conforme a lo que dispongan los Reglamentos de las Cámaras. En todo caso, la persona designada por la Comisión promotora será llamada a comparecer en la Comisión del Congreso de los Diputados competente por razón de la materia, con carácter previo al debate de toma en consideración por el Pleno, para que exponga los motivos que justifican la presentación de la iniciativa legislativa popular”. Por su parte, el art. 127 RCD determina que una vez ha verificado la Mesa del Congreso el cumplimiento de los requisitos legalmente establecidos se tramitará conforme a lo dispuesto en el art. 126 RCD que, tras la toma en consideración, determina que “la Mesa de la Cámara acordará su envío a la Comisión competente y la apertura del correspondiente plazo de presentación de enmiendas, sin que, salvo en el supuesto del artículo 125, sean admisibles enmiendas de totalidad de devolución. La proposición seguirá el trámite previsto para los proyectos de ley, correspondiendo a uno de los proponentes o a un Diputado del Grupo autor de la iniciativa la presentación de la misma ante el Pleno”.</w:t>
      </w:r>
    </w:p>
    <w:p w:rsidR="00A90898" w:rsidRDefault="00A90898" w:rsidP="00A90898">
      <w:pPr>
        <w:pStyle w:val="TextoNormal"/>
      </w:pPr>
    </w:p>
    <w:p w:rsidR="00A90898" w:rsidRDefault="00A90898" w:rsidP="00A90898">
      <w:pPr>
        <w:pStyle w:val="TextoNormal"/>
      </w:pPr>
      <w:r>
        <w:t>Desde la perspectiva señalada, debemos constatar que, ateniéndonos a los motivos de inconstitucionalidad aducidos por los recurrentes, ninguna tacha se aduce respecto al concreto ejercicio de la iniciativa legislativa popular que, finalmente, terminó dando lugar a la Ley 1/2013 ahora impugnada. Las irregularidades que se denuncian y que, a juicio de la demanda, comportan la vulneración de los arts. 23.1 y 2 y 87.3 CE se produjeron durante las fases del procedimiento legislativo ulteriores a la toma en consideración, y en los que, como ya hemos señalado, no se ha previsto ninguna especialidad procedimental por razón del origen de la iniciativa como la iniciativa legislativa popular. Consecuentemente, en tanto que no se ha discutido la regularidad del ejercicio de la iniciativa legislativa popular que, tras el trámite ulterior dio lugar a la ley impugnada, y dado que las vulneraciones que se achacan en el procedimiento legislativo no presentan ninguna especialidad por provenir de una iniciativa legislativa popular, debemos descartar la vulneración del art. 87.3 CE.</w:t>
      </w:r>
    </w:p>
    <w:p w:rsidR="00A90898" w:rsidRDefault="00A90898" w:rsidP="00A90898">
      <w:pPr>
        <w:pStyle w:val="TextoNormal"/>
      </w:pPr>
    </w:p>
    <w:p w:rsidR="00A90898" w:rsidRDefault="00A90898" w:rsidP="00A90898">
      <w:pPr>
        <w:pStyle w:val="TextoNormal"/>
      </w:pPr>
      <w:r>
        <w:t>Realizadas dichas consideraciones debemos ahora analizar las vulneraciones que los recurrentes entienden se produjeron en el procedimiento legislativo para lo que hemos de partir de que, según doctrina reiterada de este Tribunal, aunque el art. 28.1 de la Ley Orgánica del Tribunal Constitucional (LOTC) no menciona 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tienen respecto de uno de los valores superiores de nuestro ordenamiento, el pluralismo político (art. 1.1 CE), la inobservancia de los preceptos que regulan el procedimiento legislativo podría viciar de inconstitucionalidad la ley, cuando esa inobservancia altere de modo sustancial el proceso de formación de voluntad en el seno de las Cámaras. Doctrina que se ha de cohonestar con la jurisprudencia constitucional, según la cual, la autonomía parlamentaria garantizada constitucionalmente (art. 72 CE) y la propia naturaleza del art. 23.2 CE como derecho de confi</w:t>
      </w:r>
      <w:r>
        <w:lastRenderedPageBreak/>
        <w:t>guración legal también obligan a otorgar a los Parlamentos y, significativamente, a sus órganos rectores, un margen de aplicación en la interpretación de la legalidad parlamentaria que este Tribunal no puede desconocer [por todas, STC 185/2016, de 3 de noviembre, FJ 5 b)]. En el ejercicio de la autonomía reglamentaria que la Constitución reserva a las Cámaras (art. 72 CE) les corresponde “una función ordenadora de la vida interna de las Asambleas” (SSTC 227/2004, de 29 de noviembre, FJ 2, y 49/2008, de 9 de abril, FJ 15), para articular las fases o procedimientos que se desarrollan en su seno (SSTC 234/2000, de 3 de octubre, FJ 12; 49/2008, de 9 de abril, FJ 15, y 136/2011, de 13 de septiembre, FJ 6).</w:t>
      </w:r>
    </w:p>
    <w:p w:rsidR="00A90898" w:rsidRDefault="00A90898" w:rsidP="00A90898">
      <w:pPr>
        <w:pStyle w:val="TextoNormal"/>
      </w:pPr>
    </w:p>
    <w:p w:rsidR="00A90898" w:rsidRDefault="00A90898" w:rsidP="00A90898">
      <w:pPr>
        <w:pStyle w:val="TextoNormal"/>
      </w:pPr>
      <w:r>
        <w:t>Los datos relevantes en el itinerario procedimental de la Ley aquí impugnada son los siguientes:</w:t>
      </w:r>
    </w:p>
    <w:p w:rsidR="00A90898" w:rsidRDefault="00A90898" w:rsidP="00A90898">
      <w:pPr>
        <w:pStyle w:val="TextoNormal"/>
      </w:pPr>
    </w:p>
    <w:p w:rsidR="00A90898" w:rsidRDefault="00A90898" w:rsidP="00A90898">
      <w:pPr>
        <w:pStyle w:val="TextoNormal"/>
      </w:pPr>
      <w:r>
        <w:t>a) La proposición de ley de regulación de la dación en pago, de paralización de los desahucios y de alquiler social, presentada como iniciativa legislativa popular, fue admitida, y tomada en consideración por el Pleno del Congreso de los Diputados en sesión celebrada el 12 de febrero de 2013 (“Boletín Oficial de las Cortes Generales. Congreso de los Diputados” núm. B-102-2 de 15 de febrero de 2013). La Mesa de la Cámara en su reunión de 19 de febrero de 2013, acordó encomendar su aprobación con competencia legislativa plena y por el procedimiento de urgencia, a la Comisión de economía y competitividad, así como, de conformidad con lo dispuesto en el artículo 126.5 y 93 del Reglamento, abrir el plazo de presentación de enmiendas, que se publicaron en el “Boletín Oficial de las Cortes Generales. Congreso de los Diputados” núm. B-102-4 de 2 de abril de 2013.</w:t>
      </w:r>
    </w:p>
    <w:p w:rsidR="00A90898" w:rsidRDefault="00A90898" w:rsidP="00A90898">
      <w:pPr>
        <w:pStyle w:val="TextoNormal"/>
      </w:pPr>
    </w:p>
    <w:p w:rsidR="00A90898" w:rsidRDefault="00A90898" w:rsidP="00A90898">
      <w:pPr>
        <w:pStyle w:val="TextoNormal"/>
      </w:pPr>
      <w:r>
        <w:t>b) Reunida la ponencia, se publicó el Informe conjunto emitido por las ponencias sobre el proyecto de ley de medidas urgentes para reforzar la protección a los deudores hipotecarios (procedente del Real Decreto-ley 27/2012, de 15 de noviembre) (núm. expediente 121-000031), y la proposición de ley de regulación de la dación en pago, de paralización de los desahucios y de alquiler social (núm. expediente 120-000006). El nuevo texto resultante de la unificación de las iniciativas citadas se denominó proposición de ley de medidas para reforzar la protección a los deudores hipotecarios, reestructuración de deuda y alquiler social (núm. expediente 122-000101. Las ponencias encargadas de redactar los informes sobre las referidas iniciativas legislativas, reunidas conjuntamente, acordaron con el voto a favor del Grupo Parlamentario Popular y el voto en contra del Grupo Parlamentario Catalán (CiU), del Grupo Parlamentario de Unión Progreso y Democracia (UPyD), del Grupo Parlamentario de Izquierda Plural, del Grupo Parlamentario Mixto y del Grupo Parlamentario Socialista, proponer a la Comisión un texto único con el siguiente título “proposición de ley de medidas para reforzar la protección a los deudores hipotecarios, reestructuración de deuda y alquiler social” (“Boletín Oficial de las Cortes Generales Congreso de los Diputados” núm. B-119-1 de 22 de abril de 2013).</w:t>
      </w:r>
    </w:p>
    <w:p w:rsidR="00A90898" w:rsidRDefault="00A90898" w:rsidP="00A90898">
      <w:pPr>
        <w:pStyle w:val="TextoNormal"/>
      </w:pPr>
    </w:p>
    <w:p w:rsidR="00A90898" w:rsidRDefault="00A90898" w:rsidP="00A90898">
      <w:pPr>
        <w:pStyle w:val="TextoNormal"/>
      </w:pPr>
      <w:r>
        <w:t>c) El Grupo Parlamentario Socialista solicitó, el 12 de abril de 2013, la avocación por el Pleno de la Cámara de la deliberación y votación final de la proposición de ley de medidas para reforzar la protección a los deudores hipotecarios, reestructuración de deuda y alquiler social.</w:t>
      </w:r>
    </w:p>
    <w:p w:rsidR="00A90898" w:rsidRDefault="00A90898" w:rsidP="00A90898">
      <w:pPr>
        <w:pStyle w:val="TextoNormal"/>
      </w:pPr>
    </w:p>
    <w:p w:rsidR="00A90898" w:rsidRDefault="00A90898" w:rsidP="00A90898">
      <w:pPr>
        <w:pStyle w:val="TextoNormal"/>
      </w:pPr>
      <w:r>
        <w:t>d) La Comisión de economía y competitividad, con competencia legislativa plena, aprobó la misma.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Las vulneraciones denunciadas, como se ha expuesto, se concretan, fundamentalmente, en la presentación por el Grupo Parlamentario Popular de enmiendas al articulado a la proposición de ley de iniciativa legislativa popular que, a juicio de los recurrentes, en realidad era una enmienda a la totalidad con texto alternativo; la tramitación conjunta de la proposición de la iniciativa legislativa popular de dación en pago, paralización de los desahucios y de alquiler social promovida por la plataforma de afectados por la hipoteca y el texto del proyecto de ley de reforma del Real Decreto-ley 27/2012, de 15 de noviembre, de medidas urgentes para reforzar la protección a los deudores hipotecarios; así como la decisión de la Mesa del Congreso de no someter a deliberación la propuesta de avocación al Pleno de esta iniciativa, lo que comportó la desaparición del texto propuesto por los firmantes de aquella, en comisión sin participación del Pleno de la Cámara. A dichas actuaciones se anuda la vulneración de los arts. 23.1 y 2 y 87.3 CE así como la infracción de los arts. 112 y 126.5 y 114 RCD.</w:t>
      </w:r>
    </w:p>
    <w:p w:rsidR="00A90898" w:rsidRDefault="00A90898" w:rsidP="00A90898">
      <w:pPr>
        <w:pStyle w:val="TextoNormal"/>
      </w:pPr>
    </w:p>
    <w:p w:rsidR="00A90898" w:rsidRDefault="00A90898" w:rsidP="00A90898">
      <w:pPr>
        <w:pStyle w:val="TextoNormal"/>
      </w:pPr>
      <w:r>
        <w:t>A la vista de las alegaciones realizadas, debemos recordar que, en su análisis este Tribunal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[en un sentido similar, SSTC 153/2016, de 22 de septiembre, FJ 3, y 185/2016, FJ 5 c)].</w:t>
      </w:r>
    </w:p>
    <w:p w:rsidR="00A90898" w:rsidRDefault="00A90898" w:rsidP="00A90898">
      <w:pPr>
        <w:pStyle w:val="TextoNormal"/>
      </w:pPr>
    </w:p>
    <w:p w:rsidR="00A90898" w:rsidRDefault="00A90898" w:rsidP="00A90898">
      <w:pPr>
        <w:pStyle w:val="TextoNormal"/>
      </w:pPr>
      <w:r>
        <w:t>i) La denuncia de la vulneración de los arts. 112 y 126.5 RCD y de los arts. 23 y 87.3 CE, por la presentación por el Grupo Parlamentario Popular de enmiendas al articulado que, a juicio de los recurrentes eran una enmienda a la totalidad con texto alternativo que, en su consecuencia, privó al Pleno de su deliberación, y su ulterior aprobación que comportó la desaparición del texto, no puede prosperar, en los términos en los que está expresado en la demanda, que se vincula con la imposibilidad de los grupos de la minoría de ejercer su función. Al respecto, debemos recordar que si bien la materia y el objeto del procedimiento lo delimita el autor de la iniciativa legislativa, ello no obsta a que a través del ejercicio del derecho de enmienda los representantes de los ciudadanos puedan incidir en el texto de la iniciativa, rechazándolo (enmienda de totalidad con devolución del texto), alterándolo (enmienda de totalidad con proposición de texto alternativo) o modificándolo (enmiendas parciales de modificación, supresión o adición) (STC 136/2011, de 13 de septiembre, FJ 6). A ello ha de añadirse que, como ya dijimos en la STC 129/2013, de 4 de junio, “el principio democrático consagrado por nuestra Constitución (art. 1.1 CE) impone que la formación de la voluntad se articule a través de un procedimiento en el que opera el principio mayoritario y, por tanto, la consecución de una determinada mayoría como fórmula para la integración de voluntades concurrentes" [SSTC 136/2011, de 13 de septiembre, FJ 5; 176/2011, de 8 de noviembre, FJ 2 c), y 209/2012, 14 de noviembre, FJ 2].</w:t>
      </w:r>
    </w:p>
    <w:p w:rsidR="00A90898" w:rsidRDefault="00A90898" w:rsidP="00A90898">
      <w:pPr>
        <w:pStyle w:val="TextoNormal"/>
      </w:pPr>
    </w:p>
    <w:p w:rsidR="00A90898" w:rsidRDefault="00A90898" w:rsidP="00A90898">
      <w:pPr>
        <w:pStyle w:val="TextoNormal"/>
      </w:pPr>
      <w:r>
        <w:t>Por lo tanto, el hecho de que el grupo parlamentario mayoritario hubiera presentado enmiendas, que no se entendieron por el órgano que tiene encomendada la función de calificación y admisión de las mismas como una enmienda a la totalidad con texto alternativo, y que se aprobasen las mismas, no comporta, por las razones aducidas por los recurrentes vulneración constitucional alguna, sino que deriva del derecho de enmienda y del principio mayoritario, en los términos anteriormente señalados.</w:t>
      </w:r>
    </w:p>
    <w:p w:rsidR="00A90898" w:rsidRDefault="00A90898" w:rsidP="00A90898">
      <w:pPr>
        <w:pStyle w:val="TextoNormal"/>
      </w:pPr>
    </w:p>
    <w:p w:rsidR="00A90898" w:rsidRDefault="00A90898" w:rsidP="00A90898">
      <w:pPr>
        <w:pStyle w:val="TextoNormal"/>
      </w:pPr>
      <w:r>
        <w:lastRenderedPageBreak/>
        <w:t>A mayor abundamiento, los arts. 112 y 126.5 RCD determinan, como aducen los recurrentes, que las enmiendas a la totalidad que se presenten a las proposiciones de ley se deliberen en el Pleno. Sin embargo, no se presentó ninguna enmienda a la totalidad a la proposición de la iniciativa legislativa popular de dación en pago, por lo que ninguna vulneración se pudo producir de dichos preceptos. Y el Reglamento del Congreso de los Diputados no impide la presentación de enmiendas a todos los artículos y el hecho de que equivalga a una enmienda a la totalidad con texto alternativo es una valoración del recurrente por lo que no puede tenerse en cuenta. Consecuentemente, debemos desestimar este motivo de impugnación.</w:t>
      </w:r>
    </w:p>
    <w:p w:rsidR="00A90898" w:rsidRDefault="00A90898" w:rsidP="00A90898">
      <w:pPr>
        <w:pStyle w:val="TextoNormal"/>
      </w:pPr>
    </w:p>
    <w:p w:rsidR="00A90898" w:rsidRDefault="00A90898" w:rsidP="00A90898">
      <w:pPr>
        <w:pStyle w:val="TextoNormal"/>
      </w:pPr>
      <w:r>
        <w:t>ii) En segundo lugar, respecto a la tramitación conjunta de ambas iniciativas, según consta en la demanda, dicha tramitación se decidió por la Mesa y Portavoces de la Comisión de economía y competitividad, convocada para tratar de la tramitación de la iniciativa, que decidió, a su vez, convocar conjuntamente ambas ponencias, pese a la oposición del Grupo Socialista.</w:t>
      </w:r>
    </w:p>
    <w:p w:rsidR="00A90898" w:rsidRDefault="00A90898" w:rsidP="00A90898">
      <w:pPr>
        <w:pStyle w:val="TextoNormal"/>
      </w:pPr>
    </w:p>
    <w:p w:rsidR="00A90898" w:rsidRDefault="00A90898" w:rsidP="00A90898">
      <w:pPr>
        <w:pStyle w:val="TextoNormal"/>
      </w:pPr>
      <w:r>
        <w:t>La posibilidad de tramitación conjunta de dos iniciativas legislativas no está expresamente prevista en el Reglamento del Congreso de los Diputados, pero tampoco se establece su prohibición en ningún precepto del mismo. La adopción de dicha decisión de tramitación conjunta por la Mesa de la Comisión y las correspondientes ponencias ha de enmarcarse, en consecuencia, en el ámbito de la autonomía parlamentaria garantizada constitucionalmente (art. 72 CE), ya que, como hemos señalado, en el ejercicio de la autonomía reglamentaria que la Constitución reserva a las Cámaras les corresponde una función ordenadora de la vida interna de las Asambleas para articular las fases o procedimientos que se desarrollan en su seno. Asimismo, el Letrado de las Cortes Generales entiende que existe un uso parlamentario conforme al cual se adoptó la decisión de tramitación conjunta de las iniciativas. La acreditación de ese uso parlamentario de tramitación conjunta de iniciativas legislativas que coinciden temporal y materialmente en situaciones previas “es otro elemento que debe tomarse en consideración en defensa de que se está ante una interpretación y aplicación de la normativa parlamentaria que cuenta con sustento en la comunidad jurídica parlamentaria” (STC 143/2016, de 19 de septiembre, FJ 5).</w:t>
      </w:r>
    </w:p>
    <w:p w:rsidR="00A90898" w:rsidRDefault="00A90898" w:rsidP="00A90898">
      <w:pPr>
        <w:pStyle w:val="TextoNormal"/>
      </w:pPr>
    </w:p>
    <w:p w:rsidR="00A90898" w:rsidRDefault="00A90898" w:rsidP="00A90898">
      <w:pPr>
        <w:pStyle w:val="TextoNormal"/>
      </w:pPr>
      <w:r>
        <w:t>En todo caso, debemos de partir, como ya hemos afirmado en relación con el derecho de enmienda, que el autor de la iniciativa (art. 87 CE), tiene la prerrogativa de decidir qué materias serán sometidas al conocimiento, debate, y, en su caso, aprobación de las Cortes Generales (STC 136/2011, FJ 8). Por lo tanto, en la tramitación conjunta de dos iniciativas legislativas es exigible, como en el ejercicio de derecho de enmienda, que exista una conexión material entre ambas iniciativas (por todas, STC 216/2015, FJ 5).</w:t>
      </w:r>
    </w:p>
    <w:p w:rsidR="00A90898" w:rsidRDefault="00A90898" w:rsidP="00A90898">
      <w:pPr>
        <w:pStyle w:val="TextoNormal"/>
      </w:pPr>
    </w:p>
    <w:p w:rsidR="00A90898" w:rsidRDefault="00A90898" w:rsidP="00A90898">
      <w:pPr>
        <w:pStyle w:val="TextoNormal"/>
      </w:pPr>
      <w:r>
        <w:t xml:space="preserve">En este caso las normas contenidas en la iniciativa legislativa popular y las del proyecto de ley ya en tramitación (de reforma del Real Decreto-ley 27/2012, de 15 de noviembre, de medidas urgentes para reforzar la protección de los deudores hipotecarios), hacen referencia a medidas procesales, económicas y sociales dirigidas a paliar y proteger en el marco de la situación de crisis económica existente a los deudores hipotecarios y a los arrendatarios, de las graves consecuencias que incidieron especialmente en un concreto segmento de población que, por sus particulares condiciones de exclusión social, se encontraban en una situación de especial vulnerabilidad. Ambos textos, por consiguiente, no solo no están huérfanos de la necesaria conexión material (STC 136/2011, de 13 de septiembre, FJ 8), sino que eran </w:t>
      </w:r>
      <w:r>
        <w:lastRenderedPageBreak/>
        <w:t>congruentes con su objeto, espíritu y fines esenciales (ATC 118/1999, de 10 de mayo, FJ 4), aunque las medidas previstas en cada uno no fueran idénticas.</w:t>
      </w:r>
    </w:p>
    <w:p w:rsidR="00A90898" w:rsidRDefault="00A90898" w:rsidP="00A90898">
      <w:pPr>
        <w:pStyle w:val="TextoNormal"/>
      </w:pPr>
    </w:p>
    <w:p w:rsidR="00A90898" w:rsidRDefault="00A90898" w:rsidP="00A90898">
      <w:pPr>
        <w:pStyle w:val="TextoNormal"/>
      </w:pPr>
      <w:r>
        <w:t>Tampoco es relevante la falta de consenso de los grupos parlamentarios en orden a la tramitación de las referidas iniciativas legislativas (en un sentido similar, STC 185/2016, FJ 5), pues la decisión ha sido adoptada por los órganos competentes y por mayoría, lo que los recurrentes no cuestionan.</w:t>
      </w:r>
    </w:p>
    <w:p w:rsidR="00A90898" w:rsidRDefault="00A90898" w:rsidP="00A90898">
      <w:pPr>
        <w:pStyle w:val="TextoNormal"/>
      </w:pPr>
    </w:p>
    <w:p w:rsidR="00A90898" w:rsidRDefault="00A90898" w:rsidP="00A90898">
      <w:pPr>
        <w:pStyle w:val="TextoNormal"/>
      </w:pPr>
      <w:r>
        <w:t>Debemos descartar, finalmente, la vulneración del art. 114 RCD en los términos que se formula ya que no se alega que la deliberación en comisión no se produjera en los términos previstos en el citado precepto sino que los grupos parlamentarios no tuvieron la posibilidad de debatir el texto articulado de la iniciativa legislativa popular como consecuencia de la refundición del mismo con el proyecto de ley, tramitación conjunta que, ya hemos descartado comporte las vulneraciones aducidas por los recurrentes.</w:t>
      </w:r>
    </w:p>
    <w:p w:rsidR="00A90898" w:rsidRDefault="00A90898" w:rsidP="00A90898">
      <w:pPr>
        <w:pStyle w:val="TextoNormal"/>
      </w:pPr>
    </w:p>
    <w:p w:rsidR="00A90898" w:rsidRDefault="00A90898" w:rsidP="00A90898">
      <w:pPr>
        <w:pStyle w:val="TextoNormal"/>
      </w:pPr>
      <w:r>
        <w:t>iii) Finalmente, en cuanto a la inadmisión de la solicitud de avocación al Pleno de la deliberación de la proposición de ley resultante de la tramitación conjunta de ambas iniciativas, los recurrentes se limitan a mencionarla, sin aducir la vulneración de ningún precepto del Reglamento del Congreso de los Diputados ni aportar razonamiento alguno de la infracción de procedimiento que hubiera comportado la misma por lo que debemos descartar de plano la vulneración aducida.</w:t>
      </w:r>
    </w:p>
    <w:p w:rsidR="00A90898" w:rsidRDefault="00A90898" w:rsidP="00A90898">
      <w:pPr>
        <w:pStyle w:val="TextoNormal"/>
      </w:pPr>
    </w:p>
    <w:p w:rsidR="00A90898" w:rsidRDefault="00A90898" w:rsidP="00A90898">
      <w:pPr>
        <w:pStyle w:val="TextoNormal"/>
      </w:pPr>
      <w:r>
        <w:t xml:space="preserve">Tampoco observamos una sustracción de los derechos derivados del ejercicio de la función representativa contenidos en el art. 23.2 CE, pues se ejercieron sin restricción, no sólo en el momento de la presentación y admisión de la iniciativa legislativa popular por la Mesa, sino que, una vez pasado el texto a la comisión parlamentaria, se presentaron enmiendas a los proyectos posteriormente acumulados y se abrió turno para la intervención en el debate, en la ponencia y en las subsiguientes fases de la tramitación en la Comisión de economía y competitividad del texto unificado propuesto. Recordemos finalmente, de nuevo, que estamos en presencia de un derecho de configuración legal, y que esa configuración corresponde a los Reglamentos parlamentarios, a los que compete regular y ordenar los derechos y atribuciones que ostentan sus miembros (STC 27/2000, de 31 de enero, FJ 4). Todo lo cual nos lleva a desestimar la alegación de los recurrentes, porque las facultades que reclaman como integrantes de su </w:t>
      </w:r>
      <w:r w:rsidRPr="00A90898">
        <w:rPr>
          <w:i/>
        </w:rPr>
        <w:t>ius in officium</w:t>
      </w:r>
      <w:r>
        <w:t>, sencillamente no están reconocidas como tales en el Reglamento parlamentario, no existiendo tampoco cobertura legal alguna para la pretensión de los recurrentes de mantenimiento del texto íntegro que se presentó como iniciativa legislativa popular.</w:t>
      </w:r>
    </w:p>
    <w:p w:rsidR="00A90898" w:rsidRDefault="00A90898" w:rsidP="00A90898">
      <w:pPr>
        <w:pStyle w:val="TextoNormal"/>
      </w:pPr>
    </w:p>
    <w:p w:rsidR="00A90898" w:rsidRDefault="00A90898" w:rsidP="00A90898">
      <w:pPr>
        <w:pStyle w:val="TextoNormal"/>
      </w:pPr>
      <w:r>
        <w:t>De acuerdo con las consideraciones anteriores, debe descartarse la existencia de lesión por vicios en el procedimiento de aprobación de la Ley 1/2013, de 14 de mayo, de medidas para reforzar la protección a los deudores hipotecarios, reestructuración de deuda y alquiler social, en los términos alegados por los recurrentes.</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El segundo bloque de impugnaciones lo constituyen los arts. 1; 3, apartado 3 (así como las referencias e incisos en la Ley al procedimiento de ejecución o venta extrajudicial, que se contiene en los arts. 1, 2, disposición adicional cuarta, disposiciones transitorias primera, segunda y quinta; y disposición final primera); art. 7, apartados 1 y 14; art. 8.2; disposición adicional primera; y disposiciones transitorias primera, segunda y cuarta, los cuales, a juicio </w:t>
      </w:r>
      <w:r>
        <w:lastRenderedPageBreak/>
        <w:t>de los Diputados recurrentes, vulneran los derechos a la inviolabilidad del domicilio (art. 18.2 CE), a la igualdad (art. 14 CE), a una vivienda digna (art. 47 CE) y a la tutela judicial efectiva (art. 24 CE), con infracción del art. 51 CE por la inobservancia del Derecho de la Unión.</w:t>
      </w:r>
    </w:p>
    <w:p w:rsidR="00A90898" w:rsidRDefault="00A90898" w:rsidP="00A90898">
      <w:pPr>
        <w:pStyle w:val="TextoNormal"/>
      </w:pPr>
    </w:p>
    <w:p w:rsidR="00A90898" w:rsidRDefault="00A90898" w:rsidP="00A90898">
      <w:pPr>
        <w:pStyle w:val="TextoNormal"/>
      </w:pPr>
      <w:r>
        <w:t>Ya hemos advertido en el fundamento jurídico 2 que la mayor parte de los preceptos impugnados se encuentran derogados por las numerosas modificaciones legislativas posteriores, a las que haremos referencia a continuación, y ello priva de objeto a las impugnaciones realizadas por los Diputados recurrentes. Debemos por ello insistir en lo que atañe a los recursos de inconstitucionalidad que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salvo cuando la controversia se suscite sobre el carácter orgánico de un precepto o sobre motivos competenciales.</w:t>
      </w:r>
    </w:p>
    <w:p w:rsidR="00A90898" w:rsidRDefault="00A90898" w:rsidP="00A90898">
      <w:pPr>
        <w:pStyle w:val="TextoNormal"/>
      </w:pPr>
    </w:p>
    <w:p w:rsidR="00A90898" w:rsidRDefault="00A90898" w:rsidP="00A90898">
      <w:pPr>
        <w:pStyle w:val="TextoNormal"/>
      </w:pPr>
      <w:r>
        <w:t>En este caso, al encontrarnos en el ámbito del recurso abstracto de inconstitucionalidad que, en atención a los motivos de impugnación no plantea una controversia competencial, la derogación de los preceptos hace desaparecer sobrevenidamente el objeto de la impugnación.</w:t>
      </w:r>
    </w:p>
    <w:p w:rsidR="00A90898" w:rsidRDefault="00A90898" w:rsidP="00A90898">
      <w:pPr>
        <w:pStyle w:val="TextoNormal"/>
      </w:pPr>
    </w:p>
    <w:p w:rsidR="00A90898" w:rsidRDefault="00A90898" w:rsidP="00A90898">
      <w:pPr>
        <w:pStyle w:val="TextoNormal"/>
      </w:pPr>
      <w:r>
        <w:t>De este modo, procedemos al análisis de los antecedentes, contenido y sucesivas modificaciones de las disposiciones normativas objeto del presente recurso, con la finalidad de aclarar si se ha producido la derogación y subsiguiente pérdida de objeto.</w:t>
      </w:r>
    </w:p>
    <w:p w:rsidR="00A90898" w:rsidRDefault="00A90898" w:rsidP="00A90898">
      <w:pPr>
        <w:pStyle w:val="TextoNormal"/>
      </w:pPr>
    </w:p>
    <w:p w:rsidR="00A90898" w:rsidRDefault="00A90898" w:rsidP="00A90898">
      <w:pPr>
        <w:pStyle w:val="TextoNormal"/>
      </w:pPr>
      <w:r>
        <w:t>a) Tomamos para ello como punto de partida los apartados 1, 2 y 3 del art. 1 de la Ley 1/2013, de 14 de mayo, sobre los plazos y supuestos de suspensión de los lanzamientos, que han sido derogados y sustituidos completamente, primero, por el art. 3 del Real Decreto-ley 1/2015, de 27 febrero, de mecanismo de segunda oportunidad, reducción de carga financiera y otras medidas de orden social, vigente entre el 1 de marzo y el 29 de julio de 2015; y, posteriormente, por el art. 3 de Ley 25/2015, de 28 julio, de mecanismo de segunda oportunidad, reducción de la carga financiera y otras medidas de orden social, vigente desde el 30 de julio de 2015. Por otra parte la redacción dada por el apartado 2 del art. 8 de la Ley 1/2013, al art. 3 del Real Decreto-ley 6/2012, de 9 de marzo, de medidas urgentes de protección de deudores hipotecarios sin recursos, que contempla los requisitos para considerar deudores hipotecarios en el umbral de exclusión, se ha visto completamente sustituida por la modificación operada primero por el art. 2.1 del citado Real Decreto-ley 1/2015, de 27 febrero, y después por el art. 2.1 de la también mencionada Ley 25/2015, de 28 julio.</w:t>
      </w:r>
    </w:p>
    <w:p w:rsidR="00A90898" w:rsidRDefault="00A90898" w:rsidP="00A90898">
      <w:pPr>
        <w:pStyle w:val="TextoNormal"/>
      </w:pPr>
    </w:p>
    <w:p w:rsidR="00A90898" w:rsidRDefault="00A90898" w:rsidP="00A90898">
      <w:pPr>
        <w:pStyle w:val="TextoNormal"/>
      </w:pPr>
      <w:r>
        <w:t xml:space="preserve">En aplicación de los criterios antes expuestos respecto a la pérdida de objeto de los recursos de inconstitucionalidad, hemos de apreciar la desaparición del objeto del recurso en relación con las vulneraciones constitucionales que se les imputan a los apartados 1, 2 y 3 </w:t>
      </w:r>
      <w:r>
        <w:lastRenderedPageBreak/>
        <w:t>del art. 1 de la Ley 1/2013, de 14 de mayo, y al apartado dos del art. 8, pues tales quejas han desaparecido de modo sobrevenido, en cuanto que tales preceptos han sido íntegramente sustituidos, sin que nos encontremos en ninguna de las excepciones que contempla nuestra doctrina. Tratándose de una impugnación por motivos no competenciales, según reiterada doctrina de este Tribunal, la derogación o modificación de los mismos hace desaparecer el objeto del recurso de inconstitucionalidad en lo que a ellos se refiere (por todas, 223/2012, de 29 de noviembre, FJ 3), pues, como que ya se indicó, basta para determinar que la impugnación de tales preceptos pierda objeto, el hecho de que ya no estén en vigor, debido a la ley posterior que ha modificado la regulación.</w:t>
      </w:r>
    </w:p>
    <w:p w:rsidR="00A90898" w:rsidRDefault="00A90898" w:rsidP="00A90898">
      <w:pPr>
        <w:pStyle w:val="TextoNormal"/>
      </w:pPr>
    </w:p>
    <w:p w:rsidR="00A90898" w:rsidRDefault="00A90898" w:rsidP="00A90898">
      <w:pPr>
        <w:pStyle w:val="TextoNormal"/>
      </w:pPr>
      <w:r>
        <w:t>b) Otro tanto cabe afirmar respecto al apartado 3 del art. 3, y la disposición adicional cuarta y transitorias primera, segunda y quinta y disposición final primera (en cuanto hacen referencia al procedimiento de venta extrajudicial) de la Ley 1/2013, de 14 de mayo, que modifican el art. 129 de la Ley hipotecaria, pues este precepto se ha visto de nuevo redactado por la disposición final tercera de la Ley 19/2015, de 13 de julio, de medidas de reforma administrativa en el ámbito de la Administración de Justicia y del Registro Civil, cuya entrada en vigor data del 15 de octubre de 2015. De este modo no teniendo la impugnación naturaleza competencial, la modificación de las normas tiene un efecto extintivo del recurso de inconstitucionalidad, debiendo recordarse que “el alcance de dicha modificación resulta absolutamente irrelevante a los efectos del presente recurso” (por todas, STC 223/2012, de 29 de noviembre, FJ 3).</w:t>
      </w:r>
    </w:p>
    <w:p w:rsidR="00A90898" w:rsidRDefault="00A90898" w:rsidP="00A90898">
      <w:pPr>
        <w:pStyle w:val="TextoNormal"/>
      </w:pPr>
    </w:p>
    <w:p w:rsidR="00A90898" w:rsidRDefault="00A90898" w:rsidP="00A90898">
      <w:pPr>
        <w:pStyle w:val="TextoNormal"/>
      </w:pPr>
      <w:r>
        <w:t>c) Idénticos argumentos se proyectan sobre los apartados 1 y 14 del art 7 de la Ley impugnada, que modifican respectivamente el apartado primero del art. 552 LEC y el art. 695 LEC y que se han visto alterados por la entrada en vigor de las disposiciones finales cuarta en su apartado primero de la Ley 8/2013, de 26 junio, de rehabilitación, regeneración y renovación urbanas y por el apartado 61 del artículo único de la Ley 42/2015, de 5 de octubre, de reforma de la Ley 1/2000, de 7 de enero, de enjuiciamiento civil, y posteriormente por las respectivas disposiciones final tercera tanto del Real Decreto-ley 11/2014, de 5 de septiembre, como de la Ley 9/2015, de 25 de mayo, sufriendo el recurso en este sentido, la pérdida de objeto.</w:t>
      </w:r>
    </w:p>
    <w:p w:rsidR="00A90898" w:rsidRDefault="00A90898" w:rsidP="00A90898">
      <w:pPr>
        <w:pStyle w:val="TextoNormal"/>
      </w:pPr>
    </w:p>
    <w:p w:rsidR="00A90898" w:rsidRDefault="00A90898" w:rsidP="00A90898">
      <w:pPr>
        <w:pStyle w:val="TextoNormal"/>
      </w:pPr>
      <w:r>
        <w:t>d) Por último, la disposición adicional primera de la Ley 1/2013, que preveía la constitución de un fondo social de viviendas propiedad de las entidades financieras, también ha perdido vigencia, en primer término, por la disposición final decimoséptima de la Ley 8/2013, de 26 de junio, de rehabilitación, regeneración y renovación urbanas y, posteriormente, por la disposición final cuarta de Ley 9/2015 de 25 mayo, vigente desde el pasado 27 de mayo de 2015.</w:t>
      </w:r>
    </w:p>
    <w:p w:rsidR="00A90898" w:rsidRDefault="00A90898" w:rsidP="00A90898">
      <w:pPr>
        <w:pStyle w:val="TextoNormal"/>
      </w:pPr>
    </w:p>
    <w:p w:rsidR="00A90898" w:rsidRDefault="00A90898" w:rsidP="00A90898">
      <w:pPr>
        <w:pStyle w:val="TextoNormal"/>
      </w:pPr>
      <w:r>
        <w:t>En virtud, de lo expuesto y en aplicación de nuestra doctrina, se ha de declarar la pérdida de objeto de los apartados 1, 2 y 3 del art. 1; apartado 3 del art. 3; apartados 1 y 14 del art 7; apartado 2 del art. 8 y disposición adicional primera todos ellos de la Ley 1/2013, de 14 de mayo, de medidas para reforzar la protección a los deudores hipotecarios, reestructuración de deuda y alquiler social, pues el recurso carece de contenido competencial y las normas cuestionadas carecen de vigencia alguna al haber sido sustituidas por las sucesivas reformas.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Debemos pasar ahora a analizar las impugnaciones de las disposiciones transitorias primera, y segunda de la Ley 1/2013, de 14 de mayo, por infracción de los arts. 9.3, 24 y 51 CE, cuyo contenido se trascribe a continuación:</w:t>
      </w:r>
    </w:p>
    <w:p w:rsidR="00A90898" w:rsidRDefault="00A90898" w:rsidP="00A90898">
      <w:pPr>
        <w:pStyle w:val="TextoNormal"/>
      </w:pPr>
    </w:p>
    <w:p w:rsidR="00A90898" w:rsidRDefault="00A90898" w:rsidP="00A90898">
      <w:pPr>
        <w:pStyle w:val="TextoNormal"/>
      </w:pPr>
      <w:r>
        <w:t>a) La disposición transitoria primera indica:</w:t>
      </w:r>
    </w:p>
    <w:p w:rsidR="00A90898" w:rsidRDefault="00A90898" w:rsidP="00A90898">
      <w:pPr>
        <w:pStyle w:val="TextoNormal"/>
      </w:pPr>
    </w:p>
    <w:p w:rsidR="00A90898" w:rsidRDefault="00A90898" w:rsidP="00A90898">
      <w:pPr>
        <w:pStyle w:val="TextoNormal"/>
      </w:pPr>
      <w:r>
        <w:t>“Esta Ley será de aplicación a los procesos judiciales o extrajudiciales de ejecución hipotecaria que se hubieran iniciado a la entrada en vigor de la misma, en los que no se hubiese ejecutado el lanzamiento.”</w:t>
      </w:r>
    </w:p>
    <w:p w:rsidR="00A90898" w:rsidRDefault="00A90898" w:rsidP="00A90898">
      <w:pPr>
        <w:pStyle w:val="TextoNormal"/>
      </w:pPr>
    </w:p>
    <w:p w:rsidR="00A90898" w:rsidRDefault="00A90898" w:rsidP="00A90898">
      <w:pPr>
        <w:pStyle w:val="TextoNormal"/>
      </w:pPr>
      <w:r>
        <w:t>b) La disposición transitoria segunda refiere:</w:t>
      </w:r>
    </w:p>
    <w:p w:rsidR="00A90898" w:rsidRDefault="00A90898" w:rsidP="00A90898">
      <w:pPr>
        <w:pStyle w:val="TextoNormal"/>
      </w:pPr>
    </w:p>
    <w:p w:rsidR="00A90898" w:rsidRDefault="00A90898" w:rsidP="00A90898">
      <w:pPr>
        <w:pStyle w:val="TextoNormal"/>
      </w:pPr>
      <w:r>
        <w:t>“La limitación de los intereses de demora de hipotecas constituidas sobre vivienda habitual prevista en el artículo 3 apartado 2 será de aplicación a las hipotecas constituidas con posterioridad a la entrada en vigor de esta Ley.</w:t>
      </w:r>
    </w:p>
    <w:p w:rsidR="00A90898" w:rsidRDefault="00A90898" w:rsidP="00A90898">
      <w:pPr>
        <w:pStyle w:val="TextoNormal"/>
      </w:pPr>
    </w:p>
    <w:p w:rsidR="00A90898" w:rsidRDefault="00A90898" w:rsidP="00A90898">
      <w:pPr>
        <w:pStyle w:val="TextoNormal"/>
      </w:pPr>
      <w:r>
        <w:t>Asimismo, dicha limitación será de aplicación a los intereses de demora previstos en los préstamos con garantía de hipoteca sobre vivienda habitual, constituidos antes de la entrada en vigor de la Ley, que se devenguen con posterioridad a la misma, así como a los que habiéndose devengado en dicha fecha no hubieran sido satisfechos.</w:t>
      </w:r>
    </w:p>
    <w:p w:rsidR="00A90898" w:rsidRDefault="00A90898" w:rsidP="00A90898">
      <w:pPr>
        <w:pStyle w:val="TextoNormal"/>
      </w:pPr>
    </w:p>
    <w:p w:rsidR="00A90898" w:rsidRDefault="00A90898" w:rsidP="00A90898">
      <w:pPr>
        <w:pStyle w:val="TextoNormal"/>
      </w:pPr>
      <w:r>
        <w:t>En los procedimientos de ejecución o venta extrajudicial iniciados y no concluidos a la entrada en vigor de esta Ley, y en los que se haya fijado ya la cantidad por la que se solicita que se despache ejecución o la venta extrajudicial, el Secretario judicial o el Notario dará al ejecutante un plazo de diez días para que recalcule aquella cantidad conforme a lo dispuesto en el apartado anterior.”</w:t>
      </w:r>
    </w:p>
    <w:p w:rsidR="00A90898" w:rsidRDefault="00A90898" w:rsidP="00A90898">
      <w:pPr>
        <w:pStyle w:val="TextoNormal"/>
      </w:pPr>
    </w:p>
    <w:p w:rsidR="00A90898" w:rsidRDefault="00A90898" w:rsidP="00A90898">
      <w:pPr>
        <w:pStyle w:val="TextoNormal"/>
      </w:pPr>
      <w:r>
        <w:t>Antes de abordar la resolución de esta cuestión resulta necesario comprobar sí la impugnación de esas dos disposiciones transitorias se acompaña con una fundamentación que permita a la parte, a la que asiste el derecho de defensa (en este caso, al Abogado del Estado), así como a este Tribunal, conocer las razones por las cuales los recurrentes entienden que las disposiciones cuestionadas vulneran el orden constitucional (STC 103/2013, de 25 de abril, FJ 7). Tal carga alegatoria es una condición inexcusable inherente a la presunción de constitucionalidad de las normas con rango de ley, que no puede desvirtuarse sin una argumentación suficiente, no siendo admisibles las impugnaciones globales carentes de un razonamiento desarrollado, conectado con el precepto impugnado, que las sustente [STC 185/2016, de 3 de noviembre, FJ 7 c)].</w:t>
      </w:r>
    </w:p>
    <w:p w:rsidR="00A90898" w:rsidRDefault="00A90898" w:rsidP="00A90898">
      <w:pPr>
        <w:pStyle w:val="TextoNormal"/>
      </w:pPr>
    </w:p>
    <w:p w:rsidR="00A90898" w:rsidRDefault="00A90898" w:rsidP="00A90898">
      <w:pPr>
        <w:pStyle w:val="TextoNormal"/>
      </w:pPr>
      <w:r>
        <w:t>A fin de verificar si los recurrentes han satisfecho la diligencia procesal exigible para justificar la existencia de las infracciones constitucionales que denuncian debemos retomar el contenido del recurso en relación con esas disposiciones transitorias primera y segunda. Tal y como hemos expuesto en la letra d) del antecedente 1.B) de esta Sentencia, los recurrentes, bajo la rúbrica: “8. Inconstitucionalidad de la disposición transitoria 1 y 2 por vulneración del (</w:t>
      </w:r>
      <w:r w:rsidRPr="00A90898">
        <w:rPr>
          <w:i/>
        </w:rPr>
        <w:t>sic</w:t>
      </w:r>
      <w:r>
        <w:t xml:space="preserve">) 9, 10, 24 y 96 de la Constitución. Vulneración de la tutela judicial efectiva y derecho a la defensa en relación con las garantías procesales ofrecidas a los consumidores frente a los profesionales bajo el principio </w:t>
      </w:r>
      <w:r w:rsidRPr="00A90898">
        <w:rPr>
          <w:i/>
        </w:rPr>
        <w:t>pro consumatore</w:t>
      </w:r>
      <w:r>
        <w:t xml:space="preserve"> que se concreta en el ordenamiento jurídico de TJE (</w:t>
      </w:r>
      <w:r w:rsidRPr="00A90898">
        <w:rPr>
          <w:i/>
        </w:rPr>
        <w:t>sic</w:t>
      </w:r>
      <w:r>
        <w:t xml:space="preserve">) con la Directiva 93/13/CEE, del Consejo, de 5 de abril de 1993, </w:t>
      </w:r>
      <w:r>
        <w:lastRenderedPageBreak/>
        <w:t>Convenio Europeo de Derechos Humanos, Pacto Internacional de Derechos Civiles y Políticos, derecho a un procedimiento con todas las garantías”, realizan dos consideraciones, que no guardan conexión alguna con el contenido de las disposiciones transitorias —anteriormente trascritas—, cuya constitucionalidad cuestionan: en primer lugar, afirman que al consumidor se le merma su derecho a la defensa, pese a que la Directiva 93/13/CEE impone el derecho a la defensa plena del consumidor en los procedimientos judiciales y la obligación del juzgador de garantizar los derechos de la parte débil de la relación contractual, siendo el derecho comunitario de obligatoria aplicación. Y en segundo lugar, efectúan consideraciones respecto a la indefensión que supone para ellos la publicación de la Ley en el “BOE” como instrumento de notificación del nuevo plazo de un mes para formular el incidente extraordinario de oposición.</w:t>
      </w:r>
    </w:p>
    <w:p w:rsidR="00A90898" w:rsidRDefault="00A90898" w:rsidP="00A90898">
      <w:pPr>
        <w:pStyle w:val="TextoNormal"/>
      </w:pPr>
    </w:p>
    <w:p w:rsidR="00A90898" w:rsidRDefault="00A90898" w:rsidP="00A90898">
      <w:pPr>
        <w:pStyle w:val="TextoNormal"/>
      </w:pPr>
      <w:r>
        <w:t>No puede considerarse que tales alegaciones aporten razón alguna para sustentar la infracción de los derechos a la defensa y a la tutela judicial efectiva invocados por los recurrentes, pues ninguna relación guardan con el tenor de las disposiciones transitorias primera y segunda, que, como resulta de su mera lectura, regulan respectivamente la aplicación de la Ley a los procesos judiciales o extrajudiciales de ejecución hipotecaria que estuvieran iniciados a la entrada en vigor de la misma en tanto que no se hubiera ejecutado el lanzamiento y proyectan la limitación de los intereses moratorios también a los préstamos hipotecarios concertados con anterioridad a la entrada en vigor de la norma. Partiendo de esas consideraciones, no se contiene en el recurso argumentación alguna que permita conocer por qué, en cada uno de estos preceptos y a la luz de su ámbito material y redacción particular, se produce la inconstitucionalidad en los términos expuestos. No se contempla, por tanto, argumentación que sustente la impugnación de las disposiciones transitorias recurridas, pues no basta la mera cita de preceptos constitucionales si el contenido de los mismos no se vincula o se enlaza de algún modo con el contenido de las disposiciones impugnadas.</w:t>
      </w:r>
    </w:p>
    <w:p w:rsidR="00A90898" w:rsidRDefault="00A90898" w:rsidP="00A90898">
      <w:pPr>
        <w:pStyle w:val="TextoNormal"/>
      </w:pPr>
    </w:p>
    <w:p w:rsidR="00A90898" w:rsidRDefault="00A90898" w:rsidP="00A90898">
      <w:pPr>
        <w:pStyle w:val="TextoNormal"/>
      </w:pPr>
      <w:r>
        <w:t>Por tanto, no se abordará la impugnación de las disposiciones transitorias primera y segunda al no poder entenderse levantada la carga argumental mínima exigible.</w:t>
      </w:r>
    </w:p>
    <w:p w:rsidR="00A90898" w:rsidRDefault="00A90898" w:rsidP="00A90898">
      <w:pPr>
        <w:pStyle w:val="TextoNormal"/>
      </w:pPr>
    </w:p>
    <w:p w:rsidR="00A90898" w:rsidRDefault="00A90898" w:rsidP="00A90898">
      <w:pPr>
        <w:pStyle w:val="TextoNormal"/>
      </w:pPr>
      <w:r w:rsidRPr="00A90898">
        <w:rPr>
          <w:rStyle w:val="NumeroAFNegritaCaracter"/>
        </w:rPr>
        <w:t>7</w:t>
      </w:r>
      <w:r>
        <w:t>. Finalmente, debe indicarse que la disposición transitoria cuarta de la Ley 1/2013, que se refiere al “régimen transitorio en los procesos de ejecución”, aparece aludida en el motivo ocho del recurso —trascrito en la letra d) del antecedente 1 B), cuya rúbrica hemos reproducido en el fundamento anterior—, en el que se argumenta sobre la inconstitucionalidad de la disposición transitoria primera y segunda. Ahora bien, la disposición transitoria cuarta, no se contempla en el suplico del recurso, ni tampoco en el listado de los artículos recurridos que preceden al suplico y en los que se concretan los preceptos impugnados. En consecuencia, no puede ser objeto de análisis alguno, al deber circunscribir nuestro enjuiciamiento “exclusivamente a los preceptos que se contienen en el suplico de la demanda”, el cual “es la parte decisiva para reconocer y concretar el objeto de todo recurso” (por todas, STC 184/2016, de 3 de noviembre, FJ 2, y las que en el mismo se citan).</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1º Declarar que ha perdido objeto la impugnación de los arts. 1, apartados 1, 2 y 3; art. 3, apartado 3 (así como las referencias e incisos en la Ley al procedimiento de ejecución o venta extrajudicial); art. 7, apartados 1 y 14; art. 8 apartado 2; y disposición adicional primera de la Ley 1/2013, de 14 de mayo, de medidas para reforzar la protección a los deudores hipotecarios, reestructuración de deuda y alquiler social.</w:t>
      </w:r>
    </w:p>
    <w:p w:rsidR="00A90898" w:rsidRDefault="00A90898" w:rsidP="00A90898">
      <w:pPr>
        <w:pStyle w:val="TextoNormal"/>
      </w:pPr>
    </w:p>
    <w:p w:rsidR="00A90898" w:rsidRDefault="00A90898" w:rsidP="00A90898">
      <w:pPr>
        <w:pStyle w:val="TextoNormal"/>
      </w:pPr>
      <w:r>
        <w:t>2º Desestimar el presente recurso de inconstitucionalidad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3" w:name="SENTENCIA_2016_214"/>
      <w:r>
        <w:lastRenderedPageBreak/>
        <w:t>SENTENCIA 214/2016, de 15 de diciembre de 2016</w:t>
      </w:r>
    </w:p>
    <w:bookmarkEnd w:id="93"/>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ECLI:ES:TC:2016:214</w:t>
      </w:r>
    </w:p>
    <w:p w:rsidR="00A90898" w:rsidRDefault="00A90898" w:rsidP="00A90898">
      <w:pPr>
        <w:pStyle w:val="TextoNormalCentrado"/>
      </w:pPr>
    </w:p>
    <w:p w:rsidR="00A90898" w:rsidRDefault="00A90898" w:rsidP="00A90898">
      <w:pPr>
        <w:pStyle w:val="SntesisDescriptiva"/>
      </w:pPr>
      <w:r>
        <w:t>Recurso de inconstitucionalidad 264-2015. Interpuesto por el Gobierno Vasco respecto de la Ley 18/2014, de 15 de octubre, de aprobación de medidas urgentes para el crecimiento, la competitividad y la eficiencia.</w:t>
      </w:r>
    </w:p>
    <w:p w:rsidR="00A90898" w:rsidRDefault="00A90898" w:rsidP="00A90898">
      <w:pPr>
        <w:pStyle w:val="SntesisDescriptiva"/>
      </w:pPr>
    </w:p>
    <w:p w:rsidR="00A90898" w:rsidRDefault="00A90898" w:rsidP="00A90898">
      <w:pPr>
        <w:pStyle w:val="SntesisAnaltica"/>
      </w:pPr>
      <w:r>
        <w:t>Competencia sobre ordenación general de la economía, comercio interior y estadística para fines propios: constitucionalidad de los preceptos legales estatales relativos al régimen de horarios comerciales en zonas de gran afluencia turística (STC 195/2016).</w:t>
      </w:r>
    </w:p>
    <w:p w:rsidR="00A90898" w:rsidRDefault="00A90898" w:rsidP="00A90898">
      <w:pPr>
        <w:pStyle w:val="SntesisAnaltica"/>
      </w:pPr>
    </w:p>
    <w:p w:rsidR="00A90898" w:rsidRDefault="00A90898" w:rsidP="00A90898">
      <w:pPr>
        <w:pStyle w:val="Extracto"/>
      </w:pPr>
      <w:r>
        <w:t>1.</w:t>
      </w:r>
      <w:r>
        <w:tab/>
        <w:t>Aun existiendo una competencia sobre un subsector económico que una Comunidad Autónoma ha asumido como exclusiva en su Estatuto, esa atribución competencial no excluye la competencia estatal para establecer las bases y la coordinación de ese subsector, y el ejercicio autonómico de esta competencia exclusiva puede estar condicionado por medidas estatales, que en ejercicio de una competencia propia y diferenciada pueden desplegarse autónomamente sobre diversos campos o materias (STC 195/2016) [FJ 4].</w:t>
      </w:r>
    </w:p>
    <w:p w:rsidR="00A90898" w:rsidRDefault="00A90898" w:rsidP="00A90898">
      <w:pPr>
        <w:pStyle w:val="Extracto"/>
      </w:pPr>
    </w:p>
    <w:p w:rsidR="00A90898" w:rsidRDefault="00A90898" w:rsidP="00A90898">
      <w:pPr>
        <w:pStyle w:val="Extracto"/>
      </w:pPr>
      <w:r>
        <w:t>2.</w:t>
      </w:r>
      <w:r>
        <w:tab/>
        <w:t>Aplica la doctrina sobre competencias en materia de comercio interior y declaración de zonas de gran afluencia turística contenida en la STC 195/2016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264-2015, promovido por el Gobierno Vasco contra la Ley 18/2014, de 15 de octubre, de aprobación de medidas urgentes para el crecimiento, la competitividad y la eficiencia. Ha intervenido el Abogado del Estado.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Con fecha 15 de enero de 2015 tuvo entrada en el Registro General de este Tribunal Constitucional el recurso de inconstitucionalidad interpuesto por la representación procesal del Gobierno Vasco contra los arts. 4, 5, 7, 92, 98, 102 y 107, apartados 2, 6, 12 y 13 y el anexo I de la Ley 18/2014, de 15 de octubre, de aprobación de medidas urgentes para el crecimiento, la competitividad y la eficiencia.</w:t>
      </w:r>
    </w:p>
    <w:p w:rsidR="00A90898" w:rsidRDefault="00A90898" w:rsidP="00A90898">
      <w:pPr>
        <w:pStyle w:val="TextoNormal"/>
      </w:pPr>
    </w:p>
    <w:p w:rsidR="00A90898" w:rsidRDefault="00A90898" w:rsidP="00A90898">
      <w:pPr>
        <w:pStyle w:val="TextoNormal"/>
      </w:pPr>
      <w:r w:rsidRPr="00A90898">
        <w:rPr>
          <w:rStyle w:val="NumeroAFNegritaCaracter"/>
        </w:rPr>
        <w:t>2</w:t>
      </w:r>
      <w:r>
        <w:t>. El escrito de recurso agrupa los preceptos impugnados en dos bloques:</w:t>
      </w:r>
    </w:p>
    <w:p w:rsidR="00A90898" w:rsidRDefault="00A90898" w:rsidP="00A90898">
      <w:pPr>
        <w:pStyle w:val="TextoNormal"/>
      </w:pPr>
    </w:p>
    <w:p w:rsidR="00A90898" w:rsidRDefault="00A90898" w:rsidP="00A90898">
      <w:pPr>
        <w:pStyle w:val="TextoNormal"/>
      </w:pPr>
      <w:r>
        <w:t>a) El primer bloque está formado por los arts. 4, 5, 6 y 7 y el anexo I, que tienen como objetivo imponer la obligación de un régimen de plena libertad horaria en la totalidad de los establecimientos comerciales, con independencia de la superficie que ocupen, que se encuentren situados en las denominadas zonas de gran afluencia turística. En síntesis, a este bloque de preceptos se le reprocha dos tipos de infracciones constitucionales: por un lado, una extralimitación del art. 149.1.13 CE invocado por el Estado para su dictado, con la correlativa invasión del art. 10, apartados 27 y 37, del Estatuto de Autonomía para el País Vasco (EAPV), que atribuyen competencias exclusivas en materia de comercio interior y de estadística para sus propios fines y competencias; y, por otro lado, la vulneración del art. 149.3 CE, por otorgar a la Ley 18/2014 los efectos de derecho supletorio estatal en una materia que es competencia exclusiva de la Comunidad Autónoma del País Vasco, contradiciendo la doctrina constitucional sentada en las SSTC 147/1991, de 4 de junio, FJ 7; 118/1996, de 27 de junio, FJ 6; 197/1996, de 28 de noviembre, FJ 21, y 61/1997, de 20 de marzo, FJ 12 c) y d).</w:t>
      </w:r>
    </w:p>
    <w:p w:rsidR="00A90898" w:rsidRDefault="00A90898" w:rsidP="00A90898">
      <w:pPr>
        <w:pStyle w:val="TextoNormal"/>
      </w:pPr>
    </w:p>
    <w:p w:rsidR="00A90898" w:rsidRDefault="00A90898" w:rsidP="00A90898">
      <w:pPr>
        <w:pStyle w:val="TextoNormal"/>
      </w:pPr>
      <w:r>
        <w:t>En concreto, con respecto a la primera impugnación, la entidad recurrente alega que la regulación impugnada niega a las Comunidades Autónomas cualquier margen para modular la determinación de las zonas de gran afluencia turística así como para aplicar los indicadores estadísticos en que se basan; que convierte al órgano autonómico competente en mero validador de la solicitud que le plantee el ayuntamiento respectivo para la declaración de una zonas de gran afluencia turística; y que se desplaza la capacidad de decisión del órgano autonómico competente por el simple transcurso de dos o seis meses, sin necesidad de pronunciamiento previo del órgano autonómico competente. La vulneración de la competencia autonómica en materia estadística se cifra en que una parte de la información estadística relevante para las declaraciones de zonas de gran afluencia turística —consistente en una encuesta de ocupación hotelera— se refiere a actividades —como la turística— sobre la que la Comunidad Autónoma tiene competencia exclusiva (art. 10.37 EAPV).</w:t>
      </w:r>
    </w:p>
    <w:p w:rsidR="00A90898" w:rsidRDefault="00A90898" w:rsidP="00A90898">
      <w:pPr>
        <w:pStyle w:val="TextoNormal"/>
      </w:pPr>
    </w:p>
    <w:p w:rsidR="00A90898" w:rsidRDefault="00A90898" w:rsidP="00A90898">
      <w:pPr>
        <w:pStyle w:val="TextoNormal"/>
      </w:pPr>
      <w:r>
        <w:t xml:space="preserve">Y con respecto a la segunda impugnación, se aduce que las previsiones de los arts. 4, 5 y 7 de la ley y, por conexión, su anexo I se convierten </w:t>
      </w:r>
      <w:r w:rsidRPr="00A90898">
        <w:rPr>
          <w:i/>
        </w:rPr>
        <w:t>de facto</w:t>
      </w:r>
      <w:r>
        <w:t xml:space="preserve"> en una supletoriedad administrativa o ejecutiva en virtud de la cual no se cubre un vacío normativo sino de actuación administrativa, que se reemplaza por los efectos de unas disposiciones a las que se pretende otorgar los efectos del derecho supletorio contraviniendo lo dispuesto en el art. 149.3 CE. Asimismo se reprocha a la combinación de previsiones procedimentales en virtud de las cuales se obtienen las declaraciones de zonas de gran afluencia turística un entrecruzamiento entre el instituto del silencio administrativo y las reglas del derecho supletorio.</w:t>
      </w:r>
    </w:p>
    <w:p w:rsidR="00A90898" w:rsidRDefault="00A90898" w:rsidP="00A90898">
      <w:pPr>
        <w:pStyle w:val="TextoNormal"/>
      </w:pPr>
    </w:p>
    <w:p w:rsidR="00A90898" w:rsidRDefault="00A90898" w:rsidP="00A90898">
      <w:pPr>
        <w:pStyle w:val="TextoNormal"/>
      </w:pPr>
      <w:r>
        <w:lastRenderedPageBreak/>
        <w:t>b) El segundo bloque de preceptos impugnados está formado por los arts. 92, 98, 102 y 107, apartados 2, 6, 12 y 13, ubicados en el capítulo I, relativo al “Sistema Nacional de Garantía Juvenil”, del título IV: una serie de medidas de política de incentivación del empleo de jóvenes que ni trabajan ni estudian ni siguen formación alguna. Estos preceptos se afirman dictados al amparo de lo establecido en los apartados 7, 13 y 17 del art. 149.1 CE.</w:t>
      </w:r>
    </w:p>
    <w:p w:rsidR="00A90898" w:rsidRDefault="00A90898" w:rsidP="00A90898">
      <w:pPr>
        <w:pStyle w:val="TextoNormal"/>
      </w:pPr>
    </w:p>
    <w:p w:rsidR="00A90898" w:rsidRDefault="00A90898" w:rsidP="00A90898">
      <w:pPr>
        <w:pStyle w:val="TextoNormal"/>
      </w:pPr>
      <w:r>
        <w:t>El escrito alega, en primer lugar, que en los mencionados preceptos se contemplan diversas funciones, calificadas como “de gestión”, que exceden notoriamente las funciones constitucionalmente atribuidas al Estado, ya que se enmarcan en el ámbito de la “ejecución” de la legislación laboral, en los términos contemplados en los arts. 149.1.7 CE y 12.2 EAPV y definidos por la doctrina constitucional. Entre esas funciones de “gestión” se mencionan las de “resolver acerca de la inscripción en el fichero habilitado” (art. 98.5), la tramitación de los derechos de acceso, rectificación, cancelación y oposición por parte de las personas interesadas, en los términos establecidos en la Ley Orgánica de protección de datos (art. 102), y la puesta en práctica de la actuación de fomento consistente en la contratación de las personas incluidas en el sistema de garantía juvenil mediante una bonificación de las cuotas de la Seguridad Social (art. 107).</w:t>
      </w:r>
    </w:p>
    <w:p w:rsidR="00A90898" w:rsidRDefault="00A90898" w:rsidP="00A90898">
      <w:pPr>
        <w:pStyle w:val="TextoNormal"/>
      </w:pPr>
    </w:p>
    <w:p w:rsidR="00A90898" w:rsidRDefault="00A90898" w:rsidP="00A90898">
      <w:pPr>
        <w:pStyle w:val="TextoNormal"/>
      </w:pPr>
      <w:r>
        <w:t>En segundo lugar, se afirma que debe desecharse el ejercicio de la competencia estatal que deriva del art. 149.1.13 CE. La aplicación de los aspectos arriba señalados no se encuadra, a su juicio, en esa competencia, sino en la materia laboral, en concreto en el ámbito de las acciones ejecutivas de las políticas activas de fomento del empleo en virtud del art. 149.1.7 CE.</w:t>
      </w:r>
    </w:p>
    <w:p w:rsidR="00A90898" w:rsidRDefault="00A90898" w:rsidP="00A90898">
      <w:pPr>
        <w:pStyle w:val="TextoNormal"/>
      </w:pPr>
    </w:p>
    <w:p w:rsidR="00A90898" w:rsidRDefault="00A90898" w:rsidP="00A90898">
      <w:pPr>
        <w:pStyle w:val="TextoNormal"/>
      </w:pPr>
      <w:r>
        <w:t>En tercer y último lugar, se rechaza que, para la gestión de dichas tareas, se invoque el título competencial estatal derivado del art. 149.1.17 CE, pues las bonificaciones de las cuotas sociales, a diferencia de las reducciones y de las exenciones de tales cuotas, no afectan al patrimonio de la Seguridad Social, ni tampoco a su régimen económico ni a su “caja única”, sino que son ejecución de las medidas o políticas activas de empleo contempladas en el art. 23.3 de la Ley 56/2003, de 16 de diciembre, de empleo.</w:t>
      </w:r>
    </w:p>
    <w:p w:rsidR="00A90898" w:rsidRDefault="00A90898" w:rsidP="00A90898">
      <w:pPr>
        <w:pStyle w:val="TextoNormal"/>
      </w:pPr>
    </w:p>
    <w:p w:rsidR="00A90898" w:rsidRDefault="00A90898" w:rsidP="00A90898">
      <w:pPr>
        <w:pStyle w:val="TextoNormal"/>
      </w:pPr>
      <w:r w:rsidRPr="00A90898">
        <w:rPr>
          <w:rStyle w:val="NumeroAFNegritaCaracter"/>
        </w:rPr>
        <w:t>3</w:t>
      </w:r>
      <w:r>
        <w:t>. Por escrito registrado el 24 de marzo de 2015, el Abogado del Estado, en la representación que legalmente ostenta, formuló las siguientes alegaciones:</w:t>
      </w:r>
    </w:p>
    <w:p w:rsidR="00A90898" w:rsidRDefault="00A90898" w:rsidP="00A90898">
      <w:pPr>
        <w:pStyle w:val="TextoNormal"/>
      </w:pPr>
    </w:p>
    <w:p w:rsidR="00A90898" w:rsidRDefault="00A90898" w:rsidP="00A90898">
      <w:pPr>
        <w:pStyle w:val="TextoNormal"/>
      </w:pPr>
      <w:r>
        <w:t xml:space="preserve">a) En cuanto al primer bloque de preceptos impugnados, el Abogado del Estado comienza señalando que los preceptos objeto de impugnación en materia de liberalización comercial se adecuan al título competencial estatal derivado del art. 149.1.13 CE. La legislación estatal reguladora de los horarios comerciales es una materia que se integra en el título competencial que el art. 149.1.13 CE atribuye al Estado. La libertad de horarios comerciales se encuadra conceptualmente, dentro de la realidad económica nacional, como un subsector específico al que directamente se refiere la regulación en materia de comercio interior. La atribución competencial exclusiva en los Estatutos de Autonomía de la regulación del ámbito más amplio que es el comercio interior no impide la confluencia del título estatal sobre ordenación general de la economía, el cual puede afectar a un subsector determinado: por ejemplo, la liberalización de horarios comerciales en las denominadas zonas de gran afluencia turística. Precisamente por su carácter liberalizador, el efecto de dichas normas no puede ser enervado mediante un eventual desarrollo normativo de la normativa básica, sin que ello implique un vaciamiento de las competencias autonómicas. Tratándose de una normativa </w:t>
      </w:r>
      <w:r>
        <w:lastRenderedPageBreak/>
        <w:t>básica en el doble sentido material y formal, debe ser asumida por las Comunidades Autónomas como marco de actuación en su actividad reguladora y ejecutiva.</w:t>
      </w:r>
    </w:p>
    <w:p w:rsidR="00A90898" w:rsidRDefault="00A90898" w:rsidP="00A90898">
      <w:pPr>
        <w:pStyle w:val="TextoNormal"/>
      </w:pPr>
    </w:p>
    <w:p w:rsidR="00A90898" w:rsidRDefault="00A90898" w:rsidP="00A90898">
      <w:pPr>
        <w:pStyle w:val="TextoNormal"/>
      </w:pPr>
      <w:r>
        <w:t>En segundo lugar, insiste en que se trata de adaptaciones legislativas. Los preceptos impugnados únicamente amplían el ámbito de la liberalización ya efectuada conforme a normas estatales ya enjuiciadas por anteriores sentencias constitucionales (SSTC 88/2010, de 15 de noviembre, y 26/2012, de 1 de marzo). Su sola reforma no supone una circunstancia que altere los criterios jurisprudenciales expuestos en esas sentencias. Además, no se suprime el margen de decisión de las Administraciones territoriales que intervienen en la declaración de zonas de gran afluencia turística, en su régimen previsto y en el otorgamiento de las autorizaciones que correspondan.</w:t>
      </w:r>
    </w:p>
    <w:p w:rsidR="00A90898" w:rsidRDefault="00A90898" w:rsidP="00A90898">
      <w:pPr>
        <w:pStyle w:val="TextoNormal"/>
      </w:pPr>
    </w:p>
    <w:p w:rsidR="00A90898" w:rsidRDefault="00A90898" w:rsidP="00A90898">
      <w:pPr>
        <w:pStyle w:val="TextoNormal"/>
      </w:pPr>
      <w:r>
        <w:t>En tercer lugar, considera que no hay infracción del art. 149.3 CE, porque no estamos ante una norma supletoria en el sentido de dicho precepto constitucional. Las previsiones establecidas en los arts. 4, párrafos 2 y 5, y 7.1 y 2, párrafo final, consisten en un mandato compulsorio de liberalización completa de los horarios comerciales para el caso de que las Comunidades Autónomas no hubieran declarado ninguna zonas de gran afluencia turística transcurridos los plazos allí previstos: ello es una reacción eficaz de la norma básica ante una situación de incumplimiento de la obligación o, mejor dicho, del no uso de la facultad que la norma básica les otorga a las Comunidades Autónomas para efectuar dicha declaración. No hay, en definitiva, aplicación supletoria del derecho estatal integrando las lagunas del derecho autonómico, ni regulación estatal de una materia que el legislador autonómico no hubiera entrado a regular todavía, sino solo la consecuencia del carácter imperativo ínsito en una norma jurídica de derecho dictada al amparo del art. 149.1.13 CE.</w:t>
      </w:r>
    </w:p>
    <w:p w:rsidR="00A90898" w:rsidRDefault="00A90898" w:rsidP="00A90898">
      <w:pPr>
        <w:pStyle w:val="TextoNormal"/>
      </w:pPr>
    </w:p>
    <w:p w:rsidR="00A90898" w:rsidRDefault="00A90898" w:rsidP="00A90898">
      <w:pPr>
        <w:pStyle w:val="TextoNormal"/>
      </w:pPr>
      <w:r>
        <w:t>Por último, descarta que la normativa incida en la competencia autonómica sobre estadística pública en su propio ámbito, por el hecho de fijar el número de habitantes de cada localidad, pues el título competencial prevalente es el referido a la ordenación económica general.</w:t>
      </w:r>
    </w:p>
    <w:p w:rsidR="00A90898" w:rsidRDefault="00A90898" w:rsidP="00A90898">
      <w:pPr>
        <w:pStyle w:val="TextoNormal"/>
      </w:pPr>
    </w:p>
    <w:p w:rsidR="00A90898" w:rsidRDefault="00A90898" w:rsidP="00A90898">
      <w:pPr>
        <w:pStyle w:val="TextoNormal"/>
      </w:pPr>
      <w:r>
        <w:t>b) Por lo que respecta al segundo bloque de preceptos impugnados, el Abogado del Estado afirma su constitucionalidad, desde la perspectiva competencial, al encuadrarse en el art. 149.1.7 CE. Se señala que, en materia laboral, la Comunidad Autónoma únicamente es competente para la ejecución: por tanto, su potestad reglamentaria ejecutiva no puede ser considerada como una potestad reglamentaria general, sino limitada a la aprobación de los reglamentos internos que permitan la organización de los servicios que fueran necesarios para la ejecución. El art. 149.1.13 CE no impide encuadrar los preceptos impugnados de la Ley 18/2014 como aspecto propio del derecho laboral, dentro del art. 149.1.7 CE, por ser este el título competencial preponderante.</w:t>
      </w:r>
    </w:p>
    <w:p w:rsidR="00A90898" w:rsidRDefault="00A90898" w:rsidP="00A90898">
      <w:pPr>
        <w:pStyle w:val="TextoNormal"/>
      </w:pPr>
    </w:p>
    <w:p w:rsidR="00A90898" w:rsidRDefault="00A90898" w:rsidP="00A90898">
      <w:pPr>
        <w:pStyle w:val="TextoNormal"/>
      </w:pPr>
      <w:r>
        <w:t xml:space="preserve">En el caso del funcionamiento del sistema de garantía juvenil, es la misma legislación europea la que ha dispuesto la conveniencia de un órgano gestor único. Ello, no obstante, no altera el régimen interno de distribución competencial, pues la norma interna que se adopta se encuadra precisamente en la competencia legislativa del Estado, a quien compete, en la medida necesaria, regular la organización del registro, fichero o servicio creado y no solo el aspecto jurídico-relacional. A este respecto se invoca, en cuanto a la supraterritorialidad y las competencias del Estado, la STC 22/2014, de 13 de febrero, FFJJ 4 y 7. Otra </w:t>
      </w:r>
      <w:r>
        <w:lastRenderedPageBreak/>
        <w:t>cosa, afirma el Abogado del Estado, es que la norma estatal no agote la regulación del funcionamiento interno y deje a las Comunidades Autónomas un ámbito de regulación reglamentaria.</w:t>
      </w:r>
    </w:p>
    <w:p w:rsidR="00A90898" w:rsidRDefault="00A90898" w:rsidP="00A90898">
      <w:pPr>
        <w:pStyle w:val="TextoNormal"/>
      </w:pPr>
    </w:p>
    <w:p w:rsidR="00A90898" w:rsidRDefault="00A90898" w:rsidP="00A90898">
      <w:pPr>
        <w:pStyle w:val="TextoNormal"/>
      </w:pPr>
      <w:r>
        <w:t>Por lo que respecta a las cuotas de la Seguridad Social (art. 107), se afirma que se trata de un aspecto estrictamente legislativo, como elemento esencial de la regulación propia del régimen de las cotizaciones, y no de ejecución de la legislación estatal. Asimismo se rechaza el argumento de la ordenación presupuestaria “neutra”, pues no altera el carácter normativo y básico de la norma adoptada legítimamente por el legislador estatal al amparo del art. 149.1.17 CE.</w:t>
      </w:r>
    </w:p>
    <w:p w:rsidR="00A90898" w:rsidRDefault="00A90898" w:rsidP="00A90898">
      <w:pPr>
        <w:pStyle w:val="TextoNormal"/>
      </w:pPr>
    </w:p>
    <w:p w:rsidR="00A90898" w:rsidRDefault="00A90898" w:rsidP="00A90898">
      <w:pPr>
        <w:pStyle w:val="TextoNormal"/>
      </w:pPr>
      <w:r>
        <w:t>Por último, se rechaza la pretensión de inconstitucionalidad de los preceptos estatales basadas en que las competencias controvertidas se hallarían transferidas a la Comunidad Autónoma del País Vasco mediante el Real Decreto 1441/2010, de 5 de noviembre, de traspasos de funciones y servicios a la Comunidad Autónoma del País Vasco, pues los decretos de transferencias no son cauce normativo apto para que las Comunidades Autónomas asuman competencias (desde la STC 76/1983, de 5 de agosto, FFJJ 28-34).</w:t>
      </w:r>
    </w:p>
    <w:p w:rsidR="00A90898" w:rsidRDefault="00A90898" w:rsidP="00A90898">
      <w:pPr>
        <w:pStyle w:val="TextoNormal"/>
      </w:pPr>
    </w:p>
    <w:p w:rsidR="00A90898" w:rsidRDefault="00A90898" w:rsidP="00A90898">
      <w:pPr>
        <w:pStyle w:val="TextoNormal"/>
      </w:pPr>
      <w:r w:rsidRPr="00A90898">
        <w:rPr>
          <w:rStyle w:val="NumeroAFNegritaCaracter"/>
        </w:rPr>
        <w:t>4</w:t>
      </w:r>
      <w:r>
        <w:t>. Por escrito registrado el día 2 de diciembre de 2015, la representación procesal del Gobierno Vasco solicitó a este Tribunal que, previos los trámites legales oportunos, tuviera por desistida parcialmente a la parte demandante en relación con los arts. 92, 98, 102 y 107 de la Ley 18/2014, de 15 de octubre, en virtud del acuerdo alcanzado en el seno de la Comisión Bilateral de Cooperación entre la Administración General del Estado y la Administración de la Comunidad Autónoma del País Vasco (“BOE” núm. 286, de 30 de noviembre de 2015). El Abogado del Estado no se opuso al desistimiento parcial.</w:t>
      </w:r>
    </w:p>
    <w:p w:rsidR="00A90898" w:rsidRDefault="00A90898" w:rsidP="00A90898">
      <w:pPr>
        <w:pStyle w:val="TextoNormal"/>
      </w:pPr>
    </w:p>
    <w:p w:rsidR="00A90898" w:rsidRDefault="00A90898" w:rsidP="00A90898">
      <w:pPr>
        <w:pStyle w:val="TextoNormal"/>
      </w:pPr>
      <w:r w:rsidRPr="00A90898">
        <w:rPr>
          <w:rStyle w:val="NumeroAFNegritaCaracter"/>
        </w:rPr>
        <w:t>5</w:t>
      </w:r>
      <w:r>
        <w:t>. El Pleno, por Auto de 1 de marzo de 2016, acordó tener por desistido al Gobierno Vasco del recurso de inconstitucionalidad núm. 264-2015 por lo que se refiere a los arts. 92, 98, 102 y 107 de la Ley 18/2014, de 15 de octubre, de aprobación de medidas urgentes para el crecimiento, la competitividad y la eficacia, manteniéndose el recurso en cuanto a la impugnación de los arts. 4, 5, 7 y el anexo I de la citada Ley.</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providencia de 13 de diciembre de 2016 se acordó señalar para la deliberación y votación de la presente Sentencia el día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presente recurso de inconstitucionalidad ha sido formulado por el Gobierno Vasco inicialmente contra los arts. 4, 5, 7, 92, 98, 102 y 107, apartados 2, 6, 12 y 13, y anexo I de la Ley 18/2014, de 15 de octubre, de aprobación de medidas urgentes para el crecimiento, la competitividad y la eficiencia. No obstante, tras haberse producido el desistimiento parcial que se refleja en los antecedentes de esta resolución, el recurso de inconstitucionalidad se mantiene únicamente contra los arts. 4, 5, 7 y el anexo I de la citada ley, ámbito que coincide con el definido en el acuerdo impugnatorio del Gobierno Vasco, el cual, según nuestra reiterada doctrina, define el ámbito del recurso de inconstitucional para el que el art. </w:t>
      </w:r>
      <w:r>
        <w:lastRenderedPageBreak/>
        <w:t>32.2 de la Ley Orgánica del Tribunal Constitucional (LOTC) legitima a los órganos ejecutivos de las Comunidades Autónomas (por todas, SSTC 82/2013, de 11 de abril, FJ 2, y 210/2014, de 18 de diciembre, FJ 6).</w:t>
      </w:r>
    </w:p>
    <w:p w:rsidR="00A90898" w:rsidRDefault="00A90898" w:rsidP="00A90898">
      <w:pPr>
        <w:pStyle w:val="TextoNormal"/>
      </w:pPr>
    </w:p>
    <w:p w:rsidR="00A90898" w:rsidRDefault="00A90898" w:rsidP="00A90898">
      <w:pPr>
        <w:pStyle w:val="TextoNormal"/>
      </w:pPr>
      <w:r>
        <w:t>Según la Comunidad Autónoma recurrente, los arts. 4, 5, 7 y el anexo I incurren en una extralimitación del art. 149.1.13 CE y, por consiguiente, en una vulneración de las competencias exclusivas en materia de comercio interior y de estadística para sus propios fines y competencias [art. 10, apartados 27 y 37, del Estatuto de Autonomía para el País Vasco (EAPV)]; también vulneran el art. 149.3 CE, por otorgar a la Ley 18/2014 los efectos de Derecho supletorio estatal en una materia que es competencia exclusiva de la Comunidad Autónoma del País Vasco. El Abogado del Estado suplica la desestimación íntegra del recurso.</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La Ley 18/2014, de 15 de octubre, de aprobación de medidas urgentes para el crecimiento, la competitividad y la eficiencia trae causa de la tramitación como proyecto de ley del Real Decreto-ley 8/2014, de 4 de julio, de idéntico enunciado. En nuestra reciente STC 195/2016, de 16 de noviembre, hemos resuelto el recurso de inconstitucionalidad núm. 5951-2014 interpuesto por el Consejo de Gobierno del Principado de Asturias contra los arts. 4 y 7 del mencionado Real Decreto-ley 8/2014. Ya en la propia STC 195/2016 (FJ 2) advertimos de la sustancial coincidencia entre el texto de la Ley 18/2014 y el del Decreto-ley 8/2014. Hemos de constatar, en efecto, que los arts. 4 y 7 de la Ley 18/2014, impugnados en este proceso, tienen el mismo contenido que los arts. 4 y 7 del Decreto-ley 8/2014; incluso se ha fijado un </w:t>
      </w:r>
      <w:r w:rsidRPr="00A90898">
        <w:rPr>
          <w:i/>
        </w:rPr>
        <w:t>dies a quo</w:t>
      </w:r>
      <w:r>
        <w:t xml:space="preserve"> para la eficacia de los plazos de seis y dos meses que contemplan respectivamente los arts. 4 y 5 de la Ley 18/2014 de forma que las consecuencias jurídicas previstas en esta ley se apliquen a partir del mismo día en que estaba previsto en la regulación que deroga y a la que sustituye. Así pues, en nuestro examen tendrán relevancia las conclusiones alcanzadas en la citada STC 195/2016, que a su vez se basa en pronunciamientos anteriores en materia de horarios comerciales.</w:t>
      </w:r>
    </w:p>
    <w:p w:rsidR="00A90898" w:rsidRDefault="00A90898" w:rsidP="00A90898">
      <w:pPr>
        <w:pStyle w:val="TextoNormal"/>
      </w:pPr>
    </w:p>
    <w:p w:rsidR="00A90898" w:rsidRDefault="00A90898" w:rsidP="00A90898">
      <w:pPr>
        <w:pStyle w:val="TextoNormal"/>
      </w:pPr>
      <w:r w:rsidRPr="00A90898">
        <w:rPr>
          <w:rStyle w:val="NumeroAFNegritaCaracter"/>
        </w:rPr>
        <w:t>3</w:t>
      </w:r>
      <w:r>
        <w:t>. El primero de los motivos consiste en la pretendida extralimitación del art. 149.1.13 CE, con la consiguiente vulneración de diversas competencias autonómicas exclusivas, en concreto las relativas a comercio interior y a estadística para sus propios fines y competencias (art. 10.27 y 37 EAPV).</w:t>
      </w:r>
    </w:p>
    <w:p w:rsidR="00A90898" w:rsidRDefault="00A90898" w:rsidP="00A90898">
      <w:pPr>
        <w:pStyle w:val="TextoNormal"/>
      </w:pPr>
    </w:p>
    <w:p w:rsidR="00A90898" w:rsidRDefault="00A90898" w:rsidP="00A90898">
      <w:pPr>
        <w:pStyle w:val="TextoNormal"/>
      </w:pPr>
      <w:r>
        <w:t>a) La queja de la pretendida extralimitación del art. 149.1.13 CE, con la correlativa vulneración de la competencia autonómica exclusiva en materia de comercio interior, fue también aducida en el recurso de inconstitucionalidad núm. 5951-2014 resuelto en la citada STC 195/2016. Al igual que aquí, el recurrente argumentó entonces que el Estado se había extralimitado en el ejercicio de sus competencias, por cuanto el art. 149.1.13 CE no permite vaciar de contenido una materia más específica, como son los horarios comerciales, pues la normativa básica ha de dejar un espacio normativo suficiente para que las Comunidades Autónomas puedan desarrollar sus competencias normativas y de ejecución, estableciendo una política comercial adaptada a sus peculiaridades. Dicha queja fue desestimada por la citada STC 195/2016. A la vista de esta coincidencia objetiva entre los dos recursos de inconstitucionalidad, de acuerdo con la doctrina constitucional (SSTC 172/1998, de 23 de julio, FJ 2, y 186/2016, de 3 de noviembre, FJ 2), cabe desestimar esta primera de las impugnaciones por remisión a la STC 195/2016 (FFJJ 4, 5 y 6), lo que nos exime de reproducirla, siquiera en extracto.</w:t>
      </w:r>
    </w:p>
    <w:p w:rsidR="00A90898" w:rsidRDefault="00A90898" w:rsidP="00A90898">
      <w:pPr>
        <w:pStyle w:val="TextoNormal"/>
      </w:pPr>
    </w:p>
    <w:p w:rsidR="00A90898" w:rsidRDefault="00A90898" w:rsidP="00A90898">
      <w:pPr>
        <w:pStyle w:val="TextoNormal"/>
      </w:pPr>
      <w:r>
        <w:t>Rechazada la aducida extralimitación en el uso del título competencial en el que se ampara la norma estatal impugnada, ha de decaer también la consecuencia que se le atribuía, esto es, la correlativa vulneración de las competencias autonómicas exclusivas en materia de comercio interior.</w:t>
      </w:r>
    </w:p>
    <w:p w:rsidR="00A90898" w:rsidRDefault="00A90898" w:rsidP="00A90898">
      <w:pPr>
        <w:pStyle w:val="TextoNormal"/>
      </w:pPr>
    </w:p>
    <w:p w:rsidR="00A90898" w:rsidRDefault="00A90898" w:rsidP="00A90898">
      <w:pPr>
        <w:pStyle w:val="TextoNormal"/>
      </w:pPr>
      <w:r>
        <w:t>b) Ciertamente, esta primera impugnación del recurso se dirige también frente al art. 5 y el anexo I de la Ley 18/2014, cuyos artículo y anexo homólogos del Real Decreto-ley 8/2014 no fueron impugnados en el recurso de inconstitucionalidad que fue resuelto por nuestra ya mencionada Sentencia. Esta mayor amplitud del objeto de impugnación, no obstante, no nos conduce a conclusiones distintas. Recordemos que la entidad recurrente no discute que el art. 149.1.13 CE ampare la regulación estatal en este ámbito: lo que plantea es que el Estado se habría excedido en la definición de las bases, negando a las Comunidades Autónomas cualquier margen para modular la determinación de las zonas de gran afluencia turística así como para aplicar los indicadores estadísticos en que se basan.</w:t>
      </w:r>
    </w:p>
    <w:p w:rsidR="00A90898" w:rsidRDefault="00A90898" w:rsidP="00A90898">
      <w:pPr>
        <w:pStyle w:val="TextoNormal"/>
      </w:pPr>
    </w:p>
    <w:p w:rsidR="00A90898" w:rsidRDefault="00A90898" w:rsidP="00A90898">
      <w:pPr>
        <w:pStyle w:val="TextoNormal"/>
      </w:pPr>
      <w:r>
        <w:t>Por lo que se refiere al anexo I, ha sido impugnado “por conexión con el artículo 4”. Al enumerar los municipios que cumplen los criterios establecidos para la declaración de zona de gran afluencia turística, dicho anexo no hace otra cosa que completar la ordenación que contempla el artículo 4. De hecho la STC 195/2016 ya analizó la constitucionalidad del art. 4 en la medida en que dicho precepto remitía al anexo I. Así pues, procede igualmente la desestimación de acuerdo con los razonamientos expuestos en la STC 195/2016 (FJ 6).</w:t>
      </w:r>
    </w:p>
    <w:p w:rsidR="00A90898" w:rsidRDefault="00A90898" w:rsidP="00A90898">
      <w:pPr>
        <w:pStyle w:val="TextoNormal"/>
      </w:pPr>
    </w:p>
    <w:p w:rsidR="00A90898" w:rsidRDefault="00A90898" w:rsidP="00A90898">
      <w:pPr>
        <w:pStyle w:val="TextoNormal"/>
      </w:pPr>
      <w:r>
        <w:t>En cuanto al artículo 5, la razón de su impugnación ha sido, al igual que los artículos 4 y 7, la del pretendido desplazamiento del órgano competente autonómico que supondría. El artículo 5 establece que si, en el plazo de dos meses desde su entrada en vigor, las Comunidades Autónomas competentes no hubiesen declarado al menos una zona de gran afluencia turística en los municipios que reúnan los términos establecidos en una determinada norma estatal, se considerará como tal todo el término municipal y los comerciantes dispondrán de plena libertad para la apertura de sus establecimientos durante todo el año. La regulación del precepto se asemeja a la del párrafo segundo del artículo 4: también aquí se dispone una idéntica consecuencia liberalizadora directa para el supuesto de que las Comunidades Autónomas competentes no hubiesen declarado al menos una zona de gran afluencia turística en determinados municipios (los recogidos en el anexo I). Como ya señaló STC 195/2016, FJ 6, citando la STC 18/2016, de 4 de febrero, FJ 9, “regular la plena libertad horaria es una opción a disposición de la Comunidad Autónoma para el caso de que decida no ejercer las posibilidades de regulación que le ofrece la norma estatal, modulando el alcance de la declaración en el sentido de limitar territorial o temporalmente la libertad de apertura que lleva implícita la declaración de la zona de gran afluencia turística”.</w:t>
      </w:r>
    </w:p>
    <w:p w:rsidR="00A90898" w:rsidRDefault="00A90898" w:rsidP="00A90898">
      <w:pPr>
        <w:pStyle w:val="TextoNormal"/>
      </w:pPr>
    </w:p>
    <w:p w:rsidR="00A90898" w:rsidRDefault="00A90898" w:rsidP="00A90898">
      <w:pPr>
        <w:pStyle w:val="TextoNormal"/>
      </w:pPr>
      <w:r>
        <w:t>c) Finalmente, por lo que respecta a la alegada vulneración de la competencia autonómica en materia estadística, que se cifra en la utilización de información estadística estatal con respecto a actividades -como la turística- sobre la que la Comunidad Autónoma tiene competencia exclusiva (art. 10.37 EAPV), debe señalarse que la competencia autonómica se contrae a la estadística “para sus propios fines y competencias”, mientras que la competencia estadística se atribuye al Estado “para fines estatales” (art. 149.1.31 CE). Al constituir la norma estatal que ordena el subsector de los horarios comerciales ejercicio de una com</w:t>
      </w:r>
      <w:r>
        <w:lastRenderedPageBreak/>
        <w:t>petencia estatal derivada del art. 149.1.13 CE, la utilización por el legislador estatal de información estadística generada en este ámbito por la Administración General del Estado no puede acarrear vulneración alguna de la competencia autonómica en materia de estadística.</w:t>
      </w:r>
    </w:p>
    <w:p w:rsidR="00A90898" w:rsidRDefault="00A90898" w:rsidP="00A90898">
      <w:pPr>
        <w:pStyle w:val="TextoNormal"/>
      </w:pPr>
    </w:p>
    <w:p w:rsidR="00A90898" w:rsidRDefault="00A90898" w:rsidP="00A90898">
      <w:pPr>
        <w:pStyle w:val="TextoNormal"/>
      </w:pPr>
      <w:r w:rsidRPr="00A90898">
        <w:rPr>
          <w:rStyle w:val="NumeroAFNegritaCaracter"/>
        </w:rPr>
        <w:t>4</w:t>
      </w:r>
      <w:r>
        <w:t>. El segundo motivo de impugnación consiste en la pretendida vulneración del art. 149.3 CE, en cuanto que el legislador estatal habría aprobado normas con la finalidad de crear derecho supletorio en una materia de competencia exclusiva de la Comunidad Autónoma del País Vasco. Esta segunda queja también debe descartarse con arreglo a nuestra doctrina emanada con relación a disposiciones estatales similares en materia de horarios comerciales (SSTC 18/2016, FJ 9; 119/2016, de 23 de junio, FJ 5, y 195/2016, FJ 5).</w:t>
      </w:r>
    </w:p>
    <w:p w:rsidR="00A90898" w:rsidRDefault="00A90898" w:rsidP="00A90898">
      <w:pPr>
        <w:pStyle w:val="TextoNormal"/>
      </w:pPr>
    </w:p>
    <w:p w:rsidR="00A90898" w:rsidRDefault="00A90898" w:rsidP="00A90898">
      <w:pPr>
        <w:pStyle w:val="TextoNormal"/>
      </w:pPr>
      <w:r>
        <w:t xml:space="preserve">En primer lugar, debemos matizar la premisa que parece subyacer al alegato de la entidad recurrente. De acuerdo con nuestra doctrina reiterada, la calificación estatutaria como exclusiva de una competencia autonómica no impide el ejercicio de las competencias exclusivas del Estado </w:t>
      </w:r>
      <w:r w:rsidRPr="00A90898">
        <w:rPr>
          <w:i/>
        </w:rPr>
        <w:t>ex</w:t>
      </w:r>
      <w:r>
        <w:t xml:space="preserve"> art. 149.1 CE. Como recuerda la STC 195/2016 (FJ 4), aun existiendo una competencia sobre un subsector económico que una Comunidad Autónoma ha asumido como “exclusiva” en su Estatuto, esa atribución competencial no excluye la competencia estatal para establecer las bases y la coordinación de ese subsector, y el ejercicio autonómico de esta competencia exclusiva puede estar condicionado por medidas estatales, que en ejercicio de una competencia propia y diferenciada pueden desplegarse autónomamente sobre diversos campos o materias. Y en lo que concierne directamente al presente caso, la misma Sentencia señaló que la intervención estatal en la regulación de los horarios comerciales ya ha sido reconocida por nuestra doctrina por su carácter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(STC 88/2010, de 15 de noviembre, FJ 5, reiterado en la STC 26/2012, de 1 de marzo, FJ 7).</w:t>
      </w:r>
    </w:p>
    <w:p w:rsidR="00A90898" w:rsidRDefault="00A90898" w:rsidP="00A90898">
      <w:pPr>
        <w:pStyle w:val="TextoNormal"/>
      </w:pPr>
    </w:p>
    <w:p w:rsidR="00A90898" w:rsidRDefault="00A90898" w:rsidP="00A90898">
      <w:pPr>
        <w:pStyle w:val="TextoNormal"/>
      </w:pPr>
      <w:r>
        <w:t>En segundo lugar, tal y como argumenta el Abogado del Estado, los preceptos impugnados no contienen normas de derecho supletorio en sentido propio. El legislador estatal no ha dictado normas de derecho supletorio para colmar eventuales lagunas de regulación autonómicas. En ejercicio de su competencia, con la finalidad de liberalizar los horarios comerciales, ha dispuesto la siguiente ordenación: las Comunidades Autónomas declararán las zonas de gran afluencia turística en los municipios de su territorio; esa facultad tiene un límite mínimo definido por la norma estatal: en los municipios que cumplan determinados requisitos tendrá que declararse “al menos” una zona de gran afluencia turística; y tiene también un techo obvio, la declaración de todo el término municipal como tal zona. En otras palabras, las Comunidades Autónomas son las competentes para regular la libertad horaria ordenada por la norma estatal dentro de los dos criterios fijados por esta. Así pues, es a la Comunidad Autónoma a quien corresponde la decisión última en el marco diseñado por el legislador estatal.</w:t>
      </w:r>
    </w:p>
    <w:p w:rsidR="00A90898" w:rsidRDefault="00A90898" w:rsidP="00A90898">
      <w:pPr>
        <w:pStyle w:val="TextoNormal"/>
      </w:pPr>
    </w:p>
    <w:p w:rsidR="00A90898" w:rsidRDefault="00A90898" w:rsidP="00A90898">
      <w:pPr>
        <w:pStyle w:val="TextoNormal"/>
      </w:pPr>
      <w:r>
        <w:t>En suma, no estamos, en modo alguno, ante una cláusula de supletoriedad, sino ante una simple consecuencia jurídica derivada de la propia y opcional inactividad autonómica. Así lo hemos declarado también en resoluciones anteriores con respecto a disposiciones similares vinculadas a la decisión autonómica de no ejercer la potestad para determinar las zonas de gran afluencia turística (SSTC 18/2016, FJ 9; 119/2016, de 23 de junio, FJ 5, y 195/2016, FJ 5).</w:t>
      </w:r>
    </w:p>
    <w:p w:rsidR="00A90898" w:rsidRDefault="00A90898" w:rsidP="00A90898">
      <w:pPr>
        <w:pStyle w:val="TextoNormal"/>
      </w:pPr>
    </w:p>
    <w:p w:rsidR="00A90898" w:rsidRDefault="00A90898" w:rsidP="00A90898">
      <w:pPr>
        <w:pStyle w:val="TextoNormal"/>
      </w:pPr>
      <w:r>
        <w:t>Por último, debemos rechazar el reproche relativo a un hipotético entrecruzamiento o confusión con el instituto del silencio administrativo, pues no se levanta la carga alegatoria que incumbe al recurrente de precisar de qué forma tal confusión, en caso de existir, acarrearía una vulneración de la competencia autonómica.</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4" w:name="SENTENCIA_2016_215"/>
      <w:r>
        <w:lastRenderedPageBreak/>
        <w:t>SENTENCIA 215/2016, de 15 de diciembre de 2016</w:t>
      </w:r>
    </w:p>
    <w:bookmarkEnd w:id="94"/>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ECLI:ES:TC:2016:215</w:t>
      </w:r>
    </w:p>
    <w:p w:rsidR="00A90898" w:rsidRDefault="00A90898" w:rsidP="00A90898">
      <w:pPr>
        <w:pStyle w:val="TextoNormalCentrado"/>
      </w:pPr>
    </w:p>
    <w:p w:rsidR="00A90898" w:rsidRDefault="00A90898" w:rsidP="00A90898">
      <w:pPr>
        <w:pStyle w:val="SntesisDescriptiva"/>
      </w:pPr>
      <w:r>
        <w:t>Recurso de inconstitucionalidad 7466-2015. Interpuesto por el Gobierno de la Generalitat de Cataluña respecto de la Ley Orgánica 15/2015, de 16 de octubre, de reforma de la Ley Orgánica 2/1979, de 3 de octubre, del Tribunal Constitucional, para la ejecución de las resoluciones del Tribunal Constitucional como garantía del Estado de Derecho.</w:t>
      </w:r>
    </w:p>
    <w:p w:rsidR="00A90898" w:rsidRDefault="00A90898" w:rsidP="00A90898">
      <w:pPr>
        <w:pStyle w:val="SntesisDescriptiva"/>
      </w:pPr>
    </w:p>
    <w:p w:rsidR="00A90898" w:rsidRDefault="00A90898" w:rsidP="00A90898">
      <w:pPr>
        <w:pStyle w:val="SntesisAnaltica"/>
      </w:pPr>
      <w:r>
        <w:t>Procedimiento legislativo y derecho de participación de los parlamentarios; modelo de justicia constitucional; multas coercitivas, principio de legalidad penal y aforamiento, control de la actividad de las Comunidades Autónomas: constitucionalidad de la regulación legal de medios de ejecución de las resoluciones del Tribunal Constitucional (STC 185/2016). Votos particulares.</w:t>
      </w:r>
    </w:p>
    <w:p w:rsidR="00A90898" w:rsidRDefault="00A90898" w:rsidP="00A90898">
      <w:pPr>
        <w:pStyle w:val="SntesisAnaltica"/>
      </w:pPr>
    </w:p>
    <w:p w:rsidR="00A90898" w:rsidRDefault="00A90898" w:rsidP="00A90898">
      <w:pPr>
        <w:pStyle w:val="Extracto"/>
      </w:pPr>
      <w:r>
        <w:t>1.</w:t>
      </w:r>
      <w:r>
        <w:tab/>
        <w:t>Reitera la STC 185/2016 sobre medidas ejecutivas del Tribunal Constitucional para garantizar la efectividad de sus sentencias y resoluciones [FJ 2].</w:t>
      </w:r>
    </w:p>
    <w:p w:rsidR="00A90898" w:rsidRDefault="00A90898" w:rsidP="00A90898">
      <w:pPr>
        <w:pStyle w:val="Extracto"/>
      </w:pPr>
    </w:p>
    <w:p w:rsidR="00A90898" w:rsidRDefault="00A90898" w:rsidP="00A90898">
      <w:pPr>
        <w:pStyle w:val="Extracto"/>
      </w:pPr>
      <w:r>
        <w:t>2.</w:t>
      </w:r>
      <w:r>
        <w:tab/>
        <w:t>Las multas coercitivas previstas en el artículo 92.4 a) LOTC no suponen una medida sancionadora en sentido propio, pues no se imponen con una finalidad represiva o retributiva por la realización de una conducta antijurídica, sino como coerción o estímulo para el cumplimiento de un deber jurídico o, lo que es lo mismo, como disuasión para su incumplimiento [FJ 8].</w:t>
      </w:r>
    </w:p>
    <w:p w:rsidR="00A90898" w:rsidRDefault="00A90898" w:rsidP="00A90898">
      <w:pPr>
        <w:pStyle w:val="Extracto"/>
      </w:pPr>
    </w:p>
    <w:p w:rsidR="00A90898" w:rsidRDefault="00A90898" w:rsidP="00A90898">
      <w:pPr>
        <w:pStyle w:val="Extracto"/>
      </w:pPr>
      <w:r>
        <w:t>3.</w:t>
      </w:r>
      <w:r>
        <w:tab/>
        <w:t>No cabe reprochar en este caso al legislador que en su libertad de configuración se haya excedido al fijar la horquilla del importe de las multas coercitivas, atendida la relevancia del deber jurídico cuyo cumplimiento pretende garantizar con esta medida, que ha de revestir, a la vez, entidad suficiente para resultar realmente disuasoria de su cumplimiento [FJ 8].</w:t>
      </w:r>
    </w:p>
    <w:p w:rsidR="00A90898" w:rsidRDefault="00A90898" w:rsidP="00A90898">
      <w:pPr>
        <w:pStyle w:val="Extracto"/>
      </w:pPr>
    </w:p>
    <w:p w:rsidR="00A90898" w:rsidRDefault="00A90898" w:rsidP="00A90898">
      <w:pPr>
        <w:pStyle w:val="Extracto"/>
      </w:pPr>
      <w:r>
        <w:t>4.</w:t>
      </w:r>
      <w:r>
        <w:tab/>
        <w:t>Respecto a las resoluciones del Tribunal que acuerden la suspensión de disposiciones, actos o actuaciones impugnadas, es el Tribunal Constitucional, y sólo él, el que, en el ejercicio de su función jurisdiccional, ha de determinar si concurren o no circunstancias de especial trascendencia constitucional y adoptar las medidas que estime necesarias para garantizar la ejecución de sus resoluciones de suspensión [FJ 14].</w:t>
      </w:r>
    </w:p>
    <w:p w:rsidR="00A90898" w:rsidRDefault="00A90898" w:rsidP="00A90898">
      <w:pPr>
        <w:pStyle w:val="Extracto"/>
      </w:pPr>
    </w:p>
    <w:p w:rsidR="00A90898" w:rsidRDefault="00A90898" w:rsidP="00A90898">
      <w:pPr>
        <w:pStyle w:val="Extracto"/>
      </w:pPr>
      <w:r>
        <w:t>5.</w:t>
      </w:r>
      <w:r>
        <w:tab/>
        <w:t>El control sobre la constitucionalidad de las leyes, que a este Tribunal cumple, no puede realizarse sin reconocer y respetar el muy amplio margen o libertad de configuración que le corresponde al legislador para dar curso a sus opciones políticas, opciones que no están previamente programadas en la Constitución de una vez por todas, como si lo único que cupiera hacer en lo sucesivo fuera desarrollar tal programa previo (STC 11/1981 y 191/2016) [FJ 3].</w:t>
      </w:r>
    </w:p>
    <w:p w:rsidR="00A90898" w:rsidRDefault="00A90898" w:rsidP="00A90898">
      <w:pPr>
        <w:pStyle w:val="Extracto"/>
      </w:pPr>
    </w:p>
    <w:p w:rsidR="00A90898" w:rsidRDefault="00A90898" w:rsidP="00A90898">
      <w:pPr>
        <w:pStyle w:val="Extracto"/>
      </w:pPr>
      <w:r>
        <w:t>6.</w:t>
      </w:r>
      <w:r>
        <w:tab/>
        <w:t xml:space="preserve">El legislador no ejecuta la Constitución, sino que crea Derecho con libertad dentro del marco que ésta ofrece, siendo su corolario evidente que, en el juicio a la ley, este Tribunal no ha de hacer las veces de legislador constriñendo su libertad de </w:t>
      </w:r>
      <w:r>
        <w:lastRenderedPageBreak/>
        <w:t>disposición allí donde la Constitución no lo haga de manera inequívoca; sobre el legislador no pesan más límites que los que resulten del texto constitucional, de modo que la vinculación de la ley a la Constitución es de carácter negativo, excluyente de toda trasgresión constitucional, pero no impositiva de una sola configuración del órgano, acabada en todos sus extremos  (STC 11/1981 y 191/2016)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7466-2015, promovido por el Gobierno de la Generalitat de Cataluña, bajo la dirección letrada de don Xavier Castrillo Gutiérrez, doña Roser Revilla Ariet y don Ramón Riu Fortuny, Abogados de la Generalitat de Cataluña, contra la Ley Orgánica 15/2015, de 16 de octubre, de reforma de la Ley Orgánica 2/1979, de 3 de octubre, del Tribunal Constitucional, para la ejecución de las resoluciones del Tribunal Constitucional como garantía del Estado de Derecho. Han comparecido y formulado alegaciones la Letrada de las Cortes Generales doña Paloma Martínez Santa María, en nombre y representación del Congreso de los Diputados, y el Abogado del Estado, en representación del Gobierno. Ha sido Ponente el Magistrado don Pedro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presentado en el Registro General de este Tribunal el día 30 de diciembre de 2015, los Abogados de la Generalitat de Cataluña, en representación de su Gobierno, interpusieron recurso de inconstitucionalidad contra la Ley Orgánica 15/2015, de 16 de octubre, de reforma de la Ley Orgánica 2/1979, de 3 de octubre, del Tribunal Constitucional (LOTC), para la ejecución de las resoluciones del Tribunal Constitucional como garantía del Estado de Derecho.</w:t>
      </w:r>
    </w:p>
    <w:p w:rsidR="00A90898" w:rsidRDefault="00A90898" w:rsidP="00A90898">
      <w:pPr>
        <w:pStyle w:val="TextoNormal"/>
      </w:pPr>
    </w:p>
    <w:p w:rsidR="00A90898" w:rsidRDefault="00A90898" w:rsidP="00A90898">
      <w:pPr>
        <w:pStyle w:val="TextoNormal"/>
      </w:pPr>
      <w:r w:rsidRPr="00A90898">
        <w:rPr>
          <w:rStyle w:val="NumeroAFNegritaCaracter"/>
        </w:rPr>
        <w:t>2</w:t>
      </w:r>
      <w:r>
        <w:t>. Los fundamentos de Derecho en los que se basa el recurso son, sucintamente expuestos, los que siguen:</w:t>
      </w:r>
    </w:p>
    <w:p w:rsidR="00A90898" w:rsidRDefault="00A90898" w:rsidP="00A90898">
      <w:pPr>
        <w:pStyle w:val="TextoNormal"/>
      </w:pPr>
    </w:p>
    <w:p w:rsidR="00A90898" w:rsidRDefault="00A90898" w:rsidP="00A90898">
      <w:pPr>
        <w:pStyle w:val="TextoNormal"/>
      </w:pPr>
      <w:r>
        <w:lastRenderedPageBreak/>
        <w:t xml:space="preserve">a) La Ley Orgánica del Tribunal Constitucional es una de las leyes cuyo objeto y contenido determina la propia Constitución, si bien diversos artículos de su título IX remiten a ulteriores concreciones y desarrollos, como de forma específica resulta del art. 165 CE. Es obvio, sin embargo, que la libertad del legislador no es absoluta, pues se halla sometido y vinculado tanto a los preceptos que integran el título IX CE y a los arts. 53.2, 95 y 163 CE, como al conjunto de los demás preceptos de la Constitución, que al tiempo que determinan los contenidos necesarios de la Ley Orgánica del Tribunal Constitucional, conforman unos límites negativos a su regulación. El mismo Tribunal Constitucional ya se ha referido en las SSTC 66/1985, de 23 de mayo, FJ 4, y 49/2008, de 9 de abril, FJ 3, al alcance de la libertad de configuración del legislador orgánico, a sus límites y al control de constitucionalidad de su propia Ley Orgánica y sus reformas. En concreto, por lo que a este último aspecto se refiere, ha declarado que el control que ha de ejercer ha de ser estrictamente de constitucionalidad, no un control de oportunidad, teniendo que limitarse a los supuestos en los que entran en conflicto el texto de la norma impugnada y el texto de la Constitución, pues es al legislador </w:t>
      </w:r>
      <w:r w:rsidRPr="00A90898">
        <w:rPr>
          <w:i/>
        </w:rPr>
        <w:t>ex</w:t>
      </w:r>
      <w:r>
        <w:t xml:space="preserve"> art. 165 CE a quien le corresponde desarrollar directamente y de forma completa el título IX CE (STC 49/2008, FJ 4).</w:t>
      </w:r>
    </w:p>
    <w:p w:rsidR="00A90898" w:rsidRDefault="00A90898" w:rsidP="00A90898">
      <w:pPr>
        <w:pStyle w:val="TextoNormal"/>
      </w:pPr>
    </w:p>
    <w:p w:rsidR="00A90898" w:rsidRDefault="00A90898" w:rsidP="00A90898">
      <w:pPr>
        <w:pStyle w:val="TextoNormal"/>
      </w:pPr>
      <w:r>
        <w:t>El legislador al aprobar la Ley Orgánica 15/2015 ha llevado a cabo una reforma de la Ley Orgánica del Tribunal Constitucional que, aunque atañe únicamente a cuatro artículos, resulta cualitativamente muy importante, porque confiere al Tribunal algunas atribuciones que exceden de los límites constitucionales para la regulación y la determinación de sus potestades. Además, algunos preceptos no contienen una regulación mínimamente precisa y completa de los instrumentos que se ponen a disposición del Tribunal, limitándose en cuestiones esenciales a enunciar conceptos indeterminados que le dejan un margen de discrecionalidad incompatible con la seguridad jurídica y la previsibilidad que la actuación de un órgano jurisdiccional exige.</w:t>
      </w:r>
    </w:p>
    <w:p w:rsidR="00A90898" w:rsidRDefault="00A90898" w:rsidP="00A90898">
      <w:pPr>
        <w:pStyle w:val="TextoNormal"/>
      </w:pPr>
    </w:p>
    <w:p w:rsidR="00A90898" w:rsidRDefault="00A90898" w:rsidP="00A90898">
      <w:pPr>
        <w:pStyle w:val="TextoNormal"/>
      </w:pPr>
      <w:r>
        <w:t xml:space="preserve">Tras referir los preceptos modificados por la Ley recurrida y reproducir pasajes de su preámbulo, en la demanda se afirma que no se van a cuestionar aspectos relativos a la calidad ni a la oportunidad de la reforma, ni a valorar si con ella se pretende, como se ha sostenido, una utilización espuria del Tribunal Constitucional para evitar al Gobierno y al Senado la carga política de tener que llegar a utilizar el mecanismo extraordinario previsto en el art. 155 CE. Se impugna, en primer lugar, la Ley en su integridad por haberse tramitado por un procedimiento parlamentario que ha vulnerado el Reglamento del Congreso de los Diputados (RCD), condicionado gravemente la formación de la voluntad de la Cámara y comportado una limitación sustancial del derecho fundamental al </w:t>
      </w:r>
      <w:r w:rsidRPr="00A90898">
        <w:rPr>
          <w:i/>
        </w:rPr>
        <w:t>ius in officium</w:t>
      </w:r>
      <w:r>
        <w:t xml:space="preserve"> de sus miembros; y se recurren, en segundo lugar, algunos preceptos concretos, cuya inconstitucionalidad resulta, en unos casos, de la propia naturaleza de las medidas previstas y, en otros, de la indeterminación de las potestades habilitadas.</w:t>
      </w:r>
    </w:p>
    <w:p w:rsidR="00A90898" w:rsidRDefault="00A90898" w:rsidP="00A90898">
      <w:pPr>
        <w:pStyle w:val="TextoNormal"/>
      </w:pPr>
    </w:p>
    <w:p w:rsidR="00A90898" w:rsidRDefault="00A90898" w:rsidP="00A90898">
      <w:pPr>
        <w:pStyle w:val="TextoNormal"/>
      </w:pPr>
      <w:r>
        <w:t xml:space="preserve">La Constitución, a diferencia de lo que ocurre con la ejecución de las resoluciones judiciales de los órganos jurisdiccionales ordinarios (art. 117.3 CE), no contiene mención alguna a la ejecución de las resoluciones del Tribunal Constitucional, enunciando únicamente en su artículo 164 la eficacia frente a todos de aquellas sentencias que no se limiten a la estimación objetiva de un derecho. De sus diferentes enunciados cabría haber deducido una configuración muy limitada de la capacidad del Tribunal Constitucional para adoptar por sí mismo y sin el auxilio de los juzgados y tribunales medidas en orden a dar efectividad a sus propias resoluciones. Por el contrario, la Ley Orgánica 15/2015 asigna al Tribunal unas </w:t>
      </w:r>
      <w:r>
        <w:lastRenderedPageBreak/>
        <w:t>potestades para hacer cumplir sus resoluciones no ya equivalentes, sino incluso superiores y más intrusivas que las atribuidas a los órganos del Poder Judicial.</w:t>
      </w:r>
    </w:p>
    <w:p w:rsidR="00A90898" w:rsidRDefault="00A90898" w:rsidP="00A90898">
      <w:pPr>
        <w:pStyle w:val="TextoNormal"/>
      </w:pPr>
    </w:p>
    <w:p w:rsidR="00A90898" w:rsidRDefault="00A90898" w:rsidP="00A90898">
      <w:pPr>
        <w:pStyle w:val="TextoNormal"/>
      </w:pPr>
      <w:r>
        <w:t>De la función jurisdiccional que le encomienda la Constitución (art. 161), así como del contenido de su art. 164.1 y de los arts. 40.2, 87.1 y 92 LOTC, el propio Tribunal ha deducido el efecto vinculante de sus resoluciones y su capacidad para adoptar las medidas necesarias para garantizar su efectividad (STC 25/2015, de 19 de febrero, FJ 7; AATC 107/2009, de 24 de marzo, FFJJ 2 y 4, y 157/2014, de 28 de mayo, FJ 2). Por su parte, la Ley Orgánica del Tribunal Constitucional en su redacción original ya incorporó algunas previsiones en orden a la posibilidad de que el Tribunal adopte medidas de ejecución de sus resoluciones, como el enunciado del deber de todos los poderes públicos de cumplir lo que el Tribunal resuelva (art. 87.1 LOTC), la posibilidad de solicitar el auxilio jurisdiccional a los Juzgados y Tribunales y el deber de éstos de prestarlo con carácter preferente y urgente (art. 87.2 LOTC), así como la habilitación para disponer en sus sentencias o resoluciones, o en actos posteriores, quien ha de ejecutarlas y, en su caso, resolver las incidencias de la ejecución (art. 92 LOTC). Estas previsiones fueron reforzadas con el reconocimiento al Tribunal de la facultad de declarar la nulidad de cualesquiera resoluciones que contravengan las dictadas en el ejercicio de su jurisdicción, con ocasión de la ejecución de éstas, previa audiencia del Ministerio Fiscal y del órgano que las dictó (art. 92, párrafo segundo, de la Ley Orgánica 6/2007, de 24 de mayo).</w:t>
      </w:r>
    </w:p>
    <w:p w:rsidR="00A90898" w:rsidRDefault="00A90898" w:rsidP="00A90898">
      <w:pPr>
        <w:pStyle w:val="TextoNormal"/>
      </w:pPr>
    </w:p>
    <w:p w:rsidR="00A90898" w:rsidRDefault="00A90898" w:rsidP="00A90898">
      <w:pPr>
        <w:pStyle w:val="TextoNormal"/>
      </w:pPr>
      <w:r>
        <w:t>La nueva redacción que la Ley Orgánica 15/2015 da al art. 92.1 LOTC cambia radicalmente el escenario anterior e impone al Tribunal con carácter general una nueva función, la de velar por el cumplimiento efectivo de sus resoluciones, de modo que el Tribunal debe vigilar, manteniendo su seguimiento, por la ejecución de todas sus resoluciones y, en caso de que no se cumplan o no tengan la debida efectividad, debe adoptar las medidas precisas en orden a alcanzar esa efectividad frente a cualquier particular, autoridad o poder público. No obstante, si del enunciado constitucional de la obligación general de cumplir las sentencias del Tribunal Constitucional y de su carácter de órgano jurisdiccional, así como de los preceptos citados de la Ley Orgánica del Tribunal Constitucional se ha deducido la potestad del Tribunal de ejecutar sus resoluciones, preciso es reconocer que esa potestad ejecutiva se halla necesariamente modulada en función del objeto propio de cada uno de los procesos de los que conoce y en los que recaen sus resoluciones. Por lo tanto, para determinar la dimensión de las potestades del Tribunal en orden a la ejecución de sus resoluciones es imprescindible atender a la naturaleza y objeto del proceso en las que recaigan.</w:t>
      </w:r>
    </w:p>
    <w:p w:rsidR="00A90898" w:rsidRDefault="00A90898" w:rsidP="00A90898">
      <w:pPr>
        <w:pStyle w:val="TextoNormal"/>
      </w:pPr>
    </w:p>
    <w:p w:rsidR="00A90898" w:rsidRDefault="00A90898" w:rsidP="00A90898">
      <w:pPr>
        <w:pStyle w:val="TextoNormal"/>
      </w:pPr>
      <w:r>
        <w:t>b) Los Abogados del Gobierno de la Generalitat aducen como primer motivo de inconstitucionalidad de la Ley Orgánica 15/2015 que su tramitación parlamentaria directa y en lectura única ha vulnerado el art. 150 RCD y los derechos fundamentales que a los diputados reconoce el art. 23 CE.</w:t>
      </w:r>
    </w:p>
    <w:p w:rsidR="00A90898" w:rsidRDefault="00A90898" w:rsidP="00A90898">
      <w:pPr>
        <w:pStyle w:val="TextoNormal"/>
      </w:pPr>
    </w:p>
    <w:p w:rsidR="00A90898" w:rsidRDefault="00A90898" w:rsidP="00A90898">
      <w:pPr>
        <w:pStyle w:val="TextoNormal"/>
      </w:pPr>
      <w:r>
        <w:t xml:space="preserve">El Pleno del Congreso de los Diputados acordó la tramitación directa y en lectura única de la proposición de ley presentada por el Grupo Parlamentario Popular, disponiendo además, de conformidad con lo establecido en los arts. 93 y 125.5 RCD, su tramitación por el procedimiento de urgencia, procedimiento este último que reduce a la mitad los plazos ordinarios de tramitación en la Cámara baja (arts. 93 y 94 RCD) y a un máximo de 20 días naturales el plazo para la tramitación en el Senado de la proposición o proyecto de ley (art. 90.3 CE). Así pues, en este caso la declaración de urgencia en el Congreso de los Diputados </w:t>
      </w:r>
      <w:r>
        <w:lastRenderedPageBreak/>
        <w:t>se proyectó no sobre los plazos del procedimiento legislativo ordinario, sino sobre los del procedimiento en lectura única, reduciendo a la mitad unos plazos ya de por sí abreviados.</w:t>
      </w:r>
    </w:p>
    <w:p w:rsidR="00A90898" w:rsidRDefault="00A90898" w:rsidP="00A90898">
      <w:pPr>
        <w:pStyle w:val="TextoNormal"/>
      </w:pPr>
    </w:p>
    <w:p w:rsidR="00A90898" w:rsidRDefault="00A90898" w:rsidP="00A90898">
      <w:pPr>
        <w:pStyle w:val="TextoNormal"/>
      </w:pPr>
      <w:r>
        <w:t xml:space="preserve">El procedimiento de tramitación directa y en lectura única </w:t>
      </w:r>
      <w:r w:rsidRPr="00A90898">
        <w:rPr>
          <w:i/>
        </w:rPr>
        <w:t>ex</w:t>
      </w:r>
      <w:r>
        <w:t xml:space="preserve"> art. 150 RCD sólo resulta apto para textos muy breves, que permitan un tratamiento de conjunto y no se avengan a cambios o modificaciones parciales, ya sea por la simplicidad de su enunciado, ya por requerir una consideración unitaria en su formulación e incorporación al ordenamiento.</w:t>
      </w:r>
    </w:p>
    <w:p w:rsidR="00A90898" w:rsidRDefault="00A90898" w:rsidP="00A90898">
      <w:pPr>
        <w:pStyle w:val="TextoNormal"/>
      </w:pPr>
    </w:p>
    <w:p w:rsidR="00A90898" w:rsidRDefault="00A90898" w:rsidP="00A90898">
      <w:pPr>
        <w:pStyle w:val="TextoNormal"/>
      </w:pPr>
      <w:r>
        <w:t>El sentido propio de la exigencia del art. 150 RCD relativa a “cuando la naturaleza del proyecto o proposición de ley tomada en consideración lo aconsejen” debería excluir la aplicación del procedimiento en lectura única a las regulaciones de especial relevancia constitucional, bien sea porque afectan a derechos fundamentales o valores constitucionales o a la configuración de los órganos constitucionales, sus potestades o relaciones entre ellos. A su vez, el sentido del requisito referido a “su simplicidad de formulación” debería excluir de dicho procedimiento proyectos o proposiciones de ley que no sean breves o que sean susceptibles de distintos debates parlamentarios centrados sobre preceptos concretos, en los que puedan plantearse alternativas y no únicamente la aprobación o rechazo en conjunto, y requieran, por tanto, un debate más profundo o un mayor grado de participación parlamentaria.</w:t>
      </w:r>
    </w:p>
    <w:p w:rsidR="00A90898" w:rsidRDefault="00A90898" w:rsidP="00A90898">
      <w:pPr>
        <w:pStyle w:val="TextoNormal"/>
      </w:pPr>
    </w:p>
    <w:p w:rsidR="00A90898" w:rsidRDefault="00A90898" w:rsidP="00A90898">
      <w:pPr>
        <w:pStyle w:val="TextoNormal"/>
      </w:pPr>
      <w:r>
        <w:t>Los Abogados de la Generalitat reconocen que la interpretación de los enunciados del art. 150 RCD ha dado lugar a que los usos parlamentarios hayan venido admitiendo ocasionalmente que la naturaleza no tan simple de un proyecto o proposición de ley no impida la utilización del procedimiento en lectura única, siempre que desde el inicio de la tramitación exista un amplio consenso entre los grupos representados en la Cámara respecto a su contenido, de forma que resulte previsible que a lo largo de su tramitación van a proponerse pocos cambios. Sin embargo, en el caso de la proposición de ley aprobada como Ley Orgánica 15/2015, el consenso fue inexistente, ya que fue presentada, impulsada y aprobada por un único grupo parlamentario y la oposición de los demás.</w:t>
      </w:r>
    </w:p>
    <w:p w:rsidR="00A90898" w:rsidRDefault="00A90898" w:rsidP="00A90898">
      <w:pPr>
        <w:pStyle w:val="TextoNormal"/>
      </w:pPr>
    </w:p>
    <w:p w:rsidR="00A90898" w:rsidRDefault="00A90898" w:rsidP="00A90898">
      <w:pPr>
        <w:pStyle w:val="TextoNormal"/>
      </w:pPr>
      <w:r>
        <w:t xml:space="preserve">Tras reproducir la doctrina de este Tribunal sobre el derecho de participación de los diputados en el procedimiento legislativo como elemento integrante de su </w:t>
      </w:r>
      <w:r w:rsidRPr="00A90898">
        <w:rPr>
          <w:i/>
        </w:rPr>
        <w:t>ius in officium</w:t>
      </w:r>
      <w:r>
        <w:t xml:space="preserve"> (SSTC 103/2008, de 11 de septiembre, FJ 5; 238/2012, de 13 de diciembre, FJ 4, y ATC 118/199, de 10 de mayo, FJ 2), en la demanda se afirma que la reforma introducida por la Ley Orgánica 15/2015 supone un cambio profundo de las funciones del Tribunal Constitucional, que puede tener múltiples implicaciones en su cometido jurisdiccional y en su relación con otros poderes públicos. Además, la insólita naturaleza de alguna de las medidas previstas no sólo desaconsejaba abreviar el tiempo de reflexión y debate parlamentario, sino que a todas luces requería de una tramitación que facilitara la participación más plural y consensuada posible y, por tanto, impedía seguir el procedimiento en lectura única. A pesar de tratarse de un texto breve, sus prescripciones podían ser tratadas singularmente y modificadas parcialmente en distintos sentidos. De hecho, se presentaron por los distintos grupos parlamentarios numerosas enmiendas, no únicamente a la totalidad, sino también a su articulado, que tuvieron que ser abordadas conjuntamente en un único debate en el Pleno del Congreso, con la premura, el desconcierto y la confusión que quedaron reflejados en el Diario de sesiones. En estas circunstancias, la limitación del derecho de los diputados a participar en la trami</w:t>
      </w:r>
      <w:r>
        <w:lastRenderedPageBreak/>
        <w:t>tación de esta proposición de ley, por no haberse celebrado debates más pausados en ponencia y en comisión, se agravó por la reducción de plazos resultante de la tramitación por el procedimiento de urgencia.</w:t>
      </w:r>
    </w:p>
    <w:p w:rsidR="00A90898" w:rsidRDefault="00A90898" w:rsidP="00A90898">
      <w:pPr>
        <w:pStyle w:val="TextoNormal"/>
      </w:pPr>
    </w:p>
    <w:p w:rsidR="00A90898" w:rsidRDefault="00A90898" w:rsidP="00A90898">
      <w:pPr>
        <w:pStyle w:val="TextoNormal"/>
      </w:pPr>
      <w:r>
        <w:t>Es cierto que en ocasiones la especial relevancia de una reforma legal o incluso constitucional no ha sido óbice para que el Congreso de los Diputados siguiera en su tramitación el procedimiento en lectura única (ATC 9/2012, de 13 de enero, y STC 238/2010). Pero en estos casos se trataba de textos legales distintos, tramitados en circunstancias también muy diferentes de las que concurrían en este supuesto y que en su momento contaron con un amplio consenso entre los distintos grupos de la Cámara, lo que impide aplicar ahora las soluciones tomadas entonces.</w:t>
      </w:r>
    </w:p>
    <w:p w:rsidR="00A90898" w:rsidRDefault="00A90898" w:rsidP="00A90898">
      <w:pPr>
        <w:pStyle w:val="TextoNormal"/>
      </w:pPr>
    </w:p>
    <w:p w:rsidR="00A90898" w:rsidRDefault="00A90898" w:rsidP="00A90898">
      <w:pPr>
        <w:pStyle w:val="TextoNormal"/>
      </w:pPr>
      <w:r>
        <w:t>A mayor abundamiento, la tramitación de la proposición de ley por el procedimiento en lectura única choca con el precedente inmediato de que la propia Cámara tramitó por el procedimiento ordinario la iniciativa legislativa aprobada como Ley Orgánica 12/2015, de 22 de septiembre, de modificación de la Ley Orgánica 2/1979, de 3 de octubre, del Tribunal Constitucional, para el establecimiento del recurso previo de inconstitucionalidad para los proyectos de Ley Orgánica de Estatutos de Autonomía o de su modificación. Iniciativa sin duda de menor calado que la actual reforma de la Ley Orgánica del Tribunal Constitucional, ya que únicamente se modificaron por aquélla dos preceptos de la Ley Orgánica del Tribunal Constitucional, limitándose a recuperar, con algunas modulaciones y un objeto mucho más restringido, uno de los procedimientos que había establecido la redacción original de la Ley Orgánica del Tribunal Constitucional y que estuvo vigente hasta su derogación por la Ley Orgánica 4/1985, de 7 de junio. Además en aquel caso, a diferencia del que ahora nos ocupa, se contó con el informe del Consejo de Estado, que aportó a la Cámara un estudio muy útil para la deliberación parlamentaria.</w:t>
      </w:r>
    </w:p>
    <w:p w:rsidR="00A90898" w:rsidRDefault="00A90898" w:rsidP="00A90898">
      <w:pPr>
        <w:pStyle w:val="TextoNormal"/>
      </w:pPr>
    </w:p>
    <w:p w:rsidR="00A90898" w:rsidRDefault="00A90898" w:rsidP="00A90898">
      <w:pPr>
        <w:pStyle w:val="TextoNormal"/>
      </w:pPr>
      <w:r>
        <w:t>En consecuencia, al no concurrir los requisitos que el art. 150 RCD establece para el procedimiento en lectura única, la tramitación de la proposición de ley por este procedimiento determina su inconstitucionalidad formal y la vulneración de los derechos fundamentales que a los diputados reconoce y garantiza el art. 23 CE.</w:t>
      </w:r>
    </w:p>
    <w:p w:rsidR="00A90898" w:rsidRDefault="00A90898" w:rsidP="00A90898">
      <w:pPr>
        <w:pStyle w:val="TextoNormal"/>
      </w:pPr>
    </w:p>
    <w:p w:rsidR="00A90898" w:rsidRDefault="00A90898" w:rsidP="00A90898">
      <w:pPr>
        <w:pStyle w:val="TextoNormal"/>
      </w:pPr>
      <w:r>
        <w:t>c) El primero de los motivos de inconstitucionalidad de orden sustantivo se imputa al artículo único, apartado 3, de la Ley Orgánica 15/2015, en la redacción que da al art. 92.4 a) LOTC, que habilita al Tribunal Constitucional para imponer y reiterar multas coercitivas de tres mil a treinta mil euros a las autoridades, empleados públicos o particulares que incumplieren sus resoluciones. El precepto, en opinión de los Abogados de la Generalitat, vulnera los principios de seguridad jurídica (art. 9.3) y de legalidad (art. 25), así como el art. 165 CE, al no establecer parámetro alguno de gradación de las multas coercitivas ni de los plazos para reiterarlas.</w:t>
      </w:r>
    </w:p>
    <w:p w:rsidR="00A90898" w:rsidRDefault="00A90898" w:rsidP="00A90898">
      <w:pPr>
        <w:pStyle w:val="TextoNormal"/>
      </w:pPr>
    </w:p>
    <w:p w:rsidR="00A90898" w:rsidRDefault="00A90898" w:rsidP="00A90898">
      <w:pPr>
        <w:pStyle w:val="TextoNormal"/>
      </w:pPr>
      <w:r>
        <w:t>i. El importe de las multas coercitivas que prevé el art. 92.1 a) LOTC supone un gran incremento respecto al establecido por la Ley Orgánica 6/2007, de 24 de mayo —de 600 a 3.000 €—, y comporta no sólo un cambio cuantitativo de la medida, sino también cualitativo, al adquirir naturaleza sancionadora, pues la cuantía fijada resulta claramente desvinculada y desproporcionada en relación con la capacidad económica de los sujetos que pueden ser sancionados y no guarda relación alguna con una actualización de las cantidades anteriormente previstas.</w:t>
      </w:r>
    </w:p>
    <w:p w:rsidR="00A90898" w:rsidRDefault="00A90898" w:rsidP="00A90898">
      <w:pPr>
        <w:pStyle w:val="TextoNormal"/>
      </w:pPr>
    </w:p>
    <w:p w:rsidR="00A90898" w:rsidRDefault="00A90898" w:rsidP="00A90898">
      <w:pPr>
        <w:pStyle w:val="TextoNormal"/>
      </w:pPr>
      <w:r>
        <w:t>El importe es muy superior al de las multas del art. 48.7 a) de la Ley reguladora de la jurisdicción contencioso-administrativa (LJCA) —de 300 a 1.200 €—, que pueden imponerse a la autoridad o empleado responsable de no atender el requerimiento del órgano judicial para remitir el expediente administrativo reclamado, así como al de las multas coercitivas del art. 112 LJCA —de 150 a 1.500 €—, que pueden ser impuestas a las autoridades, funcionarios o agentes que incumplan los requerimientos del órgano jurisdiccional en orden a la ejecución del fallo judicial. Esa enorme diferencia entre los respectivos importes resulta especialmente llamativa cuando los multados por los juzgados y tribunales del orden contencioso-administrativo y por el Tribunal Constitucional pueden ser en ambos casos las mismas autoridades o funcionarios públicos.</w:t>
      </w:r>
    </w:p>
    <w:p w:rsidR="00A90898" w:rsidRDefault="00A90898" w:rsidP="00A90898">
      <w:pPr>
        <w:pStyle w:val="TextoNormal"/>
      </w:pPr>
    </w:p>
    <w:p w:rsidR="00A90898" w:rsidRDefault="00A90898" w:rsidP="00A90898">
      <w:pPr>
        <w:pStyle w:val="TextoNormal"/>
      </w:pPr>
      <w:r>
        <w:t>A la vista de los salarios que actualmente perciben las autoridades y funcionarios públicos por el desempeño de sus cargos y puestos de trabajo, la cuantía de las multas del art. 92.4 a) LOTC es desproporcionada y su imposición tendrá unas consecuencias muy gravosas para los sujetos pasivos, pudiendo llegar a tener un efecto devastador si esas multas llegan a reiterarse.</w:t>
      </w:r>
    </w:p>
    <w:p w:rsidR="00A90898" w:rsidRDefault="00A90898" w:rsidP="00A90898">
      <w:pPr>
        <w:pStyle w:val="TextoNormal"/>
      </w:pPr>
    </w:p>
    <w:p w:rsidR="00A90898" w:rsidRDefault="00A90898" w:rsidP="00A90898">
      <w:pPr>
        <w:pStyle w:val="TextoNormal"/>
      </w:pPr>
      <w:r>
        <w:t>ii. La inconstitucionalidad del precepto impugnado radica no sólo en el excesivo y desproporcionado importe de las multas, sino también y, principalmente, en la ausencia absoluta, dado el carácter sancionador que han adquirido, de criterios para la graduación de las multas y la determinación de los plazos para reiterarlas, quedando todo ello a la libre apreciación del Tribunal Constitucional. El legislador ha incumplido, por lo tanto, el deber de definir los criterios a los que tendría que atender el Tribunal para fijar la cuantía de la multa, que debe ser adecuada y proporcionada a las circunstancias del caso, y el plazo a partir del cual puede ser reiterada, de modo que la imposición de las multas coercitivas carece del imprescindible grado de certeza y previsibilidad.</w:t>
      </w:r>
    </w:p>
    <w:p w:rsidR="00A90898" w:rsidRDefault="00A90898" w:rsidP="00A90898">
      <w:pPr>
        <w:pStyle w:val="TextoNormal"/>
      </w:pPr>
    </w:p>
    <w:p w:rsidR="00A90898" w:rsidRDefault="00A90898" w:rsidP="00A90898">
      <w:pPr>
        <w:pStyle w:val="TextoNormal"/>
      </w:pPr>
      <w:r>
        <w:t>La imposición de estas multas no va a poder ser impugnada ni revisada por ningún órgano jurisdiccional del Estado. A lo sumo, a tenor del art. 93 LOTC, podrá interponerse recurso de súplica ante el propio Tribunal Constitucional. La inexistencia de esa posibilidad de revisión por otro órgano jurisdiccional obligaba al legislador a garantizar la taxatividad y predeterminación normativa de esas sanciones mediante la definición legal de los criterios de gradación de las cuantías y del plazo para su reiteración. De lo contrario, como sucede con el precepto recurrido, se entrega a un órgano constitucional una potestad incondicional frente a cuyo ejercicio no es posible constatar si se incurre en arbitrariedad o su adecuación al principio de igualdad.</w:t>
      </w:r>
    </w:p>
    <w:p w:rsidR="00A90898" w:rsidRDefault="00A90898" w:rsidP="00A90898">
      <w:pPr>
        <w:pStyle w:val="TextoNormal"/>
      </w:pPr>
    </w:p>
    <w:p w:rsidR="00A90898" w:rsidRDefault="00A90898" w:rsidP="00A90898">
      <w:pPr>
        <w:pStyle w:val="TextoNormal"/>
      </w:pPr>
      <w:r>
        <w:t xml:space="preserve">El legislador debería haber establecido unos parámetros y criterios de gradación de las multas, como, por ejemplo, el nivel de participación de cada sujeto pasivo en el incumplimiento, la mayor o menor gravedad de la conducta incumplidora, la contumacia del incumplidor, su capacidad económica, o, en fin, la urgencia o perentoriedad de la situación derivada del incumplimiento, que permitieran garantizar una mínima igualdad en el tratamiento de los sujetos pasivos ante la imposición de multas. Así viene establecido en la Ley de enjuiciamiento civil, para las multas coercitivas (art. 591, en relación con los arts. 589 y 711); o en la Ley reguladora de la jurisdicción contencioso-administrativa, en la que se fija el plazo en el que las multas coercitivas pueden ser reiteradas [art. 112 a)]; o, en la Ley de </w:t>
      </w:r>
      <w:r>
        <w:lastRenderedPageBreak/>
        <w:t>régimen jurídico de las Administraciones públicas y del procedimiento administrativo común (LPC), que remite a las leyes que en cada caso las prevean la definición de los supuestos, la forma y la cuantía en los que pueden imponerse o reiterarse las multas coercitivas (artículo 103). En este sentido, tampoco puede desconocerse que para la imposición de las multas coercitivas por el Tribunal de Justicia de la Unión Europea (art. 260.2 del Tratado de funcionamiento de la Unión Europea: TFUE), la Comisión ha emitido diversas comunicaciones conforme a las cuales ha objetivado la determinación de sus cuantías mediante una completa regulación por la que se multiplica un tanto alzado de base uniforme, primero por un coeficiente de gravedad y un coeficiente de duración, y posteriormente por un factor fijo, que toma en cuenta la capacidad económica del Estado al que se impone la multa.</w:t>
      </w:r>
    </w:p>
    <w:p w:rsidR="00A90898" w:rsidRDefault="00A90898" w:rsidP="00A90898">
      <w:pPr>
        <w:pStyle w:val="TextoNormal"/>
      </w:pPr>
    </w:p>
    <w:p w:rsidR="00A90898" w:rsidRDefault="00A90898" w:rsidP="00A90898">
      <w:pPr>
        <w:pStyle w:val="TextoNormal"/>
      </w:pPr>
      <w:r>
        <w:t>iii. Se continúa argumentando en la demanda que las multas coercitivas del art. 92.4 a) LOTC pueden presentar una función conminatoria y de estímulo del cumplimiento de una resolución del Tribunal y del requerimiento formulado, pero al mismo tiempo tienen también una función netamente sancionadora, que emerge con toda claridad del hecho de que el incumplimiento de aquella resolución es una conducta inconstitucional (arts. 164 CE y 87 LOTC) que viene a ser sancionada de forma inmediata con la imposición de la multa. Igualmente su función sancionadora resulta de su elevado importe y de la consiguiente penalidad que su pago va a suponer para los sujetos pasivos a quienes se impongan.</w:t>
      </w:r>
    </w:p>
    <w:p w:rsidR="00A90898" w:rsidRDefault="00A90898" w:rsidP="00A90898">
      <w:pPr>
        <w:pStyle w:val="TextoNormal"/>
      </w:pPr>
    </w:p>
    <w:p w:rsidR="00A90898" w:rsidRDefault="00A90898" w:rsidP="00A90898">
      <w:pPr>
        <w:pStyle w:val="TextoNormal"/>
      </w:pPr>
      <w:r>
        <w:t>Es cierto que el Tribunal Constitucional tiene declarado que las multas coercitivas que puede imponer la Administración no han de ser calificadas necesariamente de sanciones, sino que pueden constituir un medio independiente y compatible con ellas cuando sirven de modo instrumental a la ejecución forzosa de las obligaciones personalísimas y no comportan un efecto sancionador (SSTC 239/1988, de 14 de diciembre, FFJJ 2 y 3, y 164/1995, 13 de noviembre, FJ 4). Pero el Tribunal ha admitido también (SSTC 61/1990, de 29 de marzo; 276/2000, de 26 de noviembre; 291/2000, de 30 de noviembre; 132/2000, de 16 de mayo; 26/2005, de 14 de febrero, y 39/2011, de 31 de marzo) que ni la denominación legalmente conferida a una medida restrictiva de derechos individuales, ni la mera voluntad del legislador de excluir la medida del ámbito sancionador bastan para privar a la imposición de medidas restrictivas de derechos del régimen de garantías que la Constitución establece para el ejercicio de potestades sancionadoras. Es preciso partir del concepto material de sanción y atender a la verdadera naturaleza, finalidad y función punitiva de la medida, tomando en consideración si su imposición parte de la apreciación de conductas incumplidoras y de las consecuencias personales y no objetivas que tienen las medidas para los sujetos pasivos sobre los que recaen (STC 48/2003, 12 de marzo, FJ 9). Es necesario indagar en cada caso, de conformidad con esta doctrina constitucional, sobre la verdadera naturaleza de la medida concreta, resultando determinante a tales efectos la función que pretende conseguirse a través de su imposición, para lo que deben tenerse en cuenta los siguientes dos elementos: “(i) si tiene carácter general porque protege los derechos e intereses de los miembros de la comunidad y se dirige potencialmente a la población entera y (ii) si la finalidad de la pena es punitiva y disuasoria al mismo tiempo” (STC 181/2014, de 6 de noviembre, FFJJ 5 y 6).</w:t>
      </w:r>
    </w:p>
    <w:p w:rsidR="00A90898" w:rsidRDefault="00A90898" w:rsidP="00A90898">
      <w:pPr>
        <w:pStyle w:val="TextoNormal"/>
      </w:pPr>
    </w:p>
    <w:p w:rsidR="00A90898" w:rsidRDefault="00A90898" w:rsidP="00A90898">
      <w:pPr>
        <w:pStyle w:val="TextoNormal"/>
      </w:pPr>
      <w:r>
        <w:t xml:space="preserve">En este caso resulta innegable la concurrencia del primer requisito, puesto que la imposición de multas tendría un efecto general sobre la población entera y sobre el propio sistema constitucional, ya que coadyuvaría al cumplimiento de las resoluciones del Tribunal Constitucional y con ello a la garantía del orden público procesal. Pero también concurriría el segundo requisito, dado que las multas coercitivas previstas en el art. 92.4 a) LOTC tienen </w:t>
      </w:r>
      <w:r>
        <w:lastRenderedPageBreak/>
        <w:t>un componente sancionador o de castigo que responde a una previa valoración negativa de la conducta incumplidora de una resolución del Tribunal Constitucional, además del incumplimiento accesorio de no atender en plazo el requerimiento formulado. A ello se añade el efecto derivado del elevado coste que va a suponer para los multados, que más allá de perseguir el restablecimiento de la legalidad, configura materialmente a la multa impuesta como una sanción, puesto que se inflige un perjuicio añadido con el que se afecta al infractor en el círculo de sus bienes, por lo que, necesariamente, la definición legal de estas multas requiere la aplicación de las garantías sustantivas y procedimentales que los arts. 25 y 24.2 CE exigen para la imposición de sanciones.</w:t>
      </w:r>
    </w:p>
    <w:p w:rsidR="00A90898" w:rsidRDefault="00A90898" w:rsidP="00A90898">
      <w:pPr>
        <w:pStyle w:val="TextoNormal"/>
      </w:pPr>
    </w:p>
    <w:p w:rsidR="00A90898" w:rsidRDefault="00A90898" w:rsidP="00A90898">
      <w:pPr>
        <w:pStyle w:val="TextoNormal"/>
      </w:pPr>
      <w:r>
        <w:t>En consecuencia, la previsión de las multas coercitivas del art. 92.4 a) LOTC, exenta de criterios o parámetros de gradación, contraviene las más elementales garantías que han de ofrecer a los ciudadanos y poderes públicos las normas sancionadoras, infringiendo, por tanto, los principios de legalidad en materia sancionadora (art. 25 CE) y de seguridad jurídica (art. 9.3 CE), así como el mandato que el art. 165 CE dirige al legislador orgánico para regular el funcionamiento del Tribunal, el procedimiento ante el mismo y las condiciones para el ejercicio de las acciones.</w:t>
      </w:r>
    </w:p>
    <w:p w:rsidR="00A90898" w:rsidRDefault="00A90898" w:rsidP="00A90898">
      <w:pPr>
        <w:pStyle w:val="TextoNormal"/>
      </w:pPr>
    </w:p>
    <w:p w:rsidR="00A90898" w:rsidRDefault="00A90898" w:rsidP="00A90898">
      <w:pPr>
        <w:pStyle w:val="TextoNormal"/>
      </w:pPr>
      <w:r>
        <w:t>d) Como segundo motivo de inconstitucionalidad de orden sustantivo, los Abogados de la Generalitat de Cataluña sostienen que el art. único, apartado 3, de la Ley Orgánica 15/2015, en la redacción que da al art. 92.4 b) LOTC, vulnera los arts. 25 y 161.1 CE.</w:t>
      </w:r>
    </w:p>
    <w:p w:rsidR="00A90898" w:rsidRDefault="00A90898" w:rsidP="00A90898">
      <w:pPr>
        <w:pStyle w:val="TextoNormal"/>
      </w:pPr>
    </w:p>
    <w:p w:rsidR="00A90898" w:rsidRDefault="00A90898" w:rsidP="00A90898">
      <w:pPr>
        <w:pStyle w:val="TextoNormal"/>
      </w:pPr>
      <w:r>
        <w:t>i. La suspensión en sus funciones de las autoridades o empleados públicos, prevista en el precepto impugnado, es una medida novedosa y sin precedentes en la Ley Orgánica del Tribunal Constitucional, extraña a la naturaleza y funciones características del Tribunal Constitucional. Es cierto que se halla contemplada en otras disposiciones legales, pero en relación con el régimen disciplinario de los empleados públicos o con el sistema penal vigente que aplican los Jueces y Tribunales del Poder Judicial o el Consejo General del Poder Judicial [arts. 33.2 e), 33.3 c), 39. c), 43 y 56.1.1 del Código penal; 90, 96 y 98 del texto refundido de la Ley del estatuto básico del empleado público, y 420 de la Ley Orgánica del Poder Judicial (LOPJ)]. Todos estos supuestos parecen, por tanto, alejados del objeto propio de la jurisdicción del Tribunal Constitucional, quien no puede actuar como Juez penal, puesto que, entre otras razones, sus miembros no se hallan sujetos al régimen de incompatibilidades de los jueces y magistrados. En definitiva, el ordenamiento ha configurado la suspensión de autoridades o funcionarios como una sanción disciplinaria o penal o como una medida provisional previa a dichas sanciones. Asimismo, la Ley de la jurisdicción contencioso-administrativa, cuya aplicación con carácter supletorio dispone el art. 80 LOTC en materia de ejecución de resoluciones, no habilita la adopción de una medida como la suspensión de funciones de autoridades o empleados públicos para la ejecución de las sentencias de este orden jurisdiccional.</w:t>
      </w:r>
    </w:p>
    <w:p w:rsidR="00A90898" w:rsidRDefault="00A90898" w:rsidP="00A90898">
      <w:pPr>
        <w:pStyle w:val="TextoNormal"/>
      </w:pPr>
    </w:p>
    <w:p w:rsidR="00A90898" w:rsidRDefault="00A90898" w:rsidP="00A90898">
      <w:pPr>
        <w:pStyle w:val="TextoNormal"/>
      </w:pPr>
      <w:r>
        <w:t xml:space="preserve">ii. La medida del art. 92.4 b) LOTC no es idónea para la ejecución forzosa de las resoluciones dictadas por el Tribunal en los procesos que ha de conocer. En efecto, las sentencias dictadas tanto en los procesos en los que se declara la inconstitucionalidad de normas con rango de ley, como en los que resuelven conflictos positivos de competencia o en las impugnaciones del título V LOTC tienen un valor eminentemente declarativo y la consecuencia habitual de la declaración de inconstitucionalidad y nulidad de las disposiciones o actos es la de no reproducirlos ni darles efectividad alguna. Otro tanto cabe decir de la ejecución </w:t>
      </w:r>
      <w:r>
        <w:lastRenderedPageBreak/>
        <w:t>de cualesquiera resoluciones adoptadas por el Tribunal Constitucional a lo largo de dichos procedimientos. Por lo tanto, la suspensión en sus funciones de autoridades o empleados públicos no es una medida que pueda resultar idónea para garantizar la ejecución de la resolución adoptada. En caso de que por parte de las autoridades o funcionarios públicos se actuase para mantener o reproducir las disposiciones o actos anulados, la medida de ejecución que debería adoptar el Tribunal es la declaración de nulidad de cualesquiera resoluciones que contravengan las dictadas en el ejercicio de su jurisdicción (art. 92.1, párrafo segundo, LOTC).</w:t>
      </w:r>
    </w:p>
    <w:p w:rsidR="00A90898" w:rsidRDefault="00A90898" w:rsidP="00A90898">
      <w:pPr>
        <w:pStyle w:val="TextoNormal"/>
      </w:pPr>
    </w:p>
    <w:p w:rsidR="00A90898" w:rsidRDefault="00A90898" w:rsidP="00A90898">
      <w:pPr>
        <w:pStyle w:val="TextoNormal"/>
      </w:pPr>
      <w:r>
        <w:t>Si las resoluciones del Tribunal determinasen obligaciones positivas de hacer, de adoptar medidas, proveer medios o aprobar disposiciones o si de ellas resultasen obligaciones personalísimas y no se estuvieran adoptando o aprobando por parte de las autoridades o empleados públicos competentes, tampoco parece que la suspensión de esas autoridades o funcionarios pueda resultar de alguna utilidad en orden a la ejecución de las resoluciones dictadas. La experiencia en otros órdenes jurisdiccionales indica más bien que las medidas adecuadas en estos casos serían la imposición de multas coercitivas o la ejecución sustitutoria.</w:t>
      </w:r>
    </w:p>
    <w:p w:rsidR="00A90898" w:rsidRDefault="00A90898" w:rsidP="00A90898">
      <w:pPr>
        <w:pStyle w:val="TextoNormal"/>
      </w:pPr>
    </w:p>
    <w:p w:rsidR="00A90898" w:rsidRDefault="00A90898" w:rsidP="00A90898">
      <w:pPr>
        <w:pStyle w:val="TextoNormal"/>
      </w:pPr>
      <w:r>
        <w:t xml:space="preserve">iii. La suspensión de las autoridades o empleados públicos resulta una medida no idónea, innecesaria y no vinculada estrictamente a la ejecución, dotada de un carácter materialmente sancionador </w:t>
      </w:r>
      <w:r w:rsidRPr="00A90898">
        <w:rPr>
          <w:i/>
        </w:rPr>
        <w:t>ad extra</w:t>
      </w:r>
      <w:r>
        <w:t>, por haberse incurrido en el incumplimiento de las resoluciones del Tribunal Constitucional.</w:t>
      </w:r>
    </w:p>
    <w:p w:rsidR="00A90898" w:rsidRDefault="00A90898" w:rsidP="00A90898">
      <w:pPr>
        <w:pStyle w:val="TextoNormal"/>
      </w:pPr>
    </w:p>
    <w:p w:rsidR="00A90898" w:rsidRDefault="00A90898" w:rsidP="00A90898">
      <w:pPr>
        <w:pStyle w:val="TextoNormal"/>
      </w:pPr>
      <w:r>
        <w:t>Cabe afirmar también, sostienen los Abogados del Gobierno catalán, que la potestad sancionadora que podría comportar la privación del derecho fundamental al ejercicio de los cargos públicos reconocido en el art. 23 CE no puede hallar cobertura en las previsiones del título IX CE y no resulta adecuada al modelo de justicia constitucional que configura. En ningún caso se le confieren al Tribunal Constitucional facultades para enjuiciar la compatibilidad con la Constitución de conductas personales y determinar las correspondientes responsabilidades. En consecuencia, el art. 94.2 b) LOTC incurre en inconstitucionalidad por exceder del ámbito de su jurisdicción definido en el art. 161.1 CE, al atribuir al Tribunal Constitucional una potestad sancionador</w:t>
      </w:r>
      <w:r w:rsidRPr="00A90898">
        <w:rPr>
          <w:i/>
        </w:rPr>
        <w:t>a ad ext</w:t>
      </w:r>
      <w:r>
        <w:t>ra.</w:t>
      </w:r>
    </w:p>
    <w:p w:rsidR="00A90898" w:rsidRDefault="00A90898" w:rsidP="00A90898">
      <w:pPr>
        <w:pStyle w:val="TextoNormal"/>
      </w:pPr>
    </w:p>
    <w:p w:rsidR="00A90898" w:rsidRDefault="00A90898" w:rsidP="00A90898">
      <w:pPr>
        <w:pStyle w:val="TextoNormal"/>
      </w:pPr>
      <w:r>
        <w:t>La medida no cumple además las garantías mínimas que han de presidir el establecimiento de un régimen sancionador y vulnera el art. 25 CE. En efecto, el enunciado de la posibilidad de acordar la suspensión en sus funciones de las autoridades o empleados públicos carece de la precisión y determinación exigibles a una norma de esa naturaleza, vulnera los principios de seguridad jurídica y de tipicidad al no poder predecirse con suficiente grado de certidumbre las conductas susceptibles de incurrir en el supuesto de hecho que permita su adopción y la duración de la misma. Así, el enunciado del precepto admite que se suspenda en sus funciones a quien no ha sido parte en el proceso o ni siquiera haya participado directamente en el incumplimiento de la resolución del Tribunal. Lo que podía determinar la imposición de sanciones a sujetos que no han realizado la conducta constitutiva, a modo de responsabilidad objetiva, por el mero resultado y sin atender a conductas personales diligentes.</w:t>
      </w:r>
    </w:p>
    <w:p w:rsidR="00A90898" w:rsidRDefault="00A90898" w:rsidP="00A90898">
      <w:pPr>
        <w:pStyle w:val="TextoNormal"/>
      </w:pPr>
    </w:p>
    <w:p w:rsidR="00A90898" w:rsidRDefault="00A90898" w:rsidP="00A90898">
      <w:pPr>
        <w:pStyle w:val="TextoNormal"/>
      </w:pPr>
      <w:r>
        <w:t xml:space="preserve">En definitiva, el legislador al establecer esta medida de suspensión ha traspasado la línea divisoria entre poder constituyente y constituido (STC 76/1983, de 5 de agosto, FJ 4), de </w:t>
      </w:r>
      <w:r>
        <w:lastRenderedPageBreak/>
        <w:t>forma que el art. 92.4 b) LOTC vulnera el art. 25 CE y excede del ámbito de la jurisdicción del Tribunal Constitucional definido en el art. 161.1 CE.</w:t>
      </w:r>
    </w:p>
    <w:p w:rsidR="00A90898" w:rsidRDefault="00A90898" w:rsidP="00A90898">
      <w:pPr>
        <w:pStyle w:val="TextoNormal"/>
      </w:pPr>
    </w:p>
    <w:p w:rsidR="00A90898" w:rsidRDefault="00A90898" w:rsidP="00A90898">
      <w:pPr>
        <w:pStyle w:val="TextoNormal"/>
      </w:pPr>
      <w:r>
        <w:t>e) Por su parte, el art. 92.4 c) LOTC, en la redacción dada por el art. único, apartado 3, de la Ley Orgánica 15/2015, infringe los arts. 153, 161.1 y 165 CE, al prever que el Tribunal pueda requerir la colaboración del Gobierno de la Nación a fin de asegurar el cumplimiento de sus resoluciones.</w:t>
      </w:r>
    </w:p>
    <w:p w:rsidR="00A90898" w:rsidRDefault="00A90898" w:rsidP="00A90898">
      <w:pPr>
        <w:pStyle w:val="TextoNormal"/>
      </w:pPr>
    </w:p>
    <w:p w:rsidR="00A90898" w:rsidRDefault="00A90898" w:rsidP="00A90898">
      <w:pPr>
        <w:pStyle w:val="TextoNormal"/>
      </w:pPr>
      <w:r>
        <w:t>i. La regulación de la ejecución sustitutoria contenida en este precepto se aparta de las previsiones de la Ley reguladora de la jurisdicción contencioso-administrativa, puesto que no distingue entre la ejecución de resoluciones del Tribunal Constitucional que obliguen a hacer o a no hacer, ni entre aquellas en las que la actuación a llevar a cabo es perfectamente reglada y aquellas otras en las que existe un amplio margen de discrecionalidad, ni tampoco qué tipo de medidas podrán adoptarse en orden a esa ejecución sustitutoria.</w:t>
      </w:r>
    </w:p>
    <w:p w:rsidR="00A90898" w:rsidRDefault="00A90898" w:rsidP="00A90898">
      <w:pPr>
        <w:pStyle w:val="TextoNormal"/>
      </w:pPr>
    </w:p>
    <w:p w:rsidR="00A90898" w:rsidRDefault="00A90898" w:rsidP="00A90898">
      <w:pPr>
        <w:pStyle w:val="TextoNormal"/>
      </w:pPr>
      <w:r>
        <w:t>El precepto únicamente contempla la posibilidad de que el Tribunal pueda requerir la colaboración del Gobierno del Estado y no la de otros órganos o Administraciones. Su enunciado parece ignorar que el Gobierno del Estado puede llegar a ser también el sujeto obligado por una resolución del Tribunal, y que la incumpla. Es más, siendo el Gobierno del Estado parte en tantos litigios ante el Tribunal, la previsión de que podrá encargarse de hacer cumplir las resoluciones del Tribunal a la otra u otras partes con él enfrentadas se contrapone a los principios de imparcialidad del juzgador y de igualdad de las partes, por los que debe regirse todo proceso constitucional moderno. En consecuencia, en la medida en que el precepto habilita actuaciones del Gobierno del Estado sobre sus contrapartes en el proceso comporta una vulneración de los más elementales principios que definen el concepto de jurisdicción, ínsitos en la caracterización del Tribunal Constitucional como órgano jurisdiccional.</w:t>
      </w:r>
    </w:p>
    <w:p w:rsidR="00A90898" w:rsidRDefault="00A90898" w:rsidP="00A90898">
      <w:pPr>
        <w:pStyle w:val="TextoNormal"/>
      </w:pPr>
    </w:p>
    <w:p w:rsidR="00A90898" w:rsidRDefault="00A90898" w:rsidP="00A90898">
      <w:pPr>
        <w:pStyle w:val="TextoNormal"/>
      </w:pPr>
      <w:r>
        <w:t>ii. El párrafo segundo del art. 92.4 c) LOTC es susceptible de dos interpretaciones. Según la primera, al facultar expresamente al Gobierno del Estado para adoptar las medidas necesarias para hacer efectiva la ejecución, se le estaría atribuyendo en realidad la íntegra potestad de ejecución subsidiaria, con carácter general y excluyente. En cambio, cabe también una segunda interpretación, conforme a la cual es el propio Tribunal Constitucional quien adopta, en sustitución del órgano o la Administración incumplidora, las actuaciones para dar cumplimiento a la resolución dictada, limitándose en estos casos la función del Gobierno del Estado a ser un mero ejecutor de lo dispuesto por el Tribunal.</w:t>
      </w:r>
    </w:p>
    <w:p w:rsidR="00A90898" w:rsidRDefault="00A90898" w:rsidP="00A90898">
      <w:pPr>
        <w:pStyle w:val="TextoNormal"/>
      </w:pPr>
    </w:p>
    <w:p w:rsidR="00A90898" w:rsidRDefault="00A90898" w:rsidP="00A90898">
      <w:pPr>
        <w:pStyle w:val="TextoNormal"/>
      </w:pPr>
      <w:r>
        <w:t>En el primer caso, la atribución íntegra de la potestad de ejecución sustitutoria al Gobierno del Estado comportaría un trasvase o cesión a éste de las potestades jurisdiccionales del Tribunal Constitucional no previsto por la Constitución y contrario a los arts. 161.1 y 165 CE.</w:t>
      </w:r>
    </w:p>
    <w:p w:rsidR="00A90898" w:rsidRDefault="00A90898" w:rsidP="00A90898">
      <w:pPr>
        <w:pStyle w:val="TextoNormal"/>
      </w:pPr>
    </w:p>
    <w:p w:rsidR="00A90898" w:rsidRDefault="00A90898" w:rsidP="00A90898">
      <w:pPr>
        <w:pStyle w:val="TextoNormal"/>
      </w:pPr>
      <w:r>
        <w:t xml:space="preserve">Pero en cualquiera de las dos interpretaciones, el precepto incurre en inconstitucionalidad puesto que si se aplicase en sustitución de la actividad de las Cámaras legislativas o de los juzgados y tribunales comportaría una vulneración flagrante de los principios de autonomía parlamentaria (art. 72 CE) y de independencia judicial (art. 117.1 CE), ya que el Gobierno estaría ejerciendo potestades atribuidas constitucionalmente a otros órganos y poderes del </w:t>
      </w:r>
      <w:r>
        <w:lastRenderedPageBreak/>
        <w:t>Estado, por una vía no prevista en la Constitución. Resulta palmario que el Tribunal Constitucional en el ejercicio de la función jurisdiccional puede corregir, pero no puede suplantar, a los otros poderes del Estado en sus respectivos ámbitos de decisión, ni siquiera por la vía de la ejecución subsidiaria.</w:t>
      </w:r>
    </w:p>
    <w:p w:rsidR="00A90898" w:rsidRDefault="00A90898" w:rsidP="00A90898">
      <w:pPr>
        <w:pStyle w:val="TextoNormal"/>
      </w:pPr>
    </w:p>
    <w:p w:rsidR="00A90898" w:rsidRDefault="00A90898" w:rsidP="00A90898">
      <w:pPr>
        <w:pStyle w:val="TextoNormal"/>
      </w:pPr>
      <w:r>
        <w:t>Si se aplicase en sustitución de las Comunidades Autónomas, el art. 92.4 c) LOTC resultaría claramente contradictorio con la autonomía reconocida por el art. 137 y concordantes de la Constitución y con el sistema constitucional de distribución de competencias, ya que, de acuerdo con una reiterada doctrina constitucional iniciada con la STC 76/1983, FJ 13, el Estado no puede sustituir a las Comunidades Autónomas en sus funciones ejecutivas [doctrina que reiteran SSTC 227/1988, de 29 de noviembre, FJ 20 d); 54/1990, de 28 de marzo, FJ 3; 118/1995, de 17 de julio, FJ 18, y 36/2005, de 17 de febrero, FJ 2]. Así pues, por la vía de la ejecución sustitutoria se estaría habilitando una intervención del Estado sobre las Comunidades Autónomas ajena a las previsiones de los arts. 137, 150, 153 y 155 CE.</w:t>
      </w:r>
    </w:p>
    <w:p w:rsidR="00A90898" w:rsidRDefault="00A90898" w:rsidP="00A90898">
      <w:pPr>
        <w:pStyle w:val="TextoNormal"/>
      </w:pPr>
    </w:p>
    <w:p w:rsidR="00A90898" w:rsidRDefault="00A90898" w:rsidP="00A90898">
      <w:pPr>
        <w:pStyle w:val="TextoNormal"/>
      </w:pPr>
      <w:r>
        <w:t>f) Por último, los Abogados del Gobierno de la Generalitat impugnan el art. único, apartado 3, de la Ley Orgánica 15/2015, en la redacción que da al art. 92.5 LOTC, por vulnerar los arts. 9.3, 25, 137, 153, 161.1 y 2 y 165 CE.</w:t>
      </w:r>
    </w:p>
    <w:p w:rsidR="00A90898" w:rsidRDefault="00A90898" w:rsidP="00A90898">
      <w:pPr>
        <w:pStyle w:val="TextoNormal"/>
      </w:pPr>
    </w:p>
    <w:p w:rsidR="00A90898" w:rsidRDefault="00A90898" w:rsidP="00A90898">
      <w:pPr>
        <w:pStyle w:val="TextoNormal"/>
      </w:pPr>
      <w:r>
        <w:t>i. El precepto habilita al Tribunal a adoptar medidas cautelares para asegurar el cumplimiento de sus resoluciones en las que disponga la suspensión de disposiciones, actos o actuaciones que hayan sido impugnadas cuando concurran “circunstancias de especial trascendencia constitucional”. Se trata, por lo tanto, de la posibilidad de adoptar medidas cautelarísimas.</w:t>
      </w:r>
    </w:p>
    <w:p w:rsidR="00A90898" w:rsidRDefault="00A90898" w:rsidP="00A90898">
      <w:pPr>
        <w:pStyle w:val="TextoNormal"/>
      </w:pPr>
    </w:p>
    <w:p w:rsidR="00A90898" w:rsidRDefault="00A90898" w:rsidP="00A90898">
      <w:pPr>
        <w:pStyle w:val="TextoNormal"/>
      </w:pPr>
      <w:r>
        <w:t>El art. 92.5 LOTC únicamente reconoce al Gobierno de la Nación la facultad de instar del Tribunal la adopción de dichas medidas, quedando así excluida la legitimación de las Comunidades Autónomas para solicitarlas cuando el objeto de la impugnación sean disposiciones, actuaciones o actos del Estado o de otra Comunidad Autónoma (art. 64.3 LOTC). Esta exclusión, a juicio del recurrente, atenta al principio de igualdad de partes, situando al Gobierno del Estado en una posición de ventaja o preeminencia procesal sobre las Comunidades Autónomas, que no tiene reconocimiento ni cobertura en la Constitución y que menoscaba la legitimación reconocida a las Comunidades Autónomas en el art. 161.1 c) CE y su autonomía política (art. 137 CE).</w:t>
      </w:r>
    </w:p>
    <w:p w:rsidR="00A90898" w:rsidRDefault="00A90898" w:rsidP="00A90898">
      <w:pPr>
        <w:pStyle w:val="TextoNormal"/>
      </w:pPr>
    </w:p>
    <w:p w:rsidR="00A90898" w:rsidRDefault="00A90898" w:rsidP="00A90898">
      <w:pPr>
        <w:pStyle w:val="TextoNormal"/>
      </w:pPr>
      <w:r>
        <w:t xml:space="preserve">ii. El precepto permite también que el Tribunal incremente la efectividad de la suspensión producida </w:t>
      </w:r>
      <w:r w:rsidRPr="00A90898">
        <w:rPr>
          <w:i/>
        </w:rPr>
        <w:t>ex constitutione</w:t>
      </w:r>
      <w:r>
        <w:t xml:space="preserve"> por la aplicación del art. 161.2 CE. De esta forma el legislador modifica los efectos del control constitucional reconocido y fijado en el citado precepto constitucional, redefiniendo el alcance de este control suspensivo. En efecto, a tenor del art. 161.2 CE, el Tribunal no dispone de un margen de decisión ante la puesta en marcha de este mecanismo de control suspensivo debiendo acordar la suspensión de la disposición impugnada. Sólo, una vez transcurrido el plazo de cinco meses, el Tribunal ha de pronunciarse sobre el levantamiento o mantenimiento de la suspensión inicialmente acordada. Es decir, en estos casos, el efecto suspensivo inicial se produce no como consecuencia de una medida cautelar adoptada por el Tribunal, sino de forma automática, como una consecuencia necesaria de la invocación de dicho precepto constitucional. Nada puede disponer la resolución o providencia que acuerde la admisión a trámite de la impugnación respecto de la suspensión, ni el Tribunal puede impedir o ampliar su efecto.</w:t>
      </w:r>
    </w:p>
    <w:p w:rsidR="00A90898" w:rsidRDefault="00A90898" w:rsidP="00A90898">
      <w:pPr>
        <w:pStyle w:val="TextoNormal"/>
      </w:pPr>
    </w:p>
    <w:p w:rsidR="00A90898" w:rsidRDefault="00A90898" w:rsidP="00A90898">
      <w:pPr>
        <w:pStyle w:val="TextoNormal"/>
      </w:pPr>
      <w:r>
        <w:t>Las medidas cautelares las podrá adoptar el Tribunal únicamente cuando constate que por parte de los órganos, autoridades o Administraciones autonómicos no se observe el adecuado cumplimiento de la suspensión resultante del art. 161.2 CE y después de requerir que informen al respecto, de conformidad con lo dispuesto en el primer párrafo del vigente art. 92.4 LOTC. Pero de ningún modo cabe conferir al Tribunal la potestad de redefinir su intervención en el mecanismo suspensivo establecido en el art. 161.2 CE, puesto que el respeto a la Constitución impone que los procedimientos constitucionalmente previstos se sustancien abierta y directamente por la vía que en ella se ha establecido, sin que quepan actuaciones por otros cauces ni del legislador, ni de cualquier órgano del Estado (STC 103/2008, FJ 4).</w:t>
      </w:r>
    </w:p>
    <w:p w:rsidR="00A90898" w:rsidRDefault="00A90898" w:rsidP="00A90898">
      <w:pPr>
        <w:pStyle w:val="TextoNormal"/>
      </w:pPr>
    </w:p>
    <w:p w:rsidR="00A90898" w:rsidRDefault="00A90898" w:rsidP="00A90898">
      <w:pPr>
        <w:pStyle w:val="TextoNormal"/>
      </w:pPr>
      <w:r>
        <w:t>En consecuencia, el art. 92.5 LOTC incurre en inconstitucionalidad al atribuir al Tribunal potestades que el art. 161.2 CE no le confiere, habilitándole a modificar el efecto suspensivo de ese control constitucional.</w:t>
      </w:r>
    </w:p>
    <w:p w:rsidR="00A90898" w:rsidRDefault="00A90898" w:rsidP="00A90898">
      <w:pPr>
        <w:pStyle w:val="TextoNormal"/>
      </w:pPr>
    </w:p>
    <w:p w:rsidR="00A90898" w:rsidRDefault="00A90898" w:rsidP="00A90898">
      <w:pPr>
        <w:pStyle w:val="TextoNormal"/>
      </w:pPr>
      <w:r>
        <w:t>iii. Por otra parte, el art. 92.5 LOTC no precisa cuales son las “circunstancias de especial trascendencia constitucional” que habilitan al Tribunal a adoptar estas medidas. A juicio del recurrente, la especial relevancia constitucional debe inferirse del objeto de aquellos procedimientos que sobresalen de forma extraordinaria respecto de los demás por poner directamente en cuestión alguno de los elementos clave de la estructura del sistema constitucional. Debe tratarse, en suma, de procesos en los que estén en juego determinaciones de extraordinaria importancia para el sistema constitucional. Pero sí así fuese, carece de toda lógica que el legislador ignore el mandato del art. 165 CE y abandone a la discrecionalidad del Tribunal no únicamente la apreciación de cuales sean esas “circunstancias de especial relevancia constitucional”, sino también la determinación de las medidas que puede adoptar. Es evidente que cabe definir unos parámetros para la evaluación de la especial trascendencia constitucional como revela el art. 50.1 b) LOTC en relación con el recurso de amparo. En consecuencia, no resulta únicamente ilógico e injustificado, sino inconstitucional que el art. 92.5 LOTC habilite incondicionada e ilimitadamente al Tribunal para acordar cualquier tipo de medidas para asegurar la suspensión de disposiciones, actos o actuaciones impugnadas y para decidir cuándo concurren las circunstancias extraordinarias en las que puede arrogarse estas potestades ilimitadas.</w:t>
      </w:r>
    </w:p>
    <w:p w:rsidR="00A90898" w:rsidRDefault="00A90898" w:rsidP="00A90898">
      <w:pPr>
        <w:pStyle w:val="TextoNormal"/>
      </w:pPr>
    </w:p>
    <w:p w:rsidR="00A90898" w:rsidRDefault="00A90898" w:rsidP="00A90898">
      <w:pPr>
        <w:pStyle w:val="TextoNormal"/>
      </w:pPr>
      <w:r>
        <w:t>Por consiguiente, el art. 92.5 LOTC incurre en inconstitucionalidad por conferir al Tribunal un ámbito de jurisdicción que excede de los límites del art. 161.1 CE e incumple el mandato del art. 165 CE.</w:t>
      </w:r>
    </w:p>
    <w:p w:rsidR="00A90898" w:rsidRDefault="00A90898" w:rsidP="00A90898">
      <w:pPr>
        <w:pStyle w:val="TextoNormal"/>
      </w:pPr>
    </w:p>
    <w:p w:rsidR="00A90898" w:rsidRDefault="00A90898" w:rsidP="00A90898">
      <w:pPr>
        <w:pStyle w:val="TextoNormal"/>
      </w:pPr>
      <w:r>
        <w:t>Los Abogados del Gobierno de la Generalitat de Cataluña concluyen la demanda solicitando de este Tribunal la admisión a trámite del recurso de inconstitucionalidad y que, previa tramitación, dicte sentencia por la que se declare la inconstitucionalidad y la nulidad de los preceptos impugnados. Mediante un primer otrosí interesan, asimismo, que el Tribunal resuelva este recurso de inconstitucionalidad con carácter prioritario respecto de la aplicación en cualesquiera de los procedimientos o incidentes procesales que pudieran encontrarse pendientes de resolución, o que en el futuro pudieran plantearse, de cualesquiera de las medidas previstas en los artículos de la Ley Orgánica del Tribunal Constitucional que son objeto de impugnación.</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3</w:t>
      </w:r>
      <w:r>
        <w:t>. El Pleno del Tribunal Constitucional, por providencia de 2 de febrero de 2016, a propuesta de la Sección Tercera, acordó admitir a trámite el recurso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procedimiento y formular las alegaciones que estimaren convenientes. Asimismo se acordó publicar la incoación del procedimiento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4</w:t>
      </w:r>
      <w:r>
        <w:t>. El Presidente del Congreso de los Diputados, por escrito registrado el 10 de febrero de 2016, notificó el acuerdo de la Mesa de personarse en el procedimiento, a los solos efectos de formular alegaciones en relación con los vicios en el procedimiento legislativo que se denuncian en la demanda, en lo que afecta a dicha Cámara; de encomendar su representación y defensa a la Letrada Jefe de la Asesoría Jurídica de la Secretaría General; de comunicar el acuerdo al Tribunal Constitucional y al Senado; y, en fin, de remitir la documentación a la Dirección de Estudios, Análisis y Publicaciones y a la asesoría jurídica de la Secretaría General.</w:t>
      </w:r>
    </w:p>
    <w:p w:rsidR="00A90898" w:rsidRDefault="00A90898" w:rsidP="00A90898">
      <w:pPr>
        <w:pStyle w:val="TextoNormal"/>
      </w:pPr>
    </w:p>
    <w:p w:rsidR="00A90898" w:rsidRDefault="00A90898" w:rsidP="00A90898">
      <w:pPr>
        <w:pStyle w:val="TextoNormal"/>
      </w:pPr>
      <w:r w:rsidRPr="00A90898">
        <w:rPr>
          <w:rStyle w:val="NumeroAFNegritaCaracter"/>
        </w:rPr>
        <w:t>5</w:t>
      </w:r>
      <w:r>
        <w:t>. El Abogado del Estado, mediante escrito registrado el 12 de febrero de 2016, se personó en el recurso en nombre del Gobierno y solicitó una prórroga del plazo otorgado para formalizar el escrito de alegaciones, habida cuenta del número de asuntos que penden ante dicha Abogacía.</w:t>
      </w:r>
    </w:p>
    <w:p w:rsidR="00A90898" w:rsidRDefault="00A90898" w:rsidP="00A90898">
      <w:pPr>
        <w:pStyle w:val="TextoNormal"/>
      </w:pPr>
    </w:p>
    <w:p w:rsidR="00A90898" w:rsidRDefault="00A90898" w:rsidP="00A90898">
      <w:pPr>
        <w:pStyle w:val="TextoNormal"/>
      </w:pPr>
      <w:r>
        <w:t>El Pleno de este Tribunal, por providencia de 15 de febrero de 2016, acordó incorporar a las actuaciones el escrito del Abogado del Estado, tenerle por personado en la representación que ostenta y otorgarle una prórroga de ocho días respecto al plazo inicialmente concedido por providencia de 2 de febrero de 2016, a contar desde el siguiente al de la expiración de dicho plazo.</w:t>
      </w:r>
    </w:p>
    <w:p w:rsidR="00A90898" w:rsidRDefault="00A90898" w:rsidP="00A90898">
      <w:pPr>
        <w:pStyle w:val="TextoNormal"/>
      </w:pPr>
    </w:p>
    <w:p w:rsidR="00A90898" w:rsidRDefault="00A90898" w:rsidP="00A90898">
      <w:pPr>
        <w:pStyle w:val="TextoNormal"/>
      </w:pPr>
      <w:r w:rsidRPr="00A90898">
        <w:rPr>
          <w:rStyle w:val="NumeroAFNegritaCaracter"/>
        </w:rPr>
        <w:t>6</w:t>
      </w:r>
      <w:r>
        <w:t>. El Presidente del Senado, por escrito registrado el 17 de febrero de 2016, notificó el acuerdo de la Mesa de la Cámara de personarse en el procedimiento y de ofrecer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7</w:t>
      </w:r>
      <w:r>
        <w:t>. La Letrada de las Cortes Generales, en nombre y representación del Congreso de los Diputados, evacuó el trámite de alegaciones conferido mediante escrito registrado en fecha 26 de febrero de 2016, que, en lo sustancial, a continuación se resume.</w:t>
      </w:r>
    </w:p>
    <w:p w:rsidR="00A90898" w:rsidRDefault="00A90898" w:rsidP="00A90898">
      <w:pPr>
        <w:pStyle w:val="TextoNormal"/>
      </w:pPr>
    </w:p>
    <w:p w:rsidR="00A90898" w:rsidRDefault="00A90898" w:rsidP="00A90898">
      <w:pPr>
        <w:pStyle w:val="TextoNormal"/>
      </w:pPr>
      <w:r>
        <w:t xml:space="preserve">a) Tras dejar constancia del </w:t>
      </w:r>
      <w:r w:rsidRPr="00A90898">
        <w:rPr>
          <w:i/>
        </w:rPr>
        <w:t>iter</w:t>
      </w:r>
      <w:r>
        <w:t xml:space="preserve"> legislativo de la proposición de ley que ha dado lugar a la Ley recurrida, manifiesta que la jurisprudencia constitucional ha reconocido un principio de disponibilidad de la Cámara sobre lo que denomina los trámites del procedimiento y su cronología, y una libertad de ordenación, que incluye la competencia no solo para decidir el procedimiento aplicable, sino también para resolver las cuestiones incidentales que puedan producirse (STC 136/2011, de 13 de septiembre, FJ 6). El art. 150 RCD establece dos presupuestos alternativos para la aplicación de la tramitación en lectura única: que la naturaleza de la iniciativa legislativa lo aconseje o que la simplicidad de su formulación lo permita.</w:t>
      </w:r>
    </w:p>
    <w:p w:rsidR="00A90898" w:rsidRDefault="00A90898" w:rsidP="00A90898">
      <w:pPr>
        <w:pStyle w:val="TextoNormal"/>
      </w:pPr>
    </w:p>
    <w:p w:rsidR="00A90898" w:rsidRDefault="00A90898" w:rsidP="00A90898">
      <w:pPr>
        <w:pStyle w:val="TextoNormal"/>
      </w:pPr>
      <w:r>
        <w:t xml:space="preserve">El primer presupuesto no se identifica exclusivamente con el segundo. Con independencia de la simplicidad de la formulación, pueden entrar en juego otros factores de índole </w:t>
      </w:r>
      <w:r>
        <w:lastRenderedPageBreak/>
        <w:t>diversa que aconsejen la aplicación de dicho procedimiento. Este tipo de procedimientos más rápidos y abreviados constituye un instrumento legítimo en manos del legislador y los puede utilizar en función de sus prioridades legislativas, que especialmente se acentúan cuando es inminente el fin de la legislatura y es más reducido el margen de tiempo hábil disponible para legislar. La apreciación de la inmediata necesidad legislativa que justifica la aplicación del procedimiento en lectura única, al depender de la interpretación de una cláusula muy abierta, lleva a que sea la valoración política la que domine su aplicación: dicha valoración política, por las reglas del juego democrático, coincidirá con la valoración de la mayoría de la Cámara, primero en la Mesa, que realiza la propuesta de aplicación de este procedimiento, y luego en el Pleno, que lo aprueba (STC 238/2012, de 13 de diciembre, FJ 4). El de la naturaleza del proyecto o proposición de ley es un concepto abierto, que permite un margen de interpretación mucho más amplio que otros conceptos jurídicos. Al no poderse esclarecer con precisión suficiente lo que significa su naturaleza, pues los proyectos o proposiciones de ley se clasifican con arreglo a otros criterios, el término se convierte en un elemento de aplicación discrecional y, por tanto, de pura valoración política.</w:t>
      </w:r>
    </w:p>
    <w:p w:rsidR="00A90898" w:rsidRDefault="00A90898" w:rsidP="00A90898">
      <w:pPr>
        <w:pStyle w:val="TextoNormal"/>
      </w:pPr>
    </w:p>
    <w:p w:rsidR="00A90898" w:rsidRDefault="00A90898" w:rsidP="00A90898">
      <w:pPr>
        <w:pStyle w:val="TextoNormal"/>
      </w:pPr>
      <w:r>
        <w:t>La representante del Congreso de los Diputados rechaza la interpretación que realiza el recurrente que asocia el concepto de la naturaleza del proyecto o la proposición de ley con su importancia o trascendencia para tramitarlo por el procedimiento en lectura única, pues dicho criterio no está previsto en el art. 150 RCD. En la práctica la lectura única ha estado disociada de la relevancia y no se ha considerado que la aplicación de dicho procedimiento suponga rebajar el valor o la importancia de una norma en el conjunto del ordenamiento jurídico: es el caso de la reforma de la propia Constitución o del proyecto de ley orgánica por la que se hizo efectiva la abdicación de su Majestad el Rey Don Juan Carlos I de Borbón. El único requisito es que la tramitación de la materia a regular no esté reservada a un determinado procedimiento, en cuyo caso la lectura única no resulta posible (ATC 9/2012, de 13 de enero). Pero ni la Constitución ni el Reglamento del Congreso de los Diputados (arts. 150 y 130 a 132) excluyen que las leyes orgánicas, ni específicamente la Ley Orgánica del Tribunal Constitucional, puedan ser tramitadas por el procedimiento en lectura única.</w:t>
      </w:r>
    </w:p>
    <w:p w:rsidR="00A90898" w:rsidRDefault="00A90898" w:rsidP="00A90898">
      <w:pPr>
        <w:pStyle w:val="TextoNormal"/>
      </w:pPr>
    </w:p>
    <w:p w:rsidR="00A90898" w:rsidRDefault="00A90898" w:rsidP="00A90898">
      <w:pPr>
        <w:pStyle w:val="TextoNormal"/>
      </w:pPr>
      <w:r>
        <w:t xml:space="preserve">Tampoco se establece en ningún lugar que la misma ley tenga que ser tramitada siempre por idéntico tipo de procedimiento, de forma vinculante pro futuro, como parece pretender el recurrente. Cada proyecto o proposición de ley constituye una iniciativa independiente de las anteriores o posteriores y cada una de ellas puede seguir un diferente </w:t>
      </w:r>
      <w:r w:rsidRPr="00A90898">
        <w:rPr>
          <w:i/>
        </w:rPr>
        <w:t>iter</w:t>
      </w:r>
      <w:r>
        <w:t xml:space="preserve"> legislativo como consecuencia del abanico de posibilidades que brinda el Reglamento del Congreso de los Diputados.</w:t>
      </w:r>
    </w:p>
    <w:p w:rsidR="00A90898" w:rsidRDefault="00A90898" w:rsidP="00A90898">
      <w:pPr>
        <w:pStyle w:val="TextoNormal"/>
      </w:pPr>
    </w:p>
    <w:p w:rsidR="00A90898" w:rsidRDefault="00A90898" w:rsidP="00A90898">
      <w:pPr>
        <w:pStyle w:val="TextoNormal"/>
      </w:pPr>
      <w:r>
        <w:t>Por lo que respecta al segundo presupuesto para la aplicación del art. 150 RCD, discrepa de la interpretación del concepto de simplicidad que se realiza en la demanda. La simplicidad debe ir referida al análisis de la estructura interna del texto, si este es comprensible e inteligible y de redacción sencilla. El texto solo sería complejo si para su entendimiento fuera necesario un proceso intelectivo de segundo nivel que requiriese un esfuerzo por encima de la media. Las referencias del demandante respecto a la vaguedad, la indeterminación o la ambigüedad de la nueva regulación podrían revelar en todo caso un problema de seguridad jurídica, pero ello no implica una supuesta complejidad de los apartados impugnados.</w:t>
      </w:r>
    </w:p>
    <w:p w:rsidR="00A90898" w:rsidRDefault="00A90898" w:rsidP="00A90898">
      <w:pPr>
        <w:pStyle w:val="TextoNormal"/>
      </w:pPr>
    </w:p>
    <w:p w:rsidR="00A90898" w:rsidRDefault="00A90898" w:rsidP="00A90898">
      <w:pPr>
        <w:pStyle w:val="TextoNormal"/>
      </w:pPr>
      <w:r>
        <w:lastRenderedPageBreak/>
        <w:t>Hay que insistir al analizar el presupuesto de la simplicidad que no puede identificarse con que el texto de que se trate sea extenso, conciso o breve, pues puede existir un texto corto y a la vez incomprensible. Tampoco es correcta la interpretación del recurrente de que el procedimiento en lectura única sólo se puede utilizar para casos de iniciativas no susceptibles de modificación, en los que únicamente quepa una aprobación o rechazo del texto en su conjunto, sin posibilidad de que se pueda aplicar a iniciativas sobre preceptos concretos que pudieran ser susceptibles de modificación parcial. A diferencia de los reglamentos de otras Cámaras (STC 27/2000, de 31 de enero), el Reglamento del Congreso de los Diputados permite en el procedimiento en lectura única la posibilidad de presentación de enmiendas, lo que es incompatible con la afirmación de que este procedimiento no puede ser utilizado para realizar modificaciones legislativas parciales. Y, en fin, el requisito de la aprobación final de conjunto del art. 150.3 RCD implica que este tipo de votación, ya sea con el contenido original o con las modificaciones que previamente se han introducido, se efectúa, después de las votaciones de las enmiendas si las hubiera, sobre el conjunto del texto resultante.</w:t>
      </w:r>
    </w:p>
    <w:p w:rsidR="00A90898" w:rsidRDefault="00A90898" w:rsidP="00A90898">
      <w:pPr>
        <w:pStyle w:val="TextoNormal"/>
      </w:pPr>
    </w:p>
    <w:p w:rsidR="00A90898" w:rsidRDefault="00A90898" w:rsidP="00A90898">
      <w:pPr>
        <w:pStyle w:val="TextoNormal"/>
      </w:pPr>
      <w:r>
        <w:t>b) La Letrada de las Cortes Generales también rechaza la vinculación que efectúa el recurrente entre la falta de consenso manifestada durante la tramitación de la norma y la posibilidad de intervención del Tribunal Constitucional para examinar la inconstitucionalidad del procedimiento (STC 129/2013, de 4 de junio, FJ 10). El consenso no tiene nada que ver con la constitucionalidad del procedimiento seguido para tramitar una norma, ni constituye un requisito para su aplicación. Tampoco existe exigencia alguna de mayoría especial para la tramitación de una iniciativa por el procedimiento en lectura única (STC 238/2012). Por lo demás, el control que realiza el Tribunal Constitucional es un control estrictamente jurídico y no político, de modo que no puede entrar a valorar si se ha producido o no consenso en la tramitación y aprobación de una ley.</w:t>
      </w:r>
    </w:p>
    <w:p w:rsidR="00A90898" w:rsidRDefault="00A90898" w:rsidP="00A90898">
      <w:pPr>
        <w:pStyle w:val="TextoNormal"/>
      </w:pPr>
    </w:p>
    <w:p w:rsidR="00A90898" w:rsidRDefault="00A90898" w:rsidP="00A90898">
      <w:pPr>
        <w:pStyle w:val="TextoNormal"/>
      </w:pPr>
      <w:r>
        <w:t>c) En el recurso no se cuestiona la declaración de urgencia por la Mesa de la Cámara, pues no se citan como infringidos los arts. 93 y 94 RCD, sino que esta declaración sólo se trae a colación como argumento complementario a la tramitación de la iniciativa legislativa por el procedimiento en lectura única para resaltar e insistir en la reducción de los plazos del procedimiento legislativo.</w:t>
      </w:r>
    </w:p>
    <w:p w:rsidR="00A90898" w:rsidRDefault="00A90898" w:rsidP="00A90898">
      <w:pPr>
        <w:pStyle w:val="TextoNormal"/>
      </w:pPr>
    </w:p>
    <w:p w:rsidR="00A90898" w:rsidRDefault="00A90898" w:rsidP="00A90898">
      <w:pPr>
        <w:pStyle w:val="TextoNormal"/>
      </w:pPr>
      <w:r>
        <w:t xml:space="preserve">En todo caso, la Letrada de las Cortes Generales alega al respecto que debe diferenciarse que una cosa es que </w:t>
      </w:r>
      <w:r w:rsidRPr="00A90898">
        <w:rPr>
          <w:i/>
        </w:rPr>
        <w:t>a priori</w:t>
      </w:r>
      <w:r>
        <w:t xml:space="preserve"> la tramitación más deseable pueda ser la más pausada y otra que la urgencia </w:t>
      </w:r>
      <w:r w:rsidRPr="00A90898">
        <w:rPr>
          <w:i/>
        </w:rPr>
        <w:t>per se</w:t>
      </w:r>
      <w:r>
        <w:t xml:space="preserve"> dé lugar a un vicio de inconstitucionalidad. Se trata de una opción procedimental válida (STC 119/2011, de 5 de julio, FJ 11) y contemplada como tal en el art. 93 RCD.</w:t>
      </w:r>
    </w:p>
    <w:p w:rsidR="00A90898" w:rsidRDefault="00A90898" w:rsidP="00A90898">
      <w:pPr>
        <w:pStyle w:val="TextoNormal"/>
      </w:pPr>
    </w:p>
    <w:p w:rsidR="00A90898" w:rsidRDefault="00A90898" w:rsidP="00A90898">
      <w:pPr>
        <w:pStyle w:val="TextoNormal"/>
      </w:pPr>
      <w:r>
        <w:t xml:space="preserve">d) Ni la aplicación del procedimiento en lectura única ni la urgencia han impedido la posibilidad de debate y de participación de los diputados con todas las garantías debidas. Cada procedimiento tiene su singularidad, de lo contrario no se entendería la existencia de procedimientos diferentes, ordinarios y especiales: el </w:t>
      </w:r>
      <w:r w:rsidRPr="00A90898">
        <w:rPr>
          <w:i/>
        </w:rPr>
        <w:t>ius in officium</w:t>
      </w:r>
      <w:r>
        <w:t xml:space="preserve"> no tiene por qué tener el mismo contenido en cada uno, sino que se modela de forma diferente, en función de las características de cada procedimiento. Ello no equivale a que la Cámara haya impedido o coartado el desempeño de los derechos y facultades que acompañan al núcleo de la función representativa parlamentaria (ATC 118/1999, de 10 de mayo). El análisis de la tramitación de la proposición de ley orgánica demuestra lo contrario y no hace sino corroborar que los diputados pudieron ejercer de forma adecuada su </w:t>
      </w:r>
      <w:r w:rsidRPr="00A90898">
        <w:rPr>
          <w:i/>
        </w:rPr>
        <w:t>ius in officium</w:t>
      </w:r>
      <w:r>
        <w:t xml:space="preserve">: en el procedimiento se </w:t>
      </w:r>
      <w:r>
        <w:lastRenderedPageBreak/>
        <w:t>celebraron hasta dos debates plenarios, primero con ocasión de la toma en consideración y luego en el momento de su aprobación; y los diputados pudieron presentar las enmiendas que consideraron convenientes, en total tres enmiendas a la totalidad de texto alternativo y treinta y cuatro al articulado, que fueron defendidas y votadas en la sesión plenaria. La voluntad de la Cámara quedó conformada de forma adecuada y en momento alguno se aprecia que su resultado quedase alterado de modo sustancial, que es el elemento clave que, según el Tribunal Constitucional, debería quedar acreditado para apreciar vicio de inconstitucionalidad (STC 136/2011, FJ 10), ni que se haya visto afectado el principio democrático (art. 1 CE).</w:t>
      </w:r>
    </w:p>
    <w:p w:rsidR="00A90898" w:rsidRDefault="00A90898" w:rsidP="00A90898">
      <w:pPr>
        <w:pStyle w:val="TextoNormal"/>
      </w:pPr>
    </w:p>
    <w:p w:rsidR="00A90898" w:rsidRDefault="00A90898" w:rsidP="00A90898">
      <w:pPr>
        <w:pStyle w:val="TextoNormal"/>
      </w:pPr>
      <w:r>
        <w:t>La Letrada de las Cortes Generales concluye su escrito de alegaciones interesando de este Tribunal que dicte Sentencia desestimando el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8</w:t>
      </w:r>
      <w:r>
        <w:t>. El Abogado del Estado evacuó el trámite de alegaciones conferido mediante escrito registrado en este Tribunal en fecha 9 de marzo de 2016, que, en lo sustancial, a continuación se resume.</w:t>
      </w:r>
    </w:p>
    <w:p w:rsidR="00A90898" w:rsidRDefault="00A90898" w:rsidP="00A90898">
      <w:pPr>
        <w:pStyle w:val="TextoNormal"/>
      </w:pPr>
    </w:p>
    <w:p w:rsidR="00A90898" w:rsidRDefault="00A90898" w:rsidP="00A90898">
      <w:pPr>
        <w:pStyle w:val="TextoNormal"/>
      </w:pPr>
      <w:r>
        <w:t>a) Comienza por hacer una serie de consideraciones sobre la naturaleza del Tribunal Constitucional, la necesidad de garantizar el cumplimiento de sus resoluciones para la efectividad de su función como supremo intérprete de la Constitución y los mecanismos que a tal fin prevé el texto constitucional y la Ley Orgánica del Tribunal Constitucional. En este sentido, afirma que el Tribunal es un órgano de carácter jurisdiccional, el único en su orden, no un órgano político. Otra cosa es que sus decisiones tengan consecuencias políticas, pero tales consecuencias no son exclusivas de las decisiones del Tribunal Constitucional. Esto es precisamente lo que confunde el recurrente, esas consecuencias políticas de las resoluciones judiciales con los conflictos puramente políticos no sujetos a control por parámetros de constitucionalidad siempre que los actores actúen por los cauces procedimentales adecuados. Cuestión distinta es que el conflicto político exceda de ese ámbito e incida en la regulación constitucional por vulneración de la misma, ya que en este momento se transforma en un conflicto jurídico con consecuencias políticas, ámbito éste de los órganos jurisdiccionales y, en concreto, de este Tribunal como supremo intérprete de la Constitución y garante de su efectividad.</w:t>
      </w:r>
    </w:p>
    <w:p w:rsidR="00A90898" w:rsidRDefault="00A90898" w:rsidP="00A90898">
      <w:pPr>
        <w:pStyle w:val="TextoNormal"/>
      </w:pPr>
    </w:p>
    <w:p w:rsidR="00A90898" w:rsidRDefault="00A90898" w:rsidP="00A90898">
      <w:pPr>
        <w:pStyle w:val="TextoNormal"/>
      </w:pPr>
      <w:r>
        <w:t>La Constitución no excluye que la potestad de ejecución de las resoluciones del Tribunal Constitucional pueda ser llevada a efecto por el propio Tribunal. En otros sistemas si se ha excluido, pero esta no ha sido la opción del constituyente. De modo que la Constitución lo ha dejado abierto a lo que determine su Ley reguladora (art. 165 CE), adoptando un modelo semejante al previsto en Alemania.</w:t>
      </w:r>
    </w:p>
    <w:p w:rsidR="00A90898" w:rsidRDefault="00A90898" w:rsidP="00A90898">
      <w:pPr>
        <w:pStyle w:val="TextoNormal"/>
      </w:pPr>
    </w:p>
    <w:p w:rsidR="00A90898" w:rsidRDefault="00A90898" w:rsidP="00A90898">
      <w:pPr>
        <w:pStyle w:val="TextoNormal"/>
      </w:pPr>
      <w:r>
        <w:t>La Ley Orgánica del Tribunal Constitucional ha recogido en nuestro sistema también supuestos de ejecución concretos por parte del Tribunal Constitucional, aparte de la previsión general del art. 92.1 LOTC. Ya desde su redacción originaria, la Ley Orgánica del Tribunal Constitucional contempla la posibilidad de usar un típico mecanismo de ejecución forzosa, como es la imposición de multas coercitivas (art. 95.4 LOTC), así como la imposición de plazos para ejecutar sus resoluciones dictadas en conflictos negativos de competencia (art. 72.3 LOTC).</w:t>
      </w:r>
    </w:p>
    <w:p w:rsidR="00A90898" w:rsidRDefault="00A90898" w:rsidP="00A90898">
      <w:pPr>
        <w:pStyle w:val="TextoNormal"/>
      </w:pPr>
    </w:p>
    <w:p w:rsidR="00A90898" w:rsidRDefault="00A90898" w:rsidP="00A90898">
      <w:pPr>
        <w:pStyle w:val="TextoNormal"/>
      </w:pPr>
      <w:r>
        <w:lastRenderedPageBreak/>
        <w:t>Podemos concluir, por tanto, afirma el Abogado del Estado, que la Constitución no excluye que el Tribunal Constitucional pueda ejercitar la potestad de ejecutar sus resoluciones, remitiéndose a su ley reguladora, la cual ha recogido como principio general desde su promulgación que es el propio Tribunal quien ha de determinar la forma de ejecutarlas y resolver las incidencias de la ejecución, así como los supuestos de ejecución forzosa a cargo del mismo Tribunal, sin perjuicio de poder solicitar el auxilio de otros poderes públicos.</w:t>
      </w:r>
    </w:p>
    <w:p w:rsidR="00A90898" w:rsidRDefault="00A90898" w:rsidP="00A90898">
      <w:pPr>
        <w:pStyle w:val="TextoNormal"/>
      </w:pPr>
    </w:p>
    <w:p w:rsidR="00A90898" w:rsidRDefault="00A90898" w:rsidP="00A90898">
      <w:pPr>
        <w:pStyle w:val="TextoNormal"/>
      </w:pPr>
      <w:r>
        <w:t>Se refiere a continuación a la modificación que la Ley Orgánica 6/2007, de 24 de mayo, ha llevado a cabo en el sistema de ejecución previsto inicialmente en la Ley Orgánica del Tribunal Constitucional, para sostener que la reforma actual no pretende sino avanzar en esta senda para preservar la efectividad de la Constitución y garantizar la eficacia de las resoluciones del Tribunal Constitucional ante los nuevos retos a los que nos enfrentamos (STC 198/2012, de 6 de noviembre, FJ 8). Es un principio general la necesidad de dotar de efectividad a las resoluciones judiciales como garantía del art. 24 CE, que abarca en este punto las resoluciones del Tribunal Constitucional (ATC 1/2009, de 12 de enero, FJ 2). Por tanto, lo que se pretende defender con la actual reforma de la Ley Orgánica del Tribunal Constitucional es el derecho al cumplimiento y efectividad de las resoluciones del Tribunal Constitucional, que no puede quedar abocado exclusivamente a una reprensión de carácter penal.</w:t>
      </w:r>
    </w:p>
    <w:p w:rsidR="00A90898" w:rsidRDefault="00A90898" w:rsidP="00A90898">
      <w:pPr>
        <w:pStyle w:val="TextoNormal"/>
      </w:pPr>
    </w:p>
    <w:p w:rsidR="00A90898" w:rsidRDefault="00A90898" w:rsidP="00A90898">
      <w:pPr>
        <w:pStyle w:val="TextoNormal"/>
      </w:pPr>
      <w:r>
        <w:t>De otra parte, en nuestro sistema constitucional las medidas de suspensión o sustitución de órganos autonómicos no son exclusivas del mecanismo del art. 155 CE. Así, por ejemplo, la Ley Orgánica 4/1981, de 1 de junio, al regular los estados de anormalidad constitucional en desarrollo del art. 116 CE, ya prevé en el caso del estado de alarma que el Gobierno suspenda y sustituya a autoridades y empleados autonómicos (artículo 10). Es evidente que los supuestos de hecho de aplicación de los arts. 116 y 155 CE son distintos, lo que no es óbice para que puedan ser idénticas las actuaciones de sustitución o suspensión de autoridades o empleados públicos, estando en ambos casos legitimado el Gobierno de la Nación para activarlos. Según la tesis del recurrente, habría que admitir que la efectividad de las resoluciones del Tribunal Constitucional cuando requiera medidas de suspensión o sustitución de autoridades o empleados públicos quedará a la exclusiva apreciación del Gobierno de la Nación, como único legitimado para activar los mecanismos constitucionales que permitirían esas actuaciones. Conclusión que resulta inconstitucional, a juicio del Abogado del Estado, por no estar prevista en la Constitución y chocar frontalmente con los principios de autonomía e independencia del Tribunal Constitucional frente a los demás órganos constitucionales (arts. 1.1 y 73 LOTC).</w:t>
      </w:r>
    </w:p>
    <w:p w:rsidR="00A90898" w:rsidRDefault="00A90898" w:rsidP="00A90898">
      <w:pPr>
        <w:pStyle w:val="TextoNormal"/>
      </w:pPr>
    </w:p>
    <w:p w:rsidR="00A90898" w:rsidRDefault="00A90898" w:rsidP="00A90898">
      <w:pPr>
        <w:pStyle w:val="TextoNormal"/>
      </w:pPr>
      <w:r>
        <w:t>En definitiva, lo relevante es determinar cuál es el título legitimador que permite adoptar y aplicar las medidas de ejecución puestas a disposición del Tribunal Constitucional. Y éste no es otro que la garantía de la efectividad de sus resoluciones, que es lo mismo que decir de su función como garante de la Constitución, por lo que dicha regulación encuentra cobertura en los arts. 161 y 165 CE y 1.1 LOTC.</w:t>
      </w:r>
    </w:p>
    <w:p w:rsidR="00A90898" w:rsidRDefault="00A90898" w:rsidP="00A90898">
      <w:pPr>
        <w:pStyle w:val="TextoNormal"/>
      </w:pPr>
    </w:p>
    <w:p w:rsidR="00A90898" w:rsidRDefault="00A90898" w:rsidP="00A90898">
      <w:pPr>
        <w:pStyle w:val="TextoNormal"/>
      </w:pPr>
      <w:r>
        <w:t>b) El Abogado del Estado se refiere seguidamente al ámbito de control de constitucionalidad de las normas reguladoras del Tribunal Constitucional ante las muy concretas argumentaciones del recurrente sobre supuestos de hecho en los que se podrían aplicar las medidas de ejecución, con base en las cuales sostiene su inconstitucionalidad completa.</w:t>
      </w:r>
    </w:p>
    <w:p w:rsidR="00A90898" w:rsidRDefault="00A90898" w:rsidP="00A90898">
      <w:pPr>
        <w:pStyle w:val="TextoNormal"/>
      </w:pPr>
    </w:p>
    <w:p w:rsidR="00A90898" w:rsidRDefault="00A90898" w:rsidP="00A90898">
      <w:pPr>
        <w:pStyle w:val="TextoNormal"/>
      </w:pPr>
      <w:r>
        <w:lastRenderedPageBreak/>
        <w:t>Tras reproducir la doctrina de las SSTC 66/1985, de 23 de mayo, FJ 4, y 49/2008, de 9 de abril, FFJJ 3 y 4, resalta que en la demanda no se realiza una crítica en abstracto de la reforma, sino que se intentan delimitar supuestos en los que el recurrente considera que serían de imposible aplicación las medidas de suspensión y sustitución respecto de las resoluciones de determinados procesos constitucionales y por el sujeto obligado a su cumplimiento. Sin embargo, advierte el Abogado del Estado, este no es el ámbito del control abstracto de constitucionalidad de la reforma de la Ley Orgánica del Tribunal Constitucional (ATC 309/1987, de 12 de marzo, FJ 2). Lo que se enjuicia aquí es si en abstracto, “al margen de su posible aplicación práctica”, las medidas de ejecución puestas a disposición del Tribunal Constitucional por parte del legislador representan una opción constitucionalmente válida, con independencia de que pueda haber otras opciones también constitucionales y válidas y de si su aplicación es apta a todos o parte de los procesos constitucionales. Será a la hora de valorar su aplicación concreta en cada proceso constitucional, cuando este Tribunal deberá apreciar si es posible o no la adopción de una medida de ejecución u otra, teniendo en cuenta la naturaleza de dicho proceso y el sujeto obligado. Pero esta valoración singularizada no es objeto del presente recurso de inconstitucionalidad.</w:t>
      </w:r>
    </w:p>
    <w:p w:rsidR="00A90898" w:rsidRDefault="00A90898" w:rsidP="00A90898">
      <w:pPr>
        <w:pStyle w:val="TextoNormal"/>
      </w:pPr>
    </w:p>
    <w:p w:rsidR="00A90898" w:rsidRDefault="00A90898" w:rsidP="00A90898">
      <w:pPr>
        <w:pStyle w:val="TextoNormal"/>
      </w:pPr>
      <w:r>
        <w:t>c) El Abogado del Estado descarta la denunciada lesión del art. 23.1 CE como consecuencia del procedimiento seguido en la tramitación legislativa de la proposición de ley.</w:t>
      </w:r>
    </w:p>
    <w:p w:rsidR="00A90898" w:rsidRDefault="00A90898" w:rsidP="00A90898">
      <w:pPr>
        <w:pStyle w:val="TextoNormal"/>
      </w:pPr>
    </w:p>
    <w:p w:rsidR="00A90898" w:rsidRDefault="00A90898" w:rsidP="00A90898">
      <w:pPr>
        <w:pStyle w:val="TextoNormal"/>
      </w:pPr>
      <w:r>
        <w:t>Se ha observado el procedimiento parlamentario elegido por el órgano competente, de modo que no puede decirse que haya habido, como se afirma en la demanda, “abuso de mayorías”. El juego —y no el abuso— de mayorías conforma en esencia el funcionamiento democrático, máxime en los órganos de representación popular, como es el caso del Congreso de los Diputados y del Senado. Es la propia Cámara la que decide seguir un determinado procedimiento de acuerdo con las previsiones de su Reglamento, efectuando, en definitiva, la elección entre las alternativas que la normativa parlamentaria le ofrece (STC 129/2013, de 4 de junio, FJ 10). Así pues, el hecho de que la mayoría parlamentaria imponga sus decisiones a la minoría, dentro de la misma Cámara legislativa, siguiendo los trámites y quórums legalmente previstos, no es ni puede consistir en un “abuso de mayorías”.</w:t>
      </w:r>
    </w:p>
    <w:p w:rsidR="00A90898" w:rsidRDefault="00A90898" w:rsidP="00A90898">
      <w:pPr>
        <w:pStyle w:val="TextoNormal"/>
      </w:pPr>
    </w:p>
    <w:p w:rsidR="00A90898" w:rsidRDefault="00A90898" w:rsidP="00A90898">
      <w:pPr>
        <w:pStyle w:val="TextoNormal"/>
      </w:pPr>
      <w:r>
        <w:t>En este caso no ha habido infracción reglamentaria en la tramitación de la proposición de ley que ha dado lugar a la Ley Orgánica 15/2015. El art. 150 RCD, al establecer como condición para la tramitación por el procedimiento en lectura única que “la naturaleza del proyecto o proposición de ley tomada en consideración lo aconsejen”, no está vedando materia alguna a la utilización de este procedimiento, del que ni siquiera está excluida la reforma constitucional (STC 238/2012, de 13 de diciembre, ATC 9/2012, de 13 de enero).</w:t>
      </w:r>
    </w:p>
    <w:p w:rsidR="00A90898" w:rsidRDefault="00A90898" w:rsidP="00A90898">
      <w:pPr>
        <w:pStyle w:val="TextoNormal"/>
      </w:pPr>
    </w:p>
    <w:p w:rsidR="00A90898" w:rsidRDefault="00A90898" w:rsidP="00A90898">
      <w:pPr>
        <w:pStyle w:val="TextoNormal"/>
      </w:pPr>
      <w:r>
        <w:t xml:space="preserve">De otra parte, el requisito de la “simplicidad de formulación” del proyecto o de la proposición de ley hace referencia a una clase de textos normativos que por su redacción no resulten técnicamente complejos, extensos o muy interrelacionados o imbricados en cuanto a la regulación material que contengan. Es decir, que no se trate de textos que puedan incluso llegar a exigir la asistencia de especialistas para asegurar la total comprensión, desde el punto de vista técnico, del alcance de la regulación que contienen (STC 247/2000, de 15 de noviembre, FJ 5). En este caso, los pocos apartados de los cuatro artículos de la Ley Orgánica del Tribunal Constitucional modificados por la Ley Orgánica 15/2015 son breves, claros y perfectamente comprensibles, tanto en su redacción como en la intención legislativa </w:t>
      </w:r>
      <w:r>
        <w:lastRenderedPageBreak/>
        <w:t>que persiguen. Esta circunstancia, unida al juicio de discrecionalidad, de oportunidad política, en definitiva, del que legítimamente dispone la Cámara para adoptar el procedimiento, y salvado también en todo caso el hecho de que se hayan observado las normas establecidas, permite concluir que el procedimiento previsto en el art. 150 RCD estuvo desde la perspectiva del derecho material perfectamente justificado.</w:t>
      </w:r>
    </w:p>
    <w:p w:rsidR="00A90898" w:rsidRDefault="00A90898" w:rsidP="00A90898">
      <w:pPr>
        <w:pStyle w:val="TextoNormal"/>
      </w:pPr>
    </w:p>
    <w:p w:rsidR="00A90898" w:rsidRDefault="00A90898" w:rsidP="00A90898">
      <w:pPr>
        <w:pStyle w:val="TextoNormal"/>
      </w:pPr>
      <w:r>
        <w:t>No es acertada tampoco la objeción del recurrente en cuanto a que no se podía utilizar el procedimiento en lectura única porque se trataba de un texto de profunda trascendencia jurídica y social, y sobre el que existía una variedad de criterios técnicos y políticos y no un consenso generalizado. Estas circunstancias no pueden constituir motivo o razón que impidan la aplicación del art. 150 RCD (SSTC 238/2012 y 219/2013, de 19 de diciembre). El concepto de “simplicidad de formulación” que cabe predicar del proyecto o de la proposición de ley a tramitar en cada caso por el procedimiento en lectura única hay que referirlo en definitiva a la sencillez y claridad del texto. Es esta característica la que conduce a un análisis y a una valoración más fácil de su contenido y, por lo tanto, es también la que puede servir para agilizar la tramitación de los procedimientos legislativos, con independencia de la trascendencia política o social que la eventual ley pueda tener o de la controversia que pueda suscitar. En suma, la circunstancia de hallarnos ante un texto breve, claro y conciso, como fue el que contenía la reforma aprobada por la Ley Orgánica 15/2015, ofrece fundamento suficiente para que dicho texto pudiera tramitarse por este procedimiento. No ha habido, por lo tanto, alteración alguna del proceso de la formación de la voluntad de la Cámara y, por consiguiente, no cabe deducir tampoco la existencia de una lesión del derecho a la participación política de los grupos parlamentarios que el art. 23 CE garantiza.</w:t>
      </w:r>
    </w:p>
    <w:p w:rsidR="00A90898" w:rsidRDefault="00A90898" w:rsidP="00A90898">
      <w:pPr>
        <w:pStyle w:val="TextoNormal"/>
      </w:pPr>
    </w:p>
    <w:p w:rsidR="00A90898" w:rsidRDefault="00A90898" w:rsidP="00A90898">
      <w:pPr>
        <w:pStyle w:val="TextoNormal"/>
      </w:pPr>
      <w:r>
        <w:t>En relación con la tramitación de la proposición de ley por el procedimiento de urgencia, el Abogado del Estado afirma, con base en la doctrina del ATC 9/2012, que el art. 93 RCD otorga al órgano rector de la Cámara un margen de discrecionalidad u oportunidad política dentro del cual puede moverse al acordar, en un momento dado, en función de las circunstancias, la tramitación por dicho procedimiento de un determinado proyecto o proposición de ley. De este modo, la Mesa de la Cámara se hallaba legitimada para acordar la tramitación de urgencia, con independencia de que la alternativa escogida en este caso se compartiera o no desde otros puntos de vista jurídicos o políticos. Tal declaración no impide a los grupos parlamentarios ni a sus miembros el ejercicio de las facultades que les corresponden en el procedimiento legislativo.</w:t>
      </w:r>
    </w:p>
    <w:p w:rsidR="00A90898" w:rsidRDefault="00A90898" w:rsidP="00A90898">
      <w:pPr>
        <w:pStyle w:val="TextoNormal"/>
      </w:pPr>
    </w:p>
    <w:p w:rsidR="00A90898" w:rsidRDefault="00A90898" w:rsidP="00A90898">
      <w:pPr>
        <w:pStyle w:val="TextoNormal"/>
      </w:pPr>
      <w:r>
        <w:t>Por otra parte, el hecho de que la iniciativa legislativa que ha dado lugar a la Ley Orgánica 12/2015, también de reforma de la Ley Orgánica del Tribunal Constitucional, se hubiera tramitado por el procedimiento legislativo ordinario solo muestra el margen de apreciación que subyace al ejercicio de una potestad discrecional para acordar la tramitación de un proyecto o proposición de ley por un determinado procedimiento parlamentario, lo que, en definitiva, queda confiado a la valoración del órgano al que corresponde tal decisión, en tanto no vulnere otras normas aplicables. El Reglamento de la Cámara, salvo en supuestos específicos, no impone que haya de seguirse en todo caso de manera reglada un mismo procedimiento, ni menos aún que la Cámara quede jurídicamente vinculada al precedente, en el sentido de que si en una ocasión u ocasiones anteriores se ha acordado la tramitación parlamentaria conforme a un determinado procedimiento, dentro de las alternativas posibles que ofrece la norma, quede en lo sucesivo constreñida a la utilización de ese procedimiento.</w:t>
      </w:r>
    </w:p>
    <w:p w:rsidR="00A90898" w:rsidRDefault="00A90898" w:rsidP="00A90898">
      <w:pPr>
        <w:pStyle w:val="TextoNormal"/>
      </w:pPr>
    </w:p>
    <w:p w:rsidR="00A90898" w:rsidRDefault="00A90898" w:rsidP="00A90898">
      <w:pPr>
        <w:pStyle w:val="TextoNormal"/>
      </w:pPr>
      <w:r>
        <w:lastRenderedPageBreak/>
        <w:t>Puesto que el procedimiento de urgencia en sí mismo no se halla vedado en relación con ningún ámbito material objeto de regulación, ni se ha constatado en este caso alguna infracción reglamentaria en su adopción ni tramitación, no cabe apreciar la lesión del art. 23.1 CE como consecuencia de la tramitación por dicho procedimiento de la proposición de ley.</w:t>
      </w:r>
    </w:p>
    <w:p w:rsidR="00A90898" w:rsidRDefault="00A90898" w:rsidP="00A90898">
      <w:pPr>
        <w:pStyle w:val="TextoNormal"/>
      </w:pPr>
    </w:p>
    <w:p w:rsidR="00A90898" w:rsidRDefault="00A90898" w:rsidP="00A90898">
      <w:pPr>
        <w:pStyle w:val="TextoNormal"/>
      </w:pPr>
      <w:r>
        <w:t>d) Respecto a las tachas de inconstitucionalidad que se dirigen contra la previsión de las multas coercitivas del art. 92.4 a) LOTC, en la redacción dada por el art. único, apartado 3, de la Ley Orgánica 15/2015, el Abogado del Estado inicia sus alegaciones trayendo a colación el informe del Consejo de Garantías Estatutarias, en el que no se aconsejó al Gobierno de la Generalitat la impugnación del referido precepto.</w:t>
      </w:r>
    </w:p>
    <w:p w:rsidR="00A90898" w:rsidRDefault="00A90898" w:rsidP="00A90898">
      <w:pPr>
        <w:pStyle w:val="TextoNormal"/>
      </w:pPr>
    </w:p>
    <w:p w:rsidR="00A90898" w:rsidRDefault="00A90898" w:rsidP="00A90898">
      <w:pPr>
        <w:pStyle w:val="TextoNormal"/>
      </w:pPr>
      <w:r>
        <w:t>i. La imposición de multas coercitivas para posibilitar el cumplimiento de las resoluciones del Tribunal estaba ya recogida en la redacción original del art. 95.4 LOTC, diferenciándose de las sanciones pecuniarias (art. 95.3 LOTC). El incremento del importe de las multas coercitivas fijado en el art. 92.4 a) LOTC no modifica la naturaleza de la medida, pues su finalidad sigue siendo la misma, sin que en ningún caso su imposición pueda equipararse al ejercicio de la potestad punitiva del Estado. El Tribunal Constitucional ya se ha pronunciado en este sentido, estableciendo con claridad la diferencia entre sanciones administrativas y las multas coercitivas, así como la no aplicación del principio de legalidad en relación con estas últimas (STC 239/1988, de 14 de diciembre, FJ 2).</w:t>
      </w:r>
    </w:p>
    <w:p w:rsidR="00A90898" w:rsidRDefault="00A90898" w:rsidP="00A90898">
      <w:pPr>
        <w:pStyle w:val="TextoNormal"/>
      </w:pPr>
    </w:p>
    <w:p w:rsidR="00A90898" w:rsidRDefault="00A90898" w:rsidP="00A90898">
      <w:pPr>
        <w:pStyle w:val="TextoNormal"/>
      </w:pPr>
      <w:r>
        <w:t>Además, en comparación con la redacción original de la Ley Orgánica del Tribunal Constitucional, cabe apreciar en la reforma llevada a cabo por la Ley Orgánica 15/2015 mayores garantías tanto en la configuración como en la imposición de las multas coercitivas, siendo la vigente regulación más detallada y, por ello, más garantista que la anterior.</w:t>
      </w:r>
    </w:p>
    <w:p w:rsidR="00A90898" w:rsidRDefault="00A90898" w:rsidP="00A90898">
      <w:pPr>
        <w:pStyle w:val="TextoNormal"/>
      </w:pPr>
    </w:p>
    <w:p w:rsidR="00A90898" w:rsidRDefault="00A90898" w:rsidP="00A90898">
      <w:pPr>
        <w:pStyle w:val="TextoNormal"/>
      </w:pPr>
      <w:r>
        <w:t xml:space="preserve">La imposición de multas coercitivas se prevé en el contexto claramente expresado del deber de cumplir las resoluciones del Tribunal y del deber de velar por su cumplimiento efectivo. El apartado 4 del art. 92 LOTC regula un procedimiento </w:t>
      </w:r>
      <w:r w:rsidRPr="00A90898">
        <w:rPr>
          <w:i/>
        </w:rPr>
        <w:t>ad hoc</w:t>
      </w:r>
      <w:r>
        <w:t xml:space="preserve"> previo a su imposición, conforme al cual en caso de advertirse que una resolución dictada en el ejercicio de su función jurisdiccional pudiera estar siendo incumplida, el Tribunal requerirá (trámite de audiencia) a las instituciones, autoridades, empleados públicos o particulares a quienes corresponda llevar a cabo su cumplimiento para que en el plazo que se fije informen al respecto. Sólo después, si el Tribunal apreciase el incumplimiento total o parcial de la resolución, podrá adoptar la medida impugnada de imponer multa coercitiva de 3.000 a 30.000 € a las autoridades, empleados públicos o particulares que incumplieren las resoluciones del Tribunal, pudiendo reiterar la multa hasta el cumplimiento íntegro de lo mandado. Así pues, frente a lo que se afirma en la demanda, no se imponen sin procedimiento alguno. Además no se imponen de manera indefinida o reiterada en el tiempo, sino que se paraliza en el momento mismo en el que se produce el cumplimiento íntegro de lo mandado.</w:t>
      </w:r>
    </w:p>
    <w:p w:rsidR="00A90898" w:rsidRDefault="00A90898" w:rsidP="00A90898">
      <w:pPr>
        <w:pStyle w:val="TextoNormal"/>
      </w:pPr>
    </w:p>
    <w:p w:rsidR="00A90898" w:rsidRDefault="00A90898" w:rsidP="00A90898">
      <w:pPr>
        <w:pStyle w:val="TextoNormal"/>
      </w:pPr>
      <w:r>
        <w:t>Queda meridianamente claro que la multa coercitiva no es una sanción porque su finalidad no es imponer una pena por el incumplimiento de una norma, sino la de obtener el cumplimiento de una resolución del Tribunal. Se trata de evitar con esta medida que se produzca el incumplimiento de una resolución del Tribunal, modificando la conducta de la persona que se resiste a aquel cumplimiento.</w:t>
      </w:r>
    </w:p>
    <w:p w:rsidR="00A90898" w:rsidRDefault="00A90898" w:rsidP="00A90898">
      <w:pPr>
        <w:pStyle w:val="TextoNormal"/>
      </w:pPr>
    </w:p>
    <w:p w:rsidR="00A90898" w:rsidRDefault="00A90898" w:rsidP="00A90898">
      <w:pPr>
        <w:pStyle w:val="TextoNormal"/>
      </w:pPr>
      <w:r>
        <w:lastRenderedPageBreak/>
        <w:t>ii. Es cierto que se ha producido un incremento de la cuantía de las multas coercitivas. Pero ello en sí mismo no puede considerarse inconstitucional, pues es una opción legítima del legislador justificada en la importancia que atribuye al cumplimiento de las resoluciones del Tribunal Constitucional. En efecto, no se trata del incumplimiento de cualquier tipo de resolución administrativa, ni incluso judicial, sino de resoluciones del Tribunal Constitucional que, por su propia entidad, se refieren al incumplimiento de la Constitución que es la norma fundamental de nuestro Estado y sistema democrático. La resistencia al cumplimiento de la Constitución exige que se arbitren medios para asegurar con efectividad su cumplimiento, y ello justifica que las cuantías económicas de las multas coercitivas conviertan esta medida en realmente disuasoria, en garantía de su eficacia.</w:t>
      </w:r>
    </w:p>
    <w:p w:rsidR="00A90898" w:rsidRDefault="00A90898" w:rsidP="00A90898">
      <w:pPr>
        <w:pStyle w:val="TextoNormal"/>
      </w:pPr>
    </w:p>
    <w:p w:rsidR="00A90898" w:rsidRDefault="00A90898" w:rsidP="00A90898">
      <w:pPr>
        <w:pStyle w:val="TextoNormal"/>
      </w:pPr>
      <w:r>
        <w:t>Es un prejuicio considerar que el Tribunal va a imponer las cuantías de estas multas de manera desproporcionada con la finalidad de perjudicar el patrimonio de las personas. No puede hablarse de falta de proporcionalidad cuando la imposición de la multa coercitiva depende enteramente de la decisión libre de la persona destinataria de la medida que puede evitar la multa solo con la adecuación de su conducta a lo ordenado por el Tribunal.</w:t>
      </w:r>
    </w:p>
    <w:p w:rsidR="00A90898" w:rsidRDefault="00A90898" w:rsidP="00A90898">
      <w:pPr>
        <w:pStyle w:val="TextoNormal"/>
      </w:pPr>
    </w:p>
    <w:p w:rsidR="00A90898" w:rsidRDefault="00A90898" w:rsidP="00A90898">
      <w:pPr>
        <w:pStyle w:val="TextoNormal"/>
      </w:pPr>
      <w:r>
        <w:t>Con la finalidad de reforzar la argumentación de que la multa coercitiva no tiene carácter sancionador, el Abogado del Estado trae a colación la doctrina constitucional de las SSTC 48/2003, de 12 de marzo, FJ 9, y 132/2001, de 8 de junio, FJ 3, en las que se descarta, respectivamente, el carácter sancionador de la medida legal de disolución de partidos políticos ilegales y de la suspensión temporal de una licencia de taxi.</w:t>
      </w:r>
    </w:p>
    <w:p w:rsidR="00A90898" w:rsidRDefault="00A90898" w:rsidP="00A90898">
      <w:pPr>
        <w:pStyle w:val="TextoNormal"/>
      </w:pPr>
    </w:p>
    <w:p w:rsidR="00A90898" w:rsidRDefault="00A90898" w:rsidP="00A90898">
      <w:pPr>
        <w:pStyle w:val="TextoNormal"/>
      </w:pPr>
      <w:r>
        <w:t>No puede considerarse, por lo demás, ajena la previsión de la imposición de multas coercitivas a las funciones jurisdiccionales del Tribunal, ya que constituye, como sucede en los diferentes órdenes de la jurisdicción ordinaria, un medio adecuado para asegurar el cumplimiento de sus resoluciones.</w:t>
      </w:r>
    </w:p>
    <w:p w:rsidR="00A90898" w:rsidRDefault="00A90898" w:rsidP="00A90898">
      <w:pPr>
        <w:pStyle w:val="TextoNormal"/>
      </w:pPr>
    </w:p>
    <w:p w:rsidR="00A90898" w:rsidRDefault="00A90898" w:rsidP="00A90898">
      <w:pPr>
        <w:pStyle w:val="TextoNormal"/>
      </w:pPr>
      <w:r>
        <w:t>iii. La alegada vulneración del principio de arbitrariedad o proporcionalidad la encuentra el Abogado del Estado insuficientemente desarrollada en la demanda, que no contiene una argumentación suficiente en la que sustentar tal conclusión. No obstante, en este extremo se remite a las consideraciones que realizará a continuación en relación con la proporcionalidad de la medida de suspensión en sus funciones de autoridades y empleados públicos.</w:t>
      </w:r>
    </w:p>
    <w:p w:rsidR="00A90898" w:rsidRDefault="00A90898" w:rsidP="00A90898">
      <w:pPr>
        <w:pStyle w:val="TextoNormal"/>
      </w:pPr>
    </w:p>
    <w:p w:rsidR="00A90898" w:rsidRDefault="00A90898" w:rsidP="00A90898">
      <w:pPr>
        <w:pStyle w:val="TextoNormal"/>
      </w:pPr>
      <w:r>
        <w:t>e) Para el Abogado del Estado la medida de suspensión en sus funciones de las autoridades o empleados públicos de la Administración responsable del incumplimiento, contemplada en la nueva redacción que el art. único, apartado 3, de la Ley Orgánica 15/2015 da al art. 92.4 b) LOTC, no tiene carácter sancionador.</w:t>
      </w:r>
    </w:p>
    <w:p w:rsidR="00A90898" w:rsidRDefault="00A90898" w:rsidP="00A90898">
      <w:pPr>
        <w:pStyle w:val="TextoNormal"/>
      </w:pPr>
    </w:p>
    <w:p w:rsidR="00A90898" w:rsidRDefault="00A90898" w:rsidP="00A90898">
      <w:pPr>
        <w:pStyle w:val="TextoNormal"/>
      </w:pPr>
      <w:r>
        <w:t xml:space="preserve">i. Tras remitirse a la argumentación expuesta sobre dicho carácter en relación con las multas coercitivas del art. 92.4 a) LOTC y la jurisprudencia constitucional allí invocada, con especial referencia a la STC 48/2003, entiende que la medida ahora impugnada no tiene aquel carácter porque está diseñada no para sancionar un comportamiento, con finalidad represiva, sino para evitar la persistencia en el incumplimiento de una resolución. Prueba de ello es el plazo de eficacia de la medida, pues se impone “durante el tiempo preciso para asegurar la observancia de los pronunciamientos del Tribunal”, resultando, además, evitable, ya que sólo puede imponerse tras la constatación, previa tramitación del incidente en el que se da audiencia a las personas afectadas, de la voluntad incumplidora de su destinatario. </w:t>
      </w:r>
      <w:r>
        <w:lastRenderedPageBreak/>
        <w:t>Únicamente puede acordarse contra la autoridad o empleado público responsable del incumplimiento, de manera que no puede imponerse a personas ajenas a la resolución incumplida y, en fin, señala el Abogado del Estado, la medida ha de levantarse tan pronto como cesa la voluntad incumplidora de la persona responsable. La ausencia del carácter sancionador de la medida excluye la consiguiente aplicación del principio de legalidad recogido en el art. 25 CE.</w:t>
      </w:r>
    </w:p>
    <w:p w:rsidR="00A90898" w:rsidRDefault="00A90898" w:rsidP="00A90898">
      <w:pPr>
        <w:pStyle w:val="TextoNormal"/>
      </w:pPr>
    </w:p>
    <w:p w:rsidR="00A90898" w:rsidRDefault="00A90898" w:rsidP="00A90898">
      <w:pPr>
        <w:pStyle w:val="TextoNormal"/>
      </w:pPr>
      <w:r>
        <w:t>Por otra parte, la medida sí que forma parte del ámbito jurisdiccional del Tribunal, puesto que está directamente ordenada a la salvaguarda de la función que le encomienda el art. 161.1 CE, en cuanto instrumento que puede resultar necesario para lograr el cumplimiento de las sentencias del Tribunal sobre los procedimientos que constituyen el objeto de su competencia.</w:t>
      </w:r>
    </w:p>
    <w:p w:rsidR="00A90898" w:rsidRDefault="00A90898" w:rsidP="00A90898">
      <w:pPr>
        <w:pStyle w:val="TextoNormal"/>
      </w:pPr>
    </w:p>
    <w:p w:rsidR="00A90898" w:rsidRDefault="00A90898" w:rsidP="00A90898">
      <w:pPr>
        <w:pStyle w:val="TextoNormal"/>
      </w:pPr>
      <w:r>
        <w:t>ii. El Abogado del Estado afirma, tras reconocer que se trata de un argumento que no se desarrolla en la demanda, al que sólo se hace una sucinta mención, que tanto las multas coercitivas [art. 92.4 a) LOTC] como la medida de suspensión en sus funciones de autoridades o empleados públicos [art. 92.4 b) LOTC] respetan el principio de proporcionalidad y no son arbitrarias.</w:t>
      </w:r>
    </w:p>
    <w:p w:rsidR="00A90898" w:rsidRDefault="00A90898" w:rsidP="00A90898">
      <w:pPr>
        <w:pStyle w:val="TextoNormal"/>
      </w:pPr>
    </w:p>
    <w:p w:rsidR="00A90898" w:rsidRDefault="00A90898" w:rsidP="00A90898">
      <w:pPr>
        <w:pStyle w:val="TextoNormal"/>
      </w:pPr>
      <w:r>
        <w:t>Es cierto que la medida de suspensión puede suponer una injerencia en los derechos del art. 23 CE respecto de las autoridades o empleados públicos que ostentan el derecho al cargo, pero se trata de una injerencia legítima y por lo tanto constitucional. Se refiere a continuación el Abogado del Estado a las exigencias del principio de proporcionalidad frente a actuaciones que pueden producir una injerencia en un derecho fundamental, con reproducción de la doctrina de la STC 50/1995, de 23 de febrero, FJ 7, y cita de la jurisprudencia del Tribunal Europeo de Derechos Humanos, para afirmar que conforme a la aludida doctrina constitucional el denominado test de proporcionalidad implica “un control de adecuación o idoneidad de la medida objeto de examen (relación medio-fin), un examen de la necesidad de la misma (inexistencia de una alternativa menos gravosa) y un control de proporcionalidad en sentido estricto atendidas sus consecuencias (se calibran los intereses afectados y en conflicto para comprobar si las ventajas superan o al menos compensan los inconvenientes)”.</w:t>
      </w:r>
    </w:p>
    <w:p w:rsidR="00A90898" w:rsidRDefault="00A90898" w:rsidP="00A90898">
      <w:pPr>
        <w:pStyle w:val="TextoNormal"/>
      </w:pPr>
    </w:p>
    <w:p w:rsidR="00A90898" w:rsidRDefault="00A90898" w:rsidP="00A90898">
      <w:pPr>
        <w:pStyle w:val="TextoNormal"/>
      </w:pPr>
      <w:r>
        <w:t xml:space="preserve">Tras advertir que en este caso, en el que se lleva a cabo un control abstracto de la ley, la labor fiscalizadora de este Tribunal debe respetar el legítimo ámbito de libertad de configuración del legislador (STC 60/2010, de 7 de octubre, FJ 7), el Abogado del Estado considera que la medida de suspensión en sus funciones de autoridades o empleados públicos ha sido adoptada en una ley orgánica y es susceptible de cumplir el fin propuesto, esto es, el debido cumplimiento de las resoluciones del Tribunal Constitucional. En efecto, dicha medida permite evitar el obstáculo que supone la voluntad resistente al cumplimiento de lo ordenado por el Tribunal Constitucional, pues la remoción provisional en el ejercicio de sus funciones de la persona que, integrada en una organización, impide con su voluntad el cumplimiento de una resolución jurisdiccional permite la ejecución debida de la resolución. Además la medida es necesaria para aquellos casos en que por razones de tipo jurídico o material la oposición al cumplimiento de una resolución del Tribunal por una autoridad o empleado público, que pueden ocupar diversas posiciones en el seno de una organización, imposibilita que se actúe de acuerdo con lo resuelto. Y es también proporcionada en sentido estricto </w:t>
      </w:r>
      <w:r>
        <w:lastRenderedPageBreak/>
        <w:t>frente a otras alternativas más limitadoras de derechos, como podría ser la suspensión permanente de funciones o la aplicación de medidas de carácter penal, que, sin duda, suponen una injerencia mucho mayor que la suspensión de funciones.</w:t>
      </w:r>
    </w:p>
    <w:p w:rsidR="00A90898" w:rsidRDefault="00A90898" w:rsidP="00A90898">
      <w:pPr>
        <w:pStyle w:val="TextoNormal"/>
      </w:pPr>
    </w:p>
    <w:p w:rsidR="00A90898" w:rsidRDefault="00A90898" w:rsidP="00A90898">
      <w:pPr>
        <w:pStyle w:val="TextoNormal"/>
      </w:pPr>
      <w:r>
        <w:t>En cuanto a la idoneidad de la medida, no es irrazonable, argumenta el Abogado del Estado, considerar la hipótesis en que la anulación por el Tribunal Constitucional de una resolución que contraríe lo ordenado por él no sea suficiente para garantizar la eficacia de lo decidido, si la autoridad o empleado público que debe privar de efectos a la resolución anulada no lo hace y mantiene su eficacia. O el supuesto en que se imponga a una autoridad o empleado público una actuación positiva en orden a remediar el orden jurídico alterado y no la cumple. Pues bien, todos esos casos se sitúan dentro del ámbito de la función del Tribunal de velar por el cumplimiento de sus resoluciones en los diversos procesos constitucionales.</w:t>
      </w:r>
    </w:p>
    <w:p w:rsidR="00A90898" w:rsidRDefault="00A90898" w:rsidP="00A90898">
      <w:pPr>
        <w:pStyle w:val="TextoNormal"/>
      </w:pPr>
    </w:p>
    <w:p w:rsidR="00A90898" w:rsidRDefault="00A90898" w:rsidP="00A90898">
      <w:pPr>
        <w:pStyle w:val="TextoNormal"/>
      </w:pPr>
      <w:r>
        <w:t>iii. El análisis de la medida de suspensión desde la perspectiva de la interdicción de la arbitrariedad (art. 9.3 CE), lleva al Abogado del Estado a sostener que en este caso no se produce “un patente derroche inútil de coacción que conviert[a] la norma en arbitraria y que socav[e] los principios elementales de justicia inherentes a la dignidad de la persona y al Estado de Derecho” (STC 55/1996, de 28 de marzo, FJ 8) o una “actividad pública arbitraria y no respetuosa con la dignidad de la persona” (STC 55/1996, FJ 9) y, con ello, de los derechos y libertades fundamentales de la misma. En la demanda no se satisface la exigencia de una reiterada doctrina constitucional, por todas STC 197/2014, de 4 de diciembre, según la cual quien formula una censura de arbitrariedad al legislador ha de razonarla en detalle, ofreciendo una justificación en principio convincente para destruir la presunción de constitucionalidad de la ley impugnada, pues la afirmación apodíctica de que la ley es “inidónea” o innecesaria no constituye argumento alguno.</w:t>
      </w:r>
    </w:p>
    <w:p w:rsidR="00A90898" w:rsidRDefault="00A90898" w:rsidP="00A90898">
      <w:pPr>
        <w:pStyle w:val="TextoNormal"/>
      </w:pPr>
    </w:p>
    <w:p w:rsidR="00A90898" w:rsidRDefault="00A90898" w:rsidP="00A90898">
      <w:pPr>
        <w:pStyle w:val="TextoNormal"/>
      </w:pPr>
      <w:r>
        <w:t>f) En relación con la medida de ejecución sustitutoria del art. 92.4 c) LOTC, en la redacción que le da el art. único, apartado 3, de la Ley Orgánica 15/2015, el Abogado del Estado comienza por resaltar que el recurrente no considera inconstitucional su previsión como medida de ejecución de las resoluciones del Tribunal Constitucional, sino que únicamente cuestiona la atribución de esta posibilidad de sustitución al Gobierno de la Nación.</w:t>
      </w:r>
    </w:p>
    <w:p w:rsidR="00A90898" w:rsidRDefault="00A90898" w:rsidP="00A90898">
      <w:pPr>
        <w:pStyle w:val="TextoNormal"/>
      </w:pPr>
    </w:p>
    <w:p w:rsidR="00A90898" w:rsidRDefault="00A90898" w:rsidP="00A90898">
      <w:pPr>
        <w:pStyle w:val="TextoNormal"/>
      </w:pPr>
      <w:r>
        <w:t>También advierte, antes de analizar los distintos motivos impugnatorios, que las medidas de ejecución de la Ley Orgánica del Tribunal Constitucional son comunes a todos los procedimientos, por lo que el Tribunal para su concreta aplicación habrá de tener en cuenta la naturaleza y efectos de cada proceso constitucional, así como al sujeto obligado al cumplimiento. En otras palabras, lo que se realiza ahora es un control abstracto de la constitucionalidad de la reforma, no un análisis pormenorizado de cada uno de los procesos y supuestos en los que puede o no aplicarse, cuestión ajena a este recurso.</w:t>
      </w:r>
    </w:p>
    <w:p w:rsidR="00A90898" w:rsidRDefault="00A90898" w:rsidP="00A90898">
      <w:pPr>
        <w:pStyle w:val="TextoNormal"/>
      </w:pPr>
    </w:p>
    <w:p w:rsidR="00A90898" w:rsidRDefault="00A90898" w:rsidP="00A90898">
      <w:pPr>
        <w:pStyle w:val="TextoNormal"/>
      </w:pPr>
      <w:r>
        <w:t xml:space="preserve">i. Frente a la denunciada vulneración de los principios de imparcialidad e igualdad procesal de las partes, el Abogado del Estado afirma que el recurrente no desarrolla argumentación alguna al respecto. En cualquier caso sostiene que la posición del Gobierno de la Nación en los procesos constitucionales no es equiparable, en determinados puntos, a la de las restantes partes, como lo evidencia su condición de órgano constitucional, que no es predicable de las Comunidades Autónomas ni de sus órganos de gobierno; que en tal condición nombra a parte de los miembros del Tribunal Constitucional; su legitimación para </w:t>
      </w:r>
      <w:r>
        <w:lastRenderedPageBreak/>
        <w:t>iniciar determinados procesos constitucionales, que no se atribuye a las Comunidades Autónomas (control previo de constitucionalidad de los tratados internaciones; impugnaciones del art. 161.2 CE; planteamiento de conflictos negativos de competencia; planteamiento de conflictos entre órganos constitucionales del Estado); y, en fin, la facultad de instar la suspensión automática de las disposiciones legales o de rango inferior. Esta distinta posición del Gobierno, consagrada tanto en la Constitución (arts. 161 y 162) como en la Ley Orgánica del Tribunal Constitucional, no implica una vulneración del principio de igualdad procesal. Además su posición constitucional es prevalente en general a la de las Comunidades Autónomas en orden a la salvaguarda del sistema constitucional, como se desprende de los arts. 116, 153 y 155 CE. Por todo ello, dada la naturaleza de la medida de ejecución sustitutoria, el legislador ha querido limitar su aplicación a la figura del Gobierno de la Nación.</w:t>
      </w:r>
    </w:p>
    <w:p w:rsidR="00A90898" w:rsidRDefault="00A90898" w:rsidP="00A90898">
      <w:pPr>
        <w:pStyle w:val="TextoNormal"/>
      </w:pPr>
    </w:p>
    <w:p w:rsidR="00A90898" w:rsidRDefault="00A90898" w:rsidP="00A90898">
      <w:pPr>
        <w:pStyle w:val="TextoNormal"/>
      </w:pPr>
      <w:r>
        <w:t>ii. Por otra parte, el Gobierno no es quien decide discrecionalmente sustituir al obligado en la adopción de medidas necesarias, sino que es el Tribunal Constitucional quien pide la colaboración del Gobierno para dar efectividad a sus resoluciones. El título legitimador de la medida no es un título competencial del Estado, sino la garantía de la efectividad de las resoluciones del Tribunal Constitucional; esto es, el Gobierno actuará si le requiere el Tribunal Constitucional, y en la forma en que éste determine, para dar efectividad a sus resoluciones. El titulo legitimador de la medida encuentra cobertura, por consiguiente, en los arts. 161 y 165 CE y 1.1 LOTC.</w:t>
      </w:r>
    </w:p>
    <w:p w:rsidR="00A90898" w:rsidRDefault="00A90898" w:rsidP="00A90898">
      <w:pPr>
        <w:pStyle w:val="TextoNormal"/>
      </w:pPr>
    </w:p>
    <w:p w:rsidR="00A90898" w:rsidRDefault="00A90898" w:rsidP="00A90898">
      <w:pPr>
        <w:pStyle w:val="TextoNormal"/>
      </w:pPr>
      <w:r>
        <w:t>En idéntico error se incurre en la demanda al confundir la medida de ejecución sustitutoria con un mecanismo de control de las Comunidades Autónomas no previsto en los arts. 150, 153 y 155 CE. Esta medida de ejecución, como ya se ha señalado, se ampara en los arts. 161 y 165 CE y en la determinación realizada por el legislador para la efectividad de las resoluciones del Tribunal Constitucional. No constituye, en modo alguno, un mecanismo de control del Gobierno sobre las Comunidades Autónomas, sino una medida de ejecución de las resoluciones del Tribunal Constitucional. El Gobierno no tiene potestad para controlar, pues este control de ejecución lo realizará el Tribunal Constitucional del que el Gobierno es mero colaborador. Es el Tribunal, en fin, quien fija la forma en la que el Gobierno debe ejercer la sustitución. Cualquiera otra interpretación sería contraria a la independencia del Tribunal Constitucional respecto del resto de los órganos constitucionales.</w:t>
      </w:r>
    </w:p>
    <w:p w:rsidR="00A90898" w:rsidRDefault="00A90898" w:rsidP="00A90898">
      <w:pPr>
        <w:pStyle w:val="TextoNormal"/>
      </w:pPr>
    </w:p>
    <w:p w:rsidR="00A90898" w:rsidRDefault="00A90898" w:rsidP="00A90898">
      <w:pPr>
        <w:pStyle w:val="TextoNormal"/>
      </w:pPr>
      <w:r>
        <w:t>g) Por último, en relación con la impugnación del art. único, apartado 3, de la Ley Orgánica 15/2015, en la redacción que da al art. 92.5 LOTC, el Abogado del Estado se refiere, en primer término, a la naturaleza procesal de la medida.</w:t>
      </w:r>
    </w:p>
    <w:p w:rsidR="00A90898" w:rsidRDefault="00A90898" w:rsidP="00A90898">
      <w:pPr>
        <w:pStyle w:val="TextoNormal"/>
      </w:pPr>
    </w:p>
    <w:p w:rsidR="00A90898" w:rsidRDefault="00A90898" w:rsidP="00A90898">
      <w:pPr>
        <w:pStyle w:val="TextoNormal"/>
      </w:pPr>
      <w:r>
        <w:t>i. Argumenta al respecto que, atendiendo a su finalidad, sólo puede calificarse como una medida que incide en el ámbito procesal y que despliega su eficacia en el seno de una jurisdicción especial como es la jurisdicción constitucional. Es el Tribunal quien ha de apreciar la concurrencia o no de “circunstancias de especial trascendencia constitucional”, así como quien ha de decidir las concretas medidas a adoptar. Así pues, la situación previa ha de valorarla el Tribunal y sólo él como órgano jurisdiccional es el que debe tomar las medidas que considere pertinentes, rechazando o no las que en su caso pudieran proponerse. Es una labor de enjuiciamiento que el Tribunal realiza en fase de ejecución de sus decisiones. El Gobierno únicamente puede promover el incidente.</w:t>
      </w:r>
    </w:p>
    <w:p w:rsidR="00A90898" w:rsidRDefault="00A90898" w:rsidP="00A90898">
      <w:pPr>
        <w:pStyle w:val="TextoNormal"/>
      </w:pPr>
    </w:p>
    <w:p w:rsidR="00A90898" w:rsidRDefault="00A90898" w:rsidP="00A90898">
      <w:pPr>
        <w:pStyle w:val="TextoNormal"/>
      </w:pPr>
      <w:r>
        <w:lastRenderedPageBreak/>
        <w:t>Se trata de una categoría de decisión cautelar que no pugna con la esencia de un derecho procesal ajustado a los principios que informan la Constitución. De hecho la eventualidad de esta clase de medida o similar aparece reconocida en otros órdenes jurisdiccionales (art. 135 LJCA). Así pues, la configuración que la Ley Orgánica del Tribunal Constitucional realiza de esta clase de medidas cautelares consiste en adecuar al proceso constitucional la posibilidad de que el Tribunal adopte medidas cautelarísimas para garantizar a su vez la eficacia vinculante de sus propias resoluciones ya tomadas, en aquellos supuestos en los que el legislador ha considerado como particularmente urgentes o necesarios de especial protección jurisdiccional.</w:t>
      </w:r>
    </w:p>
    <w:p w:rsidR="00A90898" w:rsidRDefault="00A90898" w:rsidP="00A90898">
      <w:pPr>
        <w:pStyle w:val="TextoNormal"/>
      </w:pPr>
    </w:p>
    <w:p w:rsidR="00A90898" w:rsidRDefault="00A90898" w:rsidP="00A90898">
      <w:pPr>
        <w:pStyle w:val="TextoNormal"/>
      </w:pPr>
      <w:r>
        <w:t>Las “circunstancias de especial trascendencia constitucional” hacen referencia implícita al alcance o dimensión que para la integridad del régimen constitucional y para la aplicación de la Constitución pueda suponer que una Comunidad Autónoma, cuyas normas o disposiciones hayan sido suspendidas cautelarmente en su vigencia, desacate e infrinja esta obligatoriedad de respeto al efecto suspensivo del auto o providencia judicial que la hubiere decretado. De modo que la finalidad del art. 92.5 LOTC consiste simplemente en una aspiración a que la Constitución se cumpla y en evitar que las resoluciones del órgano jurisdiccional que tiene como misión su salvaguarda queden al albur de quien, desacatando abiertamente como poder público su deber general de cumplir las sentencias y resoluciones del Tribunal Constitucional (art. 164 CE), actúe todavía con manifiesto desprecio a las mismas, en claro perjuicio de la eficacia y unidad del ordenamiento.</w:t>
      </w:r>
    </w:p>
    <w:p w:rsidR="00A90898" w:rsidRDefault="00A90898" w:rsidP="00A90898">
      <w:pPr>
        <w:pStyle w:val="TextoNormal"/>
      </w:pPr>
    </w:p>
    <w:p w:rsidR="00A90898" w:rsidRDefault="00A90898" w:rsidP="00A90898">
      <w:pPr>
        <w:pStyle w:val="TextoNormal"/>
      </w:pPr>
      <w:r>
        <w:t>Aun pudiendo adoptarse de oficio por el Tribunal, es cierto también que el Gobierno, y sólo él, como órgano de la Administración central al que la Constitución le otorga directamente el beneficio de la suspensión automática de la norma impugnada, se halla legitimado, como parte procesal interesada, para solicitar la adopción de medidas de ejecución a través de la vía del art. 92.5 LOTC cuando se den circunstancias de especial trascendencia constitucional. Ahora bien, estas circunstancias habrán de ser objeto en todo caso de previa valoración por el Tribunal, determinando o no su concurrencia, al que corresponde además decidir si las medidas solicitadas son adecuadas o no y, en su caso, adoptarlas con el alcance y mediatización que decida y que habrá de seguir controlando durante todo el tiempo de su ejecución, pudiendo revocarlas si lo considera pertinente atendidas las circunstancias de cada momento.</w:t>
      </w:r>
    </w:p>
    <w:p w:rsidR="00A90898" w:rsidRDefault="00A90898" w:rsidP="00A90898">
      <w:pPr>
        <w:pStyle w:val="TextoNormal"/>
      </w:pPr>
    </w:p>
    <w:p w:rsidR="00A90898" w:rsidRDefault="00A90898" w:rsidP="00A90898">
      <w:pPr>
        <w:pStyle w:val="TextoNormal"/>
      </w:pPr>
      <w:r>
        <w:t xml:space="preserve">La naturaleza procesal de la medida del art. 92.5 LOTC, respetuosa con el derecho fundamental del art. 24 CE, se refleja también en el trámite preceptivo subsiguiente a la adopción de las medidas cautelares </w:t>
      </w:r>
      <w:r w:rsidRPr="00A90898">
        <w:rPr>
          <w:i/>
        </w:rPr>
        <w:t>inaudita parte</w:t>
      </w:r>
      <w:r>
        <w:t>, en el que se da audiencia a las partes y al Ministerio Fiscal, para confirmar o, en su caso, revocar, o, incluso, modificar las medidas adoptadas.</w:t>
      </w:r>
    </w:p>
    <w:p w:rsidR="00A90898" w:rsidRDefault="00A90898" w:rsidP="00A90898">
      <w:pPr>
        <w:pStyle w:val="TextoNormal"/>
      </w:pPr>
    </w:p>
    <w:p w:rsidR="00A90898" w:rsidRDefault="00A90898" w:rsidP="00A90898">
      <w:pPr>
        <w:pStyle w:val="TextoNormal"/>
      </w:pPr>
      <w:r>
        <w:t>Se trata, por lo tanto, de una actuación judicial en fase de ejecución, que en modo alguno cabe confundir con una hipotética prerrogativa extraordinaria o excepcional del Gobierno. Una medida de carácter procesal que se adecua a los postulados de la Constitución en cuanto es al órgano jurisdiccional al que se le dota de atribuciones decisorias para garantizar la ejecución de sus propias resoluciones.</w:t>
      </w:r>
    </w:p>
    <w:p w:rsidR="00A90898" w:rsidRDefault="00A90898" w:rsidP="00A90898">
      <w:pPr>
        <w:pStyle w:val="TextoNormal"/>
      </w:pPr>
    </w:p>
    <w:p w:rsidR="00A90898" w:rsidRDefault="00A90898" w:rsidP="00A90898">
      <w:pPr>
        <w:pStyle w:val="TextoNormal"/>
      </w:pPr>
      <w:r>
        <w:t xml:space="preserve">ii. Para el Abogado del Estado, el art. 92.5 LOTC no modifica la Constitución, como de contrario se afirma en la demanda. A su juicio, es una medida de refuerzo que se establece </w:t>
      </w:r>
      <w:r>
        <w:lastRenderedPageBreak/>
        <w:t>precisamente en garantía del efecto suspensivo que prevé el art. 161.2 CE. Se trata de asegurar la eficacia jurídica ejecutiva y vinculante de las resoluciones de suspensión cautelar de las leyes y disposiciones autonómicas. Como ya se ha señalado, al Tribunal le corresponde valorar decisivamente la concurrencia o no de “circunstancias de especial trascendencia constitucional”, que ha de considerar teniendo en cuenta aspectos tales como la incidencia de la norma autonómica en el sistema constitucional, el grado o alcance de la confrontación o desafío a la Constitución, el posible desdén respecto de valores y principios que sustentan de manera especial el ordenamiento constitucional, como, por ejemplo, la democracia, la forma de Estado o de Gobierno, los derechos fundamentales, etc. En este sentido, el Abogado del Estado invoca la doctrina constitucional contenida en los AATC 156/2013, de 11 de julio, 182/2015, y 186/2015, de 3 de noviembre.</w:t>
      </w:r>
    </w:p>
    <w:p w:rsidR="00A90898" w:rsidRDefault="00A90898" w:rsidP="00A90898">
      <w:pPr>
        <w:pStyle w:val="TextoNormal"/>
      </w:pPr>
    </w:p>
    <w:p w:rsidR="00A90898" w:rsidRDefault="00A90898" w:rsidP="00A90898">
      <w:pPr>
        <w:pStyle w:val="TextoNormal"/>
      </w:pPr>
      <w:r>
        <w:t>La medida del art. 92.5 LOTC no supone, por lo tanto, una vulneración del art. 161.2 CE, sino, antes al contrario, el refuerzo de su eficacia en el plano procesal. No se produce con ella una “modificación” de la Constitución, ampliando la prerrogativa que sólo al Gobierno se le reconoce de solicitar la suspensión cautelar de la norma autonómica impugnada. Aquel precepto legal prevé simplemente un posible incidente de ejecución para cuando la resolución judicial incumplida fuese precisamente alguna de las que hubiera declarado ya formalmente, al amparo del art. 161.2 CE, la suspensión o el mantenimiento de la suspensión de la norma en su día impugnada. Es decir, no se trata de una norma que haya modificado el régimen jurídico del art. 161.2 CE, sino que la modificación legislativa ha sido arbitrada con el fin de dotar de mayores garantías de cumplimiento a la ejecutividad y eficacia de las resoluciones judiciales de suspensión cautelar de disposiciones en el seno siempre del proceso constitucional y presupuesta la apreciación previa por el Tribunal Constitucional, de oficio o a instancia del Gobierno, de circunstancias de especial trascendencia constitucional.</w:t>
      </w:r>
    </w:p>
    <w:p w:rsidR="00A90898" w:rsidRDefault="00A90898" w:rsidP="00A90898">
      <w:pPr>
        <w:pStyle w:val="TextoNormal"/>
      </w:pPr>
    </w:p>
    <w:p w:rsidR="00A90898" w:rsidRDefault="00A90898" w:rsidP="00A90898">
      <w:pPr>
        <w:pStyle w:val="TextoNormal"/>
      </w:pPr>
      <w:r>
        <w:t>El Abogado del Estado concluye su escrito de alegaciones interesando la desestimación del recurso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9</w:t>
      </w:r>
      <w:r>
        <w:t>. El Presidente del Tribunal Constitucional, en ejercicio de las competencias del art. 15 LOTC, acordó, con fecha 5 de diciembre de 2016, designar al Excmo. Sr. González-Trevijano Sánchez, Magistrado Ponente del recurso de inconstitucionalidad núm. 7466-2015, en sustitución del Excmo. Sr. Valdés Dal-Ré, quien declinó la ponencia.</w:t>
      </w:r>
    </w:p>
    <w:p w:rsidR="00A90898" w:rsidRDefault="00A90898" w:rsidP="00A90898">
      <w:pPr>
        <w:pStyle w:val="TextoNormal"/>
      </w:pPr>
    </w:p>
    <w:p w:rsidR="00A90898" w:rsidRDefault="00A90898" w:rsidP="00A90898">
      <w:pPr>
        <w:pStyle w:val="TextoNormal"/>
      </w:pPr>
      <w:r w:rsidRPr="00A90898">
        <w:rPr>
          <w:rStyle w:val="NumeroAFNegritaCaracter"/>
        </w:rPr>
        <w:t>10</w:t>
      </w:r>
      <w:r>
        <w:t>. Por providencia de 13 de diciembre de 2016, se acordó señalar para la deliberación y votación de la presente Sentencia el día 15 de diciembre de 2016.</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Gobierno de la Generalitat de Cataluña impugna, mediante este recurso, la Ley Orgánica 15/2015, de 16 de octubre, de reforma de la Ley Orgánica 2/1979, de 3 de octubre, del Tribunal Constitucional, para la ejecución de las resoluciones del Tribunal Constitucional como garantía del Estado de Derecho, por considerar que incurre en vicios de inconstitucionalidad de orden procedimental y sustantivo. La inconstitucionalidad procedimental traería causa de la inadecuación del procedimiento legislativo seguido en la elaboración de la Ley recurrida, al no concurrir los requisitos establecidos en el art. 150 del Reglamento del Congreso de los Diputados (RCD) por haberla tramitado por el procedimiento en lectura </w:t>
      </w:r>
      <w:r>
        <w:lastRenderedPageBreak/>
        <w:t xml:space="preserve">única, cuyos plazos se han reducido además a la mitad como consecuencia de la declaración de urgencia, lo que ha condicionado gravemente la formación de la voluntad de la Cámara, con la consiguiente vulneración del derecho de sus miembros al </w:t>
      </w:r>
      <w:r w:rsidRPr="00A90898">
        <w:rPr>
          <w:i/>
        </w:rPr>
        <w:t>ius in officium</w:t>
      </w:r>
      <w:r>
        <w:t xml:space="preserve"> que les reconoce el art. 23 CE.</w:t>
      </w:r>
    </w:p>
    <w:p w:rsidR="00A90898" w:rsidRDefault="00A90898" w:rsidP="00A90898">
      <w:pPr>
        <w:pStyle w:val="TextoNormal"/>
      </w:pPr>
    </w:p>
    <w:p w:rsidR="00A90898" w:rsidRDefault="00A90898" w:rsidP="00A90898">
      <w:pPr>
        <w:pStyle w:val="TextoNormal"/>
      </w:pPr>
      <w:r>
        <w:t>Los vicios de inconstitucionalidad de orden sustantivo se dirigen contra el art. único, apartado Tres, en la nueva redacción que da al art. 92.4 a), b) y c) y 92.5 de la Ley Orgánica del Tribunal Constitucional (LOTC). A juicio del recurrente, por las razones de las que se han dejado constancia en los antecedentes de esta Sentencia y a las que nos referiremos más detalladamente al enjuiciar cada precepto, el art. 92.4 a) LOTC, que faculta al Tribunal para imponer multas coercitivas, vulnera los arts. 9.3, 25 y 165 CE, al no establecer parámetro alguno de gradación de las multas ni de los plazos para reiterarlas. Por su parte, la medida de suspensión en sus funciones de autoridades o empleados públicos recogida en el art. 92.4 b) LOTC resulta contraria a los arts. 25 y 161.1 CE, por no satisfacer las exigencias del principio de legalidad penal y exceder del ámbito de la jurisdicción constitucional. El art. 92.4 c) LOTC, que prevé que el Tribunal pueda requerir la colaboración del Gobierno de la Nación para la ejecución sustitutoria de sus resoluciones, infringe los arts. 137, 153, 161 y 165 CE, al posibilitar el ejercicio de potestades que corresponden constitucionalmente a otros órganos. Y, en fin, el art. 92.5 LOTC, que atribuye al Tribunal la facultad de adoptar las medidas necesarias para asegurar el debido cumplimiento de las resoluciones que acuerden la suspensión de disposiciones, actos o actuaciones impugnados, contraviene los arts. 161 y 165 CE, por conferirle funciones jurisdiccionales que exceden de los límites proscritos por los citados preceptos constitucionales.</w:t>
      </w:r>
    </w:p>
    <w:p w:rsidR="00A90898" w:rsidRDefault="00A90898" w:rsidP="00A90898">
      <w:pPr>
        <w:pStyle w:val="TextoNormal"/>
      </w:pPr>
    </w:p>
    <w:p w:rsidR="00A90898" w:rsidRDefault="00A90898" w:rsidP="00A90898">
      <w:pPr>
        <w:pStyle w:val="TextoNormal"/>
      </w:pPr>
      <w:r>
        <w:t>La Letrada de las Cortes Generales, con base en la argumentación que ha quedado reflejada también en los antecedentes de esta resolución, interesa la desestimación del recurso en el extremo referido a la inconstitucionalidad procedimental denunciada, motivo al que circunscribe sus alegaciones. Entiende que la tramitación parlamentaria de la Ley impugnada se ha ajustado a las previsiones reglamentarias que regulan los procedimientos en lectura única y de urgencia, sin que los diputados hayan visto mermadas o restringidas sus facultades de participación en el procedimiento legislativo, debiendo descartarse, por consiguiente, la vulneración del art. 23 CE.</w:t>
      </w:r>
    </w:p>
    <w:p w:rsidR="00A90898" w:rsidRDefault="00A90898" w:rsidP="00A90898">
      <w:pPr>
        <w:pStyle w:val="TextoNormal"/>
      </w:pPr>
    </w:p>
    <w:p w:rsidR="00A90898" w:rsidRDefault="00A90898" w:rsidP="00A90898">
      <w:pPr>
        <w:pStyle w:val="TextoNormal"/>
      </w:pPr>
      <w:r>
        <w:t>Por su parte, el Abogado del Estado, en los términos que asimismo se han resumido en los antecedentes de esta Sentencia, comparte la opinión de la Letrada de las Cortes Generales en cuanto al vicio de inconstitucionalidad procedimental alegado en la demanda, interesando la desestimación del recurso respecto a los motivos de inconstitucionalidad de orden sustantivo que se imputan a la nueva redacción que el art. único, apartado 3, de la Ley Orgánica 15/2015 da al art. 92.4. a), b) y c) y 92.5 LOTC, al no infringir, a su juicio, ninguno de los preceptos constitucionales invocados por el recurrente.</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Delimitado en los términos expuestos el objeto de este recurso de inconstitucionalidad, son palmarias las similitudes que presenta con el recurso de inconstitucionalidad interpuesto por el Gobierno Vasco contra la Ley Orgánica 15/2015, en el que se dictó la STC 185/2016, de 3 de noviembre, —aunque en este caso se impugna además el art. 92.4 a) LOTC—, por lo que van a ser inevitables y frecuentes las remisiones y reproducciones que en esta resolución haremos a la doctrina y pronunciamientos de dicha Sentencia. Similitudes que ya fueron constatadas en su momento en el trámite de admisión por este Tribunal, que, </w:t>
      </w:r>
      <w:r>
        <w:lastRenderedPageBreak/>
        <w:t>a propuesta de los Magistrados designados ponentes por turno de reparto en uno y otro recurso, consideró oportuno, como criterio de ordenación de las deliberaciones, que la resolución del recurso el Gobierno Vasco, pese a haber sido interpuesto en fecha posterior, precediera a la del promovido por el Gobierno de la Generalitat, ya que en aquél se denunciaba como primer y determinante motivo de inconstitucionalidad, con base en una consideración conjunta de los preceptos impugnados, una desnaturalización del modelo de jurisdicción constitucional diseñado por el constituyente, en tanto que el recurso del Gobierno de Cataluña no se articula en torno a tan genérico planteamiento, centrándose, por el contrario, en una más concreta impugnación de cada uno de los preceptos recurridos.</w:t>
      </w:r>
    </w:p>
    <w:p w:rsidR="00A90898" w:rsidRDefault="00A90898" w:rsidP="00A90898">
      <w:pPr>
        <w:pStyle w:val="TextoNormal"/>
      </w:pPr>
    </w:p>
    <w:p w:rsidR="00A90898" w:rsidRDefault="00A90898" w:rsidP="00A90898">
      <w:pPr>
        <w:pStyle w:val="TextoNormal"/>
      </w:pPr>
      <w:r>
        <w:t>Con la finalidad de contextualizar la reforma de la Ley Orgánica del Tribunal Constitucional llevada a cabo por la Ley Orgánica 15/2015, así como los concretos preceptos recurridos, hemos de recordar que ésta define en su preámbulo como uno de los principales componentes de cualquier función jurisdiccional “la existencia de instrumentos suficientes para garantizar la efectividad de las resoluciones dictadas en el ejercicio de dicha función”, lo que constituye además “un elemento esencial para la existencia de un Estado de Derecho”. La finalidad que persigue la reforma es la de introducir “en sede constitucional, instrumentos de ejecución que dot[e]n al Tribunal”, que tiene encomendada la función de supremo intérprete y garante de la Constitución mediante el ejercicio de su función jurisdiccional, “de un haz de potestades para garantizar el cumplimiento efectivo de sus resoluciones”. El legislador deja constancia en el preámbulo de la Ley, de la conveniencia de completar los principios generales en materia de ejecución contenidos hasta ahora en la Ley Orgánica del Tribunal Constitucional, y de desarrollar “los instrumentos necesarios” para que la garantía de la efectividad de aquellas resoluciones sea real, por “la necesidad de adaptarse a las nuevas situaciones que pretenden evitar o soslayar tal efectividad”.</w:t>
      </w:r>
    </w:p>
    <w:p w:rsidR="00A90898" w:rsidRDefault="00A90898" w:rsidP="00A90898">
      <w:pPr>
        <w:pStyle w:val="TextoNormal"/>
      </w:pPr>
    </w:p>
    <w:p w:rsidR="00A90898" w:rsidRDefault="00A90898" w:rsidP="00A90898">
      <w:pPr>
        <w:pStyle w:val="TextoNormal"/>
      </w:pPr>
      <w:r>
        <w:t>A los efectos que a este proceso constitucional interesan, la Ley recurrida en la nueva redacción que da al art. 92.4 LOTC, cuyos apartados a) b) y c) han sido impugnados, establece un régimen específico para los supuestos de incumplimiento de las resoluciones del Tribunal Constitucional. En estos casos prevé que, de “advertirse que una resolución dictada en el ejercicio de su jurisdicción pudiera estar siendo incumplida, el Tribunal, de oficio o a instancia de alguna de las partes del proceso en que hubiera recaído, requerirá a las instituciones, autoridades, empleados públicos o particulares a quienes corresponda llevar a cabo su cumplimiento para que en el plazo que se le fije informen al respecto”. Una vez recibido el informe o transcurrido el plazo conferido, “si el Tribunal apreciase el incumplimiento total o parcial de su resolución, podrá adoptar cualesquiera de las medidas siguientes: a) Imponer multa coercitiva de tres mil a treinta mil euros a las autoridades, empleados públicos o particulares que incumplieren las resoluciones del Tribunal, pudiendo reiterar la multa hasta el cumplimiento íntegro de lo mandado; b) Acordar la suspensión en sus funciones de las autoridades o empleados públicos de la Administración responsable del incumplimiento, durante el tiempo preciso para asegurar la observancia de los pronunciamientos del Tribunal; c) La ejecución sustitutoria de las resoluciones recaídas en los procesos constitucionales. En este caso, el Tribunal podrá requerir la colaboración del Gobierno de la Nación a fin de que, en los términos fijados por el Tribunal, adopte las medidas necesarias para asegurar el cumplimiento de sus resoluciones; d) Deducir el oportuno testimonio de particulares para exigir la responsabilidad penal que pudiera corresponder”.</w:t>
      </w:r>
    </w:p>
    <w:p w:rsidR="00A90898" w:rsidRDefault="00A90898" w:rsidP="00A90898">
      <w:pPr>
        <w:pStyle w:val="TextoNormal"/>
      </w:pPr>
    </w:p>
    <w:p w:rsidR="00A90898" w:rsidRDefault="00A90898" w:rsidP="00A90898">
      <w:pPr>
        <w:pStyle w:val="TextoNormal"/>
      </w:pPr>
      <w:r>
        <w:lastRenderedPageBreak/>
        <w:t>Y, en fin, el nuevo apartado 5 del art. 92 LOTC, también impugnado en este proceso, dispone que “[s]i se tratara de la ejecución de las resoluciones que acuerden la suspensión de las disposiciones, actos o actuaciones impugnadas y concurrieran circunstancias de especial trascendencia constitucional, el Tribunal, de oficio o a instancia del Gobierno, adoptará las medidas necesarias para asegurar su debido cumplimiento, sin oír a las partes. En la misma resolución dará audiencia a las partes y al Ministerio Fiscal por plazo común de tres días, tras el cual el Tribunal dictará resolución levantando, confirmando o modificando las medidas previamente adoptadas”.</w:t>
      </w:r>
    </w:p>
    <w:p w:rsidR="00A90898" w:rsidRDefault="00A90898" w:rsidP="00A90898">
      <w:pPr>
        <w:pStyle w:val="TextoNormal"/>
      </w:pPr>
    </w:p>
    <w:p w:rsidR="00A90898" w:rsidRDefault="00A90898" w:rsidP="00A90898">
      <w:pPr>
        <w:pStyle w:val="TextoNormal"/>
      </w:pPr>
      <w:r w:rsidRPr="00A90898">
        <w:rPr>
          <w:rStyle w:val="NumeroAFNegritaCaracter"/>
        </w:rPr>
        <w:t>3</w:t>
      </w:r>
      <w:r>
        <w:t>. Antes de proceder al enjuiciamiento de las cuestiones suscitadas en este recurso, es necesario referirnos, como también hicimos en la STC 185/2016, FJ 3, con reproducción de la doctrina de las SSTC 49/2008, de 9 de abril, FFJJ 3 y 4, y 118/2016, de 23 de junio, FFJJ 1 y 3, al alcance del control de constitucionalidad de la Ley Orgánica reguladora de este Tribunal.</w:t>
      </w:r>
    </w:p>
    <w:p w:rsidR="00A90898" w:rsidRDefault="00A90898" w:rsidP="00A90898">
      <w:pPr>
        <w:pStyle w:val="TextoNormal"/>
      </w:pPr>
    </w:p>
    <w:p w:rsidR="00A90898" w:rsidRDefault="00A90898" w:rsidP="00A90898">
      <w:pPr>
        <w:pStyle w:val="TextoNormal"/>
      </w:pPr>
      <w:r>
        <w:t>a) El legislador orgánico del Tribunal Constitucional “goza de una libertad de configuración que no sólo se deriva del principio democrático, sino que también está protegida a través de las diversas reservas de ley orgánica previstas en el texto constitucional respecto a esta institución [arts. 161.1.d), 162.2 y 165 CE]”, cuyo contenido, como señalamos en la STC 66/1985, de 23 de mayo, FJ 4, es disponible para el legislador. Lógicamente, esta libertad, por exigencias del principio de supremacía constitucional (art. 9.1 CE), “no es absoluta, sino que tiene límites materiales y formales que tienen su origen no sólo en dichas reservas y en los restantes preceptos que integran el título IX de la Constitución, sino en una interpretación sistemática de todo el texto constitucional”. En consecuencia, “dentro del respeto a las normas constitucionales y a la independencia y función del Tribunal, [el legislador] puede introducir en ella los cambios o modificaciones que entienda oportunos, sin que haya de limitarse a aquellos indispensables para evitar la inconstitucionalidad o asegurar el cumplimiento de los objetivos constitucionales” [STC 49/2008, FJ 3; en el mismo sentido, STC 118/2016, FJ 3 a)].</w:t>
      </w:r>
    </w:p>
    <w:p w:rsidR="00A90898" w:rsidRDefault="00A90898" w:rsidP="00A90898">
      <w:pPr>
        <w:pStyle w:val="TextoNormal"/>
      </w:pPr>
    </w:p>
    <w:p w:rsidR="00A90898" w:rsidRDefault="00A90898" w:rsidP="00A90898">
      <w:pPr>
        <w:pStyle w:val="TextoNormal"/>
      </w:pPr>
      <w:r>
        <w:t>No resulta ocioso traer ahora a colación que el Tribunal ha aludido a la libertad de configuración del legislador también en relación con otros órganos constitucionales, como recientemente ha acontecido con el Consejo General del Poder Judicial (STC 191/2016, de 15 de noviembre), respecto del que dijimos, en el contexto del reconocimiento de aquélla libertad, que la Constitución en su art. 122 “ha regulado fragmentariamente este órgano constitucional, de modo tal que no todos sus rasgos o elementos pueden deducirse de aquella ordenación parcial de la norma fundamental” [FJ 3 B)]. En fin, como con carácter más general se declara en esta Sentencia, “en modo alguno cabe postular que la ordenación por la norma fundamental de los órganos constitucionales sea siempre, en todos sus extremos, exhaustiva y, en cuanto tal, excluyente de todo margen de configuración e integración por reglas de rango inferior” [FJ 8 D)].</w:t>
      </w:r>
    </w:p>
    <w:p w:rsidR="00A90898" w:rsidRDefault="00A90898" w:rsidP="00A90898">
      <w:pPr>
        <w:pStyle w:val="TextoNormal"/>
      </w:pPr>
    </w:p>
    <w:p w:rsidR="00A90898" w:rsidRDefault="00A90898" w:rsidP="00A90898">
      <w:pPr>
        <w:pStyle w:val="TextoNormal"/>
      </w:pPr>
      <w:r>
        <w:t xml:space="preserve">b) Al legislador le corresponde respetar los límites materiales y formales del texto constitucional y a este Tribunal controlar, en su función de intérprete supremo de la Constitución, el cumplimiento de estos límites. Lo contrario supondría “no sólo admitir una zona inmune al control de constitucionalidad, sino también hacer dejación de nuestra función en el ámbito tan decisivo para la propia supremacía de la Constitución como la jurisdicción de este Tribunal”. De modo que “[d]ejar en manos del legislador orgánico la concreción [del modelo </w:t>
      </w:r>
      <w:r>
        <w:lastRenderedPageBreak/>
        <w:t>constitucional de nuestra jurisdicción] y renunciar a controlarla no se correspondería, en efecto, con la pretensión del constituyente de crear un órgano de control de constitucionalidad con amplias competencias y de garantizar su eficacia”. La doble vinculación del Tribunal Constitucional al texto constitucional y a su Ley Orgánica no “puede interpretarse en el sentido de impedir el control de constitucionalidad de nuestra ley reguladora, puesto que ello supondría rechazar la vigencia del principio de supremacía constitucional en la fase creativa del Derecho, es decir, frente al legislador” [STC 49/2008, FJ 3; doctrina que reproduce la STC 185 /2016, FJ 3 b)].</w:t>
      </w:r>
    </w:p>
    <w:p w:rsidR="00A90898" w:rsidRDefault="00A90898" w:rsidP="00A90898">
      <w:pPr>
        <w:pStyle w:val="TextoNormal"/>
      </w:pPr>
    </w:p>
    <w:p w:rsidR="00A90898" w:rsidRDefault="00A90898" w:rsidP="00A90898">
      <w:pPr>
        <w:pStyle w:val="TextoNormal"/>
      </w:pPr>
      <w:r>
        <w:t>c) En cuanto al alcance de este control, hemos de “extremar las consideraciones institucionales y funcionales que siempre acompañan al control del legislador democrático”, siendo evidente, en primer lugar, “que nuestro enjuiciamiento es exclusivamente de constitucionalidad y no político, de oportunidad o de calidad técnica”, debiendo limitarnos a contrastar “con carácter abstracto y, por lo tanto, al margen de su posible aplicación práctica los concretos preceptos impugnados y las normas y principios constitucionales que integran en cada caso el parámetro de control”. En segundo lugar, “no podemos perder de vista que la presunción de constitucionalidad ocupa un lugar destacado en el desarrollo de dicho control, correspondiendo al recurrente no sólo ponerlo en marcha mediante el ejercicio de su legitimación, sino concretar los motivos de la pretendida inconstitucionalidad y colaborar con la jurisdicción constitucional”. En tercer lugar, hemos de tener presente, como cuestión de principio, “que el legislador no debe limitarse a ejecutar la Constitución, sino que está constitucionalmente legitimado para tomar todas aquellas medidas que, en el marco caracterizado del pluralismo político, no vulneren los límites que se derivan de la Norma fundamental” [SSTC 49/2008, FJ 4; 118/2016, FJ 1, y 185/2016, FJ 3 b)].</w:t>
      </w:r>
    </w:p>
    <w:p w:rsidR="00A90898" w:rsidRDefault="00A90898" w:rsidP="00A90898">
      <w:pPr>
        <w:pStyle w:val="TextoNormal"/>
      </w:pPr>
    </w:p>
    <w:p w:rsidR="00A90898" w:rsidRDefault="00A90898" w:rsidP="00A90898">
      <w:pPr>
        <w:pStyle w:val="TextoNormal"/>
      </w:pPr>
      <w:r>
        <w:t>Y, en fin, en relación con el enjuiciamiento que hemos de llevar a cabo en este proceso, es relevante señalar, como hicimos en la STC 191/2016, que “el control sobre la constitucionalidad de las leyes que a este Tribunal cumple no puede realizarse sin reconocer y respetar el muy amplio margen o libertad de configuración que le corresponde al legislador para dar curso a sus opciones políticas, opciones que … no están previamente programadas en la Constitución de una vez por todas, como si lo único que cupiera hacer en lo sucesivo fuera desarrollar tal programa previo (STC 11/1981, de 8 de abril, FJ 7)”. Continuamos afirmando en esta Sentencia, como principio básico para la interpretación constitucional, “que el legislador no ejecuta la Constitución, sino que crea Derecho con libertad dentro del marco que ésta ofrece … siendo su corolario evidente que, en el juicio a la ley, este Tribunal no ha de hacer las veces de propio legislador … constriñendo su libertad de disposición allí donde la Constitución no lo haga de manera inequívoca”. Sobre el legislador no pesan más límites que los que resulten del texto constitucional, de modo que, concluimos entonces y hemos de reiterar ahora, “bien puede decirse que la vinculación de la ley a la Constitución es, aquí también, de carácter negativo, excluyente de toda trasgresión constitucional, pero no impositiva de una sola configuración del órgano, acabada en todos sus extremos” [FJ 3 B)].</w:t>
      </w:r>
    </w:p>
    <w:p w:rsidR="00A90898" w:rsidRDefault="00A90898" w:rsidP="00A90898">
      <w:pPr>
        <w:pStyle w:val="TextoNormal"/>
      </w:pPr>
    </w:p>
    <w:p w:rsidR="00A90898" w:rsidRDefault="00A90898" w:rsidP="00A90898">
      <w:pPr>
        <w:pStyle w:val="TextoNormal"/>
      </w:pPr>
      <w:r>
        <w:t>Este y no otro es —y ha sido— el sentido de nuestra jurisprudencia en relación con el alcance del control de constitucionalidad que cumple llevar a cabo a este Tribunal sobre su Ley Orgánica. De modo que, en su función de intérprete supremo de la Constitución, el Tribunal ha de controlar que el legislador orgánico respeta los límites constitucionales que, en los términos expuestos, condicionan su cometido y se imponen a su labor.</w:t>
      </w:r>
    </w:p>
    <w:p w:rsidR="00A90898" w:rsidRDefault="00A90898" w:rsidP="00A90898">
      <w:pPr>
        <w:pStyle w:val="TextoNormal"/>
      </w:pPr>
    </w:p>
    <w:p w:rsidR="00A90898" w:rsidRDefault="00A90898" w:rsidP="00A90898">
      <w:pPr>
        <w:pStyle w:val="TextoNormal"/>
      </w:pPr>
      <w:r w:rsidRPr="00A90898">
        <w:rPr>
          <w:rStyle w:val="NumeroAFNegritaCaracter"/>
        </w:rPr>
        <w:t>4</w:t>
      </w:r>
      <w:r>
        <w:t>. Nuestro enjuiciamiento ha de comenzar por el denunciado motivo de inconstitucionalidad procedimental, al imputarse y, en consecuencia, afectar a la totalidad de la Ley Orgánica 15/2015.</w:t>
      </w:r>
    </w:p>
    <w:p w:rsidR="00A90898" w:rsidRDefault="00A90898" w:rsidP="00A90898">
      <w:pPr>
        <w:pStyle w:val="TextoNormal"/>
      </w:pPr>
    </w:p>
    <w:p w:rsidR="00A90898" w:rsidRDefault="00A90898" w:rsidP="00A90898">
      <w:pPr>
        <w:pStyle w:val="TextoNormal"/>
      </w:pPr>
      <w:r>
        <w:t xml:space="preserve">Los Abogados del Gobierno de Cataluña consideran que, al no concurrir los requisitos que el art. 150 RCD establece para la utilización del procedimiento en lectura única, la tramitación de la proposición de ley por este procedimiento es determinante de su inconstitucionalidad formal, así como de la vulneración del derecho fundamental de los diputados al </w:t>
      </w:r>
      <w:r w:rsidRPr="00A90898">
        <w:rPr>
          <w:i/>
        </w:rPr>
        <w:t>ius in officium</w:t>
      </w:r>
      <w:r>
        <w:t xml:space="preserve"> que garantiza el art. 23 CE. De este procedimiento parlamentario habrían de quedar excluidos, características que en este caso revestía la iniciativa legislativa, tanto las regulaciones de especial relevancia constitucional como aquellos textos, en los que puedan plantearse alternativas y no únicamente su aprobación o rechazo en conjunto. Además, la limitación del derecho de participación de los diputados se ha visto agravada por la declaración de urgencia, habiéndose reducido a la mitad unos plazos ya de por sí cortos. Tras poner de manifiesto la inexistencia de consenso entre los Grupos parlamentarios, los Abogados del Gobierno de la Generalitat apelan, como precedente inmediato frente a la utilización del procedimiento en lectura única, a la tramitación por el procedimiento ordinario de la iniciativa legislativa aprobada como Ley Orgánica 12/2015, de 22 de septiembre, de modificación también de la Ley Orgánica 2/1979, de 3 de octubre, del Tribunal Constitucional, habiendo contado entonces los diputados, lo que no ha ocurrido en el supuesto que nos ocupa, con un informe del Consejo de Estado.</w:t>
      </w:r>
    </w:p>
    <w:p w:rsidR="00A90898" w:rsidRDefault="00A90898" w:rsidP="00A90898">
      <w:pPr>
        <w:pStyle w:val="TextoNormal"/>
      </w:pPr>
    </w:p>
    <w:p w:rsidR="00A90898" w:rsidRDefault="00A90898" w:rsidP="00A90898">
      <w:pPr>
        <w:pStyle w:val="TextoNormal"/>
      </w:pPr>
      <w:r>
        <w:t>La Letrada de las Cortes Generales estima, por el contrario, que la decisión de utilizar el procedimiento en lectura única ha sido válidamente adoptada por los órganos competentes y de conformidad con las previsiones del Reglamento de la Cámara. La apreciación de “la naturaleza” del proyecto o de la proposición de ley es un concepto abierto, que concede a los órganos de la Cámara un amplio margen de interpretación, pero que en ningún caso excluye el procedimiento en lectura única en razón de la relevancia especial del texto legislativo. Por su parte, el concepto de “simplicidad en su formulación” está referido al análisis de la estructura interna del texto, si éste es comprensible e inteligible y estructuralmente sencillo, como ocurren en este caso, no teniendo nada que ver con su trascendencia jurídica. La Letrada de las Cortes Generales descarta también que la declaración de urgencia, respecto de la que no se denuncia la infracción de ningún precepto del Reglamento del Congreso de los Diputados, haya dado lugar a un vicio de inconstitucionalidad, tratándose de una opción procedimental válida. En definitiva, concluye, los diputados no han visto limitadas ni restringidas sus posibilidades de participación en el proceso de elaboración de la norma, cuyo desarrollo se atuvo a las previsiones reglamentarias, por lo que no puede entenderse vulnerado el art. 23.2 CE.</w:t>
      </w:r>
    </w:p>
    <w:p w:rsidR="00A90898" w:rsidRDefault="00A90898" w:rsidP="00A90898">
      <w:pPr>
        <w:pStyle w:val="TextoNormal"/>
      </w:pPr>
    </w:p>
    <w:p w:rsidR="00A90898" w:rsidRDefault="00A90898" w:rsidP="00A90898">
      <w:pPr>
        <w:pStyle w:val="TextoNormal"/>
      </w:pPr>
      <w:r>
        <w:t xml:space="preserve">El Abogado del Estado interesa asimismo la desestimación de este motivo de inconstitucionalidad porque no aprecia en la tramitación y aprobación de la Ley recurrida infracción reglamentaria alguna. No existe materia vedada a la tramitación por el procedimiento en lectura única. De otra parte, el requisito de la “simplicidad de la formulación” del texto legislativo del art. 150 RCD hace referencia, como acontece en este caso, a textos normativos que en su redacción no resulten técnicamente complejos, extensos o muy interrelaciones o imbricados en cuanto a su regulación material. Por lo que se refiere a la declaración de urgencia, la Mesa de la Cámara está legitimada para adoptar esta decisión, la cual no impide </w:t>
      </w:r>
      <w:r>
        <w:lastRenderedPageBreak/>
        <w:t>a los grupos parlamentarios ni a sus miembros el ejercicio de las facultades que les corresponden en el procedimiento legislativo. En definitiva, el Abogado del Estado entiende que, no habiéndose constatado infracción reglamentaria alguna en la tramitación de la proposición de ley, no es posible apreciar la denunciada lesión del art. 23 CE.</w:t>
      </w:r>
    </w:p>
    <w:p w:rsidR="00A90898" w:rsidRDefault="00A90898" w:rsidP="00A90898">
      <w:pPr>
        <w:pStyle w:val="TextoNormal"/>
      </w:pPr>
    </w:p>
    <w:p w:rsidR="00A90898" w:rsidRDefault="00A90898" w:rsidP="00A90898">
      <w:pPr>
        <w:pStyle w:val="TextoNormal"/>
      </w:pPr>
      <w:r w:rsidRPr="00A90898">
        <w:rPr>
          <w:rStyle w:val="NumeroAFNegritaCaracter"/>
        </w:rPr>
        <w:t>5</w:t>
      </w:r>
      <w:r>
        <w:t>. Este primer motivo de inconstitucionalidad presenta evidentes similitudes con el vicio procedimental que a la Ley recurrida se le imputó en el recurso de inconstitucionalidad resuelto por la STC 185/2016, de 3 de noviembre, FFJJ 4 y 5, cuya fundamentación y pronunciamientos por resultar de aplicación es preciso traer a colación.</w:t>
      </w:r>
    </w:p>
    <w:p w:rsidR="00A90898" w:rsidRDefault="00A90898" w:rsidP="00A90898">
      <w:pPr>
        <w:pStyle w:val="TextoNormal"/>
      </w:pPr>
    </w:p>
    <w:p w:rsidR="00A90898" w:rsidRDefault="00A90898" w:rsidP="00A90898">
      <w:pPr>
        <w:pStyle w:val="TextoNormal"/>
      </w:pPr>
      <w:r>
        <w:t>a) Es necesario puntualizar, para determinar en sus exactos términos el verdadero alcance de este motivo de inconstitucionalidad, que los Abogados de la Generalitat de Cataluña no cuestionan que la tramitación de la proposición de ley por el procedimiento en lectura única, así como la declaración de urgencia fuesen propuestas y decididas por los sujetos y órganos competentes, como así ha sido, ni que en el transcurso del procedimiento legislativo se hubiese prescindido de algunos de sus trámites o se hubiera privado a los diputados o a los grupos parlamentarios de las facultades reglamentariamente previstas. El motivo de inconstitucionalidad se funda en que, a su juicio, no concurría, por las razones que se han dejado expuestas, ninguno de los requisitos exigidos por el art. 150 RCD para la tramitación de la proposición de ley por el procedimiento en lectura única.</w:t>
      </w:r>
    </w:p>
    <w:p w:rsidR="00A90898" w:rsidRDefault="00A90898" w:rsidP="00A90898">
      <w:pPr>
        <w:pStyle w:val="TextoNormal"/>
      </w:pPr>
    </w:p>
    <w:p w:rsidR="00A90898" w:rsidRDefault="00A90898" w:rsidP="00A90898">
      <w:pPr>
        <w:pStyle w:val="TextoNormal"/>
      </w:pPr>
      <w:r>
        <w:t>b) Recordamos en la citada STC 185/2016, reiterando precedente doctrina constitucional, que “aunque el art. 28.1 LOTC no menciona 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tienen respecto de uno de los valores superiores de nuestro ordenamiento, el pluralismo político (art. 1.1 CE), la inobservancia de los preceptos que regulan el procedimiento legislativo podría viciar de inconstitucionalidad la ley, cuando esa inobservancia altere de modo sustancial el proceso de formación de voluntad en el seno de las Cámaras” [FJ 5 b); con cita de las SSTC 99/1987, de 11 de junio, FJ 1 a), y 103/2008, de 11 de septiembre, FJ 5].</w:t>
      </w:r>
    </w:p>
    <w:p w:rsidR="00A90898" w:rsidRDefault="00A90898" w:rsidP="00A90898">
      <w:pPr>
        <w:pStyle w:val="TextoNormal"/>
      </w:pPr>
    </w:p>
    <w:p w:rsidR="00A90898" w:rsidRDefault="00A90898" w:rsidP="00A90898">
      <w:pPr>
        <w:pStyle w:val="TextoNormal"/>
      </w:pPr>
      <w:r>
        <w:t xml:space="preserve">No obstante, advertíamos que esta doctrina se ha de cohonestar con la jurisprudencia constitucional, según la cual “la autonomía parlamentaria garantizada constitucionalmente (art. 72 CE) y la propia naturaleza del art. 23.2 CE como derecho de configuración legal también obligan a otorgar a los Parlamentos y, significativamente, a sus órganos rectores, un margen de aplicación en la interpretación de la legalidad parlamentaria que este Tribunal no puede desconocer”. Y, específicamente, en relación con las decisiones parlamentarias referidas al acortamiento de los trámites y plazos del procedimiento legislativo —bien derivadas de la declaración de la tramitación por la vía de urgencia, bien por el procedimiento en lectura única, bien por la concurrencia de causas excepcionales, o por el mero incumplimiento de los plazos establecidos reglamentariamente— dijimos que este Tribunal tiene declarado que: “(i) no está constitucionalizado ningún procedimiento legislativo abreviado para la tramitación de proyectos normativos caracterizados por la urgencia, salvo una regla temporal para la tramitación en el Senado de los proyectos declarados urgentes por el Gobierno o por el Congreso de los Diputados (art. 90.3 CE), por lo que dicha regulación queda, entonces, encomendada a los reglamentos de las Cámaras [STC 136/2011, de 13 de septiembre, FJ 10 e)]; (ii) que una reducción del tiempo de tramitación no priva a las Cámaras </w:t>
      </w:r>
      <w:r>
        <w:lastRenderedPageBreak/>
        <w:t>del ejercicio de su función legislativa, ya que incide sólo sobre su cronología, ni tiene por qué traducirse en merma alguna de los principios constitucionales que han de informar el procedimiento legislativo en cuanto procedimiento de formación de voluntad del órgano (STC 234/2000, de 3 de octubre, FJ 13); (iii) que una decisión de estas características debe tener una aplicación tal que afecte por igual a todas las fuerzas políticas con representación parlamentaria en evitación de que se ocasione un tratamiento desigual o discriminatorio (ATC 35/2001, de 23 de febrero, FJ 5); y (iv) que tal reducción del tiempo de tramitación sólo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[SSTC 136/2011, de 13 de septiembre, FJ 10 e), y 44/2015, de 5 de marzo, FJ 2]” (</w:t>
      </w:r>
      <w:r w:rsidRPr="00A90898">
        <w:rPr>
          <w:i/>
        </w:rPr>
        <w:t>ibídem</w:t>
      </w:r>
      <w:r>
        <w:t>; con cita de la STC 143/2016, de 19 de septiembre, FJ 3).</w:t>
      </w:r>
    </w:p>
    <w:p w:rsidR="00A90898" w:rsidRDefault="00A90898" w:rsidP="00A90898">
      <w:pPr>
        <w:pStyle w:val="TextoNormal"/>
      </w:pPr>
    </w:p>
    <w:p w:rsidR="00A90898" w:rsidRDefault="00A90898" w:rsidP="00A90898">
      <w:pPr>
        <w:pStyle w:val="TextoNormal"/>
      </w:pPr>
      <w:r>
        <w:t>c) El art. 150 RCD establece como requisitos para la tramitación de un proyecto o de una proposición de ley por el procedimiento en lectura única que su “naturaleza” lo aconseje o que la “simplicidad de su formulación” lo permita. Requisitos ambos definidos “mediante cláusulas o conceptos abiertos que confieren a los órganos de la Cámara un amplio margen de apreciación o de interpretación en su aplicación. De modo que la valoración sobre la oportunidad de acudir a este tipo de procedimiento, así como sobre la concurrencia de los elementos de simplicidad del texto normativo o de una naturaleza que justifique la tramitación parlamentaria de un proyecto o de una proposición de ley por el procedimiento en lectura única corresponde al Pleno del Congreso de los Diputados, a propuesta de la Mesa de la Cámara, oída la Junta de Portavoces (STC 238/2012, de 13 de diciembre, FJ 4). En este caso, el Pleno del Congreso de los Diputados ha adoptado por mayoría la decisión de tramitar la proposición de ley por el procedimiento en lectura única, manifestando así su criterio de que concurría al menos alguno de los presupuestos a los que el Reglamento de la Cámara supedita la utilización de este procedimiento parlamentario” [STC 185/2016, FJ 5 d)].</w:t>
      </w:r>
    </w:p>
    <w:p w:rsidR="00A90898" w:rsidRDefault="00A90898" w:rsidP="00A90898">
      <w:pPr>
        <w:pStyle w:val="TextoNormal"/>
      </w:pPr>
    </w:p>
    <w:p w:rsidR="00A90898" w:rsidRDefault="00A90898" w:rsidP="00A90898">
      <w:pPr>
        <w:pStyle w:val="TextoNormal"/>
      </w:pPr>
      <w:r>
        <w:t xml:space="preserve">Desde la perspectiva de control que nos corresponde de tales decisiones parlamentarias hemos de desestimar, al igual que hicimos, y por las mismas razones, en la citada STC 185/2016, la denunciada infracción del art. 150 RCD, “pues no le es dado a este Tribunal, por respeto a la autonomía de las Cámaras sobre los procedimientos que se desarrollan en su seno (STC 49/2008, FJ 15), reemplazar la voluntad y el criterio de oportunidad de la Mesa del Congreso de los Diputados al proponer la tramitación de la proposición de ley por el procedimiento en lectura única, ni la del Pleno de adoptar dicha decisión. En efecto, la especial relevancia constitucional de un texto normativo, a la luz del citado precepto reglamentario, no es incompatible con su tramitación por el procedimiento en lectura única, ni suficiente por sí misma … para excluir la utilización de este procedimiento parlamentario, al que no le está vedada materia alguna, incluida la reforma constitucional (STC 238/2012, FJ 4, que reproduce la doctrina del ATC 9/2012, de 13 de enero)” </w:t>
      </w:r>
      <w:r w:rsidRPr="00A90898">
        <w:rPr>
          <w:i/>
        </w:rPr>
        <w:t>[ibíde</w:t>
      </w:r>
      <w:r>
        <w:t>m].</w:t>
      </w:r>
    </w:p>
    <w:p w:rsidR="00A90898" w:rsidRDefault="00A90898" w:rsidP="00A90898">
      <w:pPr>
        <w:pStyle w:val="TextoNormal"/>
      </w:pPr>
    </w:p>
    <w:p w:rsidR="00A90898" w:rsidRDefault="00A90898" w:rsidP="00A90898">
      <w:pPr>
        <w:pStyle w:val="TextoNormal"/>
      </w:pPr>
      <w:r>
        <w:t xml:space="preserve">A mayor abundamiento, no resulta arbitraria la consideración de que la simplicidad de la formulación de la proposición de ley, a la que tampoco puede oponerse su relevancia material o trascendencia constitucional ni la existencia de una variedad de criterios técnicos y políticos sobre la misma, “pudiera justificar en este caso —como añadimos a la precedente argumentación en la STC 185/2016—, su tramitación por el procedimiento en lectura única, </w:t>
      </w:r>
      <w:r>
        <w:lastRenderedPageBreak/>
        <w:t>atendiendo a su estructura, contenido y lenguaje. Ciertamente, como permite apreciar su lectura, la proposición de ley consta de un único artículo, con cuatro apartados, y una disposición final que modifican o dan nueva redacción parcial a cuatro artículos de la LOTC, con una estructura y un lenguaje, desde la perspectiva de cualquier observador razonable (ATC 141/2016, de 19 de julio FJ 6), comprensibles, sencillos e inteligibles, sin perjuicio de su incidencia en una materia de indudable calado constitucional”</w:t>
      </w:r>
      <w:r w:rsidRPr="00A90898">
        <w:rPr>
          <w:i/>
        </w:rPr>
        <w:t xml:space="preserve"> (ibíd</w:t>
      </w:r>
      <w:r>
        <w:t>em).</w:t>
      </w:r>
    </w:p>
    <w:p w:rsidR="00A90898" w:rsidRDefault="00A90898" w:rsidP="00A90898">
      <w:pPr>
        <w:pStyle w:val="TextoNormal"/>
      </w:pPr>
    </w:p>
    <w:p w:rsidR="00A90898" w:rsidRDefault="00A90898" w:rsidP="00A90898">
      <w:pPr>
        <w:pStyle w:val="TextoNormal"/>
      </w:pPr>
      <w:r>
        <w:t>No existe tampoco prescripción normativa alguna que imponga al Congreso de los Diputados la sujeción a sus precedentes en relación con las decisiones sobre los procedimientos de tramitación de las iniciativas legislativas, de modo que cualquier iniciativa de reforma de un mismo texto legal haya de ser tramitada a través de idéntico tipo de procedimiento parlamentario, como parece pretender el recurrente. De nuevo aquí entra en juego la libertad de opción de la Cámara sobre el procedimiento a seguir dentro del abanico de posibilidades que le brinda su Reglamento. Por lo demás, las proposiciones de ley de origen parlamentario, a diferencia de los proyectos de ley, no requieren la emisión de informes previos, por lo que no resultaba exigible en este caso un informe del Consejo de Estado.</w:t>
      </w:r>
    </w:p>
    <w:p w:rsidR="00A90898" w:rsidRDefault="00A90898" w:rsidP="00A90898">
      <w:pPr>
        <w:pStyle w:val="TextoNormal"/>
      </w:pPr>
    </w:p>
    <w:p w:rsidR="00A90898" w:rsidRDefault="00A90898" w:rsidP="00A90898">
      <w:pPr>
        <w:pStyle w:val="TextoNormal"/>
      </w:pPr>
      <w:r>
        <w:t>d) En relación con la declaración de urgencia, no se denuncia ninguna infracción de los preceptos del Reglamento de la Cámara (arts. 93 y 94 RCD) que la regulan; la declaración se invoca como argumento complementario a la inadecuación del procedimiento en lectura única para la tramitación de la proposición de ley y la consiguiente reducción de plazos.</w:t>
      </w:r>
    </w:p>
    <w:p w:rsidR="00A90898" w:rsidRDefault="00A90898" w:rsidP="00A90898">
      <w:pPr>
        <w:pStyle w:val="TextoNormal"/>
      </w:pPr>
    </w:p>
    <w:p w:rsidR="00A90898" w:rsidRDefault="00A90898" w:rsidP="00A90898">
      <w:pPr>
        <w:pStyle w:val="TextoNormal"/>
      </w:pPr>
      <w:r>
        <w:t xml:space="preserve">La declaración de urgencia, adoptada por el órgano competente a propuesta de uno de los sujetos legitimados para ello, es una opción procedimentalmente válida, que </w:t>
      </w:r>
      <w:r w:rsidRPr="00A90898">
        <w:rPr>
          <w:i/>
        </w:rPr>
        <w:t>per se</w:t>
      </w:r>
      <w:r>
        <w:t xml:space="preserve"> no da lugar a un vicio de inconstitucionalidad del procedimiento legislativo, pues la reducción del tiempo de tramitación de la iniciativa legislativa como consecuencia de aquella declaración “no tiene por qué traducirse en merma alguna de los principios constitucionales que han de informar el procedimiento legislativo en cuanto procedimiento de formación de la voluntad del órgano” (STC 234/2000, FJ 13; doctrina que reitera ATC 9/2012, FJ 4). En este caso, los Abogados del Gobierno de la Generalitat no concretan en aspecto alguno ni acreditan de ningún modo que la reducción de los plazos de tramitación haya impedido, obstaculizado o limitado las facultades que a los diputados y a los grupos parlamentarios en los que se integran les corresponden en el procedimiento legislativo, habiendo resultado afectado el núcleo esencial de su </w:t>
      </w:r>
      <w:r w:rsidRPr="00A90898">
        <w:rPr>
          <w:i/>
        </w:rPr>
        <w:t>ius in officium</w:t>
      </w:r>
      <w:r>
        <w:t>, ni que como consecuencia de aquella reducción se haya alterado de forma sustancial el proceso de formación de la voluntad de la Cámara (STC 143/2016, de 19 de septiembre, FFJJ 3 y 6).</w:t>
      </w:r>
    </w:p>
    <w:p w:rsidR="00A90898" w:rsidRDefault="00A90898" w:rsidP="00A90898">
      <w:pPr>
        <w:pStyle w:val="TextoNormal"/>
      </w:pPr>
    </w:p>
    <w:p w:rsidR="00A90898" w:rsidRDefault="00A90898" w:rsidP="00A90898">
      <w:pPr>
        <w:pStyle w:val="TextoNormal"/>
      </w:pPr>
      <w:r>
        <w:t xml:space="preserve">e) Por último, “la falta de consenso entre los grupos parlamentarios en orden a la tramitación de la proposición de ley tampoco afecta a su constitucionalidad” [STC 185/2016, FJ 5 c)], pues las decisiones han sido adoptadas, lo que los Abogados de la Generalitat no cuestionan en momento alguno, por los órganos competentes, a propuesta de los sujetos u órganos facultados para ello, y por las mayorías reglamentariamente establecidas. El consenso político que pudiera suscitar el proyecto o la proposición de ley es algo ajeno a la concurrencia de los requisitos que permitan su tramitación por el procedimiento en lectura única (STC 129/2013, de 4 de junio, FJ 9) y la declaración de urgencia. En otras palabras, la decisión de recurrir a estos procedimientos parlamentarios ha de adoptarse por mayoría simple y no por unanimidad o mayoría cualificada alguna, tal y como se deduce de lo dispuesto en el art. 79 CE y de la interpretación realizada por este Tribunal del juego de las </w:t>
      </w:r>
      <w:r>
        <w:lastRenderedPageBreak/>
        <w:t>mayorías descrito por la norma fundamental, al reconocer que la norma generalmente seguida en los procedimientos parlamentarios es el recurso a la mayoría simple, siendo la excepción la previsión de mayorías cualificadas en aras de obtener un mayor consenso para proteger más eficazmente los derechos e intereses de las minorías o con otro objetivo razonable (SSTC 179/1989, de 2 de noviembre, FJ 7, y 238/2012, FJ 4).</w:t>
      </w:r>
    </w:p>
    <w:p w:rsidR="00A90898" w:rsidRDefault="00A90898" w:rsidP="00A90898">
      <w:pPr>
        <w:pStyle w:val="TextoNormal"/>
      </w:pPr>
    </w:p>
    <w:p w:rsidR="00A90898" w:rsidRDefault="00A90898" w:rsidP="00A90898">
      <w:pPr>
        <w:pStyle w:val="TextoNormal"/>
      </w:pPr>
      <w:r>
        <w:t>Por cuanto antecede, ha de desestimarse la denunciada vulneración del art. 23 CE y, por consiguiente, el vicio de inconstitucional procedimental que se imputa a la Ley recurrida.</w:t>
      </w:r>
    </w:p>
    <w:p w:rsidR="00A90898" w:rsidRDefault="00A90898" w:rsidP="00A90898">
      <w:pPr>
        <w:pStyle w:val="TextoNormal"/>
      </w:pPr>
    </w:p>
    <w:p w:rsidR="00A90898" w:rsidRDefault="00A90898" w:rsidP="00A90898">
      <w:pPr>
        <w:pStyle w:val="TextoNormal"/>
      </w:pPr>
      <w:r w:rsidRPr="00A90898">
        <w:rPr>
          <w:rStyle w:val="NumeroAFNegritaCaracter"/>
        </w:rPr>
        <w:t>6</w:t>
      </w:r>
      <w:r>
        <w:t>. El examen de los motivos de inconstitucionalidad de orden sustantivo que se imputan al art. 92.4 a) b) y c) y 92.5 LOTC, en la redacción dada por la Ley Orgánica 15/2015, hace preciso evocar con carácter previo, en los extremos que ahora interesan, la doctrina sentada en la STC185/2016, en relación con la ejecución de las resoluciones del Tribunal Constitucional.</w:t>
      </w:r>
    </w:p>
    <w:p w:rsidR="00A90898" w:rsidRDefault="00A90898" w:rsidP="00A90898">
      <w:pPr>
        <w:pStyle w:val="TextoNormal"/>
      </w:pPr>
    </w:p>
    <w:p w:rsidR="00A90898" w:rsidRDefault="00A90898" w:rsidP="00A90898">
      <w:pPr>
        <w:pStyle w:val="TextoNormal"/>
      </w:pPr>
      <w:r>
        <w:t>a) Recordamos en la citada Sentencia, respecto al modelo de jurisdicción constitucional diseñado en la Constitución, tras aseverar la configuración del Tribunal Constitucional como un órgano jurisdiccional al que se le confiere en exclusiva el ejercicio de la jurisdicción constitucional, que “el constituyente no quiso [que fuera] un modelo cerrado …, petrificado y congelado en el tiempo e incompatible con el carácter evolutivo del Derecho, sino que dejó al legislador orgánico su determinación última”, siendo suficiente “‘con acudir a los arts. 161.1 d), 162.2 y 165 CE, para constatar la existencia de una amplia habilitación al legislador orgánico para su ulterior configuración’ [STC 118/2016, FJ 4 d)]” (FJ 8).</w:t>
      </w:r>
    </w:p>
    <w:p w:rsidR="00A90898" w:rsidRDefault="00A90898" w:rsidP="00A90898">
      <w:pPr>
        <w:pStyle w:val="TextoNormal"/>
      </w:pPr>
    </w:p>
    <w:p w:rsidR="00A90898" w:rsidRDefault="00A90898" w:rsidP="00A90898">
      <w:pPr>
        <w:pStyle w:val="TextoNormal"/>
      </w:pPr>
      <w:r>
        <w:t>Este carácter no cerrado o petrificado del modelo de jurisdicción constitucional diseñado por el constituyente se constata prácticamente respecto a cada uno de sus elementos definidores, resultando también expresiva del mismo la reserva de ley orgánica del art. 165 CE, “cuya amplitud y vocación de plenitud hemos destacado como manifestación de la estrecha relación que existe entre la Norma Suprema y la Ley Orgánica del Tribunal Constitucional”. En este sentido, invocando precedente doctrina constitucional [SSTC 49/2008, FFJJ 3 y 16; y 118/2016, FJ 4 d)], señalamos que “los términos en que se formula esta reserva específica… la amplitud de materias… su posición de cierre del Título IX y el hecho de proyectarse sobre un órgano como el Tribunal Constitucional le otorgan una vocación de complitud que debe de llevarnos a rechazar una interpretación restrictiva de tales materias” (</w:t>
      </w:r>
      <w:r w:rsidRPr="00A90898">
        <w:rPr>
          <w:i/>
        </w:rPr>
        <w:t>ibídem</w:t>
      </w:r>
      <w:r>
        <w:t>).</w:t>
      </w:r>
    </w:p>
    <w:p w:rsidR="00A90898" w:rsidRDefault="00A90898" w:rsidP="00A90898">
      <w:pPr>
        <w:pStyle w:val="TextoNormal"/>
      </w:pPr>
    </w:p>
    <w:p w:rsidR="00A90898" w:rsidRDefault="00A90898" w:rsidP="00A90898">
      <w:pPr>
        <w:pStyle w:val="TextoNormal"/>
      </w:pPr>
      <w:r>
        <w:t xml:space="preserve">b) De otra parte, el hecho de que la Constitución no contenga previsión alguna sobre la ejecución de las resoluciones del Tribunal Constitucional no puede interpretarse —dijimos— “como un desapoderamiento al Tribunal Constitucional de la potestad de ejecutar y velar por el cumplimiento de sus resoluciones”. En efecto, “[e]l Tribunal Constitucional ha sido configurado en el texto constitucional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Concluíamos este razonamiento con la consideración de que “[s]i ello no fuera así, el Tribunal, único en su orden, carecería de una de las notas esenciales del ejercicio de la función jurisdiccional </w:t>
      </w:r>
      <w:r>
        <w:lastRenderedPageBreak/>
        <w:t>y con ello de la potestad necesaria para garantizar la supremacía de la Constitución (art. 9.1 CE), en tanto que supremo intérprete y garante de la misma (art. 1.1 LOTC)” (FJ 9).</w:t>
      </w:r>
    </w:p>
    <w:p w:rsidR="00A90898" w:rsidRDefault="00A90898" w:rsidP="00A90898">
      <w:pPr>
        <w:pStyle w:val="TextoNormal"/>
      </w:pPr>
    </w:p>
    <w:p w:rsidR="00A90898" w:rsidRDefault="00A90898" w:rsidP="00A90898">
      <w:pPr>
        <w:pStyle w:val="TextoNormal"/>
      </w:pPr>
      <w:r>
        <w:t xml:space="preserve">La forma o el modo en que pueda articularse la ejecución de las resoluciones del Tribunal Constitucional, así como las medidas o instrumentos puestos a su disposición para garantizar el cumplimiento y efectividad de aquellas resoluciones son cuestiones que “el constituyente ha dejado a disposición del legislador orgánico del Tribunal Constitucional </w:t>
      </w:r>
      <w:r w:rsidRPr="00A90898">
        <w:rPr>
          <w:i/>
        </w:rPr>
        <w:t>ex</w:t>
      </w:r>
      <w:r>
        <w:t xml:space="preserve"> art. 165 CE”. De modo que “la regulación de la ejecución de sus resoluciones es materia que encuentra cobertura en la reserva de ley orgánica del art. 165 CE” (</w:t>
      </w:r>
      <w:r w:rsidRPr="00A90898">
        <w:rPr>
          <w:i/>
        </w:rPr>
        <w:t>ibídem</w:t>
      </w:r>
      <w:r>
        <w:t>).</w:t>
      </w:r>
    </w:p>
    <w:p w:rsidR="00A90898" w:rsidRDefault="00A90898" w:rsidP="00A90898">
      <w:pPr>
        <w:pStyle w:val="TextoNormal"/>
      </w:pPr>
    </w:p>
    <w:p w:rsidR="00A90898" w:rsidRDefault="00A90898" w:rsidP="00A90898">
      <w:pPr>
        <w:pStyle w:val="TextoNormal"/>
      </w:pPr>
      <w:r>
        <w:t>Descendiendo de lo general a lo particular, dejando a salvo las consideraciones que se harán a continuación sobre las concretas medidas, o algunos de sus aspectos, impugnadas por el recurrente y de los reproches que, en su caso, pudieran llegar a merecer, declaramos asimismo que las medidas de ejecución “constituyen … instrumentos o potestades puestos a disposición del Tribunal por el legislador para garantizar el debido y efectivo cumplimiento de sus sentencias y demás resoluciones, al que están obligados todos los poderes públicos, incluidas las Cámaras legislativas (ATC 170/2016, de 6 de octubre, FJ 2). La finalidad perseguida con ellas … tiene un fundamento constitucionalmente legítimo, cual es el de ‘garantizar la defensa de la posición institucional del Tribunal Constitucional y la efectividad de sus sentencias y resoluciones, protegiendo su ámbito jurisdiccional frente a cualquier intromisión ulterior de un poder público que pudiera menoscabarla’ (</w:t>
      </w:r>
      <w:r w:rsidRPr="00A90898">
        <w:rPr>
          <w:i/>
        </w:rPr>
        <w:t>ibídem</w:t>
      </w:r>
      <w:r>
        <w:t>), que es lo mismo que decir, preservar la supremacía de la Constitución, a la que todos los poderes públicos están subordinados (art. 9.1 CE), y cuyo supremo interprete y garante último es este Tribunal en el ejercicio de su función jurisdiccional” [FJ 10 a)].</w:t>
      </w:r>
    </w:p>
    <w:p w:rsidR="00A90898" w:rsidRDefault="00A90898" w:rsidP="00A90898">
      <w:pPr>
        <w:pStyle w:val="TextoNormal"/>
      </w:pPr>
    </w:p>
    <w:p w:rsidR="00A90898" w:rsidRDefault="00A90898" w:rsidP="00A90898">
      <w:pPr>
        <w:pStyle w:val="TextoNormal"/>
      </w:pPr>
      <w:r w:rsidRPr="00A90898">
        <w:rPr>
          <w:rStyle w:val="NumeroAFNegritaCaracter"/>
        </w:rPr>
        <w:t>7</w:t>
      </w:r>
      <w:r>
        <w:t>. El primero de los motivos de inconstitucionalidad de orden sustantivo en los que el Gobierno de la Generalitat funda su recurso se dirige contra el art. único, apartado 3, de la Ley Orgánica 15/2015, en la redacción que da al art. 92.4 a) LOTC, que prevé que el Tribunal Constitucional pueda imponer multas coercitivas de tres a treinta mil euros a las autoridades, empleados públicos o particulares que incumplieren sus resoluciones, pudiendo reiterar la multa hasta el cumplimiento íntegro de lo mandado. A juicio del recurrente, el precepto vulnera los principios de seguridad jurídica (art. 9.3 CE) y de legalidad en materia sancionadora (art. 25.1 CE), pues las multas coercitivas que contempla tienen por su excesivo y desproporcionado importe un componente sancionador o de castigo que responde a una previa valoración negativa de la conducta incumplidora de una resolución del Tribunal Constitucional (arts. 164 CE y 87 LOTC), sin que el legislador, contraviniendo las más elementales garantías que han de ofrecer las normas sancionadoras, haya definido parámetro alguno de gradación de las multas ni de los plazos para reiterarlas, por lo que el precepto carece de la certeza y previsibilidad constitucionalmente exigidas a este tipo de normas.</w:t>
      </w:r>
    </w:p>
    <w:p w:rsidR="00A90898" w:rsidRDefault="00A90898" w:rsidP="00A90898">
      <w:pPr>
        <w:pStyle w:val="TextoNormal"/>
      </w:pPr>
    </w:p>
    <w:p w:rsidR="00A90898" w:rsidRDefault="00A90898" w:rsidP="00A90898">
      <w:pPr>
        <w:pStyle w:val="TextoNormal"/>
      </w:pPr>
      <w:r>
        <w:t xml:space="preserve">El Abogado del Estado se opone a la estimación del motivo de inconstitucionalidad. Considera que el importe de las multas coercitivas fijado en el art. 92.4 a) LOTC no modifica la naturaleza de la medida, pues su finalidad sigue siendo la misma, no la de imponer una pena por el incumplimiento de una norma, sino la de obtener el cumplimiento de una resolución del Tribunal Constitucional, modificando la conducta de la persona que se resiste al mismo. Estas multas no son manifestación del ejercicio de la potestad punitiva del Estado, por lo que al carecer de naturaleza sancionadora no cabe apreciar la denunciada vulneración </w:t>
      </w:r>
      <w:r>
        <w:lastRenderedPageBreak/>
        <w:t xml:space="preserve">del art. 25 CE. Tras señalar que la Ley Orgánica del Tribunal Constitucional regula un procedimiento </w:t>
      </w:r>
      <w:r w:rsidRPr="00A90898">
        <w:rPr>
          <w:i/>
        </w:rPr>
        <w:t>ad hoc</w:t>
      </w:r>
      <w:r>
        <w:t xml:space="preserve"> para su imposición, y que es una opción legítima del legislador la de incrementar su cuantía, sostiene que esta medida no puede calificarse como ajena a las funciones jurisdiccionales del Tribunal, puesto que constituye un instrumento adecuado para asegurar el cumplimiento de sus resoluciones.</w:t>
      </w:r>
    </w:p>
    <w:p w:rsidR="00A90898" w:rsidRDefault="00A90898" w:rsidP="00A90898">
      <w:pPr>
        <w:pStyle w:val="TextoNormal"/>
      </w:pPr>
    </w:p>
    <w:p w:rsidR="00A90898" w:rsidRDefault="00A90898" w:rsidP="00A90898">
      <w:pPr>
        <w:pStyle w:val="TextoNormal"/>
      </w:pPr>
      <w:r w:rsidRPr="00A90898">
        <w:rPr>
          <w:rStyle w:val="NumeroAFNegritaCaracter"/>
        </w:rPr>
        <w:t>8</w:t>
      </w:r>
      <w:r>
        <w:t>. La Ley Orgánica del Tribunal Constitucional desde su redacción originaria autoriza al Tribunal Constitucional a imponer multas coercitivas “a cualquier persona, investida o no de poder público, que incumplan los requerimientos del Tribunal dentro de los plazos señalados y reiterar estas multas hasta el total cumplimiento de los interesados, sin perjuicio de cualquier otra responsabilidad a que hubiere lugar” (art. 95.4 LOTC). La horquilla del importe de esas multas se había fijado por la Ley Orgánica 6/2007, de 24 de mayo, entre 600 y 3.000 €. La Ley Orgánica 15/2015, al proceder a una regulación más completa de la ejecución de las resoluciones del Tribunal Constitucional, con la finalidad, como se indica en su preámbulo, de dotarle de los “instrumentos suficientes para garantizar la efectividad de las resoluciones dictadas en el ejercicio de su jurisdicción”, contempla las multas coercitivas entre las medidas que puede adoptar en los supuestos de incumplimiento de sus resoluciones, con una configuración sustancialmente similar a la que tenían en la anterior redacción de la Ley Orgánica del Tribunal Constitucional (en este sentido, ATC 170/2016, de 6 de octubre, FJ 2), si bien sitúa la horquilla de su importe entre 3.000 y 30.000 €.</w:t>
      </w:r>
    </w:p>
    <w:p w:rsidR="00A90898" w:rsidRDefault="00A90898" w:rsidP="00A90898">
      <w:pPr>
        <w:pStyle w:val="TextoNormal"/>
      </w:pPr>
    </w:p>
    <w:p w:rsidR="00A90898" w:rsidRDefault="00A90898" w:rsidP="00A90898">
      <w:pPr>
        <w:pStyle w:val="TextoNormal"/>
      </w:pPr>
      <w:r>
        <w:t>El Gobierno de la Generalitat funda la impugnación del precepto en el carácter sancionador que, en su opinión, revisten las multas coercitivas en la nueva redacción del art. 92.4 a) LOTC, con la consiguiente vulneración del principio de legalidad en materia sancionadora (art. 25 CE), en el que ha de subsumirse en este caso la invocación del principio de seguridad jurídica (art. 9.3 CE), cuya infracción se aduce, conjuntamente con la de aquél, por la falta de predeterminación normativa de los criterios de gradación de las multas y de los plazos para reiterarlas.</w:t>
      </w:r>
    </w:p>
    <w:p w:rsidR="00A90898" w:rsidRDefault="00A90898" w:rsidP="00A90898">
      <w:pPr>
        <w:pStyle w:val="TextoNormal"/>
      </w:pPr>
    </w:p>
    <w:p w:rsidR="00A90898" w:rsidRDefault="00A90898" w:rsidP="00A90898">
      <w:pPr>
        <w:pStyle w:val="TextoNormal"/>
      </w:pPr>
      <w:r>
        <w:t xml:space="preserve">a) Las garantías que la Constitución prevé para los actos de contenido punitivo —recordamos en la STC 185/2016, FJ 13— no resultan sin más exigibles, de acuerdo con una reiterada doctrina constitucional, a los actos restrictivos de derechos (SSTC 34/2003, de 25 de febrero, FJ 2, y 181/2014, de 6 de noviembre, FJ 5). En efecto, este Tribunal tiene declarado en relación con el principio de legalidad en materia penal que “los postulados del art. 25 CE no pueden aplicarse a ámbitos que no sean los específicos del ilícito penal o administrativo, siendo improcedente su aplicación extensiva o analógica … a supuestos distintos o a actos por su mera condición de ser restrictivos de derechos, si no representan el efectivo ejercicio del </w:t>
      </w:r>
      <w:r w:rsidRPr="00A90898">
        <w:rPr>
          <w:i/>
        </w:rPr>
        <w:t>ius puniendi</w:t>
      </w:r>
      <w:r>
        <w:t xml:space="preserve"> del Estado o tienen un verdadero sentido sancionador” (STC 48/2003, de 12 de marzo, FJ 9, y doctrina allí citada).</w:t>
      </w:r>
    </w:p>
    <w:p w:rsidR="00A90898" w:rsidRDefault="00A90898" w:rsidP="00A90898">
      <w:pPr>
        <w:pStyle w:val="TextoNormal"/>
      </w:pPr>
    </w:p>
    <w:p w:rsidR="00A90898" w:rsidRDefault="00A90898" w:rsidP="00A90898">
      <w:pPr>
        <w:pStyle w:val="TextoNormal"/>
      </w:pPr>
      <w:r>
        <w:t>A los efectos que ahora interesan, en la STC 185/2016 sintetizamos la referida doctrina constitucional en los términos que a continuación se reproducen:</w:t>
      </w:r>
    </w:p>
    <w:p w:rsidR="00A90898" w:rsidRDefault="00A90898" w:rsidP="00A90898">
      <w:pPr>
        <w:pStyle w:val="TextoNormal"/>
      </w:pPr>
    </w:p>
    <w:p w:rsidR="00A90898" w:rsidRDefault="00A90898" w:rsidP="00A90898">
      <w:pPr>
        <w:pStyle w:val="TextoNormal"/>
      </w:pPr>
      <w:r>
        <w:t xml:space="preserve">“[P]ara determinar si una consecuencia jurídica tiene o no carácter punitivo habrá que atender, ante todo, a la función que tiene encomendada en el sistema jurídico. De modo que si tiene una función represiva y con ella se restringen derechos como consecuencia de un ilícito, habremos de entender que se trata de una pena o sanción en sentido material, pero si </w:t>
      </w:r>
      <w:r>
        <w:lastRenderedPageBreak/>
        <w:t>en lugar de la represión concurren otras finalidades justificativas deberá descartarse la existencia de una pena, por más que se trate de una consecuencia gravosa. Así, hemos negado la existencia de una función retributiva porque las medidas impugnadas tenían la finalidad de constreñir a la realización de una prestación o al cumplimiento de una obligación concreta (STC 239/1988, de 14 de diciembre, FJ 2), perseguían la simple aplicación del ordenamiento por la Administración competente (STC 181/1990, de 14 de noviembre, FJ 4) o, en fin, tenían como único objetivo restablecer la legalidad conculcada (STC 119/1991, de 3 de junio, FJ 3). No basta, pues, la sola pretensión de constreñir al cumplimiento de un deber jurídico … o de restablecer la legalidad conculcada frente a quien se desenvuelve sin observar las condiciones establecidas por el ordenamiento para la ejecución de una determinada actividad. Es preciso que, de manera autónoma o en concurrencia con esas pretensiones, el perjuicio causado responda a un sentido retributivo, que se traduce en la irrogación de un mal añadido al que de suyo implica el cumplimiento forzoso de una obligación ya debida o la imposibilidad de seguir desarrollando una actividad a la que no se tenía derecho. En fin, el carácter penal o administrativo sancionador de la reacción del ordenamiento sólo aparece cuando, al margen de la voluntad reparadora, se inflige un perjuicio añadido con el que se afecta al infractor en el círculo de los bienes y derechos de los que disfrutaba lícitamente (STC 48/2003, FJ 9; en el mismo sentido, SSTC 331/2006, de 20 de noviembre, FJ 4; 121/2010, de 29 de noviembre, FJ 7; 39/2011, de 31 de marzo, FFJJ 2 y 3, y 17/2013, de 31 de enero, FJ 12)” (FJ 13).</w:t>
      </w:r>
    </w:p>
    <w:p w:rsidR="00A90898" w:rsidRDefault="00A90898" w:rsidP="00A90898">
      <w:pPr>
        <w:pStyle w:val="TextoNormal"/>
      </w:pPr>
    </w:p>
    <w:p w:rsidR="00A90898" w:rsidRDefault="00A90898" w:rsidP="00A90898">
      <w:pPr>
        <w:pStyle w:val="TextoNormal"/>
      </w:pPr>
      <w:r>
        <w:t xml:space="preserve">b) Debemos, en consecuencia, indagar en la verdadera naturaleza de las multas coercitivas previstas en el art. 92.4 a) LOTC a efectos de afirmar o descartar su carácter punitivo, para lo que es determinante, como quedó recogido en la STC 185/2016, “la función o finalidad que pretenda conseguirse con aquella medida [STC, por todas, 181/2014, FJ 6; SSTED de 21 de febrero de 1984, asunto </w:t>
      </w:r>
      <w:r w:rsidRPr="00A90898">
        <w:rPr>
          <w:i/>
        </w:rPr>
        <w:t>Öztürk</w:t>
      </w:r>
      <w:r>
        <w:t xml:space="preserve">, serie A, núm. 73 (53 y 70); de 22 de mayo de 1990, asunto </w:t>
      </w:r>
      <w:r w:rsidRPr="00A90898">
        <w:rPr>
          <w:i/>
        </w:rPr>
        <w:t>Weber</w:t>
      </w:r>
      <w:r>
        <w:t xml:space="preserve">, Serie A, núm. 177 (31-33); y de 27 de agosto de 1991, asunto </w:t>
      </w:r>
      <w:r w:rsidRPr="00A90898">
        <w:rPr>
          <w:i/>
        </w:rPr>
        <w:t>Demicoli</w:t>
      </w:r>
      <w:r>
        <w:t xml:space="preserve">, Serie A, núm. 210 (33)]” </w:t>
      </w:r>
      <w:r w:rsidRPr="00A90898">
        <w:rPr>
          <w:i/>
        </w:rPr>
        <w:t>(ibíde</w:t>
      </w:r>
      <w:r>
        <w:t>m).</w:t>
      </w:r>
    </w:p>
    <w:p w:rsidR="00A90898" w:rsidRDefault="00A90898" w:rsidP="00A90898">
      <w:pPr>
        <w:pStyle w:val="TextoNormal"/>
      </w:pPr>
    </w:p>
    <w:p w:rsidR="00A90898" w:rsidRDefault="00A90898" w:rsidP="00A90898">
      <w:pPr>
        <w:pStyle w:val="TextoNormal"/>
      </w:pPr>
      <w:r>
        <w:t>Algunos rasgos externos de las multas coercitivas pudieran conferirles cierta apariencia sancionadora. Así, en la medida en que consisten en la imposición de una obligación de pago a la persona responsable del incumplimiento de la resolución del Tribunal, inciden negativamente sobre su patrimonio, de forma que, al igual que las sanciones pecuniarias, aquella medida se puede traducir en la restricción de un derecho. Ahora bien, esta circunstancia no basta por sí sola para afirmar su naturaleza sancionadora, pues no es suficiente a tales efectos con que la reacción del Estado ante el incumplimiento de una obligación legal consista en un acto restrictivo de derechos (STC 276/2000, de 16 de noviembre, FJ 3, con cita de la STC 239/1988, FJ 2, y ATC 323/1996, de 11 de noviembre, FJ 6). También podría abundar en esa apariencia sancionadora su finalidad disuasoria del incumplimiento de las resoluciones del Tribunal Constitucional, pero tampoco ello es determinante de su carácter sancionador. Una cosa, como ya hemos tenido ocasión de declarar, “es que las sanciones tengan, entre otras, una finalidad disuasoria, y otra bien distinta que toda medida con una finalidad disuasoria de determinados comportamientos sea una sanción … pues resulta claro que la función disuasoria de una figura jurídica no determina sin más su naturaleza sancionadora” (STC 164/1995, FJ 4; en el mismo sentido STC 276/2000, FJ 4).</w:t>
      </w:r>
    </w:p>
    <w:p w:rsidR="00A90898" w:rsidRDefault="00A90898" w:rsidP="00A90898">
      <w:pPr>
        <w:pStyle w:val="TextoNormal"/>
      </w:pPr>
    </w:p>
    <w:p w:rsidR="00A90898" w:rsidRDefault="00A90898" w:rsidP="00A90898">
      <w:pPr>
        <w:pStyle w:val="TextoNormal"/>
      </w:pPr>
      <w:r>
        <w:lastRenderedPageBreak/>
        <w:t>El carácter sancionador de una medida restrictiva de las características de la que ahora merece nuestra atención depende, además de la función que a través de su imposición pretenda conseguirse, si hallamos en ella la presencia de la “finalidad represiva, retributiva o de castigo”, que hemos venido destacando como característica de las sanciones, de modo que, si por el contrario, aquella medida careciese de tal función represiva no tendría una verdadera naturaleza sancionadora (SSTC 164/1995, FJ 4, y 276/2000, FFJJ 3 y 4 y doctrina allí citada).</w:t>
      </w:r>
    </w:p>
    <w:p w:rsidR="00A90898" w:rsidRDefault="00A90898" w:rsidP="00A90898">
      <w:pPr>
        <w:pStyle w:val="TextoNormal"/>
      </w:pPr>
    </w:p>
    <w:p w:rsidR="00A90898" w:rsidRDefault="00A90898" w:rsidP="00A90898">
      <w:pPr>
        <w:pStyle w:val="TextoNormal"/>
      </w:pPr>
      <w:r>
        <w:t>Pues bien, este Tribunal ha venido negando con carácter general la existencia de una función retributiva, propia de las sanciones, en aquellas medidas, entre otras, que tiene la finalidad de constreñir a la “realización de una prestación o al cumplimiento de una obligación concreta” (STC 239/1988, FJ 2; doctrina reproducida, entre otras, SSTC 164/1995, FJ 4; 276/2000, FJ 4; 48/2003, FJ 9, y 185/2016, FJ 13). Así, por lo que respecta en particular a las multas coercitivas en el ámbito administrativo, ha declarado que “[e]n dicha clase de multas … no se impone una obligación de pago con un fin represivo o retributivo por la realización de una conducta que se considere administrativamente ilícita, cuya adecuada previsión normativa desde las exigencias constitucionales del derecho a la legalidad en materia sancionadora pueda cuestionarse, sino que consiste en un medida de constreñimiento económico adoptada previo el oportuno apercibimiento, reiterada en lapsos de tiempo y tendente a obtener la acomodación de un comportamiento obstativo del destinatario del acto a lo dispuesto en la decisión administrativa previa. No se inscriben, por tanto —continúa diciendo el Tribunal— en el ejercicio de la potestad administrativa sancionadora, sino en el de la autotutela ejecutiva de la Administración … respecto de la que no cabe predicar el doble fundamento de la legalidad sancionadora del art. 25.1 CE … esto es: de la libertad (regla general de la licitud de lo no prohibido) y de seguridad jurídica (saber a qué atenerse), ya que, como se ha dicho, no se castiga una conducta realizada porque sea antijurídica, sino que se constriñe a la realización de una prestación o al cumplimiento de una obligación concreta previamente fijada por el acto administrativo que se trata de ejecutar, y mediando la oportuna conminación o apercibimiento” (STC 239/1988, FJ 2).</w:t>
      </w:r>
    </w:p>
    <w:p w:rsidR="00A90898" w:rsidRDefault="00A90898" w:rsidP="00A90898">
      <w:pPr>
        <w:pStyle w:val="TextoNormal"/>
      </w:pPr>
    </w:p>
    <w:p w:rsidR="00A90898" w:rsidRDefault="00A90898" w:rsidP="00A90898">
      <w:pPr>
        <w:pStyle w:val="TextoNormal"/>
      </w:pPr>
      <w:r>
        <w:t>La reseñada doctrina constitucional resulta de aplicación, por la identidad sustancial que presentan unas y otras medidas, a las multas coercitivas previstas en el art. 92.4 a) LOTC, que obedecen también a una función coercitiva, disuasoria o de estímulo respecto a la obligación de todos los ciudadanos y poderes públicos de cumplir las resoluciones del Tribunal Constitucional (arts. 9.1 CE y 87.1 LOTC), tendente a la modificación del comportamiento de quien incumple una resolución del Tribunal Constitucional, estando obligado a su cumplimiento. De modo que no se trata de una medida sancionadora en sentido propio, pues no se impone con una finalidad represiva o retributiva por la realización de una conducta antijurídica, sino como coerción o estímulo para el cumplimiento de un deber jurídico o, lo que es lo mismo, como disuasión para su incumplimiento. Así pues, por más que la medida controvertida tenga una consecuencia gravosa para la persona a la que se le imponga, no responde a una finalidad propiamente represiva, retributiva o de castigo, características definidoras de las medidas punitivas, sino a la finalidad de garantizar la efectividad y el cumplimiento de las resoluciones del Tribunal Constitucional.</w:t>
      </w:r>
    </w:p>
    <w:p w:rsidR="00A90898" w:rsidRDefault="00A90898" w:rsidP="00A90898">
      <w:pPr>
        <w:pStyle w:val="TextoNormal"/>
      </w:pPr>
    </w:p>
    <w:p w:rsidR="00A90898" w:rsidRDefault="00A90898" w:rsidP="00A90898">
      <w:pPr>
        <w:pStyle w:val="TextoNormal"/>
      </w:pPr>
      <w:r>
        <w:t xml:space="preserve">La conclusión alcanzada sobre la naturaleza no sancionadora de las multas coercitivas no puede resultar alterada por la consideración del recurrente que tilda de excesivo y desproporcionado el incremento que han experimentado en su cuantía. Sin perjuicio de lo que </w:t>
      </w:r>
      <w:r>
        <w:lastRenderedPageBreak/>
        <w:t>se dirá más adelante sobre la denunciada desproporcionalidad de las multas que el Tribunal pudiera imponer en razón de su cuantía, aquella subjetiva apreciación no es por sí sola suficiente para estimar, en este caso, que las magnitudes de la horquilla de las multas coercitivas, fijadas por el legislador en su libertad de configuración y en atención a la importancia que en su criterio y por sí misma reviste la obligación de cumplir las resoluciones del Tribunal Constitucional, vengan a modificar, consideradas en abstracto dichas magnitudes, la naturaleza jurídica de la medida. Su finalidad no resulta así transmutada, sigue siendo la misma, sin que su imposición constituya una manifestación del ejercicio de la potestad sancionadora.</w:t>
      </w:r>
    </w:p>
    <w:p w:rsidR="00A90898" w:rsidRDefault="00A90898" w:rsidP="00A90898">
      <w:pPr>
        <w:pStyle w:val="TextoNormal"/>
      </w:pPr>
    </w:p>
    <w:p w:rsidR="00A90898" w:rsidRDefault="00A90898" w:rsidP="00A90898">
      <w:pPr>
        <w:pStyle w:val="TextoNormal"/>
      </w:pPr>
      <w:r>
        <w:t>Excluido el carácter punitivo o sancionador de las multas coercitivas del art. 92.4 a) LOTC, ha de desestimarse la denunciada infracción del art. 25 CE, en la que ha de subsumirse, como ya se ha señalado, la del art. 9.3 CE.</w:t>
      </w:r>
    </w:p>
    <w:p w:rsidR="00A90898" w:rsidRDefault="00A90898" w:rsidP="00A90898">
      <w:pPr>
        <w:pStyle w:val="TextoNormal"/>
      </w:pPr>
    </w:p>
    <w:p w:rsidR="00A90898" w:rsidRDefault="00A90898" w:rsidP="00A90898">
      <w:pPr>
        <w:pStyle w:val="TextoNormal"/>
      </w:pPr>
      <w:r>
        <w:t>c) Llegados aquí, en modo alguno resulta ocioso resaltar, frente a lo que pudiera desprenderse de la demanda, que en la imposición de las multas coercitivas necesariamente ha de seguirse el procedimiento establecido por el legislador, en el que se garantiza la audiencia de las autoridades, empleados públicos o particulares que estén obligados al cumplimiento de la resolución del Tribunal.</w:t>
      </w:r>
    </w:p>
    <w:p w:rsidR="00A90898" w:rsidRDefault="00A90898" w:rsidP="00A90898">
      <w:pPr>
        <w:pStyle w:val="TextoNormal"/>
      </w:pPr>
    </w:p>
    <w:p w:rsidR="00A90898" w:rsidRDefault="00A90898" w:rsidP="00A90898">
      <w:pPr>
        <w:pStyle w:val="TextoNormal"/>
      </w:pPr>
      <w:r>
        <w:t>En efecto, las multas coercitivas, al igual que el resto de las medidas previstas en el art. 92.4 LOTC, sólo pueden imponerse una vez advertido que una resolución dictada por el Tribunal en el ejercicio de su jurisdicción pudiera estar siendo incumplida y tras el trámite de audiencia que aquel precepto regula. Esto es, de reparar en tal incumplimiento, el Tribunal, de oficio o a instancia de una de las partes del proceso en las que hubiera recaído aquella resolución, “requerirá a las instituciones, autoridades, empleados públicos o particulares a quienes corresponda llevar a cabo su cumplimiento para que en el plazo que se les fije informen al respecto”. Si una vez recibido el informe o transcurrido el plazo fijado, “el Tribunal apreciase el incumplimiento total o parcial de su resolución, podrá adoptar cualesquiera de las medidas” que se recogen en el art. 92.4 LOTC, entre ellas, las multas coercitivas [a)].</w:t>
      </w:r>
    </w:p>
    <w:p w:rsidR="00A90898" w:rsidRDefault="00A90898" w:rsidP="00A90898">
      <w:pPr>
        <w:pStyle w:val="TextoNormal"/>
      </w:pPr>
    </w:p>
    <w:p w:rsidR="00A90898" w:rsidRDefault="00A90898" w:rsidP="00A90898">
      <w:pPr>
        <w:pStyle w:val="TextoNormal"/>
      </w:pPr>
      <w:r>
        <w:t>De otra parte, que las resoluciones dictadas por el Tribunal Constitucional en el ejercicio de su función jurisdiccional en las que se impongan multas coercitivas no sean susceptibles de impugnación o revisión ante otro órgano jurisdiccional interno no es sino una consecuencia del modelo de jurisdicción constitucional diseñado por el constituyente, que ha configurado al Tribunal Constitucional como único en su orden. En virtud de la posición institucional que le corresponde, las resoluciones que dicte el Tribunal Constitucional en el ejercicio de su jurisdicción son irrevisables por cualquier órgano jurisdiccional del Estado (arts. 164.1 CE y 4.1 y 93 LOTC; STC 133/2013, de 2 de julio, FJ 6).</w:t>
      </w:r>
    </w:p>
    <w:p w:rsidR="00A90898" w:rsidRDefault="00A90898" w:rsidP="00A90898">
      <w:pPr>
        <w:pStyle w:val="TextoNormal"/>
      </w:pPr>
    </w:p>
    <w:p w:rsidR="00A90898" w:rsidRDefault="00A90898" w:rsidP="00A90898">
      <w:pPr>
        <w:pStyle w:val="TextoNormal"/>
      </w:pPr>
      <w:r>
        <w:t>d) A juicio de los Abogados de la Generalitat la horquilla de las cuantías fijada por el legislador para las multas coercitivas en el art. 92.4 a) LOTC resulta desproporcionada en relación con la capacidad económica de los sujetos que pueden ser multados; en concreto, a la vista de los salarios que actualmente perciben las autoridades o empleados públicos, siendo, por otra parte, muy superior a las establecidas para otras multas en la Ley reguladora de la jurisdicción contencioso-administrativa: LJCA [arts. 48.7 a) y 112].</w:t>
      </w:r>
    </w:p>
    <w:p w:rsidR="00A90898" w:rsidRDefault="00A90898" w:rsidP="00A90898">
      <w:pPr>
        <w:pStyle w:val="TextoNormal"/>
      </w:pPr>
    </w:p>
    <w:p w:rsidR="00A90898" w:rsidRDefault="00A90898" w:rsidP="00A90898">
      <w:pPr>
        <w:pStyle w:val="TextoNormal"/>
      </w:pPr>
      <w:r>
        <w:lastRenderedPageBreak/>
        <w:t>Esta apelación genérica a la proporcionalidad requiere advertir que este principio no constituye en nuestro ordenamiento un canon de constitucionalidad autónomo, cuya alegación pueda producirse de forma aislada respecto de otros preceptos constitucionales. Es, si se quiere decir así, un principio que cabe inferir de determinados preceptos constitucionales, siendo en el ámbito de los derechos fundamentales en el que normalmente y de forma muy particular resulta aplicable, y como tal opera como un criterio de interpretación que permite enjuiciar las posibles vulneraciones de concretas normas constitucionales. En otras palabras, desde la perspectiva del control de constitucionalidad que nos es propio, no puede invocarse de forma autónoma y aislada el principio de proporcionalidad, ni cabe analizar en abstracto si una determinada actuación de un poder público o una determinada prescripción normativa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(SSTC 55/1996, de 28 de marzo, FJ 3; 136/1999, de 20 de julio, FJ 22, y 60/2010, de 7 de octubre, FJ 7).</w:t>
      </w:r>
    </w:p>
    <w:p w:rsidR="00A90898" w:rsidRDefault="00A90898" w:rsidP="00A90898">
      <w:pPr>
        <w:pStyle w:val="TextoNormal"/>
      </w:pPr>
    </w:p>
    <w:p w:rsidR="00A90898" w:rsidRDefault="00A90898" w:rsidP="00A90898">
      <w:pPr>
        <w:pStyle w:val="TextoNormal"/>
      </w:pPr>
      <w:r>
        <w:t xml:space="preserve">Pues bien, en el recurso no se anuda a la denunciada desproporción de la horquilla de las cuantías de las multas coercitivas la infracción de precepto constitucional alguno, de manera que su existencia se alega de forma autónoma y aislada, pretendiéndose de este Tribunal un análisis abstracto del precepto impugnado, lo que, de acuerdo con la doctrina que se acaba de reseñar, ha de conducir, sin más, a su desestimación. A mayor abundamiento, las razones que el recurrente aduce resultan insuficientes para tildar de desproporcionada aquella horquilla, pues, de un lado, el ámbito subjetivo de aplicación del precepto no se circunscribe a las autoridades o empleados públicos, sino que abarca también a los particulares que pudieran incumplir las resoluciones del Tribunal, de modo que no cabe afirmar </w:t>
      </w:r>
      <w:r w:rsidRPr="00A90898">
        <w:rPr>
          <w:i/>
        </w:rPr>
        <w:t>a priori</w:t>
      </w:r>
      <w:r>
        <w:t>, en atención al criterio de los salarios de aquéllos, que los importes fijados han de resultar siempre, imperiosa y necesariamente, desproporcionados. De otro lado, el hecho de que esos importes sean superiores a los establecidos para ciertas multas en la Ley reguladora de la jurisdicción contencioso-administrativa no dice nada sobre la constitucionalidad del precepto impugnado en el aspecto que ahora nos ocupa, ya que es obvio que la citada disposición legal no puede operar como parámetro de constitucionalidad de la Ley Orgánica del Tribunal Constitucional.</w:t>
      </w:r>
    </w:p>
    <w:p w:rsidR="00A90898" w:rsidRDefault="00A90898" w:rsidP="00A90898">
      <w:pPr>
        <w:pStyle w:val="TextoNormal"/>
      </w:pPr>
    </w:p>
    <w:p w:rsidR="00A90898" w:rsidRDefault="00A90898" w:rsidP="00A90898">
      <w:pPr>
        <w:pStyle w:val="TextoNormal"/>
      </w:pPr>
      <w:r>
        <w:t>En definitiva, desde la perspectiva constitucional que nos es propia, no cabe reprochar en este caso al legislador que en su libertad de configuración se haya excedido al fijar la horquilla del importe de las multas coercitivas, atendida la relevancia del deber jurídico cuyo cumplimiento pretende garantizar con esta medida, que ha de revestir, a la vez, entidad suficiente para resultar realmente disuasoria de su incumplimiento. Será con ocasión de que el Tribunal decida imponer, de acuerdo con las previsiones legales, multas coercitivas a quien o quienes incumplan sus resoluciones, cuando habrá de determinarse, en atención a las particulares circunstancias que concurran en cada caso, el concreto importe de las multas, que, como es obvio, habrá de respetar el principio de proporcionalidad.</w:t>
      </w:r>
    </w:p>
    <w:p w:rsidR="00A90898" w:rsidRDefault="00A90898" w:rsidP="00A90898">
      <w:pPr>
        <w:pStyle w:val="TextoNormal"/>
      </w:pPr>
    </w:p>
    <w:p w:rsidR="00A90898" w:rsidRDefault="00A90898" w:rsidP="00A90898">
      <w:pPr>
        <w:pStyle w:val="TextoNormal"/>
      </w:pPr>
      <w:r>
        <w:t>e) Y, en fin, en cuanto medida que el legislador ha puesto a disposición del Tribunal para la ejecución de sus resoluciones, las multas coercitivas, al igual que el resto de las medidas previstas para garantizar su cumplimiento y efectividad, encuentran cobertura en la reserva de ley orgánica del art. 165 CE [STC 185/2016, FJ 10 a)].</w:t>
      </w:r>
    </w:p>
    <w:p w:rsidR="00A90898" w:rsidRDefault="00A90898" w:rsidP="00A90898">
      <w:pPr>
        <w:pStyle w:val="TextoNormal"/>
      </w:pPr>
    </w:p>
    <w:p w:rsidR="00A90898" w:rsidRDefault="00A90898" w:rsidP="00A90898">
      <w:pPr>
        <w:pStyle w:val="TextoNormal"/>
      </w:pPr>
      <w:r>
        <w:lastRenderedPageBreak/>
        <w:t>Con base en las razones expuestas, ha de desestimarse el presente motivo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Como segundo motivo de inconstitucionalidad de orden sustantivo, los Abogados de la Generalitat imputan al art. único, apartado 3, de la Ley Orgánica 15/2015, en la redacción que da al art. 92.4 b) LOTC, la vulneración del principio de legalidad penal (art. 25.1 CE) y del ámbito de la jurisdicción constitucional (art. 161.1 CE). Argumentan que la suspensión en sus funciones de las autoridades o empleados públicos es una medida novedosa, extraña a la naturaleza y funciones del Tribunal Constitucional, configurada en nuestro ordenamiento jurídico como una sanción disciplinaria o penal. Se trata, en su opinión, de una medida que no es idónea para la ejecución de las resoluciones del Tribunal Constitucional, desvinculada de ésta y dotada materialmente de un carácter sancionador </w:t>
      </w:r>
      <w:r w:rsidRPr="00A90898">
        <w:rPr>
          <w:i/>
        </w:rPr>
        <w:t>ad extra</w:t>
      </w:r>
      <w:r>
        <w:t xml:space="preserve"> por haber incurrido en el incumplimiento de aquellas resoluciones. El precepto no satisface las garantías mínimas del art. 25.1 CE, pues carece de la precisión y determinación exigibles a una norma de naturaleza sancionadora, no pudiendo predecirse con el suficiente grado de certidumbre las conductas susceptibles de incurrir en el supuesto de hecho que permite su aplicación y la duración de la suspensión. Además, la atribución al Tribunal de esa potestad sancionadora, que podría comportar la privación del derecho fundamental al ejercicio de los cargos públicos (art. 23 CE), carece de cobertura en el título IX CE, excediendo del ámbito de la jurisdicción constitucional definido en el art. 161.1 CE.</w:t>
      </w:r>
    </w:p>
    <w:p w:rsidR="00A90898" w:rsidRDefault="00A90898" w:rsidP="00A90898">
      <w:pPr>
        <w:pStyle w:val="TextoNormal"/>
      </w:pPr>
    </w:p>
    <w:p w:rsidR="00A90898" w:rsidRDefault="00A90898" w:rsidP="00A90898">
      <w:pPr>
        <w:pStyle w:val="TextoNormal"/>
      </w:pPr>
      <w:r>
        <w:t>El Abogado del Estado se opone a la estimación de este motivo de inconstitucionalidad, pues entiende que la suspensión de funciones prevista en el art. 92.4 b) LOTC no es una medida sancionadora, dado que no está diseñada para sancionar un comportamiento con carácter represivo, sino para evitar la persistencia en el incumplimiento de una resolución del Tribunal Constitucional. Se trata de una suspensión evitable, ya que no puede imponerse sino tras la constatación, con la tramitación del incidente en el que se da audiencia a las personas afectadas, de la voluntad incumplidora de su destinatario y sólo a la autoridad o el empleado público responsable del incumplimiento. La ausencia del carácter sancionador de la medida excluye, afirma el Abogado del Estado, la aplicación del principio de legalidad (art. 25 CE). Por otra parte, la medida sí que forma parte del ámbito jurisdiccional del Tribunal, puesto que está directamente ordenada a la salvaguarda de la función que le encomienda el art. 161.1 CE, en cuanto instrumento que puede resultar necesario para lograr el cumplimiento de sus resoluciones.</w:t>
      </w:r>
    </w:p>
    <w:p w:rsidR="00A90898" w:rsidRDefault="00A90898" w:rsidP="00A90898">
      <w:pPr>
        <w:pStyle w:val="TextoNormal"/>
      </w:pPr>
    </w:p>
    <w:p w:rsidR="00A90898" w:rsidRDefault="00A90898" w:rsidP="00A90898">
      <w:pPr>
        <w:pStyle w:val="TextoNormal"/>
      </w:pPr>
      <w:r w:rsidRPr="00A90898">
        <w:rPr>
          <w:rStyle w:val="NumeroAFNegritaCaracter"/>
        </w:rPr>
        <w:t>10</w:t>
      </w:r>
      <w:r>
        <w:t>. El examen de este motivo de inconstitucionalidad requiere una previa precisión para determinar en sus exactos términos su verdadero alcance.</w:t>
      </w:r>
    </w:p>
    <w:p w:rsidR="00A90898" w:rsidRDefault="00A90898" w:rsidP="00A90898">
      <w:pPr>
        <w:pStyle w:val="TextoNormal"/>
      </w:pPr>
    </w:p>
    <w:p w:rsidR="00A90898" w:rsidRDefault="00A90898" w:rsidP="00A90898">
      <w:pPr>
        <w:pStyle w:val="TextoNormal"/>
      </w:pPr>
      <w:r>
        <w:t xml:space="preserve">a) El recurrente sustenta la inconstitucionalidad de la medida de suspensión en sus funciones de las autoridades o empleados públicos del art. 92.4 b) LOTC exclusivamente en su naturaleza sancionadora. La privación del derecho al ejercicio de los cargos públicos (art. 23 CE), que se refiere como posibilidad, pero cuya vulneración en momento alguno se afirma, presenta un carácter meramente instrumental en relación con la naturaleza sancionadora de la medida y el ámbito de la jurisdicción constitucional </w:t>
      </w:r>
      <w:r w:rsidRPr="00A90898">
        <w:rPr>
          <w:i/>
        </w:rPr>
        <w:t>ex</w:t>
      </w:r>
      <w:r>
        <w:t xml:space="preserve"> art. 161.1 CE, resultando la demanda huérfana del más mínimo razonamiento y de argumentación alguna sobre la lesión de aquel derecho fundamental y, en su caso, sobre los motivos de la supuesta inconstitucionalidad de la injerencia de la medida controvertida en su ejercicio. Al no haberse satisfecho, conforme exige una reiterada doctrina constitucional, la carga de ofrecer una </w:t>
      </w:r>
      <w:r>
        <w:lastRenderedPageBreak/>
        <w:t>argumentación suficiente con vistas a fundamentar la posible lesión del art. 23 CE, no siendo admisibles impugnaciones globales carentes de un razonamiento desarrollado que las sustente [SSTC 185/2016, FJ 12, y 191/2016, FJ 2 A)], la medida cuestionada únicamente puede ser objeto de nuestro enjuiciamiento con base en la denunciada inconstitucionalidad por contravenir los arts. 25 y 161.1 CE, al no cumplir las garantías materiales que impone el principio de legalidad penal y exceder del ámbito de la jurisdicción de este Tribunal.</w:t>
      </w:r>
    </w:p>
    <w:p w:rsidR="00A90898" w:rsidRDefault="00A90898" w:rsidP="00A90898">
      <w:pPr>
        <w:pStyle w:val="TextoNormal"/>
      </w:pPr>
    </w:p>
    <w:p w:rsidR="00A90898" w:rsidRDefault="00A90898" w:rsidP="00A90898">
      <w:pPr>
        <w:pStyle w:val="TextoNormal"/>
      </w:pPr>
      <w:r>
        <w:t>No obstante, hemos de reiterar que el control que se lleva a cabo en este proceso tiene por objeto exclusivamente contrastar los preceptos impugnados, en los que se incluyen las medidas que el legislador ha puesto a disposición del Tribunal para garantizar con carácter general la efectividad de sus resoluciones, con los mandatos y principios constitucionales supuestamente vulnerados, al margen, por lo tanto, de su aplicación a casos concretos y de la viabilidad o no de las posibles medidas que se pudieran llegar a adoptar en los distintos procesos constitucionales. Será con ocasión de la aplicación de alguna o algunas de estas medidas a fin de velar por el efectivo cumplimiento de la resolución recaída en un determinado proceso constitucional, cuando procederá examinar entonces su viabilidad [STC185/2016, FJ 10 c)]. En otras palabras, el enjuiciamiento de la medida controvertida debemos hacerlo ahora al margen de su aplicación a supuestos concretos y de su procedencia en atención a los distintos procesos constitucionales, al contenido de las resoluciones de cuya ejecución se trate y a los obligados a su cumplimiento, sin que la fiscalización de la medida requiera en estos momentos una mayor determinación sobre el alcance de su ámbito subjetivo. Son estas cuestiones que procederá abordar, atendiendo a las circunstancias concurrentes, con ocasión de su aplicación a cada caso.</w:t>
      </w:r>
    </w:p>
    <w:p w:rsidR="00A90898" w:rsidRDefault="00A90898" w:rsidP="00A90898">
      <w:pPr>
        <w:pStyle w:val="TextoNormal"/>
      </w:pPr>
    </w:p>
    <w:p w:rsidR="00A90898" w:rsidRDefault="00A90898" w:rsidP="00A90898">
      <w:pPr>
        <w:pStyle w:val="TextoNormal"/>
      </w:pPr>
      <w:r>
        <w:t>b) Sobre la naturaleza punitiva o no de la medida de suspensión de funciones del art. 92.4 b) LOTC nos hemos pronunciado en la STC 185/2016, en la que descartamos como elemento concluyente a tales efectos su consideración como sanción en la legislación disciplinaria en materia de función pública o su previsión como pena en el Código penal, “ya que justamente de lo que se trata ahora es de dilucidar si la concreta medida de suspensión de funciones, que el legislador orgánico ha puesto a disposición del Tribunal, tal y como aparece configurada en el art. 92.4 b) LOTC, tiene o no naturaleza punitiva”; esto es, “lo que hemos de enjuiciar es su cuestionada viabilidad constitucional como potestad conferida al Tribunal para garantizar la ejecución de sus resoluciones”. En este sentido afirmamos que, “en principio, en modo alguno cabe descartar que una misma institución o medida pueda obedecer o atender a finalidades diferentes y pueda presentar, en consecuencia, una distinta naturaleza jurídica” (FJ 14).</w:t>
      </w:r>
    </w:p>
    <w:p w:rsidR="00A90898" w:rsidRDefault="00A90898" w:rsidP="00A90898">
      <w:pPr>
        <w:pStyle w:val="TextoNormal"/>
      </w:pPr>
    </w:p>
    <w:p w:rsidR="00A90898" w:rsidRDefault="00A90898" w:rsidP="00A90898">
      <w:pPr>
        <w:pStyle w:val="TextoNormal"/>
      </w:pPr>
      <w:r>
        <w:t>En cuanto a su ámbito subjetivo, declaramos que “sólo puede recaer sobre las autoridades o empleados públicos responsables del incumplimiento de la resolución dictada por el Tribunal en el ejercicio de su jurisdicción, una vez advertido tal incumplimiento y si, sustanciado el trámite de audiencia previsto en el art. 92.4 LOTC, el Tribunal aprecia el incumplimiento total o parcial de la misma, a la vista del informe recibido de las autoridades o empleados públicos a los que corresponde llevar a cabo el cumplimiento de la resolución o transcurrido el plazo fijado sin que hubieran emitido dicho informe”. Insistimos en que “sólo podrá aplicarse, cuando esté en la esfera de actuación de la autoridad o empleado públicos concernidos el cumplimiento de la resolución de que se trate y se acredite su voluntad deliberada y persistente de no atender al mismo …, sin que pueda extenderse a autoridades, empleados públicos u otras personas ajenas a dicho ámbito de responsabilidad” (</w:t>
      </w:r>
      <w:r w:rsidRPr="00A90898">
        <w:rPr>
          <w:i/>
        </w:rPr>
        <w:t>ibídem</w:t>
      </w:r>
      <w:r>
        <w:t>).</w:t>
      </w:r>
    </w:p>
    <w:p w:rsidR="00A90898" w:rsidRDefault="00A90898" w:rsidP="00A90898">
      <w:pPr>
        <w:pStyle w:val="TextoNormal"/>
      </w:pPr>
    </w:p>
    <w:p w:rsidR="00A90898" w:rsidRDefault="00A90898" w:rsidP="00A90898">
      <w:pPr>
        <w:pStyle w:val="TextoNormal"/>
      </w:pPr>
      <w:r>
        <w:t xml:space="preserve">Por lo que se refiere a la duración temporal de la medida dijimos, a la vista del tenor del inciso final del art. 92.4 b) LOTC, que “queda circunscrita necesariamente” al “tiempo preciso para asegurar la observancia de los pronunciamiento del Tribunal”, no pudiendo “extenderse ni prolongarse más allá de ese lapso de tiempo” </w:t>
      </w:r>
      <w:r w:rsidRPr="00A90898">
        <w:rPr>
          <w:i/>
        </w:rPr>
        <w:t>(ibíde</w:t>
      </w:r>
      <w:r>
        <w:t>m).</w:t>
      </w:r>
    </w:p>
    <w:p w:rsidR="00A90898" w:rsidRDefault="00A90898" w:rsidP="00A90898">
      <w:pPr>
        <w:pStyle w:val="TextoNormal"/>
      </w:pPr>
    </w:p>
    <w:p w:rsidR="00A90898" w:rsidRDefault="00A90898" w:rsidP="00A90898">
      <w:pPr>
        <w:pStyle w:val="TextoNormal"/>
      </w:pPr>
      <w:r>
        <w:t>Y, en fin, concluimos que “en su adopción no sólo habrán de respetarse los límites subjetivos y temporales ya señalados, sino que, además, únicamente podrá acordarse cuando resulte idónea para la finalidad para la que ha sido prevista por el legislador, esto es, para garantizar la efectividad y el cumplimiento de las resoluciones dictadas por el Tribunal en el ejercicio de su jurisdicción”, lo que implica que “deberá contraerse al ejercicio de aquellas atribuciones cuya suspensión resulte imprescindible para asegurar la ejecución de la resolución dictada”, debiendo levantarse la medida “tan pronto como cese la voluntad incumplidora de la autoridad o empleado público responsable del cumplimiento de la resolución”</w:t>
      </w:r>
      <w:r w:rsidRPr="00A90898">
        <w:rPr>
          <w:i/>
        </w:rPr>
        <w:t xml:space="preserve"> (ibíd</w:t>
      </w:r>
      <w:r>
        <w:t>em).</w:t>
      </w:r>
    </w:p>
    <w:p w:rsidR="00A90898" w:rsidRDefault="00A90898" w:rsidP="00A90898">
      <w:pPr>
        <w:pStyle w:val="TextoNormal"/>
      </w:pPr>
    </w:p>
    <w:p w:rsidR="00A90898" w:rsidRDefault="00A90898" w:rsidP="00A90898">
      <w:pPr>
        <w:pStyle w:val="TextoNormal"/>
      </w:pPr>
      <w:r>
        <w:t>c) Pese a que la medida en cuestión constituye una consecuencia jurídica gravosa para la autoridad o empleado público al que se le aplique, excluimos su carácter sancionador y afirmamos su directa vinculación a la ejecución de las resoluciones del Tribunal, con base en los siguientes razonamientos que en su literalidad procede reproducir:</w:t>
      </w:r>
    </w:p>
    <w:p w:rsidR="00A90898" w:rsidRDefault="00A90898" w:rsidP="00A90898">
      <w:pPr>
        <w:pStyle w:val="TextoNormal"/>
      </w:pPr>
    </w:p>
    <w:p w:rsidR="00A90898" w:rsidRDefault="00A90898" w:rsidP="00A90898">
      <w:pPr>
        <w:pStyle w:val="TextoNormal"/>
      </w:pPr>
      <w:r>
        <w:t>“La función de la medida no es la de infligir un castigo ante un comportamiento antijurídico o ilícito, como podría ser la desatención de la obligación de todos los poderes públicos y los ciudadanos de cumplir las resoluciones del Tribunal Constitucional, consecuencia de la sujeción de todos a la Constitución y al resto del ordenamiento jurídico (art. 9.1 CE). Para la exigencia de las responsabilidades penales que pudieran derivarse del incumplimiento de aquella obligación, el legislador ha previsto otro tipo de medida como es la deducción del oportuno testimonio de particulares [art. 92.4 d) LOTC], que el preámbulo de la Ley Orgánica 15/2015, manifestando la voluntad del legislador, refiere como medida distinta a la que ahora nos ocupa.</w:t>
      </w:r>
    </w:p>
    <w:p w:rsidR="00A90898" w:rsidRDefault="00A90898" w:rsidP="00A90898">
      <w:pPr>
        <w:pStyle w:val="TextoNormal"/>
      </w:pPr>
    </w:p>
    <w:p w:rsidR="00A90898" w:rsidRDefault="00A90898" w:rsidP="00A90898">
      <w:pPr>
        <w:pStyle w:val="TextoNormal"/>
      </w:pPr>
      <w:r>
        <w:t>El legislador orgánico del Tribunal Constitucional, en ejercicio de la amplia habilitación que le confiere la reserva de ley del art. 165 CE, ha configurado en el art. 92.4 b) LOTC la medida de suspensión de funciones de las autoridades o empleados públicos como una medida para facilitar la plena ejecución de las resoluciones del Tribunal Constitucional mediante la remoción de quien obstaculiza su debida observancia, esto es, la autoridad o empleado público que siendo responsable de su cumplimiento, sin embargo, se muestra renuente al mismo y persiste en esta actitud. Aquella remoción necesaria para que cese el obstáculo al cumplimiento de la resolución permitirá al Tribunal adoptar las medidas necesarias y pertinentes en cada caso para garantizar su efectividad. Así pues, por más que la medida de suspensión controvertida tenga una consecuencia gravosa para la autoridad o empleado público al que se le imponga durante el tiempo preciso para asegurar la observancia de los pronunciamientos del Tribunal, no responde a una finalidad propiamente represiva, retributiva o de castigo, características de las medidas punitivas, sino a la finalidad de garantizar la efectividad y cumplimiento de las resoluciones del Tribunal Constitucional, al que todos los poderes públicos y ciudadanos están obligados.</w:t>
      </w:r>
    </w:p>
    <w:p w:rsidR="00A90898" w:rsidRDefault="00A90898" w:rsidP="00A90898">
      <w:pPr>
        <w:pStyle w:val="TextoNormal"/>
      </w:pPr>
    </w:p>
    <w:p w:rsidR="00A90898" w:rsidRDefault="00A90898" w:rsidP="00A90898">
      <w:pPr>
        <w:pStyle w:val="TextoNormal"/>
      </w:pPr>
      <w:r>
        <w:lastRenderedPageBreak/>
        <w:t>No hay, por tanto, componente punitivo alguno en la medida de suspensión en sus funciones de las autoridades o empleados públicos prevista en el art. 92.4.b) LOTC. Se trata, por el contrario, de una medida que el legislador ha concebido, en el ejercicio de su libertad de configuración, directamente vinculada a la ejecución efectiva de las resoluciones del Tribunal Constitucional, en garantía, por consiguiente, de uno de los componentes esenciales de su función jurisdiccional, que únicamente se puede adoptar previo cumplimiento de los requisitos y condiciones que dispone el citado art. 92.4 b) LOTC. Al margen de la finalidad justificativa apuntada, no cabe apreciar en la configuración que el legislador orgánico ha hecho de la medida de suspensión en sus funciones de las autoridades o empleados públicos del art. 92.4.b) LOTC una pretensión de causar un perjuicio añadido en el círculo de sus bienes y derechos como consecuencia de la realización de una supuesta conducta ilícita” (FJ 15).</w:t>
      </w:r>
    </w:p>
    <w:p w:rsidR="00A90898" w:rsidRDefault="00A90898" w:rsidP="00A90898">
      <w:pPr>
        <w:pStyle w:val="TextoNormal"/>
      </w:pPr>
    </w:p>
    <w:p w:rsidR="00A90898" w:rsidRDefault="00A90898" w:rsidP="00A90898">
      <w:pPr>
        <w:pStyle w:val="TextoNormal"/>
      </w:pPr>
      <w:r>
        <w:t>Los razonamientos expuestos, con base en los cuales hemos excluido el carácter punitivo de la medida de suspensión de funciones del art. 92.4 b) LOTC y afirmado su vinculación directa a la ejecución de las resoluciones del Tribunal Constitucional, han de conducir a la desestimación de las denunciadas infracciones de los arts. 25 y 161.1 CE.</w:t>
      </w:r>
    </w:p>
    <w:p w:rsidR="00A90898" w:rsidRDefault="00A90898" w:rsidP="00A90898">
      <w:pPr>
        <w:pStyle w:val="TextoNormal"/>
      </w:pPr>
    </w:p>
    <w:p w:rsidR="00A90898" w:rsidRDefault="00A90898" w:rsidP="00A90898">
      <w:pPr>
        <w:pStyle w:val="TextoNormal"/>
      </w:pPr>
      <w:r w:rsidRPr="00A90898">
        <w:rPr>
          <w:rStyle w:val="NumeroAFNegritaCaracter"/>
        </w:rPr>
        <w:t>11</w:t>
      </w:r>
      <w:r>
        <w:t>. Los Abogados de la Generalitat impugnan el art. 92.4 c) LOTC, en la redacción que le ha dado el art. único, apartado 3, de la Ley Orgánica 15/2015, por vulnerar los arts. 137, 153, 161.1 y 164 CE, al prever que el Tribunal puede requerir la colaboración del Gobierno de la Nación para asegurar mediante la ejecución sustitutoria el cumplimiento de sus resoluciones. El precepto contempla únicamente la posibilidad de solicitar la intervención del Gobierno de la Nación, no la de otros órganos o administraciones públicas, habilitando su intervención en supuestos en los que puede ser parte en el proceso constitucional, lo que podría comportar la vulneración de los principios de imparcialidad del juzgador e igualdad procesal, ínsitos en la definición del Tribunal Constitucional como órgano jurisdiccional y en la caracterización como jurisdiccionales de los procedimientos de los que conoce (arts. 161 y 165 CE). Los Abogados de la Generalitat consideran que incurre en inconstitucionalidad, puesto que si se aplica en sustitución de la actividad de las Cámaras legislativas o de los juzgados y tribunales viola los principios de autonomía parlamentaria (art. 72 CE) e independencia judicial (art. 117.1 CE), ya que el Gobierno estaría ejerciendo potestades conferidas constitucionalmente a otros órganos y poderes del Estado por una vía no prevista en la Constitución; y si se aplica en sustitución de las Comunidades Autónomas resulta contrario a la autonomía reconocida en el art. 137 CE y al sistema constitucional de distribución de competencias, dado que se estaría posibilitando una intervención del Estado sobre las Comunidades Autónomas.</w:t>
      </w:r>
    </w:p>
    <w:p w:rsidR="00A90898" w:rsidRDefault="00A90898" w:rsidP="00A90898">
      <w:pPr>
        <w:pStyle w:val="TextoNormal"/>
      </w:pPr>
    </w:p>
    <w:p w:rsidR="00A90898" w:rsidRDefault="00A90898" w:rsidP="00A90898">
      <w:pPr>
        <w:pStyle w:val="TextoNormal"/>
      </w:pPr>
      <w:r>
        <w:t xml:space="preserve">El Abogado del Estado también se opone a la estimación de este motivo de inconstitucionalidad. Advierte que las medidas de ejecución de la Ley Orgánica del Tribunal Constitucional son comunes a todos los procedimientos, por lo que el Tribunal para su concreta aplicación deberá tener en cuenta la naturaleza y los efectos de cada proceso constitucional, así como el sujeto obligado al cumplimiento. En su opinión, aunque el recurrente no desarrolla argumentación alguna en relación con la denunciada infracción de los principios de imparcialidad del juzgador e igualdad procesal, la posición del Gobierno en los procesos constitucionales no es equiparable a la de las restantes partes, como lo evidencia su condición de órgano constitucional y su posición prevalente en orden a la salvaguarda del sistema constitucional (arts. 116, 153 y 155 CE). El título legitimador de la medida no es un título </w:t>
      </w:r>
      <w:r>
        <w:lastRenderedPageBreak/>
        <w:t>competencial del Estado, sino la garantía de la efectividad de las resoluciones del Tribunal Constitucional. En definitiva, la medida encuentra cobertura en los arts. 161 y 165 CE y en ningún caso constituye un mecanismo de control del Gobierno sobre las Comunidades Autónomas, sino un instrumento de ejecución de las resoluciones del Tribunal Constitucional que el legislador ha puesto a su disposición.</w:t>
      </w:r>
    </w:p>
    <w:p w:rsidR="00A90898" w:rsidRDefault="00A90898" w:rsidP="00A90898">
      <w:pPr>
        <w:pStyle w:val="TextoNormal"/>
      </w:pPr>
    </w:p>
    <w:p w:rsidR="00A90898" w:rsidRDefault="00A90898" w:rsidP="00A90898">
      <w:pPr>
        <w:pStyle w:val="TextoNormal"/>
      </w:pPr>
      <w:r w:rsidRPr="00A90898">
        <w:rPr>
          <w:rStyle w:val="NumeroAFNegritaCaracter"/>
        </w:rPr>
        <w:t>12</w:t>
      </w:r>
      <w:r>
        <w:t>. El art. 92.4 c) LOTC recoge la ejecución sustitutoria como medida a la que el Tribunal puede recurrir para instar el cumplimiento de las resoluciones recaídas en los procesos constitucionales. En caso de optar por este instrumento de ejecución, el precepto contempla la posibilidad de que el Tribunal pueda requerir la colaboración del Gobierno de la Nación a fin de que, en los términos fijados por aquél, adopte las medidas necesarias para asegurar el cumplimiento de sus resoluciones.</w:t>
      </w:r>
    </w:p>
    <w:p w:rsidR="00A90898" w:rsidRDefault="00A90898" w:rsidP="00A90898">
      <w:pPr>
        <w:pStyle w:val="TextoNormal"/>
      </w:pPr>
    </w:p>
    <w:p w:rsidR="00A90898" w:rsidRDefault="00A90898" w:rsidP="00A90898">
      <w:pPr>
        <w:pStyle w:val="TextoNormal"/>
      </w:pPr>
      <w:r>
        <w:t>a) Hemos de rechazar, en primer lugar, una de las posibles interpretaciones que del precepto apuntan los Abogados de la Generalitat, conforme a la cual esta medida podría permitir la atribución íntegra al Gobierno de la potestad de ejecución sustitutoria.</w:t>
      </w:r>
    </w:p>
    <w:p w:rsidR="00A90898" w:rsidRDefault="00A90898" w:rsidP="00A90898">
      <w:pPr>
        <w:pStyle w:val="TextoNormal"/>
      </w:pPr>
    </w:p>
    <w:p w:rsidR="00A90898" w:rsidRDefault="00A90898" w:rsidP="00A90898">
      <w:pPr>
        <w:pStyle w:val="TextoNormal"/>
      </w:pPr>
      <w:r>
        <w:t>En efecto, como resulta del tenor del precepto, y así lo hemos declarado en la STC 185/2016, “es el Tribunal quien, entre el elenco de medidas puestas a su disposición por el legislador para hacer frente a los supuestos de incumplimiento de sus resoluciones, puede decidirse, tras el trámite de audiencia del art. 92.4 LOTC, por la ejecución sustitutoria de la resolución de la que se trate y, de optar por esta medida, puede requerir la colaboración del Gobierno de la Nación, colaboración que ha de desarrollarse en los términos fijados por el propio Tribunal. Por lo tanto, no es el Gobierno quien discrecionalmente decide intervenir en la ejecución sustitutoria, ni quien decide qué medidas concretas implica la ejecución” [FJ 17 b)]. Es decir, el Gobierno actuará si es requerido por este Tribunal y en la forma y con el alcance que éste determine para garantizar la efectividad de sus resoluciones, de modo que el control de la ejecución corresponde al Tribunal Constitucional, del que el Gobierno es, en este caso, mero colaborador.</w:t>
      </w:r>
    </w:p>
    <w:p w:rsidR="00A90898" w:rsidRDefault="00A90898" w:rsidP="00A90898">
      <w:pPr>
        <w:pStyle w:val="TextoNormal"/>
      </w:pPr>
    </w:p>
    <w:p w:rsidR="00A90898" w:rsidRDefault="00A90898" w:rsidP="00A90898">
      <w:pPr>
        <w:pStyle w:val="TextoNormal"/>
      </w:pPr>
      <w:r>
        <w:t xml:space="preserve">Señalamos también en la citada Sentencia, que “[e]l título legitimador de esta medida de ejecución no es … un supuesto título competencial del Estado, sino, como el resto de las medidas previstas en el art. 92.4 LOTC, la garantía de la efectividad y cumplimiento de las resoluciones del Tribunal Constitucional. Así pues, —concluíamos en este punto— ninguna tacha de inconstitucionalidad puede hacerse al legislador orgánico por haber recogido explícitamente en la LOTC la ejecución sustitutoria como medio de ejecución de las resoluciones del Tribunal Constitucional, que responde a un fin constitucionalmente legítimo y que sólo puede adoptarse </w:t>
      </w:r>
      <w:r w:rsidRPr="00A90898">
        <w:rPr>
          <w:i/>
        </w:rPr>
        <w:t>ex</w:t>
      </w:r>
      <w:r>
        <w:t xml:space="preserve"> art. 92.4 LOTC una vez constatada la voluntad deliberada y persistente de incumplir la resolución por quien está obligado a su cumplimiento” (</w:t>
      </w:r>
      <w:r w:rsidRPr="00A90898">
        <w:rPr>
          <w:i/>
        </w:rPr>
        <w:t>ibídem</w:t>
      </w:r>
      <w:r>
        <w:t>).</w:t>
      </w:r>
    </w:p>
    <w:p w:rsidR="00A90898" w:rsidRDefault="00A90898" w:rsidP="00A90898">
      <w:pPr>
        <w:pStyle w:val="TextoNormal"/>
      </w:pPr>
    </w:p>
    <w:p w:rsidR="00A90898" w:rsidRDefault="00A90898" w:rsidP="00A90898">
      <w:pPr>
        <w:pStyle w:val="TextoNormal"/>
      </w:pPr>
      <w:r>
        <w:t>b) Es cierto que el art. 92.4 c) LOTC únicamente prevé de manera expresa la posibilidad de requerir la colaboración del Gobierno de la Nación, circunstancia a la que el recurrente anuda la infracción de los principios de imparcialidad judicial e igual procesal.</w:t>
      </w:r>
    </w:p>
    <w:p w:rsidR="00A90898" w:rsidRDefault="00A90898" w:rsidP="00A90898">
      <w:pPr>
        <w:pStyle w:val="TextoNormal"/>
      </w:pPr>
    </w:p>
    <w:p w:rsidR="00A90898" w:rsidRDefault="00A90898" w:rsidP="00A90898">
      <w:pPr>
        <w:pStyle w:val="TextoNormal"/>
      </w:pPr>
      <w:r>
        <w:t xml:space="preserve">Sin embargo, el precepto no impide que el Tribunal pueda requerir la colaboración de otros órganos o administraciones públicas en los supuestos en que opte por la ejecución sustitutoria como medida de ejecución ante incumplimientos de resoluciones dictadas en el </w:t>
      </w:r>
      <w:r>
        <w:lastRenderedPageBreak/>
        <w:t>ejercicio de su jurisdicción. Y esta posible ampliación del ámbito de los órganos cuya colaboración puede requerir el Tribunal encuentra cobertura en el art. 92.2 LOTC, que le faculta con carácter general para “recabar el auxilio de cualquiera de las administraciones y poderes públicos para garantizar la efectividad de sus resoluciones que lo prestarán con carácter preferente y urgente”. Una interpretación sistemática de los dos apartados ahora concernidos del art. 92 LOTC permite sostener que la expresa mención al Gobierno de la Nación en el art. 92.4 c) LOTC no resulta necesariamente excluyente de la posibilidad de que el Tribunal Constitucional pueda requerir, si lo considera preciso, la colaboración de otros poderes o administraciones públicas en los supuestos de ejecución sustitutoria de sus resoluciones.</w:t>
      </w:r>
    </w:p>
    <w:p w:rsidR="00A90898" w:rsidRDefault="00A90898" w:rsidP="00A90898">
      <w:pPr>
        <w:pStyle w:val="TextoNormal"/>
      </w:pPr>
    </w:p>
    <w:p w:rsidR="00A90898" w:rsidRDefault="00A90898" w:rsidP="00A90898">
      <w:pPr>
        <w:pStyle w:val="TextoNormal"/>
      </w:pPr>
      <w:r>
        <w:t xml:space="preserve">Ello así, habría de descartarse la denunciada lesión de los principios de imparcialidad judicial e igualdad procesal. En todo caso, no se puede llegar a atisbar, sin que al respecto se ofrezca argumentación alguna en la demanda, cómo el posible requerimiento de la colaboración del Gobierno en los supuestos de ejecución sustitutoria de las resoluciones del Tribunal puede quebrar su imparcialidad, es decir, contravenir la garantía de que las decisiones jurisdiccionales sean conformes al ordenamiento jurídico y sean adoptadas por un tercero ajeno tanto a los intereses en litigio como a sus titulares. Asimismo, tampoco se puede llegar a vislumbrar, huérfano también de argumentación en este punto el recurso, la vulneración del principio de igualdad procesal de las partes, pues aquel requerimiento, en caso de producirse, no tiene por qué determinar </w:t>
      </w:r>
      <w:r w:rsidRPr="00A90898">
        <w:rPr>
          <w:i/>
        </w:rPr>
        <w:t>per se</w:t>
      </w:r>
      <w:r>
        <w:t xml:space="preserve"> una ruptura del equilibrio de sus respectivas posiciones en el procedimiento en la defensa de sus derechos e intereses, de acuerdo con la organización que de éste haya hecho la ley, con el consiguiente trato procesal favorable a una de ellas. A mayor abundamiento, como este Tribunal tiene declarado, “los incidentes de ejecución se dirigen a la realización de lo decidido en la resolución del previo debate contradictorio que ha tenido lugar en el seno del proceso sin que puedan introducirse intereses nuevos que no han estado presentes en el debate” (ATC 107/2009, de 24 de marzo, FJ 7).</w:t>
      </w:r>
    </w:p>
    <w:p w:rsidR="00A90898" w:rsidRDefault="00A90898" w:rsidP="00A90898">
      <w:pPr>
        <w:pStyle w:val="TextoNormal"/>
      </w:pPr>
    </w:p>
    <w:p w:rsidR="00A90898" w:rsidRDefault="00A90898" w:rsidP="00A90898">
      <w:pPr>
        <w:pStyle w:val="TextoNormal"/>
      </w:pPr>
      <w:r>
        <w:t>c) No cabe inferir del tenor del precepto impugnado que la ejecución sustitutoria implique necesariamente, como sostienen los Abogados de la Generalitat, que el Estado sustituya a la Comunidad Autónoma en el ejercicio de sus competencias con la consiguiente vulneración del principio de autonomía o que el Gobierno pueda llegar a ejercer potestades conferidas constitucionalmente a otros órganos o poderes, según ya hemos declarado en la STC 185/2006, [FJ 17 b)], ante una queja sustancialmente idéntica.</w:t>
      </w:r>
    </w:p>
    <w:p w:rsidR="00A90898" w:rsidRDefault="00A90898" w:rsidP="00A90898">
      <w:pPr>
        <w:pStyle w:val="TextoNormal"/>
      </w:pPr>
    </w:p>
    <w:p w:rsidR="00A90898" w:rsidRDefault="00A90898" w:rsidP="00A90898">
      <w:pPr>
        <w:pStyle w:val="TextoNormal"/>
      </w:pPr>
      <w:r>
        <w:t>En efecto, para desestimar esta alegación ha de tenerse en cuenta, en primer lugar, “que se podrá recurrir a la ejecución sustitutoria cuando pueda resultar una medida de ejecución idónea y procedente para el cumplimiento de las resoluciones del Tribunal, lo que éste habrá de valorar en cada caso concreto atendiendo a las circunstancias concurrentes en el mismo”.</w:t>
      </w:r>
    </w:p>
    <w:p w:rsidR="00A90898" w:rsidRDefault="00A90898" w:rsidP="00A90898">
      <w:pPr>
        <w:pStyle w:val="TextoNormal"/>
      </w:pPr>
    </w:p>
    <w:p w:rsidR="00A90898" w:rsidRDefault="00A90898" w:rsidP="00A90898">
      <w:pPr>
        <w:pStyle w:val="TextoNormal"/>
      </w:pPr>
      <w:r>
        <w:t xml:space="preserve">En segundo lugar, que la aplicación de la medida de ejecución sustitutoria, al igual que los demás instrumentos de ejecución del art. 92.4 LOTC, “ha de cohonestarse y respetar siempre las previsiones constitucionales y nunca podrán dar lugar a una alteración de la posición institucional del Estado y de las Comunidades Autónomas, conforme a la Constitución y a los Estatutos de Autonomía, y sí sólo a la circunstancial adopción de las medidas necesarias y, por tanto, proporcionadas para la ejecución del fallo”. Pronunciamiento perfectamente trasladable y aplicable, por ser la misma la razón de decidir, a la alegación referida al posible ejercicio por el Gobierno de potestades conferidas constitucionalmente a </w:t>
      </w:r>
      <w:r>
        <w:lastRenderedPageBreak/>
        <w:t>otros órganos o poderes, pues, como acaba de señalarse, la ejecución sustitutoria no podrá alterar, en los términos indicados, la posición institucional de éstos.</w:t>
      </w:r>
    </w:p>
    <w:p w:rsidR="00A90898" w:rsidRDefault="00A90898" w:rsidP="00A90898">
      <w:pPr>
        <w:pStyle w:val="TextoNormal"/>
      </w:pPr>
    </w:p>
    <w:p w:rsidR="00A90898" w:rsidRDefault="00A90898" w:rsidP="00A90898">
      <w:pPr>
        <w:pStyle w:val="TextoNormal"/>
      </w:pPr>
      <w:r>
        <w:t>Y, en fin, hemos de recordar que a este Tribunal no le corresponde pronunciarse en este proceso constitucional sobre hipotéticas aplicaciones del precepto legal recurrido. Será con ocasión de la adopción de la medida de ejecución sustitutoria y de la decisión de requerir la colaboración del Gobierno en un determinado proceso constitucional para la ejecución de las resoluciones recaídas en el mismo, cuando proceda examinar su viabilidad y, en su caso, la constitucionalidad de su aplicación en dicho proceso constitucional, pues es evidente que las potestades de ejecución del Tribunal Constitucional habrán de modularse, según el tipo de procedimiento, el contenido del fallo y el sujeto obligado a su cumplimiento.</w:t>
      </w:r>
    </w:p>
    <w:p w:rsidR="00A90898" w:rsidRDefault="00A90898" w:rsidP="00A90898">
      <w:pPr>
        <w:pStyle w:val="TextoNormal"/>
      </w:pPr>
    </w:p>
    <w:p w:rsidR="00A90898" w:rsidRDefault="00A90898" w:rsidP="00A90898">
      <w:pPr>
        <w:pStyle w:val="TextoNormal"/>
      </w:pPr>
      <w:r w:rsidRPr="00A90898">
        <w:rPr>
          <w:rStyle w:val="NumeroAFNegritaCaracter"/>
        </w:rPr>
        <w:t>13</w:t>
      </w:r>
      <w:r>
        <w:t xml:space="preserve">. El último motivo de inconstitucionalidad de orden sustantivo se dirige contra el art. 92.5 LOTC, en la redacción dada por el art. único, apartado 3, de la Ley Orgánica 15/2015, por infringir los arts. 161 y 165 CE. Los Abogados de la Generalitat argumentan que el precepto únicamente reconoce al Gobierno la facultad de solicitar del Tribunal Constitucional la adopción de las medidas en él contempladas, quedando excluidas las Comunidades Autónomas para instarlas cuando la suspensión recaiga sobre disposiciones o actos del Estado o de otra Comunidad Autónoma, lo que atenta al principio de igualdad procesal y menoscaba también la legitimación reconocida a éstas en el art. 161.1 c) CE y su autonomía política. El precepto incrementa además la efectividad de la suspensión producida </w:t>
      </w:r>
      <w:r w:rsidRPr="00A90898">
        <w:rPr>
          <w:i/>
        </w:rPr>
        <w:t>ex constitutione</w:t>
      </w:r>
      <w:r>
        <w:t xml:space="preserve"> por la aplicación del art. 161.2 CE, atribuyendo al Tribunal potestades que este precepto no le confiere y que le habilitan para modificar los efectos suspensivos en él previstos. En fin, concluyen los Abogados de la Generalitat, el legislador ignora el mandato del art. 165 CE, al facultar al Tribunal incondicionada e ilimitadamente para acordar cualquier tipo de medida para asegurar la suspensión de las disposiciones, actos o actuaciones impugnados y para decidir cuándo concurren las circunstancias extraordinarias en las que pueda arrogarse esa facultad.</w:t>
      </w:r>
    </w:p>
    <w:p w:rsidR="00A90898" w:rsidRDefault="00A90898" w:rsidP="00A90898">
      <w:pPr>
        <w:pStyle w:val="TextoNormal"/>
      </w:pPr>
    </w:p>
    <w:p w:rsidR="00A90898" w:rsidRDefault="00A90898" w:rsidP="00A90898">
      <w:pPr>
        <w:pStyle w:val="TextoNormal"/>
      </w:pPr>
      <w:r>
        <w:t>El Abogado del Estado interesa la desestimación de este motivo de inconstitucionalidad. Considera, atendiendo a su finalidad, que el precepto contempla una actuación jurisdiccional de naturaleza procesal en fase de ejecución que no cabe confundir con una hipotética prerrogativa extraordinaria o excepcional del Gobierno y que se adecua a los postulados de la Constitución, ya que, aunque éste puede solicitar la adopción de las medidas previstas en el art. 95.2 LOTC, es al Tribunal al que se le dota de facultades decisorias para garantizar la ejecución de sus propias resoluciones, pues es quien ha de apreciar la concurrencia o no de las “circunstancias de especial trascendencia constitucional”, así como decidir las concretas medidas a adoptar. De modo que el precepto no modifica la Constitución, dado que no altera el régimen jurídico del art. 161.2 CE, sino que dota de mayores garantías de ejecutividad y eficacia a las resoluciones dictadas por el Tribunal en el seno de los procesos constitucionales que acuerdan la suspensión cautelar de las disposiciones, actuaciones o actos impugnados, presupuesta la apreciación por aquél, de oficio o a instancia del Gobierno, de la concurrencia de circunstancias de especial trascendencia constitucional.</w:t>
      </w:r>
    </w:p>
    <w:p w:rsidR="00A90898" w:rsidRDefault="00A90898" w:rsidP="00A90898">
      <w:pPr>
        <w:pStyle w:val="TextoNormal"/>
      </w:pPr>
    </w:p>
    <w:p w:rsidR="00A90898" w:rsidRDefault="00A90898" w:rsidP="00A90898">
      <w:pPr>
        <w:pStyle w:val="TextoNormal"/>
      </w:pPr>
      <w:r w:rsidRPr="00A90898">
        <w:rPr>
          <w:rStyle w:val="NumeroAFNegritaCaracter"/>
        </w:rPr>
        <w:t>14</w:t>
      </w:r>
      <w:r>
        <w:t xml:space="preserve">. El art. 92.5 LOTC confiere al Tribunal la potestad de adoptar, de oficio o a instancia del Gobierno, sin oír a las partes, y cuando concurran circunstancias de especial trascendencia constitucional, las medidas necesarias a fin de asegurar el debido cumplimiento de las </w:t>
      </w:r>
      <w:r>
        <w:lastRenderedPageBreak/>
        <w:t>resoluciones que acuerden la suspensión de las disposiciones, actos o actuaciones impugnados. Su inciso final prevé que en la misma resolución en la que se acuerde la adopción de estas medidas se dará audiencia a las partes y al Ministerio Fiscal por plazo común de tres días, tras el cual el Tribunal ha de dictar resolución levantando, confirmando o modificando las medidas previamente adoptadas.</w:t>
      </w:r>
    </w:p>
    <w:p w:rsidR="00A90898" w:rsidRDefault="00A90898" w:rsidP="00A90898">
      <w:pPr>
        <w:pStyle w:val="TextoNormal"/>
      </w:pPr>
    </w:p>
    <w:p w:rsidR="00A90898" w:rsidRDefault="00A90898" w:rsidP="00A90898">
      <w:pPr>
        <w:pStyle w:val="TextoNormal"/>
      </w:pPr>
      <w:r>
        <w:t>a) Se trata de una previsión específica para un supuesto también singular de incumplimiento de un concreto tipo de resoluciones del Tribunal, las que acuerden la suspensión de las disposiciones, actos o actuaciones impugnados, resultando condicionada la adopción de medidas destinadas a garantizar su ejecución a que concurran circunstancias de especial trascendencia constitucional. Como se deduce del tenor del precepto, es al Tribunal al que en exclusiva le corresponde tanto apreciar si se dan o no estas circunstancias, que el legislador ha establecido como presupuesto para la aplicación del art. 92.5 LOTC, como decidir, en su caso, las medidas necesarias para garantizar el cumplimiento de aquellas resoluciones. El Gobierno únicamente está habilitado para instar la actuación del Tribunal en los supuestos que estime que se estén incumpliendo resoluciones que acuerden la suspensión de las disposiciones, actos o actuaciones impugnados, debiendo exponer en su solicitud, como es obvio, las circunstancias de especial transcendencia constitucional que, a su juicio, se den y justifiquen la intervención del Tribunal, así como puede proponer también, con el mero alcance de propuesta, las medidas que considere pertinentes para asegurar el cumplimiento de aquellas resoluciones, pero en modo alguno se le confieren al Gobierno facultades decisorias. Evidentemente, como no podría ser de otro modo, es el Tribunal Constitucional, y sólo él, el que, en el ejercicio de su función jurisdiccional, ha de determinar si concurren o no circunstancias de especial trascendencia constitucional, así como, apreciadas éstas, quien ha de decidir y adoptar las medidas que estime necesarias para garantizar la ejecución de sus resoluciones de suspensión. La finalidad del art. 92.5 LOTC es claramente la de asegurar y garantizar la efectividad de las resoluciones del Tribunal a las que se refiere el precepto en supuestos de especial trascendencia constitucional.</w:t>
      </w:r>
    </w:p>
    <w:p w:rsidR="00A90898" w:rsidRDefault="00A90898" w:rsidP="00A90898">
      <w:pPr>
        <w:pStyle w:val="TextoNormal"/>
      </w:pPr>
    </w:p>
    <w:p w:rsidR="00A90898" w:rsidRDefault="00A90898" w:rsidP="00A90898">
      <w:pPr>
        <w:pStyle w:val="TextoNormal"/>
      </w:pPr>
      <w:r>
        <w:t xml:space="preserve">Siendo ello así, como efectivamente es, no cabe apreciar, frente a lo que se sostiene en la demanda, una ampliación del ámbito y los efectos de las facultades suspensivas del Tribunal Constitucional, que siguen teniendo la misma extensión y alcance, pues el precepto responde simplemente a la finalidad de velar por la ejecución de las resoluciones que dicte el Tribunal, conforme a las previsiones de la Constitución Española y de la Ley Orgánica del Tribunal Constitucional, en ejercicio de aquellas facultades, sin que resulte incrementada la efectividad de sus decisiones suspensivas, cuyo debido cumplimiento, en sus propios términos, se trata precisamente de garantizar. Tampoco se vislumbra un fortalecimiento de la prerrogativa conferida al Gobierno por el art. 161.2 CE, que continua teniendo idéntico carácter y alcance, de modo que los efectos de su invocación son los determinados </w:t>
      </w:r>
      <w:r w:rsidRPr="00A90898">
        <w:rPr>
          <w:i/>
        </w:rPr>
        <w:t>ex constitutione</w:t>
      </w:r>
      <w:r>
        <w:t xml:space="preserve">, esto es, la suspensión cautelar desde el inicio del proceso de las disposiciones o resoluciones de los órganos de las Comunidades Autónomas impugnadas, que el Tribunal debe ratificar o levantar en un plazo no superior a cinco meses. En definitiva, lo que el legislador ha pretendido con el art. 92.5 LOTC es, como señala el Abogado del Estado, poner a disposición del Tribunal, en los términos y condiciones que precisa, un instrumento que dota de mayores garantías de cumplimiento, efectividad y ejecutividad a las resoluciones dictadas en el seno de los procesos constitucionales que acuerden la suspensión de las disposiciones, actos o actuaciones impugnados, sin que se le atribuyan nuevas potestades </w:t>
      </w:r>
      <w:r>
        <w:lastRenderedPageBreak/>
        <w:t>que conlleven la modificación o alteración de los efectos suspensivos previstos en la Constitución.</w:t>
      </w:r>
    </w:p>
    <w:p w:rsidR="00A90898" w:rsidRDefault="00A90898" w:rsidP="00A90898">
      <w:pPr>
        <w:pStyle w:val="TextoNormal"/>
      </w:pPr>
    </w:p>
    <w:p w:rsidR="00A90898" w:rsidRDefault="00A90898" w:rsidP="00A90898">
      <w:pPr>
        <w:pStyle w:val="TextoNormal"/>
      </w:pPr>
      <w:r>
        <w:t>La medida contemplada en el art. 92.5 LOTC encuentra cobertura, por lo tanto, al igual que el resto de las medidas impugnadas en este proceso, en el art. 165 CE y su finalidad no es otra, también, que la de garantizar el debido y efectivo cumplimiento de las resoluciones del Tribunal, al que están obligados todos los ciudadanos y poderes públicos [STC 185/2016, FJ 17 a), y ATC 170/2016, FJ 6], estando concernidas en este caso las que acuerdan la suspensión de las disposiciones, actos y actuaciones impugnados, dictadas por el Tribunal Constitucional en el ejercicio de sus atribuciones jurisdiccionales (AATC 107/2009, de 24 de marzo, FJ 3, y 177/2012, de 2 de octubre, FJ 2).</w:t>
      </w:r>
    </w:p>
    <w:p w:rsidR="00A90898" w:rsidRDefault="00A90898" w:rsidP="00A90898">
      <w:pPr>
        <w:pStyle w:val="TextoNormal"/>
      </w:pPr>
    </w:p>
    <w:p w:rsidR="00A90898" w:rsidRDefault="00A90898" w:rsidP="00A90898">
      <w:pPr>
        <w:pStyle w:val="TextoNormal"/>
      </w:pPr>
      <w:r>
        <w:t>b) El legislador ha optado por conferir un margen de apreciación al Tribunal tanto en la consideración de las “circunstancias de especial trascendencia constitucional”, que constituye el presupuesto de aplicación del precepto, como en la determinación de las “medidas necesarias” para asegurar el debido cumplimiento de las resoluciones de suspensión a las que se refiere el art. 92.5 LOTC.</w:t>
      </w:r>
    </w:p>
    <w:p w:rsidR="00A90898" w:rsidRDefault="00A90898" w:rsidP="00A90898">
      <w:pPr>
        <w:pStyle w:val="TextoNormal"/>
      </w:pPr>
    </w:p>
    <w:p w:rsidR="00A90898" w:rsidRDefault="00A90898" w:rsidP="00A90898">
      <w:pPr>
        <w:pStyle w:val="TextoNormal"/>
      </w:pPr>
      <w:r>
        <w:t>Además de que la Constitución no veda el uso de conceptos jurídicos indeterminados (SSTC 227/1994, de 18 de julio, FJ 5, y 92/2000, de 2 de octubre), en este caso el carácter general de la regulación en materia de ejecución de las resoluciones del Tribunal, que tiene por objeto todos los procesos constitucionales, la pluralidad de supuestos de hechos imaginables y las distintas y cambiantes situaciones que puedan darse justifican razonablemente, entre otros motivos, que el legislador haya optado por conferir al Tribunal el margen de apreciación que resulta del precepto en orden a la concurrencia o no de “circunstancias de especial trascendencia constitucional” y a la adopción, según cuales sean éstas, de las “medidas necesarias” para garantizar la efectividad de sus resoluciones. Constitucionalmente no resulta inadmisible que en este supuesto el legislador, en vez de operar desde la generalidad que la ley entraña, haya confiado al Tribunal la determinación caso por caso de si se dan o no aquellas circunstancias, así como la decisión también casuística de las “medidas necesarias” que proceda adoptar.</w:t>
      </w:r>
    </w:p>
    <w:p w:rsidR="00A90898" w:rsidRDefault="00A90898" w:rsidP="00A90898">
      <w:pPr>
        <w:pStyle w:val="TextoNormal"/>
      </w:pPr>
    </w:p>
    <w:p w:rsidR="00A90898" w:rsidRDefault="00A90898" w:rsidP="00A90898">
      <w:pPr>
        <w:pStyle w:val="TextoNormal"/>
      </w:pPr>
      <w:r>
        <w:t xml:space="preserve">No obstante, ha de señalarse que no hay aquí un margen de apreciación que pueda ser confundido con una arbitrariedad constitucionalmente proscrita. Así, aun a título meramente indicativo, en el preámbulo de la ley se refieren los “supuestos de incumplimiento notorio” como subsumibles en la noción de “circunstancias de especial trascendencia constitucional”. También el Tribunal en recientes resoluciones ha calificado como “cuestiones de gran relieve constitucional”, por ejemplo, la declaración de soberanía y del derecho de decidir del pueblo de una Comunidad Autónoma (ATC 156/2013, de 11 de julio, FJ 2), o la defensa de la integridad de la Constitución o, en fin, la iniciación de un proceso de reforma constitucional (AATC 182/2015, de 3 de noviembre, FJ 4, y 186/2015, de 3 de noviembre, FJ 3). De otra parte, dada la finalidad del art. 92.5 LOTC, la locución “medidas necesarias” no puede entenderse sino en el sentido de que las medidas que se adopten han de ser aquellas que puedan resultar idóneas para garantizar la efectividad y ejecución de las resoluciones de suspensión. Y, en fin, el Ministerio Fiscal y las partes del proceso pueden en el trámite de audiencia previsto alegar lo que estimen oportuno sobre si en el caso concreto concurren o no “circunstancias de especial trascendencia constitucional”, inicialmente apreciadas </w:t>
      </w:r>
      <w:r w:rsidRPr="00A90898">
        <w:rPr>
          <w:i/>
        </w:rPr>
        <w:lastRenderedPageBreak/>
        <w:t>inaudita parte</w:t>
      </w:r>
      <w:r>
        <w:t xml:space="preserve"> por el Tribunal, así como sobre el carácter necesario o no de las medidas adoptadas, pudiendo aquél mantener, modificar o revocar su decisión.</w:t>
      </w:r>
    </w:p>
    <w:p w:rsidR="00A90898" w:rsidRDefault="00A90898" w:rsidP="00A90898">
      <w:pPr>
        <w:pStyle w:val="TextoNormal"/>
      </w:pPr>
    </w:p>
    <w:p w:rsidR="00A90898" w:rsidRDefault="00A90898" w:rsidP="00A90898">
      <w:pPr>
        <w:pStyle w:val="TextoNormal"/>
      </w:pPr>
      <w:r>
        <w:t>En definitiva, desde una perspectiva constitucional no puede formularse ningún reproche al margen de apreciación que el legislador ha conferido al Tribunal Constitucional en el precepto impugnado, en los términos en que lo ha hecho.</w:t>
      </w:r>
    </w:p>
    <w:p w:rsidR="00A90898" w:rsidRDefault="00A90898" w:rsidP="00A90898">
      <w:pPr>
        <w:pStyle w:val="TextoNormal"/>
      </w:pPr>
    </w:p>
    <w:p w:rsidR="00A90898" w:rsidRDefault="00A90898" w:rsidP="00A90898">
      <w:pPr>
        <w:pStyle w:val="TextoNormal"/>
      </w:pPr>
      <w:r>
        <w:t>c) Por último, la facultad reconocida al Gobierno de instar del Tribunal, con el alcance que antes ha quedado definido, la adopción de las medidas necesarias para garantizar la ejecución de las resoluciones en las que acuerden la suspensión de las disposiciones, actos o actuaciones impugnados encuentra cobertura, y resulta justificada, por la prerrogativa que al Gobierno, y sólo a este órgano, le confiere el art. 161.2 CE de instar con la iniciación del proceso constitucional la suspensión automática de las disposiciones o resoluciones adoptadas por los órganos de las Comunidades Autónomas, previsión desarrollada en la relación con distintos procesos constitucionales por los arts. 30, 62, 64.2 y 77 LOTC.</w:t>
      </w:r>
    </w:p>
    <w:p w:rsidR="00A90898" w:rsidRDefault="00A90898" w:rsidP="00A90898">
      <w:pPr>
        <w:pStyle w:val="TextoNormal"/>
      </w:pPr>
    </w:p>
    <w:p w:rsidR="00A90898" w:rsidRDefault="00A90898" w:rsidP="00A90898">
      <w:pPr>
        <w:pStyle w:val="TextoNormal"/>
      </w:pPr>
      <w:r>
        <w:t xml:space="preserve">En todo caso, no se puede atisbar en aquella facultad una quiebra del principio de igualdad procesal de las partes, que el recurrente afirma, pero no argumenta, pues no tiene que suponer </w:t>
      </w:r>
      <w:r w:rsidRPr="00A90898">
        <w:rPr>
          <w:i/>
        </w:rPr>
        <w:t>per se</w:t>
      </w:r>
      <w:r>
        <w:t xml:space="preserve"> una ruptura del equilibrio de sus respectivas posiciones de acuerdo con la regulación del proceso constitucional del que se trate, estando prevista la intervención de las Comunidades Autónomas en su condición de parte en el incidente de ejecución.</w:t>
      </w:r>
    </w:p>
    <w:p w:rsidR="00A90898" w:rsidRDefault="00A90898" w:rsidP="00A90898">
      <w:pPr>
        <w:pStyle w:val="TextoNormal"/>
      </w:pPr>
    </w:p>
    <w:p w:rsidR="00A90898" w:rsidRDefault="00A90898" w:rsidP="00A90898">
      <w:pPr>
        <w:pStyle w:val="TextoNormal"/>
      </w:pPr>
      <w:r>
        <w:t>En fin, las Comunidades Autónomas en modo alguno ven menoscabada por el precepto recurrido, como se afirma en la demanda, la legitimación que les reconoce el art. 161.1 c) CE para promover conflictos de competencia.</w:t>
      </w:r>
    </w:p>
    <w:p w:rsidR="00A90898" w:rsidRDefault="00A90898" w:rsidP="00A90898">
      <w:pPr>
        <w:pStyle w:val="TextoNormal"/>
      </w:pPr>
    </w:p>
    <w:p w:rsidR="00A90898" w:rsidRDefault="00A90898" w:rsidP="00A90898">
      <w:pPr>
        <w:pStyle w:val="TextoNormal"/>
      </w:pPr>
      <w:r>
        <w:t>Por consiguiente, con base en las razones expuestas, ha de desestimarse también este último motivo de inconstitucionalidad.</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diciembre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el recurso de inconstitucionalidad núm. 7466-2015.</w:t>
      </w:r>
    </w:p>
    <w:p w:rsidR="00A90898" w:rsidRDefault="00A90898" w:rsidP="00A90898">
      <w:pPr>
        <w:pStyle w:val="TextoNormalNegritaCentrado"/>
        <w:keepNext/>
      </w:pPr>
    </w:p>
    <w:p w:rsidR="00A90898" w:rsidRDefault="00A90898" w:rsidP="00A90898">
      <w:pPr>
        <w:pStyle w:val="TextoNormal"/>
      </w:pPr>
      <w:r>
        <w:t xml:space="preserve">En ejercicio de la facultad que me confiere el art. 90.2 de la Ley Orgánica del Tribunal Constitucional (LOTC), y con pleno respeto a la opinión de la mayoría del Tribunal, formulo </w:t>
      </w:r>
      <w:r>
        <w:lastRenderedPageBreak/>
        <w:t>Voto particular tanto a la fundamentación como al fallo de esta Sentencia por lo que respecta al art. 92.4 b) LOTC, en la redacción dada por la Ley Orgánica 15/2015.</w:t>
      </w:r>
    </w:p>
    <w:p w:rsidR="00A90898" w:rsidRDefault="00A90898" w:rsidP="00A90898">
      <w:pPr>
        <w:pStyle w:val="TextoNormal"/>
      </w:pPr>
    </w:p>
    <w:p w:rsidR="00A90898" w:rsidRDefault="00A90898" w:rsidP="00A90898">
      <w:pPr>
        <w:pStyle w:val="TextoNormal"/>
      </w:pPr>
      <w:r>
        <w:t>La desestimación del presente recurso de inconstitucionalidad se fundamenta básicamente en los argumentos expuestos en la STC 185/2016, de 3 de noviembre, que resolvió el recurso de inconstitucionalidad núm. 229-2016 interpuesto por el Gobierno Vasco frente a la misma Ley Orgánica 15/2015, de 16 de octubre, de reforma de la Ley Orgánica 2/1979, de 3 de octubre, del Tribunal Constitucional, para la ejecución de las resoluciones del Tribunal Constitucional como garantía del Estado de Derecho. En el Voto particular que formulé a dicha Sentencia expuse con detalle las razones por las que considero desacertada la forma en que se abordó la impugnación así como la doctrina que se elaboró y se aplicó en dicha resolución. Por ello, me remito ahora a dicho Voto y a las razones allí expuestas por las que considero que debió haberse estimado el presente recurso en lo que respecta al art. 92.4 b) LOTC, en la redacción dada por la Ley Orgánica 15/2015.</w:t>
      </w:r>
    </w:p>
    <w:p w:rsidR="00A90898" w:rsidRDefault="00A90898" w:rsidP="00A90898">
      <w:pPr>
        <w:pStyle w:val="TextoNormal"/>
      </w:pPr>
    </w:p>
    <w:p w:rsidR="00A90898" w:rsidRDefault="00A90898" w:rsidP="00A90898">
      <w:pPr>
        <w:pStyle w:val="TextoNormal"/>
      </w:pPr>
      <w:r>
        <w:t>Madrid, a quince de diciembre de dos mil dieciséis.</w:t>
      </w:r>
    </w:p>
    <w:p w:rsidR="00A90898" w:rsidRDefault="00A90898" w:rsidP="00A90898">
      <w:pPr>
        <w:pStyle w:val="TextoNormal"/>
      </w:pPr>
    </w:p>
    <w:p w:rsidR="00A90898" w:rsidRDefault="00A90898" w:rsidP="00A90898">
      <w:pPr>
        <w:pStyle w:val="TextoNormalNegritaCentrado"/>
        <w:keepNext/>
      </w:pPr>
      <w:r>
        <w:t>Voto particular que formula el Magistrado don Fernando Valdés Dal-Ré a la Sentencia dictada en el recurso de inconstitucionalidad núm. 7466-2015.</w:t>
      </w:r>
    </w:p>
    <w:p w:rsidR="00A90898" w:rsidRDefault="00A90898" w:rsidP="00A90898">
      <w:pPr>
        <w:pStyle w:val="TextoNormalNegritaCentrado"/>
        <w:keepNext/>
      </w:pPr>
    </w:p>
    <w:p w:rsidR="00A90898" w:rsidRDefault="00A90898" w:rsidP="00A90898">
      <w:pPr>
        <w:pStyle w:val="TextoNormal"/>
      </w:pPr>
      <w:r>
        <w:t>En ejercicio de la facultad que me confiere el art. 90.2 de la Ley Orgánica del Tribunal Constitucional (LOTC), y con pleno respeto a la opinión de la mayoría del Tribunal, formulo Voto particular tanto a la fundamentación como al fallo de esta Sentencia.</w:t>
      </w:r>
    </w:p>
    <w:p w:rsidR="00A90898" w:rsidRDefault="00A90898" w:rsidP="00A90898">
      <w:pPr>
        <w:pStyle w:val="TextoNormal"/>
      </w:pPr>
    </w:p>
    <w:p w:rsidR="00A90898" w:rsidRDefault="00A90898" w:rsidP="00A90898">
      <w:pPr>
        <w:pStyle w:val="TextoNormal"/>
      </w:pPr>
      <w:r>
        <w:t>Como expuse en el Voto particular formulado a la STC 185/2016, de 3 de noviembre, al que me remito para evitar reiteraciones innecesarias, considero que debería haberse estimado este recurso de inconstitucionalidad en lo relativo a las letras a) y b) del art. 92.4 LOTC, en la redacción dada por la Ley Orgánica 15/2015, de 16 de octubre, de reforma de la Ley Orgánica 2/1979, de 3 de octubre, del Tribunal Constitucional, para la ejecución de las resoluciones del Tribunal Constitucional como garantía del Estado de Derecho.</w:t>
      </w:r>
    </w:p>
    <w:p w:rsidR="00A90898" w:rsidRDefault="00A90898" w:rsidP="00A90898">
      <w:pPr>
        <w:pStyle w:val="TextoNormal"/>
      </w:pPr>
    </w:p>
    <w:p w:rsidR="00A90898" w:rsidRDefault="00A90898" w:rsidP="00A90898">
      <w:pPr>
        <w:pStyle w:val="TextoNormal"/>
      </w:pPr>
      <w:r>
        <w:t>Madrid, a quince de diciembre de dos mil dieciséis.</w:t>
      </w:r>
    </w:p>
    <w:p w:rsidR="00A90898" w:rsidRDefault="00A90898" w:rsidP="00A90898">
      <w:pPr>
        <w:pStyle w:val="TextoNormal"/>
      </w:pPr>
    </w:p>
    <w:p w:rsidR="00A90898" w:rsidRDefault="00A90898" w:rsidP="00A90898">
      <w:pPr>
        <w:pStyle w:val="TextoNormalNegritaCentrado"/>
        <w:keepNext/>
      </w:pPr>
      <w:r>
        <w:t>Voto particular que formula el Magistrado don Juan Antonio Xiol Ríos a la Sentencia dictada en el recurso de inconstitucionalidad núm. 7466-2015.</w:t>
      </w:r>
    </w:p>
    <w:p w:rsidR="00A90898" w:rsidRDefault="00A90898" w:rsidP="00A90898">
      <w:pPr>
        <w:pStyle w:val="TextoNormalNegritaCentrado"/>
        <w:keepNext/>
      </w:pPr>
    </w:p>
    <w:p w:rsidR="00A90898" w:rsidRDefault="00A90898" w:rsidP="00A90898">
      <w:pPr>
        <w:pStyle w:val="TextoNormal"/>
      </w:pPr>
      <w:r>
        <w:t xml:space="preserve">Con el máximo respeto a la opinión mayoritaria de mis compañeros del Tribunal en la que se sustenta la sentencia, manifiesto mi discrepancia con parte de su fundamentación jurídica y su fallo. Considero que debería haber sido estimatorio en relación con la impugnación del artículo 92.4 b) y c) de la Ley Orgánica del Tribunal Constitucional (LOTC), en la redacción dada por la Ley Orgánica 15/2015, de 16 de octubre, en que se faculta al Tribunal Constitucional para suspender de funciones de las autoridades o empleados públicos y requerir la colaboración del Gobierno de la Nación para la ejecución sustitutoria de sus resoluciones, respectivamente. Por el contrario, no encuentro objeción con la desestimación del recurso en relación con la impugnación de los arts. 92.4 a) y 92.5 LOTC, en la redacción dada por la Ley Orgánica 15/2015, de 16 de octubre, en que se faculta al Tribunal Constitucional para la imposición de multas coercitivas y la adopción de las medidas necesarias </w:t>
      </w:r>
      <w:r>
        <w:lastRenderedPageBreak/>
        <w:t>para asegurar el cumplimiento de las resoluciones que acuerden la suspensión de disposiciones, actos o actuaciones impugnados, respectivamente.</w:t>
      </w:r>
    </w:p>
    <w:p w:rsidR="00A90898" w:rsidRDefault="00A90898" w:rsidP="00A90898">
      <w:pPr>
        <w:pStyle w:val="TextoNormal"/>
      </w:pPr>
    </w:p>
    <w:p w:rsidR="00A90898" w:rsidRDefault="00A90898" w:rsidP="00A90898">
      <w:pPr>
        <w:pStyle w:val="TextoNormal"/>
      </w:pPr>
      <w:r>
        <w:t>Planteamiento.</w:t>
      </w:r>
    </w:p>
    <w:p w:rsidR="00A90898" w:rsidRDefault="00A90898" w:rsidP="00A90898">
      <w:pPr>
        <w:pStyle w:val="TextoNormal"/>
      </w:pPr>
    </w:p>
    <w:p w:rsidR="00A90898" w:rsidRDefault="00A90898" w:rsidP="00A90898">
      <w:pPr>
        <w:pStyle w:val="TextoNormal"/>
      </w:pPr>
      <w:r>
        <w:t>1. La opinión mayoritaria en la que se sustenta la sentencia fundamenta la constitucionalidad de las letras b) y c) del art. 92.4 LOTC en la jurisprudencia sentada en la STC 185/2016, de 3 de noviembre, en que se resolvió el recurso de inconstitucionalidad núm. 229-2016 planteado por el Gobierno del País Vasco contra esta misma normativa.</w:t>
      </w:r>
    </w:p>
    <w:p w:rsidR="00A90898" w:rsidRDefault="00A90898" w:rsidP="00A90898">
      <w:pPr>
        <w:pStyle w:val="TextoNormal"/>
      </w:pPr>
    </w:p>
    <w:p w:rsidR="00A90898" w:rsidRDefault="00A90898" w:rsidP="00A90898">
      <w:pPr>
        <w:pStyle w:val="TextoNormal"/>
      </w:pPr>
      <w:r>
        <w:t>Las razones de mi discrepancia con esta doctrina fueron expuestas en el Voto particular que formulé contra dicha Sentencia. En ese Voto particular, tras mostrar mi desacuerdo con la posición adoptada por la posición mayoritaria sobre (I) los límites a la configuración del legislador orgánico en la regulación del Tribunal Constitucional y el correlativo alcance e intensidad del control de constitucionalidad que debe desarrollarse en los casos en que la norma impugnada sea la Ley Orgánica del Tribunal Constitucional y (II) la decisión de posponer el análisis del presente recurso de inconstitucionalidad planteado por la Generalitat de Catalunya contra la Ley Orgánica 15/2015, de 16 de octubre, al interpuesto posteriormente por el Gobierno del País Vasco, y no contextualizar la normativa impugnada; me manifesté en defensa de la inconstitucionalidad (III) de la suspensión de funciones de las autoridades o empleados públicos prevista en el art. 92.4 b) LOTC, habida cuenta de su carácter materialmente sancionador, y (IV) de la regulación de la ejecución sustitutoria establecida en el art. 92.4 c) LOTC, por alterar el modelo constitucional de control del art. 155 CE.</w:t>
      </w:r>
    </w:p>
    <w:p w:rsidR="00A90898" w:rsidRDefault="00A90898" w:rsidP="00A90898">
      <w:pPr>
        <w:pStyle w:val="TextoNormal"/>
      </w:pPr>
    </w:p>
    <w:p w:rsidR="00A90898" w:rsidRDefault="00A90898" w:rsidP="00A90898">
      <w:pPr>
        <w:pStyle w:val="TextoNormal"/>
      </w:pPr>
      <w:r>
        <w:t>Voy a insistir en dichas ideas en este voto particular. Ahora bien, me parece preciso incidir, en primer lugar, en la circunstancia de que la opinión mayoritaria en la que se sustenta la Sentencia haya sido receptiva a determinadas objeciones expuestas en los Votos particulares formulados a la STC 185/2016, ya que (I) no ha insistido en reiterar la doctrina de la STC 49/2008, de 9 de abril, sobre el debilitamiento del control de constitucionalidad que debe ejercitarse cuando la norma impugnada es la Ley Orgánica del Tribunal Constitucional; y (II) ha considerado procedente dar una explicación a la posposición del análisis del recurso de inconstitucionalidad planteado por la Generalitat de Catalunya frente al interpuesto por el Gobierno del País Vasco. Posteriormente, reproduciré los apartados III y IV del Voto particular formulado a la citada STC 185/2016 para reiterar las razones de mi discrepancia respecto de la decisión de no declarar la inconstitucionalidad de las letras b) y c) del art. 92.4 LOTC, en la redacción dada por la Ley Orgánica 15/2015, de 16 de octubre, en que se faculta al Tribunal Constitucional para suspender de funciones de las autoridades o empleados públicos y requerir la colaboración del Gobierno de la Nación para la ejecución sustitutoria de sus resoluciones, respectivamente.</w:t>
      </w:r>
    </w:p>
    <w:p w:rsidR="00A90898" w:rsidRDefault="00A90898" w:rsidP="00A90898">
      <w:pPr>
        <w:pStyle w:val="TextoNormal"/>
      </w:pPr>
    </w:p>
    <w:p w:rsidR="00A90898" w:rsidRDefault="00A90898" w:rsidP="00A90898">
      <w:pPr>
        <w:pStyle w:val="TextoNormal"/>
      </w:pPr>
      <w:r>
        <w:t xml:space="preserve">I. ¿Estamos ante el comienzo de la </w:t>
      </w:r>
      <w:r w:rsidRPr="00A90898">
        <w:rPr>
          <w:i/>
        </w:rPr>
        <w:t>desuetudo</w:t>
      </w:r>
      <w:r>
        <w:t xml:space="preserve"> [desuso] de la doctrina establecida en la STC 49/2008, FJ 4, sobre el debilitamiento del control de constitucionalidad que debe ejercitarse sobre la Ley Orgánica del Tribunal Constitucional?</w:t>
      </w:r>
    </w:p>
    <w:p w:rsidR="00A90898" w:rsidRDefault="00A90898" w:rsidP="00A90898">
      <w:pPr>
        <w:pStyle w:val="TextoNormal"/>
      </w:pPr>
    </w:p>
    <w:p w:rsidR="00A90898" w:rsidRDefault="00A90898" w:rsidP="00A90898">
      <w:pPr>
        <w:pStyle w:val="TextoNormal"/>
      </w:pPr>
      <w:r>
        <w:t xml:space="preserve">2. La opinión mayoritaria en la que se sustenta la STC 185/2016 incluyó como último párrafo del apartado c) de su fundamento jurídico 3, citando la STC 49/2008, lo siguiente: “en cuanto al posible resultado de este control de constitucionalidad, hemos tenido ocasión </w:t>
      </w:r>
      <w:r>
        <w:lastRenderedPageBreak/>
        <w:t>de poner de manifiesto que en la medida que la vinculación de este Tribunal a su Ley Orgánica se proyecta sobre la propia legitimidad de este órgano, ‘el control de la Ley Orgánica del Tribunal debe limitarse a los supuestos en que existe un conflicto evidente e insalvable entre la misma y el texto constitucional’. Llevar a cabo ‘un control más intenso —hemos de reiterar ahora— no sólo supondría debilitar la presunción de constitucionalidad de cualquier norma aprobada por el legislador democrático, sino que situaría al Tribunal en una posición que no se corresponde con el papel que cumple la reserva contenida en el art. 165 CE para que sea el legislador quien, a través de la Ley Orgánica del Tribunal Constitucional, desarrolle directamente y con vocación de complitud el título IX CE, el desarrollo legal al que este Tribunal está íntegramente vinculado’ (FJ 4)”.</w:t>
      </w:r>
    </w:p>
    <w:p w:rsidR="00A90898" w:rsidRDefault="00A90898" w:rsidP="00A90898">
      <w:pPr>
        <w:pStyle w:val="TextoNormal"/>
      </w:pPr>
    </w:p>
    <w:p w:rsidR="00A90898" w:rsidRDefault="00A90898" w:rsidP="00A90898">
      <w:pPr>
        <w:pStyle w:val="TextoNormal"/>
      </w:pPr>
      <w:r>
        <w:t>Los Votos particulares formulados por la Vicepresidenta de este Tribunal, doña Adela Asua Batarrita, por el Magistrado don Fernando Valdés Dal-Ré y por mí a la STC 185/2016 coincidían en criticar a la opinión mayoritaria en la que se sustentaba dicha Sentencia de tomar como doble premisa básica del control constitucional que debe llevarse a cabo cuando lo impugnado es la Ley Orgánica del Tribunal Constitucional las ideas expuestas en la STC 49/2008, de 9 de abril, de que (i) el legislador orgánico goza de una libertad de configuración cuyos límites materiales y formales son los establecidos en las reservas y contenido de título IX de la Constitución y en la interpretación sistemática de todo el texto constitucional; y (ii) el control que procede llevar a cabo debe limitarse a los casos en que existe un conflicto evidente e insalvable entre la regulación de la Ley Orgánica del Tribunal Constitucional enjuiciada y el texto constitucional para evitar situar al Tribunal en una posición que no se corresponde con el papel que cumple la reserva contenida en el art. 165 CE de que sea el legislador quien, a través de la Ley Orgánica del Tribunal Constitucional, desarrolle directamente y con vocación de completitud el título IX CE.</w:t>
      </w:r>
    </w:p>
    <w:p w:rsidR="00A90898" w:rsidRDefault="00A90898" w:rsidP="00A90898">
      <w:pPr>
        <w:pStyle w:val="TextoNormal"/>
      </w:pPr>
    </w:p>
    <w:p w:rsidR="00A90898" w:rsidRDefault="00A90898" w:rsidP="00A90898">
      <w:pPr>
        <w:pStyle w:val="TextoNormal"/>
      </w:pPr>
      <w:r>
        <w:t xml:space="preserve">Como expuse entonces en mi Voto particular, considero que esta doctrina de la STC 49/2008 debía haber sido bien expresamente reconsiderada por el Pleno de este Tribunal, bien, como ha sucedido en otras ocasiones no infrecuentes con resoluciones de este Tribunal, dejada en el olvido jurisprudencial por </w:t>
      </w:r>
      <w:r w:rsidRPr="00A90898">
        <w:rPr>
          <w:i/>
        </w:rPr>
        <w:t>desuetudo</w:t>
      </w:r>
      <w:r>
        <w:t xml:space="preserve"> [desuso], evocando el concepto propuesto por A. Bickel. Sucintamente, defendí en ese Voto particular que no existe ningún argumento razonable para considerar que el legislador orgánico, cuando establece la regulación del Tribunal Constitucional, disponga de una mayor libertad de configuración que cuando establece cualquier otro desarrollo normativo, ya que esa posición implicaría una correlativa habilitación al legislador orgánico para debilitar su sometimiento a la Constitución en la regulación legal del Tribunal Constitucional, que ni se desprende de la reserva de ley que contiene el art. 165 CE ni es compatible con la configuración constitucional del Tribunal Constitucional. Al contrario, señalé que la invocada libertad de configuración del Poder Legislativo debe ser objeto de un singular escrutinio por parte del Tribunal Constitucional en los casos en que la regulación recae sobre cuestiones o aspectos que inciden en materias sobre las que ya existe una previa configuración por parte del Poder Constituyente, como ocurre, paradigmáticamente, con los órganos constitucionales, ya que, como fue expuesto en la STC 76/1983, de 5 de agosto, FJ 4,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w:t>
      </w:r>
    </w:p>
    <w:p w:rsidR="00A90898" w:rsidRDefault="00A90898" w:rsidP="00A90898">
      <w:pPr>
        <w:pStyle w:val="TextoNormal"/>
      </w:pPr>
    </w:p>
    <w:p w:rsidR="00A90898" w:rsidRDefault="00A90898" w:rsidP="00A90898">
      <w:pPr>
        <w:pStyle w:val="TextoNormal"/>
      </w:pPr>
      <w:r>
        <w:lastRenderedPageBreak/>
        <w:t>3. Quiero mostrar mi satisfacción por el hecho de que la opinión mayoritaria en la que se sustenta la Sentencia haya sido receptiva a estas objeciones entonces formuladas. Al menos, quiero interpretar en este sentido el hecho de que la opinión mayoritaria en la que se sustenta la presente sentencia, a pesar de haber reproducido casi en su integridad el fundamento jurídico 3 de la STC 185/2016, finalmente, haya omitido la perturbadora cita del fundamento jurídico 4 de la STC 49/2008 en lo que se refiere al debilitamiento del control de constitucionalidad que debe ejercitarse cuando la norma impugnada es la Ley Orgánica del Tribunal Constitucional. En su sustitución ha incluido una cita de la STC 191/2016, de 15 de noviembre, FJ 3 B), reiterando el amplio margen con el que cuenta el legislador para el desarrollo normativo dentro del marco constitucional.</w:t>
      </w:r>
    </w:p>
    <w:p w:rsidR="00A90898" w:rsidRDefault="00A90898" w:rsidP="00A90898">
      <w:pPr>
        <w:pStyle w:val="TextoNormal"/>
      </w:pPr>
    </w:p>
    <w:p w:rsidR="00A90898" w:rsidRDefault="00A90898" w:rsidP="00A90898">
      <w:pPr>
        <w:pStyle w:val="TextoNormal"/>
      </w:pPr>
      <w:r>
        <w:t xml:space="preserve">Me congratula la idea de que con esta “retractación” —o, al menos, la cesación en la reiteración de una doctrina constitucional que considero tan disruptiva— pueda estarse dando comienzo a la </w:t>
      </w:r>
      <w:r w:rsidRPr="00A90898">
        <w:rPr>
          <w:i/>
        </w:rPr>
        <w:t>desuetudo</w:t>
      </w:r>
      <w:r>
        <w:t xml:space="preserve"> que defendí como una necesidad en mi Voto particular a la STC 186/2016. En cualquier caso, lo que sí hace es afianzar mi decisión de hacer siempre expresas por medio de Votos particulares mis discrepancias con las posiciones mayoritarias en que se sustentan las resoluciones de este Tribunal, en ejercicio de la potestad que me brinda el art. 90.2 LOTC, como una forma de propiciar elementos de reflexión (en cuanto van dirigidos no solo al “auditorio universal” al que se refiere Perelman, sino también a los colegas del Tribunal, presentes o por venir) e incluso, en su caso, cambios jurisprudenciales futuros.</w:t>
      </w:r>
    </w:p>
    <w:p w:rsidR="00A90898" w:rsidRDefault="00A90898" w:rsidP="00A90898">
      <w:pPr>
        <w:pStyle w:val="TextoNormal"/>
      </w:pPr>
    </w:p>
    <w:p w:rsidR="00A90898" w:rsidRDefault="00A90898" w:rsidP="00A90898">
      <w:pPr>
        <w:pStyle w:val="TextoNormal"/>
      </w:pPr>
      <w:r>
        <w:t>II. Sobre la decisión de posponer el análisis del presente recurso de inconstitucionalidad planteado por la Generalitat de Catalunya contra la Ley Orgánica 15/2015, de 16 de octubre, al interpuesto posteriormente por el Gobierno del País Vasco, y no contextualizar la normativa impugnada.</w:t>
      </w:r>
    </w:p>
    <w:p w:rsidR="00A90898" w:rsidRDefault="00A90898" w:rsidP="00A90898">
      <w:pPr>
        <w:pStyle w:val="TextoNormal"/>
      </w:pPr>
    </w:p>
    <w:p w:rsidR="00A90898" w:rsidRDefault="00A90898" w:rsidP="00A90898">
      <w:pPr>
        <w:pStyle w:val="TextoNormal"/>
      </w:pPr>
      <w:r>
        <w:t>4. La Ley Orgánica 15/2015, de 16 de octubre, de reforma de la Ley Orgánica del Tribunal Constitucional, ha sido objeto de dos recursos de inconstitucionalidad. El primero, tramitado con el núm. 7466-2015, que se resuelve en la presente resolución, fue planteado por la Generalitat de Catalunya y registrado en este Tribunal el 30 de diciembre de 2015. El segundo, tramitado con el núm. 299-2016, que fue resuelto en la citada STC 185/2016, fue el planteado por el Gobierno del País Vasco y registrado en este Tribunal el 15 de enero de 2016. Como expuse en el Voto particular formulado en la STC 185/2016, con carácter general, y sin perjuicio de un prudente margen de discrecionalidad en la ordenación del estudio de los recursos, parece razonable que, ante la diversidad de recursos de inconstitucionalidad planteados contra una misma norma, o bien se ordenen de manera temporal o, al menos, se haga un estudio acumulado o, en último término, simultáneo. Ese no ha sido el caso de la Ley Orgánica 15/2015, en que se ha decidido abordar en primer lugar el análisis del último de los recursos planteados —el del Gobierno del País Vasco—, en detrimento del primero —el de la Generalitat de Catalunya—.</w:t>
      </w:r>
    </w:p>
    <w:p w:rsidR="00A90898" w:rsidRDefault="00A90898" w:rsidP="00A90898">
      <w:pPr>
        <w:pStyle w:val="TextoNormal"/>
      </w:pPr>
    </w:p>
    <w:p w:rsidR="00A90898" w:rsidRDefault="00A90898" w:rsidP="00A90898">
      <w:pPr>
        <w:pStyle w:val="TextoNormal"/>
      </w:pPr>
      <w:r>
        <w:t xml:space="preserve">Me reitero en lo ya afirmado en mi Voto particular a la STC 185/2016, respecto de que no solo por razones de prioridad temporal, sino, especialmente, por estar muy singularmente concernida, el análisis debía de haber comenzado por el presente recurso planteado por la Generalitat de Catalunya. En todo caso, no puedo dejar de destacar el hecho de que la opinión mayoritaria en la que se sustenta la sentencia haya considerado procedente incluir en la presente resolución una explicación, a modo de justificación, de esa singular ordenación. </w:t>
      </w:r>
      <w:r>
        <w:lastRenderedPageBreak/>
        <w:t>La resolución de la que ahora discrepo hace expreso en su fundamento jurídico 2 que las similitudes entre ambos recursos “…ya fueron constatadas en su momento en el trámite de admisión por este Tribunal, que, a propuesta de los Magistrados designados ponentes por turno de reparto en uno y otro recurso, consideró oportuno, como criterio de ordenación de las deliberaciones, que la resolución del recurso el Gobierno Vasco, pese a haber sido interpuesto en fecha posterior, precediera a la del promovido por el Gobierno de la Generalitat, ya que en aquél se denunciaba como primer y determinante motivo de inconstitucionalidad, con base en una consideración conjunta de los preceptos impugnados, una desnaturalización del modelo de jurisdicción constitucional diseñado por el constituyente, en tanto que el recurso del Gobierno de Cataluña no se articula en torno a tan genérico planteamiento, centrándose, por el contrario, en una más concreta impugnación de cada uno de los preceptos recurridos”.</w:t>
      </w:r>
    </w:p>
    <w:p w:rsidR="00A90898" w:rsidRDefault="00A90898" w:rsidP="00A90898">
      <w:pPr>
        <w:pStyle w:val="TextoNormal"/>
      </w:pPr>
    </w:p>
    <w:p w:rsidR="00A90898" w:rsidRDefault="00A90898" w:rsidP="00A90898">
      <w:pPr>
        <w:pStyle w:val="TextoNormal"/>
      </w:pPr>
      <w:r>
        <w:t>Es de agradecer que, en aras de la necesaria transparencia en el ejercicio de una labor de tanta relevancia como la que desarrolla el Tribunal Constitucional, se hagan expresas las razones por las que se adoptan determinadas decisiones que, aunque justificadas, pueden no responder a criterios objetivos, alejando cualquier sospecha de arbitrariedad o instrumentalización externa en el ejercicio de las competencias que a cada cual competen. Con independencia del valor justificativo que reconozco a esta explicación, en el presente caso, sin embargo, las razones expuestas para dar prioridad al recurso interpuesto por el Gobierno del País Vasco frente al de la Generalitat de Catalunya no me parece que resulten especialmente convincentes. En primer lugar, el recurso interpuesto por la Generalitat de Catalunya no sólo era previo temporalmente sino que, además, era más amplio que el formulado por el Gobierno del País Vasco, ya que, al margen de las cuestiones procedimentales que eran comunes en ambos recursos, en el recurso del Gobierno del País Vasco se impugnaban los arts. 92.4 b) y c) y 95.2 LOTC y en el de la Generalitat de Catalunya, además, el art. 92.4 a) LOTC. En segundo lugar, el argumento referido a que el recurso del Gobierno del País Vasco planteaba, con fundamento en una consideración conjunta de los preceptos impugnados, una desnaturalización del modelo de jurisdicción constitucional diseñado por el constituyente frente al formulado por la Generalitat de Catalunya, que estaría centrado en una más concreta impugnación de cada uno de los preceptos recurridos, tampoco resulta muy persuasivo. Es más, la actitud elusiva con que la opinión mayoritaria en que se sustentó la STC 185/2016 abordó el análisis del recurso interpuesto por el Gobierno Vasco provocó, como fue oportunamente criticado en los diversos votos particulares formulados a dicha sentencia, que esa pretendida mayor amplitud de perspectiva no se correspondiera con un análisis más amplio que el realizado en la sentencia de la que ahora discrepo.</w:t>
      </w:r>
    </w:p>
    <w:p w:rsidR="00A90898" w:rsidRDefault="00A90898" w:rsidP="00A90898">
      <w:pPr>
        <w:pStyle w:val="TextoNormal"/>
      </w:pPr>
    </w:p>
    <w:p w:rsidR="00A90898" w:rsidRDefault="00A90898" w:rsidP="00A90898">
      <w:pPr>
        <w:pStyle w:val="TextoNormal"/>
      </w:pPr>
      <w:r>
        <w:t xml:space="preserve">Al margen de lo anterior, con una perspectiva </w:t>
      </w:r>
      <w:r w:rsidRPr="00A90898">
        <w:rPr>
          <w:i/>
        </w:rPr>
        <w:t>ex post facto</w:t>
      </w:r>
      <w:r>
        <w:t>, se pone de manifiesto que esa supuesta conveniencia metodológica en anticipar el análisis del recurso del Gobierno del País Vasco no parece contar con un sustento sólido. Frente a ello, por el contrario, se mantiene la objeción, recogida en mi voto particular a la STC 185/2016, de que esta decisión de posposición podía provocar, como ahora se comprueba que así ha sucedido, soslayar en el análisis de la impugnación de esta normativa la valiosa información que podía y debía aportar la contextualización de la norma cuya constitucionalidad se estudiaba en este recurso y que está indisolublemente unida con acontecimientos desarrollados en Catalunya.</w:t>
      </w:r>
    </w:p>
    <w:p w:rsidR="00A90898" w:rsidRDefault="00A90898" w:rsidP="00A90898">
      <w:pPr>
        <w:pStyle w:val="TextoNormal"/>
      </w:pPr>
    </w:p>
    <w:p w:rsidR="00A90898" w:rsidRDefault="00A90898" w:rsidP="00A90898">
      <w:pPr>
        <w:pStyle w:val="TextoNormal"/>
      </w:pPr>
      <w:r>
        <w:t>A esos efectos, creo necesario reproducir los apartados 9 a 11 del Voto particular que formulé a la STC 185/2016, en que se afirmaba lo siguiente:</w:t>
      </w:r>
    </w:p>
    <w:p w:rsidR="00A90898" w:rsidRDefault="00A90898" w:rsidP="00A90898">
      <w:pPr>
        <w:pStyle w:val="TextoNormal"/>
      </w:pPr>
    </w:p>
    <w:p w:rsidR="00A90898" w:rsidRDefault="00A90898" w:rsidP="00A90898">
      <w:pPr>
        <w:pStyle w:val="TextoNormal"/>
      </w:pPr>
      <w:r>
        <w:t>"9. El preámbulo de la Ley Orgánica 15/2015, en un intento de exposición aséptica de la justificación de la aprobación de esta normativa, se limita a mencionar que ‘[s]i bien la actual regulación del Tribunal Constitucional contiene los principios generales para garantizar la efectividad de sus resoluciones, la necesidad de adaptarse a las nuevas situaciones que pretenden evitar o soslayar tal efectividad obliga a desarrollar los instrumentos necesarios para que la garantía de efectividad sea real’. No es difícil adivinar, sin embargo, que esas nuevas situaciones que pretenden evitar o soslayar la efectividad de las resoluciones del Tribunal Constitucional están en directa relación con diversas decisiones adoptadas por la Generalitat y, especialmente, por el Parlament de Catalunya.</w:t>
      </w:r>
    </w:p>
    <w:p w:rsidR="00A90898" w:rsidRDefault="00A90898" w:rsidP="00A90898">
      <w:pPr>
        <w:pStyle w:val="TextoNormal"/>
      </w:pPr>
    </w:p>
    <w:p w:rsidR="00A90898" w:rsidRDefault="00A90898" w:rsidP="00A90898">
      <w:pPr>
        <w:pStyle w:val="TextoNormal"/>
      </w:pPr>
      <w:r>
        <w:t>Tampoco la opinión mayoritaria en la que se sustenta la sentencia ha hecho expresa la conexión de la norma impugnada con la situación en Catalunya. La necesidad, tan reiterada por esa misma opinión mayoritaria, de proyectar un análisis abstracto sobre las cuestiones planteadas en el recurso no son un obstáculo para que este Tribunal Constitucional hubiera reconocido a efectos de su contextualización la génesis y, en conexión con ella, la finalidad perseguida por la norma. Las interpretaciones subjetiva y teleológica son criterios de singular importancia en el examen de la norma. En este caso, como se pondrá de manifiesto más adelante, sin tener en cuenta ambos criterios se soslaya una información muy relevante para dilucidar, por ejemplo, el carácter materialmente sancionador de la nueva medida de suspensión contenida en el art. 92.4 c) LOTC; o la profunda alteración que en el sistema de contrapesos diseñados por la Constitución supone la nueva regulación de la ejecución sustitutoria establecida en el art. 92.4 c) LOTC.</w:t>
      </w:r>
    </w:p>
    <w:p w:rsidR="00A90898" w:rsidRDefault="00A90898" w:rsidP="00A90898">
      <w:pPr>
        <w:pStyle w:val="TextoNormal"/>
      </w:pPr>
    </w:p>
    <w:p w:rsidR="00A90898" w:rsidRDefault="00A90898" w:rsidP="00A90898">
      <w:pPr>
        <w:pStyle w:val="TextoNormal"/>
      </w:pPr>
      <w:r>
        <w:t>10. La labor de un Tribunal Constitucional no puede hacerse eludiendo el contexto socio-político en que se desarrolla la legislación cuya constitucionalidad tiene la obligación de enjuiciar cuando es requerido para ello. No hay duda de que la vocación de la legislación es la abstracción de sus postulados y su proyección y pervivencia en el tiempo. Un flaco favor se hace a la alta función encomendada a la jurisdicción constitucional si en su ejecución, por un prurito en exceso formalista, se ignora la propia vitalidad del ordenamiento y su permeabilidad a los problemas y debates sociales y de todo tipo que se producen en torno a su desarrollo. Ocultar el contexto justificativo de una concreta normativa en nada ayuda a resolver sobre su eventual constitucionalidad. Partir de que la norma, una vez que entra en vigor, queda limpia de cualquier pecado original que pueda estar en su génesis es ignorar que aquel defecto frecuentemente queda grabado en su propia esencia y la acompaña como una sombra o como una luz durante su vigencia. Esa es la razón por la que en diversos supuestos —solo citaré a modo de ejemplo el control que se desarrolla sobre la concurrencia del llamado presupuesto habilitante de los decretos-leyes— la jurisprudencia constitucional acude a los trabajos parlamentarios en busca de información y argumentos para sustentar su posición.</w:t>
      </w:r>
    </w:p>
    <w:p w:rsidR="00A90898" w:rsidRDefault="00A90898" w:rsidP="00A90898">
      <w:pPr>
        <w:pStyle w:val="TextoNormal"/>
      </w:pPr>
    </w:p>
    <w:p w:rsidR="00A90898" w:rsidRDefault="00A90898" w:rsidP="00A90898">
      <w:pPr>
        <w:pStyle w:val="TextoNormal"/>
      </w:pPr>
      <w:r>
        <w:t>En ese caso es de lamentar que no se haya hecho así por parte de la opinión mayoritaria en la que se sustenta la sentencia. Pero esto no es un obstáculo para que en el marco de este voto particular se incida en este contexto por la relevancia que, como ya he dicho, va a tener en el concreto análisis de determinadas medidas de ejecución impugnadas.</w:t>
      </w:r>
    </w:p>
    <w:p w:rsidR="00A90898" w:rsidRDefault="00A90898" w:rsidP="00A90898">
      <w:pPr>
        <w:pStyle w:val="TextoNormal"/>
      </w:pPr>
    </w:p>
    <w:p w:rsidR="00A90898" w:rsidRDefault="00A90898" w:rsidP="00A90898">
      <w:pPr>
        <w:pStyle w:val="TextoNormal"/>
      </w:pPr>
      <w:r>
        <w:t xml:space="preserve">11. La Ley Orgánica 5/2015 tiene su origen en una proposición de ley del Grupo Parlamentario Popular en el Congreso durante la X Legislatura. La lectura de la defensa que de </w:t>
      </w:r>
      <w:r>
        <w:lastRenderedPageBreak/>
        <w:t>esta proposición de ley hizo el representante de ese grupo parlamentario en su toma de consideración ante el Congreso de los Diputados y todo el debate que posteriormente se desarrolló en aquella sesión (‘Diario de sesiones del Congreso de los Diputados. Pleno y Diputación Permanente’ núm. 306, de 16 de septiembre de 2015, págs. 102 a 134) pone de manifiesto que la génesis de esta reforma legislativa está en indubitada conexión con lo que ha venido a denominarse el ‘procés constituent a Catalunya’ y que su finalidad exclusiva es dotar al Tribunal Constitucional de los instrumentos necesarios para hacer frente a lo que se considera el desafío que supone el incumplimiento de sus resoluciones por parte de esta Comunidad Autónoma.</w:t>
      </w:r>
    </w:p>
    <w:p w:rsidR="00A90898" w:rsidRDefault="00A90898" w:rsidP="00A90898">
      <w:pPr>
        <w:pStyle w:val="TextoNormal"/>
      </w:pPr>
    </w:p>
    <w:p w:rsidR="00A90898" w:rsidRDefault="00A90898" w:rsidP="00A90898">
      <w:pPr>
        <w:pStyle w:val="TextoNormal"/>
      </w:pPr>
      <w:r>
        <w:t>La intervención del representante del grupo parlamentario promotor de esta iniciativa legislativa no deja lugar a dudas. Menciona que "es la realidad la que nos ha demostrado que el grado de incumplimiento y de desacato a sus resoluciones [del Tribunal Constitucional] ha ido paulatinamente en aumento y, por qué no decirlo, esta situación ha ocurrido casi simultáneamente al desarrollo del movimiento independentista creado en Cataluña, cuyo objetivo único es el de destruir España”. Junto a ello, afirma que los casos de incumplimiento son numerosos y evidentes, poniendo de manifiesto `[e]n primer lugar, la sentencia sobre el Estatuto de Autonomía de Cataluña, paradigmático en relación con la utilización predominante del catalán y la exclusión del castellano como lengua vehicular también en el territorio de la enseñanza, lo que ha provocado que muchos padres hayan renunciado a su derecho a que se escolarice a sus hijos en castellano por la presión que cada día ejerce el nacionalismo excluyente y virulento del que hemos tenido conocimiento hoy mismo en algunos periódicos que sonrojan de vergüenza. Y otros casos son la Ley catalana de veguerías, la suspensión de la convocatoria de referéndum por parte de la Generalitat el 9 de septiembre de 2014 o la impugnación del Comisionado para la Transición Nacional. Del mismo modo, el 11 de junio pasado el Tribunal Constitucional ha declarado la inconstitucionalidad del denominado proceso de participación ciudadana y esta misma semana el Tribunal Constitucional ha ordenado la suspensión de la prevista dotación de medios que la Generalitat había acordado para la Agencia Tributaria catalana … En todos estos casos la Generalitat de Catalunya ha puesto y está poniendo de manifiesto una única actitud: el incumplimiento como respuesta, el desacato como conducta y la deslealtad institucional como bandera. Y todo ello para avalar una pretendida afirmación nacional basada en el victimismo inmoral del falso agravio´. Ningún otro incumplimiento, estatal o de cualquier otra Comunidad Autónoma es enunciado como justificativo de la necesidad de esta reforma.</w:t>
      </w:r>
    </w:p>
    <w:p w:rsidR="00A90898" w:rsidRDefault="00A90898" w:rsidP="00A90898">
      <w:pPr>
        <w:pStyle w:val="TextoNormal"/>
      </w:pPr>
    </w:p>
    <w:p w:rsidR="00A90898" w:rsidRDefault="00A90898" w:rsidP="00A90898">
      <w:pPr>
        <w:pStyle w:val="TextoNormal"/>
      </w:pPr>
      <w:r>
        <w:t>Insisto en que un contexto tan marcadamente significado y vinculado con Catalunya como el que demuestra la norma impugnada hubiera merecido, y no solo por su prioridad temporal, bien no posponer el análisis del recurso de inconstitucionalidad planteado por la Generalitat de Catalunya contra la Ley Orgánica 15/2015, de 16 de octubre; bien, en su defecto, no eludir la debida contextualización de la normativa impugnada.”</w:t>
      </w:r>
    </w:p>
    <w:p w:rsidR="00A90898" w:rsidRDefault="00A90898" w:rsidP="00A90898">
      <w:pPr>
        <w:pStyle w:val="TextoNormal"/>
      </w:pPr>
    </w:p>
    <w:p w:rsidR="00A90898" w:rsidRDefault="00A90898" w:rsidP="00A90898">
      <w:pPr>
        <w:pStyle w:val="TextoNormal"/>
      </w:pPr>
      <w:r>
        <w:t>III. Sobre el carácter materialmente sancionador de la suspensión de funciones de las autoridades o empleados públicos en el art. 92.4.b) LOTC.</w:t>
      </w:r>
    </w:p>
    <w:p w:rsidR="00A90898" w:rsidRDefault="00A90898" w:rsidP="00A90898">
      <w:pPr>
        <w:pStyle w:val="TextoNormal"/>
      </w:pPr>
    </w:p>
    <w:p w:rsidR="00A90898" w:rsidRDefault="00A90898" w:rsidP="00A90898">
      <w:pPr>
        <w:pStyle w:val="TextoNormal"/>
      </w:pPr>
      <w:r>
        <w:t xml:space="preserve">5. En el Voto particular que formulé a la STC 185/2016 expuse ampliamente las razones por las que consideraba que la potestad otorgada a este Tribunal Constitucional para suspender de funciones a las autoridades o empleados públicos en el art. 92.4 b) LOTC debía haber sido declarado inconstitucional en atención a su carácter materialmente sancionador. </w:t>
      </w:r>
      <w:r>
        <w:lastRenderedPageBreak/>
        <w:t>Las razones entonces expuestas son de mimética aplicación a este recurso por lo que procedo a reproducir los apartados 12 a 15 del citado Voto particular en que se afirmaba lo siguiente:</w:t>
      </w:r>
    </w:p>
    <w:p w:rsidR="00A90898" w:rsidRDefault="00A90898" w:rsidP="00A90898">
      <w:pPr>
        <w:pStyle w:val="TextoNormal"/>
      </w:pPr>
    </w:p>
    <w:p w:rsidR="00A90898" w:rsidRDefault="00A90898" w:rsidP="00A90898">
      <w:pPr>
        <w:pStyle w:val="TextoNormal"/>
      </w:pPr>
      <w:r>
        <w:t>“12. El Gobierno del País Vasco ha controvertido en su recurso el carácter materialmente sancionador de la medida de suspensión de funciones de autoridades o empleados públicos introducida en el art. 92.4 b) LOTC por la norma impugnada. La opinión mayoritaria en la que se sustenta la sentencia ha rechazado este planteamiento incidiendo en que esta medida tiene como exclusiva finalidad remover el obstáculo que la manifiesta voluntad incumplidora de la autoridad o empleado público supone para la efectividad de dicha resolución y está limitada, por ello, al tiempo preciso para asegurar la observancia de los pronunciamientos del Tribunal.</w:t>
      </w:r>
    </w:p>
    <w:p w:rsidR="00A90898" w:rsidRDefault="00A90898" w:rsidP="00A90898">
      <w:pPr>
        <w:pStyle w:val="TextoNormal"/>
      </w:pPr>
    </w:p>
    <w:p w:rsidR="00A90898" w:rsidRDefault="00A90898" w:rsidP="00A90898">
      <w:pPr>
        <w:pStyle w:val="TextoNormal"/>
      </w:pPr>
      <w:r>
        <w:t>El Voto particular formulado por la Vicepresidenta de este Tribunal ha desarrollado una completa argumentación sobre este particular en que, exponiendo tanto la doctrina del Tribunal Europeo de Derechos Humanos y Tribunal de Justicia de la Unión Europea sobre las llamadas reglas Engel, como los criterios establecidos en la jurisprudencia constitucional sobre esta materia, se fundamenta con singular solidez el carácter materialmente sancionador de esta concreta medida. Me remito a esa exposición, que hago mía. No obstante, creo preciso incidir en algunos argumentos adicionales.</w:t>
      </w:r>
    </w:p>
    <w:p w:rsidR="00A90898" w:rsidRDefault="00A90898" w:rsidP="00A90898">
      <w:pPr>
        <w:pStyle w:val="TextoNormal"/>
      </w:pPr>
    </w:p>
    <w:p w:rsidR="00A90898" w:rsidRDefault="00A90898" w:rsidP="00A90898">
      <w:pPr>
        <w:pStyle w:val="TextoNormal"/>
      </w:pPr>
      <w:r>
        <w:t>13. El art. 92.4 b) LOTC establece que el Tribunal Constitucional, una vez advertido el incumplimiento total o parcial de su resolución podrá adoptar, entre otras, la decisión de ‘acordar la suspensión en sus funciones de las autoridades o empleados públicos de la Administración responsable del incumplimiento, durante el tiempo preciso para asegurar la observancia de los pronunciamientos del Tribunal’. En defecto de un desarrollo legislativo más específico en cuanto a los concretos presupuestos habilitantes y precisos límites subjetivos, objetivos y temporales en que podría adaptarse la medida de suspensión considero que no pueden enervarse los riesgos ciertos de considerar que materialmente se está ante una medida de naturaleza sancionadora y que, como tal, podría ser utilizada por este Tribunal Constitucional en caso de incumplimiento de sus resoluciones por parte de una autoridad o empleado público.</w:t>
      </w:r>
    </w:p>
    <w:p w:rsidR="00A90898" w:rsidRDefault="00A90898" w:rsidP="00A90898">
      <w:pPr>
        <w:pStyle w:val="TextoNormal"/>
      </w:pPr>
    </w:p>
    <w:p w:rsidR="00A90898" w:rsidRDefault="00A90898" w:rsidP="00A90898">
      <w:pPr>
        <w:pStyle w:val="TextoNormal"/>
      </w:pPr>
      <w:r>
        <w:t>Una primera idea en la que sustento esta opinión es la propia génesis de la norma. Los debates parlamentarios no despejan las dudas sobre la intención de dotar de una naturaleza materialmente sancionadora a estas medidas, sino que lo reafirman. De nuevo transcribo una parte de la intervención del portavoz del grupo parlamentario proponente de la iniciativa que, sin modificación alguna, ha dado lugar a la normativa ahora analizada para sustentar esta afirmación: ‘[d]e este modo, cuando el Tribunal Constitucional, señorías, solicita en un fallo una acción positiva por parte de un poder público y este responde con una consciente inactividad, se produce el incumplimiento y el desacato por su explícita negativa a dar cumplimiento a lo dispuesto, ya sea a través de la omisión dolosa de lo exigido o simplemente rehusando proceder a la derogación de la ley o actos autonómicos reprobados por el Tribunal Constitucional’. Expresiones como desacato u omisión dolosa son evocadoras de conductas antijurídicas e inciden directamente en la idea de lo penalmente ilícito. Si este es el marco en que los autores de la iniciativa parlamentaria han propuesto esta nueva normativa, creo que están justificadas todas las cautelas respecto de la finalidad sancionatoria que en su génesis aparentan tener estas medidas.</w:t>
      </w:r>
    </w:p>
    <w:p w:rsidR="00A90898" w:rsidRDefault="00A90898" w:rsidP="00A90898">
      <w:pPr>
        <w:pStyle w:val="TextoNormal"/>
      </w:pPr>
    </w:p>
    <w:p w:rsidR="00A90898" w:rsidRDefault="00A90898" w:rsidP="00A90898">
      <w:pPr>
        <w:pStyle w:val="TextoNormal"/>
      </w:pPr>
      <w:r>
        <w:t>También es de destacar que si la pretensión era hacer una traslación a la función jurisdiccional de este Tribunal de las medidas de ejecución previstas en la normativa procesal, a cuyos efectos se ha modificado también el art. 80 LOTC para establecer que en materia de ejecución de resoluciones se aplicará con carácter supletorio los preceptos de la Ley de la jurisdicción contencioso-administrativa, la posibilidad de la suspensión de funciones no se establece como una posible medida de ejecución en dicha normativa. Por el contrario, cuando se encuentra este tipo de medidas suspensivas en el ordenamiento jurídico se hace en el marco de regulaciones disciplinarias administrativas y, desde luego, como sanción propiamente penal ante la comisión de delitos por parte de autoridades y empleados públicos. Este es otro elemento difícil de soslayar cuando se indaga sobre el eventual carácter sancionador de la medida.</w:t>
      </w:r>
    </w:p>
    <w:p w:rsidR="00A90898" w:rsidRDefault="00A90898" w:rsidP="00A90898">
      <w:pPr>
        <w:pStyle w:val="TextoNormal"/>
      </w:pPr>
    </w:p>
    <w:p w:rsidR="00A90898" w:rsidRDefault="00A90898" w:rsidP="00A90898">
      <w:pPr>
        <w:pStyle w:val="TextoNormal"/>
      </w:pPr>
      <w:r>
        <w:t>14. En segundo lugar, a pesar del esfuerzo de la opinión mayoritaria en la que se sustenta la sentencia en delimitar esta medida para minimizar los riesgos de que se identifique con una consecuencia materialmente sancionadora, no solo no se ha conseguido, sino que se ha introducido una más que preocupante distorsión en su aplicación al intentar clarificar sus perfiles jurídicos, que pone en evidencia una funcionalidad puramente represiva.</w:t>
      </w:r>
    </w:p>
    <w:p w:rsidR="00A90898" w:rsidRDefault="00A90898" w:rsidP="00A90898">
      <w:pPr>
        <w:pStyle w:val="TextoNormal"/>
      </w:pPr>
    </w:p>
    <w:p w:rsidR="00A90898" w:rsidRDefault="00A90898" w:rsidP="00A90898">
      <w:pPr>
        <w:pStyle w:val="TextoNormal"/>
      </w:pPr>
      <w:r>
        <w:t>En efecto, la opinión mayoritaria en la que se sustenta la sentencia afirma que ‘es una medida que habrá de levantarse tan pronto como cese la voluntad incumplidora de la autoridad o empleado público responsable del cumplimiento de la resolución’. La referencia explícita al cese de la voluntad incumplidora de la autoridad o empleado público como uno de los criterios para el levantamiento de la medida pone de manifiesto que para esta opinión mayoritaria la finalidad de esta medida de suspensión puede no ser exclusivamente la de remover un obstáculo para la ejecución de la resolución incumplida a través de la suspensión puntual de la autoridad o empleado público incumplidor mediante su sustitución por otro que posibilite la ejecución de la resolución constitucional, sino conseguir doblegar la voluntad incumplidora. Ese objetivo, nuevamente, redunda en aspectos que la alejan de una pura medida de ejecución y la acercan a medidas sancionatorias en que lo relevante no es garantizar la ejecución de la resolución incumplida, sino la de adoptar una consecuencia jurídica en represión por una conducta renuente al cumplimiento de la resolución. Además, vendría a permitir, profundizando también en su carácter represivo, que esa medida de suspensión se torne en temporalmente ilimitada al vincularse no a que se haya ejecutado definitivamente la resolución incumplida, sino a la necesidad de que la autoridad o empelado público cese en su voluntad incumplidora. En última instancia, la opinión mayoritaria en la que se sustenta la sentencia viene a posibilitar que esta medida se adopte como un mecanismo para doblegar la voluntad de la autoridad o empleado público incumplidor mediante la suspensión en sus funciones.</w:t>
      </w:r>
    </w:p>
    <w:p w:rsidR="00A90898" w:rsidRDefault="00A90898" w:rsidP="00A90898">
      <w:pPr>
        <w:pStyle w:val="TextoNormal"/>
      </w:pPr>
    </w:p>
    <w:p w:rsidR="00A90898" w:rsidRDefault="00A90898" w:rsidP="00A90898">
      <w:pPr>
        <w:pStyle w:val="TextoNormal"/>
      </w:pPr>
      <w:r>
        <w:t xml:space="preserve">15. Más allá de las anteriores reflexiones, considero que una regulación legislativa más precisa en sus contornos o, al menos, una posición de este Tribunal más exigente y contundente en cuanto al establecimiento de límites claros para su aplicación podrían haber posibilitado despejar las dudas sobre su verdadera naturaleza como una medida de ejecución. Esta opción hubiera sido posible de haberse condicionado la aplicabilidad de esta medida, al menos, a las exigencias de que (i) el incumplimiento recayera en una obligación de hacer; (ii) que su exclusiva finalidad fuera la de posibilitar que un sustituto pudiera adoptar las decisiones necesarias para la ejecución de la resolución constitucional que estuviera siendo </w:t>
      </w:r>
      <w:r>
        <w:lastRenderedPageBreak/>
        <w:t>incumplida; y, en conexión con ello, (iii) que la suspensión lo fuera exclusivamente en relación con esa concreta función para la que deba ser sustituido; y (iv) por el tiempo estrictamente preciso para que el sustituto pudiera desarrollar esa labor.</w:t>
      </w:r>
    </w:p>
    <w:p w:rsidR="00A90898" w:rsidRDefault="00A90898" w:rsidP="00A90898">
      <w:pPr>
        <w:pStyle w:val="TextoNormal"/>
      </w:pPr>
    </w:p>
    <w:p w:rsidR="00A90898" w:rsidRDefault="00A90898" w:rsidP="00A90898">
      <w:pPr>
        <w:pStyle w:val="TextoNormal"/>
      </w:pPr>
      <w:r>
        <w:t>No obstante, incluso con esas limitaciones creo que esta medida difícilmente puede desprenderse de su halo sancionatorio. El recurso a la suspensión de funciones como medida de ejecución resulta desproporcionado. Aun limitando esta medida a las obligaciones de hacer, la capacidad de ejecución de este Tribunal frente a su incumplimiento podría quedar siempre garantizada con la posibilidad de dictar una resolución jurisdiccional con carácter ejecutivo como ya ocurre en la jurisdicción ordinaria en relación con el incumplimiento de alcaldes de la obligación positiva de convocar los Plenos del Ayuntamiento para debatir sobre la moción de censura planteada contra ellos. Este antecedente es demostrativo de que una medida como la controvertida es innecesaria y desproporcionada en cuanto a su mera función de medida de ejecución y que, por tanto, siempre hace emerger de manera permanente un componente sancionador subyacente del que es difícil que se desprenda.”</w:t>
      </w:r>
    </w:p>
    <w:p w:rsidR="00A90898" w:rsidRDefault="00A90898" w:rsidP="00A90898">
      <w:pPr>
        <w:pStyle w:val="TextoNormal"/>
      </w:pPr>
    </w:p>
    <w:p w:rsidR="00A90898" w:rsidRDefault="00A90898" w:rsidP="00A90898">
      <w:pPr>
        <w:pStyle w:val="TextoNormal"/>
      </w:pPr>
      <w:r>
        <w:t>IV. Sobre la alteración del modelo constitucional de control del art. 155 CE por la regulación de la ejecución sustitutoria establecida en el art. 92.4 c) LOTC.</w:t>
      </w:r>
    </w:p>
    <w:p w:rsidR="00A90898" w:rsidRDefault="00A90898" w:rsidP="00A90898">
      <w:pPr>
        <w:pStyle w:val="TextoNormal"/>
      </w:pPr>
    </w:p>
    <w:p w:rsidR="00A90898" w:rsidRDefault="00A90898" w:rsidP="00A90898">
      <w:pPr>
        <w:pStyle w:val="TextoNormal"/>
      </w:pPr>
      <w:r>
        <w:t>6. En el Voto particular que formulé a la STC 185/2016 expuse ampliamente las razones por las que consideraba que la potestad otorgada a este Tribunal Constitucional para requerir la colaboración del Gobierno de la Nación para la ejecución sustitutoria de sus resoluciones prevista en el art. 92.4 c) LOTC debía haber sido declarado inconstitucional. Las razones entonces expuestas son de mimética aplicación a este recurso por lo que procedo a reproducir los apartados 16 a 20 del citado Voto particular, en que se afirmaba lo siguiente:</w:t>
      </w:r>
    </w:p>
    <w:p w:rsidR="00A90898" w:rsidRDefault="00A90898" w:rsidP="00A90898">
      <w:pPr>
        <w:pStyle w:val="TextoNormal"/>
      </w:pPr>
    </w:p>
    <w:p w:rsidR="00A90898" w:rsidRDefault="00A90898" w:rsidP="00A90898">
      <w:pPr>
        <w:pStyle w:val="TextoNormal"/>
      </w:pPr>
      <w:r>
        <w:t>“16. El Gobierno del País Vasco también ha controvertido en su recurso la regulación de la ejecución sustitutoria establecida en el art. 92.4 c) CE al considerar que implica una alteración del modelo constitucional de control del cumplimiento por las Comunidades Autónomas de las obligaciones que les impone la Constitución u otras leyes previsto en el art. 155 CE. La opinión mayoritaria en la que se sustenta la sentencia ha rechazado ese planteamiento incidiendo en que el título legitimador de la intervención estatal del art. 155 CE y la del mecanismo de ejecución sustitutoria prevista en la Ley Orgánica del Tribunal Constitucional son diferentes.</w:t>
      </w:r>
    </w:p>
    <w:p w:rsidR="00A90898" w:rsidRDefault="00A90898" w:rsidP="00A90898">
      <w:pPr>
        <w:pStyle w:val="TextoNormal"/>
      </w:pPr>
    </w:p>
    <w:p w:rsidR="00A90898" w:rsidRDefault="00A90898" w:rsidP="00A90898">
      <w:pPr>
        <w:pStyle w:val="TextoNormal"/>
      </w:pPr>
      <w:r>
        <w:t>El Voto particular formulado por el Magistrado don Fernando Valdés Dal-Ré ha desarrollado una prolija argumentación sobre esta cuestión destacando no solo el solapamiento de las medidas de ejecución sustitutorias con las medidas previstas en el art. 155 CE, sino la práctica inaplicación en que queda el art. 155 CE tras la nueva regulación del art. 92.4 c) LOTC. Me remito a esa exposición, que hago mía. No obstante, creo preciso incidir en algunos argumentos adicionales.</w:t>
      </w:r>
    </w:p>
    <w:p w:rsidR="00A90898" w:rsidRDefault="00A90898" w:rsidP="00A90898">
      <w:pPr>
        <w:pStyle w:val="TextoNormal"/>
      </w:pPr>
    </w:p>
    <w:p w:rsidR="00A90898" w:rsidRDefault="00A90898" w:rsidP="00A90898">
      <w:pPr>
        <w:pStyle w:val="TextoNormal"/>
      </w:pPr>
      <w:r>
        <w:t xml:space="preserve">17. El art. 92.4 c) LOTC establece que el Tribunal Constitucional, una vez advertido el incumplimiento total o parcial de su resolución, podrá adoptar, entre otras, la decisión de la ejecución sustitutoria de sus resoluciones, pudiendo requerir para ello `la colaboración del Gobierno de la Nación a fin de que, en los términos fijados por el Tribunal, adopte las medidas necesarias para asegurar el cumplimiento de las resoluciones´. Por su parte, el art. 155.1 CE establece que, ‘[s]i una Comunidad Autónoma no cumpliere las obligaciones que </w:t>
      </w:r>
      <w:r>
        <w:lastRenderedPageBreak/>
        <w:t>la Constitución u otras leyes le impongan … el Gobierno, previo requerimiento al Presidente de la Comunidad Autónoma y, en el caso de no ser atendido, con la aprobación por mayoría absoluta del Senado, podrá adoptar las medidas necesarias para obligar a aquélla al cumplimiento forzoso de dichas obligaciones’.</w:t>
      </w:r>
    </w:p>
    <w:p w:rsidR="00A90898" w:rsidRDefault="00A90898" w:rsidP="00A90898">
      <w:pPr>
        <w:pStyle w:val="TextoNormal"/>
      </w:pPr>
    </w:p>
    <w:p w:rsidR="00A90898" w:rsidRDefault="00A90898" w:rsidP="00A90898">
      <w:pPr>
        <w:pStyle w:val="TextoNormal"/>
      </w:pPr>
      <w:r>
        <w:t>Es difícilmente imaginable la posibilidad de articular el mecanismo del art. 155 CE sin que haya una verificación del incumplimiento de la Constitución por parte de la Comunidad Autónoma mediante resoluciones del Tribunal Constitucional que así lo pongan de manifiesto mediante la suspensión o la anulación de los actos autonómicos (entre otras razones, porque el Gobierno dispone de la facultad de provocar la suspensión automática por el Tribunal de las disposiciones autonómicas impugnadas). Partiendo de esa base, ambos preceptos diseñan modelos de intervención frente al incumplimiento de las obligaciones constitucionales por parte de una Comunidad Autónoma divergentes. Cualquiera de ellos resulta asumible desde una perspectiva sustantiva. Pero esta no es la cuestión. Lo controvertido es si el modelo desarrollado por el legislador orgánico en el marco de la Ley Orgánica del Tribunal Constitucional implica una alteración tal del modelo diseñado por la Constitución que lo haga imposible de reconducir e incompatible con este. En ese caso, se pondría de manifiesto que el legislador orgánico se ha colocado en el mismo plano del Poder constituyente realizando actos propios de este al mutar la voluntad y racionalidad del Poder constituyente objetivadas en la Constitución en la regulación específica de este tipo de conflictos.</w:t>
      </w:r>
    </w:p>
    <w:p w:rsidR="00A90898" w:rsidRDefault="00A90898" w:rsidP="00A90898">
      <w:pPr>
        <w:pStyle w:val="TextoNormal"/>
      </w:pPr>
    </w:p>
    <w:p w:rsidR="00A90898" w:rsidRDefault="00A90898" w:rsidP="00A90898">
      <w:pPr>
        <w:pStyle w:val="TextoNormal"/>
      </w:pPr>
      <w:r>
        <w:t xml:space="preserve">18. El modelo establecido en el art. 92.4 c) LOTC resulta incompatible con el diseñado por el Poder constituyente. La principal divergencia entre ambos, que es en la que me quiero concentrar en este voto particular, es que el modelo del art. 155 CE toma como base la idea de que el conflicto ha de ser resuelto, </w:t>
      </w:r>
      <w:r w:rsidRPr="00A90898">
        <w:rPr>
          <w:i/>
        </w:rPr>
        <w:t>prima facie</w:t>
      </w:r>
      <w:r>
        <w:t>, por instancias políticas; y, por el contrario, el del legislador orgánico en la Ley Orgánica del Tribunal Constitucional está presidido por la idea de la jurisdiccionalización de la reacción estatal por medio del Tribunal Constitucional.</w:t>
      </w:r>
    </w:p>
    <w:p w:rsidR="00A90898" w:rsidRDefault="00A90898" w:rsidP="00A90898">
      <w:pPr>
        <w:pStyle w:val="TextoNormal"/>
      </w:pPr>
    </w:p>
    <w:p w:rsidR="00A90898" w:rsidRDefault="00A90898" w:rsidP="00A90898">
      <w:pPr>
        <w:pStyle w:val="TextoNormal"/>
      </w:pPr>
      <w:r>
        <w:t>Al Poder constituyente corresponde establecer los poderes constituidos, sus funciones, las garantías para su desarrollo y también decidir sobre los mecanismos para la resolución de los eventuales conflictos que pudieran producirse entre ellos, y especialmente entre los órganos constitucionales. En el plano de la organización territorial del Estado, el Poder constituyente decidió objetivar que el eventual incumplimiento de las obligaciones constitucionales por parte de una Comunidad Autónoma debía resolverse, quizá en atención a la propia naturaleza esencialmente política del conflicto, a través de mecanismos políticos y no jurisdiccionales. De ese modo, el art. 155 CE da todo el protagonismo a las instituciones políticas implicadas, dejando no solo la iniciativa sino incluso la decisión última respecto de la conveniencia de adoptar alguna medida a esas instituciones políticas.</w:t>
      </w:r>
    </w:p>
    <w:p w:rsidR="00A90898" w:rsidRDefault="00A90898" w:rsidP="00A90898">
      <w:pPr>
        <w:pStyle w:val="TextoNormal"/>
      </w:pPr>
    </w:p>
    <w:p w:rsidR="00A90898" w:rsidRDefault="00A90898" w:rsidP="00A90898">
      <w:pPr>
        <w:pStyle w:val="TextoNormal"/>
      </w:pPr>
      <w:r>
        <w:t xml:space="preserve">En el diseño constitucional, el Gobierno del Estado, como órgano constitucional, es quien, en primer lugar y con carácter prioritario, se instituye como garante del cumplimiento por parte de las Comunidades Autónomas de sus obligaciones constitucionales —incluyendo, desde luego, las que se pongan de manifiesto con ocasión del incumplimiento de resoluciones del Tribunal Constitucional, que también tiene, desde este punto de vista, el carácter de órgano constitucional—. Y en ese mismo diseño constitucional se establecen los mecanismos a través de los cuales el Gobierno del Estado debe desarrollar esa función de </w:t>
      </w:r>
      <w:r>
        <w:lastRenderedPageBreak/>
        <w:t>garante, señalando que es él a quien corresponde tomar la iniciativa escalonando su respuesta mediante un previo requerimiento al Presidente de la Comunidad Autónoma incumplidora y, en caso de desatención, recabando la autorización de la mayoría absoluta del Senado, como Cámara de representación territorial del Estado, para la adopción de las medidas de ejecución sustitutivas que garanticen el cumplimiento forzoso de las obligaciones constitucionales por la Comunidad Autónoma incumplidora.</w:t>
      </w:r>
    </w:p>
    <w:p w:rsidR="00A90898" w:rsidRDefault="00A90898" w:rsidP="00A90898">
      <w:pPr>
        <w:pStyle w:val="TextoNormal"/>
      </w:pPr>
    </w:p>
    <w:p w:rsidR="00A90898" w:rsidRDefault="00A90898" w:rsidP="00A90898">
      <w:pPr>
        <w:pStyle w:val="TextoNormal"/>
      </w:pPr>
      <w:r>
        <w:t>Solo en una segunda fase el Tribunal Constitucional, en su caso, podría someter a control de constitucionalidad dichas medidas a través de los procedimientos jurisdiccionales previstos en el art. 161 CE y en la Ley Orgánica del Tribunal Constitucional. Esto es, en el modelo constitucional se respeta la posibilidad de que el Tribunal Constitucional mantenga la posición arbitral en los conflictos entre el Estado y las Comunidades Autónomas, incluyendo los supuestos de adopción de las medidas del art. 155 CE, permitiendo su participación en un segundo plano de modo que no se comprometa su posición constitucional.</w:t>
      </w:r>
    </w:p>
    <w:p w:rsidR="00A90898" w:rsidRDefault="00A90898" w:rsidP="00A90898">
      <w:pPr>
        <w:pStyle w:val="TextoNormal"/>
      </w:pPr>
    </w:p>
    <w:p w:rsidR="00A90898" w:rsidRDefault="00A90898" w:rsidP="00A90898">
      <w:pPr>
        <w:pStyle w:val="TextoNormal"/>
      </w:pPr>
      <w:r>
        <w:t>19. La configuración de la Ley Orgánica del Tribunal Constitucional ahora impugnada altera de manera sustancial este diseño constitucional y los equilibrios procurados por el Poder constituyente entre los distintos órganos constitucionales al enfrentar este tipo de conflictos. En primer lugar, pone en un plano de prioridad al Tribunal Constitucional, que es al que correspondería decidir sobre (i) la existencia del incumplimiento; (ii) las medidas que deben adoptarse; y (iii) requerir al Gobierno y dirigir su actuación para asegurar el debido cumplimiento de sus obligaciones constitucionales por parte de la Comunidad Autónoma incumplidora. Pero, en segundo lugar, paradójicamente, coloca también al Tribunal Constitucional en un plano de subordinación al Gobierno, habida cuenta de las posibilidades de iniciativa con que este cuenta en el marco de los procedimientos constitucionales y de sus incidentes de ejecución y de que, como ya se expuso anteriormente, son medidas que se configuran como potestades del Tribunal frente a cuyo cumplimiento no puede sustraerse ni alegar razones de oportunidad —mucho menos de carácter político— para evitar su adopción.</w:t>
      </w:r>
    </w:p>
    <w:p w:rsidR="00A90898" w:rsidRDefault="00A90898" w:rsidP="00A90898">
      <w:pPr>
        <w:pStyle w:val="TextoNormal"/>
      </w:pPr>
    </w:p>
    <w:p w:rsidR="00A90898" w:rsidRDefault="00A90898" w:rsidP="00A90898">
      <w:pPr>
        <w:pStyle w:val="TextoNormal"/>
      </w:pPr>
      <w:r>
        <w:t>Esta reubicación del protagonismo del Tribunal Constitucional en el procedimiento de resolución de este tipo de conflictos, además, lo inhabilita, al menos en esa concreta cuestión, para ejercer una posterior labor de control de constitucionalidad sobre la forma en que se hubieran desarrollado las medidas de ejecución sustitutorias. De ese modo se altera también la función de garante que la Constitución reserva para la jurisdicción de este Tribunal Constitucional y, en suma, desdibuja gravemente su papel como órgano constitucional de garantía.</w:t>
      </w:r>
    </w:p>
    <w:p w:rsidR="00A90898" w:rsidRDefault="00A90898" w:rsidP="00A90898">
      <w:pPr>
        <w:pStyle w:val="TextoNormal"/>
      </w:pPr>
    </w:p>
    <w:p w:rsidR="00A90898" w:rsidRDefault="00A90898" w:rsidP="00A90898">
      <w:pPr>
        <w:pStyle w:val="TextoNormal"/>
      </w:pPr>
      <w:r>
        <w:t>20. Un panorama como el expuesto debería haber llevado a la conclusión de que la mutación que en el diseño originario constitucional supone la norma controvertida era determinante de su inconstitucionalidad no solo por otorgar al Tribunal Constitucional funciones que exceden de las que constitucionalmente tiene reconocidas, sino porque, además, desapodera de ellas a otro poder constituido como es el Gobierno, que sí las tiene constitucionalmente reconocidas.</w:t>
      </w:r>
    </w:p>
    <w:p w:rsidR="00A90898" w:rsidRDefault="00A90898" w:rsidP="00A90898">
      <w:pPr>
        <w:pStyle w:val="TextoNormal"/>
      </w:pPr>
    </w:p>
    <w:p w:rsidR="00A90898" w:rsidRDefault="00A90898" w:rsidP="00A90898">
      <w:pPr>
        <w:pStyle w:val="TextoNormal"/>
      </w:pPr>
      <w:r>
        <w:t xml:space="preserve">La premura con la que debe redactarse este voto me impide razonar, como hubiera sido mi deseo, que un examen de la situación en el Derecho comparado pone de relieve cómo para la ejecución de las decisiones de los tribunales constitucionales los poderes legislativos </w:t>
      </w:r>
      <w:r>
        <w:lastRenderedPageBreak/>
        <w:t>tienen especial cuidado en respetar el papel constitucional de los diversos órganos constitucionales y el equilibrio entre ellos, responsabilizando, por ejemplo, en algunos casos, al Presidente de la República de la ejecución de las sentencias de aquellos.</w:t>
      </w:r>
    </w:p>
    <w:p w:rsidR="00A90898" w:rsidRDefault="00A90898" w:rsidP="00A90898">
      <w:pPr>
        <w:pStyle w:val="TextoNormal"/>
      </w:pPr>
    </w:p>
    <w:p w:rsidR="00A90898" w:rsidRDefault="00A90898" w:rsidP="00A90898">
      <w:pPr>
        <w:pStyle w:val="TextoNormal"/>
      </w:pPr>
      <w:r>
        <w:t xml:space="preserve">Pero sí me parece oportuno evocar que el origen de la jurisdicción de control de constitucionalidad de las leyes, en una sentencia valiente y legendaria, pronunciada en condiciones difíciles para la Corte, está vinculada al rechazo de la constitucionalidad de ciertas medidas de ejecución que la legislatura pretendía atribuir mediante ley a la Corte Suprema de los Estados Unidos sin estar previstas en la Constitución. Me refiero, como habrán supuesto los especialistas, a la Sentencia del Tribunal Supremo de Estados Unidos </w:t>
      </w:r>
      <w:r w:rsidRPr="00A90898">
        <w:rPr>
          <w:i/>
        </w:rPr>
        <w:t>Marbury v Madison (1803) 5 US (1 Cranch</w:t>
      </w:r>
      <w:r>
        <w:t xml:space="preserve">) 137. En esta Sentencia, si bien es conocida por haber instituido la posibilidad del control de constitucionalidad de las leyes, se declaró inconstitucional la previsión legal de una potestad de ejecución otorgada al Tribunal Supremo de Estados Unidos al margen de las competencias originarias reconocidas a dicho Tribunal por la Constitución. En la citada Sentencia </w:t>
      </w:r>
      <w:r w:rsidRPr="00A90898">
        <w:rPr>
          <w:i/>
        </w:rPr>
        <w:t>Marbury v Madison</w:t>
      </w:r>
      <w:r>
        <w:t xml:space="preserve"> la situación planteada era que el Presidente Adams, en los últimos días de su Administración, propuso el nombramiento de Marbury como Juez de Paz del Distrito de Columbia, siendo confirmado por el Senado. El nombramiento no llegó a ser notificado mediante la expedición de la necesaria credencial del Secretario de Estado. Ya bajo la presidencia de Jefferson, Marbury solicitó al nuevo Secretario de Estado Madison que entregara el nombramiento, a lo que la nueva Administración era renuente por considerarlo ilegal. Ante su negativa, Marbury recurrió al Tribunal Supremo reclamando que ordenase al Secretario de Estado Madison expedir su nombramiento mediante un mandamiento u orden de hacer (</w:t>
      </w:r>
      <w:r w:rsidRPr="00A90898">
        <w:rPr>
          <w:i/>
        </w:rPr>
        <w:t>writ of mandamus</w:t>
      </w:r>
      <w:r>
        <w:t xml:space="preserve">). El Tribunal Supremo finalmente rechazó esta solicitud al considerar que si bien la </w:t>
      </w:r>
      <w:r w:rsidRPr="00A90898">
        <w:rPr>
          <w:i/>
        </w:rPr>
        <w:t>Judiciary Act</w:t>
      </w:r>
      <w:r>
        <w:t xml:space="preserve"> de 1789 autorizaba al Tribunal Supremo de los Estados Unidos a dirigir mandamientos, en los casos autorizados por los principios y usos del Derecho, a todos los Tribunales o autoridades, dicha ley era inconstitucional. Esa declaración de inconstitucionalidad se razonó afirmando que (i) entre las competencias originarias atribuidas por la Constitución al Tribunal Supremo solo aparecían las referidas a embajadores, otros ministros públicos y cónsules, y a aquellos en los cuáles un Estado sea parte, teniendo para el resto de supuestos una jurisdicción de apelación; (ii) la posibilidad de emitir un mandamiento como el solicitado por Marbury era propio de una jurisdicción originaria; por lo que (iii) la competencia para dictar mandamientos frente a los funcionarios públicos que la ley jurisdiccional otorga al Tribunal Supremo, al no estar prevista en la Constitución, era inconstitucional.</w:t>
      </w:r>
    </w:p>
    <w:p w:rsidR="00A90898" w:rsidRDefault="00A90898" w:rsidP="00A90898">
      <w:pPr>
        <w:pStyle w:val="TextoNormal"/>
      </w:pPr>
    </w:p>
    <w:p w:rsidR="00A90898" w:rsidRDefault="00A90898" w:rsidP="00A90898">
      <w:pPr>
        <w:pStyle w:val="TextoNormal"/>
      </w:pPr>
      <w:r>
        <w:t>En el presente caso, a mi juicio, se ha producido un efecto análogo de exceso del legislador orgánico en su capacidad de configurar legalmente las competencias del Tribunal Constitucional al otorgarle unas potestades que el Poder constituyente tenía reservadas a otro órgano constitucional como es el Gobierno.”</w:t>
      </w:r>
    </w:p>
    <w:p w:rsidR="00A90898" w:rsidRDefault="00A90898" w:rsidP="00A90898">
      <w:pPr>
        <w:pStyle w:val="TextoNormal"/>
      </w:pPr>
    </w:p>
    <w:p w:rsidR="00A90898" w:rsidRDefault="00A90898" w:rsidP="00A90898">
      <w:pPr>
        <w:pStyle w:val="TextoNormal"/>
      </w:pPr>
      <w:r>
        <w:t>Madrid, a quince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5" w:name="SENTENCIA_2016_216"/>
      <w:r>
        <w:lastRenderedPageBreak/>
        <w:t>SENTENCIA 216/2016, de 15 de diciembre de 2016</w:t>
      </w:r>
    </w:p>
    <w:bookmarkEnd w:id="95"/>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ECLI:ES:TC:2016:216</w:t>
      </w:r>
    </w:p>
    <w:p w:rsidR="00A90898" w:rsidRDefault="00A90898" w:rsidP="00A90898">
      <w:pPr>
        <w:pStyle w:val="TextoNormalCentrado"/>
      </w:pPr>
    </w:p>
    <w:p w:rsidR="00A90898" w:rsidRDefault="00A90898" w:rsidP="00A90898">
      <w:pPr>
        <w:pStyle w:val="SntesisDescriptiva"/>
      </w:pPr>
      <w:r>
        <w:t>Conflicto positivo de competencia 2740-2016. Planteado por el Consejo de Gobierno de Castilla-La Mancha en relación con diversos preceptos del Real Decreto 1/2016, de 8 de enero, por el que se aprueba la revisión de los planes hidrológicos de varias demarcaciones hidrográficas, entre ellas la del Júcar.</w:t>
      </w:r>
    </w:p>
    <w:p w:rsidR="00A90898" w:rsidRDefault="00A90898" w:rsidP="00A90898">
      <w:pPr>
        <w:pStyle w:val="SntesisDescriptiva"/>
      </w:pPr>
    </w:p>
    <w:p w:rsidR="00A90898" w:rsidRDefault="00A90898" w:rsidP="00A90898">
      <w:pPr>
        <w:pStyle w:val="SntesisAnaltica"/>
      </w:pPr>
      <w:r>
        <w:t>Competencias en materia de aguas: inadmisión del conflicto al no plantear una cuestión relativa al orden constitucional de competencias (STC 44/2007).</w:t>
      </w:r>
    </w:p>
    <w:p w:rsidR="00A90898" w:rsidRDefault="00A90898" w:rsidP="00A90898">
      <w:pPr>
        <w:pStyle w:val="SntesisAnaltica"/>
      </w:pPr>
    </w:p>
    <w:p w:rsidR="00A90898" w:rsidRDefault="00A90898" w:rsidP="00A90898">
      <w:pPr>
        <w:pStyle w:val="Extracto"/>
      </w:pPr>
      <w:r>
        <w:t>1.</w:t>
      </w:r>
      <w:r>
        <w:tab/>
        <w:t>No resulta indispensable que el ente que plantea el conflicto recabe para sí la competencia ejercida por otro pero sí que la actuación del otro afecte a su propio ámbito de autonomía condicionando o configurando de forma que  juzga inadecuadas las competencias que en virtud de esa autonomía ostenta (SSTC 11/1984, 104/1988) [FJ 4].</w:t>
      </w:r>
    </w:p>
    <w:p w:rsidR="00A90898" w:rsidRDefault="00A90898" w:rsidP="00A90898">
      <w:pPr>
        <w:pStyle w:val="Extracto"/>
      </w:pPr>
    </w:p>
    <w:p w:rsidR="00A90898" w:rsidRDefault="00A90898" w:rsidP="00A90898">
      <w:pPr>
        <w:pStyle w:val="Extracto"/>
      </w:pPr>
      <w:r>
        <w:t>2.</w:t>
      </w:r>
      <w:r>
        <w:tab/>
        <w:t xml:space="preserve">La falta, en el presente litigio, de una auténtica </w:t>
      </w:r>
      <w:r w:rsidRPr="00A90898">
        <w:rPr>
          <w:i/>
        </w:rPr>
        <w:t>vindicatio potestatis</w:t>
      </w:r>
      <w:r>
        <w:t>, así como de un real menoscabo de las competencias de la Comunidad Autónoma de Castilla-La Mancha, determina que no se cumplan los presupuestos necesarios para la admisión del presente conflicto positivo de competencias [FJ 7].</w:t>
      </w:r>
    </w:p>
    <w:p w:rsidR="00A90898" w:rsidRDefault="00A90898" w:rsidP="00A90898">
      <w:pPr>
        <w:pStyle w:val="Extracto"/>
      </w:pPr>
    </w:p>
    <w:p w:rsidR="00A90898" w:rsidRDefault="00A90898" w:rsidP="00A90898">
      <w:pPr>
        <w:pStyle w:val="Extracto"/>
      </w:pPr>
      <w:r>
        <w:t>3.</w:t>
      </w:r>
      <w:r>
        <w:tab/>
        <w:t>No basta para considerar concurrente la imprescindible conexión con el ámbito competencial propio, que exige el conflicto de competencia, la invocación genérica de títulos competenciales diversos, sin más relación con el objeto del litigio que la hipotética utilización del recurso natural sobre el que se versa [FJ 5].</w:t>
      </w:r>
    </w:p>
    <w:p w:rsidR="00A90898" w:rsidRDefault="00A90898" w:rsidP="00A90898">
      <w:pPr>
        <w:pStyle w:val="Extracto"/>
      </w:pPr>
    </w:p>
    <w:p w:rsidR="00A90898" w:rsidRDefault="00A90898" w:rsidP="00A90898">
      <w:pPr>
        <w:pStyle w:val="Extracto"/>
      </w:pPr>
      <w:r>
        <w:t>4.</w:t>
      </w:r>
      <w:r>
        <w:tab/>
        <w:t>No se puede aceptar como justificación suficiente del menoscabo del ámbito competencial propio, a los efectos de considerar legitimada la actora para formular el presente conflicto, la argumentación de la demanda relativa a una supuesta menor representación de Castilla-La Mancha en los órganos colegiados de la demarcación hidrográfica. La lesión se esgrime en este punto en términos genéricos y puramente especulativos [FJ 5].</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conflicto positivo de competencia núm. 2740-2016, interpuesto por el Consejo de Gobierno de Castilla-La Mancha, en relación con el anexo XI: artículos 1, 2, 3 y demás preceptos concordantes que incluyan determinaciones relativas a cuencas intracomunitarias del Real Decreto 1/2016, de 8 de enero, por el que se aprueba la revisión de los planes hidrológicos de varias demarcaciones hidrográficas, entre ellas la del Júcar.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Constitucional el 18 de mayo de 2016, el Consejo de Gobierno de la Comunidad Autónoma de Castilla-La Mancha, interpuso conflicto positivo de competencia contra el anexo XI: artículos 1, 2, 3 y demás preceptos concordantes que incluyan determinaciones relativas a cuencas intracomunitarias del Real Decreto 1/2016, de 8 de enero (Real Decreto 1/2016) por el que se aprueba la revisión de los planes hidrológicos de varias demarcaciones hidrográficas, entre ellas, la del Júcar; artículo 2.3 y disposición transitoria segunda del Real Decreto 125/2007, de 2 de febrero, de fijación del ámbito territorial de las demarcaciones hidrográficas y artículo 1.8 del Real Decreto 650/1987, de 8 de mayo, de definición de los ámbitos territoriales de los organismos de cuenca y de los planes hidrológicos.</w:t>
      </w:r>
    </w:p>
    <w:p w:rsidR="00A90898" w:rsidRDefault="00A90898" w:rsidP="00A90898">
      <w:pPr>
        <w:pStyle w:val="TextoNormal"/>
      </w:pPr>
    </w:p>
    <w:p w:rsidR="00A90898" w:rsidRDefault="00A90898" w:rsidP="00A90898">
      <w:pPr>
        <w:pStyle w:val="TextoNormal"/>
      </w:pPr>
      <w:r w:rsidRPr="00A90898">
        <w:rPr>
          <w:rStyle w:val="NumeroAFNegritaCaracter"/>
        </w:rPr>
        <w:t>2</w:t>
      </w:r>
      <w:r>
        <w:t>. El conflicto de competencia, promovido por el Consejo de Gobierno de la citada Comunidad Autónoma, se basa en los motivos que, sucintamente, se recogen a continuación:</w:t>
      </w:r>
    </w:p>
    <w:p w:rsidR="00A90898" w:rsidRDefault="00A90898" w:rsidP="00A90898">
      <w:pPr>
        <w:pStyle w:val="TextoNormal"/>
      </w:pPr>
    </w:p>
    <w:p w:rsidR="00A90898" w:rsidRDefault="00A90898" w:rsidP="00A90898">
      <w:pPr>
        <w:pStyle w:val="TextoNormal"/>
      </w:pPr>
      <w:r>
        <w:t>a) En los antecedentes del escrito promotor del conflicto, se hace constar que, el nuevo Plan hidrológico del Júcar, aprobado por el Real Decreto 1/2016, es un acto de aplicación del Real Decreto 775/2015, de 28 de agosto (Real Decreto 775/2015) que, a su vez, modificó el Real Decreto 650/1987, de 8 de mayo (Real Decreto 650/1987), que definió los ámbitos territoriales de los organismos de cuenca y de los planes hidrológicos y el Real Decreto 125/2007, de 2 de febrero (Real Decreto 125/2007), que fijó el ámbito territorial de las demarcaciones hidrográficas.</w:t>
      </w:r>
    </w:p>
    <w:p w:rsidR="00A90898" w:rsidRDefault="00A90898" w:rsidP="00A90898">
      <w:pPr>
        <w:pStyle w:val="TextoNormal"/>
      </w:pPr>
    </w:p>
    <w:p w:rsidR="00A90898" w:rsidRDefault="00A90898" w:rsidP="00A90898">
      <w:pPr>
        <w:pStyle w:val="TextoNormal"/>
      </w:pPr>
      <w:r>
        <w:t>En el Real Decreto 775/2015, concurren vicios de inconstitucionalidad patentes, ya que el territorio delimitado para la demarcación y la confederación e, indirectamente, para el plan hidrológico del Júcar, incluye, además de cuencas intercomunitarias, otras intracomunitarias por lo que, es una demarcación de las llamadas “mixtas”, proscritas por la doctrina constitucional. La provisionalidad con que intenta justificarse esta situación, que se prolonga hace más de 30 años, no puede enervar la aplicación de la Constitución cuando, el resto de Comunidades Autónomas, ya ha asumido sus competencias sobre cuencas intracomunitarias.</w:t>
      </w:r>
    </w:p>
    <w:p w:rsidR="00A90898" w:rsidRDefault="00A90898" w:rsidP="00A90898">
      <w:pPr>
        <w:pStyle w:val="TextoNormal"/>
      </w:pPr>
    </w:p>
    <w:p w:rsidR="00A90898" w:rsidRDefault="00A90898" w:rsidP="00A90898">
      <w:pPr>
        <w:pStyle w:val="TextoNormal"/>
      </w:pPr>
      <w:r>
        <w:t xml:space="preserve">Por tanto, es factible el planteamiento de un conflicto positivo de competencias frente al Real Decreto 775/2015, al publicarse el Real Decreto 1/2016, habiendo mediado a tal fin el </w:t>
      </w:r>
      <w:r>
        <w:lastRenderedPageBreak/>
        <w:t>previo requerimiento de la Junta de Comunidades de Castilla-La Mancha al Gobierno de España, que se adjunta, frente al que no se ha obtenido respuesta.</w:t>
      </w:r>
    </w:p>
    <w:p w:rsidR="00A90898" w:rsidRDefault="00A90898" w:rsidP="00A90898">
      <w:pPr>
        <w:pStyle w:val="TextoNormal"/>
      </w:pPr>
    </w:p>
    <w:p w:rsidR="00A90898" w:rsidRDefault="00A90898" w:rsidP="00A90898">
      <w:pPr>
        <w:pStyle w:val="TextoNormal"/>
      </w:pPr>
      <w:r>
        <w:t>b) A partir de lo anterior, ya en el apartado de fundamentos jurídico-constitucionales de su escrito, la promotora del conflicto razona que, en todos los preceptos objeto del mismo, se incluyen cuencas hidrográficas de carácter intracomunitario, expresamente o por remisión.</w:t>
      </w:r>
    </w:p>
    <w:p w:rsidR="00A90898" w:rsidRDefault="00A90898" w:rsidP="00A90898">
      <w:pPr>
        <w:pStyle w:val="TextoNormal"/>
      </w:pPr>
    </w:p>
    <w:p w:rsidR="00A90898" w:rsidRDefault="00A90898" w:rsidP="00A90898">
      <w:pPr>
        <w:pStyle w:val="TextoNormal"/>
      </w:pPr>
      <w:r>
        <w:t>Así, el anexo XI del Real Decreto 1/2016, se remite, en su artículo 1, al definir el ámbito territorial del plan hidrológico del Júcar, al ámbito territorial de su demarcación hidrográfica, definido en el art. 2.3 del Real Decreto 125/2007. Este precepto, modificado por el Real Decreto 775/2015, que se transcribe, reconoce que en el seno de este plan hidrológico se incluyen cuencas hidrográficas intracomunitarias. En similares términos se define, en el art. 1 del Real Decreto 650/1987 (modificado por el Real Decreto 775/2015) el ámbito territorial de la Confederación Hidrográfica del Júcar.</w:t>
      </w:r>
    </w:p>
    <w:p w:rsidR="00A90898" w:rsidRDefault="00A90898" w:rsidP="00A90898">
      <w:pPr>
        <w:pStyle w:val="TextoNormal"/>
      </w:pPr>
    </w:p>
    <w:p w:rsidR="00A90898" w:rsidRDefault="00A90898" w:rsidP="00A90898">
      <w:pPr>
        <w:pStyle w:val="TextoNormal"/>
      </w:pPr>
      <w:r>
        <w:t>En concreto, las cuencas hidrográficas intracomunitarias sobre las que se habría excedido competencialmente el Gobierno serían las cuencas costeras o litorales siguientes: i) En el sistema de explotación Cenia-Maestrazgo: San Miguel, Alcalá, Cervra, Agua Oliva, Servel y Valviquera; ii) En el sistema Mijares-Plana de Castellón: Belcaiera, Veo, Seco, Poyo, Carraixet; iii) en el sistema Serpis: Beniopa, Jaraco; iv) en el sistema Marina Baja: Gorgos, Girona, Amadorio, Algar; v) en el sistema Vinalopó: Alacanti, Rambluchar, Monegre.</w:t>
      </w:r>
    </w:p>
    <w:p w:rsidR="00A90898" w:rsidRDefault="00A90898" w:rsidP="00A90898">
      <w:pPr>
        <w:pStyle w:val="TextoNormal"/>
      </w:pPr>
    </w:p>
    <w:p w:rsidR="00A90898" w:rsidRDefault="00A90898" w:rsidP="00A90898">
      <w:pPr>
        <w:pStyle w:val="TextoNormal"/>
      </w:pPr>
      <w:r>
        <w:t>El territorio total de estas cuencas hidrográficas intracomunitarias es de 6.261 Km2, con una población de 1.742.639 habitantes, lo que supone un 29,65 por 100 del territorio y un 38,11 por 100 de la población en el ámbito del plan hidrológico y la demarcación hidrográfica del Júcar.</w:t>
      </w:r>
    </w:p>
    <w:p w:rsidR="00A90898" w:rsidRDefault="00A90898" w:rsidP="00A90898">
      <w:pPr>
        <w:pStyle w:val="TextoNormal"/>
      </w:pPr>
    </w:p>
    <w:p w:rsidR="00A90898" w:rsidRDefault="00A90898" w:rsidP="00A90898">
      <w:pPr>
        <w:pStyle w:val="TextoNormal"/>
      </w:pPr>
      <w:r>
        <w:t>A partir de la doctrina de las SSTC 227/1988, 149/2012 y 104/2013, las disposiciones impugnadas exceden lo dispuesto en el art. 149.1.22 CE que atribuye al Estado “la ordenación y concesión de recursos y aprovechamientos hidráulicos cuando las aguas discurran por más de una Comunidad Autónoma”. También vulneran las atribuciones de la Generalidad Valenciana sobre “aprovechamientos hidráulicos, canales y riegos cuando las aguas discurran íntegramente dentro del territorio de la Comunidad Valenciana” (art. 49.16 del Estatuto de esta Comunidad Autónoma). Por su lado, la Comunidad Autónoma de Castilla-La Mancha, en el art. 31.1.8 de su Estatuto (EACM), asumió competencias sobre “aprovechamientos hidráulicos, canales y regadíos de interés para la región; aguas minerales y termales; aguas subterráneas cuando discurran íntegramente por el ámbito territorial de la Comunidad Autónoma. Ordenación y concesión de recursos y aprovechamientos hidráulicos cuando las aguas discurran íntegramente por el ámbito territorial de la Comunidad Autónoma”.</w:t>
      </w:r>
    </w:p>
    <w:p w:rsidR="00A90898" w:rsidRDefault="00A90898" w:rsidP="00A90898">
      <w:pPr>
        <w:pStyle w:val="TextoNormal"/>
      </w:pPr>
    </w:p>
    <w:p w:rsidR="00A90898" w:rsidRDefault="00A90898" w:rsidP="00A90898">
      <w:pPr>
        <w:pStyle w:val="TextoNormal"/>
      </w:pPr>
      <w:r>
        <w:t>El resto de Comunidades Autónomas litorales, ejercen normalmente sus competencias sobre las cuencas hidrográficas intracomunitarias de su territorio, incluida la elaboración de sus planes hidrológicos aunque, para asegurar la coordinación, la aprobación final corresponda al Gobierno mediante Real Decreto (art. 40.5 del texto refundido de la Ley de aguas, aprobado por Real-Decreto Legislativo 1/2001, de 20 de julio). Así se constata en los Reales Decretos, que se citan, de aprobación de diversos planes.</w:t>
      </w:r>
    </w:p>
    <w:p w:rsidR="00A90898" w:rsidRDefault="00A90898" w:rsidP="00A90898">
      <w:pPr>
        <w:pStyle w:val="TextoNormal"/>
      </w:pPr>
    </w:p>
    <w:p w:rsidR="00A90898" w:rsidRDefault="00A90898" w:rsidP="00A90898">
      <w:pPr>
        <w:pStyle w:val="TextoNormal"/>
      </w:pPr>
      <w:r>
        <w:t>c) Al ser Castilla-La Mancha una región interior, sin litoral, no hay posibilidad de cuencas hidrográficas internas ya que, conforme al art. 16 del texto refundido de la Ley de aguas, éstas se definen por tener salida al mar. En todo caso, tras recordar que la STC 227/1988 (que se transcribe en parte) consagró el concepto de cuenca hidrográfica como criterio de distribución de competencias en materia de aguas, se señala que lo anterior no significa que la Comunidad Autónoma carezca de interés legítimo en que la delimitación territorial de la planificación hidrológica y de la Confederación Hidrográfica del Júcar se acomode a lo dispuesto en la Constitución y en los Estatutos, puesto que ello afecta al ejercicio de sus competencias, al contenido material del plan y a su representación en los órganos confederales.</w:t>
      </w:r>
    </w:p>
    <w:p w:rsidR="00A90898" w:rsidRDefault="00A90898" w:rsidP="00A90898">
      <w:pPr>
        <w:pStyle w:val="TextoNormal"/>
      </w:pPr>
    </w:p>
    <w:p w:rsidR="00A90898" w:rsidRDefault="00A90898" w:rsidP="00A90898">
      <w:pPr>
        <w:pStyle w:val="TextoNormal"/>
      </w:pPr>
      <w:r>
        <w:t xml:space="preserve">d) La misma STC 227/1988 declaró que el Estado carece de competencias para gestionar cuencas intracomunitarias por lo que no puede incluirlas en un ámbito de gestión superior a la cuenca, la demarcación hidrográfica, figura creada años después al transponerse al ordenamiento interno la Directiva 2000/60/CE, sobre marco comunitario de actuación en el ámbito de la política de aguas. Así, según el art. 16 </w:t>
      </w:r>
      <w:r w:rsidRPr="00A90898">
        <w:rPr>
          <w:i/>
        </w:rPr>
        <w:t>bis</w:t>
      </w:r>
      <w:r>
        <w:t xml:space="preserve"> del texto refundido de la Ley de aguas, la demarcación hidrográfica es “la zona terrestre y marina compuesta por una o varias cuencas hidrográficas vecinas y las aguas de transición, subterráneas y costeras asociadas a dichas cuencas”.</w:t>
      </w:r>
    </w:p>
    <w:p w:rsidR="00A90898" w:rsidRDefault="00A90898" w:rsidP="00A90898">
      <w:pPr>
        <w:pStyle w:val="TextoNormal"/>
      </w:pPr>
    </w:p>
    <w:p w:rsidR="00A90898" w:rsidRDefault="00A90898" w:rsidP="00A90898">
      <w:pPr>
        <w:pStyle w:val="TextoNormal"/>
      </w:pPr>
      <w:r>
        <w:t>La doctrina constitucional posterior a la Directiva 2000/60/CE ha establecido que no cabe la creación de demarcaciones mixtas, es decir, que el Estado no puede definir unidades de gestión que aglutinen cuencas inter e intracomunitarias. La STC 149/2012 afirma ya que, a pesar de la introducción de la demarcación hidrográfica como nueva unidad de gestión del agua, el legislador estatal opta por mantener la cuenca hidrográfica como noción esencial para delimitar las competencias en la materia. Puesto que la cuenca solo comprende las aguas que discurren por la zona terrestre o continental mientas que la demarcación también incluye las aguas de transición y las costeras, aplicándose a todas ellas las normas de protección ambiental del texto refundido de la Ley de aguas, la STC 149/2012 afirma que estas diferencias podrían haber llevado al Estado a considerar necesario un cambio en el criterio de delimitación competencial en materia de aguas pero ello no ha sido así.</w:t>
      </w:r>
    </w:p>
    <w:p w:rsidR="00A90898" w:rsidRDefault="00A90898" w:rsidP="00A90898">
      <w:pPr>
        <w:pStyle w:val="TextoNormal"/>
      </w:pPr>
    </w:p>
    <w:p w:rsidR="00A90898" w:rsidRDefault="00A90898" w:rsidP="00A90898">
      <w:pPr>
        <w:pStyle w:val="TextoNormal"/>
      </w:pPr>
      <w:r>
        <w:t xml:space="preserve">Reproduciendo en parte el fundamento jurídico 7 de la citada STC 149/2012, se insiste en que ésta descarta las demarcaciones mixtas, al rechazar que el art. 16 </w:t>
      </w:r>
      <w:r w:rsidRPr="00A90898">
        <w:rPr>
          <w:i/>
        </w:rPr>
        <w:t>bis</w:t>
      </w:r>
      <w:r>
        <w:t>.5 del texto refundido de la Ley de aguas pueda interpretarse en el sentido de permitir al Estado incluir en la misma demarcación hidrográfica cuencas intercomunitarias, de competencia estatal e intracomunitarias, de competencia autonómica. En términos similares, se pronuncia la STC 104/2013.</w:t>
      </w:r>
    </w:p>
    <w:p w:rsidR="00A90898" w:rsidRDefault="00A90898" w:rsidP="00A90898">
      <w:pPr>
        <w:pStyle w:val="TextoNormal"/>
      </w:pPr>
    </w:p>
    <w:p w:rsidR="00A90898" w:rsidRDefault="00A90898" w:rsidP="00A90898">
      <w:pPr>
        <w:pStyle w:val="TextoNormal"/>
      </w:pPr>
      <w:r>
        <w:t>e) La inclusión de las cuencas intracomunitarias en el ámbito territorial de la Confederación Hidrográfica del Júcar y de su demarcación, se realizó por el Real Decreto 125/2007 (modificado por el Real Decreto 775/2015) “en tanto se efectúa el correspondiente traspaso de funciones y servicios en materia de recursos y aprovechamientos hidráulicos”. Ahora, el Real Decreto 1/2016, hace suyo ese mismo territorio para los planes hidrográficos. Sin embargo, este inciso no permite salvar la constitucionalidad del precepto.</w:t>
      </w:r>
    </w:p>
    <w:p w:rsidR="00A90898" w:rsidRDefault="00A90898" w:rsidP="00A90898">
      <w:pPr>
        <w:pStyle w:val="TextoNormal"/>
      </w:pPr>
    </w:p>
    <w:p w:rsidR="00A90898" w:rsidRDefault="00A90898" w:rsidP="00A90898">
      <w:pPr>
        <w:pStyle w:val="TextoNormal"/>
      </w:pPr>
      <w:r>
        <w:lastRenderedPageBreak/>
        <w:t>Se acompaña un informe pericial que delimita territorialmente la demarcación hidrográfica del Júcar, distinguiendo las cuencas intercomunitarias de las intracomunitarias y se añade que la doctrina constitucional es clara al rechazar que el Estado pueda gestionar cuencas internas, aun con carácter provisional o transitorio (STC 227/1988, al anular el art. 39.2 de la Ley de aguas de 1985). También la STC 104/2013 rechazó que, ni siquiera ante la pasividad de las Comunidades Autónomas, tenga el Estado competencia para gestionar cuencas intracomunitarias, ni para elaborar los correspondientes planes hidrológicos.</w:t>
      </w:r>
    </w:p>
    <w:p w:rsidR="00A90898" w:rsidRDefault="00A90898" w:rsidP="00A90898">
      <w:pPr>
        <w:pStyle w:val="TextoNormal"/>
      </w:pPr>
    </w:p>
    <w:p w:rsidR="00A90898" w:rsidRDefault="00A90898" w:rsidP="00A90898">
      <w:pPr>
        <w:pStyle w:val="TextoNormal"/>
      </w:pPr>
      <w:r>
        <w:t>f) La fórmula transitoria del Real Decreto 775/2015, vulnera además el principio constitucional de indisponibilidad de la competencia, que supone que las competencias son indisponibles una vez asumidas en los Estatutos, de forma que a partir de ese momento, ni el Estado puede seguir ejerciendo la competencia, ni la Comunidad Autónoma puede dejar de hacerlo. Así, la Comunidad Autónoma Valenciana, ostenta competencias exclusivas sobre aguas intracomunitarias desde que el Estado se las atribuyó (art. 49.16 del Estatuto —Ley Orgánica 5/1982— tras reforma por Ley Orgánica 1/2006). Aunque el Tribunal Constitucional, ha admitido excepcionalmente que el traspaso de servicios pueda condicionar el pleno ejercicio de competencias estatutariamente transferidas, cuando sea necesario e imprescindible (STC 25/1983) ello no ocurre en materia de aguas, ni esta doctrina puede ser sostenida tras más de treinta años. La STC 26/1982, afirmó que la distribución competencial, no puede verse alterada por la pasividad de cualquiera de los entes interesados. La STC 227/1988 aclaró que la planificación hidrológica no es una materia en la que el pleno ejercicio de la competencia deba subordinarse al traspaso de los servicios y, además, la Comunidad Valenciana ha ejercido sus competencias al respecto (Leyes 7/1986 y 2/1992 sobre utilización de aguas para riego y saneamiento de aguas residuales).</w:t>
      </w:r>
    </w:p>
    <w:p w:rsidR="00A90898" w:rsidRDefault="00A90898" w:rsidP="00A90898">
      <w:pPr>
        <w:pStyle w:val="TextoNormal"/>
      </w:pPr>
    </w:p>
    <w:p w:rsidR="00A90898" w:rsidRDefault="00A90898" w:rsidP="00A90898">
      <w:pPr>
        <w:pStyle w:val="TextoNormal"/>
      </w:pPr>
      <w:r>
        <w:t>g) La legitimación de la Comunidad Autónoma de Castilla-La Mancha para pedir que la delimitación territorial del organismo de cuenca y del plan hidrológico del Júcar se adecúe al bloque de constitucionalidad, deriva de la afección a su competencia en materia de aguas reseñada y también a otras, que dependen de la disponibilidad del agua, como su competencia sobre ordenación del territorio, urbanismo y vivienda (art.31 EACM); pesca fluvial y acuicultura; planificación de la actividad económica y fomento del desarrollo económico de la región; promoción y ordenación del turismo, el deporte y la adecuada utilización del ocio; industria e instalaciones de producción de electricidad, entre otras. La Comunidad además es competente (art. 32 EACM) para el desarrollo y la ejecución de la legislación básica estatal en materia de protección de espacios naturales, medioambiente y ecosistemas, entre otras.</w:t>
      </w:r>
    </w:p>
    <w:p w:rsidR="00A90898" w:rsidRDefault="00A90898" w:rsidP="00A90898">
      <w:pPr>
        <w:pStyle w:val="TextoNormal"/>
      </w:pPr>
    </w:p>
    <w:p w:rsidR="00A90898" w:rsidRDefault="00A90898" w:rsidP="00A90898">
      <w:pPr>
        <w:pStyle w:val="TextoNormal"/>
      </w:pPr>
      <w:r>
        <w:t>Por ello, el texto refundido de la Ley de aguas [arts. 25.1, 27 d), 35.3 y 36.1 c)] propicia la colaboración del Estado con las Comunidades Autónomas, mediante su incorporación a las Juntas de Gobierno de los organismos de cuenca y al Consejo del agua. Así, el art. 4 del Real Decreto 924/1989, de 21 de julio, establece que la Junta de Gobierno de la Confederación Hidrográfica del Júcar, estará integrada por, entre otros, un representante de Castilla-La Mancha y el art. 5.C del Real Decreto 255/2013, de 12 de abril, que establece el Consejo del agua de dicha Confederación, contempla la representación de la Comunidad en el mismo, asignándole seis vocales.</w:t>
      </w:r>
    </w:p>
    <w:p w:rsidR="00A90898" w:rsidRDefault="00A90898" w:rsidP="00A90898">
      <w:pPr>
        <w:pStyle w:val="TextoNormal"/>
      </w:pPr>
    </w:p>
    <w:p w:rsidR="00A90898" w:rsidRDefault="00A90898" w:rsidP="00A90898">
      <w:pPr>
        <w:pStyle w:val="TextoNormal"/>
      </w:pPr>
      <w:r>
        <w:t xml:space="preserve">En definitiva, la delimitación territorial de la demarcación objeto del conflicto, tiene repercusión directa sobre la representación de Castilla-La Mancha en los órganos colegiados </w:t>
      </w:r>
      <w:r>
        <w:lastRenderedPageBreak/>
        <w:t xml:space="preserve">del Organismo confederal y sobre las determinaciones sustantivas del plan respecto de los recursos hídricos de las cuencas que le afectan que, por </w:t>
      </w:r>
      <w:r w:rsidRPr="00A90898">
        <w:rPr>
          <w:i/>
        </w:rPr>
        <w:t>mor</w:t>
      </w:r>
      <w:r>
        <w:t xml:space="preserve"> del plan, son asignados a otras cuencas intracomunitarias [v.gr. art. 20 A) 1 a) IV sistema Júcar, anexo XI, del Real Decreto 1/2016].</w:t>
      </w:r>
    </w:p>
    <w:p w:rsidR="00A90898" w:rsidRDefault="00A90898" w:rsidP="00A90898">
      <w:pPr>
        <w:pStyle w:val="TextoNormal"/>
      </w:pPr>
    </w:p>
    <w:p w:rsidR="00A90898" w:rsidRDefault="00A90898" w:rsidP="00A90898">
      <w:pPr>
        <w:pStyle w:val="TextoNormal"/>
      </w:pPr>
      <w:r>
        <w:t>h) Finalmente, la Comunidad Autónoma promotora del conflicto suplica que, estimándose el mismo, se declaren inconstitucionales: El anexo XI: arts.1; 2; 3 y demás concordantes que incluyan determinaciones relativas a cuencas intracomunitarias del Real Decreto 1/2016; El art. 2.3 y disposición transitoria segunda del Real Decreto 125/2007 y el art. 1.8 del Real Decreto 650/1987.</w:t>
      </w:r>
    </w:p>
    <w:p w:rsidR="00A90898" w:rsidRDefault="00A90898" w:rsidP="00A90898">
      <w:pPr>
        <w:pStyle w:val="TextoNormal"/>
      </w:pPr>
    </w:p>
    <w:p w:rsidR="00A90898" w:rsidRDefault="00A90898" w:rsidP="00A90898">
      <w:pPr>
        <w:pStyle w:val="TextoNormal"/>
      </w:pPr>
      <w:r w:rsidRPr="00A90898">
        <w:rPr>
          <w:rStyle w:val="NumeroAFNegritaCaracter"/>
        </w:rPr>
        <w:t>3</w:t>
      </w:r>
      <w:r>
        <w:t>. Por providencia de 19 de julio de 2016, el Pleno de este Tribunal, a propuesta de la Sección Cuarta, acordó admitir a trámite el conflicto positivo de competencia y dar traslado de la demanda y documentos presentados al Gobierno de la Nación, por conducto de su Presidente, al objeto de que en el plazo de 20 días aporte cuantos documentos y alegaciones considere convenientes. Se acordó también comunicar la incoación del conflicto a la Sala de lo Contencioso-Administrativo del Tribunal Supremo por si se impugnaran o estuviesen impugnados ante él los preceptos objeto del conflicto, en cuyo caso se suspenderá el curso del proceso según dispone el art. 61.2 de la Ley Orgánica del Tribunal Constitucional (LOTC) y publicar la incoación del conflicto en el “Boletín Oficial del Estado” y en el “Diario Oficial de Castilla-La Mancha”.</w:t>
      </w:r>
    </w:p>
    <w:p w:rsidR="00A90898" w:rsidRDefault="00A90898" w:rsidP="00A90898">
      <w:pPr>
        <w:pStyle w:val="TextoNormal"/>
      </w:pPr>
    </w:p>
    <w:p w:rsidR="00A90898" w:rsidRDefault="00A90898" w:rsidP="00A90898">
      <w:pPr>
        <w:pStyle w:val="TextoNormal"/>
      </w:pPr>
      <w:r w:rsidRPr="00A90898">
        <w:rPr>
          <w:rStyle w:val="NumeroAFNegritaCaracter"/>
        </w:rPr>
        <w:t>4</w:t>
      </w:r>
      <w:r>
        <w:t>. El 7 de septiembre de 2016, el Abogado del Estado, en la representación que ostenta, se personó en el proceso, solicitando prórroga de su plazo para hacer alegaciones. Dicha prórroga le fue concedida, por plazo adicional de diez días, mediante providencia de 12 de septiembre de 2016.</w:t>
      </w:r>
    </w:p>
    <w:p w:rsidR="00A90898" w:rsidRDefault="00A90898" w:rsidP="00A90898">
      <w:pPr>
        <w:pStyle w:val="TextoNormal"/>
      </w:pPr>
    </w:p>
    <w:p w:rsidR="00A90898" w:rsidRDefault="00A90898" w:rsidP="00A90898">
      <w:pPr>
        <w:pStyle w:val="TextoNormal"/>
      </w:pPr>
      <w:r w:rsidRPr="00A90898">
        <w:rPr>
          <w:rStyle w:val="NumeroAFNegritaCaracter"/>
        </w:rPr>
        <w:t>5</w:t>
      </w:r>
      <w:r>
        <w:t>. El 13 de octubre de 2016, tuvo entrada en el Tribunal escrito de alegaciones del Abogado del Estado en el que solicitó la inadmisión y, subsidiariamente, la desestimación del conflicto con base en los siguientes argumentos:</w:t>
      </w:r>
    </w:p>
    <w:p w:rsidR="00A90898" w:rsidRDefault="00A90898" w:rsidP="00A90898">
      <w:pPr>
        <w:pStyle w:val="TextoNormal"/>
      </w:pPr>
    </w:p>
    <w:p w:rsidR="00A90898" w:rsidRDefault="00A90898" w:rsidP="00A90898">
      <w:pPr>
        <w:pStyle w:val="TextoNormal"/>
      </w:pPr>
      <w:r>
        <w:t>a) En síntesis, la Comunidad de Castilla-La Mancha presenta conflicto de competencias reivindicando la competencia de la Comunidad Valenciana para gestionar las cuencas intracomunitarias sitas en su territorio e incluidas en la demarcación hidrológica del Júcar, considerando que el Estado no tiene competencia sobre las mismas. Por tanto, las normas que definen el ámbito territorial de esa demarcación, en concreto las contenidas en el anexo XI del Real Decreto 1/2016, vulneran el régimen constitucional de reparto competencial.</w:t>
      </w:r>
    </w:p>
    <w:p w:rsidR="00A90898" w:rsidRDefault="00A90898" w:rsidP="00A90898">
      <w:pPr>
        <w:pStyle w:val="TextoNormal"/>
      </w:pPr>
    </w:p>
    <w:p w:rsidR="00A90898" w:rsidRDefault="00A90898" w:rsidP="00A90898">
      <w:pPr>
        <w:pStyle w:val="TextoNormal"/>
      </w:pPr>
      <w:r>
        <w:t>Pide, por tanto, la anulación de esas previsiones y la declaración de la competencia de la Comunidad Valenciana en un proceso constitucional del que no es parte de forma que, su interés en el conflicto, lo basa en su representación en la Junta de gobierno y el Consejo de aguas de la Confederación Hidrográfica del Júcar. Considera que, al ser el territorio y la población parámetros que definen la representación autonómica en estos órganos, la exclusión de una parte del territorio valenciano le beneficiaría, sin acreditar este extremo en su escrito.</w:t>
      </w:r>
    </w:p>
    <w:p w:rsidR="00A90898" w:rsidRDefault="00A90898" w:rsidP="00A90898">
      <w:pPr>
        <w:pStyle w:val="TextoNormal"/>
      </w:pPr>
    </w:p>
    <w:p w:rsidR="00A90898" w:rsidRDefault="00A90898" w:rsidP="00A90898">
      <w:pPr>
        <w:pStyle w:val="TextoNormal"/>
      </w:pPr>
      <w:r>
        <w:lastRenderedPageBreak/>
        <w:t>Por ello, adelanta que la Comunidad de Castilla-La Mancha carece de legitimación para plantear el conflicto y añade que se pretende impugnar un ámbito territorial fijado en el año 2013, no impugnado en ese momento, por lo que el conflicto sería también extemporáneo.</w:t>
      </w:r>
    </w:p>
    <w:p w:rsidR="00A90898" w:rsidRDefault="00A90898" w:rsidP="00A90898">
      <w:pPr>
        <w:pStyle w:val="TextoNormal"/>
      </w:pPr>
    </w:p>
    <w:p w:rsidR="00A90898" w:rsidRDefault="00A90898" w:rsidP="00A90898">
      <w:pPr>
        <w:pStyle w:val="TextoNormal"/>
      </w:pPr>
      <w:r>
        <w:t>b) Desarrollando lo anterior, el Abogado del Estado delimita primero el objeto del conflicto. Manifiesta que, aunque el conflicto se plantea frente al anexo XI (arts. 1, 2, 3 y concordantes referidos a cuencas intracomunitarias) del Real Decreto 1/2016; el art. 2.3 y la disposición transitoria segunda del Real Decreto 125/2007 y el art. 1.8 del Real Decreto 650/1987, el Tribunal solo lo ha admitido respecto del anexo XI precitado.</w:t>
      </w:r>
    </w:p>
    <w:p w:rsidR="00A90898" w:rsidRDefault="00A90898" w:rsidP="00A90898">
      <w:pPr>
        <w:pStyle w:val="TextoNormal"/>
      </w:pPr>
    </w:p>
    <w:p w:rsidR="00A90898" w:rsidRDefault="00A90898" w:rsidP="00A90898">
      <w:pPr>
        <w:pStyle w:val="TextoNormal"/>
      </w:pPr>
      <w:r>
        <w:t>Toda la argumentación de la Comunidad de Castilla-La Mancha gira en torno a las cuencas intracomunitarias valencianas, que considera se deben excluir de la demarcación hidrográfica del Júcar, sin referirse a las cuencas endorreicas sitas en su propio territorio, cuya exclusión de dicha demarcación, para ejercer sobre ellas sus propias competencias, no reclama.</w:t>
      </w:r>
    </w:p>
    <w:p w:rsidR="00A90898" w:rsidRDefault="00A90898" w:rsidP="00A90898">
      <w:pPr>
        <w:pStyle w:val="TextoNormal"/>
      </w:pPr>
    </w:p>
    <w:p w:rsidR="00A90898" w:rsidRDefault="00A90898" w:rsidP="00A90898">
      <w:pPr>
        <w:pStyle w:val="TextoNormal"/>
      </w:pPr>
      <w:r>
        <w:t>Frente a lo que alega la Comunidad de Castilla-La Mancha, el Real Decreto 1/2016, no es un acto de aplicación del Real Decreto 775/2015 (que modificó los preceptos precitados del Real Decreto 125/2007 y del Real Decreto 650/1987) sino que se limita a dar cumplimiento a una Sentencia del Tribunal Supremo, que obligó a incluir dentro de la demarcación hidrográfica del Júcar, las cuencas endorreicas del territorio de la Comunidad de Castilla-La Mancha. Así lo dice su exposición de motivos, que transcribe. Por ello, el Real Decreto 775/2015, modificó los arts. 1.8 del Real Decreto 650/1987 y 2.3 del Real Decreto 125/2007 incluyendo en la Confederación Hidrográfica del Júcar y la demarcación hidrográfica del mismo, “el endorreísmo natural formado por el sistema que constituyen los ríos Quejola, Jardín y Lezuza y la zona de los Llanos”.</w:t>
      </w:r>
    </w:p>
    <w:p w:rsidR="00A90898" w:rsidRDefault="00A90898" w:rsidP="00A90898">
      <w:pPr>
        <w:pStyle w:val="TextoNormal"/>
      </w:pPr>
    </w:p>
    <w:p w:rsidR="00A90898" w:rsidRDefault="00A90898" w:rsidP="00A90898">
      <w:pPr>
        <w:pStyle w:val="TextoNormal"/>
      </w:pPr>
      <w:r>
        <w:t>La inclusión de las cuencas litorales sitas en el territorio de la Comunidad Valenciana se realizó, también en cumplimiento de varias sentencias del Tribunal Supremo, por el Real Decreto 255/2013, cuya exposición de motivos se transcribe. Como consecuencia, en la redacción de los arts. 1.8 del Real Decreto 650/1987 y 2.3 del Real Decreto 125/2007, se incluyeron, respectivamente en la Confederación Hidrográfica y la demarcación hidrográfica del Júcar, determinadas cuencas intracomunitarias: “provisionalmente, en tanto se efectúa el correspondiente traspaso de funciones y servicios en materia de recursos y aprovechamientos hidráulicos”. Ello, se ilustra comparando las dos redacciones de ambos preceptos.</w:t>
      </w:r>
    </w:p>
    <w:p w:rsidR="00A90898" w:rsidRDefault="00A90898" w:rsidP="00A90898">
      <w:pPr>
        <w:pStyle w:val="TextoNormal"/>
      </w:pPr>
    </w:p>
    <w:p w:rsidR="00A90898" w:rsidRDefault="00A90898" w:rsidP="00A90898">
      <w:pPr>
        <w:pStyle w:val="TextoNormal"/>
      </w:pPr>
      <w:r>
        <w:t>La Comunidad de Castilla-La Mancha fue parte en todas las Sentencias (22 y 27 de diciembre de 2011 y 8 de junio de 2015). Es más, la referencia al ámbito territorial de la demarcación hidrográfica del Júcar realizada por el Real Decreto 255/2013, al modificar el art. 2.3 del Real Decreto 125/2007, ya se contenía en el anterior plan hidrológico de la demarcación hidrográfica del Júcar (Real Decreto 955/2014, art. 1.3, no impugnado).</w:t>
      </w:r>
    </w:p>
    <w:p w:rsidR="00A90898" w:rsidRDefault="00A90898" w:rsidP="00A90898">
      <w:pPr>
        <w:pStyle w:val="TextoNormal"/>
      </w:pPr>
    </w:p>
    <w:p w:rsidR="00A90898" w:rsidRDefault="00A90898" w:rsidP="00A90898">
      <w:pPr>
        <w:pStyle w:val="TextoNormal"/>
      </w:pPr>
      <w:r>
        <w:t xml:space="preserve">c) Tras reproducir el art.1 del anexo XI del Real Decreto 1/2016 y el art. 40.3 y 5 del texto refundido de la Ley de aguas, se reitera que el Real Decreto 1/2016 no es un acto de aplicación, ni del Real Decreto 775/2015, ni del Real Decreto 125/2007. Es un acto de aplicación del art. 40 del texto refundido de la Ley de aguas que exige fijar por Real Decreto la </w:t>
      </w:r>
      <w:r>
        <w:lastRenderedPageBreak/>
        <w:t>planificación hidrológica y determina que su ámbito sea el de cada demarcación hidrográfica.</w:t>
      </w:r>
    </w:p>
    <w:p w:rsidR="00A90898" w:rsidRDefault="00A90898" w:rsidP="00A90898">
      <w:pPr>
        <w:pStyle w:val="TextoNormal"/>
      </w:pPr>
    </w:p>
    <w:p w:rsidR="00A90898" w:rsidRDefault="00A90898" w:rsidP="00A90898">
      <w:pPr>
        <w:pStyle w:val="TextoNormal"/>
      </w:pPr>
      <w:r>
        <w:t>Por ello, el conflicto es claramente extemporáneo pues la modificación del ámbito territorial de la demarcación hidrográfica del Júcar, en cuanto a la incorporación de las cuencas intracomunitarias valencianas se realizó, para cumplir las Sentencias del Tribunal Supremo, por el Real Decreto 255/2013.</w:t>
      </w:r>
    </w:p>
    <w:p w:rsidR="00A90898" w:rsidRDefault="00A90898" w:rsidP="00A90898">
      <w:pPr>
        <w:pStyle w:val="TextoNormal"/>
      </w:pPr>
    </w:p>
    <w:p w:rsidR="00A90898" w:rsidRDefault="00A90898" w:rsidP="00A90898">
      <w:pPr>
        <w:pStyle w:val="TextoNormal"/>
      </w:pPr>
      <w:r>
        <w:t>Además, el conflicto adolece de concreción en cuanto a los artículos y disposiciones impugnadas. El anexo XI está compuesto por 60 artículos y 14 apéndices y, aparte de impugnarse los arts.1, 2 y 3, se impugnan, sin más especificación, los demás “que incluyan determinaciones relativas a cuencas intracomunitarias”.</w:t>
      </w:r>
    </w:p>
    <w:p w:rsidR="00A90898" w:rsidRDefault="00A90898" w:rsidP="00A90898">
      <w:pPr>
        <w:pStyle w:val="TextoNormal"/>
      </w:pPr>
    </w:p>
    <w:p w:rsidR="00A90898" w:rsidRDefault="00A90898" w:rsidP="00A90898">
      <w:pPr>
        <w:pStyle w:val="TextoNormal"/>
      </w:pPr>
      <w:r>
        <w:t>Respecto del artículo 1, es claro que el conflicto se refiere a la remisión al art. 2.3 del Real Decreto 125/2007. En cuanto al artículo 2, no se especifica a qué alcanza el conflicto y el artículo 3 es inocuo pues se limita a remitirse a una página web. En cuanto al resto de artículos y anexos, solo se realiza una referencia al art. 20.A.1.IV, en la página 23 del conflicto.</w:t>
      </w:r>
    </w:p>
    <w:p w:rsidR="00A90898" w:rsidRDefault="00A90898" w:rsidP="00A90898">
      <w:pPr>
        <w:pStyle w:val="TextoNormal"/>
      </w:pPr>
    </w:p>
    <w:p w:rsidR="00A90898" w:rsidRDefault="00A90898" w:rsidP="00A90898">
      <w:pPr>
        <w:pStyle w:val="TextoNormal"/>
      </w:pPr>
      <w:r>
        <w:t>Por tanto, es aplicable la doctrina de este Tribunal sobre necesidad de justificar las controversias competenciales y “el concreto contenido de cada uno de los preceptos sobre los cuales se proyecta la impugnación”; por todas, STC 146/1996, FJ 1.</w:t>
      </w:r>
    </w:p>
    <w:p w:rsidR="00A90898" w:rsidRDefault="00A90898" w:rsidP="00A90898">
      <w:pPr>
        <w:pStyle w:val="TextoNormal"/>
      </w:pPr>
    </w:p>
    <w:p w:rsidR="00A90898" w:rsidRDefault="00A90898" w:rsidP="00A90898">
      <w:pPr>
        <w:pStyle w:val="TextoNormal"/>
      </w:pPr>
      <w:r>
        <w:t>Así, el conflicto, parece concretarse al artículo1 de anexo XI en cuanto se remite al art. 2.3 del Real Decreto 125/2007 y es inadmisible por extemporáneo.</w:t>
      </w:r>
    </w:p>
    <w:p w:rsidR="00A90898" w:rsidRDefault="00A90898" w:rsidP="00A90898">
      <w:pPr>
        <w:pStyle w:val="TextoNormal"/>
      </w:pPr>
    </w:p>
    <w:p w:rsidR="00A90898" w:rsidRDefault="00A90898" w:rsidP="00A90898">
      <w:pPr>
        <w:pStyle w:val="TextoNormal"/>
      </w:pPr>
      <w:r>
        <w:t>d) El conflicto también es inadmisible por falta de legitimación de la Comunidad de Castilla-La Mancha que no reclama para sí ninguna competencia, limitándose a denunciar vulneración de la competencia de la Comunidad Valenciana sobre aprovechamientos hidráulicos.</w:t>
      </w:r>
    </w:p>
    <w:p w:rsidR="00A90898" w:rsidRDefault="00A90898" w:rsidP="00A90898">
      <w:pPr>
        <w:pStyle w:val="TextoNormal"/>
      </w:pPr>
    </w:p>
    <w:p w:rsidR="00A90898" w:rsidRDefault="00A90898" w:rsidP="00A90898">
      <w:pPr>
        <w:pStyle w:val="TextoNormal"/>
      </w:pPr>
      <w:r>
        <w:t>La recurrente concreta la lesión en un aumento de su peso en órganos reguladores hidráulicos que no concreta en qué forma se realizaría o le beneficiaría. No reclama para sí la gestión de las cuencas endorreicas que transcurren íntegramente dentro de su territorio incorporadas a la demarcación hidrográfica del Júcar por el Real Decreto 775/2015, en cumplimiento de la STS de 8 de junio de 2015 y a las que, en su caso, podría ser aplicable el art. 31.1.8 EACM.</w:t>
      </w:r>
    </w:p>
    <w:p w:rsidR="00A90898" w:rsidRDefault="00A90898" w:rsidP="00A90898">
      <w:pPr>
        <w:pStyle w:val="TextoNormal"/>
      </w:pPr>
    </w:p>
    <w:p w:rsidR="00A90898" w:rsidRDefault="00A90898" w:rsidP="00A90898">
      <w:pPr>
        <w:pStyle w:val="TextoNormal"/>
      </w:pPr>
      <w:r>
        <w:t xml:space="preserve">El Tribunal Constitucional se ha pronunciado sobre la legitimación para plantear conflictos positivos de competencia, por ejemplo, en la STC 44/2007 (FJ 3 y 4) cuyas exigencias no se cumplen en este caso pues la Comunidad de Castilla-La Mancha no considera realmente lesionado su ámbito competencial. Lo que califica como “lesión competencial” es solo los efectos en la distribución de los vocales en los órganos de la confederación del Júcar (Junta de Gobierno, según el Real Decreto 924/1989 y Consejo del agua, según Real Decreto 255/2013). Además, en cuanto a la Junta de Gobierno, el art. 4 del Real Decreto 924/1989, ha mantenido la misma redacción desde su entrada en vigor y por tanto el número de vocales que fija (5 para la Comunidad Valenciana y 3 para la Comunidad de Castilla-La Mancha) </w:t>
      </w:r>
      <w:r>
        <w:lastRenderedPageBreak/>
        <w:t>no depende de la inclusión de las cuencas intracomunitarias valencianas a raíz del Real Decreto 255/2013. La STS de 12 de julio de 1993, que resolvió el recurso contra el Real Decreto 924/1989, ya dijo que dicho Real Decreto no reparte los vocales de las Comunidades Autónomas teniendo solo en cuenta el número y superficie de las comprendidas en la cuenca. Y, lo mismo ocurre con el Consejo del Agua, regulado por el Real Decreto 255/2013, cuya legalidad fue validada, en cuanto a la composición y reparto de representantes, por la STS de 17 de junio de 2014. En ambos recursos fue parte la Comunidad de Castilla-La Mancha.</w:t>
      </w:r>
    </w:p>
    <w:p w:rsidR="00A90898" w:rsidRDefault="00A90898" w:rsidP="00A90898">
      <w:pPr>
        <w:pStyle w:val="TextoNormal"/>
      </w:pPr>
    </w:p>
    <w:p w:rsidR="00A90898" w:rsidRDefault="00A90898" w:rsidP="00A90898">
      <w:pPr>
        <w:pStyle w:val="TextoNormal"/>
      </w:pPr>
      <w:r>
        <w:t>e) El conflicto se plantea de forma errónea pues, la Sentencia que la Comunidad de Castilla-La Mancha pretende, declararía la competencia sobre las cuencas intracomunitarias de su territorio, de la Comunidad Valenciana, que no ha sido parte en el proceso, lo que choca con la lógica.</w:t>
      </w:r>
    </w:p>
    <w:p w:rsidR="00A90898" w:rsidRDefault="00A90898" w:rsidP="00A90898">
      <w:pPr>
        <w:pStyle w:val="TextoNormal"/>
      </w:pPr>
    </w:p>
    <w:p w:rsidR="00A90898" w:rsidRDefault="00A90898" w:rsidP="00A90898">
      <w:pPr>
        <w:pStyle w:val="TextoNormal"/>
      </w:pPr>
      <w:r>
        <w:t>f) Subsidiariamente, para el caso de que se desestimen las causas de inadmisibilidad alegadas, se expone la situación singular de la demarcación hidrográfica del Júcar, en cuanto a la gestión racional del agua, partiendo de la base de que, su ámbito, en cuanto a la integración en ella de las cuencas intracomunitarias valencianas y las endorreicas, ha sido determinado por las Sentencias del Tribunal Supremo citadas, en procesos donde fue parte la Comunidad de Castilla-La Mancha.</w:t>
      </w:r>
    </w:p>
    <w:p w:rsidR="00A90898" w:rsidRDefault="00A90898" w:rsidP="00A90898">
      <w:pPr>
        <w:pStyle w:val="TextoNormal"/>
      </w:pPr>
    </w:p>
    <w:p w:rsidR="00A90898" w:rsidRDefault="00A90898" w:rsidP="00A90898">
      <w:pPr>
        <w:pStyle w:val="TextoNormal"/>
      </w:pPr>
      <w:r>
        <w:t>Frente al dictamen aportado por la Comunidad Autónoma de Castilla-La Mancha, para justificar la naturaleza intracomunitaria de las cuencas de la Comunidad Valenciana que cita, el Abogado del Estado aporta con su escrito, dos informes de la confederación hidrográfica del Júcar: uno, que critica el de la Comunidad de Castilla-La Mancha, sobre todo, en cuanto a la exclusión de las cuencas endorreicas de ésta y, otro sobre la necesaria gestión integral en el Júcar. Ambos informes se reproducen en parte para destacar que, la gestión integrada de las cuencas endorreicas de la Comunidad de Castilla-La Mancha exige su inclusión en la demarcación hidrográfica del Júcar y que la Confederación Hidrográfica del Júcar tiene la singularidad de incluir en su territorio diversos ríos que constituyen otras tantas cuencas hidrográficas que, históricamente, se han administrado por un único organismo de cuenca y donde se han construido obras hidráulicas de conexión entre las cuencas.</w:t>
      </w:r>
    </w:p>
    <w:p w:rsidR="00A90898" w:rsidRDefault="00A90898" w:rsidP="00A90898">
      <w:pPr>
        <w:pStyle w:val="TextoNormal"/>
      </w:pPr>
    </w:p>
    <w:p w:rsidR="00A90898" w:rsidRDefault="00A90898" w:rsidP="00A90898">
      <w:pPr>
        <w:pStyle w:val="TextoNormal"/>
      </w:pPr>
      <w:r>
        <w:t>El ámbito territorial de la Confederación Hidrográfica del Júcar se mantuvo tras la aprobación de la Ley de aguas de 1985 y dio lugar, después de la introducción en el ordenamiento jurídico español del concepto de demarcación hidrográfica, a los diversos recursos y sentencias del Tribunal Supremo ya aludidos y, finalmente, a la fijación del ámbito de la demarcación hidrográfica y Confederación Hidrográfica del Júcar por los Reales Decretos 125/2007 y 650/1987, en redacción dada por el Real Decreto 775/2015.</w:t>
      </w:r>
    </w:p>
    <w:p w:rsidR="00A90898" w:rsidRDefault="00A90898" w:rsidP="00A90898">
      <w:pPr>
        <w:pStyle w:val="TextoNormal"/>
      </w:pPr>
    </w:p>
    <w:p w:rsidR="00A90898" w:rsidRDefault="00A90898" w:rsidP="00A90898">
      <w:pPr>
        <w:pStyle w:val="TextoNormal"/>
      </w:pPr>
      <w:r>
        <w:t>La demarcación hidrográfica se introdujo en el ordenamiento español por la Ley 62/2003, de 30 de diciembre, que introdujo el art. 16.</w:t>
      </w:r>
      <w:r w:rsidRPr="00A90898">
        <w:rPr>
          <w:i/>
        </w:rPr>
        <w:t>bis</w:t>
      </w:r>
      <w:r>
        <w:t xml:space="preserve"> del texto refundido de la Ley de aguas a partir de la Directiva 2000/60/CE, conocida como Directiva marco del agua. Se trata pues de una nueva categoría, concebida como unidad de gestión, cuyo ámbito territorial se fija por el Gobierno, oídas las Comunidades Autónomas, </w:t>
      </w:r>
      <w:r w:rsidRPr="00A90898">
        <w:rPr>
          <w:i/>
        </w:rPr>
        <w:t>ex</w:t>
      </w:r>
      <w:r>
        <w:t xml:space="preserve"> art. 16 </w:t>
      </w:r>
      <w:r w:rsidRPr="00A90898">
        <w:rPr>
          <w:i/>
        </w:rPr>
        <w:t>bis</w:t>
      </w:r>
      <w:r>
        <w:t>.5 del texto refundido de la Ley de aguas, lo que precisamente hizo el Real Decreto 125/2007.</w:t>
      </w:r>
    </w:p>
    <w:p w:rsidR="00A90898" w:rsidRDefault="00A90898" w:rsidP="00A90898">
      <w:pPr>
        <w:pStyle w:val="TextoNormal"/>
      </w:pPr>
    </w:p>
    <w:p w:rsidR="00A90898" w:rsidRDefault="00A90898" w:rsidP="00A90898">
      <w:pPr>
        <w:pStyle w:val="TextoNormal"/>
      </w:pPr>
      <w:r>
        <w:lastRenderedPageBreak/>
        <w:t xml:space="preserve">Puesto que las cuencas hidrográficas se definen en el art. 16 </w:t>
      </w:r>
      <w:r w:rsidRPr="00A90898">
        <w:rPr>
          <w:i/>
        </w:rPr>
        <w:t>bis</w:t>
      </w:r>
      <w:r>
        <w:t>.4 del texto refundido de la Ley de aguas y no desaparecen como unidad de gestión, la demarcación se superpone a ellas. Por tanto, además del principio de unidad de gestión de la cuenca hidrográfica interpretado en SSTC 227/1988 y 161/1996, ha de evitarse la fragmentación o compartimentación en la gestión del agua, como declaran las SSTC 30/2011 y 32/2011, si bien para el caso de cuencas intercomunitarias.</w:t>
      </w:r>
    </w:p>
    <w:p w:rsidR="00A90898" w:rsidRDefault="00A90898" w:rsidP="00A90898">
      <w:pPr>
        <w:pStyle w:val="TextoNormal"/>
      </w:pPr>
    </w:p>
    <w:p w:rsidR="00A90898" w:rsidRDefault="00A90898" w:rsidP="00A90898">
      <w:pPr>
        <w:pStyle w:val="TextoNormal"/>
      </w:pPr>
      <w:r>
        <w:t>Materialmente, la gestión racional del agua, en el ámbito de la demarcación hidrográfica del Júcar, implica, en este momento, la gestión conjunta de las cuencas intracomunitarias litorales y endorreicas.</w:t>
      </w:r>
    </w:p>
    <w:p w:rsidR="00A90898" w:rsidRDefault="00A90898" w:rsidP="00A90898">
      <w:pPr>
        <w:pStyle w:val="TextoNormal"/>
      </w:pPr>
    </w:p>
    <w:p w:rsidR="00A90898" w:rsidRDefault="00A90898" w:rsidP="00A90898">
      <w:pPr>
        <w:pStyle w:val="TextoNormal"/>
      </w:pPr>
      <w:r>
        <w:t>g) La racionalidad constitucional de la integración provisional de las cuencas intracomunitarias valencianas en la demarcación hidrográfica del Júcar, ha sido abordada por el Tribunal Supremo en las Sentencias de 22 y 27 de diciembre de 2011, 13 y 17 de junio de 2014 y 9 de junio de 2015 que contestan los mismos argumentos que emplea la Comunidad de Castilla-La Mancha en el presente conflicto.</w:t>
      </w:r>
    </w:p>
    <w:p w:rsidR="00A90898" w:rsidRDefault="00A90898" w:rsidP="00A90898">
      <w:pPr>
        <w:pStyle w:val="TextoNormal"/>
      </w:pPr>
    </w:p>
    <w:p w:rsidR="00A90898" w:rsidRDefault="00A90898" w:rsidP="00A90898">
      <w:pPr>
        <w:pStyle w:val="TextoNormal"/>
      </w:pPr>
      <w:r>
        <w:t>Se reproduce la STS de 17 de junio de 2014 resaltando en negrita algunos párrafos, con afirmaciones como la de que la demarcación, en cuanto unidad de gestión, ha de permitir una gestión equilibrada de los recursos hídricos y que, entre las diversas interpretaciones posibles de las reglas de distribución de competencias, solo cabe respaldar las que razonablemente permitan una utilización racional de los recursos (art. 45.2 CE). También, se destaca el apartado de la Sentencia que legitima la nota de provisionalidad, incluida en el Real Decreto enjuiciado, aludiendo a la racionalidad del sistema, la necesaria cobertura de los vacíos de gestión y los objetivos de defensa y protección de un recurso natural imprescindible para la vida.</w:t>
      </w:r>
    </w:p>
    <w:p w:rsidR="00A90898" w:rsidRDefault="00A90898" w:rsidP="00A90898">
      <w:pPr>
        <w:pStyle w:val="TextoNormal"/>
      </w:pPr>
    </w:p>
    <w:p w:rsidR="00A90898" w:rsidRDefault="00A90898" w:rsidP="00A90898">
      <w:pPr>
        <w:pStyle w:val="TextoNormal"/>
      </w:pPr>
      <w:r>
        <w:t>h) A modo de recapitulación, se reitera que el conflicto se ha de inadmitir por falta de legitimación de Castilla-La Mancha, extemporaneidad y en cuanto el mismo, como proceso constitucional, no permite atribuir la competencia a un tercero que no es parte.</w:t>
      </w:r>
    </w:p>
    <w:p w:rsidR="00A90898" w:rsidRDefault="00A90898" w:rsidP="00A90898">
      <w:pPr>
        <w:pStyle w:val="TextoNormal"/>
      </w:pPr>
    </w:p>
    <w:p w:rsidR="00A90898" w:rsidRDefault="00A90898" w:rsidP="00A90898">
      <w:pPr>
        <w:pStyle w:val="TextoNormal"/>
      </w:pPr>
      <w:r>
        <w:t>Subsidiariamente, el conflicto debe limitarse al art. 1 del anexo XI del Real Decreto 1/2016 excluyéndose de la impugnación, por falta de fundamento, los otros 59 artículos y 14 apéndices del anexo XI. Y, sobre este artículo impugnado, no existe extralimitación competencial ya que es consecuencia de la jurisprudencia del Tribunal Supremo e implica una interpretación racional de la normativa a la luz del art. 45 CE.</w:t>
      </w:r>
    </w:p>
    <w:p w:rsidR="00A90898" w:rsidRDefault="00A90898" w:rsidP="00A90898">
      <w:pPr>
        <w:pStyle w:val="TextoNormal"/>
      </w:pPr>
    </w:p>
    <w:p w:rsidR="00A90898" w:rsidRDefault="00A90898" w:rsidP="00A90898">
      <w:pPr>
        <w:pStyle w:val="TextoNormal"/>
      </w:pPr>
      <w:r w:rsidRPr="00A90898">
        <w:rPr>
          <w:rStyle w:val="NumeroAFNegritaCaracter"/>
        </w:rPr>
        <w:t>6</w:t>
      </w:r>
      <w:r>
        <w:t>. Por providencia de 13 de diciembre de 2016, se señaló para deliberación y votación de la presente Sentencia el día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xml:space="preserve">. El presente proceso constitucional tiene por objeto resolver el conflicto positivo de competencia promovido por la Junta de Comunidades de Castilla-La Mancha frente al anexo XI: artículos 1, 2, 3 y demás preceptos concordantes que incluyan determinaciones relativas a cuencas intracomunitarias del Real Decreto 1/2016, de 8 de enero, por el que se aprueba </w:t>
      </w:r>
      <w:r>
        <w:lastRenderedPageBreak/>
        <w:t>la revisión de los planes hidrológicos de varias demarcaciones hidrográficas, entre ellas, la del Júcar a la que, en concreto, se refiere la impugnación.</w:t>
      </w:r>
    </w:p>
    <w:p w:rsidR="00A90898" w:rsidRDefault="00A90898" w:rsidP="00A90898">
      <w:pPr>
        <w:pStyle w:val="TextoNormal"/>
      </w:pPr>
    </w:p>
    <w:p w:rsidR="00A90898" w:rsidRDefault="00A90898" w:rsidP="00A90898">
      <w:pPr>
        <w:pStyle w:val="TextoNormal"/>
      </w:pPr>
      <w:r>
        <w:t>Para la Comunidad Autónoma promotora del conflicto, los preceptos citados exceden la competencia del Estado en materia de aguas (</w:t>
      </w:r>
      <w:r w:rsidRPr="00A90898">
        <w:rPr>
          <w:i/>
        </w:rPr>
        <w:t>ex</w:t>
      </w:r>
      <w:r>
        <w:t>, art. 149.1.22 CE) en cuanto, al suponer la inclusión en la demarcación hidrográfica del Júcar de determinadas cuencas hidrográficas intracomunitarias de la Comunidad Autónoma de Valencia, aunque sea provisionalmente, se vulneran las competencias de ésta y se afecta también a numerosas competencias de la Comunidad de Castilla-La Mancha que dependen de la disponibilidad del agua (sobre urbanismo, turismo, pesca y otras, además de la competencia autonómica sobre recursos hidráulicos de su territorio). La extralimitación competencial que se alega, dice la promotora del conflicto, también tiene repercusión directa sobre la representación que le corresponde en los órganos colegiados de la demarcación.</w:t>
      </w:r>
    </w:p>
    <w:p w:rsidR="00A90898" w:rsidRDefault="00A90898" w:rsidP="00A90898">
      <w:pPr>
        <w:pStyle w:val="TextoNormal"/>
      </w:pPr>
    </w:p>
    <w:p w:rsidR="00A90898" w:rsidRDefault="00A90898" w:rsidP="00A90898">
      <w:pPr>
        <w:pStyle w:val="TextoNormal"/>
      </w:pPr>
      <w:r>
        <w:t>Por su parte, el Abogado del Estado considera que el conflicto es inadmisible por falta de legitimación de la Comunidad Autónoma de Castilla-La Mancha para formularlo y por extemporáneo. En todo caso, argumenta que el proceso debe circunscribirse al artículo 1 del anexo XI del Real Decreto 1/2016 y que el ámbito territorial de la demarcación hidrográfica del Júcar es consecuencia de varias sentencias del Tribunal Supremo y no conlleva extralimitación competencial.</w:t>
      </w:r>
    </w:p>
    <w:p w:rsidR="00A90898" w:rsidRDefault="00A90898" w:rsidP="00A90898">
      <w:pPr>
        <w:pStyle w:val="TextoNormal"/>
      </w:pPr>
    </w:p>
    <w:p w:rsidR="00A90898" w:rsidRDefault="00A90898" w:rsidP="00A90898">
      <w:pPr>
        <w:pStyle w:val="TextoNormal"/>
      </w:pPr>
      <w:r w:rsidRPr="00A90898">
        <w:rPr>
          <w:rStyle w:val="NumeroAFNegritaCaracter"/>
        </w:rPr>
        <w:t>2</w:t>
      </w:r>
      <w:r>
        <w:t>. Una vez expuestas sintéticamente las posiciones de las partes que se enfrentan en este proceso, hemos de delimitar primero el objeto del conflicto y contestar después a las cuestiones procesales que plantea el Abogado del Estado.</w:t>
      </w:r>
    </w:p>
    <w:p w:rsidR="00A90898" w:rsidRDefault="00A90898" w:rsidP="00A90898">
      <w:pPr>
        <w:pStyle w:val="TextoNormal"/>
      </w:pPr>
    </w:p>
    <w:p w:rsidR="00A90898" w:rsidRDefault="00A90898" w:rsidP="00A90898">
      <w:pPr>
        <w:pStyle w:val="TextoNormal"/>
      </w:pPr>
      <w:r>
        <w:t>En cuanto al objeto del presente conflicto, el mismo se dirige formalmente, no solo contra los artículos referidos del anexo XI del Real Decreto 1/2016, de 8 de enero, por el que se aprobó la revisión de los planes hidrológicos de las demarcaciones hidrográficas del Cantábrico Occidental, Guadalquivir, Ceuta, Melilla, Segura y Júcar, y de la parte española de las demarcaciones hidrográficas del Cantábrico Oriental, Miño-Sil, Duero, Tajo, Guadiana y Ebro (en adelante, Real Decreto 1/2016). El escrito de la actora, también se refiere al art. 2.3 y la disposición transitoria segunda del Real Decreto 125/2007, de 2 de febrero (Real Decreto 125/2007), por el que se fijó el ámbito territorial de las demarcaciones hidrográficas y al art. 1.8 del Real Decreto 650/1987, de 8 de mayo (Real Decreto 650/1987), de definición de los ámbitos territoriales de los organismos de cuenca y de los planes hidrológicos, ambos modificados por el Real Decreto 775/2015, de 28 de agosto (Real Decreto 775/2015).</w:t>
      </w:r>
    </w:p>
    <w:p w:rsidR="00A90898" w:rsidRDefault="00A90898" w:rsidP="00A90898">
      <w:pPr>
        <w:pStyle w:val="TextoNormal"/>
      </w:pPr>
    </w:p>
    <w:p w:rsidR="00A90898" w:rsidRDefault="00A90898" w:rsidP="00A90898">
      <w:pPr>
        <w:pStyle w:val="TextoNormal"/>
      </w:pPr>
      <w:r>
        <w:t>Sin embargo, a pesar de lo anterior, la demanda no esgrime argumentación alguna sobre el art. 1.8 del Real Decreto 650/1987; ni respecto de la disposición transitoria segunda del Real Decreto 125/2007. El primer precepto únicamente se transcribe y, en cuanto a la disposición transitoria, ni siquiera se menciona ésta en el cuerpo de la demanda.</w:t>
      </w:r>
    </w:p>
    <w:p w:rsidR="00A90898" w:rsidRDefault="00A90898" w:rsidP="00A90898">
      <w:pPr>
        <w:pStyle w:val="TextoNormal"/>
      </w:pPr>
    </w:p>
    <w:p w:rsidR="00A90898" w:rsidRDefault="00A90898" w:rsidP="00A90898">
      <w:pPr>
        <w:pStyle w:val="TextoNormal"/>
      </w:pPr>
      <w:r>
        <w:t xml:space="preserve">Respecto a los artículos del anexo XI del Real Decreto 1/2016 considerados inconstitucionales, se razona la impugnación del art. 1, en el que se centra el conflicto, en cuanto establece que el ámbito territorial de la demarcación hidrográfica del Júcar, es el definido por el artículo 2.3 del Real Decreto 125/2007, con inclusión de determinadas cuencas intracomunitarias de la Comunidad Valenciana. Nada se dice específicamente sobre los arts. 2 y 3 del anexo XI, que definen y enumeran los sistemas de explotación de la demarcación </w:t>
      </w:r>
      <w:r>
        <w:lastRenderedPageBreak/>
        <w:t>(art.2) y precisan como acceder vía web al sistema de información del agua SIA-Júcar (art. 3), sin mención expresa alguna a cuencas intracomunitarias.</w:t>
      </w:r>
    </w:p>
    <w:p w:rsidR="00A90898" w:rsidRDefault="00A90898" w:rsidP="00A90898">
      <w:pPr>
        <w:pStyle w:val="TextoNormal"/>
      </w:pPr>
    </w:p>
    <w:p w:rsidR="00A90898" w:rsidRDefault="00A90898" w:rsidP="00A90898">
      <w:pPr>
        <w:pStyle w:val="TextoNormal"/>
      </w:pPr>
      <w:r>
        <w:t>Nada se argumenta tampoco sobre el resto de preceptos del anexo XI del Real Decreto 1/2016, integrado por 60 artículos y 14 apéndices, salvo que se impugnan los que se refieran “expresamente o por remisión” a cuencas hidrográficas de carácter intracomunitario. No se especifica los que hacen tal cosa, ni se argumenta nada sobre el contenido del exceso competencial que en cada caso, a la vista de la concreta regulación positiva de tales preceptos, se invoca. La única posible excepción a este respecto, es la del art. 20. A).1 a).iv del anexo XI al que, aunque sea de forma escueta, refiriéndose a la legitimación de la recurrente y a modo de ejemplo, se alude expresamente en la demanda para denunciar que supone la reserva y asignación de recursos hídricos de la demarcación a cuencas hidrográficas intracomunitarias.</w:t>
      </w:r>
    </w:p>
    <w:p w:rsidR="00A90898" w:rsidRDefault="00A90898" w:rsidP="00A90898">
      <w:pPr>
        <w:pStyle w:val="TextoNormal"/>
      </w:pPr>
    </w:p>
    <w:p w:rsidR="00A90898" w:rsidRDefault="00A90898" w:rsidP="00A90898">
      <w:pPr>
        <w:pStyle w:val="TextoNormal"/>
      </w:pPr>
      <w:r>
        <w:t>Por ello, habremos de atenernos a la doctrina que hemos mantenido en supuestos similares, reproducida por ejemplo en la STC 112/2013 [FJ 2 b)], según la cual: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A90898" w:rsidRDefault="00A90898" w:rsidP="00A90898">
      <w:pPr>
        <w:pStyle w:val="TextoNormal"/>
      </w:pPr>
    </w:p>
    <w:p w:rsidR="00A90898" w:rsidRDefault="00A90898" w:rsidP="00A90898">
      <w:pPr>
        <w:pStyle w:val="TextoNormal"/>
      </w:pPr>
      <w:r>
        <w:t>La conclusión de lo expuesto es que, el objeto del presente proceso queda limitado al art. 1 del anexo XI del Real Decreto 1/2016, en cuanto se remite al art. 2.3 del Real Decreto 125/2007 y al art. 20 A).1 a).iv del mismo anexo.</w:t>
      </w:r>
    </w:p>
    <w:p w:rsidR="00A90898" w:rsidRDefault="00A90898" w:rsidP="00A90898">
      <w:pPr>
        <w:pStyle w:val="TextoNormal"/>
      </w:pPr>
    </w:p>
    <w:p w:rsidR="00A90898" w:rsidRDefault="00A90898" w:rsidP="00A90898">
      <w:pPr>
        <w:pStyle w:val="TextoNormal"/>
      </w:pPr>
      <w:r w:rsidRPr="00A90898">
        <w:rPr>
          <w:rStyle w:val="NumeroAFNegritaCaracter"/>
        </w:rPr>
        <w:t>3</w:t>
      </w:r>
      <w:r>
        <w:t>. A partir de lo anterior, estamos ya en condiciones de examinar, primeramente, la supuesta extemporaneidad del conflicto alegada por el representante de la Administración.</w:t>
      </w:r>
    </w:p>
    <w:p w:rsidR="00A90898" w:rsidRDefault="00A90898" w:rsidP="00A90898">
      <w:pPr>
        <w:pStyle w:val="TextoNormal"/>
      </w:pPr>
    </w:p>
    <w:p w:rsidR="00A90898" w:rsidRDefault="00A90898" w:rsidP="00A90898">
      <w:pPr>
        <w:pStyle w:val="TextoNormal"/>
      </w:pPr>
      <w:r>
        <w:t>En efecto, según el Abogado del Estado, el conflicto debe ser inadmitido puesto que el art.1 del Anexo XI del Real Decreto 1/2016, se limita, como se ha indicado, a disponer: “El ámbito territorial de la Demarcación Hidrográfica del Júcar es el definido por el artículo 2.3 del Real Decreto 125/2007, de 2 de febrero, por el que se fija el ámbito territorial de las demarcaciones hidrográficas”. Ello, siendo así que el susodicho art. 2.3 del Real Decreto 125/2007, no fue impugnado en su momento.</w:t>
      </w:r>
    </w:p>
    <w:p w:rsidR="00A90898" w:rsidRDefault="00A90898" w:rsidP="00A90898">
      <w:pPr>
        <w:pStyle w:val="TextoNormal"/>
      </w:pPr>
    </w:p>
    <w:p w:rsidR="00A90898" w:rsidRDefault="00A90898" w:rsidP="00A90898">
      <w:pPr>
        <w:pStyle w:val="TextoNormal"/>
      </w:pPr>
      <w:r>
        <w:t xml:space="preserve">A juicio del representante de la Administración, el art. 2.3 del Real Decreto 125/2007, debió ser recurrido a partir de la modificación de su tenor que llevó a cabo el Real Decreto </w:t>
      </w:r>
      <w:r>
        <w:lastRenderedPageBreak/>
        <w:t>255/2013, de 12 de abril (Real Decreto 255/2013), que estableció la composición, estructura y funcionamiento del Consejo del agua de la demarcación hidrográfica del Júcar y modificó diversas normas relativas al ámbito y constitución de dicha demarcación hidrográfica y de la Confederación Hidrográfica del Júcar. Esta fue la norma, según esta parte procesal, que incluyó en el art. 2.3 Real Decreto 125/2007, las cuencas intracomunitarias valencianas, lo que determina el supuesto vicio de incompetencia que se denuncia. Por ello, el Abogado del Estado considera que la Comunidad Autónoma de Castilla-La Mancha, incurre en un error al entender que la modificación relevante del art. 2.3 del Real Decreto 125/2007, fue la llevada a cabo por el Real Decreto 775/2015, en lugar de la introducida por el Real Decreto 255/2013.</w:t>
      </w:r>
    </w:p>
    <w:p w:rsidR="00A90898" w:rsidRDefault="00A90898" w:rsidP="00A90898">
      <w:pPr>
        <w:pStyle w:val="TextoNormal"/>
      </w:pPr>
    </w:p>
    <w:p w:rsidR="00A90898" w:rsidRDefault="00A90898" w:rsidP="00A90898">
      <w:pPr>
        <w:pStyle w:val="TextoNormal"/>
      </w:pPr>
      <w:r>
        <w:t xml:space="preserve">Para resolver la causa de inadmisibilidad alegada en los términos expuestos, no es preciso analizar si la modificación del art. 2.3 del Real Decreto 125/2007 que, según la tesis del representante de la Administración, debió impugnarse en su momento, fue la llevada a cabo por el Real Decreto 255/2013 o por el Real Decreto 775/2015. En cualquier caso, al formularse el presente conflicto, había transcurrido el plazo para impugnar ante este Tribunal cualquiera de ambas normas. En concreto, en cuanto al Real Decreto 775/2015, aunque sus artículos primero y segundo se incluyeron por la Comunidad Autónoma de Castilla-La Mancha en el requerimiento de incompetencia dirigido al Estado previo al presente conflicto </w:t>
      </w:r>
      <w:r w:rsidRPr="00A90898">
        <w:rPr>
          <w:i/>
        </w:rPr>
        <w:t>ex</w:t>
      </w:r>
      <w:r>
        <w:t xml:space="preserve"> art. 63.2 de la Ley Orgánica del Tribunal Constitucional (LOTC), al formularse éste, el 8 de marzo de 2016, había transcurrido con creces el plazo de dos meses desde la publicación de dicho Real Decreto (el 29 de agosto de 2015), aunque no desde la publicación del Real Decreto 1/2016 (el 19 de enero de ese año).</w:t>
      </w:r>
    </w:p>
    <w:p w:rsidR="00A90898" w:rsidRDefault="00A90898" w:rsidP="00A90898">
      <w:pPr>
        <w:pStyle w:val="TextoNormal"/>
      </w:pPr>
    </w:p>
    <w:p w:rsidR="00A90898" w:rsidRDefault="00A90898" w:rsidP="00A90898">
      <w:pPr>
        <w:pStyle w:val="TextoNormal"/>
      </w:pPr>
      <w:r>
        <w:t>Por tanto, lo que hemos de analizar, partiendo de la base de que el art. 1 del anexo XI del Real Decreto 1/2016, se limita, en lo aquí controvertido, a remitirse a un precepto de otra norma reglamentaria que no fue impugnada en esta sede en tiempo y forma, es si ello supone que el presente conflicto devenga extemporáneo.</w:t>
      </w:r>
    </w:p>
    <w:p w:rsidR="00A90898" w:rsidRDefault="00A90898" w:rsidP="00A90898">
      <w:pPr>
        <w:pStyle w:val="TextoNormal"/>
      </w:pPr>
    </w:p>
    <w:p w:rsidR="00A90898" w:rsidRDefault="00A90898" w:rsidP="00A90898">
      <w:pPr>
        <w:pStyle w:val="TextoNormal"/>
      </w:pPr>
      <w:r>
        <w:t>A este respecto, hemos de partir de la doctrina constitucional sentada ya en la STC 26/1982, de 24 de mayo (FJ 1), a cuyo tenor: “en el campo de los conflictos constitucionales la no impugnación de una disposición general por el Estado o la Comunidad Autónoma cuyas competencias hayan podido verse afectadas no implica en modo alguno la imposibilidad de instar el conflicto sobre el mismo objeto en relación con cualquier disposición, acto o resolución posterior, aun cuando sea mera reproducción, ampliación, modificación, confirmación o aplicación de aquélla. Así lo exige el carácter indisponible de las competencias constitucionales, cuya distribución entre el Estado y las Comunidades Autónomas responde a la forma de organización territorial del Estado configurada por la Constitución y que no puede verse alterada por la pasividad temporal de cualquiera de los entes interesados frente al indebido ejercicio de sus competencias por parte del otro.</w:t>
      </w:r>
    </w:p>
    <w:p w:rsidR="00A90898" w:rsidRDefault="00A90898" w:rsidP="00A90898">
      <w:pPr>
        <w:pStyle w:val="TextoNormal"/>
      </w:pPr>
    </w:p>
    <w:p w:rsidR="00A90898" w:rsidRDefault="00A90898" w:rsidP="00A90898">
      <w:pPr>
        <w:pStyle w:val="TextoNormal"/>
      </w:pPr>
      <w:r>
        <w:t>De ahí que la LOTC expresamente admita que el requerimiento de incompetencia (que, según los casos, puede o debe preceder al planteamiento del conflicto), no sólo pueda formularse en un determinado plazo computado a partir de la publicación o comunicación de la disposición, resolución o acto que se entiendan viciados de incompetencia, sino también ‘con motivo de un acto concreto de aplicación’ (artículo 63.2)”.</w:t>
      </w:r>
    </w:p>
    <w:p w:rsidR="00A90898" w:rsidRDefault="00A90898" w:rsidP="00A90898">
      <w:pPr>
        <w:pStyle w:val="TextoNormal"/>
      </w:pPr>
    </w:p>
    <w:p w:rsidR="00A90898" w:rsidRDefault="00A90898" w:rsidP="00A90898">
      <w:pPr>
        <w:pStyle w:val="TextoNormal"/>
      </w:pPr>
      <w:r>
        <w:lastRenderedPageBreak/>
        <w:t>En consonancia con la doctrina trascrita, el conflicto interpuesto frente al artículo 1 del anexo XI del Real Decreto 1/2016, no es extemporáneo, aunque dicho precepto se limite a remitirse, en cuanto al ámbito territorial de la demarcación hidrográfica del Júcar, al establecido en otro Real Decreto que no fue debidamente impugnado.</w:t>
      </w:r>
    </w:p>
    <w:p w:rsidR="00A90898" w:rsidRDefault="00A90898" w:rsidP="00A90898">
      <w:pPr>
        <w:pStyle w:val="TextoNormal"/>
      </w:pPr>
    </w:p>
    <w:p w:rsidR="00A90898" w:rsidRDefault="00A90898" w:rsidP="00A90898">
      <w:pPr>
        <w:pStyle w:val="TextoNormal"/>
      </w:pPr>
      <w:r w:rsidRPr="00A90898">
        <w:rPr>
          <w:rStyle w:val="NumeroAFNegritaCaracter"/>
        </w:rPr>
        <w:t>4</w:t>
      </w:r>
      <w:r>
        <w:t>. Además de la extemporaneidad del conflicto, se alega por la demandada, la falta de legitimación de la Comunidad Autónoma de Castilla-La Mancha para promoverlo en los términos en que lo hace. Ello, en cuanto la recurrente, no plantea la invasión por el Estado, autor del Real Decreto 1/2016, de una competencia propia sino de la competencia de otra Comunidad (la Valenciana) que no es parte en el proceso. Se añade, en los términos ya referidos, que el interés legítimo que alega la recurrente, ligado a una supuesta incidencia negativa de la regulación impugnada, sobre su representación en los órganos colegiados de la demarcación hidrográfica del Júcar, ni se acredita, ni es tal.</w:t>
      </w:r>
    </w:p>
    <w:p w:rsidR="00A90898" w:rsidRDefault="00A90898" w:rsidP="00A90898">
      <w:pPr>
        <w:pStyle w:val="TextoNormal"/>
      </w:pPr>
    </w:p>
    <w:p w:rsidR="00A90898" w:rsidRDefault="00A90898" w:rsidP="00A90898">
      <w:pPr>
        <w:pStyle w:val="TextoNormal"/>
      </w:pPr>
      <w:r>
        <w:t>A fin de analizar adecuadamente si la Comunidad recurrente ostenta o no legitimación para promover el presente proceso, hemos de precisar, partiendo de la demanda y de la definición del ámbito territorial de la demarcación hidrográfica del Júcar que realiza el art. 2.3 del Real Decreto 125/2007, al que se remite el art. 1 del anexo XI del Real Decreto 1/2016 que, dicho precepto, incluye en el ámbito de la demarcación litigiosa, en lo que ahora interesa, además de las cuencas hidrográficas intercomunitarias: “provisionalmente, en tanto se efectúa el correspondiente traspaso de funciones y servicios en materia de recursos y aprovechamientos hidráulicos, el territorio de las cuencas hidrográficas intracomunitarias comprendido entre la margen izquierda de la Gola del Segura en su desembocadura y la desembocadura del río Cenia, incluido su cuenca; y además la cuenca endorreica de Pozohondo y el endorreísmo natural formado por el sistema que constituyen los ríos Quejola, Jardín y Lezuza y la zona de Los Llanos, junto con las aguas de transición”.</w:t>
      </w:r>
    </w:p>
    <w:p w:rsidR="00A90898" w:rsidRDefault="00A90898" w:rsidP="00A90898">
      <w:pPr>
        <w:pStyle w:val="TextoNormal"/>
      </w:pPr>
    </w:p>
    <w:p w:rsidR="00A90898" w:rsidRDefault="00A90898" w:rsidP="00A90898">
      <w:pPr>
        <w:pStyle w:val="TextoNormal"/>
      </w:pPr>
      <w:r>
        <w:t>Por tanto, en el art. 2.3 del Real Decreto 125/2007, se mencionan dos grupos de cuencas intracomunitarias: las valencianas, identificadas por estar comprendidas entre las desembocaduras de la Gola del Segura y del río Cenia y las castellano-manchegas caracterizadas por ser cuencas endorreicas, esto es, sin salida al mar. Sin embargo, y esto es lo que en este momento importa destacar, la demanda, no hace referencia a las cuencas endorreicas de Castilla-La Mancha, ni reivindica competencia alguna de la Comunidad recurrente sobre ellas, ni invoca lesión o menoscabo competencial al respecto, centrándose en las cuencas valencianas.</w:t>
      </w:r>
    </w:p>
    <w:p w:rsidR="00A90898" w:rsidRDefault="00A90898" w:rsidP="00A90898">
      <w:pPr>
        <w:pStyle w:val="TextoNormal"/>
      </w:pPr>
    </w:p>
    <w:p w:rsidR="00A90898" w:rsidRDefault="00A90898" w:rsidP="00A90898">
      <w:pPr>
        <w:pStyle w:val="TextoNormal"/>
      </w:pPr>
      <w:r>
        <w:t xml:space="preserve">A partir de lo anterior, al referirnos a los conflictos positivos de competencia promovidos por las Comunidades Autónomas, partiendo del art. 63.1 LOTC, hemos declarado (por todas, STC 6/2012, de 18 de enero, FJ 3): “el objeto y los límites del conflicto positivo de competencia se han interpretado con un criterio amplio, comprensivo no sólo de los supuestos que cabría calificar como normales, en los que el ente que plantea el conflicto ejerce una verdadera </w:t>
      </w:r>
      <w:r w:rsidRPr="00A90898">
        <w:rPr>
          <w:i/>
        </w:rPr>
        <w:t>vindicatio potestatis</w:t>
      </w:r>
      <w:r>
        <w:t xml:space="preserve"> por considerarse despojado de una competencia que le corresponde, sino también de aquellos otros supuestos en los que no se reivindica </w:t>
      </w:r>
      <w:r w:rsidRPr="00A90898">
        <w:rPr>
          <w:i/>
        </w:rPr>
        <w:t xml:space="preserve">stricto sensu </w:t>
      </w:r>
      <w:r>
        <w:t>una competencia como propia, sino que se pretende la anulación del acto o disposición objeto del conflicto porque no ha respetado el orden de competencias establecido, en menoscabo de las que corresponden al ente que promueve el conflicto (ATC 886/1988, de 5 de julio, FJ 1).”</w:t>
      </w:r>
    </w:p>
    <w:p w:rsidR="00A90898" w:rsidRDefault="00A90898" w:rsidP="00A90898">
      <w:pPr>
        <w:pStyle w:val="TextoNormal"/>
      </w:pPr>
    </w:p>
    <w:p w:rsidR="00A90898" w:rsidRDefault="00A90898" w:rsidP="00A90898">
      <w:pPr>
        <w:pStyle w:val="TextoNormal"/>
      </w:pPr>
      <w:r>
        <w:lastRenderedPageBreak/>
        <w:t>No obstante, también hemos precisado (por ejemplo, en la STC 44/2007, de 1 de marzo, citada en la STC 6/2012, FJ 5), que “en este tipo de procesos no puede dejarse de alegar la transgresión o infracción de las normas que conforman el orden constitucional de distribución de competencias de forma que lo que en modo alguno puede soslayarse es la existencia de una competencia del recurrente materialmente afectada”. Así: “la existencia de un conflicto positivo de competencias implica necesariamente la discusión competencial relativa, no a las competencias de un tercero que no ha sido parte en un proceso de este tipo, sino a la precisa delimitación y defensa de las competencias de la parte actora que se entienden puestas en cuestión por la actuación del demandado” pues: “la alegación de la infracción de la norma estatal por sí sola no tiene virtualidad para constituir el presupuesto previo e imprescindible de un conflicto positivo de competencias si a ello no se une la lesión real y efectiva de la competencia propia” (STC 44/2007, FJ 7). En definitiva: “la necesaria conexión con el ámbito competencial propio” es “presupuesto necesario e insoslayable del conflicto positivo de competencia” (STC 44/2007, FJ 9).</w:t>
      </w:r>
    </w:p>
    <w:p w:rsidR="00A90898" w:rsidRDefault="00A90898" w:rsidP="00A90898">
      <w:pPr>
        <w:pStyle w:val="TextoNormal"/>
      </w:pPr>
    </w:p>
    <w:p w:rsidR="00A90898" w:rsidRDefault="00A90898" w:rsidP="00A90898">
      <w:pPr>
        <w:pStyle w:val="TextoNormal"/>
      </w:pPr>
      <w:r>
        <w:t>En línea con lo expuesto, ya desde las SSTC 11/1984 y 104/1988, hemos admitido los llamados conflictos de “lesión por menoscabo” que hemos diferenciado de los conflictos basados en la reivindicación competencial y que, obviamente, exigen para su correcto planteamiento, que se afirme por su promotora una afección negativa del propio ámbito competencial. Como ya dijimos en la STC 104/1988, FJ 1: “no resulta indispensable que el ente que plantea el conflicto recabe para sí la competencia ejercida por otro” pero sí que: “la actuación del otro afecte a su propio ámbito de autonomía ‘condicionando o configurando de forma que juzga inadecuadas las competencias que en virtud de esa autonomía ostenta’ (STC 11/1984)”.</w:t>
      </w:r>
    </w:p>
    <w:p w:rsidR="00A90898" w:rsidRDefault="00A90898" w:rsidP="00A90898">
      <w:pPr>
        <w:pStyle w:val="TextoNormal"/>
      </w:pPr>
    </w:p>
    <w:p w:rsidR="00A90898" w:rsidRDefault="00A90898" w:rsidP="00A90898">
      <w:pPr>
        <w:pStyle w:val="TextoNormal"/>
      </w:pPr>
      <w:r w:rsidRPr="00A90898">
        <w:rPr>
          <w:rStyle w:val="NumeroAFNegritaCaracter"/>
        </w:rPr>
        <w:t>5</w:t>
      </w:r>
      <w:r>
        <w:t>. Una vez sintetizada nuestra doctrina al respecto, como ya se ha adelantado, la Comunidad promotora del conflicto, no reivindica la gestión de las cuencas intracomunitarias endorreicas sitas en su propio territorio. Tampoco, la de las cuencas valencianas incluidas en la demarcación hidrográfica del Júcar, a su juicio de forma inconstitucional, respecto de las que se asume que las competencias invadidas serían las de la Comunidad Valenciana. Por tanto, no se realiza en el presente proceso una reivindicación competencial. Así lo confirma el suplico de la demanda en el que la actora se limita a pedir la declaración de inconstitucionalidad de las normas que impugna, sin solicitar que se declare la titularidad de las competencias supuestamente controvertidas en favor de persona alguna.</w:t>
      </w:r>
    </w:p>
    <w:p w:rsidR="00A90898" w:rsidRDefault="00A90898" w:rsidP="00A90898">
      <w:pPr>
        <w:pStyle w:val="TextoNormal"/>
      </w:pPr>
    </w:p>
    <w:p w:rsidR="00A90898" w:rsidRDefault="00A90898" w:rsidP="00A90898">
      <w:pPr>
        <w:pStyle w:val="TextoNormal"/>
      </w:pPr>
      <w:r>
        <w:t>Sin embargo, sí intenta la recurrente argumentar que, a pesar de lo dicho, resulta menoscabado o afectado su ámbito competencial conforme a lo exigido por nuestra doctrina. Ello, se defiende en un doble sentido: de una parte, se invocan competencias autonómicas que, según la actora, resultan afectadas, citando, no solo la competencia del art. 31.1.8 EACM sobre aguas interiores, sino también otras competencias, en varias materias (desde urbanismo a turismo) que, dice, “dependen de la disponibilidad del agua”. Además, se esgrime una afección más concreta, vinculada a una supuesta menor representación de la Comunidad en los órganos colegiados de la confederación hidrográfica que sería consecuencia de la, correlativamente mayor, representación valenciana, al incluirse indebidamente en la demarcación sus cuencas intracomunitarias.</w:t>
      </w:r>
    </w:p>
    <w:p w:rsidR="00A90898" w:rsidRDefault="00A90898" w:rsidP="00A90898">
      <w:pPr>
        <w:pStyle w:val="TextoNormal"/>
      </w:pPr>
    </w:p>
    <w:p w:rsidR="00A90898" w:rsidRDefault="00A90898" w:rsidP="00A90898">
      <w:pPr>
        <w:pStyle w:val="TextoNormal"/>
      </w:pPr>
      <w:r>
        <w:lastRenderedPageBreak/>
        <w:t>Frente a lo alegado por la actora, no basta para considerar concurrente la imprescindible conexión con el ámbito competencial propio, que exige el conflicto positivo de competencia, la invocación genérica de títulos competenciales diversos, sin más relación con el objeto del litigio que la hipotética utilización del recurso natural sobre el que éste versa que, además, como es el caso del agua, es necesario para prácticamente cualquier actividad. La afección del ámbito competencial del promotor del conflicto, como hemos declarado, ha de ser real, efectiva y concreta, lo que supone que ha de afirmarse un menoscabo, limitación o condicionamiento de una competencia propia, identificada en términos precisos y actuales; no, como en este caso, en términos indiscriminados, generales y puramente hipotéticos.</w:t>
      </w:r>
    </w:p>
    <w:p w:rsidR="00A90898" w:rsidRDefault="00A90898" w:rsidP="00A90898">
      <w:pPr>
        <w:pStyle w:val="TextoNormal"/>
      </w:pPr>
    </w:p>
    <w:p w:rsidR="00A90898" w:rsidRDefault="00A90898" w:rsidP="00A90898">
      <w:pPr>
        <w:pStyle w:val="TextoNormal"/>
      </w:pPr>
      <w:r>
        <w:t>En definitiva, la Comunidad Autónoma de Castilla-La Mancha no explica mínimamente de qué manera su ámbito competencial se ve menoscabado por la inclusión en la demarcación hidrográfica del Júcar de determinadas cuencas intracomunitarias valencianas que, a su juicio, deberían excluirse de la misma. Tampoco hace referencia, como venimos reiterando, a cuenca intracomunitaria alguna de su territorio, indebidamente incluida por el Estado en la demarcación hidrográfica del Júcar.</w:t>
      </w:r>
    </w:p>
    <w:p w:rsidR="00A90898" w:rsidRDefault="00A90898" w:rsidP="00A90898">
      <w:pPr>
        <w:pStyle w:val="TextoNormal"/>
      </w:pPr>
    </w:p>
    <w:p w:rsidR="00A90898" w:rsidRDefault="00A90898" w:rsidP="00A90898">
      <w:pPr>
        <w:pStyle w:val="TextoNormal"/>
      </w:pPr>
      <w:r>
        <w:t>Si la propia actora no considera vulnerada o invadida su competencia en materia de aguas interiores y recursos hidráulicos, puesto que no aspira a gestionar las cuencas litigiosas, menos aún se ven negativamente afectadas sus otras competencias, tan genéricamente invocadas, por mucho que requieran la disponibilidad del agua. Incluso, si admitiéramos a efectos puramente dialécticos esta argumentación, como indicadora de una posible afección de las competencias autonómicas, tendríamos también que descartarla puesto que no se nos indica, cómo o en qué medida, sería mayor la disponibilidad del agua en la Comunidad castellano-manchega si se estimara el conflicto.</w:t>
      </w:r>
    </w:p>
    <w:p w:rsidR="00A90898" w:rsidRDefault="00A90898" w:rsidP="00A90898">
      <w:pPr>
        <w:pStyle w:val="TextoNormal"/>
      </w:pPr>
    </w:p>
    <w:p w:rsidR="00A90898" w:rsidRDefault="00A90898" w:rsidP="00A90898">
      <w:pPr>
        <w:pStyle w:val="TextoNormal"/>
      </w:pPr>
      <w:r>
        <w:t>A este respecto y en particular, no es suficiente la invocación que, mediante su sola mención, hace la demanda al art. 20 A).1 a).iv del anexo XI del Real Decreto 1/2016. Aunque hayamos admitido que este precepto forma parte del objeto del conflicto, ya que se razona sobre él (aunque sea de forma muy escueta, pero suficiente para entender la razón de su impugnación) la mera referencia a su contenido, no nos permite deducir una afección competencial propia de la promotora del conflicto. El precepto en cuestión, se limita a enumerar unos criterios generales de asignación y reserva de los recursos del rio Júcar, entre los cuales menciona en cuarto lugar, la posible utilización de recursos excedentes para paliar el déficit de abastecimientos del área del Vinalopó-Alacantí y Marina Baja. A esta previsión parece aludir la recurrente para justificar un interés castellano-manchego respecto de los recursos hídricos que afectan a esa Comunidad. Sin embargo, la demanda, como se ha dicho, solo cita el precepto como ejemplo, sin mayor explicación. A ello, se añade el hecho de que el artículo solo contempla una mera posibilidad de uso de los recursos excedentes y se remite a las normas de explotación que deberá elaborar el organismo de cuenca, según su apartado D), “con objeto de no rebajar las garantías del resto de usuarios del sistema de explotación del Júcar”. Por tanto, debemos también rechazar la legitimación de la recurrente para promover el conflicto basada, exclusivamente, en la formal invocación de esta norma.</w:t>
      </w:r>
    </w:p>
    <w:p w:rsidR="00A90898" w:rsidRDefault="00A90898" w:rsidP="00A90898">
      <w:pPr>
        <w:pStyle w:val="TextoNormal"/>
      </w:pPr>
    </w:p>
    <w:p w:rsidR="00A90898" w:rsidRDefault="00A90898" w:rsidP="00A90898">
      <w:pPr>
        <w:pStyle w:val="TextoNormal"/>
      </w:pPr>
      <w:r>
        <w:t>Por tanto, la primera supuesta lesión del propio ámbito competencial a la que alude la recurrente, no es bastante para fundar su legitimación en aras a la promoción del presente conflicto.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Tampoco podemos aceptar como justificación suficiente del menoscabo del ámbito competencial propio, a los efectos de considerar legitimada a la actora para formular el presente conflicto, la argumentación de la demanda relativa a una supuesta menor representación de Castilla-La Mancha en los órganos colegiados de la demarcación hidrográfica.</w:t>
      </w:r>
    </w:p>
    <w:p w:rsidR="00A90898" w:rsidRDefault="00A90898" w:rsidP="00A90898">
      <w:pPr>
        <w:pStyle w:val="TextoNormal"/>
      </w:pPr>
    </w:p>
    <w:p w:rsidR="00A90898" w:rsidRDefault="00A90898" w:rsidP="00A90898">
      <w:pPr>
        <w:pStyle w:val="TextoNormal"/>
      </w:pPr>
      <w:r>
        <w:t>La lesión se esgrime en este punto, nuevamente, en términos genéricos y puramente especulativos. De hecho, si se acude a las normas que fijan el número de vocales autonómicos en los órganos colegiados de la demarcación hidrográfica del Júcar a que se hace referencia, se constata que, el número de vocales castellano-manchegos y valencianos, no ha sufrido alteraciones a raíz de la regulación objeto de este conflicto. Ni el Real Decreto 924/1989, de 21 de julio, por el que se constituye el organismo de cuenca Confederación Hidrográfica del Júcar (cuyo art. 4 a, estableció la composición de su Junta de Gobierno, asignando vocales a las Comunidades Autónomas), ni el Real Decreto 255/2013 (cuyo art. 5.c, fija los vocales de las Comunidades Autónomas en el Consejo del agua de la demarcación hidrográfica del Júcar), han sido reformados a partir del Real Decreto 1/2016, ni tampoco del Real Decreto 125/2007, modificado por el Real Decreto 775/2015, a los que se imputa el supuesto menoscabo de la competencia autonómica. Es más, el art. 4, apartado a), del Real Decreto 924/1989 (que atribuye a Castilla-la Mancha tres vocales y a la Comunidad Valenciana, cinco), no ha sido modificado desde su aprobación, por lo que mantiene su redacción original. Y, en cuanto al art. 5 c) Real Decreto 255/2013, si se compara su redacción con la del art. 5 del Real Decreto 924/1989, que se refería al anterior Consejo del agua de la Cuenca, que se sustituye por el de la demarcación, se comprueba que mantiene la misma representación de la Comunidad de Castilla-La Mancha (seis vocales) y, si bien aumenta en uno el número de vocales de la Comunidad Valenciana (que pasan de diez a once) ello se explica en la exposición de motivos del propio Real Decreto 255/2013 como consecuencia de la asignación de un vocal a la Comunidad Autónoma de la Región de Murcia, sin referencia alguna al ámbito territorial de la demarcación o a las cuencas en ella incluidas.</w:t>
      </w:r>
    </w:p>
    <w:p w:rsidR="00A90898" w:rsidRDefault="00A90898" w:rsidP="00A90898">
      <w:pPr>
        <w:pStyle w:val="TextoNormal"/>
      </w:pPr>
    </w:p>
    <w:p w:rsidR="00A90898" w:rsidRDefault="00A90898" w:rsidP="00A90898">
      <w:pPr>
        <w:pStyle w:val="TextoNormal"/>
      </w:pPr>
      <w:r>
        <w:t>Incluso si se hubiera acreditado la menor representación a que se alude, tampoco se explica en la demanda cómo conllevaría la misma una afección negativa real sobre el ámbito competencial propio, la cual no se deduce automáticamente, como parece asumir la recurrente.</w:t>
      </w:r>
    </w:p>
    <w:p w:rsidR="00A90898" w:rsidRDefault="00A90898" w:rsidP="00A90898">
      <w:pPr>
        <w:pStyle w:val="TextoNormal"/>
      </w:pPr>
    </w:p>
    <w:p w:rsidR="00A90898" w:rsidRDefault="00A90898" w:rsidP="00A90898">
      <w:pPr>
        <w:pStyle w:val="TextoNormal"/>
      </w:pPr>
      <w:r>
        <w:t xml:space="preserve">En el Real Decreto-Legislativo 1/2001, de 20 de julio, que aprobó el texto refundido de la Ley de aguas, tanto las confederaciones hidrográficas en cuanto organismos de cuenca (arts. 21 y 22) como el Consejo del agua de la demarcación (art. 35), se refieren a las cuencas o demarcaciones hidrográficas que, por exceder del ámbito territorial de una Comunidad Autónoma, son de competencia estatal. En ambos casos, la representación en ellos de las Comunidades Autónomas, se articula como una fórmula de colaboración. Como dice el art. 25.1 del texto refundido de la Ley de aguas, se trata de favorecer “una mutua colaboración en el ejercicio de sus respectivas competencias”. Aunque el Consejo del Agua de la demarcación se configura esencialmente como órgano de participación, propuesta e informe (art.35.2 del texto refundido de la Ley de aguas) mientras que la Junta de Gobierno de las confederaciones hidrográficas es, junto con el Presidente, el órgano de gobierno de éstas, con algunas funciones ejecutivas, además de otras de propuesta y deliberación (art. 28 del texto refundido de la Ley de aguas), lo cierto es que, dado el número total de vocales de ambos órganos y la diversidad de su procedencia, la representación autonómica, enmarcada en el contexto de colaboración al que se ha hecho referencia, no conlleva poder de decisión </w:t>
      </w:r>
      <w:r>
        <w:lastRenderedPageBreak/>
        <w:t>en ningún caso, ni considerando a las Comunidades Autónomas por separado, ni conjuntamente. Así, partiendo de las normas sobre composición de las Juntas de Gobierno y del Consejo del agua (arts. 27 y 36 del texto refundido de la Ley de aguas) desarrolladas en el Real Decreto 927/1988, de 29 de julio, por el que se aprueba el Reglamento de la administración pública del agua y de la planificación hidrológica y en los precitados Reales Decretos 924/1989 y 255/2013, teniendo en cuenta que tales normas garantizan una importante representación en ambos órganos a los usuarios, otras administraciones públicas afectadas y, en el caso del consejo del agua, también de asociaciones y organizaciones de defensa de intereses ambientales, económicos y sociales relacionados con el agua, la Junta de Gobierno de la demarcación hidrográfica del Júcar cuenta con 33 vocales, de los que 10 son autonómicos (5 valencianos y 3 de Castilla-La Mancha) mientras que el Consejo del agua de la demarcación se compone de 87 vocales, 22 de ellos autonómicos (11 valencianos y 6 castellano-manchegos, según se ha dicho).</w:t>
      </w:r>
    </w:p>
    <w:p w:rsidR="00A90898" w:rsidRDefault="00A90898" w:rsidP="00A90898">
      <w:pPr>
        <w:pStyle w:val="TextoNormal"/>
      </w:pPr>
    </w:p>
    <w:p w:rsidR="00A90898" w:rsidRDefault="00A90898" w:rsidP="00A90898">
      <w:pPr>
        <w:pStyle w:val="TextoNormal"/>
      </w:pPr>
      <w:r>
        <w:t>Así, aunque el concreto número de representantes autonómicos que puedan incorporarse a la Junta de Gobierno de los organismos de cuenca o al Consejo del Agua, según el mismo texto refundido de la Ley de aguas, estará en función de la población y territorio autonómicos que se integren en cada demarcación, el ejercicio de la competencia autonómica que en este caso se plasma en funciones de colaboración y coordinación con el Estado, no depende tanto del concreto número de vocales de cada Comunidad en el órgano en cuestión, como de su presencia y voz en el mismo. En todo caso, el texto refundido de la Ley de aguas garantiza como mínimo un representante a las Comunidades Autónomas interesadas que se integren en dichos órganos [arts. 27 d) y 36 1.c) del texto refundido de la Ley de aguas]; mínimo este, ampliamente superado, como se ha visto, por la Comunidad castellano-manchega en el supuesto que ahora nos ocupa.</w:t>
      </w:r>
    </w:p>
    <w:p w:rsidR="00A90898" w:rsidRDefault="00A90898" w:rsidP="00A90898">
      <w:pPr>
        <w:pStyle w:val="TextoNormal"/>
      </w:pPr>
    </w:p>
    <w:p w:rsidR="00A90898" w:rsidRDefault="00A90898" w:rsidP="00A90898">
      <w:pPr>
        <w:pStyle w:val="TextoNormal"/>
      </w:pPr>
      <w:r>
        <w:t>Por tanto, incluso si la reducción de la representación de la Comunidad Autónoma recurrente en los órganos colegiados hidrológicos que se afirma, no fuera puramente hipotética y se hubiese materializado como consecuencia de la modificación del ámbito territorial de la demarcación hidrográfica, tampoco explica la promotora del conflicto, ni se aprecia, cómo ello supondría un menoscabo efectivo de su ámbito competencial. En definitiva, no se constata una relación de causalidad entre la hipotética reducción de la representación de la recurrente en los órganos confederales que alega y la limitación o condicionamiento de las facultades de colaboración que, en la materia, le corresponden.</w:t>
      </w:r>
    </w:p>
    <w:p w:rsidR="00A90898" w:rsidRDefault="00A90898" w:rsidP="00A90898">
      <w:pPr>
        <w:pStyle w:val="TextoNormal"/>
      </w:pPr>
    </w:p>
    <w:p w:rsidR="00A90898" w:rsidRDefault="00A90898" w:rsidP="00A90898">
      <w:pPr>
        <w:pStyle w:val="TextoNormal"/>
      </w:pPr>
      <w:r w:rsidRPr="00A90898">
        <w:rPr>
          <w:rStyle w:val="NumeroAFNegritaCaracter"/>
        </w:rPr>
        <w:t>7</w:t>
      </w:r>
      <w:r>
        <w:t>. De todo lo hasta aquí expuesto, se desprende que no se justifica en este caso, por la Comunidad Autónoma recurrente, la necesaria conexión con el ámbito competencial propio que es requisito indispensable de todo conflicto positivo de competencia.</w:t>
      </w:r>
    </w:p>
    <w:p w:rsidR="00A90898" w:rsidRDefault="00A90898" w:rsidP="00A90898">
      <w:pPr>
        <w:pStyle w:val="TextoNormal"/>
      </w:pPr>
    </w:p>
    <w:p w:rsidR="00A90898" w:rsidRDefault="00A90898" w:rsidP="00A90898">
      <w:pPr>
        <w:pStyle w:val="TextoNormal"/>
      </w:pPr>
      <w:r>
        <w:t>Lo anterior se confirma si se tiene en cuenta que, en el supuesto de que se estimara que el Estado no podía incluir en la demarcación hidrográfica del Júcar las cuencas intracomunitarias valencianas a que se refiere el art. 2.3 del Real Decreto 125/2007, al que se remite el art. 1 del anexo XI del Real Decreto 1/2016, la consecuencia que se seguiría no sería el reconocimiento de la competencia de la Comunidad recurrente sobre tales cuencas, sino la afectación de las competencias de la Generalitat Valenciana, que no ha sido parte en el proceso y tampoco ha reaccionado, como podría haber hecho, si hubiera considerado vulnerado su acervo competencial.</w:t>
      </w:r>
    </w:p>
    <w:p w:rsidR="00A90898" w:rsidRDefault="00A90898" w:rsidP="00A90898">
      <w:pPr>
        <w:pStyle w:val="TextoNormal"/>
      </w:pPr>
    </w:p>
    <w:p w:rsidR="00A90898" w:rsidRDefault="00A90898" w:rsidP="00A90898">
      <w:pPr>
        <w:pStyle w:val="TextoNormal"/>
      </w:pPr>
      <w:r>
        <w:lastRenderedPageBreak/>
        <w:t xml:space="preserve">Por todo ello, de modo similar a lo que concluimos en la STC 44/2007, de reiterada cita (FJ 10), o antes, en la STC 195/2001, de 4 de octubre, mencionada en la primera, la falta en el presente litigio de una auténtica </w:t>
      </w:r>
      <w:r w:rsidRPr="00A90898">
        <w:rPr>
          <w:i/>
        </w:rPr>
        <w:t>vindicatio potestatis</w:t>
      </w:r>
      <w:r>
        <w:t>, así como de un real menoscabo de las competencias de la Comunidad Autónoma de Castilla-La Mancha, determina que no se cumplan los presupuestos necesarios para la admisión del presente conflicto positivo de competencias.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Inadmitir el conflicto positivo de competencias num. 2740-2016 interpuesto por el Gobierno de la Comunidad Autónoma de Castilla-La Mancha.</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veinticinco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6" w:name="SENTENCIA_2016_217"/>
      <w:r>
        <w:lastRenderedPageBreak/>
        <w:t>SENTENCIA 217/2016, de 15 de diciembre de 2016</w:t>
      </w:r>
    </w:p>
    <w:bookmarkEnd w:id="96"/>
    <w:p w:rsidR="00A90898" w:rsidRDefault="00A90898" w:rsidP="00A90898">
      <w:pPr>
        <w:pStyle w:val="TtuloResolucin"/>
      </w:pPr>
      <w:r>
        <w:t>Pleno</w:t>
      </w:r>
    </w:p>
    <w:p w:rsidR="00A90898" w:rsidRDefault="00A90898" w:rsidP="00A90898">
      <w:pPr>
        <w:pStyle w:val="TtuloBOE"/>
      </w:pPr>
      <w:r>
        <w:t>(BOE núm. 17, de 20 de enero de 2017)</w:t>
      </w:r>
    </w:p>
    <w:p w:rsidR="00A90898" w:rsidRDefault="00A90898" w:rsidP="00A90898">
      <w:pPr>
        <w:pStyle w:val="TextoNormalCentrado"/>
      </w:pPr>
      <w:r>
        <w:t>ECLI:ES:TC:2016:217</w:t>
      </w:r>
    </w:p>
    <w:p w:rsidR="00A90898" w:rsidRDefault="00A90898" w:rsidP="00A90898">
      <w:pPr>
        <w:pStyle w:val="TextoNormalCentrado"/>
      </w:pPr>
    </w:p>
    <w:p w:rsidR="00A90898" w:rsidRDefault="00A90898" w:rsidP="00A90898">
      <w:pPr>
        <w:pStyle w:val="SntesisDescriptiva"/>
      </w:pPr>
      <w:r>
        <w:t>Recurso de inconstitucionalidad 4621-2016. Interpuesto por el Gobierno de Aragón en relación con el artículo 2 de la Ley 48/2015, de 29 de octubre, de presupuestos generales del Estado para 2016.</w:t>
      </w:r>
    </w:p>
    <w:p w:rsidR="00A90898" w:rsidRDefault="00A90898" w:rsidP="00A90898">
      <w:pPr>
        <w:pStyle w:val="SntesisDescriptiva"/>
      </w:pPr>
    </w:p>
    <w:p w:rsidR="00A90898" w:rsidRDefault="00A90898" w:rsidP="00A90898">
      <w:pPr>
        <w:pStyle w:val="SntesisAnaltica"/>
      </w:pPr>
      <w:r>
        <w:t>Principio de cooperación y funciones de las comisiones mixtas Estado-Comunidad Autónoma sobre asuntos económico-financieros: constitucionalidad del precepto legal que aprueba créditos para las inversiones estatales en Aragón a realizar durante el ejercicio presupuestario de 2016.</w:t>
      </w:r>
    </w:p>
    <w:p w:rsidR="00A90898" w:rsidRDefault="00A90898" w:rsidP="00A90898">
      <w:pPr>
        <w:pStyle w:val="SntesisAnaltica"/>
      </w:pPr>
    </w:p>
    <w:p w:rsidR="00A90898" w:rsidRDefault="00A90898" w:rsidP="00A90898">
      <w:pPr>
        <w:pStyle w:val="Extracto"/>
      </w:pPr>
      <w:r>
        <w:t>1.</w:t>
      </w:r>
      <w:r>
        <w:tab/>
        <w:t>El Estado es quien debe determinar los concretos términos, formas y condiciones de la participación de la Comunidad Autónoma que viene exigida por el texto estatutario, debiendo en todo caso quedar a salvo la titularidad de las competencias estatales eventualmente implicadas y la perfecta libertad que en su ejercicio corresponde a los organismos e instituciones del Estado (STC 31/2010) [FJ 5].</w:t>
      </w:r>
    </w:p>
    <w:p w:rsidR="00A90898" w:rsidRDefault="00A90898" w:rsidP="00A90898">
      <w:pPr>
        <w:pStyle w:val="Extracto"/>
      </w:pPr>
    </w:p>
    <w:p w:rsidR="00A90898" w:rsidRDefault="00A90898" w:rsidP="00A90898">
      <w:pPr>
        <w:pStyle w:val="Extracto"/>
      </w:pPr>
      <w:r>
        <w:t>2.</w:t>
      </w:r>
      <w:r>
        <w:tab/>
        <w:t>Corresponde en última instancia al Estado decidir su política de inversiones, lo que implica destinar los recursos teniendo en cuenta las partidas a dotar en función de las necesidades de cada territorio, entre otros criterios constitucionalmente admisibles, siendo en definitiva el ejercicio de esta opción parte del poder de disposición estatal sobre sus propios recursos, una de cuyas manifestaciones es la ley anual de presupuestos [FJ 5].</w:t>
      </w:r>
    </w:p>
    <w:p w:rsidR="00A90898" w:rsidRDefault="00A90898" w:rsidP="00A90898">
      <w:pPr>
        <w:pStyle w:val="Extracto"/>
      </w:pPr>
    </w:p>
    <w:p w:rsidR="00A90898" w:rsidRDefault="00A90898" w:rsidP="00A90898">
      <w:pPr>
        <w:pStyle w:val="Extracto"/>
      </w:pPr>
      <w:r>
        <w:t>3.</w:t>
      </w:r>
      <w:r>
        <w:tab/>
        <w:t>El principio de cooperación tiende a garantizar la participación de todos los entes involucrados en la toma de decisiones (STC 101/2016), pero no puede entenderse en un sentido que sustituya, impida o menoscabe el libre y pleno ejercicio por el Estado de sus propias competencias (STC 162/2012) [FJ 3]</w:t>
      </w:r>
    </w:p>
    <w:p w:rsidR="00A90898" w:rsidRDefault="00A90898" w:rsidP="00A90898">
      <w:pPr>
        <w:pStyle w:val="Extracto"/>
      </w:pPr>
    </w:p>
    <w:p w:rsidR="00A90898" w:rsidRDefault="00A90898" w:rsidP="00A90898">
      <w:pPr>
        <w:pStyle w:val="Extracto"/>
      </w:pPr>
      <w:r>
        <w:t>4.</w:t>
      </w:r>
      <w:r>
        <w:tab/>
        <w:t>Lo que el principio de lealtad constitucional exige es que el Gobierno extreme el celo por llegar a acuerdos con las Comunidades Autónomas, pero no que dichos acuerdos deban ser vinculantes (SSTC 209/1990 y 31/2010) [FJ 3].</w:t>
      </w:r>
    </w:p>
    <w:p w:rsidR="00A90898" w:rsidRDefault="00A90898" w:rsidP="00A90898">
      <w:pPr>
        <w:pStyle w:val="Extracto"/>
      </w:pPr>
    </w:p>
    <w:p w:rsidR="00A90898" w:rsidRDefault="00A90898" w:rsidP="00A90898">
      <w:pPr>
        <w:pStyle w:val="Extracto"/>
      </w:pPr>
      <w:r>
        <w:t>5.</w:t>
      </w:r>
      <w:r>
        <w:tab/>
        <w:t>De la Constitución y de la doctrina de este Tribunal se deduce un principio inherente de colaboración y lealtad constitucional, que postula la adopción de procedimientos de consulta, negociación o, en su caso, la búsqueda del acuerdo previo (STC 13/2007)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4621-2016 planteado por la Diputación General de Aragón contra el art. 2 de la Ley 48/2015, de 29 de octubre, de presupuestos generales del Estado para 2016, en cuanto aprueba créditos para las inversiones que el Estado realizará durante el ejercicio de 2016 en la Comunidad Autónoma de Aragón. Ha comparecido y formulado alegaciones el Abogado del Estado. Ha sido Ponente el Magistrado don Pedro José González-Trevijano Sánchez,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31 de agosto de 2016, el Letrado de la Comunidad Autónoma de Aragón, en la representación que legalmente ostenta de la Diputación General de Aragón, interpone recurso de inconstitucionalidad en relación con el art. 2 de la Ley 48/2015, de 29 de octubre, de presupuestos generales del Estado para 2016, en cuanto aprueba créditos para las inversiones que el Estado realizará durante el ejercicio de 2016 en la Comunidad Autónoma de Aragón.</w:t>
      </w:r>
    </w:p>
    <w:p w:rsidR="00A90898" w:rsidRDefault="00A90898" w:rsidP="00A90898">
      <w:pPr>
        <w:pStyle w:val="TextoNormal"/>
      </w:pPr>
    </w:p>
    <w:p w:rsidR="00A90898" w:rsidRDefault="00A90898" w:rsidP="00A90898">
      <w:pPr>
        <w:pStyle w:val="TextoNormal"/>
      </w:pPr>
      <w:r>
        <w:t>El recurso se basa en los motivos que, sucintamente, se exponen a continuación.</w:t>
      </w:r>
    </w:p>
    <w:p w:rsidR="00A90898" w:rsidRDefault="00A90898" w:rsidP="00A90898">
      <w:pPr>
        <w:pStyle w:val="TextoNormal"/>
      </w:pPr>
    </w:p>
    <w:p w:rsidR="00A90898" w:rsidRDefault="00A90898" w:rsidP="00A90898">
      <w:pPr>
        <w:pStyle w:val="TextoNormal"/>
      </w:pPr>
      <w:r>
        <w:t>La demanda comienza analizando el marco de relaciones entre el Estado y la Comunidad Autónoma que deriva del Estatuto de Autonomía de Aragón (EAAr), aprobado por Ley Orgánica 5/2007, de 20 de abril. Alude en particular al art. 88.1 EAAr, del que deduce que “la necesidad de colaboración y cooperación entre el Estado y la Comunidad Autónoma de Aragón y los principios de lealtad institucional y coordinación que deben presidir estas relaciones se incluyen formalmente, tras el EAAr, como parámetros de constitucionalidad en nuestro ordenamiento jurídico”.</w:t>
      </w:r>
    </w:p>
    <w:p w:rsidR="00A90898" w:rsidRDefault="00A90898" w:rsidP="00A90898">
      <w:pPr>
        <w:pStyle w:val="TextoNormal"/>
      </w:pPr>
    </w:p>
    <w:p w:rsidR="00A90898" w:rsidRDefault="00A90898" w:rsidP="00A90898">
      <w:pPr>
        <w:pStyle w:val="TextoNormal"/>
      </w:pPr>
      <w:r>
        <w:t>En particular destaca que el art. 109.2 d) EAAr regula la comisión mixta de asuntos económico-financieros entre el Estado y la Comunidad Autónoma de Aragón, disponiendo literalmente: “Corresponde a la Comisión Mixta de Asuntos Económico-Financieros Estado-Comunidad Autónoma de Aragón: … d) Estudiar las inversiones que el Estado realizará en la Comunidad Autónoma de Aragón”.</w:t>
      </w:r>
    </w:p>
    <w:p w:rsidR="00A90898" w:rsidRDefault="00A90898" w:rsidP="00A90898">
      <w:pPr>
        <w:pStyle w:val="TextoNormal"/>
      </w:pPr>
    </w:p>
    <w:p w:rsidR="00A90898" w:rsidRDefault="00A90898" w:rsidP="00A90898">
      <w:pPr>
        <w:pStyle w:val="TextoNormal"/>
      </w:pPr>
      <w:r>
        <w:t xml:space="preserve">A juicio del Letrado de la Comunidad Autónoma de Aragón, el citado precepto articula un mecanismo de cooperación en virtud del cual el Estado y la Comunidad Autónoma se obligan a estudiar conjuntamente en comisión mixta las inversiones que el Estado va a llevar a cabo en la Comunidad Autónoma de Aragón. Se trataría de un mandato estatutario y, en cuanto tal, obligatorio, que impone un estudio conjunto de las inversiones estatales a ejecutar en la Comunidad Autónoma, que ha de ser anual y anterior a la aprobación de su gasto </w:t>
      </w:r>
      <w:r>
        <w:lastRenderedPageBreak/>
        <w:t>en la Ley de presupuestos generales del Estado. Dicho mandato se habría incumplido, lo que vicia de inconstitucionalidad los presupuestos generales del Estado para 2016, en cuanto aprueban créditos para las inversiones que el Estado realizará durante ese ejercicio en la Comunidad Autónoma de Aragón. A su juicio, “es evidente que el estudio conjunto entre el Estado y el Gobierno de Aragón de las inversiones estatales a ejecutar en la Comunidad Autónoma de Aragón tiene que ser anual y anterior a la aprobación de su gasto en la Ley de presupuestos generales del Estado, que implica ya un mandato de las Cortes Generales para su ejecución por el Gobierno del Estado”, lo que le lleva a concluir que “antes de la aprobación de los PGE por las Cortes Generales, el Gobierno del Estado ha tenido que estudiar conjuntamente con el Gobierno de la Comunidad Autónoma de Aragón, a través de la Comisión Mixta de Asuntos Económico-Financieros Estado-Comunidad Autónoma de Aragón, las inversiones que pretenda aprobar en los PGE para su ejecución en el siguiente ejercicio presupuestario”.</w:t>
      </w:r>
    </w:p>
    <w:p w:rsidR="00A90898" w:rsidRDefault="00A90898" w:rsidP="00A90898">
      <w:pPr>
        <w:pStyle w:val="TextoNormal"/>
      </w:pPr>
    </w:p>
    <w:p w:rsidR="00A90898" w:rsidRDefault="00A90898" w:rsidP="00A90898">
      <w:pPr>
        <w:pStyle w:val="TextoNormal"/>
      </w:pPr>
      <w:r>
        <w:t>Continúa señalando que el hecho de que las inversiones se estudien anualmente en la citada comisión mixta no vincula en absoluto al Estado en la definición de su política de inversiones, ni menoscaba la plena libertad de las Cortes Generales para decidir sobre la existencia y cuantía de dichas inversiones. Esto es, el mero estudio y debate conjunto no coarta la competencia estatal para fijar finalmente las inversiones, pero enriquece el funcionamiento y la coordinación del Estado autonómico, y es un razonable mecanismo de colaboración que se compadece con el principio de cooperación que debe presidir las relaciones del Estado con las Comunidades Autónomas.</w:t>
      </w:r>
    </w:p>
    <w:p w:rsidR="00A90898" w:rsidRDefault="00A90898" w:rsidP="00A90898">
      <w:pPr>
        <w:pStyle w:val="TextoNormal"/>
      </w:pPr>
    </w:p>
    <w:p w:rsidR="00A90898" w:rsidRDefault="00A90898" w:rsidP="00A90898">
      <w:pPr>
        <w:pStyle w:val="TextoNormal"/>
      </w:pPr>
      <w:r>
        <w:t>Para facilitar el mandato estatutario expuesto, con fecha 24 de noviembre de 2009 se adoptó por la Comisión Bilateral de Cooperación Aragón-Estado el acuerdo de creación de un grupo de trabajo permanente sobre las inversiones en infraestructuras del Estado en Aragón y seguimiento de la ejecución presupuestaria, inversiones prioritarias y convenios de colaboración para la ejecución de obras de interés general, al que se encomendaban una serie de funciones con carácter imperativo, sin que hasta la fecha se hayan llegado a cumplir dichas funciones.</w:t>
      </w:r>
    </w:p>
    <w:p w:rsidR="00A90898" w:rsidRDefault="00A90898" w:rsidP="00A90898">
      <w:pPr>
        <w:pStyle w:val="TextoNormal"/>
      </w:pPr>
    </w:p>
    <w:p w:rsidR="00A90898" w:rsidRDefault="00A90898" w:rsidP="00A90898">
      <w:pPr>
        <w:pStyle w:val="TextoNormal"/>
      </w:pPr>
      <w:r>
        <w:t>Se afirma a continuación que, como consecuencia del incumplimiento del mecanismo de colaboración previsto en el art. 109.2 d) EAAr, se vicia de inconstitucionalidad la Ley de presupuestos generales del Estado para 2016, por las siguientes razones:</w:t>
      </w:r>
    </w:p>
    <w:p w:rsidR="00A90898" w:rsidRDefault="00A90898" w:rsidP="00A90898">
      <w:pPr>
        <w:pStyle w:val="TextoNormal"/>
      </w:pPr>
    </w:p>
    <w:p w:rsidR="00A90898" w:rsidRDefault="00A90898" w:rsidP="00A90898">
      <w:pPr>
        <w:pStyle w:val="TextoNormal"/>
      </w:pPr>
      <w:r>
        <w:t>El mecanismo de colaboración para el estudio conjunto entre el Estado y la Comunidad Autónoma de Aragón de las inversiones a realizar en esa Comunidad Autónoma es un parámetro de constitucionalidad, en cuanto está previsto en el Estatuto de Autonomía, que es la norma institucional básica de la Comunidad Autónoma de Aragón. Las inversiones del Estado en la Comunidad Autónoma de Aragón tienen que ser necesariamente incluidas en los presupuestos generales del Estado a través de la Ley de presupuestos, que es el instrumento legal a través del cual se van a aprobar, mediante las correspondientes partidas presupuestarias de gasto, de acuerdo con lo dispuesto en el art. 134.2 CE. En consecuencia, la obligación de estudio de las inversiones que el Estado va a hacer en la Comunidad Autónoma tendrá que ser anual para su inclusión en los presupuestos generales del Estado.</w:t>
      </w:r>
    </w:p>
    <w:p w:rsidR="00A90898" w:rsidRDefault="00A90898" w:rsidP="00A90898">
      <w:pPr>
        <w:pStyle w:val="TextoNormal"/>
      </w:pPr>
    </w:p>
    <w:p w:rsidR="00A90898" w:rsidRDefault="00A90898" w:rsidP="00A90898">
      <w:pPr>
        <w:pStyle w:val="TextoNormal"/>
      </w:pPr>
      <w:r>
        <w:lastRenderedPageBreak/>
        <w:t>Este mecanismo de colaboración previsto en el art. 109.2 d) EAAr obliga al Gobierno en la elaboración de los presupuestos, en lo que podría denominarse su tramitación prelegislativa. Esto es, se convierte en un trámite necesario, en la elaboración de los presupuestos generales del Estado, produciéndose en caso contrario un vicio de inconstitucionalidad de la Ley de presupuestos generales del Estado.</w:t>
      </w:r>
    </w:p>
    <w:p w:rsidR="00A90898" w:rsidRDefault="00A90898" w:rsidP="00A90898">
      <w:pPr>
        <w:pStyle w:val="TextoNormal"/>
      </w:pPr>
    </w:p>
    <w:p w:rsidR="00A90898" w:rsidRDefault="00A90898" w:rsidP="00A90898">
      <w:pPr>
        <w:pStyle w:val="TextoNormal"/>
      </w:pPr>
      <w:r>
        <w:t>En este sentido el Tribunal Constitucional ya ha anulado leyes aprobadas por las Cortes Generales por incumplimiento de los mecanismos de colaboración o cooperación regulados en el bloque de constitucionalidad (STC 13/2015, de 5 de febrero). Esta inconstitucionalidad de la Ley de presupuestos generales del Estado se produce únicamente respecto de aquellas inversiones previstas en la misma que el Estado realizará en el territorio de la Comunidad Autónoma de Aragón, que son las que se identifican en el anexo correspondiente a la Comunidad Autónoma de Aragón de inversiones reales de programación plurianual. Distribución regionalizada por Comunidades Autónomas. Tomo I (Estado, Organismos Autónomos, Agencias Estatales y otros organismos públicos con presupuestos de gastos limitativos).</w:t>
      </w:r>
    </w:p>
    <w:p w:rsidR="00A90898" w:rsidRDefault="00A90898" w:rsidP="00A90898">
      <w:pPr>
        <w:pStyle w:val="TextoNormal"/>
      </w:pPr>
    </w:p>
    <w:p w:rsidR="00A90898" w:rsidRDefault="00A90898" w:rsidP="00A90898">
      <w:pPr>
        <w:pStyle w:val="TextoNormal"/>
      </w:pPr>
      <w:r>
        <w:t>El Letrado autonómico finaliza su escrito advirtiendo que la nulidad que se pretende “no se debe extender a todas las inversiones ya realizadas o en fase de ejecución. En este sentido, la nulidad que se pretende no es nulidad absoluta sino anulabilidad”.</w:t>
      </w:r>
    </w:p>
    <w:p w:rsidR="00A90898" w:rsidRDefault="00A90898" w:rsidP="00A90898">
      <w:pPr>
        <w:pStyle w:val="TextoNormal"/>
      </w:pPr>
    </w:p>
    <w:p w:rsidR="00A90898" w:rsidRDefault="00A90898" w:rsidP="00A90898">
      <w:pPr>
        <w:pStyle w:val="TextoNormal"/>
      </w:pPr>
      <w:r w:rsidRPr="00A90898">
        <w:rPr>
          <w:rStyle w:val="NumeroAFNegritaCaracter"/>
        </w:rPr>
        <w:t>2</w:t>
      </w:r>
      <w:r>
        <w:t>. Por providencia del Pleno de 20 de septiembre de 2016 se acordó admitir a trámite el recurso de inconstitucionalidad promovido por la Diputación General de Aragón y, en su representación y defensa, por el Letrado del mismo, contra el art. 2 de la Ley 48/2015, de 29 de octubre, por la que se aprueban los presupuestos generales del Estado para el ejercicio presupuestario de 2016, en cuanto aprueba créditos para las inversiones que el Estado realizará durante el ejercicio de 2016 en la Comunidad Autónoma de Aragón;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A90898" w:rsidRDefault="00A90898" w:rsidP="00A90898">
      <w:pPr>
        <w:pStyle w:val="TextoNormal"/>
      </w:pPr>
    </w:p>
    <w:p w:rsidR="00A90898" w:rsidRDefault="00A90898" w:rsidP="00A90898">
      <w:pPr>
        <w:pStyle w:val="TextoNormal"/>
      </w:pPr>
      <w:r w:rsidRPr="00A90898">
        <w:rPr>
          <w:rStyle w:val="NumeroAFNegritaCaracter"/>
        </w:rPr>
        <w:t>3</w:t>
      </w:r>
      <w:r>
        <w:t>. El Abogado del Estado se personó en el procedimiento por escrito registrado el día 30 de septiembre de 2016, solicitando una prórroga en el plazo para la formulación de alegaciones. Prórroga que le fue concedida por providencia del Pleno de 4 de octubre de 2016.</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escrito registrado con fecha 4 de octubre de 2016, el Presidente del Congreso de los Diputados comunicó el acuerdo de la Mesa de la Cámara de personarse en el procedimiento y ofrecer su colaboración a los efectos del art. 88.1 LOTC. Lo mismo hizo el Presidente del Senado por escrito que tuvo entrada en este Tribunal el día 5 de octubre de 2016.</w:t>
      </w:r>
    </w:p>
    <w:p w:rsidR="00A90898" w:rsidRDefault="00A90898" w:rsidP="00A90898">
      <w:pPr>
        <w:pStyle w:val="TextoNormal"/>
      </w:pPr>
    </w:p>
    <w:p w:rsidR="00A90898" w:rsidRDefault="00A90898" w:rsidP="00A90898">
      <w:pPr>
        <w:pStyle w:val="TextoNormal"/>
      </w:pPr>
      <w:r w:rsidRPr="00A90898">
        <w:rPr>
          <w:rStyle w:val="NumeroAFNegritaCaracter"/>
        </w:rPr>
        <w:t>5</w:t>
      </w:r>
      <w:r>
        <w:t>. Las alegaciones presentadas por el Abogado del Estado interesando la desestimación del recurso fueron registradas en este Tribunal el día 27 de octubre de 2016.</w:t>
      </w:r>
    </w:p>
    <w:p w:rsidR="00A90898" w:rsidRDefault="00A90898" w:rsidP="00A90898">
      <w:pPr>
        <w:pStyle w:val="TextoNormal"/>
      </w:pPr>
    </w:p>
    <w:p w:rsidR="00A90898" w:rsidRDefault="00A90898" w:rsidP="00A90898">
      <w:pPr>
        <w:pStyle w:val="TextoNormal"/>
      </w:pPr>
      <w:r>
        <w:t xml:space="preserve">El Abogado del Estado comienza delimitando el objeto del recurso y el contenido de la pretensión formulada que entiende contraída a las inversiones del Estado previstas en la Ley </w:t>
      </w:r>
      <w:r>
        <w:lastRenderedPageBreak/>
        <w:t>de presupuestos generales del Estado no iniciadas en el momento de dictarse Sentencia. El fundamento de la alegada inconstitucionalidad del art. 2 de la Ley 48/2015, de 29 de octubre, por la se aprueban los presupuestos generales del Estado para el ejercicio presupuestario de 2016 y con ello de las inversiones programadas por el Estado en Aragón, según la demanda, se produce por infracción, en cuanto forman parte del bloque de constitucionalidad, de los arts. 88 y 109.2 d) EAAr. Se trata de una impugnación de carácter formal, puesto que se alega que esta falta de análisis de las inversiones en el seno de la Comisión prevista en el art. 109.2 d), vicia, con trascendencia constitucional, la Ley de presupuestos generales del Estado.</w:t>
      </w:r>
    </w:p>
    <w:p w:rsidR="00A90898" w:rsidRDefault="00A90898" w:rsidP="00A90898">
      <w:pPr>
        <w:pStyle w:val="TextoNormal"/>
      </w:pPr>
    </w:p>
    <w:p w:rsidR="00A90898" w:rsidRDefault="00A90898" w:rsidP="00A90898">
      <w:pPr>
        <w:pStyle w:val="TextoNormal"/>
      </w:pPr>
      <w:r>
        <w:t>Alude a continuación a la doctrina constitucional acerca de la concurrencia de vicios invalidantes en los procedimientos de aprobación de normas estatales con rango de ley como consecuencia de la vulneración de preceptos estatutarios, citando al respecto la STC 31/2010 en relación con las funciones de la Comisión Bilateral de Cooperación y con la reserva de inversiones estatales. Asimismo alude a la doctrina relativa a la falta de solicitud de informe preceptivo previsto en Estatuto de Autonomía, haciendo específica referencia a la STC 13/2015, en relación con el art. 72.3 EAAr, así como a la STC 110/2011.</w:t>
      </w:r>
    </w:p>
    <w:p w:rsidR="00A90898" w:rsidRDefault="00A90898" w:rsidP="00A90898">
      <w:pPr>
        <w:pStyle w:val="TextoNormal"/>
      </w:pPr>
    </w:p>
    <w:p w:rsidR="00A90898" w:rsidRDefault="00A90898" w:rsidP="00A90898">
      <w:pPr>
        <w:pStyle w:val="TextoNormal"/>
      </w:pPr>
      <w:r>
        <w:t>Aplicando dicha doctrina al presente caso, comienza su argumentación con el art. 109.2 d) EAAr, señalando que el art. 109 regula un órgano efectivamente bilateral destinado a abordar cuestiones sobre “financiación autonómica específicas aragonesas”. Las inversiones del Estado en el ejercicio de sus competencias quedan fuera del ámbito, al menos principal, de la Comisión, puesto que no pueden incluirse en el sistema de financiación autonómica. Por ello esta función no implica ningún tipo de obligación formal que pueda afectar a la validez de la Ley de presupuestos generales del Estado, sin que tampoco sea exigible ningún informe previo, sino que se sitúa en el ámbito de la voluntariedad. De esta forma el Abogado del Estado argumenta que el Estatuto de Autonomía no exige ninguno de los dos requisitos que se deducen en la demanda, ni el acuerdo previo (que equivaldría a un informe vinculante), ni el informe preceptivo. El precepto estatutario, aunque realiza una invitación a “estudiar” las inversiones, no fija, en modo alguno, una previsión, que, por su gran trascendencia, debería ser clara y evidente, de que un proyecto de ley de presupuestos no pueda redactarse por el Gobierno y aprobarse por las Cortes Generales, sin que se haya estudiado en el seno de la Comisión. Tampoco el acuerdo de la Comisión Bilateral de Cooperación de 24 de noviembre de 2009, por el que se creó un grupo de trabajo permanente, adscrito a la Comisión, para efectuar el seguimiento de las inversiones del Estado en infraestructuras de Aragón, puede introducir un trámite que tenga relevancia constitucional.</w:t>
      </w:r>
    </w:p>
    <w:p w:rsidR="00A90898" w:rsidRDefault="00A90898" w:rsidP="00A90898">
      <w:pPr>
        <w:pStyle w:val="TextoNormal"/>
      </w:pPr>
    </w:p>
    <w:p w:rsidR="00A90898" w:rsidRDefault="00A90898" w:rsidP="00A90898">
      <w:pPr>
        <w:pStyle w:val="TextoNormal"/>
      </w:pPr>
      <w:r>
        <w:t xml:space="preserve">En cuanto a la infracción del art. 88 EAAr señala que la cooperación se ha caracterizado siempre por la nota de voluntariedad en un contexto de interrelación competencial en un plano de igualdad, en la medida en que en estos supuestos ninguna de las Administraciones concurrentes puede imponer a las demás una determinada actuación. En este caso, no se duda del ejercicio por el Estado de competencias exclusivas, por más que repercutan en el ámbito territorial de Aragón. No es admisible la declaración de inconstitucionalidad de la Ley de presupuestos generales del Estado 2016 por la alegada vulneración del citado principio, que, como se acaba de expresar, tiene un contenido voluntario. A ello se debe añadir la gran complejidad ínsita en la programación presupuestaria estatal, en un contexto, además, de restricción del gasto, a la que no puede exigirse una consulta preceptiva para su elaboración. Además el Gobierno elabora el proyecto de ley pero se debate y aprueba en el </w:t>
      </w:r>
      <w:r>
        <w:lastRenderedPageBreak/>
        <w:t>Parlamento donde, con las limitaciones propias de este tipo de ley, pueden introducirse modificaciones por los Diputados y Senadores, especialmente por los representantes de las circunscripciones electorales aragonesas.</w:t>
      </w:r>
    </w:p>
    <w:p w:rsidR="00A90898" w:rsidRDefault="00A90898" w:rsidP="00A90898">
      <w:pPr>
        <w:pStyle w:val="TextoNormal"/>
      </w:pPr>
    </w:p>
    <w:p w:rsidR="00A90898" w:rsidRDefault="00A90898" w:rsidP="00A90898">
      <w:pPr>
        <w:pStyle w:val="TextoNormal"/>
      </w:pPr>
      <w:r>
        <w:t xml:space="preserve">Para el Abogado del Estado es evidente que los precedentes que se citan no pueden utilizarse para resolver este recurso. En la STC 13/2015, el supuesto era completamente diferente, porque el art. 72.3 del Estatuto de Autonomía exige claramente un informe preceptivo o, en el caso de la Comunidad Autónoma de Canarias, las normas estatales no pueden modificar un elemento integrante de su régimen económico-fiscal, puesto que en la propia Constitución —disposición adicional tercera— y en el art. 45 del Estatuto de dicha Comunidad exigen, clara y precisamente, el informe preceptivo del Parlamento de Canarias. En este caso, existe una regulación </w:t>
      </w:r>
      <w:r w:rsidRPr="00A90898">
        <w:rPr>
          <w:i/>
        </w:rPr>
        <w:t>ad hoc</w:t>
      </w:r>
      <w:r>
        <w:t xml:space="preserve"> de la elaboración de la Ley de presupuestos generales del Estado en el art. 134 CE, en la que no se prevé, respecto del contenido que le es propio o esencial (la previsión de ingresos y la autorización de los gastos, como sucede en este caso respecto de las inversiones del Estado en Aragón), el trámite prelegislativo reclamado en la demanda.</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providencia de fecha 13 diciembre de 2016 se señaló para deliberación y votación de la presente Sentencia el 15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En el presente proceso constitucional debemos resolver el recurso de inconstitucionalidad interpuesto por la Diputación General de Aragón contra el art. 2 de la Ley 48/2015, de 29 de octubre, de presupuestos generales del Estado para 2016, en cuanto aprueba créditos para las inversiones que el Estado realizará durante ese ejercicio en la Comunidad Autónoma de Aragón.</w:t>
      </w:r>
    </w:p>
    <w:p w:rsidR="00A90898" w:rsidRDefault="00A90898" w:rsidP="00A90898">
      <w:pPr>
        <w:pStyle w:val="TextoNormal"/>
      </w:pPr>
    </w:p>
    <w:p w:rsidR="00A90898" w:rsidRDefault="00A90898" w:rsidP="00A90898">
      <w:pPr>
        <w:pStyle w:val="TextoNormal"/>
      </w:pPr>
      <w:r>
        <w:t>Como se expone en los antecedentes, el Letrado de la Diputación General de Aragón argumenta que se no se han respetado los arts. 88 y 109.2 d) de la Ley Orgánica 5/2007, de 20 de abril, de reforma del Estatuto de Autonomía de Aragón (en adelante, EAAr). Específicamente se considera vulnerada la función que el art. 109.2 d) EAAr atribuye a la comisión mixta de asuntos económico-financieros Estado-Comunidad Autónoma de Aragón, relativa a “estudiar las inversiones que el Estado realizará en la Comunidad Autónoma de Aragón”.</w:t>
      </w:r>
    </w:p>
    <w:p w:rsidR="00A90898" w:rsidRDefault="00A90898" w:rsidP="00A90898">
      <w:pPr>
        <w:pStyle w:val="TextoNormal"/>
      </w:pPr>
    </w:p>
    <w:p w:rsidR="00A90898" w:rsidRDefault="00A90898" w:rsidP="00A90898">
      <w:pPr>
        <w:pStyle w:val="TextoNormal"/>
      </w:pPr>
      <w:r>
        <w:t>El Abogado del Estado, en los términos expuestos en los antecedentes, ha interesado la desestimación del recurso por entender que no concurre la vulneración estatutaria denunciada.</w:t>
      </w:r>
    </w:p>
    <w:p w:rsidR="00A90898" w:rsidRDefault="00A90898" w:rsidP="00A90898">
      <w:pPr>
        <w:pStyle w:val="TextoNormal"/>
      </w:pPr>
    </w:p>
    <w:p w:rsidR="00A90898" w:rsidRDefault="00A90898" w:rsidP="00A90898">
      <w:pPr>
        <w:pStyle w:val="TextoNormal"/>
      </w:pPr>
      <w:r w:rsidRPr="00A90898">
        <w:rPr>
          <w:rStyle w:val="NumeroAFNegritaCaracter"/>
        </w:rPr>
        <w:t>2</w:t>
      </w:r>
      <w:r>
        <w:t>. Así formulada la tacha que se imputa a la norma impugnada, y antes de comenzar a resolverla, hay que realizar alguna precisión adicional acerca de la delimitación del objeto del recurso y de la pretensión que en él se formula.</w:t>
      </w:r>
    </w:p>
    <w:p w:rsidR="00A90898" w:rsidRDefault="00A90898" w:rsidP="00A90898">
      <w:pPr>
        <w:pStyle w:val="TextoNormal"/>
      </w:pPr>
    </w:p>
    <w:p w:rsidR="00A90898" w:rsidRDefault="00A90898" w:rsidP="00A90898">
      <w:pPr>
        <w:pStyle w:val="TextoNormal"/>
      </w:pPr>
      <w:r>
        <w:t xml:space="preserve">El objeto de este recurso es el art. 2 de la Ley 48/2015, de 29 de octubre, de presupuestos generales del Estado para 2016, únicamente en cuanto aprueba créditos para las inversiones que el Estado realizará durante el ejercicio de 2016 en la Comunidad Autónoma de Aragón. </w:t>
      </w:r>
      <w:r>
        <w:lastRenderedPageBreak/>
        <w:t>El recurso denuncia la contravención de una disposición integrada en el bloque de constitucionalidad [art. 28.1 de la Ley Orgánica del Tribunal Constitucional (LOTC)], como es el Estatuto de Autonomía de Aragón, aprobado por Ley Orgánica 5/2007, de 20 de abril, norma institucional básica de la Comunidad Autónoma de Aragón, y que, en cuanto integrante del mencionado bloque, se erige en parámetro de enjuiciamiento de la validez de las disposiciones normativas con valor de ley dictadas por el Estado [STC 13/2015, FJ 5 c), con cita de la STC 291/2005, de 10 de noviembre, FJ 8].</w:t>
      </w:r>
    </w:p>
    <w:p w:rsidR="00A90898" w:rsidRDefault="00A90898" w:rsidP="00A90898">
      <w:pPr>
        <w:pStyle w:val="TextoNormal"/>
      </w:pPr>
    </w:p>
    <w:p w:rsidR="00A90898" w:rsidRDefault="00A90898" w:rsidP="00A90898">
      <w:pPr>
        <w:pStyle w:val="TextoNormal"/>
      </w:pPr>
      <w:r>
        <w:t>La pretensión de declaración de inconstitucionalidad y consiguiente nulidad que se formula se expresa por el Letrado autonómico en los términos siguientes: “los efectos de la nulidad de los créditos presupuestarios que se solicita no se debe extender a todas la inversiones ya realizadas o en fase de ejecución. En este sentido la nulidad que se pretende no es de nulidad absoluta sino de anulabilidad”.</w:t>
      </w:r>
    </w:p>
    <w:p w:rsidR="00A90898" w:rsidRDefault="00A90898" w:rsidP="00A90898">
      <w:pPr>
        <w:pStyle w:val="TextoNormal"/>
      </w:pPr>
    </w:p>
    <w:p w:rsidR="00A90898" w:rsidRDefault="00A90898" w:rsidP="00A90898">
      <w:pPr>
        <w:pStyle w:val="TextoNormal"/>
      </w:pPr>
      <w:r>
        <w:t>Con la expresión “anulabilidad”, que no aparece en el art. 39 LOTC, la demanda parece referirse a que, en el caso de que este Tribunal estimase que la previsión impugnada es inconstitucional, deberían modularse los efectos de la declaración de nulidad que esa inconstitucionalidad trae, en principio, consigo en los términos del mencionado art. 39 LOTC. De ese modo en realidad lo que se solicita a este Tribunal es que esa nulidad no afecte a las inversiones del Estado previstas en los presupuestos generales del Estado para 2016 ya realizadas o en fase de ejecución. Por tanto, atendiendo a la pretensión formulada, lo que debemos determinar es si se han infringido las previsiones de los arts. 88 y 109.2 d) EAAr, en cuanto que supondría un vicio de constitucionalidad determinante de la anulación de las partidas presupuestarias relativas a las inversiones del Estado en Aragón, que no hayan sido iniciadas en el momento de dictarse la presente Sentencia.</w:t>
      </w:r>
    </w:p>
    <w:p w:rsidR="00A90898" w:rsidRDefault="00A90898" w:rsidP="00A90898">
      <w:pPr>
        <w:pStyle w:val="TextoNormal"/>
      </w:pPr>
    </w:p>
    <w:p w:rsidR="00A90898" w:rsidRDefault="00A90898" w:rsidP="00A90898">
      <w:pPr>
        <w:pStyle w:val="TextoNormal"/>
      </w:pPr>
      <w:r w:rsidRPr="00A90898">
        <w:rPr>
          <w:rStyle w:val="NumeroAFNegritaCaracter"/>
        </w:rPr>
        <w:t>3</w:t>
      </w:r>
      <w:r>
        <w:t>. En la resolución de la controversia así delimitada resulta precisa una breve referencia a la doctrina constitucional en torno los principios de cooperación y lealtad institucional que, en los términos que más adelante se expondrán, se entienden aquí vulnerados, así como en relación con órganos bilaterales similares a la Comisión prevista en el art. 109 EAAr, una de cuyas funciones se considera infringida.</w:t>
      </w:r>
    </w:p>
    <w:p w:rsidR="00A90898" w:rsidRDefault="00A90898" w:rsidP="00A90898">
      <w:pPr>
        <w:pStyle w:val="TextoNormal"/>
      </w:pPr>
    </w:p>
    <w:p w:rsidR="00A90898" w:rsidRDefault="00A90898" w:rsidP="00A90898">
      <w:pPr>
        <w:pStyle w:val="TextoNormal"/>
      </w:pPr>
      <w:r>
        <w:t>El principio de cooperación entre el Estado y las Comunidades Autónomas está implícito en el correcto funcionamiento del Estado de las Autonomías. Depende en buena medida de la estricta sujeción de uno y otras a las fórmulas racionales de cooperación, consulta, participación, coordinación, concertación o acuerdo previstas en la Constitución y en los Estatutos de Autonomía (STC 181/1988, de 13 de octubre, FJ 7).</w:t>
      </w:r>
    </w:p>
    <w:p w:rsidR="00A90898" w:rsidRDefault="00A90898" w:rsidP="00A90898">
      <w:pPr>
        <w:pStyle w:val="TextoNormal"/>
      </w:pPr>
    </w:p>
    <w:p w:rsidR="00A90898" w:rsidRDefault="00A90898" w:rsidP="00A90898">
      <w:pPr>
        <w:pStyle w:val="TextoNormal"/>
      </w:pPr>
      <w:r>
        <w:t xml:space="preserve">Sobre dicho principio hemos destacado tanto su carácter necesario en un Estado descentralizado como el nuestro, como su relación con la idea de la voluntariedad, frente a la vinculación de la coordinación con la de la imposición u obligatoriedad. (STC 86/2014, de 29 de mayo, FJ 5, por todas). Por otro lado, su instrumentación y puesta en práctica no permite alterar las competencias de los sujetos llamados a cooperar, a través de cualesquiera técnicas que revistan ese carácter voluntario, sin modificar la titularidad y el ejercicio de las competencias, pues este Tribunal ha venido también reconociendo un margen de discrecionalidad en la determinación de los específicos mecanismos cooperativos (STC 195/2012, de 31 de octubre, FJ 5 </w:t>
      </w:r>
      <w:r w:rsidRPr="00A90898">
        <w:rPr>
          <w:i/>
        </w:rPr>
        <w:t>in fine</w:t>
      </w:r>
      <w:r>
        <w:t>).</w:t>
      </w:r>
    </w:p>
    <w:p w:rsidR="00A90898" w:rsidRDefault="00A90898" w:rsidP="00A90898">
      <w:pPr>
        <w:pStyle w:val="TextoNormal"/>
      </w:pPr>
    </w:p>
    <w:p w:rsidR="00A90898" w:rsidRDefault="00A90898" w:rsidP="00A90898">
      <w:pPr>
        <w:pStyle w:val="TextoNormal"/>
      </w:pPr>
      <w:r>
        <w:lastRenderedPageBreak/>
        <w:t>En suma, el principio de cooperación tiende a garantizar la participación de todos los entes involucrados en la toma de decisiones (STC 101/2016, de 25 de mayo, FJ 9, con cita de otras), pero no puede entenderse en un sentido que sustituya, impida o menoscabe el libre y pleno ejercicio por el Estado de sus propias competencias (STC 162/2012, de 20 de septiembre, FJ 6).</w:t>
      </w:r>
    </w:p>
    <w:p w:rsidR="00A90898" w:rsidRDefault="00A90898" w:rsidP="00A90898">
      <w:pPr>
        <w:pStyle w:val="TextoNormal"/>
      </w:pPr>
    </w:p>
    <w:p w:rsidR="00A90898" w:rsidRDefault="00A90898" w:rsidP="00A90898">
      <w:pPr>
        <w:pStyle w:val="TextoNormal"/>
      </w:pPr>
      <w:r>
        <w:t>Por otra parte, y acerca del principio de lealtad constitucional y su aplicación a las relaciones financieras entre el Estado y las Comunidades Autónomas nos hemos pronunciado en reiteradas ocasiones, afirmando que éste resulta “esencial en las relaciones entre las diversas instancias de poder territorial” de manera que “constituye un soporte esencial del funcionamiento del Estado autonómico cuya observancia resulta obligada” (STC 239/2002, de 11 de diciembre, FJ 11), tratándose de un principio que “tiene una específica proyección en la materia financiera, tal como se recoge en las normas vigentes que integran el bloque de constitucionalidad en esta materia” (STC 109/2011, de 22 de junio, FJ 5). También hemos recalcado la conexión entre este principio y el establecimiento de un sistema adecuado de colaboración entre Administraciones, de manera que “el adecuado funcionamiento del Estado autonómico se sustenta en los principios de cooperación y coordinación entre el Estado y las Comunidades Autónomas y de éstas entre sí, además de en el establecimiento de un sistema de relaciones presididas por la lealtad constitucional, principios todos ellos que deben hacerse efectivos al margen, incluso, del régimen de distribución competencial” (por todas, STC 109/2011, FJ 5). Finalmente, hemos destacado que lo que el principio de lealtad constitucional exige es que el Gobierno extreme el celo por llegar a acuerdos con las Comunidades Autónomas, pero no que dichos acuerdos deban ser vinculantes (SSTC 209/1990, de 20 de diciembre, FJ 4; 13/2007, de 18 de enero, FJ 11, y 31/2010, de 28 de junio, FJ 138).</w:t>
      </w:r>
    </w:p>
    <w:p w:rsidR="00A90898" w:rsidRDefault="00A90898" w:rsidP="00A90898">
      <w:pPr>
        <w:pStyle w:val="TextoNormal"/>
      </w:pPr>
    </w:p>
    <w:p w:rsidR="00A90898" w:rsidRDefault="00A90898" w:rsidP="00A90898">
      <w:pPr>
        <w:pStyle w:val="TextoNormal"/>
      </w:pPr>
      <w:r>
        <w:t>Así, del principio de lealtad deriva un deber de colaboración e información recíproca entre las Administraciones implicadas que debe presidir las relaciones entre el Estado y las Comunidades Autónomas y que es concreción, a su vez, de un deber general de fidelidad a la Constitución. Por tanto, de la Constitución y de la doctrina de este Tribunal se deduce un principio inherente de colaboración y lealtad constitucional, que postula la adopción de procedimientos de consulta, negociación o, en su caso, la búsqueda del acuerdo previo (STC 13/2007, de 18 de enero, FJ 8).</w:t>
      </w:r>
    </w:p>
    <w:p w:rsidR="00A90898" w:rsidRDefault="00A90898" w:rsidP="00A90898">
      <w:pPr>
        <w:pStyle w:val="TextoNormal"/>
      </w:pPr>
    </w:p>
    <w:p w:rsidR="00A90898" w:rsidRDefault="00A90898" w:rsidP="00A90898">
      <w:pPr>
        <w:pStyle w:val="TextoNormal"/>
      </w:pPr>
      <w:r>
        <w:t xml:space="preserve">En dicho marco se inserta la regulación estatutaria relativa a la Comisión mixta de asuntos económico-financieros Estado-Comunidad Autónoma de Aragón, la cual, como señalamos ya, en relación con un órgano similar previsto en el Estatuto de Autonomía de Cataluña, “es un instrumento para propiciar la integración de las posiciones del Estado y de la Comunidad Autónoma correspondiente, bien porque los asuntos requieran un tratamiento específico, bien porque facilite la preparación de los acuerdos a adoptar en el seno de órganos multilaterales, o bien, incluso, porque permita la deliberación común sobre la aplicación en la Comunidad Autónoma de Cataluña de las decisiones o acuerdos adoptados por el Estado o por los órganos multilaterales competentes al efecto” (STC 31/2010, de 28 de junio, FJ 131). Es decir, se trata de un órgano a través del que se materializa un marco bilateral de negociación que complementa, sin cuestionarlo, el modelo general de toma de decisiones en este ámbito, caracterizado, en principio, por la multilateralidad (STC 31/2010, FJ 135 </w:t>
      </w:r>
      <w:r w:rsidRPr="00A90898">
        <w:rPr>
          <w:i/>
        </w:rPr>
        <w:t>in fine</w:t>
      </w:r>
      <w:r>
        <w:t>).</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Expuesto lo anterior, podemos ya comenzar el examen de la cuestión controvertida en el presente recurso.</w:t>
      </w:r>
    </w:p>
    <w:p w:rsidR="00A90898" w:rsidRDefault="00A90898" w:rsidP="00A90898">
      <w:pPr>
        <w:pStyle w:val="TextoNormal"/>
      </w:pPr>
    </w:p>
    <w:p w:rsidR="00A90898" w:rsidRDefault="00A90898" w:rsidP="00A90898">
      <w:pPr>
        <w:pStyle w:val="TextoNormal"/>
      </w:pPr>
      <w:r>
        <w:t>La demanda entiende infringidos los arts. 88 y 109.2 d) EAAr, si bien la vulneración denunciada se concreta específicamente en lo que se considera un incumplimiento del “mecanismo de colaboración o cooperación para el estudio conjunto entre el Estado y la Comunidad Autónoma de Aragón de las inversiones que se van a realizar en la Comunidad Autónoma de Aragón” que se regula en el segundo precepto estatutario citado. Ya hemos mencionado que, conforme al art. 109.2 d) EAAr, corresponde a la Comisión mixta de asuntos económicos-financieros “estudiar las inversiones que el Estado realizará en la Comunidad Autónoma de Aragón”. Dicha función es la que se considera infringida por la actuación estatal, tal como se argumenta en el escrito rector de este proceso, pues la queja que se formula se refiere a la falta de participación autonómica en un momento previo a la adopción de una determinada decisión estatal; en concreto, la relativa a las inversiones que van a tener lugar en la Comunidad Autónoma tal como se reflejan en los presupuestos generales del Estado para 2016.</w:t>
      </w:r>
    </w:p>
    <w:p w:rsidR="00A90898" w:rsidRDefault="00A90898" w:rsidP="00A90898">
      <w:pPr>
        <w:pStyle w:val="TextoNormal"/>
      </w:pPr>
    </w:p>
    <w:p w:rsidR="00A90898" w:rsidRDefault="00A90898" w:rsidP="00A90898">
      <w:pPr>
        <w:pStyle w:val="TextoNormal"/>
      </w:pPr>
      <w:r>
        <w:t>Se argumenta, en suma, que el mecanismo de colaboración que este precepto contempla hubiera debido concretarse en un estudio conjunto, en el seno de la Comisión mixta de asuntos económicos-financieros prevista en el art. 109 EAAr, de las inversiones que se pretendieran aprobar en los mencionados presupuestos generales del Estado correspondientes al año 2016.</w:t>
      </w:r>
    </w:p>
    <w:p w:rsidR="00A90898" w:rsidRDefault="00A90898" w:rsidP="00A90898">
      <w:pPr>
        <w:pStyle w:val="TextoNormal"/>
      </w:pPr>
    </w:p>
    <w:p w:rsidR="00A90898" w:rsidRDefault="00A90898" w:rsidP="00A90898">
      <w:pPr>
        <w:pStyle w:val="TextoNormal"/>
      </w:pPr>
      <w:r>
        <w:t>Con respecto a tal planteamiento hemos de indicar, en primer lugar, que es evidente que en el juicio de adecuación al orden constitucional de competencias que se nos demanda y al que debemos someter al precepto ahora impugnado, en modo alguno puede erigirse en parámetro de constitucionalidad el acuerdo de la Comisión Bilateral de Cooperación de 24 de noviembre de 2009, relativo a la creación de un grupo de trabajo permanente para el seguimiento de las inversiones del Estado en infraestructuras de cada ejercicio, pues eso supondría otorgar a ese acuerdo un valor del que carece, en la medida en que dicho parámetro sólo está conformado por las normas del bloque de la constitucionalidad implicadas, esto es, por la Constitución y el Estatuto de Autonomía de Aragón.</w:t>
      </w:r>
    </w:p>
    <w:p w:rsidR="00A90898" w:rsidRDefault="00A90898" w:rsidP="00A90898">
      <w:pPr>
        <w:pStyle w:val="TextoNormal"/>
      </w:pPr>
    </w:p>
    <w:p w:rsidR="00A90898" w:rsidRDefault="00A90898" w:rsidP="00A90898">
      <w:pPr>
        <w:pStyle w:val="TextoNormal"/>
      </w:pPr>
      <w:r>
        <w:t>Señalado lo anterior han de precisarse, además, dos extremos.</w:t>
      </w:r>
    </w:p>
    <w:p w:rsidR="00A90898" w:rsidRDefault="00A90898" w:rsidP="00A90898">
      <w:pPr>
        <w:pStyle w:val="TextoNormal"/>
      </w:pPr>
    </w:p>
    <w:p w:rsidR="00A90898" w:rsidRDefault="00A90898" w:rsidP="00A90898">
      <w:pPr>
        <w:pStyle w:val="TextoNormal"/>
      </w:pPr>
      <w:r>
        <w:t>Dadas las evidentes diferencias entre el tenor de los preceptos estatutarios no resulta de aplicación aquí la doctrina acerca del informe o audiencia previos establecidos en el art. 45 de la Ley Orgánica 10/1982, de 10 de agosto, de Estatuto de Autonomía de Canarias, según el cual el régimen económico-fiscal de Canarias sólo podrá ser modificado de acuerdo con lo establecido en la disposición adicional tercera CE, previo informe del Parlamento canario que, para ser favorable, deberá ser aprobado por las dos terceras partes de sus miembros; Parlamento que debe ser oído en los proyectos de legislación financiera y tributaria que afecten al régimen económico-fiscal de Canarias. Conforme a la doctrina constitucional (por todas, STC 164/2013, de 26 de septiembre, FJ 4), toda afectación o modificación de ese régimen requiere para su aprobación bien de audiencia, bien que se solicite informe previo del Parlamento canario. Informe y audiencia previa que no resultan vinculantes, pero sí son preceptivos, de manera que la ausencia de su solicitud determina la inconstitucionalidad de la norma que modifique o afecte al régimen económico y fiscal canario.</w:t>
      </w:r>
    </w:p>
    <w:p w:rsidR="00A90898" w:rsidRDefault="00A90898" w:rsidP="00A90898">
      <w:pPr>
        <w:pStyle w:val="TextoNormal"/>
      </w:pPr>
    </w:p>
    <w:p w:rsidR="00A90898" w:rsidRDefault="00A90898" w:rsidP="00A90898">
      <w:pPr>
        <w:pStyle w:val="TextoNormal"/>
      </w:pPr>
      <w:r>
        <w:t>El caso que ahora se nos plantea es también distinto del resuelto en la STC 13/2015, de 5 de febrero, en la que se declaró la nulidad de los preceptos legales aprobados sin solicitar la emisión del informe preceptivo, previsto en el art. 72.3 EAAr, respecto de cualquier propuesta de obra hidráulica o de transferencia de aguas que afecte al territorio de la Comunidad Autónoma. Es patente que, en la medida en que los preceptos estatutarios que ahora se entienden vulnerados no exigen expresamente un informe preceptivo, esa doctrina no es de aplicación aquí.</w:t>
      </w:r>
    </w:p>
    <w:p w:rsidR="00A90898" w:rsidRDefault="00A90898" w:rsidP="00A90898">
      <w:pPr>
        <w:pStyle w:val="TextoNormal"/>
      </w:pPr>
    </w:p>
    <w:p w:rsidR="00A90898" w:rsidRDefault="00A90898" w:rsidP="00A90898">
      <w:pPr>
        <w:pStyle w:val="TextoNormal"/>
      </w:pPr>
      <w:r>
        <w:t>Por tanto, atendiendo a la pretensión deducida en el recurso, lo que debemos resolver es si la falta de estudio previo por la Comisión mixta de asuntos económicos-financieros supone una vulneración del art. 109.2 d) EAAr determinante de la anulación de las partidas presupuestarias relativas a las inversiones del Estado en Aragón previstas en los presupuestos generales del Estado para el año 2016, que no hayan sido iniciadas en el momento de dictarse la presente Sentencia.</w:t>
      </w:r>
    </w:p>
    <w:p w:rsidR="00A90898" w:rsidRDefault="00A90898" w:rsidP="00A90898">
      <w:pPr>
        <w:pStyle w:val="TextoNormal"/>
      </w:pPr>
    </w:p>
    <w:p w:rsidR="00A90898" w:rsidRDefault="00A90898" w:rsidP="00A90898">
      <w:pPr>
        <w:pStyle w:val="TextoNormal"/>
      </w:pPr>
      <w:r w:rsidRPr="00A90898">
        <w:rPr>
          <w:rStyle w:val="NumeroAFNegritaCaracter"/>
        </w:rPr>
        <w:t>5</w:t>
      </w:r>
      <w:r>
        <w:t>. La referida Comisión mixta de asuntos económicos-financieros es, conforme al art. 109.1 EAAr “el órgano bilateral de relación entre ambas Administraciones en las materias sobre financiación autonómica específicas aragonesas y dentro del marco establecido en la Ley Orgánica de Financiación de las Comunidades Autónomas. A tal efecto, le corresponde la concreción, desarrollo, actualización, seguimiento y adopción de medidas de cooperación en relación con el sistema de financiación, así como las relaciones fiscales y financieras entre ambas Administraciones y, especialmente, la adopción de las medidas previstas en el artículo 107 del presente Estatuto”. El apartado 2 del art. 109 relaciona las funciones que dicha Comisión tiene atribuidas, entre las que se encuentra la que ahora se entiende vulnerada. Dichas funciones han de interpretarse en todo caso teniendo en cuenta que el marco general de colaboración en el que se inserta la mencionada Comisión se relaciona más específicamente, atendiendo a su propia definición en el apartado primero, con el sistema de financiación autonómica. De hecho nuestra doctrina ha destacado su papel “en cuanto órganos bilaterales específicamente previstos para concretar la aplicación a cada Comunidad Autónoma de los criterios acordados en el seno del Consejo de Política Fiscal y Financiera” (STC 13/2007, FJ 8). Se trata, por tanto, de relaciones entre entes públicos que se desarrollan en dos planos, bilateral y multilateral, dentro de un marco de cooperación institucional.</w:t>
      </w:r>
    </w:p>
    <w:p w:rsidR="00A90898" w:rsidRDefault="00A90898" w:rsidP="00A90898">
      <w:pPr>
        <w:pStyle w:val="TextoNormal"/>
      </w:pPr>
    </w:p>
    <w:p w:rsidR="00A90898" w:rsidRDefault="00A90898" w:rsidP="00A90898">
      <w:pPr>
        <w:pStyle w:val="TextoNormal"/>
      </w:pPr>
      <w:r>
        <w:t>Insertada la función que se entiende vulnerada en el marco que le es propio, debemos tener presente también que no corresponde a este Tribunal determinar cuál deba ser el mejor modo de articular el mecanismo de colaboración previsto en el art. 109 EAAr, pues nuestra función se ciñe a decidir si la norma impugnada excede de lo constitucionalmente previsto. Más en concreto, no se trata tampoco de valorar en qué medida la participación reconocida a la Comunidad Autónoma en la adopción de una decisión estatal satisfaga un hipotético “óptimo constitucional” (STC 47/2005, de 3 de marzo, FJ 10) en cuanto a la intervención autonómica en asuntos que le conciernan, sino de examinar si la misma tiene necesariamente que producirse en los términos reclamados en la demanda. Es decir, hasta qué punto las normas estatutarias que se reputan vulneradas, en particular el art. 109.2 d) EAAr, exigen necesariamente que las inversiones estatales en Aragón se estudien en la Comisión mixta antes de ser aprobadas en los presupuestos generales del Estado de cada año.</w:t>
      </w:r>
    </w:p>
    <w:p w:rsidR="00A90898" w:rsidRDefault="00A90898" w:rsidP="00A90898">
      <w:pPr>
        <w:pStyle w:val="TextoNormal"/>
      </w:pPr>
    </w:p>
    <w:p w:rsidR="00A90898" w:rsidRDefault="00A90898" w:rsidP="00A90898">
      <w:pPr>
        <w:pStyle w:val="TextoNormal"/>
      </w:pPr>
      <w:r>
        <w:lastRenderedPageBreak/>
        <w:t>Desde este punto de vista las alegaciones contenidas en la demanda no permiten apreciar la inconstitucionalidad denunciada.</w:t>
      </w:r>
    </w:p>
    <w:p w:rsidR="00A90898" w:rsidRDefault="00A90898" w:rsidP="00A90898">
      <w:pPr>
        <w:pStyle w:val="TextoNormal"/>
      </w:pPr>
    </w:p>
    <w:p w:rsidR="00A90898" w:rsidRDefault="00A90898" w:rsidP="00A90898">
      <w:pPr>
        <w:pStyle w:val="TextoNormal"/>
      </w:pPr>
      <w:r>
        <w:t>Es evidente que, dado el tenor literal del precepto estatutario, su efecto no es el de limitar al Estado en la definición de su política de inversiones, ni menoscabar la libertad de las Cortes Generales para decidir sobre la existencia y cuantía de las inversiones estatales (en un sentido similar, STC 100/2013, de 23 de abril, FJ 3, con cita de la STC 31/2010, FJ 138). La previsión estatutaria tiene un alcance mucho más limitado por cuanto se limita a prescribir que la Comisión mixta estudie, sin mayores concreciones, “las inversiones que el Estado realizará en la Comunidad Autónoma de Aragón”. Es, como apunta la demanda, un mecanismo de colaboración articulado a través de un órgano de composición bilateral en un asunto de trascendencia, tanto para el Estado como para la Comunidad Autónoma.</w:t>
      </w:r>
    </w:p>
    <w:p w:rsidR="00A90898" w:rsidRDefault="00A90898" w:rsidP="00A90898">
      <w:pPr>
        <w:pStyle w:val="TextoNormal"/>
      </w:pPr>
    </w:p>
    <w:p w:rsidR="00A90898" w:rsidRDefault="00A90898" w:rsidP="00A90898">
      <w:pPr>
        <w:pStyle w:val="TextoNormal"/>
      </w:pPr>
      <w:r>
        <w:t>De hecho esta función en la que ahora pretende concretarse ese mecanismo de colaboración se configura por el Estatuto de Autonomía de Aragón de una forma genérica, admitiendo su cumplimiento de diversos modos. En ningún caso impone que haya de hacerse de la forma que se reclama en este proceso, esto es, durante los trámites prelegislativos del proyecto de ley anual de presupuestos. A la concreta pretensión que aquí se articula se contrapone la indeterminación de la función de “estudio” atribuida a la Comisión mixta, máxime si esa función se pone en relación con la tramitación de una norma como la Ley de presupuestos que tiene una regulación específica, tanto en la Constitución (art. 134), como en otras normas integrantes del bloque de constitucionalidad. Dicho en otros términos, el precepto estatutario no tiene, ni en su tenor literal ni interpretado sistemáticamente, el sentido unívoco que el recurrente pretende otorgarle y en el que basa su impugnación. Tiene razón el Abogado del Estado cuando indica que la invitación a “estudiar” que contiene la norma estatutaria no implica necesariamente que la elaboración de los presupuestos de cada ejercicio, que, por mandato constitucional, corresponde al Gobierno, no pueda darse por concluida sin su previo estudio en la aludida Comisión mixta. Una previsión de este carácter, por sus evidentes implicaciones en la elaboración y tramitación del presupuesto anual del Estado, debería tener reflejo estatutario expreso o, al menos, hallar un claro fundamento en la regulación del Estatuto de Autonomía. Por el contrario, esa regulación estatutaria presenta un elevado grado de indeterminación tanto respecto a la tarea a acometer (“estudio”) como al objeto (inversiones, sin mayores especificaciones) o al momento en que esa intervención ha de producirse, sobre el que nada se dice.</w:t>
      </w:r>
    </w:p>
    <w:p w:rsidR="00A90898" w:rsidRDefault="00A90898" w:rsidP="00A90898">
      <w:pPr>
        <w:pStyle w:val="TextoNormal"/>
      </w:pPr>
    </w:p>
    <w:p w:rsidR="00A90898" w:rsidRDefault="00A90898" w:rsidP="00A90898">
      <w:pPr>
        <w:pStyle w:val="TextoNormal"/>
      </w:pPr>
      <w:r>
        <w:t>El mandato de participación que contiene el precepto ha de ser respetado en cuanto que deriva de una norma, el Estatuto de Autonomía de Aragón, que integra el bloque de constitucionalidad (art. 28.1 LOTC) y constituye un razonable mecanismo de colaboración. No hay que olvidar que corresponde en última instancia al Estado decidir su política de inversiones, lo que implica destinar los recursos teniendo en cuenta las partidas a dotar en función de las necesidades de cada territorio, entre otros criterios constitucionalmente admisibles, siendo en definitiva el ejercicio de esta opción parte del poder de disposición estatal sobre sus propios recursos, una de cuyas manifestaciones es la ley anual de presupuestos. Tampoco cabe dudar, en fin, que el estudio de las inversiones estatales con carácter previo a la inclusión de los correspondientes créditos en los presupuestos generales del Estado puede ser uno de los modos pertinentes de dar cumplimiento a la regulación estatutaria, aun cuando es notorio que la política de inversiones estatales, si bien tiene concreción presupuestaria, no se define necesariamente en la ley anual de presupuestos.</w:t>
      </w:r>
    </w:p>
    <w:p w:rsidR="00A90898" w:rsidRDefault="00A90898" w:rsidP="00A90898">
      <w:pPr>
        <w:pStyle w:val="TextoNormal"/>
      </w:pPr>
    </w:p>
    <w:p w:rsidR="00A90898" w:rsidRDefault="00A90898" w:rsidP="00A90898">
      <w:pPr>
        <w:pStyle w:val="TextoNormal"/>
      </w:pPr>
      <w:r>
        <w:t>Ahora bien, dicho mandato puede hacerse efectivo de modos y en momentos diversos, que no corresponde enumerar a este Tribunal. En todo caso, la aprobación de la ley anual de presupuestos con omisión de este trámite no determina, en la medida en que no viene exigido directa y expresamente por el texto estatutario, la inconstitucionalidad de la norma por el motivo denunciado en la demanda.</w:t>
      </w:r>
    </w:p>
    <w:p w:rsidR="00A90898" w:rsidRDefault="00A90898" w:rsidP="00A90898">
      <w:pPr>
        <w:pStyle w:val="TextoNormal"/>
      </w:pPr>
    </w:p>
    <w:p w:rsidR="00A90898" w:rsidRDefault="00A90898" w:rsidP="00A90898">
      <w:pPr>
        <w:pStyle w:val="TextoNormal"/>
      </w:pPr>
      <w:r>
        <w:t xml:space="preserve">No es posible afirmar que los mecanismos de cooperación no hayan funcionado y que, por tanto, se hayan infringido los principios de colaboración y de lealtad constitucional, porque la participación no se haya producido en el momento y del modo que la Comunidad Autónoma considera deseable o conveniente. La doctrina sobre la participación autonómica en la adopción de decisiones estatales ha reiterado que es el Estado el único competente para establecer los casos y los modos en que dicha participación haya de verificarse, por proyectarse la participación en ámbitos que le corresponden constitucionalmente y sin perjuicio de su posible incidencia en competencias o intereses de la Comunidad Autónoma. Por ello es el Estado el que tiene que determinar los concretos términos, formas y condiciones de la participación de la Comunidad Autónoma que viene exigida por el texto estatutario, debiendo en todo caso quedar a salvo la titularidad de las competencias estatales eventualmente implicadas y la perfecta libertad que en su ejercicio corresponde a los organismos e instituciones del Estado (STC 31/2010, FJ 111 </w:t>
      </w:r>
      <w:r w:rsidRPr="00A90898">
        <w:rPr>
          <w:i/>
        </w:rPr>
        <w:t>in fine</w:t>
      </w:r>
      <w:r>
        <w:t>), algo, por lo demás, no impedido por la genérica previsión estatutaria.</w:t>
      </w:r>
    </w:p>
    <w:p w:rsidR="00A90898" w:rsidRDefault="00A90898" w:rsidP="00A90898">
      <w:pPr>
        <w:pStyle w:val="TextoNormal"/>
      </w:pPr>
    </w:p>
    <w:p w:rsidR="00A90898" w:rsidRDefault="00A90898" w:rsidP="00A90898">
      <w:pPr>
        <w:pStyle w:val="TextoNormal"/>
      </w:pPr>
      <w:r>
        <w:t>La tarea de estudio a la que alude el art. 109.2 d) EAAr debe producirse, pues viene impuesta por el Estatuto de Autonomía de Aragón, al articular un mecanismo de cooperación en virtud del cual el Estado y la Comunidad Autónoma se obligan a estudiar conjuntamente en comisión mixta las inversiones que el Estado va a llevar a cabo en la Comunidad Autónoma de Aragón. Sin embargo, frente a lo sostenido en la demanda, del art. 109.2 d) no se infiere que dicho estudio conjunto de las inversiones estatales, a ejecutar en la Comunidad Autónoma, haya de ser anual y, en todo caso, anterior a la aprobación de la Ley de presupuestos generales del Estado. Por el contrario hay que entender que, como en otro contexto ya señaló la STC 101/2016, de 25 de mayo, FJ 10, “no es función de las Comunidades Autónomas la de elegir en cada momento cuál es la fórmula de colaboración que mejor se adecúa a sus intereses”.</w:t>
      </w:r>
    </w:p>
    <w:p w:rsidR="00A90898" w:rsidRDefault="00A90898" w:rsidP="00A90898">
      <w:pPr>
        <w:pStyle w:val="TextoNormal"/>
      </w:pPr>
    </w:p>
    <w:p w:rsidR="00A90898" w:rsidRDefault="00A90898" w:rsidP="00A90898">
      <w:pPr>
        <w:pStyle w:val="TextoNormal"/>
      </w:pPr>
      <w:r>
        <w:t>Consecuentemente, el motivo de inconstitucionalidad alegado debe ser desestimado.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presente recurso de inconstitucionalidad.</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quince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lastRenderedPageBreak/>
        <w:br w:type="page"/>
      </w:r>
    </w:p>
    <w:p w:rsidR="00A90898" w:rsidRDefault="00A90898" w:rsidP="00A90898">
      <w:pPr>
        <w:pStyle w:val="TtuloResolucin"/>
      </w:pPr>
      <w:bookmarkStart w:id="97" w:name="SENTENCIA_2016_218"/>
      <w:r>
        <w:lastRenderedPageBreak/>
        <w:t>SENTENCIA 218/2016, de 19 de diciembre de 2016</w:t>
      </w:r>
    </w:p>
    <w:bookmarkEnd w:id="97"/>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ECLI:ES:TC:2016:218</w:t>
      </w:r>
    </w:p>
    <w:p w:rsidR="00A90898" w:rsidRDefault="00A90898" w:rsidP="00A90898">
      <w:pPr>
        <w:pStyle w:val="TextoNormalCentrado"/>
      </w:pPr>
    </w:p>
    <w:p w:rsidR="00A90898" w:rsidRDefault="00A90898" w:rsidP="00A90898">
      <w:pPr>
        <w:pStyle w:val="SntesisDescriptiva"/>
      </w:pPr>
      <w:r>
        <w:t>Recurso de amparo 7425-2014. Promovido por don Jordi Antoni Vives y doña María Inmaculada Cots Paltor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Asunto sustancialmente idéntico al resuelto por la STC 148/2016, en relación con la doctrina sobre la vulneración del derecho a la tutela judicial efectiva como consecuencia de la exclusión o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r>
        <w:t>2.</w:t>
      </w:r>
      <w:r>
        <w:tab/>
        <w:t>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7425-2014, promovido por don Jordi Antoni Vives y doña María Inmaculada Cots Paltor, representados por la Procuradora de los Tribunales doña María José Rodríguez Teijeiro y asistidos por el Letrado don Jordi Vives i Bas, contra el Auto del Juzgado de lo Mercantil núm. 4 de Barcelona, de 17 de febrero de 2014 (procedimiento ordinario núm. 688-2013) y contra el Auto de la Sección Decimoquinta de la Audiencia Provincial de Barcelona, de 22 de octubre de 2014, que desestimó el recurso de apelación (rollo núm. 260-2014) promovido contra la resolución anterior. Ha actuado como </w:t>
      </w:r>
      <w:r>
        <w:lastRenderedPageBreak/>
        <w:t>parte la entidad Caixabank, S.A., representada por el Procurador don Miguel Montero Reiter y asistida por el Letrado don Francesc Torres Vallespí. Ha intervenido el Ministerio Fiscal.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9 de diciembre de 2014, la Procuradora de los Tribunales doña María José Rodríguez Teijeiro, actuando en nombre de don Jordi Antoni Vives y doña María Inmaculada Cots Paltor,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 xml:space="preserve">a) Con fecha 12 de septiembre de 2013, los ahora recurrentes en amparo interpusieron demanda de juicio ordinario frente a la entidad Caixabank, S.A., ejercitando conjuntamente una acción declarativa de nulidad de una condición general de la contratación y otra de reclamación de cantidad. Se alegaba por los recurrentes que, tras la constitución el día 1 de julio de 2008 de una hipoteca sobre la vivienda de su propiedad con el fin de garantizar la devolución del préstamo otorgado a su favor por la entidad Caixa D’Estalvis i Pensions de Barcelona, se incluyó una cláusula sobre el tipo de interés aplicable a la vida del préstamo, que consistía en establecimiento, en una primera etapa, de un interés a tipo fijo del 5,75 por 100 nominal anual, que abarcaba desde el día de la firma de la escritura hasta el 31 de enero de 2009 inclusive; y otra segunda etapa, “de interés variable”, comprendida desde el día siguiente al de finalización de la primera etapa hasta el día de vencimiento del préstamo, con la inclusión de una estipulación signada como “pacto tercero </w:t>
      </w:r>
      <w:r w:rsidRPr="00A90898">
        <w:rPr>
          <w:i/>
        </w:rPr>
        <w:t>bis</w:t>
      </w:r>
      <w:r>
        <w:t>” de la escritura, en la que se determinaba que el “tipo máximo y mínimo de interés nominal anual aplicable durante la fase sujeta a intereses variables será de nueve enteros (9,00) por 100 y de cuatro enteros (4,00) por 100, respectivamente, siendo también dicho tipo máximo obligacional el tipo máximo a efectos hipotecarios para la primera disposición”.</w:t>
      </w:r>
    </w:p>
    <w:p w:rsidR="00A90898" w:rsidRDefault="00A90898" w:rsidP="00A90898">
      <w:pPr>
        <w:pStyle w:val="TextoNormal"/>
      </w:pPr>
    </w:p>
    <w:p w:rsidR="00A90898" w:rsidRDefault="00A90898" w:rsidP="00A90898">
      <w:pPr>
        <w:pStyle w:val="TextoNormal"/>
      </w:pPr>
      <w:r>
        <w:t>La demanda de los actores combatía precisamente el extremo de esa estipulación que hacía referencia al límite mínimo del 4 por 100 nominal anual, en referencia a lo que se conoce como “cláusula suelo”. Argumentaban aquéllos que dicha cláusula era nula de pleno derecho por abusiva, al no haber podido negociarse individualmente, resultar contraria a las exigencias de la buena fe y causar un desequilibrio contractual en su perjuicio, con incumplimiento del principio de transparencia en cuanto a la información de las consecuencias de la cláusula, teniendo en cuenta su condición jurídica de consumidores. Por ello, solicitaban, además de su nulidad, la devolución de lo pagado al prestatario en aplicación de la referida cláusula, con los intereses legales devengados.</w:t>
      </w:r>
    </w:p>
    <w:p w:rsidR="00A90898" w:rsidRDefault="00A90898" w:rsidP="00A90898">
      <w:pPr>
        <w:pStyle w:val="TextoNormal"/>
      </w:pPr>
    </w:p>
    <w:p w:rsidR="00A90898" w:rsidRDefault="00A90898" w:rsidP="00A90898">
      <w:pPr>
        <w:pStyle w:val="TextoNormal"/>
      </w:pPr>
      <w:r>
        <w:t xml:space="preserve">b) La demanda “sobre acción declarativa de nulidad de condición general de la contratación y acción de reclamación de cantidad” fue turnada al Juzgado de lo Mercantil núm. 4 de Barcelona y admitida a trámite en virtud de decreto de su Secretaría de 25 de octubre de 2013. Conferido traslado de la misma a la parte demandada, la entidad Caixabank, S.A., su </w:t>
      </w:r>
      <w:r>
        <w:lastRenderedPageBreak/>
        <w:t>representación procesal presentó escrito de personación en las actuaciones el 19 de noviembre de 2013, formulando en el mismo, mediante un “otrosí digo”, la petición de sobreseimiento del proceso por existir a criterio de dicha parte litispendencia o, en su defecto, prejudicialidad civil, respecto del procedimiento instado por la Asociación de usuarios de Bancos, Cajas de Ahorros y Seguros de España (ADICAE), para la protección de derechos e intereses colectivos y difusos de consumidores y usuarios, conforme a demanda de la que se aportaba copia de su “cabecera y suplico”, autos seguidos ante el Juzgado de lo Mercantil núm. 11 de Madrid (procedimiento ordinario núm. 471-2010) donde se impugnaba, entre otras, la cláusula suelo de la demandada.</w:t>
      </w:r>
    </w:p>
    <w:p w:rsidR="00A90898" w:rsidRDefault="00A90898" w:rsidP="00A90898">
      <w:pPr>
        <w:pStyle w:val="TextoNormal"/>
      </w:pPr>
    </w:p>
    <w:p w:rsidR="00A90898" w:rsidRDefault="00A90898" w:rsidP="00A90898">
      <w:pPr>
        <w:pStyle w:val="TextoNormal"/>
      </w:pPr>
      <w:r>
        <w:t>El Juzgado proveyó a lo solicitado dictando providencia el 21 de noviembre de 2013, por la que ordenó dar traslado del escrito a la parte actora, “resolviéndose esta cuestión en la audiencia previa”, con orden de que continuara el procedimiento. La parte demandada presentó el 12 de diciembre de 2013 el escrito de contestación a la demanda, en el que reiteró el planteamiento de las excepciones de litispendencia o en su caso prejudicialidad civil, remitiéndose en su argumentación a lo expuesto en su anterior escrito de 19 de noviembre. También se opuso al fondo de las pretensiones suscitadas en la demanda y solicitó, “caso de que este pleito llegue a Sentencia”, que se acordara su desestimación íntegra.</w:t>
      </w:r>
    </w:p>
    <w:p w:rsidR="00A90898" w:rsidRDefault="00A90898" w:rsidP="00A90898">
      <w:pPr>
        <w:pStyle w:val="TextoNormal"/>
      </w:pPr>
    </w:p>
    <w:p w:rsidR="00A90898" w:rsidRDefault="00A90898" w:rsidP="00A90898">
      <w:pPr>
        <w:pStyle w:val="TextoNormal"/>
      </w:pPr>
      <w:r>
        <w:t>c) La Secretaría del Juzgado dictó diligencia de ordenación el 13 de diciembre de 2013, teniendo por presentado el escrito de contestación a la demanda y convocando a las partes a la celebración del acto de la audiencia previa el 6 de febrero de 2014, donde tuvo lugar lo acordado.</w:t>
      </w:r>
    </w:p>
    <w:p w:rsidR="00A90898" w:rsidRDefault="00A90898" w:rsidP="00A90898">
      <w:pPr>
        <w:pStyle w:val="TextoNormal"/>
      </w:pPr>
    </w:p>
    <w:p w:rsidR="00A90898" w:rsidRDefault="00A90898" w:rsidP="00A90898">
      <w:pPr>
        <w:pStyle w:val="TextoNormal"/>
      </w:pPr>
      <w:r>
        <w:t>d) Con fecha 17 de febrero de 2014, el Juzgado dictó Auto estimatorio de la excepción de prejudicialidad civil planteada por la representación de Caixabank, S.A., y la suspensión del procedimiento hasta que recayera resolución firme en el proceso seguido ante el Juzgado de lo Mercantil núm. 11 de Madrid (por error se indica el núm. 12). En su fundamentación, el Juzgado, luego de reconocer la complejidad de la cuestión que le había sido suscitada por la dificultad de tener que ”compatibilizar los diferentes intereses en juego” y de señalar que, de una parte, el art. 11.1 de la Ley de enjuiciamiento civil (LEC) reconocía legitimación a las asociaciones de consumidores y usuarios para defender los intereses de éstos, pero también, de otra, confería legitimación activa a los consumidores individuales para defender sus propios intereses, permitiendo extender los efectos de la cosa juzgada material a los consumidores no litigantes, destacaba de modo textual en su fundamento jurídico 3 que tal circunstancia “implicaría que promovido un pleito con las mismas pretensiones por una asociación de consumidores no pudieran plantearse acciones individuales o las que se plantearan fueran sobreseídas, art. 421 LEC, mientras que si la coincidencia no es total sino parcial, el procedimiento tendría que suspenderse por prejudicialidad civil, art. 421.1 y 43 LEC”. Por ello y, según refería la resolución, para evitar “resoluciones contradictorias” y con apoyo, también, en un precedente Auto de la Sección Decimoquinta de la Audiencia Provincial de Barcelona (de 11 de junio de 2013), que, según razonaba el Juzgado, era similar al de autos, estimó procedente la existencia de una prejudicialidad civil, conforme prevé el art. 43 LEC, y acordó pues la suspensión del procedimiento hasta tanto fuera resuelto el seguido ante el Juzgado de lo Mercantil núm. 11 de Madrid.</w:t>
      </w:r>
    </w:p>
    <w:p w:rsidR="00A90898" w:rsidRDefault="00A90898" w:rsidP="00A90898">
      <w:pPr>
        <w:pStyle w:val="TextoNormal"/>
      </w:pPr>
    </w:p>
    <w:p w:rsidR="00A90898" w:rsidRDefault="00A90898" w:rsidP="00A90898">
      <w:pPr>
        <w:pStyle w:val="TextoNormal"/>
      </w:pPr>
      <w:r>
        <w:t xml:space="preserve">e) Contra el indicado Auto, la parte actora interpuso recurso de apelación en el que, además de alegar en el plano de la legalidad ordinaria la infracción del art. 43 LEC y argumentar </w:t>
      </w:r>
      <w:r>
        <w:lastRenderedPageBreak/>
        <w:t>que el ejercicio de la acción colectiva por parte de ADICAE no impedía a los interesados ejercitar las acciones individuales que tuvieran por conveniente con base en lo previsto en el art. 11.1 LEC, los recurrentes sostuvieron que la tesis del Juzgado conducía a una vulneración del derecho fundamental a la tutela judicial efectiva, consagrado en el art. 24.1 CE.</w:t>
      </w:r>
    </w:p>
    <w:p w:rsidR="00A90898" w:rsidRDefault="00A90898" w:rsidP="00A90898">
      <w:pPr>
        <w:pStyle w:val="TextoNormal"/>
      </w:pPr>
    </w:p>
    <w:p w:rsidR="00A90898" w:rsidRDefault="00A90898" w:rsidP="00A90898">
      <w:pPr>
        <w:pStyle w:val="TextoNormal"/>
      </w:pPr>
      <w:r>
        <w:t>f) La Sección Decimoquinta de la Audiencia Provincial de Barcelona dictó Auto el día 22 de octubre de 2014, en el seno del rollo de apelación 260-2014,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 sin expresa imposición de costas por apreciar “dudas de derecho”.</w:t>
      </w:r>
    </w:p>
    <w:p w:rsidR="00A90898" w:rsidRDefault="00A90898" w:rsidP="00A90898">
      <w:pPr>
        <w:pStyle w:val="TextoNormal"/>
      </w:pPr>
    </w:p>
    <w:p w:rsidR="00A90898" w:rsidRDefault="00A90898" w:rsidP="00A90898">
      <w:pPr>
        <w:pStyle w:val="TextoNormal"/>
      </w:pPr>
      <w:r>
        <w:t>Los argumentos desplegados por el Auto de referencia (FFJJ 3 a 5) para tomar su decisión fueron, en síntesis, los siguientes:</w:t>
      </w:r>
    </w:p>
    <w:p w:rsidR="00A90898" w:rsidRDefault="00A90898" w:rsidP="00A90898">
      <w:pPr>
        <w:pStyle w:val="TextoNormal"/>
      </w:pPr>
    </w:p>
    <w:p w:rsidR="00A90898" w:rsidRDefault="00A90898" w:rsidP="00A90898">
      <w:pPr>
        <w:pStyle w:val="TextoNormal"/>
      </w:pPr>
      <w:r>
        <w:t>En primer lugar (FJ 3), con apoyo en el art. 222.3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 15 LEC, esto es, intervenir en el proceso, o bien solicitar la acumulación de la acción individual a la colectiva (siempre que se cumplan los requisitos que exige el art. 76.2.1 LEC) o interesar la extensión de los efectos del pronunciamiento en fase de ejecución (art.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Afirma (FJ 4) que tiene razón la recurrente cuando alega que no se cumplen en el supuesto enjuiciado los presupuestos establecidos en el art. 43 LEC, norma que regula la prejudicialidad civil, sino que existe identidad de objeto “porque la condición general impugnada en ambos en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00A90898" w:rsidRDefault="00A90898" w:rsidP="00A90898">
      <w:pPr>
        <w:pStyle w:val="TextoNormal"/>
      </w:pPr>
    </w:p>
    <w:p w:rsidR="00A90898" w:rsidRDefault="00A90898" w:rsidP="00A90898">
      <w:pPr>
        <w:pStyle w:val="TextoNormal"/>
      </w:pPr>
      <w:r>
        <w:t xml:space="preserve">En segundo término (FJ 6), la Sala arguye que, aun cuando el art. 11.1 LEC reconozca legitimación activa a los perjudicados titulares de acciones individuales, tal circunstancia no se opone a la apreciación de litispendencia, pues sostiene que el hecho de que “tengan legitimación activa los perjudicados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w:t>
      </w:r>
      <w:r>
        <w:lastRenderedPageBreak/>
        <w:t>interés singular, tal y como expresa ese precepto en su apartado 1”. Del mismo modo, descarta el órgano judicial que exista afectación relevante alguna al derecho a la tutela judicial efectiva pues, a su parecer, “no se restringe la legitimación de los afectados ni se les impide el acceso a la tutela sino que únicamente se condiciona el ejercicio de las acciones individuales de una forma concreta y determinada (acumulada a otras, las colectivas), de manera que permite conciliar esos derechos individuales con los de los demás afectados”. Se trataría por tanto, concluye, de “normas de organización procesal que pretenden salvaguardar el interés general (los intereses colectivos) respetando el buen orden procesal (la cosa juzgada)”.</w:t>
      </w:r>
    </w:p>
    <w:p w:rsidR="00A90898" w:rsidRDefault="00A90898" w:rsidP="00A90898">
      <w:pPr>
        <w:pStyle w:val="TextoNormal"/>
      </w:pPr>
    </w:p>
    <w:p w:rsidR="00A90898" w:rsidRDefault="00A90898" w:rsidP="00A90898">
      <w:pPr>
        <w:pStyle w:val="TextoNormal"/>
      </w:pPr>
      <w:r w:rsidRPr="00A90898">
        <w:rPr>
          <w:rStyle w:val="NumeroAFNegritaCaracter"/>
        </w:rPr>
        <w:t>3</w:t>
      </w:r>
      <w:r>
        <w:t>. Los actores formalizaron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00A90898" w:rsidRDefault="00A90898" w:rsidP="00A90898">
      <w:pPr>
        <w:pStyle w:val="TextoNormal"/>
      </w:pPr>
    </w:p>
    <w:p w:rsidR="00A90898" w:rsidRDefault="00A90898" w:rsidP="00A90898">
      <w:pPr>
        <w:pStyle w:val="TextoNormal"/>
      </w:pPr>
      <w:r>
        <w:t>Más adelante, en el bloque de fundamentos de derecho procesales, en concreto en el epígrafe dedicado al requisito del debido agotamiento de la vía judicial previa al amparo, art. 44.1 a) de la Ley Orgánica del Tribunal Constitucional (LOTC), la demanda explica que dicha parte actora “ha tenido serias dificultades” para su cumplimiento. Que, siendo el Auto de la Audiencia Provincial firme y no caber contra él recurso alguno, “parecía claro que la vía judicial previa al recurso de amparo se agotaba con la interposición del recurso de nulidad de actuaciones ante el órgano que dictó dicha resolución”. Sin embargo, prosigue diciendo la demanda, “dicha interpretación, fue pacífica hasta que el Tribunal Constitucional, en Pleno, dictó la STC 216/2013, de 19 de diciembre”, de la que reproduce su fundamento jurídico 2 d), donde se declara que, para el agotamiento de la vía judicial previa, “basta comprobar que los órganos judiciales han tenido la oportunidad de pronunciarse sobre los derechos fundamentales luego invocados en vía de amparo constitucional, para estimar cumplido el mencionado requisito”, por lo que “cuando el objeto del proceso consista en el estudio de la lesión directa del derecho … consecuencia de la revocación de las sentencias de las instancias previas, no requiere la necesaria interposición del incidente de nulidad”. Añade el escrito que la disyuntiva entre interponer el incidente o no hacerlo “no es baladí, ya que optar por la interposición del recurso sin ser necesario conllevaría una interposición extemporánea del recurso de amparo, y no interponerlo siendo preceptivo conllevaría una inadmisión del recurso por no cumplir el requisito del agotamiento previo de la vía judicial”. Y finaliza en este punto la demanda diciendo que “en consecuencia, esta parte ha llegado a la conclusión que en este supuesto no es necesaria la interposición del recurso [</w:t>
      </w:r>
      <w:r w:rsidRPr="00A90898">
        <w:rPr>
          <w:i/>
        </w:rPr>
        <w:t>sic</w:t>
      </w:r>
      <w:r>
        <w:t xml:space="preserve">] de nulidad de actuaciones y que, por tanto, debemos interponer directamente el presente recurso de amparo, habida cuenta que el órgano judicial que dictó el Auto, recurrido ahora en amparo, ya tuvo oportunidad de pronunciarse sobre la vulneración del derecho fundamental </w:t>
      </w:r>
      <w:r>
        <w:lastRenderedPageBreak/>
        <w:t>objeto de la presente demanda (art. 24. CE) entendiendo que no existía ‘afectación alguna relevante desde la perspectiva del art. 24 CE’, por ende, ha de concluirse que se han agotado todos los recursos preceptivos de la vía judicial”.</w:t>
      </w:r>
    </w:p>
    <w:p w:rsidR="00A90898" w:rsidRDefault="00A90898" w:rsidP="00A90898">
      <w:pPr>
        <w:pStyle w:val="TextoNormal"/>
      </w:pPr>
    </w:p>
    <w:p w:rsidR="00A90898" w:rsidRDefault="00A90898" w:rsidP="00A90898">
      <w:pPr>
        <w:pStyle w:val="TextoNormal"/>
      </w:pPr>
      <w: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del canon del principio </w:t>
      </w:r>
      <w:r w:rsidRPr="00A90898">
        <w:rPr>
          <w:i/>
        </w:rPr>
        <w:t>pro actione</w:t>
      </w:r>
      <w:r>
        <w:t xml:space="preserve">,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Tras citar la recomendación de 11 de junio de 2013 de la Comisión Europea, defiende que no hay peligro en estos casos de sentencias contradictorias “pues los intereses en juego en cada una de las acciones es distinto y tanto más cuando, como es el caso, los recurrentes no forman parte del elenco de los concretos intereses defendidos en el otro proceso ni tan siquiera que hayan sido llamados a ese proceso lo que, en todo caso, no puede constituirse ni en una obligación ni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w:t>
      </w:r>
      <w:r w:rsidRPr="00A90898">
        <w:rPr>
          <w:i/>
        </w:rPr>
        <w:t>causa petendi</w:t>
      </w:r>
      <w:r>
        <w:t xml:space="preserve"> entre la acción ejercida por esta parte y la acción colectiva interpuesta por ADICAE y que se sustancia en el Juzgado Mercantil núm. 11 de Madrid”. Insiste finalmente en una lectura integrada de los arts. 11.1 LEC y 24.1 CE, para no excluir el ejercicio de las acciones individuales.</w:t>
      </w:r>
    </w:p>
    <w:p w:rsidR="00A90898" w:rsidRDefault="00A90898" w:rsidP="00A90898">
      <w:pPr>
        <w:pStyle w:val="TextoNormal"/>
      </w:pPr>
    </w:p>
    <w:p w:rsidR="00A90898" w:rsidRDefault="00A90898" w:rsidP="00A90898">
      <w:pPr>
        <w:pStyle w:val="TextoNormal"/>
      </w:pPr>
      <w:r>
        <w:t>El suplico de la demanda solicita la declaración de nulidad del Auto de la Sección Decimoquinta de la Audiencia Provincial de Barcelona, de 22 de octubre de 2014 y que, como consecuencia de ello, “se ordene la emisión de una sentencia sobre el fondo según las pretensiones y peticiones de las partes que constan en los autos, restableciendo de este modo los derechos a la tutela judicial efectiva de los recurrentes”.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diligencia de ordenación de 2 de enero de 2015, la Secretaría de Justicia de la Sección Cuarta de este Tribunal requirió al Procurador de los recurrentes para que aportara copia del Auto dictado por el Juzgado de lo Mercantil núm. 4 de Barcelona. El requerimiento fue cumplimentado por dicha representación procesal, a través de escrito presentado el 9 de enero de 2015.</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Con fecha 22 de junio de 2015, la Sección Cuarta, Sala Segunda, de este Tribunal, dictó providencia admitiendo a trámite la demanda de amparo, “apreciando que ofrece especial trascendencia constitucional (art. 50.1 LOTC), toda vez que, el recurso puede dar </w:t>
      </w:r>
      <w:r>
        <w:lastRenderedPageBreak/>
        <w:t>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4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Por medio de escrito presentado el día 10 de julio de 2015, el Procurador de los Tribunales don Miguel Montero Reiter vino a personarse en nombre y representación de la entidad Caixabank, S.A., solicitando se entendieran con él las sucesivas diligencias y notificaciones.</w:t>
      </w:r>
    </w:p>
    <w:p w:rsidR="00A90898" w:rsidRDefault="00A90898" w:rsidP="00A90898">
      <w:pPr>
        <w:pStyle w:val="TextoNormal"/>
      </w:pPr>
    </w:p>
    <w:p w:rsidR="00A90898" w:rsidRDefault="00A90898" w:rsidP="00A90898">
      <w:pPr>
        <w:pStyle w:val="TextoNormal"/>
      </w:pPr>
      <w:r w:rsidRPr="00A90898">
        <w:rPr>
          <w:rStyle w:val="NumeroAFNegritaCaracter"/>
        </w:rPr>
        <w:t>7</w:t>
      </w:r>
      <w:r>
        <w:t>. La Secretaría de Justicia de la Sala Segunda de este Tribunal dictó diligencia de ordenación el día 2 de septiembre de 2015, por la que tuvo por personado y parte en el procedimiento al Procurador indicado, en nombre y representación de Caixabank, S.A., si bien con la condición de que en el plazo de diez días aportase la escritura de poder acreditativa de tal representación, lo que efectuó el día 11 de septiembre siguiente. Asimismo, en la diligencia de ordenación del día 2 de septiembre se acordó abrir trámite de audiencia por veinte días a las partes personadas y al Ministerio Fiscal, a fin de que pudieran presentar alegaciones conforme determina el art. 52.1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día 1 de octubre de 2015, la representante procesal de los recurrentes en amparo presentó sus alegaciones, informando que ante el Tribunal de Justicia de la Unión Europea pendía una cuestión prejudicial relativa a la interpretación de la Directiva 91/13/CEE [</w:t>
      </w:r>
      <w:r w:rsidRPr="00A90898">
        <w:rPr>
          <w:i/>
        </w:rPr>
        <w:t>sic</w:t>
      </w:r>
      <w:r>
        <w:t>], del Consejo, de 5 de abril de 1993, sobre las cláusulas abusivas en los contratos celebrados con consumidores, en la que se plantea “si el art. 7 de dicha Directiva se opone a una normativa procesal nacional según la cual los procedimientos judiciales individuales sobre cláusulas abusivas, entablados paralelamente a procedimientos colectivos, deben suspenderse, por existir prejudicialidad civil, hasta que recaiga sentencia firme en los procedimientos colectivos, quedando también vinculados a lo que se decida en dicha sentencia”. En relación a dicho procedimiento, se aportó informe del servicio jurídico de la Comisión Europea en los asuntos acumulados C-381/14 y C-385/14, cuyo criterio “es relevante y debe ser conocido por este Alto Tribunal”, acompañando copia del mismo, y reproduciendo varios de sus apartados así como su conclusión, según la cual una norma nacional que prevea suspender los procedimientos individuales hasta que recaiga sentencia firme en los procesos colectivos, se opone al art. 7 de la Directiva 93/13/CEE.</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Con fecha 5 de octubre de 2015 se formalizó escrito de alegaciones por el representante procesal de la entidad Caixabank, S.A. Como primer punto, se alega la infracción del requisito de procedibilidad del art. 44.1 a) LOTC, referido al agotamiento previo de la vía judicial. Se fundamenta dicho óbice en que el escrito de interposición del recurso de apelación apenas invierte dos líneas en denunciar la lesión del derecho a la tutela judicial efectiva (art. 24.1 CE), sin ofrecer una argumentación más detallada al respecto, por lo que en consonancia con ello la respuesta del órgano judicial alcanza la misma extensión en su último fundamento jurídico titulado “Otras consideraciones adicionales”. De aquí colige que “el </w:t>
      </w:r>
      <w:r>
        <w:lastRenderedPageBreak/>
        <w:t>Tribunal de apelación no ha tenido ocasión de pronunciarse de forma suficientemente exhaustiva sobre una posible vulneración” del indicado derecho fundamental, dejando así de preservarse el carácter subsidiario del recurso de amparo.</w:t>
      </w:r>
    </w:p>
    <w:p w:rsidR="00A90898" w:rsidRDefault="00A90898" w:rsidP="00A90898">
      <w:pPr>
        <w:pStyle w:val="TextoNormal"/>
      </w:pPr>
    </w:p>
    <w:p w:rsidR="00A90898" w:rsidRDefault="00A90898" w:rsidP="00A90898">
      <w:pPr>
        <w:pStyle w:val="TextoNormal"/>
      </w:pPr>
      <w:r>
        <w:t>Por lo que se refiere a la cuestión de fondo, sostiene la entidad bancaria que la demanda de amparo tampoco dedica una alegación específica en torno a los términos en que se produce la lesión del art. 24.1 CE, más bien genérica. En todo caso, y efectuando una interpretación de las normas procesales aplicadas por la resolución recurrida, afirma que no hay la vulneración que se aduce de contrario, porque los consumidores y usuarios tienen legitimación para ejercitar una acción individual bien que en casos como éste han de hacerlo “en el seno del procedimiento colectivo, en el que como tales individuos pueden comparecer y ser parte, sin que quepa que puedan seguir un proceso singular en paralelo, al margen del colectivo”.</w:t>
      </w:r>
    </w:p>
    <w:p w:rsidR="00A90898" w:rsidRDefault="00A90898" w:rsidP="00A90898">
      <w:pPr>
        <w:pStyle w:val="TextoNormal"/>
      </w:pPr>
    </w:p>
    <w:p w:rsidR="00A90898" w:rsidRDefault="00A90898" w:rsidP="00A90898">
      <w:pPr>
        <w:pStyle w:val="TextoNormal"/>
      </w:pPr>
      <w:r w:rsidRPr="00A90898">
        <w:rPr>
          <w:rStyle w:val="NumeroAFNegritaCaracter"/>
        </w:rPr>
        <w:t>10</w:t>
      </w:r>
      <w:r>
        <w:t>. El Ministerio Fiscal formalizó su escrito de alegaciones con fecha 9 de octubre de 2015, interesando la estimación del amparo “por entender que el Auto dictado por el Juzgado de lo Mercantil … y el Auto … de la Audiencia Provincial de Barcelona desestimando el recurso de apelación contra el anterior han vulnerado el art. 24.1 CE que tutela el acceso al proceso y a obtener una resolución de fondo, restableciendo a los demandantes en amparo en su derecho fundamental”.</w:t>
      </w:r>
    </w:p>
    <w:p w:rsidR="00A90898" w:rsidRDefault="00A90898" w:rsidP="00A90898">
      <w:pPr>
        <w:pStyle w:val="TextoNormal"/>
      </w:pPr>
    </w:p>
    <w:p w:rsidR="00A90898" w:rsidRDefault="00A90898" w:rsidP="00A90898">
      <w:pPr>
        <w:pStyle w:val="TextoNormal"/>
      </w:pPr>
      <w:r>
        <w:t>Tras exponer los antecedentes de hecho, se precisa que “son dos las resoluciones judiciales impugnadas porque en ambas, tanto en la de instancia como en la de apelación, se deniega el acceso a la jurisdicción, si bien por motivos diferentes”; la del Juzgado acordando la suspensión por prejudicialidad, y la Audiencia el archivo del procedimiento por litispendencia. Así, “siendo motivaciones distintas las que impiden el acceso a la jurisdicción de las demandantes de amparo, ambas tienen un nexo común, cual es la finalidad de ambas resoluciones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A90898" w:rsidRDefault="00A90898" w:rsidP="00A90898">
      <w:pPr>
        <w:pStyle w:val="TextoNormal"/>
      </w:pPr>
    </w:p>
    <w:p w:rsidR="00A90898" w:rsidRDefault="00A90898" w:rsidP="00A90898">
      <w:pPr>
        <w:pStyle w:val="TextoNormal"/>
      </w:pPr>
      <w:r>
        <w:t>En relación al motivo de fondo del recurso, el Ministerio público se centra en el art. 11.1 LEC, del que observa que prevé la legitimación de las asociaciones de consumidores y usuarios para ejercitar acciones en defensa de los intereses generales de éstos, “sin perjuicio de la legitimación individual de los perjudicados”, quedando así establecida la compatibilidad entre ambas. Pasa a referirse a los razonamientos dados en el Auto del Juzgado de lo Mercantil núm. 4 de Barcelona, y critica la solución de suspender el procedimiento hasta que recaiga sentencia firme en la causa seguida por ADICAE ante el Juzgado de lo Mercantil núm. 11 de Madrid, al no tratarse de las mismas partes, “porque en el proceso previo es una asociación de consumidores y en el proceso que se encuentra en el origen del presente recurso son los demandantes de amparo, que ni consta pertenezcan a la asociación demandante ni tan siquiera que hayan sido llamados a dicho proceso”.</w:t>
      </w:r>
    </w:p>
    <w:p w:rsidR="00A90898" w:rsidRDefault="00A90898" w:rsidP="00A90898">
      <w:pPr>
        <w:pStyle w:val="TextoNormal"/>
      </w:pPr>
    </w:p>
    <w:p w:rsidR="00A90898" w:rsidRDefault="00A90898" w:rsidP="00A90898">
      <w:pPr>
        <w:pStyle w:val="TextoNormal"/>
      </w:pPr>
      <w:r>
        <w:t xml:space="preserve">Así las cosas, considera el Fiscal que la solución interpretativa que sustenta el Auto del Juzgado de lo Mercantil “nos parece poco fundada en derecho, pudiera entenderse como arbitraria por cuanto desconoce el completo juego normativo que hemos esbozado más </w:t>
      </w:r>
      <w:r>
        <w:lastRenderedPageBreak/>
        <w:t>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 xml:space="preserve">A su parecer, además, la resolución del Juzgado adolece de una deficiente fundamentación, por dos causas: “En primer lugar porque en ningún momento se ha aportado en el proceso ni el Juzgado y luego ante la Sección en apelación, ni lo aportó la entidad demandada, que eran a los que correspondía hacerlo, la documentación del proceso preexistente que permitiera de manera cierta documentar no sólo la </w:t>
      </w:r>
      <w:r w:rsidRPr="00A90898">
        <w:rPr>
          <w:i/>
        </w:rPr>
        <w:t>litis</w:t>
      </w:r>
      <w:r>
        <w:t xml:space="preserve"> del mismo y el alcance final de esta sino asimismo las relaciones procesales existentes en aquél, el momento procesal y lo actuado hasta ese momento así como los llamamientos a quienes pudieran ser parte en el mismo al tenor de los arts. 11 y 15 LEC. Y lo mismo cabe decir del art. 43 LEC para poder decidir si concurría o no prejudicialidad civil … en ningún momento concreta ni razona cuales sean las similitudes y las diferencias que le permitan llegar a esa conclusión; un déficit argumentativo y fundamentador que es de alcance grave para con una decisión de tanta relevancia como lo es la suspensión de un proceso y el impedimento, al menos momentáneo, de que prospere el </w:t>
      </w:r>
      <w:r w:rsidRPr="00A90898">
        <w:rPr>
          <w:i/>
        </w:rPr>
        <w:t>petitum</w:t>
      </w:r>
      <w:r>
        <w:t xml:space="preserve"> de los demandantes”.</w:t>
      </w:r>
    </w:p>
    <w:p w:rsidR="00A90898" w:rsidRDefault="00A90898" w:rsidP="00A90898">
      <w:pPr>
        <w:pStyle w:val="TextoNormal"/>
      </w:pPr>
    </w:p>
    <w:p w:rsidR="00A90898" w:rsidRDefault="00A90898" w:rsidP="00A90898">
      <w:pPr>
        <w:pStyle w:val="TextoNormal"/>
      </w:pPr>
      <w:r>
        <w:t>Y en segundo lugar, prosigue diciendo, porque tampoco el Auto del Juzgado motiva por qué no era posible acordar la acumulación de procesos antes de tener que llegar a la solución de declarar la prejudicialidad, lo que supone “un nuevo ataque al deber de fundamentación de una resolución” cuya necesidad de motivación es “alta y exigente por las consecuencias anudadas a la misma”, conforme “la constante jurisprudencia constitucional en relación con el art. 24.1 CE”.</w:t>
      </w:r>
    </w:p>
    <w:p w:rsidR="00A90898" w:rsidRDefault="00A90898" w:rsidP="00A90898">
      <w:pPr>
        <w:pStyle w:val="TextoNormal"/>
      </w:pPr>
    </w:p>
    <w:p w:rsidR="00A90898" w:rsidRDefault="00A90898" w:rsidP="00A90898">
      <w:pPr>
        <w:pStyle w:val="TextoNormal"/>
      </w:pPr>
      <w:r>
        <w:t>De la resolución de apelación, considera a su vez el Fiscal que “incide en los mismos defectos constitucionales que hemos atribuido a la de instancia”.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al efecto las consideraciones efectuadas ya a propósito del Auto del Juzgado.</w:t>
      </w:r>
    </w:p>
    <w:p w:rsidR="00A90898" w:rsidRDefault="00A90898" w:rsidP="00A90898">
      <w:pPr>
        <w:pStyle w:val="TextoNormal"/>
      </w:pPr>
    </w:p>
    <w:p w:rsidR="00A90898" w:rsidRDefault="00A90898" w:rsidP="00A90898">
      <w:pPr>
        <w:pStyle w:val="TextoNormal"/>
      </w:pPr>
      <w:r>
        <w:t xml:space="preserve">A continuación, cuestiona la declaración de oficio de la litispendencia hecha por la Audiencia, lo que “podría suponer la vulneración del derecho a no padecer indefensión anudada a incongruencia </w:t>
      </w:r>
      <w:r w:rsidRPr="00A90898">
        <w:rPr>
          <w:i/>
        </w:rPr>
        <w:t>extrapetita</w:t>
      </w:r>
      <w:r>
        <w:t xml:space="preserve"> (art. 24.1 CE) e incluso del proceso debido (art. 24.2 CE)”. De otro lado,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 xml:space="preserve">Concluye argumentando el Fiscal que lo que trae consigo la vulneración del art. 24.1 CE, en definitiva, “es que se prime la acción colectiva de manera radicalmente excluyente de la </w:t>
      </w:r>
      <w:r>
        <w:lastRenderedPageBreak/>
        <w:t>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11</w:t>
      </w:r>
      <w:r>
        <w:t>. La representación procesal de los recurrentes presentó escrito el 19 de abril de 2016, por la que alega que el Tribunal de Justicia de la Unión Europea ha dictado Sentencia el 14 de abril previo, en las cuestiones prejudiciales referidas en su escrito de alegaciones del art. 52 LOTC, y cuya copia acompaña como documento núm. 1, solicitando su admisión a los actuaciones, lo que fue acordado por diligencia de ordenación de la Secretaría de Justicia de la Sala Segunda, de 20 de abril de 2016.</w:t>
      </w:r>
    </w:p>
    <w:p w:rsidR="00A90898" w:rsidRDefault="00A90898" w:rsidP="00A90898">
      <w:pPr>
        <w:pStyle w:val="TextoNormal"/>
      </w:pPr>
    </w:p>
    <w:p w:rsidR="00A90898" w:rsidRDefault="00A90898" w:rsidP="00A90898">
      <w:pPr>
        <w:pStyle w:val="TextoNormal"/>
      </w:pPr>
      <w:r>
        <w:t>La propia Secretaría de Justicia de la Sala Segunda, finalmente, dictó diligencias de ordenación el 27 de julio y el 21 de septiembre de 2016, requiriendo documentación de las actuaciones, respectivamente, al Juzgado de lo Mercantil núm. 4 de Barcelona y a la Sección Decimoquinta de la Audiencia Provincial de Barcelona, con el resultado que obra en los autos.</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15 de diciembre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demanda de amparo solicita en su suplico, por los motivos que expone en sus fundamentos y que luego se analizarán, que este Tribunal declare la nulidad del Auto de la Sección Decimoquinta de la Audiencia Provincial de Barcelona dictado el 22 de octubre de 2014, por vulnerar el derecho de acceso a la jurisdicción (art. 24.1 CE) de los recurrentes, al haber estimado la excepción procesal de litispendencia respecto del procedimiento abierto a su instancia contra la entidad Caixabank, S.A., para la nulidad de la cláusula suelo incluida en el contrato de préstamo suscrito entre ambas partes; en favor del procedimiento instado a su vez en el año 2010 por la asociación de consumidores ADICAE (Asociación de usuarios de Bancos, Cajas de Ahorros y Seguros de España) contra diversas entidades financieras —entre ellas la aquí demandada—,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t>Ahora bien, aunque no en el suplico, el escrito de demanda sí que hace referencia en sus fundamentos a que el Juzgado de lo Mercantil núm. 4 de Barcelona había dictado Auto el 17 de febrero de 2014, acordando estimar la excepción de prejudicialidad del art. 43 de la Ley de enjuiciamiento civil (LEC) planteada por la entidad demandada, en relación con aquel otro proceso seguido a instancias de ADICAE, trayendo consigo que se suspendieran las actuaciones hasta recaer sentencia firme en este último, a fin de estar a lo resuelto en el mismo para dilucidar la controversia aquí planteada. Esta decisión judicial propició, según explica la propia demanda, la interposición de un recurso de apelación en el que, aparte de otros argumentos, se hizo expresa invocación del art. 24.1 CE, al entenderse como impeditiva del derecho de los recurrentes a obtener una resolución de fondo sobre sus pretensiones.</w:t>
      </w:r>
    </w:p>
    <w:p w:rsidR="00A90898" w:rsidRDefault="00A90898" w:rsidP="00A90898">
      <w:pPr>
        <w:pStyle w:val="TextoNormal"/>
      </w:pPr>
    </w:p>
    <w:p w:rsidR="00A90898" w:rsidRDefault="00A90898" w:rsidP="00A90898">
      <w:pPr>
        <w:pStyle w:val="TextoNormal"/>
      </w:pPr>
      <w:r>
        <w:t xml:space="preserve">A la vista de esa denuncia, y dado que la demanda en ningún momento afirma que el Auto de la Audiencia hubiere reparado la lesión producida por el Juzgado </w:t>
      </w:r>
      <w:r w:rsidRPr="00A90898">
        <w:rPr>
          <w:i/>
        </w:rPr>
        <w:t>a quo</w:t>
      </w:r>
      <w:r>
        <w:t xml:space="preserve">, ha de </w:t>
      </w:r>
      <w:r>
        <w:lastRenderedPageBreak/>
        <w:t>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dispositiva como la </w:t>
      </w:r>
      <w:r w:rsidRPr="00A90898">
        <w:rPr>
          <w:i/>
        </w:rPr>
        <w:t>ratio decidendi</w:t>
      </w:r>
      <w:r>
        <w:t xml:space="preserve"> de las resoluciones impugnadas: la del Juzgado </w:t>
      </w:r>
      <w:r w:rsidRPr="00A90898">
        <w:rPr>
          <w:i/>
        </w:rPr>
        <w:t>a quo</w:t>
      </w:r>
      <w:r>
        <w:t xml:space="preserve"> (en este caso, incluso, es el mismo: el Mercantil núm. 4 de Barcelona) que declara la suspensión del proceso individual por prejudicialidad, y la del Tribunal de apelación: en los dos, la Sección Decimoquinta de la Audiencia Provincial de Barcelona,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Antes de entrar en el examen del fondo del recurso hemos de dar, aunque sea de modo sucinto, debida respuesta al óbice procesal que plantea la entidad bancaria personada, relativo a la falta de agotamiento de la vía judicial previa </w:t>
      </w:r>
      <w:r w:rsidRPr="00A90898">
        <w:rPr>
          <w:i/>
        </w:rPr>
        <w:t>ex</w:t>
      </w:r>
      <w:r>
        <w:t xml:space="preserve"> art. 44.1 a) de la Ley Orgánica del Tribunal Constitucional (LOTC). De los términos con que el mismo se formula se desprende su falta de consistencia, pues lo único que se objeta es que el escrito de los apelantes no fuera más extenso en su denuncia de lesión del derecho a la tutela judicial efectiva, cuando lo cierto es que lo alegado fue, aunque sucinto, suficiente, pues generó una contestación concreta del Tribunal de apelación, como reconoce la entidad, sin que tenga relevancia alguna que esta última aparezca en el fundamento jurídico de la resolución.</w:t>
      </w:r>
    </w:p>
    <w:p w:rsidR="00A90898" w:rsidRDefault="00A90898" w:rsidP="00A90898">
      <w:pPr>
        <w:pStyle w:val="TextoNormal"/>
      </w:pPr>
    </w:p>
    <w:p w:rsidR="00A90898" w:rsidRDefault="00A90898" w:rsidP="00A90898">
      <w:pPr>
        <w:pStyle w:val="TextoNormal"/>
      </w:pPr>
      <w:r>
        <w:t>Por lo demás, y extractando lo que ya señalamos en la STC 148/2016, FJ 2: “la demanda de amparo alega como único motivo la vulneración de su derecho a la tutela judicial efectiva en su vertiente del derecho de acceso a la Jurisdicción (art. 24.1 CE), que, a su parecer, se ha conculcado por una interpretación de la legalidad procesal que, en su sustrato, comparten, tanto el Juzgado como la Audiencia, como es la negación a que se dicte sentencia de fondo resolviendo las pretensiones de las partes con arreglo a la razón de pedir expuestas por éstas en sus escritos y con ponderación de las concretas circunstancias concurrentes en el caso”. Aunque “los dos órganos judiciales han llegado a soluciones distintas … en ambas instancias, lo que al final aconteció, es que los ahora demandantes de amparo vieron impedido su acceso a la Jurisdicción y, por ende, la decisión judicial de fondo que resolviera sobre sus pretensiones … este pedido es lo que constituye la única razón de ser de su demanda de amparo … Por ello, ha de entenderse correctamente agotada la vía jurisdiccional previa”. Se rechaza en consecuencia el óbice procesal alegado por la entidad personada.</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w:t>
      </w:r>
      <w:r w:rsidRPr="00A90898">
        <w:rPr>
          <w:i/>
        </w:rPr>
        <w:t>prima facie</w:t>
      </w:r>
      <w:r>
        <w:t xml:space="preserv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00A90898" w:rsidRDefault="00A90898" w:rsidP="00A90898">
      <w:pPr>
        <w:pStyle w:val="TextoNormal"/>
      </w:pPr>
    </w:p>
    <w:p w:rsidR="00A90898" w:rsidRDefault="00A90898" w:rsidP="00A90898">
      <w:pPr>
        <w:pStyle w:val="TextoNormal"/>
      </w:pPr>
      <w:r>
        <w:t>En la mencionada STC 148/2016, FFJJ 4 y 5, este Tribunal hizo un detallado examen de la normativa interna española y también de la Unión Europea (UE), de la que, a modo de resumen, podemos destacar lo siguiente:</w:t>
      </w:r>
    </w:p>
    <w:p w:rsidR="00A90898" w:rsidRDefault="00A90898" w:rsidP="00A90898">
      <w:pPr>
        <w:pStyle w:val="TextoNormal"/>
      </w:pPr>
    </w:p>
    <w:p w:rsidR="00A90898" w:rsidRDefault="00A90898" w:rsidP="00A90898">
      <w:pPr>
        <w:pStyle w:val="TextoNormal"/>
      </w:pPr>
      <w:r>
        <w:t xml:space="preserve">En relación con el análisis del Ordenamiento jurídico nacional, este Tribunal hizo referencia, en primer lugar, al régimen de legitimación activa (restringida a las entidades e instituciones señaladas en su artículo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w:t>
      </w:r>
      <w:r>
        <w:lastRenderedPageBreak/>
        <w:t>nulidad individual en un proceso autónomo. También que, en consecuencia, no puede deducirse judicialmente ninguna privación o sacrificio a dicha acción individual, por mor de una carga de personación al proceso de cesación que no existe” [STC 148/2016, FJ 4 b)].</w:t>
      </w:r>
    </w:p>
    <w:p w:rsidR="00A90898" w:rsidRDefault="00A90898" w:rsidP="00A90898">
      <w:pPr>
        <w:pStyle w:val="TextoNormal"/>
      </w:pPr>
    </w:p>
    <w:p w:rsidR="00A90898" w:rsidRDefault="00A90898" w:rsidP="00A90898">
      <w:pPr>
        <w:pStyle w:val="TextoNormal"/>
      </w:pPr>
      <w:r>
        <w:t>Y, a continuación, la STC 148/2016 centró su atención en el vigente texto refundido de la Ley general para la defensa de los consumidores y usuarios y otras leyes complementarias, aprobado por Real Decreto Legislativo 1/2007, de 16 de noviembre, que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00A90898" w:rsidRDefault="00A90898" w:rsidP="00A90898">
      <w:pPr>
        <w:pStyle w:val="TextoNormal"/>
      </w:pPr>
    </w:p>
    <w:p w:rsidR="00A90898" w:rsidRDefault="00A90898" w:rsidP="00A90898">
      <w:pPr>
        <w:pStyle w:val="TextoNormal"/>
      </w:pPr>
      <w:r>
        <w:t>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b)].</w:t>
      </w:r>
    </w:p>
    <w:p w:rsidR="00A90898" w:rsidRDefault="00A90898" w:rsidP="00A90898">
      <w:pPr>
        <w:pStyle w:val="TextoNormal"/>
      </w:pPr>
    </w:p>
    <w:p w:rsidR="00A90898" w:rsidRDefault="00A90898" w:rsidP="00A90898">
      <w:pPr>
        <w:pStyle w:val="TextoNormal"/>
      </w:pPr>
      <w:r>
        <w:t>Por último, y, a mayor abundamiento, hay que destacar que, en la STC 148/2016, FJ 5, cuya doctrina resulta de aplicación, se señalaba que, en el ámbito del Derecho comunitario,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de las Directivas 98/27/CE y 2009/22/CE). Pero siempre y cuando esto último no acarree la exclusión de las acciones individuales” [STC 148/2016, FJ 5 a)].</w:t>
      </w:r>
    </w:p>
    <w:p w:rsidR="00A90898" w:rsidRDefault="00A90898" w:rsidP="00A90898">
      <w:pPr>
        <w:pStyle w:val="TextoNormal"/>
      </w:pPr>
    </w:p>
    <w:p w:rsidR="00A90898" w:rsidRDefault="00A90898" w:rsidP="00A90898">
      <w:pPr>
        <w:pStyle w:val="TextoNormal"/>
      </w:pPr>
      <w: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w:t>
      </w:r>
      <w:r w:rsidRPr="00A90898">
        <w:rPr>
          <w:i/>
        </w:rPr>
        <w:t>a quo</w:t>
      </w:r>
      <w:r>
        <w:t xml:space="preserve"> de aplicar el art. 43 LEC </w:t>
      </w:r>
      <w:r>
        <w:lastRenderedPageBreak/>
        <w:t>con suspensión de los procesos de acción individual de nulidad de cláusula abusiva, hasta que recayera sentencia firme en el proceso de cesación instado por ADICAE ante el Juzgado de lo Mercantil núm. 11 de Madrid (procedimiento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(STUE, apartado 32).</w:t>
      </w:r>
    </w:p>
    <w:p w:rsidR="00A90898" w:rsidRDefault="00A90898" w:rsidP="00A90898">
      <w:pPr>
        <w:pStyle w:val="TextoNormal"/>
      </w:pPr>
    </w:p>
    <w:p w:rsidR="00A90898" w:rsidRDefault="00A90898" w:rsidP="00A90898">
      <w:pPr>
        <w:pStyle w:val="TextoNormal"/>
      </w:pPr>
      <w:r>
        <w:t>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del que hace cita la Sentencia del Pleno de la Sala Primera del Tribunal Supremo núm. 241/2013, de 9 de mayo, FFJJ 235 a 238 y 246, para reconocer que esta regla de juicio por fuerza debe matizarse al resolver demandas de cesación.</w:t>
      </w:r>
    </w:p>
    <w:p w:rsidR="00A90898" w:rsidRDefault="00A90898" w:rsidP="00A90898">
      <w:pPr>
        <w:pStyle w:val="TextoNormal"/>
      </w:pPr>
    </w:p>
    <w:p w:rsidR="00A90898" w:rsidRDefault="00A90898" w:rsidP="00A90898">
      <w:pPr>
        <w:pStyle w:val="TextoNormal"/>
      </w:pPr>
      <w:r>
        <w:t>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t>5</w:t>
      </w:r>
      <w:r>
        <w:t>.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00A90898" w:rsidRDefault="00A90898" w:rsidP="00A90898">
      <w:pPr>
        <w:pStyle w:val="TextoNormal"/>
      </w:pPr>
    </w:p>
    <w:p w:rsidR="00A90898" w:rsidRDefault="00A90898" w:rsidP="00A90898">
      <w:pPr>
        <w:pStyle w:val="TextoNormal"/>
      </w:pPr>
      <w:r>
        <w:lastRenderedPageBreak/>
        <w:t xml:space="preserve">En consecuencia, si los aquí recurrentes no eran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w:t>
      </w:r>
      <w:r w:rsidRPr="00A90898">
        <w:rPr>
          <w:i/>
        </w:rPr>
        <w:t>a quo</w:t>
      </w:r>
      <w:r>
        <w:t xml:space="preserve">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A90898" w:rsidRDefault="00A90898" w:rsidP="00A90898">
      <w:pPr>
        <w:pStyle w:val="TextoNormal"/>
      </w:pPr>
    </w:p>
    <w:p w:rsidR="00A90898" w:rsidRDefault="00A90898" w:rsidP="00A90898">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w:t>
      </w:r>
      <w:r w:rsidRPr="00A90898">
        <w:rPr>
          <w:i/>
        </w:rPr>
        <w:t>a quo</w:t>
      </w:r>
      <w:r>
        <w:t>,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A90898" w:rsidRDefault="00A90898" w:rsidP="00A90898">
      <w:pPr>
        <w:pStyle w:val="TextoNormal"/>
      </w:pPr>
    </w:p>
    <w:p w:rsidR="00A90898" w:rsidRDefault="00A90898" w:rsidP="00A90898">
      <w:pPr>
        <w:pStyle w:val="TextoNormal"/>
      </w:pPr>
      <w:r>
        <w:t xml:space="preserve">Procede por tanto el otorgamiento del amparo que se solicita, declarando para ello la nulidad de los Autos recurridos, con retroacción de las actuaciones al momento inmediatamente anterior al de haberse dictado el Auto de 17 de febrero de 2014, para que el Juzgado </w:t>
      </w:r>
      <w:r>
        <w:lastRenderedPageBreak/>
        <w:t xml:space="preserve">de lo Mercantil </w:t>
      </w:r>
      <w:r w:rsidRPr="00A90898">
        <w:rPr>
          <w:i/>
        </w:rPr>
        <w:t>a quo</w:t>
      </w:r>
      <w:r>
        <w:t xml:space="preserve"> provea en términos que resulten respetuosos con el derecho fundamental declarado. Esto es, ordenando la continuación del procedimiento en primera instancia (juicio ordinario 688-2013)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amparo interpuesto por don Jordi Antoni Vives y doña María Inmaculada Cots Paltor, y, en su virtud:</w:t>
      </w:r>
    </w:p>
    <w:p w:rsidR="00A90898" w:rsidRDefault="00A90898" w:rsidP="00A90898">
      <w:pPr>
        <w:pStyle w:val="TextoNormal"/>
      </w:pPr>
    </w:p>
    <w:p w:rsidR="00A90898" w:rsidRDefault="00A90898" w:rsidP="00A90898">
      <w:pPr>
        <w:pStyle w:val="TextoNormal"/>
      </w:pPr>
      <w:r>
        <w:t>1º Declarar que ha sido vulnerado su derecho fundamental a la tutela judicial efectiva.</w:t>
      </w:r>
    </w:p>
    <w:p w:rsidR="00A90898" w:rsidRDefault="00A90898" w:rsidP="00A90898">
      <w:pPr>
        <w:pStyle w:val="TextoNormal"/>
      </w:pPr>
    </w:p>
    <w:p w:rsidR="00A90898" w:rsidRDefault="00A90898" w:rsidP="00A90898">
      <w:pPr>
        <w:pStyle w:val="TextoNormal"/>
      </w:pPr>
      <w:r>
        <w:t>2º Restablecerlos en la integridad de su derecho y, a tal fin, declarar la nulidad del Auto del Juzgado de lo Mercantil núm. 4 de Barcelona, de 17 de febrero de 2014 (procedimiento ordinario núm. 688-2013); así como la nulidad del Auto de la Sección Decimoquinta de la Audiencia Provincial de Barcelona, de 22 de octubre de 2014 (rollo de apelación núm. 260-2014).</w:t>
      </w:r>
    </w:p>
    <w:p w:rsidR="00A90898" w:rsidRDefault="00A90898" w:rsidP="00A90898">
      <w:pPr>
        <w:pStyle w:val="TextoNormal"/>
      </w:pPr>
    </w:p>
    <w:p w:rsidR="00A90898" w:rsidRDefault="00A90898" w:rsidP="00A90898">
      <w:pPr>
        <w:pStyle w:val="TextoNormal"/>
      </w:pPr>
      <w:r>
        <w:t xml:space="preserve">3º Retrotraer las actuaciones hasta el momento inmediatamente anterior al de dictarse el Auto de 17 de febrero de 2014, para que el Juzgado de lo Mercantil </w:t>
      </w:r>
      <w:r w:rsidRPr="00A90898">
        <w:rPr>
          <w:i/>
        </w:rPr>
        <w:t>a quo</w:t>
      </w:r>
      <w:r>
        <w:t xml:space="preserve"> provea a las actuaciones de una manera que resulte respetuosa con el derecho fundamental declarado, en los términos que fijamos en el anterior fundamento jurídico 5.</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8" w:name="SENTENCIA_2016_219"/>
      <w:r>
        <w:lastRenderedPageBreak/>
        <w:t>SENTENCIA 219/2016, de 19 de diciembre de 2016</w:t>
      </w:r>
    </w:p>
    <w:bookmarkEnd w:id="98"/>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ECLI:ES:TC:2016:219</w:t>
      </w:r>
    </w:p>
    <w:p w:rsidR="00A90898" w:rsidRDefault="00A90898" w:rsidP="00A90898">
      <w:pPr>
        <w:pStyle w:val="TextoNormalCentrado"/>
      </w:pPr>
    </w:p>
    <w:p w:rsidR="00A90898" w:rsidRDefault="00A90898" w:rsidP="00A90898">
      <w:pPr>
        <w:pStyle w:val="SntesisDescriptiva"/>
      </w:pPr>
      <w:r>
        <w:t>Recurso de amparo 7461-2014. Promovido por doña Teresa Hualde Juvera en relación con la resolución sancionadora del Ministerio de Economía y Hacienda y la Sentencia del Juzgado Central de lo Contencioso-Administrativo núm. 12, desestimatoria del recurso interpuesto frente a aquella.</w:t>
      </w:r>
    </w:p>
    <w:p w:rsidR="00A90898" w:rsidRDefault="00A90898" w:rsidP="00A90898">
      <w:pPr>
        <w:pStyle w:val="SntesisDescriptiva"/>
      </w:pPr>
    </w:p>
    <w:p w:rsidR="00A90898" w:rsidRDefault="00A90898" w:rsidP="00A90898">
      <w:pPr>
        <w:pStyle w:val="SntesisAnaltica"/>
      </w:pPr>
      <w:r>
        <w:t>Vulneración del derecho a la legalidad sancionadora: sanción administrativa resultante de una irrazonable subsunción de la conducta de la habilitada de clases pasivas en el tipo aplicado.</w:t>
      </w:r>
    </w:p>
    <w:p w:rsidR="00A90898" w:rsidRDefault="00A90898" w:rsidP="00A90898">
      <w:pPr>
        <w:pStyle w:val="SntesisAnaltica"/>
      </w:pPr>
    </w:p>
    <w:p w:rsidR="00A90898" w:rsidRDefault="00A90898" w:rsidP="00A90898">
      <w:pPr>
        <w:pStyle w:val="Extracto"/>
      </w:pPr>
      <w:r>
        <w:t>1.</w:t>
      </w:r>
      <w:r>
        <w:tab/>
        <w:t>Se estima el recurso interpuesto pues la Administración y el órgano judicial, en su interpretación del sentido literal posible del precepto aplicado, prescindieron de elementos típicos claramente exigidos por la norma [FJ 9].</w:t>
      </w:r>
    </w:p>
    <w:p w:rsidR="00A90898" w:rsidRDefault="00A90898" w:rsidP="00A90898">
      <w:pPr>
        <w:pStyle w:val="Extracto"/>
      </w:pPr>
    </w:p>
    <w:p w:rsidR="00A90898" w:rsidRDefault="00A90898" w:rsidP="00A90898">
      <w:pPr>
        <w:pStyle w:val="Extracto"/>
      </w:pPr>
      <w:r>
        <w:t>2.</w:t>
      </w:r>
      <w:r>
        <w:tab/>
        <w:t>Se estima el recurso interpuesto pues la Administración y el órgano judicial, en su interpretación del sentido literal posible del precepto aplicado, prescindieron de elementos típicos claramente exigidos por la norma [FJ 9].</w:t>
      </w:r>
    </w:p>
    <w:p w:rsidR="00A90898" w:rsidRDefault="00A90898" w:rsidP="00A90898">
      <w:pPr>
        <w:pStyle w:val="Extracto"/>
      </w:pPr>
    </w:p>
    <w:p w:rsidR="00A90898" w:rsidRDefault="00A90898" w:rsidP="00A90898">
      <w:pPr>
        <w:pStyle w:val="Extracto"/>
      </w:pPr>
      <w:r>
        <w:t>3.</w:t>
      </w:r>
      <w:r>
        <w:tab/>
        <w:t>La interpretación efectuada de las resoluciones impugnadas, que identifica el mero incumplimiento de un deber de conducta normativamente impuesto con una inobservancia concreta a un requerimiento de colaboración efectuado por el poder gubernativo, desborda, a todas luces, a los límites estructurales y semánticos de la infracción seleccionada, que queda convertida, en vía aplicativa, en un tipo de alcance universal [FJ 8].</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7461-2014, promovido por doña Teresa Hualde Juvera, representada por la Procuradora de los Tribunales doña María Luisa Maestre Gómez y asistida por el Abogado don Miguel Jesús Sánchez Iniesta, contra el Auto de 20 de noviembre de 2014 del Juzgado Central de lo Contencioso-Administrativo núm. 12, desestimatorio del incidente de nulidad de actuaciones promovido contra la Sentencia de 27 de febrero de 2014, </w:t>
      </w:r>
      <w:r>
        <w:lastRenderedPageBreak/>
        <w:t>dictada en el procedimiento abreviado núm. 781-2012, desestimatoria del recurso contencioso-administrativo presentado contra la resolución de 13 de junio de 2011 de la Subdirectora General de Recursos, Reclamaciones y Relaciones con la Justicia del Ministerio de Economía y Hacienda, esta a su vez desestimatoria del recurso de alzada formalizado contra la resolución de 8 de marzo de 2011 del Director General de Costes de Personal y Pensiones Públicas, que impuso a la demandante una sanción de 18.120 € según lo establecido en la disposición final primera 3.1, letra a) de la Ley 21/1986, de 23 de diciembre, de presupuestos generales del Estado para el año 1987, y en el artículo 47 y 49.3 del Real Decreto 1678/1987. Ha sido parte el Abogado del Estado, en la representación que ostenta, y ha intervenido el Ministerio Fiscal. Ha sido ponente el Magistrado don Antonio Narváez Rodríguez,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día 10 de diciembre de 2014, la Procuradora de los Tribunales doña María Luisa Maestre Gómez, en nombre y representación de doña Teresa Hualde Juvera, interpuso recurso de amparo contra las resoluciones judiciales y administrativas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los que se funda el presente proceso constitucional son, sucintamente expuestos, los siguientes:</w:t>
      </w:r>
    </w:p>
    <w:p w:rsidR="00A90898" w:rsidRDefault="00A90898" w:rsidP="00A90898">
      <w:pPr>
        <w:pStyle w:val="TextoNormal"/>
      </w:pPr>
    </w:p>
    <w:p w:rsidR="00A90898" w:rsidRDefault="00A90898" w:rsidP="00A90898">
      <w:pPr>
        <w:pStyle w:val="TextoNormal"/>
      </w:pPr>
      <w:r>
        <w:t>a) En fecha 28 de junio de 2010, el Servicio de inspección de habilitados de la Dirección General de Costes de Personal y Pensiones Públicas del Ministerio de Economía y Hacienda comunicó a la demandante de amparo que, como habilitada de clases pasivas, sería sometida a inspección a efectos de verificar el cumplimiento de la obligación contenida en la disposición final primera del Real Decreto 193/2010, sobre sistemas de pago en haberes de clases pasivas. Dicha norma, bajo la rúbrica “desglose de transferencias”, obliga al habilitado a transferir íntegramente a sus mandantes el importe recibido de la Administración en concepto de pensión, de modo que las “comisiones, gastos de gestión o impuestos derivados del ejercicio de la actividad profesional” que el habilitado deba repercutir a su mandante sean cobrados “de forma separada”.</w:t>
      </w:r>
    </w:p>
    <w:p w:rsidR="00A90898" w:rsidRDefault="00A90898" w:rsidP="00A90898">
      <w:pPr>
        <w:pStyle w:val="TextoNormal"/>
      </w:pPr>
    </w:p>
    <w:p w:rsidR="00A90898" w:rsidRDefault="00A90898" w:rsidP="00A90898">
      <w:pPr>
        <w:pStyle w:val="TextoNormal"/>
      </w:pPr>
      <w:r>
        <w:t>b) La inspección fue realizada, sobre una muestra de cuarenta pensionistas, en relación con las nóminas de los meses de abril, mayo y junio de 2010. En el curso de la misma, el servicio de inspección comprobó que, en los tres meses citados, el abono de las pensiones de los mandantes incluidos en el muestreo se había efectuado con aplicación simultánea de deducciones derivadas de la actividad profesional de la recurrente de amparo. Por esta razón, en fecha 29 de noviembre de 2010, el servicio emitió informe definitivo de inspección desfavorable que dio lugar a que la Dirección General acordara, en fecha 30 de noviembre de 2010, la iniciación de un expediente sancionador contra la actora.</w:t>
      </w:r>
    </w:p>
    <w:p w:rsidR="00A90898" w:rsidRDefault="00A90898" w:rsidP="00A90898">
      <w:pPr>
        <w:pStyle w:val="TextoNormal"/>
      </w:pPr>
    </w:p>
    <w:p w:rsidR="00A90898" w:rsidRDefault="00A90898" w:rsidP="00A90898">
      <w:pPr>
        <w:pStyle w:val="TextoNormal"/>
      </w:pPr>
      <w:r>
        <w:t xml:space="preserve">c) En el seno del expediente sancionador incoado, el órgano instructor formuló, en fecha 2 de febrero de 2011, una propuesta de resolución en la que, considerando probado que la recurrente de amparo había incumplido la obligación de abonar a sus mandantes el importe íntegro de su pensión “sin practicar deducción alguna”, consideró aplicable la infracción prevista en el art. 47 a) del Real Decreto 1678/1987. Dicha norma prevé como conducta </w:t>
      </w:r>
      <w:r>
        <w:lastRenderedPageBreak/>
        <w:t>sancionable el “incumplimiento concreto” por parte del habilitado de su deber de “prestar los datos e informaciones que le sean requeridos por la Administración respecto de sus mandantes y colaborar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d) Ante la referida propuesta, la ahora demandante de amparo formuló alegaciones el 23 de febrero de 2011 poniendo de manifiesto, como alegación sexta, la falta de tipicidad de la conducta, pues, según razonaba, el deber de colaborar a que alude el artículo 47 a) “debe entenderse … necesariamente vinculado o subordinado al deber de informar sobre los mandantes … bajo la fórmula de requerimiento previo … pues de su redacción no podría desprenderse una suerte de deber genérico de colaborar con los fines de interés público en materia de clases pasivas, desvinculado del de informar, sin riesgo de caer en un vaciamiento del principio de tipicidad”. Por ello, la sanción impuesta con base a dicho precepto incumplía, según afirmaba la recurrente con cita de la doctrina general del Tribunal Constitucional y de la jurisprudencia de la Sala de lo Contencioso-Administrativo del Tribunal Supremo, las exigencias de certeza (</w:t>
      </w:r>
      <w:r w:rsidRPr="00A90898">
        <w:rPr>
          <w:i/>
        </w:rPr>
        <w:t>lex certa</w:t>
      </w:r>
      <w:r>
        <w:t>) derivadas del derecho a la legalidad sancionadora previsto en el art. 25.1 CE.</w:t>
      </w:r>
    </w:p>
    <w:p w:rsidR="00A90898" w:rsidRDefault="00A90898" w:rsidP="00A90898">
      <w:pPr>
        <w:pStyle w:val="TextoNormal"/>
      </w:pPr>
    </w:p>
    <w:p w:rsidR="00A90898" w:rsidRDefault="00A90898" w:rsidP="00A90898">
      <w:pPr>
        <w:pStyle w:val="TextoNormal"/>
      </w:pPr>
      <w:r>
        <w:t>e) Mediante resolución de 8 de marzo de 2011, el Director General de Costes de Personal y Pensiones Públicas declaró a la recurrente de amparo responsable de “una conducta administrativamente sancionable, al incumplir la obligación de colaborar en el sentido requerido por la Administración en relación con los fines de interés público en materia de Clases Pasivas, tipificada como falta grave, según lo establecido en la disposición final primera 3.1, letra a) de la Ley 21/1986 y en el artículo 47 y 49.3 del Real Decreto 1678/1987”, imponiéndole en consecuencia “la sanción de multa por importe de 18.120 €, de acuerdo con lo previsto en el art. 49.3 del Real Decreto 1678/1987”. Según razona la resolución, aunque la infracción aplicada tiene carácter leve, en la instrucción del procedimiento “se ha apreciado la existencia de intencionalidad en el incumplimiento de la citada obligación”, ya que la misma irregularidad se detecta “en la totalidad de la muestra inspeccionada, 40 pensionistas, y en los tres meses analizados, lo que permite apreciar una conducta deliberada, voluntaria y reiterada”, razón por la que la infracción recibe la calificación de grave y se impone una multa de 151 € por cada pensionista (alcanzando el importe total de 18.120 €).</w:t>
      </w:r>
    </w:p>
    <w:p w:rsidR="00A90898" w:rsidRDefault="00A90898" w:rsidP="00A90898">
      <w:pPr>
        <w:pStyle w:val="TextoNormal"/>
      </w:pPr>
    </w:p>
    <w:p w:rsidR="00A90898" w:rsidRDefault="00A90898" w:rsidP="00A90898">
      <w:pPr>
        <w:pStyle w:val="TextoNormal"/>
      </w:pPr>
      <w:r>
        <w:t>En relación con las alegaciones de la demandante de amparo sobre la falta de tipicidad de los hechos, la resolución considera que “el incumplimiento de la obligación de abonar a sus mandantes el importe íntegro de la pensión o pensiones de Clases Pasivas que le haya sido pagado por la Administración, sin practicar deducción alguna, supone, de hecho, incumplir una norma y, por tanto, la obligación de colaborar con la Administración en un fin de interés público en materia de Clases Pasivas, y, de derecho, es una conducta tipificada legalmente como antijurídica”. En este sentido, se afirma que “dado que con la nueva regulación se pretende proteger un interés público, que es el del ciudadano perceptor de Clases Pasivas, la habilitada, incumpliendo esa norma de carácter imperativo y dotada de presunción de legalidad, está incurriendo en un incumplimiento de la obligación de ‘colaborar en el sentido que la Administración le requiera en relación con los fines de interés público en materia de Clases Pasivas’, recogido como conducta sancionable tanto en la ley 21/1986, como en el Real Decreto 1678/1987”.</w:t>
      </w:r>
    </w:p>
    <w:p w:rsidR="00A90898" w:rsidRDefault="00A90898" w:rsidP="00A90898">
      <w:pPr>
        <w:pStyle w:val="TextoNormal"/>
      </w:pPr>
    </w:p>
    <w:p w:rsidR="00A90898" w:rsidRDefault="00A90898" w:rsidP="00A90898">
      <w:pPr>
        <w:pStyle w:val="TextoNormal"/>
      </w:pPr>
      <w:r>
        <w:lastRenderedPageBreak/>
        <w:t>A mayor abundamiento, la resolución acaba señalando que “[s]i se atendiera a las alegaciones de la habilitada, resultaría que el incumplimiento de una norma sobre cómo los habilitados deben abonar las prestaciones de Clases Pasivas quedaría impune por no estar expresamente tipificada. Sin embargo, no existe mayor obligación de colaborar con los fines de interés público en materia de Clases Pasivas que cumplir las normas que se dictan sobre esta materia”.</w:t>
      </w:r>
    </w:p>
    <w:p w:rsidR="00A90898" w:rsidRDefault="00A90898" w:rsidP="00A90898">
      <w:pPr>
        <w:pStyle w:val="TextoNormal"/>
      </w:pPr>
    </w:p>
    <w:p w:rsidR="00A90898" w:rsidRDefault="00A90898" w:rsidP="00A90898">
      <w:pPr>
        <w:pStyle w:val="TextoNormal"/>
      </w:pPr>
      <w:r>
        <w:t>f) La demandante de amparo interpuso el 30 de marzo de 2011 recurso de alzada frente a la resolución sancionadora, alegando nuevamente, entre otros motivos de queja, la falta de tipicidad de la conducta. Dicho recurso fue desestimado en resolución de 13 de junio de 2011 de la Subdirectora General de Recursos, Reclamaciones y Relaciones con la Justicia del Ministerio de Economía y Hacienda. En la misma se confirman los argumentos incluidos en la resolución impugnada, a los que se añade ahora que el Tribunal Constitucional ha señalado que la ley administrativa sancionadora puede utilizar “conceptos abiertos” y remitirse a “normas de rango inferior para una ulterior concreción”. Se alude específicamente, como ejemplo significativo de ello, a que el Tribunal Supremo ha avalado “la sanción impuesta por el Ministerio de Justicia a un notario por una infracción tipificada en el art. 348.4 del Reglamento Notarial como ‘competencia ilícita reiterada en cualquiera de sus formas’, sin describir éstas”. La resolución de alzada concluye, por ello, que “nos encontramos con un incumplimiento claro y reiterado de la obligación de colaborar con la Administración en un fin de interés público en materia de Clases Pasivas, cual es el desglose de las transferencias en los términos del Real Decreto 193/2010, por lo que se trata de un supuesto típico y antijurídico”.</w:t>
      </w:r>
    </w:p>
    <w:p w:rsidR="00A90898" w:rsidRDefault="00A90898" w:rsidP="00A90898">
      <w:pPr>
        <w:pStyle w:val="TextoNormal"/>
      </w:pPr>
    </w:p>
    <w:p w:rsidR="00A90898" w:rsidRDefault="00A90898" w:rsidP="00A90898">
      <w:pPr>
        <w:pStyle w:val="TextoNormal"/>
      </w:pPr>
      <w:r>
        <w:t>g) En fecha 21 de junio de 2011 tuvo entrada en el registro general del Tribunal Superior de Justicia de Madrid el recurso contencioso-administrativo interpuesto por la actora. Tras diversas vicisitudes derivadas de la aplicación de las normas de reparto, el asunto fue, finalmente, turnado a la Sección Décima de la Sala de lo Contencioso-Administrativo de dicho tribunal, que, en Auto de 9 de marzo de 2012 inadmitió el recurso al considerarse objetivamente incompetente para conocer del mismo, remitiendo las actuaciones al Decanato de los Juzgados Centrales de lo Contencioso-Administrativo de la Audiencia Nacional.</w:t>
      </w:r>
    </w:p>
    <w:p w:rsidR="00A90898" w:rsidRDefault="00A90898" w:rsidP="00A90898">
      <w:pPr>
        <w:pStyle w:val="TextoNormal"/>
      </w:pPr>
    </w:p>
    <w:p w:rsidR="00A90898" w:rsidRDefault="00A90898" w:rsidP="00A90898">
      <w:pPr>
        <w:pStyle w:val="TextoNormal"/>
      </w:pPr>
      <w:r>
        <w:t>h) Turnado el asunto al Juzgado Central de lo Contencioso-Administrativo núm. 12 (en adelante, el Juzgado), el recurso interpuesto por la demandante fue admitido mediante decreto de 21 de enero de 2013 de la letrada de la Administración de Justicia, dándosele la tramitación de procedimiento abreviado (núm. 781-2012). En fecha 27 de febrero de 2014, el Juzgado dictó Sentencia desestimatoria. En ella, el órgano judicial realiza una larga cita de los fundamentos de la Sentencia de la Sala de lo Contencioso-Administrativo del Tribunal Supremo de 16 de mayo de 2011, en la que se considera que el Real Decreto 193/2010 y, en particular, su regulación del llamado “desglose de transferencias” (disposición final primera) resultan conforme a Derecho. Una vez concluida la extensa reproducción literal del aludido pronunciamiento del alto tribunal, la Sentencia impugnada se limita a señalar que “[p]or todo lo expuesto se desestima la demanda contra esa resolución sancionadora pues de lo actuado en el procedimiento ha quedado evidenciada que la misma es conforme con los principios de legalidad, tipicidad y culpabilidad”.</w:t>
      </w:r>
    </w:p>
    <w:p w:rsidR="00A90898" w:rsidRDefault="00A90898" w:rsidP="00A90898">
      <w:pPr>
        <w:pStyle w:val="TextoNormal"/>
      </w:pPr>
    </w:p>
    <w:p w:rsidR="00A90898" w:rsidRDefault="00A90898" w:rsidP="00A90898">
      <w:pPr>
        <w:pStyle w:val="TextoNormal"/>
      </w:pPr>
      <w:r>
        <w:t xml:space="preserve">i) La demandante de amparo promovió incidente de nulidad de actuaciones entendiendo que la Sentencia dictada incurría en incongruencia omisiva por haberse limitado a resolver </w:t>
      </w:r>
      <w:r>
        <w:lastRenderedPageBreak/>
        <w:t>acerca de la correcta interpretación legal de la cláusula de “desglose de transferencias” de la disposición final primera del Real Decreto 193/2010, sin realizar, en cambio, ninguna consideración relativa a la tipicidad de la conducta sancionada al amparo del art. 47 a) del Real Decreto 1678/1987. Para la recurrente, la Sentencia “omitiendo cualquier manifestación al respecto, no tiene en consideración que en el ámbito del derecho sancionador, las exigencias de tipicidad, vinculadas a la legalidad, pero sobre todo a la seguridad jurídica, requieren máxima precisión en la determinación del tipo de infracción; algo que, como es obvio, no se da en este caso”. Asimismo, la actora denuncia en su escrito de interposición del incidente que “se ha producido una manifiesta infracción del principio de igualdad ante la ley, o ante una interpretación en la aplicación de la ley, como consecuencia de [que] la Sentencia impugnada haya confirmado una sanción en rotunda contradicción con lo resuelto al respecto, ante idénticas situaciones, por todos los Juzgados Centrales referidos, en una materia especialmente sensible a la disparidad de criterio como lo es la sancionadora”, realizándose la correspondiente cita de resoluciones dictadas por otros Juzgados Centrales de lo Contencioso-Administrativo.</w:t>
      </w:r>
    </w:p>
    <w:p w:rsidR="00A90898" w:rsidRDefault="00A90898" w:rsidP="00A90898">
      <w:pPr>
        <w:pStyle w:val="TextoNormal"/>
      </w:pPr>
    </w:p>
    <w:p w:rsidR="00A90898" w:rsidRDefault="00A90898" w:rsidP="00A90898">
      <w:pPr>
        <w:pStyle w:val="TextoNormal"/>
      </w:pPr>
      <w:r>
        <w:t>j) Mediante Auto de 20 de noviembre de 2014, el Juzgado desestimó la nulidad de actuaciones interesada afirmando, en relación con la incongruencia denunciada, que “la sentencia que resuelve el procedimiento abreviado 781-2012 se pronuncia sobre todos los elementos que pudieran constituir un vicio de nulidad de la resolución administrativa sancionadora considerando que la misma después de su estudio y análisis es conforme a los principios de legalidad, tipicidad y culpabilidad”. En relación con la vulneración del derecho a la igualdad en la aplicación de la ley el Juzgado añade que “[e]l hecho o circunstancia de que haya habido otros órganos jurisdiccionales que han dictado resoluciones distintas a la de la sentencia que resuelve este procedimiento abreviado no puede ser considerada como vicio que termine [sic] la nulidad de la sentencia, pues este órgano jurisdiccional considera que lo jurídicamente correcto es lo que constituye el contenido de esta Sentencia, y que la dictada por esos otros órganos jurisdiccionales carece de eficacia jurídica vinculante para este Tribunal”.</w:t>
      </w:r>
    </w:p>
    <w:p w:rsidR="00A90898" w:rsidRDefault="00A90898" w:rsidP="00A90898">
      <w:pPr>
        <w:pStyle w:val="TextoNormal"/>
      </w:pPr>
    </w:p>
    <w:p w:rsidR="00A90898" w:rsidRDefault="00A90898" w:rsidP="00A90898">
      <w:pPr>
        <w:pStyle w:val="TextoNormal"/>
      </w:pPr>
      <w:r w:rsidRPr="00A90898">
        <w:rPr>
          <w:rStyle w:val="NumeroAFNegritaCaracter"/>
        </w:rPr>
        <w:t>3</w:t>
      </w:r>
      <w:r>
        <w:t>. En la demanda de amparo se consideran vulnerados los derechos a la igualdad en la aplicación de la ley (art. 14 CE) y a la legalidad sancionadora (art. 25.1 CE), de acuerdo con los siguientes argumentos:</w:t>
      </w:r>
    </w:p>
    <w:p w:rsidR="00A90898" w:rsidRDefault="00A90898" w:rsidP="00A90898">
      <w:pPr>
        <w:pStyle w:val="TextoNormal"/>
      </w:pPr>
    </w:p>
    <w:p w:rsidR="00A90898" w:rsidRDefault="00A90898" w:rsidP="00A90898">
      <w:pPr>
        <w:pStyle w:val="TextoNormal"/>
      </w:pPr>
      <w:r>
        <w:t xml:space="preserve">(i) En cuanto a la infracción del art. 14 CE, la recurrente señala que la Administración impuso numerosas sanciones, por idéntica infracción, a “otros habilitados por clases pasivas”, lo que dio lugar a una multitud de pronunciamientos judiciales, la mayoría de los cuales concluyeron con la revocación de la sanción impuesta. Así, en la demanda se citan varias resoluciones del resto de Juzgados Centrales de lo Contencioso-Administrativo (seis sentencias del Juzgado núm. 2, dos sentencias del Juzgado Central núm. 3, ocho del Juzgado núm. 4, cinco del Juzgado núm. 5, tres del Juzgado núm. 6, cinco del Juzgado núm. 9, cuatro del Juzgado núm. 10, y seis del Juzgado núm. 11). A estos pronunciamientos se suma la cita de varias Sentencias del Tribunal Superior de Justicia de Andalucía (Salas de Sevilla y Málaga) que habrían estimado idénticas pretensiones a las formuladas por la actora. Ésta afirma que todos los pronunciamientos citados “tienen su fundamento en la insuficiente tipificación de la infracción imputada, lo cual produce una manifiesta vulneración del derecho de igualdad en la aplicación de la ley, nada menos que en un ámbito como el sancionador, habida cuenta de que se produce un resultado judicial distinto en procesos idénticos”. La infracción </w:t>
      </w:r>
      <w:r>
        <w:lastRenderedPageBreak/>
        <w:t>del art. 14 CE radicaría, pues, en la “rotunda contradicción con lo resuelto al respecto, ante idénticas situaciones, por todos los Juzgados Centrales referidos y también señalados Tribunales Superiores de Justicia, en una materia especialmente sensible a la disparidad criterio, como es la sancionadora”.</w:t>
      </w:r>
    </w:p>
    <w:p w:rsidR="00A90898" w:rsidRDefault="00A90898" w:rsidP="00A90898">
      <w:pPr>
        <w:pStyle w:val="TextoNormal"/>
      </w:pPr>
    </w:p>
    <w:p w:rsidR="00A90898" w:rsidRDefault="00A90898" w:rsidP="00A90898">
      <w:pPr>
        <w:pStyle w:val="TextoNormal"/>
      </w:pPr>
      <w:r>
        <w:t xml:space="preserve">Especial hincapié hace la demandante de amparo en la circunstancia de que ella misma haya resultado absuelta por otro Juzgado Central “en otro procedimiento contencioso-administrativo sobre un objeto y fondo idéntico al seguido ante este Juzgado”, lo que determina, a su juicio, que se den resoluciones dispares “sobre una base fáctica en la que ni el nombre de pila constituye una variante como tampoco el resto de circunstancias, objetivas y subjetivas, que permanecen, si se nos permite, </w:t>
      </w:r>
      <w:r w:rsidRPr="00A90898">
        <w:rPr>
          <w:i/>
        </w:rPr>
        <w:t>ceteris paribus</w:t>
      </w:r>
      <w:r>
        <w:t>”.</w:t>
      </w:r>
    </w:p>
    <w:p w:rsidR="00A90898" w:rsidRDefault="00A90898" w:rsidP="00A90898">
      <w:pPr>
        <w:pStyle w:val="TextoNormal"/>
      </w:pPr>
    </w:p>
    <w:p w:rsidR="00A90898" w:rsidRDefault="00A90898" w:rsidP="00A90898">
      <w:pPr>
        <w:pStyle w:val="TextoNormal"/>
      </w:pPr>
      <w:r>
        <w:t xml:space="preserve">(ii) En cuanto a la infracción del art. 25.1 CE, la actora afirma que su conducta no era subsumible en la infracción regulada en el art. 47 del Real Decreto 1678/1987 en relación con disposición final primera del Real Decreto 193/2010. A su juicio, la resolución administrativa y la Sentencia impugnadas no tuvieron en consideración, al realizar la subsunción, “las exigencias de tipicidad, vinculadas a la legalidad, así como la seguridad jurídica”, que exigen “la máxima precisión en la determinación del tipo de infracción”. Según razona la demandante, el precepto permite sancionar a quienes “sean requeridos por la Administración”, por lo que existe una exigencia típica de “requerimiento previo” que no puede ser confundida con un “deber genérico de colaborar con los fines de interés público en materia de Clases Pasivas”. Otra conclusión llevaría, añade, a una ilegítima confusión de los conceptos de legalidad y tipicidad, siendo claro que la segunda “requiere algo más, que es la precisa definición de la conducta que la ley considera constitutiva de la infracción, y la igualmente precisa definición de la sanción que pueda imponerse”, todo ello como corolario de la exigencia constitucional de </w:t>
      </w:r>
      <w:r w:rsidRPr="00A90898">
        <w:rPr>
          <w:i/>
        </w:rPr>
        <w:t>lex certa</w:t>
      </w:r>
      <w:r>
        <w:t xml:space="preserve"> contenida en el art. 25.1 CE. En apoyo de esta tesis, la recurrente invoca nuevamente las numerosas Sentencias dictadas por otros Juzgados Centrales que llegan a la conclusión de que la conducta sancionada no tiene amparo en la norma aplicada.</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10 de mayo de 2016, la Sección Cuarta acordó admitir a trámite la demanda, y, en aplicación de lo dispuesto en el art. 51 de la Ley Orgánica del Tribunal Constitucional (LOTC), dirigir atenta comunicación al Juzgado Central de lo Contencioso-Administrativo núm. 12, para que remitiera certificación o copia adverada de las actuaciones correspondientes al procedimiento abreviado núm. 781-2012 y para que emplazara a quienes hubieran sido parte en el procedimiento, excepto a la parte recurrente en amparo, para que pudieran comparecer en el plazo de diez días.</w:t>
      </w:r>
    </w:p>
    <w:p w:rsidR="00A90898" w:rsidRDefault="00A90898" w:rsidP="00A90898">
      <w:pPr>
        <w:pStyle w:val="TextoNormal"/>
      </w:pPr>
    </w:p>
    <w:p w:rsidR="00A90898" w:rsidRDefault="00A90898" w:rsidP="00A90898">
      <w:pPr>
        <w:pStyle w:val="TextoNormal"/>
      </w:pPr>
      <w:r>
        <w:t>La aludida providencia aclara que el recurso de amparo “ofrece especial trascendencia constitucional (art. 50.1 LOTC)” porque “la doctrina del Tribunal Constitucional sobre el derecho fundamental que se alega podría estar siendo incumplida de modo general y reiterado por la jurisdicción ordinaria o pudieran existir resoluciones judiciales contradictorias sobre el derecho fundamental [STC 155/2009, FJ 2 e)]” y porque “el asunto suscitado trasciende del caso concreto porque plantea una cuestión jurídica de relevante y general repercusión social o económica [STC 155/2009, FJ 2 f)]”.</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Una vez recibidos los testimonios solicitados y cumplimentados los emplazamientos requeridos, la Sala Segunda, por diligencia de ordenación de su Secretaría de Justicia de </w:t>
      </w:r>
      <w:r>
        <w:lastRenderedPageBreak/>
        <w:t>fecha 10 de junio de 2016, tuvo por comparecido al Abogado del Estado, tal y como éste había solicitado en escrito registrado en este Tribunal el 25 de mayo de 2016, y acordó dar vista de las actuaciones a las partes personadas y al Ministerio Fiscal, por plazo común de veinte días, para que formularan las alegaciones que estimaran pertinentes, conforme determina el art. 52.1 LOTC.</w:t>
      </w:r>
    </w:p>
    <w:p w:rsidR="00A90898" w:rsidRDefault="00A90898" w:rsidP="00A90898">
      <w:pPr>
        <w:pStyle w:val="TextoNormal"/>
      </w:pPr>
    </w:p>
    <w:p w:rsidR="00A90898" w:rsidRDefault="00A90898" w:rsidP="00A90898">
      <w:pPr>
        <w:pStyle w:val="TextoNormal"/>
      </w:pPr>
      <w:r w:rsidRPr="00A90898">
        <w:rPr>
          <w:rStyle w:val="NumeroAFNegritaCaracter"/>
        </w:rPr>
        <w:t>6</w:t>
      </w:r>
      <w:r>
        <w:t>. En fecha 11 de julio de 2016 fueron registradas en este Tribunal las alegaciones formuladas por el Abogado del Estado, que interesa la desestimación del recurso de amparo. Para el representante de la Administración, ni el derecho a la igualdad en la aplicación de la ley (I) ni el derecho a la legalidad penal (II) han resultado vulnerados.</w:t>
      </w:r>
    </w:p>
    <w:p w:rsidR="00A90898" w:rsidRDefault="00A90898" w:rsidP="00A90898">
      <w:pPr>
        <w:pStyle w:val="TextoNormal"/>
      </w:pPr>
    </w:p>
    <w:p w:rsidR="00A90898" w:rsidRDefault="00A90898" w:rsidP="00A90898">
      <w:pPr>
        <w:pStyle w:val="TextoNormal"/>
      </w:pPr>
      <w:r>
        <w:t>I. En cuanto al derecho a la igualdad en la aplicación de la ley, el Abogado del Estado afirma que no se dan los requisitos necesarios para apreciar su vulneración, pues, siendo cierto que hay una “diferencia de criterio judicial” entre la Sentencia impugnada y las que la actora aporta como contraste, la realidad es, no obstante, que esa diferencia es “constitucionalmente legítima” pues “las resoluciones judiciales invocadas por la parte recurrente no emanan, ninguna, del mismo órgano jurisdiccional que ha dictado ahora la Sentencia objeto de impugnación y el Auto desestimatorio del incidente de nulidad de actuaciones”. No se cumple, por tanto, con un requisito esencial fijado en la doctrina del Tribunal Constitucional.</w:t>
      </w:r>
    </w:p>
    <w:p w:rsidR="00A90898" w:rsidRDefault="00A90898" w:rsidP="00A90898">
      <w:pPr>
        <w:pStyle w:val="TextoNormal"/>
      </w:pPr>
    </w:p>
    <w:p w:rsidR="00A90898" w:rsidRDefault="00A90898" w:rsidP="00A90898">
      <w:pPr>
        <w:pStyle w:val="TextoNormal"/>
      </w:pPr>
      <w:r>
        <w:t xml:space="preserve">II. En relación con la violación del art. 25.1 CE, el Abogado del Estado, tras extenderse sobre el contexto normativo en el que se insertan las normas aplicadas en el caso que nos ocupa, afirma que la exigencia constitucional de </w:t>
      </w:r>
      <w:r w:rsidRPr="00A90898">
        <w:rPr>
          <w:i/>
        </w:rPr>
        <w:t>lex certa</w:t>
      </w:r>
      <w:r>
        <w:t>, que deriva del art. 25.1 CE, es, de acuerdo con la doctrina del Tribunal Constitucional, una exigencia de predeterminación normativa de la conducta punible que no impide la utilización de conceptos jurídicos indeterminados siempre que su concreción sea razonablemente factible en virtud de criterios lógicos, técnicos o de experiencia que permitan prever, con suficiente seguridad, la naturaleza y características de la conducta constitutiva de la infracción tipificada (STC 69/1989, de 20 de abril, FJ 1). Siendo suficiente una “predeterminación inteligible” de la infracción y la sanción para que se cumpla con la garantía aludida, “lo trascendente a la hora de determinar si el incumplimiento de la obligación contenida en la disposición final primera del Real Decreto 193/2010 constituye una conducta sancionable pasa por determinar qué debe, o qué puede entenderse claramente por colaborar por parte del habilitado con la Administración,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Con este presupuesto, el Abogado del Estado entiende que la conducta sancionada podía incardinarse en el tipo del art. 47 a) del Real Decreto 1678/1987 sin merma del derecho a la legalidad sancionadora por las siguientes razones:</w:t>
      </w:r>
    </w:p>
    <w:p w:rsidR="00A90898" w:rsidRDefault="00A90898" w:rsidP="00A90898">
      <w:pPr>
        <w:pStyle w:val="TextoNormal"/>
      </w:pPr>
    </w:p>
    <w:p w:rsidR="00A90898" w:rsidRDefault="00A90898" w:rsidP="00A90898">
      <w:pPr>
        <w:pStyle w:val="TextoNormal"/>
      </w:pPr>
      <w:r>
        <w:t>(i) Porque la dicción legal “colaborar en el sentido en que ésta (la Administración) le requiera” es susceptible de ser interpretada “en sentido material”, esto es, no como la necesidad de que exista “un requerimiento previo o intimación formal dirigido o expedido por el órgano administrativo competente al sujeto pasivo” sino como “exigencia que la norma impone en el momento de efectuar el pago el habilitado a su mandante”.</w:t>
      </w:r>
    </w:p>
    <w:p w:rsidR="00A90898" w:rsidRDefault="00A90898" w:rsidP="00A90898">
      <w:pPr>
        <w:pStyle w:val="TextoNormal"/>
      </w:pPr>
    </w:p>
    <w:p w:rsidR="00A90898" w:rsidRDefault="00A90898" w:rsidP="00A90898">
      <w:pPr>
        <w:pStyle w:val="TextoNormal"/>
      </w:pPr>
      <w:r>
        <w:lastRenderedPageBreak/>
        <w:t>(ii) Porque, aun cuando se interprete que dicho requerimiento previo es exigido en el tipo, tal intimación formal ha de considerarse implícita en la transferencia de la pensión que la Administración realiza al habilitado. Según afirma “la Administración, al efectuar el pago o la transferencia al habilitado del importe de la pensión, creemos que contiene, al menos implícito, el mandato (implícito en la orden de pago en sí, explícito en la norma directamente aplicable desde el 1 de abril de 2010 y que el habilitado sin duda conoce) en el sentido de que aquella le requiere, y le efectúa el pago, se lo libra para que el habilitado receptor de las cantidades correspondientes, actúa a su vez de conformidad con lo dispuesto en la ley, es decir, conforme con la regulación, los requisitos, que la ley establece, entre ellos el de no practicar retención o deducción alguna”.</w:t>
      </w:r>
    </w:p>
    <w:p w:rsidR="00A90898" w:rsidRDefault="00A90898" w:rsidP="00A90898">
      <w:pPr>
        <w:pStyle w:val="TextoNormal"/>
      </w:pPr>
    </w:p>
    <w:p w:rsidR="00A90898" w:rsidRDefault="00A90898" w:rsidP="00A90898">
      <w:pPr>
        <w:pStyle w:val="TextoNormal"/>
      </w:pPr>
      <w:r>
        <w:t>(iii) Porque, además, y en cualquier caso, hubo, según afirma el Abogado del Estado, requerimiento formal de la Administración a la recurrente de amparo, teniendo tal consideración, a su juicio, la comunicación de 28 de junio de 2010 de la Dirección General de Costes de Personal y Pensiones Públicas en que se anunciaba una inspección concretamente referida a verificar el cumplimiento de la obligación de desglose. Considera, así, que, a través de esta actuación, “la Administración comunica a la habilitada recurrente, la apertura de una inspección a los efectos de comprobar lo dispuesto en esa norma”, lo que supone, según afirma, una intimación o requerimiento a que la cumpla. También podrían considerarse intimaciones formales, en la misma línea, el requerimiento a la habilitada de clases pasivas de “una muestra de 40 pensionistas de las nóminas de los meses de abril, mayo y junio de ese año 2010”, documentación “que fue remitida por la interesada en el plazo otorgado”, así como el subsiguiente informe provisional desfavorable, efectuado el 18 de octubre de 2010 sobre la muestra analizada. Todas estas “primeras comunicaciones” de la Administración con la habilitada “pueden calificarse administrativamente, a juicio de esta Abogacía del Estado, como efectivos requerimientos de actuación, de actos de instrucción, es decir, para presentación o facilitación de datos e informaciones requeridos por la Administración respecto de sus mandantes”.</w:t>
      </w:r>
    </w:p>
    <w:p w:rsidR="00A90898" w:rsidRDefault="00A90898" w:rsidP="00A90898">
      <w:pPr>
        <w:pStyle w:val="TextoNormal"/>
      </w:pPr>
    </w:p>
    <w:p w:rsidR="00A90898" w:rsidRDefault="00A90898" w:rsidP="00A90898">
      <w:pPr>
        <w:pStyle w:val="TextoNormal"/>
      </w:pPr>
      <w:r>
        <w:t>Por todo ello, el Abogado del Estado concluye que tampoco el derecho a la legalidad en materia sancionadora ha resultado conculcado.</w:t>
      </w:r>
    </w:p>
    <w:p w:rsidR="00A90898" w:rsidRDefault="00A90898" w:rsidP="00A90898">
      <w:pPr>
        <w:pStyle w:val="TextoNormal"/>
      </w:pPr>
    </w:p>
    <w:p w:rsidR="00A90898" w:rsidRDefault="00A90898" w:rsidP="00A90898">
      <w:pPr>
        <w:pStyle w:val="TextoNormal"/>
      </w:pPr>
      <w:r w:rsidRPr="00A90898">
        <w:rPr>
          <w:rStyle w:val="NumeroAFNegritaCaracter"/>
        </w:rPr>
        <w:t>7</w:t>
      </w:r>
      <w:r>
        <w:t>. El 12 de julio de 2016 fue registrado en este Tribunal el escrito de alegaciones de la actora, en el que se reproducen, sintéticamente, las manifestaciones ya efectuadas en la demanda, si bien añade que la lesión del art. 25.1 CE va ligada también a una lesión concomitante del art. 24.1 CE, ya que la resolución judicial es irrazonable y arbitraria.</w:t>
      </w:r>
    </w:p>
    <w:p w:rsidR="00A90898" w:rsidRDefault="00A90898" w:rsidP="00A90898">
      <w:pPr>
        <w:pStyle w:val="TextoNormal"/>
      </w:pPr>
    </w:p>
    <w:p w:rsidR="00A90898" w:rsidRDefault="00A90898" w:rsidP="00A90898">
      <w:pPr>
        <w:pStyle w:val="TextoNormal"/>
      </w:pPr>
      <w:r w:rsidRPr="00A90898">
        <w:rPr>
          <w:rStyle w:val="NumeroAFNegritaCaracter"/>
        </w:rPr>
        <w:t>8</w:t>
      </w:r>
      <w:r>
        <w:t>. En fecha 21 de julio de 2016 se registró en este Tribunal el escrito de alegaciones del Ministerio Fiscal, en el que se interesa la estimación del recurso de amparo por vulneración del derecho de la recurrente a la legalidad en materia sancionadora (art. 25.1 CE).</w:t>
      </w:r>
    </w:p>
    <w:p w:rsidR="00A90898" w:rsidRDefault="00A90898" w:rsidP="00A90898">
      <w:pPr>
        <w:pStyle w:val="TextoNormal"/>
      </w:pPr>
    </w:p>
    <w:p w:rsidR="00A90898" w:rsidRDefault="00A90898" w:rsidP="00A90898">
      <w:pPr>
        <w:pStyle w:val="TextoNormal"/>
      </w:pPr>
      <w:r>
        <w:t xml:space="preserve">Señala, en primer lugar, el Ministerio Fiscal que la pretendida vulneración del derecho a la igualdad en la aplicación de la ley (art. 14 CE) encubre una alegación materialmente referida a la violación del derecho a la tutela judicial efectiva (art. 24.1). Según razona, la recurrente de amparo no denuncia que el órgano judicial haya resuelto de manera contradictoria con otras resoluciones propias sino que plantea una pura discrepancia de criterio hermenéutico con Sentencias dictadas por órganos jurisdiccionales distintos, lo que es ajeno </w:t>
      </w:r>
      <w:r>
        <w:lastRenderedPageBreak/>
        <w:t>al ámbito normativo del art. 14 CE. Entiende, por ello, que la cita de las resoluciones contradictorias no tiene más virtualidad que la de atacar, desde el plano propio del art. 24.1 CE, la razonabilidad de la interpretación del tipo sancionador seguida por el órgano actuante. Semejante vulneración del art. 24.1 CE —que no del art. 14 CE— carecería, no obstante, según añade el Fiscal, “de sustantividad propia”, pues “se formula en apoyo de la vulneración del principio de legalidad del art. 25.1 CE por falta de tipicidad de la conducta sancionada”. Concluye, por todo ello, el Ministerio Fiscal que la vulneración que se denuncia es, en realidad, única, pues “[e]l eje central argumentativo de la pretensión deducida en la demanda de amparo se refiere a la falta de tipicidad de la conducta del recurrente de amparo, como pretende acreditar con las sentencias de otros órganos judiciales que consideraron en supuestos iguales la vulneración del principio de tipicidad, esto es, la vulneración del principio de legalidad del art. 25.1 CE”.</w:t>
      </w:r>
    </w:p>
    <w:p w:rsidR="00A90898" w:rsidRDefault="00A90898" w:rsidP="00A90898">
      <w:pPr>
        <w:pStyle w:val="TextoNormal"/>
      </w:pPr>
    </w:p>
    <w:p w:rsidR="00A90898" w:rsidRDefault="00A90898" w:rsidP="00A90898">
      <w:pPr>
        <w:pStyle w:val="TextoNormal"/>
      </w:pPr>
      <w:r>
        <w:t>Circunscribiendo, pues, sus alegaciones a la posible violación del derecho a la legalidad penal, el Fiscal ante el Tribunal Constitucional estima que la posible lesión de dicho derecho se localiza, en el caso planteado, “en la aplicación del tipo sancionador a un supuesto de hecho manifiestamente ajeno al sentido de los elementos que integran aquél”, manifestando al respecto que “la simple lectura de los preceptos sancionadores aplicados por la Administración … permite advertir un supuesto de hecho en que el habilitado de clases pasivas no habría realizado la conducta por la que ha sido sancionado”.</w:t>
      </w:r>
    </w:p>
    <w:p w:rsidR="00A90898" w:rsidRDefault="00A90898" w:rsidP="00A90898">
      <w:pPr>
        <w:pStyle w:val="TextoNormal"/>
      </w:pPr>
    </w:p>
    <w:p w:rsidR="00A90898" w:rsidRDefault="00A90898" w:rsidP="00A90898">
      <w:pPr>
        <w:pStyle w:val="TextoNormal"/>
      </w:pPr>
      <w:r>
        <w:t>Para el Ministerio Fiscal el art. 47 a) del Real Decreto 1678/1987, de 30 de diciembre, “exige que, entre el incumplimiento de la obligación de colaborar y la sanción administrativa por no colaborar con la Administración, medie un requerimiento administrativo de colaboración en el sentido que señale la Administración”. En ese marco de relación bilateral, el propio precepto se refiere a la necesidad de un incumplimiento “concreto” de lo requerido. Es preciso, en suma, según razona el Fiscal, que “previamente medie una actuación de la Administración tendente a que la conducta del habilitado de clases pasivas se adecue a la norma que regula la materia sobre el pago de pensiones”, actuación que la norma identifica con “un requerimiento claro, concreto y específico dirigido al habilitado de clases pasivas, de manera individual, que especifique claramente la colaboración que se le requiere en orden a cumplir los fines públicos en materia de clases pasivas en la forma indicada por la disposición final primera del real decreto 193/2010”. En consecuencia, entiende el Ministerio Fiscal que la Administración sancionó un comportamiento no previsto en la norma, interpretando ésta de un modo completamente ajeno a su significado, lo que supone una violación del art. 25.1 CE.</w:t>
      </w:r>
    </w:p>
    <w:p w:rsidR="00A90898" w:rsidRDefault="00A90898" w:rsidP="00A90898">
      <w:pPr>
        <w:pStyle w:val="TextoNormal"/>
      </w:pPr>
    </w:p>
    <w:p w:rsidR="00A90898" w:rsidRDefault="00A90898" w:rsidP="00A90898">
      <w:pPr>
        <w:pStyle w:val="TextoNormal"/>
      </w:pPr>
      <w:r>
        <w:t>Consumada dicha vulneración en sede administrativa, el Ministerio Fiscal estima que la Sentencia del Juzgado de lo Contencioso-Administrativo de 27 de febrero de 2014 se limitó a señalar, en relación a la controversia realmente suscitada, que “por todo lo expuesto se desestima la demanda contra esa resolución sancionadora pues de lo actuado en el procedimiento ha quedado evidenciado que la misma es conforme con el principio de legalidad, tipicidad y culpabilidad”, fórmula genérica que nada dice sobre el juicio de subsunción en la norma y que deja, por tanto, incólume la vulneración acaecida en vía administrativa.</w:t>
      </w:r>
    </w:p>
    <w:p w:rsidR="00A90898" w:rsidRDefault="00A90898" w:rsidP="00A90898">
      <w:pPr>
        <w:pStyle w:val="TextoNormal"/>
      </w:pPr>
    </w:p>
    <w:p w:rsidR="00A90898" w:rsidRDefault="00A90898" w:rsidP="00A90898">
      <w:pPr>
        <w:pStyle w:val="TextoNormal"/>
      </w:pPr>
      <w:r>
        <w:t>Por todo ello, el Ministerio Fiscal interesa que se estime el recurso de amparo, declarándose la vulneración del derecho de la recurrente a la legalidad sancionadora con la consiguiente anulación de todas las resoluciones impugnadas, administrativas y judiciales.</w:t>
      </w:r>
    </w:p>
    <w:p w:rsidR="00A90898" w:rsidRDefault="00A90898" w:rsidP="00A90898">
      <w:pPr>
        <w:pStyle w:val="TextoNormal"/>
      </w:pPr>
    </w:p>
    <w:p w:rsidR="00A90898" w:rsidRDefault="00A90898" w:rsidP="00A90898">
      <w:pPr>
        <w:pStyle w:val="TextoNormal"/>
      </w:pPr>
      <w:r w:rsidRPr="00A90898">
        <w:rPr>
          <w:rStyle w:val="NumeroAFNegritaCaracter"/>
        </w:rPr>
        <w:t>9</w:t>
      </w:r>
      <w:r>
        <w:t>. En su escrito de alegaciones, y mediante “otrosí digo”, el Fiscal interesó que se recabara el expediente administrativo, lo que efectivamente se hizo en diligencia de ordenación de la Secretaría de Justicia de la Sala Segunda de 22 de julio de 2016. Recibido el expediente el 11 de agosto de 2016, mediante diligencia de ordenación de 5 de septiembre de 2016, la Secretaría de Justicia acordó dar vista de copia del mismo a las partes y al Ministerio Fiscal por un plazo común de 20 días.</w:t>
      </w:r>
    </w:p>
    <w:p w:rsidR="00A90898" w:rsidRDefault="00A90898" w:rsidP="00A90898">
      <w:pPr>
        <w:pStyle w:val="TextoNormal"/>
      </w:pPr>
    </w:p>
    <w:p w:rsidR="00A90898" w:rsidRDefault="00A90898" w:rsidP="00A90898">
      <w:pPr>
        <w:pStyle w:val="TextoNormal"/>
      </w:pPr>
      <w:r w:rsidRPr="00A90898">
        <w:rPr>
          <w:rStyle w:val="NumeroAFNegritaCaracter"/>
        </w:rPr>
        <w:t>10</w:t>
      </w:r>
      <w:r>
        <w:t>. En fecha 26 de septiembre de 2016, la recurrente presentó nuevo escrito de alegaciones, ratificando las ya efectuadas en su escrito previo y en la propia demanda.</w:t>
      </w:r>
    </w:p>
    <w:p w:rsidR="00A90898" w:rsidRDefault="00A90898" w:rsidP="00A90898">
      <w:pPr>
        <w:pStyle w:val="TextoNormal"/>
      </w:pPr>
    </w:p>
    <w:p w:rsidR="00A90898" w:rsidRDefault="00A90898" w:rsidP="00A90898">
      <w:pPr>
        <w:pStyle w:val="TextoNormal"/>
      </w:pPr>
      <w:r w:rsidRPr="00A90898">
        <w:rPr>
          <w:rStyle w:val="NumeroAFNegritaCaracter"/>
        </w:rPr>
        <w:t>11</w:t>
      </w:r>
      <w:r>
        <w:t>. El 3 de octubre de 2016, el Abogado del Estado presentó igualmente un nuevo escrito en el que ratifica las alegaciones efectuadas en el anterior y añade, como “alegación adicional”, ciertas consideraciones sobre el expediente administrativo sancionador, descartando la posible violación del principio de personalidad de la sanción, cuestión suscitada exclusivamente en dicho expediente y ajena, en cualquier caso, al ámbito del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12</w:t>
      </w:r>
      <w:r>
        <w:t>. El 4 de octubre de 2016 tuvo entrada en este Tribunal un escrito del Ministerio Fiscal, en el que señala que, una vez examinado el expediente administrativo, ratifica las alegaciones ya efectuadas en su informe previo.</w:t>
      </w:r>
    </w:p>
    <w:p w:rsidR="00A90898" w:rsidRDefault="00A90898" w:rsidP="00A90898">
      <w:pPr>
        <w:pStyle w:val="TextoNormal"/>
      </w:pPr>
    </w:p>
    <w:p w:rsidR="00A90898" w:rsidRDefault="00A90898" w:rsidP="00A90898">
      <w:pPr>
        <w:pStyle w:val="TextoNormal"/>
      </w:pPr>
      <w:r w:rsidRPr="00A90898">
        <w:rPr>
          <w:rStyle w:val="NumeroAFNegritaCaracter"/>
        </w:rPr>
        <w:t>13</w:t>
      </w:r>
      <w:r>
        <w:t>. Por providencia de 15 de diciembre de 2016, se señaló para la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dirige contra la resolución de 8 de marzo de 2011, del Director General de Costes de Personal y Pensiones Públicas y contra la resolución de 13 de junio de 2011 de la Subdirectora General de Recursos, Reclamaciones y Relaciones con la Justicia del Ministerio de Economía y Hacienda. Estas resoluciones administrativas consideraron, tal y como se ha explicado con detalle en los antecedentes, que la demandante de amparo, en su calidad de habilitada de clases pasivas, incumplió el deber de transferir íntegramente a 40 de sus mandantes el importe completo de sus pensiones, sin realizar cargos sobre el mismo, deber que resultaba de lo previsto en la disposición final primera del Real Decreto 193/2010, de 26 de febrero. Estimaron, asimismo, las citadas resoluciones que el incumplimiento de dicha obligación era subsumible, por las razones que han sido detalladamente consignadas, en la infracción administrativa que sanciona el “incumplimiento concreto” de la obligación de “prestar los datos e informaciones que le sean requeridos por la Administración respecto de sus mandantes y colaborar en el sentido que ésta le requiera en relación con los fines de interés público en materia de clases pasivas” [art. 47 a) del Real Decreto 1678/1987 y disposición final primera 3.1 a) de la Ley 21/1986, de 23 de diciembre, de presupuestos generales para el año 1987]. La recurrente de amparo estima que estas dos resoluciones administrativas violaron su derecho a la legalidad penal, pues sancionaron una conducta que no estaba contemplada en la concreta infracción aplicada.</w:t>
      </w:r>
    </w:p>
    <w:p w:rsidR="00A90898" w:rsidRDefault="00A90898" w:rsidP="00A90898">
      <w:pPr>
        <w:pStyle w:val="TextoNormal"/>
      </w:pPr>
    </w:p>
    <w:p w:rsidR="00A90898" w:rsidRDefault="00A90898" w:rsidP="00A90898">
      <w:pPr>
        <w:pStyle w:val="TextoNormal"/>
      </w:pPr>
      <w:r>
        <w:lastRenderedPageBreak/>
        <w:t>El recurso también se dirige contra la Sentencia de 27 de febrero de 2014 del Juzgado Central de lo Contencioso-Administrativo núm. 12, a la que la recurrente imputa no sólo el no haber reparado la vulneración previamente acaecida en vía administrativa sino también, y de manera específica, la violación de su derecho a la igualdad en la aplicación de la ley (art. 14 CE). Considera, en este sentido, que la Sentencia se contradice abiertamente con otras resoluciones dictadas por órganos distintos en casos, en su opinión, completamente idénticos. Esta vulneración, atribuida de manera exclusiva al órgano judicial, fue pertinentemente denunciada a través del incidente de nulidad de actuaciones, dando lugar a un Auto desestimatorio de 20 de noviembre de 2014, frente al que igualmente se dirige el presente recurso de amparo.</w:t>
      </w:r>
    </w:p>
    <w:p w:rsidR="00A90898" w:rsidRDefault="00A90898" w:rsidP="00A90898">
      <w:pPr>
        <w:pStyle w:val="TextoNormal"/>
      </w:pPr>
    </w:p>
    <w:p w:rsidR="00A90898" w:rsidRDefault="00A90898" w:rsidP="00A90898">
      <w:pPr>
        <w:pStyle w:val="TextoNormal"/>
      </w:pPr>
      <w:r>
        <w:t>El Abogado del Estado interesa, por su parte, la desestimación del recurso mientras que el Ministerio Fiscal considera que debe otorgarse el amparo solicitado al entender que ha resultado vulnerado el derecho de la recurrente a la legalidad en materia sancionadora.</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ha puesto en duda la especial trascendencia constitucional de este recurso, exigencias de certeza y buena administración de justicia (STEDH de 20 de enero de 2015, caso </w:t>
      </w:r>
      <w:r w:rsidRPr="00A90898">
        <w:rPr>
          <w:i/>
        </w:rPr>
        <w:t>Arribas Antón c. España</w:t>
      </w:r>
      <w:r>
        <w:t>, apartado 46) obligan a explicitarla para hacer recognoscibles los criterios empleados por este Tribunal en la apreciación de dicho requisito de orden público (entre otras, STC 113/2012, de 24 de mayo, FJ 2, y las allí citadas).</w:t>
      </w:r>
    </w:p>
    <w:p w:rsidR="00A90898" w:rsidRDefault="00A90898" w:rsidP="00A90898">
      <w:pPr>
        <w:pStyle w:val="TextoNormal"/>
      </w:pPr>
    </w:p>
    <w:p w:rsidR="00A90898" w:rsidRDefault="00A90898" w:rsidP="00A90898">
      <w:pPr>
        <w:pStyle w:val="TextoNormal"/>
      </w:pPr>
      <w:r>
        <w:t>En el presente caso, la especial trascendencia constitucional concurre por un doble motivo. De un lado, la recurrente ha acreditado suficientemente en su demanda la existencia de resoluciones judiciales contradictorias en la aplicación del art. 25.1 CE [STC 155/2009, FJ 2 e)]. De otro, el asunto suscitado trasciende del caso concreto al plantear una cuestión jurídica de relevante y general repercusión [STC 155/2009, FJ 2 f)], ya que la interpretación realizada por el órgano judicial tiene, como después se verá, una potencialidad expansiva que permite convertir, en vía interpretativa, cualquier tipo de incumplimiento existente en nuestro ordenamiento en una suerte de cláusula sancionatoria universal.</w:t>
      </w:r>
    </w:p>
    <w:p w:rsidR="00A90898" w:rsidRDefault="00A90898" w:rsidP="00A90898">
      <w:pPr>
        <w:pStyle w:val="TextoNormal"/>
      </w:pPr>
    </w:p>
    <w:p w:rsidR="00A90898" w:rsidRDefault="00A90898" w:rsidP="00A90898">
      <w:pPr>
        <w:pStyle w:val="TextoNormal"/>
      </w:pPr>
      <w:r w:rsidRPr="00A90898">
        <w:rPr>
          <w:rStyle w:val="NumeroAFNegritaCaracter"/>
        </w:rPr>
        <w:t>3</w:t>
      </w:r>
      <w:r>
        <w:t>. Antes de examinar el fondo del presente recurso, hemos de realizar tres consideraciones previas sobre el objeto del mismo, pues, en última instancia, éste se circunscribe a una única vulneración de derechos fundamentales. Así:</w:t>
      </w:r>
    </w:p>
    <w:p w:rsidR="00A90898" w:rsidRDefault="00A90898" w:rsidP="00A90898">
      <w:pPr>
        <w:pStyle w:val="TextoNormal"/>
      </w:pPr>
    </w:p>
    <w:p w:rsidR="00A90898" w:rsidRDefault="00A90898" w:rsidP="00A90898">
      <w:pPr>
        <w:pStyle w:val="TextoNormal"/>
      </w:pPr>
      <w:r>
        <w:t>(i) Formalmente, nos encontramos, en efecto, ante un amparo mixto en el que la violación del derecho a la igualdad en la aplicación de la ley (art. 14 CE) se imputa exclusivamente a las resoluciones dictadas por el Juzgado Central de lo Contencioso-Administrativo. Se achaca, en cambio, la vulneración del derecho a la legalidad en materia sancionadora (art. 25.1 CE) a las resoluciones administrativas antecedentes. Esta circunstancia haría, en principio, que nuestro análisis debiera comenzar por esta última vulneración, pues, tal y como hemos señalado en otras ocasiones, “puede sostenerse como criterio general que en los amparos mixtos la pretensión deducida por la vía del art. 43 LOTC es autónoma y su examen resulta, en principio, preeminente”, preeminencia que “tiene su fundamento en que la comisión de una lesión constitucional en el transcurso del proceso judicial no impide que el acto administrativo siga siendo el verdadero objeto del proceso de amparo que finalmente deviene en mixto” (SSTC 5/2008, de 21 de enero, FJ 3; 31/2014, de 24 de febrero, FJ 2, y 199/2014, de 15 de diciembre, FJ 2).</w:t>
      </w:r>
    </w:p>
    <w:p w:rsidR="00A90898" w:rsidRDefault="00A90898" w:rsidP="00A90898">
      <w:pPr>
        <w:pStyle w:val="TextoNormal"/>
      </w:pPr>
    </w:p>
    <w:p w:rsidR="00A90898" w:rsidRDefault="00A90898" w:rsidP="00A90898">
      <w:pPr>
        <w:pStyle w:val="TextoNormal"/>
      </w:pPr>
      <w:r>
        <w:t xml:space="preserve">(ii) Sin embargo, tal y como apunta el Ministerio Fiscal, puede observarse de antemano que la alegación de vulneración del derecho a la igualdad en la aplicación de la ley carece, a todas luces, de sustantividad jurídica suficiente, ya que, bajo tal </w:t>
      </w:r>
      <w:r w:rsidRPr="00A90898">
        <w:rPr>
          <w:i/>
        </w:rPr>
        <w:t>nomen iuris</w:t>
      </w:r>
      <w:r>
        <w:t>, se imputa al órgano judicial, no una contradicción con lo decidido en una resolución previa propia, sino el haber utilizado un criterio interpretativo que, a la luz de los razonamientos incluidos en otras resoluciones contradictorias dictadas por órganos distintos, ha de reputarse arbitrario, por carecer de soporte razonable en la norma sancionadora que se aplica. En este sentido, como apunta el Fiscal ante el Tribunal Constitucional, se denuncia, en realidad, que el órgano judicial ha incurrido en una violación del derecho a la tutela judicial efectiva (art. 24.1 CE), y así parece reconocerlo la propia demandante de amparo que, en su escrito de alegaciones de fecha 12 de julio de 2016, plantea la posibilidad de que la actuación judicial impugnada sea constitutiva de una violación del art. 24.1 CE, al resultar irrazonable la interpretación efectuada por el órgano judicial.</w:t>
      </w:r>
    </w:p>
    <w:p w:rsidR="00A90898" w:rsidRDefault="00A90898" w:rsidP="00A90898">
      <w:pPr>
        <w:pStyle w:val="TextoNormal"/>
      </w:pPr>
    </w:p>
    <w:p w:rsidR="00A90898" w:rsidRDefault="00A90898" w:rsidP="00A90898">
      <w:pPr>
        <w:pStyle w:val="TextoNormal"/>
      </w:pPr>
      <w:r>
        <w:t>(iii) Imputándose, en definitiva, al órgano judicial una posible violación, no del derecho a la igualdad en la aplicación de la ley (art. 14), sino del derecho a la tutela judicial efectiva (art. 24.1 CE), ha de señalarse que el examen de esta última queja debe quedar subsumido en el análisis, más amplio, de la pretendida vulneración del derecho sustantivo en juego (art. 25.1 CE), pues, de acuerdo con nuestra doctrina, el canon de razonabilidad que impone el art. 25.1 CE es “más exigente que el que, por norma general, caracteriza al derecho a la tutela judicial efectiva (art. 24.1 CE)”, razón por la cual, en la aplicación judicial del tipo sancionador, el examen de la lesión del derecho fundamental a la legalidad sancionadora lleva siempre implícito el escrutinio de la razonabilidad de la motivación empleada por el órgano judicial, convirtiéndose, por ello, el art. 25.1 CE en parámetro único de constitucionalidad (STC 2/2015, de 19 de enero, FJ 8).</w:t>
      </w:r>
    </w:p>
    <w:p w:rsidR="00A90898" w:rsidRDefault="00A90898" w:rsidP="00A90898">
      <w:pPr>
        <w:pStyle w:val="TextoNormal"/>
      </w:pPr>
    </w:p>
    <w:p w:rsidR="00A90898" w:rsidRDefault="00A90898" w:rsidP="00A90898">
      <w:pPr>
        <w:pStyle w:val="TextoNormal"/>
      </w:pPr>
      <w:r>
        <w:t>De todo lo anterior se infiere, en definitiva, que el presente proceso constitucional ha de ser resuelto examinando, en exclusiva, la queja sobre la que, en realidad, orbita todo el recurso de amparo, que es la posible vulneración del derecho a la legalidad sancionadora.</w:t>
      </w:r>
    </w:p>
    <w:p w:rsidR="00A90898" w:rsidRDefault="00A90898" w:rsidP="00A90898">
      <w:pPr>
        <w:pStyle w:val="TextoNormal"/>
      </w:pPr>
    </w:p>
    <w:p w:rsidR="00A90898" w:rsidRDefault="00A90898" w:rsidP="00A90898">
      <w:pPr>
        <w:pStyle w:val="TextoNormal"/>
      </w:pPr>
      <w:r w:rsidRPr="00A90898">
        <w:rPr>
          <w:rStyle w:val="NumeroAFNegritaCaracter"/>
        </w:rPr>
        <w:t>4</w:t>
      </w:r>
      <w:r>
        <w:t>. Quedando circunscrito nuestro análisis a la queja aludida (art. 25.1 CE), resulta pertinente señalar, en primer lugar, cuál fue la conducta sancionada y los preceptos que sirvieron de sustento a la sanción impuesta.</w:t>
      </w:r>
    </w:p>
    <w:p w:rsidR="00A90898" w:rsidRDefault="00A90898" w:rsidP="00A90898">
      <w:pPr>
        <w:pStyle w:val="TextoNormal"/>
      </w:pPr>
    </w:p>
    <w:p w:rsidR="00A90898" w:rsidRDefault="00A90898" w:rsidP="00A90898">
      <w:pPr>
        <w:pStyle w:val="TextoNormal"/>
      </w:pPr>
      <w:r>
        <w:t>Como ha quedado expuesto con detalle en los antecedentes, la actora fue sancionada por cargar las deducciones correspondientes a su intervención profesional directamente sobre el importe recibido de la Administración en concepto de pensión, cuando su obligación era transferir dicho importe, en su totalidad, a sus mandantes, procediendo de forma separada a cargarles tales deducciones. Dicha conducta fue objeto de subsunción en las siguientes normas:</w:t>
      </w:r>
    </w:p>
    <w:p w:rsidR="00A90898" w:rsidRDefault="00A90898" w:rsidP="00A90898">
      <w:pPr>
        <w:pStyle w:val="TextoNormal"/>
      </w:pPr>
    </w:p>
    <w:p w:rsidR="00A90898" w:rsidRDefault="00A90898" w:rsidP="00A90898">
      <w:pPr>
        <w:pStyle w:val="TextoNormal"/>
      </w:pPr>
      <w:r>
        <w:t>(i) De un lado se encuentra el precepto que establece la infracción aplicada, que es el art. 47 a) del Real Decreto 1678/1987, por el que se reglamenta la profesión de habilitado de clases pasivas en los aspectos de la misma relacionados con los fines administrativos en materia de clases pasivas y con el interés general, y que dispone lo siguiente:</w:t>
      </w:r>
    </w:p>
    <w:p w:rsidR="00A90898" w:rsidRDefault="00A90898" w:rsidP="00A90898">
      <w:pPr>
        <w:pStyle w:val="TextoNormal"/>
      </w:pPr>
    </w:p>
    <w:p w:rsidR="00A90898" w:rsidRDefault="00A90898" w:rsidP="00A90898">
      <w:pPr>
        <w:pStyle w:val="TextoNormal"/>
      </w:pPr>
      <w:r>
        <w:lastRenderedPageBreak/>
        <w:t>“De conformidad con la disposición final primera, número 3, de la Ley 21/1986, de 23 de diciembre, las conductas que darán origen a sanción administrativa serán las de incumplimiento concreto por el Habilitado de las siguientes obligaciones: a) Prestar los datos e informaciones que le sean requeridos por la Administración respecto de sus mandantes y colaborar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Cabe señalar que esta norma reglamentaria, como se indica expresamente en su texto normativo, tiene soporte legal directo en la disposición final primera, núm. 3, regla primera, de la Ley de presupuestos del año 1987 (ley 21/1986, de 23 de diciembre), que, al habilitar la reforma de la reglamentación de la profesión de habilitado de clases pasivas, dispone específicamente para el ámbito sancionador que “[l]as conductas que darán origen a sanción administrativa serán las de incumplimiento concreto por el Habilitado de las siguientes obligaciones: a) Prestar los datos e informaciones que le sean requeridos por la Administración respecto de sus mandantes y colaborar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(ii) De otro lado se encuentra la norma que establece el deber de colaborar con la Administración que se ha reputado singularmente incumplido, que es la disposición final primera del Real Decreto 193/2010, de 26 de febrero, por el que se modifica el Real Decreto 227/1981, de 23 de enero, sobre sistemas de pago de los haberes de clases pasivas del Estado, que, bajo la rúbrica “desglose de transferencias”, señala a su vez:</w:t>
      </w:r>
    </w:p>
    <w:p w:rsidR="00A90898" w:rsidRDefault="00A90898" w:rsidP="00A90898">
      <w:pPr>
        <w:pStyle w:val="TextoNormal"/>
      </w:pPr>
    </w:p>
    <w:p w:rsidR="00A90898" w:rsidRDefault="00A90898" w:rsidP="00A90898">
      <w:pPr>
        <w:pStyle w:val="TextoNormal"/>
      </w:pPr>
      <w:r>
        <w:t>“Respecto de las prestaciones de Clases Pasivas solicitadas antes de la entrada en vigor del presente real decreto, los habilitados de clases pasivas estarán obligados a abonar a su mandante, ya sea mediante transferencia bancaria o mediante cheque, el importe íntegro de la pensión o pensiones de Clases Pasivas que le haya sido pagado por la Administración, sin practicar deducción alguna. Las comisiones, gastos de gestión o impuestos derivados del ejercicio de la actividad profesional que repercuta en su cliente deberán cobrarlos de forma separada.”</w:t>
      </w:r>
    </w:p>
    <w:p w:rsidR="00A90898" w:rsidRDefault="00A90898" w:rsidP="00A90898">
      <w:pPr>
        <w:pStyle w:val="TextoNormal"/>
      </w:pPr>
    </w:p>
    <w:p w:rsidR="00A90898" w:rsidRDefault="00A90898" w:rsidP="00A90898">
      <w:pPr>
        <w:pStyle w:val="TextoNormal"/>
      </w:pPr>
      <w:r w:rsidRPr="00A90898">
        <w:rPr>
          <w:rStyle w:val="NumeroAFNegritaCaracter"/>
        </w:rPr>
        <w:t>5</w:t>
      </w:r>
      <w:r>
        <w:t>. Una vez que ha sido delimitado el objeto del recurso y que han quedado expuestos los elementos fácticos y jurídicos que sirven de referencia inexcusable para resolver el mismo, ha de procederse a un adecuado encuadramiento de la queja planteada por la actora dentro de las diversas facetas que comprende el derecho fundamental a la legalidad sancionadora.</w:t>
      </w:r>
    </w:p>
    <w:p w:rsidR="00A90898" w:rsidRDefault="00A90898" w:rsidP="00A90898">
      <w:pPr>
        <w:pStyle w:val="TextoNormal"/>
      </w:pPr>
    </w:p>
    <w:p w:rsidR="00A90898" w:rsidRDefault="00A90898" w:rsidP="00A90898">
      <w:pPr>
        <w:pStyle w:val="TextoNormal"/>
      </w:pPr>
      <w:r>
        <w:t xml:space="preserve">En este punto, la propia recurrente realiza una primera delimitación en la demanda de amparo, en la que considera que las resoluciones impugnadas han vulnerado la garantía constitucional de </w:t>
      </w:r>
      <w:r w:rsidRPr="00A90898">
        <w:rPr>
          <w:i/>
        </w:rPr>
        <w:t>lex certa</w:t>
      </w:r>
      <w:r>
        <w:t>. Sin embargo, dicha garantía, como faceta específica del derecho a la legalidad sancionadora, se desenvuelve, en nuestra doctrina (</w:t>
      </w:r>
      <w:r w:rsidRPr="00A90898">
        <w:rPr>
          <w:i/>
        </w:rPr>
        <w:t>vid</w:t>
      </w:r>
      <w:r>
        <w:t>, por todas, STC 146/2015, de 25 de junio, FJ 2), en dos ámbitos distintos:</w:t>
      </w:r>
    </w:p>
    <w:p w:rsidR="00A90898" w:rsidRDefault="00A90898" w:rsidP="00A90898">
      <w:pPr>
        <w:pStyle w:val="TextoNormal"/>
      </w:pPr>
    </w:p>
    <w:p w:rsidR="00A90898" w:rsidRDefault="00A90898" w:rsidP="00A90898">
      <w:pPr>
        <w:pStyle w:val="TextoNormal"/>
      </w:pPr>
      <w:r>
        <w:t xml:space="preserve">a) De un lado, la garantía de certeza puede resultar vulnerada por la insuficiente determinación </w:t>
      </w:r>
      <w:r w:rsidRPr="00A90898">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A90898" w:rsidRDefault="00A90898" w:rsidP="00A90898">
      <w:pPr>
        <w:pStyle w:val="TextoNormal"/>
      </w:pPr>
    </w:p>
    <w:p w:rsidR="00A90898" w:rsidRDefault="00A90898" w:rsidP="00A90898">
      <w:pPr>
        <w:pStyle w:val="TextoNormal"/>
      </w:pPr>
      <w:r>
        <w:t xml:space="preserve">b) En cambio, aun cuando la redacción de la norma sancionadora resulta suficientemente precisa, la garantía de </w:t>
      </w:r>
      <w:r w:rsidRPr="00A90898">
        <w:rPr>
          <w:i/>
        </w:rPr>
        <w:t>lex certa</w:t>
      </w:r>
      <w:r>
        <w:t xml:space="preserve"> puede verse afectada por la aplicación irrazonable de dicha norma, vertiente que se desdobla, a su vez, en dos planos, (i) el de la indebida interpretación </w:t>
      </w:r>
      <w:r w:rsidRPr="00A90898">
        <w:rPr>
          <w:i/>
        </w:rPr>
        <w:t>ad casum</w:t>
      </w:r>
      <w:r>
        <w:t xml:space="preserve"> del alcance semántico del precepto, más allá de su sentido literal posible (analogía </w:t>
      </w:r>
      <w:r w:rsidRPr="00A90898">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w:t>
      </w:r>
    </w:p>
    <w:p w:rsidR="00A90898" w:rsidRDefault="00A90898" w:rsidP="00A90898">
      <w:pPr>
        <w:pStyle w:val="TextoNormal"/>
      </w:pPr>
    </w:p>
    <w:p w:rsidR="00A90898" w:rsidRDefault="00A90898" w:rsidP="00A90898">
      <w:pPr>
        <w:pStyle w:val="TextoNormal"/>
      </w:pPr>
      <w:r>
        <w:t>Nos corresponde ahora determinar cuál de estas ópticas está realmente en juego en el presente caso.</w:t>
      </w:r>
    </w:p>
    <w:p w:rsidR="00A90898" w:rsidRDefault="00A90898" w:rsidP="00A90898">
      <w:pPr>
        <w:pStyle w:val="TextoNormal"/>
      </w:pPr>
    </w:p>
    <w:p w:rsidR="00A90898" w:rsidRDefault="00A90898" w:rsidP="00A90898">
      <w:pPr>
        <w:pStyle w:val="TextoNormal"/>
      </w:pPr>
      <w:r w:rsidRPr="00A90898">
        <w:rPr>
          <w:rStyle w:val="NumeroAFNegritaCaracter"/>
        </w:rPr>
        <w:t>6</w:t>
      </w:r>
      <w:r>
        <w:t>. Como acaba de apuntarse, el principio de legalidad penal, en su vertiente material, proyecta, en primer lugar, sus efectos sobre el legislador, pues, al reflejar la especial trascendencia del principio de seguridad jurídica (art. 9.3 CE), “comporta el mandato de taxatividad o de certeza que se produce en la exigencia de predeterminación normativa de las conductas y sus correspondientes sanciones (</w:t>
      </w:r>
      <w:r w:rsidRPr="00A90898">
        <w:rPr>
          <w:i/>
        </w:rPr>
        <w:t>lex certa</w:t>
      </w:r>
      <w:r>
        <w:t>) en virtud del cual el legislador debe promulgar normas concretas, precisas, claras e inteligibles, para que los ciudadanos deban conocer de antemano el ámbito de lo proscrito y prever, así, las consecuencias de sus acciones” (SSTC 185/2014, de 6 de noviembre, FJ 8, y 146/2015, FJ 2).</w:t>
      </w:r>
    </w:p>
    <w:p w:rsidR="00A90898" w:rsidRDefault="00A90898" w:rsidP="00A90898">
      <w:pPr>
        <w:pStyle w:val="TextoNormal"/>
      </w:pPr>
    </w:p>
    <w:p w:rsidR="00A90898" w:rsidRDefault="00A90898" w:rsidP="00A90898">
      <w:pPr>
        <w:pStyle w:val="TextoNormal"/>
      </w:pPr>
      <w:r>
        <w:t xml:space="preserve">Esta primera dimensión de la garantía de </w:t>
      </w:r>
      <w:r w:rsidRPr="00A90898">
        <w:rPr>
          <w:i/>
        </w:rPr>
        <w:t>lex certa</w:t>
      </w:r>
      <w:r>
        <w:t xml:space="preserve"> es invocada por la Administración (en la resolución de alzada) y por el Abogado del Estado, en sus alegaciones, para descartar la vulneración del derecho a la legalidad sancionadora, pues consideran, en síntesis, que la doctrina de este Tribunal sobre la predeterminación normativa de la conducta sancionable no es incompatible con la utilización de conceptos jurídicos indeterminados, siempre que estos queden después suficientemente concretados con el auxilio de otras normas, aunque éstas sean de rango infralegal. La realidad es, sin embargo, que la demanda de amparo no contiene reproche alguno que se refiera específicamente a la redacción normativa de las normas en juego, pues:</w:t>
      </w:r>
    </w:p>
    <w:p w:rsidR="00A90898" w:rsidRDefault="00A90898" w:rsidP="00A90898">
      <w:pPr>
        <w:pStyle w:val="TextoNormal"/>
      </w:pPr>
    </w:p>
    <w:p w:rsidR="00A90898" w:rsidRDefault="00A90898" w:rsidP="00A90898">
      <w:pPr>
        <w:pStyle w:val="TextoNormal"/>
      </w:pPr>
      <w:r>
        <w:t xml:space="preserve">(i) Es claro que la actora considera en su demanda que el art. 47 a) del Real Decreto 1678/1987 tiene un ámbito de aplicación normativa claramente determinado </w:t>
      </w:r>
      <w:r w:rsidRPr="00A90898">
        <w:rPr>
          <w:i/>
        </w:rPr>
        <w:t>ex ante</w:t>
      </w:r>
      <w:r>
        <w:t>, pues entiende que el tipo aludido exige, sin oscuridad alguna en este punto, la existencia previa de un requerimiento concreto de colaboración que se haya visto desatendido por el individuo requerido. La norma aludida no es, pues, en sí misma, objeto de tacha alguna de inconstitucionalidad por la utilización de conceptos excesivamente abiertos o indeterminados. Al contrario, la demandante considera que las expresiones típicas explicitan suficientemente la exigencia de un requerimiento de colaboración, habiendo desbordado la Administración, en su opinión, ese concreto ámbito de aplicación.</w:t>
      </w:r>
    </w:p>
    <w:p w:rsidR="00A90898" w:rsidRDefault="00A90898" w:rsidP="00A90898">
      <w:pPr>
        <w:pStyle w:val="TextoNormal"/>
      </w:pPr>
    </w:p>
    <w:p w:rsidR="00A90898" w:rsidRDefault="00A90898" w:rsidP="00A90898">
      <w:pPr>
        <w:pStyle w:val="TextoNormal"/>
      </w:pPr>
      <w:r>
        <w:t xml:space="preserve">(ii) Resultan, por ello, intrascendentes a efectos de este amparo los argumentos de la resolución administrativa de alzada (en los que vuelve a incidir el Abogado del Estado en sus alegaciones) relativos a la admisibilidad, en la configuración de tipos sancionadores, de conceptos jurídicos indeterminados que puedan ser concretados con el auxilio de otras normas, ya que el problema que la actora plantea no versa sobre la utilización, por parte de la </w:t>
      </w:r>
      <w:r>
        <w:lastRenderedPageBreak/>
        <w:t>norma misma, de conceptos excesivamente abiertos. Al contrario, se denuncia la manipulación interpretativa, por parte del aplicador, de elementos típicos que, en la redacción del precepto, se entiende que son notablemente precisos.</w:t>
      </w:r>
    </w:p>
    <w:p w:rsidR="00A90898" w:rsidRDefault="00A90898" w:rsidP="00A90898">
      <w:pPr>
        <w:pStyle w:val="TextoNormal"/>
      </w:pPr>
    </w:p>
    <w:p w:rsidR="00A90898" w:rsidRDefault="00A90898" w:rsidP="00A90898">
      <w:pPr>
        <w:pStyle w:val="TextoNormal"/>
      </w:pPr>
      <w:r>
        <w:t xml:space="preserve">(iii) Tampoco parece, finalmente, que, en el recurso de amparo, se dé relevancia alguna al rango infralegal de las normas aplicadas (Real Decreto 1678/1987 y Real Decreto 193/2010), siendo manifiesto, en cualquier caso, tal y como queda ya dicho, que la norma sancionadora </w:t>
      </w:r>
      <w:r w:rsidRPr="00A90898">
        <w:rPr>
          <w:i/>
        </w:rPr>
        <w:t>stricto sensu</w:t>
      </w:r>
      <w:r>
        <w:t>, contenida en el Real Decreto 1678/1987, era reproducción literal de la disposición final primera, núm. 3, regla primera, de la Ley de presupuestos del año 1987 (Ley 21/1986, de 23 de diciembre), que le daba, de este modo, una cobertura evidente.</w:t>
      </w:r>
    </w:p>
    <w:p w:rsidR="00A90898" w:rsidRDefault="00A90898" w:rsidP="00A90898">
      <w:pPr>
        <w:pStyle w:val="TextoNormal"/>
      </w:pPr>
    </w:p>
    <w:p w:rsidR="00A90898" w:rsidRDefault="00A90898" w:rsidP="00A90898">
      <w:pPr>
        <w:pStyle w:val="TextoNormal"/>
      </w:pPr>
      <w:r>
        <w:t xml:space="preserve">En definitiva, no es este primer aspecto de la garantía de </w:t>
      </w:r>
      <w:r w:rsidRPr="00A90898">
        <w:rPr>
          <w:i/>
        </w:rPr>
        <w:t>lex certa</w:t>
      </w:r>
      <w:r>
        <w:t xml:space="preserve"> el que se pone en entredicho en el presente recurso de amparo, aunque ciertas consideraciones incluidas en los fundamentos de las resoluciones impugnadas o en las alegaciones del Abogado del Estado puedan inducir a equívoco al respecto. Antes bien, en el presente caso, la queja de la recurrente se residencia en el ámbito del juicio aplicativo, pues se imputa a la Administración una utilización irrazonable de la norma. En este sentido, lo que la recurrente afirma es que la actuación de la Administración haciendo uso de esa norma constituye una violación patente del derecho a la legalidad sancionadora, que proscribe que “nadie pueda ser condenado o sancionado por acciones u omisiones que no constituyan delito, falta o infracción administrativa, según la legislación vigente, en el momento de la comisión del hecho, quebrándose este derecho cuando la conducta enjuiciada, la ya delimitada como probada, es subsumida de un modo irrazonable en el tipo que resulta aplicado” (SSTC 57/2010, de 4 de octubre, FJ 3; 153/2011, de 17 de octubre, FJ 8; 196/2013, de 2 de diciembre, FJ 5, y 146/2015, de 25 de junio, FJ 3).</w:t>
      </w:r>
    </w:p>
    <w:p w:rsidR="00A90898" w:rsidRDefault="00A90898" w:rsidP="00A90898">
      <w:pPr>
        <w:pStyle w:val="TextoNormal"/>
      </w:pPr>
    </w:p>
    <w:p w:rsidR="00A90898" w:rsidRDefault="00A90898" w:rsidP="00A90898">
      <w:pPr>
        <w:pStyle w:val="TextoNormal"/>
      </w:pPr>
      <w:r w:rsidRPr="00A90898">
        <w:rPr>
          <w:rStyle w:val="NumeroAFNegritaCaracter"/>
        </w:rPr>
        <w:t>7</w:t>
      </w:r>
      <w:r>
        <w:t>. Entrando, pues, en la faceta del art. 25.1 CE que constituye el auténtico núcleo de la queja planteada, ha de recordarse que, una vez que el autor de la norma ha cumplido suficientemente con el mandato al dar una redacción precisa al precepto sancionador, la garantía de certeza exige igualmente de los órganos sancionadores que están llamados a aplicarlo “no sólo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En efecto,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 En este segundo plano, que es el de la aplicación concreta de la norma, la violación del derecho a la legalidad sancionadora puede producirse, como hemos anticipado, en dos ámbitos distintos:</w:t>
      </w:r>
    </w:p>
    <w:p w:rsidR="00A90898" w:rsidRDefault="00A90898" w:rsidP="00A90898">
      <w:pPr>
        <w:pStyle w:val="TextoNormal"/>
      </w:pPr>
    </w:p>
    <w:p w:rsidR="00A90898" w:rsidRDefault="00A90898" w:rsidP="00A90898">
      <w:pPr>
        <w:pStyle w:val="TextoNormal"/>
      </w:pPr>
      <w:r>
        <w:t xml:space="preserve">a) De un lado, la violación del art. 25.1 CE “puede proceder de la interpretación misma del precepto sustantivo aplicado, ya que el Juez puede atribuir a la norma penal un contenido que exceda, en perjuicio del acusado, del tenor literal posible del precepto, incurriendo en tal caso en una analogía </w:t>
      </w:r>
      <w:r w:rsidRPr="00A90898">
        <w:rPr>
          <w:i/>
        </w:rPr>
        <w:t>in malam partem</w:t>
      </w:r>
      <w:r>
        <w:t xml:space="preserve"> que ha de entenderse constitucionalmente proscrita” (STC 2/2015, de 19 de enero, FJ 8).</w:t>
      </w:r>
    </w:p>
    <w:p w:rsidR="00A90898" w:rsidRDefault="00A90898" w:rsidP="00A90898">
      <w:pPr>
        <w:pStyle w:val="TextoNormal"/>
      </w:pPr>
    </w:p>
    <w:p w:rsidR="00A90898" w:rsidRDefault="00A90898" w:rsidP="00A90898">
      <w:pPr>
        <w:pStyle w:val="TextoNormal"/>
      </w:pPr>
      <w:r>
        <w:lastRenderedPageBreak/>
        <w:t>b) De otro lado, “cuando la interpretación de la norma sustantiva resulta, en cambio, compatible con el tenor literal posible de la norma aplicada, la lesión del art. 25.1 CE puede derivar del juicio de subsunción que se realiza con base a los hechos probados”, juicio que hemos señalado que “debe respetar un doble parámetro de razonabilidad: (i) el metodológico, que exige que no incurra en quiebras lógicas y que sea acorde con los modelos de argumentación aceptados dentro de la comunidad jurídica, y (ii) el axiológico, que requiere que se ajuste a los criterios y valores que informan nuestro ordenamiento constitucional (SSTC 138/2004, de 13 de septiembre, FJ 3; 242/2005, de 10 de octubre, FJ 4; 9/2006, de 16 de enero, FJ 4; 242/2005, de 10 de octubre, FJ 4; 262/2006, de 11 de septiembre, FJ 4, 129/2008, de 27 de octubre, FJ 3; 91/2009, de 20 de abril, FJ 6; 153/2011, de 17 de octubre, FJ 8, y 196/2013, de 2 de diciembre, FJ 5)” (STC 2/2015, de 19 de enero, FJ 8).</w:t>
      </w:r>
    </w:p>
    <w:p w:rsidR="00A90898" w:rsidRDefault="00A90898" w:rsidP="00A90898">
      <w:pPr>
        <w:pStyle w:val="TextoNormal"/>
      </w:pPr>
    </w:p>
    <w:p w:rsidR="00A90898" w:rsidRDefault="00A90898" w:rsidP="00A90898">
      <w:pPr>
        <w:pStyle w:val="TextoNormal"/>
      </w:pPr>
      <w:r>
        <w:t>Este es, pues, el doble escrutinio que debe ser empleado para examinar la queja que ahora nos ocupa. Debe determinarse, en suma, si la aplicación de la norma sancionadora ha sido irrazonable, bien porque, en el ámbito de juicio interpretativo, se haya desbordado el límite del sentido literal posible del precepto, bien porque, con ocasión del juicio de subsunción, no se hayan respetado los criterios metodológicos comúnmente reconocidos o los parámetros axiológicos que derivan de nuestro ordenamiento constitucional.</w:t>
      </w:r>
    </w:p>
    <w:p w:rsidR="00A90898" w:rsidRDefault="00A90898" w:rsidP="00A90898">
      <w:pPr>
        <w:pStyle w:val="TextoNormal"/>
      </w:pPr>
    </w:p>
    <w:p w:rsidR="00A90898" w:rsidRDefault="00A90898" w:rsidP="00A90898">
      <w:pPr>
        <w:pStyle w:val="TextoNormal"/>
      </w:pPr>
      <w:r w:rsidRPr="00A90898">
        <w:rPr>
          <w:rStyle w:val="NumeroAFNegritaCaracter"/>
        </w:rPr>
        <w:t>8</w:t>
      </w:r>
      <w:r>
        <w:t>. Comenzando nuestro análisis por la interpretación del alcance del precepto sancionador a la vista de su tenor literal posible, puede comprobarse que las resoluciones impugnadas parten, como reconoce el Abogado del Estado en sus alegaciones, de una interpretación “material” de los preceptos en juego, según la cual la dicción literal del art. 47 a) del Real Decreto 1687/1987 puede ser entendida, no como la necesidad de que exista “un requerimiento previo o intimación formal dirigido o expedido por el órgano administrativo competente al sujeto pasivo”, sino como “exigencia que la norma impone en el momento de efectuar el pago el habilitado a su mandante”.</w:t>
      </w:r>
    </w:p>
    <w:p w:rsidR="00A90898" w:rsidRDefault="00A90898" w:rsidP="00A90898">
      <w:pPr>
        <w:pStyle w:val="TextoNormal"/>
      </w:pPr>
    </w:p>
    <w:p w:rsidR="00A90898" w:rsidRDefault="00A90898" w:rsidP="00A90898">
      <w:pPr>
        <w:pStyle w:val="TextoNormal"/>
      </w:pPr>
      <w:r>
        <w:t>La mera lectura del precepto sancionador [art. 47 a) del Real Decreto 1678/1987] pone de relieve, sin embargo, que la conducta que en él se contempla tiene dos elementos objetivos: (i) la existencia de una comunicación antecedente, realizada por la Administración al interesado para exigirle una determinada colaboración activa (de la que el propio precepto ejemplifica el supuesto de facilitar información sobre los mandantes) y (ii) el incumplimiento subsiguiente, por parte del habilitado, de aquello que la Administración le ha exigido previamente. Estamos, por ello, tanto en la estructura como en la semántica del precepto (que incluye, como verbos rectores, “requerir” y “colaborar”), ante la formulación característica de un tipo de incumplimiento que se consuma, necesariamente, en el seno de una relación bilateral entablada, de forma concreta, entre la Administración actuante y el sujeto obligado a obedecer el mandato singular que ésta le dirige. Así resulta, a todas luces, tanto de la exigencia típica de requerimiento previo, que el precepto establece con claridad meridiana, como del hecho de que la conducta sancionable se concrete, con idéntica evidencia, en la omisión de la colaboración requerida y no en el incumplimiento genérico de un deber directamente dimanante de la ley.</w:t>
      </w:r>
    </w:p>
    <w:p w:rsidR="00A90898" w:rsidRDefault="00A90898" w:rsidP="00A90898">
      <w:pPr>
        <w:pStyle w:val="TextoNormal"/>
      </w:pPr>
    </w:p>
    <w:p w:rsidR="00A90898" w:rsidRDefault="00A90898" w:rsidP="00A90898">
      <w:pPr>
        <w:pStyle w:val="TextoNormal"/>
      </w:pPr>
      <w:r>
        <w:t xml:space="preserve">Puede, pues, descartarse, frente a lo alegado por el Abogado del Estado, que estemos ante un tipo (abierto) de incumplimiento de deberes normativamente establecidos en la gestión de los haberes de las clases pasivas, en el que el deber de colaborar del habilitado pueda ser inmediatamente completado por cualquier norma de la que derive una obligación de </w:t>
      </w:r>
      <w:r>
        <w:lastRenderedPageBreak/>
        <w:t>comportamiento. Un tipo de esas características, que se refiriese con carácter general al incumplimiento de tales deberes, podría, en efecto, ser complementado con la concreta y precisa formulación, en otras normas distintas, de cada una de las obligaciones que pesan sobre el profesional actuante. Sin embargo, la estructura y dicción del tipo no es, manifiestamente, esa, ya que en el mismo no se alude en ningún momento, ni siquiera de forma genérica, al incumplimiento directo de los deberes normativamente impuestos al habilitado —entre ellos, el desglose de las transferencias— sino a la falta de colaboración ante un requerimiento expreso previamente formulado por el ente administrativo. El sustrato típico que legitima la imposición de la sanción exige, pues, de forma nítida, esa relación específica entre la Administración y el habilitado.</w:t>
      </w:r>
    </w:p>
    <w:p w:rsidR="00A90898" w:rsidRDefault="00A90898" w:rsidP="00A90898">
      <w:pPr>
        <w:pStyle w:val="TextoNormal"/>
      </w:pPr>
    </w:p>
    <w:p w:rsidR="00A90898" w:rsidRDefault="00A90898" w:rsidP="00A90898">
      <w:pPr>
        <w:pStyle w:val="TextoNormal"/>
      </w:pPr>
      <w:r>
        <w:t>De este modo, la interpretación efectuada en las resoluciones impugnadas, que identifica el mero incumplimiento de un deber de conducta normativamente impuesto con una inobservancia concreta a un requerimiento de colaboración efectuado por el poder gubernativo, desborda, a todas luces, los límites estructurales y semánticos de la infracción seleccionada, que queda convertida, en vía aplicativa, en un tipo de alcance universal. Es patente, por ello, no sólo la lesión del art. 25.1 CE, sino también la necesidad objetiva de que este Tribunal declare expresamente, con ocasión de tal vulneración, la inadmisibilidad constitucional de esa concepción expansiva del tipo de incumplimiento como una suerte de cláusula sancionatoria general.</w:t>
      </w:r>
    </w:p>
    <w:p w:rsidR="00A90898" w:rsidRDefault="00A90898" w:rsidP="00A90898">
      <w:pPr>
        <w:pStyle w:val="TextoNormal"/>
      </w:pPr>
    </w:p>
    <w:p w:rsidR="00A90898" w:rsidRDefault="00A90898" w:rsidP="00A90898">
      <w:pPr>
        <w:pStyle w:val="TextoNormal"/>
      </w:pPr>
      <w:r w:rsidRPr="00A90898">
        <w:rPr>
          <w:rStyle w:val="NumeroAFNegritaCaracter"/>
        </w:rPr>
        <w:t>9</w:t>
      </w:r>
      <w:r>
        <w:t>. Lo hasta ahora señalado es suficiente para estimar el recurso interpuesto, ya que la Administración y el órgano judicial prescindieron, en su interpretación del sentido literal posible del precepto aplicado, de elementos típicos claramente exigidos por la norma. Esta circunstancia nos eximiría, en principio, de evaluar la corrección del juicio de subsunción, que, al no haber tenido en cuenta dichos elementos, no puede considerarse idóneo para aplicar aquella.</w:t>
      </w:r>
    </w:p>
    <w:p w:rsidR="00A90898" w:rsidRDefault="00A90898" w:rsidP="00A90898">
      <w:pPr>
        <w:pStyle w:val="TextoNormal"/>
      </w:pPr>
    </w:p>
    <w:p w:rsidR="00A90898" w:rsidRDefault="00A90898" w:rsidP="00A90898">
      <w:pPr>
        <w:pStyle w:val="TextoNormal"/>
      </w:pPr>
      <w:r>
        <w:t>Sin embargo, el Abogado del Estado plantea un argumento adicional para descartar la vulneración del derecho fundamental previsto en el art. 25.1 CE. En su opinión, aun aceptándose que el tipo sancionador exige un requerimiento concreto de colaboración, el examen del caso demuestra, a su juicio, que dicho requerimiento existió de facto, circunstancia que haría legítima, según razona, la subsunción de la conducta de la recurrente en el art. 47 a) del Real Decreto 1678/1987. Dicho de otro modo: el error en la comprensión interpretativa del alcance del tipo sancionador resultaría intrascendente ya que en el expediente figuraban elementos fácticos suficientemente acreditados que habrían permitido aplicar la norma sancionadora de acuerdo con sus estrictos términos.</w:t>
      </w:r>
    </w:p>
    <w:p w:rsidR="00A90898" w:rsidRDefault="00A90898" w:rsidP="00A90898">
      <w:pPr>
        <w:pStyle w:val="TextoNormal"/>
      </w:pPr>
    </w:p>
    <w:p w:rsidR="00A90898" w:rsidRDefault="00A90898" w:rsidP="00A90898">
      <w:pPr>
        <w:pStyle w:val="TextoNormal"/>
      </w:pPr>
      <w:r>
        <w:t xml:space="preserve">Considera, en ese sentido, el representante de la Administración que en la transferencia de la pensión que la Administración realizó al habilitado se contenía, implícito, el requerimiento concreto que resultó, después, incumplido. Adicionalmente, afirma el Abogado del Estado que la comunicación de 28 de junio de 2010 de la Dirección General de Costes de Personal y Pensiones Públicas en que se anunciaba una inspección concretamente referida a verificar el cumplimiento de la obligación de desglose, contenía una intimación o requerimiento, igualmente implícitas, de cumplimiento. Y también estima, finalmente, que podrían considerarse intimaciones formales, en este sentido, tanto el requerimiento a la habilitada de clases pasivas de “una muestra de 40 pensionistas de las nóminas de los meses de </w:t>
      </w:r>
      <w:r>
        <w:lastRenderedPageBreak/>
        <w:t>abril, mayo y junio de ese año 2010”, como el subsiguiente informe provisional desfavorable, efectuado el 18 de octubre de 2010 sobre la muestra analizada.</w:t>
      </w:r>
    </w:p>
    <w:p w:rsidR="00A90898" w:rsidRDefault="00A90898" w:rsidP="00A90898">
      <w:pPr>
        <w:pStyle w:val="TextoNormal"/>
      </w:pPr>
    </w:p>
    <w:p w:rsidR="00A90898" w:rsidRDefault="00A90898" w:rsidP="00A90898">
      <w:pPr>
        <w:pStyle w:val="TextoNormal"/>
      </w:pPr>
      <w:r>
        <w:t xml:space="preserve">Pues bien, cabe señalar, en primer lugar, que esta alegación del Abogado del Estado desborda claramente el objeto del presente recurso, que versa sobre las resoluciones administrativas y judiciales impugnadas, que no razonan, en ningún momento, que las comunicaciones administrativas aludidas por el representante procesal de la Administración constituyeran los requerimientos exigidos por el tipo sancionador aplicado. Al contrario, dichas resoluciones consideraron que tal requerimiento no era necesario y que bastaba un simple mandato legal para suplirlo. El Abogado del Estado reconstruye, pues, los fundamentos fácticos y jurídicos de la sanción en su día impuesta, reconstrucción </w:t>
      </w:r>
      <w:r w:rsidRPr="00A90898">
        <w:rPr>
          <w:i/>
        </w:rPr>
        <w:t>ex post facto</w:t>
      </w:r>
      <w:r>
        <w:t xml:space="preserve"> que, obviamente, resulta improcedente en esta sede.</w:t>
      </w:r>
    </w:p>
    <w:p w:rsidR="00A90898" w:rsidRDefault="00A90898" w:rsidP="00A90898">
      <w:pPr>
        <w:pStyle w:val="TextoNormal"/>
      </w:pPr>
    </w:p>
    <w:p w:rsidR="00A90898" w:rsidRDefault="00A90898" w:rsidP="00A90898">
      <w:pPr>
        <w:pStyle w:val="TextoNormal"/>
      </w:pPr>
      <w:r>
        <w:t>No obstante, cabe señalar, a mayor abundamiento, que la tesis del Abogado del Estado sobre la corrección (accidental) del juicio de subsunción tampoco cumple, en cualquier caso, con las mínimas exigencias de razonabilidad que derivan del art. 25.1 CE. En este sentido, es obvio que las comunicaciones efectuadas en el procedimiento de inspección fueron posteriores a la realización de la conducta que resultó sancionada. No pueden, por tanto, ser consideradas como requerimientos previos de colaboración sin forzar con ello, más allá de lo metodológicamente admisible, el juicio de subsunción en la norma, incurriendo en una quiebra lógica evidente. De otra parte, de todas estas comunicaciones, sólo la petición de información sobre la muestra de nóminas concretamente seleccionada constituyó un auténtico requerimiento de colaboración, susceptible de ser atendido, requerimiento que el propio Abogado del Estado reconoce en sus alegaciones que fue puntualmente cumplido por la recurrente de amparo y que, por ello, mal puede convertirse en el sustrato fáctico de una sanción por incumplimiento. Finalmente, el único acto de los señalados por el Abogado del Estado que antecede a la conducta sancionada, la transferencia a la habilitada del importe de la pensión de los mandantes, es una actuación puramente material de la que no puede inferirse, sin incurrir en irrazonabilidad manifiesta, la existencia de un requerimiento implícito.</w:t>
      </w:r>
    </w:p>
    <w:p w:rsidR="00A90898" w:rsidRDefault="00A90898" w:rsidP="00A90898">
      <w:pPr>
        <w:pStyle w:val="TextoNormal"/>
      </w:pPr>
    </w:p>
    <w:p w:rsidR="00A90898" w:rsidRDefault="00A90898" w:rsidP="00A90898">
      <w:pPr>
        <w:pStyle w:val="TextoNormal"/>
      </w:pPr>
      <w:r>
        <w:t xml:space="preserve">En suma, aun cuando los argumentos aportados —como se ha dicho, </w:t>
      </w:r>
      <w:r w:rsidRPr="00A90898">
        <w:rPr>
          <w:i/>
        </w:rPr>
        <w:t>a posteriori</w:t>
      </w:r>
      <w:r>
        <w:t xml:space="preserve"> y al margen de lo que razonan las resoluciones impugnadas— por el Abogado del Estado pudieran ser tomados en consideración, la conclusión no podría ser otra que la irrazonabilidad de la subsunción de la conducta en el tipo sancionador que le fue aplicado, con la consiguiente vulneración del derecho a la legalidad sancionadora del art. 25.1 CE.</w:t>
      </w:r>
    </w:p>
    <w:p w:rsidR="00A90898" w:rsidRDefault="00A90898" w:rsidP="00A90898">
      <w:pPr>
        <w:pStyle w:val="TextoNormal"/>
      </w:pPr>
    </w:p>
    <w:p w:rsidR="00A90898" w:rsidRDefault="00A90898" w:rsidP="00A90898">
      <w:pPr>
        <w:pStyle w:val="TextoNormal"/>
      </w:pPr>
      <w:r w:rsidRPr="00A90898">
        <w:rPr>
          <w:rStyle w:val="NumeroAFNegritaCaracter"/>
        </w:rPr>
        <w:t>10</w:t>
      </w:r>
      <w:r>
        <w:t>. Lo anteriormente expuesto debe conducir a la estimación del recurso de amparo y, con ello, a la declaración de nulidad de las resoluciones administrativas y judiciales impugnadas, que vulneraron el derecho fundamental de la demandante.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Estimar el recurso de amparo interpuesto por doña Teresa Hualde Juvera, y, en su virtud:</w:t>
      </w:r>
    </w:p>
    <w:p w:rsidR="00A90898" w:rsidRDefault="00A90898" w:rsidP="00A90898">
      <w:pPr>
        <w:pStyle w:val="TextoNormal"/>
      </w:pPr>
    </w:p>
    <w:p w:rsidR="00A90898" w:rsidRDefault="00A90898" w:rsidP="00A90898">
      <w:pPr>
        <w:pStyle w:val="TextoNormal"/>
      </w:pPr>
      <w:r>
        <w:t>1º Reconocer el derecho del recurrente a la legalidad sancionadora, reconocida en el art. 25 CE.</w:t>
      </w:r>
    </w:p>
    <w:p w:rsidR="00A90898" w:rsidRDefault="00A90898" w:rsidP="00A90898">
      <w:pPr>
        <w:pStyle w:val="TextoNormal"/>
      </w:pPr>
    </w:p>
    <w:p w:rsidR="00A90898" w:rsidRDefault="00A90898" w:rsidP="00A90898">
      <w:pPr>
        <w:pStyle w:val="TextoNormal"/>
      </w:pPr>
      <w:r>
        <w:t>2º Restablecer su derecho y, a tal fin, anular el Auto de 20 de noviembre de 2014 y la Sentencia del 27 de febrero de 2014 del Juzgado Central de lo Contencioso-Administrativo núm. 12, dictados en el procedimiento abreviado núm. 781-2012, así como la resolución de 13 de junio de 2011 de la Subdirectora General de Recursos, Reclamaciones y Relaciones con la Justicia del Ministerio de Economía y Hacienda, y la resolución de 8 de marzo de 2011 del Director General de Costes de Personal y Pensiones Públicas.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99" w:name="SENTENCIA_2016_220"/>
      <w:r>
        <w:lastRenderedPageBreak/>
        <w:t>SENTENCIA 220/2016, de 19 de diciembre de 2016</w:t>
      </w:r>
    </w:p>
    <w:bookmarkEnd w:id="99"/>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ECLI:ES:TC:2016:220</w:t>
      </w:r>
    </w:p>
    <w:p w:rsidR="00A90898" w:rsidRDefault="00A90898" w:rsidP="00A90898">
      <w:pPr>
        <w:pStyle w:val="TextoNormalCentrado"/>
      </w:pPr>
    </w:p>
    <w:p w:rsidR="00A90898" w:rsidRDefault="00A90898" w:rsidP="00A90898">
      <w:pPr>
        <w:pStyle w:val="SntesisDescriptiva"/>
      </w:pPr>
      <w:r>
        <w:t>Recurso de amparo 7463-2014. Promovido por don Juan José Martín Moreno en relación con la resolución sancionadora del Ministerio de Economía y Hacienda y la Sentencia del Juzgado Central de lo Contencioso-Administrativo núm. 12, desestimatoria del recurso interpuesto frente a aquella.</w:t>
      </w:r>
    </w:p>
    <w:p w:rsidR="00A90898" w:rsidRDefault="00A90898" w:rsidP="00A90898">
      <w:pPr>
        <w:pStyle w:val="SntesisDescriptiva"/>
      </w:pPr>
    </w:p>
    <w:p w:rsidR="00A90898" w:rsidRDefault="00A90898" w:rsidP="00A90898">
      <w:pPr>
        <w:pStyle w:val="SntesisAnaltica"/>
      </w:pPr>
      <w:r>
        <w:t>Vulneración del derecho a la legalidad sancionadora: sanción administrativa resultante de una irrazonable subsunción de la conducta del habilitado de clases pasivas en el tipo aplicado.</w:t>
      </w:r>
    </w:p>
    <w:p w:rsidR="00A90898" w:rsidRDefault="00A90898" w:rsidP="00A90898">
      <w:pPr>
        <w:pStyle w:val="SntesisAnaltica"/>
      </w:pPr>
    </w:p>
    <w:p w:rsidR="00A90898" w:rsidRDefault="00A90898" w:rsidP="00A90898">
      <w:pPr>
        <w:pStyle w:val="Extracto"/>
      </w:pPr>
      <w:r>
        <w:t>1.</w:t>
      </w:r>
      <w:r>
        <w:tab/>
        <w:t>Se estima el recurso interpuesto pues la Administración y el órgano judicial prescindieron, en su interpretación del sentido literal posible del precepto aplicado, de elementos típicos claramente exigidos por la norma [FJ 9].</w:t>
      </w:r>
    </w:p>
    <w:p w:rsidR="00A90898" w:rsidRDefault="00A90898" w:rsidP="00A90898">
      <w:pPr>
        <w:pStyle w:val="Extracto"/>
      </w:pPr>
    </w:p>
    <w:p w:rsidR="00A90898" w:rsidRDefault="00A90898" w:rsidP="00A90898">
      <w:pPr>
        <w:pStyle w:val="Extracto"/>
      </w:pPr>
      <w:r>
        <w:t>2.</w:t>
      </w:r>
      <w:r>
        <w:tab/>
        <w:t>No se alude en ningún momento, ni siquiera de forma genérica, al incumplimiento directo de los deberes normativamente impuestos al habilitado, sino a la falta de colaboración ante un requerimiento expreso previamente formulado por el ente administrativo. El sustrato típico que legitima la imposición de la sanción exige de forma nítida, esa relación específica entre la Administración y el habilitado [FJ 8].</w:t>
      </w:r>
    </w:p>
    <w:p w:rsidR="00A90898" w:rsidRDefault="00A90898" w:rsidP="00A90898">
      <w:pPr>
        <w:pStyle w:val="Extracto"/>
      </w:pPr>
    </w:p>
    <w:p w:rsidR="00A90898" w:rsidRDefault="00A90898" w:rsidP="00A90898">
      <w:pPr>
        <w:pStyle w:val="Extracto"/>
      </w:pPr>
      <w:r>
        <w:t>3.</w:t>
      </w:r>
      <w:r>
        <w:tab/>
        <w:t>La interpretación efectuada de las resoluciones impugnadas, que identifica el mero incumplimiento de un deber de conducta normativamente impuesto con una inobservancia concreta a un requerimiento de colaboración efectuado por el poder gubernativo, desborda, a todas luces, a los límites estructurales y semánticos de la infracción seleccionada, que queda convertida, en vía aplicativa, en un tipo de alcance universal [FJ 8].</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7463-2014, promovido por don Juan José Martín Moreno, representado por la Procuradora de los Tribunales doña María Luisa Maestre Gómez y asistido por el Abogado don Miguel Jesús Sánchez Iniesta, contra el Auto de 20 de noviembre </w:t>
      </w:r>
      <w:r>
        <w:lastRenderedPageBreak/>
        <w:t>de 2014 del Juzgado Central de lo Contencioso-Administrativo núm. 12, desestimatorio del incidente de nulidad de actuaciones promovido contra la Sentencia del 31 de enero de 2014, dictada en el procedimiento abreviado núm. 331-2012, desestimatoria del recurso contencioso-administrativo presentado contra la resolución de 1 de junio de 2011 de la Subdirectora General de Recursos, Reclamaciones y Relaciones con la Justicia del Ministerio de Economía y Hacienda, ésta a su vez desestimatoria del recurso de alzada formalizado contra la resolución de 29 de marzo de 2011 del Director General de Costes de Personal y Pensiones Públicas, que impuso al demandante una sanción de 9.060 euros según lo establecido en la disposición final primera 3.1, letra a) de la Ley 21/1986 y en los artículos 47 y 49.3 del Real Decreto 1678/1987. Ha sido parte el Abogado del Estado, en la representación que ostenta, y ha intervenido el Ministerio Fiscal.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día 10 de diciembre de 2014, la Procuradora de los Tribunales doña María Luisa Maestre Gómez, en nombre y representación de don Juan José Martín Moreno, interpuso recurso de amparo contra las resoluciones judiciales y administrativas que se citan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los que se funda el presente proceso constitucional son, sucintamente expuestos, los siguientes:</w:t>
      </w:r>
    </w:p>
    <w:p w:rsidR="00A90898" w:rsidRDefault="00A90898" w:rsidP="00A90898">
      <w:pPr>
        <w:pStyle w:val="TextoNormal"/>
      </w:pPr>
    </w:p>
    <w:p w:rsidR="00A90898" w:rsidRDefault="00A90898" w:rsidP="00A90898">
      <w:pPr>
        <w:pStyle w:val="TextoNormal"/>
      </w:pPr>
      <w:r>
        <w:t>a) En fecha 28 de junio de 2010, el Servicio de Inspección de Habilitados de la Dirección General de Costes de Personal y Pensiones Públicas del Ministerio de Economía y Hacienda comunicó al demandante de amparo que, como habilitado de clases pasivas, sería sometido a inspección a efectos de verificar el cumplimiento de la obligación contenida en la disposición final primera del Real Decreto 193/2010, sobre sistemas de pago en haberes de clases pasivas. Dicha norma, bajo la rúbrica “desglose de transferencias”, obliga al habilitado a transferir íntegramente a sus mandantes el importe recibido de la Administración en concepto de pensión, de modo que las “comisiones, gastos de gestión o impuestos derivados del ejercicio de la actividad profesional” que el habilitado deba repercutir a su mandante sean cobrados “de forma separada”.</w:t>
      </w:r>
    </w:p>
    <w:p w:rsidR="00A90898" w:rsidRDefault="00A90898" w:rsidP="00A90898">
      <w:pPr>
        <w:pStyle w:val="TextoNormal"/>
      </w:pPr>
    </w:p>
    <w:p w:rsidR="00A90898" w:rsidRDefault="00A90898" w:rsidP="00A90898">
      <w:pPr>
        <w:pStyle w:val="TextoNormal"/>
      </w:pPr>
      <w:r>
        <w:t>b) La inspección fue realizada, sobre una muestra de veinte pensionistas, en relación con las nóminas de los meses de abril, mayo y junio de 2010. En el curso de la misma, el servicio de inspección comprobó que, en los tres meses citados, el abono de las pensiones de los mandantes incluidos en el muestreo se había efectuado con aplicación simultánea de deducciones derivadas de la actividad profesional del recurrente de amparo. Por esta razón, en fecha 26 de noviembre de 2010, el servicio emitió informe definitivo de inspección desfavorable que dio lugar a que la Dirección General acordara, en fecha 30 de noviembre de 2010, la iniciación de un expediente sancionador contra el actor.</w:t>
      </w:r>
    </w:p>
    <w:p w:rsidR="00A90898" w:rsidRDefault="00A90898" w:rsidP="00A90898">
      <w:pPr>
        <w:pStyle w:val="TextoNormal"/>
      </w:pPr>
    </w:p>
    <w:p w:rsidR="00A90898" w:rsidRDefault="00A90898" w:rsidP="00A90898">
      <w:pPr>
        <w:pStyle w:val="TextoNormal"/>
      </w:pPr>
      <w:r>
        <w:t xml:space="preserve">c) En el seno del expediente sancionador incoado, el órgano instructor formuló, en fecha 25 de enero de 2011, una propuesta de resolución en la que, considerando probado que el recurrente de amparo había incumplido la obligación de abonar a sus mandantes el importe íntegro de su pensión “sin practicar deducción alguna”, consideró aplicable la infracción </w:t>
      </w:r>
      <w:r>
        <w:lastRenderedPageBreak/>
        <w:t>prevista en el art. 47 a) del Real Decreto 1678/1987. Dicha norma prevé como conducta sancionable el “incumplimiento concreto” por parte del habilitado de su deber de “prestar los datos e informaciones que le sean requeridos por la Administración respecto de sus mandantes y colaborar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d) Ante la referida propuesta, el ahora demandante de amparo formuló alegaciones el 16 de febrero de 2011 poniendo de manifiesto, como alegación sexta, la falta de tipicidad de la conducta, pues, según razonaba, el deber de colaborar a que alude el artículo 47 a) “debe entenderse … necesariamente vinculado o subordinado al deber de informar sobre los mandantes … bajo la fórmula de requerimiento previo … pues de su redacción no podría desprenderse una suerte de deber genérico de colaborar con los fines de interés público en materia de clases pasivas, desvinculado del de informar, sin riesgo de caer en un vaciamiento del principio de tipicidad”. Por ello, la sanción impuesta con base a dicho precepto incumplía, según afirmaba el recurrente con cita de la doctrina general del Tribunal Constitucional y de la jurisprudencia de la Sala de lo Contencioso-Administrativo del Tribunal Supremo, las exigencias de certeza (</w:t>
      </w:r>
      <w:r w:rsidRPr="00A90898">
        <w:rPr>
          <w:i/>
        </w:rPr>
        <w:t>lex certa</w:t>
      </w:r>
      <w:r>
        <w:t>) derivadas del derecho a la legalidad sancionadora previsto en el art. 25.1 CE.</w:t>
      </w:r>
    </w:p>
    <w:p w:rsidR="00A90898" w:rsidRDefault="00A90898" w:rsidP="00A90898">
      <w:pPr>
        <w:pStyle w:val="TextoNormal"/>
      </w:pPr>
    </w:p>
    <w:p w:rsidR="00A90898" w:rsidRDefault="00A90898" w:rsidP="00A90898">
      <w:pPr>
        <w:pStyle w:val="TextoNormal"/>
      </w:pPr>
      <w:r>
        <w:t>e) Mediante resolución de 29 de marzo de 2011, el Director General de Costes de Personal y Pensiones Públicas declaró al recurrente de amparo responsable de “una conducta administrativamente sancionable, al incumplir la obligación de colaborar en el sentido requerido por la Administración en relación con los fines de interés público en materia de Clases Pasivas, tipificada como falta grave, según lo establecido en la disposición final primera.3.1, letra a), de la Ley 21/1986 y en el artículo 47 y 49.3 del Real Decreto 1678/1987”, imponiéndole en consecuencia “la sanción de multa por importe de 9.060 euros, de acuerdo con lo previsto en el art. 49.3 del Real Decreto 1678/1987”. Según razona la resolución, aunque la infracción aplicada tiene carácter leve, en la instrucción del procedimiento “se ha apreciado la existencia de intencionalidad en el incumplimiento de la citada obligación”, ya que la misma irregularidad se detecta “en la totalidad de la muestra inspeccionada, 20 pensionistas, y en los tres meses analizados, lo que permite apreciar una conducta deliberada, voluntaria y reiterada”, razón por la que la infracción recibe la calificación de grave y se impone una multa de 151 € por cada pensionista (alcanzando el importe total de 9.060 €).</w:t>
      </w:r>
    </w:p>
    <w:p w:rsidR="00A90898" w:rsidRDefault="00A90898" w:rsidP="00A90898">
      <w:pPr>
        <w:pStyle w:val="TextoNormal"/>
      </w:pPr>
    </w:p>
    <w:p w:rsidR="00A90898" w:rsidRDefault="00A90898" w:rsidP="00A90898">
      <w:pPr>
        <w:pStyle w:val="TextoNormal"/>
      </w:pPr>
      <w:r>
        <w:t>En relación con las alegaciones del demandante de amparo sobre la falta de tipicidad de los hechos, la resolución considera que “el incumplimiento de la obligación de abonar a sus mandantes el importe íntegro de la pensión o pensiones de Clases Pasivas que le haya sido pagado por la Administración, sin practicar deducción alguna, supone, de hecho, incumplir una norma y, por tanto, la obligación de colaborar con la Administración en un fin de interés público en materia de Clases Pasivas, y, de derecho, es una conducta tipificada legalmente como antijurídica”. En este sentido, se afirma que “dado que con la nueva regulación se pretende proteger un interés público, que es el ciudadano perceptor de Clases Pasivas, el habilitado, incumpliendo esa norma de carácter imperativo y dotada de presunción de legalidad, está incurriendo en un incumplimiento de la obligación de ‘colaborar en el sentido que la Administración le requiera en relación con los fines de interés público en materia de Clases Pasivas’, recogido como conducta sancionable tanto en la ley 21/1986, como en el Real Decreto 1678/1987”.</w:t>
      </w:r>
    </w:p>
    <w:p w:rsidR="00A90898" w:rsidRDefault="00A90898" w:rsidP="00A90898">
      <w:pPr>
        <w:pStyle w:val="TextoNormal"/>
      </w:pPr>
    </w:p>
    <w:p w:rsidR="00A90898" w:rsidRDefault="00A90898" w:rsidP="00A90898">
      <w:pPr>
        <w:pStyle w:val="TextoNormal"/>
      </w:pPr>
      <w:r>
        <w:lastRenderedPageBreak/>
        <w:t>A mayor abundamiento, la resolución acaba señalando que “[s]i se atendiera a las alegaciones del habilitado, resultaría que el incumplimiento de una norma sobre cómo los habilitados deben abonar las prestaciones de Clases Pasivas quedaría impune por no estar expresamente tipificada. Sin embargo, no existe mayor obligación de colaborar con los fines de interés público en materia de Clases Pasivas que cumplir las normas que se dictan sobre esta materia”.</w:t>
      </w:r>
    </w:p>
    <w:p w:rsidR="00A90898" w:rsidRDefault="00A90898" w:rsidP="00A90898">
      <w:pPr>
        <w:pStyle w:val="TextoNormal"/>
      </w:pPr>
    </w:p>
    <w:p w:rsidR="00A90898" w:rsidRDefault="00A90898" w:rsidP="00A90898">
      <w:pPr>
        <w:pStyle w:val="TextoNormal"/>
      </w:pPr>
      <w:r>
        <w:t>f) El demandante de amparo interpuso el 11 de mayo de 2011 recurso de alzada frente a la resolución sancionadora, alegando nuevamente, entre otros motivos de queja, la falta de tipicidad de la conducta. Dicho recurso fue desestimado en resolución de 1 de junio de 2011 del Subdirector General de Recursos, Reclamaciones y Relaciones con la Justicia del Ministerio de Economía y Hacienda. En la misma se confirman los argumentos incluidos en la resolución impugnada, a los que se añade ahora que el Tribunal Constitucional ha señalado que la ley administrativa sancionadora puede utilizar “conceptos abiertos” y remitirse a “normas de rango inferior para una ulterior concreción”. Se alude específicamente, como ejemplo significativo de ello, a que el Tribunal Supremo ha avalado “la sanción impuesta por el Ministerio de Justicia a un notario por una infracción tipificada en el art. 348.4 del Reglamento Notarial como ‘competencia ilícita reiterada en cualquiera de sus formas’, sin describir éstas”. La resolución de alzada concluye, por ello, que “nos encontramos con un incumplimiento claro y reiterado de la obligación de colaborar con la Administración en un fin de interés público en materia de Clases Pasivas, cual es el desglose de las transferencias en los términos del Real Decreto 193/2010, por lo que se trata de un supuesto típico y antijurídico”.</w:t>
      </w:r>
    </w:p>
    <w:p w:rsidR="00A90898" w:rsidRDefault="00A90898" w:rsidP="00A90898">
      <w:pPr>
        <w:pStyle w:val="TextoNormal"/>
      </w:pPr>
    </w:p>
    <w:p w:rsidR="00A90898" w:rsidRDefault="00A90898" w:rsidP="00A90898">
      <w:pPr>
        <w:pStyle w:val="TextoNormal"/>
      </w:pPr>
      <w:r>
        <w:t>g) En fecha 29 de julio de 2011 tuvo entrada en el registro general del Tribunal Superior de Justicia de Madrid el recurso contencioso-administrativo interpuesto por el actor. Tras diversas vicisitudes derivadas de la aplicación de las normas de reparto, el asunto fue, finalmente, turnado a la Sección Décima de la Sala de lo Contencioso-Administrativo de dicho tribunal, que, en Auto de 9 de abril de 2012 inadmitió el recurso al considerarse objetivamente incompetente para conocer del mismo, remitiendo las actuaciones al Decanato de los Juzgados Centrales de lo Contencioso-Administrativo de la Audiencia Nacional.</w:t>
      </w:r>
    </w:p>
    <w:p w:rsidR="00A90898" w:rsidRDefault="00A90898" w:rsidP="00A90898">
      <w:pPr>
        <w:pStyle w:val="TextoNormal"/>
      </w:pPr>
    </w:p>
    <w:p w:rsidR="00A90898" w:rsidRDefault="00A90898" w:rsidP="00A90898">
      <w:pPr>
        <w:pStyle w:val="TextoNormal"/>
      </w:pPr>
      <w:r>
        <w:t>h) Turnado el asunto al Juzgado Central de lo Contencioso-Administrativo núm. 12 (en adelante, el Juzgado), el recurso interpuesto por el demandante fue admitido mediante decreto de 18 de enero de 2013 del letrado de la Administración de Justicia, dándosele la tramitación de procedimiento abreviado (PA 331-2012). En fecha 31 de enero de 2014, el Juzgado dictó Sentencia desestimatoria. En ella, el órgano judicial realiza una larga cita de los fundamentos de la Sentencia de la Sala de lo Contencioso-Administrativo del Tribunal Supremo de 16 de mayo de 2011, en la que se considera que el Decreto 193/2010 y, en particular, su regulación del llamado “desglose de transferencias” (disposición final primera) resultan conforme a Derecho. Una vez concluida la extensa reproducción literal del aludido pronunciamiento del alto tribunal, la Sentencia impugnada se limita a señalar que “[p]or todo lo expuesto se desestima la demanda contra esa resolución sancionadora pues de lo actuado en el procedimiento ha quedado evidenciada que la misma es conforme con los principios de legalidad, tipicidad y culpabilidad”.</w:t>
      </w:r>
    </w:p>
    <w:p w:rsidR="00A90898" w:rsidRDefault="00A90898" w:rsidP="00A90898">
      <w:pPr>
        <w:pStyle w:val="TextoNormal"/>
      </w:pPr>
    </w:p>
    <w:p w:rsidR="00A90898" w:rsidRDefault="00A90898" w:rsidP="00A90898">
      <w:pPr>
        <w:pStyle w:val="TextoNormal"/>
      </w:pPr>
      <w:r>
        <w:t xml:space="preserve">i) El demandante de amparo promovió incidente de nulidad de actuaciones entendiendo que la Sentencia dictada incurría en incongruencia omisiva por haberse limitado a resolver </w:t>
      </w:r>
      <w:r>
        <w:lastRenderedPageBreak/>
        <w:t>acerca de la correcta interpretación legal de la cláusula de “desglose de transferencias” de la disposición final primera del Decreto 193/2010, sin realizar, en cambio, ninguna consideración relativa a la tipicidad de la conducta sancionada al amparo del art. 47 a) del Real Decreto 1678/1987. Para el recurrente, la Sentencia “omitiendo cualquier manifestación al respecto, no tiene en consideración que en el ámbito del derecho sancionador, las exigencias de tipicidad, vinculadas a la legalidad, pero sobre todo a la seguridad jurídica, requieren máxima precisión en la determinación del tipo de infracción; algo que, como es obvio, no se da en este caso”. Asimismo, el actor denuncia en su escrito de interposición del incidente que “se ha producido una manifiesta infracción del principio de igualdad ante la ley, o ante una interpretación en la aplicación de la ley, como consecuencia de [que] la Sentencia impugnada haya confirmado una sanción en rotunda contradicción con lo resuelto al respecto, ante idénticas situaciones, por todos los Juzgados Centrales referidos, en una materia especialmente sensible a la disparidad de criterio como lo es la sancionadora”, realizándose la correspondiente cita de resoluciones dictadas por otros Juzgados Centrales de lo Contencioso-Administrativo.</w:t>
      </w:r>
    </w:p>
    <w:p w:rsidR="00A90898" w:rsidRDefault="00A90898" w:rsidP="00A90898">
      <w:pPr>
        <w:pStyle w:val="TextoNormal"/>
      </w:pPr>
    </w:p>
    <w:p w:rsidR="00A90898" w:rsidRDefault="00A90898" w:rsidP="00A90898">
      <w:pPr>
        <w:pStyle w:val="TextoNormal"/>
      </w:pPr>
      <w:r>
        <w:t>j) Mediante Auto de 20 de noviembre de 2014, el Juzgado desestimó la nulidad de actuaciones interesada afirmando, en relación con la incongruencia denunciada, que “la sentencia que resuelve el procedimiento abreviado 331-2012 se pronuncia sobre todos los elementos que pudieran constituir un vicio de nulidad de la resolución administrativa sancionadora considerando que la misma después de su estudio y análisis es conforme a los principios de legalidad, tipicidad y culpabilidad”. En relación con la vulneración del derecho a la igualdad en la aplicación de la ley el Juzgado añade que “[e]l hecho o circunstancia de que haya habido otros órganos jurisdiccionales que han dictado resoluciones distintas a la de la sentencia que resuelve este procedimiento abreviado no puede ser considerada como vicio que termine [</w:t>
      </w:r>
      <w:r w:rsidRPr="00A90898">
        <w:rPr>
          <w:i/>
        </w:rPr>
        <w:t>sic</w:t>
      </w:r>
      <w:r>
        <w:t>] la nulidad de la sentencia, pues este órgano jurisdiccional considera que lo jurídicamente correcto es lo que constituye el contenido de esta Sentencia, y que la dictada por esos otros órganos jurisdiccionales carece de eficacia jurídica vinculante para este Tribunal”.</w:t>
      </w:r>
    </w:p>
    <w:p w:rsidR="00A90898" w:rsidRDefault="00A90898" w:rsidP="00A90898">
      <w:pPr>
        <w:pStyle w:val="TextoNormal"/>
      </w:pPr>
    </w:p>
    <w:p w:rsidR="00A90898" w:rsidRDefault="00A90898" w:rsidP="00A90898">
      <w:pPr>
        <w:pStyle w:val="TextoNormal"/>
      </w:pPr>
      <w:r w:rsidRPr="00A90898">
        <w:rPr>
          <w:rStyle w:val="NumeroAFNegritaCaracter"/>
        </w:rPr>
        <w:t>3</w:t>
      </w:r>
      <w:r>
        <w:t>. En la demanda de amparo se consideran vulnerados los derechos a la igualdad en la aplicación de la ley (art. 14 CE) y a la legalidad sancionadora (art. 25.1 CE), de acuerdo con los siguientes argumentos:</w:t>
      </w:r>
    </w:p>
    <w:p w:rsidR="00A90898" w:rsidRDefault="00A90898" w:rsidP="00A90898">
      <w:pPr>
        <w:pStyle w:val="TextoNormal"/>
      </w:pPr>
    </w:p>
    <w:p w:rsidR="00A90898" w:rsidRDefault="00A90898" w:rsidP="00A90898">
      <w:pPr>
        <w:pStyle w:val="TextoNormal"/>
      </w:pPr>
      <w:r>
        <w:t xml:space="preserve">(i) En cuanto a la infracción del art. 14 CE, señala el recurrente que la Administración impuso numerosas sanciones, por idéntica infracción, a “otros habilitados por clases pasivas”, lo que dio lugar a una multitud de pronunciamientos judiciales, la mayoría de los cuales concluyeron con la revocación de la sanción impuesta. Así, en la demanda se citan varias resoluciones del resto de Juzgados Centrales de lo Contencioso-Administrativo (seis sentencias del Juzgado núm. 2, dos sentencias del Juzgado Central núm. 3, ocho del Juzgado núm. 4, cinco del Juzgado núm. 5, tres del Juzgado núm. 6, cinco del Juzgado núm. 9, cuatro del Juzgado núm. 10, y seis del Juzgado núm. 11). A estos pronunciamientos se suma la cita de varias Sentencias del Tribunal Superior de Justicia de Andalucía (Salas de Sevilla y Málaga) que habrían estimado idénticas pretensiones a las formuladas por el actor. Este afirma que todos los pronunciamientos citados “tienen su fundamento en la insuficiente tipificación de la infracción imputada, lo cual produce una manifiesta vulneración del derecho de igualdad en la aplicación de la ley, nada menos que en un ámbito como el sancionador, habida cuenta de que se produce un resultado judicial distinto en procesos idénticos”. La infracción </w:t>
      </w:r>
      <w:r>
        <w:lastRenderedPageBreak/>
        <w:t>del art. 14 CE radicaría, pues, en la “rotunda contradicción con lo resuelto al respecto, ante idénticas situaciones, por todos los Juzgados Centrales referidos y también señalados Tribunales Superiores de Justicia, en una materia especialmente sensible a la disparidad criterio, como es la sancionadora”.</w:t>
      </w:r>
    </w:p>
    <w:p w:rsidR="00A90898" w:rsidRDefault="00A90898" w:rsidP="00A90898">
      <w:pPr>
        <w:pStyle w:val="TextoNormal"/>
      </w:pPr>
    </w:p>
    <w:p w:rsidR="00A90898" w:rsidRDefault="00A90898" w:rsidP="00A90898">
      <w:pPr>
        <w:pStyle w:val="TextoNormal"/>
      </w:pPr>
      <w:r>
        <w:t xml:space="preserve">(ii) En cuanto a la infracción del art. 25.1 CE, el actor afirma que su conducta no era subsumible en la infracción regulada en el art. 47 del Real Decreto 1678/1987 en relación con disposición final primera del Real Decreto 193/2010. A su juicio, la resolución administrativa y la Sentencia impugnadas no tuvieron en consideración, al realizar la subsunción, “las exigencias de tipicidad, vinculadas a la legalidad, así como la seguridad jurídica”, que exigen “la máxima precisión en la determinación del tipo de infracción”. Según razona el demandante, el precepto permite sancionar a quienes “sean requeridos por la Administración”, por lo que existe una exigencia típica de “requerimiento previo” que no puede ser confundida con un “deber genérico de colaborar con los fines de interés público en materia de Clases Pasivas”. Otra conclusión llevaría, añade, a una ilegítima confusión de los conceptos de legalidad y tipicidad, siendo claro que la segunda “requiere algo más, que es la precisa definición de la conducta que la ley considera constitutiva de la infracción, y la igualmente precisa definición de la sanción que pueda imponerse”, todo ello como corolario de la exigencia constitucional de </w:t>
      </w:r>
      <w:r w:rsidRPr="00A90898">
        <w:rPr>
          <w:i/>
        </w:rPr>
        <w:t>lex certa</w:t>
      </w:r>
      <w:r>
        <w:t xml:space="preserve"> contenida en el art. 25.1 CE. En apoyo de esta tesis, el recurrente invoca nuevamente las numerosas Sentencias dictadas por otros Juzgados Centrales que llegan a la conclusión de que la conducta sancionada no tiene amparo en la norma aplicada.</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7 de junio de 2016, la Sección Tercera acordó admitir a trámite la demanda, y, en aplicación de lo dispuesto en el art. 51 de la Ley Orgánica del Tribunal Constitucional (LOTC), dirigir atenta comunicación al Juzgado Central de lo Contencioso-Administrativo núm. 12, para que remitiera certificación o copia adverada de las actuaciones correspondientes al procedimiento abreviado núm. 3311-12 y para que emplazara a quienes hubieran sido parte en el procedimiento, excepto a la parte recurrente en amparo, para que pudieran comparecer en el plazo de diez días.</w:t>
      </w:r>
    </w:p>
    <w:p w:rsidR="00A90898" w:rsidRDefault="00A90898" w:rsidP="00A90898">
      <w:pPr>
        <w:pStyle w:val="TextoNormal"/>
      </w:pPr>
    </w:p>
    <w:p w:rsidR="00A90898" w:rsidRDefault="00A90898" w:rsidP="00A90898">
      <w:pPr>
        <w:pStyle w:val="TextoNormal"/>
      </w:pPr>
      <w:r>
        <w:t>La aludida providencia aclara que el recurso de amparo “ofrece especial trascendencia constitucional (art. 50.1 LOTC)” porque “la doctrina del Tribunal Constitucional sobre el derecho fundamental que se alega podría estar siendo incumplida de modo general y reiterado por la jurisdicción ordinaria o pudieran existir resoluciones judiciales contradictorias sobre el derecho fundamental [STC 155/2009, FJ 2 e)]” y porque “el asunto suscitado trasciende del caso concreto porque plantea una cuestión jurídica de relevante y general repercusión social o económica [STC 155/2009, FJ 2 f)]”.</w:t>
      </w:r>
    </w:p>
    <w:p w:rsidR="00A90898" w:rsidRDefault="00A90898" w:rsidP="00A90898">
      <w:pPr>
        <w:pStyle w:val="TextoNormal"/>
      </w:pPr>
    </w:p>
    <w:p w:rsidR="00A90898" w:rsidRDefault="00A90898" w:rsidP="00A90898">
      <w:pPr>
        <w:pStyle w:val="TextoNormal"/>
      </w:pPr>
      <w:r w:rsidRPr="00A90898">
        <w:rPr>
          <w:rStyle w:val="NumeroAFNegritaCaracter"/>
        </w:rPr>
        <w:t>5</w:t>
      </w:r>
      <w:r>
        <w:t>. Una vez recibidos los testimonios solicitados y cumplimentados los emplazamientos requeridos, la Sala Segunda, por diligencia de ordenación de su Secretaría de Justicia de fecha 1 de septiembre de 2016, tuvo por comparecido al Abogado del Estado, tal y como éste había solicitado en escrito registrado en este Tribunal el 21 de junio de 2016, y acordó dar vista de las actuaciones a las partes personadas y al Ministerio Fiscal, por plazo común de veinte días, para que formularan las alegaciones que estimaran pertinentes, conforme determina el art. 52.1 LOTC.</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El 26 de septiembre de 2016 fue registrado en este Tribunal el escrito de alegaciones del actor, en el que se reproducen, sintéticamente, las manifestaciones ya efectuadas en la demanda, si bien añade que la lesión del art. 25.1 CE va ligada también a una lesión concomitante del art. 24.1 CE, ya que la resolución judicial es irrazonable y arbitraria.</w:t>
      </w:r>
    </w:p>
    <w:p w:rsidR="00A90898" w:rsidRDefault="00A90898" w:rsidP="00A90898">
      <w:pPr>
        <w:pStyle w:val="TextoNormal"/>
      </w:pPr>
    </w:p>
    <w:p w:rsidR="00A90898" w:rsidRDefault="00A90898" w:rsidP="00A90898">
      <w:pPr>
        <w:pStyle w:val="TextoNormal"/>
      </w:pPr>
      <w:r w:rsidRPr="00A90898">
        <w:rPr>
          <w:rStyle w:val="NumeroAFNegritaCaracter"/>
        </w:rPr>
        <w:t>7</w:t>
      </w:r>
      <w:r>
        <w:t>. En fecha 30 de septiembre de 2016 fueron registradas en este Tribunal las alegaciones formuladas por el Abogado del Estado, que interesa la desestimación del recurso de amparo. Para el representante de la Administración, ni el derecho a la igualdad en la aplicación de la ley (I) ni el derecho a la legalidad penal (II) han resultado vulnerados.</w:t>
      </w:r>
    </w:p>
    <w:p w:rsidR="00A90898" w:rsidRDefault="00A90898" w:rsidP="00A90898">
      <w:pPr>
        <w:pStyle w:val="TextoNormal"/>
      </w:pPr>
    </w:p>
    <w:p w:rsidR="00A90898" w:rsidRDefault="00A90898" w:rsidP="00A90898">
      <w:pPr>
        <w:pStyle w:val="TextoNormal"/>
      </w:pPr>
      <w:r>
        <w:t>I) En cuanto al derecho a la igualdad en la aplicación de la ley, el Abogado del Estado afirma que no se dan los requisitos necesarios para apreciar su vulneración, pues, siendo cierto que hay una “diferencia de criterio judicial” entre la Sentencia impugnada y las que el actor aporta como contraste, la realidad es, no obstante, que esa diferencia es “constitucionalmente legítima” pues “las resoluciones judiciales invocadas por la parte recurrente no emanan, ninguna, del mismo órgano jurisdiccional que ha dictado ahora la Sentencia objeto de impugnación y el Auto desestimatorio del incidente de nulidad de actuaciones”. No se cumple, por tanto, con un requisito esencial fijado en la doctrina del Tribunal Constitucional.</w:t>
      </w:r>
    </w:p>
    <w:p w:rsidR="00A90898" w:rsidRDefault="00A90898" w:rsidP="00A90898">
      <w:pPr>
        <w:pStyle w:val="TextoNormal"/>
      </w:pPr>
    </w:p>
    <w:p w:rsidR="00A90898" w:rsidRDefault="00A90898" w:rsidP="00A90898">
      <w:pPr>
        <w:pStyle w:val="TextoNormal"/>
      </w:pPr>
      <w:r>
        <w:t xml:space="preserve">II) En relación con la violación del art. 25.1 CE, el Abogado del Estado, tras extenderse sobre el contexto normativo en el que se insertan las normas aplicadas en el caso que nos ocupa, afirma que la exigencia constitucional de </w:t>
      </w:r>
      <w:r w:rsidRPr="00A90898">
        <w:rPr>
          <w:i/>
        </w:rPr>
        <w:t>lex certa</w:t>
      </w:r>
      <w:r>
        <w:t>, que deriva del art. 25.1 CE, es, de acuerdo con la doctrina del Tribunal Constitucional, una exigencia de predeterminación normativa de la conducta punible que no impide la utilización de conceptos jurídicos indeterminados siempre que su concreción sea razonablemente factible en virtud de criterios lógicos, técnicos o de experiencia que permitan prever, con suficiente seguridad, la naturaleza y características de la conducta constitutiva de la infracción tipificada (STC 69/1989, de 20 de abril, FJ 1). Siendo suficiente una “predeterminación inteligible” de la infracción y la sanción para que se cumpla con la garantía aludida, “lo trascendente a la hora de determinar si el incumplimiento de la obligación contenida en la disposición final primera del Real Decreto 193/2010 constituye una conducta sancionable pasa por determinar qué debe, o qué puede entenderse claramente por colaborar por parte del habilitado con la Administración,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Con este presupuesto, el Abogado del Estado entiende que la conducta sancionada podía incardinarse en el tipo del art. 47 a) del Real Decreto 1678/1987 sin merma del derecho a la legalidad sancionadora por las siguientes razones:</w:t>
      </w:r>
    </w:p>
    <w:p w:rsidR="00A90898" w:rsidRDefault="00A90898" w:rsidP="00A90898">
      <w:pPr>
        <w:pStyle w:val="TextoNormal"/>
      </w:pPr>
    </w:p>
    <w:p w:rsidR="00A90898" w:rsidRDefault="00A90898" w:rsidP="00A90898">
      <w:pPr>
        <w:pStyle w:val="TextoNormal"/>
      </w:pPr>
      <w:r>
        <w:t>(i) Porque la dicción legal “colaborar en el sentido en que esta (la Administración) le requiera” es susceptible de ser interpretada “en sentido material”, esto es, no como la necesidad de que exista “un requerimiento previo o intimación formal dirigido o expedido por el órgano administrativo competente al sujeto pasivo” sino como “exigencia que la norma impone en el momento de efectuar el pago el habilitado a su mandante”.</w:t>
      </w:r>
    </w:p>
    <w:p w:rsidR="00A90898" w:rsidRDefault="00A90898" w:rsidP="00A90898">
      <w:pPr>
        <w:pStyle w:val="TextoNormal"/>
      </w:pPr>
    </w:p>
    <w:p w:rsidR="00A90898" w:rsidRDefault="00A90898" w:rsidP="00A90898">
      <w:pPr>
        <w:pStyle w:val="TextoNormal"/>
      </w:pPr>
      <w:r>
        <w:t xml:space="preserve">(ii) Porque, aun cuando se interprete que dicho requerimiento previo es exigido en el tipo, tal intimación formal ha de considerarse implícita en la transferencia de la pensión que </w:t>
      </w:r>
      <w:r>
        <w:lastRenderedPageBreak/>
        <w:t>la Administración realiza al habilitado. Según afirma “la Administración, al efectuar el pago o la transferencia al habilitado del importe de la pensión, creemos que contiene, al menos implícito, el mandato (implícito en la orden de pago en sí, explícito en la norma directamente aplicable desde el 1 de abril de 2010 y que el habilitado sin duda conoce) en el sentido de que aquella le requiere, y le efectúa el pago, se lo libra para que el habilitado receptor de las cantidades correspondientes, actúa a su vez de conformidad con lo dispuesto en la ley, es decir, conforme con la regulación, los requisitos, que la ley establece, entre ellos el de no practicar retención o deducción alguna”.</w:t>
      </w:r>
    </w:p>
    <w:p w:rsidR="00A90898" w:rsidRDefault="00A90898" w:rsidP="00A90898">
      <w:pPr>
        <w:pStyle w:val="TextoNormal"/>
      </w:pPr>
    </w:p>
    <w:p w:rsidR="00A90898" w:rsidRDefault="00A90898" w:rsidP="00A90898">
      <w:pPr>
        <w:pStyle w:val="TextoNormal"/>
      </w:pPr>
      <w:r>
        <w:t>(iii) Porque, además, y en cualquier caso, hubo, según afirma el Abogado del Estado, requerimiento formales de la Administración al recurrente de amparo, teniendo tal consideración, a su juicio, la comunicación de 28 de junio de 2010 de la Dirección General de Costes de Personal y Pensiones Públicas en que se anunciaba una inspección concretamente referida a verificar el cumplimiento de la obligación de desglose. Considera, así, que, a través de esta actuación, “la Administración comunica al habilitado recurrente, la apertura de una inspección a los efectos de comprobar lo dispuesto en esa norma”, lo que supone, según afirma, una intimación o requerimiento a que la cumpla. También podrían considerarse intimaciones formales, en la misma línea, el requerimiento al habilitado de clases pasivas de “una muestra de 20 pensionistas de las nóminas de los meses de abril, mayo y junio de ese año 2010”, documentación “que fue remitida por el interesado en el plazo otorgado”, así como el subsiguiente informe provisional desfavorable, efectuado el 14 de octubre de 2010 sobre la muestra analizada. Todas estas “primera comunicaciones” de la Administración con el habilitado “pueden calificarse administrativamente, a juicio de esta Abogacía del Estado, como efectivos requerimientos de actuación, de actos de instrucción, es decir, para presentación o facilitación de datos e informaciones requeridos por la Administración respecto de sus mandantes”.</w:t>
      </w:r>
    </w:p>
    <w:p w:rsidR="00A90898" w:rsidRDefault="00A90898" w:rsidP="00A90898">
      <w:pPr>
        <w:pStyle w:val="TextoNormal"/>
      </w:pPr>
    </w:p>
    <w:p w:rsidR="00A90898" w:rsidRDefault="00A90898" w:rsidP="00A90898">
      <w:pPr>
        <w:pStyle w:val="TextoNormal"/>
      </w:pPr>
      <w:r>
        <w:t>Por todo ello, el Abogado del Estado concluye que tampoco el derecho a la legalidad en materia sancionadora ha resultado conculcado.</w:t>
      </w:r>
    </w:p>
    <w:p w:rsidR="00A90898" w:rsidRDefault="00A90898" w:rsidP="00A90898">
      <w:pPr>
        <w:pStyle w:val="TextoNormal"/>
      </w:pPr>
    </w:p>
    <w:p w:rsidR="00A90898" w:rsidRDefault="00A90898" w:rsidP="00A90898">
      <w:pPr>
        <w:pStyle w:val="TextoNormal"/>
      </w:pPr>
      <w:r w:rsidRPr="00A90898">
        <w:rPr>
          <w:rStyle w:val="NumeroAFNegritaCaracter"/>
        </w:rPr>
        <w:t>8</w:t>
      </w:r>
      <w:r>
        <w:t>. En fecha 25 de octubre de 2016 se registró en este Tribunal el escrito de alegaciones del Ministerio Fiscal, en el que se interesa la estimación del recurso de amparo por vulneración del derecho del recurrente a la legalidad en materia sancionadora (art. 25.1 CE).</w:t>
      </w:r>
    </w:p>
    <w:p w:rsidR="00A90898" w:rsidRDefault="00A90898" w:rsidP="00A90898">
      <w:pPr>
        <w:pStyle w:val="TextoNormal"/>
      </w:pPr>
    </w:p>
    <w:p w:rsidR="00A90898" w:rsidRDefault="00A90898" w:rsidP="00A90898">
      <w:pPr>
        <w:pStyle w:val="TextoNormal"/>
      </w:pPr>
      <w:r>
        <w:t xml:space="preserve">Señala, en primer lugar, el Ministerio Fiscal que la pretendida vulneración del derecho a la igualdad en la aplicación de la ley (art. 14 CE) encubre una alegación materialmente referida a la violación del derecho a la tutela judicial efectiva (art. 24.1 CE). Según razona, el recurrente de amparo no denuncia que el órgano judicial haya resuelto de manera contradictoria con otras resoluciones propias sino que plantea una pura discrepancia de criterio hermenéutico con Sentencias dictadas por órganos jurisdiccionales distintos, lo que es ajeno al ámbito normativo del art. 14 CE. Entiende, por ello, que la cita de las resoluciones contradictorias no tiene más virtualidad que la de atacar, desde el plano propio del art. 24.1 CE, la razonabilidad de la interpretación del tipo sancionador seguida por el órgano actuante. Semejante vulneración del art. 24.1 CE —que no del art. 14 CE— carecería, no obstante, según añade el Fiscal, “de sustantividad propia”, pues “se formula en apoyo de la vulneración del principio de legalidad del art. 25.1 CE por falta de tipicidad de la conducta sancionada”. Concluye, por todo ello, el Ministerio Fiscal que la vulneración que se denuncia es, </w:t>
      </w:r>
      <w:r>
        <w:lastRenderedPageBreak/>
        <w:t>en realidad, única, pues “[e]l eje central argumentativo de la pretensión deducida en la demanda de amparo se refiere a la falta de tipicidad de la conducta del recurrente de amparo, como pretende acreditar con las sentencias de otros órganos judiciales que consideraron en supuestos iguales la vulneración del principio de tipicidad, esto es, la vulneración del principio de legalidad del art. 25.1 CE”.</w:t>
      </w:r>
    </w:p>
    <w:p w:rsidR="00A90898" w:rsidRDefault="00A90898" w:rsidP="00A90898">
      <w:pPr>
        <w:pStyle w:val="TextoNormal"/>
      </w:pPr>
    </w:p>
    <w:p w:rsidR="00A90898" w:rsidRDefault="00A90898" w:rsidP="00A90898">
      <w:pPr>
        <w:pStyle w:val="TextoNormal"/>
      </w:pPr>
      <w:r>
        <w:t>Circunscribiendo, pues, sus alegaciones a la posible violación del derecho a la legalidad penal, el Fiscal ante el Tribunal Constitucional estima que la posible lesión de dicho derecho se localiza, en el caso planteado, “en la aplicación del tipo sancionador a un supuesto de hecho manifiestamente ajeno al sentido de los elementos que integran aquél”, manifestando al respecto que “la simple lectura de los preceptos sancionadores aplicados por la Administración … permite advertir un supuesto de hecho en que el habilitado de clases pasivas no habría realizado la conducta por la que ha sido sancionado”.</w:t>
      </w:r>
    </w:p>
    <w:p w:rsidR="00A90898" w:rsidRDefault="00A90898" w:rsidP="00A90898">
      <w:pPr>
        <w:pStyle w:val="TextoNormal"/>
      </w:pPr>
    </w:p>
    <w:p w:rsidR="00A90898" w:rsidRDefault="00A90898" w:rsidP="00A90898">
      <w:pPr>
        <w:pStyle w:val="TextoNormal"/>
      </w:pPr>
      <w:r>
        <w:t>Para el Ministerio Fiscal el art. 47 a) del Real Decreto 1678/1987, de 30 de diciembre, “exige que, entre el incumplimiento de la obligación de colaborar y la sanción administrativa por no colaborar con la Administración, medie un requerimiento administrativo de colaboración en el sentido que señale la Administración”. En ese marco de relación bilateral, el propio precepto se refiere a la necesidad de un incumplimiento “concreto” de lo requerido. Es preciso, en suma, según razona el Fiscal, que “previamente medie una actuación de la Administración tendente a que la conducta del habilitado de clases pasivas se adecue a la norma que regula la materia sobre el pago de pensiones”, actuación que la norma identifica con “un requerimiento claro, concreto y específico dirigido al habilitado de clases pasivas, de manera individual, que especifique claramente la colaboración que se le requiere en orden a cumplir los fines públicos en materia de clases pasivas en la forma indicada por la disposición final primera del real decreto 193/2010”. En consecuencia, entiende el Ministerio Fiscal que la Administración sancionó un comportamiento no previsto en la norma, interpretando ésta de un modo completamente ajeno a su significado, lo que supone una violación del art. 25.1 CE.</w:t>
      </w:r>
    </w:p>
    <w:p w:rsidR="00A90898" w:rsidRDefault="00A90898" w:rsidP="00A90898">
      <w:pPr>
        <w:pStyle w:val="TextoNormal"/>
      </w:pPr>
    </w:p>
    <w:p w:rsidR="00A90898" w:rsidRDefault="00A90898" w:rsidP="00A90898">
      <w:pPr>
        <w:pStyle w:val="TextoNormal"/>
      </w:pPr>
      <w:r>
        <w:t>Consumada dicha vulneración en sede administrativa, el Ministerio Fiscal estima que la Sentencia del Juzgado de lo Contencioso-Administrativo de 31 de enero de 2014 se limitó a señalar, en relación a la controversia realmente suscitada, que “por todo lo expuesto se desestima la demanda contra esa resolución sancionadora pues de lo actuado en el procedimiento ha quedado evidenciado que la misma es conforme con el principio de legalidad, tipicidad y culpabilidad”, fórmula genérica que nada dice sobre el juicio de subsunción en la norma y que deja, por tanto, incólume la vulneración acaecida en vía administrativa.</w:t>
      </w:r>
    </w:p>
    <w:p w:rsidR="00A90898" w:rsidRDefault="00A90898" w:rsidP="00A90898">
      <w:pPr>
        <w:pStyle w:val="TextoNormal"/>
      </w:pPr>
    </w:p>
    <w:p w:rsidR="00A90898" w:rsidRDefault="00A90898" w:rsidP="00A90898">
      <w:pPr>
        <w:pStyle w:val="TextoNormal"/>
      </w:pPr>
      <w:r>
        <w:t>Por todo ello, el Ministerio Fiscal interesa que se estime el recurso de amparo, declarándose la vulneración del derecho del recurrente a la legalidad sancionadora con la consiguiente anulación de todas las resoluciones impugnadas, administrativas y judiciales.</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15 de diciembre de 2016 se señaló para la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lastRenderedPageBreak/>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se dirige contra la Resolución de 29 de marzo de 2011, del Director General de Costes de Personal y Pensiones Públicas y contra la resolución de 1 de junio de 2011 de la Subdirectora General de Recursos, Reclamaciones y Relaciones con la Justicia del Ministerio de Economía y Hacienda. Estas resoluciones administrativas consideraron, tal y como se ha explicado con detalle en los antecedentes, que el demandante de amparo, en su calidad de habilitado de clases pasivas, incumplió el deber de transferir íntegramente a veinte de sus mandantes el importe completo de sus pensiones, sin realizar cargos sobre el mismo, deber que resultaba de lo previsto en la disposición final primera del Real Decreto 193/2010, de 26 de febrero. Estimaron, asimismo, las citadas resoluciones que el incumplimiento de dicha obligación era subsumible, por las razones que han sido detalladamente consignadas, en la infracción administrativa que sanciona el “incumplimiento concreto” de la obligación de “prestar los datos e informaciones que le sean requeridos por la Administración respecto de sus mandantes y colaborar en el sentido que ésta le requiera en relación con los fines de interés público en materia de clases pasivas” [art. 47 a) del Real Decreto 1678/1987 y disposición final primera.3.1 a) de la Ley 21/1986, de 23 de diciembre, de presupuestos generales para el año 1987]. El recurrente de amparo estima que estas dos resoluciones administrativas violaron su derecho a la legalidad penal, pues sancionaron una conducta que no estaba contemplada en la concreta infracción aplicada.</w:t>
      </w:r>
    </w:p>
    <w:p w:rsidR="00A90898" w:rsidRDefault="00A90898" w:rsidP="00A90898">
      <w:pPr>
        <w:pStyle w:val="TextoNormal"/>
      </w:pPr>
    </w:p>
    <w:p w:rsidR="00A90898" w:rsidRDefault="00A90898" w:rsidP="00A90898">
      <w:pPr>
        <w:pStyle w:val="TextoNormal"/>
      </w:pPr>
      <w:r>
        <w:t>El recurso también se dirige contra la Sentencia de 31 de enero de 2014 del Juzgado Central de lo Contencioso-Administrativo núm. 12, al que el recurrente imputa no sólo el no haber reparado la vulneración previamente acaecida en vía administrativa sino también, y de manera específica, la violación de su derecho a la igualdad en la aplicación de la ley (art. 14 CE). Considera, en este sentido, que la Sentencia se contradice abiertamente con otras resoluciones dictadas por órganos distintos en casos, en su opinión, completamente idénticos. Esta vulneración, atribuida de manera exclusiva al órgano judicial, fue pertinentemente denunciada a través del incidente de nulidad de actuaciones, dando lugar a un Auto desestimatorio de 20 de noviembre de 2014, frente al que igualmente se dirige el presente recurso de amparo.</w:t>
      </w:r>
    </w:p>
    <w:p w:rsidR="00A90898" w:rsidRDefault="00A90898" w:rsidP="00A90898">
      <w:pPr>
        <w:pStyle w:val="TextoNormal"/>
      </w:pPr>
    </w:p>
    <w:p w:rsidR="00A90898" w:rsidRDefault="00A90898" w:rsidP="00A90898">
      <w:pPr>
        <w:pStyle w:val="TextoNormal"/>
      </w:pPr>
      <w:r>
        <w:t>El Abogado del Estado interesa, por su parte, la desestimación del recurso mientras que el Ministerio Fiscal considera que debe otorgarse el amparo solicitado al entender que ha resultado vulnerado el derecho del recurrente a la legalidad en materia sancionadora.</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ha puesto en duda la especial trascendencia constitucional de este recurso, exigencias de certeza y buena administración de justicia (STEDH de 20 de enero de 2015, caso </w:t>
      </w:r>
      <w:r w:rsidRPr="00A90898">
        <w:rPr>
          <w:i/>
        </w:rPr>
        <w:t>Arribas Antón c. España</w:t>
      </w:r>
      <w:r>
        <w:t>, apartado 46) obligan a explicitarla para hacer recognoscibles los criterios empleados por este Tribunal en la apreciación de dicho requisito de orden público (entre otras, STC 113/2012, de 24 de mayo, FJ 2, y las allí citadas).</w:t>
      </w:r>
    </w:p>
    <w:p w:rsidR="00A90898" w:rsidRDefault="00A90898" w:rsidP="00A90898">
      <w:pPr>
        <w:pStyle w:val="TextoNormal"/>
      </w:pPr>
    </w:p>
    <w:p w:rsidR="00A90898" w:rsidRDefault="00A90898" w:rsidP="00A90898">
      <w:pPr>
        <w:pStyle w:val="TextoNormal"/>
      </w:pPr>
      <w:r>
        <w:t xml:space="preserve">En el presente caso, la especial trascendencia constitucional concurre por un doble motivo. De un lado, el recurrente ha acreditado suficientemente en su demanda la existencia de resoluciones judiciales contradictorias en la aplicación del art. 25.1 CE [STC 155/2009, FJ </w:t>
      </w:r>
      <w:r>
        <w:lastRenderedPageBreak/>
        <w:t>2 e)]. De otro, el asunto suscitado trasciende del caso concreto al plantear una cuestión jurídica de relevante y general repercusión [STC 155/2009, FJ 2 f)], ya que la interpretación realizada por el órgano judicial tiene, como después se verá, una potencialidad expansiva que permite convertir, en vía interpretativa, cualquier incumplimiento normativo de disposiciones de nuestro ordenamiento en una suerte de cláusula sancionatoria universal.</w:t>
      </w:r>
    </w:p>
    <w:p w:rsidR="00A90898" w:rsidRDefault="00A90898" w:rsidP="00A90898">
      <w:pPr>
        <w:pStyle w:val="TextoNormal"/>
      </w:pPr>
    </w:p>
    <w:p w:rsidR="00A90898" w:rsidRDefault="00A90898" w:rsidP="00A90898">
      <w:pPr>
        <w:pStyle w:val="TextoNormal"/>
      </w:pPr>
      <w:r w:rsidRPr="00A90898">
        <w:rPr>
          <w:rStyle w:val="NumeroAFNegritaCaracter"/>
        </w:rPr>
        <w:t>3</w:t>
      </w:r>
      <w:r>
        <w:t>. Antes de examinar el fondo del presente recurso, hemos de realizar tres consideraciones previas sobre el objeto del mismo, pues, en última instancia, éste se circunscribe a una única vulneración de derechos fundamentales. Así:</w:t>
      </w:r>
    </w:p>
    <w:p w:rsidR="00A90898" w:rsidRDefault="00A90898" w:rsidP="00A90898">
      <w:pPr>
        <w:pStyle w:val="TextoNormal"/>
      </w:pPr>
    </w:p>
    <w:p w:rsidR="00A90898" w:rsidRDefault="00A90898" w:rsidP="00A90898">
      <w:pPr>
        <w:pStyle w:val="TextoNormal"/>
      </w:pPr>
      <w:r>
        <w:t>(i) Formalmente, nos encontramos, en efecto, ante un amparo mixto en el que la violación del derecho a la igualdad en la aplicación de la ley (art. 14 CE) se imputa exclusivamente a las resoluciones dictadas por el Juzgado Central de lo Contencioso-Administrativo. Se achaca, en cambio, la vulneración del derecho a la legalidad en materia sancionadora (art. 25.1 CE) a las resoluciones administrativas antecedentes. Esta circunstancia haría, en principio, que nuestro análisis debiera comenzar por esta última vulneración, pues, tal y como hemos señalado en otras ocasiones, “puede sostenerse como criterio general que en los amparos mixtos la pretensión deducida por la vía del art. 43 LOTC es autónoma y su examen resulta, en principio, preeminente”, preeminencia que “tiene su fundamento en que la comisión de una lesión constitucional en el transcurso del proceso judicial no impide que el acto administrativo siga siendo el verdadero objeto del proceso de amparo que finalmente deviene en mixto” (SSTC 5/2008, de 21 de enero, FJ 3; 31/2014, de 24 de febrero, FJ 2, y 199/2014, de 15 de diciembre, FJ 2).</w:t>
      </w:r>
    </w:p>
    <w:p w:rsidR="00A90898" w:rsidRDefault="00A90898" w:rsidP="00A90898">
      <w:pPr>
        <w:pStyle w:val="TextoNormal"/>
      </w:pPr>
    </w:p>
    <w:p w:rsidR="00A90898" w:rsidRDefault="00A90898" w:rsidP="00A90898">
      <w:pPr>
        <w:pStyle w:val="TextoNormal"/>
      </w:pPr>
      <w:r>
        <w:t xml:space="preserve">(ii) Sin embargo, tal y como apunta el Ministerio Fiscal, puede observarse de antemano que la alegación de vulneración del derecho a la igualdad en la aplicación de la ley carece, a todas luces, de sustantividad jurídica suficiente, ya que, bajo tal </w:t>
      </w:r>
      <w:r w:rsidRPr="00A90898">
        <w:rPr>
          <w:i/>
        </w:rPr>
        <w:t>nomen iuris</w:t>
      </w:r>
      <w:r>
        <w:t>, se imputa al órgano judicial, no una contradicción con lo decidido en una resolución previa propia, sino el haber utilizado un criterio interpretativo que, a la luz de los razonamientos incluidos en otras resoluciones contradictorias dictadas por órganos distintos, ha de reputarse arbitrario, por carecer de soporte razonable en la norma sancionadora que se aplica. En este sentido, como apunta el Fiscal ante el Tribunal Constitucional, se denuncia, en realidad, que el órgano judicial ha incurrido en una violación del derecho a la tutela judicial efectiva (art. 24.1 CE), y así parece reconocerlo la propia demandante de amparo que, en su escrito de alegaciones de fecha 12 de julio de 2016, plantea la posibilidad de que la actuación judicial impugnada sea constitutiva de una violación del art. 24.1 CE, al resultar irrazonable la interpretación efectuada por el órgano judicial.</w:t>
      </w:r>
    </w:p>
    <w:p w:rsidR="00A90898" w:rsidRDefault="00A90898" w:rsidP="00A90898">
      <w:pPr>
        <w:pStyle w:val="TextoNormal"/>
      </w:pPr>
    </w:p>
    <w:p w:rsidR="00A90898" w:rsidRDefault="00A90898" w:rsidP="00A90898">
      <w:pPr>
        <w:pStyle w:val="TextoNormal"/>
      </w:pPr>
      <w:r>
        <w:t xml:space="preserve">(iii) Imputándose, en definitiva, al órgano judicial una posible violación, no del derecho a la igualdad en la aplicación de la ley (art. 14 CE), sino del derecho a la tutela judicial efectiva (art. 24.1 CE), ha de señalarse que el examen de esta última queja debe quedar subsumido en el análisis, más amplio, de la pretendida vulneración del derecho sustantivo en juego (art. 25.1 CE), pues, de acuerdo con nuestra doctrina, el canon de razonabilidad que impone el art. 25.1 CE es “más exigente que el que, por norma general, caracteriza al derecho a la tutela judicial efectiva (art. 24.1 CE)”, razón por la cual, en la aplicación judicial del tipo sancionador, el examen de la lesión del derecho fundamental a la legalidad </w:t>
      </w:r>
      <w:r>
        <w:lastRenderedPageBreak/>
        <w:t>sancionadora lleva siempre implícito el escrutinio de la razonabilidad de la motivación empleada por el órgano judicial, convirtiéndose, por ello, el art. 25.1 CE en parámetro único de constitucionalidad (STC 2/2015, de 19 de enero, FJ 8).</w:t>
      </w:r>
    </w:p>
    <w:p w:rsidR="00A90898" w:rsidRDefault="00A90898" w:rsidP="00A90898">
      <w:pPr>
        <w:pStyle w:val="TextoNormal"/>
      </w:pPr>
    </w:p>
    <w:p w:rsidR="00A90898" w:rsidRDefault="00A90898" w:rsidP="00A90898">
      <w:pPr>
        <w:pStyle w:val="TextoNormal"/>
      </w:pPr>
      <w:r>
        <w:t>De todo lo anterior se infiere, en definitiva, que el presente proceso constitucional ha de ser resuelto examinando, en exclusiva, la queja sobre la que, en realidad, orbita todo el recurso de amparo, que es la posible vulneración del derecho a la legalidad sancionadora.</w:t>
      </w:r>
    </w:p>
    <w:p w:rsidR="00A90898" w:rsidRDefault="00A90898" w:rsidP="00A90898">
      <w:pPr>
        <w:pStyle w:val="TextoNormal"/>
      </w:pPr>
    </w:p>
    <w:p w:rsidR="00A90898" w:rsidRDefault="00A90898" w:rsidP="00A90898">
      <w:pPr>
        <w:pStyle w:val="TextoNormal"/>
      </w:pPr>
      <w:r w:rsidRPr="00A90898">
        <w:rPr>
          <w:rStyle w:val="NumeroAFNegritaCaracter"/>
        </w:rPr>
        <w:t>4</w:t>
      </w:r>
      <w:r>
        <w:t>. Quedando circunscrito nuestro análisis a la queja aludida (art. 25.1 CE), resulta pertinente señalar, en primer lugar, cuál fue la conducta sancionada y los preceptos que sirvieron de sustento a la sanción impuesta.</w:t>
      </w:r>
    </w:p>
    <w:p w:rsidR="00A90898" w:rsidRDefault="00A90898" w:rsidP="00A90898">
      <w:pPr>
        <w:pStyle w:val="TextoNormal"/>
      </w:pPr>
    </w:p>
    <w:p w:rsidR="00A90898" w:rsidRDefault="00A90898" w:rsidP="00A90898">
      <w:pPr>
        <w:pStyle w:val="TextoNormal"/>
      </w:pPr>
      <w:r>
        <w:t>Como ha quedado expuesto con detalle en los antecedentes, el actor fue sancionado por cargar las deducciones correspondientes a su intervención profesional directamente sobre el importe recibido de la Administración en concepto de pensión, cuando su obligación era transferir dicho importe, en su totalidad, a sus mandantes, procediendo de forma separada a cargarles tales deducciones. Dicha conducta fue objeto de subsunción en las siguientes normas:</w:t>
      </w:r>
    </w:p>
    <w:p w:rsidR="00A90898" w:rsidRDefault="00A90898" w:rsidP="00A90898">
      <w:pPr>
        <w:pStyle w:val="TextoNormal"/>
      </w:pPr>
    </w:p>
    <w:p w:rsidR="00A90898" w:rsidRDefault="00A90898" w:rsidP="00A90898">
      <w:pPr>
        <w:pStyle w:val="TextoNormal"/>
      </w:pPr>
      <w:r>
        <w:t>(i) De un lado se encuentra el precepto que establece la infracción aplicada, que es el art. 47 a) del Real Decreto 1678/1987, por el que se reglamenta la profesión de habilitado de clases pasivas en los aspectos de la misma relacionados con los fines administrativos en materia de clases pasivas y con el interés general, y que dispone lo siguiente:</w:t>
      </w:r>
    </w:p>
    <w:p w:rsidR="00A90898" w:rsidRDefault="00A90898" w:rsidP="00A90898">
      <w:pPr>
        <w:pStyle w:val="TextoNormal"/>
      </w:pPr>
    </w:p>
    <w:p w:rsidR="00A90898" w:rsidRDefault="00A90898" w:rsidP="00A90898">
      <w:pPr>
        <w:pStyle w:val="TextoNormal"/>
      </w:pPr>
      <w:r>
        <w:t>“De conformidad con la disposición final primera, número 3, de la Ley 21/1986, de 23 de diciembre, las conductas que darán origen a sanción administrativa serán las de incumplimiento concreto por el Habilitado de las siguientes obligaciones: a) Prestar los datos e informaciones que le sean requeridos por la Administración respecto de sus mandantes y colaborar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Cabe señalar que esta norma reglamentaria, como se indica expresamente en su texto normativo, tiene soporte legal directo en la disposición final primera, núm. 3, regla primera, de la Ley de presupuestos del año 1987 (ley 21/1986, de 23 de diciembre), que, al habilitar la reforma de la reglamentación de la profesión de habilitado de clases pasivas, dispone específicamente para el ámbito sancionador que “[l]as conductas que darán origen a sanción administrativa serán las de incumplimiento concreto por el Habilitado de las siguientes obligaciones: a) Prestar los datos e informaciones que le sean requeridos por la Administración respecto de sus mandantes y colaborar en el sentido que ésta le requiera en relación con los fines de interés público en materia de Clases Pasivas…”</w:t>
      </w:r>
    </w:p>
    <w:p w:rsidR="00A90898" w:rsidRDefault="00A90898" w:rsidP="00A90898">
      <w:pPr>
        <w:pStyle w:val="TextoNormal"/>
      </w:pPr>
    </w:p>
    <w:p w:rsidR="00A90898" w:rsidRDefault="00A90898" w:rsidP="00A90898">
      <w:pPr>
        <w:pStyle w:val="TextoNormal"/>
      </w:pPr>
      <w:r>
        <w:t>(ii) De otro lado se encuentra la norma que establece el deber de colaborar con la Administración que se ha reputado singularmente incumplido, que es la disposición final primera del Real Decreto 193/2010, de 26 de febrero, por el que se modifica el Real Decreto 227/1981, de 23 de enero, sobre sistemas de pago de los haberes de clases pasivas del Estado, que, bajo la rúbrica “desglose de transferencias”, señala a su vez:</w:t>
      </w:r>
    </w:p>
    <w:p w:rsidR="00A90898" w:rsidRDefault="00A90898" w:rsidP="00A90898">
      <w:pPr>
        <w:pStyle w:val="TextoNormal"/>
      </w:pPr>
    </w:p>
    <w:p w:rsidR="00A90898" w:rsidRDefault="00A90898" w:rsidP="00A90898">
      <w:pPr>
        <w:pStyle w:val="TextoNormal"/>
      </w:pPr>
      <w:r>
        <w:lastRenderedPageBreak/>
        <w:t>“Respecto de las prestaciones de Clases Pasivas solicitadas antes de la entrada en vigor del presente real decreto, los habilitados de clases pasivas estarán obligados a abonar a su mandante, ya sea mediante transferencia bancaria o mediante cheque, el importe íntegro de la pensión o pensiones de Clases Pasivas que le haya sido pagado por la Administración, sin practicar deducción alguna. Las comisiones, gastos de gestión o impuestos derivados del ejercicio de la actividad profesional que repercuta en su cliente deberán cobrarlos de forma separada.”</w:t>
      </w:r>
    </w:p>
    <w:p w:rsidR="00A90898" w:rsidRDefault="00A90898" w:rsidP="00A90898">
      <w:pPr>
        <w:pStyle w:val="TextoNormal"/>
      </w:pPr>
    </w:p>
    <w:p w:rsidR="00A90898" w:rsidRDefault="00A90898" w:rsidP="00A90898">
      <w:pPr>
        <w:pStyle w:val="TextoNormal"/>
      </w:pPr>
      <w:r w:rsidRPr="00A90898">
        <w:rPr>
          <w:rStyle w:val="NumeroAFNegritaCaracter"/>
        </w:rPr>
        <w:t>5</w:t>
      </w:r>
      <w:r>
        <w:t>. Una vez que ha sido delimitado el objeto del recurso y que han quedado expuestos los elementos fácticos y jurídicos que sirven de referencia inexcusable para resolver el mismo, ha de procederse a un adecuado encuadramiento de la queja planteada por el actor dentro de las diversas facetas que comprende el derecho fundamental a la legalidad sancionadora.</w:t>
      </w:r>
    </w:p>
    <w:p w:rsidR="00A90898" w:rsidRDefault="00A90898" w:rsidP="00A90898">
      <w:pPr>
        <w:pStyle w:val="TextoNormal"/>
      </w:pPr>
    </w:p>
    <w:p w:rsidR="00A90898" w:rsidRDefault="00A90898" w:rsidP="00A90898">
      <w:pPr>
        <w:pStyle w:val="TextoNormal"/>
      </w:pPr>
      <w:r>
        <w:t xml:space="preserve">En este punto, el propio recurrente realiza una primera delimitación en la demanda de amparo, en la que considera que las resoluciones impugnadas han vulnerado la garantía constitucional de </w:t>
      </w:r>
      <w:r w:rsidRPr="00A90898">
        <w:rPr>
          <w:i/>
        </w:rPr>
        <w:t>lex certa</w:t>
      </w:r>
      <w:r>
        <w:t>. Sin embargo, dicha garantía, como faceta específica del derecho a la legalidad sancionadora, se desenvuelve, en nuestra doctrina (</w:t>
      </w:r>
      <w:r w:rsidRPr="00A90898">
        <w:rPr>
          <w:i/>
        </w:rPr>
        <w:t>vid</w:t>
      </w:r>
      <w:r>
        <w:t>, por todas, STC 146/2015, de 25 de junio, FJ 2), en dos ámbitos distintos:</w:t>
      </w:r>
    </w:p>
    <w:p w:rsidR="00A90898" w:rsidRDefault="00A90898" w:rsidP="00A90898">
      <w:pPr>
        <w:pStyle w:val="TextoNormal"/>
      </w:pPr>
    </w:p>
    <w:p w:rsidR="00A90898" w:rsidRDefault="00A90898" w:rsidP="00A90898">
      <w:pPr>
        <w:pStyle w:val="TextoNormal"/>
      </w:pPr>
      <w:r>
        <w:t xml:space="preserve">a) De un lado, la garantía de certeza puede resultar vulnerada por la insuficiente determinación </w:t>
      </w:r>
      <w:r w:rsidRPr="00A90898">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A90898" w:rsidRDefault="00A90898" w:rsidP="00A90898">
      <w:pPr>
        <w:pStyle w:val="TextoNormal"/>
      </w:pPr>
    </w:p>
    <w:p w:rsidR="00A90898" w:rsidRDefault="00A90898" w:rsidP="00A90898">
      <w:pPr>
        <w:pStyle w:val="TextoNormal"/>
      </w:pPr>
      <w:r>
        <w:t xml:space="preserve">b) En cambio, aun cuando la redacción de la norma sancionadora resulta suficientemente precisa, la garantía de </w:t>
      </w:r>
      <w:r w:rsidRPr="00A90898">
        <w:rPr>
          <w:i/>
        </w:rPr>
        <w:t>lex certa</w:t>
      </w:r>
      <w:r>
        <w:t xml:space="preserve"> puede verse afectada por la aplicación irrazonable de dicha norma, vertiente que se desdobla, a su vez, en dos planos, (i) el de la indebida interpretación </w:t>
      </w:r>
      <w:r w:rsidRPr="00A90898">
        <w:rPr>
          <w:i/>
        </w:rPr>
        <w:t>ad casum</w:t>
      </w:r>
      <w:r>
        <w:t xml:space="preserve"> del alcance semántico del precepto, más allá de su sentido literal posible (analogía </w:t>
      </w:r>
      <w:r w:rsidRPr="00A90898">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w:t>
      </w:r>
    </w:p>
    <w:p w:rsidR="00A90898" w:rsidRDefault="00A90898" w:rsidP="00A90898">
      <w:pPr>
        <w:pStyle w:val="TextoNormal"/>
      </w:pPr>
    </w:p>
    <w:p w:rsidR="00A90898" w:rsidRDefault="00A90898" w:rsidP="00A90898">
      <w:pPr>
        <w:pStyle w:val="TextoNormal"/>
      </w:pPr>
      <w:r>
        <w:t>Nos corresponde ahora determinar cuál de estas ópticas está realmente en juego en el presente caso.</w:t>
      </w:r>
    </w:p>
    <w:p w:rsidR="00A90898" w:rsidRDefault="00A90898" w:rsidP="00A90898">
      <w:pPr>
        <w:pStyle w:val="TextoNormal"/>
      </w:pPr>
    </w:p>
    <w:p w:rsidR="00A90898" w:rsidRDefault="00A90898" w:rsidP="00A90898">
      <w:pPr>
        <w:pStyle w:val="TextoNormal"/>
      </w:pPr>
      <w:r w:rsidRPr="00A90898">
        <w:rPr>
          <w:rStyle w:val="NumeroAFNegritaCaracter"/>
        </w:rPr>
        <w:t>6</w:t>
      </w:r>
      <w:r>
        <w:t>. Como acaba de apuntarse, el principio de legalidad penal, en su vertiente material, afecta, en primer lugar, a la actividad legislativa, pues, la garantía de seguridad jurídica (art. 9.3 CE) inherente a la legalidad, “comporta el mandato de taxatividad o de certeza que se produce en la exigencia de predeterminación normativa de las conductas y sus correspondientes sanciones (</w:t>
      </w:r>
      <w:r w:rsidRPr="00A90898">
        <w:rPr>
          <w:i/>
        </w:rPr>
        <w:t>lex certa</w:t>
      </w:r>
      <w:r>
        <w:t>) en virtud del cual el legislador debe promulgar normas concretas, precisas, claras e inteligibles, para que los ciudadanos deban conocer de antemano el ámbito de lo proscrito y prever, así, las consecuencias de sus acciones” (SSTC 185/2014, de 6 de noviembre, FJ 8, y 146/2015, de 25 de junio, FJ 2).</w:t>
      </w:r>
    </w:p>
    <w:p w:rsidR="00A90898" w:rsidRDefault="00A90898" w:rsidP="00A90898">
      <w:pPr>
        <w:pStyle w:val="TextoNormal"/>
      </w:pPr>
    </w:p>
    <w:p w:rsidR="00A90898" w:rsidRDefault="00A90898" w:rsidP="00A90898">
      <w:pPr>
        <w:pStyle w:val="TextoNormal"/>
      </w:pPr>
      <w:r>
        <w:lastRenderedPageBreak/>
        <w:t xml:space="preserve">Esta primera dimensión de la garantía de </w:t>
      </w:r>
      <w:r w:rsidRPr="00A90898">
        <w:rPr>
          <w:i/>
        </w:rPr>
        <w:t>lex certa</w:t>
      </w:r>
      <w:r>
        <w:t xml:space="preserve"> es invocada por la Administración (en la resolución de alzada) y por el Abogado del Estado, en sus alegaciones, para descartar la vulneración del derecho a la legalidad sancionadora, pues consideran, en síntesis, que la doctrina de este Tribunal sobre la predeterminación normativa de la conducta sancionable no es incompatible con la utilización de conceptos jurídicos indeterminados, siempre que estos queden después suficientemente concretados con el auxilio de otras normas, aunque éstas sean de rango infralegal. La realidad es, sin embargo, que la demanda de amparo no contiene reproche alguno que se refiera específicamente a la redacción normativa de las normas en juego, pues:</w:t>
      </w:r>
    </w:p>
    <w:p w:rsidR="00A90898" w:rsidRDefault="00A90898" w:rsidP="00A90898">
      <w:pPr>
        <w:pStyle w:val="TextoNormal"/>
      </w:pPr>
    </w:p>
    <w:p w:rsidR="00A90898" w:rsidRDefault="00A90898" w:rsidP="00A90898">
      <w:pPr>
        <w:pStyle w:val="TextoNormal"/>
      </w:pPr>
      <w:r>
        <w:t xml:space="preserve">(i) Es claro que el actor reconoce en su demanda que el art. 47 a) del Real Decreto 1678/1987 tiene un ámbito de aplicación normativa claramente determinado </w:t>
      </w:r>
      <w:r w:rsidRPr="00A90898">
        <w:rPr>
          <w:i/>
        </w:rPr>
        <w:t>ex ante</w:t>
      </w:r>
      <w:r>
        <w:t>, pues entiende que el tipo aludido exige, sin oscuridad alguna en este punto, la existencia previa de un requerimiento concreto de colaboración que se haya visto desatendido por el individuo requerido. La norma aludida no es, pues, en sí misma, objeto de tacha alguna de inconstitucionalidad por la utilización de conceptos excesivamente abiertos o indeterminados. Al contrario, el demandante considera que las expresiones típicas explicitan suficientemente la exigencia de un requerimiento de colaboración, habiendo desbordado la Administración, en su opinión, ese concreto ámbito de aplicación.</w:t>
      </w:r>
    </w:p>
    <w:p w:rsidR="00A90898" w:rsidRDefault="00A90898" w:rsidP="00A90898">
      <w:pPr>
        <w:pStyle w:val="TextoNormal"/>
      </w:pPr>
    </w:p>
    <w:p w:rsidR="00A90898" w:rsidRDefault="00A90898" w:rsidP="00A90898">
      <w:pPr>
        <w:pStyle w:val="TextoNormal"/>
      </w:pPr>
      <w:r>
        <w:t>(ii) Resultan, por ello, intrascendentes a efectos de este amparo los argumentos de la resolución administrativa de alzada (en los que vuelve a incidir el Abogado del Estado en sus alegaciones) relativos a la admisibilidad, en la configuración de tipos sancionadores, de conceptos jurídicos indeterminados que puedan ser concretados con el auxilio de otras normas, ya que el problema que el actor plantea no versa sobre la utilización, por parte de la norma misma, de conceptos excesivamente abiertos. Al contrario, se denuncia la manipulación interpretativa, por parte del aplicador, de elementos típicos que, en la redacción del precepto, se entiende que son notablemente precisos.</w:t>
      </w:r>
    </w:p>
    <w:p w:rsidR="00A90898" w:rsidRDefault="00A90898" w:rsidP="00A90898">
      <w:pPr>
        <w:pStyle w:val="TextoNormal"/>
      </w:pPr>
    </w:p>
    <w:p w:rsidR="00A90898" w:rsidRDefault="00A90898" w:rsidP="00A90898">
      <w:pPr>
        <w:pStyle w:val="TextoNormal"/>
      </w:pPr>
      <w:r>
        <w:t xml:space="preserve">(iii) Tampoco parece, finalmente, que, en el recurso de amparo, se dé relevancia alguna al rango infralegal de las normas aplicadas (Real Decreto 1678/1987 y Real Decreto 193/2010), siendo manifiesto, en cualquier caso, tal y como queda ya dicho, que la norma sancionadora </w:t>
      </w:r>
      <w:r w:rsidRPr="00A90898">
        <w:rPr>
          <w:i/>
        </w:rPr>
        <w:t>stricto sensu</w:t>
      </w:r>
      <w:r>
        <w:t>, contenida en el Real Decreto 1678/1987, era reproducción literal de la disposición final primera, núm. 3, regla primera, de la Ley de presupuestos del año 1987 (Ley 21/1986, de 23 de diciembre), que le daba, de este modo, una cobertura evidente.</w:t>
      </w:r>
    </w:p>
    <w:p w:rsidR="00A90898" w:rsidRDefault="00A90898" w:rsidP="00A90898">
      <w:pPr>
        <w:pStyle w:val="TextoNormal"/>
      </w:pPr>
    </w:p>
    <w:p w:rsidR="00A90898" w:rsidRDefault="00A90898" w:rsidP="00A90898">
      <w:pPr>
        <w:pStyle w:val="TextoNormal"/>
      </w:pPr>
      <w:r>
        <w:t xml:space="preserve">En definitiva, no es este primer aspecto de la garantía de </w:t>
      </w:r>
      <w:r w:rsidRPr="00A90898">
        <w:rPr>
          <w:i/>
        </w:rPr>
        <w:t>lex certa</w:t>
      </w:r>
      <w:r>
        <w:t xml:space="preserve"> el que se pone en entredicho en el presente recurso de amparo, aunque ciertas consideraciones incluidas en los fundamentos de las resoluciones impugnadas o en las alegaciones del Abogado del Estado puedan inducir a equívoco al respecto. Antes bien, en el presente caso, la queja del recurrente se residencia en el ámbito del juicio aplicativo, pues se imputa a la Administración una aplicación irrazonable de la norma. En este sentido, lo que el demandante afirma es que la aplicación realizada por la Administración constituye una violación patente del derecho a la legalidad sancionadora, que proscribe que “nadie pueda ser condenado o sancionado por acciones u omisiones que no constituyan delito, falta o infracción administrativa, según la legislación vigente, en el momento de la comisión del hecho, quebrándose este derecho cuando la conducta enjuiciada, la ya delimitada como probada, es subsumida de un modo irrazonable en el tipo que resulta aplicado” (SSTC 57/2010, de 4 de octubre, FJ </w:t>
      </w:r>
      <w:r>
        <w:lastRenderedPageBreak/>
        <w:t>3; 153/2011, de 17 de octubre, FJ 8; y 196/2013, de 2 de diciembre, FJ 5, y 146/2015, de 25 de junio, FJ 3).</w:t>
      </w:r>
    </w:p>
    <w:p w:rsidR="00A90898" w:rsidRDefault="00A90898" w:rsidP="00A90898">
      <w:pPr>
        <w:pStyle w:val="TextoNormal"/>
      </w:pPr>
    </w:p>
    <w:p w:rsidR="00A90898" w:rsidRDefault="00A90898" w:rsidP="00A90898">
      <w:pPr>
        <w:pStyle w:val="TextoNormal"/>
      </w:pPr>
      <w:r w:rsidRPr="00A90898">
        <w:rPr>
          <w:rStyle w:val="NumeroAFNegritaCaracter"/>
        </w:rPr>
        <w:t>7</w:t>
      </w:r>
      <w:r>
        <w:t>. Entrando, pues, en la faceta del art. 25.1 CE que constituye el auténtico núcleo de la queja planteada, ha de recordarse que, una vez que el autor de la norma ha cumplido suficientemente con el mandato al dar una redacción precisa al precepto sancionador, la garantía de certeza exige igualmente de los órganos sancionadores que están llamados a aplicarlo “no sólo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En efecto,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 En este segundo plano, que es el de la aplicación concreta de la norma, la violación del derecho a la legalidad sancionadora puede producirse, como hemos anticipado, en dos ámbitos distintos:</w:t>
      </w:r>
    </w:p>
    <w:p w:rsidR="00A90898" w:rsidRDefault="00A90898" w:rsidP="00A90898">
      <w:pPr>
        <w:pStyle w:val="TextoNormal"/>
      </w:pPr>
    </w:p>
    <w:p w:rsidR="00A90898" w:rsidRDefault="00A90898" w:rsidP="00A90898">
      <w:pPr>
        <w:pStyle w:val="TextoNormal"/>
      </w:pPr>
      <w:r>
        <w:t xml:space="preserve">a) De un lado, la violación del art. 25.1 CE “puede proceder de la interpretación misma del precepto sustantivo aplicado, ya que el Juez puede atribuir a la norma penal un contenido que exceda, en perjuicio del acusado, del tenor literal posible del precepto, incurriendo en tal caso en una analogía </w:t>
      </w:r>
      <w:r w:rsidRPr="00A90898">
        <w:rPr>
          <w:i/>
        </w:rPr>
        <w:t>in malam partem</w:t>
      </w:r>
      <w:r>
        <w:t xml:space="preserve"> que ha de entenderse constitucionalmente proscrita” (STC 2/2015, de 19 de enero, FJ 8).</w:t>
      </w:r>
    </w:p>
    <w:p w:rsidR="00A90898" w:rsidRDefault="00A90898" w:rsidP="00A90898">
      <w:pPr>
        <w:pStyle w:val="TextoNormal"/>
      </w:pPr>
    </w:p>
    <w:p w:rsidR="00A90898" w:rsidRDefault="00A90898" w:rsidP="00A90898">
      <w:pPr>
        <w:pStyle w:val="TextoNormal"/>
      </w:pPr>
      <w:r>
        <w:t>b) De otro lado, “cuando la interpretación de la norma sustantiva resulta, en cambio, compatible con el tenor literal posible de la norma aplicada, la lesión del art. 25.1 CE puede derivar del juicio de subsunción que se realiza con base a los hechos probados”, juicio que hemos señalado que “debe respetar un doble parámetro de razonabilidad: (i) el metodológico, que exige que no incurra en quiebras lógicas y que sea acorde con los modelos de argumentación aceptados dentro de la comunidad jurídica, y (ii) el axiológico, que requiere que se ajuste a los criterios y valores que informan nuestro ordenamiento constitucional (SSTC 138/2004, de 13 de septiembre, FJ 3; 242/2005, de 10 de octubre, FJ 4; 9/2006, de 16 de enero, FJ 4; 242/2005, de 10 de octubre, FJ 4; 262/2006, de 11 de septiembre, FJ 4, 129/2008, de 27 de octubre, FJ 3; 91/2009, de 20 de abril, FJ 6; 153/2011, de 17 de octubre, FJ 8, y 196/2013, de 2 de diciembre, FJ 5)” (STC 2/2015, de 19 de enero, FJ 8).</w:t>
      </w:r>
    </w:p>
    <w:p w:rsidR="00A90898" w:rsidRDefault="00A90898" w:rsidP="00A90898">
      <w:pPr>
        <w:pStyle w:val="TextoNormal"/>
      </w:pPr>
    </w:p>
    <w:p w:rsidR="00A90898" w:rsidRDefault="00A90898" w:rsidP="00A90898">
      <w:pPr>
        <w:pStyle w:val="TextoNormal"/>
      </w:pPr>
      <w:r>
        <w:t>Este es, por tanto, el doble escrutinio que debe ser empleado para examinar la queja que ahora nos ocupa. Debe determinarse, en suma, si la aplicación de la norma sancionadora ha sido irrazonable, bien porque, en el ámbito de juicio interpretativo, se haya desbordado el límite del sentido literal posible del precepto, bien porque, con ocasión del juicio de subsunción, no se hayan respetado los criterios metodológicos comúnmente reconocidos o los parámetros axiológicos que derivan de nuestro ordenamiento constitucional.</w:t>
      </w:r>
    </w:p>
    <w:p w:rsidR="00A90898" w:rsidRDefault="00A90898" w:rsidP="00A90898">
      <w:pPr>
        <w:pStyle w:val="TextoNormal"/>
      </w:pPr>
    </w:p>
    <w:p w:rsidR="00A90898" w:rsidRDefault="00A90898" w:rsidP="00A90898">
      <w:pPr>
        <w:pStyle w:val="TextoNormal"/>
      </w:pPr>
      <w:r w:rsidRPr="00A90898">
        <w:rPr>
          <w:rStyle w:val="NumeroAFNegritaCaracter"/>
        </w:rPr>
        <w:t>8</w:t>
      </w:r>
      <w:r>
        <w:t xml:space="preserve">. Comenzando nuestro análisis por la interpretación del alcance del precepto sancionador a la vista de su tenor literal posible, puede comprobarse que las resoluciones impugnadas parten, como reconoce el Abogado del Estado en sus alegaciones, de una interpretación “material” de los preceptos en juego, según la cual la dicción literal del art. 47 a) del Real </w:t>
      </w:r>
      <w:r>
        <w:lastRenderedPageBreak/>
        <w:t>Decreto 1687/1987 puede ser entendida no como la necesidad de que exista “un requerimiento previo o intimación formal dirigido o expedido por el órgano administrativo competente al sujeto pasivo” sino como “exigencia que la norma impone en el momento de efectuar el pago el habilitado a su mandante”.</w:t>
      </w:r>
    </w:p>
    <w:p w:rsidR="00A90898" w:rsidRDefault="00A90898" w:rsidP="00A90898">
      <w:pPr>
        <w:pStyle w:val="TextoNormal"/>
      </w:pPr>
    </w:p>
    <w:p w:rsidR="00A90898" w:rsidRDefault="00A90898" w:rsidP="00A90898">
      <w:pPr>
        <w:pStyle w:val="TextoNormal"/>
      </w:pPr>
      <w:r>
        <w:t>La mera lectura del precepto sancionador [art. 47 a) del Real Decreto 1678/1987] pone de relieve, sin embargo, que la conducta que en él se contempla tiene dos elementos objetivos: (i) la existencia de una comunicación antecedente, realizada por la Administración al interesado para exigirle una determinada colaboración activa (de la que el propio precepto ejemplifica el supuesto de facilitar información sobre los mandantes) y (ii) el incumplimiento subsiguiente, por parte del habilitado, de aquello que la Administración le ha exigido previamente. Estamos, por ello, tanto en la estructura como en la semántica del precepto (que incluye, como verbos rectores, “requerir” y “colaborar”), ante la formulación característica de un tipo de incumplimiento que se consuma, necesariamente, en el seno de una relación bilateral entablada, de forma concreta, entre la Administración actuante y el sujeto obligado a obedecer el mandato singular que ésta le dirige. Así resulta, a todas luces, tanto de la exigencia típica de requerimiento previo, que el precepto establece con claridad meridiana, como del hecho de que la conducta sancionable se concrete, con idéntica evidencia, en la omisión de la colaboración requerida y no en el incumplimiento genérico de un deber directamente dimanante de la ley.</w:t>
      </w:r>
    </w:p>
    <w:p w:rsidR="00A90898" w:rsidRDefault="00A90898" w:rsidP="00A90898">
      <w:pPr>
        <w:pStyle w:val="TextoNormal"/>
      </w:pPr>
    </w:p>
    <w:p w:rsidR="00A90898" w:rsidRDefault="00A90898" w:rsidP="00A90898">
      <w:pPr>
        <w:pStyle w:val="TextoNormal"/>
      </w:pPr>
      <w:r>
        <w:t>Puede, pues, descartarse, frente a lo alegado por el Abogado del Estado, que estemos ante un tipo (abierto) de incumplimiento de deberes normativamente establecidos en la gestión de los haberes de las clases pasivas, en el que el deber de colaborar del habilitado pueda ser inmediatamente completado por cualquier norma de la que derive una obligación de comportamiento. Un tipo de esas características, que se refiriese con carácter general al incumplimiento de tales deberes, abierto a ser complementado con la concreta formulación de otras cualesquiera normas distintas relativas a las obligaciones que pesan sobre el profesional actuante, sería difícilmente compatible con las garantías de seguridad jurídica inherentes al principio de legalidad. Sin embargo, la estructura y dicción del tipo no ofrece manifiestamente tal apertura, ya que en el mismo no se alude en ningún momento, ni siquiera de forma genérica, al incumplimiento directo de los deberes normativamente impuestos al habilitado —entre ellos, el desglose de las transferencias— sino a la falta de colaboración ante un requerimiento expreso previamente formulado por el ente administrativo. El sustrato típico que legitima la imposición de la sanción exige, pues, de forma nítida, esa relación específica entre la Administración y el habilitado.</w:t>
      </w:r>
    </w:p>
    <w:p w:rsidR="00A90898" w:rsidRDefault="00A90898" w:rsidP="00A90898">
      <w:pPr>
        <w:pStyle w:val="TextoNormal"/>
      </w:pPr>
    </w:p>
    <w:p w:rsidR="00A90898" w:rsidRDefault="00A90898" w:rsidP="00A90898">
      <w:pPr>
        <w:pStyle w:val="TextoNormal"/>
      </w:pPr>
      <w:r>
        <w:t>De este modo, la interpretación efectuada en las resoluciones impugnadas, que identifica el mero incumplimiento de un deber de conducta normativamente impuesto con una inobservancia concreta a un requerimiento de colaboración efectuado por el poder gubernativo, desborda, a todas luces, los límites estructurales y semánticos de la infracción seleccionada, que queda convertida, en vía aplicativa, en un tipo de alcance universal. Es patente, por ello, no sólo la lesión del art. 25.1 CE, sino también la necesidad objetiva de que este Tribunal declare expresamente, con ocasión de tal vulneración, la inadmisibilidad constitucional de esa concepción expansiva del referido tipo de incumplimiento como una suerte de cláusula sancionatoria general.</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9</w:t>
      </w:r>
      <w:r>
        <w:t>. Lo hasta ahora señalado es suficiente para estimar el recurso interpuesto, ya que la Administración y el órgano judicial prescindieron, en su interpretación del sentido literal posible del precepto aplicado, de elementos típicos claramente exigidos por la norma. Esta circunstancia nos eximiría, en principio, de evaluar la corrección del juicio de subsunción, que, al no haber tenido en cuenta dichos elementos, no puede considerarse idóneo para aplicar aquella.</w:t>
      </w:r>
    </w:p>
    <w:p w:rsidR="00A90898" w:rsidRDefault="00A90898" w:rsidP="00A90898">
      <w:pPr>
        <w:pStyle w:val="TextoNormal"/>
      </w:pPr>
    </w:p>
    <w:p w:rsidR="00A90898" w:rsidRDefault="00A90898" w:rsidP="00A90898">
      <w:pPr>
        <w:pStyle w:val="TextoNormal"/>
      </w:pPr>
      <w:r>
        <w:t>Sin embargo, el Abogado del Estado plantea un argumento adicional para descartar la vulneración del derecho fundamental previsto en el art. 25.1 CE. En su opinión, aun aceptándose que el tipo sancionador exige un requerimiento concreto de colaboración, el examen del caso demuestra, a su juicio, que dicho requerimiento existió de facto, circunstancia que haría legítima, según razona, la subsunción de la conducta del recurrente en el art. 47 a) del Real Decreto 1678/1987. Dicho de otro modo: el error en la comprensión interpretativa del alcance del tipo sancionador resultaría intrascendente ya que en el expediente figuraban elementos fácticos suficientemente acreditados que habrían permitido aplicar la norma sancionadora de acuerdo con sus estrictos términos.</w:t>
      </w:r>
    </w:p>
    <w:p w:rsidR="00A90898" w:rsidRDefault="00A90898" w:rsidP="00A90898">
      <w:pPr>
        <w:pStyle w:val="TextoNormal"/>
      </w:pPr>
    </w:p>
    <w:p w:rsidR="00A90898" w:rsidRDefault="00A90898" w:rsidP="00A90898">
      <w:pPr>
        <w:pStyle w:val="TextoNormal"/>
      </w:pPr>
      <w:r>
        <w:t>Considera, en ese sentido, el representante de la Administración que en la transferencia de la pensión que la Administración realizó al habilitado se contenía, implícito, el requerimiento concreto que resultó, después, incumplido. Adicionalmente, afirma el Abogado del Estado que la comunicación de 28 de junio de 2010 de la Dirección General de Costes de Personal y Pensiones Públicas en que se anunciaba una inspección concretamente referida a verificar el cumplimiento de la obligación de desglose, contenía una intimación o requerimiento, igualmente implícitas, de cumplimiento. Y también estima, finalmente, que podrían considerarse intimaciones formales, en este sentido, tanto el requerimiento al habilitado de clases pasivas de “una muestra de 20 pensionistas de las nóminas de los meses de abril, mayo y junio de ese año 2010”, como el subsiguiente informe provisional desfavorable, efectuado el 14 de octubre de 2010 sobre la muestra analizada.</w:t>
      </w:r>
    </w:p>
    <w:p w:rsidR="00A90898" w:rsidRDefault="00A90898" w:rsidP="00A90898">
      <w:pPr>
        <w:pStyle w:val="TextoNormal"/>
      </w:pPr>
    </w:p>
    <w:p w:rsidR="00A90898" w:rsidRDefault="00A90898" w:rsidP="00A90898">
      <w:pPr>
        <w:pStyle w:val="TextoNormal"/>
      </w:pPr>
      <w:r>
        <w:t xml:space="preserve">Pues bien, cabe señalar, en primer lugar, que esta alegación del Abogado del Estado desborda claramente el objeto del presente recurso, que versa sobre las resoluciones administrativas y judiciales impugnadas, que no razonan, en ningún momento, que las comunicaciones administrativas aludidas por el representante procesal de la Administración constituyeran los requerimientos exigidos por el tipo sancionador aplicado. Al contrario, dichas resoluciones consideraron que tal requerimiento no era necesario y que bastaba un simple mandato legal para suplirlo. El Abogado del Estado reconstruye, pues, los fundamentos fácticos y jurídicos de la sanción en su día impuesta, reconstrucción </w:t>
      </w:r>
      <w:r w:rsidRPr="00A90898">
        <w:rPr>
          <w:i/>
        </w:rPr>
        <w:t>ex post facto</w:t>
      </w:r>
      <w:r>
        <w:t xml:space="preserve"> que, obviamente, resulta improcedente en esta sede.</w:t>
      </w:r>
    </w:p>
    <w:p w:rsidR="00A90898" w:rsidRDefault="00A90898" w:rsidP="00A90898">
      <w:pPr>
        <w:pStyle w:val="TextoNormal"/>
      </w:pPr>
    </w:p>
    <w:p w:rsidR="00A90898" w:rsidRDefault="00A90898" w:rsidP="00A90898">
      <w:pPr>
        <w:pStyle w:val="TextoNormal"/>
      </w:pPr>
      <w:r>
        <w:t xml:space="preserve">No obstante, cabe señalar, a mayor abundamiento, que la tesis del Abogado del Estado sobre la corrección (accidental) del juicio de subsunción tampoco cumple, en cualquier caso, con las mínimas exigencias de razonabilidad que derivan del art. 25.1 CE. En este sentido, es obvio que las comunicaciones efectuadas en el procedimiento de inspección fueron posteriores a la realización de la conducta que resultó sancionada. No pueden, por tanto, ser consideradas como requerimientos previos de colaboración sin forzar con ello, más allá de lo metodológicamente admisible, el juicio de subsunción en la norma, incurriendo en una quiebra lógica evidente. De otra parte, de todas estas comunicaciones, sólo la petición de </w:t>
      </w:r>
      <w:r>
        <w:lastRenderedPageBreak/>
        <w:t>información sobre la muestra de nóminas concretamente seleccionada constituyó un auténtico requerimiento de colaboración, susceptible de ser atendido, requerimiento que el propio Abogado del Estado reconoce en sus alegaciones que fue puntualmente cumplimentado por el recurrente de amparo y que, por ello, mal puede convertirse en el sustrato fáctico de una sanción por específico incumplimiento. Finalmente, el único acto de los señalados por el Abogado del Estado que antecede a la conducta sancionada, la transferencia al Habilitado del importe de la pensión de los mandantes, es una actuación puramente material de la que no puede inferirse, sin incurrir en irrazonabilidad manifiesta, la existencia de un requerimiento implícito.</w:t>
      </w:r>
    </w:p>
    <w:p w:rsidR="00A90898" w:rsidRDefault="00A90898" w:rsidP="00A90898">
      <w:pPr>
        <w:pStyle w:val="TextoNormal"/>
      </w:pPr>
    </w:p>
    <w:p w:rsidR="00A90898" w:rsidRDefault="00A90898" w:rsidP="00A90898">
      <w:pPr>
        <w:pStyle w:val="TextoNormal"/>
      </w:pPr>
      <w:r>
        <w:t xml:space="preserve">En suma, aun cuando los argumentos aportados —como se ha dicho, </w:t>
      </w:r>
      <w:r w:rsidRPr="00A90898">
        <w:rPr>
          <w:i/>
        </w:rPr>
        <w:t>a posteriori</w:t>
      </w:r>
      <w:r>
        <w:t xml:space="preserve"> y al margen de lo que razonan las resoluciones impugnadas— por el Abogado del Estado pudieran ser tomados en consideración, la conclusión no podría ser otra que la irrazonabilidad de la subsunción de la conducta en el tipo sancionador que le fue aplicado, con la consiguiente vulneración del derecho a la legalidad sancionadora del art. 25.1 CE.</w:t>
      </w:r>
    </w:p>
    <w:p w:rsidR="00A90898" w:rsidRDefault="00A90898" w:rsidP="00A90898">
      <w:pPr>
        <w:pStyle w:val="TextoNormal"/>
      </w:pPr>
    </w:p>
    <w:p w:rsidR="00A90898" w:rsidRDefault="00A90898" w:rsidP="00A90898">
      <w:pPr>
        <w:pStyle w:val="TextoNormal"/>
      </w:pPr>
      <w:r w:rsidRPr="00A90898">
        <w:rPr>
          <w:rStyle w:val="NumeroAFNegritaCaracter"/>
        </w:rPr>
        <w:t>10</w:t>
      </w:r>
      <w:r>
        <w:t>. Lo anteriormente expuesto debe conducir a la estimación del recurso de amparo y, con ello, a la declaración de nulidad de las resoluciones administrativas y judiciales impugnadas, que vulneraron el derecho fundamental del demandante.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don Juan José Martín Moreno, y, en su virtud:</w:t>
      </w:r>
    </w:p>
    <w:p w:rsidR="00A90898" w:rsidRDefault="00A90898" w:rsidP="00A90898">
      <w:pPr>
        <w:pStyle w:val="TextoNormal"/>
      </w:pPr>
    </w:p>
    <w:p w:rsidR="00A90898" w:rsidRDefault="00A90898" w:rsidP="00A90898">
      <w:pPr>
        <w:pStyle w:val="TextoNormal"/>
      </w:pPr>
      <w:r>
        <w:t>1º Reconocer el derecho del recurrente a la legalidad sancionadora (art. 25 CE).</w:t>
      </w:r>
    </w:p>
    <w:p w:rsidR="00A90898" w:rsidRDefault="00A90898" w:rsidP="00A90898">
      <w:pPr>
        <w:pStyle w:val="TextoNormal"/>
      </w:pPr>
    </w:p>
    <w:p w:rsidR="00A90898" w:rsidRDefault="00A90898" w:rsidP="00A90898">
      <w:pPr>
        <w:pStyle w:val="TextoNormal"/>
      </w:pPr>
      <w:r>
        <w:t>2º Restablecerlo en su derecho y, a tal fin, anular el Auto de 20 de noviembre de 2014 y la Sentencia del 31 de enero de 2014 del Juzgado Central de lo Contencioso-Administrativo núm. 12, dictados en el procedimiento abreviado núm. 331-2012, así como la resolución de 1 de junio de 2011 de la Subdirectora General de Recursos, Reclamaciones y Relaciones con la Justicia del Ministerio de Economía y Hacienda, y la resolución de 29 de marzo de 2011 del Director General de Costes de Personal y Pensiones Públicas.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0" w:name="SENTENCIA_2016_221"/>
      <w:r>
        <w:lastRenderedPageBreak/>
        <w:t>SENTENCIA 221/2016, de 19 de diciembre de 2016</w:t>
      </w:r>
    </w:p>
    <w:bookmarkEnd w:id="100"/>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ECLI:ES:TC:2016:221</w:t>
      </w:r>
    </w:p>
    <w:p w:rsidR="00A90898" w:rsidRDefault="00A90898" w:rsidP="00A90898">
      <w:pPr>
        <w:pStyle w:val="TextoNormalCentrado"/>
      </w:pPr>
    </w:p>
    <w:p w:rsidR="00A90898" w:rsidRDefault="00A90898" w:rsidP="00A90898">
      <w:pPr>
        <w:pStyle w:val="SntesisDescriptiva"/>
      </w:pPr>
      <w:r>
        <w:t>Recurso de amparo 2393-2015. Promovido por don Pablo Eduardo Estévez Boho y doña María del Mar Castaño Noguerol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Asunto sustancialmente idéntico al resuelto por la STC 148/2016, en relación con la doctrina sobre la vulneración del derecho a la tutela judicial efectiva como consecuencia de la exclusión o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r>
        <w:t>2.</w:t>
      </w:r>
      <w:r>
        <w:tab/>
        <w:t>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 xml:space="preserve">En el recurso de amparo núm. 2393-2015, promovido por don Pablo Eduardo Estévez Boho y doña María del Mar Castaño Noguerol, representados por la Procuradora de los Tribunales doña María José Rodríguez Teijeiro y asistidos por la Letrada doña Cristina Muntañola Álvarez, contra el Auto del Juzgado de lo Mercantil núm. 1 de Barcelona, de 20 de mayo de 2014 (procedimiento ordinario núm. 100-2014) —rectificado por Auto del propio Juzgado de 28 de mayo de 2014—, y contra el Auto de la Sección Decimoquinta de la Audiencia Provincial de Barcelona, de 19 de marzo de 2015, que desestimó el recurso de </w:t>
      </w:r>
      <w:r>
        <w:lastRenderedPageBreak/>
        <w:t>apelación (rollo núm. 417-2014) promovido contra la resolución anterior. Ha actuado como parte la entidad Caixabank, S.A., representada por el Procurador don Javier Segura Zariquiey y asistida por los Letrados don Víctor Mercedes y doña Gemma Aquillué. Ha intervenido el Ministerio Fiscal.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27 de abril de 2015, la Procuradora de los Tribunales doña María José Rodríguez Teijeiro, actuando en nombre de don Pablo Eduardo Estévez Boho y doña María del Mar Castaño Noguerol,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 xml:space="preserve">a) Con fecha 14 de enero de 2014, los ahora recurrentes en amparo interpusieron demanda de juicio ordinario frente a la entidad Caixabank, S.A., ejercitando conjuntamente una acción declarativa de nulidad de una condición general de la contratación y otra de reclamación de cantidad. Se alegaba por los recurrentes que, tras la constitución el día 6 de junio de 2005 de una hipoteca sobre la vivienda de su propiedad con el fin de garantizar la devolución del préstamo otorgado a su favor por la entidad Caja General de Ahorros de Canarias, se incluyó una cláusula sobre el tipo de interés aplicable a la vida del préstamo, signada como “tercera </w:t>
      </w:r>
      <w:r w:rsidRPr="00A90898">
        <w:rPr>
          <w:i/>
        </w:rPr>
        <w:t>bis</w:t>
      </w:r>
      <w:r>
        <w:t>”, donde se fijó que el tipo de interés durante los primeros 24 meses de vigencia del contrato sería del 2,70 por 100 anual; y que: “los sucesivos tipos de interés resultantes … será el resultado de adicionar un diferencial del 0,75 puntos al tipo de referencia, sin que en ningún caso puedan llegar a ser superiores al 5,95 por 100 ni inferiores al 3,000 por 100.”</w:t>
      </w:r>
    </w:p>
    <w:p w:rsidR="00A90898" w:rsidRDefault="00A90898" w:rsidP="00A90898">
      <w:pPr>
        <w:pStyle w:val="TextoNormal"/>
      </w:pPr>
    </w:p>
    <w:p w:rsidR="00A90898" w:rsidRDefault="00A90898" w:rsidP="00A90898">
      <w:pPr>
        <w:pStyle w:val="TextoNormal"/>
      </w:pPr>
      <w:r>
        <w:t>La demanda de los actores combatía precisamente el extremo de esa estipulación que hacía referencia al límite mínimo del 3 por 100 nominal anual, en referencia a lo que se conoce como “cláusula suelo”. Argumentaban aquéllos que dicha cláusula era nula de pleno derecho por abusiva, al no haber podido negociarse individualmente, resultar contraria a las exigencias de la buena fe y causar un desequilibrio contractual en su perjuicio, con incumplimiento del principio de transparencia en cuanto a la información de las consecuencias de la cláusula, teniendo en cuenta su condición jurídica de consumidores. Por ello, solicitaban, además de su nulidad, la devolución de lo pagado al prestatario en aplicación de la referida cláusula, con los intereses legales devengados.</w:t>
      </w:r>
    </w:p>
    <w:p w:rsidR="00A90898" w:rsidRDefault="00A90898" w:rsidP="00A90898">
      <w:pPr>
        <w:pStyle w:val="TextoNormal"/>
      </w:pPr>
    </w:p>
    <w:p w:rsidR="00A90898" w:rsidRDefault="00A90898" w:rsidP="00A90898">
      <w:pPr>
        <w:pStyle w:val="TextoNormal"/>
      </w:pPr>
      <w:r>
        <w:t xml:space="preserve">b) La demanda “sobre acción declarativa de nulidad de condición general de la contratación y acción de reclamación de cantidad” fue turnada al Juzgado de lo Mercantil núm. 1 de Barcelona y admitida a trámite en virtud de decreto de su Secretaría de 4 de abril de 2014. Conferido traslado de la misma a la parte demandada, la Entidad Caixabank, S.A., su representación procesal presentó escrito de personación en las actuaciones el 30 de abril de 2014, formulando en el mismo, bajo un apartado de “alegaciones”, la petición de sobreseimiento del proceso por existir a criterio de dicha parte litispendencia o, en su defecto, prejudicialidad civil, respecto del procedimiento instado por la Asociación de usuarios de Bancos, Cajas </w:t>
      </w:r>
      <w:r>
        <w:lastRenderedPageBreak/>
        <w:t>de Ahorros y Seguros de España (ADICAE), para la protección de derechos e intereses colectivos y difusos de consumidores y usuarios, conforme a demanda de la que se aportaba copia de su “cabecera y suplico”, autos seguido ante el Juzgado de lo Mercantil núm. 11 de Madrid (procedimiento ordinario núm. 471-2010) donde se impugnaba, entre otras, la cláusula suelo de la demandada.</w:t>
      </w:r>
    </w:p>
    <w:p w:rsidR="00A90898" w:rsidRDefault="00A90898" w:rsidP="00A90898">
      <w:pPr>
        <w:pStyle w:val="TextoNormal"/>
      </w:pPr>
    </w:p>
    <w:p w:rsidR="00A90898" w:rsidRDefault="00A90898" w:rsidP="00A90898">
      <w:pPr>
        <w:pStyle w:val="TextoNormal"/>
      </w:pPr>
      <w:r>
        <w:t>La Secretaría del Juzgado dictó diligencia de ordenación el 5 de mayo de 2014, por la que ordenó dar traslado del escrito a la parte actora, para que dentro del plazo de cinco días presentase alegaciones respecto de la excepción de prejudicialidad civil planteada por la demandada. La representación procesal de los actores presentó en su respuesta escrito el 12 de mayo de 2014 oponiéndose a la excepción indicada, al entender que no concurren los requisitos legales para ello.</w:t>
      </w:r>
    </w:p>
    <w:p w:rsidR="00A90898" w:rsidRDefault="00A90898" w:rsidP="00A90898">
      <w:pPr>
        <w:pStyle w:val="TextoNormal"/>
      </w:pPr>
    </w:p>
    <w:p w:rsidR="00A90898" w:rsidRDefault="00A90898" w:rsidP="00A90898">
      <w:pPr>
        <w:pStyle w:val="TextoNormal"/>
      </w:pPr>
      <w:r>
        <w:t>Por nueva diligencia de ordenación de la Secretaría del Juzgado, de 13 de mayo de 2014, se acordó unir a las actuaciones el escrito presentado por el Procurador de los actores, quedando los autos “en poder de S.Sª. para resolver lo procedente”.</w:t>
      </w:r>
    </w:p>
    <w:p w:rsidR="00A90898" w:rsidRDefault="00A90898" w:rsidP="00A90898">
      <w:pPr>
        <w:pStyle w:val="TextoNormal"/>
      </w:pPr>
    </w:p>
    <w:p w:rsidR="00A90898" w:rsidRDefault="00A90898" w:rsidP="00A90898">
      <w:pPr>
        <w:pStyle w:val="TextoNormal"/>
      </w:pPr>
      <w:r>
        <w:t>La parte demandada presentó el 15 de mayo de 2014 el escrito de contestación a la demanda, limitándose a oponerse al fondo de las pretensiones suscitadas en la demanda, solicitando en Sentencia su desestimación íntegra.</w:t>
      </w:r>
    </w:p>
    <w:p w:rsidR="00A90898" w:rsidRDefault="00A90898" w:rsidP="00A90898">
      <w:pPr>
        <w:pStyle w:val="TextoNormal"/>
      </w:pPr>
    </w:p>
    <w:p w:rsidR="00A90898" w:rsidRDefault="00A90898" w:rsidP="00A90898">
      <w:pPr>
        <w:pStyle w:val="TextoNormal"/>
      </w:pPr>
      <w:r>
        <w:t>c) La Secretaría del Juzgado dictó diligencia de ordenación el 19 de mayo de 2014, teniendo por presentado el escrito de contestación a la demanda e indicando lo que sigue: “con carácter previo a señalar audiencia previa, continúen los Autos en poder de S.Sª. para dictar la correspondiente resolución respecto a la excepción de prejudicialidad civil”.</w:t>
      </w:r>
    </w:p>
    <w:p w:rsidR="00A90898" w:rsidRDefault="00A90898" w:rsidP="00A90898">
      <w:pPr>
        <w:pStyle w:val="TextoNormal"/>
      </w:pPr>
    </w:p>
    <w:p w:rsidR="00A90898" w:rsidRDefault="00A90898" w:rsidP="00A90898">
      <w:pPr>
        <w:pStyle w:val="TextoNormal"/>
      </w:pPr>
      <w:r>
        <w:t>d) Al día siguiente, 20 de mayo de 2014, el Juzgado dictó Auto estimatorio de la excepción de prejudicialidad civil planteada por la representación de Caixabank, S.A., y la suspensión del procedimiento hasta que recayera resolución firme en el proceso seguido ante el Juzgado de lo Mercantil núm. 11 de Madrid. En su fundamentación, el Juzgado, luego de reconocer la complejidad de la cuestión que le había sido suscitada por la dificultad de tener que “compatibilizar los diferentes intereses en juego” y de señalar que, de una parte, el art. 11.1 de la Ley de enjuiciamiento civil (LEC) reconocía legitimación a las asociaciones de consumidores y usuarios para defender los intereses de éstos, pero también, de otra, confería legitimación activa a los consumidores individuales para defender sus propios intereses, permitiendo extender los efectos de la cosa juzgada material a los consumidores no litigantes, destacaba de modo textual en su fundamento jurídico 3 que tal circunstancia “implicaría que promovido un pleito con las mismas pretensiones por una asociación de consumidores no pudieran plantearse acciones individuales o las que se plantearan fueran sobreseídas, art. 421 LEC, mientras que si la coincidencia no es total sino parcial, el procedimiento tendría que suspenderse por prejudicialidad civil, art. 421.1 y 43 LEC”. Por ello y, según refería la resolución, para evitar “resoluciones contradictorias” y con apoyo, también, en un precedente Auto de la Sección Decimoquinta de la Audiencia Provincial de Barcelona (de 11 de junio de 2013), que, según razonaba el Juzgado, era similar al de autos, estimó procedente la existencia de una prejudicialidad civil, conforme prevé el art. 43 LEC, y acordó pues la suspensión del procedimiento hasta tanto fuera resuelto el seguido ante el Juzgado de lo Mercantil núm. 11 de Madrid.</w:t>
      </w:r>
    </w:p>
    <w:p w:rsidR="00A90898" w:rsidRDefault="00A90898" w:rsidP="00A90898">
      <w:pPr>
        <w:pStyle w:val="TextoNormal"/>
      </w:pPr>
    </w:p>
    <w:p w:rsidR="00A90898" w:rsidRDefault="00A90898" w:rsidP="00A90898">
      <w:pPr>
        <w:pStyle w:val="TextoNormal"/>
      </w:pPr>
      <w:r>
        <w:lastRenderedPageBreak/>
        <w:t>Esta resolución fue aclarada por Auto de 28 de mayo de 2014, rectificando error material en cuanto a la identidad del procurador de la parte promotora de la excepción procesal apreciada.</w:t>
      </w:r>
    </w:p>
    <w:p w:rsidR="00A90898" w:rsidRDefault="00A90898" w:rsidP="00A90898">
      <w:pPr>
        <w:pStyle w:val="TextoNormal"/>
      </w:pPr>
    </w:p>
    <w:p w:rsidR="00A90898" w:rsidRDefault="00A90898" w:rsidP="00A90898">
      <w:pPr>
        <w:pStyle w:val="TextoNormal"/>
      </w:pPr>
      <w:r>
        <w:t>e) Contra el indicado Auto de 20 de mayo de 2014, la parte actora interpuso recurso de apelación en el que, además de alegar en el plano de la legalidad ordinaria la infracción del art. 43 LEC y argumentar que el ejercicio de la acción colectiva por parte de ADICAE no impedía a los interesados ejercitar las acciones individuales que tuvieran por conveniente con base en lo previsto en el art. 11.1 LEC, los recurrentes sostuvieron que la tesis del Juzgado conducía a una vulneración del derecho fundamental a la tutela judicial efectiva, consagrado en el art. 24.1 CE.</w:t>
      </w:r>
    </w:p>
    <w:p w:rsidR="00A90898" w:rsidRDefault="00A90898" w:rsidP="00A90898">
      <w:pPr>
        <w:pStyle w:val="TextoNormal"/>
      </w:pPr>
    </w:p>
    <w:p w:rsidR="00A90898" w:rsidRDefault="00A90898" w:rsidP="00A90898">
      <w:pPr>
        <w:pStyle w:val="TextoNormal"/>
      </w:pPr>
      <w:r>
        <w:t>f) La Sección Decimoquinta de la Audiencia Provincial de Barcelona dictó Auto el día 19 de marzo de 2015, en el seno del rollo de apelación 417-2014,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 sin expresa imposición de costas por apreciar “dudas de derecho”.</w:t>
      </w:r>
    </w:p>
    <w:p w:rsidR="00A90898" w:rsidRDefault="00A90898" w:rsidP="00A90898">
      <w:pPr>
        <w:pStyle w:val="TextoNormal"/>
      </w:pPr>
    </w:p>
    <w:p w:rsidR="00A90898" w:rsidRDefault="00A90898" w:rsidP="00A90898">
      <w:pPr>
        <w:pStyle w:val="TextoNormal"/>
      </w:pPr>
      <w:r>
        <w:t>Los argumentos desplegados por el Auto de referencia (FFJJ 3 a 5) para tomar su decisión fueron, en síntesis, los siguientes:</w:t>
      </w:r>
    </w:p>
    <w:p w:rsidR="00A90898" w:rsidRDefault="00A90898" w:rsidP="00A90898">
      <w:pPr>
        <w:pStyle w:val="TextoNormal"/>
      </w:pPr>
    </w:p>
    <w:p w:rsidR="00A90898" w:rsidRDefault="00A90898" w:rsidP="00A90898">
      <w:pPr>
        <w:pStyle w:val="TextoNormal"/>
      </w:pPr>
      <w:r>
        <w:t>En primer lugar (fundamento jurídico 3), con apoyo en el art. 222.3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 15 LEC, esto es, intervenir en el proceso, o bien solicitar la acumulación de la acción individual a la colectiva (siempre que se cumplan los requisitos que exige el art. 76.2.1 LEC) o interesar la extensión de los efectos del pronunciamiento en fase de ejecución (art.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Afirma (fundamento jurídico 4) que tiene razón la recurrente cuando alega que no se cumplen en el supuesto enjuiciado los presupuestos establecidos en el art. 43 LEC, norma que regula la prejudicialidad civil, sino que existe identidad de objeto “porque la condición general impugnada en ambos en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00A90898" w:rsidRDefault="00A90898" w:rsidP="00A90898">
      <w:pPr>
        <w:pStyle w:val="TextoNormal"/>
      </w:pPr>
    </w:p>
    <w:p w:rsidR="00A90898" w:rsidRDefault="00A90898" w:rsidP="00A90898">
      <w:pPr>
        <w:pStyle w:val="TextoNormal"/>
      </w:pPr>
      <w:r>
        <w:lastRenderedPageBreak/>
        <w:t>En segundo término (fundamento jurídico 6), la Sala arguye que, aun cuando el art. 11.1 LEC reconozca legitimación activa a los perjudicados titulares de acciones individuales, tal circunstancia no se opone a la apreciación de litispendencia, pues sostiene que el hecho de que “tengan legitimación activa los perjudicados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ni se les impide el acceso a la tutela sino que únicamente se condiciona el ejercicio de las acciones individuales de una forma concreta y determinada (acumulada a otras, las colectivas), de manera que permite conciliar esos derechos individuales con los de los demás afectados”. Se trataría por tanto, concluye, de “normas de organización procesal que pretenden salvaguardar el interés general (los intereses colectivos) y el buen orden procesal (la cosa juzgada)”.</w:t>
      </w:r>
    </w:p>
    <w:p w:rsidR="00A90898" w:rsidRDefault="00A90898" w:rsidP="00A90898">
      <w:pPr>
        <w:pStyle w:val="TextoNormal"/>
      </w:pPr>
    </w:p>
    <w:p w:rsidR="00A90898" w:rsidRDefault="00A90898" w:rsidP="00A90898">
      <w:pPr>
        <w:pStyle w:val="TextoNormal"/>
      </w:pPr>
      <w:r w:rsidRPr="00A90898">
        <w:rPr>
          <w:rStyle w:val="NumeroAFNegritaCaracter"/>
        </w:rPr>
        <w:t>3</w:t>
      </w:r>
      <w:r>
        <w:t>. Los actores formalizaron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00A90898" w:rsidRDefault="00A90898" w:rsidP="00A90898">
      <w:pPr>
        <w:pStyle w:val="TextoNormal"/>
      </w:pPr>
    </w:p>
    <w:p w:rsidR="00A90898" w:rsidRDefault="00A90898" w:rsidP="00A90898">
      <w:pPr>
        <w:pStyle w:val="TextoNormal"/>
      </w:pPr>
      <w:r>
        <w:t xml:space="preserve">Más adelante, en el bloque de fundamentos de derecho procesales, en concreto en el epígrafe dedicado al requisito del debido agotamiento de la vía judicial previa al amparo, art. 44.1 a) de la Ley Orgánica del Tribunal Constitucional (LOTC), la demanda explica que dicha parte actora “ha tenido serias dificultades” para su cumplimiento. Que, siendo el Auto de la Audiencia Provincial firme y no caber contra él recurso alguno, “parecía claro que la vía judicial previa al recurso de amparo se agotaba con la interposición del recurso de nulidad de actuaciones ante el órgano que dictó dicha resolución”. Sin embargo, prosigue diciendo la demanda, “dicha interpretación, fue pacífica hasta que el Tribunal Constitucional, en Pleno, dictó la STC 216/2013, de 19 de diciembre”, de la que reproduce su fundamento jurídico 2 d), donde se declara que, para el agotamiento de la vía judicial previa, “basta comprobar que los órganos judiciales han tenido la oportunidad de pronunciarse sobre los derechos fundamentales luego invocados en vía de amparo constitucional, para estimar cumplido el mencionado requisito”, por lo que “cuando el objeto del proceso consista en el estudio de la lesión directa del derecho … consecuencia de la revocación de las sentencias de las instancias previas, no requiere la necesaria interposición del incidente de nulidad”. Añade el escrito que la disyuntiva entre interponer el incidente o no hacerlo “no es baladí, ya que optar por la interposición del recurso sin ser necesario conllevaría una interposición </w:t>
      </w:r>
      <w:r>
        <w:lastRenderedPageBreak/>
        <w:t>extemporánea del recurso de amparo, y no interponerlo siendo preceptivo conllevaría una inadmisión del recurso por no cumplir el requisito del agotamiento previo de la vía judicial”. Y finaliza en este punto la demanda diciendo que “en consecuencia, esta parte ha llegado a la conclusión que en este supuesto no es necesaria la interposición del recurso [</w:t>
      </w:r>
      <w:r w:rsidRPr="00A90898">
        <w:rPr>
          <w:i/>
        </w:rPr>
        <w:t>sic</w:t>
      </w:r>
      <w:r>
        <w:t>] de nulidad de actuaciones y que, por tanto, debemos interponer directamente el presente recurso de amparo, habida cuenta que el órgano judicial que dictó el Auto, recurrido ahora en amparo, ya tuvo oportunidad de pronunciarse sobre la vulneración del derecho fundamental objeto de la presente demanda (art. 24. CE) entendiendo que no existía ‘afectación alguna relevante desde la perspectiva del art. 24 CE’, por ende, ha de concluirse que se han agotado todos los recursos preceptivos de la vía judicial”.</w:t>
      </w:r>
    </w:p>
    <w:p w:rsidR="00A90898" w:rsidRDefault="00A90898" w:rsidP="00A90898">
      <w:pPr>
        <w:pStyle w:val="TextoNormal"/>
      </w:pPr>
    </w:p>
    <w:p w:rsidR="00A90898" w:rsidRDefault="00A90898" w:rsidP="00A90898">
      <w:pPr>
        <w:pStyle w:val="TextoNormal"/>
      </w:pPr>
      <w: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del canon del principio </w:t>
      </w:r>
      <w:r w:rsidRPr="00A90898">
        <w:rPr>
          <w:i/>
        </w:rPr>
        <w:t>pro actione</w:t>
      </w:r>
      <w:r>
        <w:t xml:space="preserve">,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Tras citar la recomendación de 11 de junio de 2013 de la Comisión Europea, defiende que no hay peligro en estos casos de sentencias contradictorias “pues los intereses en juego en cada una de las acciones es distinto y tanto más cuando, como es el caso, los recurrentes no forman parte del elenco de los concretos intereses defendidos en el otro proceso ni tan siquiera que hayan sido llamados a ese proceso lo que, en todo caso, no puede constituirse ni en una obligación ni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w:t>
      </w:r>
      <w:r w:rsidRPr="00A90898">
        <w:rPr>
          <w:i/>
        </w:rPr>
        <w:t>causa petendi</w:t>
      </w:r>
      <w:r>
        <w:t xml:space="preserve"> entre la acción ejercida por esta parte y la acción colectiva interpuesta por ADICAE y que se sustancia en el Juzgado Mercantil núm. 11 de Madrid”. Insiste finalmente en una lectura integrada de los arts. 11.1 LEC y 24.1 CE, para no excluir el ejercicio de las acciones individuales.</w:t>
      </w:r>
    </w:p>
    <w:p w:rsidR="00A90898" w:rsidRDefault="00A90898" w:rsidP="00A90898">
      <w:pPr>
        <w:pStyle w:val="TextoNormal"/>
      </w:pPr>
    </w:p>
    <w:p w:rsidR="00A90898" w:rsidRDefault="00A90898" w:rsidP="00A90898">
      <w:pPr>
        <w:pStyle w:val="TextoNormal"/>
      </w:pPr>
      <w:r>
        <w:t>El suplico de la demanda solicita la declaración de nulidad del Auto de la Sección Decimoquinta de la Audiencia Provincial de Barcelona, de 19 de marzo de 2015 y que, como consecuencia de ello, “se ordene la emisión de una sentencia sobre el fondo según las pretensiones y peticiones de las partes que constan en los autos, restableciendo de este modo los derechos a la tutela judicial efectiva de los recurrentes”.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diligencia de ordenación de 30 de abril de 2015, la Secretaría de Justicia de la Sección Cuarta de este Tribunal requirió al Procurador de los recurrentes para que apor</w:t>
      </w:r>
      <w:r>
        <w:lastRenderedPageBreak/>
        <w:t>tara copia del Auto dictado por el Juzgado de lo Mercantil núm. 1 de Barcelona, y la escritura de poder que acredita la representación. El requerimiento fue cumplimentado por dicha representación procesal, a través de escrito presentado el 8 de mayo de 2015.</w:t>
      </w:r>
    </w:p>
    <w:p w:rsidR="00A90898" w:rsidRDefault="00A90898" w:rsidP="00A90898">
      <w:pPr>
        <w:pStyle w:val="TextoNormal"/>
      </w:pPr>
    </w:p>
    <w:p w:rsidR="00A90898" w:rsidRDefault="00A90898" w:rsidP="00A90898">
      <w:pPr>
        <w:pStyle w:val="TextoNormal"/>
      </w:pPr>
      <w:r w:rsidRPr="00A90898">
        <w:rPr>
          <w:rStyle w:val="NumeroAFNegritaCaracter"/>
        </w:rPr>
        <w:t>5</w:t>
      </w:r>
      <w:r>
        <w:t>. Con fecha 6 de octubre de 2015, la Sección Tercera, Sala Segunda, de este Tribunal, dictó providencia admitiendo a trámite la demanda de amparo, “apreciando que concurre en el mismo una especial trascendencia constitucional (art. 50.1 LOTC) como consecuencia de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1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Por medio de escrito presentado el día 11 de noviembre de 2015, el Procurador de los Tribunales don Javier Segura Zariquiey vino a personarse en nombre y representación de la entidad Caixabank, S.A., solicitando se entendieran con él las sucesivas diligencias y notificaciones.</w:t>
      </w:r>
    </w:p>
    <w:p w:rsidR="00A90898" w:rsidRDefault="00A90898" w:rsidP="00A90898">
      <w:pPr>
        <w:pStyle w:val="TextoNormal"/>
      </w:pPr>
    </w:p>
    <w:p w:rsidR="00A90898" w:rsidRDefault="00A90898" w:rsidP="00A90898">
      <w:pPr>
        <w:pStyle w:val="TextoNormal"/>
      </w:pPr>
      <w:r w:rsidRPr="00A90898">
        <w:rPr>
          <w:rStyle w:val="NumeroAFNegritaCaracter"/>
        </w:rPr>
        <w:t>7</w:t>
      </w:r>
      <w:r>
        <w:t>. La Secretaría de Justicia de la Sala Segunda de este Tribunal dictó diligencia de ordenación el día 26 de noviembre de 2015, por la que tuvo por personado y parte en el procedimiento al Procurador indicado, en nombre y representación de Caixabank, S.A., si bien con la condición de que en el plazo de diez días aportase la escritura de poder acreditativa de tal representación, lo que efectuó el día 14 de diciembre siguiente. Asimismo, en la diligencia de ordenación del día 26 de noviembre se acordó abrir trámite de audiencia por veinte días a las partes personadas y al Ministerio Fiscal, a fin de que pudieran presentar alegaciones conforme determina el art. 52.1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día 5 de enero de 2016, la representante procesal de los recurrentes en amparo presentó sus alegaciones, informando que ante el Tribunal de Justicia de la Unión Europea pendía una cuestión prejudicial relativa a la interpretación de la Directiva 91/13/CEE [sic], del Consejo, de 5 de abril de 1993, sobre las cláusulas abusivas en los contratos celebrados con consumidores, en la que se plantea “si el art. 7 de dicha Directiva se opone a una normativa procesal nacional según la cual los procedimientos judiciales individuales sobre cláusulas abusivas, entablados paralelamente a procedimientos colectivos, deben suspenderse, por existir prejudicialidad civil, hasta que recaiga sentencia firme en los procedimientos colectivos, quedando también vinculados a lo que se decida en dicha sentencia”. En relación a dicho procedimiento, se aportó informe del servicio jurídico de la Comisión Europea en los asuntos acumulados C-381/14 y C-385/14, cuyo criterio “es relevante y debe ser conocido por este Alto Tribunal”, acompañando copia del mismo, y reproduciendo varios de sus apartados así como su conclusión, según la cual una norma nacional que prevea suspender los procedimientos individuales hasta que recaiga sentencia firme en los procesos colectivos, se opone al art. 7 de la Directiva 93/13/CEE.</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9</w:t>
      </w:r>
      <w:r>
        <w:t>. En la misma fecha, 5 de enero de 2016, se formalizó escrito de alegaciones por el representante procesal de la entidad Caixabank, S.A. Como primer punto, se alega la infracción del requisito de procedibilidad del art. 44.1 a) LOTC, referido al agotamiento previo de la vía judicial. Se fundamenta dicho óbice en que el escrito de interposición del recurso de apelación apenas invierte dos líneas en denunciar la lesión del derecho a la tutela judicial efectiva (art. 24.1 CE), sin ofrecer una argumentación más detallada al respecto, por lo que en consonancia con ello la respuesta del órgano judicial alcanza la misma extensión en su último fundamento jurídico titulado “Otras consideraciones adicionales”. De aquí colige que “no puede considerarse determinante que el tribunal de apelación haya entrado a analizar la posible infracción constitucional ahora invocada de adverso”.</w:t>
      </w:r>
    </w:p>
    <w:p w:rsidR="00A90898" w:rsidRDefault="00A90898" w:rsidP="00A90898">
      <w:pPr>
        <w:pStyle w:val="TextoNormal"/>
      </w:pPr>
    </w:p>
    <w:p w:rsidR="00A90898" w:rsidRDefault="00A90898" w:rsidP="00A90898">
      <w:pPr>
        <w:pStyle w:val="TextoNormal"/>
      </w:pPr>
      <w:r>
        <w:t>Por lo que se refiere a la cuestión de fondo, sostiene la entidad bancaria que la demanda de amparo tampoco dedica una alegación específica en torno a los términos en que se produce la lesión del art. 24.1 CE, más bien genérica. En todo caso, y efectuando una interpretación de las normas procesales aplicadas por la resolución recurrida, afirma que no hay la vulneración que se aduce de contrario, porque los consumidores y usuarios tienen legitimación para ejercitar una acción individual, se colige que “los perjudicados tengan vedada” la posibilidad de iniciar ésta “con el mismo objeto que la acción colectiva una vez se ha dado curso a la referida acción colectiva”.</w:t>
      </w:r>
    </w:p>
    <w:p w:rsidR="00A90898" w:rsidRDefault="00A90898" w:rsidP="00A90898">
      <w:pPr>
        <w:pStyle w:val="TextoNormal"/>
      </w:pPr>
    </w:p>
    <w:p w:rsidR="00A90898" w:rsidRDefault="00A90898" w:rsidP="00A90898">
      <w:pPr>
        <w:pStyle w:val="TextoNormal"/>
      </w:pPr>
      <w:r w:rsidRPr="00A90898">
        <w:rPr>
          <w:rStyle w:val="NumeroAFNegritaCaracter"/>
        </w:rPr>
        <w:t>10</w:t>
      </w:r>
      <w:r>
        <w:t>. El Ministerio Fiscal formalizó su escrito de alegaciones con fecha 20 de enero de 2016, interesando la estimación del amparo “por entender que el Auto dictado por el Juzgado de lo Mercantil … y el Auto … de la Audiencia Provincial de Barcelona desestimando el recurso de apelación contra el anterior, han vulnerado el art. 24.1 CE que tutela el derecho de los demandantes de amparo a tener acceso al proceso y a obtener una resolución de fondo, restableciendo a los demandantes en amparo en el goce de su derecho fundamental”.</w:t>
      </w:r>
    </w:p>
    <w:p w:rsidR="00A90898" w:rsidRDefault="00A90898" w:rsidP="00A90898">
      <w:pPr>
        <w:pStyle w:val="TextoNormal"/>
      </w:pPr>
    </w:p>
    <w:p w:rsidR="00A90898" w:rsidRDefault="00A90898" w:rsidP="00A90898">
      <w:pPr>
        <w:pStyle w:val="TextoNormal"/>
      </w:pPr>
      <w:r>
        <w:t>Tras exponer los antecedentes de hecho, se precisa que “son dos las resoluciones judiciales impugnadas porque en ambas, tanto en la de instancia como en la de apelación, se deniega el acceso a la jurisdicción, si bien por motivos diferentes”; la del Juzgado acordando la suspensión por prejudicialidad, y la Audiencia el archivo del procedimiento por litispendencia. Así, “siendo motivaciones distintas las que impiden el acceso a la jurisdicción de las demandantes de amparo, ambas tienen un nexo común, cual es la finalidad de ambas resoluciones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A90898" w:rsidRDefault="00A90898" w:rsidP="00A90898">
      <w:pPr>
        <w:pStyle w:val="TextoNormal"/>
      </w:pPr>
    </w:p>
    <w:p w:rsidR="00A90898" w:rsidRDefault="00A90898" w:rsidP="00A90898">
      <w:pPr>
        <w:pStyle w:val="TextoNormal"/>
      </w:pPr>
      <w:r>
        <w:t xml:space="preserve">En relación al motivo de fondo del recurso, el Ministerio público se centra en el art. 11.1 LEC, del que observa que prevé la legitimación de las asociaciones de consumidores y usuarios para ejercitar acciones en defensa de los intereses generales de éstos, “sin perjuicio de la legitimación individual de los perjudicados”, quedando así establecida la compatibilidad entre ambas. Pasa a referirse a los razonamientos dados en el Auto del Juzgado de lo Mercantil núm. 1 de Barcelona, y critica la solución de suspender el procedimiento hasta que recaiga sentencia firme en la causa seguida por ADICAE ante el Juzgado de lo Mercantil núm. 11 de Madrid, al no tratarse de las mismas partes, “porque en el proceso previo es una </w:t>
      </w:r>
      <w:r>
        <w:lastRenderedPageBreak/>
        <w:t>asociación de consumidores y en el proceso que se encuentra en el origen del presente recurso son los demandantes de amparo, que ni consta pertenezcan a la asociación demandante ni tan siquiera que hayan sido llamados a dicho proceso”.</w:t>
      </w:r>
    </w:p>
    <w:p w:rsidR="00A90898" w:rsidRDefault="00A90898" w:rsidP="00A90898">
      <w:pPr>
        <w:pStyle w:val="TextoNormal"/>
      </w:pPr>
    </w:p>
    <w:p w:rsidR="00A90898" w:rsidRDefault="00A90898" w:rsidP="00A90898">
      <w:pPr>
        <w:pStyle w:val="TextoNormal"/>
      </w:pPr>
      <w:r>
        <w:t>Así las cosas, 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 xml:space="preserve">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las relaciones procesales existentes en aquél, el momento procesal en que se encontraba su tramitación y lo actuado hasta ese momento, así como los llamamientos a quienes pudieran ser parte en el mismo al tenor de los arts. 11 y 15 LEC, no se contiene razonamiento alguno encaminado a demostrar las exigencias del art. 43 LEC para poder decidir si concurría o no prejudicialidad civil … en ningún momento concreta ni razona cuales sean las similitudes y las diferencias que le permitan llegar a esa conclusión; un déficit argumentativo y fundamentador que es de alcance grave para con una decisión de tanta relevancia como lo es la suspensión de un proceso y el impedimento, al menos momentáneo, de que prospere el </w:t>
      </w:r>
      <w:r w:rsidRPr="00A90898">
        <w:rPr>
          <w:i/>
        </w:rPr>
        <w:t>petitum</w:t>
      </w:r>
      <w:r>
        <w:t xml:space="preserve"> de los demandantes”.</w:t>
      </w:r>
    </w:p>
    <w:p w:rsidR="00A90898" w:rsidRDefault="00A90898" w:rsidP="00A90898">
      <w:pPr>
        <w:pStyle w:val="TextoNormal"/>
      </w:pPr>
    </w:p>
    <w:p w:rsidR="00A90898" w:rsidRDefault="00A90898" w:rsidP="00A90898">
      <w:pPr>
        <w:pStyle w:val="TextoNormal"/>
      </w:pPr>
      <w:r>
        <w:t>Y en segundo lugar, prosigue diciendo, porque tampoco el Auto del Juzgado motiva por qué no era posible acordar la acumulación de procesos antes de tener que llegar a la solución de declarar la prejudicialidad, lo que supone “un nuevo ataque al deber de fundamentación de una resolución” cuya necesidad de motivación es “alta y exigente por las consecuencias anudadas a la misma”, conforme “la constante jurisprudencia constitucional en relación con el art. 24.1 CE”.</w:t>
      </w:r>
    </w:p>
    <w:p w:rsidR="00A90898" w:rsidRDefault="00A90898" w:rsidP="00A90898">
      <w:pPr>
        <w:pStyle w:val="TextoNormal"/>
      </w:pPr>
    </w:p>
    <w:p w:rsidR="00A90898" w:rsidRDefault="00A90898" w:rsidP="00A90898">
      <w:pPr>
        <w:pStyle w:val="TextoNormal"/>
      </w:pPr>
      <w:r>
        <w:t>De la resolución de apelación, considera a su vez el Fiscal que “incide en los mismos defectos constitucionales que hemos atribuido a la de instancia”.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al efecto las consideraciones efectuadas ya a propósito del Auto del Juzgado.</w:t>
      </w:r>
    </w:p>
    <w:p w:rsidR="00A90898" w:rsidRDefault="00A90898" w:rsidP="00A90898">
      <w:pPr>
        <w:pStyle w:val="TextoNormal"/>
      </w:pPr>
    </w:p>
    <w:p w:rsidR="00A90898" w:rsidRDefault="00A90898" w:rsidP="00A90898">
      <w:pPr>
        <w:pStyle w:val="TextoNormal"/>
      </w:pPr>
      <w:r>
        <w:t xml:space="preserve">A continuación, cuestiona la declaración de oficio de la litispendencia hecha por la Audiencia, lo que “podría suponer la vulneración del derecho a no padecer indefensión anudada a incongruencia </w:t>
      </w:r>
      <w:r w:rsidRPr="00A90898">
        <w:rPr>
          <w:i/>
        </w:rPr>
        <w:t>extrapetita</w:t>
      </w:r>
      <w:r>
        <w:t xml:space="preserve"> (art. 24.1 CE) e incluso del proceso debido (art. 24.2 CE)”. De otro lado, observa que el contenido de algunas sentencias dictadas en materia de cláusulas abusivas tanto por la Sala Primera del Tribunal Supremo, como por el Tribunal de Justicia de la Unión Europea, revelan la complejidad de estos asuntos, frente a la cual los Autos aquí </w:t>
      </w:r>
      <w:r>
        <w:lastRenderedPageBreak/>
        <w:t>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11</w:t>
      </w:r>
      <w:r>
        <w:t>. La representación procesal de los recurrentes presentó escrito el 9 de septiembre de 2016, por la que alega que el Tribunal de Justicia de la Unión Europea ha dictado Sentencia el 14 de abril previo, en las cuestiones prejudiciales referidas en su escrito de alegaciones del art. 52 LOTC; Sentencia cuya copia acompaña como documento núm. 1. Tras hacer transcripción del fallo, el escrito señala lo siguiente: “Por lo que siendo compatibles las acciones individuales, cuando existan acciones colectivas que versen sobre el mismo asunto, interesamos que sean devueltos los autos a la Sección Decimoquinta de la Audiencia Provincial de Barcelona, a fin de que sí se pronuncie sobre el fondo del asunto y dicte sentencia sobre el fondo. Esta parte entiende, dicho con los debidos respetos, que carece de sentido que la Sala Segunda del Tribunal Constitucional al que me dirijo, entre a conocer del recurso de amparo planteado, al ya haber sido resuelta la cuestión que motivó la interposición del recurso por el Tribunal de Justicia de la Unión Europea”. Y suplica que “habiéndose producido una carencia sobrevenida del objeto en cuanto a resolver sobre si se estimaba o no la excepción de litispendencia, se devuelvan los autos a la sección 15ª de la Audiencia Provincial de Barcelona para que entre a conocer del fondo del asunto, al haber sido resuelta la cuestión prejudicial por la que este órgano estimó la excepción de litispendencia”.</w:t>
      </w:r>
    </w:p>
    <w:p w:rsidR="00A90898" w:rsidRDefault="00A90898" w:rsidP="00A90898">
      <w:pPr>
        <w:pStyle w:val="TextoNormal"/>
      </w:pPr>
    </w:p>
    <w:p w:rsidR="00A90898" w:rsidRDefault="00A90898" w:rsidP="00A90898">
      <w:pPr>
        <w:pStyle w:val="TextoNormal"/>
      </w:pPr>
      <w:r>
        <w:t>La Secretaría de Justicia de la Sección Tercera de este Tribunal dictó diligencia de ordenación el 12 de septiembre de 2016, acordando unir a las actuaciones el mencionado escrito.</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15 de diciembre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demanda de amparo solicita en su suplico, por los motivos que expone en sus fundamentos y que luego se analizarán, que este Tribunal declare la nulidad del Auto de la Sección Decimoquinta de la Audiencia Provincial de Barcelona dictado el 19 de marzo de 2015, por vulnerar el derecho de acceso a la jurisdicción (art. 24.1 CE) de los recurrentes, al haber estimado la excepción procesal de litispendencia respecto del procedimiento abierto a su instancia contra la entidad Caixabank, S.A., para la nulidad de la cláusula suelo incluida en el contrato de préstamo suscrito entre ambas partes; en favor del procedimiento instado a su vez en el año 2010 por la Asociación de usuarios de Bancos, Cajas de Ahorros y Seguros de España (ADICAE) contra diversas entidades financieras —entre ellas la aquí demandada—,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lastRenderedPageBreak/>
        <w:t>Ahora bien, aunque no en el suplico, el escrito de demanda sí que hace referencia en sus fundamentos a que el Juzgado de lo Mercantil núm. 1 de Barcelona había dictado Auto el 20 de mayo de 2014 (aclarado por error material mediante Auto de 28 de mayo de 2014, sin incidencia en este amparo), acordando estimar la excepción de prejudicialidad del art. 43 de la Ley de enjuiciamiento civil (LEC) planteada por la entidad demandada, en relación con aquel otro proceso seguido a instancias de ADICAE, trayendo consigo que se suspendieran las actuaciones hasta recaer sentencia firme en este último, a fin de estar a lo resuelto en el mismo para dilucidar la controversia aquí planteada. Esta decisión judicial propició, según explica la propia demanda, la interposición de un recurso de apelación en el que, aparte de otros argumentos, se hizo expresa invocación del art. 24.1 CE, al entenderse como impeditiva del derecho de los recurrentes a obtener una resolución de fondo sobre sus pretensiones.</w:t>
      </w:r>
    </w:p>
    <w:p w:rsidR="00A90898" w:rsidRDefault="00A90898" w:rsidP="00A90898">
      <w:pPr>
        <w:pStyle w:val="TextoNormal"/>
      </w:pPr>
    </w:p>
    <w:p w:rsidR="00A90898" w:rsidRDefault="00A90898" w:rsidP="00A90898">
      <w:pPr>
        <w:pStyle w:val="TextoNormal"/>
      </w:pPr>
      <w:r>
        <w:t xml:space="preserve">A la vista de esa denuncia, y dado que la demanda en ningún momento afirma que el Auto de la Audiencia hubiere reparado la lesión producida por el Juzgado </w:t>
      </w:r>
      <w:r w:rsidRPr="00A90898">
        <w:rPr>
          <w:i/>
        </w:rPr>
        <w:t>a quo</w:t>
      </w:r>
      <w:r>
        <w:t>, ha de 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dispositiva como la </w:t>
      </w:r>
      <w:r w:rsidRPr="00A90898">
        <w:rPr>
          <w:i/>
        </w:rPr>
        <w:t>ratio decidendi</w:t>
      </w:r>
      <w:r>
        <w:t xml:space="preserve"> de las resoluciones impugnadas: la del Juzgado </w:t>
      </w:r>
      <w:r w:rsidRPr="00A90898">
        <w:rPr>
          <w:i/>
        </w:rPr>
        <w:t>a quo</w:t>
      </w:r>
      <w:r>
        <w:t xml:space="preserve">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00A90898" w:rsidRDefault="00A90898" w:rsidP="00A90898">
      <w:pPr>
        <w:pStyle w:val="TextoNormal"/>
      </w:pPr>
    </w:p>
    <w:p w:rsidR="00A90898" w:rsidRDefault="00A90898" w:rsidP="00A90898">
      <w:pPr>
        <w:pStyle w:val="TextoNormal"/>
      </w:pPr>
      <w:r w:rsidRPr="00A90898">
        <w:rPr>
          <w:rStyle w:val="NumeroAFNegritaCaracter"/>
        </w:rPr>
        <w:t>3</w:t>
      </w:r>
      <w:r>
        <w:t>. Antes de entrar en el examen del fondo del recurso, han de formularse dos consideraciones previas:</w:t>
      </w:r>
    </w:p>
    <w:p w:rsidR="00A90898" w:rsidRDefault="00A90898" w:rsidP="00A90898">
      <w:pPr>
        <w:pStyle w:val="TextoNormal"/>
      </w:pPr>
    </w:p>
    <w:p w:rsidR="00A90898" w:rsidRDefault="00A90898" w:rsidP="00A90898">
      <w:pPr>
        <w:pStyle w:val="TextoNormal"/>
      </w:pPr>
      <w:r>
        <w:t xml:space="preserve">a) En primer término, que no procede acceder a lo solicitado por la representación de los recurrentes de amparo en su escrito de 19 de septiembre de este año, en el sentido de que declaremos la pérdida o carencia sobrevenida del objeto de este recurso, por mor de haberse dictado Sentencia por el Tribunal de Justicia de la Unión Europea el 14 de abril de 2016, resolviendo las dos cuestiones prejudiciales acumuladas a las que hizo referencia dicha parte en su escrito de alegaciones del art. 52 de la Ley Orgánica del Tribunal Constitucional (LOTC). Como fácilmente se percibe, el órgano promotor de dichas cuestiones (el Juzgado de lo Mercantil núm. 9 de Barcelona) es distinto del Juzgado que ha dictado el Auto de </w:t>
      </w:r>
      <w:r>
        <w:lastRenderedPageBreak/>
        <w:t xml:space="preserve">instancia aquí impugnado, y lógicamente se refiere también a procedimientos y partes diversos, por lo que no cabe extraer ningún efecto vinculante de la meritada STJUE, a favor de los recurrentes (ello sin perjuicio, del valor interpretativo que esta resolución puede tener para poder enjuiciar la queja aquí planteada, como más adelante se comprobará). Las dos resoluciones que aparecen aquí impugnadas, precisamente porque ya son firmes, no permiten reabrir las actuaciones —como se pretende en el escrito referido— salvo en virtud de una Sentencia estimatoria de esta jurisdicción constitucional que así lo dispusiera, </w:t>
      </w:r>
      <w:r w:rsidRPr="00A90898">
        <w:rPr>
          <w:i/>
        </w:rPr>
        <w:t>ex</w:t>
      </w:r>
      <w:r>
        <w:t xml:space="preserve"> art. 55 LOTC.</w:t>
      </w:r>
    </w:p>
    <w:p w:rsidR="00A90898" w:rsidRDefault="00A90898" w:rsidP="00A90898">
      <w:pPr>
        <w:pStyle w:val="TextoNormal"/>
      </w:pPr>
    </w:p>
    <w:p w:rsidR="00A90898" w:rsidRDefault="00A90898" w:rsidP="00A90898">
      <w:pPr>
        <w:pStyle w:val="TextoNormal"/>
      </w:pPr>
      <w:r>
        <w:t>Negado pues que exista pérdida de objeto, se constata que el escrito de los actores no manifiesta en ningún momento una voluntad de desistir del recurso, pues de hecho lo que se postula es que la Audiencia Provincial provea (futuro) a una sentencia de fondo, lo que equivale a la misma pretensión de amparo deducida en la demanda, sólo que bajo el mal entendimiento de que tal imposición puede provenir de una declaración —sin base— de la pérdida de objeto del recurso. No hay motivo por ende para archivar el recurso, sino más bien para continuar con su análisis, como de inmediato haremos.</w:t>
      </w:r>
    </w:p>
    <w:p w:rsidR="00A90898" w:rsidRDefault="00A90898" w:rsidP="00A90898">
      <w:pPr>
        <w:pStyle w:val="TextoNormal"/>
      </w:pPr>
    </w:p>
    <w:p w:rsidR="00A90898" w:rsidRDefault="00A90898" w:rsidP="00A90898">
      <w:pPr>
        <w:pStyle w:val="TextoNormal"/>
      </w:pPr>
      <w:r>
        <w:t xml:space="preserve">b) En segundo lugar y aunque sea de modo sucinto, hemos de dar debida respuesta al óbice procesal que plantea la entidad bancaria personada, relativo a la falta de agotamiento de la vía judicial previa </w:t>
      </w:r>
      <w:r w:rsidRPr="00A90898">
        <w:rPr>
          <w:i/>
        </w:rPr>
        <w:t>ex</w:t>
      </w:r>
      <w:r>
        <w:t xml:space="preserve"> art. 44.1 a) LOTC. De los términos con que el mismo se formula se desprende su falta de consistencia, pues lo único que se objeta es que el escrito de los apelantes no fuera más extenso en su denuncia de lesión del derecho a la tutela judicial efectiva, cuando lo cierto es que lo alegado fue, aunque sucinto, suficiente, pues generó una contestación concreta del Tribunal de apelación, como reconoce la entidad, sin que tenga relevancia alguna que esta última aparezca en el fundamento jurídico de la resolución.</w:t>
      </w:r>
    </w:p>
    <w:p w:rsidR="00A90898" w:rsidRDefault="00A90898" w:rsidP="00A90898">
      <w:pPr>
        <w:pStyle w:val="TextoNormal"/>
      </w:pPr>
    </w:p>
    <w:p w:rsidR="00A90898" w:rsidRDefault="00A90898" w:rsidP="00A90898">
      <w:pPr>
        <w:pStyle w:val="TextoNormal"/>
      </w:pPr>
      <w:r>
        <w:t>Por lo demás, y extractando lo que ya señalamos en la STC 148/2016, FJ 2: “la demanda de amparo alega como único motivo la vulneración de su derecho a la tutela judicial efectiva en su vertiente del derecho de acceso a la Jurisdicción (art. 24.1 CE), que, a su parecer, se ha conculcado por una interpretación de la legalidad procesal que, en su sustrato, comparten, tanto el Juzgado como la Audiencia, como es la negación a que se dicte sentencia de fondo resolviendo las pretensiones de las partes con arreglo a la razón de pedir expuestas por éstas en sus escritos y con ponderación de las concretas circunstancias concurrentes en el caso”. Aunque “los dos órganos judiciales han llegado a soluciones distintas … en ambas instancias, lo que al final aconteció, es que los ahora demandantes de amparo vieron impedido su acceso a la Jurisdicción y, por ende, la decisión judicial de fondo que resolviera sobre sus pretensiones … este pedido es lo que constituye la única razón de ser de su demanda de amparo … Por ello, ha de entenderse correctamente agotada la vía jurisdiccional previa”. Se rechaza en consecuencia el óbice procesal alegado por la entidad personada.</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invocación de la STC 106/2013, de 6 de mayo, FJ 4 (dictada también en un caso de aplicación indebida de la litispendencia), cuál es el canon de control </w:t>
      </w:r>
      <w:r>
        <w:lastRenderedPageBreak/>
        <w:t>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w:t>
      </w:r>
      <w:r w:rsidRPr="00A90898">
        <w:rPr>
          <w:i/>
        </w:rPr>
        <w:t>prima facie</w:t>
      </w:r>
      <w:r>
        <w:t xml:space="preserv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00A90898" w:rsidRDefault="00A90898" w:rsidP="00A90898">
      <w:pPr>
        <w:pStyle w:val="TextoNormal"/>
      </w:pPr>
    </w:p>
    <w:p w:rsidR="00A90898" w:rsidRDefault="00A90898" w:rsidP="00A90898">
      <w:pPr>
        <w:pStyle w:val="TextoNormal"/>
      </w:pPr>
      <w:r>
        <w:t>En la mencionada STC 148/2016, FFJJ 4 y 5, este Tribunal hizo un detallado examen de la normativa interna española y también de la Unión Europea, de la que, a modo de resumen, podemos destacar lo siguiente:</w:t>
      </w:r>
    </w:p>
    <w:p w:rsidR="00A90898" w:rsidRDefault="00A90898" w:rsidP="00A90898">
      <w:pPr>
        <w:pStyle w:val="TextoNormal"/>
      </w:pPr>
    </w:p>
    <w:p w:rsidR="00A90898" w:rsidRDefault="00A90898" w:rsidP="00A90898">
      <w:pPr>
        <w:pStyle w:val="TextoNormal"/>
      </w:pPr>
      <w:r>
        <w:t>En relación con el análisis del Ordenamiento jurídico nacional, este Tribunal, hizo referencia, en primer lugar, al régimen de legitimación activa (restringida a las entidades e instituciones señaladas en su artículo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00A90898" w:rsidRDefault="00A90898" w:rsidP="00A90898">
      <w:pPr>
        <w:pStyle w:val="TextoNormal"/>
      </w:pPr>
    </w:p>
    <w:p w:rsidR="00A90898" w:rsidRDefault="00A90898" w:rsidP="00A90898">
      <w:pPr>
        <w:pStyle w:val="TextoNormal"/>
      </w:pPr>
      <w:r>
        <w:t xml:space="preserve">Y, a continuación, la STC 148/2016 centró su atención en el vigente texto refundido de la Ley general para la defensa de los consumidores y usuarios y otras leyes complementarias, aprobado por Real Decreto Legislativo 1/2007, de 16 de noviembre, que prevé en su artículo 53 una acción de cesación de alcance más amplio que la de la Ley 7/1998, pues se </w:t>
      </w:r>
      <w:r>
        <w:lastRenderedPageBreak/>
        <w:t>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00A90898" w:rsidRDefault="00A90898" w:rsidP="00A90898">
      <w:pPr>
        <w:pStyle w:val="TextoNormal"/>
      </w:pPr>
    </w:p>
    <w:p w:rsidR="00A90898" w:rsidRDefault="00A90898" w:rsidP="00A90898">
      <w:pPr>
        <w:pStyle w:val="TextoNormal"/>
      </w:pPr>
      <w:r>
        <w:t>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b)].</w:t>
      </w:r>
    </w:p>
    <w:p w:rsidR="00A90898" w:rsidRDefault="00A90898" w:rsidP="00A90898">
      <w:pPr>
        <w:pStyle w:val="TextoNormal"/>
      </w:pPr>
    </w:p>
    <w:p w:rsidR="00A90898" w:rsidRDefault="00A90898" w:rsidP="00A90898">
      <w:pPr>
        <w:pStyle w:val="TextoNormal"/>
      </w:pPr>
      <w:r>
        <w:t>Por último, y, a mayor abundamiento, hay que destacar que, en la STC 148/2016, FJ 5, cuya doctrina resulta de aplicación, se señalaba que, en el ámbito del Derecho comunitario,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de las Directivas 98/27/CE y 2009/22/CE). Pero siempre y cuando esto último no acarree la exclusión de las acciones individuales” [STC 148/2016, FJ 5 a)].</w:t>
      </w:r>
    </w:p>
    <w:p w:rsidR="00A90898" w:rsidRDefault="00A90898" w:rsidP="00A90898">
      <w:pPr>
        <w:pStyle w:val="TextoNormal"/>
      </w:pPr>
    </w:p>
    <w:p w:rsidR="00A90898" w:rsidRDefault="00A90898" w:rsidP="00A90898">
      <w:pPr>
        <w:pStyle w:val="TextoNormal"/>
      </w:pPr>
      <w: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w:t>
      </w:r>
      <w:r w:rsidRPr="00A90898">
        <w:rPr>
          <w:i/>
        </w:rPr>
        <w:t>a quo</w:t>
      </w:r>
      <w:r>
        <w:t xml:space="preserve"> de aplicar el art. 43 LEC con suspensión de los procesos de acción individual de nulidad de cláusula abusiva, hasta que recayera sentencia firme en el proceso de cesación instado por ADICAE ante el Juzgado de lo Mercantil núm. 11 de Madrid (procedimiento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w:t>
      </w:r>
      <w:r>
        <w:lastRenderedPageBreak/>
        <w:t>merma en los derechos de los consumidores (STJUE, apartado 29), debiendo cada Estado asegurar que sus reglas satisfagan los principios de equivalencia y efectividad (STJUE, apartado 32).</w:t>
      </w:r>
    </w:p>
    <w:p w:rsidR="00A90898" w:rsidRDefault="00A90898" w:rsidP="00A90898">
      <w:pPr>
        <w:pStyle w:val="TextoNormal"/>
      </w:pPr>
    </w:p>
    <w:p w:rsidR="00A90898" w:rsidRDefault="00A90898" w:rsidP="00A90898">
      <w:pPr>
        <w:pStyle w:val="TextoNormal"/>
      </w:pPr>
      <w:r>
        <w:t>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del que hace cita la Sentencia del Pleno de la Sala Primera del Tribunal Supremo núm. 241/2013, de 9 de mayo, FFJJ 235 a 238 y 246, para reconocer que esta regla de juicio por fuerza debe matizarse al resolver demandas de cesación.</w:t>
      </w:r>
    </w:p>
    <w:p w:rsidR="00A90898" w:rsidRDefault="00A90898" w:rsidP="00A90898">
      <w:pPr>
        <w:pStyle w:val="TextoNormal"/>
      </w:pPr>
    </w:p>
    <w:p w:rsidR="00A90898" w:rsidRDefault="00A90898" w:rsidP="00A90898">
      <w:pPr>
        <w:pStyle w:val="TextoNormal"/>
      </w:pPr>
      <w:r>
        <w:t>En definitiva, a la vista del extenso análisis efectuado de las normativas nacional y del Derecho de la Unión Europea, se ha llegado a la conclusión en la STC 148/2016 de que no aparece en aquéllas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 En consecuencia, si los aquí recurrentes no eran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w:t>
      </w:r>
      <w:r w:rsidRPr="00A90898">
        <w:rPr>
          <w:i/>
        </w:rPr>
        <w:t>a quo</w:t>
      </w:r>
      <w:r>
        <w:t xml:space="preserve"> 688-2013, apenas aportó la página del encabezado y la del suplico) en medios de comunicación nacional, resulta irrelevante, “pues lo cierto es que, a falta de una carga procesal </w:t>
      </w:r>
      <w:r>
        <w:lastRenderedPageBreak/>
        <w:t>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A90898" w:rsidRDefault="00A90898" w:rsidP="00A90898">
      <w:pPr>
        <w:pStyle w:val="TextoNormal"/>
      </w:pPr>
    </w:p>
    <w:p w:rsidR="00A90898" w:rsidRDefault="00A90898" w:rsidP="00A90898">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w:t>
      </w:r>
      <w:r w:rsidRPr="00A90898">
        <w:rPr>
          <w:i/>
        </w:rPr>
        <w:t>a quo</w:t>
      </w:r>
      <w:r>
        <w:t>,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A90898" w:rsidRDefault="00A90898" w:rsidP="00A90898">
      <w:pPr>
        <w:pStyle w:val="TextoNormal"/>
      </w:pPr>
    </w:p>
    <w:p w:rsidR="00A90898" w:rsidRDefault="00A90898" w:rsidP="00A90898">
      <w:pPr>
        <w:pStyle w:val="TextoNormal"/>
      </w:pPr>
      <w:r>
        <w:t xml:space="preserve">Procede por tanto el otorgamiento del amparo que se solicita, declarando para ello la nulidad de los Autos recurridos, con retroacción de las actuaciones al momento inmediatamente anterior al de haberse dictado el Auto de 20 de mayo de 2014, para que el Juzgado de lo Mercantil </w:t>
      </w:r>
      <w:r w:rsidRPr="00A90898">
        <w:rPr>
          <w:i/>
        </w:rPr>
        <w:t>a quo</w:t>
      </w:r>
      <w:r>
        <w:t xml:space="preserve"> provea en términos que resulten respetuosos con el derecho fundamental declarado. Esto es, ordenando la continuación del procedimiento en primera instancia (juicio ordinario 100-2014)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lastRenderedPageBreak/>
        <w:t>Ha decidido</w:t>
      </w:r>
    </w:p>
    <w:p w:rsidR="00A90898" w:rsidRDefault="00A90898" w:rsidP="00A90898">
      <w:pPr>
        <w:pStyle w:val="TextoNormalCentrado"/>
        <w:keepNext/>
      </w:pPr>
    </w:p>
    <w:p w:rsidR="00A90898" w:rsidRDefault="00A90898" w:rsidP="00A90898">
      <w:pPr>
        <w:pStyle w:val="TextoNormal"/>
      </w:pPr>
      <w:r>
        <w:t>Estimar el recurso de amparo interpuesto por don Pablo Eduardo Estévez Boho y doña María del Mar Castaño Noguerol, y, en su virtud:</w:t>
      </w:r>
    </w:p>
    <w:p w:rsidR="00A90898" w:rsidRDefault="00A90898" w:rsidP="00A90898">
      <w:pPr>
        <w:pStyle w:val="TextoNormal"/>
      </w:pPr>
    </w:p>
    <w:p w:rsidR="00A90898" w:rsidRDefault="00A90898" w:rsidP="00A90898">
      <w:pPr>
        <w:pStyle w:val="TextoNormal"/>
      </w:pPr>
      <w:r>
        <w:t>1º Declarar que ha sido vulnerado su derecho fundamental a la tutela judicial efectiva.</w:t>
      </w:r>
    </w:p>
    <w:p w:rsidR="00A90898" w:rsidRDefault="00A90898" w:rsidP="00A90898">
      <w:pPr>
        <w:pStyle w:val="TextoNormal"/>
      </w:pPr>
    </w:p>
    <w:p w:rsidR="00A90898" w:rsidRDefault="00A90898" w:rsidP="00A90898">
      <w:pPr>
        <w:pStyle w:val="TextoNormal"/>
      </w:pPr>
      <w:r>
        <w:t>2º Restablecerlos en la integridad de su derecho y, a tal fin, declarar la nulidad de los Autos del Juzgado de lo Mercantil núm. 1 de Barcelona, de 20 y 28 de mayo de 2014 (procedimiento ordinario núm. 100-2014), así como la nulidad del Auto de la Sección Decimoquinta de la Audiencia Provincial de Barcelona, de 19 de marzo de 2015 (rollo de apelación núm. 417-2014).</w:t>
      </w:r>
    </w:p>
    <w:p w:rsidR="00A90898" w:rsidRDefault="00A90898" w:rsidP="00A90898">
      <w:pPr>
        <w:pStyle w:val="TextoNormal"/>
      </w:pPr>
    </w:p>
    <w:p w:rsidR="00A90898" w:rsidRDefault="00A90898" w:rsidP="00A90898">
      <w:pPr>
        <w:pStyle w:val="TextoNormal"/>
      </w:pPr>
      <w:r>
        <w:t xml:space="preserve">3º Retrotraer las actuaciones hasta el momento inmediatamente anterior al de dictarse el Auto de 20 de mayo de 2014, para que el Juzgado de lo Mercantil </w:t>
      </w:r>
      <w:r w:rsidRPr="00A90898">
        <w:rPr>
          <w:i/>
        </w:rPr>
        <w:t>a quo</w:t>
      </w:r>
      <w:r>
        <w:t xml:space="preserve"> provea a las actuaciones de una manera que resulte respetuosa con el derecho fundamental declarado, en los términos que fijamos en el anterior fundamento jurídico 5.</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1" w:name="SENTENCIA_2016_222"/>
      <w:r>
        <w:lastRenderedPageBreak/>
        <w:t>SENTENCIA 222/2016, de 19 de diciembre de 2016</w:t>
      </w:r>
    </w:p>
    <w:bookmarkEnd w:id="101"/>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ECLI:ES:TC:2016:222</w:t>
      </w:r>
    </w:p>
    <w:p w:rsidR="00A90898" w:rsidRDefault="00A90898" w:rsidP="00A90898">
      <w:pPr>
        <w:pStyle w:val="TextoNormalCentrado"/>
      </w:pPr>
    </w:p>
    <w:p w:rsidR="00A90898" w:rsidRDefault="00A90898" w:rsidP="00A90898">
      <w:pPr>
        <w:pStyle w:val="SntesisDescriptiva"/>
      </w:pPr>
      <w:r>
        <w:t>Recurso de amparo 3857-2015. Promovido por Cap Deu, S.L., y Lasbolis 2001, S.L., en relación con los Autos dictados por la Audiencia Provincial y un Juzgado de Primera Instancia de Sevilla acordando el sobreseimiento de oposición a la ejecución hipotecaria.</w:t>
      </w:r>
    </w:p>
    <w:p w:rsidR="00A90898" w:rsidRDefault="00A90898" w:rsidP="00A90898">
      <w:pPr>
        <w:pStyle w:val="SntesisDescriptiva"/>
      </w:pPr>
    </w:p>
    <w:p w:rsidR="00A90898" w:rsidRDefault="00A90898" w:rsidP="00A90898">
      <w:pPr>
        <w:pStyle w:val="SntesisAnaltica"/>
      </w:pPr>
      <w:r>
        <w:t>Supuesta vulneración del derecho a la tutela judicial efectiva (acceso a la justicia): voluntad de desistimiento razonablemente inferida de la inasistencia al juicio de las mercantiles recurrentes.</w:t>
      </w:r>
    </w:p>
    <w:p w:rsidR="00A90898" w:rsidRDefault="00A90898" w:rsidP="00A90898">
      <w:pPr>
        <w:pStyle w:val="SntesisAnaltica"/>
      </w:pPr>
    </w:p>
    <w:p w:rsidR="00A90898" w:rsidRDefault="00A90898" w:rsidP="00A90898">
      <w:pPr>
        <w:pStyle w:val="Extracto"/>
      </w:pPr>
      <w:r>
        <w:t>1.</w:t>
      </w:r>
      <w:r>
        <w:tab/>
        <w:t>El derecho a la tutela judicial efectiva, también en su vertiente de acceso a la jurisdicción, no ampara actitudes carentes de la diligencia debida por parte del interesado, lesivas del derecho a la tutela judicial efectiva de la contraparte, de la garantía a un proceso sin dilaciones indebidas o de la regularidad, buen funcionamiento y, en definitiva, integridad del proceso (STC 195/1999) [FJ 5].</w:t>
      </w:r>
    </w:p>
    <w:p w:rsidR="00A90898" w:rsidRDefault="00A90898" w:rsidP="00A90898">
      <w:pPr>
        <w:pStyle w:val="Extracto"/>
      </w:pPr>
    </w:p>
    <w:p w:rsidR="00A90898" w:rsidRDefault="00A90898" w:rsidP="00A90898">
      <w:pPr>
        <w:pStyle w:val="Extracto"/>
      </w:pPr>
      <w:r>
        <w:t>2.</w:t>
      </w:r>
      <w:r>
        <w:tab/>
        <w:t>El órgano judicial no puede ni debe supervisar en todos los procedimientos la actuación de los profesionales del Derecho, pues ante su pasividad o falta de pericia profesional son otros los mecanismos jurídicos arbitrados para exigirles responsabilidades disciplinarias o patrimoniales (STC 194/2015) [FJ 5].</w:t>
      </w:r>
    </w:p>
    <w:p w:rsidR="00A90898" w:rsidRDefault="00A90898" w:rsidP="00A90898">
      <w:pPr>
        <w:pStyle w:val="Extracto"/>
      </w:pPr>
    </w:p>
    <w:p w:rsidR="00A90898" w:rsidRDefault="00A90898" w:rsidP="00A90898">
      <w:pPr>
        <w:pStyle w:val="Extracto"/>
      </w:pPr>
      <w:r>
        <w:t>3.</w:t>
      </w:r>
      <w:r>
        <w:tab/>
        <w:t>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(STC 179/2014) [FJ 5].</w:t>
      </w:r>
    </w:p>
    <w:p w:rsidR="00A90898" w:rsidRDefault="00A90898" w:rsidP="00A90898">
      <w:pPr>
        <w:pStyle w:val="Extracto"/>
      </w:pPr>
    </w:p>
    <w:p w:rsidR="00A90898" w:rsidRDefault="00A90898" w:rsidP="00A90898">
      <w:pPr>
        <w:pStyle w:val="Extracto"/>
      </w:pPr>
      <w:r>
        <w:t>4.</w:t>
      </w:r>
      <w:r>
        <w:tab/>
        <w:t>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(STC 179/2014) [FJ 5].</w:t>
      </w:r>
    </w:p>
    <w:p w:rsidR="00A90898" w:rsidRDefault="00A90898" w:rsidP="00A90898">
      <w:pPr>
        <w:pStyle w:val="Extracto"/>
      </w:pPr>
    </w:p>
    <w:p w:rsidR="00A90898" w:rsidRDefault="00A90898" w:rsidP="00A90898">
      <w:pPr>
        <w:pStyle w:val="Extracto"/>
      </w:pPr>
      <w:r>
        <w:t>5.</w:t>
      </w:r>
      <w:r>
        <w:tab/>
        <w:t>La decisión sobre la admisión o no de una demanda, así como la apreciación de la concurrencia o no de sus presupuestos y requisitos materiales y procesales, constituyen cuestiones de estricta legalidad ordinaria, cuya resolución compete a los órganos judiciales en el ejercicio de la potestad que privativamente les confiere el art. 117.3 CE (STC 39/2015) [FJ 4].</w:t>
      </w:r>
    </w:p>
    <w:p w:rsidR="00A90898" w:rsidRDefault="00A90898" w:rsidP="00A90898">
      <w:pPr>
        <w:pStyle w:val="Extracto"/>
      </w:pPr>
    </w:p>
    <w:p w:rsidR="00A90898" w:rsidRDefault="00A90898" w:rsidP="00A90898">
      <w:pPr>
        <w:pStyle w:val="Extracto"/>
      </w:pPr>
      <w:r>
        <w:t>6.</w:t>
      </w:r>
      <w:r>
        <w:tab/>
        <w:t xml:space="preserve">La decisión judicial controvertida expresó el ejercicio de la potestad jurisdiccional del art. 117.3 CE, con una solución interpretativa de la regulación legal concebible en Derecho y que este Tribunal no puede corregir salvo que concurran aquellas notas de arbitrariedad, irrazonabilidad o error patente, pues no es su función la </w:t>
      </w:r>
      <w:r>
        <w:lastRenderedPageBreak/>
        <w:t>de, entre dos interpretaciones razonables de una norma, elegir cuál de ellas debe prevalecer (STC 138/1995)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3857-2015, promovido por Cap Deu, S.L., y Lasbolis 2001, S.L., representadas por la Procuradora de los Tribunales doña Concepción Delgado Azqueta y asistidas por el Abogado don Vicente Plaza Ansón, contra el Auto de 14 de mayo de 2015 de la Sección Octava de la Audiencia Provincial de Sevilla dictado en el recurso de apelación núm. 7452/14-A, promovido frente al Auto de 24 de abril de 2014 del Juzgado de Primera Instancia núm. 2 de Sevilla (autos de ejecución hipotecaria núm. 827-2012), cuya decisión de sobreseimiento de la oposición a la ejecución hipotecaria confirma. Ha intervenido el Ministerio Fiscal. Ha comparecido el Procurador de los Tribunales don Valentín Ganuza Ferreo, en nombre y representación de Ibercaja Banco, S.A.U. Ha sido Ponente el Magistrado don Fernando Valdés Dal-Ré,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que tuvo entrada en el Registro General de este Tribunal el día 30 de junio de 2015, la Procuradora de los Tribunales doña Concepción Delgado Azqueta, actuando en nombre y representación de Cap Deu, S.L., y Lasbolis 2001, S.L., presentó recurso de amparo constitucional contra el Auto de 14 de mayo de 2015 de la Sección Octava de la Audiencia Provincial de Sevilla en el recurso de apelación núm. 7452-2014-A, promovido frente al Auto de 24 de abril de 2014 del Juzgado de Primera Instancia núm. 2 de Sevilla (autos de ejecución hipotecaria núm. 827-2012), cuya decisión de sobreseimiento de la oposición a la ejecución hipotecaria confirma.</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son, en síntesis, los siguientes:</w:t>
      </w:r>
    </w:p>
    <w:p w:rsidR="00A90898" w:rsidRDefault="00A90898" w:rsidP="00A90898">
      <w:pPr>
        <w:pStyle w:val="TextoNormal"/>
      </w:pPr>
    </w:p>
    <w:p w:rsidR="00A90898" w:rsidRDefault="00A90898" w:rsidP="00A90898">
      <w:pPr>
        <w:pStyle w:val="TextoNormal"/>
      </w:pPr>
      <w:r>
        <w:t>a) La representación de Ibercaja Banco presentó demanda ejecutiva interesando el despacho de la ejecución hipotecaria reseñada frente a las mercantiles Cap Deu, S.L., y Lasbolis 2001, S.L., lo que fue acordado por Auto de fecha 16 de mayo de 2012 del Juzgado de Primera Instancia núm. 2 de Sevilla, al que correspondió conocer del procedimiento.</w:t>
      </w:r>
    </w:p>
    <w:p w:rsidR="00A90898" w:rsidRDefault="00A90898" w:rsidP="00A90898">
      <w:pPr>
        <w:pStyle w:val="TextoNormal"/>
      </w:pPr>
    </w:p>
    <w:p w:rsidR="00A90898" w:rsidRDefault="00A90898" w:rsidP="00A90898">
      <w:pPr>
        <w:pStyle w:val="TextoNormal"/>
      </w:pPr>
      <w:r>
        <w:lastRenderedPageBreak/>
        <w:t>b) Las sociedades Cap Deu, S.L., y Lasbolis 2001, S.L., formularon oposición a la ejecución despachada, instando el incidente extraordinario regulado en la disposición transitoria cuarta de la Ley 1/2013, de 14 de mayo, de medidas para reforzar la protección a los deudores hipotecarios, reestructuración de deuda y alquiler social. Denunciaban la existencia de cláusulas abusivas en la hipoteca, interesando el sobreseimiento del proceso o, subsidiariamente, la declaración de nulidad de las cláusulas impugnadas.</w:t>
      </w:r>
    </w:p>
    <w:p w:rsidR="00A90898" w:rsidRDefault="00A90898" w:rsidP="00A90898">
      <w:pPr>
        <w:pStyle w:val="TextoNormal"/>
      </w:pPr>
    </w:p>
    <w:p w:rsidR="00A90898" w:rsidRDefault="00A90898" w:rsidP="00A90898">
      <w:pPr>
        <w:pStyle w:val="TextoNormal"/>
      </w:pPr>
      <w:r>
        <w:t>c) Por diligencia de ordenación de fecha 17 de septiembre de 2013 se acordó suspender el curso de la ejecución, convocándose a las partes a la vista prevista en el art. 695.2 de la Ley de enjuiciamiento civil (LEC), que fue señalada para el día 23 de abril de 2014 a las 10:00 horas.</w:t>
      </w:r>
    </w:p>
    <w:p w:rsidR="00A90898" w:rsidRDefault="00A90898" w:rsidP="00A90898">
      <w:pPr>
        <w:pStyle w:val="TextoNormal"/>
      </w:pPr>
    </w:p>
    <w:p w:rsidR="00A90898" w:rsidRDefault="00A90898" w:rsidP="00A90898">
      <w:pPr>
        <w:pStyle w:val="TextoNormal"/>
      </w:pPr>
      <w:r>
        <w:t>d) Celebrado el acto de la comparecencia, el Juzgado de Primera Instancia núm. 2 de Sevilla dictó Auto de 24 de abril de 2014 del siguiente contenido en su fundamentación jurídica:</w:t>
      </w:r>
    </w:p>
    <w:p w:rsidR="00A90898" w:rsidRDefault="00A90898" w:rsidP="00A90898">
      <w:pPr>
        <w:pStyle w:val="TextoNormal"/>
      </w:pPr>
    </w:p>
    <w:p w:rsidR="00A90898" w:rsidRDefault="00A90898" w:rsidP="00A90898">
      <w:pPr>
        <w:pStyle w:val="TextoNormal"/>
      </w:pPr>
      <w:r>
        <w:t>“El artículo 20 de la LEC establece que el demandante podrá desistir unilateralmente del juicio antes de que el demandado sea emplazado para contestar a la demanda o citado para juicio, y que también podrá hacerlo unilateralmente en cualquier momento cuando el demandado se encontrare en rebeldía, de manera que cuando este emplazado el demandado, del escrito de desistimiento se le dará traslado por plazo de diez días, y si el demandado prestare su conformidad al desistimiento o no se opusiere a él dentro del plazo expresado en el párrafo anterior, el tribunal dictara auto de sobreseimiento y el actor podrá promover nuevo juicio sobre el mismo objeto, mientras que el artículo 442 dispone que si el demandante no asistiese a la vista, y el demandado no alegare interés legítimo en la continuación del proceso para que se dicte sentencia sobre el fondo, se le tendrá en el acto por desistido a aquel de la demanda, se le impondrán las costas causadas y se le condenará a indemnizar al demandado comparecido, si éste lo solicitare y acreditare los daños y perjuicios sufridos, debiendo decir que como quiera que, debidamente citadas las partes a juicio, la actora-ejecutada no compareció en forma, con la preceptiva intervención de abogado y procurador (art. 539 LEC y concordantes) y la demandada-ejecutante no alegó interés legítimo en la continuación del proceso para que se dictase resolución sobre el fondo, procede tenerla por desistida de su oposición, declarando el sobreseimiento de la acción ejercitada.”</w:t>
      </w:r>
    </w:p>
    <w:p w:rsidR="00A90898" w:rsidRDefault="00A90898" w:rsidP="00A90898">
      <w:pPr>
        <w:pStyle w:val="TextoNormal"/>
      </w:pPr>
    </w:p>
    <w:p w:rsidR="00A90898" w:rsidRDefault="00A90898" w:rsidP="00A90898">
      <w:pPr>
        <w:pStyle w:val="TextoNormal"/>
      </w:pPr>
      <w:r>
        <w:t>e) Notificada a las partes la anterior resolución, interpusieron recurso de apelación las sociedades demandantes de amparo. La Sección Octava de la Audiencia Provincial de Sevilla dictó Auto de 14 de mayo de 2015, confirmando la resolución recurrida con el siguiente razonamiento:</w:t>
      </w:r>
    </w:p>
    <w:p w:rsidR="00A90898" w:rsidRDefault="00A90898" w:rsidP="00A90898">
      <w:pPr>
        <w:pStyle w:val="TextoNormal"/>
      </w:pPr>
    </w:p>
    <w:p w:rsidR="00A90898" w:rsidRDefault="00A90898" w:rsidP="00A90898">
      <w:pPr>
        <w:pStyle w:val="TextoNormal"/>
      </w:pPr>
      <w:r>
        <w:t xml:space="preserve">“El párrafo cuarto del artículo 560 de la Ley de Enjuiciamiento Civil establece que se tendrá por desistido de la oposición al ejecutado que habiendo opuesto motivos de fondo no compareciere al acto de la vista y habiéndose así acordado en la resolución apelada la misma es procedente que sea confirmada toda vez que en modo alguno se justifica el leve retraso del procurador de la parte ejecutada al acto de la vista sino que por el contrario consta que la misma comenzó sin esa asistencia, asistencia preceptiva, y que se dio por conculca (sic) sin que hubiere comparecido, las alegaciones de la ejecutada a tal efecto carecen de consistencia puesto que lo acordado ni conculca principio constitucional alguno, tampoco el de la </w:t>
      </w:r>
      <w:r>
        <w:lastRenderedPageBreak/>
        <w:t>tutela efectiva de los jueces y tribunales que ha de enmarcarse siempre en los trámites legales que son fundamento del principio de igualdad de partes, ni supone un trato desfavorable a la entidad recurrente ya que el retraso del órgano jurisdiccional ni se ha acreditado ni puede ser tenido en cuenta al no venir el mismo encuadrado dentro de ese principio de igualdad de partes del que es claro ejemplo la pretensión que ahora se deduce por la ejecutante de confirmación del desistimiento de la ejecutada. El recurso es procedente que sea desestimado.”</w:t>
      </w:r>
    </w:p>
    <w:p w:rsidR="00A90898" w:rsidRDefault="00A90898" w:rsidP="00A90898">
      <w:pPr>
        <w:pStyle w:val="TextoNormal"/>
      </w:pPr>
    </w:p>
    <w:p w:rsidR="00A90898" w:rsidRDefault="00A90898" w:rsidP="00A90898">
      <w:pPr>
        <w:pStyle w:val="TextoNormal"/>
      </w:pPr>
      <w:r w:rsidRPr="00A90898">
        <w:rPr>
          <w:rStyle w:val="NumeroAFNegritaCaracter"/>
        </w:rPr>
        <w:t>3</w:t>
      </w:r>
      <w:r>
        <w:t>. Las recurrentes en amparo denuncian en su demanda la vulneración del derecho a la tutela judicial efectiva sin indefensión en su vertiente de acceso a la jurisdicción (art. 24.1 CE), en relación con el derecho a ser asistidas por su letrado presente en la comparecencia (art. 24.2 CE), toda vez que, a su juicio, al declararse el desistimiento y sobreseimiento de la demanda incidental de oposición a la ejecución, se les privó de un pronunciamiento sobre el fondo de la pretensión ejercitada sin que existiese causa legal para ello.</w:t>
      </w:r>
    </w:p>
    <w:p w:rsidR="00A90898" w:rsidRDefault="00A90898" w:rsidP="00A90898">
      <w:pPr>
        <w:pStyle w:val="TextoNormal"/>
      </w:pPr>
    </w:p>
    <w:p w:rsidR="00A90898" w:rsidRDefault="00A90898" w:rsidP="00A90898">
      <w:pPr>
        <w:pStyle w:val="TextoNormal"/>
      </w:pPr>
      <w:r>
        <w:t>En su alegato relativo al derecho a una respuesta sustantiva sobre lo planteado en la demanda incidental de oposición a la ejecución, como expresión del derecho de acceso a la justicia (art. 24.1 CE), destacan que, llegada la fecha de la vista del incidente, se celebró la misma con la presencia de su representante legal y administrador, que asistió junto con su letrado, y aunque reconocen que no se encontraba presente a las 10:00 horas la Procuradora designada, señalan que estuvieron en condición de sustituirla por otra procuradora pocos minutos después, a las 10:15 horas. En atención a ello, concluyen, no puede aceptarse que desistieran de su demanda de oposición a la ejecución, ni de la vista ni del procedimiento, de lo que es prueba que su letrado expresase protesta frente a la decisión judicial de apreciación del desistimiento y de sobreseimiento de la acción, adoptada en la comparecencia del incidente del día 23 de abril de 2014 y plasmada en el Auto de 24 de abril de 2014 del Juzgado de Primera Instancia núm. 2 de Sevilla. En suma, el retraso de unos pocos minutos de la procuradora que tenía que representar a las recurrentes no podía calificarse como un acto de desistimiento, pues la voluntad de continuación del proceso resultaba inequívoca. Las resoluciones impugnadas, por lo demás, carecerían de base legal y no resultan coherentes con la normativa aplicable, particularmente si se tiene en cuenta que el art. 560 LEC dispone la asistencia a la vista del ejecutado, como aquí ocurrió con su letrado, sin establecer en cambio que el procurador esté también obligado a acudir a la misma.</w:t>
      </w:r>
    </w:p>
    <w:p w:rsidR="00A90898" w:rsidRDefault="00A90898" w:rsidP="00A90898">
      <w:pPr>
        <w:pStyle w:val="TextoNormal"/>
      </w:pPr>
    </w:p>
    <w:p w:rsidR="00A90898" w:rsidRDefault="00A90898" w:rsidP="00A90898">
      <w:pPr>
        <w:pStyle w:val="TextoNormal"/>
      </w:pPr>
      <w:r>
        <w:t>Solicitan por lo expuesto la nulidad de las dos Autos recurridos, con reconocimiento de su derecho a la tutela judicial efectiva sin indefensión (art. 24.1 CE) y la retroacción de las actuaciones al momento inmediatamente anterior al dictado del Auto de 24 de abril de 2014 por el Juzgado de Primera Instancia núm. 2 de Sevilla, a fin de que se señale día y hora para la celebración de la vista controvertida.</w:t>
      </w:r>
    </w:p>
    <w:p w:rsidR="00A90898" w:rsidRDefault="00A90898" w:rsidP="00A90898">
      <w:pPr>
        <w:pStyle w:val="TextoNormal"/>
      </w:pPr>
    </w:p>
    <w:p w:rsidR="00A90898" w:rsidRDefault="00A90898" w:rsidP="00A90898">
      <w:pPr>
        <w:pStyle w:val="TextoNormal"/>
      </w:pPr>
      <w:r w:rsidRPr="00A90898">
        <w:rPr>
          <w:rStyle w:val="NumeroAFNegritaCaracter"/>
        </w:rPr>
        <w:t>4</w:t>
      </w:r>
      <w:r>
        <w:t>. Por ATC 28/2016, de 9 de febrero, se estimó el recurso de súplica interpuesto por el Ministerio Fiscal, dejando sin efecto la providencia de 29 de octubre de 2015 por la que se había acordado inicialmente no admitir a trámite 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En virtud de providencia de la Sección Cuarta de la Sala Segunda, de 1 de marzo de 2016, se admitió a trámite del recurso de amparo, “apreciando que concurre en el mismo </w:t>
      </w:r>
      <w:r>
        <w:lastRenderedPageBreak/>
        <w:t>una especial trascendencia constitucional (art. 50.1 LOTC) porque el recurso puede dar ocasión al Tribunal para aclarar o cambiar su doctrina, como consecuencia de un proceso de reflexión interna [STC 155/2009, FJ 2, b)]”, y, asimismo, de conformidad con lo dispuesto en el art. 51 de la Ley Orgánica del Tribunal Constitucional (LOTC), se acordó dirigir atenta comunicación a la Sección Octava de la Audiencia Provincial de Sevilla y al Juzgado de Primera Instancia núm. 2 de Sevilla a fin de que, en plazo que no excediera de diez días, remitieran certificación o fotocopia adverada de las actuaciones correspondientes y, por el último órgano judicial citado, se emplazase a quienes hubieran sido parte en el procedimiento, excepto a la parte recurrente en amparo, para que en el plazo de diez días pudieran comparecer en el presente proceso constitucional.</w:t>
      </w:r>
    </w:p>
    <w:p w:rsidR="00A90898" w:rsidRDefault="00A90898" w:rsidP="00A90898">
      <w:pPr>
        <w:pStyle w:val="TextoNormal"/>
      </w:pPr>
    </w:p>
    <w:p w:rsidR="00A90898" w:rsidRDefault="00A90898" w:rsidP="00A90898">
      <w:pPr>
        <w:pStyle w:val="TextoNormal"/>
      </w:pPr>
      <w:r w:rsidRPr="00A90898">
        <w:rPr>
          <w:rStyle w:val="NumeroAFNegritaCaracter"/>
        </w:rPr>
        <w:t>6</w:t>
      </w:r>
      <w:r>
        <w:t>. Por ATC 62/2016, de 15 de marzo, se suspendió la ejecución de las resoluciones recurridas, dictadas en el procedimiento de ejecución hipotecaria núm. 827-2012, así como de toda actuación judicial sucesiva que pudiera tener el efecto de la adjudicación a terceros del inmueble objeto del litigio.</w:t>
      </w:r>
    </w:p>
    <w:p w:rsidR="00A90898" w:rsidRDefault="00A90898" w:rsidP="00A90898">
      <w:pPr>
        <w:pStyle w:val="TextoNormal"/>
      </w:pPr>
    </w:p>
    <w:p w:rsidR="00A90898" w:rsidRDefault="00A90898" w:rsidP="00A90898">
      <w:pPr>
        <w:pStyle w:val="TextoNormal"/>
      </w:pPr>
      <w:r w:rsidRPr="00A90898">
        <w:rPr>
          <w:rStyle w:val="NumeroAFNegritaCaracter"/>
        </w:rPr>
        <w:t>7</w:t>
      </w:r>
      <w:r>
        <w:t>. Mediante escrito registrado en este Tribunal el día 22 de abril de 2016, el Procurador don Valentín Ganuza Ferreo solicitó que se le tuviera por personado en nombre y representación de Ibercaja Banco, S.A.U.</w:t>
      </w:r>
    </w:p>
    <w:p w:rsidR="00A90898" w:rsidRDefault="00A90898" w:rsidP="00A90898">
      <w:pPr>
        <w:pStyle w:val="TextoNormal"/>
      </w:pPr>
    </w:p>
    <w:p w:rsidR="00A90898" w:rsidRDefault="00A90898" w:rsidP="00A90898">
      <w:pPr>
        <w:pStyle w:val="TextoNormal"/>
      </w:pPr>
      <w:r w:rsidRPr="00A90898">
        <w:rPr>
          <w:rStyle w:val="NumeroAFNegritaCaracter"/>
        </w:rPr>
        <w:t>8</w:t>
      </w:r>
      <w:r>
        <w:t>. Por diligencia de ordenación de la Secretaría de Justicia de la Sala Segunda de este Tribunal, de 26 de abril de 2016, se tuvo por personado y parte en la representación que ostenta al Procurador citado y se acordó, asimismo, abrir el plazo común de 20 días al Ministerio Fiscal y a las partes personadas, de conformidad con el art. 52.1 LOTC, para que pudieran presentar las alegaciones que a su derecho conviniere, dando a tal fin vista de las actuaciones recibidas.</w:t>
      </w:r>
    </w:p>
    <w:p w:rsidR="00A90898" w:rsidRDefault="00A90898" w:rsidP="00A90898">
      <w:pPr>
        <w:pStyle w:val="TextoNormal"/>
      </w:pPr>
    </w:p>
    <w:p w:rsidR="00A90898" w:rsidRDefault="00A90898" w:rsidP="00A90898">
      <w:pPr>
        <w:pStyle w:val="TextoNormal"/>
      </w:pPr>
      <w:r w:rsidRPr="00A90898">
        <w:rPr>
          <w:rStyle w:val="NumeroAFNegritaCaracter"/>
        </w:rPr>
        <w:t>9</w:t>
      </w:r>
      <w:r>
        <w:t>. Presentó su escrito de alegaciones la parte recurrente con fecha 31 de mayo de 2016, ratificándose y sintetizando los contenidos de la demanda de amparo.</w:t>
      </w:r>
    </w:p>
    <w:p w:rsidR="00A90898" w:rsidRDefault="00A90898" w:rsidP="00A90898">
      <w:pPr>
        <w:pStyle w:val="TextoNormal"/>
      </w:pPr>
    </w:p>
    <w:p w:rsidR="00A90898" w:rsidRDefault="00A90898" w:rsidP="00A90898">
      <w:pPr>
        <w:pStyle w:val="TextoNormal"/>
      </w:pPr>
      <w:r w:rsidRPr="00A90898">
        <w:rPr>
          <w:rStyle w:val="NumeroAFNegritaCaracter"/>
        </w:rPr>
        <w:t>10</w:t>
      </w:r>
      <w:r>
        <w:t>. Evacuó el trámite de alegaciones el Procurador don Valentín Ganuza Ferreo, en representación del banco personado, por escrito registrado en este Tribunal el día 1 de junio de 2016. En oposición a la pretensión de la parte recurrente, aduce que de los arts. 23.1, 442.1, 560 y 695 LEC se desprende que la asistencia de la procuradora era preceptiva y que son claros los efectos de la incomparecencia; que la mera voluntad de la parte no subsana el defecto indicado, ya que el artículo 442.1 LEC dispone que el desistimiento solo se puede evitar si “el demandado alegare interés legítimo en la continuación del proceso”, y no lo hizo Ibercaja Banco; y que la posibilidad de subsanar la inasistencia de la parte a la vista (debidamente representada por abogado y procurador), mediante actos que muestren inequívocamente su voluntad de continuar el procedimiento, está limitada a determinadas circunstancias, que no concurren, a saber: que no haya sido posible poner de manifiesto la inasistencia de forma previa en virtud del art. 183 LEC, y que esté debidamente justificada en tiempo y forma, lo que no es el caso, sin que, en consecuencia, sea posible apreciar lesión de derecho fundamental alguno.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11</w:t>
      </w:r>
      <w:r>
        <w:t>. Evacuó el trámite de alegaciones el Ministerio Fiscal por escrito presentado en este Tribunal el día 30 de junio de 2016. A su criterio, analizadas las resoluciones judiciales recurridas en amparo, se observa que en ninguna de ellas hay referencia a la significación que pueda tener la presencia en la vista del poderdante y la actitud del Abogado defensor pidiendo primero su aplazamiento y, en todo caso, su celebración, que no solamente revelan ausencia de voluntad de abandonar el ejercicio de la oposición planteada, sino, más bien al contrario, propósito de mantener a toda costa su ejercicio, “pidiendo, primero, la continuación del juicio, por considerar que, estando presente el representante legal de las mercantiles recurrentes, la ausencia del Procurador que ostentaba su representación procesal era irrelevante, y, después, el aplazamiento por un periodo de tiempo de corta duración, que, en ningún caso, iba a representar que se trasladase a otro día la celebración del acto, ya que el tiempo durante el que se pedía el aplazamiento era el necesario para localizar al Procurador, y cuya duración en la realidad fue de quince minutos”. Por todo ello estima que se lesionó el art. 24.1 CE.</w:t>
      </w:r>
    </w:p>
    <w:p w:rsidR="00A90898" w:rsidRDefault="00A90898" w:rsidP="00A90898">
      <w:pPr>
        <w:pStyle w:val="TextoNormal"/>
      </w:pPr>
    </w:p>
    <w:p w:rsidR="00A90898" w:rsidRDefault="00A90898" w:rsidP="00A90898">
      <w:pPr>
        <w:pStyle w:val="TextoNormal"/>
      </w:pPr>
      <w:r w:rsidRPr="00A90898">
        <w:rPr>
          <w:rStyle w:val="NumeroAFNegritaCaracter"/>
        </w:rPr>
        <w:t>12</w:t>
      </w:r>
      <w:r>
        <w:t>. Por diligencia de ordenación de 3 de octubre de 2016 se acordó dirigir atenta comunicación al Juzgado de Primera Instancia núm. 2 de Sevilla, a fin de que remitiera el soporte electrónico que recoge la vista oral celebrada el 23 de abril de 2014 en la ejecución hipotecaria núm. 827-2012. Recibida la documentación interesada, por providencia de 18 de octubre de 2016 la Sección Cuarta de este Tribunal acordó dar vista de ella a las partes personadas y al Ministerio Fiscal, por plazo común de 20 días, para la presentación de las alegaciones que fueran pertinentes.</w:t>
      </w:r>
    </w:p>
    <w:p w:rsidR="00A90898" w:rsidRDefault="00A90898" w:rsidP="00A90898">
      <w:pPr>
        <w:pStyle w:val="TextoNormal"/>
      </w:pPr>
    </w:p>
    <w:p w:rsidR="00A90898" w:rsidRDefault="00A90898" w:rsidP="00A90898">
      <w:pPr>
        <w:pStyle w:val="TextoNormal"/>
      </w:pPr>
      <w:r>
        <w:t>La representación procesal de Ibercaja Banco, S.A.U., lo hizo por escrito registrado en este Tribunal el día 22 de noviembre de 2016, redundando en lo que alegara en el primer trámite de alegaciones, oponiéndose de nuevo a la suspensión en su día decretada y añadiendo ahora, en cuanto al fondo, que, contrariamente a lo aducido por la parte demandante, en la grabación se verifica que la procuradora no compareció en ningún momento a la vista, que nadie intentó acceder a la misma durante su celebración para sustituirla, que no se avisó para anunciar del retraso y sus razones y que tampoco se procedió a dar justificación alguna del motivo de la ausencia a lo largo de la comparecencia. Antes al contrario, se comprueba en el soporte electrónico —afirma el escrito de alegaciones— que la juzgadora puso de manifiesto que no le constaban razones que motivaran la imposibilidad de comparecer y asimismo que, por su parte, el letrado de la parte ejecutada en ningún momento hizo referencia a la posibilidad de sustituir a la Procuradora ausente o al motivo que explicara su ausencia.</w:t>
      </w:r>
    </w:p>
    <w:p w:rsidR="00A90898" w:rsidRDefault="00A90898" w:rsidP="00A90898">
      <w:pPr>
        <w:pStyle w:val="TextoNormal"/>
      </w:pPr>
    </w:p>
    <w:p w:rsidR="00A90898" w:rsidRDefault="00A90898" w:rsidP="00A90898">
      <w:pPr>
        <w:pStyle w:val="TextoNormal"/>
      </w:pPr>
      <w:r>
        <w:t>Las sociedades demandantes de amparo evacuaron el trámite el día 23 de noviembre de 2016, reproduciendo su escrito de demanda e insistiendo, en consecuencia, en que a las 10:15 horas, 15 minutos después de la hora del señalamiento, la Procuradora ausente pudo ser sustituida por otra, que cita, pese a que, según afirman, no se le permitió intervenir al haberse dictado ya el Auto de sobreseimiento.</w:t>
      </w:r>
    </w:p>
    <w:p w:rsidR="00A90898" w:rsidRDefault="00A90898" w:rsidP="00A90898">
      <w:pPr>
        <w:pStyle w:val="TextoNormal"/>
      </w:pPr>
    </w:p>
    <w:p w:rsidR="00A90898" w:rsidRDefault="00A90898" w:rsidP="00A90898">
      <w:pPr>
        <w:pStyle w:val="TextoNormal"/>
      </w:pPr>
      <w:r>
        <w:t>El Ministerio Fiscal registró su escrito el día 25 de noviembre de 2016. Aduce que la grabación remitida no desvirtúa lo que argumentó en el inicial trámite de alegaciones, interesando por ello, como entonces hiciera, el otorgamiento del amparo.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13</w:t>
      </w:r>
      <w:r>
        <w:t>. Por providencia de 15 de diciembre de 2016 se señaló para la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Como se ha expuesto en los antecedentes de esta resolución, por entenderlas contrarias al derecho a la tutela judicial efectiva sin indefensión (art. 24.1 CE), en su vertiente de derecho de acceso a la justicia, las sociedades recurrentes impugnan en amparo las resoluciones judiciales que acordaron tenerlas por desistidas y sobreseída su demanda de oposición a la ejecución hipotecaria en curso (autos núm. 827-2012), afirmando que resultaba inequívoca su voluntad de no desistir y que carece de base legal la privación de la acción por la ausencia de la procuradora en la comparecencia del art. 695.2 LEC.</w:t>
      </w:r>
    </w:p>
    <w:p w:rsidR="00A90898" w:rsidRDefault="00A90898" w:rsidP="00A90898">
      <w:pPr>
        <w:pStyle w:val="TextoNormal"/>
      </w:pPr>
    </w:p>
    <w:p w:rsidR="00A90898" w:rsidRDefault="00A90898" w:rsidP="00A90898">
      <w:pPr>
        <w:pStyle w:val="TextoNormal"/>
      </w:pPr>
      <w:r>
        <w:t>En los sucesivos trámites de alegaciones el Ministerio Fiscal ha interesado la estimación del recurso, con otorgamiento del amparo solicitado, en contra de lo que ha sostenido la representación procesal de Ibercaja Banco, S.A.U., personada en este proceso constitucional.</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Aunque ninguna de las partes comparecidas haya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obligan a explicitar el cumplimiento del mismo para hacer así recognoscibles los criterios empleados al efecto por este Tribunal (STEDH de 20 de enero de 2015, caso </w:t>
      </w:r>
      <w:r w:rsidRPr="00A90898">
        <w:rPr>
          <w:i/>
        </w:rPr>
        <w:t>Arribas Antón c. España</w:t>
      </w:r>
      <w:r>
        <w:t>, § 46).</w:t>
      </w:r>
    </w:p>
    <w:p w:rsidR="00A90898" w:rsidRDefault="00A90898" w:rsidP="00A90898">
      <w:pPr>
        <w:pStyle w:val="TextoNormal"/>
      </w:pPr>
    </w:p>
    <w:p w:rsidR="00A90898" w:rsidRDefault="00A90898" w:rsidP="00A90898">
      <w:pPr>
        <w:pStyle w:val="TextoNormal"/>
      </w:pPr>
      <w:r>
        <w:t xml:space="preserve">La decisión de admisión, apreciando que concurría en el mismo especial trascendencia constitucional, se fundó en que el recurso da ocasión al Tribunal para aclarar o cambiar su doctrina como consecuencia de un proceso de reflexión interna [STC 155/2009, de 25 de junio, FJ 2 b)]. Y es que, en efecto, es constitucionalmente relevante despejar si, de acuerdo con nuestra doctrina y </w:t>
      </w:r>
      <w:r w:rsidRPr="00A90898">
        <w:rPr>
          <w:i/>
        </w:rPr>
        <w:t>ex</w:t>
      </w:r>
      <w:r>
        <w:t xml:space="preserve"> art. 24.1 CE, debe declararse la vulneración del derecho fundamental consagrado en esa previsión constitucional cuando se aprecia por los órganos judiciales un desistimiento de la acción y se sobresee la misma en supuestos en los que confluyen, a un tiempo, la ausencia en la correspondiente vista de los profesionales designados por la parte procesal, cuya asistencia sea preceptiva, con actos de esta que expresen, sin embargo, una voluntad inequívoca de continuar con el procedimiento.</w:t>
      </w:r>
    </w:p>
    <w:p w:rsidR="00A90898" w:rsidRDefault="00A90898" w:rsidP="00A90898">
      <w:pPr>
        <w:pStyle w:val="TextoNormal"/>
      </w:pPr>
    </w:p>
    <w:p w:rsidR="00A90898" w:rsidRDefault="00A90898" w:rsidP="00A90898">
      <w:pPr>
        <w:pStyle w:val="TextoNormal"/>
      </w:pPr>
      <w:r w:rsidRPr="00A90898">
        <w:rPr>
          <w:rStyle w:val="NumeroAFNegritaCaracter"/>
        </w:rPr>
        <w:t>3</w:t>
      </w:r>
      <w:r>
        <w:t>. Sentado lo anterior y entrando ya en el examen de los motivos de la demanda, ha de determinarse, en primer lugar, si es correcto el presupuesto de hecho asumido por las resoluciones impugnadas. En segundo lugar, se analizará el tratamiento jurídico que han dado las resoluciones impugnadas desde el canon propio del derecho fundamental a la tutela judicial efectiva en su vertiente de derecho de acceso a la jurisdicción (art. 24.1 CE), toda vez que la cita adicional del art. 24.2 CE, en su dimensión de derecho a la asistencia letrada, aparece en la demanda de modo meramente retórico, sin desarrollo argumental alguno.</w:t>
      </w:r>
    </w:p>
    <w:p w:rsidR="00A90898" w:rsidRDefault="00A90898" w:rsidP="00A90898">
      <w:pPr>
        <w:pStyle w:val="TextoNormal"/>
      </w:pPr>
    </w:p>
    <w:p w:rsidR="00A90898" w:rsidRDefault="00A90898" w:rsidP="00A90898">
      <w:pPr>
        <w:pStyle w:val="TextoNormal"/>
      </w:pPr>
      <w:r>
        <w:lastRenderedPageBreak/>
        <w:t>De las actuaciones se infiere, en efecto, la inasistencia de la procuradora de las sociedades recurrentes a la hora señalada (10:00 horas) para la comparecencia del art. 695.2 de la Ley de enjuiciamiento civil (LEC), convocada para el día 23 de abril de 2014. Así lo expresa, sin ofrecer datos adicionales sobre las circunstancias acaecidas, la diligencia que obra al folio 247 de las actuaciones, que afirma, únicamente, que una vez abierto el acto se constató dicha inasistencia. De igual manera se refiere ese hecho en las resoluciones judiciales recurridas: en la del Juzgado de Primera Instancia núm. 2 de Sevilla, Auto de 24 de abril de 2014, al declararse que, debidamente citadas las partes a juicio, la actora-ejecutada no compareció en forma, con la preceptiva intervención de Abogado y Procurador (art. 539 LEC y concordantes); y en la de la Sección Octava de la Audiencia Provincial de Sevilla, Auto de 14 de mayo de 2015, al subrayarse que la vista “comenzó sin esa asistencia, asistencia preceptiva”, y que se dio por concluida “sin que hubiere comparecido”. Cualquier duda queda finalmente despejada con el visionado de la grabación de la comparecencia, solicitada por este Tribunal por diligencia de ordenación de 3 de octubre de 2016. En el soporte electrónico se evidencia: (i) que la vista se inició a las 10:16’52’’ horas, con una duración de 03:27’’ minutos, por lo que concluyó pasadas ya las 10:20 horas de la mañana; (ii) que la Procuradora de las ahora demandantes de amparo no compareció en ningún momento; (iii) que la protesta que efectuaron las aquí recurrentes contra la decisión de desistimiento quedó referida, exclusivamente, al término de espera ante el retraso, así como a su voluntad de continuar con el procedimiento, sin que, por el contrario, adujeran razones justificativas del retraso de la no comparecida, su voluntad de sustituirla o, menos aún, la presencia en la sala o sus aledaños de otra profesional que pudiera hacerse cargo de la función que le es atribuida a la procuradora por las normas procesales; y (iv) que la juzgadora subrayó, cuando el reloj se acercaba ya a las 10:20 de la mañana, que había esperado tiempo suficiente, un plazo más que razonable, y que no le constaban razones para la ausencia de aquella profesional, por lo que no encontraba motivos para la suspensión del acto.</w:t>
      </w:r>
    </w:p>
    <w:p w:rsidR="00A90898" w:rsidRDefault="00A90898" w:rsidP="00A90898">
      <w:pPr>
        <w:pStyle w:val="TextoNormal"/>
      </w:pPr>
    </w:p>
    <w:p w:rsidR="00A90898" w:rsidRDefault="00A90898" w:rsidP="00A90898">
      <w:pPr>
        <w:pStyle w:val="TextoNormal"/>
      </w:pPr>
      <w:r>
        <w:t>En definitiva, en contra de lo que argumentan las recurrentes en sus sucesivos escritos, no hay prueba alguna de que existiera únicamente un leve retraso o un intento de sustitución de la procuradora, acreditándose antes bien la inasistencia injustificada al acto de la vista. El presupuesto de hecho del que se parte en las resoluciones judiciales, por tanto, es correcto: la incomparecencia de la procuradora designada a la hora señalada por causa no atribuible al juzgador.</w:t>
      </w:r>
    </w:p>
    <w:p w:rsidR="00A90898" w:rsidRDefault="00A90898" w:rsidP="00A90898">
      <w:pPr>
        <w:pStyle w:val="TextoNormal"/>
      </w:pPr>
    </w:p>
    <w:p w:rsidR="00A90898" w:rsidRDefault="00A90898" w:rsidP="00A90898">
      <w:pPr>
        <w:pStyle w:val="TextoNormal"/>
      </w:pPr>
      <w:r>
        <w:t>Y no solo por lo que ha quedado relatado sino porque, por lo demás, no se denuncia que el órgano judicial tuviera algún tipo de responsabilidad en dicho retraso, como tampoco otras eventualidades, como por ejemplo, que la designación de la procuradora no se hubiese efectuado en debida forma y eso explicara su inasistencia, o que el señalamiento para la celebración de la vista no fuese oportunamente comunicado a la representante de la parte, entre otras numerosas posibilidades. En definitiva, a falta de denuncia o elemento probatorio de esas o similares vicisitudes, ninguna omisión procesal o actuación incorrecta cabe reprochar al órgano judicial. La ausencia controvertida que ha fundado la decisión impugnada, sea o no acorde a la tutela que dispensa el art. 24.1 CE desde su vertiente de derecho de acceso a la justicia, según analizaremos en breve, no ha tenido su origen, en fin, en una acción u omisión judicial, sino, en su caso, en una falta de diligencia profesional de la representación procesal de las recurrentes.</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4</w:t>
      </w:r>
      <w:r>
        <w:t>. Una vez se ha determinado, pues, que resulta correcto el presupuesto fáctico sobre el que se asienta la decisión judicial y que no hubo indefensión imputable al órgano judicial, hemos de examinar si las razones jurídicas que se esgrimen en los Autos recurridos son respetuosas con el derecho fundamental del art. 24.1 CE, en la vertiente de derecho de acceso a la jurisdicción.</w:t>
      </w:r>
    </w:p>
    <w:p w:rsidR="00A90898" w:rsidRDefault="00A90898" w:rsidP="00A90898">
      <w:pPr>
        <w:pStyle w:val="TextoNormal"/>
      </w:pPr>
    </w:p>
    <w:p w:rsidR="00A90898" w:rsidRDefault="00A90898" w:rsidP="00A90898">
      <w:pPr>
        <w:pStyle w:val="TextoNormal"/>
      </w:pPr>
      <w:r>
        <w:t>Como se ha dicho, el juzgador declaró el desistimiento y el sobreseimiento de la acción por la inasistencia de la procuradora designada a la comparecencia del art. 695.2 LEC, decidiendo, por esa causa, no resolver materialmente la demanda incidental de oposición a la ejecución hipotecaria. Es por ello adecuada la perspectiva de análisis constitucional que adoptan las recurrentes para su queja, que es la propia del acceso a la jurisdicción como derecho derivado del derecho a la tutela judicial efectiva, según precisan las muy recientes SSTC 39/2015, de 2 de marzo, FJ 4, y 49/2016, de 14 de marzo, FJ 3 (relativas también a oposiciones a ejecuciones hipotecarias).</w:t>
      </w:r>
    </w:p>
    <w:p w:rsidR="00A90898" w:rsidRDefault="00A90898" w:rsidP="00A90898">
      <w:pPr>
        <w:pStyle w:val="TextoNormal"/>
      </w:pPr>
    </w:p>
    <w:p w:rsidR="00A90898" w:rsidRDefault="00A90898" w:rsidP="00A90898">
      <w:pPr>
        <w:pStyle w:val="TextoNormal"/>
      </w:pPr>
      <w:r>
        <w:t>Al respecto, constituye doctrina consolidada de este Tribunal que la denegación de una decisión sobre el fondo del asunto tiene relevancia y dimensión constitucional cuando tal inadmisión suponga una interpretación de la legalidad procesal manifiestamente irrazonable, arbitraria o fruto de un error patente, o también, adicionalmente, caso de que lo anterior no fuera apreciado por ser respetuosa con el derecho fundamental la respuesta judicial desde ese plano, cuando las reglas de acceso a la jurisdicción se hayan interpretado de manera rigorista o excesivamente formalista, o de cualquier otro modo que revele una clara desproporción entre los fines que estas reglas preservan y los intereses que sacrifican (por ejemplo, STC 240/2005, de 10 de octubre, FJ 5, entre otras muchas).</w:t>
      </w:r>
    </w:p>
    <w:p w:rsidR="00A90898" w:rsidRDefault="00A90898" w:rsidP="00A90898">
      <w:pPr>
        <w:pStyle w:val="TextoNormal"/>
      </w:pPr>
    </w:p>
    <w:p w:rsidR="00A90898" w:rsidRDefault="00A90898" w:rsidP="00A90898">
      <w:pPr>
        <w:pStyle w:val="TextoNormal"/>
      </w:pPr>
      <w:r>
        <w:t>Ciertamente, no cabe apreciar la lesión del derecho fundamental desde el primer prisma de control indicado, que constituye la primera fase del canon secuencial del derecho de acceso al proceso (art. 24.1 CE), esto es, aquél que veda las interpretaciones de la legalidad procesal que resulten manifiestamente irrazonables, arbitrarias o fruto de un error patente. En efecto, no estamos ante una decisión arbitraria, pues se sustenta en una regulación legal cuya aplicación al caso, al margen de la interpretación que cada parte sostiene, no es puesta en cuestión (art. 560 LEC). Tampoco es fruto de un error patente, por nadie alegado, ni puede considerarse que su aplicación sea manifiestamente irrazonable, por más que, como del alegato de la parte demandante se desprende, otras lecturas tanto del art. 560 como del art. 695, ambos de la Ley de enjuiciamiento civil, fueran posibles.</w:t>
      </w:r>
    </w:p>
    <w:p w:rsidR="00A90898" w:rsidRDefault="00A90898" w:rsidP="00A90898">
      <w:pPr>
        <w:pStyle w:val="TextoNormal"/>
      </w:pPr>
    </w:p>
    <w:p w:rsidR="00A90898" w:rsidRDefault="00A90898" w:rsidP="00A90898">
      <w:pPr>
        <w:pStyle w:val="TextoNormal"/>
      </w:pPr>
      <w:r>
        <w:t xml:space="preserve">Conviene recordar a tal fin que la decisión sobre la admisión o no de una demanda (como lo es, desde luego, la demanda ejecutiva basada en un título hipotecario, pero también la demanda incidental de oposición a la ejecución), así como la apreciación de la concurrencia o no de sus presupuestos y requisitos materiales y procesales, constituyen cuestiones de estricta legalidad ordinaria, cuya resolución compete a los órganos judiciales en el ejercicio de la potestad que privativamente les confiere el art. 117.3 CE (STC 39/2015, de 2 de marzo, FJ 5). Una apreciación que en el presente caso satisface, desde el prisma que nos ocupa, el canon que valida la respuesta judicial, pues conforme a lo dicho anteriormente no se advierte que la solución interpretativa acogida por los órganos judiciales sea inequívocamente contraria a la regulación prevista en la Ley de enjuiciamiento civil, al ser ésta suficientemente abierta como para concluir que la presencia del procurador pueda estimarse preceptiva, vistas las referencias que el art. 560 LEC realiza a la comparecencia del ejecutado y el art. 695 </w:t>
      </w:r>
      <w:r>
        <w:lastRenderedPageBreak/>
        <w:t>LEC a la convocatoria de las partes a la comparecencia, por más que no citen los preceptos mencionados de manera explícita al procurador, o a tenor de otros preceptos que también se invocan en las resoluciones recurridas, como el artículo 539 de la misma Ley, que se entiende aplicable al caso y sí contiene tal referencia expresa.</w:t>
      </w:r>
    </w:p>
    <w:p w:rsidR="00A90898" w:rsidRDefault="00A90898" w:rsidP="00A90898">
      <w:pPr>
        <w:pStyle w:val="TextoNormal"/>
      </w:pPr>
    </w:p>
    <w:p w:rsidR="00A90898" w:rsidRDefault="00A90898" w:rsidP="00A90898">
      <w:pPr>
        <w:pStyle w:val="TextoNormal"/>
      </w:pPr>
      <w:r>
        <w:t>Todo ello sea dicho sin perjuicio del juicio de proporcionalidad que se realiza en el fundamento jurídico siguiente, y como consecuencia de que la decisión judicial controvertida expresó el ejercicio de la potestad jurisdiccional del art. 117.3 CE, con una solución interpretativa de la regulación legal concebible en Derecho y que este Tribunal no puede corregir salvo que concurran aquellas notas de arbitrariedad, irrazonabilidad o error patente, pues no es su función la de, entre dos interpretaciones razonables de una norma, elegir cuál de ellas debe prevalecer (por todas, STC 138/1995, de 25 de septiembre, FJ 2).</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No resultando merecedora de censura la respuesta dada en el proceso desde aquella primera fase del control que aplicamos, la cuestión reside, entonces, en discernir si la decisión judicial adoptada revela una clara desproporción entre los fines que la causa de inadmisión aplicada preserva y los intereses que sacrifica, esto es, en determinar si las resoluciones recurridas son lesivas del derecho fundamental no ya por su razonabilidad en Derecho sino, traspasado ese umbral, en razón ahora de su rigorismo o por su formalismo excesivo (principio </w:t>
      </w:r>
      <w:r w:rsidRPr="00A90898">
        <w:rPr>
          <w:i/>
        </w:rPr>
        <w:t>pro actione</w:t>
      </w:r>
      <w:r>
        <w:t>; segunda fase del canon secuencial propio del derecho de acceso a la jurisdicción que integra el art. 24.1 CE).</w:t>
      </w:r>
    </w:p>
    <w:p w:rsidR="00A90898" w:rsidRDefault="00A90898" w:rsidP="00A90898">
      <w:pPr>
        <w:pStyle w:val="TextoNormal"/>
      </w:pPr>
    </w:p>
    <w:p w:rsidR="00A90898" w:rsidRDefault="00A90898" w:rsidP="00A90898">
      <w:pPr>
        <w:pStyle w:val="TextoNormal"/>
      </w:pPr>
      <w:r>
        <w:t xml:space="preserve">Resulta indudable que normas y criterios interpretativos como los acogidos preservan el derecho a la tutela judicial efectiva de la contraparte, la garantía a un procedimiento sin dilaciones indebidas y la regularidad, buen funcionamiento y, en definitiva, integridad del proceso, que ni pueden quedar al arbitrio de una de las partes, ni depender de su diligencia en el comportamiento procesal. Pese a ello, este Tribunal ha sostenido que el principio </w:t>
      </w:r>
      <w:r w:rsidRPr="00A90898">
        <w:rPr>
          <w:i/>
        </w:rPr>
        <w:t>pro actione</w:t>
      </w:r>
      <w:r>
        <w:t xml:space="preserve"> es de obligada observancia por los Jueces y Tribunales, impidiendo que determinadas interpretaciones y aplicaciones de los requisitos establecidos legalmente para acceder al proceso “eliminen u obstaculicen injustificadamente el derecho a que un órgano judicial conozca y resuelva en Derecho sobre la pretensión a él sometida”, añadiendo asimismo que, si bien el mencionado principio no exige al órgano jurisdiccional seleccionar la interpretación más favorable a la admisión o a la resolución del problema de fondo de entre todas las posibles, sí implica en todo caso la interdicción de aquellas decisiones de inadmisión —o de no pronunciamiento— que revelen una clara desproporción entre los fines que las causas de inadmisión —o no pronunciamiento sobre el fondo— preservan y los intereses que sacrifican (por todas, recientemente, STC 133/2016, de 18 de julio, FJ 3).</w:t>
      </w:r>
    </w:p>
    <w:p w:rsidR="00A90898" w:rsidRDefault="00A90898" w:rsidP="00A90898">
      <w:pPr>
        <w:pStyle w:val="TextoNormal"/>
      </w:pPr>
    </w:p>
    <w:p w:rsidR="00A90898" w:rsidRDefault="00A90898" w:rsidP="00A90898">
      <w:pPr>
        <w:pStyle w:val="TextoNormal"/>
      </w:pPr>
      <w:r>
        <w:t xml:space="preserve">En ese juicio de proporcionalidad, a la vista de las circunstancias fácticas descritas tras el visionado del soporte electrónico, se impone para la solución de este recurso de amparo un elemento ineludible: la juzgadora no se limitó a tener por desistidas a las sociedades recurrentes en amparo a partir de la sola incomparecencia de la Procuradora en el momento previsto y en los 20 minutos siguientes, esto es, con base únicamente en el incumplimiento normativo, sino tras ponderar adicionalmente (minuto 2:24 de la grabación) la falta de justificación de su ausencia al acto de la vista (en el mismo sentido, STC 153/2008, de 24 de noviembre). No objetado ese hecho salvo por las alegaciones genéricas y no acreditadas que </w:t>
      </w:r>
      <w:r>
        <w:lastRenderedPageBreak/>
        <w:t>contienen los escritos de las sociedades recurrentes, refutadas por la grabación de la comparecencia, era posible concluir, como hiciera la juzgadora, que hubo un acto de negligencia imputable, en exclusiva, a la representación procesal de las aquí demandantes.</w:t>
      </w:r>
    </w:p>
    <w:p w:rsidR="00A90898" w:rsidRDefault="00A90898" w:rsidP="00A90898">
      <w:pPr>
        <w:pStyle w:val="TextoNormal"/>
      </w:pPr>
    </w:p>
    <w:p w:rsidR="00A90898" w:rsidRDefault="00A90898" w:rsidP="00A90898">
      <w:pPr>
        <w:pStyle w:val="TextoNormal"/>
      </w:pPr>
      <w:r>
        <w:t>No concurre, en consecuencia, un vicio de desproporción en las resoluciones judiciales dictadas, habida cuenta que el derecho a la tutela judicial efectiva, también en su vertiente de acceso a la jurisdicción, no ampara actitudes carentes de la diligencia debida por parte del interesado, lesivas del derecho a la tutela judicial efectiva de la contraparte, de la garantía a un proceso sin dilaciones indebidas o de la regularidad, buen funcionamiento y, en definitiva, integridad del proceso (por todas, STC 195/1999, de 25 de octubre, FJ 2). Es este, por lo demás, un criterio que confirma la doctrina constitucional al afirmar, cuando se trata de profesionales de libre designación, que “el órgano judicial no puede ni debe supervisar en todos los procedimientos la actuación de los profesionales del Derecho, pues ante su pasividad o falta de pericia profesional son otros [los] mecanismos jurídicos arbitrados para exigirles responsabilidades disciplinarias o patrimoniales’…” (recientemente, STC 194/2015, de 21 de septiembre, FJ 3); al declarar asimismo, en cuanto a los efectos derivados sobre el derecho de defensa que implícitamente subyace en la demanda de amparo, que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(por todas, STC 179/2014, de 3 de noviembre, FJ 3).</w:t>
      </w:r>
    </w:p>
    <w:p w:rsidR="00A90898" w:rsidRDefault="00A90898" w:rsidP="00A90898">
      <w:pPr>
        <w:pStyle w:val="TextoNormal"/>
      </w:pPr>
    </w:p>
    <w:p w:rsidR="00A90898" w:rsidRDefault="00A90898" w:rsidP="00A90898">
      <w:pPr>
        <w:pStyle w:val="TextoNormal"/>
      </w:pPr>
      <w:r>
        <w:t>Por tal razón, ha de descartarse que los Autos recurridos resulten contrarios al derecho a la tutela judicial efectiva (art. 24.1 CE), y consiguientemente procede la desestimación del recurso de amparo interpuesto.</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la presente demanda de amparo interpuesta por Cap Deu, S.L., y Lasbolis 2001, S.L.</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2" w:name="SENTENCIA_2016_223"/>
      <w:r>
        <w:lastRenderedPageBreak/>
        <w:t>SENTENCIA 223/2016, de 19 de diciembre de 2016</w:t>
      </w:r>
    </w:p>
    <w:bookmarkEnd w:id="102"/>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ECLI:ES:TC:2016:223</w:t>
      </w:r>
    </w:p>
    <w:p w:rsidR="00A90898" w:rsidRDefault="00A90898" w:rsidP="00A90898">
      <w:pPr>
        <w:pStyle w:val="TextoNormalCentrado"/>
      </w:pPr>
    </w:p>
    <w:p w:rsidR="00A90898" w:rsidRDefault="00A90898" w:rsidP="00A90898">
      <w:pPr>
        <w:pStyle w:val="SntesisDescriptiva"/>
      </w:pPr>
      <w:r>
        <w:t>Recurso de amparo 4094-2015. Promovido por don Ricardo Vázquez Castañeda respecto de los Autos dictados por la Audiencia Provincial y un Juzgado de lo Mercantil de Barcelona en proceso sobre validez de cláusula suelo de un préstamo hipotecario.</w:t>
      </w:r>
    </w:p>
    <w:p w:rsidR="00A90898" w:rsidRDefault="00A90898" w:rsidP="00A90898">
      <w:pPr>
        <w:pStyle w:val="SntesisDescriptiva"/>
      </w:pPr>
    </w:p>
    <w:p w:rsidR="00A90898" w:rsidRDefault="00A90898" w:rsidP="00A90898">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A90898" w:rsidRDefault="00A90898" w:rsidP="00A90898">
      <w:pPr>
        <w:pStyle w:val="SntesisAnaltica"/>
      </w:pPr>
    </w:p>
    <w:p w:rsidR="00A90898" w:rsidRDefault="00A90898" w:rsidP="00A90898">
      <w:pPr>
        <w:pStyle w:val="Extracto"/>
      </w:pPr>
      <w:r>
        <w:t>1.</w:t>
      </w:r>
      <w:r>
        <w:tab/>
        <w:t>Asunto sustancialmente idéntico al resuelto por la STC 148/2016, en relación con la doctrina sobre la vulneración del derecho a la tutela judicial efectiva como consecuencia de la preterición de una acción de nulidad individual de cláusula contractual abusiva, conocida como cláusula suelo, a favor de una acción colectiva de cesación instada por una asociación de consumidores [FJ 2].</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4094-2015, promovido por don Ricardo Vázquez Castañeda, representado por la Procuradora de los Tribunales doña María José Rodríguez Teijeiro y asistido por la Letrada doña Montse Andrés Sabaté, contra el Auto del Juzgado de lo Mercantil núm. 6 de Barcelona, de 31 de marzo de 2014 (procedimiento ordinario núm. 556-2013) y contra el Auto de la Sección Decimoquinta de la Audiencia Provincial de Barcelona, de 2 de junio de 2015, que desestimó el recurso de apelación (rollo núm. 507-2014) promovido contra la resolución anterior. Ha actuado como parte la entidad Catalunya Banc, S.A., representada por el Procurador don Argimiro Vázquez Guillén y asistida por el Letrado don Ignasi Fernández de Senespleda. Ha intervenido el Ministerio Fiscal. Ha sido Ponente el Magistrado don Juan José González Rivas, quien expresa el parecer del Tribunal.</w:t>
      </w:r>
    </w:p>
    <w:p w:rsidR="00A90898" w:rsidRDefault="00A90898" w:rsidP="00A90898">
      <w:pPr>
        <w:pStyle w:val="TextoNormal"/>
      </w:pPr>
    </w:p>
    <w:p w:rsidR="00A90898" w:rsidRDefault="00A90898" w:rsidP="00A90898">
      <w:pPr>
        <w:pStyle w:val="TextoNormalNegritaCentrado"/>
        <w:keepNext/>
      </w:pPr>
      <w:r>
        <w:lastRenderedPageBreak/>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el 7 de julio de 2015, la Procuradora de los Tribunales doña María José Rodríguez Teijeiro, actuando en nombre de don Ricardo Vázquez Castañeda, interpuso demanda de amparo contra las resoluciones judiciales indicadas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con relevancia para este recurso de amparo y a los que se refiere la demanda presentada, son los siguientes:</w:t>
      </w:r>
    </w:p>
    <w:p w:rsidR="00A90898" w:rsidRDefault="00A90898" w:rsidP="00A90898">
      <w:pPr>
        <w:pStyle w:val="TextoNormal"/>
      </w:pPr>
    </w:p>
    <w:p w:rsidR="00A90898" w:rsidRDefault="00A90898" w:rsidP="00A90898">
      <w:pPr>
        <w:pStyle w:val="TextoNormal"/>
      </w:pPr>
      <w:r>
        <w:t>a) Con fecha 23 de julio de 2013, el ahora recurrente en amparo interpuso demanda de juicio ordinario frente a la entidad Catalunya Banc, S.A., ejercitando conjuntamente una acción declarativa de nulidad de una condición general de la contratación y otra de reclamación de cantidad. Se alegaba por el recurrente que en la constitución el día 13 de octubre de 2005 de un préstamo hipotecario con interés variable con la entidad Caixa d’Estalvis de Manresa, en que se subrogó la entidad Catalunya Banc, S.A., se incluyó una cláusula en la que se determinaba que el “el tipo de interés aplicable al devengo de los intereses ordinarios no podrá ser, en ningún caso, superior al doce por ciento nominal anual ni inferior al tres con veinticinco por ciento nominal anual”.</w:t>
      </w:r>
    </w:p>
    <w:p w:rsidR="00A90898" w:rsidRDefault="00A90898" w:rsidP="00A90898">
      <w:pPr>
        <w:pStyle w:val="TextoNormal"/>
      </w:pPr>
    </w:p>
    <w:p w:rsidR="00A90898" w:rsidRDefault="00A90898" w:rsidP="00A90898">
      <w:pPr>
        <w:pStyle w:val="TextoNormal"/>
      </w:pPr>
      <w:r>
        <w:t>La demanda combatía precisamente el extremo de esa estipulación que hacía referencia al límite mínimo del 3,25 por 100 nominal anual, en referencia a lo que se conoce como “cláusula suelo”. Argumentaba que dicha cláusula era nula de pleno derecho por abusiva, al no haber podido negociarse individualmente, resultar contraria a las exigencias de la buena fe y causar un desequilibrio contractual en su perjuicio, con incumplimiento del principio de transparencia en cuanto a la información de las consecuencias de la cláusula, teniendo en cuenta su condición jurídica de consumidor. Por ello, solicitaba, además de su nulidad, la devolución de lo pagado al prestatario en aplicación de la referida cláusula, con los intereses legales devengados.</w:t>
      </w:r>
    </w:p>
    <w:p w:rsidR="00A90898" w:rsidRDefault="00A90898" w:rsidP="00A90898">
      <w:pPr>
        <w:pStyle w:val="TextoNormal"/>
      </w:pPr>
    </w:p>
    <w:p w:rsidR="00A90898" w:rsidRDefault="00A90898" w:rsidP="00A90898">
      <w:pPr>
        <w:pStyle w:val="TextoNormal"/>
      </w:pPr>
      <w:r>
        <w:t>b) La demanda “sobre acción declarativa de nulidad de condición general de la contratación y acción de reclamación de cantidad” fue turnada al Juzgado de lo Mercantil núm. 6 de Barcelona y admitida a trámite en virtud de decreto del Secretario Judicial de 30 de septiembre de 2013. Conferido traslado de la misma a la parte demandada, la entidad Catalunya Banc, S.A., su representación procesal presentó escrito de contestación a la demanda el 31 octubre de 2013 en el que, con carácter previo a la oposición sobre el fondo del asunto, planteaba la existencia de prejudicialidad civil o de litispendencia respecto del procedimiento instado por la Asociación de usuarios de Bancos, Cajas de Ahorros y Seguros de España (ADICAE), para la protección de derechos e intereses colectivos y difusos de consumidores y usuarios, conforme a demanda de la que se aportaba copia, autos seguidos ante el Juzgado de lo Mercantil núm. 11 de Madrid (procedimiento ordinario núm. 471-2010) donde se impugnaba, entre otras, la cláusula suelo de la demandada.</w:t>
      </w:r>
    </w:p>
    <w:p w:rsidR="00A90898" w:rsidRDefault="00A90898" w:rsidP="00A90898">
      <w:pPr>
        <w:pStyle w:val="TextoNormal"/>
      </w:pPr>
    </w:p>
    <w:p w:rsidR="00A90898" w:rsidRDefault="00A90898" w:rsidP="00A90898">
      <w:pPr>
        <w:pStyle w:val="TextoNormal"/>
      </w:pPr>
      <w:r>
        <w:t>c) El Juzgado proveyó a lo solicitado mediante diligencia de ordenación de 6 de noviembre de 2013, por la que ordenó dar traslado del escrito a la parte actora en plazo de cinco días y convocar a las partes a la audiencia previa, que se celebró el día 28 de enero de 2014.</w:t>
      </w:r>
    </w:p>
    <w:p w:rsidR="00A90898" w:rsidRDefault="00A90898" w:rsidP="00A90898">
      <w:pPr>
        <w:pStyle w:val="TextoNormal"/>
      </w:pPr>
    </w:p>
    <w:p w:rsidR="00A90898" w:rsidRDefault="00A90898" w:rsidP="00A90898">
      <w:pPr>
        <w:pStyle w:val="TextoNormal"/>
      </w:pPr>
      <w:r>
        <w:lastRenderedPageBreak/>
        <w:t>d) Con fecha 31 de marzo de 2014, el Juzgado dictó Auto estimatorio de la excepción de prejudicialidad civil planteada por la representación de Catalunya Banc S.A. y la suspensión del procedimiento hasta que recayera resolución firme en el proceso seguido ante el Juzgado de lo Mercantil núm. 11 de Madrid. En su fundamentación, el Juzgado, luego de reconocer que con anterioridad se había mostrado contrario a la suspensión de procedimientos con el mismo objeto litigioso, tras haberse efectuado un pronunciamiento por la Audiencia Provincial de Barcelona, Sección Decimoquinta, mediante Auto de 11 de junio de 2013, estima procedente acoger la litispendencia impropia, considerando que la Sentencia que recaiga en aquel proceso precedente podría hacerse extensiva a usuarios no incluidos en la demanda de conformidad con el art. 43 de la Ley de enjuiciamiento civil (LEC), y que la legitimación individual de los consumidores afectados para defender sus propios intereses que reconoce el art. 11.1 LEC “no es óbice para que deba priorizarse el principio de seguridad jurídica comprendido en el art. 9 CE, dada la conexión objetiva existente entre ambos procesos, que si bien no es totalmente coincidente es interdependiente, lo que podría provocar situaciones de existencia contradictoria, de imposible coexistencia jurídica”.</w:t>
      </w:r>
    </w:p>
    <w:p w:rsidR="00A90898" w:rsidRDefault="00A90898" w:rsidP="00A90898">
      <w:pPr>
        <w:pStyle w:val="TextoNormal"/>
      </w:pPr>
    </w:p>
    <w:p w:rsidR="00A90898" w:rsidRDefault="00A90898" w:rsidP="00A90898">
      <w:pPr>
        <w:pStyle w:val="TextoNormal"/>
      </w:pPr>
      <w:r>
        <w:t>e) Contra el indicado Auto, la parte actora interpuso recurso de apelación en el que, además de alegar en el plano de la legalidad ordinaria la infracción del art. 43 LEC y argumentar que el ejercicio de la acción colectiva por parte de ADICAE no impedía a los interesados ejercitar las acciones individuales que tuvieran por conveniente con base en lo previsto en el art. 11.1 LEC, aducía que la tesis del Juzgado conducía a una vulneración del derecho fundamental a la tutela judicial efectiva, consagrado en el art. 24.1 CE.</w:t>
      </w:r>
    </w:p>
    <w:p w:rsidR="00A90898" w:rsidRDefault="00A90898" w:rsidP="00A90898">
      <w:pPr>
        <w:pStyle w:val="TextoNormal"/>
      </w:pPr>
    </w:p>
    <w:p w:rsidR="00A90898" w:rsidRDefault="00A90898" w:rsidP="00A90898">
      <w:pPr>
        <w:pStyle w:val="TextoNormal"/>
      </w:pPr>
      <w:r>
        <w:t>f) La Sección Decimoquinta de la Audiencia Provincial de Barcelona dictó Auto el día 2 de junio de 2015, en el seno del rollo de apelación núm. 507-2014, por el que desestimó el recurso interpuesto, si bien en su parte dispositiva agregó el siguiente tenor literal: “no obstante lo cual, modificamos de oficio la resolución recurrida acordando el archivo de las actuaciones por cauca de litispendencia”.</w:t>
      </w:r>
    </w:p>
    <w:p w:rsidR="00A90898" w:rsidRDefault="00A90898" w:rsidP="00A90898">
      <w:pPr>
        <w:pStyle w:val="TextoNormal"/>
      </w:pPr>
    </w:p>
    <w:p w:rsidR="00A90898" w:rsidRDefault="00A90898" w:rsidP="00A90898">
      <w:pPr>
        <w:pStyle w:val="TextoNormal"/>
      </w:pPr>
      <w:r>
        <w:t>Los argumentos desplegados por el Auto de referencia (fundamentos jurídicos 3 a 5) para tomar su decisión fueron, en síntesis, los siguientes:</w:t>
      </w:r>
    </w:p>
    <w:p w:rsidR="00A90898" w:rsidRDefault="00A90898" w:rsidP="00A90898">
      <w:pPr>
        <w:pStyle w:val="TextoNormal"/>
      </w:pPr>
    </w:p>
    <w:p w:rsidR="00A90898" w:rsidRDefault="00A90898" w:rsidP="00A90898">
      <w:pPr>
        <w:pStyle w:val="TextoNormal"/>
      </w:pPr>
      <w:r>
        <w:t xml:space="preserve">En primer lugar (FJ 3), con apoyo en el art. 222.3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 15 LEC, esto es, intervenir en el proceso, o bien solicitar la acumulación de la acción individual a la colectiva (siempre que se cumplan los requisitos que exige el art. 76.2.1 LEC) o interesar la extensión de los efectos del pronunciamiento en fase de ejecución (art.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Afirma (FJ 4) que tiene razón la recurrente cuando alega que no se cumplen en el supuesto enjuiciado los presupuestos establecidos en el art. 43 LEC, norma que regula la prejudicialidad civil, sino que existe identidad de objeto “porque la condición general impugnada en ambos es la misma, no es solo similar. Y también porque </w:t>
      </w:r>
      <w:r>
        <w:lastRenderedPageBreak/>
        <w:t>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00A90898" w:rsidRDefault="00A90898" w:rsidP="00A90898">
      <w:pPr>
        <w:pStyle w:val="TextoNormal"/>
      </w:pPr>
    </w:p>
    <w:p w:rsidR="00A90898" w:rsidRDefault="00A90898" w:rsidP="00A90898">
      <w:pPr>
        <w:pStyle w:val="TextoNormal"/>
      </w:pPr>
      <w:r>
        <w:t>En segundo término (FJ 6), la Sala arguye que, aun cuando el art. 11.1 LEC reconozca legitimación activa a los perjudicados titulares de acciones individuales, tal circunstancia no se opone a la apreciación de litispendencia, pues sostiene que el hecho de que “tengan legitimación activa los perjudicados no significa que deban mantener abierta de forma incondicional la posibilidad de actuar en un proceso separado. Iniciada la acción colectiva su legitimación se concreta, como resulta de lo establecido en el art.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ni se les impide el acceso a la tutela sino que únicamente se condiciona el ejercicio de las acciones individuales de una forma concreta y determinada (acumulada a otras, las colectivas), de manera que permite conciliar esos derechos individuales con los de los demás afectados”. Se trataría por tanto, concluye, de “normas de organización procesal que pretenden salvaguardar el interés general (los intereses colectivos) respetando el buen orden procesal (la cosa juzgada)”.</w:t>
      </w:r>
    </w:p>
    <w:p w:rsidR="00A90898" w:rsidRDefault="00A90898" w:rsidP="00A90898">
      <w:pPr>
        <w:pStyle w:val="TextoNormal"/>
      </w:pPr>
    </w:p>
    <w:p w:rsidR="00A90898" w:rsidRDefault="00A90898" w:rsidP="00A90898">
      <w:pPr>
        <w:pStyle w:val="TextoNormal"/>
      </w:pPr>
      <w:r w:rsidRPr="00A90898">
        <w:rPr>
          <w:rStyle w:val="NumeroAFNegritaCaracter"/>
        </w:rPr>
        <w:t>3</w:t>
      </w:r>
      <w:r>
        <w:t>. El actor formalizó su demanda de amparo ante este Tribunal, en la que se alega vulneración de su derecho fundamental a la tutela judicial efectiva (art. 24.1 CE).</w:t>
      </w:r>
    </w:p>
    <w:p w:rsidR="00A90898" w:rsidRDefault="00A90898" w:rsidP="00A90898">
      <w:pPr>
        <w:pStyle w:val="TextoNormal"/>
      </w:pPr>
    </w:p>
    <w:p w:rsidR="00A90898" w:rsidRDefault="00A90898" w:rsidP="00A90898">
      <w:pPr>
        <w:pStyle w:val="TextoNormal"/>
      </w:pPr>
      <w:r>
        <w:t>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00A90898" w:rsidRDefault="00A90898" w:rsidP="00A90898">
      <w:pPr>
        <w:pStyle w:val="TextoNormal"/>
      </w:pPr>
    </w:p>
    <w:p w:rsidR="00A90898" w:rsidRDefault="00A90898" w:rsidP="00A90898">
      <w:pPr>
        <w:pStyle w:val="TextoNormal"/>
      </w:pPr>
      <w:r>
        <w:t xml:space="preserve">Más adelante, en el bloque de fundamentos de derecho procesales, en concreto en el epígrafe dedicado al requisito del debido agotamiento de la vía judicial previa al amparo, art. 44.1 a) LOTC, la demanda explica que dicha parte actora “ha tenido serias dificultades” para su cumplimiento. Que, siendo el Auto de la Audiencia Provincial firme y no caber contra él recurso alguno, “parecía claro que la vía judicial previa al recurso de amparo se agotaba con la interposición del recurso de nulidad de actuaciones ante el órgano que dictó dicha resolución”. Sin embargo, prosigue diciendo la demanda, “dicha interpretación, fue pacífica hasta que el Tribunal Constitucional, en Pleno, dictó la STC 216/2013, de 19 de </w:t>
      </w:r>
      <w:r>
        <w:lastRenderedPageBreak/>
        <w:t>diciembre”, de la que reproduce su fundamento jurídico 2 d), donde se declara que, para el agotamiento de la vía judicial previa, “basta comprobar que los órganos judiciales han tenido la oportunidad de pronunciarse sobre los derechos fundamentales luego invocados en vía de amparo constitucional, para estimar cumplido el mencionado requisito”, por lo que “cuando el objeto del proceso consista en el estudio de la lesión directa del derecho … consecuencia de la revocación de las sentencias de las instancias previas, no requiere la necesaria interposición del incidente de nulidad”. Añade el escrito que la disyuntiva entre interponer el incidente o no hacerlo “no es baladí, ya que optar por la interposición del recurso sin ser necesario conllevaría una interposición extemporánea del recurso de amparo, y no interponerlo siendo preceptivo conllevaría una inadmisión del recurso por no cumplir el requisito del agotamiento previo de la vía judicial”. Y finaliza en este punto la demanda diciendo que: “En consecuencia, esta parte ha llegado a la conclusión que en este supuesto no es necesaria la interposición del recurso [</w:t>
      </w:r>
      <w:r w:rsidRPr="00A90898">
        <w:rPr>
          <w:i/>
        </w:rPr>
        <w:t>sic</w:t>
      </w:r>
      <w:r>
        <w:t>] de nulidad de actuaciones y que, por tanto, debemos interponer directamente el presente recurso de amparo, habida cuenta que el órgano judicial que dictó el Auto, recurrido ahora en amparo, ya tuvo oportunidad de pronunciarse sobre la vulneración del derecho fundamental objeto de la presente demanda (art. 24. CE) entendiendo que no existía ‘afectación alguna relevante desde la perspectiva del art. 24 CE’, por ende, ha de concluirse que se han agotado todos los recursos preceptivos de la vía judicial”.</w:t>
      </w:r>
    </w:p>
    <w:p w:rsidR="00A90898" w:rsidRDefault="00A90898" w:rsidP="00A90898">
      <w:pPr>
        <w:pStyle w:val="TextoNormal"/>
      </w:pPr>
    </w:p>
    <w:p w:rsidR="00A90898" w:rsidRDefault="00A90898" w:rsidP="00A90898">
      <w:pPr>
        <w:pStyle w:val="TextoNormal"/>
      </w:pPr>
      <w: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del canon del principio </w:t>
      </w:r>
      <w:r w:rsidRPr="00A90898">
        <w:rPr>
          <w:i/>
        </w:rPr>
        <w:t>pro actione</w:t>
      </w:r>
      <w:r>
        <w:t xml:space="preserve">,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Tras citar la recomendación de 11 de junio de 2013 de la Comisión Europea, defiende que no hay peligro en estos casos de sentencias contradictorias “pues los intereses en juego en cada una de las acciones es distinto y tanto más cuando, como es el caso, los recurrentes no forman parte del elenco de los concretos intereses defendidos en el otro proceso ni tan siquiera que hayan sido llamados a ese proceso lo que, en todo caso, no puede constituirse ni en una obligación ni en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w:t>
      </w:r>
      <w:r w:rsidRPr="00A90898">
        <w:rPr>
          <w:i/>
        </w:rPr>
        <w:t>causa petendi</w:t>
      </w:r>
      <w:r>
        <w:t xml:space="preserve"> entre la acción ejercida por esta parte y la acción colectiva interpuesta por ADICAE y que se sustancia en el Juzgado Mercantil núm. 11 de Madrid”. Insiste finalmente en una lectura integrada de los arts. 11.1 LEC y 24.1 CE, para no excluir el ejercicio de las acciones individuales.</w:t>
      </w:r>
    </w:p>
    <w:p w:rsidR="00A90898" w:rsidRDefault="00A90898" w:rsidP="00A90898">
      <w:pPr>
        <w:pStyle w:val="TextoNormal"/>
      </w:pPr>
    </w:p>
    <w:p w:rsidR="00A90898" w:rsidRDefault="00A90898" w:rsidP="00A90898">
      <w:pPr>
        <w:pStyle w:val="TextoNormal"/>
      </w:pPr>
      <w:r>
        <w:lastRenderedPageBreak/>
        <w:t>El suplico de la demanda solicita la declaración de nulidad del Auto de la Sección Decimoquinta de la Audiencia Provincial de Barcelona, de 2 de junio de 2015 y que, como consecuencia de ello, “se ordene la emisión de una sentencia sobre el fondo según las pretensiones y peticiones de las partes que constan en los autos, restableciendo de este modo los derechos a la tutela judicial efectiva de los recurrentes”.</w:t>
      </w:r>
    </w:p>
    <w:p w:rsidR="00A90898" w:rsidRDefault="00A90898" w:rsidP="00A90898">
      <w:pPr>
        <w:pStyle w:val="TextoNormal"/>
      </w:pPr>
    </w:p>
    <w:p w:rsidR="00A90898" w:rsidRDefault="00A90898" w:rsidP="00A90898">
      <w:pPr>
        <w:pStyle w:val="TextoNormal"/>
      </w:pPr>
      <w:r w:rsidRPr="00A90898">
        <w:rPr>
          <w:rStyle w:val="NumeroAFNegritaCaracter"/>
        </w:rPr>
        <w:t>4</w:t>
      </w:r>
      <w:r>
        <w:t>. Mediante diligencia de ordenación de 14 de julio de 2015, la Secretaría de Justicia de la Sección Tercera de este Tribunal requirió a la Procuradora del recurrente para que aportara copia de la resolución de 31 de marzo de 2014 del Juzgado de lo Mercantil núm. 6 de Barcelona, así como la escritura de poder original que acredite la representación que decía ostentar. El requerimiento fue cumplimentado por dicha representación procesal, a través de escrito presentado el 30 de julio de 2015 al que acompañaba los indicados documentos.</w:t>
      </w:r>
    </w:p>
    <w:p w:rsidR="00A90898" w:rsidRDefault="00A90898" w:rsidP="00A90898">
      <w:pPr>
        <w:pStyle w:val="TextoNormal"/>
      </w:pPr>
    </w:p>
    <w:p w:rsidR="00A90898" w:rsidRDefault="00A90898" w:rsidP="00A90898">
      <w:pPr>
        <w:pStyle w:val="TextoNormal"/>
      </w:pPr>
      <w:r w:rsidRPr="00A90898">
        <w:rPr>
          <w:rStyle w:val="NumeroAFNegritaCaracter"/>
        </w:rPr>
        <w:t>5</w:t>
      </w:r>
      <w:r>
        <w:t>. Con fecha 19 de enero de 2016, la Sección Tercera, Sala Segunda, de este Tribunal, dictó providencia admitiendo a trámite la demanda de amparo, “apreciando que concurre en el mismo especial trascendencia constitucional (art. 50.1 LOTC), porque el recurso puede dar ocasión al Tribunal para aclarar o cambiar su doctrina como consecuencia de un proceso de reflexión interna, [STC 155/2009, FJ 2.b)]”. Asimismo, se acordó dirigir comunicación a la Sección Decimoquinta de la Audiencia Provincial de Barcelona, y al Juzgado de lo Mercantil núm. 6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00A90898" w:rsidRDefault="00A90898" w:rsidP="00A90898">
      <w:pPr>
        <w:pStyle w:val="TextoNormal"/>
      </w:pPr>
    </w:p>
    <w:p w:rsidR="00A90898" w:rsidRDefault="00A90898" w:rsidP="00A90898">
      <w:pPr>
        <w:pStyle w:val="TextoNormal"/>
      </w:pPr>
      <w:r w:rsidRPr="00A90898">
        <w:rPr>
          <w:rStyle w:val="NumeroAFNegritaCaracter"/>
        </w:rPr>
        <w:t>6</w:t>
      </w:r>
      <w:r>
        <w:t>. Por medio de escrito presentado el día 23 de febrero de 2016, el Procurador de los Tribunales don Argimiro Vázquez Guillén vino a personarse en nombre y representación de la entidad Catalunya Banc, S.A., solicitando se entendieran con él las sucesivas diligencias y notificaciones.</w:t>
      </w:r>
    </w:p>
    <w:p w:rsidR="00A90898" w:rsidRDefault="00A90898" w:rsidP="00A90898">
      <w:pPr>
        <w:pStyle w:val="TextoNormal"/>
      </w:pPr>
    </w:p>
    <w:p w:rsidR="00A90898" w:rsidRDefault="00A90898" w:rsidP="00A90898">
      <w:pPr>
        <w:pStyle w:val="TextoNormal"/>
      </w:pPr>
      <w:r w:rsidRPr="00A90898">
        <w:rPr>
          <w:rStyle w:val="NumeroAFNegritaCaracter"/>
        </w:rPr>
        <w:t>7</w:t>
      </w:r>
      <w:r>
        <w:t>. La Secretaría de Justicia de la Sección Tercera de este Tribunal dictó diligencia de ordenación el día 1 de marzo de 2016, por la que tuvo por personado y parte en el procedimiento al Procurador indicado, en nombre y representación de Catalunya Banc, S.A., si bien con la condición de que en el plazo de diez días aportase la escritura de poder acreditativa de su representación, lo que efectuó el día 18 de marzo siguiente. Asimismo, se acordó abrir trámite de audiencia por 20 días a las partes personadas y al Ministerio Fiscal, a fin de que pudieran presentar alegaciones conforme determina el art. 52.1 de la Ley Orgánica de este Tribunal.</w:t>
      </w:r>
    </w:p>
    <w:p w:rsidR="00A90898" w:rsidRDefault="00A90898" w:rsidP="00A90898">
      <w:pPr>
        <w:pStyle w:val="TextoNormal"/>
      </w:pPr>
    </w:p>
    <w:p w:rsidR="00A90898" w:rsidRDefault="00A90898" w:rsidP="00A90898">
      <w:pPr>
        <w:pStyle w:val="TextoNormal"/>
      </w:pPr>
      <w:r w:rsidRPr="00A90898">
        <w:rPr>
          <w:rStyle w:val="NumeroAFNegritaCaracter"/>
        </w:rPr>
        <w:t>8</w:t>
      </w:r>
      <w:r>
        <w:t>. Por escrito registrado el día 29 de marzo de 2016, la representante procesal de los recurrentes en amparo presentó sus alegaciones, informando que ante el Tribunal de Justicia de la Unión Europea pendía una cuestión prejudicial relativa a la interpretación de la Directiva 91/13/CEE [</w:t>
      </w:r>
      <w:r w:rsidRPr="00A90898">
        <w:rPr>
          <w:i/>
        </w:rPr>
        <w:t>sic</w:t>
      </w:r>
      <w:r>
        <w:t xml:space="preserve">], del Consejo, de 5 de abril de 1993, sobre las cláusulas abusivas en los contratos celebrados con consumidores, en la que se plantea “si el art. 7 de dicha Directiva se opone a una normativa procesal nacional según la cual los procedimientos judiciales individuales sobre cláusulas abusivas, entablados paralelamente a procedimientos colectivos, deben suspenderse, por existir prejudicialidad civil, hasta que recaiga sentencia firme en los </w:t>
      </w:r>
      <w:r>
        <w:lastRenderedPageBreak/>
        <w:t>procedimientos colectivos, quedando también vinculados a lo que se decida en dicha sentencia”. En relación a dicho procedimiento, se aportó informe del Servicio Jurídico de la Comisión Europea en los asuntos acumulados C-381/14 y C-385/14, cuyo criterio “es relevante y debe ser conocido por este Alto Tribunal”, acompañando copia del mismo, y reproduciendo varios de sus apartados así como su conclusión, según la cual una norma nacional que prevea suspender los procedimientos individuales hasta que recaiga sentencia firme en los procesos colectivos se opone al art. 7 de la Directiva 93/13/CEE.</w:t>
      </w:r>
    </w:p>
    <w:p w:rsidR="00A90898" w:rsidRDefault="00A90898" w:rsidP="00A90898">
      <w:pPr>
        <w:pStyle w:val="TextoNormal"/>
      </w:pPr>
    </w:p>
    <w:p w:rsidR="00A90898" w:rsidRDefault="00A90898" w:rsidP="00A90898">
      <w:pPr>
        <w:pStyle w:val="TextoNormal"/>
      </w:pPr>
      <w:r w:rsidRPr="00A90898">
        <w:rPr>
          <w:rStyle w:val="NumeroAFNegritaCaracter"/>
        </w:rPr>
        <w:t>9</w:t>
      </w:r>
      <w:r>
        <w:t>. Con fecha 1 de abril de 2016 se formalizó escrito de alegaciones por el representante procesal de la entidad Catalunya Banc, S.A. Tras exponer los antecedentes de hecho, pone en conocimiento del Tribunal, nuevamente, la pendencia ante el Tribunal de Justicia de la Unión Europea de la cuestión prejudicial indicada, interesando la suspensión del presente proceso de amparo hasta la resolución de dicha cuestión.</w:t>
      </w:r>
    </w:p>
    <w:p w:rsidR="00A90898" w:rsidRDefault="00A90898" w:rsidP="00A90898">
      <w:pPr>
        <w:pStyle w:val="TextoNormal"/>
      </w:pPr>
    </w:p>
    <w:p w:rsidR="00A90898" w:rsidRDefault="00A90898" w:rsidP="00A90898">
      <w:pPr>
        <w:pStyle w:val="TextoNormal"/>
      </w:pPr>
      <w:r>
        <w:t xml:space="preserve">Por lo que se refiere a la cuestión de fondo, sostiene la entidad bancaria que el sobreseimiento del proceso por litispendencia no lesiona el derecho a la tutela judicial efectiva del art. 24.1 CE en su vertiente de acceso a la jurisdicción sino que la demanda de amparo contiene una mera crítica a la ley ordinaria y a la interpretación de la misma realizada por los Tribunales. Aduce que es doctrina constitucional que la apreciación de la concurrencia de las identidades precisas para la apreciación de cosa juzgada, lo que valdría para la litispendencia, es cuestión de legalidad procesal que corresponde a los Tribunales ordinarios (STC 32/2005, de 15 de febrero, FJ 6) y que, en el caso, la resolución judicial estima la litispendencia de conformidad con el art. 421.1 LEC, de forma muy razonada y argumentada. En segundo lugar, trae a colación la STC 12/2009, de 12 de enero, que, aunque abordaba un supuesto de convivencia de acciones individuales y colectivas en el ámbito laboral, es relevante, a su juicio, y aduce que el efecto expansivo a terceros con que el legislador ha querido dotar la acción colectiva (art. 221 LEC) “supone necesariamente la introducción de mecanismos armonizadores que enerven por un lado el riesgo de sentencias contradictorias…pero que por otra preserven el derecho constitucional a la tutela judicial efectiva en toda su extensión, velando porque el consumidor pueda ser parte individualmente en el proceso con todas las garantías y plenitud de facultades”. Es más, aun cuando el consumidor individual, llamado al proceso en virtud de lo dispuesto en el art. 15 LEC, decida no personarse, existe todavía el mecanismo de reconocimiento de su condición de beneficiario de la sentencia </w:t>
      </w:r>
      <w:r w:rsidRPr="00A90898">
        <w:rPr>
          <w:i/>
        </w:rPr>
        <w:t>ex</w:t>
      </w:r>
      <w:r>
        <w:t xml:space="preserve"> art. 519 LEC. En estas circunstancias, concluye, la resolución judicial impugnada no priva al recurrente de “la posibilidad de obtener una resolución fundada en derecho que resuelva sobre su pretensión”.</w:t>
      </w:r>
    </w:p>
    <w:p w:rsidR="00A90898" w:rsidRDefault="00A90898" w:rsidP="00A90898">
      <w:pPr>
        <w:pStyle w:val="TextoNormal"/>
      </w:pPr>
    </w:p>
    <w:p w:rsidR="00A90898" w:rsidRDefault="00A90898" w:rsidP="00A90898">
      <w:pPr>
        <w:pStyle w:val="TextoNormal"/>
      </w:pPr>
      <w:r w:rsidRPr="00A90898">
        <w:rPr>
          <w:rStyle w:val="NumeroAFNegritaCaracter"/>
        </w:rPr>
        <w:t>10</w:t>
      </w:r>
      <w:r>
        <w:t>. El Ministerio Fiscal formalizó su escrito de alegaciones con fecha 7 de abril de 2016, interesando la estimación del amparo “por entender que el Auto dictado por el Juzgado de lo Mercantil … y el Auto … de la Audiencia Provincial de Barcelona desestimando el recurso de apelación contra el anterior han vulnerado el art. 24.1 CE que tutela el acceso al proceso y a obtener una resolución de fondo, restableciendo al demandante en amparo en su derecho fundamental”.</w:t>
      </w:r>
    </w:p>
    <w:p w:rsidR="00A90898" w:rsidRDefault="00A90898" w:rsidP="00A90898">
      <w:pPr>
        <w:pStyle w:val="TextoNormal"/>
      </w:pPr>
    </w:p>
    <w:p w:rsidR="00A90898" w:rsidRDefault="00A90898" w:rsidP="00A90898">
      <w:pPr>
        <w:pStyle w:val="TextoNormal"/>
      </w:pPr>
      <w:r>
        <w:t>Tras exponer los antecedentes de hecho, precisa que “son dos las resoluciones judiciales impugnadas porque en ambas, tanto en la de instancia como en la de apelación, se impide el examen sobre el fondo de la pretensión planteada, si bien su argumentación no es total</w:t>
      </w:r>
      <w:r>
        <w:lastRenderedPageBreak/>
        <w:t>mente coincidente”; la del Juzgado acordando la suspensión por prejudicialidad, y la Audiencia el archivo del procedimiento por litispendencia. Así, “siendo motivaciones distintas las que impiden el acceso a la jurisdicción de las demandantes de amparo, ambas tienen un nexo común, cual es la finalidad de ambas resoluciones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A90898" w:rsidRDefault="00A90898" w:rsidP="00A90898">
      <w:pPr>
        <w:pStyle w:val="TextoNormal"/>
      </w:pPr>
    </w:p>
    <w:p w:rsidR="00A90898" w:rsidRDefault="00A90898" w:rsidP="00A90898">
      <w:pPr>
        <w:pStyle w:val="TextoNormal"/>
      </w:pPr>
      <w:r>
        <w:t>En relación al motivo de fondo del recurso, el Ministerio público se centra en el art. 11.1 LEC, del que observa que prevé la legitimación de las asociaciones de consumidores y usuarios para ejercitar acciones en defensa de los intereses generales de estos, “sin perjuicio de la legitimación individual de los perjudicados”, quedando así establecida la compatibilidad entre ambas. Pasa a referirse a los razonamientos dados en el Auto del Juzgado de lo Mercantil núm. 6 de Barcelona, del que dice que no puede asegurarse con rotundidad que responda a la estimación de prejudicialidad o litispendencia, que es la apreciada por la Sección Decimoquinta de la Audiencia Provincial de Barcelona, si bien en este caso no se anuda la consecuencia de esta última que es el sobreseimiento del proceso.</w:t>
      </w:r>
    </w:p>
    <w:p w:rsidR="00A90898" w:rsidRDefault="00A90898" w:rsidP="00A90898">
      <w:pPr>
        <w:pStyle w:val="TextoNormal"/>
      </w:pPr>
    </w:p>
    <w:p w:rsidR="00A90898" w:rsidRDefault="00A90898" w:rsidP="00A90898">
      <w:pPr>
        <w:pStyle w:val="TextoNormal"/>
      </w:pPr>
      <w:r>
        <w:t>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A90898" w:rsidRDefault="00A90898" w:rsidP="00A90898">
      <w:pPr>
        <w:pStyle w:val="TextoNormal"/>
      </w:pPr>
    </w:p>
    <w:p w:rsidR="00A90898" w:rsidRDefault="00A90898" w:rsidP="00A90898">
      <w:pPr>
        <w:pStyle w:val="TextoNormal"/>
      </w:pPr>
      <w:r>
        <w:t xml:space="preserve">A su parecer, además, la resolución del Juzgado adolece de una deficiente fundamentación, por tres causas: "En primer lugar porque, con independencia de que no consta que se haya aportado en el proceso la documentación del proceso preexistente que permitiera de manera cierta documentar no sólo la </w:t>
      </w:r>
      <w:r w:rsidRPr="00A90898">
        <w:rPr>
          <w:i/>
        </w:rPr>
        <w:t>litis</w:t>
      </w:r>
      <w:r>
        <w:t xml:space="preserve"> del mismo y el alcance final de esta sino asimismo las relaciones procesales existentes en aquél, el momento procesal y lo actuado hasta ese momento así como los llamamientos a quienes pudieran ser parte en el mismo al tenor de los arts. 11 y 15 LEC, no se contiene razonamiento alguno encaminado a demostrar, de manera contundente la excepción que estima. En segundo lugar, prosigue diciendo, porque tampoco el Auto del Juzgado motiva por qué no era posible acordar la acumulación de procesos antes de tener que llegar a la solución de declarar la prejudicialidad. Y en tercer lugar, porque examinada la resolución que, cuando como presupuesto de la condena se pida la declaración de ilicitud de la cláusula suelo, la sentencia que la declare puede limitar sus efectos solamente a quienes hayan sido parte en el proceso correspondiente (art. 221.1.2 LEC)." Todo ello supone, a juicio del Fiscal, “una quiebra importante del deber de fundamentación de una resolución, cuya necesidad de motivación es alta y exigente por las consecuencias anudadas a la misma”, conforme "la constante jurisprudencia constitucional en relación con el art. 24.1 CE”.</w:t>
      </w:r>
    </w:p>
    <w:p w:rsidR="00A90898" w:rsidRDefault="00A90898" w:rsidP="00A90898">
      <w:pPr>
        <w:pStyle w:val="TextoNormal"/>
      </w:pPr>
    </w:p>
    <w:p w:rsidR="00A90898" w:rsidRDefault="00A90898" w:rsidP="00A90898">
      <w:pPr>
        <w:pStyle w:val="TextoNormal"/>
      </w:pPr>
      <w:r>
        <w:t xml:space="preserve">De la resolución de apelación, considera a su vez el Fiscal que “incide en los mismos defectos constitucionales que hemos atribuido a la de instancia”. Cuestiona, en primer lugar, la declaración de oficio de la litispendencia hecha por la Audiencia, lo que “podría suponer </w:t>
      </w:r>
      <w:r>
        <w:lastRenderedPageBreak/>
        <w:t xml:space="preserve">la vulneración del derecho a no padecer indefensión anudada a incongruencia </w:t>
      </w:r>
      <w:r w:rsidRPr="00A90898">
        <w:rPr>
          <w:i/>
        </w:rPr>
        <w:t>extrapetita</w:t>
      </w:r>
      <w:r>
        <w:t xml:space="preserve"> (art. 24.1 CE) e incluso del proceso debido (art. 24.2 CE)”.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las consideraciones efectuadas ya a propósito del Auto del Juzgado.</w:t>
      </w:r>
    </w:p>
    <w:p w:rsidR="00A90898" w:rsidRDefault="00A90898" w:rsidP="00A90898">
      <w:pPr>
        <w:pStyle w:val="TextoNormal"/>
      </w:pPr>
    </w:p>
    <w:p w:rsidR="00A90898" w:rsidRDefault="00A90898" w:rsidP="00A90898">
      <w:pPr>
        <w:pStyle w:val="TextoNormal"/>
      </w:pPr>
      <w:r>
        <w:t>Finalmente,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A90898" w:rsidRDefault="00A90898" w:rsidP="00A90898">
      <w:pPr>
        <w:pStyle w:val="TextoNormal"/>
      </w:pPr>
    </w:p>
    <w:p w:rsidR="00A90898" w:rsidRDefault="00A90898" w:rsidP="00A90898">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A90898" w:rsidRDefault="00A90898" w:rsidP="00A90898">
      <w:pPr>
        <w:pStyle w:val="TextoNormal"/>
      </w:pPr>
    </w:p>
    <w:p w:rsidR="00A90898" w:rsidRDefault="00A90898" w:rsidP="00A90898">
      <w:pPr>
        <w:pStyle w:val="TextoNormal"/>
      </w:pPr>
      <w:r w:rsidRPr="00A90898">
        <w:rPr>
          <w:rStyle w:val="NumeroAFNegritaCaracter"/>
        </w:rPr>
        <w:t>11</w:t>
      </w:r>
      <w:r>
        <w:t>. Por providencia de 15 de diciembre de 2016, se señaló para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demanda de amparo solicita en su suplico, por los motivos que expone en sus fundamentos y que luego se analizarán, que este Tribunal declare la nulidad del Auto de la Sección Decimoquinta de la Audiencia Provincial de Barcelona dictado el 2 de junio de 2015, por vulnerar el derecho de acceso a la jurisdicción (art. 24.1 CE) del recurrente, al haber estimado la excepción procesal de litispendencia respecto del procedimiento abierto a su instancia contra la entidad Catalunya Banc, S.A., para la nulidad de la cláusula suelo incluida en el contrato de préstamo que ligaba a ambas partes. Se trata de un procedimiento instado a su vez en el año 2010 por la Asociación de usuarios de Bancos, Cajas de Ahorros y Seguros de España (ADICAE) contra diversas entidades financieras, entre ellas la aquí demandada, en ejercicio de una acción colectiva de cesación de cláusulas abusivas, ante el Juzgado de lo Mercantil núm. 11 de Madrid.</w:t>
      </w:r>
    </w:p>
    <w:p w:rsidR="00A90898" w:rsidRDefault="00A90898" w:rsidP="00A90898">
      <w:pPr>
        <w:pStyle w:val="TextoNormal"/>
      </w:pPr>
    </w:p>
    <w:p w:rsidR="00A90898" w:rsidRDefault="00A90898" w:rsidP="00A90898">
      <w:pPr>
        <w:pStyle w:val="TextoNormal"/>
      </w:pPr>
      <w:r>
        <w:t xml:space="preserve">Aunque no en el suplico, el escrito de demanda sí que hace referencia en sus fundamentos a que el Juzgado de lo Mercantil núm. 6 de Barcelona había dictado el Auto el 31 de marzo de 2014, acordando estimar la excepción de prejudicialidad del art. 43 de la Ley de enjuiciamiento civil (LEC) planteada por la entidad demandada, en relación con aquel otro proceso seguido a instancias de ADICAE, trayendo consigo que se suspendieran las actuaciones hasta recaer sentencia firme en este último, a fin de estar a lo resuelto en el mismo para dilucidar la controversia aquí planteada. Esta decisión judicial propició, según explica la </w:t>
      </w:r>
      <w:r>
        <w:lastRenderedPageBreak/>
        <w:t>propia demanda, la interposición de un recurso de apelación en el que, aparte de otros argumentos, se hizo expresa invocación del art. 24.1 CE, al entenderse como impeditiva del derecho del recurrente a obtener una resolución de fondo sobre sus pretensiones.</w:t>
      </w:r>
    </w:p>
    <w:p w:rsidR="00A90898" w:rsidRDefault="00A90898" w:rsidP="00A90898">
      <w:pPr>
        <w:pStyle w:val="TextoNormal"/>
      </w:pPr>
    </w:p>
    <w:p w:rsidR="00A90898" w:rsidRDefault="00A90898" w:rsidP="00A90898">
      <w:pPr>
        <w:pStyle w:val="TextoNormal"/>
      </w:pPr>
      <w:r>
        <w:t xml:space="preserve">A la vista de esa denuncia, y dado que la demanda en ningún momento afirma que el Auto de la Audiencia hubiere reparado la lesión producida por el Juzgado </w:t>
      </w:r>
      <w:r w:rsidRPr="00A90898">
        <w:rPr>
          <w:i/>
        </w:rPr>
        <w:t>a quo</w:t>
      </w:r>
      <w:r>
        <w:t>, ha de 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sino que también lo son tanto la parte dispositiva como la </w:t>
      </w:r>
      <w:r w:rsidRPr="00A90898">
        <w:rPr>
          <w:i/>
        </w:rPr>
        <w:t>ratio decidendi</w:t>
      </w:r>
      <w:r>
        <w:t xml:space="preserve"> de las resoluciones impugnadas: la del Juzgado </w:t>
      </w:r>
      <w:r w:rsidRPr="00A90898">
        <w:rPr>
          <w:i/>
        </w:rPr>
        <w:t>a quo</w:t>
      </w:r>
      <w:r>
        <w:t xml:space="preserve">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00A90898" w:rsidRDefault="00A90898" w:rsidP="00A90898">
      <w:pPr>
        <w:pStyle w:val="TextoNormal"/>
      </w:pPr>
    </w:p>
    <w:p w:rsidR="00A90898" w:rsidRDefault="00A90898" w:rsidP="00A90898">
      <w:pPr>
        <w:pStyle w:val="TextoNormal"/>
      </w:pPr>
      <w:r w:rsidRPr="00A90898">
        <w:rPr>
          <w:rStyle w:val="NumeroAFNegritaCaracter"/>
        </w:rPr>
        <w:t>3</w:t>
      </w:r>
      <w:r>
        <w:t>. Corresponde iniciar ya el examen de la lesión constitucional invocada. Para centrar el debate, la STC 148/2016, FJ 3, recordó la doctrina de este Tribunal sobre 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A90898" w:rsidRDefault="00A90898" w:rsidP="00A90898">
      <w:pPr>
        <w:pStyle w:val="TextoNormal"/>
      </w:pPr>
    </w:p>
    <w:p w:rsidR="00A90898" w:rsidRDefault="00A90898" w:rsidP="00A90898">
      <w:pPr>
        <w:pStyle w:val="TextoNormal"/>
      </w:pPr>
      <w:r>
        <w:t xml:space="preserve">Bajo esta premisa, la citada STC 148/2016 acometió el enjuiciamiento de fondo desde un doble plano de análisis: el primero,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w:t>
      </w:r>
      <w:r>
        <w:lastRenderedPageBreak/>
        <w:t xml:space="preserve">lectura </w:t>
      </w:r>
      <w:r w:rsidRPr="00A90898">
        <w:rPr>
          <w:i/>
        </w:rPr>
        <w:t>prima facie</w:t>
      </w:r>
      <w:r>
        <w:t xml:space="preserv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00A90898" w:rsidRDefault="00A90898" w:rsidP="00A90898">
      <w:pPr>
        <w:pStyle w:val="TextoNormal"/>
      </w:pPr>
    </w:p>
    <w:p w:rsidR="00A90898" w:rsidRDefault="00A90898" w:rsidP="00A90898">
      <w:pPr>
        <w:pStyle w:val="TextoNormal"/>
      </w:pPr>
      <w:r>
        <w:t>En la mencionada STC 148/2016 (FFJJ 4 y 5), este Tribunal hizo un detallado examen de la normativa interna española y también de la de la Unión Europea, de la que, a modo de resumen, podemos destacar lo siguiente:</w:t>
      </w:r>
    </w:p>
    <w:p w:rsidR="00A90898" w:rsidRDefault="00A90898" w:rsidP="00A90898">
      <w:pPr>
        <w:pStyle w:val="TextoNormal"/>
      </w:pPr>
    </w:p>
    <w:p w:rsidR="00A90898" w:rsidRDefault="00A90898" w:rsidP="00A90898">
      <w:pPr>
        <w:pStyle w:val="TextoNormal"/>
      </w:pPr>
      <w:r>
        <w:t>En relación con el análisis del ordenamiento jurídico nacional, este Tribunal, hizo referencia, en primer lugar, al régimen de legitimación activa (restringida a las entidades e instituciones señaladas en su artículo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00A90898" w:rsidRDefault="00A90898" w:rsidP="00A90898">
      <w:pPr>
        <w:pStyle w:val="TextoNormal"/>
      </w:pPr>
    </w:p>
    <w:p w:rsidR="00A90898" w:rsidRDefault="00A90898" w:rsidP="00A90898">
      <w:pPr>
        <w:pStyle w:val="TextoNormal"/>
      </w:pPr>
      <w:r>
        <w:t>Y, a continuación, la STC 148/2016 centró su atención en el vigente texto refundido de la Ley general para la defensa de los consumidores y usuarios y otras leyes complementarias, aprobado por Real Decreto Legislativo 1/2007, de 16 de noviembre, que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c)].</w:t>
      </w:r>
    </w:p>
    <w:p w:rsidR="00A90898" w:rsidRDefault="00A90898" w:rsidP="00A90898">
      <w:pPr>
        <w:pStyle w:val="TextoNormal"/>
      </w:pPr>
    </w:p>
    <w:p w:rsidR="00A90898" w:rsidRDefault="00A90898" w:rsidP="00A90898">
      <w:pPr>
        <w:pStyle w:val="TextoNormal"/>
      </w:pPr>
      <w:r>
        <w:lastRenderedPageBreak/>
        <w:t>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c)].</w:t>
      </w:r>
    </w:p>
    <w:p w:rsidR="00A90898" w:rsidRDefault="00A90898" w:rsidP="00A90898">
      <w:pPr>
        <w:pStyle w:val="TextoNormal"/>
      </w:pPr>
    </w:p>
    <w:p w:rsidR="00A90898" w:rsidRDefault="00A90898" w:rsidP="00A90898">
      <w:pPr>
        <w:pStyle w:val="TextoNormal"/>
      </w:pPr>
      <w:r>
        <w:t>Por último, y, a mayor abundamiento, hay que destacar que, en la STC 148/2016, FJ 5, cuya doctrina resulta de aplicación, se señalaba que, en el ámbito del Derecho comunitario,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de las Directivas 98/27/CE y 2009/22/CE). Pero siempre y cuando esto último no acarree la exclusión de las acciones individuales” [STC 148/2016, FJ 5 a)].</w:t>
      </w:r>
    </w:p>
    <w:p w:rsidR="00A90898" w:rsidRDefault="00A90898" w:rsidP="00A90898">
      <w:pPr>
        <w:pStyle w:val="TextoNormal"/>
      </w:pPr>
    </w:p>
    <w:p w:rsidR="00A90898" w:rsidRDefault="00A90898" w:rsidP="00A90898">
      <w:pPr>
        <w:pStyle w:val="TextoNormal"/>
      </w:pPr>
      <w: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w:t>
      </w:r>
      <w:r w:rsidRPr="00A90898">
        <w:rPr>
          <w:i/>
        </w:rPr>
        <w:t>a quo</w:t>
      </w:r>
      <w:r>
        <w:t xml:space="preserve"> de aplicar el art. 43 LEC con suspensión de los procesos de acción individual de nulidad de cláusula abusiva, hasta que recayera sentencia firme en el proceso de cesación instado por ADICAE ante el Juzgado de lo Mercantil núm. 11 de Madrid (procedimiento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(STJUE, apartado 32).</w:t>
      </w:r>
    </w:p>
    <w:p w:rsidR="00A90898" w:rsidRDefault="00A90898" w:rsidP="00A90898">
      <w:pPr>
        <w:pStyle w:val="TextoNormal"/>
      </w:pPr>
    </w:p>
    <w:p w:rsidR="00A90898" w:rsidRDefault="00A90898" w:rsidP="00A90898">
      <w:pPr>
        <w:pStyle w:val="TextoNormal"/>
      </w:pPr>
      <w:r>
        <w:t xml:space="preserve">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del que hace cita la Sentencia del Pleno de la Sala Primera del Tribunal Supremo núm. </w:t>
      </w:r>
      <w:r>
        <w:lastRenderedPageBreak/>
        <w:t>241/2013, de 9 de mayo, FFJJ 235 a 238 y 246, para reconocer que esta regla de juicio por fuerza debe matizarse al resolver demandas de cesación.</w:t>
      </w:r>
    </w:p>
    <w:p w:rsidR="00A90898" w:rsidRDefault="00A90898" w:rsidP="00A90898">
      <w:pPr>
        <w:pStyle w:val="TextoNormal"/>
      </w:pPr>
    </w:p>
    <w:p w:rsidR="00A90898" w:rsidRDefault="00A90898" w:rsidP="00A90898">
      <w:pPr>
        <w:pStyle w:val="TextoNormal"/>
      </w:pPr>
      <w:r>
        <w:t>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00A90898" w:rsidRDefault="00A90898" w:rsidP="00A90898">
      <w:pPr>
        <w:pStyle w:val="TextoNormal"/>
      </w:pPr>
    </w:p>
    <w:p w:rsidR="00A90898" w:rsidRDefault="00A90898" w:rsidP="00A90898">
      <w:pPr>
        <w:pStyle w:val="TextoNormal"/>
      </w:pPr>
      <w:r w:rsidRPr="00A90898">
        <w:rPr>
          <w:rStyle w:val="NumeroAFNegritaCaracter"/>
        </w:rPr>
        <w:t>4</w:t>
      </w:r>
      <w:r>
        <w:t>. La aplicación de los postulados que preceden nos conduce, como se adelantó antes y de igual modo a lo razonado en la STC 148/2016, de 19 de septiembre,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[al actor]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00A90898" w:rsidRDefault="00A90898" w:rsidP="00A90898">
      <w:pPr>
        <w:pStyle w:val="TextoNormal"/>
      </w:pPr>
    </w:p>
    <w:p w:rsidR="00A90898" w:rsidRDefault="00A90898" w:rsidP="00A90898">
      <w:pPr>
        <w:pStyle w:val="TextoNormal"/>
      </w:pPr>
      <w:r>
        <w:t xml:space="preserve">En consecuencia, si [el] aquí recurrente no era parte en ese proceso de acción colectiva, ni estamos en un supuesto de legitimación indirecta impuesta </w:t>
      </w:r>
      <w:r w:rsidRPr="00A90898">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en medios de comunicación nacional, resulta irrelevante, “pues lo cierto es que, a falta de una carga procesal impuesta por la ley, [el] aquí recurrente no tenía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A90898" w:rsidRDefault="00A90898" w:rsidP="00A90898">
      <w:pPr>
        <w:pStyle w:val="TextoNormal"/>
      </w:pPr>
    </w:p>
    <w:p w:rsidR="00A90898" w:rsidRDefault="00A90898" w:rsidP="00A90898">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[el] recurrente años antes con la misma </w:t>
      </w:r>
      <w:r>
        <w:lastRenderedPageBreak/>
        <w:t xml:space="preserve">entidad bancaria. Pero lo cierto es que en ese proceso no se conoció de la cláusula suelo de “su” contrato, ni de las circunstancias concurrentes en su celebración (arts. 4.1 de la Directiva 93/13/CEE, y art.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w:t>
      </w:r>
      <w:r w:rsidRPr="00A90898">
        <w:rPr>
          <w:i/>
        </w:rPr>
        <w:t>a quo</w:t>
      </w:r>
      <w:r>
        <w:t>,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A90898" w:rsidRDefault="00A90898" w:rsidP="00A90898">
      <w:pPr>
        <w:pStyle w:val="TextoNormal"/>
      </w:pPr>
    </w:p>
    <w:p w:rsidR="00A90898" w:rsidRDefault="00A90898" w:rsidP="00A90898">
      <w:pPr>
        <w:pStyle w:val="TextoNormal"/>
      </w:pPr>
      <w:r>
        <w:t>Procede por tanto el otorgamiento del amparo que se solicita, declarando para ello la nulidad de los Autos recurridos, con retroacción de las actuaciones al momento inmediatamente anterior al de haberse dictado el Auto de 31 de marzo de 2014, para que el Juzgado de lo Mercantil núm. 6 de Barcelona provea en términos que resulten respetuosos con el derecho fundamental declarado. Esto es, ordenando la continuación del procedimiento en primera instancia (juicio ordinario núm. 556-2013) hasta su resolución por Sentencia que resuelva el fondo de las pretensiones deducidas por las partes.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amparo interpuesto por don Ricardo Vázquez Castañeda, y, en su virtud:</w:t>
      </w:r>
    </w:p>
    <w:p w:rsidR="00A90898" w:rsidRDefault="00A90898" w:rsidP="00A90898">
      <w:pPr>
        <w:pStyle w:val="TextoNormal"/>
      </w:pPr>
    </w:p>
    <w:p w:rsidR="00A90898" w:rsidRDefault="00A90898" w:rsidP="00A90898">
      <w:pPr>
        <w:pStyle w:val="TextoNormal"/>
      </w:pPr>
      <w:r>
        <w:t>1º Declarar que ha sido vulnerado su derecho fundamental a la tutela judicial efectiva.</w:t>
      </w:r>
    </w:p>
    <w:p w:rsidR="00A90898" w:rsidRDefault="00A90898" w:rsidP="00A90898">
      <w:pPr>
        <w:pStyle w:val="TextoNormal"/>
      </w:pPr>
    </w:p>
    <w:p w:rsidR="00A90898" w:rsidRDefault="00A90898" w:rsidP="00A90898">
      <w:pPr>
        <w:pStyle w:val="TextoNormal"/>
      </w:pPr>
      <w:r>
        <w:t>2º Restablecerle en la integridad de su derecho y, a tal fin, declarar la nulidad del Auto del Juzgado de lo Mercantil núm. 6 de Barcelona, de 31 de marzo de 2014 (procedimiento ordinario núm. 556-2013); así como la nulidad del Auto de la Sección Decimoquinta de la Audiencia Provincial de Barcelona, de 2 de junio de 2015, que desestimó el recurso de apelación (rollo de apelación núm. 507-2014).</w:t>
      </w:r>
    </w:p>
    <w:p w:rsidR="00A90898" w:rsidRDefault="00A90898" w:rsidP="00A90898">
      <w:pPr>
        <w:pStyle w:val="TextoNormal"/>
      </w:pPr>
    </w:p>
    <w:p w:rsidR="00A90898" w:rsidRDefault="00A90898" w:rsidP="00A90898">
      <w:pPr>
        <w:pStyle w:val="TextoNormal"/>
      </w:pPr>
      <w:r>
        <w:lastRenderedPageBreak/>
        <w:t>3º Retrotraer las actuaciones hasta el momento inmediatamente anterior al de dictarse el Auto de 31 de marzo de 2014, para que el Juzgado de lo Mercantil núm. 6 de Barcelona provea las actuaciones de una manera que resulte respetuosa con el derecho fundamental declarado, en los términos que fijamos en el anterior fundamento jurídico 4.</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3" w:name="SENTENCIA_2016_224"/>
      <w:r>
        <w:lastRenderedPageBreak/>
        <w:t>SENTENCIA 224/2016, de 19 de diciembre de 2016</w:t>
      </w:r>
    </w:p>
    <w:bookmarkEnd w:id="103"/>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ECLI:ES:TC:2016:224</w:t>
      </w:r>
    </w:p>
    <w:p w:rsidR="00A90898" w:rsidRDefault="00A90898" w:rsidP="00A90898">
      <w:pPr>
        <w:pStyle w:val="TextoNormalCentrado"/>
      </w:pPr>
    </w:p>
    <w:p w:rsidR="00A90898" w:rsidRDefault="00A90898" w:rsidP="00A90898">
      <w:pPr>
        <w:pStyle w:val="SntesisDescriptiva"/>
      </w:pPr>
      <w:r>
        <w:t>Recurso de amparo 1315-2016. Promovido por los diputados del Grupo Parlamentario Socialista del Parlamento de Cataluña respecto de los acuerdos de la Mesa de la Cámara que admitieron a trámite las solicitudes de puesta en marcha de las ponencias redactoras conjuntas para elaborar el texto de tres proposiciones de ley de protección social catalana, del régimen jurídico catalán y de la Administración tributaria catalana.</w:t>
      </w:r>
    </w:p>
    <w:p w:rsidR="00A90898" w:rsidRDefault="00A90898" w:rsidP="00A90898">
      <w:pPr>
        <w:pStyle w:val="SntesisDescriptiva"/>
      </w:pPr>
    </w:p>
    <w:p w:rsidR="00A90898" w:rsidRDefault="00A90898" w:rsidP="00A90898">
      <w:pPr>
        <w:pStyle w:val="SntesisAnaltica"/>
      </w:pPr>
      <w:r>
        <w:t>Vulneración del derecho al ejercicio de las funciones representativas en relación con el derecho de participación de los ciudadanos en los asuntos públicos a través de sus representantes: inadecuada calificación de las iniciativas parlamentarias como proposiciones de ley de desarrollo básico del Estatuto de Autonomía que impone a los parlamentarios su participación en una ponencia a la que no desean incorporarse.</w:t>
      </w:r>
    </w:p>
    <w:p w:rsidR="00A90898" w:rsidRDefault="00A90898" w:rsidP="00A90898">
      <w:pPr>
        <w:pStyle w:val="SntesisAnaltica"/>
      </w:pPr>
    </w:p>
    <w:p w:rsidR="00A90898" w:rsidRDefault="00A90898" w:rsidP="00A90898">
      <w:pPr>
        <w:pStyle w:val="Extracto"/>
      </w:pPr>
      <w:r>
        <w:t>1.</w:t>
      </w:r>
      <w:r>
        <w:tab/>
        <w:t>Los acuerdos impugnados desbordan el objeto, función y finalidad de la especialidad establecida en el procedimiento legislativo y además vulneran el derecho fundamental invocado (el derecho de los diputados recurrentes a acceder en condiciones de igualdad a las funciones y cargos públicos regulado en el art. 23.2 CE, en relación con el derecho de los ciudadanos a participar en los asuntos públicos a través de sus representantes, previsto en el art. 23.1 CE.), pues se trata de actos de la Mesa relativos a la tramitación de tres iniciativas legislativas conjuntas que imponen a los recurrentes su participación en una ponencia en la que no quieren integrarse [FJ 5].</w:t>
      </w:r>
    </w:p>
    <w:p w:rsidR="00A90898" w:rsidRDefault="00A90898" w:rsidP="00A90898">
      <w:pPr>
        <w:pStyle w:val="Extracto"/>
      </w:pPr>
    </w:p>
    <w:p w:rsidR="00A90898" w:rsidRDefault="00A90898" w:rsidP="00A90898">
      <w:pPr>
        <w:pStyle w:val="Extracto"/>
      </w:pPr>
      <w:r>
        <w:t>2.</w:t>
      </w:r>
      <w:r>
        <w:tab/>
        <w:t>Los recurrentes ven afectada su libertad de iniciativa legislativa al verse forzados en contra de lo expresamente previsto en el Estatuto de Autonomía y en el Reglamento parlamentario, a formar parte de un procedimiento legislativo especial que no promueven, que les obliga a participar en tres ponencias redactoras cuyo objeto no comparten porque no corresponden al cauce legalmente previsto, y cuya actividad parlamentaria se ve restringida en todas las fases del procedimiento incluyendo la de su aprobación definitiva, sin que concurran los presupuestos que legitimen dicha restricción [FJ 5].</w:t>
      </w:r>
    </w:p>
    <w:p w:rsidR="00A90898" w:rsidRDefault="00A90898" w:rsidP="00A90898">
      <w:pPr>
        <w:pStyle w:val="Extracto"/>
      </w:pPr>
    </w:p>
    <w:p w:rsidR="00A90898" w:rsidRDefault="00A90898" w:rsidP="00A90898">
      <w:pPr>
        <w:pStyle w:val="Extracto"/>
      </w:pPr>
      <w:r>
        <w:t>3.</w:t>
      </w:r>
      <w:r>
        <w:tab/>
        <w:t>Cuando se reclama la tutela de derechos o facultades que pertenecen al núcleo de la función representativa parlamentaria frente a posibles vulneraciones de los órganos de la Cámara correspondiente, este Tribunal debe ser especialmente cuidadoso en la identificación, primero, de la base normativa del derecho alegado y, segundo, en la identificación de la regulación reglamentaria de las facultades del órgano de la Cámara al que se imputa la vulneración [FJ 2, 3, 5].</w:t>
      </w:r>
    </w:p>
    <w:p w:rsidR="00A90898" w:rsidRDefault="00A90898" w:rsidP="00A90898">
      <w:pPr>
        <w:pStyle w:val="Extracto"/>
      </w:pPr>
    </w:p>
    <w:p w:rsidR="00A90898" w:rsidRDefault="00A90898" w:rsidP="00A90898">
      <w:pPr>
        <w:pStyle w:val="Extracto"/>
      </w:pPr>
      <w:r>
        <w:t>4.</w:t>
      </w:r>
      <w:r>
        <w:tab/>
        <w:t>Aplica la doctrina sobre competencias y facultades de las Mesas parlamentarias de la STC 10/2016 [FJ 4].</w:t>
      </w:r>
    </w:p>
    <w:p w:rsidR="00A90898" w:rsidRDefault="00A90898" w:rsidP="00A90898">
      <w:pPr>
        <w:pStyle w:val="Extracto"/>
      </w:pPr>
    </w:p>
    <w:p w:rsidR="00A90898" w:rsidRDefault="00A90898" w:rsidP="00A90898">
      <w:pPr>
        <w:pStyle w:val="Extracto"/>
      </w:pPr>
      <w:r>
        <w:t>5.</w:t>
      </w:r>
      <w:r>
        <w:tab/>
        <w:t>Aplica la doctrina sobre usos parlamentarios contenida en la STC 57/2011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1315-2016, promovido por los diputados del Grupo Parlamentario Socialista del Parlamento de Cataluña, representados por la Procuradora de los Tribunales doña Virginia Aragón Segura y asistidos por el Abogado don Álvaro Sánchez Manzanares, contra los acuerdos de la Mesa del Parlamento de Cataluña de 1 y de 8 de marzo de 2016 —este último, ratificando el anterior—, mediante los cuales el órgano rector de la cámara catalana calificó y admitió a trámite las solicitudes de puesta en marcha de tres ponencias redactoras conjuntas para elaborar el texto de tres proposiciones de ley, al amparo del art. 126 del Reglamento del Parlamento de Cataluña. Ha comparecido el Parlamento de Cataluña, a través de sus representantes. Se personan como parte, a través de su representante legal, los diputados del Grupo Parlamentario Popular en el Parlamento de Cataluña. Ha intervenido el Ministerio Fiscal.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10 de marzo de 2016, los diputados del Grupo Parlamentario Socialista del Parlamento de Cataluña, representados por la Procuradora de los Tribunales doña Virginia Aragón Segura y asistidos por el Abogado don Álvaro Sánchez Manzanares, interpusieron demanda de amparo contra los acuerdos de la Mesa del Parlamento de Cataluña que se mencionan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que se fundamenta la demanda de amparo son los siguientes:</w:t>
      </w:r>
    </w:p>
    <w:p w:rsidR="00A90898" w:rsidRDefault="00A90898" w:rsidP="00A90898">
      <w:pPr>
        <w:pStyle w:val="TextoNormal"/>
      </w:pPr>
    </w:p>
    <w:p w:rsidR="00A90898" w:rsidRDefault="00A90898" w:rsidP="00A90898">
      <w:pPr>
        <w:pStyle w:val="TextoNormal"/>
      </w:pPr>
      <w:r>
        <w:t>a) En fecha 3 de febrero de 2016 los grupos parlamentarios de Junts pel Sí (JpS) y de la Candidatura d’Unitat Popular-Crida Constituent (CUP-CC), presentaron ante el registro del Parlamento de Cataluña tres solicitudes de creación de ponencias parlamentarias conjuntas para la elaboración, respectivamente, de una proposición de ley integral de protección social catalana, de una proposición de ley del régimen jurídico catalán y de una proposición de ley de la Administración tributaria catalana, conteniendo por única justificación, que tales solicitudes se realizaban “de acuerdo con lo establecido en el artículo 126 del Reglamento del Parlamento”.</w:t>
      </w:r>
    </w:p>
    <w:p w:rsidR="00A90898" w:rsidRDefault="00A90898" w:rsidP="00A90898">
      <w:pPr>
        <w:pStyle w:val="TextoNormal"/>
      </w:pPr>
    </w:p>
    <w:p w:rsidR="00A90898" w:rsidRDefault="00A90898" w:rsidP="00A90898">
      <w:pPr>
        <w:pStyle w:val="TextoNormal"/>
      </w:pPr>
      <w:r>
        <w:lastRenderedPageBreak/>
        <w:t>En lo que importa al presente recurso de amparo, el art. 126 del Reglamento del Parlamento de Cataluña (RPC), está recogido en el apartado dedicado a “Los proyectos y las proposiciones de ley de desarrollo básico del Estatuto de autonomía de Cataluña”, dentro de la Sección Tercera (Especialidades del procedimiento legislativo), del capítulo segundo (procedimiento legislativo), en los siguientes términos:</w:t>
      </w:r>
    </w:p>
    <w:p w:rsidR="00A90898" w:rsidRDefault="00A90898" w:rsidP="00A90898">
      <w:pPr>
        <w:pStyle w:val="TextoNormal"/>
      </w:pPr>
    </w:p>
    <w:p w:rsidR="00A90898" w:rsidRDefault="00A90898" w:rsidP="00A90898">
      <w:pPr>
        <w:pStyle w:val="TextoNormal"/>
      </w:pPr>
      <w:r>
        <w:t>“Artículo 126. Ponencia redactora</w:t>
      </w:r>
    </w:p>
    <w:p w:rsidR="00A90898" w:rsidRDefault="00A90898" w:rsidP="00A90898">
      <w:pPr>
        <w:pStyle w:val="TextoNormal"/>
      </w:pPr>
    </w:p>
    <w:p w:rsidR="00A90898" w:rsidRDefault="00A90898" w:rsidP="00A90898">
      <w:pPr>
        <w:pStyle w:val="TextoNormal"/>
      </w:pPr>
      <w:r>
        <w:t>1. Con relación al desarrollo básico de lo establecido por el Estatuto de autonomía de Cataluña, la Mesa del Parlamento, sin perjuicio del régimen general de la iniciativa legislativa establecido por el artículo 109, de acuerdo con la Junta de Portavoces y previa iniciativa de dos grupos parlamentarios o de una quinta parte de los diputados, puede decidir que en estas materias la iniciativa parlamentaria sea ejercida por el conjunto de grupos parlamentarios. A tal fin, la comisión que designe la Mesa del Parlamento debe constituir una ponencia, con representación de todos los grupos parlamentarios, para que elabore el texto de la proposición de ley en el plazo de tres meses, al término del cual se entiende que decae el encargo, salvo en caso de una prórroga otorgada expresamente. Para publicar la proposición, se sigue lo dispuesto por el artículo 112.</w:t>
      </w:r>
    </w:p>
    <w:p w:rsidR="00A90898" w:rsidRDefault="00A90898" w:rsidP="00A90898">
      <w:pPr>
        <w:pStyle w:val="TextoNormal"/>
      </w:pPr>
    </w:p>
    <w:p w:rsidR="00A90898" w:rsidRDefault="00A90898" w:rsidP="00A90898">
      <w:pPr>
        <w:pStyle w:val="TextoNormal"/>
      </w:pPr>
      <w:r>
        <w:t>2. El texto elaborado por la ponencia a que se refiere el apartado 1 se tramita por el procedimiento legislativo común. Las proposiciones de ley elaboradas siguiendo este procedimiento deben someterse al debate establecido por el artículo 114 y, si están firmadas por todos los grupos parlamentarios, no pueden ser objeto de enmiendas a la totalidad. La presentación de la proposición de ley debe efectuarse por el diputado designado por la ponencia.”</w:t>
      </w:r>
    </w:p>
    <w:p w:rsidR="00A90898" w:rsidRDefault="00A90898" w:rsidP="00A90898">
      <w:pPr>
        <w:pStyle w:val="TextoNormal"/>
      </w:pPr>
    </w:p>
    <w:p w:rsidR="00A90898" w:rsidRDefault="00A90898" w:rsidP="00A90898">
      <w:pPr>
        <w:pStyle w:val="TextoNormal"/>
      </w:pPr>
      <w:r>
        <w:t>Por su parte, el art. 62.2 de Estatuto de Autonomía de Cataluña (EAC), dispone, bajo el epígrafe “Iniciativa legislativa y ejercicio de la función legislativa”, lo siguiente:</w:t>
      </w:r>
    </w:p>
    <w:p w:rsidR="00A90898" w:rsidRDefault="00A90898" w:rsidP="00A90898">
      <w:pPr>
        <w:pStyle w:val="TextoNormal"/>
      </w:pPr>
    </w:p>
    <w:p w:rsidR="00A90898" w:rsidRDefault="00A90898" w:rsidP="00A90898">
      <w:pPr>
        <w:pStyle w:val="TextoNormal"/>
      </w:pPr>
      <w:r>
        <w:t>“Son leyes de desarrollo básico del Estatuto las que regulan directamente las materias mencionadas por los artículos 2.3, 6, 37.2, 56.2, 67.5, 68.3, 77.3, 79.3, 81.2 y 94.1. La aprobación, la modificación y la derogación de dichas leyes requieren el voto favorable de la mayoría absoluta del Pleno del Parlamento en una votación final sobre el conjunto del texto, salvo que el Estatuto establezca otra.”</w:t>
      </w:r>
    </w:p>
    <w:p w:rsidR="00A90898" w:rsidRDefault="00A90898" w:rsidP="00A90898">
      <w:pPr>
        <w:pStyle w:val="TextoNormal"/>
      </w:pPr>
    </w:p>
    <w:p w:rsidR="00A90898" w:rsidRDefault="00A90898" w:rsidP="00A90898">
      <w:pPr>
        <w:pStyle w:val="TextoNormal"/>
      </w:pPr>
      <w:r>
        <w:t>b) Con relación a estas tres iniciativas, el Grupo Parlamentario Socialista dirigió a la Presidenta del Parlamento un escrito que tuvo entrada en el registro general de la Cámara el 9 de febrero de 2016, en el que se exponían varias dudas sobre la legitimidad jurídica de creación de las mencionadas ponencias conjuntas y se solicitaba que los servicios jurídicos de la Cámara emitieran un informe para clarificar la cuestión. En relación con el mismo asunto el Vicepresidente segundo del Parlamento entregó a la Mesa, en la sesión celebrada el día 9 de febrero de 2016, un escrito en el que se expresaban los motivos por los que se oponía a la admisión de las solicitudes de constitución de las ponencias conjuntas, solicitando, asimismo, que los servicios jurídicos emitieran un informe sobre esta cuestión.</w:t>
      </w:r>
    </w:p>
    <w:p w:rsidR="00A90898" w:rsidRDefault="00A90898" w:rsidP="00A90898">
      <w:pPr>
        <w:pStyle w:val="TextoNormal"/>
      </w:pPr>
    </w:p>
    <w:p w:rsidR="00A90898" w:rsidRDefault="00A90898" w:rsidP="00A90898">
      <w:pPr>
        <w:pStyle w:val="TextoNormal"/>
      </w:pPr>
      <w:r>
        <w:t xml:space="preserve">El mismo día 9 de febrero de 2016, en sesión conjunta de la Mesa y de la Junta de Portavoces, se acordó encomendar a los Servicios Jurídicos del Parlamento la elaboración de </w:t>
      </w:r>
      <w:r>
        <w:lastRenderedPageBreak/>
        <w:t>un informe sobre la cuestión planteada y posponer, a la espera del mismo, la decisión definitiva de la Mesa sobre la admisión a trámite.</w:t>
      </w:r>
    </w:p>
    <w:p w:rsidR="00A90898" w:rsidRDefault="00A90898" w:rsidP="00A90898">
      <w:pPr>
        <w:pStyle w:val="TextoNormal"/>
      </w:pPr>
    </w:p>
    <w:p w:rsidR="00A90898" w:rsidRDefault="00A90898" w:rsidP="00A90898">
      <w:pPr>
        <w:pStyle w:val="TextoNormal"/>
      </w:pPr>
      <w:r>
        <w:t>En fecha 16 de febrero de 2016 se emitió dicho informe, en el que se expone, en síntesis, que la creación de una ponencia conjunta es una especialidad del procedimiento legislativo establecido por el art. 126 RPC, previsto para poder aplicarlo a las leyes de desarrollo básico del Estatuto de Autonomía de Cataluña (EAC) que aparecen enumeradas en el art. 62.2 EAC. No obstante lo anterior, la praxis parlamentaria muestra varios precedentes de tramitación de proposiciones de ley por el procedimiento de ponencia conjunta sin que su ámbito material estuviera incardinado en los supuestos del art. 62.2 EAC, aunque tal decisión de admisión a trámite de la Mesa y de la Junta de Portavoces se tomó con el acuerdo de todos los grupos parlamentarios, toda vez que la finalidad de las ponencias conjuntas es la de constituir un marco de trabajo conjunto.</w:t>
      </w:r>
    </w:p>
    <w:p w:rsidR="00A90898" w:rsidRDefault="00A90898" w:rsidP="00A90898">
      <w:pPr>
        <w:pStyle w:val="TextoNormal"/>
      </w:pPr>
    </w:p>
    <w:p w:rsidR="00A90898" w:rsidRDefault="00A90898" w:rsidP="00A90898">
      <w:pPr>
        <w:pStyle w:val="TextoNormal"/>
      </w:pPr>
      <w:r>
        <w:t>Caso contrario, si no se trata de las materias previstas en el art. 62.2 EAC y no hay consenso, los servicios jurídicos de la Cámara entienden que se presentan dudas sobre la viabilidad de la ponencia, porque esta pierde el sentido para el cual ha sido prevista (ser plataforma de trabajo “conjunto” de los grupos) y porque su creación puede generar como efecto adicional que los grupos parlamentarios que se han opuesto a ella deban asumir una participación activa en la elaboración de un texto normativo en contra de sus legítimos intereses políticos, obligación que el reglamento no les impone.</w:t>
      </w:r>
    </w:p>
    <w:p w:rsidR="00A90898" w:rsidRDefault="00A90898" w:rsidP="00A90898">
      <w:pPr>
        <w:pStyle w:val="TextoNormal"/>
      </w:pPr>
    </w:p>
    <w:p w:rsidR="00A90898" w:rsidRDefault="00A90898" w:rsidP="00A90898">
      <w:pPr>
        <w:pStyle w:val="TextoNormal"/>
      </w:pPr>
      <w:r>
        <w:t>En el informe se hace mención expresa a que en estos casos en que las materias no corresponden al desarrollo básico del Estatuto, la decisión de la Mesa y de la Junta de Portavoces de crear las ponencias se ha tomado siempre con consenso o sin la oposición expresa de ningún grupo parlamentario. Por último, en el informe se aconseja a los grupos parlamentarios que han solicitado la creación de las ponencias conjuntas que ejerzan su derecho de iniciativa de acuerdo con el procedimiento legislativo ordinario, recordándoles que disponen de otros instrumentos parlamentarios sin necesidad de utilizar la vía de la ponencia conjunta.</w:t>
      </w:r>
    </w:p>
    <w:p w:rsidR="00A90898" w:rsidRDefault="00A90898" w:rsidP="00A90898">
      <w:pPr>
        <w:pStyle w:val="TextoNormal"/>
      </w:pPr>
    </w:p>
    <w:p w:rsidR="00A90898" w:rsidRDefault="00A90898" w:rsidP="00A90898">
      <w:pPr>
        <w:pStyle w:val="TextoNormal"/>
      </w:pPr>
      <w:r>
        <w:t>c) En fecha 29 de febrero de 2016, los grupo parlamentarios JpS y de la CUP-CC presentaron ante el registro del Parlamento un escrito dirigido a la Mesa exponiendo las consideraciones que, según su criterio, vendrían a fundamentar la legitimidad de un acuerdo de la Mesa que diera trámite a estas iniciativas legislativas de acuerdo con el procedimiento del art. 126 RPC. Se afirma en dicho escrito que el art. 126 RPC “se ha convertido en la práctica en un procedimiento legislativo que va más allá de una interpretación estricta y formal de su tenor literal, de otra manera no hubieran sido posibles la mayoría de las ponencias conjuntas realizadas en las últimas legislaturas”, señalando a continuación un listado de proposiciones legislativas —sin otra indicación que el título de cada una— presentadas en las últimas legislaturas, y defendiendo que la Mesa, en caso de duda sobre si la iniciativa se enmarca en el ámbito de materias del art. 126 RPC, no debe prejuzgar su adecuación sino admitirla. Niegan que un solo grupo de la Cámara pueda tener derecho de veto y que la unanimidad en la constitución de la ponencia no sea un requisito prefijado en este procedimiento, sino el de la participación de todos los grupos, insistiendo en que no caben controles previos sobre las tres iniciativas presentadas, solicitando se dé trámite a las mismas.</w:t>
      </w:r>
    </w:p>
    <w:p w:rsidR="00A90898" w:rsidRDefault="00A90898" w:rsidP="00A90898">
      <w:pPr>
        <w:pStyle w:val="TextoNormal"/>
      </w:pPr>
    </w:p>
    <w:p w:rsidR="00A90898" w:rsidRDefault="00A90898" w:rsidP="00A90898">
      <w:pPr>
        <w:pStyle w:val="TextoNormal"/>
      </w:pPr>
      <w:r>
        <w:lastRenderedPageBreak/>
        <w:t>d) La Mesa del Parlamento, en sesión celebrada el 1 de marzo de 2016, acordó (con el voto en contra del Vicepresidente segundo y de los Secretarios segundo y tercero) tramitar dicha iniciativa parlamentaria mediante el procedimiento previsto en el art. 126 RPC, constituyendo las correspondientes ponencias conjuntas.</w:t>
      </w:r>
    </w:p>
    <w:p w:rsidR="00A90898" w:rsidRDefault="00A90898" w:rsidP="00A90898">
      <w:pPr>
        <w:pStyle w:val="TextoNormal"/>
      </w:pPr>
    </w:p>
    <w:p w:rsidR="00A90898" w:rsidRDefault="00A90898" w:rsidP="00A90898">
      <w:pPr>
        <w:pStyle w:val="TextoNormal"/>
      </w:pPr>
      <w:r>
        <w:t>e) Contra dicha resolución se presentaron tres peticiones de reconsideración, al amparo del art. 38 RPC, por parte del Grupo Parlamentario de Ciudadanos (núm. de Registro 12798), del Grupo Parlamentario Socialista (núm. de registro 12381) y del Grupo Parlamentario del Partido Popular de Cataluña (núm. de registro 13120). Concretamente, los hoy recurrentes en amparo elevaron dicha petición de reconsideración en fecha 2 de marzo de 2016.</w:t>
      </w:r>
    </w:p>
    <w:p w:rsidR="00A90898" w:rsidRDefault="00A90898" w:rsidP="00A90898">
      <w:pPr>
        <w:pStyle w:val="TextoNormal"/>
      </w:pPr>
    </w:p>
    <w:p w:rsidR="00A90898" w:rsidRDefault="00A90898" w:rsidP="00A90898">
      <w:pPr>
        <w:pStyle w:val="TextoNormal"/>
      </w:pPr>
      <w:r>
        <w:t>f) En fecha 8 de marzo de 2016 la Mesa, de acuerdo con lo dispuesto en el art. 38.3 RPC, con el voto en contra del Vicepresidente segundo y de los Secretarios segundo y tercero, acordó desestimar la petición de reconsideración.</w:t>
      </w:r>
    </w:p>
    <w:p w:rsidR="00A90898" w:rsidRDefault="00A90898" w:rsidP="00A90898">
      <w:pPr>
        <w:pStyle w:val="TextoNormal"/>
      </w:pPr>
    </w:p>
    <w:p w:rsidR="00A90898" w:rsidRDefault="00A90898" w:rsidP="00A90898">
      <w:pPr>
        <w:pStyle w:val="TextoNormal"/>
      </w:pPr>
      <w:r>
        <w:t>Razona la Mesa, en síntesis:</w:t>
      </w:r>
    </w:p>
    <w:p w:rsidR="00A90898" w:rsidRDefault="00A90898" w:rsidP="00A90898">
      <w:pPr>
        <w:pStyle w:val="TextoNormal"/>
      </w:pPr>
    </w:p>
    <w:p w:rsidR="00A90898" w:rsidRDefault="00A90898" w:rsidP="00A90898">
      <w:pPr>
        <w:pStyle w:val="TextoNormal"/>
      </w:pPr>
      <w:r>
        <w:t>i) Que la solicitud presentada cumple con los requisitos formales que establece el art. 126 RPC, teniendo en cuenta que lo han pedido dos grupos parlamentarios, se ha producido el acuerdo favorable de la Junta de Portavoces, “y la Mesa dispone de un margen de apreciación para decidir sobre su creación cuando se cumplen estos dos requisitos”.</w:t>
      </w:r>
    </w:p>
    <w:p w:rsidR="00A90898" w:rsidRDefault="00A90898" w:rsidP="00A90898">
      <w:pPr>
        <w:pStyle w:val="TextoNormal"/>
      </w:pPr>
    </w:p>
    <w:p w:rsidR="00A90898" w:rsidRDefault="00A90898" w:rsidP="00A90898">
      <w:pPr>
        <w:pStyle w:val="TextoNormal"/>
      </w:pPr>
      <w:r>
        <w:t>ii) Que “al margen de la interpretación del artículo 126, más allá del cumplimiento de los requisitos formales”, dicho art. 126 RPC “ha sido interpretado de forma amplia y extensiva en las últimas legislaturas sin que este hecho habitual haya sido fruto de controversia por parte de la Mesa y la Junta de Portavoces”.</w:t>
      </w:r>
    </w:p>
    <w:p w:rsidR="00A90898" w:rsidRDefault="00A90898" w:rsidP="00A90898">
      <w:pPr>
        <w:pStyle w:val="TextoNormal"/>
      </w:pPr>
    </w:p>
    <w:p w:rsidR="00A90898" w:rsidRDefault="00A90898" w:rsidP="00A90898">
      <w:pPr>
        <w:pStyle w:val="TextoNormal"/>
      </w:pPr>
      <w:r>
        <w:t>iii) “En caso de duda sobre si la materia objeto de las proposiciones es o no de desarrollo básico estatutario, la Mesa, por un criterio de prudencia, no puede prejuzgar ex-ante la adecuación del procedimiento de la ponencia redactora”.</w:t>
      </w:r>
    </w:p>
    <w:p w:rsidR="00A90898" w:rsidRDefault="00A90898" w:rsidP="00A90898">
      <w:pPr>
        <w:pStyle w:val="TextoNormal"/>
      </w:pPr>
    </w:p>
    <w:p w:rsidR="00A90898" w:rsidRDefault="00A90898" w:rsidP="00A90898">
      <w:pPr>
        <w:pStyle w:val="TextoNormal"/>
      </w:pPr>
      <w:r>
        <w:t>iv) “La referencia que hace el art. 126 RPC a ‘la representación de todos los grupos’ no puede ser interpretada como requisito necesario para la ponencia redactora, ya que esto podría significar el derecho de veto de un solo grupo, claramente contrario al derecho de iniciativa legislativa que corresponde a los grupos parlamentarios”; y en todo caso el art. 126.2 RPC “prevé que el texto elaborado por la ponencia no sea firmado por todos los grupos parlamentarios”, aunque con ella se busca el máximo consenso.</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se interpone al amparo del art. 42 de la Ley Orgánica del Tribunal Constitucional (LOTC) y en la misma se solicita la declaración de nulidad de los acuerdos de la Mesa citados anteriormente. Los recurrentes aducen que los acuerdos impugnados han conculcado la legalidad parlamentaria, con el resultado de vulnerar facultades de los Diputados que pertenecen al núcleo de su función representativa parlamentaria (art. 23.2 CE), en conexión con el art. 23.1 CE.</w:t>
      </w:r>
    </w:p>
    <w:p w:rsidR="00A90898" w:rsidRDefault="00A90898" w:rsidP="00A90898">
      <w:pPr>
        <w:pStyle w:val="TextoNormal"/>
      </w:pPr>
    </w:p>
    <w:p w:rsidR="00A90898" w:rsidRDefault="00A90898" w:rsidP="00A90898">
      <w:pPr>
        <w:pStyle w:val="TextoNormal"/>
      </w:pPr>
      <w:r>
        <w:lastRenderedPageBreak/>
        <w:t xml:space="preserve">Con respecto a la infracción de la legalidad parlamentaria, los recurrentes ponen de manifiesto que de acuerdo con lo previsto en el art. 126 RPC no es posible constituir una ponencia con representación de todos los grupos parlamentarios, para que elabore el texto de una proposición de ley sobre materias que quedan fuera del ámbito material definido por el art. 62.2 EAC, como ocurre en el presente caso. En este sentido, sostienen que el art. 126 RPC regula una especialidad dentro del procedimiento legislativo, relativa a los proyectos y proposiciones de ley de desarrollo básico del Estatuto de autonomía de Cataluña y, de acuerdo con el art. 62.2 EAC, son leyes de desarrollo básico del Estatuto las que regulen directamente las materias mencionadas en los arts. 2.3, 6, 37.2, 56.2, 67.5, 68.3, 77.3, 79.3, 81.2 y 94.1 EAC, lista de preceptos que configura un </w:t>
      </w:r>
      <w:r w:rsidRPr="00A90898">
        <w:rPr>
          <w:i/>
        </w:rPr>
        <w:t>numerus clausus</w:t>
      </w:r>
      <w:r>
        <w:t>. En este sentido, los recurrentes concluyen que el ámbito de trabajo de las ponencias conjuntas que se pretende crear no encaja en ninguno de los ámbitos materiales a los que se refiere el art. 62.2 EAC, poniendo de manifiesto que a esta misma conclusión se llega en el informe elaborado por los servicios jurídicos del Parlamento, a petición de la Mesa.</w:t>
      </w:r>
    </w:p>
    <w:p w:rsidR="00A90898" w:rsidRDefault="00A90898" w:rsidP="00A90898">
      <w:pPr>
        <w:pStyle w:val="TextoNormal"/>
      </w:pPr>
    </w:p>
    <w:p w:rsidR="00A90898" w:rsidRDefault="00A90898" w:rsidP="00A90898">
      <w:pPr>
        <w:pStyle w:val="TextoNormal"/>
      </w:pPr>
      <w:r>
        <w:t>Para los Diputados recurrentes tal infracción del Reglamento lleva aparejada la vulneración de las facultades parlamentarias previstas en el art. 23 CE, porque “la iniciativa legislativa es, en último término, una expresión de la voluntad de los diputados y de las diputadas, agrupados en grupos parlamentarios”, argumentando que esta expresión de voluntad puede traducirse en la presentación de proposiciones de ley, y ciertamente en la participación en ponencias conjuntas, pero “difícilmente se puede interpretar que se pueda forzar a los grupos que manifiestamente no quieren compartir una determinada iniciativa legislativa a ser partícipes de la misma mediante el establecimiento de una ponencia conjunta de todos los grupos parlamentarios, cuando todos los que no han sido promotores de la proposición de ley en cuestión manifiestan su voluntad de no ejercer su iniciativa legislativa en este caso y de acuerdo con esta forma especial de tramitación”. Asimismo, los recurrentes insisten en el hecho de que la iniciativa legislativa de los grupos promotores de las tres proposiciones de ley no quedaría negativamente afectada por una decisión de la Mesa del Parlamento contraria a su tramitación por la vía de la especialidad prevista en el art. 126 RPC, puesto que los grupos proponentes mantienen la posibilidad de ejercer su iniciativa legislativa en forma de proposición de ley por la vía ordinaria y pueden hacerlo conjuntamente, si esta es su voluntad.</w:t>
      </w:r>
    </w:p>
    <w:p w:rsidR="00A90898" w:rsidRDefault="00A90898" w:rsidP="00A90898">
      <w:pPr>
        <w:pStyle w:val="TextoNormal"/>
      </w:pPr>
    </w:p>
    <w:p w:rsidR="00A90898" w:rsidRDefault="00A90898" w:rsidP="00A90898">
      <w:pPr>
        <w:pStyle w:val="TextoNormal"/>
      </w:pPr>
      <w:r>
        <w:t>Por último, los recurrentes cuestionan que pueda considerarse que existe acuerdo favorable de la Junta de Portavoces por la simple mayoría en este órgano, puesto que, a su juicio, debería exigirse conformidad de todos, habida cuenta del hecho que la materia sobre la que versan las mencionadas proposiciones excede el marco definido por el articulo 62.2 EAC.</w:t>
      </w:r>
    </w:p>
    <w:p w:rsidR="00A90898" w:rsidRDefault="00A90898" w:rsidP="00A90898">
      <w:pPr>
        <w:pStyle w:val="TextoNormal"/>
      </w:pPr>
    </w:p>
    <w:p w:rsidR="00A90898" w:rsidRDefault="00A90898" w:rsidP="00A90898">
      <w:pPr>
        <w:pStyle w:val="TextoNormal"/>
      </w:pPr>
      <w:r w:rsidRPr="00A90898">
        <w:rPr>
          <w:rStyle w:val="NumeroAFNegritaCaracter"/>
        </w:rPr>
        <w:t>4</w:t>
      </w:r>
      <w:r>
        <w:t>. La Sala Segunda de este Tribunal, por providencia de 7 de junio de 2016, acordó admitir a trámite la demanda de amparo, apreciando que concurre una especial trascendencia constitucional (art. 50.1 LOTC) porque el asunto suscitado trasciende del caso concreto porque pudiera tener unas consecuencias políticas generales [STC 155/2009, FJ 2 g)]. Asimismo, en aplicación de lo dispuesto en el art. 51 LOTC, acordó requerir a la Mesa del Parlamento de Cataluña la remisión del testimonio de las actuaciones, acompañándose copia de la demanda a los efectos de su personación en el presente proceso.</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La Secretaría de Justicia de la Sala Segunda de este Tribunal, por diligencia de ordenación de 6 de julio de 2016, acordó tener por personado y parte al Letrado don Pere Sol i </w:t>
      </w:r>
      <w:r>
        <w:lastRenderedPageBreak/>
        <w:t>Ordis, en nombre y representación del Parlamento de Cataluña y tener por personados y parte en el procedimiento al Procurador don Manuel Sánchez-Puelles y González Carvajal, en nombre y representación de los Diputados y Diputadas del Grupo Parlamentario Popular en el Parlamento de Cataluña, y dar vista de las actuaciones al Ministerio Fiscal y a las partes personadas por plazo común de 20 días para presentar las alegaciones que estimasen pertinentes, de conformidad con el art. 52 LOTC.</w:t>
      </w:r>
    </w:p>
    <w:p w:rsidR="00A90898" w:rsidRDefault="00A90898" w:rsidP="00A90898">
      <w:pPr>
        <w:pStyle w:val="TextoNormal"/>
      </w:pPr>
    </w:p>
    <w:p w:rsidR="00A90898" w:rsidRDefault="00A90898" w:rsidP="00A90898">
      <w:pPr>
        <w:pStyle w:val="TextoNormal"/>
      </w:pPr>
      <w:r w:rsidRPr="00A90898">
        <w:rPr>
          <w:rStyle w:val="NumeroAFNegritaCaracter"/>
        </w:rPr>
        <w:t>6</w:t>
      </w:r>
      <w:r>
        <w:t>. Los Letrados del Parlamento de Cataluña, mediante escrito registrado el 16 septiembre de 2016, formularon sus alegaciones solicitando la desestimación del recurso de amparo, al entender que los acuerdos impugnados no vulneran el art. 23 CE y fueron adoptados en cumplimiento de lo establecido en el Reglamento de la Cámara y en el Estatuto de Autonomía de Cataluña.</w:t>
      </w:r>
    </w:p>
    <w:p w:rsidR="00A90898" w:rsidRDefault="00A90898" w:rsidP="00A90898">
      <w:pPr>
        <w:pStyle w:val="TextoNormal"/>
      </w:pPr>
    </w:p>
    <w:p w:rsidR="00A90898" w:rsidRDefault="00A90898" w:rsidP="00A90898">
      <w:pPr>
        <w:pStyle w:val="TextoNormal"/>
      </w:pPr>
      <w:r>
        <w:t>Para los representantes de la Cámara, las solicitudes presentadas por los grupos parlamentarios de Junts pel Sí y de la Candidatura d’Unitat Popular-Crida Constituent, para la creación de ponencias parlamentarias conjuntas de acuerdo con el procedimiento que prevé el art. 126 RPC, cumplen los requisitos formales que establece el Reglamento para la creación de las ponencias redactoras, dado que: i) lo han solicitado dos grupos parlamentarios y ii) se ha producido el acuerdo favorable de la Junta de Portavoces.</w:t>
      </w:r>
    </w:p>
    <w:p w:rsidR="00A90898" w:rsidRDefault="00A90898" w:rsidP="00A90898">
      <w:pPr>
        <w:pStyle w:val="TextoNormal"/>
      </w:pPr>
    </w:p>
    <w:p w:rsidR="00A90898" w:rsidRDefault="00A90898" w:rsidP="00A90898">
      <w:pPr>
        <w:pStyle w:val="TextoNormal"/>
      </w:pPr>
      <w:r>
        <w:t xml:space="preserve">Los Letrados del Parlamento catalán afirman que, cuando se cumplen estos dos requisitos “la Mesa dispone de un margen de apreciación para decidir” sobre la creación de ponencias parlamentarias conjuntas y ponen de manifiesto que el art. 126 RPC ha sido interpretado de forma flexible en las últimas legislaturas, toda vez que, a su juicio, no siempre es posible identificar claramente cuáles son las materias que deben considerarse incluidas en el ámbito material del desarrollo básico del Estatuto de Autonomía (que aparecen recogidas en el art. 62.2 EAC) ya que en ocasiones el resultado de dicha remisión es poco preciso o demasiado amplio y ambiguo, habiéndose aprobado la creación de ponencias redactoras de iniciativas legislativas que no estaban comprendidas en el ámbito material al que se refieren dicho precepto estatutario, como por ejemplo, en la última legislatura, en la que se utilizó el procedimiento previsto en el art. 126 RPC para elaborar las proposiciones de ley que finalmente dieron lugar a la Ley de transparencia y acceso a la información pública, a la Ley de consultas populares no referendarias y participación ciudadana, y a la Ley de igualdad entre hombres y mujeres, añadiendo que, en caso de duda sobre si la materia objeto de la proposición de ley es de desarrollo básico estatutario, la Mesa, por motivos de prudencia, no puede prejuzgar </w:t>
      </w:r>
      <w:r w:rsidRPr="00A90898">
        <w:rPr>
          <w:i/>
        </w:rPr>
        <w:t>ex ante</w:t>
      </w:r>
      <w:r>
        <w:t xml:space="preserve"> la adecuación del procedimiento de la ponencia redactora, todo ello en consonancia con la jurisprudencia constitucional que ha venido sosteniendo que la Mesa, en el trámite de admisión, ha de verificar exclusivamente los requisitos formales exigidos por el Reglamento parlamentario, excluyendo que este acto de calificación pueda comportar un juicio de oportunidad sobre el contenido de la propuesta.</w:t>
      </w:r>
    </w:p>
    <w:p w:rsidR="00A90898" w:rsidRDefault="00A90898" w:rsidP="00A90898">
      <w:pPr>
        <w:pStyle w:val="TextoNormal"/>
      </w:pPr>
    </w:p>
    <w:p w:rsidR="00A90898" w:rsidRDefault="00A90898" w:rsidP="00A90898">
      <w:pPr>
        <w:pStyle w:val="TextoNormal"/>
      </w:pPr>
      <w:r>
        <w:t xml:space="preserve">Por último, la representación procesal del Parlamento catalán aduce que los recurrentes reclaman el restablecimiento de un pretendido derecho subjetivo que no existe y, por tanto, no pueden utilizar el proceso constitucional de amparo con la mera finalidad de restaurar la legalidad parlamentaria presuntamente infringida, argumentando que, en relación con las ponencias redactoras, los recurrentes conservan intacto su derecho a no designar representante, a no participar en sus reuniones y a enmendar, si lo consideran oportuno, el texto que elaboren los grupos que participen en dicho órgano y, finalmente, a no votarlo, concluyendo </w:t>
      </w:r>
      <w:r>
        <w:lastRenderedPageBreak/>
        <w:t>que, en todo caso, este procedimiento especial es más garantista que el procedimiento ordinario, ya que permite a todos los grupos parlamentarios participar desde el inicio en la elaboración de la proposición de ley.</w:t>
      </w:r>
    </w:p>
    <w:p w:rsidR="00A90898" w:rsidRDefault="00A90898" w:rsidP="00A90898">
      <w:pPr>
        <w:pStyle w:val="TextoNormal"/>
      </w:pPr>
    </w:p>
    <w:p w:rsidR="00A90898" w:rsidRDefault="00A90898" w:rsidP="00A90898">
      <w:pPr>
        <w:pStyle w:val="TextoNormal"/>
      </w:pPr>
      <w:r w:rsidRPr="00A90898">
        <w:rPr>
          <w:rStyle w:val="NumeroAFNegritaCaracter"/>
        </w:rPr>
        <w:t>7</w:t>
      </w:r>
      <w:r>
        <w:t>. El Ministerio Fiscal presentó su escrito de alegaciones en este Tribunal el 10 de octubre de 2016, en el que interesa se dicte Sentencia estimando el recurso de amparo y se declare vulnerado el derecho fundamental de los demandantes a ejercer sus funciones representativas de acuerdo con lo garantizado en el art. 23.2 CE.</w:t>
      </w:r>
    </w:p>
    <w:p w:rsidR="00A90898" w:rsidRDefault="00A90898" w:rsidP="00A90898">
      <w:pPr>
        <w:pStyle w:val="TextoNormal"/>
      </w:pPr>
    </w:p>
    <w:p w:rsidR="00A90898" w:rsidRDefault="00A90898" w:rsidP="00A90898">
      <w:pPr>
        <w:pStyle w:val="TextoNormal"/>
      </w:pPr>
      <w:r>
        <w:t>Tras exponer detalladamente los antecedentes de los que trae causa el recurso, así como los principales argumentos esgrimidos por los recurrentes, el Fiscal analiza la queja relativa a la vulneración del Reglamento del Parlamento de Cataluña y, en segundo término, expone las consecuencias que para el estatuto constitucionalmente relevante de los diputados recurrentes, se derivan de tal vulneración.</w:t>
      </w:r>
    </w:p>
    <w:p w:rsidR="00A90898" w:rsidRDefault="00A90898" w:rsidP="00A90898">
      <w:pPr>
        <w:pStyle w:val="TextoNormal"/>
      </w:pPr>
    </w:p>
    <w:p w:rsidR="00A90898" w:rsidRDefault="00A90898" w:rsidP="00A90898">
      <w:pPr>
        <w:pStyle w:val="TextoNormal"/>
      </w:pPr>
      <w:r>
        <w:t xml:space="preserve">En este sentido, el Fiscal lleva a cabo una interpretación sistemática y teleológica del art. 126 RPC, llegando a la conclusión de que se trata de un precepto que regula una especialidad dentro del procedimiento legislativo, relativa a los proyectos y proposiciones de ley de desarrollo básico del Estatuto de autonomía de Cataluña, siendo éstos los que versan sobre las materias recogidas en el art. 62.2 EAC, con arreglo al cual son leyes de desarrollo básico del Estatuto las que regulen directamente las materias mencionadas por los arts. 2.3, 6, 37.2, 56.2, 67.5, 68.3, 77.3, 79.3, 81.2 y 94.1 EAC, lista de preceptos que, a su juicio, configura claramente un </w:t>
      </w:r>
      <w:r w:rsidRPr="00A90898">
        <w:rPr>
          <w:i/>
        </w:rPr>
        <w:t>numerus clausus</w:t>
      </w:r>
      <w:r>
        <w:t xml:space="preserve"> que no coincide con las materias que resultan objeto de las proposiciones de ley que se intentan tramitar en el caso que nos ocupa, añadiendo que estamos ante una especialidad que supone una excepción al régimen procedimental legislativo general, por lo que la interpretación que se impone ha de ser necesariamente muy estricta e incluso restrictiva.</w:t>
      </w:r>
    </w:p>
    <w:p w:rsidR="00A90898" w:rsidRDefault="00A90898" w:rsidP="00A90898">
      <w:pPr>
        <w:pStyle w:val="TextoNormal"/>
      </w:pPr>
    </w:p>
    <w:p w:rsidR="00A90898" w:rsidRDefault="00A90898" w:rsidP="00A90898">
      <w:pPr>
        <w:pStyle w:val="TextoNormal"/>
      </w:pPr>
      <w:r>
        <w:t>Asimismo, el Ministerio Fiscal entiende que la decisión de la Mesa no puede justificase en una supuesta “praxis parlamentaria”, pues dicho uso parlamentario, relativo a la interpretación flexible de las materias a las que se refiere el art. 126 RPC, sólo se dio en anteriores legislaturas cuando se contó con el consenso de todos los grupos parlamentarios, lo que no ocurre en el caso que nos ocupa y, por tanto, la Mesa no puede invocar la costumbre parlamentaria para apartarse del Reglamento y, con ello, ignorar los derechos y garantías que el Reglamento reconoce a los parlamentarios (SSTC 107/2016, de 7 de junio, FJ 4, y 57/2011, de 3 de mayo, FJ 7, entre otras).</w:t>
      </w:r>
    </w:p>
    <w:p w:rsidR="00A90898" w:rsidRDefault="00A90898" w:rsidP="00A90898">
      <w:pPr>
        <w:pStyle w:val="TextoNormal"/>
      </w:pPr>
    </w:p>
    <w:p w:rsidR="00A90898" w:rsidRDefault="00A90898" w:rsidP="00A90898">
      <w:pPr>
        <w:pStyle w:val="TextoNormal"/>
      </w:pPr>
      <w:r>
        <w:t>Constatada la infracción reglamentaria, para el Fiscal no cabe duda que el ejercicio de la función legislativa y, dentro de ésta, la iniciativa legislativa, forma parte de la función representativa que garantiza el art. 23 CE (por todas, STC 23/2015, de 16 de febrero, FJ 3) y, por tanto, pertenece al núcleo de derechos y facultades constitucionalmente relevante de los diputados, con el consiguiente derecho a que la iniciativa legislativa se ejerza y tramite conforme a los procedimientos parlamentarios idóneos y procedentes. Así, el Fiscal coincide con los recurrentes en que, en el caso que nos ocupa, los derechos y facultades atribuidos a los diputados se ven afectados, toda vez que la especialidad de tramitación del art 126 RPC afecta a la capacidad de iniciativa legislativa de aquéllos, pues la ponencia conjunta fuerza a los grupos parlamentarios que manifiestamente no quieren compartir una determinada ini</w:t>
      </w:r>
      <w:r>
        <w:lastRenderedPageBreak/>
        <w:t>ciativa legislativa a ser partícipes de la misma, sometiendo a los diputados y grupos disidentes a una innecesaria tensión entre sus deberes de participación en los debates del Pleno y de las comisiones, deber que la doctrina ha extrapolado a los trabajos parlamentarios de las ponencias, conculcando su legítimo interés de no participar de forma activa en ponencias conjuntas por entrar en contradicción con la defensa de las propias posiciones políticas.</w:t>
      </w:r>
    </w:p>
    <w:p w:rsidR="00A90898" w:rsidRDefault="00A90898" w:rsidP="00A90898">
      <w:pPr>
        <w:pStyle w:val="TextoNormal"/>
      </w:pPr>
    </w:p>
    <w:p w:rsidR="00A90898" w:rsidRDefault="00A90898" w:rsidP="00A90898">
      <w:pPr>
        <w:pStyle w:val="TextoNormal"/>
      </w:pPr>
      <w:r>
        <w:t>En conclusión, el Fiscal sostiene que la Mesa se ha separado de lo expresamente previsto en el Reglamento de la Cámara (que habilita el empleo del art. 126 RPC sólo para las materias tasadas en el art. 62.2 EAC), que también se aparta de la propia praxis parlamentaria, toda vez que la flexibilidad de la Mesa a la hora de examinar las materias que pueden ser objeto de esta especialidad del procedimiento legislativo sólo se dio en anteriores legislaturas cuando se contó con el consenso de todos los grupos parlamentarios, lo que le lleva a afirmar que se ha vulnerado el derecho de iniciativa legislativa de los diputados recurrentes, que forma parte de las facultades parlamentarias garantizadas por el art. 23.2 CE.</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15 de diciembre de 2016, se señaló para la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Como se ha expuesto con mayor detalle en los antecedentes, la cuestión suscitada en el presente recurso de amparo se centra en determinar si los acuerdos de la Mesa del Parlamento de Cataluña que se mencionan en el encabezamiento de esta Sentencia y mediante los que se admitió a trámite la solicitud de los grupos parlamentarios de Junts pel Sí y de la Candidatura d’Unitat Popular-Crida Constituent, de creación de tres ponencias parlamentarias conjuntas de acuerdo con el procedimiento que prevé el art. 126 del Reglamento del Parlamento de Cataluña (RPC), para la elaboración, respectivamente, de una proposición de ley integral de protección social catalana, de una proposición de ley del régimen jurídico catalán y de una proposición de ley de la Administración tributaria catalana, vulneran el derecho de los diputados recurrentes a acceder en condiciones de igualdad a las funciones y cargos públicos regulado en el art. 23.2 CE, en relación con el derecho de los ciudadanos a participar en los asuntos públicos a través de sus representantes, previsto en el art. 23.1 CE.</w:t>
      </w:r>
    </w:p>
    <w:p w:rsidR="00A90898" w:rsidRDefault="00A90898" w:rsidP="00A90898">
      <w:pPr>
        <w:pStyle w:val="TextoNormal"/>
      </w:pPr>
    </w:p>
    <w:p w:rsidR="00A90898" w:rsidRDefault="00A90898" w:rsidP="00A90898">
      <w:pPr>
        <w:pStyle w:val="TextoNormal"/>
      </w:pPr>
      <w:r>
        <w:t>Los diputados recurrentes, miembros del Grupo Parlamentario Socialista del Parlamento de Cataluña, ponen de manifiesto que, de acuerdo con lo previsto en el art. 126 RPC, no es posible utilizar el cauce que proporciona dicho precepto, consistente en constituir una ponencia con representación de todos los grupos parlamentarios, cuando la finalidad de la misma es elaborar el texto de varias proposiciones de ley cuyo contenido no se refiere a materias directamente relacionadas con el desarrollo básico del Estatuto de autonomía de Cataluña. En este sentido, insisten en que el art. 126 RPC regula una especialidad dentro del procedimiento legislativo, relativa a los proyectos y proposiciones de ley de desarrollo básico del Estatuto de Autonomía de Cataluña y que, de acuerdo con el art. 62.2 del Estatuto de Autonomía de Cataluña (EAC), son leyes de desarrollo básico del Estatuto sólo las que regulan directamente las materias mencionadas en los arts. 2.3, 6, 37.2, 56.2, 67.5, 68.3, 77.3, 79.3, 81.2 y 94.1 EAC, que configura una lista cerrada en la que no encaja ninguna de las materias propuestas y admitidas por la Mesa para tal fin en los acuerdos impugnados.</w:t>
      </w:r>
    </w:p>
    <w:p w:rsidR="00A90898" w:rsidRDefault="00A90898" w:rsidP="00A90898">
      <w:pPr>
        <w:pStyle w:val="TextoNormal"/>
      </w:pPr>
    </w:p>
    <w:p w:rsidR="00A90898" w:rsidRDefault="00A90898" w:rsidP="00A90898">
      <w:pPr>
        <w:pStyle w:val="TextoNormal"/>
      </w:pPr>
      <w:r>
        <w:t>Los diputados recurrentes alegan que tal infracción del Reglamento por parte de la Mesa lleva aparejada la vulneración de su derecho de iniciativa legislativa, facultad que pertenece al núcleo de la función representativa parlamentaria protegida por el art. 23.2 CE, toda vez que se ven obligados, en contra de su voluntad, a formar parte de una iniciativa legislativa que no comparten, viéndose forzados a participar en tres ponencias conjuntas para elaborar tres proposiciones de ley y, en definitiva, a formar parte de un procedimiento legislativo sustancialmente distinto al que se sigue en el trámite legislativo ordinario.</w:t>
      </w:r>
    </w:p>
    <w:p w:rsidR="00A90898" w:rsidRDefault="00A90898" w:rsidP="00A90898">
      <w:pPr>
        <w:pStyle w:val="TextoNormal"/>
      </w:pPr>
    </w:p>
    <w:p w:rsidR="00A90898" w:rsidRDefault="00A90898" w:rsidP="00A90898">
      <w:pPr>
        <w:pStyle w:val="TextoNormal"/>
      </w:pPr>
      <w:r>
        <w:t>Por su parte, los Letrados del Parlamento de Cataluña solicitan la desestimación del recurso de amparo argumentando que la Mesa ejerció legítimamente sus facultades y aplicó correctamente las normas del Reglamento de la Cámara, por lo que, a su juicio, no cabe imputar a la actuación de la Mesa la pretendida lesión de los derechos fundamentales garantizados por el art. 23 CE. Para los representantes de la Cámara, las solicitudes presentadas para la creación de ponencias parlamentarias conjuntas cumplen los requisitos formales que establece el art. 126 RPC, dado que la iniciativa parte de dos grupos parlamentarios y se cuenta con el acuerdo favorable de la Junta de Portavoces. Cumplidos estos dos requisitos, los Letrados entienden que existe un margen de flexibilidad de la Mesa a la hora de valorar las materias que deben considerarse incluidas en el ámbito material del desarrollo básico del Estatuto de Autonomía (</w:t>
      </w:r>
      <w:r w:rsidRPr="00A90898">
        <w:rPr>
          <w:i/>
        </w:rPr>
        <w:t>ex</w:t>
      </w:r>
      <w:r>
        <w:t xml:space="preserve"> art. 62.2 EAC) y, en este sentido, señalan que en otras legislaturas la Mesa tramitó sin problemas la solicitud de creación de ponencias redactoras relativas a iniciativas legislativas que no estaban comprendidas en el ámbito material al que se refieren dicho precepto estatutario. Por último, afirman que, con independencia de la eventual infracción del Reglamento, no estamos ante la vulneración de ningún derecho fundamental de los recurrentes.</w:t>
      </w:r>
    </w:p>
    <w:p w:rsidR="00A90898" w:rsidRDefault="00A90898" w:rsidP="00A90898">
      <w:pPr>
        <w:pStyle w:val="TextoNormal"/>
      </w:pPr>
    </w:p>
    <w:p w:rsidR="00A90898" w:rsidRDefault="00A90898" w:rsidP="00A90898">
      <w:pPr>
        <w:pStyle w:val="TextoNormal"/>
      </w:pPr>
      <w:r>
        <w:t>El Ministerio Fiscal, finalmente, interesa la estimación del recurso de amparo en los términos que han quedado expresados en los antecedentes de la presente Sentencia y que, en síntesis, se dirigen a argumentar que la Mesa se ha separado, tanto de lo expresamente previsto en el Reglamento de la Cámara (que habilita el empleo del art. 126 RPC sólo para las materias tasadas en el art. 62.2 EAC), como de la propia praxis parlamentaria, toda vez que la flexibilidad de la Mesa a la hora de examinar las materias que pueden ser objeto de esta especialidad del procedimiento legislativo, constituye un uso parlamentario sólo cuando se cuenta con el consenso de todos los grupos parlamentarios, razones que le llevan a concluir que se ha vulnerado el derecho de iniciativa legislativa de los diputados recurrentes, que forma parte de las facultades parlamentarias garantizadas por el art. 23.2 CE.</w:t>
      </w:r>
    </w:p>
    <w:p w:rsidR="00A90898" w:rsidRDefault="00A90898" w:rsidP="00A90898">
      <w:pPr>
        <w:pStyle w:val="TextoNormal"/>
      </w:pPr>
    </w:p>
    <w:p w:rsidR="00A90898" w:rsidRDefault="00A90898" w:rsidP="00A90898">
      <w:pPr>
        <w:pStyle w:val="TextoNormal"/>
      </w:pPr>
      <w:r w:rsidRPr="00A90898">
        <w:rPr>
          <w:rStyle w:val="NumeroAFNegritaCaracter"/>
        </w:rPr>
        <w:t>2</w:t>
      </w:r>
      <w:r>
        <w:t>. Entrando ya en el análisis de la queja que se formula en la demanda de amparo, resulta oportuno traer a colación la doctrina constitucional sobre los derechos fundamentales invocados, en conexión con el contenido y finalidad de los acuerdos parlamentarios impugnados. Así, debe recordarse lo siguiente:</w:t>
      </w:r>
    </w:p>
    <w:p w:rsidR="00A90898" w:rsidRDefault="00A90898" w:rsidP="00A90898">
      <w:pPr>
        <w:pStyle w:val="TextoNormal"/>
      </w:pPr>
    </w:p>
    <w:p w:rsidR="00A90898" w:rsidRDefault="00A90898" w:rsidP="00A90898">
      <w:pPr>
        <w:pStyle w:val="TextoNormal"/>
      </w:pPr>
      <w:r>
        <w:t xml:space="preserve">a) El art. 23.2 CE, que reconoce el derecho de los ciudadanos “a acceder en condiciones de igualdad a las funciones y cargos públicos, con los requisitos que señalen las leyes”, conforme nuestra reiterada doctrina éste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w:t>
      </w:r>
      <w:r>
        <w:lastRenderedPageBreak/>
        <w:t>32/1985, de 6 de marzo, FJ 3; 161/1988, de 20 de septiembre, FJ 6, y 40/2003, de 17 de febrero, FJ 2, entre otras” [STC 1/2015, de 19 de enero, FJ 3].</w:t>
      </w:r>
    </w:p>
    <w:p w:rsidR="00A90898" w:rsidRDefault="00A90898" w:rsidP="00A90898">
      <w:pPr>
        <w:pStyle w:val="TextoNormal"/>
      </w:pPr>
    </w:p>
    <w:p w:rsidR="00A90898" w:rsidRDefault="00A90898" w:rsidP="00A90898">
      <w:pPr>
        <w:pStyle w:val="TextoNormal"/>
      </w:pPr>
      <w:r>
        <w:t>Y hemos añadido que “esta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de 14 de octubre, FJ 3, y 40/2003, FJ 2)” [STC 1/2015, FJ 3].</w:t>
      </w:r>
    </w:p>
    <w:p w:rsidR="00A90898" w:rsidRDefault="00A90898" w:rsidP="00A90898">
      <w:pPr>
        <w:pStyle w:val="TextoNormal"/>
      </w:pPr>
    </w:p>
    <w:p w:rsidR="00A90898" w:rsidRDefault="00A90898" w:rsidP="00A90898">
      <w:pPr>
        <w:pStyle w:val="TextoNormal"/>
      </w:pPr>
      <w:r>
        <w:t>Acerca de la relación entre los dos apartados del art. 23 CE, “[e]n una línea jurisprudencial que se inicia con las SSTC 5/1983 y 10/1983, este Tribunal ha establecido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y 40/2003, de 17 de febrero, FJ 2, entre otras muchas)” [STC 202/2014, de 15 de diciembre, FJ 3].</w:t>
      </w:r>
    </w:p>
    <w:p w:rsidR="00A90898" w:rsidRDefault="00A90898" w:rsidP="00A90898">
      <w:pPr>
        <w:pStyle w:val="TextoNormal"/>
      </w:pPr>
    </w:p>
    <w:p w:rsidR="00A90898" w:rsidRDefault="00A90898" w:rsidP="00A90898">
      <w:pPr>
        <w:pStyle w:val="TextoNormal"/>
      </w:pPr>
      <w:r>
        <w:t xml:space="preserve">b) Asimismo, como inequívocamente se desprende del inciso final del propio art. 23.2 CE, se trata de un derecho de configuración legal que corresponde establecer a los Reglamentos parlamentarios, “a los que compete fijar y ordenar los derechos y atribuciones propios de los parlamentarios … una vez creados, quedan integrados en el </w:t>
      </w:r>
      <w:r w:rsidRPr="00A90898">
        <w:rPr>
          <w:i/>
        </w:rPr>
        <w:t>status</w:t>
      </w:r>
      <w:r>
        <w:t xml:space="preserve"> propio de su cargo, con la consecuencia de que podrán sus titulares, al amparo del art. 23.2 CE, reclamar su protección cuando los consideren ilegítimamente constreñidos o ignorados por actos del poder público, incluidos los provenientes del propio órgano en el que se integren (entre tantas otras, STC 36/2014, de 27 de febrero, FJ 5, y las allí citadas)” [SSTC 107/2016, de 7 de junio, FJ 4 B) a), y 108/2016, de 7 de junio, FJ 4 B) a)].</w:t>
      </w:r>
    </w:p>
    <w:p w:rsidR="00A90898" w:rsidRDefault="00A90898" w:rsidP="00A90898">
      <w:pPr>
        <w:pStyle w:val="TextoNormal"/>
      </w:pPr>
    </w:p>
    <w:p w:rsidR="00A90898" w:rsidRDefault="00A90898" w:rsidP="00A90898">
      <w:pPr>
        <w:pStyle w:val="TextoNormal"/>
      </w:pPr>
      <w:r>
        <w:t>En concreto, podrán reclamarlos ante este Tribunal por el cauce del recurso de amparo, según lo previsto en el art. 42 de nuestra Ley Orgánica (SSTC 161/1988, FJ 7; 38/1999, FJ 2; 27/2000, de 31 de enero, FJ 4; 107/2001, FJ 3; 203/2001, FJ 2; 177/2002, FJ 3; 40/2003, de 17 de febrero, FJ 2, y 1/2015, de 19 de enero, FJ 3, entre otras muchas).</w:t>
      </w:r>
    </w:p>
    <w:p w:rsidR="00A90898" w:rsidRDefault="00A90898" w:rsidP="00A90898">
      <w:pPr>
        <w:pStyle w:val="TextoNormal"/>
      </w:pPr>
    </w:p>
    <w:p w:rsidR="00A90898" w:rsidRDefault="00A90898" w:rsidP="00A90898">
      <w:pPr>
        <w:pStyle w:val="TextoNormal"/>
      </w:pPr>
      <w:r>
        <w:t xml:space="preserve">En este sentido, este Tribunal ha venido reiterando que “no cualquier acto del órgano parlamentario que infrinja la legalidad del </w:t>
      </w:r>
      <w:r w:rsidRPr="00A9089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w:t>
      </w:r>
      <w:r>
        <w:lastRenderedPageBreak/>
        <w:t xml:space="preserve">sólo de vulnerar el derecho fundamental del representante de los ciudadanos a ejercer su cargo (art. 23.2 CE), sino también de infringir el de estos a participar en los asuntos públicos </w:t>
      </w:r>
      <w:r w:rsidRPr="00A90898">
        <w:rPr>
          <w:i/>
        </w:rPr>
        <w:t>ex</w:t>
      </w:r>
      <w:r>
        <w:t xml:space="preserve"> art. 23.1 CE (SSTC 38/1999, FJ 2, y 107/2001, FJ 3; 40/2003, FJ 2, entre otras muchas)” [STC 1/2015, FJ 3; también, STC 23/2015, de 16 de febrero, FJ 3].</w:t>
      </w:r>
    </w:p>
    <w:p w:rsidR="00A90898" w:rsidRDefault="00A90898" w:rsidP="00A90898">
      <w:pPr>
        <w:pStyle w:val="TextoNormal"/>
      </w:pPr>
    </w:p>
    <w:p w:rsidR="00A90898" w:rsidRDefault="00A90898" w:rsidP="00A90898">
      <w:pPr>
        <w:pStyle w:val="TextoNormal"/>
      </w:pPr>
      <w:r>
        <w:t xml:space="preserve">c) Por último, y en relación con el tipo de iniciativa parlamentaria cuya admisión a trámite se cuestiona en este caso, este Tribunal ha venido afirmando que el ejercicio de la función legislativa por los representantes de los ciudadanos constituye “la máxima expresión del ejercicio de la soberanía popular en el Estado democrático”. Y “[p]uesto que la participación en el ejercicio de dicha función y el desempeño de los derechos y facultades que la acompañan, entre los que indudablemente debe contarse con el derecho a la iniciativa legislativa, constituyen una manifestación constitucionalmente relevante del </w:t>
      </w:r>
      <w:r w:rsidRPr="00A90898">
        <w:rPr>
          <w:i/>
        </w:rPr>
        <w:t>ius in officium</w:t>
      </w:r>
      <w:r>
        <w:t xml:space="preserve"> del representante” (STC 10/2016, de 1 de febrero, FJ 4, y las allí citadas), toda decisión de la Mesa sobre la tramitación de una iniciativa legislativa promovida por un representante de los ciudadanos afecta a su derecho al libre e igual ejercicio de su cargo público, de forma que, perturbado o coartado éste, se perturba y coarta la participación de los ciudadanos en los asuntos públicos, infringiendo, así pues, el art. 23.1 y 2 CE” (STC 10/2016, FJ 4).</w:t>
      </w:r>
    </w:p>
    <w:p w:rsidR="00A90898" w:rsidRDefault="00A90898" w:rsidP="00A90898">
      <w:pPr>
        <w:pStyle w:val="TextoNormal"/>
      </w:pPr>
    </w:p>
    <w:p w:rsidR="00A90898" w:rsidRDefault="00A90898" w:rsidP="00A90898">
      <w:pPr>
        <w:pStyle w:val="TextoNormal"/>
      </w:pPr>
      <w:r>
        <w:t>Hemos precisado, además, que “esta exigencia de rigor es aún más intensa, si cabe, cuando el examen de admisibilidad que le compete a la Mesa recae sobre iniciativas legislativas de origen parlamentario, pues la Mesa debe cuidarse de no perturbar con su decisión el derecho de los representantes a suscitar el debate parlamentario sobre una materia determinada mediante el recurso a la iniciativa legislativa (STC 124/1995). Si no fuese así, la Mesa dejaría de obrar como un órgano de gobierno de la Cámara ejerciendo el debido control legal sobre la regularidad jurídica de la iniciativa, para mutarse en un órgano netamente político, impidiendo, además, que las iniciativas promovidas por las minorías parlamentarias se sometiesen al debate público en la Cámara. Lo que colocaría a estos representantes en una posición de inferioridad y desigualdad lesiva del art. 23.2 CE. (SSTC 118/1995 y 38/1999, de 22 de marzo, FJ 3)” [STC 10/2016, FJ 4].</w:t>
      </w:r>
    </w:p>
    <w:p w:rsidR="00A90898" w:rsidRDefault="00A90898" w:rsidP="00A90898">
      <w:pPr>
        <w:pStyle w:val="TextoNormal"/>
      </w:pPr>
    </w:p>
    <w:p w:rsidR="00A90898" w:rsidRDefault="00A90898" w:rsidP="00A90898">
      <w:pPr>
        <w:pStyle w:val="TextoNormal"/>
      </w:pPr>
      <w:r w:rsidRPr="00A90898">
        <w:rPr>
          <w:rStyle w:val="NumeroAFNegritaCaracter"/>
        </w:rPr>
        <w:t>3</w:t>
      </w:r>
      <w:r>
        <w:t>. Sentado lo que antecede, debemos recordar que cuando se reclama la tutela de derechos o facultades que pertenecen al núcleo de la función representativa parlamentaria frente a posibles vulneraciones de los órganos de la Cámara correspondiente, este Tribunal debe ser especialmente cuidadoso en la identificación, primero, de la base normativa del derecho alegado (toda vez que estamos ante un derecho fundamental de configuración legal, como se ha expuesto en el fundamento jurídico anterior) y, segundo, en la identificación de la regulación reglamentaria de las facultades del órgano de la Cámara al que se imputa la vulneración. Por ello, resulta obligado comenzar con un análisis del sentido, alcance y ámbito material del art. 126 RPC.</w:t>
      </w:r>
    </w:p>
    <w:p w:rsidR="00A90898" w:rsidRDefault="00A90898" w:rsidP="00A90898">
      <w:pPr>
        <w:pStyle w:val="TextoNormal"/>
      </w:pPr>
    </w:p>
    <w:p w:rsidR="00A90898" w:rsidRDefault="00A90898" w:rsidP="00A90898">
      <w:pPr>
        <w:pStyle w:val="TextoNormal"/>
      </w:pPr>
      <w:r>
        <w:t xml:space="preserve">Del Reglamento del Parlamento de Cataluña se desprende que la regulación relativa al procedimiento legislativo (capítulo II del título IV) contempla unas disposiciones generales sobre sujetos, requisitos y admisión a trámite de iniciativas legislativas (arts. 109 a 111), una normas para el procedimiento legislativo común (arts. 112 a 125) y, por lo que aquí interesa, una serie de especialidades del procedimiento legislativo (arts. 126 a 145), cuya ordenación en sus tres primeros apartados responde a un claro criterio </w:t>
      </w:r>
      <w:r w:rsidRPr="00A90898">
        <w:rPr>
          <w:i/>
        </w:rPr>
        <w:t>ratione materiae</w:t>
      </w:r>
      <w:r>
        <w:t xml:space="preserve">. Así, el apartado primero (arts. 126 y 127) se refiere a “Los proyectos y las proposiciones de ley de desarrollo básico del Estatuto de autonomía de Cataluña”; el apartado segundo (arts. 128 </w:t>
      </w:r>
      <w:r>
        <w:lastRenderedPageBreak/>
        <w:t>a 131) al proyecto de ley de presupuestos; y el apartado tercero (art. 132), a la reforma del Estatuto de autonomía de Cataluña.</w:t>
      </w:r>
    </w:p>
    <w:p w:rsidR="00A90898" w:rsidRDefault="00A90898" w:rsidP="00A90898">
      <w:pPr>
        <w:pStyle w:val="TextoNormal"/>
      </w:pPr>
    </w:p>
    <w:p w:rsidR="00A90898" w:rsidRDefault="00A90898" w:rsidP="00A90898">
      <w:pPr>
        <w:pStyle w:val="TextoNormal"/>
      </w:pPr>
      <w:r>
        <w:t xml:space="preserve">Más en concreto, el art. 126 RPC contempla una especialidad dentro del procedimiento legislativo, relativa a la iniciativa para promover la elaboración conjunta de proposiciones de ley de desarrollo básico del Estatuto de Autonomía de Cataluña, regulando, tal y como se ha reproducido en los antecedentes, la posibilidad de que la iniciativa parlamentaria se ejerza por el conjunto de grupos parlamentarios, mediante la constitución de una ponencia redactora que contará con la presencia de todos los grupos. Además, de acuerdo con lo previsto en los arts. 62.2 </w:t>
      </w:r>
      <w:r w:rsidRPr="00A90898">
        <w:rPr>
          <w:i/>
        </w:rPr>
        <w:t>in fine</w:t>
      </w:r>
      <w:r>
        <w:t xml:space="preserve"> EAC y 127 RPC, la proposición de ley elaborada por la ponencia conjunta requerirá, para su aprobación, el voto favorable de la mayoría absoluta del Pleno, en una votación final sobre el conjunto del texto, sin que sea posible su aprobación en comisión (art. 133 RPC). Estos rigurosos requisitos de tramitación y aprobación sólo se justifican por razón de la materia que se pretende regular mediante este procedimiento especial (el desarrollo básico del Estatuto de autonomía de Cataluña) y coinciden con los que el Reglamento exige para “las iniciativas de reforma estatutaria” (art. 132 RPC).</w:t>
      </w:r>
    </w:p>
    <w:p w:rsidR="00A90898" w:rsidRDefault="00A90898" w:rsidP="00A90898">
      <w:pPr>
        <w:pStyle w:val="TextoNormal"/>
      </w:pPr>
    </w:p>
    <w:p w:rsidR="00A90898" w:rsidRDefault="00A90898" w:rsidP="00A90898">
      <w:pPr>
        <w:pStyle w:val="TextoNormal"/>
      </w:pPr>
      <w:r>
        <w:t xml:space="preserve">De lo dicho se deduce con claridad que para acudir al procedimiento legislativo especial que regula el art. 126 RPC, es requisito </w:t>
      </w:r>
      <w:r w:rsidRPr="00A90898">
        <w:rPr>
          <w:i/>
        </w:rPr>
        <w:t>sine qua non</w:t>
      </w:r>
      <w:r>
        <w:t xml:space="preserve"> (como apunta el Fiscal y también aducen los recurrentes) que la iniciativa se dirija a elaborar proposiciones de ley relativas “al desarrollo básico de lo establecido por el Estatuto de autonomía de Cataluña”, lo que nos remite al art. 62.2 EAC, con arreglo al cual son leyes de desarrollo básico del Estatuto “las que regulen directamente las materias mencionadas en los arts. 2.3, 6, 37.2, 56.2, 67.5, 68.3, 77.3, 79.3, 81.2 y 94.1 EAC”, lista de preceptos que configura claramente un </w:t>
      </w:r>
      <w:r w:rsidRPr="00A90898">
        <w:rPr>
          <w:i/>
        </w:rPr>
        <w:t>numerus clausus</w:t>
      </w:r>
      <w:r>
        <w:t xml:space="preserve"> y que se remiten a las siguientes materias: a los municipios, las veguerías, las comarcas y demás entes locales que integran el sistema institucional de la Generalidad (art. 2.3 EAC), a la lengua propia y oficiales de Cataluña (art. 6 EAC), a las garantías de los derechos estatutarios (art. 37.2 EAC), a la composición del Parlamento y régimen electoral (art. 56.2 EAC), al estatuto personal del Presidente o Presidenta de la Generalidad (art. 67.5 EAC), a la organización, el funcionamiento y las atribuciones del Gobierno de la Generalitat (art. 68.3 EAC), a la composición y el funcionamiento del Consejo de Garantías Estatutarias, el estatuto de sus miembros y los procedimientos relativos al ejercicio de sus funciones (art. 77.3 EAC), al estatuto personal del Síndic de Greuges, sus incompatibilidades, sus causas de cese, así como la organización y las atribuciones de la institución (art. 79.3 EAC), al estatuto personal, las incompatibilidades, las causas de cese, la organización y el funcionamiento de la Sindicatura de Cuentas (art. 81.2 EAC) y, finalmente, al régimen jurídico especial de Arán (art. 94.1 EAC).</w:t>
      </w:r>
    </w:p>
    <w:p w:rsidR="00A90898" w:rsidRDefault="00A90898" w:rsidP="00A90898">
      <w:pPr>
        <w:pStyle w:val="TextoNormal"/>
      </w:pPr>
    </w:p>
    <w:p w:rsidR="00A90898" w:rsidRDefault="00A90898" w:rsidP="00A90898">
      <w:pPr>
        <w:pStyle w:val="TextoNormal"/>
      </w:pPr>
      <w:r>
        <w:t>Asimismo, debemos reparar en el hecho de que no sólo se trata de una lista cerrada y taxativa de materias, sino que, además, del tenor literal del art. 62.2 EAC se desprende que sólo son leyes de desarrollo básico del Estatuto las que regulan “directamente” dichas materias, lo que excluye toda interpretación flexible o extensiva al calificar las iniciativas que se presenten bajo su cobertura y, correlativamente, al acordar la apertura del procedimiento legislativo especial previsto en el art. 126 RPC para su tramitación.</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Debe anticiparse que no cabe apreciar </w:t>
      </w:r>
      <w:r w:rsidRPr="00A90898">
        <w:rPr>
          <w:i/>
        </w:rPr>
        <w:t>prima facie</w:t>
      </w:r>
      <w:r>
        <w:t xml:space="preserve"> la necesaria correspondencia “directa” entre las materias de desarrollo básico del Estatuto </w:t>
      </w:r>
      <w:r w:rsidRPr="00A90898">
        <w:rPr>
          <w:i/>
        </w:rPr>
        <w:t>ex</w:t>
      </w:r>
      <w:r>
        <w:t xml:space="preserve"> art. 62.2 EAC, y las materias </w:t>
      </w:r>
      <w:r>
        <w:lastRenderedPageBreak/>
        <w:t>respecto de las que se pretende elaborar tres proposiciones de ley utilizando el procedimiento especial previsto en el art. 126 RPC; esto es, una proposición de ley integral de protección social catalana, una proposición de ley del régimen jurídico catalán y una proposición de ley de la Administración tributaria catalana. Ninguna de ellas se refiere a la regulación de las instituciones ya establecidas en el Estatuto de Autonomía que indica su art. 62.2 (Generalitat, Parlamento, Consejo de Garantías Estatutarias, Sindic de Greuges y Sindicatura de Cuentas); tampoco a la ordenación de los municipios, veguerías y comarcas de la propia Comunidad, ni a la organización territorial o administrativa de Arán. Es evidente, por lo demás, que cualquier institución u organización administrativa no recogida en el Estatuto de Autonomía de Cataluña, cuya creación pretendiera fraguarse bajo las proposiciones de ley que se anuncian, no podría responder a un “desarrollo básico” del propio Estatuto. En lo que hace, por otro lado, a las garantías de los derechos estatutarios, el art. 37.2 EAC prevé expresamente que con este fin se apruebe por ley la “Carta de los derechos y deberes de los ciudadanos de Cataluña”. Pero esta última tampoco es asumida por las tres iniciativas en examen, ni con ellas se pretende, en fin, la regulación de la lengua propia y oficiales de Cataluña, o la regulación del régimen electoral.</w:t>
      </w:r>
    </w:p>
    <w:p w:rsidR="00A90898" w:rsidRDefault="00A90898" w:rsidP="00A90898">
      <w:pPr>
        <w:pStyle w:val="TextoNormal"/>
      </w:pPr>
    </w:p>
    <w:p w:rsidR="00A90898" w:rsidRDefault="00A90898" w:rsidP="00A90898">
      <w:pPr>
        <w:pStyle w:val="TextoNormal"/>
      </w:pPr>
      <w:r>
        <w:t>Esa correspondencia no queda en modo alguno justificada por los dos grupos parlamentarios que firman la iniciativa, ni en su solicitud inicial, la cual se limita a decir que se cumple con lo establecido en el art. 126 RPC, ni en el posterior escrito de 29 de febrero, en el que formulaban alegaciones contrarias al informe del Servicio Jurídico de la Cámara —favorable este último a una interpretación estricta de la norma—. De hecho, y como se expuso en el antecedente 2 c), de esta Sentencia, en tal escrito no se realiza ningún esfuerzo dialéctico por relacionar las tres proposiciones de ley con alguna de las materias sujetas al procedimiento especial, sino que se postula la aplicación de éste al margen del tenor literal de la norma (art. 126 RPC), únicamente porque así se habría hecho anteriormente con otras proposiciones de ley que, sin ninguna clase de acreditación, se relacionan sin más en un listado.</w:t>
      </w:r>
    </w:p>
    <w:p w:rsidR="00A90898" w:rsidRDefault="00A90898" w:rsidP="00A90898">
      <w:pPr>
        <w:pStyle w:val="TextoNormal"/>
      </w:pPr>
    </w:p>
    <w:p w:rsidR="00A90898" w:rsidRDefault="00A90898" w:rsidP="00A90898">
      <w:pPr>
        <w:pStyle w:val="TextoNormal"/>
      </w:pPr>
      <w:r>
        <w:t>A lo anterior se une que los acuerdos impugnados no contienen tampoco una argumentación de la Mesa dirigida a fundamentar la necesaria conexión material, tal y como exige el Reglamento, entre el objeto de dichas proposiciones de ley y las leyes de desarrollo básico del Estatuto. Al contrario, la Mesa, en su acuerdo de 8 de marzo de 2016, mediante el que desestimó la reconsideración solicitada por varios grupos parlamentarios, alude a una interpretación amplia, extensiva y flexible de dicho precepto, que va “más allá de su lectura estricta, formal y literal” para, a continuación, justificar su decisión en la existencia de un uso parlamentario que legitimaría la aplicación del art. 126 RPC para la tramitación de iniciativas legislativas que no se corresponden estrictamente con las materias propias del desarrollo básico del Estatuto de Autonomía.</w:t>
      </w:r>
    </w:p>
    <w:p w:rsidR="00A90898" w:rsidRDefault="00A90898" w:rsidP="00A90898">
      <w:pPr>
        <w:pStyle w:val="TextoNormal"/>
      </w:pPr>
    </w:p>
    <w:p w:rsidR="00A90898" w:rsidRDefault="00A90898" w:rsidP="00A90898">
      <w:pPr>
        <w:pStyle w:val="TextoNormal"/>
      </w:pPr>
      <w:r>
        <w:t xml:space="preserve">Tampoco los Letrados del Parlamento de Cataluña aportan ningún argumento de fondo para fundamentar la conexión material entre las tres solicitudes de creación de ponencias parlamentarias conjuntas y las leyes de desarrollo básico del Estatuto de Cataluña, sino que también se remiten a una legítima interpretación flexible del art. 126 RPC por parte de la Mesa y a la necesidad de que dicho órgano lleve a cabo un mero examen formal de los requisitos de admisibilidad de la iniciativa, insistiendo, asimismo, en el hecho de que en </w:t>
      </w:r>
      <w:r>
        <w:lastRenderedPageBreak/>
        <w:t>anteriores legislaturas se crearon ponencias redactoras conjuntas para la elaboración de proposiciones de ley que no estaban comprendidas en el ámbito material al que se refiere el art. 62.2 EAC.</w:t>
      </w:r>
    </w:p>
    <w:p w:rsidR="00A90898" w:rsidRDefault="00A90898" w:rsidP="00A90898">
      <w:pPr>
        <w:pStyle w:val="TextoNormal"/>
      </w:pPr>
    </w:p>
    <w:p w:rsidR="00A90898" w:rsidRDefault="00A90898" w:rsidP="00A90898">
      <w:pPr>
        <w:pStyle w:val="TextoNormal"/>
      </w:pPr>
      <w:r>
        <w:t>Pues bien, este Tribunal ha insistido repetidamente en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(STC 205/1990), esto es, examinar si la iniciativa cumple con los requisitos formales exigidos por la norma parlamentaria” (STC 10/2016, FJ 4), pero también hemos aclarado que, no obstante lo anterior, el Reglamento Parlamentario puede establecer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como es el caso de la calificación … de lo que han de considerarse mociones o interpelaciones, o con la iniciativa legislativa popular que tiene vedadas ciertas materias por imposición del art. 87.3 CE (SSTC 95/1994, 41/1995 y 124/1995; ATC 304/1996)” [STC 10/2016, de 1 de febrero, FJ 4].</w:t>
      </w:r>
    </w:p>
    <w:p w:rsidR="00A90898" w:rsidRDefault="00A90898" w:rsidP="00A90898">
      <w:pPr>
        <w:pStyle w:val="TextoNormal"/>
      </w:pPr>
    </w:p>
    <w:p w:rsidR="00A90898" w:rsidRDefault="00A90898" w:rsidP="00A90898">
      <w:pPr>
        <w:pStyle w:val="TextoNormal"/>
      </w:pPr>
      <w:r>
        <w:t>Esta doctrina ha de ser aplicada al caso que nos ocupa, toda vez que tal examen material afecta al procedimiento legislativo especial que prevé el art. 126 RPC para elaborar proyectos de ley que se refieren al desarrollo básico del Estatuto de Autonomía de Cataluña. Así, este Tribunal tiene declarado que las facultades de las Mesas “lo son sobre todo a efectos de controlar la regularidad jurídica y la viabilidad formal o procesal de las iniciativas presentadas, si bien pueden también extenderse, cuando así lo prevea el respectivo reglamento, a un examen material de aquéllas si tal delimitación sustantiva existe en el ordenamiento y ello a efectos de definir cuál sea el procedimiento parlamentario en cada caso idóneo para su tramitación (por todas, SSTC 1/2015, de 19 de enero, FJ 3, y 23/2015, de 16 de febrero, FJ 3)” [SSTC 107/2016, de 7 de junio, FJ 3, 108/2016, de 7 de junio, FJ 3, y 109/2016, de 7 de junio, FJ 4].</w:t>
      </w:r>
    </w:p>
    <w:p w:rsidR="00A90898" w:rsidRDefault="00A90898" w:rsidP="00A90898">
      <w:pPr>
        <w:pStyle w:val="TextoNormal"/>
      </w:pPr>
    </w:p>
    <w:p w:rsidR="00A90898" w:rsidRDefault="00A90898" w:rsidP="00A90898">
      <w:pPr>
        <w:pStyle w:val="TextoNormal"/>
      </w:pPr>
      <w:r>
        <w:t>De otro lado, los precedentes a los que aluden tanto los dos grupos proponentes de las tres iniciativas legislativas, como la Mesa, y la representación procesal de la Cámara, sólo han tenido lugar en el Parlamento Catalán, según se defiende, cuando se contó con el consenso de todos los grupos parlamentarios. No se ha acreditado en modo alguno, el empleo del cauce del art. 126 RPC para constituir una ponencia conjunta, relativa a proposiciones de ley sobre materias que no encajan en el ámbito material definido por el artículo 62.2 EAC, cuando los únicos grupos parlamentarios que la quieren constituir son los dos que promueven la iniciativa y cuando los demás grupos parlamentarios se oponen a ello. No hay base para fundar en esos precedentes, por tanto, un uso parlamentario con la fuerza jurídica que se pretende, pues una cosa es el eventual consenso de los grupos –aquí inexistente- para realizar una iniciativa legislativa conjunta, para lo que no es preciso siquiera que se trate de las materias del art. 62.2 EAC ni que se siga el procedimiento del art. 126 RPC, y otra muy distinta es que se inste a la apertura de este último, prescindiendo de la reserva material y requisitos estrictos que marcan los dos preceptos citados.</w:t>
      </w:r>
    </w:p>
    <w:p w:rsidR="00A90898" w:rsidRDefault="00A90898" w:rsidP="00A90898">
      <w:pPr>
        <w:pStyle w:val="TextoNormal"/>
      </w:pPr>
    </w:p>
    <w:p w:rsidR="00A90898" w:rsidRDefault="00A90898" w:rsidP="00A90898">
      <w:pPr>
        <w:pStyle w:val="TextoNormal"/>
      </w:pPr>
      <w:r>
        <w:lastRenderedPageBreak/>
        <w:t>Pero, además, incluso si hubiera podido hablarse de un auténtico uso parlamentario, no podemos olvidar que, como ha venido insistiendo este Tribunal: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 [STC 57/2011, de 3 de mayo, FJ 7].</w:t>
      </w:r>
    </w:p>
    <w:p w:rsidR="00A90898" w:rsidRDefault="00A90898" w:rsidP="00A90898">
      <w:pPr>
        <w:pStyle w:val="TextoNormal"/>
      </w:pPr>
    </w:p>
    <w:p w:rsidR="00A90898" w:rsidRDefault="00A90898" w:rsidP="00A90898">
      <w:pPr>
        <w:pStyle w:val="TextoNormal"/>
      </w:pPr>
      <w:r>
        <w:t>Por tanto, desde el control que puede desarrollar este Tribunal en esta jurisdicción de amparo parlamentario, debemos concluir que, en los acuerdos impugnados, la Mesa del Parlamento de Cataluña llevó a cabo una interpretación y aplicación del art. 126 RPC que se separa de los términos literales del mismo, de su finalidad (que es la de constituir un marco de trabajo conjunto de los grupos parlamentarios, en aras del consenso, para elaborar el texto de proposiciones de ley que se refieran de manera directa al desarrollo básico del Estatuto de Autonomía de Cataluña), y de los precedentes parlamentarios de la Cámara que se esgrimen a su favor.</w:t>
      </w:r>
    </w:p>
    <w:p w:rsidR="00A90898" w:rsidRDefault="00A90898" w:rsidP="00A90898">
      <w:pPr>
        <w:pStyle w:val="TextoNormal"/>
      </w:pPr>
    </w:p>
    <w:p w:rsidR="00A90898" w:rsidRDefault="00A90898" w:rsidP="00A90898">
      <w:pPr>
        <w:pStyle w:val="TextoNormal"/>
      </w:pPr>
      <w:r>
        <w:t>Resta analizar, a continuación, si tal proceder ha supuesto una vulneración del derecho a la iniciativa legislativa de los recurrentes, facultad que, como antes quedó expuesto, pertenece al núcleo esencial de la función representativa parlamentaria protegida por el art. 23.2 CE.</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Como se ha expuesto en el fundamento jurídico 2 de esta Sentencia, este Tribunal ha precisado que no cualquier acto del órgano parlamentario que infrinja la legalidad del </w:t>
      </w:r>
      <w:r w:rsidRPr="00A9089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es, indudablemente, el ejercicio de la función legislativa y, dentro de esta función, el derecho de iniciativa legislativa, en los términos previstos en el Reglamento de la Cámara.</w:t>
      </w:r>
    </w:p>
    <w:p w:rsidR="00A90898" w:rsidRDefault="00A90898" w:rsidP="00A90898">
      <w:pPr>
        <w:pStyle w:val="TextoNormal"/>
      </w:pPr>
    </w:p>
    <w:p w:rsidR="00A90898" w:rsidRDefault="00A90898" w:rsidP="00A90898">
      <w:pPr>
        <w:pStyle w:val="TextoNormal"/>
      </w:pPr>
      <w:r>
        <w:t>La respuesta a la cuestión planteada, exige tomar en consideración las particularidades del procedimiento especial que ha sido abierto por los actos aquí recurridos. Tanto el Estatuto de Autonomía de Cataluña como el propio Reglamento del Parlamento de Cataluña contemplan en este caso varias restricciones al régimen ordinario de iniciativa legislativa y de tramitación de las proposiciones de ley a los miembros y grupos de la Cámara; restricciones que se justifican de manera extraordinaria, precisamente, por tratarse de leyes de desarrollo básico del Estatuto, cuya relevancia está reconocida por este último al margen del debate político. Se prevé por ello:</w:t>
      </w:r>
    </w:p>
    <w:p w:rsidR="00A90898" w:rsidRDefault="00A90898" w:rsidP="00A90898">
      <w:pPr>
        <w:pStyle w:val="TextoNormal"/>
      </w:pPr>
    </w:p>
    <w:p w:rsidR="00A90898" w:rsidRDefault="00A90898" w:rsidP="00A90898">
      <w:pPr>
        <w:pStyle w:val="TextoNormal"/>
      </w:pPr>
      <w:r>
        <w:t xml:space="preserve">i) Que una vez presentada la solicitud por dos grupos parlamentarios o por una quinta parte de los diputados, sin exigir por tanto unanimidad ni mayoría, la Mesa queda facultada, con el acuerdo de la Junta de Portavoces, para realizar el control formal y material que exige el art. 62.2 EAC y, siempre en el entendido de que tales requisitos se cumplen, acordar la constitución de la ponencia llamada a elaborar un texto con la respectiva proposición de ley; </w:t>
      </w:r>
      <w:r>
        <w:lastRenderedPageBreak/>
        <w:t>decisión que adopta la Mesa al margen de la voluntad que expresen los demás grupos y parlamentarios (art. 126.1 RPC).</w:t>
      </w:r>
    </w:p>
    <w:p w:rsidR="00A90898" w:rsidRDefault="00A90898" w:rsidP="00A90898">
      <w:pPr>
        <w:pStyle w:val="TextoNormal"/>
      </w:pPr>
    </w:p>
    <w:p w:rsidR="00A90898" w:rsidRDefault="00A90898" w:rsidP="00A90898">
      <w:pPr>
        <w:pStyle w:val="TextoNormal"/>
      </w:pPr>
      <w:r>
        <w:t>ii) Además, las comisiones legislativas permanentes, a las que el Pleno puede delegar la tramitación y aprobación de las iniciativas legislativas en el procedimiento ordinario, no pueden en cambio intervenir aquí (art. 62.3 EAC).</w:t>
      </w:r>
    </w:p>
    <w:p w:rsidR="00A90898" w:rsidRDefault="00A90898" w:rsidP="00A90898">
      <w:pPr>
        <w:pStyle w:val="TextoNormal"/>
      </w:pPr>
    </w:p>
    <w:p w:rsidR="00A90898" w:rsidRDefault="00A90898" w:rsidP="00A90898">
      <w:pPr>
        <w:pStyle w:val="TextoNormal"/>
      </w:pPr>
      <w:r>
        <w:t>iii) Por último, y prescindiendo de otras restricciones que en el presente supuesto tendrían menos virtualidad (como la prohibición de delegación legislativa al Gobierno, excepto para aprobar textos refundidos —art. 63.1 EAC— o la del dictado de decretos-leyes —art. 64.1 EAC—), el trabajo de la Ponencia designada, que se extiende a un mínimo de tres meses con posibilidad de prórroga (art. 126.1 RPC), si acaba por traducirse en la presentación de una proposición de ley, exige para su aprobación el voto favorable de la mayoría absoluta del Pleno del Parlamento (arts. 62.1 EAC, 127.1 RPC). De no conseguirse dicha mayoría, supondría la devolución del texto para la emisión de un nuevo dictamen y votación por el Pleno, en las mismas condiciones. La imposición de una mayoría absoluta, como ha recordado en ocasiones este Tribunal, supone la excepción en nuestro sistema parlamentario, pues: “el procedimiento legislativo se ha ordenado con arreglo al denominado principio mayoritario que constituye una ‘afirmación del principio democrático, respecto del cual toda mayoría cualificada … debe mantenerse en términos de excepción a la regla’ (STC 212/1996, de 19 de diciembre, FJ 11), al ser excepcional ‘la exigencia de mayoría absoluta y no la simple para su votación y decisión parlamentaria’ [SSTC 160/1987, de 27 de octubre, FJ 2; y 127/1994, de 5 de mayo, FJ 3 A)]” [STC 136/2011, de 13 de septiembre, FJ 5].</w:t>
      </w:r>
    </w:p>
    <w:p w:rsidR="00A90898" w:rsidRDefault="00A90898" w:rsidP="00A90898">
      <w:pPr>
        <w:pStyle w:val="TextoNormal"/>
      </w:pPr>
    </w:p>
    <w:p w:rsidR="00A90898" w:rsidRDefault="00A90898" w:rsidP="00A90898">
      <w:pPr>
        <w:pStyle w:val="TextoNormal"/>
      </w:pPr>
      <w:r>
        <w:t>Así, una vez constatado que los acuerdos impugnados desbordan el objeto, función y finalidad de la especialidad establecida en el procedimiento legislativo por el art. 126 RPC, debemos concluir que, además, en este caso, dichos acuerdos vulneran el derecho fundamental invocado por los recurrentes (art. 23.2 CE), pues se trata de actos de la Mesa relativos a la tramitación de tres iniciativas legislativas conjuntas que imponen a los recurrentes su participación en una ponencia en la que no quieren integrarse. Los recurrentes ven afectada su libertad de iniciativa legislativa, se insiste, al verse forzados en contra de lo expresamente previsto en el Estatuto de Autonomía y en el Reglamento parlamentario, a formar parte de un procedimiento legislativo especial que no promueven, que les obliga a participar en tres ponencias redactoras cuyo objeto no comparten porque no corresponden al cauce legalmente previsto, y cuya actividad parlamentaria se ve restringida, como se ha dicho ya, en todas las fases del procedimiento incluyendo la de su aprobación definitiva, sin que concurran los presupuestos que legitimen dicha restricción. Su actuación imperativa se traduce, en expresión de nuestra doctrina ya citada antes, en una perturbación en el libre e igual ejercicio de su cargo público (STC 10/2016, FJ 4).</w:t>
      </w:r>
    </w:p>
    <w:p w:rsidR="00A90898" w:rsidRDefault="00A90898" w:rsidP="00A90898">
      <w:pPr>
        <w:pStyle w:val="TextoNormal"/>
      </w:pPr>
    </w:p>
    <w:p w:rsidR="00A90898" w:rsidRDefault="00A90898" w:rsidP="00A90898">
      <w:pPr>
        <w:pStyle w:val="TextoNormal"/>
      </w:pPr>
      <w:r>
        <w:t xml:space="preserve">Tal vulneración a su derecho fundamental no queda salvada, como aducen los Letrados del Parlamento de Cataluña, por las actuaciones </w:t>
      </w:r>
      <w:r w:rsidRPr="00A90898">
        <w:rPr>
          <w:i/>
        </w:rPr>
        <w:t>de facto</w:t>
      </w:r>
      <w:r>
        <w:t xml:space="preserve"> a las que, se sugiere, podría acudir el grupo parlamentario disconforme, como la de no nombrar a un representante para la ponencia conjunta, o no asistir a las sesiones de trabajo de esta última, acciones que no serían la expresión correcta del </w:t>
      </w:r>
      <w:r w:rsidRPr="00A90898">
        <w:rPr>
          <w:i/>
        </w:rPr>
        <w:t>ius in officium</w:t>
      </w:r>
      <w:r>
        <w:t xml:space="preserve"> que cabe esperar de todos los miembros de la Cámara, sino más bien la inadecuada invitación a su no ejercicio. Tampoco, en fin, la solución consiste en recordar que se puede votar en contra del informe de la ponencia, lo que no hace sino certificar la inutilidad de todo el procedimiento.</w:t>
      </w:r>
    </w:p>
    <w:p w:rsidR="00A90898" w:rsidRDefault="00A90898" w:rsidP="00A90898">
      <w:pPr>
        <w:pStyle w:val="TextoNormal"/>
      </w:pPr>
    </w:p>
    <w:p w:rsidR="00A90898" w:rsidRDefault="00A90898" w:rsidP="00A90898">
      <w:pPr>
        <w:pStyle w:val="TextoNormal"/>
      </w:pPr>
      <w:r>
        <w:t>Por otra parte, es importante señalar que la iniciativa legislativa de los dos grupos promotores de las tres proposiciones de ley (Junts pel Sí y la Candidatura d’Unitat Popular-Crida Constituent) no quedaría negativamente afectada por una decisión de la Mesa del Parlamento contraria a su tramitación por la vía de la concreta especialidad prevista en el art. 126 RPC, pues los grupos proponentes mantienen la posibilidad de ejercer su iniciativa legislativa en forma de proposición de ley por la vía ordinaria y, además, pueden hacerlo conjuntamente, si esta es su voluntad. La especialidad de tramitación del art. 126 RPC no se configura como la única forma de tramitación a la que forzosamente hay que acudir para legislar sobre desarrollo básico del Estatuto de Autonomía de Cataluña, tal y como se desprende de su inciso: “sin perjuicio del régimen general de la iniciativa legislativa establecido por el art. 109”.</w:t>
      </w:r>
    </w:p>
    <w:p w:rsidR="00A90898" w:rsidRDefault="00A90898" w:rsidP="00A90898">
      <w:pPr>
        <w:pStyle w:val="TextoNormal"/>
      </w:pPr>
    </w:p>
    <w:p w:rsidR="00A90898" w:rsidRDefault="00A90898" w:rsidP="00A90898">
      <w:pPr>
        <w:pStyle w:val="TextoNormal"/>
      </w:pPr>
      <w:r w:rsidRPr="00A90898">
        <w:rPr>
          <w:rStyle w:val="NumeroAFNegritaCaracter"/>
        </w:rPr>
        <w:t>6</w:t>
      </w:r>
      <w:r>
        <w:t>. En consecuencia, y de conformidad con los razonamientos precedentes, procede otorgar el amparo solicitado, toda vez que se ha vulnerado el derecho de iniciativa legislativa de los recurrentes, facultad que pertenece al núcleo de la función representativa parlamentaria (art. 23.2 CE), en relación con el derecho de los ciudadanos a participar en los asuntos públicos a través de sus representantes (art. 23.1 CE).</w:t>
      </w:r>
    </w:p>
    <w:p w:rsidR="00A90898" w:rsidRDefault="00A90898" w:rsidP="00A90898">
      <w:pPr>
        <w:pStyle w:val="TextoNormal"/>
      </w:pPr>
    </w:p>
    <w:p w:rsidR="00A90898" w:rsidRDefault="00A90898" w:rsidP="00A90898">
      <w:pPr>
        <w:pStyle w:val="TextoNormal"/>
      </w:pPr>
      <w:r>
        <w:t>Ello comporta, de acuerdo con lo dispuesto en el art. 55.1 LOTC, que restablezcamos a los recurrentes en la integridad del derecho fundamental vulnerado, anulando los acuerdos de la Mesa del Parlamento de Cataluña de 1 y de 8 de marzo de 2016, así como toda la tramitación parlamentaria derivada de tales acuerdos.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los diputados del Grupo Parlamentario Socialista en el Parlamento de Cataluña y, en su virtud:</w:t>
      </w:r>
    </w:p>
    <w:p w:rsidR="00A90898" w:rsidRDefault="00A90898" w:rsidP="00A90898">
      <w:pPr>
        <w:pStyle w:val="TextoNormal"/>
      </w:pPr>
    </w:p>
    <w:p w:rsidR="00A90898" w:rsidRDefault="00A90898" w:rsidP="00A90898">
      <w:pPr>
        <w:pStyle w:val="TextoNormal"/>
      </w:pPr>
      <w:r>
        <w:t>1º Declarar que se ha vulnerado su derecho a ejercer las funciones representativas con los requisitos que señalan las leyes (art. 23.2 CE), en relación con el derecho de los ciudadanos a participar en los asuntos públicos a través de sus representantes (art. 23.1 CE).</w:t>
      </w:r>
    </w:p>
    <w:p w:rsidR="00A90898" w:rsidRDefault="00A90898" w:rsidP="00A90898">
      <w:pPr>
        <w:pStyle w:val="TextoNormal"/>
      </w:pPr>
    </w:p>
    <w:p w:rsidR="00A90898" w:rsidRDefault="00A90898" w:rsidP="00A90898">
      <w:pPr>
        <w:pStyle w:val="TextoNormal"/>
      </w:pPr>
      <w:r>
        <w:t>2º Restablecer a los recurrente en su derecho y, a tal fin, declarar la nulidad de los acuerdos de la Mesa del Parlamento de Cataluña de 1 marzo de 2016 y de 8 de marzo de 2016, mediante los cuales el órgano rector de la cámara catalana calificó y admitió a trámite las solicitudes de puesta en marcha de tres ponencias redactoras conjuntas para elaborar el texto de tres proposiciones de ley, al amparo del art. 126 RPC, así como toda la tramitación parlamentaria derivada de tales acuerdos.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lastRenderedPageBreak/>
        <w:br w:type="page"/>
      </w:r>
    </w:p>
    <w:p w:rsidR="00A90898" w:rsidRDefault="00A90898" w:rsidP="00A90898">
      <w:pPr>
        <w:pStyle w:val="TtuloResolucin"/>
      </w:pPr>
      <w:bookmarkStart w:id="104" w:name="SENTENCIA_2016_225"/>
      <w:r>
        <w:lastRenderedPageBreak/>
        <w:t>SENTENCIA 225/2016, de 19 de diciembre de 2016</w:t>
      </w:r>
    </w:p>
    <w:bookmarkEnd w:id="104"/>
    <w:p w:rsidR="00A90898" w:rsidRDefault="00A90898" w:rsidP="00A90898">
      <w:pPr>
        <w:pStyle w:val="TtuloResolucin"/>
      </w:pPr>
      <w:r>
        <w:t>Sala Segunda</w:t>
      </w:r>
    </w:p>
    <w:p w:rsidR="00A90898" w:rsidRDefault="00A90898" w:rsidP="00A90898">
      <w:pPr>
        <w:pStyle w:val="TtuloBOE"/>
      </w:pPr>
      <w:r>
        <w:t>(BOE núm. 23, de 27 de enero de 2017)</w:t>
      </w:r>
    </w:p>
    <w:p w:rsidR="00A90898" w:rsidRDefault="00A90898" w:rsidP="00A90898">
      <w:pPr>
        <w:pStyle w:val="TextoNormalCentrado"/>
      </w:pPr>
      <w:r>
        <w:t>ECLI:ES:TC:2016:225</w:t>
      </w:r>
    </w:p>
    <w:p w:rsidR="00A90898" w:rsidRDefault="00A90898" w:rsidP="00A90898">
      <w:pPr>
        <w:pStyle w:val="TextoNormalCentrado"/>
      </w:pPr>
    </w:p>
    <w:p w:rsidR="00A90898" w:rsidRDefault="00A90898" w:rsidP="00A90898">
      <w:pPr>
        <w:pStyle w:val="SntesisDescriptiva"/>
      </w:pPr>
      <w:r>
        <w:t>Recurso de amparo 1493-2016. Promovido por los diputados del Grupo Parlamentario de Ciudadanos del Parlamento de Cataluña respecto de los acuerdos de la Mesa de la Cámara que admitieron a trámite las solicitudes de puesta en marcha de las ponencias redactoras conjuntas para elaborar el texto de tres proposiciones de ley de protección social catalana, del régimen jurídico catalán y de la Administración tributaria catalana.</w:t>
      </w:r>
    </w:p>
    <w:p w:rsidR="00A90898" w:rsidRDefault="00A90898" w:rsidP="00A90898">
      <w:pPr>
        <w:pStyle w:val="SntesisDescriptiva"/>
      </w:pPr>
    </w:p>
    <w:p w:rsidR="00A90898" w:rsidRDefault="00A90898" w:rsidP="00A90898">
      <w:pPr>
        <w:pStyle w:val="SntesisAnaltica"/>
      </w:pPr>
      <w:r>
        <w:t>Vulneración del derecho al ejercicio de las funciones representativas en relación con el derecho de participación de los ciudadanos en los asuntos públicos a través de sus representantes: inadecuada calificación de las iniciativas parlamentarias como proposiciones de ley de desarrollo básico del Estatuto de Autonomía que impone a los parlamentarios su participación en una ponencia a la que no desean incorporarse.</w:t>
      </w:r>
    </w:p>
    <w:p w:rsidR="00A90898" w:rsidRDefault="00A90898" w:rsidP="00A90898">
      <w:pPr>
        <w:pStyle w:val="SntesisAnaltica"/>
      </w:pPr>
    </w:p>
    <w:p w:rsidR="00A90898" w:rsidRDefault="00A90898" w:rsidP="00A90898">
      <w:pPr>
        <w:pStyle w:val="Extracto"/>
      </w:pPr>
      <w:r>
        <w:t>1.</w:t>
      </w:r>
      <w:r>
        <w:tab/>
        <w:t>Los acuerdos impugnados desbordan el objeto, función y finalidad de la especialidad establecida en el procedimiento legislativo y además vulneran el derecho fundamental invocado (el derecho de los diputados recurrentes a acceder en condiciones de igualdad a las funciones y cargos públicos regulado en el art. 23.2 CE, en relación con el derecho de los ciudadanos a participar en los asuntos públicos a través de sus representantes, previsto en el art. 23.1 CE.), pues se trata de actos de la Mesa relativos a la tramitación de tres iniciativas legislativas conjuntas que imponen a los recurrentes su participación en una ponencia en la que no quieren integrarse [FJ 5].</w:t>
      </w:r>
    </w:p>
    <w:p w:rsidR="00A90898" w:rsidRDefault="00A90898" w:rsidP="00A90898">
      <w:pPr>
        <w:pStyle w:val="Extracto"/>
      </w:pPr>
    </w:p>
    <w:p w:rsidR="00A90898" w:rsidRDefault="00A90898" w:rsidP="00A90898">
      <w:pPr>
        <w:pStyle w:val="Extracto"/>
      </w:pPr>
      <w:r>
        <w:t>2.</w:t>
      </w:r>
      <w:r>
        <w:tab/>
        <w:t>Los recurrentes ven afectada su libertad de iniciativa legislativa al verse forzados en contra de lo expresamente previsto en el Estatuto de Autonomía y en el Reglamento parlamentario, a formar parte de un procedimiento legislativo especial que no promueven, que les obliga a participar en tres ponencias redactoras cuyo objeto no comparten porque no corresponden al cauce legalmente previsto, y cuya actividad parlamentaria se ve restringida en todas las fases del procedimiento incluyendo la de su aprobación definitiva, sin que concurran los presupuestos que legitimen dicha restricción [FJ 5].</w:t>
      </w:r>
    </w:p>
    <w:p w:rsidR="00A90898" w:rsidRDefault="00A90898" w:rsidP="00A90898">
      <w:pPr>
        <w:pStyle w:val="Extracto"/>
      </w:pPr>
    </w:p>
    <w:p w:rsidR="00A90898" w:rsidRDefault="00A90898" w:rsidP="00A90898">
      <w:pPr>
        <w:pStyle w:val="Extracto"/>
      </w:pPr>
      <w:r>
        <w:t>3.</w:t>
      </w:r>
      <w:r>
        <w:tab/>
        <w:t>Cuando se reclama la tutela de derechos o facultades que pertenecen al núcleo de la función representativa parlamentaria frente a posibles vulneraciones de los órganos de la Cámara correspondiente, este Tribunal debe ser especialmente cuidadoso en la identificación, primero, de la base normativa del derecho alegado y, segundo, en la identificación de la regulación reglamentaria de las facultades del órgano de la Cámara al que se imputa la vulneración [FJ 2, 3, 5].</w:t>
      </w:r>
    </w:p>
    <w:p w:rsidR="00A90898" w:rsidRDefault="00A90898" w:rsidP="00A90898">
      <w:pPr>
        <w:pStyle w:val="Extracto"/>
      </w:pPr>
    </w:p>
    <w:p w:rsidR="00A90898" w:rsidRDefault="00A90898" w:rsidP="00A90898">
      <w:pPr>
        <w:pStyle w:val="Extracto"/>
      </w:pPr>
      <w:r>
        <w:t>4.</w:t>
      </w:r>
      <w:r>
        <w:tab/>
        <w:t>Aplica la doctrina sobre competencias y facultades de las Mesas parlamentarias de la STC 10/2016 [FJ 4].</w:t>
      </w:r>
    </w:p>
    <w:p w:rsidR="00A90898" w:rsidRDefault="00A90898" w:rsidP="00A90898">
      <w:pPr>
        <w:pStyle w:val="Extracto"/>
      </w:pPr>
    </w:p>
    <w:p w:rsidR="00A90898" w:rsidRDefault="00A90898" w:rsidP="00A90898">
      <w:pPr>
        <w:pStyle w:val="Extracto"/>
      </w:pPr>
      <w:r>
        <w:t>5.</w:t>
      </w:r>
      <w:r>
        <w:tab/>
        <w:t>Aplica la doctrina sobre usos parlamentarios contenida en la STC 57/2011 [FJ 4].</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núm. 1493-2016, promovido por los diputados del Grupo Parlamentario de Ciudadanos del Parlamento de Cataluña, representados por el Procurador de los Tribunales don José Luis García Guardia y asistidos por los Abogados don Jose María Espejo-Saavedra Conesa y don Carlos Carrizosa Torres, contra los acuerdos de la Mesa del Parlamento de Cataluña de 1 y 8 de marzo de 2016 —este último, ratificando el anterior—, mediante los cuales el órgano rector de la cámara catalana calificó y admitió a trámite las solicitudes de puesta en marcha de tres ponencias redactoras conjuntas para elaborar el texto de tres proposiciones de ley, al amparo del artículo 126 del Reglamento del Parlamento de Cataluña. Ha comparecido el Parlamento de Cataluña, a través de sus representantes. Se personan como parte, a través de su representante legal, los diputados del Grupo Parlamentario Popular en el Parlamento de Cataluña. Ha intervenido el Ministerio Fiscal. Ha sido Ponente el Magistrado don Ricardo Enríquez Sancho,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18 de marzo de 2016, los diputados del Grupo Parlamentario de Ciudadanos del Parlamento de Cataluña, representado por el Procurador de los Tribunales don José Luis García Guardia y asistido por los Abogados don Jose María Espejo-Saavedra Conesa y don Carlos Carrizosa Torres, interpusieron demanda de amparo contra los acuerdos de la Mesa del Parlamento de Cataluña que se mencionan en el encabezamiento.</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en que se fundamenta la demanda de amparo son los siguientes:</w:t>
      </w:r>
    </w:p>
    <w:p w:rsidR="00A90898" w:rsidRDefault="00A90898" w:rsidP="00A90898">
      <w:pPr>
        <w:pStyle w:val="TextoNormal"/>
      </w:pPr>
    </w:p>
    <w:p w:rsidR="00A90898" w:rsidRDefault="00A90898" w:rsidP="00A90898">
      <w:pPr>
        <w:pStyle w:val="TextoNormal"/>
      </w:pPr>
      <w:r>
        <w:t>a) En fecha 3 de febrero de 2016 los grupos parlamentarios de Junts pel Sí (JpS) y de la Candidatura d’Unitat Popular-Crida Constituent (CUP-CC), presentaron ante el registro del Parlamento de Cataluña tres solicitudes de creación de ponencias parlamentarias conjuntas para la elaboración, respectivamente, de una proposición de ley integral de protección social catalana, de una proposición de ley del régimen jurídico catalán y de una proposición de ley de la Administración tributaria catalana, conteniendo por única justificación, que tales solicitudes se realizaban “de acuerdo con lo establecido en el artículo 126 del Reglamento del Parlamento”.</w:t>
      </w:r>
    </w:p>
    <w:p w:rsidR="00A90898" w:rsidRDefault="00A90898" w:rsidP="00A90898">
      <w:pPr>
        <w:pStyle w:val="TextoNormal"/>
      </w:pPr>
    </w:p>
    <w:p w:rsidR="00A90898" w:rsidRDefault="00A90898" w:rsidP="00A90898">
      <w:pPr>
        <w:pStyle w:val="TextoNormal"/>
      </w:pPr>
      <w:r>
        <w:lastRenderedPageBreak/>
        <w:t>En lo que importa al presente recurso de amparo, el art. 126 del Reglamento del Parlamento de Cataluña (RPC), está recogido en el apartado dedicado a “Los proyectos y las proposiciones de ley de desarrollo básico del Estatuto de autonomía de Cataluña”, dentro de la sección tercera (especialidades del procedimiento legislativo), del capítulo segundo (procedimiento legislativo), en los siguientes términos:</w:t>
      </w:r>
    </w:p>
    <w:p w:rsidR="00A90898" w:rsidRDefault="00A90898" w:rsidP="00A90898">
      <w:pPr>
        <w:pStyle w:val="TextoNormal"/>
      </w:pPr>
    </w:p>
    <w:p w:rsidR="00A90898" w:rsidRDefault="00A90898" w:rsidP="00A90898">
      <w:pPr>
        <w:pStyle w:val="TextoNormal"/>
      </w:pPr>
      <w:r>
        <w:t>“Artículo 126. Ponencia redactora</w:t>
      </w:r>
    </w:p>
    <w:p w:rsidR="00A90898" w:rsidRDefault="00A90898" w:rsidP="00A90898">
      <w:pPr>
        <w:pStyle w:val="TextoNormal"/>
      </w:pPr>
    </w:p>
    <w:p w:rsidR="00A90898" w:rsidRDefault="00A90898" w:rsidP="00A90898">
      <w:pPr>
        <w:pStyle w:val="TextoNormal"/>
      </w:pPr>
      <w:r>
        <w:t>1. Con relación al desarrollo básico de lo establecido por el Estatuto de autonomía de Cataluña, la Mesa del Parlamento, sin perjuicio del régimen general de la iniciativa legislativa establecido por el artículo 109, de acuerdo con la Junta de Portavoces y previa iniciativa de dos grupos parlamentarios o de una quinta parte de los diputados, puede decidir que en estas materias la iniciativa parlamentaria sea ejercida por el conjunto de grupos parlamentarios. A tal fin, la comisión que designe la Mesa del Parlamento debe constituir una ponencia, con representación de todos los grupos parlamentarios, para que elabore el texto de la proposición de ley en el plazo de tres meses, al término del cual se entiende que decae el encargo, salvo en caso de una prórroga otorgada expresamente. Para publicar la proposición, se sigue lo dispuesto por el artículo 112.</w:t>
      </w:r>
    </w:p>
    <w:p w:rsidR="00A90898" w:rsidRDefault="00A90898" w:rsidP="00A90898">
      <w:pPr>
        <w:pStyle w:val="TextoNormal"/>
      </w:pPr>
    </w:p>
    <w:p w:rsidR="00A90898" w:rsidRDefault="00A90898" w:rsidP="00A90898">
      <w:pPr>
        <w:pStyle w:val="TextoNormal"/>
      </w:pPr>
      <w:r>
        <w:t>2. El texto elaborado por la ponencia a que se refiere el apartado 1 se tramita por el procedimiento legislativo común. Las proposiciones de ley elaboradas siguiendo este procedimiento deben someterse al debate establecido por el artículo 114 y, si están firmadas por todos los grupos parlamentarios, no pueden ser objeto de enmiendas a la totalidad. La presentación de la proposición de ley debe efectuarse por el diputado designado por la ponencia.”</w:t>
      </w:r>
    </w:p>
    <w:p w:rsidR="00A90898" w:rsidRDefault="00A90898" w:rsidP="00A90898">
      <w:pPr>
        <w:pStyle w:val="TextoNormal"/>
      </w:pPr>
    </w:p>
    <w:p w:rsidR="00A90898" w:rsidRDefault="00A90898" w:rsidP="00A90898">
      <w:pPr>
        <w:pStyle w:val="TextoNormal"/>
      </w:pPr>
      <w:r>
        <w:t>Por su parte, el art. 62.2 de Estatuto de Autonomía de Cataluña (EAC), dispone, bajo el epígrafe “Iniciativa legislativa y ejercicio de la función legislativa”, lo siguiente:</w:t>
      </w:r>
    </w:p>
    <w:p w:rsidR="00A90898" w:rsidRDefault="00A90898" w:rsidP="00A90898">
      <w:pPr>
        <w:pStyle w:val="TextoNormal"/>
      </w:pPr>
    </w:p>
    <w:p w:rsidR="00A90898" w:rsidRDefault="00A90898" w:rsidP="00A90898">
      <w:pPr>
        <w:pStyle w:val="TextoNormal"/>
      </w:pPr>
      <w:r>
        <w:t>“Son leyes de desarrollo básico del Estatuto las que regulan directamente las materias mencionadas por los artículos 2.3, 6, 37.2, 56.2, 67.5, 68.3, 77.3, 79.3, 81.2 y 94.1. La aprobación, la modificación y la derogación de dichas leyes requieren el voto favorable de la mayoría absoluta del Pleno del Parlamento en una votación final sobre el conjunto del texto, salvo que el Estatuto establezca otra.”</w:t>
      </w:r>
    </w:p>
    <w:p w:rsidR="00A90898" w:rsidRDefault="00A90898" w:rsidP="00A90898">
      <w:pPr>
        <w:pStyle w:val="TextoNormal"/>
      </w:pPr>
    </w:p>
    <w:p w:rsidR="00A90898" w:rsidRDefault="00A90898" w:rsidP="00A90898">
      <w:pPr>
        <w:pStyle w:val="TextoNormal"/>
      </w:pPr>
      <w:r>
        <w:t>b) Con relación a estas tres iniciativas el Grupo Parlamentario Socialista dirigió a la Presidenta del Parlamento un escrito que tuvo entrada en el registro General de la Cámara el 9 de febrero de 2016, en el que se exponían varias dudas sobre la legitimidad jurídica de creación de las mencionadas ponencias conjuntas y se solicitaba que los aervicios jurídicos de la Cámara emitieran un informe para clarificar la cuestión. En relación con el mismo asunto el Vicepresidente segundo del Parlamento entregó a la Mesa, en la sesión celebrada el día 9 de febrero de 2016, un escrito en el que se expresaban los motivos por los que se oponía a la admisión de las solicitudes de constitución de las ponencias conjuntas, solicitando, asimismo, que los servicios jurídicos emitieran un informe sobre esta cuestión.</w:t>
      </w:r>
    </w:p>
    <w:p w:rsidR="00A90898" w:rsidRDefault="00A90898" w:rsidP="00A90898">
      <w:pPr>
        <w:pStyle w:val="TextoNormal"/>
      </w:pPr>
    </w:p>
    <w:p w:rsidR="00A90898" w:rsidRDefault="00A90898" w:rsidP="00A90898">
      <w:pPr>
        <w:pStyle w:val="TextoNormal"/>
      </w:pPr>
      <w:r>
        <w:t xml:space="preserve">El mismo día 9 de febrero de 2016, en sesión conjunta de la Mesa y de la Junta de Portavoces, se acordó encomendar a los servicios jurídicos del Parlamento la elaboración de un </w:t>
      </w:r>
      <w:r>
        <w:lastRenderedPageBreak/>
        <w:t>informe sobre la cuestión planteada y posponer, a la espera del mismo, la decisión definitiva de la Mesa sobre la admisión a trámite.</w:t>
      </w:r>
    </w:p>
    <w:p w:rsidR="00A90898" w:rsidRDefault="00A90898" w:rsidP="00A90898">
      <w:pPr>
        <w:pStyle w:val="TextoNormal"/>
      </w:pPr>
    </w:p>
    <w:p w:rsidR="00A90898" w:rsidRDefault="00A90898" w:rsidP="00A90898">
      <w:pPr>
        <w:pStyle w:val="TextoNormal"/>
      </w:pPr>
      <w:r>
        <w:t>En fecha 16 de febrero de 2016 se emitió dicho informe, en el que se expone, en síntesis, que la creación de una ponencia conjunta es una especialidad del procedimiento legislativo establecido por el artículo 126 RPC, previsto para poder aplicarlo a las leyes de desarrollo básico del Estatuto de Autonomía de Cataluña (EAC) que aparecen enumeradas en el artículo 62.2 EAC. No obstante lo anterior, la praxis parlamentaria muestra varios precedentes de tramitación de proposiciones de ley por el procedimiento de ponencia conjunta sin que su ámbito material estuviera incardinado en los supuestos del artículo 62.2 EAC, aunque tal decisión de admisión a trámite de la Mesa y de la Junta de Portavoces se tomó con el acuerdo de todos los grupos parlamentarios, toda vez que la finalidad de las ponencias conjuntas es la de constituir un marco de trabajo conjunto.</w:t>
      </w:r>
    </w:p>
    <w:p w:rsidR="00A90898" w:rsidRDefault="00A90898" w:rsidP="00A90898">
      <w:pPr>
        <w:pStyle w:val="TextoNormal"/>
      </w:pPr>
    </w:p>
    <w:p w:rsidR="00A90898" w:rsidRDefault="00A90898" w:rsidP="00A90898">
      <w:pPr>
        <w:pStyle w:val="TextoNormal"/>
      </w:pPr>
      <w:r>
        <w:t>Caso contrario, si no se trata de las materias previstas en el art. 62.2 EAC y no hay consenso, los Servicios Jurídicos de la Cámara entienden que se presentan dudas sobre la viabilidad de la ponencia, porque esta pierde el sentido para el cual ha sido prevista (ser plataforma de trabajo “conjunto” de los grupos) y porque su creación puede generar como efecto adicional que los grupos parlamentarios que se han opuesto a ella deban asumir una participación activa en la elaboración de un texto normativo en contra de sus legítimos intereses políticos, obligación que el reglamento no les impone.</w:t>
      </w:r>
    </w:p>
    <w:p w:rsidR="00A90898" w:rsidRDefault="00A90898" w:rsidP="00A90898">
      <w:pPr>
        <w:pStyle w:val="TextoNormal"/>
      </w:pPr>
    </w:p>
    <w:p w:rsidR="00A90898" w:rsidRDefault="00A90898" w:rsidP="00A90898">
      <w:pPr>
        <w:pStyle w:val="TextoNormal"/>
      </w:pPr>
      <w:r>
        <w:t>En el informe se hace mención expresa a que en estos casos en que las materias no corresponden al desarrollo básico del Estatuto, la decisión de la Mesa y de la Junta de Portavoces de crear las ponencias se ha tomado siempre con consenso o sin la oposición expresa de ningún grupo parlamentario. Por último, en el informe se aconseja a los grupos parlamentarios que han solicitado la creación de las ponencias conjuntas que ejerzan su derecho de iniciativa de acuerdo con el procedimiento legislativo ordinario, recordándoles que disponen de otros instrumentos parlamentarios sin necesidad de utilizar la vía de la ponencia conjunta.</w:t>
      </w:r>
    </w:p>
    <w:p w:rsidR="00A90898" w:rsidRDefault="00A90898" w:rsidP="00A90898">
      <w:pPr>
        <w:pStyle w:val="TextoNormal"/>
      </w:pPr>
    </w:p>
    <w:p w:rsidR="00A90898" w:rsidRDefault="00A90898" w:rsidP="00A90898">
      <w:pPr>
        <w:pStyle w:val="TextoNormal"/>
      </w:pPr>
      <w:r>
        <w:t>c) En fecha 29 de febrero de 2016, los grupo parlamentarios JpS y de la CUP-CC presentaron ante el registro del Parlamento un escrito dirigido a la Mesa exponiendo las consideraciones que, según su criterio, vendrían a fundamentar la legitimidad de un acuerdo de la Mesa que diera trámite a estas iniciativas legislativas de acuerdo con el procedimiento del artículo 126 RPC. Se afirma en dicho escrito que el art. 126 RPC “se ha convertido en la práctica en un procedimiento legislativo que va más allá de una interpretación estricta y formal de su tenor literal, de otra manera no hubieran sido posibles la mayoría de las ponencias conjuntas realizadas en las últimas legislaturas”, señalando a continuación un listado de proposiciones legislativas —sin otra indicación que el título de cada una—presentadas en las últimas legislaturas, y defendiendo que la Mesa, en caso de duda sobre si la iniciativa se enmarca en el ámbito de materias del art. 126 RPC, no debe prejuzgar su adecuación sino admitirla. Niegan que un solo grupo de la Cámara pueda tener derecho de veto y que la unanimidad en la constitución de la ponencia no sea un requisito prefijado en este procedimiento, sino el de la participación de todos los grupos, insistiendo en que no caben controles previos sobre las tres iniciativas presentadas, solicitando se dé trámite a las mismas.</w:t>
      </w:r>
    </w:p>
    <w:p w:rsidR="00A90898" w:rsidRDefault="00A90898" w:rsidP="00A90898">
      <w:pPr>
        <w:pStyle w:val="TextoNormal"/>
      </w:pPr>
    </w:p>
    <w:p w:rsidR="00A90898" w:rsidRDefault="00A90898" w:rsidP="00A90898">
      <w:pPr>
        <w:pStyle w:val="TextoNormal"/>
      </w:pPr>
      <w:r>
        <w:lastRenderedPageBreak/>
        <w:t>d) La Mesa del Parlamento, en sesión celebrada el 1 de marzo de 2016, acordó (con el voto en contra del Vicepresidente segundo y de los Secretarios segundo y tercero) tramitar dicha iniciativa parlamentaria mediante el procedimiento previsto en el artículo 126 RPC, constituyendo las correspondientes ponencias conjuntas.</w:t>
      </w:r>
    </w:p>
    <w:p w:rsidR="00A90898" w:rsidRDefault="00A90898" w:rsidP="00A90898">
      <w:pPr>
        <w:pStyle w:val="TextoNormal"/>
      </w:pPr>
    </w:p>
    <w:p w:rsidR="00A90898" w:rsidRDefault="00A90898" w:rsidP="00A90898">
      <w:pPr>
        <w:pStyle w:val="TextoNormal"/>
      </w:pPr>
      <w:r>
        <w:t>e) Contra dicha resolución se presentaron tres peticiones de reconsideración, al amparo del art. 38 del RPC, por parte del Grupo Parlamentario de Ciudadanos (núm. de registro 12798), del Grupo Parlamentario Socialista (núm. de registro 12381) y del Grupo Parlamentario del Partido Popular de Cataluña (núm. de registro 13120). Concretamente, los hoy recurrentes en amparo elevaron dicha petición de reconsideración por escrito de fecha 4 de marzo de 2016.</w:t>
      </w:r>
    </w:p>
    <w:p w:rsidR="00A90898" w:rsidRDefault="00A90898" w:rsidP="00A90898">
      <w:pPr>
        <w:pStyle w:val="TextoNormal"/>
      </w:pPr>
    </w:p>
    <w:p w:rsidR="00A90898" w:rsidRDefault="00A90898" w:rsidP="00A90898">
      <w:pPr>
        <w:pStyle w:val="TextoNormal"/>
      </w:pPr>
      <w:r>
        <w:t>f) En fecha 8 de marzo de 2016 la Mesa, de acuerdo con lo dispuesto en el artículo 38.3 RPC, con el Voto en contra del Vicepresidente segundo y de los Secretarios segundo y tercero, acordó desestimar la petición de reconsideración.</w:t>
      </w:r>
    </w:p>
    <w:p w:rsidR="00A90898" w:rsidRDefault="00A90898" w:rsidP="00A90898">
      <w:pPr>
        <w:pStyle w:val="TextoNormal"/>
      </w:pPr>
    </w:p>
    <w:p w:rsidR="00A90898" w:rsidRDefault="00A90898" w:rsidP="00A90898">
      <w:pPr>
        <w:pStyle w:val="TextoNormal"/>
      </w:pPr>
      <w:r>
        <w:t>Razona la Mesa, en síntesis:</w:t>
      </w:r>
    </w:p>
    <w:p w:rsidR="00A90898" w:rsidRDefault="00A90898" w:rsidP="00A90898">
      <w:pPr>
        <w:pStyle w:val="TextoNormal"/>
      </w:pPr>
    </w:p>
    <w:p w:rsidR="00A90898" w:rsidRDefault="00A90898" w:rsidP="00A90898">
      <w:pPr>
        <w:pStyle w:val="TextoNormal"/>
      </w:pPr>
      <w:r>
        <w:t>i) Que la solicitud presentada cumple con los requisitos formales que establece el art. 126 RPC, teniendo en cuenta que lo han pedido dos grupos parlamentarios, se ha producido el acuerdo favorable de la Junta de Portavoces, “y la Mesa dispone de un margen de apreciación para decidir sobre su creación cuando se cumplen estos dos requisitos”.</w:t>
      </w:r>
    </w:p>
    <w:p w:rsidR="00A90898" w:rsidRDefault="00A90898" w:rsidP="00A90898">
      <w:pPr>
        <w:pStyle w:val="TextoNormal"/>
      </w:pPr>
    </w:p>
    <w:p w:rsidR="00A90898" w:rsidRDefault="00A90898" w:rsidP="00A90898">
      <w:pPr>
        <w:pStyle w:val="TextoNormal"/>
      </w:pPr>
      <w:r>
        <w:t>ii) Que “al margen de la interpretación del artículo 126, más allá del cumplimiento de los requisitos formales”, dicho art. 126 RPC “ha sido interpretado de forma amplia y extensiva en las últimas legislaturas sin que este hecho habitual haya sido fruto de controversia por parte de la Mesa y la Junta de Portavoces”.</w:t>
      </w:r>
    </w:p>
    <w:p w:rsidR="00A90898" w:rsidRDefault="00A90898" w:rsidP="00A90898">
      <w:pPr>
        <w:pStyle w:val="TextoNormal"/>
      </w:pPr>
    </w:p>
    <w:p w:rsidR="00A90898" w:rsidRDefault="00A90898" w:rsidP="00A90898">
      <w:pPr>
        <w:pStyle w:val="TextoNormal"/>
      </w:pPr>
      <w:r>
        <w:t>iii) “En caso de duda sobre si la materia objeto de las proposiciones es o no de desarrollo básico estatutario, la Mesa, por un criterio de prudencia, no puede prejuzgar ex-ante la adecuación del procedimiento de la ponencia redactora”.</w:t>
      </w:r>
    </w:p>
    <w:p w:rsidR="00A90898" w:rsidRDefault="00A90898" w:rsidP="00A90898">
      <w:pPr>
        <w:pStyle w:val="TextoNormal"/>
      </w:pPr>
    </w:p>
    <w:p w:rsidR="00A90898" w:rsidRDefault="00A90898" w:rsidP="00A90898">
      <w:pPr>
        <w:pStyle w:val="TextoNormal"/>
      </w:pPr>
      <w:r>
        <w:t>iv) “La referencia que hace el art. 126 RPC a ‘la representación de todos los grupos’ no puede ser interpretada como requisito necesario para la ponencia redactora, ya que esto podría significar el derecho de veto de un solo grupo, claramente contrario al derecho de iniciativa legislativa que corresponde a los grupos parlamentarios”; y en todo caso el art. 126.2 RPC “prevé que el texto elaborado por la ponencia no sea firmado por todos los grupos parlamentarios”, aunque con ella se busca el máximo consenso.</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se interpone al amparo del art. 42 de la Ley Orgánica del Tribunal Constitucional (LOTC) y en la misma se solicita la declaración de nulidad de los acuerdos de la Mesa citados anteriormente. Los recurrentes aducen que los acuerdos impugnados han conculcado la legalidad parlamentaria, con el resultado de vulnerar facultades de los Diputados que pertenecen al núcleo de su función representativa parlamentaria (art. 23.2 CE), en conexión con el art. 23.1 CE.</w:t>
      </w:r>
    </w:p>
    <w:p w:rsidR="00A90898" w:rsidRDefault="00A90898" w:rsidP="00A90898">
      <w:pPr>
        <w:pStyle w:val="TextoNormal"/>
      </w:pPr>
    </w:p>
    <w:p w:rsidR="00A90898" w:rsidRDefault="00A90898" w:rsidP="00A90898">
      <w:pPr>
        <w:pStyle w:val="TextoNormal"/>
      </w:pPr>
      <w:r>
        <w:lastRenderedPageBreak/>
        <w:t>Con respecto a la infracción de la legalidad parlamentaria, los recurrentes ponen de manifiesto que de acuerdo con lo previsto en el art. 126 RPC no es posible constituir una ponencia, con representación de todos los grupos parlamentarios para elaborar el texto de una proposición de ley sobre materias que quedan fuera del ámbito material definido por el artículo 62.2 EAC, como ocurre en el presente caso. Tal infracción del Reglamento lleva aparejada la vulneración de las facultades parlamentarias previstas en el art. 23 CE, toda vez que se obliga a los Diputados a participar en la elaboración de una proposición de ley con la que no están de acuerdo y, además, se hace utilizando una especialidad del procedimiento legislativo prevista exclusivamente para los “proyectos y las proposiciones de ley de desarrollo básico del Estatuto de Autonomía de Cataluña”. Se trata de materias que necesitan de una amplia mayoría parlamentaria para su aprobación, cuando no es el caso.</w:t>
      </w:r>
    </w:p>
    <w:p w:rsidR="00A90898" w:rsidRDefault="00A90898" w:rsidP="00A90898">
      <w:pPr>
        <w:pStyle w:val="TextoNormal"/>
      </w:pPr>
    </w:p>
    <w:p w:rsidR="00A90898" w:rsidRDefault="00A90898" w:rsidP="00A90898">
      <w:pPr>
        <w:pStyle w:val="TextoNormal"/>
      </w:pPr>
      <w:r>
        <w:t>Los recurrentes también aducen que la vulneración denunciada es “la consecuencia del inconstitucional proceder de la Mesa del Parlamento de Cataluña dirigida a incumplir la Sentencia del Tribunal Constitucional 259/2015”, argumentando en este sentido que hay una conexión entre las proposiciones de ley que se pretenden elaborar mediante el procedimiento previsto en el art. 126 RPC y la creación de un proceso constituyente, toda vez que los portavoces de los grupos parlamentarios que proponen la creación de una ponencia conjunta no han dejado de reiterar que se trata de “leyes de desconexión”. Como apoyo de esta afirmación se adjuntan noticias de prensa en las que se refleja que la finalidad que se busca con la aprobación de dichas leyes es la “desconexión” y la independencia de España y afirman que la resolución del Parlamento de Cataluña 1/XI, de 9 de noviembre, declarada inconstitucional y nula por la STC 259/2015, incluía un apartado en el que se recogía que “el Parlamento de Cataluña considera pertinente iniciar en el plazo de treinta días la tramitación de las leyes de proceso constituyente, de seguridad social y de hacienda pública”, razones que llevan a los recurrentes a afirmar que mediante este procedimiento se está obligando a todos los grupos parlamentarios a participar en la elaboración de un texto normativo inconstitucional.</w:t>
      </w:r>
    </w:p>
    <w:p w:rsidR="00A90898" w:rsidRDefault="00A90898" w:rsidP="00A90898">
      <w:pPr>
        <w:pStyle w:val="TextoNormal"/>
      </w:pPr>
    </w:p>
    <w:p w:rsidR="00A90898" w:rsidRDefault="00A90898" w:rsidP="00A90898">
      <w:pPr>
        <w:pStyle w:val="TextoNormal"/>
      </w:pPr>
      <w:r w:rsidRPr="00A90898">
        <w:rPr>
          <w:rStyle w:val="NumeroAFNegritaCaracter"/>
        </w:rPr>
        <w:t>4</w:t>
      </w:r>
      <w:r>
        <w:t>. Con fecha 25 de abril de 2016, el Presidente del Tribunal Constitucional firmó un acuerdo de conexión con el recurso de amparo núm. 1315-2016, en aplicación del acuerdo del Pleno del Tribunal Constitucional, de 23 de octubre de 2013, una vez visto que ambos recursos provienen del mismo procedimiento parlamentario, disponiendo que prosigan su tramitación ante la Sala Segunda de este Tribunal, siendo turnados al mismo Magistrado Ponente.</w:t>
      </w:r>
    </w:p>
    <w:p w:rsidR="00A90898" w:rsidRDefault="00A90898" w:rsidP="00A90898">
      <w:pPr>
        <w:pStyle w:val="TextoNormal"/>
      </w:pPr>
    </w:p>
    <w:p w:rsidR="00A90898" w:rsidRDefault="00A90898" w:rsidP="00A90898">
      <w:pPr>
        <w:pStyle w:val="TextoNormal"/>
      </w:pPr>
      <w:r w:rsidRPr="00A90898">
        <w:rPr>
          <w:rStyle w:val="NumeroAFNegritaCaracter"/>
        </w:rPr>
        <w:t>5</w:t>
      </w:r>
      <w:r>
        <w:t>. La Sala Segunda de este Tribunal, por providencia de 7 de junio de 2016, acordó admitir a trámite la demanda de amparo, apreciando que concurre una especial trascendencia constitucional (art. 50.1 LOTC) porque el asunto suscitado trasciende del caso concreto porque pudiera tener unas consecuencias políticas generales [STC 155/2009, FJ 2 g)]. Asimismo, en aplicación de lo dispuesto en el art. 51 LOTC, acordó requerir a la Mesa del Parlamento de Cataluña la remisión del testimonio de las actuaciones, acompañándose copia de la demanda a los efectos de su personación en el presente proceso.</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La Secretaría de Justicia de la Sala Segunda de este Tribunal, por diligencia de ordenación de 6 de julio de 2016, acordó tener por personado y parte al Letrado don Pere Sol i Ordis, en nombre y representación del Parlamento de Cataluña y tener por personados y </w:t>
      </w:r>
      <w:r>
        <w:lastRenderedPageBreak/>
        <w:t>parte en el procedimiento al Procurador don Manuel Sánchez-Puelles y González Carvajal, en nombre y representación de los Diputados y Diputadas del Grupo Parlamentario Popular en el Parlamento de Cataluña, y dar vista de las actuaciones al Ministerio Fiscal y a las partes personadas por plazo común de 20 días para presentar las alegaciones que estimasen pertinentes, de conformidad con el art. 52 LOTC.</w:t>
      </w:r>
    </w:p>
    <w:p w:rsidR="00A90898" w:rsidRDefault="00A90898" w:rsidP="00A90898">
      <w:pPr>
        <w:pStyle w:val="TextoNormal"/>
      </w:pPr>
    </w:p>
    <w:p w:rsidR="00A90898" w:rsidRDefault="00A90898" w:rsidP="00A90898">
      <w:pPr>
        <w:pStyle w:val="TextoNormal"/>
      </w:pPr>
      <w:r w:rsidRPr="00A90898">
        <w:rPr>
          <w:rStyle w:val="NumeroAFNegritaCaracter"/>
        </w:rPr>
        <w:t>7</w:t>
      </w:r>
      <w:r>
        <w:t>. Los Letrados del Parlamento de Cataluña, mediante escrito registrado el 16 septiembre de 2016, formularon sus alegaciones solicitando la desestimación del recurso de amparo, al entender que los acuerdos impugnados no vulneran el art. 23 CE y fueron adoptados en cumplimiento de lo establecido en el Reglamento de la Cámara y en el Estatuto de Autonomía de Cataluña.</w:t>
      </w:r>
    </w:p>
    <w:p w:rsidR="00A90898" w:rsidRDefault="00A90898" w:rsidP="00A90898">
      <w:pPr>
        <w:pStyle w:val="TextoNormal"/>
      </w:pPr>
    </w:p>
    <w:p w:rsidR="00A90898" w:rsidRDefault="00A90898" w:rsidP="00A90898">
      <w:pPr>
        <w:pStyle w:val="TextoNormal"/>
      </w:pPr>
      <w:r>
        <w:t>Para los representantes de la Cámara las solicitudes presentadas por los grupos parlamentarios de Junts pel Sí y de la Candidatura d’Unitat Popular-Crida Constituent, para la creación de ponencias parlamentarias conjuntas de acuerdo con el procedimiento que prevé el art. 126 RPC, cumplen los requisitos formales que establece el Reglamento para la creación de las ponencias redactoras, dado que: i) lo han solicitado dos grupos parlamentarios y ii) se ha producido el acuerdo favorable de la Junta de Portavoces.</w:t>
      </w:r>
    </w:p>
    <w:p w:rsidR="00A90898" w:rsidRDefault="00A90898" w:rsidP="00A90898">
      <w:pPr>
        <w:pStyle w:val="TextoNormal"/>
      </w:pPr>
    </w:p>
    <w:p w:rsidR="00A90898" w:rsidRDefault="00A90898" w:rsidP="00A90898">
      <w:pPr>
        <w:pStyle w:val="TextoNormal"/>
      </w:pPr>
      <w:r>
        <w:t xml:space="preserve">Los Letrados del Parlamento catalán afirman que, cuando se cumplen estos dos requisitos “la Mesa dispone de un margen de apreciación para decidir” sobre la creación de ponencias parlamentarias conjuntas y ponen de manifiesto que el artículo 126 RPC ha sido interpretado de forma flexible en las últimas legislaturas, toda vez que, a su juicio, no siempre es posible identificar claramente cuáles son las materias que deben considerarse incluidas en el ámbito material del desarrollo básico del Estatuto de Autonomía (que aparecen recogidas en el art. 62.2 EAC) ya que en ocasiones el resultado de dicha remisión es poco preciso o demasiado amplio y ambiguo, habiéndose aprobado la creación de ponencias redactoras de iniciativas legislativas que no estaban comprendidas en el ámbito material al que se refieren dicho precepto estatutario, como por ejemplo, en la última legislatura, en la que se utilizó el procedimiento previsto en el art. 126 RPC para elaborar las proposiciones de ley que finalmente dieron lugar a la Ley de transparencia y acceso a la información pública, a la Ley de consultas populares no referendarias y participación ciudadana, y a la Ley de igualdad entre hombres y mujeres, añadiendo que, en caso de duda sobre si la materia objeto de la proposición de ley es de desarrollo básico estatutario, la Mesa, por motivos de prudencia, no puede prejuzgar </w:t>
      </w:r>
      <w:r w:rsidRPr="00A90898">
        <w:rPr>
          <w:i/>
        </w:rPr>
        <w:t>ex ante</w:t>
      </w:r>
      <w:r>
        <w:t xml:space="preserve"> la adecuación del procedimiento de la ponencia redactora, todo ello en consonancia con la jurisprudencia constitucional que ha venido sosteniendo que la Mesa, en el trámite de admisión, ha de verificar exclusivamente los requisitos formales exigidos por el Reglamento parlamentario, excluyendo que este acto de calificación pueda comportar un juicio de oportunidad sobre el contenido de la propuesta.</w:t>
      </w:r>
    </w:p>
    <w:p w:rsidR="00A90898" w:rsidRDefault="00A90898" w:rsidP="00A90898">
      <w:pPr>
        <w:pStyle w:val="TextoNormal"/>
      </w:pPr>
    </w:p>
    <w:p w:rsidR="00A90898" w:rsidRDefault="00A90898" w:rsidP="00A90898">
      <w:pPr>
        <w:pStyle w:val="TextoNormal"/>
      </w:pPr>
      <w:r>
        <w:t xml:space="preserve">Por último, la representación procesal del Parlamento Catalán aduce que los recurrentes reclaman el restablecimiento de un pretendido derecho subjetivo que no existe y, por tanto, no pueden utilizar el proceso constitucional de amparo con la mera finalidad de restaurar la legalidad parlamentaria presuntamente infringida, argumentando que, en relación con las ponencias redactoras, los recurrentes conservan intacto su derecho a no designar representante, a no participar en sus reuniones y a enmendar, si lo consideran oportuno, el texto que elaboren los grupos que participen en dicho órgano y, finalmente, a no votarlo, concluyendo </w:t>
      </w:r>
      <w:r>
        <w:lastRenderedPageBreak/>
        <w:t>que, en todo caso, este procedimiento especial es más garantista que el procedimiento ordinario, ya que permite a todos los grupos parlamentarios participar desde el inicio en la elaboración de la proposición de ley.</w:t>
      </w:r>
    </w:p>
    <w:p w:rsidR="00A90898" w:rsidRDefault="00A90898" w:rsidP="00A90898">
      <w:pPr>
        <w:pStyle w:val="TextoNormal"/>
      </w:pPr>
    </w:p>
    <w:p w:rsidR="00A90898" w:rsidRDefault="00A90898" w:rsidP="00A90898">
      <w:pPr>
        <w:pStyle w:val="TextoNormal"/>
      </w:pPr>
      <w:r w:rsidRPr="00A90898">
        <w:rPr>
          <w:rStyle w:val="NumeroAFNegritaCaracter"/>
        </w:rPr>
        <w:t>8</w:t>
      </w:r>
      <w:r>
        <w:t>. El Ministerio Fiscal presentó su escrito de alegaciones en este Tribunal el 10 de octubre de 2016, en el que interesa se dicte Sentencia estimando el recurso de amparo y se declare vulnerado el derecho fundamental de los demandantes a ejercer sus funciones representativas de acuerdo con lo garantizado en el art. 23.2 CE.</w:t>
      </w:r>
    </w:p>
    <w:p w:rsidR="00A90898" w:rsidRDefault="00A90898" w:rsidP="00A90898">
      <w:pPr>
        <w:pStyle w:val="TextoNormal"/>
      </w:pPr>
    </w:p>
    <w:p w:rsidR="00A90898" w:rsidRDefault="00A90898" w:rsidP="00A90898">
      <w:pPr>
        <w:pStyle w:val="TextoNormal"/>
      </w:pPr>
      <w:r>
        <w:t>Tras exponer detalladamente los antecedentes de los que trae causa el recurso, así como los principales argumentos esgrimidos por los recurrentes, el Fiscal analiza la queja relativa a la vulneración del Reglamento del Parlamento de Cataluña y, en segundo término, expone las consecuencias que para el estatuto constitucionalmente relevante de los diputados recurrentes, se derivan de tal vulneración.</w:t>
      </w:r>
    </w:p>
    <w:p w:rsidR="00A90898" w:rsidRDefault="00A90898" w:rsidP="00A90898">
      <w:pPr>
        <w:pStyle w:val="TextoNormal"/>
      </w:pPr>
    </w:p>
    <w:p w:rsidR="00A90898" w:rsidRDefault="00A90898" w:rsidP="00A90898">
      <w:pPr>
        <w:pStyle w:val="TextoNormal"/>
      </w:pPr>
      <w:r>
        <w:t xml:space="preserve">En este sentido, el Fiscal lleva a cabo una interpretación sistemática y teleológica del art. 126 RPC, llegando a la conclusión de que se trata de un precepto que regula una especialidad dentro del procedimiento legislativo, relativa a los proyectos y proposiciones de ley de desarrollo básico del Estatuto de autonomía de Cataluña, siendo éstos los que versan sobre las materias recogidas en el artículo 62.2 EAC, con arreglo al cual son leyes de desarrollo básico del Estatuto las que regulen directamente las materias mencionadas por los artículos 2.3, 6, 37.2, 56.2, 67.5, 68.3, 77.3, 79.3, 81.2 y 94.1 EAC, lista de preceptos que, a su juicio, configura claramente un </w:t>
      </w:r>
      <w:r w:rsidRPr="00A90898">
        <w:rPr>
          <w:i/>
        </w:rPr>
        <w:t>numerus clausus</w:t>
      </w:r>
      <w:r>
        <w:t xml:space="preserve"> que no coincide con las materias que resultan objeto de las proposiciones de ley que se intentan tramitar en el caso que nos ocupa, añadiendo que estamos ante una especialidad que supone una excepción al régimen procedimental legislativo general, por lo que la interpretación que se impone ha de ser necesariamente muy estricta e incluso restrictiva.</w:t>
      </w:r>
    </w:p>
    <w:p w:rsidR="00A90898" w:rsidRDefault="00A90898" w:rsidP="00A90898">
      <w:pPr>
        <w:pStyle w:val="TextoNormal"/>
      </w:pPr>
    </w:p>
    <w:p w:rsidR="00A90898" w:rsidRDefault="00A90898" w:rsidP="00A90898">
      <w:pPr>
        <w:pStyle w:val="TextoNormal"/>
      </w:pPr>
      <w:r>
        <w:t>Asimismo, el Ministerio Fiscal entiende que la decisión de la Mesa no puede justificase en una supuesta “praxis parlamentaria”, pues dicho uso parlamentario, relativo a la interpretación flexible de las materias a las que se refiere el art. 126 RPC, sólo se dio en anteriores legislaturas cuando se contó con el consenso de todos los grupos parlamentarios, lo que no ocurre en el caso que nos ocupa y, por tanto, la Mesa no puede invocar la costumbre parlamentaria para apartarse del Reglamento y, con ello, ignorar los derechos y garantías que el Reglamento reconoce a los parlamentarios (SSTC 107/2016, de 7 de junio, FJ 4, y 57/2011, de 3 de mayo, FJ 7, entre otras).</w:t>
      </w:r>
    </w:p>
    <w:p w:rsidR="00A90898" w:rsidRDefault="00A90898" w:rsidP="00A90898">
      <w:pPr>
        <w:pStyle w:val="TextoNormal"/>
      </w:pPr>
    </w:p>
    <w:p w:rsidR="00A90898" w:rsidRDefault="00A90898" w:rsidP="00A90898">
      <w:pPr>
        <w:pStyle w:val="TextoNormal"/>
      </w:pPr>
      <w:r>
        <w:t>Constatada la infracción reglamentaria, para el Fiscal no cabe duda que el ejercicio de la función legislativa y, dentro de ésta, la iniciativa legislativa, forma parte de la función representativa que garantiza el art. 23 CE (por todas, STC 23/2015, de 16 de febrero, FJ 3) y, por tanto, pertenece al núcleo de derechos y facultades constitucionalmente relevante de los diputados, con el consiguiente derecho a que la iniciativa legislativa se ejerza y tramite conforme a los procedimientos parlamentarios idóneos y procedentes. Así, el Fiscal coincide con los recurrentes en que, en el caso que nos ocupa, los derechos y facultades atribuidos a los diputados se ven afectados, toda vez que la especialidad de tramitación del art 126 RPC afecta a la capacidad de iniciativa legislativa de aquéllos, pues la ponencia conjunta fuerza a los grupos parlamentarios que manifiestamente no quieren compartir una determinada ini</w:t>
      </w:r>
      <w:r>
        <w:lastRenderedPageBreak/>
        <w:t>ciativa legislativa a ser partícipes de la misma, sometiendo a los diputados y grupos disidentes a una innecesaria tensión entre sus deberes de participación en los debates del Pleno y de las comisiones, deber que la doctrina ha extrapolado a los trabajos parlamentarios de las ponencias, conculcando su legítimo interés de no participar de forma activa en ponencias conjuntas por entrar en contradicción con la defensa de las propias posiciones políticas.</w:t>
      </w:r>
    </w:p>
    <w:p w:rsidR="00A90898" w:rsidRDefault="00A90898" w:rsidP="00A90898">
      <w:pPr>
        <w:pStyle w:val="TextoNormal"/>
      </w:pPr>
    </w:p>
    <w:p w:rsidR="00A90898" w:rsidRDefault="00A90898" w:rsidP="00A90898">
      <w:pPr>
        <w:pStyle w:val="TextoNormal"/>
      </w:pPr>
      <w:r>
        <w:t>En conclusión, el Fiscal sostiene que la Mesa se ha separado de lo expresamente previsto en el Reglamento de la Cámara (que habilita el empleo del art. 126 RPC sólo para las materias tasadas en el art. 62.2 EAC), que también se aparta de la propia praxis parlamentaria, toda vez que la flexibilidad de la Mesa a la hora de examinar las materias que pueden ser objeto de esta especialidad del procedimiento legislativo sólo se dio en anteriores legislaturas cuando se contó con el consenso de todos los grupos parlamentarios, lo que le lleva a afirmar que se ha vulnerado el derecho de iniciativa legislativa de los diputados recurrentes, que forma parte de las facultades parlamentarias garantizadas por el art. 23.2 CE.</w:t>
      </w:r>
    </w:p>
    <w:p w:rsidR="00A90898" w:rsidRDefault="00A90898" w:rsidP="00A90898">
      <w:pPr>
        <w:pStyle w:val="TextoNormal"/>
      </w:pPr>
    </w:p>
    <w:p w:rsidR="00A90898" w:rsidRDefault="00A90898" w:rsidP="00A90898">
      <w:pPr>
        <w:pStyle w:val="TextoNormal"/>
      </w:pPr>
      <w:r w:rsidRPr="00A90898">
        <w:rPr>
          <w:rStyle w:val="NumeroAFNegritaCaracter"/>
        </w:rPr>
        <w:t>9</w:t>
      </w:r>
      <w:r>
        <w:t>. Por providencia de 15 de diciembre de 2016, se señaló para la deliberación y votación de la presente Sentencia el día 19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Como se ha expuesto con mayor detalle en los antecedentes, la cuestión suscitada en el presente recurso de amparo se centra en determinar si los Acuerdos de la Mesa del Parlamento de Cataluña que se mencionan en el encabezamiento de esta Sentencia y mediante los que se admitió a trámite la solicitud de los grupos parlamentarios de Junts pel Sí y de la Candidatura d’Unitat Popular-Crida Constituent, de creación de tres ponencias parlamentarias conjuntas de acuerdo con el procedimiento que prevé el artículo 126 del Reglamento del Parlamento de Cataluña (RPC), para la elaboración, respectivamente, de una proposición de ley integral de protección social catalana, de una proposición de ley del régimen jurídico catalán y de una proposición de ley de la Administración tributaria catalana, vulneran el derecho de los diputados recurrentes a acceder en condiciones de igualdad a las funciones y cargos públicos regulado en el art. 23.2 CE, en relación con el derecho de los ciudadanos a participar en los asuntos públicos a través de sus representantes, previsto en el artículo 23.1 CE.</w:t>
      </w:r>
    </w:p>
    <w:p w:rsidR="00A90898" w:rsidRDefault="00A90898" w:rsidP="00A90898">
      <w:pPr>
        <w:pStyle w:val="TextoNormal"/>
      </w:pPr>
    </w:p>
    <w:p w:rsidR="00A90898" w:rsidRDefault="00A90898" w:rsidP="00A90898">
      <w:pPr>
        <w:pStyle w:val="TextoNormal"/>
      </w:pPr>
      <w:r>
        <w:t>Los diputados recurrentes, miembros del Grupo Parlamentario de Ciudadanos del Parlamento de Cataluña, ponen de manifiesto que, de acuerdo con lo previsto en el art. 126 RPC, no es posible utilizar el cauce que proporciona dicho precepto, consistente en constituir una ponencia con representación de todos los grupos parlamentarios, cuando la finalidad de la misma es elaborar el texto de varias proposiciones de ley cuyo contenido no se refiere a materias directamente relacionadas con el desarrollo básico del Estatuto de autonomía de Cataluña. En este sentido, insisten en que el art. 126 RPC regula una especialidad dentro del procedimiento legislativo, relativa a los proyectos y proposiciones de ley de desarrollo básico del Estatuto de Autonomía de Cataluña y que, de acuerdo con el art. 62.2 del Estatuto de Autonomía de Cataluña (EAC), son leyes de desarrollo básico del Estatuto sólo las que regulan directamente las materias mencionadas en los artículos 2.3, 6, 37.2, 56.2, 67.5, 68.3, 77.3, 79.3, 81.2 y 94.1 EAC, que configura una lista cerrada en la que no encaja ninguna de las materias propuestas y admitidas por la Mesa para tal fin en los acuerdos impugnados.</w:t>
      </w:r>
    </w:p>
    <w:p w:rsidR="00A90898" w:rsidRDefault="00A90898" w:rsidP="00A90898">
      <w:pPr>
        <w:pStyle w:val="TextoNormal"/>
      </w:pPr>
    </w:p>
    <w:p w:rsidR="00A90898" w:rsidRDefault="00A90898" w:rsidP="00A90898">
      <w:pPr>
        <w:pStyle w:val="TextoNormal"/>
      </w:pPr>
      <w:r>
        <w:t>Los diputados recurrentes alegan que tal infracción del Reglamento por parte de la Mesa lleva aparejada la vulneración de su derecho de iniciativa legislativa, facultad que pertenece al núcleo de la función representativa parlamentaria protegida por el art. 23.2 CE, toda vez que se ven obligados, en contra de su voluntad, a formar parte de una iniciativa legislativa que no comparten, viéndose forzados a participar en tres ponencias conjuntas para elaborar tres proposiciones de ley y, en definitiva, a formar parte de un procedimiento legislativo sustancialmente distinto al que se sigue en el trámite legislativo ordinario.</w:t>
      </w:r>
    </w:p>
    <w:p w:rsidR="00A90898" w:rsidRDefault="00A90898" w:rsidP="00A90898">
      <w:pPr>
        <w:pStyle w:val="TextoNormal"/>
      </w:pPr>
    </w:p>
    <w:p w:rsidR="00A90898" w:rsidRDefault="00A90898" w:rsidP="00A90898">
      <w:pPr>
        <w:pStyle w:val="TextoNormal"/>
      </w:pPr>
      <w:r>
        <w:t>También aducen que la vulneración denunciada es “la consecuencia del inconstitucional proceder de la Mesa del Parlamento de Cataluña dirigida a incumplir la Sentencia del Tribunal Constitucional 259/2015”, argumentando en este sentido que hay una conexión entre las proposiciones de Ley que se pretenden elaborar mediante el procedimiento previsto en el art. 126 RPC y la creación de un proceso constituyente, toda vez que los portavoces de los Grupos Parlamentarios que proponen la creación de una ponencia conjunta no han dejado de reiterar que se trata de “leyes de desconexión”, razones que llevan a los recurrentes a firmar que mediante este procedimiento se está obligando a todos los grupos parlamentarios a participar en la elaboración de un texto normativo inconstitucional.</w:t>
      </w:r>
    </w:p>
    <w:p w:rsidR="00A90898" w:rsidRDefault="00A90898" w:rsidP="00A90898">
      <w:pPr>
        <w:pStyle w:val="TextoNormal"/>
      </w:pPr>
    </w:p>
    <w:p w:rsidR="00A90898" w:rsidRDefault="00A90898" w:rsidP="00A90898">
      <w:pPr>
        <w:pStyle w:val="TextoNormal"/>
      </w:pPr>
      <w:r>
        <w:t>Por su parte, los Letrados del Parlamento de Cataluña solicitan la desestimación del recurso de amparo argumentando que la Mesa ejerció legítimamente sus facultades y aplicó correctamente las normas del Reglamento de la Cámara, por lo que, a su juicio, no cabe imputar a la actuación de la Mesa la pretendida lesión de los derechos fundamentales garantizados por el art. 23 CE. Para los representantes de la Cámara, las solicitudes presentadas para la creación de ponencias parlamentarias conjuntas cumplen los requisitos formales que establece el art. 126 RPC, dado que la iniciativa parte de dos grupos parlamentarios y se cuenta con el acuerdo favorable de la Junta de Portavoces. Cumplidos estos dos requisitos, los Letrados entienden que existe un margen de flexibilidad de la Mesa a la hora de valorar las materias que deben considerarse incluidas en el ámbito material del desarrollo básico del Estatuto de Autonomía (</w:t>
      </w:r>
      <w:r w:rsidRPr="00A90898">
        <w:rPr>
          <w:i/>
        </w:rPr>
        <w:t>ex</w:t>
      </w:r>
      <w:r>
        <w:t xml:space="preserve"> art. 62.2 EAC) y, en este sentido, señalan que en otras legislaturas la Mesa tramitó sin problemas la solicitud de creación de ponencias redactoras relativas a iniciativas legislativas que no estaban comprendidas en el ámbito material al que se refieren dicho precepto estatutario. Por último, afirman que, con independencia de la eventual infracción del Reglamento, no estamos ante la vulneración de ningún derecho fundamental de los recurrentes.</w:t>
      </w:r>
    </w:p>
    <w:p w:rsidR="00A90898" w:rsidRDefault="00A90898" w:rsidP="00A90898">
      <w:pPr>
        <w:pStyle w:val="TextoNormal"/>
      </w:pPr>
    </w:p>
    <w:p w:rsidR="00A90898" w:rsidRDefault="00A90898" w:rsidP="00A90898">
      <w:pPr>
        <w:pStyle w:val="TextoNormal"/>
      </w:pPr>
      <w:r>
        <w:t>El Ministerio Fiscal, finalmente, interesa la estimación del recurso de amparo en los términos que han quedado expresados en los antecedentes de la presente Sentencia y que, en síntesis, se dirigen a argumentar que la Mesa se ha separado, tanto de lo expresamente previsto en el Reglamento de la Cámara (que habilita el empleo del art. 126 RPC sólo para las materias tasadas en el art. 62.2 EAC), como de la propia praxis parlamentaria, toda vez que la flexibilidad de la Mesa a la hora de examinar las materias que pueden ser objeto de esta especialidad del procedimiento legislativo, constituye un uso parlamentario sólo cuando se cuenta con el consenso de todos los grupos parlamentarios, razones que le llevan a concluir que se ha vulnerado el derecho de iniciativa legislativa de los diputados recurrentes, que forma parte de las facultades parlamentarias garantizadas por el art. 23.2 CE.</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2</w:t>
      </w:r>
      <w:r>
        <w:t>. Entrando ya en el análisis de la queja que se formula en la demanda de amparo, resulta oportuno traer a colación la doctrina constitucional sobre los derechos fundamentales invocados, en conexión con el contenido y finalidad de los acuerdos parlamentarios impugnados. Así, debe recordarse lo siguiente:</w:t>
      </w:r>
    </w:p>
    <w:p w:rsidR="00A90898" w:rsidRDefault="00A90898" w:rsidP="00A90898">
      <w:pPr>
        <w:pStyle w:val="TextoNormal"/>
      </w:pPr>
    </w:p>
    <w:p w:rsidR="00A90898" w:rsidRDefault="00A90898" w:rsidP="00A90898">
      <w:pPr>
        <w:pStyle w:val="TextoNormal"/>
      </w:pPr>
      <w:r>
        <w:t>a) El art. 23.2 CE, que reconoce el derecho de los ciudadanos “a acceder en condiciones de igualdad a las funciones y cargos públicos, con los requisitos que señalen las leyes”, conforme nuestra reiterada doctrina éste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de 17 de febrero, FJ 2, entre otras” [STC 1/2015, de 19 de enero, FJ 3].</w:t>
      </w:r>
    </w:p>
    <w:p w:rsidR="00A90898" w:rsidRDefault="00A90898" w:rsidP="00A90898">
      <w:pPr>
        <w:pStyle w:val="TextoNormal"/>
      </w:pPr>
    </w:p>
    <w:p w:rsidR="00A90898" w:rsidRDefault="00A90898" w:rsidP="00A90898">
      <w:pPr>
        <w:pStyle w:val="TextoNormal"/>
      </w:pPr>
      <w:r>
        <w:t>Y hemos añadido que “esta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de 14 de octubre, FJ 3, y 40/2003, FJ 2)” [STC 1/2015, FJ 3].</w:t>
      </w:r>
    </w:p>
    <w:p w:rsidR="00A90898" w:rsidRDefault="00A90898" w:rsidP="00A90898">
      <w:pPr>
        <w:pStyle w:val="TextoNormal"/>
      </w:pPr>
    </w:p>
    <w:p w:rsidR="00A90898" w:rsidRDefault="00A90898" w:rsidP="00A90898">
      <w:pPr>
        <w:pStyle w:val="TextoNormal"/>
      </w:pPr>
      <w:r>
        <w:t>Acerca de la relación entre los dos apartados del art. 23 CE, “[e]n una línea jurisprudencial que se inicia con las SSTC 5/1983 y 10/1983, este Tribunal ha establecido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y 40/2003, de 17 de febrero, FJ 2, entre otras muchas)” [STC 202/2014, de 15 de diciembre, FJ 3].</w:t>
      </w:r>
    </w:p>
    <w:p w:rsidR="00A90898" w:rsidRDefault="00A90898" w:rsidP="00A90898">
      <w:pPr>
        <w:pStyle w:val="TextoNormal"/>
      </w:pPr>
    </w:p>
    <w:p w:rsidR="00A90898" w:rsidRDefault="00A90898" w:rsidP="00A90898">
      <w:pPr>
        <w:pStyle w:val="TextoNormal"/>
      </w:pPr>
      <w:r>
        <w:t xml:space="preserve">b) Asimismo, como inequívocamente se desprende del inciso final del propio art. 23.2 CE, se trata de un derecho de configuración legal que corresponde establecer a los Reglamentos parlamentarios, “a los que compete fijar y ordenar los derechos y atribuciones propios de los parlamentarios … una vez creados, quedan integrados en el </w:t>
      </w:r>
      <w:r w:rsidRPr="00A90898">
        <w:rPr>
          <w:i/>
        </w:rPr>
        <w:t>status</w:t>
      </w:r>
      <w:r>
        <w:t xml:space="preserve"> propio de su cargo, con la consecuencia de que podrán sus titulares, al amparo del art. 23.2 CE, reclamar su protección cuando los consideren ilegítimamente constreñidos o ignorados por actos del poder público, incluidos los provenientes del propio órgano en el que se integren (entre tantas otras, STC 36/2014, de 27 de febrero, FJ 5, y las allí citadas)” [SSTC 107/2016, de 7 de junio, FJ 4 B) a), y 108/2016, de 7 de junio, FJ 4 B a)].</w:t>
      </w:r>
    </w:p>
    <w:p w:rsidR="00A90898" w:rsidRDefault="00A90898" w:rsidP="00A90898">
      <w:pPr>
        <w:pStyle w:val="TextoNormal"/>
      </w:pPr>
    </w:p>
    <w:p w:rsidR="00A90898" w:rsidRDefault="00A90898" w:rsidP="00A90898">
      <w:pPr>
        <w:pStyle w:val="TextoNormal"/>
      </w:pPr>
      <w:r>
        <w:t>En concreto, podrán reclamarlos ante este Tribunal por el cauce del recurso de amparo, según lo previsto en el art. 42 de nuestra Ley Orgánica (SSTC 161/1988, FJ 7; 38/1999, FJ 2; 27/2000, de 31 de enero, FJ 4; 107/2001, FJ 3; 203/2001, FJ 2; 177/2002, FJ 3; 40/2003, de 17 de febrero, FJ 2, y 1/2015, de 19 de enero, FJ 3, entre otras muchas).</w:t>
      </w:r>
    </w:p>
    <w:p w:rsidR="00A90898" w:rsidRDefault="00A90898" w:rsidP="00A90898">
      <w:pPr>
        <w:pStyle w:val="TextoNormal"/>
      </w:pPr>
    </w:p>
    <w:p w:rsidR="00A90898" w:rsidRDefault="00A90898" w:rsidP="00A90898">
      <w:pPr>
        <w:pStyle w:val="TextoNormal"/>
      </w:pPr>
      <w:r>
        <w:t xml:space="preserve">En este sentido, este Tribunal ha venido reiterando que “no cualquier acto del órgano parlamentario que infrinja la legalidad del </w:t>
      </w:r>
      <w:r w:rsidRPr="00A9089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A90898">
        <w:rPr>
          <w:i/>
        </w:rPr>
        <w:t>ex</w:t>
      </w:r>
      <w:r>
        <w:t xml:space="preserve"> art. 23.1 CE (SSTC 38/1999, FJ 2; 107/2001, FJ 3, y 40/2003, FJ 2, entre otras muchas)” [STC 1/2015, FJ 3; también STC 23/2015, de 16 de febrero, FJ 3].</w:t>
      </w:r>
    </w:p>
    <w:p w:rsidR="00A90898" w:rsidRDefault="00A90898" w:rsidP="00A90898">
      <w:pPr>
        <w:pStyle w:val="TextoNormal"/>
      </w:pPr>
    </w:p>
    <w:p w:rsidR="00A90898" w:rsidRDefault="00A90898" w:rsidP="00A90898">
      <w:pPr>
        <w:pStyle w:val="TextoNormal"/>
      </w:pPr>
      <w:r>
        <w:t xml:space="preserve">c) Por último, y en relación con el tipo de iniciativa parlamentaria cuya admisión a trámite se cuestiona en este caso, este Tribunal ha venido afirmando que el ejercicio de la función legislativa por los representantes de los ciudadanos constituye “la máxima expresión del ejercicio de la soberanía popular en el Estado democrático”. Y “[p]uesto que la participación en el ejercicio de dicha función y el desempeño de los derechos y facultades que la acompañan, entre los que indudablemente debe contarse con el derecho a la iniciativa legislativa, constituyen una manifestación constitucionalmente relevante del </w:t>
      </w:r>
      <w:r w:rsidRPr="00A90898">
        <w:rPr>
          <w:i/>
        </w:rPr>
        <w:t>ius in officium</w:t>
      </w:r>
      <w:r>
        <w:t xml:space="preserve"> del representante” (STC 10/2016, de 1 de febrero, FJ 4, y las allí citadas), toda decisión de la Mesa sobre la tramitación de una iniciativa legislativa promovida por un representante de los ciudadanos afecta a su derecho al libre e igual ejercicio de su cargo público, de forma que, perturbado o coartado éste, se perturba y coarta la participación de los ciudadanos en los asuntos públicos, infringiendo, así pues, el art. 23.1 y 2 CE” (STC 10/2016, FJ 4).</w:t>
      </w:r>
    </w:p>
    <w:p w:rsidR="00A90898" w:rsidRDefault="00A90898" w:rsidP="00A90898">
      <w:pPr>
        <w:pStyle w:val="TextoNormal"/>
      </w:pPr>
    </w:p>
    <w:p w:rsidR="00A90898" w:rsidRDefault="00A90898" w:rsidP="00A90898">
      <w:pPr>
        <w:pStyle w:val="TextoNormal"/>
      </w:pPr>
      <w:r>
        <w:t>Hemos precisado, además, que “esta exigencia de rigor es aún más intensa, si cabe, cuando el examen de admisibilidad que le compete a la Mesa recae sobre iniciativas legislativas de origen parlamentario, pues la Mesa debe cuidarse de no perturbar con su decisión el derecho de los representantes a suscitar el debate parlamentario sobre una materia determinada mediante el recurso a la iniciativa legislativa (STC 124/1995). Si no fuese así, la Mesa dejaría de obrar como un órgano de gobierno de la Cámara ejerciendo el debido control legal sobre la regularidad jurídica de la iniciativa, para mutarse en un órgano netamente político, impidiendo, además, que las iniciativas promovidas por las minorías parlamentarias se sometiesen al debate público en la Cámara. Lo que colocaría a estos representantes en una posición de inferioridad y desigualdad lesiva del art.23.2 CE. (SSTC 118/1995 y 38/1999, de 22 de marzo, FJ 3)” [STC 10/2016, FJ 4].</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Sentado lo que antecede, debemos recordar que cuando se reclama la tutela de derechos o facultades que pertenecen al núcleo de la función representativa parlamentaria frente a posibles vulneraciones de los órganos de la Cámara correspondiente, este Tribunal debe ser especialmente cuidadoso en la identificación, primero, de la base normativa del derecho alegado (toda vez que estamos ante un derecho fundamental de configuración legal, como se ha expuesto en el fundamento jurídico anterior) y, segundo, en la identificación de la </w:t>
      </w:r>
      <w:r>
        <w:lastRenderedPageBreak/>
        <w:t>regulación reglamentaria de las facultades del órgano de la Cámara al que se imputa la vulneración. Por ello, resulta obligado comenzar con un análisis del sentido, alcance y ámbito material del art. 126 RPC.</w:t>
      </w:r>
    </w:p>
    <w:p w:rsidR="00A90898" w:rsidRDefault="00A90898" w:rsidP="00A90898">
      <w:pPr>
        <w:pStyle w:val="TextoNormal"/>
      </w:pPr>
    </w:p>
    <w:p w:rsidR="00A90898" w:rsidRDefault="00A90898" w:rsidP="00A90898">
      <w:pPr>
        <w:pStyle w:val="TextoNormal"/>
      </w:pPr>
      <w:r>
        <w:t xml:space="preserve">Del Reglamento del Parlamento de Cataluña se desprende que la regulación relativa al procedimiento legislativo (capítulo II del título IV) contempla unas disposiciones generales sobre sujetos, requisitos y admisión a trámite de iniciativas legislativas (arts. 109 a 111), una normas para el procedimiento legislativo común (arts. 112 a 125) y, por lo que aquí interesa, una serie de especialidades del procedimiento legislativo (arts. 126 a 145), cuya ordenación en sus tres primeros apartados responde a un claro criterio </w:t>
      </w:r>
      <w:r w:rsidRPr="00A90898">
        <w:rPr>
          <w:i/>
        </w:rPr>
        <w:t>ratione materiae</w:t>
      </w:r>
      <w:r>
        <w:t>. Así, el apartado primero (arts. 126 y 127) se refiere a “Los proyectos y las proposiciones de ley de desarrollo básico del Estatuto de autonomía de Cataluña”; el apartado segundo (arts. 128 a 131) al proyecto de ley de presupuestos; y el apartado tercero (art. 132), a la reforma del Estatuto de autonomía de Cataluña.</w:t>
      </w:r>
    </w:p>
    <w:p w:rsidR="00A90898" w:rsidRDefault="00A90898" w:rsidP="00A90898">
      <w:pPr>
        <w:pStyle w:val="TextoNormal"/>
      </w:pPr>
    </w:p>
    <w:p w:rsidR="00A90898" w:rsidRDefault="00A90898" w:rsidP="00A90898">
      <w:pPr>
        <w:pStyle w:val="TextoNormal"/>
      </w:pPr>
      <w:r>
        <w:t xml:space="preserve">Más en concreto, el art. 126 RPC contempla una especialidad dentro del procedimiento legislativo, relativa a la iniciativa para promover la elaboración conjunta de proposiciones de ley de desarrollo básico del Estatuto de Autonomía de Cataluña, regulando, tal y como se ha reproducido en los antecedentes, la posibilidad de que la iniciativa parlamentaria se ejerza por el conjunto de grupos parlamentarios, mediante la constitución de una ponencia redactora que contará con la presencia de todos los grupos. Además, de acuerdo con lo previsto en los arts. 62.2 </w:t>
      </w:r>
      <w:r w:rsidRPr="00A90898">
        <w:rPr>
          <w:i/>
        </w:rPr>
        <w:t>in fine</w:t>
      </w:r>
      <w:r>
        <w:t xml:space="preserve"> del EAC y 127 RPC, la proposición de ley elaborada por la ponencia conjunta requerirá, para su aprobación, el voto favorable de la mayoría absoluta del Pleno, en una votación final sobre el conjunto del texto, sin que sea posible su aprobación en comisión (art. 133 RPC). Estos rigurosos requisitos de tramitación y aprobación sólo se justifican por razón de la materia que se pretende regular mediante este procedimiento especial (el desarrollo básico del Estatuto de autonomía de Cataluña) y coinciden con los que el Reglamento exige para “las iniciativas de reforma estatutaria” (art. 132 RPC).</w:t>
      </w:r>
    </w:p>
    <w:p w:rsidR="00A90898" w:rsidRDefault="00A90898" w:rsidP="00A90898">
      <w:pPr>
        <w:pStyle w:val="TextoNormal"/>
      </w:pPr>
    </w:p>
    <w:p w:rsidR="00A90898" w:rsidRDefault="00A90898" w:rsidP="00A90898">
      <w:pPr>
        <w:pStyle w:val="TextoNormal"/>
      </w:pPr>
      <w:r>
        <w:t xml:space="preserve">De lo dicho se deduce con claridad que para acudir al procedimiento legislativo especial que regula el art. 126 RPC, es requisito </w:t>
      </w:r>
      <w:r w:rsidRPr="00A90898">
        <w:rPr>
          <w:i/>
        </w:rPr>
        <w:t>sine qua non</w:t>
      </w:r>
      <w:r>
        <w:t xml:space="preserve"> (como apunta el Fiscal y también aducen los recurrentes), que la iniciativa se dirija a elaborar proposiciones de ley relativas “al desarrollo básico de lo establecido por el Estatuto de autonomía de Cataluña”, lo que nos remite al art. 62.2 EAC, con arreglo al cual son leyes de desarrollo básico del Estatuto “las que regulen directamente las materias mencionadas en los artículos 2.3, 6, 37.2, 56.2, 67.5, 68.3, 77.3, 79.3, 81.2 y 94.1 EAC”, lista de preceptos que configura claramente un </w:t>
      </w:r>
      <w:r w:rsidRPr="00A90898">
        <w:rPr>
          <w:i/>
        </w:rPr>
        <w:t>numerus clausus</w:t>
      </w:r>
      <w:r>
        <w:t xml:space="preserve"> y que se remiten a las siguientes materias: a los municipios, las veguerías, las comarcas y demás entes locales que integran el sistema institucional de la Generalidad (art. 2.3 EAC), a la lengua propia y oficiales de Cataluña (art. 6 EAC), a las garantías de los derechos estatutarios (art. 37.2 EAC), a la composición del Parlamento y régimen electoral (art. 56.2 EAC), al estatuto personal del Presidente o Presidenta de la Generalidad (art. 67.5 EAC), a la organización, el funcionamiento y las atribuciones del Gobierno de la Generalitat (art. 68.3 EAC), a la composición y el funcionamiento del Consejo de Garantías Estatutarias, el estatuto de sus miembros y los procedimientos relativos al ejercicio de sus funciones (art. 77.3 EAC), al estatuto personal del Síndic de Greuges, sus incompatibilidades, sus causas de cese, así como la organización y las atribuciones de la institución (art. 79.3 EAC), </w:t>
      </w:r>
      <w:r>
        <w:lastRenderedPageBreak/>
        <w:t>al estatuto personal, las incompatibilidades, las causas de cese, la organización y el funcionamiento de la Sindicatura de Cuentas (art. 81.2 EAC) y, finalmente, al régimen jurídico especial de Arán (art. 94.1 EAC).</w:t>
      </w:r>
    </w:p>
    <w:p w:rsidR="00A90898" w:rsidRDefault="00A90898" w:rsidP="00A90898">
      <w:pPr>
        <w:pStyle w:val="TextoNormal"/>
      </w:pPr>
    </w:p>
    <w:p w:rsidR="00A90898" w:rsidRDefault="00A90898" w:rsidP="00A90898">
      <w:pPr>
        <w:pStyle w:val="TextoNormal"/>
      </w:pPr>
      <w:r>
        <w:t>Asimismo, debemos reparar en el hecho de que no sólo se trata de una lista cerrada y taxativa de materias, sino que, además, del tenor literal del art. 62.2 EAC se desprende que sólo son leyes de desarrollo básico del Estatuto las que regulan “directamente” dichas materias, lo que excluye toda interpretación flexible o extensiva a la hora de calificar las iniciativas que se presenten bajo su cobertura y, correlativamente, al acordar la apertura del procedimiento legislativo especial previsto en el art. 126 RPC para su tramitación.</w:t>
      </w:r>
    </w:p>
    <w:p w:rsidR="00A90898" w:rsidRDefault="00A90898" w:rsidP="00A90898">
      <w:pPr>
        <w:pStyle w:val="TextoNormal"/>
      </w:pPr>
    </w:p>
    <w:p w:rsidR="00A90898" w:rsidRDefault="00A90898" w:rsidP="00A90898">
      <w:pPr>
        <w:pStyle w:val="TextoNormal"/>
      </w:pPr>
      <w:r w:rsidRPr="00A90898">
        <w:rPr>
          <w:rStyle w:val="NumeroAFNegritaCaracter"/>
        </w:rPr>
        <w:t>4</w:t>
      </w:r>
      <w:r>
        <w:t xml:space="preserve">. Debe anticiparse que no cabe apreciar </w:t>
      </w:r>
      <w:r w:rsidRPr="00A90898">
        <w:rPr>
          <w:i/>
        </w:rPr>
        <w:t>prima facie</w:t>
      </w:r>
      <w:r>
        <w:t xml:space="preserve"> la necesaria correspondencia “directa” entre las materias de desarrollo básico del Estatuto </w:t>
      </w:r>
      <w:r w:rsidRPr="00A90898">
        <w:rPr>
          <w:i/>
        </w:rPr>
        <w:t>ex</w:t>
      </w:r>
      <w:r>
        <w:t xml:space="preserve"> art. 62.2 EAC, y las materias respecto de las que se pretende elaborar tres proposiciones de ley utilizando el procedimiento especial previsto en el artículo 126 RPC, esto es, una proposición de ley integral de protección social catalana, una proposición de ley del régimen jurídico catalán y una proposición de ley de la Administración tributaria catalana. Ninguna de ellas se refiere a la regulación de las instituciones ya establecidas en el Estatuto de Autonomía que indica su art. 62.2 (Generalidad, Parlamento, Consejo de Garantías Estatutarias, Síndic de Greuges y Sindicatura de Cuentas); tampoco a la ordenación de los municipios, veguerías y comarcas de la propia Comunidad, ni a la organización territorial o administrativa de Arán. Es evidente, por lo demás, que cualquier institución u organización administrativa no recogida en el Estatuto de Autonomía de Cataluña, cuya creación pretendiera fraguarse bajo las proposiciones de ley que se anuncian, no podría responder a un “desarrollo básico” del propio Estatuto. En lo que hace, por otro lado, a las garantías de los derechos estatutarios, el art. 37.2 EAC prevé expresamente que con este fin se apruebe por ley la “Carta de los derechos y deberes de los ciudadanos de Cataluña”. Pero esta última tampoco es asumida por las tres iniciativas en examen, ni con ellas se pretende, en fin, la regulación de la lengua propia y oficiales de Cataluña, o la regulación del régimen electoral.</w:t>
      </w:r>
    </w:p>
    <w:p w:rsidR="00A90898" w:rsidRDefault="00A90898" w:rsidP="00A90898">
      <w:pPr>
        <w:pStyle w:val="TextoNormal"/>
      </w:pPr>
    </w:p>
    <w:p w:rsidR="00A90898" w:rsidRDefault="00A90898" w:rsidP="00A90898">
      <w:pPr>
        <w:pStyle w:val="TextoNormal"/>
      </w:pPr>
      <w:r>
        <w:t>Esa correspondencia no queda en modo alguno justificada por los dos grupos parlamentarios que firman la iniciativa, ni en su solicitud inicial, la cual se limita a decir que se cumple con lo establecido en el art. 126 RPC, ni en el posterior escrito de 29 de febrero, en el que formulaban alegaciones contrarias al Informe del Servicio Jurídico de la Cámara —favorable este último a una interpretación estricta de la norma—. De hecho, y como se expuso en el antecedente 2 c), de esta Sentencia, en tal escrito no se realiza ningún esfuerzo dialéctico por relacionar las tres proposiciones de ley con alguna de las materias sujetas al procedimiento especial, sino que se postula la aplicación de éste al margen del tenor literal de la norma (art. 126 RPC), únicamente porque así se habría hecho anteriormente con otras proposiciones de ley que, sin ninguna clase de acreditación, se relacionan sin más en un listado.</w:t>
      </w:r>
    </w:p>
    <w:p w:rsidR="00A90898" w:rsidRDefault="00A90898" w:rsidP="00A90898">
      <w:pPr>
        <w:pStyle w:val="TextoNormal"/>
      </w:pPr>
    </w:p>
    <w:p w:rsidR="00A90898" w:rsidRDefault="00A90898" w:rsidP="00A90898">
      <w:pPr>
        <w:pStyle w:val="TextoNormal"/>
      </w:pPr>
      <w:r>
        <w:t xml:space="preserve">A lo anterior se une que los acuerdos impugnados no contienen tampoco una argumentación de la Mesa dirigida a fundamentar la necesaria conexión material, tal y como exige el Reglamento, entre el objeto de dichas proposiciones de ley y las leyes de desarrollo básico del Estatuto. Al contrario, la Mesa, en su acuerdo de 8 de marzo de 2016, mediante el que desestimó la reconsideración solicitada por varios grupos parlamentarios, alude a una interpretación amplia, extensiva y flexible de dicho precepto, que va “más allá de su lectura </w:t>
      </w:r>
      <w:r>
        <w:lastRenderedPageBreak/>
        <w:t>estricta, formal y literal” para, a continuación, justificar su decisión en la existencia de un uso parlamentario que legitimaría la aplicación del art. 126 RPC para la tramitación de iniciativas legislativas que no se corresponden estrictamente con las materias propias del desarrollo básico del Estatuto de Autonomía.</w:t>
      </w:r>
    </w:p>
    <w:p w:rsidR="00A90898" w:rsidRDefault="00A90898" w:rsidP="00A90898">
      <w:pPr>
        <w:pStyle w:val="TextoNormal"/>
      </w:pPr>
    </w:p>
    <w:p w:rsidR="00A90898" w:rsidRDefault="00A90898" w:rsidP="00A90898">
      <w:pPr>
        <w:pStyle w:val="TextoNormal"/>
      </w:pPr>
      <w:r>
        <w:t>Tampoco los Letrados del Parlamento de Cataluña aportan ningún argumento de fondo para fundamentar la conexión material entre las tres solicitudes de creación de ponencias parlamentarias conjuntas y las leyes de desarrollo básico del Estatuto de Cataluña, sino que también se remiten a una legítima interpretación flexible del art. 126 RPC por parte de la Mesa y a la necesidad de que dicho órgano lleve a cabo un mero examen formal de los requisitos de admisibilidad de la iniciativa, insistiendo, asimismo, en el hecho de que en anteriores legislaturas se crearon ponencias redactoras conjuntas para la elaboración de proposiciones de ley que no estaban comprendidas en el ámbito material al que se refiere el art. 62.2 EAC.</w:t>
      </w:r>
    </w:p>
    <w:p w:rsidR="00A90898" w:rsidRDefault="00A90898" w:rsidP="00A90898">
      <w:pPr>
        <w:pStyle w:val="TextoNormal"/>
      </w:pPr>
    </w:p>
    <w:p w:rsidR="00A90898" w:rsidRDefault="00A90898" w:rsidP="00A90898">
      <w:pPr>
        <w:pStyle w:val="TextoNormal"/>
      </w:pPr>
      <w:r>
        <w:t>Pues bien, este Tribunal ha insistido repetidamente en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(STC 205/1990), esto es, examinar si la iniciativa cumple con los requisitos formales exigidos por la norma parlamentaria” (STC 10/2016, FJ 4), pero también hemos aclarado que, no obstante lo anterior, el Reglamento Parlamentario puede establecer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como es el caso de la calificación … de lo que han de considerarse mociones o interpelaciones, o con la iniciativa legislativa popular que tiene vedadas ciertas materias por imposición del art. 87.3 CE (SSTC 95/1994, 41/1995 y 124/1995; ATC 304/1996)” [STC 10/2016, de 1 de febrero, FJ 4].</w:t>
      </w:r>
    </w:p>
    <w:p w:rsidR="00A90898" w:rsidRDefault="00A90898" w:rsidP="00A90898">
      <w:pPr>
        <w:pStyle w:val="TextoNormal"/>
      </w:pPr>
    </w:p>
    <w:p w:rsidR="00A90898" w:rsidRDefault="00A90898" w:rsidP="00A90898">
      <w:pPr>
        <w:pStyle w:val="TextoNormal"/>
      </w:pPr>
      <w:r>
        <w:t>Esta doctrina ha de ser aplicada al caso que nos ocupa, toda vez que, tal examen material afecta al procedimiento legislativo especial que prevé el art. 126 RPC para elaborar proyectos de ley que se refieren al desarrollo básico del Estatuto de Autonomía de Cataluña. Así, este Tribunal tiene declarado que las facultades de las Mesas “lo son sobre todo a efectos de controlar la regularidad jurídica y la viabilidad formal o procesal de las iniciativas presentadas, si bien pueden también extenderse, cuando así lo prevea el respectivo reglamento, a un examen material de aquéllas si tal delimitación sustantiva existe en el ordenamiento y ello a efectos de definir cuál sea el procedimiento parlamentario en cada caso idóneo para su tramitación (por todas, SSTC 1/2015, de 19 de enero, FJ 3, y 23/2015, de 16 de febrero, FJ 3)” [SSTC 107/2016, de 7 de junio, FJ 3, 108/2016, de 7 de junio, FJ 3, y 109/2016, de 7 de junio, FJ 4].</w:t>
      </w:r>
    </w:p>
    <w:p w:rsidR="00A90898" w:rsidRDefault="00A90898" w:rsidP="00A90898">
      <w:pPr>
        <w:pStyle w:val="TextoNormal"/>
      </w:pPr>
    </w:p>
    <w:p w:rsidR="00A90898" w:rsidRDefault="00A90898" w:rsidP="00A90898">
      <w:pPr>
        <w:pStyle w:val="TextoNormal"/>
      </w:pPr>
      <w:r>
        <w:t xml:space="preserve">De otro lado, los precedentes a los que aluden tanto los dos grupos proponentes de las tres iniciativas legislativas, como la Mesa, y la representación procesal de la Cámara, sólo han tenido lugar en el Parlamento Catalán, según se defiende, cuando se contó con el consenso de todos los grupos parlamentarios. No se ha acreditado en modo alguno, el empleo del cauce del art. 126 RPC para constituir una ponencia conjunta, relativa a proposiciones </w:t>
      </w:r>
      <w:r>
        <w:lastRenderedPageBreak/>
        <w:t>de ley sobre materias que no encajan en el ámbito material definido por el articulo 62.2 EAC, cuando los únicos grupos parlamentarios que la quieren constituir son los dos que promueven la iniciativa y cuando los demás grupos parlamentarios se oponen a ello. No hay base para fundar en esos precedentes, por tanto, un uso parlamentario con la fuerza jurídica que se pretende, pues una cosa es el eventual consenso de los grupos –aquí inexistente- para realizar una iniciativa legislativa conjunta, para lo que no es preciso siquiera que se trate de las materias del art. 62.2 EAC ni que se siga el procedimiento del art. 126 RPC, y otra muy distinta es que se inste a la apertura de este último, prescindiendo de la reserva material y requisitos estrictos que marcan los dos preceptos citados.</w:t>
      </w:r>
    </w:p>
    <w:p w:rsidR="00A90898" w:rsidRDefault="00A90898" w:rsidP="00A90898">
      <w:pPr>
        <w:pStyle w:val="TextoNormal"/>
      </w:pPr>
    </w:p>
    <w:p w:rsidR="00A90898" w:rsidRDefault="00A90898" w:rsidP="00A90898">
      <w:pPr>
        <w:pStyle w:val="TextoNormal"/>
      </w:pPr>
      <w:r>
        <w:t>Pero, además, incluso si hubiera podido hablarse de un auténtico uso parlamentario, no podemos olvidar que, como ha venido insistiendo este Tribunal: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 [STC 57/2011, de 3 de mayo, FJ 7].</w:t>
      </w:r>
    </w:p>
    <w:p w:rsidR="00A90898" w:rsidRDefault="00A90898" w:rsidP="00A90898">
      <w:pPr>
        <w:pStyle w:val="TextoNormal"/>
      </w:pPr>
    </w:p>
    <w:p w:rsidR="00A90898" w:rsidRDefault="00A90898" w:rsidP="00A90898">
      <w:pPr>
        <w:pStyle w:val="TextoNormal"/>
      </w:pPr>
      <w:r>
        <w:t>Por tanto, desde el control que puede desarrollar este Tribunal en esta jurisdicción de amparo parlamentario, debemos concluir que, en los acuerdos impugnados, la Mesa del Parlamento de Cataluña llevó a cabo una interpretación y aplicación del art. 126 RPC que se separa de los términos literales del mismo, de su finalidad (que es la de constituir un marco de trabajo conjunto de los grupos parlamentarios, en aras del consenso, para elaborar el texto de proposiciones de ley que se refieran de manera directa al desarrollo básico del Estatuto de Autonomía de Cataluña), y de los precedentes parlamentarios de la Cámara que se esgrimen a su favor.</w:t>
      </w:r>
    </w:p>
    <w:p w:rsidR="00A90898" w:rsidRDefault="00A90898" w:rsidP="00A90898">
      <w:pPr>
        <w:pStyle w:val="TextoNormal"/>
      </w:pPr>
    </w:p>
    <w:p w:rsidR="00A90898" w:rsidRDefault="00A90898" w:rsidP="00A90898">
      <w:pPr>
        <w:pStyle w:val="TextoNormal"/>
      </w:pPr>
      <w:r>
        <w:t>Resta analizar, a continuación, si tal proceder ha supuesto una vulneración del derecho a la iniciativa legislativa de los recurrentes, facultad que, como antes quedó expuesto, pertenece al núcleo esencial de la función representativa parlamentaria protegida por el art. 23.2 CE.</w:t>
      </w:r>
    </w:p>
    <w:p w:rsidR="00A90898" w:rsidRDefault="00A90898" w:rsidP="00A90898">
      <w:pPr>
        <w:pStyle w:val="TextoNormal"/>
      </w:pPr>
    </w:p>
    <w:p w:rsidR="00A90898" w:rsidRDefault="00A90898" w:rsidP="00A90898">
      <w:pPr>
        <w:pStyle w:val="TextoNormal"/>
      </w:pPr>
      <w:r w:rsidRPr="00A90898">
        <w:rPr>
          <w:rStyle w:val="NumeroAFNegritaCaracter"/>
        </w:rPr>
        <w:t>5</w:t>
      </w:r>
      <w:r>
        <w:t xml:space="preserve">. Como se ha expuesto en el fundamento jurídico 2 de esta Sentencia, este Tribunal ha precisado que no cualquier acto del órgano parlamentario que infrinja la legalidad del </w:t>
      </w:r>
      <w:r w:rsidRPr="00A9089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es, indudablemente, el ejercicio de la función legislativa y, dentro de esta función, el derecho de iniciativa legislativa, en los términos previstos en el Reglamento de la Cámara.</w:t>
      </w:r>
    </w:p>
    <w:p w:rsidR="00A90898" w:rsidRDefault="00A90898" w:rsidP="00A90898">
      <w:pPr>
        <w:pStyle w:val="TextoNormal"/>
      </w:pPr>
    </w:p>
    <w:p w:rsidR="00A90898" w:rsidRDefault="00A90898" w:rsidP="00A90898">
      <w:pPr>
        <w:pStyle w:val="TextoNormal"/>
      </w:pPr>
      <w:r>
        <w:t xml:space="preserve">La respuesta a la cuestión planteada, exige tomar en consideración las particularidades del procedimiento especial que ha sido abierto por los actos aquí recurridos. Tanto el Estatuto de Autonomía de Cataluña como el propio Reglamento del Parlamento de Cataluña contemplan en este caso varias restricciones al régimen ordinario de iniciativa legislativa y </w:t>
      </w:r>
      <w:r>
        <w:lastRenderedPageBreak/>
        <w:t>de tramitación de las proposiciones de ley a los miembros y grupos de la Cámara; restricciones que se justifican de manera extraordinaria, precisamente, por tratarse de leyes de desarrollo básico del Estatuto, cuya relevancia está reconocida por este último al margen del debate político. Se prevé por ello:</w:t>
      </w:r>
    </w:p>
    <w:p w:rsidR="00A90898" w:rsidRDefault="00A90898" w:rsidP="00A90898">
      <w:pPr>
        <w:pStyle w:val="TextoNormal"/>
      </w:pPr>
    </w:p>
    <w:p w:rsidR="00A90898" w:rsidRDefault="00A90898" w:rsidP="00A90898">
      <w:pPr>
        <w:pStyle w:val="TextoNormal"/>
      </w:pPr>
      <w:r>
        <w:t>i) Que una vez presentada la solicitud por dos grupos parlamentarios o por una quinta parte de los diputados, sin exigir por tanto unanimidad ni mayoría, la Mesa queda facultada, con el acuerdo de la Junta de Portavoces, para realizar el control formal y material que exige el art. 62.2 EAC y, siempre en el entendido de que tales requisitos se cumplen, acordar la constitución de la ponencia llamada a elaborar un texto con la respectiva proposición de ley; decisión que adopta la Mesa al margen de la voluntad que expresen los demás grupos y parlamentarios (art. 126.1 RPC).</w:t>
      </w:r>
    </w:p>
    <w:p w:rsidR="00A90898" w:rsidRDefault="00A90898" w:rsidP="00A90898">
      <w:pPr>
        <w:pStyle w:val="TextoNormal"/>
      </w:pPr>
    </w:p>
    <w:p w:rsidR="00A90898" w:rsidRDefault="00A90898" w:rsidP="00A90898">
      <w:pPr>
        <w:pStyle w:val="TextoNormal"/>
      </w:pPr>
      <w:r>
        <w:t>ii) Además, las comisiones legislativas permanentes, a las que el Pleno puede delegar la tramitación y aprobación de las iniciativas legislativas en el procedimiento ordinario, no pueden en cambio intervenir aquí (art. 62.3 EAC).</w:t>
      </w:r>
    </w:p>
    <w:p w:rsidR="00A90898" w:rsidRDefault="00A90898" w:rsidP="00A90898">
      <w:pPr>
        <w:pStyle w:val="TextoNormal"/>
      </w:pPr>
    </w:p>
    <w:p w:rsidR="00A90898" w:rsidRDefault="00A90898" w:rsidP="00A90898">
      <w:pPr>
        <w:pStyle w:val="TextoNormal"/>
      </w:pPr>
      <w:r>
        <w:t>iii) Por último, y prescindiendo de otras restricciones que en el presente supuesto tendrían menos virtualidad (como la prohibición de delegación legislativa al Gobierno, excepto para aprobar textos refundidos —art. 63.1 EAC— o la del dictado de decretos-leyes —art. 64.1 EAC—), el trabajo de la ponencia designada, que se extiende a un mínimo de tres meses con posibilidad de prórroga (art. 126.1 RPC), si acaba por traducirse en la presentación de una proposición de ley, exige para su aprobación el voto favorable de la mayoría absoluta del Pleno del Parlamento (arts. 62.1 EAC, 127.1 RPC). De no conseguirse supondría todavía la devolución del texto para la emisión de un nuevo dictamen y votación por el Pleno, en las mismas condiciones. La imposición de una mayoría absoluta, como ha recordado en ocasiones este Tribunal, supone la excepción en nuestro sistema parlamentario, pues “el procedimiento legislativo se ha ordenado con arreglo al denominado principio mayoritario que constituye una ‘afirmación del principio democrático, respecto del cual toda mayoría cualificada … debe mantenerse en términos de excepción a la regla’ (STC 212/1996, de 19 de diciembre, FJ 11), al ser excepcional ‘la exigencia de mayoría absoluta y no la simple para su votación y decisión parlamentaria’ [SSTC 160/1987, de 27 de octubre, FJ 2, y 127/1994, de 5 de mayo, FJ 3 A)]” [STC 136/2011, de 13 de septiembre, FJ 5].</w:t>
      </w:r>
    </w:p>
    <w:p w:rsidR="00A90898" w:rsidRDefault="00A90898" w:rsidP="00A90898">
      <w:pPr>
        <w:pStyle w:val="TextoNormal"/>
      </w:pPr>
    </w:p>
    <w:p w:rsidR="00A90898" w:rsidRDefault="00A90898" w:rsidP="00A90898">
      <w:pPr>
        <w:pStyle w:val="TextoNormal"/>
      </w:pPr>
      <w:r>
        <w:t xml:space="preserve">Así, una vez constatado que los acuerdos impugnados desbordan el objeto, función y finalidad de la especialidad establecida en el procedimiento legislativo por el art. 126 RPC, debemos concluir que, además, en este caso, dichos acuerdos vulneran el derecho fundamental invocado por los recurrentes (art. 23.2 CE), pues se trata de actos de la Mesa relativos a la tramitación de tres iniciativas legislativas conjuntas que imponen a los recurrentes su participación en una ponencia en la que no quieren integrarse. Los recurrentes ven afectada su libertad de iniciativa legislativa, se insiste, al verse forzados en contra de lo expresamente previsto en el Estatuto de Autonomía y en el Reglamento parlamentario, a formar parte de un procedimiento legislativo especial que no promueven, que les obliga a participar en tres ponencias redactoras cuyo objeto no comparten porque no corresponden al cauce legalmente previsto, y cuya actividad parlamentaria se ve restringida, como se ha dicho ya, en todas las fases del procedimiento, incluyendo la de su aprobación definitiva, sin que concurran los presupuestos que legitimen dicha restricción. Su actuación imperativa se traduce, </w:t>
      </w:r>
      <w:r>
        <w:lastRenderedPageBreak/>
        <w:t>en expresión de nuestra doctrina ya citada antes, en una perturbación en el libre e igual ejercicio de su cargo público (STC 10/2016, FJ 4).</w:t>
      </w:r>
    </w:p>
    <w:p w:rsidR="00A90898" w:rsidRDefault="00A90898" w:rsidP="00A90898">
      <w:pPr>
        <w:pStyle w:val="TextoNormal"/>
      </w:pPr>
    </w:p>
    <w:p w:rsidR="00A90898" w:rsidRDefault="00A90898" w:rsidP="00A90898">
      <w:pPr>
        <w:pStyle w:val="TextoNormal"/>
      </w:pPr>
      <w:r>
        <w:t xml:space="preserve">Tal vulneración a su derecho fundamental no queda salvada, como aducen los Letrados del Parlamento de Cataluña, por las actuaciones de facto a las que, se sugiere, podría acudir el grupo parlamentario disconforme, como la de no nombrar a un representante para la ponencia conjunta, o no asistir a las sesiones de trabajo de esta última, acciones que no serían la expresión correcta del </w:t>
      </w:r>
      <w:r w:rsidRPr="00A90898">
        <w:rPr>
          <w:i/>
        </w:rPr>
        <w:t>ius in officium</w:t>
      </w:r>
      <w:r>
        <w:t xml:space="preserve"> que cabe esperar de todos los miembros de la Cámara, sino más bien la inadecuada invitación a su no ejercicio. Tampoco, en fin, la solución consiste en recordar que se puede votar en contra del informe de la ponencia, lo que no hace sino certificar la inutilidad de todo el procedimiento.</w:t>
      </w:r>
    </w:p>
    <w:p w:rsidR="00A90898" w:rsidRDefault="00A90898" w:rsidP="00A90898">
      <w:pPr>
        <w:pStyle w:val="TextoNormal"/>
      </w:pPr>
    </w:p>
    <w:p w:rsidR="00A90898" w:rsidRDefault="00A90898" w:rsidP="00A90898">
      <w:pPr>
        <w:pStyle w:val="TextoNormal"/>
      </w:pPr>
      <w:r>
        <w:t>Por otra parte, es importante señalar que la iniciativa legislativa de los dos grupos promotores de las tres proposiciones de ley (Junts pel Sí y la Candidatura d’Unitat Popular-Crida Constituent) no quedaría negativamente afectada por una decisión de la Mesa del Parlamento contraria a su tramitación por la vía de la concreta especialidad prevista en el art. 126 RPC, pues los grupos proponentes mantienen la posibilidad de ejercer su iniciativa legislativa en forma de proposición de ley por la vía ordinaria y, además, pueden hacerlo conjuntamente, si esta es su voluntad. La especialidad de tramitación del art. 126 RPC no se configura como la única forma de tramitación a la que forzosamente hay que acudir para legislar sobre desarrollo básico del Estatuto de Autonomía de Cataluña, tal y como se desprende de su inciso: “sin perjuicio del régimen general de la iniciativa legislativa establecido por el art. 109”.</w:t>
      </w:r>
    </w:p>
    <w:p w:rsidR="00A90898" w:rsidRDefault="00A90898" w:rsidP="00A90898">
      <w:pPr>
        <w:pStyle w:val="TextoNormal"/>
      </w:pPr>
    </w:p>
    <w:p w:rsidR="00A90898" w:rsidRDefault="00A90898" w:rsidP="00A90898">
      <w:pPr>
        <w:pStyle w:val="TextoNormal"/>
      </w:pPr>
      <w:r w:rsidRPr="00A90898">
        <w:rPr>
          <w:rStyle w:val="NumeroAFNegritaCaracter"/>
        </w:rPr>
        <w:t>6</w:t>
      </w:r>
      <w:r>
        <w:t>. En consecuencia, y de conformidad con los razonamientos precedentes, procede otorgar el amparo solicitado, toda vez que se ha vulnerado el derecho de iniciativa legislativa de los recurrentes, facultad que pertenece al núcleo de la función representativa parlamentaria (art. 23.2 CE), en relación con el derecho de los ciudadanos a participar en los asuntos públicos a través de sus representantes (art. 23.1 CE).</w:t>
      </w:r>
    </w:p>
    <w:p w:rsidR="00A90898" w:rsidRDefault="00A90898" w:rsidP="00A90898">
      <w:pPr>
        <w:pStyle w:val="TextoNormal"/>
      </w:pPr>
    </w:p>
    <w:p w:rsidR="00A90898" w:rsidRDefault="00A90898" w:rsidP="00A90898">
      <w:pPr>
        <w:pStyle w:val="TextoNormal"/>
      </w:pPr>
      <w:r>
        <w:t>Ello comporta, de acuerdo con lo dispuesto en el art. 55.1 LOTC, que restablezcamos a los recurrentes en la integridad del derecho fundamental vulnerado, anulando los acuerdos de la Mesa del Parlamento de Cataluña de 1 y de 8 de marzo de 2016, así como toda la tramitación parlamentaria derivada de tales acuerdos.</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el recurso de amparo interpuesto por los diputados del Grupo Parlamentario de Ciudadanos en el Parlamento de Cataluña y, en su virtud:</w:t>
      </w:r>
    </w:p>
    <w:p w:rsidR="00A90898" w:rsidRDefault="00A90898" w:rsidP="00A90898">
      <w:pPr>
        <w:pStyle w:val="TextoNormal"/>
      </w:pPr>
    </w:p>
    <w:p w:rsidR="00A90898" w:rsidRDefault="00A90898" w:rsidP="00A90898">
      <w:pPr>
        <w:pStyle w:val="TextoNormal"/>
      </w:pPr>
      <w:r>
        <w:lastRenderedPageBreak/>
        <w:t>1º Declarar que se ha vulnerado su derecho a ejercer las funciones representativas con los requisitos que señalan las leyes (art. 23.2 CE), en relación con el derecho de los ciudadanos a participar en los asunto públicos a través de sus representantes (art. 23.1 CE).</w:t>
      </w:r>
    </w:p>
    <w:p w:rsidR="00A90898" w:rsidRDefault="00A90898" w:rsidP="00A90898">
      <w:pPr>
        <w:pStyle w:val="TextoNormal"/>
      </w:pPr>
    </w:p>
    <w:p w:rsidR="00A90898" w:rsidRDefault="00A90898" w:rsidP="00A90898">
      <w:pPr>
        <w:pStyle w:val="TextoNormal"/>
      </w:pPr>
      <w:r>
        <w:t>2º Restablecer a los recurrente en su derecho y, a tal fin, declarar la nulidad de los acuerdos de la Mesa del Parlamento de Cataluña de 1 marzo de 2016 y de 8 de marzo de 2016, mediante los cuales el órgano rector de la cámara catalana calificó y admitió a trámite las solicitudes de puesta en marcha de tres ponencias redactoras conjuntas para elaborar el texto de tres proposiciones de ley, al amparo del art.126 RPC, así como toda la tramitación parlamentaria derivada de tales acuerdos.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diecinueve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5" w:name="SENTENCIA_2016_226"/>
      <w:r>
        <w:lastRenderedPageBreak/>
        <w:t>SENTENCIA 226/2016, de 22 de diciembre de 2016</w:t>
      </w:r>
    </w:p>
    <w:bookmarkEnd w:id="105"/>
    <w:p w:rsidR="00A90898" w:rsidRDefault="00A90898" w:rsidP="00A90898">
      <w:pPr>
        <w:pStyle w:val="TtuloResolucin"/>
      </w:pPr>
      <w:r>
        <w:t>Pleno</w:t>
      </w:r>
    </w:p>
    <w:p w:rsidR="00A90898" w:rsidRDefault="00A90898" w:rsidP="00A90898">
      <w:pPr>
        <w:pStyle w:val="TtuloBOE"/>
      </w:pPr>
      <w:r>
        <w:t>(BOE núm. 23, de 27 de enero de 2017)</w:t>
      </w:r>
    </w:p>
    <w:p w:rsidR="00A90898" w:rsidRDefault="00A90898" w:rsidP="00A90898">
      <w:pPr>
        <w:pStyle w:val="TextoNormalCentrado"/>
      </w:pPr>
      <w:r>
        <w:t>ECLI:ES:TC:2016:226</w:t>
      </w:r>
    </w:p>
    <w:p w:rsidR="00A90898" w:rsidRDefault="00A90898" w:rsidP="00A90898">
      <w:pPr>
        <w:pStyle w:val="TextoNormalCentrado"/>
      </w:pPr>
    </w:p>
    <w:p w:rsidR="00A90898" w:rsidRDefault="00A90898" w:rsidP="00A90898">
      <w:pPr>
        <w:pStyle w:val="SntesisDescriptiva"/>
      </w:pPr>
      <w:r>
        <w:t>Recurso de amparo 6237-2011. Promovido por doña Susana Pérez-Alonso García-Scheredre en relación con la Sentencia dictada por la Sala de lo Civil del Tribunal Supremo sobre sanción de suspensión temporal de militancia en el Partido Socialista Obrero Español.</w:t>
      </w:r>
    </w:p>
    <w:p w:rsidR="00A90898" w:rsidRDefault="00A90898" w:rsidP="00A90898">
      <w:pPr>
        <w:pStyle w:val="SntesisDescriptiva"/>
      </w:pPr>
    </w:p>
    <w:p w:rsidR="00A90898" w:rsidRDefault="00A90898" w:rsidP="00A90898">
      <w:pPr>
        <w:pStyle w:val="SntesisAnaltica"/>
      </w:pPr>
      <w:r>
        <w:t>Supuesta vulneración del derecho a la libertad de expresión: sanción disciplinaria impuesta por las manifestaciones efectuadas en un medio de comunicación que inducían a pensar que el partido político no respeta el mandato constitucional de organización y funcionamiento democrático. Voto particular.</w:t>
      </w:r>
    </w:p>
    <w:p w:rsidR="00A90898" w:rsidRDefault="00A90898" w:rsidP="00A90898">
      <w:pPr>
        <w:pStyle w:val="SntesisAnaltica"/>
      </w:pPr>
    </w:p>
    <w:p w:rsidR="00A90898" w:rsidRDefault="00A90898" w:rsidP="00A90898">
      <w:pPr>
        <w:pStyle w:val="Extracto"/>
      </w:pPr>
      <w:r>
        <w:t>1.</w:t>
      </w:r>
      <w:r>
        <w:tab/>
        <w:t>El partido político, al imponer a la recurrente la sanción de suspensión temporal de militancia, ejerció de forma legítima su potestad disciplinaria que se fundamenta en la facultad de autoorganización; tal ejercicio de su potestad sancionadora resulta acorde con el derecho de asociación al llevarse a cabo frente a un comportamiento que comprometía gravemente su imagen pública y las expectativas legítimas de respeto en el ejercicio de la crítica [FJ 10].</w:t>
      </w:r>
    </w:p>
    <w:p w:rsidR="00A90898" w:rsidRDefault="00A90898" w:rsidP="00A90898">
      <w:pPr>
        <w:pStyle w:val="Extracto"/>
      </w:pPr>
    </w:p>
    <w:p w:rsidR="00A90898" w:rsidRDefault="00A90898" w:rsidP="00A90898">
      <w:pPr>
        <w:pStyle w:val="Extracto"/>
      </w:pPr>
      <w:r>
        <w:t>2.</w:t>
      </w:r>
      <w:r>
        <w:tab/>
        <w:t>La intensidad de la crítica legítima no justifica que se utilicen expresiones que puedan legítimamente considerarse atentatorias contra la imagen externa del partido y de quienes lo dirigen, y que induzcan a la opinión pública a considerar que la propia organización no respeta el mandato constitucional de responder a una organización y funcionamiento democrático [FJ 10].</w:t>
      </w:r>
    </w:p>
    <w:p w:rsidR="00A90898" w:rsidRDefault="00A90898" w:rsidP="00A90898">
      <w:pPr>
        <w:pStyle w:val="Extracto"/>
      </w:pPr>
    </w:p>
    <w:p w:rsidR="00A90898" w:rsidRDefault="00A90898" w:rsidP="00A90898">
      <w:pPr>
        <w:pStyle w:val="Extracto"/>
      </w:pPr>
      <w:r>
        <w:t>3.</w:t>
      </w:r>
      <w:r>
        <w:tab/>
        <w:t>El control jurisdiccional de la actividad de los partidos políticos puede adentrarse en la ponderación de la conformidad constitucional de ciertas decisiones de la asociación que impliquen una injerencia en un derecho fundamental, en particular cuando se trata del ejercicio de la potestad disciplinaria y esta se proyecta a zonas de conflicto entre el derecho de asociación del partido y la libertad de expresión del afiliado, siendo ambos igualmente derechos fundamentales [FJ 8].</w:t>
      </w:r>
    </w:p>
    <w:p w:rsidR="00A90898" w:rsidRDefault="00A90898" w:rsidP="00A90898">
      <w:pPr>
        <w:pStyle w:val="Extracto"/>
      </w:pPr>
    </w:p>
    <w:p w:rsidR="00A90898" w:rsidRDefault="00A90898" w:rsidP="00A90898">
      <w:pPr>
        <w:pStyle w:val="Extracto"/>
      </w:pPr>
      <w:r>
        <w:t>4.</w:t>
      </w:r>
      <w:r>
        <w:tab/>
        <w:t>El juicio de ponderación que ha de llevarse a cabo en esta materia debe atender a los siguientes criterios o aspectos de la conducta objeto de sanción o restricción: el interés general o la relevancia pública de las manifestaciones exteriorizadas por el afiliado; la finalidad que anima las manifestaciones objeto de controversia; y la propia naturaleza de las manifestaciones en cuanto a su carácter ofensivo [FJ 5].</w:t>
      </w:r>
    </w:p>
    <w:p w:rsidR="00A90898" w:rsidRDefault="00A90898" w:rsidP="00A90898">
      <w:pPr>
        <w:pStyle w:val="Extracto"/>
      </w:pPr>
    </w:p>
    <w:p w:rsidR="00A90898" w:rsidRDefault="00A90898" w:rsidP="00A90898">
      <w:pPr>
        <w:pStyle w:val="Extracto"/>
      </w:pPr>
      <w:r>
        <w:t>5.</w:t>
      </w:r>
      <w:r>
        <w:tab/>
        <w:t>Doctrina sobre el derecho a la libertad de expresión (SSTC 139/2007 y 23/2010) [FFJJ 4, 5].</w:t>
      </w:r>
    </w:p>
    <w:p w:rsidR="00A90898" w:rsidRDefault="00A90898" w:rsidP="00A90898">
      <w:pPr>
        <w:pStyle w:val="Extracto"/>
      </w:pPr>
    </w:p>
    <w:p w:rsidR="00A90898" w:rsidRDefault="00A90898" w:rsidP="00A90898">
      <w:pPr>
        <w:pStyle w:val="Extracto"/>
      </w:pPr>
      <w:r>
        <w:t>6.</w:t>
      </w:r>
      <w:r>
        <w:tab/>
        <w:t>La Constitución, en su Título Preliminar, otorga una particular posición y relieve constitucional a los partidos políticos por la importancia decisiva que tales organizaciones están llamadas a desempeñar en las modernas democracias pluralistas, por la trascendencia política de sus funciones y por servir de cauce fundamental para la participación política (SSTC 3/1981y 48/2003) [FJ 6].</w:t>
      </w:r>
    </w:p>
    <w:p w:rsidR="00A90898" w:rsidRDefault="00A90898" w:rsidP="00A90898">
      <w:pPr>
        <w:pStyle w:val="Extracto"/>
      </w:pPr>
    </w:p>
    <w:p w:rsidR="00A90898" w:rsidRDefault="00A90898" w:rsidP="00A90898">
      <w:pPr>
        <w:pStyle w:val="Extracto"/>
      </w:pPr>
      <w:r>
        <w:t>7.</w:t>
      </w:r>
      <w:r>
        <w:tab/>
        <w:t>Este Tribunal entiende que es necesario aclarar su doctrina en relación con el ejercicio de derechos fundamentales por los integrantes de asociaciones como son los partidos políticos [FJ 3].</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compuesto por don Francisco Pérez de los Cobos Orihuel, Presidente, doña Adela Asua Batarrita, don Andrés Ollero Tassara, don Fernando Valdés Dal-Ré, don Juan José González Rivas, don Santiago Martínez-Vares García,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amparo avocado por el Pleno núm. 6237-2011, promovido por doña Susana Pérez-Alonso García-Scheredre, representada por la Procuradora de los Tribunales doña Isabel Covadonga Juliá Corujo y asistida por el Letrado don José Luis Lafuente, contra la Sentencia de la Sala Primera del Tribunal Supremo de 27 de septiembre de 2011, estimatoria del recurso de casación interpuesto por el Partido Socialista Obrero Español contra la Sentencia de la Sección Sexta de la Audiencia Provincial de Oviedo de 17 de diciembre de 2007 que, a su vez, estimó el recurso de apelación promovido por la actora contra la Sentencia del Juzgado de Primera Instancia núm. 4 de Oviedo de 30 de julio de 2007 (juicio ordinario núm. 596-2007), desestimatoria de la impugnación de la sanción de suspensión temporal de militancia impuesta por el citado partido. Ha sido parte el Partido Socialista Obrero Español, representado por el Procurador de los Tribunales don Roberto Granizo Palomeque y asistido por el Letrado don Francisco Alonso Díaz, y ha intervenido el Ministerio Fiscal. Ha sido Ponente la Magistrada doña Adela Asua Batarrita,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17 de noviembre de 2011, la Procuradora de los Tribunales doña Isabel Juliá Corujo, en nombre y representación de doña Susana Pérez-Alonso García-Scheredre, interpuso recurso de amparo contra la Sentencia de la Sala de lo Civil del Tribunal Supremo de 27 de septiembre de 2011, a la que se ha hecho referencia en el encabezamiento de esta Sentencia.</w:t>
      </w:r>
    </w:p>
    <w:p w:rsidR="00A90898" w:rsidRDefault="00A90898" w:rsidP="00A90898">
      <w:pPr>
        <w:pStyle w:val="TextoNormal"/>
      </w:pPr>
    </w:p>
    <w:p w:rsidR="00A90898" w:rsidRDefault="00A90898" w:rsidP="00A90898">
      <w:pPr>
        <w:pStyle w:val="TextoNormal"/>
      </w:pPr>
      <w:r w:rsidRPr="00A90898">
        <w:rPr>
          <w:rStyle w:val="NumeroAFNegritaCaracter"/>
        </w:rPr>
        <w:t>2</w:t>
      </w:r>
      <w:r>
        <w:t>. Los hechos de los que trae causa la demanda de amparo, relevantes para la resolución del caso son, en síntesis, los siguientes:</w:t>
      </w:r>
    </w:p>
    <w:p w:rsidR="00A90898" w:rsidRDefault="00A90898" w:rsidP="00A90898">
      <w:pPr>
        <w:pStyle w:val="TextoNormal"/>
      </w:pPr>
    </w:p>
    <w:p w:rsidR="00A90898" w:rsidRDefault="00A90898" w:rsidP="00A90898">
      <w:pPr>
        <w:pStyle w:val="TextoNormal"/>
      </w:pPr>
      <w:r>
        <w:lastRenderedPageBreak/>
        <w:t>a) El 27 de julio de 2006 la comisión ejecutiva regional de la federación socialista asturiana del Partido Socialista Obrero Español (PSOE) acordó solicitar a la comisión federal de listas del partido la suspensión del proceso de primarias para elegir al candidato a la alcaldía de Oviedo. La solicitud se plasmó en escrito de 1 de agosto de 2006, en el que se indicaban las razones que justificarían dicha excepción. La solicitud fue seguida de la publicación de diversos artículos y cartas al director en el diario La Nueva España mostrando su disconformidad con dicha decisión y criticándola. En concreto, la actora publicó una carta al director en el referido diario con fecha 9 de agosto de 2006, bajo el título “Escándalo innecesario en la AMSO”. La carta tenía el siguiente tenor:</w:t>
      </w:r>
    </w:p>
    <w:p w:rsidR="00A90898" w:rsidRDefault="00A90898" w:rsidP="00A90898">
      <w:pPr>
        <w:pStyle w:val="TextoNormal"/>
      </w:pPr>
    </w:p>
    <w:p w:rsidR="00A90898" w:rsidRDefault="00A90898" w:rsidP="00A90898">
      <w:pPr>
        <w:pStyle w:val="TextoNormal"/>
      </w:pPr>
      <w:r>
        <w:t>“Sería conveniente que algunos afiliados al PSOE repasasen las palabras de Rodríguez Ibarra en cuanto a la lealtad y la fidelidad. Al igual, les recomiendo que repasen las mías al respecto. Felipe González puede ser una buena guía de lo que expongo e incluso hasta el mismo Alfonso Guerra.</w:t>
      </w:r>
    </w:p>
    <w:p w:rsidR="00A90898" w:rsidRDefault="00A90898" w:rsidP="00A90898">
      <w:pPr>
        <w:pStyle w:val="TextoNormal"/>
      </w:pPr>
    </w:p>
    <w:p w:rsidR="00A90898" w:rsidRDefault="00A90898" w:rsidP="00A90898">
      <w:pPr>
        <w:pStyle w:val="TextoNormal"/>
      </w:pPr>
      <w:r>
        <w:t>Autoridad no va en contra de libertad. Son compatibles, pero de faltar autoridad moral, algo no cuadra...</w:t>
      </w:r>
    </w:p>
    <w:p w:rsidR="00A90898" w:rsidRDefault="00A90898" w:rsidP="00A90898">
      <w:pPr>
        <w:pStyle w:val="TextoNormal"/>
      </w:pPr>
    </w:p>
    <w:p w:rsidR="00A90898" w:rsidRDefault="00A90898" w:rsidP="00A90898">
      <w:pPr>
        <w:pStyle w:val="TextoNormal"/>
      </w:pPr>
      <w:r>
        <w:t>El espectáculo lamentable que se está dando desde el PSOE, desde sus órganos ejecutivos, hace sólo honor a una cosa, al ejecutar, en la acepción peor y metafórica que pueda darse a semejante término.</w:t>
      </w:r>
    </w:p>
    <w:p w:rsidR="00A90898" w:rsidRDefault="00A90898" w:rsidP="00A90898">
      <w:pPr>
        <w:pStyle w:val="TextoNormal"/>
      </w:pPr>
    </w:p>
    <w:p w:rsidR="00A90898" w:rsidRDefault="00A90898" w:rsidP="00A90898">
      <w:pPr>
        <w:pStyle w:val="TextoNormal"/>
      </w:pPr>
      <w:r>
        <w:t>Excepcionar dicen... Excepcionar llaman a quitar la libertad de expresión a los militantes de la AMSO, a montar un escándalo innecesario, a dejar aparcados a otros candidatos a los que les habría gustado presentarse a unas primarias, competencia sana.</w:t>
      </w:r>
    </w:p>
    <w:p w:rsidR="00A90898" w:rsidRDefault="00A90898" w:rsidP="00A90898">
      <w:pPr>
        <w:pStyle w:val="TextoNormal"/>
      </w:pPr>
    </w:p>
    <w:p w:rsidR="00A90898" w:rsidRDefault="00A90898" w:rsidP="00A90898">
      <w:pPr>
        <w:pStyle w:val="TextoNormal"/>
      </w:pPr>
      <w:r>
        <w:t>Los estados de excepción nacen del miedo, y aquí se huele el pavor. Se mata la libertad, se amenaza con expedientes y se hace flaco favor a la candidata impuesta por la FSA. A priori, esta militante es tan buena como cualquier otro, pero con la decisión tomada por la FSA, se ha devaluado a la candidata de manera notable. ¿Van a imponerle la lista? Los tambores de guerra vuelven a sonar en la AMSO, los teléfonos móviles y los ‘mails’ van cargados. ¿Era necesario montar este bochornoso espectáculo? Da la sensación de que a alguien le gusta que Gabino de Lorenzo se frote las manos al ver el gallinero socialista alborotado, esa sensación da. En política, la habilidad es una virtud. Cuando se carece de ella, mejor irse. Hace semanas que lo digo, por lealtad, fidelidad y disciplina al PSOE. Con las personas, en política, no tengo ninguna ni debo tenerla; en lo personal es diferente. No vivimos en el siglo XIX, ya no; el aparato no puede ni debe comerse al disidente. Ya no hay más gulag en Occidente que Guantánamo, al que he combatido sin desmayo. ¿Ahora vais a volver al pasado? No vamos a dejar que lo hagáis, ya no. Internet funciona, existen los móviles y la libertad avanza aun a pesar de las imposiciones.</w:t>
      </w:r>
    </w:p>
    <w:p w:rsidR="00A90898" w:rsidRDefault="00A90898" w:rsidP="00A90898">
      <w:pPr>
        <w:pStyle w:val="TextoNormal"/>
      </w:pPr>
    </w:p>
    <w:p w:rsidR="00A90898" w:rsidRDefault="00A90898" w:rsidP="00A90898">
      <w:pPr>
        <w:pStyle w:val="TextoNormal"/>
      </w:pPr>
      <w:r>
        <w:t>El pueblo tonto no es y se cansa de ir a trabajar a las 7 de la mañana, mientras ve como algunos no hacen nada más que pasear camino de los ayuntamientos y la Junta General para votar a mayor gloria de las multinacionales y las grandes fortunas que no del pueblo; cansado de la mala oposición, cansado del mal Gobierno está el pueblo. Ya no vivimos en el pasado, ya no. Habéis coronado de gloria y de votos a Gabino de Lorenzo, con esto le habéis dado más votos aún. No es fiel quien no habla, no es fiel quien no dice lo que opina...</w:t>
      </w:r>
    </w:p>
    <w:p w:rsidR="00A90898" w:rsidRDefault="00A90898" w:rsidP="00A90898">
      <w:pPr>
        <w:pStyle w:val="TextoNormal"/>
      </w:pPr>
    </w:p>
    <w:p w:rsidR="00A90898" w:rsidRDefault="00A90898" w:rsidP="00A90898">
      <w:pPr>
        <w:pStyle w:val="TextoNormal"/>
      </w:pPr>
      <w:r>
        <w:lastRenderedPageBreak/>
        <w:t>Si alguien piensa en poner una nota anónima diciendo que esto que expreso es fruto de no ser la candidata, me curo en salud volviendo a repetir que nunca quise serlo y renuncié a cualquier paso en ese sentido, por dos motivos: por falta de salud y por falta de interés. Yo siempre voy a ganar, nunca a perder. Así que apoyo a quienes se enfrenten a esta arbitraria, torpe y absurda decisión desde una ejecutiva que salió elegida de un Congreso en el que ahora muchos no vemos reflejado el resultado. Cuestión que he reiterado en la FSA, por escrito y por registro. Nunca se ha respondido. Los silencios están de más en democracia. Los silencios son cómplices del desastre.</w:t>
      </w:r>
    </w:p>
    <w:p w:rsidR="00A90898" w:rsidRDefault="00A90898" w:rsidP="00A90898">
      <w:pPr>
        <w:pStyle w:val="TextoNormal"/>
      </w:pPr>
    </w:p>
    <w:p w:rsidR="00A90898" w:rsidRDefault="00A90898" w:rsidP="00A90898">
      <w:pPr>
        <w:pStyle w:val="TextoNormal"/>
      </w:pPr>
      <w:r>
        <w:t>Está cansado el pueblo, estoy cansada yo, estamos cansándonos todos de que en nombre del PSOE hablen, digan y ejecuten cosas que nunca se nos plantearon a los militantes. Estamos cansados de ese patio de vecinos en que se convierte LA NUEVA ESPAÑA publicando esos artículos, desde el PSOE y desde el PP, en los que se amaga y no se da, en los que se habla de la vida personal y no de propuestas. Estamos cansados de ver cómo en las listas van personas que no tienen más oficio que el de tener la lengua muy marrón -permítaseme la grosería encubierta-. Queremos políticos de verdad, no verdulerías que poco o nada hacen por la comunidad, y el PP y el PSOE nos llenan el cerebro de escándalos, de palabras asquerosas lanzadas entre ellos. De programa, de calidad de vida, de calidad de edificación, de ayuda social a los enfermos, a los ancianos, de eso no leo nada ni de unos, ni de otros. Nos estamos cansando de ver cómo los pantalones vaqueros marcan lo que está claro que después no tienen. Al parecer, el voto fue por unanimidad, pues los que están en esa ejecutiva con mi apoyo y el de otros compañeros, que sepan que no nos representan, los pusimos ahí para defender la democracia, la honestidad y la libertad, incluido dentro del partido. Estamos cansados de mangantería, de gente que no trabaja y que su única aspiración es ir en la lista, en la que sea, sin que el resto sepamos qué valores los acompañan, qué méritos en la vida civil tienen. Ésa es la clave de muchas cosas: la vida civil, las organizaciones ciudadanas y el poco respeto que desde el aparato de los partidos se les demuestra. Las ejecutivas no están para demoler el pensamiento contrario a ellas -de nuevo Rodríguez Ibarra-, las ejecutivas son otra cosa que no están demostrando en este momento. Ahora más parecen garrapatas que quieren todo el poder, que quieren chupar la sangre del que se manifiesta en contra.</w:t>
      </w:r>
    </w:p>
    <w:p w:rsidR="00A90898" w:rsidRDefault="00A90898" w:rsidP="00A90898">
      <w:pPr>
        <w:pStyle w:val="TextoNormal"/>
      </w:pPr>
    </w:p>
    <w:p w:rsidR="00A90898" w:rsidRDefault="00A90898" w:rsidP="00A90898">
      <w:pPr>
        <w:pStyle w:val="TextoNormal"/>
      </w:pPr>
      <w:r>
        <w:t xml:space="preserve">La ejecutiva es otra cosa, no una máquina de arrasar compañeros e ideales. No confundáis esta carta abierta con falta de disciplina, que no lo es. Ahora, si queréis, podéis darme una dosis de disciplina inglesa, siempre podéis hacerlo. Pero no hablar, no decir lo que se siente, es muy poco socialista, y no se puede acallar la voz del disidente a base de abrir uno o cuarenta expedientes. Si expedientáis a un escritor, luchador por las libertades desde tiempos de la dictadura; si expedientáis a un candidato a la secretaría general del PSOE; si expedientáis a un escritor con miles de libros en la calle, traducido a varios idiomas, estudiado en universidades de USA, Canadá, etcétera, alguien cuyos libros están en todos los institutos Cervantes del mundo, alguien que salió a la calle a defender la paz en Irak, alguien que escribió el primer artículo pidiendo que al presidente Aznar se le juzgase en el TPI, alguien que combate la derecha económica y sus raíces profundas, alguien de quien nadie podrá decir jamás que se ha vendido, alguien que intenta desde siempre vivir como una auténtica socialista, entregando parte de sus ganancias al bien común, a los más necesitados; si expedientáis a alguien así, no podréis decir que es por falta de disciplina, se llama coherencia. ¿Vais a expedientarme por ser coherente? ¿Vais a expedientarme por decir que la ley de la memoria histórica se ha quedado corta, que hay que desenterrar a todos los muertos, sacarlos </w:t>
      </w:r>
      <w:r>
        <w:lastRenderedPageBreak/>
        <w:t>de las cunetas y darles digna sepultura? Eso sí, sin prohibir el 20-N en el Valle de los Caídos, que la libertad, guste o no, va en todas direcciones, y si los seguidores de Franco quieren ir, tienen derecho a hacerlo. Eso es la libertad, aceptar hasta lo que no gusta. ¿Vais a expedientarme por posicionarme junto a otros compañeros? ¿Por apoyarlos? ¿Vais a decir esa payasada de que hacer esto es hacer el juego a la derecha? ¿Vais a expedientar a quien pide calidad de vida para el necesitado en más de cinco idiomas? No puede haber expedientes por opinar, simplemente no puede haberlos. La discrepancia es enriquecedora y si no lo entendéis, quienes debéis iros sois vosotros.</w:t>
      </w:r>
    </w:p>
    <w:p w:rsidR="00A90898" w:rsidRDefault="00A90898" w:rsidP="00A90898">
      <w:pPr>
        <w:pStyle w:val="TextoNormal"/>
      </w:pPr>
    </w:p>
    <w:p w:rsidR="00A90898" w:rsidRDefault="00A90898" w:rsidP="00A90898">
      <w:pPr>
        <w:pStyle w:val="TextoNormal"/>
      </w:pPr>
      <w:r>
        <w:t>Catilina, Catilina... A mí la paciencia se me ha agotado hace tiempo.</w:t>
      </w:r>
    </w:p>
    <w:p w:rsidR="00A90898" w:rsidRDefault="00A90898" w:rsidP="00A90898">
      <w:pPr>
        <w:pStyle w:val="TextoNormal"/>
      </w:pPr>
    </w:p>
    <w:p w:rsidR="00A90898" w:rsidRDefault="00A90898" w:rsidP="00A90898">
      <w:pPr>
        <w:pStyle w:val="TextoNormal"/>
      </w:pPr>
      <w:r>
        <w:t>NOTA BENE: Es Catilina, no es que exista una candidata que se llame Catalina, que, dado el nivel de formación de algunos, puede que no lo entiendan...”</w:t>
      </w:r>
    </w:p>
    <w:p w:rsidR="00A90898" w:rsidRDefault="00A90898" w:rsidP="00A90898">
      <w:pPr>
        <w:pStyle w:val="TextoNormal"/>
      </w:pPr>
    </w:p>
    <w:p w:rsidR="00A90898" w:rsidRDefault="00A90898" w:rsidP="00A90898">
      <w:pPr>
        <w:pStyle w:val="TextoNormal"/>
      </w:pPr>
      <w:r>
        <w:t>b) Por resolución de 5 de septiembre de 2006 la comisión federal de listas del PSOE acordó suspender la celebración del proceso de elecciones primarias en relación con la selección de candidato a la alcaldía de Oviedo.</w:t>
      </w:r>
    </w:p>
    <w:p w:rsidR="00A90898" w:rsidRDefault="00A90898" w:rsidP="00A90898">
      <w:pPr>
        <w:pStyle w:val="TextoNormal"/>
      </w:pPr>
    </w:p>
    <w:p w:rsidR="00A90898" w:rsidRDefault="00A90898" w:rsidP="00A90898">
      <w:pPr>
        <w:pStyle w:val="TextoNormal"/>
      </w:pPr>
      <w:r>
        <w:t>c) A solicitud de la comisión ejecutiva regional de la federación socialista asturiana-PSOE, la comisión ejecutiva federal resolvió con fecha 11 de septiembre de 2006 delegar en dicha comisión ejecutiva regional la facultad de incoar y tramitar expediente disciplinario contra la demandante de amparo y otros nueve afiliados del partido como consecuencia de las publicaciones de críticas efectuadas por los mismos frente a la propuesta de suspender el proceso de primarias para la selección de candidato a la alcaldía de Oviedo. La resolución incluía la decisión de suspender cautelarmente a los referidos afiliados. Dicho acuerdo fue notificado a la actora mediante oficio de la secretaría de organización de la federación socialista asturiana de 12 de septiembre de 2006, indicándole que contra la resolución de iniciación del expediente sancionador cabía interponer recurso ante la comisión federal de ética y garantías en el plazo de diez días hábiles, así como la apertura de un plazo de cinco días para que los expedientados pudieran indicar los medios de prueba de que pretendieran valerse.</w:t>
      </w:r>
    </w:p>
    <w:p w:rsidR="00A90898" w:rsidRDefault="00A90898" w:rsidP="00A90898">
      <w:pPr>
        <w:pStyle w:val="TextoNormal"/>
      </w:pPr>
    </w:p>
    <w:p w:rsidR="00A90898" w:rsidRDefault="00A90898" w:rsidP="00A90898">
      <w:pPr>
        <w:pStyle w:val="TextoNormal"/>
      </w:pPr>
      <w:r>
        <w:t>d) El 23 de octubre de 2006 se publica en el diario La Nueva España una nueva carta de la recurrente titulada “La libertad no tiene fronteras ni espacios tasados”, en la que critica las declaraciones efectuadas a dicho diario por el miembro de la federación socialista asturiana don Alfredo Carreño sobre la sanción impuesta a unos militantes socialistas por opinar, manteniendo que nadie puede dictar dónde, cómo y cuándo se expresan los ciudadanos, los militantes o no de un partido. La carta finaliza en los siguientes términos: “¿Así que puedo hablar en una habitación, a la hora y día que tú me digas, Alfredo? Eres chistoso, francamente”.</w:t>
      </w:r>
    </w:p>
    <w:p w:rsidR="00A90898" w:rsidRDefault="00A90898" w:rsidP="00A90898">
      <w:pPr>
        <w:pStyle w:val="TextoNormal"/>
      </w:pPr>
    </w:p>
    <w:p w:rsidR="00A90898" w:rsidRDefault="00A90898" w:rsidP="00A90898">
      <w:pPr>
        <w:pStyle w:val="TextoNormal"/>
      </w:pPr>
      <w:r>
        <w:t>e) Una vez concluida la tramitación del expediente sancionador, por acuerdo de 16 de noviembre de 2006 la comisión ejecutiva federal del PSOE resolvió imponer a la actora la sanción de suspensión de militancia por veinte meses, en aplicación del art. 46 c) del Reglamento de afiliados y afiliadas, por la comisión de dos faltas muy graves, tipificadas en el artículo 44 i) (“menoscabar la imagen de los cargos públicos o instituciones socialistas”) y k) (“actuación en contra de acuerdos expresamente adoptados por los órganos de dirección del Partido”) del referido reglamento.</w:t>
      </w:r>
    </w:p>
    <w:p w:rsidR="00A90898" w:rsidRDefault="00A90898" w:rsidP="00A90898">
      <w:pPr>
        <w:pStyle w:val="TextoNormal"/>
      </w:pPr>
    </w:p>
    <w:p w:rsidR="00A90898" w:rsidRDefault="00A90898" w:rsidP="00A90898">
      <w:pPr>
        <w:pStyle w:val="TextoNormal"/>
      </w:pPr>
      <w:r>
        <w:t>f) Contra el citado acuerdo interpuso la actora recurso ante la comisión federal de ética y garantías, que fue desestimado por resolución de 27 de febrero de 2007, en la que se acordó declarar ajustada a derecho, en todos sus extremos, la resolución objeto de recurso, así como descontar de la sanción de suspensión de militancia impuesta cuatro meses y once días transcurridos desde la suspensión cautelar adoptada al incoarse el expediente de origen hasta la fecha de la propia resolución, ya cumplidos.</w:t>
      </w:r>
    </w:p>
    <w:p w:rsidR="00A90898" w:rsidRDefault="00A90898" w:rsidP="00A90898">
      <w:pPr>
        <w:pStyle w:val="TextoNormal"/>
      </w:pPr>
    </w:p>
    <w:p w:rsidR="00A90898" w:rsidRDefault="00A90898" w:rsidP="00A90898">
      <w:pPr>
        <w:pStyle w:val="TextoNormal"/>
      </w:pPr>
      <w:r>
        <w:t>g) La recurrente formuló demanda de juicio ordinario en materia de protección civil de los derechos fundamentales, aduciendo la lesión de su derecho a la libertad de expresión (art. 20 CE) producida en virtud de los acuerdos adoptados por la comisión ejecutiva regional de la federación socialista asturiana, de la comisión ejecutiva federal y de la comisión federal de ética y garantías del PSOE. La representación del PSOE defendió frente a ello la validez del acuerdo sancionador, argumentando que fue adoptado por el partido en cumplimiento de los estatutos que rigen su funcionamiento y que se debió a que la conducta de la actora menoscabó la imagen de los cargos públicos e instituciones socialistas y constituyó una actuación contraria a los acuerdos válidamente acordados por los órganos de dirección del partido, conductas éstas que son susceptibles de ser calificadas como faltas muy graves que conllevan, entre otras sanciones, la impuesta a la demandante.</w:t>
      </w:r>
    </w:p>
    <w:p w:rsidR="00A90898" w:rsidRDefault="00A90898" w:rsidP="00A90898">
      <w:pPr>
        <w:pStyle w:val="TextoNormal"/>
      </w:pPr>
    </w:p>
    <w:p w:rsidR="00A90898" w:rsidRDefault="00A90898" w:rsidP="00A90898">
      <w:pPr>
        <w:pStyle w:val="TextoNormal"/>
      </w:pPr>
      <w:r>
        <w:t>La demanda fue desestimada por la Sentencia del Juzgado de Primera Instancia núm. 4 de Oviedo de 30 de julio de 2007, en la que, tras valorar la prueba documental aportada, y, en especial, las manifestaciones contenidas en la carta al director publicada en el diario “La Nueva España” el 9 de agosto de 2006, y con invocación de las SSTC 85/1986, 218/1988, 2/1993 y 56/1995, afirma que la lectura de las cartas publicadas “permite concluir que la decisión del partido de sancionar a la demandante por entender que las manifestaciones contenidas en esos artículos de opinión menoscaban la imagen de los cargos públicos e instituciones socialistas y porque constituye una actuación contraria a un acuerdo adoptado válidamente por los órganos competentes del partido, no es en modo alguno arbitraria ni irrazonable. Y además las expresiones anteriormente reflejadas referidas a la ejecutiva regional y a otros militantes del PSOE menoscaban públicamente la imagen del partido y de los órganos del mismo, ya que, la demandante públicamente opina que los militantes del partido que aparecen en las listas electorales carecen de capacidad para ir en dichas listas”.</w:t>
      </w:r>
    </w:p>
    <w:p w:rsidR="00A90898" w:rsidRDefault="00A90898" w:rsidP="00A90898">
      <w:pPr>
        <w:pStyle w:val="TextoNormal"/>
      </w:pPr>
    </w:p>
    <w:p w:rsidR="00A90898" w:rsidRDefault="00A90898" w:rsidP="00A90898">
      <w:pPr>
        <w:pStyle w:val="TextoNormal"/>
      </w:pPr>
      <w:r>
        <w:t xml:space="preserve">Por otra parte, el órgano judicial añade que “este acuerdo sancionador no vulnera el derecho a la libertad de expresión, derecho que los propios Estatutos Federales reconocen a sus militantes, si bien, circunscribiéndolo al seno del Partido, esto es, se posibilita la total libertad de discusión interna y el derecho de crítica sobre posiciones políticas del propio partido y ajenas, mediante ‘la libre expresión oral o escrita y su libre comunicación dentro del Partido’ [artículo 7.1 d) de los Estatutos Federales], así como el derecho a realizar manifestaciones públicas, juicios de valor y expresión de opiniones pero con el límite del respeto a la dignidad de las personas y a las resoluciones y acuerdos adoptados por los Órganos del Partido [artículo 7.1 e) de los Estatutos Federales], de modo que se prevé que los militantes que falten al programa o a los acuerdos y resoluciones de la Organización, expresen públicamente sus opiniones en términos irresponsables o con deslealtad al Partido, o cometan actos de indisciplina puedan ser sancionados con medidas que pueden llegar a la expulsión (artículo 11 de los Estatutos Federales y 35 del Reglamento); y, como apunta la ya </w:t>
      </w:r>
      <w:r>
        <w:lastRenderedPageBreak/>
        <w:t>citada STC 56/1995, nada se opone al reconocimiento de un derecho a la libertad de expresión de los afiliados en el seno del partido político del que forman parte con los límites que puedan derivarse de las características de este tipo de asociaciones, que no son otros que los que el Partido demandado establece en su normativa interna a la que estaban sujetos los demandantes en cuanto militantes de dicha formación política”.</w:t>
      </w:r>
    </w:p>
    <w:p w:rsidR="00A90898" w:rsidRDefault="00A90898" w:rsidP="00A90898">
      <w:pPr>
        <w:pStyle w:val="TextoNormal"/>
      </w:pPr>
    </w:p>
    <w:p w:rsidR="00A90898" w:rsidRDefault="00A90898" w:rsidP="00A90898">
      <w:pPr>
        <w:pStyle w:val="TextoNormal"/>
      </w:pPr>
      <w:r>
        <w:t>h) Interpuesto recurso de apelación por la demandante, la Sección Sexta de la Audiencia Provincial de Oviedo lo estimó en la Sentencia de 17 de diciembre de 2007, declarando nulo el acuerdo de suspensión de militancia adoptado por la comisión ejecutiva federal del PSOE. La Sala entendió que la crítica enjuiciada no era constitutiva de ataque alguno a las personas, cuando menos de forma nominada, “pues las referencias se producen en un contexto generalizado y nunca personal, además de pretender corregir lo que se consideraba desacertado”, añadiendo que “tampoco lo es frente a una resolución de un acuerdo definitivo, dado que, como ya se indicó, estaba en proceso de formación. Es en este periodo donde esta Sala considera lícita la crítica, no sólo en el ámbito interno, sino también externo o público, con la finalidad de llegar al conocimiento de todos los asociados o a afiliados de Oviedo y Asturias, en cuanto interesados todos ellos en el entonces proceso electoral municipal, en el que la forma de elegir a los posibles candidatos tenía una innegable importancia. El mandato de un funcionamiento democrático, a que alude el citado art. 6 CE, obligaba a los órganos del partido demandado a extremar y favorecer el derecho a comunicar públicamente las opiniones, incluso las divergentes, para así poder adoptar una mejor solución al respecto. Por ello se considera que existió una exacerbación o exceso en el límite impuesto a la libertad de expresión de la demandante, teniendo en cuenta que una vez adoptado el acuerdo por la Comisión Federal de Listas, ninguna otra crítica pública se le conoce a la citada”.</w:t>
      </w:r>
    </w:p>
    <w:p w:rsidR="00A90898" w:rsidRDefault="00A90898" w:rsidP="00A90898">
      <w:pPr>
        <w:pStyle w:val="TextoNormal"/>
      </w:pPr>
    </w:p>
    <w:p w:rsidR="00A90898" w:rsidRDefault="00A90898" w:rsidP="00A90898">
      <w:pPr>
        <w:pStyle w:val="TextoNormal"/>
      </w:pPr>
      <w:r>
        <w:t xml:space="preserve">i) El PSOE promovió frente a la anterior resolución judicial recurso de casación, aduciendo infracción de los arts. 20.1 a) y 22.1 CE, en relación con el art. 6 CE. El recurso fue estimado por la Sentencia de la Sala de lo Civil del Tribunal Supremo de 27 de septiembre de 2011. Tras exponer la doctrina que debe presidir la ponderación de los dos derechos fundamentales en conflicto (libertad de expresión y derecho de asociación), recogiendo la extensión y límites de cada uno de ellos, así como los criterios que deben presidir la ponderación entre uno y otro, la Sentencia aplica dicha doctrina al caso enjuiciado, señalando que la información que servía de base al artículo de opinión enjuiciado tiene relevancia social, y que la consideración del principio de proporcionalidad en las expresiones utilizadas lleva, sin embargo, a revertir el juicio de ponderación que se realiza, entendiendo la Sala que se emplean términos que resultan objetivamente injuriosos y que no guardan relación directa con la crítica efectuada con un sentido objetivo de menosprecio. A su juicio, se trata de expresiones “susceptibles de provocar en los lectores una imagen distorsionada por las connotaciones negativas que las declaraciones en sí mismas conllevan, susceptibles de crear dudas específicas sobre la honorabilidad de los miembros de la ejecutiva al exponer que priorizan sus intereses particulares sobre los colectivos que representan”. Asimismo, la Sala entiende que no son objeto del proceso las hipotéticas trabas a la libertad de expresión de opiniones, ideas o pensamientos que pudieran haber sufrido los miembros del partido a lo largo del proceso que determinó la suspensión del proceso de primarias para la selección del candidato a la alcaldía de Oviedo, sino que la polémica “se centra en el acuerdo adoptado por la Comisión Ejecutiva Federal del PSOE acordando la suspensión de militancia por período de 20 meses a consecuencia de las opiniones proferidas por la demandante en un diario local consideradas contrarias a los estatutos del partido”. Y, desde esta perspectiva, </w:t>
      </w:r>
      <w:r>
        <w:lastRenderedPageBreak/>
        <w:t>afirma que “esta Sala no puede compartir el criterio seguido por la Audiencia Provincial en su resolución, por cuanto estima vulnerado el derecho del asociado al considerar que el acuerdo contra el que expresa la crítica no es tal, sino solamente una mera propuesta por depender su aceptación de la decisión del órgano competente para adoptarla, pues como se ha indicado este aspecto no ha sido objeto de denuncia, y, en todo caso, la libertad de expresión durante el proceso de adopción de la decisión no está exenta de límites [artículo 7 d) y e)]. Los acuerdos asociativos están sometidos al examen de su regularidad para la determinación del cumplimiento de las formalidades estatutarias que establezcan, en cuanto admisibles y lícitas, según el procedimiento interno para su adopción y su respeto a las normas legales y en consecuencia es evidente que la falta de infracción de dichas garantías provoca la estimación de las alegaciones del motivo y en consecuencia la revocación de la sentencia impugnada, pues el canon de enjuiciamiento no es la libre expresión de ideas, opiniones o pensamientos, sino la conformidad o no con las disposiciones legales -o estatutarias- que regulan las decisiones adoptadas”.</w:t>
      </w:r>
    </w:p>
    <w:p w:rsidR="00A90898" w:rsidRDefault="00A90898" w:rsidP="00A90898">
      <w:pPr>
        <w:pStyle w:val="TextoNormal"/>
      </w:pPr>
    </w:p>
    <w:p w:rsidR="00A90898" w:rsidRDefault="00A90898" w:rsidP="00A90898">
      <w:pPr>
        <w:pStyle w:val="TextoNormal"/>
      </w:pPr>
      <w:r w:rsidRPr="00A90898">
        <w:rPr>
          <w:rStyle w:val="NumeroAFNegritaCaracter"/>
        </w:rPr>
        <w:t>3</w:t>
      </w:r>
      <w:r>
        <w:t>. La demanda de amparo considera que se ha producido la lesión del derecho fundamental de la actora a la libertad de expresión consagrado en el art. 20.1 a) CE, al tiempo que se ha incurrido en un exceso interpretativo del art. 22.1 en relación con el art. 6, ambos de la Constitución, en cuanto al proceso y límites de autoorganización de los partidos políticos. Destaca, ante todo, que no existía un acuerdo adoptado frente al que el partido pudiera actuar, y que de la simple lectura de la carta en su totalidad se pueden distinguir dos partes: una primera, crítica frente al propio PSOE, y otra segunda, que se expresa en plural, y que es crítica frente a los partidos políticos en general o contra el sistema de partidos existente en el momento de la redacción del escrito. A partir de ello, considera que el Tribunal Supremo realizó una errónea ponderación de la libertad de expresión en su colisión con el derecho de asociación, pues reconoce como legítima la imposición de una sanción por actuación en contra de acuerdos que no habían sido adoptados aún y por considerar menoscabada la imagen de cargos públicos en base a candidaturas no oficialmente proclamadas y, en su caso, por expresar ácidas críticas contra las ejecutivas y los partidos en general.</w:t>
      </w:r>
    </w:p>
    <w:p w:rsidR="00A90898" w:rsidRDefault="00A90898" w:rsidP="00A90898">
      <w:pPr>
        <w:pStyle w:val="TextoNormal"/>
      </w:pPr>
    </w:p>
    <w:p w:rsidR="00A90898" w:rsidRDefault="00A90898" w:rsidP="00A90898">
      <w:pPr>
        <w:pStyle w:val="TextoNormal"/>
      </w:pPr>
      <w:r>
        <w:t>Teniendo en cuenta la sumisión de los partidos políticos al carácter democrático de su estructura interna y su funcionamiento, considera la demanda que es preciso determinar previamente si el acto disciplinario está o no fundado en motivos manifiestamente arbitrarios, y comprobar si existió una base razonable para que los órganos de la asociación tomasen la correspondiente decisión. En este sentido, lo primero que se advierte es la inexistencia de un ataque a un acuerdo democráticamente adoptado de excluir Oviedo de las primarias ante las elecciones locales. El otro motivo de sanción lo constituye el “menoscabo de la imagen de los cargos públicos o instituciones socialistas”, cuando las expresiones que se le achacan se encuentran en una parte del texto absolutamente general, que se manifiesta en un contexto de “enfado” contra el sistema de partidos, y en la que no existe una sola alusión personal, ni referida a órgano o institución concreta del PSOE, permitiendo crear dudas sobre los miembros de las ejecutivas de todos los partidos del sistema y no de la ejecutiva del PSOE asturiano. Por tanto, al no referirse a personas concretas, no es razonable la imposición de una sanción disciplinaria porque alguien pueda sentirse aludido por las críticas, de modo que el acto sancionador está fundado en motivos manifiestamente arbitrarios.</w:t>
      </w:r>
    </w:p>
    <w:p w:rsidR="00A90898" w:rsidRDefault="00A90898" w:rsidP="00A90898">
      <w:pPr>
        <w:pStyle w:val="TextoNormal"/>
      </w:pPr>
    </w:p>
    <w:p w:rsidR="00A90898" w:rsidRDefault="00A90898" w:rsidP="00A90898">
      <w:pPr>
        <w:pStyle w:val="TextoNormal"/>
      </w:pPr>
      <w:r>
        <w:lastRenderedPageBreak/>
        <w:t>Ciertamente, la Constitución no reconoce un derecho al insulto, según la doctrina constitucional, pero en este caso no han existido insultos porque no ha habido destinatarios personales o institucionales específicos, concretos y particulares, de las frases pretendidamente injuriosas, ya que las expresiones más duras se contienen en la parte genérica de la carta, esto es, en la opinión sobre los partidos políticos y los políticos en general, opinión compartida por los españoles. Se duda de que, como se dice en la Sentencia del Tribunal Supremo, llegando más allá del control de la razonabilidad de la sanción impuesta, las expresiones utilizadas fueran injuriosas y “susceptibles de provocar en los lectores una imagen distorsionada por las connotaciones negativas que las declaraciones en sí mismas conllevan, susceptibles de crear dudas específicas sobre la honorabilidad de los miembros de la ejecutiva”. En suma, no existiendo injuriado, no puede existir injuria, por lo que la sanción impuesta está fundada en motivos arbitrarios.</w:t>
      </w:r>
    </w:p>
    <w:p w:rsidR="00A90898" w:rsidRDefault="00A90898" w:rsidP="00A90898">
      <w:pPr>
        <w:pStyle w:val="TextoNormal"/>
      </w:pPr>
    </w:p>
    <w:p w:rsidR="00A90898" w:rsidRDefault="00A90898" w:rsidP="00A90898">
      <w:pPr>
        <w:pStyle w:val="TextoNormal"/>
      </w:pPr>
      <w:r>
        <w:t>En cuanto a la especial trascendencia constitucional del recurso, se afirma en la demanda que se plantea una nueva cuestión constitucional en cuanto a la relación entre los derechos constitucionales de la libertad de expresión y la libertad de asociación (art. 22.1 en relación con el art. 6 CE) y su posible colisión o conflicto en lo que se refiere a los límites a la capacidad autoorganizativa de los partidos políticos. A juicio de la demandante, el problema planteado trasciende del caso concreto al suscitar una cuestión jurídica relevante que, en orden a su aplicación práctica, tendrá unas consecuencias políticas de carácter general en todos aquellos procesos disciplinarios que surjan como consecuencia de las discrepancias críticas, en ejercicio del derecho a la libertad de expresión, en la confección de listas electorales. Y, en todo caso, se da la posibilidad de que el Tribunal Constitucional aclare su doctrina en relación con la consecuencias del ejercicio del derecho constitucional de asociación por parte de los partidos políticos, sobre la base de la exigencia constitucional de funcionamiento democrático, que han venido dibujándose en sentencias como las SSTC 218/1988 y 96/1994, que el Tribunal Supremo interpreta incorrectamente.</w:t>
      </w:r>
    </w:p>
    <w:p w:rsidR="00A90898" w:rsidRDefault="00A90898" w:rsidP="00A90898">
      <w:pPr>
        <w:pStyle w:val="TextoNormal"/>
      </w:pPr>
    </w:p>
    <w:p w:rsidR="00A90898" w:rsidRDefault="00A90898" w:rsidP="00A90898">
      <w:pPr>
        <w:pStyle w:val="TextoNormal"/>
      </w:pPr>
      <w:r>
        <w:t>La demanda concluye solicitando el reconocimiento del derecho de la actora al ejercicio de la libertad de expresión reconocida en el art. 20.1 a) y d) CE, materializado en la carta publicada en el diario “La Nueva España” el 9 de agosto de 2006, revocando la Sentencia del Tribunal Supremo y anulando la sanción impuesta a la actora.</w:t>
      </w:r>
    </w:p>
    <w:p w:rsidR="00A90898" w:rsidRDefault="00A90898" w:rsidP="00A90898">
      <w:pPr>
        <w:pStyle w:val="TextoNormal"/>
      </w:pPr>
    </w:p>
    <w:p w:rsidR="00A90898" w:rsidRDefault="00A90898" w:rsidP="00A90898">
      <w:pPr>
        <w:pStyle w:val="TextoNormal"/>
      </w:pPr>
      <w:r w:rsidRPr="00A90898">
        <w:rPr>
          <w:rStyle w:val="NumeroAFNegritaCaracter"/>
        </w:rPr>
        <w:t>4</w:t>
      </w:r>
      <w:r>
        <w:t>. Por medio de escrito presentado el 8 de mayo de 2012, la representación de la actora aportó la Sentencia de la Sala de lo Civil del Tribunal Supremo 269/2012, de 17 de abril de 2012, relativa al proceso paralelo al de la demandante de amparo, seguido frente a otros militantes críticos del PSOE local de Oviedo, sancionados también en la misma ocasión y fechas en que lo fue la recurrente, y que obtuvieron un pronunciamiento favorable, contrario al que es objeto del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t>5</w:t>
      </w:r>
      <w:r>
        <w:t>. Por escrito de 13 de febrero de 2013 la Magistrada doña Encarnación Roca Trías planteó su abstención en el presente recurso de amparo, al entender que concurría la causa del art. 219.11 de la Ley Orgánica del Poder Judicial (LOPJ), por haber formado parte de la Sala de lo Civil del Tribunal Supremo que dictó la Sentencia que aquí se impugna. Por el ATC 49/2013, de 25 de febrero, la Sala Segunda de este Tribunal acordó estimar justificada la abstención de la Magistrada doña Encarnación Roca Trías, apartándola definitivamente del conocimiento del recurso.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6</w:t>
      </w:r>
      <w:r>
        <w:t>. Mediante providencia de 14 de marzo de 2013 la Sala Segunda de este Tribunal acordó admitir a trámite el recurso de amparo, de conformidad con lo previsto en el art. 11.2 de la Ley Orgánica del Tribunal Constitucional (LOTC), y que, en aplicación del art. 51 LOTC, se requiriera a la Sala Primera del Tribunal Supremo y a la Sección Sexta de la Audiencia Provincial de Oviedo, a fin de que, en plazo que no excediera de diez días, remitieran certificación o fotocopia adverada de las actuaciones correspondientes, respectivamente, al recurso de casación núm. 805-2008 y al recurso de apelación núm. 501-2007. Igual comunicación se acordó dirigir al Juzgado de Primera Instancia núm. 4 de Oviedo, para que, en idéntico plazo, remitiera certificación o fotocopia adverada de las actuaciones correspondientes al juicio civil ordinario núm. 596-2007, debiendo previamente emplazarse a quienes hubieran sido parte en el procedimiento, salvo la parte recurrente en amparo, para que en el plazo de diez días pudieran comparecer en el recurso de amparo, si así lo deseaban.</w:t>
      </w:r>
    </w:p>
    <w:p w:rsidR="00A90898" w:rsidRDefault="00A90898" w:rsidP="00A90898">
      <w:pPr>
        <w:pStyle w:val="TextoNormal"/>
      </w:pPr>
    </w:p>
    <w:p w:rsidR="00A90898" w:rsidRDefault="00A90898" w:rsidP="00A90898">
      <w:pPr>
        <w:pStyle w:val="TextoNormal"/>
      </w:pPr>
      <w:r w:rsidRPr="00A90898">
        <w:rPr>
          <w:rStyle w:val="NumeroAFNegritaCaracter"/>
        </w:rPr>
        <w:t>7</w:t>
      </w:r>
      <w:r>
        <w:t>. Por escrito presentado el 4 de abril de 2013, el Procurador de los Tribunales don Roberto Granizo Palomeque se personó en el presente recurso de amparo en nombre y representación del Partido Socialista Obrero Español.</w:t>
      </w:r>
    </w:p>
    <w:p w:rsidR="00A90898" w:rsidRDefault="00A90898" w:rsidP="00A90898">
      <w:pPr>
        <w:pStyle w:val="TextoNormal"/>
      </w:pPr>
    </w:p>
    <w:p w:rsidR="00A90898" w:rsidRDefault="00A90898" w:rsidP="00A90898">
      <w:pPr>
        <w:pStyle w:val="TextoNormal"/>
      </w:pPr>
      <w:r w:rsidRPr="00A90898">
        <w:rPr>
          <w:rStyle w:val="NumeroAFNegritaCaracter"/>
        </w:rPr>
        <w:t>8</w:t>
      </w:r>
      <w:r>
        <w:t>. Mediante diligencia de ordenación de 22 de abril de 2013, se acordó tener por personado y parte en el procedimiento al Procurador de los Tribunales don Roberto Granizo Palomeque, en nombre y representación de Partido Socialista Obrero Español. Asimismo, se acordó dar vista de las actuaciones recibidas, por un plazo común de veinte días, a las partes personadas y al Ministerio Fiscal para que, de conformidad con el art. 52.1 LOTC, presentaran las alegaciones pertinentes, condicionado a que el Procurador de los Tribunales don Roberto Granizo Palomeque, en el plazo de diez días, acreditara la representación que afirmaba ostentar con escritura de poder original. Dicho requerimiento fue atendido mediante escrito presentado el 30 de abril de 2013.</w:t>
      </w:r>
    </w:p>
    <w:p w:rsidR="00A90898" w:rsidRDefault="00A90898" w:rsidP="00A90898">
      <w:pPr>
        <w:pStyle w:val="TextoNormal"/>
      </w:pPr>
    </w:p>
    <w:p w:rsidR="00A90898" w:rsidRDefault="00A90898" w:rsidP="00A90898">
      <w:pPr>
        <w:pStyle w:val="TextoNormal"/>
      </w:pPr>
      <w:r w:rsidRPr="00A90898">
        <w:rPr>
          <w:rStyle w:val="NumeroAFNegritaCaracter"/>
        </w:rPr>
        <w:t>9</w:t>
      </w:r>
      <w:r>
        <w:t xml:space="preserve">. Por medio de escrito registrado el 29 de mayo de 2013, la representación del Partido Socialista Obrero Español presentó sus alegaciones, en las que solicitó la inadmisión del recurso de amparo o, subsidiariamente, su desestimación. Tras la exposición de los antecedentes del caso, se aduce la inadmisibilidad del recurso por no haberse justificado en debida forma en la demanda la especial trascendencia constitucional del mismo, ya que se ha omitido en ella un razonamiento detallado y autónomo que justifique la existencia de una resolución en forma de sentencia sobre el problema que plantea. A juicio del representante del Partido Socialista Obrero Español, no existe, en contra de lo que se afirma por la parte contraria, una nueva cuestión constitucional derivada del caso de autos en cuanto a las relaciones o interferencias que presenta la libertad de expresión con sus propios límites y sus relaciones con la potestad organizativa de las asociaciones políticas, sin que se alcance a ver cuál sea la relevancia </w:t>
      </w:r>
      <w:r w:rsidRPr="00A90898">
        <w:rPr>
          <w:i/>
        </w:rPr>
        <w:t>ius fundamental</w:t>
      </w:r>
      <w:r>
        <w:t xml:space="preserve"> de la causa que se aparte de lo resuelto por el Tribunal Supremo sobre los hechos traídos a su conocimiento.</w:t>
      </w:r>
    </w:p>
    <w:p w:rsidR="00A90898" w:rsidRDefault="00A90898" w:rsidP="00A90898">
      <w:pPr>
        <w:pStyle w:val="TextoNormal"/>
      </w:pPr>
    </w:p>
    <w:p w:rsidR="00A90898" w:rsidRDefault="00A90898" w:rsidP="00A90898">
      <w:pPr>
        <w:pStyle w:val="TextoNormal"/>
      </w:pPr>
      <w:r>
        <w:t xml:space="preserve">En cuanto al fondo del asunto, se alega como primer motivo de oposición la correcta aplicación constitucional de los arts. 20 y 6 CE por la Sentencia del Tribunal Supremo, que habría resuelto la cuestión de fondo traída a su conocimiento con corrección y proporcionalidad. Se afirma en el escrito que la aplicación correcta de la libertad de expresión y de la capacidad organizativa con que cuentan los partidos políticos conduce a decretar que, en este caso, no se ha producido conculcación del derecho fundamental alegado, sin que la </w:t>
      </w:r>
      <w:r>
        <w:lastRenderedPageBreak/>
        <w:t>recurrente haya logrado discutir ni poner en entredicho el equilibrio o la ponderación de los derechos afectados que lleva a cabo el Tribunal Supremo. La actora pretende zafarse ahora de la rotundidad de las manifestaciones realizadas en la prensa regional, eludiendo la realidad de sus acciones y la concreta descripción de las palabras soeces y ofensivas dirigidas inequívocamente a los dirigentes de su partido en Oviedo, explícitas, penosas y diáfanas, no amparables ni encuadrables en una pretendida libertad de expresión, que no acoge un derecho a injuriar. La posible existencia de una fractura entre sociedad y política no otorga a la recurrente un derecho omnímodo a denigrar a sus compañeros de la agrupación municipal socialista ni a hacer públicos sus insultos en el medio de mayor tirada regional, provocando un daño concreto y objetivamente apreciable de sus legítimos intereses, consecuencia del escarnio general de la imagen y buen nombre del Partido Socialista de Oviedo. Y todo ello en las inmediaciones del proceso electoral municipal, siendo esa intención aviesa e infamante, no amparable por el precepto constitucional, pues la Constitución no reconoce el derecho al insulto. La voluntad de insultar es bien distinta de la que puede guiar la crítica legítima sobre un determinado proceso electoral interno, mientras que las expresiones utilizadas son susceptibles de provocar en los lectores una imagen distorsionada por las connotaciones negativas que las declaraciones en sí mismas conllevan, capaces de crear dudas específicas sobre la honorabilidad de los miembros de la ejecutiva. Aunque ahora afirme la demanda que tales insultos soeces se referían más bien a la clase política en general, se oculta capciosamente la evidencia de que las dos intervenciones periodísticas por las que la actora resultó sancionada se referían sin atisbo de duda a los miembros compañeros de ella que dirigían la comisión ejecutiva de la agrupación municipal del partido y a quienes con nombre y apellido formaban parte en ese momento de la dirección del mismo, así como hacia quien era propuesta candidata a la alcaldía de Oviedo por la dirección del partido.</w:t>
      </w:r>
    </w:p>
    <w:p w:rsidR="00A90898" w:rsidRDefault="00A90898" w:rsidP="00A90898">
      <w:pPr>
        <w:pStyle w:val="TextoNormal"/>
      </w:pPr>
    </w:p>
    <w:p w:rsidR="00A90898" w:rsidRDefault="00A90898" w:rsidP="00A90898">
      <w:pPr>
        <w:pStyle w:val="TextoNormal"/>
      </w:pPr>
      <w:r>
        <w:t xml:space="preserve">Se refiere a continuación el escrito a los criterios que deben presidir la labor de ponderación, teniendo en cuenta el peso relativo de los respectivos derechos fundamentales que entran en colisión, haciendo hincapié en que la libertad de expresión no puede prevalecer cuando se emplean frases y expresiones ultrajantes u ofensivas, sin relación con las ideas u opiniones que se expongan y que, en materia de expulsión de asociados, el derecho de asociación se ve unido a una serie de deberes cuyo incumplimiento puede dar lugar en el ámbito asociativo a la expulsión, limitándose en estos casos el control jurisdiccional a comprobar si existió una base razonable para la adopción de tal decisión. En el presente caso, a tenor de las circunstancias concurrentes, no es inconstitucional que la libertad de expresión sin tapujos de la recurrente pueda ser compatible con una reacción de suspensión temporal de militancia en términos disciplinarios, por ser evidente el calado injurioso de los artículos publicados en prensa con expresiones y comentarios de los cuales cualquier lector medio podía formarse una convicción negativa de las personas que dirigían el Partido Socialista en Oviedo. Con las referidas frases se menosprecia de forma indudable la honorabilidad, la honradez, la capacidad de gestión y trabajo y hasta las actitudes sexuales de los compañeros de partido a que alude públicamente, excediendo de lo que sería crítica admisible, por contener alusiones denigrantes y desproporcionadas, de carácter obsceno, soez, injurioso, insultante, infamante, irrespetuoso y despectivo. A la actora se le ha impuesto una consecuencia jurídica adecuada, prevista en los estatutos del Partido Socialista, proporcional y con pleno respeto a las garantías del procedimiento, por el hecho probado de insultar y menoscabar de forma insistente y repetida la imagen pública de compañeros de la ejecutiva del partido, a los que no ha guardado una mínima lealtad por respeto, comprometiendo los fines propios de la organización a la que pertenece, todo ello en el marco de la legalidad de la </w:t>
      </w:r>
      <w:r>
        <w:lastRenderedPageBreak/>
        <w:t>propia asociación política, y teniendo en cuenta que la pertenencia a un partido es una cuestión voluntaria que conlleva un compromiso con unos mínimos de respeto y de responsabilidad hacia la imagen pública de las personas que componen la ejecutiva.</w:t>
      </w:r>
    </w:p>
    <w:p w:rsidR="00A90898" w:rsidRDefault="00A90898" w:rsidP="00A90898">
      <w:pPr>
        <w:pStyle w:val="TextoNormal"/>
      </w:pPr>
    </w:p>
    <w:p w:rsidR="00A90898" w:rsidRDefault="00A90898" w:rsidP="00A90898">
      <w:pPr>
        <w:pStyle w:val="TextoNormal"/>
      </w:pPr>
      <w:r>
        <w:t xml:space="preserve">El otro motivo de oposición en cuanto al fondo frente al recurso de amparo defiende que no se puede resolver la controversia, como intentó hacer la Audiencia Provincial de Oviedo, sobre el análisis de la legalidad del contexto estatutario en que sucede la suspensión de militancia, ya que tal enfoque vulneraría el derecho fundamental de asociación en su vertiente de autoorganización (arts. 22 y 6 CE). Como el Tribunal Constitucional ha dicho, nada se opone al reconocimiento de un derecho a la libertad de expresión de los afiliados en el seno del partido político del que forman parte con los límites que puedan derivarse de las características de este tipo de asociaciones, y a la luz de dicha doctrina la libertad de expresión, predicada respecto de los sujetos afiliados a partidos políticos, al interpretarse o modularse teniendo en cuenta el derecho de asociación política reconocido en la Constitución, en su vertiente de derecho de autoorganización asociativa que garantiza un ámbito libre de interferencias de los poderes públicos en su organización y funcionamiento internos. En este contexto, ampliamente descrito por la Sentencia de primera instancia y por la del Tribunal Supremo, la cuestión pasa y termina por hacer un análisis ponderado del contenido de las manifestaciones públicas efectuadas por la recurrente en amparo, sobre su alcance, gravedad y trascendencia y, en consecuencia, sobre su encaje o amparo en la libertad de expresión de quien las profiere, de suerte que una vez leídas y comprendidas se hace necesario el reproche hacia su misma literalidad en términos que hicieron legítima la reacción disciplinaria por la que se acordó suspender a la militante en su día. Y esa dimensión objetiva no puede obviarse como </w:t>
      </w:r>
      <w:r w:rsidRPr="00A90898">
        <w:rPr>
          <w:i/>
        </w:rPr>
        <w:t>factum</w:t>
      </w:r>
      <w:r>
        <w:t xml:space="preserve"> inalterable que recogió el Tribunal Supremo: i) el contenido de las manifestaciones públicas vertidas por la demandante; ii) el alcance, trascendencia y gravedad de tales manifestaciones; iii) la ausencia de amparo de dichas manifestaciones en el derecho fundamental a la libertad de expresión; iv) la vulneración del derecho de asociación política (en su vertiente de derecho de autoorganización y autodisciplina y regulación de su funcionamiento interno) por tales manifestaciones. Basta releer las expresiones para comprobar que menoscaban fatalmente la imagen de los cargos públicos o instituciones socialistas, siendo inaceptable el argumento empleado por la recurrente de que tales expresiones se dirigían en abstracto a la clase política, cuando de la lectura cabal del artículo y del episodio que provocó su redacción es evidente que se refería a la ejecutiva del Partido Socialista de Oviedo, y a su entonces candidata a la alcaldía. En todo caso, lo que queda claro es que la libertad de expresión no es omnímoda, sino que está sujeta a límites, y, entre ellos, en el ámbito de las personas afiliadas a partidos políticos, los derivados de la autoorganización y disciplina interna de la propia asociación, cuya concreción corresponde a los Estatutos y normas de regulación interna de los mismos, por imperativo de la Constitución. Por todo ello, resulta indudable que la aplicación del ordenamiento jurídico al que aspira la recurrente en su demanda supondría una infracción patente del art. 22.1 CE, en relación con el art. 6 CE, pues supondría una injerencia intolerable respecto al derecho fundamental de asociación del Partido Socialista Obrero Español, que implica un menor grado de control por parte de los poderes públicos, de suerte que el control jurisdiccional de los acuerdos disciplinarios no permite entrar a valorar la conducta del militante con independencia del juicio realizado por los órganos asociativos, debiendo limitarse a comprobar si existió una base razonable para que los órganos estatutarios competentes tomasen la correspondiente decisión y si se respetó el procedimiento, no admitiendo dudas de que ello fue así, dada la mala imagen que las expresiones empleadas por la actora trasmiten del PSOE.</w:t>
      </w:r>
    </w:p>
    <w:p w:rsidR="00A90898" w:rsidRDefault="00A90898" w:rsidP="00A90898">
      <w:pPr>
        <w:pStyle w:val="TextoNormal"/>
      </w:pPr>
    </w:p>
    <w:p w:rsidR="00A90898" w:rsidRDefault="00A90898" w:rsidP="00A90898">
      <w:pPr>
        <w:pStyle w:val="TextoNormal"/>
      </w:pPr>
      <w:r w:rsidRPr="00A90898">
        <w:rPr>
          <w:rStyle w:val="NumeroAFNegritaCaracter"/>
        </w:rPr>
        <w:t>10</w:t>
      </w:r>
      <w:r>
        <w:t>. El Ministerio Fiscal presentó su escrito de alegaciones el 7 de junio de 2013, en el cual interesó la desestimación del recurso de amparo por entender que no se ha producido la vulneración del derecho fundamental alegado por la actora. Tras exponer los antecedentes del caso y la doctrina del Tribunal Constitucional en relación con sanciones impuestas a los miembros de una asociación y su posible revisión jurisdiccional, señala que no se puede desconocer que tanto la autoorganización como consecuencia del derecho de asociación (art. 22.1 CE) como, en alguna medida, el derecho a la libertad de expresión [art. 20.1 a) CE] han de entrar en la valoración de la conducta del partido político al sancionar y la del órgano judicial para calificar tal conducta como sancionable, habida cuenta de que el criterio de la base razonable impone la valoración de la carta al director publicada en el diario “La Nueva España”. El criterio sentado en la doctrina constitucional expuesta en supuestos de colisión de ambos derechos es el de que la potestad sancionadora se asiente en una base razonable, pues solo en el caso contrario cabría la corrección judicial, so pena de llegar al extremo de anular la potestad sancionadora de la asociación. En este sentido, alegada como fundamento de la demanda la salvaguarda de la libertad de expresión, procede que el Juzgador examine, una vez constatado el cumplimiento de las previsiones estatutarias en cuanto a la tramitación del procedimiento, la existencia de “base razonable de la sanción”, lo que obliga a examinar si el artículo periodístico contiene, por las expresiones usadas, esa base razonable para sancionar. Al hilo de ello, entiende el Fiscal que, de la lectura de la Sentencia del Tribunal Supremo, se colige que las expresiones empleadas por la demandante en su carta al director han sido correctamente evaluadas por el órgano judicial, en cuanto que de cada una de las frases y expresiones se desprende la denuncia descarnada de priorización de los intereses particulares a los públicos en las frases destacadas por la Sentencia. El Ministerio Fiscal entiende que no es asumible que ello sea, como se afirma en la demanda, un ataque a la generalidad del sistema de partidos y del funcionamiento de los mismos cuando la crítica se ejerce en un contexto determinado como lo es el de las elecciones primarias del PSOE, partido que, junto con sus dirigentes, debe considerarse especialmente aludido en las frases utilizadas, sin que por lo demás puedan tener efecto de justificación las excusas que por la recurrente se dan en la demanda de amparo, explicaciones no válidas para justificar un escrito objetivamente injurioso. Por ello, cobra realidad la frase constantemente utilizada por la jurisprudencia constitucional en el sentido de que la libre expresión de ideas, pensamientos y opiniones no autoriza los insultos habida cuenta de que el honor y la dignidad de las personas se hallan constitucionalmente protegidos.</w:t>
      </w:r>
    </w:p>
    <w:p w:rsidR="00A90898" w:rsidRDefault="00A90898" w:rsidP="00A90898">
      <w:pPr>
        <w:pStyle w:val="TextoNormal"/>
      </w:pPr>
    </w:p>
    <w:p w:rsidR="00A90898" w:rsidRDefault="00A90898" w:rsidP="00A90898">
      <w:pPr>
        <w:pStyle w:val="TextoNormal"/>
      </w:pPr>
      <w:r w:rsidRPr="00A90898">
        <w:rPr>
          <w:rStyle w:val="NumeroAFNegritaCaracter"/>
        </w:rPr>
        <w:t>11</w:t>
      </w:r>
      <w:r>
        <w:t>. Por escrito de 10 de mayo de 2016 el Magistrado don Juan Antonio Xiol Ríos planteó su abstención en el presente recurso de amparo, al entender que concurría la causa del art. 219.11 LOPJ, por haber formado parte de la Sala de lo Civil del Tribunal Supremo que dictó la Sentencia que aquí se impugna. Por Auto de 24 de mayo de 2016, el Pleno de este Tribunal acordó estimar justificada la abstención del Magistrado don Juan Antonio Xiol Ríos, apartándole definitivamente del conocimiento del recurso.</w:t>
      </w:r>
    </w:p>
    <w:p w:rsidR="00A90898" w:rsidRDefault="00A90898" w:rsidP="00A90898">
      <w:pPr>
        <w:pStyle w:val="TextoNormal"/>
      </w:pPr>
    </w:p>
    <w:p w:rsidR="00A90898" w:rsidRDefault="00A90898" w:rsidP="00A90898">
      <w:pPr>
        <w:pStyle w:val="TextoNormal"/>
      </w:pPr>
      <w:r w:rsidRPr="00A90898">
        <w:rPr>
          <w:rStyle w:val="NumeroAFNegritaCaracter"/>
        </w:rPr>
        <w:t>12</w:t>
      </w:r>
      <w:r>
        <w:t>. Por providencia de 24 de mayo de 2016 el Pleno de este Tribunal acordó, conforme con el art. 10.1 n) LOTC y a propuesta de la Sala Segunda, recabar para sí el conocimiento del presente recurso de amparo.</w:t>
      </w:r>
    </w:p>
    <w:p w:rsidR="00A90898" w:rsidRDefault="00A90898" w:rsidP="00A90898">
      <w:pPr>
        <w:pStyle w:val="TextoNormal"/>
      </w:pPr>
    </w:p>
    <w:p w:rsidR="00A90898" w:rsidRDefault="00A90898" w:rsidP="00A90898">
      <w:pPr>
        <w:pStyle w:val="TextoNormal"/>
      </w:pPr>
      <w:r w:rsidRPr="00A90898">
        <w:rPr>
          <w:rStyle w:val="NumeroAFNegritaCaracter"/>
        </w:rPr>
        <w:lastRenderedPageBreak/>
        <w:t>13</w:t>
      </w:r>
      <w:r>
        <w:t>. Por providencia de 20 de diciembre de 2016 se señaló para votación y fallo del presente recurso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presente recurso de amparo tiene por objeto la impugnación de la Sentencia de la Sala Primera del Tribunal Supremo, de 27 de septiembre de 2011, estimatoria del recurso de casación interpuesto por el Partido Socialista Obrero Español contra la Sentencia de la Sección Sexta de la Audiencia Provincial de Oviedo, de 17 de diciembre de 2007, estimatoria, a su vez, del recurso de apelación promovido por la actora contra la Sentencia del Juzgado de Primera Instancia núm. 4 de Oviedo de 30 de julio de 2007. En último término, la demanda se dirige también contra el acuerdo de 16 de noviembre de 2006 de la comisión ejecutiva federal del Partido Socialista Obrero Español (PSOE), que fue confirmado por las citadas resoluciones judiciales, y que resolvió imponer a la actora la sanción de suspensión de militancia por veinte meses, en aplicación del art. 46 c) del Reglamento de afiliados y afiliadas, entonces vigente, y ello como respuesta a la publicación de dos cartas al director de su autoría en el diario “La Nueva España”. En síntesis, la demandante de amparo estima que el ejercicio de la potestad disciplinaria por el mencionado partido, posteriormente confirmada en sede judicial, vulneró su derecho fundamental a la libertad de expresión.</w:t>
      </w:r>
    </w:p>
    <w:p w:rsidR="00A90898" w:rsidRDefault="00A90898" w:rsidP="00A90898">
      <w:pPr>
        <w:pStyle w:val="TextoNormal"/>
      </w:pPr>
    </w:p>
    <w:p w:rsidR="00A90898" w:rsidRDefault="00A90898" w:rsidP="00A90898">
      <w:pPr>
        <w:pStyle w:val="TextoNormal"/>
      </w:pPr>
      <w:r>
        <w:t>La representación del Partido Socialista Obrero Español ha solicitado la inadmisión del recurso por considerar que la actora no ha justificado en debida forma la especial trascendencia constitucional del recurso y, subsidiariamente, su desestimación por entender que la ponderación realizada por la Sentencia del Tribunal Supremo ha sido acorde con las exigencias de los arts. 22.1, en relación con el 6, y 20.1 a), todos ellos de la Constitución, dados los términos injuriosos contenidos en la primera de las cartas al director publicada por la actora. Idénticas razones sustentan la petición de desestimación del Ministerio Fiscal.</w:t>
      </w:r>
    </w:p>
    <w:p w:rsidR="00A90898" w:rsidRDefault="00A90898" w:rsidP="00A90898">
      <w:pPr>
        <w:pStyle w:val="TextoNormal"/>
      </w:pPr>
    </w:p>
    <w:p w:rsidR="00A90898" w:rsidRDefault="00A90898" w:rsidP="00A90898">
      <w:pPr>
        <w:pStyle w:val="TextoNormal"/>
      </w:pPr>
      <w:r w:rsidRPr="00A90898">
        <w:rPr>
          <w:rStyle w:val="NumeroAFNegritaCaracter"/>
        </w:rPr>
        <w:t>2</w:t>
      </w:r>
      <w:r>
        <w:t>. Antes de analizar el conflicto planteado en el presente recurso de amparo, es preciso dar respuesta al óbice procesal que aduce la parte demandada en su escrito de alegaciones.</w:t>
      </w:r>
    </w:p>
    <w:p w:rsidR="00A90898" w:rsidRDefault="00A90898" w:rsidP="00A90898">
      <w:pPr>
        <w:pStyle w:val="TextoNormal"/>
      </w:pPr>
    </w:p>
    <w:p w:rsidR="00A90898" w:rsidRDefault="00A90898" w:rsidP="00A90898">
      <w:pPr>
        <w:pStyle w:val="TextoNormal"/>
      </w:pPr>
      <w:r>
        <w:t xml:space="preserve">Frente a la consideración de que la demanda omite un razonamiento detallado y autónomo justificativo de la necesidad de una resolución en forma de sentencia sobre el problema que se plantea, el Tribunal constata que el escrito de interposición del recurso de amparo contiene un razonamiento específico y suficientemente desarrollado destinado a justificar la especial trascendencia constitucional del recurso. Los argumentos expuestos a este respecto por la recurrente de amparo, en un apartado específico de la demanda, giran en torno a la existencia de un problema constitucional sobre el que propone una reflexión del Tribunal Constitucional, poniendo de manifiesto la proyección y alcance político y social de la solución que se alcance y afirmando que el recurso plantea una cuestión nueva sobre la que el Tribunal Constitucional debe sentar doctrina y que versa sobre la relación entre la libertad de expresión y el derecho de asociación (art. 22.1 CE en relación con el art. 6 CE) y en la proyección que este derecho tiene sobre los límites a la capacidad autoorganizativa de los partidos políticos. En suma, la recurrente entiende, y así lo expone, que el recurso ofrece la posibilidad al Tribunal Constitucional de aclarar su doctrina en relación con las consecuencias asociadas al ejercicio del derecho constitucional de asociación por parte de los partidos políticos, razón de especial trascendencia constitucional a la que se añade la </w:t>
      </w:r>
      <w:r>
        <w:lastRenderedPageBreak/>
        <w:t>trascendencia general presentada por la cuestión, ya que la solución adoptada por el Tribunal podría tener consecuencias políticas de carácter general respecto de los procesos disciplinarios incoados contra los afiliados como consecuencia de las discrepancias críticas manifestadas respecto de la confección de listas electorales, en ejercicio de su libertad de expresión.</w:t>
      </w:r>
    </w:p>
    <w:p w:rsidR="00A90898" w:rsidRDefault="00A90898" w:rsidP="00A90898">
      <w:pPr>
        <w:pStyle w:val="TextoNormal"/>
      </w:pPr>
    </w:p>
    <w:p w:rsidR="00A90898" w:rsidRDefault="00A90898" w:rsidP="00A90898">
      <w:pPr>
        <w:pStyle w:val="TextoNormal"/>
      </w:pPr>
      <w:r>
        <w:t xml:space="preserve">Atendiendo a lo expuesto, y en la línea de la jurisprudencia que mantenemos de manera constante desde el ATC 188/2008, de 21 de julio, hasta pronunciamientos más recientes (SSTC 203/2015, de 5 de octubre; 160/2015, de 14 de julio; 145/2015, de 25 de junio; 124/2015, de 8 de junio; 87/2015, de 11 de mayo; 204/2014, de 15 de diciembre; 128/2014 y 126/2014, de 21 de julio, y 178/2012, de 15 de octubre, entre otras), cabe concluir que se ha cumplimentado por la parte recurrente “el razonable esfuerzo argumental que le compete en orden a enlazar las infracciones constitucionales denunciadas con alguno de los criterios establecidos en el art. 50.1 b) de la Ley Orgánica del Tribunal Constitucional,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 (STC 87/2015, FJ 3). Por tanto, el recurso de amparo cumple, además de los restantes requisitos procesales previstos en el art. 44 de la Ley Orgánica del Tribunal Constitucional (LOTC), la exigencia impuesta por el art. 49.1 </w:t>
      </w:r>
      <w:r w:rsidRPr="00A90898">
        <w:rPr>
          <w:i/>
        </w:rPr>
        <w:t>in fine</w:t>
      </w:r>
      <w:r>
        <w:t xml:space="preserve"> LOTC de justificar de manera expresa en la demanda de amparo la especial trascendencia constitucional del recurso.</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cumplimiento por la recurrente de la exigencia de justificar suficientemente que concurre en este caso una especial trascendencia constitucional traslada al Tribunal la necesidad de apreciarla, atendiendo a los criterios señalados por el art. 50.1 b) LOTC y desarrollados, de forma no exhaustiva ni excluyente, en la STC 155/2009, de 25 de junio. Desde la aprobación de esta sentencia, nuestra doctrina viene insistiendo en que corresponde al Tribunal Constitucional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(en este sentido, por todas, SSTC 183/2011, de 21 de noviembre, FJ 2, y 212/2013, de 18 de diciembre, FJ 2). Y lo hace </w:t>
      </w:r>
      <w:r w:rsidRPr="00A90898">
        <w:rPr>
          <w:i/>
        </w:rPr>
        <w:t>ad casum</w:t>
      </w:r>
      <w:r>
        <w:t>, teniendo un amplio margen decisorio a este respecto debido al carácter notablemente abierto e indeterminado, tanto de la noción de “especial trascendencia constitucional” como de los criterios legalmente establecidos para su apreciación (STC 77/2015, de 27 de abril, FJ 1, y jurisprudencia allí citada).</w:t>
      </w:r>
    </w:p>
    <w:p w:rsidR="00A90898" w:rsidRDefault="00A90898" w:rsidP="00A90898">
      <w:pPr>
        <w:pStyle w:val="TextoNormal"/>
      </w:pPr>
    </w:p>
    <w:p w:rsidR="00A90898" w:rsidRDefault="00A90898" w:rsidP="00A90898">
      <w:pPr>
        <w:pStyle w:val="TextoNormal"/>
      </w:pPr>
      <w:r>
        <w:t xml:space="preserve">Las razones que asisten al Tribunal para apreciar la especial trascendencia constitucional del recurso de amparo, como condición de admisibilidad del mismo, han de ser expresadas en el propio texto de la Sentencia, con el fin de garantizar una buena administración de justicia (STEDH asunto </w:t>
      </w:r>
      <w:r w:rsidRPr="00A90898">
        <w:rPr>
          <w:i/>
        </w:rPr>
        <w:t>Arribas Antón c. España</w:t>
      </w:r>
      <w:r>
        <w:t>, de 20 de enero de 2015, § 46) mediante la recognoscibilidad de los criterios de aplicación empleados al respecto (STC 9/2015, de 2 de febrero, FJ 3). Y en el recurso que se trae a nuestro conocimiento en este caso, este Tribunal entiende que es necesario aclarar su doctrina en relación con el ejercicio de derechos fundamentales por los integrantes de asociaciones como son, con todas las peculiaridades a las que nos referiremos más adelante, los partidos políticos.</w:t>
      </w:r>
    </w:p>
    <w:p w:rsidR="00A90898" w:rsidRDefault="00A90898" w:rsidP="00A90898">
      <w:pPr>
        <w:pStyle w:val="TextoNormal"/>
      </w:pPr>
    </w:p>
    <w:p w:rsidR="00A90898" w:rsidRDefault="00A90898" w:rsidP="00A90898">
      <w:pPr>
        <w:pStyle w:val="TextoNormal"/>
      </w:pPr>
      <w:r w:rsidRPr="00A90898">
        <w:rPr>
          <w:rStyle w:val="NumeroAFNegritaCaracter"/>
        </w:rPr>
        <w:t>4</w:t>
      </w:r>
      <w:r>
        <w:t>. Conviene realizar una serie de precisiones preliminares sobre el objeto del recurso y los derechos fundamentales en juego.</w:t>
      </w:r>
    </w:p>
    <w:p w:rsidR="00A90898" w:rsidRDefault="00A90898" w:rsidP="00A90898">
      <w:pPr>
        <w:pStyle w:val="TextoNormal"/>
      </w:pPr>
    </w:p>
    <w:p w:rsidR="00A90898" w:rsidRDefault="00A90898" w:rsidP="00A90898">
      <w:pPr>
        <w:pStyle w:val="TextoNormal"/>
      </w:pPr>
      <w:r>
        <w:t xml:space="preserve">a) Aunque la infracción de derechos fundamentales invocados tiene su origen en la actuación privada de un partido político que tiene la naturaleza de asociación </w:t>
      </w:r>
      <w:r w:rsidRPr="00A90898">
        <w:rPr>
          <w:i/>
        </w:rPr>
        <w:t>ex</w:t>
      </w:r>
      <w:r>
        <w:t xml:space="preserve"> art. 22 CE, dicha infracción también ha sido reprochada por la recurrente a los órganos judiciales, en la medida en que estos, y en particular el Juzgado de Primera Instancia núm. 4 de Oviedo así como la Sala de lo Civil del Tribunal Supremo, no la repararon al confirmar la sanción disciplinaria del partido. Por esa razón, el presente recurso de amparo tiene encaje en el art. 44 LOTC.</w:t>
      </w:r>
    </w:p>
    <w:p w:rsidR="00A90898" w:rsidRDefault="00A90898" w:rsidP="00A90898">
      <w:pPr>
        <w:pStyle w:val="TextoNormal"/>
      </w:pPr>
    </w:p>
    <w:p w:rsidR="00A90898" w:rsidRDefault="00A90898" w:rsidP="00A90898">
      <w:pPr>
        <w:pStyle w:val="TextoNormal"/>
      </w:pPr>
      <w:r>
        <w:t xml:space="preserve">b) Este recurso de amparo plantea un problema de posible injerencia en la libertad de expresión, aspecto distinto a la libertad para transmitir informaciones. La actividad de la recurrente en amparo que fue objeto de la sanción disciplinaria encaja perfectamente en la definición que nuestra doctrina formula del derecho a la libertad de expresión </w:t>
      </w:r>
      <w:r w:rsidRPr="00A90898">
        <w:rPr>
          <w:i/>
        </w:rPr>
        <w:t>ex</w:t>
      </w:r>
      <w:r>
        <w:t xml:space="preserve"> art. 20.1 a), es decir, “la emisión de pensamientos, ideas u opiniones, sin pretensión de sentar hechos o afirmar datos objetivos” (STC 139/2007, de 4 de junio, FJ 6), pues estamos ante una clara exteriorización de opiniones o ideas de quien es titular del derecho a la libertad de expresión. En definitiva, la apertura del expediente disciplinario y la imposición de la correspondiente sanción a la demandante de amparo —así como a otros nueve afiliados del partido cuya sanción, no obstante, fue posteriormente anulada por la Sentencia de 31 de julio de 2008 del Juzgado de Primera Instancia núm. 3 de Oviedo, anulación luego confirmada por la Sentencia del Tribunal Supremo 269/2012, de 11 de abril, que obra en autos— como consecuencia de sus manifestaciones críticas podrían constituir una injerencia en el ejercicio, por la recurrente, de su derecho a la libertad de expresión en el sentido del art. 20.1 a) CE.</w:t>
      </w:r>
    </w:p>
    <w:p w:rsidR="00A90898" w:rsidRDefault="00A90898" w:rsidP="00A90898">
      <w:pPr>
        <w:pStyle w:val="TextoNormal"/>
      </w:pPr>
    </w:p>
    <w:p w:rsidR="00A90898" w:rsidRDefault="00A90898" w:rsidP="00A90898">
      <w:pPr>
        <w:pStyle w:val="TextoNormal"/>
      </w:pPr>
      <w:r>
        <w:t>c) Si bien la libertad de expresión consagrada en el art. 20 CE es, como la mayor parte de los derechos fundamentales, preferentemente un derecho de garantía frente a los poderes públicos, su contenido se extiende también a las relaciones entre particulares y, por tanto, puede reivindicarse también frente a estos, aunque en ese ámbito el contenido y ejercicio del derecho se someta a unos límites específicos (STC 56/1995, de 6 de marzo, FJ 5, y jurisprudencia allí citada). Por tanto, en el presente asunto debemos resolver el conflicto entre los derechos de una persona física —la afiliada—, y los de una persona jurídica —el partido político—, teniendo en cuenta el reconocimiento constitucional tanto de la libertad de expresión como del derecho de asociación.</w:t>
      </w:r>
    </w:p>
    <w:p w:rsidR="00A90898" w:rsidRDefault="00A90898" w:rsidP="00A90898">
      <w:pPr>
        <w:pStyle w:val="TextoNormal"/>
      </w:pPr>
    </w:p>
    <w:p w:rsidR="00A90898" w:rsidRDefault="00A90898" w:rsidP="00A90898">
      <w:pPr>
        <w:pStyle w:val="TextoNormal"/>
      </w:pPr>
      <w:r>
        <w:t xml:space="preserve">d) La doctrina del Tribunal Constitucional ha tenido ocasión de definir el contenido y el alcance del derecho a la libertad de expresión en diversos escenarios, tal y como recordábamos, a modo de ejemplo, en la STC 187/2015, de 21 de septiembre. Sin embargo, en el presente caso se plantea la cuestión de si puede admitirse una constricción adicional al ejercicio de la libertad de expresión cuando se ejerce por una persona afiliada a un partido político manifestando opiniones que pueden considerarse contrarias a los intereses de la asociación política; constricción que se plasma en el ejercicio de la potestad disciplinaria que, conforme a los estatutos del partido, ostenta el partido político sobre los afiliados. La particularidad, en el presente supuesto, de la fijación de los límites a la libertad de expresión consiste en que quien sanciona se ampara a su vez en el ejercicio de un derecho fundamental, en concreto el derecho de asociación </w:t>
      </w:r>
      <w:r w:rsidRPr="00A90898">
        <w:rPr>
          <w:i/>
        </w:rPr>
        <w:t>ex</w:t>
      </w:r>
      <w:r>
        <w:t xml:space="preserve"> art. 22 CE, en el que se fundamenta una potestad disciplinaria vinculada a una extensa facultad de autoorganización.</w:t>
      </w:r>
    </w:p>
    <w:p w:rsidR="00A90898" w:rsidRDefault="00A90898" w:rsidP="00A90898">
      <w:pPr>
        <w:pStyle w:val="TextoNormal"/>
      </w:pPr>
    </w:p>
    <w:p w:rsidR="00A90898" w:rsidRDefault="00A90898" w:rsidP="00A90898">
      <w:pPr>
        <w:pStyle w:val="TextoNormal"/>
      </w:pPr>
      <w:r>
        <w:lastRenderedPageBreak/>
        <w:t>Por todo ello, para resolver el conflicto planteado es preciso definir tanto (i) el alcance genérico de la libertad de expresión y sus límites como (ii) el contenido del derecho de asociación del partido político, para poder (iii) definir posteriormente cuáles son las particularidades de la interacción entre estos dos derechos fundamentales. A ello dedicaremos los tres fundamentos jurídicos siguientes.</w:t>
      </w:r>
    </w:p>
    <w:p w:rsidR="00A90898" w:rsidRDefault="00A90898" w:rsidP="00A90898">
      <w:pPr>
        <w:pStyle w:val="TextoNormal"/>
      </w:pPr>
    </w:p>
    <w:p w:rsidR="00A90898" w:rsidRDefault="00A90898" w:rsidP="00A90898">
      <w:pPr>
        <w:pStyle w:val="TextoNormal"/>
      </w:pPr>
      <w:r w:rsidRPr="00A90898">
        <w:rPr>
          <w:rStyle w:val="NumeroAFNegritaCaracter"/>
        </w:rPr>
        <w:t>5</w:t>
      </w:r>
      <w:r>
        <w:t>. Como recordamos en la STC 23/2010, de 27 de abril, FJ 3, la libertad de expresión comprende, junto a la mera expresión de juicios de valor, la crítica de la conducta de otros, aun cuando la misma sea desabrida y pueda molestar, inquietar o disgustar a quien se dirige, pues así lo requieren el pluralismo, la tolerancia y el espíritu de apertura, sin los cuales no existe sociedad democrática. En el marco amplio que se otorga a la libertad de expresión quedan amparadas, según nuestra doctrina, “aquellas manifestaciones que, aunque afecten al honor ajeno, se revelen como necesarias para la exposición de ideas u opiniones de interés público” (por todas, SSTC 107/1988, de 8 de junio, FJ 4; 171/1990, de 12 de noviembre, FJ 10; 204/2001, de 15 de octubre, FJ 4, y 181/2006, de 19 de junio, FJ 5). Así, “el derecho a la libertad de expresión, al referirse a la formulación de ‘pensamientos, ideas y opiniones’, sin pretensión de sentar hechos o afirmar datos objetivos, dispone de un campo de acción que viene sólo delimitado por la ausencia de expresiones sin relación con las ideas u opiniones que se expongan y que resulten innecesarias para la exposición de las mismas” (STC 79/2014, de 28 de mayo, FJ 6 y jurisprudencia allí citada). Sin embargo, la Constitución no reconoce en modo alguno un pretendido derecho al insulto, de modo que no cabe utilizar, en ejercicio del derecho a la libertad de expresión constitucionalmente protegida, expresiones ‘formalmente injuriosas’ (SSTC 107/1988, de 8 de junio, FJ 4; 105/1990, de 6 de junio, FJ 8; 200/1998, de 14 de octubre, FJ 5, y 192/1999, de 25 de octubre, FJ 3), o ‘absolutamente vejatorias’ (SSTC 204/2001, de 15 de octubre, FJ 4; 174/2006, de 5 de junio, FJ 4, y 9/2007, de 15 de enero, FJ 4); es decir, quedan proscritas “aquellas que, dadas las concretas circunstancias del caso, y al margen de su veracidad o inveracidad, sean ofensivas u oprobiosas y resulten impertinentes para expresar las opiniones o informaciones de que se trate” (STC 41/2011, de 11 de abril, FJ 5, y jurisprudencia allí citada).</w:t>
      </w:r>
    </w:p>
    <w:p w:rsidR="00A90898" w:rsidRDefault="00A90898" w:rsidP="00A90898">
      <w:pPr>
        <w:pStyle w:val="TextoNormal"/>
      </w:pPr>
    </w:p>
    <w:p w:rsidR="00A90898" w:rsidRDefault="00A90898" w:rsidP="00A90898">
      <w:pPr>
        <w:pStyle w:val="TextoNormal"/>
      </w:pPr>
      <w:r>
        <w:t xml:space="preserve">También ha sido una constante de nuestra jurisprudencia señalar que no se trata solo de un derecho de libertad, que reclama la ausencia de interferencias o de intromisiones de las autoridades estatales en el proceso de comunicación, sino también de la garantía de una institución política fundamental, la opinión pública libre, indisolublemente ligada con el pluralismo político, que es un valor fundamental y un requisito del funcionamiento del Estado democrático (STC 12/1982, de 31 de marzo). Es decir, el art. 20 CE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235/2007, de 7 de noviembre, FJ 4, reiterada por la STC 79/2014, de 28 de mayo, FJ 6). En la misma línea se pronuncia la jurisprudencia del Tribunal Europeo de Derechos Humanos, desde la Sentencia en el asunto </w:t>
      </w:r>
      <w:r w:rsidRPr="00A90898">
        <w:rPr>
          <w:i/>
        </w:rPr>
        <w:t>Handyside c. Reino Unido</w:t>
      </w:r>
      <w:r>
        <w:t xml:space="preserve">, de 7 de diciembre de 1976, al afirmar que la libertad de expresión (art. 10.1 del Convenio europeo para la protección de los derechos humanos y de las libertades fundamentales: CEDH) constituye uno de los fundamentos esenciales de una sociedad </w:t>
      </w:r>
      <w:r>
        <w:lastRenderedPageBreak/>
        <w:t xml:space="preserve">democrática y una de las condiciones primordiales de su progreso (en el mismo sentido SSTEDH asunto </w:t>
      </w:r>
      <w:r w:rsidRPr="00A90898">
        <w:rPr>
          <w:i/>
        </w:rPr>
        <w:t>Castells c. España</w:t>
      </w:r>
      <w:r>
        <w:t xml:space="preserve">, de 23 de abril de 1992, § 42; asunto </w:t>
      </w:r>
      <w:r w:rsidRPr="00A90898">
        <w:rPr>
          <w:i/>
        </w:rPr>
        <w:t>Fuentes Bobo c. España</w:t>
      </w:r>
      <w:r>
        <w:t xml:space="preserve">, de 29 de febrero de 2000, § 43; asunto </w:t>
      </w:r>
      <w:r w:rsidRPr="00A90898">
        <w:rPr>
          <w:i/>
        </w:rPr>
        <w:t>Stoll c. Suiza</w:t>
      </w:r>
      <w:r>
        <w:t xml:space="preserve">, de 10 de diciembre de 2007, § 101; asunto </w:t>
      </w:r>
      <w:r w:rsidRPr="00A90898">
        <w:rPr>
          <w:i/>
        </w:rPr>
        <w:t>Movimiento raeliano suizo c. Suiza</w:t>
      </w:r>
      <w:r>
        <w:t xml:space="preserve">, de 13 de julio de 2012, § 48; y asunto </w:t>
      </w:r>
      <w:r w:rsidRPr="00A90898">
        <w:rPr>
          <w:i/>
        </w:rPr>
        <w:t>Morice c. Francia</w:t>
      </w:r>
      <w:r>
        <w:t>, de 23 de abril de 2015, § 124).</w:t>
      </w:r>
    </w:p>
    <w:p w:rsidR="00A90898" w:rsidRDefault="00A90898" w:rsidP="00A90898">
      <w:pPr>
        <w:pStyle w:val="TextoNormal"/>
      </w:pPr>
    </w:p>
    <w:p w:rsidR="00A90898" w:rsidRDefault="00A90898" w:rsidP="00A90898">
      <w:pPr>
        <w:pStyle w:val="TextoNormal"/>
      </w:pPr>
      <w:r>
        <w:t>Como el resto de derechos fundamentales, también el ejercicio de la libertad de expresión está sometido a límites constitucionales (STC 65/2015, de 13 de abril, FJ 3). Quedan extramuros de la protección que confiere el derecho las “frases y expresiones ultrajantes y ofensivas sin relación con las ideas u opiniones que se expongan, y por tanto, innecesarias a este propósito” (STC 23/2010, de 27 de abril, FJ 3). Pero, junto a ello, “la tendencia expansiva de la libertad de expresión encuentra también su límite en el respeto al contenido normativo garantizado por otros derechos fundamentales, cuya afectación no resulta necesaria para la realización constitucional del derecho. Como hemos señalado en ocasiones anteriores, el deslinde de la libertad de expresión no es nunca total y absoluto (por todas, STC 173/1995, de 21 de noviembre, FJ 3) y a menudo, la delimitación de su ámbito protegido sólo puede hacerse a partir de la de otros derechos fundamentales, aunque, eso sí, mediante la adecuada ponderación de los valores constitucionales enfrentados, entre los que destaca la garantía de la existencia de la opinión pública indisolublemente unida al pluralismo político” (STC 23/2010, FJ 3, y jurisprudencia allí citada).</w:t>
      </w:r>
    </w:p>
    <w:p w:rsidR="00A90898" w:rsidRDefault="00A90898" w:rsidP="00A90898">
      <w:pPr>
        <w:pStyle w:val="TextoNormal"/>
      </w:pPr>
    </w:p>
    <w:p w:rsidR="00A90898" w:rsidRDefault="00A90898" w:rsidP="00A90898">
      <w:pPr>
        <w:pStyle w:val="TextoNormal"/>
      </w:pPr>
      <w:r>
        <w:t xml:space="preserve">Más allá de estos límites, la jurisprudencia del Tribunal de Estrasburgo señala pautas sobre la base de lo previsto en el art. 10.2 CEDH, que parten de la idea fundamental de que la libertad de expresión constituye uno de los fundamentos esenciales de una sociedad democrática, una de las condiciones primordiales para su progreso y para el desarrollo de cada persona, por lo que, si bien dicha libertad está sujeta a excepciones, estas han de ser interpretadas de forma restrictiva (STEDH asunto </w:t>
      </w:r>
      <w:r w:rsidRPr="00A90898">
        <w:rPr>
          <w:i/>
        </w:rPr>
        <w:t>Stoll c. Suiza</w:t>
      </w:r>
      <w:r>
        <w:t xml:space="preserve">, de 10 de diciembre de 2007, § 101). No obstante, el Tribunal Europeo de Derechos Humanos declara que el art. 10.2 CEDH no deja apenas espacio para la restricción de la libertad de expresión en dos ámbitos específicos: el del discurso político y el de las cuestiones de interés general (STEDH asunto </w:t>
      </w:r>
      <w:r w:rsidRPr="00A90898">
        <w:rPr>
          <w:i/>
        </w:rPr>
        <w:t>Bédat c. Suiza</w:t>
      </w:r>
      <w:r>
        <w:t>, de 29 de marzo de 2016, § 49, y jurisprudencia allí citada).</w:t>
      </w:r>
    </w:p>
    <w:p w:rsidR="00A90898" w:rsidRDefault="00A90898" w:rsidP="00A90898">
      <w:pPr>
        <w:pStyle w:val="TextoNormal"/>
      </w:pPr>
    </w:p>
    <w:p w:rsidR="00A90898" w:rsidRDefault="00A90898" w:rsidP="00A90898">
      <w:pPr>
        <w:pStyle w:val="TextoNormal"/>
      </w:pPr>
      <w:r>
        <w:t>Como síntesis de nuestra abundante doctrina, el juicio de ponderación que ha de llevarse a cabo en esta materia debe atender a los siguientes criterios o aspectos de la conducta objeto de sanción o restricción: el interés general o la relevancia pública de las manifestaciones, expresiones o ideas exteriorizadas por el afiliado; la finalidad que anima las manifestaciones objeto de controversia, en particular si favorece el funcionamiento democrático de las asociaciones políticas; y la propia naturaleza de las manifestaciones en cuanto a su carácter ofensivo, aspecto que cobra mayor relevancia en ámbitos de relación entre particulares.</w:t>
      </w:r>
    </w:p>
    <w:p w:rsidR="00A90898" w:rsidRDefault="00A90898" w:rsidP="00A90898">
      <w:pPr>
        <w:pStyle w:val="TextoNormal"/>
      </w:pPr>
    </w:p>
    <w:p w:rsidR="00A90898" w:rsidRDefault="00A90898" w:rsidP="00A90898">
      <w:pPr>
        <w:pStyle w:val="TextoNormal"/>
      </w:pPr>
      <w:r w:rsidRPr="00A90898">
        <w:rPr>
          <w:rStyle w:val="NumeroAFNegritaCaracter"/>
        </w:rPr>
        <w:t>6</w:t>
      </w:r>
      <w:r>
        <w:t xml:space="preserve">. En cuanto al contenido del derecho de asociación en relación a un partido político, nuestra doctrina ha venido sosteniendo de forma constante que un partido político es una forma de asociación que se sitúa bajo las previsiones del art. 22 CE (STC 3/1981, de 2 de febrero, FJ 1), opción constitucional que traduce la voluntad “de asegurar el máximo de libertad e independencia de los partidos” garantizando un “menor grado de control y de intervención estatal sobre los mismos” (STC 85/1986, de 25 de junio, FJ 2, reiterado en la STC 48/2003, de 12 de marzo, FJ 5). Esta posición ha venido justificando, con carácter genérico, la autocontención de los órganos judiciales a la hora de juzgar la actividad interna </w:t>
      </w:r>
      <w:r>
        <w:lastRenderedPageBreak/>
        <w:t>de los partidos y las relaciones de estos con sus afiliados, y ha justificado también un control meramente formal de la potestad sancionadora de los partidos que conducía a excluir, como criterio general, un examen sobre el alcance de tal potestad sancionadora cuando la misma incidía en el ejercicio de los derechos de los afiliados, ya sean estatutarios, legales o incluso constitucionales.</w:t>
      </w:r>
    </w:p>
    <w:p w:rsidR="00A90898" w:rsidRDefault="00A90898" w:rsidP="00A90898">
      <w:pPr>
        <w:pStyle w:val="TextoNormal"/>
      </w:pPr>
    </w:p>
    <w:p w:rsidR="00A90898" w:rsidRDefault="00A90898" w:rsidP="00A90898">
      <w:pPr>
        <w:pStyle w:val="TextoNormal"/>
      </w:pPr>
      <w:r>
        <w:t>Ahora bien, la especial condición constitucional que el art. 6 CE confiere a los partidos políticos impide que puedan considerarse meras personas jurídico-privadas titulares del derecho de asociación contemplado en el art. 22 CE. Aun manteniendo, como hemos venido declarando hasta la fecha, que no existen modalidades diversas del derecho de asociación en función del tipo de asociaciones en que se concrete, no puede obviarse que la Constitución, en su título preliminar, otorga una particular posición y relieve constitucional a los partidos políticos por la importancia decisiva que tales organizaciones están llamadas a desempeñar en las modernas democracias pluralistas (STC 3/1981, de 2 de febrero, FJ 1), por la trascendencia política de sus funciones (concurrir a la formación y manifestación de la voluntad popular) y por servir de cauce fundamental para la participación política (STC 10/1983, de 21 de febrero de 1983, FJ 3, posteriormente reiterada en la STC 48/2003, de 12 de marzo, FJ 5). Por ello, “los arts. 6 y 22 deben interpretarse conjunta y sistemáticamente, sin separaciones artificiosas y, en consecuencia, debe reconocerse que el principio de organización y funcionamiento interno democrático y los derechos que de él derivan integran el contenido del derecho de asociación cuando éste opera sobre la variante asociativa de los partidos políticos” (STC 56/1995, FJ 3).</w:t>
      </w:r>
    </w:p>
    <w:p w:rsidR="00A90898" w:rsidRDefault="00A90898" w:rsidP="00A90898">
      <w:pPr>
        <w:pStyle w:val="TextoNormal"/>
      </w:pPr>
    </w:p>
    <w:p w:rsidR="00A90898" w:rsidRDefault="00A90898" w:rsidP="00A90898">
      <w:pPr>
        <w:pStyle w:val="TextoNormal"/>
      </w:pPr>
      <w:r>
        <w:t xml:space="preserve">Lo anterior supone que debe tenerse en cuenta el mandato constitucional “de que su estructura interna y funcionamiento deberán ser democráticos” (STC 3/1981, FJ 1) en todas las dimensiones del derecho de asociación, que se proyecta tanto en la libertad de creación de partidos políticos, como en el derecho de afiliación o no afiliación, y en la potestad de autoorganización, pero particularmente en esta última, de la que deriva la facultad de autorregulación expresada a través de la aprobación de estatutos propios y de reglamentos de funcionamiento interno, y de la que también emana la facultad disciplinaria </w:t>
      </w:r>
      <w:r w:rsidRPr="00A90898">
        <w:rPr>
          <w:i/>
        </w:rPr>
        <w:t>ad intra</w:t>
      </w:r>
      <w:r>
        <w:t xml:space="preserve"> del partido. La razón de ser de esta exigencia se recuerda en el fundamento jurídico 3 de la STC 56/1995: “difícilmente pueden los partidos ser cauces de manifestación de la voluntad popular e instrumentos de una participación en la gestión y control del Estado que no se agota en los procesos electorales, si sus estructuras y su funcionamiento son autocráticos. Los actores privilegiados del juego democrático deben respetar en su vida interna unos principios estructurales y funcionales democráticos mínimos al objeto de que pueda ‘manifestarse la voluntad popular y materializarse la participación’ en los órganos del Estado a los que esos partidos acceden (STC 75/1985)”.</w:t>
      </w:r>
    </w:p>
    <w:p w:rsidR="00A90898" w:rsidRDefault="00A90898" w:rsidP="00A90898">
      <w:pPr>
        <w:pStyle w:val="TextoNormal"/>
      </w:pPr>
    </w:p>
    <w:p w:rsidR="00A90898" w:rsidRDefault="00A90898" w:rsidP="00A90898">
      <w:pPr>
        <w:pStyle w:val="TextoNormal"/>
      </w:pPr>
      <w:r>
        <w:t>El mandato constitucional de funcionamiento democrático de los partidos políticos se traduce en el reconocimiento del derecho de los afiliados a la participación en su organización y funcionamiento, por lo que exige que se incluyan en los estatutos de los partidos, como mínimo, los derechos y deberes de los afiliados, de forma que se garantice su derecho a la participación tanto en la organización como en el funcionamiento interno del partido, en orden a conseguir su contribución en la formación de la voluntad del partido (en la misma línea STC 56/1995, FJ 3). Correlativamente a tales derechos, se sitúan los deberes de colaboración correspondientes para el buen funcionamiento del partido.</w:t>
      </w:r>
    </w:p>
    <w:p w:rsidR="00A90898" w:rsidRDefault="00A90898" w:rsidP="00A90898">
      <w:pPr>
        <w:pStyle w:val="TextoNormal"/>
      </w:pPr>
    </w:p>
    <w:p w:rsidR="00A90898" w:rsidRDefault="00A90898" w:rsidP="00A90898">
      <w:pPr>
        <w:pStyle w:val="TextoNormal"/>
      </w:pPr>
      <w:r>
        <w:lastRenderedPageBreak/>
        <w:t>La Ley Orgánica 6/2002, de 27 de junio, de partidos políticos (en la versión dada por el artículo segundo de la Ley Orgánica 3/2015, de 30 de marzo, de control de la actividad económico-financiera de los partidos políticos, por la que se modifican la Ley Orgánica 8/2007, de 4 de julio, sobre financiación de los partidos políticos, la Ley Orgánica 6/2002, de 27 de junio, de partidos políticos y la Ley Orgánica 2/1982, de 12 de mayo, del Tribunal de Cuentas), sigue prescribiendo en su art. 6 que la organización, funcionamiento y actividad de los partidos se ajustarán a los principios democráticos así como a lo dispuesto en las leyes y en la Constitución, si bien ahora se complementa con la afirmación, en positivo, de la capacidad organizativa y funcional de los partidos y la consiguiente necesidad de respetarla: “Los partidos políticos se ajustarán en su organización, funcionamiento y actividad a los principios democráticos y a lo dispuesto en la Constitución y en las leyes. Los partidos políticos tienen libertad organizativa para establecer su estructura, organización y funcionamiento, con los únicos límites establecidos en el ordenamiento jurídico”. Asimismo, la Ley Orgánica 6/2002 exige que los estatutos de los partidos, en todo caso, reconozcan a los afiliados los siguientes derechos: “a) A participar en las actividades del partido y en los órganos de gobierno y representación, a ejercer el derecho de voto, así como asistir a la Asamblea general, de acuerdo con los estatutos”; “b) A ser electores y elegibles para los cargos del mismo”; “c) A ser informados acerca de la composición de los órganos directivos y de administración o sobre las decisiones adoptadas por los órganos directivos, sobre las actividades realizadas y sobre la situación económica”; “d) A impugnar los acuerdos de los órganos del partido que estimen contrarios a la Ley o a los estatutos”; y “e) A acudir al órgano encargado de la defensa de los derechos del afiliado” (art. 8.4 de la Ley Orgánica de partidos políticos: LOPP). La reciente modificación de la Ley Orgánica reguladora de los partidos políticos incide en la necesaria profundización de su funcionamiento democrático en lo que se refiere a los procesos de elección del órgano superior de dirección: “La estructura interna y el funcionamiento de los partidos políticos deberán ser democráticos, estableciendo, en todo caso, fórmulas de participación directa de los afiliados en los términos que recojan sus Estatutos, especialmente en los procesos de elección de órgano superior de gobierno del partido” (art. 7.1 LOPP). Estas recientes modificaciones de la Ley Orgánica de partidos políticos no constituyen, sin duda, canon de constitucionalidad aplicable a la resolución del presente amparo, pero señalan las crecientes exigencias sociales en lo tocante a su funcionamiento interno democrático.</w:t>
      </w:r>
    </w:p>
    <w:p w:rsidR="00A90898" w:rsidRDefault="00A90898" w:rsidP="00A90898">
      <w:pPr>
        <w:pStyle w:val="TextoNormal"/>
      </w:pPr>
    </w:p>
    <w:p w:rsidR="00A90898" w:rsidRDefault="00A90898" w:rsidP="00A90898">
      <w:pPr>
        <w:pStyle w:val="TextoNormal"/>
      </w:pPr>
      <w:r>
        <w:t>La exigencia legal de que los estatutos de un partido contemplen los derechos y deberes de los afiliados -que pueden alcanzar la extensión que tengan por conveniente los partidos (STC 56/1995, FJ 3), no transforma los derechos fundamentales de los afiliados en meros derechos de configuración estatutaria. Los afiliados son titulares y pueden ejercer en el interior del partido los derechos y libertades constitucionalmente reconocidos, derechos estos últimos irrenunciables, salvo limitadas excepciones que siempre han de ser expresas (SSTC 123/2009, de 18 de mayo, FJ 2; 82/2006, de 13 de marzo, FJ 2; 183/2000, de 10 de julio, FJ 4; 91/2000, de 30 de marzo, FJ 8, y 76/1990, de 26 de abril, FJ 7, en relación al derecho a la tutela judicial efectiva).</w:t>
      </w:r>
    </w:p>
    <w:p w:rsidR="00A90898" w:rsidRDefault="00A90898" w:rsidP="00A90898">
      <w:pPr>
        <w:pStyle w:val="TextoNormal"/>
      </w:pPr>
    </w:p>
    <w:p w:rsidR="00A90898" w:rsidRDefault="00A90898" w:rsidP="00A90898">
      <w:pPr>
        <w:pStyle w:val="TextoNormal"/>
      </w:pPr>
      <w:r>
        <w:t xml:space="preserve">En síntesis, dado que los partidos políticos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(STC 138/2012, de 20 de junio, FJ 3), la cuestión relativa al ejercicio de los derechos fundamentales en su seno, no ya por el partido </w:t>
      </w:r>
      <w:r>
        <w:lastRenderedPageBreak/>
        <w:t>político (cuestión a la que ya nos hemos referido en la citada STC 138/2012, de 20 de junio), sino por los afiliados, adquiere una significación constitucional añadida. De hecho, trasciende a aquellos derechos en particular afectando a la propia esencia del Estado democrático en el seno del cual están llamados a actuar los partidos políticos. En esta línea, la STC 56/1995 reconoció abiertamente que “nada se opone, pues, al reconocimiento de un derecho a la libertad de expresión de los afiliados en el seno del partido político del que forman parte con los límites que puedan derivarse de las características de este tipo de asociaciones” (FJ 5).</w:t>
      </w:r>
    </w:p>
    <w:p w:rsidR="00A90898" w:rsidRDefault="00A90898" w:rsidP="00A90898">
      <w:pPr>
        <w:pStyle w:val="TextoNormal"/>
      </w:pPr>
    </w:p>
    <w:p w:rsidR="00A90898" w:rsidRDefault="00A90898" w:rsidP="00A90898">
      <w:pPr>
        <w:pStyle w:val="TextoNormal"/>
      </w:pPr>
      <w:r w:rsidRPr="00A90898">
        <w:rPr>
          <w:rStyle w:val="NumeroAFNegritaCaracter"/>
        </w:rPr>
        <w:t>7</w:t>
      </w:r>
      <w:r>
        <w:t>. Por lo que respecta a la interacción entre los derechos fundamentales en juego, como avanzamos en el fundamento jurídico 4, los límites específicos de la libertad de expresión en el seno de los partidos políticos no han sido objeto de definición en nuestra doctrina. Ahora bien, de la propia Constitución se deriva que la libertad de expresión tiene su límite “en el respeto a los derechos reconocidos en este Título [Primero]” (artículo 20.4), entre los cuales se encuentra sin duda el derecho fundamental de asociación reconocido en el artículo 22. Por tanto, para resolver el presente recurso de amparo debemos atender asimismo a los deberes que asume quien se adscribe a un partido, esto es tomar en cuenta las obligaciones dimanantes de la pertenencia a una asociación política que puedan operar como límite externo a la libertad de expresión.</w:t>
      </w:r>
    </w:p>
    <w:p w:rsidR="00A90898" w:rsidRDefault="00A90898" w:rsidP="00A90898">
      <w:pPr>
        <w:pStyle w:val="TextoNormal"/>
      </w:pPr>
    </w:p>
    <w:p w:rsidR="00A90898" w:rsidRDefault="00A90898" w:rsidP="00A90898">
      <w:pPr>
        <w:pStyle w:val="TextoNormal"/>
      </w:pPr>
      <w:r>
        <w:t>Este Tribunal ya se ha referido en el pasado a las obligaciones que dimanan de la pertenencia a una asociación. Así, en la STC 218/1988, de 22 de noviembre, FJ 1, afirmamos lo siguiente: “la potestad de organización que comprende el derecho de asociación se extiende con toda evidencia a regular en los Estatutos las causas y procedimientos de la expulsión de socios. La asociación tiene como fundamento la libre voluntad de los socios de unirse y de permanecer unidos para cumplir los fines sociales, y quienes ingresan en ella se entiende que conocen y aceptan en bloque las normas estatutarias a las que quedan sometidos. Y en cuanto la asociación crea no sólo un vínculo jurídico entre los socios, sino también una solidaridad moral basada en la confianza recíproca y en la adhesión a los fines asociativos, no puede descartarse que los estatutos puedan establecer como causa de expulsión una conducta que la propia asociación, cuya voluntad se expresa por los Acuerdos de sus órganos rectores, valore como lesiva a los intereses sociales”. Así pues, hemos admitido que los partidos puedan ejercer legítimamente su potestad disciplinaria llegando incluso hasta la adopción de la sanción de exclusión temporal o definitiva de un afiliado, con la consiguiente y muy importante afectación del derecho de asociación de la persona afiliada en su vertiente de libertad de adscripción a las asociaciones ya creadas (por todas, STC 104/1999, FJ 4).</w:t>
      </w:r>
    </w:p>
    <w:p w:rsidR="00A90898" w:rsidRDefault="00A90898" w:rsidP="00A90898">
      <w:pPr>
        <w:pStyle w:val="TextoNormal"/>
      </w:pPr>
    </w:p>
    <w:p w:rsidR="00A90898" w:rsidRDefault="00A90898" w:rsidP="00A90898">
      <w:pPr>
        <w:pStyle w:val="TextoNormal"/>
      </w:pPr>
      <w:r>
        <w:t>Por otra parte, el reconocimiento de una potestad disciplinaria en los términos apuntados puede acarrear también, de modo indirecto, un efecto restrictivo del libre ejercicio de otros derechos fundamentales de los afiliados, particularmente de la libertad de expresión, en cuanto a la expresión interna o pública de opiniones y juicios de valor que pueden reputarse perjudiciales para los intereses del partido. Determinar en qué supuestos la restricción resulta legítima y coherente con las necesidades de cohesión interna para asegurar el funcionamiento del partido, y en qué otros supuestos la previsión disciplinaria llegue a ser disuasoria del ejercicio de la crítica interna, de forma contraria a las exigencias de funcionamiento democrático, requiere analizar cada caso concreto atendiendo a los criterios anteriormente señalados.</w:t>
      </w:r>
    </w:p>
    <w:p w:rsidR="00A90898" w:rsidRDefault="00A90898" w:rsidP="00A90898">
      <w:pPr>
        <w:pStyle w:val="TextoNormal"/>
      </w:pPr>
    </w:p>
    <w:p w:rsidR="00A90898" w:rsidRDefault="00A90898" w:rsidP="00A90898">
      <w:pPr>
        <w:pStyle w:val="TextoNormal"/>
      </w:pPr>
      <w:r>
        <w:lastRenderedPageBreak/>
        <w:t>Un partido político puede reaccionar utilizando la potestad disciplinaria de que dispone según sus estatutos y normas internas, de conformidad con el orden constitucional, frente a un ejercicio de la libertad de expresión de un afiliado que resulte gravemente lesivo para su imagen pública o para los lazos de cohesión interna que vertebran toda organización humana y de los que depende su viabilidad como asociación y, por tanto, la consecución de sus fines asociativos. Quienes ingresan en una asociación han de conocer que su pertenencia les impone una mínima exigencia de lealtad. Ahora bien, el tipo y la intensidad de las obligaciones que dimanen de la relación voluntariamente establecida vendrán caracterizados por la naturaleza específica de cada asociación. En el supuesto concreto de los partidos políticos ha de entenderse que los afiliados asumen el deber de preservar la imagen pública de la formación política a la que pertenecen, y de colaboración positiva para favorecer su adecuado funcionamiento. En consecuencia, determinadas actuaciones o comportamientos (como, por ejemplo, pedir públicamente el voto para otro partido político) que resultan claramente incompatibles con los principios y los fines de la organización pueden acarrear lógicamente una sanción disciplinaria incluso de expulsión, aunque tales actuaciones sean plenamente lícitas y admisibles de acuerdo con el ordenamiento jurídico general.</w:t>
      </w:r>
    </w:p>
    <w:p w:rsidR="00A90898" w:rsidRDefault="00A90898" w:rsidP="00A90898">
      <w:pPr>
        <w:pStyle w:val="TextoNormal"/>
      </w:pPr>
    </w:p>
    <w:p w:rsidR="00A90898" w:rsidRDefault="00A90898" w:rsidP="00A90898">
      <w:pPr>
        <w:pStyle w:val="TextoNormal"/>
      </w:pPr>
      <w:r>
        <w:t>En cuanto al ámbito de la libertad de expresión, la exigencia de colaboración leal se traduce igualmente en una obligación de contención en las manifestaciones públicas incluso para los afiliados que no tengan responsabilidades públicas, tanto en las manifestaciones que versen sobre la línea política o el funcionamiento interno del partido como en las que se refieran a aspectos de la política general en lo que puedan implicar a intereses del propio partido. De la misma forma que la amplia libertad individual de que goza cualquier persona se entiende voluntariamente constreñida desde el momento en que ingresa en una asociación de naturaleza política —pues la simple pertenencia le impone ya una serie de obligaciones, tal como recuerda el art. 8.5 LOPP (colaborar con el partido, respetar lo dispuesto en los estatutos, acatar y cumplir los acuerdos válidamente adoptados por los órganos directivos, etc.)—, el ejercicio de la libertad de expresión de quien ingresa en un partido político debe también conjugarse con la necesaria colaboración leal con él. Lo cual no excluye la manifestación de opiniones que promuevan un debate público de interés general, ni la crítica de las decisiones de los órganos de dirección del partido que se consideren desacertadas, siempre que se formulen de modo que no perjudiquen gravemente la facultad de auto-organización del partido, su imagen asociativa o los fines que le son propios.</w:t>
      </w:r>
    </w:p>
    <w:p w:rsidR="00A90898" w:rsidRDefault="00A90898" w:rsidP="00A90898">
      <w:pPr>
        <w:pStyle w:val="TextoNormal"/>
      </w:pPr>
    </w:p>
    <w:p w:rsidR="00A90898" w:rsidRDefault="00A90898" w:rsidP="00A90898">
      <w:pPr>
        <w:pStyle w:val="TextoNormal"/>
      </w:pPr>
      <w:r w:rsidRPr="00A90898">
        <w:rPr>
          <w:rStyle w:val="NumeroAFNegritaCaracter"/>
        </w:rPr>
        <w:t>8</w:t>
      </w:r>
      <w:r>
        <w:t>. Finalmente, debemos precisar el alcance del control jurisdiccional en un supuesto como el enjuiciado en este proceso.</w:t>
      </w:r>
    </w:p>
    <w:p w:rsidR="00A90898" w:rsidRDefault="00A90898" w:rsidP="00A90898">
      <w:pPr>
        <w:pStyle w:val="TextoNormal"/>
      </w:pPr>
    </w:p>
    <w:p w:rsidR="00A90898" w:rsidRDefault="00A90898" w:rsidP="00A90898">
      <w:pPr>
        <w:pStyle w:val="TextoNormal"/>
      </w:pPr>
      <w:r>
        <w:t xml:space="preserve">En primer lugar, debemos reiterar la competencia de los órganos judiciales para llevar a cabo un control formal del ejercicio de la potestad sancionadora de los partidos políticos sobre sus miembros, con el fin de verificar que la sanción, que supone </w:t>
      </w:r>
      <w:r w:rsidRPr="00A90898">
        <w:rPr>
          <w:i/>
        </w:rPr>
        <w:t>prima facie</w:t>
      </w:r>
      <w:r>
        <w:t xml:space="preserve"> una injerencia en el ámbito de protección del derecho fundamental del afiliado, está prevista en los estatutos, se ha impuesto conforme al procedimiento allí previsto y cuenta con una base razonable. Este Tribunal sostuvo hasta la STC 42/2011, de 11 de abril, que si bien la actividad de las asociaciones es un ámbito no exento del control judicial, este control había de tener un alcance estrictamente formal, contrayéndose al análisis de la competencia del órgano social actuante y la regularidad del procedimiento y de la existencia de una base razonable en la adopción de la decisión sancionadora (por todas, SSTC 218/1988, de 22 de noviembre, FJ 2; 96/1994, de 21 de marzo; 56/1995, FJ 4, y 104/1999, de 14 de junio, FJ 3). </w:t>
      </w:r>
      <w:r>
        <w:lastRenderedPageBreak/>
        <w:t>Se afirmaba, por tanto, que el control jurisdiccional de las expulsiones dictadas en ejercicio de la potestad disciplinaria del partido,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y que el control jurisdiccional, menos intenso en los aspectos sustantivos que en los procedimentales, debía ceñirse a determinar “si la decisión carece de toda razonabilidad a la luz de las disposiciones legales y estatutarias aplicables” (STC 56/1995, FJ 4).</w:t>
      </w:r>
    </w:p>
    <w:p w:rsidR="00A90898" w:rsidRDefault="00A90898" w:rsidP="00A90898">
      <w:pPr>
        <w:pStyle w:val="TextoNormal"/>
      </w:pPr>
    </w:p>
    <w:p w:rsidR="00A90898" w:rsidRDefault="00A90898" w:rsidP="00A90898">
      <w:pPr>
        <w:pStyle w:val="TextoNormal"/>
      </w:pPr>
      <w:r>
        <w:t>Ahora bien, en el análisis de esta doctrina, que deriva de las premisas sentadas en el fundamento jurídico 2 de la STC 218/1988, debe recordarse que el fundamento jurídico 3 de aquel pronunciamiento también afirmaba que la jurisprudencia relativa a los límites del control judicial a la actividad interna de las asociaciones se refiere a lo que pudieran llamarse asociaciones puramente privadas. “Una situación distinta —dijimos entonces— surgiría si la expulsión del socio, por limitarse al supuesto que aquí interesa, se produjese en una asociación que, aun siendo privada, ostentase de hecho o de derecho una posición dominante en el campo económico, cultural, social o profesional, de manera que la pertenencia o exclusión de ella supusiese un perjuicio significativo para el particular afectado”. Debe reconocerse, por tanto, que la línea jurisprudencial mantenida en la primera década de formación de nuestra doctrina dejaba las puertas abiertas a la intensificación del control judicial en determinados supuestos, sobre la base de la naturaleza de la asociación sobre la que ese control debiera actuar. Tal intensificación se constata en la STC 96/1994, de 21 de marzo, en la que se reconocen al juez mayores facultades revisoras porque concurrían efectos económicos directos asociados a la decisión de expulsión de un socio cooperativista, y se reafirma en la STC 42/2011, de 11 de abril, que reconoce que el ejercicio del derecho de autoorganización “está sujeto tanto a límites establecidos directamente en la propia Constitución como a otros que puedan fijarse para proteger o preservar otros derechos fundamentales, valores o bienes constitucionalmente protegidos o intereses constitucionalmente relevantes (entre otras muchas, SSTC 1/1981, 2/1982, 91/1983, 22/1984, 110/1984, 77/1985, 159/1986, 120/1990, 181/1990 y 143/1994)” (FJ 3). Es decir, ya en la STC 42/2011, de 11 de abril, FJ 3, aunque siguiera el canon tradicional, se señaló que “aunque el enjuiciamiento de los Tribunales ordinarios sobre la actividad de las asociaciones esté claramente delimitado, en supuestos de conflicto entre derechos fundamentales (v.gr.: asociación y la libertad de expresión, como en este caso) el juicio ponderativo del Tribunal tampoco debe de ser excluido (STC 204/1997, de 25 de noviembre, FJ 2), por mor del art. 53 CE”.</w:t>
      </w:r>
    </w:p>
    <w:p w:rsidR="00A90898" w:rsidRDefault="00A90898" w:rsidP="00A90898">
      <w:pPr>
        <w:pStyle w:val="TextoNormal"/>
      </w:pPr>
    </w:p>
    <w:p w:rsidR="00A90898" w:rsidRDefault="00A90898" w:rsidP="00A90898">
      <w:pPr>
        <w:pStyle w:val="TextoNormal"/>
      </w:pPr>
      <w:r>
        <w:t xml:space="preserve">La doctrina de este pronunciamiento es también aplicable al ámbito de los partidos políticos, como asociaciones constitucionalmente cualificadas. Ciertamente, nuestra doctrina también había venido afirmando que las decisiones relativas a las causas y los procedimientos de expulsión de los miembros de un partido “están sometidas a un control de regularidad estatutaria por parte de los órganos judiciales, de forma que una expulsión adoptada en contra de los procedimientos y garantías que regulan los estatutos puede ser objeto de control judicial por vulnerar eventualmente derechos fundamentales de los afectados” (STC 185/1993, de 31 de mayo, FJ 4). No obstante, hasta la fecha no habíamos precisado que ese control de la regularidad de la expulsión también puede extenderse al análisis material de las causas de expulsión, en particular cuando esas causas pueden entenderse como límites al ejercicio de un derecho fundamental del afiliado en el seno del partido político. Por ello, </w:t>
      </w:r>
      <w:r>
        <w:lastRenderedPageBreak/>
        <w:t>debemos reconocer ahora que el control jurisdiccional de la actividad de los partidos políticos puede adentrarse en la ponderación de la conformidad constitucional de ciertas decisiones de la asociación que impliquen una injerencia en un derecho fundamental, en particular cuando se trata del ejercicio de la potestad disciplinaria y esta se proyecta a zonas de conflicto entre el derecho de asociación —del partido— y la libertad de expresión —del afiliado—, siendo ambos igualmente derechos fundamentales.</w:t>
      </w:r>
    </w:p>
    <w:p w:rsidR="00A90898" w:rsidRDefault="00A90898" w:rsidP="00A90898">
      <w:pPr>
        <w:pStyle w:val="TextoNormal"/>
      </w:pPr>
    </w:p>
    <w:p w:rsidR="00A90898" w:rsidRDefault="00A90898" w:rsidP="00A90898">
      <w:pPr>
        <w:pStyle w:val="TextoNormal"/>
      </w:pPr>
      <w:r w:rsidRPr="00A90898">
        <w:rPr>
          <w:rStyle w:val="NumeroAFNegritaCaracter"/>
        </w:rPr>
        <w:t>9</w:t>
      </w:r>
      <w:r>
        <w:t>. La recurrente en amparo, como se ha relatado en los antecedentes, publica el 9 de agosto de 2006 una carta al director en el diario “La Nueva España”, criticando el hecho de que unos días antes la comisión ejecutiva regional de la federación socialista asturiana del PSOE acordara solicitar a la comisión federal de listas del partido la suspensión del proceso de primarias para elegir al candidato a la alcaldía de Oviedo. El contenido de dicha carta acarreó a la actora la sanción de suspensión de militancia por veinte meses, en aplicación del art. 46 c) del Reglamento de afiliados y afiliadas, por la comisión de dos faltas muy graves tipificadas en el art. 44 i) (“menoscabar la imagen de los cargos públicos o instituciones socialistas”) y k) (“actuación en contra de acuerdos expresamente adoptados por los órganos de dirección del Partido”) del referido reglamento.</w:t>
      </w:r>
    </w:p>
    <w:p w:rsidR="00A90898" w:rsidRDefault="00A90898" w:rsidP="00A90898">
      <w:pPr>
        <w:pStyle w:val="TextoNormal"/>
      </w:pPr>
    </w:p>
    <w:p w:rsidR="00A90898" w:rsidRDefault="00A90898" w:rsidP="00A90898">
      <w:pPr>
        <w:pStyle w:val="TextoNormal"/>
      </w:pPr>
      <w:r>
        <w:t>La carta publicada por la recurrente constituye ejercicio de su derecho constitucional a la libertad de expresión, derecho expresamente contemplado en el art. 7.1, apartados d) y e), de los estatutos federales entonces vigentes del Partido Socialista Obrero Español. Así, el artículo 7.1 se refería al “derecho de discusión y crítica sobre posiciones políticas propias y ajenas mediante la libre expresión oral o escrita y a su libre comunicación dentro del Partido” [apartado d)] y al “derecho a realizar manifestaciones públicas, juicios de valor y expresión de opiniones, de forma libre, leal y responsablemente con los límites del respeto a la dignidad de las personas, así como a las resoluciones y acuerdos democráticamente adoptados por los Órganos del Partido, en el marco de sus competencias estatutarias” [apartado e)]. Por su parte, la potestad disciplinaria del partido estaba prevista en el art. 11 de los estatutos, que establecía lo siguiente: “el afiliado o afiliada que observe mala conducta cívica o ética, falte al programa o a los acuerdos o resoluciones del Partido, exprese públicamente sus opiniones en términos irresponsables o con deslealtad al Partido o a sus afiliados y afiliadas, cometa actos de indisciplina, injurie o calumnie a alguna persona afiliada, o de cualquier otra forma viole las obligaciones que a todos los afiliados o afiliadas del Partido imponen los presentes estatutos, será sancionado, previos los trámites reglamentarios y mediante decisión de los órganos competentes, con medidas que podrán llegar hasta la expulsión en aplicación de las normas internas vigentes”. El art. 52 de los estatutos se refería a la competencia para instruir expedientes disciplinarios contra los afiliados, confiriendo la misma a las comisiones ejecutivas municipales o locales y subsidiariamente a las comisiones ejecutivas provinciales e insulares con arreglo a lo previsto en el Reglamento federal de los afiliados y afiliadas, y para resolver a las comisiones ejecutivas de nacionalidad o regionales. El mismo precepto disponía que “en los supuestos de expediente disciplinario en que por falta muy grave se soliciten las sanciones de suspensión de militancia superior a un año o de expulsión, las Comisiones Ejecutivas que promuevan el expediente lo remitirán a la Comisión Ejecutiva Federal, que resolverá. Contra las resoluciones dictadas por la Comisión Ejecutiva Federal, cabrá recurso único de alzada ante la Comisión Federal de Ética y Garantías”.</w:t>
      </w:r>
    </w:p>
    <w:p w:rsidR="00A90898" w:rsidRDefault="00A90898" w:rsidP="00A90898">
      <w:pPr>
        <w:pStyle w:val="TextoNormal"/>
      </w:pPr>
    </w:p>
    <w:p w:rsidR="00A90898" w:rsidRDefault="00A90898" w:rsidP="00A90898">
      <w:pPr>
        <w:pStyle w:val="TextoNormal"/>
      </w:pPr>
      <w:r>
        <w:lastRenderedPageBreak/>
        <w:t>De la lectura de los preceptos anteriores y de los arts. 36 a 67 del entonces vigente Reglamento de afiliados y afiliadas que recogen el sistema de garantías (esto es, el régimen disciplinario, su procedimiento, el tipo de sanciones y los recursos previstos en caso de sanción), se deduce sin dificultad, a la luz de lo expuesto en los antecedentes de esta sentencia y que no es necesario reproducir aquí, que no existe objeción alguna a la competencia del órgano actuante del partido político, ni a la regularidad del procedimiento seguido para actuar contra la recurrente en amparo. También puede afirmarse que el partido pudo tener una base razonable para adoptar la decisión de sancionar a la recurrente, en la medida en que esta expresó públicamente sus opiniones en términos que el partido pudo considerar irresponsables o desleales al propio partido y a algunos de sus afiliados en los términos contenidos en el art. 11 de los estatutos del partido.</w:t>
      </w:r>
    </w:p>
    <w:p w:rsidR="00A90898" w:rsidRDefault="00A90898" w:rsidP="00A90898">
      <w:pPr>
        <w:pStyle w:val="TextoNormal"/>
      </w:pPr>
    </w:p>
    <w:p w:rsidR="00A90898" w:rsidRDefault="00A90898" w:rsidP="00A90898">
      <w:pPr>
        <w:pStyle w:val="TextoNormal"/>
      </w:pPr>
      <w:r w:rsidRPr="00A90898">
        <w:rPr>
          <w:rStyle w:val="NumeroAFNegritaCaracter"/>
        </w:rPr>
        <w:t>10</w:t>
      </w:r>
      <w:r>
        <w:t>. Ahora bien, los indicios de una base mínima razonable para sancionar la conducta no son todavía suficientes para apreciar debidamente la conformidad constitucional de la sanción disciplinaria impuesta, puesto que, encontrándonos en el ámbito del ejercicio de la libertad de expresión de una persona afiliada, se deben observar los criterios de interpretación respecto al alcance de este derecho que derivan de nuestra doctrina y de la jurisprudencia del Tribunal Europeo de Derechos Humanos. Criterios que, como se indicó en el fundamento jurídico 7, deben tener en cuenta que el ejercicio de la libertad de expresión tiene como límite específico las obligaciones que dimanan de su pertenencia a una asociación de naturaleza política.</w:t>
      </w:r>
    </w:p>
    <w:p w:rsidR="00A90898" w:rsidRDefault="00A90898" w:rsidP="00A90898">
      <w:pPr>
        <w:pStyle w:val="TextoNormal"/>
      </w:pPr>
    </w:p>
    <w:p w:rsidR="00A90898" w:rsidRDefault="00A90898" w:rsidP="00A90898">
      <w:pPr>
        <w:pStyle w:val="TextoNormal"/>
      </w:pPr>
      <w:r>
        <w:t>La aplicación al presente asunto de los criterios expuestos sobre el alcance y los límites de la libertad de expresión en el marco de la pertenencia a un partido político nos conduce a la desestimación del presente recurso de amparo por las siguientes consideraciones:</w:t>
      </w:r>
    </w:p>
    <w:p w:rsidR="00A90898" w:rsidRDefault="00A90898" w:rsidP="00A90898">
      <w:pPr>
        <w:pStyle w:val="TextoNormal"/>
      </w:pPr>
    </w:p>
    <w:p w:rsidR="00A90898" w:rsidRDefault="00A90898" w:rsidP="00A90898">
      <w:pPr>
        <w:pStyle w:val="TextoNormal"/>
      </w:pPr>
      <w:r>
        <w:t>a) Las ideas expresadas por la afiliada versaban, sin lugar a dudas, sobre un tema no solo de interés general y de relevancia pública sino perteneciente al ámbito sobre el que se proyecta específicamente el mandato constitucional de funcionamiento democrático de los partidos políticos, cual es el procedimiento interno de selección de candidatos para una convocatoria electoral concreta. La recurrente en amparo critica en su primera carta al director, la que dará lugar a la apertura del expediente sancionador, la decisión de 27 de julio de 2006 de la comisión ejecutiva regional de la federación socialista asturiana del PSOE de solicitar a la comisión federal de listas del partido la suspensión del proceso de primarias para elegir al candidato a la alcaldía de Oviedo. Por tanto, se trata de un juicio de valor sobre una decisión política de un órgano de dirección del partido relativa a un proceso interno de participación democrática de los afiliados. La crítica de la recurrente no se limita al hecho de la suspensión del proceso de primarias, sino que va más allá refiriéndose también a la falta de libertad de expresión en el seno del partido del que es afiliada, trasladando a la opinión pública dos debates de interés general: el relativo a los procedimientos internos de selección de candidatos a las elecciones, y el referido a la libertad de expresión en el seno del partido político.</w:t>
      </w:r>
    </w:p>
    <w:p w:rsidR="00A90898" w:rsidRDefault="00A90898" w:rsidP="00A90898">
      <w:pPr>
        <w:pStyle w:val="TextoNormal"/>
      </w:pPr>
    </w:p>
    <w:p w:rsidR="00A90898" w:rsidRDefault="00A90898" w:rsidP="00A90898">
      <w:pPr>
        <w:pStyle w:val="TextoNormal"/>
      </w:pPr>
      <w:r>
        <w:t>b) Ciertamente, la recurrente en amparo ha ejercido su derecho a la libertad de expresión con publicidad; sus juicios de valor se han plasmado en un medio de prensa escrito, por lo que la posibilidad de afectación lesiva de la imagen del partido ha sido mayor. No obstante, no se trata de un criterio determinante, aisladamente considerado.</w:t>
      </w:r>
    </w:p>
    <w:p w:rsidR="00A90898" w:rsidRDefault="00A90898" w:rsidP="00A90898">
      <w:pPr>
        <w:pStyle w:val="TextoNormal"/>
      </w:pPr>
    </w:p>
    <w:p w:rsidR="00A90898" w:rsidRDefault="00A90898" w:rsidP="00A90898">
      <w:pPr>
        <w:pStyle w:val="TextoNormal"/>
      </w:pPr>
      <w:r>
        <w:lastRenderedPageBreak/>
        <w:t>A tal efecto, resulta pertinente recordar el contenido de la carta al director (reproducida íntegramente en los antecedentes de esta resolución) en la que se pueden diferenciar tres partes:</w:t>
      </w:r>
    </w:p>
    <w:p w:rsidR="00A90898" w:rsidRDefault="00A90898" w:rsidP="00A90898">
      <w:pPr>
        <w:pStyle w:val="TextoNormal"/>
      </w:pPr>
    </w:p>
    <w:p w:rsidR="00A90898" w:rsidRDefault="00A90898" w:rsidP="00A90898">
      <w:pPr>
        <w:pStyle w:val="TextoNormal"/>
      </w:pPr>
      <w:r>
        <w:t>—En la primera parte, la recurrente se refiere a los dos debates públicos sobre los que versa el texto, el relativo a los procedimientos internos de selección de candidatos a las elecciones y el concerniente a la libertad de expresión en el seno de su propio partido político. En esta parte tacha de “espectáculo lamentable” el que a su juicio han ofrecido los órganos ejecutivos del partido (implícitamente se refiere a la decisión de la ejecutiva regional de solicitar a la comisión federal de listas de suspender el proceso de primarias para elegir el candidato a la alcaldía de Oviedo), acusa a los mismos de cercenar la libertad de expresión de los afiliados de una agrupación municipal bajo la amenaza de abrirles expedientes disciplinarios, les atribuye persecución a la disidencia interna, califica la decisión adoptada por la ejecutiva de “arbitraria, torpe y absurda” y critica la forma de abordar la discrepancia interna (“Cuestión que he reiterada en la FSA [federación socialista de Asturias], por escrito y por registro. Nunca se ha respondido”).</w:t>
      </w:r>
    </w:p>
    <w:p w:rsidR="00A90898" w:rsidRDefault="00A90898" w:rsidP="00A90898">
      <w:pPr>
        <w:pStyle w:val="TextoNormal"/>
      </w:pPr>
    </w:p>
    <w:p w:rsidR="00A90898" w:rsidRDefault="00A90898" w:rsidP="00A90898">
      <w:pPr>
        <w:pStyle w:val="TextoNormal"/>
      </w:pPr>
      <w:r>
        <w:t>—En la segunda parte, coincidente con el párrafo séptimo de la carta al director, refiriéndose en general a los dirigentes de los dos principales partidos políticos (PSOE y Partido Popular: PP) y no solo a los del suyo, afirma que en las listas “van personas que no tienen más oficio que el de tener la lengua muy marrón”; acusa a las ejecutivas de los partidos de ser “verdulerías que poco o nada hacen por la comunidad”, y dice que “estamos cansados de mangantería, de gente que no trabaja y que su única aspiración es ir en la lista, en la que sea, sin que el resto sepamos qué valores los acompañan, qué méritos en la vida civil tienen”; y termina diciendo que las ejecutivas “ahora más parecen garrapatas que quieren todo el poder, que quieren chupar la sangre del que se manifiesta en contra”. A ello se añaden otras consideraciones críticas específicamente dirigidas a la ejecutiva del propio partido: “los que están en esa ejecutiva con mi apoyo y el de otros compañeros, que sepan que no nos representan”. Con todo, no está claro qué aspectos se refieren exclusivamente a la ejecutiva del propio partido y cuáles a los principales partidos políticos indistintamente.</w:t>
      </w:r>
    </w:p>
    <w:p w:rsidR="00A90898" w:rsidRDefault="00A90898" w:rsidP="00A90898">
      <w:pPr>
        <w:pStyle w:val="TextoNormal"/>
      </w:pPr>
    </w:p>
    <w:p w:rsidR="00A90898" w:rsidRDefault="00A90898" w:rsidP="00A90898">
      <w:pPr>
        <w:pStyle w:val="TextoNormal"/>
      </w:pPr>
      <w:r>
        <w:t>—En la última parte, se glosa la importancia de la libertad de expresión en el seno de los partidos políticos, se llama a la coherencia en la actuación del partido político y se destaca el propio compromiso político y cívico de la autora de la carta al director.</w:t>
      </w:r>
    </w:p>
    <w:p w:rsidR="00A90898" w:rsidRDefault="00A90898" w:rsidP="00A90898">
      <w:pPr>
        <w:pStyle w:val="TextoNormal"/>
      </w:pPr>
    </w:p>
    <w:p w:rsidR="00A90898" w:rsidRDefault="00A90898" w:rsidP="00A90898">
      <w:pPr>
        <w:pStyle w:val="TextoNormal"/>
      </w:pPr>
      <w:r>
        <w:t>Entrando ya a valorar las concretas expresiones utilizadas por la recurrente, podemos observar que, si bien las expresiones utilizadas o las frases empleadas por la recurrente tienen relación directa con las ideas u opiniones que se exponen, algunas de ellas —las contenidas en la parte segunda de la carta antes transcrita— pueden ser consideradas como provocativas e hirientes. Por medio de esas expresiones, las manifestaciones de la recurrente presentan a los órganos de dirección del partido desde una perspectiva negativa y hostil que compromete seriamente la consideración pública del partido en cuestión, incumpliendo sus deberes estatutarios.</w:t>
      </w:r>
    </w:p>
    <w:p w:rsidR="00A90898" w:rsidRDefault="00A90898" w:rsidP="00A90898">
      <w:pPr>
        <w:pStyle w:val="TextoNormal"/>
      </w:pPr>
    </w:p>
    <w:p w:rsidR="00A90898" w:rsidRDefault="00A90898" w:rsidP="00A90898">
      <w:pPr>
        <w:pStyle w:val="TextoNormal"/>
      </w:pPr>
      <w:r>
        <w:t xml:space="preserve">La intensidad de la crítica legítima no justifica que, conociendo e incluso buscando conscientemente su proyección externa al escoger un medio de expresión que permite sopesar previamente las palabras empleadas, como es un medio escrito de comunicación de amplia </w:t>
      </w:r>
      <w:r>
        <w:lastRenderedPageBreak/>
        <w:t>difusión regional, se utilicen expresiones que puedan legítimamente considerarse atentatorias contra la imagen externa del partido y de quienes lo dirigen, y que induzcan a la opinión pública a considerar que la propia organización no respeta el mandato constitucional de responder a una organización y funcionamiento democrático. El efecto lesivo para la imagen externa del partido no queda descartado o atenuado por el carácter innominado del destinatario de las expresiones proferidas. Tampoco queda compensado o mitigado por la circunstancia de que una parte de la crítica se extendiera también a otros partidos.</w:t>
      </w:r>
    </w:p>
    <w:p w:rsidR="00A90898" w:rsidRDefault="00A90898" w:rsidP="00A90898">
      <w:pPr>
        <w:pStyle w:val="TextoNormal"/>
      </w:pPr>
    </w:p>
    <w:p w:rsidR="00A90898" w:rsidRDefault="00A90898" w:rsidP="00A90898">
      <w:pPr>
        <w:pStyle w:val="TextoNormal"/>
      </w:pPr>
      <w:r>
        <w:t>A la vista de la naturaleza de las expresiones empleadas, así como de las acusaciones explícitas e implícitas contenidas en el artículo de opinión, debe reconocerse que el partido político, al imponer a la recurrente la sanción de suspensión temporal de militancia, ejerció de forma legítima su potestad disciplinaria que se fundamenta en la facultad de autoorganización constitucionalmente reconocida. Tal ejercicio de su potestad sancionadora resulta acorde con el derecho reconocido en el art. 22 CE, al llevarse a cabo frente a un comportamiento que comprometía gravemente su imagen pública y las expectativas legítimas de respeto en el ejercicio de la crítica, en particular en las manifestaciones realizadas públicamente fuera del seno del partido.</w:t>
      </w:r>
    </w:p>
    <w:p w:rsidR="00A90898" w:rsidRDefault="00A90898" w:rsidP="00A90898">
      <w:pPr>
        <w:pStyle w:val="TextoNormal"/>
      </w:pPr>
    </w:p>
    <w:p w:rsidR="00A90898" w:rsidRDefault="00A90898" w:rsidP="00A90898">
      <w:pPr>
        <w:pStyle w:val="TextoNormal"/>
      </w:pPr>
      <w:r>
        <w:t>De lo razonado se deduce que en el presente caso la demandante de amparo no observó en sus manifestaciones públicas las limitaciones derivadas del deber de lealtad hacia el partido político al que pertenecía de forma voluntaria. En consecuencia, el órgano judicial cuya resolución se impugna ponderó debidamente los límites a la libertad de expresión que dimanan de la pertenencia voluntaria a una asociación de carácter político.</w:t>
      </w:r>
    </w:p>
    <w:p w:rsidR="00A90898" w:rsidRDefault="00A90898" w:rsidP="00A90898">
      <w:pPr>
        <w:pStyle w:val="TextoNormal"/>
      </w:pPr>
    </w:p>
    <w:p w:rsidR="00A90898" w:rsidRDefault="00A90898" w:rsidP="00A90898">
      <w:pPr>
        <w:pStyle w:val="TextoNormal"/>
      </w:pPr>
      <w:r w:rsidRPr="00A90898">
        <w:rPr>
          <w:rStyle w:val="NumeroAFNegritaCaracter"/>
        </w:rPr>
        <w:t>11</w:t>
      </w:r>
      <w:r>
        <w:t>. Debemos concluir, en definitiva, que la imposición de la sanción disciplinaria a la recurrente no supuso una extralimitación de los márgenes del ejercicio de la facultad disciplinaria que corresponde al partido político como emanación del derecho fundamental a la libertad de asociación consagrado en el art. 22 CE y que, en consecuencia, su confirmación por la Sentencia de la Sala Primera del Tribunal Supremo de 27 de septiembre de 2011 no le produjo la vulneración alegada de su derecho a la libertad de expresión.</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Desestimar el recurso de amparo interpuesto por doña Susana Pérez-Alonso García-Scheredre.</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diciembre de dos mil dieciséis.</w:t>
      </w:r>
    </w:p>
    <w:p w:rsidR="00A90898" w:rsidRDefault="00A90898" w:rsidP="00A90898">
      <w:pPr>
        <w:pStyle w:val="ParrafoNormal"/>
      </w:pPr>
    </w:p>
    <w:p w:rsidR="00A90898" w:rsidRDefault="00A90898" w:rsidP="00A90898">
      <w:pPr>
        <w:pStyle w:val="TextoNormalNegritaCentrado"/>
        <w:keepNext/>
      </w:pPr>
      <w:r>
        <w:lastRenderedPageBreak/>
        <w:t>Voto particular que formula el Presidente, don Francisco Pérez de los Cobos Orihuel, a la Sentencia que resuelve el recurso de amparo avocado núm. 6237-2011, al que se adhiere el Magistrado don Andrés Ollero Tassara.</w:t>
      </w:r>
    </w:p>
    <w:p w:rsidR="00A90898" w:rsidRDefault="00A90898" w:rsidP="00A90898">
      <w:pPr>
        <w:pStyle w:val="TextoNormalNegritaCentrado"/>
        <w:keepNext/>
      </w:pPr>
    </w:p>
    <w:p w:rsidR="00A90898" w:rsidRDefault="00A90898" w:rsidP="00A90898">
      <w:pPr>
        <w:pStyle w:val="TextoNormal"/>
      </w:pPr>
      <w:r>
        <w:t>Con el debido respeto al parecer mayoritario del Tribunal, y en uso de la facultad que me atribuye el artículo 90.2 de la Ley Orgánica del Tribunal Constitucional, me veo en la obligación de manifestar, a través de este Voto particular, mi discrepancia con parte de la fundamentación jurídica de esta Sentencia, no así con su fallo:</w:t>
      </w:r>
    </w:p>
    <w:p w:rsidR="00A90898" w:rsidRDefault="00A90898" w:rsidP="00A90898">
      <w:pPr>
        <w:pStyle w:val="TextoNormal"/>
      </w:pPr>
    </w:p>
    <w:p w:rsidR="00A90898" w:rsidRDefault="00A90898" w:rsidP="00A90898">
      <w:pPr>
        <w:pStyle w:val="TextoNormal"/>
      </w:pPr>
      <w:r>
        <w:t>1. Comparto, desde luego, que la cuestión planteada en el presente recurso es la de una colisión entre la libertad de expresión de la actora [art. 20.1 a) CE] y la libertad de asociación del partido político del que es afiliada (art. 22 CE), una de cuyas manifestaciones es la de ejercer su potestad disciplinaria sobre sus miembros en el respeto, claro es, de los propios estatutos, de la legalidad aplicable (sobre todo, Ley Orgánica 6/2002, de 27 de junio, de partidos políticos) y, muy en primer lugar —conforme a nuestra jurisprudencia— de la propia Constitución, pues los derechos fundamentales de los asociados no quedan en suspenso frente al partido cuando se ejercen ya sea en el seno de la organización, ya sea al margen de sus cauces internos, pero en relación con actuaciones de aquélla. De este último carácter fue, en el caso actual, el proceder de la demandante, pues las manifestaciones por las que fue expedientada y sancionada se realizaron en un medio público de comunicación, no a través de las vías o cauces internos del partido, precisión ésta que nada dice en sí misma pero que sitúa lo planteado en ella al margen del imperativo establecido en el artículo 6 CE, de conformidad con el cual la estructura interna y el funcionamiento de los partidos políticos deberán ser democráticos. Esta exigencia constitucional está ordenada, como carga que es de los partidos y a la vez fuente de derechos de sus afiliados, a asegurar la “participación en la toma de decisiones y en el control del funcionamiento interno” de aquéllos [STC 56/1995, FJ 3 a)] y nada de ello se ejerció mediante la publicación, en un medio de comunicación a todos accesible, de las opiniones por las que fue impuesta la sanción. La Sentencia de cuya fundamentación parcialmente discrepo invoca sin embargo con cierta reiteración, e innecesariamente a mi juicio, aquel mandato constitucional en orden a la estructura y funcionamiento democráticos de los partidos, menciones estas que en nada contribuyen a situar en sus debidos y precisos términos el problema jurídico-constitucional planteado ante el Tribunal. Esta es mi primera discrepancia, aunque, como indicaré inmediatamente, no la más relevante.</w:t>
      </w:r>
    </w:p>
    <w:p w:rsidR="00A90898" w:rsidRDefault="00A90898" w:rsidP="00A90898">
      <w:pPr>
        <w:pStyle w:val="TextoNormal"/>
      </w:pPr>
    </w:p>
    <w:p w:rsidR="00A90898" w:rsidRDefault="00A90898" w:rsidP="00A90898">
      <w:pPr>
        <w:pStyle w:val="TextoNormal"/>
      </w:pPr>
      <w:r>
        <w:t xml:space="preserve">2. La Sentencia, de otra parte, cita ajustadamente la jurisprudencia constitucional recaída en controversias de este género, y así recuerda cómo hemos dicho que nuestro control, en vía de amparo, sobre sanciones disciplinarias impuestas por asociaciones y, específicamente, por partidos políticos, tiene un alcance estrictamente formal, relativo a la competencia y al procedimiento para sancionar, así como —ya en un plano sustantivo y en lo que ahora más importa— a la existencia de una base razonable en la adopción de la decisión sancionadora. A estos últimos efectos —que son, reitero, los relevantes para mi discrepancia— la Sentencia introduce en su razonamiento una inflexión de no poco alcance sobre aquella consolidada doctrina del Tribunal, pues sostiene que nuestro enjuiciamiento también puede extenderse al análisis material de las causas de expulsión cuando las mismas puedan entenderse como límites al ejercicio de un derecho fundamental del afiliado. Se afirma, así, que los indicios de una base mínima razonable para sancionar no son suficientes —frente a </w:t>
      </w:r>
      <w:r>
        <w:lastRenderedPageBreak/>
        <w:t>lo que sostenía nuestra jurisprudencia hasta hoy— para apreciar debidamente la conformidad constitucional de la sanción disciplinaria impuesta para valorar esta conformidad sería en adelante precisa una ponderación entre derechos similar a la que el Tribunal realiza, en general, ante los supuestos comunes de derechos en tensión, es decir, aquellos que se dan entre sujetos jurídicos que, a diferencia del caso actual, no tienen en común sino la ciudadanía. Discrepo de este planteamiento que, por lo demás, la Sentencia no lleva hasta sus consecuencias últimas (acreditando así, en definitiva, la no pertinencia de reconsiderar la jurisprudencia establecida en pro de un control más incisivo e intenso de estas actuaciones de asociaciones y partidos políticos):</w:t>
      </w:r>
    </w:p>
    <w:p w:rsidR="00A90898" w:rsidRDefault="00A90898" w:rsidP="00A90898">
      <w:pPr>
        <w:pStyle w:val="TextoNormal"/>
      </w:pPr>
    </w:p>
    <w:p w:rsidR="00A90898" w:rsidRDefault="00A90898" w:rsidP="00A90898">
      <w:pPr>
        <w:pStyle w:val="TextoNormal"/>
      </w:pPr>
      <w:r>
        <w:t>a) Que estamos ante una reconsideración y modificación de la jurisprudencia constitucional en este extremo es cosa notoria, sin que ello quede empañado por la cita en esta Sentencia de algunas resoluciones del Tribunal relativas al mayor control al que, en casos de este género, podrían quedar sujetas las asociaciones en “posición dominante”. Tal línea jurisprudencial existe, en efecto, pero debo advertir que es no poco problemático asimilar los partidos políticos a aquel tipo de asociaciones para las que el control jurisdiccional pudiera, en atención a aquella singular posición, ser de mayor intensidad. De las Sentencias constitucionales que cita al efecto la resolución de la que disiento (SSTC 218/1988 y, sobre todo, 96/1994) se desprende inequívocamente que el presupuesto para tal control más incisivo se fundamentaría en unos perjuicios individualizados y añadidos a la sanción misma, perjuicios que — parece obvio— no cabe apreciar en los casos de pérdida o suspensión de la condición de afiliado a un partido político.</w:t>
      </w:r>
    </w:p>
    <w:p w:rsidR="00A90898" w:rsidRDefault="00A90898" w:rsidP="00A90898">
      <w:pPr>
        <w:pStyle w:val="TextoNormal"/>
      </w:pPr>
    </w:p>
    <w:p w:rsidR="00A90898" w:rsidRDefault="00A90898" w:rsidP="00A90898">
      <w:pPr>
        <w:pStyle w:val="TextoNormal"/>
      </w:pPr>
      <w:r>
        <w:t>b) Estimo que el cambio jurisprudencial que la Sentencia introduce viene a romper el equilibrio, preservado hasta ahora por el Tribunal, entre la posición jurídico-constitucional del partido (arts. 6 y 22 CE) y la del afiliado sancionado a resultas de su ejercicio de la libertad de expresión que como ciudadano ostenta [art. 20.1 a) CE]. La cuestión no es la de si asociados o, como en este caso, afiliados “pierden” o “mantienen” sus derechos fundamentales frente al partido cuando los ejercen, como en este caso, al margen de la organización, pero respecto de ella. Sus derechos de ciudadanía los conservan en tales casos íntegros. El asunto crucial es, más bien, en qué grado, con qué modulación, pueden ejercer tales derechos frente a la organización y fuera de los cauces internos —como aquí ocurrió— con plena inmunidad frente a la disciplina partidaria y sus salvaguardas legales y estatutarias; en qué medida, en otras palabras, pueden imponer a la organización, y por tanto al conjunto de asociados, el deber de estar y pasar, sin reacción adversa alguna, ante cualesquiera manifestaciones públicas que el afiliado realice como tal. Una respuesta matizada a esta cuestión la ha venido proporcionando la jurisprudencia constitucional, hasta la fecha, al señalar que las facultades sancionadoras de la organización son susceptibles de control jurisdiccional, pero sólo —como antes recordé y la Sentencia lo hace— en punto a la competencia, al procedimiento y a la existencia de una “base razonable” para la sanción misma. Este equilibrio, que preserva al tiempo los derechos fundamentales del afiliado y los de igual rango de los demás asociados y de la propia asociación, es el que queda alterado, lamentable e innecesariamente, en el planteamiento general de la presente Sentencia, que—en abstracto— aplica a una colisión de derechos como esta las pautas de razonamiento y ponderación concebidas por nuestra jurisdicción para conflictos entre sujetos que, como dije, tienen en común sólo la ciudadanía, no otro tipo de relaciones jurídicas, como las que nacen del pacto asociativo.</w:t>
      </w:r>
    </w:p>
    <w:p w:rsidR="00A90898" w:rsidRDefault="00A90898" w:rsidP="00A90898">
      <w:pPr>
        <w:pStyle w:val="TextoNormal"/>
      </w:pPr>
    </w:p>
    <w:p w:rsidR="00A90898" w:rsidRDefault="00A90898" w:rsidP="00A90898">
      <w:pPr>
        <w:pStyle w:val="TextoNormal"/>
      </w:pPr>
      <w:r>
        <w:lastRenderedPageBreak/>
        <w:t xml:space="preserve">c) Pero es que incluso, como se acaba de apuntar, este cambio en las pautas de enjuiciamiento constitucional no se lleva en la Sentencia hasta sus consecuencias lógicas, lo que muestra muy a las claras, a mi parecer, que la inflexión jurisprudencial anunciada es improcedente, pues, de haberse sido consecuente con ella, se habrían venido a alterar los equilibrios recién mencionados entre unos y otros de los derechos fundamentales aquí comprometidos, equilibrios que, al cabo, la propia Sentencia preserva, aunque ello sea por la vía de separarse, en su razonamiento final y ya conclusivo, de las premisas de las que partía y que acabo de criticar. La Sentencia invoca y expone, en efecto, un juicio de ponderación que no diferiría, en abstracto, del general establecido para cualesquiera casos en que apareciera involucrada, ante otro derecho fundamental, la libertad de expresión </w:t>
      </w:r>
      <w:r w:rsidRPr="00A90898">
        <w:rPr>
          <w:i/>
        </w:rPr>
        <w:t>uti cives</w:t>
      </w:r>
      <w:r>
        <w:t xml:space="preserve">. Pero la ponderación finalmente realizada es muy distinta a la que por lo general se lleva a cabo en aquellas colisiones por así decir comunes, sin duda porque no puede dejar de reconocerse, para supuestos como el presente, las limitaciones derivadas del deber de lealtad hacia el partido político al que la demandante pertenecía de forma voluntaria, según la propia Sentencia advierte. Así es, en efecto: la “ponderación” de la Sentencia no se proyecta directa o inmediatamente sobre los ámbitos respectivos de los derechos fundamentales en tensión (método común en nuestra jurisprudencia), sino, mucho más limitadamente, sobre la ponderación misma —vistas las manifestaciones de la actora— llevada a cabo por el partido al sancionar, restricción esta del enjuiciamiento muy visible en las reiteradas referencias que la resolución de la que discrepo hace a que las manifestaciones de la actora pueden ser consideradas por el partido —con estas palabras u otras— como merecedoras de la sanción impuesta. Apreciaciones como estas —que comparto— son las que llevan finalmente a la decisión y expresan una, por así decir, restringida “ponderación de la ponderación” que muestra cómo, al cabo, el paradigma de control anunciado no puede llevarse a su término, pues ello conduciría a desconocer los necesarios márgenes de apreciación del partido </w:t>
      </w:r>
      <w:r w:rsidRPr="00A90898">
        <w:rPr>
          <w:i/>
        </w:rPr>
        <w:t>ex</w:t>
      </w:r>
      <w:r>
        <w:t xml:space="preserve"> artículo 22 CE, algo que era lo salvaguardado, mediante la mera exigencia de una base razonable, por la jurisprudencia cuya reconsideración, sin embargo se pretende. En suma: la resolución del caso, así como el razonamiento final de la Sentencia, no difieren, en contra del replanteamiento doctrinal anunciado, de lo que habría deparado, sin mayores reservas, la jurisprudencia establecida, cuyo acomodo constitucional queda confirmado por la propia Sentencia. Ninguna razón jurídico-constitucional había, por ello, para dejar sentado tal no consumado replanteamiento jurisprudencial.</w:t>
      </w:r>
    </w:p>
    <w:p w:rsidR="00A90898" w:rsidRDefault="00A90898" w:rsidP="00A90898">
      <w:pPr>
        <w:pStyle w:val="TextoNormal"/>
      </w:pPr>
    </w:p>
    <w:p w:rsidR="00A90898" w:rsidRDefault="00A90898" w:rsidP="00A90898">
      <w:pPr>
        <w:pStyle w:val="TextoNormal"/>
      </w:pPr>
      <w:r>
        <w:t>Madrid, a veintidós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6" w:name="SENTENCIA_2016_227"/>
      <w:r>
        <w:lastRenderedPageBreak/>
        <w:t>SENTENCIA 227/2016, de 22 de diciembre de 2016</w:t>
      </w:r>
    </w:p>
    <w:bookmarkEnd w:id="106"/>
    <w:p w:rsidR="00A90898" w:rsidRDefault="00A90898" w:rsidP="00A90898">
      <w:pPr>
        <w:pStyle w:val="TtuloResolucin"/>
      </w:pPr>
      <w:r>
        <w:t>Pleno</w:t>
      </w:r>
    </w:p>
    <w:p w:rsidR="00A90898" w:rsidRDefault="00A90898" w:rsidP="00A90898">
      <w:pPr>
        <w:pStyle w:val="TtuloBOE"/>
      </w:pPr>
      <w:r>
        <w:t>(BOE núm. 23, de 27 de enero de 2017)</w:t>
      </w:r>
    </w:p>
    <w:p w:rsidR="00A90898" w:rsidRDefault="00A90898" w:rsidP="00A90898">
      <w:pPr>
        <w:pStyle w:val="TextoNormalCentrado"/>
      </w:pPr>
      <w:r>
        <w:t>ECLI:ES:TC:2016:227</w:t>
      </w:r>
    </w:p>
    <w:p w:rsidR="00A90898" w:rsidRDefault="00A90898" w:rsidP="00A90898">
      <w:pPr>
        <w:pStyle w:val="TextoNormalCentrado"/>
      </w:pPr>
    </w:p>
    <w:p w:rsidR="00A90898" w:rsidRDefault="00A90898" w:rsidP="00A90898">
      <w:pPr>
        <w:pStyle w:val="SntesisDescriptiva"/>
      </w:pPr>
      <w:r>
        <w:t>Cuestión de inconstitucionalidad 905-2014. Planteada por el Juzgado de Primera Instancia e Instrucción núm. 1 de Torrelavega en relación con el artículo 7 de la Ley 10/2012, de 20 de noviembre, por el que se regulan determinadas tasas en el ámbito de la Administración de Justicia y del Instituto Nacional de Toxicología y Ciencias Forenses.</w:t>
      </w:r>
    </w:p>
    <w:p w:rsidR="00A90898" w:rsidRDefault="00A90898" w:rsidP="00A90898">
      <w:pPr>
        <w:pStyle w:val="SntesisDescriptiva"/>
      </w:pPr>
    </w:p>
    <w:p w:rsidR="00A90898" w:rsidRDefault="00A90898" w:rsidP="00A90898">
      <w:pPr>
        <w:pStyle w:val="SntesisAnaltica"/>
      </w:pPr>
      <w:r>
        <w:t>Derecho a la tutela judicial efectiva (acceso al recurso): nulidad de la tasa que grava la interposición del recurso de apelación en el orden jurisdiccional civil (STC 140/2016).</w:t>
      </w:r>
    </w:p>
    <w:p w:rsidR="00A90898" w:rsidRDefault="00A90898" w:rsidP="00A90898">
      <w:pPr>
        <w:pStyle w:val="SntesisAnaltica"/>
      </w:pPr>
    </w:p>
    <w:p w:rsidR="00A90898" w:rsidRDefault="00A90898" w:rsidP="00A90898">
      <w:pPr>
        <w:pStyle w:val="Extracto"/>
      </w:pPr>
      <w:r>
        <w:t>1.</w:t>
      </w:r>
      <w:r>
        <w:tab/>
        <w:t>La previsión legal reguladora de la tasa que grava la interposición del recurso de apelación en el orden civil es contraria al derecho fundamental a la tutela judicial efectiva de las personas físicas, correspondiendo declarar su  inconstitucionalidad y nulidad (STC 140/2016) [FJ 6].</w:t>
      </w:r>
    </w:p>
    <w:p w:rsidR="00A90898" w:rsidRDefault="00A90898" w:rsidP="00A90898">
      <w:pPr>
        <w:pStyle w:val="Extracto"/>
      </w:pPr>
    </w:p>
    <w:p w:rsidR="00A90898" w:rsidRDefault="00A90898" w:rsidP="00A90898">
      <w:pPr>
        <w:pStyle w:val="Extracto"/>
      </w:pPr>
      <w:r>
        <w:t>2.</w:t>
      </w:r>
      <w:r>
        <w:tab/>
        <w:t>La determinación de una cuantía fija de 800 € para apelar una resolución judicial cuyo pago supone, para la persona (física) obligada, un esfuerzo económico equivalente a un porcentaje significativo de su renta mensual, incluso, según el caso, superior a ésta, revela una desproporción con el nivel adquisitivo de una parte importante de los ciudadanos, más aún en la actual coyuntura económica general [FJ 4 b)].</w:t>
      </w:r>
    </w:p>
    <w:p w:rsidR="00A90898" w:rsidRDefault="00A90898" w:rsidP="00A90898">
      <w:pPr>
        <w:pStyle w:val="Extracto"/>
      </w:pPr>
    </w:p>
    <w:p w:rsidR="00A90898" w:rsidRDefault="00A90898" w:rsidP="00A90898">
      <w:pPr>
        <w:pStyle w:val="Extracto"/>
      </w:pPr>
      <w:r>
        <w:t>3.</w:t>
      </w:r>
      <w:r>
        <w:tab/>
        <w:t>No se acredita que se haya tenido en cuenta que las cuantías, establecidas para la tasa a abonar para la interposición de recursos, se adecuen a una capacidad económica que no exceda de la que pueda poseer una persona física, resultando contrarias al art. 24.1 CE (STC 140/2016, FJ 12) [FJ 4 d)].</w:t>
      </w:r>
    </w:p>
    <w:p w:rsidR="00A90898" w:rsidRDefault="00A90898" w:rsidP="00A90898">
      <w:pPr>
        <w:pStyle w:val="Extracto"/>
      </w:pPr>
    </w:p>
    <w:p w:rsidR="00A90898" w:rsidRDefault="00A90898" w:rsidP="00A90898">
      <w:pPr>
        <w:pStyle w:val="Extracto"/>
      </w:pPr>
      <w:r>
        <w:t>4.</w:t>
      </w:r>
      <w:r>
        <w:tab/>
        <w:t>La cuota variable de la tasa eleva innecesariamente la carga económica de la entidad actora o recurrente en todos los grados de la jurisdicción en los que satisface su pago, sin que sea posible discernir a qué criterio responde su exigencia, puesto que la memoria del análisis de impacto normativo nada aclara sobre el particular [FJ 5].</w:t>
      </w:r>
    </w:p>
    <w:p w:rsidR="00A90898" w:rsidRDefault="00A90898" w:rsidP="00A90898">
      <w:pPr>
        <w:pStyle w:val="Extracto"/>
      </w:pPr>
    </w:p>
    <w:p w:rsidR="00A90898" w:rsidRDefault="00A90898" w:rsidP="00A90898">
      <w:pPr>
        <w:pStyle w:val="Extracto"/>
      </w:pPr>
      <w:r>
        <w:t>5.</w:t>
      </w:r>
      <w:r>
        <w:tab/>
        <w:t>En nuestro Estado social y democrático de Derecho, que propugna entre otros valores superiores de su ordenamiento jurídico la justicia y la igualdad (art. 1.1 CE), el pago de un tributo no debe obstaculizar el ejercicio de un derecho fundamental [FJ 5].</w:t>
      </w:r>
    </w:p>
    <w:p w:rsidR="00A90898" w:rsidRDefault="00A90898" w:rsidP="00A90898">
      <w:pPr>
        <w:pStyle w:val="Extracto"/>
      </w:pPr>
    </w:p>
    <w:p w:rsidR="00A90898" w:rsidRDefault="00A90898" w:rsidP="00A90898">
      <w:pPr>
        <w:pStyle w:val="Extracto"/>
      </w:pPr>
      <w:r>
        <w:t>6.</w:t>
      </w:r>
      <w:r>
        <w:tab/>
        <w:t>Aplicación de la doctrina sobre la pervivencia del objeto de la cuestión en casos de derogación o modificación de la norma cuestionada [FJ 2].</w:t>
      </w:r>
    </w:p>
    <w:p w:rsidR="00A90898" w:rsidRDefault="00A90898" w:rsidP="00A90898">
      <w:pPr>
        <w:pStyle w:val="Extracto"/>
      </w:pPr>
    </w:p>
    <w:p w:rsidR="00A90898" w:rsidRDefault="00A90898" w:rsidP="00A90898">
      <w:pPr>
        <w:pStyle w:val="Extracto"/>
      </w:pPr>
      <w:r>
        <w:t>7.</w:t>
      </w:r>
      <w:r>
        <w:tab/>
        <w:t>El fallo de la STC 140/2016 no ha determinado la pérdida sobrevenida de objeto de la cuestión en lo que atañe al precepto impugnado y declarado nulo en la presente resolución [FJ 3 a)].</w:t>
      </w:r>
    </w:p>
    <w:p w:rsidR="00A90898" w:rsidRDefault="00A90898" w:rsidP="00A90898">
      <w:pPr>
        <w:pStyle w:val="Extracto"/>
      </w:pPr>
    </w:p>
    <w:p w:rsidR="00A90898" w:rsidRDefault="00A90898" w:rsidP="00A90898">
      <w:pPr>
        <w:pStyle w:val="Extracto"/>
      </w:pPr>
      <w:r>
        <w:lastRenderedPageBreak/>
        <w:t>8.</w:t>
      </w:r>
      <w:r>
        <w:tab/>
        <w:t>Alcance de las declaraciones de inconstitucionalidad y nulidad formuladas: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(STC 140/2016) [FJ 6 a)].</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la cuestión de inconstitucionalidad 905-2014, planteada por el Juzgado de Primera Instancia e Instrucción núm. 1 de Torrelavega en relación con el art. 7 de la Ley 10/2012, de 20 de noviembre, por el que se regulan determinadas tasas en el ámbito de la Administración de Justicia y del Instituto Nacional de Toxicología y Ciencias Forenses. Han comparecido y formulado alegaciones el Abogado del Estado y el Fiscal General del Estado.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17 de febrero de 2014 tiene entrada en el registro general de este Tribunal escrito del Juzgado de Primera Instancia e Instrucción núm. 1 de Torrelavega (Cantabria) al que se acompaña, además del testimonio de las actuaciones del juicio ordinario núm. 771-2012, el Auto de 20 de enero de 2014 por el que acuerda plantear cuestión de inconstitucionalidad en relación con el art. 7 de la Ley 10/2012, de 20 de noviembre, por la que se regulan determinadas tasas en el ámbito de la Administración de Justicia y del Instituto Nacional de Toxicología y Ciencias Forenses.</w:t>
      </w:r>
    </w:p>
    <w:p w:rsidR="00A90898" w:rsidRDefault="00A90898" w:rsidP="00A90898">
      <w:pPr>
        <w:pStyle w:val="TextoNormal"/>
      </w:pPr>
    </w:p>
    <w:p w:rsidR="00A90898" w:rsidRDefault="00A90898" w:rsidP="00A90898">
      <w:pPr>
        <w:pStyle w:val="TextoNormal"/>
      </w:pPr>
      <w:r w:rsidRPr="00A90898">
        <w:rPr>
          <w:rStyle w:val="NumeroAFNegritaCaracter"/>
        </w:rPr>
        <w:t>2</w:t>
      </w:r>
      <w:r>
        <w:t>. Los antecedentes relevantes para abordar la presente cuestión de inconstitucionalidad son los siguientes:</w:t>
      </w:r>
    </w:p>
    <w:p w:rsidR="00A90898" w:rsidRDefault="00A90898" w:rsidP="00A90898">
      <w:pPr>
        <w:pStyle w:val="TextoNormal"/>
      </w:pPr>
    </w:p>
    <w:p w:rsidR="00A90898" w:rsidRDefault="00A90898" w:rsidP="00A90898">
      <w:pPr>
        <w:pStyle w:val="TextoNormal"/>
      </w:pPr>
      <w:r>
        <w:t xml:space="preserve">a) Don Manuel Ruiz de Villa Gómez-Setien, representado por el Procurador de los Tribunales Don Fernando Candela Ruiz, presenta escrito de 15 de julio de 2013 por el que </w:t>
      </w:r>
      <w:r>
        <w:lastRenderedPageBreak/>
        <w:t>formaliza recurso de apelación contra la Sentencia de 12 de junio de 2013 del Juzgado de Primera Instancia e Instrucción núm. 1 de Torrelavega. Solicita por otrosí el planteamiento de la cuestión de inconstitucionalidad en relación con la Ley 10/2012, de 20 de noviembre, y el Real Decreto-ley 3/2013, de 22 de febrero, en lo que se refiere a la implantación y modificación de tasas en el ámbito de la Administración de Justicia. Según afirma, si se llegara a inadmitir el recurso por no haber abonado la tasa, el órgano judicial vulneraría el derecho fundamental a acceder al recurso (art. 24.1 CE).</w:t>
      </w:r>
    </w:p>
    <w:p w:rsidR="00A90898" w:rsidRDefault="00A90898" w:rsidP="00A90898">
      <w:pPr>
        <w:pStyle w:val="TextoNormal"/>
      </w:pPr>
    </w:p>
    <w:p w:rsidR="00A90898" w:rsidRDefault="00A90898" w:rsidP="00A90898">
      <w:pPr>
        <w:pStyle w:val="TextoNormal"/>
      </w:pPr>
      <w:r>
        <w:t>b) Por diligencia de ordenación de 29 de julio de 2013, la Secretaria judicial, tras apreciar que el anterior escrito no está acompañado del modelo 696 de autoliquidación de la tasa para el ejercicio de la potestad jurisdiccional en los órdenes civil, contencioso-administrativo y social, acuerda requerir al recurrente la subsanación de esta omisión en el plazo de diez días mediante la aportación del recibo justificativo o el ejemplar impreso con el ingreso debidamente validado.</w:t>
      </w:r>
    </w:p>
    <w:p w:rsidR="00A90898" w:rsidRDefault="00A90898" w:rsidP="00A90898">
      <w:pPr>
        <w:pStyle w:val="TextoNormal"/>
      </w:pPr>
    </w:p>
    <w:p w:rsidR="00A90898" w:rsidRDefault="00A90898" w:rsidP="00A90898">
      <w:pPr>
        <w:pStyle w:val="TextoNormal"/>
      </w:pPr>
      <w:r>
        <w:t>c) Mediante escrito de 3 de septiembre de 2013, la entidad mercantil Inversiones La Castañeda, S.A., se opone al recurso de apelación, así como al planteamiento de la cuestión de inconstitucionalidad, por constituir, a su juicio, una petición extravagante carente de fundamento que no tiene más objetivo que eludir el pago de la tasa a que viene obligado el apelante.</w:t>
      </w:r>
    </w:p>
    <w:p w:rsidR="00A90898" w:rsidRDefault="00A90898" w:rsidP="00A90898">
      <w:pPr>
        <w:pStyle w:val="TextoNormal"/>
      </w:pPr>
    </w:p>
    <w:p w:rsidR="00A90898" w:rsidRDefault="00A90898" w:rsidP="00A90898">
      <w:pPr>
        <w:pStyle w:val="TextoNormal"/>
      </w:pPr>
      <w:r>
        <w:t>d) Mediante escrito de 3 de septiembre de 2013, el recurrente vuelve a solicitar el planteamiento de la cuestión de inconstitucionalidad. Según afirma, la tasa aplicable en el presente caso es tan elevada que acaba produciendo la vulneración de la Constitución por anular u obstaculizar de forma irracional el acceso a la justicia.</w:t>
      </w:r>
    </w:p>
    <w:p w:rsidR="00A90898" w:rsidRDefault="00A90898" w:rsidP="00A90898">
      <w:pPr>
        <w:pStyle w:val="TextoNormal"/>
      </w:pPr>
    </w:p>
    <w:p w:rsidR="00A90898" w:rsidRDefault="00A90898" w:rsidP="00A90898">
      <w:pPr>
        <w:pStyle w:val="TextoNormal"/>
      </w:pPr>
      <w:r>
        <w:t>e) Por providencia de 2 de octubre de 2013, el Juzgado acuerda dar traslado al Ministerio Fiscal y a Inversiones La Castañeda, S.A., del anterior escrito para que en el plazo de diez días aleguen lo que estimen conveniente sobre la solicitud de planteamiento de la cuestión de inconstitucionalidad de acuerdo con el art. 35.2 LOTC.</w:t>
      </w:r>
    </w:p>
    <w:p w:rsidR="00A90898" w:rsidRDefault="00A90898" w:rsidP="00A90898">
      <w:pPr>
        <w:pStyle w:val="TextoNormal"/>
      </w:pPr>
    </w:p>
    <w:p w:rsidR="00A90898" w:rsidRDefault="00A90898" w:rsidP="00A90898">
      <w:pPr>
        <w:pStyle w:val="TextoNormal"/>
      </w:pPr>
      <w:r>
        <w:t>f) Mediante escrito de 11 de octubre de 2013, Inversiones La Castañeda, S.A., se opone al planteamiento de la cuestión de inconstitucionalidad. Afirma primero que don Manuel Ruiz es de los sujetos obligados a la presentación del modelo 696 de autoliquidación de la tasa para la admisión de su recurso de apelación. Señala después que, como reconoce el propio recurrente, pudiera llegar a cuestionarse el gravamen si alcanzara una cuantía tal que impidiera acceder a la jurisdicción y obtener tutela judicial efectiva. En el presente supuesto, el recurrente no acredita mínimamente que la tasa le impide acceder a la jurisdicción. Añade que esta parte está en disposición de aseverar que don Manuel Ruiz puede hacer frente a la tasa sin esfuerzo financiero alguno. De modo que, al solicitar el planteamiento de la cuestión de inconstitucionalidad, el recurrente no tiene otro objetivo que evitar el pago de la tasa, tal como esta parte razonó en su escrito de oposición al recurso de apelación.</w:t>
      </w:r>
    </w:p>
    <w:p w:rsidR="00A90898" w:rsidRDefault="00A90898" w:rsidP="00A90898">
      <w:pPr>
        <w:pStyle w:val="TextoNormal"/>
      </w:pPr>
    </w:p>
    <w:p w:rsidR="00A90898" w:rsidRDefault="00A90898" w:rsidP="00A90898">
      <w:pPr>
        <w:pStyle w:val="TextoNormal"/>
      </w:pPr>
      <w:r>
        <w:t>g) Mediante escrito de 11 de octubre de 2013, la Fiscal interpone recurso de reposición contra la providencia anterior por entender que no identifica claramente la norma cuestionada ni el precepto constitucional que se estima vulnerado.</w:t>
      </w:r>
    </w:p>
    <w:p w:rsidR="00A90898" w:rsidRDefault="00A90898" w:rsidP="00A90898">
      <w:pPr>
        <w:pStyle w:val="TextoNormal"/>
      </w:pPr>
    </w:p>
    <w:p w:rsidR="00A90898" w:rsidRDefault="00A90898" w:rsidP="00A90898">
      <w:pPr>
        <w:pStyle w:val="TextoNormal"/>
      </w:pPr>
      <w:r>
        <w:lastRenderedPageBreak/>
        <w:t>h) Mediante diligencia de ordenación de 16 de octubre de 2013, la Secretaria judicial admite a trámite el recurso de reposición interpuesto por el Ministerio Fiscal y conceder a las partes un plazo de cinco días para impugnarlo, si lo estiman conveniente.</w:t>
      </w:r>
    </w:p>
    <w:p w:rsidR="00A90898" w:rsidRDefault="00A90898" w:rsidP="00A90898">
      <w:pPr>
        <w:pStyle w:val="TextoNormal"/>
      </w:pPr>
    </w:p>
    <w:p w:rsidR="00A90898" w:rsidRDefault="00A90898" w:rsidP="00A90898">
      <w:pPr>
        <w:pStyle w:val="TextoNormal"/>
      </w:pPr>
      <w:r>
        <w:t>i) Mediante escrito de 22 de octubre de 2013, Inversiones Castañeda, S.A., muestra su conformidad con el recurso de reposición, sin perjuicio de reiterar su oposición al planteamiento de la cuestión de inconstitucionalidad. Otro tanto hace el recurrente mediante escrito de 24 de octubre de 2013, que interesa la especificación de los preceptos cuestionados, así como de las normas constitucionales vulneradas.</w:t>
      </w:r>
    </w:p>
    <w:p w:rsidR="00A90898" w:rsidRDefault="00A90898" w:rsidP="00A90898">
      <w:pPr>
        <w:pStyle w:val="TextoNormal"/>
      </w:pPr>
    </w:p>
    <w:p w:rsidR="00A90898" w:rsidRDefault="00A90898" w:rsidP="00A90898">
      <w:pPr>
        <w:pStyle w:val="TextoNormal"/>
      </w:pPr>
      <w:r>
        <w:t>j) El Juzgado estima el recurso de reposición mediante Auto de 14 de noviembre de 2013 y acuerda dar traslado de la solicitud formulada por don Manuel Ruiz al Ministerio Fiscal y a la parte demandada mediante providencia de 16 del mismo mes. Precisa ahora que dentro de un plazo de diez días, uno y otra, de acuerdo con el art. 35.2 LOTC, puedan alegar sobre el art. 7 de la Ley 10/2012, de 20 de noviembre, por si la cuota que obliga a abonar en casos como el presente (464.710,52 €) fuera tan desproporcionada que llegara a impedir el ejercicio del derecho fundamental a recurrir (art. 24 CE).</w:t>
      </w:r>
    </w:p>
    <w:p w:rsidR="00A90898" w:rsidRDefault="00A90898" w:rsidP="00A90898">
      <w:pPr>
        <w:pStyle w:val="TextoNormal"/>
      </w:pPr>
    </w:p>
    <w:p w:rsidR="00A90898" w:rsidRDefault="00A90898" w:rsidP="00A90898">
      <w:pPr>
        <w:pStyle w:val="TextoNormal"/>
      </w:pPr>
      <w:r>
        <w:t>k) Mediante escrito de 22 de noviembre de 2013, Inversiones Castañeda, S.A., vuelve a oponerse al planteamiento de la cuestión de inconstitucionalidad. Destaca que, conforme a la providencia anterior la duda de inconstitucionalidad se refiere, no a la exigencia de la tasa para acceder a los juzgados y Tribunales, sino a su cuantía, que pudiera ser excesiva. Insiste en que la parte apelante no ha acreditado ni tan siquiera indiciariamente que el pago de la tasa le impida obtener tutela judicial efectiva. En escritos posteriores, la indicada entidad mercantil aporta determinados Autos dictados en otros procedimientos, por si pudieran tenerse en cuenta en el presente. Según afirma, rechazan plantear una cuestión interesada en los mismos términos por la parte apelante del presente procedimiento así como inadmiten un recurso de casación por falta de liquidación de la tasa correspondiente, habiendo invocado don Manuel Ruiz, sin ser cierto, que pidió el beneficio de la justicia gratuita. Todo esto clarificaría suficientemente que la verdadera estrategia del recurrente en el presente litigio es eludir el pago de la tasa judicial, acudiendo a los cauces necesarios, por estrafalarios que sean.</w:t>
      </w:r>
    </w:p>
    <w:p w:rsidR="00A90898" w:rsidRDefault="00A90898" w:rsidP="00A90898">
      <w:pPr>
        <w:pStyle w:val="TextoNormal"/>
      </w:pPr>
    </w:p>
    <w:p w:rsidR="00A90898" w:rsidRDefault="00A90898" w:rsidP="00A90898">
      <w:pPr>
        <w:pStyle w:val="TextoNormal"/>
      </w:pPr>
      <w:r>
        <w:t>l) Mediante escrito de 2 de diciembre de 2013, don Manuel Ruiz de Villa Gómez-Setien, formula alegaciones favorables al planteamiento de la cuestión de inconstitucionalidad.</w:t>
      </w:r>
    </w:p>
    <w:p w:rsidR="00A90898" w:rsidRDefault="00A90898" w:rsidP="00A90898">
      <w:pPr>
        <w:pStyle w:val="TextoNormal"/>
      </w:pPr>
    </w:p>
    <w:p w:rsidR="00A90898" w:rsidRDefault="00A90898" w:rsidP="00A90898">
      <w:pPr>
        <w:pStyle w:val="TextoNormal"/>
      </w:pPr>
      <w:r>
        <w:t>m) Mediante escrito de 12 de diciembre de 2013, la Fiscal muestra su conformidad con el planteamiento de la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3</w:t>
      </w:r>
      <w:r>
        <w:t xml:space="preserve">. El Auto de 20 de enero de 2014 del Juzgado de Primera Instancia e Instrucción núm. 1 de Torrelavega razona primero que el art. 7 de la Ley 10/2012 (con las modificaciones introducidas por el Real Decreto-ley 3/2013, de 22 de febrero) es claramente aplicable al caso, puesto que establece los criterios de cálculo con arreglo a los cuales ha de fijarse la tasa cuyo pago constituye una condición de admisibilidad del recurso de apelación ya formalizado en el orden jurisdiccional civil por don Manuel Ruiz de Villa Gómez-Setien. Tras citar varias Sentencias de Tribunales Constitucionales y del Tribunal Europeo de Derechos Humanos, razona que el derecho a acceder a un recurso contra decisiones judiciales previas, aunque deriva propiamente de la legislación procesal, una vez establecido forma parte del </w:t>
      </w:r>
      <w:r>
        <w:lastRenderedPageBreak/>
        <w:t>objeto tutelado por el art. 24 CE. De modo que los límites que dificultan el derecho al recurso pueden vulnerar el derecho fundamental a la tutela judicial efectiva, si resultan innecesarios, excesivos y carecen de razonabilidad o proporcionalidad respecto de los fines lícitamente perseguidos. Admitiendo que las tasas previstas en el art. 7 de la Ley 10/2012 cumplen los criterios de idoneidad y adecuación, concluye, tras calcular el importe resultante en varios supuestos, que incumplen la exigencia de intervención mínima por razón de su elevada cuantía.</w:t>
      </w:r>
    </w:p>
    <w:p w:rsidR="00A90898" w:rsidRDefault="00A90898" w:rsidP="00A90898">
      <w:pPr>
        <w:pStyle w:val="TextoNormal"/>
      </w:pPr>
    </w:p>
    <w:p w:rsidR="00A90898" w:rsidRDefault="00A90898" w:rsidP="00A90898">
      <w:pPr>
        <w:pStyle w:val="TextoNormal"/>
      </w:pPr>
      <w:r w:rsidRPr="00A90898">
        <w:rPr>
          <w:rStyle w:val="NumeroAFNegritaCaracter"/>
        </w:rPr>
        <w:t>4</w:t>
      </w:r>
      <w:r>
        <w:t>. Por providencia de 10 de marzo de 2014, el Pleno del Tribunal Constitucional acuerda admitir a trámite la presente cuestión de inconstitucionalidad; reservarse su conocimiento conforme al art. 10.1 c) de la Ley Orgánica del Tribunal Constitucional (LOTC); dar traslado de las actuaciones recibidas, conforme al art. 37.3 LOTC, al Congreso de los Diputados, al Senado, al Gobierno y al Fiscal General del Estado, al objeto de que, en el plazo de quince días, puedan personarse en el proceso y formular las alegaciones que estimen convenientes; comunicar esta providencia al Juzgado de Primera Instancia e Instrucción núm. 1 de Torrelavega a fin de que, conforme al art. 35.3 LOTC, permanezca suspendido el proceso hasta la resolución definitiva de la cuestión y publicar la incoación de esta en el “Boletín Oficial del Estado” (lo que se llevó a efecto en el núm. 64, de 15 de marzo de 2014).</w:t>
      </w:r>
    </w:p>
    <w:p w:rsidR="00A90898" w:rsidRDefault="00A90898" w:rsidP="00A90898">
      <w:pPr>
        <w:pStyle w:val="TextoNormal"/>
      </w:pPr>
    </w:p>
    <w:p w:rsidR="00A90898" w:rsidRDefault="00A90898" w:rsidP="00A90898">
      <w:pPr>
        <w:pStyle w:val="TextoNormal"/>
      </w:pPr>
      <w:r w:rsidRPr="00A90898">
        <w:rPr>
          <w:rStyle w:val="NumeroAFNegritaCaracter"/>
        </w:rPr>
        <w:t>5</w:t>
      </w:r>
      <w:r>
        <w:t>. Mediante escritos registrados con fecha 19 y 21 de marzo de 2014, respectivamente, los Presidentes del Senado y del Congreso de los Diputados comunican los acuerdos de la Mesa de la Cámara correspondiente de personarse en el procedimiento y ofrecer su colaboración a los efectos del art. 88.1 LOTC.</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escrito registrado en este Tribunal el 2 de abril de 2014, el Abogado del Estado se opone a la cuestión de inconstitucionalidad. El Auto de planteamiento incumpliría el juicio de aplicabilidad y relevancia (art. 35 LOTC) en lo que se refiere a la cuantificación de las tasas del orden contencioso-administrativo. La cuestión sería admisible únicamente en aquellos aspectos del art. 7 de la Ley 10/2012 relativos a dicha cuantificación en recursos de apelación del orden civil. No obstante, la cuestión habría de desestimarse en este punto, pues no resultaría vulnerado el derecho fundamental a la tutela judicial efectiva (art. 24.1 CE).</w:t>
      </w:r>
    </w:p>
    <w:p w:rsidR="00A90898" w:rsidRDefault="00A90898" w:rsidP="00A90898">
      <w:pPr>
        <w:pStyle w:val="TextoNormal"/>
      </w:pPr>
    </w:p>
    <w:p w:rsidR="00A90898" w:rsidRDefault="00A90898" w:rsidP="00A90898">
      <w:pPr>
        <w:pStyle w:val="TextoNormal"/>
      </w:pPr>
      <w:r w:rsidRPr="00A90898">
        <w:rPr>
          <w:rStyle w:val="NumeroAFNegritaCaracter"/>
        </w:rPr>
        <w:t>7</w:t>
      </w:r>
      <w:r>
        <w:t xml:space="preserve">. Mediante escrito registrado con fecha 21 de abril de 2014, el Fiscal General del Estado razona en primer término que el cuestionamiento de constitucionalidad debe entenderse limitado a la parte del art. 7 de la Ley 10/2012, en la redacción dada por el Real Decreto-ley 3/2013, que se refiere a la cantidad fija en el orden jurisdiccional civil en lo relativo a la interposición del recurso de apelación (apartado 1, con exclusión de los demás supuestos a los que se refiere esta previsión). También a su apartado 3, al ser el apelante una persona física, quedando excluido el apartado 2, por ser aplicable únicamente a las personas jurídicas. Así delimitado el objeto del proceso, el Fiscal General del Estado razona que la cuantía fija prevista (800 €) para interponer apelaciones civiles vulnera el art. 24.1 CE por ser desproporcionada y disuasoria; la Ley no contempla mecanismos de moderación que permitan neutralizar dicho efecto en asuntos de baja cuantía. En cambio, la cuantía variable prevista no podría reputarse por sí desproporcionada ni lesiva del art. 24.1 CE, teniendo en cuenta que el canon aplicable a las limitaciones del derecho al recurso (razonabilidad) es menos </w:t>
      </w:r>
      <w:r>
        <w:lastRenderedPageBreak/>
        <w:t>penetrante que el relativo a las limitaciones del derecho de acceso a la jurisdicción (proporcionalidad). Pone de relieve que, tras el art. 3 del Real Decreto-ley 3/2013, ha quedado fijado un tipo reducido del 0,10 por 100 de la base imponible, con un límite máximo de cuantía variable de 2.000 €, notablemente inferior al anterior de 10.000 € e, incluso, al de 6.000 € que establecía el art. 35 de la Ley 53/2002. A su vez, ese límite máximo de 2.000€ se devengará solo en contadísimos casos, cuando la cuantía del pleito o recurso alcance la cifra de 2.000.000 €. Por lo demás, en estos excepcionales supuestos cabe presumir la capacidad económica y financiera del recurrente, sin olvidar que las tasas o precios públicos, a diferencia de los impuestos, no se cuantifican en función de esa capacidad. Por todo ello solicita la estimación parcial de la cuestión con declaración de inconstitucionalidad del art. 7.1 de la Ley 10/2012, en lo que afecta exclusivamente al pago de la cantidad fija de la tasa por personas físicas en el orden jurisdiccional civil para la interposición del recurso de apelación.</w:t>
      </w:r>
    </w:p>
    <w:p w:rsidR="00A90898" w:rsidRDefault="00A90898" w:rsidP="00A90898">
      <w:pPr>
        <w:pStyle w:val="TextoNormal"/>
      </w:pPr>
    </w:p>
    <w:p w:rsidR="00A90898" w:rsidRDefault="00A90898" w:rsidP="00A90898">
      <w:pPr>
        <w:pStyle w:val="TextoNormal"/>
      </w:pPr>
      <w:r w:rsidRPr="00A90898">
        <w:rPr>
          <w:rStyle w:val="NumeroAFNegritaCaracter"/>
        </w:rPr>
        <w:t>8</w:t>
      </w:r>
      <w:r>
        <w:t>. Mediante providencia de fecha 20 de diciembre de 2016 se señaló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El Juzgado de Primera Instancia e Instrucción núm. 1 de Torrelavega plantea cuestión de inconstitucionalidad sobre el art. 7 de la Ley 10/2012, de 20 de noviembre, por el que se regulan determinadas tasas en el ámbito de la Administración de Justicia y del Instituto Nacional de Toxicología y Ciencias Forenses, con las modificaciones introducidas por el Real Decreto-ley 3/2013, de 22 de febrero. Considera que esta regulación vulnera el derecho a la tutela judicial efectiva (art. 24.1 CE), en su vertiente de derecho de acceso a los recursos legalmente establecidos.</w:t>
      </w:r>
    </w:p>
    <w:p w:rsidR="00A90898" w:rsidRDefault="00A90898" w:rsidP="00A90898">
      <w:pPr>
        <w:pStyle w:val="TextoNormal"/>
      </w:pPr>
    </w:p>
    <w:p w:rsidR="00A90898" w:rsidRDefault="00A90898" w:rsidP="00A90898">
      <w:pPr>
        <w:pStyle w:val="TextoNormal"/>
      </w:pPr>
      <w:r>
        <w:t>El órgano judicial plantea formalmente la cuestión de inconstitucionalidad respecto de todas las previsiones incluidas en el art. 7 de la Ley 10/2012, con las modificaciones introducidas por el Real Decreto-ley 3/2013. Sin embargo, a la vista de sus razonamientos sobre el juicio de aplicabilidad y de que la cuestión se plantea con ocasión de la interposición de un recurso de apelación por una persona física en el orden jurisdiccional civil, debe entenderse que, en realidad, el juzgado cuestiona únicamente el inciso “en el orden jurisdiccional civil … apelación: 800 €” del apartado 1, así como el apartado 3, conforme al que cuando “el sujeto pasivo sea persona física se satisfará, además, la cantidad que resulte de aplicar a la base imponible de la tasa un tipo del 0,10 por ciento con el límite de cuantía variable de 2.000 euros”. Han de tenerse por no cuestionadas, por tanto, las demás previsiones del art. 7 de la Ley 10/2012 (en la redacción dada por el Real Decreto-ley 3/2013), que se refieren a la cuantía fija de la tasa judicial en otros procesos civiles y en otros órdenes jurisdiccionales (demás incisos del apartado 1), así como a la cuota variable exigida a las personas jurídicas (apartado 2).</w:t>
      </w:r>
    </w:p>
    <w:p w:rsidR="00A90898" w:rsidRDefault="00A90898" w:rsidP="00A90898">
      <w:pPr>
        <w:pStyle w:val="TextoNormal"/>
      </w:pPr>
    </w:p>
    <w:p w:rsidR="00A90898" w:rsidRDefault="00A90898" w:rsidP="00A90898">
      <w:pPr>
        <w:pStyle w:val="TextoNormal"/>
      </w:pPr>
      <w:r>
        <w:t xml:space="preserve">El Juzgado considera que las previsiones legales cuestionadas cumplen los criterios de idoneidad y adecuación, pero no la exigencia de intervención mínima derivada del art. 24.1 CE, por razón de la elevada cuantía resultante en casos como el planteado en el proceso </w:t>
      </w:r>
      <w:r w:rsidRPr="00A90898">
        <w:rPr>
          <w:i/>
        </w:rPr>
        <w:t>a quo</w:t>
      </w:r>
      <w:r>
        <w:t xml:space="preserve">. El Abogado del Estado descarta la vulneración indicada. En cambio, la afirma el Fiscal </w:t>
      </w:r>
      <w:r>
        <w:lastRenderedPageBreak/>
        <w:t>General del Estado, aunque solo en lo relativo a la cuantía fija prevista para impetrar recursos de apelación en el orden jurisdiccional civil (art. 7.1 de la Ley 10/2012).</w:t>
      </w:r>
    </w:p>
    <w:p w:rsidR="00A90898" w:rsidRDefault="00A90898" w:rsidP="00A90898">
      <w:pPr>
        <w:pStyle w:val="TextoNormal"/>
      </w:pPr>
    </w:p>
    <w:p w:rsidR="00A90898" w:rsidRDefault="00A90898" w:rsidP="00A90898">
      <w:pPr>
        <w:pStyle w:val="TextoNormal"/>
      </w:pPr>
      <w:r w:rsidRPr="00A90898">
        <w:rPr>
          <w:rStyle w:val="NumeroAFNegritaCaracter"/>
        </w:rPr>
        <w:t>2</w:t>
      </w:r>
      <w:r>
        <w:t>. Corresponde en primer término determinar las implicaciones que para el presente proceso puede entrañar que, con posterioridad al planteamiento de la cuestión de inconstitucionalidad, la Ley 10/2012 haya sido modificada por el Real Decreto-ley 1/2015, de 27 de febrero, y la Ley 25/2015, de 28 de julio. Se trata, más precisamente, de valorar la incidencia que estas reformas puedan tener sobre el cuestionamiento de inconstitucionalidad del apartado 1, en su inciso “en el orden jurisdiccional civil … apelación: 800 €”, así como del apartado 3, ambos del art. 7 de la Ley 10/2012.</w:t>
      </w:r>
    </w:p>
    <w:p w:rsidR="00A90898" w:rsidRDefault="00A90898" w:rsidP="00A90898">
      <w:pPr>
        <w:pStyle w:val="TextoNormal"/>
      </w:pPr>
    </w:p>
    <w:p w:rsidR="00A90898" w:rsidRDefault="00A90898" w:rsidP="00A90898">
      <w:pPr>
        <w:pStyle w:val="TextoNormal"/>
      </w:pPr>
      <w:r>
        <w:t>El art. 11.1 del Real Decreto-ley 1/2015 (reiterado en el art. 10.1 de la Ley 25/2015) ha dado nueva redacción al art. 4 de la Ley 10/2012. En lo que aquí importa, como consecuencia de esta reforma las personas físicas han quedado exentas de la tasa judicial [nuevo art. 4.2 a) de la Ley 10/2012]. A su vez, el art. 11.3 (reiterado en el art. 10.3 de la Ley 25/2015) ha suprimido el apartado 3 del art. 7 de la Ley 10/2012. Conforme a la disposición final tercera, ambas previsiones entraron en vigor al día siguiente de su publicación en el “Boletín Oficial del Estado”, esto es, el 1 de marzo de 2015.</w:t>
      </w:r>
    </w:p>
    <w:p w:rsidR="00A90898" w:rsidRDefault="00A90898" w:rsidP="00A90898">
      <w:pPr>
        <w:pStyle w:val="TextoNormal"/>
      </w:pPr>
    </w:p>
    <w:p w:rsidR="00A90898" w:rsidRDefault="00A90898" w:rsidP="00A90898">
      <w:pPr>
        <w:pStyle w:val="TextoNormal"/>
      </w:pPr>
      <w:r>
        <w:t xml:space="preserve">Como regla general, “ni la derogación ni la modificación de la norma cuestionada provocan la desaparición sobrevenida del objeto de la cuestión, ya que la aplicabilidad de la norma en el proceso </w:t>
      </w:r>
      <w:r w:rsidRPr="00A90898">
        <w:rPr>
          <w:i/>
        </w:rPr>
        <w:t>a quo</w:t>
      </w:r>
      <w:r>
        <w:t xml:space="preserve">, con el enunciado vigente en el momento de plantearse la cuestión, puede seguir requiriendo el juicio de constitucionalidad” (por todas, STC 83/2015, de 30 de abril, FJ 3). En el presente caso, en modo alguno puede descartarse que el órgano judicial, al realizar la tarea de selección de normas que le compete (art. 117.3 CE), pudiera llegar a interpretar que los preceptos cuestionados siguen siendo aplicables al proceso </w:t>
      </w:r>
      <w:r w:rsidRPr="00A90898">
        <w:rPr>
          <w:i/>
        </w:rPr>
        <w:t>a quo</w:t>
      </w:r>
      <w:r>
        <w:t xml:space="preserve"> y que, por tanto, este no ha resultado afectado por la derogación del art. 7.3 de la Ley 10/2012 ni, en general, por el régimen de exención del pago de la tasa establecido ahora para las personas físicas.</w:t>
      </w:r>
    </w:p>
    <w:p w:rsidR="00A90898" w:rsidRDefault="00A90898" w:rsidP="00A90898">
      <w:pPr>
        <w:pStyle w:val="TextoNormal"/>
      </w:pPr>
    </w:p>
    <w:p w:rsidR="00A90898" w:rsidRDefault="00A90898" w:rsidP="00A90898">
      <w:pPr>
        <w:pStyle w:val="TextoNormal"/>
      </w:pPr>
      <w:r>
        <w:t>Debe apreciarse, por tanto, que ni Real Decreto-ley 1/2015 ni la Ley 25/2015 han determinado la desaparición sobrevenida del objeto de la presente cuestión de inconstitucionalidad.</w:t>
      </w:r>
    </w:p>
    <w:p w:rsidR="00A90898" w:rsidRDefault="00A90898" w:rsidP="00A90898">
      <w:pPr>
        <w:pStyle w:val="TextoNormal"/>
      </w:pPr>
    </w:p>
    <w:p w:rsidR="00A90898" w:rsidRDefault="00A90898" w:rsidP="00A90898">
      <w:pPr>
        <w:pStyle w:val="TextoNormal"/>
      </w:pPr>
      <w:r w:rsidRPr="00A90898">
        <w:rPr>
          <w:rStyle w:val="NumeroAFNegritaCaracter"/>
        </w:rPr>
        <w:t>3</w:t>
      </w:r>
      <w:r>
        <w:t>. Por otra parte, tras la admisión de la presente cuestión, este Tribunal ha dictado la STC 140/2016, de 21 de julio, resolutoria del recurso de inconstitucionalidad núm. 973-2013 interpuesto por diputados del Grupo Parlamentario Socialista del Congreso de los Diputados respecto de diversos preceptos de la Ley 10/2012, en su redacción original. Corresponde, pues, valorar también las implicaciones que esta Sentencia pueda tener en el presente proceso constitucional.</w:t>
      </w:r>
    </w:p>
    <w:p w:rsidR="00A90898" w:rsidRDefault="00A90898" w:rsidP="00A90898">
      <w:pPr>
        <w:pStyle w:val="TextoNormal"/>
      </w:pPr>
    </w:p>
    <w:p w:rsidR="00A90898" w:rsidRDefault="00A90898" w:rsidP="00A90898">
      <w:pPr>
        <w:pStyle w:val="TextoNormal"/>
      </w:pPr>
      <w:r>
        <w:t>a) La STC 140/2016 declaró la inconstitucionalidad y nulidad, con los efectos indicados en su fundamento jurídico 15, de las previsiones relativas a la cuota variable de la tasa judicial incluidas en la redacción originaria de la Ley 10/2012 (art. 7.2). Conforme a ellas, la cuota variable resultaba de aplicar un tipo de gravamen (fijado conforme a la escala que recogía el precepto) a la base imponible (determinada a partir de la cuantía del procedimiento o recurso de acuerdo con el art. 6).</w:t>
      </w:r>
    </w:p>
    <w:p w:rsidR="00A90898" w:rsidRDefault="00A90898" w:rsidP="00A90898">
      <w:pPr>
        <w:pStyle w:val="TextoNormal"/>
      </w:pPr>
    </w:p>
    <w:p w:rsidR="00A90898" w:rsidRDefault="00A90898" w:rsidP="00A90898">
      <w:pPr>
        <w:pStyle w:val="TextoNormal"/>
      </w:pPr>
      <w:r>
        <w:lastRenderedPageBreak/>
        <w:t>El recurso de inconstitucionalidad resuelto por la STC 140/2016 impugnó la redacción original de varios preceptos de la Ley 10/2012. No formaba parte del objeto de aquel proceso la regulación que introdujo después el art. 1 del Real Decreto-ley 3/2013, que, en lo que ahora importa, dio nueva redacción al apartado 2, a la vez que introdujo un nuevo apartado 3, ambos del art. 7 de la Ley 10/2012. De modo que las previsiones relativas a la cuantía variable de la tasa judicial que cuestiona el Juzgado de Primera Instancia e Instrucción núm. 1 de Torrelavega no son las que aquella Sentencia ha declarado inconstitucionales y nulas. El Auto de planteamiento duda específicamente de la constitucionalidad del nuevo apartado 3, ya en vigor en la fecha de la interposición del recurso de apelación interpuesto ante el órgano judicial promotor de la cuestión.</w:t>
      </w:r>
    </w:p>
    <w:p w:rsidR="00A90898" w:rsidRDefault="00A90898" w:rsidP="00A90898">
      <w:pPr>
        <w:pStyle w:val="TextoNormal"/>
      </w:pPr>
    </w:p>
    <w:p w:rsidR="00A90898" w:rsidRDefault="00A90898" w:rsidP="00A90898">
      <w:pPr>
        <w:pStyle w:val="TextoNormal"/>
      </w:pPr>
      <w:r>
        <w:t>Consecuentemente, el fallo de la STC 140/2016 no ha determinado la pérdida sobrevenida de objeto de la cuestión en lo que atañe al art. 7.3 de la Ley 10/2012, añadido por el art. 1.8 del Real Decreto-ley 3/2013.</w:t>
      </w:r>
    </w:p>
    <w:p w:rsidR="00A90898" w:rsidRDefault="00A90898" w:rsidP="00A90898">
      <w:pPr>
        <w:pStyle w:val="TextoNormal"/>
      </w:pPr>
    </w:p>
    <w:p w:rsidR="00A90898" w:rsidRDefault="00A90898" w:rsidP="00A90898">
      <w:pPr>
        <w:pStyle w:val="TextoNormal"/>
      </w:pPr>
      <w:r>
        <w:t>b) La STC 140/2016 ha declarado la inconstitucionalidad y nulidad del inciso del art. 7.1 de la Ley 10/2012 que aquí se cuestiona (“en el orden jurisdiccional civil … apelación: 800 €”). La redacción de este inciso no ha sufrido modificaciones por lo que una primera aproximación podría llevar a la conclusión de que, como consecuencia de la indicada declaración de inconstitucionalidad y nulidad, la presente cuestión, en lo atinente al concreto inciso cuestionado, habría perdido objeto de forma sobrevenida.</w:t>
      </w:r>
    </w:p>
    <w:p w:rsidR="00A90898" w:rsidRDefault="00A90898" w:rsidP="00A90898">
      <w:pPr>
        <w:pStyle w:val="TextoNormal"/>
      </w:pPr>
    </w:p>
    <w:p w:rsidR="00A90898" w:rsidRDefault="00A90898" w:rsidP="00A90898">
      <w:pPr>
        <w:pStyle w:val="TextoNormal"/>
      </w:pPr>
      <w:r>
        <w:t>Sin embargo, debe repararse en que el fallo de la STC 140/2016 realizó la declaración de inconstitucionalidad y nulidad del art. 7.1 de la Ley 10/2012 “con los efectos indicados en el anterior fundamento jurídico 15”. Allí precisó que la inconstitucionalidad declarada “supone la nulidad del apartado 1 del art. 7 de la Ley 10/2012, de 20 de noviembre, en los distintos incisos que prevén, de manera separada, las cuotas fijas siguientes, en este caso a las personas jurídicas”. A la vista de esta determinación de efectos, cabe apreciar que la STC 140/2016 expulsó del ordenamiento jurídico el art. 7.1 de la Ley 10/2012 únicamente en cuanto precepto aplicable a las personas jurídicas. Dicho de otro modo, la indicada Sentencia no ha supuesto la íntegra eliminación del precepto. Este subsiste o, más precisamente, nuestra Sentencia lo preserva, en cuanto norma aplicable a las personas físicas. Es lo que el fallo de la STC 140/2016 vino a confirmar al declarar “la pérdida sobrevenida del objeto del presente recurso en lo que se refiere a la impugnación de los arts. 1 y 7, en su aplicación a las personas físicas”, a la vista de que el Real Decreto-ley 1/2015 ha eximido del pago de la tasa judicial a todas las personas físicas (FJ 2).</w:t>
      </w:r>
    </w:p>
    <w:p w:rsidR="00A90898" w:rsidRDefault="00A90898" w:rsidP="00A90898">
      <w:pPr>
        <w:pStyle w:val="TextoNormal"/>
      </w:pPr>
    </w:p>
    <w:p w:rsidR="00A90898" w:rsidRDefault="00A90898" w:rsidP="00A90898">
      <w:pPr>
        <w:pStyle w:val="TextoNormal"/>
      </w:pPr>
      <w:r>
        <w:t>El Juzgado de Primera Instancia e Instrucción núm. 1 de Torrelavega duda de la constitucionalidad del inciso “en el orden jurisdiccional civil … apelación: 800 €” del art. 7.1 de la Ley 10/2012 en su aplicación a un recurso de apelación interpuesto por persona física. Comoquiera que el razonamiento expuesto conduce a entender que la STC 140/2016 no ha expulsado del ordenamiento jurídico la previsión cuestionada, hay que apreciar que el objeto del presente proceso constitucional permanece inalterado.</w:t>
      </w:r>
    </w:p>
    <w:p w:rsidR="00A90898" w:rsidRDefault="00A90898" w:rsidP="00A90898">
      <w:pPr>
        <w:pStyle w:val="TextoNormal"/>
      </w:pPr>
    </w:p>
    <w:p w:rsidR="00A90898" w:rsidRDefault="00A90898" w:rsidP="00A90898">
      <w:pPr>
        <w:pStyle w:val="TextoNormal"/>
      </w:pPr>
      <w:r>
        <w:t>c) La STC 140/2016, aunque, según lo que acabamos de razonar, no haya afectado al objeto del presente proceso, está llamada, naturalmente, a condicionar su desenlace. Su doc</w:t>
      </w:r>
      <w:r>
        <w:lastRenderedPageBreak/>
        <w:t>trina resulta directamente aplicable a este proceso. Procede por ello dar aquí por reproducidos sus fundamentos jurídicos 3 a 14, sin perjuicio de la conveniencia de traer a colación los pasajes más relevantes para el enjuiciamiento que ahora corresponde.</w:t>
      </w:r>
    </w:p>
    <w:p w:rsidR="00A90898" w:rsidRDefault="00A90898" w:rsidP="00A90898">
      <w:pPr>
        <w:pStyle w:val="TextoNormal"/>
      </w:pPr>
    </w:p>
    <w:p w:rsidR="00A90898" w:rsidRDefault="00A90898" w:rsidP="00A90898">
      <w:pPr>
        <w:pStyle w:val="TextoNormal"/>
      </w:pPr>
      <w:r w:rsidRPr="00A90898">
        <w:rPr>
          <w:rStyle w:val="NumeroAFNegritaCaracter"/>
        </w:rPr>
        <w:t>4</w:t>
      </w:r>
      <w:r>
        <w:t>. El órgano judicial cuestiona el inciso “en el orden jurisdiccional civil … apelación: 800 €” del art. 7.1 de la Ley 10/2012. No duda de que, al exigir el abono de esta cuantía, el legislador ha establecido una limitación del derecho al recurso (art. 24.1 CE) que responde a una finalidad legítima. Su duda se refiere al alcance de esa cuantía; resultaría desproporcionada y, en cuanto tal, contraria al art. 24.1 CE.</w:t>
      </w:r>
    </w:p>
    <w:p w:rsidR="00A90898" w:rsidRDefault="00A90898" w:rsidP="00A90898">
      <w:pPr>
        <w:pStyle w:val="TextoNormal"/>
      </w:pPr>
    </w:p>
    <w:p w:rsidR="00A90898" w:rsidRDefault="00A90898" w:rsidP="00A90898">
      <w:pPr>
        <w:pStyle w:val="TextoNormal"/>
      </w:pPr>
      <w:r>
        <w:t>A fin de abordar la cuestión planteada, corresponde tomar en consideración el canon que la STC 140/2016, FJ 12, derivó del art. 24.1 CE al resolver la impugnación de este mismo precepto, en su aplicación a las personas jurídicas: “en el presente supuesto donde el problema no radica en examinar el efecto de cierre del proceso, sino en si la propia cuantía de la demanda determina la restricción en el ejercicio del derecho al recurso, consideramos que debe ser aplicable aquí el canon antes derivado de la STC 37/1995, adaptado al ámbito de control de la norma, entendido como la verificación de que el legislador ha justificado los criterios conforme a los cuales fija el importe de cada una de las tasas para recurrir”.</w:t>
      </w:r>
    </w:p>
    <w:p w:rsidR="00A90898" w:rsidRDefault="00A90898" w:rsidP="00A90898">
      <w:pPr>
        <w:pStyle w:val="TextoNormal"/>
      </w:pPr>
    </w:p>
    <w:p w:rsidR="00A90898" w:rsidRDefault="00A90898" w:rsidP="00A90898">
      <w:pPr>
        <w:pStyle w:val="TextoNormal"/>
      </w:pPr>
      <w:r>
        <w:t>Al aplicar el señalado canon, la STC 140/2016, FJ 12, realizó una serie de consideraciones respecto de la cuota fija en cada una de las tasas exigidas en recursos contra resoluciones judiciales previas que, necesariamente, hemos de trasladar al enjuiciamiento del inciso cuestionado.</w:t>
      </w:r>
    </w:p>
    <w:p w:rsidR="00A90898" w:rsidRDefault="00A90898" w:rsidP="00A90898">
      <w:pPr>
        <w:pStyle w:val="TextoNormal"/>
      </w:pPr>
    </w:p>
    <w:p w:rsidR="00A90898" w:rsidRDefault="00A90898" w:rsidP="00A90898">
      <w:pPr>
        <w:pStyle w:val="TextoNormal"/>
      </w:pPr>
      <w:r>
        <w:t>a) En primer lugar, declaró: “partiendo del dato evidente de que la Ley actual ha tenido como referente inmediato la regulación de la tasa judicial que ha regido durante diez años con la reintroducción de ésta por mor del art. 35 de la Ley 53/2002, no parece haber tomado en cuenta el legislador el cambio que ha supuesto exigir su pago a la generalidad de las personas físicas y jurídicas, viniendo a fijar unas cuantías muy superiores a las que se habían aplicado a las empresas gravadas con la tasa de aquel artículo 35 … La justificación dada por la memoria del análisis normativo del proyecto de Ley, para la cuantificación de estas tasas, no puede reputarse suficiente. De un lado, se limita a poner de manifiesto (página 17) la legitimidad de establecerlas por encima de las que cabe exigir para la primera instancia, al afectarse, añade, el derecho de acceso al recurso y no a la jurisdicción, lo que sin embargo ya hemos aclarado antes, no es el problema a resolver. De otro lado, se defiende en la memoria (pág. 32) que lo que pueda ingresarse por este concepto no permitirá cubrir el coste de la segunda instancia, limitándose a dar datos globales de las partidas previstas para retribuciones y gastos en bienes y servicios. Sin embargo, esas cifras no se acompañan siquiera de un estudio económico que permita comprender el porqué de la cuantía de la tasa asignada a cada uno de los distintos recursos” (STC 140/2016, FJ 12).</w:t>
      </w:r>
    </w:p>
    <w:p w:rsidR="00A90898" w:rsidRDefault="00A90898" w:rsidP="00A90898">
      <w:pPr>
        <w:pStyle w:val="TextoNormal"/>
      </w:pPr>
    </w:p>
    <w:p w:rsidR="00A90898" w:rsidRDefault="00A90898" w:rsidP="00A90898">
      <w:pPr>
        <w:pStyle w:val="TextoNormal"/>
      </w:pPr>
      <w:r>
        <w:t xml:space="preserve">b) Resulta igualmente trasladable la constatación que allí se hizo de que “la cuantía de las tasas para recurrir resoluciones judiciales del art. 7.1 de la Ley 10/2012, no atiende a la realidad económica de una mayoría de sus destinatarios, para los cuales resulta excesiva”. La STC 140/2016, FJ 12, justificó esta constatación a través de “datos obtenidos de estadísticas oficiales, método de valoración empleado por este Tribunal en supuestos de vulneración de derechos fundamentales”. Tal justificación quedó limitada entonces a lo atinente a </w:t>
      </w:r>
      <w:r>
        <w:lastRenderedPageBreak/>
        <w:t>las personas jurídicas. Corresponde ahora desarrollarla con relación a las personas físicas, también mediante datos obtenidos de estadísticas oficiales.</w:t>
      </w:r>
    </w:p>
    <w:p w:rsidR="00A90898" w:rsidRDefault="00A90898" w:rsidP="00A90898">
      <w:pPr>
        <w:pStyle w:val="TextoNormal"/>
      </w:pPr>
    </w:p>
    <w:p w:rsidR="00A90898" w:rsidRDefault="00A90898" w:rsidP="00A90898">
      <w:pPr>
        <w:pStyle w:val="TextoNormal"/>
      </w:pPr>
      <w:r>
        <w:t xml:space="preserve">A este respecto, cabe considerar, en primer lugar, dentro de las personas físicas, a los trabajadores por cuenta ajena en España. La mayor parte de este sector de la población activa (hombres y mujeres) se concentra, sin cambios cuanto menos en el periodo 2004 a 2013, en los tres eslabones más bajos de retribución en función del salario mínimo interprofesional, el cual quedó fijado en el año 2013 en 645,30 euros mensuales (art. 1 del Real Decreto 1717/2012, de 28 de diciembre), el de 2014 en 645,30 euros mensuales (art. 1 del Real Decreto 1046/2013, de 27 de diciembre), el de 2015 en 648,60 euros mensuales (art. 1 del Real Decreto 1106/2014, de 26 de diciembre) y el de 2016 en 655,20 euros mensuales (art. 1 del Real Decreto 1171/2015, de 29 de diciembre). De esos eslabones, que el Instituto Nacional de Estadística estratifica en nueve en total, cada uno correspondiente a la renta de un salario mínimo interprofesional (el último es el de “más de 8 veces el salario mínimo interprofesional”), únicamente el más bajo, el que se sitúa en la franja de 0 a un salario mínimo interprofesional y que representa al 13,28 por 100 del total de los trabajadores en 2013, tiene asegurado el beneficio de justicia gratuita. Los demás no están libres del pago de la tasa y dependerían de circunstancias particulares (existencia de una unidad familiar y composición de ésta; o gastos personales y familiares susceptibles de ser ponderados </w:t>
      </w:r>
      <w:r w:rsidRPr="00A90898">
        <w:rPr>
          <w:i/>
        </w:rPr>
        <w:t>ex</w:t>
      </w:r>
      <w:r>
        <w:t xml:space="preserve"> art. 5 de la Ley 1/1996).</w:t>
      </w:r>
    </w:p>
    <w:p w:rsidR="00A90898" w:rsidRDefault="00A90898" w:rsidP="00A90898">
      <w:pPr>
        <w:pStyle w:val="TextoNormal"/>
      </w:pPr>
    </w:p>
    <w:p w:rsidR="00A90898" w:rsidRDefault="00A90898" w:rsidP="00A90898">
      <w:pPr>
        <w:pStyle w:val="TextoNormal"/>
      </w:pPr>
      <w:r>
        <w:t>Si se suman los trabajadores que se integran en las franjas inmediatas que no tienen garantizada, como decimos, la justicia gratuita, esto es, los que ganan de uno a dos veces el salario mínimo interprofesional (los cuales representan el 32,96 por 100 del total de trabajadores en 2013); los de dos a tres veces el salario mínimo interprofesional (el 26,08 por 100 del total en 2013); y los de tres a cuatro veces el salario mínimo interprofesional (el 13 por 100 del total en 2013), cada uno con su propio grado de vulnerabilidad económica, juntos reúnen el 72,04 por 100 del total de los trabajadores por cuenta ajena del país [fuente: INE, “Encuesta anual de estructura salarial. Serie 2004-2007 y Serie 2008-2013. Distribución Salarial. Porcentaje de trabajadores en función de su ganancia con respecto al SMI”].</w:t>
      </w:r>
    </w:p>
    <w:p w:rsidR="00A90898" w:rsidRDefault="00A90898" w:rsidP="00A90898">
      <w:pPr>
        <w:pStyle w:val="TextoNormal"/>
      </w:pPr>
    </w:p>
    <w:p w:rsidR="00A90898" w:rsidRDefault="00A90898" w:rsidP="00A90898">
      <w:pPr>
        <w:pStyle w:val="TextoNormal"/>
      </w:pPr>
      <w:r>
        <w:t>Por lo que respecta a los trabajadores por cuenta propia, según datos del Ministerio de Empleo y Seguridad Social, de los considerados “autónomos propiamente dicho”, el 8,7 por 100 de quienes cotizaron a la Seguridad Social en el último trimestre de 2012, lo hicieron por la base mínima de cotización: 850,20 euros mensuales (base fijada por art. 15.2 de la Orden ESS/184/2012, de 2 de febrero), alcanzando apenas el 6,5 por 100, la cifra de quienes cotizaron por encima del doble de aquella base mínima. Unos porcentajes que se mantienen muy similares al último trimestre de 2013 (85,7 por 100 y 6,4 por 100 respectivamente; base mínima de cotización para 2013 de 858,60 € mensuales, art. 15.2 de la Orden ESS/56/2013, de 28 de enero); último trimestre de 2014 (86,3 por 100 y 6 por 100, respectivamente; base mínima de cotización para 2014 de 875,70 € mensuales, art. 15.2 de la Orden ESS/106/2014, de 31 de enero), y tercer trimestre de 2015 (86,3 por 100 y 5,6 por 100 respectivamente; base mínima de cotización para 2015 de 884,40 € mensuales, art. 15.2 de la Orden ESS/86/2015, de 30 de enero) [fuente: Ministerio de Empleo y Seguridad Social. Secretaría de Estado de Empleo, Dirección General del trabajo autónomo de la economía social y de la responsabilidad social de las empresas: “Resumen de resultados”].</w:t>
      </w:r>
    </w:p>
    <w:p w:rsidR="00A90898" w:rsidRDefault="00A90898" w:rsidP="00A90898">
      <w:pPr>
        <w:pStyle w:val="TextoNormal"/>
      </w:pPr>
    </w:p>
    <w:p w:rsidR="00A90898" w:rsidRDefault="00A90898" w:rsidP="00A90898">
      <w:pPr>
        <w:pStyle w:val="TextoNormal"/>
      </w:pPr>
      <w:r>
        <w:lastRenderedPageBreak/>
        <w:t>A la vista de estos datos, resulta que la determinación de una cuantía fija de 800 € para apelar una resolución judicial cuyo pago supone, para la persona (física) obligada, un esfuerzo económico equivalente a un porcentaje significativo de su renta mensual, incluso, según el caso, superior a ésta, revela una desproporción con el nivel adquisitivo de una parte importante de los ciudadanos, más aún en la actual coyuntura económica general.</w:t>
      </w:r>
    </w:p>
    <w:p w:rsidR="00A90898" w:rsidRDefault="00A90898" w:rsidP="00A90898">
      <w:pPr>
        <w:pStyle w:val="TextoNormal"/>
      </w:pPr>
    </w:p>
    <w:p w:rsidR="00A90898" w:rsidRDefault="00A90898" w:rsidP="00A90898">
      <w:pPr>
        <w:pStyle w:val="TextoNormal"/>
      </w:pPr>
      <w:r>
        <w:t>c) Corresponde igualmente recordar la siguiente apreciación: “La expectativa de una condena en costas a favor de la parte recurrente que ha abonado la tasa, permitiendo así su devolución, es una hipótesis incierta en la primera o única instancia, como ya explicamos (pues no procede necesariamente en caso de vencimiento total de la pretensión y, desde luego, no si este fuere parcial a menos que se apreciara mala fe o temeridad), pero se torna del todo inexistente en vía de recurso, puesto que las diversas leyes procesales únicamente imponen la condena en costas al recurrente que ve rechazado el recurso que ha interpuesto; no se declaran en favor de aquel cuyo recurso sí se ha estimado [art. 398 de la Ley de enjuiciamiento civil (LEC); art. 139.2 de la Ley reguladora de la jurisdicción contencioso-administrativa (LJCA); art. 235 de la Ley reguladora de la jurisdicción social (LJS), con las excepciones ahí contempladas]” (STC 140/2016, FJ 12).</w:t>
      </w:r>
    </w:p>
    <w:p w:rsidR="00A90898" w:rsidRDefault="00A90898" w:rsidP="00A90898">
      <w:pPr>
        <w:pStyle w:val="TextoNormal"/>
      </w:pPr>
    </w:p>
    <w:p w:rsidR="00A90898" w:rsidRDefault="00A90898" w:rsidP="00A90898">
      <w:pPr>
        <w:pStyle w:val="TextoNormal"/>
      </w:pPr>
      <w:r>
        <w:t>d) Se señaló, a su vez, que los “criterios establecidos por el legislador para poder acudir a cada uno de los recursos gravados con la tasa, son de diversa índole y muchos de ellos no atienden siquiera al valor económico del proceso”. En particular, en “el orden civil son recurribles en apelación las sentencias dictadas en procedimientos seguidos, no sólo por razón de la cuantía (más de 3.000 €) sino por razón de la materia” (STC 140/2016, FJ 12).</w:t>
      </w:r>
    </w:p>
    <w:p w:rsidR="00A90898" w:rsidRDefault="00A90898" w:rsidP="00A90898">
      <w:pPr>
        <w:pStyle w:val="TextoNormal"/>
      </w:pPr>
    </w:p>
    <w:p w:rsidR="00A90898" w:rsidRDefault="00A90898" w:rsidP="00A90898">
      <w:pPr>
        <w:pStyle w:val="TextoNormal"/>
      </w:pPr>
      <w:r>
        <w:t>A la vista de los razonamientos de la STC 140/2016, FJ 12, corresponde concluir respecto del inciso indicado del art. 7.1 de la Ley 10/2012, en su aplicación a las personas físicas, que “no se aprecia razón y justificación alguna que acredite que se haya tenido en cuenta que las cuantías establecidas por el art. 7 de la Ley 10/2012, para la interposición de recursos, se adecuen a una capacidad económica que no exceda de la que pueda poseer” una persona física, en este caso; “razón por la que esas tasas resultan contrarias al art. 24.1 CE” (STC 140/2016, FJ 12).</w:t>
      </w:r>
    </w:p>
    <w:p w:rsidR="00A90898" w:rsidRDefault="00A90898" w:rsidP="00A90898">
      <w:pPr>
        <w:pStyle w:val="TextoNormal"/>
      </w:pPr>
    </w:p>
    <w:p w:rsidR="00A90898" w:rsidRDefault="00A90898" w:rsidP="00A90898">
      <w:pPr>
        <w:pStyle w:val="TextoNormal"/>
      </w:pPr>
      <w:r>
        <w:t>En consecuencia, debemos declarar la inconstitucionalidad y nulidad del inciso “en el orden jurisdiccional civil … apelación: 800 €” del art. 7.1 de la Ley 10/2012 también en lo que atañe a las personas físicas.</w:t>
      </w:r>
    </w:p>
    <w:p w:rsidR="00A90898" w:rsidRDefault="00A90898" w:rsidP="00A90898">
      <w:pPr>
        <w:pStyle w:val="TextoNormal"/>
      </w:pPr>
    </w:p>
    <w:p w:rsidR="00A90898" w:rsidRDefault="00A90898" w:rsidP="00A90898">
      <w:pPr>
        <w:pStyle w:val="TextoNormal"/>
      </w:pPr>
      <w:r w:rsidRPr="00A90898">
        <w:rPr>
          <w:rStyle w:val="NumeroAFNegritaCaracter"/>
        </w:rPr>
        <w:t>5</w:t>
      </w:r>
      <w:r>
        <w:t>. El órgano judicial cuestiona igualmente el apartado 3 del art. 7 de la Ley 10/2012, introducido por el art. 1.8 del Real Decreto-ley 3/2013, relativo a la cuota variable de la tasa judicial, esto es, a una segunda cantidad, añadida a los 800 euros previstos en el apartado 1, que ha de abonarse como condición para interponer un recurso de apelación en el orden jurisdiccional civil.</w:t>
      </w:r>
    </w:p>
    <w:p w:rsidR="00A90898" w:rsidRDefault="00A90898" w:rsidP="00A90898">
      <w:pPr>
        <w:pStyle w:val="TextoNormal"/>
      </w:pPr>
    </w:p>
    <w:p w:rsidR="00A90898" w:rsidRDefault="00A90898" w:rsidP="00A90898">
      <w:pPr>
        <w:pStyle w:val="TextoNormal"/>
      </w:pPr>
      <w:r>
        <w:t xml:space="preserve">Hemos aclarado ya que el régimen relativo a la cuota variable que aquí se cuestiona no coincide con el examinado por la STC 140/2016, que lo declaró inconstitucional y nulo, con la determinación de efectos razonada en su fundamento jurídico 15. En efecto, el Real Decreto-ley 3/2013, además de establecer regímenes diferenciados según que el sujeto pasivo fuera persona jurídica (nuevo apartado 2 del art. 7 de la Ley 10/2012) o física (nuevo apartado 3 del art. 7 de la Ley 10/2012), vino a reducir significativamente su alcance. En lo que </w:t>
      </w:r>
      <w:r>
        <w:lastRenderedPageBreak/>
        <w:t>afecta a las personas físicas, que es lo que aquí importa, la previsión cuestionada rebajó tanto los porcentajes que debían aplicarse a la base imponible (que pasan de 0,5 ó 0,25 a 0,1) como la cuantía máxima posible (que pasa de 10.000 a 2.000 €).</w:t>
      </w:r>
    </w:p>
    <w:p w:rsidR="00A90898" w:rsidRDefault="00A90898" w:rsidP="00A90898">
      <w:pPr>
        <w:pStyle w:val="TextoNormal"/>
      </w:pPr>
    </w:p>
    <w:p w:rsidR="00A90898" w:rsidRDefault="00A90898" w:rsidP="00A90898">
      <w:pPr>
        <w:pStyle w:val="TextoNormal"/>
      </w:pPr>
      <w:r>
        <w:t>Ahora bien, la indicada reforma no varió el método de cálculo de la cuota variable; siguió siendo el regulado en el texto original del art. 7 de la Ley 10/2012. Consiste, esencialmente, en multiplicar un determinado porcentaje (tipo de gravamen) por la cuantía del procedimiento o, si esta fuera indeterminada, por la cifra de 18.000 euros (base imponible). Ello es aquí muy relevante por cuanto que la STC 140/2016, FJ 13, declaró la inconstitucionalidad y nulidad del art. 7.2 de la Ley 10/2012 por considerar que resulta incompatible con las exigencias del art. 24.1 CE:</w:t>
      </w:r>
    </w:p>
    <w:p w:rsidR="00A90898" w:rsidRDefault="00A90898" w:rsidP="00A90898">
      <w:pPr>
        <w:pStyle w:val="TextoNormal"/>
      </w:pPr>
    </w:p>
    <w:p w:rsidR="00A90898" w:rsidRDefault="00A90898" w:rsidP="00A90898">
      <w:pPr>
        <w:pStyle w:val="TextoNormal"/>
      </w:pPr>
      <w:r>
        <w:t>“Dicha cuota variable comporta recaudar una segunda cantidad en función de un porcentaje determinado sobre el valor económico del litigio, siempre que sea calculable dicho valor conforme a las reglas de procedimiento y, de no ser así, aplicando a estos efectos un valor ficticio de 18.000 €, conforme determina previamente el art. 6.2 de la propia Ley 10/2012.</w:t>
      </w:r>
    </w:p>
    <w:p w:rsidR="00A90898" w:rsidRDefault="00A90898" w:rsidP="00A90898">
      <w:pPr>
        <w:pStyle w:val="TextoNormal"/>
      </w:pPr>
    </w:p>
    <w:p w:rsidR="00A90898" w:rsidRDefault="00A90898" w:rsidP="00A90898">
      <w:pPr>
        <w:pStyle w:val="TextoNormal"/>
      </w:pPr>
      <w:r>
        <w:t>Así regulada, esta cuota variable eleva innecesariamente la carga económica de la entidad actora o recurrente en todos los grados de la jurisdicción en los que satisface su pago, sin que sea posible discernir a qué criterio responde su exigencia, puesto que la memoria del análisis de impacto normativo nada aclara sobre el particular:</w:t>
      </w:r>
    </w:p>
    <w:p w:rsidR="00A90898" w:rsidRDefault="00A90898" w:rsidP="00A90898">
      <w:pPr>
        <w:pStyle w:val="TextoNormal"/>
      </w:pPr>
    </w:p>
    <w:p w:rsidR="00A90898" w:rsidRDefault="00A90898" w:rsidP="00A90898">
      <w:pPr>
        <w:pStyle w:val="TextoNormal"/>
      </w:pPr>
      <w:r>
        <w:t>a) Si se trata de presumir como riqueza patrimonial, la mera solicitud de una tutela judicial concreta no puede estimarse un parámetro objetivamente adecuado. En muchas ocasiones lo que se solicita a diario a un tribunal de justicia es la reparación de una pérdida patrimonial ya sufrida (así, las demandas por daños y perjuicios), la evitación de esa pérdida (una tutela declarativa con el único fin de proteger un bien o derecho ante actuaciones de terceros; las reclamaciones contencioso-administrativas contra la imposición de prestaciones pecuniarias o sanciones ilícitas); la condena al pago de créditos civiles o mercantiles no satisfechos con los cuales poder hacer frente a gastos corrientes de la empresa; o, en fin, el poder oponerse a una ejecución que se entiende indebidamente despachada en su contra, etc.</w:t>
      </w:r>
    </w:p>
    <w:p w:rsidR="00A90898" w:rsidRDefault="00A90898" w:rsidP="00A90898">
      <w:pPr>
        <w:pStyle w:val="TextoNormal"/>
      </w:pPr>
    </w:p>
    <w:p w:rsidR="00A90898" w:rsidRDefault="00A90898" w:rsidP="00A90898">
      <w:pPr>
        <w:pStyle w:val="TextoNormal"/>
      </w:pPr>
      <w:r>
        <w:t>Gran parte de esos casos no comportan en modo alguno un enriquecimiento para la entidad que deduce la demanda, el recurso o la oposición a la ejecución. Pero incluso cuando la estimación de lo pretendido pudiera llevar consigo un aumento neto de su patrimonio, se precisa primero de una sentencia favorable que así lo declare y que además devenga firme, extremo éste que ni ha concurrido todavía al momento (inicial) de tener que pagar la tasa, ni puede, de hecho, que llegue a producirse si no vence en juicio. Pese a ello, se la grava con una suma adicional que comporta cientos o miles de euros, a abonar junto con la tasa fija.</w:t>
      </w:r>
    </w:p>
    <w:p w:rsidR="00A90898" w:rsidRDefault="00A90898" w:rsidP="00A90898">
      <w:pPr>
        <w:pStyle w:val="TextoNormal"/>
      </w:pPr>
    </w:p>
    <w:p w:rsidR="00A90898" w:rsidRDefault="00A90898" w:rsidP="00A90898">
      <w:pPr>
        <w:pStyle w:val="TextoNormal"/>
      </w:pPr>
      <w:r>
        <w:t xml:space="preserve">b) Tampoco el criterio del valor del litigio guarda relación con el coste del ejercicio de la función jurisdiccional, sino que además las desigualdades se producen en un mismo tipo de procedimiento. De este modo, personas jurídicas que ventilan sus derechos por el mismo cauce judicial y cuya pretensión de tutela trae consigo esencialmente idénticos “costes generados por la actividad jurisdiccional que conlleva juzgar las demandas” (STC 71/2014, de 6 de mayo, FJ 4), satisfacen sin embargo una tasa distinta, con diferencias entre sí de hasta </w:t>
      </w:r>
      <w:r>
        <w:lastRenderedPageBreak/>
        <w:t>varios miles de euros. Esto da lugar a una desigualdad de trato entre justiciables carente de justificación objetiva y razonable, operando un efecto inhibidor o disuasorio del derecho de interposición de la demanda o recurso correspondiente.</w:t>
      </w:r>
    </w:p>
    <w:p w:rsidR="00A90898" w:rsidRDefault="00A90898" w:rsidP="00A90898">
      <w:pPr>
        <w:pStyle w:val="TextoNormal"/>
      </w:pPr>
    </w:p>
    <w:p w:rsidR="00A90898" w:rsidRDefault="00A90898" w:rsidP="00A90898">
      <w:pPr>
        <w:pStyle w:val="TextoNormal"/>
      </w:pPr>
      <w:r>
        <w:t>Cabe concluir de modo más general, que en nuestro Estado social y democrático de Derecho, el cual propugna entre otros valores superiores de su ordenamiento jurídico la justicia y la igualdad (art. 1.1 CE), el pago de un tributo no puede obstaculizar el ejercicio de un derecho fundamental.”</w:t>
      </w:r>
    </w:p>
    <w:p w:rsidR="00A90898" w:rsidRDefault="00A90898" w:rsidP="00A90898">
      <w:pPr>
        <w:pStyle w:val="TextoNormal"/>
      </w:pPr>
    </w:p>
    <w:p w:rsidR="00A90898" w:rsidRDefault="00A90898" w:rsidP="00A90898">
      <w:pPr>
        <w:pStyle w:val="TextoNormal"/>
      </w:pPr>
      <w:r>
        <w:t>A la vista de los argumentos contenidos en la STC 140/2016, FJ 13, cabe apreciar que la previsión cuestionada es contraria al derecho fundamental a la tutela judicial efectiva (art. 24.1 CE) de las personas físicas. Corresponde, pues, declarar la inconstitucionalidad y nulidad del apartado 3 del art. 7 de la Ley 10/2012, introducido por el art. 1.8 del Real Decreto-ley 3/2013.</w:t>
      </w:r>
    </w:p>
    <w:p w:rsidR="00A90898" w:rsidRDefault="00A90898" w:rsidP="00A90898">
      <w:pPr>
        <w:pStyle w:val="TextoNormal"/>
      </w:pPr>
    </w:p>
    <w:p w:rsidR="00A90898" w:rsidRDefault="00A90898" w:rsidP="00A90898">
      <w:pPr>
        <w:pStyle w:val="TextoNormal"/>
      </w:pPr>
      <w:r w:rsidRPr="00A90898">
        <w:rPr>
          <w:rStyle w:val="NumeroAFNegritaCaracter"/>
        </w:rPr>
        <w:t>6</w:t>
      </w:r>
      <w:r>
        <w:t>. Corresponde ahora concretar el alcance de las declaraciones de inconstitucionalidad y nulidad formuladas.</w:t>
      </w:r>
    </w:p>
    <w:p w:rsidR="00A90898" w:rsidRDefault="00A90898" w:rsidP="00A90898">
      <w:pPr>
        <w:pStyle w:val="TextoNormal"/>
      </w:pPr>
    </w:p>
    <w:p w:rsidR="00A90898" w:rsidRDefault="00A90898" w:rsidP="00A90898">
      <w:pPr>
        <w:pStyle w:val="TextoNormal"/>
      </w:pPr>
      <w:r>
        <w:t>a) El inciso “en el orden jurisdiccional civil … apelación: 800 €” del art. 7.1 de la Ley 10/2012 queda expulsado por esta Sentencia, resultando, pues, desprovisto de efectos también en su aplicación a las personas físicas. Ello implica, por de pronto, que el órgano judicial que ha promovido la cuestión de inconstitucionalidad no podrá ya exigir el abono de aquellos 800 €.</w:t>
      </w:r>
    </w:p>
    <w:p w:rsidR="00A90898" w:rsidRDefault="00A90898" w:rsidP="00A90898">
      <w:pPr>
        <w:pStyle w:val="TextoNormal"/>
      </w:pPr>
    </w:p>
    <w:p w:rsidR="00A90898" w:rsidRDefault="00A90898" w:rsidP="00A90898">
      <w:pPr>
        <w:pStyle w:val="TextoNormal"/>
      </w:pPr>
      <w:r>
        <w:t>A su vez, esta declaración de inconstitucionalidad y nulidad tiene eficacia en cualesquiera otros procesos del orden jurisdiccional civil en que pudiera llegar a reconocerse la “ultraactividad” del anterior régimen de gravamen a las personas físicas. Ahora bien, corresponde trasladar aquí la siguiente precisión de la STC 140/2016, FJ 15 b):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00A90898" w:rsidRDefault="00A90898" w:rsidP="00A90898">
      <w:pPr>
        <w:pStyle w:val="TextoNormal"/>
      </w:pPr>
    </w:p>
    <w:p w:rsidR="00A90898" w:rsidRDefault="00A90898" w:rsidP="00A90898">
      <w:pPr>
        <w:pStyle w:val="TextoNormal"/>
      </w:pPr>
      <w:r>
        <w:t>Esta determinación de efectos responde a las siguientes razones: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 [STC 140/2016, FJ 15 b)].</w:t>
      </w:r>
    </w:p>
    <w:p w:rsidR="00A90898" w:rsidRDefault="00A90898" w:rsidP="00A90898">
      <w:pPr>
        <w:pStyle w:val="TextoNormal"/>
      </w:pPr>
    </w:p>
    <w:p w:rsidR="00A90898" w:rsidRDefault="00A90898" w:rsidP="00A90898">
      <w:pPr>
        <w:pStyle w:val="TextoNormal"/>
      </w:pPr>
      <w:r>
        <w:t xml:space="preserve">b) Se declara la inconstitucionalidad y nulidad del apartado 3 del art. 7 de la Ley 10/2012, que queda también definitivamente expulsado del ordenamiento jurídico. El precepto ha sido ya derogado (art. 11.3 del Real Decreto-ley 1/2015), por lo que la indicada declaración </w:t>
      </w:r>
      <w:r>
        <w:lastRenderedPageBreak/>
        <w:t xml:space="preserve">supone, simplemente, que no cabe atribuirle ultraactividad ni en el proceso judicial </w:t>
      </w:r>
      <w:r w:rsidRPr="00A90898">
        <w:rPr>
          <w:i/>
        </w:rPr>
        <w:t>a quo</w:t>
      </w:r>
      <w:r>
        <w:t xml:space="preserve"> ni en ningún otro. No obstante, también en este caso hay que precisar que no procede ordenar la devolución de las cantidades ya abonadas con base en este apartado, también en procesos “aún no finalizados en los que la persona obligada al pago de la tasa la satisfizo sin impugnarla por impedirle el acceso a la jurisdicción o al recurso en su caso (art. 24.1 CE), deviniendo con ello firme la liquidación del tributo” [STC 140/2016, FJ 15 b)].</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la cuestión de inconstitucionalidad núm. 905-2014 planteada por el Juzgado de Primera Instancia e Instrucción núm. 1 de Torrelavega y, en consecuencia, declarar, con los efectos señalados en el fundamento jurídico 6 de esta Sentencia, la inconstitucionalidad y nulidad del inciso “en el orden jurisdiccional civil … apelación: 800 €” del apartado 1 del art. 7 de la Ley 10/2012, de 20 de noviembre, así como el apartado 3 del mismo artículo, en la redacción dada por el art. 1.8 del Real Decreto-ley 3/2013, de 22 de febrero.</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diciembre de dos mil dieciséis.</w:t>
      </w:r>
    </w:p>
    <w:p w:rsidR="00A90898" w:rsidRDefault="00A90898">
      <w:pPr>
        <w:spacing w:after="160" w:line="259" w:lineRule="auto"/>
        <w:rPr>
          <w:rFonts w:ascii="Times New Roman" w:eastAsia="Times New Roman" w:hAnsi="Times New Roman" w:cs="Times New Roman"/>
          <w:sz w:val="24"/>
          <w:szCs w:val="24"/>
          <w:lang w:eastAsia="es-ES"/>
        </w:rPr>
      </w:pPr>
      <w:r>
        <w:br w:type="page"/>
      </w:r>
    </w:p>
    <w:p w:rsidR="00A90898" w:rsidRDefault="00A90898" w:rsidP="00A90898">
      <w:pPr>
        <w:pStyle w:val="TtuloResolucin"/>
      </w:pPr>
      <w:bookmarkStart w:id="107" w:name="SENTENCIA_2016_228"/>
      <w:r>
        <w:lastRenderedPageBreak/>
        <w:t>SENTENCIA 228/2016, de 22 de diciembre de 2016</w:t>
      </w:r>
    </w:p>
    <w:bookmarkEnd w:id="107"/>
    <w:p w:rsidR="00A90898" w:rsidRDefault="00A90898" w:rsidP="00A90898">
      <w:pPr>
        <w:pStyle w:val="TtuloResolucin"/>
      </w:pPr>
      <w:r>
        <w:t>Pleno</w:t>
      </w:r>
    </w:p>
    <w:p w:rsidR="00A90898" w:rsidRDefault="00A90898" w:rsidP="00A90898">
      <w:pPr>
        <w:pStyle w:val="TtuloBOE"/>
      </w:pPr>
      <w:r>
        <w:t>(BOE núm. 23, de 27 de enero de 2017)</w:t>
      </w:r>
    </w:p>
    <w:p w:rsidR="00A90898" w:rsidRDefault="00A90898" w:rsidP="00A90898">
      <w:pPr>
        <w:pStyle w:val="TextoNormalCentrado"/>
      </w:pPr>
      <w:r>
        <w:t>ECLI:ES:TC:2016:228</w:t>
      </w:r>
    </w:p>
    <w:p w:rsidR="00A90898" w:rsidRDefault="00A90898" w:rsidP="00A90898">
      <w:pPr>
        <w:pStyle w:val="TextoNormalCentrado"/>
      </w:pPr>
    </w:p>
    <w:p w:rsidR="00A90898" w:rsidRDefault="00A90898" w:rsidP="00A90898">
      <w:pPr>
        <w:pStyle w:val="SntesisDescriptiva"/>
      </w:pPr>
      <w:r>
        <w:t>Recurso de inconstitucionalidad 1442-2015. Interpuesto por el Presidente del Gobierno en relación con diversos preceptos de la Ley del Parlamento de Cataluña 16/2014, de 4 de diciembre, de acción exterior y de relaciones con la Unión Europea.</w:t>
      </w:r>
    </w:p>
    <w:p w:rsidR="00A90898" w:rsidRDefault="00A90898" w:rsidP="00A90898">
      <w:pPr>
        <w:pStyle w:val="SntesisDescriptiva"/>
      </w:pPr>
    </w:p>
    <w:p w:rsidR="00A90898" w:rsidRDefault="00A90898" w:rsidP="00A90898">
      <w:pPr>
        <w:pStyle w:val="SntesisAnaltica"/>
      </w:pPr>
      <w:r>
        <w:t>Competencias sobre relaciones internacionales: nulidad de los preceptos legales que no vinculan la acción exterior de la Generalitat al ejercicio de las competencias autonómicas; interpretación conforme con la Constitución de las expresiones “actor internacional activo” y “actor internacional comprometido, solidario y responsable” y la regulación de los convenios y acuerdos de colaboración internacional (STC 31/2010). Votos particulares.</w:t>
      </w:r>
    </w:p>
    <w:p w:rsidR="00A90898" w:rsidRDefault="00A90898" w:rsidP="00A90898">
      <w:pPr>
        <w:pStyle w:val="SntesisAnaltica"/>
      </w:pPr>
    </w:p>
    <w:p w:rsidR="00A90898" w:rsidRDefault="00A90898" w:rsidP="00A90898">
      <w:pPr>
        <w:pStyle w:val="Extracto"/>
      </w:pPr>
      <w:r>
        <w:t>1.</w:t>
      </w:r>
      <w:r>
        <w:tab/>
        <w:t>Las Comunidades Autónomas pueden llevar a cabo actividades con proyección exterior que sean necesarias o convenientes para el ejercicio de sus competencias, siempre que no invadan la competencia exclusiva del Estado en materia de relaciones internacionales ni perturben la dirección de la política exterior que incumbe al Gobierno (SSTC 31/2010 y 46/2015) [FJ 4].</w:t>
      </w:r>
    </w:p>
    <w:p w:rsidR="00A90898" w:rsidRDefault="00A90898" w:rsidP="00A90898">
      <w:pPr>
        <w:pStyle w:val="Extracto"/>
      </w:pPr>
    </w:p>
    <w:p w:rsidR="00A90898" w:rsidRDefault="00A90898" w:rsidP="00A90898">
      <w:pPr>
        <w:pStyle w:val="Extracto"/>
      </w:pPr>
      <w:r>
        <w:t>2.</w:t>
      </w:r>
      <w:r>
        <w:tab/>
        <w:t>Aplica la doctrina sobre las actividades de las Comunidades Autónomas con proyección en el exterior y el alcance de la competencia estatal en relaciones internacionales contenida en la STC 46/2015 [FJ 2].</w:t>
      </w:r>
    </w:p>
    <w:p w:rsidR="00A90898" w:rsidRDefault="00A90898" w:rsidP="00A90898">
      <w:pPr>
        <w:pStyle w:val="Extracto"/>
      </w:pPr>
    </w:p>
    <w:p w:rsidR="00A90898" w:rsidRDefault="00A90898" w:rsidP="00A90898">
      <w:pPr>
        <w:pStyle w:val="Extracto"/>
      </w:pPr>
      <w:r>
        <w:t>3.</w:t>
      </w:r>
      <w:r>
        <w:tab/>
        <w:t>El desarrollo de la acción exterior de la Generalidad de Cataluña bajo la dirección, coordinación y orientación del Gobierno de la Generalidad, no impide el pleno y efectivo ejercicio de las competencias estatales en materia de relaciones internacionales y política exterior [FJ 4].</w:t>
      </w:r>
    </w:p>
    <w:p w:rsidR="00A90898" w:rsidRDefault="00A90898" w:rsidP="00A90898">
      <w:pPr>
        <w:pStyle w:val="Extracto"/>
      </w:pPr>
    </w:p>
    <w:p w:rsidR="00A90898" w:rsidRDefault="00A90898" w:rsidP="00A90898">
      <w:pPr>
        <w:pStyle w:val="Extracto"/>
      </w:pPr>
      <w:r>
        <w:t>4.</w:t>
      </w:r>
      <w:r>
        <w:tab/>
        <w:t>La configuración de Cataluña como un actor internacional activo en ningún caso puede ser entendida como una atribución de subjetividad internacional a esta Comunidad Autónoma, cualidad de la que los entes territoriales dotados de autonomía política carecen (SSTC 165/1994 y 31/2010) [FJ 4].</w:t>
      </w:r>
    </w:p>
    <w:p w:rsidR="00A90898" w:rsidRDefault="00A90898" w:rsidP="00A90898">
      <w:pPr>
        <w:pStyle w:val="Extracto"/>
      </w:pPr>
    </w:p>
    <w:p w:rsidR="00A90898" w:rsidRDefault="00A90898" w:rsidP="00A90898">
      <w:pPr>
        <w:pStyle w:val="Extracto"/>
      </w:pPr>
      <w:r>
        <w:t>5.</w:t>
      </w:r>
      <w:r>
        <w:tab/>
        <w:t xml:space="preserve">La facultad del Gobierno de la Generalidad para celebrar acuerdos de colaboración no implica el ejercicio de un </w:t>
      </w:r>
      <w:r w:rsidRPr="00A90898">
        <w:rPr>
          <w:i/>
        </w:rPr>
        <w:t>ius contrahendi</w:t>
      </w:r>
      <w:r>
        <w:t>, reservado al Estado dado que no es posible considerar que esos acuerdos de colaboración constituyen tratados internacionales, ni debe obstaculizar o dificultar la función de coordinación estatal [FJ 5].</w:t>
      </w:r>
    </w:p>
    <w:p w:rsidR="00A90898" w:rsidRDefault="00A90898" w:rsidP="00A90898">
      <w:pPr>
        <w:pStyle w:val="Extracto"/>
      </w:pPr>
    </w:p>
    <w:p w:rsidR="00A90898" w:rsidRDefault="00A90898" w:rsidP="00A90898">
      <w:pPr>
        <w:pStyle w:val="Extracto"/>
      </w:pPr>
      <w:r>
        <w:t>6.</w:t>
      </w:r>
      <w:r>
        <w:tab/>
        <w:t>La Generalidad de Cataluña carece de competencia para llevar a cabo el reconocimiento del derecho a la autodeterminación o a la soberanía de pueblo alguno, por cuanto este tipo de reconocimientos solo corresponde al Estado español, como sujeto de Derecho internacional público [FJ 6].</w:t>
      </w:r>
    </w:p>
    <w:p w:rsidR="00A90898" w:rsidRDefault="00A90898" w:rsidP="00A90898">
      <w:pPr>
        <w:pStyle w:val="Extracto"/>
      </w:pPr>
    </w:p>
    <w:p w:rsidR="00A90898" w:rsidRDefault="00A90898" w:rsidP="00A90898">
      <w:pPr>
        <w:pStyle w:val="Extracto"/>
      </w:pPr>
      <w:r>
        <w:t>7.</w:t>
      </w:r>
      <w:r>
        <w:tab/>
        <w:t xml:space="preserve">La Ley impugnada no otorga en modo alguno al delegado del Gobierno de la Generalidad ante la Unión Europea ni a los delegados del Gobierno de la Generalidad </w:t>
      </w:r>
      <w:r>
        <w:lastRenderedPageBreak/>
        <w:t xml:space="preserve">en el exterior, un </w:t>
      </w:r>
      <w:r w:rsidRPr="00A90898">
        <w:rPr>
          <w:i/>
        </w:rPr>
        <w:t>status</w:t>
      </w:r>
      <w:r>
        <w:t xml:space="preserve"> diplomático, que sería incompatible con la competencia estatal exclusiva en relación con el </w:t>
      </w:r>
      <w:r w:rsidRPr="00A90898">
        <w:rPr>
          <w:i/>
        </w:rPr>
        <w:t>ius legationis</w:t>
      </w:r>
      <w:r>
        <w:t xml:space="preserve"> [FJ 10].</w:t>
      </w:r>
    </w:p>
    <w:p w:rsidR="00A90898" w:rsidRDefault="00A90898" w:rsidP="00A90898">
      <w:pPr>
        <w:pStyle w:val="Extracto"/>
      </w:pPr>
    </w:p>
    <w:p w:rsidR="00A90898" w:rsidRDefault="00A90898" w:rsidP="00A90898">
      <w:pPr>
        <w:pStyle w:val="Extracto"/>
      </w:pPr>
      <w:r>
        <w:t>8.</w:t>
      </w:r>
      <w:r>
        <w:tab/>
        <w:t>Las definiciones de diplomacia recogidas en la Ley son inconstitucionales y nulas, puesto que configuran una actuación exterior de la Generalidad que no se vincula a sus competencias, asume como destinatarios a sujetos del Derecho Internacional y se prevé dirigida y coordinada por la propia Generalidad, sin respetar la competencia exclusiva del Estado en materia de relaciones internacionales, ni las funciones de dirección de la política exterior que corresponden al Estado [FJ 11].</w:t>
      </w:r>
    </w:p>
    <w:p w:rsidR="00A90898" w:rsidRDefault="00A90898" w:rsidP="00A90898">
      <w:pPr>
        <w:pStyle w:val="Extracto"/>
      </w:pPr>
    </w:p>
    <w:p w:rsidR="00A90898" w:rsidRDefault="00A90898" w:rsidP="00A90898">
      <w:pPr>
        <w:pStyle w:val="Extracto"/>
      </w:pPr>
    </w:p>
    <w:p w:rsidR="00A90898" w:rsidRDefault="00A90898" w:rsidP="00A9089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A90898" w:rsidRDefault="00A90898" w:rsidP="00A90898">
      <w:pPr>
        <w:pStyle w:val="TextoNormal"/>
      </w:pPr>
    </w:p>
    <w:p w:rsidR="00A90898" w:rsidRDefault="00A90898" w:rsidP="00A90898">
      <w:pPr>
        <w:pStyle w:val="TextoNormalCentrado"/>
        <w:keepNext/>
      </w:pPr>
      <w:r>
        <w:t>EN NOMBRE DEL REY</w:t>
      </w:r>
    </w:p>
    <w:p w:rsidR="00A90898" w:rsidRDefault="00A90898" w:rsidP="00A90898">
      <w:pPr>
        <w:pStyle w:val="TextoNormalCentrado"/>
        <w:keepNext/>
      </w:pPr>
    </w:p>
    <w:p w:rsidR="00A90898" w:rsidRDefault="00A90898" w:rsidP="00A90898">
      <w:pPr>
        <w:pStyle w:val="TextoNormalCentrado"/>
        <w:keepNext/>
      </w:pPr>
    </w:p>
    <w:p w:rsidR="00A90898" w:rsidRDefault="00A90898" w:rsidP="00A90898">
      <w:pPr>
        <w:pStyle w:val="TextoNormal"/>
      </w:pPr>
      <w:r>
        <w:t>la siguiente</w:t>
      </w:r>
    </w:p>
    <w:p w:rsidR="00A90898" w:rsidRDefault="00A90898" w:rsidP="00A90898">
      <w:pPr>
        <w:pStyle w:val="TextoNormal"/>
      </w:pPr>
    </w:p>
    <w:p w:rsidR="00A90898" w:rsidRDefault="00A90898" w:rsidP="00A90898">
      <w:pPr>
        <w:pStyle w:val="TextoNormalCentrado"/>
        <w:keepNext/>
      </w:pPr>
      <w:r>
        <w:t>SENTENCIA</w:t>
      </w:r>
    </w:p>
    <w:p w:rsidR="00A90898" w:rsidRDefault="00A90898" w:rsidP="00A90898">
      <w:pPr>
        <w:pStyle w:val="TextoNormalCentrado"/>
        <w:keepNext/>
      </w:pPr>
    </w:p>
    <w:p w:rsidR="00A90898" w:rsidRDefault="00A90898" w:rsidP="00A90898">
      <w:pPr>
        <w:pStyle w:val="TextoNormal"/>
      </w:pPr>
      <w:r>
        <w:t>En el recurso de inconstitucionalidad núm. 1442-2015 interpuesto por el Presidente del Gobierno contra los arts. 1 a 9, 26 y 29 a 38 de la Ley del Parlamento de Cataluña 16/2014, de 4 de diciembre, de acción exterior y de relaciones con la Unión Europea. Han comparecido y formulado alegaciones la Abogada de la Generalitat de Cataluña y el Letrado del Parlamento de Cataluña. Ha sido Ponente el Magistrado don Andrés Ollero Tassara, quien expresa el parecer del Tribunal.</w:t>
      </w:r>
    </w:p>
    <w:p w:rsidR="00A90898" w:rsidRDefault="00A90898" w:rsidP="00A90898">
      <w:pPr>
        <w:pStyle w:val="TextoNormal"/>
      </w:pPr>
    </w:p>
    <w:p w:rsidR="00A90898" w:rsidRDefault="00A90898" w:rsidP="00A90898">
      <w:pPr>
        <w:pStyle w:val="TextoNormalNegritaCentrado"/>
        <w:keepNext/>
      </w:pPr>
      <w:r>
        <w:t>I. Antecedentes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Mediante escrito registrado en este Tribunal el día 11 de marzo 2015, el Abogado del Estado, en nombre del Presidente del Gobierno, ha interpuesto recurso de inconstitucionalidad contra los arts. 1 a 9, 26 y 29 a 38 de la Ley del Parlamento de Cataluña 16/2014, de 4 de diciembre, de acción exterior y de relaciones con la Unión Europea. Los motivos del recurso son los que se recogen a continuación.</w:t>
      </w:r>
    </w:p>
    <w:p w:rsidR="00A90898" w:rsidRDefault="00A90898" w:rsidP="00A90898">
      <w:pPr>
        <w:pStyle w:val="TextoNormal"/>
      </w:pPr>
    </w:p>
    <w:p w:rsidR="00A90898" w:rsidRDefault="00A90898" w:rsidP="00A90898">
      <w:pPr>
        <w:pStyle w:val="TextoNormal"/>
      </w:pPr>
      <w:r>
        <w:t xml:space="preserve">El Abogado del Estado fundamenta el recurso en la vulneración del sistema de distribución competencial. Con carácter general, denuncia que la Ley del Parlamento de Cataluña 16/2014 invade la competencia estatal exclusiva en materia de relaciones internacionales reconocida en el art. 149.1.3 CE, en relación con los arts. 63, 93 a 96 y 97 del mismo texto constitucional. La Ley 16/2014 vulnera los citados preceptos de forma directa. Lo hace también de forma mediata, en la medida en que infringe las previsiones de la Ley 2/2014, de 25 </w:t>
      </w:r>
      <w:r>
        <w:lastRenderedPageBreak/>
        <w:t>de marzo, de la acción y del servicio exterior del Estado. Asimismo vulnera los arts. 184 a 192 y 193 y siguientes del Estatuto de Autonomía de Cataluña (EAC), sobre las relaciones con la Unión Europea y la acción exterior de la Generalitat.</w:t>
      </w:r>
    </w:p>
    <w:p w:rsidR="00A90898" w:rsidRDefault="00A90898" w:rsidP="00A90898">
      <w:pPr>
        <w:pStyle w:val="TextoNormal"/>
      </w:pPr>
    </w:p>
    <w:p w:rsidR="00A90898" w:rsidRDefault="00A90898" w:rsidP="00A90898">
      <w:pPr>
        <w:pStyle w:val="TextoNormal"/>
      </w:pPr>
      <w:r>
        <w:t>La Abogacía del Estado expone la doctrina constitucional sobre el alcance de la competencia exclusiva del Estado en materia de relaciones internacionales, recogida últimamente en la STC 46/2015, de 5 de marzo. Resume la regulación estatal en esta materia refiriéndose a la Ley 2/2014, de la acción y del servicio exterior del Estado, dictada en ejercicio de la facultad estatal para establecer medidas que regulen y coordinen las actividades con proyección externa de las Comunidades Autónomas. En concreto, invoca los arts. 1.2 b), 3, 5 y 11, que definen la acción exterior del Estado, enumeran sus principios rectores, establecen que las Comunidades Autónomas mantendrán informado al Ministerio de Asuntos Exteriores y Cooperación de sus actuaciones con proyección exterior para que éste pueda informar y, en su caso, formular recomendaciones y concretan las actividades que las Comunidades Autónomas pueden realizar en el exterior, en el marco de sus competencias, adecuándose a la planificación de la acción exterior que realiza el Estado.</w:t>
      </w:r>
    </w:p>
    <w:p w:rsidR="00A90898" w:rsidRDefault="00A90898" w:rsidP="00A90898">
      <w:pPr>
        <w:pStyle w:val="TextoNormal"/>
      </w:pPr>
    </w:p>
    <w:p w:rsidR="00A90898" w:rsidRDefault="00A90898" w:rsidP="00A90898">
      <w:pPr>
        <w:pStyle w:val="TextoNormal"/>
      </w:pPr>
      <w:r>
        <w:t>Asimismo invoca la Ley 25/2014, de 27 de noviembre, de tratados y otros acuerdos internacionales, complementaria de la Ley 2/2014, que regula los acuerdos internacionales que pueden celebrar las Comunidades Autónomas y los requisitos de coordinación necesarios con el Estado. Recuerda, en fin, la doctrina sentada en la STC 31/2010 sobre las competencias de la Generalitat recogidas en el Estatuto de Autonomía de Cataluña en materia de relaciones con la Unión Europea y acción exterior.</w:t>
      </w:r>
    </w:p>
    <w:p w:rsidR="00A90898" w:rsidRDefault="00A90898" w:rsidP="00A90898">
      <w:pPr>
        <w:pStyle w:val="TextoNormal"/>
      </w:pPr>
    </w:p>
    <w:p w:rsidR="00A90898" w:rsidRDefault="00A90898" w:rsidP="00A90898">
      <w:pPr>
        <w:pStyle w:val="TextoNormal"/>
      </w:pPr>
      <w:r>
        <w:t>A continuación, el Abogado del Estado se refiere al informe del Consejo de Estado, favorable a la interposición del recurso. Realiza dos consideraciones generales que afectan a la totalidad de la Ley 16/2014. En primer lugar, la Ley emplea conceptos muy difusos, distintos de los manejados en la legislación estatal y en el Derecho internacional (tales como “actores” en lugar de “sujetos”) con la aparente finalidad de justificar sus contenidos y eludir la aplicación del Derecho estatal e internacional. En segundo lugar, la Ley 16/2014 omite mencionar las competencias de coordinación y los principios rectores de la acción exterior del Estado recogidos en la Ley estatal 2/2014, que la Generalitat no ha impugnado; esto revelaría que se ha dictado sin consideración a las competencias del Estado en esta materia.</w:t>
      </w:r>
    </w:p>
    <w:p w:rsidR="00A90898" w:rsidRDefault="00A90898" w:rsidP="00A90898">
      <w:pPr>
        <w:pStyle w:val="TextoNormal"/>
      </w:pPr>
    </w:p>
    <w:p w:rsidR="00A90898" w:rsidRDefault="00A90898" w:rsidP="00A90898">
      <w:pPr>
        <w:pStyle w:val="TextoNormal"/>
      </w:pPr>
      <w:r>
        <w:t>Las concretas denuncias de inconstitucionalidad que formula respecto de los preceptos impugnados son las siguientes:</w:t>
      </w:r>
    </w:p>
    <w:p w:rsidR="00A90898" w:rsidRDefault="00A90898" w:rsidP="00A90898">
      <w:pPr>
        <w:pStyle w:val="TextoNormal"/>
      </w:pPr>
    </w:p>
    <w:p w:rsidR="00A90898" w:rsidRDefault="00A90898" w:rsidP="00A90898">
      <w:pPr>
        <w:pStyle w:val="TextoNormal"/>
      </w:pPr>
      <w:r>
        <w:t>Artículo 1: El Abogado del Estado afirma que este precepto configura a Cataluña como un sujeto de Derecho internacional que pretende actuar en el exterior al margen de las competencias de la Generalitat. Para apoyar esta conclusión destaca la distinción que realiza el art. 1.1 de la Ley —en su frase primera y en el apartado c)— entre “acción exterior de Cataluña” y “relaciones de la Generalitat con la Unión Europea”. Afirma que se segrega la acción exterior de Cataluña en la actuación de la “Generalitat”; la distinción sería trascendente pues, mientras que no existe objeción alguna a la acción de la Generalitat en el ámbito de la Unión Europea, la atribución a Cataluña de una acción exterior “indiscriminada, difusa e ilimitada” y “desvinculada de sus competencias” no es conforme con la doctrina del Tri</w:t>
      </w:r>
      <w:r>
        <w:lastRenderedPageBreak/>
        <w:t>bunal Constitucional. Esta tacha atañe a todo el articulado impugnado de la Ley, destacándose que el Estatuto de Autonomía de Cataluña se refiere a la “acción exterior de la Generalitat”, no de Cataluña.</w:t>
      </w:r>
    </w:p>
    <w:p w:rsidR="00A90898" w:rsidRDefault="00A90898" w:rsidP="00A90898">
      <w:pPr>
        <w:pStyle w:val="TextoNormal"/>
      </w:pPr>
    </w:p>
    <w:p w:rsidR="00A90898" w:rsidRDefault="00A90898" w:rsidP="00A90898">
      <w:pPr>
        <w:pStyle w:val="TextoNormal"/>
      </w:pPr>
      <w:r>
        <w:t>Afirma también que los apartados a) y b) del art. 1.1, al referirse a “la máxima proyección exterior de Cataluña” y al “posicionamiento de Cataluña en el exterior como actor internacional”, sin vinculación a título competencial alguno, confirman lo dicho. Añade que resulta especialmente contraria a la Constitución la calificación de Cataluña como “actor internacional” que hace el art.1.1 b), en cuanto proclama la subjetividad internacional de Cataluña equiparándola a un Estado.</w:t>
      </w:r>
    </w:p>
    <w:p w:rsidR="00A90898" w:rsidRDefault="00A90898" w:rsidP="00A90898">
      <w:pPr>
        <w:pStyle w:val="TextoNormal"/>
      </w:pPr>
    </w:p>
    <w:p w:rsidR="00A90898" w:rsidRDefault="00A90898" w:rsidP="00A90898">
      <w:pPr>
        <w:pStyle w:val="TextoNormal"/>
      </w:pPr>
      <w:r>
        <w:t>El recurso cuestiona asimismo el art. 1.1 en cuanto alude a la dirección, coordinación y orientación del Gobierno (obviamente del de la Generalitat, lo que se deduce claramente del contexto de la ley, en especial de su artículo 7). Al no mencionarse la coordinación que corresponde al Gobierno de la Nación en este ámbito —a diferencia de lo que ocurre en el art. 193 EAC, que deja a salvo la competencia del Estado en materia de relaciones internacionales— se prescinde de las competencias estatales.</w:t>
      </w:r>
    </w:p>
    <w:p w:rsidR="00A90898" w:rsidRDefault="00A90898" w:rsidP="00A90898">
      <w:pPr>
        <w:pStyle w:val="TextoNormal"/>
      </w:pPr>
    </w:p>
    <w:p w:rsidR="00A90898" w:rsidRDefault="00A90898" w:rsidP="00A90898">
      <w:pPr>
        <w:pStyle w:val="TextoNormal"/>
      </w:pPr>
      <w:r>
        <w:t>Los apartados 2 y 3 del artículo 1 se consideran inconstitucionales por los mismos motivos, en cuanto pretenden regular la acción exterior de Cataluña (no de la Generalitat de Cataluña) como actor internacional, sin tener en cuenta la competencia del Estado en la materia y menoscabando s</w:t>
      </w:r>
      <w:r w:rsidRPr="00A90898">
        <w:rPr>
          <w:i/>
        </w:rPr>
        <w:t>u ius legation</w:t>
      </w:r>
      <w:r>
        <w:t>is.</w:t>
      </w:r>
    </w:p>
    <w:p w:rsidR="00A90898" w:rsidRDefault="00A90898" w:rsidP="00A90898">
      <w:pPr>
        <w:pStyle w:val="TextoNormal"/>
      </w:pPr>
    </w:p>
    <w:p w:rsidR="00A90898" w:rsidRDefault="00A90898" w:rsidP="00A90898">
      <w:pPr>
        <w:pStyle w:val="TextoNormal"/>
      </w:pPr>
      <w:r>
        <w:t>Artículo 2: El recurso afirma que las tachas de inconstitucionalidad formuladas al artículo 1 son trasladables al artículo 2, que lleva como epígrafe “Definiciones”. Especialmente a su apartado a), en cuanto se refiere a “la proyección exterior de Cataluña fuera del ámbito de la Unión Europea” y, en el párrafo segundo, al inciso “los intereses del país”. Todo ello evidencia la atribución de subjetividad internacional a Cataluña.</w:t>
      </w:r>
    </w:p>
    <w:p w:rsidR="00A90898" w:rsidRDefault="00A90898" w:rsidP="00A90898">
      <w:pPr>
        <w:pStyle w:val="TextoNormal"/>
      </w:pPr>
    </w:p>
    <w:p w:rsidR="00A90898" w:rsidRDefault="00A90898" w:rsidP="00A90898">
      <w:pPr>
        <w:pStyle w:val="TextoNormal"/>
      </w:pPr>
      <w:r>
        <w:t>Sostiene asimismo la Abogacía del Estado que la definición de los “acuerdos de colaboración” del artículo 2 d) contraviene los arts. 2 c) y 53 y siguientes de la Ley 25/2014, de tratados y otros acuerdos internacionales, así como el art. 195 EAC. Esta ley estatal define los acuerdos de colaboración como acuerdos internacionales no normativos que contienen declaraciones de intenciones o compromisos de actuación políticos, técnicos o logísticos sin ser fuente de obligaciones internacionales; el artículo 2 d) impugnado los define por su parte como acuerdos sin efectos jurídicos de Derecho internacional, que solo imponen obligaciones jurídicas a las partes que los otorgan.</w:t>
      </w:r>
    </w:p>
    <w:p w:rsidR="00A90898" w:rsidRDefault="00A90898" w:rsidP="00A90898">
      <w:pPr>
        <w:pStyle w:val="TextoNormal"/>
      </w:pPr>
    </w:p>
    <w:p w:rsidR="00A90898" w:rsidRDefault="00A90898" w:rsidP="00A90898">
      <w:pPr>
        <w:pStyle w:val="TextoNormal"/>
      </w:pPr>
      <w:r>
        <w:t>Afirma también que son inconstitucionales los apartados e) y f) del artículo 2, que definen las “Delegaciones del Gobierno en el exterior” y la “Delegación del Gobierno ante la Unión Europea”; exceden del ámbito competencial de Cataluña y pretenden dotarla de aparente subjetividad internacional, especialmente en el caso de las Delegaciones en el exterior, a las que se atribuye la defensa de la “proyección internacional del país”.</w:t>
      </w:r>
    </w:p>
    <w:p w:rsidR="00A90898" w:rsidRDefault="00A90898" w:rsidP="00A90898">
      <w:pPr>
        <w:pStyle w:val="TextoNormal"/>
      </w:pPr>
    </w:p>
    <w:p w:rsidR="00A90898" w:rsidRDefault="00A90898" w:rsidP="00A90898">
      <w:pPr>
        <w:pStyle w:val="TextoNormal"/>
      </w:pPr>
      <w:r>
        <w:t>Recurre igualmente el término “diplomacia” [apartados i), j), k) y l) del artículo 2] porque invade la competencia estatal exclusiva en materia de relaciones internacionales, pues alude a las relaciones diplomáticas entre Estados.</w:t>
      </w:r>
    </w:p>
    <w:p w:rsidR="00A90898" w:rsidRDefault="00A90898" w:rsidP="00A90898">
      <w:pPr>
        <w:pStyle w:val="TextoNormal"/>
      </w:pPr>
    </w:p>
    <w:p w:rsidR="00A90898" w:rsidRDefault="00A90898" w:rsidP="00A90898">
      <w:pPr>
        <w:pStyle w:val="TextoNormal"/>
      </w:pPr>
      <w:r>
        <w:lastRenderedPageBreak/>
        <w:t>Artículo 3: Sostiene la Abogacía del Estado que este precepto, relativo a los principios rectores de la acción exterior y de las relaciones con la Unión Europea, incluye principios de política exterior propios del Estado. Especialmente comprueba la extralimitación competencial en el apartado e), que se refiere al “reconocimiento del derecho a decidir de los pueblos” y puede interferir con la política exterior del Estado. También cuestiona el apartado h), en cuanto alude a la “búsqueda de sinergias con el Gobierno del Estado y con las demás Administraciones públicas”, en términos de absoluta igualdad con el Estado y desconociendo su función coordinadora. Además, el precepto se refiere “a los principios rectores de las políticas públicas establecidos por el Estatuto”, sin mencionar la Constitución ni la Ley de acción exterior del Estado; lo que acredita que no se asume que la acción exterior de las instituciones catalanas debe coordinarse con la actuación exterior estatal, con prevalencia de esta última en caso de conflicto, como dispone el art. 2.2 b) de la Ley estatal de acción exterior.</w:t>
      </w:r>
    </w:p>
    <w:p w:rsidR="00A90898" w:rsidRDefault="00A90898" w:rsidP="00A90898">
      <w:pPr>
        <w:pStyle w:val="TextoNormal"/>
      </w:pPr>
    </w:p>
    <w:p w:rsidR="00A90898" w:rsidRDefault="00A90898" w:rsidP="00A90898">
      <w:pPr>
        <w:pStyle w:val="TextoNormal"/>
      </w:pPr>
      <w:r>
        <w:t>Artículo 4: Afirma su inconstitucionalidad por remisión a los razonamientos anteriores; en particular se impugnan sus apartados a) y b), en cuanto se refieren a la acción exterior de Cataluña.</w:t>
      </w:r>
    </w:p>
    <w:p w:rsidR="00A90898" w:rsidRDefault="00A90898" w:rsidP="00A90898">
      <w:pPr>
        <w:pStyle w:val="TextoNormal"/>
      </w:pPr>
    </w:p>
    <w:p w:rsidR="00A90898" w:rsidRDefault="00A90898" w:rsidP="00A90898">
      <w:pPr>
        <w:pStyle w:val="TextoNormal"/>
      </w:pPr>
      <w:r>
        <w:t>Artículo 5: Se impugna en cuanto, al referirse a las funciones del Parlamento de Cataluña como actor de la acción exterior, en el apartado a) menciona el control de la “acción exterior de la Generalitat”, en el apartado c) “el plan estratégico de acción exterior” y en el apartado e) las “relaciones bilaterales con otros parlamentos”. Especialmente, considera que excede de las competencias autonómicas el apartado h), que atribuye al Parlamento catalán “ejercer la función de control del principio de subsidiariedad de los actos legislativos de la Unión Europea”, mientras que el art. 188 EAC dispone que el Parlamento “participará” en los procedimientos de control, ya que solo el Estado Español es miembro de la Unión Europea y solo a él le corresponde ejercer el control del citado principio.</w:t>
      </w:r>
    </w:p>
    <w:p w:rsidR="00A90898" w:rsidRDefault="00A90898" w:rsidP="00A90898">
      <w:pPr>
        <w:pStyle w:val="TextoNormal"/>
      </w:pPr>
    </w:p>
    <w:p w:rsidR="00A90898" w:rsidRDefault="00A90898" w:rsidP="00A90898">
      <w:pPr>
        <w:pStyle w:val="TextoNormal"/>
      </w:pPr>
      <w:r>
        <w:t>Artículo 6: Se considera inconstitucional en la medida en que, de manera indiscriminada, sin sujeción al principio de lealtad institucional ni comunicación al Gobierno de la Nación, atribuye a la Presidencia de la Generalitat la función de “mantener relaciones con las autoridades del ámbito internacional”.</w:t>
      </w:r>
    </w:p>
    <w:p w:rsidR="00A90898" w:rsidRDefault="00A90898" w:rsidP="00A90898">
      <w:pPr>
        <w:pStyle w:val="TextoNormal"/>
      </w:pPr>
    </w:p>
    <w:p w:rsidR="00A90898" w:rsidRDefault="00A90898" w:rsidP="00A90898">
      <w:pPr>
        <w:pStyle w:val="TextoNormal"/>
      </w:pPr>
      <w:r>
        <w:t>Artículo 7: Este precepto confirma que la mención al “Gobierno” que hace el art. 1.1 de la Ley 16/2014 es al Gobierno de la Generalitat, lo que conlleva la inconstitucionalidad de todo el precepto, conforme a lo antes razonado. Especial reproche merece el apartado e), que atribuye al Gobierno de la Generalitat la función de aprobar acuerdos de colaboración, por los motivos ya expuestos en la impugnación del artículo 2 d).</w:t>
      </w:r>
    </w:p>
    <w:p w:rsidR="00A90898" w:rsidRDefault="00A90898" w:rsidP="00A90898">
      <w:pPr>
        <w:pStyle w:val="TextoNormal"/>
      </w:pPr>
    </w:p>
    <w:p w:rsidR="00A90898" w:rsidRDefault="00A90898" w:rsidP="00A90898">
      <w:pPr>
        <w:pStyle w:val="TextoNormal"/>
      </w:pPr>
      <w:r>
        <w:t>Artículos 8 y 9: Se afirma su inconstitucionalidad por conexión, en cuanto que las funciones de la Administración y de las instituciones de la Generalitat a que se refieren se proyectan en un ámbito exterior.</w:t>
      </w:r>
    </w:p>
    <w:p w:rsidR="00A90898" w:rsidRDefault="00A90898" w:rsidP="00A90898">
      <w:pPr>
        <w:pStyle w:val="TextoNormal"/>
      </w:pPr>
    </w:p>
    <w:p w:rsidR="00A90898" w:rsidRDefault="00A90898" w:rsidP="00A90898">
      <w:pPr>
        <w:pStyle w:val="TextoNormal"/>
      </w:pPr>
      <w:r>
        <w:t xml:space="preserve">Artículo 26: El recurso entiende que este precepto es inconstitucional en cuanto alude a las relaciones del Gobierno de la Generalitat “con gobiernos de otros territorios”, dentro de un capítulo que no se refiere a las relaciones con la Unión Europea; lo que trasluce una concepción de la posición institucional de la Generalitat incompatible con la competencia del Estado en materia de relaciones internacionales. Reproche especial merece el apartado </w:t>
      </w:r>
      <w:r>
        <w:lastRenderedPageBreak/>
        <w:t>e), que considera objetivo del Gobierno de la Generalitat establecer relaciones institucionales con el cuerpo consular presente en Cataluña y promover consulados de otros países para potenciar las relaciones bilaterales con territorios que puedan tener interés en Cataluña. El precepto vulnera el art. 149.1.3 CE porque las relaciones consulares, conforme al Convenio de Viena de 1963, se desarrollan entre sujetos de Derecho internacional; esto es, entre Estados y organizaciones de Derecho internacional, en su caso.</w:t>
      </w:r>
    </w:p>
    <w:p w:rsidR="00A90898" w:rsidRDefault="00A90898" w:rsidP="00A90898">
      <w:pPr>
        <w:pStyle w:val="TextoNormal"/>
      </w:pPr>
    </w:p>
    <w:p w:rsidR="00A90898" w:rsidRDefault="00A90898" w:rsidP="00A90898">
      <w:pPr>
        <w:pStyle w:val="TextoNormal"/>
      </w:pPr>
      <w:r>
        <w:t xml:space="preserve">Artículos 29 a 33: Se impugnan estos preceptos, ubicados dentro del título III de la Ley relativo a la “Representación de la Generalitat en el exterior”. Aun partiendo de la doctrina recogida en la STC 165/1994, que avaló la constitucionalidad de las oficinas autonómicas en el ámbito de la Unión Europea para la defensa de los intereses autonómicos derivados de sus competencias, su redacción se considera “equívoca” y susceptible de dar lugar a la atribución de funciones muy similares a las propias del </w:t>
      </w:r>
      <w:r w:rsidRPr="00A90898">
        <w:rPr>
          <w:i/>
        </w:rPr>
        <w:t>ius legationis</w:t>
      </w:r>
      <w:r>
        <w:t xml:space="preserve"> que corresponde al Estado </w:t>
      </w:r>
      <w:r w:rsidRPr="00A90898">
        <w:rPr>
          <w:i/>
        </w:rPr>
        <w:t>ex</w:t>
      </w:r>
      <w:r>
        <w:t xml:space="preserve"> art. 149.1.3 CE (SSTC 165/1994, 31/2010 y 80/2012). De manera específica cuestiona la expresión “intereses reales del país” del artículo 29.3, así como la de “el conjunto de los intereses de Cataluña y la proyección internacional del país” del artículo 31.</w:t>
      </w:r>
    </w:p>
    <w:p w:rsidR="00A90898" w:rsidRDefault="00A90898" w:rsidP="00A90898">
      <w:pPr>
        <w:pStyle w:val="TextoNormal"/>
      </w:pPr>
    </w:p>
    <w:p w:rsidR="00A90898" w:rsidRDefault="00A90898" w:rsidP="00A90898">
      <w:pPr>
        <w:pStyle w:val="TextoNormal"/>
      </w:pPr>
      <w:r>
        <w:t>Al respecto el Abogado del Estado invoca el art. 12 de la Ley estatal de acción exterior, que exige la observancia de una serie de requisitos y mecanismos de coordinación para que las Comunidades Autónomas puedan abrir oficinas para su promoción exterior que la Ley recurrida desconoce. En definitiva, concluye que los arts. 29 a 33 incurren en inconstitucionalidad inmediata, dada la falta de competencia autonómica para establecer órganos permanentes de representación ante sujetos internacionales, y en inconstitucionalidad mediata, al vulnerar la Ley estatal de acción exterior.</w:t>
      </w:r>
    </w:p>
    <w:p w:rsidR="00A90898" w:rsidRDefault="00A90898" w:rsidP="00A90898">
      <w:pPr>
        <w:pStyle w:val="TextoNormal"/>
      </w:pPr>
    </w:p>
    <w:p w:rsidR="00A90898" w:rsidRDefault="00A90898" w:rsidP="00A90898">
      <w:pPr>
        <w:pStyle w:val="TextoNormal"/>
      </w:pPr>
      <w:r>
        <w:t>Artículos 34 a 38: Por último, impugna el Abogado del Estado estos preceptos incluidos en el título IV de la Ley sobre “Relaciones de la Generalitat con la ciudadanía y con la sociedad civil en materia de acción exterior”. Aun afirmando que, en especial los cuatro primeros, tienen carácter programático, denuncia que en todos ellos se vinculan las actuaciones a la acción exterior de la Generalitat (arts. 34.2, 35.1, rúbrica del 36, 37.2 y 38) en el marco de la diplomacia pública, con especial relevancia en el artículo 37.3. Considera pieza clave el artículo 38 en la medida en que dice que el Gobierno de la Generalitat “dirige y coordina las actividades de diplomacia pública que lleva a cabo la Administración de la Generalitat para garantizar la adecuación y coherencia de dichas actividades con el plan estratégico de acción exterior y de relaciones con la Unión Europea”. Afirma que las definiciones de “diplomacia pública, privada económica y deportiva” del art. 2 adquieren así un sentido claramente inconstitucional al atribuir a la Generalitat unas funciones que solo corresponden al Estado.</w:t>
      </w:r>
    </w:p>
    <w:p w:rsidR="00A90898" w:rsidRDefault="00A90898" w:rsidP="00A90898">
      <w:pPr>
        <w:pStyle w:val="TextoNormal"/>
      </w:pPr>
    </w:p>
    <w:p w:rsidR="00A90898" w:rsidRDefault="00A90898" w:rsidP="00A90898">
      <w:pPr>
        <w:pStyle w:val="TextoNormal"/>
      </w:pPr>
      <w:r w:rsidRPr="00A90898">
        <w:rPr>
          <w:rStyle w:val="NumeroAFNegritaCaracter"/>
        </w:rPr>
        <w:t>2</w:t>
      </w:r>
      <w:r>
        <w:t xml:space="preserve">. Mediante providencia de 14 de abril de 2015, el Pleno, a propuesta de la Sección Segunda, acordó admitir a trámite el recurso de inconstitucionalidad promovido por el Presidente del Gobierno y, en su representación y defensa, por el Abogado del Estado, contra los arts. 1 a 9, 26 y 29 a 38 de la Ley del Parlamento de Cataluña 16/2014, de 4 de diciembre, de acción exterior y de relaciones con la Unión Europea. Dar traslado de la demanda y documentos presentados, conforme establece el art. 34 de la Ley Orgánica del Tribunal Constitucional (LOTC), al Congreso de los Diputados, al Senado, al Gobierno de la Generalitat de Cataluña y al Parlamento de Cataluña, por conducto de sus Presidentes, al objeto de que, en el plazo de 15 días, puedan personarse en el proceso y formular las alegaciones </w:t>
      </w:r>
      <w:r>
        <w:lastRenderedPageBreak/>
        <w:t>que estimaren convenientes. Se acordó asimismo tener por invocado por el Presidente del Gobierno el art. 161.2 CE, lo que, conforme al art. 30 LOTC, produce la suspensión de la vigencia y aplicación de los preceptos impugnados desde la fecha de interposición del recurso (11 de marzo de 2015) para las partes del proceso y desde el día en que aparezca publicada la suspensión en el “Boletín Oficial del Estado” para los terceros. Ordena la comunicación de la suspensión a los Presidentes de la Generalitat y del Parlamento de Cataluña, así como publicar la incoación del recurso en el “Boletín Oficial del Estado” y en el “Diario Oficial de la Generalitat”.</w:t>
      </w:r>
    </w:p>
    <w:p w:rsidR="00A90898" w:rsidRDefault="00A90898" w:rsidP="00A90898">
      <w:pPr>
        <w:pStyle w:val="TextoNormal"/>
      </w:pPr>
    </w:p>
    <w:p w:rsidR="00A90898" w:rsidRDefault="00A90898" w:rsidP="00A90898">
      <w:pPr>
        <w:pStyle w:val="TextoNormal"/>
      </w:pPr>
      <w:r w:rsidRPr="00A90898">
        <w:rPr>
          <w:rStyle w:val="NumeroAFNegritaCaracter"/>
        </w:rPr>
        <w:t>3</w:t>
      </w:r>
      <w:r>
        <w:t>. Mediante escrito registrado en este Tribunal el 22 de abril de 2015, la Vicepresidenta Primera y Presidenta en funciones del Congreso de los Diputados comunicó el acuerdo de la Mesa de la Cámara de personarse en el procedimiento y ofrecer su colaboración a los efectos del art. 88.1 LOTC. Otro tanto hizo el Vicepresidente del Senado, por escrito que tuvo entrada en este Tribunal en la misma fecha.</w:t>
      </w:r>
    </w:p>
    <w:p w:rsidR="00A90898" w:rsidRDefault="00A90898" w:rsidP="00A90898">
      <w:pPr>
        <w:pStyle w:val="TextoNormal"/>
      </w:pPr>
    </w:p>
    <w:p w:rsidR="00A90898" w:rsidRDefault="00A90898" w:rsidP="00A90898">
      <w:pPr>
        <w:pStyle w:val="TextoNormal"/>
      </w:pPr>
      <w:r w:rsidRPr="00A90898">
        <w:rPr>
          <w:rStyle w:val="NumeroAFNegritaCaracter"/>
        </w:rPr>
        <w:t>4</w:t>
      </w:r>
      <w:r>
        <w:t>. Con fecha 7 de mayo de 2015 tuvo entrada en el registro general del Tribunal escrito de la Abogada de la Generalitat de Cataluña por el que comparece en la representación que ostenta y formula alegaciones, interesando la desestimación del recurso de inconstitucionalidad promovido por el Presidente del Gobierno en relación con los arts. 1 a 9, 26 y 29 a 38 de la Ley del Parlamento de Cataluña 16/2014, de 4 de diciembre, de acción exterior y de las relaciones con la Unión Europea. Mediante otrosí solicitó el levantamiento de la suspensión de los preceptos impugnados.</w:t>
      </w:r>
    </w:p>
    <w:p w:rsidR="00A90898" w:rsidRDefault="00A90898" w:rsidP="00A90898">
      <w:pPr>
        <w:pStyle w:val="TextoNormal"/>
      </w:pPr>
    </w:p>
    <w:p w:rsidR="00A90898" w:rsidRDefault="00A90898" w:rsidP="00A90898">
      <w:pPr>
        <w:pStyle w:val="TextoNormal"/>
      </w:pPr>
      <w:r>
        <w:t>Como consideración previa, la Abogada de la Generalitat manifiesta que la impugnación de una ley autonómica no puede fundamentarse ni en una interpretación ajena al texto legal ni en la mera ausencia de cita expresa de las competencias estatales. Sin embargo, es justamente esto lo que sucede en este caso, pues el recurso no se basa en el tenor de los preceptos impugnados, sino en la interpretación que el recurrente hace de los mismos. Esa interpretación sería artificiosa y forzada y obvia la exposición de motivos de la Ley 16/2014, que se remite a las previsiones del Estatuto de Autonomía de Cataluña sobre la acción exterior de la Generalitat, declaradas constitucionales por la STC 31/2010.</w:t>
      </w:r>
    </w:p>
    <w:p w:rsidR="00A90898" w:rsidRDefault="00A90898" w:rsidP="00A90898">
      <w:pPr>
        <w:pStyle w:val="TextoNormal"/>
      </w:pPr>
    </w:p>
    <w:p w:rsidR="00A90898" w:rsidRDefault="00A90898" w:rsidP="00A90898">
      <w:pPr>
        <w:pStyle w:val="TextoNormal"/>
      </w:pPr>
      <w:r>
        <w:t xml:space="preserve">La interpretación que hace el Abogado del Estado es ajena al texto legal en varios sentidos. De una parte, en cuanto el recurso insiste en que la Ley 16/2014 utiliza determinados términos con la voluntad de “eludir los límites” de la acción exterior de la Generalitat; olvida así la Abogacía del Estado que el juicio de inconstitucionalidad debe verificarse al margen del </w:t>
      </w:r>
      <w:r w:rsidRPr="00A90898">
        <w:rPr>
          <w:i/>
        </w:rPr>
        <w:t>nomen iuris</w:t>
      </w:r>
      <w:r>
        <w:t>. De otra parte, en cuanto el recurso deduce la inconstitucionalidad de los preceptos impugnados de la ausencia en los mismos de referencias expresas a la competencia estatal en materia de relaciones internacionales o las leyes estatales en la materia, como la Ley 2/2014, de acción exterior del Estado, y la Ley 25/2014, de tratados y otros acuerdos internacionales, a pesar de que el Tribunal Constitucional ha declarado la inconstitucionalidad de la reproducción en leyes autonómicas de la normativa estatal cuando no se dispone de título competencial habilitante y la reiteración no es necesaria para hacer inteligible la norma (entre otras, STC 47/2004, FJ 8). Por último, afirma que tampoco es consistente apoyar la inconstitucionalidad de la Ley 16/2014 en el hecho de que la Generalitat no haya impugnado la Ley estatal 2/2014; Cataluña no cuestiona, en contra de lo que mantiene el recurso, la facultad del Estado de dirigir la política exterior y de establecer mecanismos de coordinación en este ámbito.</w:t>
      </w:r>
    </w:p>
    <w:p w:rsidR="00A90898" w:rsidRDefault="00A90898" w:rsidP="00A90898">
      <w:pPr>
        <w:pStyle w:val="TextoNormal"/>
      </w:pPr>
    </w:p>
    <w:p w:rsidR="00A90898" w:rsidRDefault="00A90898" w:rsidP="00A90898">
      <w:pPr>
        <w:pStyle w:val="TextoNormal"/>
      </w:pPr>
      <w:r>
        <w:t>A continuación, la Abogada de la Generalitat explica que sus alegaciones se dividen en dos bloques. El primero, dirigido a argumentar que de la Ley 16/2014 no se deriva el reconocimiento de Cataluña como sujeto de Derecho internacional, sino solo el legítimo ejercicio por una Comunidad Autónoma de una acción exterior conforme a su Estatuto de Autonomía y a la doctrina del Tribunal Constitucional. Y el segundo, en el que se da respuesta a las alegaciones concretas relativas a los preceptos impugnados.</w:t>
      </w:r>
    </w:p>
    <w:p w:rsidR="00A90898" w:rsidRDefault="00A90898" w:rsidP="00A90898">
      <w:pPr>
        <w:pStyle w:val="TextoNormal"/>
      </w:pPr>
    </w:p>
    <w:p w:rsidR="00A90898" w:rsidRDefault="00A90898" w:rsidP="00A90898">
      <w:pPr>
        <w:pStyle w:val="TextoNormal"/>
      </w:pPr>
      <w:r>
        <w:t>Previamente a su análisis, no obstante, la Abogada de la Generalitat precisa que el parámetro de constitucionalidad a tener en cuenta está integrado por el art. 149.1.3 CE y los capítulos II y III del título V del Estatuto de Autonomía de Cataluña y la doctrina del Tribunal Constitucional; pero no por la Ley estatal 2/2014, que invoca el Abogado del Estado para formular sus tachas de inconstitucionalidad mediata, pues ni estamos en un ámbito de competencia estatal básica, ni existe en ningún caso contradicción entre la ley estatal y la ley autonómica.</w:t>
      </w:r>
    </w:p>
    <w:p w:rsidR="00A90898" w:rsidRDefault="00A90898" w:rsidP="00A90898">
      <w:pPr>
        <w:pStyle w:val="TextoNormal"/>
      </w:pPr>
    </w:p>
    <w:p w:rsidR="00A90898" w:rsidRDefault="00A90898" w:rsidP="00A90898">
      <w:pPr>
        <w:pStyle w:val="TextoNormal"/>
      </w:pPr>
      <w:r>
        <w:t>Expone a continuación la doctrina constitucional sobre el art. 149.1.3 CE a partir de las SSTC 165/1994, 80/2012, 198/2013 y 46/2015 de las que resultaría que las actividades con relevancia exterior de las Comunidades Autónomas son constitucionales si son necesarias o convenientes para el ejercicio de una competencia autonómica. No pueden sin embargo incluirse en lo que se ha considerado como relaciones internacionales en sentido estricto y no perturban ni condicionan la política exterior del Estado el cual puede establecer medidas que regulen y coordinen esas actividades. Afirma que esta doctrina fue recogida en los arts. 193 a 200 EAC sobre acción exterior de la Generalitat, que fueron declarados constitucionales por la STC 31/2010, a pesar de lo cual el recurso contra la Ley 16/2014, que desarrolla tales artículos insiste en los mismos argumentos que había ya rechazado la STC 31/2010.</w:t>
      </w:r>
    </w:p>
    <w:p w:rsidR="00A90898" w:rsidRDefault="00A90898" w:rsidP="00A90898">
      <w:pPr>
        <w:pStyle w:val="TextoNormal"/>
      </w:pPr>
    </w:p>
    <w:p w:rsidR="00A90898" w:rsidRDefault="00A90898" w:rsidP="00A90898">
      <w:pPr>
        <w:pStyle w:val="TextoNormal"/>
      </w:pPr>
      <w:r>
        <w:t>Entrando a desarrollar el primer bloque de alegaciones anunciado, en el que se trata de argumentar que la Ley 16/2014 no configura a Cataluña como sujeto de Derecho internacional, la Abogada de la Generalitat sostiene que los preceptos impugnados de la Ley 16/2014 (cita en particular los arts. 1, 2 y 4) se limitan a indicar que las actuaciones que las instituciones públicas y administraciones de Cataluña llevan a cabo en el exterior (“acción exterior”) deben tener por objeto la proyección y promoción de los intereses de Cataluña y el ejercicio de sus competencias. La Ley 16/2014 distingue entre actuaciones de proyección exterior cuyo principal objetivo es la promoción exterior de Cataluña en el plano cultural y económico y las que suponen ejercicio directo de competencias de la Generalitat. Solo en este segundo caso la ley reconoce la posición de Cataluña como actor, que no sujeto, de Derecho internacional. Los preceptos impugnados no reconocen a las instituciones catalanas capacidad para crear Derecho internacional o reclamar su cumplimiento ante instancias internacionales; sino que solo les reconocen capacidad para participar en el marco internacional. La actuación exterior de las Comunidades Autónomas es instrumental respecto del ejercicio de sus competencias pero, estando esas competencias interrelacionadas, sería absurdo pretender delimitar en cada caso qué concreta competencia legitima una actuación en el exterior; su ejercicio difuso y conjunto comporta el reconocimiento de una acción exterior cuyo objeto es la promoción de los intereses de Cataluña.</w:t>
      </w:r>
    </w:p>
    <w:p w:rsidR="00A90898" w:rsidRDefault="00A90898" w:rsidP="00A90898">
      <w:pPr>
        <w:pStyle w:val="TextoNormal"/>
      </w:pPr>
    </w:p>
    <w:p w:rsidR="00A90898" w:rsidRDefault="00A90898" w:rsidP="00A90898">
      <w:pPr>
        <w:pStyle w:val="TextoNormal"/>
      </w:pPr>
      <w:r>
        <w:lastRenderedPageBreak/>
        <w:t>Ya la STC 31/2010 legitimó —afirma— la actuación exterior de la Generalitat para la promoción de sus intereses en el ámbito de la Unión Europea y no cabe ignorar que el Estatuto de Autonomía de Cataluña reconoce esa promoción en otros ámbitos previstos en sus arts. 194, 195, 197 y 198; sin que la previsión expresa de “los intereses de Cataluña” haya merecido ningún reproche constitucional. Por ello, es erróneo impugnar los arts. 5 a 9 de la Ley 16/2014 por atribuir funciones a las instituciones catalanas no limitadas al ámbito de competencias de la Generalitat y también basar la inconstitucionalidad de estos preceptos en el hecho de no referirse expresamente a la función coordinadora del Estado en el ámbito de las relaciones internacionales. Aunque los arts. 1 y 7 de la Ley 16/2014 se refieren a la función coordinadora del Gobierno de la Generalitat, ello es conforme con los arts. 68 y 199 EAC y es compatible con las funciones del Estado en materia de relaciones internacionales que la Ley 16/2014 no niega ni impide. En particular, no las impide la enumeración de principios rectores de la acción exterior del art. 3 de la Ley 16/2014, ni cabe deducir de ella un desconocimiento de la competencia estatal de coordinación. En suma, los preceptos impugnados no definen a Cataluña como sujeto de Derecho internacional ni pretenden que ocupe el papel del Estado en la definición y dirección de la política internacional.</w:t>
      </w:r>
    </w:p>
    <w:p w:rsidR="00A90898" w:rsidRDefault="00A90898" w:rsidP="00A90898">
      <w:pPr>
        <w:pStyle w:val="TextoNormal"/>
      </w:pPr>
    </w:p>
    <w:p w:rsidR="00A90898" w:rsidRDefault="00A90898" w:rsidP="00A90898">
      <w:pPr>
        <w:pStyle w:val="TextoNormal"/>
      </w:pPr>
      <w:r>
        <w:t xml:space="preserve">Examinando en concreto los artículos recurridos, la Abogada de la Generalitat rechaza la impugnación dirigida contra el art. 7.2 e) de la Ley 16/2014, relativo a la facultad del Gobierno (de la Generalitat) de aprobar la conclusión de acuerdos de colaboración con entes públicos de otros Estados o con organizaciones internacionales y contra la definición de esos acuerdos de colaboración del artículo 2 d). Sostiene que basta analizar esta definición de los acuerdos de colaboración para comprobar que sus elementos no se corresponden con los de los tratados internacionales que solo puede suscribir el Estado </w:t>
      </w:r>
      <w:r w:rsidRPr="00A90898">
        <w:rPr>
          <w:i/>
        </w:rPr>
        <w:t>ex</w:t>
      </w:r>
      <w:r>
        <w:t xml:space="preserve"> art. 149.1.3 CE; no producen efectos jurídicos de Derecho internacional ni generan obligaciones internacionales o responsabilidades al Estado español frente a otros Estados u organizaciones internacionales. Aunque la Ley 16/2014 no mencione los requisitos para la celebración de acuerdos internacionales no normativos regulados en la Ley estatal 25/2014, ello no es causa de inconstitucionalidad; la Ley 25/2014 no es ley básica y además los arts. 2 d) y 7 e) no niegan ni impiden su aplicación. La STC 31/2010, FJ 126, ya admitió la suscripción por la Generalitat de acuerdos de colaboración con proyección exterior.</w:t>
      </w:r>
    </w:p>
    <w:p w:rsidR="00A90898" w:rsidRDefault="00A90898" w:rsidP="00A90898">
      <w:pPr>
        <w:pStyle w:val="TextoNormal"/>
      </w:pPr>
    </w:p>
    <w:p w:rsidR="00A90898" w:rsidRDefault="00A90898" w:rsidP="00A90898">
      <w:pPr>
        <w:pStyle w:val="TextoNormal"/>
      </w:pPr>
      <w:r>
        <w:t>Las alegaciones de la Abogada de la Generalitat rebaten a continuación el recurso contra los apartados e) y f) del art. 2 y contra los arts. 29 a 33 de la Ley 16/2014, que definen y regulan las delegaciones del Gobierno en el exterior y ante la Unión Europea. Niega que estos artículos excedan de las previsiones del Estatuto de Autonomía de Cataluña por desvincular las funciones de las delegaciones y oficinas de las competencias autonómicas. Dice que el Estatuto de Autonomía de Cataluña tampoco contiene referencia expresa al ejercicio concreto de competencias autonómicas porque las actuaciones con proyección exterior de las Comunidades Autónomas se justifican en el conjunto de sus competencias y así lo reconocen la STC 31/2010 y, antes, la STC 165/1994, al avalar las oficinas de las Comunidades Autónomas ante las instituciones europeas para la defensa de intereses autonómicos.</w:t>
      </w:r>
    </w:p>
    <w:p w:rsidR="00A90898" w:rsidRDefault="00A90898" w:rsidP="00A90898">
      <w:pPr>
        <w:pStyle w:val="TextoNormal"/>
      </w:pPr>
    </w:p>
    <w:p w:rsidR="00A90898" w:rsidRDefault="00A90898" w:rsidP="00A90898">
      <w:pPr>
        <w:pStyle w:val="TextoNormal"/>
      </w:pPr>
      <w:r>
        <w:t xml:space="preserve">Los arts. 2 e) y f) y 29 a 33 no invaden el </w:t>
      </w:r>
      <w:r w:rsidRPr="00A90898">
        <w:rPr>
          <w:i/>
        </w:rPr>
        <w:t>ius legationis</w:t>
      </w:r>
      <w:r>
        <w:t xml:space="preserve"> del Estado al definir las delegaciones y oficinas como órganos de representación institucional de la Generalitat. No supone que sean órganos de representación de un Estado en el exterior acreditados ante el Estado receptor; la Generalitat no es sujeto internacional, ni las delegaciones y oficinas tienen funciones de protección de los intereses de los nacionales y ni de negociación, ni inmunidades </w:t>
      </w:r>
      <w:r>
        <w:lastRenderedPageBreak/>
        <w:t>o privilegios. Tampoco contradicen los preceptos referidos la Ley estatal 2/2014, cuyo artículo 12 ya admite el establecimiento por las Comunidades Autónomas de oficinas para su promoción exterior con sujeción a unos requisitos que la Ley 16/2014 no recoge expresamente porque no le corresponde, pero tampoco los niega ni impide su cumplimiento.</w:t>
      </w:r>
    </w:p>
    <w:p w:rsidR="00A90898" w:rsidRDefault="00A90898" w:rsidP="00A90898">
      <w:pPr>
        <w:pStyle w:val="TextoNormal"/>
      </w:pPr>
    </w:p>
    <w:p w:rsidR="00A90898" w:rsidRDefault="00A90898" w:rsidP="00A90898">
      <w:pPr>
        <w:pStyle w:val="TextoNormal"/>
      </w:pPr>
      <w:r>
        <w:t xml:space="preserve">La Abogada de la Generalitat rechaza también la inconstitucionalidad de las definiciones de “diplomacia pública” de los apartados i), j), k) y l) del art. 2 y de su regulación contenida en los arts. 34 a 38 de la Ley 16/2014. Dice que el recurso solo realiza una concreta alegación de inconstitucionalidad del artículo 38, pues admite el recurrente que los demás preceptos tienen un carácter programático. Señala que la diplomacia pública, en contra de lo que afirma el recurso, no se corresponde con el concepto de diplomacia propio del Derecho internacional, pues no se realiza por sujetos internacionales en su calidad de tales a través de órganos que actúan en su nombre. La diplomacia pública, explica, es un concepto nuevo que aparece por primera vez en un texto legal en la conocida como </w:t>
      </w:r>
      <w:r w:rsidRPr="00A90898">
        <w:rPr>
          <w:i/>
        </w:rPr>
        <w:t>Fullbright-Hays Act</w:t>
      </w:r>
      <w:r>
        <w:t xml:space="preserve"> de 1961; consiste en una estrategia de información dirigida a atraer la atención y orientar a la opinión pública internacional con objetivos tanto económicos, atrayendo inversiones o turismo, como culturales. Los objetivos de la diplomacia pública se corresponden con competencias autonómicas, siendo esta diplomacia susceptible de ser utilizada también por el Estado y sin que interfiera en el ejercicio por éste de la diplomacia en sentido técnico, ni con su dirección de la política exterior. De hecho, las actividades de diplomacia pública en Cataluña, realizadas por entidades públicas y privadas, a veces en colaboración con el Estado, se llevan realizando desde hace más de treinta años, siendo ejemplos de ello el “Centre Unesco de Catalunya”, el “Patronat Catalunya Mon-Consell de la Diplomacia Pública de Catalunya” o la “Casa Asia”.</w:t>
      </w:r>
    </w:p>
    <w:p w:rsidR="00A90898" w:rsidRDefault="00A90898" w:rsidP="00A90898">
      <w:pPr>
        <w:pStyle w:val="TextoNormal"/>
      </w:pPr>
    </w:p>
    <w:p w:rsidR="00A90898" w:rsidRDefault="00A90898" w:rsidP="00A90898">
      <w:pPr>
        <w:pStyle w:val="TextoNormal"/>
      </w:pPr>
      <w:r>
        <w:t>La Abogada de la Generalitat se opone igualmente a la inconstitucionalidad de los arts. 6 y 26 de la Ley 16/2014, sobre relaciones de su Presidente con las autoridades de ámbito internacional y objetivos de las relaciones de su Gobierno con otros gobiernos. Considera que las SSTC 165/1994 y 31/2010 no niegan que las Comunidades Autónomas puedan relacionarse con gobiernos de otros territorios para promover sus intereses, sin perjuicio de la competencia del Estado en materia de relaciones internacionales. Del artículo 26 no resulta la creación de obligaciones internacionales o que den lugar a responsabilidad del Estado. Este artículo desarrolla los arts. 193, 197 y 198 EAC, no impugnados en su día; la misma Ley estatal 2/2014, de acción y del servicio exterior del Estado, como evidencia su exposición de motivos, reconoce que las Comunidades Autónomas deben mantener relaciones en el exterior. El artículo 26.1 e) se refiere a las relaciones con el cuerpo consular presente en Cataluña, que se justifican en la actuación exterior de la Generalitat. No suponen ejercicio de funciones consulares ni conllevan que la Generalitat pueda sustituir al Gobierno estatal en la decisión sobre el establecimiento de relaciones consulares con otro Estado; así lo demuestra que el artículo 26 establezca como objetivo del Gobierno de la Generalitat el promover el establecimiento de nuevos consulados de otros países sin atribuirle función decisoria alguna.</w:t>
      </w:r>
    </w:p>
    <w:p w:rsidR="00A90898" w:rsidRDefault="00A90898" w:rsidP="00A90898">
      <w:pPr>
        <w:pStyle w:val="TextoNormal"/>
      </w:pPr>
    </w:p>
    <w:p w:rsidR="00A90898" w:rsidRDefault="00A90898" w:rsidP="00A90898">
      <w:pPr>
        <w:pStyle w:val="TextoNormal"/>
      </w:pPr>
      <w:r>
        <w:t>Por último, la Abogada de la Generalitat rebate la tacha de inconstitucionalidad formulada contra los arts. 5 h) y 7.2 c) de la Ley 16/2014.</w:t>
      </w:r>
    </w:p>
    <w:p w:rsidR="00A90898" w:rsidRDefault="00A90898" w:rsidP="00A90898">
      <w:pPr>
        <w:pStyle w:val="TextoNormal"/>
      </w:pPr>
    </w:p>
    <w:p w:rsidR="00A90898" w:rsidRDefault="00A90898" w:rsidP="00A90898">
      <w:pPr>
        <w:pStyle w:val="TextoNormal"/>
      </w:pPr>
      <w:r>
        <w:t xml:space="preserve">En cuanto al artículo 5 h), que establece como función del Parlamento de Cataluña el control del principio de subsidiariedad de los actos legislativos de la Unión Europea, la </w:t>
      </w:r>
      <w:r>
        <w:lastRenderedPageBreak/>
        <w:t>Abogada de la Generalitat, tras recordar la doctrina constitucional sobre participación de las Comunidades Autónomas en las políticas europeas (SSTC 252/1988 y 165/1994), destaca que los instrumentos de participación de la Generalitat en la Unión Europea se regulan en los arts. 185 a 188 EAC, que fueron declarados constitucionales por la STC 31/2010. Seguidamente, pone de manifiesto que el principio de subsidiariedad, previsto en el art. 5.3 del Tratado de la Unión Europea y en su protocolo número 2, supone que solo se legitime la intervención de la Unión, en ámbitos en que su competencia no es exclusiva, cuando los Estados miembros no pueden alcanzar suficientemente los objetivos; así el protocolo número 2 prevé que los Parlamentos nacionales, que deben velar por el cumplimiento de tal principio, consulten a los Parlamentos regionales afectados. En España, este proceso de consultas se regula en el art. 6 de la Ley 8/1994, de regulación de la comisión mixta para la Unión Europea, introducido por la Ley 24/2009. Así, el art. 5 h) de la Ley 16/2014 se limita a recoger esa función de control que la legislación europea y española atribuyen a los Parlamentos autonómicos sin pretender modificar el sistema de control regulado por el legislador estatal como entendió ya la STC 31/2010 al interpretar el art. 188 EAC.</w:t>
      </w:r>
    </w:p>
    <w:p w:rsidR="00A90898" w:rsidRDefault="00A90898" w:rsidP="00A90898">
      <w:pPr>
        <w:pStyle w:val="TextoNormal"/>
      </w:pPr>
    </w:p>
    <w:p w:rsidR="00A90898" w:rsidRDefault="00A90898" w:rsidP="00A90898">
      <w:pPr>
        <w:pStyle w:val="TextoNormal"/>
      </w:pPr>
      <w:r>
        <w:t>El artículo 7.2 c) enumera entre las funciones del Gobierno de la Generalitat la de participar en el nombramiento de los representantes de la Generalitat en las delegaciones negociadoras y en la representación permanente del Estado ante la Unión Europea. Afirma la Abogada de la Generalitat que de su redacción no resulta que se pretendan negar las facultades del Estado en la designación de los representantes, por lo que su impugnación solo busca obtener del Tribunal una interpretación innecesaria que debe ser rechazada conforme a lo declarado en la STC 31/2010.</w:t>
      </w:r>
    </w:p>
    <w:p w:rsidR="00A90898" w:rsidRDefault="00A90898" w:rsidP="00A90898">
      <w:pPr>
        <w:pStyle w:val="TextoNormal"/>
      </w:pPr>
    </w:p>
    <w:p w:rsidR="00A90898" w:rsidRDefault="00A90898" w:rsidP="00A90898">
      <w:pPr>
        <w:pStyle w:val="TextoNormal"/>
      </w:pPr>
      <w:r w:rsidRPr="00A90898">
        <w:rPr>
          <w:rStyle w:val="NumeroAFNegritaCaracter"/>
        </w:rPr>
        <w:t>5</w:t>
      </w:r>
      <w:r>
        <w:t>. El 8 de mayo de 2015 tuvo entrada en el registro general de este Tribunal escrito del Letrado del Parlamento de Cataluña por el que se persona en el recurso en la representación que ostenta y solicita su desestimación. Mediante otrosí interesa el levantamiento de la suspensión de los preceptos impugnados.</w:t>
      </w:r>
    </w:p>
    <w:p w:rsidR="00A90898" w:rsidRDefault="00A90898" w:rsidP="00A90898">
      <w:pPr>
        <w:pStyle w:val="TextoNormal"/>
      </w:pPr>
    </w:p>
    <w:p w:rsidR="00A90898" w:rsidRDefault="00A90898" w:rsidP="00A90898">
      <w:pPr>
        <w:pStyle w:val="TextoNormal"/>
      </w:pPr>
      <w:r>
        <w:t>Las alegaciones del Letrado del Parlamento de Cataluña comienzan con una serie de consideraciones generales sobre la competencia exclusiva del Estado en materia de relaciones internacionales y la regulación sobre acción exterior y relaciones con la Unión Europea contenida en el Estatuto de Autonomía de Cataluña y validada en la STC 31/2010. Recuerda la doctrina constitucional sobre la competencia estatal citada (SSTC 165/1994 y 31/2010) que supondría que las Comunidades Autónomas pueden realizar actuaciones con proyección exterior en ejercicio de sus competencias, con el límite de la competencia exclusiva del Estado del art. 149.1.3 CE. Esta se refiere a las relaciones entre sujetos internacionales regidas por el Derecho internacional y, sin ánimo de exhaustividad, comprende la celebración de tratados (</w:t>
      </w:r>
      <w:r w:rsidRPr="00A90898">
        <w:rPr>
          <w:i/>
        </w:rPr>
        <w:t>ius contrahendi</w:t>
      </w:r>
      <w:r>
        <w:t>), la representación exterior (</w:t>
      </w:r>
      <w:r w:rsidRPr="00A90898">
        <w:rPr>
          <w:i/>
        </w:rPr>
        <w:t>ius legationis</w:t>
      </w:r>
      <w:r>
        <w:t>), la creación de obligaciones internacionales, la responsabilidad internacional del Estado y la coordinación de las actividades con proyección externa de las Comunidades Autónomas en aras de la dirección y ejecución de la política exterior.</w:t>
      </w:r>
    </w:p>
    <w:p w:rsidR="00A90898" w:rsidRDefault="00A90898" w:rsidP="00A90898">
      <w:pPr>
        <w:pStyle w:val="TextoNormal"/>
      </w:pPr>
    </w:p>
    <w:p w:rsidR="00A90898" w:rsidRDefault="00A90898" w:rsidP="00A90898">
      <w:pPr>
        <w:pStyle w:val="TextoNormal"/>
      </w:pPr>
      <w:r>
        <w:t>A su vez, la Ley catalana 16/2014, de acción exterior y de relaciones con la Unión Europea, codifica la práctica ya existente en este ámbito, fundamentada jurídicamente en el Estatuto de Autonomía de Cataluña y en leyes sectoriales como la Ley 18/1996, de 27 de diciembre, de relaciones con las comunidades catalanas del exterior y la Ley 26/2001, de 31 de diciembre, de cooperación al desarrollo, no impugnadas ante el Tribunal Constitucional. Cita también el Letrado del Parlamento de Cataluña el plan de acción exterior del Gobierno de Cataluña 2010-2015 cuyos objetivos coincidirían con los de la Ley 16/2014 y tampoco fue impugnado. Sostiene que la práctica de la acción exterior de la Generalitat desde los años 80 ha sido similar a la del resto de Comunidades Autónomas; ha consistido esencialmente en viajes de autoridades al extranjero, creación de oficinas en el exterior y acciones de cooperación. Señala también, con cita de varios autores, que la doctrina ha defendido la necesidad de una acción exterior de las Comunidades Autónomas y concluye este apartado con una síntesis del objeto, finalidades, estructura y contenido de la Ley 16/2014.</w:t>
      </w:r>
    </w:p>
    <w:p w:rsidR="00A90898" w:rsidRDefault="00A90898" w:rsidP="00A90898">
      <w:pPr>
        <w:pStyle w:val="TextoNormal"/>
      </w:pPr>
    </w:p>
    <w:p w:rsidR="00A90898" w:rsidRDefault="00A90898" w:rsidP="00A90898">
      <w:pPr>
        <w:pStyle w:val="TextoNormal"/>
      </w:pPr>
      <w:r>
        <w:t>A continuación, el Letrado del Parlamento de Cataluña examina la presunta vulneración competencial que el recurso imputa a la Ley 16/2014, analizando pormenorizadamente las alegaciones relativas a cada precepto impugnado.</w:t>
      </w:r>
    </w:p>
    <w:p w:rsidR="00A90898" w:rsidRDefault="00A90898" w:rsidP="00A90898">
      <w:pPr>
        <w:pStyle w:val="TextoNormal"/>
      </w:pPr>
    </w:p>
    <w:p w:rsidR="00A90898" w:rsidRDefault="00A90898" w:rsidP="00A90898">
      <w:pPr>
        <w:pStyle w:val="TextoNormal"/>
      </w:pPr>
      <w:r>
        <w:t>En cuanto al art. 1.1 de la Ley 16/2014, rechaza que sea inconstitucional la distinción entre “acción exterior de Cataluña” y “relaciones de la Generalitat con la Unión Europea” y que la atribución a Cataluña de una acción exterior carezca de base competencial. Sostiene que la relación entre las nociones jurídicas de “Cataluña” y “Generalitat” deriva de los arts. 1 y 2 EAC, siendo la Generalitat el sistema institucional en que se organiza jurídicamente el autogobierno de Cataluña. Dice que debe subrayarse que, tanto el Estatuto de Autonomía de Cataluña como la Ley 16/2014, distinguen, al referirse a la proyección exterior de la actuación de la Comunidad Autónoma, entre su objeto específico (art. 1.2 de la Ley) y sus finalidades genéricas (apartados 1.1 y 1.4), de manera que el artículo 1.1 a), que alude a la máxima proyección exterior de Cataluña y la promoción en el exterior de sus intereses, es muy semejante al art. 193 EAC.</w:t>
      </w:r>
    </w:p>
    <w:p w:rsidR="00A90898" w:rsidRDefault="00A90898" w:rsidP="00A90898">
      <w:pPr>
        <w:pStyle w:val="TextoNormal"/>
      </w:pPr>
    </w:p>
    <w:p w:rsidR="00A90898" w:rsidRDefault="00A90898" w:rsidP="00A90898">
      <w:pPr>
        <w:pStyle w:val="TextoNormal"/>
      </w:pPr>
      <w:r>
        <w:t>Añade que las competencias de la Generalitat para promover los intereses de Cataluña en el exterior se fundamentan en los arts. 6, 12, 13, 127, 134, 150, 171, 184 a 192 y 193 a 200 EAC y recuerda que el art. 137 CE determina que las Comunidades Autónomas gozan de autonomía para la gestión de sus respectivos intereses. Del art. 1 de la Ley 16/2014 no cabe inferir que la Generalitat invada la competencia estatal del art. 149.1.3 CE. La acción exterior de la Generalitat se viene realizando pacíficamente desde hace años; el artículo 1, en el ámbito de la Unión Europea, se remite a la normativa vigente, por lo que se ajusta al bloque de constitucionalidad. La calificación de Cataluña como “actor internacional” no supone, como entiende el recurrente, que se atribuya a la Generalitat subjetividad internacional. Distingue, con cita de doctrina, entre los actores internacionales que juegan algún papel en el sistema internacional y los sujetos de Derecho internacional público, principalmente Estados y organizaciones internacionales. Considera que cuando el recurrente afirma que el artículo 1 no menciona la coordinación que corresponde al Gobierno de la Nación en este ámbito, contradice la interpretación literal y sistemática del precepto. Así, el artículo 1 c) se refiere a la normativa vigente; el artículo 2, al definir la acción exterior, la relaciona con las atribuciones competenciales de la Generalitat; el artículo 3, sobre principios rectores de la acción exterior, incluye “la garantía de coordinación” (letra c) y “el principio de lealtad institucional y la búsqueda de sinergias con el Gobierno del Estado” (letra h). Cita también el artículo 18 y el preámbulo de la Ley 16/2014, que se remite al Estatuto de Autonomía de Cataluña y a la jurisprudencia constitucional. En cuanto a los apartados 2 y 3 del artículo 1, se remite a lo dicho sobre el apartado 1.</w:t>
      </w:r>
    </w:p>
    <w:p w:rsidR="00A90898" w:rsidRDefault="00A90898" w:rsidP="00A90898">
      <w:pPr>
        <w:pStyle w:val="TextoNormal"/>
      </w:pPr>
    </w:p>
    <w:p w:rsidR="00A90898" w:rsidRDefault="00A90898" w:rsidP="00A90898">
      <w:pPr>
        <w:pStyle w:val="TextoNormal"/>
      </w:pPr>
      <w:r>
        <w:t>El Letrado del Parlamento catalán rechaza también la supuesta inconstitucionalidad del art. 2 de la Ley 16/2014 remitiéndose a lo dicho sobre el artículo 1, puesto que el recurso afirma que las tachas de inconstitucionalidad formuladas frente a éste son trasladables al artículo 2. Reitera que el artículo 2 a) precisa que la acción exterior abarca todas las políticas, actividades e iniciativas de la Generalitat derivadas de sus competencias y que las menciones a la proyección exterior de Cataluña y a la promoción de sus intereses reproducen lo dispuesto en el Estatuto de Autonomía de Cataluña, que no mereció en este punto reproche de la STC 31/2010.</w:t>
      </w:r>
    </w:p>
    <w:p w:rsidR="00A90898" w:rsidRDefault="00A90898" w:rsidP="00A90898">
      <w:pPr>
        <w:pStyle w:val="TextoNormal"/>
      </w:pPr>
    </w:p>
    <w:p w:rsidR="00A90898" w:rsidRDefault="00A90898" w:rsidP="00A90898">
      <w:pPr>
        <w:pStyle w:val="TextoNormal"/>
      </w:pPr>
      <w:r>
        <w:t xml:space="preserve">Defiende asimismo la constitucionalidad de la definición de los “acuerdos de colaboración” del artículo 2 d), que no atribuye a la Generalitat el ejercicio del </w:t>
      </w:r>
      <w:r w:rsidRPr="00A90898">
        <w:rPr>
          <w:i/>
        </w:rPr>
        <w:t>ius contrahendi</w:t>
      </w:r>
      <w:r>
        <w:t>, puesto que el precepto establece que estos acuerdos no tienen naturaleza ni efectos jurídicos de Derecho internacional. Afirma que los argumentos del recurso sobre la afectación de las competencias estatales de coordinación y la omisión de las formalidades previstas en la Ley estatal 25/2014, no resultan del texto de la Ley impugnada sino de una eventual aplicación contraria a la normativa vigente. Son de carácter preventivo, lo que ha de conducir a su rechazo, conforme a la doctrina constitucional (SSTC 239/1992, 49/1984 y 165/1994). Añade que la reproducción de preceptos de legislación estatal en las normas autonómicas cuando la Comunidad Autónoma carece de competencia en la materia es una práctica no solo inadecuada sino incursa en inconstitucionalidad (STC 150/1998, entre otras).</w:t>
      </w:r>
    </w:p>
    <w:p w:rsidR="00A90898" w:rsidRDefault="00A90898" w:rsidP="00A90898">
      <w:pPr>
        <w:pStyle w:val="TextoNormal"/>
      </w:pPr>
    </w:p>
    <w:p w:rsidR="00A90898" w:rsidRDefault="00A90898" w:rsidP="00A90898">
      <w:pPr>
        <w:pStyle w:val="TextoNormal"/>
      </w:pPr>
      <w:r>
        <w:t>Sobre los apartados e) y f) del artículo 2, afirma el Letrado del Parlamento catalán que tienen fundamento en los arts. 192 y 194 EAC, avalados por la doctrina constitucional en los términos expuestos. Por último, contesta al reproche que se formula al término “diplomacia” [apartados i), j), k) y l) del artículo 2] por remisión a lo que luego alega para rebatir la impugnación que se dirige contra el artículo 38.</w:t>
      </w:r>
    </w:p>
    <w:p w:rsidR="00A90898" w:rsidRDefault="00A90898" w:rsidP="00A90898">
      <w:pPr>
        <w:pStyle w:val="TextoNormal"/>
      </w:pPr>
    </w:p>
    <w:p w:rsidR="00A90898" w:rsidRDefault="00A90898" w:rsidP="00A90898">
      <w:pPr>
        <w:pStyle w:val="TextoNormal"/>
      </w:pPr>
      <w:r>
        <w:t>Rechaza igualmente la pretendida inconstitucionalidad del art. 3 de la Ley 16/2014. El hecho de que el precepto, al enumerar los principios rectores de la acción exterior y de las relaciones con la Unión Europea, incluya principios de política exterior propios del Estado, no supone sino la adecuación a esos principios. Sobre el inciso relativo al “reconocimiento del derecho a decidir de los pueblos”, recuerda que el Tribunal Constitucional se ha pronunciado expresamente sobre el “derecho a decidir” declarando que cabe una interpretación constitucional de este principio [STC 42/2014, FJ 3 b)]. Respecto al apartado h), rechaza que desnaturalice el principio de lealtad institucional y que desconozca la coordinación del Estado en política exterior. Afirma que, al utilizar este apartado la conjunción “y”, se deduce que la búsqueda de sinergias es otro principio rector que refleja la voluntad de asociación de distintas Administraciones para conseguir los objetivos de las políticas públicas. Si se menciona solo el Estatuto (y no la Constitución ni la Ley estatal) es por ser la norma institucional básica de la Generalitat. Da también aquí por repetido lo ya dicho respecto de las alegaciones preventivas, la improcedencia de reproducir las leyes estatales en las autonómicas y la necesidad de una interpretación sistemática del art. 3 h) con los arts. 2, 3 c), 18 y con el preámbulo de la Ley 16/2014.</w:t>
      </w:r>
    </w:p>
    <w:p w:rsidR="00A90898" w:rsidRDefault="00A90898" w:rsidP="00A90898">
      <w:pPr>
        <w:pStyle w:val="TextoNormal"/>
      </w:pPr>
    </w:p>
    <w:p w:rsidR="00A90898" w:rsidRDefault="00A90898" w:rsidP="00A90898">
      <w:pPr>
        <w:pStyle w:val="TextoNormal"/>
      </w:pPr>
      <w:r>
        <w:t>En cuanto al art. 4 de la Ley 16/2014, cuyos apartados a) y b) se impugnan por referirse a la acción exterior de Cataluña como actor internacional, el Letrado del Parlamento catalán sostiene que este precepto no conculca la competencia exclusiva del Estado en materia de relaciones internacionales como ha sido interpretada por el Tribunal Constitucional. El recurso tendría también en este punto, carácter preventivo. Pide que se den por repetidas sus alegaciones sobre la inadecuación de la reproducción de leyes estatales por las autonómicas.</w:t>
      </w:r>
    </w:p>
    <w:p w:rsidR="00A90898" w:rsidRDefault="00A90898" w:rsidP="00A90898">
      <w:pPr>
        <w:pStyle w:val="TextoNormal"/>
      </w:pPr>
    </w:p>
    <w:p w:rsidR="00A90898" w:rsidRDefault="00A90898" w:rsidP="00A90898">
      <w:pPr>
        <w:pStyle w:val="TextoNormal"/>
      </w:pPr>
      <w:r>
        <w:t>Al examinar la impugnación de los arts. 5 a 9 de la Ley 16/2014, el Letrado del Parlamento de Cataluña afirma que la alegación de extralimitación competencial del recurso en este punto es genérica y que los preceptos citados se limitan a enumerar las funciones de las instituciones de la Generalitat. Reproducen, en la mayoría de los casos, los preceptos del Estatuto de Autonomía de Cataluña, o lo previsto en el Tratado de la Unión Europea, o en la Ley estatal 24/2009, de modificación de la Ley 8/1994, que regula la comisión mixta para la Unión Europea para su adaptación al Tratado de Lisboa, como en el caso de la función de control del principio de subsidiariedad. En particular, el art. 5 de la Ley 16/2014 enumera las funciones del Parlamento catalán de conformidad con el Estatuto de Autonomía de Cataluña, por lo que no cabe argumentar que son funciones ilimitadas ni sin base competencial. La función de debate y seguimiento del plan estratégico de acción exterior y de relaciones con la Unión Europea del apartado c) es una función fundamental de toda asamblea parlamentaria, reconocida en el Estatuto de Autonomía de Cataluña. La función de control del principio de subsidiariedad del apartado h) no puede contradecir el Estatuto de Autonomía de Cataluña, puesto que se remite al mismo. Por otro lado, la interpretación del recurrente sobre esta función es contraria a su naturaleza, que conlleva la participación de los Parlamentos regionales. Invoca el Letrado del Parlamento de Cataluña el art. 12 del Tratado de la Unión Europea, su protocolo número 2 y la Ley estatal 24/2009, así como los arts. 188 EAC y 181 del Reglamento del Parlamento de Cataluña y la interpretación doctrinal del principio de subsidiariedad. Sostiene que, desde la entrada en vigor del Tratado de la Unión Europea, esta función se ha ejercido habitualmente por el Parlamento de Cataluña y por el resto de Parlamentos autonómicos.</w:t>
      </w:r>
    </w:p>
    <w:p w:rsidR="00A90898" w:rsidRDefault="00A90898" w:rsidP="00A90898">
      <w:pPr>
        <w:pStyle w:val="TextoNormal"/>
      </w:pPr>
    </w:p>
    <w:p w:rsidR="00A90898" w:rsidRDefault="00A90898" w:rsidP="00A90898">
      <w:pPr>
        <w:pStyle w:val="TextoNormal"/>
      </w:pPr>
      <w:r>
        <w:t>En cuanto al art. 6 de la Ley 16/2014, el Letrado del Parlamento de Cataluña afirma que no cabe sostener que es contrario al principio de lealtad institucional. Se trata de un principio rector de la acción exterior recogido como tal en el art. 3 h) de la Ley 16/2014. Añade que el artículo 6 es conforme al art. 67 EAC, que atribuye a la Presidencia de la Generalitat su más alta representación, y a la práctica seguida en esta materia; son habituales las relaciones de Presidentes de Comunidades Autónomas con autoridades internacionales. Manifiesta que el recurso vuelve a tener en este caso carácter preventivo.</w:t>
      </w:r>
    </w:p>
    <w:p w:rsidR="00A90898" w:rsidRDefault="00A90898" w:rsidP="00A90898">
      <w:pPr>
        <w:pStyle w:val="TextoNormal"/>
      </w:pPr>
    </w:p>
    <w:p w:rsidR="00A90898" w:rsidRDefault="00A90898" w:rsidP="00A90898">
      <w:pPr>
        <w:pStyle w:val="TextoNormal"/>
      </w:pPr>
      <w:r>
        <w:t>Tampoco considera el Letrado del Parlamento de Cataluña inconstitucional el art. 7 de la Ley 16/2014. El hecho de que no mencione al Gobierno de la Nación es debido a que su objeto es regular las atribuciones del Gobierno de la Generalitat. Si lo que quiere destacar el recurrente es que el precepto no se refiere a la coordinación con el Gobierno del Estado, se han de reiterar las alegaciones sobre el carácter preventivo del recurso. Respecto al apartado e), que se recurre por atribuir al Gobierno de la Generalitat la función de aprobar acuerdos de colaboración definidos en el artículo 2 d), también recurrido, se dan por reproducidos los argumentos ya expuestos. Respecto al apartado c), que atribuye al Gobierno de la Generalitat la función de participar en el nombramiento de las personas que deben representar a esta en las delegaciones negociadoras del Estado ante la Unión Europea y en la representación permanente del Estado ante la Unión Europea, el recurso no le achaca vicio de inconstitucionalidad sino que solo dice que debe entenderse referido a una función de propuesta. Frente a ello el Letrado del Parlamento de Cataluña manifiesta que esta es, en efecto, la única interpretación posible según el tenor del artículo 7 c) de la Ley 16/2014 y los arts. 149.1.3 CE y 196 EAC.</w:t>
      </w:r>
    </w:p>
    <w:p w:rsidR="00A90898" w:rsidRDefault="00A90898" w:rsidP="00A90898">
      <w:pPr>
        <w:pStyle w:val="TextoNormal"/>
      </w:pPr>
    </w:p>
    <w:p w:rsidR="00A90898" w:rsidRDefault="00A90898" w:rsidP="00A90898">
      <w:pPr>
        <w:pStyle w:val="TextoNormal"/>
      </w:pPr>
      <w:r>
        <w:t>Sostiene también el Letrado del Parlamento catalán la constitucionalidad del art. 8 de la Ley 16/2014, puesto que regularía funciones de ejecución de los departamentos de la Generalitat con competencias en materia de acción exterior con fundamento jurídico genérico en el art. 150 EAC y específico en los arts. 193 a 200 EAC. Entiende que estas funciones no traspasan los límites de la acción exterior de la Generalitat definidos en la doctrina constitucional. En cuanto al artículo 9, puesto que el reproche de inconstitucionalidad que se le formula se basa en el mismo razonamiento esgrimido frente al artículo 8, se dan por reproducidos los argumentos anteriores. Respecto a la observación del recurso relativa a la necesidad de limitar las relaciones de colaboración y mecanismos de información, que este precepto contempla, a las competencias autonómicas, el Letrado del Parlamento catalán afirma que no cabe otra interpretación, aunque la formulación de esta observación se considera incongruente con la inconstitucionalidad que se alega. Concluye este apartado del escrito afirmando que los arts. 1 a 9 de la Ley 16/2014 no vulneran la competencia del Estado sobre relaciones internacionales y permiten una interpretación conforme con la Constitución.</w:t>
      </w:r>
    </w:p>
    <w:p w:rsidR="00A90898" w:rsidRDefault="00A90898" w:rsidP="00A90898">
      <w:pPr>
        <w:pStyle w:val="TextoNormal"/>
      </w:pPr>
    </w:p>
    <w:p w:rsidR="00A90898" w:rsidRDefault="00A90898" w:rsidP="00A90898">
      <w:pPr>
        <w:pStyle w:val="TextoNormal"/>
      </w:pPr>
      <w:r>
        <w:t>En cuanto al art. 26 de la Ley 16/2014, relativo a las “Relaciones del Gobierno con otros gobiernos”, su fundamento legal está, según el Letrado del Parlamento catalán, en los arts. 193, 195, 197 y 198 EAC, avalados por la STC 31/2010. Se basa en la práctica anterior, pues el Gobierno de Cataluña participa en acciones de cooperación con otros gobiernos en diversos foros internacionales, sin que ello haya sido impugnado ante el Tribunal Constitucional. También son habituales las reuniones de Presidentes de Comunidades Autónomas con representantes consulares acreditados ante el Estado español. A su juicio, el tenor del artículo 26 no traspasa los límites de la acción exterior de las Comunidades Autónomas establecidos por la doctrina constitucional. Solo establece que el Gobierno de la Generalitat puede relacionarse con otros gobiernos para promover una serie de objetivos genéricos de carácter económico, social o cultural; todo esto no se materializa en la conclusión de tratados internacionales, ni supone ejercicio del derecho de legación, ni genera responsabilidad internacional del Estado, ni tiene por qué incidir en la política exterior. Entiende que una interpretación del art. 26 de la Ley 16/2014 como la que plantea el recurso, además de preventiva, sería contraria a los principios rectores de los apartados h) y j) del art. 3 de la misma Ley y a los arts. 3.1, 3.2 y 193 EAC. Cabe una interpretación del artículo 26 conforme a la Constitución. En particular, no puede entenderse inconstitucional el apartado e), que solo establece el objetivo de promover relaciones con el cuerpo consular: aun siendo “fluidas y constantes” no son permanentes ni reguladas por el Derecho internacional. Igualmente se habla de promover nuevos consulados, los cuales, en su caso, deberán ser establecidos por el Estado español y el tercer Estado afectado. Recuerda, en fin, que las Comunidades Autónomas pueden realizar actuaciones con proyección exterior y ejecutar obligaciones derivadas de tratados internacionales ratificados por España, lo que puede comportar que se establezca una relación entre una Comunidad Autónoma y un Estado soberano (cita la STC 58/1982, FJ 4).</w:t>
      </w:r>
    </w:p>
    <w:p w:rsidR="00A90898" w:rsidRDefault="00A90898" w:rsidP="00A90898">
      <w:pPr>
        <w:pStyle w:val="TextoNormal"/>
      </w:pPr>
    </w:p>
    <w:p w:rsidR="00A90898" w:rsidRDefault="00A90898" w:rsidP="00A90898">
      <w:pPr>
        <w:pStyle w:val="TextoNormal"/>
      </w:pPr>
      <w:r>
        <w:t xml:space="preserve">Tampoco puede acogerse, dice el Letrado del Parlamento catalán, la impugnación de los arts. 29 a 33 de la Ley 16/2014, por varias razones. Ante todo, porque estos preceptos regulan una serie de unidades administrativas meramente instrumentales respecto de los objetivos de las actividades con proyección exterior de la Generalitat. Esta es competente para crear dichas unidades conforme a los arts. 150, 192 y 194 EAC. La Ley 2/2014, de la acción exterior del Estado, reconoce que las Comunidades Autónomas pueden realizar actividades con promoción exterior y crear oficinas en el exterior; lo que no se incluye en la materia de relaciones internacionales reservada al Estado </w:t>
      </w:r>
      <w:r w:rsidRPr="00A90898">
        <w:rPr>
          <w:i/>
        </w:rPr>
        <w:t>ex</w:t>
      </w:r>
      <w:r>
        <w:t xml:space="preserve"> art. 149.1.3 CE. Así se evidencia en la práctica de las Comunidades Autónomas que han creado unidades orgánicas en el exterior; en concreto, Cataluña ha abierto oficinas en el exterior desde los años 80, citando el escrito varios ejemplos. La STC 165/1994 ya avaló el establecimiento por las Comunidades Autónomas de oficinas en el exterior.</w:t>
      </w:r>
    </w:p>
    <w:p w:rsidR="00A90898" w:rsidRDefault="00A90898" w:rsidP="00A90898">
      <w:pPr>
        <w:pStyle w:val="TextoNormal"/>
      </w:pPr>
    </w:p>
    <w:p w:rsidR="00A90898" w:rsidRDefault="00A90898" w:rsidP="00A90898">
      <w:pPr>
        <w:pStyle w:val="TextoNormal"/>
      </w:pPr>
      <w:r>
        <w:t>Las delegaciones y oficinas reguladas en los arts. 29 a 33 de la Ley 16/2014 no suponen ejercicio por la Comunidad Autónoma del derecho de legación del Estado. Se crean por decreto del Gobierno catalán, mientras que el establecimiento de relaciones diplomáticas y consulares se efectúa por consentimiento mutuo entre los Estados. Además, el régimen jurídico de estas oficinas y delegaciones de la Generalitat no es el de las misiones diplomáticas ni el de las oficinas consulares regulado en los respectivos Convenios de Viena. Tras comparar las funciones de las misiones diplomáticas y oficinas consulares con las de las delegaciones y oficinas de Cataluña en el exterior, llega a la conclusión de que no coinciden; a ello añade que estas últimas no cuentan con las inmunidades y privilegios propios de las primeras. Tampoco cuenta el personal de las oficinas y delegaciones autonómicas en el exterior con el especial estatuto jurídico del personal diplomático y consular, lo que ilustra con cita de la Sentencia del Tribunal de Justicia de la Unión Europea de 29 de noviembre de 2007, dictada en los asuntos C-7/06, C-8/06 y C-9/06. Aunque los arts. 29 a 33 no se refieran a los requisitos que establece el art. 12 de la Ley estatal 2/2014 para que las Comunidades Autónomas puedan abrir oficinas en el exterior, ello no permite asumir que la ley estatal se vaya a incumplir; el recurso tiene también carácter preventivo en este punto. Finalmente, no es correcta la observación del recurso según la cual la instalación de las oficinas autonómicas en el exterior deberá tener lugar dentro de los locales del Servicio Exterior de Estado, pues esto no se adecúa al art. 12.4 de la Ley estatal 2/2014, según el Letrado del Parlamento de Cataluña.</w:t>
      </w:r>
    </w:p>
    <w:p w:rsidR="00A90898" w:rsidRDefault="00A90898" w:rsidP="00A90898">
      <w:pPr>
        <w:pStyle w:val="TextoNormal"/>
      </w:pPr>
    </w:p>
    <w:p w:rsidR="00A90898" w:rsidRDefault="00A90898" w:rsidP="00A90898">
      <w:pPr>
        <w:pStyle w:val="TextoNormal"/>
      </w:pPr>
      <w:r>
        <w:t>Por último, se opone el representante del Parlamento catalán a la impugnación de los arts. 34 a 38 de la Ley 16/2014, en relación con el art. 2, apartados i), j), k) y l), de la misma ley, relativos a la “diplomacia pública” de Cataluña. Afirma que estos artículos no vulneran la competencia exclusiva del Estado sobre relaciones internacionales, pues contienen medidas meramente programáticas cuyo fundamento es el art. 200 EAC, que atribuye a la Generalitat la función de promover la proyección internacional de las organizaciones sociales, culturales y deportivas de Cataluña. El concepto de diplomacia pública definido en el art. 2 i) de la Ley 16/2014 no infringe los arts. 56.1, 96, 97 y 149.1.3 CE, pues se refiere a una noción distinta de la diplomacia tradicional a la que alude el informe del Consejo de Estado invocado en el recurso. La diplomacia pública se entiende como estrategia de información, en el marco internacional, dirigida a facilitar las actividades en el exterior de Cataluña. Es un concepto, propuesto por la doctrina, congruente con la práctica política de los Gobiernos de la Generalitat cuyo destinatario es la opinión pública general en lugar de los gobiernos de otros países como ocurre con la diplomacia tradicional. Así, los preceptos impugnados, dentro del título de la Ley 16/2014 sobre “Relaciones de la Generalitat con la ciudadanía y con la sociedad civil en materia de acción exterior”, por su contenido no suponen relaciones entre sujetos internacionales regidas por el Derecho internacional. Además, una interpretación sistemática de estos preceptos conlleva su adecuación a los principios rectores recogidos en el art. 3, entre ellos, la lealtad institucional del art. 3 h) y el respeto al Derecho internacional del art. 3 j).</w:t>
      </w:r>
    </w:p>
    <w:p w:rsidR="00A90898" w:rsidRDefault="00A90898" w:rsidP="00A90898">
      <w:pPr>
        <w:pStyle w:val="TextoNormal"/>
      </w:pPr>
    </w:p>
    <w:p w:rsidR="00A90898" w:rsidRDefault="00A90898" w:rsidP="00A90898">
      <w:pPr>
        <w:pStyle w:val="TextoNormal"/>
      </w:pPr>
      <w:r w:rsidRPr="00A90898">
        <w:rPr>
          <w:rStyle w:val="NumeroAFNegritaCaracter"/>
        </w:rPr>
        <w:t>6</w:t>
      </w:r>
      <w:r>
        <w:t>. Mediante providencia de 12 de mayo de 2015 el Pleno del Tribunal acuerda incorporar a los autos los escritos de alegaciones de los Letrados del Gobierno de la Generalitat y del Parlamento de Cataluña y dar traslado al Abogado del Estado por cinco días para alegaciones sobre las solicitudes formuladas por aquellos de levantamiento de la suspensión de los preceptos impugnados.</w:t>
      </w:r>
    </w:p>
    <w:p w:rsidR="00A90898" w:rsidRDefault="00A90898" w:rsidP="00A90898">
      <w:pPr>
        <w:pStyle w:val="TextoNormal"/>
      </w:pPr>
    </w:p>
    <w:p w:rsidR="00A90898" w:rsidRDefault="00A90898" w:rsidP="00A90898">
      <w:pPr>
        <w:pStyle w:val="TextoNormal"/>
      </w:pPr>
      <w:r w:rsidRPr="00A90898">
        <w:rPr>
          <w:rStyle w:val="NumeroAFNegritaCaracter"/>
        </w:rPr>
        <w:t>7</w:t>
      </w:r>
      <w:r>
        <w:t>. Evacuado por el Abogado del Estado el traslado conferido, mediante ATC 122/2015, de 7 de julio, el Pleno del Tribunal acordó mantener la suspensión del apartado 1 b) del artículo 1; de las letras i), j), k) y l) del artículo 2; de la letra a) del artículo 4 y de los artículos 34 a 38 de la Ley del Parlamento de Cataluña 16/2014, de 4 de diciembre, de acción exterior y de relaciones con la Unión Europea y levantar la suspensión del apartado 1 a) y c) y del apartado 2 del artículo 1; de las letras a) a la h) del artículo 2; del artículo 3; de las letras b) a la h) del artículo 4; de los artículos 5 a 9; del artículo 26; y de los artículos 29 a 33, todos ellos de la misma ley.</w:t>
      </w:r>
    </w:p>
    <w:p w:rsidR="00A90898" w:rsidRDefault="00A90898" w:rsidP="00A90898">
      <w:pPr>
        <w:pStyle w:val="TextoNormal"/>
      </w:pPr>
    </w:p>
    <w:p w:rsidR="00A90898" w:rsidRDefault="00A90898" w:rsidP="00A90898">
      <w:pPr>
        <w:pStyle w:val="TextoNormal"/>
      </w:pPr>
      <w:r w:rsidRPr="00A90898">
        <w:rPr>
          <w:rStyle w:val="NumeroAFNegritaCaracter"/>
        </w:rPr>
        <w:t>8</w:t>
      </w:r>
      <w:r>
        <w:t>. Por providencia de 20 de diciembre de 2016 se señaló para deliberación y votación de la presente Sentencia el día 22 del mismo mes y año.</w:t>
      </w:r>
    </w:p>
    <w:p w:rsidR="00A90898" w:rsidRDefault="00A90898" w:rsidP="00A90898">
      <w:pPr>
        <w:pStyle w:val="TextoNormal"/>
      </w:pPr>
    </w:p>
    <w:p w:rsidR="00A90898" w:rsidRDefault="00A90898" w:rsidP="00A90898">
      <w:pPr>
        <w:pStyle w:val="TextoNormalNegritaCentrado"/>
        <w:keepNext/>
      </w:pPr>
      <w:r>
        <w:t>II. Fundamentos jurídicos</w:t>
      </w:r>
    </w:p>
    <w:p w:rsidR="00A90898" w:rsidRDefault="00A90898" w:rsidP="00A90898">
      <w:pPr>
        <w:pStyle w:val="TextoNormalNegritaCentrado"/>
        <w:keepNext/>
      </w:pPr>
    </w:p>
    <w:p w:rsidR="00A90898" w:rsidRDefault="00A90898" w:rsidP="00A90898">
      <w:pPr>
        <w:pStyle w:val="TextoNormal"/>
      </w:pPr>
      <w:r w:rsidRPr="00A90898">
        <w:rPr>
          <w:rStyle w:val="NumeroAFNegritaCaracter"/>
        </w:rPr>
        <w:t>1</w:t>
      </w:r>
      <w:r>
        <w:t>. La presente Sentencia tiene por objeto resolver el recurso de inconstitucionalidad interpuesto por el Abogado del Estado, en nombre del Presidente del Gobierno, contra los arts. 1 a 9, 26 y 29 a 38 de la Ley del Parlamento de Cataluña 16/2014, de 4 de diciembre, de acción exterior y de relaciones con la Unión Europea.</w:t>
      </w:r>
    </w:p>
    <w:p w:rsidR="00A90898" w:rsidRDefault="00A90898" w:rsidP="00A90898">
      <w:pPr>
        <w:pStyle w:val="TextoNormal"/>
      </w:pPr>
    </w:p>
    <w:p w:rsidR="00A90898" w:rsidRDefault="00A90898" w:rsidP="00A90898">
      <w:pPr>
        <w:pStyle w:val="TextoNormal"/>
      </w:pPr>
      <w:r>
        <w:t>El Abogado del Estado, en los términos ya expuestos, considera que los preceptos impugnados vulneran de forma inmediata la Constitución en cuanto infringen el art. 149.1.3 CE, en relación con los arts. 63, 93 a 96 y 97 CE, por invadir la competencia exclusiva del Estado en materia de relaciones internacionales. También, de forma mediata, en cuanto contradicen la Ley 2/2014, de 25 de marzo, de la acción y del servicio exterior del Estado. Asimismo entiende que los preceptos recurridos vulneran los arts. 184 a 192 y 193 EAC sobre relaciones de la Generalitat con la Unión Europea y acción exterior de la Generalitat.</w:t>
      </w:r>
    </w:p>
    <w:p w:rsidR="00A90898" w:rsidRDefault="00A90898" w:rsidP="00A90898">
      <w:pPr>
        <w:pStyle w:val="TextoNormal"/>
      </w:pPr>
    </w:p>
    <w:p w:rsidR="00A90898" w:rsidRDefault="00A90898" w:rsidP="00A90898">
      <w:pPr>
        <w:pStyle w:val="TextoNormal"/>
      </w:pPr>
      <w:r>
        <w:t>Los Letrados de la Generalitat y del Parlamento de Cataluña, conforme ha quedado expuesto en el relato de antecedentes, niegan las vulneraciones denunciadas, considerando que la Ley 16/2014 tiene fundamento en el Estatuto de Autonomía de Cataluña y es respetuosa con la competencia del Estado en materia de relaciones internacionales, conforme a la doctrina constitucional al respecto.</w:t>
      </w:r>
    </w:p>
    <w:p w:rsidR="00A90898" w:rsidRDefault="00A90898" w:rsidP="00A90898">
      <w:pPr>
        <w:pStyle w:val="TextoNormal"/>
      </w:pPr>
    </w:p>
    <w:p w:rsidR="00A90898" w:rsidRDefault="00A90898" w:rsidP="00A90898">
      <w:pPr>
        <w:pStyle w:val="TextoNormal"/>
      </w:pPr>
      <w:r w:rsidRPr="00A90898">
        <w:rPr>
          <w:rStyle w:val="NumeroAFNegritaCaracter"/>
        </w:rPr>
        <w:t>2</w:t>
      </w:r>
      <w:r>
        <w:t>. Para encuadrar adecuadamente las dudas de constitucionalidad planteadas procede recordar la doctrina constitucional sobre la competencia del Estado en materia de relaciones internacionales (art. 149.1.3 CE). Es preciso partir de la STC 165/1994, de 26 de mayo que, siguiendo la línea iniciada por la STC 37/1981, de 16 de noviembre, y reiterada en otras posteriores como la STC 137/1989, de 20 de julio, FJ 5, precisó el contenido de este título competencial estatal, dejando claro que “no puede en forma alguna excluirse que, para llevar a cabo correctamente las funciones que tenga atribuidas, una Comunidad Autónoma haya de realizar determinadas actividades, no ya sólo fuera de su territorio, sino incluso fuera de los límites territoriales de España” (STC 165/1994, FJ 3).</w:t>
      </w:r>
    </w:p>
    <w:p w:rsidR="00A90898" w:rsidRDefault="00A90898" w:rsidP="00A90898">
      <w:pPr>
        <w:pStyle w:val="TextoNormal"/>
      </w:pPr>
    </w:p>
    <w:p w:rsidR="00A90898" w:rsidRDefault="00A90898" w:rsidP="00A90898">
      <w:pPr>
        <w:pStyle w:val="TextoNormal"/>
      </w:pPr>
      <w:r>
        <w:t>En particular es necesario tener en cuenta, dada su relación con el objeto del presente recurso, la STC 31/2010, de 28 de junio, que resolvió el recurso de inconstitucionalidad interpuesto contra varios preceptos del Estatuto de Autonomía de Cataluña reformados por la Ley Orgánica 6/2006, de 19 de julio; entre ellos algunos de los relativos a las relaciones de la Generalitat con la Unión Europea y su acción exterior, que sirven de base a los preceptos de la Ley 16/2014 ahora impugnados.</w:t>
      </w:r>
    </w:p>
    <w:p w:rsidR="00A90898" w:rsidRDefault="00A90898" w:rsidP="00A90898">
      <w:pPr>
        <w:pStyle w:val="TextoNormal"/>
      </w:pPr>
    </w:p>
    <w:p w:rsidR="00A90898" w:rsidRDefault="00A90898" w:rsidP="00A90898">
      <w:pPr>
        <w:pStyle w:val="TextoNormal"/>
      </w:pPr>
      <w:r>
        <w:t>La STC 46/2015, de 5 de marzo, FJ 4 (como recuerda la reciente STC 85/2016, de 28 de abril, FJ 3), resume la doctrina sobre las actividades de las Comunidades Autónomas con proyección en el exterior y el alcance de la competencia estatal del art. 149.1.3 CE de la forma siguiente:</w:t>
      </w:r>
    </w:p>
    <w:p w:rsidR="00A90898" w:rsidRDefault="00A90898" w:rsidP="00A90898">
      <w:pPr>
        <w:pStyle w:val="TextoNormal"/>
      </w:pPr>
    </w:p>
    <w:p w:rsidR="00A90898" w:rsidRDefault="00A90898" w:rsidP="00A90898">
      <w:pPr>
        <w:pStyle w:val="TextoNormal"/>
      </w:pPr>
      <w:r>
        <w:t>“La doctrina sobre actividades de las Comunidades Autónomas con proyección exterior y el alcance de la competencia exclusiva del Estado en materia de relaciones internacionales ha sido reiterada en la STC 31/2010, de 28 de junio, FJ 125, con cita expresa de la STC 165/1994, de 26 de mayo, FFJJ 5 y 6, a las que se hace referencia por las partes en el presente recurso y posteriormente en la STC 118/2011, de 5 de julio, FJ 10, citada a su vez por la 138/2011, de 14 de septiembre, FJ 4.</w:t>
      </w:r>
    </w:p>
    <w:p w:rsidR="00A90898" w:rsidRDefault="00A90898" w:rsidP="00A90898">
      <w:pPr>
        <w:pStyle w:val="TextoNormal"/>
      </w:pPr>
    </w:p>
    <w:p w:rsidR="00A90898" w:rsidRDefault="00A90898" w:rsidP="00A90898">
      <w:pPr>
        <w:pStyle w:val="TextoNormal"/>
      </w:pPr>
      <w:r>
        <w:t>Dicha doctrina puede sintetizarse, a los efectos que aquí y ahora interesan, en los siguientes extremos:</w:t>
      </w:r>
    </w:p>
    <w:p w:rsidR="00A90898" w:rsidRDefault="00A90898" w:rsidP="00A90898">
      <w:pPr>
        <w:pStyle w:val="TextoNormal"/>
      </w:pPr>
    </w:p>
    <w:p w:rsidR="00A90898" w:rsidRDefault="00A90898" w:rsidP="00A90898">
      <w:pPr>
        <w:pStyle w:val="TextoNormal"/>
      </w:pPr>
      <w:r>
        <w:t>a)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w:t>
      </w:r>
    </w:p>
    <w:p w:rsidR="00A90898" w:rsidRDefault="00A90898" w:rsidP="00A90898">
      <w:pPr>
        <w:pStyle w:val="TextoNormal"/>
      </w:pPr>
    </w:p>
    <w:p w:rsidR="00A90898" w:rsidRDefault="00A90898" w:rsidP="00A90898">
      <w:pPr>
        <w:pStyle w:val="TextoNormal"/>
      </w:pPr>
      <w:r>
        <w:t>b) 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referido título competencial.</w:t>
      </w:r>
    </w:p>
    <w:p w:rsidR="00A90898" w:rsidRDefault="00A90898" w:rsidP="00A90898">
      <w:pPr>
        <w:pStyle w:val="TextoNormal"/>
      </w:pPr>
    </w:p>
    <w:p w:rsidR="00A90898" w:rsidRDefault="00A90898" w:rsidP="00A90898">
      <w:pPr>
        <w:pStyle w:val="TextoNormal"/>
      </w:pPr>
      <w:r>
        <w:t>c) Sin pretender una descripción exhaustiva de la reserva a favor del Estado del art. 149.1.3 CE, este Tribunal ha identificado como algunos de los elementos esenciales que conforman su contenido los relativos a la celebración de tratados (</w:t>
      </w:r>
      <w:r w:rsidRPr="00A90898">
        <w:rPr>
          <w:i/>
        </w:rPr>
        <w:t>ius contrahendi</w:t>
      </w:r>
      <w:r>
        <w:t>), a la representación exterior del Estado (</w:t>
      </w:r>
      <w:r w:rsidRPr="00A90898">
        <w:rPr>
          <w:i/>
        </w:rPr>
        <w:t>ius legationis</w:t>
      </w:r>
      <w:r>
        <w:t xml:space="preserve">), así como a la creación de obligaciones internacionales y a la responsabilidad internacional del Estado; en otras palabras,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w:t>
      </w:r>
      <w:r w:rsidRPr="00A90898">
        <w:rPr>
          <w:i/>
        </w:rPr>
        <w:t>ius contrahendi</w:t>
      </w:r>
      <w:r>
        <w:t>, no originen obligaciones inmediatas y actuales frente a los poderes públicos extranjeros, no incidan en la política exterior del Estado y no generen responsabilidad de éste frente a Estados extranjeros u organizaciones inter o supranacionales.</w:t>
      </w:r>
    </w:p>
    <w:p w:rsidR="00A90898" w:rsidRDefault="00A90898" w:rsidP="00A90898">
      <w:pPr>
        <w:pStyle w:val="TextoNormal"/>
      </w:pPr>
    </w:p>
    <w:p w:rsidR="00A90898" w:rsidRDefault="00A90898" w:rsidP="00A90898">
      <w:pPr>
        <w:pStyle w:val="TextoNormal"/>
      </w:pPr>
      <w:r>
        <w:t>d) Dentro de la competencia estatal,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w:t>
      </w:r>
    </w:p>
    <w:p w:rsidR="00A90898" w:rsidRDefault="00A90898" w:rsidP="00A90898">
      <w:pPr>
        <w:pStyle w:val="TextoNormal"/>
      </w:pPr>
    </w:p>
    <w:p w:rsidR="00A90898" w:rsidRDefault="00A90898" w:rsidP="00A90898">
      <w:pPr>
        <w:pStyle w:val="TextoNormal"/>
      </w:pPr>
      <w:r>
        <w:t xml:space="preserve">En cuanto a los arts. 63, 93 a 96 y 97 CE, invocados por el Abogado del Estado en relación con la competencia estatal </w:t>
      </w:r>
      <w:r w:rsidRPr="00A90898">
        <w:rPr>
          <w:i/>
        </w:rPr>
        <w:t>ex</w:t>
      </w:r>
      <w:r>
        <w:t xml:space="preserve"> art. 149.1.3 CE, cabe recordar que la STC 198/2013, de 5 de diciembre, FJ 3, con cita a su vez de la STC 137/1989, de 20 de julio, FJ 4, advierte que “los arts. 93, 94 y 97 CE, aunque no constituyen ningún título atributivo de competencias, contribuyen a perfilar el título competencial que contiene el art. 149.1.3 CE”. Otro tanto cabe predicar, claro está, de los arts. 63, 95 y 96 CE.</w:t>
      </w:r>
    </w:p>
    <w:p w:rsidR="00A90898" w:rsidRDefault="00A90898" w:rsidP="00A90898">
      <w:pPr>
        <w:pStyle w:val="TextoNormal"/>
      </w:pPr>
    </w:p>
    <w:p w:rsidR="00A90898" w:rsidRDefault="00A90898" w:rsidP="00A90898">
      <w:pPr>
        <w:pStyle w:val="TextoNormal"/>
      </w:pPr>
      <w:r>
        <w:t>A lo expuesto se han de añadir las consideraciones de la STC 31/2010 relativas a preceptos estatutarios que sirven de base a la Ley 16/2014 o que regulan la acción exterior de la Generalitat. Así, la STC 31/2010 no solo resume en su fundamento jurídico 125 la doctrina constitucional sobre el art. 149.1.3 CE, en los términos luego recogidos por la STC 46/2015 ya expuestos, sino que además contiene otros pronunciamientos relevantes a efectos del presente recurso. A ellos tendremos ocasión de referirnos, en lo que resulte pertinente, al examinar las impugnaciones que se dirigen frente a los arts. 1 a 9, 26 y 29 a 38 de la Ley del Parlamento de Cataluña 16/2014.</w:t>
      </w:r>
    </w:p>
    <w:p w:rsidR="00A90898" w:rsidRDefault="00A90898" w:rsidP="00A90898">
      <w:pPr>
        <w:pStyle w:val="TextoNormal"/>
      </w:pPr>
    </w:p>
    <w:p w:rsidR="00A90898" w:rsidRDefault="00A90898" w:rsidP="00A90898">
      <w:pPr>
        <w:pStyle w:val="TextoNormal"/>
      </w:pPr>
      <w:r w:rsidRPr="00A90898">
        <w:rPr>
          <w:rStyle w:val="NumeroAFNegritaCaracter"/>
        </w:rPr>
        <w:t>3</w:t>
      </w:r>
      <w:r>
        <w:t>. Antes de proceder al enjuiciamiento de los concretos preceptos legales impugnados, conviene precisar las consideraciones generales del recurso relativas a la amplitud y ambigüedad de los términos utilizados por la Ley 16/2014 y a la omisión de referencias a las competencias estatales en materia de acción exterior (recogidas en la Ley 2/2014, de 25 de marzo, de acción y del servicio exterior del Estado, sobre la que este Tribunal ha tenido ocasión de pronunciarse en su STC 85/2016, de 28 de abril, y la Ley 25/2014, de 27 de noviembre, de tratados y otros acuerdos internacionales). Estas consideraciones se formulan inicialmente de forma genérica e imprecisa, con referencia a la ley en su conjunto; sin embargo, se individualizan luego en la impugnación de determinados preceptos, por lo que las examinaremos al enjuiciarlos.</w:t>
      </w:r>
    </w:p>
    <w:p w:rsidR="00A90898" w:rsidRDefault="00A90898" w:rsidP="00A90898">
      <w:pPr>
        <w:pStyle w:val="TextoNormal"/>
      </w:pPr>
    </w:p>
    <w:p w:rsidR="00A90898" w:rsidRDefault="00A90898" w:rsidP="00A90898">
      <w:pPr>
        <w:pStyle w:val="TextoNormal"/>
      </w:pPr>
      <w:r w:rsidRPr="00A90898">
        <w:rPr>
          <w:rStyle w:val="NumeroAFNegritaCaracter"/>
        </w:rPr>
        <w:t>4</w:t>
      </w:r>
      <w:r>
        <w:t>. Tras la precisión expuesta, procede abordar el examen del art. 1 de la Ley 16/2014 frente al cual se esgrimen diversos argumentos con los que se trata de demostrar que este precepto (y el resto de los impugnados) configura a Cataluña como un sujeto de Derecho internacional, que pretende actuar en el exterior al margen de sus competencias e invadiendo las del Estado. En aras de la claridad expositiva abordaremos el examen de esos argumentos de forma separada.</w:t>
      </w:r>
    </w:p>
    <w:p w:rsidR="00A90898" w:rsidRDefault="00A90898" w:rsidP="00A90898">
      <w:pPr>
        <w:pStyle w:val="TextoNormal"/>
      </w:pPr>
    </w:p>
    <w:p w:rsidR="00A90898" w:rsidRDefault="00A90898" w:rsidP="00A90898">
      <w:pPr>
        <w:pStyle w:val="TextoNormal"/>
      </w:pPr>
      <w:r>
        <w:t xml:space="preserve">Así, en primer lugar, sostiene el recurrente que la distinción que realiza el precepto entre la “acción exterior de Cataluña” y las “relaciones de la Generalitat con la Unión Europea” supone que Cataluña se configura como sujeto de Derecho internacional y que su acción exterior se desvincula de las competencias autonómicas, lo que no se acomoda a la doctrina constitucional al respecto, contraviniendo la competencia estatal </w:t>
      </w:r>
      <w:r w:rsidRPr="00A90898">
        <w:rPr>
          <w:i/>
        </w:rPr>
        <w:t>ex</w:t>
      </w:r>
      <w:r>
        <w:t xml:space="preserve"> art. 149.1.3 CE. Este Tribunal no comparte este primer reproche de inconstitucionalidad formulado frente al art. 1 de la Ley 16/2014, excepto en los extremos que luego se dirán.</w:t>
      </w:r>
    </w:p>
    <w:p w:rsidR="00A90898" w:rsidRDefault="00A90898" w:rsidP="00A90898">
      <w:pPr>
        <w:pStyle w:val="TextoNormal"/>
      </w:pPr>
    </w:p>
    <w:p w:rsidR="00A90898" w:rsidRDefault="00A90898" w:rsidP="00A90898">
      <w:pPr>
        <w:pStyle w:val="TextoNormal"/>
      </w:pPr>
      <w:r>
        <w:t>Nuestra jurisprudencia ha reiterado (SSTC 31/2010, FJ 125, y 46/2015, FJ 4) que las Comunidades Autónomas pueden llevar a cabo actividades con proyección exterior que sean necesarias o convenientes para el ejercicio de sus competencias, siempre que no invadan la competencia exclusiva del Estado en materia de relaciones internacionales del art. 149.1.3 CE (u otras competencias estatales) ni perturben la dirección de la política exterior que incumbe al Gobierno según el art. 97 CE.</w:t>
      </w:r>
    </w:p>
    <w:p w:rsidR="00A90898" w:rsidRDefault="00A90898" w:rsidP="00A90898">
      <w:pPr>
        <w:pStyle w:val="TextoNormal"/>
      </w:pPr>
    </w:p>
    <w:p w:rsidR="00A90898" w:rsidRDefault="00A90898" w:rsidP="00A90898">
      <w:pPr>
        <w:pStyle w:val="TextoNormal"/>
      </w:pPr>
      <w:r>
        <w:t>Por otra parte, la acción exterior de las Comunidades Autónomas no se circunscribe, lógicamente, a la Unión Europea. Aunque en esta los intereses autonómicos pueden verse más intensamente afectados, dadas las competencias de las instituciones europeas, ello no supone que no pueda existir afectación de tales intereses en otros ámbitos. En todo caso, la acción exterior autonómica fuera de la Unión Europea se encuentra admitida en nuestro ordenamiento, como lo demuestra el propio Estatuto de Autonomía de Cataluña, que regula en dos capítulos distintos las relaciones de la Generalitat con la Unión Europea (arts. 184 a 192) y la acción exterior de la Generalitat (arts. 193 a 199). La STC 31/2010, FJ 118, rechazó la impugnación de los arts. 184, 185.1, 186, 187.1, 2 y 3, 188, 189.2 y 3 y 191 EAC (cuestionados por referir la participación de la Generalitat en asuntos relacionados con la Unión Europea que afecten “a los intereses de Cataluña”), razonando que la “noción de ‘intereses’ con la perspectiva de la organización territorial del Estado no sólo no es inapropiada, sino absolutamente irreprochable en términos constitucionales, como revela la simple lectura del art. 137 CE, y además, como el Abogado del Estado pone de manifiesto en su escrito de alegaciones, este Tribunal ha vinculado las nociones de intereses y competencias de las Comunidades Autónomas, al enmarcar aquéllos las competencias y definir éstas, a su vez, los intereses (SSTC 4/1981, de 2 de febrero, FJ 3, y 25/1981, de 14 de julio, FJ 3), lo que revela la interrelación entre el ámbito competencial y los intereses de las Comunidades Autónomas”.</w:t>
      </w:r>
    </w:p>
    <w:p w:rsidR="00A90898" w:rsidRDefault="00A90898" w:rsidP="00A90898">
      <w:pPr>
        <w:pStyle w:val="TextoNormal"/>
      </w:pPr>
    </w:p>
    <w:p w:rsidR="00A90898" w:rsidRDefault="00A90898" w:rsidP="00A90898">
      <w:pPr>
        <w:pStyle w:val="TextoNormal"/>
      </w:pPr>
      <w:r>
        <w:t>Estando claro, pues, que no es inconstitucional la acción exterior de las Comunidades Autónomas, también fuera del ámbito de la Unión Europea, igualmente lo está que la misma debe estar ligada al ejercicio de sus competencias. Así lo ha declarado este Tribunal en los pronunciamientos ya citados. Sin perjuicio de ello, no compartimos la premisa del recurso según la cual el art. 1 de la Ley 16/2014 desvincula la acción exterior de la Generalitat de Cataluña de su ámbito competencial. En primer lugar, el art. 193 EAC, que sirve de base a la Ley 16/2014 (junto con el resto de preceptos estatutarios relativos a la acción exterior y las relaciones de la Generalitat con la Unión Europea), vincula claramente la acción exterior de la Generalitat al ejercicio de sus competencias, sin que los preceptos de la Ley 16/2014 puedan ser entendidos fuera del marco constitucional y estatutario. Además, el propio art. 1.1 lo hace también así en sus tres apartados: en el b), al referirse a las “materias que son competencia de la Generalitat”; en el c), al remitirse a la normativa vigente y en el a), al ligar la proyección exterior de (la Generalitat de) Cataluña y su promoción a “sus intereses”, sin que quepa desconocer la vinculación de las nociones de intereses y competencias que ha realizado este Tribunal, como recuerda el citado fundamento jurídico 118 de la STC 31/2010.</w:t>
      </w:r>
    </w:p>
    <w:p w:rsidR="00A90898" w:rsidRDefault="00A90898" w:rsidP="00A90898">
      <w:pPr>
        <w:pStyle w:val="TextoNormal"/>
      </w:pPr>
    </w:p>
    <w:p w:rsidR="00A90898" w:rsidRDefault="00A90898" w:rsidP="00A90898">
      <w:pPr>
        <w:pStyle w:val="TextoNormal"/>
      </w:pPr>
      <w:r>
        <w:t>Tampoco cabe apreciar la extralimitación competencial que se alega en cuanto a la vinculación subjetiva de la acción exterior a Cataluña y no a la Generalitat (artículo 1.1, primer párrafo). Ciertamente, en sentido propio, la acción exterior no corresponde a Cataluña, sino a la Generalitat de Cataluña, como expresamente determina el enunciado del capítulo II del título V del Estatuto de Autonomía de Cataluña (“Acción exterior de la Generalitat”) y su mismo articulado (arts. 193 a 200). No obstante, siendo Cataluña la Comunidad Autónoma y la Generalitat el sistema institucional en que se organiza su autogobierno (arts. 1 y 2 EAC), no hay inconveniente en vincular a Cataluña como hace la Ley 16/2014 con el ejercicio de la acción exterior que luego, lógicamente, desarrollarán sus instituciones. El mismo Estatuto de Autonomía de Cataluña habla de la “proyección de Cataluña en el exterior” (art. 193) y de la promoción de los intereses de Cataluña (arts. 193, 194, 195). Entendida así la referencia, que se contiene en el art. 1.1, primer párrafo, de la Ley 16/2014, a la “acción exterior de Cataluña” no merece reproche de inconstitucionalidad, y así se dispondrá en el fallo. Por la misma razón debe rechazarse también la impugnación que se dirige frente a los arts. 1.2 a), 3, primer párrafo, y 4, primer párrafo, de la Ley 16/2014 por regular la acción exterior “de Cataluña” y no “de la Generalitat de Cataluña”.</w:t>
      </w:r>
    </w:p>
    <w:p w:rsidR="00A90898" w:rsidRDefault="00A90898" w:rsidP="00A90898">
      <w:pPr>
        <w:pStyle w:val="TextoNormal"/>
      </w:pPr>
    </w:p>
    <w:p w:rsidR="00A90898" w:rsidRDefault="00A90898" w:rsidP="00A90898">
      <w:pPr>
        <w:pStyle w:val="TextoNormal"/>
      </w:pPr>
      <w:r>
        <w:t>En definitiva, las previsiones contenidas en la Ley del Parlamento de Cataluña 16/2014, y en particular en su artículo 1, sobre el objeto y la finalidad de la “acción exterior de Cataluña”, han de ser entendidas dentro del marco constitucional y estatutario; en consecuencia esa acción exterior no puede significar en ningún caso la consideración de Cataluña como un sujeto de Derecho internacional, cualidad de la que como ente territorial carece (SSTC 165/1994, FJ 5, y 31/2010, FJ 127). Tal como se establece en el art. 193 EAC y confirma nuestra reiterada doctrina esa acción exterior, que lo es de la Generalitat de Cataluña, con el objetivo de promover sus intereses en ese ámbito y directamente relacionada con el ejercicio de sus competencias propias, debe ejercerse siempre con respeto a la competencia del Estado en materia de relaciones exteriores (art. 149.1.3 CE).</w:t>
      </w:r>
    </w:p>
    <w:p w:rsidR="00A90898" w:rsidRDefault="00A90898" w:rsidP="00A90898">
      <w:pPr>
        <w:pStyle w:val="TextoNormal"/>
      </w:pPr>
    </w:p>
    <w:p w:rsidR="00A90898" w:rsidRDefault="00A90898" w:rsidP="00A90898">
      <w:pPr>
        <w:pStyle w:val="TextoNormal"/>
      </w:pPr>
      <w:r>
        <w:t>Se afirma asimismo en el recurso de manera específica la inconstitucionalidad del último inciso del párrafo primero del art. 1.1 de la Ley 16/2014: “bajo la dirección, coordinación y orientación del Gobierno”, en relación con el artículo 7.1, que precisa que dicho Gobierno es el de la Generalitat (sin mención alguna a las competencias del Estado): “El Gobierno, a través del departamento competente en materia de acción exterior, dirige, ejecuta y coordina la acción exterior de la Generalitat para la proyección exterior de Cataluña y la promoción de sus intereses, en el marco de las directrices generales de la acción de gobierno establecidas por el presidente de la Generalitat”.</w:t>
      </w:r>
    </w:p>
    <w:p w:rsidR="00A90898" w:rsidRDefault="00A90898" w:rsidP="00A90898">
      <w:pPr>
        <w:pStyle w:val="TextoNormal"/>
      </w:pPr>
    </w:p>
    <w:p w:rsidR="00A90898" w:rsidRDefault="00A90898" w:rsidP="00A90898">
      <w:pPr>
        <w:pStyle w:val="TextoNormal"/>
      </w:pPr>
      <w:r>
        <w:t xml:space="preserve">A juicio del recurrente, lo dispuesto en el último inciso del párrafo primero del art. 1.1 de la Ley 16/2014, en relación con el art. 7.1 de la misma ley, contradice la competencia exclusiva estatal sobre relaciones internacionales y dirección de la política exterior, incluidas las facultades de coordinación que le corresponden. La función de “dirigir” por su propia naturaleza es única y no puede ser asumida a la vez por dos Administraciones distintas, si no se contempla de forma expresa algún tipo de coordinación por parte del Estado. Esto sería precisamente lo que acontece, según el recurso, en los preceptos impugnados, que además incurrirían en inconstitucionalidad mediata por vulnerar diversos preceptos de la Ley 2/2014, de la acción y del servicio exterior del Estado, dictada en ejercicio de la competencia estatal </w:t>
      </w:r>
      <w:r w:rsidRPr="00A90898">
        <w:rPr>
          <w:i/>
        </w:rPr>
        <w:t>ex</w:t>
      </w:r>
      <w:r>
        <w:t xml:space="preserve"> art. 149.1.3 CE (sobre cuya constitucionalidad se ha pronunciado la STC 85/2016, como ya se ha dicho).</w:t>
      </w:r>
    </w:p>
    <w:p w:rsidR="00A90898" w:rsidRDefault="00A90898" w:rsidP="00A90898">
      <w:pPr>
        <w:pStyle w:val="TextoNormal"/>
      </w:pPr>
    </w:p>
    <w:p w:rsidR="00A90898" w:rsidRDefault="00A90898" w:rsidP="00A90898">
      <w:pPr>
        <w:pStyle w:val="TextoNormal"/>
      </w:pPr>
      <w:r>
        <w:t>Para dar respuesta a esta tacha debemos recordar que, conforme a la doctrina constitucional ya citada, la acción exterior de la Generalitat de Cataluña, bajo la dirección, coordinación y orientación del Gobierno autonómico, debe respetar el ejercicio por el Estado de sus competencias sobre relaciones internacionales y dirección de la política exterior (art. 149.1.3 CE), incluidas las funciones de coordinación que le corresponden (por todas, SSTC 165/1994, FJ 6; 31/2010, FJ 125; 46/2015, FJ 4, y 85/2016, FFJJ 4 a 8).</w:t>
      </w:r>
    </w:p>
    <w:p w:rsidR="00A90898" w:rsidRDefault="00A90898" w:rsidP="00A90898">
      <w:pPr>
        <w:pStyle w:val="TextoNormal"/>
      </w:pPr>
    </w:p>
    <w:p w:rsidR="00A90898" w:rsidRDefault="00A90898" w:rsidP="00A90898">
      <w:pPr>
        <w:pStyle w:val="TextoNormal"/>
      </w:pPr>
      <w:r>
        <w:t xml:space="preserve">Examinados el último inciso del párrafo primero del art. 1.1 y el art. 7.1 de la Ley 16/2014 a la vista de esa consolidada doctrina constitucional, llevan a la conclusión de rechazar la tacha de inconstitucionalidad que el recurso dirige a estos preceptos; en modo alguno excluyen el sometimiento del Gobierno de la Generalitat, en el ejercicio de las facultades que dichos preceptos contemplan, a las directrices y criterios fijados por el Estado para la dirección y coordinación de la política exterior, conforme a lo actualmente establecido en la Ley 2/2014, de la acción y del servicio exterior del Estado y en la Ley 25/2014, de 27 de noviembre, de tratados y otros acuerdos internacionales (leyes no impugnadas por la Generalitat de Cataluña). La ausencia de una reserva expresa de las competencias del Estado sobre política exterior </w:t>
      </w:r>
      <w:r w:rsidRPr="00A90898">
        <w:rPr>
          <w:i/>
        </w:rPr>
        <w:t>ex</w:t>
      </w:r>
      <w:r>
        <w:t xml:space="preserve"> art. 149.1.3 CE no determina la inconstitucionalidad de los preceptos impugnados, toda vez que, como recuerda la STC 31/2010, FJ 73, “la incorporación expresa de cláusulas de salvaguardia de competencias estatales no es exigible en términos constitucionales”.</w:t>
      </w:r>
    </w:p>
    <w:p w:rsidR="00A90898" w:rsidRDefault="00A90898" w:rsidP="00A90898">
      <w:pPr>
        <w:pStyle w:val="TextoNormal"/>
      </w:pPr>
    </w:p>
    <w:p w:rsidR="00A90898" w:rsidRDefault="00A90898" w:rsidP="00A90898">
      <w:pPr>
        <w:pStyle w:val="TextoNormal"/>
      </w:pPr>
      <w:r>
        <w:t xml:space="preserve">Conforme señala la STC 85/2016, el principio de unidad de acción en el exterior, que consagra el art. 3.2 a) de la Ley 2/2014, de la acción y del servicio exterior del Estado, “parte de la premisa de que las Comunidades Autónomas y otros sujetos distintos del Estado pueden actuar en el exterior pero de forma coordinada, a fin de garantizar los objetivos de la política exterior del Gobierno que deben ser preservados … 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w:t>
      </w:r>
      <w:r w:rsidRPr="00A90898">
        <w:rPr>
          <w:i/>
        </w:rPr>
        <w:t>ex</w:t>
      </w:r>
      <w:r>
        <w:t xml:space="preserve"> art. 149.1.3 CE (que, 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 (STC 85/2016, FJ 4).</w:t>
      </w:r>
    </w:p>
    <w:p w:rsidR="00A90898" w:rsidRDefault="00A90898" w:rsidP="00A90898">
      <w:pPr>
        <w:pStyle w:val="TextoNormal"/>
      </w:pPr>
    </w:p>
    <w:p w:rsidR="00A90898" w:rsidRDefault="00A90898" w:rsidP="00A90898">
      <w:pPr>
        <w:pStyle w:val="TextoNormal"/>
      </w:pPr>
      <w:r>
        <w:t>En definitiva, el desarrollo de la acción exterior de la Generalitat de Cataluña bajo la dirección, coordinación y orientación del Gobierno de la Generalitat, no impide el pleno y efectivo ejercicio de las competencias estatales en materia de relaciones internacionales y política exterior. Interpretados en estos términos, el último inciso del párrafo primero del art. 1.1 y el art. 7.1 de la Ley 16/2014 no merecen reproche de inconstitucionalidad, y así se dispondrá en el fallo.</w:t>
      </w:r>
    </w:p>
    <w:p w:rsidR="00A90898" w:rsidRDefault="00A90898" w:rsidP="00A90898">
      <w:pPr>
        <w:pStyle w:val="TextoNormal"/>
      </w:pPr>
    </w:p>
    <w:p w:rsidR="00A90898" w:rsidRDefault="00A90898" w:rsidP="00A90898">
      <w:pPr>
        <w:pStyle w:val="TextoNormal"/>
      </w:pPr>
      <w:r>
        <w:t>Si hemos rechazado hasta aquí la alegada inconstitucionalidad del art. 1 de la Ley 16/2014, en los apartados indicados, debemos descartarla igualmente, por las razones que seguidamente se expondrán, en cuanto al inciso “como actor internacional activo” de Cataluña que se contiene en el art. 1.1 b). Conforme ha quedado indicado, el Abogado del Estado sostiene que este inciso resulta especialmente lesivo de la competencia estatal en materia de relaciones internacionales del art. 149.1.3 CE, en cuanto proclama la subjetividad internacional de Cataluña, equiparándola con el Estado.</w:t>
      </w:r>
    </w:p>
    <w:p w:rsidR="00A90898" w:rsidRDefault="00A90898" w:rsidP="00A90898">
      <w:pPr>
        <w:pStyle w:val="TextoNormal"/>
      </w:pPr>
    </w:p>
    <w:p w:rsidR="00A90898" w:rsidRDefault="00A90898" w:rsidP="00A90898">
      <w:pPr>
        <w:pStyle w:val="TextoNormal"/>
      </w:pPr>
      <w:r>
        <w:t xml:space="preserve">Conviene reparar en que solo los Estados son sujetos internacionales debido a su soberanía, según proclama el art. 2.1 de la Carta de las Naciones Unidas, y debido a sus atribuciones internacionales soberanas como la de reclamar responsabilidad internacional (legitimación activa) y ser responsable internacionalmente (legitimación pasiva), entre otras atribuciones (celebración de tratados, derecho de legación activa y pasiva, etc..). De modo que, en palabras de nuestra propia doctrina,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w:t>
      </w:r>
      <w:r w:rsidRPr="00A90898">
        <w:rPr>
          <w:i/>
        </w:rPr>
        <w:t>ius contrahendi</w:t>
      </w:r>
      <w:r>
        <w:t>, no originen obligaciones inmediatas y actuales frente a los poderes públicos extranjeros, no incidan en la política exterior del Estado y no generen responsabilidad de éste frente a Estados extranjeros u organizaciones inter o supranacionales” (por todas, SSTC 46/2015, FJ 4, y 85/2016, FJ 3).</w:t>
      </w:r>
    </w:p>
    <w:p w:rsidR="00A90898" w:rsidRDefault="00A90898" w:rsidP="00A90898">
      <w:pPr>
        <w:pStyle w:val="TextoNormal"/>
      </w:pPr>
    </w:p>
    <w:p w:rsidR="00A90898" w:rsidRDefault="00A90898" w:rsidP="00A90898">
      <w:pPr>
        <w:pStyle w:val="TextoNormal"/>
      </w:pPr>
      <w:r>
        <w:t xml:space="preserve">Así pues, solo el Estado puede relacionarse en el exterior como sujeto de Derecho internacional, conforme a la competencia exclusiva que ostenta </w:t>
      </w:r>
      <w:r w:rsidRPr="00A90898">
        <w:rPr>
          <w:i/>
        </w:rPr>
        <w:t>ex</w:t>
      </w:r>
      <w:r>
        <w:t xml:space="preserve"> art. 149.1.3 CE, como recuerda la STC 85/2016, FJ 4. Los entes territoriales dotados de autonomía política no son sujetos de Derecho internacional y no pueden, en consecuencia, participar en las relaciones internacionales (SSTC 165/1994, FJ 5, y 31/2010, FJ 127, por todas). En el Derecho internacional, por tanto, las Comunidades Autónomas no pueden ser sujetos internacionales, pero nada impide que puedan presentarse como actores internacionales, estando esas entidades territoriales facultadas en determinados casos para realizar actuaciones en el ámbito exterior actuando siempre en el marco de las competencias propias de las Comunidades Autónomas.</w:t>
      </w:r>
    </w:p>
    <w:p w:rsidR="00A90898" w:rsidRDefault="00A90898" w:rsidP="00A90898">
      <w:pPr>
        <w:pStyle w:val="TextoNormal"/>
      </w:pPr>
    </w:p>
    <w:p w:rsidR="00A90898" w:rsidRDefault="00A90898" w:rsidP="00A90898">
      <w:pPr>
        <w:pStyle w:val="TextoNormal"/>
      </w:pPr>
      <w:r>
        <w:t>No cabe duda que la Generalitat puede llevar a cabo actividades con proyección exterior, derivadas de su competencia y para la promoción de sus intereses, con respeto siempre a la competencia del Estado en materia de relaciones exteriores (art. 193 EAC y STC 31/2010, FFJJ 125 y 126), por lo que la configuración de Cataluña como un “actor internacional activo”, que se contiene en el art. 1.1 b) de la Ley 16/2014, en ningún caso puede ser entendida como una atribución de subjetividad internacional a esta Comunidad Autónoma, cualidad de la que los entes territoriales dotados de autonomía política carecen (SSTC 165/1994, FJ 5, y 31/2010, FJ 127, por todas).</w:t>
      </w:r>
    </w:p>
    <w:p w:rsidR="00A90898" w:rsidRDefault="00A90898" w:rsidP="00A90898">
      <w:pPr>
        <w:pStyle w:val="TextoNormal"/>
      </w:pPr>
    </w:p>
    <w:p w:rsidR="00A90898" w:rsidRDefault="00A90898" w:rsidP="00A90898">
      <w:pPr>
        <w:pStyle w:val="TextoNormal"/>
      </w:pPr>
      <w:r>
        <w:t>Interpretada en estos términos, la expresión “actor internacional activo” que se contiene en el art. 1.1 b) de la Ley 16/2014 no es inconstitucional y así se dispondrá en el fallo.</w:t>
      </w:r>
    </w:p>
    <w:p w:rsidR="00A90898" w:rsidRDefault="00A90898" w:rsidP="00A90898">
      <w:pPr>
        <w:pStyle w:val="TextoNormal"/>
      </w:pPr>
    </w:p>
    <w:p w:rsidR="00A90898" w:rsidRDefault="00A90898" w:rsidP="00A90898">
      <w:pPr>
        <w:pStyle w:val="TextoNormal"/>
      </w:pPr>
      <w:r w:rsidRPr="00A90898">
        <w:rPr>
          <w:rStyle w:val="NumeroAFNegritaCaracter"/>
        </w:rPr>
        <w:t>5</w:t>
      </w:r>
      <w:r>
        <w:t>. Es también objeto de recurso el art. 2 de la Ley 16/2014, que define hasta doce conceptos utilizados en esta Ley, si bien, aunque se interesa que se declare inconstitucional todo el precepto, solo se argumenta la inconstitucionalidad de ocho de sus apartados [a), d), e), f), i), j), k) y l)], por lo que a estos habrá de ceñirse nuestro enjuiciamiento (por todas, SSTC 43/1996, de 14 de marzo, FJ 5; 13/2007, de 18 de enero, FJ 1, y 137/2010, de 16 de diciembre, FJ 9).</w:t>
      </w:r>
    </w:p>
    <w:p w:rsidR="00A90898" w:rsidRDefault="00A90898" w:rsidP="00A90898">
      <w:pPr>
        <w:pStyle w:val="TextoNormal"/>
      </w:pPr>
    </w:p>
    <w:p w:rsidR="00A90898" w:rsidRDefault="00A90898" w:rsidP="00A90898">
      <w:pPr>
        <w:pStyle w:val="TextoNormal"/>
      </w:pPr>
      <w:r>
        <w:t>De estos ocho, los apartados e) y f), relativos a las delegaciones del Gobierno de la Generalitat en el exterior, guardan estrecha relación con los arts. 29 a 33 de la Ley 16/2014 que también se recurren y que regulan en detalle estas delegaciones, por lo que se examinarán al tratar la impugnación de estos últimos. Igualmente, los apartados i) a l), relativos a la llamada “diplomacia pública de Cataluña”, están relacionados con los arts. 34 a 38 de la Ley 16/2014 incluidos en el capítulo I de su título IV, que lleva esta rúbrica, por lo que se analizarán al tratar la impugnación de estos preceptos.</w:t>
      </w:r>
    </w:p>
    <w:p w:rsidR="00A90898" w:rsidRDefault="00A90898" w:rsidP="00A90898">
      <w:pPr>
        <w:pStyle w:val="TextoNormal"/>
      </w:pPr>
    </w:p>
    <w:p w:rsidR="00A90898" w:rsidRDefault="00A90898" w:rsidP="00A90898">
      <w:pPr>
        <w:pStyle w:val="TextoNormal"/>
      </w:pPr>
      <w:r>
        <w:t xml:space="preserve">Sentado lo anterior, procede examinar la impugnación del apartado a) del artículo 2 que define, a efectos de la Ley 16/2014, lo que haya de entenderse por “acción exterior” a Cataluña. El recurso afirma la inconstitucionalidad de este apartado por referirse a “la proyección exterior de Cataluña” y también por aludir, en el párrafo segundo, a la “promoción en el exterior de los intereses del país”; lo que se considera un eufemismo que oculta la atribución de subjetividad internacional a Cataluña, sin que se salvaguarde el </w:t>
      </w:r>
      <w:r w:rsidRPr="00A90898">
        <w:rPr>
          <w:i/>
        </w:rPr>
        <w:t>ius legationis</w:t>
      </w:r>
      <w:r>
        <w:t xml:space="preserve"> reservado al Estado </w:t>
      </w:r>
      <w:r w:rsidRPr="00A90898">
        <w:rPr>
          <w:i/>
        </w:rPr>
        <w:t>ex</w:t>
      </w:r>
      <w:r>
        <w:t xml:space="preserve"> art. 149.1.3 CE.</w:t>
      </w:r>
    </w:p>
    <w:p w:rsidR="00A90898" w:rsidRDefault="00A90898" w:rsidP="00A90898">
      <w:pPr>
        <w:pStyle w:val="TextoNormal"/>
      </w:pPr>
    </w:p>
    <w:p w:rsidR="00A90898" w:rsidRDefault="00A90898" w:rsidP="00A90898">
      <w:pPr>
        <w:pStyle w:val="TextoNormal"/>
      </w:pPr>
      <w:r>
        <w:t xml:space="preserve">Puesto que la argumentación relativa a la atribución a Cataluña de una acción exterior ya ha sido rechazada conforme a la interpretación del art. 1 de la Ley 16/2014 que ha quedado reflejada en el fundamento jurídico precedente, la misma suerte ha de seguir esta impugnación del art. 2 a), con remisión a lo entonces razonado. Tampoco se considera inconstitucional la alusión de este precepto a “los intereses del país”, en cuanto esta expresión permite ser interpretada como referida a la Comunidad Autónoma, en cuanto entidad territorial no dotada de subjetividad internacional, cuyos intereses en su proyección exterior estarán ligados, como queda dicho, al desempeño de sus competencias. Cumple advertir en este sentido que el enunciado del art. 2 a) de la Ley 16/2014, que define la “acción exterior de Cataluña”, ha de entenderse referido en todo caso a acciones con proyección exterior que se deriven directamente de las competencias de la Generalitat de Cataluña (art. 193.2 EAC) y respetando siempre la competencia del Estado en materia de relaciones internacionales </w:t>
      </w:r>
      <w:r w:rsidRPr="00A90898">
        <w:rPr>
          <w:i/>
        </w:rPr>
        <w:t>ex</w:t>
      </w:r>
      <w:r>
        <w:t xml:space="preserve"> art. 149.1.3 CE (art. 193.1 EAC; SSTC 165/1994, FJ 5; 31/2010, FJ 125; 46/2015, FJ 4, y 85/2016, FJ 4, por todas). Así interpretado, el art. 2 a) de la Ley 16/2014 no es inconstitucional.</w:t>
      </w:r>
    </w:p>
    <w:p w:rsidR="00A90898" w:rsidRDefault="00A90898" w:rsidP="00A90898">
      <w:pPr>
        <w:pStyle w:val="TextoNormal"/>
      </w:pPr>
    </w:p>
    <w:p w:rsidR="00A90898" w:rsidRDefault="00A90898" w:rsidP="00A90898">
      <w:pPr>
        <w:pStyle w:val="TextoNormal"/>
      </w:pPr>
      <w:r>
        <w:t>Distinto fundamento tiene la impugnación del apartado d) del artículo 2, que define los “acuerdos de colaboración” como “acuerdos sujetos al derecho público que no tienen naturaleza ni efectos jurídicos de Derecho internacional y sólo imponen obligaciones jurídicas a las partes que los contraen”; lo que, a juicio del recurrente, vulnera el art. 195 EAC y no se ajusta a la definición de “acuerdos internacionales no normativos” de la Ley estatal 25/2014, de tratados y otros acuerdos internacionales, ni a los requisitos en ella establecidos. La impugnación de este apartado está ligada a la del art. 7.2 e), que autoriza al Gobierno de la Generalitat a aprobar la conclusión de estos acuerdos.</w:t>
      </w:r>
    </w:p>
    <w:p w:rsidR="00A90898" w:rsidRDefault="00A90898" w:rsidP="00A90898">
      <w:pPr>
        <w:pStyle w:val="TextoNormal"/>
      </w:pPr>
    </w:p>
    <w:p w:rsidR="00A90898" w:rsidRDefault="00A90898" w:rsidP="00A90898">
      <w:pPr>
        <w:pStyle w:val="TextoNormal"/>
      </w:pPr>
      <w:r>
        <w:t xml:space="preserve">Partiendo de la premisa de que es pacífica la reserva del </w:t>
      </w:r>
      <w:r w:rsidRPr="00A90898">
        <w:rPr>
          <w:i/>
        </w:rPr>
        <w:t>ius contrahendi</w:t>
      </w:r>
      <w:r>
        <w:t xml:space="preserve"> al Estado, conforme al título competencial del art. 149.1.3 CE (por todas, SSTC 137/1989, FJ 5; 31/2010, FFJJ 73, 119 y 125; 198/2013, FJ 4; y 46/2015, FJ 4), se trata de examinar si los “acuerdos de colaboración” que define el art. 2 d) de la Ley 16/2014 y que el Gobierno de la Generalitat puede concluir, según el art. 7.2 e) de la misma ley, implican el ejercicio de un </w:t>
      </w:r>
      <w:r w:rsidRPr="00A90898">
        <w:rPr>
          <w:i/>
        </w:rPr>
        <w:t>ius contrahendi</w:t>
      </w:r>
      <w:r>
        <w:t>; de ser así, la normativa autonómica impugnada sería inconstitucional por vulnerar el orden constitucional de distribución de competencias. En cualquier caso, se ha de tener en cuenta que es necesario apurar todas las posibilidades de interpretar los preceptos legales impugnados de conformidad con la Constitución y declarar tan solo la inconstitucionalidad de aquellos cuya incompatibilidad con ella resulte indudable, por ser imposible llevar a cabo dicha interpretación (entre otras muchas, SSTC 4/1981, de 2 de febrero, FJ 1; 176/1999, de 30 de septiembre, FJ 3, y 101/2008, de 24 de julio, FJ 9).</w:t>
      </w:r>
    </w:p>
    <w:p w:rsidR="00A90898" w:rsidRDefault="00A90898" w:rsidP="00A90898">
      <w:pPr>
        <w:pStyle w:val="TextoNormal"/>
      </w:pPr>
    </w:p>
    <w:p w:rsidR="00A90898" w:rsidRDefault="00A90898" w:rsidP="00A90898">
      <w:pPr>
        <w:pStyle w:val="TextoNormal"/>
      </w:pPr>
      <w:r>
        <w:t xml:space="preserve">De acuerdo con la doctrina de este Tribunal, “el Estado es el único sujeto dotado de </w:t>
      </w:r>
      <w:r w:rsidRPr="00A90898">
        <w:rPr>
          <w:i/>
        </w:rPr>
        <w:t>ius contrahendi</w:t>
      </w:r>
      <w:r>
        <w:t xml:space="preserve"> en la esfera de las relaciones internacionales” (SSTC 137/1989, FJ 5, y 198/2013, FJ 4). Sin perjuicio de ello, este Tribunal ha precisado también que, “aunque el </w:t>
      </w:r>
      <w:r w:rsidRPr="00A90898">
        <w:rPr>
          <w:i/>
        </w:rPr>
        <w:t>ius contrahendi</w:t>
      </w:r>
      <w:r>
        <w:t xml:space="preserve"> es una competencia exclusiva del Estado en virtud del art. 149.1.3 CE, nuestra Constitución no impide que la cooperación entre el Estado y las Comunidades Autónomas se proyecte en relación con los tratados internacionales, condición de la que participan los tratados de la Unión Europea. Así, hemos admitido que las Comunidades Autónomas puedan ejercer ciertas facultades limitadas respecto al proceso de elaboración de los tratados (capacidad de instar su celebración, recepción de información, entre otras) siempre que no pongan en cuestión las competencias del Estado para su celebración y formalización (STC 137/1989, de 20 de julio, FJ 4)” (STC 31/2010, FJ 119).</w:t>
      </w:r>
    </w:p>
    <w:p w:rsidR="00A90898" w:rsidRDefault="00A90898" w:rsidP="00A90898">
      <w:pPr>
        <w:pStyle w:val="TextoNormal"/>
      </w:pPr>
    </w:p>
    <w:p w:rsidR="00A90898" w:rsidRDefault="00A90898" w:rsidP="00A90898">
      <w:pPr>
        <w:pStyle w:val="TextoNormal"/>
      </w:pPr>
      <w:r>
        <w:t>El fundamento competencial de los “acuerdos de colaboración” a los que se refieren los arts. 2 d) y 7.2 e) de la Ley 16/2014 se encuentra en el art. 195 EAC, que autoriza a la Generalitat a suscribirlos “para la promoción de los intereses de Cataluña” y “en el ámbito de sus competencias” (precisando asimismo el precepto estatutario que “a tal fin, los órganos de representación exterior del Estado prestarán el apoyo necesario a las iniciativas de la Generalitat”).</w:t>
      </w:r>
    </w:p>
    <w:p w:rsidR="00A90898" w:rsidRDefault="00A90898" w:rsidP="00A90898">
      <w:pPr>
        <w:pStyle w:val="TextoNormal"/>
      </w:pPr>
    </w:p>
    <w:p w:rsidR="00A90898" w:rsidRDefault="00A90898" w:rsidP="00A90898">
      <w:pPr>
        <w:pStyle w:val="TextoNormal"/>
      </w:pPr>
      <w:r>
        <w:t xml:space="preserve">Acerca del art. 195 EAC se pronunció la STC 31/2010, FJ 126, razonando que “el precepto no contiene en sí mismo nada que permita apreciar que se traspasen los límites antes referidos a las actividades con proyección exterior de las Comunidades Autónomas. En efecto,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w:t>
      </w:r>
      <w:r w:rsidRPr="00A90898">
        <w:rPr>
          <w:i/>
        </w:rPr>
        <w:t>ius contrahendi</w:t>
      </w:r>
      <w:r>
        <w:t xml:space="preserve">, ni que origine obligaciones frente a poderes públicos extranjeros, ni que incida en la política exterior del Estado, ni, en fin, que genere responsabilidad de éste frente a Estados extranjeros u organizaciones inter o supranacionales; ámbitos estos reservados al Estado </w:t>
      </w:r>
      <w:r w:rsidRPr="00A90898">
        <w:rPr>
          <w:i/>
        </w:rPr>
        <w:t>ex</w:t>
      </w:r>
      <w:r>
        <w:t xml:space="preserve"> art. 149.1.3 CE y que la Comunidad Autónoma debe respetar en todo caso en ejercicio de la facultad que le reconoce el art. 195 EAC”.</w:t>
      </w:r>
    </w:p>
    <w:p w:rsidR="00A90898" w:rsidRDefault="00A90898" w:rsidP="00A90898">
      <w:pPr>
        <w:pStyle w:val="TextoNormal"/>
      </w:pPr>
    </w:p>
    <w:p w:rsidR="00A90898" w:rsidRDefault="00A90898" w:rsidP="00A90898">
      <w:pPr>
        <w:pStyle w:val="TextoNormal"/>
      </w:pPr>
      <w:r>
        <w:t xml:space="preserve">La definición de los “acuerdos de colaboración” que se contiene en el art. 2 d) de la Ley 16/2014, en relación con lo dispuesto en el art. 7.2 e) de la misma ley, ha de ser entendida en los estrictos términos del art. 195 EAC (conforme a la interpretación resultante de la STC 31/2010, FJ 126), que se limita a habilitar a la Generalitat para suscribir estos acuerdos en el ámbito de sus competencias y para la promoción de los intereses de Cataluña (art. 193 EAC); no pueden pues generar obligaciones jurídicas para sus firmantes ni suscribirse por la Comunidad Autónoma con sujetos de Derecho internacional, por ser ámbito reservado al Estado </w:t>
      </w:r>
      <w:r w:rsidRPr="00A90898">
        <w:rPr>
          <w:i/>
        </w:rPr>
        <w:t>ex</w:t>
      </w:r>
      <w:r>
        <w:t xml:space="preserve"> art. 149.1.3 CE, que la Comunidad Autónoma debe respetar en todo caso, como afirmamos en la citada STC 31/2010, FJ 126. Es más, si la misma STC 31/2010, FJ 87, consideró conforme con la Constitución la posibilidad de suscribir la Generalitat acuerdos en materia de juventud con “entidades internacionales”, fue por no ser éstas, en sentido estricto, sujetos de Derecho internacional público, “sino expresión de la diversidad y plasticidad de las relaciones que pueden mantener actualmente otros entes en la esfera internacional sin que por ello adquieran aquella naturaleza, de lo que se deriva que el precepto estatutario impugnado no contiene previsiones relativas al ejercicio del </w:t>
      </w:r>
      <w:r w:rsidRPr="00A90898">
        <w:rPr>
          <w:i/>
        </w:rPr>
        <w:t>ius contrahendi</w:t>
      </w:r>
      <w:r>
        <w:t>”.</w:t>
      </w:r>
    </w:p>
    <w:p w:rsidR="00A90898" w:rsidRDefault="00A90898" w:rsidP="00A90898">
      <w:pPr>
        <w:pStyle w:val="TextoNormal"/>
      </w:pPr>
    </w:p>
    <w:p w:rsidR="00A90898" w:rsidRDefault="00A90898" w:rsidP="00A90898">
      <w:pPr>
        <w:pStyle w:val="TextoNormal"/>
      </w:pPr>
      <w:r>
        <w:t xml:space="preserve">De la redacción de los arts. 2 d) y 7.2 e) de la Ley 16/2014 no cabe deducir que la facultad del Gobierno de la Generalitat de celebrar “acuerdos de colaboración” implique el ejercicio de un </w:t>
      </w:r>
      <w:r w:rsidRPr="00A90898">
        <w:rPr>
          <w:i/>
        </w:rPr>
        <w:t>ius contrahendi</w:t>
      </w:r>
      <w:r>
        <w:t xml:space="preserve">, reservado al Estado </w:t>
      </w:r>
      <w:r w:rsidRPr="00A90898">
        <w:rPr>
          <w:i/>
        </w:rPr>
        <w:t>ex</w:t>
      </w:r>
      <w:r>
        <w:t xml:space="preserve"> art. 149.1.3 CE. Nada hay en estos preceptos que permita considerar que esos “acuerdos de colaboración” constituyan tratados internacionales ni que se obstaculice o dificulte la función de coordinación estatal. Esta se concreta en la obligación por parte de la Comunidad Autónoma de remitir los proyectos de acuerdos internacionales “administrativos” y “no normativos” que pretenda celebrar, en materias propias de su competencia, al Ministerio de Asuntos Exteriores y Cooperación antes de su firma, para que sean informados por la asesoría jurídica internacional acerca de su naturaleza, procedimiento y más adecuada instrumentación según el Derecho internacional, conforme establecen los arts. 52.3 y 53.3 de la Ley 25/2014, de tratados y otros acuerdos internacionales, a fin de que la celebración de tales acuerdos no provoque distorsiones en la política exterior diseñada por el Estado en ejercicio de su competencia exclusiva del art. 149.1.3 CE. Asimismo debe tenerse en cuenta lo dispuesto en el art. 47.2 d) de la Ley 40/2015, de 1 de octubre, de régimen jurídico del sector público, que posibilita que una Comunidad Autónoma celebre con órganos, organismos públicos o entes de un sujeto de Derecho internacional convenios, no constitutivos ni de tratado, ni de acuerdo internacional administrativo, ni de acuerdo no normativo, que estarán sometidos al ordenamiento jurídico interno que determinen las partes.</w:t>
      </w:r>
    </w:p>
    <w:p w:rsidR="00A90898" w:rsidRDefault="00A90898" w:rsidP="00A90898">
      <w:pPr>
        <w:pStyle w:val="TextoNormal"/>
      </w:pPr>
    </w:p>
    <w:p w:rsidR="00A90898" w:rsidRDefault="00A90898" w:rsidP="00A90898">
      <w:pPr>
        <w:pStyle w:val="TextoNormal"/>
      </w:pPr>
      <w:r>
        <w:t>En definitiva, los arts. 2 d) y 7.2 e) de la Ley 16/2014 han de ser interpretados en el sentido de que esta regulación permite que Gobierno de la Generalitat de Cataluña pueda concluir acuerdos de colaboración con proyección exterior en los términos previstos por el art. 195 EAC; circunscritos siempre, según reza el propio precepto estatutario, al ámbito de competencias de la Comunidad Autónoma y para la promoción de sus intereses, como hemos tenido ocasión de confirmar en la citada STC 31/2010, FJ 126. Interpretados en estos términos, los arts. 2 d) y 7.2 e) de la Ley 16/2014 no son inconstitucionales, lo que se dispondrá así en el fallo.</w:t>
      </w:r>
    </w:p>
    <w:p w:rsidR="00A90898" w:rsidRDefault="00A90898" w:rsidP="00A90898">
      <w:pPr>
        <w:pStyle w:val="TextoNormal"/>
      </w:pPr>
    </w:p>
    <w:p w:rsidR="00A90898" w:rsidRDefault="00A90898" w:rsidP="00A90898">
      <w:pPr>
        <w:pStyle w:val="TextoNormal"/>
      </w:pPr>
      <w:r w:rsidRPr="00A90898">
        <w:rPr>
          <w:rStyle w:val="NumeroAFNegritaCaracter"/>
        </w:rPr>
        <w:t>6</w:t>
      </w:r>
      <w:r>
        <w:t>. Procede a continuación analizar el art. 3 de la Ley 16/2014 que se impugna, en general, por entender que incluye principios de política exterior propios del Estado, si se comparan con los de los arts. 2 y 3 de la Ley estatal 2/2014, de la acción y del servicio exterior del Estado. Especialmente se cuestionan los apartados e) en cuanto se refiere al “reconocimiento del derecho a decidir de los pueblos”, y h) en cuanto alude a la “búsqueda de sinergias con el Gobierno del Estado”. La mención a la acción exterior “de Cataluña” que se contiene en el párrafo inicial del art. 3, ha de entenderse referida, como ya se razonó en el fundamento jurídico 4 de la presente resolución, a la acción exterior de la Generalitat, lo que permite descartar la inconstitucionalidad de este inciso.</w:t>
      </w:r>
    </w:p>
    <w:p w:rsidR="00A90898" w:rsidRDefault="00A90898" w:rsidP="00A90898">
      <w:pPr>
        <w:pStyle w:val="TextoNormal"/>
      </w:pPr>
    </w:p>
    <w:p w:rsidR="00A90898" w:rsidRDefault="00A90898" w:rsidP="00A90898">
      <w:pPr>
        <w:pStyle w:val="TextoNormal"/>
      </w:pPr>
      <w:r>
        <w:t>Examinando el art. 3 de la Ley 16/2014 a la luz de los arts. 149.1.3 y 97 CE, que se reputan infringidos por el recurrente, debe afirmarse que la determinación por el legislador autonómico de los principios rectores que rigen la acción exterior de la Generalitat de Cataluña en modo alguno puede entenderse en un sentido que suponga interferir o condicionar la dirección de la política exterior del Estado, que corresponde al Gobierno de la Nación, en los términos que ha precisado este Tribunal (por todas, STC 85/2016, FJ 4).</w:t>
      </w:r>
    </w:p>
    <w:p w:rsidR="00A90898" w:rsidRDefault="00A90898" w:rsidP="00A90898">
      <w:pPr>
        <w:pStyle w:val="TextoNormal"/>
      </w:pPr>
    </w:p>
    <w:p w:rsidR="00A90898" w:rsidRDefault="00A90898" w:rsidP="00A90898">
      <w:pPr>
        <w:pStyle w:val="TextoNormal"/>
      </w:pPr>
      <w:r>
        <w:t>El art. 3 de la Ley 16/2014 tiene principalmente un contenido genérico y programático del que no resulta un condicionamiento de la política exterior del Estado, siempre que dicho precepto se interprete en el sentido que seguidamente se señala y a salvo de lo que luego se dirá en cuanto a su apartado e). Los principios rectores de la acción exterior de la Generalitat de Cataluña y de las relaciones de la Generalitat con la Unión Europea que enumera el precepto impugnado han de entenderse en el marco que establece el citado art. 193 EAC, que limita la acción exterior de la Generalitat, para la promoción de sus intereses, a la que se derive directamente de sus competencias y respetando siempre las del Estado en materia de relaciones exteriores. Todo ello en consonancia con la doctrina de este Tribunal al respecto (por todas, SSTC 31/2010, FFJJ 125 y 126, y 85/2016, FJ 4). Interpretado en estos términos, el art. 3 de la Ley 16/2014 no es inconstitucional y así se dispondrá en el fallo.</w:t>
      </w:r>
    </w:p>
    <w:p w:rsidR="00A90898" w:rsidRDefault="00A90898" w:rsidP="00A90898">
      <w:pPr>
        <w:pStyle w:val="TextoNormal"/>
      </w:pPr>
    </w:p>
    <w:p w:rsidR="00A90898" w:rsidRDefault="00A90898" w:rsidP="00A90898">
      <w:pPr>
        <w:pStyle w:val="TextoNormal"/>
      </w:pPr>
      <w:r>
        <w:t>Lo dicho se refiere al artículo 3 en su conjunto y se ha de extender también al inciso de su apartado h) que enuncia, como principio rector de la acción exterior de la Generalitat de Cataluña y de las relaciones de la Generalitat con la Unión Europea, “el cumplimiento del principio de lealtad institucional y la búsqueda de sinergias con el Gobierno del Estado y con las demás administraciones públicas, de acuerdo con los principios rectores de las políticas públicas establecidos por el Estatuto”. Aunque no se haga referencia expresa en el precepto, como denuncia el Abogado del Estado, a la Constitución ni a la Ley estatal 2/2014, de la acción y del servicio exterior del Estado, ello no determina la inconstitucionalidad del precepto, pues “la incorporación expresa de cláusulas de salvaguardia de competencias estatales no es exigible en términos constitucionales” (STC 31/2010, FJ 73, por todas), ni puede impedir el pleno y efectivo ejercicio de las competencias estales exclusivas en materia de relaciones internacionales y dirección de la política exterior (art. 149.1.3 CE). En tal sentido cabe recordar una vez más que el Estatuto de Autonomía de Cataluña, al que el art. 3 h) de la Ley 16/2014 se remite expresamente, establece en su art. 193 la vinculación de las acciones con proyección exterior de la Generalitat a las que se deriven directamente de sus competencias y siempre con respeto a la competencia estatal en materia de relaciones exteriores. No de otra forma debe ser interpretado el apartado h) del art. 3 de la Ley 16/2014.</w:t>
      </w:r>
    </w:p>
    <w:p w:rsidR="00A90898" w:rsidRDefault="00A90898" w:rsidP="00A90898">
      <w:pPr>
        <w:pStyle w:val="TextoNormal"/>
      </w:pPr>
    </w:p>
    <w:p w:rsidR="00A90898" w:rsidRDefault="00A90898" w:rsidP="00A90898">
      <w:pPr>
        <w:pStyle w:val="TextoNormal"/>
      </w:pPr>
      <w:r>
        <w:t>Ahora bien, si hemos descartado hasta aquí la alegada inconstitucionalidad del art. 3 de la Ley 16/2014, con la interpretación indicada, debemos apreciarla en cambio en cuanto al inciso de su apartado e) que enuncia, como principio rector de la acción exterior de la Generalitat Cataluña y de las relaciones de la Generalitat con la Unión Europea, “el reconocimiento del derecho a decidir de los pueblos”; inciso sobre cuya inconstitucionalidad pone especial énfasis el recurrente, afirmando que “afecta y puede interferir la política exterior del Estado”.</w:t>
      </w:r>
    </w:p>
    <w:p w:rsidR="00A90898" w:rsidRDefault="00A90898" w:rsidP="00A90898">
      <w:pPr>
        <w:pStyle w:val="TextoNormal"/>
      </w:pPr>
    </w:p>
    <w:p w:rsidR="00A90898" w:rsidRDefault="00A90898" w:rsidP="00A90898">
      <w:pPr>
        <w:pStyle w:val="TextoNormal"/>
      </w:pPr>
      <w:r>
        <w:t>El inciso en cuestión viene a habilitar a la Generalitat de Cataluña para apoyar procesos de independencia en otros Estados, lo que en modo alguno tiene acomodo en las facultades que le corresponden a la Generalitat en su acción exterior, que está ligada por disposición expresa del art. 193 EAC, como queda dicho, a la promoción de los intereses autonómicos mediante el ejercicio de acciones con proyección exterior que se deriven directamente de sus competencias, y siempre con respeto de las competencia estatal exclusiva en materia de política internacional y relaciones exteriores (art. 149.1.3 CE). En suma, la Generalitat de Cataluña carece de competencia para llevar a cabo el reconocimiento del derecho a la autodeterminación o a la soberanía de pueblo alguno, por cuanto este tipo de reconocimientos solo corresponde al Estado español, como sujeto de Derecho internacional público. No otra es la interpretación del derecho a la autodeterminación que resulta del Derecho internacional, pudiendo citarse en especial el art. 1.2 de la Carta de Naciones Unidas y su desarrollo en las resoluciones pertinentes de la Asamblea General de Naciones Unidas (Resoluciones 1514-XV de 1960 y 2625-XXV de 1970).</w:t>
      </w:r>
    </w:p>
    <w:p w:rsidR="00A90898" w:rsidRDefault="00A90898" w:rsidP="00A90898">
      <w:pPr>
        <w:pStyle w:val="TextoNormal"/>
      </w:pPr>
    </w:p>
    <w:p w:rsidR="00A90898" w:rsidRDefault="00A90898" w:rsidP="00A90898">
      <w:pPr>
        <w:pStyle w:val="TextoNormal"/>
      </w:pPr>
      <w:r>
        <w:t>En consecuencia debemos declarar inconstitucional y nulo el inciso “el reconocimiento del derecho a decidir de los pueblos”, contenido en el apartado e) del art. 3 de la Ley 16/2014.</w:t>
      </w:r>
    </w:p>
    <w:p w:rsidR="00A90898" w:rsidRDefault="00A90898" w:rsidP="00A90898">
      <w:pPr>
        <w:pStyle w:val="TextoNormal"/>
      </w:pPr>
    </w:p>
    <w:p w:rsidR="00A90898" w:rsidRDefault="00A90898" w:rsidP="00A90898">
      <w:pPr>
        <w:pStyle w:val="TextoNormal"/>
      </w:pPr>
      <w:r w:rsidRPr="00A90898">
        <w:rPr>
          <w:rStyle w:val="NumeroAFNegritaCaracter"/>
        </w:rPr>
        <w:t>7</w:t>
      </w:r>
      <w:r>
        <w:t>. Debemos examinar seguidamente la impugnación del art. 4 de la Ley 16/2014, cuya rúbrica es “Finalidades de la acción exterior y de las relaciones con la Unión Europea”. Este precepto se considera inconstitucional, en general, con fundamento en las consideraciones ya expuestas. En particular, se impugnan sus apartados a) y b) en cuanto mencionan la acción exterior de Cataluña reiterando su condición de actor internacional. Así, establece el artículo 4 como finalidades por las que se rigen la acción exterior de Cataluña y las relaciones de la Generalitat con la Unión Europea: “a) La proyección en el exterior de Cataluña como un actor internacional comprometido, solidario y responsable”; y “b) La promoción en el exterior de los intereses del conjunto de Cataluña, haciendo de la internacionalización un eje principal para el desarrollo equilibrado de los distintos territorios”.</w:t>
      </w:r>
    </w:p>
    <w:p w:rsidR="00A90898" w:rsidRDefault="00A90898" w:rsidP="00A90898">
      <w:pPr>
        <w:pStyle w:val="TextoNormal"/>
      </w:pPr>
    </w:p>
    <w:p w:rsidR="00A90898" w:rsidRDefault="00A90898" w:rsidP="00A90898">
      <w:pPr>
        <w:pStyle w:val="TextoNormal"/>
      </w:pPr>
      <w:r>
        <w:t>En cuanto a la mención a la acción exterior “de Cataluña” que se contiene en el párrafo inicial del artículo 4, ha de entenderse referida, como ya se razonó en el fundamento jurídico 4 de la presente resolución, a la acción exterior de la Generalitat, lo que permite descartar la inconstitucionalidad de este inciso.</w:t>
      </w:r>
    </w:p>
    <w:p w:rsidR="00A90898" w:rsidRDefault="00A90898" w:rsidP="00A90898">
      <w:pPr>
        <w:pStyle w:val="TextoNormal"/>
      </w:pPr>
    </w:p>
    <w:p w:rsidR="00A90898" w:rsidRDefault="00A90898" w:rsidP="00A90898">
      <w:pPr>
        <w:pStyle w:val="TextoNormal"/>
      </w:pPr>
      <w:r>
        <w:t>El recurrente no formula argumentos suficientes frente a los apartados c) a h) del artículo 4 que, por lo demás, han de considerarse conformes con la doctrina constitucional sobre proyección exterior de la actuación de las Comunidades Autónomas en materias de su competencia (por todas, STC 31/2010, FFJJ 125 y 126 en general y, particularmente, FJ 73, en cuanto a la atribución estatutaria a la Generalitat de la proyección internacional de la cultura catalana, y FJ 129, en cuanto a la atribución estatutaria a la Generalitat de la promoción de la proyección internacional de las organizaciones sociales, culturales y deportivas de Cataluña). Por otra parte, el artículo 4 debe necesariamente entenderse, como el resto de la Ley 16/2014, en el marco del Estatuto de Autonomía de Cataluña y, en concreto, de su artículo 193, que vincula la acción exterior de la Generalitat a la que se derive directamente de sus competencias y siempre con respeto a la competencia del Estado en materia de relaciones exteriores (art. 149.1.3 CE).</w:t>
      </w:r>
    </w:p>
    <w:p w:rsidR="00A90898" w:rsidRDefault="00A90898" w:rsidP="00A90898">
      <w:pPr>
        <w:pStyle w:val="TextoNormal"/>
      </w:pPr>
    </w:p>
    <w:p w:rsidR="00A90898" w:rsidRDefault="00A90898" w:rsidP="00A90898">
      <w:pPr>
        <w:pStyle w:val="TextoNormal"/>
      </w:pPr>
      <w:r>
        <w:t>En cuanto al apartado b) del art. 4 de la Ley 16/2014, al que se refiere singularmente el recurso, no apreciamos en el mismo reproche de inconstitucionalidad, toda vez que vincula la promoción exterior de Cataluña al conjunto de sus intereses, lo que ha de entenderse siempre, conforme a lo ya razonado, en el marco de las competencias de la Comunidad Autónoma y respetando la competencia estatal exclusiva (art. 193 EAC y STC 31/2010, FFJJ 125 y 126).</w:t>
      </w:r>
    </w:p>
    <w:p w:rsidR="00A90898" w:rsidRDefault="00A90898" w:rsidP="00A90898">
      <w:pPr>
        <w:pStyle w:val="TextoNormal"/>
      </w:pPr>
    </w:p>
    <w:p w:rsidR="00A90898" w:rsidRDefault="00A90898" w:rsidP="00A90898">
      <w:pPr>
        <w:pStyle w:val="TextoNormal"/>
      </w:pPr>
      <w:r>
        <w:t>Finalmente, en consonancia con lo resuelto en el fundamento jurídico 4, debemos declarar que no es inconstitucional el inciso “como un actor internacional comprometido, solidario y responsable” del apartado a) del art. 4 de la Ley 16/2014, siempre que se interprete en los términos que han quedado señalados en el referido fundamento jurídico. Esta interpretación de conformidad se llevará al fallo.</w:t>
      </w:r>
    </w:p>
    <w:p w:rsidR="00A90898" w:rsidRDefault="00A90898" w:rsidP="00A90898">
      <w:pPr>
        <w:pStyle w:val="TextoNormal"/>
      </w:pPr>
    </w:p>
    <w:p w:rsidR="00A90898" w:rsidRDefault="00A90898" w:rsidP="00A90898">
      <w:pPr>
        <w:pStyle w:val="TextoNormal"/>
      </w:pPr>
      <w:r w:rsidRPr="00A90898">
        <w:rPr>
          <w:rStyle w:val="NumeroAFNegritaCaracter"/>
        </w:rPr>
        <w:t>8</w:t>
      </w:r>
      <w:r>
        <w:t>. Los arts. 5 a 9 de la Ley 16/2014 se impugnan de forma conjunta por considerar que enumeran unas competencias de las instituciones catalanas que configuran una acción exterior de la Comunidad Autónoma desproporcionada y sin base competencial. El recurso destaca además algunos apartados concretos de los preceptos citados sobre cuya inconstitucionalidad llama especialmente el Abogado del Estado la atención, como son los apartados a), c), e) y h) del artículo 5 y los apartados 1 y 2. c) y e) del artículo 7.</w:t>
      </w:r>
    </w:p>
    <w:p w:rsidR="00A90898" w:rsidRDefault="00A90898" w:rsidP="00A90898">
      <w:pPr>
        <w:pStyle w:val="TextoNormal"/>
      </w:pPr>
    </w:p>
    <w:p w:rsidR="00A90898" w:rsidRDefault="00A90898" w:rsidP="00A90898">
      <w:pPr>
        <w:pStyle w:val="TextoNormal"/>
      </w:pPr>
      <w:r>
        <w:t>La impugnación genérica de los arts. 5 a 9 de la Ley 16/2014 debe ser rechazada. Las funciones de las instituciones catalanas en el ámbito de la acción exterior y de relaciones con la Unión Europea que estos preceptos regulan no invaden la competencia estatal en materia de relaciones internacionales en la medida en que —con las excepciones que a continuación se indicarán— su configuración no permite deducir que perjudiquen o perturben esta competencia y en cuanto se vinculan en la propia ley al ejercicio de las competencias autonómicas. Así resulta de la remisión al Estatuto de Autonomía de Cataluña que establecen expresamente los artículos 5 (“de conformidad con el Estatuto” y 7.2 (“de acuerdo con el Estatuto”) y de la referencia los “departamentos con competencias en materia de acción exterior y relaciones con la Unión Europea” que realiza el artículo 8. Por su parte, el artículo 9 únicamente contempla relaciones de colaboración y mecanismos de información mutua, sin que quepa presumir que tales relaciones van a ir más allá de las competencias autonómicas.</w:t>
      </w:r>
    </w:p>
    <w:p w:rsidR="00A90898" w:rsidRDefault="00A90898" w:rsidP="00A90898">
      <w:pPr>
        <w:pStyle w:val="TextoNormal"/>
      </w:pPr>
    </w:p>
    <w:p w:rsidR="00A90898" w:rsidRDefault="00A90898" w:rsidP="00A90898">
      <w:pPr>
        <w:pStyle w:val="TextoNormal"/>
      </w:pPr>
      <w:r>
        <w:t>Examinando en particular los apartados del artículo 5 (funciones del Parlamento de Cataluña) a los que el recurso hace especial mención, el apartado a) se limita a señalar que el Parlamento de Cataluña controla la acción exterior de Generalitat, lo que es consecuente con la función general de control de la acción política y de gobierno que le atribuye el art. 55.2 EAC; del tenor del precepto no cabe deducir exceso competencial en la configuración de dicha acción exterior, máxime teniendo en cuenta el contenido del citado art. 193 EAC, al que se remite el art. 5 de la Ley 16/2014 y considerando que ya se ha depurado en el fundamento jurídico 5 de esta Sentencia el concepto de acción exterior definido en el artículo 2 a) de la misma Ley.</w:t>
      </w:r>
    </w:p>
    <w:p w:rsidR="00A90898" w:rsidRDefault="00A90898" w:rsidP="00A90898">
      <w:pPr>
        <w:pStyle w:val="TextoNormal"/>
      </w:pPr>
    </w:p>
    <w:p w:rsidR="00A90898" w:rsidRDefault="00A90898" w:rsidP="00A90898">
      <w:pPr>
        <w:pStyle w:val="TextoNormal"/>
      </w:pPr>
      <w:r>
        <w:t>El apartado c) del artículo 5 atribuye al Parlamento catalán el debate del plan estratégico de acción exterior y de relaciones con la Unión Europea de acuerdo con lo establecido en el artículo 15, que no ha sido impugnado, por lo que tampoco se aprecia reproche de inconstitucionalidad en el referido apartado. El apartado e) del artículo 5 atribuye al Parlamento de Cataluña la función de mantener, en su caso, relaciones bilaterales con otros parlamentos; de donde tampoco resulta una extralimitación competencial, ni la atribución a dicha institución de la condición de sujeto de Derecho internacional. A este respecto, cabe señalar que el art. 187.4 EAC, no impugnado en su día, reconoce que el Parlamento de Cataluña puede establecer relaciones con el Parlamento Europeo en ámbitos de interés común.</w:t>
      </w:r>
    </w:p>
    <w:p w:rsidR="00A90898" w:rsidRDefault="00A90898" w:rsidP="00A90898">
      <w:pPr>
        <w:pStyle w:val="TextoNormal"/>
      </w:pPr>
    </w:p>
    <w:p w:rsidR="00A90898" w:rsidRDefault="00A90898" w:rsidP="00A90898">
      <w:pPr>
        <w:pStyle w:val="TextoNormal"/>
      </w:pPr>
      <w:r>
        <w:t>Por último, el apartado h) del artículo 5 es el que merece mayor reproche para el recurrente en cuanto atribuye al Parlamento de Cataluña el ejercicio de “la función de control del principio de subsidiariedad de los actos legislativos de la Unión Europea”, función que —se afirma— excede con mucho las competencias de la Comunidad Autónoma de Cataluña, pues una cosa es “participar en los procedimientos de control”, como dice el 188 EAC, y otra bien distinta “ejercer la función de control”, como establece el precepto impugnado. Esta queja también ha de ser rechazada, pues se advierte que esa función de control debe ser ejercida por el Parlamento de Cataluña “de conformidad con el Estatuto”, como el propio artículo 5 establece; lo que significa que ha de serlo “en relación con las propuestas legislativas europeas cuando dichas propuestas afecten a competencias de la Generalitat” (art. 188 EAC). Como señaló la STC 31/2010 al enjuiciar el art. 188 EAC, este precepto no cuestiona “que al Estado le corresponde el control de los principios de subsidiariedad y proporcionalidad” establecidos por el Derecho de la Unión Europea, de suerte que la intervención del Parlamento de Cataluña prevista en el art. 188 EAC, a la que se refiere el art. 5 h) de la Ley 16/2014, “en los asuntos relacionados con la Unión Europea que afecten a las competencias o intereses de Cataluña, ha de tener lugar en los concretos términos que establezca la legislación del Estado” (STC 31/2010, FJ 122).</w:t>
      </w:r>
    </w:p>
    <w:p w:rsidR="00A90898" w:rsidRDefault="00A90898" w:rsidP="00A90898">
      <w:pPr>
        <w:pStyle w:val="TextoNormal"/>
      </w:pPr>
    </w:p>
    <w:p w:rsidR="00A90898" w:rsidRDefault="00A90898" w:rsidP="00A90898">
      <w:pPr>
        <w:pStyle w:val="TextoNormal"/>
      </w:pPr>
      <w:r>
        <w:t>El art. 6 de la Ley 16/2014 establece que “corresponde al Presidente de la Generalitat, en el ejercicio de la más alta representación de la Generalitat, impulsar y mantener relaciones con las autoridades del ámbito internacional”. En el recurso se reprocha a este precepto que tales funciones con proyección exterior se atribuyan al Presidente de la Generalitat sin sujeción al principio de lealtad institucional ni comunicación al Gobierno de la Nación, a quien corresponde la dirección de la política exterior española.</w:t>
      </w:r>
    </w:p>
    <w:p w:rsidR="00A90898" w:rsidRDefault="00A90898" w:rsidP="00A90898">
      <w:pPr>
        <w:pStyle w:val="TextoNormal"/>
      </w:pPr>
    </w:p>
    <w:p w:rsidR="00A90898" w:rsidRDefault="00A90898" w:rsidP="00A90898">
      <w:pPr>
        <w:pStyle w:val="TextoNormal"/>
      </w:pPr>
      <w:r>
        <w:t xml:space="preserve">El art. 6 de la Ley 16/2014 debe ser entendido como desarrollo de las previsiones estatutarias sobre la acción exterior de la Generalitat de Cataluña, que resultan conformes con la Constitución; la Comunidad Autónoma, como parte del ejercicio de sus competencias, puede llevar a cabo actividades con proyección exterior, siempre con respeto a las competencias constitucionalmente reservadas al Estado, en particular en lo que atañe a la política exterior y las relaciones internacionales, </w:t>
      </w:r>
      <w:r w:rsidRPr="00A90898">
        <w:rPr>
          <w:i/>
        </w:rPr>
        <w:t>ex</w:t>
      </w:r>
      <w:r>
        <w:t xml:space="preserve"> art. 149.1.3 CE (por todas, SSTC 31/2010, FJ 125, y 46/2015, FJ 4). Por otra parte el art. 6 de la Ley 16/2014 no excluye la necesaria coordinación del Presidente de la Generalitat con las autoridades estatales en el ejercicio de esas relaciones con autoridades de ámbito internacional que puedan tener lugar en el marco de las acciones con proyección exterior de la Generalitat, las cuales han de circunscribirse en todo caso al ámbito de competencias de la Comunidad Autónoma de Cataluña (art. 193 EAC). En suma, no se aprecia la inconstitucionalidad del art. 6 de la Ley 16/2014.</w:t>
      </w:r>
    </w:p>
    <w:p w:rsidR="00A90898" w:rsidRDefault="00A90898" w:rsidP="00A90898">
      <w:pPr>
        <w:pStyle w:val="TextoNormal"/>
      </w:pPr>
    </w:p>
    <w:p w:rsidR="00A90898" w:rsidRDefault="00A90898" w:rsidP="00A90898">
      <w:pPr>
        <w:pStyle w:val="TextoNormal"/>
      </w:pPr>
      <w:r>
        <w:t>Respecto del art. 7 de la Ley 16/2014 (referido a las funciones del Gobierno de la Generalitat en materia de acción exterior y relaciones con la Unión Europea), ya hemos apreciado en los fundamentos jurídicos 4 y 5 de esta Sentencia la conformidad con la Constitución de su apartado 1 y del inciso “con entes públicos de otros Estados o con organizaciones internacionales” del apartado 2 e), en relación con los acuerdos de colaboración, siempre que se interpreten estos preceptos en los términos indicados en dichos fundamentos.</w:t>
      </w:r>
    </w:p>
    <w:p w:rsidR="00A90898" w:rsidRDefault="00A90898" w:rsidP="00A90898">
      <w:pPr>
        <w:pStyle w:val="TextoNormal"/>
      </w:pPr>
    </w:p>
    <w:p w:rsidR="00A90898" w:rsidRDefault="00A90898" w:rsidP="00A90898">
      <w:pPr>
        <w:pStyle w:val="TextoNormal"/>
      </w:pPr>
      <w:r>
        <w:t>De las demás letras del apartado 2 del artículo 7 solo hace referencia específica el recurso a la c), a cuyo tenor corresponde al Gobierno de la Generalitat, “de acuerdo con el Estatuto”, “participar en el nombramiento, a propuesta del departamento competente en esta materia, de las personas que deban representar a la Generalitat en las delegaciones negociadoras del Estado ante la Unión Europea y en la representación permanente del Estado ante la Unión Europea”. Lo que sostiene el Abogado del Estado es que tales funciones han de entenderse como de mera propuesta, puesto que el Gobierno de la Generalitat no puede vincular al Estado en la designación de las personas que han de formar parte de las referidas delegaciones y de la representación permanente del Estado.</w:t>
      </w:r>
    </w:p>
    <w:p w:rsidR="00A90898" w:rsidRDefault="00A90898" w:rsidP="00A90898">
      <w:pPr>
        <w:pStyle w:val="TextoNormal"/>
      </w:pPr>
    </w:p>
    <w:p w:rsidR="00A90898" w:rsidRDefault="00A90898" w:rsidP="00A90898">
      <w:pPr>
        <w:pStyle w:val="TextoNormal"/>
      </w:pPr>
      <w:r>
        <w:t xml:space="preserve">Lo que plantea el recurso no es tanto una tacha de inconstitucionalidad del precepto, sino una interpretación de conformidad constitucional del mismo. En todo caso baste decir que la remisión al Estatuto que realiza el art. 7.2 de la Ley 16/2014 supone que lo dispuesto en su letra c) ha de ser entendido en relación con el art. 187 EAC, que contempla la participación de la Generalitat en las delegaciones españolas ante la Unión Europea que traten asuntos de la competencia legislativa de la propia Generalitat y en la designación de representantes en el marco de la representación permanente del Estado ante la Unión Europea “de acuerdo con la normativa aplicable” y “de acuerdo con el Estado”. Como este Tribunal señaló al enjuiciar el citado art. 187 EAC en la STC 31/2010, “es al Estado al que, en el ejercicio de la competencia reservada </w:t>
      </w:r>
      <w:r w:rsidRPr="00A90898">
        <w:rPr>
          <w:i/>
        </w:rPr>
        <w:t>ex</w:t>
      </w:r>
      <w:r>
        <w:t xml:space="preserve"> art. 149.1.3 CE, le corresponde determinar los concretos supuestos, términos, formas y condiciones de las participaciones indicadas en el precepto estatutario, participaciones que, además, no pueden privar al Estado de sus exclusivas facultades de decisión en este ámbito” (STC 31/2010, FJ 121). No se aprecia pues que el art. 7.2.c) de la Ley 16/2014 sea inconstitucional.</w:t>
      </w:r>
    </w:p>
    <w:p w:rsidR="00A90898" w:rsidRDefault="00A90898" w:rsidP="00A90898">
      <w:pPr>
        <w:pStyle w:val="TextoNormal"/>
      </w:pPr>
    </w:p>
    <w:p w:rsidR="00A90898" w:rsidRDefault="00A90898" w:rsidP="00A90898">
      <w:pPr>
        <w:pStyle w:val="TextoNormal"/>
      </w:pPr>
      <w:r>
        <w:t>El artículo 8, según el recurrente, sería inconstitucional por conexión, puesto que las funciones de la Administración de la Generalitat que enumera se proyectan en un ámbito exterior, definido en la Ley 16/2014, que es inconstitucional. Esta tacha ha de ser rechazada ya que el precepto, una vez depurada la definición de acción exterior a efectos de la Ley 16/2014 recogida en su artículo 2 a), conforme a lo razonado anteriormente, y puesto que define las funciones de la Administración de la Generalitat refiriéndose a los departamentos con competencias en esta materia (lo que remite implícitamente al citado art. 193 EAC), no supone extralimitación competencial ni invade la competencia estatal del art. 149.1.3 CE.</w:t>
      </w:r>
    </w:p>
    <w:p w:rsidR="00A90898" w:rsidRDefault="00A90898" w:rsidP="00A90898">
      <w:pPr>
        <w:pStyle w:val="TextoNormal"/>
      </w:pPr>
    </w:p>
    <w:p w:rsidR="00A90898" w:rsidRDefault="00A90898" w:rsidP="00A90898">
      <w:pPr>
        <w:pStyle w:val="TextoNormal"/>
      </w:pPr>
      <w:r>
        <w:t>Por último, tampoco merece reproche de inconstitucionalidad, según lo ya indicado, el art. 9 de la Ley 16/2014, en cuanto se limita a prever la posible existencia de relaciones de colaboración entre las instituciones de la Generalitat que enumera y sus homólogos europeos e internacionales; relaciones estas que, en cuanto tales, no presuponen invasión de la competencia estatal del art. 149.1.3 CE.</w:t>
      </w:r>
    </w:p>
    <w:p w:rsidR="00A90898" w:rsidRDefault="00A90898" w:rsidP="00A90898">
      <w:pPr>
        <w:pStyle w:val="TextoNormal"/>
      </w:pPr>
    </w:p>
    <w:p w:rsidR="00A90898" w:rsidRDefault="00A90898" w:rsidP="00A90898">
      <w:pPr>
        <w:pStyle w:val="TextoNormal"/>
      </w:pPr>
      <w:r w:rsidRPr="00A90898">
        <w:rPr>
          <w:rStyle w:val="NumeroAFNegritaCaracter"/>
        </w:rPr>
        <w:t>9</w:t>
      </w:r>
      <w:r>
        <w:t>. Procede a continuación examinar el art. 26.1 de la Ley 16/2014, que se impugna en general por referirse a las relaciones del Gobierno de la Generalitat con otros gobiernos. Estando ubicado en un capítulo que no se refiere a las relaciones con la Unión Europea, dota, a juicio del recurrente, a la Generalitat de una posición institucional que invade la competencia del Estado en materia de relaciones internacionales. En particular, se impugna su apartado e) según el cual es objetivo del Gobierno de la Generalitat, “en el ejercicio de sus relaciones con gobiernos de otros territorios”, “establecer relaciones institucionales fluidas y constantes con el cuerpo consular presente en Cataluña, en especial con las legaciones de países que tengan fuertes intereses y vínculos socio-económicos y culturales con Cataluña, y promover el establecimiento de nuevos consulados de otros países, como una forma de potenciar las relaciones bilaterales con territorios que puedan tener interés en Cataluña”.</w:t>
      </w:r>
    </w:p>
    <w:p w:rsidR="00A90898" w:rsidRDefault="00A90898" w:rsidP="00A90898">
      <w:pPr>
        <w:pStyle w:val="TextoNormal"/>
      </w:pPr>
    </w:p>
    <w:p w:rsidR="00A90898" w:rsidRDefault="00A90898" w:rsidP="00A90898">
      <w:pPr>
        <w:pStyle w:val="TextoNormal"/>
      </w:pPr>
      <w:r>
        <w:t xml:space="preserve">El art. 26.1 se refiere a las relaciones del Gobierno de la Generalitat “con gobiernos de otros territorios”, entendidos naturalmente como territorios de otros Estados. Esta previsión, sin embargo, no puede reputarse inconstitucional pues, de forma similar a lo que hemos razonado para rechazar el recurso contra el artículo 6, los objetivos generales que el Gobierno de la Generalitat puede promover en el ejercicio de tales relaciones según este precepto se deben entender necesariamente enmarcados en las acciones con proyección exterior de la Generalitat de Cataluña, circunscritas al ámbito de sus competencias y para la promoción de sus intereses, con respeto de la competencia estatal exclusiva en materia de relaciones internacionales (art. 193 EAC; STC 31/2010, FJ 125, por todas). En modo alguno pueden suponer obligaciones de Derecho internacional, ni ejercicio del </w:t>
      </w:r>
      <w:r w:rsidRPr="00A90898">
        <w:rPr>
          <w:i/>
        </w:rPr>
        <w:t>ius contrahendi</w:t>
      </w:r>
      <w:r>
        <w:t xml:space="preserve"> o del </w:t>
      </w:r>
      <w:r w:rsidRPr="00A90898">
        <w:rPr>
          <w:i/>
        </w:rPr>
        <w:t>ius legationis</w:t>
      </w:r>
      <w:r>
        <w:t xml:space="preserve">, reservados ambos al Estado </w:t>
      </w:r>
      <w:r w:rsidRPr="00A90898">
        <w:rPr>
          <w:i/>
        </w:rPr>
        <w:t>ex</w:t>
      </w:r>
      <w:r>
        <w:t xml:space="preserve"> art. 149.1.3 CE. Ello sin perjuicio de que tampoco debe olvidarse que “las relaciones internacionales, en cuanto materia jurídica, no se identifican en modo alguno con el contenido más amplio que posee dicha expresión en sentido sociológico, ni con cualquier actividad exterior” (STC 165/1994, FJ 5). Debe, pues, desestimarse la impugnación del artículo 26.1 en este punto.</w:t>
      </w:r>
    </w:p>
    <w:p w:rsidR="00A90898" w:rsidRDefault="00A90898" w:rsidP="00A90898">
      <w:pPr>
        <w:pStyle w:val="TextoNormal"/>
      </w:pPr>
    </w:p>
    <w:p w:rsidR="00A90898" w:rsidRDefault="00A90898" w:rsidP="00A90898">
      <w:pPr>
        <w:pStyle w:val="TextoNormal"/>
      </w:pPr>
      <w:r>
        <w:t xml:space="preserve">Distinta conclusión se alcanza, sin embargo, al examinar el apartado e) del artículo 26.1, transcrito más arriba, que se impugna específicamente por cuanto las relaciones consulares, conforme al Convenio de Viena de 1963, se desarrollan entre sujetos de Derecho internacional. Sin perjuicio de lo afirmado con carácter cautelar en el ATC 122/2015, de 7 de julio, FJ 6, en la medida en que este apartado se refiere al establecimiento por la Generalitat de relaciones institucionales con cuerpos consulares de Estados extranjeros presentes en Cataluña y a la promoción por la Comunidad Autónoma del establecimiento de consulados de otros países “como una forma de potenciar las relaciones bilaterales”, el precepto impugnado propicia la asunción por parte de la Generalitat de una función representativa a nivel internacional que no le corresponde, por ser propia del Estado </w:t>
      </w:r>
      <w:r w:rsidRPr="00A90898">
        <w:rPr>
          <w:i/>
        </w:rPr>
        <w:t>ex</w:t>
      </w:r>
      <w:r>
        <w:t xml:space="preserve"> art. 149.1.3 CE y no ser la Comunidad Autónoma de Cataluña sujeto de Derecho internacional.</w:t>
      </w:r>
    </w:p>
    <w:p w:rsidR="00A90898" w:rsidRDefault="00A90898" w:rsidP="00A90898">
      <w:pPr>
        <w:pStyle w:val="TextoNormal"/>
      </w:pPr>
    </w:p>
    <w:p w:rsidR="00A90898" w:rsidRDefault="00A90898" w:rsidP="00A90898">
      <w:pPr>
        <w:pStyle w:val="TextoNormal"/>
      </w:pPr>
      <w:r>
        <w:t xml:space="preserve">En efecto, el apartado e) del art. 26.1 de la Ley 16/2014 viene a equiparar el cuerpo consular, categoría recogida en el Convenio de Viena de 1963, con el concepto de “legación”, que es un tipo de representación diplomática (dirigida por un ministro o encargado de negocios, no por un embajador), estableciendo que el Gobierno de la Generalitat de Cataluña mantendrá relaciones con el cuerpo consular y con legaciones (diplomáticas), lo que contraviene la reserva </w:t>
      </w:r>
      <w:r w:rsidRPr="00A90898">
        <w:rPr>
          <w:i/>
        </w:rPr>
        <w:t>ex</w:t>
      </w:r>
      <w:r>
        <w:t xml:space="preserve"> art. 149.1.3 CE a favor del Estado en relación con el </w:t>
      </w:r>
      <w:r w:rsidRPr="00A90898">
        <w:rPr>
          <w:i/>
        </w:rPr>
        <w:t>ius legationis</w:t>
      </w:r>
      <w:r>
        <w:t xml:space="preserve"> (por todas, SSTC 46/2015, FJ 4 y 85/2016, FJ 3).</w:t>
      </w:r>
    </w:p>
    <w:p w:rsidR="00A90898" w:rsidRDefault="00A90898" w:rsidP="00A90898">
      <w:pPr>
        <w:pStyle w:val="TextoNormal"/>
      </w:pPr>
    </w:p>
    <w:p w:rsidR="00A90898" w:rsidRDefault="00A90898" w:rsidP="00A90898">
      <w:pPr>
        <w:pStyle w:val="TextoNormal"/>
      </w:pPr>
      <w:r>
        <w:t xml:space="preserve">Además, el precepto impugnado obvia por completo que las oficinas consulares no poseen </w:t>
      </w:r>
      <w:r w:rsidRPr="00A90898">
        <w:rPr>
          <w:i/>
        </w:rPr>
        <w:t>stricto sensu</w:t>
      </w:r>
      <w:r>
        <w:t xml:space="preserve"> funciones políticas, salvo acuerdo entre el Estado que envía y el receptor (art. 17 del Convenio de Viena sobre relaciones consulares). Por tanto, que el Gobierno de la Generalitat de Cataluña se relacione con una oficina consular “para potenciar las relaciones bilaterales”, como establece el apartado e) del art. 26.1 de la Ley 16/2014, puede suponer un condicionamiento o menoscabo para la política exterior del Estado español.</w:t>
      </w:r>
    </w:p>
    <w:p w:rsidR="00A90898" w:rsidRDefault="00A90898" w:rsidP="00A90898">
      <w:pPr>
        <w:pStyle w:val="TextoNormal"/>
      </w:pPr>
    </w:p>
    <w:p w:rsidR="00A90898" w:rsidRDefault="00A90898" w:rsidP="00A90898">
      <w:pPr>
        <w:pStyle w:val="TextoNormal"/>
      </w:pPr>
      <w:r>
        <w:t xml:space="preserve">No cabe a este respecto admitir la interpretación de conformidad que propone la Abogada de la Generalitat de Cataluña en sus alegaciones. Sostiene que el apartado e) del artículo 26.1 no comporta que la Generalitat pueda sustituir al Gobierno estatal en la decisión sobre el establecimiento de relaciones consulares con otro Estado, siendo la función de la Generalitat de mera propuesta o sugerencia. Sin embargo, lo cierto es que el tenor del precepto no permite tal interpretación, pues enuncia, como hemos dicho, una clara relación bilateral entre el Gobierno de la Generalitat y los cuerpos consulares de otros Estados, en abierta contradicción con la competencia exclusiva del Estado en esta materia </w:t>
      </w:r>
      <w:r w:rsidRPr="00A90898">
        <w:rPr>
          <w:i/>
        </w:rPr>
        <w:t>ex</w:t>
      </w:r>
      <w:r>
        <w:t xml:space="preserve"> art. 149.1.3 CE. Como venimos diciendo desde la STC 11/1981, de 8 de abril, FJ 4, no puede este Tribunal “tratar de reconstruir una norma que no esté debidamente explícita en un texto, para concluir que esta es la norma constitucional”. En consecuencia, ha de declararse inconstitucional y nulo el art. 26.1.e) de la Ley 16/2014.</w:t>
      </w:r>
    </w:p>
    <w:p w:rsidR="00A90898" w:rsidRDefault="00A90898" w:rsidP="00A90898">
      <w:pPr>
        <w:pStyle w:val="TextoNormal"/>
      </w:pPr>
    </w:p>
    <w:p w:rsidR="00A90898" w:rsidRDefault="00A90898" w:rsidP="00A90898">
      <w:pPr>
        <w:pStyle w:val="TextoNormal"/>
      </w:pPr>
      <w:r w:rsidRPr="00A90898">
        <w:rPr>
          <w:rStyle w:val="NumeroAFNegritaCaracter"/>
        </w:rPr>
        <w:t>10</w:t>
      </w:r>
      <w:r>
        <w:t>. Corresponde ahora examinar la impugnación de los arts. 29 a 33 de la Ley 16/2014 sobre “Representación de la Generalitat en el exterior”, que integran su título III, relativo a la “Naturaleza de la representación de la Generalitat en el exterior”, así como las definiciones de “delegaciones del Gobierno en el exterior” y “delegación del Gobierno ante la Unión Europea” contenidas en los apartados e) y f) del art. 2 de la misma Ley.</w:t>
      </w:r>
    </w:p>
    <w:p w:rsidR="00A90898" w:rsidRDefault="00A90898" w:rsidP="00A90898">
      <w:pPr>
        <w:pStyle w:val="TextoNormal"/>
      </w:pPr>
    </w:p>
    <w:p w:rsidR="00A90898" w:rsidRDefault="00A90898" w:rsidP="00A90898">
      <w:pPr>
        <w:pStyle w:val="TextoNormal"/>
      </w:pPr>
      <w:r>
        <w:t xml:space="preserve">En relación con estos preceptos considera el Abogado del Estado que, aunque la STC 165/1994 avaló la constitucionalidad de las oficinas autonómicas en el ámbito de la Unión Europea para la defensa de los intereses autonómicos derivados de sus competencias, la redacción de la Ley 16/2014 es equívoca y susceptible de dar lugar a la atribución a la Generalitat de funciones muy similares a las propias del </w:t>
      </w:r>
      <w:r w:rsidRPr="00A90898">
        <w:rPr>
          <w:i/>
        </w:rPr>
        <w:t>ius legationis</w:t>
      </w:r>
      <w:r>
        <w:t xml:space="preserve">, reservado al Estado, con infracción del art. 149.1.3 CE. Se alega asimismo que el art. 33 de la Ley 16/2014 no menciona la necesaria coordinación con las competencias estatales en la materia. Se considera, en definitiva, que los preceptos impugnados incurren en inconstitucionalidad inmediata derivada de la falta de competencia autonómica para el establecimiento de órganos permanentes de representación ante sujetos internacionales, competencia que corresponde en exclusiva al Estado </w:t>
      </w:r>
      <w:r w:rsidRPr="00A90898">
        <w:rPr>
          <w:i/>
        </w:rPr>
        <w:t>ex</w:t>
      </w:r>
      <w:r>
        <w:t xml:space="preserve"> art. 149.1.3 CE; así como en inconstitucionalidad mediata o indirecta al colisionar con las previsiones contenidas en la legislación estatal acerca de los requisitos y procedimientos para la apertura de oficinas de promoción exterior de las Comunidades Autónomas (art. 12 de la Ley 2/2014, de la acción y del servicio exterior del Estado).</w:t>
      </w:r>
    </w:p>
    <w:p w:rsidR="00A90898" w:rsidRDefault="00A90898" w:rsidP="00A90898">
      <w:pPr>
        <w:pStyle w:val="TextoNormal"/>
      </w:pPr>
    </w:p>
    <w:p w:rsidR="00A90898" w:rsidRDefault="00A90898" w:rsidP="00A90898">
      <w:pPr>
        <w:pStyle w:val="TextoNormal"/>
      </w:pPr>
      <w:r>
        <w:t>Para dar respuesta a esta tacha de inconstitucionalidad debemos recordar que, en efecto, ya la STC 165/1994 consideró conforme a la Constitución, como consecuencia lógica de la admisión de la actuación exterior de las Comunidades Autónomas para la defensa de sus intereses derivados del ejercicio de sus competencias, la apertura de oficinas autonómicas en el ámbito de la Unión Europea, encargadas de canalizar esa actuación exterior; la existencia de tales oficinas “no prejuzga su tipo de actividad ni determina que haya de incidir forzosamente en el ejercicio de la competencia estatal sobre relaciones internacionales” (STC 165/1994, FJ 8). La misma STC 165/1994, FJ 8, describe las funciones posibles de estas oficinas autonómicas en el ámbito de la Unión Europea como funciones de seguimiento, información e instrumentación del ejercicio de competencias autonómicas.</w:t>
      </w:r>
    </w:p>
    <w:p w:rsidR="00A90898" w:rsidRDefault="00A90898" w:rsidP="00A90898">
      <w:pPr>
        <w:pStyle w:val="TextoNormal"/>
      </w:pPr>
    </w:p>
    <w:p w:rsidR="00A90898" w:rsidRDefault="00A90898" w:rsidP="00A90898">
      <w:pPr>
        <w:pStyle w:val="TextoNormal"/>
      </w:pPr>
      <w:r>
        <w:t xml:space="preserve">Sin embargo, la STC 165/1994 se cuidó también de establecer en todo caso como límite a esa acción exterior de las Comunidades Autónomas la competencia estatal </w:t>
      </w:r>
      <w:r w:rsidRPr="00A90898">
        <w:rPr>
          <w:i/>
        </w:rPr>
        <w:t>ex</w:t>
      </w:r>
      <w:r>
        <w:t xml:space="preserve"> art. 149.1.3 CE y de deslindar las funciones de esas oficinas autonómicas de la asunción de funciones de representación a nivel internacional propias de la representación exterior del Estado (</w:t>
      </w:r>
      <w:r w:rsidRPr="00A90898">
        <w:rPr>
          <w:i/>
        </w:rPr>
        <w:t>ius legationis</w:t>
      </w:r>
      <w:r>
        <w:t>). Así, la STC 165/1994, FJ 5, afirmó que la reserva prevista en el art. 149.1.3 CE, que confiere al Estado competencia exclusiva en materia de relaciones internacionales, excluye que las Comunidades Autónomas (entes territoriales dotados de autonomía política), por no ser sujetos internacionales, puedan establecer órganos permanentes de representación ante sujetos dotados de un estatuto internacional; ello implicaría un previo acuerdo con el Estado receptor o la organización internacional ante la que ejercen sus funciones, posibilidad que la Constitución no admite.</w:t>
      </w:r>
    </w:p>
    <w:p w:rsidR="00A90898" w:rsidRDefault="00A90898" w:rsidP="00A90898">
      <w:pPr>
        <w:pStyle w:val="TextoNormal"/>
      </w:pPr>
    </w:p>
    <w:p w:rsidR="00A90898" w:rsidRDefault="00A90898" w:rsidP="00A90898">
      <w:pPr>
        <w:pStyle w:val="TextoNormal"/>
      </w:pPr>
      <w:r>
        <w:t>Los arts. 192 y 194 EAC, no impugnados en su día, disponen que “la Generalitat establecerá una delegación para la mejor defensa de sus intereses ante la Unión Europea” y que “la Generalitat, para la promoción de los intereses de Cataluña, puede establecer oficinas en el exterior”. A su vez, el art. 12 de la Ley 2/2014, de la acción y del servicio exterior del Estado, admite expresamente la creación por las Comunidades Autónomas de oficinas para su promoción exterior, estableciendo la obligación de informar al Gobierno del Estado con carácter previo a su apertura y debiendo pronunciarse al respecto los departamentos ministeriales que el precepto señala, sin que tales informes tengan carácter vinculante, como precisa la STC 85/2016, FJ 6. Ello constituye una obligación que sin duda tiene pleno encaje en la reserva competencial del art. 149.1.3 CE, como hemos tenido ocasión de declarar expresamente en la STC 85/2016, FJ 6, pues “la competencia estatal en materia de relaciones internacionales habilita a las instituciones estatales para ordenar y coordinar esas actividades con relevancia externa de las Comunidades Autónomas, de forma que no condicionen o perjudiquen la dirección de la política exterior, competencia exclusiva del Estado” (STC 165/1994, FJ 8).</w:t>
      </w:r>
    </w:p>
    <w:p w:rsidR="00A90898" w:rsidRDefault="00A90898" w:rsidP="00A90898">
      <w:pPr>
        <w:pStyle w:val="TextoNormal"/>
      </w:pPr>
    </w:p>
    <w:p w:rsidR="00A90898" w:rsidRDefault="00A90898" w:rsidP="00A90898">
      <w:pPr>
        <w:pStyle w:val="TextoNormal"/>
      </w:pPr>
      <w:r>
        <w:t>En suma, habiendo reconocido ya este Tribunal la legitimidad constitucional del establecimiento de oficinas autonómicas en el ámbito de la Unión Europea, para la defensa de sus intereses derivados del ejercicio de sus competencias, en los términos expuestos (STC 165/1994, FFJJ 5 y 8), la previsión de una “delegación del Gobierno [de la Generalitat] ante la Unión Europea” que se contiene en el apartado f) del art. 2 de la Ley 16/2014, así como en los arts. 29 y 30 de la misma Ley, no puede merecer reproche de inconstitucionalidad.</w:t>
      </w:r>
    </w:p>
    <w:p w:rsidR="00A90898" w:rsidRDefault="00A90898" w:rsidP="00A90898">
      <w:pPr>
        <w:pStyle w:val="TextoNormal"/>
      </w:pPr>
    </w:p>
    <w:p w:rsidR="00A90898" w:rsidRDefault="00A90898" w:rsidP="00A90898">
      <w:pPr>
        <w:pStyle w:val="TextoNormal"/>
      </w:pPr>
      <w:r>
        <w:t>Por lo que se refiere al establecimiento de oficinas de las Comunidades Autónomas en el exterior (al margen de la representación ante las instituciones y órganos de la Unión Europea), lo es “para la promoción de los intereses de Cataluña”, como establece expresamente el art. 29.3 de la Ley 16/2014, reiterando las previsiones del art. 194 EAC. Debe recordarse en este sentido, una vez más, que “la noción de ‘intereses’ con la perspectiva de la organización territorial del Estado no sólo no es inapropiada sino absolutamente irreprochable en términos constitucionales” (STC 31/2010, FJ 118); a ello cabe añadir que, como reconoce el art. 193.1 EAC, “la acción exterior de la Generalitat se ejerce ‘respetando la competencia del Estado en materia de relaciones exteriores’” (STC 31/2010, FJ 126), como resulta obligado dada la reserva a favor del Estado del art. 149.1.3 (SSTC 165/1994, FJ 5; 31/2010, FJ 125, y 46/2015, FJ 4, por todas).</w:t>
      </w:r>
    </w:p>
    <w:p w:rsidR="00A90898" w:rsidRDefault="00A90898" w:rsidP="00A90898">
      <w:pPr>
        <w:pStyle w:val="TextoNormal"/>
      </w:pPr>
    </w:p>
    <w:p w:rsidR="00A90898" w:rsidRDefault="00A90898" w:rsidP="00A90898">
      <w:pPr>
        <w:pStyle w:val="TextoNormal"/>
      </w:pPr>
      <w:r>
        <w:t>Por otra parte, ha de entenderse que las previsiones contenidas en los arts. 29 a 33 de la Ley 16/2014 deben conjugarse con la aplicación de las medidas previstas en la Ley estatal 2/2014 con el fin de coordinar las actividades con proyección externa de las Comunidades Autónomas en relación con el establecimiento de oficinas en el exterior. Tales previsiones son compatibles con la sujeción a los requisitos establecidos en la referida Ley estatal, sobre cuya constitucionalidad ya nos hemos pronunciado en la citada STC 85/2016, FJ 6: comunicación previa al Estado de la decisión de apertura de tales oficinas y emisión de informes por los Ministerios competentes en aras a preservar el principio de unidad de acción en el exterior y el principio de eficiencia en la gestión de los recursos públicos, así como la adecuación al orden competencial.</w:t>
      </w:r>
    </w:p>
    <w:p w:rsidR="00A90898" w:rsidRDefault="00A90898" w:rsidP="00A90898">
      <w:pPr>
        <w:pStyle w:val="TextoNormal"/>
      </w:pPr>
    </w:p>
    <w:p w:rsidR="00A90898" w:rsidRDefault="00A90898" w:rsidP="00A90898">
      <w:pPr>
        <w:pStyle w:val="TextoNormal"/>
      </w:pPr>
      <w:r>
        <w:t xml:space="preserve">El eventual incumplimiento por la Generalitat de los requisitos de coordinación establecidos por el legislador estatal </w:t>
      </w:r>
      <w:r w:rsidRPr="00A90898">
        <w:rPr>
          <w:i/>
        </w:rPr>
        <w:t>ex</w:t>
      </w:r>
      <w:r>
        <w:t xml:space="preserve"> art. 149.1.3 CE, al crear oficinas o delegaciones de Gobierno de la Generalitat en otros Estados, podrá desde luego ser motivo para impugnar ante la jurisdicción competente los correspondientes Decretos de creación de esas oficinas en el exterior, pero no puede erigirse en razón suficiente para apreciar la inconstitucionalidad de los referidos preceptos de la Ley 16/2014, que no impiden la necesaria coordinación con las instituciones estatales en esta materia (STC 165/1994, FJ 8).</w:t>
      </w:r>
    </w:p>
    <w:p w:rsidR="00A90898" w:rsidRDefault="00A90898" w:rsidP="00A90898">
      <w:pPr>
        <w:pStyle w:val="TextoNormal"/>
      </w:pPr>
    </w:p>
    <w:p w:rsidR="00A90898" w:rsidRDefault="00A90898" w:rsidP="00A90898">
      <w:pPr>
        <w:pStyle w:val="TextoNormal"/>
      </w:pPr>
      <w:r>
        <w:t>En este sentido, la previsión de “Delegaciones del Gobierno [de la Generalitat] en el exterior” que se contiene en el apartado e) del art. 2 de la Ley 16/2014, así como en los arts. 29 y 31 de la misma Ley, tampoco puede merecer reproche de inconstitucionalidad.</w:t>
      </w:r>
    </w:p>
    <w:p w:rsidR="00A90898" w:rsidRDefault="00A90898" w:rsidP="00A90898">
      <w:pPr>
        <w:pStyle w:val="TextoNormal"/>
      </w:pPr>
    </w:p>
    <w:p w:rsidR="00A90898" w:rsidRDefault="00A90898" w:rsidP="00A90898">
      <w:pPr>
        <w:pStyle w:val="TextoNormal"/>
      </w:pPr>
      <w:r>
        <w:t>Las “delegaciones del Gobierno en el exterior” y la “delegación del Gobierno ante la Unión Europea” que definen los apartados e) y f) del art. 2 de la Ley 16/2014, se describen, respectivamente, como “las unidades de representación institucional del Gobierno en el exterior que tienen como objetivo defender en el exterior los intereses de Cataluña y la proyección internacional del país” y como “la unidad de representación institucional del Gobierno ante la Unión Europea que tiene como objetivo defender en ese ámbito los intereses de Cataluña y la proyección internacional del país”. A partir de estas definiciones, el art. 29.2 de la Ley 16/2014 vuelve a referirse a estas delegaciones, denominándolas “unidades de representación institucional del Gobierno en el exterior”, lo que se reitera en los arts. 29.5, 30.1 y 31.1. Este último, por su parte, vuelve a atribuir a las delegaciones del Gobierno de la Generalitat en el exterior “la proyección internacional del país”, objetivo que se enmarca dentro de las previsiones del art. 193 EAC, conforme al cual “la Generalitat debe impulsar la proyección de Cataluña en el exterior y promover sus intereses en este ámbito, respetando la competencia del Estado en materia de relaciones exteriores” (art. 193.1 EAC). Asimismo, “la Generalitat tiene capacidad para llevar a cabo acciones con proyección exterior que se deriven directamente de sus competencias” (art. 193.1 EAC). Igualmente, el artículo 29.3, sobre el que incide también el recurso, se refiere a la creación por el Gobierno de la Generalitat de delegaciones y oficinas sectoriales en el exterior “atendiendo a las necesidades reales del país”. En fin, el artículo 33.1 determina que el Gobierno de la Generalitat “garantiza la actuación coordinada, eficaz y eficiente del conjunto de integrantes de la representación de la Generalitat en el exterior”.</w:t>
      </w:r>
    </w:p>
    <w:p w:rsidR="00A90898" w:rsidRDefault="00A90898" w:rsidP="00A90898">
      <w:pPr>
        <w:pStyle w:val="TextoNormal"/>
      </w:pPr>
    </w:p>
    <w:p w:rsidR="00A90898" w:rsidRDefault="00A90898" w:rsidP="00A90898">
      <w:pPr>
        <w:pStyle w:val="TextoNormal"/>
      </w:pPr>
      <w:r>
        <w:t xml:space="preserve">Analizada la regulación cuestionada, ha de rechazarse que la atribución a esas oficinas autonómicas de una función de “representación institucional” ligada a “la proyección internacional del país” en general y a “las necesidades reales del país”, vaya más allá de esa actividad promocional en el exterior de los intereses de Cataluña (art. 193 EAC) y, por ello, que invada los límites del </w:t>
      </w:r>
      <w:r w:rsidRPr="00A90898">
        <w:rPr>
          <w:i/>
        </w:rPr>
        <w:t>ius legationis</w:t>
      </w:r>
      <w:r>
        <w:t xml:space="preserve"> que corresponde al Estado en exclusiva </w:t>
      </w:r>
      <w:r w:rsidRPr="00A90898">
        <w:rPr>
          <w:i/>
        </w:rPr>
        <w:t>ex</w:t>
      </w:r>
      <w:r>
        <w:t xml:space="preserve"> art. 149.1.3 CE, como se sostiene en el recurso. Nada hay en los preceptos impugnados que autorice llegar a esa conclusión. La Ley 16/2014 no otorga en modo alguno al delegado del Gobierno de la Generalitat ante la Unión Europea (artículo 30) ni a los delegados del Gobierno de la Generalitat en el exterior, un </w:t>
      </w:r>
      <w:r w:rsidRPr="00A90898">
        <w:rPr>
          <w:i/>
        </w:rPr>
        <w:t>status</w:t>
      </w:r>
      <w:r>
        <w:t xml:space="preserve"> diplomático, que sería incompatible con la competencia estatal exclusiva </w:t>
      </w:r>
      <w:r w:rsidRPr="00A90898">
        <w:rPr>
          <w:i/>
        </w:rPr>
        <w:t>ex</w:t>
      </w:r>
      <w:r>
        <w:t xml:space="preserve"> art. 149.1.3 CE en relación con el </w:t>
      </w:r>
      <w:r w:rsidRPr="00A90898">
        <w:rPr>
          <w:i/>
        </w:rPr>
        <w:t>ius legationis</w:t>
      </w:r>
      <w:r>
        <w:t xml:space="preserve">. Por otra parte, ya se razonó en el fundamento jurídico 5, al examinar la impugnación referida al párrafo segundo del art. 2 a) de la Ley 16/2014, que se refiere a la “promoción en el exterior de los intereses del país”. Esta alusión la considera el recurso un eufemismo para ocultar la atribución de subjetividad internacional a Cataluña, sin que se salvaguarde el </w:t>
      </w:r>
      <w:r w:rsidRPr="00A90898">
        <w:rPr>
          <w:i/>
        </w:rPr>
        <w:t>ius legationis</w:t>
      </w:r>
      <w:r>
        <w:t xml:space="preserve"> reservado al Estado. Este inciso no es sin embargo inconstitucional, toda vez que la expresión “los intereses del país”, permite ser interpretada como referida a la Comunidad Autónoma, en cuanto entidad territorial no dotada de subjetividad internacional, cuyos intereses en su proyección exterior estarán ligados, como queda dicho, al desempeño de sus competencias y respetando siempre la competencia del Estado en materia de relaciones exteriores (art. 193 EAC).</w:t>
      </w:r>
    </w:p>
    <w:p w:rsidR="00A90898" w:rsidRDefault="00A90898" w:rsidP="00A90898">
      <w:pPr>
        <w:pStyle w:val="TextoNormal"/>
      </w:pPr>
    </w:p>
    <w:p w:rsidR="00A90898" w:rsidRDefault="00A90898" w:rsidP="00A90898">
      <w:pPr>
        <w:pStyle w:val="TextoNormal"/>
      </w:pPr>
      <w:r>
        <w:t>No se estima tampoco que sea inconstitucional la referencia al “conjunto de los intereses de Cataluña” del artículo 33.1, que también se cuestiona de manera específica en el recurso, dada la vinculación ya reconocida por este Tribunal entre intereses y competencias de las Comunidades Autónomas en el ámbito de la actuación exterior. Tampoco es inconstitucional dicho precepto por no hacer referencia a la legislación estatal en la materia, ya que hemos declarado que no es necesaria para la constitucionalidad de las leyes autonómicas la inclusión de cláusulas de salvaguardia de las competencias estatales; en todo caso, la acción exterior de la Generalitat encuentra su regulación en el Estatuto de Autonomía de Cataluña, cuyo artículo 193 deja a salvo las competencias del Estado, como también hemos señalado. No es preciso por ello declarar que la Ley 16/2014 en su conjunto y en particular los preceptos ahora examinados, deban aplicarse e interpretarse en el marco estatuario y constitucional, sin perjuicio, por tanto, de la legislación estatal dictada en ejercicio de la competencia exclusiva del art. 149.1.3 CE.</w:t>
      </w:r>
    </w:p>
    <w:p w:rsidR="00A90898" w:rsidRDefault="00A90898" w:rsidP="00A90898">
      <w:pPr>
        <w:pStyle w:val="TextoNormal"/>
      </w:pPr>
    </w:p>
    <w:p w:rsidR="00A90898" w:rsidRDefault="00A90898" w:rsidP="00A90898">
      <w:pPr>
        <w:pStyle w:val="TextoNormal"/>
      </w:pPr>
      <w:r w:rsidRPr="00A90898">
        <w:rPr>
          <w:rStyle w:val="NumeroAFNegritaCaracter"/>
        </w:rPr>
        <w:t>11</w:t>
      </w:r>
      <w:r>
        <w:t>. Por último, se ha de analizar la impugnación de los apartados i), j), k) y l) del art. 2 de la Ley 16/2014 en relación con los arts. 34 a 38 relativos, todos ellos, a la denominada “Diplomacia pública de Cataluña”; expresión que, según el recurso, alude a las relaciones diplomáticas entre Estados y por ello invade la competencia estatal del art. 149.1.3 CE.</w:t>
      </w:r>
    </w:p>
    <w:p w:rsidR="00A90898" w:rsidRDefault="00A90898" w:rsidP="00A90898">
      <w:pPr>
        <w:pStyle w:val="TextoNormal"/>
      </w:pPr>
    </w:p>
    <w:p w:rsidR="00A90898" w:rsidRDefault="00A90898" w:rsidP="00A90898">
      <w:pPr>
        <w:pStyle w:val="TextoNormal"/>
      </w:pPr>
      <w:r>
        <w:t>El tenor de las definiciones cuestionadas del art. 2 de la Ley 16/2014 es el siguiente:</w:t>
      </w:r>
    </w:p>
    <w:p w:rsidR="00A90898" w:rsidRDefault="00A90898" w:rsidP="00A90898">
      <w:pPr>
        <w:pStyle w:val="TextoNormal"/>
      </w:pPr>
    </w:p>
    <w:p w:rsidR="00A90898" w:rsidRDefault="00A90898" w:rsidP="00A90898">
      <w:pPr>
        <w:pStyle w:val="TextoNormal"/>
      </w:pPr>
      <w:r>
        <w:t>“i) Diplomacia pública de Cataluña: cualquier actuación de un agente público o privado que tenga una incidencia efectiva y positiva en la opinión pública exterior con el objetivo de potenciar la imagen, la influencia y el prestigio de Cataluña en el exterior.</w:t>
      </w:r>
    </w:p>
    <w:p w:rsidR="00A90898" w:rsidRDefault="00A90898" w:rsidP="00A90898">
      <w:pPr>
        <w:pStyle w:val="TextoNormal"/>
      </w:pPr>
    </w:p>
    <w:p w:rsidR="00A90898" w:rsidRDefault="00A90898" w:rsidP="00A90898">
      <w:pPr>
        <w:pStyle w:val="TextoNormal"/>
      </w:pPr>
      <w:r>
        <w:t>j) Diplomacia cultural de Cataluña: las actividades de diplomacia pública de Cataluña que consisten en la proyección internacional de la creación, la industria y la lengua catalanas, en el apoyo a la formación exterior de los creadores y en la participación en organizaciones culturales internacionales, de acuerdo con la normativa vigente.</w:t>
      </w:r>
    </w:p>
    <w:p w:rsidR="00A90898" w:rsidRDefault="00A90898" w:rsidP="00A90898">
      <w:pPr>
        <w:pStyle w:val="TextoNormal"/>
      </w:pPr>
    </w:p>
    <w:p w:rsidR="00A90898" w:rsidRDefault="00A90898" w:rsidP="00A90898">
      <w:pPr>
        <w:pStyle w:val="TextoNormal"/>
      </w:pPr>
      <w:r>
        <w:t>k) Diplomacia económica de Cataluña: las actividades de diplomacia pública de Cataluña dirigidas a impulsar el reconocimiento internacional de Cataluña como destino de inversiones y origen de exportaciones de primer nivel, país turístico de referencia y centro de prestigio en el ámbito de la investigación y de la innovación.</w:t>
      </w:r>
    </w:p>
    <w:p w:rsidR="00A90898" w:rsidRDefault="00A90898" w:rsidP="00A90898">
      <w:pPr>
        <w:pStyle w:val="TextoNormal"/>
      </w:pPr>
    </w:p>
    <w:p w:rsidR="00A90898" w:rsidRDefault="00A90898" w:rsidP="00A90898">
      <w:pPr>
        <w:pStyle w:val="TextoNormal"/>
      </w:pPr>
      <w:r>
        <w:t>l) Diplomacia deportiva de Cataluña: las actividades de diplomacia pública de Cataluña dirigidas a impulsar el reconocimiento internacional del deporte catalán.”</w:t>
      </w:r>
    </w:p>
    <w:p w:rsidR="00A90898" w:rsidRDefault="00A90898" w:rsidP="00A90898">
      <w:pPr>
        <w:pStyle w:val="TextoNormal"/>
      </w:pPr>
    </w:p>
    <w:p w:rsidR="00A90898" w:rsidRDefault="00A90898" w:rsidP="00A90898">
      <w:pPr>
        <w:pStyle w:val="TextoNormal"/>
      </w:pPr>
      <w:r>
        <w:t>Por su parte el art. 38 de la Ley16/2014 establece:</w:t>
      </w:r>
    </w:p>
    <w:p w:rsidR="00A90898" w:rsidRDefault="00A90898" w:rsidP="00A90898">
      <w:pPr>
        <w:pStyle w:val="TextoNormal"/>
      </w:pPr>
    </w:p>
    <w:p w:rsidR="00A90898" w:rsidRDefault="00A90898" w:rsidP="00A90898">
      <w:pPr>
        <w:pStyle w:val="TextoNormal"/>
      </w:pPr>
      <w:r>
        <w:t>“1. El Gobierno, a través del departamento o departamentos competentes en materia de acción exterior y de relaciones con la Unión Europea, dirige y coordina las actividades de diplomacia pública que lleva a cabo la Administración de la Generalidad, para garantizar la adecuación y coherencia de dichas actividades con el Plan estratégico de acción exterior y de relaciones con la Unión Europea.</w:t>
      </w:r>
    </w:p>
    <w:p w:rsidR="00A90898" w:rsidRDefault="00A90898" w:rsidP="00A90898">
      <w:pPr>
        <w:pStyle w:val="TextoNormal"/>
      </w:pPr>
    </w:p>
    <w:p w:rsidR="00A90898" w:rsidRDefault="00A90898" w:rsidP="00A90898">
      <w:pPr>
        <w:pStyle w:val="TextoNormal"/>
      </w:pPr>
      <w:r>
        <w:t>2. El Gobierno debe fomentar la creación de una estructura de espacios de diálogo adecuados para permitir la participación de la sociedad civil en la diplomacia pública de Cataluña.”</w:t>
      </w:r>
    </w:p>
    <w:p w:rsidR="00A90898" w:rsidRDefault="00A90898" w:rsidP="00A90898">
      <w:pPr>
        <w:pStyle w:val="TextoNormal"/>
      </w:pPr>
    </w:p>
    <w:p w:rsidR="00A90898" w:rsidRDefault="00A90898" w:rsidP="00A90898">
      <w:pPr>
        <w:pStyle w:val="TextoNormal"/>
      </w:pPr>
      <w:r>
        <w:t>A la vista de los preceptos transcritos, la llamada en la Ley 16/2014 “diplomacia pública” se configura como un conjunto de actuaciones con incidencia exterior, no vinculadas al ejercicio de competencias autonómicas, que dirige y coordina la Generalitat y cuyos destinatarios pueden perfectamente ser los Estados u organizaciones internacionales como sujetos de Derecho internacional, a tenor de las finalidades que persigue.</w:t>
      </w:r>
    </w:p>
    <w:p w:rsidR="00A90898" w:rsidRDefault="00A90898" w:rsidP="00A90898">
      <w:pPr>
        <w:pStyle w:val="TextoNormal"/>
      </w:pPr>
    </w:p>
    <w:p w:rsidR="00A90898" w:rsidRDefault="00A90898" w:rsidP="00A90898">
      <w:pPr>
        <w:pStyle w:val="TextoNormal"/>
      </w:pPr>
      <w:r>
        <w:t>Así las cosas, las definiciones de “diplomacia” recogidas en los apartados i), j), k) y l) del artículo 2 y la regulación contenida en el art. 38 de la Ley 16/2014 son inconstitucionales y nulas, puesto que configuran una actuación exterior de la Generalitat que no se vincula a sus competencias, asume como destinatarios a sujetos del Derecho internacional y se prevé dirigida y coordinada por la propia Generalitat, sin respetar la competencia exclusiva del Estado en materia de relaciones internacionales del art. 149.1.3 CE, ni las funciones de dirección de la política exterior que, según el art. 97 CE, corresponden al Estado.</w:t>
      </w:r>
    </w:p>
    <w:p w:rsidR="00A90898" w:rsidRDefault="00A90898" w:rsidP="00A90898">
      <w:pPr>
        <w:pStyle w:val="TextoNormal"/>
      </w:pPr>
    </w:p>
    <w:p w:rsidR="00A90898" w:rsidRDefault="00A90898" w:rsidP="00A90898">
      <w:pPr>
        <w:pStyle w:val="TextoNormal"/>
      </w:pPr>
      <w:r>
        <w:t xml:space="preserve">Es cierto, como dice el representante del Parlamento de Cataluña, que el art. 200 EAC prevé la promoción por la Generalitat de “la proyección internacional de las organizaciones sociales, culturales y deportivas de Cataluña y, si procede, su afiliación a las entidades afines de ámbito internacional”. Sin embargo, este precepto estatutario no ampara la “diplomacia pública” que la Ley 16/2014 define, no mencionada en el Estatuto de Autonomía de Cataluña, ni la dirección de la misma a la que se refiere el art. 38 de la Ley 16/2014. Si el art. 200 EAC fue considerado conforme a la Constitución en la STC 31/2010, FJ 129, fue justamente por entender este Tribunal que la expresión “si procede”, que el precepto estatutario utiliza, supone la supeditación de la acción de la Generalitat a lo que se disponga tanto en la normativa reguladora de las entidades de ámbito internacional a las que se pretenda afiliarse como a la que dicte el Estado en el ejercicio de la competencia exclusiva del art. 149.1.3 CE. No siendo Cataluña sujeto de Derecho internacional, no cabe pretender que esta Comunidad Autónoma se arrogue la capacidad de establecer relaciones diplomáticas, reservadas al Estado </w:t>
      </w:r>
      <w:r w:rsidRPr="00A90898">
        <w:rPr>
          <w:i/>
        </w:rPr>
        <w:t>ex</w:t>
      </w:r>
      <w:r>
        <w:t xml:space="preserve"> art. 149.1.3 CE. Debe, en consecuencia, declararse la inconstitucionalidad y nulidad de los apartados i), j), k) y l) del artículo 2 y del art. 38 de la Ley 16/2014, como ya se ha señalado. Por la misma razón, la rúbrica del capítulo I del título IV de la Ley 16/2014 (“Diplomacia pública de Cataluña”), en el que se incardinan los artículos 34 a 38, deviene inconstitucional y nula, al serlo la definición del concepto que da nombre a dicho capítulo.</w:t>
      </w:r>
    </w:p>
    <w:p w:rsidR="00A90898" w:rsidRDefault="00A90898" w:rsidP="00A90898">
      <w:pPr>
        <w:pStyle w:val="TextoNormal"/>
      </w:pPr>
    </w:p>
    <w:p w:rsidR="00A90898" w:rsidRDefault="00A90898" w:rsidP="00A90898">
      <w:pPr>
        <w:pStyle w:val="TextoNormal"/>
      </w:pPr>
      <w:r>
        <w:t>En cuanto a los artículos 34 a 37, el propio Abogado del Estado reconoce en el recurso que estos preceptos tienen carácter declarativo e incluso meramente “programático”; los impugna por considerar que vinculan las actuaciones que enuncian a la acción exterior de la Generalitat en el marco de la “diplomacia pública” catalana, destacando en especial el artículo 37.3, según el cual “Para el posicionamiento de Cataluña en el exterior y para la proyección internacional de la marca Cataluña, el Gobierno [de la Generalitat, se entiende] debe aprovechar la implantación y presencia de la marca Barcelona, especialmente atendiendo al espacio central y pionero que ejerce la capital dentro de la región euromediterránea, en cuanto sede de la Unión por el Mediterráneo”.</w:t>
      </w:r>
    </w:p>
    <w:p w:rsidR="00A90898" w:rsidRDefault="00A90898" w:rsidP="00A90898">
      <w:pPr>
        <w:pStyle w:val="TextoNormal"/>
      </w:pPr>
    </w:p>
    <w:p w:rsidR="00A90898" w:rsidRDefault="00A90898" w:rsidP="00A90898">
      <w:pPr>
        <w:pStyle w:val="TextoNormal"/>
      </w:pPr>
      <w:r>
        <w:t>Tal queja no puede ser atendida, una vez depurada la tacha de inconstitucionalidad que afecta a la rúbrica del capítulo en el que se insertan dichos preceptos, al no utilizar estos la expresión “diplomacia pública” y en cuanto resulta conforme con la reserva competencial del art. 149.1.3 CE, según ha quedado expuesto, la existencia de una acción exterior de Cataluña para la defensa de sus intereses derivados del ejercicio de sus competencias y respetando la competencia del Estado en materia de relaciones internacionales (art. 193 EAC y STC 31/2010, FFJJ 125 y 126). Por ello mismo, debe descartarse en particular la pretendida inconstitucionalidad del artículo 37.3, sobre el que el Abogado del Estado llama especialmente la atención, pues siendo indiscutible que la Generalitat puede llevar a cabo actividades de promoción y proyección exterior, con los condicionamientos indicados, la proyección internacional a la que se refiere el precepto de la “marca Cataluña”, aprovechando la implantación de la “marca Barcelona”, no comporta el reconocimiento a Cataluña de la condición de sujeto de Derecho internacional (cualidad de la que carecen los entes territoriales dotados de autonomía política, como ya hemos tenido ocasión de recordar) ni puede en ningún caso perturbar o perjudicar el ejercicio de la competencia en materia de política exterior que corresponde en exclusiva al Estado (art. 149.1.3 CE), bajo la dirección del Gobierno de la Nación (art. 97 CE).</w:t>
      </w:r>
    </w:p>
    <w:p w:rsidR="00A90898" w:rsidRDefault="00A90898" w:rsidP="00A90898">
      <w:pPr>
        <w:pStyle w:val="TextoNormal"/>
      </w:pPr>
    </w:p>
    <w:p w:rsidR="00A90898" w:rsidRDefault="00A90898" w:rsidP="00A90898">
      <w:pPr>
        <w:pStyle w:val="TextoNormalCentrado"/>
        <w:keepNext/>
      </w:pPr>
      <w:r>
        <w:t>FALLO</w:t>
      </w:r>
    </w:p>
    <w:p w:rsidR="00A90898" w:rsidRDefault="00A90898" w:rsidP="00A90898">
      <w:pPr>
        <w:pStyle w:val="TextoNormalCentrado"/>
        <w:keepNext/>
      </w:pPr>
    </w:p>
    <w:p w:rsidR="00A90898" w:rsidRDefault="00A90898" w:rsidP="00A90898">
      <w:pPr>
        <w:pStyle w:val="TextoNormal"/>
      </w:pPr>
      <w:r>
        <w:t>En atención a todo lo expuesto, el Tribunal Constitucional, POR LA AUTORIDAD QUE LE CONFIERE LA CONSTITUCIÓN DE LA NACIÓN ESPAÑOLA,</w:t>
      </w:r>
    </w:p>
    <w:p w:rsidR="00A90898" w:rsidRDefault="00A90898" w:rsidP="00A90898">
      <w:pPr>
        <w:pStyle w:val="TextoNormal"/>
      </w:pPr>
    </w:p>
    <w:p w:rsidR="00A90898" w:rsidRDefault="00A90898" w:rsidP="00A90898">
      <w:pPr>
        <w:pStyle w:val="TextoNormalCentrado"/>
        <w:keepNext/>
      </w:pPr>
      <w:r>
        <w:t>Ha decidido</w:t>
      </w:r>
    </w:p>
    <w:p w:rsidR="00A90898" w:rsidRDefault="00A90898" w:rsidP="00A90898">
      <w:pPr>
        <w:pStyle w:val="TextoNormalCentrado"/>
        <w:keepNext/>
      </w:pPr>
    </w:p>
    <w:p w:rsidR="00A90898" w:rsidRDefault="00A90898" w:rsidP="00A90898">
      <w:pPr>
        <w:pStyle w:val="TextoNormal"/>
      </w:pPr>
      <w:r>
        <w:t>Estimar parcialmente el recurso de inconstitucionalidad núm. 1442-2015, interpuesto por el Presidente del Gobierno contra los arts. 1 a 9, 26 y 29 a 38 de la Ley del Parlamento de Cataluña 16/2014, de 4 de diciembre, de acción exterior y de relaciones con la Unión Europea y, en consecuencia:</w:t>
      </w:r>
    </w:p>
    <w:p w:rsidR="00A90898" w:rsidRDefault="00A90898" w:rsidP="00A90898">
      <w:pPr>
        <w:pStyle w:val="TextoNormal"/>
      </w:pPr>
    </w:p>
    <w:p w:rsidR="00A90898" w:rsidRDefault="00A90898" w:rsidP="00A90898">
      <w:pPr>
        <w:pStyle w:val="TextoNormal"/>
      </w:pPr>
      <w:r>
        <w:t>1º Declarar inconstitucionales y, por lo tanto, nulos: los apartados i), j), k) y l) del art. 2; el inciso “el reconocimiento del derecho a decidir de los pueblos”, contenido en el apartado e) del art. 3 de la Ley 16/2014; el art. 26.1 e); la expresión “Diplomacia pública de Cataluña” que rubrica el capítulo I del título IV y el artículo 38.</w:t>
      </w:r>
    </w:p>
    <w:p w:rsidR="00A90898" w:rsidRDefault="00A90898" w:rsidP="00A90898">
      <w:pPr>
        <w:pStyle w:val="TextoNormal"/>
      </w:pPr>
    </w:p>
    <w:p w:rsidR="00A90898" w:rsidRDefault="00A90898" w:rsidP="00A90898">
      <w:pPr>
        <w:pStyle w:val="TextoNormal"/>
      </w:pPr>
      <w:r>
        <w:t>2º Declarar que no son inconstitucionales, siempre que se interpreten en los términos establecidos en el fundamento jurídico que se indica, los siguientes preceptos: los arts. 1, 3 y 4 en cuanto a la referencia que se contiene en los mismos a “la acción exterior de Cataluña”, así como el último inciso del párrafo primero del artículo 1.1, la expresión “actor internacional activo” que se contiene en el artículo 1.1 b), y el artículo 7.1 (fundamento jurídico 4); los apartados a) y d) del artículo 2 y el artículo 7.2 e) (fundamento jurídico 5); y el inciso “como un actor internacional comprometido, solidario y responsable” del apartado a) del artículo 4 (fundamento jurídico 7).</w:t>
      </w:r>
    </w:p>
    <w:p w:rsidR="00A90898" w:rsidRDefault="00A90898" w:rsidP="00A90898">
      <w:pPr>
        <w:pStyle w:val="TextoNormal"/>
      </w:pPr>
    </w:p>
    <w:p w:rsidR="00A90898" w:rsidRDefault="00A90898" w:rsidP="00A90898">
      <w:pPr>
        <w:pStyle w:val="TextoNormal"/>
      </w:pPr>
      <w:r>
        <w:t>3º Desestimar el recurso en todo lo demás.</w:t>
      </w:r>
    </w:p>
    <w:p w:rsidR="00A90898" w:rsidRDefault="00A90898" w:rsidP="00A90898">
      <w:pPr>
        <w:pStyle w:val="TextoNormal"/>
      </w:pPr>
    </w:p>
    <w:p w:rsidR="00A90898" w:rsidRDefault="00A90898" w:rsidP="00A90898">
      <w:pPr>
        <w:pStyle w:val="TextoNormal"/>
      </w:pPr>
      <w:r>
        <w:t>Publíquese esta Sentencia en el “Boletín Oficial del Estado”.</w:t>
      </w:r>
    </w:p>
    <w:p w:rsidR="00A90898" w:rsidRDefault="00A90898" w:rsidP="00A90898">
      <w:pPr>
        <w:pStyle w:val="TextoNormal"/>
      </w:pPr>
      <w:r>
        <w:t>Dada en Madrid, a veintidós de diciembre de dos mil dieciséis.</w:t>
      </w:r>
    </w:p>
    <w:p w:rsidR="00A90898" w:rsidRDefault="00A90898" w:rsidP="00A90898">
      <w:pPr>
        <w:pStyle w:val="ParrafoNormal"/>
      </w:pPr>
    </w:p>
    <w:p w:rsidR="00A90898" w:rsidRDefault="00A90898" w:rsidP="00A90898">
      <w:pPr>
        <w:pStyle w:val="TextoNormalNegritaCentrado"/>
        <w:keepNext/>
      </w:pPr>
      <w:r>
        <w:t>Voto particular que formula la Magistrada doña Adela Asua Batarrita a la Sentencia dictada en el recurso de inconstitucionalidad núm. 1442-2015, al que se adhiere el Magistrado don Fernando Valdés Dal-Ré.</w:t>
      </w:r>
    </w:p>
    <w:p w:rsidR="00A90898" w:rsidRDefault="00A90898" w:rsidP="00A90898">
      <w:pPr>
        <w:pStyle w:val="TextoNormalNegritaCentrado"/>
        <w:keepNext/>
      </w:pPr>
    </w:p>
    <w:p w:rsidR="00A90898" w:rsidRDefault="00A90898" w:rsidP="00A90898">
      <w:pPr>
        <w:pStyle w:val="TextoNormal"/>
      </w:pPr>
      <w:r>
        <w:t>En el ejercicio de la facultad que me confiere el art. 90.2 de la Ley Orgánica del Tribunal Constitucional, formulo el presente Voto concurrente para exponer las razones de mi discrepancia con la argumentación utilizada en el fundamento jurídico 11 para declarar la inconstitucionalidad de los preceptos allí examinados, si bien muestro mi acuerdo con el conjunto de la Sentencia y con el fallo, conforme expuse en la deliberación correspondiente en el Pleno.</w:t>
      </w:r>
    </w:p>
    <w:p w:rsidR="00A90898" w:rsidRDefault="00A90898" w:rsidP="00A90898">
      <w:pPr>
        <w:pStyle w:val="TextoNormal"/>
      </w:pPr>
    </w:p>
    <w:p w:rsidR="00A90898" w:rsidRDefault="00A90898" w:rsidP="00A90898">
      <w:pPr>
        <w:pStyle w:val="TextoNormal"/>
      </w:pPr>
      <w:r>
        <w:t>La coherencia del razonamiento que conduce a la decisión sobre la inconstitucionalidad de una ley constituye presupuesto de la legitimidad de nuestro quehacer jurisdiccional, lo que abona la importancia de las deliberaciones y de la búsqueda de consensos sobre el mejor argumento que pueda compartirse, más allá de meros acuerdos o convicciones sobre el sentido del fallo. Por ello entiendo que la explicación que aporta un voto concurrente favorece la práctica deliberativa en el seno del Tribunal, en sintonía con el pleno respeto a la opinión de los magistrados que lo componen.</w:t>
      </w:r>
    </w:p>
    <w:p w:rsidR="00A90898" w:rsidRDefault="00A90898" w:rsidP="00A90898">
      <w:pPr>
        <w:pStyle w:val="TextoNormal"/>
      </w:pPr>
    </w:p>
    <w:p w:rsidR="00A90898" w:rsidRDefault="00A90898" w:rsidP="00A90898">
      <w:pPr>
        <w:pStyle w:val="TextoNormal"/>
      </w:pPr>
      <w:r>
        <w:t>Mi explicación se ciñe estrictamente al fundamento jurídico 11 en lo que concierne a la explicación por la que se considera inconstitucional y nula la expresión “diplomacia pública de Cataluña” tanto de la rúbrica del capítulo I del título IV de la Ley 16/2014, como las cuatro definiciones (diplomacia pública, cultural, económica y deportiva de Cataluña) que se contienen en los apartados i), j), k) y l) del artículo 2.</w:t>
      </w:r>
    </w:p>
    <w:p w:rsidR="00A90898" w:rsidRDefault="00A90898" w:rsidP="00A90898">
      <w:pPr>
        <w:pStyle w:val="TextoNormal"/>
      </w:pPr>
    </w:p>
    <w:p w:rsidR="00A90898" w:rsidRDefault="00A90898" w:rsidP="00A90898">
      <w:pPr>
        <w:pStyle w:val="TextoNormal"/>
      </w:pPr>
      <w:r>
        <w:t xml:space="preserve">Entiendo que la utilización de la expresión “diplomacia pública de Cataluña” resulta improcedente más allá de equívoca, porque si bien lo que se regula bajo tal epígrafe no se corresponde con el concepto de diplomacia de los Estados en su sentido estricto según la doctrina internacional, el legislador autonómico no tiene competencia para incidir en la definición o alcance de un concepto que remite a la competencia exclusiva estatal </w:t>
      </w:r>
      <w:r w:rsidRPr="00A90898">
        <w:rPr>
          <w:i/>
        </w:rPr>
        <w:t>ex</w:t>
      </w:r>
      <w:r>
        <w:t xml:space="preserve"> art. 149.1.3 CE, en lo relativo al servicio de diplomacia exterior. Por ello, aun reconociendo el riesgo de incurrir en un argumento de mero nominalismo, puedo compartir la declaración de inconstitucionalidad de la expresión “diplomacia pública” en la Ley impugnada, y la procedencia de la expulsión de dicho término del texto legislativo en cuestión. Lo que no puedo compartir es la concreta argumentación que se ofrece en la Sentencia para afirmar la inconstitucionalidad de los apartados i), j), k) y l) del artículo 2, que en realidad consiste en dos afirmaciones, lo que contrasta con los razonamientos más elaborados y matizados utilizados en los fundamentos jurídicos precedentes. Así, se afirma en el fundamento jurídico 11 que “a la vista de los preceptos transcritos, la llamada en la Ley 16/2014 ‘diplomacia pública’ se configura como un conjunto de actuaciones con incidencia exterior, no vinculadas al ejercicio de competencias autonómicas, que dirige y coordina la Generalidad y cuyos destinatarios pueden perfectamente ser los Estados u organizaciones internacionales como sujetos de Derecho Internacional, a tenor de las finalidades que persigue”. En mi opinión, ambas afirmaciones no se corresponden con el contenido de los apartados impugnados y no puede fundamentarse en ellas la declaración de su inconstitucionalidad. Analizaré por separado ambas afirmaciones.</w:t>
      </w:r>
    </w:p>
    <w:p w:rsidR="00A90898" w:rsidRDefault="00A90898" w:rsidP="00A90898">
      <w:pPr>
        <w:pStyle w:val="TextoNormal"/>
      </w:pPr>
    </w:p>
    <w:p w:rsidR="00A90898" w:rsidRDefault="00A90898" w:rsidP="00A90898">
      <w:pPr>
        <w:pStyle w:val="TextoNormal"/>
      </w:pPr>
      <w:r>
        <w:t>En primer lugar, en cuanto al artículo 2 referido, dedicado a ofrecer las definiciones previas sobre cómo deben entenderse los términos usados “a efectos de la presente ley”, la lectura del concreto texto del apartado i) muestra que bajo el flamante título de “diplomacia exterior” se acoge, literalmente, “cualquier actuación de un agente público o privado que tenga una incidencia efectiva y positiva en la opinión pública exterior con el objetivo de potenciar la imagen, la influencia y el prestigio de Cataluña en el exterior.” Potenciación de la imagen, incidencia en la opinión pública, en definitiva simples manifestaciones de lo que se conoce como paradiplomacia, actuaciones que a lo largo de la propia Sentencia, y en particular en el fundamento jurídico 10, se reconocen insertas en las competencias de acción exterior de la Generalitat, art. 193 del Estatuto de Autonomía de Cataluña: (EAC) en cuanto actor internacional de carácter subestatal. Idénticas observaciones son de aplicación a las definiciones contempladas en los apartados posteriores (letras j, k y l) relativos a la actuaciones de “diplomacia pública catalana”, en relación a la cultura, la economía y el deporte, que remiten a actuaciones insertas en las competencias descritas en el art. 200 EAC.</w:t>
      </w:r>
    </w:p>
    <w:p w:rsidR="00A90898" w:rsidRDefault="00A90898" w:rsidP="00A90898">
      <w:pPr>
        <w:pStyle w:val="TextoNormal"/>
      </w:pPr>
    </w:p>
    <w:p w:rsidR="00A90898" w:rsidRDefault="00A90898" w:rsidP="00A90898">
      <w:pPr>
        <w:pStyle w:val="TextoNormal"/>
      </w:pPr>
      <w:r>
        <w:t>En segundo lugar, el hecho de que la ley configure la “diplomacia pública catalana” como un conjunto de actuaciones con incidencia exterior no implica por sí mismo inconstitucionalidad alguna, como se desprende de lo que se explica en los fundamentos previos de la misma Sentencia. No es congruente afirmar en el fundamento jurídico 11 que la inconstitucionalidad provendría de que los destinatarios de esas actuaciones “pueden perfectamente ser” sujetos de Derecho internacional, esto es, de una mera posibilidad.</w:t>
      </w:r>
    </w:p>
    <w:p w:rsidR="00A90898" w:rsidRDefault="00A90898" w:rsidP="00A90898">
      <w:pPr>
        <w:pStyle w:val="TextoNormal"/>
      </w:pPr>
    </w:p>
    <w:p w:rsidR="00A90898" w:rsidRDefault="00A90898" w:rsidP="00A90898">
      <w:pPr>
        <w:pStyle w:val="TextoNormal"/>
      </w:pPr>
      <w:r>
        <w:t>A la vista de la concepción más abierta sobre la acción exterior de las Comunidades Autónomas que se plasma en el resto de la Sentencia sorprende que en este punto se haya sido tan drástico, y que no se haya apreciado que los preceptos declarados inconstitucionales solo pretenden definir el tipo de relaciones que la Generalitat de Cataluña puede dirigir y coordinar como “actor internacional activo”. Recordemos a este respecto que, como afirma la Sentencia, “[n]o cabe duda que la Generalidad puede llevar a cabo actividades con proyección exterior, derivadas de su competencia y para la promoción de sus intereses, con respeto siempre a la competencia del Estado en materia de relaciones exteriores (art. 193 EAC y STC 31/2010, FFJJ 125 y 126)” (FJ 4).</w:t>
      </w:r>
    </w:p>
    <w:p w:rsidR="00A90898" w:rsidRDefault="00A90898" w:rsidP="00A90898">
      <w:pPr>
        <w:pStyle w:val="TextoNormal"/>
      </w:pPr>
    </w:p>
    <w:p w:rsidR="00A90898" w:rsidRDefault="00A90898" w:rsidP="00A90898">
      <w:pPr>
        <w:pStyle w:val="TextoNormal"/>
      </w:pPr>
      <w:r>
        <w:t>En este concreto punto la Sentencia parece ignorar el estado de la cuestión sobre la acción exterior de los entes subestatales. Esa acción exterior se conoce en el ámbito de la ciencia política con el neologismo de “paradiplomacia” que se refiere a la acción exterior de sujetos que no tienen la condición de Estados: entes subestatales, organizaciones no gubernamentales, gobiernos locales, las diferentes iglesias, etc. Lo mismo que se habla de una “diplomacia” parlamentaria, una “diplomacia” de altos tribunales y tribunales constitucionales, etc., aunque propiamente no son sino manifestaciones de “paradiplomacia”.</w:t>
      </w:r>
    </w:p>
    <w:p w:rsidR="00A90898" w:rsidRDefault="00A90898" w:rsidP="00A90898">
      <w:pPr>
        <w:pStyle w:val="TextoNormal"/>
      </w:pPr>
    </w:p>
    <w:p w:rsidR="00A90898" w:rsidRDefault="00A90898" w:rsidP="00A90898">
      <w:pPr>
        <w:pStyle w:val="TextoNormal"/>
      </w:pPr>
      <w:r>
        <w:t xml:space="preserve">La Sentencia tampoco es en este punto coherente con nuestra doctrina constitucional. Es interesante un fragmento de la STC 31/2010 que se cita, precisamente, en el fundamento jurídico 5 de la propia Sentencia: si la misma STC 31/2010, FJ 87, consideró conforme con la Constitución la posibilidad de suscribir la Generalitat acuerdos en materia de juventud con “entidades internacionales”, fue por no ser éstas, en sentido estricto, sujetos de Derecho internacional público, “sino expresión de la diversidad y plasticidad de las relaciones que pueden mantener actualmente otros entes en la esfera internacional sin que por ello adquieran aquella naturaleza, de lo que se deriva que el precepto estatutario impugnado no contiene previsiones relativas al ejercicio del </w:t>
      </w:r>
      <w:r w:rsidRPr="00A90898">
        <w:rPr>
          <w:i/>
        </w:rPr>
        <w:t>ius contrahendi</w:t>
      </w:r>
      <w:r>
        <w:t xml:space="preserve">”. Pues bien, la paradiplomacia que subyace a los preceptos impugnados no es más que esa “diversidad y plasticidad de las relaciones que pueden mantener actualmente otros entes [que son sujetos de Derecho internacional público] en la esfera internacional sin que por ello adquieran aquella naturaleza”. Al desarrollo de ese tipo de relaciones se refiere la Ley impugnada cuando califica a Cataluña de “actor internacional activo”: un tipo de relaciones que no invaden el ámbito de actuación constitucionalmente reservado al Estado. No es la clase de actuaciones cuya relación se incardina bajo el </w:t>
      </w:r>
      <w:r w:rsidRPr="00A90898">
        <w:rPr>
          <w:i/>
        </w:rPr>
        <w:t>nomen</w:t>
      </w:r>
      <w:r>
        <w:t xml:space="preserve"> “diplomacia pública” lo que resulta inconstitucional, sino la utilización impropia de un concepto jurídicamente acuñado como materia de competencia exclusiva del Estado, por más que se haya transformado su contenido para dotar de mayor resonancia a la denominación de lo que en sí mismo solo puede calificarse de paradiplomacia.</w:t>
      </w:r>
    </w:p>
    <w:p w:rsidR="00A90898" w:rsidRDefault="00A90898" w:rsidP="00A90898">
      <w:pPr>
        <w:pStyle w:val="TextoNormal"/>
      </w:pPr>
    </w:p>
    <w:p w:rsidR="00A90898" w:rsidRDefault="00A90898" w:rsidP="00A90898">
      <w:pPr>
        <w:pStyle w:val="TextoNormal"/>
      </w:pPr>
      <w:r>
        <w:t>En definitiva, las aseveraciones en que se funda la declaración de inconstitucionalidad y nulidad de los mencionados preceptos abundan en una concepción reduccionista de la acción exterior de las Comunidades Autónomas que no casa con la concepción más aperturista que inspira la fundamentación del resto de la Sentencia.</w:t>
      </w:r>
    </w:p>
    <w:p w:rsidR="00A90898" w:rsidRDefault="00A90898" w:rsidP="00A90898">
      <w:pPr>
        <w:pStyle w:val="TextoNormal"/>
      </w:pPr>
    </w:p>
    <w:p w:rsidR="00A90898" w:rsidRDefault="00A90898" w:rsidP="00A90898">
      <w:pPr>
        <w:pStyle w:val="TextoNormal"/>
      </w:pPr>
      <w:r>
        <w:t>Madrid, a veintidós de diciembre de dos mil dieciséis.</w:t>
      </w:r>
    </w:p>
    <w:p w:rsidR="00A90898" w:rsidRDefault="00A90898" w:rsidP="00A90898">
      <w:pPr>
        <w:pStyle w:val="TextoNormal"/>
      </w:pPr>
    </w:p>
    <w:p w:rsidR="00A90898" w:rsidRDefault="00A90898" w:rsidP="00A90898">
      <w:pPr>
        <w:pStyle w:val="TextoNormalNegritaCentrado"/>
        <w:keepNext/>
      </w:pPr>
      <w:r>
        <w:t>Voto particular que formula el Magistrado don Juan Antonio Xiol Ríos a la Sentencia dictada en el recurso de inconstitucionalidad núm. 1442-2015.</w:t>
      </w:r>
    </w:p>
    <w:p w:rsidR="00A90898" w:rsidRDefault="00A90898" w:rsidP="00A90898">
      <w:pPr>
        <w:pStyle w:val="TextoNormalNegritaCentrado"/>
        <w:keepNext/>
      </w:pPr>
    </w:p>
    <w:p w:rsidR="00A90898" w:rsidRDefault="00A90898" w:rsidP="00A90898">
      <w:pPr>
        <w:pStyle w:val="TextoNormal"/>
      </w:pPr>
      <w:r>
        <w:t>Con el máximo respeto a la opinión de mis compañeros de Pleno, en la que se funda la Sentencia, aunque he votado en favor de esta, manifiesto mi discrepancia con una parte de su fundamentación jurídica y formulo este Voto concurrente por las razones que a continuación se exponen.</w:t>
      </w:r>
    </w:p>
    <w:p w:rsidR="00A90898" w:rsidRDefault="00A90898" w:rsidP="00A90898">
      <w:pPr>
        <w:pStyle w:val="TextoNormal"/>
      </w:pPr>
    </w:p>
    <w:p w:rsidR="00A90898" w:rsidRDefault="00A90898" w:rsidP="00A90898">
      <w:pPr>
        <w:pStyle w:val="TextoNormal"/>
      </w:pPr>
      <w:r>
        <w:t>1. La supuesta competencia del Estado para coordinar la acción exterior de las Comunidades Autónomas.</w:t>
      </w:r>
    </w:p>
    <w:p w:rsidR="00A90898" w:rsidRDefault="00A90898" w:rsidP="00A90898">
      <w:pPr>
        <w:pStyle w:val="TextoNormal"/>
      </w:pPr>
    </w:p>
    <w:p w:rsidR="00A90898" w:rsidRDefault="00A90898" w:rsidP="00A90898">
      <w:pPr>
        <w:pStyle w:val="TextoNormal"/>
      </w:pPr>
      <w:r>
        <w:t>La opinión de la mayoría en la que se sustenta la Sentencia se aparta, en buena medida, del criterio fundado en la existencia de una omnímoda competencia del Estado para coordinar la acción exterior de las Comunidades Autónomas, la cual subyace en la STC 85/2016, de 28 de abril y fue criticada, en su día, en mi Voto particular. Esta reorientación de la jurisprudencia constitucional, en la que quiero creer que puede haber influido aquel Voto, no es para mí sino motivo de satisfacción; revela, a mi juicio, una actitud del Tribunal más prudente y acorde con la Constitución y constituye, en último término, un nuevo motivo de estímulo para formular mis opiniones disidentes en votos particulares con el fin de aportar motivos de reflexión y discusión sobre la jurisprudencia constitucional y, cuando sea el caso, elementos para su modificación futura.</w:t>
      </w:r>
    </w:p>
    <w:p w:rsidR="00A90898" w:rsidRDefault="00A90898" w:rsidP="00A90898">
      <w:pPr>
        <w:pStyle w:val="TextoNormal"/>
      </w:pPr>
    </w:p>
    <w:p w:rsidR="00A90898" w:rsidRDefault="00A90898" w:rsidP="00A90898">
      <w:pPr>
        <w:pStyle w:val="TextoNormal"/>
      </w:pPr>
      <w:r>
        <w:t>En el Voto particular sostuve que en aquella Sentencia se realizaba una lectura premoderna del art. 149.1.3 CE, dando nueva lectura e imponiendo un giro a la jurisprudencia constitucional clásica en materia de límites a la acción exterior de las Comunidades Autónomas. En la opinión mayoritaria en que se sustenta la Sentencia puede intuirse en parte la misma concepción. Esto se deduce, fundamentalmente, del tratamiento que se da al concepto de paradiplomacia y a las relaciones institucionales con los consulados extranjeros. Sin embargo, frente a lo que sucedía en la STC 85/2016, se hace un esfuerzo notable por aceptar una interpretación conforme con la Constitución y el bloque de la constitucionalidad, que incluye el Estatuto de Autonomía de Catalunya, de los preceptos impugnados. En determinados casos en los que se declara la inconstitucionalidad hubiera sido posible, a mi juicio, aceptar una interpretación conforme con la Constitución mediante una comprensión menos extensiva de la competencia estatal contenida en el art. 149.1.3 CE. Sin embargo, la argumentación de que parte la opinión mayoritaria en que se sustenta la Sentencia no puede ser considerada como extravagante y corrige en parte el sesgo de la citada STC 85/2016.</w:t>
      </w:r>
    </w:p>
    <w:p w:rsidR="00A90898" w:rsidRDefault="00A90898" w:rsidP="00A90898">
      <w:pPr>
        <w:pStyle w:val="TextoNormal"/>
      </w:pPr>
    </w:p>
    <w:p w:rsidR="00A90898" w:rsidRDefault="00A90898" w:rsidP="00A90898">
      <w:pPr>
        <w:pStyle w:val="TextoNormal"/>
      </w:pPr>
      <w:r>
        <w:t>En algunos puntos se echa de menos en la opinión mayoritaria en que se sustenta la Sentencia, como se verá a continuación, una argumentación más precisa respecto de las razones que, en contra del principio de conservación de la norma, la llevan a entender imposible una interpretación conforme a la Constitución de los preceptos impugnados y declarados finalmente inconstitucionales cuando esa interpretación era, efectivamente, posible. La opinión mayoritaria en que se sustenta la Sentencia no siempre, a mi juicio, ofrece un criterio claro que permita comprender por qué se declara inconstitucional o por qué se conserva la norma autonómica.</w:t>
      </w:r>
    </w:p>
    <w:p w:rsidR="00A90898" w:rsidRDefault="00A90898" w:rsidP="00A90898">
      <w:pPr>
        <w:pStyle w:val="TextoNormal"/>
      </w:pPr>
    </w:p>
    <w:p w:rsidR="00A90898" w:rsidRDefault="00A90898" w:rsidP="00A90898">
      <w:pPr>
        <w:pStyle w:val="TextoNormal"/>
      </w:pPr>
      <w:r>
        <w:t>2. La condición de “actor internacional activo”.</w:t>
      </w:r>
    </w:p>
    <w:p w:rsidR="00A90898" w:rsidRDefault="00A90898" w:rsidP="00A90898">
      <w:pPr>
        <w:pStyle w:val="TextoNormal"/>
      </w:pPr>
    </w:p>
    <w:p w:rsidR="00A90898" w:rsidRDefault="00A90898" w:rsidP="00A90898">
      <w:pPr>
        <w:pStyle w:val="TextoNormal"/>
      </w:pPr>
      <w:r>
        <w:t>El fundamento jurídico 4 se recogen una serie de argumentos de la opinión mayoritaria en que se sustenta la Sentencia que concluyen admitiendo una interpretación conforme a la Constitución del inciso “como actor internacional activo” del art. 1.1 b) de la Ley del Parlamento de Catalunya 16/2014, y del inciso “como un actor internacional comprometido, solidario y responsable” del art. 4 a) de la Ley.</w:t>
      </w:r>
    </w:p>
    <w:p w:rsidR="00A90898" w:rsidRDefault="00A90898" w:rsidP="00A90898">
      <w:pPr>
        <w:pStyle w:val="TextoNormal"/>
      </w:pPr>
    </w:p>
    <w:p w:rsidR="00A90898" w:rsidRDefault="00A90898" w:rsidP="00A90898">
      <w:pPr>
        <w:pStyle w:val="TextoNormal"/>
      </w:pPr>
      <w:r>
        <w:t>Los argumentos desarrollados ponen el énfasis en la subjetividad internacional del Estado frente a la ausencia de subjetividad internacional de la Comunidad Autónoma, pero en realidad no acaban de dar pautas claras que resuelvan la objeción de inconstitucionalidad opuesta por el recurrente. La declaración conforme con la Constitución hubiera exigido, a mi juicio, interpretar en sus justos términos la noción de “actor internacional”. Esta cuestión es obviada por la opinión mayoritaria en que se sustenta la Sentencia para realizar una afirmación apodíctica que niega, con razón, la subjetividad internacional de las Comunidades Autónomas, pero que no explica cómo y por qué hay que entender que la concepción de la Comunidad Autónoma de Catalunya como autor internacional activo no contraría la afirmación previa. Los conceptos de actor internacional y de sujeto internacional no son sinónimos, pero la opinión mayoritaria en se sustenta la Sentencia no explica con exactitud, a mi juicio, por qué niega una sinonimia que defiende el Abogado del Estado en su escrito de interposición del recurso de inconstitucionalidad.</w:t>
      </w:r>
    </w:p>
    <w:p w:rsidR="00A90898" w:rsidRDefault="00A90898" w:rsidP="00A90898">
      <w:pPr>
        <w:pStyle w:val="TextoNormal"/>
      </w:pPr>
    </w:p>
    <w:p w:rsidR="00A90898" w:rsidRDefault="00A90898" w:rsidP="00A90898">
      <w:pPr>
        <w:pStyle w:val="TextoNormal"/>
      </w:pPr>
      <w:r>
        <w:t xml:space="preserve">La noción de actor internacional es mucho más amplia que la de sujeto internacional. Una y otra se diferencian, principalmente, en que la subjetividad jurídica internacional solo se proclama del segundo. Tal como precisa la doctrina internacionalista, un actor internacional no se define, ni se identifica por su subjetividad internacional, sino por las funciones que realiza y, sobre todo, por su capacidad para movilizar recursos que le permitan alcanzar unos objetivos que formula con cierta autonomía, ejerciendo su influencia sobre otros actores internacionales. También se suele entender que el actor internacional debe ser tenido en cuenta en el diseño de la política exterior de los Estados y esa caracterización, así como el resto de las notas apuntadas, excluyen sin lugar a dudas la posibilidad de considerar que la expresión “actor internacional activo” sea un trasunto de la noción de sujeto internacional. Puede afirmarse que los Estados, sujetos de Derecho internacional por antonomasia por gozar de subjetividad jurídica internacional, son también actores internacionales, y que no puede derivarse de esta afirmación que toda unidad del sistema internacional a la que podamos denominar actor sea, por eso y simultáneamente, sujeto de Derecho internacional. La noción de actor internacional surge, en definitiva, de la necesidad de formular un concepto diverso del de sujeto internacional una vez que así lo ha venido exigiendo el avance del sistema de relaciones internacionales en el último cuarto del siglo XX. Si se me permite la licencia, echo de menos, en esta como en otras ocasiones, una orientación más </w:t>
      </w:r>
      <w:r w:rsidRPr="00A90898">
        <w:rPr>
          <w:i/>
        </w:rPr>
        <w:t>hegeliana</w:t>
      </w:r>
      <w:r>
        <w:t xml:space="preserve"> de la jurisprudencia constitucional.</w:t>
      </w:r>
    </w:p>
    <w:p w:rsidR="00A90898" w:rsidRDefault="00A90898" w:rsidP="00A90898">
      <w:pPr>
        <w:pStyle w:val="TextoNormal"/>
      </w:pPr>
    </w:p>
    <w:p w:rsidR="00A90898" w:rsidRDefault="00A90898" w:rsidP="00A90898">
      <w:pPr>
        <w:pStyle w:val="TextoNormal"/>
      </w:pPr>
      <w:r>
        <w:t>La noción de actor internacional es, así, mucho más flexible que la de sujeto de Derecho internacional, que se restringe exclusivamente a la denominación de los actores que pueden participar del poder normativo internacional y ser titulares de derechos y obligaciones según el Derecho internacional. Estas características funcionales, como bien se deduce de la jurisprudencia constitucional clásica en relación con las relaciones internacionales a las que se refiere el art. 149.1.3, no concurren en las Comunidades Autónomas en general y no están presentes entre las funciones asociadas a las competencias propias de la Comunidad Autónoma de Catalunya. Son sujetos internacionales, exclusivamente, los Estados y las Organizaciones Internacionales porque son actores de la sociedad internacional destinatarios de la norma jurídica internacional. Ahora bien, las Comunidades Autónomas, como las regiones y los entes locales en otros sistemas jurídicos, son considerados como actores subestatales o como actores gubernamentales no centrales que pueden desarrollar actividad con proyección internacional. Esta proyección, en el marco de nuestro ordenamiento jurídico, no ha de estar supeditada a lo que “permita” el Estado (una expresión similar se eliminó felizmente del texto definitivo al menos en una ocasión), sino al reparto de competencias que se establece en las normas que integran el bloque de la constitucional y entre las que no puede incluirse la Ley 2/2014, de 25 de marzo, de la acción y del servicio exterior del Estado, como podría intuirse que entiende la opinión mayoritaria en que se sustenta la Sentencia.</w:t>
      </w:r>
    </w:p>
    <w:p w:rsidR="00A90898" w:rsidRDefault="00A90898" w:rsidP="00A90898">
      <w:pPr>
        <w:pStyle w:val="TextoNormal"/>
      </w:pPr>
    </w:p>
    <w:p w:rsidR="00A90898" w:rsidRDefault="00A90898" w:rsidP="00A90898">
      <w:pPr>
        <w:pStyle w:val="TextoNormal"/>
      </w:pPr>
      <w:r>
        <w:t>3. Las “relaciones consulares” [apartado e) del art. 26.1 de la Ley].</w:t>
      </w:r>
    </w:p>
    <w:p w:rsidR="00A90898" w:rsidRDefault="00A90898" w:rsidP="00A90898">
      <w:pPr>
        <w:pStyle w:val="TextoNormal"/>
      </w:pPr>
    </w:p>
    <w:p w:rsidR="00A90898" w:rsidRDefault="00A90898" w:rsidP="00A90898">
      <w:pPr>
        <w:pStyle w:val="TextoNormal"/>
      </w:pPr>
      <w:r>
        <w:t>En esta materia, a mi juicio, la opinión mayoritaria en que se sustenta la Sentencia no alcanza a justificar la contradicción con lo que se declaró en el ATC 122/2015, en que se ventilaba la cuestión del levantamiento de la suspensión de vigencia de la ley autonómica que fue impugnada por el Presidente del Gobierno.</w:t>
      </w:r>
    </w:p>
    <w:p w:rsidR="00A90898" w:rsidRDefault="00A90898" w:rsidP="00A90898">
      <w:pPr>
        <w:pStyle w:val="TextoNormal"/>
      </w:pPr>
    </w:p>
    <w:p w:rsidR="00A90898" w:rsidRDefault="00A90898" w:rsidP="00A90898">
      <w:pPr>
        <w:pStyle w:val="TextoNormal"/>
      </w:pPr>
      <w:r>
        <w:t>La suspensión se levantó argumentando que la relación de la Generalitat con Gobiernos de otros territorios debía verse enmarcada “como no puede ser de otro modo, en las acciones con proyección exterior de la Generalitat, circunscritas al ámbito de competencias de la Comunidad Autónoma de Catalunya y para la promoción de sus intereses, con respeto de la competencia exclusiva del Estado en materia de relaciones internacionales (arts. 149.1.3 CE y 193 EAC; y STC 31/2010, FJ 125)”.</w:t>
      </w:r>
    </w:p>
    <w:p w:rsidR="00A90898" w:rsidRDefault="00A90898" w:rsidP="00A90898">
      <w:pPr>
        <w:pStyle w:val="TextoNormal"/>
      </w:pPr>
    </w:p>
    <w:p w:rsidR="00A90898" w:rsidRDefault="00A90898" w:rsidP="00A90898">
      <w:pPr>
        <w:pStyle w:val="TextoNormal"/>
      </w:pPr>
      <w:r>
        <w:t>Dicho en otros términos, en el Auto se asumió que era posible aceptar una interpretación conforme a la Constitución del precepto que prevé la facultad de la Generalitat para “e) Establecer relaciones institucionales fluidas y constantes con el cuerpo consular presente en Cataluña, en especial con las legaciones de países que tengan fuertes intereses y vínculos socio-económicos y culturales con Cataluña, y promover el establecimiento de nuevos consulados de otros países, como una forma de potenciar las relaciones bilaterales con territorios que puedan tener interés en Cataluña”.</w:t>
      </w:r>
    </w:p>
    <w:p w:rsidR="00A90898" w:rsidRDefault="00A90898" w:rsidP="00A90898">
      <w:pPr>
        <w:pStyle w:val="TextoNormal"/>
      </w:pPr>
    </w:p>
    <w:p w:rsidR="00A90898" w:rsidRDefault="00A90898" w:rsidP="00A90898">
      <w:pPr>
        <w:pStyle w:val="TextoNormal"/>
      </w:pPr>
      <w:r>
        <w:t>Según el Auto parece posible establecer relaciones institucionales con el cuerpo consular de terceros estados, como una fórmula de entablar relaciones con Gobiernos de otros territorios, sin que esto suponga invadir competencia estatal alguna. Debe entenderse que no se está hablando aquí de establecer relaciones consulares, sino “relaciones institucionales con cuerpos consulares foráneos”. La diferencia es evidente y esta perspectiva diversa pone de manifiesto el reconocimiento de la proyección de la actividad institucional de la Generalitat, la cual no debe identificarse como una acción consular en sentido estricto o asimilarse materialmente con las relaciones internacionales que le están vedadas por aplicación del art. 149.1.3 CE. Sin embargo, la opinión mayoritaria en que se sustenta la Sentencia opta por entender que la ley está parangonando la categoría de “cuerpo consular” con la de legación diplomática. Podría, efectivamente, interpretarse también así la dicción del precepto impugnado, pero la opinión mayoritaria no aclara la razón por la que opta por una interpretación y no por la otra, sino que se limita a seleccionar una de ellas sin explicar suficientemente, a mi juicio, la razón de tal selección. De nuevo la opinión mayoritaria en que se sustenta la Sentencia recurre a la noción, últimamente omnipresente en la jurisprudencia que resuelve conflictos competenciales, de menoscabo o condicionamiento de la competencia estatal, en este caso sobre el desarrollo de la política exterior del Estado español. El menoscabo se afirma de forma apodíctica, sin concretar las razones por las cuales el hecho de que la Generalitat de Catalunya potencie las relaciones bilaterales a través de una oficina consultar puede condicionar la política exterior el Estado. Podría ser así siempre y cuando la materia sobre la que se activen o potencien las relaciones bilaterales no sea propia de las competencias materiales de la Comunidad Autónoma, pero si el objetivo del refuerzo de las relaciones bilaterales va encaminado a facilitar el ejercicio de competencias autonómicas esto no supone menoscabo alguno de las competencias estatales contenidas en el art. 149.1.3 CE. Dicho en pocas palabras, la argumentación desarrolla por la opinión mayoritaria en que se sustenta la Sentencia (FJ 9) habría admitido un buen número de matices.</w:t>
      </w:r>
    </w:p>
    <w:p w:rsidR="00A90898" w:rsidRDefault="00A90898" w:rsidP="00A90898">
      <w:pPr>
        <w:pStyle w:val="TextoNormal"/>
      </w:pPr>
    </w:p>
    <w:p w:rsidR="00A90898" w:rsidRDefault="00A90898" w:rsidP="00A90898">
      <w:pPr>
        <w:pStyle w:val="TextoNormal"/>
      </w:pPr>
      <w:r>
        <w:t>4. La diplomacia pública.</w:t>
      </w:r>
    </w:p>
    <w:p w:rsidR="00A90898" w:rsidRDefault="00A90898" w:rsidP="00A90898">
      <w:pPr>
        <w:pStyle w:val="TextoNormal"/>
      </w:pPr>
    </w:p>
    <w:p w:rsidR="00A90898" w:rsidRDefault="00A90898" w:rsidP="00A90898">
      <w:pPr>
        <w:pStyle w:val="TextoNormal"/>
      </w:pPr>
      <w:r>
        <w:t>Por último, la opinión mayoritaria en que se sustenta la Sentencia afirma que las definiciones de “diplomacia” recogidas en el art. 2 de la Ley 16/2014, y más concretamente en los apartados i), j), k) y l), así como en el artículo 38, son inconstitucionales por configurar una actuación de la Generalitat que no se vincula a sus competencias, asume como destinatarios a sujetos de Derecho internacional y se prevé dirigida y coordinada por la Generalitat sin respetar la competencia exclusiva del Estado en materia de relaciones internacionales del art. 149.1.3, ni las funciones de dirección de la política exterior derivadas de la dicción literal del art. 97 CE.</w:t>
      </w:r>
    </w:p>
    <w:p w:rsidR="00A90898" w:rsidRDefault="00A90898" w:rsidP="00A90898">
      <w:pPr>
        <w:pStyle w:val="TextoNormal"/>
      </w:pPr>
    </w:p>
    <w:p w:rsidR="00A90898" w:rsidRDefault="00A90898" w:rsidP="00A90898">
      <w:pPr>
        <w:pStyle w:val="TextoNormal"/>
      </w:pPr>
      <w:r>
        <w:t>La opinión mayoritaria en que se sustenta la Sentencia insiste en la idea de que no siendo Catalunya sujeto de Derecho internacional no puede arrogarse la capacidad de establecer relaciones diplomáticas. Esto es cierto, pero, a mi juicio, no está tan claro como aquella opinión supone que la ley atribuya tal capacidad a la Comunidad Autónoma porque, aunque utilice el término diplomacia en los preceptos impugnados, en realidad parece estarse refiriendo al fenómeno de la paradiplomacia global, noción extendida y de uso común en la teoría de las relaciones internacionales. Este tipo de relaciones paradiplomáticas, desarrolladas por quien no tiene subjetividad internacional, comprenden los contactos políticos y administrativos que se entablan con actores internacionales (estatales, subestatales y no estatales) con el objetivo de promover los intereses propios.</w:t>
      </w:r>
    </w:p>
    <w:p w:rsidR="00A90898" w:rsidRDefault="00A90898" w:rsidP="00A90898">
      <w:pPr>
        <w:pStyle w:val="TextoNormal"/>
      </w:pPr>
    </w:p>
    <w:p w:rsidR="00A90898" w:rsidRDefault="00A90898" w:rsidP="00A90898">
      <w:pPr>
        <w:pStyle w:val="TextoNormal"/>
      </w:pPr>
      <w:r>
        <w:t>La opinión mayoritaria en que se sustenta la Sentencia niega a la ley autonómica el recurso a la noción de “diplomacia” o “diplomacia pública” para referirse a las actividades que describe el título IV, pero quizá hubiera bastado con entender, e interpretar, que donde la ley habla de diplomacia o de diplomacia pública está, en realidad, refiriéndose materialmente a la noción de paradiplomacia (</w:t>
      </w:r>
      <w:r w:rsidRPr="00A90898">
        <w:rPr>
          <w:i/>
        </w:rPr>
        <w:t>paradiplomacy</w:t>
      </w:r>
      <w:r>
        <w:t>) o protodiplomacia (</w:t>
      </w:r>
      <w:r w:rsidRPr="00A90898">
        <w:rPr>
          <w:i/>
        </w:rPr>
        <w:t>protodiplomacy</w:t>
      </w:r>
      <w:r>
        <w:t xml:space="preserve">), o </w:t>
      </w:r>
      <w:r w:rsidRPr="00A90898">
        <w:rPr>
          <w:i/>
        </w:rPr>
        <w:t>public diplomacy</w:t>
      </w:r>
      <w:r>
        <w:t>, trayendo los términos de la terminología anglosajona, en la medida en que se trata de nociones aceptadas y extendidas en el ámbito de los estudios en relaciones internacionales para referirse a la actividad con proyección internacional de los entes subestatales.</w:t>
      </w:r>
    </w:p>
    <w:p w:rsidR="00A90898" w:rsidRDefault="00A90898" w:rsidP="00A90898">
      <w:pPr>
        <w:pStyle w:val="TextoNormal"/>
      </w:pPr>
    </w:p>
    <w:p w:rsidR="00A90898" w:rsidRDefault="00A90898" w:rsidP="00A90898">
      <w:pPr>
        <w:pStyle w:val="TextoNormal"/>
      </w:pPr>
      <w:r>
        <w:t>Cuando estos entes subestatales, en el caso de nuestro sistema principalmente las Comunidades Autónomas, aunque también podríamos hablar de los municipios, ejercen o pretenden ejercer presión o influencia en las instancias internacionales no estatales, o en la sociedad civil foránea, para la defensa de los intereses propios (esta función no es negada por la opinión mayoritaria en que se sustenta la Sentencia la Comunidad Autónoma de Catalunya), desarrollan funciones de paradiplomacia o diplomacia global. En los estudios sobre paradiplomacia se identifican exactamente tres tipos de razones que empujan a los entes subestatales a comprometer este tipo de actividad: razones políticas, razones culturales y razones económicas. Son, con toda exactitud, las que se recogen en el texto de la ley. La paradiplomacia o la diplomacia pública son nociones distintas de la diplomacia tradicional que solo puede ser desarrollada por los actores con subjetividad internacional, de la cual carece la Comunidad Autónoma de Catalunya, como insiste en recordar la opinión mayoritaria en que se sustenta la Sentencia.</w:t>
      </w:r>
    </w:p>
    <w:p w:rsidR="00A90898" w:rsidRDefault="00A90898" w:rsidP="00A90898">
      <w:pPr>
        <w:pStyle w:val="TextoNormal"/>
      </w:pPr>
    </w:p>
    <w:p w:rsidR="00A90898" w:rsidRDefault="00A90898" w:rsidP="00A90898">
      <w:pPr>
        <w:pStyle w:val="TextoNormal"/>
      </w:pPr>
      <w:r>
        <w:t>En resolución, la actividad descrita en la norma seguirá siendo paradiplomacia aunque la Ley que da cobertura a la proyección exterior de las competencias autonómicas no la denomine de ese modo y utilice una terminología a la que podría imputarse, como mínimo, falta de precisión. La arquitectura internacional ha cambiado de manera notable en los últimos 20 años, desbordando las nociones más clásicas del Derecho y de las relaciones internacionales. Esas nociones clásicas han sido revisitadas, y han surgido conceptos nuevos que reflejan realidades que fueron nuevas en su momento, pero que hoy se han consolidado. Es el caso de la proyección exterior de los entes subestatales. Hoy se habla sin complejos de la paradiplomacia de las regiones, y de los mecanismos de gobernanza global. Hubiera sido positivo que la jurisprudencia del Tribunal Constitucional integrase en su argumentación esos avances habidos en las dos últimas décadas, dejando a un lado la sospecha del uso inconstitucional que la Comunidad Autónoma de Catalunya puede hacer de las previsiones contenidas en su Ley de acción exterior.</w:t>
      </w:r>
    </w:p>
    <w:p w:rsidR="00A90898" w:rsidRDefault="00A90898" w:rsidP="00A90898">
      <w:pPr>
        <w:pStyle w:val="TextoNormal"/>
      </w:pPr>
    </w:p>
    <w:p w:rsidR="00A90898" w:rsidRDefault="00A90898" w:rsidP="00A90898">
      <w:pPr>
        <w:pStyle w:val="TextoNormal"/>
      </w:pPr>
      <w:r>
        <w:t>Madrid, a veintidós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TextoNormal"/>
      </w:pPr>
    </w:p>
    <w:p w:rsidR="001D6FAE" w:rsidRDefault="001D6FAE" w:rsidP="001D6FAE">
      <w:pPr>
        <w:pStyle w:val="CabeceraApartado"/>
      </w:pPr>
      <w:r>
        <w:t>AUTOS</w:t>
      </w:r>
    </w:p>
    <w:p w:rsidR="001D6FAE" w:rsidRDefault="001D6FAE">
      <w:pPr>
        <w:spacing w:after="160" w:line="259" w:lineRule="auto"/>
        <w:rPr>
          <w:rFonts w:ascii="Times New Roman" w:eastAsia="Times New Roman" w:hAnsi="Times New Roman" w:cs="Times New Roman"/>
          <w:sz w:val="48"/>
          <w:szCs w:val="24"/>
          <w:lang w:eastAsia="es-ES"/>
        </w:rPr>
      </w:pPr>
      <w:r>
        <w:br w:type="page"/>
      </w:r>
    </w:p>
    <w:p w:rsidR="001D6FAE" w:rsidRDefault="001D6FAE" w:rsidP="001D6FAE">
      <w:pPr>
        <w:pStyle w:val="TtuloResolucin"/>
      </w:pPr>
      <w:bookmarkStart w:id="108" w:name="AUTO_2016_135"/>
      <w:r>
        <w:t>AUTO 135/2016, de 4 de julio de 2016</w:t>
      </w:r>
    </w:p>
    <w:bookmarkEnd w:id="108"/>
    <w:p w:rsidR="001D6FAE" w:rsidRDefault="001D6FAE" w:rsidP="001D6FAE">
      <w:pPr>
        <w:pStyle w:val="TtuloResolucin"/>
      </w:pPr>
      <w:r>
        <w:t>Sección Primera</w:t>
      </w:r>
    </w:p>
    <w:p w:rsidR="001D6FAE" w:rsidRDefault="001D6FAE" w:rsidP="001D6FAE">
      <w:pPr>
        <w:pStyle w:val="TextoNormalCentrado"/>
      </w:pPr>
      <w:r>
        <w:t>ECLI:ES:TC:2016:135A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Desestima el recurso de súplica del Ministerio Fiscal sobre inadmisión del recurso de amparo 4078-2015, promovido por don Javier García Espinar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8 de julio de 2015, don Javier García Espinar, actuando en su propio nombre y representación en su condición de Licenciado en Derecho, presentó demanda de amparo contra la providencia y Auto de la Sección de ejecuciones y extensiones de efectos grupo 7 del Tribunal Superior de Justicia de Madrid, en ejecución de títulos judiciales núm. 1997-2013, por los que, respectivamente, se acuerda continuar el procedimiento y se desestima el recurso de reposición interpuesto frente a la misma.</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dieron lugar a este amparo son los siguientes:</w:t>
      </w:r>
    </w:p>
    <w:p w:rsidR="001D6FAE" w:rsidRDefault="001D6FAE" w:rsidP="001D6FAE">
      <w:pPr>
        <w:pStyle w:val="TextoNormal"/>
      </w:pPr>
    </w:p>
    <w:p w:rsidR="001D6FAE" w:rsidRDefault="001D6FAE" w:rsidP="001D6FAE">
      <w:pPr>
        <w:pStyle w:val="TextoNormal"/>
      </w:pPr>
      <w:r>
        <w:t>a) Mediante Sentencia de la Sección Tercera del Tribunal Supremo, de 14 de diciembre de 2012, se estimó parcialmente el recurso de casación (núm. 5837-2010) que había sido interpuesto contra la Sentencia del Tribunal Superior de Justicia de Madrid (Sala de lo Contencioso-Administrativo, Sección Séptima) de 18 julio, que a su vez había desestimado el recurso interpuesto frente a la resolución de 5 de septiembre de 2005 de la Dirección General de la Policía, por la que se convoca oposición libre para cubrir plazas de alumnos del centro de formación como aspirantes a ingreso en la escala ejecutiva.</w:t>
      </w:r>
    </w:p>
    <w:p w:rsidR="001D6FAE" w:rsidRDefault="001D6FAE" w:rsidP="001D6FAE">
      <w:pPr>
        <w:pStyle w:val="TextoNormal"/>
      </w:pPr>
    </w:p>
    <w:p w:rsidR="001D6FAE" w:rsidRDefault="001D6FAE" w:rsidP="001D6FAE">
      <w:pPr>
        <w:pStyle w:val="TextoNormal"/>
      </w:pPr>
      <w:r>
        <w:t>En su Sentencia, el Tribunal Supremo estimó, en aplicación de su jurisprudencia, que el hecho de que el solicitante hubiera sido excluido de la citada convocatoria por razón de edad suponía una discriminación no amparada por justificación objetiva y razonable por lo que infringía el art. 14 CE.</w:t>
      </w:r>
    </w:p>
    <w:p w:rsidR="001D6FAE" w:rsidRDefault="001D6FAE" w:rsidP="001D6FAE">
      <w:pPr>
        <w:pStyle w:val="TextoNormal"/>
      </w:pPr>
    </w:p>
    <w:p w:rsidR="001D6FAE" w:rsidRDefault="001D6FAE" w:rsidP="001D6FAE">
      <w:pPr>
        <w:pStyle w:val="TextoNormal"/>
      </w:pPr>
      <w:r>
        <w:t>La estimación del recurso se circunscribió, según se indica en el fallo, al ámbito determinado por la cuestión discutida en este proceso, esto es, a la fijación de la edad máxima de treinta años para participar, por el turno libre, en el proceso selectivo convocado para acceder a la escala ejecutiva del Cuerpo Nacional de Policía. Se le reconoció así al demandante su derecho a realizar las pruebas previstas en la convocatoria, estableciendo que la Administración debía arbitrar las medidas necesarias para facilitar dicha participación.</w:t>
      </w:r>
    </w:p>
    <w:p w:rsidR="001D6FAE" w:rsidRDefault="001D6FAE" w:rsidP="001D6FAE">
      <w:pPr>
        <w:pStyle w:val="TextoNormal"/>
      </w:pPr>
    </w:p>
    <w:p w:rsidR="001D6FAE" w:rsidRDefault="001D6FAE" w:rsidP="001D6FAE">
      <w:pPr>
        <w:pStyle w:val="TextoNormal"/>
      </w:pPr>
      <w:r>
        <w:t>b) En fase de ejecución de la Sentencia, el demandante se opuso a la forma en la que la misma pretendía ser ejecutada por la Administración, que en esencia consistía en abrir una convocatoria específica y extraordinaria para quienes quedaron excluidos por razón de la edad, lo que a su juicio resultaba también discriminatorio. Mediante resolución de 4 de abril de 2013, la Dirección General de la Policía convocó a tal efecto a los interesados, que no comparecieron, por lo que se les tuvo por excluidos del proceso.</w:t>
      </w:r>
    </w:p>
    <w:p w:rsidR="001D6FAE" w:rsidRDefault="001D6FAE" w:rsidP="001D6FAE">
      <w:pPr>
        <w:pStyle w:val="TextoNormal"/>
      </w:pPr>
    </w:p>
    <w:p w:rsidR="001D6FAE" w:rsidRDefault="001D6FAE" w:rsidP="001D6FAE">
      <w:pPr>
        <w:pStyle w:val="TextoNormal"/>
      </w:pPr>
      <w:r>
        <w:t>c) Por escrito de 5 de noviembre de 2013, don Javier García Espinar solicitó la suspensión del procedimiento, al existir procedimientos pendientes de resolución que consideró podían tener trascendencia para la resolución del procedimiento de ejecución.</w:t>
      </w:r>
    </w:p>
    <w:p w:rsidR="001D6FAE" w:rsidRDefault="001D6FAE" w:rsidP="001D6FAE">
      <w:pPr>
        <w:pStyle w:val="TextoNormal"/>
      </w:pPr>
    </w:p>
    <w:p w:rsidR="001D6FAE" w:rsidRDefault="001D6FAE" w:rsidP="001D6FAE">
      <w:pPr>
        <w:pStyle w:val="TextoNormal"/>
      </w:pPr>
      <w:r>
        <w:t>d) Mediante Auto de 5 de diciembre de 2013, el Tribunal Superior de Justicia de Madrid tuvo por ejecutada la Sentencia, desestimando la solicitud de suspensión al entender que la Sentencia del Tribunal Supremo de 14 de diciembre de 2012 había sido cumplida en sus propios términos, toda vez que la misma “no dice en absoluto que los recurrentes hayan de ser declarados aptos en el proceso selectivo, ni que éste haya de ser llevado a cabo de manera distinta a cómo se hizo”.</w:t>
      </w:r>
    </w:p>
    <w:p w:rsidR="001D6FAE" w:rsidRDefault="001D6FAE" w:rsidP="001D6FAE">
      <w:pPr>
        <w:pStyle w:val="TextoNormal"/>
      </w:pPr>
    </w:p>
    <w:p w:rsidR="001D6FAE" w:rsidRDefault="001D6FAE" w:rsidP="001D6FAE">
      <w:pPr>
        <w:pStyle w:val="TextoNormal"/>
      </w:pPr>
      <w:r>
        <w:t>e) Contra el anterior Auto de 5 de diciembre del Tribunal Superior de Justicia de Madrid, el demandante interpuso recurso de reposición, que fue desestimado mediante Auto del 11 de abril de 2014, dictado por el mismo.</w:t>
      </w:r>
    </w:p>
    <w:p w:rsidR="001D6FAE" w:rsidRDefault="001D6FAE" w:rsidP="001D6FAE">
      <w:pPr>
        <w:pStyle w:val="TextoNormal"/>
      </w:pPr>
    </w:p>
    <w:p w:rsidR="001D6FAE" w:rsidRDefault="001D6FAE" w:rsidP="001D6FAE">
      <w:pPr>
        <w:pStyle w:val="TextoNormal"/>
      </w:pPr>
      <w:r>
        <w:t>f) Frente al Auto anterior, el demandante solicitó complemento del mismo, que fue desestimado mediante Auto de 23 de junio de 2014 de la misma Sala.</w:t>
      </w:r>
    </w:p>
    <w:p w:rsidR="001D6FAE" w:rsidRDefault="001D6FAE" w:rsidP="001D6FAE">
      <w:pPr>
        <w:pStyle w:val="TextoNormal"/>
      </w:pPr>
    </w:p>
    <w:p w:rsidR="001D6FAE" w:rsidRDefault="001D6FAE" w:rsidP="001D6FAE">
      <w:pPr>
        <w:pStyle w:val="TextoNormal"/>
      </w:pPr>
      <w:r>
        <w:t>g) Con la finalidad de continuar el procedimiento, y recurrir el anterior Auto de 23 de junio, el Sr. García Espinar solicitó beneficio de justicia gratuita, al mismo tiempo que la suspensión del procedimiento de ejecución mientras se resolvía dicha solicitud.</w:t>
      </w:r>
    </w:p>
    <w:p w:rsidR="001D6FAE" w:rsidRDefault="001D6FAE" w:rsidP="001D6FAE">
      <w:pPr>
        <w:pStyle w:val="TextoNormal"/>
      </w:pPr>
    </w:p>
    <w:p w:rsidR="001D6FAE" w:rsidRDefault="001D6FAE" w:rsidP="001D6FAE">
      <w:pPr>
        <w:pStyle w:val="TextoNormal"/>
      </w:pPr>
      <w:r>
        <w:t>h) Mediante providencia de 18 de septiembre de 2014 se acordó que no procedía la suspensión del procedimiento.</w:t>
      </w:r>
    </w:p>
    <w:p w:rsidR="001D6FAE" w:rsidRDefault="001D6FAE" w:rsidP="001D6FAE">
      <w:pPr>
        <w:pStyle w:val="TextoNormal"/>
      </w:pPr>
    </w:p>
    <w:p w:rsidR="001D6FAE" w:rsidRDefault="001D6FAE" w:rsidP="001D6FAE">
      <w:pPr>
        <w:pStyle w:val="TextoNormal"/>
      </w:pPr>
      <w:r>
        <w:t>i) Frente a la anterior providencia de continuación del procedimiento, el Sr. García Espinar solicitó aclaración, lo que se llevó a efecto mediante el Auto de 7 de enero de 2015, en el que se reiteró el acuerdo de continuación, razonándose que no concurrían en este supuesto las excepciones que contempla el art. 16 de la Ley de asistencia jurídica gratuita frente a la regla general en virtud de la cual el reconocimiento a dicho derecho no suspenderá el curso del proceso.</w:t>
      </w:r>
    </w:p>
    <w:p w:rsidR="001D6FAE" w:rsidRDefault="001D6FAE" w:rsidP="001D6FAE">
      <w:pPr>
        <w:pStyle w:val="TextoNormal"/>
      </w:pPr>
    </w:p>
    <w:p w:rsidR="001D6FAE" w:rsidRDefault="001D6FAE" w:rsidP="001D6FAE">
      <w:pPr>
        <w:pStyle w:val="TextoNormal"/>
      </w:pPr>
      <w:r>
        <w:t>j) Aclarada la citada providencia mediante el citado Auto de 7 de enero de 2015, el recurrente interpuso recurso de reposición frente a la misma, que fue desestimado mediante Auto de 27 de abril de 2015, en el que se acuerda no acceder a la solicitud de nulidad del Auto de 7 de enero de 2015, reiterándose que no concurren las excepciones que contempla el art. 16 de la Ley de asistencia jurídica gratuita frente a la regla general en virtud de la cual el reconocimiento a dicho derecho no suspenderá el curso del proceso.</w:t>
      </w:r>
    </w:p>
    <w:p w:rsidR="001D6FAE" w:rsidRDefault="001D6FAE" w:rsidP="001D6FAE">
      <w:pPr>
        <w:pStyle w:val="TextoNormal"/>
      </w:pPr>
    </w:p>
    <w:p w:rsidR="001D6FAE" w:rsidRDefault="001D6FAE" w:rsidP="001D6FAE">
      <w:pPr>
        <w:pStyle w:val="TextoNormal"/>
      </w:pPr>
      <w:r>
        <w:t>k) Con carácter previo, mediante resolución de 15 de diciembre de 2014, dictada por la comisión de asistencia jurídica gratuita de la Comunidad de Madrid se había denegado el derecho de asistencia gratuita, por no darse los requisitos del art. 3 de la Ley de asistencia jurídica gratuita así como tampoco el reconocimiento excepcional del derecho, de acuerdo con lo dispuesto en el artículo 5. Recurrida la anterior, mediante Auto de 26 de mayo de 2015 se anuló la citada resolución, acordándose el reconocimiento del derecho de justicia gratuita.</w:t>
      </w:r>
    </w:p>
    <w:p w:rsidR="001D6FAE" w:rsidRDefault="001D6FAE" w:rsidP="001D6FAE">
      <w:pPr>
        <w:pStyle w:val="TextoNormal"/>
      </w:pPr>
    </w:p>
    <w:p w:rsidR="001D6FAE" w:rsidRDefault="001D6FAE" w:rsidP="001D6FAE">
      <w:pPr>
        <w:pStyle w:val="TextoNormal"/>
      </w:pPr>
      <w:r w:rsidRPr="001D6FAE">
        <w:rPr>
          <w:rStyle w:val="NumeroAFNegritaCaracter"/>
        </w:rPr>
        <w:t>3</w:t>
      </w:r>
      <w:r>
        <w:t>. El demandante en amparo atribuye a los Autos de 7 de enero y de 27 de abril de 2015, la lesión de su derecho de acceso a los recursos (art. 24.1 CE), además de vulnerar el derecho a la tutela judicial efectiva en la práctica toda vez que la justicia, de acuerdo con el artículo 119 de la Constitución, deberá ser gratuita para quienes acrediten insuficiencia de recursos para litigar. Se añade que las actuaciones impugnadas suponen una vulneración de su derecho fundamental a la igualdad ante la ley produciendo discriminación por motivos económicos en el acceso a la justicia (art. 14 CE).</w:t>
      </w:r>
    </w:p>
    <w:p w:rsidR="001D6FAE" w:rsidRDefault="001D6FAE" w:rsidP="001D6FAE">
      <w:pPr>
        <w:pStyle w:val="TextoNormal"/>
      </w:pPr>
    </w:p>
    <w:p w:rsidR="001D6FAE" w:rsidRDefault="001D6FAE" w:rsidP="001D6FAE">
      <w:pPr>
        <w:pStyle w:val="TextoNormal"/>
      </w:pPr>
      <w:r w:rsidRPr="001D6FAE">
        <w:rPr>
          <w:rStyle w:val="NumeroAFNegritaCaracter"/>
        </w:rPr>
        <w:t>4</w:t>
      </w:r>
      <w:r>
        <w:t>. La Sección Primera de este Tribunal, mediante providencia de 2 de diciembre de 2015, acordó no admitir el recurso a trámite, con arreglo a lo previsto en el art. 50.1 a) de la Ley Orgánica del Tribunal Constitucional (LOTC), dada la manifiesta inexistencia de violación de un derecho fundamental tutelable en amparo.</w:t>
      </w:r>
    </w:p>
    <w:p w:rsidR="001D6FAE" w:rsidRDefault="001D6FAE" w:rsidP="001D6FAE">
      <w:pPr>
        <w:pStyle w:val="TextoNormal"/>
      </w:pPr>
    </w:p>
    <w:p w:rsidR="001D6FAE" w:rsidRDefault="001D6FAE" w:rsidP="001D6FAE">
      <w:pPr>
        <w:pStyle w:val="TextoNormal"/>
      </w:pPr>
      <w:r w:rsidRPr="001D6FAE">
        <w:rPr>
          <w:rStyle w:val="NumeroAFNegritaCaracter"/>
        </w:rPr>
        <w:t>5</w:t>
      </w:r>
      <w:r>
        <w:t>. El Ministerio Fiscal, por escrito registrado el 14 de enero de 2016, interpuso recurso de súplica contra dicha providencia, solicitando que fuera dejada sin efecto y se repusieran las actuaciones para que se decidiera nuevamente sobre la admisión de la demanda de amparo. Se argumenta que las resoluciones que se impugnan en amparo y que denegaron la suspensión del proceso de ejecución, no contienen realmente una motivación suficiente que permita conocer las razones en las que el Tribunal basa su decisión de no acceder a la suspensión del curso del proceso, toda vez que los Autos recurridos se limitan a reproducir el art. 16 de la Ley de asistencia jurídica gratuita. Añade que, a la luz de dicho artículo, la solicitud de suspensión del plazo para formular incidente de nulidad de actuaciones puede entenderse comprendida en el supuesto excepcional del párrafo segundo del artículo 16 de dicha Ley, que se refiere a la necesidad de evitar que el transcurso de los plazos pueda provocar la preclusión de un trámite o la indefensión de cualquiera de las partes. La falta de motivación de las citadas resoluciones judiciales puede considerase, al menos de modo aparente, arbitrarias, o no fundadas en derecho, invocando para ello la doctrina de la STC 204/2012, de 12 de noviembre.</w:t>
      </w:r>
    </w:p>
    <w:p w:rsidR="001D6FAE" w:rsidRDefault="001D6FAE" w:rsidP="001D6FAE">
      <w:pPr>
        <w:pStyle w:val="TextoNormal"/>
      </w:pPr>
    </w:p>
    <w:p w:rsidR="001D6FAE" w:rsidRDefault="001D6FAE" w:rsidP="001D6FAE">
      <w:pPr>
        <w:pStyle w:val="TextoNormal"/>
      </w:pPr>
      <w:r w:rsidRPr="001D6FAE">
        <w:rPr>
          <w:rStyle w:val="NumeroAFNegritaCaracter"/>
        </w:rPr>
        <w:t>6</w:t>
      </w:r>
      <w:r>
        <w:t>. La Secretaría de Justicia de la Sección Primera de este Tribunal, por diligencia de ordenación de 15 de enero de 2016, acordó dar traslado del recurso de súplica para alegaciones a la demandante, quien por escrito registrado el 26 de enero de 2016 se adhirió en todos sus términos a los argumentos esgrimidos en dicho recurso.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Ministerio Fiscal sustenta su recurso de súplica en que los Autos de 7 de enero y de 27 de abril ambos de 2015, que denegaron la suspensión del proceso de ejecución mientras se tramitaba la solicitud de justicia gratuita, carecerían de motivación suficiente que permita conocer las razones en las que el Tribunal basa su decisión, toda vez que se habrían limitado a reproducir el art. 16 de la Ley de asistencia jurídica gratuita. Haciendo invocación de la doctrina contenida en la STC 204/2012, de 12 de noviembre, considera que a la luz de dicha falta de motivación, las citadas resoluciones judiciales pueden considerase, al menos de modo aparente, arbitrarias o no fundadas en derecho.</w:t>
      </w:r>
    </w:p>
    <w:p w:rsidR="001D6FAE" w:rsidRDefault="001D6FAE" w:rsidP="001D6FAE">
      <w:pPr>
        <w:pStyle w:val="TextoNormal"/>
      </w:pPr>
    </w:p>
    <w:p w:rsidR="001D6FAE" w:rsidRDefault="001D6FAE" w:rsidP="001D6FAE">
      <w:pPr>
        <w:pStyle w:val="TextoNormal"/>
      </w:pPr>
      <w:r>
        <w:t>Como ha quedado expuesto en los antecedentes, las resoluciones impugnadas denegaron la suspensión del procedimiento mientras se tramitaba la solicitud de justicia gratuita. Tal ausencia de suspensión habría lesionado, según la demanda, su derecho a la tutela judicial efectiva (art. 24.1 CE), en su vertiente de acceso a los recursos legalmente previstos, en relación con el derecho a la asistencia jurídica gratuita reconocida en el art. 119 CE.</w:t>
      </w:r>
    </w:p>
    <w:p w:rsidR="001D6FAE" w:rsidRDefault="001D6FAE" w:rsidP="001D6FAE">
      <w:pPr>
        <w:pStyle w:val="TextoNormal"/>
      </w:pPr>
    </w:p>
    <w:p w:rsidR="001D6FAE" w:rsidRDefault="001D6FAE" w:rsidP="001D6FAE">
      <w:pPr>
        <w:pStyle w:val="TextoNormal"/>
      </w:pPr>
      <w:r w:rsidRPr="001D6FAE">
        <w:rPr>
          <w:rStyle w:val="NumeroAFNegritaCaracter"/>
        </w:rPr>
        <w:t>2</w:t>
      </w:r>
      <w:r>
        <w:t>. En relación con el alcance del citado derecho, debe recordarse nuestra consolidada doctrina, en el sentido de que el art. 119 CE consagra un derecho constitucional de carácter instrumental respecto del derecho de acceso a la jurisdicción reconocido en el art. 24.1 CE, que en todo caso hemos calificado “como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 la amplia libertad de configuración legal que resulta del primer inciso del art. 119 CE no es absoluta, pues el inciso segundo de dicho precepto explícitamente declara que la gratuidad de la justicia se reconocerá en todo caso, respecto de quienes acrediten insuficiencia de recursos para litigar” (SSTC 95/2003, de 22 de mayo, FJ 4; 128/2014, de 21 de julio, FJ 3, y 90/2015, de 11 de mayo, FJ 3).</w:t>
      </w:r>
    </w:p>
    <w:p w:rsidR="001D6FAE" w:rsidRDefault="001D6FAE" w:rsidP="001D6FAE">
      <w:pPr>
        <w:pStyle w:val="TextoNormal"/>
      </w:pPr>
    </w:p>
    <w:p w:rsidR="001D6FAE" w:rsidRDefault="001D6FAE" w:rsidP="001D6FAE">
      <w:pPr>
        <w:pStyle w:val="TextoNormal"/>
      </w:pPr>
      <w:r>
        <w:t>Por su parte, el derecho de acceso a los recursos (art. 24.1 CE) es un derecho de configuración legal que, con la excepción de los recursos contra sentencias penales de condena, se incorpora a aquel derecho en las condiciones fijadas por cada una de las leyes procesales (SSTC 71/2002, de 8 de abril, FJ 3, y 191/2005, de 18 de julio, FJ 3). Ello se refleja en la función de control atribuida a este Tribunal respecto de las resoluciones judiciales que vedan el paso a dicha fase, pues siendo la decisión sobre la admisión o no del recurso y la comprobación del cumplimento de los requisitos establecidos para ello una cuestión de legalidad ordinaria que compete, según dispone el art. 117.3 CE, exclusivamente a los jueces y tribunales, aquel control se limita a verificar si la interpretación o aplicación de la norma que se adopte es o no arbitraria, notoriamente irrazonable o incurra en un error patente (por todas, STC 7/2015, de 22 de enero).</w:t>
      </w:r>
    </w:p>
    <w:p w:rsidR="001D6FAE" w:rsidRDefault="001D6FAE" w:rsidP="001D6FAE">
      <w:pPr>
        <w:pStyle w:val="TextoNormal"/>
      </w:pPr>
    </w:p>
    <w:p w:rsidR="001D6FAE" w:rsidRDefault="001D6FAE" w:rsidP="001D6FAE">
      <w:pPr>
        <w:pStyle w:val="TextoNormal"/>
      </w:pPr>
      <w:r w:rsidRPr="001D6FAE">
        <w:rPr>
          <w:rStyle w:val="NumeroAFNegritaCaracter"/>
        </w:rPr>
        <w:t>3</w:t>
      </w:r>
      <w:r>
        <w:t>. A la luz de la anterior doctrina, debemos reiterar la ausencia de lesión, a la luz de las siguientes consideraciones:</w:t>
      </w:r>
    </w:p>
    <w:p w:rsidR="001D6FAE" w:rsidRDefault="001D6FAE" w:rsidP="001D6FAE">
      <w:pPr>
        <w:pStyle w:val="TextoNormal"/>
      </w:pPr>
    </w:p>
    <w:p w:rsidR="001D6FAE" w:rsidRDefault="001D6FAE" w:rsidP="001D6FAE">
      <w:pPr>
        <w:pStyle w:val="TextoNormal"/>
      </w:pPr>
      <w:r>
        <w:t>En primer lugar, el demandante ha tenido efectivo acceso a todos los recursos útiles para su pretensión, toda vez que como se pone de manifiesto con el propio relato de hechos de la demanda, el Auto en el que se tiene por ejecutada la Sentencia fue recurrido dos veces, dando lugar a los Autos de 11 abril y 23 junio de 2014. Por tanto, es dudoso que la negativa a suspender el procedimiento le haya hecho realmente perder la oportunidad de recurrir las resoluciones judiciales que pretendía combatir. Faltaría por lo tanto una premisa básica inherente a la lesión que se invoca, al no constar que se le haya impedido acceder al recurso legalmente previsto.</w:t>
      </w:r>
    </w:p>
    <w:p w:rsidR="001D6FAE" w:rsidRDefault="001D6FAE" w:rsidP="001D6FAE">
      <w:pPr>
        <w:pStyle w:val="TextoNormal"/>
      </w:pPr>
    </w:p>
    <w:p w:rsidR="001D6FAE" w:rsidRDefault="001D6FAE" w:rsidP="001D6FAE">
      <w:pPr>
        <w:pStyle w:val="TextoNormal"/>
      </w:pPr>
      <w:r>
        <w:t>En segundo lugar, y sin perjuicio de lo anterior, debemos rechazar que la motivación de las resoluciones citadas sea lesiva del art. 24.1 CE en los términos invocados, y de acuerdo con la doctrina que ha quedado expuesta. En particular la última, Auto de 27 de abril de 2015, expone el contenido del art. 16 de la Ley de asistencia jurídica gratuita y considera de forma motivada que no se dan las circunstancias necesarias para que se exceptúe la regla general de que dicha solicitud no suspenderá el curso del proceso. Se contiene por ello una motivación expresa que no se puede considerar ni arbitraria, ni notoriamente irrazonable, ni que haya incurrido en error patente.</w:t>
      </w:r>
    </w:p>
    <w:p w:rsidR="001D6FAE" w:rsidRDefault="001D6FAE" w:rsidP="001D6FAE">
      <w:pPr>
        <w:pStyle w:val="TextoNormal"/>
      </w:pPr>
    </w:p>
    <w:p w:rsidR="001D6FAE" w:rsidRDefault="001D6FAE" w:rsidP="001D6FAE">
      <w:pPr>
        <w:pStyle w:val="TextoNormal"/>
      </w:pPr>
      <w:r>
        <w:t>En atención a lo expuesto, debe desestimarse el recurso de súplica interpuesto por el Ministerio Fiscal, ya que, a pesar de las legítimas discrepancias que pueden mostrar tanto el recurrente como el Ministerio Fiscal sobre el razonamiento expuesto en los citados Autos, no ha quedado constatada la lesión en los términos alegados en la demanda, y de acuerdo con nuestra consolidada doctrina.</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Desestimar el recurso de súplica interpuesto por el Ministerio Fiscal y, en consecuencia, confirmar en su integridad la providencia de 2 de diciembre de 2015.</w:t>
      </w:r>
    </w:p>
    <w:p w:rsidR="001D6FAE" w:rsidRDefault="001D6FAE" w:rsidP="001D6FAE">
      <w:pPr>
        <w:pStyle w:val="TextoNormal"/>
      </w:pPr>
    </w:p>
    <w:p w:rsidR="001D6FAE" w:rsidRDefault="001D6FAE" w:rsidP="001D6FAE">
      <w:pPr>
        <w:pStyle w:val="TextoNormal"/>
      </w:pPr>
      <w:r>
        <w:t>Madrid, a cuatro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09" w:name="AUTO_2016_136"/>
      <w:r>
        <w:t>AUTO 136/2016, de 4 de julio de 2016</w:t>
      </w:r>
    </w:p>
    <w:bookmarkEnd w:id="109"/>
    <w:p w:rsidR="001D6FAE" w:rsidRDefault="001D6FAE" w:rsidP="001D6FAE">
      <w:pPr>
        <w:pStyle w:val="TtuloResolucin"/>
      </w:pPr>
      <w:r>
        <w:t>Sección Primera</w:t>
      </w:r>
    </w:p>
    <w:p w:rsidR="001D6FAE" w:rsidRDefault="001D6FAE" w:rsidP="001D6FAE">
      <w:pPr>
        <w:pStyle w:val="TextoNormalCentrado"/>
      </w:pPr>
      <w:r>
        <w:t>ECLI:ES:TC:2016:136A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10" w:name="AUTO_2016_137"/>
      <w:r>
        <w:t>AUTO 137/2016, de 5 de julio de 2016</w:t>
      </w:r>
    </w:p>
    <w:bookmarkEnd w:id="110"/>
    <w:p w:rsidR="001D6FAE" w:rsidRDefault="001D6FAE" w:rsidP="001D6FAE">
      <w:pPr>
        <w:pStyle w:val="TtuloResolucin"/>
      </w:pPr>
      <w:r>
        <w:t>Sección Primera</w:t>
      </w:r>
    </w:p>
    <w:p w:rsidR="001D6FAE" w:rsidRDefault="001D6FAE" w:rsidP="001D6FAE">
      <w:pPr>
        <w:pStyle w:val="TextoNormalCentrado"/>
      </w:pPr>
      <w:r>
        <w:t>ECLI:ES:TC:2016:137A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Desestima el recurso de súplica del Ministerio Fiscal sobre inadmisión del recurso de amparo 6980-2015, promovido por Agrobionest, S.L., en pleito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7 de diciembre de 2015, la Procuradora de los Tribunales doña Patricia Rosch Iglesias, en nombre y representación de Agrobionest, S.L., defendida por el Letrado don Eduardo Cruz Arcos, interpuso demanda de amparo contra los Autos de 23 de julio de 2013 y de 8 de octubre de 2013, dictados por la Sección Sexta de la Audiencia Provincial de Sevilla en el rollo de apelación núm. 5740-2013, y contra el Auto de 21 de octubre de 2015, de la Sala de lo Civil del Tribunal Supremo, que acordó inadmitir a trámite el recurso de casación y el recurso extraordinario por infracción procesal contra la Sentencia de 9 de abril de 2014, de la Sección Sexta de la Audiencia Provincial de Sevilla, resolutoria del recurso de apelación interpuesto por la demandante de amparo.</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relevantes para el enjuiciamiento del presente recurso son los siguientes:</w:t>
      </w:r>
    </w:p>
    <w:p w:rsidR="001D6FAE" w:rsidRDefault="001D6FAE" w:rsidP="001D6FAE">
      <w:pPr>
        <w:pStyle w:val="TextoNormal"/>
      </w:pPr>
    </w:p>
    <w:p w:rsidR="001D6FAE" w:rsidRDefault="001D6FAE" w:rsidP="001D6FAE">
      <w:pPr>
        <w:pStyle w:val="TextoNormal"/>
      </w:pPr>
      <w:r>
        <w:t>a) La sociedad Agrobionest, S.L., interpuso demanda de juicio ordinario contra la Agencia Andaluza del Agua, en ejercicio de la acción declarativa de dominio de las aguas provenientes de cuatro pozos situados en una finca rústica. En el juicio oral, dos testigos declararon que los anteriores propietarios habían alumbrado los pozos con autorización administrativa y los inscribieron en el registro de minas, para ponerlos a funcionar con fines agrícolas.</w:t>
      </w:r>
    </w:p>
    <w:p w:rsidR="001D6FAE" w:rsidRDefault="001D6FAE" w:rsidP="001D6FAE">
      <w:pPr>
        <w:pStyle w:val="TextoNormal"/>
      </w:pPr>
    </w:p>
    <w:p w:rsidR="001D6FAE" w:rsidRDefault="001D6FAE" w:rsidP="001D6FAE">
      <w:pPr>
        <w:pStyle w:val="TextoNormal"/>
      </w:pPr>
      <w:r>
        <w:t>b) Entendiendo que ese hecho era relevante para la suerte de la acción ejercitada y que era de nueva noticia, se solicitó del Juez la incoación del incidente de hechos nuevos, previsto por el art. 286 de la Ley de enjuiciamiento civil (LEC). Finalmente, el Juzgado de Primera Instancia núm. 21 de Sevilla dictó Sentencia de 12 de diciembre de 2012, desestimatoria de la demanda.</w:t>
      </w:r>
    </w:p>
    <w:p w:rsidR="001D6FAE" w:rsidRDefault="001D6FAE" w:rsidP="001D6FAE">
      <w:pPr>
        <w:pStyle w:val="TextoNormal"/>
      </w:pPr>
    </w:p>
    <w:p w:rsidR="001D6FAE" w:rsidRDefault="001D6FAE" w:rsidP="001D6FAE">
      <w:pPr>
        <w:pStyle w:val="TextoNormal"/>
      </w:pPr>
      <w:r>
        <w:t>c) La sociedad demandante interpuso recurso de apelación contra la Sentencia, y aportó un documento oficial de nueva confección, expedido por el Jefe del Servicio de industria, energía y minas de la Junta de Andalucía con posterioridad a la celebración del juicio. Según la demanda, el documento se aportaba para combatir el hecho nuevo al que se hace alusión en la letra a).</w:t>
      </w:r>
    </w:p>
    <w:p w:rsidR="001D6FAE" w:rsidRDefault="001D6FAE" w:rsidP="001D6FAE">
      <w:pPr>
        <w:pStyle w:val="TextoNormal"/>
      </w:pPr>
    </w:p>
    <w:p w:rsidR="001D6FAE" w:rsidRDefault="001D6FAE" w:rsidP="001D6FAE">
      <w:pPr>
        <w:pStyle w:val="TextoNormal"/>
      </w:pPr>
      <w:r>
        <w:t>d) Por Auto de 23 de julio de 2013, la Sección Sexta de la Audiencia Provincial de Sevilla acordó no admitir el documento, decisión que sería confirmada en recurso de reposición (Auto de 8 de octubre de 2013). A juicio de la Audiencia Provincial, en segunda instancia sólo cabe aportar documentos que no se pudieron aportar en la primera instancia (art. 460.2, I a III LEC), lo que no se daba en el caso.</w:t>
      </w:r>
    </w:p>
    <w:p w:rsidR="001D6FAE" w:rsidRDefault="001D6FAE" w:rsidP="001D6FAE">
      <w:pPr>
        <w:pStyle w:val="TextoNormal"/>
      </w:pPr>
    </w:p>
    <w:p w:rsidR="001D6FAE" w:rsidRDefault="001D6FAE" w:rsidP="001D6FAE">
      <w:pPr>
        <w:pStyle w:val="TextoNormal"/>
      </w:pPr>
      <w:r>
        <w:t>e) Por Sentencia de 9 de abril de 2014 se desestimó el recurso de apelación. La desestimación se basó en el hecho de dar por probado que los pozos no existían al tiempo de la expropiación, y que sólo constaba documentalmente haberse realizado sondeos pero no haberse explotados los pozos, por lo que no estaba acreditado el afloramiento de aguas, que es lo que hubiera sido determinante del reconocimiento del domino de la demandante.</w:t>
      </w:r>
    </w:p>
    <w:p w:rsidR="001D6FAE" w:rsidRDefault="001D6FAE" w:rsidP="001D6FAE">
      <w:pPr>
        <w:pStyle w:val="TextoNormal"/>
      </w:pPr>
    </w:p>
    <w:p w:rsidR="001D6FAE" w:rsidRDefault="001D6FAE" w:rsidP="001D6FAE">
      <w:pPr>
        <w:pStyle w:val="TextoNormal"/>
      </w:pPr>
      <w:r>
        <w:t>f) La sociedad demandante interpuso de forma conjunta los recursos extraordinario por infracción procesal y de casación contra la Sentencia de segunda instancia, por los cauces del art. 477.2.3 LEC (interés casacional), pero los dos fueron inadmitidos por el Auto de la Sala de lo Civil del Tribunal Supremo de 22 de octubre de 2015, que cerró la vía judicial. El único motivo de casación invocado era la infracción de la disposición transitoria tercera del Real Decreto Legislativo 1/2001, de 20 de julio, por el que se aprueba el texto refundido de la Ley de aguas (relativa a la titularidad de derechos sobre aguas privadas procedentes de pozos o galerías, derivados de la Ley de 13 de junio de 1879); también, los artículos 22 y 23 de la Ley de aguas de 1879 y los artículos 417 y 418 del Código civil, y la doctrina del Tribunal Supremo.</w:t>
      </w:r>
    </w:p>
    <w:p w:rsidR="001D6FAE" w:rsidRDefault="001D6FAE" w:rsidP="001D6FAE">
      <w:pPr>
        <w:pStyle w:val="TextoNormal"/>
      </w:pPr>
    </w:p>
    <w:p w:rsidR="001D6FAE" w:rsidRDefault="001D6FAE" w:rsidP="001D6FAE">
      <w:pPr>
        <w:pStyle w:val="TextoNormal"/>
      </w:pPr>
      <w:r>
        <w:t>A juicio de la Sala de lo Civil del Tribunal Supremo, el escrito de recurso de casación incurría en defectos determinantes de su inadmisión a trámite, lo que conducía consecuentemente a la inadmisión del recurso extraordinario por infracción procesal, de acuerdo con lo establecido por la disposición final decimosexta de la Ley de enjuiciamiento civil: el recurso no indicaba en su encabezamiento el motivo de la doctrina que se solicita que se fije o se declare infringida o desconocida, debiendo acudirse al cuerpo del motivo para poder deducirlo; además de lo anterior, que por sí era suficiente para entender inadmisible el recurso de casación, la Sala no se apreció oposición entre la doctrina invocada en el recurso y lo decidido por la Sentencia recurrida. La parte no habría satisfecho la carga de argumentar cómo, cuándo y en qué sentido la Sentencia recurrida había vulnerado o infringido la jurisprudencia. Por último, según el Auto, la recurrente no identificó ninguna resolución susceptible de fundamentar el interés casacional porque las citadas, aun referidas a la adquisición del derecho de aprovechamiento de aguas, no guardaban identidad con el supuesto fáctico ni paralelismo con el problema jurídico. Se invocó también en el recurso de casación la infracción de la doctrina de la Sala tercera del Tribunal Supremo, pero, basándose en otras sentencias de la Sala de lo Civil, esta última consideró inadmisible acreditar el interés casacional con Sentencias de otras Salas del Tribunal Supremo, pues debe tratarse de doctrina de la Sala correspondiente al mismo orden jurisdiccional.</w:t>
      </w:r>
    </w:p>
    <w:p w:rsidR="001D6FAE" w:rsidRDefault="001D6FAE" w:rsidP="001D6FAE">
      <w:pPr>
        <w:pStyle w:val="TextoNormal"/>
      </w:pPr>
    </w:p>
    <w:p w:rsidR="001D6FAE" w:rsidRDefault="001D6FAE" w:rsidP="001D6FAE">
      <w:pPr>
        <w:pStyle w:val="TextoNormal"/>
      </w:pPr>
      <w:r w:rsidRPr="001D6FAE">
        <w:rPr>
          <w:rStyle w:val="NumeroAFNegritaCaracter"/>
        </w:rPr>
        <w:t>3</w:t>
      </w:r>
      <w:r>
        <w:t>. En la demanda de amparo, tras las alegaciones destinadas a justificar la especial trascendencia constitucional del recurso, la mercantil demandante sostiene, como única queja, que se ha vulnerado su derecho a utilizar los medios de prueba pertinentes para la defensa (art. 24.2 CE), como consecuencia de la inadmisión de la prueba documental propuesta en segunda instancia, lo que hubiera sido relevante para alterar el sentido del fallo de apelación. Aduce que los Autos de la Audiencia Provincial recurridos en amparo adolecen de excesivo rigorismo y formalismo cuando deciden no admitir a trámite la prueba documental propuesta en segunda instancia, contraviniendo el espíritu de la norma constitucional y a su interpretación por este Tribunal, y que ésta era pertinente y decisiva para la resolución del proceso. Se entiende que, de acuerdo con el art. 460.2, 3 LEC, la prueba debió ser admitida, interpretada la norma en conformidad con el art. 270 LEC, razón por la que se suplica la declaración de nulidad de las resoluciones recurridas con retroacción al momento anterior al dictado del Auto de 23 de julio de 2013 por la Audiencia Provincial de Sevilla.</w:t>
      </w:r>
    </w:p>
    <w:p w:rsidR="001D6FAE" w:rsidRDefault="001D6FAE" w:rsidP="001D6FAE">
      <w:pPr>
        <w:pStyle w:val="TextoNormal"/>
      </w:pPr>
    </w:p>
    <w:p w:rsidR="001D6FAE" w:rsidRDefault="001D6FAE" w:rsidP="001D6FAE">
      <w:pPr>
        <w:pStyle w:val="TextoNormal"/>
      </w:pPr>
      <w:r w:rsidRPr="001D6FAE">
        <w:rPr>
          <w:rStyle w:val="NumeroAFNegritaCaracter"/>
        </w:rPr>
        <w:t>4</w:t>
      </w:r>
      <w:r>
        <w:t>. La Sección Primera de este Tribunal, por providencia de 13 de abril de 2016, declaró la inadmisión del recurso de amparo, con arreglo a lo previsto en el art. 50.1 a) de la Ley Orgánica del Tribunal Constitucional (LOTC), porque no se han agotado debidamente todos los medios de impugnación dentro de la vía judicial, violación que, de acuerdo con el art. 44.1 LOTC, es condición para que este Tribunal pueda ejercer dicha tutela.</w:t>
      </w:r>
    </w:p>
    <w:p w:rsidR="001D6FAE" w:rsidRDefault="001D6FAE" w:rsidP="001D6FAE">
      <w:pPr>
        <w:pStyle w:val="TextoNormal"/>
      </w:pPr>
    </w:p>
    <w:p w:rsidR="001D6FAE" w:rsidRDefault="001D6FAE" w:rsidP="001D6FAE">
      <w:pPr>
        <w:pStyle w:val="TextoNormal"/>
      </w:pPr>
      <w:r w:rsidRPr="001D6FAE">
        <w:rPr>
          <w:rStyle w:val="NumeroAFNegritaCaracter"/>
        </w:rPr>
        <w:t>5</w:t>
      </w:r>
      <w:r>
        <w:t>. El Ministerio Fiscal, por escrito registrado el día 6 de mayo de 2016, interpuso recurso de súplica contra la referida providencia de inadmisión, solicitando que fuera dejada sin efecto y se repusieran las actuaciones al momento anterior a dictarse la citada resolución, a los efectos de decidir nuevamente sobre la admisión de la demanda de amparo. Argumenta que el contenido del recurso de amparo se circunscribe a la vulneración del derecho a la prueba del art. 24.2 CE, que fue denegada a la recurrente por la Audiencia Provincial, y sobre la cual no tuvo respuesta por parte del Tribunal Supremo como consecuencia de la inadmisión del recurso extraordinario por infracción procesal en el que se denunciaba ese hecho, debido a la inadmisión del recurso de casación. Asimismo, se afirma que la petición de amparo se dirige contra esa concreta resolución por infracción del derecho a la prueba, pero no contra el Auto de la Sala de lo Civil del Tribunal Supremo que inadmitió los dos recursos extraordinarios. Por todo ello, concluye el Ministerio Fiscal que el recurrente habría agotado adecuadamente los medios de impugnación tendentes a la reparación del derecho en vía judicial.</w:t>
      </w:r>
    </w:p>
    <w:p w:rsidR="001D6FAE" w:rsidRDefault="001D6FAE" w:rsidP="001D6FAE">
      <w:pPr>
        <w:pStyle w:val="TextoNormal"/>
      </w:pPr>
    </w:p>
    <w:p w:rsidR="001D6FAE" w:rsidRDefault="001D6FAE" w:rsidP="001D6FAE">
      <w:pPr>
        <w:pStyle w:val="TextoNormal"/>
      </w:pPr>
      <w:r w:rsidRPr="001D6FAE">
        <w:rPr>
          <w:rStyle w:val="NumeroAFNegritaCaracter"/>
        </w:rPr>
        <w:t>6</w:t>
      </w:r>
      <w:r>
        <w:t>. Mediante diligencia de ordenación de 9 de mayo de 2016, la Secretaría de Justicia de la Sala Primera dio traslado del escrito del Ministerio Fiscal a la representación procesal del demandante de amparo, a fin de que, en el plazo de tres días, pudiera alegar lo que estimase pertinente en relación al recurso de súplica formulado de conformidad con el art. 93.2 LOTC.</w:t>
      </w:r>
    </w:p>
    <w:p w:rsidR="001D6FAE" w:rsidRDefault="001D6FAE" w:rsidP="001D6FAE">
      <w:pPr>
        <w:pStyle w:val="TextoNormal"/>
      </w:pPr>
    </w:p>
    <w:p w:rsidR="001D6FAE" w:rsidRDefault="001D6FAE" w:rsidP="001D6FAE">
      <w:pPr>
        <w:pStyle w:val="TextoNormal"/>
      </w:pPr>
      <w:r w:rsidRPr="001D6FAE">
        <w:rPr>
          <w:rStyle w:val="NumeroAFNegritaCaracter"/>
        </w:rPr>
        <w:t>7</w:t>
      </w:r>
      <w:r>
        <w:t>. El día 18 de mayo de 2016, la representación procesal del recurrente evacuó dicho trámite, adhiriéndose a las alegaciones del Ministerio Fiscal e interesando la estimación del recurso de súplica interpuesto.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Primera de este Tribunal acordó por unanimidad la inadmisión de la demanda de amparo en providencia de 13 de abril de 2016, al entender que concurría el óbice procesal de falta de agotamiento de los recursos en la vía judicial. El Fiscal recurrió en súplica dicha providencia por considerar que no concurría dicha causa de inadmisión de la demanda, puesto que la sociedad recurrente agotó todos los medios de impugnación disponibles antes de acudir ante este Tribunal Constitucional a través del recurso de amparo. A esta argumentación se adhiere el recurrente, interesando en consecuencia la admisión a trámite de la demanda de amparo.</w:t>
      </w:r>
    </w:p>
    <w:p w:rsidR="001D6FAE" w:rsidRDefault="001D6FAE" w:rsidP="001D6FAE">
      <w:pPr>
        <w:pStyle w:val="TextoNormal"/>
      </w:pPr>
    </w:p>
    <w:p w:rsidR="001D6FAE" w:rsidRDefault="001D6FAE" w:rsidP="001D6FAE">
      <w:pPr>
        <w:pStyle w:val="TextoNormal"/>
      </w:pPr>
      <w:r w:rsidRPr="001D6FAE">
        <w:rPr>
          <w:rStyle w:val="NumeroAFNegritaCaracter"/>
        </w:rPr>
        <w:t>2</w:t>
      </w:r>
      <w:r>
        <w:t>. Como se ha reseñado anteriormente, la recurrente interpuso recurso de casación y recurso extraordinario por infracción procesal en un asunto que no alcanzaba la cuantía de 600.000 €, por lo que la única manera de que el Tribunal Supremo entrase a conocer del segundo —y, con ello, del motivo que sirve ahora de fundamento a la demanda de amparo— hubiera sido previa admisión a trámite del recurso de casación, de conformidad con lo establecido por la disposición final decimosexta, párrafo 1 regla 5 de la Ley de enjuiciamiento civil (LEC). Ello no fue sin embargo posible dado que, como argumenta el Auto de la Sala de lo Civil del Tribunal Supremo de 22 de octubre de 2015 (y la parte recurrente no combatió, ni en incidente extraordinario de nulidad de actuaciones ni ahora en el recurso de amparo), el recurso de casación era inadmisible, al no poderse apreciar la existencia de interés casacional, pues las resoluciones invocadas por la recurrente no se referían al supuesto de hecho resuelto por la Sentencia impugnada; se ignoró igualmente que la decisión de segunda instancia se fundaba en dos Sentencias del Tribunal Supremo, es decir, que no sólo no se infringió la doctrina, sino que la Sentencia se acogió a la doctrina de la Sala. En resumen, fue el defectuoso planteamiento del recurso de casación (hecho que, insistimos, no combate la demanda de amparo) lo que determinó su inadmisión y, con ello, imposibilitó que la Sala Primera entrase a conocer del recurso extraordinario por infracción procesal y que impidió que la propia jurisdicción ordinaria pusiera remedio, en su caso, a la vulneración que ahora se denuncia. Nos encontramos, pues, ante un agotamiento defectuoso de la vía y, como hemos señalado reiteradamente, “el agotamiento defectuoso de la vía judicial equivale a su falta de agotamiento” (STC 93/2002, de 22 de abril, FJ 3; y ATC 198/2010, de 21 de diciembre, FJ 6). Lo que significa que “cuando la vía judicial precedente se frustra porque el recurso intentado no resulta admisible ha de entenderse incumplido, en principio, el requisito de su agotamiento, deviniendo impracticable, por tanto, la vía de amparo ante este Tribunal (STC 133/2001, de 13 de junio, FJ 2)”.</w:t>
      </w:r>
    </w:p>
    <w:p w:rsidR="001D6FAE" w:rsidRDefault="001D6FAE" w:rsidP="001D6FAE">
      <w:pPr>
        <w:pStyle w:val="TextoNormal"/>
      </w:pPr>
    </w:p>
    <w:p w:rsidR="001D6FAE" w:rsidRDefault="001D6FAE" w:rsidP="001D6FAE">
      <w:pPr>
        <w:pStyle w:val="TextoNormal"/>
      </w:pPr>
      <w:r w:rsidRPr="001D6FAE">
        <w:rPr>
          <w:rStyle w:val="NumeroAFNegritaCaracter"/>
        </w:rPr>
        <w:t>3</w:t>
      </w:r>
      <w:r>
        <w:t>. En suma, examinados los argumentos del recurso de súplica interpuesto por el Ministerio Fiscal, la Sección confirma su decisión de no admitir el recurso de amparo, dada la falta de agotamiento de la vía judicial, violación que, de acuerdo con el art. 44.1 de la Ley Orgánica del Tribunal Constitucional, es condición para que este Tribunal pueda ejercer dicha tutela.</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Desestimar el recurso de súplica interpuesto por el Ministerio Fiscal y, en consecuencia, confirmar en su integridad la providencia de 13 de abril de 2016.</w:t>
      </w:r>
    </w:p>
    <w:p w:rsidR="001D6FAE" w:rsidRDefault="001D6FAE" w:rsidP="001D6FAE">
      <w:pPr>
        <w:pStyle w:val="TextoNormal"/>
      </w:pPr>
    </w:p>
    <w:p w:rsidR="001D6FAE" w:rsidRDefault="001D6FAE" w:rsidP="001D6FAE">
      <w:pPr>
        <w:pStyle w:val="TextoNormal"/>
      </w:pPr>
      <w:r>
        <w:t>Madrid, a cinco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1" w:name="AUTO_2016_138"/>
      <w:r>
        <w:t>AUTO 138/2016, de 5 de julio de 2016</w:t>
      </w:r>
    </w:p>
    <w:bookmarkEnd w:id="111"/>
    <w:p w:rsidR="001D6FAE" w:rsidRDefault="001D6FAE" w:rsidP="001D6FAE">
      <w:pPr>
        <w:pStyle w:val="TtuloResolucin"/>
      </w:pPr>
      <w:r>
        <w:t>Pleno</w:t>
      </w:r>
    </w:p>
    <w:p w:rsidR="001D6FAE" w:rsidRDefault="001D6FAE" w:rsidP="001D6FAE">
      <w:pPr>
        <w:pStyle w:val="TextoNormalCentrado"/>
      </w:pPr>
      <w:r>
        <w:t>ECLI:ES:TC:2016:138A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7319-2015, planteada por el Juzgado de lo Social núm. 3 de Alicante en relación con diversos preceptos del Real Decreto-ley 20/2012, de 13 de julio, de medidas para garantizar la estabilidad presupuestaria y de fomento de la competitividad, y del Decreto-ley 6/2012, de 28 de septiembre, del Consell de la Comunidad Valenciana, de desarrollo y aplicación de las disposiciones incluidas en el título I y disposiciones concordantes del Real Decreto-ley 20/2012.</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oficio registrado en este Tribunal el día 23 de diciembre de 2015, el Juzgado de lo Social núm. 3 de Alicante remitió oficio al que se acompaña, además del testimonio del procedimiento núm. 192-2014, Auto de 13 de noviembre de 2015 por el que se plantea cuestión de inconstitucionalidad en relación con el art. 2 del Real Decreto-ley 20/2012, de 13 de julio, de medidas para garantizar la estabilidad presupuestaria y de fomento de la competitividad, y el art. 3 y la disposición adicional segunda del Decreto-ley 6/2012, de 28 de septiembre, del Consell de la Comunidad Valenciana, de desarrollo y aplicación de las disposiciones incluidas en el título I y disposiciones concordantes del Real Decreto-ley 20/2012, de 13 de julio, por posible vulneración del art. 9.3 de la Constitución.</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del planteamiento de la presente cuestión de inconstitucionalidad son, sucintamente expuestos, los siguientes:</w:t>
      </w:r>
    </w:p>
    <w:p w:rsidR="001D6FAE" w:rsidRDefault="001D6FAE" w:rsidP="001D6FAE">
      <w:pPr>
        <w:pStyle w:val="TextoNormal"/>
      </w:pPr>
    </w:p>
    <w:p w:rsidR="001D6FAE" w:rsidRDefault="001D6FAE" w:rsidP="001D6FAE">
      <w:pPr>
        <w:pStyle w:val="TextoNormal"/>
      </w:pPr>
      <w:r>
        <w:t>a) En fecha 26 de febrero de 2014 tuvo entrada en el Decanato de los Juzgados de Alicante la demanda interpuesta por el sindicato USO, en representación de trece de sus afiliados, trabajadores de un centro concertado de enseñanza, solicitando que la Generalitat de Valencia fuera condenada a abonar a dichos trabajadores la parte proporcional de la paga extraordinaria correspondiente al año 2012 devengada antes de la entrada en vigor del Real Decreto-ley 20/2012, de 13 de julio.</w:t>
      </w:r>
    </w:p>
    <w:p w:rsidR="001D6FAE" w:rsidRDefault="001D6FAE" w:rsidP="001D6FAE">
      <w:pPr>
        <w:pStyle w:val="TextoNormal"/>
      </w:pPr>
    </w:p>
    <w:p w:rsidR="001D6FAE" w:rsidRDefault="001D6FAE" w:rsidP="001D6FAE">
      <w:pPr>
        <w:pStyle w:val="TextoNormal"/>
      </w:pPr>
      <w:r>
        <w:t>b) Una vez que el pleito quedó concluso para sentencia, mediante providencia de 17 de septiembre de 2014, el órgano judicial acordó oír a las partes y al Ministerio Fiscal para que alegaran sobre la pertinencia de plantear la cuestión de inconstitucionalidad en relación con los arts. 2.1 y 2.2.2 del Real Decreto-ley 20/2012. Según señalaba la providencia, la duda de constitucionalidad se concretaba en la supresión al personal laboral del sector público de la paga extraordinaria del mes de diciembre de 2012. A juicio del órgano judicial, siendo la paga extraordinaria una manifestación de salario diferido que se devenga día a día, se habría aplicado retroactivamente la supresión a los días devengados antes del 15 de julio de 2012 —fecha de entrada en vigor de la norma—. Esto sería contrario al principio de irretroactividad de las disposiciones restrictivas de derechos individuales.</w:t>
      </w:r>
    </w:p>
    <w:p w:rsidR="001D6FAE" w:rsidRDefault="001D6FAE" w:rsidP="001D6FAE">
      <w:pPr>
        <w:pStyle w:val="TextoNormal"/>
      </w:pPr>
    </w:p>
    <w:p w:rsidR="001D6FAE" w:rsidRDefault="001D6FAE" w:rsidP="001D6FAE">
      <w:pPr>
        <w:pStyle w:val="TextoNormal"/>
      </w:pPr>
      <w:r>
        <w:t>c) Mediante Auto de 16 de octubre de 2014, el Juzgado de lo Social núm. 3 de Alicante resolvió plantear la cuestión de inconstitucionalidad a efectos de determinar si la decisión de supresión de la paga extraordinaria correspondiente a diciembre de 2012 para el personal laboral del sector público contenida en los arts. 2.1 y 2.2.2 del Real Decreto-ley 20/2012 vulnera lo previsto en el art. 9.3 CE respecto a la interdicción de la retroactividad de normas restrictivas de derechos individuales en relación con el principio de seguridad jurídica contenido en el mismo precepto constitucional.</w:t>
      </w:r>
    </w:p>
    <w:p w:rsidR="001D6FAE" w:rsidRDefault="001D6FAE" w:rsidP="001D6FAE">
      <w:pPr>
        <w:pStyle w:val="TextoNormal"/>
      </w:pPr>
    </w:p>
    <w:p w:rsidR="001D6FAE" w:rsidRDefault="001D6FAE" w:rsidP="001D6FAE">
      <w:pPr>
        <w:pStyle w:val="TextoNormal"/>
      </w:pPr>
      <w:r>
        <w:t xml:space="preserve">d) Por ATC 10/2015, de 20 de enero, el Pleno de este Tribunal acordó inadmitir a trámite la citada cuestión de inconstitucionalidad. Señala el citado Auto, FJ 4, que el juicio de aplicabilidad y relevancia que late en el razonamiento del órgano judicial resulta notoriamente inconsistente. “La premisa de la que parte el órgano judicial se revela manifiestamente incorrecta, tal y como han señalado los propios demandantes en dos momentos procesales distintos, incluido en el trámite de audiencia previo al planteamiento de la cuestión de inconstitucionalidad. En lo que interesa para la resolución del proceso </w:t>
      </w:r>
      <w:r w:rsidRPr="001D6FAE">
        <w:rPr>
          <w:i/>
        </w:rPr>
        <w:t>a quo</w:t>
      </w:r>
      <w:r>
        <w:t xml:space="preserve">,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 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y cuya validez discuten los propios demandantes. Aunque este Tribunal declarase la inconstitucionalidad y nulidad del art. 2 del Real Decreto-ley 20/2012, dado que la declaración de inconstitucionalidad y nulidad de una norma estatal no acarrea </w:t>
      </w:r>
      <w:r w:rsidRPr="001D6FAE">
        <w:rPr>
          <w:i/>
        </w:rPr>
        <w:t>per se</w:t>
      </w:r>
      <w:r>
        <w:t xml:space="preserv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 En suma, el sentido del fallo en el proceso </w:t>
      </w:r>
      <w:r w:rsidRPr="001D6FAE">
        <w:rPr>
          <w:i/>
        </w:rPr>
        <w:t>a quo</w:t>
      </w:r>
      <w:r>
        <w:t xml:space="preserve"> no depende de la validez de la norma legal cuestionada, pues la pretensión de los demandantes consiste en la reclamación de la paga extraordinaria de diciembre que el Decreto-ley 6/2012 del Consell de la Generalitat suprimió al profesorado de la enseñanza concertada o, subsidiariamente, de la parte proporcional ya devengada cuando entró en vigor el Decreto-ley valenciano (y no el Real Decreto-ley 20/2012)”.</w:t>
      </w:r>
    </w:p>
    <w:p w:rsidR="001D6FAE" w:rsidRDefault="001D6FAE" w:rsidP="001D6FAE">
      <w:pPr>
        <w:pStyle w:val="TextoNormal"/>
      </w:pPr>
    </w:p>
    <w:p w:rsidR="001D6FAE" w:rsidRDefault="001D6FAE" w:rsidP="001D6FAE">
      <w:pPr>
        <w:pStyle w:val="TextoNormal"/>
      </w:pPr>
      <w:r>
        <w:t>e) Por providencia de 27 de mayo de 2015, el Juzgado de lo Social núm. 3 de Alicante acordó “conceder a las partes y al Ministerio Fiscal el plazo común e improrrogable de diez días para que aleguen lo que a su derecho convenga sobre la pertinencia de plantear cuestión de inconstitucionalidad —o sobre el fondo de la misma— en relación al art. 2 del Real Decreto-ley 20/2012, de 13 de julio, de medidas para garantizar la estabilidad presupuestaria y de fomento de la competitividad, art. 3 y disposición adicional segunda del Decreto-ley 6/2012, de 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f) La representación procesal de los demandantes manifestó su oposición al planteamiento de la cuestión de inconstitucionalidad, con dos argumentos: el Real Decreto-ley 20/2012 suprime la paga extraordinaria de diciembre de 2012 al personal funcionario y al personal laboral de la Administración, no a los profesores de la enseñanza concertada (citando de nuevo diversas sentencias de Tribunales Superiores de Justicia); y el Auto del Tribunal Constitucional de 20 de enero de 2015 dictado en el presente procedimiento, reconoce que el Decreto-ley 6/2012 del Consell no se limita a dar aplicación en el ámbito del sector público valenciano a lo dispuesto en el Real Decreto-ley 20/2012, pues amplia el ámbito subjetivo de aplicación del mandato normativo de supresión de la paga extraordinaria de diciembre de 2012 que aquel contiene. La Abogada de la Generalitat se opuso al planteamiento de la cuestión al considerar que no se cumple el presupuesto básico del art. 9.3 CE, que es que nos encontremos ante derechos individuales amparables por el principio de interdicción de la arbitrariedad. Por su parte, el Ministerio Fiscal manifestó también su oposición al planteamiento de la cuestión pues al haber sido devuelta parte de dicha paga extraordinaria a comienzos de 2015, y comprender dicha devolución la parte correspondiente a los días devengados a los que se refiere la cuestión, ésta carece de objeto por satisfacción extraprocesal de la pretensión a la que afecta la cuestión que se pretende plantear.</w:t>
      </w:r>
    </w:p>
    <w:p w:rsidR="001D6FAE" w:rsidRDefault="001D6FAE" w:rsidP="001D6FAE">
      <w:pPr>
        <w:pStyle w:val="TextoNormal"/>
      </w:pPr>
    </w:p>
    <w:p w:rsidR="001D6FAE" w:rsidRDefault="001D6FAE" w:rsidP="001D6FAE">
      <w:pPr>
        <w:pStyle w:val="TextoNormal"/>
      </w:pPr>
      <w:r>
        <w:t>g) Por Auto de 13 de noviembre de 2015, el Juzgado de lo Social núm. 3 de Alicante acordó promover cuestión de inconstitucionalidad en los siguientes términos: “si la redacción de las disposiciones que se reproducen a continuación, en su aplicación a los docentes de los centros privados concertados de la Comunidad Valenciana, ha vulnerado o no el principio de irretroactividad de las disposiciones restrictivas de derechos individuales contemplados en el art. 9.3 CE, en relación con el principio de seguridad jurídica del mismo precepto. Todo ello como consecuencia de considerar dichos preceptos aplicables al presente litigio, dependiendo el fallo del mismo de su validez, y no siendo posibles acomodarlos al ordenamiento constitucional por su vía interpretativa. Las disposiciones cuestionadas son por ello:</w:t>
      </w:r>
    </w:p>
    <w:p w:rsidR="001D6FAE" w:rsidRDefault="001D6FAE" w:rsidP="001D6FAE">
      <w:pPr>
        <w:pStyle w:val="TextoNormal"/>
      </w:pPr>
    </w:p>
    <w:p w:rsidR="001D6FAE" w:rsidRDefault="001D6FAE" w:rsidP="001D6FAE">
      <w:pPr>
        <w:pStyle w:val="TextoNormal"/>
      </w:pPr>
      <w:r>
        <w:t>-Artículo 2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-Artículo 3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-Disposición adicional segunda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13 de noviembre de 2015 del Juzgado de lo Social núm. 3 de Alicante fundamenta el planteamiento de la cuestión de inconstitucionalidad en las consideraciones que seguidamente se indican.</w:t>
      </w:r>
    </w:p>
    <w:p w:rsidR="001D6FAE" w:rsidRDefault="001D6FAE" w:rsidP="001D6FAE">
      <w:pPr>
        <w:pStyle w:val="TextoNormal"/>
      </w:pPr>
    </w:p>
    <w:p w:rsidR="001D6FAE" w:rsidRDefault="001D6FAE" w:rsidP="001D6FAE">
      <w:pPr>
        <w:pStyle w:val="TextoNormal"/>
      </w:pPr>
      <w:r>
        <w:t>Comienza el Auto exponiendo los hechos que han dado lugar al planteamiento de la cuestión, y, en este sentido señala que los demandantes reclaman, de forma principal, el importe íntegro de la paga extra de Navidad del año 2012 y, de forma subsidiaria, el abono del período devengado de la paga extraordinaria hasta la entrada en vigor del Decreto-ley 6/2012 o, al menos la parte proporcional de la paga en cuestión (que se cifra en 44/180); y, que los demandantes basan sus pretensiones en la “ilegalidad” (</w:t>
      </w:r>
      <w:r w:rsidRPr="001D6FAE">
        <w:rPr>
          <w:i/>
        </w:rPr>
        <w:t>sic</w:t>
      </w:r>
      <w:r>
        <w:t>) del Decreto-ley 6/2012 del Consell, cuestionando que se pueda aplicar retroactivamente.</w:t>
      </w:r>
    </w:p>
    <w:p w:rsidR="001D6FAE" w:rsidRDefault="001D6FAE" w:rsidP="001D6FAE">
      <w:pPr>
        <w:pStyle w:val="TextoNormal"/>
      </w:pPr>
    </w:p>
    <w:p w:rsidR="001D6FAE" w:rsidRDefault="001D6FAE" w:rsidP="001D6FAE">
      <w:pPr>
        <w:pStyle w:val="TextoNormal"/>
      </w:pPr>
      <w:r>
        <w:t>El Auto tras reproducir el contenido del art. 2 Real Decreto-ley 20/2012 y art. 3 y disposición adicional segunda del Decreto-ley 6/2012, afirma que la supresión de la parte ya devengada de la paga extra de Navidad del año 2012 podría vulnerar lo dispuesto en el art. 9.3 CE al privar a los docentes de los centros concertados de un derecho individual con efecto retroactivo. En tal sentido, recuerda que “el art. 31 LET —al igual que el art. 59 del V Convenio Colectivo de Empresas de Enseñanza Privada sostenidas total o parcialmente con fondos públicos— establece el derecho de los mismos a dos gratificaciones extraordinarias al año, una de ellas con ocasión de las fiestas de Navidad…, habiendo declarado de forma reiterada la Sala de lo Social del Tribunal Supremo que dichas gratificaciones constituyen una manifestación del salario diferido y se devengan día a día”.</w:t>
      </w:r>
    </w:p>
    <w:p w:rsidR="001D6FAE" w:rsidRDefault="001D6FAE" w:rsidP="001D6FAE">
      <w:pPr>
        <w:pStyle w:val="TextoNormal"/>
      </w:pPr>
    </w:p>
    <w:p w:rsidR="001D6FAE" w:rsidRDefault="001D6FAE" w:rsidP="001D6FAE">
      <w:pPr>
        <w:pStyle w:val="TextoNormal"/>
      </w:pPr>
      <w:r>
        <w:t>Señala que la claridad de los artículos cuya constitucionalidad se cuestiona, los cuales, a su juicio, establecen la retroactividad de sus efectos a fecha 1 de enero de 2012, impide su acomodación por vía interpretativa al art. 9.3 CE dado que difícilmente se puede recurrir a lo establecido en el art. 2.3 del Código civil.</w:t>
      </w:r>
    </w:p>
    <w:p w:rsidR="001D6FAE" w:rsidRDefault="001D6FAE" w:rsidP="001D6FAE">
      <w:pPr>
        <w:pStyle w:val="TextoNormal"/>
      </w:pPr>
    </w:p>
    <w:p w:rsidR="001D6FAE" w:rsidRDefault="001D6FAE" w:rsidP="001D6FAE">
      <w:pPr>
        <w:pStyle w:val="TextoNormal"/>
      </w:pPr>
      <w:r>
        <w:t>Finalmente añade que “todo lo anteriormente expuesto, de conformidad al art. 5.3 LOPJ, legitima el planteamiento de esta cuestión de inconstitucionalidad, la cual tiene por objeto el art. 2 del Real Decreto-ley 20/2012, el art 3 y la disposición adicional segunda del Decreto-ley 6/2012, al autorizar la supresión de la paga extraordinaria de Navidad del año 2012 del profesorado de los centros docentes privados concertados, sin introducir excepción alguna respecto de las cuantías ya devengadas al momento de la entrada en vigor del Decreto-ley 6/2012 (1 de octubre de 2012) —es por ello por lo que no comparto la apreciación del Fiscal en el sentido de que, tras el abono de los 44 días devengados hasta el 14 de julio de 2012, carecería de sentido plantear esta cuestión; la irretroactividad de las normas exige el abono de lo devengado hasta el 1 de octubre de 2012—”.</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3 de febrero de 2016, el Pleno acordó, de conformidad con lo dispuesto en el art. 88.1 de la Ley Orgánica del Tribunal Constitucional (LOTC), dirigir atenta comunicación a la Conselleria de Educación, Cultura y Deportes de la Generalitat Valenciana, a fin de que indique a este Tribunal si, en atención a lo previsto en la disposición adicional duodécima de la Ley 36/2014, de presupuestos del Estado para el año 2015, o por cualquier otra circunstancia, han satisfecho al personal docente del centro concertado padre Dehón de Novelda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D6FAE" w:rsidRDefault="001D6FAE" w:rsidP="001D6FAE">
      <w:pPr>
        <w:pStyle w:val="TextoNormal"/>
      </w:pPr>
    </w:p>
    <w:p w:rsidR="001D6FAE" w:rsidRDefault="001D6FAE" w:rsidP="001D6FAE">
      <w:pPr>
        <w:pStyle w:val="TextoNormal"/>
      </w:pPr>
      <w:r>
        <w:t>El 5 de mayo de 2016 la Consellería de Educación, Investigación, Cultura y Deporte de la Generalitat Valenciana remitió escrito a este Tribunal en el que se informa que en fecha 9 de junio de 2014 se firmó el acuerdo de la Mesa general de negociación de personal funcionario, en el que se acuerda el abono correspondiente a los cuarenta y cuatro días devengados de la paga extra de diciembre de 2012. Por resolución de la Dirección General de Centros y Personal Docente de 20 de febrero de 2015, se resolvió abonar en la nómina del mes de febrero de 2015 dicho importe a los docentes de la enseñanza concertada. Asimismo, por resolución de 18 de noviembre de 2015, de la Dirección General de la Función Pública, por la que se reconoce el derecho del personal de la Administración de la Generalitat al abono de determinada cuantía correspondiente a la paga extraordinaria de 2012 (“DOCV” de 20 de noviembre de 2015), se completó el abono de la paga extraordinaria hasta el 50 por 100 del importe descontado. Esta cantidad se abonó en la nómina de diciembre de 2015.</w:t>
      </w:r>
    </w:p>
    <w:p w:rsidR="001D6FAE" w:rsidRDefault="001D6FAE" w:rsidP="001D6FAE">
      <w:pPr>
        <w:pStyle w:val="TextoNormal"/>
      </w:pPr>
    </w:p>
    <w:p w:rsidR="001D6FAE" w:rsidRDefault="001D6FAE" w:rsidP="001D6FAE">
      <w:pPr>
        <w:pStyle w:val="TextoNormal"/>
      </w:pPr>
      <w:r w:rsidRPr="001D6FAE">
        <w:rPr>
          <w:rStyle w:val="NumeroAFNegritaCaracter"/>
        </w:rPr>
        <w:t>5</w:t>
      </w:r>
      <w:r>
        <w:t>. Por providencia de 24 de mayo de 2016, la Sección Cuarta de este Tribunal Constitucional, a los efectos que determina el art. 37.1 LOTC, acordó oír al Fiscal General del Estado para que, en el plazo de diez días, alegue lo que considere conveniente acerca de la admisibilidad de la presente cuestión de inconstitucionalidad, por si fuera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6</w:t>
      </w:r>
      <w:r>
        <w:t>. El 13 de junio de 2016 tuvo entrada en el Registro General de este Tribunal el informe del Fiscal General del Estado, solicitando la inadmisión de la cuestión, en atención a las razones que se sintetizan a continuación.</w:t>
      </w:r>
    </w:p>
    <w:p w:rsidR="001D6FAE" w:rsidRDefault="001D6FAE" w:rsidP="001D6FAE">
      <w:pPr>
        <w:pStyle w:val="TextoNormal"/>
      </w:pPr>
    </w:p>
    <w:p w:rsidR="001D6FAE" w:rsidRDefault="001D6FAE" w:rsidP="001D6FAE">
      <w:pPr>
        <w:pStyle w:val="TextoNormal"/>
      </w:pPr>
      <w:r>
        <w:t>Tras reproducir los antecedentes de hecho que dan origen a la presente cuestión de inconstitucionalidad, afirma que de conformidad con lo dispuesto en el ATC 13/2016, FJ 2, y la STC 97/2016, FJ 2, debe declararse la extinción sobrevenida de su objeto, pues, aun cuando se aceptara la tesis de la magistrada promotora de que el derecho a percibir la paga extraordinaria de diciembre de 2012, debía extenderse hasta el 1 de octubre de 2012, en que entró en vigor el Decreto-ley 6/2012, del Consell de la Comunidad Valenciana, de desarrollo y aplicación de las disposiciones incluidas en el título I y disposiciones concordantes del Real Decreto-ley 20/2012, de 13 de julio, la misma habría perdido objeto, al haberse abonado a los profesores demandantes la mitad de dicha paga extraordinaria y no sólo la parte correspondiente a 44 días.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Juzgado de lo Social núm. 3 de Alicante plantea cuestión de inconstitucionalidad en relación con el art. 2 del Real Decreto-ley 20/2012, de 13 de julio, de medidas para garantizar la estabilidad presupuestaria y de fomento de la competitividad y el art. 3 y la disposición adicional segunda del Decreto Ley 6/2012, de 28 de septiembre, del Consell de la Comunidad Valenciana, de desarrollo y aplicación de las disposiciones incluidas en el título I y disposiciones concordantes del Real Decreto-ley 20/2012, de 13 de julio, por posible vulneración del art. 9.3 de la Constitución.</w:t>
      </w:r>
    </w:p>
    <w:p w:rsidR="001D6FAE" w:rsidRDefault="001D6FAE" w:rsidP="001D6FAE">
      <w:pPr>
        <w:pStyle w:val="TextoNormal"/>
      </w:pPr>
    </w:p>
    <w:p w:rsidR="001D6FAE" w:rsidRDefault="001D6FAE" w:rsidP="001D6FAE">
      <w:pPr>
        <w:pStyle w:val="TextoNormal"/>
      </w:pPr>
      <w:r>
        <w:t>La duda de constitucionalidad se basa en que los citados preceptos, en cuanto suprimen una parte que consideran ya devengada de la paga extra de Navidad del año 2012 —la generada hasta la entrada en vigor del Decreto-ley 6/2012, esto es, hasta el 1 de octubre de dicho año— al profesorado de los centros docentes privados concertados, podrían vulnerar el art. 9.3 CE. El Fiscal General del Estado sostiene que, conforme al criterio del ATC 13/2016 y la STC 97/2016, el abono de la parte proporcional de la paga extra de diciembre de 2012, correspondiente a la mitad de dicha paga, ha supuesto la satisfacción extraprocesal de la pretensión deducida en el proceso laboral sobre el que se articula la presente cuestión.</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que se exigen para su viabilidad, entre ellas la conexión de relevancia entre la norma legal cuestionada y la pretensión deducida en el pleito </w:t>
      </w:r>
      <w:r w:rsidRPr="001D6FAE">
        <w:rPr>
          <w:i/>
        </w:rPr>
        <w:t>a quo</w:t>
      </w:r>
      <w:r>
        <w:t>, o cuando resultara notoriamente infundada en los términos que la doctrina constitucional atribuye a este concepto (por todos, ATC 43/2014, de 12 de febrero, FJ 3).</w:t>
      </w:r>
    </w:p>
    <w:p w:rsidR="001D6FAE" w:rsidRDefault="001D6FAE" w:rsidP="001D6FAE">
      <w:pPr>
        <w:pStyle w:val="TextoNormal"/>
      </w:pPr>
    </w:p>
    <w:p w:rsidR="001D6FAE" w:rsidRDefault="001D6FAE" w:rsidP="001D6FAE">
      <w:pPr>
        <w:pStyle w:val="TextoNormal"/>
      </w:pPr>
      <w:r>
        <w:t>Acerca de tales condiciones, 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Además,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1D6FAE" w:rsidRDefault="001D6FAE" w:rsidP="001D6FAE">
      <w:pPr>
        <w:pStyle w:val="TextoNormal"/>
      </w:pPr>
    </w:p>
    <w:p w:rsidR="001D6FAE" w:rsidRDefault="001D6FAE" w:rsidP="001D6FAE">
      <w:pPr>
        <w:pStyle w:val="TextoNormal"/>
      </w:pPr>
      <w:r>
        <w:t>De acuerdo con esta doctrina, el juicio de relevancia que expresa el Auto de planteamiento de la presente cuestión de inconstitucionalidad resulta defectuoso.</w:t>
      </w:r>
    </w:p>
    <w:p w:rsidR="001D6FAE" w:rsidRDefault="001D6FAE" w:rsidP="001D6FAE">
      <w:pPr>
        <w:pStyle w:val="TextoNormal"/>
      </w:pPr>
    </w:p>
    <w:p w:rsidR="001D6FAE" w:rsidRDefault="001D6FAE" w:rsidP="001D6FAE">
      <w:pPr>
        <w:pStyle w:val="TextoNormal"/>
      </w:pPr>
      <w:r w:rsidRPr="001D6FAE">
        <w:rPr>
          <w:rStyle w:val="NumeroAFNegritaCaracter"/>
        </w:rPr>
        <w:t>3</w:t>
      </w:r>
      <w:r>
        <w:t>. En efecto, son muy numerosas las Sentencias del Tribunal Constitucional en las que en relación con la supresión de la paga extraordinaria de Navidad de 2012 en el sector público, se ha señalado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(entre otras muchas, SSTC 83/2015, de 30 de abril, 166/2015, de 20 de julio, 245/2015, de 30 de noviembre, 228/2015, de 2 de noviembre, 227/2015, de 2 de noviembre, 225/2015, de 2 de noviembre).</w:t>
      </w:r>
    </w:p>
    <w:p w:rsidR="001D6FAE" w:rsidRDefault="001D6FAE" w:rsidP="001D6FAE">
      <w:pPr>
        <w:pStyle w:val="TextoNormal"/>
      </w:pPr>
    </w:p>
    <w:p w:rsidR="001D6FAE" w:rsidRDefault="001D6FAE" w:rsidP="001D6FAE">
      <w:pPr>
        <w:pStyle w:val="TextoNormal"/>
      </w:pPr>
      <w:r>
        <w:t>Por lo que se refiere expresamente a la Comunidad Valenciana, la resolución de 2 de septiembre de 2014, del Conseller de Hacienda y Administración Pública, por la que se da publicidad al acuerdo de la mesa general de negociación I de la Generalitat, de personal funcionario, estatutario y laboral, sobre el abono de los días devengados de la paga extraordinaria de diciembre de 2012 (“DOCV” 16 de septiembre de 2014), acordó abonar la cuantía correspondiente a 44 días de la citada paga al personal de la Administración de la Generalitat, docente no universitario, Administración de Justicia y el gestionado por la Consellería de Sanidad, y, asimismo, la Ley 8/2014, de 26 de diciembre, de Presupuestos de la Generalitat para el ejercicio 2015, acordó en su disposición adicional vigésimo segunda que “de acuerdo con lo dispuesto, con el carácter de básico, en la Ley de Presupuestos Generales del Estado para 2015, el personal del sector público valenciano, tal y como queda definido en el artículo 23 de la presente ley, percibirá la parte proporcional que, en su caso, corresponda respecto de los importes efectivamente dejados de percibir como consecuencia de la supresión de la paga extraordinaria, así como de la paga adicional de complemento específico o pagas adicionales equivalentes, relativas al mes de diciembre de 2012, por aplicación del Decreto Ley 6/2012, de 28 de septiembre, del Consell, de desarrollo y aplicación de las disposiciones incluidas en el título I y disposiciones concordantes del Real Decreto 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En este sentido, según consta en los hechos probados del Auto por el que se plantea la presente cuestión de inconstitucionalidad, y también en la comunicación remitida por la Consellería de Educación, Investigación, Cultura y Deporte de la Generalitat Valenciana, en la nómina de febrero de 2015, a los demandantes se les ha abonado cuarenta y cuatro días correspondientes a la paga extraordinaria de Navidad de 2012. Asimismo, el Decreto-ley 6/2015, de 16 de octubre, del Consell, por el que se hace efectiva la recuperación de determinadas cantidades de la paga extraordinaria de diciembre de 2012 y de modificación urgente de la Ley 10/2010, de 9 de julio, de la Generalitat, de ordenación y gestión de la función pública valenciana (“DOCV” de 19 de octubre de 2015) ha previsto que “en el ejercicio 2015, se abonará por una sola vez al personal funcionario, laboral y estatutario al Servicio de la Generalitat y al de su sector público instrumental, una retribución de carácter extraordinario en concepto de parte de la paga extraordinaria así como de la paga adicional de complemento específico o pagas adicionales equivalentes, correspondientes al mes de diciembre de 2012, calculada de acuerdo con las previsiones del Real Decreto-ley 10/2015, de 11 de septiembre, de manera que, añadida a los importes ya abonados en aplicación de la Ley 36/2014, de 26 de diciembre, de Presupuestos Generales del Estado para 2015, y la Ley 8/2014, de 26 de diciembre, de Presupuestos de la Generalitat para el ejercicio 2015, den como resultado una recuperación equivalente a la fijada por la normativa básica del Estado para el ejercicio 2015”. Así, como consta en la comunicación remitida por la Consellería de Educación, Investigación, Cultura y Deporte de la Generalitat Valenciana, en la nómina de diciembre de 2015 se ha completado el abono de la paga extraordinaria de diciembre de 2012 hasta el 50 por 100 del importe descontado.</w:t>
      </w:r>
    </w:p>
    <w:p w:rsidR="001D6FAE" w:rsidRDefault="001D6FAE" w:rsidP="001D6FAE">
      <w:pPr>
        <w:pStyle w:val="TextoNormal"/>
      </w:pPr>
    </w:p>
    <w:p w:rsidR="001D6FAE" w:rsidRDefault="001D6FAE" w:rsidP="001D6FAE">
      <w:pPr>
        <w:pStyle w:val="TextoNormal"/>
      </w:pPr>
      <w:r>
        <w:t>Sin embargo, a pesar de la jurisprudencia constitucional señalada y de la recuperación de parte de la paga extraordinaria de Navidad de 2012 en el sector público de la Comunidad Valenciana, el Auto de planteamiento de la presente cuestión de inconstitucionalidad no hace ninguna referencia a la citada jurisprudencia ni contiene razonamiento alguno sobre la incidencia que las normas posteriores que han previsto la recuperación de parte de la paga extraordinaria han tenido en el proceso. El órgano proponente de la cuestión se limita únicamente a señalar que no está de acuerdo con el criterio del Fiscal porque la irretroactividad de las normas exige el abono de lo devengado hasta el 1 de octubre de 2012, fecha de entrada en vigor del Decreto-ley 6/2012.</w:t>
      </w:r>
    </w:p>
    <w:p w:rsidR="001D6FAE" w:rsidRDefault="001D6FAE" w:rsidP="001D6FAE">
      <w:pPr>
        <w:pStyle w:val="TextoNormal"/>
      </w:pPr>
    </w:p>
    <w:p w:rsidR="001D6FAE" w:rsidRDefault="001D6FAE" w:rsidP="001D6FAE">
      <w:pPr>
        <w:pStyle w:val="TextoNormal"/>
      </w:pPr>
      <w:r>
        <w:t>En la demanda en reclamación de cantidad planteada por varios trabajadores contra la Consellería de Educación, Cultura y Deportes de la Generalitat Valenciana se solicitaba de forma principal la devolución íntegra de la paga extra de diciembre de 2012 que les había sido descontada; de forma subsidiaria interesaba que, en primer lugar, les fuese abonada la cantidad correspondiente al período comprendido entre los días 1 de enero de 2012 y 1 de octubre de 2012 y, en segundo lugar y de no prosperar tampoco dicha petición, se abonase la cantidad del 44/180 parte referente a la proporcionalidad de la paga extra de diciembre del 2012, más el interés legal por mora.</w:t>
      </w:r>
    </w:p>
    <w:p w:rsidR="001D6FAE" w:rsidRDefault="001D6FAE" w:rsidP="001D6FAE">
      <w:pPr>
        <w:pStyle w:val="TextoNormal"/>
      </w:pPr>
    </w:p>
    <w:p w:rsidR="001D6FAE" w:rsidRDefault="001D6FAE" w:rsidP="001D6FAE">
      <w:pPr>
        <w:pStyle w:val="TextoNormal"/>
      </w:pPr>
      <w:r>
        <w:t>Pues bien, como consecuencia de la devolución de parte de la paga extraordinaria de diciembre de 2012 con anterioridad al planteamiento de la presente cuestión de inconstitucionalidad, el órgano judicial debería haber especificado en el Auto el número de días que entiende devengados de dicha paga el 1 de octubre de 2012 (fecha de entrada en vigor del Decreto-ley 6/2012), pues sólo de ese modo podría llegarse a la conclusión de que el abono de parte de la paga extra de diciembre de 2012 no ha satisfecho la pretensión de las partes. En consecuencia, el juicio de relevancia formulado por el órgano judicial resulta insuficiente e impide asegurar que el pronunciamiento de este Tribunal sobre los preceptos cuestionados resulta necesario e imprescindible para resolver el caso sometido a la consideración del órgano judicial cuestionante.</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 núm. 7319-2015.</w:t>
      </w:r>
    </w:p>
    <w:p w:rsidR="001D6FAE" w:rsidRDefault="001D6FAE" w:rsidP="001D6FAE">
      <w:pPr>
        <w:pStyle w:val="TextoNormal"/>
      </w:pPr>
    </w:p>
    <w:p w:rsidR="001D6FAE" w:rsidRDefault="001D6FAE" w:rsidP="001D6FAE">
      <w:pPr>
        <w:pStyle w:val="TextoNormal"/>
      </w:pPr>
      <w:r>
        <w:t>Madrid, a cinco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2" w:name="AUTO_2016_139"/>
      <w:r>
        <w:t>AUTO 139/2016, de 5 de julio de 2016</w:t>
      </w:r>
    </w:p>
    <w:bookmarkEnd w:id="112"/>
    <w:p w:rsidR="001D6FAE" w:rsidRDefault="001D6FAE" w:rsidP="001D6FAE">
      <w:pPr>
        <w:pStyle w:val="TtuloResolucin"/>
      </w:pPr>
      <w:r>
        <w:t>Pleno</w:t>
      </w:r>
    </w:p>
    <w:p w:rsidR="001D6FAE" w:rsidRDefault="001D6FAE" w:rsidP="001D6FAE">
      <w:pPr>
        <w:pStyle w:val="TextoNormalCentrado"/>
      </w:pPr>
      <w:r>
        <w:t>ECLI:ES:TC:2016:139A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7320-2015, planteada por el Juzgado de lo Social núm. 3 de Alicante en relación con diversos preceptos del Real Decreto-ley 20/2012, de 13 de julio, de medidas para garantizar la estabilidad presupuestaria y de fomento de la competitividad, y del Decreto-ley 6/2012, de 28 de septiembre, del Consell de la Comunidad Valenciana, de desarrollo y aplicación de las disposiciones incluidas en el título I y disposiciones concordantes del Real Decreto-ley 20/2012.</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oficio registrado en este Tribunal el día 23 de diciembre de 2015, el Juzgado de lo Social núm. 3 de Alicante remitió oficio al que se acompaña, además del testimonio del procedimiento núm. 191-2014, Auto de 13 de noviembre de 2015 por el que se plantea cuestión de inconstitucionalidad en relación con el art. 2 del Real Decreto-ley 20/2012, de 13 de julio, de medidas para garantizar la estabilidad presupuestaria y de fomento de la competitividad, y el art. 3 y la disposición adicional segunda del Decreto-ley 6/2012, de 28 de septiembre, del Consell de la Comunidad Valenciana, de desarrollo y aplicación de las disposiciones incluidas en el título I y disposiciones concordantes del Real Decreto-ley 20/2012, de 13 de julio, , por posible vulneración del art. 9.3 de la Constitución.</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del planteamiento de la presente cuestión de inconstitucionalidad son, sucintamente expuestos, los siguientes:</w:t>
      </w:r>
    </w:p>
    <w:p w:rsidR="001D6FAE" w:rsidRDefault="001D6FAE" w:rsidP="001D6FAE">
      <w:pPr>
        <w:pStyle w:val="TextoNormal"/>
      </w:pPr>
    </w:p>
    <w:p w:rsidR="001D6FAE" w:rsidRDefault="001D6FAE" w:rsidP="001D6FAE">
      <w:pPr>
        <w:pStyle w:val="TextoNormal"/>
      </w:pPr>
      <w:r>
        <w:t>a) El presente procedimiento deriva de demanda presentada por Letrado que actúa en representación del sindicato USO y éste en interés de diversos trabajadores afiliados a dicho sindicato, empleados en un centro docente concertado, frente a la Generalitat Valenciana. En dicho procedimiento se impugna la aplicación hecha por la demandada del Real Decreto-ley 20/2012, a través de la disposición adicional segunda.1 del Decreto-ley 6/2012, de 28 de diciembre, del Consell (que extiende la supresión de la paga extraordinaria de 2012 a los profesores de centros concertados “en los mismos términos que a los profesores de los centros docentes públicos”), en virtud de la cual la Consellería de Educación no abonó a los profesores de centros concertados en la nómina del mes de diciembre del año 2012 la paga extraordinaria correspondiente. Los referidos trabajadores solicitaron, primero en vía administrativa, y después ante el Juzgado de lo Social el abono de la totalidad de la paga extraordinaria de Navidad de 2012 o, con carácter subsidiario, la parte devengada de dicha paga, hasta el momento en que entró en vigor el Decreto-ley 6/2012.</w:t>
      </w:r>
    </w:p>
    <w:p w:rsidR="001D6FAE" w:rsidRDefault="001D6FAE" w:rsidP="001D6FAE">
      <w:pPr>
        <w:pStyle w:val="TextoNormal"/>
      </w:pPr>
    </w:p>
    <w:p w:rsidR="001D6FAE" w:rsidRDefault="001D6FAE" w:rsidP="001D6FAE">
      <w:pPr>
        <w:pStyle w:val="TextoNormal"/>
      </w:pPr>
      <w:r>
        <w:t>b) Por Auto de 16 de octubre de 2014, el Juzgado de lo Social núm. 3 de Alicante acordó promover cuestión de inconstitucionalidad en los siguientes términos: “si la redacción de los arts. 2.1 y 2.2.2 del Real Decreto-ley 20/2012, de 13 de julio, de medidas para garantizar la estabilidad presupuestaria y de fomento de la competitividad, en su aplicación al personal laboral del sector público, ha vulnerado o no el principio de retroactividad de las disposiciones restrictivas de derechos individuales contemplado en el art. 9.3 de la CE, en relación con el principio de seguridad jurídica del mismo precepto. Todo ello como consecuencia de considerar dicho precepto aplicable al presente litigio, dependiendo el fallo del mismo de su validez, y no siendo posible acomodarlo al ordenamiento constitucional por vía interpretativa”.</w:t>
      </w:r>
    </w:p>
    <w:p w:rsidR="001D6FAE" w:rsidRDefault="001D6FAE" w:rsidP="001D6FAE">
      <w:pPr>
        <w:pStyle w:val="TextoNormal"/>
      </w:pPr>
    </w:p>
    <w:p w:rsidR="001D6FAE" w:rsidRDefault="001D6FAE" w:rsidP="001D6FAE">
      <w:pPr>
        <w:pStyle w:val="TextoNormal"/>
      </w:pPr>
      <w:r>
        <w:t xml:space="preserve">c) Por ATC 9/2015, de 20 de enero, el Pleno de este Tribunal acordó inadmitir a trámite la citada cuestión de inconstitucionalidad. Señala el citado Auto, FJ 4, que el juicio de aplicabilidad y relevancia que late en el razonamiento del órgano judicial resulta notoriamente inconsistente. “La premisa de la que parte el órgano judicial se revela manifiestamente incorrecta, tal y como han señalado los propios demandantes en dos momentos procesales distintos, incluido en el trámite de audiencia previo al planteamiento de la cuestión de inconstitucionalidad. En lo que interesa para la resolución del proceso </w:t>
      </w:r>
      <w:r w:rsidRPr="001D6FAE">
        <w:rPr>
          <w:i/>
        </w:rPr>
        <w:t>a quo</w:t>
      </w:r>
      <w:r>
        <w:t xml:space="preserve">,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 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y cuya validez discuten los propios demandantes. Aunque este Tribunal declarase la inconstitucionalidad y nulidad del art. 2 del Real Decreto-ley 20/2012, dado que la declaración de inconstitucionalidad y nulidad de una norma estatal no acarrea </w:t>
      </w:r>
      <w:r w:rsidRPr="001D6FAE">
        <w:rPr>
          <w:i/>
        </w:rPr>
        <w:t>per se</w:t>
      </w:r>
      <w:r>
        <w:t xml:space="preserv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 En suma, el sentido del fallo en el proceso </w:t>
      </w:r>
      <w:r w:rsidRPr="001D6FAE">
        <w:rPr>
          <w:i/>
        </w:rPr>
        <w:t>a quo</w:t>
      </w:r>
      <w:r>
        <w:t xml:space="preserve"> no depende de la validez de la norma legal cuestionada, pues la pretensión de los demandantes consiste en la reclamación de la paga extraordinaria de diciembre que el Decreto-ley 6/2012 del Consell de la Generalitat suprimió al profesorado de la enseñanza concertada o, subsidiariamente, de la parte proporcional ya devengada cuando entró en vigor el Decreto-ley valenciano (y no el Real Decreto-ley 20/2012)”.</w:t>
      </w:r>
    </w:p>
    <w:p w:rsidR="001D6FAE" w:rsidRDefault="001D6FAE" w:rsidP="001D6FAE">
      <w:pPr>
        <w:pStyle w:val="TextoNormal"/>
      </w:pPr>
    </w:p>
    <w:p w:rsidR="001D6FAE" w:rsidRDefault="001D6FAE" w:rsidP="001D6FAE">
      <w:pPr>
        <w:pStyle w:val="TextoNormal"/>
      </w:pPr>
      <w:r>
        <w:t>d) Por providencia de 27 de mayo de 2015, el Juzgado de lo Social núm. 3 de Alicante acordó “conceder a las partes y al Ministerio Fiscal el plazo común e improrrogable de diez días para que aleguen lo que a su derecho convenga sobre la pertinencia de plantear cuestión de inconstitucionalidad —o sobre el fondo de la misma— en relación al art. 2 del Real Decreto-ley 20/2012, de 13 de julio, de medidas para garantizar la estabilidad presupuestaria y de fomento de la competitividad, art. 3 y disposición adicional segunda del Decreto-ley 6/2012, de 8 de septiembre del Consell, de desarrollo y aplicación de las disposición incluidas en el título I y disposiciones concordantes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e) La representación procesal de los demandantes manifestó su oposición al planteamiento de la cuestión de inconstitucionalidad, con dos argumentos: el Real Decreto-ley 20/2012 suprime la paga extraordinaria de diciembre de 2012 al personal funcionario y al personal laboral de la Administración, no a los profesores de la enseñanza concertada (citando de nuevo diversas sentencias de Tribunales Superiores de Justicia); y el Auto del Tribunal Constitucional de 20 de enero de 2015 dictado en el presente procedimiento, reconoce que el Decreto-ley 6/2012 del Consell no se limita a dar aplicación en el ámbito del sector público valenciano a lo dispuesto en el Real Decreto-ley 20/2012, pues amplia el ámbito subjetivo de aplicación del mandato normativo de supresión de la paga extraordinaria de diciembre de 2012 que aquel contiene. La Abogada de la Generalitat se opuso al planteamiento de la cuestión al considerar que no se cumple el presupuesto básico del art. 9.3 CE, que es que nos encontremos ante derechos individuales amparables por el principio de interdicción de la arbitrariedad. Por su parte, el Ministerio Fiscal manifestó también su oposición al planteamiento de la cuestión pues al haber sido devuelta parte de dicha paga extraordinaria a comienzos de 2015, y comprender dicha devolución la parte correspondiente a los días devengados a los que se refiere la cuestión, ésta carece de objeto por satisfacción extraprocesal de la pretensión a la que afecta la cuestión que se pretende plantear.</w:t>
      </w:r>
    </w:p>
    <w:p w:rsidR="001D6FAE" w:rsidRDefault="001D6FAE" w:rsidP="001D6FAE">
      <w:pPr>
        <w:pStyle w:val="TextoNormal"/>
      </w:pPr>
    </w:p>
    <w:p w:rsidR="001D6FAE" w:rsidRDefault="001D6FAE" w:rsidP="001D6FAE">
      <w:pPr>
        <w:pStyle w:val="TextoNormal"/>
      </w:pPr>
      <w:r>
        <w:t>f) Por Auto de 13 de noviembre de 2015, el Juzgado de lo Social núm. 3 de Alicante acordó promover cuestión de inconstitucionalidad en los siguientes términos: “si la redacción de las disposiciones que se reproducen a continuación, en su aplicación a los docentes de los centros privados concertados de la Comunidad Valenciana, ha vulnerado o no el principio de irretroactividad de las disposiciones restrictivas de derechos individuales contemplados en el art. 9.3 CE, en relación con el principio de seguridad jurídica del mismo precepto. Todo ello como consecuencia de considerar dichos preceptos aplicables al presente litigio, dependiendo el fallo del mismo de su validez, y no siendo posibles acomodarlos al ordenamiento constitucional por su vía interpretativa. Las disposiciones cuestionadas son por ello:</w:t>
      </w:r>
    </w:p>
    <w:p w:rsidR="001D6FAE" w:rsidRDefault="001D6FAE" w:rsidP="001D6FAE">
      <w:pPr>
        <w:pStyle w:val="TextoNormal"/>
      </w:pPr>
    </w:p>
    <w:p w:rsidR="001D6FAE" w:rsidRDefault="001D6FAE" w:rsidP="001D6FAE">
      <w:pPr>
        <w:pStyle w:val="TextoNormal"/>
      </w:pPr>
      <w:r>
        <w:t>-Artículo 2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-Artículo 3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-Disposición adicional segunda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13 de noviembre de 2015 del Juzgado de lo Social núm. 3 de Alicante fundamenta el planteamiento de la cuestión de inconstitucionalidad en las consideraciones que seguidamente se indican.</w:t>
      </w:r>
    </w:p>
    <w:p w:rsidR="001D6FAE" w:rsidRDefault="001D6FAE" w:rsidP="001D6FAE">
      <w:pPr>
        <w:pStyle w:val="TextoNormal"/>
      </w:pPr>
    </w:p>
    <w:p w:rsidR="001D6FAE" w:rsidRDefault="001D6FAE" w:rsidP="001D6FAE">
      <w:pPr>
        <w:pStyle w:val="TextoNormal"/>
      </w:pPr>
      <w:r>
        <w:t>Comienza el Auto exponiendo los hechos que han dado lugar al planteamiento de la cuestión, y, en este sentido señala que los demandantes reclaman, de forma principal, el importe íntegro de la paga extra de Navidad del año 2012 y, de forma subsidiaria, el abono del período devengado de la paga extraordinaria hasta la entrada en vigor del Decreto-ley 6/2012 o, al menos la parte proporcional de la paga en cuestión (que se cifra en 44/180); y, que los demandantes basan sus pretensiones en la “ilegalidad” (</w:t>
      </w:r>
      <w:r w:rsidRPr="001D6FAE">
        <w:rPr>
          <w:i/>
        </w:rPr>
        <w:t>sic</w:t>
      </w:r>
      <w:r>
        <w:t>) del Decreto-ley 6/2012 del Consell, cuestionando que se pueda aplicar retroactivamente.</w:t>
      </w:r>
    </w:p>
    <w:p w:rsidR="001D6FAE" w:rsidRDefault="001D6FAE" w:rsidP="001D6FAE">
      <w:pPr>
        <w:pStyle w:val="TextoNormal"/>
      </w:pPr>
    </w:p>
    <w:p w:rsidR="001D6FAE" w:rsidRDefault="001D6FAE" w:rsidP="001D6FAE">
      <w:pPr>
        <w:pStyle w:val="TextoNormal"/>
      </w:pPr>
      <w:r>
        <w:t>El Auto tras reproducir el contenido del art. 2 Real Decreto-ley 20/2012 y art. 3 y disposición adicional segunda del Decreto-ley 6/2012, afirma que la supresión de la parte ya devengada de la paga extra de Navidad del año 2012 podría vulnerar lo dispuesto en el art. 9.3 CE al privar a los docentes de los centros concertados de un derecho individual con efecto retroactivo. En tal sentido, recuerda que “el art. 31 LET —al igual que el art. 59 del V Convenio Colectivo de Empresas de Enseñanza Privada sostenidas total o parcialmente con fondos públicos— establece el derecho de los mismos a dos gratificaciones extraordinarias al año, una de ellas con ocasión de las fiestas de Navidad… habiendo declarado de forma reiterada la Sala de lo Social del Tribunal Supremo que dichas gratificaciones constituyen una manifestación del salario diferido y se devengan día a día”.</w:t>
      </w:r>
    </w:p>
    <w:p w:rsidR="001D6FAE" w:rsidRDefault="001D6FAE" w:rsidP="001D6FAE">
      <w:pPr>
        <w:pStyle w:val="TextoNormal"/>
      </w:pPr>
    </w:p>
    <w:p w:rsidR="001D6FAE" w:rsidRDefault="001D6FAE" w:rsidP="001D6FAE">
      <w:pPr>
        <w:pStyle w:val="TextoNormal"/>
      </w:pPr>
      <w:r>
        <w:t>Señala que la claridad de los artículos cuya constitucionalidad se cuestiona, los cuales, a su juicio, establecen la retroactividad de sus efectos a fecha 1 de enero de 2012, impide su acomodación por vía interpretativa al art. 9.3 CE dado que difícilmente se puede recurrir a lo establecido en el art. 2.3 del Código civil.</w:t>
      </w:r>
    </w:p>
    <w:p w:rsidR="001D6FAE" w:rsidRDefault="001D6FAE" w:rsidP="001D6FAE">
      <w:pPr>
        <w:pStyle w:val="TextoNormal"/>
      </w:pPr>
    </w:p>
    <w:p w:rsidR="001D6FAE" w:rsidRDefault="001D6FAE" w:rsidP="001D6FAE">
      <w:pPr>
        <w:pStyle w:val="TextoNormal"/>
      </w:pPr>
      <w:r>
        <w:t>Finalmente añade que “todo lo anteriormente expuesto, de conformidad al art. 5.3 LOPJ, legitima el planteamiento de esta cuestión de inconstitucionalidad, la cual tiene por objeto el art. 2 del Real Decreto-ley 20/2012, el art 3 y la disposición adicional segunda del Decreto-ley 6/2012, al autorizar la supresión de la paga extraordinaria de Navidad del año 2012 del profesorado de los centros docentes privados concertados, sin introducir excepción alguna respecto de las cuantías ya devengadas al momento de la entrada en vigor del Decreto-ley 6/2012 (1 de octubre de 2012) —es por ello por lo que no comparto la apreciación del Fiscal en el sentido de que, tras el abono de los cuarenta y cuatro días devengados hasta el 14 de julio de 2012, carecería de sentido plantear esta cuestión; la irretroactividad de las normas exige el abono de lo devengado hasta el 1 de octubre de 2012—”.</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3 de febrero de 2016, el Pleno acordó, de conformidad con lo dispuesto en el art. 88.1 de la Ley Orgánica del Tribunal Constitucional (LOTC), dirigir atenta comunicación a la Consellería de Educación, Cultura y Deportes de la Generalitat Valenciana, a fin de que indique a este Tribunal si, en atención a lo previsto en la disposición adicional duodécima de la Ley 36/2014, de presupuestos del Estado para el año 2015, o por cualquier otra circunstancia, han satisfecho al personal docente del centro concertado padre Dehón de Novelda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D6FAE" w:rsidRDefault="001D6FAE" w:rsidP="001D6FAE">
      <w:pPr>
        <w:pStyle w:val="TextoNormal"/>
      </w:pPr>
    </w:p>
    <w:p w:rsidR="001D6FAE" w:rsidRDefault="001D6FAE" w:rsidP="001D6FAE">
      <w:pPr>
        <w:pStyle w:val="TextoNormal"/>
      </w:pPr>
      <w:r>
        <w:t>El 5 de mayo de 2016 la Consellería de Educación, Investigación, Cultura y Deporte de la Generalitat Valenciana remitió escrito a este Tribunal en el que se informa que en fecha 9 de junio de 2014 se firmó el acuerdo de la Mesa general de negociación de personal funcionario, en el que se acuerda el abono correspondiente a los cuarenta y cuatro días devengados de la paga extra de diciembre de 2012. Por resolución de la Dirección General de Centros y Personal Docente de 20 de febrero de 2015, se resolvió abonar en la nómina del mes de febrero de 2015 dicho importe a los docentes de la enseñanza concertada. Asimismo, por resolución de 18 de noviembre de 2015, de la Dirección General de la Función Pública, por la que se reconoce el derecho del personal de la Administración de la Generalitat al abono de determinada cuantía correspondiente a la paga extraordinaria de 2012 (“DOCV” de 20 de noviembre de 2015), se completó el abono de la paga extraordinaria hasta el 50 por 100 del importe descontado. Esta cantidad se abonó en la nómina de diciembre de 2015.</w:t>
      </w:r>
    </w:p>
    <w:p w:rsidR="001D6FAE" w:rsidRDefault="001D6FAE" w:rsidP="001D6FAE">
      <w:pPr>
        <w:pStyle w:val="TextoNormal"/>
      </w:pPr>
    </w:p>
    <w:p w:rsidR="001D6FAE" w:rsidRDefault="001D6FAE" w:rsidP="001D6FAE">
      <w:pPr>
        <w:pStyle w:val="TextoNormal"/>
      </w:pPr>
      <w:r w:rsidRPr="001D6FAE">
        <w:rPr>
          <w:rStyle w:val="NumeroAFNegritaCaracter"/>
        </w:rPr>
        <w:t>5</w:t>
      </w:r>
      <w:r>
        <w:t>. Por providencia de 24 de mayo de 2016, la Sección Cuarta de este Tribunal Constitucional, a los efectos que determina el art. 37.1 LOTC, acordó oír al Fiscal General del Estado para que, en el plazo de diez días, alegue lo que considere conveniente acerca de la admisibilidad de la presente cuestión de inconstitucionalidad, por si fuera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6</w:t>
      </w:r>
      <w:r>
        <w:t>. El 13 de junio de 2016 tuvo entrada en el Registro General de este Tribunal el informe del Fiscal General del Estado, solicitando la inadmisión de la cuestión, en atención a las razones que se sintetizan a continuación.</w:t>
      </w:r>
    </w:p>
    <w:p w:rsidR="001D6FAE" w:rsidRDefault="001D6FAE" w:rsidP="001D6FAE">
      <w:pPr>
        <w:pStyle w:val="TextoNormal"/>
      </w:pPr>
    </w:p>
    <w:p w:rsidR="001D6FAE" w:rsidRDefault="001D6FAE" w:rsidP="001D6FAE">
      <w:pPr>
        <w:pStyle w:val="TextoNormal"/>
      </w:pPr>
      <w:r>
        <w:t>Tras reproducir los antecedentes de hecho que dan origen a la presente cuestión de inconstitucionalidad, afirma que de conformidad con lo dispuesto en el ATC 13/2016, FJ 2, y la STC 97/2016, FJ 2, debe declararse la extinción sobrevenida de su objeto, pues, aun cuando se aceptara la tesis de la magistrada promotora de que el derecho a percibir la paga extraordinaria de diciembre de 2012, debía extenderse hasta el 1 de octubre de 2012, en que entró en vigor el Decreto-ley 6/2012, del Consell de la Comunidad Valenciana, de desarrollo y aplicación de las disposiciones incluidas en el Título I y disposiciones concordantes del Real Decreto-ley 20/2012, de 13 de julio, la misma habría perdido objeto, al haberse abonado a los profesores demandantes la mitad de dicha paga extraordinaria y no sólo la parte correspondiente a 44 días.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Juzgado de lo Social núm. 3 de Alicante plantea cuestión de inconstitucionalidad en relación con el art. 2 del Real Decreto-ley 20/2012, de 13 de julio, de medidas para garantizar la estabilidad presupuestaria y de fomento de la competitividad y el art. 3 y la disposición adicional segunda del Decreto-ley 6/2012, de 28 de septiembre, del Consell de la Comunidad Valenciana, de desarrollo y aplicación de las disposiciones incluidas en el título I y disposiciones concordantes del Real Decreto-ley 20/2012, de 13 de julio, por posible vulneración del art. 9.3 de la Constitución.</w:t>
      </w:r>
    </w:p>
    <w:p w:rsidR="001D6FAE" w:rsidRDefault="001D6FAE" w:rsidP="001D6FAE">
      <w:pPr>
        <w:pStyle w:val="TextoNormal"/>
      </w:pPr>
    </w:p>
    <w:p w:rsidR="001D6FAE" w:rsidRDefault="001D6FAE" w:rsidP="001D6FAE">
      <w:pPr>
        <w:pStyle w:val="TextoNormal"/>
      </w:pPr>
      <w:r>
        <w:t>La duda de constitucionalidad se basa en que los citados preceptos, en cuanto suprimen una parte que consideran ya devengada de la paga extra de Navidad del año 2012 —la generada hasta la entrada en vigor del Decreto-ley 6/2012, esto es, hasta el 1 de octubre de dicho año— al profesorado de los centros docentes privados concertados, podrían vulnerar el art. 9.3 CE. El Fiscal General del Estado sostiene que, conforme al criterio del ATC 13/2016 y la STC 97/2016, el abono de la parte proporcional de la paga extra de diciembre de 2012, correspondiente a la mitad de dicha paga, ha supuesto la satisfacción extraprocesal de la pretensión deducida en el proceso laboral sobre el que se articula la presente cuestión.</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que se exigen para su viabilidad, entre ellas la conexión de relevancia entre la norma legal cuestionada y la pretensión deducida en el pleito </w:t>
      </w:r>
      <w:r w:rsidRPr="001D6FAE">
        <w:rPr>
          <w:i/>
        </w:rPr>
        <w:t>a quo</w:t>
      </w:r>
      <w:r>
        <w:t>, o cuando resultara notoriamente infundada en los términos que la doctrina constitucional atribuye a este concepto (por todos, ATC 43/2014, de 12 de febrero, FJ 3).</w:t>
      </w:r>
    </w:p>
    <w:p w:rsidR="001D6FAE" w:rsidRDefault="001D6FAE" w:rsidP="001D6FAE">
      <w:pPr>
        <w:pStyle w:val="TextoNormal"/>
      </w:pPr>
    </w:p>
    <w:p w:rsidR="001D6FAE" w:rsidRDefault="001D6FAE" w:rsidP="001D6FAE">
      <w:pPr>
        <w:pStyle w:val="TextoNormal"/>
      </w:pPr>
      <w:r>
        <w:t>Acerca de tales condiciones, 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Además,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1D6FAE" w:rsidRDefault="001D6FAE" w:rsidP="001D6FAE">
      <w:pPr>
        <w:pStyle w:val="TextoNormal"/>
      </w:pPr>
    </w:p>
    <w:p w:rsidR="001D6FAE" w:rsidRDefault="001D6FAE" w:rsidP="001D6FAE">
      <w:pPr>
        <w:pStyle w:val="TextoNormal"/>
      </w:pPr>
      <w:r>
        <w:t>De acuerdo con esta doctrina, el juicio de relevancia que expresa el Auto de planteamiento de la presente cuestión de inconstitucionalidad resulta defectuoso.</w:t>
      </w:r>
    </w:p>
    <w:p w:rsidR="001D6FAE" w:rsidRDefault="001D6FAE" w:rsidP="001D6FAE">
      <w:pPr>
        <w:pStyle w:val="TextoNormal"/>
      </w:pPr>
    </w:p>
    <w:p w:rsidR="001D6FAE" w:rsidRDefault="001D6FAE" w:rsidP="001D6FAE">
      <w:pPr>
        <w:pStyle w:val="TextoNormal"/>
      </w:pPr>
      <w:r w:rsidRPr="001D6FAE">
        <w:rPr>
          <w:rStyle w:val="NumeroAFNegritaCaracter"/>
        </w:rPr>
        <w:t>3</w:t>
      </w:r>
      <w:r>
        <w:t>. En efecto, son muy numerosas las Sentencias del Tribunal Constitucional en las que en relación con la supresión de la paga extraordinaria de Navidad de 2012 en el sector público, se ha señalado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(entre otras muchas, SSTC 83/2015, de 30 de abril, 166/2015, de 20 de julio, 245/2015, de 30 de noviembre, 228/2015, de 2 de noviembre, 227/2015, de 2 de noviembre, y 225/2015, de 2 de noviembre).</w:t>
      </w:r>
    </w:p>
    <w:p w:rsidR="001D6FAE" w:rsidRDefault="001D6FAE" w:rsidP="001D6FAE">
      <w:pPr>
        <w:pStyle w:val="TextoNormal"/>
      </w:pPr>
    </w:p>
    <w:p w:rsidR="001D6FAE" w:rsidRDefault="001D6FAE" w:rsidP="001D6FAE">
      <w:pPr>
        <w:pStyle w:val="TextoNormal"/>
      </w:pPr>
      <w:r>
        <w:t>Por lo que se refiere expresamente a la Comunidad Valenciana, la resolución de 2 de septiembre de 2014, del Conseller de Hacienda y Administración Pública, por la que se da publicidad al acuerdo de la Mesa general de negociación I de la Generalitat, de personal funcionario, estatutario y laboral, sobre el abono de los días devengados de la paga extraordinaria de diciembre de 2012 (“DOCV” 16 de septiembre de 2014), acordó abonar la cuantía correspondiente a 44 días de la citada paga al personal de la Administración de la Generalitat, docente no universitario, Administración de Justicia y el gestionado por la Consellería de Sanidad, y, asimismo, la Ley 8/2014, de 26 de diciembre, de presupuestos de la Generalitat para el ejercicio 2015, acordó en su disposición adicional vigésimo segunda que “de acuerdo con lo dispuesto, con el carácter de básico, en la Ley de Presupuestos Generales del Estado para 2015, el personal del sector público valenciano, tal y como queda definido en el artículo 23 de la presente ley, percibirá la parte proporcional que, en su caso, corresponda respecto de los importes efectivamente dejados de percibir como consecuencia de la supresión de la paga extraordinaria, así como de la paga adicional de complemento específico o pagas adicionales equivalentes, relativas al mes de diciembre de 2012, por aplicación del Decreto Ley 6/2012, de 28 de septiembre, del Consell, de desarrollo y aplicación de las disposiciones incluidas en el título I y disposiciones concordantes del Real Decreto Ley 20/2012, de 13 de julio, de medidas para garantizar la estabilidad presupuestaria y de fomento de la competitividad”.</w:t>
      </w:r>
    </w:p>
    <w:p w:rsidR="001D6FAE" w:rsidRDefault="001D6FAE" w:rsidP="001D6FAE">
      <w:pPr>
        <w:pStyle w:val="TextoNormal"/>
      </w:pPr>
    </w:p>
    <w:p w:rsidR="001D6FAE" w:rsidRDefault="001D6FAE" w:rsidP="001D6FAE">
      <w:pPr>
        <w:pStyle w:val="TextoNormal"/>
      </w:pPr>
      <w:r>
        <w:t>En este sentido, según consta en los hechos probados del Auto por el que se plantea la presente cuestión de inconstitucionalidad, y también en la comunicación remitida por la Consellería de Educación, Investigación, Cultura y Deporte de la Generalitat Valenciana, en la nómina de febrero de 2015, a los demandantes se les ha abonado 44 días correspondientes a la paga extraordinaria de Navidad de 2012. Asimismo, el Decreto-ley 6/2015, de 16 de octubre, del Consell, por el que se hace efectiva la recuperación de determinadas cantidades de la paga extraordinaria de diciembre de 2012 y de modificación urgente de la Ley 10/2010, de 9 de julio, de la Generalitat, de ordenación y gestión de la función pública valenciana (“DOCV” 19 de octubre de 2015) ha previsto que “en el ejercicio 2015, se abonará por una sola vez al personal funcionario, laboral y estatutario al Servicio de la Generalitat y al de su sector público instrumental, una retribución de carácter extraordinario en concepto de parte de la paga extraordinaria así como de la paga adicional de complemento específico o pagas adicionales equivalentes, correspondientes al mes de diciembre de 2012, calculada de acuerdo con las previsiones del Real Decreto-ley 10/2015, de 11 de septiembre, de manera que, añadida a los importes ya abonados en aplicación de la Ley 36/2014, de 26 de diciembre, de Presupuestos Generales del Estado para 2015, y la Ley 8/2014, de 26 de diciembre, de Presupuestos de la Generalitat para el ejercicio 2015, den como resultado una recuperación equivalente a la fijada por la normativa básica del Estado para el ejercicio 2015”. Así, como consta en la comunicación remitida por la Consellería de Educación, Investigación, Cultura y Deporte de la Generalitat Valenciana, en la nómina de diciembre de 2015 se ha completado el abono de la paga extraordinaria de diciembre de 2012 hasta el 50 por 100 del importe descontado.</w:t>
      </w:r>
    </w:p>
    <w:p w:rsidR="001D6FAE" w:rsidRDefault="001D6FAE" w:rsidP="001D6FAE">
      <w:pPr>
        <w:pStyle w:val="TextoNormal"/>
      </w:pPr>
    </w:p>
    <w:p w:rsidR="001D6FAE" w:rsidRDefault="001D6FAE" w:rsidP="001D6FAE">
      <w:pPr>
        <w:pStyle w:val="TextoNormal"/>
      </w:pPr>
      <w:r>
        <w:t>Sin embargo, a pesar de la jurisprudencia constitucional señalada y de la recuperación de parte de la paga extraordinaria de Navidad de 2012 en el sector público de la Comunidad Valenciana, el Auto de planteamiento de la presente cuestión de inconstitucionalidad no hace ninguna referencia a la citada jurisprudencia ni contiene razonamiento alguno sobre la incidencia que las normas posteriores que han previsto la recuperación de parte de la paga extraordinaria han tenido en el proceso. El órgano proponente de la cuestión se limita únicamente a señalar que la norma impugnada suprime el 1 de octubre de 2012 la paga extraordinaria del mes de diciembre de dicho año de los profesores de centros concertados cuando ya se había devengado parte de la misma, lo cual podría infringir, al no establecerse excepción alguna, lo dispuesto en el art. 9.3 CE.</w:t>
      </w:r>
    </w:p>
    <w:p w:rsidR="001D6FAE" w:rsidRDefault="001D6FAE" w:rsidP="001D6FAE">
      <w:pPr>
        <w:pStyle w:val="TextoNormal"/>
      </w:pPr>
    </w:p>
    <w:p w:rsidR="001D6FAE" w:rsidRDefault="001D6FAE" w:rsidP="001D6FAE">
      <w:pPr>
        <w:pStyle w:val="TextoNormal"/>
      </w:pPr>
      <w:r>
        <w:t>En la demanda en reclamación de cantidad planteada por varios trabajadores contra la Consellería de Educación, Cultura y Deportes de la Generalitat Valenciana se solicitaba de forma principal la devolución íntegra de la paga extra de diciembre de 2012 que les había sido descontada; de forma subsidiaria interesaba que, en primer lugar, les fuese abonada la cantidad correspondiente al período comprendido entre los días 1 de enero de 2012 y 1 de octubre de 2012 y, en segundo lugar y de no prosperar tampoco dicha petición, se abonase la cantidad del 44/180 parte referente a la proporcionalidad de la paga extra de diciembre del 2012, más el interés legal por mora.</w:t>
      </w:r>
    </w:p>
    <w:p w:rsidR="001D6FAE" w:rsidRDefault="001D6FAE" w:rsidP="001D6FAE">
      <w:pPr>
        <w:pStyle w:val="TextoNormal"/>
      </w:pPr>
    </w:p>
    <w:p w:rsidR="001D6FAE" w:rsidRDefault="001D6FAE" w:rsidP="001D6FAE">
      <w:pPr>
        <w:pStyle w:val="TextoNormal"/>
      </w:pPr>
      <w:r>
        <w:t>Pues bien, como consecuencia de la devolución de parte de la paga extraordinaria de diciembre de 2012 con anterioridad al planteamiento de la presente cuestión de inconstitucionalidad, el órgano judicial debería haber especificado en el Auto el número de días que entiende devengados de dicha paga el 1 de octubre de 2012 (fecha de entrada en vigor del Decreto-ley 6/2012), pues sólo de ese modo podría llegarse a la conclusión de que el abono de parte de la paga extra de diciembre de 2012 no ha satisfecho la pretensión de las partes. En consecuencia, el juicio de relevancia formulado por el órgano judicial resulta insuficiente e impide asegurar que el pronunciamiento de este Tribunal sobre los preceptos cuestionados resulta necesario e imprescindible para resolver el caso sometido a la consideración del órgano judicial cuestionante.</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cinco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3" w:name="AUTO_2016_140"/>
      <w:r>
        <w:t>AUTO 140/2016, de 5 de julio de 2016</w:t>
      </w:r>
    </w:p>
    <w:bookmarkEnd w:id="113"/>
    <w:p w:rsidR="001D6FAE" w:rsidRDefault="001D6FAE" w:rsidP="001D6FAE">
      <w:pPr>
        <w:pStyle w:val="TtuloResolucin"/>
      </w:pPr>
      <w:r>
        <w:t>Pleno</w:t>
      </w:r>
    </w:p>
    <w:p w:rsidR="001D6FAE" w:rsidRDefault="001D6FAE" w:rsidP="001D6FAE">
      <w:pPr>
        <w:pStyle w:val="TextoNormalCentrado"/>
      </w:pPr>
      <w:r>
        <w:t>ECLI:ES:TC:2016:140A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Mantiene la suspensión parcial acordada en el recurso de inconstitucionalidad 857-2016, interpuesto por el Presidente del Gobierno en relación con diversos preceptos de la Ley del Parlamento de Cataluña 7/2015, de 14 de mayo, de modificación de la Ley 3/2008, del ejercicio de profesionales del deporte.</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presentado en el Registro General de este Tribunal el 22 de febrero de 2016, el Abogado del Estado, en nombre del Presidente del Gobierno, interpuso recurso de inconstitucionalidad contra los arts. 4, 6 [apartados 1, 2, 3 (este solo en su inciso final), 4 y 5 (salvo su primer inciso)] y 8 a 11, de la Ley del Parlamento de Cataluña 7/2015, de 14 de mayo (publicada en el “Diario Oficial de la Generalitat de Cataluña” núm. 6.875, de 20 de mayo de 2015), de modificación de la Ley 3/2008, del ejercicio de las profesiones del deporte. En su recurso el Abogado del Estado invocó el art. 161.2 CE y el art. 30 de la Ley Orgánica del Tribunal Constitucional (LOTC) a fin de que se produjese la suspensión del precepto legal impugnado.</w:t>
      </w:r>
    </w:p>
    <w:p w:rsidR="001D6FAE" w:rsidRDefault="001D6FAE" w:rsidP="001D6FAE">
      <w:pPr>
        <w:pStyle w:val="TextoNormal"/>
      </w:pPr>
    </w:p>
    <w:p w:rsidR="001D6FAE" w:rsidRDefault="001D6FAE" w:rsidP="001D6FAE">
      <w:pPr>
        <w:pStyle w:val="TextoNormal"/>
      </w:pPr>
      <w:r w:rsidRPr="001D6FAE">
        <w:rPr>
          <w:rStyle w:val="NumeroAFNegritaCaracter"/>
        </w:rPr>
        <w:t>2</w:t>
      </w:r>
      <w:r>
        <w:t>. Por providencia de 1 de marzo de 2016 el Pleno del Tribunal acordó admitir a trámite el recurso de inconstitucionalidad, dar traslado de la demanda y documentos presentados, conforme establece el art. 34 LOTC, al Congreso de los Diputados y al Senado, así como al Gobierno de la Generalitat de Cataluña y al Parlamento de Cataluña, al objeto de que en el plazo de 15 días pudieran personarse en el proceso y formular las alegaciones que estimaren convenientes. Asimismo,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terceros. Por último, también ordenó publicar la incoación del recurso en el “Boletín Oficial del Estado” y en el “Diario Oficial de la Generalitat de Cataluña”.</w:t>
      </w:r>
    </w:p>
    <w:p w:rsidR="001D6FAE" w:rsidRDefault="001D6FAE" w:rsidP="001D6FAE">
      <w:pPr>
        <w:pStyle w:val="TextoNormal"/>
      </w:pPr>
    </w:p>
    <w:p w:rsidR="001D6FAE" w:rsidRDefault="001D6FAE" w:rsidP="001D6FAE">
      <w:pPr>
        <w:pStyle w:val="TextoNormal"/>
      </w:pPr>
      <w:r w:rsidRPr="001D6FAE">
        <w:rPr>
          <w:rStyle w:val="NumeroAFNegritaCaracter"/>
        </w:rPr>
        <w:t>3</w:t>
      </w:r>
      <w:r>
        <w:t>. Por escrito registrado en este Tribunal el 16 de marzo de 2016, la Letrada del Parlamento de Cataluña, en la representación que de este legalmente ostenta, comparece en el proceso y solicita que se le conceda prórroga del plazo para formular alegaciones, petición a la que accedió el Pleno del Tribunal mediante providencia de 17 de marzo de 2016, prorrogándole por ocho días más el plazo conferido.</w:t>
      </w:r>
    </w:p>
    <w:p w:rsidR="001D6FAE" w:rsidRDefault="001D6FAE" w:rsidP="001D6FAE">
      <w:pPr>
        <w:pStyle w:val="TextoNormal"/>
      </w:pPr>
    </w:p>
    <w:p w:rsidR="001D6FAE" w:rsidRDefault="001D6FAE" w:rsidP="001D6FAE">
      <w:pPr>
        <w:pStyle w:val="TextoNormal"/>
      </w:pPr>
      <w:r w:rsidRPr="001D6FAE">
        <w:rPr>
          <w:rStyle w:val="NumeroAFNegritaCaracter"/>
        </w:rPr>
        <w:t>4</w:t>
      </w:r>
      <w:r>
        <w:t>. Por escritos registrados en el Tribunal Constitucional el 11 y el 16 de marzo de 2016, respectivamente, los Presidentes del Congreso de los Diputados y del Senado comunican el acuerdo de la Mesa de sus respectivas Cámaras de personarse en el proceso, ofreciendo su colaboración a los efectos del art. 88.1 LOTC.</w:t>
      </w:r>
    </w:p>
    <w:p w:rsidR="001D6FAE" w:rsidRDefault="001D6FAE" w:rsidP="001D6FAE">
      <w:pPr>
        <w:pStyle w:val="TextoNormal"/>
      </w:pPr>
    </w:p>
    <w:p w:rsidR="001D6FAE" w:rsidRDefault="001D6FAE" w:rsidP="001D6FAE">
      <w:pPr>
        <w:pStyle w:val="TextoNormal"/>
      </w:pPr>
      <w:r w:rsidRPr="001D6FAE">
        <w:rPr>
          <w:rStyle w:val="NumeroAFNegritaCaracter"/>
        </w:rPr>
        <w:t>5</w:t>
      </w:r>
      <w:r>
        <w:t>. Mediante escrito registrado en el Tribunal Constitucional el 30 de marzo de 2016, la Abogada de la Generalitat de Cataluña, en la representación que legalmente ostenta, compareció y procedió a formular alegaciones en el presente recurso de inconstitucionalidad, interesando la desestimación del mismo. Mediante otrosí solicitó el levantamiento inmediato de la suspensión de la vigencia y aplicación de los preceptos legales impugnados, por las razones que siguen.</w:t>
      </w:r>
    </w:p>
    <w:p w:rsidR="001D6FAE" w:rsidRDefault="001D6FAE" w:rsidP="001D6FAE">
      <w:pPr>
        <w:pStyle w:val="TextoNormal"/>
      </w:pPr>
    </w:p>
    <w:p w:rsidR="001D6FAE" w:rsidRDefault="001D6FAE" w:rsidP="001D6FAE">
      <w:pPr>
        <w:pStyle w:val="TextoNormal"/>
      </w:pPr>
      <w:r>
        <w:t>Se refiere en primer lugar a la conocida doctrina constitucional conforme a la cual el levantamiento anticipado de la suspensión, sin esperar al transcurso de los cinco meses previstos en el art. 161.2 CE, resulta viable procesalmente; los cinco meses a los que hace referencia el citado precepto constitucional son, precisamente, el límite máximo inicialmente previsto para la suspensión, incluyéndose entre las potestades de este Tribunal la de ratificar o levantar la suspensión dentro de ese plazo.</w:t>
      </w:r>
    </w:p>
    <w:p w:rsidR="001D6FAE" w:rsidRDefault="001D6FAE" w:rsidP="001D6FAE">
      <w:pPr>
        <w:pStyle w:val="TextoNormal"/>
      </w:pPr>
    </w:p>
    <w:p w:rsidR="001D6FAE" w:rsidRDefault="001D6FAE" w:rsidP="001D6FAE">
      <w:pPr>
        <w:pStyle w:val="TextoNormal"/>
      </w:pPr>
      <w:r>
        <w:t>Asimismo invoca la consolidada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o privado de las terceros afectados. Pesa sobre el Abogado del Estado la carga de acreditar o, como mínimo, razonar consistentemente, la concurrencia de los graves perjuicios de imposible o muy difícil reparación invocados para mantener la suspensión de la ley impugnada. Por otra parte, el Tribunal Constitucional debe efectuar su ponderación al margen de la viabilidad de las pretensiones que se formulan en la demanda y de las consideraciones sobre la cuestión de fondo del proceso, que resultan ajenas a dicha valoración.</w:t>
      </w:r>
    </w:p>
    <w:p w:rsidR="001D6FAE" w:rsidRDefault="001D6FAE" w:rsidP="001D6FAE">
      <w:pPr>
        <w:pStyle w:val="TextoNormal"/>
      </w:pPr>
    </w:p>
    <w:p w:rsidR="001D6FAE" w:rsidRDefault="001D6FAE" w:rsidP="001D6FAE">
      <w:pPr>
        <w:pStyle w:val="TextoNormal"/>
      </w:pPr>
      <w:r>
        <w:t>Conforme a dicha doctrina constitucional considera la Abogada de la Generalitat de Cataluña que no existen razones para el mantenimiento de la suspensión de los preceptos impugnados de la Ley 7/2015. Su aplicación no produciría perjuicios al interés general ni a terceros y, contrariamente, su suspensión impide la publicidad oficial de la formación adquirida por los profesionales, con los consiguientes perjuicios para la salud y la seguridad de quienes practican actividades deportivas.</w:t>
      </w:r>
    </w:p>
    <w:p w:rsidR="001D6FAE" w:rsidRDefault="001D6FAE" w:rsidP="001D6FAE">
      <w:pPr>
        <w:pStyle w:val="TextoNormal"/>
      </w:pPr>
    </w:p>
    <w:p w:rsidR="001D6FAE" w:rsidRDefault="001D6FAE" w:rsidP="001D6FAE">
      <w:pPr>
        <w:pStyle w:val="TextoNormal"/>
      </w:pPr>
      <w:r>
        <w:t>Sostiene así que la suspensión de los preceptos impugnados de la Ley 7/2015 relativos a la inscripción de profesionales del deporte en el registro oficial de profesionales del deporte de Cataluña, concretamente el art. 6, en sus apartados 1, 2, 3 (inciso final), 4 y 5 (salvo su primer inciso), y los arts. 8 a 11, supone que actualmente no se cuente con la debida garantía de que esos profesionales del deporte a los que la Ley se refiere disponen de la mínima preparación necesaria. A su vez, redunda en la falta de información para los usuarios acerca de la debida formación de esos profesionales del deporte que les atienden, de modo que no podrán disponer de los datos necesarios para valorar las capacidades y las condiciones de riesgo en que van a realizar la actividad deportiva correspondiente.</w:t>
      </w:r>
    </w:p>
    <w:p w:rsidR="001D6FAE" w:rsidRDefault="001D6FAE" w:rsidP="001D6FAE">
      <w:pPr>
        <w:pStyle w:val="TextoNormal"/>
      </w:pPr>
    </w:p>
    <w:p w:rsidR="001D6FAE" w:rsidRDefault="001D6FAE" w:rsidP="001D6FAE">
      <w:pPr>
        <w:pStyle w:val="TextoNormal"/>
      </w:pPr>
      <w:r>
        <w:t>Por el contrario, el levantamiento de la suspensión de los preceptos impugnados de la Ley 7/2015 relativos a la inscripción en el registro oficial de profesionales del deporte de Cataluña no ocasionaría perjuicios graves e irreparables al interés general o a terceros. La libertad de circulación o de establecimiento de los profesionales del deporte no queda limitada con esas previsiones de la Ley 7/2015, más allá de la razonable acreditación de que disponen de los mínimos conocimientos para el ejercicio de la actividad deportiva de que se trate, en aras a la preservación de la salud y la seguridad de los ciudadanos. Los requerimientos sobre la mínima formación necesaria no impiden el desarrollo de la actividad deportiva y en ningún caso se establecen teniendo en cuenta la procedencia del profesional concernido, sino con carácter general, ya que el objetivo es preservar la salud y la seguridad del público en general. A ello se añade que el Abogado del Estado no ha demostrado que la vigencia y aplicación de dichos preceptos puedan producir perjuicios muy graves e irreparables al interés general o a terceros, lo que debe determinar el alzamiento de la suspensión, conforme al principio de presunción de legitimidad de las normas y de la actuación constitucional de los poderes públicos.</w:t>
      </w:r>
    </w:p>
    <w:p w:rsidR="001D6FAE" w:rsidRDefault="001D6FAE" w:rsidP="001D6FAE">
      <w:pPr>
        <w:pStyle w:val="TextoNormal"/>
      </w:pPr>
    </w:p>
    <w:p w:rsidR="001D6FAE" w:rsidRDefault="001D6FAE" w:rsidP="001D6FAE">
      <w:pPr>
        <w:pStyle w:val="TextoNormal"/>
      </w:pPr>
      <w:r w:rsidRPr="001D6FAE">
        <w:rPr>
          <w:rStyle w:val="NumeroAFNegritaCaracter"/>
        </w:rPr>
        <w:t>6</w:t>
      </w:r>
      <w:r>
        <w:t>. La Letrada del Parlamento de Cataluña, por escrito registrado en este Tribunal el 12 de abril de 2016, formuló alegaciones en el presente recurso de inconstitucionalidad, interesando su desestimación. Mediante otrosí solicitó el levantamiento inmediato de la suspensión de la vigencia y aplicación de los preceptos legales impugnados, por las mismas razones aducidas por la Abogada de la Generalitat en relación con la solicitud de alzamiento de la suspensión de los preceptos impugnados de la Ley 7/2015 relativos a la inscripción de profesionales del deporte en el registro oficial de profesionales del deporte de Cataluña, concretamente el art. 6, apartados 1, 2, 3 (inciso final), 4 y 5 (salvo su primer inciso), y los arts. 8 a 11.</w:t>
      </w:r>
    </w:p>
    <w:p w:rsidR="001D6FAE" w:rsidRDefault="001D6FAE" w:rsidP="001D6FAE">
      <w:pPr>
        <w:pStyle w:val="TextoNormal"/>
      </w:pPr>
    </w:p>
    <w:p w:rsidR="001D6FAE" w:rsidRDefault="001D6FAE" w:rsidP="001D6FAE">
      <w:pPr>
        <w:pStyle w:val="TextoNormal"/>
      </w:pPr>
      <w:r>
        <w:t>A los argumentos a favor del levantamiento de la suspensión de los preceptos citados, añade la Letrada del Parlamento de Cataluña una argumentación referida al también impugnado art. 4 de la Ley 7/2015, relativo al mandato a la Secretaría General del Deporte de la Generalitat para que establezca convenios y acuerdos de equiparación de profesiones y competencias mínimas con otros registros de profesionales del deporte de otros Estados miembros de la Unión Europea. Considera la Letrada que debe acordarse el levantamiento de la suspensión de la vigencia y aplicación de este precepto, pues se trata de una previsión que no tiene eficacia inmediata, ya que precisa, para desplegar sus efectos, de la correspondiente tramitación conforme a lo establecido en la Ley estatal 25/2014, de 27 de noviembre, de tratados y otros acuerdos internacionales.</w:t>
      </w:r>
    </w:p>
    <w:p w:rsidR="001D6FAE" w:rsidRDefault="001D6FAE" w:rsidP="001D6FAE">
      <w:pPr>
        <w:pStyle w:val="TextoNormal"/>
      </w:pPr>
    </w:p>
    <w:p w:rsidR="001D6FAE" w:rsidRDefault="001D6FAE" w:rsidP="001D6FAE">
      <w:pPr>
        <w:pStyle w:val="TextoNormal"/>
      </w:pPr>
      <w:r w:rsidRPr="001D6FAE">
        <w:rPr>
          <w:rStyle w:val="NumeroAFNegritaCaracter"/>
        </w:rPr>
        <w:t>7</w:t>
      </w:r>
      <w:r>
        <w:t>. Por providencia de 13 de abril de 2016 el Pleno del Tribunal acordó incorporar a las actuaciones los escritos de alegaciones presentados por la Abogada de la Generalitat de Cataluña y la Letrada del Parlamento de Cataluña, así como oír al Abogado del Estado sobre la solicitud de levantamiento de la suspensión de la vigencia y aplicación de los preceptos impugnados, para que, en el plazo de cinco días, expusiera lo que considerase procedente al respecto.</w:t>
      </w:r>
    </w:p>
    <w:p w:rsidR="001D6FAE" w:rsidRDefault="001D6FAE" w:rsidP="001D6FAE">
      <w:pPr>
        <w:pStyle w:val="TextoNormal"/>
      </w:pPr>
    </w:p>
    <w:p w:rsidR="001D6FAE" w:rsidRDefault="001D6FAE" w:rsidP="001D6FAE">
      <w:pPr>
        <w:pStyle w:val="TextoNormal"/>
      </w:pPr>
      <w:r w:rsidRPr="001D6FAE">
        <w:rPr>
          <w:rStyle w:val="NumeroAFNegritaCaracter"/>
        </w:rPr>
        <w:t>8</w:t>
      </w:r>
      <w:r>
        <w:t>. El Abogado del Estado, mediante escrito registrado en este Tribunal el 21 de abril de 2016, interesó el mantenimiento de la suspensión de los preceptos impugnados con fundamento en las alegaciones siguientes.</w:t>
      </w:r>
    </w:p>
    <w:p w:rsidR="001D6FAE" w:rsidRDefault="001D6FAE" w:rsidP="001D6FAE">
      <w:pPr>
        <w:pStyle w:val="TextoNormal"/>
      </w:pPr>
    </w:p>
    <w:p w:rsidR="001D6FAE" w:rsidRDefault="001D6FAE" w:rsidP="001D6FAE">
      <w:pPr>
        <w:pStyle w:val="TextoNormal"/>
      </w:pPr>
      <w:r>
        <w:t>Tras recordar la doctrina constitucional sobre los incidentes relativos a leyes autonómicas, afirma que debe mantenerse la suspensión porque ha de considerarse prevalente el interés público ligado a la efectividad general del principio de unidad de mercado, mientras que la efectividad de los preceptos impugnados conlleva la fragmentación del mercado nacional, con perjuicios económicos y desigualdad entre los profesionales del deporte que quieran ejercer en Cataluña; a lo que han de añadirse las consecuencias negativas para las relaciones internacionales y la política exterior de España. La aplicación de los preceptos impugnados causaría perjuicios al interés general mucho mayores que la obligatoriedad de la inscripción tardía de determinados profesionales del deporte en el registro oficial de profesionales del deporte de Cataluña, en el caso de que se desestimara el recurso de inconstitucionalidad. También debe tomarse en consideración el perjuicio para los terceros, esto es, los propios profesionales del deporte afectados por los preceptos impugnados; no podrían ejercer su profesión en Cataluña durante el tiempo que dure la tramitación del recurso si no se inscriben en el registro oficial de profesionales del deporte de Cataluña, pudiendo ser sancionados si ejercen su profesión en Cataluña sin esa obligatoria inscripción.</w:t>
      </w:r>
    </w:p>
    <w:p w:rsidR="001D6FAE" w:rsidRDefault="001D6FAE" w:rsidP="001D6FAE">
      <w:pPr>
        <w:pStyle w:val="TextoNormal"/>
      </w:pPr>
    </w:p>
    <w:p w:rsidR="001D6FAE" w:rsidRDefault="001D6FAE" w:rsidP="001D6FAE">
      <w:pPr>
        <w:pStyle w:val="TextoNormal"/>
      </w:pPr>
      <w:r>
        <w:t>A partir de estas consideraciones y siguiendo los informes elaborados por el Ministerio de Educación, Cultura y Deportes (Consejo Superior de Deportes) y el Ministerio de Economía y Competitividad, que adjunta a su escrito de alegaciones, el Abogado del Estado pasa a concretar los perjuicios que a su parecer provocaría el levantamiento de la suspensión de los preceptos impugnados.</w:t>
      </w:r>
    </w:p>
    <w:p w:rsidR="001D6FAE" w:rsidRDefault="001D6FAE" w:rsidP="001D6FAE">
      <w:pPr>
        <w:pStyle w:val="TextoNormal"/>
      </w:pPr>
    </w:p>
    <w:p w:rsidR="001D6FAE" w:rsidRDefault="001D6FAE" w:rsidP="001D6FAE">
      <w:pPr>
        <w:pStyle w:val="TextoNormal"/>
      </w:pPr>
      <w:r>
        <w:t>En primer lugar, el levantamiento de la suspensión del art. 4 de la Ley 7/2015, que ordena a la Secretaría General del Deporte de la Generalitat que establezca convenios y acuerdos de equiparación de profesiones y competencias mínimas con otros registros de profesionales del deporte de Estados miembros de la Unión Europea, ocasionaría perjuicios de imposible o difícil reparación para el interés general en las relaciones internacionales y la política exterior de España. El precepto reconoce a la Generalitat la capacidad para suscribir tales convenios de manera autónoma y unilateral, prescindiendo de la existencia de un previo instrumento internacional que la Ley estatal configura como requisito inexcusable para su celebración.</w:t>
      </w:r>
    </w:p>
    <w:p w:rsidR="001D6FAE" w:rsidRDefault="001D6FAE" w:rsidP="001D6FAE">
      <w:pPr>
        <w:pStyle w:val="TextoNormal"/>
      </w:pPr>
    </w:p>
    <w:p w:rsidR="001D6FAE" w:rsidRDefault="001D6FAE" w:rsidP="001D6FAE">
      <w:pPr>
        <w:pStyle w:val="TextoNormal"/>
      </w:pPr>
      <w:r>
        <w:t>No se niega que la Comunidad Autónoma de Cataluña tenga competencia para el desarrollo de la regulación de las profesiones deportivas, en el ámbito de la normativa estatal (art. 149.1.30 CE). Tampoco que, conforme a lo previsto en el Estatuto de Autonomía y con respeto a la competencia estatal exclusiva derivada del art. 149.1.3 CE, la Generalitat de Cataluña pueda suscribir “acuerdos de colaboración en el ámbito de sus competencias”. Esta competencia sin embargo no alcanza en ningún caso para establecer vínculos con otros Estados, aunque formen parte de la Unión Europea, que excedan del ámbito de los acuerdos no normativos y que sean susceptibles de reconocer derechos y establecer obligaciones de Derecho público, como es, en el caso enjuiciado, el ejercicio de profesiones deportivas. Los acuerdos que, al amparo del art. 4 de la Ley 7/2015, la Secretaría General del Deporte de la Generalitat suscriba con otros Estados, permitirán el reconocimiento de las profesiones deportivas en los distintos sectores del deporte y a los profesionales inscritos en el registro oficial de profesionales del deporte de Cataluña el acceso a los registros europeos de profesionales del deporte; a la inversa, permitirán a cualquier profesional inscrito en un registro europeo, previa solicitud, acceder al registro oficial de profesionales del deporte de Cataluña.</w:t>
      </w:r>
    </w:p>
    <w:p w:rsidR="001D6FAE" w:rsidRDefault="001D6FAE" w:rsidP="001D6FAE">
      <w:pPr>
        <w:pStyle w:val="TextoNormal"/>
      </w:pPr>
    </w:p>
    <w:p w:rsidR="001D6FAE" w:rsidRDefault="001D6FAE" w:rsidP="001D6FAE">
      <w:pPr>
        <w:pStyle w:val="TextoNormal"/>
      </w:pPr>
      <w:r>
        <w:t>Los efectos jurídicos de esa inscripción registral pueden ir más allá y proyectarse al resto de España, puesto que la inscripción en el registro oficial de Cataluña, de acuerdo con lo previsto en la Ley de garantía de la unidad de mercado, facultará para el ejercicio de la profesión deportiva en cualquier otra Comunidad Autónoma. En lo que se refiere al interés general, el mero hecho de que una Comunidad Autónoma suscriba bilateralmente acuerdos para determinar, en ausencia de toda coordinación con el Estado y de toda cobertura de un tratado internacional, los requisitos y condiciones en que pueden ejercerse las profesiones deportivas, supone en sí mismo un perjuicio que afecta a la política exterior de España en este sector administrativo. La apariencia de que una Comunidad Autónoma puede suscribir este tipo de acuerdos, cuya base jurídica el Tribunal Constitucional puede, si estima la demanda, anular, es susceptible de crear en el ámbito de las relaciones internacionales un perjuicio de difícil reparación. Los Estados con los que la Comunidad Autónoma de Cataluña pretenda iniciar negociaciones con este fin se verán obligados a cuestionar la capacidad de dicha Comunidad para hacerlo.</w:t>
      </w:r>
    </w:p>
    <w:p w:rsidR="001D6FAE" w:rsidRDefault="001D6FAE" w:rsidP="001D6FAE">
      <w:pPr>
        <w:pStyle w:val="TextoNormal"/>
      </w:pPr>
    </w:p>
    <w:p w:rsidR="001D6FAE" w:rsidRDefault="001D6FAE" w:rsidP="001D6FAE">
      <w:pPr>
        <w:pStyle w:val="TextoNormal"/>
      </w:pPr>
      <w:r>
        <w:t>Crea asimismo un perjuicio para la seguridad jurídica de carácter público, pues los deportistas extranjeros podrán trabajar en todo el territorio español por efecto del reconocimiento de la Comunidad Autónoma de Cataluña, con unas condiciones que pueden ser diferentes a las establecidas en el resto de España, con la previsible producción de disfunciones y contradicciones.</w:t>
      </w:r>
    </w:p>
    <w:p w:rsidR="001D6FAE" w:rsidRDefault="001D6FAE" w:rsidP="001D6FAE">
      <w:pPr>
        <w:pStyle w:val="TextoNormal"/>
      </w:pPr>
    </w:p>
    <w:p w:rsidR="001D6FAE" w:rsidRDefault="001D6FAE" w:rsidP="001D6FAE">
      <w:pPr>
        <w:pStyle w:val="TextoNormal"/>
      </w:pPr>
      <w:r>
        <w:t>Pero los perjuicios se proyectan también sobre los intereses de los particulares, entendiendo por tales los propios profesionales del deporte que se acojan a esos convenios. Si se estima el recurso, estos profesionales se encontrarán sin título para el ejercicio de su profesión, de manera que pueden sufrir perjuicios de imposible o difícil reparación en el ejercicio de su actividad. Por otra parte, mientras el procedimiento se decide, sufrirán el riesgo jurídico de la incertidumbre del desenlace de la impugnación. Con el mantenimiento de la suspensión del art. 4 de la Ley 7/2015 se evita que todo esto pueda producirse. El mantenimiento de la suspensión no causa, además, ningún tipo de perjuicio a los profesionales del deporte extranjeros o residentes en Cataluña.</w:t>
      </w:r>
    </w:p>
    <w:p w:rsidR="001D6FAE" w:rsidRDefault="001D6FAE" w:rsidP="001D6FAE">
      <w:pPr>
        <w:pStyle w:val="TextoNormal"/>
      </w:pPr>
    </w:p>
    <w:p w:rsidR="001D6FAE" w:rsidRDefault="001D6FAE" w:rsidP="001D6FAE">
      <w:pPr>
        <w:pStyle w:val="TextoNormal"/>
      </w:pPr>
      <w:r>
        <w:t>Por lo que se refiere a los arts. 6, apartados 1, 2, 3 (inciso final), 4 y 5 (salvo su primer inciso); 8; 9; 10 y 11, de la Ley 7/2015, el levantamiento de la suspensión que pesa sobre estos preceptos provocaría un perjuicio irreparable para el interés público prevalente ligado a la medida general de asegurar el principio de unidad de mercado en todo el territorio nacional. Supondría una desigualdad entre los profesionales del deporte que quieran ejercer en Cataluña y una fragmentación del mercado español, con consecuencias negativas para la economía y para la competitividad. Por el contrario, el mantenimiento de la suspensión, que conllevaría la no obligatoriedad de la inscripción en registro oficial de profesionales del deporte de Cataluña, no causaría perjuicio alguno ni a los profesionales del deporte que ejerzan en Cataluña ni al interés público.</w:t>
      </w:r>
    </w:p>
    <w:p w:rsidR="001D6FAE" w:rsidRDefault="001D6FAE" w:rsidP="001D6FAE">
      <w:pPr>
        <w:pStyle w:val="TextoNormal"/>
      </w:pPr>
    </w:p>
    <w:p w:rsidR="001D6FAE" w:rsidRDefault="001D6FAE" w:rsidP="001D6FAE">
      <w:pPr>
        <w:pStyle w:val="TextoNormal"/>
      </w:pPr>
      <w:r>
        <w:t>Los perjuicios que se derivan del alzamiento de la suspensión de los referidos preceptos se proyectan también sobre los intereses de los particulares, entendiendo por tales los profesionales del deporte que quieran ejercer su actividad en Cataluña. Se les estaría exigiendo para ello un requisito adicional (la inscripción en el registro oficial de profesionales del deporte de Cataluña), que puede ser finalmente anulado por el Tribunal Constitucional. De este modo, mientras se resuelve el recurso se produciría una situación de incertidumbre que debe evitarse, pues los profesionales del deporte no podrían ejercer su profesión en Cataluña durante el tiempo que dure la tramitación del recurso si no se inscriben en el registro oficial de profesionales del deporte de Cataluña, pudiendo ser sancionados si ejercen su profesión en Cataluña sin la previa inscripción en él.</w:t>
      </w:r>
    </w:p>
    <w:p w:rsidR="001D6FAE" w:rsidRDefault="001D6FAE" w:rsidP="001D6FAE">
      <w:pPr>
        <w:pStyle w:val="TextoNormal"/>
      </w:pPr>
    </w:p>
    <w:p w:rsidR="001D6FAE" w:rsidRDefault="001D6FAE" w:rsidP="001D6FAE">
      <w:pPr>
        <w:pStyle w:val="TextoNormal"/>
      </w:pPr>
      <w:r>
        <w:t>Por el contrario, los efectos del mantenimiento de la suspensión, aunque posteriormente se declarase la constitucionalidad de los preceptos impugnados, serían de menor entidad y más fácilmente reparables. Al no ser necesaria la inscripción registral no existe perjuicio alguno, por lo que el juicio de ponderación debe inclinarse por el mantenimiento de la suspensión de la vigencia y aplicación de los preceptos legales impugnados.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 esta resolución es determinar si procede mantener o levantar la suspensión de la vigencia de los arts. 4, 6 [apartados 1, 2, 3 (este solo en su inciso final), 4 y 5 (salvo su primer inciso)] y 8 a 11, de la Ley del Parlamento de Cataluña 7/2015, de 14 de mayo, de modificación de la Ley 3/2008, del ejercicio de las profesiones del deporte, que se encuentran suspendidos en su aplicación como consecuencia de la invocación del art. 161.2 CE por el Presidente del Gobierno en su escrito de interposición del recurso de inconstitucionalidad. Las representaciones procesales del Gobierno de la Generalitat y del Parlamento de Cataluña han solicitado el levantamiento anticipado de la suspensión, mientras que el Abogado del Estado se opone a esta pretensión, conforme ha quedado expresado en los antecedentes.</w:t>
      </w:r>
    </w:p>
    <w:p w:rsidR="001D6FAE" w:rsidRDefault="001D6FAE" w:rsidP="001D6FAE">
      <w:pPr>
        <w:pStyle w:val="TextoNormal"/>
      </w:pPr>
    </w:p>
    <w:p w:rsidR="001D6FAE" w:rsidRDefault="001D6FAE" w:rsidP="001D6FAE">
      <w:pPr>
        <w:pStyle w:val="TextoNormal"/>
      </w:pPr>
      <w:r>
        <w:t>La solicitud de levantamiento anticipado de la suspensión sin esperar al transcurso de los cinco meses previstos en el art. 161.2 CE resulta viable procesalmente, pues, conforme a nuestra doctrina, los cinco meses a los que hace referencia el citado precepto constitucional son el límite máximo inicialmente previsto para la suspensión, incluyéndose entre las potestades de este Tribunal la de ratificar o levantarla dentro de ese plazo (por todos, AATC 75/2010, de 30 de junio, FJ 2; 88/2013, de 23 de abril, FJ 2, y 196/2015, de 18 de noviembre, FJ 2).</w:t>
      </w:r>
    </w:p>
    <w:p w:rsidR="001D6FAE" w:rsidRDefault="001D6FAE" w:rsidP="001D6FAE">
      <w:pPr>
        <w:pStyle w:val="TextoNormal"/>
      </w:pPr>
    </w:p>
    <w:p w:rsidR="001D6FAE" w:rsidRDefault="001D6FAE" w:rsidP="001D6FAE">
      <w:pPr>
        <w:pStyle w:val="TextoNormal"/>
      </w:pPr>
      <w:r w:rsidRPr="001D6FAE">
        <w:rPr>
          <w:rStyle w:val="NumeroAFNegritaCaracter"/>
        </w:rPr>
        <w:t>2</w:t>
      </w:r>
      <w:r>
        <w:t>. Sobre este tipo de incidentes de suspensión existe una consolidada doctrina constitucional.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de otro, los perjuicios de imposible o difícil reparación que puedan derivarse del mantenimiento o levantamiento de la suspensión de la ley impugnada.</w:t>
      </w:r>
    </w:p>
    <w:p w:rsidR="001D6FAE" w:rsidRDefault="001D6FAE" w:rsidP="001D6FAE">
      <w:pPr>
        <w:pStyle w:val="TextoNormal"/>
      </w:pPr>
    </w:p>
    <w:p w:rsidR="001D6FAE" w:rsidRDefault="001D6FAE" w:rsidP="001D6FAE">
      <w:pPr>
        <w:pStyle w:val="TextoNormal"/>
      </w:pPr>
      <w:r>
        <w:t>Igualmente se ha destacado en nuestra doctrina que esta valoración ha de efectuarse mediante el estricto examen de las situaciones de hecho creadas y al margen de la viabilidad de las pretensiones que se formulen en la demanda. El mantenimiento de la suspensión requiere que el Gobierno de la Nación, a quien se debe tal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355/2007, de 24 de julio, FJ 2; 225/2009, de 10 de diciembre, FJ 2; 44/2011, de 12 de abril, FJ 2; 86/2012, de 8 de mayo, FJ 2, y 122/2015, de 7 de julio, FJ 2).</w:t>
      </w:r>
    </w:p>
    <w:p w:rsidR="001D6FAE" w:rsidRDefault="001D6FAE" w:rsidP="001D6FAE">
      <w:pPr>
        <w:pStyle w:val="TextoNormal"/>
      </w:pPr>
    </w:p>
    <w:p w:rsidR="001D6FAE" w:rsidRDefault="001D6FAE" w:rsidP="001D6FAE">
      <w:pPr>
        <w:pStyle w:val="TextoNormal"/>
      </w:pPr>
      <w:r w:rsidRPr="001D6FAE">
        <w:rPr>
          <w:rStyle w:val="NumeroAFNegritaCaracter"/>
        </w:rPr>
        <w:t>3</w:t>
      </w:r>
      <w:r>
        <w:t>. Antes de abordar el examen de las alegaciones formuladas por la Abogacía del Estado a favor de mantener la suspensión de la vigencia y aplicación de los preceptos recurridos de la Ley catalana 7/2015, así como las de las representaciones procesales del Gobierno de la Generalitat y del Parlamento de Cataluña en pro del levantamiento de la suspensión, es oportuno referirse al contenido de tales preceptos, impugnados por motivos competenciales.</w:t>
      </w:r>
    </w:p>
    <w:p w:rsidR="001D6FAE" w:rsidRDefault="001D6FAE" w:rsidP="001D6FAE">
      <w:pPr>
        <w:pStyle w:val="TextoNormal"/>
      </w:pPr>
    </w:p>
    <w:p w:rsidR="001D6FAE" w:rsidRDefault="001D6FAE" w:rsidP="001D6FAE">
      <w:pPr>
        <w:pStyle w:val="TextoNormal"/>
      </w:pPr>
      <w:r>
        <w:t xml:space="preserve">En primer lugar el recurso de inconstitucionalidad se dirige contra el art. 6, apartados 1, 2, 3 (en su inciso final), 4 y 5 (salvo el primer inciso), y los arts. 8 a 11 de la Ley 7/2015, que añaden nuevas disposiciones a la Ley 3/2008, del ejercicio de las profesiones del deporte, referidas a la inscripción de determinados profesionales del deporte en el registro oficial de profesionales del deporte de Cataluña. En concreto, el art. 6 establece la obligación de la Administración catalana de inscribir en dicho registro a los profesionales del sector de dinamización de actividades polideportivas en Cataluña y de las entidades que realicen dichas actividades (apartados 1 y 2), de los monitores deportivos (inciso final del apartado 3 e inciso final del apartado 5) y de las personas que ejercen la iniciación deportiva básica (apartado 4). El artículo 8 regula la posibilidad de inscripción de los profesionales con formación y experiencia contrastada en el ámbito deportivo para ejercer su actividad como profesores de educación física, monitores, entrenadores </w:t>
      </w:r>
      <w:r w:rsidRPr="001D6FAE">
        <w:rPr>
          <w:i/>
        </w:rPr>
        <w:t>y</w:t>
      </w:r>
      <w:r>
        <w:t xml:space="preserve"> directores deportivos. El artículo 9 establece la posibilidad de inscripción de los profesionales del grado profesional de danza para ejercer su actividad como monitores deportivos. El artículo 10 regula la inscripción para el ejercicio de las profesiones de monitor y entrenador deportivo. Y el artículo 11 regula la inscripción de los profesionales de socorrismo acuático de piscina. Se impugnan estos preceptos por entender que invaden las competencias estatales </w:t>
      </w:r>
      <w:r w:rsidRPr="001D6FAE">
        <w:rPr>
          <w:i/>
        </w:rPr>
        <w:t>ex</w:t>
      </w:r>
      <w:r>
        <w:t xml:space="preserve"> art. 149.1.1 CE y art. 149.1.13 CE, al contravenir los principios de unidad de mercado y libertad de establecimiento recogidos en la Ley 20/2013, de 9 de diciembre, de garantía de la unidad de mercado, dictada, al amparo de dichos títulos competenciales (entre otros).</w:t>
      </w:r>
    </w:p>
    <w:p w:rsidR="001D6FAE" w:rsidRDefault="001D6FAE" w:rsidP="001D6FAE">
      <w:pPr>
        <w:pStyle w:val="TextoNormal"/>
      </w:pPr>
    </w:p>
    <w:p w:rsidR="001D6FAE" w:rsidRDefault="001D6FAE" w:rsidP="001D6FAE">
      <w:pPr>
        <w:pStyle w:val="TextoNormal"/>
      </w:pPr>
      <w:r>
        <w:t>En segundo lugar, el recurso de inconstitucionalidad se dirige contra el art. 4 de la Ley 7/2015, que añade un apartado 6 al art. 8 de la Ley 3/2008, del ejercicio de las profesiones del deporte. Se refiere a la habilitación a la Generalitat de Cataluña (Secretaría General del Deporte) para celebrar convenios y acuerdos de equiparación de profesiones y competencias mínimas con otros registros de profesionales del deporte de Estados miembros de la Unión Europea, a fin de establecer las condiciones en las que dichos profesionales puedan ejercer su profesión en Cataluña y, a la inversa, para que los profesionales del deporte inscritos en el registro oficial de profesionales del deporte de Cataluña puedan ejercer su profesión en esos Estados. Se impugna este precepto por entender que desborda la competencia autonómica e invade la estatal en materia de relaciones internacionales (art. 149.1.3 CE).</w:t>
      </w:r>
    </w:p>
    <w:p w:rsidR="001D6FAE" w:rsidRDefault="001D6FAE" w:rsidP="001D6FAE">
      <w:pPr>
        <w:pStyle w:val="TextoNormal"/>
      </w:pPr>
    </w:p>
    <w:p w:rsidR="001D6FAE" w:rsidRDefault="001D6FAE" w:rsidP="001D6FAE">
      <w:pPr>
        <w:pStyle w:val="TextoNormal"/>
      </w:pPr>
      <w:r w:rsidRPr="001D6FAE">
        <w:rPr>
          <w:rStyle w:val="NumeroAFNegritaCaracter"/>
        </w:rPr>
        <w:t>4</w:t>
      </w:r>
      <w:r>
        <w:t>. La decisión que aquí hemos de adoptar no puede apoyarse en la tesis de que es preciso evitar la pluralidad de regímenes normativos allí donde hasta el momento sólo haya habido una disciplina unitaria; ello supondría olvidar que la esencia misma de nuestro modelo de Estado descansa, precisamente, en la concurrencia de sistemas normativos, cuya convivencia ha de buscarse exclusivamente en la ordenación de sus respectivos ámbitos competenciales.</w:t>
      </w:r>
    </w:p>
    <w:p w:rsidR="001D6FAE" w:rsidRDefault="001D6FAE" w:rsidP="001D6FAE">
      <w:pPr>
        <w:pStyle w:val="TextoNormal"/>
      </w:pPr>
    </w:p>
    <w:p w:rsidR="001D6FAE" w:rsidRDefault="001D6FAE" w:rsidP="001D6FAE">
      <w:pPr>
        <w:pStyle w:val="TextoNormal"/>
      </w:pPr>
      <w:r>
        <w:t>En efecto, hay que tener en cuenta, como hemos señalado reiteradamente, que la existencia de dos legislaciones diferentes no puede convertirse en los procesos constitucionales en los que se dirimen controversias competenciales en principio determinante del mantenimiento de la suspensión de la disposición legal recurrida. Si esa argumentación se aceptara la suspensión de las normas autonómicas impugnadas por motivos competenciales sería siempre necesaria, puesto que en todo conflicto de dicha naturaleza se produce una duplicidad de normativas, la estatal y la autonómica (por todos, AATC 46/1999, de 25 de febrero, FJ 2; 174/2002, de 1 de octubre, FJ 4; 3/2003, de 14 de enero, FJ 5, y 205/2014, de 22 de julio, FJ 2).</w:t>
      </w:r>
    </w:p>
    <w:p w:rsidR="001D6FAE" w:rsidRDefault="001D6FAE" w:rsidP="001D6FAE">
      <w:pPr>
        <w:pStyle w:val="TextoNormal"/>
      </w:pPr>
    </w:p>
    <w:p w:rsidR="001D6FAE" w:rsidRDefault="001D6FAE" w:rsidP="001D6FAE">
      <w:pPr>
        <w:pStyle w:val="TextoNormal"/>
      </w:pPr>
      <w:r>
        <w:t>Los daños que pudieran ocasionarse a la seguridad jurídica por esa situación de duplicidad normativa son una consecuencia inherente a toda situación de pendencia de un recurso de inconstitucionalidad y consustanciales, por tanto, al funcionamiento de un Estado compuesto como el nuestro y a la coexistencia del ordenamiento estatal con los ordenamientos autonómicos.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AATC 60/2013, de 26 de febrero, FJ 5, y 153/2014, de 27 de julio, FJ 3).</w:t>
      </w:r>
    </w:p>
    <w:p w:rsidR="001D6FAE" w:rsidRDefault="001D6FAE" w:rsidP="001D6FAE">
      <w:pPr>
        <w:pStyle w:val="TextoNormal"/>
      </w:pPr>
    </w:p>
    <w:p w:rsidR="001D6FAE" w:rsidRDefault="001D6FAE" w:rsidP="001D6FAE">
      <w:pPr>
        <w:pStyle w:val="TextoNormal"/>
      </w:pPr>
      <w:r>
        <w:t>Así pues, debemos centrar nuestro análisis en la ponderación de los graves perjuicios económicos para el interés general y los intereses de terceros que, según el Abogado del Estado, habrían de producirse si se decretase el alzamiento de la suspensión de los preceptos impugnados.</w:t>
      </w:r>
    </w:p>
    <w:p w:rsidR="001D6FAE" w:rsidRDefault="001D6FAE" w:rsidP="001D6FAE">
      <w:pPr>
        <w:pStyle w:val="TextoNormal"/>
      </w:pPr>
    </w:p>
    <w:p w:rsidR="001D6FAE" w:rsidRDefault="001D6FAE" w:rsidP="001D6FAE">
      <w:pPr>
        <w:pStyle w:val="TextoNormal"/>
      </w:pPr>
      <w:r w:rsidRPr="001D6FAE">
        <w:rPr>
          <w:rStyle w:val="NumeroAFNegritaCaracter"/>
        </w:rPr>
        <w:t>5</w:t>
      </w:r>
      <w:r>
        <w:t>. Sostiene el Abogado del Estado, con apoyo en los informes elaborados por el Ministerio de Educación, Cultura y Deportes (Consejo Superior de Deportes) y el Ministerio de Economía y Competitividad que adjunta a su escrito de alegaciones, que el levantamiento de la suspensión del art. 6, apartados 1, 2, 3 (en su inciso final), 4 y 5 (salvo el primer inciso), y de los arts. 8 a 11 de la Ley 7/2015, ocasionaría graves perjuicios económicos para el interés general y los intereses de terceros (los profesionales del deporte). La efectividad de los preceptos impugnados conllevaría la fragmentación del mercado nacional, quebrantando el interés público ligado a la efectividad general del principio de unidad de mercado, con graves perjuicios económicos. La exigencia a determinados profesionales deportivos, que ya ejercen legalmente su actividad en otra parte del territorio nacional, de inscribirse en el registro oficial de profesionales del deporte de Cataluña para poder prestar en ella sus servicios, impide el aprovechamiento de economías de escala a nivel nacional y limita la presión competitiva. En última instancia puede afectar a los precios y calidad de los servicios ofertados y por tanto a la competitividad de la economía española, con posibles consecuencias perniciosas en términos de oportunidades de crecimiento y de empleo.</w:t>
      </w:r>
    </w:p>
    <w:p w:rsidR="001D6FAE" w:rsidRDefault="001D6FAE" w:rsidP="001D6FAE">
      <w:pPr>
        <w:pStyle w:val="TextoNormal"/>
      </w:pPr>
    </w:p>
    <w:p w:rsidR="001D6FAE" w:rsidRDefault="001D6FAE" w:rsidP="001D6FAE">
      <w:pPr>
        <w:pStyle w:val="TextoNormal"/>
      </w:pPr>
      <w:r>
        <w:t>Además, esa exigencia de inscripción registral para ejercer la actividad deportiva de que se trate en Cataluña limita las libertades de establecimiento y de circulación de los profesionales del deporte tanto en el ámbito español como el europeo y menoscaba el principio de igualdad de todos los españoles en cualquier parte del territorio español, al provocar una desigualdad entre profesionales del deporte en el acceso al mercado laboral. Por otra parte, la posibilidad de que los profesionales que ejerzan su actividad en Cataluña sin cumplir el requisito de la inscripción previa en el registro oficial de profesionales del deporte de Cataluña puedan ser sancionados por este motivo conforme a las previsiones contenidas al respecto en la legislación catalana, supone adicionalmente un claro desincentivo para el ejercicio de tales profesiones, lo que tendría a su vez un impacto negativo en la actividad económica.</w:t>
      </w:r>
    </w:p>
    <w:p w:rsidR="001D6FAE" w:rsidRDefault="001D6FAE" w:rsidP="001D6FAE">
      <w:pPr>
        <w:pStyle w:val="TextoNormal"/>
      </w:pPr>
    </w:p>
    <w:p w:rsidR="001D6FAE" w:rsidRDefault="001D6FAE" w:rsidP="001D6FAE">
      <w:pPr>
        <w:pStyle w:val="TextoNormal"/>
      </w:pPr>
      <w:r>
        <w:t>Sin embargo, el mantenimiento de la suspensión, que conllevaría la no obligatoriedad de la inscripción en registro oficial de profesionales del deporte de Cataluña, no causa perjuicio alguno ni a los profesionales del deporte que ejerzan su actividad en Cataluña ni al interés público, según el Abogado del Estado.</w:t>
      </w:r>
    </w:p>
    <w:p w:rsidR="001D6FAE" w:rsidRDefault="001D6FAE" w:rsidP="001D6FAE">
      <w:pPr>
        <w:pStyle w:val="TextoNormal"/>
      </w:pPr>
    </w:p>
    <w:p w:rsidR="001D6FAE" w:rsidRDefault="001D6FAE" w:rsidP="001D6FAE">
      <w:pPr>
        <w:pStyle w:val="TextoNormal"/>
      </w:pPr>
      <w:r>
        <w:t>Por su parte, las Letradas de la Generalitat y del Parlamento de Cataluña niegan que el levantamiento de la suspensión del art. 6, apartados 1, 2, 3 (en su inciso final), 4 y 5 (salvo el primer inciso), y los arts. 8 a 11, todos ellos de la Ley 7/2015, provoque perjuicios para el interés general o de terceros. Razonan que la libertad de circulación o de establecimiento de los profesionales del deporte concernidos no queda limitada con esas previsiones de la Ley 7/2015, más allá de la razonable acreditación de que esos profesionales disponen de los mínimos conocimientos para el ejercicio de la actividad deportiva de que se trate, en aras a la preservación de la salud y la seguridad de los usuarios en el ejercicio de sus prácticas deportivas. La inscripción en el registro oficial de profesionales del deporte de Cataluña atiende a garantizar que los profesionales del deporte poseen la formación necesaria. Se trata de un requisito que no impide el desarrollo de la actividad deportiva y en ningún caso se establece teniendo en cuenta la procedencia del profesional concernido, sino con carácter general, ya que el objetivo perseguido es preservar la salud y la seguridad del público que confía en estos profesionales al realizar sus prácticas deportivas. El mantenimiento de la suspensión perjudicaría, en cambio, a los usuarios, que no dispondrían de la necesaria información acerca de la formación de esos profesionales del deporte que les atienden, con riesgo para su salud y su seguridad.</w:t>
      </w:r>
    </w:p>
    <w:p w:rsidR="001D6FAE" w:rsidRDefault="001D6FAE" w:rsidP="001D6FAE">
      <w:pPr>
        <w:pStyle w:val="TextoNormal"/>
      </w:pPr>
    </w:p>
    <w:p w:rsidR="001D6FAE" w:rsidRDefault="001D6FAE" w:rsidP="001D6FAE">
      <w:pPr>
        <w:pStyle w:val="TextoNormal"/>
      </w:pPr>
      <w:r>
        <w:t>A la vista de los argumentos expuestos por las partes, no cabe entender que el levantamiento de la suspensión de los arts. 6 [en sus apartados 1, 2, 3 (en su inciso final), 4 y 5 (salvo el primer inciso)] y 8 a 11 de la Ley 7/2015 suponga un perjuicio grave para el interés público al que sirve la unidad de mercado. Las supuestas distorsiones en el principio de unidad de mercado aducidas por el Abogado del Estado, con referencia a las afirmaciones genéricas que se contienen en los informes que acompaña a sus alegaciones, no pueden justificar tampoco el mantenimiento de la suspensión de los preceptos impugnados; por esta vía podría llegar a suspenderse con carácter meramente cautelar cualquier medida legislativa de las Comunidades Autónomas. Como se recuerda en los AATC 80/2008, de 11 de marzo, FJ 6, y 196/2015, de 18 de noviembre, FJ 3 c), para que un perjuicio pueda ser tomado en consideración es necesario “que esa afirmación haya venido acompañada de una justificación concreta de los perjuicios de imposible o difícil reparación que habrían de producirse por la mera existencia de una diversidad regulatoria”; una diversidad que, por otra parte, “es consustancial con el carácter autonómico de nuestro Estado”.</w:t>
      </w:r>
    </w:p>
    <w:p w:rsidR="001D6FAE" w:rsidRDefault="001D6FAE" w:rsidP="001D6FAE">
      <w:pPr>
        <w:pStyle w:val="TextoNormal"/>
      </w:pPr>
    </w:p>
    <w:p w:rsidR="001D6FAE" w:rsidRDefault="001D6FAE" w:rsidP="001D6FAE">
      <w:pPr>
        <w:pStyle w:val="TextoNormal"/>
      </w:pPr>
      <w:r>
        <w:t>Los perjuicios para el interés público al que sirve la unidad de mercado se formulan por el Abogado del Estado de manera genérica e hipotética, con fundamento en especulaciones y conjeturas en cuanto al pretendido impacto negativo en la economía española que pueda tener la exigencia de inscripción en el registro oficial de profesionales del deporte de Cataluña. Esto ha de conducir a descartar que tal alegato sea idóneo para justificar el mantenimiento de la suspensión de los preceptos impugnados. Otro tanto cabe afirmar en cuanto a los supuestos perjuicios que provocaría el levantamiento de la suspensión derivados de la afectación a las libertades de establecimiento y de circulación de los profesionales del deporte y a la igualdad de tales profesionales en el acceso al mercado laboral. El levantamiento de la suspensión ni siquiera tendría necesariamente que deparar a los profesionales del deporte concernidos las posibles consecuencias negativas que se apuntan por vía sancionadora; entre otras razones, porque no hay motivos para presumir que vayan a negarse a cumplir el requisito administrativo de inscripción registral establecido en la normativa autonómica impugnada.</w:t>
      </w:r>
    </w:p>
    <w:p w:rsidR="001D6FAE" w:rsidRDefault="001D6FAE" w:rsidP="001D6FAE">
      <w:pPr>
        <w:pStyle w:val="TextoNormal"/>
      </w:pPr>
    </w:p>
    <w:p w:rsidR="001D6FAE" w:rsidRDefault="001D6FAE" w:rsidP="001D6FAE">
      <w:pPr>
        <w:pStyle w:val="TextoNormal"/>
      </w:pPr>
      <w:r>
        <w:t>Estamos, en suma, ante meras conjeturas sobre perjuicios genéricos e hipotéticos, lo que determina el rechazo del alegato de la Abogacía del Estado, pues de acuerdo con la doctrina de este Tribunal, “la suspensión solamente procede en presencia de perjuicios ciertos y efectivos, en ausencia de los cuales ha de atenderse a la presunción de validez propia de las Leyes” (AATC 156/2008, de 12 de junio, FJ 3, y 54/2016, de 1 de marzo, FJ 6).</w:t>
      </w:r>
    </w:p>
    <w:p w:rsidR="001D6FAE" w:rsidRDefault="001D6FAE" w:rsidP="001D6FAE">
      <w:pPr>
        <w:pStyle w:val="TextoNormal"/>
      </w:pPr>
    </w:p>
    <w:p w:rsidR="001D6FAE" w:rsidRDefault="001D6FAE" w:rsidP="001D6FAE">
      <w:pPr>
        <w:pStyle w:val="TextoNormal"/>
      </w:pPr>
      <w:r>
        <w:t>Sin perjuicio de que la decisión sobre el levantamiento o mantenimiento de la suspensión haya de adoptarse, como hemos dicho reiteradamente, mediante el estricto examen de las situaciones de hecho creadas y al margen de la viabilidad de las pretensiones que se formulen en la demanda, conviene advertir que la exigencia de inscripción en el registro oficial de profesionales del deporte de Cataluña para poder ejercer en Cataluña las profesiones del deporte reguladas por la Ley catalana 3/2008, se establece en el art. 8.1 de esta Ley en su redacción originaria, desarrollado por el Decreto 68/2009, de 28 de abril, por el que se regula el referido registro. El art. 8.1 de la Ley 3/2008, que no fue impugnado en su día, no ha sido modificado por la Ley 7/2015. Se antoja así difícil entender de qué modo la exigencia de inscripción en el registro oficial de profesionales del deporte de Cataluña para poder ejercer en Cataluña las profesiones del deporte a las que se refieren los impugnados arts. 6, apartados 1, 2, 3 (en su inciso final), 4 y 5 (salvo el primer inciso), y 8 a 11 de la Ley 7/2015, de modificación de la Ley 3/2008, del ejercicio de las profesiones del deporte, que se remonta al año 2008, puede deparar ahora perjuicios de imposible o difícil reparación para el interés general o, en su caso, para el interés particular de terceros.</w:t>
      </w:r>
    </w:p>
    <w:p w:rsidR="001D6FAE" w:rsidRDefault="001D6FAE" w:rsidP="001D6FAE">
      <w:pPr>
        <w:pStyle w:val="TextoNormal"/>
      </w:pPr>
    </w:p>
    <w:p w:rsidR="001D6FAE" w:rsidRDefault="001D6FAE" w:rsidP="001D6FAE">
      <w:pPr>
        <w:pStyle w:val="TextoNormal"/>
      </w:pPr>
      <w:r>
        <w:t>Procede, por tanto, levantar la suspensión que afecta al art. 6, en sus apartados 1, 2, 3 (en su inciso final), 4 y 5 (salvo el primer inciso); también a los arts. 8 a 11, todos ellos de la Ley del Parlamento de Cataluña 7/2015, de modificación de la Ley 3/2008, del ejercicio de las profesiones del deporte.</w:t>
      </w:r>
    </w:p>
    <w:p w:rsidR="001D6FAE" w:rsidRDefault="001D6FAE" w:rsidP="001D6FAE">
      <w:pPr>
        <w:pStyle w:val="TextoNormal"/>
      </w:pPr>
    </w:p>
    <w:p w:rsidR="001D6FAE" w:rsidRDefault="001D6FAE" w:rsidP="001D6FAE">
      <w:pPr>
        <w:pStyle w:val="TextoNormal"/>
      </w:pPr>
      <w:r w:rsidRPr="001D6FAE">
        <w:rPr>
          <w:rStyle w:val="NumeroAFNegritaCaracter"/>
        </w:rPr>
        <w:t>6</w:t>
      </w:r>
      <w:r>
        <w:t>. Alega asimismo el Abogado del Estado, como se ha dicho, que el levantamiento de la suspensión del art. 4 de la Ley 7/2015, que ordena a la Secretaría General del Deporte de la Generalitat de Cataluña establecer convenios y acuerdos de equiparación de profesiones y competencias mínimas con otros registros de profesionales del deporte de Estados miembros de la Unión Europea, ocasionaría perjuicios de imposible o difícil reparación para el interés general en las relaciones internacionales y la política exterior de España. Según se alega, el precepto —y en ello reside la razón de su impugnación— reconoce a la Generalitat de Cataluña la capacidad para suscribir tales convenios de manera autónoma y unilateral, prescindiendo de la existencia de un previo instrumento internacional que la Ley estatal configura como requisito inexcusable para su celebración, con vulneración por tanto del art. 149.1.3 CE.</w:t>
      </w:r>
    </w:p>
    <w:p w:rsidR="001D6FAE" w:rsidRDefault="001D6FAE" w:rsidP="001D6FAE">
      <w:pPr>
        <w:pStyle w:val="TextoNormal"/>
      </w:pPr>
    </w:p>
    <w:p w:rsidR="001D6FAE" w:rsidRDefault="001D6FAE" w:rsidP="001D6FAE">
      <w:pPr>
        <w:pStyle w:val="TextoNormal"/>
      </w:pPr>
      <w:r>
        <w:t>La Letrada del Parlamento de Cataluña aboga a favor de levantar la suspensión del art. 4 de la Ley 7/2015, pues considera que contiene una previsión carente de eficacia inmediata, ya que para desplegar sus efectos precisa de la correspondiente tramitación conforme a lo establecido en la Ley estatal 25/2014, de 27 de noviembre, de tratados y otros acuerdos internacionales.</w:t>
      </w:r>
    </w:p>
    <w:p w:rsidR="001D6FAE" w:rsidRDefault="001D6FAE" w:rsidP="001D6FAE">
      <w:pPr>
        <w:pStyle w:val="TextoNormal"/>
      </w:pPr>
    </w:p>
    <w:p w:rsidR="001D6FAE" w:rsidRDefault="001D6FAE" w:rsidP="001D6FAE">
      <w:pPr>
        <w:pStyle w:val="TextoNormal"/>
      </w:pPr>
      <w:r>
        <w:t>La decisión de este Tribunal al respecto debe tener en cuenta lo razonado en el ATC 122/2015, de 7 de julio, FJ 6, en relación con la regulación contenida en la letra e) del art. 7 de la Ley del Parlamento de Cataluña 16/2014, de 4 de diciembre, de acción exterior y de relaciones con la Unión Europea. Esta atribuye al Gobierno de la Generalitat la función de “aprobar la conclusión de acuerdos de colaboración … con entes públicos de otros Estados o con organizaciones internacionales y autorizar, con carácter previo, la conclusión de acuerdos análogos por los entes, organismos o entidades públicas dependientes de la Administración de la Generalitat o vinculados a la misma”.</w:t>
      </w:r>
    </w:p>
    <w:p w:rsidR="001D6FAE" w:rsidRDefault="001D6FAE" w:rsidP="001D6FAE">
      <w:pPr>
        <w:pStyle w:val="TextoNormal"/>
      </w:pPr>
    </w:p>
    <w:p w:rsidR="001D6FAE" w:rsidRDefault="001D6FAE" w:rsidP="001D6FAE">
      <w:pPr>
        <w:pStyle w:val="TextoNormal"/>
      </w:pPr>
      <w:r>
        <w:t xml:space="preserve">En aquel caso entendimos que no se justificaba la existencia de perjuicios para el interés general que pudieran fundamentar el mantenimiento de la suspensión, porque “nada hay en el precepto impugnado que conduzca a considerar que los acuerdos de colaboración constituyen tratados internacionales ni que se obstaculice o dificulte la función de coordinación estatal; esta se concreta en la obligación por parte de la Comunidad Autónoma de remitir los proyectos de acuerdos al Ministerio de Asuntos Exteriores y Cooperación antes de su firma, para que sean informados por la Asesoría Jurídica Internacional acerca de su naturaleza, procedimiento y más adecuada instrumentación según el derecho internacional (arts. 43 y ss. de la Ley 25/2014, de 27 de noviembre, de tratados y otros acuerdos internacionales). Puesto que nada en la Ley 16/2014 impide o dificulta que los acuerdos de colaboración se sujeten a los requisitos previstos en la legislación estatal que establece las funciones de coordinación en esta materia, resulta obligado concluir que no se justifica que el precepto impugnado ocasione perjuicios al </w:t>
      </w:r>
      <w:r w:rsidRPr="001D6FAE">
        <w:rPr>
          <w:i/>
        </w:rPr>
        <w:t>ius contrahendi</w:t>
      </w:r>
      <w:r>
        <w:t xml:space="preserve"> que corresponde en exclusiva al Estado, lo que ha de llevar, conforme se anticipó, al alzamiento de la suspensión del artículo 7 en su integridad” (ATC 122/2015, FJ 6).</w:t>
      </w:r>
    </w:p>
    <w:p w:rsidR="001D6FAE" w:rsidRDefault="001D6FAE" w:rsidP="001D6FAE">
      <w:pPr>
        <w:pStyle w:val="TextoNormal"/>
      </w:pPr>
    </w:p>
    <w:p w:rsidR="001D6FAE" w:rsidRDefault="001D6FAE" w:rsidP="001D6FAE">
      <w:pPr>
        <w:pStyle w:val="TextoNormal"/>
      </w:pPr>
      <w:r>
        <w:t xml:space="preserve">Para llegar a esta conclusión tuvimos en cuenta que “estos acuerdos de colaboración, previstos en el art. 195 EAC, en ningún caso pueden implicar el ejercicio de un </w:t>
      </w:r>
      <w:r w:rsidRPr="001D6FAE">
        <w:rPr>
          <w:i/>
        </w:rPr>
        <w:t>ius contrahendi</w:t>
      </w:r>
      <w:r>
        <w:t xml:space="preserve">, reservado en exclusiva al Estado </w:t>
      </w:r>
      <w:r w:rsidRPr="001D6FAE">
        <w:rPr>
          <w:i/>
        </w:rPr>
        <w:t>ex</w:t>
      </w:r>
      <w:r>
        <w:t xml:space="preserve"> art. 149.1.3 CE, lo que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(STC 165/1994, FJ 5). Justamente por ello, el art. 2 d) de la Ley 16/2014 define los ‘acuerdos de colaboración’ a efectos de esta Ley como ‘los acuerdos sujetos al Derecho público que no tienen naturaleza ni efectos jurídicos de Derecho internacional y sólo imponen obligaciones jurídicas a las partes que los contraen’. Como ya señaló la citada STC 31/2010, FJ 126, al enjuiciar la previsión de acuerdos de colaboración en el art. 195 EAC,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w:t>
      </w:r>
      <w:r w:rsidRPr="001D6FAE">
        <w:rPr>
          <w:i/>
        </w:rPr>
        <w:t>ius contrahendi</w:t>
      </w:r>
      <w:r>
        <w:t xml:space="preserve">, ni que origine obligaciones frente a poderes públicos extranjeros, ni que incida en la política exterior del Estado, ni, en fin, que genere responsabilidad de éste frente a Estados extranjeros u organizaciones inter o supranacionales. Ámbitos estos reservados al Estado </w:t>
      </w:r>
      <w:r w:rsidRPr="001D6FAE">
        <w:rPr>
          <w:i/>
        </w:rPr>
        <w:t>ex</w:t>
      </w:r>
      <w:r>
        <w:t xml:space="preserve"> art. 149.1.3 CE y que la Comunidad Autónoma debe respetar en todo caso en el ejercicio de la facultad que le reconoce el art. 195 EAC’” (ATC 122/2015, FJ 6).</w:t>
      </w:r>
    </w:p>
    <w:p w:rsidR="001D6FAE" w:rsidRDefault="001D6FAE" w:rsidP="001D6FAE">
      <w:pPr>
        <w:pStyle w:val="TextoNormal"/>
      </w:pPr>
    </w:p>
    <w:p w:rsidR="001D6FAE" w:rsidRDefault="001D6FAE" w:rsidP="001D6FAE">
      <w:pPr>
        <w:pStyle w:val="TextoNormal"/>
      </w:pPr>
      <w:r>
        <w:t xml:space="preserve">Distinta es la conclusión que cabe alcanzar ahora en relación con el art. 4 de la Ley del Parlamento de Cataluña 7/2015, cuya redacción, a diferencia del referido art. 7 e) de la Ley del Parlamento de Cataluña 16/2014, conduce a entender que la facultad que se otorga al Gobierno de la Generalitat (Secretaría General del Deporte) implica efectivamente el ejercicio de un </w:t>
      </w:r>
      <w:r w:rsidRPr="001D6FAE">
        <w:rPr>
          <w:i/>
        </w:rPr>
        <w:t>ius contrahendi</w:t>
      </w:r>
      <w:r>
        <w:t>, susceptible de reconocer derechos y de originar obligaciones frente a poderes públicos extranjeros.</w:t>
      </w:r>
    </w:p>
    <w:p w:rsidR="001D6FAE" w:rsidRDefault="001D6FAE" w:rsidP="001D6FAE">
      <w:pPr>
        <w:pStyle w:val="TextoNormal"/>
      </w:pPr>
    </w:p>
    <w:p w:rsidR="001D6FAE" w:rsidRDefault="001D6FAE" w:rsidP="001D6FAE">
      <w:pPr>
        <w:pStyle w:val="TextoNormal"/>
      </w:pPr>
      <w:r>
        <w:t>El precepto viene a ordenar a la Generalitat de Cataluña que suscriba convenios y acuerdos de equiparación de profesiones y competencias mínimas con otros registros de profesionales del deporte de Estados miembros de la Unión Europea, con efectos jurídicos inequívocos. Y esa facultad de suscribir tales convenios y acuerdos de equiparación se atribuye de manera unilateral, esto es, prescindiendo de la función de coordinación estatal, que se concreta, como recuerda el ATC 122/2015, FJ 6, en la obligación de la Comunidad Autónoma de remitir los proyectos de acuerdo al Ministerio de Asuntos Exteriores y Cooperación antes de su firma, para que sean informados por la Asesoría Jurídica Internacional acerca de su naturaleza, procedimiento y más adecuada instrumentación según el Derecho internacional (arts. 43 y ss. de la Ley 25/2014, de 27 de noviembre, de tratados y otros acuerdos internacionales). Como hemos recordado recientemente en la STC 85/2016, de 28 de abril, FJ 8, “La facultad de coordinar, asociada a la dirección y ejecución de la política exterior en el sentido indicado, debe conllevar necesariamente un margen de decisión del Gobierno a la hora de definir las líneas directrices de una determinada política exterior en lugar de otra. Ello, teniendo siempre en cuenta, como ya se ha apuntado, la necesidad de una actuación no fragmentada en el ámbito internacional reconocida en Sentencias como la 80/2012 y 110/2012, de 23 de mayo”.</w:t>
      </w:r>
    </w:p>
    <w:p w:rsidR="001D6FAE" w:rsidRDefault="001D6FAE" w:rsidP="001D6FAE">
      <w:pPr>
        <w:pStyle w:val="TextoNormal"/>
      </w:pPr>
    </w:p>
    <w:p w:rsidR="001D6FAE" w:rsidRDefault="001D6FAE" w:rsidP="001D6FAE">
      <w:pPr>
        <w:pStyle w:val="TextoNormal"/>
      </w:pPr>
      <w:r>
        <w:t xml:space="preserve">No cabe sino concluir que el levantamiento de la suspensión del art. 4 de la Ley del Parlamento de Cataluña 7/2015 ocasionaría perjuicios de imposible o difícil reparación para el interés general en las relaciones internacionales y la política exterior de España. La vigencia y aplicabilidad de este precepto es susceptible de perjudicar gravemente aquel interés, pues la competencia de la Generalitat de Cataluña de suscribir “acuerdos de colaboración en el ámbito de sus competencias” no alcanza en ningún caso para establecer vínculos con otros Estados (aunque formen parte de la Unión Europea), que excedan del ámbito de los acuerdos no normativos y que sean susceptibles de reconocer derechos y establecer obligaciones de Derecho público, como es, en el caso que nos ocupa, el ejercicio de profesiones deportivas. Los acuerdos que, de conformidad con el art. 4 de la Ley 7/2015, la Secretaría General del Deporte de la Generalitat suscriba con otros registros de profesionales del deporte de Estados miembros de la Unión Europea, permitirían el reconocimiento de las profesiones deportivas en los distintos sectores del deporte y a los profesionales inscritos en el registro oficial de profesionales del deporte de Cataluña el acceso a los registros europeos de profesionales del deporte. A la inversa, permitirían a la vez a cualquier profesional inscrito en un registro europeo acceder, previa solicitud, al registro oficial de profesionales del deporte de Cataluña. De este modo, la regulación contenida en el art. 4 de la Ley 7/2015 implica, como ya dijimos, un ejercicio del </w:t>
      </w:r>
      <w:r w:rsidRPr="001D6FAE">
        <w:rPr>
          <w:i/>
        </w:rPr>
        <w:t>ius contrahendi</w:t>
      </w:r>
      <w:r>
        <w:t>, susceptible de originar obligaciones frente a poderes públicos extranjeros, de incidir en la política exterior del Estado, y, en fin, de generar responsabilidad de este frente a Estados extranjeros u organizaciones inter o supranacionales; consecuencias gravemente dañosas para el interés general que serían difícilmente reversibles si posteriormente se declarase la inconstitucionalidad y consiguiente nulidad del precepto impugnado.</w:t>
      </w:r>
    </w:p>
    <w:p w:rsidR="001D6FAE" w:rsidRDefault="001D6FAE" w:rsidP="001D6FAE">
      <w:pPr>
        <w:pStyle w:val="TextoNormal"/>
      </w:pPr>
    </w:p>
    <w:p w:rsidR="001D6FAE" w:rsidRDefault="001D6FAE" w:rsidP="001D6FAE">
      <w:pPr>
        <w:pStyle w:val="TextoNormal"/>
      </w:pPr>
      <w:r>
        <w:t>Procedente será, en consecuencia, mantener la suspensión del art. 4 de la Ley del Parlamento de Cataluña 7/2015, de modificación de la Ley 3/2008, del ejercicio de las profesiones del deporte.</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1º Mantener la suspensión del art. 4 de la Ley del Parlamento de Cataluña 7/2015, de 14 de mayo, de modificación de la Ley 3/2008, del ejercicio de las profesiones del deporte.</w:t>
      </w:r>
    </w:p>
    <w:p w:rsidR="001D6FAE" w:rsidRDefault="001D6FAE" w:rsidP="001D6FAE">
      <w:pPr>
        <w:pStyle w:val="TextoNormal"/>
      </w:pPr>
    </w:p>
    <w:p w:rsidR="001D6FAE" w:rsidRDefault="001D6FAE" w:rsidP="001D6FAE">
      <w:pPr>
        <w:pStyle w:val="TextoNormal"/>
      </w:pPr>
      <w:r>
        <w:t>2º Levantar la suspensión del art. 6, en sus apartados 1, 2, 3 (en su inciso final), 4 y 5 (salvo el primer inciso); también de los arts. 8 a 11, todos ellos de la Ley del Parlamento de Cataluña 7/2015, de 14 de mayo, de modificación de la Ley 3/2008, del ejercicio de las profesiones del deporte.</w:t>
      </w:r>
    </w:p>
    <w:p w:rsidR="001D6FAE" w:rsidRDefault="001D6FAE" w:rsidP="001D6FAE">
      <w:pPr>
        <w:pStyle w:val="TextoNormal"/>
      </w:pPr>
    </w:p>
    <w:p w:rsidR="001D6FAE" w:rsidRDefault="001D6FAE" w:rsidP="001D6FAE">
      <w:pPr>
        <w:pStyle w:val="TextoNormal"/>
      </w:pPr>
      <w:r>
        <w:t>Madrid, a cinco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4" w:name="AUTO_2016_140_BIS"/>
      <w:r>
        <w:t>AUTO 140/2016 bis, de 18 de julio de 2016</w:t>
      </w:r>
    </w:p>
    <w:bookmarkEnd w:id="114"/>
    <w:p w:rsidR="001D6FAE" w:rsidRDefault="001D6FAE" w:rsidP="001D6FAE">
      <w:pPr>
        <w:pStyle w:val="TtuloResolucin"/>
      </w:pPr>
      <w:r>
        <w:t>Sala Segunda</w:t>
      </w:r>
    </w:p>
    <w:p w:rsidR="001D6FAE" w:rsidRDefault="001D6FAE" w:rsidP="001D6FAE">
      <w:pPr>
        <w:pStyle w:val="TextoNormalCentrado"/>
      </w:pPr>
      <w:r>
        <w:t>ECLI:ES:TC:2016:140BisA</w:t>
      </w:r>
    </w:p>
    <w:p w:rsidR="001D6FAE" w:rsidRDefault="001D6FAE" w:rsidP="001D6FAE">
      <w:pPr>
        <w:pStyle w:val="TextoNormalCentrado"/>
      </w:pPr>
    </w:p>
    <w:p w:rsidR="001D6FAE" w:rsidRDefault="001D6FAE" w:rsidP="001D6FAE">
      <w:pPr>
        <w:pStyle w:val="SntesisDescriptiva"/>
      </w:pPr>
      <w:r>
        <w:t>Excms. Srs. doña Adela Asua Batarrita, don Fernando Valdés Dal-Ré, don Juan José González Rivas, don Pedro José González-Trevijano Sánchez y don Antonio Narváez Rodríguez.</w:t>
      </w:r>
    </w:p>
    <w:p w:rsidR="001D6FAE" w:rsidRDefault="001D6FAE" w:rsidP="001D6FAE">
      <w:pPr>
        <w:pStyle w:val="SntesisDescriptiva"/>
      </w:pPr>
    </w:p>
    <w:p w:rsidR="001D6FAE" w:rsidRDefault="001D6FAE" w:rsidP="001D6FAE">
      <w:pPr>
        <w:pStyle w:val="SntesisDescriptiva"/>
      </w:pPr>
      <w:r>
        <w:t>Declara que no se ha producido la pérdida de objeto del recurso de amparo 6887-2014, promovido por Iberdrola, S.A.,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día 14 de noviembre de 2014 la entidad Iberdrola, S.A., presentó en el Registro General de este Tribunal recurso de amparo (registrado con el núm. 6887-2014) contra los siguientes actos: i) la resolución de la Comisión Nacional de Energía, de 12 de enero de 2012, por la que se practicó la liquidación provisional núm. 11-2011 de las actividades reguladas del sistema eléctrico; ii) la Sentencia de la Sala de lo Contencioso-Administrativo de la Audiencia Nacional (Sección Cuarta), de 19 de diciembre de 2012, por la que se desestimó el recurso contencioso-administrativo núm. 1-2012 (procedimiento especial para la protección de los derechos fundamentales) interpuesto contra la citada resolución, confirmándola; iii) la Sentencia de la Sala de lo Contencioso-Administrativo del Tribunal Supremo (Sección Séptima), de 28 de marzo de 2014, que desestimó el recurso de casación núm. 292-2013 presentado contra la Sentencia de instancia; iv) y, por último, el Auto de la misma Sala, de 25 de septiembre de 2014, por el que se desestimó el incidente de nulidad de actuaciones planteado contra la Sentencia resolutoria del recurso de casación.</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La demandante de amparo consideraba que la resolución de la Comisión Nacional de Energía de 12 de enero de 2012, así como las resoluciones judiciales que la confirmaron, vulneraron el art. 14 CE cuando, con base en la disposición adicional vigesimoprimera, apartado 2, de la Ley 54/1997, de 27 de noviembre, del sector eléctrico (en adelante, Ley 54/1997), aplicable </w:t>
      </w:r>
      <w:r w:rsidRPr="001D6FAE">
        <w:rPr>
          <w:i/>
        </w:rPr>
        <w:t>ratione temporis</w:t>
      </w:r>
      <w:r>
        <w:t>, le exigieron (junto a otras cuatro compañías generadoras de energía eléctrica también designadas nominativamente) la financiación del déficit de tarifa en el porcentaje establecido en dicha Ley, mediante un préstamo forzoso al sistema eléctrico. Y solicitaba, en consecuencia, que este Tribunal declarase la inconstitucionalidad de la liquidación núm. 11-2011 de las actividades reguladas del sistema eléctrico y de las resoluciones judiciales confirmatorias de la misma (elevando, en su caso, la cuestión al Pleno, de conformidad con el art. 55.2 de la Ley Orgánica del Tribunal Constitucional: LOTC). Además, la entidad Iberdrola, S.A., entendía que la Sentencia del Tribunal Supremo de 28 de marzo de 2014, desestimatoria del recurso de casación, había vulnerado el art. 24.1 CE, por cuanto, al desestimar el recurso incurrió en error patente, incongruencia omisiva e irrazonabilidad, interesando, con carácter subsidiario, que se declarase su nulidad por este motivo.</w:t>
      </w:r>
    </w:p>
    <w:p w:rsidR="001D6FAE" w:rsidRDefault="001D6FAE" w:rsidP="001D6FAE">
      <w:pPr>
        <w:pStyle w:val="TextoNormal"/>
      </w:pPr>
    </w:p>
    <w:p w:rsidR="001D6FAE" w:rsidRDefault="001D6FAE" w:rsidP="001D6FAE">
      <w:pPr>
        <w:pStyle w:val="TextoNormal"/>
      </w:pPr>
      <w:r w:rsidRPr="001D6FAE">
        <w:rPr>
          <w:rStyle w:val="NumeroAFNegritaCaracter"/>
        </w:rPr>
        <w:t>3</w:t>
      </w:r>
      <w:r>
        <w:t>. Mediante providencia de 16 de abril de 2015 de la Sala Segunda (Sección Cuarta) de este Tribunal, fue admitido a trámite el recurso de amparo de la entidad Iberdrola, S.A., dándose traslado del mismo para alegaciones, conforme dispone el art. 52 LOTC.</w:t>
      </w:r>
    </w:p>
    <w:p w:rsidR="001D6FAE" w:rsidRDefault="001D6FAE" w:rsidP="001D6FAE">
      <w:pPr>
        <w:pStyle w:val="TextoNormal"/>
      </w:pPr>
    </w:p>
    <w:p w:rsidR="001D6FAE" w:rsidRDefault="001D6FAE" w:rsidP="001D6FAE">
      <w:pPr>
        <w:pStyle w:val="TextoNormal"/>
      </w:pPr>
      <w:r w:rsidRPr="001D6FAE">
        <w:rPr>
          <w:rStyle w:val="NumeroAFNegritaCaracter"/>
        </w:rPr>
        <w:t>4</w:t>
      </w:r>
      <w:r>
        <w:t>. El Abogado del Estado, en la representación que ostenta, presentó sus alegaciones con fecha 6 de julio de 2015, en las que interesaba que, previo el trámite de audiencia del art. 84 LOTC, se acordara la terminación del procedimiento por pérdida sobrevenida del objeto; y, subsidiariamente, que se dictara sentencia desestimatoria. Justificaba su solicitud principal en que el préstamo forzoso exigido a Iberdrola, S.A., por medio de la resolución de la Comisión Nacional de Energía de 12 de enero de 2012 ya había sido recuperado por la entidad, junto con sus intereses, quedando así satisfecha la pretensión mantenida en la vía judicial, de la que la nulidad de la liquidación era, según el representante de la Administración del Estado, meramente instrumental. En cuanto al fondo de asunto, consideraba que la obligación de financiar el déficit de tarifa impuesta a determinadas entidades, entre ellas a la aquí recurrente, tenía una justificación objetiva y razonable desde el punto de vista de la igualdad, a la vista de que se trataba en todos los casos de sujetos cualificados del mercado eléctrico, que habían resultado perceptores de los costes de transición a la competencia.</w:t>
      </w:r>
    </w:p>
    <w:p w:rsidR="001D6FAE" w:rsidRDefault="001D6FAE" w:rsidP="001D6FAE">
      <w:pPr>
        <w:pStyle w:val="TextoNormal"/>
      </w:pPr>
    </w:p>
    <w:p w:rsidR="001D6FAE" w:rsidRDefault="001D6FAE" w:rsidP="001D6FAE">
      <w:pPr>
        <w:pStyle w:val="TextoNormal"/>
      </w:pPr>
      <w:r w:rsidRPr="001D6FAE">
        <w:rPr>
          <w:rStyle w:val="NumeroAFNegritaCaracter"/>
        </w:rPr>
        <w:t>5</w:t>
      </w:r>
      <w:r>
        <w:t>. La entidad recurrente presentó un escrito de alegaciones con fecha 8 de julio de 2015, en el que solicitaba que se dictara sentencia estimatoria, de conformidad con la demanda interpuesta. Remitiéndose a los argumentos esgrimidos en la demanda de amparo, Iberdrola, S.A., reiteraba que, ni en la resolución impugnada, ni en la normativa que le sirve de fundamento se explicaban las razones de por qué solo determinadas empresas (y en unos porcentajes fijados) debían financiar el déficit de tarifa. Aducía en su escrito, entre otros argumentos, que no a todos los actores del mercado eléctrico se les había exigido contribuir a la financiación del citado déficit, y que el hecho de haber sido beneficiaria de los costes de transición a la competencia no constituía una razón válida, una vez que han transcurrido más de seis años desde la extinción de dicha figura. Añadía, además, que aunque para compañías como Endesa, S.A., sí cabía apreciar un paralelismo entre el porcentaje de percepción de tales costes y el que se establecía para la financiación del déficit, en su caso no era así, todo lo cual confirmaba, a su juicio, la falta de justificación razonable de la discriminación sufrida.</w:t>
      </w:r>
    </w:p>
    <w:p w:rsidR="001D6FAE" w:rsidRDefault="001D6FAE" w:rsidP="001D6FAE">
      <w:pPr>
        <w:pStyle w:val="TextoNormal"/>
      </w:pPr>
    </w:p>
    <w:p w:rsidR="001D6FAE" w:rsidRDefault="001D6FAE" w:rsidP="001D6FAE">
      <w:pPr>
        <w:pStyle w:val="TextoNormal"/>
      </w:pPr>
      <w:r w:rsidRPr="001D6FAE">
        <w:rPr>
          <w:rStyle w:val="NumeroAFNegritaCaracter"/>
        </w:rPr>
        <w:t>6</w:t>
      </w:r>
      <w:r>
        <w:t>. Por último, el Ministerio Fiscal, por medio de un escrito de 28 de julio de 2015, interesó que se dictara sentencia desestimatoria del recurso de amparo, señalando, entre otras razones, que la recurrente no había aportado un término válido de comparación que justificara la desigualdad. Coincidía la Fiscal con la justificación razonable de la distinción aducida por la Abogacía del Estado, vinculándola con la percepción por Iberdrola, S.A., de los costes de transición a la competencia.</w:t>
      </w:r>
    </w:p>
    <w:p w:rsidR="001D6FAE" w:rsidRDefault="001D6FAE" w:rsidP="001D6FAE">
      <w:pPr>
        <w:pStyle w:val="TextoNormal"/>
      </w:pPr>
    </w:p>
    <w:p w:rsidR="001D6FAE" w:rsidRDefault="001D6FAE" w:rsidP="001D6FAE">
      <w:pPr>
        <w:pStyle w:val="TextoNormal"/>
      </w:pPr>
      <w:r w:rsidRPr="001D6FAE">
        <w:rPr>
          <w:rStyle w:val="NumeroAFNegritaCaracter"/>
        </w:rPr>
        <w:t>7</w:t>
      </w:r>
      <w:r>
        <w:t>. Por providencia de 15 de febrero de 2016, la Sala Segunda acordó conceder a las partes personadas y al Ministerio Fiscal un plazo de diez días, con arreglo al art. 84 LOTC, para que alegaran lo que consideraran pertinente acerca de la eventual pérdida de objeto del recurso de amparo.</w:t>
      </w:r>
    </w:p>
    <w:p w:rsidR="001D6FAE" w:rsidRDefault="001D6FAE" w:rsidP="001D6FAE">
      <w:pPr>
        <w:pStyle w:val="TextoNormal"/>
      </w:pPr>
    </w:p>
    <w:p w:rsidR="001D6FAE" w:rsidRDefault="001D6FAE" w:rsidP="001D6FAE">
      <w:pPr>
        <w:pStyle w:val="TextoNormal"/>
      </w:pPr>
      <w:r w:rsidRPr="001D6FAE">
        <w:rPr>
          <w:rStyle w:val="NumeroAFNegritaCaracter"/>
        </w:rPr>
        <w:t>8</w:t>
      </w:r>
      <w:r>
        <w:t>. Evacuando el trámite conferido, mediante escrito de 26 de febrero de 2016, el Abogado del Estado reiteraba su solicitud de que se acordara la terminación del procedimiento por pérdida de objeto, al haberse satisfecho la cantidad exigida a la recurrente, junto con los intereses correspondientes, tal y como se acreditaba con la documentación de la Comisión Nacional de Energía que se aportaba.</w:t>
      </w:r>
    </w:p>
    <w:p w:rsidR="001D6FAE" w:rsidRDefault="001D6FAE" w:rsidP="001D6FAE">
      <w:pPr>
        <w:pStyle w:val="TextoNormal"/>
      </w:pPr>
    </w:p>
    <w:p w:rsidR="001D6FAE" w:rsidRDefault="001D6FAE" w:rsidP="001D6FAE">
      <w:pPr>
        <w:pStyle w:val="TextoNormal"/>
      </w:pPr>
      <w:r w:rsidRPr="001D6FAE">
        <w:rPr>
          <w:rStyle w:val="NumeroAFNegritaCaracter"/>
        </w:rPr>
        <w:t>9</w:t>
      </w:r>
      <w:r>
        <w:t>. Por su parte, Iberdrola, S.A., se manifestó en contra de la pérdida de objeto, por medio de un escrito registrado el 1 de marzo de 2016, en el que, con cita de la doctrina del Tribunal Constitucional en esta materia, concluía que, si bien había recuperado las cantidades anticipadas, con sus intereses, no se había producido la reparación de los derechos vulnerados ni la satisfacción de los perjuicios soportados como consecuencia del préstamo exigido. La demandante de amparo razonaba que la recuperación de las cantidades anticipadas al sistema eléctrico no suponía la reparación de las vulneraciones producidas ni de los perjuicios ocasionados, sino que era una consecuencia de la naturaleza del préstamo forzoso y de las propias disposiciones legales al respecto que preveían dicha recuperación. Iberdrola, S.A., argüía que su pretensión era que se declarase que la disposición adicional vigesimoprimera, apartado 2, de la Ley 54/1997 infringía el art. 14 CE y el Derecho de la Unión Europea; y, además, que había sufrido una serie de perjuicios financieros que no le habían sido indemnizados y que podría reclamar por la vía de la responsabilidad del Estado legislador, una vez que el Tribunal Constitucional le otorgase, en su caso, el amparo solicitado.</w:t>
      </w:r>
    </w:p>
    <w:p w:rsidR="001D6FAE" w:rsidRDefault="001D6FAE" w:rsidP="001D6FAE">
      <w:pPr>
        <w:pStyle w:val="TextoNormal"/>
      </w:pPr>
    </w:p>
    <w:p w:rsidR="001D6FAE" w:rsidRDefault="001D6FAE" w:rsidP="001D6FAE">
      <w:pPr>
        <w:pStyle w:val="TextoNormal"/>
      </w:pPr>
      <w:r w:rsidRPr="001D6FAE">
        <w:rPr>
          <w:rStyle w:val="NumeroAFNegritaCaracter"/>
        </w:rPr>
        <w:t>10</w:t>
      </w:r>
      <w:r>
        <w:t>. El Ministerio Fiscal, a través de un escrito registrado el 7 de marzo, entendía también que el verdadero objeto del recurso de amparo no era la restitución de las cantidades anticipadas, sino la declaración de que el préstamo forzoso exigido a la entidad Iberdrola, S.A., vulneraba el art. 14 CE, junto con la posible lesión del art. 24.1 CE que se imputa a la Sentencia del Tribunal Supremo de 28 de marzo de 2014. De este modo, consideraba que la recuperación de las cantidades anticipadas no debía determinar la pérdida de objeto del proceso.</w:t>
      </w:r>
    </w:p>
    <w:p w:rsidR="001D6FAE" w:rsidRDefault="001D6FAE" w:rsidP="001D6FAE">
      <w:pPr>
        <w:pStyle w:val="TextoNormal"/>
      </w:pPr>
    </w:p>
    <w:p w:rsidR="001D6FAE" w:rsidRDefault="001D6FAE" w:rsidP="001D6FAE">
      <w:pPr>
        <w:pStyle w:val="TextoNormal"/>
      </w:pPr>
      <w:r w:rsidRPr="001D6FAE">
        <w:rPr>
          <w:rStyle w:val="NumeroAFNegritaCaracter"/>
        </w:rPr>
        <w:t>11</w:t>
      </w:r>
      <w:r>
        <w:t>. Finalmente, por medio de Auto de 11 de mayo de 2016 la Sala Segunda de este Tribunal acordó estimar justificada la abstención formulada por el Magistrado don Ricardo Enríquez Sancho, apartándole definitivamente del conocimiento del referido recurso y de todas sus incidencias. Seguidamente, el acuerdo de 1 de junio de 2016 de la Presidenta de la Sala Segunda, doña Adela Asua Batarrita, decidió designar como nuevo Ponente de este recurso al Magistrado don Antonio Narváez Rodríguez.</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Conforme a nuestra doctrina (AATC 43/1985, de 23 de enero, FJ 2; 243/2007, de 21 de mayo, FJ único; 285/2008, de 22 de septiembre, FJ único; 287/2008, de 22 de septiembre, FJ único; 6/2013, de 14 de enero, FJ 1, y 144/2015, de 2 de septiembre, FJ 1), la desaparición sobrevenida del objeto es una de las formas de terminación del proceso constitucional iniciado por el recurso de amparo cuando las circunstancias acaecidas con posterioridad a la presentación de la demanda hacen innecesario un pronunciamiento del Tribunal Constitucional, al haberse modificado de manera sustancial la controversia.</w:t>
      </w:r>
    </w:p>
    <w:p w:rsidR="001D6FAE" w:rsidRDefault="001D6FAE" w:rsidP="001D6FAE">
      <w:pPr>
        <w:pStyle w:val="TextoNormal"/>
      </w:pPr>
    </w:p>
    <w:p w:rsidR="001D6FAE" w:rsidRDefault="001D6FAE" w:rsidP="001D6FAE">
      <w:pPr>
        <w:pStyle w:val="TextoNormal"/>
      </w:pPr>
      <w:r>
        <w:t>Así pues, aun cuando no esté prevista expresamente en la Ley Orgánica del Tribunal Constitucional (LOTC), la desaparición sobrevenida del objeto ha sido admitida por este Tribunal como forma de terminación de este proceso constitucional con base en los arts. 80 y 86.1 de la citada Ley, en relación con el art. 22 de la Ley de enjuiciamiento civil, pues, como hemos declarado en reiteradas ocasiones, la función que cumple el recurso de amparo es la reparación de lesiones singulares y efectivas de los derechos fundamentales por lo que, cuando tal reparación se produce fuera del proceso de amparo, no cabe sino concluir que éste carece desde ese momento de objeto.</w:t>
      </w:r>
    </w:p>
    <w:p w:rsidR="001D6FAE" w:rsidRDefault="001D6FAE" w:rsidP="001D6FAE">
      <w:pPr>
        <w:pStyle w:val="TextoNormal"/>
      </w:pPr>
    </w:p>
    <w:p w:rsidR="001D6FAE" w:rsidRDefault="001D6FAE" w:rsidP="001D6FAE">
      <w:pPr>
        <w:pStyle w:val="TextoNormal"/>
      </w:pPr>
      <w:r>
        <w:t>Ahora bien, también hemos afirmado que, a pesar de haber desaparecido formalmente el acto lesivo, deben tenerse en cuenta otros elementos de juicio que puedan continuar haciendo precisa nuestra respuesta (SSTC 84/2006, de 27 de mayo, FJ 2; 128/2006, de 24 de abril, FJ 2; 118/2007, de 21 de mayo, FJ 2, y 133/2007, de 4 de junio, FJ 2, y ATC 144/2015, FJ 1), debiéndose, por tanto, excluir todo automatismo y atender, por el contrario, a las circunstancias concurrentes en cada caso para valorar si el proceso ha perdido realmente su objeto.</w:t>
      </w:r>
    </w:p>
    <w:p w:rsidR="001D6FAE" w:rsidRDefault="001D6FAE" w:rsidP="001D6FAE">
      <w:pPr>
        <w:pStyle w:val="TextoNormal"/>
      </w:pPr>
    </w:p>
    <w:p w:rsidR="001D6FAE" w:rsidRDefault="001D6FAE" w:rsidP="001D6FAE">
      <w:pPr>
        <w:pStyle w:val="TextoNormal"/>
      </w:pPr>
      <w:r w:rsidRPr="001D6FAE">
        <w:rPr>
          <w:rStyle w:val="NumeroAFNegritaCaracter"/>
        </w:rPr>
        <w:t>2</w:t>
      </w:r>
      <w:r>
        <w:t>. Con arreglo a la doctrina indicada en el fundamento anterior, procede analizar cuál es el acto lesivo frente al que se impetra el amparo que motiva las presentes actuaciones, así como la pretensión formulada en relación con el mismo. De este examen se desprende que el acto lesivo en este caso es la resolución de la Comisión Nacional de Energía por la que se establece la obligación a cargo de Iberdrola, S.A., de efectuar un préstamo al sistema eléctrico y la pretensión principal que se deduce es que se declare su nulidad, que sería imputable realmente a la disposición adicional vigesimoprimera de la Ley 54/1997, por supuesta infracción del art. 14 CE y del Derecho de la Unión Europea, como paso previo para exigir una indemnización de daños y perjuicios al Estado.</w:t>
      </w:r>
    </w:p>
    <w:p w:rsidR="001D6FAE" w:rsidRDefault="001D6FAE" w:rsidP="001D6FAE">
      <w:pPr>
        <w:pStyle w:val="TextoNormal"/>
      </w:pPr>
    </w:p>
    <w:p w:rsidR="001D6FAE" w:rsidRDefault="001D6FAE" w:rsidP="001D6FAE">
      <w:pPr>
        <w:pStyle w:val="TextoNormal"/>
      </w:pPr>
      <w:r>
        <w:t>De acuerdo con esto, la efectiva recuperación de las cantidades anticipadas al sistema eléctrico, que es uno de los efectos previstos en la resolución impugnada, con base en la norma que le da cobertura (la disposición adicional vigesimoprimera, apartado 2, de la Ley 54/1997), no permite concluir que el recurso de amparo haya perdido su objeto, puesto que lo solicitado por el recurrente es que se declare inconstitucional la obligación que se le impuso, no el reconocimiento de su derecho a recuperar el préstamo forzoso realizado, que es inherente a tal figura y que, por otra parte, no resulta aquí controvertido. Es decir, la resolución impugnada ha desplegado plenamente los efectos que le son propios (exigiendo primero un desembolso y permitiendo posteriormente la recuperación del mismo), pero lo solicitado por Iberdrola, S.A., es que el régimen de anticipos forzosos aplicado se declare radicalmente nulo por ser contrario al art. 14 CE y al Derecho de la Unión Europea.</w:t>
      </w:r>
    </w:p>
    <w:p w:rsidR="001D6FAE" w:rsidRDefault="001D6FAE" w:rsidP="001D6FAE">
      <w:pPr>
        <w:pStyle w:val="TextoNormal"/>
      </w:pPr>
    </w:p>
    <w:p w:rsidR="001D6FAE" w:rsidRDefault="001D6FAE" w:rsidP="001D6FAE">
      <w:pPr>
        <w:pStyle w:val="TextoNormal"/>
      </w:pPr>
      <w:r>
        <w:t>Además, lo anterior debe conectarse con la alegación de la entidad recurrente de que, como consecuencia del préstamo forzoso que le fue exigido, experimentó una serie de perjuicios que tendría derecho a reclamar por la vía de la responsabilidad del Estado legislador, una vez que el Tribunal Constitucional le otorgase, en su caso, el amparo solicitado. Esto significa que Iberdrola, S.A., mantiene un interés actual y vigente en que se declare que la resolución administrativa impugnada (y las sentencias que la confirmaron), así como la normativa en que se basan (disposición adicional vigesimoprimera de la Ley 54/1997), son nulas por vulnerar la Constitución, ya que según refiere, esta declaración podría servir de base para una eventual solicitud de indemnización al Estado por la vía correspondiente, teniendo en cuenta que, en ningún caso el recurso de amparo es el cauce apropiado para acordar una indemnización de los posibles perjuicios, como hemos indicado, entre otras, en la STC 107/2000, de 5 de mayo, FJ 3. De este modo, podría considerarse que subsiste, al menos en parte, la lesión ocasionada, en la medida en que, según la entidad, los perjuicios que invoca no han sido totalmente reparados (por todas, STC 233/2007, de 5 de noviembre, FJ 3).</w:t>
      </w:r>
    </w:p>
    <w:p w:rsidR="001D6FAE" w:rsidRDefault="001D6FAE" w:rsidP="001D6FAE">
      <w:pPr>
        <w:pStyle w:val="TextoNormal"/>
      </w:pPr>
    </w:p>
    <w:p w:rsidR="001D6FAE" w:rsidRDefault="001D6FAE" w:rsidP="001D6FAE">
      <w:pPr>
        <w:pStyle w:val="TextoNormal"/>
      </w:pPr>
      <w:r>
        <w:t>La circunstancia de que en otros procesos de amparo sustancialmente iguales a este (iniciados por otros sujetos del sistema eléctrico a los que se había impuesto la misma obligación de financiar el déficit de tarifa) se haya producido el desistimiento del recurrente, por entender éste que sí había quedado satisfecha su reclamación, no debe llevarnos a concluir que la recuperación de las cantidades anticipadas resuelve la pretensión de que se declare inconstitucional el sistema de préstamos forzosos objeto de examen, para solicitar después la indemnización de los perjuicios ocasionados.</w:t>
      </w:r>
    </w:p>
    <w:p w:rsidR="001D6FAE" w:rsidRDefault="001D6FAE" w:rsidP="001D6FAE">
      <w:pPr>
        <w:pStyle w:val="TextoNormal"/>
      </w:pPr>
    </w:p>
    <w:p w:rsidR="001D6FAE" w:rsidRDefault="001D6FAE" w:rsidP="001D6FAE">
      <w:pPr>
        <w:pStyle w:val="TextoNormal"/>
      </w:pPr>
      <w:r>
        <w:t>En consecuencia, tal y como sostiene la entidad recurrente y el Ministerio Fiscal, no cabe apreciar la pérdida sobrevenida del objeto del recurso interesada por el Abogado del Estado.</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Declarar que no se ha producido la pérdida de objeto del presente recurso de amparo, por lo que procede continuar con la sustanciación del procedimiento.</w:t>
      </w:r>
    </w:p>
    <w:p w:rsidR="001D6FAE" w:rsidRDefault="001D6FAE" w:rsidP="001D6FAE">
      <w:pPr>
        <w:pStyle w:val="TextoNormal"/>
      </w:pPr>
    </w:p>
    <w:p w:rsidR="001D6FAE" w:rsidRDefault="001D6FAE" w:rsidP="001D6FAE">
      <w:pPr>
        <w:pStyle w:val="TextoNormal"/>
      </w:pPr>
      <w:r>
        <w:t>Madrid, a dieciocho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5" w:name="AUTO_2016_141"/>
      <w:r>
        <w:t>AUTO 141/2016, de 19 de julio de 2016</w:t>
      </w:r>
    </w:p>
    <w:bookmarkEnd w:id="115"/>
    <w:p w:rsidR="001D6FAE" w:rsidRDefault="001D6FAE" w:rsidP="001D6FAE">
      <w:pPr>
        <w:pStyle w:val="TtuloResolucin"/>
      </w:pPr>
      <w:r>
        <w:t>Pleno</w:t>
      </w:r>
    </w:p>
    <w:p w:rsidR="001D6FAE" w:rsidRDefault="001D6FAE" w:rsidP="001D6FAE">
      <w:pPr>
        <w:pStyle w:val="TtuloBOE"/>
      </w:pPr>
      <w:r>
        <w:t>(BOE núm. 196, de 15 de agosto de 2016)</w:t>
      </w:r>
    </w:p>
    <w:p w:rsidR="001D6FAE" w:rsidRDefault="001D6FAE" w:rsidP="001D6FAE">
      <w:pPr>
        <w:pStyle w:val="TextoNormalCentrado"/>
      </w:pPr>
      <w:r>
        <w:t>ECLI:ES:TC:2016:141A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Estima el incidente de ejecución de la STC 259/2015, de 2 de diciembre, dictada en la impugnación de disposiciones autonómicas 6330-2015, promovido por el Gobierno de la Nación en relación con la resolución 5/XI del Parlamento de Cataluña, de 20 de enero de 2016, de creación de comisiones parlamentarias.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11 de noviembre de 2015, el Abogado del Estado impugnó, conforme a los arts.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001D6FAE" w:rsidRDefault="001D6FAE" w:rsidP="001D6FAE">
      <w:pPr>
        <w:pStyle w:val="TextoNormal"/>
      </w:pPr>
    </w:p>
    <w:p w:rsidR="001D6FAE" w:rsidRDefault="001D6FAE" w:rsidP="001D6FAE">
      <w:pPr>
        <w:pStyle w:val="TextoNormal"/>
      </w:pPr>
      <w:r w:rsidRPr="001D6FAE">
        <w:rPr>
          <w:rStyle w:val="NumeroAFNegritaCaracter"/>
        </w:rPr>
        <w:t>2</w:t>
      </w:r>
      <w:r>
        <w:t>. La impugnación, tramitada bajo el núm. 6330-2015, fue estimada por STC 259/2015, de 2 de diciembre (notificada al Parlamento de Cataluña el 7 de diciembre de 2015 y publicada en el “Boletín Oficial del Estado” núm. 10, de 12 de enero de 2016), que declaró inconstitucional y nula la referida resolución 1/XI del Parlamento de Cataluña y su anexo.</w:t>
      </w:r>
    </w:p>
    <w:p w:rsidR="001D6FAE" w:rsidRDefault="001D6FAE" w:rsidP="001D6FAE">
      <w:pPr>
        <w:pStyle w:val="TextoNormal"/>
      </w:pPr>
    </w:p>
    <w:p w:rsidR="001D6FAE" w:rsidRDefault="001D6FAE" w:rsidP="001D6FAE">
      <w:pPr>
        <w:pStyle w:val="TextoNormal"/>
      </w:pPr>
      <w:r w:rsidRPr="001D6FAE">
        <w:rPr>
          <w:rStyle w:val="NumeroAFNegritaCaracter"/>
        </w:rPr>
        <w:t>3</w:t>
      </w:r>
      <w:r>
        <w:t>. Por escrito registrado en este Tribunal el 1 de febrero de 2016, el Abogado del Estado, en representación del Presidente del Gobierno y al amparo de los arts. 87 y 92.1, 3 y 4 LOTC, plantea incidente de ejecución de la STC 259/2015, de 2 de diciembre, respecto de la resolución 5/XI del Parlamento de Cataluña, adoptada el 20 de enero de 2016 y publicada en el “Boletín Oficial del Parlamento de Cataluña” núm. 42, de 25 de enero de 2016, de creación de comisiones parlamentarias. Dicha resolución crea, dentro del apartado relativo a las comisiones de estudio y al amparo del art. 65 del Reglamento del Parlamento, una denominada comisión de estudio del proceso constituyente, a la que se le asignan unos ámbitos de actuación que el Abogado del Estado reproduce en su escrito y que considera coincidentes con los fines que perseguía la anulada resolución 1/XI del Parlamento de Cataluña de 9 de noviembre de 2015. El tenor literal de la resolución en el extremo controvertido es el siguiente:</w:t>
      </w:r>
    </w:p>
    <w:p w:rsidR="001D6FAE" w:rsidRDefault="001D6FAE" w:rsidP="001D6FAE">
      <w:pPr>
        <w:pStyle w:val="TextoNormal"/>
      </w:pPr>
    </w:p>
    <w:p w:rsidR="001D6FAE" w:rsidRDefault="001D6FAE" w:rsidP="001D6FAE">
      <w:pPr>
        <w:pStyle w:val="TextoNormal"/>
      </w:pPr>
      <w:r>
        <w:t>“Comisión de Estudio del Proceso Constituyente (CEPC)</w:t>
      </w:r>
    </w:p>
    <w:p w:rsidR="001D6FAE" w:rsidRDefault="001D6FAE" w:rsidP="001D6FAE">
      <w:pPr>
        <w:pStyle w:val="TextoNormal"/>
      </w:pPr>
    </w:p>
    <w:p w:rsidR="001D6FAE" w:rsidRDefault="001D6FAE" w:rsidP="001D6FAE">
      <w:pPr>
        <w:pStyle w:val="TextoNormal"/>
      </w:pPr>
      <w:r>
        <w:t>Ámbitos</w:t>
      </w:r>
    </w:p>
    <w:p w:rsidR="001D6FAE" w:rsidRDefault="001D6FAE" w:rsidP="001D6FAE">
      <w:pPr>
        <w:pStyle w:val="TextoNormal"/>
      </w:pPr>
    </w:p>
    <w:p w:rsidR="001D6FAE" w:rsidRDefault="001D6FAE" w:rsidP="001D6FAE">
      <w:pPr>
        <w:pStyle w:val="TextoNormal"/>
      </w:pPr>
      <w:r>
        <w:t>Caracteres y principios marco de un proceso constituyente en Cataluña.</w:t>
      </w:r>
    </w:p>
    <w:p w:rsidR="001D6FAE" w:rsidRDefault="001D6FAE" w:rsidP="001D6FAE">
      <w:pPr>
        <w:pStyle w:val="TextoNormal"/>
      </w:pPr>
    </w:p>
    <w:p w:rsidR="001D6FAE" w:rsidRDefault="001D6FAE" w:rsidP="001D6FAE">
      <w:pPr>
        <w:pStyle w:val="TextoNormal"/>
      </w:pPr>
      <w:r>
        <w:t>Identificación de las reformas de cambio social, político y nacional que han de configurar un proceso constituyente en Cataluña.</w:t>
      </w:r>
    </w:p>
    <w:p w:rsidR="001D6FAE" w:rsidRDefault="001D6FAE" w:rsidP="001D6FAE">
      <w:pPr>
        <w:pStyle w:val="TextoNormal"/>
      </w:pPr>
    </w:p>
    <w:p w:rsidR="001D6FAE" w:rsidRDefault="001D6FAE" w:rsidP="001D6FAE">
      <w:pPr>
        <w:pStyle w:val="TextoNormal"/>
      </w:pPr>
      <w:r>
        <w:t>Análisis de las diversas modalidades de estructura de estado y su expresión constitucional: derechos y deberes, principios y garantías constitucionales, formas de participación ciudadana, modelo socioeconómico y ambiental y formas de estado.</w:t>
      </w:r>
    </w:p>
    <w:p w:rsidR="001D6FAE" w:rsidRDefault="001D6FAE" w:rsidP="001D6FAE">
      <w:pPr>
        <w:pStyle w:val="TextoNormal"/>
      </w:pPr>
    </w:p>
    <w:p w:rsidR="001D6FAE" w:rsidRDefault="001D6FAE" w:rsidP="001D6FAE">
      <w:pPr>
        <w:pStyle w:val="TextoNormal"/>
      </w:pPr>
      <w:r>
        <w:t>Análisis de experiencias comparadas de procesos constituyentes y mecanismos de implicación, protagonismo y participación ciudadana en el proceso constituyente.”</w:t>
      </w:r>
    </w:p>
    <w:p w:rsidR="001D6FAE" w:rsidRDefault="001D6FAE" w:rsidP="001D6FAE">
      <w:pPr>
        <w:pStyle w:val="TextoNormal"/>
      </w:pPr>
    </w:p>
    <w:p w:rsidR="001D6FAE" w:rsidRDefault="001D6FAE" w:rsidP="001D6FAE">
      <w:pPr>
        <w:pStyle w:val="TextoNormal"/>
      </w:pPr>
      <w:r w:rsidRPr="001D6FAE">
        <w:rPr>
          <w:rStyle w:val="NumeroAFNegritaCaracter"/>
        </w:rPr>
        <w:t>4</w:t>
      </w:r>
      <w:r>
        <w:t>. La comisión de estudio del proceso constituyente creada por la resolución 5/XI del Parlamento de Cataluña de 20 de enero de 2016 fue efectivamente constituida el 28 de enero de 2016, según consta en el “Boletín Oficial del Parlamento de Cataluña” núm. 48, de 3 de febrero de 2016, en el que aparece publicado el acto de constitución de esta comisión, con la relación de miembros que forman parte de la misma.</w:t>
      </w:r>
    </w:p>
    <w:p w:rsidR="001D6FAE" w:rsidRDefault="001D6FAE" w:rsidP="001D6FAE">
      <w:pPr>
        <w:pStyle w:val="TextoNormal"/>
      </w:pPr>
    </w:p>
    <w:p w:rsidR="001D6FAE" w:rsidRDefault="001D6FAE" w:rsidP="001D6FAE">
      <w:pPr>
        <w:pStyle w:val="TextoNormal"/>
      </w:pPr>
      <w:r w:rsidRPr="001D6FAE">
        <w:rPr>
          <w:rStyle w:val="NumeroAFNegritaCaracter"/>
        </w:rPr>
        <w:t>5</w:t>
      </w:r>
      <w:r>
        <w:t>. Fundamenta el Abogado del Estado su petición en los motivos que a continuación se recogen.</w:t>
      </w:r>
    </w:p>
    <w:p w:rsidR="001D6FAE" w:rsidRDefault="001D6FAE" w:rsidP="001D6FAE">
      <w:pPr>
        <w:pStyle w:val="TextoNormal"/>
      </w:pPr>
    </w:p>
    <w:p w:rsidR="001D6FAE" w:rsidRDefault="001D6FAE" w:rsidP="001D6FAE">
      <w:pPr>
        <w:pStyle w:val="TextoNormal"/>
      </w:pPr>
      <w:r>
        <w:t>a) Comienza refiriéndose a la “normativa procesal que sirve de base para la formulación del presente incidente de ejecución de sentencia”, citando al efecto literalmente el contenido del primer párrafo del apartado 1 del art. 87.1 y de los apartados 1, 3 y 4, primer párrafo, del art. 92 LOTC, en la redacción dada a estos preceptos por el artículo único de la Ley Orgánica 15/2015, de 16 de octubre, de reforma de la Ley Orgánica 2/1979, de 3 de octubre, del Tribunal Constitucional, para la ejecución de las resoluciones del Tribunal Constitucional como garantía del Estado de Derecho (en vigor desde el mismo día de su publicación en el “Boletín Oficial del Estado”, que tuvo lugar el 17 de octubre de 2015).</w:t>
      </w:r>
    </w:p>
    <w:p w:rsidR="001D6FAE" w:rsidRDefault="001D6FAE" w:rsidP="001D6FAE">
      <w:pPr>
        <w:pStyle w:val="TextoNormal"/>
      </w:pPr>
    </w:p>
    <w:p w:rsidR="001D6FAE" w:rsidRDefault="001D6FAE" w:rsidP="001D6FAE">
      <w:pPr>
        <w:pStyle w:val="TextoNormal"/>
      </w:pPr>
      <w:r>
        <w:t>Razona a continuación que la resolución 5/XI del Parlamento de Cataluña de 20 de enero de 2016, que motiva el planteamiento de este incidente, crea dentro del apartado relativo a las comisiones de estudio, al amparo del art. 65 del Reglamento del Parlamento, una denominada “Comisión de Estudio del Proceso Constituyente”, a la que se le atribuyen unos objetivos específicos (“ámbitos” los denomina la resolución) que resultan coincidentes con los fines que perseguía la ya declarada inconstitucional y nula resolución 1/XI del Parlamento de Cataluña de 9 de noviembre de 2015. Estos ámbitos de actuación propios de la comisión de estudio del proceso constituyente detallan —continúa el Abogado del Estado— los aspectos que conforman un proceso constituyente que habría de culminar con el logro de un estado catalán independiente, única hipótesis política en la que se podría dar la existencia de una Cataluña con una Constitución propia.</w:t>
      </w:r>
    </w:p>
    <w:p w:rsidR="001D6FAE" w:rsidRDefault="001D6FAE" w:rsidP="001D6FAE">
      <w:pPr>
        <w:pStyle w:val="TextoNormal"/>
      </w:pPr>
    </w:p>
    <w:p w:rsidR="001D6FAE" w:rsidRDefault="001D6FAE" w:rsidP="001D6FAE">
      <w:pPr>
        <w:pStyle w:val="TextoNormal"/>
      </w:pPr>
      <w:r>
        <w:t>Por su parte, la STC 259/2015, de 2 de diciembre, declaró inconstitucional y nula la resolución 1/XI del Parlamento de Cataluña de 9 de noviembre de 2015 y su anexo, la cual partía también de la existencia de un “poder constituyente” no reconocido por la Constitución Española y que había de expresarse a través del propio Parlamento de Cataluña. Dicha resolución pretendía exteriorizar a la vez un mandato expreso de actuación unilateral, pues, como afirmaba su apartado primero, “apuesta por la apertura de un proceso constituyente no subordinado”.</w:t>
      </w:r>
    </w:p>
    <w:p w:rsidR="001D6FAE" w:rsidRDefault="001D6FAE" w:rsidP="001D6FAE">
      <w:pPr>
        <w:pStyle w:val="TextoNormal"/>
      </w:pPr>
    </w:p>
    <w:p w:rsidR="001D6FAE" w:rsidRDefault="001D6FAE" w:rsidP="001D6FAE">
      <w:pPr>
        <w:pStyle w:val="TextoNormal"/>
      </w:pPr>
      <w:r>
        <w:t>La anulada resolución 1/XI del Parlamento de Cataluña de 9 de noviembre de 2015, aparte de considerar como motivo principal de su aprobación “el inicio del proceso político en Cataluña como consecuencia de los resultados electorales” del 27 de septiembre del 2015, declaraba solemnemente en su apartado segundo el inicio de un proceso de decisión que implicaba la reforma de la Constitución, esto es, el denominado “proceso de creación del estado catalán independiente en forma de república”. Del mismo modo en su apartado tercero dicha resolución proclamaba “la apertura de un proceso constituyente ciudadano, participativo, abierto, integrador y activo para preparar las bases de la futura constitución catalana”. Y en su apartado sexto era el propio Parlamento de Cataluña el que se declaraba a sí mismo “depositario de la soberanía” y “expresión del poder constituyente”, añadiendo que “esta Cámara y el proceso de desconexión democrática del Estado español no se supeditarán a las decisiones de las instituciones del Estado español”.</w:t>
      </w:r>
    </w:p>
    <w:p w:rsidR="001D6FAE" w:rsidRDefault="001D6FAE" w:rsidP="001D6FAE">
      <w:pPr>
        <w:pStyle w:val="TextoNormal"/>
      </w:pPr>
    </w:p>
    <w:p w:rsidR="001D6FAE" w:rsidRDefault="001D6FAE" w:rsidP="001D6FAE">
      <w:pPr>
        <w:pStyle w:val="TextoNormal"/>
      </w:pPr>
      <w:r>
        <w:t>A la vista de estas y otras previsiones semejantes, la STC 259/2015 consideró que la resolución 1/XI del Parlamento de Cataluña de 9 de noviembre de 2015 incurría en inconstitucionalidad, pues se trata de “un acto parlamentario... [cuyos] pronunciamientos pueden entenderse como el reconocimiento de atribuciones inherentes a la soberanía superiores a las que derivan de la autonomía reconocida por la Constitución a las nacionalidades que integran la Nación española” (STC 259/2015, FJ 2); lo que llevó entonces a la Abogacía del Estado “a denunciar que el acto impugnado supone la negación de las cláusulas esenciales de la Constitución Española y la instauración de un principio de legitimidad en contradicción absoluta con ella” (STC 259/2015, FJ 2).</w:t>
      </w:r>
    </w:p>
    <w:p w:rsidR="001D6FAE" w:rsidRDefault="001D6FAE" w:rsidP="001D6FAE">
      <w:pPr>
        <w:pStyle w:val="TextoNormal"/>
      </w:pPr>
    </w:p>
    <w:p w:rsidR="001D6FAE" w:rsidRDefault="001D6FAE" w:rsidP="001D6FAE">
      <w:pPr>
        <w:pStyle w:val="TextoNormal"/>
      </w:pPr>
      <w:r>
        <w:t>La STC 259/2015, FJ 5, apreció que la resolución 1/XI pretendía “fundamentarse en un principio de legitimidad democrática del Parlamento de Cataluña, cuya formulación y consecuencias están en absoluta contradicción con la Constitución de 1978 y con el Estatuto de Autonomía de Cataluña, (pues) la Constitución proclama un mínimo de contenidos y establece unas reglas de juego insoslayables para los ciudadanos y los poderes públicos”. Asimismo declaró que dicha resolución “desconoce y vulnera las normas constitucionales que residencian en el pueblo español la soberanía nacional y que, en correspondencia con ello, afirman la unidad de la nación española, titular de esa soberanía (arts. 1.2 y 2 CE)”, incurriendo por ello en una infracción constitucional que es resultado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(STC 259/2015, FJ 6). Del mismo modo afirmó que “la Cámara autonómica no puede erigirse en fuente de legitimidad jurídica y política, hasta arrogarse la potestad de vulnerar el orden constitucional que sustenta su propia autoridad” (STC 259/2015, FJ 7). Por todo ello la STC 259/2015 declaró la inconstitucionalidad y nulidad de la referida resolución 1/XI del Parlamento de Cataluña de 9 de noviembre de 2015 y su anexo, es decir, de la totalidad de la resolución parlamentaria impugnada.</w:t>
      </w:r>
    </w:p>
    <w:p w:rsidR="001D6FAE" w:rsidRDefault="001D6FAE" w:rsidP="001D6FAE">
      <w:pPr>
        <w:pStyle w:val="TextoNormal"/>
      </w:pPr>
    </w:p>
    <w:p w:rsidR="001D6FAE" w:rsidRDefault="001D6FAE" w:rsidP="001D6FAE">
      <w:pPr>
        <w:pStyle w:val="TextoNormal"/>
      </w:pPr>
      <w:r>
        <w:t>Desde el punto de vista jurídico-material, la comisión de estudio del proceso constituyente creada por la resolución 5/XI del Parlamento de Cataluña de 20 de enero de 2016 viene a coincidir en cuanto a sus objetivos o ámbitos de actuación con los fines que perseguía la resolución 1/XI, declarada inconstitucional y nula por la STC 259/2015. Ambas resoluciones parlamentarias —concluye el Abogado del Estado— participan de la misma voluntad decidida de poner en marcha, en el seno del Legislativo autonómico, un proceso constituyente en Cataluña, que como tal no tiene cabida en la Constitución.</w:t>
      </w:r>
    </w:p>
    <w:p w:rsidR="001D6FAE" w:rsidRDefault="001D6FAE" w:rsidP="001D6FAE">
      <w:pPr>
        <w:pStyle w:val="TextoNormal"/>
      </w:pPr>
    </w:p>
    <w:p w:rsidR="001D6FAE" w:rsidRDefault="001D6FAE" w:rsidP="001D6FAE">
      <w:pPr>
        <w:pStyle w:val="TextoNormal"/>
      </w:pPr>
      <w:r>
        <w:t>Continúa señalando el Abogado del Estado que el carácter no legislativo de la comisión en cuestión, creada al amparo del art. 65 del Reglamento del Parlamento de Cataluña, es sólo un subterfugio o fraude para tratar de encubrir la inconstitucionalidad de sus fines, esto es, para continuar avanzando en el denominado proceso constituyente dirigido a la secesión de España que figuraba en la anulada resolución 1/XI. Se trata de una manera de defraudar lo declarado por la STC 259/2015 intentando ocultar, mediante la atribución del carácter de comisión parlamentaria “de estudio”, su contravención formal.</w:t>
      </w:r>
    </w:p>
    <w:p w:rsidR="001D6FAE" w:rsidRDefault="001D6FAE" w:rsidP="001D6FAE">
      <w:pPr>
        <w:pStyle w:val="TextoNormal"/>
      </w:pPr>
    </w:p>
    <w:p w:rsidR="001D6FAE" w:rsidRDefault="001D6FAE" w:rsidP="001D6FAE">
      <w:pPr>
        <w:pStyle w:val="TextoNormal"/>
      </w:pPr>
      <w:r>
        <w:t>Por eso, aunque pudiera pensarse que se trata sólo de un foro “de estudio” y que su objeto sería el mero análisis especulativo de alternativas teóricas posibles, en realidad esta conclusión no sería correcta, a la vista de lo previsto en el propio Reglamento del Parlamento de Cataluña y a la luz del contexto político y jurídico en el que se crea la comisión cuestionada. En efecto, aunque se trate de una comisión de estudio, el mismo art. 65 del Reglamento del Parlamento de Cataluña dispone, en su apartado 3, que el objetivo final de una comisión de estudio es “elaborar un informe y unas conclusiones, que deben publicarse en el ‘Boletín Oficial del Parlamento de Cataluña’ y entregarse a la Mesa del Parlamento, la cual, oída la Junta de Portavoces, debe decidir si toma nota de estos o cabe darles una tramitación específica”. Es decir, se prevé en todo caso un claro efecto jurídico para los trabajos de la comisión, pues el informe y las conclusiones pueden dar lugar a una nueva declaración política o al inicio de decisiones concretas en orden a la consecución de un proceso constituyente de secesión de España. Ese informe o esas eventuales conclusiones servirán en realidad de fundamento para una subsiguiente elaboración de un texto normativo, bien para el inicio de una tramitación legislativa, bien para la fijación de pautas jurídicas de actuación para el ejecutivo de la Generalitat.</w:t>
      </w:r>
    </w:p>
    <w:p w:rsidR="001D6FAE" w:rsidRDefault="001D6FAE" w:rsidP="001D6FAE">
      <w:pPr>
        <w:pStyle w:val="TextoNormal"/>
      </w:pPr>
    </w:p>
    <w:p w:rsidR="001D6FAE" w:rsidRDefault="001D6FAE" w:rsidP="001D6FAE">
      <w:pPr>
        <w:pStyle w:val="TextoNormal"/>
      </w:pPr>
      <w:r>
        <w:t>Por otra parte, tampoco debe perderse de vista el contexto político y jurídico en el que se crea la comisión cuestionada, poniendo como ejemplo el Abogado del Estado el programa de gobierno del nuevo Presidente de la Generalitat de Cataluña Sr. Puigdemont (aprobado por resolución 4/XI del Parlamento de Cataluña, publicada en el “Boletín Oficial del Parlamento de Cataluña” núm. 34, de 11 de enero de 2016), que cita el contenido de la resolución 1/XI, obviando que fue declarada inconstitucional y nula por la STC 259/2015, como base para iniciar el proceso constituyente para la creación del futuro estado catalán independiente.</w:t>
      </w:r>
    </w:p>
    <w:p w:rsidR="001D6FAE" w:rsidRDefault="001D6FAE" w:rsidP="001D6FAE">
      <w:pPr>
        <w:pStyle w:val="TextoNormal"/>
      </w:pPr>
    </w:p>
    <w:p w:rsidR="001D6FAE" w:rsidRDefault="001D6FAE" w:rsidP="001D6FAE">
      <w:pPr>
        <w:pStyle w:val="TextoNormal"/>
      </w:pPr>
      <w:r>
        <w:t>En suma, la comisión de estudio del proceso constituyente creada por la resolución 5/XI no posee una simple finalidad abstracta, sino que sus funciones, aun de estudio o análisis, participan por su propia naturaleza de una finalidad instrumental, auxiliar de la misma Cámara, que incurre así en manifiesta incompetencia, pues el objetivo de esta comisión desborda claramente las funciones que al Parlamento catalán reconoce el Estatuto de Autonomía de Cataluña, entre las que no se encuentran el estudio de la secesión de España. El verdadero propósito de la comisión es dotar al “proceso constituyente en Cataluña” —el mismo proceso al que se refería la anulada resolución l/XI— de las bases y fundamentos suficientes y oportunos, lo que implica otorgar nuevamente al Parlamento de Cataluña una potestad de autodeterminación como expresión del sujeto colectivo que manifiesta así su voluntad política de dotarse de una constitución, con olvido de que el Parlamento de Cataluña no es un poder constituyente y que atribuirse a sí mismo tal carácter fue motivo esencial de la declaración de inconstitucionalidad efectuada por la STC 259/2015.</w:t>
      </w:r>
    </w:p>
    <w:p w:rsidR="001D6FAE" w:rsidRDefault="001D6FAE" w:rsidP="001D6FAE">
      <w:pPr>
        <w:pStyle w:val="TextoNormal"/>
      </w:pPr>
    </w:p>
    <w:p w:rsidR="001D6FAE" w:rsidRDefault="001D6FAE" w:rsidP="001D6FAE">
      <w:pPr>
        <w:pStyle w:val="TextoNormal"/>
      </w:pPr>
      <w:r>
        <w:t>Sobre la base de la conclusión anterior, procede seguidamente el Abogado del Estado a concretar los objetivos de la comisión que resultan contrarios a lo decidido por el Tribunal Constitucional en su STC 259/2015.</w:t>
      </w:r>
    </w:p>
    <w:p w:rsidR="001D6FAE" w:rsidRDefault="001D6FAE" w:rsidP="001D6FAE">
      <w:pPr>
        <w:pStyle w:val="TextoNormal"/>
      </w:pPr>
    </w:p>
    <w:p w:rsidR="001D6FAE" w:rsidRDefault="001D6FAE" w:rsidP="001D6FAE">
      <w:pPr>
        <w:pStyle w:val="TextoNormal"/>
      </w:pPr>
      <w:r>
        <w:t>Así, el estudio de unos hipotéticos “caracteres y principios marco de un proceso constituyente en Cataluña” presupone un espacio político en el que desarrollarse y tomar cuerpo un proceso constituyente “en Cataluña”. A ello se une el inciso final de la resolución, relativo al “análisis de mecanismos de implicación, protagonismo y participación ciudadana en el proceso constituyente”. Se trataría de la puesta en marcha de un proceso que habría de llevarse a cabo por el órgano legislativo catalán, considerado como expresión del poder constituyente, implicando, además, a los ciudadanos de Cataluña, a fin de dotarse jurídicamente de una constitución.</w:t>
      </w:r>
    </w:p>
    <w:p w:rsidR="001D6FAE" w:rsidRDefault="001D6FAE" w:rsidP="001D6FAE">
      <w:pPr>
        <w:pStyle w:val="TextoNormal"/>
      </w:pPr>
    </w:p>
    <w:p w:rsidR="001D6FAE" w:rsidRDefault="001D6FAE" w:rsidP="001D6FAE">
      <w:pPr>
        <w:pStyle w:val="TextoNormal"/>
      </w:pPr>
      <w:r>
        <w:t>La STC 259/2015, FJ 5, consideró que la resolución l/XI pretendía fundamentarse en un principio de legitimidad democrática del Parlamento de Cataluña, cuya formulación y consecuencias están en absoluta contradicción con la Constitución Española, que proclama un mínimo de contenidos y establece unas reglas de juego insoslayables para los ciudadanos y los poderes públicos.</w:t>
      </w:r>
    </w:p>
    <w:p w:rsidR="001D6FAE" w:rsidRDefault="001D6FAE" w:rsidP="001D6FAE">
      <w:pPr>
        <w:pStyle w:val="TextoNormal"/>
      </w:pPr>
    </w:p>
    <w:p w:rsidR="001D6FAE" w:rsidRDefault="001D6FAE" w:rsidP="001D6FAE">
      <w:pPr>
        <w:pStyle w:val="TextoNormal"/>
      </w:pPr>
      <w:r>
        <w:t>En relación con lo anterior, la “identificación de las reformas de cambio social, político y nacional que han de configurar un proceso constituyente en Cataluña” (segundo enunciado de los ámbitos de actuación señalados a la comisión de estudio) no alude sólo a meras hipotéticas reformas en el ámbito constitucional español.</w:t>
      </w:r>
    </w:p>
    <w:p w:rsidR="001D6FAE" w:rsidRDefault="001D6FAE" w:rsidP="001D6FAE">
      <w:pPr>
        <w:pStyle w:val="TextoNormal"/>
      </w:pPr>
    </w:p>
    <w:p w:rsidR="001D6FAE" w:rsidRDefault="001D6FAE" w:rsidP="001D6FAE">
      <w:pPr>
        <w:pStyle w:val="TextoNormal"/>
      </w:pPr>
      <w:r>
        <w:t>El denominado proceso constituyente en Cataluña precisa de reformas impulsadas por un poder constituyente propio, pues ningún poder subordinado es poder constituyente propiamente dicho, lo que resultaría una negación de su propia esencia, una cierta contradicción en sus términos. Vuelve a aflorar aquí, en la definición de este ámbito de actuación, la verdadera atribución que se hace a sí mismo el Parlamento de Cataluña como órgano depositario de la soberanía y expresión del poder constituyente, como ya lo expresó el apartado sexto de la resolución l/XI de 9 de noviembre de 2015, declarada inconstitucional y nula por la STC 259/2015. El Tribunal Constitucional estableció al respecto que “la Cámara autonómica no puede erigirse en fuente de legitimidad jurídica y política, hasta arrogarse la potestad de vulnerar el orden constitucional que sustenta su propia autoridad” (STC 259/2015, FJ 7).</w:t>
      </w:r>
    </w:p>
    <w:p w:rsidR="001D6FAE" w:rsidRDefault="001D6FAE" w:rsidP="001D6FAE">
      <w:pPr>
        <w:pStyle w:val="TextoNormal"/>
      </w:pPr>
    </w:p>
    <w:p w:rsidR="001D6FAE" w:rsidRDefault="001D6FAE" w:rsidP="001D6FAE">
      <w:pPr>
        <w:pStyle w:val="TextoNormal"/>
      </w:pPr>
      <w:r>
        <w:t>También el ámbito de actuación que consiste en el “análisis de las diversas modalidades de estructura de Estado y su expresión constitucional” encierra la voluntad decidida de culminar lo que indicaba el apartado primero de la resolución l/XI: la apertura de un proceso constituyente no subordinado. Efectivamente, la relación de elementos enunciada en este apartado de la resolución 5/XI y que constituyen esa “expresión constitucional” (“derechos y deberes, principios y garantías constitucionales, formas de participación ciudadana, modelo socioeconómico y ambiental y formas de Estado”), no son otra cosa que el esbozo del contenido de un texto constitucional, que como tal sólo de manera unilateral se podría dotar a sí mismo un hipotético estado catalán independiente. Se refleja aquí de nuevo la voluntad del Parlamento de Cataluña de erigirse en expresión de ese poder constituyente al que ya se refería la resolución l/XI, declarada también por este motivo inconstitucional y nula por la STC 259/2015.</w:t>
      </w:r>
    </w:p>
    <w:p w:rsidR="001D6FAE" w:rsidRDefault="001D6FAE" w:rsidP="001D6FAE">
      <w:pPr>
        <w:pStyle w:val="TextoNormal"/>
      </w:pPr>
    </w:p>
    <w:p w:rsidR="001D6FAE" w:rsidRDefault="001D6FAE" w:rsidP="001D6FAE">
      <w:pPr>
        <w:pStyle w:val="TextoNormal"/>
      </w:pPr>
      <w:r>
        <w:t>Por último, el ámbito de actuación referido al “análisis de experiencias comparadas de procesos constituyentes” contradice igualmente la STC 259/2015 por conexión con lo ya señalado, por cuanto ese análisis está vinculado al objetivo global de promover un proceso constituyente.</w:t>
      </w:r>
    </w:p>
    <w:p w:rsidR="001D6FAE" w:rsidRDefault="001D6FAE" w:rsidP="001D6FAE">
      <w:pPr>
        <w:pStyle w:val="TextoNormal"/>
      </w:pPr>
    </w:p>
    <w:p w:rsidR="001D6FAE" w:rsidRDefault="001D6FAE" w:rsidP="001D6FAE">
      <w:pPr>
        <w:pStyle w:val="TextoNormal"/>
      </w:pPr>
      <w:r>
        <w:t>Todo ello hace obligado —prosigue el Abogado del Estado— adoptar las medidas de ejecución necesarias para la efectividad de la STC 259/2015, que la resolución 5/XI del Parlamento de Cataluña de 20 de enero de 2016 contraviene y desacata de forma manifiesta, en cuanto crea la comisión de estudio del proceso constituyente a la que se le asigna un objetivo, la puesta en práctica de un proceso constituyente, coincidente con el que perseguía la resolución 1/XI del Parlamento de Cataluña de 9 de noviembre de 2015, declarada inconstitucional y nula por la STC 259/2015. Ese incumplimiento genera una situación de grave perturbación del orden constitucional, pues el Parlamento de Cataluña pretende formalizar una vez más, en contravención frontal con lo decidido con carácter firme por el Tribunal Constitucional en la STC 259/2015, la apertura unilateral de un proceso constituyente y de desconexión con el Estado español.</w:t>
      </w:r>
    </w:p>
    <w:p w:rsidR="001D6FAE" w:rsidRDefault="001D6FAE" w:rsidP="001D6FAE">
      <w:pPr>
        <w:pStyle w:val="TextoNormal"/>
      </w:pPr>
    </w:p>
    <w:p w:rsidR="001D6FAE" w:rsidRDefault="001D6FAE" w:rsidP="001D6FAE">
      <w:pPr>
        <w:pStyle w:val="TextoNormal"/>
      </w:pPr>
      <w:r>
        <w:t>Por lo expuesto el Abogado del Estado solicita a este Tribunal que admita a trámite el incidente de ejecución, al amparo de lo previsto en el art. 92 LOTC y, estimándolo:</w:t>
      </w:r>
    </w:p>
    <w:p w:rsidR="001D6FAE" w:rsidRDefault="001D6FAE" w:rsidP="001D6FAE">
      <w:pPr>
        <w:pStyle w:val="TextoNormal"/>
      </w:pPr>
    </w:p>
    <w:p w:rsidR="001D6FAE" w:rsidRDefault="001D6FAE" w:rsidP="001D6FAE">
      <w:pPr>
        <w:pStyle w:val="TextoNormal"/>
      </w:pPr>
      <w:r>
        <w:t>1° Declare que la creación de la comisión de estudio del proceso constituyente por la resolución 5/XI del Parlamento de Cataluña de 20 de enero de 2016 y el acto de su constitución contravienen la STC 259/2015, de 2 de diciembre, declarándolas en consecuencia nulas y sin efecto jurídico alguno.</w:t>
      </w:r>
    </w:p>
    <w:p w:rsidR="001D6FAE" w:rsidRDefault="001D6FAE" w:rsidP="001D6FAE">
      <w:pPr>
        <w:pStyle w:val="TextoNormal"/>
      </w:pPr>
    </w:p>
    <w:p w:rsidR="001D6FAE" w:rsidRDefault="001D6FAE" w:rsidP="001D6FAE">
      <w:pPr>
        <w:pStyle w:val="TextoNormal"/>
      </w:pPr>
      <w:r>
        <w:t>2° Requiera a la Presidenta del Parlamento de Cataluña y a los miembros de la citada comisión parlamentaria para que se abstengan de realizar cualesquiera actuaciones tendentes a poner en funcionamiento o dar continuidad a los trabajos de la comisión, advirtiéndoles asimismo de su deber de impedir o paralizar cualquier iniciativa que suponga ignorar o eludir la STC 259/2015, apercibiéndoles de las eventuales responsabilidades, incluida la penal, en las que pudieran incurrir.</w:t>
      </w:r>
    </w:p>
    <w:p w:rsidR="001D6FAE" w:rsidRDefault="001D6FAE" w:rsidP="001D6FAE">
      <w:pPr>
        <w:pStyle w:val="TextoNormal"/>
      </w:pPr>
    </w:p>
    <w:p w:rsidR="001D6FAE" w:rsidRDefault="001D6FAE" w:rsidP="001D6FAE">
      <w:pPr>
        <w:pStyle w:val="TextoNormal"/>
      </w:pPr>
      <w:r w:rsidRPr="001D6FAE">
        <w:rPr>
          <w:rStyle w:val="NumeroAFNegritaCaracter"/>
        </w:rPr>
        <w:t>6</w:t>
      </w:r>
      <w:r>
        <w:t>. Por providencia de 16 de febrero de 2016, el Pleno del Tribunal Constitucional acordó tener por recibido el escrito presentado el 1 de febrero de 2016 por el Abogado del Estado y dar traslado de copia del mismo al Ministerio Fiscal y a la representación procesal del Parlamento de Cataluña, concediéndoles un plazo de diez días para que formulen las alegaciones que estimen oportunas.</w:t>
      </w:r>
    </w:p>
    <w:p w:rsidR="001D6FAE" w:rsidRDefault="001D6FAE" w:rsidP="001D6FAE">
      <w:pPr>
        <w:pStyle w:val="TextoNormal"/>
      </w:pPr>
    </w:p>
    <w:p w:rsidR="001D6FAE" w:rsidRDefault="001D6FAE" w:rsidP="001D6FAE">
      <w:pPr>
        <w:pStyle w:val="TextoNormal"/>
      </w:pPr>
      <w:r w:rsidRPr="001D6FAE">
        <w:rPr>
          <w:rStyle w:val="NumeroAFNegritaCaracter"/>
        </w:rPr>
        <w:t>7</w:t>
      </w:r>
      <w:r>
        <w:t>. El Ministerio Fiscal presentó su escrito de alegaciones el 23 de febrero de 2016, en el que considera, en coincidencia con lo argumentado por la Abogacía del Estado, que la resolución 5/XI del Parlamento de Cataluña, en cuanto crea la denominada comisión de estudio del proceso constituyente, supone un intento de eludir la declaración de inconstitucionalidad y nulidad de la resolución 1/XI, pues los objetivos que persigue dicha comisión son contrarios a lo decidido en la STC 259/2015.</w:t>
      </w:r>
    </w:p>
    <w:p w:rsidR="001D6FAE" w:rsidRDefault="001D6FAE" w:rsidP="001D6FAE">
      <w:pPr>
        <w:pStyle w:val="TextoNormal"/>
      </w:pPr>
    </w:p>
    <w:p w:rsidR="001D6FAE" w:rsidRDefault="001D6FAE" w:rsidP="001D6FAE">
      <w:pPr>
        <w:pStyle w:val="TextoNormal"/>
      </w:pPr>
      <w:r>
        <w:t>Señala el Fiscal, después de transcribir el contenido de las resoluciones del Parlamento de Cataluña 1/XI y 5/XI (esta en lo relativo a la creación de comisión de estudio del proceso constituyente), que su lectura pone de manifiesto una serie de elementos coincidentes en su contenido y lenguaje que tienen, como común denominador, lo que ambas denominan “proceso constituyente”. En este sentido el Fiscal reproduce las distintas referencias que la resolución I/XI hace al “proceso constituyente” y su conexión con diferentes objetivos políticos del Parlamento de Cataluña (apartados primero, tercero y quinto a noveno), para compararlas seguidamente con los objetivos de la comisión de estudio del proceso constituyente, según la resolución 5/IX que la crea, al amparo del art. 65 del Reglamento del Parlamento de Cataluña.</w:t>
      </w:r>
    </w:p>
    <w:p w:rsidR="001D6FAE" w:rsidRDefault="001D6FAE" w:rsidP="001D6FAE">
      <w:pPr>
        <w:pStyle w:val="TextoNormal"/>
      </w:pPr>
    </w:p>
    <w:p w:rsidR="001D6FAE" w:rsidRDefault="001D6FAE" w:rsidP="001D6FAE">
      <w:pPr>
        <w:pStyle w:val="TextoNormal"/>
      </w:pPr>
      <w:r>
        <w:t>Así, la resolución 5/IX atribuye a dicha comisión parlamentaria, como objetivo específico, la “identificación de las reformas ... que han configurar un proceso constituyente en Cataluña”. Se observa, por tanto, como en la resolución I/XI el proceso constituyente es un elemento necesario de una aspiración política y como la comisión de estudio del proceso constituyente creada por la resolución 5/IX tiene como objeto único “el proceso constituyente”, lo que se traduce en el elemento que evidencia la unión e íntima conexión entre ambas resoluciones del Parlamento catalán. El informe y las conclusiones que ha de elaborar la comisión (art. 65 del Reglamento del Parlamento de Cataluña) aportarían a la Cámara el soporte teórico del “proceso constituyente” dirigido a la desconexión con el Estado español (como pretendía la resolución l/XI), a la vez que los elementos definidores de un futuro texto constitucional, lo que le permitiría, erigiéndose en poder constituyente, adoptar acuerdos parlamentarios en este sentido por una vías procedimentales que ya la STC 259/2015 consideró contrarias a la Constitución; lo que fue causa, junto con otros motivos, de que se declarase la inconstitucionalidad y nulidad de la resolución l/XI y su anexo.</w:t>
      </w:r>
    </w:p>
    <w:p w:rsidR="001D6FAE" w:rsidRDefault="001D6FAE" w:rsidP="001D6FAE">
      <w:pPr>
        <w:pStyle w:val="TextoNormal"/>
      </w:pPr>
    </w:p>
    <w:p w:rsidR="001D6FAE" w:rsidRDefault="001D6FAE" w:rsidP="001D6FAE">
      <w:pPr>
        <w:pStyle w:val="TextoNormal"/>
      </w:pPr>
      <w:r>
        <w:t>Otro de los aspectos del marco de estudio del proceso constituyente encomendados a la comisión es el “análisis de las diversas modalidades de estructuras de estado y su expresión constitucional: derechos y deberes, principios y garantías constitucionales, formas de participación ciudadana, modelo socioeconómico y ambiental y formas de estado”. De nuevo el lenguaje utilizado —continúa el Fiscal— sugiere la creación de un estado catalán que responde a la aspiración que proclamaba la anulada resolución l/XI, en su apartado noveno, de “creación de un estado catalán independiente en forma de república” y entronca con lo dispuesto en el apartado quinto de dicha resolución: “... la tramitación de leyes del proceso constituyente, de seguridad social y de hacienda pública”.</w:t>
      </w:r>
    </w:p>
    <w:p w:rsidR="001D6FAE" w:rsidRDefault="001D6FAE" w:rsidP="001D6FAE">
      <w:pPr>
        <w:pStyle w:val="TextoNormal"/>
      </w:pPr>
    </w:p>
    <w:p w:rsidR="001D6FAE" w:rsidRDefault="001D6FAE" w:rsidP="001D6FAE">
      <w:pPr>
        <w:pStyle w:val="TextoNormal"/>
      </w:pPr>
      <w:r>
        <w:t>En suma, la resolución 5/XI, en cuanto crea la comisión de estudio del proceso constituyente, incide en los mismos defectos constitucionales que la resolución l/XI al pretender la misma finalidad (un proceso constituyente dirigido a la desconexión del Estado español), que supera sus márgenes de actuación constitucionales y estatutarios, de manera que vendría a desconocer lo decidido por la STC 259/2015. El Parlamento de Cataluña, al crear la referida comisión asignándole unos objetivos coincidentes con los contenidos en la resolución l/XI, o bien desconoce sus propias competencias o bien las ignora a sabiendas. La creación de la comisión de estudio del proceso constituyente por la resolución 5/XI vendría a dar continuidad a la finalidad y los objetivos de la resolución 1/XI, declarada inconstitucional y nula por la STC 259/2015, por lo que supondría un subterfugio de elusión de la nulidad de la resolución l/XI.</w:t>
      </w:r>
    </w:p>
    <w:p w:rsidR="001D6FAE" w:rsidRDefault="001D6FAE" w:rsidP="001D6FAE">
      <w:pPr>
        <w:pStyle w:val="TextoNormal"/>
      </w:pPr>
    </w:p>
    <w:p w:rsidR="001D6FAE" w:rsidRDefault="001D6FAE" w:rsidP="001D6FAE">
      <w:pPr>
        <w:pStyle w:val="TextoNormal"/>
      </w:pPr>
      <w:r>
        <w:t>Considera por todo ello el Ministerio Fiscal que el presente incidente de ejecución debe tramitarse al amparo de los arts. 87.1 y 92 LOTC y resolverse declarando la nulidad de la resolución 5/XI del Parlamento de Cataluña, en cuanto crea la denominada comisión de estudio del proceso constituyente, así como del acto de constitución de la misma; todo ello con requerimiento a la Presidenta del Parlamento de Cataluña y a los miembros de la comisión para que se abstengan de cualquier actividad que suponga el funcionamiento de la comisión o la realización de cualesquiera otras actividades tendentes a conseguir los objetivos asignados a la misma, con expresa advertencia de las eventuales responsabilidades en que pudieran incurrir, en caso de desconocer lo acordado por este Tribunal y sus requerimientos.</w:t>
      </w:r>
    </w:p>
    <w:p w:rsidR="001D6FAE" w:rsidRDefault="001D6FAE" w:rsidP="001D6FAE">
      <w:pPr>
        <w:pStyle w:val="TextoNormal"/>
      </w:pPr>
    </w:p>
    <w:p w:rsidR="001D6FAE" w:rsidRDefault="001D6FAE" w:rsidP="001D6FAE">
      <w:pPr>
        <w:pStyle w:val="TextoNormal"/>
      </w:pPr>
      <w:r w:rsidRPr="001D6FAE">
        <w:rPr>
          <w:rStyle w:val="NumeroAFNegritaCaracter"/>
        </w:rPr>
        <w:t>8</w:t>
      </w:r>
      <w:r>
        <w:t>. El día 26 de febrero de 2016 tuvo entrada en el Registro General de este Tribunal el escrito de alegaciones de los Letrados del Parlamento de Cataluña. Comienzan con unas consideraciones preliminares en las que vienen a denunciar el carácter preventivo e infundado que a su juicio presenta el incidente de ejecución promovido por el Abogado del Estado, lo que debería conducir a su inadmisión o, en su defecto, a su desestimación. La creación por el Parlamento catalán de una comisión de estudio, conforme a las previsiones de su Reglamento, no supone otra cosa que el inicio de un procedimiento parlamentario, cuyo resultado final está por determinar y que, de producirse, no tiene otro alcance que el propio ámbito parlamentario. El impulso de una iniciativa parlamentaria no puede constituir un supuesto de incumplimiento de una sentencia, pues el único destinatario de los trabajos de la comisión de estudio del proceso constituyente (informe y conclusiones) es la Mesa del Parlamento, que será la que habrá de decidir si toma nota de los mismos o les da una tramitación específica.</w:t>
      </w:r>
    </w:p>
    <w:p w:rsidR="001D6FAE" w:rsidRDefault="001D6FAE" w:rsidP="001D6FAE">
      <w:pPr>
        <w:pStyle w:val="TextoNormal"/>
      </w:pPr>
    </w:p>
    <w:p w:rsidR="001D6FAE" w:rsidRDefault="001D6FAE" w:rsidP="001D6FAE">
      <w:pPr>
        <w:pStyle w:val="TextoNormal"/>
      </w:pPr>
      <w:r>
        <w:t>Tras las consideraciones preliminares, los Letrados del Parlamento de Cataluña pasan a exponer los argumentos por los que se oponen al incidente de ejecución.</w:t>
      </w:r>
    </w:p>
    <w:p w:rsidR="001D6FAE" w:rsidRDefault="001D6FAE" w:rsidP="001D6FAE">
      <w:pPr>
        <w:pStyle w:val="TextoNormal"/>
      </w:pPr>
    </w:p>
    <w:p w:rsidR="001D6FAE" w:rsidRDefault="001D6FAE" w:rsidP="001D6FAE">
      <w:pPr>
        <w:pStyle w:val="TextoNormal"/>
      </w:pPr>
      <w:r>
        <w:t>Sostienen así que los efectos de la declaración de inconstitucionalidad y nulidad de la resolución 1/XI y de la obligación de cumplimiento de la STC 259/2015 no pueden llegar a condicionar, por razón de la naturaleza de la resolución anulada, el ejercicio por parte del Parlamento de Cataluña de las iniciativas que son propias e inherentes a sus funciones institucionales. La STC 259/2015 se proyecta sobre un acto concreto que se ha adoptado en ejercicio de una función parlamentaria (la resolución 1/XI) y no sobre esa función misma, por lo que la declaración de nulidad de ese acto no puede afectar al ejercicio de las funciones que el Parlamento ejerce libremente de acuerdo con el art. 55.2 del Estatuto de Autonomía y su Reglamento. La comisión de estudio del proceso constituyente ha sido creada por el Parlamento en el ejercicio de esas funciones propias y constituye como tal una iniciativa parlamentaria que, como tal, es autónoma e independiente de la resolución 1/XI y da origen a un nuevo procedimiento parlamentario cuyo resultado no está por lo demás predeterminado.</w:t>
      </w:r>
    </w:p>
    <w:p w:rsidR="001D6FAE" w:rsidRDefault="001D6FAE" w:rsidP="001D6FAE">
      <w:pPr>
        <w:pStyle w:val="TextoNormal"/>
      </w:pPr>
    </w:p>
    <w:p w:rsidR="001D6FAE" w:rsidRDefault="001D6FAE" w:rsidP="001D6FAE">
      <w:pPr>
        <w:pStyle w:val="TextoNormal"/>
      </w:pPr>
      <w:r>
        <w:t>Tampoco existe entre la resolución 1/XI, declarada inconstitucional y nula por la STC 259/2015, y la comisión de estudio del proceso constituyente creada por la resolución 5/XI el necesario nexo jurídico para que esta pueda ser considerada como un desarrollo o aplicación de la primera, por lo que no puede producirse un incumplimiento de dicha Sentencia.</w:t>
      </w:r>
    </w:p>
    <w:p w:rsidR="001D6FAE" w:rsidRDefault="001D6FAE" w:rsidP="001D6FAE">
      <w:pPr>
        <w:pStyle w:val="TextoNormal"/>
      </w:pPr>
    </w:p>
    <w:p w:rsidR="001D6FAE" w:rsidRDefault="001D6FAE" w:rsidP="001D6FAE">
      <w:pPr>
        <w:pStyle w:val="TextoNormal"/>
      </w:pPr>
      <w:r>
        <w:t>El principio de autonomía parlamentaria ampara y excluye de posible control judicial las decisiones del Parlamento que atañen exclusivamente a su funcionamiento interno, no producen efectos más allá de ese ámbito procedimental y no afectan a ningún derecho fundamental (</w:t>
      </w:r>
      <w:r w:rsidRPr="001D6FAE">
        <w:rPr>
          <w:i/>
        </w:rPr>
        <w:t>interna corporis acta</w:t>
      </w:r>
      <w:r>
        <w:t xml:space="preserve">). Es lo que ocurriría con la creación de la comisión de estudio del proceso constituyente, creada al amparo del art. 65.1 del Reglamento del Parlamento, cuya tarea es elaborar un informe y unas conclusiones que tienen únicamente el valor de documentos de trabajo dirigidos a la Mesa del Parlamento y no comportan en sí mismos ninguna declaración de voluntad ni valor decisorio </w:t>
      </w:r>
      <w:r w:rsidRPr="001D6FAE">
        <w:rPr>
          <w:i/>
        </w:rPr>
        <w:t>ad extra</w:t>
      </w:r>
      <w:r>
        <w:t xml:space="preserve"> de la Cámara; el hecho de que la Mesa pueda decidir darles otro trámite es algo que ya no afecta al trabajo de la comisión. Todo ello sin perjuicio de que el acto de creación de la comisión no predetermina cuál va a ser el resultado final de los trabajos de la misma y debiendo tenerse en cuenta que la resolución 5/XI define los ámbitos de trabajo de la comisión expresando una aproximación a la idea de proceso constituyente en Cataluña más amplia y distinta que la contemplada en la resolución 1/XI; esta no excluye un proceso de reforma más amplio a nivel de Estado, en contra del determinismo que presupone la Abogacía del Estado en su incidente de ejecución.</w:t>
      </w:r>
    </w:p>
    <w:p w:rsidR="001D6FAE" w:rsidRDefault="001D6FAE" w:rsidP="001D6FAE">
      <w:pPr>
        <w:pStyle w:val="TextoNormal"/>
      </w:pPr>
    </w:p>
    <w:p w:rsidR="001D6FAE" w:rsidRDefault="001D6FAE" w:rsidP="001D6FAE">
      <w:pPr>
        <w:pStyle w:val="TextoNormal"/>
      </w:pPr>
      <w:r>
        <w:t xml:space="preserve">Se produce así una contradicción inevitable e insalvable en este caso entre la presentación del incidente de ejecución, de carácter meramente preventivo y que ataca de raíz una iniciativa parlamentaria, así como el derecho fundamental de los representantes parlamentarios a ejercer su </w:t>
      </w:r>
      <w:r w:rsidRPr="001D6FAE">
        <w:rPr>
          <w:i/>
        </w:rPr>
        <w:t>ius in officium</w:t>
      </w:r>
      <w:r>
        <w:t xml:space="preserve">, que el art. 23 CE les reconoce y ampara. La creación de la comisión de estudio del proceso constituyente es un acto que deriva del ejercicio directo del </w:t>
      </w:r>
      <w:r w:rsidRPr="001D6FAE">
        <w:rPr>
          <w:i/>
        </w:rPr>
        <w:t>ius in officium</w:t>
      </w:r>
      <w:r>
        <w:t xml:space="preserve"> —de los representantes parlamentarios que la han impulsado y de los que le han dado su apoyo— y que, indirectamente, una vez creada, también incide en el </w:t>
      </w:r>
      <w:r w:rsidRPr="001D6FAE">
        <w:rPr>
          <w:i/>
        </w:rPr>
        <w:t>ius in officium</w:t>
      </w:r>
      <w:r>
        <w:t xml:space="preserve"> de los demás miembros, porque estos tienen el derecho de participar en la misma defendiendo y sometiendo a debate sus respectivas posiciones políticas.</w:t>
      </w:r>
    </w:p>
    <w:p w:rsidR="001D6FAE" w:rsidRDefault="001D6FAE" w:rsidP="001D6FAE">
      <w:pPr>
        <w:pStyle w:val="TextoNormal"/>
      </w:pPr>
    </w:p>
    <w:p w:rsidR="001D6FAE" w:rsidRDefault="001D6FAE" w:rsidP="001D6FAE">
      <w:pPr>
        <w:pStyle w:val="TextoNormal"/>
      </w:pPr>
      <w:r>
        <w:t xml:space="preserve">Señalan finalmente los Letrados del Parlamento de Cataluña que la Abogacía del Estado promueve el incidente de ejecución al amparo de la reciente reforma introducida en la LOTC por la Ley Orgánica 15/2015, de 16 de octubre, contra la que penden sendos recursos de inconstitucionalidad. Ello debe llevar al Tribunal Constitucional a aplicar con prudencia los nuevos poderes que dicha reforma le confiere, “para evitar quedar comprometido por una futura sentencia en la que pudiera apreciarse una inconstitucionalidad de la reforma de la LOTC o en la que el Tribunal condicionara la constitucionalidad de la misma a una interpretación conforme con la Constitución”; y más teniendo en cuenta las circunstancias concurrentes en este caso, en el que el incidente de ejecución tiene como objeto un acto (creación de una comisión parlamentaria de estudio) que por las razones expuestas y por su naturaleza de </w:t>
      </w:r>
      <w:r w:rsidRPr="001D6FAE">
        <w:rPr>
          <w:i/>
        </w:rPr>
        <w:t>interna corporis acta</w:t>
      </w:r>
      <w:r>
        <w:t xml:space="preserve"> no tiene capacidad para contravenir la STC 259/2015 en el sentido que determina el art. 92.1 LOTC.</w:t>
      </w:r>
    </w:p>
    <w:p w:rsidR="001D6FAE" w:rsidRDefault="001D6FAE" w:rsidP="001D6FAE">
      <w:pPr>
        <w:pStyle w:val="TextoNormal"/>
      </w:pPr>
    </w:p>
    <w:p w:rsidR="001D6FAE" w:rsidRDefault="001D6FAE" w:rsidP="001D6FAE">
      <w:pPr>
        <w:pStyle w:val="TextoNormal"/>
      </w:pPr>
      <w:r>
        <w:t>Por todo ello solicitan la inadmisión o, en su caso, la desestimación del incidente de ejecución, porque la creación y la constitución de la comisión de estudio del proceso constituyente no contravienen la STC 259/2015, sin que proceda tampoco hacer ningún requerimiento a la Presidenta del Parlamento de Cataluña y a los miembros de la referida comisión.</w:t>
      </w:r>
    </w:p>
    <w:p w:rsidR="001D6FAE" w:rsidRDefault="001D6FAE" w:rsidP="001D6FAE">
      <w:pPr>
        <w:pStyle w:val="TextoNormal"/>
      </w:pPr>
    </w:p>
    <w:p w:rsidR="001D6FAE" w:rsidRDefault="001D6FAE" w:rsidP="001D6FAE">
      <w:pPr>
        <w:pStyle w:val="TextoNormal"/>
      </w:pPr>
      <w:r w:rsidRPr="001D6FAE">
        <w:rPr>
          <w:rStyle w:val="NumeroAFNegritaCaracter"/>
        </w:rPr>
        <w:t>9</w:t>
      </w:r>
      <w:r>
        <w:t>. Por providencia de 3 de marzo de 2016 el Pleno acordó admitir a trámite el incidente de ejecución de sentencia (arts. 87 y 92 LOTC) formulado por el Abogado del Estado, en representación del Gobierno de la Nación, en relación con la STC 259/2015, de 2 de diciembre.</w:t>
      </w:r>
    </w:p>
    <w:p w:rsidR="001D6FAE" w:rsidRDefault="001D6FAE" w:rsidP="001D6FAE">
      <w:pPr>
        <w:pStyle w:val="TextoNormal"/>
      </w:pPr>
    </w:p>
    <w:p w:rsidR="001D6FAE" w:rsidRDefault="001D6FAE" w:rsidP="001D6FAE">
      <w:pPr>
        <w:pStyle w:val="TextoNormal"/>
      </w:pPr>
      <w:r w:rsidRPr="001D6FAE">
        <w:rPr>
          <w:rStyle w:val="NumeroAFNegritaCaracter"/>
        </w:rPr>
        <w:t>10</w:t>
      </w:r>
      <w:r>
        <w:t>. El 19 de julio de 2016 el Abogado del Estado dirige “al Pleno del Tribunal Constitucional” un escrito afirmando que ha tenido conocimiento de la conclusión de los trabajos de la citada comisión del Parlamento de Cataluña, en cuya página web se recogen a la espera de su publicación oficial. El Pleno acuerda trasladar copia de dicho escrito al Ministerio Fiscal y a la representación procesal del Parlamento de Cataluña.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Según se ha expuesto con más detalle en los antecedentes, el Abogado del Estado, en representación del Gobierno de la Nación, ha solicitado la incoación de un incidente de ejecución de la STC 259/2015, de 2 de diciembre, dictada en el proceso de impugnación de disposiciones autonómicas (título V de la Ley Orgánica del Tribunal Constitucional: LOTC) núm. 6330-2015, que declaró inconstitucional y nula la resolución l/XI del Parlamento de Cataluña, de 9 de noviembre de 2015, sobre el inicio del proceso político en Cataluña como consecuencia de los resultados electorales del 27 de septiembre de 2015.</w:t>
      </w:r>
    </w:p>
    <w:p w:rsidR="001D6FAE" w:rsidRDefault="001D6FAE" w:rsidP="001D6FAE">
      <w:pPr>
        <w:pStyle w:val="TextoNormal"/>
      </w:pPr>
    </w:p>
    <w:p w:rsidR="001D6FAE" w:rsidRDefault="001D6FAE" w:rsidP="001D6FAE">
      <w:pPr>
        <w:pStyle w:val="TextoNormal"/>
      </w:pPr>
      <w:r>
        <w:t>Invoca el Abogado del Estado lo dispuesto en los arts. 87.1 y 92 LOTC, ambos reformados por la Ley Orgánica 15/2015, de 16 de octubre, para la ejecución de las resoluciones del Tribunal Constitucional como garantía del Estado de Derecho, a cuyo amparo interesa que declaremos la nulidad de la resolución 5/XI del Parlamento de Cataluña de 20 de enero de 2016 (publicada en el “Boletín Oficial del Parlamento de Cataluña” núm. 42, de 25 de enero de 2016), de creación de comisiones parlamentarias, en cuanto crea una denominada comisión de estudio del proceso constituyente, a la que se le asignan unos ámbitos de actuación que el Abogado del Estado reproduce en su escrito y considera coincidentes con los fines que perseguía la ya declarada inconstitucional y nula resolución 1/XI del Parlamento de Cataluña.</w:t>
      </w:r>
    </w:p>
    <w:p w:rsidR="001D6FAE" w:rsidRDefault="001D6FAE" w:rsidP="001D6FAE">
      <w:pPr>
        <w:pStyle w:val="TextoNormal"/>
      </w:pPr>
    </w:p>
    <w:p w:rsidR="001D6FAE" w:rsidRDefault="001D6FAE" w:rsidP="001D6FAE">
      <w:pPr>
        <w:pStyle w:val="TextoNormal"/>
      </w:pPr>
      <w:r>
        <w:t>El Abogado del Estado entiende que, mediante la creación de la comisión de estudio del proceso constituyente por la resolución 5/XI, el Parlamento de Cataluña pretende formalizar de nuevo, en contravención frontal con lo decidido por el Tribunal Constitucional con carácter firme en la STC 259/2015, la apertura unilateral de un proceso constituyente y de desconexión con el Estado español. Por ello solicita que declaremos nulos los actos de creación y constitución de la referida comisión y asimismo que requiramos a la Presidenta del Parlamento de Cataluña y a los miembros de la comisión para que se abstengan de realizar cualesquiera actuaciones tendentes a poner en funcionamiento o dar continuidad a los trabajos de la comisión, advirtiéndoles asimismo de su deber de impedir o paralizar cualquier iniciativa que suponga ignorar o eludir la STC 259/2015, apercibiéndoles de las eventuales responsabilidades, incluida la penal, en las que pudieran incurrir en caso de desconocer lo acordado por este Tribunal.</w:t>
      </w:r>
    </w:p>
    <w:p w:rsidR="001D6FAE" w:rsidRDefault="001D6FAE" w:rsidP="001D6FAE">
      <w:pPr>
        <w:pStyle w:val="TextoNormal"/>
      </w:pPr>
    </w:p>
    <w:p w:rsidR="001D6FAE" w:rsidRDefault="001D6FAE" w:rsidP="001D6FAE">
      <w:pPr>
        <w:pStyle w:val="TextoNormal"/>
      </w:pPr>
      <w:r>
        <w:t>El Ministerio Fiscal comparte las apreciaciones del Abogado del Estado, por lo que considera que la comisión de estudio del proceso constituyente creada por la resolución 5/XI del Parlamento de Cataluña supone un intento de eludir la declaración de inconstitucionalidad y nulidad de la resolución 1/XI, desconociendo lo resuelto por la STC 259/2015, por lo que procede declarar la nulidad de la resolución 5/XI en cuanto crea la referida comisión, así como del acto de constitución de la misma, y efectuar los indicados requerimientos a la Presidenta del Parlamento de Cataluña y a los miembros de la comisión.</w:t>
      </w:r>
    </w:p>
    <w:p w:rsidR="001D6FAE" w:rsidRDefault="001D6FAE" w:rsidP="001D6FAE">
      <w:pPr>
        <w:pStyle w:val="TextoNormal"/>
      </w:pPr>
    </w:p>
    <w:p w:rsidR="001D6FAE" w:rsidRDefault="001D6FAE" w:rsidP="001D6FAE">
      <w:pPr>
        <w:pStyle w:val="TextoNormal"/>
      </w:pPr>
      <w:r>
        <w:t>Los Letrados del Parlamento de Cataluña se oponen a la pretensión de la Abogacía del Estado —apoyada por el Ministerio Fiscal— e interesan, conforme a lo razonado en su escrito de alegaciones, que se inadmita el incidente de ejecución o, en su caso, se desestime, porque la creación y la constitución de la comisión de estudio del proceso constituyente no contravienen la STC 259/2015, sin que proceda tampoco, en consecuencia, hacer ningún requerimiento a la Presidenta del Parlamento de Cataluña y a los miembros de la referida comisión.</w:t>
      </w:r>
    </w:p>
    <w:p w:rsidR="001D6FAE" w:rsidRDefault="001D6FAE" w:rsidP="001D6FAE">
      <w:pPr>
        <w:pStyle w:val="TextoNormal"/>
      </w:pPr>
    </w:p>
    <w:p w:rsidR="001D6FAE" w:rsidRDefault="001D6FAE" w:rsidP="001D6FAE">
      <w:pPr>
        <w:pStyle w:val="TextoNormal"/>
      </w:pPr>
      <w:r w:rsidRPr="001D6FAE">
        <w:rPr>
          <w:rStyle w:val="NumeroAFNegritaCaracter"/>
        </w:rPr>
        <w:t>2</w:t>
      </w:r>
      <w:r>
        <w:t>. Con arreglo a lo expuesto resulta que el objeto de la presente resolución se contrae a determinar si lo resuelto en la STC 259/2015, que declaró inconstitucional y nula la resolución 1/XI del Parlamento de Cataluña de 9 de noviembre de 2015, está siendo desconocido por el Parlamento de Cataluña al dictar su resolución 5/XI de 20 de enero de 2016, de creación de comisiones parlamentarias, en cuanto la misma crea la denominada comisión de estudio del proceso constituyente, a la que se le asignan unos “ámbitos” de actuación que han quedado reproducidos en el relato de antecedentes y que tanto el Abogado del Estado como el Ministerio Fiscal consideran coincidentes con los fines que perseguía la anulada resolución 1/XI.</w:t>
      </w:r>
    </w:p>
    <w:p w:rsidR="001D6FAE" w:rsidRDefault="001D6FAE" w:rsidP="001D6FAE">
      <w:pPr>
        <w:pStyle w:val="TextoNormal"/>
      </w:pPr>
    </w:p>
    <w:p w:rsidR="001D6FAE" w:rsidRDefault="001D6FAE" w:rsidP="001D6FAE">
      <w:pPr>
        <w:pStyle w:val="TextoNormal"/>
      </w:pPr>
      <w:r>
        <w:t>Tal cuestión deberemos resolverla aplicando los criterios sentados en la doctrina constitucional en cuanto a los arts. 87.1 y 92 LOTC, pues corresponde a este Tribunal velar por el cumplimiento efectivo de sus sentencias y resoluciones y resolver las incidencias de ejecución de las mismas, adoptando cuantas medidas considere necesarias para preservar su jurisdicción, incluyendo la declaración de nulidad de aquellos actos y resoluciones que la contravengan o menoscaben.</w:t>
      </w:r>
    </w:p>
    <w:p w:rsidR="001D6FAE" w:rsidRDefault="001D6FAE" w:rsidP="001D6FAE">
      <w:pPr>
        <w:pStyle w:val="TextoNormal"/>
      </w:pPr>
    </w:p>
    <w:p w:rsidR="001D6FAE" w:rsidRDefault="001D6FAE" w:rsidP="001D6FAE">
      <w:pPr>
        <w:pStyle w:val="TextoNormal"/>
      </w:pPr>
      <w:r>
        <w:t>Cumple advertir al respecto que la pendencia ante este Tribunal de sendos recursos de inconstitucionalidad planteados contra la reciente Ley Orgánica 15/2015, de 16 de octubre, de reforma de la Ley Orgánica del Tribunal Constitucional para la ejecución de las resoluciones del Tribunal Constitucional como garantía del Estado de Derecho, a los que aluden en sus alegaciones los Letrados del Parlamento de Cataluña, no afecta a la resolución del presente incidente de ejecución, la cual no prejuzga lo que deba resolverse en dichos recursos. Al margen del principio de presunción de constitucionalidad de las leyes, antes y después de la reforma del marco legal resultante de los arts. 87 y 92 LOTC por la citada Ley Orgánica 15/2015 todos los poderes públicos estaban y están obligados al cumplimiento de lo que resuelva el Tribunal Constitucional y este se hallaba y se halla plenamente facultado para resolver las incidencias de ejecución de sus sentencias y demás resoluciones, pudiendo incluso declarar la nulidad de cualesquiera resoluciones que contravengan las dictadas en el ejercicio de su jurisdicción, con ocasión de la ejecución de estas.</w:t>
      </w:r>
    </w:p>
    <w:p w:rsidR="001D6FAE" w:rsidRDefault="001D6FAE" w:rsidP="001D6FAE">
      <w:pPr>
        <w:pStyle w:val="TextoNormal"/>
      </w:pPr>
    </w:p>
    <w:p w:rsidR="001D6FAE" w:rsidRDefault="001D6FAE" w:rsidP="001D6FAE">
      <w:pPr>
        <w:pStyle w:val="TextoNormal"/>
      </w:pPr>
      <w:r>
        <w:t>En efecto, conforme a la jurisprudencia constitucional (entre otros, AATC 107/2009, de 24 de marzo, FJ 2; y 177/2012, de 2 de octubre,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001D6FAE" w:rsidRDefault="001D6FAE" w:rsidP="001D6FAE">
      <w:pPr>
        <w:pStyle w:val="TextoNormal"/>
      </w:pPr>
    </w:p>
    <w:p w:rsidR="001D6FAE" w:rsidRDefault="001D6FAE" w:rsidP="001D6FAE">
      <w:pPr>
        <w:pStyle w:val="TextoNormal"/>
      </w:pPr>
      <w:r>
        <w:t>Cabe pues afirmar, siguiendo la doctrina establecida en relación con los incidentes de ejecución de sentencias y resoluciones de este Tribunal (entre otros, ATC 107/2009, FJ 4), que lo que ha de examinarse en el presente incidente, al cotejar el contenido de la STC 259/2015 con la resolución del Parlamento de Cataluña 5/XI de 20 de enero de 2016 (en el extremo controvertido, relativo a la creación de la comisión de estudio del proceso constituyente), es, en definitiva, si esta resolución parlamentaria incurre o no en alguna de las dos situaciones proscritas por la jurisprudencia. Tal ocurriría de contener un pronunciamiento contrario a la STC 259/2015 o suponer un intento de menoscabar la eficacia —jurídica o material— de lo que se resolvió en esta Sentencia, en el bien entendido de que la vinculación de todos los poderes públicos al cumplimiento de lo que el Tribunal Constitucional resuelva (art. 87.1 LOTC) se extiende tanto al fallo como a la fundamentación jurídica de sus sentencias y demás resoluciones (SSTC 158/2004, de 21 de septiembre, FJ 4; 302/2005, de 21 de noviembre, FJ 6; AATC 273/2006, de 17 de julio, FJ 4, y 120/2010, de 4 de octubre, FJ l, entre otras resoluciones).</w:t>
      </w:r>
    </w:p>
    <w:p w:rsidR="001D6FAE" w:rsidRDefault="001D6FAE" w:rsidP="001D6FAE">
      <w:pPr>
        <w:pStyle w:val="TextoNormal"/>
      </w:pPr>
    </w:p>
    <w:p w:rsidR="001D6FAE" w:rsidRDefault="001D6FAE" w:rsidP="001D6FAE">
      <w:pPr>
        <w:pStyle w:val="TextoNormal"/>
      </w:pPr>
      <w:r w:rsidRPr="001D6FAE">
        <w:rPr>
          <w:rStyle w:val="NumeroAFNegritaCaracter"/>
        </w:rPr>
        <w:t>3</w:t>
      </w:r>
      <w:r>
        <w:t>. Debe recordarse que la STC 259/2015, de 2 de diciembre (publicada en el “Boletín Oficial del Estado” de 12 de enero de 2016) estimó la impugnación de disposiciones autonómicas (título V LOTC) núm. 6330-2015, promovida por el Abogado del Estado, en representación del Gobierno de la Nación, contra la resolución del Parlamento de Cataluña 1/XI, de 9 de noviembre de 2015, sobre el inicio del proceso político en Cataluña como consecuencia de los resultados electorales del 27 de septiembre de 2015, declarando la inconstitucionalidad y nulidad de dicha resolución en su integridad, que quedó en consecuencia expulsada del ordenamiento jurídico.</w:t>
      </w:r>
    </w:p>
    <w:p w:rsidR="001D6FAE" w:rsidRDefault="001D6FAE" w:rsidP="001D6FAE">
      <w:pPr>
        <w:pStyle w:val="TextoNormal"/>
      </w:pPr>
    </w:p>
    <w:p w:rsidR="001D6FAE" w:rsidRDefault="001D6FAE" w:rsidP="001D6FAE">
      <w:pPr>
        <w:pStyle w:val="TextoNormal"/>
      </w:pPr>
      <w:r>
        <w:t>El Tribunal comenzó en la STC 259/2015 declarando (con apoyo en la STC 42/2014 y rechazando la objeción planteada por el Parlamento de Cataluña) que la resolución 1/XI es un acto parlamentario que, “sin perjuicio de su marcado carácter político, tiene capacidad para producir efectos de naturaleza jurídica”, por lo que su idoneidad para poder ser impugnada por la vía del proceso constitucional de los arts. 161.2 CE y 76 y 77 LOTC resulta inobjetable. Esto se afirmó teniendo en cuenta que, “en primer lugar, la resolución impugnada en cuanto ‘declara solemnemente el inicio del proceso de creación de un estado catalán independiente en forma de república’ y ‘proclama la apertura de un proceso constituyente... para preparar las bases de la futura constitución catalana’, en un anunciado marco de ‘desconexión’ del Estado español es susceptible de producir efectos jurídicos, ya que tales pronunciamientos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 Entre otras manifestaciones, resulta expresiva de dicho reconocimiento, en este caso, la autocalificación del Parlamento de Cataluña ‘como depositario de la soberanía y como expresión del poder constituyente’ (apartado sexto). En segundo lugar, el carácter aseverativo de la resolución, al proclamar de presente la apertura de un proceso constituyente dirigido a la creación de un Estado catalán independiente en forma de república, «no permite entender limitados sus efectos en el ámbito parlamentario al terreno estrictamente político, puesto que reclama el cumplimiento de unas actuaciones concretas y ese cumplimiento es susceptible del control parlamentario previsto para las resoluciones aprobadas por el Parlamento’ (art. l65 del Reglamento del Parlamento de Cataluña) [</w:t>
      </w:r>
      <w:r w:rsidRPr="001D6FAE">
        <w:rPr>
          <w:i/>
        </w:rPr>
        <w:t>ibídem</w:t>
      </w:r>
      <w:r>
        <w:t>]” (STC 259/2015, FJ 2).</w:t>
      </w:r>
    </w:p>
    <w:p w:rsidR="001D6FAE" w:rsidRDefault="001D6FAE" w:rsidP="001D6FAE">
      <w:pPr>
        <w:pStyle w:val="TextoNormal"/>
      </w:pPr>
    </w:p>
    <w:p w:rsidR="001D6FAE" w:rsidRDefault="001D6FAE" w:rsidP="001D6FAE">
      <w:pPr>
        <w:pStyle w:val="TextoNormal"/>
      </w:pPr>
      <w:r>
        <w:t>A partir de lo anterior, la STC 259/2015 procedió al enjuiciamiento de la resolución l/XI, “teniendo en cuenta que persigue en sus varios apartados un objetivo unívoco y muestra una indiscutible unidad de sentido”, de forma que “cada uno de esos apartados sucesivos y su anexo final aparecen como concreción y desarrollo de un designio unitario que anima, en su conjunto, el acto impugnado”, comenzando por descartar que dicha resolución parlamentaria (a diferencia de lo que sucedía en el caso de la resolución 5/X en relación con el llamado “derecho a decidir”, que dio lugar a la citada STC 42/2014), sea susceptible de una interpretación de conformidad con la Constitución. La aspiración política que el “derecho a decidir” enuncia “puede ser defendida respetando la Constitución y, singularmente, los procedimientos para su revisión formal”, pero el Parlamento de Cataluña, al adoptar la resolución 1/XI, “está excluyendo la utilización de los cauces constitucionales (art. 168 CE) para la conversión en un ‘Estado independiente’ (apartado segundo) de lo que hoy es la Comunidad Autónoma de Cataluña. El Parlamento, en efecto, ‘proclama la apertura de un proceso constituyente... para preparar las bases de la futura constitución catalana’ (apartado tercero); se compromete a tramitar en determinado plazo una ley, junto a otras, de ‘proceso constituyente’ (apartado quinto); afirma, en tanto que ‘depositario de la soberanía’ y ‘expresión del poder constituyente’, que en el proceso que emprende no se supeditará a las decisiones de las instituciones del Estado español y, en particular, a las de este Tribunal Constitucional (apartado sexto); por último insta al ‘futuro Gobierno’ de la Comunidad Autónoma ‘a cumplir exclusivamente las normas o los mandatos emanados de esta Cámara’ (apartado octavo)” (STC 259/2015, FJ 3).</w:t>
      </w:r>
    </w:p>
    <w:p w:rsidR="001D6FAE" w:rsidRDefault="001D6FAE" w:rsidP="001D6FAE">
      <w:pPr>
        <w:pStyle w:val="TextoNormal"/>
      </w:pPr>
    </w:p>
    <w:p w:rsidR="001D6FAE" w:rsidRDefault="001D6FAE" w:rsidP="001D6FAE">
      <w:pPr>
        <w:pStyle w:val="TextoNormal"/>
      </w:pPr>
      <w:r>
        <w:t>La STC 259/2015 advierte que la resolución 1/XI “contrapone el supuesto alcance del ‘mandato democrático’ recibido por el Parlamento de Cataluña en las elecciones de 27 de septiembre de 2015 (apartados primero y noveno), o el carácter ‘legítimo y democrático’ del Parlamento de Cataluña por idéntica razón (apartado octavo), a la legalidad y la legitimidad de las instituciones del Estado, en particular de este Tribunal Constitucional, al que se considera directamente ‘carente de legitimidad y competencia’. Y por ello declara este Tribunal que ‘la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 lo que contraviene frontalmente el principio democrático (art. 1.1 CE) y la primacía incondicional de la Constitución: como norma suprema del ordenamiento jurídico (art. 9.1 CE), pues ‘sin conformidad con la Constitución no puede predicarse legitimidad alguna. En una concepción democrática del poder no hay más legitimidad que la fundada en la Constitución’” (STC 259/2015, FJ 5).</w:t>
      </w:r>
    </w:p>
    <w:p w:rsidR="001D6FAE" w:rsidRDefault="001D6FAE" w:rsidP="001D6FAE">
      <w:pPr>
        <w:pStyle w:val="TextoNormal"/>
      </w:pPr>
    </w:p>
    <w:p w:rsidR="001D6FAE" w:rsidRDefault="001D6FAE" w:rsidP="001D6FAE">
      <w:pPr>
        <w:pStyle w:val="TextoNormal"/>
      </w:pPr>
      <w:r>
        <w:t>Asimismo declara la STC 259/2015 que la resolución 1/XI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 (STC 259/2015, FJ 6).</w:t>
      </w:r>
    </w:p>
    <w:p w:rsidR="001D6FAE" w:rsidRDefault="001D6FAE" w:rsidP="001D6FAE">
      <w:pPr>
        <w:pStyle w:val="TextoNormal"/>
      </w:pPr>
    </w:p>
    <w:p w:rsidR="001D6FAE" w:rsidRDefault="001D6FAE" w:rsidP="001D6FAE">
      <w:pPr>
        <w:pStyle w:val="TextoNormal"/>
      </w:pPr>
      <w:r>
        <w:t>Declara por último el Tribunal en la STC 259/2015 que el contenido de la resolución 1/XI “incide directamente, como ya se ha puesto de manifiesto, sobre cuestiones reservadas en su tratamiento institucional al procedimiento de reforma constitucional del art. 168 CE. Por consiguiente, ha de estimarse también vulnerado el citado precepto constitucional, al no haberse seguido el cauce constitucionalmente establecido para abordar una redefinición del orden constitucional como la que se pretende con aquella resolución”. En efecto, la Cámara autonómica puede proponer la reforma de la Constitución, pero lo que no puede es “erigirse en fuente de legitimidad jurídica y política, hasta arrogarse la potestad de vulnerar el orden constitucional que sustenta su propia autoridad. Obrando de ese modo, el Parlamento de Cataluña socavaría su propio fundamento constitucional y estatutario (arts. 1 y 2.4 del Estatuto de Autonomía de Cataluña, antes citados), al sustraerse de toda vinculación a la Constitución y al resto del ordenamiento jurídico, e infringiría las bases del Estado de Derecho y la norma que declara la sujeción de todos a la Constitución (arts. 1.1 y 9.1 CE)” (STC 259/2015, FJ 7).</w:t>
      </w:r>
    </w:p>
    <w:p w:rsidR="001D6FAE" w:rsidRDefault="001D6FAE" w:rsidP="001D6FAE">
      <w:pPr>
        <w:pStyle w:val="TextoNormal"/>
      </w:pPr>
    </w:p>
    <w:p w:rsidR="001D6FAE" w:rsidRDefault="001D6FAE" w:rsidP="001D6FAE">
      <w:pPr>
        <w:pStyle w:val="TextoNormal"/>
      </w:pPr>
      <w:r w:rsidRPr="001D6FAE">
        <w:rPr>
          <w:rStyle w:val="NumeroAFNegritaCaracter"/>
        </w:rPr>
        <w:t>4</w:t>
      </w:r>
      <w:r>
        <w:t>. La resolución del Parlamento de Cataluña 5/XI de 20 de enero de 2016, de creación de comisiones parlamentarias, crea, al amparo del art. 65 del Reglamento del Parlamento, la denominada comisión de estudio del proceso constituyente (Comissió d'Estudi del Procés Constituent), que quedó efectivamente constituida el 28 de enero de 2016. La referida resolución asigna a esta comisión unos “ámbitos” de actuación, reproducidos en el relato de antecedentes, que el Abogado del Estado y el Ministerio Fiscal consideran coincidentes con los fines que perseguía la resolución 1/XI, declarada inconstitucional y nula por la STC 259/2015 en los términos que acaban de recordarse en el fundamento jurídico anterior. Así, para el Abogado del Estado, la creación y constitución de la comisión de estudio del proceso constituyente vendría a suponer un intento del Parlamento de Cataluña de eludir los pronunciamientos contenidos en la STC 259/2015, pues pretende seguir adelante con el “proceso constituyente en Cataluña” al que se refería la resolución l/XI en términos que fueron rechazados por inconstitucionales en la citada Sentencia.</w:t>
      </w:r>
    </w:p>
    <w:p w:rsidR="001D6FAE" w:rsidRDefault="001D6FAE" w:rsidP="001D6FAE">
      <w:pPr>
        <w:pStyle w:val="TextoNormal"/>
      </w:pPr>
    </w:p>
    <w:p w:rsidR="001D6FAE" w:rsidRDefault="001D6FAE" w:rsidP="001D6FAE">
      <w:pPr>
        <w:pStyle w:val="TextoNormal"/>
      </w:pPr>
      <w:r>
        <w:t>Para dar respuesta a la cuestión planteada en el presente incidente de ejecución, debemos comenzar precisando que el objeto de este proceso no es el de enjuiciar el contenido de la resolución parlamentaria a la que la pretensión de la parte promotora se refiere, sino resolver, en el marco de un incidente de ejecución de sentencia, si la resolución parlamentaria impugnada contraviene de forma clara los mandatos derivados de la sentencia del Tribunal mediante la que, en los términos que se han expuesto, se anuló la resolución l/XI del Parlamento de Cataluña.</w:t>
      </w:r>
    </w:p>
    <w:p w:rsidR="001D6FAE" w:rsidRDefault="001D6FAE" w:rsidP="001D6FAE">
      <w:pPr>
        <w:pStyle w:val="TextoNormal"/>
      </w:pPr>
    </w:p>
    <w:p w:rsidR="001D6FAE" w:rsidRDefault="001D6FAE" w:rsidP="001D6FAE">
      <w:pPr>
        <w:pStyle w:val="TextoNormal"/>
      </w:pPr>
      <w:r>
        <w:t xml:space="preserve">Para cumplir con este cometido es preciso examinar el alegato de los Letrados del Parlamento de Cataluña sobre el carácter supuestamente preventivo del incidente, en tanto que —según estiman— no se dirige contra un acto final o resolutorio que exprese una declaración de voluntad de la Cámara, sino contra un acto de creación de una comisión parlamentaria de estudio que, por tener naturaleza de </w:t>
      </w:r>
      <w:r w:rsidRPr="001D6FAE">
        <w:rPr>
          <w:i/>
        </w:rPr>
        <w:t>interna corporis acta</w:t>
      </w:r>
      <w:r>
        <w:t>, no tendría capacidad para contravenir en modo alguno la STC 259/2015.</w:t>
      </w:r>
    </w:p>
    <w:p w:rsidR="001D6FAE" w:rsidRDefault="001D6FAE" w:rsidP="001D6FAE">
      <w:pPr>
        <w:pStyle w:val="TextoNormal"/>
      </w:pPr>
    </w:p>
    <w:p w:rsidR="001D6FAE" w:rsidRDefault="001D6FAE" w:rsidP="001D6FAE">
      <w:pPr>
        <w:pStyle w:val="TextoNormal"/>
      </w:pPr>
      <w:r>
        <w:t xml:space="preserve">Esta alegación es susceptible de ser enjuiciada en un doble sentido: decidiendo, en primer lugar, si el acto al que se refiere el incidente es un acto jurídico susceptible de control constitucional y, en segundo lugar —de obtener una respuesta afirmativa esta primera cuestión—, decidiendo si la resolución parlamentaria impugnada, en virtud de su especial naturaleza y su específico contenido, contraviene la sentencia cuya ejecución se reclama por la parte promotora del incidente o carece de capacidad para ello por tratarse de </w:t>
      </w:r>
      <w:r w:rsidRPr="001D6FAE">
        <w:rPr>
          <w:i/>
        </w:rPr>
        <w:t>interna corporis acta</w:t>
      </w:r>
      <w:r>
        <w:t>.</w:t>
      </w:r>
    </w:p>
    <w:p w:rsidR="001D6FAE" w:rsidRDefault="001D6FAE" w:rsidP="001D6FAE">
      <w:pPr>
        <w:pStyle w:val="TextoNormal"/>
      </w:pPr>
    </w:p>
    <w:p w:rsidR="001D6FAE" w:rsidRDefault="001D6FAE" w:rsidP="001D6FAE">
      <w:pPr>
        <w:pStyle w:val="TextoNormal"/>
      </w:pPr>
      <w:r>
        <w:t>En primer término, el Tribunal considera que el acto respecto del cual se plantea el incidente de ejecución, en términos abstractos, es un acto parlamentario susceptible de control constitucional mediante los procedimientos establecidos con este fin. La resolución 5/XI ha sido dictada por el Parlamento, órgano de la Comunidad Autónoma que representa al pueblo de Cataluña (art. 55.1 del Estatuto de Autonomía de Cataluña), en el ejercicio de una función estatutariamente conferida, cual es la de control e impulso de la acción política y de gobierno (art. 55.2 del Estatuto de Autonomía de Cataluña), a través del procedimiento parlamentario reglamentariamente establecido al efecto. Se trata, por lo tanto, de un acto parlamentario que, sin perjuicio de su marcado carácter político, tiene también una indudable naturaleza jurídica, pues la creación de una comisión parlamentaria es en sí misma manifestación de un efecto jurídico (“lo jurídico —como se afirma en la STC 42/2014, FJ 2, y se reitera en la STC 259/2015, FJ 2— no se agota en lo vinculante”) y pone fin, asimismo, a un procedimiento parlamentario, pues constituye una manifestación acabada de la voluntad de la Cámara de constituir una comisión para el estudio de un determinado proceso político, “el proceso constituyente de Cataluña”, con independencia del resultado de los trabajos de esa comisión, y que emana, además, de un órgano capaz de expresar la voluntad institucional de la Comunidad Autónoma.</w:t>
      </w:r>
    </w:p>
    <w:p w:rsidR="001D6FAE" w:rsidRDefault="001D6FAE" w:rsidP="001D6FAE">
      <w:pPr>
        <w:pStyle w:val="TextoNormal"/>
      </w:pPr>
    </w:p>
    <w:p w:rsidR="001D6FAE" w:rsidRDefault="001D6FAE" w:rsidP="001D6FAE">
      <w:pPr>
        <w:pStyle w:val="TextoNormal"/>
      </w:pPr>
      <w:r>
        <w:t xml:space="preserve">Por otra parte, la resolución 5/XI, como se analizará más adelante, se refiere a un objeto específico, cual es el llamado proceso constituyente en Cataluña, en términos susceptibles, </w:t>
      </w:r>
      <w:r w:rsidRPr="001D6FAE">
        <w:rPr>
          <w:i/>
        </w:rPr>
        <w:t>prima facie</w:t>
      </w:r>
      <w:r>
        <w:t xml:space="preserve"> de ser puestos en relación con los fines de la resolución parlamentaria enjuiciada en la STC 259/2015, la cual se pronunció de forma explícita sobre su inconstitucionalidad, por las razones que han quedado expuestas. Desde esta perspectiva, la resolución 5/XI, de modo análogo a lo que el Tribunal apreció en la STC 42/2014, FJ 2, es susceptible también de ser entendida como una resolución que produce efectos jurídicos, pues ofrece el riesgo cierto de que pueda entenderse como el reconocimiento en favor del Parlamento o del pueblo de Cataluña de atribuciones inherentes a la soberanía superiores a las que derivan de la autonomía reconocida por la Constitución (STC 42/2014, FJ 2).</w:t>
      </w:r>
    </w:p>
    <w:p w:rsidR="001D6FAE" w:rsidRDefault="001D6FAE" w:rsidP="001D6FAE">
      <w:pPr>
        <w:pStyle w:val="TextoNormal"/>
      </w:pPr>
    </w:p>
    <w:p w:rsidR="001D6FAE" w:rsidRDefault="001D6FAE" w:rsidP="001D6FAE">
      <w:pPr>
        <w:pStyle w:val="TextoNormal"/>
      </w:pPr>
      <w:r w:rsidRPr="001D6FAE">
        <w:rPr>
          <w:rStyle w:val="NumeroAFNegritaCaracter"/>
        </w:rPr>
        <w:t>5</w:t>
      </w:r>
      <w:r>
        <w:t>. La afirmación de los Letrados del Parlamento de Cataluña es susceptible de ser examinada en una segunda perspectiva, la relativa a las facultades del Parlamento autonómico en relación con el contenido concreto de la resolución aprobada.</w:t>
      </w:r>
    </w:p>
    <w:p w:rsidR="001D6FAE" w:rsidRDefault="001D6FAE" w:rsidP="001D6FAE">
      <w:pPr>
        <w:pStyle w:val="TextoNormal"/>
      </w:pPr>
    </w:p>
    <w:p w:rsidR="001D6FAE" w:rsidRDefault="001D6FAE" w:rsidP="001D6FAE">
      <w:pPr>
        <w:pStyle w:val="TextoNormal"/>
      </w:pPr>
      <w:r>
        <w:t>El Parlamento de Cataluña, como representante de los ciudadanos de la Comunidad Autónoma, puede crear, conforme a las previsiones de su Reglamento, las comisiones de estudio que tenga por conveniente, para “el análisis de cualquier asunto que afecte a la sociedad catalana” (art. 65.1 del Reglamento del Parlamento), pues esto forma parte de su esfera de decisión propia por ser una de aquellas facultades que integran la autonomía parlamentaria.</w:t>
      </w:r>
    </w:p>
    <w:p w:rsidR="001D6FAE" w:rsidRDefault="001D6FAE" w:rsidP="001D6FAE">
      <w:pPr>
        <w:pStyle w:val="TextoNormal"/>
      </w:pPr>
    </w:p>
    <w:p w:rsidR="001D6FAE" w:rsidRDefault="001D6FAE" w:rsidP="001D6FAE">
      <w:pPr>
        <w:pStyle w:val="TextoNormal"/>
      </w:pPr>
      <w:r>
        <w:t>Pero esa facultad no es absoluta o ilimitada. Nada impide que el Parlamento de Cataluña promueva, por vía de solicitud o de propuesta, una hipotética reforma de la Constitución (arts. 87.2 y 166 CE) y que para ello previamente establezca una comisión de Estudio sobre tal eventual reforma del marco jurídico en vigor, pues es inherente a todo sistema democrático parlamentario la posibilidad de someter a la discusión política cualquier cuestión de interés general. En relación con su reforma nuestra norma fundamental no fija límites sustantivos (art. 168.1 CE) y a favor de ella cabe ejercer, siempre que sea en el respeto a la legalidad constitucional y a los derechos de todos, la más irrestricta libertad, pues la primacía de la Constitución no debe confundirse con una exigencia de adhesión positiva a la misma (STC 42/2014, FJ 4, y resoluciones allí citadas; también STC 122/1983, de 16 de diciembre, FJ 5). Como ya se dijo “en la STC 42/2014 (FJ 4), 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Cuando, por el contrario, se pretenden alterar aquellos contenidos de manera unilateral y se ignoran de forma deliberada los procedimientos expresamente previstos a tal fin en la Constitución, se abandona la única senda que permite llegar a ese punto, la del Derecho” (STC 259/2015, FJ 7).</w:t>
      </w:r>
    </w:p>
    <w:p w:rsidR="001D6FAE" w:rsidRDefault="001D6FAE" w:rsidP="001D6FAE">
      <w:pPr>
        <w:pStyle w:val="TextoNormal"/>
      </w:pPr>
    </w:p>
    <w:p w:rsidR="001D6FAE" w:rsidRDefault="001D6FAE" w:rsidP="001D6FAE">
      <w:pPr>
        <w:pStyle w:val="TextoNormal"/>
      </w:pPr>
      <w:r>
        <w:t>“Es plena la apertura de la norma fundamental para su revisión formal, que pueden solicitar o proponer, entre otros órganos del Estado, las Asambleas de las Comunidades Autónomas (arts. 87.2 y 166 CE); como ya tuvo oportunidad de recordar este Tribunal hace poco más de año y medio, en la STC 42/2014 (FFJJ 3 y 4) relativa al examen de constitucionalidad de la resolución 5/X, de 23 de enero de 2013, adoptada por el Parlamento de Cataluña. Esto depara la más amplia libertad para la exposición y defensa públicas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31/2010, de 28 de junio, FJ 12). El debate público, dentro o fuera de las instituciones, sobre tales proyectos políticos o sobre cualesquiera otros que propugnaran la reforma constitucional goza, precisamente al amparo de la misma Constitución, de una irrestricta libertad. Por el contrario, la conversión de esos proyectos en normas o en otras determinaciones del poder público no es posible sino mediante el procedimiento de reforma constitucional. Otra cosa supondría liberar al poder público de toda sujeción a Derecho, con daño irreparable para la libertad de los ciudadanos” (STC 259/2015, FJ 7).</w:t>
      </w:r>
    </w:p>
    <w:p w:rsidR="001D6FAE" w:rsidRDefault="001D6FAE" w:rsidP="001D6FAE">
      <w:pPr>
        <w:pStyle w:val="TextoNormal"/>
      </w:pPr>
    </w:p>
    <w:p w:rsidR="001D6FAE" w:rsidRDefault="001D6FAE" w:rsidP="001D6FAE">
      <w:pPr>
        <w:pStyle w:val="TextoNormal"/>
      </w:pPr>
      <w:r>
        <w:t>Las Asambleas legislativas son “ante todo, escenarios privilegiados del debate público” (STC 226/2004, de 29 de noviembre, FJ 6) y, en principio, el eventual resultado del debate parlamentario es cuestión que no debe condicionar la viabilidad misma del debate (ATC 135/2004, FJ 6, y ATC 189/2015, de 5 de noviembre, FJ 3). Sin embargo, la autonomía parlamentaria (art. 58 del Estatuto de Autonomía de Cataluña) no puede servir de pretexto para que la Cámara autonómica llegue hasta el extremo de “arrogarse la potestad de vulnerar el orden constitucional que sustenta su propia autoridad” (STC 259/2015, FJ 7).</w:t>
      </w:r>
    </w:p>
    <w:p w:rsidR="001D6FAE" w:rsidRDefault="001D6FAE" w:rsidP="001D6FAE">
      <w:pPr>
        <w:pStyle w:val="TextoNormal"/>
      </w:pPr>
    </w:p>
    <w:p w:rsidR="001D6FAE" w:rsidRDefault="001D6FAE" w:rsidP="001D6FAE">
      <w:pPr>
        <w:pStyle w:val="TextoNormal"/>
      </w:pPr>
      <w:r>
        <w:t xml:space="preserve">El deber de fidelidad a la Constitución por parte de los poderes públicos “constituye un soporte esencial del funcionamiento del Estado autonómico y cuya observancia resulta obligada” (STC 247/2007, de 12 diciembre, FJ 4), por lo que son las Asambleas parlamentarias, en su condición de poderes constituidos, las que, </w:t>
      </w:r>
      <w:r w:rsidRPr="001D6FAE">
        <w:rPr>
          <w:i/>
        </w:rPr>
        <w:t>prima facie</w:t>
      </w:r>
      <w:r>
        <w:t>, deben velar por que sus decisiones se acomoden, en todo momento, a la Constitución y al resto del ordenamiento jurídico (art. 9.1 CE), sin perjuicio, claro está, de que la última palabra, cuando así se le pida, le corresponderá al Tribunal Constitucional (ATC 189/2015, FJ 3). 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w:t>
      </w:r>
    </w:p>
    <w:p w:rsidR="001D6FAE" w:rsidRDefault="001D6FAE" w:rsidP="001D6FAE">
      <w:pPr>
        <w:pStyle w:val="TextoNormal"/>
      </w:pPr>
    </w:p>
    <w:p w:rsidR="001D6FAE" w:rsidRDefault="001D6FAE" w:rsidP="001D6FAE">
      <w:pPr>
        <w:pStyle w:val="TextoNormal"/>
      </w:pPr>
      <w:r>
        <w:t>De este modo, “el sometimiento de todos a la Constitución es ‘otra forma de sumisión a la voluntad popular, expresada esta vez como poder constituyente’ [SSTC 108/1986, de 29 de julio, FJ 18; y 238/2012, de 13 de diciembre, FJ 6 b)]. En el Estado constitucional, el principio democrático no puede desvincularse de la primacía incondicional de la Constitución, que, como afirmó el Tribunal en la STC 42/2014, FJ 4 e), ‘requiere que toda decisión del poder quede, sin excepción, sujeta a la Constitución, sin que existan, para el poder público, espacios libres de la Constitución o ámbitos de inmunidad frente a ella’. Para garantizar que esto último no ocurra se cuenta con el sistema de nuestro Estado constitucional de Derecho —los poderes públicos, pero también la ciudadanía— y, en última instancia, cuando así se le requiera, con este Tribunal Constitucional” (STC 259/2015, FJ 4).</w:t>
      </w:r>
    </w:p>
    <w:p w:rsidR="001D6FAE" w:rsidRDefault="001D6FAE" w:rsidP="001D6FAE">
      <w:pPr>
        <w:pStyle w:val="TextoNormal"/>
      </w:pPr>
    </w:p>
    <w:p w:rsidR="001D6FAE" w:rsidRDefault="001D6FAE" w:rsidP="001D6FAE">
      <w:pPr>
        <w:pStyle w:val="TextoNormal"/>
      </w:pPr>
      <w:r w:rsidRPr="001D6FAE">
        <w:rPr>
          <w:rStyle w:val="NumeroAFNegritaCaracter"/>
        </w:rPr>
        <w:t>6</w:t>
      </w:r>
      <w:r>
        <w:t>. A la creación parlamentaria de una comisión de estudio y al desenvolvimiento de la actividad propia de su naturaleza prospectiva corresponde en principio la aplicación del parámetro de constitucionalidad establecido en diversas resoluciones del Tribunal sobre la imposibilidad de que las meras propuestas sujetas a examen y discusión posterior puedan considerase inconstitucionales. Así el ATC 135/2004 declaró que el “hecho de que semejante iniciativa sólo pueda prosperar con éxito si antes se reforma la Constitución … no convierte a la ‘Propuesta’ en sí (ni, por conexión, al acuerdo que la formaliza) en una iniciativa inconstitucional. La iniciativa, una vez remitida a la Cámara, queda sometida a una serie de avatares, que pueden, desde luego, alterarla notablemente en su contenido, pero que, sobre todo, la modificarán radical y necesariamente en su naturaleza … En tanto no se agote el procedimiento parlamentario iniciado con la remisión de la ‘Propuesta’ no cabe más inconstitucionalidad, en su caso, que la que resulte de la infracción de las normas que disciplinan ese procedimiento.”</w:t>
      </w:r>
    </w:p>
    <w:p w:rsidR="001D6FAE" w:rsidRDefault="001D6FAE" w:rsidP="001D6FAE">
      <w:pPr>
        <w:pStyle w:val="TextoNormal"/>
      </w:pPr>
    </w:p>
    <w:p w:rsidR="001D6FAE" w:rsidRDefault="001D6FAE" w:rsidP="001D6FAE">
      <w:pPr>
        <w:pStyle w:val="TextoNormal"/>
      </w:pPr>
      <w:r>
        <w:t>Pero en el caso examinado esta doctrina debe entenderse subordinada a las especiales circunstancias concurrentes. Más allá del mayor o menor grado de predeterminación del resultado de los trabajos de la comisión de estudio del proceso constituyente que se pueda conjeturar, el Tribunal aprecia que los ámbitos asignados a dicha comisión parlamentaria por la resolución 5/XI ofrecen un alto grado de semejanza con alguno de los elementos integrantes del llamado proceso constituyente en la resolución del Parlamento de Cataluña 1/XI, de 9 de noviembre de 2015, declarada inconstitucional, aun cuando no existe en el texto referencia explícita alguna a ella, pues tales “ámbitos” coinciden sustancialmente con los fines que perseguía la resolución 1/XI, declarada inconstitucional y nula por la STC 259/2015.</w:t>
      </w:r>
    </w:p>
    <w:p w:rsidR="001D6FAE" w:rsidRDefault="001D6FAE" w:rsidP="001D6FAE">
      <w:pPr>
        <w:pStyle w:val="TextoNormal"/>
      </w:pPr>
    </w:p>
    <w:p w:rsidR="001D6FAE" w:rsidRDefault="001D6FAE" w:rsidP="001D6FAE">
      <w:pPr>
        <w:pStyle w:val="TextoNormal"/>
      </w:pPr>
      <w:r>
        <w:t>La relevancia de esta semejanza se ve acentuada por la sucesión temporal de acontecimientos parlamentarios en el ámbito de la Cámara autonómica. En efecto, la resolución 1/XI, de 9 de noviembre de 2015, anulada en la STC 259/2015, de 2 de diciembre de 2015, reclamaba al Gobierno y al propio Parlamento el cumplimiento de unas actuaciones concretas como eran, entre otras, iniciar la tramitación de la Ley del proceso constituyente o adoptar las medidas necesarias para abrir el proceso de desconexión del Estado español. La creación por la resolución 5/XI, de 20 de enero de 2016, de una comisión de estudio del proceso constituyente ha tenido lugar unas semanas después.</w:t>
      </w:r>
    </w:p>
    <w:p w:rsidR="001D6FAE" w:rsidRDefault="001D6FAE" w:rsidP="001D6FAE">
      <w:pPr>
        <w:pStyle w:val="TextoNormal"/>
      </w:pPr>
    </w:p>
    <w:p w:rsidR="001D6FAE" w:rsidRDefault="001D6FAE" w:rsidP="001D6FAE">
      <w:pPr>
        <w:pStyle w:val="TextoNormal"/>
      </w:pPr>
      <w:r>
        <w:t>Estas relaciones, a juicio del Tribunal, aparecen con tal intensidad, en la perspectiva de cualquier observador razonable, que la creación de la comisión podría ser entendida como un intento de dar apariencia de validez al denominado proceso constituyente en Cataluña, cuya inconstitucionalidad fue declarada por la STC 259/2015, y esto es suficiente para que deba estimarse el incidente de ejecución planteado.</w:t>
      </w:r>
    </w:p>
    <w:p w:rsidR="001D6FAE" w:rsidRDefault="001D6FAE" w:rsidP="001D6FAE">
      <w:pPr>
        <w:pStyle w:val="TextoNormal"/>
      </w:pPr>
    </w:p>
    <w:p w:rsidR="001D6FAE" w:rsidRDefault="001D6FAE" w:rsidP="001D6FAE">
      <w:pPr>
        <w:pStyle w:val="TextoNormal"/>
      </w:pPr>
      <w:r>
        <w:t>Procedente será, por tanto, recordar una vez más que la legitimidad democrática del Parlamento de Cataluña “no puede oponerse a la primacía incondicional de la Constitución. El texto constitucional refleja las manifestaciones relevantes del principio democrático, cuyo ejercicio, por tanto, no cabe fuera del mismo [STC 42/2014, FJ 4 a)]. Por ello, el ordenamiento jurídico, con la Constitución en su cúspide, en ningún caso puede ser considerado como límite de la democracia, sino como su garantía misma” (STC 259/2015, FJ 5).</w:t>
      </w:r>
    </w:p>
    <w:p w:rsidR="001D6FAE" w:rsidRDefault="001D6FAE" w:rsidP="001D6FAE">
      <w:pPr>
        <w:pStyle w:val="TextoNormal"/>
      </w:pPr>
    </w:p>
    <w:p w:rsidR="001D6FAE" w:rsidRDefault="001D6FAE" w:rsidP="001D6FAE">
      <w:pPr>
        <w:pStyle w:val="TextoNormal"/>
      </w:pPr>
      <w:r w:rsidRPr="001D6FAE">
        <w:rPr>
          <w:rStyle w:val="NumeroAFNegritaCaracter"/>
        </w:rPr>
        <w:t>7</w:t>
      </w:r>
      <w:r>
        <w:t>. La procedencia de estimar el incidente de ejecución que enjuiciamos obliga a determinar el alcance de este pronunciamiento, habida cuenta de que la Ley Orgánica del Tribunal Constitucional perfila con gran amplitud las facultades del Tribunal para “resolver las incidencias de la ejecución” (párrafo primero del art. 92.1) y, en general, adoptar “las medidas de ejecución necesarias para garantizar el cumplimiento efectivo de sus resoluciones” (art. 92.3) y que resulta por ello inexcusable para el Tribunal, ante el que la solicitud de las partes en este punto tiene el valor de una propuesta (art. 92.3 LOTC), ejercer su plena autoridad para determinar el alcance de la estimación de un incidente de esta naturaleza, ponderando los distintos valores constitucionales en juego en la tarea de hacer cumplir sus resoluciones.</w:t>
      </w:r>
    </w:p>
    <w:p w:rsidR="001D6FAE" w:rsidRDefault="001D6FAE" w:rsidP="001D6FAE">
      <w:pPr>
        <w:pStyle w:val="TextoNormal"/>
      </w:pPr>
    </w:p>
    <w:p w:rsidR="001D6FAE" w:rsidRDefault="001D6FAE" w:rsidP="001D6FAE">
      <w:pPr>
        <w:pStyle w:val="TextoNormal"/>
      </w:pPr>
      <w:r>
        <w:t xml:space="preserve">Para el supremo intérprete de la Constitución resulta esencial, proclamando el respeto a la autonomía parlamentaria, admitir, como se ha expuesto </w:t>
      </w:r>
      <w:r w:rsidRPr="001D6FAE">
        <w:rPr>
          <w:i/>
        </w:rPr>
        <w:t>supra</w:t>
      </w:r>
      <w:r>
        <w:t>, que la actividad parlamentaria en el seno de una comisión de estudio puede tener como objeto analizar las distintas alternativas posibles para realizar, con arreglo a la Constitución, las reformas de la misma para satisfacer cualquier pretensión política, como este Tribunal ha tenido también ocasión de precisar con claridad (SSTC 42/2014, FFJJ 3 y 4; y 259/2015, FFJJ 3 y 7). La comisión creada sería susceptible de ser dirigida a este objeto, por lo que el Tribunal no estimaría necesario declarar la nulidad de la resolución. Lo que no resulta constitucionalmente admisible es que la actividad parlamentaria de “análisis” o “estudio”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en los términos ya expuestos. En suma, la actividad de la comisión creada resulta absolutamente inviable si no se entiende condicionada al cumplimiento de las exigencias de la Constitución y, singularmente, de los procedimientos para su reforma y, en general, a los marcos que rigen para la actividad política, los cuales han sido definidos por el Tribunal con continuidad y firmeza en las sentencias que hemos venido citando. Así lo declara el Tribunal, advirtiendo asimismo a los poderes implicados y a sus titulares, bajo su responsabilidad, de su deber de impedir o paralizar cualquier iniciativa que suponga ignorar o eludir estos mandatos.</w:t>
      </w:r>
    </w:p>
    <w:p w:rsidR="001D6FAE" w:rsidRDefault="001D6FAE" w:rsidP="001D6FAE">
      <w:pPr>
        <w:pStyle w:val="TextoNormal"/>
      </w:pPr>
    </w:p>
    <w:p w:rsidR="001D6FAE" w:rsidRDefault="001D6FAE" w:rsidP="001D6FAE">
      <w:pPr>
        <w:pStyle w:val="TextoNormal"/>
      </w:pPr>
      <w:r>
        <w:t>Basta con esta declaración, a juicio del Tribunal, para establecer el alcance de la estimación acordada, evitando con ello que la creación de la comisión sobre la que versa nuestro enjuiciamiento pueda entenderse o utilizarse, so pena de arrostrar las consecuencias que prevé el ordenamiento jurídico, como un intento de sortear o eludir la vinculación de todos los poderes públicos al cumplimiento de lo resuelto por el Tribunal Constitucional (art. 87.1 LOTC).</w:t>
      </w:r>
    </w:p>
    <w:p w:rsidR="001D6FAE" w:rsidRDefault="001D6FAE" w:rsidP="001D6FAE">
      <w:pPr>
        <w:pStyle w:val="TextoNormal"/>
      </w:pPr>
    </w:p>
    <w:p w:rsidR="001D6FAE" w:rsidRDefault="001D6FAE" w:rsidP="001D6FAE">
      <w:pPr>
        <w:pStyle w:val="TextoNormal"/>
      </w:pPr>
      <w:r>
        <w:t>Ha de advertirse finalmente, una vez más, que el contenido de las disposiciones, resoluciones o actos emanados de un poder público, cualquiera que sea, no menoscaba la integridad de las competencias que la Constitución encomienda a este Tribunal, que ejercerá cuando proceda, con prudencia y determinación (ATC 189/2015, de 5 de noviembre, FJ 3). El Tribunal viene abordando, con el máximo respeto a la autonomía parlamentaria, la materia sometida a enjuiciamiento con la mesura que aconsejan las circunstancias, no exenta de la firmeza y determinación que exige la importancia y gravedad de su objeto. Asimismo, ha conocido las conclusiones aprobadas por la comisión parlamentaria de estudio y constata que su contenido contraviene claramente los mandatos a que se viene haciendo referencia, por lo que —en el cumplimiento de las advertencias que considera necesario realizar— los obligados deben tener en cuenta esta apreciación, sin perjuicio de recordar que es a la propia Cámara autonómica a la que corresponde velar porque su actuación se desarrolle en el marco de la Constitución y que todos los poderes públicos están obligados al cumplimiento de lo que el Tribunal Constitucional resuelva (art. 87.1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1. Estimar el incidente de ejecución formulado por el Abogado del Estado en relación con la resolución 5/XI del Parlamento de Cataluña, de 20 de enero de 2016, de creación de comisiones parlamentarias (“Boletín Oficial del Parlamento de Cataluña” núm. 42, de 25 de enero de 2016) con el alcance establecido en el fundamento jurídico 7.</w:t>
      </w:r>
    </w:p>
    <w:p w:rsidR="001D6FAE" w:rsidRDefault="001D6FAE" w:rsidP="001D6FAE">
      <w:pPr>
        <w:pStyle w:val="TextoNormal"/>
      </w:pPr>
    </w:p>
    <w:p w:rsidR="001D6FAE" w:rsidRDefault="001D6FAE" w:rsidP="001D6FAE">
      <w:pPr>
        <w:pStyle w:val="TextoNormal"/>
      </w:pPr>
      <w:r>
        <w:t>2. Advertir a los poderes implicados y a sus titulares, especialmente a la Mesa del Parlamento, bajo su responsabilidad, de su deber de impedir o paralizar cualquier iniciativa que suponga ignorar o eludir los mandatos enunciados.</w:t>
      </w:r>
    </w:p>
    <w:p w:rsidR="001D6FAE" w:rsidRDefault="001D6FAE" w:rsidP="001D6FAE">
      <w:pPr>
        <w:pStyle w:val="TextoNormal"/>
      </w:pPr>
    </w:p>
    <w:p w:rsidR="001D6FAE" w:rsidRDefault="001D6FAE" w:rsidP="001D6FAE">
      <w:pPr>
        <w:pStyle w:val="TextoNormal"/>
      </w:pPr>
      <w:r>
        <w:t>Publíquese este Auto en el “Boletín Oficial del Estado”.</w:t>
      </w:r>
    </w:p>
    <w:p w:rsidR="001D6FAE" w:rsidRDefault="001D6FAE" w:rsidP="001D6FAE">
      <w:pPr>
        <w:pStyle w:val="TextoNormal"/>
      </w:pPr>
    </w:p>
    <w:p w:rsidR="001D6FAE" w:rsidRDefault="001D6FAE" w:rsidP="001D6FAE">
      <w:pPr>
        <w:pStyle w:val="TextoNormal"/>
      </w:pPr>
      <w:r>
        <w:t>Madrid, a diecinueve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6" w:name="AUTO_2016_142"/>
      <w:r>
        <w:t>AUTO 142/2016, de 19 de julio de 2016</w:t>
      </w:r>
    </w:p>
    <w:bookmarkEnd w:id="116"/>
    <w:p w:rsidR="001D6FAE" w:rsidRDefault="001D6FAE" w:rsidP="001D6FAE">
      <w:pPr>
        <w:pStyle w:val="TtuloResolucin"/>
      </w:pPr>
      <w:r>
        <w:t>Pleno</w:t>
      </w:r>
    </w:p>
    <w:p w:rsidR="001D6FAE" w:rsidRDefault="001D6FAE" w:rsidP="001D6FAE">
      <w:pPr>
        <w:pStyle w:val="TextoNormalCentrado"/>
      </w:pPr>
      <w:r>
        <w:t>ECLI:ES:TC:2016:142A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6966-2015, planteada por el Tribunal Superior de Justicia de Madrid en relación con el artículo 174.3, párrafo cuarto de la Ley general de la Seguridad Social.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registrado en este Tribunal el 7 de diciembre de 2015, la Sección Segunda de la Sala de lo Social del Tribunal Superior de Justicia de Madrid, remitió testimonio del Auto de 24 de noviembre de 2015 por el que se acordó plantear cuestión de inconstitucionalidad en relación con “el párrafo cuarto del art. 174 de la de la Ley General de la Seguridad Social [</w:t>
      </w:r>
      <w:r w:rsidRPr="001D6FAE">
        <w:rPr>
          <w:i/>
        </w:rPr>
        <w:t>sic</w:t>
      </w:r>
      <w:r>
        <w:t>] por ser la exigencia de la inscripción en alguno de los registros específicos existentes en las comunidades autónomas o ayuntamientos del lugar de residencia o mediante documento público en el que conste la constitución de dicha pareja limitativa de los medios de prueba para acreditar la existencia de una pareja de hecho”. Según se expone en el Auto de planteamiento la referida exigencia es contraria a los arts. 24 y 14 CE. Se acompaña también testimonio de las actuaciones.</w:t>
      </w:r>
    </w:p>
    <w:p w:rsidR="001D6FAE" w:rsidRDefault="001D6FAE" w:rsidP="001D6FAE">
      <w:pPr>
        <w:pStyle w:val="TextoNormal"/>
      </w:pPr>
    </w:p>
    <w:p w:rsidR="001D6FAE" w:rsidRDefault="001D6FAE" w:rsidP="001D6FAE">
      <w:pPr>
        <w:pStyle w:val="TextoNormal"/>
      </w:pPr>
      <w:r>
        <w:t>Debe advertirse que aunque el órgano judicial afirma interponer cuestión de inconstitucionalidad en relación con el art. 174, párrafo 4 de la Ley general de la Seguridad Social (LGSS), el precepto que se cuestiona, como se desprende del contenido del Auto de planteamiento, es el 174.3, párrafo 4 LGSS. Este precepto establece:</w:t>
      </w:r>
    </w:p>
    <w:p w:rsidR="001D6FAE" w:rsidRDefault="001D6FAE" w:rsidP="001D6FAE">
      <w:pPr>
        <w:pStyle w:val="TextoNormal"/>
      </w:pPr>
    </w:p>
    <w:p w:rsidR="001D6FAE" w:rsidRDefault="001D6FAE" w:rsidP="001D6FAE">
      <w:pPr>
        <w:pStyle w:val="TextoNormal"/>
      </w:pPr>
      <w:r>
        <w:t>“A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de los que trae causa la cuestión de inconstitucionalidad planteada son, en síntesis, los siguientes:</w:t>
      </w:r>
    </w:p>
    <w:p w:rsidR="001D6FAE" w:rsidRDefault="001D6FAE" w:rsidP="001D6FAE">
      <w:pPr>
        <w:pStyle w:val="TextoNormal"/>
      </w:pPr>
    </w:p>
    <w:p w:rsidR="001D6FAE" w:rsidRDefault="001D6FAE" w:rsidP="001D6FAE">
      <w:pPr>
        <w:pStyle w:val="TextoNormal"/>
      </w:pPr>
      <w:r>
        <w:t>a) La actora en el proceso judicial del que trae causa esta cuestión interpuso demanda contra el Instituto Nacional de la Seguridad Social por haberle denegado la pensión de viudedad. El referido Instituto le denegó la pensión al considerar que su relación con el fallecido no era “ninguna de las que puede dar lugar a un pensión de viudedad, de acuerdo con el art. 174.4 LGSS”.</w:t>
      </w:r>
    </w:p>
    <w:p w:rsidR="001D6FAE" w:rsidRDefault="001D6FAE" w:rsidP="001D6FAE">
      <w:pPr>
        <w:pStyle w:val="TextoNormal"/>
      </w:pPr>
    </w:p>
    <w:p w:rsidR="001D6FAE" w:rsidRDefault="001D6FAE" w:rsidP="001D6FAE">
      <w:pPr>
        <w:pStyle w:val="TextoNormal"/>
      </w:pPr>
      <w:r>
        <w:t>Contra la resolución denegatoria la interesada interpuso reclamación previa a la vía judicial, que también fue desestimada.</w:t>
      </w:r>
    </w:p>
    <w:p w:rsidR="001D6FAE" w:rsidRDefault="001D6FAE" w:rsidP="001D6FAE">
      <w:pPr>
        <w:pStyle w:val="TextoNormal"/>
      </w:pPr>
    </w:p>
    <w:p w:rsidR="001D6FAE" w:rsidRDefault="001D6FAE" w:rsidP="001D6FAE">
      <w:pPr>
        <w:pStyle w:val="TextoNormal"/>
      </w:pPr>
      <w:r>
        <w:t>b) La interesada impugnó estas resoluciones ante la jurisdicción social. Correspondió conocer de la demanda formulada al Juzgado de lo Social núm. 27 de Madrid (autos núm. 214-2014). Este órgano judicial dictó Sentencia el 5 de marzo de 2015 desestimando la demanda. En esta Sentencia se consideró probado que la demandante había convivido “de forma ininterrumpida maritalmente sin vínculo matrimonial” con el fallecido desde el día 1 de enero de 1996 hasta el 30 de agosto de 2013, que fue cuando falleció. También se considera probado que la pareja no figuraba inscrita en el Registro de uniones de hecho. El Juzgado de lo Social confirmó las resoluciones impugnadas al apreciar que no se cumplían los requisitos establecidos en el art. 174.3 LGSS para poder ser beneficiario de la pensión solicitada al no constar inscrita la pareja de hecho en los registros específicos establecidos en la Comunidad Autónoma o en el ayuntamiento ni constar tampoco en un documento público que constituía pareja de hecho con el fallecido.</w:t>
      </w:r>
    </w:p>
    <w:p w:rsidR="001D6FAE" w:rsidRDefault="001D6FAE" w:rsidP="001D6FAE">
      <w:pPr>
        <w:pStyle w:val="TextoNormal"/>
      </w:pPr>
    </w:p>
    <w:p w:rsidR="001D6FAE" w:rsidRDefault="001D6FAE" w:rsidP="001D6FAE">
      <w:pPr>
        <w:pStyle w:val="TextoNormal"/>
      </w:pPr>
      <w:r>
        <w:t>c) Contra esta Sentencia se interpuso recurso de suplicación, sustanciado con el núm. 488-2015, ante la Sección Segunda de la Sala de lo Social del Tribunal Superior de Justicia de Madrid. Tras nombrarse Magistrada Ponente, se puso a su disposición los autos para su conocimiento y estudio y se señaló el 30 de julio de 2015 para los actos de votación y fallo.</w:t>
      </w:r>
    </w:p>
    <w:p w:rsidR="001D6FAE" w:rsidRDefault="001D6FAE" w:rsidP="001D6FAE">
      <w:pPr>
        <w:pStyle w:val="TextoNormal"/>
      </w:pPr>
    </w:p>
    <w:p w:rsidR="001D6FAE" w:rsidRDefault="001D6FAE" w:rsidP="001D6FAE">
      <w:pPr>
        <w:pStyle w:val="TextoNormal"/>
      </w:pPr>
      <w:r>
        <w:t>d) El 9 de septiembre de 2015 se dictó providencia por la que se acordó dar audiencia a las partes y al Ministerio Fiscal y otorgarles un plazo común de diez días para que alegaren lo que estimaren conveniente sobre el planteamiento de la cuestión de inconstitucionalidad en relación con “el párrafo cuarto del art. 174 LGSS” (</w:t>
      </w:r>
      <w:r w:rsidRPr="001D6FAE">
        <w:rPr>
          <w:i/>
        </w:rPr>
        <w:t>sic</w:t>
      </w:r>
      <w:r>
        <w:t>). En el texto de la providencia se reprodujo el párrafo cuarto del art. 174.3 LGSS y el órgano judicial manifestó sus dudas sobre la compatibilidad del referido precepto legal con el art. 24 CE “en tanto limita los medios de prueba para acreditar la existencia de una pareja de hecho y en consecuencia el derecho a un proceso con todas las garantías y a utilizar los medios de prueba pertinentes para la defensa de los derechos e intereses legítimos, limitación esta última que puede colocar a la parte en una verdadera situación de indefensión”. También se afirma en la providencia que el fallo depende de la aplicación de esta norma.</w:t>
      </w:r>
    </w:p>
    <w:p w:rsidR="001D6FAE" w:rsidRDefault="001D6FAE" w:rsidP="001D6FAE">
      <w:pPr>
        <w:pStyle w:val="TextoNormal"/>
      </w:pPr>
    </w:p>
    <w:p w:rsidR="001D6FAE" w:rsidRDefault="001D6FAE" w:rsidP="001D6FAE">
      <w:pPr>
        <w:pStyle w:val="TextoNormal"/>
      </w:pPr>
      <w:r>
        <w:t>e) El Fiscal formuló alegaciones oponiéndose al planteamiento de la cuestión de inconstitucionalidad al considerar que el órgano judicial no había justificado en qué medida la decisión del proceso depende de la validez de la norma respecto de la que se quiere plantear cuestión de inconstitucionalidad. El Ministerio Fiscal sostuvo que esta exigencia debe cumplirse no solo en el Auto por el que finalmente se plantea la cuestión de inconstitucionalidad, sino también en la providencia por la que se da audiencia a las partes antes de, en su caso, plantear la cuestión. Las otras partes procesales no efectuaron alegaciones.</w:t>
      </w:r>
    </w:p>
    <w:p w:rsidR="001D6FAE" w:rsidRDefault="001D6FAE" w:rsidP="001D6FAE">
      <w:pPr>
        <w:pStyle w:val="TextoNormal"/>
      </w:pPr>
    </w:p>
    <w:p w:rsidR="001D6FAE" w:rsidRDefault="001D6FAE" w:rsidP="001D6FAE">
      <w:pPr>
        <w:pStyle w:val="TextoNormal"/>
      </w:pPr>
      <w:r>
        <w:t>f) Por Auto de 24 de noviembre de 2015, la Sección Segunda de la Sala de lo Social del Tribunal Superior de Justicia de Madrid se acordó plantear cuestión de inconstitucionalidad en relación con “el párrafo cuarto del art. 174 de la Ley General de la Seguridad Social [</w:t>
      </w:r>
      <w:r w:rsidRPr="001D6FAE">
        <w:rPr>
          <w:i/>
        </w:rPr>
        <w:t>sic</w:t>
      </w:r>
      <w:r>
        <w:t>] por ser la exigencia de la inscripción en alguno de los registros específicos existentes en las comunidades autónomas o ayuntamientos del lugar de residencia o mediante documento público en el que conste la constitución de dicha pareja limitativa de los medios de prueba para acreditar la existencia de una pareja de hecho” contraria a los arts. 24 y 14 CE.</w:t>
      </w:r>
    </w:p>
    <w:p w:rsidR="001D6FAE" w:rsidRDefault="001D6FAE" w:rsidP="001D6FAE">
      <w:pPr>
        <w:pStyle w:val="TextoNormal"/>
      </w:pPr>
    </w:p>
    <w:p w:rsidR="001D6FAE" w:rsidRDefault="001D6FAE" w:rsidP="001D6FAE">
      <w:pPr>
        <w:pStyle w:val="TextoNormal"/>
      </w:pPr>
      <w:r>
        <w:t>Como se ha señalado anteriormente, aunque en el auto de planteamiento se afirme que el precepto respecto del que se plantea la cuestión es el párrafo 4 del art. 174 LGSS, el precepto cuestionado es, en realidad, el 174.3, párrafo 4 LGSS, tal y como se desprende del contenido de esta resolución.</w:t>
      </w:r>
    </w:p>
    <w:p w:rsidR="001D6FAE" w:rsidRDefault="001D6FAE" w:rsidP="001D6FAE">
      <w:pPr>
        <w:pStyle w:val="TextoNormal"/>
      </w:pPr>
    </w:p>
    <w:p w:rsidR="001D6FAE" w:rsidRDefault="001D6FAE" w:rsidP="001D6FAE">
      <w:pPr>
        <w:pStyle w:val="TextoNormal"/>
      </w:pPr>
      <w:r w:rsidRPr="001D6FAE">
        <w:rPr>
          <w:rStyle w:val="NumeroAFNegritaCaracter"/>
        </w:rPr>
        <w:t>3</w:t>
      </w:r>
      <w:r>
        <w:t>. En el Auto de planteamiento se expone, en primer lugar, los hechos de los que trae causa el proceso, se explica el objeto del mismo —que se declare el derecho de la actora a percibir pensión de viudedad por el fallecimiento de quien fue su pareja de hecho— y los razonamientos por los que la sentencia de instancia desestimó la demanda —no constar inscrita la pareja de hecho en ningún de los registros específicos establecidos al efecto en la Comunidad Autónoma o en el ayuntamiento ni constar la constitución como pareja de hecho en un registro público— . Se afirma también que la norma cuestionada —el art. 174.3, párrafo cuarto LGSS— es la norma aplicable al caso y de cuya validez depende el fallo, pues fue la aplicación de esta norma lo que determinó la denegación de la pensión solicitada, al no considerar acreditada la existencia de la unión de hecho.</w:t>
      </w:r>
    </w:p>
    <w:p w:rsidR="001D6FAE" w:rsidRDefault="001D6FAE" w:rsidP="001D6FAE">
      <w:pPr>
        <w:pStyle w:val="TextoNormal"/>
      </w:pPr>
    </w:p>
    <w:p w:rsidR="001D6FAE" w:rsidRDefault="001D6FAE" w:rsidP="001D6FAE">
      <w:pPr>
        <w:pStyle w:val="TextoNormal"/>
      </w:pPr>
      <w:r>
        <w:t>Junto a ello el Auto de planteamiento efectúa una serie de consideraciones sobre el art. 174.3 LGSS (aunque, por error, se refiere al 174.4 LGSS). Se alude a las razones que llevaron a su aprobación y a las modificaciones de las que ha sido objeto. También se hace referencia a la STC 41/2013, que declaró inconstitucional y nula el apartado “c) Que el causante y el beneficiario hubieran tenido hijos comunes”, de la disposición adicional tercera de la Ley 40/2007, de 4 de diciembre. Entiende la Sala que de esta Sentencia se deduce que la certificación de las inscripción en alguno de los registros de parejas de hecho específicos existentes en las Comunidades Autónomas o en los ayuntamientos o mediante documento público en el que conste la constitución de dicha pareja, no puede ser un requisito constitutivo de la pareja de hecho, sino un mero medio de prueba. También se cita la STC 40/2014 que declaró inconstitucional el último párrafo del art. 174.3 LGSS y la STC 60/2014.</w:t>
      </w:r>
    </w:p>
    <w:p w:rsidR="001D6FAE" w:rsidRDefault="001D6FAE" w:rsidP="001D6FAE">
      <w:pPr>
        <w:pStyle w:val="TextoNormal"/>
      </w:pPr>
    </w:p>
    <w:p w:rsidR="001D6FAE" w:rsidRDefault="001D6FAE" w:rsidP="001D6FAE">
      <w:pPr>
        <w:pStyle w:val="TextoNormal"/>
      </w:pPr>
      <w:r>
        <w:t>En el Auto de planteamiento se afirma que la doctrina del Tribunal Supremo en la que se sostiene que el art. 174.3 LGSS no permite acreditar por cualquier medio de prueba la existencia de la pareja de hecho es contraria al derecho a la tutela judicial. Tal consideración le lleva a entender también que la norma cuestionada podría ser contraria al derecho a utilizar los medios de prueba pertinentes para la defensa que garantiza el art. 24 CE. Se invoca la doctrina establecida en las SSTC 141/1988, de 12 de julio, y 199/2004. Según se alega, el precepto cuestionado, al exigir que la existencia de la pareja de hecho tenga que acreditarse mediante certificación de la inscripción en alguno de los registros específicos existentes en las Comunidades Autónomas o ayuntamientos del lugar de residencia o mediante documento público en el que conste la constitución de dicha pareja, lesiona el referido derecho fundamental, ya que impide la acreditación de la existencia de la unión de hecho por otros medios de prueba. Se afirma, además, que la inscripción en un registro o la existencia de un documento público en el que conste la constitución de la pareja de hecho no solo no impide que pueda haber fraude, sino que, además, puede propiciarlo. También se alega que la convivencia en común durante largos años deja huellas indelebles y es la prueba de estas huellas lo que acredita la existencia de la pareja, no una mera manifestación ante un funcionario público.</w:t>
      </w:r>
    </w:p>
    <w:p w:rsidR="001D6FAE" w:rsidRDefault="001D6FAE" w:rsidP="001D6FAE">
      <w:pPr>
        <w:pStyle w:val="TextoNormal"/>
      </w:pPr>
    </w:p>
    <w:p w:rsidR="001D6FAE" w:rsidRDefault="001D6FAE" w:rsidP="001D6FAE">
      <w:pPr>
        <w:pStyle w:val="TextoNormal"/>
      </w:pPr>
      <w:r>
        <w:t>Por otra parte se sostiene que el precepto cuestionado puede ser contrario al art. 14 CE, pues, según se afirma, puede de conllevar una discriminación indirecta por razón de género, ya que, de acuerdo con los datos que constan en el anuario de estadística del Ministerio de Empleo y Seguridad Social de 31 de diciembre de 2014), la mayoría de los perceptores de la pensión de viudedad (el 92,73 por 100) son mujeres. En el Auto se cita la STC 40/2007, de 15 de febrero, invocando la doctrina de este Tribunal sobre discriminación indirecta.</w:t>
      </w:r>
    </w:p>
    <w:p w:rsidR="001D6FAE" w:rsidRDefault="001D6FAE" w:rsidP="001D6FAE">
      <w:pPr>
        <w:pStyle w:val="TextoNormal"/>
      </w:pPr>
    </w:p>
    <w:p w:rsidR="001D6FAE" w:rsidRDefault="001D6FAE" w:rsidP="001D6FAE">
      <w:pPr>
        <w:pStyle w:val="TextoNormal"/>
      </w:pPr>
      <w:r>
        <w:t>En virtud de estas consideraciones la Sección Segunda de la Sala de lo Social del Tribunal Superior de Justicia acuerda plantear cuestión de inconstitucionalidad a este Tribunal en relación con el párrafo cuarto del art. 174.3 LGSS, aunque, como se ha advertido, por error se refiere al “párrafo 4 del art. 174 de la Ley General de Seguridad Social”.</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de12 de abril de 2016, la Sección Primera de este Tribunal, a los efectos que determina el art. 37.1 de la Ley Orgánica del Tribunal Constitucional (LOTC), acordó oír al Fiscal General del Estado para que, en el plazo de diez días, alegase lo que considerara conveniente acerca de la admisibilidad de la presente cuestión de inconstitucionalidad, en relación con el cumplimiento de los requisitos procesales y por si fuere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evacuó el trámite conferido mediante escrito registrado en este Tribunal el 29 de abril de 2016. Tras exponer los antecedentes de los que trae causa la presente cuestión, alega, en primer lugar, que el órgano judicial solo dio audiencia a las partes y al Ministerio Fiscal sobre la pertinencia de plantear cuestión de inconstitucionalidad en relación el motivo por el que se aduce que la norma cuestionada podría vulnerar el art. 24 CE al limitar los medios de prueba que permiten acreditar la existencia de la pareja de hecho (providencia de 9 de septiembre de 2015), pero no puso en su conocimiento en dicho trámite que, a su juicio, podía ser también contraria al principio de igualdad por incurrir en una discriminación indirecta por razón de sexo, que es la otra duda de constitucionalidad que formula el órgano judicial en el auto de planteamiento. Por ello entiende que esta segunda duda de constitucionalidad no puede ser objeto de examen por este Tribunal. Se invoca la doctrina constitucional establecida en la STC 73/2000, FJ 2, y en los AATC 85/2011, FJ 2, y 194/2015, FJ 4. No obstante, de forma subsidiaria, alega también que tal duda es manifiestamente infundada, pues considera que tal vulneración no puede fundamentarse en que la unión de hecho pudo no haberse registrado porque el varón impuso esta decisión a la mujer, como sostiene la Sala que plantea la cuestión, pues tal consideración, además de desconocer la esencia de la discriminación indirecta por razón de sexo, no deja de ser una hipótesis que no tiene consistencia para tildar a la norma que regula esta cuestión de inconstitucional.</w:t>
      </w:r>
    </w:p>
    <w:p w:rsidR="001D6FAE" w:rsidRDefault="001D6FAE" w:rsidP="001D6FAE">
      <w:pPr>
        <w:pStyle w:val="TextoNormal"/>
      </w:pPr>
    </w:p>
    <w:p w:rsidR="001D6FAE" w:rsidRDefault="001D6FAE" w:rsidP="001D6FAE">
      <w:pPr>
        <w:pStyle w:val="TextoNormal"/>
      </w:pPr>
      <w:r>
        <w:t xml:space="preserve">En relación con la posible inconstitucionalidad de la norma cuestionada por impedir que pueda acreditarse la existencia de la pareja de hecho por medios distintos de los que establece ese precepto y vulnerar por este motivo el derecho los medios prueba que consagra el art. 24 CE, la Fiscal General considera que esta duda debe rechazarse por ser notoriamente infundada. En su opinión, “[f]rente a lo sostenido en el auto de planteamiento, la inscripción registral de que se trata, o la elevación a escritura pública, son requisitos formales o </w:t>
      </w:r>
      <w:r w:rsidRPr="001D6FAE">
        <w:rPr>
          <w:i/>
        </w:rPr>
        <w:t>ad solemnitatem</w:t>
      </w:r>
      <w:r>
        <w:t>, que en conjunción con otra serie de requisitos materiales son exigidos por el legislador para que los supérstites de ciertas parejas de hecho puedan obtener la pensión de viudedad”. En su opinión, son los convivientes los que libremente han de decidir si formalizan o no su unión, del mismo modo que pueden decidir si contraen o no matrimonio.</w:t>
      </w:r>
    </w:p>
    <w:p w:rsidR="001D6FAE" w:rsidRDefault="001D6FAE" w:rsidP="001D6FAE">
      <w:pPr>
        <w:pStyle w:val="TextoNormal"/>
      </w:pPr>
    </w:p>
    <w:p w:rsidR="001D6FAE" w:rsidRDefault="001D6FAE" w:rsidP="001D6FAE">
      <w:pPr>
        <w:pStyle w:val="TextoNormal"/>
      </w:pPr>
      <w:r>
        <w:t>Por todo ello, la Fiscal General del Estado solicita que se dicte Auto inadmitiendo la presente cuestión de inconstitucionalidad.</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Conforme a lo dispuesto en el art. 37.1 de la Ley Orgánica del Tribunal Constitucional (LOTC), el Tribunal puede rechazar en trámite de admisión y mediante Auto y sin otra audiencia que la del Fiscal General del Estado, aquellas cuestiones de inconstitucionalidad que no cumplan los requisitos procesales o que fueran notoriamente infundadas. Como ha sostenido el Tribunal en reiteradas ocasiones,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y 189/2009, de 23 de junio, FJ 2, entre otras muchas resoluciones).</w:t>
      </w:r>
    </w:p>
    <w:p w:rsidR="001D6FAE" w:rsidRDefault="001D6FAE" w:rsidP="001D6FAE">
      <w:pPr>
        <w:pStyle w:val="TextoNormal"/>
      </w:pPr>
    </w:p>
    <w:p w:rsidR="001D6FAE" w:rsidRDefault="001D6FAE" w:rsidP="001D6FAE">
      <w:pPr>
        <w:pStyle w:val="TextoNormal"/>
      </w:pPr>
      <w:r w:rsidRPr="001D6FAE">
        <w:rPr>
          <w:rStyle w:val="NumeroAFNegritaCaracter"/>
        </w:rPr>
        <w:t>2</w:t>
      </w:r>
      <w:r>
        <w:t>. En el presente caso, como ha puesto de manifiesto la Fiscal General del Estado, el órgano judicial no ha dado audiencia a las partes ni al Ministerio Fiscal en relación con una de las dudas de constitucionalidad formuladas en el Auto de planteamiento de la cuestión, la que plantea si el precepto cuestionado podría incurrir en una vulneración del principio de igualdad por incurrir en una discriminación indirecta por razón de sexo. En efecto, en la providencia por la que se otorgó este trámite no se hace mención a este posible motivo de inconstitucionalidad de la norma, ni de la argumentación de la referida resolución puede deducirse que se impute a la norma cuestionada esta infracción constitucional. Debe indicarse también que ninguna de las partes ni el Ministerio Fiscal, en el trámite de alegaciones conferido, ha aducido que el precepto cuestionado pudiera incurrir también en esta infracción constitucional.</w:t>
      </w:r>
    </w:p>
    <w:p w:rsidR="001D6FAE" w:rsidRDefault="001D6FAE" w:rsidP="001D6FAE">
      <w:pPr>
        <w:pStyle w:val="TextoNormal"/>
      </w:pPr>
    </w:p>
    <w:p w:rsidR="001D6FAE" w:rsidRDefault="001D6FAE" w:rsidP="001D6FAE">
      <w:pPr>
        <w:pStyle w:val="TextoNormal"/>
      </w:pPr>
      <w:r>
        <w:t>De acuerdo con la doctrina del Tribunal (entre otras muchas, STC 60/2010, de 7 de octubre, FJ 2) el trámite de audiencia previsto en el art. 35.2 LOTC “sirve a dos finalidades esenciales: de un lado, ‘poner a disposición del Juez un medio que le permita conocer la opinión de los sujetos interesados con el fin de facilitar su reflexión sobre la conveniencia o no de proceder a la apertura’ de este proceso constitucional, ‘y, de otro, facilitar el examen por parte de este Tribunal acerca de la viabilidad de la cuestión misma y el alcance del problema constitucional en ella planteado’” (STC 139/2008, de 28 de octubre, FJ 4). Por este motivo no cabe que el Auto de planteamiento de la cuestión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[SSTC 166/2007, de 4 de julio, FJ 6; 50/2015, de 5 de marzo, FJ 2 b), y 95/2015, de 14 de mayo, FJ 2 b].</w:t>
      </w:r>
    </w:p>
    <w:p w:rsidR="001D6FAE" w:rsidRDefault="001D6FAE" w:rsidP="001D6FAE">
      <w:pPr>
        <w:pStyle w:val="TextoNormal"/>
      </w:pPr>
    </w:p>
    <w:p w:rsidR="001D6FAE" w:rsidRDefault="001D6FAE" w:rsidP="001D6FAE">
      <w:pPr>
        <w:pStyle w:val="TextoNormal"/>
      </w:pPr>
      <w:r>
        <w:t>La aplicación de esta doctrina al presente caso conlleva, como se ha adelantado, que no procede entrar a examinar la duda de constitucionalidad por la que se plantea que el precepto cuestionado podría vulnerar el principio de igualdad por incurrir en una discriminación por razón de sexo, ya que en relación con esta concreta vulneración no puede considerarse cumplido el trámite de audiencia que establece en el art. 35.2 LOTC, pues ni el órgano judicial puso de manifiesto a las partes ni al Ministerio Fiscal que la norma cuestionada pudiera incurrir en esta infracción constitucional ni esta supuesta infracción constitucional fue invocada por el Fiscal o las partes en el referido trámite; supuesto este último en el que este Tribunal ha considerado justificada la inclusión en el Auto de planteamiento de motivos de inconstitucionalidad que no habían sido incluidos en la providencia por la que se dio trámite de audiencia a las partes y al Ministerio Fiscal (SSTC 67/1985, de 24 de mayo, FJ 1, y 84/1993, de 8 de marzo, FJ 1, y ATC 875/1985, de 5 de diciembre, FJ 1).</w:t>
      </w:r>
    </w:p>
    <w:p w:rsidR="001D6FAE" w:rsidRDefault="001D6FAE" w:rsidP="001D6FAE">
      <w:pPr>
        <w:pStyle w:val="TextoNormal"/>
      </w:pPr>
    </w:p>
    <w:p w:rsidR="001D6FAE" w:rsidRDefault="001D6FAE" w:rsidP="001D6FAE">
      <w:pPr>
        <w:pStyle w:val="TextoNormal"/>
      </w:pPr>
      <w:r w:rsidRPr="001D6FAE">
        <w:rPr>
          <w:rStyle w:val="NumeroAFNegritaCaracter"/>
        </w:rPr>
        <w:t>3</w:t>
      </w:r>
      <w:r>
        <w:t>. El otro motivo en el que el órgano judicial fundamenta el planteamiento de la cuestión de inconstitucionalidad en relación con el apartado cuarto del art. 174.3 LGSS es, como se ha indicado en los antecedentes, que este precepto, al exigir que la acreditación de la existencia de la pareja de hecho deba efectuarse mediante certificación de la inscripción en alguno de los registros específicos existentes en las Comunidades Autónomas o ayuntamientos del lugar de residencia o mediante documento público en el que conste su constitución, está limitando los medios de prueba que permiten acreditar la existencia de la pareja de hecho y por este motivo está vulnerando el art. 24 CE. En consecuencia, la duda de constitucionalidad que formula el órgano judicial no se refiere en su integridad a todo el párrafo cuarto del art. 174.3 LGSS, sino únicamente al inciso en el que se contiene la referida exigencia.</w:t>
      </w:r>
    </w:p>
    <w:p w:rsidR="001D6FAE" w:rsidRDefault="001D6FAE" w:rsidP="001D6FAE">
      <w:pPr>
        <w:pStyle w:val="TextoNormal"/>
      </w:pPr>
    </w:p>
    <w:p w:rsidR="001D6FAE" w:rsidRDefault="001D6FAE" w:rsidP="001D6FAE">
      <w:pPr>
        <w:pStyle w:val="TextoNormal"/>
      </w:pPr>
      <w:r>
        <w:t>La Fiscal General del Estado considera que esta duda de constitucionalidad es notoriamente infundada. El concepto de cuestión notoriamente infundada, como ha afirmado reiteradamente el Tribunal,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(AATC 37/2015, de 17 de febrero, FJ 2; 112/2015, de 23 de junio, FJ 2, y 55/2016, de 1 de marzo de 2016, entre otros muchos).</w:t>
      </w:r>
    </w:p>
    <w:p w:rsidR="001D6FAE" w:rsidRDefault="001D6FAE" w:rsidP="001D6FAE">
      <w:pPr>
        <w:pStyle w:val="TextoNormal"/>
      </w:pPr>
    </w:p>
    <w:p w:rsidR="001D6FAE" w:rsidRDefault="001D6FAE" w:rsidP="001D6FAE">
      <w:pPr>
        <w:pStyle w:val="TextoNormal"/>
      </w:pPr>
      <w:r>
        <w:t>En el presente caso, por las razones que se van a exponer a continuación, puede apreciarse ya en este trámite liminar que, como sostiene la Fiscal General del Estado, la cuestión planteada es notoriamente infundada.</w:t>
      </w:r>
    </w:p>
    <w:p w:rsidR="001D6FAE" w:rsidRDefault="001D6FAE" w:rsidP="001D6FAE">
      <w:pPr>
        <w:pStyle w:val="TextoNormal"/>
      </w:pPr>
    </w:p>
    <w:p w:rsidR="001D6FAE" w:rsidRDefault="001D6FAE" w:rsidP="001D6FAE">
      <w:pPr>
        <w:pStyle w:val="TextoNormal"/>
      </w:pPr>
      <w:r>
        <w:t>El Tribunal, en las SSTC 51/2014, de 7 de abril, FJ 3, y 60/2014, de 5 de mayo, FJ 3, ha declarado que en el párrafo cuarto del indicado del art. 174.3 LGSS, el legislador ha establecido las condiciones que han de cumplir las parejas de hecho para tener tal consideración a efectos de la regulación contenida en el referido apartado. Así ha considerado que este precepto, al disponer que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exigir, además, que la existencia de pareja de hecho se acredite “mediante certificación de la inscripción en alguno de los registros específicos existentes en las comunidades autónomas o ayuntamientos del lugar de residencia o mediante documento público en el que conste la constitución de dicha pareja” y requerir también que tanto la mencionada inscripción como la formalización del correspondiente documento público se hayan producido con una antelación mínima de dos años con respecto a la fecha del fallecimiento del causante, está estableciendo los requisitos que han de cumplirse para poder tener la consideración de pareja de hecho a los efectos previstos en esta norma (esto es, para que quienes han constituido una pareja de hecho puedan ser beneficiarios de una pensión de viudedad). Por ello este Tribunal, en las citadas SSTC 51/2014, de 7 de abril, FJ 3, y 60/2014, de 5 de mayo, FJ 3 consideró “que a los efectos de la Ley, no son parejas estables que queden amparadas por su regulación las que no reúnan todos esos precisos requisitos”.</w:t>
      </w:r>
    </w:p>
    <w:p w:rsidR="001D6FAE" w:rsidRDefault="001D6FAE" w:rsidP="001D6FAE">
      <w:pPr>
        <w:pStyle w:val="TextoNormal"/>
      </w:pPr>
    </w:p>
    <w:p w:rsidR="001D6FAE" w:rsidRDefault="001D6FAE" w:rsidP="001D6FAE">
      <w:pPr>
        <w:pStyle w:val="TextoNormal"/>
      </w:pPr>
      <w:r>
        <w:t xml:space="preserve">Por lo que se refiere a la exigencia que contiene el art. 174.3, párrafo 4 LGSS, que ahora se cuestiona, en la que se establece que la existencia de la pareja de hecho habrá de acreditarse bien mediante certificación de la inscripción en alguno de los registros específicos existentes en las Comunidades Autónomas o ayuntamientos del lugar de residencia o bien mediante documento público en el que conste la constitución de dicha pareja, el Tribunal ha considerado que este requisito “obedece al objetivo legítimo de proporcionar seguridad jurídica en el reconocimiento de pensiones y de coordinar internamente el sistema prestacional de la Seguridad Social”. (SSTC 51/2014, de 7 de abril, FJ 3, y 60/2014, de 5 de mayo, FJ 3). Por esta razón ha sostenido que “[l]a constitución formal, </w:t>
      </w:r>
      <w:r w:rsidRPr="001D6FAE">
        <w:rPr>
          <w:i/>
        </w:rPr>
        <w:t>ad solemnitatem</w:t>
      </w:r>
      <w:r>
        <w:t>, de la pareja de hecho exigida en el párrafo cuarto del art. 174.3 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Además, esa exigencia formal favorece la seguridad jurídica y evita el fraude en la reclamación de pensiones de viudedad” (SSTC 51/2014, de 7 de abril, FJ 3; y 60/2014, de 5 de mayo, FJ 3).</w:t>
      </w:r>
    </w:p>
    <w:p w:rsidR="001D6FAE" w:rsidRDefault="001D6FAE" w:rsidP="001D6FAE">
      <w:pPr>
        <w:pStyle w:val="TextoNormal"/>
      </w:pPr>
    </w:p>
    <w:p w:rsidR="001D6FAE" w:rsidRDefault="001D6FAE" w:rsidP="001D6FAE">
      <w:pPr>
        <w:pStyle w:val="TextoNormal"/>
      </w:pPr>
      <w:r>
        <w:t>Resulta, por tanto, que el párrafo cuarto del art. 174.3 LGSS, está determinando los requisitos que deben cumplirse para que una pareja pueda tener la consideración de pareja de hecho a efectos de que el supérstite pueda tener derecho a la pensión de viudedad. Por ello, el legislador, al exigir la certificación de la inscripción como pareja de hecho en alguno de los registros específicos existentes en las Comunidades Autónomas o ayuntamientos del lugar de residencia o un documento público en el que conste su constitución, está determinando los requisitos de forma que deben cumplirse para poder tener la consideración de pareja de hecho a efectos de poder ser beneficiario de la pensión de viudedad que esta norma regula; pensión que no se reconoce a quien haya convivido de forma estable con el fallecido, sino a quien haya formalizado esa convivencia del modo previsto en la ley y, además, cumpla el resto de los requisitos exigidos para tener derecho a esta prestación. El concepto de “pareja de hecho” al que alude el inciso cuestionado del párrafo cuarto del art. 174.3 LGSS, a pesar de su denominación, no hace referencia a una situación fáctica que deba ser acreditada, sino que es un concepto jurídico que define la propia norma estableciendo los requisitos o exigencias que han de cumplirse para poder tener esa consideración y entre ellos se encuentran las exigencias formales que ahora se cuestionan: que la pareja de hecho hubiera sido inscrita en alguno de los registros específicos existentes en las Comunidades Autónomas o en los ayuntamientos o que constare su constitución en un documento público.</w:t>
      </w:r>
    </w:p>
    <w:p w:rsidR="001D6FAE" w:rsidRDefault="001D6FAE" w:rsidP="001D6FAE">
      <w:pPr>
        <w:pStyle w:val="TextoNormal"/>
      </w:pPr>
    </w:p>
    <w:p w:rsidR="001D6FAE" w:rsidRDefault="001D6FAE" w:rsidP="001D6FAE">
      <w:pPr>
        <w:pStyle w:val="TextoNormal"/>
      </w:pPr>
      <w:r>
        <w:t>De ahí que, en este caso, la Ley al establecer que solo puede acreditarse la existencia de la pareja de hecho a través de los medios que en ella se establece, no está incidiendo en el ámbito garantizado por el art. 24 CE, pues a través de tales exigencias no está limitando los medios de prueba en un proceso, sino, como acaba de indicarse, estableciendo los requisitos que ha de cumplirse para tener la consideración de pareja de hecho a efectos de que quienes la constituyen puedan tener derecho recibir una pensión de viudedad.</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diecinueve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7" w:name="AUTO_2016_143"/>
      <w:r>
        <w:t>AUTO 143/2016, de 19 de julio de 2016</w:t>
      </w:r>
    </w:p>
    <w:bookmarkEnd w:id="117"/>
    <w:p w:rsidR="001D6FAE" w:rsidRDefault="001D6FAE" w:rsidP="001D6FAE">
      <w:pPr>
        <w:pStyle w:val="TtuloResolucin"/>
      </w:pPr>
      <w:r>
        <w:t>Pleno</w:t>
      </w:r>
    </w:p>
    <w:p w:rsidR="001D6FAE" w:rsidRDefault="001D6FAE" w:rsidP="001D6FAE">
      <w:pPr>
        <w:pStyle w:val="TextoNormalCentrado"/>
      </w:pPr>
      <w:r>
        <w:t>ECLI:ES:TC:2016:143A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876-2016, planteada por el Tribunal Superior de Justicia de Murcia en relación con los artículos 2 del Real Decreto-ley 20/2012, de 13 de julio, de medidas para garantizar la estabilidad presupuestaria y de fomento de la competitividad, y 2.1 de la Ley de la Asamblea Regional de Murcia 9/2012, de 8 de noviembre, de adaptación de la normativa regional en materia de función pública al Real Decreto-ley 20/2012.</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oficio registrado en este Tribunal el día 23 de febrero de 2016, la Sala de lo Social del Tribunal Superior de Justicia de Murcia remitió oficio al que se acompañaba testimonio del procedimiento núm. 97-2015, del que forma parte el Auto de 21 de septiembre de 2015, mediante el que se plantea ante este Tribunal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001D6FAE" w:rsidRDefault="001D6FAE" w:rsidP="001D6FAE">
      <w:pPr>
        <w:pStyle w:val="TextoNormal"/>
      </w:pPr>
    </w:p>
    <w:p w:rsidR="001D6FAE" w:rsidRDefault="001D6FAE" w:rsidP="001D6FAE">
      <w:pPr>
        <w:pStyle w:val="TextoNormal"/>
      </w:pPr>
      <w:r w:rsidRPr="001D6FAE">
        <w:rPr>
          <w:rStyle w:val="NumeroAFNegritaCaracter"/>
        </w:rPr>
        <w:t>2</w:t>
      </w:r>
      <w:r>
        <w:t>. La presente cuestión tiene su origen en la demanda de conflicto colectivo seguida a instancia de la federación de servicios públicos del sindicato Unión General de Trabajadores de la Región de Murcia (UGT-FSP) frente al Ayuntamiento de Jumilla, reclamando el pago a todo el personal laboral de dicho Ayuntamiento de la paga extraordinaria de Navidad de 2012 o, subsidiariamente, de la parte proporcional de la misma devengada antes de la entrada en vigor del Real Decreto-ley 20/2012, de 13 de julio, de medidas para garantizar la estabilidad presupuestaria y de fomento de la competitividad (15 de julio de 2012), esto es, desde el 1 de junio hasta el 14 de julio de dicho año.</w:t>
      </w:r>
    </w:p>
    <w:p w:rsidR="001D6FAE" w:rsidRDefault="001D6FAE" w:rsidP="001D6FAE">
      <w:pPr>
        <w:pStyle w:val="TextoNormal"/>
      </w:pPr>
    </w:p>
    <w:p w:rsidR="001D6FAE" w:rsidRDefault="001D6FAE" w:rsidP="001D6FAE">
      <w:pPr>
        <w:pStyle w:val="TextoNormal"/>
      </w:pPr>
      <w:r>
        <w:t>El Juzgado de lo Social núm. 4 de Murcia desestimó la pretensión principal, pero estimó la subsidiaria, de manera que declaró el derecho de los trabajadores de dicho Ayuntamiento afectados por el conflicto colectivo, a percibir la parte proporcional de la paga extraordinaria de diciembre de 2012, que corresponde a los 44 días transcurridos entre el 1 de junio y el 14 de julio de 2012.</w:t>
      </w:r>
    </w:p>
    <w:p w:rsidR="001D6FAE" w:rsidRDefault="001D6FAE" w:rsidP="001D6FAE">
      <w:pPr>
        <w:pStyle w:val="TextoNormal"/>
      </w:pPr>
    </w:p>
    <w:p w:rsidR="001D6FAE" w:rsidRDefault="001D6FAE" w:rsidP="001D6FAE">
      <w:pPr>
        <w:pStyle w:val="TextoNormal"/>
      </w:pPr>
      <w:r>
        <w:t>El Ayuntamiento de Jumilla recurrió en suplicación. El sindicato UGT-FSP se limitó a impugnar el recurso de suplicación, solicitando que se ratificase la sentencia del Juzgado.</w:t>
      </w:r>
    </w:p>
    <w:p w:rsidR="001D6FAE" w:rsidRDefault="001D6FAE" w:rsidP="001D6FAE">
      <w:pPr>
        <w:pStyle w:val="TextoNormal"/>
      </w:pPr>
    </w:p>
    <w:p w:rsidR="001D6FAE" w:rsidRDefault="001D6FAE" w:rsidP="001D6FAE">
      <w:pPr>
        <w:pStyle w:val="TextoNormal"/>
      </w:pPr>
      <w:r>
        <w:t>Por diligencia de ordenación de 3 de junio de 2015, conforme a lo acordado por Auto de 18 de mayo de 2015, se confirió el plazo de diez días a las partes y al Ministerio Fiscal a fin de que alegaran lo que a su derecho convenga sobre el planteamiento de cuestión de inconstitucionalidad. El Ministerio Fiscal y el Ayuntamiento de Jumilla se mostraron favorables al planteamiento de la cuestión de inconstitucionalidad. El Sindicato UGT-FSP no presentó escrito alguno.</w:t>
      </w:r>
    </w:p>
    <w:p w:rsidR="001D6FAE" w:rsidRDefault="001D6FAE" w:rsidP="001D6FAE">
      <w:pPr>
        <w:pStyle w:val="TextoNormal"/>
      </w:pPr>
    </w:p>
    <w:p w:rsidR="001D6FAE" w:rsidRDefault="001D6FAE" w:rsidP="001D6FAE">
      <w:pPr>
        <w:pStyle w:val="TextoNormal"/>
      </w:pPr>
      <w:r>
        <w:t>Finalmente la Sala de lo Social del Tribunal Superior de Justicia de Murcia interpuso cuestión de inconstitucionalidad por Auto de 21 de septiembre de 2015.</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21 de septiembre de 2015 de la Sala de lo Social del Tribunal Superior de Justicia de Murcia fundamenta el planteamiento de la cuestión de inconstitucionalidad en las consideraciones que seguidamente se indican.</w:t>
      </w:r>
    </w:p>
    <w:p w:rsidR="001D6FAE" w:rsidRDefault="001D6FAE" w:rsidP="001D6FAE">
      <w:pPr>
        <w:pStyle w:val="TextoNormal"/>
      </w:pPr>
    </w:p>
    <w:p w:rsidR="001D6FAE" w:rsidRDefault="001D6FAE" w:rsidP="001D6FAE">
      <w:pPr>
        <w:pStyle w:val="TextoNormal"/>
      </w:pPr>
      <w:r>
        <w:t>Tras dedicar los antecedentes a transcribir los arts. 2, 3 y 6 del Real Decreto-ley 20/2012, así como extractos del art. 2 de la Ley autonómica 9/2012, consigna tres fundamentos de derecho. En el primero, destinado a razonar acerca del juicio de relevancia, afirma que “la sentencia recurrida resolvió reconocerle la parte devengada de la paga extraordinaria, pues no procedía descontar o detraer de la paga extraordinaria de diciembre de 2012 la parte proporcional de la misma ya devengada al momento de entrada en vigor de dicha norma con rango de ley, lo que ocurrió el 15 de julio de 2012”. Y a continuación que esta Sala había estimado en procesos con objeto similar que la retroactividad de lo dispuesto en el art. 2 del Real Decreto-ley 20/2012 no era expresa, por lo que rechazó el planteamiento de la cuestión y condenó a la parte demandada a abonar la parte proporcional de la paga extraordinaria de diciembre de 2012 ya devengada. Añade que desde que el Tribunal Constitucional ha admitido cuestiones de inconstitucionalidad contra este precepto legal y respecto de situaciones idénticas, entendiendo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001D6FAE" w:rsidRDefault="001D6FAE" w:rsidP="001D6FAE">
      <w:pPr>
        <w:pStyle w:val="TextoNormal"/>
      </w:pPr>
    </w:p>
    <w:p w:rsidR="001D6FAE" w:rsidRDefault="001D6FAE" w:rsidP="001D6FAE">
      <w:pPr>
        <w:pStyle w:val="TextoNormal"/>
      </w:pPr>
      <w:r>
        <w:t>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w:t>
      </w:r>
    </w:p>
    <w:p w:rsidR="001D6FAE" w:rsidRDefault="001D6FAE" w:rsidP="001D6FAE">
      <w:pPr>
        <w:pStyle w:val="TextoNormal"/>
      </w:pPr>
    </w:p>
    <w:p w:rsidR="001D6FAE" w:rsidRDefault="001D6FAE" w:rsidP="001D6FAE">
      <w:pPr>
        <w:pStyle w:val="TextoNormal"/>
      </w:pPr>
      <w:r>
        <w:t>El tercer fundamento es una simple alusión al art. 163 CE.</w:t>
      </w:r>
    </w:p>
    <w:p w:rsidR="001D6FAE" w:rsidRDefault="001D6FAE" w:rsidP="001D6FAE">
      <w:pPr>
        <w:pStyle w:val="TextoNormal"/>
      </w:pPr>
    </w:p>
    <w:p w:rsidR="001D6FAE" w:rsidRDefault="001D6FAE" w:rsidP="001D6FAE">
      <w:pPr>
        <w:pStyle w:val="TextoNormal"/>
      </w:pPr>
      <w:r>
        <w:t>Por todo ello la Sala acuerda “plantear ante el Tribunal Constitucional cuestión de inconstitucionalidad en relación con los arts. 2 del Real Decreto-ley 20/2012, de 13 de julio, y 2.1 de la Ley Autonómica 9/2012, por posible infracción de la prohibición de retroactividad de las normas restrictivas de derechos individuales que garantiza el art. 9.3 CE, en relación con el principio de seguridad jurídica del mismo precepto”.</w:t>
      </w:r>
    </w:p>
    <w:p w:rsidR="001D6FAE" w:rsidRDefault="001D6FAE" w:rsidP="001D6FAE">
      <w:pPr>
        <w:pStyle w:val="TextoNormal"/>
      </w:pPr>
    </w:p>
    <w:p w:rsidR="001D6FAE" w:rsidRDefault="001D6FAE" w:rsidP="001D6FAE">
      <w:pPr>
        <w:pStyle w:val="TextoNormal"/>
      </w:pPr>
      <w:r w:rsidRPr="001D6FAE">
        <w:rPr>
          <w:rStyle w:val="NumeroAFNegritaCaracter"/>
        </w:rPr>
        <w:t>4</w:t>
      </w:r>
      <w:r>
        <w:t>. Por diligencia de ordenación de 24 de febrero de 2016, el Pleno, observando que el testimonio de actuaciones remitido por la Sala de lo Social del Tribunal Superior de Justicia de Murcia está incompleto, acuerda dirigir atenta comunicación a dicha Sala interesando que, conforme a lo dispuesto en el art. 36 de la Ley Orgánica del Tribunal Constitucional (LOTC) se remita testimonio completo de las actuaciones correspondiente al recurso de suplicación núm. 97-2015, con testimonio de la providencia de 18 de mayo de 2015, oyendo a las partes y al Ministerio Fiscal sobre la pertinencia del planteamiento de la cuestión de inconstitucionalidad, y de los escritos de las partes evacuando dicho traslado, o en su caso certificación de su falta de presentación.</w:t>
      </w:r>
    </w:p>
    <w:p w:rsidR="001D6FAE" w:rsidRDefault="001D6FAE" w:rsidP="001D6FAE">
      <w:pPr>
        <w:pStyle w:val="TextoNormal"/>
      </w:pPr>
    </w:p>
    <w:p w:rsidR="001D6FAE" w:rsidRDefault="001D6FAE" w:rsidP="001D6FAE">
      <w:pPr>
        <w:pStyle w:val="TextoNormal"/>
      </w:pPr>
      <w:r>
        <w:t>No habiéndose recibido de la Sala de lo Social del Tribunal Superior de Justicia de Murcia el testimonio de actuaciones interesado, la Secretaria de Justicia reiteró nuevamente dicha comunicación el 6 de abril de 2016.</w:t>
      </w:r>
    </w:p>
    <w:p w:rsidR="001D6FAE" w:rsidRDefault="001D6FAE" w:rsidP="001D6FAE">
      <w:pPr>
        <w:pStyle w:val="TextoNormal"/>
      </w:pPr>
    </w:p>
    <w:p w:rsidR="001D6FAE" w:rsidRDefault="001D6FAE" w:rsidP="001D6FAE">
      <w:pPr>
        <w:pStyle w:val="TextoNormal"/>
      </w:pPr>
      <w:r w:rsidRPr="001D6FAE">
        <w:rPr>
          <w:rStyle w:val="NumeroAFNegritaCaracter"/>
        </w:rPr>
        <w:t>5</w:t>
      </w:r>
      <w:r>
        <w:t>. El 8 de abril de 2016 se remitió testimonio íntegro del procedimiento de referencia y de los autos principales, así como certificación acreditativa de la no presentación de alegaciones por UGT-FSP.</w:t>
      </w:r>
    </w:p>
    <w:p w:rsidR="001D6FAE" w:rsidRDefault="001D6FAE" w:rsidP="001D6FAE">
      <w:pPr>
        <w:pStyle w:val="TextoNormal"/>
      </w:pPr>
    </w:p>
    <w:p w:rsidR="001D6FAE" w:rsidRDefault="001D6FAE" w:rsidP="001D6FAE">
      <w:pPr>
        <w:pStyle w:val="TextoNormal"/>
      </w:pPr>
      <w:r w:rsidRPr="001D6FAE">
        <w:rPr>
          <w:rStyle w:val="NumeroAFNegritaCaracter"/>
        </w:rPr>
        <w:t>6</w:t>
      </w:r>
      <w:r>
        <w:t>. Por providencia de 14 de abril de 2016, el Pleno acordó, de conformidad con lo dispuesto en el art. 88 LOTC, dirigir atenta comunicación al Ayuntamiento de Jumilla, a fin de que indicara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D6FAE" w:rsidRDefault="001D6FAE" w:rsidP="001D6FAE">
      <w:pPr>
        <w:pStyle w:val="TextoNormal"/>
      </w:pPr>
    </w:p>
    <w:p w:rsidR="001D6FAE" w:rsidRDefault="001D6FAE" w:rsidP="001D6FAE">
      <w:pPr>
        <w:pStyle w:val="TextoNormal"/>
      </w:pPr>
      <w:r w:rsidRPr="001D6FAE">
        <w:rPr>
          <w:rStyle w:val="NumeroAFNegritaCaracter"/>
        </w:rPr>
        <w:t>7</w:t>
      </w:r>
      <w:r>
        <w:t>. Por escrito que tuvo entrada en el Registro General de este Tribunal el día 19 de mayo de 2016, la Alcaldesa del Ayuntamiento de Jumilla dio traslado del contenido del informe emitido por la Jefa del Servicio municipal de personal y recursos humanos con fecha 9 de mayo de 2016, en el que se indica lo siguiente:</w:t>
      </w:r>
    </w:p>
    <w:p w:rsidR="001D6FAE" w:rsidRDefault="001D6FAE" w:rsidP="001D6FAE">
      <w:pPr>
        <w:pStyle w:val="TextoNormal"/>
      </w:pPr>
    </w:p>
    <w:p w:rsidR="001D6FAE" w:rsidRDefault="001D6FAE" w:rsidP="001D6FAE">
      <w:pPr>
        <w:pStyle w:val="TextoNormal"/>
      </w:pPr>
      <w:r>
        <w:t>“Mediante Resolución de Alcaldía 323/2015 se aprobó y se efectuó el abono de lo autorizado en la Ley de Presupuestos Generales del Estado, Ley 36/2014, de 26 de diciembre, correspondiente a los primeros 44 días de la paga extraordinaria, paga adicional de complemento específico y pagas adicionales, correspondientes al mes de diciembre de 2012.</w:t>
      </w:r>
    </w:p>
    <w:p w:rsidR="001D6FAE" w:rsidRDefault="001D6FAE" w:rsidP="001D6FAE">
      <w:pPr>
        <w:pStyle w:val="TextoNormal"/>
      </w:pPr>
    </w:p>
    <w:p w:rsidR="001D6FAE" w:rsidRDefault="001D6FAE" w:rsidP="001D6FAE">
      <w:pPr>
        <w:pStyle w:val="TextoNormal"/>
      </w:pPr>
      <w:r>
        <w:t>Mediante Resolución de Alcaldía 1080/2015 se aprobó y se efectuó el abono de lo autorizado en el Real Decreto-ley 10/2015, de 11 de septiembre, correspondiente a 48 días de la paga extraordinaria, paga adicional de complemento específico y pagas adicionales, correspondientes al mes de diciembre de 2012.”</w:t>
      </w:r>
    </w:p>
    <w:p w:rsidR="001D6FAE" w:rsidRDefault="001D6FAE" w:rsidP="001D6FAE">
      <w:pPr>
        <w:pStyle w:val="TextoNormal"/>
      </w:pPr>
    </w:p>
    <w:p w:rsidR="001D6FAE" w:rsidRDefault="001D6FAE" w:rsidP="001D6FAE">
      <w:pPr>
        <w:pStyle w:val="TextoNormal"/>
      </w:pPr>
      <w:r w:rsidRPr="001D6FAE">
        <w:rPr>
          <w:rStyle w:val="NumeroAFNegritaCaracter"/>
        </w:rPr>
        <w:t>8</w:t>
      </w:r>
      <w:r>
        <w:t>. Por providencia de 7 de junio de 2016, la Sección Primera, a los efectos que determina el art. 37.1 LOTC, acordó oír al Fiscal General del Estado para que, en el plazo de diez días, alegue lo que considere conveniente acerca de la admisibilidad de la presente cuestión de inconstitucionalidad, en relación con el cumplimiento de los requisitos de procedebilidad (juicio de relevancia) y por si hubiera perdido objeto de forma sobrevenida.</w:t>
      </w:r>
    </w:p>
    <w:p w:rsidR="001D6FAE" w:rsidRDefault="001D6FAE" w:rsidP="001D6FAE">
      <w:pPr>
        <w:pStyle w:val="TextoNormal"/>
      </w:pPr>
    </w:p>
    <w:p w:rsidR="001D6FAE" w:rsidRDefault="001D6FAE" w:rsidP="001D6FAE">
      <w:pPr>
        <w:pStyle w:val="TextoNormal"/>
      </w:pPr>
      <w:r w:rsidRPr="001D6FAE">
        <w:rPr>
          <w:rStyle w:val="NumeroAFNegritaCaracter"/>
        </w:rPr>
        <w:t>9</w:t>
      </w:r>
      <w:r>
        <w:t>. El Fiscal General del Estado presentó su escrito en el Registro General de este Tribunal el 24 de junio de 2016.</w:t>
      </w:r>
    </w:p>
    <w:p w:rsidR="001D6FAE" w:rsidRDefault="001D6FAE" w:rsidP="001D6FAE">
      <w:pPr>
        <w:pStyle w:val="TextoNormal"/>
      </w:pPr>
    </w:p>
    <w:p w:rsidR="001D6FAE" w:rsidRDefault="001D6FAE" w:rsidP="001D6FAE">
      <w:pPr>
        <w:pStyle w:val="TextoNormal"/>
      </w:pPr>
      <w:r>
        <w:t>Tras exponer los antecedentes de hecho de la presente cuestión de inconstitucionalidad, afirma que en el presente supuesto no existe una resolución judicial que acuerde la apertura del trámite de audiencia, sino que se ha iniciado por decisiones de las Secretarias Judiciales, hoy Letrados de la Administración de Justicia, que carecen de toda competencia al respecto. Además, no se ha especificado en dichas decisiones cuáles eran las normas de cuya constitucionalidad se dudaba ni los preceptos constitucionales con los que se confrontaban.</w:t>
      </w:r>
    </w:p>
    <w:p w:rsidR="001D6FAE" w:rsidRDefault="001D6FAE" w:rsidP="001D6FAE">
      <w:pPr>
        <w:pStyle w:val="TextoNormal"/>
      </w:pPr>
    </w:p>
    <w:p w:rsidR="001D6FAE" w:rsidRDefault="001D6FAE" w:rsidP="001D6FAE">
      <w:pPr>
        <w:pStyle w:val="TextoNormal"/>
      </w:pPr>
      <w:r>
        <w:t>A continuación reproduce el contenido del fundamento jurídico 2 del ATC 13/2016, y señala que la cuestión no resulta admisible respecto del art. 2.1 de la Ley de la Asamblea Regional de Murcia 9/2012, toda vez que este precepto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001D6FAE" w:rsidRDefault="001D6FAE" w:rsidP="001D6FAE">
      <w:pPr>
        <w:pStyle w:val="TextoNormal"/>
      </w:pPr>
    </w:p>
    <w:p w:rsidR="001D6FAE" w:rsidRDefault="001D6FAE" w:rsidP="001D6FAE">
      <w:pPr>
        <w:pStyle w:val="TextoNormal"/>
      </w:pPr>
      <w:r>
        <w:t>Asimismo, indica que es aplicable a este supuesto la doctrina del ATC 13/2016, en el que también se ha acreditado que el 18 de marzo de 2015 se acordó el abono en la nómina correspondiente al mes de marzo de 2015 de los primeros 44 días de la paga extra de diciembre de 2012, esto es, en fecha anterior al planteamiento de la cuestión, y con posterioridad por resolución de la Alcaldía 1080/2015 de 20 de octubre, se acordó el abono de la parte de la paga extraordinaria y adicional del mes de diciembre de 2012, correspondiente a 48 días en la nómina del mes de octubre de 2015, y no objeto del litigio.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Sala de lo Social del Tribunal Superior de Justicia de Murcia plantea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001D6FAE" w:rsidRDefault="001D6FAE" w:rsidP="001D6FAE">
      <w:pPr>
        <w:pStyle w:val="TextoNormal"/>
      </w:pPr>
    </w:p>
    <w:p w:rsidR="001D6FAE" w:rsidRDefault="001D6FAE" w:rsidP="001D6FAE">
      <w:pPr>
        <w:pStyle w:val="TextoNormal"/>
      </w:pPr>
      <w:r>
        <w:t>La duda de constitucionalidad se basa en que los citados preceptos, en cuanto suprimen la totalidad de la paga extraordinaria del mes de diciembre de 2012 al personal laboral del sector público, sin establecer ninguna excepción respecto de las cantidades ya devengadas a la fecha de su entrada en vigor, podrían contravenir el art. 9.3 CE. El Fiscal General del Estado sostiene que, conforme al criterio del ATC 13/2016, de 19 de enero, el abono de la parte proporcional de la paga extra de diciembre de 2012, correspondiente a los primeros 44 días, ha supuesto la satisfacción extraprocesal de la pretensión deducida en el proceso laboral sobre el que se articula la presente cuestión.</w:t>
      </w:r>
    </w:p>
    <w:p w:rsidR="001D6FAE" w:rsidRDefault="001D6FAE" w:rsidP="001D6FAE">
      <w:pPr>
        <w:pStyle w:val="TextoNormal"/>
      </w:pPr>
    </w:p>
    <w:p w:rsidR="001D6FAE" w:rsidRDefault="001D6FAE" w:rsidP="001D6FAE">
      <w:pPr>
        <w:pStyle w:val="TextoNormal"/>
      </w:pPr>
      <w:r w:rsidRPr="001D6FAE">
        <w:rPr>
          <w:rStyle w:val="NumeroAFNegritaCaracter"/>
        </w:rPr>
        <w:t>2</w:t>
      </w:r>
      <w:r>
        <w:t>. Conforme a lo dispuesto en el art. 37.1 de la Ley Orgánica del Tribunal Constitucional (LOTC), este Tribunal puede rechazar en trámite de admisión, mediante Auto y con la sola audiencia del Fiscal General del Estado, aquellas cuestiones de inconstitucionalidad cuando faltaren los necesarios requisitos procesales o fueren notoriamente infundadas.</w:t>
      </w:r>
    </w:p>
    <w:p w:rsidR="001D6FAE" w:rsidRDefault="001D6FAE" w:rsidP="001D6FAE">
      <w:pPr>
        <w:pStyle w:val="TextoNormal"/>
      </w:pPr>
    </w:p>
    <w:p w:rsidR="001D6FAE" w:rsidRDefault="001D6FAE" w:rsidP="001D6FAE">
      <w:pPr>
        <w:pStyle w:val="TextoNormal"/>
      </w:pPr>
      <w:r>
        <w:t>a) La cuestión no resulta admisible respecto del art. 2.1 de la Ley de Asamblea Regional de Murcia 9/2012. No se puede considerar cumplido el juicio de aplicabilidad y relevancia respecto de este precepto, toda vez que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001D6FAE" w:rsidRDefault="001D6FAE" w:rsidP="001D6FAE">
      <w:pPr>
        <w:pStyle w:val="TextoNormal"/>
      </w:pPr>
    </w:p>
    <w:p w:rsidR="001D6FAE" w:rsidRDefault="001D6FAE" w:rsidP="001D6FAE">
      <w:pPr>
        <w:pStyle w:val="TextoNormal"/>
      </w:pPr>
      <w:r>
        <w:t>b) En lo que concierne al art. 2 del Real Decreto-ley 20/2012, es obligado recordar que en la STC 83/2015, de 30 de abril, FJ 3, determinamos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1D6FAE" w:rsidRDefault="001D6FAE" w:rsidP="001D6FAE">
      <w:pPr>
        <w:pStyle w:val="TextoNormal"/>
      </w:pPr>
    </w:p>
    <w:p w:rsidR="001D6FAE" w:rsidRDefault="001D6FAE" w:rsidP="001D6FAE">
      <w:pPr>
        <w:pStyle w:val="TextoNormal"/>
      </w:pPr>
      <w:r>
        <w:t>Como consta en los antecedentes de esta resolución, en respuesta a la comunicación dirigida por este Tribunal conforme a lo dispuesto en el art. 88 LOTC al Ayuntamiento de Jumilla, su Alcaldesa ha informado que, en virtud de la resolución de Alcadía 323/2015, se acordó y procedió al abono en la nómina del mes de marzo de 2015, de 44 días de la parte proporcional de la paga extraordinaria de diciembre 2012 (de acuerdo con lo autorizado en la Ley 36/2014, de 26 de diciembre, de presupuestos generales del Estado) y mediante resolución de Alcadía 1080/2015 se aprobó y se efectuó el abono en la nómina de octubre de 2015 de lo autorizado en el Real Decreto-ley 10/2015, de 11 de septiembre, correspondiente a 48 días de la paga extraordinaria de diciembre de 2012.</w:t>
      </w:r>
    </w:p>
    <w:p w:rsidR="001D6FAE" w:rsidRDefault="001D6FAE" w:rsidP="001D6FAE">
      <w:pPr>
        <w:pStyle w:val="TextoNormal"/>
      </w:pPr>
    </w:p>
    <w:p w:rsidR="001D6FAE" w:rsidRDefault="001D6FAE" w:rsidP="001D6FAE">
      <w:pPr>
        <w:pStyle w:val="TextoNormal"/>
      </w:pPr>
      <w:r>
        <w:t xml:space="preserve">En el proceso del que trae causa la presente cuestión de inconstitucionalidad se discute si el Ayuntamiento de Jumilla está obligado o no a abonar a sus trabajadores la parte proporcional de la paga extra de diciembre de 2012 (en concreto, 44 días) que consideran devengada al momento de la entrada en vigor del Real Decreto-ley 20/2012, que suprimió el derecho a su percepción. El Ayuntamiento recurrente en suplicación consideró que no tenía obligación de pagar los días devengados de la paga extraordinaria de diciembre de 2012 en contra de lo que había entendido el Juzgado de lo Social. Pues bien, el abono por el Ayuntamiento de Jumilla de 92 días de la paga extraordinaria de diciembre de 2012 —44 días abonados con anterioridad al planteamiento de esta cuestión que son precisamente los días reclamados en el proceso </w:t>
      </w:r>
      <w:r w:rsidRPr="001D6FAE">
        <w:rPr>
          <w:i/>
        </w:rPr>
        <w:t>a quo</w:t>
      </w:r>
      <w:r>
        <w:t>— comporta la satisfacción extraprocesal de la pretensión,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1D6FAE" w:rsidRDefault="001D6FAE" w:rsidP="001D6FAE">
      <w:pPr>
        <w:pStyle w:val="TextoNormal"/>
      </w:pPr>
    </w:p>
    <w:p w:rsidR="001D6FAE" w:rsidRDefault="001D6FAE" w:rsidP="001D6FAE">
      <w:pPr>
        <w:pStyle w:val="TextoNormal"/>
      </w:pPr>
      <w:r>
        <w:t>De este modo, el objeto de la presente cuestión inconstitucionalidad ha desaparecido teniendo en cuenta los términos en los que la duda se plantea, lo que ha de determinar, en este momento procesal, su inadmisión.</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diecinueve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8" w:name="AUTO_2016_144"/>
      <w:r>
        <w:t>AUTO 144/2016, de 19 de julio de 2016</w:t>
      </w:r>
    </w:p>
    <w:bookmarkEnd w:id="118"/>
    <w:p w:rsidR="001D6FAE" w:rsidRDefault="001D6FAE" w:rsidP="001D6FAE">
      <w:pPr>
        <w:pStyle w:val="TtuloResolucin"/>
      </w:pPr>
      <w:r>
        <w:t>Pleno</w:t>
      </w:r>
    </w:p>
    <w:p w:rsidR="001D6FAE" w:rsidRDefault="001D6FAE" w:rsidP="001D6FAE">
      <w:pPr>
        <w:pStyle w:val="TextoNormalCentrado"/>
      </w:pPr>
      <w:r>
        <w:t>ECLI:ES:TC:2016:144A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Mantiene la suspensión parcial en el recurso de inconstitucionalidad 1643-2016, interpuesto por el Presidente del Gobierno en relación con diversos preceptos de la Ley del Parlamento Vasco 3/2015, de 18 de junio, de vivienda. Voto particular.</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presentado en el Registro General de este Tribunal el 28 de marzo de 2016, el Abogado del Estado, en nombre del Presidente del Gobierno, interpuso recurso de inconstitucionalidad contra los arts. 3, en sus letras t) y x); 4, en sus apartados 1 y 2 b); 6.1; 9.4; 56, en sus apartados 1, 2 y 3; 59; 63.2, en sus letras a), b), c), d), f), g) y h); 64; 72, en sus apartados 1 y 3 c); 74; 75; 83 d); 84.d); y apartado 3 de la disposición adicional primera, todos ellos de la Ley del Parlamento Vasco 3/2015, de 18 de junio, de vivienda (publicada en el “Boletín Oficial del País Vasco” número 119, de 26 de junio de 2015). El Abogado del Estado invocó el art. 161.2 CE y el art. 30 de la Ley Orgánica del Tribunal Constitucional (LOTC), a fin de que se produjese la suspensión de los preceptos legales impugnados.</w:t>
      </w:r>
    </w:p>
    <w:p w:rsidR="001D6FAE" w:rsidRDefault="001D6FAE" w:rsidP="001D6FAE">
      <w:pPr>
        <w:pStyle w:val="TextoNormal"/>
      </w:pPr>
    </w:p>
    <w:p w:rsidR="001D6FAE" w:rsidRDefault="001D6FAE" w:rsidP="001D6FAE">
      <w:pPr>
        <w:pStyle w:val="TextoNormal"/>
      </w:pPr>
      <w:r w:rsidRPr="001D6FAE">
        <w:rPr>
          <w:rStyle w:val="NumeroAFNegritaCaracter"/>
        </w:rPr>
        <w:t>2</w:t>
      </w:r>
      <w:r>
        <w:t>. Por providencia de 12 de abril de 2016 el Pleno del Tribunal acordó admitir a trámite el recurso de inconstitucionalidad, dar traslado de la demanda y documentos presentados, conforme establece el art. 34 LOTC, al Congreso de los Diputados y al Senado, así como al Gobierno Vasco y al Parlamento Vasco, al objeto de que en el plazo de quince días pudieran personarse en el proceso y formular las alegaciones que estimaren convenientes. Asimismo, se acordó tener por invocado por el Gobierno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Por último, se ordenó también publicar la incoación del recurso en el “Boletín Oficial del Estado” y en el “Boletín Oficial del País Vasco”.</w:t>
      </w:r>
    </w:p>
    <w:p w:rsidR="001D6FAE" w:rsidRDefault="001D6FAE" w:rsidP="001D6FAE">
      <w:pPr>
        <w:pStyle w:val="TextoNormal"/>
      </w:pPr>
    </w:p>
    <w:p w:rsidR="001D6FAE" w:rsidRDefault="001D6FAE" w:rsidP="001D6FAE">
      <w:pPr>
        <w:pStyle w:val="TextoNormal"/>
      </w:pPr>
      <w:r w:rsidRPr="001D6FAE">
        <w:rPr>
          <w:rStyle w:val="NumeroAFNegritaCaracter"/>
        </w:rPr>
        <w:t>3</w:t>
      </w:r>
      <w:r>
        <w:t>. Por escritos registrados en el Tribunal Constitucional el 21 y el 27 de abril de 2016, respectivamente, los Presidentes del Congreso de los Diputados y del Senado comunican el acuerdo de la Mesa de sus respectivas Cámaras de personarse en el proceso, ofreciendo su colaboración a los efectos del art. 88.1 LOTC.</w:t>
      </w:r>
    </w:p>
    <w:p w:rsidR="001D6FAE" w:rsidRDefault="001D6FAE" w:rsidP="001D6FAE">
      <w:pPr>
        <w:pStyle w:val="TextoNormal"/>
      </w:pPr>
    </w:p>
    <w:p w:rsidR="001D6FAE" w:rsidRDefault="001D6FAE" w:rsidP="001D6FAE">
      <w:pPr>
        <w:pStyle w:val="TextoNormal"/>
      </w:pPr>
      <w:r w:rsidRPr="001D6FAE">
        <w:rPr>
          <w:rStyle w:val="NumeroAFNegritaCaracter"/>
        </w:rPr>
        <w:t>4</w:t>
      </w:r>
      <w:r>
        <w:t>. Por escrito registrado en este Tribunal el 22 de abril de 2016, el Procurador de los Tribunales y de la Administración general del País Vasco, don Felipe Juanas Blanco, bajo la dirección de la Letrada de los Servicios jurídicos centrales de la Administración de la Comunidad Autónoma del País Vasco, comparece en el proceso en representación del Gobierno Vasco y solicita que se le conceda prórroga del plazo para formular alegaciones; petición a la que accedió el Pleno del Tribunal mediante providencia de 25 de abril de 2016, prorrogándole por ocho días más el plazo de alegaciones conferido inicialmente, a contar desde la expiración de este.</w:t>
      </w:r>
    </w:p>
    <w:p w:rsidR="001D6FAE" w:rsidRDefault="001D6FAE" w:rsidP="001D6FAE">
      <w:pPr>
        <w:pStyle w:val="TextoNormal"/>
      </w:pPr>
    </w:p>
    <w:p w:rsidR="001D6FAE" w:rsidRDefault="001D6FAE" w:rsidP="001D6FAE">
      <w:pPr>
        <w:pStyle w:val="TextoNormal"/>
      </w:pPr>
      <w:r w:rsidRPr="001D6FAE">
        <w:rPr>
          <w:rStyle w:val="NumeroAFNegritaCaracter"/>
        </w:rPr>
        <w:t>5</w:t>
      </w:r>
      <w:r>
        <w:t>. Mediante escrito registrado en este Tribunal el 26 de abril de 2016, el Letrado del Parlamento Vasco comparece en el proceso en la representación que legalmente ostenta y solicita que se le conceda prórroga del plazo para formular alegaciones; petición a la que accedió el Pleno del Tribunal mediante providencia de 27 de abril de 2016, prorrogándole el plazo de alegaciones inicialmente conferido por ocho días más, a contar desde su expiración.</w:t>
      </w:r>
    </w:p>
    <w:p w:rsidR="001D6FAE" w:rsidRDefault="001D6FAE" w:rsidP="001D6FAE">
      <w:pPr>
        <w:pStyle w:val="TextoNormal"/>
      </w:pPr>
    </w:p>
    <w:p w:rsidR="001D6FAE" w:rsidRDefault="001D6FAE" w:rsidP="001D6FAE">
      <w:pPr>
        <w:pStyle w:val="TextoNormal"/>
      </w:pPr>
      <w:r w:rsidRPr="001D6FAE">
        <w:rPr>
          <w:rStyle w:val="NumeroAFNegritaCaracter"/>
        </w:rPr>
        <w:t>6</w:t>
      </w:r>
      <w:r>
        <w:t>. Mediante escrito registrado en este Tribunal el 18 de mayo de 2016, el Letrado del Parlamento Vasco procedió a formular alegaciones en el presente recurso de inconstitucionalidad, interesando la inadmisión del mismo, por falta de legitimación del Presidente de Gobierno para interponer el recurso, o subsidiariamente la desestimación. Mediante otrosí solicitó que, una vez conocidas las alegaciones en las que la Abogacía del Estado fundamenta la suspensión de la vigencia y aplicación de los preceptos legales impugnados, se le dé audiencia al Parlamento Vasco para alegar lo que proceda sobre el levantamiento de la suspensión.</w:t>
      </w:r>
    </w:p>
    <w:p w:rsidR="001D6FAE" w:rsidRDefault="001D6FAE" w:rsidP="001D6FAE">
      <w:pPr>
        <w:pStyle w:val="TextoNormal"/>
      </w:pPr>
    </w:p>
    <w:p w:rsidR="001D6FAE" w:rsidRDefault="001D6FAE" w:rsidP="001D6FAE">
      <w:pPr>
        <w:pStyle w:val="TextoNormal"/>
      </w:pPr>
      <w:r w:rsidRPr="001D6FAE">
        <w:rPr>
          <w:rStyle w:val="NumeroAFNegritaCaracter"/>
        </w:rPr>
        <w:t>7</w:t>
      </w:r>
      <w:r>
        <w:t>. Don Felipe Juanas Blanco, Procurador de los Tribunales, asistido por la Letrada de los servicios jurídicos centrales de la Administración de la Comunidad Autónoma del País Vasco, presentó el 19 de mayo de 2016 el escrito de alegaciones en el presente recurso de inconstitucionalidad, interesando su desestimación. Mediante otrosí solicitó el levantamiento inmediato de la suspensión de la vigencia y aplicación de los preceptos legales impugnados, por las razones que seguidamente se indican.</w:t>
      </w:r>
    </w:p>
    <w:p w:rsidR="001D6FAE" w:rsidRDefault="001D6FAE" w:rsidP="001D6FAE">
      <w:pPr>
        <w:pStyle w:val="TextoNormal"/>
      </w:pPr>
    </w:p>
    <w:p w:rsidR="001D6FAE" w:rsidRDefault="001D6FAE" w:rsidP="001D6FAE">
      <w:pPr>
        <w:pStyle w:val="TextoNormal"/>
      </w:pPr>
      <w:r>
        <w:t>Alude en primer lugar a la conocida doctrina constitucional conforme a la cual el levantamiento anticipado de la suspensión, sin esperar al transcurso de los cinco meses previstos en el art. 161.2 CE, resulta viable procesalmente, pues esos meses a los que hace referencia el citado precepto constitucional son, precisamente, el límite máximo inicialmente previsto para la suspensión, incluyéndose entre las potestades de este Tribunal la de ratificar o levantar la suspensión dentro de ese plazo.</w:t>
      </w:r>
    </w:p>
    <w:p w:rsidR="001D6FAE" w:rsidRDefault="001D6FAE" w:rsidP="001D6FAE">
      <w:pPr>
        <w:pStyle w:val="TextoNormal"/>
      </w:pPr>
    </w:p>
    <w:p w:rsidR="001D6FAE" w:rsidRDefault="001D6FAE" w:rsidP="001D6FAE">
      <w:pPr>
        <w:pStyle w:val="TextoNormal"/>
      </w:pPr>
      <w:r>
        <w:t>Se refiere a continuación a los Autos del Tribunal que han resuelto los incidentes de suspensión de la Ley Foral 24/2013, de 2 de julio, de la Comunidad Foral de Navarra (ATC 69/2014); de la Ley 4/2013, de 1 de octubre, de la Comunidad Autónoma de Andalucía (ATC 115/2014); y de la Ley 2/2014, de 20 de junio, de Canarias (ATC 135/2015). A juicio del Gobierno Vasco, la doctrina sentada en dichos Autos no puede trasladarse miméticamente al presente caso, puesto que el juicio de ponderación que se exige en este trámite debe realizarse respecto a las circunstancias de hecho concretas y singulares que se traen al conflicto: el momento económico-financiero en el que despliega sus efectos la Ley vasca 3/2015, con una finalización exitosa del programa de asistencia financiera a la banca y una consolidación positiva de la recuperación económica; el escenario socio-geográfico en el que repercuten las medidas que en la misma se contemplan, con una política de vivienda consolidada en la Comunidad Autónoma del País Vasco que responde a datos propios y diferenciados de las otras Comunidades Autónomas (sobre todo Andalucía y Canarias) y el hecho de que la Ley vasca 3/2015 no contiene preceptos idénticos a los de las otras tres leyes autonómicas que fueron objeto de los citados Autos.</w:t>
      </w:r>
    </w:p>
    <w:p w:rsidR="001D6FAE" w:rsidRDefault="001D6FAE" w:rsidP="001D6FAE">
      <w:pPr>
        <w:pStyle w:val="TextoNormal"/>
      </w:pPr>
    </w:p>
    <w:p w:rsidR="001D6FAE" w:rsidRDefault="001D6FAE" w:rsidP="001D6FAE">
      <w:pPr>
        <w:pStyle w:val="TextoNormal"/>
      </w:pPr>
      <w:r>
        <w:t>Asimismo invoca la consolidada doctrina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o privado de las terceros afectados; así como a la carga que pesa sobre el Abogado del Estado de acreditar o, como mínimo, razonar consistentemente, la concurrencia de los graves perjuicios de imposible o muy difícil reparación invocados para mantener la suspensión de la Ley impugnada. Por otra parte, el Tribunal Constitucional debe efectuar su ponderación al margen de la viabilidad de las pretensiones que se formulan en la demanda y de las consideraciones sobre la cuestión de fondo del proceso, que resultan ajenas a dicha valoración.</w:t>
      </w:r>
    </w:p>
    <w:p w:rsidR="001D6FAE" w:rsidRDefault="001D6FAE" w:rsidP="001D6FAE">
      <w:pPr>
        <w:pStyle w:val="TextoNormal"/>
      </w:pPr>
    </w:p>
    <w:p w:rsidR="001D6FAE" w:rsidRDefault="001D6FAE" w:rsidP="001D6FAE">
      <w:pPr>
        <w:pStyle w:val="TextoNormal"/>
      </w:pPr>
      <w:r>
        <w:t>Conforme a dicha doctrina constitucional considera la representación procesal del Gobierno Vasco que no existen razones para el mantenimiento de la suspensión de los preceptos impugnados de la Ley 3/2015.</w:t>
      </w:r>
    </w:p>
    <w:p w:rsidR="001D6FAE" w:rsidRDefault="001D6FAE" w:rsidP="001D6FAE">
      <w:pPr>
        <w:pStyle w:val="TextoNormal"/>
      </w:pPr>
    </w:p>
    <w:p w:rsidR="001D6FAE" w:rsidRDefault="001D6FAE" w:rsidP="001D6FAE">
      <w:pPr>
        <w:pStyle w:val="TextoNormal"/>
      </w:pPr>
      <w:r>
        <w:t>Sostiene, en primer lugar, que, si bien la Abogacía del Estado considera en su recurso que las medidas contempladas en los arts. 59 y 74 y las infracciones tipificadas en los arts. 83 d) y 84 d) de la Ley vasca 3/2015 afectan de forma directa al mercado hipotecario, con riesgo para la estabilidad del sistema financiero, lo cierto es que dichas medidas tienen escasa incidencia sobre dicho mercado y no implican ningún riesgo para el sistema financiero. Por el contrario, la Ley vasca 3/2015 permite dar cumplimiento, de una forma complementaria al resto de medidas normativas adoptadas por el Estado, al objetivo de reducción del número de lanzamientos; coadyuva así a la voluntad expresada por el Parlamento Europeo en la resolución de 8 de octubre de 2015, sobre la legislación hipotecaria y los instrumentos financieros de riesgo en España, que insta al Gobierno español a utilizar los instrumentos a su disposición para encontrar una solución global que permita reducir de forma drástica el elevado número de desahucios de la vivienda habitual.</w:t>
      </w:r>
    </w:p>
    <w:p w:rsidR="001D6FAE" w:rsidRDefault="001D6FAE" w:rsidP="001D6FAE">
      <w:pPr>
        <w:pStyle w:val="TextoNormal"/>
      </w:pPr>
    </w:p>
    <w:p w:rsidR="001D6FAE" w:rsidRDefault="001D6FAE" w:rsidP="001D6FAE">
      <w:pPr>
        <w:pStyle w:val="TextoNormal"/>
      </w:pPr>
      <w:r>
        <w:t>La previsión del artículo 74, relativa a la expropiación forzosa del uso temporal de viviendas incursas en procedimientos de desahucio por ejecución hipotecaria tendría una incidencia muy sectorial, al referirse a personas físicas con determinados ingresos máximos y en situación de vulnerabilidad social, y regular una modalidad de expropiación que se compensa a los propietarios con el debido justiprecio. Se destaca en este sentido que la Comunidad Autónoma del País Vasco es la tercera Comunidad con menos ejecuciones hipotecarias, con respecto al total de hipotecas firmadas en el conjunto del Estado, a lo que se añade que el Banco de España en su último informe de estabilidad financiera de mayo 2016 no cita como riesgo para la estabilidad del sistema financiero las “medidas antidesahucio”, debido a su baja incidencia. Destaca asimismo que el Ministerio de Economía y Competitividad ha reconocido ya en enero de 2016, que la Comisión Europea ha concluido con éxito el programa de asistencia financiera a la banca y que el Banco Central Europeo ha corroborado en abril de 2016 la mejoría de la situación macroeconómica en España y la continuidad en la evolución favorable de la estabilidad de su sector financiero.</w:t>
      </w:r>
    </w:p>
    <w:p w:rsidR="001D6FAE" w:rsidRDefault="001D6FAE" w:rsidP="001D6FAE">
      <w:pPr>
        <w:pStyle w:val="TextoNormal"/>
      </w:pPr>
    </w:p>
    <w:p w:rsidR="001D6FAE" w:rsidRDefault="001D6FAE" w:rsidP="001D6FAE">
      <w:pPr>
        <w:pStyle w:val="TextoNormal"/>
      </w:pPr>
      <w:r>
        <w:t>Además, la medida prevista en el citado artículo 74 es coyuntural. Refuerza, por su carácter complementario, no concurrente y posterior en el tiempo, las medidas temporales recogidas en la normativa estatal; en la Ley 1/2013 primero y luego prorrogadas por el Real Decreto-ley 1/2015, convertido después en Ley 25/2015. Implican la suspensión del lanzamiento en caso de ejecución hipotecaria, sin compensación al acreedor. Solo una vez reanudado el proceso de desahucio porque se termina la vigencia de la medida estatal (prevista hasta 2017) se podría aplicar la expropiación de uso contemplada en el art. 74 de la Ley vasca 3/2015, satisfaciendo el justiprecio al propietario. El contexto normativo de la regulación autonómica no puede interferir en la normativa estatal, toda vez que el presupuesto de existencia de un lanzamiento únicamente se dará cuando cese la moratoria establecida por el Estado. En definitiva, el levantamiento de la suspensión materializaría una reducción del número de desahucios en el ámbito de la Comunidad Autónoma, finalidad esta que difícilmente puede colisionar con el interés general, como tampoco se oponen a dicho interés las medidas estatales, concluye el Gobierno Vasco.</w:t>
      </w:r>
    </w:p>
    <w:p w:rsidR="001D6FAE" w:rsidRDefault="001D6FAE" w:rsidP="001D6FAE">
      <w:pPr>
        <w:pStyle w:val="TextoNormal"/>
      </w:pPr>
    </w:p>
    <w:p w:rsidR="001D6FAE" w:rsidRDefault="001D6FAE" w:rsidP="001D6FAE">
      <w:pPr>
        <w:pStyle w:val="TextoNormal"/>
      </w:pPr>
      <w:r>
        <w:t>La medida prevista en el artículo 59 se refiere al alquiler forzoso de viviendas declaradas deshabitadas, desocupadas por un tiempo superior a dos años y ubicadas en ámbitos de acreditada demanda y necesidad de vivienda, que se mantengan desocupadas transcurrido un año desde esa declaración. El Gobierno Vasco remite a los datos de que dispone, que se ofrecen en la documentación que adjunta a sus alegaciones, sobre viviendas vacías en la Comunidad Autónoma del País Vasco en 2013 y sobre demanda de vivienda de protección pública en alquiler y oferta de vivienda del parque público de vivienda en dicha Comunidad durante el primer trimestre de 2016. Reflejan la escasa, por no decir nula, incidencia que podría llegar a tener la medida del art. 59 de la Ley vasca 3/2015. Esta incidencia es menor aún en el caso de entidades financieras, ya que los datos se refieren tanto a personas físicas como jurídicas y esa medida se podría materializar únicamente después de haberse ejecutado la oferta en alquiler de viviendas del parque público de viviendas de protección oficial, así como de la prestación complementaria de vivienda. Debería, por tanto, alzarse la suspensión que pesa sobre este precepto, pues su aplicación no acarrea perjuicios al interés general.</w:t>
      </w:r>
    </w:p>
    <w:p w:rsidR="001D6FAE" w:rsidRDefault="001D6FAE" w:rsidP="001D6FAE">
      <w:pPr>
        <w:pStyle w:val="TextoNormal"/>
      </w:pPr>
    </w:p>
    <w:p w:rsidR="001D6FAE" w:rsidRDefault="001D6FAE" w:rsidP="001D6FAE">
      <w:pPr>
        <w:pStyle w:val="TextoNormal"/>
      </w:pPr>
      <w:r>
        <w:t>No se vislumbran tampoco, según el Gobierno Vasco, perjuicios de imposible o difícil reparación por la aplicación de lo establecido en el art. 6.1 de la Ley vasca 3/2015, sobre acción pública y derecho subjetivo, por lo que debería igualmente levantarse la suspensión del mismo.</w:t>
      </w:r>
    </w:p>
    <w:p w:rsidR="001D6FAE" w:rsidRDefault="001D6FAE" w:rsidP="001D6FAE">
      <w:pPr>
        <w:pStyle w:val="TextoNormal"/>
      </w:pPr>
    </w:p>
    <w:p w:rsidR="001D6FAE" w:rsidRDefault="001D6FAE" w:rsidP="001D6FAE">
      <w:pPr>
        <w:pStyle w:val="TextoNormal"/>
      </w:pPr>
      <w:r>
        <w:t>No se desprende del recurso qué incidencia extraordinaria puedan tener sobre el mercado hipotecario y el sistema financiero los instrumentos públicos de intervención administrativa en viviendas que no cumplen la función social, previstos en el artículo 63.2, en relación con lo dispuesto en los artículos 72.1 y 3 c), 83 d), y 84 d), también impugnados. Dejando a un lado la medida de alquiler forzoso en el caso de viviendas deshabitadas, respecto de la que el Gobierno Vasco se remite a lo antes manifestado en relación con el artículo 59, se sostiene que el resto de medidas contempladas en el artículo 63.2 que se impugnan están todas ellas previstas en el ordenamiento: ejercicio del derecho de adquisición preferente y del desahucio administrativo, expropiación por incumplimiento de la función social, venta o sustitución forzosa, ordenes de ejecución e imposición de multas coercitivas. Resultan pues perfectamente aplicables mediante el correspondiente procedimiento, sin que por sí mismas puedan implicar perjuicio irreparable al interés público, lo que debería conducir al levantamiento de la suspensión.</w:t>
      </w:r>
    </w:p>
    <w:p w:rsidR="001D6FAE" w:rsidRDefault="001D6FAE" w:rsidP="001D6FAE">
      <w:pPr>
        <w:pStyle w:val="TextoNormal"/>
      </w:pPr>
    </w:p>
    <w:p w:rsidR="001D6FAE" w:rsidRDefault="001D6FAE" w:rsidP="001D6FAE">
      <w:pPr>
        <w:pStyle w:val="TextoNormal"/>
      </w:pPr>
      <w:r>
        <w:t>En lo relativo a las infracciones tipificadas en los artículos 83 d) y 84 d), amén de su nula incidencia en el sistema financiero, considera el Gobierno Vasco que del levantamiento de la suspensión de ambos preceptos no resultarían perjuicios irreparables al interés público. Sería escaso el número de supuestos en los que puede darse la infracción, dado el limitado número de viviendas vacías que se adecúen a las zonas vulnerables. Tampoco sería relevante el importe de las sanciones que corresponden a dichas infracciones, que no supondrían ningún desequilibrio para el sistema, ni para las cuentas de ninguna entidad financiera y en cualquier caso, de producirse esos perjuicios, serían reparables mediante la correspondiente indemnización.</w:t>
      </w:r>
    </w:p>
    <w:p w:rsidR="001D6FAE" w:rsidRDefault="001D6FAE" w:rsidP="001D6FAE">
      <w:pPr>
        <w:pStyle w:val="TextoNormal"/>
      </w:pPr>
    </w:p>
    <w:p w:rsidR="001D6FAE" w:rsidRDefault="001D6FAE" w:rsidP="001D6FAE">
      <w:pPr>
        <w:pStyle w:val="TextoNormal"/>
      </w:pPr>
      <w:r>
        <w:t>Otro tanto cabe decir respecto al artículo 64, relativo a los medios para acreditar el uso inadecuado de las viviendas; en cualquier procedimiento judicial pueden utilizarse como medio de prueba admitido en derecho y ser contradichos por el interesado aportando evidencias contrarias. Además, esos medios probatorios afectan a todo tipo de viviendas objeto de uso inadecuado; también a las viviendas de protección pública, que tienen un régimen específico, tanto con los requisitos para su acceso como para su mantenimiento, exigiéndose que la vivienda adjudicada sea habitada. El mantenimiento de la suspensión de este precepto afectaría gravemente al régimen sancionador del uso del parque de viviendas de protección pública, dado el régimen específico de dichas viviendas; el artículo 85 f) de la propia Ley 3/2015 tipifica como infracción leve que no se ocupen de forma efectiva y en los plazos establecidos al efecto las viviendas de protección pública que les hayan sido adjudicadas, o anticiparse en su ocupación, actuación para cuya prueba se debe aplicar el artículo 64.</w:t>
      </w:r>
    </w:p>
    <w:p w:rsidR="001D6FAE" w:rsidRDefault="001D6FAE" w:rsidP="001D6FAE">
      <w:pPr>
        <w:pStyle w:val="TextoNormal"/>
      </w:pPr>
    </w:p>
    <w:p w:rsidR="001D6FAE" w:rsidRDefault="001D6FAE" w:rsidP="001D6FAE">
      <w:pPr>
        <w:pStyle w:val="TextoNormal"/>
      </w:pPr>
      <w:r>
        <w:t>Por último, en la disposición adicional primera, apartado 3, referida a los agentes que intervienen en la prestación de servicios inmobiliarios, se contienen principalmente mandatos de desarrollo reglamentario, por lo que el levantamiento de la suspensión de esta disposición no conllevaría ningún perjuicio para el interés público; será necesaria la regulación reglamentaria para que tenga efectividad lo dispuesto por el legislador, siendo en ese momento posterior, cuando podrá, contra los futuros reglamentos que se dicten, plantearse el correspondiente conflicto de competencias, en caso de subsistir dudas de inconstitucionalidad.</w:t>
      </w:r>
    </w:p>
    <w:p w:rsidR="001D6FAE" w:rsidRDefault="001D6FAE" w:rsidP="001D6FAE">
      <w:pPr>
        <w:pStyle w:val="TextoNormal"/>
      </w:pPr>
    </w:p>
    <w:p w:rsidR="001D6FAE" w:rsidRDefault="001D6FAE" w:rsidP="001D6FAE">
      <w:pPr>
        <w:pStyle w:val="TextoNormal"/>
      </w:pPr>
      <w:r w:rsidRPr="001D6FAE">
        <w:rPr>
          <w:rStyle w:val="NumeroAFNegritaCaracter"/>
        </w:rPr>
        <w:t>8</w:t>
      </w:r>
      <w:r>
        <w:t>. Por providencia de 23 de mayo de 2016 el Pleno del Tribunal acordó incorporar a las actuaciones los escritos de alegaciones presentados por el Letrado del Parlamento Vasco y por la representación procesal del Gobierno Vasco, así como oír al Abogado del Estado y a los representantes del Parlamento y del Gobierno Vasco sobre la solicitud de levantamiento de la suspensión de la vigencia y aplicación de los preceptos impugnados, para que, en el plazo de cinco días, expongan lo que consideren procedente al respecto. Asimismo se acordó resolver en su momento lo que proceda sobre la petición que formula por otrosí el Letrado del Parlamento Vasco en cuanto al traslado de las alegaciones que formule el Abogado del Estado.</w:t>
      </w:r>
    </w:p>
    <w:p w:rsidR="001D6FAE" w:rsidRDefault="001D6FAE" w:rsidP="001D6FAE">
      <w:pPr>
        <w:pStyle w:val="TextoNormal"/>
      </w:pPr>
    </w:p>
    <w:p w:rsidR="001D6FAE" w:rsidRDefault="001D6FAE" w:rsidP="001D6FAE">
      <w:pPr>
        <w:pStyle w:val="TextoNormal"/>
      </w:pPr>
      <w:r w:rsidRPr="001D6FAE">
        <w:rPr>
          <w:rStyle w:val="NumeroAFNegritaCaracter"/>
        </w:rPr>
        <w:t>9</w:t>
      </w:r>
      <w:r>
        <w:t>. Por escrito registrado en este Tribunal el 30 de mayo de 2016, el Procurador de los Tribunales don Felipe Juanas Blanco, en representación del Gobierno Vasco, se ratificó en las alegaciones presentadas en el presente recurso de inconstitucionalidad, reiterando su solicitud de que se acuerde el levantamiento de la suspensión de la vigencia y aplicación de los preceptos impugnados de la Ley 3/2015.</w:t>
      </w:r>
    </w:p>
    <w:p w:rsidR="001D6FAE" w:rsidRDefault="001D6FAE" w:rsidP="001D6FAE">
      <w:pPr>
        <w:pStyle w:val="TextoNormal"/>
      </w:pPr>
    </w:p>
    <w:p w:rsidR="001D6FAE" w:rsidRDefault="001D6FAE" w:rsidP="001D6FAE">
      <w:pPr>
        <w:pStyle w:val="TextoNormal"/>
      </w:pPr>
      <w:r w:rsidRPr="001D6FAE">
        <w:rPr>
          <w:rStyle w:val="NumeroAFNegritaCaracter"/>
        </w:rPr>
        <w:t>10</w:t>
      </w:r>
      <w:r>
        <w:t>. El Abogado del Estado, mediante escrito registrado en este Tribunal el 31 de mayo de 2016, interesó el mantenimiento de la suspensión de los preceptos legales impugnados con fundamento en las alegaciones siguientes.</w:t>
      </w:r>
    </w:p>
    <w:p w:rsidR="001D6FAE" w:rsidRDefault="001D6FAE" w:rsidP="001D6FAE">
      <w:pPr>
        <w:pStyle w:val="TextoNormal"/>
      </w:pPr>
    </w:p>
    <w:p w:rsidR="001D6FAE" w:rsidRDefault="001D6FAE" w:rsidP="001D6FAE">
      <w:pPr>
        <w:pStyle w:val="TextoNormal"/>
      </w:pPr>
      <w:r>
        <w:t>a) Tras recordar la doctrina constitucional relativa a los incidentes de suspensión de leyes autonómicas, afirma el Abogado del Estado que el levantamiento de la suspensión de los preceptos impugnados de la Ley vasca 3/2015 ocasionaría graves e irreparables perjuicios en materia de vivienda. Cuestión aparte es la también impugnada disposición adicional primera de la Ley 3/2015, en su apartado 3, referido a la intermediación en el sector inmobiliario; el levantamiento de su suspensión provocaría también perjuicios graves e irreparables para el interés general, en este caso referido a la unidad de mercado, como principio económico esencial para el funcionamiento competitivo de la economía española y que tiene su reflejo en el art. 139 CE.</w:t>
      </w:r>
    </w:p>
    <w:p w:rsidR="001D6FAE" w:rsidRDefault="001D6FAE" w:rsidP="001D6FAE">
      <w:pPr>
        <w:pStyle w:val="TextoNormal"/>
      </w:pPr>
    </w:p>
    <w:p w:rsidR="001D6FAE" w:rsidRDefault="001D6FAE" w:rsidP="001D6FAE">
      <w:pPr>
        <w:pStyle w:val="TextoNormal"/>
      </w:pPr>
      <w:r>
        <w:t>El Abogado del Estado fundamenta sus alegaciones en los informes que adjunta a su escrito, elaborados por el Ministerio de Economía y Competitividad, el Banco de España y la Sociedad de Gestión de Activos Procedentes de la Reestructuración Bancaria (SAREB). Estos informes consideran que las medidas que se contienen en los preceptos impugnados de la Ley vasca 3/2015 tienen un considerable impacto negativo sobre la situación financiera de las entidades bancarias, el crédito hipotecario, el mercado de cédulas hipotecarias y los compromisos internacionales asumidos por España, fundamentalmente en el memorando de entendimiento firmado el 20 de julio de 2012 y su seguimiento, en el marco de la ayuda financiera otorgada a nuestro país por la Unión Europea. Especialmente, el levantamiento de la suspensión provocará efectos perniciosos en la actividad y el plan de negocio de la SAREB, cuyo éxito es garantía de que la reestructuración de las entidades de crédito que se ha realizado en los últimos meses se lleva a cabo mediante un adecuado reparto de costes y minimizando el riesgo para los contribuyentes.</w:t>
      </w:r>
    </w:p>
    <w:p w:rsidR="001D6FAE" w:rsidRDefault="001D6FAE" w:rsidP="001D6FAE">
      <w:pPr>
        <w:pStyle w:val="TextoNormal"/>
      </w:pPr>
    </w:p>
    <w:p w:rsidR="001D6FAE" w:rsidRDefault="001D6FAE" w:rsidP="001D6FAE">
      <w:pPr>
        <w:pStyle w:val="TextoNormal"/>
      </w:pPr>
      <w:r>
        <w:t>De dichos informes resulta asimismo que la eventual aplicación de los preceptos de la Ley impugnada puede determinar un incremento de los costes de reestructuración asumidos por el Estado, sin añadir un mayor nivel de protección social a los deudores hipotecarios sin recursos respecto de la protección ya garantizada por la normativa estatal en vigor; todo ello en un contexto como el actual, en el que resulta imprescindible proseguir con los esfuerzos y extremar la vigilancia con el fin de proteger la estabilización definitiva del sector financiero español en un entorno económico todavía adverso.</w:t>
      </w:r>
    </w:p>
    <w:p w:rsidR="001D6FAE" w:rsidRDefault="001D6FAE" w:rsidP="001D6FAE">
      <w:pPr>
        <w:pStyle w:val="TextoNormal"/>
      </w:pPr>
    </w:p>
    <w:p w:rsidR="001D6FAE" w:rsidRDefault="001D6FAE" w:rsidP="001D6FAE">
      <w:pPr>
        <w:pStyle w:val="TextoNormal"/>
      </w:pPr>
      <w:r>
        <w:t>Señala también que el contenido de los preceptos impugnados de la Ley vasca 3/2015 coincide con el de leyes autonómicas muy similares, si no coincidentes, todas ellas impugnadas ante este Tribunal por el Presidente del Gobierno. Es el caso del Decreto-ley andaluz 6/2013, de 9 de abril, luego sustituido por la Ley del Parlamento de Andalucía 4/2013, de 1 de octubre, de medidas para asegurar el cumplimiento de la función social de la vivienda, declarado parcialmente inconstitucional por la STC 93/2015, de 14 de mayo; la Ley Foral 24/2013, de 2 de julio, de medidas urgentes para garantizar el derecho a la vivienda en Navarra; la Ley 2/2014, de 20 de junio, de modificación de la Ley 2/2003, de 30 de enero, de vivienda de Canarias y de medidas para garantizar el derecho a la vivienda; y la Ley 24/2015, de 29 de julio, de medidas urgentes para afrontar la emergencia en el ámbito de la vivienda y la pobreza energética en Cataluña. Así, en esas Leyes autonómicas se regula un procedimiento para la declaración de una vivienda deshabitada, la expropiación forzosa del uso de la vivienda atendiendo a circunstancias especiales de emergencia social y el régimen sancionador por incumplimiento de determinadas obligaciones previstas en las respectivas leyes.</w:t>
      </w:r>
    </w:p>
    <w:p w:rsidR="001D6FAE" w:rsidRDefault="001D6FAE" w:rsidP="001D6FAE">
      <w:pPr>
        <w:pStyle w:val="TextoNormal"/>
      </w:pPr>
    </w:p>
    <w:p w:rsidR="001D6FAE" w:rsidRDefault="001D6FAE" w:rsidP="001D6FAE">
      <w:pPr>
        <w:pStyle w:val="TextoNormal"/>
      </w:pPr>
      <w:r>
        <w:t>En el caso de la Ley vasca 3/2015 se prevé, además, que la posibilidad de expropiación temporal del uso de la vivienda tenga lugar no solo en el caso de viviendas incursas en procedimientos de desahucio instados por entidades financieras en ejecución hipotecaria, sino también en el caso de que el desahucio tuviera lugar por impago de cuotas en un contrato de arrendamiento, ampliando de esta manera el ámbito de aplicación de las medidas relativas a las viviendas deshabitadas. Asimismo, en la Ley 3/2015 se instaura una acción pública en materia de vivienda y se arbitran como actuaciones públicas adicionales para garantizar el uso adecuado de las viviendas deshabitadas la imposición del alquiler forzoso por un plazo máximo de cinco años, que puede prorrogarse, de viviendas deshabitadas en ámbitos de acreditada demanda y la expropiación forzosa de viviendas y anejos no protegidos, en caso de incumplimiento de su función social.</w:t>
      </w:r>
    </w:p>
    <w:p w:rsidR="001D6FAE" w:rsidRDefault="001D6FAE" w:rsidP="001D6FAE">
      <w:pPr>
        <w:pStyle w:val="TextoNormal"/>
      </w:pPr>
    </w:p>
    <w:p w:rsidR="001D6FAE" w:rsidRDefault="001D6FAE" w:rsidP="001D6FAE">
      <w:pPr>
        <w:pStyle w:val="TextoNormal"/>
      </w:pPr>
      <w:r>
        <w:t>A los efectos de este incidente de suspensión, la proliferación de este tipo de leyes autonómicas produce un efecto acumulativo, al comprender gran parte del territorio nacional; lo que podría agravar aún más los efectos negativos para el sector financiero de las medidas que en dichas normas se contienen. A ello se añade el riesgo de que las medidas contenidas en este tipo de leyes se extienda al resto de Comunidades Autónomas, poniendo en peligro la efectividad de medidas estatales de política económica general, lo que debe ponderarse a la hora de decidir sobre el mantenimiento de la suspensión de los preceptos impugnados (ATC 87/2012, de 10 de mayo, FJ 4).</w:t>
      </w:r>
    </w:p>
    <w:p w:rsidR="001D6FAE" w:rsidRDefault="001D6FAE" w:rsidP="001D6FAE">
      <w:pPr>
        <w:pStyle w:val="TextoNormal"/>
      </w:pPr>
    </w:p>
    <w:p w:rsidR="001D6FAE" w:rsidRDefault="001D6FAE" w:rsidP="001D6FAE">
      <w:pPr>
        <w:pStyle w:val="TextoNormal"/>
      </w:pPr>
      <w:r>
        <w:t>Cita también el Abogado del Estado en apoyo de su pretensión el ATC 69/2014, dictado en el incidente de suspensión de la Ley Foral 24/2013, de contenido casi idéntico a la Ley impugnada en este caso. En él este Tribunal se decantó por el mantenimiento de la suspensión al apreciar que la aplicación de las medidas impugnadas de la referida Ley Foral en materia de vivienda produciría perjuicios ciertos para el interés público, al afectar a la estabilidad del sistema financiero en su conjunto. Este criterio fue reiterado en el ATC 115/2014, que mantiene la suspensión de los preceptos impugnados de la Ley andaluza 4/2013, y en el ATC 135/2015, que mantiene la suspensión de los preceptos impugnados de la Ley canaria 2/2014.</w:t>
      </w:r>
    </w:p>
    <w:p w:rsidR="001D6FAE" w:rsidRDefault="001D6FAE" w:rsidP="001D6FAE">
      <w:pPr>
        <w:pStyle w:val="TextoNormal"/>
      </w:pPr>
    </w:p>
    <w:p w:rsidR="001D6FAE" w:rsidRDefault="001D6FAE" w:rsidP="001D6FAE">
      <w:pPr>
        <w:pStyle w:val="TextoNormal"/>
      </w:pPr>
      <w:r>
        <w:t xml:space="preserve">Apela asimismo el Abogado del Estado a la doctrina del </w:t>
      </w:r>
      <w:r w:rsidRPr="001D6FAE">
        <w:rPr>
          <w:i/>
        </w:rPr>
        <w:t>fumus boni iuris</w:t>
      </w:r>
      <w:r>
        <w:t>, que el Tribunal Constitucional ha utilizado en ocasiones para el mantenimiento de la suspensión de una ley, invocando al respecto tanto los precedentes Autos de suspensión como los fundamentos jurídicos 17 y 18 de la citada STC 93/2015, de 14 de mayo, en relación con la medida de expropiación del uso de la vivienda, prevista también en la Ley vasca impugnada.</w:t>
      </w:r>
    </w:p>
    <w:p w:rsidR="001D6FAE" w:rsidRDefault="001D6FAE" w:rsidP="001D6FAE">
      <w:pPr>
        <w:pStyle w:val="TextoNormal"/>
      </w:pPr>
    </w:p>
    <w:p w:rsidR="001D6FAE" w:rsidRDefault="001D6FAE" w:rsidP="001D6FAE">
      <w:pPr>
        <w:pStyle w:val="TextoNormal"/>
      </w:pPr>
      <w:r>
        <w:t>b) A partir de las consideraciones que anteceden, el Abogado del Estado pasa a exponer los perjuicios que a su parecer provocaría el levantamiento de la suspensión que pesa sobre los arts. 3, en sus letras t) y x); 4, en sus apartados 1 y 2 b); 6.1; 9.4; 56, en sus apartados 1, 2 y 3; 59; 63.2, en sus letras a), b), c), d), f), g) y h); 64; 72, en sus apartados 1 y 3 c); 74; 75; 83 d); y 84.d), todos ellos de la Ley vasca 3/2015.</w:t>
      </w:r>
    </w:p>
    <w:p w:rsidR="001D6FAE" w:rsidRDefault="001D6FAE" w:rsidP="001D6FAE">
      <w:pPr>
        <w:pStyle w:val="TextoNormal"/>
      </w:pPr>
    </w:p>
    <w:p w:rsidR="001D6FAE" w:rsidRDefault="001D6FAE" w:rsidP="001D6FAE">
      <w:pPr>
        <w:pStyle w:val="TextoNormal"/>
      </w:pPr>
      <w:r>
        <w:t>Se advierte previamente que, por lo que se refiere a los perjuicios para los particulares que podrían verse afectados por el mantenimiento de la suspensión, entendiendo por tales los que puedan causarse a aquellas personas a las que van dirigidas las medidas adoptadas por el legislador autonómico, que el Estado ya ha reaccionado ante esta realidad y que la concurrencia de las medidas adoptadas por la Ley autonómica con la normativa estatal al respecto, lejos de coadyuvar al objetivo de mejorar la situación de las personas que no disponen de vivienda, pueden ir en su perjuicio.</w:t>
      </w:r>
    </w:p>
    <w:p w:rsidR="001D6FAE" w:rsidRDefault="001D6FAE" w:rsidP="001D6FAE">
      <w:pPr>
        <w:pStyle w:val="TextoNormal"/>
      </w:pPr>
    </w:p>
    <w:p w:rsidR="001D6FAE" w:rsidRDefault="001D6FAE" w:rsidP="001D6FAE">
      <w:pPr>
        <w:pStyle w:val="TextoNormal"/>
      </w:pPr>
      <w:r>
        <w:t>El Estado, en el ámbito de sus competencias, ha aprobado diferentes normas de gran relevancia, como el Real Decreto-ley 6/2012, de 9 de marzo, de medidas urgentes de protección de deudores hipotecarios sin recursos, del que ya se han beneficiado cerca de 14.000 familias; también el Real Decreto 27/2012, de 15 de noviembre, de medidas urgentes para reforzar la protección a los deudores hipotecarios. Asimismo, y sin ánimo exhaustivo, cabe destacar el plan estatal de fomento del alquiler de viviendas, la rehabilitación edificatoria, la regeneración y renovación urbanas 2013-2016, aprobado por Real Decreto 233/2013, de 5 de abril. El objetivo del legislador estatal con la aprobación de estas normas no es otro que el de proteger a los colectivos más vulnerables, a quienes padecen extraordinarias dificultades para atender el pago de sus viviendas o para acceder a las mismas; se recurre a medidas tales como la posibilidad de permitir la reestructuración de la deuda hipotecaria, favorecer el acceso a una vivienda en alquiler de los desahuciados, o la posibilidad de que el deudor con el que la entidad financiera acuerde una “dación en pago” permanezca en su vivienda por un plazo de dos años en concepto de arrendatario.</w:t>
      </w:r>
    </w:p>
    <w:p w:rsidR="001D6FAE" w:rsidRDefault="001D6FAE" w:rsidP="001D6FAE">
      <w:pPr>
        <w:pStyle w:val="TextoNormal"/>
      </w:pPr>
    </w:p>
    <w:p w:rsidR="001D6FAE" w:rsidRDefault="001D6FAE" w:rsidP="001D6FAE">
      <w:pPr>
        <w:pStyle w:val="TextoNormal"/>
      </w:pPr>
      <w:r>
        <w:t>El Estado ha aprobado también el Real Decreto-ley 1/2015, de 27 de febrero, de mecanismo de segunda oportunidad, reducción de carga financiera y otras medidas de orden social, posteriormente convertido en la Ley 25/2015, de 28 de julio. Esta que contiene medidas de diferente naturaleza encaminadas tanto a la protección de aquellos deudores de un crédito o préstamo garantizado con hipoteca sobre su vivienda habitual, como a ampliar la protección de colectivos especialmente vulnerables. Más específicamente, esta norma supone mejoras adicionales a las que ya se han adoptado antes, con el objetivo de que las personas vulnerables reduzcan su carga financiera. Para ello, establece un conjunto de medidas, entre las que cabe destacar la segunda oportunidad en el ámbito concursal para deudores de buena fe con cargas, que incluye, por primera vez, a las personas físicas; el reforzamiento y flexibilización de la figura del mediador; la simplificación de los procedimientos; la reducción significativa de los aranceles notariales y registrales; la regla de que durante el plazo de negociaciones se suspenderán las ejecuciones; la ampliación del colectivo protegido por el código de buenas prácticas para deudores hipotecarios, así como la prórroga adicional de los desahucios que vencía en mayo de 2016 por dos años más.</w:t>
      </w:r>
    </w:p>
    <w:p w:rsidR="001D6FAE" w:rsidRDefault="001D6FAE" w:rsidP="001D6FAE">
      <w:pPr>
        <w:pStyle w:val="TextoNormal"/>
      </w:pPr>
    </w:p>
    <w:p w:rsidR="001D6FAE" w:rsidRDefault="001D6FAE" w:rsidP="001D6FAE">
      <w:pPr>
        <w:pStyle w:val="TextoNormal"/>
      </w:pPr>
      <w:r>
        <w:t>No se cuestiona, por tanto, que existan personas en situación de riesgo social que daban ser atendidas por los poderes públicos, pero ello debe efectuarse siempre dentro del marco constitucional de reparto de competencias y no al margen del mismo, como sucede con los preceptos de la Ley vasca impugnados. La infracción de las competencias estatales deviene, adicionalmente, en lo que interesa para este incidente de suspensión, en graves problemas para el desarrollo por el Estado de reformas de enorme trascendencia en este momento de la política económica general.</w:t>
      </w:r>
    </w:p>
    <w:p w:rsidR="001D6FAE" w:rsidRDefault="001D6FAE" w:rsidP="001D6FAE">
      <w:pPr>
        <w:pStyle w:val="TextoNormal"/>
      </w:pPr>
    </w:p>
    <w:p w:rsidR="001D6FAE" w:rsidRDefault="001D6FAE" w:rsidP="001D6FAE">
      <w:pPr>
        <w:pStyle w:val="TextoNormal"/>
      </w:pPr>
      <w:r>
        <w:t>Precisado lo anterior, el Abogado del Estado pasa a concretar, con apoyo en los referidos informes que adjunta a su escrito de alegaciones y a los que expresamente se remite, los daños que para el sistema financiero español provocaría el levantamiento de la suspensión de los preceptos impugnados.</w:t>
      </w:r>
    </w:p>
    <w:p w:rsidR="001D6FAE" w:rsidRDefault="001D6FAE" w:rsidP="001D6FAE">
      <w:pPr>
        <w:pStyle w:val="TextoNormal"/>
      </w:pPr>
    </w:p>
    <w:p w:rsidR="001D6FAE" w:rsidRDefault="001D6FAE" w:rsidP="001D6FAE">
      <w:pPr>
        <w:pStyle w:val="TextoNormal"/>
      </w:pPr>
      <w:r>
        <w:t>Se consideran como tales perjuicios graves, en primer lugar, el riesgo de incumplimiento de los compromisos de nuestro país de carácter internacional. Si bien el citado memorando de entendimiento sobre condiciones de política sectorial financiera, firmado el 20 de julio de 2012 finalizó con éxito en enero de 2014, no es menos cierto que mientras España no devuelva al menos el 75 por 100 de la ayuda financiera recibida del mecanismo europeo de estabilidad, sigue bajo la “vigilancia postprograma” de las autoridades de la Unión Europea. En el marco de esta supervisión las autoridades europeas competentes ya han examinado medidas legislativas autonómicas similares a las contenidas en la Ley vasca 3/2015, expresando su preocupación al respecto, en cuanto a que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SAREB. Esas inquietudes de las autoridades europeas son compartidas por el Banco de España, como se refleja en el informe referido a la Ley vasca 3/2015.</w:t>
      </w:r>
    </w:p>
    <w:p w:rsidR="001D6FAE" w:rsidRDefault="001D6FAE" w:rsidP="001D6FAE">
      <w:pPr>
        <w:pStyle w:val="TextoNormal"/>
      </w:pPr>
    </w:p>
    <w:p w:rsidR="001D6FAE" w:rsidRDefault="001D6FAE" w:rsidP="001D6FAE">
      <w:pPr>
        <w:pStyle w:val="TextoNormal"/>
      </w:pPr>
      <w:r>
        <w:t>La coexistencia de dos regímenes estatal y autonómico con idéntico objetivo pero distinta articulación jurídica, hace previsible que no solo surjan conflictos de aplicación que pongan en riesgo la deseable seguridad jurídica y la propia finalidad de protección perseguida por estas normas, sino que conduzcan también a la imposibilidad de que la normativa estatal despliegue sus efectos; criterio este utilizado en el citado ATC 64/2014 para acordar el mantenimiento de la suspensión. En consecuencia, parece evidente que solo una única norma de carácter y ámbito estatal evitaría cualquier incertidumbre jurídica y garantizaría una aplicación coherente de las citadas medidas de protección en todo el territorio nacional. Al respecto, se ha de tomar en consideración que la modificación del régimen estatal articulada por el Real Decreto-ley 1/2015, luego convertido en Ley 25/2015, ha ampliado el ámbito de protección de los deudores, al incrementar el concepto de lo que se ha de entender por umbral de exclusión. Este criterio ha sido acogido en la citada STC 93/2015, FJ 18, cuando hace mención al menoscabo de las competencias estatales por el Decreto-ley 6/2013 de la Junta de Andalucía, de contenido similar a la Ley vasca ahora impugnada.</w:t>
      </w:r>
    </w:p>
    <w:p w:rsidR="001D6FAE" w:rsidRDefault="001D6FAE" w:rsidP="001D6FAE">
      <w:pPr>
        <w:pStyle w:val="TextoNormal"/>
      </w:pPr>
    </w:p>
    <w:p w:rsidR="001D6FAE" w:rsidRDefault="001D6FAE" w:rsidP="001D6FAE">
      <w:pPr>
        <w:pStyle w:val="TextoNormal"/>
      </w:pPr>
      <w:r>
        <w:t>Se añade a lo anterior, de nuevo con apoyo en los informes que se adjuntan al escrito de alegaciones del Abogado del Estado, el impacto negativo que produciría en el sector bancario el levantamiento de la suspensión de las medidas legislativas impugnadas, en particular las previstas en el artículo 59: posibilidad de imponer el alquiler forzoso por un plazo máximo de cinco años, prorrogable por cinco más, de viviendas deshabitadas que se ubiquen en ámbitos de acreditada demanda y necesidad de vivienda; debiendo sufragar el propietario los gastos asumidos por la Administración en la gestión y el coste de acondicionamiento o mejora que resulten precisas para garantizar las condiciones de habitabilidad; en los artículos 74 y 75: procedimiento de expropiación temporal del uso de la vivienda, por un plazo máximo de tres años, en los casos de necesidad de vivienda de personas en especiales circunstancias de emergencia social incursas en procedimientos de desahucio por ejecución hipotecaria o por impagos de arrendamiento; también en el artículo 72: posibilidad de expropiar forzosamente las viviendas y anejos que no tengan la calificación de protección pública, en caso de incumplimiento del deber de conservación y rehabilitación y de su función social, siendo causa suficiente para esta expropiación, entre otras, la desocupación de la vivienda durante un tiempo superior a dos años sin motivo justificado, habiendo quedado acreditada la existencia de demanda de vivienda de protección pública en el término municipal o en su área funcional.</w:t>
      </w:r>
    </w:p>
    <w:p w:rsidR="001D6FAE" w:rsidRDefault="001D6FAE" w:rsidP="001D6FAE">
      <w:pPr>
        <w:pStyle w:val="TextoNormal"/>
      </w:pPr>
    </w:p>
    <w:p w:rsidR="001D6FAE" w:rsidRDefault="001D6FAE" w:rsidP="001D6FAE">
      <w:pPr>
        <w:pStyle w:val="TextoNormal"/>
      </w:pPr>
      <w:r>
        <w:t>Tales medidas generarán una mayor incertidumbre por deterioro del valor de las carteras de activos. Además, la expropiación temporal del uso de la vivienda o el alquiler forzoso supone que las entidades bancarias no podrán llevar a cabo la venta de sus viviendas adjudicadas afectadas por esta medida, al tiempo que mantendrán la titularidad de las mismas; lo que implica que dichas viviendas deberán permanecer en el balance de las entidades y, conforme a la aplicación de la normativa contable bancaria, deberán dotarse provisiones específicas que afectan a un porcentaje del valor del inmueble. A ello cabe añadir que dichas medidas reducen la eficacia de la garantía para enjugar las pérdidas derivadas del impago del prestatario, con el efecto inmediato de la reducción en el valor de la deuda que podría recuperarse. En general, tales medidas comportan un aumento del riesgo asumido por las entidades en los créditos ya concedidos, que no pueden repercutir sobre su rentabilidad; inclinan la balanza hacia un mayor riesgo, con el consiguiente efecto negativo sobre la estabilidad financiera, que podría conllevar que las entidades exigieran mayores primas de riesgo para la concesión de préstamos hipotecarios en el futuro para compensar mayores pérdidas esperadas, debido a mayores pérdidas en caso de impago. Asimismo, la aplicación de esas medidas podría también generar mayores costes para las entidades en caso de incumplimiento de las normas de prohibición de la sobreocupación o de la infravivienda, así como las relativas al uso inadecuado de la vivienda, anejo, local o alojamiento, como consecuencia del régimen sancionador establecido, lo que, en su caso, afectaría a la evolución de los márgenes y los resultados de las entidades bancarias.</w:t>
      </w:r>
    </w:p>
    <w:p w:rsidR="001D6FAE" w:rsidRDefault="001D6FAE" w:rsidP="001D6FAE">
      <w:pPr>
        <w:pStyle w:val="TextoNormal"/>
      </w:pPr>
    </w:p>
    <w:p w:rsidR="001D6FAE" w:rsidRDefault="001D6FAE" w:rsidP="001D6FAE">
      <w:pPr>
        <w:pStyle w:val="TextoNormal"/>
      </w:pPr>
      <w:r>
        <w:t>Particularmente graves serían los perjuicios que se ocasionarían para la actividad de la SAREB, creada en el marco de la Ley 9/2012. Esta Ley, desarrollada por el Real Decreto 1559/2012, detalla el régimen de transmisión obligatoria de activos problemáticos de las entidades bancarias a la SAREB. Tras una primera fase en la que la actividad de la SAREB se centró en su puesta en marcha y recepción de los activos financieros deteriorados que le fueron transferidos, la entidad se enfrenta en estos últimos tiempos al importante reto de gestionar y vender la cartera de activos en un contexto todavía difícil para el sector inmobiliario español. En ese contexto, las disposiciones de la Ley vasca 3/2015 inciden directamente, desde un punto de vista económico, sobre un instrumento de reestructuración creado por una ley estatal y financiado parcialmente por el Estado a través del fondo de reestructuración ordenada bancaria. La Ley 3/2015 supone, al menos parcialmente, la disposición indirecta de fondos públicos estatales para costear medidas de protección social autonómicas que pueden llegar a incrementar el coste económico de las medidas estatales. Asimismo, la aplicación de algunas disposiciones de la Ley 3/2015, en particular el alquiler forzoso y la expropiación temporal del derecho de uso, podrían lastrar las iniciativas de venta de paquetes de activos, en detrimento del objetivo último de la SAREB, y generar mayor incertidumbre por deterioro del valor de las carteras de activos.</w:t>
      </w:r>
    </w:p>
    <w:p w:rsidR="001D6FAE" w:rsidRDefault="001D6FAE" w:rsidP="001D6FAE">
      <w:pPr>
        <w:pStyle w:val="TextoNormal"/>
      </w:pPr>
    </w:p>
    <w:p w:rsidR="001D6FAE" w:rsidRDefault="001D6FAE" w:rsidP="001D6FAE">
      <w:pPr>
        <w:pStyle w:val="TextoNormal"/>
      </w:pPr>
      <w:r>
        <w:t>Las medidas impugnadas podrían tener también un impacto negativo sobre el crédito hipotecario, debido al deterioro de la calidad de la garantía subyacente, que dificultará la capacidad de financiación de las entidades de crédito. La Ley vasca 3/2015 perjudica el valor de esta garantía hipotecaria, cuya preservación es esencial para el correcto funcionamiento del mercado de cédulas y bonos. Ello tiene un efecto directo sobre la cartera actual de cédulas hipotecarias, que constituye la fuente más importante de financiación de préstamos hipotecarios de las entidades bancarias, pues, dado el menor valor de la garantía, los inversores exigirán un mayor volumen de préstamos que respalde las cédulas emitidas. La aplicación de la Ley vasca 3/2015, aunque sea con carácter temporal, afectaría sin duda al mercado de cédulas y bonos, que aún tiene una enorme importancia para el sistema financiero español. La Ley 3/2015 crea inseguridad jurídica en ese mercado y debilita la fuerza de la garantía hipotecaria, reduciendo la atracción de esta fuente de financiación de las entidades de crédito. La aplicación temporal de la Ley produce un efecto igualmente distorsionador, pues transmite inestabilidad a un instrumento de financiación que, por su naturaleza y el largo plazo de la garantía hipotecaria sobre la que se sostiene, debe estar a salvo de modificaciones normativas que perturben su regulación.</w:t>
      </w:r>
    </w:p>
    <w:p w:rsidR="001D6FAE" w:rsidRDefault="001D6FAE" w:rsidP="001D6FAE">
      <w:pPr>
        <w:pStyle w:val="TextoNormal"/>
      </w:pPr>
    </w:p>
    <w:p w:rsidR="001D6FAE" w:rsidRDefault="001D6FAE" w:rsidP="001D6FAE">
      <w:pPr>
        <w:pStyle w:val="TextoNormal"/>
      </w:pPr>
      <w:r>
        <w:t>c) En cuanto al apartado 3 de la disposición adicional primera de la Ley vasca 3/2015, que se refiere a la intermediación en el sector inmobiliario, sostiene el Abogado del Estado, con apoyo en el informe del Ministerio de Economía y Competitividad que adjunta, que el levantamiento de la suspensión de este precepto provocaría perjuicios graves e irreparables para la garantía de la unidad de mercado, como principio económico esencial para el funcionamiento competitivo de la economía española; sin que, por otra parte, se puedan apreciar efectos irreparables por el hecho de que no se proceda al desarrollo reglamentario ordenado por la disposición adicional impugnada hasta tanto no se resuelva el recurso de inconstitucionalidad.</w:t>
      </w:r>
    </w:p>
    <w:p w:rsidR="001D6FAE" w:rsidRDefault="001D6FAE" w:rsidP="001D6FAE">
      <w:pPr>
        <w:pStyle w:val="TextoNormal"/>
      </w:pPr>
    </w:p>
    <w:p w:rsidR="001D6FAE" w:rsidRDefault="001D6FAE" w:rsidP="001D6FAE">
      <w:pPr>
        <w:pStyle w:val="TextoNormal"/>
      </w:pPr>
      <w:r>
        <w:t>El precepto habilita a determinados profesionales para poder prestar los servicios de agente inmobiliario y prevé la constitución mediante reglamento de un registro administrativo que tendrá por objeto la inscripción de los agentes inmobiliarios y agencias que pretendan prestar sus servicios en el territorio de la Comunidad Autónoma del País Vasco. Se obliga igualmente a que el número de inscripción en el registro se coloque en los locales, papel comercial y publicidad de los agentes inmobiliarios y agencias. De esta forma, la inscripción en el futuro registro sería obligatoria para cumplir con las previsiones de la Ley vasca 3/2015 y poder ejercer la actividad de intermediación inmobiliaria en el País Vasco. La inscripción en el registro se condiciona además al cumplimiento de determinados requisitos: establecimiento abierto al público o dirección física, capacitación profesional, constitución de garantías, y contratación de seguro de responsabilidad; en caso de exigirse a operadores legalmente establecidos en otro lugar del territorio español, resultarían contrarios a la normativa básica, contenida en la Ley 10/2003, de medidas urgentes de liberalización en el sector inmobiliario y transportes, y en la Ley 20/2013, de garantía de la unidad de mercado.</w:t>
      </w:r>
    </w:p>
    <w:p w:rsidR="001D6FAE" w:rsidRDefault="001D6FAE" w:rsidP="001D6FAE">
      <w:pPr>
        <w:pStyle w:val="TextoNormal"/>
      </w:pPr>
    </w:p>
    <w:p w:rsidR="001D6FAE" w:rsidRDefault="001D6FAE" w:rsidP="001D6FAE">
      <w:pPr>
        <w:pStyle w:val="TextoNormal"/>
      </w:pPr>
      <w:r>
        <w:t>Dado que la inscripción obligatoria en un registro con carácter habilitante tiene a todos los efectos el carácter de autorización según el art. 17.1 de la Ley 20/2013, se considera que la regulación contenida en la Ley vasca 3/2015 supondrá un incumplimiento del principio de eficacia de las actuaciones de las autoridades competentes en todo el territorio nacional prevista en el art. 6 de la Ley 20/2013. El perjuicio para el interés general que provocaría el levantamiento de la suspensión de la norma impugnada se manifestaría en la permanencia y vigencia en el ordenamiento jurídico del País Vasco de determinados preceptos que se oponen a lo establecido en la Ley 20/2013; norma básica que intenta garantizar la unidad de mercado como principio económico esencial, para el funcionamiento competitivo de la economía española, y que tiene su reflejo en el art. 139 CE. La aplicación de la norma cuestionada ocasionaría un claro perjuicio para el funcionamiento competitivo de la economía española, dado que habilita al reglamento para la futura creación del mencionado registro. La fragmentación del mercado es susceptible de dificultar o impedir que determinados profesionales en activo en otras partes del territorio presten sus servicios en el País Vasco, evitando el aprovechamiento de economías de escala a nivel nacional y limitando la presión competitiva; lo que en última instancia puede afectar a los precios y calidad de los servicios ofertados y generar consecuencias perniciosas en términos de oportunidades de crecimiento y empleo, afectando así a la competitividad de la economía española.</w:t>
      </w:r>
    </w:p>
    <w:p w:rsidR="001D6FAE" w:rsidRDefault="001D6FAE" w:rsidP="001D6FAE">
      <w:pPr>
        <w:pStyle w:val="TextoNormal"/>
      </w:pPr>
    </w:p>
    <w:p w:rsidR="001D6FAE" w:rsidRDefault="001D6FAE" w:rsidP="001D6FAE">
      <w:pPr>
        <w:pStyle w:val="TextoNormal"/>
      </w:pPr>
      <w:r w:rsidRPr="001D6FAE">
        <w:rPr>
          <w:rStyle w:val="NumeroAFNegritaCaracter"/>
        </w:rPr>
        <w:t>11</w:t>
      </w:r>
      <w:r>
        <w:t>. El Letrado del Parlamento Vasco, por escrito registrado en este Tribunal el 3 de junio de 2016, solicitó el levantamiento de la suspensión de la vigencia y aplicación de los preceptos impugnados de la Ley 3/2015, por las mismas razones aducidas en este incidente por la representación procesal del Gobierno Vasco.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 esta resolución es determinar si procede mantener o levantar la suspensión de la vigencia de los arts. 3, en sus letras t) y x); 4, en sus apartados 1 y 2 b); 6.1; 9.4; 56, en sus apartados 1, 2 y 3; 59; 63.2, en sus letras a), b), c), d), f), g) y h); 64; 72, en sus apartados 1 y 3 c); 74; 75; 83 d); 84 d); y apartado 3 de la disposición adicional primera, todos ellos de la Ley del Parlamento Vasco 3/2015, de 18 de junio, de vivienda, que se encuentran suspendidos en su aplicación como consecuencia de la invocación de los arts. 161.2 CE y 30 de la Ley Orgánica del Tribunal Constitucional (LOTC) por el Presidente del Gobierno en su escrito de interposición del recurso de inconstitucionalidad.</w:t>
      </w:r>
    </w:p>
    <w:p w:rsidR="001D6FAE" w:rsidRDefault="001D6FAE" w:rsidP="001D6FAE">
      <w:pPr>
        <w:pStyle w:val="TextoNormal"/>
      </w:pPr>
    </w:p>
    <w:p w:rsidR="001D6FAE" w:rsidRDefault="001D6FAE" w:rsidP="001D6FAE">
      <w:pPr>
        <w:pStyle w:val="TextoNormal"/>
      </w:pPr>
      <w:r>
        <w:t>Las representaciones procesales del Gobierno y del Parlamento Vasco han solicitado el levantamiento anticipado de la suspensión, conforme ha quedado expresado en los antecedentes, mientras que el Abogado del Estado se opone a esta pretensión, interesando el mantenimiento de la suspensión con una argumentación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y 135/2015, de 21 de julio (en el recurso contra diversos preceptos de la Ley 2/2014, de 20 de junio, de modificación de la Ley 2/2003, de 30 de enero, de vivienda de Canarias y de medidas para garantizar el derecho a la vivienda). El propio Abogado del Estado trae a colación los Autos citados en apoyo de su pretensión, mientras que los representantes procesales del Gobierno y del Parlamento Vasco consideran que la respuesta dada en dichos Autos a los conflictos allí suscitados no puede trasladarse al presente caso, puesto que las circunstancias de hecho concretas y singulares que concurren en relación con la normativa vasca impugnada conducen a entender que no existen perjuicios para el interés general que justifiquen el mantenimiento de la suspensión.</w:t>
      </w:r>
    </w:p>
    <w:p w:rsidR="001D6FAE" w:rsidRDefault="001D6FAE" w:rsidP="001D6FAE">
      <w:pPr>
        <w:pStyle w:val="TextoNormal"/>
      </w:pPr>
    </w:p>
    <w:p w:rsidR="001D6FAE" w:rsidRDefault="001D6FAE" w:rsidP="001D6FAE">
      <w:pPr>
        <w:pStyle w:val="TextoNormal"/>
      </w:pPr>
      <w:r w:rsidRPr="001D6FAE">
        <w:rPr>
          <w:rStyle w:val="NumeroAFNegritaCaracter"/>
        </w:rPr>
        <w:t>2</w:t>
      </w:r>
      <w:r>
        <w:t>. La solicitud de levantamiento anticipado de la suspensión sin esperar al transcurso de los cinco meses previstos en el art. 161.2 CE resulta viable procesalmente, pues, conforme a nuestra reiterada doctrina al respecto,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y 196/2015, de 18 de noviembre, FJ 2).</w:t>
      </w:r>
    </w:p>
    <w:p w:rsidR="001D6FAE" w:rsidRDefault="001D6FAE" w:rsidP="001D6FAE">
      <w:pPr>
        <w:pStyle w:val="TextoNormal"/>
      </w:pPr>
    </w:p>
    <w:p w:rsidR="001D6FAE" w:rsidRDefault="001D6FAE" w:rsidP="001D6FAE">
      <w:pPr>
        <w:pStyle w:val="TextoNormal"/>
      </w:pPr>
      <w:r>
        <w:t>Sobre este tipo de incidentes de suspensión existe una consolidada doctrina constitucional, según la cual,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001D6FAE" w:rsidRDefault="001D6FAE" w:rsidP="001D6FAE">
      <w:pPr>
        <w:pStyle w:val="TextoNormal"/>
      </w:pPr>
    </w:p>
    <w:p w:rsidR="001D6FAE" w:rsidRDefault="001D6FAE" w:rsidP="001D6FAE">
      <w:pPr>
        <w:pStyle w:val="TextoNormal"/>
      </w:pPr>
      <w:r>
        <w:t>Igualmente se ha destacado en nuestra doctrina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100/2002, de 5 de junio, FJ 2; 355/2007, de 24 de julio, FJ 2; 225/2009, de 10 de diciembre, FJ 2; 44/2011, de 12 de abril, FJ 2; 86/2012, de 8 de mayo, FJ 2, y 122/2015, de 7 de julio, FJ 2).</w:t>
      </w:r>
    </w:p>
    <w:p w:rsidR="001D6FAE" w:rsidRDefault="001D6FAE" w:rsidP="001D6FAE">
      <w:pPr>
        <w:pStyle w:val="TextoNormal"/>
      </w:pPr>
    </w:p>
    <w:p w:rsidR="001D6FAE" w:rsidRDefault="001D6FAE" w:rsidP="001D6FAE">
      <w:pPr>
        <w:pStyle w:val="TextoNormal"/>
      </w:pPr>
      <w:r w:rsidRPr="001D6FAE">
        <w:rPr>
          <w:rStyle w:val="NumeroAFNegritaCaracter"/>
        </w:rPr>
        <w:t>3</w:t>
      </w:r>
      <w:r>
        <w:t>. Antes de abordar el examen de las alegaciones formuladas por la Abogacía del Estado a favor de mantener la suspensión de la vigencia y aplicación de los preceptos recurridos de la Ley vasca 3/2015, así como las de representaciones procesales del Gobierno y del Parlamento Vasco en pro del levantamiento de la suspensión, hemos de resolver la cuestión de orden procesal suscitada por el Letrado del Parlamento Vasco. Conforme ha quedado expuesto en los antecedentes, este solicitó mediante otrosí, en su escrito de alegaciones en el recurso de inconstitucionalidad, que, antes de cumplimentar el trámite para alegar sobre el levantamiento de la suspensión, le fueran remitidas las alegaciones que realizara el Abogado del Estado en este incidente cautelar.</w:t>
      </w:r>
    </w:p>
    <w:p w:rsidR="001D6FAE" w:rsidRDefault="001D6FAE" w:rsidP="001D6FAE">
      <w:pPr>
        <w:pStyle w:val="TextoNormal"/>
      </w:pPr>
    </w:p>
    <w:p w:rsidR="001D6FAE" w:rsidRDefault="001D6FAE" w:rsidP="001D6FAE">
      <w:pPr>
        <w:pStyle w:val="TextoNormal"/>
      </w:pPr>
      <w:r>
        <w:t>No existiendo impedimento alguno, conforme ha quedado expuesto, en que revisemos la suspensión con antelación al cumplimiento de los cinco meses previstos en el art. 161.2 CE, este Tribunal, como consta en los antecedentes, dirigió providencia a las partes con fecha 23 de mayo de 2016 para que, en el plazo de cinco días, expusieren lo que conviniere a su derecho en orden al levantamiento o mantenimiento de los preceptos impugnados (lo que fue cumplimentado tanto por el Abogado del Estado como por los representantes procesales del Gobierno y del Parlamento Vasco en los términos que han quedado reflejados en los antecedentes); asimismo se acordó en el mismo proveído resolver en su momento lo que proceda sobre la petición que formula por otrosí el Letrado del Parlamento Vasco en cuanto al traslado de las alegaciones que formule el Abogado del Estado en este incidente.</w:t>
      </w:r>
    </w:p>
    <w:p w:rsidR="001D6FAE" w:rsidRDefault="001D6FAE" w:rsidP="001D6FAE">
      <w:pPr>
        <w:pStyle w:val="TextoNormal"/>
      </w:pPr>
    </w:p>
    <w:p w:rsidR="001D6FAE" w:rsidRDefault="001D6FAE" w:rsidP="001D6FAE">
      <w:pPr>
        <w:pStyle w:val="TextoNormal"/>
      </w:pPr>
      <w:r>
        <w:t>La petición formulada por el Letrado del Parlamento Vasco mediante otrosí en su escrito de alegaciones en el recurso de inconstitucionalidad debe ser rechazada. Las decisiones que este Tribunal adopta sobre el mantenimiento o levantamiento de la suspensión de las leyes, disposiciones y resoluciones de las Comunidades Autónomas cuando se haya invocado por el Presidente del Gobierno el art. 161.2 CE se sustentan, exclusivamente, en la valoración de las alegaciones, esencialmente fácticas, que las partes comparecidas en el correspondiente proceso realicen ajustándose a la doctrina expuesta en el fundamento jurídico 2. Lo hace “sujetándose también a la concepción que la LOTC tiene de los plazos que se otorgan a las partes ya comparecidas en los distintos procedimientos constitucionales, plazos que se rigen por el criterio de la simultaneidad y no por el de la contradicción” (ATC 428/2004, de 10 de noviembre, FJ 3). Por lo expuesto, no procede acceder a lo solicitado por el Letrado del Parlamento Vasco.</w:t>
      </w:r>
    </w:p>
    <w:p w:rsidR="001D6FAE" w:rsidRDefault="001D6FAE" w:rsidP="001D6FAE">
      <w:pPr>
        <w:pStyle w:val="TextoNormal"/>
      </w:pPr>
    </w:p>
    <w:p w:rsidR="001D6FAE" w:rsidRDefault="001D6FAE" w:rsidP="001D6FAE">
      <w:pPr>
        <w:pStyle w:val="TextoNormal"/>
      </w:pPr>
      <w:r>
        <w:t>Despejada esta cuestión previa, cumple resolver seguidamente si procede el levantamiento o el mantenimiento de la suspensión de los preceptos impugnados de la Ley del Parlamento Vasco 3/2015, de vivienda, para lo cual resulta oportuno recordar su contenido.</w:t>
      </w:r>
    </w:p>
    <w:p w:rsidR="001D6FAE" w:rsidRDefault="001D6FAE" w:rsidP="001D6FAE">
      <w:pPr>
        <w:pStyle w:val="TextoNormal"/>
      </w:pPr>
    </w:p>
    <w:p w:rsidR="001D6FAE" w:rsidRDefault="001D6FAE" w:rsidP="001D6FAE">
      <w:pPr>
        <w:pStyle w:val="TextoNormal"/>
      </w:pPr>
      <w:r w:rsidRPr="001D6FAE">
        <w:rPr>
          <w:rStyle w:val="NumeroAFNegritaCaracter"/>
        </w:rPr>
        <w:t>4</w:t>
      </w:r>
      <w:r>
        <w:t>. La Ley vasca 3/2015, de vivienda, en lo que atañe a los preceptos impugnados por motivos competenciales, define los conceptos legales de uso adecuado de la vivienda y de vivienda deshabitada; entiende por tal la que incumple su función social por encontrarse desocupada de forma continuada durante un tiempo superior a dos años, sin causa justificada por los medios previstos en la propia norma autonómica. Impone a los propietarios el deber jurídico de destinar las viviendas de forma efectiva al uso habitacional, bajo amenaza de sanción en caso de incumplimiento de este deber, con arreglo a un sistema de presunciones; contempla entre las competencias de la Administración autonómica la adopción de medidas de intervención tales como el ejercicio del derecho de adquisición preferente y el desahucio administrativo, el alquiler forzoso de las viviendas deshabitadas, la expropiación forzosa de las viviendas deshabitadas y la expropiación forzosa del uso temporal de viviendas incursas en procesos de desahucio por ejecución hipotecaria, la venta forzosa, y la imposición de multas coercitivas y sanciones por incumplir las normas relativas al uso adecuado de la vivienda.</w:t>
      </w:r>
    </w:p>
    <w:p w:rsidR="001D6FAE" w:rsidRDefault="001D6FAE" w:rsidP="001D6FAE">
      <w:pPr>
        <w:pStyle w:val="TextoNormal"/>
      </w:pPr>
    </w:p>
    <w:p w:rsidR="001D6FAE" w:rsidRDefault="001D6FAE" w:rsidP="001D6FAE">
      <w:pPr>
        <w:pStyle w:val="TextoNormal"/>
      </w:pPr>
      <w:r>
        <w:t>En suma, el contenido impugnado de la Ley del Parlamento Vasco 3/2015, de vivienda, es similar en lo fundamental al de las Leyes autonómicas en materia de vivienda antes citadas de Navarra, Andalucía y Canarias, también recurridas ante este Tribunal y respecto de las que han recaído los citados AATC 69/2014, 115/2014 y 135/2015, acordando el mantenimiento de la suspensión de los correspondientes preceptos impugnados (a los que cabe añadir el ATC 32/2015, de 17 de febrero, que reitera lo razonado y acordado en el ATC 115/2014). Además, en lo que constituye objeto del presente recurso, la Ley vasca 3/2015 establece (art. 6.1) una nueva acción pública para exigir ante la Administración y los juzgados y tribunales de la jurisdicción competente la observancia de la propia Ley y de las normas, disposiciones, planes y programas que se dicten en desarrollo y ejecución de la misma, y habilita al desarrollo reglamentario para la regulación de la actividad de agente inmobiliario en el País Vasco (apartado 3 de la disposición adicional primera).</w:t>
      </w:r>
    </w:p>
    <w:p w:rsidR="001D6FAE" w:rsidRDefault="001D6FAE" w:rsidP="001D6FAE">
      <w:pPr>
        <w:pStyle w:val="TextoNormal"/>
      </w:pPr>
    </w:p>
    <w:p w:rsidR="001D6FAE" w:rsidRDefault="001D6FAE" w:rsidP="001D6FAE">
      <w:pPr>
        <w:pStyle w:val="TextoNormal"/>
      </w:pPr>
      <w:r w:rsidRPr="001D6FAE">
        <w:rPr>
          <w:rStyle w:val="NumeroAFNegritaCaracter"/>
        </w:rPr>
        <w:t>5</w:t>
      </w:r>
      <w:r>
        <w:t>. Los daños y perjuicios de imposible o difícil reparación invocados en este caso por el Abogado del Estado son los mismos que se pusieron de manifiesto y se valoraron por este Tribunal en los referidos AATC 69/2014, 115/2014, 32/2015 y 135/2015. Similares son también los menoscabos de intereses públicos y privados derivados de la inaplicación de los preceptos impugnados de la Ley autonómica, sin que las partes hayan traído a colación nuevos elementos entonces no considerados, por lo que el resultado de nuestra ponderación debe ser el mismo que entonces (dejamos al margen por ahora el artículo 6.1, referido a la acción pública, y la disposición adicional primera, referida a la intermediación en el sector inmobiliario, de los que más adelante nos ocuparemos). En consecuencia, debe mantenerse la suspensión de los arts. 3, en sus letras t) y x); 4, en sus apartados 1 y 2 b); 9.4; 56, en sus apartados 1, 2 y 3; 59; 63.2, en sus letras a), b), c), d), f), g) y h); 64; 72, en sus apartados 1 y 3 c); 74; 75; 83 d); y 84 d); todos ellos de la Ley del Parlamento Vasco 3/2015, de vivienda, por las razones ya expuestas en los Autos de este Tribunal citados, que son, de forma sucinta, y proyectadas al presente caso, las siguientes:</w:t>
      </w:r>
    </w:p>
    <w:p w:rsidR="001D6FAE" w:rsidRDefault="001D6FAE" w:rsidP="001D6FAE">
      <w:pPr>
        <w:pStyle w:val="TextoNormal"/>
      </w:pPr>
    </w:p>
    <w:p w:rsidR="001D6FAE" w:rsidRDefault="001D6FAE" w:rsidP="001D6FAE">
      <w:pPr>
        <w:pStyle w:val="TextoNormal"/>
      </w:pPr>
      <w:r>
        <w:t>a) Existe un perjuicio cierto para el interés general que subyace en el buen funcionamiento y estabilidad del sistema financiero en su conjunto (AATC 69/2014, FFJJ 5, 6 y 7; 115/2014, FJ 5; y 131/2015, FJ 3) pues, aunque en términos cuantitativamente reducidos, los preceptos impugnados de la Ley vasca 3/2015 producen un menoscabo cierto para la estabilidad del sistema financiero, de manera que puede ponerse en riesgo la reestructuración bancaria apoyada con dinero público y el cumplimiento por España de sus compromisos internacionales, debiéndose tener en cuenta, además, que a la Ley vasca 3/2015 deben sumarse las otras tres Leyes autonómicas en materia de vivienda anteriormente mencionadas; a ellas cabe añadir la Ley catalana 24/2015, de 29 de julio, que ha sido objeto de recurso de inconstitucionalidad, en el que también el Presidente del Gobierno ha invocado los arts. 161.2 CE y 30 LOTC, a fin de que se produzca la suspensión de la aplicación de los preceptos impugnados.</w:t>
      </w:r>
    </w:p>
    <w:p w:rsidR="001D6FAE" w:rsidRDefault="001D6FAE" w:rsidP="001D6FAE">
      <w:pPr>
        <w:pStyle w:val="TextoNormal"/>
      </w:pPr>
    </w:p>
    <w:p w:rsidR="001D6FAE" w:rsidRDefault="001D6FAE" w:rsidP="001D6FAE">
      <w:pPr>
        <w:pStyle w:val="TextoNormal"/>
      </w:pPr>
      <w:r>
        <w:t>Tales perjuicios para los intereses públicos se producen, según los informes del Banco de España, del Ministerio de Economía y Competitividad y de la Sociedad de Gestión de Activos Procedentes de la Reestructuración Bancaria (SAREB),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 (ATC 69/2014, FJ 7). Desde la óptica que nos ocupa poco importa que el programa de asistencia financiera a España, acordado por el Eurogrupo el 9 de julio de 2012 (memorando de entendimiento sobre condiciones de política sectorial financiera firmado el 20 de julio de 2012) con una duración de 18 meses, haya llegado a su fin de un modo satisfactorio; las condiciones impuestas, lejos de estar consumadas, siguen vigentes y desplegando sus efectos, los cuales han de sujetarse a los compromisos asumidos por España dentro de la Unión Europa, en particular en lo relativo a las ayudas de Estado. En el marco de esta supervisión las autoridades europeas competentes ya han examinado medidas legislativas autonómicas similares a las contenidas en la Ley vasca 3/2015, expresando su preocupación en cuanto a que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SAREB. Esas inquietudes de las autoridades europeas son compartidas por el Banco de España, como se refleja en su documento referido a la Ley vasca 3/2015, que aporta junto a su escrito de alegaciones el Abogado del Estado.</w:t>
      </w:r>
    </w:p>
    <w:p w:rsidR="001D6FAE" w:rsidRDefault="001D6FAE" w:rsidP="001D6FAE">
      <w:pPr>
        <w:pStyle w:val="TextoNormal"/>
      </w:pPr>
    </w:p>
    <w:p w:rsidR="001D6FAE" w:rsidRDefault="001D6FAE" w:rsidP="001D6FAE">
      <w:pPr>
        <w:pStyle w:val="TextoNormal"/>
      </w:pPr>
      <w:r>
        <w:t>En suma, aunque en términos cuantitativos reducidos, los preceptos impugnados “inciden en el sistema financiero en su conjunto, generando, en una situación como la presente de excepcional desconfianza en el sistema crediticio globalmente considerado, un menoscabo para el interés público que supone la estabilidad de dicho sistema y, en la medida que pueda poner en riesgo que la reestructuración bancaria apoyada con dinero público en virtud de un régimen especial de ayudas de Estado se desarrolle en los términos autorizados, da lugar a una afectación igualmente cierta para cumplimiento por España de sus compromisos internacionales, intereses prevalentes en la cuestión examinada y claramente distintos de los perjuicios reparables que pudieran sufrir las entidades de crédito, singularmente consideradas” (ATC 69/2014, FJ 7).</w:t>
      </w:r>
    </w:p>
    <w:p w:rsidR="001D6FAE" w:rsidRDefault="001D6FAE" w:rsidP="001D6FAE">
      <w:pPr>
        <w:pStyle w:val="TextoNormal"/>
      </w:pPr>
    </w:p>
    <w:p w:rsidR="001D6FAE" w:rsidRDefault="001D6FAE" w:rsidP="001D6FAE">
      <w:pPr>
        <w:pStyle w:val="TextoNormal"/>
      </w:pPr>
      <w:r>
        <w:t>b) Asimismo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y 131/2015, FJ 3), en concreto el de garantizar la efectividad del derecho a una vivienda.</w:t>
      </w:r>
    </w:p>
    <w:p w:rsidR="001D6FAE" w:rsidRDefault="001D6FAE" w:rsidP="001D6FAE">
      <w:pPr>
        <w:pStyle w:val="TextoNormal"/>
      </w:pPr>
    </w:p>
    <w:p w:rsidR="001D6FAE" w:rsidRDefault="001D6FAE" w:rsidP="001D6FAE">
      <w:pPr>
        <w:pStyle w:val="TextoNormal"/>
      </w:pPr>
      <w:r>
        <w:t>Al respecto debe tenerse en cuenta que, como se recuerda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 su vivienda. Adoptó al efecto el Real Decreto-ley 27/2012, de 15 de noviembre, que luego se ha convertido, en virtud de la tramitación parlamentaria como proyecto de ley, en Ley 1/2013, de 14 de mayo, de medidas para reforzar la protección a los deudores hipotecarios, reestructuración de deuda y alquiler social, modificada parcialmente por el art.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001D6FAE" w:rsidRDefault="001D6FAE" w:rsidP="001D6FAE">
      <w:pPr>
        <w:pStyle w:val="TextoNormal"/>
      </w:pPr>
    </w:p>
    <w:p w:rsidR="001D6FAE" w:rsidRDefault="001D6FAE" w:rsidP="001D6FAE">
      <w:pPr>
        <w:pStyle w:val="TextoNormal"/>
      </w:pPr>
      <w:r>
        <w:t>c) Los perjuicios derivados de la suspensión y consistentes en el menoscabo del interés público al que responde la norma autonómica: la garantía del derecho a la vivienda y el interés privado de los colectivos más vulnerables que se verían beneficiados, resultan notoriamente reducidos porque el Estado también ha dispuesto normas que atienden a estos mismos intereses (AATC 69/2014, FJ 9; 115/2014, FJ 5; 32/2015, FJ 6, y 135/2015, FJ 3).</w:t>
      </w:r>
    </w:p>
    <w:p w:rsidR="001D6FAE" w:rsidRDefault="001D6FAE" w:rsidP="001D6FAE">
      <w:pPr>
        <w:pStyle w:val="TextoNormal"/>
      </w:pPr>
    </w:p>
    <w:p w:rsidR="001D6FAE" w:rsidRDefault="001D6FAE" w:rsidP="001D6FAE">
      <w:pPr>
        <w:pStyle w:val="TextoNormal"/>
      </w:pPr>
      <w:r>
        <w:t>Es el caso, como se recuerda en el ATC 69/2014, FJ 9, del ya citado Real Decreto-ley 27/2012, de 15 de noviembre, de medidas urgentes para reforzar la protección a los deudores hipotecarios, derogado tras ser tramitado como ley por la igualmente citada Ley 1/2013, de 14 de mayo, de medidas para reforzar la protección a los deudores hipotecarios, reestructuración de deuda y alquiler social, modificada parcialmente por el Real Decreto-ley 1/2015, de 27 de febrero, de mecanismo de segunda oportunidad, reducción de carga financiera y otras medidas de orden social. En él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1D6FAE" w:rsidRDefault="001D6FAE" w:rsidP="001D6FAE">
      <w:pPr>
        <w:pStyle w:val="TextoNormal"/>
      </w:pPr>
    </w:p>
    <w:p w:rsidR="001D6FAE" w:rsidRDefault="001D6FAE" w:rsidP="001D6FAE">
      <w:pPr>
        <w:pStyle w:val="TextoNormal"/>
      </w:pPr>
      <w:r>
        <w:t>A las disposiciones reseñadas cabría añadir otras de no menor relevancia, que cita el Abogado del Estado en sus alegaciones, como el Real Decreto-ley 6/2012, de 9 de marzo, de medidas urgentes de protección de deudores hipotecarios sin recursos y el plan estatal de fomento del alquiler de viviendas, la rehabilitación edificatoria, la regeneración y renovación urbanas 2013-2016, aprobado por Real Decreto 233/2013, de 5 de abril. El Estado ha aprobado también el Real Decreto-ley 1/2015, de 27 de febrero, de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001D6FAE" w:rsidRDefault="001D6FAE" w:rsidP="001D6FAE">
      <w:pPr>
        <w:pStyle w:val="TextoNormal"/>
      </w:pPr>
    </w:p>
    <w:p w:rsidR="001D6FAE" w:rsidRDefault="001D6FAE" w:rsidP="001D6FAE">
      <w:pPr>
        <w:pStyle w:val="TextoNormal"/>
      </w:pPr>
      <w:r>
        <w:t>d) En suma, procede reiterar la misma conclusión sentada en los AATC 69/2014, FJ 10, y 115/2014, FJ 5,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1D6FAE" w:rsidRDefault="001D6FAE" w:rsidP="001D6FAE">
      <w:pPr>
        <w:pStyle w:val="TextoNormal"/>
      </w:pPr>
    </w:p>
    <w:p w:rsidR="001D6FAE" w:rsidRDefault="001D6FAE" w:rsidP="001D6FAE">
      <w:pPr>
        <w:pStyle w:val="TextoNormal"/>
      </w:pPr>
      <w:r>
        <w:t>Es preciso, por tanto, mantener la suspensión que afecta a los arts. 3, en sus letras t) y x); 4, en sus apartados 1 y 2 b); 9.4; 56, en sus apartados 1, 2 y 3; 59; 63.2, en sus letras a), b), c), d), f), g) y h); 64; 72, en sus apartados 1 y 3 c); 74; 75; 83 d); y 84 d), todos ellos de la Ley del Parlamento Vasco 3/2015, de vivienda.</w:t>
      </w:r>
    </w:p>
    <w:p w:rsidR="001D6FAE" w:rsidRDefault="001D6FAE" w:rsidP="001D6FAE">
      <w:pPr>
        <w:pStyle w:val="TextoNormal"/>
      </w:pPr>
    </w:p>
    <w:p w:rsidR="001D6FAE" w:rsidRDefault="001D6FAE" w:rsidP="001D6FAE">
      <w:pPr>
        <w:pStyle w:val="TextoNormal"/>
      </w:pPr>
      <w:r w:rsidRPr="001D6FAE">
        <w:rPr>
          <w:rStyle w:val="NumeroAFNegritaCaracter"/>
        </w:rPr>
        <w:t>6</w:t>
      </w:r>
      <w:r>
        <w:t>. Por el contrario, ha de levantarse la suspensión que pesa sobre el art. 6.1 de la Ley vasca 3/2015, de vivienda, pues no se aportan por el Abogado del Estado argumentos que justifiquen el mantenimiento de dicha suspensión. Este precepto —impugnado también por motivos competenciales— establece una nueva “acción pública” para exigir ante la Administración y los juzgados y tribunales de la jurisdicción competente la observancia de la propia Ley 3/2015 y de las normas, disposiciones, planes y programas que se dicten en desarrollo y ejecución de la misma.</w:t>
      </w:r>
    </w:p>
    <w:p w:rsidR="001D6FAE" w:rsidRDefault="001D6FAE" w:rsidP="001D6FAE">
      <w:pPr>
        <w:pStyle w:val="TextoNormal"/>
      </w:pPr>
    </w:p>
    <w:p w:rsidR="001D6FAE" w:rsidRDefault="001D6FAE" w:rsidP="001D6FAE">
      <w:pPr>
        <w:pStyle w:val="TextoNormal"/>
      </w:pPr>
      <w:r>
        <w:t>Conforme a nuestra reiterada doctrina al respecto, la resolución que debemos adoptar en este incidente solo puede ser el resultado de ponderar, de un lado, los perjuicios reales y efectivos para los intereses públicos y privados asociados al levantamiento de la suspensión y, de otro, la presunción de constitucionalidad de que gozan las normas legales, dejando a un lado cualquier consideración sobre el fondo de la inconstitucionalidad denunciada.</w:t>
      </w:r>
    </w:p>
    <w:p w:rsidR="001D6FAE" w:rsidRDefault="001D6FAE" w:rsidP="001D6FAE">
      <w:pPr>
        <w:pStyle w:val="TextoNormal"/>
      </w:pPr>
    </w:p>
    <w:p w:rsidR="001D6FAE" w:rsidRDefault="001D6FAE" w:rsidP="001D6FAE">
      <w:pPr>
        <w:pStyle w:val="TextoNormal"/>
      </w:pPr>
      <w:r>
        <w:t>Las alegaciones del Abogado del Estado a favor del mantenimiento de la suspensión de los preceptos impugnados de la Ley vasca 3/2015 (semejantes a las que se efectuaron en los recursos que dieron lugar a los citados AATC 69/2014, 115/2014, 32/2015 y 135/2015, como ya se dijo) hacen referencia a los daños y perjuicios que para la estabilidad del sistema financiero provocaría el levantamiento de la suspensión de los preceptos impugnados en cuanto contemplan un conjunto de medidas en materia de vivienda a las que ya se ha hecho referencia. Así las cosas, no es posible entender que el Abogado del Estado haya cumplido la carga argumentativa exigible para acreditar que la previsión que se contiene en el art. 6.1 de la Ley vasca 3/2015 produzca perjuicios de imposible o difícil reparación para el interés general o los intereses de los particulares, pues en sus alegaciones sobre los perjuicios que las medidas en materia de vivienda pueden ocasionar para el sistema financiero en su conjunto no puede entenderse comprendida la regulación contenida en el artículo 6.1, en la medida que este precepto refiere la acción pública que contempla a todas las disposiciones de la Ley vasca 3/2015, así como a las normas, disposiciones, planes y programas que se dicten en desarrollo y ejecución de la misma. Es notorio que no todas las medidas y disposiciones contenidas en esta Ley han sido impugnadas en el recurso de inconstitucionalidad interpuesto por el Presidente del Gobierno. En consecuencia, para acordar, en su caso, el mantenimiento de la suspensión del art. 6.1 de la Ley vasca 3/2015, habría sido necesario que el Abogado del Estado hubiese acreditado o, al menos, razonado consistentemente en sus alegaciones, los concretos perjuicios que produciría la vigencia y aplicación de dicho precepto y la imposible o difícil reparación de los mismos.</w:t>
      </w:r>
    </w:p>
    <w:p w:rsidR="001D6FAE" w:rsidRDefault="001D6FAE" w:rsidP="001D6FAE">
      <w:pPr>
        <w:pStyle w:val="TextoNormal"/>
      </w:pPr>
    </w:p>
    <w:p w:rsidR="001D6FAE" w:rsidRDefault="001D6FAE" w:rsidP="001D6FAE">
      <w:pPr>
        <w:pStyle w:val="TextoNormal"/>
      </w:pPr>
      <w:r>
        <w:t>Procede, por tanto, levantar la suspensión del art. 6.1 de la Ley del Parlamento Vasco 3/2015, de vivienda, si bien ha de precisarse que la acción pública prevista en ese artículo no podrá ejercitarse para exigir la observancia de los preceptos de dicha Ley sobre los que se acuerda mantener la suspensión, conforme a lo razonado en el fundamento jurídico precedente.</w:t>
      </w:r>
    </w:p>
    <w:p w:rsidR="001D6FAE" w:rsidRDefault="001D6FAE" w:rsidP="001D6FAE">
      <w:pPr>
        <w:pStyle w:val="TextoNormal"/>
      </w:pPr>
    </w:p>
    <w:p w:rsidR="001D6FAE" w:rsidRDefault="001D6FAE" w:rsidP="001D6FAE">
      <w:pPr>
        <w:pStyle w:val="TextoNormal"/>
      </w:pPr>
      <w:r w:rsidRPr="001D6FAE">
        <w:rPr>
          <w:rStyle w:val="NumeroAFNegritaCaracter"/>
        </w:rPr>
        <w:t>7</w:t>
      </w:r>
      <w:r>
        <w:t>. Resta, por último, que nos pronunciemos acerca del mantenimiento o levantamiento de la suspensión que pesa sobre el apartado 3 de la disposición adicional primera de la Ley del Parlamento Vasco 3/2015, de Vivienda, que se refiere a la intermediación en el sector inmobiliario.</w:t>
      </w:r>
    </w:p>
    <w:p w:rsidR="001D6FAE" w:rsidRDefault="001D6FAE" w:rsidP="001D6FAE">
      <w:pPr>
        <w:pStyle w:val="TextoNormal"/>
      </w:pPr>
    </w:p>
    <w:p w:rsidR="001D6FAE" w:rsidRDefault="001D6FAE" w:rsidP="001D6FAE">
      <w:pPr>
        <w:pStyle w:val="TextoNormal"/>
      </w:pPr>
      <w:r>
        <w:t>El precepto establece quiénes tienen la condición de agente inmobiliario o agencia inmobiliaria en el territorio de la Comunidad Autónoma del País Vasco y habilita al reglamento para regular los requisitos exigibles para poder ejercer la actividad de agente inmobiliario. Asimismo prevé la constitución mediante reglamento de un registro administrativo que tendrá por objeto la inscripción de los agentes inmobiliarios y agencias que ejerzan su actividad en el territorio de dicha Comunidad Autónoma. Exige también que el número de inscripción en el registro se coloque en los locales, papel comercial y publicidad de los agentes inmobiliarios y agencias, junto al distintivo y la placa que reglamentariamente se determinen.</w:t>
      </w:r>
    </w:p>
    <w:p w:rsidR="001D6FAE" w:rsidRDefault="001D6FAE" w:rsidP="001D6FAE">
      <w:pPr>
        <w:pStyle w:val="TextoNormal"/>
      </w:pPr>
    </w:p>
    <w:p w:rsidR="001D6FAE" w:rsidRDefault="001D6FAE" w:rsidP="001D6FAE">
      <w:pPr>
        <w:pStyle w:val="TextoNormal"/>
      </w:pPr>
      <w:r>
        <w:t>Como ha quedado expuesto en los antecedentes, el Abogado del Estado sostiene, con apoyo en el informe del Ministerio de Economía y Competitividad que adjunta a su escrito de alegaciones, que el levantamiento de la suspensión de este precepto provocaría perjuicios graves e irreparables para la garantía de la unidad de mercado, como principio económico esencial para el funcionamiento competitivo de la economía española, porque la inscripción en el futuro registro que reglamentariamente se establezca será obligatoria para ejercer la actividad de intermediación inmobiliaria en el País Vasco. A ello se añade que la inscripción en el registro se condiciona además al cumplimiento de determinados requisitos que, en caso de exigirse a profesionales que ya estuvieren legalmente establecidos en otro lugar del territorio español, resultan contrarios a la normativa básica, contenida en la Ley 10/2003, de medidas urgentes de liberalización en el sector inmobiliario y transportes, y en la Ley 20/2013, de garantía de la unidad de mercado. Se afirma en tal sentido que la inscripción en el registro que se constituya reglamentariamente dificultará o impedirá que agentes inmobiliarios que ya desempeñan su actividad en otras partes del territorio español presten sus servicios en el País Vasco; se frustraría así el aprovechamiento de economías de escala a nivel nacional, limitando la presión competitiva, lo que en última instancia puede afectar a los precios y calidad de los servicios ofertados y generar consecuencias perniciosas en términos de oportunidades de crecimiento y empleo, en detrimento de la competitividad de nuestra economía.</w:t>
      </w:r>
    </w:p>
    <w:p w:rsidR="001D6FAE" w:rsidRDefault="001D6FAE" w:rsidP="001D6FAE">
      <w:pPr>
        <w:pStyle w:val="TextoNormal"/>
      </w:pPr>
    </w:p>
    <w:p w:rsidR="001D6FAE" w:rsidRDefault="001D6FAE" w:rsidP="001D6FAE">
      <w:pPr>
        <w:pStyle w:val="TextoNormal"/>
      </w:pPr>
      <w:r>
        <w:t>Por su parte, los representantes procesales del Gobierno y del Parlamento Vasco defienden el levantamiento de la suspensión del apartado 3 de la disposición adicional primera de la Ley 3/2015, por entender que ello no supone perjuicio alguno para el interés público, ya que para que tenga efectividad lo previsto en esa disposición es necesario que se dicte la regulación reglamentaria de desarrollo; que podrá ser impugnada mediante el correspondiente conflicto positivo de competencias, en su caso.</w:t>
      </w:r>
    </w:p>
    <w:p w:rsidR="001D6FAE" w:rsidRDefault="001D6FAE" w:rsidP="001D6FAE">
      <w:pPr>
        <w:pStyle w:val="TextoNormal"/>
      </w:pPr>
    </w:p>
    <w:p w:rsidR="001D6FAE" w:rsidRDefault="001D6FAE" w:rsidP="001D6FAE">
      <w:pPr>
        <w:pStyle w:val="TextoNormal"/>
      </w:pPr>
      <w:r>
        <w:t>Teniendo en cuenta que la decisión sobre el levantamiento o mantenimiento de la suspensión ha de adoptarse, como hemos dicho reiteradamente, mediante el estricto examen de las situaciones de hecho creadas y al margen de la viabilidad de las pretensiones que se formulen en la demanda rectora del recurso de inconstitucionalidad, resulta que, a la vista de los argumentos expuestos por las partes, no puede entenderse que el levantamiento de la suspensión del apartado 3 de la disposición adicional primera de la Ley vasca 3/2015 suponga un perjuicio grave para el interés público al que sirve la unidad de mercado.</w:t>
      </w:r>
    </w:p>
    <w:p w:rsidR="001D6FAE" w:rsidRDefault="001D6FAE" w:rsidP="001D6FAE">
      <w:pPr>
        <w:pStyle w:val="TextoNormal"/>
      </w:pPr>
    </w:p>
    <w:p w:rsidR="001D6FAE" w:rsidRDefault="001D6FAE" w:rsidP="001D6FAE">
      <w:pPr>
        <w:pStyle w:val="TextoNormal"/>
      </w:pPr>
      <w:r>
        <w:t>Las supuestas distorsiones en el principio de unidad de mercado aducidas por el Abogado del Estado, con referencia a las afirmaciones genéricas que se contienen en el informe que acompaña a sus alegaciones, no pueden justificar el mantenimiento de la suspensión del precepto impugnado; por tal vía podría llegar a suspenderse con carácter meramente cautelar cualquier medida legislativa de las Comunidades Autónomas. Como se recuerda en los AATC 80/2008, de 11 de marzo, FJ 6, y 196/2015, de 18 de noviembre, FJ 3 c), para que esta clase de perjuicio pueda ser tomado en consideración es necesario “que esa afirmación haya venido acompañada de una justificación concreta de los perjuicios de imposible o difícil reparación que habrían de producirse por la mera existencia de una diversidad regulatoria”; esta, por otra parte, “es consustancial con el carácter autonómico de nuestro Estado”.</w:t>
      </w:r>
    </w:p>
    <w:p w:rsidR="001D6FAE" w:rsidRDefault="001D6FAE" w:rsidP="001D6FAE">
      <w:pPr>
        <w:pStyle w:val="TextoNormal"/>
      </w:pPr>
    </w:p>
    <w:p w:rsidR="001D6FAE" w:rsidRDefault="001D6FAE" w:rsidP="001D6FAE">
      <w:pPr>
        <w:pStyle w:val="TextoNormal"/>
      </w:pPr>
      <w:r>
        <w:t>Los perjuicios para el interés público al que sirve la unidad de mercado, se formulan por el Abogado del Estado de manera genérica, con fundamento en especulaciones y conjeturas en cuanto al pretendido impacto negativo en la economía española que pueda tener la exigencia de inscripción en un registro autonómico de los agentes inmobiliarios que pretendan ejercer su actividad en el territorio de la Comunidad Autónoma del País Vasco. Ello conduce a descartar que este alegato sea idóneo para justificar el mantenimiento de la suspensión del precepto impugnado, pues de acuerdo con la doctrina de este Tribunal, “la suspensión solamente procede en presencia de perjuicios ciertos y efectivos, en ausencia de los cuales ha de atenderse a la presunción de validez propia de las leyes” (AATC 156/2008, de 12 de junio, FJ 3, y 54/2016, de 1 de marzo, FJ 6).</w:t>
      </w:r>
    </w:p>
    <w:p w:rsidR="001D6FAE" w:rsidRDefault="001D6FAE" w:rsidP="001D6FAE">
      <w:pPr>
        <w:pStyle w:val="TextoNormal"/>
      </w:pPr>
    </w:p>
    <w:p w:rsidR="001D6FAE" w:rsidRDefault="001D6FAE" w:rsidP="001D6FAE">
      <w:pPr>
        <w:pStyle w:val="TextoNormal"/>
      </w:pPr>
      <w:r>
        <w:t>Procede, en consecuencia, levantar la suspensión que afecta al apartado 3 de la disposición adicional primera de la Ley del Parlamento Vasco 3/2015, de vivienda.</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1º Mantener la suspensión de los arts. 3, en sus letras t) y x); 4, en sus apartados 1 y 2.b); 9.4; 56, en sus apartados 1, 2 y 3; 59; 63.2, en sus letras a), b), c), d), f), g) y h); 64; 72, en sus apartados 1 y 3 c); 74; 75; 83 d); y 84 d), todos ellos de la Ley del Parlamento Vasco 3/2015, de 18 de junio, de vivienda.</w:t>
      </w:r>
    </w:p>
    <w:p w:rsidR="001D6FAE" w:rsidRDefault="001D6FAE" w:rsidP="001D6FAE">
      <w:pPr>
        <w:pStyle w:val="TextoNormal"/>
      </w:pPr>
    </w:p>
    <w:p w:rsidR="001D6FAE" w:rsidRDefault="001D6FAE" w:rsidP="001D6FAE">
      <w:pPr>
        <w:pStyle w:val="TextoNormal"/>
      </w:pPr>
      <w:r>
        <w:t>2º Levantar la suspensión del art. 6.1 y del apartado 3 de la disposición adicional primera de la Ley del Parlamento Vasco 3/2015, de 18 de junio, de vivienda.</w:t>
      </w:r>
    </w:p>
    <w:p w:rsidR="001D6FAE" w:rsidRDefault="001D6FAE" w:rsidP="001D6FAE">
      <w:pPr>
        <w:pStyle w:val="TextoNormal"/>
      </w:pPr>
    </w:p>
    <w:p w:rsidR="001D6FAE" w:rsidRDefault="001D6FAE" w:rsidP="001D6FAE">
      <w:pPr>
        <w:pStyle w:val="TextoNormal"/>
      </w:pPr>
      <w:r>
        <w:t>Madrid, a diecinueve de julio de dos mil dieciséis.</w:t>
      </w:r>
    </w:p>
    <w:p w:rsidR="001D6FAE" w:rsidRDefault="001D6FAE" w:rsidP="001D6FAE">
      <w:pPr>
        <w:pStyle w:val="ParrafoNormal"/>
      </w:pPr>
    </w:p>
    <w:p w:rsidR="001D6FAE" w:rsidRDefault="001D6FAE" w:rsidP="001D6FAE">
      <w:pPr>
        <w:pStyle w:val="TextoNormalNegritaCentrado"/>
        <w:keepNext/>
      </w:pPr>
      <w:r>
        <w:t>Voto particular que formulan la Magistrada doña Adela Asua Batarrita y los Magistrados don Fernando Valdés Dal-Re y don Juan Antonio Xiol Ríos, al Auto de 21 de julio de 2016, dictado en el incidente de suspensión del recurso de inconstitucionalidad núm. 1643-2016.</w:t>
      </w:r>
    </w:p>
    <w:p w:rsidR="001D6FAE" w:rsidRDefault="001D6FAE" w:rsidP="001D6FAE">
      <w:pPr>
        <w:pStyle w:val="TextoNormalNegritaCentrado"/>
        <w:keepNext/>
      </w:pPr>
    </w:p>
    <w:p w:rsidR="001D6FAE" w:rsidRDefault="001D6FAE" w:rsidP="001D6FAE">
      <w:pPr>
        <w:pStyle w:val="TextoNormal"/>
      </w:pPr>
      <w:r>
        <w:t>Con todo el respeto que nos merece la opinión de la mayoría, debemos manifestar nuestra discrepancia con la suspensión de la mayor parte de los preceptos impugnados de la Ley del Parlamento Vasco 3/2015, de 18 de junio, de vivienda.</w:t>
      </w:r>
    </w:p>
    <w:p w:rsidR="001D6FAE" w:rsidRDefault="001D6FAE" w:rsidP="001D6FAE">
      <w:pPr>
        <w:pStyle w:val="TextoNormal"/>
      </w:pPr>
    </w:p>
    <w:p w:rsidR="001D6FAE" w:rsidRDefault="001D6FAE" w:rsidP="001D6FAE">
      <w:pPr>
        <w:pStyle w:val="TextoNormal"/>
      </w:pPr>
      <w:r>
        <w:t>Dichos preceptos guardan un sustancial parecido con los preceptos, también recurridos ante este Tribunal, de la Ley Foral 10/2010, de 10 de mayo, de derecho a la vivienda en Navarra, de la Ley 4/2013, de 1 de octubre, de la Comunidad Autónoma de Andalucía, de medidas para asegurar el cumplimiento de la función social de la vivienda y de la Ley 2/2014, de 20 de junio, de modificación de la Ley 2/2003, de 30 de enero, de vivienda de Canarias y de medidas para garantizar el derecho a la vivienda.</w:t>
      </w:r>
    </w:p>
    <w:p w:rsidR="001D6FAE" w:rsidRDefault="001D6FAE" w:rsidP="001D6FAE">
      <w:pPr>
        <w:pStyle w:val="TextoNormal"/>
      </w:pPr>
    </w:p>
    <w:p w:rsidR="001D6FAE" w:rsidRDefault="001D6FAE" w:rsidP="001D6FAE">
      <w:pPr>
        <w:pStyle w:val="TextoNormal"/>
      </w:pPr>
      <w:r>
        <w:t>Los intereses que podrían verse afectados por el levantamiento de la suspensión de la Ley autonómica que, en este incidente, alega el Abogado del Estado son exactamente los mismos que expuso en los incidentes de suspensión que dieron lugar a los AATC 69/2014, de 10 de marzo; 115/2014, de 8 de abril, y 135/2015, de 21 de julio.</w:t>
      </w:r>
    </w:p>
    <w:p w:rsidR="001D6FAE" w:rsidRDefault="001D6FAE" w:rsidP="001D6FAE">
      <w:pPr>
        <w:pStyle w:val="TextoNormal"/>
      </w:pPr>
    </w:p>
    <w:p w:rsidR="001D6FAE" w:rsidRDefault="001D6FAE" w:rsidP="001D6FAE">
      <w:pPr>
        <w:pStyle w:val="TextoNormal"/>
      </w:pPr>
      <w:r>
        <w:t>En consecuencia, por las mismas razones que pusimos de manifiesto en los Votos particulares que suscribimos en dichos casos y a las que ahora nos remitimos, creemos que no ha quedado acreditado que la inmediata aplicación de la Ley 3/2015, de 18 de junio, pueda acarrear más daño al interés general que el derivado de la contradicción denunciada con la legislación estatal. Ello no es, sin duda, razón suficiente para enervar la presunción de validez de las disposiciones legales autonómicas. De ahí que el Auto del que discrepamos debiera haber acordado el levantamiento de la suspensión.</w:t>
      </w:r>
    </w:p>
    <w:p w:rsidR="001D6FAE" w:rsidRDefault="001D6FAE" w:rsidP="001D6FAE">
      <w:pPr>
        <w:pStyle w:val="TextoNormal"/>
      </w:pPr>
    </w:p>
    <w:p w:rsidR="001D6FAE" w:rsidRDefault="001D6FAE" w:rsidP="001D6FAE">
      <w:pPr>
        <w:pStyle w:val="TextoNormal"/>
      </w:pPr>
      <w:r>
        <w:t>Además de las razones que ya expusimos entonces, queremos subrayar ahora dos aspectos adicionales.</w:t>
      </w:r>
    </w:p>
    <w:p w:rsidR="001D6FAE" w:rsidRDefault="001D6FAE" w:rsidP="001D6FAE">
      <w:pPr>
        <w:pStyle w:val="TextoNormal"/>
      </w:pPr>
    </w:p>
    <w:p w:rsidR="001D6FAE" w:rsidRDefault="001D6FAE" w:rsidP="001D6FAE">
      <w:pPr>
        <w:pStyle w:val="TextoNormal"/>
      </w:pPr>
      <w:r>
        <w:t>Por un lado, el presente Auto, que rechaza el levantamiento de la suspensión de casi todos los preceptos impugnados, se fundamenta en una concepción sobre la afectación directa al mercado hipotecario y el consiguiente riesgo para la estabilidad del sistema financiero que permanece inalterable desde hace dos años (ATC 69/2014, de 10 de marzo), a pesar de la reconocida mejoría de la situación macroeconómica en España. Sin embargo, el Auto asume el argumento del Abogado del Estado de la necesidad de cumplir con las condiciones impuestas al Estado en el ámbito europeo (se sobreentiende que se refiere a la devolución de la ayuda financiera recibida del Mecanismo Europeo de Estabilidad), lo cual, en la práctica, proyecta sobre futuras medidas autonómicas en relación con las viviendas desocupadas una especie de moratoria por un prolongado espacio temporal que podría extenderse hasta los quince años. Ello constituye una concepción altamente perturbadora para el ejercicio efectivo de la competencia autonómica exclusiva en materia de vivienda.</w:t>
      </w:r>
    </w:p>
    <w:p w:rsidR="001D6FAE" w:rsidRDefault="001D6FAE" w:rsidP="001D6FAE">
      <w:pPr>
        <w:pStyle w:val="TextoNormal"/>
      </w:pPr>
    </w:p>
    <w:p w:rsidR="001D6FAE" w:rsidRDefault="001D6FAE" w:rsidP="001D6FAE">
      <w:pPr>
        <w:pStyle w:val="TextoNormal"/>
      </w:pPr>
      <w:r>
        <w:t>Por otro lado, la medida autonómica más significativa que contempla la Ley impugnada, la expropiación temporal del uso de la vivienda (artículo 74), cuya suspensión mantiene también el Auto del que discrepamos, no puede producir efecto alguno que sustente el mantenimiento de la suspensión, porque ni siquiera resulta aplicable de forma inmediata, sino una vez que finalice la vigencia de la medida estatal de suspensión temporal de los lanzamientos, que —de momento y sin perjuicio de ulteriores ampliaciones— está prevista para el 15 de mayo de 2017. En efecto, la modificación de la Ley 1/2013, de 14 de mayo, de medidas para reforzar la protección a los deudores hipotecarios, reestructuración de deuda y alquiler social por el art. 3 del Real Decreto-ley 1/2015, de 27 de febrero, de mecanismo de segunda oportunidad, reducción de carga financiera y otras medidas de orden social ha ampliado otros dos años más —hasta la fecha antes indicada— la suspensión del lanzamiento cuando en un proceso judicial o extrajudicial de ejecución hipotecaria se hubiera adjudicado al acreedor, o a persona que actúe por su cuenta, la vivienda habitual de personas que se encuentren en una situación de especial riesgo de exclusión. Así pues, carece de sentido, si no es en el plano meramente simbólico, mantener suspendida una norma cuya aplicabilidad está diferida en el tiempo.</w:t>
      </w:r>
    </w:p>
    <w:p w:rsidR="001D6FAE" w:rsidRDefault="001D6FAE" w:rsidP="001D6FAE">
      <w:pPr>
        <w:pStyle w:val="TextoNormal"/>
      </w:pPr>
    </w:p>
    <w:p w:rsidR="001D6FAE" w:rsidRDefault="001D6FAE" w:rsidP="001D6FAE">
      <w:pPr>
        <w:pStyle w:val="TextoNormal"/>
      </w:pPr>
      <w:r>
        <w:t>Madrid, a veintiuno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19" w:name="AUTO_2016_145"/>
      <w:r>
        <w:t>AUTO 145/2016, de 19 de julio de 2016</w:t>
      </w:r>
    </w:p>
    <w:bookmarkEnd w:id="119"/>
    <w:p w:rsidR="001D6FAE" w:rsidRDefault="001D6FAE" w:rsidP="001D6FAE">
      <w:pPr>
        <w:pStyle w:val="TtuloResolucin"/>
      </w:pPr>
      <w:r>
        <w:t>Pleno</w:t>
      </w:r>
    </w:p>
    <w:p w:rsidR="001D6FAE" w:rsidRDefault="001D6FAE" w:rsidP="001D6FAE">
      <w:pPr>
        <w:pStyle w:val="TtuloBOE"/>
      </w:pPr>
      <w:r>
        <w:t>(BOE núm. 196, de 15 de agosto de 2016)</w:t>
      </w:r>
    </w:p>
    <w:p w:rsidR="001D6FAE" w:rsidRDefault="001D6FAE" w:rsidP="001D6FAE">
      <w:pPr>
        <w:pStyle w:val="TextoNormalCentrado"/>
      </w:pPr>
      <w:r>
        <w:t>ECLI:ES:TC:2016:145A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2700-2016, planteada por la Sala de lo Social del Tribunal Supremo en relación con diversos preceptos de la Ley de las Cortes de Castilla-La Mancha 1/2012, de 21 de febrero, de medidas complementarias para la aplicación del plan de garantías de servicios sociales.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registrado el 18 de mayo de 2016 la Sala de lo Social del Tribunal Supremo remitió testimonio del Auto de 7 de abril de 2015, por el que se acuerda plantear cuestión de inconstitucionalidad respecto de los arts. 1, 5 y 20 de la Ley de Castilla-La Mancha 1/2012, de 21 de febrero, de medidas complementarias para la aplicación del plan de garantías de servicios sociales, por inexistencia de una ley estatal que les dé cobertura.</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 los siguientes:</w:t>
      </w:r>
    </w:p>
    <w:p w:rsidR="001D6FAE" w:rsidRDefault="001D6FAE" w:rsidP="001D6FAE">
      <w:pPr>
        <w:pStyle w:val="TextoNormal"/>
      </w:pPr>
    </w:p>
    <w:p w:rsidR="001D6FAE" w:rsidRDefault="001D6FAE" w:rsidP="001D6FAE">
      <w:pPr>
        <w:pStyle w:val="TextoNormal"/>
      </w:pPr>
      <w:r>
        <w:t>a) El 15 de marzo de 2012 la federación de servicios públicos de UGT de Castilla-La Mancha formuló demanda de conflicto colectivo frente a la Junta de Comunidades de Castilla-La Mancha. Invocaba la posible vulneración del art. 37.1 CE y del sistema de fuentes de la relación laboral recogido en el art. 3 de la Ley del estatuto de los trabajadores (LET) por la Ley de las Cortes de Castilla-La Mancha 1/2012, de 21 de febrero, de medidas complementarias para la aplicación del plan de garantías de servicios sociales. La pretensión del demandante era que se declarara la vigencia de la integridad del contenido del VI convenio colectivo de personal laboral al servicio de la Administración de la Junta de Comunidades de Castilla-La Mancha y la no aplicabilidad al mismo de lo establecido en la Ley autonómica 1/2012, de 21 de febrero, de medidas complementarias para la aplicación del plan de garantías de servicios sociales, y la condena de la Junta de Comunidades de Castilla-La Mancha a estar y pasar por tal declaración. El procedimiento fue tramitado con el núm. 3-2012.</w:t>
      </w:r>
    </w:p>
    <w:p w:rsidR="001D6FAE" w:rsidRDefault="001D6FAE" w:rsidP="001D6FAE">
      <w:pPr>
        <w:pStyle w:val="TextoNormal"/>
      </w:pPr>
    </w:p>
    <w:p w:rsidR="001D6FAE" w:rsidRDefault="001D6FAE" w:rsidP="001D6FAE">
      <w:pPr>
        <w:pStyle w:val="TextoNormal"/>
      </w:pPr>
      <w:r>
        <w:t>b) El 2 de abril de 2012 la federación de servicios y de la ciudadanía de Castilla-La Mancha de Comisiones Obreras (CCOO) formuló demanda de conflicto colectivo frente a la Junta de Comunidades de Castilla-La Mancha. La pretensión del demandante era que se declarara que la modificación sustancial de las condiciones de trabajo materializada en la instrucción 1-2012, de 6 de marzo, del Director General de la función pública, calidad de los servicios y justicia de la Junta de Comunidades de Castilla-La Mancha es nula en los términos del art. 138.9 de la Ley 36/2011, de 10 de octubre, reguladora de la jurisdicción social; que se declarara la lesión de la libertad sindical del demandante en su dimensión a la negociación colectiva; se declarara el derecho de los trabajadores al mantenimiento de las condiciones establecidas en el VI convenio colectivo, referidas a jornada máxima anual, adaptación de calendarios laborales, adaptaciones de jornada al personal con jornada reducida, retribuciones básicas y complementos, horas extraordinarias, complemento por incapacidad temporal, y retribución por horas realizadas en sábado, domingos, festivos en noches en situación de incapacidad temporal (capítulos IX y XII del convenio); y que se condenara a la empleadora demandada al reconocimiento de los derechos laborales reconocidos en el VI convenio colectivo, al pago de las cantidades que se hubieran dejado de abonar, así como al pago de los excesos de la jornada que se les hubiere impuesto. El procedimiento fue tramitado con el núm. 5-2012.</w:t>
      </w:r>
    </w:p>
    <w:p w:rsidR="001D6FAE" w:rsidRDefault="001D6FAE" w:rsidP="001D6FAE">
      <w:pPr>
        <w:pStyle w:val="TextoNormal"/>
      </w:pPr>
    </w:p>
    <w:p w:rsidR="001D6FAE" w:rsidRDefault="001D6FAE" w:rsidP="001D6FAE">
      <w:pPr>
        <w:pStyle w:val="TextoNormal"/>
      </w:pPr>
      <w:r>
        <w:t>c) Por Auto de 8 de mayo de 2012, la Sala de lo Social del Tribunal Superior de Justicia de Castilla-La Mancha acordó acumular los autos que en esa Sala se seguían con el núm. 5-2012 con los del núm. 3-2012, para su decisión simultánea.</w:t>
      </w:r>
    </w:p>
    <w:p w:rsidR="001D6FAE" w:rsidRDefault="001D6FAE" w:rsidP="001D6FAE">
      <w:pPr>
        <w:pStyle w:val="TextoNormal"/>
      </w:pPr>
    </w:p>
    <w:p w:rsidR="001D6FAE" w:rsidRDefault="001D6FAE" w:rsidP="001D6FAE">
      <w:pPr>
        <w:pStyle w:val="TextoNormal"/>
      </w:pPr>
      <w:r>
        <w:t>d) El 13 de junio de 2012 la Sala de lo Social del Tribunal Superior de Justicia de Castilla-La Mancha dictó Sentencia desestimatoria de las demandas de conflicto colectivo formuladas por la Unión General de Trabajadores (UGT) y CCOO en los autos 3/2012 y acumulados.</w:t>
      </w:r>
    </w:p>
    <w:p w:rsidR="001D6FAE" w:rsidRDefault="001D6FAE" w:rsidP="001D6FAE">
      <w:pPr>
        <w:pStyle w:val="TextoNormal"/>
      </w:pPr>
    </w:p>
    <w:p w:rsidR="001D6FAE" w:rsidRDefault="001D6FAE" w:rsidP="001D6FAE">
      <w:pPr>
        <w:pStyle w:val="TextoNormal"/>
      </w:pPr>
      <w:r>
        <w:t>e) Contra dicha Sentencia los demandantes interpusieron sendos recursos de casación ordinaria. Ambos organizaciones sindicales plantearon la falta de competencia de la Ley autonómica para legislar en la materia que aquí resulta controvertida. Para el caso de que no se estimase la prevalencia del estatuto de los trabajadores sobre la legislación autonómica y consiguiente inaplicación de esta, el sindicato CCOO solicitó como petición subsidiaria el planteamiento de la correspondiente cuestión de inconstitucionalidad en relación con las disposiciones aplicables al caso de la Ley autonómica 1/2012, por afectar al contenido esencial del derecho de libertad sindical del art. 28 CE. A los recursos se adhirió también el Sindicato de Trabajadores y Trabajadoras de Administración y Servicios de Castilla-La Mancha (STAS-CLM).</w:t>
      </w:r>
    </w:p>
    <w:p w:rsidR="001D6FAE" w:rsidRDefault="001D6FAE" w:rsidP="001D6FAE">
      <w:pPr>
        <w:pStyle w:val="TextoNormal"/>
      </w:pPr>
    </w:p>
    <w:p w:rsidR="001D6FAE" w:rsidRDefault="001D6FAE" w:rsidP="001D6FAE">
      <w:pPr>
        <w:pStyle w:val="TextoNormal"/>
      </w:pPr>
      <w:r>
        <w:t>f) Mediante providencia de 29 de abril de 2014 la Sala de lo Social del Tribunal Supremo acordó suspender el señalamiento a fin de oír al Ministerio Fiscal y a las partes para que en el plazo de diez días pudieran alegar lo que deseen “sobre la pertinencia de plantear cuestión de inconstitucionalidad en relación con la Ley 1/2012, de 21 de febrero, de Castilla-La Mancha (arts. 1, 5 y 20)”.</w:t>
      </w:r>
    </w:p>
    <w:p w:rsidR="001D6FAE" w:rsidRDefault="001D6FAE" w:rsidP="001D6FAE">
      <w:pPr>
        <w:pStyle w:val="TextoNormal"/>
      </w:pPr>
    </w:p>
    <w:p w:rsidR="001D6FAE" w:rsidRDefault="001D6FAE" w:rsidP="001D6FAE">
      <w:pPr>
        <w:pStyle w:val="TextoNormal"/>
      </w:pPr>
      <w:r>
        <w:t>El sindicato UGT presentó alegaciones favorables al planteamiento de la cuestión; el sindicato CCOO reiteró los argumentos ya esgrimidos sobre la posibilidad de interpretar la Ley autonómica en términos compatibles con la Constitución, aunque solicitó con carácter subsidiario el planteamiento de la cuestión de inconstitucionalidad; y el sindicato STAS-CLM consideró también procedente el planteamiento.</w:t>
      </w:r>
    </w:p>
    <w:p w:rsidR="001D6FAE" w:rsidRDefault="001D6FAE" w:rsidP="001D6FAE">
      <w:pPr>
        <w:pStyle w:val="TextoNormal"/>
      </w:pPr>
    </w:p>
    <w:p w:rsidR="001D6FAE" w:rsidRDefault="001D6FAE" w:rsidP="001D6FAE">
      <w:pPr>
        <w:pStyle w:val="TextoNormal"/>
      </w:pPr>
      <w:r>
        <w:t>La Junta de Comunidades de Castilla-La Mancha señaló que la duda de constitucionalidad se reducía al art. 1 de la Ley 1/2012, pues los restantes preceptos carecen de relevancia para resolver el litigio planteado, al no haberse deducido ninguna pretensión por los promotores del conflicto colectivo respecto del cual quepa su aplicación. Y respecto al citado artículo 1 solicita que, sin plantear cuestión de inconstitucionalidad, se dicte sentencia desestimatoria de los recursos de casación planteados.</w:t>
      </w:r>
    </w:p>
    <w:p w:rsidR="001D6FAE" w:rsidRDefault="001D6FAE" w:rsidP="001D6FAE">
      <w:pPr>
        <w:pStyle w:val="TextoNormal"/>
      </w:pPr>
    </w:p>
    <w:p w:rsidR="001D6FAE" w:rsidRDefault="001D6FAE" w:rsidP="001D6FAE">
      <w:pPr>
        <w:pStyle w:val="TextoNormal"/>
      </w:pPr>
      <w:r>
        <w:t>El Ministerio Fiscal instó el complemento de la providencia “con la determinación expresa del precepto constitucional que se supone infringido, aunque en la misma cabe entender, implícitamente, que se trata del art. 37.1 de la Constitución Española”.</w:t>
      </w:r>
    </w:p>
    <w:p w:rsidR="001D6FAE" w:rsidRDefault="001D6FAE" w:rsidP="001D6FAE">
      <w:pPr>
        <w:pStyle w:val="TextoNormal"/>
      </w:pPr>
    </w:p>
    <w:p w:rsidR="001D6FAE" w:rsidRDefault="001D6FAE" w:rsidP="001D6FAE">
      <w:pPr>
        <w:pStyle w:val="TextoNormal"/>
      </w:pPr>
      <w:r>
        <w:t>g) La Sala dictó providencia de 11 de febrero de 2015 con el siguiente tenor literal: “De conformidad con lo solicitado por el Ministerio Fiscal, procede completar y reiterar el trámite de audiencia de diez días a las partes y al Ministerio fiscal del art. 35.2 LOTC, respecto de la posibilidad de planteamiento de la cuestión de inconstitucionalidad de los arts. 1, 5 y 20 de la Ley Castilla-La Mancha 1/2012, de 21 de febrero, de Medidas Complementarias para la aplicación del Plan de Garantías de Servicios Sociales, de cuya aplicación depende la solución al presente litigio, por presunta vulneración de los arts. 37.1, 149.13 (</w:t>
      </w:r>
      <w:r w:rsidRPr="001D6FAE">
        <w:rPr>
          <w:i/>
        </w:rPr>
        <w:t>sic</w:t>
      </w:r>
      <w:r>
        <w:t>) y 156.1 de la Constitución, en relación con el art. 1 del Real Decreto-ley 20/2011, de 30 de diciembre, de medidas urgentes en materia presupuestaria, tributaria y financiera para la corrección del déficit público (art. 2 y 4), en tanto que la norma estatal delimita de modo distinto el marco retributivo de las administraciones públicas —congelación salarial— y concreta la ampliación de la jornada al ámbito del sector público estatal; así como con el Real Decreto-ley 8/2010, cuyo art. 1 ciñe las medidas en materia de empleo público a un periodo distinto y anterior al que se refiere la indicada Ley autonómica”.</w:t>
      </w:r>
    </w:p>
    <w:p w:rsidR="001D6FAE" w:rsidRDefault="001D6FAE" w:rsidP="001D6FAE">
      <w:pPr>
        <w:pStyle w:val="TextoNormal"/>
      </w:pPr>
    </w:p>
    <w:p w:rsidR="001D6FAE" w:rsidRDefault="001D6FAE" w:rsidP="001D6FAE">
      <w:pPr>
        <w:pStyle w:val="TextoNormal"/>
      </w:pPr>
      <w:r>
        <w:t>h) En el trámite de audiencia, UGT y STAS-CLM reiteraron sus anteriores alegaciones favorables al planteamiento de la cuestión de inconstitucionalidad. CCOO no realizó nuevas alegaciones. La Junta de Comunidades dio por reproducidas sus alegaciones anteriores y añadió nuevas consideraciones sobre los concretos preceptos constitucionales ahora hechos explícitos, descartando vulneración de los arts. 37.1, 149.1.13 y 156.1 CE. El Ministerio Fiscal no se mostró contrario al planteamiento, por entender que se ha identificado suficientemente la duda de inconstitucionalidad y que se cumplen las exigencias de los juicios de aplicabilidad y relevancia.</w:t>
      </w:r>
    </w:p>
    <w:p w:rsidR="001D6FAE" w:rsidRDefault="001D6FAE" w:rsidP="001D6FAE">
      <w:pPr>
        <w:pStyle w:val="TextoNormal"/>
      </w:pPr>
    </w:p>
    <w:p w:rsidR="001D6FAE" w:rsidRDefault="001D6FAE" w:rsidP="001D6FAE">
      <w:pPr>
        <w:pStyle w:val="TextoNormal"/>
      </w:pPr>
      <w:r>
        <w:t>i) Mediante Auto de 7 de abril de 2015 la Sala de lo Social del Tribunal Supremo acordó plantear ante el Tribunal Constitucional cuestión de inconstitucionalidad en relación los arts. 1, 5 y 20 de la Ley de las Cortes de Castilla-La Mancha 1/2012, de 21 de febrero, de medidas complementarias para la aplicación del plan de garantías de servicios sociales.</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planteamiento señala, en primer lugar, que el conflicto colectivo examinado afecta al personal laboral de la Junta y se refiere a lo dispuesto en los arts. 47 (jornada ordinaria máxima de 35 horas semanales), 72 a 77 (retribuciones) y 78.3 (percepción total de las retribuciones en situación de incapacidad temporal) del VI convenio colectivo del personal laboral al servicio de la Administración de la Junta de Comunidades de Castilla-La Mancha (“DOCM”, de 11 de junio de 2009); dicho convenio tenía vigencia hasta el 31 de diciembre de 2011 y había sido objeto de denuncia el 10 de enero de 2012.</w:t>
      </w:r>
    </w:p>
    <w:p w:rsidR="001D6FAE" w:rsidRDefault="001D6FAE" w:rsidP="001D6FAE">
      <w:pPr>
        <w:pStyle w:val="TextoNormal"/>
      </w:pPr>
    </w:p>
    <w:p w:rsidR="001D6FAE" w:rsidRDefault="001D6FAE" w:rsidP="001D6FAE">
      <w:pPr>
        <w:pStyle w:val="TextoNormal"/>
      </w:pPr>
      <w:r>
        <w:t>En segundo lugar, constata que la Ley de las Cortes de Castilla-La Mancha 1/2012 estableció una jornada semanal de 37,5 horas (art. 1.1), la minoración de las retribuciones de todo el personal para el ejercicio 2012 (art. 5) y la modificación del complemento de incapacidad temporal (art. 20, que altera lo dispuesto en la disposición adicional séptima de la Ley 4/2011, de 10 de marzo, de empleo público de Castilla-La Mancha); y que los criterios para la aplicación de estas normas se fijaron a través de la instrucción 1-2012, de 6 de marzo, del Director General de la función pública.</w:t>
      </w:r>
    </w:p>
    <w:p w:rsidR="001D6FAE" w:rsidRDefault="001D6FAE" w:rsidP="001D6FAE">
      <w:pPr>
        <w:pStyle w:val="TextoNormal"/>
      </w:pPr>
    </w:p>
    <w:p w:rsidR="001D6FAE" w:rsidRDefault="001D6FAE" w:rsidP="001D6FAE">
      <w:pPr>
        <w:pStyle w:val="TextoNormal"/>
      </w:pPr>
      <w:r>
        <w:t>En tercer lugar, tras recordar que la Sentencia de instancia rechaza que la Ley autonómica hubiera invadido competencia estatal porque “no afecta la estructura básica y general de la normativa social ni a sus categorías nucleares, sino … a las condiciones particulares reconocidas a los empleados públicos de la comunidad”, el órgano judicial promotor de la cuestión afirma que resulta pacífico que las normas a aplicar al caso son las que se desprenden de la citada Ley 1/2012, recayendo la controversia precisamente en el alcance de tales disposiciones, y no tanto por su incidencia en las mismas materias reguladas por el convenio colectivo —cuestión que puede ser resuelta por el juego del principio de jerarquía— como por la competencia que pueda ostentar el legislador autonómico para regular materias que, a juicio de los demandantes, se insertan en normativa de exclusiva competencia estatal. Por consiguiente, se cumple el llamado juicio de aplicabilidad que el Tribunal Constitucional viene exigiendo en la interpretación del citado art. 35.2 de la Ley Orgánica del Tribunal Constitucional (LOTC), pues la decisión del recurso de casación tiene que considerar las normas de rango legal indicadas.</w:t>
      </w:r>
    </w:p>
    <w:p w:rsidR="001D6FAE" w:rsidRDefault="001D6FAE" w:rsidP="001D6FAE">
      <w:pPr>
        <w:pStyle w:val="TextoNormal"/>
      </w:pPr>
    </w:p>
    <w:p w:rsidR="001D6FAE" w:rsidRDefault="001D6FAE" w:rsidP="001D6FAE">
      <w:pPr>
        <w:pStyle w:val="TextoNormal"/>
      </w:pPr>
      <w:r>
        <w:t>A continuación el Auto de planteamiento justifica con estas palabras el juicio de relevancia: “si los arts. 1, 5 y 20 de Castilla-La Mancha 1/2012 son constitucionales, la Administración demandada como empleadora habría actuado con arreglo a derecho al reducir la jornada ordinaria, reducir los salarios y alterar el complemento de incapacidad temporal, objeto todo ello del presente conflicto; debiendo primar el mandato legal sobre lo que resulta de los convenios o acuerdos de carácter colectivo (entre otras, STC 210/1990…)”.</w:t>
      </w:r>
    </w:p>
    <w:p w:rsidR="001D6FAE" w:rsidRDefault="001D6FAE" w:rsidP="001D6FAE">
      <w:pPr>
        <w:pStyle w:val="TextoNormal"/>
      </w:pPr>
    </w:p>
    <w:p w:rsidR="001D6FAE" w:rsidRDefault="001D6FAE" w:rsidP="001D6FAE">
      <w:pPr>
        <w:pStyle w:val="TextoNormal"/>
      </w:pPr>
      <w:r>
        <w:t>Finalmente, la Sala de lo Social del Tribunal Supremo sintetiza así el fundamento de la duda sobre la constitucionalidad de la norma:</w:t>
      </w:r>
    </w:p>
    <w:p w:rsidR="001D6FAE" w:rsidRDefault="001D6FAE" w:rsidP="001D6FAE">
      <w:pPr>
        <w:pStyle w:val="TextoNormal"/>
      </w:pPr>
    </w:p>
    <w:p w:rsidR="001D6FAE" w:rsidRDefault="001D6FAE" w:rsidP="001D6FAE">
      <w:pPr>
        <w:pStyle w:val="TextoNormal"/>
      </w:pPr>
      <w:r>
        <w:t>“4.- Pues bien, aun admitiendo que no nos hallemos ante una norma de carácter laboral básico, sino de medidas concretas en materia de personal al servicio de la propia Administración autonómica, se suscita la dificultad de hallar el enlace entre su fundamento económico y presupuestario —que, no olvidemos, implica restringir los derechos reconocidos en el convenio colectivo—, con lo que resulta de los mandatos con arreglo al art. 149.1.13 CE según el cual, el Estado tiene competencia exclusiva en materia de bases y coordinación de la planificación general de la actividad económica —y con el art. 156.1 CE que señala que: ‘Las Comunidades Autónomas gozarán de autonomía financiera para el desarrollo y ejecución de sus competencias con arreglo a los principios de coordinación con la Hacienda estatal y de solidaridad entre todos los españoles’—.</w:t>
      </w:r>
    </w:p>
    <w:p w:rsidR="001D6FAE" w:rsidRDefault="001D6FAE" w:rsidP="001D6FAE">
      <w:pPr>
        <w:pStyle w:val="TextoNormal"/>
      </w:pPr>
    </w:p>
    <w:p w:rsidR="001D6FAE" w:rsidRDefault="001D6FAE" w:rsidP="001D6FAE">
      <w:pPr>
        <w:pStyle w:val="TextoNormal"/>
      </w:pPr>
      <w:r>
        <w:t>5.- Es una realidad indiscutible que las medidas de reducción del gasto y déficit público han incidido en los últimos años en las condiciones laborales de quienes prestan servicios en la Administración y en el sector público en general. Tales medidas se encuadran en esa competencia estatal básica que actúa de techo para las Comunidades Autónomas, en los términos en que lo han interpretado las STC 219/2013 y 5/2014. Sucede que en el presente caso, la legislación estatal no parece dar cobertura a lo que se plasma en la Ley de Castilla-La Mancha 1/2012. ….</w:t>
      </w:r>
    </w:p>
    <w:p w:rsidR="001D6FAE" w:rsidRDefault="001D6FAE" w:rsidP="001D6FAE">
      <w:pPr>
        <w:pStyle w:val="TextoNormal"/>
      </w:pPr>
    </w:p>
    <w:p w:rsidR="001D6FAE" w:rsidRDefault="001D6FAE" w:rsidP="001D6FAE">
      <w:pPr>
        <w:pStyle w:val="TextoNormal"/>
      </w:pPr>
      <w:r>
        <w:t>CUARTO.- 1. El eventual exceso en la competencia legislativa que imposibilitaría la aplicación de la ley autonómica no podría ser declarado por esta Sala. Solo de entenderse que el legislador autonómico respeta su marco competencial, cabrá aplicar la norma controvertida. Pero esta Sala alberga serias dudas sobre acomodación constitucional de la norma a aplicar sin que sea factible en este caso explorar distintas vías interpretativas.”</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7 de junio de 2016,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evacuó el trámite conferido mediante escrito registrado el 30 de junio de 2016.</w:t>
      </w:r>
    </w:p>
    <w:p w:rsidR="001D6FAE" w:rsidRDefault="001D6FAE" w:rsidP="001D6FAE">
      <w:pPr>
        <w:pStyle w:val="TextoNormal"/>
      </w:pPr>
    </w:p>
    <w:p w:rsidR="001D6FAE" w:rsidRDefault="001D6FAE" w:rsidP="001D6FAE">
      <w:pPr>
        <w:pStyle w:val="TextoNormal"/>
      </w:pPr>
      <w:r>
        <w:t>A juicio de la Fiscal General, de la lectura del Real Decreto-ley 20/2011, de 30 de diciembre, de medidas urgentes en materia presupuestaria, tributaria y financiera para la corrección del déficit público, se desprende la aplicación al presente supuesto de la doctrina contenida en el ATC 83/2016, FFJJ 4 y sigs., y de ello la inadmisibilidad de la presente cuestión.</w:t>
      </w:r>
    </w:p>
    <w:p w:rsidR="001D6FAE" w:rsidRDefault="001D6FAE" w:rsidP="001D6FAE">
      <w:pPr>
        <w:pStyle w:val="TextoNormal"/>
      </w:pPr>
    </w:p>
    <w:p w:rsidR="001D6FAE" w:rsidRDefault="001D6FAE" w:rsidP="001D6FAE">
      <w:pPr>
        <w:pStyle w:val="TextoNormal"/>
      </w:pPr>
      <w:r>
        <w:t>En particular, señala que las minoraciones salariales previstas en la Ley de las Cortes de Castilla-La Mancha 1/2012, de 21 de febrero, establecen una contención del gasto público, en virtud del principio de autonomía financiera de las Comunidades Autónomas (art. 156.1 CE) y de las competencias que le atribuyen los arts. 31.1.1 y 39.3 del Estatuto de Autonomía de Castilla-La Mancha antes transcrito, sin que vulneren la normativa básica estatal que se limita a prohibir que en el año 2012 se incrementen las retribuciones del personal del sector público; que el aumento de la jornada laboral, previsto en la norma autonómica cuestionada, se dicta con el mismo amparo constitucional y estatutario y, además, es concordante con la normativa estatal; y que las mejoras de Seguridad Social que también se ven afectadas, dictadas con el mismo amparo, son competencia del legislador autonómico y no se contraponen a ninguna normativa estatal.</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presente cuestión de inconstitucionalidad se plantea por la Sala de lo Social del Tribunal Supremo en relación con los arts. 1, 5 y 20 de la Ley de las Cortes de Castilla-La Mancha 1/2012, de 21 de febrero, de medidas complementarias para la aplicación del plan de garantías de servicios sociales.</w:t>
      </w:r>
    </w:p>
    <w:p w:rsidR="001D6FAE" w:rsidRDefault="001D6FAE" w:rsidP="001D6FAE">
      <w:pPr>
        <w:pStyle w:val="TextoNormal"/>
      </w:pPr>
    </w:p>
    <w:p w:rsidR="001D6FAE" w:rsidRDefault="001D6FAE" w:rsidP="001D6FAE">
      <w:pPr>
        <w:pStyle w:val="TextoNormal"/>
      </w:pPr>
      <w:r>
        <w:t>Los mencionados preceptos establecen lo siguiente:</w:t>
      </w:r>
    </w:p>
    <w:p w:rsidR="001D6FAE" w:rsidRDefault="001D6FAE" w:rsidP="001D6FAE">
      <w:pPr>
        <w:pStyle w:val="TextoNormal"/>
      </w:pPr>
    </w:p>
    <w:p w:rsidR="001D6FAE" w:rsidRDefault="001D6FAE" w:rsidP="001D6FAE">
      <w:pPr>
        <w:pStyle w:val="TextoNormal"/>
      </w:pPr>
      <w:r>
        <w:t>“Artículo 1. Jornada de trabajo.</w:t>
      </w:r>
    </w:p>
    <w:p w:rsidR="001D6FAE" w:rsidRDefault="001D6FAE" w:rsidP="001D6FAE">
      <w:pPr>
        <w:pStyle w:val="TextoNormal"/>
      </w:pPr>
    </w:p>
    <w:p w:rsidR="001D6FAE" w:rsidRDefault="001D6FAE" w:rsidP="001D6FAE">
      <w:pPr>
        <w:pStyle w:val="TextoNormal"/>
      </w:pPr>
      <w:r>
        <w:t>1. La jornada semanal de trabajo para el personal al servicio de la Administración de la Junta de Comunidades de Castilla-La Mancha, cualquiera que sea su régimen jurídico, será de treinta y siete horas y treinta minutos.</w:t>
      </w:r>
    </w:p>
    <w:p w:rsidR="001D6FAE" w:rsidRDefault="001D6FAE" w:rsidP="001D6FAE">
      <w:pPr>
        <w:pStyle w:val="TextoNormal"/>
      </w:pPr>
    </w:p>
    <w:p w:rsidR="001D6FAE" w:rsidRDefault="001D6FAE" w:rsidP="001D6FAE">
      <w:pPr>
        <w:pStyle w:val="TextoNormal"/>
      </w:pPr>
      <w:r>
        <w:t>2. La diferencia en el cómputo mensual entre la jornada de trabajo establecida en el apartado anterior y la efectivamente realizada dará lugar con carácter automático, en el momento de confeccionarse la nómina en el mes natural siguiente, a la correspondiente deducción proporcional de haberes de conformidad con lo dispuesto en el artículo 94.1 de la Ley 4/2011, de 10 de marzo, del Empleo Público de Castilla-La Mancha. A tal efecto se tendrá en cuenta el número total de horas realizadas según el horario establecido en el siguiente artículo y el valor de cada hora a deducir será el cociente resultante de la división de la cuantía total de las retribuciones fijas anuales que le correspondería percibir en régimen de jornada completa al personal afectado por la deducción, entre el número de horas que corresponde a su jornada establecida en cómputo anual.</w:t>
      </w:r>
    </w:p>
    <w:p w:rsidR="001D6FAE" w:rsidRDefault="001D6FAE" w:rsidP="001D6FAE">
      <w:pPr>
        <w:pStyle w:val="TextoNormal"/>
      </w:pPr>
    </w:p>
    <w:p w:rsidR="001D6FAE" w:rsidRDefault="001D6FAE" w:rsidP="001D6FAE">
      <w:pPr>
        <w:pStyle w:val="TextoNormal"/>
      </w:pPr>
      <w:r>
        <w:t>3. Lo establecido en el apartado anterior se entiende sin perjuicio de que el empleado público pueda justificar, de forma debidamente acreditada, dicha diferencia.</w:t>
      </w:r>
    </w:p>
    <w:p w:rsidR="001D6FAE" w:rsidRDefault="001D6FAE" w:rsidP="001D6FAE">
      <w:pPr>
        <w:pStyle w:val="TextoNormal"/>
      </w:pPr>
    </w:p>
    <w:p w:rsidR="001D6FAE" w:rsidRDefault="001D6FAE" w:rsidP="001D6FAE">
      <w:pPr>
        <w:pStyle w:val="TextoNormal"/>
      </w:pPr>
      <w:r>
        <w:t>4. El incumplimiento injustificado de la jornada y horario dará lugar al inicio del correspondiente expediente sancionador y la sanción disciplinaria que se determine a resultas del mismo.”</w:t>
      </w:r>
    </w:p>
    <w:p w:rsidR="001D6FAE" w:rsidRDefault="001D6FAE" w:rsidP="001D6FAE">
      <w:pPr>
        <w:pStyle w:val="TextoNormal"/>
      </w:pPr>
    </w:p>
    <w:p w:rsidR="001D6FAE" w:rsidRDefault="001D6FAE" w:rsidP="001D6FAE">
      <w:pPr>
        <w:pStyle w:val="TextoNormal"/>
      </w:pPr>
      <w:r>
        <w:t>“Artículo 5. Retribuciones.</w:t>
      </w:r>
    </w:p>
    <w:p w:rsidR="001D6FAE" w:rsidRDefault="001D6FAE" w:rsidP="001D6FAE">
      <w:pPr>
        <w:pStyle w:val="TextoNormal"/>
      </w:pPr>
    </w:p>
    <w:p w:rsidR="001D6FAE" w:rsidRDefault="001D6FAE" w:rsidP="001D6FAE">
      <w:pPr>
        <w:pStyle w:val="TextoNormal"/>
      </w:pPr>
      <w:r>
        <w:t>1. Desde la entrada en vigor de la presente Ley y durante todo el ejercicio 2012, la cuantía del complemento específico y conceptos asimilados que perciba el personal funcionario y eventual que desempeña funciones retribuidas de la Administración de la Junta de Comunidades de Castilla-La Mancha y de las entidades de derecho público con personalidad jurídica propia vinculadas o dependientes de ella, se reducirá en un 10 por 100, hasta un máximo del 3 por 100 del salario bruto individual, respecto de los vigentes a 31 de diciembre de 2011.</w:t>
      </w:r>
    </w:p>
    <w:p w:rsidR="001D6FAE" w:rsidRDefault="001D6FAE" w:rsidP="001D6FAE">
      <w:pPr>
        <w:pStyle w:val="TextoNormal"/>
      </w:pPr>
    </w:p>
    <w:p w:rsidR="001D6FAE" w:rsidRDefault="001D6FAE" w:rsidP="001D6FAE">
      <w:pPr>
        <w:pStyle w:val="TextoNormal"/>
      </w:pPr>
      <w:r>
        <w:t>2. Para el resto del personal empleado público que desempeña funciones al servicio de la Administración de la Junta de Comunidades de Castilla-La Mancha y de las entidades de derecho público con personalidad jurídica propia vinculadas o dependientes de ella, la reducción consistirá en la aplicación a este personal, con efectos desde la entrada en vigor de la presente ley, de una minoración del 3 por 100 en las cuantías de cada uno de los conceptos retributivos del salario bruto individual.</w:t>
      </w:r>
    </w:p>
    <w:p w:rsidR="001D6FAE" w:rsidRDefault="001D6FAE" w:rsidP="001D6FAE">
      <w:pPr>
        <w:pStyle w:val="TextoNormal"/>
      </w:pPr>
    </w:p>
    <w:p w:rsidR="001D6FAE" w:rsidRDefault="001D6FAE" w:rsidP="001D6FAE">
      <w:pPr>
        <w:pStyle w:val="TextoNormal"/>
      </w:pPr>
      <w:r>
        <w:t>3. A los efectos del apartado anterior, se incluirá al personal de alta dirección que no tenga la consideración de funcionario o de alto cargo conforme al artículo siguiente.</w:t>
      </w:r>
    </w:p>
    <w:p w:rsidR="001D6FAE" w:rsidRDefault="001D6FAE" w:rsidP="001D6FAE">
      <w:pPr>
        <w:pStyle w:val="TextoNormal"/>
      </w:pPr>
    </w:p>
    <w:p w:rsidR="001D6FAE" w:rsidRDefault="001D6FAE" w:rsidP="001D6FAE">
      <w:pPr>
        <w:pStyle w:val="TextoNormal"/>
      </w:pPr>
      <w:r>
        <w:t>4. La cuantía de las restantes retribuciones cuya fijación competa a la Comunidad Autónoma de Castilla-La Mancha no experimentará ningún incremento con respecto a las devengadas en el ejercicio anterior.”</w:t>
      </w:r>
    </w:p>
    <w:p w:rsidR="001D6FAE" w:rsidRDefault="001D6FAE" w:rsidP="001D6FAE">
      <w:pPr>
        <w:pStyle w:val="TextoNormal"/>
      </w:pPr>
    </w:p>
    <w:p w:rsidR="001D6FAE" w:rsidRDefault="001D6FAE" w:rsidP="001D6FAE">
      <w:pPr>
        <w:pStyle w:val="TextoNormal"/>
      </w:pPr>
      <w:r>
        <w:t>“Artículo 20. Complemento por incapacidad temporal.</w:t>
      </w:r>
    </w:p>
    <w:p w:rsidR="001D6FAE" w:rsidRDefault="001D6FAE" w:rsidP="001D6FAE">
      <w:pPr>
        <w:pStyle w:val="TextoNormal"/>
      </w:pPr>
    </w:p>
    <w:p w:rsidR="001D6FAE" w:rsidRDefault="001D6FAE" w:rsidP="001D6FAE">
      <w:pPr>
        <w:pStyle w:val="TextoNormal"/>
      </w:pPr>
      <w:r>
        <w:t>Se modifica la disposición adicional séptima de la Ley 4/2011, de 10 de marzo, del Empleo Público de Castilla-La Mancha que quedará redactada en los siguientes términos:</w:t>
      </w:r>
    </w:p>
    <w:p w:rsidR="001D6FAE" w:rsidRDefault="001D6FAE" w:rsidP="001D6FAE">
      <w:pPr>
        <w:pStyle w:val="TextoNormal"/>
      </w:pPr>
    </w:p>
    <w:p w:rsidR="001D6FAE" w:rsidRDefault="001D6FAE" w:rsidP="001D6FAE">
      <w:pPr>
        <w:pStyle w:val="TextoNormal"/>
      </w:pPr>
      <w:r>
        <w:t>‘Disposición adicional séptima. Complemento por incapacidad temporal, riesgo durante el embarazo, riesgo durante la lactancia natural, maternidad, paternidad, y adopción o acogimiento.</w:t>
      </w:r>
    </w:p>
    <w:p w:rsidR="001D6FAE" w:rsidRDefault="001D6FAE" w:rsidP="001D6FAE">
      <w:pPr>
        <w:pStyle w:val="TextoNormal"/>
      </w:pPr>
    </w:p>
    <w:p w:rsidR="001D6FAE" w:rsidRDefault="001D6FAE" w:rsidP="001D6FAE">
      <w:pPr>
        <w:pStyle w:val="TextoNormal"/>
      </w:pPr>
      <w:r>
        <w:t>1. Todo el personal al servicio de la Administración de la Junta de Comunidades de Castilla-La Mancha y de las entidades de derecho público con personalidad jurídica propia vinculadas o dependientes de ella que se encuentre en situación de incapacidad temporal, derivada de accidente de trabajo o enfermedad profesional, riesgo durante el embarazo o riesgo durante la lactancia natural de una persona menor de doce meses, así como quienes disfruten de los periodos de descanso por parto, paternidad o adopción o acogimiento previstos en los artículos 102 a 104, con independencia de cuál sea su régimen público de Seguridad Social, tiene derecho, desde el primer día y hasta la finalización de la situación o de los periodos de descanso de que se trate, a la percepción de un complemento equivalente a la diferencia entre las prestaciones que reciban de dichos regímenes públicos y el cien por cien de la suma de las retribuciones fijas y periódicas. Para el personal estatutario, este complemento equivaldrá a la diferencia entre las prestaciones que reciban de dichos regímenes públicos y el cien por cien de la suma de las retribuciones fijas y periódicas.</w:t>
      </w:r>
    </w:p>
    <w:p w:rsidR="001D6FAE" w:rsidRDefault="001D6FAE" w:rsidP="001D6FAE">
      <w:pPr>
        <w:pStyle w:val="TextoNormal"/>
      </w:pPr>
    </w:p>
    <w:p w:rsidR="001D6FAE" w:rsidRDefault="001D6FAE" w:rsidP="001D6FAE">
      <w:pPr>
        <w:pStyle w:val="TextoNormal"/>
      </w:pPr>
      <w:r>
        <w:t>Dicho complemento se extenderá, exclusivamente, desde el undécimo hasta el vigésimo día, al 75 por 100 de dichos conceptos retributivos en los casos en que la incapacidad temporal no tenga su origen en accidente de trabajo o en enfermedad profesional. A partir del vigésimo primer día de baja se extenderá al 100 por 100 de los precitados conceptos retributivos.</w:t>
      </w:r>
    </w:p>
    <w:p w:rsidR="001D6FAE" w:rsidRDefault="001D6FAE" w:rsidP="001D6FAE">
      <w:pPr>
        <w:pStyle w:val="TextoNormal"/>
      </w:pPr>
    </w:p>
    <w:p w:rsidR="001D6FAE" w:rsidRDefault="001D6FAE" w:rsidP="001D6FAE">
      <w:pPr>
        <w:pStyle w:val="TextoNormal"/>
      </w:pPr>
      <w:r>
        <w:t>2. La extinción, pérdida, anulación o suspensión de las prestaciones por incapacidad temporal, riesgo durante el embarazo, riesgo durante la lactancia natural, maternidad, paternidad, y adopción o acogimiento, declarada por el órgano competente del correspondiente régimen público de Seguridad Social surtirá idénticos efectos en cuanto a la percepción del complemento previsto en este artículo, sin perjuicio de las obligaciones de reintegro y de la responsabilidad disciplinaria que pueda resultar exigible en cada caso.</w:t>
      </w:r>
    </w:p>
    <w:p w:rsidR="001D6FAE" w:rsidRDefault="001D6FAE" w:rsidP="001D6FAE">
      <w:pPr>
        <w:pStyle w:val="TextoNormal"/>
      </w:pPr>
    </w:p>
    <w:p w:rsidR="001D6FAE" w:rsidRDefault="001D6FAE" w:rsidP="001D6FAE">
      <w:pPr>
        <w:pStyle w:val="TextoNormal"/>
      </w:pPr>
      <w:r>
        <w:t>3. Durante el período en que el empleado se encuentre en situación de incapacidad temporal no se abonará complemento alguno para garantizar retribuciones derivadas de la realización de guardias o de la prestación de servicios extraordinarios, en horario nocturno, en sábados, domingos o festivos, o en cualquiera otras condiciones de las que derive el derecho a percibir retribuciones que tengan un carácter variable.’”</w:t>
      </w:r>
    </w:p>
    <w:p w:rsidR="001D6FAE" w:rsidRDefault="001D6FAE" w:rsidP="001D6FAE">
      <w:pPr>
        <w:pStyle w:val="TextoNormal"/>
      </w:pPr>
    </w:p>
    <w:p w:rsidR="001D6FAE" w:rsidRDefault="001D6FAE" w:rsidP="001D6FAE">
      <w:pPr>
        <w:pStyle w:val="TextoNormal"/>
      </w:pPr>
      <w:r>
        <w:t>Como se ha expuesto en los antecedentes, el órgano judicial promotor de la cuestión considera que los aspectos cuestionados de los arts. 1, 5 y 20.3 y 9 de la Ley 1/2012 pueden ser contrarios a los arts. 37.1, 149.1, apartados 7 y 13, y 156.1 CE, en la medida en que los preceptos cuestionados carecen de cobertura en una ley estatal. Por el contrario, la Fiscal General del Estado ha interesado la inadmisión de la cuestión de inconstitucionalidad planteada al considerarla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2</w:t>
      </w:r>
      <w:r>
        <w:t>. Conforme a lo dispuesto en el art.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1D6FAE" w:rsidRDefault="001D6FAE" w:rsidP="001D6FAE">
      <w:pPr>
        <w:pStyle w:val="TextoNormal"/>
      </w:pPr>
    </w:p>
    <w:p w:rsidR="001D6FAE" w:rsidRDefault="001D6FAE" w:rsidP="001D6FAE">
      <w:pPr>
        <w:pStyle w:val="TextoNormal"/>
      </w:pPr>
      <w:r>
        <w:t>La Fiscal General del Estado alega que en la presente cuestión de inconstitucionalidad concurre el segundo motivo de inadmisión.</w:t>
      </w:r>
    </w:p>
    <w:p w:rsidR="001D6FAE" w:rsidRDefault="001D6FAE" w:rsidP="001D6FAE">
      <w:pPr>
        <w:pStyle w:val="TextoNormal"/>
      </w:pPr>
    </w:p>
    <w:p w:rsidR="001D6FAE" w:rsidRDefault="001D6FAE" w:rsidP="001D6FAE">
      <w:pPr>
        <w:pStyle w:val="TextoNormal"/>
      </w:pPr>
      <w:r w:rsidRPr="001D6FAE">
        <w:rPr>
          <w:rStyle w:val="NumeroAFNegritaCaracter"/>
        </w:rPr>
        <w:t>3</w:t>
      </w:r>
      <w:r>
        <w:t>. En efecto, la presente cuestión de inconstitucionalidad planteada no puede ser admitida a trámite porque resulta notoriamente infundada (art. 37.1 LOTC).</w:t>
      </w:r>
    </w:p>
    <w:p w:rsidR="001D6FAE" w:rsidRDefault="001D6FAE" w:rsidP="001D6FAE">
      <w:pPr>
        <w:pStyle w:val="TextoNormal"/>
      </w:pPr>
    </w:p>
    <w:p w:rsidR="001D6FAE" w:rsidRDefault="001D6FAE" w:rsidP="001D6FAE">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001D6FAE" w:rsidRDefault="001D6FAE" w:rsidP="001D6FAE">
      <w:pPr>
        <w:pStyle w:val="TextoNormal"/>
      </w:pPr>
    </w:p>
    <w:p w:rsidR="001D6FAE" w:rsidRDefault="001D6FAE" w:rsidP="001D6FAE">
      <w:pPr>
        <w:pStyle w:val="TextoNormal"/>
      </w:pPr>
      <w:r>
        <w:t>En el presente caso, por las razones que se van a exponer a continuación, puede apreciarse ya en este trámite liminar que la cuestión planteada es notoriamente infundada.</w:t>
      </w:r>
    </w:p>
    <w:p w:rsidR="001D6FAE" w:rsidRDefault="001D6FAE" w:rsidP="001D6FAE">
      <w:pPr>
        <w:pStyle w:val="TextoNormal"/>
      </w:pPr>
    </w:p>
    <w:p w:rsidR="001D6FAE" w:rsidRDefault="001D6FAE" w:rsidP="001D6FAE">
      <w:pPr>
        <w:pStyle w:val="TextoNormal"/>
      </w:pPr>
      <w:r>
        <w:t>Aunque el órgano judicial no identifica en el Auto de planteamiento con suficiente precisión el precepto o los preceptos constitucionales que considera vulnerados (en el trámite de audiencia previa a las partes aludió explícitamente a los arts. 37.1, 149.1.13 y 156.1 CE y estos dos últimos preceptos aparecen también citados —una sola vez— en la fundamentación del propio Auto de planteamiento), se puede entender que la duda de inconstitucionalidad se reduce a un único motivo: a su juicio, los preceptos autonómicos cuestionados carecen de cobertura en una ley estatal, porque falta una ley estatal que desde la perspectiva económica y presupuestaria hiciera de “enlace” con los arts. 149.1.13 y 156.1 CE. Por lo tanto, la duda de constitucionalidad es estrictamente competencial, al cuestionarse que una Comunidad Autónoma tenga competencia para aprobar una norma con el contenido de la Ley 1/2012 sin contar con un “enlace” constitucional suficiente mediante un texto legal de ámbito estatal.</w:t>
      </w:r>
    </w:p>
    <w:p w:rsidR="001D6FAE" w:rsidRDefault="001D6FAE" w:rsidP="001D6FAE">
      <w:pPr>
        <w:pStyle w:val="TextoNormal"/>
      </w:pPr>
    </w:p>
    <w:p w:rsidR="001D6FAE" w:rsidRDefault="001D6FAE" w:rsidP="001D6FAE">
      <w:pPr>
        <w:pStyle w:val="TextoNormal"/>
      </w:pPr>
      <w:r>
        <w:t>A este respecto debemos constatar que dudas similares han sido ya abordadas en nuestra jurisprudencia. Así, en los AATC 228/2015 y 229/2015, ambos de 15 de diciembre, este Tribunal inadmitió sendas cuestiones de inconstitucionalidad promovidas frente a una ley canaria que suspendía aspectos incluidos en un convenio colectivo del personal laboral de la Comunidad Autónoma; y en el ATC 83/2016, de 26 de abril, inadmitimos una cuestión de inconstitucionalidad elevada frente a una ley murciana que aplicaba reducciones salariales al personal laboral equivalentes a las que experimentan los funcionarios.</w:t>
      </w:r>
    </w:p>
    <w:p w:rsidR="001D6FAE" w:rsidRDefault="001D6FAE" w:rsidP="001D6FAE">
      <w:pPr>
        <w:pStyle w:val="TextoNormal"/>
      </w:pPr>
    </w:p>
    <w:p w:rsidR="001D6FAE" w:rsidRDefault="001D6FAE" w:rsidP="001D6FAE">
      <w:pPr>
        <w:pStyle w:val="TextoNormal"/>
      </w:pPr>
      <w:r w:rsidRPr="001D6FAE">
        <w:rPr>
          <w:rStyle w:val="NumeroAFNegritaCaracter"/>
        </w:rPr>
        <w:t>4</w:t>
      </w:r>
      <w:r>
        <w:t>. En la presente cuestión la tacha de incompetencia reprochada a los preceptos cuestionados se fundamenta, como se ha indicado, en la inexistencia de cobertura en norma estatal resultante de las competencias estatales derivadas de los arts. 149.1.13 y 156.1 CE.</w:t>
      </w:r>
    </w:p>
    <w:p w:rsidR="001D6FAE" w:rsidRDefault="001D6FAE" w:rsidP="001D6FAE">
      <w:pPr>
        <w:pStyle w:val="TextoNormal"/>
      </w:pPr>
    </w:p>
    <w:p w:rsidR="001D6FAE" w:rsidRDefault="001D6FAE" w:rsidP="001D6FAE">
      <w:pPr>
        <w:pStyle w:val="TextoNormal"/>
      </w:pPr>
      <w:r>
        <w:t>Ciertamente, la doctrina de este Tribunal encuadra las medidas estatales de contención del gasto de personal en las bases y coordinación de la planificación general de la actividad económica del art. 149.1.13 CE (SSTC 96/1990, de 24 de mayo, FJ 3; y 139/2005, de 26 de mayo, FJ 7). Además, considera que este tipo de medidas de contención de gastos de personal encuentra cobertura competencial también en el principio de coordinación con la Hacienda estatal reconocido en el art. 156.1 CE, pues se relaciona con la responsabilidad del Estado de garantizar el equilibrio económico general (SSTC 171/1996, de 30 de octubre, FJ 2; 103/1997, de 22 de mayo, FJ 1; y 148/2006, de 11 de mayo, FJ 6).</w:t>
      </w:r>
    </w:p>
    <w:p w:rsidR="001D6FAE" w:rsidRDefault="001D6FAE" w:rsidP="001D6FAE">
      <w:pPr>
        <w:pStyle w:val="TextoNormal"/>
      </w:pPr>
    </w:p>
    <w:p w:rsidR="001D6FAE" w:rsidRDefault="001D6FAE" w:rsidP="001D6FAE">
      <w:pPr>
        <w:pStyle w:val="TextoNormal"/>
      </w:pPr>
      <w:r>
        <w:t xml:space="preserve">Ahora bien, tanto el art. 156.1 CE como el art. 149.1.13 CE presuponen la capacidad de las Comunidades Autónomas para definir sus gastos. Esa capacidad se incardina precisamente dentro de la autonomía financiera que la Constitución reconoce a las Comunidades Autónomas (art. 156.1 CE). De conformidad con su autonomía financiera, por tanto, cada Comunidad Autónoma fija las retribuciones y establece para su personal las compensaciones, ventajas y ayudas que considera oportunas o que resulten de la negociación colectiva, respetando los límites impuestos con carácter general por el Estado. La capacidad de las Comunidades Autónomas para definir sus gastos en los correspondientes presupuestos solo queda desplazada o modulada en la medida en que el Estado haya ejercido sus competencias </w:t>
      </w:r>
      <w:r w:rsidRPr="001D6FAE">
        <w:rPr>
          <w:i/>
        </w:rPr>
        <w:t>ex</w:t>
      </w:r>
      <w:r>
        <w:t xml:space="preserve"> art. 149.1.13 CE. Las Comunidades Autónomas están obligadas a respetar las medidas de contención del gasto de personal establecidas por el Estado, pero respetando las existentes o no existiendo tales medidas, su competencia en materia económica les faculta para llevar a cabo las medidas de contención del gasto de personal que crean necesarias.</w:t>
      </w:r>
    </w:p>
    <w:p w:rsidR="001D6FAE" w:rsidRDefault="001D6FAE" w:rsidP="001D6FAE">
      <w:pPr>
        <w:pStyle w:val="TextoNormal"/>
      </w:pPr>
    </w:p>
    <w:p w:rsidR="001D6FAE" w:rsidRDefault="001D6FAE" w:rsidP="001D6FAE">
      <w:pPr>
        <w:pStyle w:val="TextoNormal"/>
      </w:pPr>
      <w:r>
        <w:t>Así pues, en virtud del principio de autonomía financiera de las Comunidades Autónomas (art. 156.1 CE) y de las competencias que le atribuye el art. 31.1.12 del Estatuto de Autonomía de Castilla-La Mancha en materia de “planificación de la actividad económica y fomento del desarrollo económico de la región, dentro de los objetivos marcados por la política económica nacional y del sector público económico de Castilla-La Mancha”, la Comunidad Autónoma de Castilla-La Mancha puede adoptar medidas de contención del gasto público, sin necesidad de una previa habilitación o autorización del Estado en ejercicio de las competencias derivadas del art. 149.1.13 CE o de otro título competencial. Esas medidas autonómicas de contención del gasto público serán constitucionales siempre que no entren en contradicción con las medidas que el Estado pueda establecer válidamente con esta misma finalidad al amparo de las competencias que le atribuyen el art. 149.1.13 CE (en el mismo sentido, ATC 83/2016, FJ 4).</w:t>
      </w:r>
    </w:p>
    <w:p w:rsidR="001D6FAE" w:rsidRDefault="001D6FAE" w:rsidP="001D6FAE">
      <w:pPr>
        <w:pStyle w:val="TextoNormal"/>
      </w:pPr>
    </w:p>
    <w:p w:rsidR="001D6FAE" w:rsidRDefault="001D6FAE" w:rsidP="001D6FAE">
      <w:pPr>
        <w:pStyle w:val="TextoNormal"/>
      </w:pPr>
      <w:r>
        <w:t>En el presente caso, los preceptos cuestionados de la Ley 1/2012, al prever una reducción de las retribuciones y de determinados complementos por incapacidad temporal y un aumento de la jornada laboral, se limitan a establecer medidas de contención de gasto público que entran dentro de la competencia autonómica. Y, por otro lado, el órgano judicial promotor de la cuestión no ha alegado norma estatal alguna adoptada en ejercicio de las competencias estatales derivadas del art. 149.1.13 CE o de otro título competencial, de la que se derive la imposibilidad de llevar a cabo las medidas cuestionadas.</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Publíquese en el “Boletín Oficial del Estado”.</w:t>
      </w:r>
    </w:p>
    <w:p w:rsidR="001D6FAE" w:rsidRDefault="001D6FAE" w:rsidP="001D6FAE">
      <w:pPr>
        <w:pStyle w:val="TextoNormal"/>
      </w:pPr>
    </w:p>
    <w:p w:rsidR="001D6FAE" w:rsidRDefault="001D6FAE" w:rsidP="001D6FAE">
      <w:pPr>
        <w:pStyle w:val="TextoNormal"/>
      </w:pPr>
      <w:r>
        <w:t>Madrid, a diecinueve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0" w:name="AUTO_2016_146"/>
      <w:r>
        <w:t>AUTO 146/2016, de 19 de julio de 2016</w:t>
      </w:r>
    </w:p>
    <w:bookmarkEnd w:id="120"/>
    <w:p w:rsidR="001D6FAE" w:rsidRDefault="001D6FAE" w:rsidP="001D6FAE">
      <w:pPr>
        <w:pStyle w:val="TtuloResolucin"/>
      </w:pPr>
      <w:r>
        <w:t>Pleno</w:t>
      </w:r>
    </w:p>
    <w:p w:rsidR="001D6FAE" w:rsidRDefault="001D6FAE" w:rsidP="001D6FAE">
      <w:pPr>
        <w:pStyle w:val="TextoNormalCentrado"/>
      </w:pPr>
      <w:r>
        <w:t>ECLI:ES:TC:2016:146A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Cuestión de inconstitucionalidad 2749-2016. Inadmite a trámite la cuestión de inconstitucionalidad 2749-2016, planteada por la Audiencia Provincial de Almería en relación con el artículo 2 de la Ley 1/2013, de 14 de mayo, de medidas para reforzar la protección a los deudos hipotecarios, reestructuración de deuda y alquiler social.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19 de mayo de 2016 tuvo entrada en este Tribunal un escrito de la Sección Primera de la Audiencia Provincial de Almería al que se acompaña, junto con el testimonio del rollo de apelación 304-2015 de esa Sección y de los autos de ejecución hipotecaria 110-2009 del Juzgado de Primera Instancia e Instrucción núm. 2 de Roquetas de Mar, el Auto de 11 de abril de 2016 por el que se acuerda plantear cuestión de inconstitucionalidad en relación con el art. 2 de la Ley 1/2013, de 14 de mayo, de medidas para reforzar la protección a los deudores hipotecarios, reestructuración de la deuda y alquiler social, por la posible infracción del principio de interdicción de la arbitrariedad (art. 9.3 CE), de los derechos a la tutela judicial efectiva (art. 24.1 CE) y a utilizar los medios de prueba pertinentes para la propia defensa (art. 24.2 CE), y de exclusividad jurisdiccional del art. 117.3 CE.</w:t>
      </w:r>
    </w:p>
    <w:p w:rsidR="001D6FAE" w:rsidRDefault="001D6FAE" w:rsidP="001D6FAE">
      <w:pPr>
        <w:pStyle w:val="TextoNormal"/>
      </w:pPr>
    </w:p>
    <w:p w:rsidR="001D6FAE" w:rsidRDefault="001D6FAE" w:rsidP="001D6FAE">
      <w:pPr>
        <w:pStyle w:val="TextoNormal"/>
      </w:pPr>
      <w:r>
        <w:t>El precepto cuestionado enumera, y en consecuencia limita, los concretos medios de prueba (documentos) que permiten acreditar los requisitos de las situaciones de especial vulnerabilidad definidas en el art. 1 de la misma Ley 1/2013 para suspender el lanzamiento en una ejecución hipotecaria tras la adjudicación al acreedor ejecutante de la vivienda habitual del deudor ejecutado.</w:t>
      </w:r>
    </w:p>
    <w:p w:rsidR="001D6FAE" w:rsidRDefault="001D6FAE" w:rsidP="001D6FAE">
      <w:pPr>
        <w:pStyle w:val="TextoNormal"/>
      </w:pPr>
    </w:p>
    <w:p w:rsidR="001D6FAE" w:rsidRDefault="001D6FAE" w:rsidP="001D6FAE">
      <w:pPr>
        <w:pStyle w:val="TextoNormal"/>
      </w:pPr>
      <w:r w:rsidRPr="001D6FAE">
        <w:rPr>
          <w:rStyle w:val="NumeroAFNegritaCaracter"/>
        </w:rPr>
        <w:t>2</w:t>
      </w:r>
      <w:r>
        <w:t>. El planteamiento de la cuestión de inconstitucionalidad tiene origen en los siguientes antecedentes:</w:t>
      </w:r>
    </w:p>
    <w:p w:rsidR="001D6FAE" w:rsidRDefault="001D6FAE" w:rsidP="001D6FAE">
      <w:pPr>
        <w:pStyle w:val="TextoNormal"/>
      </w:pPr>
    </w:p>
    <w:p w:rsidR="001D6FAE" w:rsidRDefault="001D6FAE" w:rsidP="001D6FAE">
      <w:pPr>
        <w:pStyle w:val="TextoNormal"/>
      </w:pPr>
      <w:r>
        <w:t>a) En el procedimiento de ejecución hipotecaria 110-2009, el Juzgado de Primera Instancia e Instrucción núm. 2 de Roquetas de Mar, tras los trámites oportunos, celebró la subasta del bien hipotecado y dictó los Decretos de 30 de noviembre de 2010, de adjudicación de la finca a la entidad ejecutante (Caja de Ahorros de Galicia, después NCG Banco, S.A.) por no concurrir ningún postor, y de 2 de septiembre de 2010, de cancelación de cargas.</w:t>
      </w:r>
    </w:p>
    <w:p w:rsidR="001D6FAE" w:rsidRDefault="001D6FAE" w:rsidP="001D6FAE">
      <w:pPr>
        <w:pStyle w:val="TextoNormal"/>
      </w:pPr>
    </w:p>
    <w:p w:rsidR="001D6FAE" w:rsidRDefault="001D6FAE" w:rsidP="001D6FAE">
      <w:pPr>
        <w:pStyle w:val="TextoNormal"/>
      </w:pPr>
      <w:r>
        <w:t>b) Mediante escritos de 3 y 14 de septiembre de 2012, la representación de la parte ejecutante interesó que se requiriera a los ejecutados para que manifestaran si cumplían los requisitos establecidos en el Real Decreto-ley 27/2012 y en la Ley 1/2013 para permanecer en la finca adjudicada, aportando a tal efecto los documentos exigidos en los citados textos legales o, en caso contrario, que se procediera por el Juzgado al lanzamiento de los mismos como poseedores sin título, al amparo del art. 675 de la Ley de enjuiciamiento civil (LEC). Esta petición fue reiterada el 5 de noviembre de 2013.</w:t>
      </w:r>
    </w:p>
    <w:p w:rsidR="001D6FAE" w:rsidRDefault="001D6FAE" w:rsidP="001D6FAE">
      <w:pPr>
        <w:pStyle w:val="TextoNormal"/>
      </w:pPr>
    </w:p>
    <w:p w:rsidR="001D6FAE" w:rsidRDefault="001D6FAE" w:rsidP="001D6FAE">
      <w:pPr>
        <w:pStyle w:val="TextoNormal"/>
      </w:pPr>
      <w:r>
        <w:t>c) Mediante escrito de 9 de mayo de 2014 comparecieron los ejecutados (doña C.C y don A.C.) pidiendo la suspensión del lanzamiento, entre otras alegaciones que no interesan al presente proceso constitucional, por resultarles de aplicación lo establecido en la Ley 1/2013, de 14 de mayo. Como soporte documental de su petición acompañaron: (i) documentación rumana acreditativa del nacimiento de dos hijas comunes en aquel país, en 2000 y 2002; (ii) el libro de familia español donde figuran otras tres hijas comunes, nacidas en 2003, 2006 y 2008; (iii) certificado de empadronamiento de todos ellos en la vivienda adjudicada; (iv) documentación médica sobre una dolencia que padecen las tres hijas menores (“poliquistosis renal”); y (v) la solicitud de la inscripción en el servicio andaluz de empleo de la mujer y la resolución aprobatoria de la prestación por desempleo del marido.</w:t>
      </w:r>
    </w:p>
    <w:p w:rsidR="001D6FAE" w:rsidRDefault="001D6FAE" w:rsidP="001D6FAE">
      <w:pPr>
        <w:pStyle w:val="TextoNormal"/>
      </w:pPr>
    </w:p>
    <w:p w:rsidR="001D6FAE" w:rsidRDefault="001D6FAE" w:rsidP="001D6FAE">
      <w:pPr>
        <w:pStyle w:val="TextoNormal"/>
      </w:pPr>
      <w:r>
        <w:t>d) La representación de la parte ejecutante presentó escrito de oposición en fecha 27 de mayo de 2014, alegando que no se había aportado la documentación requerida por el art. 2 de la Ley 1/2013 y que por tanto no procedía la suspensión del lanzamiento.</w:t>
      </w:r>
    </w:p>
    <w:p w:rsidR="001D6FAE" w:rsidRDefault="001D6FAE" w:rsidP="001D6FAE">
      <w:pPr>
        <w:pStyle w:val="TextoNormal"/>
      </w:pPr>
    </w:p>
    <w:p w:rsidR="001D6FAE" w:rsidRDefault="001D6FAE" w:rsidP="001D6FAE">
      <w:pPr>
        <w:pStyle w:val="TextoNormal"/>
      </w:pPr>
      <w:r>
        <w:t>e) Por Auto de 30 de mayo de 2014 el Juzgado acordó “no haber lugar a la suspensión del lanzamiento interesada” por “no [constar] la completa acreditación de los requisitos exigidos” en la citada Ley 1/2013 para poder acceder a la suspensión. Aunque el Auto reconoce que “la documentación aportada” acredita la condición de “familia numerosa” de los recurrentes, razona sin embargo que “no se justifica el cumplimiento de los restantes requisitos, como podría ser la inexistencia de otras titularidades inmobiliarias por parte de los deudores hipotecarios, no consta certificado de rentas de los últimos cuatro ejercicios, y en su caso, certificado relativo a la presentación del impuesto de patrimonio expedido por la agencia estatal de administración tributaria con relación a los últimos cuatro ejercicios tributarios. Por ello no puede comprobarse efectivamente la concurrencia de los requisitos, ni el cambio sufrido por la unidad familiar en los últimos cuatro años; desconociéndose los ingresos que la unidad familiar ha tenido en los últimos años por cuanto dicho hecho no se ha acreditado”.</w:t>
      </w:r>
    </w:p>
    <w:p w:rsidR="001D6FAE" w:rsidRDefault="001D6FAE" w:rsidP="001D6FAE">
      <w:pPr>
        <w:pStyle w:val="TextoNormal"/>
      </w:pPr>
    </w:p>
    <w:p w:rsidR="001D6FAE" w:rsidRDefault="001D6FAE" w:rsidP="001D6FAE">
      <w:pPr>
        <w:pStyle w:val="TextoNormal"/>
      </w:pPr>
      <w:r>
        <w:t>f) Interpuesto recurso de apelación contra el citado Auto por los ejecutados, así como escrito de oposición por la ejecutante, la Sección Primera de la Audiencia Provincial de Almería competente para su resolución señaló el día 1 de marzo de 2016 para la deliberación y fallo del mismo.</w:t>
      </w:r>
    </w:p>
    <w:p w:rsidR="001D6FAE" w:rsidRDefault="001D6FAE" w:rsidP="001D6FAE">
      <w:pPr>
        <w:pStyle w:val="TextoNormal"/>
      </w:pPr>
    </w:p>
    <w:p w:rsidR="001D6FAE" w:rsidRDefault="001D6FAE" w:rsidP="001D6FAE">
      <w:pPr>
        <w:pStyle w:val="TextoNormal"/>
      </w:pPr>
      <w:r>
        <w:t>g) El 28 de enero de 2016 la Sección dictó sin embargo una providencia dando audiencia a las partes personadas y al Ministerio Fiscal para para que en el plazo común e improrrogable de diez días pudiesen alegar sobre la pertinencia de plantear cuestión de inconstitucionalidad en relación con el art. 2 de la Ley 1/2013, por posible vulneración de los 9.3 (principio de interdicción de la arbitrariedad), 24 (derecho a la tutela judicial efectiva y derecho a utilizar las pruebas pertinentes para la propia defensa) y 117.3 CE (principio de exclusividad jurisdiccional), o sobre el fondo de la misma.</w:t>
      </w:r>
    </w:p>
    <w:p w:rsidR="001D6FAE" w:rsidRDefault="001D6FAE" w:rsidP="001D6FAE">
      <w:pPr>
        <w:pStyle w:val="TextoNormal"/>
      </w:pPr>
    </w:p>
    <w:p w:rsidR="001D6FAE" w:rsidRDefault="001D6FAE" w:rsidP="001D6FAE">
      <w:pPr>
        <w:pStyle w:val="TextoNormal"/>
      </w:pPr>
      <w:r>
        <w:t>h) La providencia fue debidamente notificada a las partes personadas y al Ministerio Fiscal.</w:t>
      </w:r>
    </w:p>
    <w:p w:rsidR="001D6FAE" w:rsidRDefault="001D6FAE" w:rsidP="001D6FAE">
      <w:pPr>
        <w:pStyle w:val="TextoNormal"/>
      </w:pPr>
    </w:p>
    <w:p w:rsidR="001D6FAE" w:rsidRDefault="001D6FAE" w:rsidP="001D6FAE">
      <w:pPr>
        <w:pStyle w:val="TextoNormal"/>
      </w:pPr>
      <w:r>
        <w:t>i) El 19 de febrero de 2016 la parte ejecutada presentó sus alegaciones, no oponiéndose al planteamiento de la cuestión de inconstitucionalidad. En las actuaciones remitidas no consta escrito de la parte ejecutante ni del Ministerio Fiscal.</w:t>
      </w:r>
    </w:p>
    <w:p w:rsidR="001D6FAE" w:rsidRDefault="001D6FAE" w:rsidP="001D6FAE">
      <w:pPr>
        <w:pStyle w:val="TextoNormal"/>
      </w:pPr>
    </w:p>
    <w:p w:rsidR="001D6FAE" w:rsidRDefault="001D6FAE" w:rsidP="001D6FAE">
      <w:pPr>
        <w:pStyle w:val="TextoNormal"/>
      </w:pPr>
      <w:r>
        <w:t>j) Por Auto de 11 de abril de 2016 la Sección Primera de la Audiencia Provincial de Almería acordó plantear cuestión de inconstitucionalidad en relación con el art. 2 de la Ley 1/2013 por posible vulneración de los arts. 9.3, 24 y 117.3 CE.</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planteamiento comienza haciendo referencia a los requisitos procesales (juicios de aplicabilidad y relevancia), reiterando, en esencia, lo ya anticipado en la providencia de apertura del trámite de audiencia del art. 35.2 de la Ley Orgánica del Tribunal Constitucional (LOTC), esto es, que la razón de decidir del Auto apelado es la aplicación del art. 2 de la Ley 1/2013 de cuya constitucionalidad se duda, y que de su constitucionalidad o inconstitucionalidad depende la estimación o desestimación del recurso de apelación y la consiguiente suspensión o no del lanzamiento solicitado. Adicionalmente, razona que la inadmisión de la cuestión de inconstitucionalidad en relación con el mismo art. 2 de la Ley 1/2013 promovida por posible vulneración del derecho a la prueba acordada en el ATC 152/2014, de 27 de mayo, no es aplicable a este caso pues en aquel otro se inadmitió la cuestión por su carácter condicionado a la duda de constitucionalidad igualmente suscitada en relación con el art. 1.4 a) de la misma Ley (FJ 5), relación de dependencia que aquí no se produce.</w:t>
      </w:r>
    </w:p>
    <w:p w:rsidR="001D6FAE" w:rsidRDefault="001D6FAE" w:rsidP="001D6FAE">
      <w:pPr>
        <w:pStyle w:val="TextoNormal"/>
      </w:pPr>
    </w:p>
    <w:p w:rsidR="001D6FAE" w:rsidRDefault="001D6FAE" w:rsidP="001D6FAE">
      <w:pPr>
        <w:pStyle w:val="TextoNormal"/>
      </w:pPr>
      <w:r>
        <w:t>A continuación, el Auto de planteamiento aclara también que a pesar de las modificaciones de la Ley 1/2013 introducidas por el Real Decreto-ley 1/2015, de 27 de febrero, el art. 2 cuestionado “no ha sido modificado desde su redacción originaria”. Y por último recuerda la interpretación amplia del término “fallo” de los arts. 163 CE y 35.1 LOTC llevada a cabo por este Tribunal en el sentido de entender igualmente incardinable en el mismo la resolución de incidentes o procesos ejecutivos mediante resoluciones en forma de Auto con contenido declarativo (cita en este sentido la STC 76/1982).</w:t>
      </w:r>
    </w:p>
    <w:p w:rsidR="001D6FAE" w:rsidRDefault="001D6FAE" w:rsidP="001D6FAE">
      <w:pPr>
        <w:pStyle w:val="TextoNormal"/>
      </w:pPr>
    </w:p>
    <w:p w:rsidR="001D6FAE" w:rsidRDefault="001D6FAE" w:rsidP="001D6FAE">
      <w:pPr>
        <w:pStyle w:val="TextoNormal"/>
      </w:pPr>
      <w:r>
        <w:t>Acto seguido, expone sus dudas de constitucionalidad en relación con el precepto cuestionado, que pueden sintetizarse del siguiente modo:</w:t>
      </w:r>
    </w:p>
    <w:p w:rsidR="001D6FAE" w:rsidRDefault="001D6FAE" w:rsidP="001D6FAE">
      <w:pPr>
        <w:pStyle w:val="TextoNormal"/>
      </w:pPr>
    </w:p>
    <w:p w:rsidR="001D6FAE" w:rsidRDefault="001D6FAE" w:rsidP="001D6FAE">
      <w:pPr>
        <w:pStyle w:val="TextoNormal"/>
      </w:pPr>
      <w:r>
        <w:t>a) El artículo 2 pudiera ser contrario al principio de interdicción de la arbitrariedad (art. 9.3 CE) en cuanto que la exposición de motivos de la Ley no justifica la limitación de medios probatorios. La Sala reconoce la “amplia libertad de configuración” del legislador para regular la ejecución hipotecaria, e incluso para limitar los motivos de oposición del procedimiento de ejecución hipotecaria (cita en este sentido la STC 41/1981 y el ATC 113/2011), pero entiende que no existe justificación para limitar los medios de prueba admitidos en Derecho (solo prueba documental) y para imponer, además, qué concretos de entre todos los posibles documentos deben aportarse. Esa amplia libertad de configuración antes mencionada no permite al legislador ser “arbitrario”. Además, le parece que esa limitación de medios del deudor hipotecario resulta contradictoria con la libertad del deudor no hipotecario, el cual puede “alegar y probar lo que considere oportuno respecto de la situación alegada”, conforme al art. 675.3 LEC.</w:t>
      </w:r>
    </w:p>
    <w:p w:rsidR="001D6FAE" w:rsidRDefault="001D6FAE" w:rsidP="001D6FAE">
      <w:pPr>
        <w:pStyle w:val="TextoNormal"/>
      </w:pPr>
    </w:p>
    <w:p w:rsidR="001D6FAE" w:rsidRDefault="001D6FAE" w:rsidP="001D6FAE">
      <w:pPr>
        <w:pStyle w:val="TextoNormal"/>
      </w:pPr>
      <w:r>
        <w:t>b) El precepto le parece asimismo contrario al derecho a la tutela judicial efectiva del art. 24.1 CE, en relación con el art. 117.3 CE, por cuanto representa o supone un “desequilibrio”, “desventaja” o “limitación en la defensa” de una de las partes contraria a los principios de igualdad de armas y contradicción, tal y como han sido desarrollados por el Tribunal Europeo de Derechos Humanos. La limitación de medios de prueba, prosigue, no persigue un “fin legítimo” ni hay una “relación razonable de proporcionalidad entre los medios empleados y el objetivo que se persigue”.</w:t>
      </w:r>
    </w:p>
    <w:p w:rsidR="001D6FAE" w:rsidRDefault="001D6FAE" w:rsidP="001D6FAE">
      <w:pPr>
        <w:pStyle w:val="TextoNormal"/>
      </w:pPr>
    </w:p>
    <w:p w:rsidR="001D6FAE" w:rsidRDefault="001D6FAE" w:rsidP="001D6FAE">
      <w:pPr>
        <w:pStyle w:val="TextoNormal"/>
      </w:pPr>
      <w:r>
        <w:t>c) En tercer lugar, el art. 2 de la Ley 1/2013 le parece igualmente contrario al derecho a emplear los medios pertinentes para la propia defensa, consagrado en el art. 24.2 CE. Reconoce que este derecho es “de configuración legal” pero le parece que los “únicos presupuestos de admisión” de un medio de prueba son los del art. 283 LEC, esto es, pertinencia, utilidad y legalidad. Este principio de legalidad, tal y como está formulado en el art. 283 citado, está formulado “en sentido negativo: nunca se admitirá como prueba cualquier actividad prohibida por la ley”, pero “a lo que no llega el precepto ni se admite en ningún ámbito de la jurisdicción … es a configurar el principio de legalidad en sentido positivo como lo hace el art. 2 cuestionado, esto es, a indicar que sólo puede utilizarse para defender o enjuiciar la exclusión social este o aquel, ya no medio probatorio, sino … este o aquel documento”. Semejante técnica le parece contraria al art. 24.2 CE. Concluye afirmando que con este precepto se está introduciendo una “justicia administrativizada” incompatible con el art. 117.3 CE, pues si la exigencia positiva de determinados documentos está justificada en el ámbito de la Administración por tener ésta encomendada la gestión de los intereses generales (art. 103.1 CE), esta limitación le parece “incompatible” con la función de la jurisdicción como “función juzgadora sobre derechos y garantías individuales”. Con este precepto, el legislador estaría introduciendo un criterio de “prueba tasada” contrario a la libre valoración de la prueba como principio general en derecho procesal.</w:t>
      </w:r>
    </w:p>
    <w:p w:rsidR="001D6FAE" w:rsidRDefault="001D6FAE" w:rsidP="001D6FAE">
      <w:pPr>
        <w:pStyle w:val="TextoNormal"/>
      </w:pPr>
    </w:p>
    <w:p w:rsidR="001D6FAE" w:rsidRDefault="001D6FAE" w:rsidP="001D6FAE">
      <w:pPr>
        <w:pStyle w:val="TextoNormal"/>
      </w:pPr>
      <w:r>
        <w:t>d) A modo de conclusión final, el Auto termina con el siguiente razonamiento: la norma cuestionada “…es radicalmente contraria a la garantía constitucional de la jurisdicción conforme a lo dispuesto en el art. 117.3 de la Carta Magna. En los términos del presente caso, lo que se ha producido es que la norma cuestionada no permite valorar en su integridad la situación que se presenta al caso concreto, esto es no permite que esta sala declare a los dos demandados en este procedimiento en situación de exclusión social, cuando son cinco miembros en la unidad familiar y están en situación de desempleo (hechos acreditados documentalmente que darían lugar a la concesión del derecho), todo porque no se han presentado los cuatro certificados de renta (puede no existir) o certificación negativa del registro de la propiedad (que, como elemento impeditivo del derecho debiera aportarlos el ejecutante hoy apelado). A esta sala sólo le queda la posibilidad de desvincularse del artículo dos planteando la presente cuestión de inconstitucionalidad”.</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providencia de 7 de junio de 2016, la Sección Cuarta de este Tribunal acordó, a los efectos del art. 37.1 LOTC, conferir plazo de diez días al Fiscal General del Estado para que alegue lo que considere conveniente acerca de la admisibilidad de la presente cuestión de inconstitucionalidad, por si fuera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evacuó el trámite conferido mediante escrito registrado en este Tribunal el 30 de junio de 3016. En él, interesa la inadmisión de la presente cuestión por considerarla notoriamente infundada.</w:t>
      </w:r>
    </w:p>
    <w:p w:rsidR="001D6FAE" w:rsidRDefault="001D6FAE" w:rsidP="001D6FAE">
      <w:pPr>
        <w:pStyle w:val="TextoNormal"/>
      </w:pPr>
    </w:p>
    <w:p w:rsidR="001D6FAE" w:rsidRDefault="001D6FAE" w:rsidP="001D6FAE">
      <w:pPr>
        <w:pStyle w:val="TextoNormal"/>
      </w:pPr>
      <w:r>
        <w:t>Tras hacer una extensa exposición de los antecedentes del caso y de la jurisprudencia de este Tribunal acerca del concepto de cuestión “notoriamente infundada” (art. 37.1 LOTC), el Ministerio público razona sobre las concretas dudas elevadas por el órgano promotor de la cuestión.</w:t>
      </w:r>
    </w:p>
    <w:p w:rsidR="001D6FAE" w:rsidRDefault="001D6FAE" w:rsidP="001D6FAE">
      <w:pPr>
        <w:pStyle w:val="TextoNormal"/>
      </w:pPr>
    </w:p>
    <w:p w:rsidR="001D6FAE" w:rsidRDefault="001D6FAE" w:rsidP="001D6FAE">
      <w:pPr>
        <w:pStyle w:val="TextoNormal"/>
      </w:pPr>
      <w:r>
        <w:t>a) Le parece, en primer lugar, que la censura sobre el supuesto carácter arbitrario de la norma carece de todo fundamento constitucional. Es a su juicio palmario que los documentos exigidos guardan relación con los requisitos materiales enumerados en el art. 1 de la misma Ley 1/2013, por lo que su exigencia no es fruto del mero capricho del legislador ni carece de toda explicación racional. Rechaza igualmente la denuncia de discriminación por relación al art. 675.3 de la Ley de enjuiciamiento civil, pues se trata de situaciones jurídicas distintas (lanzamientos en desahucios no hipotecarios frente a lanzamientos en desahucios hipotecarios). Además, según el preámbulo de la Ley, ésta quiere atender a las situaciones de necesidad derivadas de la crisis económica, fin específico ausente en la norma general del art. 675.3 LEC.</w:t>
      </w:r>
    </w:p>
    <w:p w:rsidR="001D6FAE" w:rsidRDefault="001D6FAE" w:rsidP="001D6FAE">
      <w:pPr>
        <w:pStyle w:val="TextoNormal"/>
      </w:pPr>
    </w:p>
    <w:p w:rsidR="001D6FAE" w:rsidRDefault="001D6FAE" w:rsidP="001D6FAE">
      <w:pPr>
        <w:pStyle w:val="TextoNormal"/>
      </w:pPr>
      <w:r>
        <w:t>b) Desde la perspectiva del derecho a la pruebas (art. 24.2 CE), le parece que los documentos exigidos guardan correspondencia o relación de pertinencia con las circunstancias exigidas en el art. 1 de la Ley para acogerse a la moratoria que establece. Existen otros ejemplos en nuestro ordenamiento en que las partes deben acreditar su pretensión mediante la aportación de cierto tipo de pruebas documentales, como los procesos de ejecución (arts. 550 y 573 LEC), sin que ello suponga por sí mismo vulneración del derecho a la prueba. Y difícilmente pueden concebirse, concluye, pruebas distintas de las previstas en ese artículo 2 que sean idóneas y pertinentes para acreditar los requisitos que establece el art. 1 de la Ley 1/2013.</w:t>
      </w:r>
    </w:p>
    <w:p w:rsidR="001D6FAE" w:rsidRDefault="001D6FAE" w:rsidP="001D6FAE">
      <w:pPr>
        <w:pStyle w:val="TextoNormal"/>
      </w:pPr>
    </w:p>
    <w:p w:rsidR="001D6FAE" w:rsidRDefault="001D6FAE" w:rsidP="001D6FAE">
      <w:pPr>
        <w:pStyle w:val="TextoNormal"/>
      </w:pPr>
      <w:r>
        <w:t>c) En relación con la duda vinculada al art. 117.3 CE, argumenta que el artículo 2 cuestionado no limita en absoluto la potestad jurisdiccional de jueces y tribunales, entendida como facultad exclusiva de juzgar y hacer ejecutar lo juzgado aplicando las leyes sin interferencias. La norma cuestionada en ningún caso priva al órgano jurisdiccional de la potestad de comprobar y verificar con exclusividad el cumplimiento de los requisitos fijados por el legislador para poder acogerse a la moratoria en el lanzamiento que prevé el art. 1 de la Ley 1/2013. Lo que no puede pretenderse por la vía de la cuestión de inconstitucionalidad es censurar de modo genérico la constitucionalidad de un régimen o esquema legal por contraste con un hipotético modelo alternativo que no le corresponde formular al órgano proponente ni valorar a este Tribunal Constitucional, sino que es competencia exclusiva del legislador dentro de su libertad de elección. Mediante el cuestionamiento del artículo 2 desde esta óptica el órgano proponente pretende reformular la propia noción legal de “exclusión social” del artículo 1 y extender la moratoria a otros supuestos distintos no contemplados por el legislador, lo que excede de sus atribuciones.</w:t>
      </w:r>
    </w:p>
    <w:p w:rsidR="001D6FAE" w:rsidRDefault="001D6FAE" w:rsidP="001D6FAE">
      <w:pPr>
        <w:pStyle w:val="TextoNormal"/>
      </w:pPr>
    </w:p>
    <w:p w:rsidR="001D6FAE" w:rsidRDefault="001D6FAE" w:rsidP="001D6FAE">
      <w:pPr>
        <w:pStyle w:val="TextoNormal"/>
      </w:pPr>
      <w:r>
        <w:t>Ciñéndose así al concreto modelo configurado por el legislador, concluye que ninguna limitación en sus facultades de alegación y prueba se impone a los ejecutados en el precepto cuestionado. Así, aportaron los documentos pertinentes para justificar su situación de exclusión social; documentos que conforme a la regulación legal resultaba a todas luces insuficiente para acreditar la concurrencia de los requisitos establecidos en el art. 1 de la Ley 1/2013, pues no cualquier situación de exclusión social o de precariedad o necesidad es suficiente para acogerse al régimen de la Ley 1/2013, sino solo la concretamente definida por el legislador.</w:t>
      </w:r>
    </w:p>
    <w:p w:rsidR="001D6FAE" w:rsidRDefault="001D6FAE" w:rsidP="001D6FAE">
      <w:pPr>
        <w:pStyle w:val="TextoNormal"/>
      </w:pPr>
    </w:p>
    <w:p w:rsidR="001D6FAE" w:rsidRDefault="001D6FAE" w:rsidP="001D6FAE">
      <w:pPr>
        <w:pStyle w:val="TextoNormal"/>
      </w:pPr>
      <w:r>
        <w:t>Aportada esa documentación, el órgano jurisdiccional conserva intactas sus facultades jurisdiccionales para verificar el cumplimiento de los requisitos legales; pero no puede pretender reformular el concepto legal de exclusión social.</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Primera de la Audiencia Provincial de Almería plantea cuestión de inconstitucionalidad en relación con el art. 2 de la Ley 1/2013, de 14 de mayo, de medidas para reforzar la protección a los deudores hipotecarios, reestructuración de la deuda y alquiler social.</w:t>
      </w:r>
    </w:p>
    <w:p w:rsidR="001D6FAE" w:rsidRDefault="001D6FAE" w:rsidP="001D6FAE">
      <w:pPr>
        <w:pStyle w:val="TextoNormal"/>
      </w:pPr>
    </w:p>
    <w:p w:rsidR="001D6FAE" w:rsidRDefault="001D6FAE" w:rsidP="001D6FAE">
      <w:pPr>
        <w:pStyle w:val="TextoNormal"/>
      </w:pPr>
      <w:r>
        <w:t>El precepto cuestionado establece los concretos medios de prueba que permiten acreditar la situación de exclusión social definida en el precedente artículo 1 para suspender el lanzamiento en determinados procesos judiciales de ejecución hipotecaria, una vez adjudicada al acreedor o a persona que actúe por su cuenta la vivienda habitual de los ejecutados.</w:t>
      </w:r>
    </w:p>
    <w:p w:rsidR="001D6FAE" w:rsidRDefault="001D6FAE" w:rsidP="001D6FAE">
      <w:pPr>
        <w:pStyle w:val="TextoNormal"/>
      </w:pPr>
    </w:p>
    <w:p w:rsidR="001D6FAE" w:rsidRDefault="001D6FAE" w:rsidP="001D6FAE">
      <w:pPr>
        <w:pStyle w:val="TextoNormal"/>
      </w:pPr>
      <w:r>
        <w:t>Dice en concreto este artículo 2 de la Ley 1/2013:</w:t>
      </w:r>
    </w:p>
    <w:p w:rsidR="001D6FAE" w:rsidRDefault="001D6FAE" w:rsidP="001D6FAE">
      <w:pPr>
        <w:pStyle w:val="TextoNormal"/>
      </w:pPr>
    </w:p>
    <w:p w:rsidR="001D6FAE" w:rsidRDefault="001D6FAE" w:rsidP="001D6FAE">
      <w:pPr>
        <w:pStyle w:val="TextoNormal"/>
      </w:pPr>
      <w:r>
        <w:t>“Artículo 2. Acreditación.</w:t>
      </w:r>
    </w:p>
    <w:p w:rsidR="001D6FAE" w:rsidRDefault="001D6FAE" w:rsidP="001D6FAE">
      <w:pPr>
        <w:pStyle w:val="TextoNormal"/>
      </w:pPr>
    </w:p>
    <w:p w:rsidR="001D6FAE" w:rsidRDefault="001D6FAE" w:rsidP="001D6FAE">
      <w:pPr>
        <w:pStyle w:val="TextoNormal"/>
      </w:pPr>
      <w:r>
        <w:t>La concurrencia de las circunstancias a que se refiere esta Ley se acreditará por el deudor en cualquier momento del procedimiento de ejecución hipotecaria y antes de la ejecución del lanzamiento, ante el Juez o el Notario encargado del procedimiento, mediante la presentación de los siguientes documentos:</w:t>
      </w:r>
    </w:p>
    <w:p w:rsidR="001D6FAE" w:rsidRDefault="001D6FAE" w:rsidP="001D6FAE">
      <w:pPr>
        <w:pStyle w:val="TextoNormal"/>
      </w:pPr>
    </w:p>
    <w:p w:rsidR="001D6FAE" w:rsidRDefault="001D6FAE" w:rsidP="001D6FAE">
      <w:pPr>
        <w:pStyle w:val="TextoNormal"/>
      </w:pPr>
      <w:r>
        <w:t>a) Percepción de ingresos por los miembros de la unidad familiar:</w:t>
      </w:r>
    </w:p>
    <w:p w:rsidR="001D6FAE" w:rsidRDefault="001D6FAE" w:rsidP="001D6FAE">
      <w:pPr>
        <w:pStyle w:val="TextoNormal"/>
      </w:pPr>
    </w:p>
    <w:p w:rsidR="001D6FAE" w:rsidRDefault="001D6FAE" w:rsidP="001D6FAE">
      <w:pPr>
        <w:pStyle w:val="TextoNormal"/>
      </w:pPr>
      <w:r>
        <w:t>1.º Certificado de rentas y, en su caso, certificado relativo a la presentación del Impuesto de Patrimonio, expedido por la Agencia Estatal de Administración Tributaria con relación a los últimos cuatro ejercicios tributarios.</w:t>
      </w:r>
    </w:p>
    <w:p w:rsidR="001D6FAE" w:rsidRDefault="001D6FAE" w:rsidP="001D6FAE">
      <w:pPr>
        <w:pStyle w:val="TextoNormal"/>
      </w:pPr>
    </w:p>
    <w:p w:rsidR="001D6FAE" w:rsidRDefault="001D6FAE" w:rsidP="001D6FAE">
      <w:pPr>
        <w:pStyle w:val="TextoNormal"/>
      </w:pPr>
      <w:r>
        <w:t>2º Últimas tres nóminas percibidas.</w:t>
      </w:r>
    </w:p>
    <w:p w:rsidR="001D6FAE" w:rsidRDefault="001D6FAE" w:rsidP="001D6FAE">
      <w:pPr>
        <w:pStyle w:val="TextoNormal"/>
      </w:pPr>
    </w:p>
    <w:p w:rsidR="001D6FAE" w:rsidRDefault="001D6FAE" w:rsidP="001D6FAE">
      <w:pPr>
        <w:pStyle w:val="TextoNormal"/>
      </w:pPr>
      <w:r>
        <w:t>3º Certificado expedido por la entidad gestora de las prestaciones, en el que figure la cuantía mensual percibida en concepto de prestaciones o subsidios por desempleo.</w:t>
      </w:r>
    </w:p>
    <w:p w:rsidR="001D6FAE" w:rsidRDefault="001D6FAE" w:rsidP="001D6FAE">
      <w:pPr>
        <w:pStyle w:val="TextoNormal"/>
      </w:pPr>
    </w:p>
    <w:p w:rsidR="001D6FAE" w:rsidRDefault="001D6FAE" w:rsidP="001D6FAE">
      <w:pPr>
        <w:pStyle w:val="TextoNormal"/>
      </w:pPr>
      <w:r>
        <w:t>4º Certificado acreditativo de los salarios sociales, rentas mínimas de inserción o ayudas análogas de asistencia social concedidas por las Comunidades Autónomas y las entidades locales.</w:t>
      </w:r>
    </w:p>
    <w:p w:rsidR="001D6FAE" w:rsidRDefault="001D6FAE" w:rsidP="001D6FAE">
      <w:pPr>
        <w:pStyle w:val="TextoNormal"/>
      </w:pPr>
    </w:p>
    <w:p w:rsidR="001D6FAE" w:rsidRDefault="001D6FAE" w:rsidP="001D6FAE">
      <w:pPr>
        <w:pStyle w:val="TextoNormal"/>
      </w:pPr>
      <w:r>
        <w:t>5º En caso de trabajador por cuenta propia se aportará el certificado expedido por la Agencia Estatal de Administración Tributaria o, si estuviera percibiendo la prestación por cese de actividad, el certificado expedido por el órgano gestor en el que figure la cuantía mensual percibida.</w:t>
      </w:r>
    </w:p>
    <w:p w:rsidR="001D6FAE" w:rsidRDefault="001D6FAE" w:rsidP="001D6FAE">
      <w:pPr>
        <w:pStyle w:val="TextoNormal"/>
      </w:pPr>
    </w:p>
    <w:p w:rsidR="001D6FAE" w:rsidRDefault="001D6FAE" w:rsidP="001D6FAE">
      <w:pPr>
        <w:pStyle w:val="TextoNormal"/>
      </w:pPr>
      <w:r>
        <w:t>b) Número de personas que habitan la vivienda:</w:t>
      </w:r>
    </w:p>
    <w:p w:rsidR="001D6FAE" w:rsidRDefault="001D6FAE" w:rsidP="001D6FAE">
      <w:pPr>
        <w:pStyle w:val="TextoNormal"/>
      </w:pPr>
    </w:p>
    <w:p w:rsidR="001D6FAE" w:rsidRDefault="001D6FAE" w:rsidP="001D6FAE">
      <w:pPr>
        <w:pStyle w:val="TextoNormal"/>
      </w:pPr>
      <w:r>
        <w:t>1º Libro de familia o documento acreditativo de la inscripción como pareja de hecho.</w:t>
      </w:r>
    </w:p>
    <w:p w:rsidR="001D6FAE" w:rsidRDefault="001D6FAE" w:rsidP="001D6FAE">
      <w:pPr>
        <w:pStyle w:val="TextoNormal"/>
      </w:pPr>
    </w:p>
    <w:p w:rsidR="001D6FAE" w:rsidRDefault="001D6FAE" w:rsidP="001D6FAE">
      <w:pPr>
        <w:pStyle w:val="TextoNormal"/>
      </w:pPr>
      <w:r>
        <w:t>2º Certificado de empadronamiento relativo a las personas empadronadas en la vivienda, con referencia al momento de la presentación de los documentos acreditativos y a los seis meses anteriores.</w:t>
      </w:r>
    </w:p>
    <w:p w:rsidR="001D6FAE" w:rsidRDefault="001D6FAE" w:rsidP="001D6FAE">
      <w:pPr>
        <w:pStyle w:val="TextoNormal"/>
      </w:pPr>
    </w:p>
    <w:p w:rsidR="001D6FAE" w:rsidRDefault="001D6FAE" w:rsidP="001D6FAE">
      <w:pPr>
        <w:pStyle w:val="TextoNormal"/>
      </w:pPr>
      <w:r>
        <w:t>c) Titularidad de los bienes:</w:t>
      </w:r>
    </w:p>
    <w:p w:rsidR="001D6FAE" w:rsidRDefault="001D6FAE" w:rsidP="001D6FAE">
      <w:pPr>
        <w:pStyle w:val="TextoNormal"/>
      </w:pPr>
    </w:p>
    <w:p w:rsidR="001D6FAE" w:rsidRDefault="001D6FAE" w:rsidP="001D6FAE">
      <w:pPr>
        <w:pStyle w:val="TextoNormal"/>
      </w:pPr>
      <w:r>
        <w:t>1º Certificados de titularidades expedidos por el Registro de la Propiedad en relación con cada uno de los miembros de la unidad familiar.</w:t>
      </w:r>
    </w:p>
    <w:p w:rsidR="001D6FAE" w:rsidRDefault="001D6FAE" w:rsidP="001D6FAE">
      <w:pPr>
        <w:pStyle w:val="TextoNormal"/>
      </w:pPr>
    </w:p>
    <w:p w:rsidR="001D6FAE" w:rsidRDefault="001D6FAE" w:rsidP="001D6FAE">
      <w:pPr>
        <w:pStyle w:val="TextoNormal"/>
      </w:pPr>
      <w:r>
        <w:t>2º Escrituras de compraventa de la vivienda y de constitución de la garantía hipotecaria y otros documentos justificativos, en su caso, del resto de las garantías reales o personales constituidas, si las hubiere.</w:t>
      </w:r>
    </w:p>
    <w:p w:rsidR="001D6FAE" w:rsidRDefault="001D6FAE" w:rsidP="001D6FAE">
      <w:pPr>
        <w:pStyle w:val="TextoNormal"/>
      </w:pPr>
    </w:p>
    <w:p w:rsidR="001D6FAE" w:rsidRDefault="001D6FAE" w:rsidP="001D6FAE">
      <w:pPr>
        <w:pStyle w:val="TextoNormal"/>
      </w:pPr>
      <w:r>
        <w:t>d) Declaración responsable del deudor o deudores relativa al cumplimiento de los requisitos exigidos para considerarse situado en el ámbito de aplicación de esta Ley.”</w:t>
      </w:r>
    </w:p>
    <w:p w:rsidR="001D6FAE" w:rsidRDefault="001D6FAE" w:rsidP="001D6FAE">
      <w:pPr>
        <w:pStyle w:val="TextoNormal"/>
      </w:pPr>
    </w:p>
    <w:p w:rsidR="001D6FAE" w:rsidRDefault="001D6FAE" w:rsidP="001D6FAE">
      <w:pPr>
        <w:pStyle w:val="TextoNormal"/>
      </w:pPr>
      <w:r>
        <w:t>Al órgano jurisdiccional le parece que esta limitación de medios probatorios puede ser contraria a los principios de exclusividad jurisdiccional (art. 117.3 CE) y de interdicción de la arbitrariedad (art. 9.3 CE) y a los derechos a la tutela judicial efectiva (art. 24.1 CE) y a utilizar los medios de prueba pertinentes para la propia defensa (art. 24.2 CE), de acuerdo con los razonamientos que han quedado suficientemente detallados en el apartado de los antecedentes.</w:t>
      </w:r>
    </w:p>
    <w:p w:rsidR="001D6FAE" w:rsidRDefault="001D6FAE" w:rsidP="001D6FAE">
      <w:pPr>
        <w:pStyle w:val="TextoNormal"/>
      </w:pPr>
    </w:p>
    <w:p w:rsidR="001D6FAE" w:rsidRDefault="001D6FAE" w:rsidP="001D6FAE">
      <w:pPr>
        <w:pStyle w:val="TextoNormal"/>
      </w:pPr>
      <w:r w:rsidRPr="001D6FAE">
        <w:rPr>
          <w:rStyle w:val="NumeroAFNegritaCaracter"/>
        </w:rPr>
        <w:t>2</w:t>
      </w:r>
      <w:r>
        <w:t>.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1D6FAE" w:rsidRDefault="001D6FAE" w:rsidP="001D6FAE">
      <w:pPr>
        <w:pStyle w:val="TextoNormal"/>
      </w:pPr>
    </w:p>
    <w:p w:rsidR="001D6FAE" w:rsidRDefault="001D6FAE" w:rsidP="001D6FAE">
      <w:pPr>
        <w:pStyle w:val="TextoNormal"/>
      </w:pPr>
      <w:r>
        <w:t>Es doctrina reiterada de este Tribunal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(así, entre los más recientes, ATC 121/2015, de 7 de julio, FJ 2).</w:t>
      </w:r>
    </w:p>
    <w:p w:rsidR="001D6FAE" w:rsidRDefault="001D6FAE" w:rsidP="001D6FAE">
      <w:pPr>
        <w:pStyle w:val="TextoNormal"/>
      </w:pPr>
    </w:p>
    <w:p w:rsidR="001D6FAE" w:rsidRDefault="001D6FAE" w:rsidP="001D6FAE">
      <w:pPr>
        <w:pStyle w:val="TextoNormal"/>
      </w:pPr>
      <w:r>
        <w:t>En este caso, y por las razones que se exponen a continuación, puede apreciarse ya en este trámite liminar esa falta de viabilidad de la cuestión apuntada por nuestra comentada doctrina.</w:t>
      </w:r>
    </w:p>
    <w:p w:rsidR="001D6FAE" w:rsidRDefault="001D6FAE" w:rsidP="001D6FAE">
      <w:pPr>
        <w:pStyle w:val="TextoNormal"/>
      </w:pPr>
    </w:p>
    <w:p w:rsidR="001D6FAE" w:rsidRDefault="001D6FAE" w:rsidP="001D6FAE">
      <w:pPr>
        <w:pStyle w:val="TextoNormal"/>
      </w:pPr>
      <w:r w:rsidRPr="001D6FAE">
        <w:rPr>
          <w:rStyle w:val="NumeroAFNegritaCaracter"/>
        </w:rPr>
        <w:t>3</w:t>
      </w:r>
      <w:r>
        <w:t>. La dudas primera, tercera y cuarta del Auto de planteamiento plantean en realidad la misma cuestión: la razonabilidad (perspectiva de la interdicción de la arbitrariedad: art. 9.3 CE) y aun la posibilidad misma (perspectiva del derecho a la prueba del art. 24.2 CE y del principio de exclusividad jurisdiccional del art. 117.3 CE) de limitar el legislador los concretos medios de prueba para acreditar la situación de “especial vulnerabilidad” definida en el art. 1 de la misma Ley 1/2013, y que según ese mismo artículo 1 permite suspender el lanzamiento acordado en un proceso judicial de ejecución hipotecaria. Por lo tanto, una mayor claridad expositiva aconseja su resolución conjunta.</w:t>
      </w:r>
    </w:p>
    <w:p w:rsidR="001D6FAE" w:rsidRDefault="001D6FAE" w:rsidP="001D6FAE">
      <w:pPr>
        <w:pStyle w:val="TextoNormal"/>
      </w:pPr>
    </w:p>
    <w:p w:rsidR="001D6FAE" w:rsidRDefault="001D6FAE" w:rsidP="001D6FAE">
      <w:pPr>
        <w:pStyle w:val="TextoNormal"/>
      </w:pPr>
      <w:r>
        <w:t>Conviene comenzar recordando que este Tribunal ya ha reconocido que el derecho a la prueba es un “derecho de configuración legal” [por todas, STC 52/1998, de 3 de marzo, FJ 2 a)], por lo que, en contra de lo que sostiene el Auto de planteamiento, también ha dicho expresamente que “solo [son] admisibles los medios de prueba autorizados por el Ordenamiento” [STC 291/2006, de 9 de octubre, FJ 2 b), con cita de otras muchas en el mismo sentido].</w:t>
      </w:r>
    </w:p>
    <w:p w:rsidR="001D6FAE" w:rsidRDefault="001D6FAE" w:rsidP="001D6FAE">
      <w:pPr>
        <w:pStyle w:val="TextoNormal"/>
      </w:pPr>
    </w:p>
    <w:p w:rsidR="001D6FAE" w:rsidRDefault="001D6FAE" w:rsidP="001D6FAE">
      <w:pPr>
        <w:pStyle w:val="TextoNormal"/>
      </w:pPr>
      <w:r>
        <w:t>A su vez, la posibilidad de limitar o condicionar no solo la prueba en general sino los concretos medios de prueba admisibles fue ya establecida en la STC 51/1985, de 10 de abril, FJ 9:</w:t>
      </w:r>
    </w:p>
    <w:p w:rsidR="001D6FAE" w:rsidRDefault="001D6FAE" w:rsidP="001D6FAE">
      <w:pPr>
        <w:pStyle w:val="TextoNormal"/>
      </w:pPr>
    </w:p>
    <w:p w:rsidR="001D6FAE" w:rsidRDefault="001D6FAE" w:rsidP="001D6FAE">
      <w:pPr>
        <w:pStyle w:val="TextoNormal"/>
      </w:pPr>
      <w:r>
        <w:t>“El apartado 2 del art. 24 de la Constitución, al enumerar los que grosso modo pueden denominarse derechos constitucionales de contenido procesal, menciona de manera concreta el derecho de todos «a utilizar los medios de prueba pertinentes para su defensa». Como todos los derechos fundamentales establecidos entre los arts. 14 y 29 presenta éste una doble línea de proyección de su eficacia, pues es un parámetro para fijar la legitimidad constitucional de las Leyes y es un derecho (y una norma) directamente ejercitable (aplicable) por el particular. Cuando existe una intermediación legal, la regla del art. 24. 2 de la Constitución puede servir para determinar la legitimidad constitucional de los requisitos de tiempo y de forma de la proposición de las pruebas o el ámbito objetivo de éstas (todos los medios pensables, etc.).”</w:t>
      </w:r>
    </w:p>
    <w:p w:rsidR="001D6FAE" w:rsidRDefault="001D6FAE" w:rsidP="001D6FAE">
      <w:pPr>
        <w:pStyle w:val="TextoNormal"/>
      </w:pPr>
    </w:p>
    <w:p w:rsidR="001D6FAE" w:rsidRDefault="001D6FAE" w:rsidP="001D6FAE">
      <w:pPr>
        <w:pStyle w:val="TextoNormal"/>
      </w:pPr>
      <w:r>
        <w:t>Más en concreto, este Tribunal también ha reconocido que las “características del proceso” o su “especial naturaleza” pueden “modular” este derecho a la prueba del art. 24.2 CE.</w:t>
      </w:r>
    </w:p>
    <w:p w:rsidR="001D6FAE" w:rsidRDefault="001D6FAE" w:rsidP="001D6FAE">
      <w:pPr>
        <w:pStyle w:val="TextoNormal"/>
      </w:pPr>
    </w:p>
    <w:p w:rsidR="001D6FAE" w:rsidRDefault="001D6FAE" w:rsidP="001D6FAE">
      <w:pPr>
        <w:pStyle w:val="TextoNormal"/>
      </w:pPr>
      <w:r>
        <w:t>Así lo ha hecho en la STC 44/2009, de 12 de febrero, FFJJ 8 b) y 9, y en otras muchas a propósito de la limitación de prueba en los recursos contra la proclamación de candidatos y de candidaturas derivada del art. 49.1 de la Ley Orgánica del régimen electoral general, que solo permite admitir las pruebas que se acompañen al escrito de alegaciones, en atención a las notas de celeridad y perentoriedad que caracterizan a este tipo procesal. E igualmente en la STC 168/1986, de 22 de diciembre, FJ 4, sobre la limitación de medios de prueba en el procedimiento de ejercicio del derecho de rectificación [pruebas “que puedan practicarse en el acto”: art. 6 b) de la Ley Orgánica 2/1984, de 26 de marzo], en atención igualmente al carácter “urgente y sumario” del procedimiento instituido con el limitado objeto de exigir la publicación de la rectificación denegada, y que no produce efectos de cosa juzgada respecto de las acciones civiles o penales que puedan entablarse para una ulterior investigación sobre la verdad de los hechos publicados o difundidos.</w:t>
      </w:r>
    </w:p>
    <w:p w:rsidR="001D6FAE" w:rsidRDefault="001D6FAE" w:rsidP="001D6FAE">
      <w:pPr>
        <w:pStyle w:val="TextoNormal"/>
      </w:pPr>
    </w:p>
    <w:p w:rsidR="001D6FAE" w:rsidRDefault="001D6FAE" w:rsidP="001D6FAE">
      <w:pPr>
        <w:pStyle w:val="TextoNormal"/>
      </w:pPr>
      <w:r>
        <w:t>Pues bien, en este caso, tratándose de un proceso judicial de ejecución hipotecaria, cuyas singularidades ya ha destacado igualmente este Tribunal (“procedimiento de ejecución sumario” que “no … produce cosa juzgada”; “carácter no definitivo del procedimiento”; “ausencia de fase de cognición”; “cognición limitada y medios de defensa limitados”; basado en la “extraordinaria fuerza ejecutiva del título”: ATC 113/2011, de 19 de julio, FJ 4, con cita de la STC 41/1981, de 18 de diciembre, y en el mismo sentido STC 79/2013, de 8 de abril, FJ 3), la posibilidad de introducir modulaciones a las normas generales sobre admisión de pruebas establecidas en el art. 283 de la Ley de enjuiciamiento civil (LEC) no puede cuestionarse. Es más, como apunta la Fiscal General del Estado en sus alegaciones, la exigencia de concretos documentos no ya solo para la estimación de pretensiones sino incluso para condicionar la admisibilidad misma de determinados procesos no es una técnica desconocida en nuestro derecho. Se contiene en las normas generales sobre los procesos judiciales de ejecución (arts. 550 y 573 LEC) que cita el Ministerio público, y también en las del proceso monitorio (arts. 439.4 y 812 LEC) o en las del proceso contencioso-administrativo (art. 45 de la Ley reguladora de la jurisdicción contencioso-administrativa), por citar otros ejemplos.</w:t>
      </w:r>
    </w:p>
    <w:p w:rsidR="001D6FAE" w:rsidRDefault="001D6FAE" w:rsidP="001D6FAE">
      <w:pPr>
        <w:pStyle w:val="TextoNormal"/>
      </w:pPr>
    </w:p>
    <w:p w:rsidR="001D6FAE" w:rsidRDefault="001D6FAE" w:rsidP="001D6FAE">
      <w:pPr>
        <w:pStyle w:val="TextoNormal"/>
      </w:pPr>
      <w:r>
        <w:t>Y en relación con esta limitación de medios, el requisito de la pertinencia expresamente mencionado en el art. 24.2 CE al establecer el derecho a la prueba no tiene por qué ser el único límite constitucionalmente admisible a este derecho, pues como este Tribunal ha reiterado no hay en nuestro ordenamiento derechos ilimitados y absolutos (entre otras muchas, STC 181/1990, de 15 de noviembre, FJ 3).</w:t>
      </w:r>
    </w:p>
    <w:p w:rsidR="001D6FAE" w:rsidRDefault="001D6FAE" w:rsidP="001D6FAE">
      <w:pPr>
        <w:pStyle w:val="TextoNormal"/>
      </w:pPr>
    </w:p>
    <w:p w:rsidR="001D6FAE" w:rsidRDefault="001D6FAE" w:rsidP="001D6FAE">
      <w:pPr>
        <w:pStyle w:val="TextoNormal"/>
      </w:pPr>
      <w:r w:rsidRPr="001D6FAE">
        <w:rPr>
          <w:rStyle w:val="NumeroAFNegritaCaracter"/>
        </w:rPr>
        <w:t>4</w:t>
      </w:r>
      <w:r>
        <w:t>. Sentado lo anterior, esto es, la posibilidad de limitar o modular el derecho a la prueba en atención a las características o naturaleza del procedimiento, resta por analizar si esa modulación supera o no el canon de la razonabilidad que impone el art. 9.3 CE y responde a la vez a la protección de otros bienes o derechos dignos de protección que puedan válidamente erigirse en límites del primero, conforme a su rango de derecho fundamental consagrado en el art. 24.2 CE. Si es así, decaerá igualmente la duda de posible vulneración del art. 117.3 CE.</w:t>
      </w:r>
    </w:p>
    <w:p w:rsidR="001D6FAE" w:rsidRDefault="001D6FAE" w:rsidP="001D6FAE">
      <w:pPr>
        <w:pStyle w:val="TextoNormal"/>
      </w:pPr>
    </w:p>
    <w:p w:rsidR="001D6FAE" w:rsidRDefault="001D6FAE" w:rsidP="001D6FAE">
      <w:pPr>
        <w:pStyle w:val="TextoNormal"/>
      </w:pPr>
      <w:r>
        <w:t>a) Comenzando por la segunda constatación, es forzoso reconocer que la adjudicación del bien al acreedor (como remedio subsidiario ante la ausencia o insuficiencia de posturas en la subasta, art. 671 LEC), es necesaria para hacer efectivo su derecho como tal acreedor hipotecario definido en el Código civil (CC) y en la Ley hipotecaria. Según estas leyes “la hipoteca sujeta directa e inmediatamente los bienes sobre que se impone, cualquiera que sea su poseedor, al cumplimiento de la obligación para cuya seguridad fue constituida” (arts. 1876 CC y 104 de la Ley hipotecaria: LH), de modo que “el acreedor podrá reclamar del tercer poseedor de los bienes hipotecados el pago de la parte de crédito asegurada con los que el último posee, en los términos y con las formalidades que la ley establece” (art. 1879 CC, que remite así a los arts. 126 y 127 LH). El art. 675 LEC es, por ello, simple corolario de ese derecho, que es precisamente el que se ejercita a través de esta modalidad procedimental (procedimiento judicial de ejecución hipotecaria).</w:t>
      </w:r>
    </w:p>
    <w:p w:rsidR="001D6FAE" w:rsidRDefault="001D6FAE" w:rsidP="001D6FAE">
      <w:pPr>
        <w:pStyle w:val="TextoNormal"/>
      </w:pPr>
    </w:p>
    <w:p w:rsidR="001D6FAE" w:rsidRDefault="001D6FAE" w:rsidP="001D6FAE">
      <w:pPr>
        <w:pStyle w:val="TextoNormal"/>
      </w:pPr>
      <w:r>
        <w:t>Quiere con ello decirse que de no reconocerse esta facultad de tomar posesión de los bienes y expulsar a los poseedores del bien hipotecado adjudicado al acreedor (sin perjuicio de las acciones declarativas que correspondan) los derechos del acreedor hipotecario como tal titular de un derecho real de garantía se verían desvirtuados y el procedimiento judicial de ejecución hipotecaria instituido en su favor con amparo en ese título singular carecería de todo efecto útil. En consecuencia, es obligado concluir que aquellas facultades (adquirir la posesión del bien hipotecado y expulsar del mismo a eventuales poseedores) deben integrarse en el derecho del ejecutante a la “efectividad” de la tutela judicial de su derecho de hipoteca pretendida con esta concreta modalidad procesal. Es decir, que el derecho a la prueba de los ejecutados en este incidente de lanzamiento posterior y accesorio al procedimiento judicial de ejecución hipotecaria se ve fuertemente contrapesado por el derecho a la tutela efectiva de los jueces y tribunales en el ejercicio del derecho (de hipoteca) del ejecutante, igualmente de rango fundamental (art. 24.1 CE).</w:t>
      </w:r>
    </w:p>
    <w:p w:rsidR="001D6FAE" w:rsidRDefault="001D6FAE" w:rsidP="001D6FAE">
      <w:pPr>
        <w:pStyle w:val="TextoNormal"/>
      </w:pPr>
    </w:p>
    <w:p w:rsidR="001D6FAE" w:rsidRDefault="001D6FAE" w:rsidP="001D6FAE">
      <w:pPr>
        <w:pStyle w:val="TextoNormal"/>
      </w:pPr>
      <w:r>
        <w:t xml:space="preserve">Como recuerda la STC 41/1981, ya citada, FJ 5, “el procedimiento de ejecución hipotecaria... En puridad, es un proceso de ejecución. Más en concreto, es un procedimiento de realización del valor de la finca hipotecada, que carece de una fase de cognición. Tal estructura resulta lógica a partir de la naturaleza del título. La garantía del crédito hipotecario consiste en la sujeción del valor de la finca hipotecada, que es simplemente potencial, porque la realización del valor sólo puede producirse si se da la </w:t>
      </w:r>
      <w:r w:rsidRPr="001D6FAE">
        <w:rPr>
          <w:i/>
        </w:rPr>
        <w:t>conditio iuris</w:t>
      </w:r>
      <w:r>
        <w:t xml:space="preserve"> de que se incumpla la obligación asegurada. Producida tal </w:t>
      </w:r>
      <w:r w:rsidRPr="001D6FAE">
        <w:rPr>
          <w:i/>
        </w:rPr>
        <w:t>conditio iuris</w:t>
      </w:r>
      <w:r>
        <w:t>, la sujeción potencial se actualiza y el valor se realiza. El procedimiento es una vía de apremio, en que el juez realiza un derecho del acreedor, que éste no puede realizar por sí sólo porque se lo impide el principio de la paz jurídica … La acción hipotecaria se ejercita directamente sobre los bienes hipotecados”.</w:t>
      </w:r>
    </w:p>
    <w:p w:rsidR="001D6FAE" w:rsidRDefault="001D6FAE" w:rsidP="001D6FAE">
      <w:pPr>
        <w:pStyle w:val="TextoNormal"/>
      </w:pPr>
    </w:p>
    <w:p w:rsidR="001D6FAE" w:rsidRDefault="001D6FAE" w:rsidP="001D6FAE">
      <w:pPr>
        <w:pStyle w:val="TextoNormal"/>
      </w:pPr>
      <w:r>
        <w:t>Por lo tanto, desde esta perspectiva, la limitación del derecho fundamental a la prueba de los ejecutados establecida en el precepto cuestionado encuentra amparo en otro derecho del mismo rango, de titularidad de la contraparte.</w:t>
      </w:r>
    </w:p>
    <w:p w:rsidR="001D6FAE" w:rsidRDefault="001D6FAE" w:rsidP="001D6FAE">
      <w:pPr>
        <w:pStyle w:val="TextoNormal"/>
      </w:pPr>
    </w:p>
    <w:p w:rsidR="001D6FAE" w:rsidRDefault="001D6FAE" w:rsidP="001D6FAE">
      <w:pPr>
        <w:pStyle w:val="TextoNormal"/>
      </w:pPr>
      <w:r>
        <w:t>b) Entrando ahora en la concreta limitación establecida por el precepto cuestionado, esto es, en la justificación de los concretos documentos exigidos (perspectiva de la razonabilidad: art. 9.3 CE), los documentos citados en el art. 2 de la Ley 1/2013, antes transcrito: (i) ni son ajenos a la finalidad de acreditar los requisitos de las situaciones de “especial vulnerabilidad” definidas en el artículo 1: número de miembros de la unidad familiar, sus ingresos, patrimonio y el resto de condiciones exigidas; es más, son los propios para hacerlo (a diferencia de lo resuelto por ejemplo en la STC 77/2015, de 27 de abril, FJ 4); (ii) ni se ha razonado tampoco que no hayan podido ser obtenidos por los ejecutados en el caso de autos, o que su obtención resulte de una dificultad desproporcionada; de hecho, pueden ser obtenidos por los interesados solicitándolos directamente de los órganos competentes de las Administraciones públicas (Agencia Estatal de la Administración Tributaria, entidades gestoras de la Seguridad Social, Registro de la Propiedad, Registro Civil, y servicios de asistencia social de las comunidades autónomas), a sus empleadores, caso de las nóminas (si existen, claro está, esto no necesita ser explicitado) y las entidades de crédito y otras partes que puedan tener relaciones contractuales con el mismo (si igualmente existen esas otras relaciones civiles, evidentemente).</w:t>
      </w:r>
    </w:p>
    <w:p w:rsidR="001D6FAE" w:rsidRDefault="001D6FAE" w:rsidP="001D6FAE">
      <w:pPr>
        <w:pStyle w:val="TextoNormal"/>
      </w:pPr>
    </w:p>
    <w:p w:rsidR="001D6FAE" w:rsidRDefault="001D6FAE" w:rsidP="001D6FAE">
      <w:pPr>
        <w:pStyle w:val="TextoNormal"/>
      </w:pPr>
      <w:r>
        <w:t>Por lo tanto, la lesión que la Audiencia Provincial imputa a la norma pudiera ser, en realidad, imputable a los propios ejecutados, que no han obtenido y aportado los documentos requeridos, sin que conste ni se alegue que no hayan podido hacerlo. Y la “pasividad” o “desinterés”, como es sabido, enervan la existencia de indefensión, según consolidada jurisprudencia de este Tribunal (por todas, STC 16/2011, de 28 de febrero, FJ 4); indefensión que es a su vez necesaria para poder apreciar la vulneración del derecho a la prueba, que no puede existir sin ella (por todas STC 212/2013, de 16 de diciembre, FJ 4).</w:t>
      </w:r>
    </w:p>
    <w:p w:rsidR="001D6FAE" w:rsidRDefault="001D6FAE" w:rsidP="001D6FAE">
      <w:pPr>
        <w:pStyle w:val="TextoNormal"/>
      </w:pPr>
    </w:p>
    <w:p w:rsidR="001D6FAE" w:rsidRDefault="001D6FAE" w:rsidP="001D6FAE">
      <w:pPr>
        <w:pStyle w:val="TextoNormal"/>
      </w:pPr>
      <w:r>
        <w:t>c) Las anteriores reflexiones convierten asimismo en infundada la duda de inconstitucionalidad del art. 2 de la Ley 1/2013 por vulneración del art. 117.3 CE. Con la enumeración de esos medios probatorios (idóneos y disponibles para las partes, según se ha razonado ya) la norma cuestionada no está impidiendo a los órganos jurisdiccionales “valorar en su integridad” la situación de los ejecutados, tal y como denuncia el Auto de planteamiento; está definiendo en sus justos términos, de acuerdo con los criterios de oportunidad política que corresponde valorar al legislador, el derecho de los poseedores de una vivienda hipotecada a suspender temporalmente el lanzamiento ante la concurrencia de determinadas circunstancias excepcionales previamente definidas en el artículo 1 (con implícita exclusión de otras). Y, como apunta la Fiscal General del Estado en su informe, una vez definido el derecho de ese modo querido por el legislador los órganos jurisdiccionales conservan intacta su potestad de verificar sin interferencias el cumplimiento o no de los requisitos exigidos legalmente, y en consecuencia declarar o denegar el derecho pretendido según se ajuste o no a esa previa ordenación efectuada por el legislador. Con ello queda preservada la función jurisdiccional de jueces y magistrados. Lo que no ampara la potestad de “juzgar y hacer ejecutar lo juzgado” exclusiva de juzgados y tribunales conforme al art. 117.3 CE, que el órgano promotor erige en soporte de su duda de constitucionalidad, es la declaración de derechos no reconocidos por el ordenamiento, pues la misma Constitución impone que aquella potestad se ha de ejercer siempre con pleno sometimiento a la ley (art. 117.1 CE). Como recuerda la STC 37/2012, de 19 de marzo, FJ 5: “Jueces y Tribunales no están subordinados en el ejercicio de su función jurisdiccional a ningún otro poder público, sino sometidos única y exclusivamente ‘al imperio de la ley’, esto es, sujetos al Derecho. Ello significa que, a diferencia de lo que acontece con los poderes legislativo y ejecutivo, que disponen legítimamente de un amplio margen (siempre dentro del ordenamiento jurídico, como advierte el art. 9.1 CE) para adoptar de manera discrecional decisiones políticas, los Jueces y Tribunales integrantes del poder judicial no pueden ejercer su función jurisdiccional con discrecionalidad política ni según su libre albedrío, sino que han de juzgar sometidos al imperio de la ley, con sujeción al sistema de fuentes establecido”.</w:t>
      </w:r>
    </w:p>
    <w:p w:rsidR="001D6FAE" w:rsidRDefault="001D6FAE" w:rsidP="001D6FAE">
      <w:pPr>
        <w:pStyle w:val="TextoNormal"/>
      </w:pPr>
    </w:p>
    <w:p w:rsidR="001D6FAE" w:rsidRDefault="001D6FAE" w:rsidP="001D6FAE">
      <w:pPr>
        <w:pStyle w:val="TextoNormal"/>
      </w:pPr>
      <w:r>
        <w:t>Lo hasta aquí razonado, obviamente, no convierte a la Ley 1/2013 en la única regulación posible en el marco de la Constitución para articular la relación entre los dos derechos enfrentados (derecho a la tutela judicial efectiva del acreedor hipotecario y derecho a la prueba de los poseedores de la vivienda hipotecada), sino solamente en una de las posibles alternativas cuya oportunidad corresponde valorar al legislador, o dicho de en otro términos, en una regulación no inconstitucional sin perjuicio de otras sobre el mismo objeto que pudieran ser igualmente conformes con la Constitución (así, ATC 152/2014, de 27 de mayo, FJ 4, sobre esta misma la Ley 1/2013). Y tampoco implica, por lo mismo, juicio alguno de este Tribunal sobre la bondad, oportunidad o perfección técnica de la Ley 1/2013, extremos todos ellos ajenos al juicio de constitucionalidad.</w:t>
      </w:r>
    </w:p>
    <w:p w:rsidR="001D6FAE" w:rsidRDefault="001D6FAE" w:rsidP="001D6FAE">
      <w:pPr>
        <w:pStyle w:val="TextoNormal"/>
      </w:pPr>
    </w:p>
    <w:p w:rsidR="001D6FAE" w:rsidRDefault="001D6FAE" w:rsidP="001D6FAE">
      <w:pPr>
        <w:pStyle w:val="TextoNormal"/>
      </w:pPr>
      <w:r w:rsidRPr="001D6FAE">
        <w:rPr>
          <w:rStyle w:val="NumeroAFNegritaCaracter"/>
        </w:rPr>
        <w:t>5</w:t>
      </w:r>
      <w:r>
        <w:t xml:space="preserve">. Finalmente, por lo que respecta a la segunda duda de constitucionalidad (vulneración del art. 24.1 CE), el auto de la Audiencia Provincial no explica cómo ni en qué medida pueden resultar vulnerados los principios de “contradicción” e “la igualdad de armas” que menciona. Estos principios se refieren a la “igualdad </w:t>
      </w:r>
      <w:r w:rsidRPr="001D6FAE">
        <w:rPr>
          <w:i/>
        </w:rPr>
        <w:t>procesal</w:t>
      </w:r>
      <w:r>
        <w:t xml:space="preserve"> entre las partes” (así, entre otras, SSTC 128/2014, de 21 de julio, FJ 3; y 118/2014, de 8 de julio, FJ 3), esto es, a la igualdad en la definición de su estatuto como tales partes. Y en el mismo sentido lo han definido la jurisprudencia del Tribunal de Justicia de la Unión Europea y del Tribunal Europeo de Derechos Humanos: como “la obligación de ofrecer a cada una de las partes una oportunidad razonable de formular sus pretensiones en condiciones que no la coloquen en una situación de manifiesta desventaja en relación con la parte contraria” (Sentencia del Tribunal de Justicia de la Unión Europea </w:t>
      </w:r>
      <w:r w:rsidRPr="001D6FAE">
        <w:rPr>
          <w:i/>
        </w:rPr>
        <w:t>Sánchez Morcillo y Abril García</w:t>
      </w:r>
      <w:r>
        <w:t xml:space="preserve">, de 17 de julio de 2014, asunto C-169/14, apartado 49); o como un principio de “justo equilibrio entre las partes” que implica que “se debe dar a cada uno una oportunidad razonable para presentar su causa en unas condiciones que no le sitúen en franca desventaja en comparación con su adversario” (Sentencia del Tribunal Europeo de Derechos Humanos asunto </w:t>
      </w:r>
      <w:r w:rsidRPr="001D6FAE">
        <w:rPr>
          <w:i/>
        </w:rPr>
        <w:t>Regner contra Republica Checa</w:t>
      </w:r>
      <w:r>
        <w:t>, de 26 de noviembre de 2015, apartado 71).</w:t>
      </w:r>
    </w:p>
    <w:p w:rsidR="001D6FAE" w:rsidRDefault="001D6FAE" w:rsidP="001D6FAE">
      <w:pPr>
        <w:pStyle w:val="TextoNormal"/>
      </w:pPr>
    </w:p>
    <w:p w:rsidR="001D6FAE" w:rsidRDefault="001D6FAE" w:rsidP="001D6FAE">
      <w:pPr>
        <w:pStyle w:val="TextoNormal"/>
      </w:pPr>
      <w:r>
        <w:t>De modo que esos principios de igualdad de armas y contradicción se refieren a las facultades y oportunidades de las partes en el seno del proceso, y no a la mayor o menor dificultad para vencer en ese mismo proceso, extremo que depende de la regulación material del derecho sustantivo pretendido. La diferente onerosidad de las respectivas cargas de alegación y prueba que deben levantar cada una de las partes en el proceso para ver estimadas sus pretensiones es, por un lado, ajena a la estructura del proceso mismo, y perteneciente como queda dicho a la regulación sustantiva que reconoce el derecho de cuya tutela trata el proceso, y, por otro, consustancial a todo proceso, donde las partes por definición no se encuentran en posición de igualdad en la medida en que una pide y la otra puede solo resistir (el demandado no tiene la carga de alegar ni probar nada, le basta con que el actor no consiga acreditar los hechos constitutivos de su pretensión, art. 217.2 LEC, sin perjuicio de que pueda tomar una postura más activa y hasta reconvenir; y esto es así hasta el punto de que la incomparecencia misma del demandado —rebeldía— no asegura la estimación de las pretensiones del actor, cfr. art. 496.2 LEC). Por lo tanto, esos principios de contradicción e igualdad de armas que cita el Auto de planteamiento no pueden verse afectados por la mayor o menor precisión y rigor con que el legislador acometa la regulación del ejercicio de un derecho material o sustantivo que a solo a él corresponde definir.</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cuestión de inconstitucionalidad núm. 2749-2016.</w:t>
      </w:r>
    </w:p>
    <w:p w:rsidR="001D6FAE" w:rsidRDefault="001D6FAE" w:rsidP="001D6FAE">
      <w:pPr>
        <w:pStyle w:val="TextoNormal"/>
      </w:pPr>
    </w:p>
    <w:p w:rsidR="001D6FAE" w:rsidRDefault="001D6FAE" w:rsidP="001D6FAE">
      <w:pPr>
        <w:pStyle w:val="TextoNormal"/>
      </w:pPr>
      <w:r>
        <w:t>Madrid, a diecinueve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1" w:name="AUTO_2016_147"/>
      <w:r>
        <w:t>AUTO 147/2016, de 21 de julio de 2016</w:t>
      </w:r>
    </w:p>
    <w:bookmarkEnd w:id="121"/>
    <w:p w:rsidR="001D6FAE" w:rsidRDefault="001D6FAE" w:rsidP="001D6FAE">
      <w:pPr>
        <w:pStyle w:val="TtuloResolucin"/>
      </w:pPr>
      <w:r>
        <w:t>Sección Cuarta</w:t>
      </w:r>
    </w:p>
    <w:p w:rsidR="001D6FAE" w:rsidRDefault="001D6FAE" w:rsidP="001D6FAE">
      <w:pPr>
        <w:pStyle w:val="TextoNormalCentrado"/>
      </w:pPr>
      <w:r>
        <w:t>ECLI:ES:TC:2016:147A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22" w:name="AUTO_2016_148"/>
      <w:r>
        <w:t>AUTO 148/2016, de 22 de julio de 2016</w:t>
      </w:r>
    </w:p>
    <w:bookmarkEnd w:id="122"/>
    <w:p w:rsidR="001D6FAE" w:rsidRDefault="001D6FAE" w:rsidP="001D6FAE">
      <w:pPr>
        <w:pStyle w:val="TtuloResolucin"/>
      </w:pPr>
      <w:r>
        <w:t>Sección Tercera</w:t>
      </w:r>
    </w:p>
    <w:p w:rsidR="001D6FAE" w:rsidRDefault="001D6FAE" w:rsidP="001D6FAE">
      <w:pPr>
        <w:pStyle w:val="TtuloBOE"/>
      </w:pPr>
      <w:r>
        <w:t>(BOE núm. 196, de 15 de agosto de 2016)</w:t>
      </w:r>
    </w:p>
    <w:p w:rsidR="001D6FAE" w:rsidRDefault="001D6FAE" w:rsidP="001D6FAE">
      <w:pPr>
        <w:pStyle w:val="TextoNormalCentrado"/>
      </w:pPr>
      <w:r>
        <w:t>ECLI:ES:TC:2016:148A</w:t>
      </w:r>
    </w:p>
    <w:p w:rsidR="001D6FAE" w:rsidRDefault="001D6FAE" w:rsidP="001D6FAE">
      <w:pPr>
        <w:pStyle w:val="TextoNormalCentrado"/>
      </w:pPr>
    </w:p>
    <w:p w:rsidR="001D6FAE" w:rsidRDefault="001D6FAE" w:rsidP="001D6FAE">
      <w:pPr>
        <w:pStyle w:val="SntesisDescriptiva"/>
      </w:pPr>
      <w:r>
        <w:t>Excms. Srs. doña Adela Asua Batarrita, don Juan José González Rivas y don Pedro José González-Trevijano Sánchez.</w:t>
      </w:r>
    </w:p>
    <w:p w:rsidR="001D6FAE" w:rsidRDefault="001D6FAE" w:rsidP="001D6FAE">
      <w:pPr>
        <w:pStyle w:val="SntesisDescriptiva"/>
      </w:pPr>
    </w:p>
    <w:p w:rsidR="001D6FAE" w:rsidRDefault="001D6FAE" w:rsidP="001D6FAE">
      <w:pPr>
        <w:pStyle w:val="SntesisDescriptiva"/>
      </w:pPr>
      <w:r>
        <w:t>Inadmite a trámite el recurso de amparo 1726-2016, promovido por Avite (asociación de víctimas de la talidomida en España) en pleito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día 31 de marzo de 2016, la Procuradora de los Tribunales doña Soledad Valles Rodríguez, en nombre y representación de la Asociación de Víctimas de la Talidomida (Avite), interpuso demanda de amparo contra la Sentencia de 20 de octubre de 2015, dictada por la Sala de lo Civil del Tribunal Supremo, desestimatoria de los recursos extraordinario por infracción procesal y de casación —recurso núm. 3140/2014— interpuestos frente a la Sentencia de la Sección Decimocuarta de la Audiencia Provincial de Madrid de 13 de octubre de 2014 —recurso de apelación núm. 85/2014—.</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anteceden a la presente demanda de amparo son, sucintamente descritos, los siguientes:</w:t>
      </w:r>
    </w:p>
    <w:p w:rsidR="001D6FAE" w:rsidRDefault="001D6FAE" w:rsidP="001D6FAE">
      <w:pPr>
        <w:pStyle w:val="TextoNormal"/>
      </w:pPr>
    </w:p>
    <w:p w:rsidR="001D6FAE" w:rsidRDefault="001D6FAE" w:rsidP="001D6FAE">
      <w:pPr>
        <w:pStyle w:val="TextoNormal"/>
      </w:pPr>
      <w:r>
        <w:t>a) En autos de juicio ordinario núm. 272-2012, el Juzgado de Primera Instancia núm. 90 de Madrid dictó Sentencia de 19 de noviembre de 2013 en la que estimó parcialmente la demanda formulada por Avite contra Grünenthal Pharma, S.A., y (i) declaró “como afectados por la talidomida a los socios de AVITE de los incluidos en el listado contenido en auto de 6 de noviembre 2012 que perciban o pudieran percibir en el futuro las ayudas económicas establecidas en el Real Decreto 1006/2010 y que acrediten esta condición en ejecución de sentencia mediante la presentación de la correspondiente resolución administrativa, excepto las personas que están recibiendo ayudas de la Fundación Contergan”; (ii) condenó “a la demandada a indemnizar a cada uno de ellos con la cantidad de 20.000 euros por cada punto porcentual de minusvalía que les haya sido reconocido por la Administración española, más intereses legales desde la fecha de interposición de la demanda con el incremento previsto legalmente a partir de esta resolución.”.</w:t>
      </w:r>
    </w:p>
    <w:p w:rsidR="001D6FAE" w:rsidRDefault="001D6FAE" w:rsidP="001D6FAE">
      <w:pPr>
        <w:pStyle w:val="TextoNormal"/>
      </w:pPr>
    </w:p>
    <w:p w:rsidR="001D6FAE" w:rsidRDefault="001D6FAE" w:rsidP="001D6FAE">
      <w:pPr>
        <w:pStyle w:val="TextoNormal"/>
      </w:pPr>
      <w:r>
        <w:t>La citada Sentencia rechazó la excepción de prescripción opuesta por la mercantil demandada en el fundamento jurídico 3, por la existencia de los denominados “daños secundarios, tardíos o de aparición tardía” en aplicación de la doctrina jurisprudencial sobre la prescripción respecto de los daños continuados —con cita de las SSTS de 13 de marzo de 2007, 15 octubre de 2008, 22 de febrero 1991, 15 de octubre de 2008 y 16 de marzo de 2010—. Se dice que se trataría de daños, según pone de manifiesto el denominado informe Heidelberg de fecha 21 de diciembre de 2012 aportado por la actora en el momento de la audiencia previa, que, si bien pudieran tener también un origen prenatal, no se habían manifestado o conocido como vinculados a la talidomida hasta fechas recientes. Ello determina, a su juicio, que “a pesar del tiempo transcurrido desde los hechos, en la actualidad no se tiene un conocimiento cierto, cabal, seguro, exacto y absolutamente definitivo sobre el alcance de las lesiones y secuelas producidas por la talidomida, es decir, los daños derivados de su ingesta no están plena y absolutamente determinados ni consolidados, por lo que, la acción no puede considerarse prescrita”.</w:t>
      </w:r>
    </w:p>
    <w:p w:rsidR="001D6FAE" w:rsidRDefault="001D6FAE" w:rsidP="001D6FAE">
      <w:pPr>
        <w:pStyle w:val="TextoNormal"/>
      </w:pPr>
    </w:p>
    <w:p w:rsidR="001D6FAE" w:rsidRDefault="001D6FAE" w:rsidP="001D6FAE">
      <w:pPr>
        <w:pStyle w:val="TextoNormal"/>
      </w:pPr>
      <w:r>
        <w:t>b) La entidad mercantil Grünenthal Pharma, S.A., interpuso recurso de apelación, al que se opuso la asociación demandante, recayendo en el mismo la Sentencia de la Sección Decimocuarta de la Audiencia Provincial de Madrid de 13 de octubre de 2014 (recurso de apelación núm. 85-2014) que estimó dicho recurso y, previa revocación de la Sentencia de instancia, desestimó la demanda al entender que se hallaba prescrita la acción.</w:t>
      </w:r>
    </w:p>
    <w:p w:rsidR="001D6FAE" w:rsidRDefault="001D6FAE" w:rsidP="001D6FAE">
      <w:pPr>
        <w:pStyle w:val="TextoNormal"/>
      </w:pPr>
    </w:p>
    <w:p w:rsidR="001D6FAE" w:rsidRDefault="001D6FAE" w:rsidP="001D6FAE">
      <w:pPr>
        <w:pStyle w:val="TextoNormal"/>
      </w:pPr>
      <w:r>
        <w:t>En extensos fundamentos (FFJJ 12 a 16) razona esta Sentencia, tras distinguir las nociones de daños permanentes, continuados y sobrevenidos, que si bien no habría prescrito la acción para reclamar por los daños de aparición tardía —podría reclamarse según aparecieran o se descubrieran—, ello no supone que quede indefinidamente abierto, en cuanto vinculado a tal aparición o descubrimiento, el plazo para reclamar por los daños manifestados desde el mismo momento del parto (daños permanentes), y que son los reclamados por la entidad actora, pues tal interpretación llevaría a la imprescriptibilidad de la acción, lo que no tolera la seguridad jurídica (art. 9.3 CE) en que la prescripción tiene su asiento. En el fundamento jurídico 15 de la Sentencia de apelación, la Audiencia Provincial determina el momento en que los afectados por la talidomida dispusieron de los elementos fácticos y jurídicos para ejercitar las acciones. En síntesis, considera la Audiencia que ha prescrito la acción para reclamar por todos los daños, pues desde hace décadas (desde 1962) se sabían los efectos de la Talidomida, su dimensión social y mediática, como ejemplifica la creación de fundaciones de víctimas (Contergan tras resolución del Tribunal de Aquisgrán en 1970), incluyendo Avite (2003), de manera que sus socios al menos desde su constitución sabían de la relación causal de sus padecimientos y dicho medicamento. También pudieron acudir al Centro de investigación de anomalías congénitas y no lo hicieron. En la tesis más favorable a los perjudicados, dice, en el año 2008 ya podrían haber obtenido los correspondientes diagnósticos (ninguno de los diagnósticos realizados durante el periodo 2006-2008 por dicho organismo fue aportado por los demandantes). Por tanto, la acción se encontraba ya prescrita cuando el presidente de Avite solicitó a la entidad demandada tener reuniones (diciembre de 2010) y también al tiempo en que se presentó la papeleta de conciliación (junio 2011), sin que el hipotético reconocimiento de responsabilidad de los interlocutores de Grünenthal en las reuniones de mayo y junio de 2011 tenga valor para reanudar el plazo de prescripción ya agotado. Tampoco sirve para interrumpir la prescripción el Real Decreto 1006/2010, y el reconocimiento de su condición de talidomídicos, pues el diagnóstico seguro pudieron haberlo obtenido mucho antes dirigiéndose al Centro de investigación de anomalías congénitas, además de que tanto dicho reglamento como la Ley 26/2009 tienen carácter social y no pueden surtir efectos en orden a la prescripción. Los daños secundarios o de aparición tardía han de entenderse como una nueva etapa, por lo que, de acreditarse estos en el futuro, solo procedería reconocer la indemnización por estas secuelas y no por las anteriores (daños prenatales y consecutivos) afectadas por la prescripción. De la prueba obrante no se desprende la existencia de este tipo de daños tardíos, sin perjuicio de que en el futuro la investigación científica pueda acreditar su relación de causalidad con la talidomida.</w:t>
      </w:r>
    </w:p>
    <w:p w:rsidR="001D6FAE" w:rsidRDefault="001D6FAE" w:rsidP="001D6FAE">
      <w:pPr>
        <w:pStyle w:val="TextoNormal"/>
      </w:pPr>
    </w:p>
    <w:p w:rsidR="001D6FAE" w:rsidRDefault="001D6FAE" w:rsidP="001D6FAE">
      <w:pPr>
        <w:pStyle w:val="TextoNormal"/>
      </w:pPr>
      <w:r>
        <w:t>c) Frente a dicha Sentencia Avite formuló recurso extraordinario por infracción procesal y recurso de casación ante la Sala de lo Civil del Tribunal Supremo. Estos recursos fueron desestimados por Sentencia del Pleno de dicha Sala Primera de 20 de octubre de 2015 (recursos núm. 3140-2014).</w:t>
      </w:r>
    </w:p>
    <w:p w:rsidR="001D6FAE" w:rsidRDefault="001D6FAE" w:rsidP="001D6FAE">
      <w:pPr>
        <w:pStyle w:val="TextoNormal"/>
      </w:pPr>
    </w:p>
    <w:p w:rsidR="001D6FAE" w:rsidRDefault="001D6FAE" w:rsidP="001D6FAE">
      <w:pPr>
        <w:pStyle w:val="TextoNormal"/>
      </w:pPr>
      <w:r>
        <w:t>(i) En relación con las infracciones denunciadas en el recurso extraordinario por infracción procesal, esta resolución judicial las rechaza, sintéticamente, al considerar que la Sentencia de apelación no cuestiona la legalidad del Real Decreto 1006/2010 ni invade atribuciones propias de la jurisdicción contenciosa administrativa, sino que se limita a valorarlo para estimar que no puede afectar a la prescripción; lo que dice la sentencia es que la acción estaba prescrita en todo caso cuando se publica el citado Real Decreto 1006/2010; en segundo lugar, el hecho de que la Sentencia haya analizado los distintos periodos en que la demandante pudo ejercitar la acción, no puede utilizarse fraccionadamente para tachar de arbitrarias e ilógicas las conclusiones obtenidas; en tercer lugar, la Sentencia sí tiene en cuenta informe Heidelberg —se refiere con detalle a él en los fundamentos jurídicos decimocuarto y decimosexto—, pero cosa distinta son las conclusiones que obtiene del mismo, y ni este ni los documentos de los archivos de Düsseldorf son relevantes en materia de prescripción de la acción; no se acepta como hecho incontrovertido (notorio) que “no existe un diagnóstico de certeza científica para establecer la etiología del daño por Talidomida en la gestación” pues esto supone desconocer el conjunto de actos anteriores a la demanda, como los que resultan del proceso de Cortengan o de la misma creación de la asociación que ahora demanda, determinantes del conocimiento que los afectados tenían del hecho causal —talidomida— y del causante del daño —la farmacéutica Grünenthal Pharma, S.A.—, e incluso del alcance definitivo del daño; finalmente, la Sentencia identifica varios momentos temporales desde que se produjo el nacimiento de los afectados por la talidomida a partir de los cuales pudieron estos ejercitar la acción —el último de ellos cuando el Centro de investigación de anomalías congénitas hace las evaluaciones previas al citado Real Decreto—, siendo así que todos ellos han transcurrido, y frente a ello todo el esfuerzo argumentativo viene referido al año 2010 en que se dicta el Real Decreto 1006/2010 hasta el que, según la recurrente, no pudo ejercitar la acción.</w:t>
      </w:r>
    </w:p>
    <w:p w:rsidR="001D6FAE" w:rsidRDefault="001D6FAE" w:rsidP="001D6FAE">
      <w:pPr>
        <w:pStyle w:val="TextoNormal"/>
      </w:pPr>
    </w:p>
    <w:p w:rsidR="001D6FAE" w:rsidRDefault="001D6FAE" w:rsidP="001D6FAE">
      <w:pPr>
        <w:pStyle w:val="TextoNormal"/>
      </w:pPr>
      <w:r>
        <w:t>(ii) Respecto de las infracciones sustantivas en que se fundó el recurso de casación, considera el Tribunal Supremo, en síntesis, que, con independencia de que a la entrada en vigor del Real Decreto1006/2010 la prescripción ya se había producido, ni Ley 26/2009 ni dicho Real Decreto tienen efecto sobre la prescripción de la acción de que se trata, y, tras descartar la infracción del “principio que exige tratar desigualmente los casos desiguales”, y afirmar que, a pesar de que la aplicación de la prescripción de un año “no deba ser rigurosa sino cautelosa y restrictiva”, no es posible convertir la acción en imprescriptible, confirma el criterio adoptado por la Audiencia Provincial respecto de la prescripción. Concluye: “lo único que se reclamó en la demanda es una indemnización consistente en 20.000 euros por ‘cada punto porcentual de minusvalía reconocida por la Administración Española’, es decir, una indemnización por las malformaciones físicas existentes al tiempo del nacimiento, en función del reconocimiento de minusvalía de carácter administrativo. Supone que las secuelas no se han modificado y que el daño en sí se provocó en dicho momento y no en otro posterior, sin que pueda quedar indeterminado en virtud de una posible evolución de la enfermedad en un sentido o en otro. Por tanto, la sentencia no ha fraccionado el daño, pues como tal no considera los sobrevenidos en una etapa distinta, y como consecuencia declara prescrita la acción dejando a salvo los daños secundarios o de aparición tardía, siempre que el nuevo daño o la agravación se descubra en fecha posterior, lo que en estos momentos no se ha acreditado a través de la correspondiente investigación científica, ni resulta tampoco del informe Heidelberg en que se establece simplemente como posibilidad y sin carácter general”.</w:t>
      </w:r>
    </w:p>
    <w:p w:rsidR="001D6FAE" w:rsidRDefault="001D6FAE" w:rsidP="001D6FAE">
      <w:pPr>
        <w:pStyle w:val="TextoNormal"/>
      </w:pPr>
    </w:p>
    <w:p w:rsidR="001D6FAE" w:rsidRDefault="001D6FAE" w:rsidP="001D6FAE">
      <w:pPr>
        <w:pStyle w:val="TextoNormal"/>
      </w:pPr>
      <w:r>
        <w:t>d) Una vez notificada esta Sentencia, la asociación demandante, mediante escrito 23 de octubre de 2015, solicitó la “aclaración, rectificación y complemento” de la misma, lo que fue rechazado por Auto de la Sala Primera del Tribunal Supremo de 4 de diciembre de 2015. Esta resolución argumenta, en síntesis, que no existe ningún concepto oscuro que deba ser aclarado; que con las rectificaciones solicitadas no se denuncian errores materiales sino de argumentos que manifiestan la disconformidad de la parte recurrente con los argumentos dados por esta Sala; y, en cuanto al complemento por omisión de pronunciamientos denunciada —alegaciones tercera, cuarta, séptima y octava— que no se trata de omisiones de pronunciamientos sino de desestimaciones de los mismos.</w:t>
      </w:r>
    </w:p>
    <w:p w:rsidR="001D6FAE" w:rsidRDefault="001D6FAE" w:rsidP="001D6FAE">
      <w:pPr>
        <w:pStyle w:val="TextoNormal"/>
      </w:pPr>
    </w:p>
    <w:p w:rsidR="001D6FAE" w:rsidRDefault="001D6FAE" w:rsidP="001D6FAE">
      <w:pPr>
        <w:pStyle w:val="TextoNormal"/>
      </w:pPr>
      <w:r>
        <w:t>e) Finalmente, notificado este Auto, Avite, en fecha 4 de enero de 2016, presentó escrito promoviendo incidente de nulidad de actuaciones que fue inadmitido por providencia de 17 de febrero de 2016. Dicha providencia considera que las alegaciones en que se funda el incidente son sólo un “un intento de obtener de esta Sala una decisión más favorable a sus intereses, replanteando cuestiones ya resueltas a las que se dio también respuesta en el auto de 4 de diciembre de 2015”. No obstante, la providencia efectúa algunas precisiones complementarias para agotar la respuesta a las alegaciones formuladas.</w:t>
      </w:r>
    </w:p>
    <w:p w:rsidR="001D6FAE" w:rsidRDefault="001D6FAE" w:rsidP="001D6FAE">
      <w:pPr>
        <w:pStyle w:val="TextoNormal"/>
      </w:pPr>
    </w:p>
    <w:p w:rsidR="001D6FAE" w:rsidRDefault="001D6FAE" w:rsidP="001D6FAE">
      <w:pPr>
        <w:pStyle w:val="TextoNormal"/>
      </w:pPr>
      <w:r w:rsidRPr="001D6FAE">
        <w:rPr>
          <w:rStyle w:val="NumeroAFNegritaCaracter"/>
        </w:rPr>
        <w:t>3</w:t>
      </w:r>
      <w:r>
        <w:t>. El recurso de amparo se funda, formalmente, en nueve motivos en los que se imputa a las sentencias de la Audiencia Provincial de Madrid y del Tribunal Supremo lesiones del art. 14 y del art. 24.1 y 2 CE en diversas vertientes. Los motivos alegados son los siguientes, sintéticamente expuestos:</w:t>
      </w:r>
    </w:p>
    <w:p w:rsidR="001D6FAE" w:rsidRDefault="001D6FAE" w:rsidP="001D6FAE">
      <w:pPr>
        <w:pStyle w:val="TextoNormal"/>
      </w:pPr>
    </w:p>
    <w:p w:rsidR="001D6FAE" w:rsidRDefault="001D6FAE" w:rsidP="001D6FAE">
      <w:pPr>
        <w:pStyle w:val="TextoNormal"/>
      </w:pPr>
      <w:r>
        <w:t xml:space="preserve">a) Vulneración del derecho a la tutela judicial efectiva por estimar la prescripción sin determinar el </w:t>
      </w:r>
      <w:r w:rsidRPr="001D6FAE">
        <w:rPr>
          <w:i/>
        </w:rPr>
        <w:t>dies a quo</w:t>
      </w:r>
      <w:r>
        <w:t>. Se trata de un motivo imputable a la Sentencia del Tribunal Supremo, respecto de la que se solicitó aclaración y, después, nulidad. Según la parte recurrente, es un supuesto de incongruencia omisiva que le genera indefensión con infracción del art. 24.1 y 2 CE.</w:t>
      </w:r>
    </w:p>
    <w:p w:rsidR="001D6FAE" w:rsidRDefault="001D6FAE" w:rsidP="001D6FAE">
      <w:pPr>
        <w:pStyle w:val="TextoNormal"/>
      </w:pPr>
    </w:p>
    <w:p w:rsidR="001D6FAE" w:rsidRDefault="001D6FAE" w:rsidP="001D6FAE">
      <w:pPr>
        <w:pStyle w:val="TextoNormal"/>
      </w:pPr>
      <w:r>
        <w:t xml:space="preserve">b) Vulneración del derecho fundamental a la igualdad en la aplicación de la Ley por no establecerse </w:t>
      </w:r>
      <w:r w:rsidRPr="001D6FAE">
        <w:rPr>
          <w:i/>
        </w:rPr>
        <w:t>dies a quo</w:t>
      </w:r>
      <w:r>
        <w:t>. Al igual que el anterior, se trata de un motivo imputable a la Sentencia del Tribunal Supremo, respecto de la que se solicitó aclaración y, después, nulidad, y denuncia que la falta de fijación de este día constituye una diferencia de trato injustificada (art. 14 CE) en relación con las víctimas de otros sucesos a las que si se fijó un día (con cita de sentencias del Tribunal Supremo en que así se hace).</w:t>
      </w:r>
    </w:p>
    <w:p w:rsidR="001D6FAE" w:rsidRDefault="001D6FAE" w:rsidP="001D6FAE">
      <w:pPr>
        <w:pStyle w:val="TextoNormal"/>
      </w:pPr>
    </w:p>
    <w:p w:rsidR="001D6FAE" w:rsidRDefault="001D6FAE" w:rsidP="001D6FAE">
      <w:pPr>
        <w:pStyle w:val="TextoNormal"/>
      </w:pPr>
      <w:r>
        <w:t xml:space="preserve">c) Vulneración del derecho a la tutela judicial efectiva por no corregir la Sentencia del Tribunal Supremo un “error patente”. Según la demandante, la Sentencia de la Audiencia Provincial de Madrid incurrió en error al fechar los informes del Centro de investigación de anomalías congénitas en 2008 en lugar de 2010. Sostiene que lo denunció así en el recurso por infracción procesal y, no obstante, no fue corregido por el Tribunal Supremo. Después fue objeto de aclaración y posterior nulidad, con resultado negativo. Se trata, a su juicio, de un error patente y determinante en la medida en que la Sentencia de la Audiencia Provincial de Madrid contempla como </w:t>
      </w:r>
      <w:r w:rsidRPr="001D6FAE">
        <w:rPr>
          <w:i/>
        </w:rPr>
        <w:t>dies a quo</w:t>
      </w:r>
      <w:r>
        <w:t xml:space="preserve"> el año 2008.</w:t>
      </w:r>
    </w:p>
    <w:p w:rsidR="001D6FAE" w:rsidRDefault="001D6FAE" w:rsidP="001D6FAE">
      <w:pPr>
        <w:pStyle w:val="TextoNormal"/>
      </w:pPr>
    </w:p>
    <w:p w:rsidR="001D6FAE" w:rsidRDefault="001D6FAE" w:rsidP="001D6FAE">
      <w:pPr>
        <w:pStyle w:val="TextoNormal"/>
      </w:pPr>
      <w:r>
        <w:t>d) Vulneración de los arts. 24.1 y 14 CE por inaplicación de la doctrina de que “un mismo hecho no puede existir y dejar de existir para distintos órganos del Estado”. Sostiene se trata de un motivo imputable a la Sentencia de la Audiencia Provincial de Madrid y que lo denunció así en el recurso por infracción procesal. No obstante, no fue corregido por el Tribunal Supremo y fue objeto de solicitud de nulidad. El motivo denuncia, de nuevo, que al fechar los informes del Centro de investigación de anomalías congénitas en 2008 se han desconocido los hechos constatados por diversas Sentencias de la Sala de lo Contencioso-Administrativo del Tribunal Superior de Justicia de Madrid, con cita de algunas de estas Sentencias recaídas en impugnaciones de resoluciones administrativos dictadas en aplicación de la disposición adicional 57 de la Ley 26/2009 y del Real Decreto 1006/2010.</w:t>
      </w:r>
    </w:p>
    <w:p w:rsidR="001D6FAE" w:rsidRDefault="001D6FAE" w:rsidP="001D6FAE">
      <w:pPr>
        <w:pStyle w:val="TextoNormal"/>
      </w:pPr>
    </w:p>
    <w:p w:rsidR="001D6FAE" w:rsidRDefault="001D6FAE" w:rsidP="001D6FAE">
      <w:pPr>
        <w:pStyle w:val="TextoNormal"/>
      </w:pPr>
      <w:r>
        <w:t xml:space="preserve">e) Vulneración de los derechos fundamentales a la tutela judicial efectiva e igualdad en la aplicación de la Ley por apartarse la Sentencia del Tribunal Supremo de lo que era firme, por no haber sido recurrido por las partes. Denuncia que la farmacéutica demandada no recurrió el pronunciamiento de la Sentencia de la Audiencia Provincial de Madrid de fijar el </w:t>
      </w:r>
      <w:r w:rsidRPr="001D6FAE">
        <w:rPr>
          <w:i/>
        </w:rPr>
        <w:t>dies a quo</w:t>
      </w:r>
      <w:r>
        <w:t xml:space="preserve"> en los informes del Centro de investigación de anomalías congénitas de 2008, a pesar de lo cual el Tribunal Supremo se aparta de esa decisión.</w:t>
      </w:r>
    </w:p>
    <w:p w:rsidR="001D6FAE" w:rsidRDefault="001D6FAE" w:rsidP="001D6FAE">
      <w:pPr>
        <w:pStyle w:val="TextoNormal"/>
      </w:pPr>
    </w:p>
    <w:p w:rsidR="001D6FAE" w:rsidRDefault="001D6FAE" w:rsidP="001D6FAE">
      <w:pPr>
        <w:pStyle w:val="TextoNormal"/>
      </w:pPr>
      <w:r>
        <w:t>f) Vulneración del derecho fundamental a la tutela judicial efectiva por avalar la Sentencia del Tribunal Supremo que el Real Decreto 1006/2010 contraviene la Ley que desarrolla. Sostiene que la vulneración se produjo en la Sentencia de la Audiencia Provincial de Madrid y lo denunció así en el recurso por infracción procesal y de casación. Aduce que dicho Real Decreto es legal y, en todo caso, su ilegalidad habría de ser declarada por la jurisdicción contencioso-administrativa. Lo contrario, dice, vulneraría la garantía de procedimiento del art. 24.2 CE.</w:t>
      </w:r>
    </w:p>
    <w:p w:rsidR="001D6FAE" w:rsidRDefault="001D6FAE" w:rsidP="001D6FAE">
      <w:pPr>
        <w:pStyle w:val="TextoNormal"/>
      </w:pPr>
    </w:p>
    <w:p w:rsidR="001D6FAE" w:rsidRDefault="001D6FAE" w:rsidP="001D6FAE">
      <w:pPr>
        <w:pStyle w:val="TextoNormal"/>
      </w:pPr>
      <w:r>
        <w:t xml:space="preserve">g) Vulneración del derecho fundamental del art. 14 CE por no aplicación injustificada de la doctrina que motiva el Voto particular de la Sentencia del Tribunal Supremo impugnada y otras doctrinas de la Sala Primera del citado Tribunal. Sostiene que las Sentencias impugnadas vulneran el art. 14 CE porque “inaplican diversas doctrinas de la Sala Primera del Tribunal Supremo, sin que exista motivo para ello”, con infracción, también, del art. 24.1 CE. El motivo se divide en cuatro submotivos: (i) inaplicación de la doctrina según la cual el </w:t>
      </w:r>
      <w:r w:rsidRPr="001D6FAE">
        <w:rPr>
          <w:i/>
        </w:rPr>
        <w:t>dies a quo</w:t>
      </w:r>
      <w:r>
        <w:t xml:space="preserve"> se produce con la resolución firme que valora una incapacidad o establece la etiología de la misma, lo que se corresponde con el contenido del Voto particular; (ii) inaplicación de la doctrina según la cual la prescripción no puede operar mientras no se tiene cabal conocimiento de la enfermedad; (iii) inaplicación del principio general del derecho de que “justicia es tratar desigualmente casos desiguales” al aducirse que estamos ante un supuesto particularísimo de daños, en el que sigue sin conocerse el alcance del síndrome y en el que establecer el diagnóstico es una tarea compleja que se realiza por descarte, y que en España no se comenzó a hacer hasta el Real Decreto 1006/2010; (iv) inaplicación de la doctrina sobre la prescripción en los supuestos de daños continuados.</w:t>
      </w:r>
    </w:p>
    <w:p w:rsidR="001D6FAE" w:rsidRDefault="001D6FAE" w:rsidP="001D6FAE">
      <w:pPr>
        <w:pStyle w:val="TextoNormal"/>
      </w:pPr>
    </w:p>
    <w:p w:rsidR="001D6FAE" w:rsidRDefault="001D6FAE" w:rsidP="001D6FAE">
      <w:pPr>
        <w:pStyle w:val="TextoNormal"/>
      </w:pPr>
      <w:r>
        <w:t>h) Vulneración del derecho a la tutela judicial efectiva por razonamiento contrario a la lógica y a la razón. Sostiene que la vulneración se produjo en la Sentencia de la Audiencia Provincial de Madrid y lo denunció así en el recurso extraordinario por infracción procesal. Después de la Sentencia del Tribunal Supremo, fue objeto solicitud de rectificación y, posteriormente, de nulidad. Considera que lesiona el art. 24.1 CE no respetar el “hecho notorio, incontrovertido para las partes, para la comunidad científica y para el legislador, de que no existe un diagnóstico de certeza científica para cada afectado en particular para establecer la etiología del daño por talidomida en la gestación”.</w:t>
      </w:r>
    </w:p>
    <w:p w:rsidR="001D6FAE" w:rsidRDefault="001D6FAE" w:rsidP="001D6FAE">
      <w:pPr>
        <w:pStyle w:val="TextoNormal"/>
      </w:pPr>
    </w:p>
    <w:p w:rsidR="001D6FAE" w:rsidRDefault="001D6FAE" w:rsidP="001D6FAE">
      <w:pPr>
        <w:pStyle w:val="TextoNormal"/>
      </w:pPr>
      <w:r>
        <w:t>i) Vulneración del derecho a la tutela judicial efectiva por incongruencia y falta de exhaustividad. Sostiene que la vulneración se produjo en la Sentencia de la Audiencia Provincial de Madrid y lo denunció así en el recurso por infracción procesal. Después de la Sentencia del Tribunal Supremo, fue objeto solicitud de rectificación y, posteriormente, de nulidad. Se funda en que esta Sentencia ignora por completo, a su juicio, el informe Heidelberg y los documentos del archivo público de Düsseldorf. Se refiere al aumento de las pensiones de los afectados en Alemania (reconocidos por la fundación Contergan, financiada en gran parte por la entidad farmacéutica demandada) en 2013 a consecuencia del citado informe, y sostiene que ignorar este hecho “supone un anacronismo y un proceder arbitrario del Poder Judicial —con infracción de los arts. 9.3 y 51.1 CE y de la Carta de los Derechos Fundamentales de la Unión Europea— que genera precisamente a las víctimas, que por su condición de españolas se han visto olvidadas durante casi sesenta años, una especial indefensión con infracción del art. 24 CE”.</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del presente recurso de amparo es la Sentencia de 20 de octubre de 2015, dictada por la Sala de lo Civil del Tribunal Supremo, que desestimó los recursos extraordinario por infracción procesal y de casación formulados frente a la Sentencia de la Sección Decimocuarta de la Audiencia Provincial de Madrid de 13 de octubre de 2014 —recurso de apelación núm. 85-2014—. Esta última estimó el recurso de apelación interpuesto por Grünenthal Pharma, S.A., y, revocando la Sentencia de instancia, desestimó la demanda formulada frente a aquella por la asociación de víctimas de la talidomida (Avite) al entender que se hallaba prescrita la acción civil ejercitada en dicha demanda para el resarcimiento por las secuelas sufridas por los miembros de tal asociación afectados por la talidomida a determinar de acuerdo con la propia sentencia.</w:t>
      </w:r>
    </w:p>
    <w:p w:rsidR="001D6FAE" w:rsidRDefault="001D6FAE" w:rsidP="001D6FAE">
      <w:pPr>
        <w:pStyle w:val="TextoNormal"/>
      </w:pPr>
    </w:p>
    <w:p w:rsidR="001D6FAE" w:rsidRDefault="001D6FAE" w:rsidP="001D6FAE">
      <w:pPr>
        <w:pStyle w:val="TextoNormal"/>
      </w:pPr>
      <w:r>
        <w:t>A la citada Sentencia del Tribunal Supremo siguen un Auto de 4 de diciembre de 2015 que rechaza la pretensión de aclaración, rectificación y complemento de esa sentencia, y una providencia de 17 de febrero de 2016 que inadmite el incidente de nulidad de actuaciones promovido por la ahora demandante, resoluciones, estas últimas, contra las que no se dirige queja autónoma alguna en este recurso de amparo.</w:t>
      </w:r>
    </w:p>
    <w:p w:rsidR="001D6FAE" w:rsidRDefault="001D6FAE" w:rsidP="001D6FAE">
      <w:pPr>
        <w:pStyle w:val="TextoNormal"/>
      </w:pPr>
    </w:p>
    <w:p w:rsidR="001D6FAE" w:rsidRDefault="001D6FAE" w:rsidP="001D6FAE">
      <w:pPr>
        <w:pStyle w:val="TextoNormal"/>
      </w:pPr>
      <w:r>
        <w:t>Como se ha expuesto con detalle en el apartado de antecedentes, la parte demandante imputa a las Sentencias de la Audiencia Provincial de Madrid y del Tribunal Supremo varias lesiones del art. 14 y del art. 24.1 y 2 CE en diversas vertientes, todas ellas referidas, exclusivamente, al pronunciamiento de prescripción de la acción civil que se erigió en la razón única para desestimar la demanda de resarcimiento.</w:t>
      </w:r>
    </w:p>
    <w:p w:rsidR="001D6FAE" w:rsidRDefault="001D6FAE" w:rsidP="001D6FAE">
      <w:pPr>
        <w:pStyle w:val="TextoNormal"/>
      </w:pPr>
    </w:p>
    <w:p w:rsidR="001D6FAE" w:rsidRDefault="001D6FAE" w:rsidP="001D6FAE">
      <w:pPr>
        <w:pStyle w:val="TextoNormal"/>
      </w:pPr>
      <w:r w:rsidRPr="001D6FAE">
        <w:rPr>
          <w:rStyle w:val="NumeroAFNegritaCaracter"/>
        </w:rPr>
        <w:t>2</w:t>
      </w:r>
      <w:r>
        <w:t>. La particularidad del recurso de amparo que nos ocupa, y que justifica el pronunciamiento mediante Auto, radica en la relevante repercusión del asunto en que tiene su origen, con importantes consecuencias económicas para gran número de afectados y manifiesto interés social.</w:t>
      </w:r>
    </w:p>
    <w:p w:rsidR="001D6FAE" w:rsidRDefault="001D6FAE" w:rsidP="001D6FAE">
      <w:pPr>
        <w:pStyle w:val="TextoNormal"/>
      </w:pPr>
    </w:p>
    <w:p w:rsidR="001D6FAE" w:rsidRDefault="001D6FAE" w:rsidP="001D6FAE">
      <w:pPr>
        <w:pStyle w:val="TextoNormal"/>
      </w:pPr>
      <w:r>
        <w:t>Además de la importancia que para los destinatarios de las resoluciones judiciales impugnadas representa este recurso de amparo, es innegable, por notoriedad, la repercusión social del “caso de la talidomida”.</w:t>
      </w:r>
    </w:p>
    <w:p w:rsidR="001D6FAE" w:rsidRDefault="001D6FAE" w:rsidP="001D6FAE">
      <w:pPr>
        <w:pStyle w:val="TextoNormal"/>
      </w:pPr>
    </w:p>
    <w:p w:rsidR="001D6FAE" w:rsidRDefault="001D6FAE" w:rsidP="001D6FAE">
      <w:pPr>
        <w:pStyle w:val="TextoNormal"/>
      </w:pPr>
      <w:r>
        <w:t>Las características del caso, por la gravedad de las malformaciones provocadas, el número y vulnerabilidad de los afectados, el alcance mundial de sus efectos y la diversidad de soluciones alcanzadas, explican la repercusión social del mismo y el interés mostrado por la opinión pública. En el aspecto jurídico-público, despierta interés por el comportamiento de los poderes públicos (del Estado en sentido amplio) y de la propia sociedad civil ante el hecho de que se trata, y el contraste con lo acaecido en otros países; fundamentalmente, en Alemania. En concreto, toca aspectos relevantes de la vida social y jurídica, como son el control preventivo de la seguridad de los medicamentos, la asistencia médica a los víctimas y a sus familias posterior a los nacimientos, con inclusión de la determinación de la etiología de tan graves lesiones, la asistencia y asesoramiento jurídico a los afectados, la respuesta de las Administraciones públicas y de los Tribunales de Justicia, y el principio de solidaridad, plasmado en disposiciones generales dictadas muchos años después de aparecer los primeros casos, como la disposición adicional 57 de la Ley 26/2009, de 23 de diciembre, de presupuestos generales del Estado para el año 2010, y el Real Decreto 1006/2010, de 5 de agosto, por el que se regula el procedimiento de concesión de ayudas a las personas afectadas por la talidomida en España durante el periodo 1960-1965. Todos estos aspectos ponen de manifiesto que el problema planteado con la respuesta judicial a la reclamación de los afectados, con un pronunciamiento de prescripción de la acción civil ejercitada, posea también una dimensión objetiva por trascender del caso concreto.</w:t>
      </w:r>
    </w:p>
    <w:p w:rsidR="001D6FAE" w:rsidRDefault="001D6FAE" w:rsidP="001D6FAE">
      <w:pPr>
        <w:pStyle w:val="TextoNormal"/>
      </w:pPr>
    </w:p>
    <w:p w:rsidR="001D6FAE" w:rsidRDefault="001D6FAE" w:rsidP="001D6FAE">
      <w:pPr>
        <w:pStyle w:val="TextoNormal"/>
      </w:pPr>
      <w:r>
        <w:t>Este conjunto de circunstancias que rodean al recurso de amparo determina que el mismo reúna la especial trascendencia constitucional exigida por el art. 50.1 b) de la Ley Orgánica del Tribunal Constitucional (LOTC), al entenderse que puede tener encaje en el supuesto definido en el apartado g) del fundamento jurídico 2 de nuestra STC 155/2009, de 25 de junio, referido a los casos en que “el asunto suscitado, sin estar incluido en ninguno de los supuestos anteriores, trascienda del caso concreto porque plantee una cuestión jurídica de relevante y general repercusión social o económica o tenga unas consecuencias políticas generales”. Estas mismas circunstancias concurrentes, como se adelantaba, son las que justifican que este pronunciamiento revista la forma de Auto, permitiéndose así a este Tribunal explicitar y hacer públicas las razones que conducen a la decisión de inadmisión.</w:t>
      </w:r>
    </w:p>
    <w:p w:rsidR="001D6FAE" w:rsidRDefault="001D6FAE" w:rsidP="001D6FAE">
      <w:pPr>
        <w:pStyle w:val="TextoNormal"/>
      </w:pPr>
    </w:p>
    <w:p w:rsidR="001D6FAE" w:rsidRDefault="001D6FAE" w:rsidP="001D6FAE">
      <w:pPr>
        <w:pStyle w:val="TextoNormal"/>
      </w:pPr>
      <w:r w:rsidRPr="001D6FAE">
        <w:rPr>
          <w:rStyle w:val="NumeroAFNegritaCaracter"/>
        </w:rPr>
        <w:t>3</w:t>
      </w:r>
      <w:r>
        <w:t>. También con carácter preliminar resulta necesario efectuar algunas consideraciones aclaratorias en relación con el mecanismo procesal empleado por la asociación demandante y sus consecuencias dentro y fuera del proceso.</w:t>
      </w:r>
    </w:p>
    <w:p w:rsidR="001D6FAE" w:rsidRDefault="001D6FAE" w:rsidP="001D6FAE">
      <w:pPr>
        <w:pStyle w:val="TextoNormal"/>
      </w:pPr>
    </w:p>
    <w:p w:rsidR="001D6FAE" w:rsidRDefault="001D6FAE" w:rsidP="001D6FAE">
      <w:pPr>
        <w:pStyle w:val="TextoNormal"/>
      </w:pPr>
      <w:r>
        <w:t>Como indica la Sentencia de la Audiencia Provincial de Madrid impugnada (fundamentos jurídicos 8 y 9), recogiendo los pronunciamientos efectuados en la instancia, en el supuesto examinado “la asociación no litiga por y para sí sino ejercitando las acciones que corresponden a sus asociados, como perjudicados o afectados por la acción dañosa que se describe en la demanda”, mediante la que se ha denominado “acción de grupo”, al amparo de los arts. 11.2 y 221 de la Ley de enjuiciamiento civil (LEC). Como beneficiados de esta “acción de grupo” se señalaron, en pronunciamiento incuestionado tras ser confirmado por la Audiencia Provincial, “los socios de Avite incluidos en el listado contenido en auto de 6 de noviembre 2012 que perciban o pudieran percibir en el futuro las ayudas económicas establecidas en el Real Decreto 1006/2010 y que acrediten esta condición en ejecución de sentencia mediante la presentación de la correspondiente resolución administrativa, excepto las personas que están recibiendo ayudas de la Fundación Contergan”.</w:t>
      </w:r>
    </w:p>
    <w:p w:rsidR="001D6FAE" w:rsidRDefault="001D6FAE" w:rsidP="001D6FAE">
      <w:pPr>
        <w:pStyle w:val="TextoNormal"/>
      </w:pPr>
    </w:p>
    <w:p w:rsidR="001D6FAE" w:rsidRDefault="001D6FAE" w:rsidP="001D6FAE">
      <w:pPr>
        <w:pStyle w:val="TextoNormal"/>
      </w:pPr>
      <w:r>
        <w:t>La modalidad procesal escogida por Avite y empleada en la demanda por esta asociación tuvo dos importantes consecuencias:</w:t>
      </w:r>
    </w:p>
    <w:p w:rsidR="001D6FAE" w:rsidRDefault="001D6FAE" w:rsidP="001D6FAE">
      <w:pPr>
        <w:pStyle w:val="TextoNormal"/>
      </w:pPr>
    </w:p>
    <w:p w:rsidR="001D6FAE" w:rsidRDefault="001D6FAE" w:rsidP="001D6FAE">
      <w:pPr>
        <w:pStyle w:val="TextoNormal"/>
      </w:pPr>
      <w:r>
        <w:t>a) Respecto del propio desarrollo del proceso, determinó que el examen de la prescripción de las acciones civiles se efectuara de modo no individualizado, sino por referencia al grupo de afectados, a circunstancias y vicisitudes generales, comunes para sus integrantes. Tan es así que si se examinan por la Sentencia de la Audiencia las peculiares circunstancias de algunos de los socios, únicos respecto de los que se aporta documentación individualizada por la asociación accionante (fundamento jurídico 13, apartado 8), es solamente con carácter ejemplificativo, tal y como se evidencia en el fundamento jurídico 15, párrafos 2 a 7.</w:t>
      </w:r>
    </w:p>
    <w:p w:rsidR="001D6FAE" w:rsidRDefault="001D6FAE" w:rsidP="001D6FAE">
      <w:pPr>
        <w:pStyle w:val="TextoNormal"/>
      </w:pPr>
    </w:p>
    <w:p w:rsidR="001D6FAE" w:rsidRDefault="001D6FAE" w:rsidP="001D6FAE">
      <w:pPr>
        <w:pStyle w:val="TextoNormal"/>
      </w:pPr>
      <w:r>
        <w:t>b) Las resoluciones judiciales impugnadas no enjuiciaron la prescripción de acciones civiles correspondientes a todos los afectados por la talidomida, sino sólo la de las acciones pertenecientes a los considerados beneficiarios de la “acción de grupo”, según quedaron delimitados inicialmente. En este sentido, la Sentencia de la Audiencia Provincial de Madrid se encarga de aclarar a lo largo de su texto, en reiteradas ocasiones, que las consideraciones —sobre prescripción de la acción civil— se efectúan respecto de los “afectados por la talidomida beneficiados con el fallo de la sentencia”. (FJ 15, párrafo 1). No puede descartarse, por ello, la existencia de perjudicados por la talidomida diferentes que puedan ejercitar acción individual con resultado distinto del aquí alcanzado.</w:t>
      </w:r>
    </w:p>
    <w:p w:rsidR="001D6FAE" w:rsidRDefault="001D6FAE" w:rsidP="001D6FAE">
      <w:pPr>
        <w:pStyle w:val="TextoNormal"/>
      </w:pPr>
    </w:p>
    <w:p w:rsidR="001D6FAE" w:rsidRDefault="001D6FAE" w:rsidP="001D6FAE">
      <w:pPr>
        <w:pStyle w:val="TextoNormal"/>
      </w:pPr>
      <w:r w:rsidRPr="001D6FAE">
        <w:rPr>
          <w:rStyle w:val="NumeroAFNegritaCaracter"/>
        </w:rPr>
        <w:t>4</w:t>
      </w:r>
      <w:r>
        <w:t>. Examinada la demanda, así como las actuaciones judiciales precedentes, el presente recurso de amparo incurre en un supuesto de inadmisión previsto en el art. 50.1 a) en relación con el art. 44.1 LOTC, por manifiesta inexistencia de vulneración de los derechos fundamentales alegados.</w:t>
      </w:r>
    </w:p>
    <w:p w:rsidR="001D6FAE" w:rsidRDefault="001D6FAE" w:rsidP="001D6FAE">
      <w:pPr>
        <w:pStyle w:val="TextoNormal"/>
      </w:pPr>
    </w:p>
    <w:p w:rsidR="001D6FAE" w:rsidRDefault="001D6FAE" w:rsidP="001D6FAE">
      <w:pPr>
        <w:pStyle w:val="TextoNormal"/>
      </w:pPr>
      <w:r>
        <w:t>Hemos de comenzar recordando, siguiendo a la STC 160/1997, de 2 de octubre, que el control de las decisiones judiciales sobre prescripción de acciones civiles que compete a este Tribunal en vía de recurso de amparo desde la perspectiva de la efectividad del derecho a la tutela judicial efectiva (art. 24.1 CE) se circunscribe a tres supuestos: “en primer lugar, en aquellos casos en los que dicha interpretación haga imposible en la práctica el ejercicio de la acción (así, en los supuestos que dieron lugar a las SSTC 262/1988, 47/1989, y 220/1993);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(STC 160/1997, de 2 de octubre, FJ 2).</w:t>
      </w:r>
    </w:p>
    <w:p w:rsidR="001D6FAE" w:rsidRDefault="001D6FAE" w:rsidP="001D6FAE">
      <w:pPr>
        <w:pStyle w:val="TextoNormal"/>
      </w:pPr>
    </w:p>
    <w:p w:rsidR="001D6FAE" w:rsidRDefault="001D6FAE" w:rsidP="001D6FAE">
      <w:pPr>
        <w:pStyle w:val="TextoNormal"/>
      </w:pPr>
      <w:r>
        <w:t xml:space="preserve">Por otra parte, la STC 298/2000, de 11 de diciembre, delimita, en su fundamento jurídico 6, el canon de constitucionalidad aplicable a los supuestos en que la prescripción de acciones se aprecia, como acontece en el presente caso, tras la conclusión del procedimiento y no de manera liminar: “es preciso recordar que, conforme a nuestra doctrina, no es lo mismo la apreciación de la prescripción al inicio del proceso, que después de haberlo concluido por todos sus trámites. Hemos dicho que cuando la aplicación de la concurrencia de la prescripción se realiza tras el completo y regular desarrollo del proceso judicial, y en decisión adoptada por el propio juzgador del fondo de la pretensión, y no </w:t>
      </w:r>
      <w:r w:rsidRPr="001D6FAE">
        <w:rPr>
          <w:i/>
        </w:rPr>
        <w:t>in limine litis</w:t>
      </w:r>
      <w:r>
        <w:t xml:space="preserve">, éste no se halla necesariamente vinculado por la regla hermenéutica </w:t>
      </w:r>
      <w:r w:rsidRPr="001D6FAE">
        <w:rPr>
          <w:i/>
        </w:rPr>
        <w:t>pro actione</w:t>
      </w:r>
      <w:r>
        <w:t>,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se inadmite la acción por una causa legal debidamente acreditada, siempre y cuando el órgano judicial en este caso aplique el Derecho razonadamente y no de modo arbitrario”.</w:t>
      </w:r>
    </w:p>
    <w:p w:rsidR="001D6FAE" w:rsidRDefault="001D6FAE" w:rsidP="001D6FAE">
      <w:pPr>
        <w:pStyle w:val="TextoNormal"/>
      </w:pPr>
    </w:p>
    <w:p w:rsidR="001D6FAE" w:rsidRDefault="001D6FAE" w:rsidP="001D6FAE">
      <w:pPr>
        <w:pStyle w:val="TextoNormal"/>
      </w:pPr>
      <w:r>
        <w:t>A la vista de lo expuesto, al Tribunal Constitucional solamente le compete valorar si la prescripción acordada se concilia con el derecho de la demandante a obtener una resolución motivada, congruente y fundada en Derecho.</w:t>
      </w:r>
    </w:p>
    <w:p w:rsidR="001D6FAE" w:rsidRDefault="001D6FAE" w:rsidP="001D6FAE">
      <w:pPr>
        <w:pStyle w:val="TextoNormal"/>
      </w:pPr>
    </w:p>
    <w:p w:rsidR="001D6FAE" w:rsidRDefault="001D6FAE" w:rsidP="001D6FAE">
      <w:pPr>
        <w:pStyle w:val="TextoNormal"/>
      </w:pPr>
      <w:r>
        <w:t>Partiendo de esta primera delimitación general, abordamos, a continuación, el examen de los motivos formulados en la demanda de amparo, de los que se ha dejado constancia en el apartado de antecedentes.</w:t>
      </w:r>
    </w:p>
    <w:p w:rsidR="001D6FAE" w:rsidRDefault="001D6FAE" w:rsidP="001D6FAE">
      <w:pPr>
        <w:pStyle w:val="TextoNormal"/>
      </w:pPr>
    </w:p>
    <w:p w:rsidR="001D6FAE" w:rsidRDefault="001D6FAE" w:rsidP="001D6FAE">
      <w:pPr>
        <w:pStyle w:val="TextoNormal"/>
      </w:pPr>
      <w:r w:rsidRPr="001D6FAE">
        <w:rPr>
          <w:rStyle w:val="NumeroAFNegritaCaracter"/>
        </w:rPr>
        <w:t>5</w:t>
      </w:r>
      <w:r>
        <w:t xml:space="preserve">. Un primer bloque de motivos, integrado por los cinco primeros, parte del hecho de que la Sentencia de la Audiencia Provincial de Madrid impugnada habría fijado el </w:t>
      </w:r>
      <w:r w:rsidRPr="001D6FAE">
        <w:rPr>
          <w:i/>
        </w:rPr>
        <w:t>dies a quo</w:t>
      </w:r>
      <w:r>
        <w:t xml:space="preserve"> del cómputo del plazo de prescripción de la acción en 2008, coincidiendo con la emisión de los informes de diagnóstico de los afectados por el Centro de investigación de anomalías congénitas, lo que la Sentencia de la Sala de lo Civil del Tribunal Supremo no habría aceptado.</w:t>
      </w:r>
    </w:p>
    <w:p w:rsidR="001D6FAE" w:rsidRDefault="001D6FAE" w:rsidP="001D6FAE">
      <w:pPr>
        <w:pStyle w:val="TextoNormal"/>
      </w:pPr>
    </w:p>
    <w:p w:rsidR="001D6FAE" w:rsidRDefault="001D6FAE" w:rsidP="001D6FAE">
      <w:pPr>
        <w:pStyle w:val="TextoNormal"/>
      </w:pPr>
      <w:r>
        <w:t xml:space="preserve">Con este planteamiento como premisa, se reprocha a la Sentencia del Tribunal Supremo no haber fijado el </w:t>
      </w:r>
      <w:r w:rsidRPr="001D6FAE">
        <w:rPr>
          <w:i/>
        </w:rPr>
        <w:t>dies a quo</w:t>
      </w:r>
      <w:r>
        <w:t xml:space="preserve"> del cómputo del plazo de prescripción, desde la perspectiva del derecho a obtener una resolución judicial congruente (art. 24.1 CE) —motivo a)— y del derecho a la igualdad (art. 14.1 CE) —motivo b)—; no haber corregido un error patente relativo a la fecha de tales informes —motivo c)—; y vulneración de estos mismos derechos por apartarse dicha sentencia de lo que era firme por no haber sido recurrido por las partes —motivo e)—. Tomando el mismo punto de partida se imputa a la Sentencia de la Audiencia Provincial de Madrid vulneración de los arts. 24.1 y 14 CE por inaplicación de la doctrina de que “un mismo hecho no puede existir y dejar de existir para distintos órganos del Estado”, pues al fechar los informes del Centro de investigación de anomalías congénitas en 2008 se han desconocido los hechos constatados por diversas sentencias dictadas por la Sala de lo Contencioso-Administrativo del Tribunal Superior de Justicia de Madrid —motivo d)—.</w:t>
      </w:r>
    </w:p>
    <w:p w:rsidR="001D6FAE" w:rsidRDefault="001D6FAE" w:rsidP="001D6FAE">
      <w:pPr>
        <w:pStyle w:val="TextoNormal"/>
      </w:pPr>
    </w:p>
    <w:p w:rsidR="001D6FAE" w:rsidRDefault="001D6FAE" w:rsidP="001D6FAE">
      <w:pPr>
        <w:pStyle w:val="TextoNormal"/>
      </w:pPr>
      <w:r>
        <w:t>Pues bien, lo primero en que hay que reparar es que la premisa a que se ha hecho referencia y que constituye el punto de partida de los cinco motivos aludidos resulta inexacta, lo que hace que decaigan todos ellos.</w:t>
      </w:r>
    </w:p>
    <w:p w:rsidR="001D6FAE" w:rsidRDefault="001D6FAE" w:rsidP="001D6FAE">
      <w:pPr>
        <w:pStyle w:val="TextoNormal"/>
      </w:pPr>
    </w:p>
    <w:p w:rsidR="001D6FAE" w:rsidRDefault="001D6FAE" w:rsidP="001D6FAE">
      <w:pPr>
        <w:pStyle w:val="TextoNormal"/>
      </w:pPr>
      <w:r>
        <w:t xml:space="preserve">La Audiencia Provincial de Madrid, en la sentencia impugnada, examina varias posibilidades en relación con esta cuestión central del </w:t>
      </w:r>
      <w:r w:rsidRPr="001D6FAE">
        <w:rPr>
          <w:i/>
        </w:rPr>
        <w:t>dies a quo</w:t>
      </w:r>
      <w:r>
        <w:t>, sin que fije el día inicial en el año 2008, como dice la asociación demandante. Lo que afirma esta Sentencia es que, en la tesis más favorable para los perjudicados, en el año 2008 ya podrían haber obtenido los correspondientes diagnósticos del Centro de investigación de anomalías congénitas y que “ninguno de los diagnósticos realizados durante el periodo 2006-2008 por dicho organismo fue aportado por los demandantes” (pág. 80), lo que no significa que sea aceptada dicha tesis por tal sentencia. El fundamento jurídico 15 se dedica a esta cuestión y va haciendo referencia a diversos momentos: el nacimiento, la mayoría de edad del afectado, el reconocimiento de la minusvalía de cada lesionado —con referencia específica a estas circunstancias respecto de los socios de la entidad demandante cuyos documentos se aportan (págs. 78 y 79)—, la constitución de Avite —momento en el cual, dice la Sentencia, “todos los socios tienen, o debieron tener, información sobre el fármaco y sus efectos teratogénicos”—, así como una carta remitida por una sociedad del grupo al que pertenece la mercantil demandada al presidente de dicha asociación en 2005. Se refiere también al Real Decreto 1006/2010, negando que éste marcara el momento inicial del cómputo del plazo de prescripción.</w:t>
      </w:r>
    </w:p>
    <w:p w:rsidR="001D6FAE" w:rsidRDefault="001D6FAE" w:rsidP="001D6FAE">
      <w:pPr>
        <w:pStyle w:val="TextoNormal"/>
      </w:pPr>
    </w:p>
    <w:p w:rsidR="001D6FAE" w:rsidRDefault="001D6FAE" w:rsidP="001D6FAE">
      <w:pPr>
        <w:pStyle w:val="TextoNormal"/>
      </w:pPr>
      <w:r>
        <w:t xml:space="preserve">La Sentencia del Tribunal Supremo rechaza la tesis de la asociación recurrente, ahora demandante, de que el Real Decreto 1006/2010 marcara ese </w:t>
      </w:r>
      <w:r w:rsidRPr="001D6FAE">
        <w:rPr>
          <w:i/>
        </w:rPr>
        <w:t>dies a quo</w:t>
      </w:r>
      <w:r>
        <w:t xml:space="preserve">. Y, por ello, desestima los recursos extraordinario por infracción procesal y de casación de modo congruente, al entender, con la Audiencia Provincial, que tratándose de daños “permanentes y evaluables” el plazo de prescripción comienza a correr “cuando se produjeron, y se constató su carácter permanente y definitivo”. Por tanto, ni la Sentencia de la Audiencia Provincial de Madrid fija ese </w:t>
      </w:r>
      <w:r w:rsidRPr="001D6FAE">
        <w:rPr>
          <w:i/>
        </w:rPr>
        <w:t>dies a quo</w:t>
      </w:r>
      <w:r>
        <w:t xml:space="preserve"> ni la Sentencia del Tribunal Supremo se aparta del mismo.</w:t>
      </w:r>
    </w:p>
    <w:p w:rsidR="001D6FAE" w:rsidRDefault="001D6FAE" w:rsidP="001D6FAE">
      <w:pPr>
        <w:pStyle w:val="TextoNormal"/>
      </w:pPr>
    </w:p>
    <w:p w:rsidR="001D6FAE" w:rsidRDefault="001D6FAE" w:rsidP="001D6FAE">
      <w:pPr>
        <w:pStyle w:val="TextoNormal"/>
      </w:pPr>
      <w:r>
        <w:t>A fin de agotar la respuesta han de agregarse a lo anterior las siguientes consideraciones en relación con cada uno de los motivos reseñados:</w:t>
      </w:r>
    </w:p>
    <w:p w:rsidR="001D6FAE" w:rsidRDefault="001D6FAE" w:rsidP="001D6FAE">
      <w:pPr>
        <w:pStyle w:val="TextoNormal"/>
      </w:pPr>
    </w:p>
    <w:p w:rsidR="001D6FAE" w:rsidRDefault="001D6FAE" w:rsidP="001D6FAE">
      <w:pPr>
        <w:pStyle w:val="TextoNormal"/>
      </w:pPr>
      <w:r>
        <w:t xml:space="preserve">a) En relación con la denunciada incongruencia omisiva, que se produce cuando “una pretensión relevante y debidamente planteada ante un órgano judicial no encuentra respuesta alguna, siquiera tácita, por parte de éste” (SSTC 155/2012, de 16 de julio, FJ 2; y 269/2006, de 11 de septiembre, FJ 4; por todas), parece indudable que la Sentencia del Tribunal Supremo impugnada satisface las exigencias constitucionales de exhaustividad de las resoluciones judiciales, pues ni se pide a ese Tribunal en los recursos la fijación del </w:t>
      </w:r>
      <w:r w:rsidRPr="001D6FAE">
        <w:rPr>
          <w:i/>
        </w:rPr>
        <w:t>dies a quo</w:t>
      </w:r>
      <w:r>
        <w:t xml:space="preserve"> concreto, lo que además resultaría imposible, pues varía y debiera fijarse en relación con cada uno de los afectados, según se ha dicho, ni forma parte del contenido de las pretensiones de los recursos extraordinarios por infracción procesal y casación tal determinación, sino, únicamente, resolver si se ha producido o no la prescripción. No nos dice, tampoco, la parte recurrente, en qué consiste la indefensión que alega, es decir, qué privación o disminución de las posibilidades reales de defensa le causa la decisión adoptada.</w:t>
      </w:r>
    </w:p>
    <w:p w:rsidR="001D6FAE" w:rsidRDefault="001D6FAE" w:rsidP="001D6FAE">
      <w:pPr>
        <w:pStyle w:val="TextoNormal"/>
      </w:pPr>
    </w:p>
    <w:p w:rsidR="001D6FAE" w:rsidRDefault="001D6FAE" w:rsidP="001D6FAE">
      <w:pPr>
        <w:pStyle w:val="TextoNormal"/>
      </w:pPr>
      <w:r>
        <w:t xml:space="preserve">b) Respecto de la invocada lesión de la igualdad en la aplicación de la Ley, además de no ofrecerse término de comparación, limitándose la parte recurrente a citar sentencias que fijan el </w:t>
      </w:r>
      <w:r w:rsidRPr="001D6FAE">
        <w:rPr>
          <w:i/>
        </w:rPr>
        <w:t>dies a quo</w:t>
      </w:r>
      <w:r>
        <w:t xml:space="preserve"> en asuntos diversos en que se planteaba la cuestión de la prescripción, hay que subrayar que las diferencias en el contenido de la motivación de las resoluciones judiciales no constituyen “un trato diferenciado” invocable en un hipotético juicio de igualdad. La diferencia habrá de venir dada por la “consecuencia jurídica” (STC 49/1982, de 14 de julio, FJ 2), el trato dispensado —por el fallo—, y no por el contenido o extensión de la motivación que lleva a tal decisión.</w:t>
      </w:r>
    </w:p>
    <w:p w:rsidR="001D6FAE" w:rsidRDefault="001D6FAE" w:rsidP="001D6FAE">
      <w:pPr>
        <w:pStyle w:val="TextoNormal"/>
      </w:pPr>
    </w:p>
    <w:p w:rsidR="001D6FAE" w:rsidRDefault="001D6FAE" w:rsidP="001D6FAE">
      <w:pPr>
        <w:pStyle w:val="TextoNormal"/>
      </w:pPr>
      <w:r>
        <w:t>c) En relación con el “error patente” como criterio de control de constitucionalidad de las resoluciones judiciales, bajo el prisma del derecho fundamental a la tutela judicial efectiva, debe recordarse que, entre otras exigencias, “el error debe ser determinante de la decisión adoptada, es decir, ha de constituir el soporte único o básico de la resolución (</w:t>
      </w:r>
      <w:r w:rsidRPr="001D6FAE">
        <w:rPr>
          <w:i/>
        </w:rPr>
        <w:t>ratio decidendi</w:t>
      </w:r>
      <w:r>
        <w:t xml:space="preserve">), de modo que, comprobada su existencia, la fundamentación jurídica pierda el sentido y alcance que la justificaba, y no pueda conocerse cuál hubiese sido el sentido de la resolución de no haberse incurrido en el mismo” (STC 159/2004, de 4 de octubre, FJ 12, y todas las que cita). Hemos de insistir, nuevamente, en que la Sentencia de la Audiencia Provincial ni fija el </w:t>
      </w:r>
      <w:r w:rsidRPr="001D6FAE">
        <w:rPr>
          <w:i/>
        </w:rPr>
        <w:t>dies a quo</w:t>
      </w:r>
      <w:r>
        <w:t xml:space="preserve"> del cómputo del plazo de prescripción en la fecha de los informes del Centro de investigación de anomalías congénitas, ni establece tampoco la fecha de estos que, lógicamente, es variable según los distintos afectados, sino que se limita a poner de manifiesto que, en la hipótesis más favorable a los perjudicados —que además no significa, como se decía más arriba, que sea la que la Sentencia acoja como la procedente en Derecho—, los socios de Avite con malformaciones congénitas podrían haber obtenido los correspondientes diagnósticos de tal centro antes de dicha fecha, afirmación que no contradice el hecho de que existan informes del centro indicado fechados en 2010.</w:t>
      </w:r>
    </w:p>
    <w:p w:rsidR="001D6FAE" w:rsidRDefault="001D6FAE" w:rsidP="001D6FAE">
      <w:pPr>
        <w:pStyle w:val="TextoNormal"/>
      </w:pPr>
    </w:p>
    <w:p w:rsidR="001D6FAE" w:rsidRDefault="001D6FAE" w:rsidP="001D6FAE">
      <w:pPr>
        <w:pStyle w:val="TextoNormal"/>
      </w:pPr>
      <w:r>
        <w:t xml:space="preserve">d) En cuanto a la alegada vulneración de los arts. 24.1 y 14 CE por inaplicación de la doctrina de que “un mismo hecho no puede existir y dejar de existir para distintos órganos del Estado”, se hace necesario precisar que la citada declaración fue realizada por la STC 77/1983, de 3 de octubre (FJ 4), en relación con la garantía </w:t>
      </w:r>
      <w:r w:rsidRPr="001D6FAE">
        <w:rPr>
          <w:i/>
        </w:rPr>
        <w:t>non bis in idem</w:t>
      </w:r>
      <w:r>
        <w:t xml:space="preserve">, implícita en el art. 25 CE (STC 2/1981, de 30 de enero, FJ 4), que no resulta de aplicación al caso que nos ocupa. Por otra parte, no puede afirmarse que la Sentencia de la Audiencia Provincial de Madrid desconozca hechos constatados en sentencias de la Sala de lo Contencioso-Administrativo del Tribunal Superior de Justicia de Madrid, sino, simplemente, cabría señalar que no los contempla, porque, además de no poderse introducir como prueba, dado que son de fecha posterior a la Sentencia de primera instancia y a la impugnación de la apelación, la fecha de esos informes resulta irrelevante, según venimos diciendo en el discurso que efectúa tal sentencia sobre el </w:t>
      </w:r>
      <w:r w:rsidRPr="001D6FAE">
        <w:rPr>
          <w:i/>
        </w:rPr>
        <w:t>dies a quo</w:t>
      </w:r>
      <w:r>
        <w:t xml:space="preserve"> del cómputo del plazo de prescripción.</w:t>
      </w:r>
    </w:p>
    <w:p w:rsidR="001D6FAE" w:rsidRDefault="001D6FAE" w:rsidP="001D6FAE">
      <w:pPr>
        <w:pStyle w:val="TextoNormal"/>
      </w:pPr>
    </w:p>
    <w:p w:rsidR="001D6FAE" w:rsidRDefault="001D6FAE" w:rsidP="001D6FAE">
      <w:pPr>
        <w:pStyle w:val="TextoNormal"/>
      </w:pPr>
      <w:r>
        <w:t xml:space="preserve">e) Finalmente, en relación con la denuncia de reforma peyorativa, partiendo de que la prohibición de </w:t>
      </w:r>
      <w:r w:rsidRPr="001D6FAE">
        <w:rPr>
          <w:i/>
        </w:rPr>
        <w:t>reformatio in peius</w:t>
      </w:r>
      <w:r>
        <w:t xml:space="preserve"> “es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hemos de repetir que ni la Sentencia de la Audiencia Provincial fija ese </w:t>
      </w:r>
      <w:r w:rsidRPr="001D6FAE">
        <w:rPr>
          <w:i/>
        </w:rPr>
        <w:t>dies a quo</w:t>
      </w:r>
      <w:r>
        <w:t xml:space="preserve"> ni la Sentencia del Tribunal Supremo se aparta del mismo. En todo caso, aun cuando así fuera, no se agravaría la situación de la asociación recurrente por haberse apartado el Tribunal Supremo de la argumentación —que no del motivo o </w:t>
      </w:r>
      <w:r w:rsidRPr="001D6FAE">
        <w:rPr>
          <w:i/>
        </w:rPr>
        <w:t>causa petendi</w:t>
      </w:r>
      <w:r>
        <w:t>— empleada por la Audiencia Provincial.</w:t>
      </w:r>
    </w:p>
    <w:p w:rsidR="001D6FAE" w:rsidRDefault="001D6FAE" w:rsidP="001D6FAE">
      <w:pPr>
        <w:pStyle w:val="TextoNormal"/>
      </w:pPr>
    </w:p>
    <w:p w:rsidR="001D6FAE" w:rsidRDefault="001D6FAE" w:rsidP="001D6FAE">
      <w:pPr>
        <w:pStyle w:val="TextoNormal"/>
      </w:pPr>
      <w:r w:rsidRPr="001D6FAE">
        <w:rPr>
          <w:rStyle w:val="NumeroAFNegritaCaracter"/>
        </w:rPr>
        <w:t>6</w:t>
      </w:r>
      <w:r>
        <w:t xml:space="preserve">. La queja siguiente, de la que hemos dejado constancia en el apartado f) del antecedente tercero, incurre, también, en inexactitud en su planteamiento, pues ni la Sentencia de la Audiencia Provincial de Madrid ni la posterior del Tribunal Supremo inaplican el Real Decreto 1006/2010 por considerarlo ilegal. Lo que hacen es descartar que el mismo resulte determinante del </w:t>
      </w:r>
      <w:r w:rsidRPr="001D6FAE">
        <w:rPr>
          <w:i/>
        </w:rPr>
        <w:t>dies a quo</w:t>
      </w:r>
      <w:r>
        <w:t xml:space="preserve"> del cómputo del plazo de prescripción de la acción civil de responsabilidad extracontractual. Lo que vienen a señalar las resoluciones judiciales impugnadas es que ni la Ley 26/2009 ni el Real Decreto 1006/2010, dictado en su desarrollo, tienen incidencia en la prescripción porque, en síntesis, la prescripción ya se había producido cuando se publican estas normas; porque tampoco resulta determinante dicho Real Decreto para declarar la concreta situación de incapacidad, que ya existía; porque no responde a una reclamación de parte (sería “dejar en manos de terceros, públicos o privados, sin intervención de las partes o parte interesada, la determinación del día a partir del cual la acción podía ejercitarse”), y porque nada dispone esta norma (la Ley 26/2009) en materia de prescripción.</w:t>
      </w:r>
    </w:p>
    <w:p w:rsidR="001D6FAE" w:rsidRDefault="001D6FAE" w:rsidP="001D6FAE">
      <w:pPr>
        <w:pStyle w:val="TextoNormal"/>
      </w:pPr>
    </w:p>
    <w:p w:rsidR="001D6FAE" w:rsidRDefault="001D6FAE" w:rsidP="001D6FAE">
      <w:pPr>
        <w:pStyle w:val="TextoNormal"/>
      </w:pPr>
      <w:r w:rsidRPr="001D6FAE">
        <w:rPr>
          <w:rStyle w:val="NumeroAFNegritaCaracter"/>
        </w:rPr>
        <w:t>7</w:t>
      </w:r>
      <w:r>
        <w:t>. Con el motivo que hemos incluido en el apartado g) se viene denunciar un supuesto apartamiento de la jurisprudencia, reconduciéndose la infracción, sin mayor desarrollo argumental, a los arts. 14 y. 24.1 CE. Lo que late en el motivo es una mera discrepancia con los criterios de los órganos judiciales en materia de prescripción, sin alcance constitucional.</w:t>
      </w:r>
    </w:p>
    <w:p w:rsidR="001D6FAE" w:rsidRDefault="001D6FAE" w:rsidP="001D6FAE">
      <w:pPr>
        <w:pStyle w:val="TextoNormal"/>
      </w:pPr>
    </w:p>
    <w:p w:rsidR="001D6FAE" w:rsidRDefault="001D6FAE" w:rsidP="001D6FAE">
      <w:pPr>
        <w:pStyle w:val="TextoNormal"/>
      </w:pPr>
      <w:r>
        <w:t xml:space="preserve">Es doctrina de este Tribunal que “un mismo órgano judicial no puede cambiar el sentido de sus decisiones adoptadas con anterioridad en supuestos sustancialmente iguales sin una argumentación razonada para dicho apartamiento, que permita deducir que la solución dada al caso responde a una interpretación abstracta y general de la norma aplicable y no a una respuesta </w:t>
      </w:r>
      <w:r w:rsidRPr="001D6FAE">
        <w:rPr>
          <w:i/>
        </w:rPr>
        <w:t>ad personam</w:t>
      </w:r>
      <w:r>
        <w:t>, singularizada y arbitraria, que constituiría una vulneración del principio de igualdad en la aplicación de la ley (art. 14 CE). Sin embargo, para enjuiciar si la respuesta del órgano judicial se aparta infundadamente de sus resoluciones precedentes ha de acreditarse por el recurrente la existencia de un término de comparación idóneo, ya que el juicio de igualdad sólo puede realizarse sobre la comparación entre la resolución judicial impugnada y las precedentes resoluciones del mismo órgano judicial que, en casos sustancialmente iguales, hayan sido resueltos de forma contradictoria (por todas, STC 140/2003, de 14 de julio, FJ 4). Por ello es preciso que los supuestos que constituyen el término de comparación sean esencialmente iguales, pues sólo si los casos son iguales entre sí puede efectivamente pretenderse que la solución dada para uno sea igual a la del otro (por todas, SSTC 102/1999, de 31 de mayo, FJ 3, y 133/2002, de 3 de junio, FJ 6)” (STC 8/2004, de 9 de febrero, FJ 3).</w:t>
      </w:r>
    </w:p>
    <w:p w:rsidR="001D6FAE" w:rsidRDefault="001D6FAE" w:rsidP="001D6FAE">
      <w:pPr>
        <w:pStyle w:val="TextoNormal"/>
      </w:pPr>
    </w:p>
    <w:p w:rsidR="001D6FAE" w:rsidRDefault="001D6FAE" w:rsidP="001D6FAE">
      <w:pPr>
        <w:pStyle w:val="TextoNormal"/>
      </w:pPr>
      <w:r>
        <w:t>Para constatar, por tanto, infracción del art. 14 CE es exigible un término de comparación que aquí no se aporta. Por otra parte, la alegada infracción del art. 24.1 CE habría de reconducirse al derecho a obtener una resolución fundada en Derecho y no arbitraria.</w:t>
      </w:r>
    </w:p>
    <w:p w:rsidR="001D6FAE" w:rsidRDefault="001D6FAE" w:rsidP="001D6FAE">
      <w:pPr>
        <w:pStyle w:val="TextoNormal"/>
      </w:pPr>
    </w:p>
    <w:p w:rsidR="001D6FAE" w:rsidRDefault="001D6FAE" w:rsidP="001D6FAE">
      <w:pPr>
        <w:pStyle w:val="TextoNormal"/>
      </w:pPr>
      <w:r>
        <w:t xml:space="preserve">Como ha recordado la STC 64/2010, de 18 de octubre, FJ 3,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 Asimismo, hemos venido afirmando que son los órganos judiciales los únicos competentes, </w:t>
      </w:r>
      <w:r w:rsidRPr="001D6FAE">
        <w:rPr>
          <w:i/>
        </w:rPr>
        <w:t>ex</w:t>
      </w:r>
      <w:r>
        <w:t xml:space="preserve">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138/2014, de 7 de octubre, FJ 2).</w:t>
      </w:r>
    </w:p>
    <w:p w:rsidR="001D6FAE" w:rsidRDefault="001D6FAE" w:rsidP="001D6FAE">
      <w:pPr>
        <w:pStyle w:val="TextoNormal"/>
      </w:pPr>
    </w:p>
    <w:p w:rsidR="001D6FAE" w:rsidRDefault="001D6FAE" w:rsidP="001D6FAE">
      <w:pPr>
        <w:pStyle w:val="TextoNormal"/>
      </w:pPr>
      <w:r>
        <w:t xml:space="preserve">En el apartado de hechos se ha dejado constancia sucinta de las razones dadas por las Sentencias impugnadas para considerar prescrita la acción. Dichas razones constituyen una respuesta pormenorizada a las alegaciones contenidas en el desarrollo de este motivo, descartando los argumentos aducidos por la parte recurrente para enervar la excepción de prescripción. En relación con la jurisprudencia del Tribunal Supremo invocada en el Voto particular, desde la perspectiva constitucional </w:t>
      </w:r>
      <w:r w:rsidRPr="001D6FAE">
        <w:rPr>
          <w:i/>
        </w:rPr>
        <w:t>ex</w:t>
      </w:r>
      <w:r>
        <w:t xml:space="preserve"> arts. 14 y 24.1 CE, ha de subrayarse que la jurisprudencia que cita se refiere a supuestos sustancialmente diferentes como son los casos en que “se ha seguido expediente para dirimir cuales han sido las consecuencias de repercusión de las lesiones en la capacidad laboral del trabajador”.</w:t>
      </w:r>
    </w:p>
    <w:p w:rsidR="001D6FAE" w:rsidRDefault="001D6FAE" w:rsidP="001D6FAE">
      <w:pPr>
        <w:pStyle w:val="TextoNormal"/>
      </w:pPr>
    </w:p>
    <w:p w:rsidR="001D6FAE" w:rsidRDefault="001D6FAE" w:rsidP="001D6FAE">
      <w:pPr>
        <w:pStyle w:val="TextoNormal"/>
      </w:pPr>
      <w:r w:rsidRPr="001D6FAE">
        <w:rPr>
          <w:rStyle w:val="NumeroAFNegritaCaracter"/>
        </w:rPr>
        <w:t>8</w:t>
      </w:r>
      <w:r>
        <w:t>. Considera la demanda de amparo que se lesiona el art. 24.1 CE por no respetar las resoluciones judiciales impugnadas el “hecho notorio, incontrovertido para las partes, para la comunidad científica y para el legislador, de que no existe un diagnóstico de certeza científica para cada afectado en particular para establecer la etiología del daño por talidomida en la gestación”.</w:t>
      </w:r>
    </w:p>
    <w:p w:rsidR="001D6FAE" w:rsidRDefault="001D6FAE" w:rsidP="001D6FAE">
      <w:pPr>
        <w:pStyle w:val="TextoNormal"/>
      </w:pPr>
    </w:p>
    <w:p w:rsidR="001D6FAE" w:rsidRDefault="001D6FAE" w:rsidP="001D6FAE">
      <w:pPr>
        <w:pStyle w:val="TextoNormal"/>
      </w:pPr>
      <w:r>
        <w:t>Se denuncia aquí la existencia de un supuesto “error de hecho”, debiéndose recordar que para que el error adquiera dimensión constitucional es preciso, entre otros requisitos, según también hemos visto, que sea “patente”, es decir “debe ser inmediatamente verificable de forma incontrovertible a partir de las actuaciones judiciales” (STC 159/2004, de 4 de octubre, FJ 12, y todas las que cita), lo que no sucede en el caso que examinamos.</w:t>
      </w:r>
    </w:p>
    <w:p w:rsidR="001D6FAE" w:rsidRDefault="001D6FAE" w:rsidP="001D6FAE">
      <w:pPr>
        <w:pStyle w:val="TextoNormal"/>
      </w:pPr>
    </w:p>
    <w:p w:rsidR="001D6FAE" w:rsidRDefault="001D6FAE" w:rsidP="001D6FAE">
      <w:pPr>
        <w:pStyle w:val="TextoNormal"/>
      </w:pPr>
      <w:r>
        <w:t>La Sentencia del Tribunal Supremo impugnada niega expresa y razonadamente el hecho en que insiste la actora, sin que pueda advertirse error. Señala al efecto el Tribunal Supremo: “Pretender que es un hecho incontrovertido que no existe un diagnóstico de certeza científica para establecer la etiología del daño por talidomida en la gestación, supone desconocer el conjunto de actos anteriores a la formulación de esta demanda, como los que resultan del proceso de Contengan o de la misma creación de la asociación que ahora demanda, determinantes del conocimiento que los afectados tenían del hecho causal -talidomida- y del causante del daño -la farmacéutica Grünenthal Pharma, SA-, e incluso del alcance definitivo del daño. Cosa distinta es la aparición de daños sobrevenidos entre los que están los que la parte ahora recurrente aceptó de la sentencia de primera instancia, que no recurrió”.</w:t>
      </w:r>
    </w:p>
    <w:p w:rsidR="001D6FAE" w:rsidRDefault="001D6FAE" w:rsidP="001D6FAE">
      <w:pPr>
        <w:pStyle w:val="TextoNormal"/>
      </w:pPr>
    </w:p>
    <w:p w:rsidR="001D6FAE" w:rsidRDefault="001D6FAE" w:rsidP="001D6FAE">
      <w:pPr>
        <w:pStyle w:val="TextoNormal"/>
      </w:pPr>
      <w:r>
        <w:t>Debe aclararse que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(SSTC 159/2004, de 4 de octubre, FJ 9, y 129/2005, de 23 de mayo, FJ).</w:t>
      </w:r>
    </w:p>
    <w:p w:rsidR="001D6FAE" w:rsidRDefault="001D6FAE" w:rsidP="001D6FAE">
      <w:pPr>
        <w:pStyle w:val="TextoNormal"/>
      </w:pPr>
    </w:p>
    <w:p w:rsidR="001D6FAE" w:rsidRDefault="001D6FAE" w:rsidP="001D6FAE">
      <w:pPr>
        <w:pStyle w:val="TextoNormal"/>
      </w:pPr>
      <w:r w:rsidRPr="001D6FAE">
        <w:rPr>
          <w:rStyle w:val="NumeroAFNegritaCaracter"/>
        </w:rPr>
        <w:t>9</w:t>
      </w:r>
      <w:r>
        <w:t>. El último motivo, aunque invoca formalmente incongruencia y falta de exhaustividad, habría de reconducirse a falta de motivación, pues debe distinguirse entre lo que son meras alegaciones aportadas por las partes en defensa de sus pretensiones y estas últimas en sí mismas consideradas. Si bien se ha estimado que también se incurre incongruencia “cuando el órgano judicial omite toda consideración sobre una alegación fundamental planteada oportunamente por las partes” (STC 4/2006, de 16 de enero, FJ 3), ha de tenerse en cuenta que la alegación sustancial del recurso de casación frente a la Sentencia de la Audiencia Provincial versaba sobre la relevancia del Real Decreto 1006/2010 en la cuestión del día inicial para el cómputo del plazo de un año de prescripción de la acción civil.</w:t>
      </w:r>
    </w:p>
    <w:p w:rsidR="001D6FAE" w:rsidRDefault="001D6FAE" w:rsidP="001D6FAE">
      <w:pPr>
        <w:pStyle w:val="TextoNormal"/>
      </w:pPr>
    </w:p>
    <w:p w:rsidR="001D6FAE" w:rsidRDefault="001D6FAE" w:rsidP="001D6FAE">
      <w:pPr>
        <w:pStyle w:val="TextoNormal"/>
      </w:pPr>
      <w:r>
        <w:t>En todo caso, se advierte que las sentencias impugnadas sí consideran —exhaustivamente la de la Audiencia Provincial— el denominado “informe Heidelberg” y los documentos del archivo público de Düsseldorf, para llegar la Sentencia del Tribunal Supremo a la conclusión, en línea con la de la Audiencia, de que ni el informe Heidelberg ni “los documentos de los archivos de Düsseldorf son relevantes en materia de prescripción de la acción que ha sido ejercitada en la demanda”.</w:t>
      </w:r>
    </w:p>
    <w:p w:rsidR="001D6FAE" w:rsidRDefault="001D6FAE" w:rsidP="001D6FAE">
      <w:pPr>
        <w:pStyle w:val="TextoNormal"/>
      </w:pPr>
    </w:p>
    <w:p w:rsidR="001D6FAE" w:rsidRDefault="001D6FAE" w:rsidP="001D6FAE">
      <w:pPr>
        <w:pStyle w:val="TextoNormal"/>
      </w:pPr>
      <w:r>
        <w:t xml:space="preserve">Junto con lo dicho más arriba a propósito del derecho a obtener una resolución fundada en Derecho y no arbitraria, hemos de recordar que el derecho a la motivación de las resoluciones judiciales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w:t>
      </w:r>
      <w:r w:rsidRPr="001D6FAE">
        <w:rPr>
          <w:i/>
        </w:rPr>
        <w:t>ratio decidendi</w:t>
      </w:r>
      <w:r>
        <w:t>” (SSTC 119/2003, de 16 de junio, FJ 3; y 196/2005, de 18 de julio, FJ 3). En cuanto al alcance y los límites de la potestad de control de este Tribunal sobre la motivación de las resoluciones judiciales, hemos subrayado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(SSTC 119/2003, de 16 de junio, FJ 3; y 196/2005, de 18 de julio, FJ 3).</w:t>
      </w:r>
    </w:p>
    <w:p w:rsidR="001D6FAE" w:rsidRDefault="001D6FAE" w:rsidP="001D6FAE">
      <w:pPr>
        <w:pStyle w:val="TextoNormal"/>
      </w:pPr>
    </w:p>
    <w:p w:rsidR="001D6FAE" w:rsidRDefault="001D6FAE" w:rsidP="001D6FAE">
      <w:pPr>
        <w:pStyle w:val="TextoNormal"/>
      </w:pPr>
      <w:r>
        <w:t>Dejando de lado el acierto o no de las resoluciones judiciales impugnadas, que, en el plano de la aplicación del instituto de la prescripción, de estricta legalidad ordinaria, no nos corresponde dirimir, este Tribunal constata que la motivación contenida en las resoluciones judiciales impugnadas es suficiente, en cuanto permite conocer las razones de la decisión adoptada, y no aparece como irrazonable, arbitraria o incursa en patente error.</w:t>
      </w:r>
    </w:p>
    <w:p w:rsidR="001D6FAE" w:rsidRDefault="001D6FAE" w:rsidP="001D6FAE">
      <w:pPr>
        <w:pStyle w:val="TextoNormal"/>
      </w:pPr>
    </w:p>
    <w:p w:rsidR="001D6FAE" w:rsidRDefault="001D6FAE" w:rsidP="001D6FAE">
      <w:pPr>
        <w:pStyle w:val="TextoNormal"/>
      </w:pPr>
      <w:r>
        <w:t xml:space="preserve">Finalmente, el resto de alegaciones contenidas en el desarrollo de este motivo en la demanda de amparo no se reconducen razonadamente a la lesión concreta de un derecho fundamental susceptible de recurso de amparo </w:t>
      </w:r>
      <w:r w:rsidRPr="001D6FAE">
        <w:rPr>
          <w:i/>
        </w:rPr>
        <w:t>ex</w:t>
      </w:r>
      <w:r>
        <w:t xml:space="preserve"> art. 53.2 CE, debiendo destacarse, en todo caso, que las resoluciones judiciales impugnadas dejan la puerta abierta a los afectados por ellas para la reclamación de indemnización por los daños tardíos, es decir, los desconocidos hasta ahora y que se descubran con posterioridad, a los que apunta el denominado informe Heidelberg.</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el recurso de amparo promovido por la Asociación de Víctimas de la Talidomida.</w:t>
      </w:r>
    </w:p>
    <w:p w:rsidR="001D6FAE" w:rsidRDefault="001D6FAE" w:rsidP="001D6FAE">
      <w:pPr>
        <w:pStyle w:val="TextoNormal"/>
      </w:pPr>
    </w:p>
    <w:p w:rsidR="001D6FAE" w:rsidRDefault="001D6FAE" w:rsidP="001D6FAE">
      <w:pPr>
        <w:pStyle w:val="TextoNormal"/>
      </w:pPr>
      <w:r>
        <w:t>Publíquese este Auto en el “Boletín Oficial del Estado”.</w:t>
      </w:r>
    </w:p>
    <w:p w:rsidR="001D6FAE" w:rsidRDefault="001D6FAE" w:rsidP="001D6FAE">
      <w:pPr>
        <w:pStyle w:val="TextoNormal"/>
      </w:pPr>
    </w:p>
    <w:p w:rsidR="001D6FAE" w:rsidRDefault="001D6FAE" w:rsidP="001D6FAE">
      <w:pPr>
        <w:pStyle w:val="TextoNormal"/>
      </w:pPr>
      <w:r>
        <w:t>Madrid, a veintidós de julio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3" w:name="AUTO_2016_149"/>
      <w:r>
        <w:t>AUTO 149/2016, de 6 de septiembre de 2016</w:t>
      </w:r>
    </w:p>
    <w:bookmarkEnd w:id="123"/>
    <w:p w:rsidR="001D6FAE" w:rsidRDefault="001D6FAE" w:rsidP="001D6FAE">
      <w:pPr>
        <w:pStyle w:val="TtuloResolucin"/>
      </w:pPr>
      <w:r>
        <w:t>Sección Primera</w:t>
      </w:r>
    </w:p>
    <w:p w:rsidR="001D6FAE" w:rsidRDefault="001D6FAE" w:rsidP="001D6FAE">
      <w:pPr>
        <w:pStyle w:val="TextoNormalCentrado"/>
      </w:pPr>
      <w:r>
        <w:t>ECLI:ES:TC:2016:149A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Desestima el recurso de súplica del Ministerio Fiscal sobre inadmisión del recurso de amparo 6684-2015, promovido por don Javier Segura Ruiz en causa penal.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recibido en el Registro General de este Tribunal el 27 de noviembre de 2015, el Procurador de los Tribunales don Domingo José Collado Molinero, en nombre y representación de don Javier Segura Ruiz, interpuso recurso de amparo, que se registró con el núm. 6684-2015, contra la Sentencia del Tribunal Supremo de 14 de septiembre de 2015, en el marco del recurso de casación núm. 1507-2014, interpuesto frente a la Sentencia de la Sección Segunda de la Audiencia Provincial de Barcelona de 30 de abril de 2014, recaída en el sumario núm. 4-2009.</w:t>
      </w:r>
    </w:p>
    <w:p w:rsidR="001D6FAE" w:rsidRDefault="001D6FAE" w:rsidP="001D6FAE">
      <w:pPr>
        <w:pStyle w:val="TextoNormal"/>
      </w:pPr>
    </w:p>
    <w:p w:rsidR="001D6FAE" w:rsidRDefault="001D6FAE" w:rsidP="001D6FAE">
      <w:pPr>
        <w:pStyle w:val="TextoNormal"/>
      </w:pPr>
      <w:r w:rsidRPr="001D6FAE">
        <w:rPr>
          <w:rStyle w:val="NumeroAFNegritaCaracter"/>
        </w:rPr>
        <w:t>2</w:t>
      </w:r>
      <w:r>
        <w:t>. Mediante providencia de 13 de abril de 2016, la Sección Primera de este Tribunal acordó no admitir a trámite la demanda de amparo, de conformidad con el art. 50.1 a), en relación con el art. 44.1 a), ambos de la Ley Orgánica del Tribunal Constitucional (LOTC), al ser la demanda de amparo prematura “por no haber concluido el proceso abierto en vía judicial”.</w:t>
      </w:r>
    </w:p>
    <w:p w:rsidR="001D6FAE" w:rsidRDefault="001D6FAE" w:rsidP="001D6FAE">
      <w:pPr>
        <w:pStyle w:val="TextoNormal"/>
      </w:pPr>
    </w:p>
    <w:p w:rsidR="001D6FAE" w:rsidRDefault="001D6FAE" w:rsidP="001D6FAE">
      <w:pPr>
        <w:pStyle w:val="TextoNormal"/>
      </w:pPr>
      <w:r w:rsidRPr="001D6FAE">
        <w:rPr>
          <w:rStyle w:val="NumeroAFNegritaCaracter"/>
        </w:rPr>
        <w:t>3</w:t>
      </w:r>
      <w:r>
        <w:t>. Por medio de escrito presentado el 6 de mayo de 2016, el Ministerio Fiscal interpuso recurso de súplica contra la referida providencia, alegando que “el demandante habría agotado adecuadamente la vía judicial con el planteamiento del incidente de nulidad de conformidad con el art. 241.1 LOPJ, dado que la vulneración del derecho a un proceso con todas las garantías le sería imputable, en su caso, a la sentencia del Tribunal Supremo, por lo que tras el planteamiento de dicho incidente se habría cerrado la vía judicial previa para poder interponer recurso de amparo y, en consecuencia, habría cumplido con la previsión contenida en el art. 44.1.a) LOTC”. Interesaba, en consecuencia, que se dejara sin efecto la providencia de inadmisión.</w:t>
      </w:r>
    </w:p>
    <w:p w:rsidR="001D6FAE" w:rsidRDefault="001D6FAE" w:rsidP="001D6FAE">
      <w:pPr>
        <w:pStyle w:val="TextoNormal"/>
      </w:pPr>
    </w:p>
    <w:p w:rsidR="001D6FAE" w:rsidRDefault="001D6FAE" w:rsidP="001D6FAE">
      <w:pPr>
        <w:pStyle w:val="TextoNormal"/>
      </w:pPr>
      <w:r w:rsidRPr="001D6FAE">
        <w:rPr>
          <w:rStyle w:val="NumeroAFNegritaCaracter"/>
        </w:rPr>
        <w:t>4</w:t>
      </w:r>
      <w:r>
        <w:t>. Por diligencia de ordenación de 9 de mayo de 2016 se acordó dar traslado del recurso de súplica al demandante, para que en el plazo de tres días alegara lo que estimase pertinente, de conformidad con el art. 93.2 LOTC. Su representación procesal presentó el 13 de mayo de 2016 escrito en el que se adhiere al recurso de súplica interpuesto por el Ministerio Fiscal.</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Ministerio Fiscal considera en su recurso de súplica que la Sección Primera de este Tribunal ha inadmitido indebidamente el recurso de amparo presentado por el actor. Según afirma, la providencia de 13 de abril de 2016 invocó a estos efectos la circunstancia prevista en los arts. 50.1 a) y 44.1 a) de la Ley Orgánica del Tribunal Constitucional (LOTC), entendiendo que el proceso judicial no había concluido. Entiende, en cambio, el Ministerio Fiscal que con el planteamiento del incidente de nulidad de actuaciones ha habido un correcto agotamiento de los medios de impugnación previstos para el caso concreto dentro de la vía judicial.</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Para resolver la impugnación efectuada por el Fiscal ante el Tribunal Constitucional debe tenerse en cuenta que ya en la página seis de la demanda de amparo núm. 6684-2015, registrada el 27 de noviembre de 2015, se advertía que se interponía el recurso de amparo </w:t>
      </w:r>
      <w:r w:rsidRPr="001D6FAE">
        <w:rPr>
          <w:i/>
        </w:rPr>
        <w:t>ad cautelam</w:t>
      </w:r>
      <w:r>
        <w:t>, estando pendiente de resolución por el Tribunal Supremo el incidente de nulidad interpuesto por la parte contra la Sentencia del Tribunal Supremo de 14 de septiembre de 2015. Posteriormente, mediante escrito registrado en este Tribunal el 28 de diciembre de 2015, la representación procesal del recurrente aportó copia del Auto del Tribunal Supremo de 17 de diciembre de 2015, en el que se acordaba no admitir el incidente de nulidad de actuaciones que había promovido el demandante mediante escrito de 9 de diciembre de 2015.</w:t>
      </w:r>
    </w:p>
    <w:p w:rsidR="001D6FAE" w:rsidRDefault="001D6FAE" w:rsidP="001D6FAE">
      <w:pPr>
        <w:pStyle w:val="TextoNormal"/>
      </w:pPr>
    </w:p>
    <w:p w:rsidR="001D6FAE" w:rsidRDefault="001D6FAE" w:rsidP="001D6FAE">
      <w:pPr>
        <w:pStyle w:val="TextoNormal"/>
      </w:pPr>
      <w:r>
        <w:t>A tenor de lo relatado, consta que el recurso de amparo fue interpuesto el 27 de noviembre de 2015 y, con posterioridad a esa fecha, el 9 de diciembre de 2015, el recurrente promovió incidente de nulidad de actuaciones contra la resolución impugnada en amparo. Esa sucesión temporal, donde primero se plantea la demanda de amparo y después el incidente de nulidad, fue la circunstancia que determinó que el presente recurso de amparo fuera reputado prematuro en la providencia ahora recurrida y no el planteamiento en sí del incidente, como parece sugerir el Ministerio Fiscal en su recurso de súplica.</w:t>
      </w:r>
    </w:p>
    <w:p w:rsidR="001D6FAE" w:rsidRDefault="001D6FAE" w:rsidP="001D6FAE">
      <w:pPr>
        <w:pStyle w:val="TextoNormal"/>
      </w:pPr>
    </w:p>
    <w:p w:rsidR="001D6FAE" w:rsidRDefault="001D6FAE" w:rsidP="001D6FAE">
      <w:pPr>
        <w:pStyle w:val="TextoNormal"/>
      </w:pPr>
      <w:r>
        <w:t>Como hemos recordado recientemente (STC 139/2014, de 8 de septiembre, FJ 3), en la STC 32/2010, de 8 de julio, FJ 2, afirmamos que “[e]ste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001D6FAE" w:rsidRDefault="001D6FAE" w:rsidP="001D6FAE">
      <w:pPr>
        <w:pStyle w:val="TextoNormal"/>
      </w:pPr>
    </w:p>
    <w:p w:rsidR="001D6FAE" w:rsidRDefault="001D6FAE" w:rsidP="001D6FAE">
      <w:pPr>
        <w:pStyle w:val="TextoNormal"/>
      </w:pPr>
      <w:r>
        <w:t>De acuerdo con lo expuesto, la providencia de 13 de abril de 2016 ahora recurrida resulta perfectamente ajustada a Derecho, ya que, tras la presentación de la demanda de amparo el 27 de noviembre de 2015, se reabrió la vía judicial durante la pendencia del proceso de amparo al presentarse el incidente de nulidad el 9 de diciembre de 2015. Esta actuación evidencia que, pese a que en el momento originario de interposición de la demanda de amparo pudiera entenderse objetivamente agotada la vía judicial ordinaria, la ulterior actitud procesal del demandante, quien decidió libremente reabrirla solicitando la nulidad de la Sentencia que previamente había impugnado mediante este recurso de amparo, determina que éste haya devenido inviable, pues, con independencia de la resolución final de los órganos judiciales ordinarios, el recurrente provocó la vedada coexistencia temporal del recurso de amparo y de la vía judicial ordinaria, desconociendo así la naturaleza estrictamente subsidiaria de este proceso constitucional. El proceso judicial no había, pues, concluido, siendo, por ello, la demanda de amparo inadmisible de acuerdo con lo dispuesto en los arts. 44.1 a) y 50.1 a) LOTC.</w:t>
      </w:r>
    </w:p>
    <w:p w:rsidR="001D6FAE" w:rsidRDefault="001D6FAE" w:rsidP="001D6FAE">
      <w:pPr>
        <w:pStyle w:val="TextoNormal"/>
      </w:pPr>
    </w:p>
    <w:p w:rsidR="001D6FAE" w:rsidRDefault="001D6FAE" w:rsidP="001D6FAE">
      <w:pPr>
        <w:pStyle w:val="TextoNormal"/>
      </w:pPr>
      <w:r w:rsidRPr="001D6FAE">
        <w:rPr>
          <w:rStyle w:val="NumeroAFNegritaCaracter"/>
        </w:rPr>
        <w:t>3</w:t>
      </w:r>
      <w:r>
        <w:t>. Procede, pues, desestimar el recurso de súplica del Ministerio Fiscal.</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Desestimar el recurso de súplica interpuesto por el Ministerio Fiscal contra la providencia de 13 de abril de 2016.</w:t>
      </w:r>
    </w:p>
    <w:p w:rsidR="001D6FAE" w:rsidRDefault="001D6FAE" w:rsidP="001D6FAE">
      <w:pPr>
        <w:pStyle w:val="TextoNormal"/>
      </w:pPr>
    </w:p>
    <w:p w:rsidR="001D6FAE" w:rsidRDefault="001D6FAE" w:rsidP="001D6FAE">
      <w:pPr>
        <w:pStyle w:val="TextoNormal"/>
      </w:pPr>
      <w:r>
        <w:t>Madrid, a seis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4" w:name="AUTO_2016_150"/>
      <w:r>
        <w:t>AUTO 150/2016, de 6 de septiembre de 2016</w:t>
      </w:r>
    </w:p>
    <w:bookmarkEnd w:id="124"/>
    <w:p w:rsidR="001D6FAE" w:rsidRDefault="001D6FAE" w:rsidP="001D6FAE">
      <w:pPr>
        <w:pStyle w:val="TtuloResolucin"/>
      </w:pPr>
      <w:r>
        <w:t>Sala Primera</w:t>
      </w:r>
    </w:p>
    <w:p w:rsidR="001D6FAE" w:rsidRDefault="001D6FAE" w:rsidP="001D6FAE">
      <w:pPr>
        <w:pStyle w:val="TextoNormalCentrado"/>
      </w:pPr>
      <w:r>
        <w:t>ECLI:ES:TC:2016:150A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don Andrés Ollero Tassara, don Santiago Martínez-Vares García y don Juan Antonio Xiol Ríos.</w:t>
      </w:r>
    </w:p>
    <w:p w:rsidR="001D6FAE" w:rsidRDefault="001D6FAE" w:rsidP="001D6FAE">
      <w:pPr>
        <w:pStyle w:val="SntesisDescriptiva"/>
      </w:pPr>
    </w:p>
    <w:p w:rsidR="001D6FAE" w:rsidRDefault="001D6FAE" w:rsidP="001D6FAE">
      <w:pPr>
        <w:pStyle w:val="SntesisDescriptiva"/>
      </w:pPr>
      <w:r>
        <w:t>Inadmite a trámite el recurso de amparo electoral 4692-2016, promovido por don Arnaldo Otegi Mondragón.</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4 de septiembre de 2016, el Procurador de los Tribunales don Javier Cuevas Rivas, en nombre y representación de don Arnaldo Otegi Mondragón interpuso recurso de amparo electoral contra el acuerdo de la Junta Electoral del Territorio Histórico de Gipuzkoa de 29 de agosto de 2016, que desestima el recurso de reposición interpuesto frente al acuerdo de dicha Junta 23 de agosto de 2016, excluyendo al hoy recurrente en amparo como candidato de la candidatura presentada por EH Bildu por el territorio histórico de Gipuzkoa para las elecciones al Parlamento Vasco del 25 de septiembre de 2016, así como frente a la Sentencia del Juzgado de lo Contencioso-Administrativo núm. 2 de Donostia de 2 de septiembre 2016.</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en los que se fundamenta la demanda son, sucintamente expuestos, los siguientes:</w:t>
      </w:r>
    </w:p>
    <w:p w:rsidR="001D6FAE" w:rsidRDefault="001D6FAE" w:rsidP="001D6FAE">
      <w:pPr>
        <w:pStyle w:val="TextoNormal"/>
      </w:pPr>
    </w:p>
    <w:p w:rsidR="001D6FAE" w:rsidRDefault="001D6FAE" w:rsidP="001D6FAE">
      <w:pPr>
        <w:pStyle w:val="TextoNormal"/>
      </w:pPr>
      <w:r>
        <w:t>El hoy recurrente en amparo integraba como candidato 01 la candidatura Euskal Herria Bildu (EH Bildu) por el territorio histórico de Gipuzkoa para las elecciones al Parlamento Vasco del 25 de septiembre de 2016 (publicada en el “•Boletín Oficial de País Vasco” de 24 de agosto de 2016 —“BOPV” núm. 160—).</w:t>
      </w:r>
    </w:p>
    <w:p w:rsidR="001D6FAE" w:rsidRDefault="001D6FAE" w:rsidP="001D6FAE">
      <w:pPr>
        <w:pStyle w:val="TextoNormal"/>
      </w:pPr>
    </w:p>
    <w:p w:rsidR="001D6FAE" w:rsidRDefault="001D6FAE" w:rsidP="001D6FAE">
      <w:pPr>
        <w:pStyle w:val="TextoNormal"/>
      </w:pPr>
      <w:r>
        <w:t>Mediante acuerdo de 23 de agosto de 2016 la Junta electoral del territorio histórico de Gipuzkoa puso en conocimiento del representante territorial de la candidatura de EH Bildu “la irregularidad advertida” en relación con el recurrente, “al encontrarse condenado a la pena de inhabilitación, para el ejercicio del derecho de sufragio pasivo, desde el 4/09/2014 hasta el 28/02/2021, conforme a la liquidación de Condena firme practicada en la Ejecutoria núm. 21/2012, dimanante del rollo núm. 95-2009, de la Sección Cuarta de la Audiencia Nacional, y de todo ello, se deduce que el candidato D. Arnaldo Otegi Mondragón, se encuentra incurso en la causa de inelegibilidad prevista en el art. 4.7 b de la Ley 5/1990, de 15 de junio, de Elecciones al Parlamento Vasco, en relación al art. 6.2 b de la ley Orgánica 5/1985, de Régimen Electoral General”.</w:t>
      </w:r>
    </w:p>
    <w:p w:rsidR="001D6FAE" w:rsidRDefault="001D6FAE" w:rsidP="001D6FAE">
      <w:pPr>
        <w:pStyle w:val="TextoNormal"/>
      </w:pPr>
    </w:p>
    <w:p w:rsidR="001D6FAE" w:rsidRDefault="001D6FAE" w:rsidP="001D6FAE">
      <w:pPr>
        <w:pStyle w:val="TextoNormal"/>
      </w:pPr>
      <w:r>
        <w:t>Interpuesto recurso de reposición contra el acuerdo de 23 de agosto citado, la Junta electoral dictó nuevo acuerdo de fecha 29 de agosto de 2016, desestimándolo y procediendo a la proclamación de la candidatura de EH Bildu, excluyendo de la misma al hoy recurrente en amparo como candidato, “quedando configurada la citada candidatura, con arreglo a lo dispuesto en el art. 65.2 ley 5/1990”. La relación de candidaturas proclamadas se publicó en el “Boletín Oficial del País Vasco” núm. 164, de 30 de agosto de 2016, conforme a lo establecido en dicha resolución.</w:t>
      </w:r>
    </w:p>
    <w:p w:rsidR="001D6FAE" w:rsidRDefault="001D6FAE" w:rsidP="001D6FAE">
      <w:pPr>
        <w:pStyle w:val="TextoNormal"/>
      </w:pPr>
    </w:p>
    <w:p w:rsidR="001D6FAE" w:rsidRDefault="001D6FAE" w:rsidP="001D6FAE">
      <w:pPr>
        <w:pStyle w:val="TextoNormal"/>
      </w:pPr>
      <w:r>
        <w:t>Frente a dicho acuerdo, se interpuso por parte de la representación procesal de don Arnaldo Otegi Mondragón recurso contencioso-administrativo ante el Juzgado de lo Contencioso-Administrativo núm. 2 de Donostia, alegando que la pena de inhabilitación para el ejercicio del derecho de sufragio pasivo debía considerarse extinguida pues, como pena accesoria de la pena de prisión de seis años y seis meses —que se había extinguido el día 1 de marzo de 2016— habría de correr la misma suerte que esta. El recurso fue desestimado por Sentencia de 2 de septiembre de 2016, notificada ese mismo día. En dicha resolución, comienza el Juzgado exponiendo los principales hitos del procedimiento de ejecución de la Sentencia de 16 de septiembre de 2011, de la Sala de lo Penal, Sección Cuarta, de la Audiencia Nacional, dictada en el rollo de Sala núm. 95-2009, por la que se condenaba al hoy recurrente en amparo como autor de un delito de pertenencia a organización terrorista, en grado de dirigente, a las penas de diez años de prisión e inhabilitación especial para el ejercicio del derecho de sufragio pasivo por igual tiempo y que fue revocada parcialmente por la Sentencia del Tribunal Supremo de 7 de mayo de 2012, reduciendo las condenas a seis años y medio, que adquirió firmeza por Auto de 23 de mayo de 2012. De su examen —muy particularmente, de la providencia de 24 de enero de 2013, por la que se aprueba la liquidación de condena de la pena de inhabilitación especial para el ejercicio del derecho de sufragio pasivo— extrae el órgano judicial, de un lado, que el cumplimiento efectivo de la pena de prisión y la de inhabilitación para el ejercicio del derecho de sufragio pasivo no coincide temporalmente porque hasta el 4 de septiembre de 2014 “el penado cumplía pena de inhabilitación absoluta derivada de la ejecutoria núm. 130/2007” de la Sección Tercera de la Sala de lo Penal de la Audiencia Nacional “y con fecha de cumplimiento de 28 de febrero de 2021”.Y de otro lado, señala que, a los efectos que aquí interesan, “la privación del derecho de sufragio pasivo representa una cuestión judicialmente agotada, al haberse examinado ante las instancias oportunas, y haber devenido firme y consentida por el propio recurrente, quien no la recurrió cuando tuvo la oportunidad procesal que el ordenamiento jurídico le otorgaba para hacerlo (y argumentos no le faltaban a la vista de las alegaciones esgrimidas en el seno de este procedimiento), debiendo desestimarse, en consecuencia, el presente recurso contencioso especial, sin necesidad de ulteriores argumentaciones”.</w:t>
      </w:r>
    </w:p>
    <w:p w:rsidR="001D6FAE" w:rsidRDefault="001D6FAE" w:rsidP="001D6FAE">
      <w:pPr>
        <w:pStyle w:val="TextoNormal"/>
      </w:pPr>
    </w:p>
    <w:p w:rsidR="001D6FAE" w:rsidRDefault="001D6FAE" w:rsidP="001D6FAE">
      <w:pPr>
        <w:pStyle w:val="TextoNormal"/>
      </w:pPr>
      <w:r w:rsidRPr="001D6FAE">
        <w:rPr>
          <w:rStyle w:val="NumeroAFNegritaCaracter"/>
        </w:rPr>
        <w:t>3</w:t>
      </w:r>
      <w:r>
        <w:t>. Las vulneraciones de derechos fundamentales alegadas son, de forma resumida, las siguientes:</w:t>
      </w:r>
    </w:p>
    <w:p w:rsidR="001D6FAE" w:rsidRDefault="001D6FAE" w:rsidP="001D6FAE">
      <w:pPr>
        <w:pStyle w:val="TextoNormal"/>
      </w:pPr>
    </w:p>
    <w:p w:rsidR="001D6FAE" w:rsidRDefault="001D6FAE" w:rsidP="001D6FAE">
      <w:pPr>
        <w:pStyle w:val="TextoNormal"/>
      </w:pPr>
      <w:r>
        <w:t>a) Infracción del derecho a la tutela judicial efectiva (art. 24.1 CE), en relación con el principio de legalidad penal consagrado en los artículos 9.3 y 25.1 CE y 7.1 del Convenio europeo para la protección de los derechos humanos y de las libertades fundamentales. Tal infracción se habría producido al considerar que la Sentencia recurrida priva al recurrente del derecho de sufragio pasivo, por entender que tal privación “representa una cuestión judicialmente agotada, al haberse examinado ante las instancias oportunas, y haber devenido firme y consentida por el propio recurrente, quien no la recurrió cuando tuvo la oportunidad que el ordenamiento jurídico le otorgaba para hacerlo”. De esta manera, el Juzgado declina entrar a analizar los motivos alegados en el escrito de recurso contencioso-administrativo, ignorando el principio de legalidad en la ejecución de las penas y el sometimiento que ello conlleva al cumplimiento, en sus estrictos términos, de la Sentencia de 16 de septiembre de 2011 de la Sala de lo Penal de la Audiencia Nacional en la que, de manera expresa e inequívoca, se otorga a la pena de inhabilitación especial para el ejercicio del derecho de sufragio pasivo la naturaleza de pena accesoria de la pena privativa de libertad. De acuerdo con dicha Sentencia, entiende el recurrente que el cumplimiento de la pena de privación del derecho de sufragio pasivo en este caso, como pena accesoria que es, se produjo “durante el tiempo de la condena” y se extinguió con ella el 1 de marzo de 2016. Por el contrario, la liquidación de condena aprobada en fase de ejecución de la Sentencia mediante providencia de 24 de enero de 2013, que fija la fecha de extinción de la pena privativa de derechos para el día 28 de febrero de 2021, altera el mandato de la citada Sentencia de la Audiencia Nacional, al efectuar el cómputo para su cumplimiento como si de una pena principal se tratara. Al respecto, señala el recurrente, que la citada providencia es una resolución judicial firme pero no intangible, no rigiendo para ella la eficacia de la cosa juzgada.</w:t>
      </w:r>
    </w:p>
    <w:p w:rsidR="001D6FAE" w:rsidRDefault="001D6FAE" w:rsidP="001D6FAE">
      <w:pPr>
        <w:pStyle w:val="TextoNormal"/>
      </w:pPr>
    </w:p>
    <w:p w:rsidR="001D6FAE" w:rsidRDefault="001D6FAE" w:rsidP="001D6FAE">
      <w:pPr>
        <w:pStyle w:val="TextoNormal"/>
      </w:pPr>
      <w:r>
        <w:t>De acuerdo con todo ello, entiende la representación procesal del Sr. Otegi que la cuestión de la naturaleza de la pena privativa de derechos impuesta y de su régimen legal son cuestiones cuyo examen es previo para poder enjuiciar desde una perspectiva constitucional la Sentencia objeto del presente recurso de amparo. A este respecto, recuerda —con cita de la STC 1/1997, de 13 de enero, FJ 4— que este Tribunal puede entrar a analizar la interpretación de los preceptos penales realizada por los órganos de la Jurisdicción ordinaria, entre otros supuestos, “cuando restringe indebidamente el libre ejercicio de los derechos fundamentales”'.</w:t>
      </w:r>
    </w:p>
    <w:p w:rsidR="001D6FAE" w:rsidRDefault="001D6FAE" w:rsidP="001D6FAE">
      <w:pPr>
        <w:pStyle w:val="TextoNormal"/>
      </w:pPr>
    </w:p>
    <w:p w:rsidR="001D6FAE" w:rsidRDefault="001D6FAE" w:rsidP="001D6FAE">
      <w:pPr>
        <w:pStyle w:val="TextoNormal"/>
      </w:pPr>
      <w:r>
        <w:t>Partiendo de ahí, de la lectura de las Sentencias recaídas en relación con el Sr. Otegi (cuyo cierre está constituido por la STS de 7 de mayo de 2012, que estimó parcialmente el recurso de casación interpuesto, entre otros, por su representación procesal contra la Sentencia de la Sala de lo Penal de la Audiencia Nacional de 16 de septiembre de 2011) y, conforme a lo establecido en el art. 56 Código penal (CP), se llega a la conclusión de que la pena de inhabilitación especial para el derecho de sufragio pasivo que le fue impuesta es una pena accesoria de la pena de prisión de seis años y seis meses y que su duración debe ser la del tiempo de esta última. Sin embargo, la liquidación aprobada por providencia de la Audiencia Nacional de 24 de enero de 2013 —que esta representación procesal reconoce no haber recurrido en tiempo y forma—, se realizó conjuntamente para las dos penas privativas de derechos impuestas al hoy recurrente en amparo (inhabilitación especial para el ejercicio del derecho de sufragio pasivo e inhabilitación especial para empleo o cargo público), sin tener en cuenta que la pena de inhabilitación especial para empleo o cargo público es pena principal (como figura expresamente en el art. 516.2 CP por el que se condenó al solicitante de amparo) y la inhabilitación especial para el ejercicio del derecho de sufragio pasivo es pena accesoria a la pena privativa de libertad. Tal proceder sería contrario a las exigencias derivadas de lo dispuesto en los arts. 9.3 y 25.1 CE, conforme a los cuales, el cumplimiento de las penas ha de llevarse a cabo con total sumisión a lo establecido en el Código penal y al contenido de la Sentencia correspondiente, como recuerda el tenor literal del art. 3.2 CP.</w:t>
      </w:r>
    </w:p>
    <w:p w:rsidR="001D6FAE" w:rsidRDefault="001D6FAE" w:rsidP="001D6FAE">
      <w:pPr>
        <w:pStyle w:val="TextoNormal"/>
      </w:pPr>
    </w:p>
    <w:p w:rsidR="001D6FAE" w:rsidRDefault="001D6FAE" w:rsidP="001D6FAE">
      <w:pPr>
        <w:pStyle w:val="TextoNormal"/>
      </w:pPr>
      <w:r>
        <w:t>Ataca la representación procesal del recurrente, a continuación, la condición de firmeza de la liquidación de condena practicada, pues de acuerdo con la jurisprudencia del Tribunal Supremo y la doctrina constitucional, a este tipo de resoluciones no les alcanza dicha eficacia. En este sentido, concluye señalando —con cita de lo expresado en la STC 27/1998, de 27 de enero, FJ 3, en relación a una infracción de lo dispuesto en el art. 23.2 CE— que “el aquietamiento ante una infracción de la legalidad no impide que pueda obtenerse la reparación de una ulterior lesión con relevancia constitucional”.</w:t>
      </w:r>
    </w:p>
    <w:p w:rsidR="001D6FAE" w:rsidRDefault="001D6FAE" w:rsidP="001D6FAE">
      <w:pPr>
        <w:pStyle w:val="TextoNormal"/>
      </w:pPr>
    </w:p>
    <w:p w:rsidR="001D6FAE" w:rsidRDefault="001D6FAE" w:rsidP="001D6FAE">
      <w:pPr>
        <w:pStyle w:val="TextoNormal"/>
      </w:pPr>
      <w:r>
        <w:t>Con cita de los arts. 54 y siguientes, 32, 79 y 33.6 CP, se mantiene que sea cual sea la duración de una pena privativa de derechos, cuando funciona como accesoria su duración será lo que dure la principal, salvo en los casos en que se disponga otra cosa en el Código penal (art. 33.6 CP). Las penas accesorias —se abunda— no solo durarían lo que dura la principal, sino que se cumplen simultáneamente. Por tanto, en este caso, la extinción sería, por remisión, la correspondiente a la pena de prisión. A título de ejemplo, se acompañan las liquidaciones de condena realizadas en la misma causa penal a las otras cuatro personas condenadas, a las que se impusieron las mismas clases de penas, practicándoseles solamente la liquidación de la pena de inhabilitación especial para empleo o cargo público, al ser pena principal, entendiéndose que la pena accesoria (la inhabilitación especial para el derecho de sufragio) se extinguiría con la pena de prisión. Esta idea se refuerza con la cita de distintos preceptos legales que pondrían de manifiesto la relación de accesoriedad de la inhabilitación especial para el ejercicio del derecho de sufragio pasivo respecto a la pena privativa de libertad [arts. 39 b); 44; 56.1 CP y 6.2 a) y 137 de la Ley Orgánica del régimen electoral general: LOREG], así como de la jurisprudencia del Tribunal Supremo en relación con dicha pena accesoria (se citan, entre otras, las SSTS de 19 de diciembre de 1994, FJ 2; 20 de mayo de 1993, FJ 4; y los AATS de 29 de febrero de 2016 y de 11 de septiembre de 2008).</w:t>
      </w:r>
    </w:p>
    <w:p w:rsidR="001D6FAE" w:rsidRDefault="001D6FAE" w:rsidP="001D6FAE">
      <w:pPr>
        <w:pStyle w:val="TextoNormal"/>
      </w:pPr>
    </w:p>
    <w:p w:rsidR="001D6FAE" w:rsidRDefault="001D6FAE" w:rsidP="001D6FAE">
      <w:pPr>
        <w:pStyle w:val="TextoNormal"/>
      </w:pPr>
      <w:r>
        <w:t>El hecho de que en este caso se diera a la pena accesoria un tratamiento distinto al otorgado a la pena principal, determinándose que su extinción, en lugar de producirse con la de esta última —el día 1 de marzo de 2016—, se produciría el 28 de febrero de 2021 (esto es, cinco años después) supondría una modificación de la naturaleza accesoria de la pena de inhabilitación especial para el ejercicio del derecho de sufragio pasivo, tal y como fue establecida en la sentencia la Sección Cuarta de la Audiencia Nacional, así como una infracción de la regla general sobre el cumplimiento simultáneo de las penas contenido en el art. 73 CP.</w:t>
      </w:r>
    </w:p>
    <w:p w:rsidR="001D6FAE" w:rsidRDefault="001D6FAE" w:rsidP="001D6FAE">
      <w:pPr>
        <w:pStyle w:val="TextoNormal"/>
      </w:pPr>
    </w:p>
    <w:p w:rsidR="001D6FAE" w:rsidRDefault="001D6FAE" w:rsidP="001D6FAE">
      <w:pPr>
        <w:pStyle w:val="TextoNormal"/>
      </w:pPr>
      <w:r>
        <w:t xml:space="preserve">b) Como consecuencia de todo lo dicho anteriormente, considera el recurrente que se ha producido también una infracción del derecho a acceder en condiciones de igualdad a los cargos públicos en su vertiente del ejercicio del derecho de sufragio pasivo art. 23.2 CE. En apoyo de esta alegación, se señalan algunos aspectos generales que esta representación procesal considera de interés, respecto a la doctrina sentada por este Tribunal en relación con los derechos contenidos en el art. 23 CE y, en particular, los de su apartado segundo. Sobre esa base, se señala que la elegibilidad es un derecho de quienes gozan ya de la capacidad jurídica para ser electores, que viene configurado negativamente por las leyes que fijan las causas de inelegibilidad, de manera que no puede negarse esa capacidad para ser elegible a quien, estando en pleno uso de sus derechos políticos, no está incurso en ninguna causa de inelegibilidad, so pena de infringir el art. 23.2 C.E. (STC 144/1999, de 22 de julio, FJ 6). La inelegibilidad definida por la Ley Orgánica del régimen electoral general delimita el derecho, de modo que será ella, en tanto respete el contenido esencial, la decisiva para conocer si se ha producido una privación del derecho electoral pasivo. Las causas de inelegibilidad recogidas en el art. 6.2 LOREG, o en la legislación electoral autonómica, no son </w:t>
      </w:r>
      <w:r w:rsidRPr="001D6FAE">
        <w:rPr>
          <w:i/>
        </w:rPr>
        <w:t>numerus clausus</w:t>
      </w:r>
      <w:r>
        <w:t xml:space="preserve"> sino que hay que añadir las derivadas de determinadas penas previstas en el Código penal, las cuales deberán de ser interpretadas siempre dentro del marco constitucional.</w:t>
      </w:r>
    </w:p>
    <w:p w:rsidR="001D6FAE" w:rsidRDefault="001D6FAE" w:rsidP="001D6FAE">
      <w:pPr>
        <w:pStyle w:val="TextoNormal"/>
      </w:pPr>
    </w:p>
    <w:p w:rsidR="001D6FAE" w:rsidRDefault="001D6FAE" w:rsidP="001D6FAE">
      <w:pPr>
        <w:pStyle w:val="TextoNormal"/>
      </w:pPr>
      <w:r>
        <w:t>En todo caso —continua esta parte procesal—, no cabe la posibilidad de interpretar extensivamente la formulación legal de las causas de inelegibilidad (STC 28/1986, de 20 de febrero, FJ 4). O dicho en otros términos, no cabe reducir materialmente el ámbito del derecho reconocido en el art. 23.2 CE a través de restricciones no previstas formalmente en la norma, pues la previsibilidad de esas limitaciones constituye una de las primeras exigencias dimanantes del mismo (STC 49/1999. de 5 de abril, FJ 5). Y esto es lo que habría ocurrido en el presente supuesto, pues, frente a la efectividad del derecho fundamental del art. 23.2 CE, se antepone una liquidación de condena que además de no gozar del efecto de cosa juzgada —según se razona en el motivo anterior—, se ha efectuado conjuntamente con una pena principal (inhabilitación especial para empleo o cargo público), dándole el mismo tratamiento que a ésta, alterando su carácter accesorio y produciendo el efecto de que finalmente esa pena no se ejecute “durante el tiempo de la condena” —mandato legal de significado y alcance indiscutible para el recurrente—, sino que su extinción se producirá cinco años después de haber finalizado el cumplimiento de la pena privativa de libertad, a pesar de que fue la razón y origen de su imposición y a ella debe ir anudada hasta su completa ejecución. Ello comporta una agravación punitiva para el recurrente.</w:t>
      </w:r>
    </w:p>
    <w:p w:rsidR="001D6FAE" w:rsidRDefault="001D6FAE" w:rsidP="001D6FAE">
      <w:pPr>
        <w:pStyle w:val="TextoNormal"/>
      </w:pPr>
    </w:p>
    <w:p w:rsidR="001D6FAE" w:rsidRDefault="001D6FAE" w:rsidP="001D6FAE">
      <w:pPr>
        <w:pStyle w:val="TextoNormal"/>
      </w:pPr>
      <w:r>
        <w:t>Es desde esa perspectiva —se afirma— desde la que debe examinarse este amparo electoral, pues el contenido del derecho fundamental del art. 23.2 CE se constituye en límite de las actuaciones judiciales. De acuerdo con las consideraciones ya realizadas en el motivo anterior, se entiende que en este caso se ha producido un cambio drástico en los parámetros del cómputo de la pena de inhabilitación especial para el ejercicio del derecho de sufragio pasivo que está prevista legalmente, que supone una extensión de la formulación legal contenida en el art. 561.1.2 CP, que la hace imprevisible en sentido restrictivo y desfavorable al ejercicio del derecho fundamental del art. 23.2 CE del recurrente. En definitiva, la sentencia del Juzgado de lo Contencioso-Administrativo núm. 2 de Donostia restringiría indebidamente el libre ejercido del derecho de participación política de don Arnaldo Otegi Mondragón, en su vertiente de ejercicio de sufragio pasivo.</w:t>
      </w:r>
    </w:p>
    <w:p w:rsidR="001D6FAE" w:rsidRDefault="001D6FAE" w:rsidP="001D6FAE">
      <w:pPr>
        <w:pStyle w:val="TextoNormal"/>
      </w:pPr>
    </w:p>
    <w:p w:rsidR="001D6FAE" w:rsidRDefault="001D6FAE" w:rsidP="001D6FAE">
      <w:pPr>
        <w:pStyle w:val="TextoNormal"/>
      </w:pPr>
      <w:r>
        <w:t>Concluye su escrito el recurrente señalando —a mayor abundamiento— que, afectando la cuestión planteada a derechos fundamentales tan relevantes para la integración y participación en la vida social como el derecho de sufragio pasivo y el derecho a acceso a cargos públicos (art. 23.2 CE), es preciso realizar una interpretación favorecedora de la resocialización de los penados (art. 25.2 CE) que, por lo demás, se halla presente en el propio fundamento jurídico-criminal de la pena de inhabilitación especial para el derecho de sufragio pasivo, cual es la incompatibilidad material entre condena de prisión y desempeño de cargo público.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De conformidad con lo dispuesto en el art. 49.1 de la Ley Orgánica del régimen electoral general (LOREG), y de acuerdo también con una consolidada doctrina constitucional, constituyen posible objeto de un recurso de amparo electoral los acuerdos de las juntas electorales sobre proclamación de candidaturas y candidatos y las resoluciones jurisdiccionales dictadas por los órganos judiciales en cada caso competentes para resolver los recursos contencioso-electorales que se promuevan contra aquellos acuerdos (SSTC, entre otras, 78/1987, de 26 de mayo, FJ 2; 160/1989, de 10 de octubre, FJ 1; 26/2000, de 26 de febrero, FF JJ 1 y 2, y 49/2004, de 30 de marzo, FJ 1).</w:t>
      </w:r>
    </w:p>
    <w:p w:rsidR="001D6FAE" w:rsidRDefault="001D6FAE" w:rsidP="001D6FAE">
      <w:pPr>
        <w:pStyle w:val="TextoNormal"/>
      </w:pPr>
    </w:p>
    <w:p w:rsidR="001D6FAE" w:rsidRDefault="001D6FAE" w:rsidP="001D6FAE">
      <w:pPr>
        <w:pStyle w:val="TextoNormal"/>
      </w:pPr>
      <w:r>
        <w:t>Así pues, las únicas decisiones susceptibles de impugnación en el presente recurso del amparo electoral, y, que, por consiguiente, constituyen su exclusivo objeto, son el acuerdo de la Junta electoral del territorio histórico de Guipúzcoa, de 29 de agosto de 2016, que excluyó al recurrente en amparo, don Arnaldo Otegui Mondragón, como candidato de la candidatura presentada por Euskal Herria Bildu (EH Bildu) en el territorio histórico de Guipúzcoa a las elecciones al Parlamento Vasco a celebrar el próximo día 25 de septiembre, por encontrase incurso en la causa de inelegibilidad prevista en el art. 4.7 b) de la Ley 5/1990, de 15 de junio, de elecciones al Parlamento Vasco, en relación con el art. 6.2 b) de la Ley Orgánica 5/1985, de 19 de junio, de régimen electoral general, y la Sentencia del Juzgado de lo Contencioso-Administrativo núm. 2 de San Sebastián, de 2 de septiembre de 2016, que desestimó el recurso contencioso-electoral interpuesto por el ahora recurrente en amparo contra aquel acuerdo de la Junta Electoral del Territorio Histórico de Guipúzcoa.</w:t>
      </w:r>
    </w:p>
    <w:p w:rsidR="001D6FAE" w:rsidRDefault="001D6FAE" w:rsidP="001D6FAE">
      <w:pPr>
        <w:pStyle w:val="TextoNormal"/>
      </w:pPr>
    </w:p>
    <w:p w:rsidR="001D6FAE" w:rsidRDefault="001D6FAE" w:rsidP="001D6FAE">
      <w:pPr>
        <w:pStyle w:val="TextoNormal"/>
      </w:pPr>
      <w:r w:rsidRPr="001D6FAE">
        <w:rPr>
          <w:rStyle w:val="NumeroAFNegritaCaracter"/>
        </w:rPr>
        <w:t>2</w:t>
      </w:r>
      <w:r>
        <w:t>. La Junta Electoral fundó la decisión de excluir al recurrente en amparo como candidato, tras conferir a la formación política que presentó la candidatura el plazo de subsanación legalmente previsto (art. 47 LOREG), sin que por parte de dicha formación política se procediera a la subsanación requerida, en que el candidato se encontraba condenado entre otras penas, a los efectos que a este recurso de amparo interesan, a la de inhabilitación para el ejercicio del derecho de sufragio pasivo, habiéndose establecido por la Sección Cuarta de la Sala de lo Penal de la Audiencia Nacional, por providencia de 24 de enero de 2013, periodo de liquidación de aquella pena con fecha de comienzo el día 4 de septiembre de 2014 y con fecha de cumplimiento el día 28 de febrero de 2021. El Juzgado de lo Contencioso-Administrativo núm. 2 de San Sebastián, como se ha dejado constancia en los antecedentes, desestimó el recurso contencioso-electoral promovido por el solicitante de amparo contra el acuerdo de la Junta Electoral, confirmando éste en su integridad.</w:t>
      </w:r>
    </w:p>
    <w:p w:rsidR="001D6FAE" w:rsidRDefault="001D6FAE" w:rsidP="001D6FAE">
      <w:pPr>
        <w:pStyle w:val="TextoNormal"/>
      </w:pPr>
    </w:p>
    <w:p w:rsidR="001D6FAE" w:rsidRDefault="001D6FAE" w:rsidP="001D6FAE">
      <w:pPr>
        <w:pStyle w:val="TextoNormal"/>
      </w:pPr>
      <w:r w:rsidRPr="001D6FAE">
        <w:rPr>
          <w:rStyle w:val="NumeroAFNegritaCaracter"/>
        </w:rPr>
        <w:t>3</w:t>
      </w:r>
      <w:r>
        <w:t>. El ahora recurrente en amparo se aquietó y consintió en su momento en el orden jurisdiccional penal, en lo que a la liquidación señalada para la pena de inhabilitación para el ejercicio del derecho de sufragio pasivo se refiere, la providencia de 24 de enero de 2013, que devino firme. Providencia que en todo caso, ante las alegaciones que respecto a la liquidación de la condena practicada se efectúan en la demanda de amparo, no puede ser en modo alguno objeto del presente recurso de amparo electoral, ni, al no ser la jurisdicción contencioso-administrativa la competente para determinar el cumplimiento de las penas y su liquidación, podía haber sido objeto del proceso contencioso electoral que el demandante en amparo promovió contra el acuerdo de la Junta Electoral que le excluyó como candidato a las elecciones al Parlamento Vasco por el territorio histórico de Guipúzcoa.</w:t>
      </w:r>
    </w:p>
    <w:p w:rsidR="001D6FAE" w:rsidRDefault="001D6FAE" w:rsidP="001D6FAE">
      <w:pPr>
        <w:pStyle w:val="TextoNormal"/>
      </w:pPr>
    </w:p>
    <w:p w:rsidR="001D6FAE" w:rsidRDefault="001D6FAE" w:rsidP="001D6FAE">
      <w:pPr>
        <w:pStyle w:val="TextoNormal"/>
      </w:pPr>
      <w:r>
        <w:t>Así las cosas, como evidentemente lo son, ninguna vulneración de los derechos fundamentales invocados en la demanda de amparo, y en concreto, del derecho de acceso a los cargos públicos que proclama el art. 23.2 CE, cabe imputar al acuerdo de la Junta electoral que excluyó como candidato al recurrente por encontrase incurso en una causa de inelegibilidad legalmente prevista, en virtud de una resolución judicial firme —providencia de 24 de enero de 2013— recaía en la ejecutoria del proceso penal en el que fue condenado, pues la Junta electoral estaba compelida a dar cumplimiento (art. 118 CE) a aquella resolución judicial determinante de la causa de inelegibilidad apreciada. Ni tampoco cabe formular reproche alguno a la Sentencia del Juzgado de lo Contencioso-Administrativo núm. 2 de San Sebastián, que desestimó el recurso contencioso-electoral promovido por el recurrente en amparo contra el acuerdo de la Junta Electoral, que vino a confirmar, pues, en el ejercicio de la función jurisdiccional encomendada por la Ley Orgánica del régimen electoral general (art. 49.1 LOREG) y en el ámbito de las competencias de la jurisdicción contencioso-administrativa (art. 24 de la Ley Orgánica del Poder Judicial), el objeto del proceso contencioso-electoral no era otro que determinar la conformidad o no con el Ordenamiento jurídico del acuerdo recurrido, sin que en ningún caso pudiera extenderse el Juzgado de lo Contencioso-Administrativo a enjuiciar o revisar la resolución judicial dictada por el órgano jurisdiccional penal respecto a la liquidación de condena de la pena de inhabilitación para el ejercicio del derecho de sufragio pasivo.</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el presente recurso de amparo.</w:t>
      </w:r>
    </w:p>
    <w:p w:rsidR="001D6FAE" w:rsidRDefault="001D6FAE" w:rsidP="001D6FAE">
      <w:pPr>
        <w:pStyle w:val="TextoNormal"/>
      </w:pPr>
    </w:p>
    <w:p w:rsidR="001D6FAE" w:rsidRDefault="001D6FAE" w:rsidP="001D6FAE">
      <w:pPr>
        <w:pStyle w:val="TextoNormal"/>
      </w:pPr>
      <w:r>
        <w:t>Madrid, a seis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5" w:name="AUTO_2016_151"/>
      <w:r>
        <w:t>AUTO 151/2016, de 12 de septiembre de 2016</w:t>
      </w:r>
    </w:p>
    <w:bookmarkEnd w:id="125"/>
    <w:p w:rsidR="001D6FAE" w:rsidRDefault="001D6FAE" w:rsidP="001D6FAE">
      <w:pPr>
        <w:pStyle w:val="TtuloResolucin"/>
      </w:pPr>
      <w:r>
        <w:t>Sección Tercera</w:t>
      </w:r>
    </w:p>
    <w:p w:rsidR="001D6FAE" w:rsidRDefault="001D6FAE" w:rsidP="001D6FAE">
      <w:pPr>
        <w:pStyle w:val="TextoNormalCentrado"/>
      </w:pPr>
      <w:r>
        <w:t>ECLI:ES:TC:2016:151A</w:t>
      </w:r>
    </w:p>
    <w:p w:rsidR="001D6FAE" w:rsidRDefault="001D6FAE" w:rsidP="001D6FAE">
      <w:pPr>
        <w:pStyle w:val="TextoNormalCentrado"/>
      </w:pPr>
    </w:p>
    <w:p w:rsidR="001D6FAE" w:rsidRDefault="001D6FAE" w:rsidP="001D6FAE">
      <w:pPr>
        <w:pStyle w:val="SntesisDescriptiva"/>
      </w:pPr>
      <w:r>
        <w:t>Excms. Srs. doña Adela Asua Batarrita, don Juan José González Rivas y don Pedro José González-Trevijano Sánchez.</w:t>
      </w:r>
    </w:p>
    <w:p w:rsidR="001D6FAE" w:rsidRDefault="001D6FAE" w:rsidP="001D6FAE">
      <w:pPr>
        <w:pStyle w:val="SntesisDescriptiva"/>
      </w:pPr>
    </w:p>
    <w:p w:rsidR="001D6FAE" w:rsidRDefault="001D6FAE" w:rsidP="001D6FAE">
      <w:pPr>
        <w:pStyle w:val="SntesisDescriptiva"/>
      </w:pPr>
      <w:r>
        <w:t>Desestima el recurso de súplica del Ministerio Fiscal sobre inadmisión del recurso de amparo 4878-2015, promovido por don Luis Martínez Bautista en causa penal.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3 de septiembre de 2015, el Ilustre Colegio de Abogados de Madrid informaba de la solicitud de asistencia jurídica gratuita promovida el 27 de julio de 2015 por don Luis Martínez Bautista, con el fin de interponer recurso de amparo frente al Auto dictado con fecha 6 de julio de 2015 por el Juzgado de Instrucción núm. 17 de Valencia, en el seno del procedimiento judicial de impugnación de justicia gratuita núm. 2-2015.</w:t>
      </w:r>
    </w:p>
    <w:p w:rsidR="001D6FAE" w:rsidRDefault="001D6FAE" w:rsidP="001D6FAE">
      <w:pPr>
        <w:pStyle w:val="TextoNormal"/>
      </w:pPr>
    </w:p>
    <w:p w:rsidR="001D6FAE" w:rsidRDefault="001D6FAE" w:rsidP="001D6FAE">
      <w:pPr>
        <w:pStyle w:val="TextoNormal"/>
      </w:pPr>
      <w:r w:rsidRPr="001D6FAE">
        <w:rPr>
          <w:rStyle w:val="NumeroAFNegritaCaracter"/>
        </w:rPr>
        <w:t>2</w:t>
      </w:r>
      <w:r>
        <w:t>. Tras los trámites oportunos, por escrito registrado en este Tribunal el 11 de diciembre de 2015 la Procuradora de los Tribunales doña María de los Ángeles Sánchez Fernández, designada de oficio en representación del demandante de amparo don Luis Martínez Bautista, y bajo la dirección de la Letrada doña Susana Grande Flores, presentó demanda de amparo contra el señalado Auto, por el que se mantiene la resolución dictada por la Comisión de Asistencia Jurídica Gratuita, desestimatoria de su petición, conforme al acuerdo adoptado en reunión de 29 de abril de 2015 en el expediente núm. 21239-2015.</w:t>
      </w:r>
    </w:p>
    <w:p w:rsidR="001D6FAE" w:rsidRDefault="001D6FAE" w:rsidP="001D6FAE">
      <w:pPr>
        <w:pStyle w:val="TextoNormal"/>
      </w:pPr>
    </w:p>
    <w:p w:rsidR="001D6FAE" w:rsidRDefault="001D6FAE" w:rsidP="001D6FAE">
      <w:pPr>
        <w:pStyle w:val="TextoNormal"/>
      </w:pPr>
      <w:r w:rsidRPr="001D6FAE">
        <w:rPr>
          <w:rStyle w:val="NumeroAFNegritaCaracter"/>
        </w:rPr>
        <w:t>3</w:t>
      </w:r>
      <w:r>
        <w:t>. En la demanda, que invoca el derecho a la tutela judicial efectiva (art. 24.1 CE), se sostiene que el órgano judicial confirmó la denegación del derecho a obtener asistencia jurídica gratuita sin aportar una motivación válida, en tanto que se basa en un abuso de derecho en el que el demandante no ha incurrido, pues solamente pretendía litigar para obtener una adecuada tutela de sus derechos e intereses legítimos; careciendo de recursos económicos, fue por lo que solicitó la justicia gratuita. Se invoca, asimismo, el derecho a la igualdad en la aplicación de la ley (art. 14 CE), en el entendimiento de que, al no reconocerle tal derecho a la justicia gratuita, se genera una situación de desigualdad ante situaciones jurídicas idénticas, sin justificación objetiva y razonable, dado que el demandante ha formulado numerosas solicitudes de este tipo y en algunas ocasiones se le ha reconocido dicha asistencia.</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providencia de 1 de marzo de 2016, la Sección Tercera de este Tribunal acordó no admitir a trámite el recurso, con arreglo a lo previsto en el art. 50.1 a) de la Ley Orgánica del Tribunal Constitucional, dada la inexistencia de violación de un derecho fundamental tutelable en amparo.</w:t>
      </w:r>
    </w:p>
    <w:p w:rsidR="001D6FAE" w:rsidRDefault="001D6FAE" w:rsidP="001D6FAE">
      <w:pPr>
        <w:pStyle w:val="TextoNormal"/>
      </w:pPr>
    </w:p>
    <w:p w:rsidR="001D6FAE" w:rsidRDefault="001D6FAE" w:rsidP="001D6FAE">
      <w:pPr>
        <w:pStyle w:val="TextoNormal"/>
      </w:pPr>
      <w:r w:rsidRPr="001D6FAE">
        <w:rPr>
          <w:rStyle w:val="NumeroAFNegritaCaracter"/>
        </w:rPr>
        <w:t>5</w:t>
      </w:r>
      <w:r>
        <w:t>. Por escrito registrado el 6 de abril de 2016, el Ministerio Fiscal interpuso recurso de súplica contra dicha providencia, estimando lesionado el derecho a la tutela judicial efectiva del demandante, en su vertiente de acceso a la jurisdicción, por cuanto la resolución combatida se limita a rechazar la solicitud de asistencia jurídica gratuita sobre la base de un supuesto abuso de derecho que se sustenta, fácticamente, en el número de solicitudes de esta naturaleza anteriormente cursadas por el mismo demandante, lo cual conculcaría la doctrina de este Tribunal en materia de motivación. A ello añade que, por providencia de la Sala Segunda de este Tribunal Constitucional de fecha 3 de noviembre de 2015, fue admitida a trámite la demanda de amparo núm. 1398-2015, que plantea un supuesto similar al aquí discutido.</w:t>
      </w:r>
    </w:p>
    <w:p w:rsidR="001D6FAE" w:rsidRDefault="001D6FAE" w:rsidP="001D6FAE">
      <w:pPr>
        <w:pStyle w:val="TextoNormal"/>
      </w:pPr>
    </w:p>
    <w:p w:rsidR="001D6FAE" w:rsidRDefault="001D6FAE" w:rsidP="001D6FAE">
      <w:pPr>
        <w:pStyle w:val="TextoNormal"/>
      </w:pPr>
      <w:r w:rsidRPr="001D6FAE">
        <w:rPr>
          <w:rStyle w:val="NumeroAFNegritaCaracter"/>
        </w:rPr>
        <w:t>6</w:t>
      </w:r>
      <w:r>
        <w:t>. Por diligencia de ordenación de 7 de abril de 2016, la Secretaría de Justicia de la Sección Tercera de este Tribunal acordó dar traslado del recurso de súplica a las demás partes para alegaciones, habiendo presentado escrito el demandante de amparo el pasado 28 de abril de 2016, por el que muestra su adhesión al recurso formulado, abundando en los argumentos por los que considera vulnerados los derechos invocados.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El Ministerio Fiscal sustenta su recurso de súplica, por un lado, en la conculcación del derecho a la tutela judicial efectiva en que estaría incursa la resolución judicial combatida en la demanda, al motivar la decisión última bajo parámetros contrarios a la doctrina de este Tribunal; por otro, en la identidad sustancial de la presente demanda y la registrada con núm. 1398-2015, que, a diferencia de ésta, fue admitida a trámite.</w:t>
      </w:r>
    </w:p>
    <w:p w:rsidR="001D6FAE" w:rsidRDefault="001D6FAE" w:rsidP="001D6FAE">
      <w:pPr>
        <w:pStyle w:val="TextoNormal"/>
      </w:pPr>
    </w:p>
    <w:p w:rsidR="001D6FAE" w:rsidRDefault="001D6FAE" w:rsidP="001D6FAE">
      <w:pPr>
        <w:pStyle w:val="TextoNormal"/>
      </w:pPr>
      <w:r>
        <w:t>a) Comenzaremos por la remisión que efectúa el Fiscal al recurso de amparo núm. 1398-2015, apuntando a la identidad sustancial entre ambos como fundamento de la estimación de la súplica. Cierto es que dicho recurso fue admitido por este Tribunal el pasado mes de noviembre de 2015. Se apreciaron entonces como razones de especial trascendencia constitucional (art. 50.1 de la Ley Orgánica del Tribunal Constitucional) que abonaban la admisión, que el recurso podía dar ocasión al Tribunal para aclarar o cambiar su doctrina como consecuencia de un proceso de reflexión interna [STC 155/2009, FJ 2 b)], y que el órgano judicial podía haber incurrido en una negativa manifiesta del deber de acatamiento de la doctrina de este Tribunal [STC 155/2009, FJ 2 f)].</w:t>
      </w:r>
    </w:p>
    <w:p w:rsidR="001D6FAE" w:rsidRDefault="001D6FAE" w:rsidP="001D6FAE">
      <w:pPr>
        <w:pStyle w:val="TextoNormal"/>
      </w:pPr>
    </w:p>
    <w:p w:rsidR="001D6FAE" w:rsidRDefault="001D6FAE" w:rsidP="001D6FAE">
      <w:pPr>
        <w:pStyle w:val="TextoNormal"/>
      </w:pPr>
      <w:r>
        <w:t>No obstante, el recurso de amparo núm. 1398-2015 ha sido finalmente inadmitido por este Tribunal en la reciente STC 94/2016, de 9 de mayo, basándose la inadmisión sobrevenida en la extemporaneidad del recurso, por las razones de fondo que allí se exponen. Tal pronunciamiento acoge, de hecho, la posición defendida con carácter principal por el Ministerio Fiscal en aquel proceso constitucional, que opuso a la admisión del recurso su extemporaneidad, mostrándose favorable a la estimación de la demanda de amparo sólo con carácter subsidiario.</w:t>
      </w:r>
    </w:p>
    <w:p w:rsidR="001D6FAE" w:rsidRDefault="001D6FAE" w:rsidP="001D6FAE">
      <w:pPr>
        <w:pStyle w:val="TextoNormal"/>
      </w:pPr>
    </w:p>
    <w:p w:rsidR="001D6FAE" w:rsidRDefault="001D6FAE" w:rsidP="001D6FAE">
      <w:pPr>
        <w:pStyle w:val="TextoNormal"/>
      </w:pPr>
      <w:r>
        <w:t>Al respecto, es doctrina de este Tribunal que la inicial admisión de la demanda no es obstáculo para abordar o reconsiderar en Sentencia la concurrencia de los requisitos procesales (SSTC 19/2014, de 10 de febrero, FJ 2, o 69/2011, de 16 de mayo, FJ 2). En este sentido, este Tribunal tiene declarado de modo constante que los defectos insubsanables de que pudiera estar afectado el recurso de amparo no devienen sanados por el hecho de que haya sido inicialmente admitido a trámite, de forma que la comprobación de los presupuestos procesales para la viabilidad de la acción pueden abordarse o reconsiderarse en la Sentencia, de oficio o a instancia de parte, dando lugar en su caso a un pronunciamiento de inadmisión por la falta de tales presupuestos, y sin que sea obstáculo para ello el carácter tasado de los pronunciamientos previstos en el art. 53 LOTC (por todas, SSTC 24/2016, de 15 de febrero, FJ único; 118/2014, de 8 de julio, FJ 2; 19/2014, de 10 de febrero, FJ 2; 69/2011, de 16 de mayo, FJ 2; 33/2011, de 28 de marzo, FJ 2, o 71/2009, de 23 de marzo, FJ 2).</w:t>
      </w:r>
    </w:p>
    <w:p w:rsidR="001D6FAE" w:rsidRDefault="001D6FAE" w:rsidP="001D6FAE">
      <w:pPr>
        <w:pStyle w:val="TextoNormal"/>
      </w:pPr>
    </w:p>
    <w:p w:rsidR="001D6FAE" w:rsidRDefault="001D6FAE" w:rsidP="001D6FAE">
      <w:pPr>
        <w:pStyle w:val="TextoNormal"/>
      </w:pPr>
      <w:r>
        <w:t xml:space="preserve">En tal contexto, deviene imposible el examen paralelo de ambos recursos pretendido por el Ministerio Fiscal, en la medida en que la cuestión de fondo planteada en el núm. 1398-2015 no ha sido finalmente abordada, tras constatarse el señalado óbice procesal. Cualquier efecto o incidencia que, en la tesis del Fiscal recurrente, pudiera anudarse a la inicial admisión de aquel recurso respecto del actualmente ventilado resulta así inviable, al no existir término válido de comparación vinculado a los derechos fundamentales sobre los que en este caso se proyecta el amparo. Se observa, además, la coincidente invocación en ambos casos del derecho a la tutela judicial efectiva, no así del derecho a la igualdad, por lo que el pretendido paralelismo de fondo tampoco </w:t>
      </w:r>
      <w:r w:rsidRPr="001D6FAE">
        <w:rPr>
          <w:i/>
        </w:rPr>
        <w:t>a priori</w:t>
      </w:r>
      <w:r>
        <w:t xml:space="preserve"> se mostraría pleno.</w:t>
      </w:r>
    </w:p>
    <w:p w:rsidR="001D6FAE" w:rsidRDefault="001D6FAE" w:rsidP="001D6FAE">
      <w:pPr>
        <w:pStyle w:val="TextoNormal"/>
      </w:pPr>
    </w:p>
    <w:p w:rsidR="001D6FAE" w:rsidRDefault="001D6FAE" w:rsidP="001D6FAE">
      <w:pPr>
        <w:pStyle w:val="TextoNormal"/>
      </w:pPr>
      <w:r>
        <w:t xml:space="preserve">b) Expuesto lo anterior, ciertamente el Auto judicial aquí combatido incluye en su argumentación jurídica alguna referencia al abuso de derecho y al elevado número de solicitudes de similar cariz cursadas hasta esa fecha por el demandante. No por ello sustenta su </w:t>
      </w:r>
      <w:r w:rsidRPr="001D6FAE">
        <w:rPr>
          <w:i/>
        </w:rPr>
        <w:t>ratio decidendi</w:t>
      </w:r>
      <w:r>
        <w:t>, confirmatoria del rechazo de la petición de justicia gratuita, en el alto número de peticiones, sino en la carencia de fundamento del propósito perseguido por el recurrente al efectuar tal petición; a saber, interponer denuncias y querellas frente a todos aquéllos a quienes, genéricamente y sin mayor concreción, considera responsables de que no hayan prosperado sus anteriores solicitudes de asistencia jurídica gratuita (Magistrados, Fiscales, Abogados, Colegio de Abogados de Valencia…), con el fin de impugnar cuantas resoluciones sobre esta materia le resulten desfavorables, que tampoco precisa. Es, pues, la ambigüedad e indefinición de la pretensión que sustenta la actual petición de justicia gratuita lo que llevó a la Juez de Instrucción a confirmar el preliminar rechazo decidido por la Comisión. Cabe reconocer que el Auto judicial no expresa este aspecto con la nitidez que pudiera entenderse deseable, pero basta su sola lectura para convenir que late en él, como base de la decisión, una clara afirmación de insostenibilidad de la particular pretensión para la que se interesa la justicia gratuita, por su propia indeterminación. Tal es la razón que condujo a este Tribunal a no apreciar lesión en la impugnación del mismo que examinamos, dictándose fruto de ello la providencia de inadmisión que ahora cuestiona el Fiscal.</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Desestimar el recurso de súplica interpuesto por el Ministerio Fiscal contra la providencia de 1 de marzo de 2016.</w:t>
      </w:r>
    </w:p>
    <w:p w:rsidR="001D6FAE" w:rsidRDefault="001D6FAE" w:rsidP="001D6FAE">
      <w:pPr>
        <w:pStyle w:val="TextoNormal"/>
      </w:pPr>
    </w:p>
    <w:p w:rsidR="001D6FAE" w:rsidRDefault="001D6FAE" w:rsidP="001D6FAE">
      <w:pPr>
        <w:pStyle w:val="TextoNormal"/>
      </w:pPr>
      <w:r>
        <w:t>Madrid, a doce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6" w:name="AUTO_2016_152"/>
      <w:r>
        <w:t>AUTO 152/2016, de 12 de septiembre de 2016</w:t>
      </w:r>
    </w:p>
    <w:bookmarkEnd w:id="126"/>
    <w:p w:rsidR="001D6FAE" w:rsidRDefault="001D6FAE" w:rsidP="001D6FAE">
      <w:pPr>
        <w:pStyle w:val="TtuloResolucin"/>
      </w:pPr>
      <w:r>
        <w:t>Sección Cuarta</w:t>
      </w:r>
    </w:p>
    <w:p w:rsidR="001D6FAE" w:rsidRDefault="001D6FAE" w:rsidP="001D6FAE">
      <w:pPr>
        <w:pStyle w:val="TextoNormalCentrado"/>
      </w:pPr>
      <w:r>
        <w:t>ECLI:ES:TC:2016:152A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27" w:name="AUTO_2016_153"/>
      <w:r>
        <w:t>AUTO 153/2016, de 14 de septiembre de 2016</w:t>
      </w:r>
    </w:p>
    <w:bookmarkEnd w:id="127"/>
    <w:p w:rsidR="001D6FAE" w:rsidRDefault="001D6FAE" w:rsidP="001D6FAE">
      <w:pPr>
        <w:pStyle w:val="TtuloResolucin"/>
      </w:pPr>
      <w:r>
        <w:t>Sección Primera</w:t>
      </w:r>
    </w:p>
    <w:p w:rsidR="001D6FAE" w:rsidRDefault="001D6FAE" w:rsidP="001D6FAE">
      <w:pPr>
        <w:pStyle w:val="TextoNormalCentrado"/>
      </w:pPr>
      <w:r>
        <w:t>ECLI:ES:TC:2016:153A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Se declara incompetente para enjuiciar la impugnación de una resolución de la Comisión Central de Asistencia Jurídica Gratuita para el recurso de amparo 3837-2015, formulado por doña Isabel Casado López.</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29 de junio de 2015, doña Isabel Casado López solicitó que se le designaran Procurador del turno de oficio para interponer recurso de amparo contra diversas resoluciones dictadas por el Juzgado de Instrucción núm. 4 de Alicante en las diligencias previas núm. 335-2015.</w:t>
      </w:r>
    </w:p>
    <w:p w:rsidR="001D6FAE" w:rsidRDefault="001D6FAE" w:rsidP="001D6FAE">
      <w:pPr>
        <w:pStyle w:val="TextoNormal"/>
      </w:pPr>
    </w:p>
    <w:p w:rsidR="001D6FAE" w:rsidRDefault="001D6FAE" w:rsidP="001D6FAE">
      <w:pPr>
        <w:pStyle w:val="TextoNormal"/>
      </w:pPr>
      <w:r w:rsidRPr="001D6FAE">
        <w:rPr>
          <w:rStyle w:val="NumeroAFNegritaCaracter"/>
        </w:rPr>
        <w:t>2</w:t>
      </w:r>
      <w:r>
        <w:t>. La Comisión Central de Asistencia Jurídica Gratuita dictó resolución de 13 de noviembre de 2015 denegando a la solicitante el derecho de asistencia jurídica gratuita. La interesada impugnó la resolución denegatoria del beneficio y la comisión central lo remitió al Decanato de los Juzgado de Madrid para su resolución.</w:t>
      </w:r>
    </w:p>
    <w:p w:rsidR="001D6FAE" w:rsidRDefault="001D6FAE" w:rsidP="001D6FAE">
      <w:pPr>
        <w:pStyle w:val="TextoNormal"/>
      </w:pPr>
    </w:p>
    <w:p w:rsidR="001D6FAE" w:rsidRDefault="001D6FAE" w:rsidP="001D6FAE">
      <w:pPr>
        <w:pStyle w:val="TextoNormal"/>
      </w:pPr>
      <w:r w:rsidRPr="001D6FAE">
        <w:rPr>
          <w:rStyle w:val="NumeroAFNegritaCaracter"/>
        </w:rPr>
        <w:t>3</w:t>
      </w:r>
      <w:r>
        <w:t>. Turnada dicha impugnación al Juzgado de Instrucción núm. 6 de Madrid, por providencia de 14 de abril de 2016 resolvió que, al haberse promovido la solicitud de la asistencia jurídica gratuita para la interposición de un recurso de amparo ante el Tribunal Constitucional, y de conformidad con el art. 10 del acuerdo de 18 de junio de 1996, del Pleno del Tribunal Constitucional, sobre asistencia jurídica gratuita en los procesos de amparo constitucional, es el propio Tribunal Constitucional el competente para resolver la impugnación planteada por haberse producido la situación de insuficiencia económica sobrevenidamente a la interposición del recurso de amparo.</w:t>
      </w:r>
    </w:p>
    <w:p w:rsidR="001D6FAE" w:rsidRDefault="001D6FAE" w:rsidP="001D6FAE">
      <w:pPr>
        <w:pStyle w:val="TextoNormal"/>
      </w:pPr>
    </w:p>
    <w:p w:rsidR="001D6FAE" w:rsidRDefault="001D6FAE" w:rsidP="001D6FAE">
      <w:pPr>
        <w:pStyle w:val="TextoNormal"/>
      </w:pPr>
      <w:r w:rsidRPr="001D6FAE">
        <w:rPr>
          <w:rStyle w:val="NumeroAFNegritaCaracter"/>
        </w:rPr>
        <w:t>4</w:t>
      </w:r>
      <w:r>
        <w:t>. La Secretaría de Justicia de la Sala Primera de este Tribunal, mediante diligencia de ordenación de 5 de mayo de 2016, tuvo por recibidas las actuaciones del Juzgado de Instrucción núm. 6 de Madrid y acordó conceder un plazo común de tres días al Abogado del Estado y a la recurrente en amparo, para que presentaran alegaciones acerca de la competencia para conocer de la impugnación a la que se refiere el art. 20 de la Ley 1/1996, de 10 de enero, de asistencia jurídica gratuita.</w:t>
      </w:r>
    </w:p>
    <w:p w:rsidR="001D6FAE" w:rsidRDefault="001D6FAE" w:rsidP="001D6FAE">
      <w:pPr>
        <w:pStyle w:val="TextoNormal"/>
      </w:pPr>
    </w:p>
    <w:p w:rsidR="001D6FAE" w:rsidRDefault="001D6FAE" w:rsidP="001D6FAE">
      <w:pPr>
        <w:pStyle w:val="TextoNormal"/>
      </w:pPr>
      <w:r w:rsidRPr="001D6FAE">
        <w:rPr>
          <w:rStyle w:val="NumeroAFNegritaCaracter"/>
        </w:rPr>
        <w:t>5</w:t>
      </w:r>
      <w:r>
        <w:t>. El Abogado del Estado, mediante escrito registrado el 11 de mayo de 2016, alegó que, comprobado que el beneficio de justicia gratuita fue presentado con carácter previo a la presentación de la demanda, la competencia para resolver sobre la impugnación planteada no corresponde al Tribunal Constitucional.</w:t>
      </w:r>
    </w:p>
    <w:p w:rsidR="001D6FAE" w:rsidRDefault="001D6FAE" w:rsidP="001D6FAE">
      <w:pPr>
        <w:pStyle w:val="TextoNormal"/>
      </w:pPr>
    </w:p>
    <w:p w:rsidR="001D6FAE" w:rsidRDefault="001D6FAE" w:rsidP="001D6FAE">
      <w:pPr>
        <w:pStyle w:val="TextoNormal"/>
      </w:pPr>
      <w:r w:rsidRPr="001D6FAE">
        <w:rPr>
          <w:rStyle w:val="NumeroAFNegritaCaracter"/>
        </w:rPr>
        <w:t>6</w:t>
      </w:r>
      <w:r>
        <w:t>. La recurrente, mediante escrito registrado el 25 de mayo de 2016, presentó alegaciones interesando se admita la competencia y se revoque la resolución impugnada.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Este Tribunal ha reiterado que solo es competente para resolver sobre la impugnación de la denegación del derecho a la asistencia jurídica gratuita a que se refiere el art. 20 de la Ley 1/1996, de 10 de enero, de asistencia jurídica gratuita, cuando concurre la circunstancia de que la insuficiencia económica del solicitante en que fundamenta su solicitud se produce con carácter sobrevenido a la propia interposición de la demanda de amparo, de conformidad con lo establecido en el art. 10 del acuerdo de 18 de junio de 1996, del Pleno del Tribunal Constitucional, sobre asistencia jurídica gratuita en los procesos de amparo constitucional (así, AATC 138/1997, de 7 de mayo, 120/2011, de 19 de septiembre, 54/2012, de 26 de marzo, 80/2012, de 7 de mayo, 112/2012, de 31 de mayo, ó 95/2013, de 7 de mayo).</w:t>
      </w:r>
    </w:p>
    <w:p w:rsidR="001D6FAE" w:rsidRDefault="001D6FAE" w:rsidP="001D6FAE">
      <w:pPr>
        <w:pStyle w:val="TextoNormal"/>
      </w:pPr>
    </w:p>
    <w:p w:rsidR="001D6FAE" w:rsidRDefault="001D6FAE" w:rsidP="001D6FAE">
      <w:pPr>
        <w:pStyle w:val="TextoNormal"/>
      </w:pPr>
      <w:r>
        <w:t>En el presente caso, tal como constata el Abogado del Estado y se desprende de manera inequívoca de las actuaciones, la solicitud nombramiento de profesionales del turno de oficio se produjo en el primer escrito dirigido a este Tribunal, con carácter previo a cualquier tipo de interposición de la demanda de amparo —que todavía no se ha verificado—. Por tanto, siendo indubitado que la situación económica en que se fundamentaría el reconocimiento del derecho a la asistencia jurídica gratuita controvertido no es sobrevenida a la interposición de un recurso de amparo que todavía no se ha presentado, este Tribunal no es el competente para resolver sobre la impugnación presentada.</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1º Declararse incompetente para enjuiciar la impugnación formulada por doña Isabel Casado López contra la resolución de la Comisión Central de Asistencia Jurídica Gratuita de 13 de noviembre de 2015 en relación con el recurso de amparo núm. 3837-2015.</w:t>
      </w:r>
    </w:p>
    <w:p w:rsidR="001D6FAE" w:rsidRDefault="001D6FAE" w:rsidP="001D6FAE">
      <w:pPr>
        <w:pStyle w:val="TextoNormal"/>
      </w:pPr>
    </w:p>
    <w:p w:rsidR="001D6FAE" w:rsidRDefault="001D6FAE" w:rsidP="001D6FAE">
      <w:pPr>
        <w:pStyle w:val="TextoNormal"/>
      </w:pPr>
      <w:r>
        <w:t>2º Devolver al Juzgado de Instrucción núm. 6 de Madrid las actuaciones que sobre esta impugnación fueron remitidas a este Tribunal.</w:t>
      </w:r>
    </w:p>
    <w:p w:rsidR="001D6FAE" w:rsidRDefault="001D6FAE" w:rsidP="001D6FAE">
      <w:pPr>
        <w:pStyle w:val="TextoNormal"/>
      </w:pPr>
    </w:p>
    <w:p w:rsidR="001D6FAE" w:rsidRDefault="001D6FAE" w:rsidP="001D6FAE">
      <w:pPr>
        <w:pStyle w:val="TextoNormal"/>
      </w:pPr>
      <w:r>
        <w:t>Madrid, a catorce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8" w:name="AUTO_2016_154"/>
      <w:r>
        <w:t>AUTO 154/2016, de 19 de septiembre de 2016</w:t>
      </w:r>
    </w:p>
    <w:bookmarkEnd w:id="128"/>
    <w:p w:rsidR="001D6FAE" w:rsidRDefault="001D6FAE" w:rsidP="001D6FAE">
      <w:pPr>
        <w:pStyle w:val="TtuloResolucin"/>
      </w:pPr>
      <w:r>
        <w:t>Sala Primera</w:t>
      </w:r>
    </w:p>
    <w:p w:rsidR="001D6FAE" w:rsidRDefault="001D6FAE" w:rsidP="001D6FAE">
      <w:pPr>
        <w:pStyle w:val="TextoNormalCentrado"/>
      </w:pPr>
      <w:r>
        <w:t>ECLI:ES:TC:2016:154A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don Andrés Ollero Tassara, don Santiago Martínez-Vares García y don Juan Antonio Xiol Ríos.</w:t>
      </w:r>
    </w:p>
    <w:p w:rsidR="001D6FAE" w:rsidRDefault="001D6FAE" w:rsidP="001D6FAE">
      <w:pPr>
        <w:pStyle w:val="SntesisDescriptiva"/>
      </w:pPr>
    </w:p>
    <w:p w:rsidR="001D6FAE" w:rsidRDefault="001D6FAE" w:rsidP="001D6FAE">
      <w:pPr>
        <w:pStyle w:val="SntesisDescriptiva"/>
      </w:pPr>
      <w:r>
        <w:t>Acuerda la suspensión en el recurso de amparo 4591-2015, promovido por don Luis Jesús Agrela Rubio en pleito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que tuvo entrada en el Registro General de este Tribunal el día 29 de julio de 2015, el Procurador de los Tribunales don Mariano de la Cuesta Hernández, en nombre y representación de don Luis Jesús Agrela Rubio, interpuso demanda de amparo contra el Auto de 25 de junio de 2015, dictado por el Juzgado de Primera Instancia núm. 3 de Fuengirola (Málaga), que desestimó el incidente de nulidad de actuaciones en el procedimiento de ejecución hipotecaria núm. 1072-2012.</w:t>
      </w:r>
    </w:p>
    <w:p w:rsidR="001D6FAE" w:rsidRDefault="001D6FAE" w:rsidP="001D6FAE">
      <w:pPr>
        <w:pStyle w:val="TextoNormal"/>
      </w:pPr>
    </w:p>
    <w:p w:rsidR="001D6FAE" w:rsidRDefault="001D6FAE" w:rsidP="001D6FAE">
      <w:pPr>
        <w:pStyle w:val="TextoNormal"/>
      </w:pPr>
      <w:r>
        <w:t>Frente al demandante de amparo, se despachó ejecución hipotecaria a instancias del Banco de Sabadell. Tras celebrarse la subasta de las fincas hipotecadas —una vivienda, un trastero y una plaza de garaje—, estas fueron subastadas a favor del ejecutante, si bien en el momento de dictarse esta resolución todavía no se ha dictado el oportuno Auto de adjudicación. El recurrente afirma que después de tener conocimiento extraprocesal del proceso, procedió a personarse encontrándose éste en el trámite de tasación de costas.</w:t>
      </w:r>
    </w:p>
    <w:p w:rsidR="001D6FAE" w:rsidRDefault="001D6FAE" w:rsidP="001D6FAE">
      <w:pPr>
        <w:pStyle w:val="TextoNormal"/>
      </w:pPr>
    </w:p>
    <w:p w:rsidR="001D6FAE" w:rsidRDefault="001D6FAE" w:rsidP="001D6FAE">
      <w:pPr>
        <w:pStyle w:val="TextoNormal"/>
      </w:pPr>
      <w:r w:rsidRPr="001D6FAE">
        <w:rPr>
          <w:rStyle w:val="NumeroAFNegritaCaracter"/>
        </w:rPr>
        <w:t>2</w:t>
      </w:r>
      <w:r>
        <w:t>. El demandante de amparo denuncia la vulneración de su derecho de acceso al proceso (art. 24.1 CE), al haberse seguido la ejecución del procedimiento de ejecución contra él sin tener conocimiento de su existencia y contraviniendo la doctrina del Tribunal Constitucional. El órgano judicial acudió al emplazamiento por edictos sin agotar previamente de los mecanismos previstos en el art. 156 de la Ley de enjuiciamiento civil para intentar su localización personal.</w:t>
      </w:r>
    </w:p>
    <w:p w:rsidR="001D6FAE" w:rsidRDefault="001D6FAE" w:rsidP="001D6FAE">
      <w:pPr>
        <w:pStyle w:val="TextoNormal"/>
      </w:pPr>
    </w:p>
    <w:p w:rsidR="001D6FAE" w:rsidRDefault="001D6FAE" w:rsidP="001D6FAE">
      <w:pPr>
        <w:pStyle w:val="TextoNormal"/>
      </w:pPr>
      <w:r w:rsidRPr="001D6FAE">
        <w:rPr>
          <w:rStyle w:val="NumeroAFNegritaCaracter"/>
        </w:rPr>
        <w:t>3</w:t>
      </w:r>
      <w:r>
        <w:t>. Por otrosí de la demanda de amparo, de acuerdo con lo previsto en el art. 56 de la Ley Orgánica del Tribunal Constitucional (LOTC), el demandante solicitó la suspensión del procedimiento ejecutivo, al objeto de evitar la probable toma de posesión de las fincas con el consiguiente desalojo y/o la posible transmisión de su dominio adjudicadas con los mismos efectos y con la consiguiente consolidación de una situación inatacable o de muy difícil y costoso restablecimiento. Alega que el perjuicio originado sería irreparable para el recurrente pues, de ser transmitidas las tres fincas a terceros, el restablecimiento de sus derechos fundamentales, cuya vulneración se denuncia, sería tardío e impediría que su restauración fuera efectiva haciendo perder al amparo su finalidad. Señala que se ha celebrado la subasta y que las fincas han sido adjudicadas a la entidad ejecutante, encontrándose el procedimiento aún en la fase procesal de la tasación de costas no constando el dictado del auto de adjudicación. Añade, además, que la suspensión interesada no supone una perturbación grave para los intereses generales ni ocasionaría al ejecutante una perturbación grave de sus intereses y derechos constitucionalmente protegidos.</w:t>
      </w:r>
    </w:p>
    <w:p w:rsidR="001D6FAE" w:rsidRDefault="001D6FAE" w:rsidP="001D6FAE">
      <w:pPr>
        <w:pStyle w:val="TextoNormal"/>
      </w:pPr>
    </w:p>
    <w:p w:rsidR="001D6FAE" w:rsidRDefault="001D6FAE" w:rsidP="001D6FAE">
      <w:pPr>
        <w:pStyle w:val="TextoNormal"/>
      </w:pPr>
      <w:r w:rsidRPr="001D6FAE">
        <w:rPr>
          <w:rStyle w:val="NumeroAFNegritaCaracter"/>
        </w:rPr>
        <w:t>4</w:t>
      </w:r>
      <w:r>
        <w:t>. El 18 de julio de 2016 la Sala Primera de este Tribunal dictó dos providencias acordando, respectivamente, la admisión a trámite del recurso de amparo y la formación de pieza separada para la tramitación del incidente de suspensión, concediéndose en la última, conforme a lo prevenido en el art. 56 LOTC, un plazo de tres días al Ministerio Fiscal y al solicitante de amparo, para que alegaran lo que estimasen pertinente en relación con la petición de suspensión interesada.</w:t>
      </w:r>
    </w:p>
    <w:p w:rsidR="001D6FAE" w:rsidRDefault="001D6FAE" w:rsidP="001D6FAE">
      <w:pPr>
        <w:pStyle w:val="TextoNormal"/>
      </w:pPr>
    </w:p>
    <w:p w:rsidR="001D6FAE" w:rsidRDefault="001D6FAE" w:rsidP="001D6FAE">
      <w:pPr>
        <w:pStyle w:val="TextoNormal"/>
      </w:pPr>
      <w:r w:rsidRPr="001D6FAE">
        <w:rPr>
          <w:rStyle w:val="NumeroAFNegritaCaracter"/>
        </w:rPr>
        <w:t>5</w:t>
      </w:r>
      <w:r>
        <w:t>. El representante procesal del recurrente presentó escrito el 27 de julio de 2016 solicitando que se le otorgue la suspensión interesada. Tras dar por reproducidos los hechos y los fundamentos de derecho expuestos en la demanda de amparo, añade que no le consta a la parte, en el momento de la presentación de las presentes alegaciones, que se haya dictado Auto de adjudicación o no le ha sido notificado el mismo.</w:t>
      </w:r>
    </w:p>
    <w:p w:rsidR="001D6FAE" w:rsidRDefault="001D6FAE" w:rsidP="001D6FAE">
      <w:pPr>
        <w:pStyle w:val="TextoNormal"/>
      </w:pPr>
    </w:p>
    <w:p w:rsidR="001D6FAE" w:rsidRDefault="001D6FAE" w:rsidP="001D6FAE">
      <w:pPr>
        <w:pStyle w:val="TextoNormal"/>
      </w:pPr>
      <w:r w:rsidRPr="001D6FAE">
        <w:rPr>
          <w:rStyle w:val="NumeroAFNegritaCaracter"/>
        </w:rPr>
        <w:t>6</w:t>
      </w:r>
      <w:r>
        <w:t>. En escrito registrado el día 2 de septiembre de 2016, el Fiscal ante el Tribunal Constitucional considera que procede acceder a la suspensión solicitada. Estima que si bien nos encontramos ante una resolución de carácter patrimonial, no obstante puede acabar afectando a derechos futuros de terceros adquirentes de buena fe, por lo que de acuerdo con la doctrina de este Tribunal, reseñada en el su escrito, y en concreto el ATC 74/2013, sería procedente su suspensión con el fin de evitar situaciones cuya reversibilidad deviniera poco menos que imposible.</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Según se ha expuesto en los antecedentes de esta resolución, el demandante de amparo solicita la suspensión del procedimiento de ejecución hipotecaria núm. 1072-2012.</w:t>
      </w:r>
    </w:p>
    <w:p w:rsidR="001D6FAE" w:rsidRDefault="001D6FAE" w:rsidP="001D6FAE">
      <w:pPr>
        <w:pStyle w:val="TextoNormal"/>
      </w:pPr>
    </w:p>
    <w:p w:rsidR="001D6FAE" w:rsidRDefault="001D6FAE" w:rsidP="001D6FAE">
      <w:pPr>
        <w:pStyle w:val="TextoNormal"/>
      </w:pPr>
      <w:r>
        <w:t>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1D6FAE" w:rsidRDefault="001D6FAE" w:rsidP="001D6FAE">
      <w:pPr>
        <w:pStyle w:val="TextoNormal"/>
      </w:pPr>
    </w:p>
    <w:p w:rsidR="001D6FAE" w:rsidRDefault="001D6FAE" w:rsidP="001D6FAE">
      <w:pPr>
        <w:pStyle w:val="TextoNormal"/>
      </w:pPr>
      <w:r>
        <w:t>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1D6FAE" w:rsidRDefault="001D6FAE" w:rsidP="001D6FAE">
      <w:pPr>
        <w:pStyle w:val="TextoNormal"/>
      </w:pPr>
    </w:p>
    <w:p w:rsidR="001D6FAE" w:rsidRDefault="001D6FAE" w:rsidP="001D6FAE">
      <w:pPr>
        <w:pStyle w:val="TextoNormal"/>
      </w:pPr>
      <w:r w:rsidRPr="001D6FAE">
        <w:rPr>
          <w:rStyle w:val="NumeroAFNegritaCaracter"/>
        </w:rPr>
        <w:t>2</w:t>
      </w:r>
      <w:r>
        <w:t>. Este Tribunal viene reiterando que “en los supuestos en que la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es viable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(por todos, AATC 220/2008, de 14 de julio, FJ 2; 64/2009, de 23 de febrero, FJ 2; 56/2013, de 25 de febrero, FJ 2; 287/2013, de 16 de diciembre, FJ 2; y 37/2014, de 10 de febrero, FJ 2, entre otros)” (ATC 282/2014, de 17 de noviembre, FJ 3; en el mismo sentido, AATC 178/2015, de 2 de noviembre, FJ 3, y 46/2016 y 62/2016, de 29 de febrero y 15 de marzo, respectivamente).</w:t>
      </w:r>
    </w:p>
    <w:p w:rsidR="001D6FAE" w:rsidRDefault="001D6FAE" w:rsidP="001D6FAE">
      <w:pPr>
        <w:pStyle w:val="TextoNormal"/>
      </w:pPr>
    </w:p>
    <w:p w:rsidR="001D6FAE" w:rsidRDefault="001D6FAE" w:rsidP="001D6FAE">
      <w:pPr>
        <w:pStyle w:val="TextoNormal"/>
      </w:pPr>
      <w:r w:rsidRPr="001D6FAE">
        <w:rPr>
          <w:rStyle w:val="NumeroAFNegritaCaracter"/>
        </w:rPr>
        <w:t>3</w:t>
      </w:r>
      <w:r>
        <w:t>. En la presente demanda de amparo se solicita la anulación del Auto de fecha 25 de junio de 2015 que desestimó el incidente de nulidad de actuaciones que planteó el recurrente y la retroacción de las actuaciones al momento inmediatamente anterior al requerimiento de pago al demandado para que le comunique el despacho de ejecución en legal forma. En función de ello, la suspensión interesada trasciende de la resolución formalmente impugnada, que era el Auto desestimatorio del incidente de nulidad de actuaciones y la medida que la parte actora pretende es la retroacción de actuaciones y una nueva tramitación del proceso de ejecución hipotecaria desde su inicio.</w:t>
      </w:r>
    </w:p>
    <w:p w:rsidR="001D6FAE" w:rsidRDefault="001D6FAE" w:rsidP="001D6FAE">
      <w:pPr>
        <w:pStyle w:val="TextoNormal"/>
      </w:pPr>
    </w:p>
    <w:p w:rsidR="001D6FAE" w:rsidRDefault="001D6FAE" w:rsidP="001D6FAE">
      <w:pPr>
        <w:pStyle w:val="TextoNormal"/>
      </w:pPr>
      <w:r>
        <w:t>A la vista de las circunstancias expuestas, si no se adoptase una medida cautelar se podría materializar la transmisión del dominio de las fincas subastadas a favor de la entidad ejecutante con la consiguiente creación de una situación difícilmente reversible que menoscabaría los fines del presente recurso. Así se ha considerado por este Tribunal que ha extendido la doctrina general a aquellos casos en los que el propio ejecutante adquiera la finca ejecutada (entre otros, ATC 282/2014, FJ 4).</w:t>
      </w:r>
    </w:p>
    <w:p w:rsidR="001D6FAE" w:rsidRDefault="001D6FAE" w:rsidP="001D6FAE">
      <w:pPr>
        <w:pStyle w:val="TextoNormal"/>
      </w:pPr>
    </w:p>
    <w:p w:rsidR="001D6FAE" w:rsidRDefault="001D6FAE" w:rsidP="001D6FAE">
      <w:pPr>
        <w:pStyle w:val="TextoNormal"/>
      </w:pPr>
      <w:r>
        <w:t>Por otra parte, no se percibe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Suspender la tramitación del procedimiento de ejecución hipotecaria núm. 1072-2012 del Juzgado de Primera Instancia núm. 3 de Fuengirola (Málaga) en la situación procesal en la que se halle en el momento de interponer la presente demanda de amparo.</w:t>
      </w:r>
    </w:p>
    <w:p w:rsidR="001D6FAE" w:rsidRDefault="001D6FAE" w:rsidP="001D6FAE">
      <w:pPr>
        <w:pStyle w:val="TextoNormal"/>
      </w:pPr>
    </w:p>
    <w:p w:rsidR="001D6FAE" w:rsidRDefault="001D6FAE" w:rsidP="001D6FAE">
      <w:pPr>
        <w:pStyle w:val="TextoNormal"/>
      </w:pPr>
      <w:r>
        <w:t>Madrid, a diecinueve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29" w:name="AUTO_2016_155"/>
      <w:r>
        <w:t>AUTO 155/2016, de 20 de septiembre de 2016</w:t>
      </w:r>
    </w:p>
    <w:bookmarkEnd w:id="129"/>
    <w:p w:rsidR="001D6FAE" w:rsidRDefault="001D6FAE" w:rsidP="001D6FAE">
      <w:pPr>
        <w:pStyle w:val="TtuloResolucin"/>
      </w:pPr>
      <w:r>
        <w:t>Pleno</w:t>
      </w:r>
    </w:p>
    <w:p w:rsidR="001D6FAE" w:rsidRDefault="001D6FAE" w:rsidP="001D6FAE">
      <w:pPr>
        <w:pStyle w:val="TtuloBOE"/>
      </w:pPr>
      <w:r>
        <w:t>(BOE núm. 263, de 31 de octubre de 2016)</w:t>
      </w:r>
    </w:p>
    <w:p w:rsidR="001D6FAE" w:rsidRDefault="001D6FAE" w:rsidP="001D6FAE">
      <w:pPr>
        <w:pStyle w:val="TextoNormalCentrado"/>
      </w:pPr>
      <w:r>
        <w:t>ECLI:ES:TC:2016:155A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el recurso de amparo 4001-2015, promovido por don Pedro José Picabea Ugalde en relación con el Auto y Sentencia del Pleno de la Sala de lo Penal del Tribunal Supremo recaída en recurso de casación número 10711-2014. Votos particulares.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Procurador de los Tribunales don Antonio Orteu Del Real, en nombre y representación de don Pedro José Picabea Ugalde presentó el 6 de julio de 2015, en el Registro General de este Tribunal demanda de amparo contra el Auto del Pleno de la Sala de lo Penal del Tribunal Supremo de 20 de mayo de 2015, que desestimó el incidente de nulidad de actuaciones interpuesto contra la precedente Sentencia del Pleno de la Sala de lo Penal del Tribunal Supremo 874/2014, de 27 de enero de 2015, que, a su vez, había estimado parcialmente el recurso de casación interpuesto por aquél contra el Auto de la Sección Tercera de la Sala de lo Penal de la Audiencia Nacional de 4 de septiembre de 2014, denegatorio de la acumulación de condenas solicitada.</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relevantes para resolver el presente recurso de amparo son, sucintamente expuestos, los siguientes:</w:t>
      </w:r>
    </w:p>
    <w:p w:rsidR="001D6FAE" w:rsidRDefault="001D6FAE" w:rsidP="001D6FAE">
      <w:pPr>
        <w:pStyle w:val="TextoNormal"/>
      </w:pPr>
    </w:p>
    <w:p w:rsidR="001D6FAE" w:rsidRDefault="001D6FAE" w:rsidP="001D6FAE">
      <w:pPr>
        <w:pStyle w:val="TextoNormal"/>
      </w:pPr>
      <w:r>
        <w:t>a) Por Auto de 13 de septiembre de 2007, la Sección Tercera de la Sala de lo Penal de la Audiencia Nacional procedió a acumular al ahora recurrente de amparo las siguientes condenas: (i) dos penas de 27 años de reclusión impuestas por sendos delitos de asesinato (ejecutoria núm. 14-2005); (ii) una pena 27 años de reclusión por delito de asesinato (ejecutoria núm. 6-1985), (iii) una pena 30 años de reclusión por delito de atentado y dos penas de 22 años de reclusión por sendos delitos de asesinato frustrados (ejecutoria núm. 9-1996), y (iv) una condena a 27 años de prisión por delito de asesinato y a 18 años por asesinato en tentativa (ejecutoria núm. 140-1980). El Auto de acumulación fue confirmado por Sentencia de la Sala de lo Penal del Tribunal Supremo de 11 de marzo de 2009. La correspondiente liquidación de condena fue efectuada el 6 de noviembre de 2007, fijándose como inicio del cumplimiento de la misma el 22 de noviembre de 2001, fecha de la extradición del penado desde Francia, y como fecha de extinción el 14 de noviembre de 2031.</w:t>
      </w:r>
    </w:p>
    <w:p w:rsidR="001D6FAE" w:rsidRDefault="001D6FAE" w:rsidP="001D6FAE">
      <w:pPr>
        <w:pStyle w:val="TextoNormal"/>
      </w:pPr>
    </w:p>
    <w:p w:rsidR="001D6FAE" w:rsidRDefault="001D6FAE" w:rsidP="001D6FAE">
      <w:pPr>
        <w:pStyle w:val="TextoNormal"/>
      </w:pPr>
      <w:r>
        <w:t>b) En fecha 13 de junio de 2013 la representación del condenado solicitó que se incluyese en la acumulación efectuada la condena a la pena de diez años de prisión que le había sido impuesta en Sentencia del Tribunal de Gran Instancia de Paris de 26 de mayo de 1997 por asociación de malhechores y otros delitos (y que ya había sido cumplida en Francia trece años antes de dicha petición). Por Auto de la Sección Tercera de la Sala de lo Penal de la Audiencia Nacional de 18 de septiembre de 2013 se denegó la acumulación solicitada, alcanzando firmeza dicha resolución al declararse desierto el recurso de casación anunciado.</w:t>
      </w:r>
    </w:p>
    <w:p w:rsidR="001D6FAE" w:rsidRDefault="001D6FAE" w:rsidP="001D6FAE">
      <w:pPr>
        <w:pStyle w:val="TextoNormal"/>
      </w:pPr>
    </w:p>
    <w:p w:rsidR="001D6FAE" w:rsidRDefault="001D6FAE" w:rsidP="001D6FAE">
      <w:pPr>
        <w:pStyle w:val="TextoNormal"/>
      </w:pPr>
      <w:r>
        <w:t>c) Por escrito de 21 de octubre de 2013 la representación del demandante reiteró la solicitud de acumulación. Dicha solicitud fue nuevamente denegada por Auto de la misma Sección de 4 de septiembre de 2014. El Auto acogía los argumentos del Ministerio Fiscal relativos a la intangibilidad de las resoluciones firmes y al principio de seguridad jurídica que conlleva la inmodificabilidad de una resolución que ha ganado firmeza. El demandante interpuso entonces recurso de casación, invocando la infracción de preceptos legales, así como de los siguientes preceptos constitucionales: derecho fundamental a la igualdad (art. 14 CE); principio de legalidad penal (art. 25.1 CE); derecho a la libertad personal (art. 17.1 CE); prohibición de penas inhumanas y degradantes (art. 15 CE); principio de resocialización de las penas (art. 25.2 CE) y prohibición de indefensión (art. 24.1 CE).</w:t>
      </w:r>
    </w:p>
    <w:p w:rsidR="001D6FAE" w:rsidRDefault="001D6FAE" w:rsidP="001D6FAE">
      <w:pPr>
        <w:pStyle w:val="TextoNormal"/>
      </w:pPr>
    </w:p>
    <w:p w:rsidR="001D6FAE" w:rsidRDefault="001D6FAE" w:rsidP="001D6FAE">
      <w:pPr>
        <w:pStyle w:val="TextoNormal"/>
      </w:pPr>
      <w:r>
        <w:t>d) En Sentencia 874/2014, de 27 de enero de 2015, la Sala de lo Penal del Tribunal Supremo estimó el primero de los motivos de casación planteados, relativo a la posibilidad de revisar la acumulación de condenas firmes pero no intangibles. El Alto Tribunal entendía que la nueva solicitud de acumulación se fundaba en la interpretación que la STS 186/2014, de 13 de marzo, había efectuado en relación con la Decisión Marco 2008/675/JAI del Consejo, de 24 de julio, de la que resultaba la posibilidad de reconocer efectos a las condenas impuestas en otros Estados miembros de la Unión Europea. Sin embargo, la Sentencia del Tribunal Supremo rechazó, con seis votos particulares, la pretensión de acumulación interesada por el demandante. Posteriormente por Auto de la Sala Segunda del Tribunal Supremo de 20 de mayo de 2015 se desestimó el incidente de nulidad de actuaciones, en el que el recurrente insistía en las vulneraciones planteadas en el recurso de casación y también alegaba la vulneración del derecho a la tutela judicial efectiva por motivación arbitraria, ilógica y/o errónea de la Sentencia de casación.</w:t>
      </w:r>
    </w:p>
    <w:p w:rsidR="001D6FAE" w:rsidRDefault="001D6FAE" w:rsidP="001D6FAE">
      <w:pPr>
        <w:pStyle w:val="TextoNormal"/>
      </w:pPr>
    </w:p>
    <w:p w:rsidR="001D6FAE" w:rsidRDefault="001D6FAE" w:rsidP="001D6FAE">
      <w:pPr>
        <w:pStyle w:val="TextoNormal"/>
      </w:pPr>
      <w:r w:rsidRPr="001D6FAE">
        <w:rPr>
          <w:rStyle w:val="NumeroAFNegritaCaracter"/>
        </w:rPr>
        <w:t>3</w:t>
      </w:r>
      <w:r>
        <w:t>. En la demanda de amparo se atribuyen a las resoluciones impugnadas las siguientes vulneraciones de derechos fundamentales:</w:t>
      </w:r>
    </w:p>
    <w:p w:rsidR="001D6FAE" w:rsidRDefault="001D6FAE" w:rsidP="001D6FAE">
      <w:pPr>
        <w:pStyle w:val="TextoNormal"/>
      </w:pPr>
    </w:p>
    <w:p w:rsidR="001D6FAE" w:rsidRDefault="001D6FAE" w:rsidP="001D6FAE">
      <w:pPr>
        <w:pStyle w:val="TextoNormal"/>
      </w:pPr>
      <w:r>
        <w:t>a) El demandante considera, en primer lugar, que se vulnera el derecho a la legalidad penal (art. 25.1 CE), en relación con el derecho a la tutela judicial efectiva (art. 24.1 CE), el derecho a la libertad (art. 17.1 CE), y a la prohibición de penas crueles, inhumanas y degradantes (art. 15 CE), en las siguientes vertientes:</w:t>
      </w:r>
    </w:p>
    <w:p w:rsidR="001D6FAE" w:rsidRDefault="001D6FAE" w:rsidP="001D6FAE">
      <w:pPr>
        <w:pStyle w:val="TextoNormal"/>
      </w:pPr>
    </w:p>
    <w:p w:rsidR="001D6FAE" w:rsidRDefault="001D6FAE" w:rsidP="001D6FAE">
      <w:pPr>
        <w:pStyle w:val="TextoNormal"/>
      </w:pPr>
      <w:r>
        <w:t xml:space="preserve">(i) En primer lugar, en cuanto prohibición de interpretaciones </w:t>
      </w:r>
      <w:r w:rsidRPr="001D6FAE">
        <w:rPr>
          <w:i/>
        </w:rPr>
        <w:t>contra legem</w:t>
      </w:r>
      <w:r>
        <w:t>, manifiestamente arbitrarias e irrazonables (respecto de los arts. 76 del Código penal: CP y del art. 3.5 de la Decisión Marco 675/2008). Entiende el demandante que la Sentencia del Tribunal Supremo impugnada ha efectuado una interpretación del art. 76 CP y del art. 3.5 de la Decisión Marco contraria a la literalidad de ambos preceptos, a su fundamento y a “toda la jurisprudencia del Tribunal Supremo, salvo la excepción de 2002, consolidada con la STS 186/2014”. Indica que el único criterio de acumulación jurídica de las penas es el temporal, “con expresa prohibición de su impedimento por cuestiones adjetivas”. De modo que “su rechazo por la cualidad de extranjera y sin la aportación de ningún fundamento material, resulta una interpretación arbitraria e irrazonable vedada por el principio de legalidad”. Afirma, asimismo, que entre todas las condenas, esto es, entre la impuesta en Francia y las recaídas en España, existió una evidente conexión tanto en relación con acciones delictivas como con las penas impuestas, por lo que debió aplicarse un límite común máximo de cumplimiento.</w:t>
      </w:r>
    </w:p>
    <w:p w:rsidR="001D6FAE" w:rsidRDefault="001D6FAE" w:rsidP="001D6FAE">
      <w:pPr>
        <w:pStyle w:val="TextoNormal"/>
      </w:pPr>
    </w:p>
    <w:p w:rsidR="001D6FAE" w:rsidRDefault="001D6FAE" w:rsidP="001D6FAE">
      <w:pPr>
        <w:pStyle w:val="TextoNormal"/>
      </w:pPr>
      <w:r>
        <w:t xml:space="preserve">(ii) En la dimensión relativa a la irretroactividad de las normas penales desfavorables, en relación con la tutela judicial efectiva, por motivación arbitraria, ilógica y errónea de la Sentencia, entiende el actor que la Sentencia del Tribunal Supremo impugnada aplica retroactivamente una norma desfavorable como es la Ley Orgánica 7/2014, al declarar </w:t>
      </w:r>
      <w:r w:rsidRPr="001D6FAE">
        <w:rPr>
          <w:i/>
        </w:rPr>
        <w:t>contra legem</w:t>
      </w:r>
      <w:r>
        <w:t xml:space="preserve"> la interpretación entonces vigente, cuando la indicada ley aún no existía, vulnerando con ello el derecho a la libertad, al prolongar la estancia en prisión más allá del límite legal, y la prohibición de penas inhumanas. Afirma, asimismo, que el Tribunal Supremo aplica retroactivamente la Ley Orgánica 7/2014 cuando dicha norma no se encontraba en vigor, ni en el momento en que se solicitó la acumulación, ni cuando se resolvió por la Audiencia Nacional sobre dicha solicitud, ni cuando se interpuso el recurso de casación. En su opinión, el art. 3.5 de la Decisión Marco no contiene una excepción al principio de equivalencia sino una aclaración, de modo que la posibilidad de vaciamiento del precepto que aprecia el Tribunal Supremo en su resolución pasó desapercibida hasta que se introdujeron en el Senado ciertas enmiendas </w:t>
      </w:r>
      <w:r w:rsidRPr="001D6FAE">
        <w:rPr>
          <w:i/>
        </w:rPr>
        <w:t>ad hoc</w:t>
      </w:r>
      <w:r>
        <w:t>, acompañadas de una paralela modificación de la exposición de motivos.</w:t>
      </w:r>
    </w:p>
    <w:p w:rsidR="001D6FAE" w:rsidRDefault="001D6FAE" w:rsidP="001D6FAE">
      <w:pPr>
        <w:pStyle w:val="TextoNormal"/>
      </w:pPr>
    </w:p>
    <w:p w:rsidR="001D6FAE" w:rsidRDefault="001D6FAE" w:rsidP="001D6FAE">
      <w:pPr>
        <w:pStyle w:val="TextoNormal"/>
      </w:pPr>
      <w:r>
        <w:t>b) Se alega, asimismo, la vulneración del derecho fundamental a la igualdad ante la ley (art. 14 CE). Considera el actor que debería haberse resuelto la petición de acumulación de condenas con el mismo criterio utilizado en los casos de las SSTS 1129/2000, 926/2005, 368/2013 y 186/2014, y en los de los Autos de la Sección Tercera de 9 de junio de 2014 y 21 de octubre de 2014.</w:t>
      </w:r>
    </w:p>
    <w:p w:rsidR="001D6FAE" w:rsidRDefault="001D6FAE" w:rsidP="001D6FAE">
      <w:pPr>
        <w:pStyle w:val="TextoNormal"/>
      </w:pPr>
    </w:p>
    <w:p w:rsidR="001D6FAE" w:rsidRDefault="001D6FAE" w:rsidP="001D6FAE">
      <w:pPr>
        <w:pStyle w:val="TextoNormal"/>
      </w:pPr>
      <w:r>
        <w:t>c) Finalmente, el demandante estima que se ha producido la vulneración del derecho al juez ordinario predeterminado por la ley, a la tutela judicial efectiva y a un proceso equitativo, por no haberse planteado cuestión prejudicial ante el Tribunal de Justicia de la Unión Europea en relación con la interpretación del art. 3.5 de la Decisión Marco. Entiende, en este punto, que no era objetivamente clara la interpretación que debía darse a la citada disposición, circunstancia que determinaría que el Tribunal Supremo hubiera desbordado sus competencias interpretativas como juez nacional.</w:t>
      </w:r>
    </w:p>
    <w:p w:rsidR="001D6FAE" w:rsidRDefault="001D6FAE" w:rsidP="001D6FAE">
      <w:pPr>
        <w:pStyle w:val="TextoNormal"/>
      </w:pPr>
    </w:p>
    <w:p w:rsidR="001D6FAE" w:rsidRDefault="001D6FAE" w:rsidP="001D6FAE">
      <w:pPr>
        <w:pStyle w:val="TextoNormal"/>
      </w:pPr>
      <w:r w:rsidRPr="001D6FAE">
        <w:rPr>
          <w:rStyle w:val="NumeroAFNegritaCaracter"/>
        </w:rPr>
        <w:t>4</w:t>
      </w:r>
      <w:r>
        <w:t>. El Pleno de este Tribunal, por providencia de 5 de julio de 2016, acordó, conforme a lo previsto en el artículo 10.1 n) de la Ley Orgánica del Tribunal Constitucional, a propuesta del Presidente, recabar para sí el conocimiento del presente recurso de amparo.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presente recurso de amparo se interpone contra el Auto de 20 de mayo de 2015, desestimatorio del incidente de nulidad de actuaciones, y la Sentencia de 27 de enero de 2015, ambos del Pleno de la Sala de lo Penal del Tribunal Supremo. La citada Sentencia es parcialmente estimatoria del recurso de casación interpuesto contra el Auto de la Sección Tercera de la Sala de lo Penal de la Audiencia Nacional de 4 de septiembre de 2014, que denegó al ahora demandante de amparo la rectificación de la acumulación de condenas que había sido previamente aprobada con carácter firme en Auto de 13 de septiembre de 2007. El demandante plantea los motivos de queja que han sido expuestos en los antecedentes, no siendo ninguno de ellos acreedor de un pronunciamiento de admisión a trámite, ya que la existencia de lesión de un derecho fundamental tutelable en amparo no resulta mínimamente verosímil.</w:t>
      </w:r>
    </w:p>
    <w:p w:rsidR="001D6FAE" w:rsidRDefault="001D6FAE" w:rsidP="001D6FAE">
      <w:pPr>
        <w:pStyle w:val="TextoNormal"/>
      </w:pPr>
    </w:p>
    <w:p w:rsidR="001D6FAE" w:rsidRDefault="001D6FAE" w:rsidP="001D6FAE">
      <w:pPr>
        <w:pStyle w:val="TextoNormal"/>
      </w:pPr>
      <w:r>
        <w:t>El Pleno de este Tribunal ha decidido hacer explícitas en el presente Auto las razones en las que se asienta este juicio liminar.</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Siguiendo el orden de las quejas expuestas en la demanda, abordaremos en primer lugar la vulneración del derecho a la libertad (art. 17.1 CE), que, a juicio del demandante, trae causa del desconocimiento por las resoluciones impugnadas de algunas manifestaciones del principio de legalidad (art. 25.1 CE) relacionadas con el derecho a obtener una resolución que no sea arbitraria e irrazonable (art. 24.1 CE) así como de la vulneración de la prohibición de penas crueles, inhumanas y degradantes (art. 15 CE). Como se ha adelantado, para el demandante de amparo esta vulneración se ha verificado en dos vertientes distintas: (i) de un lado, resulta vulnerada la prohibición de interpretaciones </w:t>
      </w:r>
      <w:r w:rsidRPr="001D6FAE">
        <w:rPr>
          <w:i/>
        </w:rPr>
        <w:t>contra legem</w:t>
      </w:r>
      <w:r>
        <w:t>, manifiestamente arbitrarias e irrazonables [respecto de los arts. 76 del Código penal (CP) y del art. 3.5 de la Decisión Marco 675/2008]; (ii) de otro, se viola la garantía de irretroactividad de las normas penales desfavorables, incurriéndose, asimismo, en una motivación arbitraria, ilógica y errónea de la Sentencia de la que derivaría, a su vez, la imposición de una pena cruel, inhumana o degradante.</w:t>
      </w:r>
    </w:p>
    <w:p w:rsidR="001D6FAE" w:rsidRDefault="001D6FAE" w:rsidP="001D6FAE">
      <w:pPr>
        <w:pStyle w:val="TextoNormal"/>
      </w:pPr>
    </w:p>
    <w:p w:rsidR="001D6FAE" w:rsidRDefault="001D6FAE" w:rsidP="001D6FAE">
      <w:pPr>
        <w:pStyle w:val="TextoNormal"/>
      </w:pPr>
      <w:r w:rsidRPr="001D6FAE">
        <w:rPr>
          <w:rStyle w:val="NumeroAFNegritaCaracter"/>
        </w:rPr>
        <w:t>3</w:t>
      </w:r>
      <w:r>
        <w:t>. En cuanto a la primera de las dimensiones aludidas del derecho a la legalidad penal, la Sentencia del Tribunal Supremo que es objeto de impugnación rechaza la acumulación de condenas solicitada por el demandante con fundamento en los arts. 76 CP —y su precedente el art. 70 CP 1973— y 3.5 de la Decisión Marco 2008/675/JAI.</w:t>
      </w:r>
    </w:p>
    <w:p w:rsidR="001D6FAE" w:rsidRDefault="001D6FAE" w:rsidP="001D6FAE">
      <w:pPr>
        <w:pStyle w:val="TextoNormal"/>
      </w:pPr>
    </w:p>
    <w:p w:rsidR="001D6FAE" w:rsidRDefault="001D6FAE" w:rsidP="001D6FAE">
      <w:pPr>
        <w:pStyle w:val="TextoNormal"/>
      </w:pPr>
      <w:r>
        <w:t xml:space="preserve">Debe reseñarse, en relación con el primero de los preceptos indicados, que, en su doctrina anterior sobre la acumulación de condenas impuestas por tribunales extranjeros, el Tribunal Supremo había constatado que el art. 76.2 CP nada dice expresamente sobre condenas procedentes de órganos judiciales foráneos. El silencio del precepto llevó al Alto Tribunal a abordar dicho supuesto particular de acuerdo con los principios generales del sistema penal, que fundan la potestad punitiva del poder público en el ejercicio de la soberanía del Estado. Para el Tribunal Supremo, el Estado, en defensa de su soberanía, sólo acepta la restricción del ejercicio del </w:t>
      </w:r>
      <w:r w:rsidRPr="001D6FAE">
        <w:rPr>
          <w:i/>
        </w:rPr>
        <w:t>ius puniendi</w:t>
      </w:r>
      <w:r>
        <w:t xml:space="preserve"> que deriva del reconocimiento de las sentencias de condena extranjeras (no ejecutadas en su integridad) sobre el presupuesto del principio de reciprocidad reconocido en los tratados internacionales. La soberanía estatal, como fundamento de la negativa al reconocimiento de sentencias extranjeras, fue, así, explícitamente contemplada, como pone de manifiesto la resolución impugnada, en la STS 2117/2002, de 18 de diciembre, que descartó, en un supuesto idéntico al presente excepto en la duración de la pena, la acumulación de una condena de siete años de prisión ya cumplida en Francia.</w:t>
      </w:r>
    </w:p>
    <w:p w:rsidR="001D6FAE" w:rsidRDefault="001D6FAE" w:rsidP="001D6FAE">
      <w:pPr>
        <w:pStyle w:val="TextoNormal"/>
      </w:pPr>
    </w:p>
    <w:p w:rsidR="001D6FAE" w:rsidRDefault="001D6FAE" w:rsidP="001D6FAE">
      <w:pPr>
        <w:pStyle w:val="TextoNormal"/>
      </w:pPr>
      <w:r>
        <w:t>Siguiendo la misma idea rectora, el Tribunal Supremo ha aceptado la acumulación de sentencias dictadas, y no ejecutadas, en otros Estados —en concreto en Tailandia y Andorra— (STS 926/2005, de 30 de junio, y 368/2013, de 17 de abril)— cuando existen tratados bilaterales o multilaterales que sustentan la limitación de la soberanía en el principio de reciprocidad (acuerdo entre el Gobierno del Reino de España y el Gobierno del Reino de Tailandia hecho en Bangkok el 7 de diciembre de 1983 y Convenio sobre traslado de personas condenadas firmado en Estrasburgo el 21 de marzo de 1983).</w:t>
      </w:r>
    </w:p>
    <w:p w:rsidR="001D6FAE" w:rsidRDefault="001D6FAE" w:rsidP="001D6FAE">
      <w:pPr>
        <w:pStyle w:val="TextoNormal"/>
      </w:pPr>
    </w:p>
    <w:p w:rsidR="001D6FAE" w:rsidRDefault="001D6FAE" w:rsidP="001D6FAE">
      <w:pPr>
        <w:pStyle w:val="TextoNormal"/>
      </w:pPr>
      <w:r>
        <w:t>Pues bien, en coherencia con esa doctrina tradicional, el Tribunal Supremo afronta en la resolución que ahora se impugna un contexto normativo distinto, en el que el art. 76 CP se ve complementado, no ya con tratados y convenios internacionales, sino con otra fuente normativa igualmente capaz de producir un efecto limitador de la soberanía estatal: el Derecho de la Unión Europea. En este punto, la Sala de lo Penal asume la necesidad de dilucidar si el art. 3.5 de la Decisión Marco 2008/675/JAI, del Consejo, de 24 de julio, relativa a la consideración de las resoluciones condenatorias entre los Estados miembros de la Unión Europea con motivo de un nuevo proceso penal, al no haberse incorporado a nuestro ordenamiento interno dentro de plazo, puede tener un efecto limitativo de la soberanía estatal que deba conducir a la inclusión automática en el régimen de acumulación del art. 76 CP de las condenas recaídas en el resto de Estados de la Unión Europea.</w:t>
      </w:r>
    </w:p>
    <w:p w:rsidR="001D6FAE" w:rsidRDefault="001D6FAE" w:rsidP="001D6FAE">
      <w:pPr>
        <w:pStyle w:val="TextoNormal"/>
      </w:pPr>
    </w:p>
    <w:p w:rsidR="001D6FAE" w:rsidRDefault="001D6FAE" w:rsidP="001D6FAE">
      <w:pPr>
        <w:pStyle w:val="TextoNormal"/>
      </w:pPr>
      <w:r>
        <w:t xml:space="preserve">Sostiene, a tal efecto, la Sentencia del Tribunal Supremo objeto del presente recurso que, de la doctrina del Tribunal de Justicia de la Unión Europea (Sentencia de la Gran Sala de 16 de junio de 2015, asunto C-105/03, caso </w:t>
      </w:r>
      <w:r w:rsidRPr="001D6FAE">
        <w:rPr>
          <w:i/>
        </w:rPr>
        <w:t>Pupino</w:t>
      </w:r>
      <w:r>
        <w:t xml:space="preserve">), resulta la obligación de los órganos jurisdiccionales nacionales de efectuar una interpretación conforme con la Decisión Marco, a la luz de su letra y finalidad, sin que la misma pueda servir de base para una interpretación </w:t>
      </w:r>
      <w:r w:rsidRPr="001D6FAE">
        <w:rPr>
          <w:i/>
        </w:rPr>
        <w:t>contra legem</w:t>
      </w:r>
      <w:r>
        <w:t xml:space="preserve"> del Derecho nacional. Ese sería el valor jurídico y el límite de las Decisiones Marco, meramente interpretativo —no normativo— y restringido a interpretaciones que no sean contrarias al Derecho interno. Con esta base, la Sentencia del Tribunal Supremo realiza las siguientes consideraciones:</w:t>
      </w:r>
    </w:p>
    <w:p w:rsidR="001D6FAE" w:rsidRDefault="001D6FAE" w:rsidP="001D6FAE">
      <w:pPr>
        <w:pStyle w:val="TextoNormal"/>
      </w:pPr>
    </w:p>
    <w:p w:rsidR="001D6FAE" w:rsidRDefault="001D6FAE" w:rsidP="001D6FAE">
      <w:pPr>
        <w:pStyle w:val="TextoNormal"/>
      </w:pPr>
      <w:r>
        <w:t xml:space="preserve">(i) Analiza el proceso de elaboración de la Decisión Marco, examinando los sucesivos documentos del Consejo (núms. 11663/06 COPEN 79, de 18 de julio de 2006, 13101/06 COPEN 100, de 26 de septiembre y de 29 de septiembre) que fueron impulsados, entre otros Estados miembros, por Holanda para evitar que se limitara el ejercicio del </w:t>
      </w:r>
      <w:r w:rsidRPr="001D6FAE">
        <w:rPr>
          <w:i/>
        </w:rPr>
        <w:t>ius puniendi</w:t>
      </w:r>
      <w:r>
        <w:t xml:space="preserve"> por el reconocimiento de condenas de otros Estados de la Unión. La Sala constata cómo, a estos fines, se agregaron, en un primer momento, dos nuevos párrafos a los iniciales artículos 3.1 y 3.2, y, posteriormente, al considerarse que dicho añadido no aportaba una garantía suficiente, se introdujo el apartado 5 del art. 3 en la redacción que figura en el texto de la Decisión Marco finalmente aprobado. De este último precepto resulta, según observa el Tribunal Supremo, que si el delito por el que se sigue el proceso en un Estado miembro fue cometido antes de que recayera o se ejecutara la condena dictada en otro, los apartados 1 y 2 del aludido artículo 3 no conllevan la obligación de valorar la condena de este otro Estado de la Unión como si hubiera sido impuesta por un juez nacional.</w:t>
      </w:r>
    </w:p>
    <w:p w:rsidR="001D6FAE" w:rsidRDefault="001D6FAE" w:rsidP="001D6FAE">
      <w:pPr>
        <w:pStyle w:val="TextoNormal"/>
      </w:pPr>
    </w:p>
    <w:p w:rsidR="001D6FAE" w:rsidRDefault="001D6FAE" w:rsidP="001D6FAE">
      <w:pPr>
        <w:pStyle w:val="TextoNormal"/>
      </w:pPr>
      <w:r>
        <w:t>(ii) Observa, asimismo, el alto tribunal que dicha interpretación resulta igualmente avalada por la literalidad del art. 3.5 de la Decisión Marco, según el cual “si la infracción penal por la que se desarrolla el nuevo proceso se cometió antes de que la condena anterior se haya dictado o ejecutado por completo, los apartados 1 y 2 no tendrán por efecto el de exigir a los Estados que apliquen su legislación nacional relativa a la imposición de sanciones, si la aplicación de dichas normas a las condenas extranjeras limitara al órgano jurisdiccional al imponer una sanción en el nuevo proceso”, efecto limitador que es justamente el que se deriva de la introducción de la condena extranjera previa (y ya cumplida) en el régimen de acumulación de condenas, en cuanto supone la rebaja sustancial de las penas impuestas por el Estado nacional.</w:t>
      </w:r>
    </w:p>
    <w:p w:rsidR="001D6FAE" w:rsidRDefault="001D6FAE" w:rsidP="001D6FAE">
      <w:pPr>
        <w:pStyle w:val="TextoNormal"/>
      </w:pPr>
    </w:p>
    <w:p w:rsidR="001D6FAE" w:rsidRDefault="001D6FAE" w:rsidP="001D6FAE">
      <w:pPr>
        <w:pStyle w:val="TextoNormal"/>
      </w:pPr>
      <w:r>
        <w:t>(iii) Aplicando dicho precepto al caso que se le plantea, el Tribunal Supremo pone de manifiesto que el nuevo proceso —celebrado en España— que da lugar a la Sentencia de 17 de octubre de 2003 por la que se condena al recurrente a diez años de privación de libertad deriva de hechos correspondientes a 1980, anteriores, por tanto, a los que motivaron la condena en Francia, de fecha 26 de mayo de 1997, que fue ejecutada allí antes de su extradición a nuestro Estado. Constata, así, que concurre el presupuesto de hecho del art. 3.5 de la Decisión Marco. Acto seguido, observa, asimismo, que la acumulación de la condena francesa conllevaría que el tiempo máximo de cumplimiento en España por las condenas impuestas en nuestro país pasara de treinta a veinte años. Se produce, pues, el efecto limitador de la sanción en el nuevo proceso que quiere prevenir el indicado precepto de la Decisión Marco. Concluye, por ello, el Tribunal Supremo que no es exigible, en los términos del art. 3.5 de la Decisión Marco, la aplicación del principio de equivalencia.</w:t>
      </w:r>
    </w:p>
    <w:p w:rsidR="001D6FAE" w:rsidRDefault="001D6FAE" w:rsidP="001D6FAE">
      <w:pPr>
        <w:pStyle w:val="TextoNormal"/>
      </w:pPr>
    </w:p>
    <w:p w:rsidR="001D6FAE" w:rsidRDefault="001D6FAE" w:rsidP="001D6FAE">
      <w:pPr>
        <w:pStyle w:val="TextoNormal"/>
      </w:pPr>
      <w:r>
        <w:t>(iv) Se apoya, asimismo, el alto tribunal, para reforzar estas conclusiones, en el análisis que se contiene en el informe de la Comisión de 24 de julio de 2008 (COM [2014] 312 final, de 2 de junio de 2014), sobre la implementación realizada por los Estados miembros de la Decisión Marco 2008/675/JAI, en el que se entiende que el principio de equivalencia y sus efectos jurídicos se abordan adecuadamente en trece Estados miembros de los veintidós que a esa fecha habían notificado la trasposición. En tal sentido se expone en dicho informe el modo en que las leyes de trasposición han tomado en consideración las condenas anteriores, concluyendo la Comisión que ningún Estado miembro ha reconocido a las condenas extranjeras el efecto de limitar la imposición o ejecución de la pena impuesta en un nuevo proceso, sin que dicha trasposición sea cuestionada por la Comisión como opuesta al contenido de la Decisión Marco.</w:t>
      </w:r>
    </w:p>
    <w:p w:rsidR="001D6FAE" w:rsidRDefault="001D6FAE" w:rsidP="001D6FAE">
      <w:pPr>
        <w:pStyle w:val="TextoNormal"/>
      </w:pPr>
    </w:p>
    <w:p w:rsidR="001D6FAE" w:rsidRDefault="001D6FAE" w:rsidP="001D6FAE">
      <w:pPr>
        <w:pStyle w:val="TextoNormal"/>
      </w:pPr>
      <w:r>
        <w:t>(v) También se apoya la resolución impugnada en la interpretación de la Decisión Marco realizada por otros tribunales europeos de casación. El Tribunal Supremo pone de manifiesto que éstos refrendan la exégesis del artículo 3.5 que él mismo considera acorde con el texto de la normativa europea. La Sentencia impugnada cita, en tal sentido, la Sentencia del Tribunal Supremo de los Países Bajos de 19 de febrero de 2013 (ECLI:NL:HR:2013:BX9407). Otras Sentencias posteriores del Tribunal Supremo (SSTS 858/2015, de 22 de diciembre, 8/2016, de 21 de enero de 2016, y 145/2016, de 25 de febrero, por todas) han actualizado las referencias jurisprudenciales a Países Bajos (referencias HR:2009:BG9198 y HR:2013:BX9407); o a Francia (Cour de Cassation, Chambre Criminelle, de 19 de noviembre de 2014, ECLI:FR:CCASS:2014:CR05955).</w:t>
      </w:r>
    </w:p>
    <w:p w:rsidR="001D6FAE" w:rsidRDefault="001D6FAE" w:rsidP="001D6FAE">
      <w:pPr>
        <w:pStyle w:val="TextoNormal"/>
      </w:pPr>
    </w:p>
    <w:p w:rsidR="001D6FAE" w:rsidRDefault="001D6FAE" w:rsidP="001D6FAE">
      <w:pPr>
        <w:pStyle w:val="TextoNormal"/>
      </w:pPr>
      <w:r>
        <w:t>Lo expuesto evidencia que la interpretación de la Decisión Marco efectuada por el Tribunal Supremo —atendiendo a la literalidad de la norma, a su proceso de elaboración, al modo en que ha sido incorporada a las legislaciones de los diferentes Estados miembros y a cómo ha sido interpretada por los Tribunales de Casación, así como a la valoración de la Comisión de ese proceso de implementación— no puede ser calificada de irrazonable desde la perspectiva del derecho a la libertad, en coherencia con la doctrina constitucional (por todas, SSTC 108/1997, de 2 de junio, FJ 2; 31/1999, de 8 de marzo, FFJJ 3 y 6, y 19/1999, de 22 de enero, FJ 4), ni tampoco puede reputarse contraria a la efectividad de los derechos fundamentales invocados. La inexistencia de lesión del derecho fundamental resulta, así, manifiesta.</w:t>
      </w:r>
    </w:p>
    <w:p w:rsidR="001D6FAE" w:rsidRDefault="001D6FAE" w:rsidP="001D6FAE">
      <w:pPr>
        <w:pStyle w:val="TextoNormal"/>
      </w:pPr>
    </w:p>
    <w:p w:rsidR="001D6FAE" w:rsidRDefault="001D6FAE" w:rsidP="001D6FAE">
      <w:pPr>
        <w:pStyle w:val="TextoNormal"/>
      </w:pPr>
      <w:r w:rsidRPr="001D6FAE">
        <w:rPr>
          <w:rStyle w:val="NumeroAFNegritaCaracter"/>
        </w:rPr>
        <w:t>4</w:t>
      </w:r>
      <w:r>
        <w:t>. Cabe igualmente descartar, en segundo lugar, que la resolución impugnada haya violado el art. 25.1 CE por aplicar retroactivamente una norma penal desfavorable. En este punto, se han de distinguir dos planos de análisis. De un lado, no es cierto que el Tribunal Supremo se haya limitado en la Sentencia de casación, como sostiene el recurrente, a aplicar retroactivamente la Ley Orgánica 7/2014, de 12 de noviembre, a una petición de acumulación formulada antes de la entrada en vigor de dicha norma. De otro lado, resulta igualmente claro que no estamos ante una aplicación retroactiva de una interpretación jurisprudencial desfavorable.</w:t>
      </w:r>
    </w:p>
    <w:p w:rsidR="001D6FAE" w:rsidRDefault="001D6FAE" w:rsidP="001D6FAE">
      <w:pPr>
        <w:pStyle w:val="TextoNormal"/>
      </w:pPr>
    </w:p>
    <w:p w:rsidR="001D6FAE" w:rsidRDefault="001D6FAE" w:rsidP="001D6FAE">
      <w:pPr>
        <w:pStyle w:val="TextoNormal"/>
      </w:pPr>
      <w:r>
        <w:t>(i) En cuanto al primer plano de análisis, lo expuesto en el fundamento jurídico anterior es ya muestra suficiente de que el Tribunal Supremo no funda su decisión en la aplicación retroactiva de la Ley Orgánica 7/2014 (norma que, en efecto, procedió a la incorporación tardía al ordenamiento interno de la Decisión Marco 2008/675/JAI, con posterioridad, en todo caso, a la petición de acumulación realizada por el penado el 21 de octubre de 2013). Como se ha podido comprobar, el alto tribunal basa su decisión en una determinada interpretación de la citada Decisión Marco, cuyo efecto interpretativo directo debía producirse a partir del 15 de agosto de 2010, fecha ésta a la que hacen referencia los arts. 5.1 de la Decisión Marco 2008/675 y disposición adicional única de la Ley Orgánica 7/2014 para delimitar el día en que debería darse cumplimiento a las prescripciones establecidas en la norma europea. En este sentido, aunque la Ley Orgánica 7/2014 ocupa un lugar importante en los razonamientos del Alto Tribunal, especialmente en el Auto resolutorio del incidente de nulidad de actuaciones, una lectura atenta de la prolija Sentencia dictada por el Pleno de la Sala de lo Penal del Tribunal Supremo permite observar que, tal y como se ha señalado en el fundamento jurídico precedente, dicha resolución contiene una exégesis directa de la norma europea (Decisión Marco 2008/675). En ella, el alto tribunal llega a la conclusión de que tal disposición no ampara la pretensión de acumulación de condena formulada por el ahora recurrente de amparo —sin necesidad, por tanto, de acudir a la ley orgánica posterior más que a efectos de refuerzo de tal tesis—. En suma, la resolución del Tribunal Supremo apoya su decisión en la interpretación que ha hecho de la Decisión Marco de 2008, que es la norma que el recurrente invocaba en su beneficio.</w:t>
      </w:r>
    </w:p>
    <w:p w:rsidR="001D6FAE" w:rsidRDefault="001D6FAE" w:rsidP="001D6FAE">
      <w:pPr>
        <w:pStyle w:val="TextoNormal"/>
      </w:pPr>
    </w:p>
    <w:p w:rsidR="001D6FAE" w:rsidRDefault="001D6FAE" w:rsidP="001D6FAE">
      <w:pPr>
        <w:pStyle w:val="TextoNormal"/>
      </w:pPr>
      <w:r>
        <w:t xml:space="preserve">(ii) En el segundo plano de análisis, una cosa es que exista una divergencia de criterio interpretativo entre la Sentencia que ahora se impugna y la previa STS 186/2014, de 13 de marzo, —disparidad que puede ser evaluada, como se verá, desde el punto de vista del derecho a la igualdad en la aplicación de la ley— y otra bien distinta que esa interpretación dispar de la legislación penal en dos procesos diferentes suponga una aplicación retroactiva de la legalidad penal que genere un cambio sorpresivo e inesperado de criterio jurisprudencial en perjuicio de las expectativas consolidadas por el reo en ese proceso. En efecto, ha de notarse aquí que la situación de partida que presenta el supuesto que se nos plantea es completamente diversa a la afrontada en la STEDH de 21 de octubre de 2013 (asunto </w:t>
      </w:r>
      <w:r w:rsidRPr="001D6FAE">
        <w:rPr>
          <w:i/>
        </w:rPr>
        <w:t>Del Río Prada c. España</w:t>
      </w:r>
      <w:r>
        <w:t>), que el actor invoca como fundamento de su pretensión.</w:t>
      </w:r>
    </w:p>
    <w:p w:rsidR="001D6FAE" w:rsidRDefault="001D6FAE" w:rsidP="001D6FAE">
      <w:pPr>
        <w:pStyle w:val="TextoNormal"/>
      </w:pPr>
    </w:p>
    <w:p w:rsidR="001D6FAE" w:rsidRDefault="001D6FAE" w:rsidP="001D6FAE">
      <w:pPr>
        <w:pStyle w:val="TextoNormal"/>
      </w:pPr>
      <w:r>
        <w:t>Debe recordarse, en primer lugar, que, en el supuesto resuelto en la citada Sentencia del Tribunal Europeo, la penada había obtenido una primera decisión judicial firme (Auto de la Audiencia Nacional de 30 de noviembre de 2000) que determinaba, de forma definitiva, la pena total que le resultaba aplicable. Esa decisión inicial, beneficiosa para la penada, implicaba que, conforme a la práctica judicial entonces existente y pacífica, las redenciones de penas por trabajo consolidadas conforme al Código penal de 1973, debían proyectarse sobre el límite máximo de cumplimiento resultante de la acumulación de condenas (en el entendimiento de que dicha acumulación generaba una pena de nuevo cuño, con dimensión sustantiva propia). La penada contaba, de este modo, con una primera decisión judicial firme que suponía que la legalidad penal le debía ser aplicada de un modo determinado, lo que le generaba la expectativa inequívoca de que el cumplimiento de la condena de prisión de 30 años, resultante de la acumulación, se vería reducida por la aplicación de las redenciones de pena por trabajo obtenidas previamente, de ahí que el tiempo de cumplimiento efectivo de aquélla aún se habría acortado más. Cuando, en el año 2008, se produjo la decisión judicial que le aplicó el sistema de cómputo de las redenciones de un modo completamente distinto (perjudicial para la afectada) tuvo lugar, como señala la resolución del Tribunal Europeo, una aplicación retroactiva desfavorable de la legalidad penal que supuso, de facto, una alteración sustancial de la penalidad que ya había sido establecida judicialmente para ese proceso. Dada la práctica judicial existente hasta ese momento, tal variación de la penalidad no era en modo alguno previsible.</w:t>
      </w:r>
    </w:p>
    <w:p w:rsidR="001D6FAE" w:rsidRDefault="001D6FAE" w:rsidP="001D6FAE">
      <w:pPr>
        <w:pStyle w:val="TextoNormal"/>
      </w:pPr>
    </w:p>
    <w:p w:rsidR="001D6FAE" w:rsidRDefault="001D6FAE" w:rsidP="001D6FAE">
      <w:pPr>
        <w:pStyle w:val="TextoNormal"/>
      </w:pPr>
      <w:r>
        <w:t>En esas circunstancias, el Tribunal Europeo entendió que esa interpretación retroactiva desfavorable de una legalidad que, con anterioridad, ya había sido aplicada de modo diverso en ese mismo proceso vulneraba el derecho a la legalidad penal (art. 25.1 CE). Dicho en términos más sencillos: en el supuesto abordado por la STEDH de 21 de octubre de 2013 se modificó la pena efectivamente impuesta, con carácter definitivo, a través de un cambio de criterio interpretativo sobrevenido, sorpresivo e impredecible, al que se dio eficacia retroactiva en perjuicio de la interesada.</w:t>
      </w:r>
    </w:p>
    <w:p w:rsidR="001D6FAE" w:rsidRDefault="001D6FAE" w:rsidP="001D6FAE">
      <w:pPr>
        <w:pStyle w:val="TextoNormal"/>
      </w:pPr>
    </w:p>
    <w:p w:rsidR="001D6FAE" w:rsidRDefault="001D6FAE" w:rsidP="001D6FAE">
      <w:pPr>
        <w:pStyle w:val="TextoNormal"/>
      </w:pPr>
      <w:r>
        <w:t xml:space="preserve">En el caso que ahora se nos plantea el presupuesto de hecho es justamente el opuesto, ya que la penalidad definitivamente impuesta al recurrente de amparo ha permanecido inalterada, dentro del proceso en cuestión, en coherencia con la normativa y la práctica judicial imperante. El </w:t>
      </w:r>
      <w:r w:rsidRPr="001D6FAE">
        <w:rPr>
          <w:i/>
        </w:rPr>
        <w:t>iter</w:t>
      </w:r>
      <w:r>
        <w:t xml:space="preserve"> procesal del supuesto que nos ocupa demuestra que el recurrente no ha sufrido ninguna modificación retroactiva de la penalidad que le fue, desde un principio, fijada, sino que, al contrario, ha sido el propio recurrente el que ha pretendido dar eficacia retroactiva a una interpretación posible de una normativa sobrevenida con posterioridad. En efecto:</w:t>
      </w:r>
    </w:p>
    <w:p w:rsidR="001D6FAE" w:rsidRDefault="001D6FAE" w:rsidP="001D6FAE">
      <w:pPr>
        <w:pStyle w:val="TextoNormal"/>
      </w:pPr>
    </w:p>
    <w:p w:rsidR="001D6FAE" w:rsidRDefault="001D6FAE" w:rsidP="001D6FAE">
      <w:pPr>
        <w:pStyle w:val="TextoNormal"/>
      </w:pPr>
      <w:r>
        <w:t>a) Al recurrente se le fijó una pena definitiva (con el correspondiente límite de cumplimiento de 30 años) en el ya citado Auto de 13 de septiembre de 2007, sin que esa pena a cumplir comprendiera la condena que entonces ya había sido impuesta y ejecutada en Francia, país con el que no existía convenio (bilateral o multilateral) del que pudiera surgir, conforme a la práctica judicial entonces existente (a la que ya se ha hecho referencia), expectativa alguna de acumulación. A diferencia del supuesto planteado en la STEDH de 21 de octubre de 2013, el demandante nunca obtuvo, por tanto, un pronunciamiento a su favor del que derivara la expectativa de acumular la pena que ya había sido cumplida en Francia. La legalidad penal se le aplicó, pues, de un modo inequívoco y plenamente coherente con la práctica judicial existente.</w:t>
      </w:r>
    </w:p>
    <w:p w:rsidR="001D6FAE" w:rsidRDefault="001D6FAE" w:rsidP="001D6FAE">
      <w:pPr>
        <w:pStyle w:val="TextoNormal"/>
      </w:pPr>
    </w:p>
    <w:p w:rsidR="001D6FAE" w:rsidRDefault="001D6FAE" w:rsidP="001D6FAE">
      <w:pPr>
        <w:pStyle w:val="TextoNormal"/>
      </w:pPr>
      <w:r>
        <w:t>b) Al dictarse el aludido Auto de 13 de septiembre de 2007, la condena francesa, en cuanto impuesta y cumplida en su integridad por el penado, constituía un elemento de hecho que el recurrente conocía y tenía la posibilidad de invocar a su favor. Sin embargo, durante largo tiempo, el ahora actor ni siquiera entendió que fuera acreedor potencial de la acumulación de esta condena francesa, como lo acredita el hecho de que durante más de 13 años —desde que la cumplió en Francia—, no hiciera ninguna solicitud en este sentido. Después, aceptó durante más de cinco años la acumulación de condenas acordada por el Auto de 13 de septiembre de 2007. Cuando, por fin, formuló una solicitud expresa para que se le acumulara la condena recaída hacía más de 15 años en el país vecino, tal petición le fue rechazada expresamente en una resolución a la que el penado volvió a aquietarse, pues dejó desierto el recurso de casación que habría podido interponer ante la Sala de lo Penal el Tribunal Supremo. Cuando dicha petición fue rechazada, la práctica judicial no había cambiado en absoluto.</w:t>
      </w:r>
    </w:p>
    <w:p w:rsidR="001D6FAE" w:rsidRDefault="001D6FAE" w:rsidP="001D6FAE">
      <w:pPr>
        <w:pStyle w:val="TextoNormal"/>
      </w:pPr>
    </w:p>
    <w:p w:rsidR="001D6FAE" w:rsidRDefault="001D6FAE" w:rsidP="001D6FAE">
      <w:pPr>
        <w:pStyle w:val="TextoNormal"/>
      </w:pPr>
      <w:r>
        <w:t>c) Finalmente, y después de todas estas incidencias, el actor pidió nuevamente (el 21 de octubre de 2013) que, en consideración a la Decisión Marco de 2008 (esto es, pidiendo en su favor una aplicación de una legislación penal novedosa que consideraba más favorable a sus intereses) se rectificaran las decisiones previamente adoptadas con carácter firme sobre la pena que había de ser cumplida en España y se le fijara una nueva pena conjunta que incluyera la condena francesa que había sido impuesta en el año 1997 y que había terminado de ejecutarse en Francia en el año 2001. Estando pendiente de resolverse esta nueva petición, recayó en otro proceso distinto la STS 186/2014, que adoptó un criterio interpretativo favorable a la acumulación de la condena extranjera. Ese criterio no fue, finalmente, seguido por la Sentencia del Alto Tribunal (874/2014) que resolvió el recurso de casación del penado, pues dicha resolución rechazó conceder, con los argumentos que se han expuesto en el fundamento jurídico 3, la pretensión formulada.</w:t>
      </w:r>
    </w:p>
    <w:p w:rsidR="001D6FAE" w:rsidRDefault="001D6FAE" w:rsidP="001D6FAE">
      <w:pPr>
        <w:pStyle w:val="TextoNormal"/>
      </w:pPr>
    </w:p>
    <w:p w:rsidR="001D6FAE" w:rsidRDefault="001D6FAE" w:rsidP="001D6FAE">
      <w:pPr>
        <w:pStyle w:val="TextoNormal"/>
      </w:pPr>
      <w:r>
        <w:t>Estamos, pues, ante un caso opuesto, en su sustrato fáctico, al resuelto por la aludida STEDH de 21 de octubre de 2013. No hay aplicación retroactiva alguna, dentro del mismo proceso, de un criterio interpretativo desfavorable que venga a sustituir otro más beneficioso que informara la práctica judicial al tiempo de fijarse la pena definitivamente impuesta al recurrente. Al contrario, hay una negativa judicial razonada a rectificar en beneficio del reo la pena que ya había sido impuesta con carácter firme conforme a una práctica judicial inequívoca y constante.</w:t>
      </w:r>
    </w:p>
    <w:p w:rsidR="001D6FAE" w:rsidRDefault="001D6FAE" w:rsidP="001D6FAE">
      <w:pPr>
        <w:pStyle w:val="TextoNormal"/>
      </w:pPr>
    </w:p>
    <w:p w:rsidR="001D6FAE" w:rsidRDefault="001D6FAE" w:rsidP="001D6FAE">
      <w:pPr>
        <w:pStyle w:val="TextoNormal"/>
      </w:pPr>
      <w:r>
        <w:t xml:space="preserve">El </w:t>
      </w:r>
      <w:r w:rsidRPr="001D6FAE">
        <w:rPr>
          <w:i/>
        </w:rPr>
        <w:t>iter</w:t>
      </w:r>
      <w:r>
        <w:t xml:space="preserve"> procesal aludido refleja, pues, un puro problema de disparidad de criterios interpretativos seguidos en dos casos distintos (y casi coetáneos) por la Sala de lo Penal del Tribunal Supremo en relación con la posible aplicación retroactiva de una normativa novedosa, eventualmente favorable al reo. Toda la queja del actor conduce, así, a un mismo problema de fondo: que la aplicación a su caso del criterio seguido en la citada STS 186/2014 habría permitido rectificar en su beneficio la decisión adoptada años atrás en relación con su penalidad. Esto evidencia que el supuesto que el recurrente plantea está muy lejos de afectar al derecho a la legalidad penal —que no es un derecho a la aplicación retroactiva de la interpretación más favorable—, ajustándose, más bien, en su dinámica fáctica, a los problemas que, de ordinario, caracterizan al derecho a la igualdad en la aplicación de la ley penal (art. 14 CE). Dicho en otros términos: tratándose de un supuesto de posible aplicación retroactiva de una norma penal más favorable lo único que es constitucionalmente relevante es si las razones que el Tribunal Supremo dio, en la Sentencia que ahora se impugna, para adoptar un criterio interpretativo distinto al utilizado en la previa STS 186/2014 resultan admisibles desde el punto de vista del derecho a la igualdad en la aplicación de la ley penal.</w:t>
      </w:r>
    </w:p>
    <w:p w:rsidR="001D6FAE" w:rsidRDefault="001D6FAE" w:rsidP="001D6FAE">
      <w:pPr>
        <w:pStyle w:val="TextoNormal"/>
      </w:pPr>
    </w:p>
    <w:p w:rsidR="001D6FAE" w:rsidRDefault="001D6FAE" w:rsidP="001D6FAE">
      <w:pPr>
        <w:pStyle w:val="TextoNormal"/>
      </w:pPr>
      <w:r w:rsidRPr="001D6FAE">
        <w:rPr>
          <w:rStyle w:val="NumeroAFNegritaCaracter"/>
        </w:rPr>
        <w:t>5</w:t>
      </w:r>
      <w:r>
        <w:t>. Todo lo anterior pone de relieve que la queja a la que verdaderamente conduce el supuesto fáctico planteado por el actor es la posible vulneración del derecho a la igualdad en la aplicación de la ley (art. 14 CE), pues el recurrente considera, en definitiva, que se le debería haber aplicado la acumulación de condenas en los términos de las SSTS 1129/2000, 926/2005, 368/2013 y 186/2014 (con cita además de dos Autos de la Sección Tercera de la Sala de lo Penal de la Audiencia Nacional que habían seguido el criterio de la STS 186/2014). En particular considera el actor que el Pleno de la Sala de lo Penal del Tribunal Supremo no podía rectificar la interpretación efectuada en la STS 186/2014. Pues bien, la inexistencia de la lesión de tal derecho fundamental resulta igualmente evidente.</w:t>
      </w:r>
    </w:p>
    <w:p w:rsidR="001D6FAE" w:rsidRDefault="001D6FAE" w:rsidP="001D6FAE">
      <w:pPr>
        <w:pStyle w:val="TextoNormal"/>
      </w:pPr>
    </w:p>
    <w:p w:rsidR="001D6FAE" w:rsidRDefault="001D6FAE" w:rsidP="001D6FAE">
      <w:pPr>
        <w:pStyle w:val="TextoNormal"/>
      </w:pPr>
      <w:r>
        <w:t>En efecto, antes de la expiración del plazo de trasposición de la Decisión Marco de 2008 no puede encontrarse ningún término de comparación válido que resulte favorable al recurrente. Como hemos expuesto en los fundamentos precedentes, las SSTS 1129/2000, de 27 de junio, y 926/2005, de 30 de junio, que el actor invoca, reconocieron la acumulación de sendas condenas impuestas en Tailandia, al resultar las mismas amparadas en el Tratado Internacional sobre cooperación en materia de ejecución de condenas penales, en el que así se preveía (art. 5 del Tratado hispano-tailandés). A su vez, la STS 368/2013, de 17 de abril, que admitió la acumulación de la condena impuesta por el Tribunal de Corts del Principado de Andorra, se sustentó en el art. 9.3 del Convenio Europeo sobre traslado de personas condenadas firmado en Estrasburgo el 21 de marzo de 1983, ratificado por España y Andorra.</w:t>
      </w:r>
    </w:p>
    <w:p w:rsidR="001D6FAE" w:rsidRDefault="001D6FAE" w:rsidP="001D6FAE">
      <w:pPr>
        <w:pStyle w:val="TextoNormal"/>
      </w:pPr>
    </w:p>
    <w:p w:rsidR="001D6FAE" w:rsidRDefault="001D6FAE" w:rsidP="001D6FAE">
      <w:pPr>
        <w:pStyle w:val="TextoNormal"/>
      </w:pPr>
      <w:r>
        <w:t>Dichas resoluciones no son términos de comparación válidos, pues al ahora demandante no le amparaba tratado internacional alguno que pudiera servir de sustento al reconocimiento de la condena extranjera a los efectos de acumulación. No hay, en suma, la igualdad de hechos exigida por nuestra doctrina como presupuesto para poder reconocer la invocada vulneración del derecho a la igualdad ante la ley (por todas, SSTC 210/2002, de 11 de noviembre, FJ 3; 91/2004, de 19 de mayo, FJ 7, y 132/2005, de 23 de mayo, FJ 3). Es más, el término de comparación más ajustado al caso presente sería, antes de la expiración del plazo de trasposición de la Decisión Marco, el de la STS 2117/2002, de 18 de diciembre, que resolvió un supuesto igual al que nos ocupa descartando la acumulación a los treinta años de condena de una condena de siete años de prisión impuesta y cumplida en Francia, precisamente por la ausencia de tratado internacional que amparara la pretensión del justiciable.</w:t>
      </w:r>
    </w:p>
    <w:p w:rsidR="001D6FAE" w:rsidRDefault="001D6FAE" w:rsidP="001D6FAE">
      <w:pPr>
        <w:pStyle w:val="TextoNormal"/>
      </w:pPr>
    </w:p>
    <w:p w:rsidR="001D6FAE" w:rsidRDefault="001D6FAE" w:rsidP="001D6FAE">
      <w:pPr>
        <w:pStyle w:val="TextoNormal"/>
      </w:pPr>
      <w:r>
        <w:t>En cambio, una vez expirado (el 15 de agosto de 2010) el plazo de trasposición de la Decisión Marco de 2008, puede aceptarse como término de comparación la STS 186/2014, de 13 de marzo, así como los dos Autos de la Sección Tercera de la Sala de lo Penal de la Audiencia Nacional que aplicaron el criterio seguido en la misma, que realizan una interpretación dispar de los efectos que la aludida norma debe tener sobre el art. 76.2 CP.</w:t>
      </w:r>
    </w:p>
    <w:p w:rsidR="001D6FAE" w:rsidRDefault="001D6FAE" w:rsidP="001D6FAE">
      <w:pPr>
        <w:pStyle w:val="TextoNormal"/>
      </w:pPr>
    </w:p>
    <w:p w:rsidR="001D6FAE" w:rsidRDefault="001D6FAE" w:rsidP="001D6FAE">
      <w:pPr>
        <w:pStyle w:val="TextoNormal"/>
      </w:pPr>
      <w:r>
        <w:t>En este punto, se observa que el criterio de la indicada STS 186/2014 fue adoptado por el Tribunal Supremo, actuando en sección de cinco Magistrados, de modo aislado y como primera aproximación interpretativa a la norma europea, sin haber tomado en consideración el contenido del apartado 5 del artículo 3 de la aludida disposición, que, sin embargo, ha sido decisivo en el enfoque adoptado en la Sentencia que ahora se impugna. En ella, el Pleno de la Sala de lo Penal del Tribunal Supremo se ha apartado de esa inicial y aislada exégesis, no a través de un “cambio irreflexivo o arbitrario”, sino en virtud de una interpretación ampliamente razonada de la misma normativa, en la que, en su legítima función de interpretar la legalidad ordinaria, ha considerado que el verdadero sentido de los preceptos de la citada disposición europea es, según se ha expuesto ampliamente en el fundamento jurídico 3, distinto al que, en una primera aproximación (no seguida de ningún otro pronunciamiento adicional) se apreció en la STS 186/2014.</w:t>
      </w:r>
    </w:p>
    <w:p w:rsidR="001D6FAE" w:rsidRDefault="001D6FAE" w:rsidP="001D6FAE">
      <w:pPr>
        <w:pStyle w:val="TextoNormal"/>
      </w:pPr>
    </w:p>
    <w:p w:rsidR="001D6FAE" w:rsidRDefault="001D6FAE" w:rsidP="001D6FAE">
      <w:pPr>
        <w:pStyle w:val="TextoNormal"/>
      </w:pPr>
      <w:r>
        <w:t xml:space="preserve">De este modo, la Sentencia del Pleno del Tribunal Supremo recurrida sirvió, y de ahí que fuera adoptada por el Pleno, para “disipar las dudas que podrían subsistir en cuanto a la interpretación de las normas” en concreto en lo concerniente al valor jurídico y los límites de la interpretación conforme de la Decisión Marco 2008/675/JAI, tomando, ahora sí, en consideración lo dispuesto en su artículo 3.5. El abandono del solitario pronunciamiento contenido en la STS 186/2014, con sustento en una interpretación ampliamente razonada del apartado quinto del art. 3 de la Decisión Marco, fue, pues, legítimo en tanto que “razonado, razonable y con vocación de futuro, esto es, destinado a ser mantenido con cierta continuidad con fundamento en razones jurídicas objetivas que excluyan todo significado de resolución </w:t>
      </w:r>
      <w:r w:rsidRPr="001D6FAE">
        <w:rPr>
          <w:i/>
        </w:rPr>
        <w:t>ad personam</w:t>
      </w:r>
      <w:r>
        <w:t>” (STC 117/2004, de 12 de julio, FJ 3; en sentido similar, entre otras, SSTC 25/1999, de 8 de marzo, FJ 5; 122/2001, de 4 de junio, FJ 2; 150/2004, de 20 de septiembre, FJ 4; 76/2005, de 4 de abril, FJ 2; 58/2006, de 27 de febrero, FJ 3, y 67/2008, de 23 de junio, FJ 4). No existió, por ello, la vulneración del derecho a la igualdad ante la ley (art. 14 CE) invocada por el recurrente en amparo.</w:t>
      </w:r>
    </w:p>
    <w:p w:rsidR="001D6FAE" w:rsidRDefault="001D6FAE" w:rsidP="001D6FAE">
      <w:pPr>
        <w:pStyle w:val="TextoNormal"/>
      </w:pPr>
    </w:p>
    <w:p w:rsidR="001D6FAE" w:rsidRDefault="001D6FAE" w:rsidP="001D6FAE">
      <w:pPr>
        <w:pStyle w:val="TextoNormal"/>
      </w:pPr>
      <w:r w:rsidRPr="001D6FAE">
        <w:rPr>
          <w:rStyle w:val="NumeroAFNegritaCaracter"/>
        </w:rPr>
        <w:t>6</w:t>
      </w:r>
      <w:r>
        <w:t>. Finalmente, el demandante afirma que el órgano judicial lesionó su derecho al juez ordinario predeterminado por ley (art. 24.2 CE), en relación con el derecho a la tutela judicial efectiva y a un proceso equitativo, por no haber planteado cuestión prejudicial ante el Tribunal de Justicia de la Unión Europea del art. 3.5 de la Decisión Marco 2008/675/JAI, habiendo efectuado una interpretación notoriamente errónea del mismo, como lo demostraría la existencia de votos particulares.</w:t>
      </w:r>
    </w:p>
    <w:p w:rsidR="001D6FAE" w:rsidRDefault="001D6FAE" w:rsidP="001D6FAE">
      <w:pPr>
        <w:pStyle w:val="TextoNormal"/>
      </w:pPr>
    </w:p>
    <w:p w:rsidR="001D6FAE" w:rsidRDefault="001D6FAE" w:rsidP="001D6FAE">
      <w:pPr>
        <w:pStyle w:val="TextoNormal"/>
      </w:pPr>
      <w:r>
        <w:t>Este Tribunal ha tenido ocasión de precisar que, en relación con el art. 24.1 CE, “el canon de control establecido respecto del planteamiento de cuestiones prejudiciales ante el Tribunal de Justicia de la Unión Europea no difiere del que este Tribunal ha fijado, con carácter general, para las decisiones judiciales que son fruto de la interpretación y aplicación del Derecho al caso concreto” (STC 212/2014, de 18 de diciembre, FJ 3). Desde esta perspectiva, nos corresponde ponderar si la STS 874/2014 recurrida en amparo, por la que se deniega el planteamiento de la cuestión prejudicial, está fundada en Derecho y es fruto de una exégesis racional de la legalidad ordinaria.</w:t>
      </w:r>
    </w:p>
    <w:p w:rsidR="001D6FAE" w:rsidRDefault="001D6FAE" w:rsidP="001D6FAE">
      <w:pPr>
        <w:pStyle w:val="TextoNormal"/>
      </w:pPr>
    </w:p>
    <w:p w:rsidR="001D6FAE" w:rsidRDefault="001D6FAE" w:rsidP="001D6FAE">
      <w:pPr>
        <w:pStyle w:val="TextoNormal"/>
      </w:pPr>
      <w:r>
        <w:t>Centrada la cuestión en el examen de la argumentación de la Sentencia recurrida, se observa que el Tribunal Supremo aplica en ella la doctrina del “acto claro” respecto del art. 3.5 de la Decisión Marco, con los argumentos que ya hemos expuesto con detalle en el fundamento jurídico 3 de esta resolución, que, como ya hemos visto, satisfacen las exigencias constitucionales relativas a la motivación desde la perspectiva del derecho reconocido en el art. 24.1 CE. Basta añadir ahora, al trasladar, dada la identidad de canon, esa conclusión al presente motivo de queja que el Tribunal Supremo ha prestado una atención singular en su Sentencia a la implementación realizada en otros Estados de la Unión, a la interpretación que han efectuado otros tribunales casacionales y a la propia exégesis que la Comisión ha realizado sobre la corrección de la implementación en los Estados miembros, elementos de juicio que son de notable interés a efectos de dilucidar la razonabilidad de una decisión relativa a la procedencia de plantear una cuestión prejudicial interpretativa ante el Tribunal de Justicia de la Unión Europea.</w:t>
      </w:r>
    </w:p>
    <w:p w:rsidR="001D6FAE" w:rsidRDefault="001D6FAE" w:rsidP="001D6FAE">
      <w:pPr>
        <w:pStyle w:val="TextoNormal"/>
      </w:pPr>
    </w:p>
    <w:p w:rsidR="001D6FAE" w:rsidRDefault="001D6FAE" w:rsidP="001D6FAE">
      <w:pPr>
        <w:pStyle w:val="TextoNormal"/>
      </w:pPr>
      <w:r>
        <w:t>De otro lado, ninguna relevancia tiene, a efectos de entender vulnerado el derecho fundamental invocado, el hecho de que la Sentencia impugnada contenga varios votos particulares, pues la discrepancia de una parte de los miembros del Tribunal con la decisión adoptada por la mayoría no indica, en modo alguno, que el criterio seguido por ésta deba reputarse irrazonable, arbitrario o no fundado en Derecho. Son los argumentos consignados en la resolución los que deben servir para apreciar la razonabilidad de una decisión judicial. Como ya hemos señalado, dichos argumentos se ajustan a las exigencias constitucionales, sin que corresponda a este Tribunal terciar en cuestiones de legalidad ordinaria.</w:t>
      </w:r>
    </w:p>
    <w:p w:rsidR="001D6FAE" w:rsidRDefault="001D6FAE" w:rsidP="001D6FAE">
      <w:pPr>
        <w:pStyle w:val="TextoNormal"/>
      </w:pPr>
    </w:p>
    <w:p w:rsidR="001D6FAE" w:rsidRDefault="001D6FAE" w:rsidP="001D6FAE">
      <w:pPr>
        <w:pStyle w:val="TextoNormal"/>
      </w:pPr>
      <w:r>
        <w:t>Por la misma razón, cabe desechar también la vulneración del derecho al juez ordinario predeterminado por la ley (art. 24.2 CE). Basta, para ello, con recordar que la decisión de no plantear una cuestión prejudicial es ajena a la garantía cuya lesión invoca el demandante. En el caso que nos ocupa, el órgano judicial ha sido creado por una norma legal que lo inviste de jurisdicción y competencia con anterioridad al hecho motivador de la actuación o proceso judicial, y cuenta con un régimen orgánico y procesal que no permite calificarlo de órgano especial o excepcional (SSTC 48/2003, de 12 de marzo, FJ 17; 32/2004, de 8 de marzo, FJ 4; 60/2008, de 26 de mayo, FJ 2 y 191/2011, de 12 de diciembre, FJ 5). La resolución impugnada cumple, pues, con las exigencias propias de la garantía invocada.</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el recurso de amparo núm. 4001-2015, interpuesto por el Procurador de los Tribunales don Antonio Orteu del Real en representación de don Pedro José Picabea Ugalde, con arreglo a lo previsto en los arts. 50.1 a) y 44.1 de la Ley Orgánica del Tribunal Constitucional, dada la manifiesta inexistencia de violación de los derechos fundamentales invocados.</w:t>
      </w:r>
    </w:p>
    <w:p w:rsidR="001D6FAE" w:rsidRDefault="001D6FAE" w:rsidP="001D6FAE">
      <w:pPr>
        <w:pStyle w:val="TextoNormal"/>
      </w:pPr>
    </w:p>
    <w:p w:rsidR="001D6FAE" w:rsidRDefault="001D6FAE" w:rsidP="001D6FAE">
      <w:pPr>
        <w:pStyle w:val="TextoNormal"/>
      </w:pPr>
      <w:r>
        <w:t>Publíquese este Auto en el “Boletín Oficial del Estado”.</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rsidP="001D6FAE">
      <w:pPr>
        <w:pStyle w:val="ParrafoNormal"/>
      </w:pPr>
    </w:p>
    <w:p w:rsidR="001D6FAE" w:rsidRDefault="001D6FAE" w:rsidP="001D6FAE">
      <w:pPr>
        <w:pStyle w:val="TextoNormalNegritaCentrado"/>
        <w:keepNext/>
      </w:pPr>
      <w:r>
        <w:t>Voto particular que formulan la Magistrada doña Adela Asua Batarrita y el Magistrado don Juan Antonio Xiol Ríos al Auto de inadmisión dictado en el recurso de amparo avocado núm. 4001-2015.</w:t>
      </w:r>
    </w:p>
    <w:p w:rsidR="001D6FAE" w:rsidRDefault="001D6FAE" w:rsidP="001D6FAE">
      <w:pPr>
        <w:pStyle w:val="TextoNormalNegritaCentrado"/>
        <w:keepNext/>
      </w:pPr>
    </w:p>
    <w:p w:rsidR="001D6FAE" w:rsidRDefault="001D6FAE" w:rsidP="001D6FAE">
      <w:pPr>
        <w:pStyle w:val="TextoNormal"/>
      </w:pPr>
      <w:r>
        <w:t>Con el máximo respeto a la opinión mayoritaria de nuestros compañeros del Tribunal en la que se sustenta el Auto, manifestamos nuestra discrepancia con la fundamentación jurídica y el fallo de este, que entendemos hubiera debido de ser de admisión y, en su día, haber dado lugar a una sentencia estimatoria por vulneración, al menos, (i) del derecho a la legalidad penal (art. 25.1 CE), en relación con el derecho a la libertad (art. 17.1 CE), por haberse hecho un aplicación retroactiva de una situación normativa desfavorable que ha supuesto un alargamiento efectivo del periodo de privación de libertad; y (ii) del derecho a la tutela judicial efectiva (art. 24.1 CE), por la negativa a plantear una cuestión prejudicial ante el Tribunal de Justicia de la Unión Europea.</w:t>
      </w:r>
    </w:p>
    <w:p w:rsidR="001D6FAE" w:rsidRDefault="001D6FAE" w:rsidP="001D6FAE">
      <w:pPr>
        <w:pStyle w:val="TextoNormal"/>
      </w:pPr>
    </w:p>
    <w:p w:rsidR="001D6FAE" w:rsidRDefault="001D6FAE" w:rsidP="001D6FAE">
      <w:pPr>
        <w:pStyle w:val="TextoNormal"/>
      </w:pPr>
      <w:r>
        <w:t>I. El Voto particular no puede eludir pronunciarse sobre el fondo de la cuestión.</w:t>
      </w:r>
    </w:p>
    <w:p w:rsidR="001D6FAE" w:rsidRDefault="001D6FAE" w:rsidP="001D6FAE">
      <w:pPr>
        <w:pStyle w:val="TextoNormal"/>
      </w:pPr>
    </w:p>
    <w:p w:rsidR="001D6FAE" w:rsidRDefault="001D6FAE" w:rsidP="001D6FAE">
      <w:pPr>
        <w:pStyle w:val="TextoNormal"/>
      </w:pPr>
      <w:r>
        <w:t>1. Las razones jurídicas por las que consideramos que el presente recurso de amparo no debía haber sido objeto de una decisión de inadmisión “dada la manifiesta inexistencia de violación de los derechos fundamentales invocados” son coincidentes con las expuestas en su Voto particular por la Magistrada doña Encarnación Roca Trías, con la adhesión del Magistrado don Fernando Valdés Dal-Ré, al que para evitar reiteraciones innecesaria nos remitimos.</w:t>
      </w:r>
    </w:p>
    <w:p w:rsidR="001D6FAE" w:rsidRDefault="001D6FAE" w:rsidP="001D6FAE">
      <w:pPr>
        <w:pStyle w:val="TextoNormal"/>
      </w:pPr>
    </w:p>
    <w:p w:rsidR="001D6FAE" w:rsidRDefault="001D6FAE" w:rsidP="001D6FAE">
      <w:pPr>
        <w:pStyle w:val="TextoNormal"/>
      </w:pPr>
      <w:r>
        <w:t>No obstante, entendemos que no es suficiente con poner de manifiesto la falta de corrección de esa decisión anticipada de archivar el presente recurso de amparo por motivos de fondo. Desde cualquier criterio hermenéutico comúnmente admitido por la comunidad jurídica que pudiera seleccionarse, no cabe afirmar que las violaciones de derechos fundamentales invocados pueden subsumirse dentro del concepto jurídico indeterminado “manifiestamente inexistentes”. El esfuerzo argumental invertido por la opinión mayoritaria en la que se sustenta el Auto para acreditar que son “manifiestamente inexistentes”, la extensión con la que se ha desarrollado ese proceso de razonamiento y el hecho de que esta decisión sobre la “admisibilidad” haya sido avocado por el Pleno hace materialmente equiparable este Auto de inadmisión a una sentencia de desestimación. Con la sola ausencia del trámite de audiencia al Ministerio Fiscal ante el Tribunal Constitucional, es una decisión que perfectamente podría haber tomado forma de sentencia, ya que (i) tiene por objeto resolver la cuestión de fondo de la eventual concurrencia de la vulneración de los derechos fundamentales alegados y, por tanto, es coincidente con los pronunciamientos que, según el art. 53 de la Ley Orgánica del Tribunal Constitucional (LOTC), debe tener una sentencia; y (ii) ha sido dictada por el Pleno de este Tribunal de una manera extensamente motivada, excepcionando con ello la regla general de que la decisión de inadmisión sea adoptada por la Sección mediante una providencia en que solo se especificará el requisito incumplido.</w:t>
      </w:r>
    </w:p>
    <w:p w:rsidR="001D6FAE" w:rsidRDefault="001D6FAE" w:rsidP="001D6FAE">
      <w:pPr>
        <w:pStyle w:val="TextoNormal"/>
      </w:pPr>
    </w:p>
    <w:p w:rsidR="001D6FAE" w:rsidRDefault="001D6FAE" w:rsidP="001D6FAE">
      <w:pPr>
        <w:pStyle w:val="TextoNormal"/>
      </w:pPr>
      <w:r>
        <w:t>En estas singulares circunstancias debe comprenderse que nuestro Voto particular, aun lamentando no poder contar con la siempre ilustrativa posición del Ministerio Fiscal ante el Tribunal Constitucional, tiene que extenderse también a exponer las razones sustantivas y de fondo en que se fundamenta nuestra discrepancia con la opinión mayoritaria en la que se sustenta el Auto. Estas discrepancias se refieren, como ya se ha anticipado, al menos, a las circunstancias de (i) haberse hecho un aplicación retroactiva de una situación normativa desfavorable que ha implicado un alargamiento efectivo del periodo de privación de libertad, lo que supone una vulneración del derecho a la legalidad penal (art. 25.1 CE), en relación con el derecho a la libertad (art. 17.1 CE); y (ii) haberse incumplido el deber de plantear una cuestión prejudicial ante el Tribunal de Justicia de la Unión Europea, lo que supone una vulneración del derecho a la tutela judicial efectiva (art. 24.1 CE).</w:t>
      </w:r>
    </w:p>
    <w:p w:rsidR="001D6FAE" w:rsidRDefault="001D6FAE" w:rsidP="001D6FAE">
      <w:pPr>
        <w:pStyle w:val="TextoNormal"/>
      </w:pPr>
    </w:p>
    <w:p w:rsidR="001D6FAE" w:rsidRDefault="001D6FAE" w:rsidP="001D6FAE">
      <w:pPr>
        <w:pStyle w:val="TextoNormal"/>
      </w:pPr>
      <w:r>
        <w:t>Ambos aspectos han sido ya destacados y analizados extensamente en los muy ilustrativos y fundamentados Votos particulares formulados a la Sentencia impugnada en este recurso de amparo. Su lectura es complementaria del presente Voto particular que, por razones, obvias no tiene por objeto discrepar de los razonamientos de la Sentencia impugnada sino de la valoración que de esos razonamientos hace la opinión mayoritaria en la que se sustenta el Auto desde la perspectiva de los derechos fundamentales invocados por el recurrente en este recurso de amparo.</w:t>
      </w:r>
    </w:p>
    <w:p w:rsidR="001D6FAE" w:rsidRDefault="001D6FAE" w:rsidP="001D6FAE">
      <w:pPr>
        <w:pStyle w:val="TextoNormal"/>
      </w:pPr>
    </w:p>
    <w:p w:rsidR="001D6FAE" w:rsidRDefault="001D6FAE" w:rsidP="001D6FAE">
      <w:pPr>
        <w:pStyle w:val="TextoNormal"/>
      </w:pPr>
      <w:r>
        <w:t>II. Sobre la aplicación retroactiva de una situación normativa penal desfavorable que implica un alargamiento efectivo del tiempo de privación de libertad.</w:t>
      </w:r>
    </w:p>
    <w:p w:rsidR="001D6FAE" w:rsidRDefault="001D6FAE" w:rsidP="001D6FAE">
      <w:pPr>
        <w:pStyle w:val="TextoNormal"/>
      </w:pPr>
    </w:p>
    <w:p w:rsidR="001D6FAE" w:rsidRDefault="001D6FAE" w:rsidP="001D6FAE">
      <w:pPr>
        <w:pStyle w:val="TextoNormal"/>
      </w:pPr>
      <w:r>
        <w:t>2. El recurrente, con invocación de los derechos a la legalidad penal (art. 25.1 CE) y a la libertad (art. 17.1 CE), ha planteado en este recurso de amparo que se ha hecho una aplicación retroactiva de una norma desfavorable como era la Ley Orgánica 7/2014, de 12 de noviembre, sobre intercambio de información de antecedentes penales y consideración de resoluciones judiciales penales en la Unión Europea. La aplicación de esta normativa habría supuesto, en su perjuicio, que no se tomara en consideración, a los efectos de acumulación y determinación del máximo de cumplimiento, el tiempo de privación de libertad pasado en Francia con motivo de una condena impuesta en aquel país.</w:t>
      </w:r>
    </w:p>
    <w:p w:rsidR="001D6FAE" w:rsidRDefault="001D6FAE" w:rsidP="001D6FAE">
      <w:pPr>
        <w:pStyle w:val="TextoNormal"/>
      </w:pPr>
    </w:p>
    <w:p w:rsidR="001D6FAE" w:rsidRDefault="001D6FAE" w:rsidP="001D6FAE">
      <w:pPr>
        <w:pStyle w:val="TextoNormal"/>
      </w:pPr>
      <w:r>
        <w:t>La opinión mayoritaria en la que se sustenta el Auto rechaza esta invocación partiendo del doble presupuesto de que la resolución judicial impugnada (i) no ha hecho una aplicación retroactiva de la citada Ley Orgánica 7/2014 ni (ii) tampoco una aplicación retroactiva de una interpretación jurisprudencial desfavorable. Respecto de lo primero, se afirma que la resolución del Tribunal Supremo apoya su decisión directamente en una interpretación de la Decisión Marco 2008/675/JAI del Consejo, de 24 de junio de 2008, relativa a la consideración de las resoluciones condenatorias entre los Estados miembros de la Unión Europea con motivo de un nuevo proceso penal (Decisión Marco 2008/675/JAI), sin necesidad, por tanto, de acudir a la Ley Orgánica 7/2014 más que a efectos de refuerzo de tal tesis. Respecto de lo segundo, se afirma que, si bien la resolución del Tribunal Supremo ahora recurrida en amparo mantiene una divergencia interpretativa con la previa Sentencia de la Sala de lo Penal del Tribunal Supremo núm. 186/2014, de 13 de marzo, esto no implica una aplicación retroactiva que haya generado un cambio sorpresivo e inesperado de criterio jurisprudencial en perjuicio de las expectativas consolidadas por el reo en ese proceso, ya que la penalidad definitivamente impuesta al recurrente ha permanecido inalterada en coherencia con la normativa y la practica judicial imperante. Al contrario, según la opinión mayoritaria en la que se sustenta el auto, lo que ha pretendido el recurrente es dar eficacia retroactiva a una interpretación de una normativa sobrevenida con posterioridad, que es una garantía que está muy lejos de afectar al derecho a la legalidad penal.</w:t>
      </w:r>
    </w:p>
    <w:p w:rsidR="001D6FAE" w:rsidRDefault="001D6FAE" w:rsidP="001D6FAE">
      <w:pPr>
        <w:pStyle w:val="TextoNormal"/>
      </w:pPr>
    </w:p>
    <w:p w:rsidR="001D6FAE" w:rsidRDefault="001D6FAE" w:rsidP="001D6FAE">
      <w:pPr>
        <w:pStyle w:val="TextoNormal"/>
      </w:pPr>
      <w:r>
        <w:t>Ninguno de esos argumentos, como se expone a continuación, son aceptables.</w:t>
      </w:r>
    </w:p>
    <w:p w:rsidR="001D6FAE" w:rsidRDefault="001D6FAE" w:rsidP="001D6FAE">
      <w:pPr>
        <w:pStyle w:val="TextoNormal"/>
      </w:pPr>
    </w:p>
    <w:p w:rsidR="001D6FAE" w:rsidRDefault="001D6FAE" w:rsidP="001D6FAE">
      <w:pPr>
        <w:pStyle w:val="TextoNormal"/>
      </w:pPr>
      <w:r>
        <w:t>3. La afirmación de que la resolución impugnada se apoya directamente en una interpretación de la Decisión Marco 2008/675/JAI sin necesidad de acudir a la Ley Orgánica 7/2014 más que a efectos de refuerzo de su tesis no se compadece con la lectura de las resoluciones judiciales impugnadas.</w:t>
      </w:r>
    </w:p>
    <w:p w:rsidR="001D6FAE" w:rsidRDefault="001D6FAE" w:rsidP="001D6FAE">
      <w:pPr>
        <w:pStyle w:val="TextoNormal"/>
      </w:pPr>
    </w:p>
    <w:p w:rsidR="001D6FAE" w:rsidRDefault="001D6FAE" w:rsidP="001D6FAE">
      <w:pPr>
        <w:pStyle w:val="TextoNormal"/>
      </w:pPr>
      <w:r>
        <w:t>El fundamento jurídico cuarto, apartado primero, de la resolución judicial impugnada expone, en respuesta a la pretensión del recurrente de que se le aplicara la doctrina de la STS 186/2014, que “sin embargo, como indicábamos anteriormente, el panorama normativo ha experimentado una relevante modificación después de dictada la STS 186/2014, de 13 de marzo. Como esta resolución indica, en ese momento operábamos en ausencia de normas internas que ‘regulen expresamente la materia de una forma terminante’, lo que conllevaba una interpretación de las normas vigentes (la sentencia cita en su texto los arts. 988 LECrim y 76 CP) de manera más conforme posible con la Decisión Marco. Pero en el momento actual ya contamos con legislación nacional que regula expresamente la materia, como es la Ley Orgánica 7/2014, de 12 de noviembre…”.</w:t>
      </w:r>
    </w:p>
    <w:p w:rsidR="001D6FAE" w:rsidRDefault="001D6FAE" w:rsidP="001D6FAE">
      <w:pPr>
        <w:pStyle w:val="TextoNormal"/>
      </w:pPr>
    </w:p>
    <w:p w:rsidR="001D6FAE" w:rsidRDefault="001D6FAE" w:rsidP="001D6FAE">
      <w:pPr>
        <w:pStyle w:val="TextoNormal"/>
      </w:pPr>
      <w:r>
        <w:t>Se insiste en ello en el párrafo final de ese apartado 1 del fundamento jurídico cuarto al señalar que “en consecuencia, ya no operamos en un marco en el que existe una norma de la Unión (Decisión Marco 2008/675/JAI), pero con ausencia de normas internas que regulen expresamente la materia de una forma terminante, que es el caso de la STS 186/2014, de 13 de marzo. Sino que, partiendo del hecho de la existencia de la norma comunitaria, ya contamos con: (i) norma interna que la incorpora, que es la Ley Orgánica 7/2014, de 13 de noviembre; (ii) que regula expresamente la materia, como se deriva de sus artículos 1, 14 y 15 y disposición adicional única; y (iii) de una forma terminante, sobre todo en lo referente a los casos en que las condenas no tendrán efectos (art. 14.2) y al establecer un límite temporal a partir del cual se reconocen efectos a las condenas en el extranjero: 15 de agosto de 2010”.</w:t>
      </w:r>
    </w:p>
    <w:p w:rsidR="001D6FAE" w:rsidRDefault="001D6FAE" w:rsidP="001D6FAE">
      <w:pPr>
        <w:pStyle w:val="TextoNormal"/>
      </w:pPr>
    </w:p>
    <w:p w:rsidR="001D6FAE" w:rsidRDefault="001D6FAE" w:rsidP="001D6FAE">
      <w:pPr>
        <w:pStyle w:val="TextoNormal"/>
      </w:pPr>
      <w:r>
        <w:t xml:space="preserve">Las afirmaciones de ese tenor se repiten a lo largo del apartado segundo de ese fundamento jurídico cuarto cuando se expone que “ahora bien, como indicábamos, esta interpretación ya no puede ser mantenida ante la modificación legislativa operada con posterioridad, lo que impide mantener la interpretación del citado precedente. Sin perjuicio de que la Ley Orgánica 7/2014, de 12 de noviembre, es una norma que se proyecta al futuro, aporta un nuevo ingrediente a la interpretación que debe hacer los tribunales. Ello porque de seguirse en el momento presente la interpretación que dio la STS 186/2014, de 13 de marzo a los arts. 988 LECrim y 76 CP de la manera más conforme posible con la Decisión Marco, nos encontraríamos con un supuesto de interpretación </w:t>
      </w:r>
      <w:r w:rsidRPr="001D6FAE">
        <w:rPr>
          <w:i/>
        </w:rPr>
        <w:t>contra legem</w:t>
      </w:r>
      <w:r>
        <w:t xml:space="preserve"> del Derecho nacional. Ello por cuanto la interpretación de la STS 186/2014 supone reconocer la acumulación en supuestos excluidos ahora expresamente por el art. 14 de la Ley Orgánica”.</w:t>
      </w:r>
    </w:p>
    <w:p w:rsidR="001D6FAE" w:rsidRDefault="001D6FAE" w:rsidP="001D6FAE">
      <w:pPr>
        <w:pStyle w:val="TextoNormal"/>
      </w:pPr>
    </w:p>
    <w:p w:rsidR="001D6FAE" w:rsidRDefault="001D6FAE" w:rsidP="001D6FAE">
      <w:pPr>
        <w:pStyle w:val="TextoNormal"/>
      </w:pPr>
      <w:r>
        <w:t xml:space="preserve">Por tanto, al contrario de lo que afirma la opinión mayoritaria en la que se sustenta el Auto, lo que se pone de manifiesto en las resoluciones impugnadas es que (i) fue la STS 186/2014 la que, en ausencia de una transposición en plazo de la Decisión Marco 2008/675/JAI, hizo una interpretación de esa decisión marco para concluir que la única interpretación conforme con la misma era reconocer la acumulación de las condenas impuestas y ejecutadas en otros países de la Unión Europea para dar eficacia al principio de reconocimiento mutuo; y (ii) fue la Sentencia judicial ahora impugnada en amparo la que cambió ese criterio interpretativo al considerar que, una vez que había entrado en vigor la Ley Orgánica 7/2014, en que se transponía la citada Decisión Marco, sería una interpretación </w:t>
      </w:r>
      <w:r w:rsidRPr="001D6FAE">
        <w:rPr>
          <w:i/>
        </w:rPr>
        <w:t>contra legem</w:t>
      </w:r>
      <w:r>
        <w:t xml:space="preserve"> [en contra de la ley].</w:t>
      </w:r>
    </w:p>
    <w:p w:rsidR="001D6FAE" w:rsidRDefault="001D6FAE" w:rsidP="001D6FAE">
      <w:pPr>
        <w:pStyle w:val="TextoNormal"/>
      </w:pPr>
    </w:p>
    <w:p w:rsidR="001D6FAE" w:rsidRDefault="001D6FAE" w:rsidP="001D6FAE">
      <w:pPr>
        <w:pStyle w:val="TextoNormal"/>
      </w:pPr>
      <w:r>
        <w:t>En conclusión, está reconocido expresamente en las resoluciones impugnadas que el elemento esencial para disentir de la línea jurisprudencial establecida en la previa STS 186/2014 es la decisión legislativa consistente en la aprobación de la Ley Orgánica 7/2014 y, en su contemplación, prohibir la toma en consideración de las condenas impuestas y cumplidas en el extranjero a efectos de acumulación. En ese contexto opinamos que la opinión mayoritaria en la que se sustenta el Auto fundamenta su decisión de inadmisión en un presupuesto fáctico que no se compadece con la realidad. No se trata —como se pretende— de una mera divergencia de criterios interpretativos sucesivos a la que hubiera sido ajena una decisión legislativa.</w:t>
      </w:r>
    </w:p>
    <w:p w:rsidR="001D6FAE" w:rsidRDefault="001D6FAE" w:rsidP="001D6FAE">
      <w:pPr>
        <w:pStyle w:val="TextoNormal"/>
      </w:pPr>
    </w:p>
    <w:p w:rsidR="001D6FAE" w:rsidRDefault="001D6FAE" w:rsidP="001D6FAE">
      <w:pPr>
        <w:pStyle w:val="TextoNormal"/>
      </w:pPr>
      <w:r>
        <w:t>4. Esta conclusión resulta relevante y de especial importancia en el marco de una jurisprudencia constitucional como la española, que solo parece asumir plenamente la garantía de irretroactividad peyorativa en relación con la aplicación de normas formales y no con los cambios jurisprudenciales (así, STC 44/2012, de 29 de marzo, FJ 3). En este contexto, la posibilidad de considerar vulnerado el art. 25.1 CE solo puede vincularse, bien a la aplicación en sentido estricto de una norma jurídica, bien a la aplicación de una interpretación jurisprudencial que, como sería este caso, directamente se ancle en una modificación legislativa sobrevenida. En este último caso, se pondría en evidencia que aunque formalmente se trata de una mera variación jurisprudencial, materialmente, que es lo esencial desde la perspectiva del derecho fundamental a la legalidad penal, se trata de la aplicación retroactiva de una decisión legislativa.</w:t>
      </w:r>
    </w:p>
    <w:p w:rsidR="001D6FAE" w:rsidRDefault="001D6FAE" w:rsidP="001D6FAE">
      <w:pPr>
        <w:pStyle w:val="TextoNormal"/>
      </w:pPr>
    </w:p>
    <w:p w:rsidR="001D6FAE" w:rsidRDefault="001D6FAE" w:rsidP="001D6FAE">
      <w:pPr>
        <w:pStyle w:val="TextoNormal"/>
      </w:pPr>
      <w:r>
        <w:t xml:space="preserve">Desde la perspectiva del art. 7.1 del Convenio europeo de derechos humanos (CEDH), según la interpretación del Tribunal Europeo de Derechos Humanos, esta cuestión no tiene tanta relevancia pues aquel Tribunal profesa una idea integradora del concepto de Derecho que incluye tanto el de origen legislativo como jurisprudencial. De ese modo ha declarado que no cabe descartar “la posibilidad de que las medidas que se adoptan por parte del poder legislativo, las autoridades administrativas o los tribunales después de la imposición de la condena definitiva o durante su cumplimiento puedan redundar en una redefinición o modificación del alcance de la `pena´ impuesta por el tribunal sentenciador. Cuando eso ocurre, el Tribunal estima que dichas medidas deben quedar comprendidas en el ámbito de la prohibición de la aplicación retroactiva de las penas consagrada en el artículo 7.1 </w:t>
      </w:r>
      <w:r w:rsidRPr="001D6FAE">
        <w:rPr>
          <w:i/>
        </w:rPr>
        <w:t>in fine</w:t>
      </w:r>
      <w:r>
        <w:t xml:space="preserve"> del Convenio. De otra manera, los Estados serían libres —modificando la ley o reinterpretando los reglamentos vigentes, por ejemplo— de adoptar medidas para redefinir retroactivamente el alcance de la pena impuesta, en perjuicio del condenado, cuando este último no podía imaginarse tal circunstancia en el momento de la comisión del delito. En tales condiciones, el artículo 7.1 quedaría privado de todo efecto útil respecto a las personas condenadas cuyas condenas fueran modificadas </w:t>
      </w:r>
      <w:r w:rsidRPr="001D6FAE">
        <w:rPr>
          <w:i/>
        </w:rPr>
        <w:t>ex post facto</w:t>
      </w:r>
      <w:r>
        <w:t xml:space="preserve"> en su detrimento” (STEDH de 21 de octubre de 2013, asunt</w:t>
      </w:r>
      <w:r w:rsidRPr="001D6FAE">
        <w:rPr>
          <w:i/>
        </w:rPr>
        <w:t>o Del Rio Prada c. Espa</w:t>
      </w:r>
      <w:r>
        <w:t>ña, § 89).</w:t>
      </w:r>
    </w:p>
    <w:p w:rsidR="001D6FAE" w:rsidRDefault="001D6FAE" w:rsidP="001D6FAE">
      <w:pPr>
        <w:pStyle w:val="TextoNormal"/>
      </w:pPr>
    </w:p>
    <w:p w:rsidR="001D6FAE" w:rsidRDefault="001D6FAE" w:rsidP="001D6FAE">
      <w:pPr>
        <w:pStyle w:val="TextoNormal"/>
      </w:pPr>
      <w:r>
        <w:t>De ese modo, acreditado que la interpretación controvertida en la resolución impugnada en este amparo tiene como razón operativa la decisión legislativa plasmada en la Ley Orgánica 7/2014, es preciso examinar si se trata de una aplicación retroactiva —sea de una norma o de una nueva jurisprudencia directamente vinculada con un cambio legislativo— de carácter peyorativo, en contra de lo que sostiene la opinión mayoritaria en la que se sustenta el Auto del Tribunal.</w:t>
      </w:r>
    </w:p>
    <w:p w:rsidR="001D6FAE" w:rsidRDefault="001D6FAE" w:rsidP="001D6FAE">
      <w:pPr>
        <w:pStyle w:val="TextoNormal"/>
      </w:pPr>
    </w:p>
    <w:p w:rsidR="001D6FAE" w:rsidRDefault="001D6FAE" w:rsidP="001D6FAE">
      <w:pPr>
        <w:pStyle w:val="TextoNormal"/>
      </w:pPr>
      <w:r>
        <w:t>5. Pues bien, tampoco puede aceptarse, en nuestra opinión, la afirmación mantenida por la opinión mayoritaria en la que se sustenta el Auto en el sentido de que el nuevo criterio interpretativo instaurado en la resolución impugnada en amparo es producto de una mera divergencia interpretativa que no implica una aplicación retroactiva que haya generado un cambio sorpresivo e inesperado de criterio jurisprudencial en perjuicio de las expectativas consolidadas por el reo en ese proceso, y de que la penalidad definitivamente impuesta al recurrente ha permanecido inalterada en coherencia con la normativa y la practica judicial imperante.</w:t>
      </w:r>
    </w:p>
    <w:p w:rsidR="001D6FAE" w:rsidRDefault="001D6FAE" w:rsidP="001D6FAE">
      <w:pPr>
        <w:pStyle w:val="TextoNormal"/>
      </w:pPr>
    </w:p>
    <w:p w:rsidR="001D6FAE" w:rsidRDefault="001D6FAE" w:rsidP="001D6FAE">
      <w:pPr>
        <w:pStyle w:val="TextoNormal"/>
      </w:pPr>
      <w:r>
        <w:t xml:space="preserve">La posición mayoritaria en la que se sustenta el Auto, siguiendo en ello también a las resoluciones impugnadas en amparo, que no discuten ese aspecto, parte del presupuesto de que la decisión de incluir o no las sentencias emitidas y cumplidas en un país de la Unión Europea en la acumulación de penas para el computo de los límites máximos de cumplimiento previstos en el art. 76 del Código penal (CP) no constituye una mera medida de ejecución de una pena que no queda abarcada por la prohibición de una aplicación retroactiva en caso de ser peyorativa. Este Tribunal, cuando se enjuició el cambio jurisprudencial en la aplicación del cómputo de la redención de penas por el trabajos en los casos de acumulación de condenas provocado por la Sentencia de la Sala Segunda del Tribunal Supremo núm. 197/2006, de 28 febrero, defendió que dicha cuestión quedaba fuera del ámbito del derecho fundamental a la legalidad sancionadora del art. 25.1 CE, por tratarse de la ejecución de una pena privativa de libertad. Sin embargo, no parece ahora controvertido considerar, siguiendo en ello la jurisprudencia sentada en relación con el art. 7.1 CEDH por la STEDH de 21 de octubre de 2013, asunto </w:t>
      </w:r>
      <w:r w:rsidRPr="001D6FAE">
        <w:rPr>
          <w:i/>
        </w:rPr>
        <w:t>Del Rio Prada c. España</w:t>
      </w:r>
      <w:r>
        <w:t>, §§ 109 y 110, que nos encontramos ante una institución que, al incidir sobre la extensión de la pena privativa de libertad que debe ser efectivamente cumplida por la comisión de un ilícito penal, queda enmarcada en el ámbito de aplicación de la prohibición de retroacción peyorativa de las normas penales que consagra el art. 25.1 CE.</w:t>
      </w:r>
    </w:p>
    <w:p w:rsidR="001D6FAE" w:rsidRDefault="001D6FAE" w:rsidP="001D6FAE">
      <w:pPr>
        <w:pStyle w:val="TextoNormal"/>
      </w:pPr>
    </w:p>
    <w:p w:rsidR="001D6FAE" w:rsidRDefault="001D6FAE" w:rsidP="001D6FAE">
      <w:pPr>
        <w:pStyle w:val="TextoNormal"/>
      </w:pPr>
      <w:r>
        <w:t>6. A partir de ello, para apreciar la existencia o no de una eventual aplicación retroactiva de carácter peyorativo, es preciso atender a la sucesión de situaciones normativas —incluyendo su interpretación jurisprudencial— sobre la posibilidad de tomar en consideración las condenas impuestas en el extranjero para la acumulación y determinación del periodo máximo de cumplimiento efectivo. A esos efectos, pueden identificarse, según la resolución impugnada en amparo, tres periodos temporales diferenciados:</w:t>
      </w:r>
    </w:p>
    <w:p w:rsidR="001D6FAE" w:rsidRDefault="001D6FAE" w:rsidP="001D6FAE">
      <w:pPr>
        <w:pStyle w:val="TextoNormal"/>
      </w:pPr>
    </w:p>
    <w:p w:rsidR="001D6FAE" w:rsidRDefault="001D6FAE" w:rsidP="001D6FAE">
      <w:pPr>
        <w:pStyle w:val="TextoNormal"/>
      </w:pPr>
      <w:r>
        <w:t>(i) El primer periodo se extiende hasta el incumplimiento por parte del Estado español del plazo de transposición de la Decisión Marco 2008/675/JAI, que se produce el 15 de agosto de 2010. En ese periodo es cuando se cometieron y enjuiciaron los hechos cometidos Francia y en España y se tomó una primera decisión sobre la acumulación y determinación del máximo de cumplimiento del recurrente (STS de 11 de marzo de 2009). La situación normativa, en la interpretación y concreta aplicación jurisprudencial que se hacía de estos supuestos, no puede afirmarse que implicara de una manera indubitada y concluyente la posibilidad de tomar en consideración en esta operación las condenas de prisión cumplidas en Francia.</w:t>
      </w:r>
    </w:p>
    <w:p w:rsidR="001D6FAE" w:rsidRDefault="001D6FAE" w:rsidP="001D6FAE">
      <w:pPr>
        <w:pStyle w:val="TextoNormal"/>
      </w:pPr>
    </w:p>
    <w:p w:rsidR="001D6FAE" w:rsidRDefault="001D6FAE" w:rsidP="001D6FAE">
      <w:pPr>
        <w:pStyle w:val="TextoNormal"/>
      </w:pPr>
      <w:r>
        <w:t xml:space="preserve">(ii) El segundo periodo se extiende desde el 16 de agosto de 2010 —transcurso del plazo de transposición de la Decisión Marco 2008/675/JAI sin dar cumplimiento a la obligación de trasposición— hasta el 2 de diciembre de 2014, que es cuando se produce la entrada en vigor de la Ley Orgánica 7/2014 de transposición de la citada Decisión Marco. En ese periodo es cuando se realizan sendas solicitudes de acumulación de fecha 13 de junio y 21 de octubre de 2013. La situación normativa, en la interpretación y concreta aplicación jurisprudencial que se hizo en la STS 186/2014, de 13 de marzo, determinaba la posibilidad de acumulación de las condenas impuestas y cumplidas en un país de la Unión Europea por aplicación del principio de la interpretación conforme con la normativa europea establecido en la STJUE de 16 de junio de 2005, caso </w:t>
      </w:r>
      <w:r w:rsidRPr="001D6FAE">
        <w:rPr>
          <w:i/>
        </w:rPr>
        <w:t>Pupino</w:t>
      </w:r>
      <w:r>
        <w:t xml:space="preserve">, asunto C-105/03, en los casos de incumplimiento de transposición en plazo de las decisiones marco. Los avances en el proceso de integración europea y en el desarrollo normativo comunitario vinculado a los principios de reconocimiento mutuo y eficacia recíproca de resoluciones penales inhabilitaban ya, también desde la perspectiva del ejercicio del </w:t>
      </w:r>
      <w:r w:rsidRPr="001D6FAE">
        <w:rPr>
          <w:i/>
        </w:rPr>
        <w:t>ius puniendi</w:t>
      </w:r>
      <w:r>
        <w:t xml:space="preserve"> [derecho de castigar] estatal de la apelación al anquilosado principio de soberanía que había servido en el primer periodo a la STS 2117/2002, de 18 de diciembre, como sustento argumental para concluir la prohibición de acumulación de condenas impuesta y cumplidas en otros países de la Unión Europea.</w:t>
      </w:r>
    </w:p>
    <w:p w:rsidR="001D6FAE" w:rsidRDefault="001D6FAE" w:rsidP="001D6FAE">
      <w:pPr>
        <w:pStyle w:val="TextoNormal"/>
      </w:pPr>
    </w:p>
    <w:p w:rsidR="001D6FAE" w:rsidRDefault="001D6FAE" w:rsidP="001D6FAE">
      <w:pPr>
        <w:pStyle w:val="TextoNormal"/>
      </w:pPr>
      <w:r>
        <w:t>(iii) El tercer periodo se extiende desde el 3 de diciembre de 2014 —entrada en vigor de la Ley Orgánica 7/2014, que traspone la Decisión Marco 2008/675/JAI—. En este periodo es cuando se resuelve en casación la solicitud de acumulación cursada por el recurrente el 21 de octubre de 2013. La resolución impugnada viene a establecer para este periodo dos situaciones diferenciadas: la primera se refiere a aquellos supuestos en que, por razón del tiempo, la Ley Orgánica 7/2014 no resulta directamente aplicable. En tales casos, como es el presente, la situación normativa, en la interpretación y concreta aplicación jurisprudencial que se hizo en la STS 874/2014, de 27 de enero de 2015, ahora impugnada en amparo, determina la imposibilidad de tomar en consideración condenas previas impuestas en países de la Unión Europea al no ser ya posible hacer una interpretación contraria a la Ley Orgánica 7/2014, aun no siendo directamente aplicable al caso. La segunda se refiere a aquellos supuestos en que, por razón del tiempo, la Ley Orgánica 7/2014 ya resulte directamente aplicable.</w:t>
      </w:r>
    </w:p>
    <w:p w:rsidR="001D6FAE" w:rsidRDefault="001D6FAE" w:rsidP="001D6FAE">
      <w:pPr>
        <w:pStyle w:val="TextoNormal"/>
      </w:pPr>
    </w:p>
    <w:p w:rsidR="001D6FAE" w:rsidRDefault="001D6FAE" w:rsidP="001D6FAE">
      <w:pPr>
        <w:pStyle w:val="TextoNormal"/>
      </w:pPr>
      <w:r>
        <w:t>7. Esta sucesión normativa permite extraer algunas conclusiones para valorar la eventual existencia de una aplicación retroactiva de carácter peyorativo:</w:t>
      </w:r>
    </w:p>
    <w:p w:rsidR="001D6FAE" w:rsidRDefault="001D6FAE" w:rsidP="001D6FAE">
      <w:pPr>
        <w:pStyle w:val="TextoNormal"/>
      </w:pPr>
    </w:p>
    <w:p w:rsidR="001D6FAE" w:rsidRDefault="001D6FAE" w:rsidP="001D6FAE">
      <w:pPr>
        <w:pStyle w:val="TextoNormal"/>
      </w:pPr>
      <w:r>
        <w:t>(i) En el periodo temporal en que se cometieron y se enjuiciaron los hechos en Francia y España y se resolvió la primera solicitud de acumulación, la situación normativa —jurisprudencialmente interpretada— no era inequívocamente favorable a la pretensión de acumulación. Por tanto, en ese concreto aspecto, tiene razón la opinión mayoritaria en la que se sustenta el Auto en el sentido de que no resulta justificado establecer durante ese periodo temporal ninguna expectativa legítima de acumulabilidad.</w:t>
      </w:r>
    </w:p>
    <w:p w:rsidR="001D6FAE" w:rsidRDefault="001D6FAE" w:rsidP="001D6FAE">
      <w:pPr>
        <w:pStyle w:val="TextoNormal"/>
      </w:pPr>
    </w:p>
    <w:p w:rsidR="001D6FAE" w:rsidRDefault="001D6FAE" w:rsidP="001D6FAE">
      <w:pPr>
        <w:pStyle w:val="TextoNormal"/>
      </w:pPr>
      <w:r>
        <w:t>(ii) En el periodo temporal en que se realizaron las sucesivas solicitudes de acumulación, una vez transcurrido el plazo establecido en la Decisión Marco 2008/675/JAI para su transposición sin que se hubiera dado cumplimiento por parte del Estado español, la situación normativa —jurisprudencialmente interpretada— era favorable a la pretensión de acumulación. En ese contexto, la STS 186/2014 no representa una resolución aislada, sino que fue la norma jurisprudencial que estableció una regla que inmediatamente fue acatada y aplicada por la Sala de lo Penal de la Audiencia Nacional ante las diversas solicitudes que se le cursaron. Por tanto, supone una situación normativa intermedia más favorable al recurrente susceptible de generar una expectativa legítima de acumulabilidad en aplicación del principio de aplicación retroactiva de una situación normativa favorable.</w:t>
      </w:r>
    </w:p>
    <w:p w:rsidR="001D6FAE" w:rsidRDefault="001D6FAE" w:rsidP="001D6FAE">
      <w:pPr>
        <w:pStyle w:val="TextoNormal"/>
      </w:pPr>
    </w:p>
    <w:p w:rsidR="001D6FAE" w:rsidRDefault="001D6FAE" w:rsidP="001D6FAE">
      <w:pPr>
        <w:pStyle w:val="TextoNormal"/>
      </w:pPr>
      <w:r>
        <w:t>(iii) La resolución en casación de la solicitud del recurrente por la STS 874/2014, que es la ahora impugnada en amparo, supuso el punto inicial del cambio de la situación normativa más favorable instaurada por la STS 186/2014 pero, como ya se ha expuesto, no a partir de un mero cambio o divergencia del criterio jurisprudencial, sino justificada en el advenimiento que un acto legislativo —la Ley Orgánica 7/2014— que, aun no siendo directamente aplicable por razones de tiempo, inhabilitaba dicho criterio hermenéutico. La STS 874/2014 sirvió de base para, primero, ir revocando en casación las decisiones de acumulación ya acordadas por la Audiencia Nacional (así, por ejemplo, SSTS núm. 178/2015, de 24 de marzo, 235/2015, de 23 de abril, o 270/2015, de 30 de abril) y, segundo, para que la Audiencia Nacional volviera a cambiar su anterior práctica jurisprudencial y denegara las sucesivas acumulaciones que se le solicitaban (así, por ejemplo, Autos del Pleno de la Sala de lo Penal de la Audiencia Nacional núm. 40/2015, de 9 de junio; o 68/2015, de 21 de julio). Por tanto, se consolidó una situación normativa novedosa inequívocamente contraria a la pretensión de acumulación y, por tanto, de carácter peyorativo, frustrando con ello las legítimas expectativas creadas con la situación normativa previa.</w:t>
      </w:r>
    </w:p>
    <w:p w:rsidR="001D6FAE" w:rsidRDefault="001D6FAE" w:rsidP="001D6FAE">
      <w:pPr>
        <w:pStyle w:val="TextoNormal"/>
      </w:pPr>
    </w:p>
    <w:p w:rsidR="001D6FAE" w:rsidRDefault="001D6FAE" w:rsidP="001D6FAE">
      <w:pPr>
        <w:pStyle w:val="TextoNormal"/>
      </w:pPr>
      <w:r>
        <w:t>8. De todo lo anterior se deriva que, en oposición a lo mantenido por la opinión mayoritaria en la que se sustenta el Auto, la decisión judicial impugnada supone la aplicación retroactiva de una situación normativa peyorativa con una repercusión efectiva en la extensión de la pena privativa de libertad que debe cumplirse por la comisión de un hecho ilícito que de una manera sorpresiva ha frustrado expectativas legítimas de aplicación de una normativa previa más favorable vulnerando con ello el derecho a la legalidad penal (art. 25.1 CE) en relación con el derecho a la libertad personal (art. 17.1 CE).</w:t>
      </w:r>
    </w:p>
    <w:p w:rsidR="001D6FAE" w:rsidRDefault="001D6FAE" w:rsidP="001D6FAE">
      <w:pPr>
        <w:pStyle w:val="TextoNormal"/>
      </w:pPr>
    </w:p>
    <w:p w:rsidR="001D6FAE" w:rsidRDefault="001D6FAE" w:rsidP="001D6FAE">
      <w:pPr>
        <w:pStyle w:val="TextoNormal"/>
      </w:pPr>
      <w:r>
        <w:t>En efecto, concretando todos los elementos exigibles para apreciar la concurrencia de la citada vulneración en el presente caso se constata lo siguiente:</w:t>
      </w:r>
    </w:p>
    <w:p w:rsidR="001D6FAE" w:rsidRDefault="001D6FAE" w:rsidP="001D6FAE">
      <w:pPr>
        <w:pStyle w:val="TextoNormal"/>
      </w:pPr>
    </w:p>
    <w:p w:rsidR="001D6FAE" w:rsidRDefault="001D6FAE" w:rsidP="001D6FAE">
      <w:pPr>
        <w:pStyle w:val="TextoNormal"/>
      </w:pPr>
      <w:r>
        <w:t xml:space="preserve">(i) La posibilidad de tomar en consideración penas ya cumplidas en otro país a los efectos de valorar su acumulación para determinar el máximo de cumplimiento de una pena privativa de libertad queda incluida dentro del alcance de la prohibición de aplicación retroactiva de normas penales establecida en el art. 25.1 CE. Por un lado, es una operación que sirve para determinar de manera efectiva la extensión de la pena de prisión que debe cumplirse. Por otro, tal como ya se reconocía en la STEDH de 21 de octubre de 2013, asunto </w:t>
      </w:r>
      <w:r w:rsidRPr="001D6FAE">
        <w:rPr>
          <w:i/>
        </w:rPr>
        <w:t>Del Rio Prada c. España</w:t>
      </w:r>
      <w:r>
        <w:t>, § 98, el resultado de la determinación del tiempo de cumplimiento máximo derivado de la acumulación de condenas tiene la consideración, de acuerdo con nuestro ordenamiento interno, de una pena nueva y autónoma que hace indubitada la aplicación de las garantías del principio de legalidad previsto en el art. 7.1 CEDH.</w:t>
      </w:r>
    </w:p>
    <w:p w:rsidR="001D6FAE" w:rsidRDefault="001D6FAE" w:rsidP="001D6FAE">
      <w:pPr>
        <w:pStyle w:val="TextoNormal"/>
      </w:pPr>
    </w:p>
    <w:p w:rsidR="001D6FAE" w:rsidRDefault="001D6FAE" w:rsidP="001D6FAE">
      <w:pPr>
        <w:pStyle w:val="TextoNormal"/>
      </w:pPr>
      <w:r>
        <w:t xml:space="preserve">(ii) La circunstancia de que esta nueva situación normativa generada por la STS 874/2014 se pretenda imputar en exclusiva a la modificación de una interpretación jurisprudencial tampoco impide que se incluya en la prohibición de aplicación retroactiva de normas penales establecida en el art. 25.1 CE. Por un lado, ha quedado constatado que esta nueva situación normativa se ha visto directamente justificada en la existencia de una intervención legislativa como era la entrada en vigor de la Ley Orgánica 7/2014, que prohibía expresamente la acumulabilidad de las condenas producidas en otros países de la Unión Europea; y, por otro, tal como ya se reconocía en la STEDH de 21 de octubre de 2013, asunto </w:t>
      </w:r>
      <w:r w:rsidRPr="001D6FAE">
        <w:rPr>
          <w:i/>
        </w:rPr>
        <w:t>Del Rio Prada c. España</w:t>
      </w:r>
      <w:r>
        <w:t>, § 89, resulta indiferente, al menos a los efectos del art. 7.1 CEDH, que la nueva situación normativa derive de una medidas adoptada por parte del poder legislativo, las autoridades administrativas o los tribunales.</w:t>
      </w:r>
    </w:p>
    <w:p w:rsidR="001D6FAE" w:rsidRDefault="001D6FAE" w:rsidP="001D6FAE">
      <w:pPr>
        <w:pStyle w:val="TextoNormal"/>
      </w:pPr>
    </w:p>
    <w:p w:rsidR="001D6FAE" w:rsidRDefault="001D6FAE" w:rsidP="001D6FAE">
      <w:pPr>
        <w:pStyle w:val="TextoNormal"/>
      </w:pPr>
      <w:r>
        <w:t>(iii) El hecho de que esta nueva situación normativa generada por la STS 874/2014 se fundamente como razón jurídica esencial en una expresa previsión legal prohibitiva de la acumulación que entraba en vigor el 3 de diciembre de 2014 pone de manifiesto que implica una aplicación con carácter retroactivo no solo respecto del momento en que se cometieron los hechos o se produjeran las condenas, sino también del en que se solicitó la acumulación.</w:t>
      </w:r>
    </w:p>
    <w:p w:rsidR="001D6FAE" w:rsidRDefault="001D6FAE" w:rsidP="001D6FAE">
      <w:pPr>
        <w:pStyle w:val="TextoNormal"/>
      </w:pPr>
    </w:p>
    <w:p w:rsidR="001D6FAE" w:rsidRDefault="001D6FAE" w:rsidP="001D6FAE">
      <w:pPr>
        <w:pStyle w:val="TextoNormal"/>
      </w:pPr>
      <w:r>
        <w:t>(iv) La circunstancia de que esta nueva situación normativa generada por la STS 874/2014 tenga como consecuencia jurídica la prohibición de tomar en consideración las condenas ya cumplidas en otro país de la Unión Europea a los efectos de establecer el límite máximo de cumplimiento y determinar el tiempo que ya se ha liquidado de la pena privativa de libertad pone de manifiesto su carácter peyorativo, ya que implica un alargamiento efectivo del periodo de pérdida de libertad en relación con el resultante de la aplicación de la situación normativa anterior.</w:t>
      </w:r>
    </w:p>
    <w:p w:rsidR="001D6FAE" w:rsidRDefault="001D6FAE" w:rsidP="001D6FAE">
      <w:pPr>
        <w:pStyle w:val="TextoNormal"/>
      </w:pPr>
    </w:p>
    <w:p w:rsidR="001D6FAE" w:rsidRDefault="001D6FAE" w:rsidP="001D6FAE">
      <w:pPr>
        <w:pStyle w:val="TextoNormal"/>
      </w:pPr>
      <w:r>
        <w:t>(v) La prexistencia de una situación normativa generada por la STS 186/2014, más favorable al reo, pone de manifiesto que la posterior derivada de la STS 874/2014 supuso la frustración de legítimas expectativas del recurrente. Es un hecho no controvertible que, con independencia de su tiempo de duración, la STS 186/2014 vino a consagrar una situación normativa consolidada y vinculada a una interpretación conforme Decisión Marco 2008/675/JAI que fue efectivamente aplicada de manera firme a diversas solicitudes de acumulación resueltas tras el incumplimiento del plazo de transposición de la citada Decisión Marco. Por tanto, de haberse resuelto la solicitud del recurrente en ese lapso temporal, como ocurrió con otros solicitantes, se habría visto beneficiado de las consecuencias de esa situación normativa.</w:t>
      </w:r>
    </w:p>
    <w:p w:rsidR="001D6FAE" w:rsidRDefault="001D6FAE" w:rsidP="001D6FAE">
      <w:pPr>
        <w:pStyle w:val="TextoNormal"/>
      </w:pPr>
    </w:p>
    <w:p w:rsidR="001D6FAE" w:rsidRDefault="001D6FAE" w:rsidP="001D6FAE">
      <w:pPr>
        <w:pStyle w:val="TextoNormal"/>
      </w:pPr>
      <w:r>
        <w:t xml:space="preserve">Ciertamente, como ya se ha señalado, la frustración de esas expectativas no se produce —como parece considerar relevante la opinión mayoritaria en la que se sustenta el Auto—, en relación con la situación normativa cuando se cometieron los hechos, sino en relación con esta situación intermedia más favorable. Esta circunstancia no representa ningún obstáculo. Nadie ha controvertido en la vía judicial previa que la solicitud de acumulación del recurrente, en caso de no haberse producido este cambio jurisprudencial, hubiera debido de ser resuelta conforma a esta situación intermedia más favorable. En cualquier caso, aunque se pretenda establecer como parámetro temporal el momento de comisión de los hechos, la necesidad de que se haga una aplicación de esta situación intermedia —más favorable que la imperante cuando se cometieron los hechos o fueron enjuiciados— es también una garantía ínsita en el derecho a la legalidad penal reconocida expresamente en el art. 15.1 del Pacto internacional de derechos civiles y políticos y en el art. 49.1 de la Carta de derechos fundamentales de la Unión Europea. Además la STEDH de 19 de septiembre de 2009, asunto </w:t>
      </w:r>
      <w:r w:rsidRPr="001D6FAE">
        <w:rPr>
          <w:i/>
        </w:rPr>
        <w:t>Scoppola c Italia —núm</w:t>
      </w:r>
      <w:r>
        <w:t>. 2—, §§ 108 y 109, también ha establecido que es una de las dimensiones de este derecho consagrado en el art. 7.1 CEDH. El hecho de que la jurisprudencia de este Tribunal haya sido hasta ahora renuente a incluirla de manera precisa en el art. 25.1 CE a los efectos de que pueda invocarse en el recurso de amparo (así, por ejemplo, STC 21/2008, de 31 de enero, FJ 5), limitando su encuadre en el art. 9.3 CE (así, ya STC 15/1981, de 7 de mayo, FJ 7), no impide tener una legítima esperanza en que esa jurisprudencia sea en un futuro inmediato reconsiderada por imperativo del art. 10.2 CE a la luz de la evolución del Derecho internacional y regional de los derechos humanos, ni reconocer que, en todo caso, la negativa a hacer una aplicación retroactiva de una norma penal favorable es susceptible de ser considerada lesiva de derechos fundamentales por invocación de los arts. 17.1 o 24.1 CE, en relación con el art. 9.3 CE (así, SSTC 177/1994, de 10 de junio, FJ 1).</w:t>
      </w:r>
    </w:p>
    <w:p w:rsidR="001D6FAE" w:rsidRDefault="001D6FAE" w:rsidP="001D6FAE">
      <w:pPr>
        <w:pStyle w:val="TextoNormal"/>
      </w:pPr>
    </w:p>
    <w:p w:rsidR="001D6FAE" w:rsidRDefault="001D6FAE" w:rsidP="001D6FAE">
      <w:pPr>
        <w:pStyle w:val="TextoNormal"/>
      </w:pPr>
      <w:r>
        <w:t>(vi) El advenimiento de esta nueva situación normativa generada por la STS 874/2014 ha resultado sorpresiva e imprevisible para el recurrente. Era indubitada la situación normativa favorable a la acumulación que vino a modificar la citada STS 874/2014. En ese contexto, no cabía esperar, ni siquiera con el asesoramiento pertinente, que la mera entrada en vigor de una transposición tardía de la Decisión Marco 2008/675/JAI por la Ley Orgánica 7/2014 —que en ningún caso podía tener efectos retroactivos— pudiera llevar a un órgano judicial a establecer una jurisprudencia que, afirmando que no cabía hacer aplicación directa de la prohibición de acumulación prevista en el art. 14 de la Ley Orgánica 7/2014, por no resultar temporalmente posible, sin embargo alterara la anterior jurisprudencia de manera tal que formal y materialmente llevara a resultados absolutamente coincidentes con las consecuencias jurídicas previstas en esa norma posterior con el argumento —cuya trascendencia operativa no puede pasar inadvertida— de que ya no cabía una interpretación que la contradijera.</w:t>
      </w:r>
    </w:p>
    <w:p w:rsidR="001D6FAE" w:rsidRDefault="001D6FAE" w:rsidP="001D6FAE">
      <w:pPr>
        <w:pStyle w:val="TextoNormal"/>
      </w:pPr>
    </w:p>
    <w:p w:rsidR="001D6FAE" w:rsidRDefault="001D6FAE" w:rsidP="001D6FAE">
      <w:pPr>
        <w:pStyle w:val="TextoNormal"/>
      </w:pPr>
      <w:r>
        <w:t>9. En definitiva, creemos que las razones expuestas acreditan que los argumentos utilizados por la opinión mayoritaria en la que se sustenta el Auto no resultan mínimamente consistentes para rechazar la invocada prohibición de la aplicación retroactiva de una situación normativa en perjuicio de un condenado.</w:t>
      </w:r>
    </w:p>
    <w:p w:rsidR="001D6FAE" w:rsidRDefault="001D6FAE" w:rsidP="001D6FAE">
      <w:pPr>
        <w:pStyle w:val="TextoNormal"/>
      </w:pPr>
    </w:p>
    <w:p w:rsidR="001D6FAE" w:rsidRDefault="001D6FAE" w:rsidP="001D6FAE">
      <w:pPr>
        <w:pStyle w:val="TextoNormal"/>
      </w:pPr>
      <w:r>
        <w:t>El Voto particular formulado a la resolución impugnada por el Magistrado don Joaquín Giménez García, con la adhesión de otros cinco Magistrados, afirma que “cualquier lector ya habrá comprendido que la intención de la Ley Orgánica 7/2014 ha sido la de cerrar la posibilidad de recortes en las de penas a cumplir por miembros de la organización terrorista ETA, condenados por crímenes gravísimos como es conocido por todos, a consecuencia de la acumulación de las condenas dictadas por los Tribunales franceses a las dictadas por los Tribunales españoles”. Nada hay que decir, desde la perspectiva constitucional, a esa pretensión. Sin embargo, al igual que el art. 25.1 CE impide al legislador que la Ley Orgánica 7/2014 pueda resultar de aplicación a hechos o delitos cometidos antes de su entrada en vigor en la medida en que altere situaciones normativas más favorables —y, siendo consciente de ello, la resolución judicial impugnada niega su aplicabilidad al recurrente—; también a los órganos judiciales alcanza esa prohibición constitucional y no pueden, bajo la apariencia de meras divergencias interpretativas, llegar a las mismas consecuencias jurídicas que la Constitución prohíbe para el legislador.</w:t>
      </w:r>
    </w:p>
    <w:p w:rsidR="001D6FAE" w:rsidRDefault="001D6FAE" w:rsidP="001D6FAE">
      <w:pPr>
        <w:pStyle w:val="TextoNormal"/>
      </w:pPr>
    </w:p>
    <w:p w:rsidR="001D6FAE" w:rsidRDefault="001D6FAE" w:rsidP="001D6FAE">
      <w:pPr>
        <w:pStyle w:val="TextoNormal"/>
      </w:pPr>
      <w:r>
        <w:t>La propia resolución impugnada reconoce que la creación de una situación normativa favorable a la aplicabilidad de las condenas en Francia, consolidada jurisprudencialmente por la STS 186/2014, fue provocada por la desidia del Estado español que no transpuso en tiempo las posibilidades de excepcionar o limitar el principio de reconocimiento mutuo recogidas en el art. 3.5 de la Decisión Marco 2008/675/JAI, obligando a que se interpretaran las reglas de acumulación del Código penal de conformidad con una norma cuya vocación era establecer como regla general la toma de consideración de esas resoluciones en aplicación del principio de reconocimiento mutuo y confianza recíproca. A partir de ello, las posibilidades de revertir las beneficiosas consecuencias jurídicas que se pudieran derivar de esa situación normativa, por mucho que sus principales acreedores fueran miembros de una organización terrorista, no solo quedaban constitucionalmente vedadas al legislador y al poder ejecutivo, sino que también imposibilitaba a los órganos judiciales su rectificación por la vía pretendida en la resolución judicial impugnada.</w:t>
      </w:r>
    </w:p>
    <w:p w:rsidR="001D6FAE" w:rsidRDefault="001D6FAE" w:rsidP="001D6FAE">
      <w:pPr>
        <w:pStyle w:val="TextoNormal"/>
      </w:pPr>
    </w:p>
    <w:p w:rsidR="001D6FAE" w:rsidRDefault="001D6FAE" w:rsidP="001D6FAE">
      <w:pPr>
        <w:pStyle w:val="TextoNormal"/>
      </w:pPr>
      <w:r>
        <w:t xml:space="preserve">El Estado español parece haber acatado las consecuencias jurídicas derivadas de la STEDH de 21 de octubre de 2013, asunto </w:t>
      </w:r>
      <w:r w:rsidRPr="001D6FAE">
        <w:rPr>
          <w:i/>
        </w:rPr>
        <w:t>Del Rio Prada c. España</w:t>
      </w:r>
      <w:r>
        <w:t>, en relación con un supuesto con patentes analogías con el presente. Este nuevo pronunciamiento judicial ahora recurrido en amparo y la decisión de inadmitirlo por razones de fondo parecen evidenciar, a nuestro juicio, que o bien no se comprendieron las razones sustantivas y de garantía de los derechos fundamentales que provocaron aquella decisión del Tribunal Europeo de Derechos Humanos o bien se hace de ellas un tratamiento excepcional solo en atención a sus potenciales beneficiarios. Los errores, las decisiones o la desidia del legislador español no pueden ser enmendadas por los órganos judiciales a consta del sacrificio de los derechos fundamentales. Cuando eso sucede, es labor del Tribunal Constitucional remediarlo sin esperar la decisión de otras instancias jurisdiccionales internacionales.</w:t>
      </w:r>
    </w:p>
    <w:p w:rsidR="001D6FAE" w:rsidRDefault="001D6FAE" w:rsidP="001D6FAE">
      <w:pPr>
        <w:pStyle w:val="TextoNormal"/>
      </w:pPr>
    </w:p>
    <w:p w:rsidR="001D6FAE" w:rsidRDefault="001D6FAE" w:rsidP="001D6FAE">
      <w:pPr>
        <w:pStyle w:val="TextoNormal"/>
      </w:pPr>
      <w:r>
        <w:t>III. Sobre la negativa a plantear al Tribunal de Justicia de la Unión Europea una cuestión prejudicial para determinar si la previsión de la Ley Orgánica 7/2014 de hacer inviable la acumulación de condenas del resto de países de la Unión Europea es compatible con la Decisión Marco 2008/675/JAI.</w:t>
      </w:r>
    </w:p>
    <w:p w:rsidR="001D6FAE" w:rsidRDefault="001D6FAE" w:rsidP="001D6FAE">
      <w:pPr>
        <w:pStyle w:val="TextoNormal"/>
      </w:pPr>
    </w:p>
    <w:p w:rsidR="001D6FAE" w:rsidRDefault="001D6FAE" w:rsidP="001D6FAE">
      <w:pPr>
        <w:pStyle w:val="TextoNormal"/>
      </w:pPr>
      <w:r>
        <w:t>10. Una segunda cuestión que, desde la perspectiva de los derechos fundamentales, suscita este recurso de amparo es determinar si, aun asumiendo que la aplicación que se hace por vía interpretativa de la Ley Orgánica 7/2014 no resulta contraria a los arts. 17.1 y 25.1 CE, la decisión judicial de no plantear una cuestión prejudicial sobre si la previsión de la Ley Orgánica 7/2014 de hacer inviable la acumulación de condenas del resto de países de la Unión Europea contradice a la Decisión Marco 2008/675/JAI vulnera el derecho a la tutela judicial efectiva.</w:t>
      </w:r>
    </w:p>
    <w:p w:rsidR="001D6FAE" w:rsidRDefault="001D6FAE" w:rsidP="001D6FAE">
      <w:pPr>
        <w:pStyle w:val="TextoNormal"/>
      </w:pPr>
    </w:p>
    <w:p w:rsidR="001D6FAE" w:rsidRDefault="001D6FAE" w:rsidP="001D6FAE">
      <w:pPr>
        <w:pStyle w:val="TextoNormal"/>
      </w:pPr>
      <w:r>
        <w:t>La opinión mayoritaria en la que se sustenta el Auto considera que es manifiesto que no concurre esa vulneración con fundamento en que los argumentos expuestos en la resolución impugnada para justificar la improcedencia del planteamiento de la cuestión prejudicial se basan en la doctrina del propio Tribunal de Justicia de la Unión Europea sobre el acto claro y la resolución ha hecho expresas las razones por las que consideraba que había una clara interpretación del precepto sin incurrir en ningún defecto de motivación con relevancia constitucional.</w:t>
      </w:r>
    </w:p>
    <w:p w:rsidR="001D6FAE" w:rsidRDefault="001D6FAE" w:rsidP="001D6FAE">
      <w:pPr>
        <w:pStyle w:val="TextoNormal"/>
      </w:pPr>
    </w:p>
    <w:p w:rsidR="001D6FAE" w:rsidRDefault="001D6FAE" w:rsidP="001D6FAE">
      <w:pPr>
        <w:pStyle w:val="TextoNormal"/>
      </w:pPr>
      <w:r>
        <w:t>En este caso, nuestra discrepancia con la opinión mayoritaria en la que se sustenta el Auto radica (i) en la insuficiente caracterización que se hace de la doctrina del Tribunal de Justicia de la Unión Europea sobre el acto claro como excepción a la obligación del planteamiento de una cuestión prejudicial establecida en el art. 267 del Tratado de funcionamiento de la Unión Europea (TFUE); y, en relación con ello, (ii) en la afirmación de que el órgano judicial no incurrió en ningún defecto constitucional de motivación al argumentar que concurría este supuesto excepcional y no resultaba obligatorio el planteamiento de la cuestión prejudicial.</w:t>
      </w:r>
    </w:p>
    <w:p w:rsidR="001D6FAE" w:rsidRDefault="001D6FAE" w:rsidP="001D6FAE">
      <w:pPr>
        <w:pStyle w:val="TextoNormal"/>
      </w:pPr>
    </w:p>
    <w:p w:rsidR="001D6FAE" w:rsidRDefault="001D6FAE" w:rsidP="001D6FAE">
      <w:pPr>
        <w:pStyle w:val="TextoNormal"/>
      </w:pPr>
      <w:r>
        <w:t>11. La opinión mayoritaria en la que se sustenta el Auto se limita a afirmar que en la fundamentación jurídica de la resolución impugnada se ha hecho una aplicación razonada de la doctrina comunitaria del acto claro para argumentar que concurría esta situación excepcional que enervaba la obligación de planteamiento de la cuestión prejudicial. Ahora bien, en la medida en que no entra a analizar el sentido y alcance de esa doctrina comunitaria, la defensa que hace respecto de la constitucionalidad de su aplicación por el órgano judicial de casación no responde al control de constitucionalidad establecido al efecto por la jurisprudencia de este Tribunal y del Tribunal Europeo de Derechos Humanos sobre el particular.</w:t>
      </w:r>
    </w:p>
    <w:p w:rsidR="001D6FAE" w:rsidRDefault="001D6FAE" w:rsidP="001D6FAE">
      <w:pPr>
        <w:pStyle w:val="TextoNormal"/>
      </w:pPr>
    </w:p>
    <w:p w:rsidR="001D6FAE" w:rsidRDefault="001D6FAE" w:rsidP="001D6FAE">
      <w:pPr>
        <w:pStyle w:val="TextoNormal"/>
      </w:pPr>
      <w:r>
        <w:t>Este Tribunal ha afirmado que el parámetro de control impuesto a este tipo de decisiones bajo la invocación del art. 24.1 CE consiste en verificar que la resolución judicial “se funda también en una interpretación razonable y motivada del régimen jurídico del planteamiento de la cuestión prejudicial, y que sigue además la propia doctrina jurisprudencial del Tribunal de Justicia sobre el ‘acto claro’” (así, STC 27/2013, de 11 de febrero, FJ 7). En la misma línea, el Tribunal Europeo de Derechos Humanos ha establecido que el art. 6.1 CEDH requiere que los tribunales nacionales no solo aporten las razones para negarse a plantear una cuestión prejudicial sino que, además, esas razones estén fundadas en las excepciones previstas por la jurisprudencia del Tribunal de Justicia de la Unión Europea, lo que determina que deberán argumentar, en lo que concierne al supuesto del acto claro, que la correcta aplicación de la legislación comunitaria es tan obvia que no deja margen para ninguna duda razonable (STEDH de 8 de abril de 2014, asunt</w:t>
      </w:r>
      <w:r w:rsidRPr="001D6FAE">
        <w:rPr>
          <w:i/>
        </w:rPr>
        <w:t>o Dhahbi c Ital</w:t>
      </w:r>
      <w:r>
        <w:t>ia, § 31).</w:t>
      </w:r>
    </w:p>
    <w:p w:rsidR="001D6FAE" w:rsidRDefault="001D6FAE" w:rsidP="001D6FAE">
      <w:pPr>
        <w:pStyle w:val="TextoNormal"/>
      </w:pPr>
    </w:p>
    <w:p w:rsidR="001D6FAE" w:rsidRDefault="001D6FAE" w:rsidP="001D6FAE">
      <w:pPr>
        <w:pStyle w:val="TextoNormal"/>
      </w:pPr>
      <w:r>
        <w:t>De ese modo, en atención a esta jurisprudencia, un análisis de la constitucionalidad de este tipo de decisiones judiciales solo puede hacerse tomando en consideración el papel central que juega la institución de la cuestión prejudicial dentro del sistema del Derecho de la Unión para identificar correctamente cual debe ser el objeto sobre el que recaiga el razonamiento del juez nacional al decidir sobre este particular.</w:t>
      </w:r>
    </w:p>
    <w:p w:rsidR="001D6FAE" w:rsidRDefault="001D6FAE" w:rsidP="001D6FAE">
      <w:pPr>
        <w:pStyle w:val="TextoNormal"/>
      </w:pPr>
    </w:p>
    <w:p w:rsidR="001D6FAE" w:rsidRDefault="001D6FAE" w:rsidP="001D6FAE">
      <w:pPr>
        <w:pStyle w:val="TextoNormal"/>
      </w:pPr>
      <w:r>
        <w:t xml:space="preserve">12. El art. 267 TFUE establece que “el Tribunal de Justicia de la Unión Europea será competente para pronunciarse, con carácter prejudicial: … b) sobre la validez e interpretación de los actos adoptados por las instituciones, órganos u organismos de la Unión …. Cuando se plantee una cuestión de este tipo en un asunto pendiente ante un órgano jurisdiccional nacional, cuyas decisiones no sean susceptibles de ulterior recurso judicial en Derecho interno, dicho órgano estará obligado a someter la cuestión al Tribunal”. En este marco normativo, no es controvertible que (i) el Tribunal Supremo español es un órgano jurisdiccional nacional cuyas decisiones no son susceptible de ulterior recurso judicial en Derecho interno, ya que el recurso de amparo ante el Tribunal Constitucional no constituye “recurso judicial”; y (ii) que es una obligación, y no solo una potestad, el plantear en estos casos la cuestión prejudicial cuando concurra un problema interpretativo en aras de respetar la competencia privativa otorgada al Tribunal de Justicia de la Unión Europea sobre el particular. La propia jurisprudencia del Tribunal de Justicia de la Unión Europea ha establecido ya desde la STJCE de 6 de octubre de 1982, asunto </w:t>
      </w:r>
      <w:r w:rsidRPr="001D6FAE">
        <w:rPr>
          <w:i/>
        </w:rPr>
        <w:t>Cilfit</w:t>
      </w:r>
      <w:r>
        <w:t>, asunto 283/81, una serie de excepciones a esa obligación, entre las que está, por lo que atañe a este caso, que “la correcta aplicación del Derecho comunitario puede imponerse con tal evidencia que no deje lugar a duda razonable alguna sobre la solución de la cuestión suscitada. Antes de concluir que se da tal situación, el órgano jurisdiccional nacional debe llegar a la convicción de que la misma evidencia se impondría igualmente a los órganos jurisdiccionales nacionales de los otros Estados miembros, así como al Tribunal de Justicia. Tan solo si estas condiciones se reúnen puede abstenerse el órgano jurisdiccional nacional de someter la cuestión al Tribunal de Justicia y resolver bajo su propia responsabilidad (§16)”.</w:t>
      </w:r>
    </w:p>
    <w:p w:rsidR="001D6FAE" w:rsidRDefault="001D6FAE" w:rsidP="001D6FAE">
      <w:pPr>
        <w:pStyle w:val="TextoNormal"/>
      </w:pPr>
    </w:p>
    <w:p w:rsidR="001D6FAE" w:rsidRDefault="001D6FAE" w:rsidP="001D6FAE">
      <w:pPr>
        <w:pStyle w:val="TextoNormal"/>
      </w:pPr>
      <w:r>
        <w:t>En este contexto jurisprudencial comunitario, el control de constitucionalidad que debe efectuarse sobre la decisión del órgano judicial de casación de abstenerse de plantear la cuestión prejudicial no puede quedar limitado, como hace la opinión mayoritaria en la que se sustenta el Auto, a una mera valoración abstracta sobre si se ha dado cumplimiento a un genérico deber constitucional de motivación de no incurrir en arbitrariedad, falta de racionalidad o error patente, a través de la exposición de las razones por las que se considera que es posible y asumible la interpretación pretendida y proyectada por el órgano judicial nacional de la normativa comunitaria. El planteamiento de la cuestión prejudicial es una obligación ineludible para el órgano judicial derivada del Derecho de la Unión fundamentada en la doble idea de que (i) el único competente para interpretarlo en caso de dudas hermenéuticas es el Tribunal de Justicia de la Unión Europea y (ii) tiene como finalidad evitar la proliferación de interpretaciones nacionales del Derecho comunitario que no pueden resultar unificadas por el Tribunal de Justicia de la Unión Europea ante la carencia de mecanismos impugnativo</w:t>
      </w:r>
      <w:r w:rsidRPr="001D6FAE">
        <w:rPr>
          <w:i/>
        </w:rPr>
        <w:t>s a posterio</w:t>
      </w:r>
      <w:r>
        <w:t>ri.</w:t>
      </w:r>
    </w:p>
    <w:p w:rsidR="001D6FAE" w:rsidRDefault="001D6FAE" w:rsidP="001D6FAE">
      <w:pPr>
        <w:pStyle w:val="TextoNormal"/>
      </w:pPr>
    </w:p>
    <w:p w:rsidR="001D6FAE" w:rsidRDefault="001D6FAE" w:rsidP="001D6FAE">
      <w:pPr>
        <w:pStyle w:val="TextoNormal"/>
      </w:pPr>
      <w:r>
        <w:t>Por tanto, la decisión de no plantear una cuestión prejudicial solo cumplirá con el deber de motivación de estar fundada en Derecho cuando los razonamientos judiciales tengan por objeto poner de manifiesto no que la interpretación pretendida por el órgano judicial es una de las que tiene cabida en la norma comunitaria, sino que no existen dudas sobre la posibilidad de que haya otras interpretaciones que tienen cabida en esa normativa comunitaria. Solo de ese modo se puede garantizar que la cuestión prejudicial cumple con la función que tiene encomendada dentro del sistema de Derecho de la Unión.</w:t>
      </w:r>
    </w:p>
    <w:p w:rsidR="001D6FAE" w:rsidRDefault="001D6FAE" w:rsidP="001D6FAE">
      <w:pPr>
        <w:pStyle w:val="TextoNormal"/>
      </w:pPr>
    </w:p>
    <w:p w:rsidR="001D6FAE" w:rsidRDefault="001D6FAE" w:rsidP="001D6FAE">
      <w:pPr>
        <w:pStyle w:val="TextoNormal"/>
      </w:pPr>
      <w:r>
        <w:t>13. En el presente caso, el fundamento jurídico quinto de la resolución impugnada pone de manifiesto que la negativa a plantear la cuestión prejudicial sobre los diversos aspectos de Derecho comunitario que se consideraban dudosos se ha fundamentado exclusivamente en la defensa de que una determinada interpretación tenía cabida dentro de la normativa comunitaria. Sin embargo, no se ha extendido a despejar las dudas que subsistían respecto de la posibilidad de que hubiera otras interpretaciones que también tuvieran encaje en esa normativa y, por tanto, que eventualmente pudieran ser preferidas por el Tribunal de Justicia de la Unión Europea y por los órganos judiciales nacionales de otros países de la Unión.</w:t>
      </w:r>
    </w:p>
    <w:p w:rsidR="001D6FAE" w:rsidRDefault="001D6FAE" w:rsidP="001D6FAE">
      <w:pPr>
        <w:pStyle w:val="TextoNormal"/>
      </w:pPr>
    </w:p>
    <w:p w:rsidR="001D6FAE" w:rsidRDefault="001D6FAE" w:rsidP="001D6FAE">
      <w:pPr>
        <w:pStyle w:val="TextoNormal"/>
      </w:pPr>
      <w:r>
        <w:t>Esa circunstancia es determinante para negar que la aducida vulneración del derecho a la tutela judicial efectiva fuera “manifiestamente inexistente”, ya que se ha omitido razonar, como era exigencia derivada del deber de motivación de las resoluciones judiciales impuesto por el art. 24.1 CE para este tipo de decisiones, que la correcta aplicación de la legislación comunitaria es tan obvia en este caso que no deja margen para ninguna duda razonable. Esta omisión es especialmente censurable si se atiende a las especiales circunstancias concurrentes en el caso que ponen de manifiesto que era ostensible para el órgano judicial no solo la existencia, al menos, de una posible interpretación alternativa; sino incluso que había análisis seriamente fundados de que la interpretación de la normativa comunitaria que pretendía ser la obvia en realidad tenía un difícil encaje hermenéutico por llevar a conclusiones contradictorias con lo pretendido por los apartados 1 y 2 del art. 3 de la Decisión Marco 2008/675/JAI.</w:t>
      </w:r>
    </w:p>
    <w:p w:rsidR="001D6FAE" w:rsidRDefault="001D6FAE" w:rsidP="001D6FAE">
      <w:pPr>
        <w:pStyle w:val="TextoNormal"/>
      </w:pPr>
    </w:p>
    <w:p w:rsidR="001D6FAE" w:rsidRDefault="001D6FAE" w:rsidP="001D6FAE">
      <w:pPr>
        <w:pStyle w:val="TextoNormal"/>
      </w:pPr>
      <w:r>
        <w:t>La existencia de esa posible interpretación alternativa y las serias objeciones de compatibilidad con la finalidad perseguida por la normativa comunitaria aparecen expuestas de forma singularmente extensa y clara en sendos Votos particulares formulados a la resolución judicial impugnada redactados por los Magistrados don Cándido Conde-Pumpido Tourón y don Joaquín Giménez García, que cuentan con su adhesión recíproca y la de otros cuatro Magistrados. Es innecesario, por tanto, volver a insistir en ello. Esa mera circunstancia debería haber llevado a la opinión mayoritaria en la que se sustenta el Auto a no considerar manifiestamente inexistente una vulneración que incluso posteriormente queda puesta más en evidencia cuando se constata que la persistencia de una posible interpretación alternativa y las serias objeciones de compatibilidad con la finalidad perseguida por la normativa comunitaria han sido también expuestas de manera extensa en sendos Votos particulares suscritos por otros ocho Magistrados a los Autos del Pleno de la Sala de lo Penal de la Audiencia Nacional 40/2015, de 9 de junio, o 68/2015, de 21 de julio.</w:t>
      </w:r>
    </w:p>
    <w:p w:rsidR="001D6FAE" w:rsidRDefault="001D6FAE" w:rsidP="001D6FAE">
      <w:pPr>
        <w:pStyle w:val="TextoNormal"/>
      </w:pPr>
    </w:p>
    <w:p w:rsidR="001D6FAE" w:rsidRDefault="001D6FAE" w:rsidP="001D6FAE">
      <w:pPr>
        <w:pStyle w:val="TextoNormal"/>
      </w:pPr>
      <w:r>
        <w:t>Frente a esta evidencia, la opinión mayoritaria en la que se sustenta el Auto se limita a afirmar que la presencia de diversos votos particulares en la resolución impugnada no es indicativa de que el criterio seguido por la mayoría incurriera en ningún defecto constitucional de motivación. Con ese razonamiento se desenfoca de nuevo el control de constitucionalidad que debe proyectarse sobre este tipo de decisiones. La importancia que reviste la existencia de esos votos particulares con tan numerosos apoyos para el control de constitucionalidad que nos compete no es que contengan interpretaciones divergentes sobre la pertinencia o no de plantear la cuestión prejudicial o sobre si resulta más adecuada uno u otra interpretación del Derecho comunitario. Lo relevante es que acreditan que existe una posible interpretación alternativa y, por tanto, que la interpretación pretendida por la mayoría no era tan obvia en este caso que no deja margen para ninguna duda razonable. En esas circunstancias objetivas el planteamiento de la cuestión prejudicial era, a nuestro juicio, obligado. Al no hacerlo así, sin necesidad de entrar a dilucidar cuál de las alternativas interpretativas del Derecho comunitario es preferible —que es cuestión que compete resolver al Tribunal de Justicia de la Unión Europea por la vía, precisamente, de la cuestión prejudicial— y desde una mera posición de control externo que se limita a constatar la existencia de esas alternativas interpretativas, se pone de manifiesto que la negativa a plantear la cuestión prejudicial constituye una decisión no fundada en Derecho que debe estimarse lesiva del art. 24.1 CE.</w:t>
      </w:r>
    </w:p>
    <w:p w:rsidR="001D6FAE" w:rsidRDefault="001D6FAE" w:rsidP="001D6FAE">
      <w:pPr>
        <w:pStyle w:val="TextoNormal"/>
      </w:pPr>
    </w:p>
    <w:p w:rsidR="001D6FAE" w:rsidRDefault="001D6FAE" w:rsidP="001D6FAE">
      <w:pPr>
        <w:pStyle w:val="TextoNormal"/>
      </w:pPr>
      <w:r>
        <w:t>En conclusión, la negativa a plantear al Tribunal de Justicia de la Unión Europea una cuestión prejudicial —para determinar si la previsión de la Ley Orgánica 7/2014 de hacer inviable la acumulación de condenas del resto de países de la Unión Europea es compatible con la Decisión Marco 2008/675/JAI— vulnera el derecho a la tutela judicial efectiva, al omitir la existencia de dudas razonables sobre la posibilidad de que hubiera otras interpretaciones que tuvieran cabida en la normativa comunitaria, en un contexto que de manera objetiva ponía de manifiesto la existencia de esas alternativas interpretativas, omitió razonar de manera suficiente sobre la concurrencia de una excepción a la obligación de plantear la cuestión prejudicial.</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rsidP="001D6FAE">
      <w:pPr>
        <w:pStyle w:val="TextoNormal"/>
      </w:pPr>
    </w:p>
    <w:p w:rsidR="001D6FAE" w:rsidRDefault="001D6FAE" w:rsidP="001D6FAE">
      <w:pPr>
        <w:pStyle w:val="TextoNormalNegritaCentrado"/>
        <w:keepNext/>
      </w:pPr>
      <w:r>
        <w:t>Voto particular que formula la Magistrada doña Encarnación Roca Trías al Auto dictado en el recurso de amparo avocado núm. 4001-2015, al que se adhiere el Magistrado don Fernando Valdés Dal-Ré.</w:t>
      </w:r>
    </w:p>
    <w:p w:rsidR="001D6FAE" w:rsidRDefault="001D6FAE" w:rsidP="001D6FAE">
      <w:pPr>
        <w:pStyle w:val="TextoNormalNegritaCentrado"/>
        <w:keepNext/>
      </w:pPr>
    </w:p>
    <w:p w:rsidR="001D6FAE" w:rsidRDefault="001D6FAE" w:rsidP="001D6FAE">
      <w:pPr>
        <w:pStyle w:val="TextoNormal"/>
      </w:pPr>
      <w:r>
        <w:t>En ejercicio de la facultad que me confiere el art. 90.2 de la Ley Orgánica del Tribunal Constitucional (LOTC) y con pleno respeto a la opinión mayoritaria de mis compañeros de Pleno, expreso mi discrepancia con el Auto.</w:t>
      </w:r>
    </w:p>
    <w:p w:rsidR="001D6FAE" w:rsidRDefault="001D6FAE" w:rsidP="001D6FAE">
      <w:pPr>
        <w:pStyle w:val="TextoNormal"/>
      </w:pPr>
    </w:p>
    <w:p w:rsidR="001D6FAE" w:rsidRDefault="001D6FAE" w:rsidP="001D6FAE">
      <w:pPr>
        <w:pStyle w:val="TextoNormal"/>
      </w:pPr>
      <w:r>
        <w:t xml:space="preserve">1. En primer lugar, creo que es necesario comenzar mi argumentación destacando la fase del procedimiento en el que nos encontramos. No resulta inocua esta circunstancia a efectos de entender mi posición. Con el Auto aprobado por la mayoría se está rechazando un recurso de amparo, en trámite de admisión, por considerar manifiesta la inexistencia de la violación de los derechos fundamentales denunciados por el recurrente. A diferencia de mis compañeros Magistrados, no puedo descartar </w:t>
      </w:r>
      <w:r w:rsidRPr="001D6FAE">
        <w:rPr>
          <w:i/>
        </w:rPr>
        <w:t>prima facie</w:t>
      </w:r>
      <w:r>
        <w:t xml:space="preserve"> su “verosimilitud” y, por supuesto, considero que cumplía con el requisito de la especial trascendencia constitucional. Su admisión hubiera permitido la tramitación del amparo y, una vez efectuadas las alegaciones por las partes y el Ministerio Fiscal, haberse dictado una sentencia que, publicada en el “Boletín oficial del Estado”, diera respuesta a una cuestión de indudable repercusión por tratarse de un asunto que, dadas sus peculiaridades, no sólo ponía en cuestión la vulneración de derechos de fundamentales sino, también, el sistema de fuentes.</w:t>
      </w:r>
    </w:p>
    <w:p w:rsidR="001D6FAE" w:rsidRDefault="001D6FAE" w:rsidP="001D6FAE">
      <w:pPr>
        <w:pStyle w:val="TextoNormal"/>
      </w:pPr>
    </w:p>
    <w:p w:rsidR="001D6FAE" w:rsidRDefault="001D6FAE" w:rsidP="001D6FAE">
      <w:pPr>
        <w:pStyle w:val="TextoNormal"/>
      </w:pPr>
      <w:r>
        <w:t>2. A mi juicio, y esta es una interpretación personal, estimar que el asunto merece una decisión de fondo por parte de este Tribunal por considerarlo importante “para la interpretación de la Constitución, para su aplicación o para su general eficacia, y para la determinación de los derechos fundamentales” [art. 50.1 b) LOTC], podría ser condición bastante para que el Tribunal Constitucional pudiera decidir la admisión a trámite de un recurso, con independencia del resultado sobre el fondo al que, finalmente, se llegara por sentencia. Afirmar que para la admisión del recurso de amparo no es suficiente la mera lesión de un derecho fundamental o libertad pública del recurrente tutelable en amparo [arts. 53.2 y 161 1 b) CE y 41 LOTC], por ser indispensable para ello la existencia de la especial trascendencia constitucional del recurso [art. 50.1 b) LOTC], no quiere decir que apreciada ésta se deba exigir necesariamente la lesión como requisito para su admisión. Sólo por ello, debería haber sido admitido a trámite.</w:t>
      </w:r>
    </w:p>
    <w:p w:rsidR="001D6FAE" w:rsidRDefault="001D6FAE" w:rsidP="001D6FAE">
      <w:pPr>
        <w:pStyle w:val="TextoNormal"/>
      </w:pPr>
    </w:p>
    <w:p w:rsidR="001D6FAE" w:rsidRDefault="001D6FAE" w:rsidP="001D6FAE">
      <w:pPr>
        <w:pStyle w:val="TextoNormal"/>
      </w:pPr>
      <w:r>
        <w:t>3. En cualquier caso, y prescindiendo de mi posición personal, no puedo afirmar, tampoco, con la rotundidad con la que se hace en el Auto del que discrepo, que en el presente caso la inexistencia de lesión de la violación de los derechos fundamentales invocados sea manifiesta.</w:t>
      </w:r>
    </w:p>
    <w:p w:rsidR="001D6FAE" w:rsidRDefault="001D6FAE" w:rsidP="001D6FAE">
      <w:pPr>
        <w:pStyle w:val="TextoNormal"/>
      </w:pPr>
    </w:p>
    <w:p w:rsidR="001D6FAE" w:rsidRDefault="001D6FAE" w:rsidP="001D6FAE">
      <w:pPr>
        <w:pStyle w:val="TextoNormal"/>
      </w:pPr>
      <w:r>
        <w:t>La jurisprudencia del Tribunal pronto interpretó, en relación con la Ley Orgánica del Tribunal Constitucional vigente antes de la reforma del 2007, que “el designio del legislador orgánico era que se prescindiera del desarrollo total del procedimiento y de la emanación de una resolución en forma de Sentencia, cuando se percibía desde el primer momento con ‘claridad meridiana’ que ‘la misma en ningún caso podría ser estimatoria’ (ATC 52/1980, de 15 de octubre, FJ 2)” (AATC 252/2009, de 19 de octubre, FJ 1; 272/2009, de 26 de noviembre, FJ 1; y 274/2009, de 30 de noviembre, FJ 3). Considero que si dicha interpretación ya era de por sí restrictiva respecto de lo que entonces se denominaba “contenido constitucional”, exigiendo que su falta fuera “patente, clara y notoria” (ATC 52/1980, FJ 2), con mayor razón debe serlo tras la citada reforma y su transformación en “especial trascendencia constitucional”.</w:t>
      </w:r>
    </w:p>
    <w:p w:rsidR="001D6FAE" w:rsidRDefault="001D6FAE" w:rsidP="001D6FAE">
      <w:pPr>
        <w:pStyle w:val="TextoNormal"/>
      </w:pPr>
    </w:p>
    <w:p w:rsidR="001D6FAE" w:rsidRDefault="001D6FAE" w:rsidP="001D6FAE">
      <w:pPr>
        <w:pStyle w:val="TextoNormal"/>
      </w:pPr>
      <w:r>
        <w:t>En el presente caso, el hecho de la existencia de los Votos particulares formulados suscritos por seis Magistrados de los quince que compusieron la Sala de lo Penal Tribunal Supremo, por un lado; haberse considerado necesaria la avocación al Pleno de este Tribunal [art. 10.1 n) LOTC]; así como la propia discrepancia interna de la que dan constancia los Votos discrepantes formulados por mis compañeros, por otro, debieron resultar suficientes para considerar que procedía la tramitación del recurso de amparo y despejar en sentencia, tras llevar a cabo el correspondiente trámite de alegaciones, la “verosimilitud” de la lesión denunciada.</w:t>
      </w:r>
    </w:p>
    <w:p w:rsidR="001D6FAE" w:rsidRDefault="001D6FAE" w:rsidP="001D6FAE">
      <w:pPr>
        <w:pStyle w:val="TextoNormal"/>
      </w:pPr>
    </w:p>
    <w:p w:rsidR="001D6FAE" w:rsidRDefault="001D6FAE" w:rsidP="001D6FAE">
      <w:pPr>
        <w:pStyle w:val="TextoNormal"/>
      </w:pPr>
      <w:r>
        <w:t xml:space="preserve">4. En definitiva, y dado que considero que </w:t>
      </w:r>
      <w:r w:rsidRPr="001D6FAE">
        <w:rPr>
          <w:i/>
        </w:rPr>
        <w:t>prima facie</w:t>
      </w:r>
      <w:r>
        <w:t xml:space="preserve"> no puede descartarse la existencia de lesión, no puedo sino mostrarme a favor de la admisión del presente recurso de amparo. En coherencia con lo expuesto, no creo necesario hacer más consideraciones sobre los argumentos del Auto que llevan a la mayoría a concluir que es manifiesta la inexistencia de la lesión denunciada; que sí habrían procedido, en el caso de discrepar, de haberse dictado una sentencia al respecto.</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0" w:name="AUTO_2016_156"/>
      <w:r>
        <w:t>AUTO 156/2016, de 20 de septiembre de 2016</w:t>
      </w:r>
    </w:p>
    <w:bookmarkEnd w:id="130"/>
    <w:p w:rsidR="001D6FAE" w:rsidRDefault="001D6FAE" w:rsidP="001D6FAE">
      <w:pPr>
        <w:pStyle w:val="TtuloResolucin"/>
      </w:pPr>
      <w:r>
        <w:t>Pleno</w:t>
      </w:r>
    </w:p>
    <w:p w:rsidR="001D6FAE" w:rsidRDefault="001D6FAE" w:rsidP="001D6FAE">
      <w:pPr>
        <w:pStyle w:val="TextoNormalCentrado"/>
      </w:pPr>
      <w:r>
        <w:t>ECLI:ES:TC:2016:156A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1853-2016, planteada por la Sala de lo Contencioso-Administrativo del Tribunal Superior de Justicia de Andalucía con sede en Granada en relación con los artículos 4.2 de la Ley 16/1997, de 25 de abril, de regulación de servicios de las oficinas de farmacia, y 47 de la Ley 22/2007, de 18 de diciembre, de oficinas de farmacia en Andalucía.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registrado en este Tribunal el 6 de abril de 2016, la Sala de lo Contencioso-Administrativo del Tribunal Superior de Justicia de Andalucía, con sede en Granada, remitió testimonio del Auto de 21 de marzo de 2016 por el que se acordó plantear cuestión de inconstitucionalidad en relación con los arts. 4.2 de la Ley 16/1997, de 25 de abril, de regulación de servicios de las oficinas de farmacia, y 47, apartados 1, 2, 3, 4 y 7 de la Ley 22/2007, de 18 de diciembre, de oficinas de farmacia de Andalucía.</w:t>
      </w:r>
    </w:p>
    <w:p w:rsidR="001D6FAE" w:rsidRDefault="001D6FAE" w:rsidP="001D6FAE">
      <w:pPr>
        <w:pStyle w:val="TextoNormal"/>
      </w:pPr>
    </w:p>
    <w:p w:rsidR="001D6FAE" w:rsidRDefault="001D6FAE" w:rsidP="001D6FAE">
      <w:pPr>
        <w:pStyle w:val="TextoNormal"/>
      </w:pPr>
      <w:r>
        <w:t>Mediante diligencia de ordenación de la Secretaría de Justicia del Pleno de 6 de abril de 2016 se acordó acusar recibo de las actuaciones remitidas solicitando la remisión del testimonio de la providencia de audiencia a las partes y al Ministerio Fiscal y de sus escritos de alegaciones. Dicho testimonio se remitió por escrito que tuvo entrada en el Registro General de este Tribunal el 12 de abril. Por nueva diligencia de ordenación de la Secretaría de Justicia del Pleno de 20 de mayo de 2016 se acordó dirigir atenta comunicación a la Sala de lo Contencioso-Administrativo del Tribunal Superior de Justicia de Andalucía, con sede en Granada, a fin de que indicase a este Tribunal si, con posterioridad al mencionado Auto, se había llevado a cabo alguna otra actuación judicial. A dicha comunicación respondió el órgano judicial mediante escrito registrado el 2 de junio de 2016 indicando que no se había dictado ninguna resolución posterior al Auto de 21 de marzo.</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w:t>
      </w:r>
    </w:p>
    <w:p w:rsidR="001D6FAE" w:rsidRDefault="001D6FAE" w:rsidP="001D6FAE">
      <w:pPr>
        <w:pStyle w:val="TextoNormal"/>
      </w:pPr>
    </w:p>
    <w:p w:rsidR="001D6FAE" w:rsidRDefault="001D6FAE" w:rsidP="001D6FAE">
      <w:pPr>
        <w:pStyle w:val="TextoNormal"/>
      </w:pPr>
      <w:r>
        <w:t>a) Doña P.G.L.M., farmacéutica solicitó la apertura de una nueva oficina de farmacia en el municipio de Armilla (Granada). La Administración autonómica, mediante resolución de 10 de mayo de 2005 de la Delegación Provincial de Salud de Granada, denegó la apertura solicitada por incumplir la solicitud el requisito de aumento de población que exigía el Real Decreto 909/1978 para autorizar la apertura de una nueva oficina de farmacia. Esta resolución fue confirmada en alzada por resolución de la Directora General de Salud Pública y Participación de la Junta de Andalucía. La recurrente interpuso recurso contencioso-administrativo contra esta última.</w:t>
      </w:r>
    </w:p>
    <w:p w:rsidR="001D6FAE" w:rsidRDefault="001D6FAE" w:rsidP="001D6FAE">
      <w:pPr>
        <w:pStyle w:val="TextoNormal"/>
      </w:pPr>
    </w:p>
    <w:p w:rsidR="001D6FAE" w:rsidRDefault="001D6FAE" w:rsidP="001D6FAE">
      <w:pPr>
        <w:pStyle w:val="TextoNormal"/>
      </w:pPr>
      <w:r>
        <w:t>b) El Juzgado de lo Contencioso-Administrativo núm. 3 de Granada, por Sentencia de 10 de octubre de 2007, desestimó el recurso. Contra esta Sentencia la recurrente interpuso recurso de apelación. La Sección Primera de la Sala de lo Contencioso-Administrativo del Tribunal Superior de Justicia de Andalucía, sede de Granada, mediante Sentencia de 17 de junio de 2013, acordó estimar el recurso, revocar la Sentencia de instancia y declarar el derecho de la recurrente a obtener la autorización de apertura interesada. La actora solicitó la aclaración y/o subsanación y complemento de la citada Sentencia notando la disconformidad entre el fallo y el suplico de la demanda, en la que solicitaba la adjudicación de la autorización en favor del solicitante que mejor puntuación obtuviera en aplicación del correspondiente baremo de méritos, y no, por tanto, directamente en favor de la propia recurrente. La Sala, por Auto de 4 de julio de 2013, declaró no haber lugar a la aclaración solicitada. La recurrente interpuso incidente de nulidad de actuaciones, inadmitido por la Sala mediante Auto de 22 de octubre de 2013. Contra las mencionadas resoluciones judiciales la demandante interpuso recurso de amparo, tramitado con el núm. 6824-2013. La providencia de la Sección Segunda de 6 de octubre de 2014 acuerda “no admitirlo a trámite, con arreglo a lo previsto en el art. 50.1 a) LOTC, dada la manifiesta inexistencia de violación de un derecho fundamental tutelable en amparo”.</w:t>
      </w:r>
    </w:p>
    <w:p w:rsidR="001D6FAE" w:rsidRDefault="001D6FAE" w:rsidP="001D6FAE">
      <w:pPr>
        <w:pStyle w:val="TextoNormal"/>
      </w:pPr>
    </w:p>
    <w:p w:rsidR="001D6FAE" w:rsidRDefault="001D6FAE" w:rsidP="001D6FAE">
      <w:pPr>
        <w:pStyle w:val="TextoNormal"/>
      </w:pPr>
      <w:r>
        <w:t xml:space="preserve">c) Instada entretanto la ejecución de la Sentencia del Tribunal Superior de Justicia de Andalucía, la representación procesal de la Junta de Andalucía planteó el 9 de octubre de 2013 un incidente de imposibilidad de ejecución de Sentencia por la concurrencia de una causa legal que imposibilitaba cumplirla en sus propios términos. Dicha imposibilidad se basaba en que doña P.G.L.M. era, desde el año 2009, titular de una oficina de farmacia en la misma localidad, lo que, por aplicación de los arts. 23.1, 34.2, 47.2 y 70.3 a) de la Ley 22/2007, de 18 de diciembre, de oficinas de farmacia de Andalucía, determinaba que no pudiera ser adjudicataria de otra en cuanto que se impide que se pueda ser titular de dos oficinas de farmacia en la misma localidad. En la tramitación de dicho incidente se personaron, además de la demandante inicial, los codemandados en el proceso </w:t>
      </w:r>
      <w:r w:rsidRPr="001D6FAE">
        <w:rPr>
          <w:i/>
        </w:rPr>
        <w:t>a quo</w:t>
      </w:r>
      <w:r>
        <w:t xml:space="preserve"> y un tercero interesado que había participado en el procedimiento administrativo. El Juzgado de lo Contencioso-Administrativo núm. 3 de Granada por Auto de 26 de diciembre de 2013 apreció la imposibilidad legal de ejecutar la Sentencia, argumentando que la Ley 22/2007 obliga a la presencia del farmacéutico titular sin que tampoco fuera posible la transmisión de la oficina de farmacia hasta transcurridos cinco años desde su adjudicación.</w:t>
      </w:r>
    </w:p>
    <w:p w:rsidR="001D6FAE" w:rsidRDefault="001D6FAE" w:rsidP="001D6FAE">
      <w:pPr>
        <w:pStyle w:val="TextoNormal"/>
      </w:pPr>
    </w:p>
    <w:p w:rsidR="001D6FAE" w:rsidRDefault="001D6FAE" w:rsidP="001D6FAE">
      <w:pPr>
        <w:pStyle w:val="TextoNormal"/>
      </w:pPr>
      <w:r>
        <w:t>d) El referido Auto de 26 de diciembre de 2013 fue recurrido en apelación por la actora, tramitándose ante el Juzgado de lo Contencioso-Administrativo núm. 3 de Granada que lo elevó a la Sala de lo Contencioso-Administrativo del Tribunal Superior de Justicia para su resolución.</w:t>
      </w:r>
    </w:p>
    <w:p w:rsidR="001D6FAE" w:rsidRDefault="001D6FAE" w:rsidP="001D6FAE">
      <w:pPr>
        <w:pStyle w:val="TextoNormal"/>
      </w:pPr>
    </w:p>
    <w:p w:rsidR="001D6FAE" w:rsidRDefault="001D6FAE" w:rsidP="001D6FAE">
      <w:pPr>
        <w:pStyle w:val="TextoNormal"/>
      </w:pPr>
      <w:r>
        <w:t>e) Mediante providencia de 24 de noviembre de 2015, el órgano judicial concede audiencia a las partes y al Ministerio Fiscal. La providencia señala que “resulta procedente dar audiencia a las partes y al Ministerio Fiscal porque el fallo de la Sentencia que se dicte puede depender de la validez (constitucional) de los artículos citados (art. 47 de la Ley 22/2007 y 4 de la Ley 16/1997, que son normas con rango de Ley y el proceso está concluso para Sentencia”. Y añade que “las partes y el Ministerio Fiscal pueden formular alegaciones sobre la compatibilidad de estos dos preceptos con cualquier norma o precepto de la Constitución; una vez se reciban las alegaciones, o transcurra el plazo común e improrrogable de diez días, se dictará Auto resolviendo lo procedente, Auto contra el que no cabrá recurso alguno”.</w:t>
      </w:r>
    </w:p>
    <w:p w:rsidR="001D6FAE" w:rsidRDefault="001D6FAE" w:rsidP="001D6FAE">
      <w:pPr>
        <w:pStyle w:val="TextoNormal"/>
      </w:pPr>
    </w:p>
    <w:p w:rsidR="001D6FAE" w:rsidRDefault="001D6FAE" w:rsidP="001D6FAE">
      <w:pPr>
        <w:pStyle w:val="TextoNormal"/>
      </w:pPr>
      <w:r>
        <w:t>f) El Ministerio Fiscal interpuso recurso de reposición contra la mencionada providencia a fin de que se completase con la mención del precepto constitucional que se entendía infringido, antes de dar nuevo traslado para la formulación de alegaciones. El Letrado de la Junta de Andalucía interesó que no se plantease la cuestión, señalando también que “no podemos atisbar cuáles serían los puntos concretos de estos preceptos que pudieran vulnerar los de la Constitución para entender procedente el planteamiento de la cuestión”. La representación procesal de los codemandados consideró improcedente el planteamiento de la cuestión señalando como preceptos constitucionales que no se vulneraban los arts. 14, 19, 24, 38 y 118 CE. La actora solicitó la estimación del recurso de apelación o, subsidiariamente, el planteamiento de la cuestión de inconstitucionalidad por vulneración de los arts. 9.3, 14, 139.1, 149.1.1 y 149.1.16 CE.</w:t>
      </w:r>
    </w:p>
    <w:p w:rsidR="001D6FAE" w:rsidRDefault="001D6FAE" w:rsidP="001D6FAE">
      <w:pPr>
        <w:pStyle w:val="TextoNormal"/>
      </w:pPr>
    </w:p>
    <w:p w:rsidR="001D6FAE" w:rsidRDefault="001D6FAE" w:rsidP="001D6FAE">
      <w:pPr>
        <w:pStyle w:val="TextoNormal"/>
      </w:pPr>
      <w:r>
        <w:t>g) Por Auto de 2 de febrero de 2016 la Sala estimó el recurso de reposición del Ministerio Fiscal, señalando que “los artículos 47 de la Ley autonómica 22/2007 y 4 de la Ley 16/1997 se entiende que podrían ser contrarios a los artículos 1, 9, 10, 14, 23, 33, 35, 36, 38, 103, 139 y 149 de la Constitución, sin perjuicio de que el Ministerio Fiscal pueda considerar que otros artículos puedan verse afectados y sin perjuicio, igualmente, de que en el Auto que en su caso se dicte planteando la cuestión de inconstitucionalidad no se tenga que hacer referencia a todos ellos en la medida en que no se considere que alguno de estos artículos se vea finalmente afectado”. De conformidad con lo anterior la Sala modificó la providencia en el único sentido de añadir que “los artículos de la Constitución que se considera que pueden verse afectados son los artículos 1, 9, 10, 14, 23, 33, 35, 36, 38, 103, 139 y 149”.</w:t>
      </w:r>
    </w:p>
    <w:p w:rsidR="001D6FAE" w:rsidRDefault="001D6FAE" w:rsidP="001D6FAE">
      <w:pPr>
        <w:pStyle w:val="TextoNormal"/>
      </w:pPr>
    </w:p>
    <w:p w:rsidR="001D6FAE" w:rsidRDefault="001D6FAE" w:rsidP="001D6FAE">
      <w:pPr>
        <w:pStyle w:val="TextoNormal"/>
      </w:pPr>
      <w:r>
        <w:t>h) El órgano judicial dictó Auto de 21 de marzo de 2016 planteando cuestión de inconstitucionalidad en relación con los arts. 4.2 de la Ley 16/1997, de 25 de abril, de regulación de servicios de las oficinas de farmacia, y 47, apartados 1, 2, 3, 4 y 7 de la Ley 22/2007, de 18 de diciembre, de oficinas de farmacia de Andalucía.</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interesa destacar lo siguiente:</w:t>
      </w:r>
    </w:p>
    <w:p w:rsidR="001D6FAE" w:rsidRDefault="001D6FAE" w:rsidP="001D6FAE">
      <w:pPr>
        <w:pStyle w:val="TextoNormal"/>
      </w:pPr>
    </w:p>
    <w:p w:rsidR="001D6FAE" w:rsidRDefault="001D6FAE" w:rsidP="001D6FAE">
      <w:pPr>
        <w:pStyle w:val="TextoNormal"/>
      </w:pPr>
      <w:r>
        <w:t>Tras exponer sucintamente los antecedentes de hecho, inicia sus razonamientos jurídicos aludiendo al cumplimiento de los requisitos para el planteamiento de la cuestión de inconstitucionalidad, con especial énfasis en la doctrina relativa al juicio de relevancia. Sobre el juicio de relevancia en el caso concreto señala que el Auto apelado considera que no es posible ejecutar la Sentencia de la Sala, ya que así lo impide el art. 47 de la Ley 22/2007, de 18 de diciembre, de oficinas de farmacia de Andalucía, precepto que entiende íntimamente relacionado con el art. 4 de la Ley estatal 16/1997. Por su parte el recurso de apelación también invoca el artículo 47 citado y todas las partes personadas hacen referencia al mismo. Así señala que “en el caso concreto el juicio de relevancia se considera cumplido porque está acreditado sobradamente que el artículo 47 de la Ley autonómica es aplicable al caso”, para posteriormente afirmar que “el juicio de relevancia es positivo, porque la norma con rango de ley aplicable al caso y de cuya validez constitucional depende el fallo no solo es directamente aplicable al caso, sino que, además, ha sido aplicada, ya que estamos ante un recurso de apelación, en el que, por su propia naturaleza ha habido una previa decisión judicial (el Auto apelado) donde ya se ha aplicado la norma que este Tribunal considera contraria a la Constitución por las razones que a continuación se exponen. Y de la validez constitucional de esa norma depende la resolución del caso”.</w:t>
      </w:r>
    </w:p>
    <w:p w:rsidR="001D6FAE" w:rsidRDefault="001D6FAE" w:rsidP="001D6FAE">
      <w:pPr>
        <w:pStyle w:val="TextoNormal"/>
      </w:pPr>
    </w:p>
    <w:p w:rsidR="001D6FAE" w:rsidRDefault="001D6FAE" w:rsidP="001D6FAE">
      <w:pPr>
        <w:pStyle w:val="TextoNormal"/>
      </w:pPr>
      <w:r>
        <w:t>En cuanto al objeto del proceso en la instancia señala que doña P.G.L.M. es titular de una oficina de farmacia en la misma localidad, autorizada por resolución administrativa de 29 de diciembre de 2009, y que el 17 de junio de 2013 se dictó Sentencia en la que se acordaba reconocerle “el derecho a obtener autorización de apertura de oficia de farmacia para el municipio de Armilla”, Sentencia cuya ejecución fue solicitada por la actora y a la que se opuso la Junta de Andalucía por la imposibilidad de que una misma persona pudiera tener dos oficinas abiertas en la misma localidad. Al hilo de estas consideraciones señala el Auto que lo que pretende la parte apelante es que, pese a tener una oficina de farmacia abierta, se le adjudique otra con el objeto de transmitir una de ellas a un tercero. Para el órgano judicial “es esa posibilidad de trasmisión libre (‘por cualquiera de las formas admitidas en Derecho’, como dice el art. 47.2 de la Ley 22/2007) de la titularidad de una oficina de farmacia lo que se considera que contraviene la Constitución”.</w:t>
      </w:r>
    </w:p>
    <w:p w:rsidR="001D6FAE" w:rsidRDefault="001D6FAE" w:rsidP="001D6FAE">
      <w:pPr>
        <w:pStyle w:val="TextoNormal"/>
      </w:pPr>
    </w:p>
    <w:p w:rsidR="001D6FAE" w:rsidRDefault="001D6FAE" w:rsidP="001D6FAE">
      <w:pPr>
        <w:pStyle w:val="TextoNormal"/>
      </w:pPr>
      <w:r>
        <w:t>Reproduce a continuación el contenido de los arts. 4 de la Ley 16/1997 y 47 de la Ley 22/2007, señalando que los apartados que se reputan inconstitucionales son el apartado 2 del art. 4 de la Ley estatal y los apartados 1, 2, 3, 4 y 7 del art. 47 de la Ley autonómica por considerarlos contrarios a los arts. 23.2, 33.2 y 103.3 CE.</w:t>
      </w:r>
    </w:p>
    <w:p w:rsidR="001D6FAE" w:rsidRDefault="001D6FAE" w:rsidP="001D6FAE">
      <w:pPr>
        <w:pStyle w:val="TextoNormal"/>
      </w:pPr>
    </w:p>
    <w:p w:rsidR="001D6FAE" w:rsidRDefault="001D6FAE" w:rsidP="001D6FAE">
      <w:pPr>
        <w:pStyle w:val="TextoNormal"/>
      </w:pPr>
      <w:r>
        <w:t>Para el órgano judicial, el actual sistema en el que se permite la transmisión de las oficinas de farmacia “por cualquiera de las formas admitidas en derecho”, lo que incluye la venta onerosa y la herencia de farmacias es contraria al acceso a la función pública ya que no se respeta la igualdad ni el mérito y la capacidad, en la medida en que impide que muchos titulados puedan acceder a una farmacia en propiedad. Igualmente estima que “el actual sistema de transmisión y adquisición de farmacias” es contrario a la función social de la propiedad (art. 33.2 CE) porque “permite que se trafique o comercie privadamente con una licencia o autorización de oficina de farmacia que se concede por la Administración patrimonializando privadamente un oficio o profesión que tiene un origen público en la correspondiente licencia”.</w:t>
      </w:r>
    </w:p>
    <w:p w:rsidR="001D6FAE" w:rsidRDefault="001D6FAE" w:rsidP="001D6FAE">
      <w:pPr>
        <w:pStyle w:val="TextoNormal"/>
      </w:pPr>
    </w:p>
    <w:p w:rsidR="001D6FAE" w:rsidRDefault="001D6FAE" w:rsidP="001D6FAE">
      <w:pPr>
        <w:pStyle w:val="TextoNormal"/>
      </w:pPr>
      <w:r>
        <w:t>Los fundamentos posteriores del Auto reiteran estas ideas a las que añade que “se podría pensar que la autorización o licencia para oficina de farmacia no es pública o que la función de un titular de oficina de farmacia no es pública”, pero el Auto considera que, pese a la definición legal de las farmacias como establecimientos sanitarios privados de interés público, en realidad su carácter privado se refiere a la gestión interna de la farmacia pero no al ejercicio de la actividad, ya que ésta exige una autorización o licencia administrativa. Para la Sala esa necesidad de obtener autorización administrativa determina que los farmacéuticos ejerzan funciones públicas, ya que el presupuesto de su actividad es esa licencia o autorización. Esa intervención administrativa es, según el órgano judicial, lo que hace que las licencias o autorizaciones tengan precios tan elevados. Por tanto, el Auto reitera que, dado que la autorización es pública, debe garantizarse “el acceso a esa licencia en condiciones de igualdad, mediante la acreditación del mérito y la capacidad, y sin que se pueda patrimonializar esa licencia por particulares que al así obrar obtienen, de forma injusta y discriminatoria, un beneficio particular de algo puramente público, que contraría la función social del derecho de propiedad”.</w:t>
      </w:r>
    </w:p>
    <w:p w:rsidR="001D6FAE" w:rsidRDefault="001D6FAE" w:rsidP="001D6FAE">
      <w:pPr>
        <w:pStyle w:val="TextoNormal"/>
      </w:pPr>
    </w:p>
    <w:p w:rsidR="001D6FAE" w:rsidRDefault="001D6FAE" w:rsidP="001D6FAE">
      <w:pPr>
        <w:pStyle w:val="TextoNormal"/>
      </w:pPr>
      <w:r>
        <w:t>El Auto concluye haciendo referencia a la STC 181/2014, de 6 de noviembre, que se pronunció sobre el art. 47.1 y 3 de la Ley 22/2007, pero desde la perspectiva de la libertad de empresa y de la delimitación de competencias, sin que se alegase ni se resolviese sobre las cuestiones que ahora se plantean. Menciona igualmente dos sentencias del Tribunal de Justicia de la Unión Europea, señalando que tampoco tienen que ver con la duda que plantea. Finaliza su argumentación señalando que la razón por la que eleva la cuestión al Tribunal Constitucional es que considera que no es admisible jurídicamente “el sistema actual, en el que hay un sistema público de farmacias que es discriminatorio porque impide que se pueda acceder en condiciones de igualdad y de mérito y capacidad a la titularidad de una oficina de farmacia por parte de todos los licenciados en farmacia y se permite la patrimonialización de una licencia o autorización administrativa en contra de la función social de la propiedad.”</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21 de junio de 2016 la Sección Primera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 (art. 35.2 LOTC) y por si fuese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sus alegaciones el día 20 de julio de 2016 interesando la inadmisión de la cuestión por los motivos que se resumen a continuación.</w:t>
      </w:r>
    </w:p>
    <w:p w:rsidR="001D6FAE" w:rsidRDefault="001D6FAE" w:rsidP="001D6FAE">
      <w:pPr>
        <w:pStyle w:val="TextoNormal"/>
      </w:pPr>
    </w:p>
    <w:p w:rsidR="001D6FAE" w:rsidRDefault="001D6FAE" w:rsidP="001D6FAE">
      <w:pPr>
        <w:pStyle w:val="TextoNormal"/>
      </w:pPr>
      <w:r>
        <w:t>Expone los antecedentes del caso así como la doctrina constitucional acerca del trámite de audiencia a las partes y en relación con los juicios de aplicabilidad y relevancia. A la vista de dicha doctrina examina la forma en que por la Sala que plantea la cuestión se da cumplimento al trámite prevenido en el art. 35.2 LOTC. Así, en primer lugar, considera que resulta incorrecta la falta de expresión de los preceptos de la Constitución Española vulnerados en la providencia inicial de 24 de noviembre de 2015, sin que la posterior identificación de los mismos llevada a cabo en el Auto de 2 de febrero de 2016, estimando el recurso de reposición del Ministerio Fiscal, haya sido suficiente para cumplir la finalidad de este trámite y permitir las alegaciones de las partes sobre la cuestión que se pretendía plantear, al no darse a las partes nuevo trámite de audiencia una vez subsanada la deficiencia procesal. Igualmente cuestiona la correcta realización del juicio de relevancia pues lo que se considera contrario a la Constitución Española es lo que el órgano judicial califica como posibilidad de transmisión libre de las oficinas de farmacia, cuando lo que se viene impugnando son determinados aspectos de la trasmisión limitada que regulan los preceptos cuestionados de la Ley 22/2007. La Fiscal General del Estado resalta que a través del Auto de planteamiento “parece más bien cuestionarse la opción del legislador sobre la transmisibilidad —que se considera ‘libre’—de la farmacia por cualquiera de las formas admitidas en derecho y el sistema de adjudicación sin respeto a los principios de mérito y capacidad. Y ello podría significar un enjuiciamiento genérico de la constitucionalidad de la norma, pero desvinculado de su relevancia para la decisión a adoptar, siendo así que este procedimiento tiene por objeto un control concreto de constitucionalidad en relación con un supuesto específico objeto de la controversia planteada ante el Órgano Judicial”.</w:t>
      </w:r>
    </w:p>
    <w:p w:rsidR="001D6FAE" w:rsidRDefault="001D6FAE" w:rsidP="001D6FAE">
      <w:pPr>
        <w:pStyle w:val="TextoNormal"/>
      </w:pPr>
    </w:p>
    <w:p w:rsidR="001D6FAE" w:rsidRDefault="001D6FAE" w:rsidP="001D6FAE">
      <w:pPr>
        <w:pStyle w:val="TextoNormal"/>
      </w:pPr>
      <w:r>
        <w:t>En cuanto al carácter notoriamente infundado de la cuestión suscitada, el Ministerio público recoge la doctrina de las SSTC 109/2003, de 5 de junio, y 181/2014, de 6 de noviembre, en relación a la naturaleza del modelo de organización de la oficina de farmacia, la libertad de opción del legislador entre los diferentes modelos o alternativas posibles, los criterios de transmisibilidad de las farmacias o la relación de dicho régimen con el art. 33.2 CE. Aplicando la anterior doctrina al presente caso concluye que, respecto a la norma estatal cuestionada, no se observa ninguna vulneración de los preceptos constitucionales, en cuanto que se trata de un precepto abierto, que admitiría muchas posibilidades de desarrollo y cuya concreción se difiere a las Comunidades Autónomas y, en particular ahora, en el precepto impugnado de la Ley 22/2007, de farmacia de Andalucía que constituye el concreto objeto de la cuestión planteada.</w:t>
      </w:r>
    </w:p>
    <w:p w:rsidR="001D6FAE" w:rsidRDefault="001D6FAE" w:rsidP="001D6FAE">
      <w:pPr>
        <w:pStyle w:val="TextoNormal"/>
      </w:pPr>
    </w:p>
    <w:p w:rsidR="001D6FAE" w:rsidRDefault="001D6FAE" w:rsidP="001D6FAE">
      <w:pPr>
        <w:pStyle w:val="TextoNormal"/>
      </w:pPr>
      <w:r>
        <w:t xml:space="preserve">Respecto a esta última norma, indica que, en cuanto a la denunciada vulneración del art. 23.2 CE, la peculiar naturaleza de la prestación del servicio de farmacia, comporta una visión compleja y plural en los principios constitucionales que afectan a su regulación. Recuerda a este respecto que la doctrina constitucional ya ha destacado que la transmisibilidad de las oficinas de farmacia es una concreción de la libertad de empresa, resaltando que el legislador puede optar entre las diversas posibilidades existentes, de modo que la opción material relativa a la transmisibilidad de dichas autorizaciones es la que determina el modo de satisfacción del interés público sanitario presente en la dispensación de medicamentos. Cita el art. 3.2 de la Ley 16/1997, de 25 de abril, según el que la autorización de las nuevas oficinas de farmacia se tramitará conforme a los principios de publicidad y transparencia, previo el procedimiento que establezcan las Comunidades Autónomas. En dicho marco la propia Ley andaluza 22/2007, establece como principios generales la adjudicación de las nuevas oficinas de farmacia por concurso público, adjudicación que se ajustará a los principios de publicidad, transparencia, concurrencia pública y mérito. Para la Fiscal General del Estado, “la autorización de la farmacia y la selección del farmacéutico, a través del sistema de concurso, con la utilización de un sistema de baremación que pondera las condiciones personales y profesionales de quien va a obtener la titularidad de una oficina de farmacia, supone, la aplicación de los principios de mérito y capacidad, si bien, estando aquellos criterios incorporados en el principio de transparencia, respetándose pues los condicionantes de los arts. 23.2 y 103.3 CE en la regulación del legislador para la prestación del servido farmacéutico”. Destaca además que esa transmisión no es libre sino sujeta a determinados condicionantes, tanto si se trata de transmisiones </w:t>
      </w:r>
      <w:r w:rsidRPr="001D6FAE">
        <w:rPr>
          <w:i/>
        </w:rPr>
        <w:t>inter vivos</w:t>
      </w:r>
      <w:r>
        <w:t xml:space="preserve"> como </w:t>
      </w:r>
      <w:r w:rsidRPr="001D6FAE">
        <w:rPr>
          <w:i/>
        </w:rPr>
        <w:t>mortis causa</w:t>
      </w:r>
      <w:r>
        <w:t>. Tras el examen de ambos regímenes, las alegaciones de la Fiscal General del Estado concluyen que la Ley trata de armonizar los aspectos de intervención pública en la regulación del servicio, con los aspectos privados, derivados de la libertad de empresa, y cuyo respeto, ponderando todos los intereses concurrentes a tenor de la doctrina constitucional expuesta, no implica la desigualdad discriminatoria por razones económicas pretendida en el Auto de planteamiento.</w:t>
      </w:r>
    </w:p>
    <w:p w:rsidR="001D6FAE" w:rsidRDefault="001D6FAE" w:rsidP="001D6FAE">
      <w:pPr>
        <w:pStyle w:val="TextoNormal"/>
      </w:pPr>
    </w:p>
    <w:p w:rsidR="001D6FAE" w:rsidRDefault="001D6FAE" w:rsidP="001D6FAE">
      <w:pPr>
        <w:pStyle w:val="TextoNormal"/>
      </w:pPr>
      <w:r>
        <w:t>Todo lo anterior le lleva a solicitar la inadmisión de la presente cuestión de inconstitucionalidad por incumplimiento de los requisitos procesales dada la deficiente formulación del trámite de audiencia a las partes y al Ministerio Fiscal, así como por considerarla notoriamente infundada “en la medida en que los preceptos impugnados se ajustan a los artículos 23.2 y 103.3 CE en cuanto aplican los principios de mérito y capacidad para el desempeño del servicio farmacéutico de dispensación de medicamentos a través de la oficina de farmacia, y sujeta la transmisión de la autorización a determinadas limitaciones, unido a la caducidad de la autorización en caso de fallecimiento, con independencia, en todo caso, de los elementos materiales de la misma, ajustándose a la función social de la propiedad del art. 33.2 CE, de acuerdo con la naturaleza diversa de los bienes que son objeto de transmisión”.</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Sala de lo Contencioso-Administrativo, con sede en Granada, del Tribunal Superior de Justicia de Andalucía promueve cuestión de inconstitucionalidad en relación con los arts. 4.2 de la Ley 16/1997, de 25 de abril, de regulación de servicios de las oficinas de farmacia y 47, apartados 1, 2, 3, 4 y 7 de la Ley 22/2007, de 18 de diciembre, de oficinas de farmacia de Andalucía.</w:t>
      </w:r>
    </w:p>
    <w:p w:rsidR="001D6FAE" w:rsidRDefault="001D6FAE" w:rsidP="001D6FAE">
      <w:pPr>
        <w:pStyle w:val="TextoNormal"/>
      </w:pPr>
    </w:p>
    <w:p w:rsidR="001D6FAE" w:rsidRDefault="001D6FAE" w:rsidP="001D6FAE">
      <w:pPr>
        <w:pStyle w:val="TextoNormal"/>
      </w:pPr>
      <w:r>
        <w:t>Los preceptos cuestionados (en cursiva) disponen lo siguiente:</w:t>
      </w:r>
    </w:p>
    <w:p w:rsidR="001D6FAE" w:rsidRDefault="001D6FAE" w:rsidP="001D6FAE">
      <w:pPr>
        <w:pStyle w:val="TextoNormal"/>
      </w:pPr>
    </w:p>
    <w:p w:rsidR="001D6FAE" w:rsidRDefault="001D6FAE" w:rsidP="001D6FAE">
      <w:pPr>
        <w:pStyle w:val="TextoNormal"/>
      </w:pPr>
      <w:r>
        <w:t>“Artículo 4. Transmisión [Ley 16/1997, 25 abril]</w:t>
      </w:r>
    </w:p>
    <w:p w:rsidR="001D6FAE" w:rsidRDefault="001D6FAE" w:rsidP="001D6FAE">
      <w:pPr>
        <w:pStyle w:val="TextoNormal"/>
      </w:pPr>
    </w:p>
    <w:p w:rsidR="001D6FAE" w:rsidRDefault="001D6FAE" w:rsidP="001D6FAE">
      <w:pPr>
        <w:pStyle w:val="TextoNormal"/>
      </w:pPr>
      <w:r>
        <w:t>1. La transmisión de las oficinas de farmacia únicamente podrá realizarse en favor de otro u otros farmacéuticos.</w:t>
      </w:r>
    </w:p>
    <w:p w:rsidR="001D6FAE" w:rsidRDefault="001D6FAE" w:rsidP="001D6FAE">
      <w:pPr>
        <w:pStyle w:val="TextoNormal"/>
      </w:pPr>
    </w:p>
    <w:p w:rsidR="001D6FAE" w:rsidRDefault="001D6FAE" w:rsidP="001D6FAE">
      <w:pPr>
        <w:pStyle w:val="TextoNormal"/>
      </w:pPr>
      <w:r>
        <w:t>2. Las Comunidades Autónomas regularán las formas, condiciones, plazos y demás requisitos de las transmisiones de estos establecimientos.</w:t>
      </w:r>
    </w:p>
    <w:p w:rsidR="001D6FAE" w:rsidRDefault="001D6FAE" w:rsidP="001D6FAE">
      <w:pPr>
        <w:pStyle w:val="TextoNormal"/>
      </w:pPr>
    </w:p>
    <w:p w:rsidR="001D6FAE" w:rsidRDefault="001D6FAE" w:rsidP="001D6FAE">
      <w:pPr>
        <w:pStyle w:val="TextoNormal"/>
      </w:pPr>
      <w:r>
        <w:t>3. En los casos de clausura o cierre obligatorio de las oficinas de farmacia, por sanción de inhabilitación profesional o penal, temporal o definitiva, de cualquier índole, las Comunidades Autónomas podrán prever la prohibición de la transmisión de las citadas oficinas de farmacia, así como la intervención de los medicamentos.”</w:t>
      </w:r>
    </w:p>
    <w:p w:rsidR="001D6FAE" w:rsidRDefault="001D6FAE" w:rsidP="001D6FAE">
      <w:pPr>
        <w:pStyle w:val="TextoNormal"/>
      </w:pPr>
    </w:p>
    <w:p w:rsidR="001D6FAE" w:rsidRDefault="001D6FAE" w:rsidP="001D6FAE">
      <w:pPr>
        <w:pStyle w:val="TextoNormal"/>
      </w:pPr>
      <w:r>
        <w:t>“Artículo 47. Transmisión de la oficina de farmacia [Ley andaluza 22/2007]</w:t>
      </w:r>
    </w:p>
    <w:p w:rsidR="001D6FAE" w:rsidRDefault="001D6FAE" w:rsidP="001D6FAE">
      <w:pPr>
        <w:pStyle w:val="TextoNormal"/>
      </w:pPr>
    </w:p>
    <w:p w:rsidR="001D6FAE" w:rsidRDefault="001D6FAE" w:rsidP="001D6FAE">
      <w:pPr>
        <w:pStyle w:val="TextoNormal"/>
      </w:pPr>
      <w:r>
        <w:t>1. La transmisión de la oficina de farmacia por cualquiera de las formas admitidas en Derecho estará sujeta a autorización administrativa que se realizará en las condiciones y con los requisitos de procedimiento que reglamentariamente se determinen.</w:t>
      </w:r>
    </w:p>
    <w:p w:rsidR="001D6FAE" w:rsidRDefault="001D6FAE" w:rsidP="001D6FAE">
      <w:pPr>
        <w:pStyle w:val="TextoNormal"/>
      </w:pPr>
    </w:p>
    <w:p w:rsidR="001D6FAE" w:rsidRDefault="001D6FAE" w:rsidP="001D6FAE">
      <w:pPr>
        <w:pStyle w:val="TextoNormal"/>
      </w:pPr>
      <w:r>
        <w:t>2. La transmisión de la totalidad o una parte indivisa de la oficina de farmacia sólo podrá llevarse a cabo a favor de otro u otros farmacéuticos siempre que el establecimiento haya permanecido abierto al público durante un mínimo de cinco años, con la misma persona titular o cotitulares.</w:t>
      </w:r>
    </w:p>
    <w:p w:rsidR="001D6FAE" w:rsidRDefault="001D6FAE" w:rsidP="001D6FAE">
      <w:pPr>
        <w:pStyle w:val="TextoNormal"/>
      </w:pPr>
    </w:p>
    <w:p w:rsidR="001D6FAE" w:rsidRDefault="001D6FAE" w:rsidP="001D6FAE">
      <w:pPr>
        <w:pStyle w:val="TextoNormal"/>
      </w:pPr>
      <w:r>
        <w:t>No obstante, el plazo previsto en el párrafo anterior no será de aplicación en los supuestos de fallecimiento, incapacidad laboral permanente, total o absoluta, incapacitación judicial o declaración judicial de ausencia de la misma, sin perjuicio de lo dispuesto en el artículo 40.1 b) de esta Ley.</w:t>
      </w:r>
    </w:p>
    <w:p w:rsidR="001D6FAE" w:rsidRDefault="001D6FAE" w:rsidP="001D6FAE">
      <w:pPr>
        <w:pStyle w:val="TextoNormal"/>
      </w:pPr>
    </w:p>
    <w:p w:rsidR="001D6FAE" w:rsidRDefault="001D6FAE" w:rsidP="001D6FAE">
      <w:pPr>
        <w:pStyle w:val="TextoNormal"/>
      </w:pPr>
      <w:r>
        <w:t>3. En las transmisiones onerosas, el transmitente comunicará a la Administración sanitaria las condiciones generales de la transmisión. Efectuada tal comunicación, la Administración le dará a conocer los nombres de los farmacéuticos inscritos en el registro de posibles adquirentes que tengan la mayor puntuación, según el baremo de méritos que se establezca, de acuerdo con los principios de publicidad, transparencia, y con los criterios de los apartados 1 y 2 del artículo 41 de la presente Ley, si bien la valoración de la experiencia profesional se tendrá especialmente en cuenta cuando se hubiera desempeñado en municipios, ELA o EATIM, o núcleos poblacionales aislados, todos ellos de menos de mil habitantes.</w:t>
      </w:r>
    </w:p>
    <w:p w:rsidR="001D6FAE" w:rsidRDefault="001D6FAE" w:rsidP="001D6FAE">
      <w:pPr>
        <w:pStyle w:val="TextoNormal"/>
      </w:pPr>
    </w:p>
    <w:p w:rsidR="001D6FAE" w:rsidRDefault="001D6FAE" w:rsidP="001D6FAE">
      <w:pPr>
        <w:pStyle w:val="TextoNormal"/>
      </w:pPr>
      <w:r>
        <w:t>La transmisión, que se realizará a favor de aquel farmacéutico que teniendo la mayor puntuación acepte las condiciones y garantías exigidas por el transmitente, deberá efectuarse en el plazo máximo de cuatro meses.</w:t>
      </w:r>
    </w:p>
    <w:p w:rsidR="001D6FAE" w:rsidRDefault="001D6FAE" w:rsidP="001D6FAE">
      <w:pPr>
        <w:pStyle w:val="TextoNormal"/>
      </w:pPr>
    </w:p>
    <w:p w:rsidR="001D6FAE" w:rsidRDefault="001D6FAE" w:rsidP="001D6FAE">
      <w:pPr>
        <w:pStyle w:val="TextoNormal"/>
      </w:pPr>
      <w:r>
        <w:t>Se excepciona de lo previsto en los párrafos anteriores de este apartado la primera transmisión onerosa de aquellas oficinas de farmacia que cuenten con autorización administrativa de funcionamiento a la entrada en vigor de la presente Ley.</w:t>
      </w:r>
    </w:p>
    <w:p w:rsidR="001D6FAE" w:rsidRDefault="001D6FAE" w:rsidP="001D6FAE">
      <w:pPr>
        <w:pStyle w:val="TextoNormal"/>
      </w:pPr>
    </w:p>
    <w:p w:rsidR="001D6FAE" w:rsidRDefault="001D6FAE" w:rsidP="001D6FAE">
      <w:pPr>
        <w:pStyle w:val="TextoNormal"/>
      </w:pPr>
      <w:r>
        <w:t>4. Igualmente, queda excepcionada de lo dispuesto en el apartado anterior la transmisión onerosa de una parte indivisa de la oficina de farmacia, si bien el farmacéutico transmitente no podrá transmitir su parte proindivisa de la oficina de farmacia durante los cinco años siguientes.</w:t>
      </w:r>
    </w:p>
    <w:p w:rsidR="001D6FAE" w:rsidRDefault="001D6FAE" w:rsidP="001D6FAE">
      <w:pPr>
        <w:pStyle w:val="TextoNormal"/>
      </w:pPr>
    </w:p>
    <w:p w:rsidR="001D6FAE" w:rsidRDefault="001D6FAE" w:rsidP="001D6FAE">
      <w:pPr>
        <w:pStyle w:val="TextoNormal"/>
      </w:pPr>
      <w:r>
        <w:t>5. Efectuada la transmisión de la oficina de farmacia, la persona a cuyo favor se haya realizado la misma solicitará la oportuna autorización por cambio de titularidad a la Delegación Provincial correspondiente de la Consejería competente en materia de salud, en el plazo máximo de dos meses.</w:t>
      </w:r>
    </w:p>
    <w:p w:rsidR="001D6FAE" w:rsidRDefault="001D6FAE" w:rsidP="001D6FAE">
      <w:pPr>
        <w:pStyle w:val="TextoNormal"/>
      </w:pPr>
    </w:p>
    <w:p w:rsidR="001D6FAE" w:rsidRDefault="001D6FAE" w:rsidP="001D6FAE">
      <w:pPr>
        <w:pStyle w:val="TextoNormal"/>
      </w:pPr>
      <w:r>
        <w:t>6. El incumplimiento de los plazos previstos en los apartados 3 y 5 de este artículo, por causa imputable al adquirente, supondrá la baja de este por un plazo de cinco años en el registro de posibles adquirentes.</w:t>
      </w:r>
    </w:p>
    <w:p w:rsidR="001D6FAE" w:rsidRDefault="001D6FAE" w:rsidP="001D6FAE">
      <w:pPr>
        <w:pStyle w:val="TextoNormal"/>
      </w:pPr>
    </w:p>
    <w:p w:rsidR="001D6FAE" w:rsidRDefault="001D6FAE" w:rsidP="001D6FAE">
      <w:pPr>
        <w:pStyle w:val="TextoNormal"/>
      </w:pPr>
      <w:r>
        <w:t>7. Cuando el adquirente de una oficina de farmacia fuera titular de otra y no la hubiera transmitido al momento de obtener la autorización de cambio de titularidad de la nueva, esta autorización quedará condicionada a que en el plazo máximo de seis meses realice la transmisión de la oficina de farmacia de la que era titular.</w:t>
      </w:r>
    </w:p>
    <w:p w:rsidR="001D6FAE" w:rsidRDefault="001D6FAE" w:rsidP="001D6FAE">
      <w:pPr>
        <w:pStyle w:val="TextoNormal"/>
      </w:pPr>
    </w:p>
    <w:p w:rsidR="001D6FAE" w:rsidRDefault="001D6FAE" w:rsidP="001D6FAE">
      <w:pPr>
        <w:pStyle w:val="TextoNormal"/>
      </w:pPr>
      <w:r>
        <w:t>Transcurrido este plazo sin haberse efectuado dicha transmisión, la autorización de cambio de titularidad conllevará la caducidad de la autorización de instalación y funcionamiento de la que tuviera abierta.”</w:t>
      </w:r>
    </w:p>
    <w:p w:rsidR="001D6FAE" w:rsidRDefault="001D6FAE" w:rsidP="001D6FAE">
      <w:pPr>
        <w:pStyle w:val="TextoNormal"/>
      </w:pPr>
    </w:p>
    <w:p w:rsidR="001D6FAE" w:rsidRDefault="001D6FAE" w:rsidP="001D6FAE">
      <w:pPr>
        <w:pStyle w:val="TextoNormal"/>
      </w:pPr>
      <w:r>
        <w:t>El órgano judicial considera que la regulación del art. 47 de la Ley 22/2007 de Andalucía —y la cobertura que le otorga la remisión del art. 4.2 de la Ley estatal 16/1997— en la regulación de la trasmisión de las oficinas de farmacia y su autorización, es contraria a la Constitución en cuanto permitiría una transmisión libre de las mismas sin sujeción a los criterios de mérito y capacidad para el desempeño de una función pública —determinada por la licencia administrativa para la oficina de farmacia— contraviniendo el art. 23.2 CE, así como porque dicha trasmisión implicaría la disposición de un bien de carácter público, con vulneración de la función social de la propiedad del art. 33.2 CE, comportando una discriminación para los farmacéuticos licenciados que no pudieran acceder a aquellas por razones económicas.</w:t>
      </w:r>
    </w:p>
    <w:p w:rsidR="001D6FAE" w:rsidRDefault="001D6FAE" w:rsidP="001D6FAE">
      <w:pPr>
        <w:pStyle w:val="TextoNormal"/>
      </w:pPr>
    </w:p>
    <w:p w:rsidR="001D6FAE" w:rsidRDefault="001D6FAE" w:rsidP="001D6FAE">
      <w:pPr>
        <w:pStyle w:val="TextoNormal"/>
      </w:pPr>
      <w:r>
        <w:t>La Fiscal General del Estado, por las razones expuestas en los antecedentes, ha interesado la inadmisión de la cuestión por incumplimiento de los requisitos procesales así como por considerarla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previsto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Ambas circunstancias concurren en el presente caso.</w:t>
      </w:r>
    </w:p>
    <w:p w:rsidR="001D6FAE" w:rsidRDefault="001D6FAE" w:rsidP="001D6FAE">
      <w:pPr>
        <w:pStyle w:val="TextoNormal"/>
      </w:pPr>
    </w:p>
    <w:p w:rsidR="001D6FAE" w:rsidRDefault="001D6FAE" w:rsidP="001D6FAE">
      <w:pPr>
        <w:pStyle w:val="TextoNormal"/>
      </w:pPr>
      <w:r w:rsidRPr="001D6FAE">
        <w:rPr>
          <w:rStyle w:val="NumeroAFNegritaCaracter"/>
        </w:rPr>
        <w:t>3</w:t>
      </w:r>
      <w:r>
        <w:t>. En cuanto a los requisitos procesales necesarios para el adecuado planteamiento de una cuestión de inconstitucionalidad hay que señalar lo siguiente:</w:t>
      </w:r>
    </w:p>
    <w:p w:rsidR="001D6FAE" w:rsidRDefault="001D6FAE" w:rsidP="001D6FAE">
      <w:pPr>
        <w:pStyle w:val="TextoNormal"/>
      </w:pPr>
    </w:p>
    <w:p w:rsidR="001D6FAE" w:rsidRDefault="001D6FAE" w:rsidP="001D6FAE">
      <w:pPr>
        <w:pStyle w:val="TextoNormal"/>
      </w:pPr>
      <w:r>
        <w:t>a) El trámite de audiencia a las partes y al Ministerio Fiscal no se ha formalizado adecuadamente. La admisibilidad de una cuestión de inconstitucionalidad, requiere, entre otras “condiciones procesales” (art. 37.1 LOTC), el correcto cumplimiento del denominado trámite de audiencia, esto es, la preceptiva audiencia a las partes y al Ministerio Fiscal antes de elaborar el Auto de planteamiento de la cuestión de inconstitucionalidad por el órgano judicial promotor de la misma. Así lo exige expresamente el art. 35.2 LOTC, que dice que “antes de adoptar mediante auto su decisión definitiva, el órgano judicial oirá a las partes y al Ministerio Fiscal para que en el plazo común e improrrogable de diez días puedan alegar lo que deseen sobre la pertinencia de plantear la cuestión de inconstitucionalidad, o sobre el fondo de ésta; seguidamente y sin más trámite, el juez resolverá en el plazo de tres días”. Es por tanto “… un requisito de todo punto inexcusable, cuya eventual omisión constituye un defecto en el modo de proposición de la cuestión que ha de determinar, tras el trámite previsto en el art. 37.1 LOTC, la inadmisión de la cuestión así suscitada” (entre otros muchos, AATC 220/2012, de 27 de noviembre, FJ 4; y 389/2008, de 17 de diciembre, FJ 2).</w:t>
      </w:r>
    </w:p>
    <w:p w:rsidR="001D6FAE" w:rsidRDefault="001D6FAE" w:rsidP="001D6FAE">
      <w:pPr>
        <w:pStyle w:val="TextoNormal"/>
      </w:pPr>
    </w:p>
    <w:p w:rsidR="001D6FAE" w:rsidRDefault="001D6FAE" w:rsidP="001D6FAE">
      <w:pPr>
        <w:pStyle w:val="TextoNormal"/>
      </w:pPr>
      <w:r>
        <w:t>La doctrina constitucional (por todas, STC 95/2015, de 14 de mayo, FJ 2) subraya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este Tribunal ha destacado también que el mismo no puede minimizarse, reduciéndolo a un simple trámite, carente de más transcendencia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w:t>
      </w:r>
    </w:p>
    <w:p w:rsidR="001D6FAE" w:rsidRDefault="001D6FAE" w:rsidP="001D6FAE">
      <w:pPr>
        <w:pStyle w:val="TextoNormal"/>
      </w:pPr>
    </w:p>
    <w:p w:rsidR="001D6FAE" w:rsidRDefault="001D6FAE" w:rsidP="001D6FAE">
      <w:pPr>
        <w:pStyle w:val="TextoNormal"/>
      </w:pPr>
      <w:r>
        <w:t>Esta doctrina ha admitido excepciones, esto es, que las variaciones en la identificación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pueden superar ese defecto y entender correctamente cuál era la duda que se les plantea, pues en estos casos no se habrá impedido a las partes el efectivo ejercicio de su derecho de audiencia en el trámite previsto por el art. 35.2 LOTC (ATC 136/2015, de 21 de julio, FJ 2).</w:t>
      </w:r>
    </w:p>
    <w:p w:rsidR="001D6FAE" w:rsidRDefault="001D6FAE" w:rsidP="001D6FAE">
      <w:pPr>
        <w:pStyle w:val="TextoNormal"/>
      </w:pPr>
    </w:p>
    <w:p w:rsidR="001D6FAE" w:rsidRDefault="001D6FAE" w:rsidP="001D6FAE">
      <w:pPr>
        <w:pStyle w:val="TextoNormal"/>
      </w:pPr>
      <w:r>
        <w:t>Sin embargo es patente que eso no es lo que sucede aquí. La providencia de 24 de noviembre de 2015 no intenta en forma alguna identificar los preceptos constitucionales que el órgano judicial entiende vulnerados pues, de hecho, remite tal tarea al juicio de las partes y del Ministerio Fiscal al señalar que “pueden formular alegaciones sobre la compatibilidad de estos dos preceptos con cualquier norma o precepto de la Constitución”. Resulta así que en la citada providencia hay una “indeterminación absoluta” de las normas de la Constitución que se consideran vulneradas, de manera que resulta imposible para las partes conocer el planteamiento de la cuestión de inconstitucionalidad en sus exactos términos (ATC 116/2014, de 8 de abril, FJ 2). Eso supone, en aplicación de la regla general, la inadmisión de la cuestión de inconstitucionalidad por falta de requisitos procesales, pues, como se pone de manifiesto en las alegaciones formuladas por las partes comparecidas, éstas no han podido situar la cuestión en sus estrictos términos constitucionales y pronunciarse sobre ellos.</w:t>
      </w:r>
    </w:p>
    <w:p w:rsidR="001D6FAE" w:rsidRDefault="001D6FAE" w:rsidP="001D6FAE">
      <w:pPr>
        <w:pStyle w:val="TextoNormal"/>
      </w:pPr>
    </w:p>
    <w:p w:rsidR="001D6FAE" w:rsidRDefault="001D6FAE" w:rsidP="001D6FAE">
      <w:pPr>
        <w:pStyle w:val="TextoNormal"/>
      </w:pPr>
      <w:r>
        <w:t>Esa deficiencia no queda subsanada por el hecho de que el órgano judicial estimase, mediante Auto de 2 de febrero de 2016, el recurso de reposición interpuesto por el Ministerio Fiscal. En el citado Auto se identifican los arts. 1, 9, 10, 14, 23, 33, 35, 36, 38, 103, 139 y 149 CE como preceptos constitucionales vulnerados, genérica enumeración respecto a la que, precisamente por ese carácter, cabe también poner en duda que cumpla la doctrina constitucional que antes se ha expuesto. En todo caso lo relevante es que la estimación del recurso del Ministerio Fiscal no determinó la apertura de un nuevo plazo de alegaciones en el que se hubieran podido subsanar las deficiencias padecidas en el mencionado trámite causadas por la providencia inicial.</w:t>
      </w:r>
    </w:p>
    <w:p w:rsidR="001D6FAE" w:rsidRDefault="001D6FAE" w:rsidP="001D6FAE">
      <w:pPr>
        <w:pStyle w:val="TextoNormal"/>
      </w:pPr>
    </w:p>
    <w:p w:rsidR="001D6FAE" w:rsidRDefault="001D6FAE" w:rsidP="001D6FAE">
      <w:pPr>
        <w:pStyle w:val="TextoNormal"/>
      </w:pPr>
      <w:r>
        <w:t>La traslación de la doctrina constitucional expuesta al presente procedimiento, en que, como se ha dicho, el órgano judicial no ha dado correctamente audiencia a las partes, lleva a concluir que, tal y como ha señalado la Fiscal General del Estado, no se han cumplido las exigencias establecidas por el art. 35.2 LOTC respecto al trámite de audiencia, en los términos exigidos por la jurisprudencia constitucional. Por tanto, debemos concluir que no se han satisfecho las condiciones procesales exigidas por el art. 37.1 LOTC para que proceda la admisión a trámite de la cuestión.</w:t>
      </w:r>
    </w:p>
    <w:p w:rsidR="001D6FAE" w:rsidRDefault="001D6FAE" w:rsidP="001D6FAE">
      <w:pPr>
        <w:pStyle w:val="TextoNormal"/>
      </w:pPr>
    </w:p>
    <w:p w:rsidR="001D6FAE" w:rsidRDefault="001D6FAE" w:rsidP="001D6FAE">
      <w:pPr>
        <w:pStyle w:val="TextoNormal"/>
      </w:pPr>
      <w:r>
        <w:t>b) Los juicios de aplicabilidad y relevancia también son defectuosos por insuficientes.</w:t>
      </w:r>
    </w:p>
    <w:p w:rsidR="001D6FAE" w:rsidRDefault="001D6FAE" w:rsidP="001D6FAE">
      <w:pPr>
        <w:pStyle w:val="TextoNormal"/>
      </w:pPr>
    </w:p>
    <w:p w:rsidR="001D6FAE" w:rsidRDefault="001D6FAE" w:rsidP="001D6FAE">
      <w:pPr>
        <w:pStyle w:val="TextoNormal"/>
      </w:pPr>
      <w:r>
        <w:t>i) Es constante la doctrina constitucional que señala que corresponde al órgano judicial proponente determinar con claridad que la disposición cuestionada es aplicable a los hechos enjuiciados en el proceso en cuyo seno se suscita, de modo que el control que corresponde efectuar a este Tribunal es meramente externo, sin que pueda sustituirlo en la selección e interpretación de la norma aplicable. Este Tribunal “no puede ponderar o revisar tal apreciación del propio órgano judicial sobre las normas que en cada caso estime aplicables, a salvo el supuesto de que el criterio que así se exponga resulte con toda evidencia errado” (STC 87/2014, de 29 de mayo, FJ 2, con cita de otras). Aun siendo ésta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40/2014, de 11 de marzo, FJ 2 b), con cita de la STC 151/2011, de 29 de septiembre, FJ 3] y se evita que el control de constitucionalidad se convierta en un control abstracto, para lo que el órgano judicial no tiene legitimación (SSTC 84/2012, de 18 de abril, FJ 2, y 146/2012, de 5 de julio, FJ 3).</w:t>
      </w:r>
    </w:p>
    <w:p w:rsidR="001D6FAE" w:rsidRDefault="001D6FAE" w:rsidP="001D6FAE">
      <w:pPr>
        <w:pStyle w:val="TextoNormal"/>
      </w:pPr>
    </w:p>
    <w:p w:rsidR="001D6FAE" w:rsidRDefault="001D6FAE" w:rsidP="001D6FAE">
      <w:pPr>
        <w:pStyle w:val="TextoNormal"/>
      </w:pPr>
      <w:r>
        <w:t>En aplicación de esta doctrina, resulta que el juicio de aplicabilidad puede entenderse realizado adecuadamente respecto al art. 4.2 de la Ley 16/1997, de 25 de abril, de regulación de servicios de las oficinas de farmacia (en la medida en que remite a las Comunidades Autónomas la regulación de las transmisiones de las oficinas de farmacia), pero la cuestión es distinta respecto al art. 47, apartados 1, 2, 3, 4 y 7 de la Ley 22/2007, de 18 de diciembre, de oficinas de farmacia de Andalucía. La existencia de una causa de imposibilidad legal de ejecución que se combate en la apelación que el órgano judicial ha de resolver se centra en la obligatoriedad de la presencia del farmacéutico titular en la oficina de farmacia (que deriva del art. 23.1 de la Ley 22/2007) y la imposibilidad de transmisión de la oficina autorizada antes del transcurso de los cinco años a los que hace referencia el art. 47.2 de la misma Ley 22/2007. Por tanto, el juicio de aplicabilidad en este caso debería entenderse limitado exclusivamente a lo dispuesto en este último precepto, con exclusión de los restantes que en realidad se refieren al régimen de transmisibilidad de las oficinas de farmacia. Ello no es directamente aplicable al caso que el órgano judicial ha de resolver en la apelación, sino que se relaciona con el cuestionamiento general que el Auto realiza del entero sistema de transmisión de las oficinas de farmacia regulado en la Ley 22/2007.</w:t>
      </w:r>
    </w:p>
    <w:p w:rsidR="001D6FAE" w:rsidRDefault="001D6FAE" w:rsidP="001D6FAE">
      <w:pPr>
        <w:pStyle w:val="TextoNormal"/>
      </w:pPr>
    </w:p>
    <w:p w:rsidR="001D6FAE" w:rsidRDefault="001D6FAE" w:rsidP="001D6FAE">
      <w:pPr>
        <w:pStyle w:val="TextoNormal"/>
      </w:pPr>
      <w:r>
        <w:t>ii) El juicio de relevancia tampoco se formula adecuadamente. Dicho juicio, previsto en el art. 35.2 LOTC, es “el esquema argumental dirigido a probar que el fallo del proceso judicial depende de la validez de la norma cuestionada” (por todos, ATC 21/2001, de30 de enero, FJ 1), por lo que debe comprobarse si se ha argumentado debidamente la existencia de un nexo causal entre la validez de los preceptos legales cuestionados y la decisión a adoptar en el proces</w:t>
      </w:r>
      <w:r w:rsidRPr="001D6FAE">
        <w:rPr>
          <w:i/>
        </w:rPr>
        <w:t>o a q</w:t>
      </w:r>
      <w:r>
        <w:t>uo.</w:t>
      </w:r>
    </w:p>
    <w:p w:rsidR="001D6FAE" w:rsidRDefault="001D6FAE" w:rsidP="001D6FAE">
      <w:pPr>
        <w:pStyle w:val="TextoNormal"/>
      </w:pPr>
    </w:p>
    <w:p w:rsidR="001D6FAE" w:rsidRDefault="001D6FAE" w:rsidP="001D6FAE">
      <w:pPr>
        <w:pStyle w:val="TextoNormal"/>
      </w:pPr>
      <w:r>
        <w:t>El cumplimiento de este requisito es una condición esencial de este proceso constitucional, en la medida en que por medio de él se garantiza que se establezca la relación necesaria entre el fallo del proceso judicial y la validez de la norma discutida (SSTC 254/2014 de 23 de diciembre, FJ 2; 47/2010, de 8 de septiembre, FJ 3; y 42/2013, de 14 de febrero, FJ 2 entre otras muchas). La cuestión de inconstitucionalidad no es un procedimiento dirigido a examinar en general y en abstracto normas con rango de ley en toda su extensión, función ésta que queda reservada por nuestra Constitución, principalmente, al recurso de inconstitucionalidad.</w:t>
      </w:r>
    </w:p>
    <w:p w:rsidR="001D6FAE" w:rsidRDefault="001D6FAE" w:rsidP="001D6FAE">
      <w:pPr>
        <w:pStyle w:val="TextoNormal"/>
      </w:pPr>
    </w:p>
    <w:p w:rsidR="001D6FAE" w:rsidRDefault="001D6FAE" w:rsidP="001D6FAE">
      <w:pPr>
        <w:pStyle w:val="TextoNormal"/>
      </w:pPr>
      <w:r>
        <w:t>Atendiendo a esta doctrina, el juicio de relevancia que expresa el Auto de planteamiento resulta defectuoso en un triple sentido.</w:t>
      </w:r>
    </w:p>
    <w:p w:rsidR="001D6FAE" w:rsidRDefault="001D6FAE" w:rsidP="001D6FAE">
      <w:pPr>
        <w:pStyle w:val="TextoNormal"/>
      </w:pPr>
    </w:p>
    <w:p w:rsidR="001D6FAE" w:rsidRDefault="001D6FAE" w:rsidP="001D6FAE">
      <w:pPr>
        <w:pStyle w:val="TextoNormal"/>
      </w:pPr>
      <w:r>
        <w:t xml:space="preserve">En primer lugar, dicho Auto de planteamiento no va más allá de exponer que, a su juicio, los preceptos cuestionados fueron aplicados en el pleito </w:t>
      </w:r>
      <w:r w:rsidRPr="001D6FAE">
        <w:rPr>
          <w:i/>
        </w:rPr>
        <w:t>a quo</w:t>
      </w:r>
      <w:r>
        <w:t xml:space="preserve"> y que, por tanto, han de ser relevantes. En realidad, dicho razonamiento no es útil, ya que lo que ha de justificarse es que los preceptos son aplicables al caso que el órgano judicial ha de resolver ahora, no el que resolvió en el pasado. Esto es, pronunciarse sobre la procedencia de apreciar o no la causa de imposibilidad de ejecución de su previa Sentencia de 17 de junio de 2013. En estas circunstancias, aunque pudiera admitirse que con ello se justifica la aplicabilidad de los preceptos cuestionados, no es posible reconocer en tal argumento una exteriorización del juicio de relevancia. En cuanto a esto último el Auto se limita a afirmar que de la validez constitucional del art. 47 de la Ley 22/2007 depende la resolución del caso, sin mayores precisiones, lo que determina que el órgano judicial no haya levantado la carga de “especificar y justificar” el juicio de relevancia.</w:t>
      </w:r>
    </w:p>
    <w:p w:rsidR="001D6FAE" w:rsidRDefault="001D6FAE" w:rsidP="001D6FAE">
      <w:pPr>
        <w:pStyle w:val="TextoNormal"/>
      </w:pPr>
    </w:p>
    <w:p w:rsidR="001D6FAE" w:rsidRDefault="001D6FAE" w:rsidP="001D6FAE">
      <w:pPr>
        <w:pStyle w:val="TextoNormal"/>
      </w:pPr>
      <w:r>
        <w:t>En segundo lugar, no se examina si, para cuando el órgano judicial plantea la cuestión ya ha desaparecido el obstáculo legal que, a juicio del Auto recurrido en apelación, impide la ejecución de la Sentencia, pues ya ha transcurrido el plazo de cinco años desde la apertura de la oficina de farmacia al que alude el artículo 47.2, como requisito para su transmisibilidad. La norma es, como ya se ha expuesto, aplicable, pero lo que debe valorarse si es, en ese momento, opera como una limitación que se opone a la ejecución de la Sentencia en sus propios términos. Lo mismo sucede con el art. 34 de la Ley 22/2007, no contemplado por el órgano judicial, el cual impide al titular que tuviese autorizada una oficina de farmacia que pueda ser adjudicatario de las que se oferten, en los concursos de las nuevas, en el municipio donde se ubique la que tiene autorizada.</w:t>
      </w:r>
    </w:p>
    <w:p w:rsidR="001D6FAE" w:rsidRDefault="001D6FAE" w:rsidP="001D6FAE">
      <w:pPr>
        <w:pStyle w:val="TextoNormal"/>
      </w:pPr>
    </w:p>
    <w:p w:rsidR="001D6FAE" w:rsidRDefault="001D6FAE" w:rsidP="001D6FAE">
      <w:pPr>
        <w:pStyle w:val="TextoNormal"/>
      </w:pPr>
      <w:r>
        <w:t xml:space="preserve">En tercer lugar, la duda de constitucionalidad que se expresa nada tiene que ver con lo discutido en el pleito </w:t>
      </w:r>
      <w:r w:rsidRPr="001D6FAE">
        <w:rPr>
          <w:i/>
        </w:rPr>
        <w:t>a quo</w:t>
      </w:r>
      <w:r>
        <w:t>. Lo que el órgano judicial viene a cuestionar es el entero sistema de transmisión de las oficinas de farmacia que, a su entender, deriva de los preceptos sobre los que expresa su duda de constitucionalidad. El Auto de planteamiento alude en repetidas ocasiones al sistema actual de transmisión y adquisición de farmacias, considerando que la posibilidad de transmisión libre que, a su juicio, deriva de los preceptos que cuestiona es lo que contraviene los arts. 23.2, 33.2 y 103.3 CE. Como también ha señalado el Ministerio público, este planteamiento del órgano judicial convierte a esta cuestión en un enjuiciamiento abstracto sobre el régimen de transmisibilidad de las oficinas de farmacia, desvinculado, por tanto, del caso concreto sometido a su consideración, lo que no resulta procedente en un proceso de estas características. De todo ello se sigue que el juicio de relevancia que formula es notoriamente inconsistente, pues los términos en los que el órgano judicial plantea su duda de constitucionalidad carecen de la exigible conexión o vinculación con el objeto del proceso.</w:t>
      </w:r>
    </w:p>
    <w:p w:rsidR="001D6FAE" w:rsidRDefault="001D6FAE" w:rsidP="001D6FAE">
      <w:pPr>
        <w:pStyle w:val="TextoNormal"/>
      </w:pPr>
    </w:p>
    <w:p w:rsidR="001D6FAE" w:rsidRDefault="001D6FAE" w:rsidP="001D6FAE">
      <w:pPr>
        <w:pStyle w:val="TextoNormal"/>
      </w:pPr>
      <w:r w:rsidRPr="001D6FAE">
        <w:rPr>
          <w:rStyle w:val="NumeroAFNegritaCaracter"/>
        </w:rPr>
        <w:t>4</w:t>
      </w:r>
      <w:r>
        <w:t>. La duda de constitucionalidad que se plantea puede considerarse notoriamente infundada en el sentido que a esta expresión le ha atribuido la doctrina del Tribunal (por todos, ATC 43/2014, de 12 de febrero, FJ 3).</w:t>
      </w:r>
    </w:p>
    <w:p w:rsidR="001D6FAE" w:rsidRDefault="001D6FAE" w:rsidP="001D6FAE">
      <w:pPr>
        <w:pStyle w:val="TextoNormal"/>
      </w:pPr>
    </w:p>
    <w:p w:rsidR="001D6FAE" w:rsidRDefault="001D6FAE" w:rsidP="001D6FAE">
      <w:pPr>
        <w:pStyle w:val="TextoNormal"/>
      </w:pPr>
      <w:r>
        <w:t>El órgano judicial considera que las normas que se cuestionan regulan la posibilidad de transmisión libre de las oficinas de farmacia “por cualquiera de las formas admitidas en derecho”, citando el art. 47.2 de la Ley 22/2007 (en realidad es el art. 47.1). Esa posibilidad de transmisión libre, que constituye el específico objeto de la duda de constitucionalidad que se plantea, sería contraria a los arts. 23.2, 33.2 y 103.3 CE.</w:t>
      </w:r>
    </w:p>
    <w:p w:rsidR="001D6FAE" w:rsidRDefault="001D6FAE" w:rsidP="001D6FAE">
      <w:pPr>
        <w:pStyle w:val="TextoNormal"/>
      </w:pPr>
    </w:p>
    <w:p w:rsidR="001D6FAE" w:rsidRDefault="001D6FAE" w:rsidP="001D6FAE">
      <w:pPr>
        <w:pStyle w:val="TextoNormal"/>
      </w:pPr>
      <w:r>
        <w:t>En primer lugar, debe excluirse del análisis la perspectiva de la posible vulneración del art. 103.3 CE pues ninguna argumentación al respecto se contiene en el Auto de planteamiento.</w:t>
      </w:r>
    </w:p>
    <w:p w:rsidR="001D6FAE" w:rsidRDefault="001D6FAE" w:rsidP="001D6FAE">
      <w:pPr>
        <w:pStyle w:val="TextoNormal"/>
      </w:pPr>
    </w:p>
    <w:p w:rsidR="001D6FAE" w:rsidRDefault="001D6FAE" w:rsidP="001D6FAE">
      <w:pPr>
        <w:pStyle w:val="TextoNormal"/>
      </w:pPr>
      <w:r>
        <w:t>Respecto a las dudas de constitucionalidad derivadas de la posible vulneración de los arts. 23.2 y 33.2 CE, la argumentación de la Sala se estructura en torno a dos premisas. La primera es que la transmisión de oficinas de farmacia es libre y la segunda que las farmacias, o sus titulares, ejercen funciones públicas en la medida en que se trata de una actividad sometida a autorización administrativa.</w:t>
      </w:r>
    </w:p>
    <w:p w:rsidR="001D6FAE" w:rsidRDefault="001D6FAE" w:rsidP="001D6FAE">
      <w:pPr>
        <w:pStyle w:val="TextoNormal"/>
      </w:pPr>
    </w:p>
    <w:p w:rsidR="001D6FAE" w:rsidRDefault="001D6FAE" w:rsidP="001D6FAE">
      <w:pPr>
        <w:pStyle w:val="TextoNormal"/>
      </w:pPr>
      <w:r>
        <w:t>El razonamiento del órgano judicial mezcla el carácter público de una determinada actividad con el hecho de que esa actividad se encuentre sometida a un régimen de autorización administrativa, con lo que olvida que no toda actividad puede ser calificada como pública por requerir la intervención administrativa previa que supone la autorización. A los efectos del art. 23.2 CE, la autorización administrativa no cambia el carácter de la actividad que se desarrolla, que sigue siendo privada, sino que sirve a la finalidad de garantizar el interés público subyacente que justifica la intervención que supone el empleo de la técnica de la autorización. Interés público que en este caso se encuentra en la prestación adecuada del servicio farmacéutico a la población. Así, la autorización administrativa exigible para la apertura de las oficinas de farmacia constituye, sin duda, un requisito de organización y funcionamiento de un establecimiento sanitario en cuanto determina el modo y la forma en la que las farmacias sirven al mencionado interés. En esa línea la STC 109/2003, de 5 de junio, recuerda que “el desempeño de la titularidad de una oficina de farmacia … en la medida que se conecta a intereses constitucionales relevantes, como son los relativos a la protección de la salud (art. 43 CE), permite el establecimiento de controles por parte de los poderes públicos”, que el “titular de un establecimiento de farmacia (que) presta un servicio público en las condiciones que a la Comunidad Autónoma compete establecer y con las obligaciones que de dicha condición se derivan (FJ 14)”; y en el fundamento jurídico 15 reiteraba que “las oficinas de farmacia han sido configuradas por el legislador como 'establecimientos sanitarios privados de interés público', pues esta dimensión pública justifica en mayor medida la adopción de criterios que ordenen la prestación del servicio farmacéutico”.</w:t>
      </w:r>
    </w:p>
    <w:p w:rsidR="001D6FAE" w:rsidRDefault="001D6FAE" w:rsidP="001D6FAE">
      <w:pPr>
        <w:pStyle w:val="TextoNormal"/>
      </w:pPr>
    </w:p>
    <w:p w:rsidR="001D6FAE" w:rsidRDefault="001D6FAE" w:rsidP="001D6FAE">
      <w:pPr>
        <w:pStyle w:val="TextoNormal"/>
      </w:pPr>
      <w:r>
        <w:t>Lo anteriormente expuesto no enerva que tengan la condición de establecimientos privados que sirven a un interés público, en este caso, el sanitario presente en la dispensación de medicamentos. De este modo, libertad de empresa y propiedad privada, de un lado, e interés público y planificación pública, de otro, son los ejes sobre los que ha de estructurarse, por tanto, el sector farmacéutico, atendiendo a los relevantes intereses públicos en presencia, pero sin que el legislador haya decidido que dicha actividad quede reservada al sector público. El interés público determina que estos establecimientos privados queden sujetos a restricciones diversas que pueden, incluso, afectar a elementos estructurales como la transmisibilidad, o no de las oficinas de farmacia. Dicha restricción implica, frente a lo que se afirma en el Auto de planteamiento, que no existe un principio general de transmisibilidad sino una transmisibilidad limitada establecida por la norma estatal y concretada por las normas autonómicas que regulan la materia (en dicho sentido, STC 109/2003, FJ 10). O, en otros términos, que han de removerse previamente los obstáculos impuestos por la ley para el ejercicio de la actividad propia de las oficinas de farmacia, pues no otra cosa es la autorización previa de la transmisión.</w:t>
      </w:r>
    </w:p>
    <w:p w:rsidR="001D6FAE" w:rsidRDefault="001D6FAE" w:rsidP="001D6FAE">
      <w:pPr>
        <w:pStyle w:val="TextoNormal"/>
      </w:pPr>
    </w:p>
    <w:p w:rsidR="001D6FAE" w:rsidRDefault="001D6FAE" w:rsidP="001D6FAE">
      <w:pPr>
        <w:pStyle w:val="TextoNormal"/>
      </w:pPr>
      <w:r>
        <w:t>Eso es lo que sucede en este caso. Basta para constatarlo que la Ley 22/2007 regula la autorización de nuevas oficinas de farmacia y su transmisión, que no puede calificarse como libre, en cuanto sujeta a una autorización administrativa previa, cuyas condiciones se regulan reglamentariamente, e imponen la condición de que se transmita al farmacéutico con mayor puntuación, de entre aquellos inscritos en la lista de adquirentes, que acepte las condiciones establecidas por el transmitente. La Ley 22/2007 establece así un modelo que asocia la titularidad de la oficina de farmacia con la actividad profesional de su titular en ella. Por esta razón, las autorizaciones para la apertura de nuevas oficinas de farmacia se otorgan en función de criterios de mérito y capacidad de sus titulares, y la transmisión de oficinas ya autorizadas se somete a similares criterios que suponen la limitación de la capacidad de elección del transmitente. Se trata, por tanto de un modelo, derivado de lo dispuesto por las normas básicas en la materia, en que el farmacéutico titular es, a la vez, prestador del servicio farmacéutico, motivo por el cual las condiciones personales son determinantes para la selección del número limitado de prestadores del servicio.</w:t>
      </w:r>
    </w:p>
    <w:p w:rsidR="001D6FAE" w:rsidRDefault="001D6FAE" w:rsidP="001D6FAE">
      <w:pPr>
        <w:pStyle w:val="TextoNormal"/>
      </w:pPr>
    </w:p>
    <w:p w:rsidR="001D6FAE" w:rsidRDefault="001D6FAE" w:rsidP="001D6FAE">
      <w:pPr>
        <w:pStyle w:val="TextoNormal"/>
      </w:pPr>
      <w:r>
        <w:t>Es precisamente en ese contexto de transmisibilidad limitada en el que la STC 181/2014, de 6 de noviembre, FJ 2, recuerda la trascendencia de “los criterios de baremación relacionados con el mérito y capacidad, como son los méritos académicos, la formación posgraduada y la experiencia profesional, pues tratándose una “actividad privada” de incuestionable “interés público” (sujeta al régimen de autorización), aun sin tratarse estrictamente del acceso a la función pública, “resulta ineludible aplicar los principios de mérito y capacidad en el acceso al ejercicio de funciones propias del servicio farmacéutico, pudiendo entenderse que estas indicaciones están ínsitas en el principio de transparencia (recogido en el art. 11 de la Ley 3/1996). Todo ello sin perjuicio de que los principios del mérito y la capacidad resulten constitucionalmente exigibles como consecuencia del deber de la Administración pública, estatal o autonómica de servir a los intereses generales con objetividad (art. 103.1 CE) y de la interdicción de la arbitrariedad de los poderes públicos (art. 9.3 CE).” (STC 161/2011, de 19 de octubre, FJ 3)”. Este criterio vendría confirmado por el art. 47 de la Ley 22/2007, que junto a los principios de publicidad y trasparencia incluye, por remisión al artículo 41, la obligación de tener en cuenta los méritos académicos, la formación posgraduada y la experiencia profesional. En sus estrictos términos, el derecho fundamental que enuncia el art. 23.2 CE resulta completamente ajeno a la cuestión, pues ni la apertura de oficinas de farmacia, y ni siquiera el cumplimiento de la obligación de dispensación de medicamentos, entrañan el ejercicio de funciones públicas, cuyo acceso constituye el objeto de dicho derecho constitucional.</w:t>
      </w:r>
    </w:p>
    <w:p w:rsidR="001D6FAE" w:rsidRDefault="001D6FAE" w:rsidP="001D6FAE">
      <w:pPr>
        <w:pStyle w:val="TextoNormal"/>
      </w:pPr>
    </w:p>
    <w:p w:rsidR="001D6FAE" w:rsidRDefault="001D6FAE" w:rsidP="001D6FAE">
      <w:pPr>
        <w:pStyle w:val="TextoNormal"/>
      </w:pPr>
      <w:r>
        <w:t>Tampoco se aprecia la vulneración del art. 33.2 CE, que el órgano judicial presenta directamente relacionada con las que considera funciones públicas ejercidas por los farmacéuticos. Sentado que se trata de establecimientos privados, la propiedad privada de los mismos está obligada a convivir con las limitaciones o restricciones que legalmente se le impongan, por la incidencia que tiene el interés público en la actividad que realizan. Es preciso recordar que, como este Tribunal ha dicho,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comunidad, es decir, a la finalidad o utilidad social que cada categoría de bienes objeto de dominio esté llamada a cumplir” (SSTC 37/1987, de 26 marzo, FJ 2, y 89/1994, de 17 de abril, FJ 4). El legislador puede, en atención a la función social que cumple la propiedad, delimitar su contenido (art. 33.2 CE) definiendo los derechos y deberes que ésta comprende en cada caso, por cuanto “utilidad individual y función social definen, por tanto, inescindiblemente el contenido del derecho de propiedad sobre cada categoría o tipo de bienes” (STC 37/1987, FJ 2). El legislador puede de este modo articular la función social de la propiedad imponiendo cargas o extrayendo facultades del haz que él mismo ha asegurado previamente, lo que concurre en el presente supuesto en el que ha estimado procedente incidir, en el modo que ya hemos expuesto, en el régimen de transmisibilidad de las oficinas de farmacia como forma de asegurar el interés general vinculado a estos establecimientos, respetando, en lo restante, la utilidad meramente individual del derecho de propiedad de estos establecimientos.</w:t>
      </w:r>
    </w:p>
    <w:p w:rsidR="001D6FAE" w:rsidRDefault="001D6FAE" w:rsidP="001D6FAE">
      <w:pPr>
        <w:pStyle w:val="TextoNormal"/>
      </w:pPr>
    </w:p>
    <w:p w:rsidR="001D6FAE" w:rsidRDefault="001D6FAE" w:rsidP="001D6FAE">
      <w:pPr>
        <w:pStyle w:val="TextoNormal"/>
      </w:pPr>
      <w:r>
        <w:t>Por lo demás los argumentos del Auto se apoyan en una identificación entre el ejercicio de la profesión farmacéutica, y el establecimiento de oficinas de farmacia, que no es aceptable, pues, como ha apuntado el Ministerio Fiscal, los farmacéuticos pueden ejercer su profesión de modos distintos a la dispensación al público de medicamentos. Cuestión distinta es que las oficinas de farmacia, junto con los servicios que se incardinan en las estructuras asistenciales de los servicios públicos de salud, ostenten el monopolio legal para custodiar, conservar y dispensar medicamentos; y, también, que exista una íntima relación entre la titularidad de una oficina de farmacia y el ejercicio por cuenta propia de la profesión, en su vertiente de venta al público de productos medicinales, cimentada en que sólo los farmacéuticos pueden ser propietarios de oficinas de farmacia.</w:t>
      </w:r>
    </w:p>
    <w:p w:rsidR="001D6FAE" w:rsidRDefault="001D6FAE" w:rsidP="001D6FAE">
      <w:pPr>
        <w:pStyle w:val="TextoNormal"/>
      </w:pPr>
    </w:p>
    <w:p w:rsidR="001D6FAE" w:rsidRDefault="001D6FAE" w:rsidP="001D6FAE">
      <w:pPr>
        <w:pStyle w:val="TextoNormal"/>
      </w:pPr>
      <w:r>
        <w:t>El modelo podrá ser discutido desde la perspectiva de su eficacia técnica, pero no puede serlo desde la óptica constitucional que se aporta en el Auto de planteamiento porque nada hay en la Constitución que excluya la posibilidad de regular y limitar el establecimiento de oficinas de farmacia (STC 83/1984, de 24 de julio, FJ 3). Los riesgos especulativos que aprecia el órgano judicial no pueden servir para justificar la inconstitucionalidad que denuncia, sin perjuicio de advertir que, en todo caso, esa es una cuestión que entra dentro del margen de apreciación del legislador, al que, en su caso, le correspondería, si lo estima oportuno, introducir mecanismos específicos que vayan dirigidos a eliminar o mitigar tales riesgos en la medida en que se trata de un debate que “queda al margen del control de constitucionalidad, y se enmarca dentro de la libertad configurativa del legislador” (ATC 152/2014, de 27 de mayo, FJ 4).</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1" w:name="AUTO_2016_157"/>
      <w:r>
        <w:t>AUTO 157/2016, de 20 de septiembre de 2016</w:t>
      </w:r>
    </w:p>
    <w:bookmarkEnd w:id="131"/>
    <w:p w:rsidR="001D6FAE" w:rsidRDefault="001D6FAE" w:rsidP="001D6FAE">
      <w:pPr>
        <w:pStyle w:val="TtuloResolucin"/>
      </w:pPr>
      <w:r>
        <w:t>Pleno</w:t>
      </w:r>
    </w:p>
    <w:p w:rsidR="001D6FAE" w:rsidRDefault="001D6FAE" w:rsidP="001D6FAE">
      <w:pPr>
        <w:pStyle w:val="TextoNormalCentrado"/>
      </w:pPr>
      <w:r>
        <w:t>ECLI:ES:TC:2016:157A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Levanta la suspensión en el recurso de inconstitucionalidad 2255-2016, interpuesto por el Presidente del Gobierno en relación con diversos preceptos de la Ley del Parlamento de Cataluña 14/2015, de 21 de julio, del impuesto sobre las viviendas vacías, y de modificación de normas tributarias y de la Ley 3/2012.</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presentado en el Registro General de este Tribunal el día 25 de abril de 2015, el Abogado del Estado, en representación del Presidente del Gobierno, interpuso recurso de inconstitucionalidad contra los arts. 1, 4, 9.1, 11 y 12 de la Ley del Parlamento de Cataluña 14/2015, de 21 de julio, “del impuesto sobre las viviendas vacías, y de modificación de normas tributarias y de la Ley 3/2012”, publicada en el “Diari Oficial de la Generalitat de Catalunya” núm. 6.919, de 23 de julio de 2015. En el recurso se invocan expresamente los arts. 161.2 CE y 30 de la Ley Orgánica del Tribunal Constitucional (LOTC) a fin de que se produzca la suspensión de la aplicación de los preceptos impugnados, tanto en el encabezamiento como por otrosí, solicitándose expresamente del Tribunal Constitucional que se acuerde la suspensión.</w:t>
      </w:r>
    </w:p>
    <w:p w:rsidR="001D6FAE" w:rsidRDefault="001D6FAE" w:rsidP="001D6FAE">
      <w:pPr>
        <w:pStyle w:val="TextoNormal"/>
      </w:pPr>
    </w:p>
    <w:p w:rsidR="001D6FAE" w:rsidRDefault="001D6FAE" w:rsidP="001D6FAE">
      <w:pPr>
        <w:pStyle w:val="TextoNormal"/>
      </w:pPr>
      <w:r w:rsidRPr="001D6FAE">
        <w:rPr>
          <w:rStyle w:val="NumeroAFNegritaCaracter"/>
        </w:rPr>
        <w:t>2</w:t>
      </w:r>
      <w:r>
        <w:t>. Por providencia de 28 de abril de 2016 el Pleno del Tribunal Constitucional, a propuesta de la Sección Tercera, acordó admitir a trámite el recurso de inconstitucionalidad, dar traslado de la demanda y documentos presentados, conforme establece el art. 34 de la Ley Orgánica del Tribunal Constitucional, al Congreso de los Diputados y al Senado así como al Gobierno y al Parlamento de Cataluña, al objeto de que en el plazo de 15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—25 de abril de 2016— para las partes del proceso y desde el día en que aparezca publicada la suspensión en el “Boletín Oficial del Estado” para los terceros, lo que se comunicó a los Presidentes del Gobierno y del Parlamento de Cataluña. Por último, también se ordenó publicar la incoación del recurso en el “Boletín Oficial del Estado” y en el “Diari Oficial de la Generalitat de Catalunya”. El recurso se publicó en el “Boletín Oficial del Estado”, núm. 109, de 5 de mayo de 2016.</w:t>
      </w:r>
    </w:p>
    <w:p w:rsidR="001D6FAE" w:rsidRDefault="001D6FAE" w:rsidP="001D6FAE">
      <w:pPr>
        <w:pStyle w:val="TextoNormal"/>
      </w:pPr>
    </w:p>
    <w:p w:rsidR="001D6FAE" w:rsidRDefault="001D6FAE" w:rsidP="001D6FAE">
      <w:pPr>
        <w:pStyle w:val="TextoNormal"/>
      </w:pPr>
      <w:r w:rsidRPr="001D6FAE">
        <w:rPr>
          <w:rStyle w:val="NumeroAFNegritaCaracter"/>
        </w:rPr>
        <w:t>3</w:t>
      </w:r>
      <w:r>
        <w:t>. El Presidente del Congreso de los Diputados, mediante escrito registrado el día 11 de mayo de 2016, comunicó que la Mesa de la Diputación Permanente, en su reunión de 10 de mayo, había acordado la personación en este procedimiento, el ofrecimiento de su colaboración a los efectos del art. 88.1 LOTC y la remisión a la Dirección de Estudios, Análisis y Publicaciones y a la asesoría jurídica de la Secretaría General.</w:t>
      </w:r>
    </w:p>
    <w:p w:rsidR="001D6FAE" w:rsidRDefault="001D6FAE" w:rsidP="001D6FAE">
      <w:pPr>
        <w:pStyle w:val="TextoNormal"/>
      </w:pPr>
    </w:p>
    <w:p w:rsidR="001D6FAE" w:rsidRDefault="001D6FAE" w:rsidP="001D6FAE">
      <w:pPr>
        <w:pStyle w:val="TextoNormal"/>
      </w:pPr>
      <w:r w:rsidRPr="001D6FAE">
        <w:rPr>
          <w:rStyle w:val="NumeroAFNegritaCaracter"/>
        </w:rPr>
        <w:t>4</w:t>
      </w:r>
      <w:r>
        <w:t>. Por escrito registrado el día 12 de mayo de 2016 el Letrado del Parlamento de Cataluña comunicó el acuerdo de la Mesa de 10 de mayo de 2016 de personación en el procedimiento del recurso de inconstitucionalidad núm. 2255-2016 y solicitó de este Tribunal, además de la admisión del escrito y de los documentos que lo acompañan, una prórroga para formular alegaciones, dada la complejidad del asunto y el volumen de trabajo acumulado por dicha representación.</w:t>
      </w:r>
    </w:p>
    <w:p w:rsidR="001D6FAE" w:rsidRDefault="001D6FAE" w:rsidP="001D6FAE">
      <w:pPr>
        <w:pStyle w:val="TextoNormal"/>
      </w:pPr>
    </w:p>
    <w:p w:rsidR="001D6FAE" w:rsidRDefault="001D6FAE" w:rsidP="001D6FAE">
      <w:pPr>
        <w:pStyle w:val="TextoNormal"/>
      </w:pPr>
      <w:r w:rsidRPr="001D6FAE">
        <w:rPr>
          <w:rStyle w:val="NumeroAFNegritaCaracter"/>
        </w:rPr>
        <w:t>5</w:t>
      </w:r>
      <w:r>
        <w:t>. Por providencia de 13 de mayo de 2016, el Pleno, acordó incorporar a las actuaciones el escrito presentado por el Letrado del Parlamento de Cataluña, tenerle por personado en representación de la Cámara y conceder una prórroga de ocho días más el plazo concedido por providencia de 28 de abril de 2016, a contar desde el siguiente al de expiración del ordinario.</w:t>
      </w:r>
    </w:p>
    <w:p w:rsidR="001D6FAE" w:rsidRDefault="001D6FAE" w:rsidP="001D6FAE">
      <w:pPr>
        <w:pStyle w:val="TextoNormal"/>
      </w:pPr>
    </w:p>
    <w:p w:rsidR="001D6FAE" w:rsidRDefault="001D6FAE" w:rsidP="001D6FAE">
      <w:pPr>
        <w:pStyle w:val="TextoNormal"/>
      </w:pPr>
      <w:r w:rsidRPr="001D6FAE">
        <w:rPr>
          <w:rStyle w:val="NumeroAFNegritaCaracter"/>
        </w:rPr>
        <w:t>6</w:t>
      </w:r>
      <w:r>
        <w:t>. El Presidente del Senado, mediante escrito registrado el día 19 de mayo de 2016, comunicó que la Mesa de la Diputación Permanente, en su reunión de 4 de mayo, había acordado la personación en este procedimiento y el ofrecimiento de su colaboración a los efectos del art. 88.1 LOTC.</w:t>
      </w:r>
    </w:p>
    <w:p w:rsidR="001D6FAE" w:rsidRDefault="001D6FAE" w:rsidP="001D6FAE">
      <w:pPr>
        <w:pStyle w:val="TextoNormal"/>
      </w:pPr>
    </w:p>
    <w:p w:rsidR="001D6FAE" w:rsidRDefault="001D6FAE" w:rsidP="001D6FAE">
      <w:pPr>
        <w:pStyle w:val="TextoNormal"/>
      </w:pPr>
      <w:r w:rsidRPr="001D6FAE">
        <w:rPr>
          <w:rStyle w:val="NumeroAFNegritaCaracter"/>
        </w:rPr>
        <w:t>7</w:t>
      </w:r>
      <w:r>
        <w:t>. Mediante escrito registrado el día 30 de mayo de 2016, la Abogada de la Generalitat de Cataluña, en representación y defensa de su Gobierno, formuló alegaciones oponiéndose a la demanda del recurso de inconstitucionalidad núm. 2255-2016. Y por otrosí solicitó el levantamiento inmediato de la suspensión de los arts. 1, 4, 9.1, 11 y 12 de la Ley 14/2015, de 21 de julio, del impuesto sobre viviendas vacías, y de modificación de normas tributarias y de la Ley 3/2012. Como fundamento de esta solicitud el escrito realizó las siguientes consideraciones específicas, tras recordar la doctrina constitucional consolidada sobre la cuestión:</w:t>
      </w:r>
    </w:p>
    <w:p w:rsidR="001D6FAE" w:rsidRDefault="001D6FAE" w:rsidP="001D6FAE">
      <w:pPr>
        <w:pStyle w:val="TextoNormal"/>
      </w:pPr>
    </w:p>
    <w:p w:rsidR="001D6FAE" w:rsidRDefault="001D6FAE" w:rsidP="001D6FAE">
      <w:pPr>
        <w:pStyle w:val="TextoNormal"/>
      </w:pPr>
      <w:r>
        <w:t>a) Los preceptos suspendidos provienen de una ley aprobada por el Parlamento de Cataluña relativa al impuesto sobre viviendas vacías, que tiene un claro objetivo extrafiscal de facilitar el acceso a la vivienda de los ciudadanos y, en especial, de los que tienen más dificultades para ello, por lo que la posibilidad de que sea mantenida la suspensión de los preceptos impugnados debe ser contemplada como verdaderamente excepcional y únicamente procedente si la parte actora llegase a demostrar que la aplicación de los preceptos produciría unos perjuicios graves e irreparables al interés general o a terceros afectados.</w:t>
      </w:r>
    </w:p>
    <w:p w:rsidR="001D6FAE" w:rsidRDefault="001D6FAE" w:rsidP="001D6FAE">
      <w:pPr>
        <w:pStyle w:val="TextoNormal"/>
      </w:pPr>
    </w:p>
    <w:p w:rsidR="001D6FAE" w:rsidRDefault="001D6FAE" w:rsidP="001D6FAE">
      <w:pPr>
        <w:pStyle w:val="TextoNormal"/>
      </w:pPr>
      <w:r>
        <w:t>b) El levantamiento de la suspensión de los preceptos impugnados de la Ley de Cataluña 14/2015 no produciría perjuicios ni daría lugar a situaciones consolidadas e irreversibles. En cuanto a los intereses generales del Estado, la aplicación del impuesto autonómico no perjudicaría los intereses económicos del Estado, ya que su vigencia no interfiere en la exigibilidad del recargo del impuesto sobre bienes inmuebles puesto que no está vigente en ningún municipio de Cataluña. Y tampoco generaría daños a los sujetos pasivos del impuesto en el supuesto del levantamiento de la suspensión y consiguiente aplicación del impuesto hasta que se dicte sentencia que resuelva la cuestión de fondo, pues no habría dificultad para proceder a dicha devolución al tratarse de un impuesto que grava a un número determinado y reducido de contribuyentes perfectamente identificados, circunstancia que según los AATC 417/1997, 173/2002, de 1 de octubre, FJ 3, y 123/2013, de 21 de mayo, FJ 6, abogaría en pro del levantamiento de la suspensión. En cambio, el mantenimiento de la suspensión de los arts. 1, 4, 9.1, 11 y 12 de la Ley 14/2015 ocasionaría graves perjuicios a las finanzas de la Generalitat de Cataluña, puesto que implicaría no solo una disminución de los ingresos autonómicos, sino sobre todo la imposibilidad de afectar los ingresos obtenidos a la financiación de las actuaciones protegidas por los planes de vivienda prevista en el art. 3 de la Ley 14/2015, así como también la imposibilidad de que los sujetos pasivos destinasen parte del parque de sus viviendas al alquiler asequible.</w:t>
      </w:r>
    </w:p>
    <w:p w:rsidR="001D6FAE" w:rsidRDefault="001D6FAE" w:rsidP="001D6FAE">
      <w:pPr>
        <w:pStyle w:val="TextoNormal"/>
      </w:pPr>
    </w:p>
    <w:p w:rsidR="001D6FAE" w:rsidRDefault="001D6FAE" w:rsidP="001D6FAE">
      <w:pPr>
        <w:pStyle w:val="TextoNormal"/>
      </w:pPr>
      <w:r>
        <w:t>c) El Gobierno del Estado va contra sus propios actos. Promueve la suspensión del impuesto sobre viviendas vacías en el presente proceso, pero, al mismo tiempo y de forma absolutamente contradictoria, cuantifica los ingresos que de él se han derivado como cuantía positiva a los efectos de rebajar el déficit de España y así lo relaciona en el programa de estabilidad presupuestaria 2016-2019 que ha enviado a la Comisión Europea (adjuntando copia de las páginas correspondientes del referido programa).</w:t>
      </w:r>
    </w:p>
    <w:p w:rsidR="001D6FAE" w:rsidRDefault="001D6FAE" w:rsidP="001D6FAE">
      <w:pPr>
        <w:pStyle w:val="TextoNormal"/>
      </w:pPr>
    </w:p>
    <w:p w:rsidR="001D6FAE" w:rsidRDefault="001D6FAE" w:rsidP="001D6FAE">
      <w:pPr>
        <w:pStyle w:val="TextoNormal"/>
      </w:pPr>
      <w:r w:rsidRPr="001D6FAE">
        <w:rPr>
          <w:rStyle w:val="NumeroAFNegritaCaracter"/>
        </w:rPr>
        <w:t>8</w:t>
      </w:r>
      <w:r>
        <w:t>. Por escrito registrado el 9 de junio de 2016, el Letrado del Parlamento de Cataluña formuló alegaciones en el recurso de inconstitucionalidad núm. 2255-2016 oponiéndose a la demanda del recurso de inconstitucionalidad núm. 2255-2016. Y por otrosí solicitó el levantamiento inmediato de la suspensión de los preceptos impugnados, sin que la resolución sobre este extremo deba demorarse hasta los cinco meses desde que fue acordada. Como fundamento de esta solicitud el escrito realizó las siguientes consideraciones específicas, tras recordar la doctrina constitucional consolidada sobre el levantamiento o mantenimiento de la suspensión:</w:t>
      </w:r>
    </w:p>
    <w:p w:rsidR="001D6FAE" w:rsidRDefault="001D6FAE" w:rsidP="001D6FAE">
      <w:pPr>
        <w:pStyle w:val="TextoNormal"/>
      </w:pPr>
    </w:p>
    <w:p w:rsidR="001D6FAE" w:rsidRDefault="001D6FAE" w:rsidP="001D6FAE">
      <w:pPr>
        <w:pStyle w:val="TextoNormal"/>
      </w:pPr>
      <w:r>
        <w:t>a) El impuesto cuestionado aumenta las fuentes de ingresos de la Generalitat de Cataluña, junto con el resto de medidas de incremento de tasas e impuestos o de creación de nuevas figuras tributarias que ha aprobado el Parlamento de Cataluña en los últimos años. En el actual contexto de crisis y de consolidación fiscal, mantener la suspensión del impuesto implicaría comprometer los compromisos financieros de Cataluña y del conjunto del Reino de España con relación a los umbrales de déficit fijados en el marco europeo. No parece el mejor mensaje para lanzar a los mercados y a las instituciones europeas que una Comunidad Autónoma no pueda usar su autonomía financiera para crear nuevos impuestos con los que reducir el déficit público.</w:t>
      </w:r>
    </w:p>
    <w:p w:rsidR="001D6FAE" w:rsidRDefault="001D6FAE" w:rsidP="001D6FAE">
      <w:pPr>
        <w:pStyle w:val="TextoNormal"/>
      </w:pPr>
    </w:p>
    <w:p w:rsidR="001D6FAE" w:rsidRDefault="001D6FAE" w:rsidP="001D6FAE">
      <w:pPr>
        <w:pStyle w:val="TextoNormal"/>
      </w:pPr>
      <w:r>
        <w:t>b) La estabilidad presupuestaria es un imperativo constitucional. La ponderación con los demás principios y derechos constitucionales puede formularse así: máxima consecución de los principios y derechos del Estado social con mínima desviación de la estabilidad presupuestaria. En este contexto, el impuesto suspendido venía a reforzar las fuentes de financiación de la Generalitat en materia de vivienda y, con ello, a cumplir los objetivos de déficit necesarios para mantener la estabilidad presupuestaria. Tiene como finalidad financiar las actuaciones protegidas por los planes de vivienda, priorizando los recursos en los municipios donde se han obtenido los ingresos que deriven del impuesto (art. 3 de la Ley 14/2015).</w:t>
      </w:r>
    </w:p>
    <w:p w:rsidR="001D6FAE" w:rsidRDefault="001D6FAE" w:rsidP="001D6FAE">
      <w:pPr>
        <w:pStyle w:val="TextoNormal"/>
      </w:pPr>
    </w:p>
    <w:p w:rsidR="001D6FAE" w:rsidRDefault="001D6FAE" w:rsidP="001D6FAE">
      <w:pPr>
        <w:pStyle w:val="TextoNormal"/>
      </w:pPr>
      <w:r>
        <w:t>c) Si el impuesto no recuperara su vigencia, se producirían daños reales y perjuicios irreparables de imposible o difícil reparación. Por el contrario, no se van a producir perjuicios de imposible o difícil reparación con motivo del levantamiento de la suspensión pues las personas jurídicas que son sujetos pasivos del impuesto están plenamente identificadas si fuere necesario realizar algún tipo de devolución. Además, el levantamiento de la suspensión de los preceptos impugnados no dificulta una eventual puesta en marcha por el Estado del recargo del impuesto sobre bienes inmuebles, ya que la propia Ley 14/2015 establece las medidas para coordinar su aplicación con la del impuesto catalán sobre las viviendas vacías (disposición adicional primera de la Ley 14/2015).</w:t>
      </w:r>
    </w:p>
    <w:p w:rsidR="001D6FAE" w:rsidRDefault="001D6FAE" w:rsidP="001D6FAE">
      <w:pPr>
        <w:pStyle w:val="TextoNormal"/>
      </w:pPr>
    </w:p>
    <w:p w:rsidR="001D6FAE" w:rsidRDefault="001D6FAE" w:rsidP="001D6FAE">
      <w:pPr>
        <w:pStyle w:val="TextoNormal"/>
      </w:pPr>
      <w:r w:rsidRPr="001D6FAE">
        <w:rPr>
          <w:rStyle w:val="NumeroAFNegritaCaracter"/>
        </w:rPr>
        <w:t>9</w:t>
      </w:r>
      <w:r>
        <w:t>. El Abogado del Estado, mediante escrito registrado el día 21 de junio de 2016, evacuó el trámite conferido interesando el mantenimiento de la suspensión, por los motivos que, sintéticamente, se exponen a continuación:</w:t>
      </w:r>
    </w:p>
    <w:p w:rsidR="001D6FAE" w:rsidRDefault="001D6FAE" w:rsidP="001D6FAE">
      <w:pPr>
        <w:pStyle w:val="TextoNormal"/>
      </w:pPr>
    </w:p>
    <w:p w:rsidR="001D6FAE" w:rsidRDefault="001D6FAE" w:rsidP="001D6FAE">
      <w:pPr>
        <w:pStyle w:val="TextoNormal"/>
      </w:pPr>
      <w:r>
        <w:t>a) 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considerar la gravedad de los perjuicios que originarían las situaciones de hecho que, previsiblemente, se producirían en caso de que se levantara o se mantuviera la suspensión. Y a la parte recurrente ha de exigirse que razone suficientemente la previsibilidad de los perjuicios en el caso de levantarse la suspensión.</w:t>
      </w:r>
    </w:p>
    <w:p w:rsidR="001D6FAE" w:rsidRDefault="001D6FAE" w:rsidP="001D6FAE">
      <w:pPr>
        <w:pStyle w:val="TextoNormal"/>
      </w:pPr>
    </w:p>
    <w:p w:rsidR="001D6FAE" w:rsidRDefault="001D6FAE" w:rsidP="001D6FAE">
      <w:pPr>
        <w:pStyle w:val="TextoNormal"/>
      </w:pPr>
      <w:r>
        <w:t>b) El objeto del recurso de inconstitucionalidad es la creación, por el Parlamento de Cataluña, del impuesto de viviendas vacías, como tributo propio de la Comunidad Autónoma, en la medida en que se produce una identidad de hecho imponible con el local, el impuesto sobre bienes inmuebles (IBI, regulado en los arts. 60 a 77 del texto refundido de la Ley reguladora de las haciendas locales), en concreto con el recargo previsto para dicho impuesto en el art. 72.4 del texto refundido de la Ley reguladora de las haciendas locales. Y se alega la infracción, por los artículos impugnados, de lo dispuesto en el art. 6.3 de la Ley Orgánica de financiación de las Comunidades Autónomas (LOFCA), en conexión con el art. 133.2 y 157.3 CE. Además, la Comunidad Autónoma está invadiendo la competencia exclusiva que para el desarrollo del tributo local del IBI tiene el Estado de acuerdo con la disposición final única del texto refundido de la Ley reguladora de las haciendas locales.</w:t>
      </w:r>
    </w:p>
    <w:p w:rsidR="001D6FAE" w:rsidRDefault="001D6FAE" w:rsidP="001D6FAE">
      <w:pPr>
        <w:pStyle w:val="TextoNormal"/>
      </w:pPr>
    </w:p>
    <w:p w:rsidR="001D6FAE" w:rsidRDefault="001D6FAE" w:rsidP="001D6FAE">
      <w:pPr>
        <w:pStyle w:val="TextoNormal"/>
      </w:pPr>
      <w:r>
        <w:t>c) La eficacia de la Ley impugnada hasta que se resuelva el recurso de inconstitucionalidad implicaría graves perjuicios al interés general, en la medida en que el impuesto afecta a un colectivo muy amplio de destinatarios, y al interés privado, en la medida en que los afectados deberán pagara por dicho impuesto. Por otro lado, el mantenimiento de la suspensión solo perjudica a la recaudación que, por este tributo, estima obtener la Generalitat de Cataluña. Para justificar estas afirmaciones se remite al informe emitido por la Dirección general de tributos de la Secretaría de Estado de Hacienda, con fecha de 20 de junio de 2016, y a los datos del Instituto Nacional de Estadística (INE), censos de población y viviendas 2011, que se adjuntan como documentos núm. 1 y 2, respectivamente.</w:t>
      </w:r>
    </w:p>
    <w:p w:rsidR="001D6FAE" w:rsidRDefault="001D6FAE" w:rsidP="001D6FAE">
      <w:pPr>
        <w:pStyle w:val="TextoNormal"/>
      </w:pPr>
    </w:p>
    <w:p w:rsidR="001D6FAE" w:rsidRDefault="001D6FAE" w:rsidP="001D6FAE">
      <w:pPr>
        <w:pStyle w:val="TextoNormal"/>
      </w:pPr>
      <w:r>
        <w:t>d) La Generalitat alega que el mantenimiento de la suspensión no contribuiría al cumplimiento del principio de estabilidad presupuestaria, causándole un perjuicio irreparable ya que los importes que no se recaudaran, ya no se podrían reclamar si se desestimara el recurso de inconstitucionalidad. Sin embargo, considera el Abogado del Estado que dichas aseveraciones no se acompañan de informe de organismo alguno que acredite ni el número de personas a las que ha afectado o afectará dicho impuesto, ni la cuenta que se ha ingresado o se prevé ingresar. En el presente supuesto, según los datos aportados en el informe de la Dirección general de tributos el número potencial de afectados es elevado (322.478 inmuebles de uso residencial pertenecientes a personas jurídicas y 94.512 titulares de los mismos durante más de dos años) y la cuota íntegra que debería satisfacer asciende a 707.043,520 €. Admite que el informe señala que dichas estimaciones son para el caso de que todos los inmuebles de uso residencial estuvieran desocupados y les fuera de aplicación el gravamen previsto. Se desconocen, por no tener datos fiables para su estimación, cuántas viviendas pueden considerarse desocupadas de acuerdo con los parámetros de la Ley. Ahora bien, partiendo del dato del 11,6 por 100 de las viviendas vacías que hay en Cataluña según el censo de población y viviendas 2011 del INE concluye que es muy alto el número de potenciales afectados por la recaudación del impuesto.</w:t>
      </w:r>
    </w:p>
    <w:p w:rsidR="001D6FAE" w:rsidRDefault="001D6FAE" w:rsidP="001D6FAE">
      <w:pPr>
        <w:pStyle w:val="TextoNormal"/>
      </w:pPr>
    </w:p>
    <w:p w:rsidR="001D6FAE" w:rsidRDefault="001D6FAE" w:rsidP="001D6FAE">
      <w:pPr>
        <w:pStyle w:val="TextoNormal"/>
      </w:pPr>
      <w:r>
        <w:t>e) No se ha acreditado que lo recaudado por el impuesto cuestionado se destinen efectivamente a financiar actuaciones protegidas por los planes de vivienda.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 la presente resolución consiste en determinar si procede levantar o mantener la suspensión de la vigencia de los arts. 1, 4, 9.1, 11 y 12 de la Ley del Parlamento de Cataluña 14/2015, de 21 de julio, del impuesto sobre las viviendas vacías, y de modificación de normas tributarias y de la Ley 3/2012, norma que se encuentra suspendida en su aplicación como consecuencia de la invocación de los arts. 161.2 CE y 30 de la Ley Orgánica del Tribunal Constitucional (LOTC) al promover el Presidente del Gobierno recurso de inconstitucionalidad contra dichos preceptos.</w:t>
      </w:r>
    </w:p>
    <w:p w:rsidR="001D6FAE" w:rsidRDefault="001D6FAE" w:rsidP="001D6FAE">
      <w:pPr>
        <w:pStyle w:val="TextoNormal"/>
      </w:pPr>
    </w:p>
    <w:p w:rsidR="001D6FAE" w:rsidRDefault="001D6FAE" w:rsidP="001D6FAE">
      <w:pPr>
        <w:pStyle w:val="TextoNormal"/>
      </w:pPr>
      <w:r>
        <w:t>La Ley impugnada establece, como tributo propio de la Comunidad Autónoma, el denominado impuesto sobre las viviendas vacías. El objeto del impuesto es gravar el incumplimiento de la función social de la propiedad por el hecho de permanecer las viviendas habitualmente desocupadas (artículos 1 y 2). Su hecho imponible es “la desocupación permanente de una vivienda durante más de dos años sin causa justificada, en la medida en que esta desocupación afecta a la función social de la propiedad de la vivienda” (artículo 4). La Ley regula diversas cuestiones relevantes para la aplicación del impuesto: los conceptos de vivienda, de vivienda desocupada y de vivienda de alquiler asequible, la forma de acreditar que una vivienda está desocupada y de computar el plazo de dos años, y las causas justificadas de desocupación de la vivienda (artículos 5, 6 y 7). Los sujetos pasivos, a título de contribuyentes, son las personas jurídicas propietarias de viviendas vacías o titulares de un derecho de usufructo, de superficie o de cualquier otro derecho real que otorgue la facultad de explotación económica de la citada vivienda (artículo 9). La base imponible está constituida por el número total de metros cuadrados del conjunto de las viviendas sujetas al impuesto de que es titular el sujeto pasivo en la fecha de devengo (artículo 11) y la cuota íntegra se obtiene aplicando a la base imponible el tipo de gravamen de la escala prevista en el artículo 12 (en función de los siguientes tramos: hasta 5.000 metros cuadrados, entre 5.000 y 20.000 metros cuadrados, y entre 20.000 y 40.000 metros cuadrados). La regulación prevista en la Ley se completa con otras disposiciones, no impugnadas, relativas a exenciones objetivas y subjetivas, las bonificaciones aplicables a los sujetos pasivos que destinen parte del parque de viviendas a alquiler asequible, el devengo, la obligación de autoliquidación, el régimen sancionador y la determinación del órgano competente para la gestión, recaudación e inspección del impuesto (arts. 10, 13, 14, 15, 16, 17 y 18).</w:t>
      </w:r>
    </w:p>
    <w:p w:rsidR="001D6FAE" w:rsidRDefault="001D6FAE" w:rsidP="001D6FAE">
      <w:pPr>
        <w:pStyle w:val="TextoNormal"/>
      </w:pPr>
    </w:p>
    <w:p w:rsidR="001D6FAE" w:rsidRDefault="001D6FAE" w:rsidP="001D6FAE">
      <w:pPr>
        <w:pStyle w:val="TextoNormal"/>
      </w:pPr>
      <w:r>
        <w:t>La representación procesal del Gobierno alega que el impuesto creado por la Ley autonómica coincide en sentido propio —es decir, presenta identidad en el hecho imponible— con el impuesto local, el impuesto sobre bienes inmuebles (IBI, regulado en los arts. 60 al 77 del texto refundido de la Ley reguladora de las haciendas locales), en concreto con el recargo previsto para dicho impuesto en el art. 72.4 del texto refundido de la Ley reguladora de las haciendas locales y que, por tal razón, vulnera el art. 6.2 de la Ley Orgánica de financiación de las Comunidades Autónomas (LOFCA); y, además, que con dicho recargo la Comunidad Autónoma está invadiendo la competencia exclusiva que para el desarrollo del tributo local del IBI tiene el Estado de acuerdo con la disposición final única del texto refundido de la Ley reguladora de las haciendas locales.</w:t>
      </w:r>
    </w:p>
    <w:p w:rsidR="001D6FAE" w:rsidRDefault="001D6FAE" w:rsidP="001D6FAE">
      <w:pPr>
        <w:pStyle w:val="TextoNormal"/>
      </w:pPr>
    </w:p>
    <w:p w:rsidR="001D6FAE" w:rsidRDefault="001D6FAE" w:rsidP="001D6FAE">
      <w:pPr>
        <w:pStyle w:val="TextoNormal"/>
      </w:pPr>
      <w:r w:rsidRPr="001D6FAE">
        <w:rPr>
          <w:rStyle w:val="NumeroAFNegritaCaracter"/>
        </w:rPr>
        <w:t>2</w:t>
      </w:r>
      <w:r>
        <w:t>. El Abogado del Estado, con apoyo en un informe de 20 de junio de 2016 emitido por la Secretaría de Estado de Hacienda, Dirección general de tributos, y en datos del Instituto Nacional de Estadística, censos de población y viviendas 2011, sostiene que el levantamiento de la suspensión de la eficacia de los preceptos impugnados implicaría graves perjuicios al interés general, en la medida en que el impuesto afecta a un colectivo muy amplio de destinatarios y que el mantenimiento de la suspensión solo afecta a la recaudación que, por dicho tributo, estima obtener la Generalitat de Cataluña. En virtud de todo ello, solicita que este Tribunal acuerde el mantenimiento de la suspensión.</w:t>
      </w:r>
    </w:p>
    <w:p w:rsidR="001D6FAE" w:rsidRDefault="001D6FAE" w:rsidP="001D6FAE">
      <w:pPr>
        <w:pStyle w:val="TextoNormal"/>
      </w:pPr>
    </w:p>
    <w:p w:rsidR="001D6FAE" w:rsidRDefault="001D6FAE" w:rsidP="001D6FAE">
      <w:pPr>
        <w:pStyle w:val="TextoNormal"/>
      </w:pPr>
      <w:r>
        <w:t>Por el contrario, la Abogada de la Generalitat y el Letrado del Parlamento de Cataluña consideran que las personas jurídicas que son los sujetos pasivos del impuesto están plenamente identificadas y constituyen un número determinado y reducido de contribuyentes, por lo que no habría dificultad en proceder, si fuese necesario, a devolver las cantidades ingresadas. Además, la Abogada de la Generalitat aduce que la vigencia del impuesto autonómico no interfiere con la exigibilidad del recargo del IBI, puesto que no está vigente en ningún municipio de Cataluña, y que el mantenimiento de la suspensión puede afectar al cumplimiento de los compromisos de déficit de Cataluña y del Reino de España.</w:t>
      </w:r>
    </w:p>
    <w:p w:rsidR="001D6FAE" w:rsidRDefault="001D6FAE" w:rsidP="001D6FAE">
      <w:pPr>
        <w:pStyle w:val="TextoNormal"/>
      </w:pPr>
    </w:p>
    <w:p w:rsidR="001D6FAE" w:rsidRDefault="001D6FAE" w:rsidP="001D6FAE">
      <w:pPr>
        <w:pStyle w:val="TextoNormal"/>
      </w:pPr>
      <w:r w:rsidRPr="001D6FAE">
        <w:rPr>
          <w:rStyle w:val="NumeroAFNegritaCaracter"/>
        </w:rPr>
        <w:t>3</w:t>
      </w:r>
      <w:r>
        <w:t>. Antes de resolver el presente incidente cautelar debemos realizar algunas consideraciones preliminares.</w:t>
      </w:r>
    </w:p>
    <w:p w:rsidR="001D6FAE" w:rsidRDefault="001D6FAE" w:rsidP="001D6FAE">
      <w:pPr>
        <w:pStyle w:val="TextoNormal"/>
      </w:pPr>
    </w:p>
    <w:p w:rsidR="001D6FAE" w:rsidRDefault="001D6FAE" w:rsidP="001D6FAE">
      <w:pPr>
        <w:pStyle w:val="TextoNormal"/>
      </w:pPr>
      <w:r>
        <w:t>Este incidente cautelar tiene autonomía respecto al procedimiento principal en el que se debe dilucidar la validez o invalidez de las normas legales recurridas exclusivamente desde una perspectiva competencial. Una vez producida la suspensión por invocación del art.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datos y perjuicios irreparables o de difícil reparación.</w:t>
      </w:r>
    </w:p>
    <w:p w:rsidR="001D6FAE" w:rsidRDefault="001D6FAE" w:rsidP="001D6FAE">
      <w:pPr>
        <w:pStyle w:val="TextoNormal"/>
      </w:pPr>
    </w:p>
    <w:p w:rsidR="001D6FAE" w:rsidRDefault="001D6FAE" w:rsidP="001D6FAE">
      <w:pPr>
        <w:pStyle w:val="TextoNormal"/>
      </w:pPr>
      <w:r>
        <w:t>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ATC 18/2007, de 18 de enero, FJ 5).</w:t>
      </w:r>
    </w:p>
    <w:p w:rsidR="001D6FAE" w:rsidRDefault="001D6FAE" w:rsidP="001D6FAE">
      <w:pPr>
        <w:pStyle w:val="TextoNormal"/>
      </w:pPr>
    </w:p>
    <w:p w:rsidR="001D6FAE" w:rsidRDefault="001D6FAE" w:rsidP="001D6FAE">
      <w:pPr>
        <w:pStyle w:val="TextoNormal"/>
      </w:pPr>
      <w:r>
        <w:t>En cuanto a la forma de sustanciar este tipo de incidentes de suspensión contamos también con doctrina reiterada. En el ATC 298/2013, de 17 de diciembre,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w:t>
      </w:r>
    </w:p>
    <w:p w:rsidR="001D6FAE" w:rsidRDefault="001D6FAE" w:rsidP="001D6FAE">
      <w:pPr>
        <w:pStyle w:val="TextoNormal"/>
      </w:pPr>
    </w:p>
    <w:p w:rsidR="001D6FAE" w:rsidRDefault="001D6FAE" w:rsidP="001D6FAE">
      <w:pPr>
        <w:pStyle w:val="TextoNormal"/>
      </w:pPr>
      <w:r w:rsidRPr="001D6FAE">
        <w:rPr>
          <w:rStyle w:val="NumeroAFNegritaCaracter"/>
        </w:rPr>
        <w:t>4</w:t>
      </w:r>
      <w:r>
        <w:t>. En este incidente nos corresponde únicamente determinar si los perjuicios que han sido alegados por el Abogado del Estado, sobre el que pesa la carga de acreditar la existencia de los perjuicios y la imposible o difícil reparación de los mismos, tienen la gravedad y la consistencia necesarias como para prevalecer sobre la presunción de constitucionalidad de los preceptos de la Ley del Parlamento de Cataluña que se impugna.</w:t>
      </w:r>
    </w:p>
    <w:p w:rsidR="001D6FAE" w:rsidRDefault="001D6FAE" w:rsidP="001D6FAE">
      <w:pPr>
        <w:pStyle w:val="TextoNormal"/>
      </w:pPr>
    </w:p>
    <w:p w:rsidR="001D6FAE" w:rsidRDefault="001D6FAE" w:rsidP="001D6FAE">
      <w:pPr>
        <w:pStyle w:val="TextoNormal"/>
      </w:pPr>
      <w:r>
        <w:t>Como ha quedado expuesto en los antecedentes, el Abogado del Estado considera que el levantamiento de la suspensión, y, por tanto, la aplicación del impuesto catalán afectará a un número amplio de contribuyentes, lo que haría muy difícil la devolución, de manera que no sería posible aplicar la doctrina mantenida, entre otros, en el ATC 123/2013, de 21 de mayo, en el que se levantó la suspensión del Decreto-ley de Cataluña 5/2012, de 18 de diciembre, del impuesto sobre los depósitos en las entidades de crédito.</w:t>
      </w:r>
    </w:p>
    <w:p w:rsidR="001D6FAE" w:rsidRDefault="001D6FAE" w:rsidP="001D6FAE">
      <w:pPr>
        <w:pStyle w:val="TextoNormal"/>
      </w:pPr>
    </w:p>
    <w:p w:rsidR="001D6FAE" w:rsidRDefault="001D6FAE" w:rsidP="001D6FAE">
      <w:pPr>
        <w:pStyle w:val="TextoNormal"/>
      </w:pPr>
      <w:r>
        <w:t>Debemos comenzar señalando que los perjuicios para el interés público alegados por el Abogado del Estado no se basan en información precisa. No ha proporcionado información mínimamente orientativa sobre el número de personas jurídicas que serían sujetos pasivos del impuesto, sino que se ha limitado a indicar el número de viviendas que son propiedad de personas jurídicas en Cataluña y el número de titulares de esas viviendas, o el porcentaje de viviendas vacías sobre el total de las viviendas, con independencia de que sus titulares sean personas físicas o jurídicas.</w:t>
      </w:r>
    </w:p>
    <w:p w:rsidR="001D6FAE" w:rsidRDefault="001D6FAE" w:rsidP="001D6FAE">
      <w:pPr>
        <w:pStyle w:val="TextoNormal"/>
      </w:pPr>
    </w:p>
    <w:p w:rsidR="001D6FAE" w:rsidRDefault="001D6FAE" w:rsidP="001D6FAE">
      <w:pPr>
        <w:pStyle w:val="TextoNormal"/>
      </w:pPr>
      <w:r>
        <w:t>En segundo lugar, debemos reiterar lo afirmado en el mismo trámite incidental de otros tributos autonómicos: “la verosimilitud de los perjuicios invocados aparece condicionada a que en la Sentencia por la que se resuelva en su momento el recurso de inconstitucionalidad interpuesto se declare que la Comunidad Autónoma en el ejercicio de su potestad tributaria no ha respetado” los límites constitucionales alegados por el Abogado del Estado, lo que es negado en el presente proceso por los representantes procesales de la Comunidad Autónoma de Cataluña. Por este motivo, en tanto se produce una decisión sobre el fondo del asunto, estos supuestos perjuicios alegados por el Abogado del Estado no pueden prevalecer sobre la presunción de legitimidad de la Ley tributaria autonómica (ATC 72/1999, de 23 de marzo, FJ 3, en recurso de inconstitucionalidad contra la Ley de la Asamblea de Extremadura 9/1998, de 26 de junio, del impuesto sobre el suelo sin edificar y edificaciones ruinosas; ATC 189/2001, de 3 de julio, FJ 2, en recurso de inconstitucionalidad contra la Ley del Parlamento de Cataluña 16/2000, de 29 de diciembre, del impuesto sobre grandes establecimientos comerciales; y ATC 5/2002, de 15 de enero, FJ 2, en recurso de inconstitucionalidad contra la Ley del Parlamento de las Illes Balears 7/2001, de 23 de abril, del impuesto sobre las estancias en empresas turísticas de alojamiento).</w:t>
      </w:r>
    </w:p>
    <w:p w:rsidR="001D6FAE" w:rsidRDefault="001D6FAE" w:rsidP="001D6FAE">
      <w:pPr>
        <w:pStyle w:val="TextoNormal"/>
      </w:pPr>
    </w:p>
    <w:p w:rsidR="001D6FAE" w:rsidRDefault="001D6FAE" w:rsidP="001D6FAE">
      <w:pPr>
        <w:pStyle w:val="TextoNormal"/>
      </w:pPr>
      <w:r>
        <w:t>Según la doctrina de este Tribunal,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(AATC 173/2002, de 1 de octubre, FJ 3; 123/2013, de 21 de mayo, FJ 6; 154/2013, de 9 de julio, FJ 5; 196/2015, de 18 de noviembre, FJ 3; y 202/2015, de 1 de diciembre, FJ 3). En aplicación de dicha doctrina este Tribunal resolvió, respectivamente, levantar la suspensión de la vigencia del impuesto sobre instalaciones que incidan en el medio ambiente establecido por la Ley del Parlamento de las Illes Balears 12/1991, de 20 de diciembre (ATC 253/1992, de 9 de septiembre); del impuesto sobre depósitos de las entidades de crédito establecido por la Ley de la Asamblea de Extremadura 14/2001, de 29 de noviembre (ATC 174/2002); del impuesto homónimo establecido por la Comunidad Autónoma de Cataluña (AATC 123/2013 y 154/2013); del impuesto catalán sobre la provisión de contenidos por parte de los prestadores de servicios de comunicaciones electrónicas y de fomento del sector y de la difusión de la cultura digital (ATC 196/2015); y del impuesto catalán sobre la producción de energía eléctrica de origen nuclear (ATC 202/2015).</w:t>
      </w:r>
    </w:p>
    <w:p w:rsidR="001D6FAE" w:rsidRDefault="001D6FAE" w:rsidP="001D6FAE">
      <w:pPr>
        <w:pStyle w:val="TextoNormal"/>
      </w:pPr>
    </w:p>
    <w:p w:rsidR="001D6FAE" w:rsidRDefault="001D6FAE" w:rsidP="001D6FAE">
      <w:pPr>
        <w:pStyle w:val="TextoNormal"/>
      </w:pPr>
      <w:r>
        <w:t>Excepcionalmente hemos considerado que sí puede justificarse el mantenimiento de la suspensión de la norma impugnada en aquellos casos en los que el carácter excesivamente oneroso de las cargas y costes que, en su caso, conllevarían las operaciones de devolución de las cantidades ya ingresadas, tanto para los sujetos afectados como para la propia Administración autonómica. Así se concluyó en los AATC 122/2013, de 21 de mayo, FJ 5 b) y 142/2013, de 4 de junio, FJ 3 c), en relación con el denominado “euro por receta”, en el que la decisión de mantener la suspensión se fundó en el coste que para la propia Comunidad Autónoma habría resultado a consecuencia del alto número de contribuyentes. En efecto, tuvimos allí en cuenta “no sólo el carácter excesivamente oneroso de las cargas, molestias y costes que, en su caso, conllevarían para los sujetos pasivos las operaciones de devolución de las cantidades ya ingresadas, sino también para la propia Administración autonómica, que se vería obligada a arbitrar un procedimiento de devolución individualizado con unos costes de gestión que, incluso, podrían llegar a superar la cuantía recaudada por la propia exacción de la tasa” [ATC 122/2013, FJ 5 b)].</w:t>
      </w:r>
    </w:p>
    <w:p w:rsidR="001D6FAE" w:rsidRDefault="001D6FAE" w:rsidP="001D6FAE">
      <w:pPr>
        <w:pStyle w:val="TextoNormal"/>
      </w:pPr>
    </w:p>
    <w:p w:rsidR="001D6FAE" w:rsidRDefault="001D6FAE" w:rsidP="001D6FAE">
      <w:pPr>
        <w:pStyle w:val="TextoNormal"/>
      </w:pPr>
      <w:r>
        <w:t>En aplicación de nuestra doctrina debemos acordar el levantamiento de la suspensión de la Ley impugnada. De la regulación del impuesto cuestionado se deduce que las personas jurídicas eventualmente afectadas por una devolución serán suficientemente identificables. La eventual devolución, a dichas entidades, de las cantidades ya ingresadas que derive de una eventual estimación del recurso de inconstitucionalidad no producirá perjuicios de imposible o difícil reparación. Incluso aunque el número de personas afectadas fuera importante, ello no significaría que las cargas y el coste de las operaciones de devolución de las cantidades ingresadas tendrían un carácter excesivamente oneroso que la Comunidad Autónoma de Cataluña ha estimado en 14.326.562,01 € para el ejercicio 2016; en cualquier caso, no tendría que ser superior a los demás casos, arriba mencionados, en los que este Tribunal ha procedido a levantar la suspensión cautelar del impuesto.</w:t>
      </w:r>
    </w:p>
    <w:p w:rsidR="001D6FAE" w:rsidRDefault="001D6FAE" w:rsidP="001D6FAE">
      <w:pPr>
        <w:pStyle w:val="TextoNormal"/>
      </w:pPr>
    </w:p>
    <w:p w:rsidR="001D6FAE" w:rsidRDefault="001D6FAE" w:rsidP="001D6FAE">
      <w:pPr>
        <w:pStyle w:val="TextoNormal"/>
      </w:pPr>
      <w:r>
        <w:t>En consecuencia, las cargas y molestias que las operaciones de devolución pudieran producir respecto a los intereses particulares de las personas jurídicas afectadas deben ceder ante los más graves perjuicios que para los intereses generales de la hacienda de la Comunidad Autónoma de Cataluña tendría la merma de los ingresos presupuestados.</w:t>
      </w:r>
    </w:p>
    <w:p w:rsidR="001D6FAE" w:rsidRDefault="001D6FAE" w:rsidP="001D6FAE">
      <w:pPr>
        <w:pStyle w:val="TextoNormal"/>
      </w:pPr>
    </w:p>
    <w:p w:rsidR="001D6FAE" w:rsidRDefault="001D6FAE" w:rsidP="001D6FAE">
      <w:pPr>
        <w:pStyle w:val="TextoNormal"/>
      </w:pPr>
      <w:r>
        <w:t>Con anterioridad a la consagración constitucional del principio de estabilidad presupuestaria, este Tribunal ya había tomado en consideración el dato especialmente relevante de la solvencia de las Comunidades Autónomas (AATC 417/1997, de 16 de diciembre, FJ 2; 72/1999, de 23 de marzo, FJ 4; y 5/2002, de 15 de enero, FJ 5). La importancia del interés público relativo a la consecución de la estabilidad presupuestaria no puede ser menor ahora que este objetivo ha obtenido un fundamento constitucional inequívoco en el art. 135 CE.</w:t>
      </w:r>
    </w:p>
    <w:p w:rsidR="001D6FAE" w:rsidRDefault="001D6FAE" w:rsidP="001D6FAE">
      <w:pPr>
        <w:pStyle w:val="TextoNormal"/>
      </w:pPr>
    </w:p>
    <w:p w:rsidR="001D6FAE" w:rsidRDefault="001D6FAE" w:rsidP="001D6FAE">
      <w:pPr>
        <w:pStyle w:val="TextoNormal"/>
      </w:pPr>
      <w:r>
        <w:t>No habiendo alegado el Abogado del Estado otros perjuicios para el interés público distintos de los derivados de la eventual devolución de las cantidades ingresadas, procede levantar la suspensión de los preceptos impugnados.</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Levantar la suspensión de los arts. 1, 4, 9.1, 11 y 12 de la Ley del Parlamento de Cataluña 14/2015, de 21 de julio, del impuesto sobre las viviendas vacías y de modificación de normas tributarias y de la Ley 3/2012.</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2" w:name="AUTO_2016_158"/>
      <w:r>
        <w:t>AUTO 158/2016, de 20 de septiembre de 2016</w:t>
      </w:r>
    </w:p>
    <w:bookmarkEnd w:id="132"/>
    <w:p w:rsidR="001D6FAE" w:rsidRDefault="001D6FAE" w:rsidP="001D6FAE">
      <w:pPr>
        <w:pStyle w:val="TtuloResolucin"/>
      </w:pPr>
      <w:r>
        <w:t>Pleno</w:t>
      </w:r>
    </w:p>
    <w:p w:rsidR="001D6FAE" w:rsidRDefault="001D6FAE" w:rsidP="001D6FAE">
      <w:pPr>
        <w:pStyle w:val="TextoNormalCentrado"/>
      </w:pPr>
      <w:r>
        <w:t>ECLI:ES:TC:2016:158A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Levanta la suspensión en el recurso de inconstitucionalidad 2256-2016, interpuesto por el Presidente del Gobierno en relación con el artículo 19.6 de la Ley del Parlamento de Cataluña 16/2015, de 21 de julio, de simplificación de la actividad administrativa de la Administración de la Generalitat y de los gobiernos locales de Cataluña y de impulso de la actividad económica.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presentado en el Registro General de este Tribunal el 25 de abril de 2016, el Abogado del Estado, en nombre del Presidente del Gobierno, interpuso recurso de inconstitucionalidad contra el art. 19.6 de la Ley del Parlamento de Cataluña 16/2015, de 21 de julio, de simplificación de la actividad administrativa de la Administración de la Generalitat y de los gobiernos locales de Cataluña y de impulso de la actividad económica, publicada en el “Diario Oficial de la Generalitat de Cataluña” (“DOGC”) núm. 6920, de 24 de julio de 2015. En su recurso el Abogado del Estado invocó el art. 161.2 CE y el art. 30 de la Ley Orgánica del Tribunal Constitucional (LOTC) a fin de que se produjese la suspensión del precepto legal impugnado.</w:t>
      </w:r>
    </w:p>
    <w:p w:rsidR="001D6FAE" w:rsidRDefault="001D6FAE" w:rsidP="001D6FAE">
      <w:pPr>
        <w:pStyle w:val="TextoNormal"/>
      </w:pPr>
    </w:p>
    <w:p w:rsidR="001D6FAE" w:rsidRDefault="001D6FAE" w:rsidP="001D6FAE">
      <w:pPr>
        <w:pStyle w:val="TextoNormal"/>
      </w:pPr>
      <w:r w:rsidRPr="001D6FAE">
        <w:rPr>
          <w:rStyle w:val="NumeroAFNegritaCaracter"/>
        </w:rPr>
        <w:t>2</w:t>
      </w:r>
      <w:r>
        <w:t>. Por providencia de 28 de abril de 2016 el Pleno del Tribunal acordó admitir a trámite el recurso de inconstitucionalidad, dar traslado de la demanda y documentos presentados, conforme establece el art. 34 LOTC, al Congreso de los Diputados y al Senado, así como al Gobierno de la Generalitat de Cataluña y al Parlamento de Cataluña, al objeto de que en el plazo de quince días pudieran personarse en el proceso y formular las alegaciones que estimaren convenientes. Asimismo,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Por último, también ordenó publicar la incoación del recurso en el “Boletín Oficial del Estado” y en el “Diario Oficial de la Generalitat de Cataluña”.</w:t>
      </w:r>
    </w:p>
    <w:p w:rsidR="001D6FAE" w:rsidRDefault="001D6FAE" w:rsidP="001D6FAE">
      <w:pPr>
        <w:pStyle w:val="TextoNormal"/>
      </w:pPr>
    </w:p>
    <w:p w:rsidR="001D6FAE" w:rsidRDefault="001D6FAE" w:rsidP="001D6FAE">
      <w:pPr>
        <w:pStyle w:val="TextoNormal"/>
      </w:pPr>
      <w:r w:rsidRPr="001D6FAE">
        <w:rPr>
          <w:rStyle w:val="NumeroAFNegritaCaracter"/>
        </w:rPr>
        <w:t>3</w:t>
      </w:r>
      <w:r>
        <w:t>. Por escritos registrados en el Tribunal Constitucional el 12 y el 19 de mayo de 2016, respectivamente, los Presidentes del Congreso de los Diputados y del Senado comunicaron el acuerdo de la Mesa de sus respectivas Cámaras de personarse en el proceso, ofreciendo su colaboración a los efectos del art. 88.1 LOTC.</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escrito registrado en el Tribunal Constitucional el 24 de mayo de 2016, la Abogada de la Generalitat de Cataluña, en la representación que legalmente ostenta, compareció y procedió a formular alegaciones en el presente recurso de inconstitucionalidad, interesando la desestimación del mismo. Mediante otrosí solicitó el levantamiento inmediato de la suspensión de la vigencia y aplicación de los preceptos legales impugnados, por las razones que siguen.</w:t>
      </w:r>
    </w:p>
    <w:p w:rsidR="001D6FAE" w:rsidRDefault="001D6FAE" w:rsidP="001D6FAE">
      <w:pPr>
        <w:pStyle w:val="TextoNormal"/>
      </w:pPr>
    </w:p>
    <w:p w:rsidR="001D6FAE" w:rsidRDefault="001D6FAE" w:rsidP="001D6FAE">
      <w:pPr>
        <w:pStyle w:val="TextoNormal"/>
      </w:pPr>
      <w:r>
        <w:t>Se refiere en primer lugar la Abogada de la Generalitat de Cataluña a la conocida doctrina constitucional conforme a la cual el levantamiento anticipado de la suspensión, sin esperar al transcurso de los cinco meses previstos en el art. 161.2 CE, resulta viable procesalmente; los cinco meses a los que hace referencia el citado precepto constitucional son, precisamente, el límite máximo inicialmente previsto para la suspensión, incluyéndose entre las potestades de este Tribunal la de ratificar o levantar la suspensión dentro de ese plazo.</w:t>
      </w:r>
    </w:p>
    <w:p w:rsidR="001D6FAE" w:rsidRDefault="001D6FAE" w:rsidP="001D6FAE">
      <w:pPr>
        <w:pStyle w:val="TextoNormal"/>
      </w:pPr>
    </w:p>
    <w:p w:rsidR="001D6FAE" w:rsidRDefault="001D6FAE" w:rsidP="001D6FAE">
      <w:pPr>
        <w:pStyle w:val="TextoNormal"/>
      </w:pPr>
      <w:r>
        <w:t>Asimismo invoca la consolidada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o privado de las terceros afectados. Pesa sobre el Abogado del Estado la carga de acreditar o, como mínimo, razonar consistentemente, la concurrencia de los graves perjuicios de imposible o muy difícil reparación invocados para mantener la suspensión de la Ley impugnada. Por otra parte, el Tribunal Constitucional debe efectuar su ponderación al margen de la viabilidad de las pretensiones que se formulan en la demanda y de las consideraciones sobre la cuestión de fondo del proceso, que resultan ajenas a dicha valoración.</w:t>
      </w:r>
    </w:p>
    <w:p w:rsidR="001D6FAE" w:rsidRDefault="001D6FAE" w:rsidP="001D6FAE">
      <w:pPr>
        <w:pStyle w:val="TextoNormal"/>
      </w:pPr>
    </w:p>
    <w:p w:rsidR="001D6FAE" w:rsidRDefault="001D6FAE" w:rsidP="001D6FAE">
      <w:pPr>
        <w:pStyle w:val="TextoNormal"/>
      </w:pPr>
      <w:r>
        <w:t>Conforme a dicha doctrina constitucional considera la Abogada de la Generalitat de Cataluña que no existen razones para el mantenimiento de la suspensión del art. 19.6 de la Ley del Parlamento de Cataluña 16/2015, de 21 de julio, de simplificación de la actividad administrativa de la Administración de la Generalitat y de los gobiernos locales de Cataluña y de impulso de la actividad económica. Su aplicación no produciría perjuicios al interés general ni a terceros —que en este caso serían los municipios dentro de los que existan núcleos de población separados y los vecinos de dichos núcleos separados— y, contrariamente, el mantenimiento de la suspensión causaría perjuicios a dichos municipios y a los vecinos de los referidos núcleos separados de población ya que carecerían del procedimiento necesario para vehicular su eventual iniciativa para constituir un órgano municipal desconcentrado para gestionar el respectivo núcleo de población segregado del núcleo urbano principal.</w:t>
      </w:r>
    </w:p>
    <w:p w:rsidR="001D6FAE" w:rsidRDefault="001D6FAE" w:rsidP="001D6FAE">
      <w:pPr>
        <w:pStyle w:val="TextoNormal"/>
      </w:pPr>
    </w:p>
    <w:p w:rsidR="001D6FAE" w:rsidRDefault="001D6FAE" w:rsidP="001D6FAE">
      <w:pPr>
        <w:pStyle w:val="TextoNormal"/>
      </w:pPr>
      <w:r w:rsidRPr="001D6FAE">
        <w:rPr>
          <w:rStyle w:val="NumeroAFNegritaCaracter"/>
        </w:rPr>
        <w:t>5</w:t>
      </w:r>
      <w:r>
        <w:t>. El Letrado del Parlamento de Cataluña, por escrito registrado en este Tribunal el 27 de mayo de 2016, formuló alegaciones en el presente recurso de inconstitucionalidad, interesando su desestimación.</w:t>
      </w:r>
    </w:p>
    <w:p w:rsidR="001D6FAE" w:rsidRDefault="001D6FAE" w:rsidP="001D6FAE">
      <w:pPr>
        <w:pStyle w:val="TextoNormal"/>
      </w:pPr>
    </w:p>
    <w:p w:rsidR="001D6FAE" w:rsidRDefault="001D6FAE" w:rsidP="001D6FAE">
      <w:pPr>
        <w:pStyle w:val="TextoNormal"/>
      </w:pPr>
      <w:r w:rsidRPr="001D6FAE">
        <w:rPr>
          <w:rStyle w:val="NumeroAFNegritaCaracter"/>
        </w:rPr>
        <w:t>6</w:t>
      </w:r>
      <w:r>
        <w:t>. Por providencia de 1 de junio de 2016 el Pleno del Tribunal acordó incorporar a las actuaciones los escritos de alegaciones presentados por la Abogada de la Generalitat de Cataluña y el Letrado del Parlamento de Cataluña, así como oír al Abogado del Estado y a la representación procesal del Parlamento de Cataluña sobre la solicitud de levantamiento de la suspensión de la vigencia y aplicación de los preceptos impugnados, para que, en el plazo de cinco días, expusiera lo que considerase procedente al respecto.</w:t>
      </w:r>
    </w:p>
    <w:p w:rsidR="001D6FAE" w:rsidRDefault="001D6FAE" w:rsidP="001D6FAE">
      <w:pPr>
        <w:pStyle w:val="TextoNormal"/>
      </w:pPr>
    </w:p>
    <w:p w:rsidR="001D6FAE" w:rsidRDefault="001D6FAE" w:rsidP="001D6FAE">
      <w:pPr>
        <w:pStyle w:val="TextoNormal"/>
      </w:pPr>
      <w:r w:rsidRPr="001D6FAE">
        <w:rPr>
          <w:rStyle w:val="NumeroAFNegritaCaracter"/>
        </w:rPr>
        <w:t>7</w:t>
      </w:r>
      <w:r>
        <w:t>. El Abogado del Estado, mediante escrito registrado en este Tribunal el 9 de junio de 2016, interesó el mantenimiento de la suspensión de los preceptos impugnados con fundamento en las alegaciones siguientes.</w:t>
      </w:r>
    </w:p>
    <w:p w:rsidR="001D6FAE" w:rsidRDefault="001D6FAE" w:rsidP="001D6FAE">
      <w:pPr>
        <w:pStyle w:val="TextoNormal"/>
      </w:pPr>
    </w:p>
    <w:p w:rsidR="001D6FAE" w:rsidRDefault="001D6FAE" w:rsidP="001D6FAE">
      <w:pPr>
        <w:pStyle w:val="TextoNormal"/>
      </w:pPr>
      <w:r>
        <w:t>Tras recordar la doctrina constitucional sobre los incidentes relativos a leyes autonómicas, realiza el escrito del Abogado del Estado un breve apunte introductorio sobre el fondo del conflicto planteado, motivado por el reciente pronunciamiento de conformidad con la Constitución del precepto estatal básico de contraste, con el que resulta contradictorio e incompatible el artículo autonómico.</w:t>
      </w:r>
    </w:p>
    <w:p w:rsidR="001D6FAE" w:rsidRDefault="001D6FAE" w:rsidP="001D6FAE">
      <w:pPr>
        <w:pStyle w:val="TextoNormal"/>
      </w:pPr>
    </w:p>
    <w:p w:rsidR="001D6FAE" w:rsidRDefault="001D6FAE" w:rsidP="001D6FAE">
      <w:pPr>
        <w:pStyle w:val="TextoNormal"/>
      </w:pPr>
      <w:r>
        <w:t xml:space="preserve">Afirma que debe mantenerse la suspensión porque el pronunciamiento constitucional (la STC 41/2016, de 3 de marzo) posterior a la entrada en vigor del art. 19.6 de la Ley autonómica 16/2015 supone la incompatibilidad del precepto impugnado con el explícitamente declarado básico, generándose una percepción de </w:t>
      </w:r>
      <w:r w:rsidRPr="001D6FAE">
        <w:rPr>
          <w:i/>
        </w:rPr>
        <w:t>fumus boni iuris</w:t>
      </w:r>
      <w:r>
        <w:t xml:space="preserve"> respecto de la norma estatal confirmada por sentencia, y aconseja el mantenimiento de la suspensión cautelar del precepto autonómico impugnado.</w:t>
      </w:r>
    </w:p>
    <w:p w:rsidR="001D6FAE" w:rsidRDefault="001D6FAE" w:rsidP="001D6FAE">
      <w:pPr>
        <w:pStyle w:val="TextoNormal"/>
      </w:pPr>
    </w:p>
    <w:p w:rsidR="001D6FAE" w:rsidRDefault="001D6FAE" w:rsidP="001D6FAE">
      <w:pPr>
        <w:pStyle w:val="TextoNormal"/>
      </w:pPr>
      <w:r>
        <w:t xml:space="preserve">A continuación procede el escrito del Abogado del Estado a realizar una valoración de los prejuicios que causaría el levantamiento de la suspensión en cuanto al aspecto de la estabilidad presupuestaria y la sostenibilidad financiera general. Afirma el Abogado del Estado que al levantarse hipotéticamente la suspensión del precepto autonómico se impediría la aplicación del art. 24 </w:t>
      </w:r>
      <w:r w:rsidRPr="001D6FAE">
        <w:rPr>
          <w:i/>
        </w:rPr>
        <w:t>bis</w:t>
      </w:r>
      <w:r>
        <w:t xml:space="preserve"> de la Ley reguladora de las bases de régimen local (LBRL), y más concretamente se impediría el cumplimiento del requisito legal previsto en el apartado 3 a la hora de la creación de entidades inframunicipales según el cual “solo podrán crearse este tipo de entes si resulta una opción más eficiente para la administración desconcentrada de núcleos de población separados de acuerdo con los principios previstos en la Ley Orgánica 2/2012, de 27 de abril, de Estabilidad Presupuestaria y Sostenibilidad Financiera”.</w:t>
      </w:r>
    </w:p>
    <w:p w:rsidR="001D6FAE" w:rsidRDefault="001D6FAE" w:rsidP="001D6FAE">
      <w:pPr>
        <w:pStyle w:val="TextoNormal"/>
      </w:pPr>
    </w:p>
    <w:p w:rsidR="001D6FAE" w:rsidRDefault="001D6FAE" w:rsidP="001D6FAE">
      <w:pPr>
        <w:pStyle w:val="TextoNormal"/>
      </w:pPr>
      <w:r>
        <w:t>A continuación, trae a colación el Abogado del Estado toda una serie de recomendaciones del Consejo de la Unión Europea (UE) en las que se pone de manifiesto la vinculación del cumplimiento del déficit público con la reforma de las administraciones públicas incluyendo la reforma local.</w:t>
      </w:r>
    </w:p>
    <w:p w:rsidR="001D6FAE" w:rsidRDefault="001D6FAE" w:rsidP="001D6FAE">
      <w:pPr>
        <w:pStyle w:val="TextoNormal"/>
      </w:pPr>
    </w:p>
    <w:p w:rsidR="001D6FAE" w:rsidRDefault="001D6FAE" w:rsidP="001D6FAE">
      <w:pPr>
        <w:pStyle w:val="TextoNormal"/>
      </w:pPr>
      <w:r>
        <w:t>Para el Abogado del Estado, la falta de observancia de la normativa de estabilidad a la hora de incoar un proyecto de creación de entidades inframunicipales, y sobre todo la falta de consideración al hecho o al análisis sobre si la opción de segregación territorial es la más eficiente para la administración desconcentrada de núcleos de población separados que exige el precepto estatal básico causaría un incremento de déficit que además de un perjuicio en sí mismo conllevaría una falta de observancia del Derecho de la Unión. Falta de observancia que podría desembocar en sanciones y medidas punitivas por parte de la Unión Europea.</w:t>
      </w:r>
    </w:p>
    <w:p w:rsidR="001D6FAE" w:rsidRDefault="001D6FAE" w:rsidP="001D6FAE">
      <w:pPr>
        <w:pStyle w:val="TextoNormal"/>
      </w:pPr>
    </w:p>
    <w:p w:rsidR="001D6FAE" w:rsidRDefault="001D6FAE" w:rsidP="001D6FAE">
      <w:pPr>
        <w:pStyle w:val="TextoNormal"/>
      </w:pPr>
      <w:r>
        <w:t>Junto a ello argumenta el Abogado del Estado la especial dificultad de paliar con posterioridad los efectos de una anulación del precepto impugnado ya que la creación de una entidad a su amparo resultaría un hecho consumado que en principio seguiría produciendo los efectos de incremento de gasto por su ineficiencia económica en tanto no se revirtiera la creación de la entidad local.</w:t>
      </w:r>
    </w:p>
    <w:p w:rsidR="001D6FAE" w:rsidRDefault="001D6FAE" w:rsidP="001D6FAE">
      <w:pPr>
        <w:pStyle w:val="TextoNormal"/>
      </w:pPr>
    </w:p>
    <w:p w:rsidR="001D6FAE" w:rsidRDefault="001D6FAE" w:rsidP="001D6FAE">
      <w:pPr>
        <w:pStyle w:val="TextoNormal"/>
      </w:pPr>
      <w:r w:rsidRPr="001D6FAE">
        <w:rPr>
          <w:rStyle w:val="NumeroAFNegritaCaracter"/>
        </w:rPr>
        <w:t>8</w:t>
      </w:r>
      <w:r>
        <w:t>. El Letrado del Parlamento de Cataluña, por escrito registrado en este Tribunal el 13 de junio de 2016, formuló alegaciones adhiriéndose a la petición formulada por la Abogada de la Generalitat en el primer otrosí de su escrito de alegaciones en el que se interesó el levantamiento de la suspensión del art. 19.6 de la Ley del Parlamento de Cataluña 16/2015, de 21 de julio, de simplificación de la actividad administrativa de la Administración de la Generalitat y de los gobiernos locales de Cataluña y de impulso de la actividad económica.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 esta resolución es determinar si procede mantener o levantar la suspensión de la vigencia del art. 19.6 de la Ley del Parlamento de Cataluña 16/2015, de 21 de julio, de simplificación de la actividad administrativa de la Administración de la Generalitat y de los gobiernos locales de Cataluña y de impulso de la actividad económica; que se encuentra suspendido en su aplicación como consecuencia de la invocación del art. 161.2 CE por el Presidente del Gobierno en su escrito de interposición del recurso de inconstitucionalidad. Las representaciones procesales del Gobierno de la Generalitat y del Parlamento de Cataluña han solicitado el levantamiento anticipado de la suspensión, mientras que el Abogado del Estado se opone a esta pretensión, conforme ha quedado expresado en los antecedentes.</w:t>
      </w:r>
    </w:p>
    <w:p w:rsidR="001D6FAE" w:rsidRDefault="001D6FAE" w:rsidP="001D6FAE">
      <w:pPr>
        <w:pStyle w:val="TextoNormal"/>
      </w:pPr>
    </w:p>
    <w:p w:rsidR="001D6FAE" w:rsidRDefault="001D6FAE" w:rsidP="001D6FAE">
      <w:pPr>
        <w:pStyle w:val="TextoNormal"/>
      </w:pPr>
      <w:r w:rsidRPr="001D6FAE">
        <w:rPr>
          <w:rStyle w:val="NumeroAFNegritaCaracter"/>
        </w:rPr>
        <w:t>2</w:t>
      </w:r>
      <w:r>
        <w:t>. Sobre este tipo de incidentes de suspensión existe una consolidada doctrina constitucional.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de otro, los perjuicios de imposible o difícil reparación que puedan derivarse del mantenimiento o levantamiento de la suspensión de la ley impugnada.</w:t>
      </w:r>
    </w:p>
    <w:p w:rsidR="001D6FAE" w:rsidRDefault="001D6FAE" w:rsidP="001D6FAE">
      <w:pPr>
        <w:pStyle w:val="TextoNormal"/>
      </w:pPr>
    </w:p>
    <w:p w:rsidR="001D6FAE" w:rsidRDefault="001D6FAE" w:rsidP="001D6FAE">
      <w:pPr>
        <w:pStyle w:val="TextoNormal"/>
      </w:pPr>
      <w:r>
        <w:t>Igualmente se ha destacado en nuestra doctrina que esta valoración ha de efectuarse mediante el estricto examen de las situaciones de hecho creadas y al margen de la viabilidad de las pretensiones que se formulen en la demanda. El mantenimiento de la suspensión requiere que el Gobierno de la Nación, a quien se debe tal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355/2007, de 24 de julio, FJ 2; 225/2009, de 10 de diciembre, FJ 2; 44/2011, de 12 de abril, FJ 2; 86/2012, de 8 de mayo, FJ 2, y 122/2015, de 7 de julio, FJ 2).</w:t>
      </w:r>
    </w:p>
    <w:p w:rsidR="001D6FAE" w:rsidRDefault="001D6FAE" w:rsidP="001D6FAE">
      <w:pPr>
        <w:pStyle w:val="TextoNormal"/>
      </w:pPr>
    </w:p>
    <w:p w:rsidR="001D6FAE" w:rsidRDefault="001D6FAE" w:rsidP="001D6FAE">
      <w:pPr>
        <w:pStyle w:val="TextoNormal"/>
      </w:pPr>
      <w:r w:rsidRPr="001D6FAE">
        <w:rPr>
          <w:rStyle w:val="NumeroAFNegritaCaracter"/>
        </w:rPr>
        <w:t>3</w:t>
      </w:r>
      <w:r>
        <w:t>. Antes de abordar el examen de las alegaciones formuladas por la Abogacía del Estado a favor de mantener la suspensión de la vigencia y aplicación del art. 19.6 de la Ley 16/2015, así como las de las representaciones procesales del Gobierno de la Generalitat y del Parlamento de Cataluña en pro del levantamiento de la suspensión, es oportuno referirse al contenido de tal precepto, impugnado por motivos competenciales.</w:t>
      </w:r>
    </w:p>
    <w:p w:rsidR="001D6FAE" w:rsidRDefault="001D6FAE" w:rsidP="001D6FAE">
      <w:pPr>
        <w:pStyle w:val="TextoNormal"/>
      </w:pPr>
    </w:p>
    <w:p w:rsidR="001D6FAE" w:rsidRDefault="001D6FAE" w:rsidP="001D6FAE">
      <w:pPr>
        <w:pStyle w:val="TextoNormal"/>
      </w:pPr>
      <w:r>
        <w:t>El recurso de inconstitucionalidad se dirige contra el art. 19.6 de la Ley del Parlamento de Cataluña 16/2015, de 21 de julio, de simplificación de la actividad administrativa de la Administración de la Generalitat y de los gobiernos locales de Cataluña y de impulso de la actividad económica que dispone lo siguiente:</w:t>
      </w:r>
    </w:p>
    <w:p w:rsidR="001D6FAE" w:rsidRDefault="001D6FAE" w:rsidP="001D6FAE">
      <w:pPr>
        <w:pStyle w:val="TextoNormal"/>
      </w:pPr>
    </w:p>
    <w:p w:rsidR="001D6FAE" w:rsidRDefault="001D6FAE" w:rsidP="001D6FAE">
      <w:pPr>
        <w:pStyle w:val="TextoNormal"/>
      </w:pPr>
      <w:r>
        <w:t xml:space="preserve">“Se modifican las letras </w:t>
      </w:r>
      <w:r w:rsidRPr="001D6FAE">
        <w:rPr>
          <w:i/>
        </w:rPr>
        <w:t>b</w:t>
      </w:r>
      <w:r>
        <w:t xml:space="preserve"> y </w:t>
      </w:r>
      <w:r w:rsidRPr="001D6FAE">
        <w:rPr>
          <w:i/>
        </w:rPr>
        <w:t>c</w:t>
      </w:r>
      <w:r>
        <w:t xml:space="preserve"> del apartado 1 del artículo 79 del texto refundido de la Ley municipal y de régimen local de Cataluña, aprobado por el Decreto legislativo 2/2003, de 28 de abril, que quedan redactadas del siguiente modo:</w:t>
      </w:r>
    </w:p>
    <w:p w:rsidR="001D6FAE" w:rsidRDefault="001D6FAE" w:rsidP="001D6FAE">
      <w:pPr>
        <w:pStyle w:val="TextoNormal"/>
      </w:pPr>
    </w:p>
    <w:p w:rsidR="001D6FAE" w:rsidRDefault="001D6FAE" w:rsidP="001D6FAE">
      <w:pPr>
        <w:pStyle w:val="TextoNormal"/>
      </w:pPr>
      <w:r>
        <w:t>b) En el primer caso, el ayuntamiento debe adoptar el acuerdo en el plazo de un mes a contar desde la presentación de la petición en el registro municipal.</w:t>
      </w:r>
    </w:p>
    <w:p w:rsidR="001D6FAE" w:rsidRDefault="001D6FAE" w:rsidP="001D6FAE">
      <w:pPr>
        <w:pStyle w:val="TextoNormal"/>
      </w:pPr>
    </w:p>
    <w:p w:rsidR="001D6FAE" w:rsidRDefault="001D6FAE" w:rsidP="001D6FAE">
      <w:pPr>
        <w:pStyle w:val="TextoNormal"/>
      </w:pPr>
      <w:r>
        <w:t>c) El acuerdo municipal sobre constitución de la entidad municipal descentralizada debe determinar las competencias que, de acuerdo con el artículo 82, tiene que asumir la entidad, y el sistema de participación en los ingresos del ayuntamiento. El acuerdo debe someterse al trámite de información pública por un plazo de un mes; una vez transcurrido este plazo, debe remitirse al departamento competente en materia de Administración local, junto con la resolución de las alegaciones presentadas, la cual debe adoptarse con el voto favorable de la mayoría absoluta del número legal de los miembros de la corporación. También debe realizarse la remisión cuando el expediente se ha iniciado a instancia de los vecinos, aunque el acuerdo municipal no sea favorable.”</w:t>
      </w:r>
    </w:p>
    <w:p w:rsidR="001D6FAE" w:rsidRDefault="001D6FAE" w:rsidP="001D6FAE">
      <w:pPr>
        <w:pStyle w:val="TextoNormal"/>
      </w:pPr>
    </w:p>
    <w:p w:rsidR="001D6FAE" w:rsidRDefault="001D6FAE" w:rsidP="001D6FAE">
      <w:pPr>
        <w:pStyle w:val="TextoNormal"/>
      </w:pPr>
      <w:r>
        <w:t xml:space="preserve">Se impugna por entender que vulnera el mandato aprobado por el legislador básico estatal en el art. 24 </w:t>
      </w:r>
      <w:r w:rsidRPr="001D6FAE">
        <w:rPr>
          <w:i/>
        </w:rPr>
        <w:t>bis</w:t>
      </w:r>
      <w:r>
        <w:t xml:space="preserve"> de la Ley reguladora de las bases de régimen local (LBRL), incorporado por la Ley 27/2013, de 27 de diciembre, de racionalización y sostenibilidad de la Administración local, que dispone que “las leyes de las Comunidades Autónomas sobre régimen local regularán los entes de ámbito territorial inferior al Municipio, que carecerán de personalidad jurídica, como forma de organización desconcentrada del mismo para la administración de núcleos de población separados”. Para el Abogado del Estado el precepto básico estatal establece como norma de derecho necesario que los entes de ámbito territorial inferior al municipal sólo pueden ser creados como forma de organización desconcentrada, carentes de personalidad jurídica.</w:t>
      </w:r>
    </w:p>
    <w:p w:rsidR="001D6FAE" w:rsidRDefault="001D6FAE" w:rsidP="001D6FAE">
      <w:pPr>
        <w:pStyle w:val="TextoNormal"/>
      </w:pPr>
    </w:p>
    <w:p w:rsidR="001D6FAE" w:rsidRDefault="001D6FAE" w:rsidP="001D6FAE">
      <w:pPr>
        <w:pStyle w:val="TextoNormal"/>
      </w:pPr>
      <w:r w:rsidRPr="001D6FAE">
        <w:rPr>
          <w:rStyle w:val="NumeroAFNegritaCaracter"/>
        </w:rPr>
        <w:t>4</w:t>
      </w:r>
      <w:r>
        <w:t xml:space="preserve">. Como ha quedado expuesto en los antecedentes de esta resolución, el Abogado del Estado solicita que se ratifique la suspensión del precepto impugnado, sugiriendo, en primer término, que en el presente caso bien pudiéramos estar ante uno de aquellos supuestos en los que, de forma excepcional, el Tribunal Constitucional ha venido a admitir la aplicación del criterio del </w:t>
      </w:r>
      <w:r w:rsidRPr="001D6FAE">
        <w:rPr>
          <w:i/>
        </w:rPr>
        <w:t>fumus boni iuris</w:t>
      </w:r>
      <w:r>
        <w:t xml:space="preserve"> para mantener la suspensión de la Ley autonómica impugnada.</w:t>
      </w:r>
    </w:p>
    <w:p w:rsidR="001D6FAE" w:rsidRDefault="001D6FAE" w:rsidP="001D6FAE">
      <w:pPr>
        <w:pStyle w:val="TextoNormal"/>
      </w:pPr>
    </w:p>
    <w:p w:rsidR="001D6FAE" w:rsidRDefault="001D6FAE" w:rsidP="001D6FAE">
      <w:pPr>
        <w:pStyle w:val="TextoNormal"/>
      </w:pPr>
      <w:r>
        <w:t xml:space="preserve">Este argumento ha de ser rechazado. Ciertamente, hemos admitido excepcionalmente que pueda tenerse en consideración el criterio del </w:t>
      </w:r>
      <w:r w:rsidRPr="001D6FAE">
        <w:rPr>
          <w:i/>
        </w:rPr>
        <w:t>fumus boni iuris</w:t>
      </w:r>
      <w:r>
        <w:t xml:space="preserve"> para resolver este tipo de incidentes, como ocurre señaladamente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y 41/2016, de 16 de febrero, FFJJ 2 y 3). Este criterio —similitud intensa o coincidencia literal con normas declaradas inconstitucionales y nulas por el Tribunal Constitucional— es un supuesto cualificado de apariencia de buen derecho que se aparta de lo que es regla general y por tanto es fundamento suficiente para mantener la suspensión establecida en el art. 161.2 CE. No concurre, sin embargo, tal supuesto excepcional en el caso que nos ocupa; este Tribunal no ha declarado la inconstitucionalidad y nulidad de ninguna norma autonómica que contenga previsiones idénticas o de intensa similitud a las previstas en el art. 19.6 de la Ley del Parlamento de Cataluña 16/2015, de 21 de julio, objeto del recurso de inconstitucionalidad en el que se suscita este incidente. Por tanto, la decisión que aquí hemos de adoptar no puede apoyarse en la apariencia de buen derecho de la pretensión impugnatoria, pues supondría anticipar un pronunciamiento que sólo es posible en el marco del proceso principal.</w:t>
      </w:r>
    </w:p>
    <w:p w:rsidR="001D6FAE" w:rsidRDefault="001D6FAE" w:rsidP="001D6FAE">
      <w:pPr>
        <w:pStyle w:val="TextoNormal"/>
      </w:pPr>
    </w:p>
    <w:p w:rsidR="001D6FAE" w:rsidRDefault="001D6FAE" w:rsidP="001D6FAE">
      <w:pPr>
        <w:pStyle w:val="TextoNormal"/>
      </w:pPr>
      <w:r w:rsidRPr="001D6FAE">
        <w:rPr>
          <w:rStyle w:val="NumeroAFNegritaCaracter"/>
        </w:rPr>
        <w:t>5</w:t>
      </w:r>
      <w:r>
        <w:t>. La resolución que ahora debemos adoptar sólo puede ser el resultado de ponderar, de un lado, los perjuicios reales y efectivos asociados al levantamiento de la suspensión, y, de otro, la presunción de constitucionalidad de que gozan las normas legales y los menoscabos de intereses públicos y privados consecuencia de su mantenimiento, dejando a un lado cualquier consideración sobre el fondo de la inconstitucionalidad denunciada.</w:t>
      </w:r>
    </w:p>
    <w:p w:rsidR="001D6FAE" w:rsidRDefault="001D6FAE" w:rsidP="001D6FAE">
      <w:pPr>
        <w:pStyle w:val="TextoNormal"/>
      </w:pPr>
    </w:p>
    <w:p w:rsidR="001D6FAE" w:rsidRDefault="001D6FAE" w:rsidP="001D6FAE">
      <w:pPr>
        <w:pStyle w:val="TextoNormal"/>
      </w:pPr>
      <w:r>
        <w:t>El Abogado del Estado sostiene, que el levantamiento de la suspensión y la consiguiente aplicación del precepto impugnado pueden conllevar un impacto negativo sobre la estabilidad presupuestaria.</w:t>
      </w:r>
    </w:p>
    <w:p w:rsidR="001D6FAE" w:rsidRDefault="001D6FAE" w:rsidP="001D6FAE">
      <w:pPr>
        <w:pStyle w:val="TextoNormal"/>
      </w:pPr>
    </w:p>
    <w:p w:rsidR="001D6FAE" w:rsidRDefault="001D6FAE" w:rsidP="001D6FAE">
      <w:pPr>
        <w:pStyle w:val="TextoNormal"/>
      </w:pPr>
      <w:r>
        <w:t>No es posible entender que el Abogado del Estado haya cumplido la carga argumentativa exigible para acreditar que el levantamiento de la suspensión de la previsión que se contiene en el art. 19.6 de la Ley del Parlamento de Cataluña 16/2015, de 21 de julio, produzca perjuicios de imposible o difícil reparación para el interés general o los intereses de los particulares, pues habría sido necesario que el Abogado del Estado hubiese acreditado o, al menos, razonado consistentemente en sus alegaciones, acerca de los concretos perjuicios que produciría la vigencia y aplicación de dicho precepto y la imposible o difícil reparación de los mismos.</w:t>
      </w:r>
    </w:p>
    <w:p w:rsidR="001D6FAE" w:rsidRDefault="001D6FAE" w:rsidP="001D6FAE">
      <w:pPr>
        <w:pStyle w:val="TextoNormal"/>
      </w:pPr>
    </w:p>
    <w:p w:rsidR="001D6FAE" w:rsidRDefault="001D6FAE" w:rsidP="001D6FAE">
      <w:pPr>
        <w:pStyle w:val="TextoNormal"/>
      </w:pPr>
      <w:r>
        <w:t>A la vista de lo anterior, —y considerando además que tanto los municipios como las entidades municipales a las que se refiere el precepto impugnado se encuentran, en todo caso, igualmente vinculadas por las exigencias del art. 135 de la Constitución—, no cabe entender que haya quedado acreditado que el levantamiento de la suspensión del art. 19.6 de la Ley del Parlamento de Cataluña 16/2015, de 21 de julio, suponga un perjuicio grave para la estabilidad presupuestaria. Estamos ante meras conjeturas sobre perjuicios genéricos e hipotéticos, lo que determina el rechazo del alegato de la Abogacía del Estado, pues de acuerdo con la doctrina de este Tribunal, “la suspensión solamente procede en presencia de perjuicios ciertos y efectivos, en ausencia de los cuales ha de atenderse a la presunción de validez propia de las Leyes” (AATC 156/2008, de 12 de junio, FJ 3, y 54/2016, de 1 de marzo, FJ 6).</w:t>
      </w:r>
    </w:p>
    <w:p w:rsidR="001D6FAE" w:rsidRDefault="001D6FAE" w:rsidP="001D6FAE">
      <w:pPr>
        <w:pStyle w:val="TextoNormal"/>
      </w:pPr>
    </w:p>
    <w:p w:rsidR="001D6FAE" w:rsidRDefault="001D6FAE" w:rsidP="001D6FAE">
      <w:pPr>
        <w:pStyle w:val="TextoNormal"/>
      </w:pPr>
      <w:r>
        <w:t>Procede, por tanto, levantar la suspensión que afecta al art. 19.6 de la Ley del Parlamento de Cataluña 16/2015, de 21 de julio, de simplificación de la actividad administrativa de la Administración de la Generalitat y de los gobiernos locales de Cataluña y de impulso de la actividad económica.</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Levantar la suspensión del artículo 19.6 de la Ley del Parlamento de Cataluña 16/2015, de 21 de julio, de simplificación de la actividad administrativa de la Administración de la Generalitat y de los gobiernos locales de Cataluña y de impulso de la actividad económica.</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3" w:name="AUTO_2016_159"/>
      <w:r>
        <w:t>AUTO 159/2016, de 20 de septiembre de 2016</w:t>
      </w:r>
    </w:p>
    <w:bookmarkEnd w:id="133"/>
    <w:p w:rsidR="001D6FAE" w:rsidRDefault="001D6FAE" w:rsidP="001D6FAE">
      <w:pPr>
        <w:pStyle w:val="TtuloResolucin"/>
      </w:pPr>
      <w:r>
        <w:t>Pleno</w:t>
      </w:r>
    </w:p>
    <w:p w:rsidR="001D6FAE" w:rsidRDefault="001D6FAE" w:rsidP="001D6FAE">
      <w:pPr>
        <w:pStyle w:val="TextoNormalCentrado"/>
      </w:pPr>
      <w:r>
        <w:t>ECLI:ES:TC:2016:159A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2475-2016, planteada por el Juzgado de lo Social núm. 14 de Valencia en relación con el artículo 31.6 de la Ley 13/2009, de 29 de diciembre, de presupuestos de la Generalitat para el ejercicio 2010.</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día 5 de mayo de 2016 tuvo entrada en el Registro General de este Tribunal un escrito del Juzgado de lo Social núm. 14 de Valencia al que se acompañaba, junto con el testimonio del procedimiento correspondiente, el Auto de 23 de marzo de 2016 que acuerda plantear cuestión de inconstitucionalidad respecto del art. 31.6 de la Ley 13/2009, de 29 de diciembre, de presupuestos de la Generalitat para el ejercicio 2010, en la redacción dada por el art. 30.7 del Decreto-ley 3/2010, de 4 de junio, del Consell, de medidas urgentes en materia de retribuciones en el ámbito del sector público valenciano.</w:t>
      </w:r>
    </w:p>
    <w:p w:rsidR="001D6FAE" w:rsidRDefault="001D6FAE" w:rsidP="001D6FAE">
      <w:pPr>
        <w:pStyle w:val="TextoNormal"/>
      </w:pPr>
    </w:p>
    <w:p w:rsidR="001D6FAE" w:rsidRDefault="001D6FAE" w:rsidP="001D6FAE">
      <w:pPr>
        <w:pStyle w:val="TextoNormal"/>
      </w:pPr>
      <w:r>
        <w:t>El precepto que se cuestiona dispone lo siguiente:</w:t>
      </w:r>
    </w:p>
    <w:p w:rsidR="001D6FAE" w:rsidRDefault="001D6FAE" w:rsidP="001D6FAE">
      <w:pPr>
        <w:pStyle w:val="TextoNormal"/>
      </w:pPr>
    </w:p>
    <w:p w:rsidR="001D6FAE" w:rsidRDefault="001D6FAE" w:rsidP="001D6FAE">
      <w:pPr>
        <w:pStyle w:val="TextoNormal"/>
      </w:pPr>
      <w:r>
        <w:t>“Las sociedades mercantiles en las que exista participación mayoritaria de la Generalitat o de sus entidades autónomas, así como las entidades de derecho público dependientes de la Generalitat, con personalidad jurídica propia y cuyas actividades se rijan por el ordenamiento jurídico privado, podrán pagar el concepto de productividad siempre que tengan un sistema de objetivos que permita su correcta evaluación, entre los que se incluirá, necesariamente, la evolución real en el ejercicio de los componentes más importantes de su cuenta de explotación y que el importe total del mismo no supere el 7 por ciento de la masa salarial correspondiente a las retribuciones básicas y complementarias, fijas y periódicas, pagadas durante el ejercicio 2009 (excluido el mencionado concepto). Las sociedades y las entidades de derecho público afectadas, con carácter previo a su efectiva aplicación y mediante propuesta motivada, requerirán autorización al Consell de las cuantías individualmente asignadas por tal concepto a su personal. La solicitud deberá remitirse dentro del último trimestre del ejercicio y deberá ir acompañada de informe de la conselleria que tenga asignadas las competencias en el área de hacienda sobre la existencia de cobertura presupuestaria suficiente para su abono, así como de un informe comparativo entre las cifras de su cuenta de explotación prevista para el ejercicio y las correspondientes de los dos ejercicios anteriores.</w:t>
      </w:r>
    </w:p>
    <w:p w:rsidR="001D6FAE" w:rsidRDefault="001D6FAE" w:rsidP="001D6FAE">
      <w:pPr>
        <w:pStyle w:val="TextoNormal"/>
      </w:pPr>
    </w:p>
    <w:p w:rsidR="001D6FAE" w:rsidRDefault="001D6FAE" w:rsidP="001D6FAE">
      <w:pPr>
        <w:pStyle w:val="TextoNormal"/>
      </w:pPr>
      <w:r>
        <w:t>En ningún caso, las cuantías asignadas por el concepto de productividad durante un período de tiempo originarán derecho individual alguno respecto a las valoraciones o apreciaciones correspondientes a períodos sucesivos. A tal efecto, las cuantías asignadas por tal concepto no podrán ser fijas en su importe ni periódicas en su devengo.</w:t>
      </w:r>
    </w:p>
    <w:p w:rsidR="001D6FAE" w:rsidRDefault="001D6FAE" w:rsidP="001D6FAE">
      <w:pPr>
        <w:pStyle w:val="TextoNormal"/>
      </w:pPr>
    </w:p>
    <w:p w:rsidR="001D6FAE" w:rsidRDefault="001D6FAE" w:rsidP="001D6FAE">
      <w:pPr>
        <w:pStyle w:val="TextoNormal"/>
      </w:pPr>
      <w:r>
        <w:t>No obstante lo previsto en los párrafos anteriores, y exclusivamente en lo que se refiere a las retribuciones del personal laboral y no funcionario de las entidades de derecho público dependientes de la Generalitat, con efectos de 1 de junio de 2010, a la cuantía resultante de aplicar el límite del 7 por ciento de la masa salarial establecido para el cálculo del pago del concepto de productividad, le será de aplicación la reducción de un 5%, prevista en el artículo 23.1.B) de esta ley.</w:t>
      </w:r>
    </w:p>
    <w:p w:rsidR="001D6FAE" w:rsidRDefault="001D6FAE" w:rsidP="001D6FAE">
      <w:pPr>
        <w:pStyle w:val="TextoNormal"/>
      </w:pPr>
    </w:p>
    <w:p w:rsidR="001D6FAE" w:rsidRDefault="001D6FAE" w:rsidP="001D6FAE">
      <w:pPr>
        <w:pStyle w:val="TextoNormal"/>
      </w:pPr>
      <w:r>
        <w:t>A tal efecto, la conselleria competente en materia de hacienda efectuará las retenciones, en los créditos oportunos, que, a este efecto, le comuniquen los órganos competentes de cada una de las entidades afectadas.”</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del planteamiento de la presente cuestión de inconstitucionalidad son, sucintamente expuestos, los siguientes:</w:t>
      </w:r>
    </w:p>
    <w:p w:rsidR="001D6FAE" w:rsidRDefault="001D6FAE" w:rsidP="001D6FAE">
      <w:pPr>
        <w:pStyle w:val="TextoNormal"/>
      </w:pPr>
    </w:p>
    <w:p w:rsidR="001D6FAE" w:rsidRDefault="001D6FAE" w:rsidP="001D6FAE">
      <w:pPr>
        <w:pStyle w:val="TextoNormal"/>
      </w:pPr>
      <w:r>
        <w:t>a) Los trabajadores demandantes en el proceso solicitaron que se condenase a Radio Televisión Valenciana, S.A.U., Radio Autonomía Valenciana, S.A., y al ente público de Radio Televisión Valenciana-CPV a la devolución del 5 por 100 de su salario, que fue objeto de reducción en junio del año 2010 en aplicación de la norma ahora cuestionada (penúltimo párrafo), hasta la fecha de extinción de sus contratos o hasta la de la Sentencia en el caso de trabajadores cuya relación laboral se encuentre vigente. Sostenían que la redacción dada al precepto en el Decreto-ley 3/2010, de 4 de junio, vulneraba los arts. 149.1.13, 149.3 y 156.1 CE, pues la normativa básica en la materia (disposición adicional novena del Real Decreto-ley 8/2010, de 20 de mayo) excluye al personal no directivo de las sociedades demandadas —colectivo en el que los actores quedarían encuadrados— de la reducción salarial referida, salvo que por negociación colectiva las partes decidieran su aplicación, lo que no sería el caso.</w:t>
      </w:r>
    </w:p>
    <w:p w:rsidR="001D6FAE" w:rsidRDefault="001D6FAE" w:rsidP="001D6FAE">
      <w:pPr>
        <w:pStyle w:val="TextoNormal"/>
      </w:pPr>
    </w:p>
    <w:p w:rsidR="001D6FAE" w:rsidRDefault="001D6FAE" w:rsidP="001D6FAE">
      <w:pPr>
        <w:pStyle w:val="TextoNormal"/>
      </w:pPr>
      <w:r>
        <w:t>b) Concluso el procedimiento y dentro del plazo para dictar sentencia, de conformidad con lo dispuesto en el art. 35.2 de la Ley Orgánica del Tribunal Constitucional (LOTC), mediante providencia de 8 de febrero de 2016 el Juzgado de lo Social núm. 14 de Valencia acordó dar audiencia a las partes y al Ministerio Fiscal para que en el plazo común e improrrogable de diez días pudieran alegar lo que desearan sobre la pertinencia de plantear cuestión de inconstitucionalidad “por la posible contradicción existente entre el Real Decreto Ley 8/2010, de 20 de Mayo por el que se adoptan medidas extraordinarias para la reducción del déficit público y, el Decreto Ley 17/2010 de treinta de diciembre, de Presupuestos de la Generalitat para el ejercicio 2011, a la luz de lo resuelto en Sentencia del Tribunal Constitucional núm. 5/2014 de 16 de enero de 2014”.</w:t>
      </w:r>
    </w:p>
    <w:p w:rsidR="001D6FAE" w:rsidRDefault="001D6FAE" w:rsidP="001D6FAE">
      <w:pPr>
        <w:pStyle w:val="TextoNormal"/>
      </w:pPr>
    </w:p>
    <w:p w:rsidR="001D6FAE" w:rsidRDefault="001D6FAE" w:rsidP="001D6FAE">
      <w:pPr>
        <w:pStyle w:val="TextoNormal"/>
      </w:pPr>
      <w:r>
        <w:t>Dicha providencia fue recurrida en reposición por el Ministerio Fiscal, que apreciaba una falta de identificación de los preceptos constitucionales que se consideraban infringidos y de los apartados concretos del precepto legal cuya constitucionalidad era cuestionada. Estimó el recurso y dictó el juzgador nueva providencia, de 10 de marzo de 2016, que especificaba como cuestionado el precepto ahora sometido a consideración —el art. 31.6 de la Ley 13/2009, en la redacción dada por el Decreto-ley 3/2010, de 4 de junio, del Consell— y aludía a la posible vulneración de los arts. 9.3, 37.1, 149.1.13, 149.3 y 156.1 CE, en relación con el Real Decreto-ley 8/2010, de 20 de mayo, por el que se adoptan medidas extraordinarias para la reducción del déficit público. Así, decía: “Versando el presente procedimiento sobre una reclamación de cantidad, presentada por personal laboral no directivo de una entidad de derecho público dependiente de la Generalitat, como es Radio Televisión Valenciana, en lo que a la reducción operada del 5 por 100 de su salario se refiere, resulta necesario para resolver sobre el fondo del asunto, analizar si la normativa autonómica, concretamente el art. 30.7 del Decreto Ley 3/2010, de 4 de junio, del Consell, de medidas urgentes en materia de retribuciones en el ámbito del sector público valenciano, que modifica el art. 31.6 de la Ley 13/2009, de 29 de diciembre, de Presupuestos de la Generalitat para el ejercicio 2010, vulnera la normativa estatal relacionada, al establecer la reducción de las retribuciones del personal laboral y no funcionario de las entidades de derecho público dependientes de la Generalitat, con efectos de 1 de junio de 2010, del 5 por 100 sin necesidad de negociación colectiva, tal y como exige la norma estatal”.</w:t>
      </w:r>
    </w:p>
    <w:p w:rsidR="001D6FAE" w:rsidRDefault="001D6FAE" w:rsidP="001D6FAE">
      <w:pPr>
        <w:pStyle w:val="TextoNormal"/>
      </w:pPr>
    </w:p>
    <w:p w:rsidR="001D6FAE" w:rsidRDefault="001D6FAE" w:rsidP="001D6FAE">
      <w:pPr>
        <w:pStyle w:val="TextoNormal"/>
      </w:pPr>
      <w:r>
        <w:t>c) Por la Abogada de la Generalitat, en escrito presentado en fecha de 16 de marzo de 2016, se mostró la disconformidad con el planteamiento de la cuestión de inconstitucionalidad, al entender que no existe contradicción alguna entre la norma estatal y la norma autonómica por no resultar de aplicación a los trabajadores actuantes los dos últimos párrafos del art. 31.6 de la Ley 13/2009, circunscritos, exclusivamente, al personal laboral y no funcionario de las entidades de derecho público dependientes de la Generalitat, y no a los de una sociedad mercantil pública valenciana como Radio Televisión Valenciana, S.A. La Letrada de los actores, en escrito de la misma fecha, manifestó por el contrario su adhesión al planteamiento de la cuestión de inconstitucionalidad, ya que la normativa estatal de carácter básico excluye la reducción salarial del 5 por 100 al personal laboral de las sociedades mercantiles, por lo que la norma cuestionada vulneraría los arts. 9.3, 37.1, 149.1.13, 149.3 y 156.1 CE, en relación con el Real Decreto-ley 8/2010, de 20 de mayo. El Ministerio Fiscal, por su parte, entendió cumplidos los requisitos procesales previstos en el art. 35 LOTC.</w:t>
      </w:r>
    </w:p>
    <w:p w:rsidR="001D6FAE" w:rsidRDefault="001D6FAE" w:rsidP="001D6FAE">
      <w:pPr>
        <w:pStyle w:val="TextoNormal"/>
      </w:pPr>
    </w:p>
    <w:p w:rsidR="001D6FAE" w:rsidRDefault="001D6FAE" w:rsidP="001D6FAE">
      <w:pPr>
        <w:pStyle w:val="TextoNormal"/>
      </w:pPr>
      <w:r>
        <w:t>d) Por Auto de 23 de marzo de 2016 se plantea cuestión de inconstitucionalidad respecto del art. 31.6 de la Ley 13/2009, de 29 de diciembre, de presupuestos de la Generalitat para el ejercicio 2010, en la redacción dada por el art. 30.7 del Decreto-ley 3/2010, de 4 de junio, del Consell, de medidas urgentes en materia de retribuciones en el ámbito del sector público valenciano.</w:t>
      </w:r>
    </w:p>
    <w:p w:rsidR="001D6FAE" w:rsidRDefault="001D6FAE" w:rsidP="001D6FAE">
      <w:pPr>
        <w:pStyle w:val="TextoNormal"/>
      </w:pPr>
    </w:p>
    <w:p w:rsidR="001D6FAE" w:rsidRDefault="001D6FAE" w:rsidP="001D6FAE">
      <w:pPr>
        <w:pStyle w:val="TextoNormal"/>
      </w:pPr>
      <w:r w:rsidRPr="001D6FAE">
        <w:rPr>
          <w:rStyle w:val="NumeroAFNegritaCaracter"/>
        </w:rPr>
        <w:t>3</w:t>
      </w:r>
      <w:r>
        <w:t>. Entiende el órgano proponente que existe una clara contradicción entre la norma estatal, que excluye a priori la aplicación de la reducción salarial del 5 por 100 al personal laboral no directivo de las sociedades mercantiles públicas, salvo que por medio de la negociación colectiva las partes decidan su aplicación, y la norma autonómica, que impone esa reducción salarial del 5 por 100 a todo el personal laboral no directivo de las sociedades mercantiles públicas, al margen de la negociación colectiva. Vulneraría la norma autonómica, por ello, los arts. 149.1.13, 149.1.18 y 156.1 CE, pues la normativa básica en esta materia, esto es, la disposición adicional novena del Real Decreto-ley 8/2010, excluye al personal laboral no directivo de las sociedades mercantiles públicas de la reducción salarial del 5 por 100 en cómputo anual prevista con carácter general para los empleados públicos (art. 22 de la Ley 26/2009, de 23 de diciembre, de presupuestos generales del Estado para 2010, en la redacción dada por el art. 1.2 del Real Decreto-ley 8/2010), salvo que por negociación colectiva las partes decidan su aplicación.</w:t>
      </w:r>
    </w:p>
    <w:p w:rsidR="001D6FAE" w:rsidRDefault="001D6FAE" w:rsidP="001D6FAE">
      <w:pPr>
        <w:pStyle w:val="TextoNormal"/>
      </w:pPr>
    </w:p>
    <w:p w:rsidR="001D6FAE" w:rsidRDefault="001D6FAE" w:rsidP="001D6FAE">
      <w:pPr>
        <w:pStyle w:val="TextoNormal"/>
      </w:pPr>
      <w:r>
        <w:t>Asimismo, mantiene que se ha vulnerado el derecho a la negociación colectiva (art. 37.1 CE). El propio bloque de constitucionalidad, a través de una norma dictada con carácter de legislación básica, establece la necesidad de acudir a la negociación colectiva como única vía para acordar una medida de reducción salarial. Por ello, la Ley autonómica valenciana lesiona ese derecho, dado que aplica la reducción salarial a todo el personal de organismos y entidades integrantes del sector público administrativo, empresarial y fundacional de la Administración de la Comunidad Autónoma.</w:t>
      </w:r>
    </w:p>
    <w:p w:rsidR="001D6FAE" w:rsidRDefault="001D6FAE" w:rsidP="001D6FAE">
      <w:pPr>
        <w:pStyle w:val="TextoNormal"/>
      </w:pPr>
    </w:p>
    <w:p w:rsidR="001D6FAE" w:rsidRDefault="001D6FAE" w:rsidP="001D6FAE">
      <w:pPr>
        <w:pStyle w:val="TextoNormal"/>
      </w:pPr>
      <w:r>
        <w:t>Por último, se habría visto infringido el art. 9.3 CE, que prohíbe la retroactividad de las normas restrictivas de derechos individuales, al establecerse la reducción salarial con efectos de 1 de junio de 2010, toda vez que la disposición final tercera del Decreto-ley 3/2010 declara su entrada en vigor el mismo día de su publicación en el “Diari Oficial de la Comunitat Valenciana” (4 de junio de 2010), afectando, por tanto, a derechos devengados, nacidos e incluso percibidos en las nóminas del mes de junio de 2010.</w:t>
      </w:r>
    </w:p>
    <w:p w:rsidR="001D6FAE" w:rsidRDefault="001D6FAE" w:rsidP="001D6FAE">
      <w:pPr>
        <w:pStyle w:val="TextoNormal"/>
      </w:pPr>
    </w:p>
    <w:p w:rsidR="001D6FAE" w:rsidRDefault="001D6FAE" w:rsidP="001D6FAE">
      <w:pPr>
        <w:pStyle w:val="TextoNormal"/>
      </w:pPr>
      <w:r>
        <w:t>Afirma finalmente que la STC 219/2013, de 19 de diciembre, resuelve la cuestión sometida a consideración; pronunciamiento constitucional que reproduce parcialmente a renglón seguido.</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la Sección Cuarta de este Tribunal, de 21 de junio de 2016, se acordó oír al Fiscal General del Estado acerca de la admisibilidad de la presente cuestión de inconstitucionalidad, a los efectos que determina el art. 37.1 LOTC, en relación con el cumplimiento de los requisitos procesales (art. 35.2 LOTC) y por si fuese notoriamente infundada. En escrito presentado con fecha 14 de julio de 2016, la Fiscal entiende que el auto de planteamiento no contiene una adecuada formulación del juicio de aplicabilidad y relevancia.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Juzgado de lo Social núm. 14 de Valencia plantea cuestión de inconstitucionalidad respecto del art. 31.6 de la Ley 13/2009, de 29 de diciembre, de presupuestos de la Generalitat para el ejercicio 2010, en la redacción dada por el art. 30.7 del Decreto-ley 3/2010, de 4 de junio, del Consell, de medidas urgentes en materia de retribuciones en el ámbito del sector público valenciano, por posible vulneración de los arts. 9.3, 37.1, 149.1.13, 149.3 y 156.1 CE. La Fiscal General del Estado considera incumplido el requisito procesal de formular adecuadamente el juicio de aplicabilidad y relevancia para la promoción de la cuestión de inconstitucionalidad, por lo que solicita su inadmisión (art. 37.1 de la Ley Orgánica del Tribunal Constitucional: LOTC).</w:t>
      </w:r>
    </w:p>
    <w:p w:rsidR="001D6FAE" w:rsidRDefault="001D6FAE" w:rsidP="001D6FAE">
      <w:pPr>
        <w:pStyle w:val="TextoNormal"/>
      </w:pPr>
    </w:p>
    <w:p w:rsidR="001D6FAE" w:rsidRDefault="001D6FAE" w:rsidP="001D6FAE">
      <w:pPr>
        <w:pStyle w:val="TextoNormal"/>
      </w:pPr>
      <w:r w:rsidRPr="001D6FAE">
        <w:rPr>
          <w:rStyle w:val="NumeroAFNegritaCaracter"/>
        </w:rPr>
        <w:t>2</w:t>
      </w:r>
      <w:r>
        <w:t>. El art. 37.1 LOTC establece que este Tribunal podrá rechazar, en trámite de admisión, mediante Auto y sin otra audiencia que la del Fiscal General del Estado, la cuestión de inconstitucionalidad cuando faltaren las condiciones procesales o fuere notoriamente infundada. Como ya hemos señalado en pronunciamientos previos (por todas, STC 115/2009, de 18 de mayo, FJ 2), el art. 35.1 LOTC exige que la norma con rango de ley de la que tenga dudas un juez o tribunal sea “aplicable al caso y de cuya validez dependa el fallo”. Es decir, la norma cuestionada debe superar el denominado “juicio de relevancia”, o lo que es lo mismo, la justificación de que la decisión del proceso depende de su validez, habida cuenta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(STC 87/2012, de 18 de abril, FJ 2, por todas).</w:t>
      </w:r>
    </w:p>
    <w:p w:rsidR="001D6FAE" w:rsidRDefault="001D6FAE" w:rsidP="001D6FAE">
      <w:pPr>
        <w:pStyle w:val="TextoNormal"/>
      </w:pPr>
    </w:p>
    <w:p w:rsidR="001D6FAE" w:rsidRDefault="001D6FAE" w:rsidP="001D6FAE">
      <w:pPr>
        <w:pStyle w:val="TextoNormal"/>
      </w:pPr>
      <w:r>
        <w:t xml:space="preserve">Es a los jueces y tribunales ordinarios que plantean las cuestiones de inconstitucionalidad a los que corresponde comprobar y exteriorizar, </w:t>
      </w:r>
      <w:r w:rsidRPr="001D6FAE">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(por todas, por ejemplo, STC 60/2013, de 13 de marzo, FJ 1).</w:t>
      </w:r>
    </w:p>
    <w:p w:rsidR="001D6FAE" w:rsidRDefault="001D6FAE" w:rsidP="001D6FAE">
      <w:pPr>
        <w:pStyle w:val="TextoNormal"/>
      </w:pPr>
    </w:p>
    <w:p w:rsidR="001D6FAE" w:rsidRDefault="001D6FAE" w:rsidP="001D6FAE">
      <w:pPr>
        <w:pStyle w:val="TextoNormal"/>
      </w:pPr>
      <w:r>
        <w:t>Por tanto, aunque es a los órganos judiciales a quienes corresponde formular el referido juicio sobre el que este Tribunal únicamente ejerce un “control meramente externo” (STC 115/2009, de 18 de mayo, FJ 2), que se concreta en que “no puede ponderar o revisar tal apreciación del propio órgano judicial sobre las normas que en cada caso estime aplicables, a salvo el supuesto … de que el criterio que así se exponga resulte con toda evidencia errado” (SSTC 18/2014, de 30 de enero, FJ 3; y 40/2014, de 11 de marzo, FJ 2), existen supuestos en los que, en el ejercicio de nuestras facultades de control externo del juicio de aplicabilidad y de relevancia formulado al plantear la cuestión de inconstitucionalidad, procedemos a declarar la inadmisibilidad de la cuestión por resultar notoriamente inconsistente o equivocada la argumentación judicial sobre la aplicabilidad al caso de la norma cuestionada.</w:t>
      </w:r>
    </w:p>
    <w:p w:rsidR="001D6FAE" w:rsidRDefault="001D6FAE" w:rsidP="001D6FAE">
      <w:pPr>
        <w:pStyle w:val="TextoNormal"/>
      </w:pPr>
    </w:p>
    <w:p w:rsidR="001D6FAE" w:rsidRDefault="001D6FAE" w:rsidP="001D6FAE">
      <w:pPr>
        <w:pStyle w:val="TextoNormal"/>
      </w:pPr>
      <w:r w:rsidRPr="001D6FAE">
        <w:rPr>
          <w:rStyle w:val="NumeroAFNegritaCaracter"/>
        </w:rPr>
        <w:t>3</w:t>
      </w:r>
      <w:r>
        <w:t>. Atendiendo a todo ello, y en relación concretamente con la objeción que aquí formula el Ministerio Fiscal, nos hemos pronunciado en nuestros precedentes sobre situaciones asimilables a la que ahora se suscita. De la STC 84/2012, de 18 de abril, FJ 3, como, entre otros, del ATC 39/2012, de 28 de febrero, FJ 5, se sigue la necesidad que en el Auto de planteamiento de la cuestión de inconstitucionalidad se incluya un declaración del órgano judicial que, aunque provisional, garantice que, una vez valorados otros parámetros legales aducidos por las partes —en esta ocasión los que invocó la Abogada de la Generalitat en su escrito de 16 de marzo de 2016—, la resolución del proceso judicial depende real y efectivamente de la constitucionalidad de las normas cuestionadas.</w:t>
      </w:r>
    </w:p>
    <w:p w:rsidR="001D6FAE" w:rsidRDefault="001D6FAE" w:rsidP="001D6FAE">
      <w:pPr>
        <w:pStyle w:val="TextoNormal"/>
      </w:pPr>
    </w:p>
    <w:p w:rsidR="001D6FAE" w:rsidRDefault="001D6FAE" w:rsidP="001D6FAE">
      <w:pPr>
        <w:pStyle w:val="TextoNormal"/>
      </w:pPr>
      <w:r>
        <w:t>Esta exigencia, sin embargo, no se ha cumplido por el Juzgado de lo Social que promueve la presente cuestión de inconstitucionalidad. En efecto, el Auto de planteamiento no despeja la objeción que formuló en el trámite de alegaciones la Abogada de la Generalitat, que consideró que no resultaban de aplicación a los actores los dos últimos párrafos del art. 31.6 de la Ley 13/2009, ya que éstos vendrían referidos, exclusivamente, al personal laboral y no funcionario de las “entidades de derecho público dependientes de la Generalitat”, y no a los de una sociedad mercantil pública valenciana como Radio Televisión Valenciana, S.A.</w:t>
      </w:r>
    </w:p>
    <w:p w:rsidR="001D6FAE" w:rsidRDefault="001D6FAE" w:rsidP="001D6FAE">
      <w:pPr>
        <w:pStyle w:val="TextoNormal"/>
      </w:pPr>
    </w:p>
    <w:p w:rsidR="001D6FAE" w:rsidRDefault="001D6FAE" w:rsidP="001D6FAE">
      <w:pPr>
        <w:pStyle w:val="TextoNormal"/>
      </w:pPr>
      <w:r>
        <w:t>En relación con ese encuadramiento del supuesto de hecho en el ámbito subjetivo de la norma, en efecto, incurre el Auto de planteamiento en sucesivas incoherencias, pues estima la contradicción entre la norma estatal básica y la autonómica cuestionada partiendo, en unas ocasiones, de que los recurrentes son personal no directivo de una “entidad de derecho público dependiente de la Generalitat”, y en otras de que lo son de una “sociedad mercantil pública”, lo que a la vista del Real Decreto-ley 8/2010 no puede ser lo mismo, predicando por lo demás la colisión entre el inciso de la norma cuestionada que alude al personal laboral y no funcionario de entidades de derecho público y el de la disposición adicional novena de la norma estatal citada, que regula en cambio el régimen jurídico para el personal laboral no directivo de sociedades mercantiles públicas. La necesidad de despejar tal objeción de la Generalitat resultaba si cabe más necesaria atendiendo a que, entre los demandados en el proceso judicial, se encontraban sociedades mercantiles pero también el ente público de Radio Televisión Valenciana-CPV.</w:t>
      </w:r>
    </w:p>
    <w:p w:rsidR="001D6FAE" w:rsidRDefault="001D6FAE" w:rsidP="001D6FAE">
      <w:pPr>
        <w:pStyle w:val="TextoNormal"/>
      </w:pPr>
    </w:p>
    <w:p w:rsidR="001D6FAE" w:rsidRDefault="001D6FAE" w:rsidP="001D6FAE">
      <w:pPr>
        <w:pStyle w:val="TextoNormal"/>
      </w:pPr>
      <w:r>
        <w:t>Conforme el ámbito subjetivo definido en la norma estatal básica, por tanto, la determinación clara de la naturaleza jurídica de las demandadas era un elemento inexcusable para dar satisfacción a la objeción de la Generalitat y, con ello, al juicio de aplicabilidad y relevancia de la norma autonómica en el proceso. En otras palabras, sólo con ese dato despejado era posible abrir el debate sobre la excepción al régimen general establecida en la disposición adicional novena del Real Decreto-ley 8/2010 y su supuesta contradicción en la Ley valenciana; esto es, una vez aclarado si nos situamos en el marco de una sociedad mercantil de las previstas en el art. 22.1 g) de la Ley 26/2009, al que remite la disposición adicional novena (“las sociedades mercantiles públicas que perciban aportaciones de cualquier naturaleza con cargo a los presupuestos públicos o con cargo a los presupuestos de los entes o sociedades que pertenezcan al sector público destinadas a cubrir déficit de explotación”), o ante una entidad pública empresarial de las previstas en el art. 22.1 h) de la citada Ley 26/2009 (“las entidades públicas empresariales y el resto de los organismos públicos y entes del sector público estatal, autonómico y local”), con los consiguientes efectos en el supuesto de hecho.</w:t>
      </w:r>
    </w:p>
    <w:p w:rsidR="001D6FAE" w:rsidRDefault="001D6FAE" w:rsidP="001D6FAE">
      <w:pPr>
        <w:pStyle w:val="TextoNormal"/>
      </w:pPr>
    </w:p>
    <w:p w:rsidR="001D6FAE" w:rsidRDefault="001D6FAE" w:rsidP="001D6FAE">
      <w:pPr>
        <w:pStyle w:val="TextoNormal"/>
      </w:pPr>
      <w:r>
        <w:t>Sin embargo, el órgano judicial que eleva la cuestión de inconstitucionalidad no atendió a la objeción formulada, a diferencia de lo que hemos podido advertir en otros asuntos (STC 207/2014, de 15 de diciembre, señaladamente). Por ello, debe rechazarse en este trámite la presente cuestión de inconstitucionalidad; el órgano judicial duda de la constitucionalidad de un precepto legal pero no razona, pese a la objeción que en el trámite de alegaciones le fue puesta de manifiesto, por qué o cómo quedaría sujeta la resolución del litigio a su tenor literal. Esto así, resulta evidente el paralelismo entre los déficits apreciados en los pronunciamientos del Tribunal Constitucional reseñados anteriormente y los que se revelan en la cuestión de inconstitucionalidad ahora enjuiciada, pues también en esta ocasión, teniendo el órgano judicial conocimiento de dicha objeción por haber sido puesta de relieve en las alegaciones del trámite del art. 35.2 LOTC, rehúye emitir su propio juicio sobre el particular. De este modo, el órgano promotor se desentiende o, en su caso, pospone la resolución de este aspecto controvertido a un momento posterior al planteamiento de la cuestión de inconstitucionalidad, y abre la posibilidad con ello de que un pronunciamiento del Tribunal Constitucional acabe resultando innecesario o indiferente para la decisión del proceso.</w:t>
      </w:r>
    </w:p>
    <w:p w:rsidR="001D6FAE" w:rsidRDefault="001D6FAE" w:rsidP="001D6FAE">
      <w:pPr>
        <w:pStyle w:val="TextoNormal"/>
      </w:pPr>
    </w:p>
    <w:p w:rsidR="001D6FAE" w:rsidRDefault="001D6FAE" w:rsidP="001D6FAE">
      <w:pPr>
        <w:pStyle w:val="TextoNormal"/>
      </w:pPr>
      <w:r>
        <w:t>En definitiva, a la luz de la doctrina constitucional expuesta, se concluye que no se han satisfecho suficientemente los juicios de aplicabilidad y relevancia exigidos por el art. 35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la presente cuestión de inconstitucionalidad.</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4" w:name="AUTO_2016_160"/>
      <w:r>
        <w:t>AUTO 160/2016, de 20 de septiembre de 2016</w:t>
      </w:r>
    </w:p>
    <w:bookmarkEnd w:id="134"/>
    <w:p w:rsidR="001D6FAE" w:rsidRDefault="001D6FAE" w:rsidP="001D6FAE">
      <w:pPr>
        <w:pStyle w:val="TtuloResolucin"/>
      </w:pPr>
      <w:r>
        <w:t>Pleno</w:t>
      </w:r>
    </w:p>
    <w:p w:rsidR="001D6FAE" w:rsidRDefault="001D6FAE" w:rsidP="001D6FAE">
      <w:pPr>
        <w:pStyle w:val="TextoNormalCentrado"/>
      </w:pPr>
      <w:r>
        <w:t>ECLI:ES:TC:2016:160A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Mantiene la suspensión en el recurso de inconstitucionalidad 2501-2016, interpuesto por el Presidente del Gobierno en relación con diversos preceptos de la Ley del Parlamento de Cataluña 24/2015, de 29 de julio, de medidas urgentes para afrontar la emergencia en el ámbito de la vivienda y la pobreza energética. Voto particular.</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presentado en el Registro General de este Tribunal el 5 de mayo de 2016, el Abogado del Estado, en nombre del Presidente del Gobierno, interpuso recurso de inconstitucionalidad contra los arts. 2 (apartado 2), 3, 4, 5 (apartados 1, 2, 3, 4 y 9) y 7, la disposición adicional, la disposición transitoria segunda (apartado primero y apartado segundo en lo que se refiere a la aplicación del art. 7) y la disposición final tercera de la Ley del Parlamento de Cataluña 24/2015, de 29 de julio, de medidas urgentes para afrontar la emergencia en el ámbito de la vivienda y la pobreza energética (publicada en el “Diario Oficial de la Generalitat de Cataluña” núm. 6.928, de 5 de agosto de 2015). El Abogado del Estado invocó el art. 161.2 CE y el art. 30 de la Ley Orgánica del Tribunal Constitucional (LOTC), a fin de que se produjese la suspensión de los preceptos legales impugnados.</w:t>
      </w:r>
    </w:p>
    <w:p w:rsidR="001D6FAE" w:rsidRDefault="001D6FAE" w:rsidP="001D6FAE">
      <w:pPr>
        <w:pStyle w:val="TextoNormal"/>
      </w:pPr>
    </w:p>
    <w:p w:rsidR="001D6FAE" w:rsidRDefault="001D6FAE" w:rsidP="001D6FAE">
      <w:pPr>
        <w:pStyle w:val="TextoNormal"/>
      </w:pPr>
      <w:r w:rsidRPr="001D6FAE">
        <w:rPr>
          <w:rStyle w:val="NumeroAFNegritaCaracter"/>
        </w:rPr>
        <w:t>2</w:t>
      </w:r>
      <w:r>
        <w:t>. Por providencia de 24 mayo de 2016 el Pleno del Tribunal acordó admitir a trámite el recurso de inconstitucionalidad, dar traslado de la demanda y documentos presentados, conforme establece el art. 34 LOTC, al Congreso de los Diputados y al Senado, así como al Gobierno y al Parlamento de Cataluña,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y en el “Diario Oficial de la Generalitat de Cataluña”.</w:t>
      </w:r>
    </w:p>
    <w:p w:rsidR="001D6FAE" w:rsidRDefault="001D6FAE" w:rsidP="001D6FAE">
      <w:pPr>
        <w:pStyle w:val="TextoNormal"/>
      </w:pPr>
    </w:p>
    <w:p w:rsidR="001D6FAE" w:rsidRDefault="001D6FAE" w:rsidP="001D6FAE">
      <w:pPr>
        <w:pStyle w:val="TextoNormal"/>
      </w:pPr>
      <w:r w:rsidRPr="001D6FAE">
        <w:rPr>
          <w:rStyle w:val="NumeroAFNegritaCaracter"/>
        </w:rPr>
        <w:t>3</w:t>
      </w:r>
      <w:r>
        <w:t>. Mediante escrito registrado en este Tribunal el 8 de junio de 2016, la Abogada de la Generalitat de Cataluña comparece en el proceso, en la representación que legalmente ostenta, y solicita que se le conceda prórroga del plazo para formular alegaciones; petición a la que accedió el Pleno del Tribunal mediante providencia de 9 de junio de 2016, prorrogándole por ocho días más el plazo de alegaciones inicialmente conferido, a contar desde su expiración.</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escrito registrado en este Tribunal el 9 de junio de 2016, el Letrado del Parlamento de Cataluña comparece en el proceso, en la representación que legalmente ostenta, y solicita que se le conceda prórroga del plazo para formular alegaciones; petición a la que accedió el Pleno del Tribunal mediante providencia de 10 de junio de 2016, prorrogándole por ocho días más el plazo de alegaciones inicialmente conferido, a contar desde su expiración.</w:t>
      </w:r>
    </w:p>
    <w:p w:rsidR="001D6FAE" w:rsidRDefault="001D6FAE" w:rsidP="001D6FAE">
      <w:pPr>
        <w:pStyle w:val="TextoNormal"/>
      </w:pPr>
    </w:p>
    <w:p w:rsidR="001D6FAE" w:rsidRDefault="001D6FAE" w:rsidP="001D6FAE">
      <w:pPr>
        <w:pStyle w:val="TextoNormal"/>
      </w:pPr>
      <w:r w:rsidRPr="001D6FAE">
        <w:rPr>
          <w:rStyle w:val="NumeroAFNegritaCaracter"/>
        </w:rPr>
        <w:t>5</w:t>
      </w:r>
      <w:r>
        <w:t>. Por escritos registrados en el Tribunal Constitucional el 10 y el 20 de junio de 2016, respectivamente, los Presidentes del Congreso de los Diputados y del Senado comunican el acuerdo de la Mesa de sus respectivas Cámaras de personarse en el proceso, ofreciendo su colaboración a los efectos del art. 88.1 LOTC.</w:t>
      </w:r>
    </w:p>
    <w:p w:rsidR="001D6FAE" w:rsidRDefault="001D6FAE" w:rsidP="001D6FAE">
      <w:pPr>
        <w:pStyle w:val="TextoNormal"/>
      </w:pPr>
    </w:p>
    <w:p w:rsidR="001D6FAE" w:rsidRDefault="001D6FAE" w:rsidP="001D6FAE">
      <w:pPr>
        <w:pStyle w:val="TextoNormal"/>
      </w:pPr>
      <w:r w:rsidRPr="001D6FAE">
        <w:rPr>
          <w:rStyle w:val="NumeroAFNegritaCaracter"/>
        </w:rPr>
        <w:t>6</w:t>
      </w:r>
      <w:r>
        <w:t>. Con fecha 24 de junio de 2016 tuvo entrada en este Tribunal un escrito presentado por el Procurador de los Tribunales don Felipe Bermejo Valiente, quien pretende comparecer en el recurso de inconstitucionalidad en nombre de doña S.C.B. y de don M.A.; petición rechazada por el Pleno del Tribunal mediante providencia de 19 de julio de 2016, por no estar legitimados para ser parte en este proceso constitucional, de conformidad con lo dispuesto en el art. 32 LOTC.</w:t>
      </w:r>
    </w:p>
    <w:p w:rsidR="001D6FAE" w:rsidRDefault="001D6FAE" w:rsidP="001D6FAE">
      <w:pPr>
        <w:pStyle w:val="TextoNormal"/>
      </w:pPr>
    </w:p>
    <w:p w:rsidR="001D6FAE" w:rsidRDefault="001D6FAE" w:rsidP="001D6FAE">
      <w:pPr>
        <w:pStyle w:val="TextoNormal"/>
      </w:pPr>
      <w:r w:rsidRPr="001D6FAE">
        <w:rPr>
          <w:rStyle w:val="NumeroAFNegritaCaracter"/>
        </w:rPr>
        <w:t>7</w:t>
      </w:r>
      <w:r>
        <w:t>. Mediante escrito registrado en este Tribunal el 6 de julio de 2016, la Abogada de la Generalitat de Cataluña procedió a formular alegaciones en el presente recurso de inconstitucionalidad, interesando su desestimación. Mediante otrosí solicitó el levantamiento inmediato de la suspensión de la vigencia y aplicación de los preceptos legales impugnados, por las razones que seguidamente se indican.</w:t>
      </w:r>
    </w:p>
    <w:p w:rsidR="001D6FAE" w:rsidRDefault="001D6FAE" w:rsidP="001D6FAE">
      <w:pPr>
        <w:pStyle w:val="TextoNormal"/>
      </w:pPr>
    </w:p>
    <w:p w:rsidR="001D6FAE" w:rsidRDefault="001D6FAE" w:rsidP="001D6FAE">
      <w:pPr>
        <w:pStyle w:val="TextoNormal"/>
      </w:pPr>
      <w:r>
        <w:t>Alude en primer lugar a la conocida y reiterada doctrina constitucional conforme a la cual el levantamiento anticipado de la suspensión, sin esperar al transcurso de los cinco meses previstos en el art. 161.2 CE, resulta viable procesalmente; pues los cinco meses a los que hace referencia el citado precepto constitucional son, precisamente, el límite máximo inicialmente previsto para la suspensión, incluyéndose entre las potestades de este Tribunal la de ratificar o levantar la suspensión dentro de ese plazo.</w:t>
      </w:r>
    </w:p>
    <w:p w:rsidR="001D6FAE" w:rsidRDefault="001D6FAE" w:rsidP="001D6FAE">
      <w:pPr>
        <w:pStyle w:val="TextoNormal"/>
      </w:pPr>
    </w:p>
    <w:p w:rsidR="001D6FAE" w:rsidRDefault="001D6FAE" w:rsidP="001D6FAE">
      <w:pPr>
        <w:pStyle w:val="TextoNormal"/>
      </w:pPr>
      <w:r>
        <w:t>Asimismo invoca la consolidada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de las terceros afectados; así como a la carga que pesa sobre el Abogado del Estado de acreditar o, como mínimo, razonar consistentemente, la concurrencia de los graves perjuicios de imposible o muy difícil reparación invocados para mantener la suspensión de la ley impugnada. Por otra parte, el Tribunal Constitucional debe efectuar su ponderación al margen de la viabilidad de las pretensiones que se formulan en la demanda y de las consideraciones sobre la cuestión de fondo del proceso, que resultan ajenas a dicha valoración.</w:t>
      </w:r>
    </w:p>
    <w:p w:rsidR="001D6FAE" w:rsidRDefault="001D6FAE" w:rsidP="001D6FAE">
      <w:pPr>
        <w:pStyle w:val="TextoNormal"/>
      </w:pPr>
    </w:p>
    <w:p w:rsidR="001D6FAE" w:rsidRDefault="001D6FAE" w:rsidP="001D6FAE">
      <w:pPr>
        <w:pStyle w:val="TextoNormal"/>
      </w:pPr>
      <w:r>
        <w:t>Conforme a dicha doctrina constitucional considera la Abogada de la Generalitat que, de no acreditarse por la Abogacía del Estado graves perjuicios de imposible o muy difícil reparación, la presunción de constitucionalidad de la ley debe conducir al levantamiento de la suspensión de los preceptos impugnados de la Ley catalana 24/2015, de medidas urgentes para afrontar la emergencia en el ámbito de la vivienda y la pobreza energética; su objetivo es establecer una serie de medidas encaminadas a preservar el derecho constitucional de acceso a una vivienda digna de los ciudadanos que tienen graves dificultades para ello.</w:t>
      </w:r>
    </w:p>
    <w:p w:rsidR="001D6FAE" w:rsidRDefault="001D6FAE" w:rsidP="001D6FAE">
      <w:pPr>
        <w:pStyle w:val="TextoNormal"/>
      </w:pPr>
    </w:p>
    <w:p w:rsidR="001D6FAE" w:rsidRDefault="001D6FAE" w:rsidP="001D6FAE">
      <w:pPr>
        <w:pStyle w:val="TextoNormal"/>
      </w:pPr>
      <w:r>
        <w:t>Esas medidas consisten, por un lado, en configurar unos procedimientos de la legislación de consumo dirigidos a la obtención rápida de acuerdos entre acreedores y deudores por las deudas relacionadas con la vivienda habitual de estos y, por otro, en establecer, a través de la legislación de vivienda, la obligación de determinadas personas jurídicas de facilitar un alquiler social a las personas que perderán la vivienda habitual por no poder pagar sus deudas, así como de ceder sus viviendas vacías con el objetivo de destinarlas a alquiler social de los sectores de población más desfavorecidos y en situación de exclusión social. Alude en este sentido a una información publicada el 9 de octubre de 2015 en un diario de tirada nacional, en la que se hace referencia a la incidencia del problema de acceso a la vivienda, agravado por los efectos de la crisis económica, sobre la salud de las personas.</w:t>
      </w:r>
    </w:p>
    <w:p w:rsidR="001D6FAE" w:rsidRDefault="001D6FAE" w:rsidP="001D6FAE">
      <w:pPr>
        <w:pStyle w:val="TextoNormal"/>
      </w:pPr>
    </w:p>
    <w:p w:rsidR="001D6FAE" w:rsidRDefault="001D6FAE" w:rsidP="001D6FAE">
      <w:pPr>
        <w:pStyle w:val="TextoNormal"/>
      </w:pPr>
      <w:r w:rsidRPr="001D6FAE">
        <w:rPr>
          <w:rStyle w:val="NumeroAFNegritaCaracter"/>
        </w:rPr>
        <w:t>8</w:t>
      </w:r>
      <w:r>
        <w:t>. El Letrado del Parlamento de Cataluña presentó el 6 de julio de 2016 el escrito de alegaciones en el presente recurso de inconstitucionalidad, interesando su desestimación. Mediante otrosí solicitó el levantamiento inmediato de la suspensión de la vigencia y aplicación de los preceptos legales impugnados, por las razones que seguidamente se indican.</w:t>
      </w:r>
    </w:p>
    <w:p w:rsidR="001D6FAE" w:rsidRDefault="001D6FAE" w:rsidP="001D6FAE">
      <w:pPr>
        <w:pStyle w:val="TextoNormal"/>
      </w:pPr>
    </w:p>
    <w:p w:rsidR="001D6FAE" w:rsidRDefault="001D6FAE" w:rsidP="001D6FAE">
      <w:pPr>
        <w:pStyle w:val="TextoNormal"/>
      </w:pPr>
      <w:r>
        <w:t>Alude a la doctrina constitucional conforme a la cual el levantamiento anticipado de la suspensión, sin esperar al transcurso de los cinco meses previstos en el art. 161.2 CE, resulta viable procesalmente; ese plazo es el límite máximo inicialmente previsto para la suspensión, incluyéndose entre las potestades del Tribunal Constitucional la de ratificar o levantar la suspensión dentro del mismo. Asimismo tiene señalado esa doctrina que la decisión de este Tribunal sobre la ratificación o el alzamiento de la suspensión de la ley autonómica impugnada debe atender a la presunción de legitimidad de las leyes y a la ponderación de los intereses perjudicados por la suspensión; así como a la carga que pesa sobre el Abogado del Estado de acreditar, o al menos razonar consistentemente, la concurrencia de los perjuicios de imposible o muy difícil reparación invocados para mantener la suspensión. Además, el Tribunal debe efectuar su ponderación al margen de la viabilidad de las pretensiones que se formulan en la demanda y de las consideraciones sobre el fondo del proceso, que resultan ajenas a dicha valoración.</w:t>
      </w:r>
    </w:p>
    <w:p w:rsidR="001D6FAE" w:rsidRDefault="001D6FAE" w:rsidP="001D6FAE">
      <w:pPr>
        <w:pStyle w:val="TextoNormal"/>
      </w:pPr>
    </w:p>
    <w:p w:rsidR="001D6FAE" w:rsidRDefault="001D6FAE" w:rsidP="001D6FAE">
      <w:pPr>
        <w:pStyle w:val="TextoNormal"/>
      </w:pPr>
      <w:r>
        <w:t>De conformidad con esta consolidada doctrina constitucional considera el Letrado del Parlamento de Cataluña que no existen razones para el mantenimiento de la suspensión de los preceptos impugnados de la Ley 24/2015, de medidas urgentes para afrontar la emergencia en el ámbito de la vivienda y la pobreza energética.</w:t>
      </w:r>
    </w:p>
    <w:p w:rsidR="001D6FAE" w:rsidRDefault="001D6FAE" w:rsidP="001D6FAE">
      <w:pPr>
        <w:pStyle w:val="TextoNormal"/>
      </w:pPr>
    </w:p>
    <w:p w:rsidR="001D6FAE" w:rsidRDefault="001D6FAE" w:rsidP="001D6FAE">
      <w:pPr>
        <w:pStyle w:val="TextoNormal"/>
      </w:pPr>
      <w:r>
        <w:t>Señala que las medidas contenidas en los preceptos de la Ley 24/2015 que se impugnan en el presente recurso tienen un propósito de protección de las personas o unidades familiares especialmente afectadas por la crisis económica y en riesgo de perder su vivienda habitual. Comparten este propósito con otras medidas legislativas estatales al respecto, pero van más allá, pues no ofrecen solo una solución temporal (aplazar los desahucios), sino que, sin oponerse a las medidas estatales, pretenden establecer instrumentos para conseguir el realojamiento de las personas afectadas, en los casos más graves, en otras viviendas, aunque ello conlleve una cierta carga para determinados propietarios. Consideran que estos están en disposición de asumir esa carga, dados los activos inmobiliarios de que disponen y teniendo en cuenta, además, que las Administraciones públicas no tienen toda la capacidad necesaria para dar solución a este problema con su parque inmobiliario, reducido y que requiere un plazo extenso para poder ser utilizado. Por todo ello, puesto que las medidas estatales no son suficientes y habida cuenta de la especial intensidad del problema de la vivienda en Cataluña, se ha adoptado una regulación como la que es objeto de recurso, en el marco de las competencias autonómicas sobre vivienda, consumo y Derecho civil.</w:t>
      </w:r>
    </w:p>
    <w:p w:rsidR="001D6FAE" w:rsidRDefault="001D6FAE" w:rsidP="001D6FAE">
      <w:pPr>
        <w:pStyle w:val="TextoNormal"/>
      </w:pPr>
    </w:p>
    <w:p w:rsidR="001D6FAE" w:rsidRDefault="001D6FAE" w:rsidP="001D6FAE">
      <w:pPr>
        <w:pStyle w:val="TextoNormal"/>
      </w:pPr>
      <w:r>
        <w:t>El mantenimiento de la suspensión de los preceptos impugnados impediría o dificultaría dar solución a la falta de vivienda de familias desalojadas o cuyo desalojo se prevé próximo, causando graves perjuicios sociales; por el contrario, el levantamiento de la suspensión no perjudicaría tan gravemente a la economía de los bancos o los fondos de inversión en activos inmobiliarios, pues durante el periodo en que la Ley 24/2015 ha desplegado sus efectos no existe constancia de que esas entidades hayan sufrido un impacto negativo en su negocio y tampoco de que se hayan producido perjuicios en el mercado inmobiliario o hipotecario. Añade que la Ley 24/2015 no ha impedido ni obstaculizado la aplicación de las medidas legislativas estatales adoptadas con una finalidad similar, por lo que perfectamente pueden seguir conviviendo unas y otras normas, estatales y autonómicas, contribuyendo a paliar un problema social tan importante como es el del acceso a la vivienda.</w:t>
      </w:r>
    </w:p>
    <w:p w:rsidR="001D6FAE" w:rsidRDefault="001D6FAE" w:rsidP="001D6FAE">
      <w:pPr>
        <w:pStyle w:val="TextoNormal"/>
      </w:pPr>
    </w:p>
    <w:p w:rsidR="001D6FAE" w:rsidRDefault="001D6FAE" w:rsidP="001D6FAE">
      <w:pPr>
        <w:pStyle w:val="TextoNormal"/>
      </w:pPr>
      <w:r w:rsidRPr="001D6FAE">
        <w:rPr>
          <w:rStyle w:val="NumeroAFNegritaCaracter"/>
        </w:rPr>
        <w:t>9</w:t>
      </w:r>
      <w:r>
        <w:t>. Por providencia de 7 de julio de 2016 el Pleno del Tribunal acordó incorporar a las actuaciones los escritos de alegaciones presentados por la Abogada de la Generalitat de Cataluña y el Letrado del Parlamento de Cataluña, así como oír al Abogado del Estado sobre la solicitud de levantamiento de la suspensión de la vigencia y aplicación de los preceptos impugnados, para que, en el plazo de cinco días, exponga lo que consideren procedente al respecto.</w:t>
      </w:r>
    </w:p>
    <w:p w:rsidR="001D6FAE" w:rsidRDefault="001D6FAE" w:rsidP="001D6FAE">
      <w:pPr>
        <w:pStyle w:val="TextoNormal"/>
      </w:pPr>
    </w:p>
    <w:p w:rsidR="001D6FAE" w:rsidRDefault="001D6FAE" w:rsidP="001D6FAE">
      <w:pPr>
        <w:pStyle w:val="TextoNormal"/>
      </w:pPr>
      <w:r w:rsidRPr="001D6FAE">
        <w:rPr>
          <w:rStyle w:val="NumeroAFNegritaCaracter"/>
        </w:rPr>
        <w:t>10</w:t>
      </w:r>
      <w:r>
        <w:t>. El Abogado del Estado, mediante escrito registrado en este Tribunal el 18 de julio de 2016, interesó el mantenimiento de la suspensión de los preceptos legales impugnados con fundamento en las alegaciones siguientes.</w:t>
      </w:r>
    </w:p>
    <w:p w:rsidR="001D6FAE" w:rsidRDefault="001D6FAE" w:rsidP="001D6FAE">
      <w:pPr>
        <w:pStyle w:val="TextoNormal"/>
      </w:pPr>
    </w:p>
    <w:p w:rsidR="001D6FAE" w:rsidRDefault="001D6FAE" w:rsidP="001D6FAE">
      <w:pPr>
        <w:pStyle w:val="TextoNormal"/>
      </w:pPr>
      <w:r>
        <w:t>a) Tras recordar la doctrina constitucional relativa a los incidentes de suspensión de leyes autonómicas, afirma el Abogado del Estado que el levantamiento de la suspensión de los preceptos impugnados de la Ley catalana 24/2015 ocasionaría graves e irreparables perjuicios en materia de vivienda.</w:t>
      </w:r>
    </w:p>
    <w:p w:rsidR="001D6FAE" w:rsidRDefault="001D6FAE" w:rsidP="001D6FAE">
      <w:pPr>
        <w:pStyle w:val="TextoNormal"/>
      </w:pPr>
    </w:p>
    <w:p w:rsidR="001D6FAE" w:rsidRDefault="001D6FAE" w:rsidP="001D6FAE">
      <w:pPr>
        <w:pStyle w:val="TextoNormal"/>
      </w:pPr>
      <w:r>
        <w:t>Fundamenta sus alegaciones en los informes que adjunta a su escrito, elaborados por el Ministerio de Economía y Competitividad y el Banco de España. Estos consideran que las medidas que se contienen en los preceptos impugnados de la Ley catalana 24/2015 tienen un considerable impacto negativo sobre la situación financiera de las entidades bancarias, el crédito hipotecario, el mercado de cédulas hipotecarias y los compromisos internacionales asumidos por España, fundamentalmente en el memorando de entendimiento firmado el 20 de julio de 2012 y su seguimiento, en el marco de la ayuda financiera otorgada a nuestro país por la Unión Europea. Especialmente, el levantamiento de la suspensión provocará efectos perniciosos en la actividad y el plan de negocio de la SAREB (Sociedad de Gestión de Activos Procedentes de la Reestructuración Bancaria), cuyo éxito es garantía de que la reestructuración de las entidades de crédito que se ha realizado en los últimos meses se realiza mediante un adecuado reparto de costes y minimizando el riesgo para los contribuyentes.</w:t>
      </w:r>
    </w:p>
    <w:p w:rsidR="001D6FAE" w:rsidRDefault="001D6FAE" w:rsidP="001D6FAE">
      <w:pPr>
        <w:pStyle w:val="TextoNormal"/>
      </w:pPr>
    </w:p>
    <w:p w:rsidR="001D6FAE" w:rsidRDefault="001D6FAE" w:rsidP="001D6FAE">
      <w:pPr>
        <w:pStyle w:val="TextoNormal"/>
      </w:pPr>
      <w:r>
        <w:t>De dichos informes resulta asimismo que la eventual aplicación de los preceptos de la Ley impugnada puede determinar un incremento de los costes de reestructuración asumidos por el Estado sin añadir un mayor nivel de protección social a los deudores hipotecarios sin recursos respecto de la protección ya garantizada por la normativa estatal en vigor. Todo ello en un contexto como el actual, en el que resulta imprescindible proseguir con los esfuerzos y extremar la vigilancia con el fin de proteger la estabilización definitiva del sector financiero español en un entorno económico todavía adverso.</w:t>
      </w:r>
    </w:p>
    <w:p w:rsidR="001D6FAE" w:rsidRDefault="001D6FAE" w:rsidP="001D6FAE">
      <w:pPr>
        <w:pStyle w:val="TextoNormal"/>
      </w:pPr>
    </w:p>
    <w:p w:rsidR="001D6FAE" w:rsidRDefault="001D6FAE" w:rsidP="001D6FAE">
      <w:pPr>
        <w:pStyle w:val="TextoNormal"/>
      </w:pPr>
      <w:r>
        <w:t>Señala también que el contenido de los preceptos impugnados de la Ley catalana 24/2015 es muy similar, aunque no coincida exactamente, con el de otras leyes autonómicas semejantes dictadas con la misma finalidad; todas ellas impugnadas ante este Tribunal por el Presidente del Gobierno. Es el caso del Decreto-ley andaluz 6/2013, de 9 de abril, (luego sustituido por la Ley de Andalucía 4/2013, de 1 de octubre, de medidas para asegurar el cumplimiento de la función social de la vivienda), declarado parcialmente inconstitucional por la STC 93/2015, de 14 de mayo. También la Ley Foral 24/2013, de 2 de julio, de medidas urgentes para garantizar el derecho a la vivienda en Navarra; la Ley 2/2014, de 20 de junio, de modificación de la Ley 2/2003, de 30 de enero, de vivienda de Canarias y de medidas para garantizar el derecho a la vivienda; y la Ley del Parlamento vasco 3/2015, 18 de junio, de vivienda. Así, en esas leyes autonómicas se regula un procedimiento para la declaración de una vivienda deshabitada, la expropiación forzosa del uso de la vivienda atendiendo a circunstancias especiales de emergencia social, un régimen sancionador por incumplimiento de determinadas obligaciones previstas en las respectivas leyes, así como la cesión obligatoria de viviendas para su incorporación a un fondo de viviendas.</w:t>
      </w:r>
    </w:p>
    <w:p w:rsidR="001D6FAE" w:rsidRDefault="001D6FAE" w:rsidP="001D6FAE">
      <w:pPr>
        <w:pStyle w:val="TextoNormal"/>
      </w:pPr>
    </w:p>
    <w:p w:rsidR="001D6FAE" w:rsidRDefault="001D6FAE" w:rsidP="001D6FAE">
      <w:pPr>
        <w:pStyle w:val="TextoNormal"/>
      </w:pPr>
      <w:r>
        <w:t>En el caso de los preceptos impugnados de la Ley catalana 24/2015 se prevén, en primer lugar, medidas contra el sobreendeudamiento de los deudores hipotecarios mediante un procedimiento extrajudicial gestionado por comisiones específicas (artículo 2.2) y un procedimiento judicial simplificado (artículo 3); procedimientos a los que también pueden acogerse los fiadores (artículo 4). En segundo lugar, medidas para evitar los desahucios, entre las que se encuentra la obligación, que se impone a determinadas personas jurídicas (lo que afecta esencialmente a las entidades bancarias), de ofrecer un alquiler social, por un periodo mínimo de tres años, a personas o unidades familiares que no tengan una alternativa propia de vivienda y que estén dentro de los parámetros de riesgo de exclusión social definidos por la propia Ley 24/2015. Se prevé la imposición de sanciones para el caso de incumplimiento de esa obligación (artículo 5, disposición transitoria segunda y disposición final tercera). En tercer lugar, la medida consistente en facultar a la Administración para imponer a determinadas personas jurídicas la cesión obligatoria de las viviendas vacías de las que sean propietarias, por un periodo de tres años, para incorporarlas a un fondo de viviendas en alquiler para políticas sociales, en beneficio de las personas en situaciones de riesgo de exclusión residencial definidas por la propia Ley (artículo 7). Finalmente, la medida consistente en que, en caso de cesión de un crédito garantizado con la vivienda del deudor, este podrá liberarse de la deuda abonando al cesionario el precio que haya pagado más los intereses legales y los gastos que haya causado la reclamación de la deuda (disposición adicional).</w:t>
      </w:r>
    </w:p>
    <w:p w:rsidR="001D6FAE" w:rsidRDefault="001D6FAE" w:rsidP="001D6FAE">
      <w:pPr>
        <w:pStyle w:val="TextoNormal"/>
      </w:pPr>
    </w:p>
    <w:p w:rsidR="001D6FAE" w:rsidRDefault="001D6FAE" w:rsidP="001D6FAE">
      <w:pPr>
        <w:pStyle w:val="TextoNormal"/>
      </w:pPr>
      <w:r>
        <w:t>Argumenta asimismo el Abogado del Estado que la proliferación de este tipo de leyes autonómicas en materia de vivienda produce un efecto acumulativo, al comprender gran parte del territorio nacional; lo que podría agravar aún más los efectos negativos para el sector financiero de las medidas que en dichas normas se contienen. A ello se añade el riesgo de que las medidas contenidas en este tipo de leyes se extienda al resto de Comunidades Autónomas, agravando los efectos negativos para el sector financiero y poniendo en peligro la efectividad de medidas estatales de política económica general aprobadas al efecto; lo que debe ponderarse a la hora de decidir sobre el mantenimiento de la suspensión de los preceptos legales impugnados (ATC 87/2012, de 10 de mayo, FJ 4).</w:t>
      </w:r>
    </w:p>
    <w:p w:rsidR="001D6FAE" w:rsidRDefault="001D6FAE" w:rsidP="001D6FAE">
      <w:pPr>
        <w:pStyle w:val="TextoNormal"/>
      </w:pPr>
    </w:p>
    <w:p w:rsidR="001D6FAE" w:rsidRDefault="001D6FAE" w:rsidP="001D6FAE">
      <w:pPr>
        <w:pStyle w:val="TextoNormal"/>
      </w:pPr>
      <w:r>
        <w:t>Cita también el Abogado del Estado en apoyo de su pretensión el ATC 69/2014, dictado en el incidente de suspensión de la Ley Foral 24/2013, de contenido similar a la impugnada en este caso. Este Tribunal se decantó por el mantenimiento de la suspensión al apreciar que la aplicación de las medidas impugnadas de la referida Ley Foral en materia de vivienda producirían perjuicios ciertos para el interés público, que supone la estabilidad del sistema financiero en su conjunto. Este criterio fue reiterado en el ATC 115/2014, que mantiene la suspensión de los preceptos impugnados de la Ley andaluza 4/2013, y en el ATC 135/2015, que mantiene la suspensión de los preceptos impugnados de la Ley canaria 2/2014.</w:t>
      </w:r>
    </w:p>
    <w:p w:rsidR="001D6FAE" w:rsidRDefault="001D6FAE" w:rsidP="001D6FAE">
      <w:pPr>
        <w:pStyle w:val="TextoNormal"/>
      </w:pPr>
    </w:p>
    <w:p w:rsidR="001D6FAE" w:rsidRDefault="001D6FAE" w:rsidP="001D6FAE">
      <w:pPr>
        <w:pStyle w:val="TextoNormal"/>
      </w:pPr>
      <w:r>
        <w:t xml:space="preserve">Apela asimismo el Abogado del Estado a la doctrina del </w:t>
      </w:r>
      <w:r w:rsidRPr="001D6FAE">
        <w:rPr>
          <w:i/>
        </w:rPr>
        <w:t>fumus boni iuris</w:t>
      </w:r>
      <w:r>
        <w:t>, que el Tribunal Constitucional ha utilizado en ocasiones para el mantenimiento de la suspensión de una ley, invocando al respecto tanto los precedentes Autos de suspensión como los fundamentos jurídicos 17 y 18 de la citada STC 93/2015, de 14 de mayo.</w:t>
      </w:r>
    </w:p>
    <w:p w:rsidR="001D6FAE" w:rsidRDefault="001D6FAE" w:rsidP="001D6FAE">
      <w:pPr>
        <w:pStyle w:val="TextoNormal"/>
      </w:pPr>
    </w:p>
    <w:p w:rsidR="001D6FAE" w:rsidRDefault="001D6FAE" w:rsidP="001D6FAE">
      <w:pPr>
        <w:pStyle w:val="TextoNormal"/>
      </w:pPr>
      <w:r>
        <w:t>b) A partir de las consideraciones que anteceden, el Abogado del Estado pasa a exponer los perjuicios que a su parecer provocaría el levantamiento de la suspensión que pesa sobre los arts. 2 (apartado 2), 3, 4, 5 (apartados 1 a 4 y 9) y 7, la disposición adicional, la disposición transitoria segunda (apartado primero y apartado segundo en lo que se refiere a la aplicación del art. 7) y la disposición final tercera, de la Ley del Parlamento de Cataluña 24/2015.</w:t>
      </w:r>
    </w:p>
    <w:p w:rsidR="001D6FAE" w:rsidRDefault="001D6FAE" w:rsidP="001D6FAE">
      <w:pPr>
        <w:pStyle w:val="TextoNormal"/>
      </w:pPr>
    </w:p>
    <w:p w:rsidR="001D6FAE" w:rsidRDefault="001D6FAE" w:rsidP="001D6FAE">
      <w:pPr>
        <w:pStyle w:val="TextoNormal"/>
      </w:pPr>
      <w:r>
        <w:t>Se advierte previamente que, por lo que se refiere a los perjuicios para los particulares que podrían verse afectados por el mantenimiento de la suspensión, entendiendo por tales los perjuicios que puedan causarse a aquellas personas a las que van dirigidas las medidas adoptadas por el legislador autonómico. Lo cierto es que el Estado ya ha reaccionado ante esta realidad y que la concurrencia de las medidas adoptadas por la Ley autonómica con la normativa estatal al respecto, lejos de coadyuvar al objetivo de mejorar la situación de las personas que no disponen de vivienda, pueden ir en su perjuicio.</w:t>
      </w:r>
    </w:p>
    <w:p w:rsidR="001D6FAE" w:rsidRDefault="001D6FAE" w:rsidP="001D6FAE">
      <w:pPr>
        <w:pStyle w:val="TextoNormal"/>
      </w:pPr>
    </w:p>
    <w:p w:rsidR="001D6FAE" w:rsidRDefault="001D6FAE" w:rsidP="001D6FAE">
      <w:pPr>
        <w:pStyle w:val="TextoNormal"/>
      </w:pPr>
      <w:r>
        <w:t>El Estado, en el ámbito de sus competencias, ha aprobado diferentes normas de gran relevancia, como el Real Decreto-ley 6/2012, de 9 de marzo, de medidas urgentes de protección de deudores hipotecarios sin recursos, del que ya se han beneficiado cerca de 14.000 familias y el Real Decreto 27/2012, de 15 de noviembre, de medidas urgentes para reforzar la protección a los deudores hipotecarios. Asimismo, y sin ánimo exhaustivo, cabe destacar el plan estatal de fomento del alquiler de viviendas, la rehabilitación edificatoria, la regeneración y renovación urbanas 2013-2016, aprobado por Real Decreto 233/2013, de 5 de abril. El objetivo del legislador estatal con la aprobación de estas normas no es otro que el de proteger a los colectivos más vulnerables, a quienes padecen extraordinarias dificultades para atender el pago de sus viviendas o para acceder a las mismas, mediante medidas tales como la posibilidad de permitir la reestructuración de la deuda hipotecaria, favorecer el acceso a una vivienda en alquiler de los desahuciados, o la posibilidad de que el deudor con el que la entidad financiera acuerde una “dación en pago” permanezca en su vivienda por un plazo de dos años en concepto de arrendatario.</w:t>
      </w:r>
    </w:p>
    <w:p w:rsidR="001D6FAE" w:rsidRDefault="001D6FAE" w:rsidP="001D6FAE">
      <w:pPr>
        <w:pStyle w:val="TextoNormal"/>
      </w:pPr>
    </w:p>
    <w:p w:rsidR="001D6FAE" w:rsidRDefault="001D6FAE" w:rsidP="001D6FAE">
      <w:pPr>
        <w:pStyle w:val="TextoNormal"/>
      </w:pPr>
      <w:r>
        <w:t>El Estado ha aprobado también el Real Decreto-ley 1/2015, de 27 de febrero, de mecanismo de segunda oportunidad, reducción de carga financiera y otras medidas de orden social, posteriormente convertido en la Ley 25/2015, de 28 de julio. Esta contiene medidas de diferente naturaleza, encaminadas tanto a la protección de aquellos deudores de un crédito o préstamo garantizado con hipoteca sobre su vivienda habitual, como a ampliar la protección de colectivos especialmente vulnerables. Más específicamente, esta norma supone mejoras adicionales a las que ya se han adoptado antes, con el objetivo de que las personas vulnerables reduzcan su carga financiera. Para ello, establece un conjunto de medidas, entre las que cabe destacar la segunda oportunidad en el ámbito concursal para deudores de buena fe con cargas, que incluye, por primera vez, a las personas físicas; el reforzamiento y flexibilización de la figura del mediador; la simplificación de los procedimientos; la reducción significativa de los aranceles notariales y registrales; la regla de que durante el plazo de negociaciones se suspenderán las ejecuciones; la ampliación del colectivo protegido por el código de buenas prácticas para deudores hipotecarios; y la prórroga adicional de los desahucios (que vencía en mayo de 2016) por dos años más.</w:t>
      </w:r>
    </w:p>
    <w:p w:rsidR="001D6FAE" w:rsidRDefault="001D6FAE" w:rsidP="001D6FAE">
      <w:pPr>
        <w:pStyle w:val="TextoNormal"/>
      </w:pPr>
    </w:p>
    <w:p w:rsidR="001D6FAE" w:rsidRDefault="001D6FAE" w:rsidP="001D6FAE">
      <w:pPr>
        <w:pStyle w:val="TextoNormal"/>
      </w:pPr>
      <w:r>
        <w:t>No se cuestiona, por tanto, que existan personas en situación de riesgo social que daban ser atendidas por los poderes públicos; pero ello debe efectuarse siempre dentro del marco constitucional de reparto de competencias y no al margen del mismo, como sucede con los preceptos de la Ley catalana impugnados. La infracción de las competencias estatales deviene, adicionalmente, en lo que aquí interesa para este incidente de suspensión, en graves problemas para el desarrollo por el Estado de reformas económicas de enorme trascendencia en este momento.</w:t>
      </w:r>
    </w:p>
    <w:p w:rsidR="001D6FAE" w:rsidRDefault="001D6FAE" w:rsidP="001D6FAE">
      <w:pPr>
        <w:pStyle w:val="TextoNormal"/>
      </w:pPr>
    </w:p>
    <w:p w:rsidR="001D6FAE" w:rsidRDefault="001D6FAE" w:rsidP="001D6FAE">
      <w:pPr>
        <w:pStyle w:val="TextoNormal"/>
      </w:pPr>
      <w:r>
        <w:t>Precisado lo anterior, el Abogado del Estado pasa a concretar, con apoyo en los referidos informes que adjunta a su escrito de alegaciones y a los que expresamente se remite, los daños que para la política económica general y el sistema financiero español, así como para el crédito hipotecario, provocaría el levantamiento de la suspensión de los preceptos impugnados.</w:t>
      </w:r>
    </w:p>
    <w:p w:rsidR="001D6FAE" w:rsidRDefault="001D6FAE" w:rsidP="001D6FAE">
      <w:pPr>
        <w:pStyle w:val="TextoNormal"/>
      </w:pPr>
    </w:p>
    <w:p w:rsidR="001D6FAE" w:rsidRDefault="001D6FAE" w:rsidP="001D6FAE">
      <w:pPr>
        <w:pStyle w:val="TextoNormal"/>
      </w:pPr>
      <w:r>
        <w:t>Se consideran como tales perjuicios graves, en primer lugar, el riesgo de incumplimiento de los compromisos de nuestro país de carácter internacional. Si bien el citado memorando de entendimiento sobre condiciones de política sectorial financiera firmado el 20 de julio de 2012 finalizó con éxito en enero de 2014, no es menos cierto que mientras España no devuelva al menos el 75 por 100 de la ayuda financiera recibida del mecanismo europeo de estabilidad, sigue bajo la “vigilancia postprograma” de las autoridades de la Unión Europea. En el marco de esta supervisión las autoridades europeas competentes ya han examinado medidas legislativas autonómicas similares a las contenidas en la Ley catalana 24/2015, expresando su preocupación al respecto;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SAREB. Esas inquietudes de las autoridades europeas son compartidas por el Banco de España, como se refleja en el informe adjunto referido a la Ley catalana 24/2015.</w:t>
      </w:r>
    </w:p>
    <w:p w:rsidR="001D6FAE" w:rsidRDefault="001D6FAE" w:rsidP="001D6FAE">
      <w:pPr>
        <w:pStyle w:val="TextoNormal"/>
      </w:pPr>
    </w:p>
    <w:p w:rsidR="001D6FAE" w:rsidRDefault="001D6FAE" w:rsidP="001D6FAE">
      <w:pPr>
        <w:pStyle w:val="TextoNormal"/>
      </w:pPr>
      <w:r>
        <w:t>Además, la coexistencia de dos regímenes (estatal y autonómico) con idéntico objetivo, pero distinta articulación jurídica, hace previsible que no solo surjan conflictos de aplicación que pongan en riesgo la deseable seguridad jurídica y la propia finalidad de protección perseguida por estas normas, sino que conduzcan también a la imposibilidad de que la normativa estatal despliegue sus efectos; criterio este utilizado en el citado ATC 64/2014 para acordar el mantenimiento de la suspensión. Nada se opone a que las normas autonómicas contemplen actuaciones complementarias, por ejemplo la financiación con sus recursos económicos a las personas familias en dificultades, pero lo que no pueden prever son mecanismos que interfieren y perjudican las medidas adoptadas por el Estado. Este criterio ha sido acogido en la citada STC 93/2015, FJ 18, cuando hace mención al menoscabo de las competencias estatales por el Decreto-ley 6/2013 de la Junta de Andalucía, de contenido similar a la Ley catalana ahora impugnada.</w:t>
      </w:r>
    </w:p>
    <w:p w:rsidR="001D6FAE" w:rsidRDefault="001D6FAE" w:rsidP="001D6FAE">
      <w:pPr>
        <w:pStyle w:val="TextoNormal"/>
      </w:pPr>
    </w:p>
    <w:p w:rsidR="001D6FAE" w:rsidRDefault="001D6FAE" w:rsidP="001D6FAE">
      <w:pPr>
        <w:pStyle w:val="TextoNormal"/>
      </w:pPr>
      <w:r>
        <w:t>Se añade a lo anterior que, en cumplimiento de los compromisos asumidos por España con la Unión Europea, se crea y se regula la SAREB por la Ley 9/2012, que también detalla el régimen de transmisión obligatoria de activos a ella, desarrollándose este régimen en el Real Decreto 1559/2012, de 15 de noviembre. Tras una primera fase en la que la actividad de la SAREB se centró en su puesta en marcha y recepción de los activos deteriorados de las entidades de crédito transferidos, la entidad se enfrenta en los últimos tiempos al importante reto de gestionar y vender la cartera de activos en un contexto todavía difícil para el sector inmobiliario español. En ese contexto, las disposiciones de la Ley catalana 24/2015 inciden desde el punto de vista económico sobre un instrumento de reestructuración creado por ley estatal y financiado parcialmente por el Estado a través del fondo de reestructuración ordenada bancaria (FROB). La Ley catalana 24/2015 supone, al menos parcialmente, la disposición indirecta de fondos públicos estatales para costear medidas de protección social autonómicas que pueden llegar a incrementar el coste económico de las medidas estatales. Asimismo, la aplicación de algunas de sus disposiciones, en particular el alquiler forzoso y la expropiación temporal del derecho de uso de la vivienda, podrían lastrar las iniciativas de venta de paquetes de activos, en detrimento del objetivo último de la SAREB y generar mayor incertidumbre por el deterioro del valor de las carteras de activos.</w:t>
      </w:r>
    </w:p>
    <w:p w:rsidR="001D6FAE" w:rsidRDefault="001D6FAE" w:rsidP="001D6FAE">
      <w:pPr>
        <w:pStyle w:val="TextoNormal"/>
      </w:pPr>
    </w:p>
    <w:p w:rsidR="001D6FAE" w:rsidRDefault="001D6FAE" w:rsidP="001D6FAE">
      <w:pPr>
        <w:pStyle w:val="TextoNormal"/>
      </w:pPr>
      <w:r>
        <w:t>Asimismo resulta que las medidas introducidas por la Ley catalana 24/2015 producen un deterioro de la situación financiera de las entidades de crédito, en tanto que suponen un coste directo para estas o implican un deterioro del valor de determinadas partidas en sus balances. La Ley 24/2015 afecta directamente a estas entidades financieras, en cuanto propietarias de un porcentaje elevado de viviendas como consecuencia de ejecuciones hipotecarias o de convenios con los deudores hipotecarios, por la pérdida de valor de los inmuebles adjudicados.</w:t>
      </w:r>
    </w:p>
    <w:p w:rsidR="001D6FAE" w:rsidRDefault="001D6FAE" w:rsidP="001D6FAE">
      <w:pPr>
        <w:pStyle w:val="TextoNormal"/>
      </w:pPr>
    </w:p>
    <w:p w:rsidR="001D6FAE" w:rsidRDefault="001D6FAE" w:rsidP="001D6FAE">
      <w:pPr>
        <w:pStyle w:val="TextoNormal"/>
      </w:pPr>
      <w:r>
        <w:t>La afectación deriva, en primer término, del establecimiento de procedimientos extrajudiciales y judiciales (art. 2.2, 3 y 4) diferentes a los procedimientos establecidos en el ámbito estatal, que deberían ser seguidos antes de hacer valer la garantía hipotecaria; esta circunstancia incidirá necesariamente en el valor de dicha garantía, en la medida en que afecta al momento de su realización.</w:t>
      </w:r>
    </w:p>
    <w:p w:rsidR="001D6FAE" w:rsidRDefault="001D6FAE" w:rsidP="001D6FAE">
      <w:pPr>
        <w:pStyle w:val="TextoNormal"/>
      </w:pPr>
    </w:p>
    <w:p w:rsidR="001D6FAE" w:rsidRDefault="001D6FAE" w:rsidP="001D6FAE">
      <w:pPr>
        <w:pStyle w:val="TextoNormal"/>
      </w:pPr>
      <w:r>
        <w:t>Asimismo, esa afectación negativa se produce como consecuencia de que se impone a dichas entidades la obligación de ofrecer a los afectados una propuesta de alquiler social antes de interponer demanda para hacer valer la garantía hipotecaria (artículo 5, disposición transitoria segunda y disposición final tercera). A ello se añade la expropiación temporal del uso (cesión obligatoria de viviendas), prevista en el artículo 7, que deteriorará el valor de los activos adjudicados; compradores y posibles inquilinos, sabedores de que la entidad podrá perder las viviendas si no los alquila o los vende, podrán exigir precios más reducidos, lo que incidirá en el menor valor de mercado relativo de dichas viviendas. Además, la cesión obligatoria de viviendas por un periodo de tres años supone que las entidades financieras no podrán llevar a cabo la venta de sus viviendas afectadas por esta medida, al tiempo que mantendrán su titularidad sobre las mismas; ello implica que dichas viviendas deberán permanecer en el balance de las entidades y, conforme a la aplicación de la normativa contable bancaria, deberán dotarse provisiones que en tres años alcanzarán al menos el 40 por 100 del valor de dicho inmueble (anexo I del Real Decreto-ley 21/2012, de 3 de febrero); lo cual, además de suponer una minoración significativa de su cuenta de resultados, es contradictorio con el objetivo de la normativa contable en este punto, que no es otro que incentivar a las entidades financieras a deshacerse de dichos inmuebles.</w:t>
      </w:r>
    </w:p>
    <w:p w:rsidR="001D6FAE" w:rsidRDefault="001D6FAE" w:rsidP="001D6FAE">
      <w:pPr>
        <w:pStyle w:val="TextoNormal"/>
      </w:pPr>
    </w:p>
    <w:p w:rsidR="001D6FAE" w:rsidRDefault="001D6FAE" w:rsidP="001D6FAE">
      <w:pPr>
        <w:pStyle w:val="TextoNormal"/>
      </w:pPr>
      <w:r>
        <w:t>En definitiva, las medidas contenidas en los preceptos de la Ley catalana 24/2015 que se impugna reducen la capacidad de las entidades de crédito de generar resultados positivos suficientes; lo que constituye una condición necesaria para dotarse de recursos propios que permitan mantener su solvencia y con ello, la estabilidad financiera.</w:t>
      </w:r>
    </w:p>
    <w:p w:rsidR="001D6FAE" w:rsidRDefault="001D6FAE" w:rsidP="001D6FAE">
      <w:pPr>
        <w:pStyle w:val="TextoNormal"/>
      </w:pPr>
    </w:p>
    <w:p w:rsidR="001D6FAE" w:rsidRDefault="001D6FAE" w:rsidP="001D6FAE">
      <w:pPr>
        <w:pStyle w:val="TextoNormal"/>
      </w:pPr>
      <w:r>
        <w:t>Las medidas impugnadas podrían tener también un impacto negativo sobre el crédito hipotecario, debido al deterioro de la calidad de la garantía subyacente, que dificultará la capacidad de financiación de las entidades de crédito. La Ley catalana 24/2015 perjudica el valor de esta garantía hipotecaria, cuya preservación es esencial para el correcto funcionamiento del mercado de cédulas y bonos; de acuerdo con los artículos 3, 4 y 5, las entidades financieras tienen condicionado y limitado el acceso a la justicia para ejecutar la garantía hipotecaria y, en caso de ejecución, toda persona jurídica susceptible de ser postor en la subasta podría perder la vivienda si la mantiene desocupada (artículo 7), por lo que el precio al que estaría dispuesta a pujar es menor y, por lo tanto, menor sería también el valor efectivo de la garantía hipotecaria del préstamo.</w:t>
      </w:r>
    </w:p>
    <w:p w:rsidR="001D6FAE" w:rsidRDefault="001D6FAE" w:rsidP="001D6FAE">
      <w:pPr>
        <w:pStyle w:val="TextoNormal"/>
      </w:pPr>
    </w:p>
    <w:p w:rsidR="001D6FAE" w:rsidRDefault="001D6FAE" w:rsidP="001D6FAE">
      <w:pPr>
        <w:pStyle w:val="TextoNormal"/>
      </w:pPr>
      <w:r>
        <w:t>Ello tiene un efecto directo sobre la cartera actual de cédulas hipotecarias, que constituye la fuente más importante de financiación de préstamos hipotecarios de las entidades bancarias. Dado el menor valor de la garantía, los inversores exigirán un mayor volumen de préstamos que respalde las cédulas emitidas. La aplicación de la Ley catalana 24/2015, aunque sea con carácter temporal, afectaría sin duda al mercado de cédulas y bonos, que aún tiene una enorme importancia para el sistema financiero español. La Ley 24/2015 crea inseguridad jurídica en ese mercado y debilita la fuerza de la garantía hipotecaria, reduciendo la atracción de esta fuente de financiación de las entidades de crédito. La aplicación temporal de la Ley produce un efecto igualmente distorsionador, pues transmite inestabilidad a un instrumento de financiación que, por su naturaleza y el largo plazo de la garantía hipotecaria sobre la que se sostiene, debe estar a salvo de modificaciones normativas que perturben su regulación.</w:t>
      </w:r>
    </w:p>
    <w:p w:rsidR="001D6FAE" w:rsidRDefault="001D6FAE" w:rsidP="001D6FAE">
      <w:pPr>
        <w:pStyle w:val="TextoNormal"/>
      </w:pPr>
    </w:p>
    <w:p w:rsidR="001D6FAE" w:rsidRDefault="001D6FAE" w:rsidP="001D6FAE">
      <w:pPr>
        <w:pStyle w:val="TextoNormal"/>
      </w:pPr>
      <w:r>
        <w:t>Además, la imposición de un alquiler forzoso (artículo 5, disposición transitoria segunda y disposición final tercera) a un precio inferior de mercado, cuando se trata de viviendas obtenidas en garantía de créditos hipotecarios, reduce la eficacia de la garantía para enjugar las pérdidas derivadas del impago del prestatario, con el efecto inmediato de la reducción en el valor de la deuda que podría recuperarse Tal medida comporta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en el futuro mayores primas de riesgo para la concesión de préstamos hipotecarios, para compensar pérdidas esperadas superiores (en caso de impago), lo que afectaría con especial intensidad a los hogares en una situación económica más débil, es decir, a las familias que tuvieran un mayor riesgo de exclusión social.</w:t>
      </w:r>
    </w:p>
    <w:p w:rsidR="001D6FAE" w:rsidRDefault="001D6FAE" w:rsidP="001D6FAE">
      <w:pPr>
        <w:pStyle w:val="TextoNormal"/>
      </w:pPr>
    </w:p>
    <w:p w:rsidR="001D6FAE" w:rsidRDefault="001D6FAE" w:rsidP="001D6FAE">
      <w:pPr>
        <w:pStyle w:val="TextoNormal"/>
      </w:pPr>
      <w:r>
        <w:t>Finalmente, la disposición adicional de la Ley 24/2015 prevé la posibilidad de que el deudor quede liberado de la deuda abonando al cesionario el precio que este ha pagado más los interés legales y los gastos que le ha causado la reclamación de la deuda. La Ley 24/2015 se refiere al conjunto de créditos cedidos a título oneroso (no se limita a los créditos litigiosos, como sucede en el art. 1535 del Código civil) garantizados por la vivienda del deudor, que componen en gran medida el volumen de las titulizaciones hipotecarias. Como se afirma en el informe adjunto del Ministerio de Economía y Competitividad, el objeto de las titulizaciones de los créditos hipotecarios es su cesión (salida del balance de la entidad bancaria) a un fondo de titulización a cambio de un precio financiado por un bono emitido por el propio fondo. Estos fondos contribuyen a eliminar el riesgo de los balances de las entidades de crédito, otorgándoles a su vez liquidez y financiación. La cesión de créditos puede ser individualizada (crédito a crédito) o de una cartera con un perfil de riesgo determinado; en uno u otro caso el precio de la cesión de créditos se determina valorando los flujos de caja futuros (tanto del capital como de intereses) y el perfil de riesgo del deudor y de la operación (condiciones, garantía, etc.). Por tanto, dependiendo de las circunstancias, ese precio puede ser inferior a la deuda pendiente de pago, por lo que estas operaciones de cesión de créditos resultan afectadas como consecuencia de la aplicación de la disposición adicional de la Ley 24/2015; esta genera inseguridad jurídica en el adquirente, al introducir un elemento de incertidumbre que afecta al propio precio y, por tanto, en última instancia a la financiación de las entidades de crédito.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 esta resolución es determinar si procede mantener o levantar la suspensión de la vigencia de los arts. 2 (apartado 2), 3, 4, 5 (apartados 1 a 4 y 9) y 7, la disposición adicional, la disposición transitoria segunda (apartado primero y apartado segundo en lo que se refiere a la aplicación del art. 7) y la disposición final tercera de la Ley del Parlamento de Cataluña 24/2015, de 29 de julio, de medidas urgentes para afrontar la emergencia en el ámbito de la vivienda y la pobreza energética; se encuentran suspendidos en su aplicación como consecuencia de la invocación de los arts. 161.2 CE y 30 de la Ley Orgánica del Tribunal Constitucional (LOTC) por el Presidente del Gobierno en su escrito de interposición del recurso de inconstitucionalidad.</w:t>
      </w:r>
    </w:p>
    <w:p w:rsidR="001D6FAE" w:rsidRDefault="001D6FAE" w:rsidP="001D6FAE">
      <w:pPr>
        <w:pStyle w:val="TextoNormal"/>
      </w:pPr>
    </w:p>
    <w:p w:rsidR="001D6FAE" w:rsidRDefault="001D6FAE" w:rsidP="001D6FAE">
      <w:pPr>
        <w:pStyle w:val="TextoNormal"/>
      </w:pPr>
      <w:r>
        <w:t>Las representaciones procesales del Gobierno de la Generalitat y del Parlamento de Cataluña han solicitado el levantamiento anticipado de la suspensión, conforme ha quedado expresado en los antecedentes, mientras que el Abogado del Estado se opone a esta pretensión. Este interesa que se mantenga la suspensión con una argumentación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y 135/2015, de 21 de julio (en el recurso contra diversos preceptos de la Ley 2/2014, de 20 de junio, de modificación de la Ley 2/2003, de 30 de enero, de vivienda de Canarias y de medidas para garantizar el derecho a la vivienda).</w:t>
      </w:r>
    </w:p>
    <w:p w:rsidR="001D6FAE" w:rsidRDefault="001D6FAE" w:rsidP="001D6FAE">
      <w:pPr>
        <w:pStyle w:val="TextoNormal"/>
      </w:pPr>
    </w:p>
    <w:p w:rsidR="001D6FAE" w:rsidRDefault="001D6FAE" w:rsidP="001D6FAE">
      <w:pPr>
        <w:pStyle w:val="TextoNormal"/>
      </w:pPr>
      <w:r>
        <w:t>El propio Abogado del Estado trae a colación los Autos citados en apoyo de su pretensión; a ellos cabe añadir el reciente ATC 144/2016, de 19 de julio, que mantiene parcialmente la suspensión en el caso del recurso de inconstitucionalidad interpuesto por el Presidente del Gobierno contra determinados preceptos de la Ley de Parlamento Vasco 3/2015, de 18 de junio, de vivienda.</w:t>
      </w:r>
    </w:p>
    <w:p w:rsidR="001D6FAE" w:rsidRDefault="001D6FAE" w:rsidP="001D6FAE">
      <w:pPr>
        <w:pStyle w:val="TextoNormal"/>
      </w:pPr>
    </w:p>
    <w:p w:rsidR="001D6FAE" w:rsidRDefault="001D6FAE" w:rsidP="001D6FAE">
      <w:pPr>
        <w:pStyle w:val="TextoNormal"/>
      </w:pPr>
      <w:r w:rsidRPr="001D6FAE">
        <w:rPr>
          <w:rStyle w:val="NumeroAFNegritaCaracter"/>
        </w:rPr>
        <w:t>2</w:t>
      </w:r>
      <w:r>
        <w:t>. La solicitud de levantamiento anticipado de la suspensión sin esperar al transcurso de los cinco meses previstos en el art. 161.2 CE resulta viable procesalmente. Conforme a nuestra reiterada doctrina al respecto,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y 196/2015, de 18 de noviembre, FJ 2).</w:t>
      </w:r>
    </w:p>
    <w:p w:rsidR="001D6FAE" w:rsidRDefault="001D6FAE" w:rsidP="001D6FAE">
      <w:pPr>
        <w:pStyle w:val="TextoNormal"/>
      </w:pPr>
    </w:p>
    <w:p w:rsidR="001D6FAE" w:rsidRDefault="001D6FAE" w:rsidP="001D6FAE">
      <w:pPr>
        <w:pStyle w:val="TextoNormal"/>
      </w:pPr>
      <w:r>
        <w:t>Sobre este tipo de incidentes de suspensión existe una consolidada doctrina constitucional.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de otro, los perjuicios de imposible o difícil reparación que puedan derivarse del mantenimiento o levantamiento de la suspensión de la ley impugnada.</w:t>
      </w:r>
    </w:p>
    <w:p w:rsidR="001D6FAE" w:rsidRDefault="001D6FAE" w:rsidP="001D6FAE">
      <w:pPr>
        <w:pStyle w:val="TextoNormal"/>
      </w:pPr>
    </w:p>
    <w:p w:rsidR="001D6FAE" w:rsidRDefault="001D6FAE" w:rsidP="001D6FAE">
      <w:pPr>
        <w:pStyle w:val="TextoNormal"/>
      </w:pPr>
      <w:r>
        <w:t>Igualmente se ha destacado en nuestra doctrina que esta valoración ha de efectuarse mediante el estricto examen de las situaciones de hecho creadas y al margen de la viabilidad de las pretensiones que se formulen en la demanda. El mantenimiento de la suspensión requiere que el Gobierno de la Nación, a quien se debe la iniciativa (arts. 161.2 CE y 30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100/2002, de 5 de junio, FJ 2; 355/2007, de 24 de julio, FJ 2; 225/2009, de 10 de diciembre, FJ 2; 44/2011, de 12 de abril, FJ 2; 86/2012, de 8 de mayo, FJ 2, y 122/2015, de 7 de julio, FJ 2).</w:t>
      </w:r>
    </w:p>
    <w:p w:rsidR="001D6FAE" w:rsidRDefault="001D6FAE" w:rsidP="001D6FAE">
      <w:pPr>
        <w:pStyle w:val="TextoNormal"/>
      </w:pPr>
    </w:p>
    <w:p w:rsidR="001D6FAE" w:rsidRDefault="001D6FAE" w:rsidP="001D6FAE">
      <w:pPr>
        <w:pStyle w:val="TextoNormal"/>
      </w:pPr>
      <w:r w:rsidRPr="001D6FAE">
        <w:rPr>
          <w:rStyle w:val="NumeroAFNegritaCaracter"/>
        </w:rPr>
        <w:t>3</w:t>
      </w:r>
      <w:r>
        <w:t>. A fin de abordar el examen de las alegaciones formuladas por la Abogacía del Estado a favor de mantener la suspensión de la vigencia y aplicación de los preceptos recurridos de la Ley catalana 24/2015, de medidas urgentes para afrontar la emergencia en el ámbito de la vivienda y la pobreza energética, así como las de representaciones procesales del Gobierno de la Generalitat y del Parlamento de Cataluña en pro del levantamiento de la suspensión, resulta oportuno recordar previamente el contenido de dichos preceptos.</w:t>
      </w:r>
    </w:p>
    <w:p w:rsidR="001D6FAE" w:rsidRDefault="001D6FAE" w:rsidP="001D6FAE">
      <w:pPr>
        <w:pStyle w:val="TextoNormal"/>
      </w:pPr>
    </w:p>
    <w:p w:rsidR="001D6FAE" w:rsidRDefault="001D6FAE" w:rsidP="001D6FAE">
      <w:pPr>
        <w:pStyle w:val="TextoNormal"/>
      </w:pPr>
      <w:r>
        <w:t>La Ley 24/2015, en lo que atañe a los preceptos impugnados (por motivos competenciales), prevé, en primer lugar, medidas para la resolución del sobreendeudamiento de los deudores hipotecarios mediante la creación de un procedimiento extrajudicial gestionado por “comisiones de sobreendeudamiento”. Estas actúan con sujeción al procedimiento administrativo y tienen atribuidas amplias facultades de decisión, incluida la capacidad de establecer un plan de pagos o un plan de reestructuración de la deuda (artículo 2.2), y mediante un procedimiento judicial simplificado para el caso de que el procedimiento extrajudicial anterior haya concluido sin acuerdo (artículo 3). A estos procedimientos también pueden acogerse los fiadores, siempre que tengan con el deudor una relación de parentesco por consanguinidad o afinidad hasta el tercer grado (artículo 4).</w:t>
      </w:r>
    </w:p>
    <w:p w:rsidR="001D6FAE" w:rsidRDefault="001D6FAE" w:rsidP="001D6FAE">
      <w:pPr>
        <w:pStyle w:val="TextoNormal"/>
      </w:pPr>
    </w:p>
    <w:p w:rsidR="001D6FAE" w:rsidRDefault="001D6FAE" w:rsidP="001D6FAE">
      <w:pPr>
        <w:pStyle w:val="TextoNormal"/>
      </w:pPr>
      <w:r>
        <w:t>En segundo lugar, la Ley 24/2015 contempla medidas dirigidas a evitar los desahucios de la vivienda habitual, entre las que se encuentra la que consiste en imponer a determinadas personas jurídicas (singularmente las entidades financieras) la obligación de ofrecer un alquiler social (por un periodo mínimo de tres años) a personas o unidades familiares que no tengan una alternativa propia de vivienda y que estén dentro de los parámetros de riesgo de exclusión social definidos por la propia Ley 24/2015 (art. 5, apartados 1 a 4 y 9, disposición transitoria segunda y disposición final tercera, apartado 1), con la consiguiente previsión sancionadora para el caso de incumplimiento de esa obligación (disposición final tercera, apartado 2, que modifica al efecto el art. 124.2 de la Ley catalana 18/2007, de 28 de diciembre, de derecho a la vivienda). Esa propuesta de alquiler social ha de hacerse por las entidades en cuestión “antes de adquirir una vivienda resultante de la consecución de acuerdos de compensación o dación en pago de préstamos o créditos hipotecarios sobre la vivienda habitual, o antes de la firma de la compraventa de una vivienda que tenga como causa de la venta la imposibilidad por parte del prestatario de devolver el préstamo hipotecario” (artículo 5.1) y asimismo “antes de interponer cualquier demanda judicial de ejecución hipotecaria o de desahucio por impago de alquiler” (artículo 5.2).</w:t>
      </w:r>
    </w:p>
    <w:p w:rsidR="001D6FAE" w:rsidRDefault="001D6FAE" w:rsidP="001D6FAE">
      <w:pPr>
        <w:pStyle w:val="TextoNormal"/>
      </w:pPr>
    </w:p>
    <w:p w:rsidR="001D6FAE" w:rsidRDefault="001D6FAE" w:rsidP="001D6FAE">
      <w:pPr>
        <w:pStyle w:val="TextoNormal"/>
      </w:pPr>
      <w:r>
        <w:t>En tercer lugar, la Ley 24/2015 faculta a la Administración catalana para imponer a determinadas personas jurídicas (lo que de nuevo afecta singularmente a las entidades financieras) la cesión obligatoria de las viviendas vacías de las que sean propietarias (expropiación temporal forzosa del uso de la vivienda), por un periodo de tres años; para incorporarlas a un “fondo de viviendas en alquiler para políticas sociales”, en beneficio de las personas en situaciones de riesgo de exclusión residencial definidas por la propia Ley (artículo 7).</w:t>
      </w:r>
    </w:p>
    <w:p w:rsidR="001D6FAE" w:rsidRDefault="001D6FAE" w:rsidP="001D6FAE">
      <w:pPr>
        <w:pStyle w:val="TextoNormal"/>
      </w:pPr>
    </w:p>
    <w:p w:rsidR="001D6FAE" w:rsidRDefault="001D6FAE" w:rsidP="001D6FAE">
      <w:pPr>
        <w:pStyle w:val="TextoNormal"/>
      </w:pPr>
      <w:r>
        <w:t>Finalmente, la Ley 24/2015 (disposición adicional) introduce un derecho de retracto en cuya virtud, en caso de cesión de un crédito garantizado con la vivienda del deudor, este podrá liberarse de la deuda abonando al cesionario el precio que este haya pagado más los intereses legales y los gastos que le haya causado la reclamación de la deuda.</w:t>
      </w:r>
    </w:p>
    <w:p w:rsidR="001D6FAE" w:rsidRDefault="001D6FAE" w:rsidP="001D6FAE">
      <w:pPr>
        <w:pStyle w:val="TextoNormal"/>
      </w:pPr>
    </w:p>
    <w:p w:rsidR="001D6FAE" w:rsidRDefault="001D6FAE" w:rsidP="001D6FAE">
      <w:pPr>
        <w:pStyle w:val="TextoNormal"/>
      </w:pPr>
      <w:r>
        <w:t>En suma, el contenido de los preceptos impugnados de la Ley del Parlamento de Cataluña 24/2015 es en esencia similar al de las Leyes autonómicas en materia de vivienda antes citadas de Navarra, Andalucía, Canarias y País Vasco, también recurridas ante este Tribunal y respecto de las que han recaído los citados AATC 69/2014, 115/2014, 135/2015 y 144/2016, a los que cabe añadir también el ATC 32/2015, de 17 de febrero, que reitera lo razonado y acordado en el ATC 115/2014.</w:t>
      </w:r>
    </w:p>
    <w:p w:rsidR="001D6FAE" w:rsidRDefault="001D6FAE" w:rsidP="001D6FAE">
      <w:pPr>
        <w:pStyle w:val="TextoNormal"/>
      </w:pPr>
    </w:p>
    <w:p w:rsidR="001D6FAE" w:rsidRDefault="001D6FAE" w:rsidP="001D6FAE">
      <w:pPr>
        <w:pStyle w:val="TextoNormal"/>
      </w:pPr>
      <w:r w:rsidRPr="001D6FAE">
        <w:rPr>
          <w:rStyle w:val="NumeroAFNegritaCaracter"/>
        </w:rPr>
        <w:t>4</w:t>
      </w:r>
      <w:r>
        <w:t>. Los daños y perjuicios de imposible o difícil reparación invocados en este caso por el Abogado del Estado son los mismos que se pusieron de manifiesto y se valoraron por este Tribunal en los referidos AATC 69/2014, 115/2014, 32/2015, 135/2015 y 144/2016. Similares son también los menoscabos de intereses públicos y privados derivados de la inaplicación de los preceptos impugnados de la Ley del Parlamento de Cataluña 24/2015; no habiendo las partes traído a colación nuevos elementos entonces no considerados, el resultado de nuestra ponderación debe ser el mismo que entonces. En consecuencia, debe mantenerse la suspensión de los arts. 2 (apartado 2), 3, 4, 5 (apartados 1 a 4 y 9) y 7, la disposición adicional, la disposición transitoria segunda (apartado primero y apartado segundo en lo que se refiere a la aplicación del art. 7) y la disposición final tercera, de la Ley del Parlamento de Cataluña 24/2015, de medidas urgentes para afrontar la emergencia en el ámbito de la vivienda y la pobreza energética, por las razones ya expuestas en los Autos de este Tribunal citados, que son, de forma sucinta, y proyectadas al presente caso, las siguientes:</w:t>
      </w:r>
    </w:p>
    <w:p w:rsidR="001D6FAE" w:rsidRDefault="001D6FAE" w:rsidP="001D6FAE">
      <w:pPr>
        <w:pStyle w:val="TextoNormal"/>
      </w:pPr>
    </w:p>
    <w:p w:rsidR="001D6FAE" w:rsidRDefault="001D6FAE" w:rsidP="001D6FAE">
      <w:pPr>
        <w:pStyle w:val="TextoNormal"/>
      </w:pPr>
      <w:r>
        <w:t>a) Existe un perjuicio cierto para el interés general que subyace en el buen funcionamiento y estabilidad del sistema financiero en su conjunto (AATC 69/2014, FFJJ 5, 6 y 7; 115/2014, FJ 5; 131/2015, FJ 3, y 144/2016, FJ 5). Aunque en términos cuantitativamente reducidos, los preceptos impugnados de la Ley catalana 24/2015 producen un menoscabo cierto para la estabilidad del sistema financiero, de manera que puede ponerse en riesgo la reestructuración bancaria apoyada con dinero público y el cumplimiento por España de sus compromisos internacionales. Debe tenerse en cuenta, además, que a la Ley catalana 24/2015 deben sumarse las otras cuatro leyes autonómicas en materia de vivienda anteriormente mencionadas que han sido impugnadas también por el Presidente del Gobierno.</w:t>
      </w:r>
    </w:p>
    <w:p w:rsidR="001D6FAE" w:rsidRDefault="001D6FAE" w:rsidP="001D6FAE">
      <w:pPr>
        <w:pStyle w:val="TextoNormal"/>
      </w:pPr>
    </w:p>
    <w:p w:rsidR="001D6FAE" w:rsidRDefault="001D6FAE" w:rsidP="001D6FAE">
      <w:pPr>
        <w:pStyle w:val="TextoNormal"/>
      </w:pPr>
      <w:r>
        <w:t>Tales perjuicios para los intereses públicos se producen, según los informes del Banco de España y del Ministerio de Economía y Competitividad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 (AATC 69/2014, FJ 7, y 144/2016, FJ 5). Desde la óptica que nos ocupa poco importa que el programa de asistencia financiera a España, acordado por el Eurogrupo el 9 de julio de 2012 (memorando de entendimiento sobre condiciones de política sectorial financiera firmado el 20 de julio de 2012) con una duración de 18 meses, haya llegado a su fin de un modo satisfactorio. Las condiciones impuestas, lejos de estar consumadas, siguen vigentes y desplegando sus efectos, que han de sujetarse a los compromisos asumidos por España dentro de la Unión Europa, en particular en lo relativo a las ayudas de Estado. En el marco de esta supervisión las autoridades europeas competentes ya han examinado medidas legislativas autonómicas similares a las contenidas en la Ley catalana 24/2015; expresan su preocupación en cuanto que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Sociedad de Gestión de Activos Procedentes de la Reestructuración Bancaria (SAREB). Esas inquietudes de las autoridades europeas son compartidas por el Banco de España, como se refleja en el documento adjunto referido a la Ley del Parlamento de Cataluña 24/2015, que aporta junto a su escrito de alegaciones el Abogado del Estado.</w:t>
      </w:r>
    </w:p>
    <w:p w:rsidR="001D6FAE" w:rsidRDefault="001D6FAE" w:rsidP="001D6FAE">
      <w:pPr>
        <w:pStyle w:val="TextoNormal"/>
      </w:pPr>
    </w:p>
    <w:p w:rsidR="001D6FAE" w:rsidRDefault="001D6FAE" w:rsidP="001D6FAE">
      <w:pPr>
        <w:pStyle w:val="TextoNormal"/>
      </w:pPr>
      <w:r>
        <w:t>En suma, aunque en términos cuantitativos reducidos, los preceptos impugnados “inciden en el sistema financiero en su conjunto, generando, en una situación como la presente de excepcional desconfianza en el sistema crediticio globalmente considerado, un menoscabo para el interés público que supone la estabilidad de dicho sistema y, en la medida que pueda poner en riesgo que la reestructuración bancaria apoyada con dinero público en virtud de un régimen especial de ayudas de Estado se desarrolle en los términos autorizados, da lugar a una afectación igualmente cierta para cumplimiento por España de sus compromisos internacionales, intereses prevalentes en la cuestión examinada y claramente distintos de los perjuicios reparables que pudieran sufrir las entidades de crédito, singularmente consideradas” (AATC 69/2014, FJ 7, y 144/2016, FJ 5).</w:t>
      </w:r>
    </w:p>
    <w:p w:rsidR="001D6FAE" w:rsidRDefault="001D6FAE" w:rsidP="001D6FAE">
      <w:pPr>
        <w:pStyle w:val="TextoNormal"/>
      </w:pPr>
    </w:p>
    <w:p w:rsidR="001D6FAE" w:rsidRDefault="001D6FAE" w:rsidP="001D6FAE">
      <w:pPr>
        <w:pStyle w:val="TextoNormal"/>
      </w:pPr>
      <w:r>
        <w:t>b) Asimismo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y 144/2016, FJ 5): garantizar la efectividad del derecho a una vivienda.</w:t>
      </w:r>
    </w:p>
    <w:p w:rsidR="001D6FAE" w:rsidRDefault="001D6FAE" w:rsidP="001D6FAE">
      <w:pPr>
        <w:pStyle w:val="TextoNormal"/>
      </w:pPr>
    </w:p>
    <w:p w:rsidR="001D6FAE" w:rsidRDefault="001D6FAE" w:rsidP="001D6FAE">
      <w:pPr>
        <w:pStyle w:val="TextoNormal"/>
      </w:pPr>
      <w:r>
        <w:t>Al respecto debe tenerse en cuenta que, como se recuerda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001D6FAE" w:rsidRDefault="001D6FAE" w:rsidP="001D6FAE">
      <w:pPr>
        <w:pStyle w:val="TextoNormal"/>
      </w:pPr>
    </w:p>
    <w:p w:rsidR="001D6FAE" w:rsidRDefault="001D6FAE" w:rsidP="001D6FAE">
      <w:pPr>
        <w:pStyle w:val="TextoNormal"/>
      </w:pPr>
      <w:r>
        <w:t>c)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 (AATC 69/2014, FJ 9; 115/2014, FJ 5; 32/2015, FJ 6; 135/2015, FJ 3, y 144/2016, FJ 5).</w:t>
      </w:r>
    </w:p>
    <w:p w:rsidR="001D6FAE" w:rsidRDefault="001D6FAE" w:rsidP="001D6FAE">
      <w:pPr>
        <w:pStyle w:val="TextoNormal"/>
      </w:pPr>
    </w:p>
    <w:p w:rsidR="001D6FAE" w:rsidRDefault="001D6FAE" w:rsidP="001D6FAE">
      <w:pPr>
        <w:pStyle w:val="TextoNormal"/>
      </w:pPr>
      <w:r>
        <w:t>Es el caso, como se recuerda en el ATC 69/2014, FJ 9, del ya citado Real Decreto-ley 27/2012, de 15 de noviembre, de medidas urgentes para reforzar la protección a los deudores hipotecarios (derogado tras ser tramitado como ley por la igualmente citada Ley 1/2013, de 14 de mayo, de medidas para reforzar la protección a los deudores hipotecarios, reestructuración de deuda y alquiler social, modificada parcialmente por el Real Decreto-ley 1/2015, de 27 de febrero, de mecanismo de segunda oportunidad, reducción de carga financiera y otras medidas de orden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1D6FAE" w:rsidRDefault="001D6FAE" w:rsidP="001D6FAE">
      <w:pPr>
        <w:pStyle w:val="TextoNormal"/>
      </w:pPr>
    </w:p>
    <w:p w:rsidR="001D6FAE" w:rsidRDefault="001D6FAE" w:rsidP="001D6FAE">
      <w:pPr>
        <w:pStyle w:val="TextoNormal"/>
      </w:pPr>
      <w:r>
        <w:t>A las disposiciones reseñadas cabría añadir otras de no menor relevancia, que cita el Abogado del Estado, como el Real Decreto-ley 6/2012, de 9 de marzo, de medidas urgentes de protección de deudores hipotecarios sin recursos, el Real Decreto 27/2012, de 15 de noviembre, de medidas urgentes para reforzar la protección a los deudores hipotecarios y sin el plan estatal de fomento del alquiler de viviendas, la rehabilitación edificatoria, la regeneración y renovación urbanas 2013-2016, aprobado por Real Decreto 233/2013, de 5 de abril. El Estado ha aprobado también el Real Decreto-ley 1/2015, de 27 de febrero, de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001D6FAE" w:rsidRDefault="001D6FAE" w:rsidP="001D6FAE">
      <w:pPr>
        <w:pStyle w:val="TextoNormal"/>
      </w:pPr>
    </w:p>
    <w:p w:rsidR="001D6FAE" w:rsidRDefault="001D6FAE" w:rsidP="001D6FAE">
      <w:pPr>
        <w:pStyle w:val="TextoNormal"/>
      </w:pPr>
      <w:r>
        <w:t>d) En suma, procede reiterar la misma conclusión sentada en los AATC 69/2014, FJ 10, 115/2014, FJ 5, y 144/2016, FJ 5,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Mantener la suspensión de los arts. 2 (en su apartado 2), 3, 4, 5 (en sus apartados 1 a 4 y 9) y 7, la disposición adicional, la disposición transitoria segunda (apartado primero y apartado segundo en lo que se refiere a la aplicación del art. 7) y la disposición final tercera de la Ley del Parlamento de Cataluña 24/2015, de 29 de julio, de medidas urgentes para afrontar la emergencia en el ámbito de la vivienda y la pobreza energética.</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rsidP="001D6FAE">
      <w:pPr>
        <w:pStyle w:val="ParrafoNormal"/>
      </w:pPr>
    </w:p>
    <w:p w:rsidR="001D6FAE" w:rsidRDefault="001D6FAE" w:rsidP="001D6FAE">
      <w:pPr>
        <w:pStyle w:val="TextoNormalNegritaCentrado"/>
        <w:keepNext/>
      </w:pPr>
      <w:r>
        <w:t>Voto particular que formulan la Magistrada doña Adela Asua Batarrita y los Magistrados don Fernando Valdés Dal-Ré y don Juan Antonio Xiol Ríos, al Auto de 20 de septiembre de 2016, dictado en el incidente de suspensión del recurso de inconstitucionalidad núm. 2501-2016.</w:t>
      </w:r>
    </w:p>
    <w:p w:rsidR="001D6FAE" w:rsidRDefault="001D6FAE" w:rsidP="001D6FAE">
      <w:pPr>
        <w:pStyle w:val="TextoNormalNegritaCentrado"/>
        <w:keepNext/>
      </w:pPr>
    </w:p>
    <w:p w:rsidR="001D6FAE" w:rsidRDefault="001D6FAE" w:rsidP="001D6FAE">
      <w:pPr>
        <w:pStyle w:val="TextoNormal"/>
      </w:pPr>
      <w:r>
        <w:t>Con todo el respeto que nos merece la opinión de la mayoría, debemos manifestar nuestra discrepancia con el mantenimiento de la suspensión de los preceptos recurridos de la Ley del Parlamento de Cataluña 24/2015, de 29 de julio, de medidas urgentes para afrontar la emergencia en el ámbito de la vivienda y la pobreza energética, impugnados en este proceso constitucional.</w:t>
      </w:r>
    </w:p>
    <w:p w:rsidR="001D6FAE" w:rsidRDefault="001D6FAE" w:rsidP="001D6FAE">
      <w:pPr>
        <w:pStyle w:val="TextoNormal"/>
      </w:pPr>
    </w:p>
    <w:p w:rsidR="001D6FAE" w:rsidRDefault="001D6FAE" w:rsidP="001D6FAE">
      <w:pPr>
        <w:pStyle w:val="TextoNormal"/>
      </w:pPr>
      <w:r>
        <w:t>Los artículos cuestionados de la mencionada Ley catalana presentan un contenido similar al de los preceptos, también recurridos ante este Tribunal, de la Ley Foral 10/2010, de 10 de mayo, de derecho a la vivienda en Navarra, de la Ley 4/2013, de 1 de octubre, de la Comunidad Autónoma de Andalucía, de medidas para asegurar el cumplimiento de la función social de la vivienda, y de la Ley 2/2014, de 20 de junio, de modificación de la Ley 2/2003, de 30 de enero, de vivienda de Canarias y de medidas para garantizar el derecho a la vivienda.</w:t>
      </w:r>
    </w:p>
    <w:p w:rsidR="001D6FAE" w:rsidRDefault="001D6FAE" w:rsidP="001D6FAE">
      <w:pPr>
        <w:pStyle w:val="TextoNormal"/>
      </w:pPr>
    </w:p>
    <w:p w:rsidR="001D6FAE" w:rsidRDefault="001D6FAE" w:rsidP="001D6FAE">
      <w:pPr>
        <w:pStyle w:val="TextoNormal"/>
      </w:pPr>
      <w:r>
        <w:t>Los intereses que podrían verse afectados por el levantamiento de la suspensión de la Ley autonómica que, en este incidente, alega el Abogado del Estado son los mismos que expuso en los incidentes de suspensión que dieron lugar a los AATC 69/2014, de 10 de marzo, 115/2014, de 8 de abril, y 135/2015, de 21 de julio.</w:t>
      </w:r>
    </w:p>
    <w:p w:rsidR="001D6FAE" w:rsidRDefault="001D6FAE" w:rsidP="001D6FAE">
      <w:pPr>
        <w:pStyle w:val="TextoNormal"/>
      </w:pPr>
    </w:p>
    <w:p w:rsidR="001D6FAE" w:rsidRDefault="001D6FAE" w:rsidP="001D6FAE">
      <w:pPr>
        <w:pStyle w:val="TextoNormal"/>
      </w:pPr>
      <w:r>
        <w:t>En consecuencia, por las mismas razones que pusimos de manifiesto en los Votos particulares que suscribimos en ambos casos y a las que ahora nos remitimos, creemos que no ha quedado acreditado que la inmediata aplicación de la Ley 24/2015, de 29 de julio, pueda acarrear más daño al interés general que el derivado de la contradicción denunciada con la legislación estatal. Ello no es, sin duda, razón suficiente para enervar la presunción de validez de las disposiciones legales autonómicas. De ahí que el Auto del que discrepamos debiera haber acordado el levantamiento de la suspensión.</w:t>
      </w:r>
    </w:p>
    <w:p w:rsidR="001D6FAE" w:rsidRDefault="001D6FAE" w:rsidP="001D6FAE">
      <w:pPr>
        <w:pStyle w:val="TextoNormal"/>
      </w:pPr>
    </w:p>
    <w:p w:rsidR="001D6FAE" w:rsidRDefault="001D6FAE" w:rsidP="001D6FAE">
      <w:pPr>
        <w:pStyle w:val="TextoNormal"/>
      </w:pPr>
      <w:r>
        <w:t>Madrid, a veinte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5" w:name="AUTO_2016_161"/>
      <w:r>
        <w:t>AUTO 161/2016, de 21 de septiembre de 2016</w:t>
      </w:r>
    </w:p>
    <w:bookmarkEnd w:id="135"/>
    <w:p w:rsidR="001D6FAE" w:rsidRDefault="001D6FAE" w:rsidP="001D6FAE">
      <w:pPr>
        <w:pStyle w:val="TtuloResolucin"/>
      </w:pPr>
      <w:r>
        <w:t>Sección Primera</w:t>
      </w:r>
    </w:p>
    <w:p w:rsidR="001D6FAE" w:rsidRDefault="001D6FAE" w:rsidP="001D6FAE">
      <w:pPr>
        <w:pStyle w:val="TextoNormalCentrado"/>
      </w:pPr>
      <w:r>
        <w:t>ECLI:ES:TC:2016:161A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36" w:name="AUTO_2016_162"/>
      <w:r>
        <w:t>AUTO 162/2016, de 22 de septiembre de 2016</w:t>
      </w:r>
    </w:p>
    <w:bookmarkEnd w:id="136"/>
    <w:p w:rsidR="001D6FAE" w:rsidRDefault="001D6FAE" w:rsidP="001D6FAE">
      <w:pPr>
        <w:pStyle w:val="TtuloResolucin"/>
      </w:pPr>
      <w:r>
        <w:t>Pleno</w:t>
      </w:r>
    </w:p>
    <w:p w:rsidR="001D6FAE" w:rsidRDefault="001D6FAE" w:rsidP="001D6FAE">
      <w:pPr>
        <w:pStyle w:val="TextoNormalCentrado"/>
      </w:pPr>
      <w:r>
        <w:t>ECLI:ES:TC:2016:162A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Deniega la suspensión en el conflicto positivo de competencia 2057-2016, planteado por el Gobierno de la Comunidad Autónoma de Aragón en relación con varios preceptos del Real Decreto 954/2015, de 23 de octubre, por el que se regula la indicación, uso y autorización de dispensación de medicamentos y productos sanitarios de uso humano por parte de enfermeros.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15 de abril de 2016, el Letrado de la Comunidad Autónoma de Aragón, en la representación que legalmente ostenta del Gobierno de esa Comunidad Autónoma, promueve conflicto positivo de competencia en relación con el Real Decreto 954/2015, de 23 de octubre, por el que se regula la indicación, uso y autorización de dispensación de medicamentos y productos sanitarios de uso humano por parte de los enfermeros.</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El Letrado de la Comunidad Autónoma de Aragón solicita, mediante otrosí, y al amparo de lo previsto en el art. 64.3 de la Ley Orgánica del Tribunal Constitucional (LOTC), la suspensión de la disposición impugnada, por entender que se está produciendo un perjuicio de imposible o difícil reparación, pues la modificación introducida en el sistema actual de provisión de la asistencia sanitaria sin un período de </w:t>
      </w:r>
      <w:r w:rsidRPr="001D6FAE">
        <w:rPr>
          <w:i/>
        </w:rPr>
        <w:t>vacatio legis</w:t>
      </w:r>
      <w:r>
        <w:t xml:space="preserve"> puede generar alarmas de salud pública y deficiencias en la asistencia sanitaria prestada en todo el territorio nacional. Se alega la existencia de perjuicios muy graves para la población en general, que concreta en las campañas de vacunación, la dispensación de heparina y la asistencia en ambulancia, indicando que paralizaría la eficacia y agilidad de la actuación de los profesionales de la enfermería en dichos ámbitos.</w:t>
      </w:r>
    </w:p>
    <w:p w:rsidR="001D6FAE" w:rsidRDefault="001D6FAE" w:rsidP="001D6FAE">
      <w:pPr>
        <w:pStyle w:val="TextoNormal"/>
      </w:pPr>
    </w:p>
    <w:p w:rsidR="001D6FAE" w:rsidRDefault="001D6FAE" w:rsidP="001D6FAE">
      <w:pPr>
        <w:pStyle w:val="TextoNormal"/>
      </w:pPr>
      <w:r w:rsidRPr="001D6FAE">
        <w:rPr>
          <w:rStyle w:val="NumeroAFNegritaCaracter"/>
        </w:rPr>
        <w:t>3</w:t>
      </w:r>
      <w:r>
        <w:t>. El Pleno del Tribunal Constitucional, por providencia de 10 de mayo de 2016, acordó admitir a trámite el presente conflicto positivo de competencias; dar traslado de la demanda y documentos presentados al Gobierno de la Nación por conducto de su Presidente, al objeto de que en el plazo de 20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impugnada o se impugnare la citada disposición, en cuyo caso se suspenderá el curso del proceso hasta la decisión del conflicto, según dispone el art. 61.2 LOTC; y publicar la incoación del conflicto en el “Boletín Oficial del Estado” y en el “Boletín Oficial de Aragón”.</w:t>
      </w:r>
    </w:p>
    <w:p w:rsidR="001D6FAE" w:rsidRDefault="001D6FAE" w:rsidP="001D6FAE">
      <w:pPr>
        <w:pStyle w:val="TextoNormal"/>
      </w:pPr>
    </w:p>
    <w:p w:rsidR="001D6FAE" w:rsidRDefault="001D6FAE" w:rsidP="001D6FAE">
      <w:pPr>
        <w:pStyle w:val="TextoNormal"/>
      </w:pPr>
      <w:r w:rsidRPr="001D6FAE">
        <w:rPr>
          <w:rStyle w:val="NumeroAFNegritaCaracter"/>
        </w:rPr>
        <w:t>4</w:t>
      </w:r>
      <w:r>
        <w:t>. Por escrito registrado el día 25 de mayo de 2016, el Abogado del Estado, en la representación que legalmente ostenta, se personó en el procedimiento solicitando una prórroga de diez días del plazo inicialmente concedido para formular alegaciones. Mediante providencia de 26 de mayo de 2016, el Pleno de este Tribunal Constitucional acordó incorporar a las actuaciones el escrito presentado por el Abogado del Estado, a quien tuvo por personado, accediéndose asimismo a la prórroga solicitada.</w:t>
      </w:r>
    </w:p>
    <w:p w:rsidR="001D6FAE" w:rsidRDefault="001D6FAE" w:rsidP="001D6FAE">
      <w:pPr>
        <w:pStyle w:val="TextoNormal"/>
      </w:pPr>
    </w:p>
    <w:p w:rsidR="001D6FAE" w:rsidRDefault="001D6FAE" w:rsidP="001D6FAE">
      <w:pPr>
        <w:pStyle w:val="TextoNormal"/>
      </w:pPr>
      <w:r w:rsidRPr="001D6FAE">
        <w:rPr>
          <w:rStyle w:val="NumeroAFNegritaCaracter"/>
        </w:rPr>
        <w:t>5</w:t>
      </w:r>
      <w:r>
        <w:t>. El Abogado del Estado presentó su escrito de alegaciones en fecha 4 de julio de 2016. En dicho escrito se opone a la demanda y solicita que se dicte sentencia desestimatoria del conflicto planteado, declarando que la competencia controvertida corresponde al Estado.</w:t>
      </w:r>
    </w:p>
    <w:p w:rsidR="001D6FAE" w:rsidRDefault="001D6FAE" w:rsidP="001D6FAE">
      <w:pPr>
        <w:pStyle w:val="TextoNormal"/>
      </w:pPr>
    </w:p>
    <w:p w:rsidR="001D6FAE" w:rsidRDefault="001D6FAE" w:rsidP="001D6FAE">
      <w:pPr>
        <w:pStyle w:val="TextoNormal"/>
      </w:pPr>
      <w:r>
        <w:t>En el primer otrosí del escrito, y en relación a la petición de suspensión de los artículos sobre los que se plantea el conflicto, manifiesta que, sin perjuicio de que la Abogacía del Estado se oponga a ella, negando rotundamente los perjuicios alegados de contrario, se reserva el derecho a formular alegaciones frente a la misma en el momento en que se abra la pieza de suspensión y se le dé traslado para ello.</w:t>
      </w:r>
    </w:p>
    <w:p w:rsidR="001D6FAE" w:rsidRDefault="001D6FAE" w:rsidP="001D6FAE">
      <w:pPr>
        <w:pStyle w:val="TextoNormal"/>
      </w:pPr>
    </w:p>
    <w:p w:rsidR="001D6FAE" w:rsidRDefault="001D6FAE" w:rsidP="001D6FAE">
      <w:pPr>
        <w:pStyle w:val="TextoNormal"/>
      </w:pPr>
      <w:r w:rsidRPr="001D6FAE">
        <w:rPr>
          <w:rStyle w:val="NumeroAFNegritaCaracter"/>
        </w:rPr>
        <w:t>6</w:t>
      </w:r>
      <w:r>
        <w:t>. Mediante providencia de 5 de julio de 2016, el Pleno de este Tribunal Constitucional acuerda oír al Abogado del Estado, a fin de que, en el plazo de quince días, alegue lo que estime oportuno respecto a la solicitud de suspensión cautela formulada por el Letrado de la Comunidad Autónoma de Aragón.</w:t>
      </w:r>
    </w:p>
    <w:p w:rsidR="001D6FAE" w:rsidRDefault="001D6FAE" w:rsidP="001D6FAE">
      <w:pPr>
        <w:pStyle w:val="TextoNormal"/>
      </w:pPr>
    </w:p>
    <w:p w:rsidR="001D6FAE" w:rsidRDefault="001D6FAE" w:rsidP="001D6FAE">
      <w:pPr>
        <w:pStyle w:val="TextoNormal"/>
      </w:pPr>
      <w:r w:rsidRPr="001D6FAE">
        <w:rPr>
          <w:rStyle w:val="NumeroAFNegritaCaracter"/>
        </w:rPr>
        <w:t>7</w:t>
      </w:r>
      <w:r>
        <w:t>. En escrito de 29 de julio de 2016, el Abogado del Estado formula alegaciones en relación con la solicitud de suspensión cautelar formulada por la representación legal de la Comunidad Autónoma de Aragón, en el que suplica que se deniegue la suspensión solicitada.</w:t>
      </w:r>
    </w:p>
    <w:p w:rsidR="001D6FAE" w:rsidRDefault="001D6FAE" w:rsidP="001D6FAE">
      <w:pPr>
        <w:pStyle w:val="TextoNormal"/>
      </w:pPr>
    </w:p>
    <w:p w:rsidR="001D6FAE" w:rsidRDefault="001D6FAE" w:rsidP="001D6FAE">
      <w:pPr>
        <w:pStyle w:val="TextoNormal"/>
      </w:pPr>
      <w:r>
        <w:t>Tras hacer referencia a la doctrina constitucional recaída en relación con lo dispuesto en el art. 64.3 LOTC, considera que es necesario proceder a una valoración de los perjuicios que, tanto al interés general como al interés de los profesionales de la enfermería, causaría la suspensión de la vigencia de los artículos sobre los que se ha planteado el conflicto, y la inexistencia de perjuicio para la Comunidad Autónoma de Aragón, derivado del mantenimiento de la vigencia de los mismos.</w:t>
      </w:r>
    </w:p>
    <w:p w:rsidR="001D6FAE" w:rsidRDefault="001D6FAE" w:rsidP="001D6FAE">
      <w:pPr>
        <w:pStyle w:val="TextoNormal"/>
      </w:pPr>
    </w:p>
    <w:p w:rsidR="001D6FAE" w:rsidRDefault="001D6FAE" w:rsidP="001D6FAE">
      <w:pPr>
        <w:pStyle w:val="TextoNormal"/>
      </w:pPr>
      <w:r>
        <w:t>Antes de proceder a dicho examen, y en relación al objeto del conflicto, recuerda que la Comunidad Autónoma no se cuestiona la competencia normativa del Estado para regular reglamentariamente el procedimiento de acreditación de los enfermeros para el uso, autorización y dispensación de medicamentos, sino únicamente el hecho de que la acreditación se otorgue por la Dirección General de Ordenación Profesional del Ministerio de Sanidad, Servicios Sociales e Igualdad, por considerar que se trata de un acto de mera ejecución que debería corresponder a la Comunidad Autónoma. Por su parte, el Abogado del Estado entiende que la competencia del Estado para normar el procedimiento de acreditación de los enfermeros entra dentro de las bases y coordinación general en materia de sanidad, siendo los artículos sobre los que se plantea el conflicto consecuencia de una obligación legal establecida en el art. 79 del texto refundido de la Ley de garantías y uso racional de medicamentos y productos sanitarios (Real Decreto Legislativo 1/2015, de 24 de julio,) reseñando la importancia que tiene la dispensación y uso de medicamentos en el sistema sanitario de atención al paciente, lo que hace necesaria la unificación de la acreditación de adquisición de dicha competencia profesional por un órgano centralizado.</w:t>
      </w:r>
    </w:p>
    <w:p w:rsidR="001D6FAE" w:rsidRDefault="001D6FAE" w:rsidP="001D6FAE">
      <w:pPr>
        <w:pStyle w:val="TextoNormal"/>
      </w:pPr>
    </w:p>
    <w:p w:rsidR="001D6FAE" w:rsidRDefault="001D6FAE" w:rsidP="001D6FAE">
      <w:pPr>
        <w:pStyle w:val="TextoNormal"/>
      </w:pPr>
      <w:r>
        <w:t>Continua señalando que el art. 79 del Real Decreto Legislativo 1/2015 no ha sido impugnado por el Gobierno de Aragón, y que el Real Decreto 954/2015 no es sino desarrollo de dicho precepto, con lo que, de acuerdo con el principio de jerarquía normativa, no pueden suspenderse los artículos del mismo sin haberse suspendido el precepto de la ley que desarrollan. El citado precepto legal establece que solo tres profesionales del sector sanitario (médicos, odontólogos y podólogos) pueden indicar, usar o autorizar la dispensación de medicamentos. Para que los profesionales de la enfermería puedan adquirir los conocimientos, habilidades y aptitudes necesarias para poder indicar, usar o autorizar la dispensación de medicamentos deben adquirir una formación complementaria a la recibida para la obtención del grado de enfermería, debiendo esta formación cumplir una serie de requisitos y, además, ser acreditada ante los poderes públicos, para que éstos autoricen que los profesionales de la enfermería puedan indicar, usar y autorizar la dispensación de medicamentos.</w:t>
      </w:r>
    </w:p>
    <w:p w:rsidR="001D6FAE" w:rsidRDefault="001D6FAE" w:rsidP="001D6FAE">
      <w:pPr>
        <w:pStyle w:val="TextoNormal"/>
      </w:pPr>
    </w:p>
    <w:p w:rsidR="001D6FAE" w:rsidRDefault="001D6FAE" w:rsidP="001D6FAE">
      <w:pPr>
        <w:pStyle w:val="TextoNormal"/>
      </w:pPr>
      <w:r>
        <w:t>Es decir, antes de la vigencia del Real Decreto 954/2015, los enfermeros no tenían facultades para poder indicar, usar y autorizar medicamentos, y, además, a diferencia de otras Comunidades Autónomas, la de Aragón no tenía regulada esta materia, por lo que se regía por la normativa básica estatal al respecto. Por ello, aunque se suspendieran los preceptos cuestionados, seguiría estando vigente el art. 79 del Real Decreto Legislativo 1/2015, por lo que los enfermeros seguirían sin poder ejercer dichas facultades so pena de incumplir la ley.</w:t>
      </w:r>
    </w:p>
    <w:p w:rsidR="001D6FAE" w:rsidRDefault="001D6FAE" w:rsidP="001D6FAE">
      <w:pPr>
        <w:pStyle w:val="TextoNormal"/>
      </w:pPr>
    </w:p>
    <w:p w:rsidR="001D6FAE" w:rsidRDefault="001D6FAE" w:rsidP="001D6FAE">
      <w:pPr>
        <w:pStyle w:val="TextoNormal"/>
      </w:pPr>
      <w:r>
        <w:t>Afirma el Abogado del Estado que la suspensión solicitada de los arts. 2.2 y del párrafo primero del art. 3.2 del Real Decreto 954/2015 supondría reconocer automáticamente la capacidad de los profesionales de la enfermería para indicar, usar y autorizar la dispensación de medicamentos de uso humano, sometidos o no a receta médica. Y esta competencia sería atribuida a estos profesionales sin haber accedido, como establece el ordenamiento jurídico, a la adquisición de habilidades y aptitudes necesarias para desarrollarla ya que, precisamente, los artículos cuya suspensión se solicita son los que establecen la previa y necesaria acreditación de estas habilidades. Ello produciría un grave quebranto del derecho a la salud de la población y en la configuración del sistema nacional de salud, pudiendo, hipotéticamente, ejercer dichas facultades sin tener la capacitación para ello.</w:t>
      </w:r>
    </w:p>
    <w:p w:rsidR="001D6FAE" w:rsidRDefault="001D6FAE" w:rsidP="001D6FAE">
      <w:pPr>
        <w:pStyle w:val="TextoNormal"/>
      </w:pPr>
    </w:p>
    <w:p w:rsidR="001D6FAE" w:rsidRDefault="001D6FAE" w:rsidP="001D6FAE">
      <w:pPr>
        <w:pStyle w:val="TextoNormal"/>
      </w:pPr>
      <w:r>
        <w:t>Con respecto a los demás artículos cuya suspensión se solicita, relativos a la acreditación de la formación adquirida por los enfermeros para la indicación, uso y autorización de dispensación de medicamentos, considera el Abogado del Estado que su suspensión produciría unos perjuicios muy graves a los profesionales de la enfermería que ya tienen concedida, en virtud de los mismos, la acreditación correspondiente, así como a aquellos profesionales que han comenzado dicho procedimiento y se encuentran a la espera de su resolución, como consecuencia de la demora que ello implicaría, truncando sus legítimas expectativas.</w:t>
      </w:r>
    </w:p>
    <w:p w:rsidR="001D6FAE" w:rsidRDefault="001D6FAE" w:rsidP="001D6FAE">
      <w:pPr>
        <w:pStyle w:val="TextoNormal"/>
      </w:pPr>
    </w:p>
    <w:p w:rsidR="001D6FAE" w:rsidRDefault="001D6FAE" w:rsidP="001D6FAE">
      <w:pPr>
        <w:pStyle w:val="TextoNormal"/>
      </w:pPr>
      <w:r>
        <w:t>Por último, respecto a la validación de los protocolos previstos en el apartado 3, párrafo segundo de la disposición transitoria única, considera el representante estatal que se regula un supuesto de carácter excepcional, en una materia no regulada por el Gobierno de Aragón, por lo que no se producirían los perjuicios que se alegan, al no estar en el supuesto que contempla el precepto cuya suspensión se solicita.</w:t>
      </w:r>
    </w:p>
    <w:p w:rsidR="001D6FAE" w:rsidRDefault="001D6FAE" w:rsidP="001D6FAE">
      <w:pPr>
        <w:pStyle w:val="TextoNormal"/>
      </w:pPr>
    </w:p>
    <w:p w:rsidR="001D6FAE" w:rsidRDefault="001D6FAE" w:rsidP="001D6FAE">
      <w:pPr>
        <w:pStyle w:val="TextoNormal"/>
      </w:pPr>
      <w:r>
        <w:t>En lo que respecta a los posibles perjuicios para el interés general en el supuesto de mantenimiento de la vigencia de los preceptos impugnados, el Abogado del Estado se remite a lo señalado en la pieza cautelar del recurso contencioso-administrativo que se sigue ante el Tribunal Supremo frente al Real Decreto 954/2015, recogiendo literalmente lo dispuesto en el Auto de 15 de marzo de 2016: “no solo se trata de alegaciones puramente apodícticas, carentes del mínimo soporte acreditativo, siquiera indiciario, sino que no contemplan el otro aspecto (esencial) que necesariamente debe ponderarse: las mayores garantías que, en principio dispensan la repetidas exigencias a los destinatarios de la sanidad”. Reitera el representante estatal que con anterioridad a la vigencia del Real Decreto 954/2015, los profesionales de la enfermería no tenían facultades para la indicación, uso y autorización de la dispensación de medicamentos, por lo que los supuestos problemas que plantea el Gobierno de Aragón no se producirían por la entrada en vigor de los preceptos cuestionados. A mayor abundamiento, los perjuicios alegados no pasan de ser una mera valoración hipotética de situaciones que se producirían, sin que se haya acreditado perjuicio alguno durante el tiempo transcurrido desde la entrada en vigor de la nueva normativa, por lo que no se cumple la reiterada exigencia contenida en la doctrina constitucional de que haya de tratarse de “perjuicios efectivos”.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 la presente resolución es determinar si procede, de acuerdo con lo regulado en el art. 64.3 de la Ley Orgánica del Tribunal Constitucional (LOTC), acordar la suspensión de la vigencia del Real Decreto 954/2015, de 23 de octubre, por el que se regula la indicación, uso y autorización de dispensación de medicamentos y productos sanitarios de uso humano por parte de los enfermeros. Dicha suspensión ha sido solicitada por la representación procesal del Gobierno de Aragón en su escrito de formalización del conflicto positivo de competencias 2057-2016, en relación a determinados preceptos, que son objeto del citado conflicto.</w:t>
      </w:r>
    </w:p>
    <w:p w:rsidR="001D6FAE" w:rsidRDefault="001D6FAE" w:rsidP="001D6FAE">
      <w:pPr>
        <w:pStyle w:val="TextoNormal"/>
      </w:pPr>
    </w:p>
    <w:p w:rsidR="001D6FAE" w:rsidRDefault="001D6FAE" w:rsidP="001D6FAE">
      <w:pPr>
        <w:pStyle w:val="TextoNormal"/>
      </w:pPr>
      <w:r w:rsidRPr="001D6FAE">
        <w:rPr>
          <w:rStyle w:val="NumeroAFNegritaCaracter"/>
        </w:rPr>
        <w:t>2</w:t>
      </w:r>
      <w:r>
        <w:t>. Según consolidada doctrina constitucional recaída en este tipo de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(AATC 472/1988, de 19 de abril; 589/1588, de 10 de mayo; 285/1990, de 11 de julio; 266/1994, de 4 de octubre, y 39/1995, de 13 de febrero).</w:t>
      </w:r>
    </w:p>
    <w:p w:rsidR="001D6FAE" w:rsidRDefault="001D6FAE" w:rsidP="001D6FAE">
      <w:pPr>
        <w:pStyle w:val="TextoNormal"/>
      </w:pPr>
    </w:p>
    <w:p w:rsidR="001D6FAE" w:rsidRDefault="001D6FAE" w:rsidP="001D6FAE">
      <w:pPr>
        <w:pStyle w:val="TextoNormal"/>
      </w:pPr>
      <w:r>
        <w:t xml:space="preserve">Esta doctrina, establecida en principio en resoluciones en las que nos pronunciábamos sobre el levantamiento o el mantenimiento de la suspensión de disposiciones o actos dictados por las Comunidades Autónomas que se encontraban suspendidas </w:t>
      </w:r>
      <w:r w:rsidRPr="001D6FAE">
        <w:rPr>
          <w:i/>
        </w:rPr>
        <w:t>ex</w:t>
      </w:r>
      <w:r>
        <w:t xml:space="preserve"> art. 161.2 CE, resulta también de plena aplicación cuando han sido las propias Comunidades Autónomas las que han solicitado la suspensión de normas o resoluciones estatales impugnadas (ATC 97/2004, de 23 de marzo y resoluciones allí citadas” (ATC 278/2009, de 10 de diciembre, FJ 2).</w:t>
      </w:r>
    </w:p>
    <w:p w:rsidR="001D6FAE" w:rsidRDefault="001D6FAE" w:rsidP="001D6FAE">
      <w:pPr>
        <w:pStyle w:val="TextoNormal"/>
      </w:pPr>
    </w:p>
    <w:p w:rsidR="001D6FAE" w:rsidRDefault="001D6FAE" w:rsidP="001D6FAE">
      <w:pPr>
        <w:pStyle w:val="TextoNormal"/>
      </w:pPr>
      <w:r w:rsidRPr="001D6FAE">
        <w:rPr>
          <w:rStyle w:val="NumeroAFNegritaCaracter"/>
        </w:rPr>
        <w:t>3</w:t>
      </w:r>
      <w:r>
        <w:t>. El Real Decreto 954/2015 es una disposición reglamentaria que viene a desarrollar el art. 79.1 del texto refundido de la Ley de garantías y uso racional de los medicamentos y productos sanitarios, aprobado por el Real Decreto Legislativo 1/2015, de 24 de julio, en donde se dispone que el Gobierno regulará la indicación, uso y autorización de dispensación de determinados medicamentos sujetos a prescripción médica por los enfermeros. A través de los preceptos impugnados, el Real Decreto 954/2015 viene a establecer el sistema de acreditación de los profesionales de la enfermería para la indicación, uso y autorización de dispensación de medicamentos y productos sanitarios de uso humano, cuya emisión se atribuye a la Dirección general de ordenación profesional del Ministerio de Sanidad, Servicios Sociales e Igualdad.</w:t>
      </w:r>
    </w:p>
    <w:p w:rsidR="001D6FAE" w:rsidRDefault="001D6FAE" w:rsidP="001D6FAE">
      <w:pPr>
        <w:pStyle w:val="TextoNormal"/>
      </w:pPr>
    </w:p>
    <w:p w:rsidR="001D6FAE" w:rsidRDefault="001D6FAE" w:rsidP="001D6FAE">
      <w:pPr>
        <w:pStyle w:val="TextoNormal"/>
      </w:pPr>
      <w:r>
        <w:t xml:space="preserve">La solicitud de suspensión de la norma impugnada se fundamenta por el Letrado de la Comunidad Autónoma en la existencia de perjuicios de imposible o difícil reparación, que se concretan en que un cambio drástico y burocrático en el sistema actual de provisión de la asistencia sanitaria, sin un período de </w:t>
      </w:r>
      <w:r w:rsidRPr="001D6FAE">
        <w:rPr>
          <w:i/>
        </w:rPr>
        <w:t>vacatio legis</w:t>
      </w:r>
      <w:r>
        <w:t>, puede generar alarmas de salud pública y deficiencias en la asistencia sanitaria en todo el territorio nacional, al paralizar la eficacia en la actuación de los profesionales de la enfermería en los ámbitos relativos a campañas de vacunación, dispensación de heparina y asistencia en ambulancia por la obtención de la correspondiente acreditación. Por el contrario, se afirma que la suspensión del Real Decreto, ningún perjuicio produce en el interés general, al continuar el sistema de prestación de la asistencia sanitaria en los términos anteriores a la entrada en vigor del mismo y permite, en caso de que el recurso sea desestimado, un plazo razonable para la preparación.</w:t>
      </w:r>
    </w:p>
    <w:p w:rsidR="001D6FAE" w:rsidRDefault="001D6FAE" w:rsidP="001D6FAE">
      <w:pPr>
        <w:pStyle w:val="TextoNormal"/>
      </w:pPr>
    </w:p>
    <w:p w:rsidR="001D6FAE" w:rsidRDefault="001D6FAE" w:rsidP="001D6FAE">
      <w:pPr>
        <w:pStyle w:val="TextoNormal"/>
      </w:pPr>
      <w:r>
        <w:t>El Abogado del Estado se opone a la petición de suspensión en razón de la insuficiente acreditación del perjuicio alegado, por su carácter genérico e hipotético.</w:t>
      </w:r>
    </w:p>
    <w:p w:rsidR="001D6FAE" w:rsidRDefault="001D6FAE" w:rsidP="001D6FAE">
      <w:pPr>
        <w:pStyle w:val="TextoNormal"/>
      </w:pPr>
    </w:p>
    <w:p w:rsidR="001D6FAE" w:rsidRDefault="001D6FAE" w:rsidP="001D6FAE">
      <w:pPr>
        <w:pStyle w:val="TextoNormal"/>
      </w:pPr>
      <w:r w:rsidRPr="001D6FAE">
        <w:rPr>
          <w:rStyle w:val="NumeroAFNegritaCaracter"/>
        </w:rPr>
        <w:t>4</w:t>
      </w:r>
      <w:r>
        <w:t>. Al respecto ha de advertirse que los artículos sobre los que se plantea el conflicto vienen a dar cumplimiento a la previsión contenida en el art. 79 del texto refundido de la Ley de garantías y uso racional de medicamentos y productos, en donde se contempla que los profesionales de la enfermería puedan adquirir los conocimientos, habilidades y aptitudes necesarias para poder indicar, usar o autorizar la dispensación de medicamentos, a través de una formación complementaria a la recibida para la obtención del grado de enfermería, debiendo esta formación cumplir una serie de requisitos y, además, ser acreditada ante los poderes públicos, reconociéndose así a estos profesionales unas facultades de las que con anterioridad carecían.</w:t>
      </w:r>
    </w:p>
    <w:p w:rsidR="001D6FAE" w:rsidRDefault="001D6FAE" w:rsidP="001D6FAE">
      <w:pPr>
        <w:pStyle w:val="TextoNormal"/>
      </w:pPr>
    </w:p>
    <w:p w:rsidR="001D6FAE" w:rsidRDefault="001D6FAE" w:rsidP="001D6FAE">
      <w:pPr>
        <w:pStyle w:val="TextoNormal"/>
      </w:pPr>
      <w:r>
        <w:t>Ello implica, por un lado, que la disposición reglamentaria que se examina, en cuanto norma que viene a dar cumplimiento a las previsiones contenidas en un texto legislativo vigente, cabe presumir que se acomoda a lo dispuesto en la norma legal que le sirve de cobertura, por lo que goza de la presunción de constitucionalidad que se predica del precepto legislativo a cuyo cumplimiento atiende, así como a la satisfacción de los objetivos de interés general, que de dicho texto cabe predicar. Y ello determina asimismo que la suspensión solicitada precise de una argumentación detallada que permita afirmar que, de no accederse a la misma se producirían perjuicios efectivos tanto al interés general como al interés de los profesionales de la enfermería.</w:t>
      </w:r>
    </w:p>
    <w:p w:rsidR="001D6FAE" w:rsidRDefault="001D6FAE" w:rsidP="001D6FAE">
      <w:pPr>
        <w:pStyle w:val="TextoNormal"/>
      </w:pPr>
    </w:p>
    <w:p w:rsidR="001D6FAE" w:rsidRDefault="001D6FAE" w:rsidP="001D6FAE">
      <w:pPr>
        <w:pStyle w:val="TextoNormal"/>
      </w:pPr>
      <w:r w:rsidRPr="001D6FAE">
        <w:rPr>
          <w:rStyle w:val="NumeroAFNegritaCaracter"/>
        </w:rPr>
        <w:t>5</w:t>
      </w:r>
      <w:r>
        <w:t>. Los perjuicios alegados por los recurrentes no van más allá de una mera invocación genérica, que parte de la afirmación de que el procedimiento de acreditación previsto en los preceptos impugnados, al contemplarse su inmediata entrada en vigor, sería susceptible de producir alteraciones en la forma de prestación de la asistencia sanitaria en determinados ámbitos específicos, en la medida en que produce un cambio en la dinámica actual de prestación de los servicios por los enfermeros, que podría dar lugar a pérdida de agilidad y eficacia en determinadas modalidades de atención sanitaria.</w:t>
      </w:r>
    </w:p>
    <w:p w:rsidR="001D6FAE" w:rsidRDefault="001D6FAE" w:rsidP="001D6FAE">
      <w:pPr>
        <w:pStyle w:val="TextoNormal"/>
      </w:pPr>
    </w:p>
    <w:p w:rsidR="001D6FAE" w:rsidRDefault="001D6FAE" w:rsidP="001D6FAE">
      <w:pPr>
        <w:pStyle w:val="TextoNormal"/>
      </w:pPr>
      <w:r>
        <w:t>Dichos perjuicios no sólo tienen un carácter abstracto, carente de un mínimo soporte acreditativo, sino que omiten un aspecto que resulta esencial, esto es, la naturaleza de normas de garantía que cabe atribuir a los preceptos impugnados, que cumplen el objetivo de acreditar la posesión de las habilidades necesarias para el ejercicio de las nuevas facultades que se atribuyen a los profesionales de la enfermería, cuya suspensión sería susceptible de generar un riesgo evidente en la protección de la salud de los destinatarios de la prestación sanitaria; más aún si ello permitiera entender que, mantenida la vigencia del resto del articulado que no ha sido objeto de impugnación, pudiera llegarse al erróneo entendimiento de facultar a los enfermeros para el ejercicio de las nuevas funciones, sin la previa habilitación que los preceptos impugnados contemplan. Razones todas ellas que justifican el mantenimiento de la vigencia de tales preceptos, sin que pueda apreciarse que su inmediata entrada en vigor constituya en sí misma argumento justificativo que permita llegar a una conclusión de signo contrario, ni se haya alegado perjuicio alguno de carácter efectivo y demostrable, vinculado a la vigencia de tales preceptos.</w:t>
      </w:r>
    </w:p>
    <w:p w:rsidR="001D6FAE" w:rsidRDefault="001D6FAE" w:rsidP="001D6FAE">
      <w:pPr>
        <w:pStyle w:val="TextoNormal"/>
      </w:pPr>
    </w:p>
    <w:p w:rsidR="001D6FAE" w:rsidRDefault="001D6FAE" w:rsidP="001D6FAE">
      <w:pPr>
        <w:pStyle w:val="TextoNormal"/>
      </w:pPr>
      <w:r>
        <w:t>Nos hallamos pues ante alegaciones genéricas de supuestos perjuicios hipotéticos, sin que por la Comunidad Autónoma se haya cumplido adecuadamente la carga de acreditar o, cuando menos, razonar de forma convincente la efectiva existencia de los perjuicios aducidos y de las dificultades que entrañaría su reparación, lo que hace que deba prevalecer la presunción de constitucionalidad de los preceptos controvertidos, sin que ello suponga pronunciamiento alguno sobre el fondo del recurso (ATC 258/2007, de 23 de mayo, FJ 5).</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No acceder a la suspensión de la vigencia del Real Decreto 954/2015, de 23 de octubre, por el que se regula la indicación, uso y autorización de dispensación de medicamentos y productos sanitarios de uso humano por parte de los enfermeros.</w:t>
      </w:r>
    </w:p>
    <w:p w:rsidR="001D6FAE" w:rsidRDefault="001D6FAE" w:rsidP="001D6FAE">
      <w:pPr>
        <w:pStyle w:val="TextoNormal"/>
      </w:pPr>
    </w:p>
    <w:p w:rsidR="001D6FAE" w:rsidRDefault="001D6FAE" w:rsidP="001D6FAE">
      <w:pPr>
        <w:pStyle w:val="TextoNormal"/>
      </w:pPr>
      <w:r>
        <w:t>Madrid, a veintidós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7" w:name="AUTO_2016_163"/>
      <w:r>
        <w:t>AUTO 163/2016, de 23 de septiembre de 2016</w:t>
      </w:r>
    </w:p>
    <w:bookmarkEnd w:id="137"/>
    <w:p w:rsidR="001D6FAE" w:rsidRDefault="001D6FAE" w:rsidP="001D6FAE">
      <w:pPr>
        <w:pStyle w:val="TtuloResolucin"/>
      </w:pPr>
      <w:r>
        <w:t>Sección Tercera</w:t>
      </w:r>
    </w:p>
    <w:p w:rsidR="001D6FAE" w:rsidRDefault="001D6FAE" w:rsidP="001D6FAE">
      <w:pPr>
        <w:pStyle w:val="TextoNormalCentrado"/>
      </w:pPr>
      <w:r>
        <w:t>ECLI:ES:TC:2016:163A</w:t>
      </w:r>
    </w:p>
    <w:p w:rsidR="001D6FAE" w:rsidRDefault="001D6FAE" w:rsidP="001D6FAE">
      <w:pPr>
        <w:pStyle w:val="TextoNormalCentrado"/>
      </w:pPr>
    </w:p>
    <w:p w:rsidR="001D6FAE" w:rsidRDefault="001D6FAE" w:rsidP="001D6FAE">
      <w:pPr>
        <w:pStyle w:val="SntesisDescriptiva"/>
      </w:pPr>
      <w:r>
        <w:t>Excms. Srs. doña Adela Asua Batarrita, don Juan José González Rivas y don Pedro José González-Trevijano Sánchez.</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38" w:name="AUTO_2016_164"/>
      <w:r>
        <w:t>AUTO 164/2016, de 27 de septiembre de 2016</w:t>
      </w:r>
    </w:p>
    <w:bookmarkEnd w:id="138"/>
    <w:p w:rsidR="001D6FAE" w:rsidRDefault="001D6FAE" w:rsidP="001D6FAE">
      <w:pPr>
        <w:pStyle w:val="TtuloResolucin"/>
      </w:pPr>
      <w:r>
        <w:t>Sección Cuarta</w:t>
      </w:r>
    </w:p>
    <w:p w:rsidR="001D6FAE" w:rsidRDefault="001D6FAE" w:rsidP="001D6FAE">
      <w:pPr>
        <w:pStyle w:val="TextoNormalCentrado"/>
      </w:pPr>
      <w:r>
        <w:t>ECLI:ES:TC:2016:164A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SntesisDescriptiva"/>
      </w:pPr>
      <w:r>
        <w:t>Estima el recurso de súplica del Ministerio Fiscal sobre inadmisión del recurso de amparo 5301-2015, promovido por doña Elena Bartolomé Llamazares y Ane Muguruza Bartolomé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23 de septiembre de 2015, don Javier Cuevas Rivas, Procurador de los Tribunales y de doña Elena Bartolomé Llamazares y doña Ane Muguruza Bartolomé, promovió en su nombre recurso de amparo contra la Sentencia de la Sección Quinta de la Sala de lo Contencioso-Administrativo de la Audiencia Nacional, de 24 de junio de 2015 (recurso 430-2013), que desestimó el recurso contencioso-administrativo interpuesto contra la resolución del Ministerio del Interior, de 21 de octubre de 2013, denegando la indemnización solicitada con base en la Ley 29/2011, de 22 de septiembre, de reconocimiento y protección integral a las víctimas del terrorismo.</w:t>
      </w:r>
    </w:p>
    <w:p w:rsidR="001D6FAE" w:rsidRDefault="001D6FAE" w:rsidP="001D6FAE">
      <w:pPr>
        <w:pStyle w:val="TextoNormal"/>
      </w:pPr>
    </w:p>
    <w:p w:rsidR="001D6FAE" w:rsidRDefault="001D6FAE" w:rsidP="001D6FAE">
      <w:pPr>
        <w:pStyle w:val="TextoNormal"/>
      </w:pPr>
      <w:r w:rsidRPr="001D6FAE">
        <w:rPr>
          <w:rStyle w:val="NumeroAFNegritaCaracter"/>
        </w:rPr>
        <w:t>2</w:t>
      </w:r>
      <w:r>
        <w:t>. La Sección Cuarta, Sala Segunda de este Tribunal, dictó providencia el 28 de junio de 2016 con el siguiente tenor: “La Sección ha examinado el recurso presentado y ha acordado no admitirlo a trámite con arreglo a lo previsto en el art. 50.1 a) LOTC, en relación con su art. 44.1 a), toda vez que el recurrente, que ha articulado su recurso de amparo por la vía del citado artículo 44 LOTC, no ha agotado debidamente los medios de impugnación dentro de la vía judicial (no interposición del incidente de nulidad de actuaciones previsto en el art. 241.1 LOPJ)”.</w:t>
      </w:r>
    </w:p>
    <w:p w:rsidR="001D6FAE" w:rsidRDefault="001D6FAE" w:rsidP="001D6FAE">
      <w:pPr>
        <w:pStyle w:val="TextoNormal"/>
      </w:pPr>
    </w:p>
    <w:p w:rsidR="001D6FAE" w:rsidRDefault="001D6FAE" w:rsidP="001D6FAE">
      <w:pPr>
        <w:pStyle w:val="TextoNormal"/>
      </w:pPr>
      <w:r w:rsidRPr="001D6FAE">
        <w:rPr>
          <w:rStyle w:val="NumeroAFNegritaCaracter"/>
        </w:rPr>
        <w:t>3</w:t>
      </w:r>
      <w:r>
        <w:t>. Contra esta decisión ha interpuesto el Ministerio Fiscal recurso de súplica, mediante escrito presentado en el Registro General de este Tribunal con fecha 21 de julio de 2016, el cual se fundamenta en síntesis, en que la demanda del presente recurso de amparo alega la vulneración del derecho a la presunción de inocencia (art. 24.2 CE), causada en origen en la vía administrativa, cuando se denegó lo pedido por las actoras con arreglo a los informes policiales disponibles. Lesión constitucional que, por ello mismo, se denunció ante la Sala de lo Contencioso-Administrativo que conoció del recurso planteado contra la resolución ministerial que resultaba adversa. Prosigue diciendo que constan a la Fiscalía otros recursos de amparo de contenido similar e idéntico agotamiento de la vía judicial, los cuales no han sido inadmitidos a trámite por este Tribunal por la causa declarada en este caso, sino por la “manifiesta inexistencia” de la vulneración denunciada. Considera el Fiscal que la vía judicial ha quedado correctamente agotada y no precisaba de la interposición del incidente de nulidad de actuaciones (art. 241 de la Ley Orgánica del Poder Judicial: LOPJ), por lo que solicita que se deje sin efecto nuestra providencia de 28 de junio de 2016, reponiendo las actuaciones al momento inmediatamente anterior al de su dictado.</w:t>
      </w:r>
    </w:p>
    <w:p w:rsidR="001D6FAE" w:rsidRDefault="001D6FAE" w:rsidP="001D6FAE">
      <w:pPr>
        <w:pStyle w:val="TextoNormal"/>
      </w:pPr>
    </w:p>
    <w:p w:rsidR="001D6FAE" w:rsidRDefault="001D6FAE" w:rsidP="001D6FAE">
      <w:pPr>
        <w:pStyle w:val="TextoNormal"/>
      </w:pPr>
      <w:r w:rsidRPr="001D6FAE">
        <w:rPr>
          <w:rStyle w:val="NumeroAFNegritaCaracter"/>
        </w:rPr>
        <w:t>4</w:t>
      </w:r>
      <w:r>
        <w:t>. Por diligencia de ordenación de 22 de julio de 2016, la Secretaría de Justicia de la Sección Cuarta de este Tribunal acordó unir a las actuaciones el escrito presentado por el Fiscal, y conceder un plazo común de tres días a las demás partes para alegaciones.</w:t>
      </w:r>
    </w:p>
    <w:p w:rsidR="001D6FAE" w:rsidRDefault="001D6FAE" w:rsidP="001D6FAE">
      <w:pPr>
        <w:pStyle w:val="TextoNormal"/>
      </w:pPr>
    </w:p>
    <w:p w:rsidR="001D6FAE" w:rsidRDefault="001D6FAE" w:rsidP="001D6FAE">
      <w:pPr>
        <w:pStyle w:val="TextoNormal"/>
      </w:pPr>
      <w:r>
        <w:t>En su respuesta, el representante procesal de las recurrentes formalizó escrito el 11 de agosto de 2016, manifestando su conformidad con lo solicitado por el Fiscal pues, explica, la “vulneración del derecho fundamental que esta parte alega es el derecho a la presunción de inocencia, vulneración del derecho que se ha analizado desde otros aspectos en el Tribunal al que nos dirigimos”. Asimismo, añade que el recurso plantea una segunda vulneración del derecho a la tutela judicial efectiva por aplicación retroactiva del Convenio europeo sobre indemnización s las víctimas de delitos violentos, lo que trae consigo que la Sala de lo Contencioso-Administrativo formule un juicio de culpabilidad que no le corresponde emitir a ella sino a la “vía penal”.</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Procede estimar el recurso de súplica del Ministerio Fiscal, a la vista de lo alegado por éste en su escrito, como también la parte recurrente en el trámite de alegaciones abierto. Dado que la demanda de amparo alega la lesión de dos derechos fundamentales, el de presunción de inocencia y el de tutela judicial efectiva, el primero de ellos atribuido en origen, efectivamente, a la resolución del Ministerio del Interior que denegó la indemnización solicitada, es cierto que al menos respecto de este motivo de amparo no era necesario agotar la vía del incidente de nulidad de actuaciones contra la Sentencia de la Sección Quinta de la Sala de lo Contencioso-Administrativo de la Audiencia Nacional, la cual desestimó el recurso interpuesto contra aquélla.</w:t>
      </w:r>
    </w:p>
    <w:p w:rsidR="001D6FAE" w:rsidRDefault="001D6FAE" w:rsidP="001D6FAE">
      <w:pPr>
        <w:pStyle w:val="TextoNormal"/>
      </w:pPr>
    </w:p>
    <w:p w:rsidR="001D6FAE" w:rsidRDefault="001D6FAE" w:rsidP="001D6FAE">
      <w:pPr>
        <w:pStyle w:val="TextoNormal"/>
      </w:pPr>
      <w:r>
        <w:t>Aunque la situación es distinta respecto del segundo motivo de la demanda de amparo (lesión del derecho a la tutela judicial efectiva), a fin de evitar la dispersión de resoluciones procede detener aquí nuestro análisis, con el resultado ya indicado de estimación del recurso de súplica, lo que determina que se deje sin efecto la providencia impugnada por el Fiscal, pero sin que esto comporte la admisión a trámite del presente recurso de amparo, sobre la que se resolverá en nueva providencia a dictar al efecto.</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el recurso de súplica interpuesto por el Ministerio Fiscal contra la providencia dictada el 28 de junio de 2016, dejando sin efecto la misma, y quedando las actuaciones en estado de proveer sobre la admisión a trámite del presente recurso.</w:t>
      </w:r>
    </w:p>
    <w:p w:rsidR="001D6FAE" w:rsidRDefault="001D6FAE" w:rsidP="001D6FAE">
      <w:pPr>
        <w:pStyle w:val="TextoNormal"/>
      </w:pPr>
    </w:p>
    <w:p w:rsidR="001D6FAE" w:rsidRDefault="001D6FAE" w:rsidP="001D6FAE">
      <w:pPr>
        <w:pStyle w:val="TextoNormal"/>
      </w:pPr>
      <w:r>
        <w:t>Madrid, a veintisiete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39" w:name="AUTO_2016_165"/>
      <w:r>
        <w:t>AUTO 165/2016, de 27 de septiembre de 2016</w:t>
      </w:r>
    </w:p>
    <w:bookmarkEnd w:id="139"/>
    <w:p w:rsidR="001D6FAE" w:rsidRDefault="001D6FAE" w:rsidP="001D6FAE">
      <w:pPr>
        <w:pStyle w:val="TtuloResolucin"/>
      </w:pPr>
      <w:r>
        <w:t>Sección Cuarta</w:t>
      </w:r>
    </w:p>
    <w:p w:rsidR="001D6FAE" w:rsidRDefault="001D6FAE" w:rsidP="001D6FAE">
      <w:pPr>
        <w:pStyle w:val="TextoNormalCentrado"/>
      </w:pPr>
      <w:r>
        <w:t>ECLI:ES:TC:2016:165A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SntesisDescriptiva"/>
      </w:pPr>
      <w:r>
        <w:t>Estima el recurso de súplica del Ministerio Fiscal sobre inadmisión del recurso de amparo 5409-2015, promovido por don José María Lasa Artola y doña Jesusa Arostegui Beraza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24 de septiembre de 2015, don Javier Cuevas Rivas, Procurador de los Tribunales y de don José María Lasa Artola y doña Jesusa Arostegui Beraza, promovió en su nombre recurso de amparo contra la Sentencia de la Sección Quinta de la Sala de lo Contencioso-Administrativo de la Audiencia Nacional, de 24 de junio de 2015 (recurso 147-2014), que desestimó el recurso contencioso-administrativo interpuesto contra la resolución del Ministerio del Interior, de 28 de febrero de 2014, denegando la indemnización solicitada con base en la Ley 29/2011, de 22 de septiembre, de reconocimiento y protección integral a las víctimas del terrorismo.</w:t>
      </w:r>
    </w:p>
    <w:p w:rsidR="001D6FAE" w:rsidRDefault="001D6FAE" w:rsidP="001D6FAE">
      <w:pPr>
        <w:pStyle w:val="TextoNormal"/>
      </w:pPr>
    </w:p>
    <w:p w:rsidR="001D6FAE" w:rsidRDefault="001D6FAE" w:rsidP="001D6FAE">
      <w:pPr>
        <w:pStyle w:val="TextoNormal"/>
      </w:pPr>
      <w:r w:rsidRPr="001D6FAE">
        <w:rPr>
          <w:rStyle w:val="NumeroAFNegritaCaracter"/>
        </w:rPr>
        <w:t>2</w:t>
      </w:r>
      <w:r>
        <w:t>. La Sección Cuarta, Sala Segunda de este Tribunal, dictó providencia el 28 de junio de 2016 con el siguiente tenor: “La Sección ha examinado el recurso presentado y ha acordado no admitirlo a trámite con arreglo a lo previsto en el art. 50.1 a) LOTC, en relación con su art. 44.1 a), toda vez que el recurrente, que ha articulado su recurso de amparo por la vía del citado artículo 44 LOTC, no ha agotado debidamente los medios de impugnación dentro de la vía judicial (no interposición del incidente de nulidad de actuaciones previsto en el art. 241.1 LOPJ)”.</w:t>
      </w:r>
    </w:p>
    <w:p w:rsidR="001D6FAE" w:rsidRDefault="001D6FAE" w:rsidP="001D6FAE">
      <w:pPr>
        <w:pStyle w:val="TextoNormal"/>
      </w:pPr>
    </w:p>
    <w:p w:rsidR="001D6FAE" w:rsidRDefault="001D6FAE" w:rsidP="001D6FAE">
      <w:pPr>
        <w:pStyle w:val="TextoNormal"/>
      </w:pPr>
      <w:r w:rsidRPr="001D6FAE">
        <w:rPr>
          <w:rStyle w:val="NumeroAFNegritaCaracter"/>
        </w:rPr>
        <w:t>3</w:t>
      </w:r>
      <w:r>
        <w:t>. Contra esta decisión ha interpuesto el Ministerio Fiscal recurso de súplica, mediante escrito presentado en el Registro General de este Tribunal con fecha 21 de julio de 2016, el cual se fundamenta en síntesis, en que la demanda del presente recurso de amparo alega la vulneración del derecho a la presunción de inocencia (art. 24.2 CE), causada en origen en la vía administrativa, cuando se denegó lo pedido por las actoras con arreglo a los informes policiales disponibles. Lesión constitucional que, por ello mismo, se denunció ante la Sala de lo Contencioso-Administrativo que conoció del recurso planteado contra la resolución ministerial que resultaba adversa. Prosigue diciendo que constan a la Fiscalía otros recursos de amparo de contenido similar e idéntico agotamiento de la vía judicial, los cuales no han sido inadmitidos a trámite por este Tribunal por la causa declarada en este caso, sino por la “manifiesta inexistencia de la vulneración denunciada. Considera el Fiscal que la vía judicial ha quedado correctamente agotada y no precisaba de la interposición del incidente de nulidad de actuaciones (art. 241 LOPJ), por lo que solicita que se deje sin efecto nuestra providencia de 28 de junio de 2016, reponiendo las actuaciones al momento inmediatamente anterior al de su dictado”.</w:t>
      </w:r>
    </w:p>
    <w:p w:rsidR="001D6FAE" w:rsidRDefault="001D6FAE" w:rsidP="001D6FAE">
      <w:pPr>
        <w:pStyle w:val="TextoNormal"/>
      </w:pPr>
    </w:p>
    <w:p w:rsidR="001D6FAE" w:rsidRDefault="001D6FAE" w:rsidP="001D6FAE">
      <w:pPr>
        <w:pStyle w:val="TextoNormal"/>
      </w:pPr>
      <w:r w:rsidRPr="001D6FAE">
        <w:rPr>
          <w:rStyle w:val="NumeroAFNegritaCaracter"/>
        </w:rPr>
        <w:t>4</w:t>
      </w:r>
      <w:r>
        <w:t>. Por diligencia de ordenación de 22 de julio de 2016, la Secretaría de Justicia de la Sección Cuarta de este Tribunal acordó unir a las actuaciones el escrito presentado por el Fiscal, y conceder un plazo común de tres días a las demás partes para alegaciones.</w:t>
      </w:r>
    </w:p>
    <w:p w:rsidR="001D6FAE" w:rsidRDefault="001D6FAE" w:rsidP="001D6FAE">
      <w:pPr>
        <w:pStyle w:val="TextoNormal"/>
      </w:pPr>
    </w:p>
    <w:p w:rsidR="001D6FAE" w:rsidRDefault="001D6FAE" w:rsidP="001D6FAE">
      <w:pPr>
        <w:pStyle w:val="TextoNormal"/>
      </w:pPr>
      <w:r>
        <w:t>En su respuesta, el representante procesal de los recurrentes formalizó escrito el 1 de septiembre de 2016, manifestando su conformidad con lo solicitado por el Fiscal pues, explica, otros recursos se han inadmitido por inexistencia de la vulneración denunciada tanto desde la óptica del derecho a la presunción de inocencia como del derecho a la tutela judicial efectiva, no por el óbice de falta de agotamiento. Aclaran en todo caso los actores, que en “el presente recurso de amparo -y a pesar de los términos del escrito del Ministerio Fiscal- se formalizó exclusivamente por la vulneración de ese derecho del art. 24.2 CE”. Añaden que la lesión referida se denunció ya en el recurso contencioso-administrativo interpuesto ante la Audiencia Nacional contra la denegación del Ministerio del Interior, adoptada con base en los informes policiales, por lo que no precisaba de interponerse incidente de nulidad de actuaciones.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Procede estimar el recurso de súplica del Ministerio Fiscal, a la vista de lo alegado por éste en su escrito, como también la parte recurrente en el trámite de alegaciones abierto. La demanda de amparo alega la lesión del derecho a la presunción de inocencia, atribuido en origen, efectivamente, a la resolución del Ministerio del Interior que denegó la indemnización solicitada, de modo que con la respuesta dada por la Sentencia de la Sección Quinta de la Sala de lo Contencioso-Administrativo de la Audiencia Nacional quedaba agotada la vía judicial previa al amparo, quedando así cumplido el requisito del art. 44.1 a) de la Ley Orgánica del Tribunal Constitucional (LOTC).</w:t>
      </w:r>
    </w:p>
    <w:p w:rsidR="001D6FAE" w:rsidRDefault="001D6FAE" w:rsidP="001D6FAE">
      <w:pPr>
        <w:pStyle w:val="TextoNormal"/>
      </w:pPr>
    </w:p>
    <w:p w:rsidR="001D6FAE" w:rsidRDefault="001D6FAE" w:rsidP="001D6FAE">
      <w:pPr>
        <w:pStyle w:val="TextoNormal"/>
      </w:pPr>
      <w:r>
        <w:t>La estimación del recurso de súplica determina que se deje sin efecto la providencia impugnada por el Fiscal, pero sin que esto comporte la admisión a trámite del presente recurso de amparo, sobre la que se resolverá en nueva providencia a dictar al efecto.</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el recurso de súplica interpuesto por el Ministerio Fiscal contra la providencia dictada el 28 de junio de 2016, dejando sin efecto la misma, y quedando las actuaciones en estado de proveer sobre la admisión a trámite del presente recurso.</w:t>
      </w:r>
    </w:p>
    <w:p w:rsidR="001D6FAE" w:rsidRDefault="001D6FAE" w:rsidP="001D6FAE">
      <w:pPr>
        <w:pStyle w:val="TextoNormal"/>
      </w:pPr>
    </w:p>
    <w:p w:rsidR="001D6FAE" w:rsidRDefault="001D6FAE" w:rsidP="001D6FAE">
      <w:pPr>
        <w:pStyle w:val="TextoNormal"/>
      </w:pPr>
      <w:r>
        <w:t>Madrid, a veintisiete de septiembre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0" w:name="AUTO_2016_166"/>
      <w:r>
        <w:t>AUTO 166/2016, de 3 de octubre de 2016</w:t>
      </w:r>
    </w:p>
    <w:bookmarkEnd w:id="140"/>
    <w:p w:rsidR="001D6FAE" w:rsidRDefault="001D6FAE" w:rsidP="001D6FAE">
      <w:pPr>
        <w:pStyle w:val="TtuloResolucin"/>
      </w:pPr>
      <w:r>
        <w:t>Sección Primera</w:t>
      </w:r>
    </w:p>
    <w:p w:rsidR="001D6FAE" w:rsidRDefault="001D6FAE" w:rsidP="001D6FAE">
      <w:pPr>
        <w:pStyle w:val="TextoNormalCentrado"/>
      </w:pPr>
      <w:r>
        <w:t>ECLI:ES:TC:2016:166A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Acepta una abstención en el  recurso de amparo 6269-2015, promovido por estación de servicio Hermanos Baños, S.L., y don Sabas Baños Costa, en pleito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6 de noviembre de 2015, el Procurador de los Tribunales don David García Riquelme, en nombre y representación de Estación de Servicio Hermanos Baños, S.L., y don Sabas Baños Costa, interpuso demanda de amparo contra la providencia de la Sala de lo Civil del Tribunal Supremo de 16 de septiembre de 2015, por la que se inadmite el incidente de nulidad de actuaciones interpuesto contra la Sentencia de 3 de abril de 2012 dictada en el recurso de casación núm. 62-2009, sobre cuya admisibilidad debe conocer la Sección Primera de este Tribunal.</w:t>
      </w:r>
    </w:p>
    <w:p w:rsidR="001D6FAE" w:rsidRDefault="001D6FAE" w:rsidP="001D6FAE">
      <w:pPr>
        <w:pStyle w:val="TextoNormal"/>
      </w:pPr>
    </w:p>
    <w:p w:rsidR="001D6FAE" w:rsidRDefault="001D6FAE" w:rsidP="001D6FAE">
      <w:pPr>
        <w:pStyle w:val="TextoNormal"/>
      </w:pPr>
      <w:r w:rsidRPr="001D6FAE">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(artículo 1.2).</w:t>
      </w:r>
    </w:p>
    <w:p w:rsidR="001D6FAE" w:rsidRDefault="001D6FAE" w:rsidP="001D6FAE">
      <w:pPr>
        <w:pStyle w:val="TextoNormal"/>
      </w:pPr>
    </w:p>
    <w:p w:rsidR="001D6FAE" w:rsidRDefault="001D6FAE" w:rsidP="001D6FAE">
      <w:pPr>
        <w:pStyle w:val="TextoNormal"/>
      </w:pPr>
      <w:r w:rsidRPr="001D6FAE">
        <w:rPr>
          <w:rStyle w:val="NumeroAFNegritaCaracter"/>
        </w:rPr>
        <w:t>3</w:t>
      </w:r>
      <w:r>
        <w:t>. Mediante escrito de 23 de febrero de 2016 el Magistrado don Juan Antonio Xiol Ríos comunicó su voluntad de abstenerse en el conocimiento del presente recurso de amparo por entender que concurría la causa 11 del art. 219 de la Ley Orgánica del Poder Judicial (LOPJ) —haber resuelto el pleito o causa en anterior instancia—, ya que había formado parte, en su condición de Magistrado de la Sala de lo Civil del Tribunal Supremo, del órgano judicial que acordó la Sentencia que, con posterioridad ha sido objeto del incidente de nulidad de actuaciones cuya inadmisión es impugnada en el presente recurso de amparo.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que con posterioridad ha sido objeto del incidente de nulidad de actuaciones cuya inadmisión es impugnada en el presente recurso de amparo, está incurso en la causa 11 del art. 219 LOPJ.</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justificada la abstención formulada por el Magistrado don Juan Antonio Xiol Ríos en el recurso de amparo núm. 6269-2015 y apartarle definitivamente del conocimiento del referido recurso y de todas sus incidencias.</w:t>
      </w:r>
    </w:p>
    <w:p w:rsidR="001D6FAE" w:rsidRDefault="001D6FAE" w:rsidP="001D6FAE">
      <w:pPr>
        <w:pStyle w:val="TextoNormal"/>
      </w:pPr>
    </w:p>
    <w:p w:rsidR="001D6FAE" w:rsidRDefault="001D6FAE" w:rsidP="001D6FAE">
      <w:pPr>
        <w:pStyle w:val="TextoNormal"/>
      </w:pPr>
      <w:r>
        <w:t>Madrid, a tres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1" w:name="AUTO_2016_167"/>
      <w:r>
        <w:t>AUTO 167/2016, de 4 de octubre de 2016</w:t>
      </w:r>
    </w:p>
    <w:bookmarkEnd w:id="141"/>
    <w:p w:rsidR="001D6FAE" w:rsidRDefault="001D6FAE" w:rsidP="001D6FAE">
      <w:pPr>
        <w:pStyle w:val="TtuloResolucin"/>
      </w:pPr>
      <w:r>
        <w:t>Pleno</w:t>
      </w:r>
    </w:p>
    <w:p w:rsidR="001D6FAE" w:rsidRDefault="001D6FAE" w:rsidP="001D6FAE">
      <w:pPr>
        <w:pStyle w:val="TextoNormalCentrado"/>
      </w:pPr>
      <w:r>
        <w:t>ECLI:ES:TC:2016:167A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1517-2016, planteada por la Sala de lo Contencioso-Administrativo del Tribunal Superior de Justicia de Madrid en relación con el apartado d) del artículo 100.3 de la Ley 2/2003, de 11 de marzo, de Administración local de la Comunidad de Madrid.</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registrado en este Tribunal el 21 de marzo de 2016, la Sección Segunda de la Sala de lo Contencioso-Administrativo del Tribunal Superior de Justicia de Madrid remitió testimonio del Auto de 11 de febrero de 2016 por el que se acordó plantear cuestión de inconstitucionalidad en relación con el apartado d) del art. 100.3 de la Ley 2/2003, de 11 de marzo, de Administración local de la Comunidad de Madrid.</w:t>
      </w:r>
    </w:p>
    <w:p w:rsidR="001D6FAE" w:rsidRDefault="001D6FAE" w:rsidP="001D6FAE">
      <w:pPr>
        <w:pStyle w:val="TextoNormal"/>
      </w:pPr>
    </w:p>
    <w:p w:rsidR="001D6FAE" w:rsidRDefault="001D6FAE" w:rsidP="001D6FAE">
      <w:pPr>
        <w:pStyle w:val="TextoNormal"/>
      </w:pPr>
      <w:r>
        <w:t>Mediante diligencia de ordenación de la Secretaria de Justicia del Pleno de 5 de mayo de 2016 se acordó librar atenta comunicación al órgano judicial a fin de que a la mayor brevedad posible se remitiese copia adverada de la totalidad de las actuaciones relativas al procedimiento ordinario núm. 179-2014, excepto del procedimiento administrativo. El testimonio íntegro de las actuaciones tuvo entrada en el Registro General del Tribunal el 13 de mayo de 2016.</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 los siguientes:</w:t>
      </w:r>
    </w:p>
    <w:p w:rsidR="001D6FAE" w:rsidRDefault="001D6FAE" w:rsidP="001D6FAE">
      <w:pPr>
        <w:pStyle w:val="TextoNormal"/>
      </w:pPr>
    </w:p>
    <w:p w:rsidR="001D6FAE" w:rsidRDefault="001D6FAE" w:rsidP="001D6FAE">
      <w:pPr>
        <w:pStyle w:val="TextoNormal"/>
      </w:pPr>
      <w:r>
        <w:t>a) Con fecha de 25 de junio de 2014 se plantea recurso contencioso-administrativo contra el acuerdo del Pleno del Ayuntamiento de Galapagar, por el que se aprueba definitivamente el Reglamento del mercado municipal de Galapagar (notificado el 10 de febrero de 2014 y publicado en el “BOCM” núm. 64, de 17 de marzo de 2014). La recurrente es titular de concesiones administrativas para la explotación de determinados puestos del mercado municipal de Galapagar.</w:t>
      </w:r>
    </w:p>
    <w:p w:rsidR="001D6FAE" w:rsidRDefault="001D6FAE" w:rsidP="001D6FAE">
      <w:pPr>
        <w:pStyle w:val="TextoNormal"/>
      </w:pPr>
    </w:p>
    <w:p w:rsidR="001D6FAE" w:rsidRDefault="001D6FAE" w:rsidP="001D6FAE">
      <w:pPr>
        <w:pStyle w:val="TextoNormal"/>
      </w:pPr>
      <w:r>
        <w:t>Según consta en las actuaciones remitidas, la recurrente presentó solicitud de asistencia jurídica gratuita lo que comportó la suspensión del término para la interposición del recurso (diligencia de ordenación del Secretario Judicial de 3 de abril de 2014). Por diligencia de ordenación de 11 de junio de 2014 se dio un plazo de diez días para la interposición del recurso. Por Decreto de 1 de julio de 2014 se admitió a trámite el recurso.</w:t>
      </w:r>
    </w:p>
    <w:p w:rsidR="001D6FAE" w:rsidRDefault="001D6FAE" w:rsidP="001D6FAE">
      <w:pPr>
        <w:pStyle w:val="TextoNormal"/>
      </w:pPr>
    </w:p>
    <w:p w:rsidR="001D6FAE" w:rsidRDefault="001D6FAE" w:rsidP="001D6FAE">
      <w:pPr>
        <w:pStyle w:val="TextoNormal"/>
      </w:pPr>
      <w:r>
        <w:t>La demanda solicita se dicte sentencia en la que se revoque y anule totalmente el contenido de la resolución recurrida y, subsidiariamente, los arts. 7, 8, 9 y 15, así como la disposición transitoria segunda de dicho Reglamento. Una de las cuestiones que suscita la misma es que el régimen del procedimiento de adjudicación de la nueva zona comercial y de ocio para los no antiguos sea en régimen de alquiler por diez años ya que cuando se trata de adjudicar el uso sobre un bien de dominio público afecto a un servicio público, ha de ser bajo concesión administrativa y no mediante contrato de arrendamiento.</w:t>
      </w:r>
    </w:p>
    <w:p w:rsidR="001D6FAE" w:rsidRDefault="001D6FAE" w:rsidP="001D6FAE">
      <w:pPr>
        <w:pStyle w:val="TextoNormal"/>
      </w:pPr>
    </w:p>
    <w:p w:rsidR="001D6FAE" w:rsidRDefault="001D6FAE" w:rsidP="001D6FAE">
      <w:pPr>
        <w:pStyle w:val="TextoNormal"/>
      </w:pPr>
      <w:r>
        <w:t>El Ayuntamiento de Galapagar se opuso a la demanda. Solicitó la inadmisión del recurso por la presentación del escrito inicial del recurso fuera del plazo establecido y, subsidiariamente, interesó la desestimación del mismo.</w:t>
      </w:r>
    </w:p>
    <w:p w:rsidR="001D6FAE" w:rsidRDefault="001D6FAE" w:rsidP="001D6FAE">
      <w:pPr>
        <w:pStyle w:val="TextoNormal"/>
      </w:pPr>
    </w:p>
    <w:p w:rsidR="001D6FAE" w:rsidRDefault="001D6FAE" w:rsidP="001D6FAE">
      <w:pPr>
        <w:pStyle w:val="TextoNormal"/>
      </w:pPr>
      <w:r>
        <w:t>b) Por providencia de 28 de julio de 2015, el órgano judicial, de conformidad con lo dispuesto en el art. 35.2 de la Ley Orgánica del Tribunal Constitucional (LOTC), otorgó trámite de audiencia a las partes y al Ministerio Fiscal sobre la pertinencia de plantear cuestión de inconstitucionalidad en relación con el apartado d) del art. 100.3 de la Ley 2/2003, de 11 de marzo, de Administración local de la Comunidad de Madrid.</w:t>
      </w:r>
    </w:p>
    <w:p w:rsidR="001D6FAE" w:rsidRDefault="001D6FAE" w:rsidP="001D6FAE">
      <w:pPr>
        <w:pStyle w:val="TextoNormal"/>
      </w:pPr>
    </w:p>
    <w:p w:rsidR="001D6FAE" w:rsidRDefault="001D6FAE" w:rsidP="001D6FAE">
      <w:pPr>
        <w:pStyle w:val="TextoNormal"/>
      </w:pPr>
      <w:r>
        <w:t>El Fiscal interpuso recurso de reposición contra dicha providencia interesando se dictase otra en la que se concretasen los preceptos constitucionales infringidos, la relación con el fallo a dictar y la duda de constitucionalidad. La parte recurrente, mediante escrito de 11 de septiembre de 2015, manifestó su conformidad al planteamiento de la cuestión de inconstitucionalidad.</w:t>
      </w:r>
    </w:p>
    <w:p w:rsidR="001D6FAE" w:rsidRDefault="001D6FAE" w:rsidP="001D6FAE">
      <w:pPr>
        <w:pStyle w:val="TextoNormal"/>
      </w:pPr>
    </w:p>
    <w:p w:rsidR="001D6FAE" w:rsidRDefault="001D6FAE" w:rsidP="001D6FAE">
      <w:pPr>
        <w:pStyle w:val="TextoNormal"/>
      </w:pPr>
      <w:r>
        <w:t>Mediante Auto de 15 de octubre de 2015, el órgano judicial estima en parte el recurso de reposición interpuesto por el Fiscal y otorga un nuevo plazo de diez días para que formule las alegaciones que estime convenientes en relación con si “el apartado d) del art. 100.3 de la Ley 2/2003, de 11 de marzo, de Administración Local de la Comunidad de Madrid pudiera ser contrario al artículo 149.1.18 de la Constitución Española”.</w:t>
      </w:r>
    </w:p>
    <w:p w:rsidR="001D6FAE" w:rsidRDefault="001D6FAE" w:rsidP="001D6FAE">
      <w:pPr>
        <w:pStyle w:val="TextoNormal"/>
      </w:pPr>
    </w:p>
    <w:p w:rsidR="001D6FAE" w:rsidRDefault="001D6FAE" w:rsidP="001D6FAE">
      <w:pPr>
        <w:pStyle w:val="TextoNormal"/>
      </w:pPr>
      <w:r>
        <w:t>El Fiscal, mediante escrito presentado el 4 de noviembre de 2015, no se opone al planteamiento de la cuestión de inconstitucionalidad. El representante del Ayuntamiento de Galapagar, mediante escrito presentado el 4 de noviembre de 2015, considera que no sería procedente el planteamiento de la cuestión de inconstitucionalidad porque el apartado d) del art. 100.3 de la Ley 2/2003 no resulta aplicable ni de su validez depende el fallo, puesto que la recurrente es titular de las concesiones administrativas para la explotación de los puestos 9 y 10 del mercado municipal de Galapagar, por lo que no resulta de aplicación el arrendamiento como forma de gestión indirecta de los servicios públicos.</w:t>
      </w:r>
    </w:p>
    <w:p w:rsidR="001D6FAE" w:rsidRDefault="001D6FAE" w:rsidP="001D6FAE">
      <w:pPr>
        <w:pStyle w:val="TextoNormal"/>
      </w:pPr>
    </w:p>
    <w:p w:rsidR="001D6FAE" w:rsidRDefault="001D6FAE" w:rsidP="001D6FAE">
      <w:pPr>
        <w:pStyle w:val="TextoNormal"/>
      </w:pPr>
      <w:r>
        <w:t>c) Por Auto de 11 de febrero de 2016, el órgano judicial plantea cuestión de inconstitucionalidad “sobre el apartado d) del art. 100.3 de la Ley 2/2003, de 11 de marzo, de Administración Local de la Comunidad de Madrid, por poder incurrir este precepto autonómico en vicio de inconstitucionalidad por vulneración de la legislación básica del Estado, infringiendo el art. 149.1.18 de la CE, en relación con el art. 85.2 B de la Ley 7/1985, de 2 de abril, Reguladora de las Bases de Régimen Local y el art. 277 del Texto Refundido de la Ley de Contratos del Sector Público, aprobado por Real Decreto Legislativo 3/2011, de 14 de noviembre”.</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interesa destacar lo siguiente:</w:t>
      </w:r>
    </w:p>
    <w:p w:rsidR="001D6FAE" w:rsidRDefault="001D6FAE" w:rsidP="001D6FAE">
      <w:pPr>
        <w:pStyle w:val="TextoNormal"/>
      </w:pPr>
    </w:p>
    <w:p w:rsidR="001D6FAE" w:rsidRDefault="001D6FAE" w:rsidP="001D6FAE">
      <w:pPr>
        <w:pStyle w:val="TextoNormal"/>
      </w:pPr>
      <w:r>
        <w:t>Tras referirse sucintamente en los antecedentes de hecho, el órgano judicial expone la duda de constitucionalidad que se le plantea. Entiende que el apartado d) del art. 100.3 de la Ley 2/2003 incurre en vicio de inconstitucionalidad por vulneración de la legislación básica del Estado infringiendo el art. 149.1.18 CE. La norma autonómica contempla el arrendamiento como forma de gestión indirecta de los servicios públicos, si bien esta modalidad de gestión indirecta no se contempla en el art. 85. 2 b) de la Ley reguladora de las bases de régimen local que establece que “los servicios públicos de competencia local habrán de gestionarse de la forma más sostenible y eficiente de entre las enumeradas a continuación”, contemplándose en el apartado b) la “gestión indirecta, mediante las distintas formas previstas para el contrato de gestión de servicios públicos en el texto refundido de la Ley de Contratos del Sector Público, aprobado por Real Decreto Legislativo 3/2011, de 14 de noviembre”. A su vez, en el artículo 277 de esta última disposición se establecen las modalidades de la contratación de la gestión de los servicios públicos que son las de concesión, gestión interesada, el concierto, y la sociedad de economía mixta, no encontrándose entre estas modalidades la del arrendamiento. Por ello, el órgano judicial entiende que el precepto cuestionado puede incurrir en vicio de inconstitucionalidad por vulneración de la legislación básica del Estado lo que, a su juicio, lleva a la necesidad de planteamiento de la cuestión de inconstitucionalidad conforme a la doctrina constitucional que establece que los órganos judiciales no pueden dejar de aplicar una norma autonómica al caso enjuiciado por considerar que dicha norma sea contraria a una ley básica estatal (STC 195/2015, de 21 de septiembre).</w:t>
      </w:r>
    </w:p>
    <w:p w:rsidR="001D6FAE" w:rsidRDefault="001D6FAE" w:rsidP="001D6FAE">
      <w:pPr>
        <w:pStyle w:val="TextoNormal"/>
      </w:pPr>
    </w:p>
    <w:p w:rsidR="001D6FAE" w:rsidRDefault="001D6FAE" w:rsidP="001D6FAE">
      <w:pPr>
        <w:pStyle w:val="TextoNormal"/>
      </w:pPr>
      <w:r>
        <w:t>A continuación, el órgano judicial se refiere expresamente a los juicios de aplicabilidad y de relevancia, señalando al efecto que la decisión del proceso depende de la validez de la norma en cuestión. Tiene en cuenta el órgano judicial que la impugnación realizada en la demanda se refiere, entre otros preceptos, al art. 7 del Reglamento que prevé que “el régimen del procedimiento de adjudicación de la Nueva Zona Comercial y de Ocio para los no antiguos, sea en régimen de alquiler por 10 años, cuando lo que se trata es de adjudicar el uso sobre un bien de dominio público afecto a un servicio público, debiendo ser bajo concesión administrativa, no mediante contrato de arrendamiento”. A la vista de dicho motivo de impugnación, y teniendo en cuenta que el art. 7 del Reglamento tiene su cobertura en el art. 100.3 d) de la Ley 2/2003, conforme a lo establecido en el artículo 1 de la misma, la decisión sobre dicho motivo de impugnación depende de la validez del precepto autonómico cuestionado. Asimismo, contesta a las alegaciones realizadas por el Ayuntamiento de Galapagar respecto a que el art. 100.3 d) de la Ley 2/2003 no resulta aplicable al caso ni de su validez depende el mismo, entendiendo que, con independencia de la situación jurídica individualizada de la recurrente, lo cierto es que no cabe negarle la legitimación para impugnar el art. 7 del Reglamento en cuanto éste contempla el arrendamiento como forma de gestión.</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5 de julio de 2016 la Sección Segunda acordó, a los efectos que determina el art. 37.1 LOTC, oír al Fiscal General del Estado para que, en el plazo de diez días, alegue lo que considere conveniente acerca de la admisibilidad de la presente cuestión de inconstitucionalidad en relación con el cumplimiento de los requisitos procesales (art. 35.2 LOTC) en especial a la vista de la STC 102/2016, de 25 de mayo.</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sus alegaciones el día 8 de septiembre de 2016 interesando la inadmisión de la cuestión por los motivos que se resumen a continuación.</w:t>
      </w:r>
    </w:p>
    <w:p w:rsidR="001D6FAE" w:rsidRDefault="001D6FAE" w:rsidP="001D6FAE">
      <w:pPr>
        <w:pStyle w:val="TextoNormal"/>
      </w:pPr>
    </w:p>
    <w:p w:rsidR="001D6FAE" w:rsidRDefault="001D6FAE" w:rsidP="001D6FAE">
      <w:pPr>
        <w:pStyle w:val="TextoNormal"/>
      </w:pPr>
      <w:r>
        <w:t>Tras exponer los antecedentes del caso, analiza el cumplimiento del trámite de audiencia, así como de los juicios de aplicabilidad y relevancia que el órgano judicial fundamenta en el Auto de planteamiento. Sin embargo, considera la Fiscal General del Estado que la presente cuestión de inconstitucionalidad ha de resolverse conforme a la doctrina contenida en la STC 102/2016, de 25 de mayo, que se aparta de la doctrina tradicional del Tribunal Constitucional en cuanto a la solución constitucional que debe darse a determinados supuestos de inconstitucionalidad sobrevenida de preceptos legales autonómicos como consecuencia de la posterior modificación de la legislación básica del Estado y que en el momento de su promulgación eran coincidentes. Dicha Sentencia resolvió la cuestión de inconstitucionalidad núm. 1619-2015, promovida por la Sala de lo Contencioso-Administrativo del Tribunal Superior de Justicia de Galicia en relación con el art. 32.1 de la Ley 5/1997, de 22 de julio, de Administración local de Galicia, por su posible inconstitucionalidad sobrevenida con el art. 47.2 a) de la Ley reguladora de las bases del régimen local, en la redacción dada por la Ley 57/2003, de 16 de diciembre.</w:t>
      </w:r>
    </w:p>
    <w:p w:rsidR="001D6FAE" w:rsidRDefault="001D6FAE" w:rsidP="001D6FAE">
      <w:pPr>
        <w:pStyle w:val="TextoNormal"/>
      </w:pPr>
    </w:p>
    <w:p w:rsidR="001D6FAE" w:rsidRDefault="001D6FAE" w:rsidP="001D6FAE">
      <w:pPr>
        <w:pStyle w:val="TextoNormal"/>
      </w:pPr>
      <w:r>
        <w:t>Considera el Ministerio Fiscal que en el presente caso nos hallamos con que la controversia constitucional que se somete a la consideración de este Alto Tribunal es idéntica a la sometida al Alto Tribunal en la STC 102/2016, aunque, en este caso, la norma autonómica no se ha dejado de aplicar como sucedió en el supuesto analizado por la Sentencia constitucional citada. Al respecto, entiende que los elementos de análisis que tuvo en cuenta el Tribunal Constitucional en la referida Sentencia se reproducen en la presente cuestión de inconstitucionalidad.</w:t>
      </w:r>
    </w:p>
    <w:p w:rsidR="001D6FAE" w:rsidRDefault="001D6FAE" w:rsidP="001D6FAE">
      <w:pPr>
        <w:pStyle w:val="TextoNormal"/>
      </w:pPr>
    </w:p>
    <w:p w:rsidR="001D6FAE" w:rsidRDefault="001D6FAE" w:rsidP="001D6FAE">
      <w:pPr>
        <w:pStyle w:val="TextoNormal"/>
      </w:pPr>
      <w:r>
        <w:t>En primer lugar, considera que nos hallamos ante un supuesto en que el precepto autonómico cuestionado, el apartado d) del art. 100.3 de la Ley de la Comunidad de Madrid 2/2003, de 11 de marzo, era coincidente en el momento de su promulgación con la norma básica estatal sobre la materia, en concreto el art. 85 de la Ley reguladora de las bases de régimen local, que recogía como una modalidad de gestión de los servicios públicos locales la de arrendamiento. La contradicción del precepto autonómico surge con posterioridad a su promulgación como consecuencia de las reformas operadas de la Ley reguladora de las bases de régimen local y el reenvío que hace a la Ley de contratos del sector público. En el art. 277 del Real Decreto Legislativo 3/2011, de 14 de noviembre, por el que se aprueba el texto refundido de la Ley de contratos del sector público, que regula las modalidades de contratación de gestión de servicios públicos no figura el arrendamiento, que sí era contemplado en la redacción originaria del precepto.</w:t>
      </w:r>
    </w:p>
    <w:p w:rsidR="001D6FAE" w:rsidRDefault="001D6FAE" w:rsidP="001D6FAE">
      <w:pPr>
        <w:pStyle w:val="TextoNormal"/>
      </w:pPr>
    </w:p>
    <w:p w:rsidR="001D6FAE" w:rsidRDefault="001D6FAE" w:rsidP="001D6FAE">
      <w:pPr>
        <w:pStyle w:val="TextoNormal"/>
      </w:pPr>
      <w:r>
        <w:t>En consecuencia, afirma el Ministerio Fiscal, el legislador autonómico, al desarrollar la legislación básica sobre las modalidades de contratación de la gestión indirecta de los servicios públicos reprodujo la legislación básica vigente en el momento de promulgación de la norma autonómica cuestionada y, tras las modificaciones producidas por la legislación básica sobre la materia, no ha procedido a adecuar la norma autonómica cuestionada al nuevo contenido de aquella legislación, produciéndose, en consecuencia, una divergencia entre la norma autonómica y la estatal básica con posterioridad a la primera.</w:t>
      </w:r>
    </w:p>
    <w:p w:rsidR="001D6FAE" w:rsidRDefault="001D6FAE" w:rsidP="001D6FAE">
      <w:pPr>
        <w:pStyle w:val="TextoNormal"/>
      </w:pPr>
    </w:p>
    <w:p w:rsidR="001D6FAE" w:rsidRDefault="001D6FAE" w:rsidP="001D6FAE">
      <w:pPr>
        <w:pStyle w:val="TextoNormal"/>
      </w:pPr>
      <w:r>
        <w:t>En segundo lugar, atendiendo a los presupuestos para la aplicación de la doctrina de la prevalencia sentados por el Tribunal Constitucional, en opinión del Ministerio Fiscal, concurre que en el presente caso tanto el Estado, al amparo del art. 149.1.18 CE, como la Comunidad Autónoma, conforme al art. 27.2 de su Estatuto de Autonomía, ostentan competencias en materia de contratación administrativa.</w:t>
      </w:r>
    </w:p>
    <w:p w:rsidR="001D6FAE" w:rsidRDefault="001D6FAE" w:rsidP="001D6FAE">
      <w:pPr>
        <w:pStyle w:val="TextoNormal"/>
      </w:pPr>
    </w:p>
    <w:p w:rsidR="001D6FAE" w:rsidRDefault="001D6FAE" w:rsidP="001D6FAE">
      <w:pPr>
        <w:pStyle w:val="TextoNormal"/>
      </w:pPr>
      <w:r>
        <w:t>En tercer lugar, concurre también el presupuesto de que la norma de contraste estatal tenga carácter básico de acuerdo con la STC 161/2013, FJ 11.</w:t>
      </w:r>
    </w:p>
    <w:p w:rsidR="001D6FAE" w:rsidRDefault="001D6FAE" w:rsidP="001D6FAE">
      <w:pPr>
        <w:pStyle w:val="TextoNormal"/>
      </w:pPr>
    </w:p>
    <w:p w:rsidR="001D6FAE" w:rsidRDefault="001D6FAE" w:rsidP="001D6FAE">
      <w:pPr>
        <w:pStyle w:val="TextoNormal"/>
      </w:pPr>
      <w:r>
        <w:t>Concluye el Ministerio Fiscal afirmando que, visto que los presupuestos de análisis de la presente cuestión de inconstitucionalidad son coincidentes con los que se tuvieron en cuenta en la STC 102/2016, la consecuencia es que el art. 100.3 d) de la Ley de la Comunidad de Madrid 2/2003, de 11 de marzo, de Administración local de la Comunidad de Madrid no es aplicable al caso controvertido en el proceso subyacente del que trae causa la presente cuestión, por lo que procede inadmitir la misma.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Segunda de la Sala de lo Contencioso-Administrativo del Tribunal Superior de Justicia de Madrid promueve cuestión de inconstitucionalidad en relación con el apartado d) del art. 100.3 de la Ley 2/2003, de 11 de marzo, de Administración local de la Comunidad de Madrid.</w:t>
      </w:r>
    </w:p>
    <w:p w:rsidR="001D6FAE" w:rsidRDefault="001D6FAE" w:rsidP="001D6FAE">
      <w:pPr>
        <w:pStyle w:val="TextoNormal"/>
      </w:pPr>
    </w:p>
    <w:p w:rsidR="001D6FAE" w:rsidRDefault="001D6FAE" w:rsidP="001D6FAE">
      <w:pPr>
        <w:pStyle w:val="TextoNormal"/>
      </w:pPr>
      <w:r>
        <w:t>El precepto cuestionado establece lo siguiente: “1. Los servicios públicos locales pueden gestionarse de forma directa o indirecta. En ningún caso podrán prestarse por gestión indirecta los servicios públicos que impliquen ejercicio de autoridad. … 3. La gestión indirecta adoptará alguna de las siguientes formas: a) Concesión. b) Gestión interesada. c) Concierto. d) Arrendamiento. e) Sociedad mercantil y cooperativas legalmente constituidas cuyo capital social sólo parcialmente pertenezca a la entidad local”.</w:t>
      </w:r>
    </w:p>
    <w:p w:rsidR="001D6FAE" w:rsidRDefault="001D6FAE" w:rsidP="001D6FAE">
      <w:pPr>
        <w:pStyle w:val="TextoNormal"/>
      </w:pPr>
    </w:p>
    <w:p w:rsidR="001D6FAE" w:rsidRDefault="001D6FAE" w:rsidP="001D6FAE">
      <w:pPr>
        <w:pStyle w:val="TextoNormal"/>
      </w:pPr>
      <w:r>
        <w:t>El órgano judicial considera que el apartado d) del art. 100.3 de la Ley de la Comunidad de Madrid 2/2003 vulnera la legislación básica del Estado, infringiendo el art. 149.1.18 CE. La norma autonómica contempla el arrendamiento como forma de gestión indirecta de los servicios públicos locales, modalidad que no se contempla en el art. 277 de la Ley de contratos del sector público, aprobado por Real Decreto Legislativo 3/2011, de 14 de noviembre, al que se remite el art. 85. 2 b) de la Ley reguladora de las bases de régimen local para la definición de dichas modalidades de gestión. Por ello, el órgano judicial entiende que el precepto cuestionado puede vulnerar la legislación básica del Estado por lo que, conforme a la doctrina constitucional de la STC 195/2015, de 21 de septiembre, eleva la presente cuestión de inconstitucionalidad para que este Tribunal se pronuncie sobre el apartado d) del art. 100.3 de la Ley 2/2003, de 11 de marzo, de Administración local de la Comunidad de Madrid.</w:t>
      </w:r>
    </w:p>
    <w:p w:rsidR="001D6FAE" w:rsidRDefault="001D6FAE" w:rsidP="001D6FAE">
      <w:pPr>
        <w:pStyle w:val="TextoNormal"/>
      </w:pPr>
    </w:p>
    <w:p w:rsidR="001D6FAE" w:rsidRDefault="001D6FAE" w:rsidP="001D6FAE">
      <w:pPr>
        <w:pStyle w:val="TextoNormal"/>
      </w:pPr>
      <w:r>
        <w:t>La Fiscal General del Estado, por las razones expuestas en los antecedentes, ha interesado la inadmisión de la cuestión por incumplimiento de los requisitos procesales, en concreto, del juicio de aplicabilidad, conforme a la STC 102/2016, de 25 de mayo.</w:t>
      </w:r>
    </w:p>
    <w:p w:rsidR="001D6FAE" w:rsidRDefault="001D6FAE" w:rsidP="001D6FAE">
      <w:pPr>
        <w:pStyle w:val="TextoNormal"/>
      </w:pPr>
    </w:p>
    <w:p w:rsidR="001D6FAE" w:rsidRDefault="001D6FAE" w:rsidP="001D6FAE">
      <w:pPr>
        <w:pStyle w:val="TextoNormal"/>
      </w:pPr>
      <w:r w:rsidRPr="001D6FAE">
        <w:rPr>
          <w:rStyle w:val="NumeroAFNegritaCaracter"/>
        </w:rPr>
        <w:t>2</w:t>
      </w:r>
      <w:r>
        <w:t>. De acuerdo con lo dispuesto en el art. 37.1 de la Ley Orgánica del Tribunal Constitucional (LOTC), el Tribunal puede rechazar en trámite de admisión y mediante Auto y sin otra audiencia que la del Fiscal General del Estado, aquellas cuestiones de inconstitucionalidad que no cumplan los requisitos procesales o que fueran notoriamente infundadas. Como ha sostenido el Tribunal en reiteradas ocasiones,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189/2009, de 23 de junio, FJ 2, y 142/2016, de 19 de junio, FJ 1, entre otras muchas resoluciones).</w:t>
      </w:r>
    </w:p>
    <w:p w:rsidR="001D6FAE" w:rsidRDefault="001D6FAE" w:rsidP="001D6FAE">
      <w:pPr>
        <w:pStyle w:val="TextoNormal"/>
      </w:pPr>
    </w:p>
    <w:p w:rsidR="001D6FAE" w:rsidRDefault="001D6FAE" w:rsidP="001D6FAE">
      <w:pPr>
        <w:pStyle w:val="TextoNormal"/>
      </w:pPr>
      <w:r w:rsidRPr="001D6FAE">
        <w:rPr>
          <w:rStyle w:val="NumeroAFNegritaCaracter"/>
        </w:rPr>
        <w:t>3</w:t>
      </w:r>
      <w:r>
        <w:t>. Como ha puesto de relieve la Fiscal General del Estado, conforme a nuestra doctrina sentada en la citada Sentencia 102/2016, de 25 de mayo, y reiterada en SSTC 116/2016, de 20 de junio, y 127/2016, de 7 de julio, en este caso no se puede considerar cumplido el juicio de aplicabilidad.</w:t>
      </w:r>
    </w:p>
    <w:p w:rsidR="001D6FAE" w:rsidRDefault="001D6FAE" w:rsidP="001D6FAE">
      <w:pPr>
        <w:pStyle w:val="TextoNormal"/>
      </w:pPr>
    </w:p>
    <w:p w:rsidR="001D6FAE" w:rsidRDefault="001D6FAE" w:rsidP="001D6FAE">
      <w:pPr>
        <w:pStyle w:val="TextoNormal"/>
      </w:pPr>
      <w:r>
        <w:t>En el Auto de planteamiento de la cuestión de inconstitucionalidad, el órgano judicial parte de que al poder incurrir el precepto cuestionado en vicio de inconstitucionalidad por vulneración de la legislación básica del Estado ha de plantear cuestión de inconstitucionalidad conforme a la doctrina constitucional (STC 195/2015) que establece que los órganos judiciales no pueden dejar de aplicar una norma autonómica al caso enjuiciado por considerar que dicha norma sea contraria a una ley básica estatal.</w:t>
      </w:r>
    </w:p>
    <w:p w:rsidR="001D6FAE" w:rsidRDefault="001D6FAE" w:rsidP="001D6FAE">
      <w:pPr>
        <w:pStyle w:val="TextoNormal"/>
      </w:pPr>
    </w:p>
    <w:p w:rsidR="001D6FAE" w:rsidRDefault="001D6FAE" w:rsidP="001D6FAE">
      <w:pPr>
        <w:pStyle w:val="TextoNormal"/>
      </w:pPr>
      <w:r>
        <w:t>Ahora bien, resulta necesario ahora tener en cuenta la doctrina del Tribunal Constitucional sobre el principio de prevalencia contenida en la reciente STC 102/2016, de 25 mayo, y reiterada en SSTC 116/2016, de 20 de junio, y 127/2016, de 7 de julio, que resolvían cuestiones de inconstitucionalidad sobre el mismo precepto y planteadas por el mismo órgano judicial y en las que concurrían una serie de circunstancias que determinaron que el Tribunal concluyera que “la prevalencia del derecho estatal debe jugar en tanto no haya sido puesta en duda la constitucionalidad de la legislación básica modificada” (SSTC 102/2016, FJ 6, y 127/2016, FJ 2).</w:t>
      </w:r>
    </w:p>
    <w:p w:rsidR="001D6FAE" w:rsidRDefault="001D6FAE" w:rsidP="001D6FAE">
      <w:pPr>
        <w:pStyle w:val="TextoNormal"/>
      </w:pPr>
    </w:p>
    <w:p w:rsidR="001D6FAE" w:rsidRDefault="001D6FAE" w:rsidP="001D6FAE">
      <w:pPr>
        <w:pStyle w:val="TextoNormal"/>
      </w:pPr>
      <w:r>
        <w:t>Dichas circunstancias se concretan en que se trata de un caso de “inconstitucionalidad indirecta o mediata” (SSTC 102/2016, FJ 1, y 116/2016, FJ 2); “sobrevenida” (SSTC 102/2016, FJ 2, y 116/2016, FJ 2): “la legislación autonómica no ha hecho sino reproducir la legislación básica, y ésta se modifica después en un sentido incompatible con aquella legislación autonómica” (STC 102/2016, FFJJ 2 y 3) y, además, “el Tribunal ya se ha pronunciado en favor del carácter básico de la regulación [estatal]” (STC 102/2016, FJ 6).</w:t>
      </w:r>
    </w:p>
    <w:p w:rsidR="001D6FAE" w:rsidRDefault="001D6FAE" w:rsidP="001D6FAE">
      <w:pPr>
        <w:pStyle w:val="TextoNormal"/>
      </w:pPr>
    </w:p>
    <w:p w:rsidR="001D6FAE" w:rsidRDefault="001D6FAE" w:rsidP="001D6FAE">
      <w:pPr>
        <w:pStyle w:val="TextoNormal"/>
      </w:pPr>
      <w:r>
        <w:t>En el presente caso, concurren las mismas o muy similares circunstancias que las que concurrían en la cuestión de inconstitucionalidad sobre la que se pronuncia la referida Sentencia 102/2016: inicialmente el precepto cuestionado y la Ley reguladora de las bases de régimen local establecían la misma regulación. Concretamente, el citado art. 100.3 de la Ley 2/2003, de 11 de marzo, de Administración local de la Comunidad de Madrid, establece, en una redacción que no ha sido modificada desde su aprobación, que la gestión indirecta de los servicios públicos locales “adoptará alguna de las siguientes formas: a) Concesión. b) Gestión interesada. c) Concierto. d) Arrendamiento. e) Sociedad mercantil y cooperativas legalmente constituidas cuyo capital social sólo parcialmente pertenezca a la entidad local”.</w:t>
      </w:r>
    </w:p>
    <w:p w:rsidR="001D6FAE" w:rsidRDefault="001D6FAE" w:rsidP="001D6FAE">
      <w:pPr>
        <w:pStyle w:val="TextoNormal"/>
      </w:pPr>
    </w:p>
    <w:p w:rsidR="001D6FAE" w:rsidRDefault="001D6FAE" w:rsidP="001D6FAE">
      <w:pPr>
        <w:pStyle w:val="TextoNormal"/>
      </w:pPr>
      <w:r>
        <w:t>Dicho precepto venía a reproducir lo establecido en el art. 85.2 de la Ley reguladora de las bases de régimen local, que, en el momento de aprobación de la norma autonómica, disponía que “la gestión indirecta adoptará alguna de las siguientes formas: a) Concesión. b) Gestión interesada. c) Concierto. d) Arrendamiento. e) Sociedad mercantil y cooperativas legalmente constituidas cuyo capital social sólo parcialmente pertenezca a la entidad local”. La norma básica estatal, tras sucesivas modificaciones, dispone que “los servicios públicos de competencia local habrán de gestionarse de la forma más sostenible y eficiente de entre las enumeradas a continuación: B) Gestión indirecta, mediante las distintas formas previstas para el contrato de gestión de servicios públicos en el texto refundido de la Ley de Contratos del Sector Público, aprobado por Real Decreto Legislativo 3/2011, de 14 de noviembre”.</w:t>
      </w:r>
    </w:p>
    <w:p w:rsidR="001D6FAE" w:rsidRDefault="001D6FAE" w:rsidP="001D6FAE">
      <w:pPr>
        <w:pStyle w:val="TextoNormal"/>
      </w:pPr>
    </w:p>
    <w:p w:rsidR="001D6FAE" w:rsidRDefault="001D6FAE" w:rsidP="001D6FAE">
      <w:pPr>
        <w:pStyle w:val="TextoNormal"/>
      </w:pPr>
      <w:r>
        <w:t>En el artículo 277 de dicha norma se establece, a su vez, que “la contratación de la gestión de los servicios públicos podrá adoptar las siguientes modalidades: a) Concesión, por la que el empresario gestionará el servicio a su propio riesgo y ventura. b) Gestión interesada, en cuya virtud la Administración y el empresario participarán en los resultados de la explotación del servicio en la proporción que se establezca en el contrato. c) Concierto con persona natural o jurídica que venga realizando prestaciones análogas a las que constituyen el servicio público de que se trate .d) Sociedad de economía mixta en la que la Administración participe, por sí o por medio de una entidad pública, en concurrencia con personas naturales o jurídicas”. Por lo tanto, existe una aparente contradicción entre la legislación autonómica y la legislación estatal en la medida en que esta última no contempla, en la actualidad, el arrendamiento como forma de gestión indirecta de los servicios públicos.</w:t>
      </w:r>
    </w:p>
    <w:p w:rsidR="001D6FAE" w:rsidRDefault="001D6FAE" w:rsidP="001D6FAE">
      <w:pPr>
        <w:pStyle w:val="TextoNormal"/>
      </w:pPr>
    </w:p>
    <w:p w:rsidR="001D6FAE" w:rsidRDefault="001D6FAE" w:rsidP="001D6FAE">
      <w:pPr>
        <w:pStyle w:val="TextoNormal"/>
      </w:pPr>
      <w:r>
        <w:t>Además, el Tribunal Constitucional ha declarado básico el citado art. 85.2 de la Ley reguladora de las bases de régimen local, antes de su modificación por la Ley 27/2013, de 27 de diciembre, de racionalización y sostenibilidad de la Administración local, si bien con un contenido coincidente con la regulación vigente en cuanto a la remisión a la Ley de contratos de las formas de gestión de los servicios públicos. Así, en STC 161/2013, de 26 de septiembre, FJ 11, se afirma que “la gestión indirecta consiste en encomendar a un tercero la función de prestación de determinados servicios de competencia de la Administración y tiene por objeto una prestación típica de los contratos regulados por la legislación de contratos públicos según el art. 149.1.18 CE. Por esta razón, la definición de los contratos mediante los que se podrá instrumentar la gestión indirecta es esencial para determinar la intensidad con que se aplicarán los preceptos de la legislación contractual, tanto en cuanto a la preparación y adjudicación del contrato como en cuanto al régimen jurídico aplicable. Por tanto, forma parte de la legislación básica del Estado en materia de contratos. No puede admitirse la conclusión a la que nos llevaría el argumento de la parte recurrente de que las bases deben ser más reducidas en lo que respecta a la contratación local por la necesidad de dejar espacio a las Comunidades Autónomas para regular los aspectos organizativos locales. En consecuencia, la disposición final primera de la Ley de medidas para la modernización del gobierno local, en cuanto declara que el artículo 85.2 b) LBRL constituye legislación básica del Estado, no es contraria a la Constitución”.</w:t>
      </w:r>
    </w:p>
    <w:p w:rsidR="001D6FAE" w:rsidRDefault="001D6FAE" w:rsidP="001D6FAE">
      <w:pPr>
        <w:pStyle w:val="TextoNormal"/>
      </w:pPr>
    </w:p>
    <w:p w:rsidR="001D6FAE" w:rsidRDefault="001D6FAE" w:rsidP="001D6FAE">
      <w:pPr>
        <w:pStyle w:val="TextoNormal"/>
      </w:pPr>
      <w:r w:rsidRPr="001D6FAE">
        <w:rPr>
          <w:rStyle w:val="NumeroAFNegritaCaracter"/>
        </w:rPr>
        <w:t>4</w:t>
      </w:r>
      <w:r>
        <w:t xml:space="preserve">. Atendiendo a lo anteriormente expuesto, al concurrir en este caso las mismas circunstancias que las que confluían en la cuestión de inconstitucionalidad resuelta por la STC 102/2016 procede, en virtud del mismo razonamiento, acordar también en este caso la inadmisión de la cuestión de inconstitucionalidad por considerar que el apartado d) del art. 100.3 de la Ley 2/2003, de 11 de marzo, de Administración local de la Comunidad de Madrid, debido a la aplicación del principio de prevalencia </w:t>
      </w:r>
      <w:r w:rsidRPr="001D6FAE">
        <w:rPr>
          <w:i/>
        </w:rPr>
        <w:t>ex</w:t>
      </w:r>
      <w:r>
        <w:t xml:space="preserve"> art. 149.3 CE, no es aplicable al pleito a quo, con lo que no se cumpliría con la naturaleza concreta de la cuestión de inconstitucionalidad exigida por el art. 163 CE y el art. 35.2 de la Ley Orgánica del Tribunal Constitucional (STC 127/2016, FJ 8).</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cuatro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2" w:name="AUTO_2016_168"/>
      <w:r>
        <w:t>AUTO 168/2016, de 4 de octubre de 2016</w:t>
      </w:r>
    </w:p>
    <w:bookmarkEnd w:id="142"/>
    <w:p w:rsidR="001D6FAE" w:rsidRDefault="001D6FAE" w:rsidP="001D6FAE">
      <w:pPr>
        <w:pStyle w:val="TtuloResolucin"/>
      </w:pPr>
      <w:r>
        <w:t>Pleno</w:t>
      </w:r>
    </w:p>
    <w:p w:rsidR="001D6FAE" w:rsidRDefault="001D6FAE" w:rsidP="001D6FAE">
      <w:pPr>
        <w:pStyle w:val="TtuloBOE"/>
      </w:pPr>
      <w:r>
        <w:t>(BOE núm. 276, de 15 de noviembre de 2016)</w:t>
      </w:r>
    </w:p>
    <w:p w:rsidR="001D6FAE" w:rsidRDefault="001D6FAE" w:rsidP="001D6FAE">
      <w:pPr>
        <w:pStyle w:val="TextoNormalCentrado"/>
      </w:pPr>
      <w:r>
        <w:t>ECLI:ES:TC:2016:168A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2209-2016, planteada por el Juzgado de Primera Instancia número 38 de Barcelona en relación con los artículos 17 y 540 de la Ley de enjuiciamiento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22 de abril de 2016 tuvo entrada en el Registro General de este Tribunal oficio del Juzgado de Primera Instancia núm. 38 de Barcelona por el que se remite. Adjunta, con el testimonio del procedimiento correspondiente (autos de ejecución de títulos no judiciales núm.301-2014), el Auto de 2 de febrero de 2016 en el que se acuerda plantear cuestión de inconstitucionalidad respecto de los arts. 17 y 540 de la Ley de enjuiciamiento civil (LEC), en relación con el art. 1535 del Código civil (CC), por vulneración de los arts. 14 y 51.1 y 3 CE.</w:t>
      </w:r>
    </w:p>
    <w:p w:rsidR="001D6FAE" w:rsidRDefault="001D6FAE" w:rsidP="001D6FAE">
      <w:pPr>
        <w:pStyle w:val="TextoNormal"/>
      </w:pPr>
    </w:p>
    <w:p w:rsidR="001D6FAE" w:rsidRDefault="001D6FAE" w:rsidP="001D6FAE">
      <w:pPr>
        <w:pStyle w:val="TextoNormal"/>
      </w:pPr>
      <w:r>
        <w:t>El art. 17 LEC regula la sucesión procesal por transmisión del objeto litigioso y el art. 540 LEC el modo en que la ejecución puede despacharse a favor de quien acredite ser sucesor del que figure como ejecutante en el título correspondiente. Por su parte el art. 1535 CC regula el llamado “retracto de créditos litigiosos”; esto es, el derecho del deudor a extinguir el crédito litigioso en caso de venta del mismo, reembolsando al cesionario el precio que pagó, más costas e intereses del precio de la cesión.</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relevantes para el examen de la cuestión son los siguientes:</w:t>
      </w:r>
    </w:p>
    <w:p w:rsidR="001D6FAE" w:rsidRDefault="001D6FAE" w:rsidP="001D6FAE">
      <w:pPr>
        <w:pStyle w:val="TextoNormal"/>
      </w:pPr>
    </w:p>
    <w:p w:rsidR="001D6FAE" w:rsidRDefault="001D6FAE" w:rsidP="001D6FAE">
      <w:pPr>
        <w:pStyle w:val="TextoNormal"/>
      </w:pPr>
      <w:r>
        <w:t xml:space="preserve">a) La entidad bancaria inicialmente ejecutante en el procedimiento </w:t>
      </w:r>
      <w:r w:rsidRPr="001D6FAE">
        <w:rPr>
          <w:i/>
        </w:rPr>
        <w:t>a quo</w:t>
      </w:r>
      <w:r>
        <w:t xml:space="preserve"> —Banco Santander, S.A.— suscribió con don M.D. y doña M.G., como prestatarios, sendas pólizas de préstamo intervenidas por notario: la primera el 2 de noviembre de 2009, por importe de 30.750 € y vencimiento el 2 de noviembre de 2014; la segunda el 22 de septiembre de 2011, por importe de 32.153,63 € y vencimiento el 22 de septiembre de 2019.</w:t>
      </w:r>
    </w:p>
    <w:p w:rsidR="001D6FAE" w:rsidRDefault="001D6FAE" w:rsidP="001D6FAE">
      <w:pPr>
        <w:pStyle w:val="TextoNormal"/>
      </w:pPr>
    </w:p>
    <w:p w:rsidR="001D6FAE" w:rsidRDefault="001D6FAE" w:rsidP="001D6FAE">
      <w:pPr>
        <w:pStyle w:val="TextoNormal"/>
      </w:pPr>
      <w:r>
        <w:t>b) Como quiera que los prestatarios dejaron de atender el pago de las cuotas pactadas en ambas pólizas de préstamo (habiéndose producido, por tanto, el supuesto de vencimiento anticipado previsto en la condición general octava de dichas pólizas), la entidad bancaria procedió a darlas por vencidas anticipadamente. Como consecuencia de ello el préstamo suscrito el 2 de noviembre de 2009 arrojaba un saldo deudor en contra de los prestatarios de 10.974,54 €, en tanto que el préstamo suscrito el 22 de septiembre de 2011 arrojaba un saldo deudor en contra de los prestatarios de 30.305,54 €. Todo ello supone un saldo total de 41.280,11 € que los prestatarios adeudaban a la entidad bancaria. Esta, ante el impago descrito, procedió a interponer contra los prestatarios con fecha 3 de septiembre de 2014 demanda de ejecución de títulos no judiciales por la indicada cantidad, más otros 12.384,03 € que se calculan para intereses al tipo pactado, gastos y costas del procedimiento. Solicitaba por ello al Juzgado que dictase Auto despachando ejecución contra bienes de los demandados en cantidad suficiente para cubrir la suma reclamada y, tras el previo requerimiento de pago en la forma legalmente procedente, procediese al embargo de los bienes de los ejecutados y a su realización. Señalaba al efecto dos bienes inmuebles de estos de cuya existencia tenía noticia la entidad bancaria ejecutante.</w:t>
      </w:r>
    </w:p>
    <w:p w:rsidR="001D6FAE" w:rsidRDefault="001D6FAE" w:rsidP="001D6FAE">
      <w:pPr>
        <w:pStyle w:val="TextoNormal"/>
      </w:pPr>
    </w:p>
    <w:p w:rsidR="001D6FAE" w:rsidRDefault="001D6FAE" w:rsidP="001D6FAE">
      <w:pPr>
        <w:pStyle w:val="TextoNormal"/>
      </w:pPr>
      <w:r>
        <w:t>c) El conocimiento del asunto correspondió al Juzgado de Primera Instancia núm. 38 de Barcelona, que procedió a la incoación del procedimiento correspondiente (autos de ejecución de títulos no judiciales núm. 301-2014). El Juzgado oyó a las partes sobre el posible carácter abusivo de la cláusula referente a los intereses de demora, trámite en el que la parte ejecutada interesó que se declarase su nulidad, por abusiva. Con posterioridad, se solicitó el 28 de septiembre de 2015 por un tercero, Aiquon Capital (Lux), S.A.R.L. (sociedad luxemburguesa), la sucesión en la posición procesal de la ejecutante, conforme a la compraventa o cesión de créditos operada extrajudicialmente: el crédito que ostentaba la entidad bancaria inicialmente ejecutante —Banco Santander, S.A.— fue adquirido por la sociedad cesionaria por el precio de 3.125,72 € mediante póliza de compraventa de dos carteras de crédito sin garantía real, de fecha 16 de junio de 2015.</w:t>
      </w:r>
    </w:p>
    <w:p w:rsidR="001D6FAE" w:rsidRDefault="001D6FAE" w:rsidP="001D6FAE">
      <w:pPr>
        <w:pStyle w:val="TextoNormal"/>
      </w:pPr>
    </w:p>
    <w:p w:rsidR="001D6FAE" w:rsidRDefault="001D6FAE" w:rsidP="001D6FAE">
      <w:pPr>
        <w:pStyle w:val="TextoNormal"/>
      </w:pPr>
      <w:r>
        <w:t>d) Tras requerir a cedente y cesionaria para que concretasen el precio pagado por la compraventa de créditos pendientes en el procedimiento de ejecución de títulos no judiciales núm. 301-2014 y una vez cumplimentado dicho requerimiento, el Juzgado de Primera Instancia núm. 38 de Barcelona, por providencia de 16 de diciembre de 2015 y de conformidad con lo dispuesto en el art. 35.2 de la Ley Orgánica del Tribunal Constitucional (LOTC), acordó oír a las partes personadas y al Ministerio Fiscal por el término común de diez días sobre la pertinencia de plantear cuestión de inconstitucionalidad respecto de los arts. 17 y 540 LEC, con relación al art. 1.535 CC, por su eventual colisión con los arts. 14 y 51.1 y 3 CE. Se razona en la providencia que, siendo consumidora la parte ejecutada y habiéndose producido la cesión del crédito que ostentaba la entidad bancaria ejecutante a un tercero que insta la sucesión en la posición procesal de la ejecutante, se suscita la duda de si los arts. 17 y 540 LEC, en relación con el art. 1535 CC, vulneran el art. 14 CE “por posible trato desigual de los consumidores en las diferentes Comunidades Autónomas, en concreto, en Navarra y Cataluña”, así como el art. 51.1 y 3 CE “por posible práctica empresarial contraria a los intereses de los consumidores, por no poder recomprar el crédito vendido”.</w:t>
      </w:r>
    </w:p>
    <w:p w:rsidR="001D6FAE" w:rsidRDefault="001D6FAE" w:rsidP="001D6FAE">
      <w:pPr>
        <w:pStyle w:val="TextoNormal"/>
      </w:pPr>
    </w:p>
    <w:p w:rsidR="001D6FAE" w:rsidRDefault="001D6FAE" w:rsidP="001D6FAE">
      <w:pPr>
        <w:pStyle w:val="TextoNormal"/>
      </w:pPr>
      <w:r>
        <w:t>e) Se evacuó el trámite de audiencia del art. 35.2 LOTC con el resultado que consta en las actuaciones: la parte ejecutada se mostró favorable al planteamiento de la cuestión, mientras que la cesionaria y el Ministerio Fiscal se opusieron por entender que no se cumple el juicio de relevancia y que no se justifica la duda de constitucionalidad. Por Auto de 2 de febrero de 2016 el Juzgado de Primera Instancia núm. 38 de Barcelona acordó plantear la presente cuestión de inconstitucionalidad respecto de los arts. 17 y 540 LEC, en relación con el art. 1.535 CC, por su eventual contradicción con los arts. 14 y 51.1 y 3 CE.</w:t>
      </w:r>
    </w:p>
    <w:p w:rsidR="001D6FAE" w:rsidRDefault="001D6FAE" w:rsidP="001D6FAE">
      <w:pPr>
        <w:pStyle w:val="TextoNormal"/>
      </w:pPr>
    </w:p>
    <w:p w:rsidR="001D6FAE" w:rsidRDefault="001D6FAE" w:rsidP="001D6FAE">
      <w:pPr>
        <w:pStyle w:val="TextoNormal"/>
      </w:pPr>
      <w:r>
        <w:t>f) Por otro Auto de la misma fecha el mismo Juzgado acordó plantear simultáneamente sendas cuestiones prejudiciales ante el Tribunal de Justicia de la Unión Europea (con solicitud de tramitación por el procedimiento acelerado), en relación con el contenido de la referida regulación legal, por su eventual contradicción con el Derecho de la Unión Europea que cita, relativo a la protección de consumidores y usuarios, en los términos que se reflejan en dicha resolución y que deben darse aquí por reproducidos.</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de la cuestión de inconstitucionalidad interesa destacar lo siguiente:</w:t>
      </w:r>
    </w:p>
    <w:p w:rsidR="001D6FAE" w:rsidRDefault="001D6FAE" w:rsidP="001D6FAE">
      <w:pPr>
        <w:pStyle w:val="TextoNormal"/>
      </w:pPr>
    </w:p>
    <w:p w:rsidR="001D6FAE" w:rsidRDefault="001D6FAE" w:rsidP="001D6FAE">
      <w:pPr>
        <w:pStyle w:val="TextoNormal"/>
      </w:pPr>
      <w:r>
        <w:t>a) El Juzgado, tras exponer los hechos que han dado lugar al planteamiento de la cuestión de inconstitucionalidad, transcribe literalmente los arts. 14 y 51.1 y 3 CE, así como los arts. 17 y 540 LEC, el art. 1.535 CC y los arts. 8, letras b) y f), 80 c) y 80.1 del texto refundido de la Ley general para la defensa de los consumidores y los usuarios. Cita asimismo diversa normativa estatal sobre defensa del cliente bancario y de protección de sus derechos e intereses.</w:t>
      </w:r>
    </w:p>
    <w:p w:rsidR="001D6FAE" w:rsidRDefault="001D6FAE" w:rsidP="001D6FAE">
      <w:pPr>
        <w:pStyle w:val="TextoNormal"/>
      </w:pPr>
    </w:p>
    <w:p w:rsidR="001D6FAE" w:rsidRDefault="001D6FAE" w:rsidP="001D6FAE">
      <w:pPr>
        <w:pStyle w:val="TextoNormal"/>
      </w:pPr>
      <w:r>
        <w:t>Como cuestión previa, señala que es relevante el planteamiento de la cuestión por ser consumidora la parte ejecutada, siendo notorio que actualmente se están produciendo masivas ventas o cesiones de carteras de créditos por parte de entidades bancarias (cedentes) a sociedades o fondos de inversión (cesionarios), conocidos popularmente como “fondos buitres”, con amparo legal en el art. 1.112 CC y en la libertad de contratación del art. 1.255 CC. Esas ventas o cesiones se producen por un precio alzado y por el conjunto o paquete de la deuda vendida, estimándose —si bien no existen datos ciertos— que esos precios alcanzan del 4 por 100 al 7 por 100 del valor de la deuda pendiente con el consumidor. Esto es, la entidad bancaria vende la deuda del consumidor (cliente) a esos cesionarios por un precio exiguo y sin dar oportunidad al cliente bancario de participar en dicho negocio. El cesionario procede a continuación a reclamar la totalidad del crédito al deudor.</w:t>
      </w:r>
    </w:p>
    <w:p w:rsidR="001D6FAE" w:rsidRDefault="001D6FAE" w:rsidP="001D6FAE">
      <w:pPr>
        <w:pStyle w:val="TextoNormal"/>
      </w:pPr>
    </w:p>
    <w:p w:rsidR="001D6FAE" w:rsidRDefault="001D6FAE" w:rsidP="001D6FAE">
      <w:pPr>
        <w:pStyle w:val="TextoNormal"/>
      </w:pPr>
      <w:r>
        <w:t>Razona asimismo el Juzgado que el art. 1.535 CC, que regula el retracto de créditos litigiosos, únicamente se refiere a créditos que son objeto de litispendencia, esto es, en fase declarativa, no en fase ejecutiva; dicha regulación no protege los intereses del consumidor en el supuesto de venta o cesión de créditos en vía de ejecución o en vía extrajudicial. A su vez, el art. 17 LEC se refiere a la sucesión procesal en el supuesto de cesión del crédito pendiente un juicio declarativo, “pero en modo alguno se informa o se evidencia que se pudiera extinguir la deuda por el consumidor con el pago del precio de la cesión, intereses, gastos y costas, ni se obliga a las partes, cedente o cesionario, a poner en conocimiento del cliente bancario, que permanece al margen de ese negocio, el precio de la cesión para ejercitar el retracto” y “tampoco en ese precepto se plasma con claridad el retracto condicionado del art. 1.535 del Código Civil”. Por su parte, el art. 540 LEC solo exige acreditar la sucesión procesal para que la ejecución pueda despacharse a favor de quien acredite ser sucesor del que figure como ejecutante en el título ejecutivo; no es de aplicación el retracto del art. 1.535 CC, es decir, “no se reconoce derecho alguno a favor del consumidor o cliente bancario”.</w:t>
      </w:r>
    </w:p>
    <w:p w:rsidR="001D6FAE" w:rsidRDefault="001D6FAE" w:rsidP="001D6FAE">
      <w:pPr>
        <w:pStyle w:val="TextoNormal"/>
      </w:pPr>
    </w:p>
    <w:p w:rsidR="001D6FAE" w:rsidRDefault="001D6FAE" w:rsidP="001D6FAE">
      <w:pPr>
        <w:pStyle w:val="TextoNormal"/>
      </w:pPr>
      <w:r>
        <w:t>b) A partir de las consideraciones indicadas, entiende el Juzgado que se debe determinar si es conforme con los arts. 14 y 51.1 y 3 CE la práctica empresarial descrita, consistente en comprar un crédito a un precio ínfimo, muy por debajo de lo reclamado por el acreedor inicial, y luego exigir el nuevo acreedor la totalidad del crédito pendiente al deudor (cliente bancario y por tanto consumidor), sin dar a este la posibilidad de extinguir su deuda adquiriendo el crédito vendido por el importe de la cesión (más intereses, costas y gastos del proceso para el cesionario, si los hubiere); lo que evitaría así la especulación de ese crédito. El Juzgado considera que la regulación contenida en los arts. 17 y 540 LEC y 1.535 CC, en su conjunto, resulta incompatible con los derechos o intereses de los consumidores cuya protección exigen los citados preceptos constitucionales.</w:t>
      </w:r>
    </w:p>
    <w:p w:rsidR="001D6FAE" w:rsidRDefault="001D6FAE" w:rsidP="001D6FAE">
      <w:pPr>
        <w:pStyle w:val="TextoNormal"/>
      </w:pPr>
    </w:p>
    <w:p w:rsidR="001D6FAE" w:rsidRDefault="001D6FAE" w:rsidP="001D6FAE">
      <w:pPr>
        <w:pStyle w:val="TextoNormal"/>
      </w:pPr>
      <w:r>
        <w:t>Añade el Juzgado en su Auto de planteamiento de la cuestión que las Comunidades Autónomas pueden, conforme a reiterada doctrina constitucional, legislar para favorecer los derechos de los consumidores y que “lo que se trata de evidenciar ahora es que el Tribunal Constitucional podría hacer una lectura de los preceptos procesales (art. 17 y 540 LEC) y del material (art. 1.535 del Código Civil), acorde con el interés general, los intereses económicos de los consumidores, no dejando al albur de una u otra Comunidad Autónoma la decisión de conceder el retracto a los consumidores”. Señala en este sentido el Juzgado que mientras en Navarra es posible ejercer este derecho conforme a lo previsto en la Ley 451 de la compilación de Derecho civil (“retracto gracioso”), en Cataluña se puede ejercer en el supuesto específico de la disposición adicional de la Ley 24/2015, de 29 de julio, de medidas urgentes para afrontar la emergencia en el ámbito de la vivienda y la pobreza energética (cesión de crédito garantizado con la vivienda del deudor). A ello se añaden otros ejemplos, como el supuesto previsto en el art. 95 de la Ley 2/2006, de 14 de junio, del Derecho civil de Galicia, y en el art. 588 del código del Derecho foral de Aragón, aprobado por Decreto Legislativo 1/2011, de 22 de marzo. Todo ello produce, según el Juzgado, “una desigualdad de trato en el concepto, beneficios y derechos del consumidor según ocurra esta cesión de créditos en una u otra Comunidad Autónoma y, según en su caso, en las futuras y sucesivas modificaciones que pudieran derivar fruto de la iniciativa legislativa de los parlamentos autonómicos”.</w:t>
      </w:r>
    </w:p>
    <w:p w:rsidR="001D6FAE" w:rsidRDefault="001D6FAE" w:rsidP="001D6FAE">
      <w:pPr>
        <w:pStyle w:val="TextoNormal"/>
      </w:pPr>
    </w:p>
    <w:p w:rsidR="001D6FAE" w:rsidRDefault="001D6FAE" w:rsidP="001D6FAE">
      <w:pPr>
        <w:pStyle w:val="TextoNormal"/>
      </w:pPr>
      <w:r>
        <w:t>c) Considera asimismo el Juzgado que se cumple sobradamente el juicio de aplicabilidad y relevancia exigible para el planteamiento de la cuestión de inconstitucionalidad, “porque la aplicación de los preceptos mencionados va correlacionada con los posibles perjuicios al consumidor evitando que pueda beneficiarse del negocio jurídico o subrogarse en la posición del cesionario pagando el precio que este pagó, intereses, gastos y costas que hubiera generado. La decisión a adoptar en este proceso, sin solución de continuidad, conforme a los preceptos procesales, en concreto al aplicar el art. 540 LEC, sería la de tener por conforme en la sucesión procesal al cesionario sin posibilidad, en su caso, de dar opción a extinguir la deuda al consumidor en detrimento de sus intereses”.</w:t>
      </w:r>
    </w:p>
    <w:p w:rsidR="001D6FAE" w:rsidRDefault="001D6FAE" w:rsidP="001D6FAE">
      <w:pPr>
        <w:pStyle w:val="TextoNormal"/>
      </w:pPr>
    </w:p>
    <w:p w:rsidR="001D6FAE" w:rsidRDefault="001D6FAE" w:rsidP="001D6FAE">
      <w:pPr>
        <w:pStyle w:val="TextoNormal"/>
      </w:pPr>
      <w:r>
        <w:t>d) En cuanto al momento procesal de planteamiento de la cuestión, señala el Juzgado que “es posible plantear cuestión de inconstitucionalidad aunque el asunto no termine por sentencia, ya que se trata de un pronunciamiento decisivo o imperativo de una resolución judicial, ya se trate de materia de fondo o de materia procesal … al ser este el momento clave en el que se ha de aplicar la norma legal cuya validez se cuestiona” (cita las SSTC 76/1982, FJ 1; 93/1988, FJ 3; 55/1990, FJ 1, y 181/2000, FJ 3, y ATC 250/1982, FJ 1). “Y ello evidentemente, al tratarse de una cuestión o ley procesal que incide en el fondo y en perjuicio del consumidor”</w:t>
      </w:r>
      <w:r w:rsidRPr="001D6FAE">
        <w:rPr>
          <w:i/>
        </w:rPr>
        <w:t xml:space="preserve"> (s</w:t>
      </w:r>
      <w:r>
        <w:t>ic).</w:t>
      </w:r>
    </w:p>
    <w:p w:rsidR="001D6FAE" w:rsidRDefault="001D6FAE" w:rsidP="001D6FAE">
      <w:pPr>
        <w:pStyle w:val="TextoNormal"/>
      </w:pPr>
    </w:p>
    <w:p w:rsidR="001D6FAE" w:rsidRDefault="001D6FAE" w:rsidP="001D6FAE">
      <w:pPr>
        <w:pStyle w:val="TextoNormal"/>
      </w:pPr>
      <w:r>
        <w:t xml:space="preserve">e) Advierte finalmente el Juzgado que, de forma simultánea al planteamiento de la presente cuestión de inconstitucionalidad, ha procedido a plantear cuestión prejudicial ante el Tribunal de Justicia de la Unión Europea, para que este determine si la referida normativa nacional, en relación con la práctica empresarial descrita, se ajusta a la tutela que dispensa el Derecho de la Unión Europea a los consumidores. Considera el Juzgado que el planteamiento simultáneo de la cuestión de inconstitucionalidad ante el Tribunal Constitucional y de la cuestión prejudicial ante el Tribunal de Justicia de la Unión Europea es conforme a la Sentencia dictada por este último (Sala Tercera) el 4 de junio de 2015 (se refiere al asunto C-5/14, </w:t>
      </w:r>
      <w:r w:rsidRPr="001D6FAE">
        <w:rPr>
          <w:i/>
        </w:rPr>
        <w:t>Kernkraftwerke Lippe-Ems GmbH c. Hauptzollamt Osnabrück</w:t>
      </w:r>
      <w:r>
        <w:t>).</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7 de junio de 2016, este Tribunal acordó, a los efectos que determina el art. 37.1 LOTC, oír al Fiscal General del Estado para que, en el plazo de diez días, alegara lo que considerase conveniente acerca de la admisibilidad de la presente cuestión de inconstitucionalidad, en relación con el cumplimiento de los requisitos procesales (art. 35.2 LOTC).</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 escrito de alegaciones en este Tribunal el día 30 de junio de 2016.</w:t>
      </w:r>
    </w:p>
    <w:p w:rsidR="001D6FAE" w:rsidRDefault="001D6FAE" w:rsidP="001D6FAE">
      <w:pPr>
        <w:pStyle w:val="TextoNormal"/>
      </w:pPr>
    </w:p>
    <w:p w:rsidR="001D6FAE" w:rsidRDefault="001D6FAE" w:rsidP="001D6FAE">
      <w:pPr>
        <w:pStyle w:val="TextoNormal"/>
      </w:pPr>
      <w:r>
        <w:t>Tras describir los antecedentes del caso y las dudas de constitucionalidad planteadas por el órgano judicial, afirma la Fiscal General del Estado que el requisito referido al trámite de audiencia debe entenderse cumplido, pero no así el relativo al planteamiento de la cuestión “una vez concluso el procedimiento y dentro del plazo para dictar sentencia, o la resolución jurisdiccional que procediese” (art. 35.2 LOTC). Anteriormente el Juzgado había dado traslado a las partes para que se pronunciasen sobre la consideración como abusivas de determinadas cláusulas de los contratos de crédito y su consiguiente anulación o moderación, en su caso, llegando incluso a señalar fecha para una vista sobre la resolución de este extremo, que queda irresoluto con el planteamiento de la cuestión de inconstitucionalidad, sin que lo que haya de resolverse sobre la sustitución procesal del ejecutante pueda suponer variación al respecto.</w:t>
      </w:r>
    </w:p>
    <w:p w:rsidR="001D6FAE" w:rsidRDefault="001D6FAE" w:rsidP="001D6FAE">
      <w:pPr>
        <w:pStyle w:val="TextoNormal"/>
      </w:pPr>
    </w:p>
    <w:p w:rsidR="001D6FAE" w:rsidRDefault="001D6FAE" w:rsidP="001D6FAE">
      <w:pPr>
        <w:pStyle w:val="TextoNormal"/>
      </w:pPr>
      <w:r>
        <w:t>Considera asimismo la Fiscal General del Estado que no se cumple el juicio de aplicabilidad (art. 35.2 LOTC), pues en los razonamientos contenidos en el Auto de planteamiento de la cuestión no se justifica que los preceptos legales cuestionados resulten aplicables al caso. El Juzgado no aclara qué quiere decir cuando afirma que los arts. 17 y 540 LEC están relacionados con el art. 1.535 CC, ni precisa qué parte de los distintos preceptos cuestionados considera inconstitucional y debe por tanto ser expulsada del ordenamiento, ni si el vicio de inconstitucionalidad que denuncia afecta a las normas procesales o a la norma material civil. Lo que se infiere del Auto de planteamiento es que lo cuestionado es la regulación del ordenamiento español en su conjunto en cuanto a la protección que dispensa a los consumidores frente a los posibles abusos en las ventas de créditos. Concretamente, considera el Juzgado promotor de la cuestión que esa protección es insuficiente, pues el ordenamiento solo prevé el derecho de retracto en caso de venta de créditos litigiosos, entendiendo por tales los que se encuentren en fase declarativa, lo que excluye a los créditos en fase ejecutiva y aquellos cuya trasmisión se haya realizado extrajudicialmente. Esta diferencia de trato (si los créditos no son litigiosos el deudor no tiene derecho de retracto) es la que el Juzgador considera contraria al principio de igualdad (art. 14 CE) y a los principios de defensa de los consumidores y usuarios (art. 53 CE).</w:t>
      </w:r>
    </w:p>
    <w:p w:rsidR="001D6FAE" w:rsidRDefault="001D6FAE" w:rsidP="001D6FAE">
      <w:pPr>
        <w:pStyle w:val="TextoNormal"/>
      </w:pPr>
    </w:p>
    <w:p w:rsidR="001D6FAE" w:rsidRDefault="001D6FAE" w:rsidP="001D6FAE">
      <w:pPr>
        <w:pStyle w:val="TextoNormal"/>
      </w:pPr>
      <w:r>
        <w:t>Así las cosas, no puede entenderse satisfecho el juicio de aplicabilidad. La decisión de tener por realizada la sustitución procesal del ejecutante no depende en absoluto de lo establecido en el art. 1.535 CC, que regula el retracto de créditos litigiosos, siendo por otra parte evidente que los arts. 17 y 540 LEC supeditan la decisión judicial de aprobar esa sustitución procesal a la acreditación de la propia trasmisión del crédito, salvando el derecho del ejecutado de oponerse a la misma. Además, el derecho que reconoce el art. 1.535 CC requiere un acto de voluntad del interesado, lo que no se ha producido en este caso, sin que el Juez pueda arrogarse la defensa de un derecho que no sido instado por su titular, dado el carácter rogado de la jurisdicción civil.</w:t>
      </w:r>
    </w:p>
    <w:p w:rsidR="001D6FAE" w:rsidRDefault="001D6FAE" w:rsidP="001D6FAE">
      <w:pPr>
        <w:pStyle w:val="TextoNormal"/>
      </w:pPr>
    </w:p>
    <w:p w:rsidR="001D6FAE" w:rsidRDefault="001D6FAE" w:rsidP="001D6FAE">
      <w:pPr>
        <w:pStyle w:val="TextoNormal"/>
      </w:pPr>
      <w:r>
        <w:t>En realidad, el planteamiento del Juzgado excede del ámbito propio de la cuestión de inconstitucionalidad, pues pretende una inadmisible depuración del ordenamiento jurídico en abstracto (por todos, ATC 24/2000, FJ 1). No duda, en efecto, de la validez de los preceptos cuestionados, ni tampoco que la figura jurídica del retracto de créditos litigiosos no resulta de aplicación al caso; lo que interesa del Tribunal Constitucional es una determinada interpretación integradora del ordenamiento, que el Juzgado estima más apropiada para la defensa de los consumidores en supuestos como el sometido a su enjuiciamiento en el proceso</w:t>
      </w:r>
      <w:r w:rsidRPr="001D6FAE">
        <w:rPr>
          <w:i/>
        </w:rPr>
        <w:t xml:space="preserve"> a qu</w:t>
      </w:r>
      <w:r>
        <w:t>o.</w:t>
      </w:r>
    </w:p>
    <w:p w:rsidR="001D6FAE" w:rsidRDefault="001D6FAE" w:rsidP="001D6FAE">
      <w:pPr>
        <w:pStyle w:val="TextoNormal"/>
      </w:pPr>
    </w:p>
    <w:p w:rsidR="001D6FAE" w:rsidRDefault="001D6FAE" w:rsidP="001D6FAE">
      <w:pPr>
        <w:pStyle w:val="TextoNormal"/>
      </w:pPr>
      <w:r>
        <w:t>Por todo ello la Fiscal General del Estado solicita que se dicte Auto inadmitiendo la presente cuestión de inconstitucionalidad.</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xml:space="preserve">. El Juzgado de Primera Instancia núm. 38 de Barcelona promueve cuestión de inconstitucionalidad respecto de los arts. 17 y 540 de la Ley de enjuiciamiento civil (LEC), en relación con el art. 1.535 del Código civil (CC), por vulneración de los arts. 14 y 51.1 y 3 CE. Considera que la regulación contenida en los preceptos cuestionados, en su conjunto, resulta incompatible con los derechos e intereses de los consumidores cuya protección exigen los citados preceptos constitucionales. El retracto de créditos litigiosos previsto en el art. 1.535 CC, esto es, el derecho del deudor a extinguir el crédito litigioso en caso de venta del mismo, reembolsando al cesionario el precio que pagó más costas e intereses del precio de la cesión, no resulta de aplicación a supuestos como el enjuiciado en el proceso </w:t>
      </w:r>
      <w:r w:rsidRPr="001D6FAE">
        <w:rPr>
          <w:i/>
        </w:rPr>
        <w:t>a quo</w:t>
      </w:r>
      <w:r>
        <w:t>. Son fruto de una determinada práctica empresarial especulativa, consistente en la venta por parte de entidades bancarias (cedentes) a sociedades o fondos de inversión (cesionarios) de créditos a precios ínfimos, para luego exigir el nuevo acreedor la totalidad del crédito pendiente al deudor (cliente bancario y por tanto consumidor), sin darle la posibilidad de extinguir su deuda adquiriendo el crédito por el importe de la cesión, más intereses y costas.</w:t>
      </w:r>
    </w:p>
    <w:p w:rsidR="001D6FAE" w:rsidRDefault="001D6FAE" w:rsidP="001D6FAE">
      <w:pPr>
        <w:pStyle w:val="TextoNormal"/>
      </w:pPr>
    </w:p>
    <w:p w:rsidR="001D6FAE" w:rsidRDefault="001D6FAE" w:rsidP="001D6FAE">
      <w:pPr>
        <w:pStyle w:val="TextoNormal"/>
      </w:pPr>
      <w:r>
        <w:t>La Fiscal General del Estado, por las razones expuestas en los antecedentes, ha interesado la inadmisión de la cuestión de inconstitucionalidad.</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dispuesto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Acerca de las condiciones procesales, la Fiscal General del Estado aduce, en primer lugar, que la cuestión no ha sido planteada en el momento procesal oportuno, toda vez que antes de oír a las partes y a la Fiscalía sobre la pertinencia de plantear cuestión ante este Tribunal respecto de los arts. 17 y 540 LEC, en relación con el art. 1.535 CC, por la duda de constitucionalidad suscitada en cuanto a la sustitución procesal del ejecutante por la cesión de los créditos reclamados, el Juzgado había dado traslado a las partes para que se pronunciasen sobre la consideración como abusivas de determinadas cláusulas de los contratos de crédito y su consiguiente anulación o moderación, en su caso; llegó incluso a señalar fecha para una vista sobre la resolución de ese extremo, que debió dejarse resuelto antes de plantearse la cuestión de inconstitucionalidad, según la Fiscal General del Estado.</w:t>
      </w:r>
    </w:p>
    <w:p w:rsidR="001D6FAE" w:rsidRDefault="001D6FAE" w:rsidP="001D6FAE">
      <w:pPr>
        <w:pStyle w:val="TextoNormal"/>
      </w:pPr>
    </w:p>
    <w:p w:rsidR="001D6FAE" w:rsidRDefault="001D6FAE" w:rsidP="001D6FAE">
      <w:pPr>
        <w:pStyle w:val="TextoNormal"/>
      </w:pPr>
      <w:r>
        <w:t>No podemos compartir este criterio, pues el examen del asunto a la luz de nuestra doctrina permite concluir que la cuestión de inconstitucionalidad se ha formalizado oportunamente. La cuestión se plantea por el Juzgado en el momento inmediatamente anterior a dictar la resolución (auto) que acuerde, en su caso, continuar la ejecución a favor de quien acredita ser sucesor procesal de quien figura como ejecutante en el título ejecutivo (arts. 17 y 540 LEC), sin que a ello obste que el Juzgado hubiese dado antes audiencia a la inicial ejecutante y los ejecutados para alegar sobre la posible consideración como abusivas de determinadas cláusulas de los contratos de crédito de los que trae causa el proceso ejecutivo y señalado fecha para una vista sobre la resolución de este particular (señalamiento finalmente dejado sin efecto, por otra parte), al tratarse de un problema independiente de la sucesión procesal pretendida.</w:t>
      </w:r>
    </w:p>
    <w:p w:rsidR="001D6FAE" w:rsidRDefault="001D6FAE" w:rsidP="001D6FAE">
      <w:pPr>
        <w:pStyle w:val="TextoNormal"/>
      </w:pPr>
    </w:p>
    <w:p w:rsidR="001D6FAE" w:rsidRDefault="001D6FAE" w:rsidP="001D6FAE">
      <w:pPr>
        <w:pStyle w:val="TextoNormal"/>
      </w:pPr>
      <w:r>
        <w:t xml:space="preserve">Ha de tenerse en cuenta que, conforme a reiterada doctrina constitucional, el término “fallo” que utiliza el art. 163 CE equivale a cualquier decisión, sea cual que sea la forma que adopte, que ponga fin a un proceso o un incidente que haya de ser resuelto de forma definitiva (por todas, SSTC 76/1982, de 14 de diciembre, FJ 1; 181/2000, de 29 de junio, FJ 3; 81/2003, de 30 de abril, FJ 2, y ATC 47/1994, de 8 de febrero, FJ 1). Así viene a confirmarlo, por lo demás, la vigente redacción del art. 35.2 LOTC, resultante de la reforma introducida por la Ley Orgánica 6/2007: “el órgano judicial sólo podrá plantear la cuestión una vez concluso el procedimiento y dentro del plazo para dictar sentencia, </w:t>
      </w:r>
      <w:r w:rsidRPr="001D6FAE">
        <w:rPr>
          <w:i/>
        </w:rPr>
        <w:t>o la resolución judicial que procediese</w:t>
      </w:r>
      <w:r>
        <w:t>”. En tal sentido, este Tribunal ha venido interpretando con flexibilidad este requisito temporal del art. 35.2 LOTC, cuando las normas cuestionadas son de carácter procesal (e incluso, más excepcionalmente, de naturaleza sustantiva), cuando la continuación del proceso hasta la sentencia no pudiera aportar ningún elemento adicional de juicio sobre la aplicabilidad de la norma cuestionada ni sobre su efecto determinante en el fallo, ni sobre su legitimidad constitucional, o cuando la propia norma tuviere una incidencia anticipada e irreversible en el propio proceso en curso (por todas, SSTC 8/1982, de 4 de marzo, FJ 1; 25/1984, de 23 de febrero, FJ 2; 19/1988, de 16 de febrero, FJ 1; 186/1990, de 15 de noviembre, FJ 2; y 110/1993, de 25 de marzo, FJ 2; y AATC 121/1990, de 13 de marzo, FJ 2; 47/1994, de 8 de febrero, FJ 1; 24/2000, de 18 de enero, FJ 1; 103/2004, de 13 de abril, FJ 2, y 76/2015, de 30 de abril, FJ 3).</w:t>
      </w:r>
    </w:p>
    <w:p w:rsidR="001D6FAE" w:rsidRDefault="001D6FAE" w:rsidP="001D6FAE">
      <w:pPr>
        <w:pStyle w:val="TextoNormal"/>
      </w:pPr>
    </w:p>
    <w:p w:rsidR="001D6FAE" w:rsidRDefault="001D6FAE" w:rsidP="001D6FAE">
      <w:pPr>
        <w:pStyle w:val="TextoNormal"/>
      </w:pPr>
      <w:r>
        <w:t xml:space="preserve">Tal acontece en el presente caso, pues debe advertirse que si el Juzgado hubiera resuelto sobre la pretensión de sucesión procesal de la cesionaria en la ejecución (arts. 17 y 540 LEC), se habrían aplicado ya en el proceso </w:t>
      </w:r>
      <w:r w:rsidRPr="001D6FAE">
        <w:rPr>
          <w:i/>
        </w:rPr>
        <w:t>a quo</w:t>
      </w:r>
      <w:r>
        <w:t xml:space="preserve"> los preceptos respecto de los que plantea la duda de inconstitucionalidad, lo que conduciría a la inadmisión de la cuestión. En la medida en que la cuestión de inconstitucionalidad tiene como finalidad la de suspender el procedimiento judicial y esperar a la respuesta de este Tribunal para la aplicación de la norma, no cabe plantear la cuestión cuando el órgano judicial ya la ha aplicado en el proceso, pronunciándose así de manera inequívoca sobre el objeto de la cuestión y privando a esta de su carácter prejudicial (STC 269/2015, de 17 de diciembre, FJ 2; AATC 361/2004, de 21 de septiembre, FJ 4; 134/2006, de 4 de abril, FJ 2; 220/2012, de 27 de noviembre, FJ 3; 155/2013, de 9 de julio, FJ 2; 206/2014, de 22 de julio, FJ 3, y 42/2016, de 16 de febrero, FJ 4, por todos).</w:t>
      </w:r>
    </w:p>
    <w:p w:rsidR="001D6FAE" w:rsidRDefault="001D6FAE" w:rsidP="001D6FAE">
      <w:pPr>
        <w:pStyle w:val="TextoNormal"/>
      </w:pPr>
    </w:p>
    <w:p w:rsidR="001D6FAE" w:rsidRDefault="001D6FAE" w:rsidP="001D6FAE">
      <w:pPr>
        <w:pStyle w:val="TextoNormal"/>
      </w:pPr>
      <w:r w:rsidRPr="001D6FAE">
        <w:rPr>
          <w:rStyle w:val="NumeroAFNegritaCaracter"/>
        </w:rPr>
        <w:t>3</w:t>
      </w:r>
      <w:r>
        <w:t xml:space="preserve">. Alega asimismo la Fiscal General del Estado que tampoco se cumple el juicio de aplicabilidad (art. 35.2 LOTC), ya que en los razonamientos contenidos en el Auto de planteamiento de la cuestión no se justifica que las normas cuestionadas resulten aplicables al caso. Además, el Juzgado no duda en realidad de la validez de los preceptos legales cuestionados, sino que lo que pretende del Tribunal Constitucional es una determinada interpretación integradora del ordenamiento, que el Juzgado estima más apropiada para la defensa de los consumidores en supuestos como el sometido a su enjuiciamiento en el proceso </w:t>
      </w:r>
      <w:r w:rsidRPr="001D6FAE">
        <w:rPr>
          <w:i/>
        </w:rPr>
        <w:t>a quo</w:t>
      </w:r>
      <w:r>
        <w:t>.</w:t>
      </w:r>
    </w:p>
    <w:p w:rsidR="001D6FAE" w:rsidRDefault="001D6FAE" w:rsidP="001D6FAE">
      <w:pPr>
        <w:pStyle w:val="TextoNormal"/>
      </w:pPr>
    </w:p>
    <w:p w:rsidR="001D6FAE" w:rsidRDefault="001D6FAE" w:rsidP="001D6FAE">
      <w:pPr>
        <w:pStyle w:val="TextoNormal"/>
      </w:pPr>
      <w:r>
        <w:t>Al respecto es preciso recordar que el art. 163 CE y los apartados 1 y 2 del art. 35 LOTC exigen que la norma con rango de ley, de la que tenga dudas sobre su constitucionalidad el órgano judicial, resulte “aplicable al caso” y que de su validez “dependa el fallo”; debe pues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79/2015, de 30 de abril, FJ 3, y ATC 12/2016, de 19 de enero, FJ 2).</w:t>
      </w:r>
    </w:p>
    <w:p w:rsidR="001D6FAE" w:rsidRDefault="001D6FAE" w:rsidP="001D6FAE">
      <w:pPr>
        <w:pStyle w:val="TextoNormal"/>
      </w:pPr>
    </w:p>
    <w:p w:rsidR="001D6FAE" w:rsidRDefault="001D6FAE" w:rsidP="001D6FAE">
      <w:pPr>
        <w:pStyle w:val="TextoNormal"/>
      </w:pPr>
      <w:r>
        <w:t>En suma, este Tribunal, en el ejercicio de sus facultades de control externo del juicio de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y 188/2015, de 5 de noviembre, FJ 2).</w:t>
      </w:r>
    </w:p>
    <w:p w:rsidR="001D6FAE" w:rsidRDefault="001D6FAE" w:rsidP="001D6FAE">
      <w:pPr>
        <w:pStyle w:val="TextoNormal"/>
      </w:pPr>
    </w:p>
    <w:p w:rsidR="001D6FAE" w:rsidRDefault="001D6FAE" w:rsidP="001D6FAE">
      <w:pPr>
        <w:pStyle w:val="TextoNormal"/>
      </w:pPr>
      <w:r>
        <w:t>La aplicación en este caso de la referida doctrina constitucional conduce a declarar la inadmisión de la cuestión de inconstitucionalidad por incumplimiento de los juicios de aplicabilidad y de relevancia (art. 37.1 LOTC), si bien por razones no enteramente coincidentes con las aducidas por la Fiscal General del Estado en su escrito de alegaciones.</w:t>
      </w:r>
    </w:p>
    <w:p w:rsidR="001D6FAE" w:rsidRDefault="001D6FAE" w:rsidP="001D6FAE">
      <w:pPr>
        <w:pStyle w:val="TextoNormal"/>
      </w:pPr>
    </w:p>
    <w:p w:rsidR="001D6FAE" w:rsidRDefault="001D6FAE" w:rsidP="001D6FAE">
      <w:pPr>
        <w:pStyle w:val="TextoNormal"/>
      </w:pPr>
      <w:r w:rsidRPr="001D6FAE">
        <w:rPr>
          <w:rStyle w:val="NumeroAFNegritaCaracter"/>
        </w:rPr>
        <w:t>4</w:t>
      </w:r>
      <w:r>
        <w:t>. En primer lugar ha de tenerse en cuenta que, como ya quedó indicado, el Juzgado promotor de la presente cuestión de inconstitucionalidad ha planteado de forma simultánea, respecto de los mismos preceptos legales, cuestión prejudicial ante el Tribunal de Justicia de la Unión Europea. Lo ha hecho por entender que la regulación resultante de tales preceptos, en su conjunto, permite la práctica empresarial de venta o cesión de créditos por un precio exiguo y sin ofrecer al deudor (consumidor) la posibilidad de extinguir la deuda mediante el pago al cesionario del precio, más intereses y costas; lo que pudiera ser incompatible con las normas del Derecho de la Unión Europa que cita el órgano judicial, relativas a la protección de los consumidores y usuarios.</w:t>
      </w:r>
    </w:p>
    <w:p w:rsidR="001D6FAE" w:rsidRDefault="001D6FAE" w:rsidP="001D6FAE">
      <w:pPr>
        <w:pStyle w:val="TextoNormal"/>
      </w:pPr>
    </w:p>
    <w:p w:rsidR="001D6FAE" w:rsidRDefault="001D6FAE" w:rsidP="001D6FAE">
      <w:pPr>
        <w:pStyle w:val="TextoNormal"/>
      </w:pPr>
      <w:r>
        <w:t>Este planteamiento simultáneo de la cuestión prejudicial ante el Tribunal de Justicia de la Unión Europea y de la cuestión de inconstitucionalidad determina que no pueda entenderse cumplido, respecto de la admisibilidad de esta, el requisito de que la norma con rango de ley cuestionada sea “aplicable al caso” (arts. 163 CE y 35.1 LOTC).</w:t>
      </w:r>
    </w:p>
    <w:p w:rsidR="001D6FAE" w:rsidRDefault="001D6FAE" w:rsidP="001D6FAE">
      <w:pPr>
        <w:pStyle w:val="TextoNormal"/>
      </w:pPr>
    </w:p>
    <w:p w:rsidR="001D6FAE" w:rsidRDefault="001D6FAE" w:rsidP="001D6FAE">
      <w:pPr>
        <w:pStyle w:val="TextoNormal"/>
      </w:pPr>
      <w:r>
        <w:t>Ciertamente no cabe negar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como en este caso sucede.</w:t>
      </w:r>
    </w:p>
    <w:p w:rsidR="001D6FAE" w:rsidRDefault="001D6FAE" w:rsidP="001D6FAE">
      <w:pPr>
        <w:pStyle w:val="TextoNormal"/>
      </w:pPr>
    </w:p>
    <w:p w:rsidR="001D6FAE" w:rsidRDefault="001D6FAE" w:rsidP="001D6FAE">
      <w:pPr>
        <w:pStyle w:val="TextoNormal"/>
      </w:pPr>
      <w: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w:t>
      </w:r>
      <w:r w:rsidRPr="001D6FAE">
        <w:rPr>
          <w:i/>
        </w:rPr>
        <w:t>Melki y Abdeli</w:t>
      </w:r>
      <w:r>
        <w:t xml:space="preserve">; de 11 de septiembre de 2014, asunto </w:t>
      </w:r>
      <w:r w:rsidRPr="001D6FAE">
        <w:rPr>
          <w:i/>
        </w:rPr>
        <w:t>A c. B y otros</w:t>
      </w:r>
      <w:r>
        <w:t xml:space="preserve">; y de 4 de junio de 2015, asunto </w:t>
      </w:r>
      <w:r w:rsidRPr="001D6FAE">
        <w:rPr>
          <w:i/>
        </w:rPr>
        <w:t>Kernkraftwerke Lippe-Ems GmbH c. Hauptzollamt Osnabrück</w:t>
      </w:r>
      <w:r>
        <w:t xml:space="preserve">.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w:t>
      </w:r>
      <w:r w:rsidRPr="001D6FAE">
        <w:rPr>
          <w:i/>
        </w:rPr>
        <w:t>ex</w:t>
      </w:r>
      <w:r>
        <w:t xml:space="preserve"> art. 267 TFUE.</w:t>
      </w:r>
    </w:p>
    <w:p w:rsidR="001D6FAE" w:rsidRDefault="001D6FAE" w:rsidP="001D6FAE">
      <w:pPr>
        <w:pStyle w:val="TextoNormal"/>
      </w:pPr>
    </w:p>
    <w:p w:rsidR="001D6FAE" w:rsidRDefault="001D6FAE" w:rsidP="001D6FAE">
      <w:pPr>
        <w:pStyle w:val="TextoNormal"/>
      </w:pPr>
      <w:r>
        <w:t>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1D6FAE" w:rsidRDefault="001D6FAE" w:rsidP="001D6FAE">
      <w:pPr>
        <w:pStyle w:val="TextoNormal"/>
      </w:pPr>
    </w:p>
    <w:p w:rsidR="001D6FAE" w:rsidRDefault="001D6FAE" w:rsidP="001D6FAE">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inaplicarla.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001D6FAE" w:rsidRDefault="001D6FAE" w:rsidP="001D6FAE">
      <w:pPr>
        <w:pStyle w:val="TextoNormal"/>
      </w:pPr>
    </w:p>
    <w:p w:rsidR="001D6FAE" w:rsidRDefault="001D6FAE" w:rsidP="001D6FAE">
      <w:pPr>
        <w:pStyle w:val="TextoNormal"/>
      </w:pPr>
      <w:r>
        <w:t>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001D6FAE" w:rsidRDefault="001D6FAE" w:rsidP="001D6FAE">
      <w:pPr>
        <w:pStyle w:val="TextoNormal"/>
      </w:pPr>
    </w:p>
    <w:p w:rsidR="001D6FAE" w:rsidRDefault="001D6FAE" w:rsidP="001D6FAE">
      <w:pPr>
        <w:pStyle w:val="TextoNormal"/>
      </w:pPr>
      <w:r>
        <w:t>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1D6FAE" w:rsidRDefault="001D6FAE" w:rsidP="001D6FAE">
      <w:pPr>
        <w:pStyle w:val="TextoNormal"/>
      </w:pPr>
    </w:p>
    <w:p w:rsidR="001D6FAE" w:rsidRDefault="001D6FAE" w:rsidP="001D6FAE">
      <w:pPr>
        <w:pStyle w:val="TextoNormal"/>
      </w:pPr>
      <w:r w:rsidRPr="001D6FAE">
        <w:rPr>
          <w:rStyle w:val="NumeroAFNegritaCaracter"/>
        </w:rPr>
        <w:t>5</w:t>
      </w:r>
      <w:r>
        <w:t>. Sin perjuicio de lo anterior, cabe añadir que tampoco resulta satisfecho en el presente caso el juicio de relevancia, esto es, la exigencia de justificar en el Auto de planteamiento de la cuestión de inconstitucionalidad en qué medida la decisión del proceso depende de la validez de la norma legal que se cuestiona por el órgano judicial (arts. 163 CE y 35.1 y 2 LOTC).</w:t>
      </w:r>
    </w:p>
    <w:p w:rsidR="001D6FAE" w:rsidRDefault="001D6FAE" w:rsidP="001D6FAE">
      <w:pPr>
        <w:pStyle w:val="TextoNormal"/>
      </w:pPr>
    </w:p>
    <w:p w:rsidR="001D6FAE" w:rsidRDefault="001D6FAE" w:rsidP="001D6FAE">
      <w:pPr>
        <w:pStyle w:val="TextoNormal"/>
      </w:pPr>
      <w:r>
        <w:t xml:space="preserve">En efecto, la resolución que ha de dictar el Juzgado promotor de la cuestión es el Auto acordando, en su caso, la sucesión procesal del cesionario en la posición del acreedor cedente, continuando la ejecución a favor de aquel, de conformidad con lo dispuesto en los arts. 17 y 540 LEC, sin que se advierta que el fallo de esta resolución dependa de la validez de dichos preceptos legales (art. 163 CE y art. 35.1 y 2 LOTC). Como indica la Fiscal General del Estado en su escrito de alegaciones, el Juzgado no cuestiona la regulación de la sucesión procesal contenida en los arts. 17 y 540 LEC, ni tampoco el retracto de créditos litigiosos del art. 1.535 CC. Lo cuestionado es el déficit de protección —en opinión del Juzgado— de los deudores que tienen la condición de consumidores; al no contemplarse en nuestro ordenamiento jurídico en su conjunto un derecho de retracto, similar al establecido en el art. 1.535 CC, para los supuestos como el planteado en el proceso </w:t>
      </w:r>
      <w:r w:rsidRPr="001D6FAE">
        <w:rPr>
          <w:i/>
        </w:rPr>
        <w:t>a quo</w:t>
      </w:r>
      <w:r>
        <w:t>; el crédito cedido no tiene la condición de litigioso, lo que permite que tenga lugar una práctica empresarial especulativa como la descrita en el Auto de planteamiento de la cuestión, que el Juzgado considera contraria a la protección que el ordenamiento debe brindar a los consumidores.</w:t>
      </w:r>
    </w:p>
    <w:p w:rsidR="001D6FAE" w:rsidRDefault="001D6FAE" w:rsidP="001D6FAE">
      <w:pPr>
        <w:pStyle w:val="TextoNormal"/>
      </w:pPr>
    </w:p>
    <w:p w:rsidR="001D6FAE" w:rsidRDefault="001D6FAE" w:rsidP="001D6FAE">
      <w:pPr>
        <w:pStyle w:val="TextoNormal"/>
      </w:pPr>
      <w:r>
        <w:t xml:space="preserve">En suma, el Juzgado de Primera Instancia núm. 38 de Barcelona no duda de la validez de los preceptos cuestionados en su Auto. Lo que pretende del Tribunal Constitucional mediante el planteamiento de la cuestión es una determinada interpretación integradora del ordenamiento, que el Juzgado estima más apropiada para la defensa de los consumidores en supuestos como el sometido a su enjuiciamiento en el proceso </w:t>
      </w:r>
      <w:r w:rsidRPr="001D6FAE">
        <w:rPr>
          <w:i/>
        </w:rPr>
        <w:t>a quo</w:t>
      </w:r>
      <w:r>
        <w:t>. Esta pretensión asoma de manera explícita en el Auto de planteamiento de la cuestión cuando afirma que “lo que se trata de evidenciar ahora es que el Tribunal Constitucional podría hacer una lectura de los preceptos procesales (art. 17 y 540 LEC) y del material (art. 1.535 del Código Civil), acorde con el interés general, los intereses económicos de los consumidores, no dejando al albur de una u otra Comunidad Autónoma la decisión de conceder el retracto a los consumidores”.</w:t>
      </w:r>
    </w:p>
    <w:p w:rsidR="001D6FAE" w:rsidRDefault="001D6FAE" w:rsidP="001D6FAE">
      <w:pPr>
        <w:pStyle w:val="TextoNormal"/>
      </w:pPr>
    </w:p>
    <w:p w:rsidR="001D6FAE" w:rsidRDefault="001D6FAE" w:rsidP="001D6FAE">
      <w:pPr>
        <w:pStyle w:val="TextoNormal"/>
      </w:pPr>
      <w:r>
        <w:t>Hemos de coincidir con la Fiscal General del Estado, por tanto, en que de compartirse el planteamiento del órgano judicial se estaría desvirtuando la naturaleza propia de la cuestión de inconstitucionalidad. Esta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(SSTC 17/1981, de 1 de junio, FJ 1; 64/2003, de 27 de marzo, FJ 5, y 224/2006, de 6 de julio, FJ 5, por todas). Ello conduce a inadmitir también por esta razón la cuestión planteada por el Juzgado de Primera Instancia núm. 38 de Barcelona.</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Publíquese este Auto en el “Boletín Oficial del Estado”.</w:t>
      </w:r>
    </w:p>
    <w:p w:rsidR="001D6FAE" w:rsidRDefault="001D6FAE" w:rsidP="001D6FAE">
      <w:pPr>
        <w:pStyle w:val="TextoNormal"/>
      </w:pPr>
    </w:p>
    <w:p w:rsidR="001D6FAE" w:rsidRDefault="001D6FAE" w:rsidP="001D6FAE">
      <w:pPr>
        <w:pStyle w:val="TextoNormal"/>
      </w:pPr>
      <w:r>
        <w:t>Madrid, a cuatro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3" w:name="AUTO_2016_169"/>
      <w:r>
        <w:t>AUTO 169/2016, de 4 de octubre de 2016</w:t>
      </w:r>
    </w:p>
    <w:bookmarkEnd w:id="143"/>
    <w:p w:rsidR="001D6FAE" w:rsidRDefault="001D6FAE" w:rsidP="001D6FAE">
      <w:pPr>
        <w:pStyle w:val="TtuloResolucin"/>
      </w:pPr>
      <w:r>
        <w:t>Pleno</w:t>
      </w:r>
    </w:p>
    <w:p w:rsidR="001D6FAE" w:rsidRDefault="001D6FAE" w:rsidP="001D6FAE">
      <w:pPr>
        <w:pStyle w:val="TextoNormalCentrado"/>
      </w:pPr>
      <w:r>
        <w:t>ECLI:ES:TC:2016:169A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Levanta la suspensión en el recurso de inconstitucionalidad 2465-2016, interpuesto por el Presidente del Gobierno en relación con diversos preceptos de la Ley del Parlamento de Cataluña 19/2015, de 29 de julio, de incorporación de la propiedad temporal y de la propiedad compartida al libro quinto del Código civil de Cataluña.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día 4 de mayo de 2016, el Abogado del Estado, en nombre del Presidente del Gobierno, interpuso “recurso de inconstitucionalidad contra el art. 1 y, por conexión, en lo que a la propiedad temporal se refieren, contra las disposiciones adicionales primera, segunda y tercera, así como contra la disposición final de la Ley del Parlamento de Cataluña 19/2015, de 29 de julio, de incorporación de la propiedad temporal y de la propiedad compartida al Libro Quinto del Código Civil de Cataluña”. El Abogado del Estado invocó los arts. 161.2 CE y 30 de la Ley Orgánica del Tribunal Constitucional (LOTC), a fin de que se acordase la suspensión del precepto impugnado.</w:t>
      </w:r>
    </w:p>
    <w:p w:rsidR="001D6FAE" w:rsidRDefault="001D6FAE" w:rsidP="001D6FAE">
      <w:pPr>
        <w:pStyle w:val="TextoNormal"/>
      </w:pPr>
    </w:p>
    <w:p w:rsidR="001D6FAE" w:rsidRDefault="001D6FAE" w:rsidP="001D6FAE">
      <w:pPr>
        <w:pStyle w:val="TextoNormal"/>
      </w:pPr>
      <w:r w:rsidRPr="001D6FAE">
        <w:rPr>
          <w:rStyle w:val="NumeroAFNegritaCaracter"/>
        </w:rPr>
        <w:t>2</w:t>
      </w:r>
      <w:r>
        <w:t>. Por providencia de 24 de mayo de 2016 el Pleno, a propuesta de la Sección Tercera, acordó admitir a trámite el recurso de inconstitucionalidad promovido por el Presidente del Gobierno contra el art. 1 y, por conexión, en lo que a la propiedad temporal se refieren, contra las disposiciones adicionales primera, segunda y tercera, así como contra la disposición final de la Ley del Parlamento de Cataluña 19/2015, de 29 de julio, de incorporación de la propiedad temporal y de la propiedad compartida al libro quinto del Código civil de Cataluña; dar traslado de la demanda y documentos presentados, según prevé el art. 34 LOTC, al Congreso de los Diputados y al Senado, por conducto de sus Presidentes, así como al Gobierno y al Parlamento de Cataluña, por conducto de sus Presidentes, al objeto de que, en el plazo de quince días, puedan personarse en el proceso y formular las alegaciones que estimaren convenientes; tener por invocado por el Presidente del Gobierno el art. 161.2 CE, lo que, conforme dispone el art. 30 LOTC, produce la suspensión de la vigencia y aplicación de los preceptos impugnados, desde la fecha de interposición del recurso —4 de mayo de 2016— para las partes del proceso y desde el día en que aparezca publicada la suspensión en el “Boletín Oficial del Estado” para los terceros, lo que se comunicará a los Presidentes del Gobierno y del Parlamento de Cataluña; y publicar la incoación del recurso en el “Boletín Oficial del Estado” y en el “Diario Oficial de la Generalitat de Cataluña”.</w:t>
      </w:r>
    </w:p>
    <w:p w:rsidR="001D6FAE" w:rsidRDefault="001D6FAE" w:rsidP="001D6FAE">
      <w:pPr>
        <w:pStyle w:val="TextoNormal"/>
      </w:pPr>
    </w:p>
    <w:p w:rsidR="001D6FAE" w:rsidRDefault="001D6FAE" w:rsidP="001D6FAE">
      <w:pPr>
        <w:pStyle w:val="TextoNormal"/>
      </w:pPr>
      <w:r w:rsidRPr="001D6FAE">
        <w:rPr>
          <w:rStyle w:val="NumeroAFNegritaCaracter"/>
        </w:rPr>
        <w:t>3</w:t>
      </w:r>
      <w:r>
        <w:t>. Mediante escrito registrado el día 9 de junio de 2016 el Presidente del Congreso de los Diputados comunicó a este Tribunal el acuerdo de la Mesa de la Cámara en el sentido de darse por personada en el proceso, ofreciendo su colaboración a los efectos del art. 88.1 LOTC. Idéntica comunicación del Presidente del Senado se registró el 20 de junio de 2016.</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escrito registrado el 21 de junio de 2016 la Letrada del Parlamento de Cataluña presentó sus alegaciones oponiéndose a la estimación del recurso de inconstitucionalidad y solicitando, por medio de otrosí, el levantamiento anticipado de la suspensión de la Ley impugnada.</w:t>
      </w:r>
    </w:p>
    <w:p w:rsidR="001D6FAE" w:rsidRDefault="001D6FAE" w:rsidP="001D6FAE">
      <w:pPr>
        <w:pStyle w:val="TextoNormal"/>
      </w:pPr>
    </w:p>
    <w:p w:rsidR="001D6FAE" w:rsidRDefault="001D6FAE" w:rsidP="001D6FAE">
      <w:pPr>
        <w:pStyle w:val="TextoNormal"/>
      </w:pPr>
      <w:r>
        <w:t>En este punto, tras reproducir la doctrina constitucional sobre la materia, con alusión específica a la posibilidad de levantamiento anticipado de la suspensión (ATC 417/1997), destaca que “es el Gobierno a quien se debe la iniciativa, quien debe demostrar o al menos razonar consistentemente la procedencia de la suspensión para evitar unos perjuicios de imposible o difícil reparación, ya que debe partirse del principio de presunción de la constitucionalidad de las normas objeto del litigio” y añade que en este caso “el Abogado del Estado al invocar el art 161.2 CE no aporta ningún tipo de razonamiento o argumento que justifique la necesidad de la medida suspensiva”.</w:t>
      </w:r>
    </w:p>
    <w:p w:rsidR="001D6FAE" w:rsidRDefault="001D6FAE" w:rsidP="001D6FAE">
      <w:pPr>
        <w:pStyle w:val="TextoNormal"/>
      </w:pPr>
    </w:p>
    <w:p w:rsidR="001D6FAE" w:rsidRDefault="001D6FAE" w:rsidP="001D6FAE">
      <w:pPr>
        <w:pStyle w:val="TextoNormal"/>
      </w:pPr>
      <w:r>
        <w:t xml:space="preserve">Por otro lado, la Letrada del Parlamento de Cataluña sostiene que la suspensión de la norma recurrida “puede afectar sensiblemente al principio de seguridad jurídica de las partes que deseen intervenir en el negocio jurídico de la propiedad temporal y en la de aquellas que se acogieron a su aplicación durante los meses de vigencia de la ley”. Alega que la Generalitat con el precepto impugnado ayuda “a instrumentar y documentar una facultad dispositiva, ya al alcance de los ciudadanos </w:t>
      </w:r>
      <w:r w:rsidRPr="001D6FAE">
        <w:rPr>
          <w:i/>
        </w:rPr>
        <w:t>ex</w:t>
      </w:r>
      <w:r>
        <w:t xml:space="preserve"> artículo 545-4 de la Ley 5/2006, pero sin un patrón de aplicación común. Con la ley recurrida se facilita la actividad de los operadores jurídicos y se ofrecen unos parámetros comunes de ejercicio para quienes voluntariamente quieran acogerse a esta modalidad de limitación del dominio. Mantener la suspensión de su vigencia —máxime cuando no se ha alegado causa alguna de perjuicio— es tanto como abocar a la inseguridad jurídica a aquellos que se han acogido a la misma y, tal vez lo que es peor, impedir la difusión de una forma de acceso a la propiedad —aunque sea temporal— a un colectivo social que lo desea, porque el resultado -la limitación temporal de derecho de propiedad-, lo tienen igualmente a su alcance al amparo del precepto antes citado del Libro Quinto del Código Civil de Cataluña”.</w:t>
      </w:r>
    </w:p>
    <w:p w:rsidR="001D6FAE" w:rsidRDefault="001D6FAE" w:rsidP="001D6FAE">
      <w:pPr>
        <w:pStyle w:val="TextoNormal"/>
      </w:pPr>
    </w:p>
    <w:p w:rsidR="001D6FAE" w:rsidRDefault="001D6FAE" w:rsidP="001D6FAE">
      <w:pPr>
        <w:pStyle w:val="TextoNormal"/>
      </w:pPr>
      <w:r w:rsidRPr="001D6FAE">
        <w:rPr>
          <w:rStyle w:val="NumeroAFNegritaCaracter"/>
        </w:rPr>
        <w:t>5</w:t>
      </w:r>
      <w:r>
        <w:t>. El 23 de junio de 2016 se personó el Abogado de la Generalitat de Cataluña en la representación que le corresponde, oponiéndose a la estimación del recurso de inconstitucionalidad e instando, por medio de otrosí, el levantamiento anticipado de la suspensión de la Ley impugnada.</w:t>
      </w:r>
    </w:p>
    <w:p w:rsidR="001D6FAE" w:rsidRDefault="001D6FAE" w:rsidP="001D6FAE">
      <w:pPr>
        <w:pStyle w:val="TextoNormal"/>
      </w:pPr>
    </w:p>
    <w:p w:rsidR="001D6FAE" w:rsidRDefault="001D6FAE" w:rsidP="001D6FAE">
      <w:pPr>
        <w:pStyle w:val="TextoNormal"/>
      </w:pPr>
      <w:r>
        <w:t>Argumenta, en primer término, que en el escrito de planteamiento del recurso no se contiene la más mínima argumentación que justifique la suspensión. Añade, en apoyo de su pretensión de levantamiento inmediato de la suspensión, otras dos consideraciones. De un lado, expone que, como sea que la Ley catalana 19/2015 fue objeto del trámite de negociación en la comisión bilateral Generalitat-Estado, previsto en el art. 33.2 LOTC, puede decirse que dicha norma ha estado vigente en Cataluña durante más de nueve meses, en los cuales su aplicación no ha generado problema ni disfunción alguna. De otro lado, razona que, puesto que no existe ningún ordenamiento civil en el Estado español que impida a las partes negociadoras, en uso de su autonomía de voluntad, llegar a establecer el mismo resultado de autorregulación de intereses que la Ley catalana 19/2015 facilita y, en concreto, someter la titularidad dominical a plazo sucesivo, carece de sentido y de provecho alguno mantener la suspensión de una normativa que aporta seguridad jurídica a lo que los particulares decidan libremente en sus pactos de autorregulación.</w:t>
      </w:r>
    </w:p>
    <w:p w:rsidR="001D6FAE" w:rsidRDefault="001D6FAE" w:rsidP="001D6FAE">
      <w:pPr>
        <w:pStyle w:val="TextoNormal"/>
      </w:pPr>
    </w:p>
    <w:p w:rsidR="001D6FAE" w:rsidRDefault="001D6FAE" w:rsidP="001D6FAE">
      <w:pPr>
        <w:pStyle w:val="TextoNormal"/>
      </w:pPr>
      <w:r w:rsidRPr="001D6FAE">
        <w:rPr>
          <w:rStyle w:val="NumeroAFNegritaCaracter"/>
        </w:rPr>
        <w:t>6</w:t>
      </w:r>
      <w:r>
        <w:t>. Por providencia de 24 de junio de 2016 el Pleno del Tribunal acordó dar traslado al Abogado del Estado y a la Generalitat de Cataluña del escrito en el que el Parlamento de Cataluña solicita el levantamiento de la suspensión de la Ley impugnada, concediendo un plazo de cinco días para que alegasen lo que estimasen procedente al respecto.</w:t>
      </w:r>
    </w:p>
    <w:p w:rsidR="001D6FAE" w:rsidRDefault="001D6FAE" w:rsidP="001D6FAE">
      <w:pPr>
        <w:pStyle w:val="TextoNormal"/>
      </w:pPr>
    </w:p>
    <w:p w:rsidR="001D6FAE" w:rsidRDefault="001D6FAE" w:rsidP="001D6FAE">
      <w:pPr>
        <w:pStyle w:val="TextoNormal"/>
      </w:pPr>
      <w:r w:rsidRPr="001D6FAE">
        <w:rPr>
          <w:rStyle w:val="NumeroAFNegritaCaracter"/>
        </w:rPr>
        <w:t>7</w:t>
      </w:r>
      <w:r>
        <w:t>. El Abogado del Estado, en su escrito de 4 de julio de 2016, instó que la Ley recurrida se mantuviera suspendida en su vigencia por los siguientes motivos.</w:t>
      </w:r>
    </w:p>
    <w:p w:rsidR="001D6FAE" w:rsidRDefault="001D6FAE" w:rsidP="001D6FAE">
      <w:pPr>
        <w:pStyle w:val="TextoNormal"/>
      </w:pPr>
    </w:p>
    <w:p w:rsidR="001D6FAE" w:rsidRDefault="001D6FAE" w:rsidP="001D6FAE">
      <w:pPr>
        <w:pStyle w:val="TextoNormal"/>
      </w:pPr>
      <w:r>
        <w:t>Tras reseñar la doctrina constitucional relevante, expone que “constituye objeto del recurso varios preceptos de la Ley de Cataluña 19/2015, específicamente su art 1 que contiene una reforma del art. 547 CCCat, que consiste en la definición y régimen jurídico de una nueva ‘forma’ de propiedad: la denominada ‘propiedad temporal’, no reconocida hasta el momento, cuya característica principal es su temporalidad y disfrute sucesivo por más de un titular … Se trata de la configuración legal que niega el carácter indefinido esencial o en origen del derecho de propiedad”.</w:t>
      </w:r>
    </w:p>
    <w:p w:rsidR="001D6FAE" w:rsidRDefault="001D6FAE" w:rsidP="001D6FAE">
      <w:pPr>
        <w:pStyle w:val="TextoNormal"/>
      </w:pPr>
    </w:p>
    <w:p w:rsidR="001D6FAE" w:rsidRDefault="001D6FAE" w:rsidP="001D6FAE">
      <w:pPr>
        <w:pStyle w:val="TextoNormal"/>
      </w:pPr>
      <w:r>
        <w:t xml:space="preserve">Alega, sobre los perjuicios que avalarían mantener su suspensión, que el art. 1 de la Ley 19/2015 regula “una figura de derecho de propiedad que por su carácter precisamente de derecho real, una vez adquirido a través de los modos que la ley prevé, surge al mundo jurídico y se consolida incluso frente a terceros una vez que en su caso tiene lugar su publicidad formal”. Aclara, además, que sería “una suerte de derecho dominical cuya esencia no habría sido establecida, en el sentido de regulado su régimen jurídico esencial por ley del Estado al amparo de su competencia exclusiva </w:t>
      </w:r>
      <w:r w:rsidRPr="001D6FAE">
        <w:rPr>
          <w:i/>
        </w:rPr>
        <w:t>ex</w:t>
      </w:r>
      <w:r>
        <w:t xml:space="preserve"> art. 149.1.8 CE. Y, no obstante, habida cuenta de la creación singular de esas titularidades en varios posibles casos mediante los correspondientes negocios jurídicos, estos quedarían perfeccionados al amparo de la ley autonómica que los habría posibilitado. Así, tanto en el plano del derecho civil sustantivo, como desde la perspectiva de la protección frente a terceros que la publicidad formal del Registro garantiza en el ámbito de la seguridad jurídica en las transacciones, se llegaría a producir, aun después dictada una eventual sentencia constitucional estimatoria del recurso del Estado, una consolidación e irreversibilidad de situaciones jurídico patrimoniales en varios casos singulares”. Precisa más su argumento diciendo que “los titulares inscritos de derechos de propiedad temporal podrían, por tanto, alegar que ellos adquirieron de buena fe y de acuerdo con el Registro, si se trata de bienes inmuebles, o de buena fe susceptible de amparo por el art. 464 CC si se tratara de bienes muebles, que la ley autonómica asimismo posibilita como objeto también de propiedad temporal, en una época en que la ley autonómica habría estado plenamente en vigor. Ante ello los perjuicios se derivarían del hecho consistente en que si se levanta la suspensión de la norma impugnada -pero luego hay sentencia estimatoria del recurso- nos encontráramos con la constancia de derechos patrimoniales ya adquiridos …, de tal modo que quedarían consolidadas situaciones jurídico-patrimoniales objetivamente contrarias al ordenamiento, no sólo de manera estática sino con toda su funcionalidad y desenvolvimiento hacia el futuro de acuerdo con las condiciones fijadas válidamente en el momento inicial de la celebración del negocio de constitución del derecho como tal”.</w:t>
      </w:r>
    </w:p>
    <w:p w:rsidR="001D6FAE" w:rsidRDefault="001D6FAE" w:rsidP="001D6FAE">
      <w:pPr>
        <w:pStyle w:val="TextoNormal"/>
      </w:pPr>
    </w:p>
    <w:p w:rsidR="001D6FAE" w:rsidRDefault="001D6FAE" w:rsidP="001D6FAE">
      <w:pPr>
        <w:pStyle w:val="TextoNormal"/>
      </w:pPr>
      <w:r>
        <w:t>El Abogado del Estado afirma que esas alegaciones sobre el daño que produciría el levantamiento de la suspensión pueden extenderse por conexión lógica a las disposiciones de la Ley 19/2015 también objeto del recurso (adicionales primera, segunda y tercera, y final) en lo que se refieren a la propiedad temporal. A su juicio, “no tendría sentido que si se hallara suspendida la vigencia de la regulación sustantiva de la propiedad temporal, se mantuviera la obligación de las Administraciones públicas de llevar a cabo las acciones necesarias con las entidades financieras y promotores, tanto públicas como privadas, para facilitar el acceso a la vivienda mediante la implantación de la propiedad temporal (disposición adicional primera) … Lo mismo en cuanto a la adopción de medidas fiscales de ámbito local (disposición adicional segunda) favorables a esa clase de propiedad … o la aplicación de la normativa sobre consumo si las transmisiones que genere la propiedad temporal se produjera en una relación de consumo (disposición adicional tercera), cuando la funcionalidad de la propiedad temporal se hallase no obstante suspendida, sin que pudiera efectuarse, por tanto, ninguna transmisión todavía derivada de las condiciones pactadas en el negocio jurídico de constitución en cada caso. A su vez, la suspensión de lo establecido en la disposición final, entrada en vigor a los veinte días de su publicación, es consecuencia obligada si se pide la suspensión, como estamos haciendo, del régimen jurídico sustantivo de dicha clase o institución civil novedosa”.</w:t>
      </w:r>
    </w:p>
    <w:p w:rsidR="001D6FAE" w:rsidRDefault="001D6FAE" w:rsidP="001D6FAE">
      <w:pPr>
        <w:pStyle w:val="TextoNormal"/>
      </w:pPr>
    </w:p>
    <w:p w:rsidR="001D6FAE" w:rsidRDefault="001D6FAE" w:rsidP="001D6FAE">
      <w:pPr>
        <w:pStyle w:val="TextoNormal"/>
      </w:pPr>
      <w:r>
        <w:t>Por el contrario, entiende esta parte que el mantenimiento de la suspensión de la vigencia de los preceptos impugnados “no causa perjuicio ni al tráfico, ni a la seguridad jurídica, ni limita, creemos, el principio de autonomía de la voluntad”, aduciendo, en cuanto a esto último, que “cabría al amparo del régimen actual obtenerse la adecuación de los intereses jurídicos y de las voluntades de los particulares conforme a las figuras jurídicas actualmente vigentes en nuestro ordenamiento jurídico civil, tales como el aprovechamiento por turnos o situaciones de propiedad compartida o de dominio dividido o derechos reales limitados de carácter temporal, o mediante la constitución de derechos reales atípicos”, todas ellas “fruto de la autonomía de la voluntad”.</w:t>
      </w:r>
    </w:p>
    <w:p w:rsidR="001D6FAE" w:rsidRDefault="001D6FAE" w:rsidP="001D6FAE">
      <w:pPr>
        <w:pStyle w:val="TextoNormal"/>
      </w:pPr>
    </w:p>
    <w:p w:rsidR="001D6FAE" w:rsidRDefault="001D6FAE" w:rsidP="001D6FAE">
      <w:pPr>
        <w:pStyle w:val="TextoNormal"/>
      </w:pPr>
      <w:r w:rsidRPr="001D6FAE">
        <w:rPr>
          <w:rStyle w:val="NumeroAFNegritaCaracter"/>
        </w:rPr>
        <w:t>8</w:t>
      </w:r>
      <w:r>
        <w:t>. El 7 de julio de 2016 el Abogado de la Generalitat de Cataluña presentó escrito adhiriéndose a la petición de levantamiento de la suspensión de la Ley y a las razones aducidas a tal fin por la Letrada del Parlamento de Cataluña, aparte de remitirse a los argumentos contenidos en su previo escrito de 23 de junio en el que también había instado el levantamiento de la suspensión.</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objeto de la presente resolución consiste en determinar si procede levantar o mantener la suspensión que afecta a la vigencia del art. 1 y, en lo que a la propiedad temporal se refieren, a las disposiciones adicionales primera, segunda y tercera, así como a la disposición final de la Ley del Parlamento de Cataluña 19/2015, de 29 de julio, de incorporación de la propiedad temporal y de la propiedad compartida al libro quinto del Código civil de Cataluña; vigencia que se encuentra suspendida como consecuencia de la invocación del art. 161.2 CE por el Presidente del Gobierno de la Nación al interponer el presente recurso de inconstitucionalidad.</w:t>
      </w:r>
    </w:p>
    <w:p w:rsidR="001D6FAE" w:rsidRDefault="001D6FAE" w:rsidP="001D6FAE">
      <w:pPr>
        <w:pStyle w:val="TextoNormal"/>
      </w:pPr>
    </w:p>
    <w:p w:rsidR="001D6FAE" w:rsidRDefault="001D6FAE" w:rsidP="001D6FAE">
      <w:pPr>
        <w:pStyle w:val="TextoNormal"/>
      </w:pPr>
      <w:r>
        <w:t>En los términos que han quedado expresados en los antecedentes, las representaciones procesales del Gobierno y del Parlamento de Cataluña han solicitado el levantamiento anticipado de la suspensión, mientras que el Abogado del Estado se opone a esta pretensión e insta el mantenimiento de la suspensión.</w:t>
      </w:r>
    </w:p>
    <w:p w:rsidR="001D6FAE" w:rsidRDefault="001D6FAE" w:rsidP="001D6FAE">
      <w:pPr>
        <w:pStyle w:val="TextoNormal"/>
      </w:pPr>
    </w:p>
    <w:p w:rsidR="001D6FAE" w:rsidRDefault="001D6FAE" w:rsidP="001D6FAE">
      <w:pPr>
        <w:pStyle w:val="TextoNormal"/>
      </w:pPr>
      <w:r w:rsidRPr="001D6FAE">
        <w:rPr>
          <w:rStyle w:val="NumeroAFNegritaCaracter"/>
        </w:rPr>
        <w:t>2</w:t>
      </w:r>
      <w:r>
        <w:t>. La solicitud de levantamiento anticipado de la suspensión sin esperar al transcurso de los cinco meses previstos en el art. 161.2 CE resulta viable procesalmente, pues, conforme a nuestra reiterada doctrina al respecto,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y 196/2015, de 18 de noviembre, FJ 2).</w:t>
      </w:r>
    </w:p>
    <w:p w:rsidR="001D6FAE" w:rsidRDefault="001D6FAE" w:rsidP="001D6FAE">
      <w:pPr>
        <w:pStyle w:val="TextoNormal"/>
      </w:pPr>
    </w:p>
    <w:p w:rsidR="001D6FAE" w:rsidRDefault="001D6FAE" w:rsidP="001D6FAE">
      <w:pPr>
        <w:pStyle w:val="TextoNormal"/>
      </w:pPr>
      <w:r>
        <w:t>Sobre este tipo de incidentes de suspensión existe una consolidada doctrina constitucional, según la cual,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001D6FAE" w:rsidRDefault="001D6FAE" w:rsidP="001D6FAE">
      <w:pPr>
        <w:pStyle w:val="TextoNormal"/>
      </w:pPr>
    </w:p>
    <w:p w:rsidR="001D6FAE" w:rsidRDefault="001D6FAE" w:rsidP="001D6FAE">
      <w:pPr>
        <w:pStyle w:val="TextoNormal"/>
      </w:pPr>
      <w:r>
        <w:t>Igualmente se ha destacado en nuestra doctrina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100/2002, de 5 de junio, FJ 2; 355/2007, de 24 de julio, FJ 2; 225/2009, de 10 de diciembre, FJ 2; 44/2011, de 12 de abril, FJ 2; 86/2012, de 8 de mayo, FJ 2, y 122/2015, de 7 de julio, FJ 2).</w:t>
      </w:r>
    </w:p>
    <w:p w:rsidR="001D6FAE" w:rsidRDefault="001D6FAE" w:rsidP="001D6FAE">
      <w:pPr>
        <w:pStyle w:val="TextoNormal"/>
      </w:pPr>
    </w:p>
    <w:p w:rsidR="001D6FAE" w:rsidRDefault="001D6FAE" w:rsidP="001D6FAE">
      <w:pPr>
        <w:pStyle w:val="TextoNormal"/>
      </w:pPr>
      <w:r w:rsidRPr="001D6FAE">
        <w:rPr>
          <w:rStyle w:val="NumeroAFNegritaCaracter"/>
        </w:rPr>
        <w:t>3</w:t>
      </w:r>
      <w:r>
        <w:t>. El perjuicio alegado por el Abogado del Estado para justificar su pretensión es que, a su juicio, el levantamiento de la suspensión de la vigencia de la norma recurrida dará lugar a la consolidación de un modo irreversible de situaciones jurídico patrimoniales concretas derivadas de la constitución de supuestos de propiedad temporal, ya sea debido a la “protección frente a terceros que la publicidad formal del Registro garantiza en el ámbito de la seguridad jurídica en las transacciones”, ya sea por la adquisición “de buena fe susceptible de amparo por el art. 464 CC si se tratara de bienes muebles”.</w:t>
      </w:r>
    </w:p>
    <w:p w:rsidR="001D6FAE" w:rsidRDefault="001D6FAE" w:rsidP="001D6FAE">
      <w:pPr>
        <w:pStyle w:val="TextoNormal"/>
      </w:pPr>
    </w:p>
    <w:p w:rsidR="001D6FAE" w:rsidRDefault="001D6FAE" w:rsidP="001D6FAE">
      <w:pPr>
        <w:pStyle w:val="TextoNormal"/>
      </w:pPr>
      <w:r>
        <w:t xml:space="preserve">Las partes recurridas oponen que el perjuicio descrito no procede del art. 1 de la ley catalana 19/2015, pues los sujetos privados por su sola decisión pueden, en uso de la autonomía de la voluntad que les reconoce el ordenamiento jurídico, establecer el mismo resultado de autorregulación de intereses. En este sentido se pronuncia claramente el Abogado de la Generalitat de Cataluña cuando expone que “carece de sentido y de provecho alguno mantener la suspensión de una normativa que aporta seguridad jurídica a lo que los particulares decidan libremente en sus pactos de autorregulación”, así como la Letrada del Parlamento de Cataluña al sostener que dicho precepto recurrido ayuda “a instrumentar y documentar una facultad dispositiva, ya al alcance de los ciudadanos </w:t>
      </w:r>
      <w:r w:rsidRPr="001D6FAE">
        <w:rPr>
          <w:i/>
        </w:rPr>
        <w:t>ex</w:t>
      </w:r>
      <w:r>
        <w:t xml:space="preserve"> artículo 545-4 de la Ley 5/2006, pero sin un patrón de aplicación común y que mantener la suspensión de su vigencia … es tanto como abocar a la inseguridad jurídica a aquellos que se han acogido a la misma y, tal vez lo que es peor, impedir la difusión de una forma de acceso a la propiedad —aunque sea temporal— a un colectivo social que lo desea”.</w:t>
      </w:r>
    </w:p>
    <w:p w:rsidR="001D6FAE" w:rsidRDefault="001D6FAE" w:rsidP="001D6FAE">
      <w:pPr>
        <w:pStyle w:val="TextoNormal"/>
      </w:pPr>
    </w:p>
    <w:p w:rsidR="001D6FAE" w:rsidRDefault="001D6FAE" w:rsidP="001D6FAE">
      <w:pPr>
        <w:pStyle w:val="TextoNormal"/>
      </w:pPr>
      <w:r>
        <w:t>Este Tribunal aprecia que la controversia trabada sobre si la autonomía de la voluntad habilita para constituir cualesquiera situaciones jurídicas limitativas del derecho de propiedad, y en particular la restricción que conlleva la propiedad temporal, forma parte del fondo de este asunto, de modo que no cabe anticipar su resolución en este incidente. No obstante, y sin que ello suponga prejuzgar la decisión de fondo que habrá de adoptarse en la Sentencia, debemos atender a que el art. 1 de la Ley catalana 19/2015, que mientras no se declare inconstitucional goza de presunción de constitucionalidad, presupone que la autonomía de la voluntad es suficiente fundamento de los supuestos de propiedad temporal que se constituyan, operando la regulación legal simplemente como un marco normativo que suministra seguridad jurídica.</w:t>
      </w:r>
    </w:p>
    <w:p w:rsidR="001D6FAE" w:rsidRDefault="001D6FAE" w:rsidP="001D6FAE">
      <w:pPr>
        <w:pStyle w:val="TextoNormal"/>
      </w:pPr>
    </w:p>
    <w:p w:rsidR="001D6FAE" w:rsidRDefault="001D6FAE" w:rsidP="001D6FAE">
      <w:pPr>
        <w:pStyle w:val="TextoNormal"/>
      </w:pPr>
      <w:r>
        <w:t>De este modo, y tal como alegan las representaciones procesales de las partes recurridas, los perjuicios invocados por el Abogado del Estado no son imputables al art. 1 de la Ley catalana 19/2015, por lo que no se dan los requisitos que, según nuestra doctrina, justifican el mantenimiento de la suspensión de dicho precepto impugnado.</w:t>
      </w:r>
    </w:p>
    <w:p w:rsidR="001D6FAE" w:rsidRDefault="001D6FAE" w:rsidP="001D6FAE">
      <w:pPr>
        <w:pStyle w:val="TextoNormal"/>
      </w:pPr>
    </w:p>
    <w:p w:rsidR="001D6FAE" w:rsidRDefault="001D6FAE" w:rsidP="001D6FAE">
      <w:pPr>
        <w:pStyle w:val="TextoNormal"/>
      </w:pPr>
      <w:r w:rsidRPr="001D6FAE">
        <w:rPr>
          <w:rStyle w:val="NumeroAFNegritaCaracter"/>
        </w:rPr>
        <w:t>4</w:t>
      </w:r>
      <w:r>
        <w:t>. Por otro lado, la ponderación que requiere este incidente exige que, junto a los perjuicios que se deriven del eventual levantamiento de la suspensión de la vigencia de la norma impugnada, se tengan también en cuenta los que pudieran seguirse del mantenimiento de dicha suspensión que, según la Letrada del Parlamento de Cataluña, “puede afectar sensiblemente al principio de seguridad jurídica de las partes que deseen intervenir en el negocio jurídico de la propiedad temporal y en la de aquellas que se acogieron a su aplicación durante los meses de vigencia de la ley”, precisando esta parte también que “mantener la suspensión de su vigencia es tanto como abocar a la inseguridad jurídica a aquellos que se han acogido a la misma y, tal vez lo que es peor, impedir la difusión de una forma de acceso a la propiedad -aunque sea temporal- a un colectivo social que lo desea”.</w:t>
      </w:r>
    </w:p>
    <w:p w:rsidR="001D6FAE" w:rsidRDefault="001D6FAE" w:rsidP="001D6FAE">
      <w:pPr>
        <w:pStyle w:val="TextoNormal"/>
      </w:pPr>
    </w:p>
    <w:p w:rsidR="001D6FAE" w:rsidRDefault="001D6FAE" w:rsidP="001D6FAE">
      <w:pPr>
        <w:pStyle w:val="TextoNormal"/>
      </w:pPr>
      <w:r>
        <w:t>Procede declarar, de un lado, que las situaciones jurídicas creadas con arreglo al precepto impugnado durante los nueves meses que mediaron entre su entrada en vigor y la interposición del recurso de inconstitucionalidad no son susceptibles de verse afectadas de ningún modo por lo que se decida en este incidente, ni siquiera si en él se resuelve mantener la suspensión de la vigencia de la norma recurrida. En concreto, dado que esa eventual decisión no implica ningún juicio, ni siquiera preliminar, acerca de la constitucionalidad de la Ley, no podemos admitir que la misma conlleve merma alguna del principio de seguridad jurídica para las partes que hayan participado en un negocio jurídico de propiedad temporal durante los meses de vigencia de la Ley.</w:t>
      </w:r>
    </w:p>
    <w:p w:rsidR="001D6FAE" w:rsidRDefault="001D6FAE" w:rsidP="001D6FAE">
      <w:pPr>
        <w:pStyle w:val="TextoNormal"/>
      </w:pPr>
    </w:p>
    <w:p w:rsidR="001D6FAE" w:rsidRDefault="001D6FAE" w:rsidP="001D6FAE">
      <w:pPr>
        <w:pStyle w:val="TextoNormal"/>
      </w:pPr>
      <w:r>
        <w:t>Es cierto, por el contrario, que ya sea porque el art. 1 de la Ley catalana 19/2015 habilita que los sujetos privados constituyan este tipo de propiedad temporal, ya sea porque les suministra un patrón de regulación que les confiere mayor seguridad jurídica, mantener la suspensión de la vigencia de dicho precepto legal tendría el efecto de reducir, como sostiene la Letrada del Parlamento de Cataluña, el acceso a esta forma de propiedad a un colectivo social que lo desea.</w:t>
      </w:r>
    </w:p>
    <w:p w:rsidR="001D6FAE" w:rsidRDefault="001D6FAE" w:rsidP="001D6FAE">
      <w:pPr>
        <w:pStyle w:val="TextoNormal"/>
      </w:pPr>
    </w:p>
    <w:p w:rsidR="001D6FAE" w:rsidRDefault="001D6FAE" w:rsidP="001D6FAE">
      <w:pPr>
        <w:pStyle w:val="TextoNormal"/>
      </w:pPr>
      <w:r>
        <w:t>Este criterio, en conexión con el resto de los expuestos en el fundamento jurídico anterior, conduce a que acordemos el levantamiento de la suspensión de la vigencia del art. 1 de la Ley catalana 19/2015 en su integridad.</w:t>
      </w:r>
    </w:p>
    <w:p w:rsidR="001D6FAE" w:rsidRDefault="001D6FAE" w:rsidP="001D6FAE">
      <w:pPr>
        <w:pStyle w:val="TextoNormal"/>
      </w:pPr>
    </w:p>
    <w:p w:rsidR="001D6FAE" w:rsidRDefault="001D6FAE" w:rsidP="001D6FAE">
      <w:pPr>
        <w:pStyle w:val="TextoNormal"/>
      </w:pPr>
      <w:r w:rsidRPr="001D6FAE">
        <w:rPr>
          <w:rStyle w:val="NumeroAFNegritaCaracter"/>
        </w:rPr>
        <w:t>5</w:t>
      </w:r>
      <w:r>
        <w:t>. Estos mismos razonamientos avalan que se adopte la misma decisión de levantar la suspensión de vigencia respecto de las disposiciones adicionales primera, segunda y tercera de la Ley catalana 19/2015, así como respecto de su disposición final, pues el Abogado del Estado no hace sino proyectar sobre estos otros preceptos, en la medida que contienen también una regulación referida a la propiedad temporal, los mismos perjuicios que había argumentado respecto al art. 1 de la Ley catalana 19/2015, invocación que ya hemos declarado en el fundamento jurídico anterior que es insuficiente para acordar el mantenimiento de la suspensión de los preceptos impugnados. Dado que es al Abogado del Estado a quien corresponde la iniciativa de alegar los daños que justificarían un eventual mantenimiento de la suspensión, lo que no resulta acreditado, con independencia de las alegaciones ya rechazadas, corresponde que acordemos el levantamiento de la suspensión también de estas otras disposiciones.</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Levantar la suspensión del art. 1 y, en lo que a la propiedad temporal se refieren, de las disposiciones adicionales primera, segunda y tercera, así como de la disposición final de la Ley de la Generalitat de Cataluña 19/2015, de 29 de julio, de incorporación de la propiedad temporal y de la propiedad compartida al libro quinto del Código civil de Cataluña</w:t>
      </w:r>
    </w:p>
    <w:p w:rsidR="001D6FAE" w:rsidRDefault="001D6FAE" w:rsidP="001D6FAE">
      <w:pPr>
        <w:pStyle w:val="TextoNormal"/>
      </w:pPr>
    </w:p>
    <w:p w:rsidR="001D6FAE" w:rsidRDefault="001D6FAE" w:rsidP="001D6FAE">
      <w:pPr>
        <w:pStyle w:val="TextoNormal"/>
      </w:pPr>
      <w:r>
        <w:t>Madrid, a cuatro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4" w:name="AUTO_2016_170"/>
      <w:r>
        <w:t>AUTO 170/2016, de 6 de octubre de 2016</w:t>
      </w:r>
    </w:p>
    <w:bookmarkEnd w:id="144"/>
    <w:p w:rsidR="001D6FAE" w:rsidRDefault="001D6FAE" w:rsidP="001D6FAE">
      <w:pPr>
        <w:pStyle w:val="TtuloResolucin"/>
      </w:pPr>
      <w:r>
        <w:t>Pleno</w:t>
      </w:r>
    </w:p>
    <w:p w:rsidR="001D6FAE" w:rsidRDefault="001D6FAE" w:rsidP="001D6FAE">
      <w:pPr>
        <w:pStyle w:val="TtuloBOE"/>
      </w:pPr>
      <w:r>
        <w:t>(BOE núm. 276, de 15 de noviembre de 2016)</w:t>
      </w:r>
    </w:p>
    <w:p w:rsidR="001D6FAE" w:rsidRDefault="001D6FAE" w:rsidP="001D6FAE">
      <w:pPr>
        <w:pStyle w:val="TextoNormalCentrado"/>
      </w:pPr>
      <w:r>
        <w:t>ECLI:ES:TC:2016:170A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Estima el incidente de ejecución de la Sentencia 259/2015, de 2 de diciembre, y el Auto 141/2016, de 19 de julio, promovido por el Gobierno de la Nación, en relación con una resolución dictada por el Parlamento de Cataluña.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11 de noviembre de 2015, el Abogado del Estado impugnó, conforme a los arts.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001D6FAE" w:rsidRDefault="001D6FAE" w:rsidP="001D6FAE">
      <w:pPr>
        <w:pStyle w:val="TextoNormal"/>
      </w:pPr>
    </w:p>
    <w:p w:rsidR="001D6FAE" w:rsidRDefault="001D6FAE" w:rsidP="001D6FAE">
      <w:pPr>
        <w:pStyle w:val="TextoNormal"/>
      </w:pPr>
      <w:r>
        <w:t>La impugnación, tramitada bajo el núm. 6330-2015, fue estimada por STC 259/2015, de 2 de diciembre (publicada en el “Boletín Oficial del Estado” núm. 10, de 12 de enero de 2016), que declaró inconstitucional y nula la referida resolución 1/XI del Parlamento de Cataluña y su anexo.</w:t>
      </w:r>
    </w:p>
    <w:p w:rsidR="001D6FAE" w:rsidRDefault="001D6FAE" w:rsidP="001D6FAE">
      <w:pPr>
        <w:pStyle w:val="TextoNormal"/>
      </w:pPr>
    </w:p>
    <w:p w:rsidR="001D6FAE" w:rsidRDefault="001D6FAE" w:rsidP="001D6FAE">
      <w:pPr>
        <w:pStyle w:val="TextoNormal"/>
      </w:pPr>
      <w:r w:rsidRPr="001D6FAE">
        <w:rPr>
          <w:rStyle w:val="NumeroAFNegritaCaracter"/>
        </w:rPr>
        <w:t>2</w:t>
      </w:r>
      <w:r>
        <w:t>. Por escrito registrado en este Tribunal el 1 de febrero de 2016, el Abogado del Estado, en representación del Presidente del Gobierno y al amparo de los arts. 87 y 92.1, 3 y 4 LOTC, planteó incidente de ejecución de la STC 259/2015 respecto de la resolución 5/XI del Parlamento de Cataluña, adoptada el 20 de enero de 2016 y publicada en el “Boletín Oficial del Parlamento de Cataluña” núm. 42, de 25 de enero de 2016, de creación de comisiones parlamentarias. Dicha resolución crea, dentro del apartado relativo a las comisiones de estudio y al amparo del art. 65 del Reglamento del Parlamento, una denominada comisión de estudio del proceso constituyente, a la que se le asignan unos ámbitos de actuación que el Abogado del Estado reproducía en su escrito y que consideraba coincidentes con los fines que perseguía la anulada resolución del Parlamento de Cataluña 1/XI, de 9 de noviembre de 2015.</w:t>
      </w:r>
    </w:p>
    <w:p w:rsidR="001D6FAE" w:rsidRDefault="001D6FAE" w:rsidP="001D6FAE">
      <w:pPr>
        <w:pStyle w:val="TextoNormal"/>
      </w:pPr>
    </w:p>
    <w:p w:rsidR="001D6FAE" w:rsidRDefault="001D6FAE" w:rsidP="001D6FAE">
      <w:pPr>
        <w:pStyle w:val="TextoNormal"/>
      </w:pPr>
      <w:r>
        <w:t>La Comisión de Estudio del Proceso Constituyente creada por la resolución 5/XI fue efectivamente constituida el 28 de enero de 2016, según consta en el “Boletín Oficial del Parlamento de Cataluña” núm. 48, de 3 de febrero de 2016, en el que aparece publicado el acto de constitución de esta Comisión, con la relación de miembros que forman parte de la misma.</w:t>
      </w:r>
    </w:p>
    <w:p w:rsidR="001D6FAE" w:rsidRDefault="001D6FAE" w:rsidP="001D6FAE">
      <w:pPr>
        <w:pStyle w:val="TextoNormal"/>
      </w:pPr>
    </w:p>
    <w:p w:rsidR="001D6FAE" w:rsidRDefault="001D6FAE" w:rsidP="001D6FAE">
      <w:pPr>
        <w:pStyle w:val="TextoNormal"/>
      </w:pPr>
      <w:r w:rsidRPr="001D6FAE">
        <w:rPr>
          <w:rStyle w:val="NumeroAFNegritaCaracter"/>
        </w:rPr>
        <w:t>3</w:t>
      </w:r>
      <w:r>
        <w:t>. Tramitado el incidente de ejecución conforme a lo previsto en los arts. 87 y 92 LOTC, el Pleno del Tribunal Constitucional acordó estimarlo mediante ATC 141/2016, de 19 de julio (publicado en el “Boletín Oficial del Estado” núm. 196, de 15 de agosto de 2016), con el alcance establecido en el fundamento jurídico 7. Este Auto fue notificado a la representación procesal del Parlamento de Cataluña con fecha 21 de julio de 2016. En la misma fecha fue notificado también a la Presidenta del Parlamento.</w:t>
      </w:r>
    </w:p>
    <w:p w:rsidR="001D6FAE" w:rsidRDefault="001D6FAE" w:rsidP="001D6FAE">
      <w:pPr>
        <w:pStyle w:val="TextoNormal"/>
      </w:pPr>
    </w:p>
    <w:p w:rsidR="001D6FAE" w:rsidRDefault="001D6FAE" w:rsidP="001D6FAE">
      <w:pPr>
        <w:pStyle w:val="TextoNormal"/>
      </w:pPr>
      <w:r w:rsidRPr="001D6FAE">
        <w:rPr>
          <w:rStyle w:val="NumeroAFNegritaCaracter"/>
        </w:rPr>
        <w:t>4</w:t>
      </w:r>
      <w:r>
        <w:t>. Por escrito registrado en este Tribunal el 29 de julio de 2016, el Abogado del Estado, en representación del Presidente del Gobierno y al amparo de los arts. 87 y 92.1, 3, 4 y 5 LOTC, planteó incidente de ejecución de la STC 259/2015 y del ATC 141/2016, respecto de la resolución del Parlamento de Cataluña 263/XI, de 27 de julio de 2016, por la cual se ratifica el informe y las conclusiones de la Comisión de Estudio del Proceso Constituyente.</w:t>
      </w:r>
    </w:p>
    <w:p w:rsidR="001D6FAE" w:rsidRDefault="001D6FAE" w:rsidP="001D6FAE">
      <w:pPr>
        <w:pStyle w:val="TextoNormal"/>
      </w:pPr>
    </w:p>
    <w:p w:rsidR="001D6FAE" w:rsidRDefault="001D6FAE" w:rsidP="001D6FAE">
      <w:pPr>
        <w:pStyle w:val="TextoNormal"/>
      </w:pPr>
      <w:r>
        <w:t>El tenor de esas conclusiones (publicadas primero en el “Boletín Oficial del Parlamento de Cataluña” núm. 190, de 20 de julio de 2016 y luego en el “Boletín Oficial del Parlamento de Cataluña” núm. 200, de 1 de agosto de 2016, en el que se publica la resolución 263/XI), en su versión en castellano, es el siguiente:</w:t>
      </w:r>
    </w:p>
    <w:p w:rsidR="001D6FAE" w:rsidRDefault="001D6FAE" w:rsidP="001D6FAE">
      <w:pPr>
        <w:pStyle w:val="TextoNormal"/>
      </w:pPr>
    </w:p>
    <w:p w:rsidR="001D6FAE" w:rsidRDefault="001D6FAE" w:rsidP="001D6FAE">
      <w:pPr>
        <w:pStyle w:val="TextoNormal"/>
      </w:pPr>
      <w:r>
        <w:t>“l. En la actualidad, no hay ningún margen de acción para el reconocimiento del derecho a decidir del pueblo catalán dentro del marco jurídico constitucional y legal español. La única manera posible de ejercer este derecho es por la vía de la desconexión y la activación de un proceso constituyente propio.</w:t>
      </w:r>
    </w:p>
    <w:p w:rsidR="001D6FAE" w:rsidRDefault="001D6FAE" w:rsidP="001D6FAE">
      <w:pPr>
        <w:pStyle w:val="TextoNormal"/>
      </w:pPr>
    </w:p>
    <w:p w:rsidR="001D6FAE" w:rsidRDefault="001D6FAE" w:rsidP="001D6FAE">
      <w:pPr>
        <w:pStyle w:val="TextoNormal"/>
      </w:pPr>
      <w:r>
        <w:t>2. El pueblo de Cataluña tiene legitimidad para comenzar un proceso constituyente propio, democrático, de base ciudadana, transversal, participativo y vinculante, con el reconocimiento, el apoyo y el aval de las instituciones catalanas.</w:t>
      </w:r>
    </w:p>
    <w:p w:rsidR="001D6FAE" w:rsidRDefault="001D6FAE" w:rsidP="001D6FAE">
      <w:pPr>
        <w:pStyle w:val="TextoNormal"/>
      </w:pPr>
    </w:p>
    <w:p w:rsidR="001D6FAE" w:rsidRDefault="001D6FAE" w:rsidP="001D6FAE">
      <w:pPr>
        <w:pStyle w:val="TextoNormal"/>
      </w:pPr>
      <w:r>
        <w:t>3. Las experiencias comparadas de otros países avalan el camino emprendido por Cataluña para ir construyendo un modelo singular de proceso constituyente, teniendo en cuenta las circunstancias sociales, culturales, políticas y económicas que nos son propias.</w:t>
      </w:r>
    </w:p>
    <w:p w:rsidR="001D6FAE" w:rsidRDefault="001D6FAE" w:rsidP="001D6FAE">
      <w:pPr>
        <w:pStyle w:val="TextoNormal"/>
      </w:pPr>
    </w:p>
    <w:p w:rsidR="001D6FAE" w:rsidRDefault="001D6FAE" w:rsidP="001D6FAE">
      <w:pPr>
        <w:pStyle w:val="TextoNormal"/>
      </w:pPr>
      <w:r>
        <w:t>4. Es necesario velar para que el marco metodológico del proceso constituyente sea consensuado, conocido, transparente y compartido con toda la sociedad y con las instituciones que lo avalan. El proceso constituyente ha de tener la capacidad de acomodar todas las sensibilidades ideológicas y sociales desde el primer momento, también a la hora de fijar los indicadores, el calendario y todas aquellas cuestiones que afecten al método empleado para hacer avanzar el proceso.</w:t>
      </w:r>
    </w:p>
    <w:p w:rsidR="001D6FAE" w:rsidRDefault="001D6FAE" w:rsidP="001D6FAE">
      <w:pPr>
        <w:pStyle w:val="TextoNormal"/>
      </w:pPr>
    </w:p>
    <w:p w:rsidR="001D6FAE" w:rsidRDefault="001D6FAE" w:rsidP="001D6FAE">
      <w:pPr>
        <w:pStyle w:val="TextoNormal"/>
      </w:pPr>
      <w:r>
        <w:t>5. El proceso constituyente constará de tres fases: una primera fase de proceso participativo, una segunda fase de desconexión con el Estado español y convocatoria de elecciones constituyentes para formar una Asamblea constituyente, que redactará un proyecto de constitución, y una tercera fase para la ratificación popular de la constitución por medio de referéndum.</w:t>
      </w:r>
    </w:p>
    <w:p w:rsidR="001D6FAE" w:rsidRDefault="001D6FAE" w:rsidP="001D6FAE">
      <w:pPr>
        <w:pStyle w:val="TextoNormal"/>
      </w:pPr>
    </w:p>
    <w:p w:rsidR="001D6FAE" w:rsidRDefault="001D6FAE" w:rsidP="001D6FAE">
      <w:pPr>
        <w:pStyle w:val="TextoNormal"/>
      </w:pPr>
      <w:r>
        <w:t>6. El proceso participativo previo tendrá como órgano principal un Foro Social constituyente formado por representantes de la sociedad civil organizada y de los partidos políticos. El Foro Social constituyente debatirá y formulará un conjunto de preguntas sobre contenidos concretos de la futura constitución, que se resolverán por la ciudadanía por medio de un proceso de participación ciudadana. El resultado de esta participación ciudadana constituirá un mandato vinculante para los integrantes de la Asamblea constituyente, que tendrán que incorporarlos al texto del proyecto de constitución.</w:t>
      </w:r>
    </w:p>
    <w:p w:rsidR="001D6FAE" w:rsidRDefault="001D6FAE" w:rsidP="001D6FAE">
      <w:pPr>
        <w:pStyle w:val="TextoNormal"/>
      </w:pPr>
    </w:p>
    <w:p w:rsidR="001D6FAE" w:rsidRDefault="001D6FAE" w:rsidP="001D6FAE">
      <w:pPr>
        <w:pStyle w:val="TextoNormal"/>
      </w:pPr>
      <w:r>
        <w:t>7. Tras la fase de participación ciudadana, se completará la desconexión con la legalidad del Estado español mediante la aprobación de las leyes de desconexión por parte del Parlamento de Cataluña y de un mecanismo unilateral de ejercicio democrático que servirá para activar la convocatoria de la Asamblea constituyente. Las leyes de desconexión no son susceptibles de control, suspensión o impugnación por parte de ningún otro poder, juzgado o tribunal.</w:t>
      </w:r>
    </w:p>
    <w:p w:rsidR="001D6FAE" w:rsidRDefault="001D6FAE" w:rsidP="001D6FAE">
      <w:pPr>
        <w:pStyle w:val="TextoNormal"/>
      </w:pPr>
    </w:p>
    <w:p w:rsidR="001D6FAE" w:rsidRDefault="001D6FAE" w:rsidP="001D6FAE">
      <w:pPr>
        <w:pStyle w:val="TextoNormal"/>
      </w:pPr>
      <w:r>
        <w:t>8. El Parlamento de Cataluña ampara el proceso constituyente que se ha de llevar a cabo en Cataluña. A dicho efecto, el Parlamento insta al Gobierno a poner a disposición de la ciudadanía los recursos necesarios para conseguir un debate constituyente de base social, transversal, plural, democrático y abierto. Con este objetivo, el Parlamento de Cataluña deberá crear una comisión de seguimiento del proceso constituyente.</w:t>
      </w:r>
    </w:p>
    <w:p w:rsidR="001D6FAE" w:rsidRDefault="001D6FAE" w:rsidP="001D6FAE">
      <w:pPr>
        <w:pStyle w:val="TextoNormal"/>
      </w:pPr>
    </w:p>
    <w:p w:rsidR="001D6FAE" w:rsidRDefault="001D6FAE" w:rsidP="001D6FAE">
      <w:pPr>
        <w:pStyle w:val="TextoNormal"/>
      </w:pPr>
      <w:r>
        <w:t>9. La Asamblea constituyente, una vez convocada, elegida y constituida, dispondrá de plenos poderes. Las decisiones de esta Asamblea serán de obligatorio cumplimiento para el resto de poderes públicos y para todas las personas físicas y jurídicas. Ninguna de sus decisiones será susceptible de control, suspensión o impugnación por parte de ningún otro poder, juzgado o tribunal. La Asamblea constituyente establecerá mecanismos para garantizar la participación directa, activa y democrática de las personas y de la sociedad civil organizada en el proceso de discusión y elaboración de propuestas para el proyecto de constitución.</w:t>
      </w:r>
    </w:p>
    <w:p w:rsidR="001D6FAE" w:rsidRDefault="001D6FAE" w:rsidP="001D6FAE">
      <w:pPr>
        <w:pStyle w:val="TextoNormal"/>
      </w:pPr>
    </w:p>
    <w:p w:rsidR="001D6FAE" w:rsidRDefault="001D6FAE" w:rsidP="001D6FAE">
      <w:pPr>
        <w:pStyle w:val="TextoNormal"/>
      </w:pPr>
      <w:r>
        <w:t>10. Una vez que la Asamblea constituyente haya aprobado el proyecto de constitución, se convocará un referéndum constitucional para que el pueblo de Cataluña apruebe o rechace de manera pacífica y democrática el texto de la nueva Constitución.</w:t>
      </w:r>
    </w:p>
    <w:p w:rsidR="001D6FAE" w:rsidRDefault="001D6FAE" w:rsidP="001D6FAE">
      <w:pPr>
        <w:pStyle w:val="TextoNormal"/>
      </w:pPr>
    </w:p>
    <w:p w:rsidR="001D6FAE" w:rsidRDefault="001D6FAE" w:rsidP="001D6FAE">
      <w:pPr>
        <w:pStyle w:val="TextoNormal"/>
      </w:pPr>
      <w:r>
        <w:t>11. El proceso constituyente incorporará desde el principio la perspectiva de género, de una manera transversal y con una estrategia dual, con el fin de romper las inercias históricas de nuestra sociedad y conseguir que el proceso constituyente lo sea también para todas las personas.”</w:t>
      </w:r>
    </w:p>
    <w:p w:rsidR="001D6FAE" w:rsidRDefault="001D6FAE" w:rsidP="001D6FAE">
      <w:pPr>
        <w:pStyle w:val="TextoNormal"/>
      </w:pPr>
    </w:p>
    <w:p w:rsidR="001D6FAE" w:rsidRDefault="001D6FAE" w:rsidP="001D6FAE">
      <w:pPr>
        <w:pStyle w:val="TextoNormal"/>
      </w:pPr>
      <w:r w:rsidRPr="001D6FAE">
        <w:rPr>
          <w:rStyle w:val="NumeroAFNegritaCaracter"/>
        </w:rPr>
        <w:t>5</w:t>
      </w:r>
      <w:r>
        <w:t>. El Abogado del Estado solicita en su escrito por el que promueve incidente de ejecución que se declare nula y sin efecto jurídico alguno la resolución del Parlamento de Cataluña 263/XI, de 27 de julio de 2016, por contravenir lo ordenado en la STC 259/2015 y el ATC 141/2016; invoca asimismo el art. 161.2 CE a efectos de que se produzca la inmediata suspensión de la resolución 263/XI en tanto resuelve el Tribunal este incidente de ejecución (subsidiariamente invoca, a los mismos efectos suspensivos, lo dispuesto en el art. 92.5 LOTC).</w:t>
      </w:r>
    </w:p>
    <w:p w:rsidR="001D6FAE" w:rsidRDefault="001D6FAE" w:rsidP="001D6FAE">
      <w:pPr>
        <w:pStyle w:val="TextoNormal"/>
      </w:pPr>
    </w:p>
    <w:p w:rsidR="001D6FAE" w:rsidRDefault="001D6FAE" w:rsidP="001D6FAE">
      <w:pPr>
        <w:pStyle w:val="TextoNormal"/>
      </w:pPr>
      <w:r>
        <w:t>Interesa igualmente el Abogado del Estado que este Tribunal, mediante requerimiento personal, imponga a la Presidenta del Parlamento de Cataluña, al Secretario General del Parlamento y a todos los miembros de la Mesa del Parlamento la obligación de abstenerse de realizar cualesquiera actuaciones tendentes a dar cumplimiento a la referida resolución, así como de impedir o paralizar cualquier iniciativa que suponga ignorar o eludir la STC 259/2015 y el ATC 141/2016, apercibiéndoles de las responsabilidades, incluida la penal, en que pudieran incurrir. Asimismo, que imponga a las mismas autoridades, mediante requerimiento personal, la prohibición expresa de convocar a los órganos del Parlamento de Cataluña para debatir y votar ninguna iniciativa que directa o indirectamente pretenda dar cumplimiento a la resolución 263/XI. Que imponga igualmente, mediante requerimiento personal, al Presidente de la Generalitat y a todos los miembros de su Consejo de Gobierno, la prohibición de tramitar propuesta legislativa, dictar norma de rango reglamentario y llevar a cabo cualquier iniciativa de soporte jurídico o material que directa o indirectamente pretenda dar cumplimiento a la citada resolución, apercibiéndoles de las responsabilidades, incluida la penal, en que pudieran incurrir. En todos esos requerimientos personales habrá de advertirse a sus destinatarios de la aplicación, en caso de incumplimiento, de las medidas previstas en el art. 92.4 LOTC.</w:t>
      </w:r>
    </w:p>
    <w:p w:rsidR="001D6FAE" w:rsidRDefault="001D6FAE" w:rsidP="001D6FAE">
      <w:pPr>
        <w:pStyle w:val="TextoNormal"/>
      </w:pPr>
    </w:p>
    <w:p w:rsidR="001D6FAE" w:rsidRDefault="001D6FAE" w:rsidP="001D6FAE">
      <w:pPr>
        <w:pStyle w:val="TextoNormal"/>
      </w:pPr>
      <w:r>
        <w:t>Solicita por último el Abogado del Estado que este Tribunal proceda a deducir testimonio de particulares para exigir la responsabilidad penal de la Presidenta del Parlamento de Cataluña, por incumplir el mandato del art. 87.1 LOTC en relación con el ATC 141/2016, al incluir en el orden del día del Pleno del Parlamento de 27 de julio de 2016 la propuesta de debate y votación de las conclusiones de la Comisión de Estudio del Proceso Constituyente.</w:t>
      </w:r>
    </w:p>
    <w:p w:rsidR="001D6FAE" w:rsidRDefault="001D6FAE" w:rsidP="001D6FAE">
      <w:pPr>
        <w:pStyle w:val="TextoNormal"/>
      </w:pPr>
    </w:p>
    <w:p w:rsidR="001D6FAE" w:rsidRDefault="001D6FAE" w:rsidP="001D6FAE">
      <w:pPr>
        <w:pStyle w:val="TextoNormal"/>
      </w:pPr>
      <w:r>
        <w:t>Fundamenta el Abogado del Estado las peticiones formuladas en el incidente de ejecución en los motivos que a continuación se recogen.</w:t>
      </w:r>
    </w:p>
    <w:p w:rsidR="001D6FAE" w:rsidRDefault="001D6FAE" w:rsidP="001D6FAE">
      <w:pPr>
        <w:pStyle w:val="TextoNormal"/>
      </w:pPr>
    </w:p>
    <w:p w:rsidR="001D6FAE" w:rsidRDefault="001D6FAE" w:rsidP="001D6FAE">
      <w:pPr>
        <w:pStyle w:val="TextoNormal"/>
      </w:pPr>
      <w:r>
        <w:t>a) Comienza recordando la secuencia de hechos que han llevado al planteamiento del presente incidente.</w:t>
      </w:r>
    </w:p>
    <w:p w:rsidR="001D6FAE" w:rsidRDefault="001D6FAE" w:rsidP="001D6FAE">
      <w:pPr>
        <w:pStyle w:val="TextoNormal"/>
      </w:pPr>
    </w:p>
    <w:p w:rsidR="001D6FAE" w:rsidRDefault="001D6FAE" w:rsidP="001D6FAE">
      <w:pPr>
        <w:pStyle w:val="TextoNormal"/>
      </w:pPr>
      <w:r>
        <w:t>Así, después de que la STC 259/2015 (publicada en el “Boletín Oficial del Estado” núm. 10, de 12 de enero de 2016), declarase inconstitucional y nula la resolución 1/XI de 9 de noviembre de 2015, “sobre el inicio del proceso político en Cataluña como consecuencia de los resultados electorales del 27 de septiembre de 2015” y su anexo, el Parlamento de Cataluña adoptó el 20 de enero de 2016 la resolución 5/XI, de creación de comisiones parlamentarias (“Boletín Oficial del Parlamento de Cataluña” núm. 42, de 25 de enero de 2016), en la que se crea la denominada Comisión de Estudio del Proceso Constituyente, a la que se le asignan unos ámbitos de actuación coincidentes con los fines que perseguía la anulada resolución 1/XI. Por ATC 141/2016, de 19 de julio, el Tribunal Constitucional estimó el incidente de ejecución promovido por la Abogacía del Estado, contra la resolución 5/XI, en lo que se refiere a la creación y constitución de la Comisión de Estudio del Proceso Constituyente, advirtiendo a los poderes implicados y a sus titulares, especialmente a la Mesa del Parlamento de Cataluña, bajo su responsabilidad, de su deber de impedir o paralizar cualquier iniciativa que suponga ignorar o eludir los mandatos de sujeción a la Constitución y de cumplimiento de lo que el Tribunal Constitucional resuelva.</w:t>
      </w:r>
    </w:p>
    <w:p w:rsidR="001D6FAE" w:rsidRDefault="001D6FAE" w:rsidP="001D6FAE">
      <w:pPr>
        <w:pStyle w:val="TextoNormal"/>
      </w:pPr>
    </w:p>
    <w:p w:rsidR="001D6FAE" w:rsidRDefault="001D6FAE" w:rsidP="001D6FAE">
      <w:pPr>
        <w:pStyle w:val="TextoNormal"/>
      </w:pPr>
      <w:r>
        <w:t>Pese a estas advertencias, y en frontal incumplimiento de la STC 259/2015 y del ATC 141/2016, el Parlamento de Cataluña aprobó las conclusiones de la comisión de estudio del proceso constituyente, mediante la resolución 263/XI, de 27 de julio de 2016.</w:t>
      </w:r>
    </w:p>
    <w:p w:rsidR="001D6FAE" w:rsidRDefault="001D6FAE" w:rsidP="001D6FAE">
      <w:pPr>
        <w:pStyle w:val="TextoNormal"/>
      </w:pPr>
    </w:p>
    <w:p w:rsidR="001D6FAE" w:rsidRDefault="001D6FAE" w:rsidP="001D6FAE">
      <w:pPr>
        <w:pStyle w:val="TextoNormal"/>
      </w:pPr>
      <w:r>
        <w:t>Los grupos parlamentarios Junts pel Sí (JxS) y Canditatura d’Unitat Popular (CUP) solicitaron la inclusión en el orden del día del Pleno del Parlamento de 27 de julio de 2016, alterando el orden del día inicialmente previsto, de la votación de las conclusiones de la Comisión de Estudio del Proceso Constituyente (cuya transcripción, obtenida de la página web del Parlamento de Cataluña, adjunta a su escrito). La Presidenta del Parlamento advirtió previamente a dichos grupos del contenido del ATC 141/2016, preguntándoles si, pese a ello, mantenían su propuesta, a lo que contestaron afirmativamente. Los grupos parlamentarios de la oposición manifestaron que la inclusión de esa iniciativa en el orden del día del Pleno vulneraba el ATC 141/2016 y advirtieron a la Presidenta del Parlamento de su responsabilidad personal por la inclusión de ese punto en el orden del día. La Presidenta, invocando lo dispuesto en el art. 81.3 del Reglamento del Parlamento de Cataluña (RPC), sometió a votación la inclusión de ese punto en el orden del día; aprobada esta inclusión, inmediatamente procedió a someter a debate y votación la ratificación del informe y las conclusiones de la Comisión de Estudio del Proceso Constituyente, que fueron aprobadas con los votos de los diputados de los grupos parlamentarios JxS y CUP, mediante la resolución 263/XI, de 27 de julio de 2016.</w:t>
      </w:r>
    </w:p>
    <w:p w:rsidR="001D6FAE" w:rsidRDefault="001D6FAE" w:rsidP="001D6FAE">
      <w:pPr>
        <w:pStyle w:val="TextoNormal"/>
      </w:pPr>
    </w:p>
    <w:p w:rsidR="001D6FAE" w:rsidRDefault="001D6FAE" w:rsidP="001D6FAE">
      <w:pPr>
        <w:pStyle w:val="TextoNormal"/>
      </w:pPr>
      <w:r>
        <w:t>b) Prosigue el Abogado del Estado refiriéndose a la “normativa procesal que sirve de base para la formulación del presente incidente de ejecución de sentencia”, citando al efecto literalmente el contenido del primer párrafo del art. 87.1 y de los apartados 1, 3 y 4, primer párrafo, del art. 92 LOTC, en la redacción dada a estos preceptos por el artículo único de la Ley Orgánica 15/2015, de 16 de octubre, de reforma de la Ley Orgánica 2/1979, de 3 de octubre, del Tribunal Constitucional, para la ejecución de las resoluciones del Tribunal Constitucional como garantía del Estado de Derecho. Cita también el ATC 141/2016, FJ 2.</w:t>
      </w:r>
    </w:p>
    <w:p w:rsidR="001D6FAE" w:rsidRDefault="001D6FAE" w:rsidP="001D6FAE">
      <w:pPr>
        <w:pStyle w:val="TextoNormal"/>
      </w:pPr>
    </w:p>
    <w:p w:rsidR="001D6FAE" w:rsidRDefault="001D6FAE" w:rsidP="001D6FAE">
      <w:pPr>
        <w:pStyle w:val="TextoNormal"/>
      </w:pPr>
      <w:r>
        <w:t>c) Razona asimismo que la idoneidad de una resolución del tipo de la impugnada como objeto de un incidente de ejecución está fuera de duda, por ser cuestión ya resuelta tanto en la STC 42/2014, de 25 de marzo, como en la STC 259/2015 y en el ATC 141/2016.</w:t>
      </w:r>
    </w:p>
    <w:p w:rsidR="001D6FAE" w:rsidRDefault="001D6FAE" w:rsidP="001D6FAE">
      <w:pPr>
        <w:pStyle w:val="TextoNormal"/>
      </w:pPr>
    </w:p>
    <w:p w:rsidR="001D6FAE" w:rsidRDefault="001D6FAE" w:rsidP="001D6FAE">
      <w:pPr>
        <w:pStyle w:val="TextoNormal"/>
      </w:pPr>
      <w:r>
        <w:t xml:space="preserve">La resolución 263/XI, por la que se asumen como propias las conclusiones de la Comisión de Estudio del Proceso Constituyente antes reproducidas, ha sido adoptada por el Pleno del Parlamento de Cataluña. Es, por tanto, un acto parlamentario que, sin perjuicio de su </w:t>
      </w:r>
      <w:r w:rsidRPr="001D6FAE">
        <w:rPr>
          <w:i/>
        </w:rPr>
        <w:t>veste</w:t>
      </w:r>
      <w:r>
        <w:t xml:space="preserve"> política, tiene también indudables efectos jurídicos, conforme a lo razonado por este Tribunal en la STC 42/2014, FJ 2. Se trata de una resolución que pone fin a un procedimiento parlamentario, pues el aprobar y asumir las conclusiones de la Comisión de Estudio del Proceso Constituyente significa una manifestación acabada de la voluntad de la Cámara de proceder a la apertura de un proceso secesionista; no se trata de una mera declaración política, sino que prevé un conjunto de acciones concretas, destinadas a la puesta en práctica de dicho proceso, encomendándose además al propio Parlamento y al Gobierno de la Generalitat funciones precisas al respecto (apartado 8).</w:t>
      </w:r>
    </w:p>
    <w:p w:rsidR="001D6FAE" w:rsidRDefault="001D6FAE" w:rsidP="001D6FAE">
      <w:pPr>
        <w:pStyle w:val="TextoNormal"/>
      </w:pPr>
    </w:p>
    <w:p w:rsidR="001D6FAE" w:rsidRDefault="001D6FAE" w:rsidP="001D6FAE">
      <w:pPr>
        <w:pStyle w:val="TextoNormal"/>
      </w:pPr>
      <w:r>
        <w:t>En fin, el carácter aseverativo de la resolución 263/XI, al proclamar la apertura de un proceso constituyente dirigido a la creación de un Estado catalán independiente, “no permite entender limitados sus efectos en el ámbito parlamentario al terreno estrictamente político, puesto que rebasa el cumplimiento de unas actuaciones concretas”.</w:t>
      </w:r>
    </w:p>
    <w:p w:rsidR="001D6FAE" w:rsidRDefault="001D6FAE" w:rsidP="001D6FAE">
      <w:pPr>
        <w:pStyle w:val="TextoNormal"/>
      </w:pPr>
    </w:p>
    <w:p w:rsidR="001D6FAE" w:rsidRDefault="001D6FAE" w:rsidP="001D6FAE">
      <w:pPr>
        <w:pStyle w:val="TextoNormal"/>
      </w:pPr>
      <w:r>
        <w:t>d) Razona a continuación el Abogado del Estado que la resolución 263/XI del Parlamento de Cataluña, que motiva el planteamiento de este incidente, vulnera clara y frontalmente la STC 259/2015 y el ATC 141/2016. Lejos de cumplir con lo acordado en este Auto y de atender las advertencias que en el mismo se contienen, el Pleno del Parlamento de Cataluña ha aprobado y asumido las conclusiones de la Comisión de Estudio del Proceso Constituyente. La resolución 263/XI reitera la resolución 1/XI, declarada inconstitucional por la STC 259/2015, y resulta manifiestamente contraria a lo decidido por este Tribunal en dicha Sentencia y en el ATC 141/2016.</w:t>
      </w:r>
    </w:p>
    <w:p w:rsidR="001D6FAE" w:rsidRDefault="001D6FAE" w:rsidP="001D6FAE">
      <w:pPr>
        <w:pStyle w:val="TextoNormal"/>
      </w:pPr>
    </w:p>
    <w:p w:rsidR="001D6FAE" w:rsidRDefault="001D6FAE" w:rsidP="001D6FAE">
      <w:pPr>
        <w:pStyle w:val="TextoNormal"/>
      </w:pPr>
      <w:r>
        <w:t>Un repaso somero de los diferentes apartados de la resolución 263/XI confirma esta conclusión. En el apartado 4 de la resolución se afirma la voluntad de poner en marcha ese proceso constituyente y en el apartado 5 se diseñan las tres fases del mismo: una primera de “proceso participativo”; una segunda de “desconexión con el Estado español y convocatoria de elecciones constituyentes para formar una Asamblea Constituyente, que redactará un proyecto de Constitución”; y una tercera, en la que esa Constitución será ratificada “por medio de referéndum”.</w:t>
      </w:r>
    </w:p>
    <w:p w:rsidR="001D6FAE" w:rsidRDefault="001D6FAE" w:rsidP="001D6FAE">
      <w:pPr>
        <w:pStyle w:val="TextoNormal"/>
      </w:pPr>
    </w:p>
    <w:p w:rsidR="001D6FAE" w:rsidRDefault="001D6FAE" w:rsidP="001D6FAE">
      <w:pPr>
        <w:pStyle w:val="TextoNormal"/>
      </w:pPr>
      <w:r>
        <w:t>La resolución 263/XI está directamente orientada a producir efectos jurídicos, que son la creación de un “Foro Social Constituyente” (apartado 6), apoyado tanto por el Parlamento como por la Generalitat (apartado 8), tras lo cual se llevará a cabo la “desconexión” con el Estado español y la creación de una Asamblea constituyente (apartado 7, en el que se vuelve a afirmar, como en la anulada resolución 1/XI, que “las leyes de desconexión no son susceptibles de control, suspensión o impugnación por parte de ningún otro poder, juzgado o tribunal”), que elaborará la Constitución de Cataluña como Estado independiente (apartado 9), para su ulterior aprobación mediante referéndum por el pueblo de Cataluña (apartado 10).</w:t>
      </w:r>
    </w:p>
    <w:p w:rsidR="001D6FAE" w:rsidRDefault="001D6FAE" w:rsidP="001D6FAE">
      <w:pPr>
        <w:pStyle w:val="TextoNormal"/>
      </w:pPr>
    </w:p>
    <w:p w:rsidR="001D6FAE" w:rsidRDefault="001D6FAE" w:rsidP="001D6FAE">
      <w:pPr>
        <w:pStyle w:val="TextoNormal"/>
      </w:pPr>
      <w:r>
        <w:t>El Parlamento de Cataluña se hace responsable del proceso constituyente y, además, insta al Gobierno de la Generalitat a poner a disposición de la ciudadanía los recursos necesarios para conseguir que se realice un debate constituyente de base social que sea transversal, plural, democrático y abierto; además se prevé que el Parlamento cree, a tal efecto, una comisión de seguimiento del proceso constituyente (apartado 8). Por tanto, la resolución 263/XI tiene unos destinatarios directos: el Parlamento de Cataluña, que deberá impulsar el proceso constituyente, y el Gobierno de la Generalitat, que deberá poner todos los recursos necesarios para ese fin (ya declarado inconstitucional por la STC 259/2015).</w:t>
      </w:r>
    </w:p>
    <w:p w:rsidR="001D6FAE" w:rsidRDefault="001D6FAE" w:rsidP="001D6FAE">
      <w:pPr>
        <w:pStyle w:val="TextoNormal"/>
      </w:pPr>
    </w:p>
    <w:p w:rsidR="001D6FAE" w:rsidRDefault="001D6FAE" w:rsidP="001D6FAE">
      <w:pPr>
        <w:pStyle w:val="TextoNormal"/>
      </w:pPr>
      <w:r>
        <w:t>La atribución de plenos poderes constituyentes a la Asamblea constituyente, cuyas decisiones “serán de obligado cumplimiento para el resto de poderes públicos y para todas las personas físicas y jurídicas” y no serán en ningún caso susceptibles de “control, suspensión o impugnación por parte de ningún otro poder, juzgado o tribunal” (apartado 9), abunda en la objetiva contradicción respecto a la STC 259/2015.</w:t>
      </w:r>
    </w:p>
    <w:p w:rsidR="001D6FAE" w:rsidRDefault="001D6FAE" w:rsidP="001D6FAE">
      <w:pPr>
        <w:pStyle w:val="TextoNormal"/>
      </w:pPr>
    </w:p>
    <w:p w:rsidR="001D6FAE" w:rsidRDefault="001D6FAE" w:rsidP="001D6FAE">
      <w:pPr>
        <w:pStyle w:val="TextoNormal"/>
      </w:pPr>
      <w:r>
        <w:t>En suma, resulta evidente que la resolución 263/XI coincide con los propósitos de la resolución 1/XI anulada por la STC 259/2015, cuyos pronunciamientos conculca. Desatiende asimismo las advertencias contenidas en el ATC 141/2016, en relación con las conclusiones aprobadas por la Comisión de Estudio del Proceso Constituyente, que el Pleno del Parlamento de Cataluña ratifica y asume como propias en virtud de la resolución 263/XI.</w:t>
      </w:r>
    </w:p>
    <w:p w:rsidR="001D6FAE" w:rsidRDefault="001D6FAE" w:rsidP="001D6FAE">
      <w:pPr>
        <w:pStyle w:val="TextoNormal"/>
      </w:pPr>
    </w:p>
    <w:p w:rsidR="001D6FAE" w:rsidRDefault="001D6FAE" w:rsidP="001D6FAE">
      <w:pPr>
        <w:pStyle w:val="TextoNormal"/>
      </w:pPr>
      <w:r>
        <w:t>La resolución 263/XI tiene por objeto un aspecto de la máxima trascendencia constitucional: el proceso constituyente, expresión que implica la indebida atribución de soberanía política. Coincide así la resolución 263/XI con la resolución 1/XI, e incluso va más allá de esta, en cuanto la pone en práctica diseñando un plan para hacerla efectiva (pese a que fue declarada inconstitucional y nula por la STC 259/2015), prescindiendo por completo del marco constitucional vigente. Lo aprobado por el Parlamento de Cataluña es un verdadero plan para conseguir la secesión de España, en el que se concretan fases y decisiones. La resolución 263/XI se encamina a la voluntad decidida de culminar “un proceso constituyente no subordinado”, como indicaba ya el apartado primero de la anulada resolución 1/XI. Mediante la resolución 263/XI el Parlamento de Cataluña se erige una vez más en expresión de ese poder constituyente al que se refería también la resolución 1/XI en su apartado sexto, obviando los rotundos pronunciamientos de inconstitucionalidad que al respecto se contienen en la STC 259/2015.</w:t>
      </w:r>
    </w:p>
    <w:p w:rsidR="001D6FAE" w:rsidRDefault="001D6FAE" w:rsidP="001D6FAE">
      <w:pPr>
        <w:pStyle w:val="TextoNormal"/>
      </w:pPr>
    </w:p>
    <w:p w:rsidR="001D6FAE" w:rsidRDefault="001D6FAE" w:rsidP="001D6FAE">
      <w:pPr>
        <w:pStyle w:val="TextoNormal"/>
      </w:pPr>
      <w:r>
        <w:t>Es patente, en suma, que la resolución 263/XI del Parlamento de Cataluña contraviene y desacata de manera frontal lo decidido con carácter definitivo por el Tribunal Constitucional en la STC 259/2015 y en el ATC 141/2016, por lo que dicha resolución debe ser declarada nula y sin efecto jurídico alguno.</w:t>
      </w:r>
    </w:p>
    <w:p w:rsidR="001D6FAE" w:rsidRDefault="001D6FAE" w:rsidP="001D6FAE">
      <w:pPr>
        <w:pStyle w:val="TextoNormal"/>
      </w:pPr>
    </w:p>
    <w:p w:rsidR="001D6FAE" w:rsidRDefault="001D6FAE" w:rsidP="001D6FAE">
      <w:pPr>
        <w:pStyle w:val="TextoNormal"/>
      </w:pPr>
      <w:r>
        <w:t>e) Expone a continuación el Abogado del Estado las razones por las que considera que este Tribunal debe, además de declarar la nulidad absoluta de la resolución del Parlamento de Cataluña 263/XI, adoptar las medidas de ejecución necesarias, conforme a los arts. 87.1 y 92 LOTC, que impidan la persistencia del incumplimiento de lo resuelto en la STC 259/2015 y en el ATC 141/2016 y eviten la puesta en marcha del proceso constituyente que en dicha resolución se diseña, continuidad del previsto en la anulada resolución 1/XI.</w:t>
      </w:r>
    </w:p>
    <w:p w:rsidR="001D6FAE" w:rsidRDefault="001D6FAE" w:rsidP="001D6FAE">
      <w:pPr>
        <w:pStyle w:val="TextoNormal"/>
      </w:pPr>
    </w:p>
    <w:p w:rsidR="001D6FAE" w:rsidRDefault="001D6FAE" w:rsidP="001D6FAE">
      <w:pPr>
        <w:pStyle w:val="TextoNormal"/>
      </w:pPr>
      <w:r>
        <w:t>La resolución 263/XI supone un nuevo incumplimiento de lo resuelto por el Tribunal Constitucional en la STC 259/2015, desoyendo las advertencias contenidas al respecto en el ATC 141/2016. Ese incumplimiento genera una situación de perturbación extremadamente grave del orden constitucional, pues el Parlamento de Cataluña pretende formalizar una vez más, en abierta contradicción con los pronunciamientos firmes de este Tribunal y con manifiesto desprecio al marco jurídico de convivencia establecido por la Constitución, la apertura de un proceso constituyente y de desconexión con el Estado español de manera unilateral, a lo que se añade ahora la previsión de fases, objetivos, medios, etc.</w:t>
      </w:r>
    </w:p>
    <w:p w:rsidR="001D6FAE" w:rsidRDefault="001D6FAE" w:rsidP="001D6FAE">
      <w:pPr>
        <w:pStyle w:val="TextoNormal"/>
      </w:pPr>
    </w:p>
    <w:p w:rsidR="001D6FAE" w:rsidRDefault="001D6FAE" w:rsidP="001D6FAE">
      <w:pPr>
        <w:pStyle w:val="TextoNormal"/>
      </w:pPr>
      <w:r>
        <w:t>Del contenido de la resolución 263/XI se desprende claramente que existen varias instancias llamadas a poner en marcha el proceso secesionista. Por una parte, el Parlamento de Cataluña, como responsable del impulsar y supervisar ese proceso, a través especialmente de la denominada comisión de seguimiento del proceso constituyente, de la aprobación de las leyes de desconexión y de la promoción de la Asamblea constituyente (apartados 7 y 8); por otra, el Gobierno de la Generalitat, a quien encomienda el Parlamento la provisión de todo tipo de medios, financieros, materiales y personales, para el desarrollo del proceso secesionista (apartado 8).</w:t>
      </w:r>
    </w:p>
    <w:p w:rsidR="001D6FAE" w:rsidRDefault="001D6FAE" w:rsidP="001D6FAE">
      <w:pPr>
        <w:pStyle w:val="TextoNormal"/>
      </w:pPr>
    </w:p>
    <w:p w:rsidR="001D6FAE" w:rsidRDefault="001D6FAE" w:rsidP="001D6FAE">
      <w:pPr>
        <w:pStyle w:val="TextoNormal"/>
      </w:pPr>
      <w:r>
        <w:t>Por tanto, para salvaguardar el Estado de Derecho y la autoridad del Tribunal Constitucional no basta con declarar la nulidad de la resolución 263/XI del Parlamento de Cataluña, sino que es necesario además que este Tribunal advierta personalmente, conforme a lo dispuesto en el art. 87.1, segundo párrafo, LOTC, a la Presidenta, al Secretario General y a todos los miembros de la Mesa del Parlamento de Cataluña, así como al Presidente de la Generalitat y a todos los miembros de su Consejo de Gobierno, que si llevan a efecto esa resolución incurren en incumplimiento de lo ordenado por el Tribunal Constitucional y serán adoptadas las medidas previstas en las letras a), b) y d) del art. 92.4, LOTC. Todo ello sin perjuicio de las medidas que, de oficio, el Tribunal considere oportuno adoptar, con arreglo a lo previsto en el art. 92.1 LOTC y conforme a lo razonado en el ATC 141/2016, FJ 7.</w:t>
      </w:r>
    </w:p>
    <w:p w:rsidR="001D6FAE" w:rsidRDefault="001D6FAE" w:rsidP="001D6FAE">
      <w:pPr>
        <w:pStyle w:val="TextoNormal"/>
      </w:pPr>
    </w:p>
    <w:p w:rsidR="001D6FAE" w:rsidRDefault="001D6FAE" w:rsidP="001D6FAE">
      <w:pPr>
        <w:pStyle w:val="TextoNormal"/>
      </w:pPr>
      <w:r>
        <w:t>f) Por último, el Abogado del Estado sostiene que la Presidenta del Parlamento de Cataluña es ya personalmente responsable de haber incumplido, con pleno conocimiento, el ATC 141/2016, y más concretamente la orden dirigida “a los poderes implicados y a sus titulares, especialmente a la Mesa del Parlamento de Cataluña, bajo su responsabilidad, de su deber de impedir o paralizar cualquier iniciativa que suponga ignorar o eludir los mandatos enunciados” en dicho Auto. Ese incumplimiento se ha producido por someter a votación la iniciativa de inclusión en orden del día del Pleno del debate y votación de las conclusiones de la Comisión de Estudio del Proceso Constituyente y por someter a debate y votación las mencionadas conclusiones. A ello no puede servir de excusa lo dispuesto en el art. 81.3 del Reglamento de la Cámara, ya que sobre esta disposición se impone la clara y tajante decisión del ATC 141/2016 y lo establecido en el art. 87.1 LOTC. Por ello se interesa que este Tribunal proceda a deducir testimonio de particulares para exigir la responsabilidad penal en que la Presidenta del Parlamento de Cataluña pudiera haber incurrido por su actuación.</w:t>
      </w:r>
    </w:p>
    <w:p w:rsidR="001D6FAE" w:rsidRDefault="001D6FAE" w:rsidP="001D6FAE">
      <w:pPr>
        <w:pStyle w:val="TextoNormal"/>
      </w:pPr>
    </w:p>
    <w:p w:rsidR="001D6FAE" w:rsidRDefault="001D6FAE" w:rsidP="001D6FAE">
      <w:pPr>
        <w:pStyle w:val="TextoNormal"/>
      </w:pPr>
      <w:r w:rsidRPr="001D6FAE">
        <w:rPr>
          <w:rStyle w:val="NumeroAFNegritaCaracter"/>
        </w:rPr>
        <w:t>6</w:t>
      </w:r>
      <w:r>
        <w:t>. Por providencia de 1 de agosto de 2016, el Pleno del Tribunal Constitucional acordó tener por recibido el escrito presentado el 29 de julio de 2016 por el Abogado del Estado de formulación de incidente de ejecución (arts. 87 y 92 LOTC) de la STC 259/2015 y del ATC 141/2016, y dar traslado del mismo al Ministerio Fiscal y al Parlamento de Cataluña, por conducto de su Presidenta, al objeto de que en el plazo de veinte días hábiles puedan formular las alegaciones que estimen convenientes. Asimismo acordó tener por invocado por el Gobierno de la Nación el art. 161.2 CE, lo que, a su tenor, produce la suspensión de la mencionada resolución 263/XI del Parlamento de Cataluña, de 27 de julio de 2016.</w:t>
      </w:r>
    </w:p>
    <w:p w:rsidR="001D6FAE" w:rsidRDefault="001D6FAE" w:rsidP="001D6FAE">
      <w:pPr>
        <w:pStyle w:val="TextoNormal"/>
      </w:pPr>
    </w:p>
    <w:p w:rsidR="001D6FAE" w:rsidRDefault="001D6FAE" w:rsidP="001D6FAE">
      <w:pPr>
        <w:pStyle w:val="TextoNormal"/>
      </w:pPr>
      <w:r>
        <w:t>Acordó también, conforme al art. 87.1 LOTC y sin perjuicio de la obligación que dicho precepto impone a todos los poderes públicos de cumplir las resoluciones de este Tribunal, de acuerdo con lo interesado en su escrito por el Abogado del Estado, en nombre y representación del Gobierno de la Nación, notificar personalmente esta providencia a la Presidenta del Parlamento de Cataluña, a los demás miembros de la Mesa del Parlamento y al Secretario General del Parlamento, así como al Presidente y demás miembros del Consejo de Gobierno de la Generalitat de Cataluña, con expresa advertencia de su deber de impedir o paralizar cualquier iniciativa que suponga ignorar o eludir la suspensión acordada, apercibiéndoles de las eventuales responsabilidades, incluida la penal, en las que pudieran incurrir.</w:t>
      </w:r>
    </w:p>
    <w:p w:rsidR="001D6FAE" w:rsidRDefault="001D6FAE" w:rsidP="001D6FAE">
      <w:pPr>
        <w:pStyle w:val="TextoNormal"/>
      </w:pPr>
    </w:p>
    <w:p w:rsidR="001D6FAE" w:rsidRDefault="001D6FAE" w:rsidP="001D6FAE">
      <w:pPr>
        <w:pStyle w:val="TextoNormal"/>
      </w:pPr>
      <w:r>
        <w:t>Igualmente acordó requerir a la Presidenta, a los demás miembros de la Mesa y al Secretario General del Parlamento de Cataluña para que en el plazo de veinte días hábiles emitan los correspondientes informes, a los efectos del art. 92.4 LOTC, acerca de si las actuaciones parlamentarias que dieron lugar a la aprobación de la resolución 263/XI, de 27 de julio de 2016, han contravenido la STC 259/2015 y el ATC 141/2016.</w:t>
      </w:r>
    </w:p>
    <w:p w:rsidR="001D6FAE" w:rsidRDefault="001D6FAE" w:rsidP="001D6FAE">
      <w:pPr>
        <w:pStyle w:val="TextoNormal"/>
      </w:pPr>
    </w:p>
    <w:p w:rsidR="001D6FAE" w:rsidRDefault="001D6FAE" w:rsidP="001D6FAE">
      <w:pPr>
        <w:pStyle w:val="TextoNormal"/>
      </w:pPr>
      <w:r>
        <w:t>Acordó por último habilitar los días hábiles del mes de agosto para la tramitación del presente incidente de ejecución y publicar el contenido de esta providencia en el “Boletín Oficial del Estado”. Dicha publicación tuvo lugar en el “Boletín Oficial del Estado” núm. 185, de 2 de agosto de 2016.</w:t>
      </w:r>
    </w:p>
    <w:p w:rsidR="001D6FAE" w:rsidRDefault="001D6FAE" w:rsidP="001D6FAE">
      <w:pPr>
        <w:pStyle w:val="TextoNormal"/>
      </w:pPr>
    </w:p>
    <w:p w:rsidR="001D6FAE" w:rsidRDefault="001D6FAE" w:rsidP="001D6FAE">
      <w:pPr>
        <w:pStyle w:val="TextoNormal"/>
      </w:pPr>
      <w:r w:rsidRPr="001D6FAE">
        <w:rPr>
          <w:rStyle w:val="NumeroAFNegritaCaracter"/>
        </w:rPr>
        <w:t>7</w:t>
      </w:r>
      <w:r>
        <w:t>. El Ministerio Fiscal presentó su escrito de alegaciones el 10 de agosto de 2016, en el que considera, en coincidencia con lo argumentado por la Abogacía del Estado, que la resolución 263/XI del Parlamento de Cataluña supone un intento de eludir los pronunciamientos de la STC 259/2015, que declaró la inconstitucionalidad y nulidad de la resolución 1/XI, y que asimismo incumple las advertencias contenidas en el ATC 141/2016.</w:t>
      </w:r>
    </w:p>
    <w:p w:rsidR="001D6FAE" w:rsidRDefault="001D6FAE" w:rsidP="001D6FAE">
      <w:pPr>
        <w:pStyle w:val="TextoNormal"/>
      </w:pPr>
    </w:p>
    <w:p w:rsidR="001D6FAE" w:rsidRDefault="001D6FAE" w:rsidP="001D6FAE">
      <w:pPr>
        <w:pStyle w:val="TextoNormal"/>
      </w:pPr>
      <w:r>
        <w:t>El Fiscal considera que las conclusiones de la Comisión de Estudio del Proceso Constituyente, ratificadas por la resolución 263/XI del Parlamento de Cataluña, se oponen radicalmente a lo resuelto por este Tribunal en la STC 259/2015 y el ATC 141/2016, cuyos fundamentos más relevantes reproduce. Dichas conclusiones, en cuanto resultan incorporadas a la resolución 263/XI, que no es un acto de trámite, tienen naturaleza jurídica y constituyen una manifestación de voluntad institucional del Parlamento de Cataluña, órgano la Comunidad Autónoma que representa al pueblo de Cataluña conforme al art. 55.1 del Estatuto de Autonomía (EAC). Se trata de una resolución parlamentaria cuyo contenido concreto (que se condensa en las conclusiones aprobadas) contempla una serie de fases dirigidas a ejecutar el proceso de desconexión del Estado español. De este modo, las conclusiones no solo se vinculan con los postulados de la anulada resolución 1/XI de 9 de noviembre de 2015, con los que guardan no poca semejanza, sino que los objetivos que se persiguen utilizan procedimientos extramuros del ordenamiento constitucional. Tal planteamiento ignora paladinamente la STC 259/2015 e incluso supone un desarrollo de la resolución 1/XI allí anulada, estableciendo una serie de pasos, a modo de “hoja de ruta” que sucesivamente se va perfilando, hasta culminar el denominado “proceso constituyente”; también implica desconocer las razones y pronunciamientos de la necesaria observancia del marco constitucional, como destacaba el ATC 141/2016, FJ 5.</w:t>
      </w:r>
    </w:p>
    <w:p w:rsidR="001D6FAE" w:rsidRDefault="001D6FAE" w:rsidP="001D6FAE">
      <w:pPr>
        <w:pStyle w:val="TextoNormal"/>
      </w:pPr>
    </w:p>
    <w:p w:rsidR="001D6FAE" w:rsidRDefault="001D6FAE" w:rsidP="001D6FAE">
      <w:pPr>
        <w:pStyle w:val="TextoNormal"/>
      </w:pPr>
      <w:r>
        <w:t>Así, se atribuye legitimidad suficiente “al pueblo de Cataluña” para “comenzar un proceso constituyente propio” (apartado 2 de la resolución 263/XI) y, además, se declara que todo ese proceso está amparado por el Parlamento de Cataluña, que a tal efecto deberá crear una “comisión de seguimiento del mismo” (apartado 8). De este modo resulta que tanto en la anulada resolución I/XI como en la resolución 263/XI, que ratifica las conclusiones de la Comisión de Estudio del Proceso Constituyente, tienen como objeto único “el proceso constituyente” dirigido a la desconexión con el Estado español, lo que se traduce en el elemento que evidencia la unión e íntima conexión entre ambas resoluciones del Parlamento catalán, que se atribuye unas facultades de las que constitucionalmente carece, como ya fue declarado por la STC 259/2015, FJ 4; y el ATC 141/2016, FJ 3. La misma valoración de desarrollo de la resolución 1/XI anulada por la STC 259/2015 puede predicarse de las tres fases en que se estructura ese proceso constituyente según la resolución 263/XI (apartados cinco y siguientes).</w:t>
      </w:r>
    </w:p>
    <w:p w:rsidR="001D6FAE" w:rsidRDefault="001D6FAE" w:rsidP="001D6FAE">
      <w:pPr>
        <w:pStyle w:val="TextoNormal"/>
      </w:pPr>
    </w:p>
    <w:p w:rsidR="001D6FAE" w:rsidRDefault="001D6FAE" w:rsidP="001D6FAE">
      <w:pPr>
        <w:pStyle w:val="TextoNormal"/>
      </w:pPr>
      <w:r>
        <w:t>En suma, la resolución 263/XI, que ratifica las conclusiones de la Comisión de Estudio del Proceso Constituyente, incurre en los mismos defectos constitucionales que la anulada resolución l/XI, al pretender la misma finalidad (un proceso constituyente dirigido a la desconexión del Estado español), que desborda los márgenes de actuación constitucionales y estatutarios, contradiciendo los pronunciamientos de la STC 259/2015 y desoyendo igualmente las claras advertencias contenidas en el ATC 141/2016.</w:t>
      </w:r>
    </w:p>
    <w:p w:rsidR="001D6FAE" w:rsidRDefault="001D6FAE" w:rsidP="001D6FAE">
      <w:pPr>
        <w:pStyle w:val="TextoNormal"/>
      </w:pPr>
    </w:p>
    <w:p w:rsidR="001D6FAE" w:rsidRDefault="001D6FAE" w:rsidP="001D6FAE">
      <w:pPr>
        <w:pStyle w:val="TextoNormal"/>
      </w:pPr>
      <w:r>
        <w:t>Considera por todo ello el Ministerio Fiscal que el presente incidente de ejecución debe estimarse incorporando unos efectos cualitativamente más intensos, tanto para asegurar y reforzar el ámbito del cumplimiento de la STC 259/2015 y del ATC 141/2016 como para salvaguardar la autoridad del Tribunal Constitucional, de acuerdo con las previsiones que contempla el art. 92.4 LOTC. En consecuencia, el Fiscal solicita: que se declare la nulidad de la resolución 263/XI del Parlamento de Cataluña; que se proceda a efectuar una nueva advertencia o requerimiento personal (independiente del acordado en la providencia de 1 de agosto de 2016 respecto de la suspensión derivada del art. 161.2 CE) en relación con la declaración de nulidad de la resolución 263/XI, formalizándose mediante los más concretos requerimientos individuales en los términos que se solicitan por la Abogacía del Estado en el apartado segundo, letras a), b) y c), del suplico de su escrito promotor del incidente de ejecución; que se proceda asimismo a advertir, en caso de incumplimiento, de la posible adopción de las medidas previstas en el art. 92.4 LOTC, en los mismos términos que lo solicita el Abogado del Estado en el apartado segundo, letra d), del suplico de su escrito, y que se proceda también por este Tribunal a deducir testimonio de particulares respecto de la Presidenta del Parlamento de Cataluña, a efectos de la eventual responsabilidad penal de la misma por cuanto su intervención (con la votación de la inclusión en el orden del día primero y el sometimiento a votación después de las conclusiones de la Comisión de Estudio del Proceso Constituyente) fue determinante de la aprobación de la resolución 263/XI.</w:t>
      </w:r>
    </w:p>
    <w:p w:rsidR="001D6FAE" w:rsidRDefault="001D6FAE" w:rsidP="001D6FAE">
      <w:pPr>
        <w:pStyle w:val="TextoNormal"/>
      </w:pPr>
    </w:p>
    <w:p w:rsidR="001D6FAE" w:rsidRDefault="001D6FAE" w:rsidP="001D6FAE">
      <w:pPr>
        <w:pStyle w:val="TextoNormal"/>
      </w:pPr>
      <w:r w:rsidRPr="001D6FAE">
        <w:rPr>
          <w:rStyle w:val="NumeroAFNegritaCaracter"/>
        </w:rPr>
        <w:t>8</w:t>
      </w:r>
      <w:r>
        <w:t>. El 22 de agosto de 2016 tuvo entrada en el registro general de este Tribunal el informe emitido por el Vicepresidente segundo de la Mesa del Parlamento de Cataluña, don José María Espejo-Saavedra Conesa, del grupo Ciutadans, en contestación al requerimiento contenido en el apartado 5 de la providencia de este Tribunal de 1 de agosto de 2016, a los efectos del art. 92.4 LOTC.</w:t>
      </w:r>
    </w:p>
    <w:p w:rsidR="001D6FAE" w:rsidRDefault="001D6FAE" w:rsidP="001D6FAE">
      <w:pPr>
        <w:pStyle w:val="TextoNormal"/>
      </w:pPr>
    </w:p>
    <w:p w:rsidR="001D6FAE" w:rsidRDefault="001D6FAE" w:rsidP="001D6FAE">
      <w:pPr>
        <w:pStyle w:val="TextoNormal"/>
      </w:pPr>
      <w:r>
        <w:t>Expone en su informe que en todo momento se ha opuesto a la admisión a trámite por la Mesa del Parlamento de Cataluña de las iniciativas que entendía o bien reiterativas del contenido de la resolución 1/IX, anulada por la STC 259/2015, o bien un claro desarrollo de los objetivos de la misma, iniciativas que fueron presentadas siempre conjuntamente por los grupos parlamentarios de JxS y la CUP utilizando para ello mecanismos reglamentarios que, en evidente fraude de ley, pretendían precisamente eludir la aplicación de la STC 259/2015. En este mismo sentido señala que dirigió a la Mesa escrito el 20 de julio de 2016 en el que, refiriéndose al ATC 141/2016, manifestaba su oposición a dar trámite a las conclusiones de la Comisión de Estudio del Proceso Constituyente, que fueron finalmente aprobadas por la resolución 263/XI.</w:t>
      </w:r>
    </w:p>
    <w:p w:rsidR="001D6FAE" w:rsidRDefault="001D6FAE" w:rsidP="001D6FAE">
      <w:pPr>
        <w:pStyle w:val="TextoNormal"/>
      </w:pPr>
    </w:p>
    <w:p w:rsidR="001D6FAE" w:rsidRDefault="001D6FAE" w:rsidP="001D6FAE">
      <w:pPr>
        <w:pStyle w:val="TextoNormal"/>
      </w:pPr>
      <w:r>
        <w:t>Sostiene que las actuaciones que dieron lugar a la aprobación de la resolución 263/XI y esta misma contravinieron frontalmente la STC 259/2015 y el ATC 141/2016, dictado en el marco de la ejecución de dicha Sentencia. Se refiere así, en primer lugar, a la reunión de la Junta de Portavoces celebrada en la mañana del 19 de julio de 2016 (cuando no se tenía aún conocimiento del ATC 141/2016, de la misma fecha), en la que la representante de la CUP solicitó que se incluyese en el orden del día del próximo Pleno la votación de las conclusiones aprobadas por la Comisión de Estudio del Proceso Constituyente, petición a la que se adhirió el representante de JxS y a la que se opusieron los portavoces de Ciutadans y de Catalunya sí que es pot.</w:t>
      </w:r>
    </w:p>
    <w:p w:rsidR="001D6FAE" w:rsidRDefault="001D6FAE" w:rsidP="001D6FAE">
      <w:pPr>
        <w:pStyle w:val="TextoNormal"/>
      </w:pPr>
    </w:p>
    <w:p w:rsidR="001D6FAE" w:rsidRDefault="001D6FAE" w:rsidP="001D6FAE">
      <w:pPr>
        <w:pStyle w:val="TextoNormal"/>
      </w:pPr>
      <w:r>
        <w:t>Conocido el ATC 141/2016, se volvió a convocar en la mañana del día 20 de julio a la Junta de Portavoces, así como a la Mesa del Parlamento, con un único punto en el orden del día, que era precisamente la votación del informe sobre las conclusiones de la Comisión de Estudio del Proceso Constituyente. En esa nueva reunión de la Junta de Portavoces los representantes de JxS y la CUP se reafirmaron en su petición de que las conclusiones fueran elevadas al Pleno para su aprobación, a lo que se opusieron el resto de miembros de la Junta, a la vista del ATC 141/2016. En la ulterior reunión de la Mesa el informante, como Vicepresidente segundo, se opuso por escrito a que se diera trámite a la petición de JxS y la CUP y manifestó que tal punto no debía ser incluido en el orden del día del Pleno por contravenir el ATC 141/2016.</w:t>
      </w:r>
    </w:p>
    <w:p w:rsidR="001D6FAE" w:rsidRDefault="001D6FAE" w:rsidP="001D6FAE">
      <w:pPr>
        <w:pStyle w:val="TextoNormal"/>
      </w:pPr>
    </w:p>
    <w:p w:rsidR="001D6FAE" w:rsidRDefault="001D6FAE" w:rsidP="001D6FAE">
      <w:pPr>
        <w:pStyle w:val="TextoNormal"/>
      </w:pPr>
      <w:r>
        <w:t>En la convocatoria del Pleno de 27 de julio no fue incluida en el orden del día ninguna referencia a la votación de las referidas conclusiones, siguiendo la estrategia de los grupos parlamentarios de JxS y de la CUP consistente en solicitar durante el Pleno, al amparo del art. 81.3 RPC, la alteración del orden del día para, con su mayoría, forzar la inclusión de dicho punto y así conseguir su objetivo de votar —y aprobar— las conclusiones de la Comisión de Estudio del Proceso Constituyente, como así sucedió con la decisiva intervención de la Presidenta del Parlamento de Cataluña. Efectivamente, la Presidenta, tras preguntar a los portavoces de los grupos parlamentarios de JxS y de la CUP, que solicitaban la alteración del orden del día del Pleno para votar y aprobar las referidas conclusiones, si eran conscientes del contenido del ATC 141/2016, a lo que aquellos contestaron afirmativamente, accedió a someter a votación la alteración del orden del día para incluir dicho punto; aprobada esta inclusión, pese a que los representantes de otros grupos parlamentarios y de tres miembros de la Mesa, entre ellos el informante, se opusieron, la Presidenta procedió seguidamente a someter a debate y votación la ratificación del informe y las conclusiones de la Comisión de Estudio del Proceso Constituyente, que fueron aprobadas con los votos de los diputados de los grupos parlamentarios JxS y CUP, mediante la resolución 263/XI.</w:t>
      </w:r>
    </w:p>
    <w:p w:rsidR="001D6FAE" w:rsidRDefault="001D6FAE" w:rsidP="001D6FAE">
      <w:pPr>
        <w:pStyle w:val="TextoNormal"/>
      </w:pPr>
    </w:p>
    <w:p w:rsidR="001D6FAE" w:rsidRDefault="001D6FAE" w:rsidP="001D6FAE">
      <w:pPr>
        <w:pStyle w:val="TextoNormal"/>
      </w:pPr>
      <w:r>
        <w:t>Es en ese momento de la alteración del orden del día y posterior votación de las conclusiones cuando se consuma el verdadero incumplimiento del ATC 141/2016 y, consecuentemente, de la STC 259/2015, pudiendo considerarse todo lo sucedido en días anteriores como una especie de actos preparatorios de tal incumplimiento, según el informante. Ello es así por cuanto, a pesar de haber sido advertidos todos los miembros de la Mesa de su deber de impedir o paralizar cualquier iniciativa que supusiera eludir o ignorar el mandato del Tribunal Constitucional en relación con las conclusiones de la Comisión de Estudio del Proceso Constituyente, se permite por la Presidenta del Parlamento la votación de dichas conclusiones en el Pleno, amparándose en un precepto del Reglamento del Parlamento previsto para otros fines, que se invoca precisamente con la voluntad de eludir, en evidente fraude de ley, el mandato contenido en el ATC 141/2016, y tratar así de derivar la responsabilidad de la Mesa al conjunto de los diputados del Pleno, que están amparados por la inviolabilidad parlamentaria.</w:t>
      </w:r>
    </w:p>
    <w:p w:rsidR="001D6FAE" w:rsidRDefault="001D6FAE" w:rsidP="001D6FAE">
      <w:pPr>
        <w:pStyle w:val="TextoNormal"/>
      </w:pPr>
    </w:p>
    <w:p w:rsidR="001D6FAE" w:rsidRDefault="001D6FAE" w:rsidP="001D6FAE">
      <w:pPr>
        <w:pStyle w:val="TextoNormal"/>
      </w:pPr>
      <w:r w:rsidRPr="001D6FAE">
        <w:rPr>
          <w:rStyle w:val="NumeroAFNegritaCaracter"/>
        </w:rPr>
        <w:t>9</w:t>
      </w:r>
      <w:r>
        <w:t>. Con fecha 31 de agosto de 2016 tuvo entrada en el Registro General de este Tribunal el informe emitido por el Secretario segundo de la Mesa del Parlamento de Cataluña, don David Pérez Ibáñez, del grupo Partit Socialista de Catalunya (PSC), en contestación al requerimiento contenido en el apartado 5 de la providencia de este Tribunal de 1 de agosto de 2016, a los efectos del art. 92.4 LOTC.</w:t>
      </w:r>
    </w:p>
    <w:p w:rsidR="001D6FAE" w:rsidRDefault="001D6FAE" w:rsidP="001D6FAE">
      <w:pPr>
        <w:pStyle w:val="TextoNormal"/>
      </w:pPr>
    </w:p>
    <w:p w:rsidR="001D6FAE" w:rsidRDefault="001D6FAE" w:rsidP="001D6FAE">
      <w:pPr>
        <w:pStyle w:val="TextoNormal"/>
      </w:pPr>
      <w:r>
        <w:t>Tras referirse a la secuencia de actos y resoluciones parlamentarias que culminan en la resolución 263/XI, por la que se ratifican las conclusiones de la Comisión de Estudio del Proceso Constituyente, expone el Secretario segundo de la Mesa cuál ha sido su posición y actuación en cada uno de esos actos y resoluciones, significando que en todo momento se ha opuesto a la admisión a trámite por la Mesa de las iniciativas destinadas a dar continuidad a la resolución 1/IX, anulada por la STC 259/2015.</w:t>
      </w:r>
    </w:p>
    <w:p w:rsidR="001D6FAE" w:rsidRDefault="001D6FAE" w:rsidP="001D6FAE">
      <w:pPr>
        <w:pStyle w:val="TextoNormal"/>
      </w:pPr>
    </w:p>
    <w:p w:rsidR="001D6FAE" w:rsidRDefault="001D6FAE" w:rsidP="001D6FAE">
      <w:pPr>
        <w:pStyle w:val="TextoNormal"/>
      </w:pPr>
      <w:r>
        <w:t>En este sentido resalta particularmente que en la reunión de la Mesa del 20 de julio de 2016 se opuso a que se diera trámite a la petición de los grupos parlamentarios de JxS y de la CUP de incluir en el orden del día del próximo Pleno la votación de las conclusiones aprobadas por la Comisión de Estudio del Proceso Constituyente, por entender que ello contravenía frontalmente lo acordado en el ATC 141/2016, oposición que reiteró en la sesión del Pleno de 27 de julio de 2016, al someter a votación la Presidenta del Parlamento el cambio en el orden del día instado por los aludidos grupos parlamentarios para incluir el debate y votación de las referidas conclusiones, finalmente aprobadas por la resolución 263/XI, lo que se opone objetivamente a la STC 259/2015 y del ATC 141/2016.</w:t>
      </w:r>
    </w:p>
    <w:p w:rsidR="001D6FAE" w:rsidRDefault="001D6FAE" w:rsidP="001D6FAE">
      <w:pPr>
        <w:pStyle w:val="TextoNormal"/>
      </w:pPr>
    </w:p>
    <w:p w:rsidR="001D6FAE" w:rsidRDefault="001D6FAE" w:rsidP="001D6FAE">
      <w:pPr>
        <w:pStyle w:val="TextoNormal"/>
      </w:pPr>
      <w:r w:rsidRPr="001D6FAE">
        <w:rPr>
          <w:rStyle w:val="NumeroAFNegritaCaracter"/>
        </w:rPr>
        <w:t>10</w:t>
      </w:r>
      <w:r>
        <w:t>. Con fecha 1 de septiembre de 2016 tuvieron entrada en el Registro General de este Tribunal los informes emitidos por el Vicepresidente primero de la Mesa del Parlamento de Cataluña, don Lluis M. Corominas i Díaz, y las Secretarias primera y cuarta de la Mesa, doña Anna Simó i Castelló y doña Ramona Barrufet Santacana, todos diputados del grupo JxS, en contestación al requerimiento contenido en el apartado 5 de la providencia de este Tribunal de 1 de agosto de 2016, a los efectos del art. 92.4 LOTC.</w:t>
      </w:r>
    </w:p>
    <w:p w:rsidR="001D6FAE" w:rsidRDefault="001D6FAE" w:rsidP="001D6FAE">
      <w:pPr>
        <w:pStyle w:val="TextoNormal"/>
      </w:pPr>
    </w:p>
    <w:p w:rsidR="001D6FAE" w:rsidRDefault="001D6FAE" w:rsidP="001D6FAE">
      <w:pPr>
        <w:pStyle w:val="TextoNormal"/>
      </w:pPr>
      <w:r>
        <w:t>Como cuestiones previas, aducen en primer lugar que la notificación y el requerimiento que se realiza en la referida providencia de 1 de agosto de 2016 son genéricos e inconcretos, lo que comporta una falta de seguridad jurídica susceptible de generar indefensión por los actos pasados, pero también una situación jurídicamente compleja para las futuras decisiones de los miembros de la Mesa. Asimismo sostienen que el Tribunal Constitucional debería ser muy prudente a la hora de aplicar las medidas del art. 92.4 LOTC, incorporadas por la Ley Orgánica 15/2015, de 16 de octubre, de reforma de la Ley Orgánica del Tribunal Constitucional para la ejecución de las resoluciones del Tribunal Constitucional como garantía del Estado de Derecho, habida cuenta de la pendencia de los recursos de inconstitucionalidad interpuestos contra dicha reforma legal. En particular, consideran que la medida contemplada en la letra b) del art. 92.4 LOTC, referida a la suspensión de funciones de autoridades o empleados públicos que incumplan las resoluciones del Tribunal Constitucional no puede entenderse aplicable a los cargos electos, y que la STC 259/2015 no puede impedir el debate parlamentario. Añaden que el contenido del ATC 141/2016 incurre en contradicciones jurídicas, lo que agrava la indefensión que provoca el requerimiento incluido en la providencia de 1 de agosto de 2016, en cuanto exige a los miembros de la Mesa que informen acerca de si las actuaciones parlamentarias que dieron lugar a la aprobación de la resolución 263/XI han contravenido ese Auto y la STC 259/2015. Consideran, por último, que no resulta de aplicación lo dispuesto en el art. 161.2 CE a los incidentes de ejecución de sentencias y resoluciones del Tribunal Constitucional.</w:t>
      </w:r>
    </w:p>
    <w:p w:rsidR="001D6FAE" w:rsidRDefault="001D6FAE" w:rsidP="001D6FAE">
      <w:pPr>
        <w:pStyle w:val="TextoNormal"/>
      </w:pPr>
    </w:p>
    <w:p w:rsidR="001D6FAE" w:rsidRDefault="001D6FAE" w:rsidP="001D6FAE">
      <w:pPr>
        <w:pStyle w:val="TextoNormal"/>
      </w:pPr>
      <w:r>
        <w:t>Por lo que toca al requerimiento en sí de la providencia de 1 de agosto de 2016, después de referirse a la secuencia de actos y resoluciones parlamentarias que culminan en la resolución 263/XI, por la que se aprueban las conclusiones de la Comisión de Estudio del Proceso Constituyente, exponen los informantes que su actuación es conforme con las previsiones del Reglamento de la Cámara y los términos del debate democrático. Más concretamente, en cuanto al cumplimiento de lo acordado en el ATC 141/2016, alegan que no se puede condicionar la constitucionalidad de una comisión parlamentaria de estudio en función del contenido del debate o de las conclusiones, pues las Constituciones de cualquier Estado democrático no prohíben el debate, el análisis y el estudio parlamentario, sino que garantizan la libertad de expresión y el derecho de participación política. Cumplir la STC 259/2015 no puede tener como resultado prohibir la libertad de expresión en el ámbito de una comisión de estudio en aquellos asuntos que incomoden al Estado. En cualquier caso, aunque la prerrogativa de la inviolabilidad parlamentaria (art. 57.1 EAC y art. 21 RPC), que va íntimamente ligada a la libertad de expresión, no puede alegarse para incumplir una sentencia, sí que tiene como efecto excluir cualquier responsabilidad, especialmente la penal, cuando se trata de actos propios de la función parlamentaria; de esta suerte estarían claramente amparados por la inviolabilidad parlamentaria las opiniones y las votaciones emitidas por los diputados del Parlamento catalán y su Presidenta en el Pleno del pasado 27 de julio.</w:t>
      </w:r>
    </w:p>
    <w:p w:rsidR="001D6FAE" w:rsidRDefault="001D6FAE" w:rsidP="001D6FAE">
      <w:pPr>
        <w:pStyle w:val="TextoNormal"/>
      </w:pPr>
    </w:p>
    <w:p w:rsidR="001D6FAE" w:rsidRDefault="001D6FAE" w:rsidP="001D6FAE">
      <w:pPr>
        <w:pStyle w:val="TextoNormal"/>
      </w:pPr>
      <w:r>
        <w:t>Por lo que atañe a la advertencia (punto 4 de la providencia del Tribunal Constitucional de 1 de agosto de 2016) a la Presidenta y a los miembros de la Mesa del Parlamento catalán de su deber de impedir o paralizar cualquier iniciativa que suponga ignorar o eludir la suspensión acordada de la resolución 263/XI, sostienen los informantes que se trata de un mandato genérico, impreciso e indeterminado, que da lugar a una situación de inseguridad jurídica, por lo que solicitan que este Tribunal aclare el alcance de la notificación, que afecta también al requerimiento. En todo caso consideran que el cumplimiento de la STC 259/2015 no puede amparar una medida de ejecución que suponga cambiar la función de la Mesa, para llevar a cabo un control preventivo de las iniciativas parlamentarias, lo que atenta contra el derecho fundamental de participación, reconocido en todos los Estados democráticos, también en la Constitución española (art. 23 CE).</w:t>
      </w:r>
    </w:p>
    <w:p w:rsidR="001D6FAE" w:rsidRDefault="001D6FAE" w:rsidP="001D6FAE">
      <w:pPr>
        <w:pStyle w:val="TextoNormal"/>
      </w:pPr>
    </w:p>
    <w:p w:rsidR="001D6FAE" w:rsidRDefault="001D6FAE" w:rsidP="001D6FAE">
      <w:pPr>
        <w:pStyle w:val="TextoNormal"/>
      </w:pPr>
      <w:r>
        <w:t>Estiman fuera de lugar la posible apertura de un procedimiento penal contra la Presidenta del Parlamento. El 27 de julio el Pleno estaba constituido y la Presidenta siguió punto por punto las determinaciones del Reglamento de la Cámara, realizando las advertencias oportunas en relación con el ATC 141/2016. Todos los grupos parlamentarios participaron en el debate y todos los diputados, incluida la Presidenta, están amparados por la inviolabilidad parlamentaria frente a eventuales responsabilidades, incluida la penal, por los votos y opiniones emitidos en el ejercicio de su cargo.</w:t>
      </w:r>
    </w:p>
    <w:p w:rsidR="001D6FAE" w:rsidRDefault="001D6FAE" w:rsidP="001D6FAE">
      <w:pPr>
        <w:pStyle w:val="TextoNormal"/>
      </w:pPr>
    </w:p>
    <w:p w:rsidR="001D6FAE" w:rsidRDefault="001D6FAE" w:rsidP="001D6FAE">
      <w:pPr>
        <w:pStyle w:val="TextoNormal"/>
      </w:pPr>
      <w:r>
        <w:t>Alegan, en fin, que la separación de poderes es básica en cualquier democracia, por lo que el Tribunal Constitucional debería permanecer al margen de la confrontación política y no impedir la libertad de expresión y el derecho de participación política que pretende dar cauce a las aspiraciones pacíficas y democráticas de una buena parte del pueblo de Cataluña. Consideran, sin embargo, que la configuración misma del Tribunal Constitucional y las circunstancias personales de alguno de sus miembros (particularmente su Presidente) comprometen su imparcialidad e independencia, lo que le deslegitima como árbitro en este conflicto entre el Gobierno del Estado y el Parlamento de Cataluña.</w:t>
      </w:r>
    </w:p>
    <w:p w:rsidR="001D6FAE" w:rsidRDefault="001D6FAE" w:rsidP="001D6FAE">
      <w:pPr>
        <w:pStyle w:val="TextoNormal"/>
      </w:pPr>
    </w:p>
    <w:p w:rsidR="001D6FAE" w:rsidRDefault="001D6FAE" w:rsidP="001D6FAE">
      <w:pPr>
        <w:pStyle w:val="TextoNormal"/>
      </w:pPr>
      <w:r w:rsidRPr="001D6FAE">
        <w:rPr>
          <w:rStyle w:val="NumeroAFNegritaCaracter"/>
        </w:rPr>
        <w:t>11</w:t>
      </w:r>
      <w:r>
        <w:t>. El día 2 de septiembre de 2016 tuvo entrada en el Registro General de este Tribunal el escrito de alegaciones de los Letrados del Parlamento de Cataluña, actuando en representación y defensa de la Cámara.</w:t>
      </w:r>
    </w:p>
    <w:p w:rsidR="001D6FAE" w:rsidRDefault="001D6FAE" w:rsidP="001D6FAE">
      <w:pPr>
        <w:pStyle w:val="TextoNormal"/>
      </w:pPr>
    </w:p>
    <w:p w:rsidR="001D6FAE" w:rsidRDefault="001D6FAE" w:rsidP="001D6FAE">
      <w:pPr>
        <w:pStyle w:val="TextoNormal"/>
      </w:pPr>
      <w:r>
        <w:t>a) Sostienen que la resolución 263/XI, que ratifica el informe y las conclusiones de la Comisión de Estudio del Proceso Constituyente creada por la resolución 5/XI, no contraviene la STC 259/2015 ni el ATC 141/2016. Al aprobar la resolución 263/XI, el Pleno del Parlamento de Cataluña no hizo más que ratificar los trabajos realizados por una comisión de estudio, en cumplimiento de lo dispuesto en el art. 65.3 RPC; se trata, pues, de un acto confirmatorio que ha de entenderse referido a una actividad parlamentaria especialmente amplia en cuanto a su posible contenido y alcance, como es la de poder estudiar y analizar cualquier asunto que afecte a los ciudadanos a los que representa el Parlamento y que por ello mismo no puede ser nunca considerada contraria a una sentencia o resolución judicial.</w:t>
      </w:r>
    </w:p>
    <w:p w:rsidR="001D6FAE" w:rsidRDefault="001D6FAE" w:rsidP="001D6FAE">
      <w:pPr>
        <w:pStyle w:val="TextoNormal"/>
      </w:pPr>
    </w:p>
    <w:p w:rsidR="001D6FAE" w:rsidRDefault="001D6FAE" w:rsidP="001D6FAE">
      <w:pPr>
        <w:pStyle w:val="TextoNormal"/>
      </w:pPr>
      <w:r>
        <w:t>Por otra parte, no cabe entender que la resolución 263/XI contravenga o ignore los mandatos contenidos en el ATC 141/2016, porque este no anula la resolución 5/XI, por la que se crea la Comisión de Estudio del Proceso Constituyente, ni en puridad tampoco el informe y las conclusiones de esa comisión parlamentaria. En todo caso, en la medida en que el ordenamiento constitucional español no responde a un modelo de “democracia militante” que imponga a los poderes públicos representativos un deber de adhesión positiva a dicho ordenamiento, no puede negarse la capacidad del Parlamento de Cataluña para estudiar y analizar cualquier cuestión que considere de interés para la sociedad a la que representa, incluido lo que puede ser un proceso constituyente de una futura Cataluña independiente. Cierto es que las SSTC 42/2014 y 259/2015 y el ATC 141/2016 imponen un límite a ese proyecto político, como es que su defensa y promoción no se haga en términos que excluyan los procesos de reforma constitucional. Pero de ello no puede desprenderse que ese límite sea absoluto y condicione íntegramente la actividad de debate propia de un Parlamento, ni excluya, tampoco, la posibilidad que pueda darse una actuación parlamentaria sin restricciones cuando esta se encauza mediante el formato reglamentario de la actividad de estudio, con los efectos propios y específicos que se desprenden de esa actividad.</w:t>
      </w:r>
    </w:p>
    <w:p w:rsidR="001D6FAE" w:rsidRDefault="001D6FAE" w:rsidP="001D6FAE">
      <w:pPr>
        <w:pStyle w:val="TextoNormal"/>
      </w:pPr>
    </w:p>
    <w:p w:rsidR="001D6FAE" w:rsidRDefault="001D6FAE" w:rsidP="001D6FAE">
      <w:pPr>
        <w:pStyle w:val="TextoNormal"/>
      </w:pPr>
      <w:r>
        <w:t xml:space="preserve">b) Alegan asimismo que alguna de las medidas de ejecución solicitadas por la Abogacía del Estado no pueden ser acordadas por este Tribunal, so pena de anular el ejercicio de las funciones parlamentarias e impedir, por motivos meramente preventivos, el ejercicio de los derechos de los representantes políticos. Se trata, concretamente, de la obligación de abstenerse de realizar cualquier actuación tendente a dar cumplimiento a la resolución 263/XI, así como de impedir o paralizar cualquier iniciativa que suponga ignorar o eludir la STC 259/2015 y el ATC 141/2016, y de la prohibición expresa de convocar a los órganos del Parlamento para debatir o votar ninguna iniciativa que directa o indirectamente pretenda dar cumplimiento a la resolución 263/XI. La adopción de esas medidas bajo el pretexto de asegurar el cumplimiento de las resoluciones del Tribunal Constitucional puede suponer la desnaturalización de la misma esencia del parlamentarismo y un efecto demoledor sobre el principio democrático que representa y expresa el Parlamento por varias razones. En primer lugar, por convertir a la Mesa en un órgano de control interno de las iniciativas parlamentarias, alterando con ello el contenido de su función que, como ha declarado el mismo Tribunal Constitucional reiteradamente, debe circunscribirse a comprobar la concurrencia de los requisitos reglamentarios y en su caso legales, exigidos para la tramitación de las distintas iniciativas. En segundo lugar, porque las medidas solicitadas tienen una clara finalidad preventiva irreconciliable con la lógica y esencia de cualquier iniciativa parlamentaria que por definición es solo eso, es decir una mera iniciativa que no predetermina un contenido ni un resultado final; sería respecto de ese último acto parlamentario del que se podría predicar, en su caso, un incumplimiento de las resoluciones del Tribunal Constitucional, pero no de la simple admisión a trámite de una iniciativa, aunque esta pueda parecer </w:t>
      </w:r>
      <w:r w:rsidRPr="001D6FAE">
        <w:rPr>
          <w:i/>
        </w:rPr>
        <w:t>a priori</w:t>
      </w:r>
      <w:r>
        <w:t xml:space="preserve"> contraria a dichas resoluciones. En tercer lugar, porque el planteamiento de fondo que se desprende del incidente de ejecución supone aceptar ni más ni menos que el Parlamento de Cataluña queda limitado en su propia autonomía interna y de funcionamiento para desarrollar normalmente su actividad de acuerdo con el Estatuto de Autonomía de Cataluña y el Reglamento del Parlamento de Cataluña, lo que incide de lleno sobre la necesaria preservación del pluralismo político y del principio democrático de los que el Parlamento es el principal instrumento de expresión de acuerdo con la Constitución. Y en cuarto lugar porque, formando parte el derecho de iniciativa parlamentaria del núcleo esencial del </w:t>
      </w:r>
      <w:r w:rsidRPr="001D6FAE">
        <w:rPr>
          <w:i/>
        </w:rPr>
        <w:t>ius in officium</w:t>
      </w:r>
      <w:r>
        <w:t xml:space="preserve"> de los representantes parlamentarios, su sometimiento al control de la Mesa en los términos pretendidos en el incidente de ejecución resulta manifiestamente incompatible con el derecho fundamental de participación política que el art. 23 CE les reconoce y garantiza. En el mismo ATC 141/2016, FJ 6, se recuerda, con cita del ATC 135/2004, la doctrina sobre la imposibilidad de que las meras propuestas o iniciativas parlamentarias sujetas a examen y discusión puedan considerarse en sí mismas inconstitucionales; y aunque en este mismo fundamento el Tribunal Constitucional matice ese principio general en función de las circunstancias especiales que concurren en el caso que nos ocupa, es evidente que ello no puede servir para invertir el sentido de esa doctrina, porque ello significaría lisa y llanamente anular o dejar sin contenido los principios esenciales del sistema parlamentario que la misma Constitución ampara.</w:t>
      </w:r>
    </w:p>
    <w:p w:rsidR="001D6FAE" w:rsidRDefault="001D6FAE" w:rsidP="001D6FAE">
      <w:pPr>
        <w:pStyle w:val="TextoNormal"/>
      </w:pPr>
    </w:p>
    <w:p w:rsidR="001D6FAE" w:rsidRDefault="001D6FAE" w:rsidP="001D6FAE">
      <w:pPr>
        <w:pStyle w:val="TextoNormal"/>
      </w:pPr>
      <w:r>
        <w:t>Otro problema que presentan las medidas solicitadas por el Abogado del Estado es la quiebra del principio de seguridad jurídica, al exigirlas de forma genérica e indeterminada en relación a cualquier situación indiciaria de un posible incumplimiento relacionada con cualquier “actuación”, “iniciativa”, o “convocatoria” parlamentaria, sobre todo cuando se pretende anudar al incumplimiento de esas medidas una responsabilidad personal de los miembros de la Mesa y del Secretario General del Parlamento de Cataluña.</w:t>
      </w:r>
    </w:p>
    <w:p w:rsidR="001D6FAE" w:rsidRDefault="001D6FAE" w:rsidP="001D6FAE">
      <w:pPr>
        <w:pStyle w:val="TextoNormal"/>
      </w:pPr>
    </w:p>
    <w:p w:rsidR="001D6FAE" w:rsidRDefault="001D6FAE" w:rsidP="001D6FAE">
      <w:pPr>
        <w:pStyle w:val="TextoNormal"/>
      </w:pPr>
      <w:r>
        <w:t>Por otra parte destacan el problema que plantea el hecho de que, en sentido técnico-jurídico, resulta difícil establecer ninguna relación propiamente de “ejecución” entre la resolución 263/XI y una nueva iniciativa parlamentaria aunque esta última pudiera tener conexión temática y política con aquella. De un informe y unas conclusiones de una comisión de estudio (incluso ratificadas por el Pleno), no puede desprenderse vinculo jurídico alguno respecto de una posterior iniciativa parlamentaria como para considerar que esta última desarrolla o ejecuta la primera.</w:t>
      </w:r>
    </w:p>
    <w:p w:rsidR="001D6FAE" w:rsidRDefault="001D6FAE" w:rsidP="001D6FAE">
      <w:pPr>
        <w:pStyle w:val="TextoNormal"/>
      </w:pPr>
    </w:p>
    <w:p w:rsidR="001D6FAE" w:rsidRDefault="001D6FAE" w:rsidP="001D6FAE">
      <w:pPr>
        <w:pStyle w:val="TextoNormal"/>
      </w:pPr>
      <w:r>
        <w:t>c) Consideran asimismo que resulta improcedente la aplicación de las medidas de ejecución solicitadas por la Abogacía del Estado al amparo del art. 92.4 LOTC.</w:t>
      </w:r>
    </w:p>
    <w:p w:rsidR="001D6FAE" w:rsidRDefault="001D6FAE" w:rsidP="001D6FAE">
      <w:pPr>
        <w:pStyle w:val="TextoNormal"/>
      </w:pPr>
    </w:p>
    <w:p w:rsidR="001D6FAE" w:rsidRDefault="001D6FAE" w:rsidP="001D6FAE">
      <w:pPr>
        <w:pStyle w:val="TextoNormal"/>
      </w:pPr>
      <w:r>
        <w:t>En primer lugar, aducen que el Tribunal Constitucional debería ser especialmente cauteloso a la hora de aplicar las medidas del art. 92.4 LOTC, incorporadas por la Ley Orgánica 15/2015, de 16 de octubre, habida cuenta de la pendencia de los recursos de inconstitucionalidad interpuestos contra dicha reforma legal. Además, no puede obviarse que tales medidas no pueden aplicarse bajo un criterio de discrecionalidad absoluta, ni que la redacción del art. 92.4 LOTC tiene como referencia el ámbito administrativo y no el de otros poderes públicos distintos, como es el caso singularmente de las asambleas legislativas y de sus miembros, como se desprende del tipo de medidas de ejecución previstas y de la remisión que el art. 80 LOTC (reformado en este punto por la Ley Orgánica 15/2015) hace a la Ley reguladora de la jurisdicción contencioso-administrativa (LJCA) como ley supletoria en lo que atañe a la ejecución de resoluciones del Tribunal Constitucional.</w:t>
      </w:r>
    </w:p>
    <w:p w:rsidR="001D6FAE" w:rsidRDefault="001D6FAE" w:rsidP="001D6FAE">
      <w:pPr>
        <w:pStyle w:val="TextoNormal"/>
      </w:pPr>
    </w:p>
    <w:p w:rsidR="001D6FAE" w:rsidRDefault="001D6FAE" w:rsidP="001D6FAE">
      <w:pPr>
        <w:pStyle w:val="TextoNormal"/>
      </w:pPr>
      <w:r>
        <w:t>De ello resulta la dificultad, por no decir imposibilidad, de poder aplicar al presente incidente de ejecución las medidas específicas previstas en las letras a) y c) del art. 92.4 LOTC, referidas a las multas coercitivas y a la ejecución sustitutoria, que se corresponden con las multas coercitivas del art. 112 a) LJCA y la ejecución subsidiaria del art. 108.1 LJCA. La naturaleza de estas medidas y su necesaria interpretación de acuerdo con el significado normal de las mismas según lo establecido en la Ley reguladora de la jurisdicción contencioso-administrativa y la Ley Orgánica del Tribunal Constitucional, no permite extender su aplicación a los supuestos de sentencias o resoluciones cuyo alcance es meramente anulatorio de un acto. En estos casos el incumplimiento solo puede darse por una nueva decisión o actuación que contravenga la sentencia, no por falta de ejecución propiamente dicha de la misma; lo que puede dar lugar, como es lógico, a la declaración de nulidad de esa nueva resolución, tal y como prevé el art. 92.1 LOTC y a una eventual exigencia de responsabilidad, si procediera, pero no a la adopción de las otras medidas mencionadas en el art. 92.4 LOTC.</w:t>
      </w:r>
    </w:p>
    <w:p w:rsidR="001D6FAE" w:rsidRDefault="001D6FAE" w:rsidP="001D6FAE">
      <w:pPr>
        <w:pStyle w:val="TextoNormal"/>
      </w:pPr>
    </w:p>
    <w:p w:rsidR="001D6FAE" w:rsidRDefault="001D6FAE" w:rsidP="001D6FAE">
      <w:pPr>
        <w:pStyle w:val="TextoNormal"/>
      </w:pPr>
      <w:r>
        <w:t>Tampoco cabe aplicar en el presente incidente de ejecución la medida de suspensión de funciones de las autoridades o empleados públicos durante el tiempo preciso para asegurar la observancia de los pronunciamientos del Tribunal, prevista en la letra b) del art. 92.4 LOTC. Sin perjuicio de resaltar que bajo la apariencia de una medida de ejecución lo que parece arbitrar la ley es una medida de tipo sancionador, sin haber tenido siquiera en cuenta el necesario respeto de las garantías constitucionales que serían en todo caso exigibles en este ámbito, se llama especialmente la atención sobre el hecho de que esta medida de suspensión sólo podría ser aplicable a las autoridades o empleados públicos “de la Administración”, como reza el propio precepto, sin que pueda extenderse a los cargos electos, como sucede con los miembros del Parlamento de Cataluña, que además gozan de la prerrogativa de inviolabilidad por las actuaciones realizadas en el ejercicio de su cargo representativo. Los representantes parlamentarios no pueden ser en modo alguno considerados como autoridades “administrativas” cuando actúan en el ejercicio de sus funciones parlamentarias, siendo por otra parte obvio que en la eventual aplicación de esa medida no es posible hacer una interpretación extensiva o analógica por razón de la misma literalidad de la norma y también porque ese tipo de interpretación queda excluida cuando se trata de normas limitativas o restrictivas de derechos.</w:t>
      </w:r>
    </w:p>
    <w:p w:rsidR="001D6FAE" w:rsidRDefault="001D6FAE" w:rsidP="001D6FAE">
      <w:pPr>
        <w:pStyle w:val="TextoNormal"/>
      </w:pPr>
    </w:p>
    <w:p w:rsidR="001D6FAE" w:rsidRDefault="001D6FAE" w:rsidP="001D6FAE">
      <w:pPr>
        <w:pStyle w:val="TextoNormal"/>
      </w:pPr>
      <w:r>
        <w:t>d) Sostienen asimismo que no cabe aplicar la medida de ejecución solicitada por la Abogacía del Estado en relación con la Presidenta del Parlamento de Cataluña, al amparo de la letra d) del art. 92.4 LOTC, consistente en deducir testimonio de particulares para exigir la responsabilidad penal en que pudiera haber incurrido por haber permitido el debate y votación en el Pleno tanto de la inclusión en el orden del día como el sometimiento a ratificación del informe y las conclusiones de la Comisión de Estudio del Proceso Constituyente, incumpliendo así el ATC 141/2016 y el mandato en él contenido de impedir paralizar cualquier iniciativa que supusiera ignorar o eludir los mandatos enunciados en el mismo Auto.</w:t>
      </w:r>
    </w:p>
    <w:p w:rsidR="001D6FAE" w:rsidRDefault="001D6FAE" w:rsidP="001D6FAE">
      <w:pPr>
        <w:pStyle w:val="TextoNormal"/>
      </w:pPr>
    </w:p>
    <w:p w:rsidR="001D6FAE" w:rsidRDefault="001D6FAE" w:rsidP="001D6FAE">
      <w:pPr>
        <w:pStyle w:val="TextoNormal"/>
      </w:pPr>
      <w:r>
        <w:t>Consideran improcedente que se acuerde esta medida porque concurre causa de exclusión de la responsabilidad penal. La actuación de la Presidenta del Parlamento de Cataluña venía obligada por lo previsto en el art. 81.3 RPC, que establece que el orden del día de un Pleno puede ser alterado si el mismo Pleno lo acuerda a petición de dos grupos parlamentarios. Resulta evidente, por tanto, que en el ejercicio de su función de dirigir los debates y hacer cumplir el Reglamento de la Cámara (art. 39.1 RPC), la Presidenta del Parlamento no podía desatender la petición que le formularon los dos grupos parlamentarios que solicitaron incluir en el orden del día el debate y la votación del informe y conclusiones de la Comisión de Estudio del Proceso Constituyente, al concurrir los requisitos exigidos por el Reglamento de la Cámara. A ello se añade que la Presidenta cumplió con su obligación de informar al Pleno, como órgano que debía tomar la decisión, de la existencia del ATC 141/2016, a pesar de lo cual se mantuvo la solicitud de alteración del orden del día. En este contexto, la advertencia formulada en el acto por la Presidenta sobre la existencia del ATC 141/2016 la exonera de cualquier responsabilidad.</w:t>
      </w:r>
    </w:p>
    <w:p w:rsidR="001D6FAE" w:rsidRDefault="001D6FAE" w:rsidP="001D6FAE">
      <w:pPr>
        <w:pStyle w:val="TextoNormal"/>
      </w:pPr>
    </w:p>
    <w:p w:rsidR="001D6FAE" w:rsidRDefault="001D6FAE" w:rsidP="001D6FAE">
      <w:pPr>
        <w:pStyle w:val="TextoNormal"/>
      </w:pPr>
      <w:r>
        <w:t>Con independencia de lo expuesto, la actuación de la Presidenta del Parlamento habría quedado amparada, en cualquier caso, por la prerrogativa de la inviolabilidad parlamentaria de que disfrutan los diputados por las opiniones y votos emitidos en el ejercicio de sus funciones (art. 57.1 EAC y art. 21 RPC), conforme a la doctrina constitucional (SSTC 51/1985 y 243/1988), porque la actuación de la Presidenta del Parlamento de Cataluña respondía inequívocamente al ejercicio de las funciones inherentes a su cargo (art. 39.1 RPC) y se tradujo en actos también de inequívoca naturaleza parlamentaria, en el sentido más estricto del término, adoptados conforme a lo dispuesto en el art. 81.3 RPC en el marco concreto del desarrollo de una sesión plenaria del Parlamento. Ciertamente, la inviolabilidad parlamentaria no excluye el deber de cumplimiento de las resoluciones del Tribunal Constitucional, que la ley establece con un alcance general para todas las autoridades y poderes públicos. Sin embargo, la prerrogativa de inviolabilidad parlamentaria tiene como efecto el de excluir cualquier responsabilidad, especialmente la penal, cuando se trata de actos que son propios e inherentes a la función parlamentaria, como en este caso sucede.</w:t>
      </w:r>
    </w:p>
    <w:p w:rsidR="001D6FAE" w:rsidRDefault="001D6FAE" w:rsidP="001D6FAE">
      <w:pPr>
        <w:pStyle w:val="TextoNormal"/>
      </w:pPr>
    </w:p>
    <w:p w:rsidR="001D6FAE" w:rsidRDefault="001D6FAE" w:rsidP="001D6FAE">
      <w:pPr>
        <w:pStyle w:val="TextoNormal"/>
      </w:pPr>
      <w:r>
        <w:t>La inviolabilidad parlamentaria ha de ponerse en relación, además, con la libertad de expresión y el derecho de participación de los representantes políticos. Con cita de doctrina constitucional (SSTC 136/1999, 253/2007 y 177/2015) y del Tribunal Europeo de Derechos Humanos (SSTEDH de 24 de febrero de 1997, 27 de febrero de 2001, 15 de marzo de 2011 y 16 de septiembre de 2014), se aduce que la libertad de expresión resulta especialmente protegida cuando se ejerce por un representante político y vale no solo para la difusión de ideas u opiniones acogidas con favor o consideradas indiferentes, sino también para aquellas que contrarían, chocan o inquietan al Estado o una parte cualquiera de la población. De todo ello se infiere que en cualquier sociedad democrática, las Cámaras parlamentarias, foro principal de expresión de los representantes de los ciudadanos, deben gozar de los más amplios márgenes de tolerancia en lo que concierne a la libertad de expresión, acordes con su función institucional.</w:t>
      </w:r>
    </w:p>
    <w:p w:rsidR="001D6FAE" w:rsidRDefault="001D6FAE" w:rsidP="001D6FAE">
      <w:pPr>
        <w:pStyle w:val="TextoNormal"/>
      </w:pPr>
    </w:p>
    <w:p w:rsidR="001D6FAE" w:rsidRDefault="001D6FAE" w:rsidP="001D6FAE">
      <w:pPr>
        <w:pStyle w:val="TextoNormal"/>
      </w:pPr>
      <w:r>
        <w:t>Por consiguiente está fuera de lugar exigir a la Presidenta del Parlamento de Cataluña cualquier tipo de responsabilidad, especialmente la penal, por su actuación en el Pleno del 27 de julio de 2016. La Presidenta no solo venía obligada a cumplir el Reglamento de la Cámara (art. 81 RPC), ante la petición de dos grupos parlamentarios de incluir en el orden del día la votación de las conclusiones de la Comisión de Estudio del Proceso Constituyente, sino también a facilitar el debate parlamentario, máxime cuando quien realmente debía tomar la decisión al respecto sobre la inclusión de ese punto en el orden del día no era la Presidencia del Parlamento, sino el propio Pleno, como órgano soberano de la Cámara.</w:t>
      </w:r>
    </w:p>
    <w:p w:rsidR="001D6FAE" w:rsidRDefault="001D6FAE" w:rsidP="001D6FAE">
      <w:pPr>
        <w:pStyle w:val="TextoNormal"/>
      </w:pPr>
    </w:p>
    <w:p w:rsidR="001D6FAE" w:rsidRDefault="001D6FAE" w:rsidP="001D6FAE">
      <w:pPr>
        <w:pStyle w:val="TextoNormal"/>
      </w:pPr>
      <w:r>
        <w:t xml:space="preserve">e) Sostienen finalmente que no procede la aplicación de lo dispuesto en el art. 161.2 CE en el marco de un incidente de ejecución de sentencias y resoluciones de este Tribunal. El Abogado del Estado ha invocado en su escrito instando el incidente de ejecución la prerrogativa de suspensión prevista en dicho precepto constitucional para el supuesto de impugnación por el Gobierno de disposiciones sin fuerza de ley y resoluciones de las Comunidades Autónomas, regulado por el título V LOTC, y el Tribunal Constitucional ha accedido a dicha pretensión, acordando la suspensión de la resolución 263/XI en su providencia de 1 de agosto de 2016. De este modo, se ha procedido a extender indebidamente la suspensión automática del art. 161.2 CE a un supuesto de hecho para el que no está prevista ni puede ser aplicada por analogía. El presente procedimiento no es un procedimiento autónomo de impugnación de una resolución parlamentaria (como el dirigido contra la resolución 1/XI, que concluyó con la STC 259/2015), sino un incidente de ejecución (de la STC 259/2015 y del ATC 141/2016) que se tramita de acuerdo con los arts. 87 y 92 LOTC, al que no resulta de aplicación la suspensión automática del art. 161.2 CE, reservada (aparte del recurso de inconstitucionalidad contra leyes autonómicas, </w:t>
      </w:r>
      <w:r w:rsidRPr="001D6FAE">
        <w:rPr>
          <w:i/>
        </w:rPr>
        <w:t>ex</w:t>
      </w:r>
      <w:r>
        <w:t xml:space="preserve"> art. 30 LOTC y de los conflictos positivos de competencia, </w:t>
      </w:r>
      <w:r w:rsidRPr="001D6FAE">
        <w:rPr>
          <w:i/>
        </w:rPr>
        <w:t>ex</w:t>
      </w:r>
      <w:r>
        <w:t xml:space="preserve"> art. 62 LOTC) para las acciones mediante las cuales se “impugna directamente” una resolución o una disposición sin fuerza de ley emanada de cualquier órgano de las Comunidades Autónomas, lo que da lugar al inicio del procedimiento establecido en el título V LOTC.</w:t>
      </w:r>
    </w:p>
    <w:p w:rsidR="001D6FAE" w:rsidRDefault="001D6FAE" w:rsidP="001D6FAE">
      <w:pPr>
        <w:pStyle w:val="TextoNormal"/>
      </w:pPr>
    </w:p>
    <w:p w:rsidR="001D6FAE" w:rsidRDefault="001D6FAE" w:rsidP="001D6FAE">
      <w:pPr>
        <w:pStyle w:val="TextoNormal"/>
      </w:pPr>
      <w:r>
        <w:t>La improcedente aplicación de lo dispuesto en el art. 161.2 CE en el marco de un incidente de ejecución limita indebidamente el ejercicio de las funciones parlamentarias y también la capacidad de decisión del propio Tribunal Constitucional, pues supone que la suspensión sea automática al ser invocado dicho precepto por el Gobierno, sin que el Tribunal pueda llevar a cabo una valoración inicial, ponderando las circunstancias concurrentes en el caso concreto y previa audiencia a las partes, sobre la pertinencia de acordar o no la suspensión, como podría hacer al amparo de lo previsto en el art. 92.1 LOTC. En consecuencia, la suspensión de la resolución 263/XI debe ser dejada sin efecto inmediatamente.</w:t>
      </w:r>
    </w:p>
    <w:p w:rsidR="001D6FAE" w:rsidRDefault="001D6FAE" w:rsidP="001D6FAE">
      <w:pPr>
        <w:pStyle w:val="TextoNormal"/>
      </w:pPr>
    </w:p>
    <w:p w:rsidR="001D6FAE" w:rsidRDefault="001D6FAE" w:rsidP="001D6FAE">
      <w:pPr>
        <w:pStyle w:val="TextoNormal"/>
      </w:pPr>
      <w:r>
        <w:t>f) Por todo lo expuesto solicitan la desestimación del incidente de ejecución, porque la resolución 263/XI del Parlamento de Cataluña no contraviene la STC 259/2015 ni el ATC 141/2016, sin que proceda tampoco hacer los requerimientos y advertencias a la Presidenta del Parlamento, a los miembros de la Mesa y al Secretario General del Parlamento que se solicitan por la Abogacía del Estado en el escrito de interposición del incidente de ejecución, ni la adopción de ninguna de las medidas de ejecución previstas en el art. 92.4 LOTC, incluida la que se pide expresamente en relación con la Presidenta del Parlamento. Asimismo solicitan, por otrosí, que este Tribunal acuerde de forma inmediata dejar sin efecto la suspensión de la resolución 263/XI.</w:t>
      </w:r>
    </w:p>
    <w:p w:rsidR="001D6FAE" w:rsidRDefault="001D6FAE" w:rsidP="001D6FAE">
      <w:pPr>
        <w:pStyle w:val="TextoNormal"/>
      </w:pPr>
    </w:p>
    <w:p w:rsidR="001D6FAE" w:rsidRDefault="001D6FAE" w:rsidP="001D6FAE">
      <w:pPr>
        <w:pStyle w:val="TextoNormal"/>
      </w:pPr>
      <w:r w:rsidRPr="001D6FAE">
        <w:rPr>
          <w:rStyle w:val="NumeroAFNegritaCaracter"/>
        </w:rPr>
        <w:t>12</w:t>
      </w:r>
      <w:r>
        <w:t>. Con fecha 12 de septiembre de 2016 tuvo entrada en el Registro General de este Tribunal el informe emitido por la Presidenta del Parlamento de Cataluña, doña Carme Forcadell i Lluis, en contestación al requerimiento contenido en el apartado 5 de la providencia de este Tribunal de 1 de agosto de 2016, a los efectos del art. 92.4 LOTC.</w:t>
      </w:r>
    </w:p>
    <w:p w:rsidR="001D6FAE" w:rsidRDefault="001D6FAE" w:rsidP="001D6FAE">
      <w:pPr>
        <w:pStyle w:val="TextoNormal"/>
      </w:pPr>
    </w:p>
    <w:p w:rsidR="001D6FAE" w:rsidRDefault="001D6FAE" w:rsidP="001D6FAE">
      <w:pPr>
        <w:pStyle w:val="TextoNormal"/>
      </w:pPr>
      <w:r>
        <w:t>Tras referirse a la secuencia de actuaciones parlamentarias que culminan con la aprobación resolución 263/XI, por la que se ratifican las conclusiones de la Comisión de Estudio del Proceso Constituyente, sostiene la Presidenta del Parlamento que su intervención en ningún momento ha supuesto una contravención de la STC 259/2015 ni del ATC 141/2016.</w:t>
      </w:r>
    </w:p>
    <w:p w:rsidR="001D6FAE" w:rsidRDefault="001D6FAE" w:rsidP="001D6FAE">
      <w:pPr>
        <w:pStyle w:val="TextoNormal"/>
      </w:pPr>
    </w:p>
    <w:p w:rsidR="001D6FAE" w:rsidRDefault="001D6FAE" w:rsidP="001D6FAE">
      <w:pPr>
        <w:pStyle w:val="TextoNormal"/>
      </w:pPr>
      <w:r>
        <w:t>Afirma que la ratificación por el Pleno del informe y las conclusiones de la Comisión de Estudio del Proceso Constituyente no constituye un incumplimiento de la STC 259/2015, que declaró la nulidad de la resolución 1/XI, pues ese informe y conclusiones no derivan de la anulada resolución 1/XI, por lo que no existe ningún nexo o relación de dependencia jurídica entre la resolución 1/XI y la resolución 263/XI. Dar a la STC 259/2015 un valor anulatorio que se extienda más allá del contenido explícito de la resolución l/XI supondría situar en una absoluta inseguridad jurídica a los diputados del Parlamento y los miembros de la Mesa, obstaculizar cualquier iniciativa parlamentaria que pudiera entenderse que guarda alguna relación, siquiera indirecta, con la resolución l/XI y laminar los principios básicos de la democracia y el pluralismo político y el derecho de participación política de los ciudadanos.</w:t>
      </w:r>
    </w:p>
    <w:p w:rsidR="001D6FAE" w:rsidRDefault="001D6FAE" w:rsidP="001D6FAE">
      <w:pPr>
        <w:pStyle w:val="TextoNormal"/>
      </w:pPr>
    </w:p>
    <w:p w:rsidR="001D6FAE" w:rsidRDefault="001D6FAE" w:rsidP="001D6FAE">
      <w:pPr>
        <w:pStyle w:val="TextoNormal"/>
      </w:pPr>
      <w:r>
        <w:t>Tampoco existe incumplimiento del ATC 141/2016 en la actuación de la Presidenta. Destaca que el 22 de julio de 2016 convocó el Pleno para los días 26 a 28 de julio, sin introducir en el orden del día el punto de votación de las conclusiones de la Comisión de Estudio del Proceso Constituyente, requerido en la Junta de Portavoces del día 20 de julio. Fue durante la sesión plenaria del día 27 de julio cuando los grupos JxS y CUP pidieron la modificación del orden del día en virtud del art. 81.3 RPC, para introducir la votación de la ratificación del informe y conclusiones de dicha comisión parlamentaria, ante lo cual la Presidenta, asesorada por el Secretario General y el Letrado Mayor, advirtió a los grupos parlamentarios solicitantes, de la existencia del ATC 141/2016, al que se dio lectura, dándose los mismos por advertidos y reiterando su solicitud, por lo que se procedió a la votación del cambio en el orden del día, que resultó aprobado por mayoría absoluta. A continuación se sometieron a debate y votación el informe y las conclusiones de la Comisión de Estudio del Proceso Constituyente, que fueron aprobadas por mayoría absoluta mediante la resolución 263/XI. Considera que, más allá de esa advertencia acerca de la existencia del ATC 141/2016 ni la Mesa ni la Presidenta tenían capacidad para limitar el poder de los diputados reunidos en Pleno. Iniciada la sesión plenaria, la Presidenta tenía estrictamente la función de dirigir el debate y cumplir y hacer cumplir el Reglamento de la Cámara (art. 39.1 RPC), en la medida que de acuerdo con el art. 71 RPC, el Pleno es el órgano supremo del Parlamento de Cataluña. Las actuaciones realizadas por la Presidenta durante la tramitación en pleno de 1a solicitud de modificación del orden del día por parte de dos grupos parlamentarios eran actos debidos, de acuerdo con el art. 81.3 RPC, pues la Presidenta no tiene capacidad alguna para inaplicar el Reglamento. En fin, la decisión de modificar el orden del día para incorporar la votación del informe y las conclusiones de la Comisión de Estudio del Proceso Constituyente fue del Pleno y no de la Presidenta.</w:t>
      </w:r>
    </w:p>
    <w:p w:rsidR="001D6FAE" w:rsidRDefault="001D6FAE" w:rsidP="001D6FAE">
      <w:pPr>
        <w:pStyle w:val="TextoNormal"/>
      </w:pPr>
    </w:p>
    <w:p w:rsidR="001D6FAE" w:rsidRDefault="001D6FAE" w:rsidP="001D6FAE">
      <w:pPr>
        <w:pStyle w:val="TextoNormal"/>
      </w:pPr>
      <w:r>
        <w:t xml:space="preserve">Afirma que aun el caso de que la Presidenta hubiera podido legalmente impedir la votación de la ratificación en el Pleno del informe y las conclusiones de la Comisión de Estudio del Proceso Constituyente (lo que descarta), hubieran existido dudas más que razonables sobre su obligación de impedir esa votación en base al ATC 141/2016, pues en este el Tribunal Constitucional no declara la nulidad o suspensión de la resolución 5/XI, ni tampoco la nulidad o suspensión de las conclusiones aprobadas el 18 de julio de 2016 por la referida comisión parlamentaria, de forma clara, explícita e inequívoca, pese a que ya conocía la aprobación de esas conclusiones en el momento de dictar dicho Auto. Al no existir ninguna declaración expresa de nulidad o suspensión, no se puede considerar que una actuación parlamentaria de ratificación realizada en aplicación del Reglamento de la Cámara contravenga ninguna resolución del Tribunal Constitucional. El Pleno ratificó el informe y las conclusiones de la Comisión de Estudio del Proceso Constituyente, lo que obliga a valorar el informe como un todo, teniendo en cuenta todas las comparecencias realizadas en dicha comisión y las propuestas de conclusiones de los grupos parlamentarios. En suma, el informe y las conclusiones debían expresar lo que en la comisión se estudió y esa actividad de estudio y análisis no puede entenderse como contraria a ninguna resolución judicial, en la medida que la Constitución no prohíbe ni pone límites al debate político sino, al contrario, ampara el derecho a defender, analizar y estudiar cualquier idea política. El propio Tribunal Constitucional ha destacado, como uno de los fundamentos del sistema democrático, que el Parlamento es la sede natural del debate político </w:t>
      </w:r>
      <w:r w:rsidRPr="001D6FAE">
        <w:rPr>
          <w:i/>
        </w:rPr>
        <w:t>y</w:t>
      </w:r>
      <w:r>
        <w:t xml:space="preserve"> que el eventual resultado del debate parlamentario es cuestión que no debe condicionar anticipadamente el desarrollo del debate (AATC 135/2004 y 189/2015).</w:t>
      </w:r>
    </w:p>
    <w:p w:rsidR="001D6FAE" w:rsidRDefault="001D6FAE" w:rsidP="001D6FAE">
      <w:pPr>
        <w:pStyle w:val="TextoNormal"/>
      </w:pPr>
    </w:p>
    <w:p w:rsidR="001D6FAE" w:rsidRDefault="001D6FAE" w:rsidP="001D6FAE">
      <w:pPr>
        <w:pStyle w:val="TextoNormal"/>
      </w:pPr>
      <w:r>
        <w:t>Por otra parte, el derecho de participación política de los cargos representativos (art. 23.2 CE) implica el de mantenerse en ellos y desempeñarlos sin constricciones ni perturbaciones ilegítimas. Ello impone la necesidad de reconocer a la libertad de expresión (art. 20 CE) de los representantes políticos en el ejercicio de sus funciones parlamentarias una mayor amplitud que en otros contextos, ya que el bien jurídico fundamental tutelado, el de la formación de una opinión política libre, adquiere un relieve particular en esta circunstancia, haciéndola especialmente resistente a las restricciones que en otros ámbitos podrían operar, conforme a la doctrina constitucional (cita las SSTC 10/1983, 32/1985, 136/1999, 200/2014 y 107/2016) y la jurisprudencia del Tribunal Europeo de Derechos Humanos (STEDH de 15 de octubre de 2015).</w:t>
      </w:r>
    </w:p>
    <w:p w:rsidR="001D6FAE" w:rsidRDefault="001D6FAE" w:rsidP="001D6FAE">
      <w:pPr>
        <w:pStyle w:val="TextoNormal"/>
      </w:pPr>
    </w:p>
    <w:p w:rsidR="001D6FAE" w:rsidRDefault="001D6FAE" w:rsidP="001D6FAE">
      <w:pPr>
        <w:pStyle w:val="TextoNormal"/>
      </w:pPr>
      <w:r>
        <w:t>La votación de modificación del orden del día que dos grupos parlamentarios propusieron que se llevara a cabo en sesión plenaria era plenamente conforme con lo dispuesto en el art. 81.3 RPC. Si se hubiera impedido dicha votación se habría incumplido el Reglamento de la Cámara y además se habría afectado al núcleo de los derechos y facultades de los representantes públicos (</w:t>
      </w:r>
      <w:r w:rsidRPr="001D6FAE">
        <w:rPr>
          <w:i/>
        </w:rPr>
        <w:t>ius in officium</w:t>
      </w:r>
      <w:r>
        <w:t>), en la medida que resulta palmario que dicha solicitud viene directamente relacionada con su mandato representativo. Esa afectación habría alcanzado no solo a los diputados que propusieron la modificación del orden del día, sino a todos los diputados de la Cámara, teniendo en cuenta que todos los grupos parlamentarios, incluso los totalmente opuestos a la inclusión de ese punto en el orden del día, utilizaron su turno de palabra en el debate de ratificación del informe y las conclusiones de la Comisión de Estudio del Proceso Constituyente para defender su posición política. Con ello se habría afectado de forma irreparable al proceso de formación y exteriorización de la voluntad política democrática.</w:t>
      </w:r>
    </w:p>
    <w:p w:rsidR="001D6FAE" w:rsidRDefault="001D6FAE" w:rsidP="001D6FAE">
      <w:pPr>
        <w:pStyle w:val="TextoNormal"/>
      </w:pPr>
    </w:p>
    <w:p w:rsidR="001D6FAE" w:rsidRDefault="001D6FAE" w:rsidP="001D6FAE">
      <w:pPr>
        <w:pStyle w:val="TextoNormal"/>
      </w:pPr>
      <w:r>
        <w:t>Considera asimismo la Presidenta del Parlamento que las medidas del art. 92.4 LOTC, que solicita la Abogacía del Estado en su escrito por el que promueve el incidente de ejecución, resultan inaplicables. Dicho precepto resulta de la reforma introducida por la Ley Orgánica 15/2015, de 16 de octubre, sobre la que penden sendos recursos de inconstitucionalidad, por lo que sería imprudente que el Tribunal Constitucional resolviese aplicar el art. 92.4 LOTC antes de dictar sentencia resolviendo aquellos recursos. A ello debe añadirse que las medidas previstas en el art. 92.4 LOTC resultan inaplicables en todo caso a los diputados del Parlamento de Cataluña, a los miembros de la Mesa y a su Presidenta, por cuanto:</w:t>
      </w:r>
    </w:p>
    <w:p w:rsidR="001D6FAE" w:rsidRDefault="001D6FAE" w:rsidP="001D6FAE">
      <w:pPr>
        <w:pStyle w:val="TextoNormal"/>
      </w:pPr>
    </w:p>
    <w:p w:rsidR="001D6FAE" w:rsidRDefault="001D6FAE" w:rsidP="001D6FAE">
      <w:pPr>
        <w:pStyle w:val="TextoNormal"/>
      </w:pPr>
      <w:r>
        <w:t>i) el ATC 141/2016 incluye una obligación de no hacer o de paralizar (por tanto de carácter pasivo), mientras que las medidas de multa coercitiva y de ejecución sustitutoria de las letras a) y c) del art. 92.4 LOTC están previstas para las obligaciones de hacer derivadas de las resoluciones del Tribunal Constitucional. Su finalidad no es la de sancionar, sino la de conseguir que los afectados lleven a cabo mandatos de hacer, por lo que tales medidas resultarían inaplicables en este caso.</w:t>
      </w:r>
    </w:p>
    <w:p w:rsidR="001D6FAE" w:rsidRDefault="001D6FAE" w:rsidP="001D6FAE">
      <w:pPr>
        <w:pStyle w:val="TextoNormal"/>
      </w:pPr>
    </w:p>
    <w:p w:rsidR="001D6FAE" w:rsidRDefault="001D6FAE" w:rsidP="001D6FAE">
      <w:pPr>
        <w:pStyle w:val="TextoNormal"/>
      </w:pPr>
      <w:r>
        <w:t xml:space="preserve">ii) la medida de suspensión de funciones prevista en la letra b) del art. 92.4 LOTC, que atribuye una capacidad sancionadora </w:t>
      </w:r>
      <w:r w:rsidRPr="001D6FAE">
        <w:rPr>
          <w:i/>
        </w:rPr>
        <w:t>ad extra</w:t>
      </w:r>
      <w:r>
        <w:t xml:space="preserve"> al Tribunal, resulta de dudosa constitucionalidad, toda vez que solo está prevista en nuestro ordenamiento jurídico como medida provisional o definitiva en el ámbito disciplinario al que están sujetos los funcionarios públicos y como pena privativa de derechos en el ámbito de la jurisdicción penal, y conlleva la privación del ejercicio de derechos fundamentales (art. 23 CE) sin encontrarse amparada en las previsiones del título IX de la Constitución y sin adecuarse al modelo de justicia constitucional que esta configura. Pero aunque esta medida fuera considerada constitucional, en cuanto se refiere a “las autoridades o empleados públicos de la Administración responsable del incumplimiento” no sería aplicable a los miembros del Parlamento, teniendo en cuenta que el Parlamento no es Administración y que las normas restrictivas de derechos no pueden interpretarse de manera extensiva ni analógica. A ello debe añadirse que la incorporación de un límite temporal (“durante el tiempo preciso para asegurar lo observancia de los pronunciamientos del Tribunal”) implica que en las obligaciones de no hacer, o paralizar, este período no pueda ser definido, lo cual supondría que la aplicación de la medida en dichos casos fuera más una sanción que una garantía de cumplimiento de sentencia, y por tanto contravendría la esencia misma de 1a medida, cuya supuesta finalidad es conseguir el cumplimiento de las resoluciones del Tribunal Constitucional y no la de sancionar.</w:t>
      </w:r>
    </w:p>
    <w:p w:rsidR="001D6FAE" w:rsidRDefault="001D6FAE" w:rsidP="001D6FAE">
      <w:pPr>
        <w:pStyle w:val="TextoNormal"/>
      </w:pPr>
    </w:p>
    <w:p w:rsidR="001D6FAE" w:rsidRDefault="001D6FAE" w:rsidP="001D6FAE">
      <w:pPr>
        <w:pStyle w:val="TextoNormal"/>
      </w:pPr>
      <w:r>
        <w:t>iii) Las cámaras parlamentarias, en el ejercicio de su función representativa, no pueden entrar en el ámbito de aplicación de ninguna de las medidas del art. 92.4 LOTC, toda vez que los parlamentarios, como cargos electos amparados por el art. 23 CE, son inviolables en el ejercicio de sus funciones, en garantía de su mandato representativo obtenido de la ciudadanía (art. 71 CE, art. 57.1 EAC, art. 21 RPC). La aplicación de las medidas del art. 92.4 LOTC lesionaría gravemente el derecho fundamental al ejercicio de funciones y cargos públicos representativos del art 23 CE, además de afectar al derecho a la autonomía consagrado en los arts. 2, 137 y 143 CE. Además, la imposición a los miembros del Parlamento y de la Mesa de la obligación de abstenerse de realizar cualquier actuación tendente a dar cumplimiento a la resolución 263/XI, así como de impedir o paralizar cualquier iniciativa que suponga ignorar o eludir la STC 259/2015 y el ATC 141/2016, y la prohibición expresa de convocar a los órganos del Parlamento para debatir o votar ninguna iniciativa que directa o indirectamente pretenda dar cumplimiento a la resolución 263/XI, provocaría efectos irreparables para el ejercicio de las funciones del Parlamento y el principio democrático que sustenta su funcionamiento, pues la adopción de tales medidas obligaría a la Mesa a realizar un juicio de oportunidad política previo a 1a tramitación de cualquier iniciativa, que resulta contrario a la propia jurisprudencia constitucional, conforme a la cual la función principal de las Mesas consiste en controlar la regularidad jurídica y viabilidad formal o procesal de las iniciativas presentadas, por lo no deben inadmitir propuestas por la supuesta inconstitucionalidad de su contenido, pues de esa forma estarían infringiendo el derecho de representación de los parlamentarios autores de la iniciativa de que se trate, que forma parte de</w:t>
      </w:r>
      <w:r w:rsidRPr="001D6FAE">
        <w:rPr>
          <w:i/>
        </w:rPr>
        <w:t>l ius in offici</w:t>
      </w:r>
      <w:r>
        <w:t>um.</w:t>
      </w:r>
    </w:p>
    <w:p w:rsidR="001D6FAE" w:rsidRDefault="001D6FAE" w:rsidP="001D6FAE">
      <w:pPr>
        <w:pStyle w:val="TextoNormal"/>
      </w:pPr>
    </w:p>
    <w:p w:rsidR="001D6FAE" w:rsidRDefault="001D6FAE" w:rsidP="001D6FAE">
      <w:pPr>
        <w:pStyle w:val="TextoNormal"/>
      </w:pPr>
      <w:r>
        <w:t>Defiende también la Presidenta del Parlamento de Cataluña que no cabe que le sea aplicada la medida de ejecución prevista en la letra d) del art. 92.4 LOTC, consistente en deducir testimonio de particulares para exigir la responsabilidad penal en que pudiera haber incurrido por haber permitido el debate y votación en el Pleno tanto de la inclusión en el orden del día como el sometimiento a ratificación del informe y las conclusiones de la Comisión de Estudio del Proceso Constituyente. Esa supuesta responsabilidad es inexistente, de acuerdo con lo anteriormente alegado, a lo que se añade que la actuación de la Presidenta del Parlamento habría quedado amparada, en cualquier caso, por la inviolabilidad parlamentaria de que disfrutan los diputados por las opiniones y votos emitidos en el ejercicio de sus funciones (art. 57.1 EAC y art. 21 RPC), conforme a la doctrina constitucional (SSTC 51/1985, 243/1988, 22/1997 y 78/2016). La actuación de la Presidenta del Parlamento se produjo en el legítimo ejercicio de las funciones inherentes a su cargo (art. 39.1 RPC) y se tradujo en actos de inequívoca naturaleza parlamentaria, cuya autonomía protege la prerrogativa de inviolabilidad. Negar la aplicación de la inviolabilidad parlamentaria en este caso supondría también negar la protección de la libertad de expresión en el seno del Parlamento y la protección de una democracia política efectiva, y vulnerar la separación de los poderes legislativo y judicial, como así lo pone de relieve el Tribunal Europeo de Derechos Humanos en su Sentencia de 16 de septiembre de 2014.</w:t>
      </w:r>
    </w:p>
    <w:p w:rsidR="001D6FAE" w:rsidRDefault="001D6FAE" w:rsidP="001D6FAE">
      <w:pPr>
        <w:pStyle w:val="TextoNormal"/>
      </w:pPr>
    </w:p>
    <w:p w:rsidR="001D6FAE" w:rsidRDefault="001D6FAE" w:rsidP="001D6FAE">
      <w:pPr>
        <w:pStyle w:val="TextoNormal"/>
      </w:pPr>
      <w:r>
        <w:t>Sostiene por último la Presidenta del Parlamento de Cataluña que lo dispuesto en el art. 161.2 CE es aplicable únicamente en los procedimientos impugnatorios de resoluciones de las Comunidades Autónomas y no en los incidentes de ejecución, por lo que no cabe extender la suspensión automática del art. 161.2 CE a un supuesto de hecho para el que no está prevista ni en la Constitución ni en la Ley Orgánica del Tribunal Constitucional, máxime teniendo en cuenta los graves efectos, incluida la responsabilidad penal, que el Tribunal puede dar al incumplimiento de dicha suspensión.</w:t>
      </w:r>
    </w:p>
    <w:p w:rsidR="001D6FAE" w:rsidRDefault="001D6FAE" w:rsidP="001D6FAE">
      <w:pPr>
        <w:pStyle w:val="TextoNormal"/>
      </w:pPr>
    </w:p>
    <w:p w:rsidR="001D6FAE" w:rsidRDefault="001D6FAE" w:rsidP="001D6FAE">
      <w:pPr>
        <w:pStyle w:val="TextoNormal"/>
      </w:pPr>
      <w:r>
        <w:t>Por todo lo expuesto interesa que este Tribunal acuerde que no ha lugar a la adopción de ninguna de las medidas de ejecución previstas en el art. 92.4 LOTC.</w:t>
      </w:r>
    </w:p>
    <w:p w:rsidR="001D6FAE" w:rsidRDefault="001D6FAE" w:rsidP="001D6FAE">
      <w:pPr>
        <w:pStyle w:val="TextoNormal"/>
      </w:pPr>
    </w:p>
    <w:p w:rsidR="001D6FAE" w:rsidRDefault="001D6FAE" w:rsidP="001D6FAE">
      <w:pPr>
        <w:pStyle w:val="TextoNormal"/>
      </w:pPr>
      <w:r w:rsidRPr="001D6FAE">
        <w:rPr>
          <w:rStyle w:val="NumeroAFNegritaCaracter"/>
        </w:rPr>
        <w:t>13</w:t>
      </w:r>
      <w:r>
        <w:t>. El 13 de septiembre de 2016 tuvo entrada en el Registro General de este Tribunal el informe emitido por el Secretario tercero de la Mesa del Parlamento de Cataluña, don Joan Josep Nuet i Canals, del grupo Catalunya sí que es pot, en contestación al requerimiento contenido en el apartado 5 de la providencia de este Tribunal de 1 de agosto de 2016, a los efectos del art. 92.4 LOTC.</w:t>
      </w:r>
    </w:p>
    <w:p w:rsidR="001D6FAE" w:rsidRDefault="001D6FAE" w:rsidP="001D6FAE">
      <w:pPr>
        <w:pStyle w:val="TextoNormal"/>
      </w:pPr>
    </w:p>
    <w:p w:rsidR="001D6FAE" w:rsidRDefault="001D6FAE" w:rsidP="001D6FAE">
      <w:pPr>
        <w:pStyle w:val="TextoNormal"/>
      </w:pPr>
      <w:r>
        <w:t>Expone que, aunque votó en contra de la aprobación de la resolución 263/XI (al igual que votó en contra de la aprobación de la resolución 1/XI), está convencido de que el Pleno del Parlamento de Cataluña no ha vulnerado ningún precepto constitucional y tiene derecho a adoptar aquellas resoluciones que sean fruto de la iniciativa de los diputados y de los grupos parlamentarios. Por otra parte, la STC 259/2015, que anuló la resolución 1/XI, no incluye la prohibición expresa de admitir a trámite, para su toma en consideración o su debate y votación en el Parlamento de Cataluña, cualquier iniciativa de carácter legislativo o de otra índole que directa o indirectamente pretenda dar cumplimiento a dicha resolución.</w:t>
      </w:r>
    </w:p>
    <w:p w:rsidR="001D6FAE" w:rsidRDefault="001D6FAE" w:rsidP="001D6FAE">
      <w:pPr>
        <w:pStyle w:val="TextoNormal"/>
      </w:pPr>
    </w:p>
    <w:p w:rsidR="001D6FAE" w:rsidRDefault="001D6FAE" w:rsidP="001D6FAE">
      <w:pPr>
        <w:pStyle w:val="TextoNormal"/>
      </w:pPr>
      <w:r>
        <w:t>Sostiene también que la resolución 263/XI tiene carácter declarativo y no puede ser tratada de forma análoga situaciones en las que la suspensión o la declaración de inconstitucionalidad y nulidad afecta a una ley o a una disposición de carácter general. Las resoluciones parlamentarias como la resolución 1/XI o la resolución 263/XI son fruto del ejercicio de la función de impulso de la acción política y de gobierno; por consiguiente, se trata de actos de naturaleza esencialmente política que expresan una voluntad dirigida al Gobierno o la ciudadanía, que carecen de efectos jurídicos y que únicamente son fiscalizables mediante los mecanismos de control político previstos en los reglamentos parlamentarios. Es necesario, por ello, desde la perspectiva del control de constitucionalidad, aplicar un criterio especialmente mesurado en esta materia, para evitar que la STC 259/2015 derive en un cuestionamiento global de las funciones del Parlamento de Cataluña.</w:t>
      </w:r>
    </w:p>
    <w:p w:rsidR="001D6FAE" w:rsidRDefault="001D6FAE" w:rsidP="001D6FAE">
      <w:pPr>
        <w:pStyle w:val="TextoNormal"/>
      </w:pPr>
    </w:p>
    <w:p w:rsidR="001D6FAE" w:rsidRDefault="001D6FAE" w:rsidP="001D6FAE">
      <w:pPr>
        <w:pStyle w:val="TextoNormal"/>
      </w:pPr>
      <w:r>
        <w:t xml:space="preserve">Las funciones parlamentarias están directamente conectadas con el art. 23 CE, esto es, con el derecho de participación política, del que forma parte el derecho de iniciativa parlamentaria, como </w:t>
      </w:r>
      <w:r w:rsidRPr="001D6FAE">
        <w:rPr>
          <w:i/>
        </w:rPr>
        <w:t>ius in officium</w:t>
      </w:r>
      <w:r>
        <w:t xml:space="preserve"> de los diputados y de los grupos parlamentarios y que supone el derecho a poner en marcha un procedimiento parlamentario en el que se tramite y debata libremente esa iniciativa (ATC 135/2004 y STC 42/2014). En todo caso, la voluntad del Parlamento no se expresa sino mediante la adopción del acto que ponga fin a ese procedimiento parlamentario, siendo de este acto final del que se puede predicar una eventual infracción de la obligación de cumplir una resolución del Tribunal Constitucional, nunca de la iniciativa, que puede sufrir modificaciones sustanciales durante la tramitación parlamentaria. De ahí que, conforme a la doctrina constitucional, el control que pueden llevar a cabo las Mesas sobre la admisión a trámite de la iniciativas parlamentarias se limite a la verificación de los requisitos formales exigidos por el reglamento de la Cámara, excluyendo que puedan realizar un juicio de oportunidad sobre el contenido de la propuesta.</w:t>
      </w:r>
    </w:p>
    <w:p w:rsidR="001D6FAE" w:rsidRDefault="001D6FAE" w:rsidP="001D6FAE">
      <w:pPr>
        <w:pStyle w:val="TextoNormal"/>
      </w:pPr>
    </w:p>
    <w:p w:rsidR="001D6FAE" w:rsidRDefault="001D6FAE" w:rsidP="001D6FAE">
      <w:pPr>
        <w:pStyle w:val="TextoNormal"/>
      </w:pPr>
      <w:r>
        <w:t>Afirma también que, si bien se opuso al método utilizado para incluir en el orden del día del Pleno del Parlamento del 27 de julio de 2016 el punto relativo a la propuesta de ratificación del informe y las conclusiones de la Comisión de Estudio del Proceso Constituyente, su rechazo y voto contrario a la resolución 263/XI no estuvo motivado por dichas circunstancias ni por pensar que esas conclusiones pudieran contravenir la STC 259/2015 o el ATC 141/2016. Entiende que se cumplían los requisitos formales establecidos por el Reglamento de la Cámara para la admisión a trámite de las iniciativas parlamentarias, que es lo único que a la Mesa correspondía verificar. Y aunque el art. 92 LOTC reconozca al Tribunal Constitucional la facultad de adoptar las medidas de ejecución necesarias para garantizar el cumplimiento de sus resoluciones, esas medidas no pueden nunca llegar a anular o subvertir los principios inherentes al funcionamiento de las cámaras parlamentarias y los derechos de sus miembros. Esos principios y derechos tienen reconocimiento y protección constitucional y estatutaria y deben ser respetados encontrando, en todo caso, soluciones que permitan su conciliación con la obligación de cumplimiento de las Sentencias y resoluciones del Tribunal Constitucional.</w:t>
      </w:r>
    </w:p>
    <w:p w:rsidR="001D6FAE" w:rsidRDefault="001D6FAE" w:rsidP="001D6FAE">
      <w:pPr>
        <w:pStyle w:val="TextoNormal"/>
      </w:pPr>
    </w:p>
    <w:p w:rsidR="001D6FAE" w:rsidRDefault="001D6FAE" w:rsidP="001D6FAE">
      <w:pPr>
        <w:pStyle w:val="TextoNormal"/>
      </w:pPr>
      <w:r>
        <w:t>Como consideraciones finales señala que el debate político en que se encuentra inmersa la sociedad catalana (y el conjunto de la sociedad española) es complejo y responde a los anhelos democráticos acumulados por una mayoría social en Cataluña y a la dificultad o imposibilidad de que los mismos tengan cabida en la Constitución de 1978 y el propio Estatuto de Autonomía de Cataluña. Por ello aboga por llevar a cabo los cambios necesarios para dar satisfacción a esa demanda social mediante el diálogo y el acuerdo entre las fuerzas políticas.</w:t>
      </w:r>
    </w:p>
    <w:p w:rsidR="001D6FAE" w:rsidRDefault="001D6FAE" w:rsidP="001D6FAE">
      <w:pPr>
        <w:pStyle w:val="TextoNormal"/>
      </w:pPr>
    </w:p>
    <w:p w:rsidR="001D6FAE" w:rsidRDefault="001D6FAE" w:rsidP="001D6FAE">
      <w:pPr>
        <w:pStyle w:val="TextoNormal"/>
      </w:pPr>
      <w:r w:rsidRPr="001D6FAE">
        <w:rPr>
          <w:rStyle w:val="NumeroAFNegritaCaracter"/>
        </w:rPr>
        <w:t>14</w:t>
      </w:r>
      <w:r>
        <w:t>. El 15 de septiembre de 2016 tuvo entrada en el Registro General de este Tribunal el informe emitido por el Secretario General del Parlamento de Cataluña, don Pere Sol i Ordis, en contestación al requerimiento contenido en el apartado 5 de la providencia de este Tribunal de 1 de agosto de 2016, a los efectos del art. 92.4 LOTC.</w:t>
      </w:r>
    </w:p>
    <w:p w:rsidR="001D6FAE" w:rsidRDefault="001D6FAE" w:rsidP="001D6FAE">
      <w:pPr>
        <w:pStyle w:val="TextoNormal"/>
      </w:pPr>
    </w:p>
    <w:p w:rsidR="001D6FAE" w:rsidRDefault="001D6FAE" w:rsidP="001D6FAE">
      <w:pPr>
        <w:pStyle w:val="TextoNormal"/>
      </w:pPr>
      <w:r>
        <w:t>Expone que el puesto de Secretario General del Parlamento de Cataluña se regula de manera principal en el art. 243 RPC, conforme al cual dicho puesto se incardina en la Administración parlamentaria y se halla reservado a un funcionario de carrera, en concreto un letrado del Parlamento, lo que conlleva una posición absolutamente distinta de los cargos y puestos de elección o designación política. Esta posición del Secretario General determina que actúe en todo caso sometido a la ley y al Derecho dentro de un estatuto profesional (los estatutos de régimen y gobierno interiores del Parlamento de Cataluña, por remisión del art. 241 RPC) y a los otros principios que rigen la función pública, entre los cuales destaca el de jerarquía. Al Secretario General se le atribuye por el Reglamento de la Cámara la asistencia a las sesiones de la Junta de Portavoces (art. 35.1 RPC) y el asesoramiento de la Mesa del Parlamento, cuyas actas le corresponde redactar y de la ejecución de cuyos acuerdos debe ocuparse, en este caso “bajo la dirección del Presidente” (art. 42.1 RPC). Los estatutos de régimen y gobierno interiores del Parlamento de Cataluña, por su lado, le atribuyen funciones meramente administrativas, básicamente de dirección del personal y de los servicios de la Cámara “de acuerdo con las instrucciones de su Presidente o Presidenta y de la Mesa”. El único ámbito en el que la actuación del Secretario General no está sometida a instrucciones o a la dirección de los órganos del gobierno parlamentario se encuentra en su función de asesoramiento, en el ejercicio de la cual, como el resto de los Letrados, debe actuar inspirándose en los principios de objetividad, de libertad de conciencia y de independencia profesional.</w:t>
      </w:r>
    </w:p>
    <w:p w:rsidR="001D6FAE" w:rsidRDefault="001D6FAE" w:rsidP="001D6FAE">
      <w:pPr>
        <w:pStyle w:val="TextoNormal"/>
      </w:pPr>
    </w:p>
    <w:p w:rsidR="001D6FAE" w:rsidRDefault="001D6FAE" w:rsidP="001D6FAE">
      <w:pPr>
        <w:pStyle w:val="TextoNormal"/>
      </w:pPr>
      <w:r>
        <w:t>Trascribe a continuación el art. 410 del Código penal (CP) y señala que lo dispuesto en este precepto obliga al Secretario General no solo a cumplir las resoluciones judiciales, sino también las decisiones u órdenes de la autoridad superior (en este caso, de la Presidenta y de la Mesa del Parlamento), “dictadas dentro del ámbito de su respectiva competencia y revestidas de las formalidades legales”. La responsabilidad penal del Secretario General por el incumplimiento de dichas resoluciones, decisiones u órdenes, solo desaparecería para el caso en que el mandato que contengan “constituya una infracción manifiesta, clara y terminante de un precepto de Ley o de cualquier otra disposición general”, tal como señala el Tribunal Supremo en su Sentencia 54/2008; se consagra así una verdadera causa de justificación respecto de aquellas conductas que impliquen la negativa a cumplir una resolución antijurídica y que, por su desviación respecto de los principios que definen el funcionamiento de nuestro sistema constitucional, no generan el deber de acatamiento.</w:t>
      </w:r>
    </w:p>
    <w:p w:rsidR="001D6FAE" w:rsidRDefault="001D6FAE" w:rsidP="001D6FAE">
      <w:pPr>
        <w:pStyle w:val="TextoNormal"/>
      </w:pPr>
    </w:p>
    <w:p w:rsidR="001D6FAE" w:rsidRDefault="001D6FAE" w:rsidP="001D6FAE">
      <w:pPr>
        <w:pStyle w:val="TextoNormal"/>
      </w:pPr>
      <w:r>
        <w:t>La precedente consideración se realiza porque en el escrito por el que se promueve el incidente de ejecución se solicita al Tribunal Constitucional que imponga al Secretario General del Parlamento de Cataluña la obligación de abstenerse de realizar cualesquiera actuaciones tendentes a dar cumplimiento a la resolución 263/XI, así como el deber de impedir o paralizar cualquier iniciativa que suponga ignorar o eludir la STC 259/2015 y ATC 141/2016, y también la prohibición expresa de convocar a los órganos del Parlamento para debatir y votar ninguna iniciativa que directa o indirectamente pretenda dar cumplimiento a la resolución 263/XI. Esta petición de la Abogacía del Estado no tiene en cuenta que las obligaciones y prohibiciones que pretende se impongan al Secretario General, especialmente aquellas que signifiquen no dar cumplimiento a las decisiones u órdenes de los órganos de gobierno del Parlamento catalán en el ámbito estrictamente parlamentario, como pueda ser la ejecución material de las convocatorias de los órganos parlamentarios, no solo contravendría el art. 410.1 CP, sino que podría constituir un delito de los previstos en el capítulo 111 del título XXI CP, especialmente los arts. 497 y 499, sin perjuicio de que, en la medida que tales actuaciones pudieran conllevar una limitación del derecho fundamental del art. 23 CE, también se incurriría en el delito del art. 542 CP.</w:t>
      </w:r>
    </w:p>
    <w:p w:rsidR="001D6FAE" w:rsidRDefault="001D6FAE" w:rsidP="001D6FAE">
      <w:pPr>
        <w:pStyle w:val="TextoNormal"/>
      </w:pPr>
    </w:p>
    <w:p w:rsidR="001D6FAE" w:rsidRDefault="001D6FAE" w:rsidP="001D6FAE">
      <w:pPr>
        <w:pStyle w:val="TextoNormal"/>
      </w:pPr>
      <w:r>
        <w:t>La providencia del Tribunal Constitucional de 1 de agosto de 2016 no acoge en toda su extensión la referida petición del Abogado del Estado, por lo que podría entenderse —continúa el Secretario General— que lo no incluido expresamente queda tácitamente excluido, y que posiblemente el Tribunal haya tenido en cuenta que lo que reclama la representación procesal del Presidente del Gobierno en funciones implicaría un posicionamiento no solo sobre el contenido de una determinada propuesta parlamentaria y su tramitación, sino también sobre el eventual resultado de las votaciones que se puedan producir, de manera que una prohibición de semejantes características podría implicar una suspensión de facto y con carácter general de las funciones de la Presidenta y la Mesa del Parlamento en este ámbito establecidas en el art. 37.3 RPC, en contravención de la propia doctrina constitucional sobre las iniciativas parlamentarias y las facultades de control de las Mesas de las Cámaras de esas iniciativas, conforme a la cual las Mesas han de limitar sus facultades de calificación y admisión a trámite al exclusivo examen de los requisitos reglamentariamente establecidos (entre otras, STC 78/2006, FJ 3).</w:t>
      </w:r>
    </w:p>
    <w:p w:rsidR="001D6FAE" w:rsidRDefault="001D6FAE" w:rsidP="001D6FAE">
      <w:pPr>
        <w:pStyle w:val="TextoNormal"/>
      </w:pPr>
    </w:p>
    <w:p w:rsidR="001D6FAE" w:rsidRDefault="001D6FAE" w:rsidP="001D6FAE">
      <w:pPr>
        <w:pStyle w:val="TextoNormal"/>
      </w:pPr>
      <w:r>
        <w:t>Conforme a lo expuesto sostiene el Secretario General del Parlamento de Cataluña que su actuación en relación con los actos parlamentarios que dieron lugar a la aprobación de la resolución 263/XI no fue ni podía ir más allá del mero asesoramiento, porque en ningún caso las atribuciones y las funciones que le corresponden al Secretario General incluyen alguna que le permita decidir sobre la admisibilidad o no de una iniciativa parlamentaria y aún menos cuando la admisibilidad se fundamente no en los aspectos formales establecidos reglamentariamente, sino en el resultado que se produciría si la iniciativa efectivamente prospera.</w:t>
      </w:r>
    </w:p>
    <w:p w:rsidR="001D6FAE" w:rsidRDefault="001D6FAE" w:rsidP="001D6FAE">
      <w:pPr>
        <w:pStyle w:val="TextoNormal"/>
      </w:pPr>
    </w:p>
    <w:p w:rsidR="001D6FAE" w:rsidRDefault="001D6FAE" w:rsidP="001D6FAE">
      <w:pPr>
        <w:pStyle w:val="TextoNormal"/>
      </w:pPr>
      <w:r>
        <w:t>Relata a continuación de manera sucinta las actuaciones parlamentarias que dieron lugar a la aprobación de la resolución 263/XI, destacando que el 22 de julio de 2016 la Presidenta convocó el Pleno para el 26 de julio y siguientes sin incluir en el orden del día ninguna referencia a la votación del informe y las conclusiones de la Comisión de Estudio del Proceso Constituyente aprobadas por esta los días 18 y 19 de julio, que había solicitado la mayoría en la Junta de Portavoces del 20 de julio. Señala también que, de conformidad con el art. 81.3 RPC, el orden del día del Pleno puede ser alterado si así lo acuerda este, a propuesta del Presidente o a petición de dos grupos parlamentarios o de una quinta parte de los miembros del Parlamento, y cuando así lo obliga el cumplimiento de una ley, siendo así que durante la reunión del Pleno de la mañana del 27 de julio dos grupos parlamentarios, amparándose en dicho precepto, pidieron al Pleno que se incluyera en el orden del día el debate y la votación de la ratificación del informe y las conclusiones de la Comisión de Estudio del Proceso Constituyente.</w:t>
      </w:r>
    </w:p>
    <w:p w:rsidR="001D6FAE" w:rsidRDefault="001D6FAE" w:rsidP="001D6FAE">
      <w:pPr>
        <w:pStyle w:val="TextoNormal"/>
      </w:pPr>
    </w:p>
    <w:p w:rsidR="001D6FAE" w:rsidRDefault="001D6FAE" w:rsidP="001D6FAE">
      <w:pPr>
        <w:pStyle w:val="TextoNormal"/>
      </w:pPr>
      <w:r>
        <w:t>Pese a que la inclusión de ese punto en el orden del día resultaba conforme a lo dispuesto en el art. 81.3 RPC, señala el Secretario General que, junto al letrado mayor, procedió a entregar a la Presidenta una nota recordándole el contenido del ATC 141/2016 y en su virtud le recomendó y advirtió de que antes de tomar cualquier decisión sobre la ampliación del orden del día, era necesario que el Parlamento tuviera conocimiento del significado y de las implicaciones del ATC 141/2016, teniendo en cuenta especialmente que en el mismo se señala que “es a la propia Cámara autonómica a la que corresponde velar porque su actuación se desarrolle en el marco de la Constitución y que todos los poderes públicos están obligados al cumplimiento de lo que el Tribunal Constitucional resuelva”. Atendidas estas circunstancias, la Presidenta del Parlamento preguntó a los grupos proponentes de la ampliación del orden del día si eran conscientes del ATC 141/2016 y, ante la respuesta afirmativa de estos, les requirió para que manifestasen si, a pesar de ello se reiteraban en su petición, a lo cual también respondieron afirmativamente. Después de un debate en el que intervinieron todos los grupos se sometió a votación la ampliación del orden del día para incluir el debate y la votación de la ratificación del informe y las conclusiones de la Comisión de Estudio del Proceso Constituyente, decisión que, a juicio del Secretario General del Parlamento de Cataluña, encaja perfectamente en la doctrina del Tribunal Constitucional, el cual, en la citada STC 78/2006 afirma que “el órgano que sirve de instrumento para el ejercicio por los ciudadanos de la soberanía participando en los asuntos públicos por medio de representantes es la Asamblea legislativa, no sus Mesas, que cumplen la función técnico-jurídica de ordenar y racionalizar el funcionamiento de las Cámaras para su mayor eficiencia, precisamente, como tal foro de debate y participación en la cosa pública”.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Según se ha expuesto con más detalle en los antecedentes, el Abogado del Estado, en nombre y representación del Gobierno de la Nación, ha solicitado la incoación de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así como del ATC 141/2016, de 19 de julio, que estimó el incidente de ejecución de la misma STC 259/2015 promovido por el Gobierno de la Nación en relación con la resolución 5/XI del Parlamento de Cataluña de 20 de enero de 2016, de creación de comisiones parlamentarias, en lo que se refiere a la creación de la Comisión de Estudio del Proceso Constituyente.</w:t>
      </w:r>
    </w:p>
    <w:p w:rsidR="001D6FAE" w:rsidRDefault="001D6FAE" w:rsidP="001D6FAE">
      <w:pPr>
        <w:pStyle w:val="TextoNormal"/>
      </w:pPr>
    </w:p>
    <w:p w:rsidR="001D6FAE" w:rsidRDefault="001D6FAE" w:rsidP="001D6FAE">
      <w:pPr>
        <w:pStyle w:val="TextoNormal"/>
      </w:pPr>
      <w:r>
        <w:t>Invoca el Abogado del Estado lo dispuesto en los arts. 87.1 y 92 LOTC, ambos reformados por la Ley Orgánica 15/2015, de 16 de octubre, para la ejecución de las resoluciones del Tribunal Constitucional como garantía del Estado de Derecho. A su amparo interesa que declaremos la nulidad absoluta de la resolución 263/XI del Parlamento de Cataluña de 27 de julio de 2016, por la cual se ratifica el informe y las conclusiones de la Comisión de Estudio del Proceso Constituyente (publicada en el “Boletín Oficial del Parlamento de Cataluña” núm. 200, de 1 de agosto de 2016).</w:t>
      </w:r>
    </w:p>
    <w:p w:rsidR="001D6FAE" w:rsidRDefault="001D6FAE" w:rsidP="001D6FAE">
      <w:pPr>
        <w:pStyle w:val="TextoNormal"/>
      </w:pPr>
    </w:p>
    <w:p w:rsidR="001D6FAE" w:rsidRDefault="001D6FAE" w:rsidP="001D6FAE">
      <w:pPr>
        <w:pStyle w:val="TextoNormal"/>
      </w:pPr>
      <w:r>
        <w:t>Igualmente solicita que este Tribunal imponga mediante requerimiento personal a la Presidenta del Parlamento de Cataluña, a todos los miembros de la Mesa y al Secretario General del Parlamento, la obligación de abstenerse de realizar cualesquiera actuaciones tendentes a dar cumplimiento a la resolución 263/XI, así como de impedir o paralizar cualquier iniciativa que suponga eludir la STC 259/2015 y el ATC 141/2016, apercibiéndoles de las eventuales responsabilidades, incluso penal, en que pudieran incurrir. Asimismo que les imponga mediante requerimiento personal la prohibición expresa de convocar a los órganos del Parlamento para debatir y votar ninguna iniciativa que directa o indirectamente pretenda dar cumplimiento a la resolución 263/XI; y que en los referidos requerimientos personales se les advierta de la aplicación, en caso de incumplimiento de lo ordenado por el Tribunal Constitucional, de las medidas previstas en las letras a), b) y d) del art. 92.4 LOTC (multas coercitivas, suspensión de funciones y deducción de testimonio de particulares).</w:t>
      </w:r>
    </w:p>
    <w:p w:rsidR="001D6FAE" w:rsidRDefault="001D6FAE" w:rsidP="001D6FAE">
      <w:pPr>
        <w:pStyle w:val="TextoNormal"/>
      </w:pPr>
    </w:p>
    <w:p w:rsidR="001D6FAE" w:rsidRDefault="001D6FAE" w:rsidP="001D6FAE">
      <w:pPr>
        <w:pStyle w:val="TextoNormal"/>
      </w:pPr>
      <w:r>
        <w:t>Solicita igualmente que este Tribunal imponga mediante requerimiento personal al Presidente de la Generalitat y a todos los miembros de su Consejo de Gobierno, la prohibición de tramitar cualquier propuesta legislativa, dictar norma de rango reglamentario y llevar a cabo cualquier iniciativa de soporte jurídico o material que directa o indirectamente pretenda dar cumplimiento a la resolución 263/XI, apercibiéndoles de las eventuales responsabilidades, incluso penal, en que pudieran incurrir y que en esos requerimientos se les advierta de la aplicación, en caso de incumplimiento, de las medidas previstas en las letras a), b) y d) del art. 92.4 LOTC.</w:t>
      </w:r>
    </w:p>
    <w:p w:rsidR="001D6FAE" w:rsidRDefault="001D6FAE" w:rsidP="001D6FAE">
      <w:pPr>
        <w:pStyle w:val="TextoNormal"/>
      </w:pPr>
    </w:p>
    <w:p w:rsidR="001D6FAE" w:rsidRDefault="001D6FAE" w:rsidP="001D6FAE">
      <w:pPr>
        <w:pStyle w:val="TextoNormal"/>
      </w:pPr>
      <w:r>
        <w:t>Interesa también de manera específica que este Tribunal proceda a deducir testimonio de particulares para exigir la responsabilidad penal en que la Presidenta del Parlamento de Cataluña habría incurrido por desobedecer el ATC 141/2016, y más concretamente la orden dirigida “a los poderes implicados y a sus titulares, especialmente a la Mesa del Parlamento de Cataluña, bajo su responsabilidad, de su deber de impedir o paralizar cualquier iniciativa que suponga ignorar o eludir los mandatos enunciados” en dicho Auto.</w:t>
      </w:r>
    </w:p>
    <w:p w:rsidR="001D6FAE" w:rsidRDefault="001D6FAE" w:rsidP="001D6FAE">
      <w:pPr>
        <w:pStyle w:val="TextoNormal"/>
      </w:pPr>
    </w:p>
    <w:p w:rsidR="001D6FAE" w:rsidRDefault="001D6FAE" w:rsidP="001D6FAE">
      <w:pPr>
        <w:pStyle w:val="TextoNormal"/>
      </w:pPr>
      <w:r>
        <w:t>El Abogado del Estado entiende que la resolución 263/XI del Parlamento de Cataluña contradice frontalmente la STC 259/2015 y el ATC 141/2016. La resolución 263/XI, que reitera la resolución 1/XI declarada inconstitucional por la STC 259/2015, desatiende las advertencias que se contienen en el ATC 141/2016. En este ATC, FJ 7, se hace constar expresamente que el Tribunal Constitucional tuvo conocimiento de las conclusiones aprobadas por la Comisión de Estudio del Proceso Constituyente el día anterior, constatando que su contenido contraviene claramente los mandatos de sujeción de todos los poderes públicos a la Constitución y de cumplimiento de las resoluciones del Tribunal Constitucional. En consecuencia, en la parte decisoria del Auto, tras estimar el incidente de ejecución, se advertía “a los poderes implicados y a sus titulares, especialmente a la Mesa del Parlamento de Cataluña, bajo su responsabilidad, de su deber de impedir o paralizar cualquier iniciativa que suponga ignorar o eludir los mandatos enunciados”. Pese a ello, el Parlamento de Cataluña ha aprobado y asumido como propias esas conclusiones de la Comisión de Estudio del Proceso Constituyente, que han quedado reproducidas en los antecedentes.</w:t>
      </w:r>
    </w:p>
    <w:p w:rsidR="001D6FAE" w:rsidRDefault="001D6FAE" w:rsidP="001D6FAE">
      <w:pPr>
        <w:pStyle w:val="TextoNormal"/>
      </w:pPr>
    </w:p>
    <w:p w:rsidR="001D6FAE" w:rsidRDefault="001D6FAE" w:rsidP="001D6FAE">
      <w:pPr>
        <w:pStyle w:val="TextoNormal"/>
      </w:pPr>
      <w:r>
        <w:t>El Ministerio Fiscal comparte las apreciaciones del Abogado del Estado. Advierte que la resolución 263/XI del Parlamento de Cataluña, que ratifica las conclusiones de la Comisión de Estudio del Proceso Constituyente, pretende desarrollar la resolución l/XI anulada por la STC 259/2015, al tener la misma finalidad: un proceso constituyente dirigido a la desconexión del Estado español, lo que desborda los márgenes de actuación constitucionales y estatutarios. La resolución 263/XI contradice así radicalmente los pronunciamientos de la STC 259/2015 y desoye las claras advertencias contenidas en el ATC 141/2016.</w:t>
      </w:r>
    </w:p>
    <w:p w:rsidR="001D6FAE" w:rsidRDefault="001D6FAE" w:rsidP="001D6FAE">
      <w:pPr>
        <w:pStyle w:val="TextoNormal"/>
      </w:pPr>
    </w:p>
    <w:p w:rsidR="001D6FAE" w:rsidRDefault="001D6FAE" w:rsidP="001D6FAE">
      <w:pPr>
        <w:pStyle w:val="TextoNormal"/>
      </w:pPr>
      <w:r>
        <w:t>Solicita por ello el Fiscal que declaremos la nulidad de la resolución 263/XI y que procedamos a efectuar los requerimientos individuales que solicita la Abogacía del Estado a la Presidenta del Parlamento de Cataluña, a los restantes miembros de la Mesa y al Secretario General del Parlamento, así como al Presidente de la Generalitat y a todos los miembros de su Consejo de Gobierno, apercibiéndoles de la posible adopción, en caso de incumplimiento, de las medidas previstas en el art. 92.4 LOTC, en los mismos términos que señala el Abogado del Estado en su escrito. También que se proceda por este Tribunal a deducir testimonio de particulares respecto de la Presidenta del Parlamento a efectos de depurar la eventual responsabilidad penal en que pudiera haber incurrido mediante su actuación, decisiva para la aprobación de la resolución 263/XI.</w:t>
      </w:r>
    </w:p>
    <w:p w:rsidR="001D6FAE" w:rsidRDefault="001D6FAE" w:rsidP="001D6FAE">
      <w:pPr>
        <w:pStyle w:val="TextoNormal"/>
      </w:pPr>
    </w:p>
    <w:p w:rsidR="001D6FAE" w:rsidRDefault="001D6FAE" w:rsidP="001D6FAE">
      <w:pPr>
        <w:pStyle w:val="TextoNormal"/>
      </w:pPr>
      <w:r>
        <w:t>Los Letrados del Parlamento de Cataluña se oponen a la pretensión de la Abogacía del Estado —apoyada por el Ministerio Fiscal— e interesan, conforme a lo razonado en su escrito de alegaciones, que se desestime el incidente de ejecución. Entienden que la resolución 263/XI no contraviene lo decidido por este Tribunal en la STC 259/2015 y en el ATC 141/2016, sin que proceda, en consecuencia, hacer los requerimientos y advertencias a la Presidenta del Parlamento de Cataluña, a los restantes miembros de la Mesa y al Secretario General del Parlamento que se solicitan por la Abogacía del Estado, ni tampoco adoptar ninguna de las medidas de ejecución previstas en el art. 92.4 LOTC, incluida la que se pide expresamente en relación con la Presidenta del Parlamento. Asimismo solicitan, por otrosí, que este Tribunal acuerde de forma inmediata dejar sin efecto la suspensión de la resolución 263/XI, acordada por la providencia de este Tribunal de 1 agosto de 2016 de conformidad con el art. 161.2 CE, pues sostienen que este precepto no resulta aplicable a los incidentes de ejecución de los arts. 87 y 92 LOTC.</w:t>
      </w:r>
    </w:p>
    <w:p w:rsidR="001D6FAE" w:rsidRDefault="001D6FAE" w:rsidP="001D6FAE">
      <w:pPr>
        <w:pStyle w:val="TextoNormal"/>
      </w:pPr>
    </w:p>
    <w:p w:rsidR="001D6FAE" w:rsidRDefault="001D6FAE" w:rsidP="001D6FAE">
      <w:pPr>
        <w:pStyle w:val="TextoNormal"/>
      </w:pPr>
      <w:r>
        <w:t>Mantienen los Letrados del Parlamento de Cataluña que la resolución 263/XI, que ratifica el informe y las conclusiones de la Comisión de Estudio del Proceso Constituyente creada por la resolución 5/XI, no contraviene la STC 259/2015 ni el ATC 141/2016. Alegan asimismo que este Tribunal no puede imponer a la Presidenta y a los restantes miembros de la Mesa del Parlamento de Cataluña la obligación de abstenerse de realizar cualquier actuación tendente a dar cumplimiento a la resolución 263/XI, ni la prohibición de convocar a los órganos del Parlamento para debatir o votar ninguna iniciativa que directa o indirectamente pretenda dar cumplimiento a dicha resolución. Semejante decisión supondría a su juicio anular el ejercicio de funciones parlamentarias e impedir, por motivos meramente preventivos, el ejercicio de sus derechos a representantes políticos. Consideran igualmente improcedente la aplicación de las medidas de ejecución solicitadas por la Abogacía del Estado al amparo del art. 92.4 LOTC, redactado por la Ley Orgánica 15/2015, de 16 de octubre, no sin antes advertir de la pendencia de los recursos de inconstitucionalidad interpuestos contra dicha reforma legal, que obligaría al Tribunal Constitucional —afirman— a extremar su cautela a la hora de aplicar las medidas del art. 92.4 LOTC.</w:t>
      </w:r>
    </w:p>
    <w:p w:rsidR="001D6FAE" w:rsidRDefault="001D6FAE" w:rsidP="001D6FAE">
      <w:pPr>
        <w:pStyle w:val="TextoNormal"/>
      </w:pPr>
    </w:p>
    <w:p w:rsidR="001D6FAE" w:rsidRDefault="001D6FAE" w:rsidP="001D6FAE">
      <w:pPr>
        <w:pStyle w:val="TextoNormal"/>
      </w:pPr>
      <w:r>
        <w:t>La Presidenta del Parlamento de Cataluña, los demás miembros de la Mesa y el Secretario General del Parlamento han emitido los correspondientes informes que les fueron requeridos por este Tribunal en la providencia de 1 de agosto de 2016, conforme a lo dispuesto en el art. 92.4 LOTC, acerca de si las actuaciones parlamentarias que dieron lugar a la aprobación de la resolución 263/XI han contravenido la STC 259/2015 y el ATC 141/2016, con el contenido que consta en los antecedentes y al que procede ahora remitirse.</w:t>
      </w:r>
    </w:p>
    <w:p w:rsidR="001D6FAE" w:rsidRDefault="001D6FAE" w:rsidP="001D6FAE">
      <w:pPr>
        <w:pStyle w:val="TextoNormal"/>
      </w:pPr>
    </w:p>
    <w:p w:rsidR="001D6FAE" w:rsidRDefault="001D6FAE" w:rsidP="001D6FAE">
      <w:pPr>
        <w:pStyle w:val="TextoNormal"/>
      </w:pPr>
      <w:r w:rsidRPr="001D6FAE">
        <w:rPr>
          <w:rStyle w:val="NumeroAFNegritaCaracter"/>
        </w:rPr>
        <w:t>2</w:t>
      </w:r>
      <w:r>
        <w:t>. El objeto de la presente resolución se contrae a determinar si lo resuelto en la STC 259/2015, que declaró inconstitucional y nula la resolución 1/XI, y en el ATC 141/2016, que estimó el incidente de ejecución promovido respecto de la resolución 5/XI, ha sido desconocido o contradicho por el Parlamento de Cataluña al dictar su resolución 263/XI, de 27 de julio de 2016, por la cual se ratifica el informe y las conclusiones de la Comisión de Estudio del Proceso Constituyente, que han quedado reproducidas en el relato de antecedentes. Tanto el Abogado del Estado como el Ministerio Fiscal consideran que la resolución 263/XI pretende dar continuidad y soporte al objetivo proclamado en la resolución 1/XI —la puesta en marcha de un proceso constituyente en Cataluña encaminado a la creación del futuro estado catalán en forma de república— que ya fue declarado inconstitucional por la STC 259/2015. La resolución habría sido adoptada por el Parlamento de Cataluña desatendiendo las expresas y claras advertencias del ATC 141/2016, FJ 7 y fallo, en cuanto a que el contenido de las conclusiones aprobadas por la referida comisión parlamentaria “contraviene claramente los mandatos de sujeción de todos los poderes públicos a la Constitución y de cumplimiento de las resoluciones del Tribunal Constitucional”.</w:t>
      </w:r>
    </w:p>
    <w:p w:rsidR="001D6FAE" w:rsidRDefault="001D6FAE" w:rsidP="001D6FAE">
      <w:pPr>
        <w:pStyle w:val="TextoNormal"/>
      </w:pPr>
    </w:p>
    <w:p w:rsidR="001D6FAE" w:rsidRDefault="001D6FAE" w:rsidP="001D6FAE">
      <w:pPr>
        <w:pStyle w:val="TextoNormal"/>
      </w:pPr>
      <w:r>
        <w:t>Tal cuestión deberemos resolverla aplicando los criterios sentados en la doctrina constitucional en materia de incidentes de ejecución (arts. 87.1 y 92 LOTC), pues corresponde al Tribunal Constitucional velar por el cumplimiento efectivo de sus Sentencias y resoluciones y resolver las incidencias de ejecución de las mismas, adoptando cuantas medidas considere necesarias para preservar su jurisdicción, incluyendo la declaración de nulidad de aquellos actos y resoluciones que la contravengan o menoscaben, como expresamente establecen los arts. 4.1 y 92.1 LOTC. También, en su caso, la aplicación de otras medidas encaminadas a asegurar el debido cumplimiento de las Sentencias y resoluciones de este Tribunal, al que están obligados todos los poderes públicos (art. 87.1 LOTC), incluidas las Cámaras legislativas. No carece de relevancia a este efecto recordar que nos enfrentamos a la objetiva oposición de un poder público a los pronunciamientos contenidos en la STC 259/2015, que declaró inconstitucional y nula la resolución 1/XI del Parlamento de Cataluña. La misma Cámara aprobó su resolución 263/XI teniendo ya conocimiento previo del ATC 141/2016 (y por tanto de las advertencias que en el mismo se contienen sobre la inconstitucionalidad de las conclusiones aprobadas por la Comisión de Estudio del Proceso Constituyente creada por la resolución 5/XI), que estimaba el incidente de ejecución de la STC 259/2015, promovido por el Abogado del Estado en relación con la resolución 5/XI.</w:t>
      </w:r>
    </w:p>
    <w:p w:rsidR="001D6FAE" w:rsidRDefault="001D6FAE" w:rsidP="001D6FAE">
      <w:pPr>
        <w:pStyle w:val="TextoNormal"/>
      </w:pPr>
    </w:p>
    <w:p w:rsidR="001D6FAE" w:rsidRDefault="001D6FAE" w:rsidP="001D6FAE">
      <w:pPr>
        <w:pStyle w:val="TextoNormal"/>
      </w:pPr>
      <w:r>
        <w:t>En efecto, conforme a la doctrina constitucional (entre otros, AATC 107/2009, de 24 de marzo, FJ 2, y 177/2012, de 2 de octubre,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(art. 87.1, primer párrafo,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001D6FAE" w:rsidRDefault="001D6FAE" w:rsidP="001D6FAE">
      <w:pPr>
        <w:pStyle w:val="TextoNormal"/>
      </w:pPr>
    </w:p>
    <w:p w:rsidR="001D6FAE" w:rsidRDefault="001D6FAE" w:rsidP="001D6FAE">
      <w:pPr>
        <w:pStyle w:val="TextoNormal"/>
      </w:pPr>
      <w:r>
        <w:t>Cumple advertir también la pendencia de sendos recursos de inconstitucionalidad planteados contra la reciente Ley Orgánica 15/2015, de 16 de octubre, de reforma de la Ley Orgánica del Tribunal Constitucional para la ejecución de las resoluciones del Tribunal Constitucional como garantía del Estado de Derecho (que da nueva redacción a los arts. 87 y 92 LOTC). A ella aluden en sus alegaciones los Letrados del Parlamento de Cataluña (así como en sus respectivos informes la Presidenta y algunos de los miembros de la Mesa del Parlamento) para demandar a este Tribunal la máxima cautela en la eventual aplicación de las medidas de ejecución previstas en el art. 92.4 LOTC que solicita la Abogacía del Estado. Tal pendencia, en todo caso, no va a afectar a la resolución del presente incidente de ejecución, que en modo alguno prejuzga lo que deba resolverse en dichos recursos.</w:t>
      </w:r>
    </w:p>
    <w:p w:rsidR="001D6FAE" w:rsidRDefault="001D6FAE" w:rsidP="001D6FAE">
      <w:pPr>
        <w:pStyle w:val="TextoNormal"/>
      </w:pPr>
    </w:p>
    <w:p w:rsidR="001D6FAE" w:rsidRDefault="001D6FAE" w:rsidP="001D6FAE">
      <w:pPr>
        <w:pStyle w:val="TextoNormal"/>
      </w:pPr>
      <w:r>
        <w:t>Al margen del principio de presunción de constitucionalidad de las leyes es claro que, antes y después de la reforma del marco legal resultante de los arts. 87 y 92 LOTC por la citada Ley Orgánica 15/2015, todos los poderes públicos estaban y están obligados al cumplimiento de lo que resuelva el Tribunal Constitucional; este se hallaba y se halla plenamente facultado para resolver las incidencias de ejecución de sus sentencias y demás resoluciones, pudiendo incluso declarar la nulidad de cualesquiera resoluciones que contravengan las dictadas en el ejercicio de su jurisdicción, con ocasión de la ejecución de estas (AATC 128/2016, de 21 de junio, FJ 2, y 141/2016, FJ 2). De igual modo este Tribunal ya se encontraba plenamente facultado, antes de la reforma operada por la Ley Orgánica 15/2015, para acordar específicas medidas ejecutivas como la imposición de multas coercitivas, sin perjuicio de cualquier otra responsabilidad a que hubiera lugar (antiguo art. 95.4 LOTC), referencia esta última que incluye la posibilidad de deducir testimonio de particulares para depurar la eventual responsabilidad penal en que pudiere incurrir la autoridad, funcionario o cargo público que incumpliere o desobedeciere los requerimientos de este Tribunal. La expresa referencia en las actuales letras a) y d) del art. 92.4 LOTC, en la redacción de la Ley Orgánica 15/2015, a las multas coercitivas y a la deducción de testimonio de particulares para exigir la responsabilidad penal que pudiera corresponder, como medidas ejecutivas que este Tribunal puede aplicar si aprecia el incumplimiento de sus resoluciones, no supone atribución a este Tribunal de facultades de las que no dispusiera ya desde su entrada en funcionamiento. Este Tribunal ha contado siempre con tales atribuciones, con independencia de que no se haya encontrado hasta la fecha en la necesidad de recurrir a ellas para asegurar el cumplimiento de sus resoluciones.</w:t>
      </w:r>
    </w:p>
    <w:p w:rsidR="001D6FAE" w:rsidRDefault="001D6FAE" w:rsidP="001D6FAE">
      <w:pPr>
        <w:pStyle w:val="TextoNormal"/>
      </w:pPr>
    </w:p>
    <w:p w:rsidR="001D6FAE" w:rsidRDefault="001D6FAE" w:rsidP="001D6FAE">
      <w:pPr>
        <w:pStyle w:val="TextoNormal"/>
      </w:pPr>
      <w:r w:rsidRPr="001D6FAE">
        <w:rPr>
          <w:rStyle w:val="NumeroAFNegritaCaracter"/>
        </w:rPr>
        <w:t>3</w:t>
      </w:r>
      <w:r>
        <w:t>. Cabe pues afirmar, siguiendo la doctrina antes referida (entre otros, ATC 107/2009, FJ 4), que lo que ha de examinarse principalmente en el presente incidente, al cotejar el contenido de la STC 259/2015 y del ATC 141/2016 con la resolución del Parlamento de Cataluña 263/XI, de 27 de julio de 2016, es, en definitiva, si esta resolución parlamentaria incurre en alguna de las dos situaciones proscritas por la jurisprudencia constitucional. Tal ocurriría de contener un pronunciamiento contrario a la STC 259/2015 o al ATC 141/2016, o de suponer un intento de menoscabar la eficacia —jurídica o material— de lo que se resolvió en esa Sentencia y ese Auto,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302/2005, de 21 de noviembre, FJ 6; AATC 273/2006, de 17 de julio, FJ 4, y 120/2010, de 4 de octubre, FJ 1).</w:t>
      </w:r>
    </w:p>
    <w:p w:rsidR="001D6FAE" w:rsidRDefault="001D6FAE" w:rsidP="001D6FAE">
      <w:pPr>
        <w:pStyle w:val="TextoNormal"/>
      </w:pPr>
    </w:p>
    <w:p w:rsidR="001D6FAE" w:rsidRDefault="001D6FAE" w:rsidP="001D6FAE">
      <w:pPr>
        <w:pStyle w:val="TextoNormal"/>
      </w:pPr>
      <w:r>
        <w:t>En caso de constatarse que la resolución 263/XI del Parlamento de Cataluña contraviene los pronunciamientos de la STC 259/2015 y del ATC 141/2016, o que supone un intento de menoscabar la eficacia de lo allí resuelto por este Tribunal, como sostienen la Abogacía del Estado y el Ministerio Fiscal (así como el Vicepresidente segundo de la Mesa del Parlamento de Cataluña, en su informe), habrá de estimarse el incidente de ejecución y declararse la nulidad de aquella resolución parlamentaria. Habremos también de examinar entonces si procede o no aplicar alguna de las medidas de ejecución que solicitan el Abogado del Estado y el Fiscal, con la cautela o advertencia anteriormente señalada, debiendo recordarse una vez más que “el contenido de las disposiciones, resoluciones o actos emanados de un poder público, cualquiera que sea, no menoscaba la integridad de las competencias que la Constitución encomienda a este Tribunal, que ejercerá cuando proceda (ATC 189/2015, de 5 de noviembre, FJ 3)” (ATC 141/2016, FJ 7).</w:t>
      </w:r>
    </w:p>
    <w:p w:rsidR="001D6FAE" w:rsidRDefault="001D6FAE" w:rsidP="001D6FAE">
      <w:pPr>
        <w:pStyle w:val="TextoNormal"/>
      </w:pPr>
    </w:p>
    <w:p w:rsidR="001D6FAE" w:rsidRDefault="001D6FAE" w:rsidP="001D6FAE">
      <w:pPr>
        <w:pStyle w:val="TextoNormal"/>
      </w:pPr>
      <w:r w:rsidRPr="001D6FAE">
        <w:rPr>
          <w:rStyle w:val="NumeroAFNegritaCaracter"/>
        </w:rPr>
        <w:t>4</w:t>
      </w:r>
      <w:r>
        <w:t>. Como es conocido, la STC 259/2015 (publicada en el “Boletín Oficial del Estado” de 12 de enero de 2016) estimó la impugnación de disposiciones autonómicas (título V LOTC) núm. 6330-2015, promovida por el Abogado del Estado, en representación del Gobierno de la Nación, contra la resolución del Parlamento de Cataluña 1/XI de 9 de noviembre de 2015, sobre el inicio del proceso político en Cataluña como consecuencia de los resultados electorales del 27 de septiembre de 2015. En consecuencia declaró la inconstitucionalidad y nulidad de dicha resolución y su anexo, que quedó por consiguiente expulsada del ordenamiento jurídico.</w:t>
      </w:r>
    </w:p>
    <w:p w:rsidR="001D6FAE" w:rsidRDefault="001D6FAE" w:rsidP="001D6FAE">
      <w:pPr>
        <w:pStyle w:val="TextoNormal"/>
      </w:pPr>
    </w:p>
    <w:p w:rsidR="001D6FAE" w:rsidRDefault="001D6FAE" w:rsidP="001D6FAE">
      <w:pPr>
        <w:pStyle w:val="TextoNormal"/>
      </w:pPr>
      <w:r>
        <w:t>Los pronunciamientos esenciales de la STC 259/2015 quedaron debidamente extractados en el ATC 141/2016, FJ 3 (al que debemos remitirnos). Estimó el incidente de ejecución de la STC 259/2015 promovido por el Abogado del Estado respecto de la resolución del Parlamento de Cataluña 5/XI de 20 de enero de 2016, de creación de comisiones parlamentarias, en cuanto crea la denominada Comisión de Estudio del Proceso Constituyente y le asigna unos ámbitos de actuación que el Abogado del Estado y el Ministerio Fiscal consideran coincidentes con los fines que perseguía la anulada resolución 1/XI, de 9 de noviembre de 2015.</w:t>
      </w:r>
    </w:p>
    <w:p w:rsidR="001D6FAE" w:rsidRDefault="001D6FAE" w:rsidP="001D6FAE">
      <w:pPr>
        <w:pStyle w:val="TextoNormal"/>
      </w:pPr>
    </w:p>
    <w:p w:rsidR="001D6FAE" w:rsidRDefault="001D6FAE" w:rsidP="001D6FAE">
      <w:pPr>
        <w:pStyle w:val="TextoNormal"/>
      </w:pPr>
      <w:r>
        <w:t xml:space="preserve">En el ATC 141/2016, FJ 4, este Tribunal apreció que “la resolución 5/XI se refiere a un objeto específico, cual es el llamado proceso constituyente en Cataluña, en términos susceptibles, </w:t>
      </w:r>
      <w:r w:rsidRPr="001D6FAE">
        <w:rPr>
          <w:i/>
        </w:rPr>
        <w:t>prima facie</w:t>
      </w:r>
      <w:r>
        <w:t>, de ser puestos en relación con los fines de la resolución parlamentaria enjuiciada en la STC 259/2015, la cual se pronunció de forma explícita sobre su inconstitucionalidad, por las razones que han quedado expuestas”.</w:t>
      </w:r>
    </w:p>
    <w:p w:rsidR="001D6FAE" w:rsidRDefault="001D6FAE" w:rsidP="001D6FAE">
      <w:pPr>
        <w:pStyle w:val="TextoNormal"/>
      </w:pPr>
    </w:p>
    <w:p w:rsidR="001D6FAE" w:rsidRDefault="001D6FAE" w:rsidP="001D6FAE">
      <w:pPr>
        <w:pStyle w:val="TextoNormal"/>
      </w:pPr>
      <w:r>
        <w:t>Se afirmó también en el ATC 141/2016 que “el Parlamento de Cataluña, como representante de los ciudadanos de la Comunidad Autónoma, puede crear, conforme a las previsiones de su Reglamento, las comisiones de estudio que tenga por conveniente, para ‘el análisis de cualquier asunto que afecte a la sociedad catalana’ (art. 65.1 del Reglamento del Parlamento), pues esto forma parte de su esfera de decisión propia por ser una de aquellas facultades que integran la autonomía parlamentaria. Pero esa facultad no es absoluta o ilimitada”. En efecto, “nada impide que el Parlamento de Cataluña promueva, por vía de solicitud o de propuesta, una hipotética reforma de la Constitución (arts. 87.2 y 166 CE) y que para ello previamente establezca una comisión de estudio sobre tal eventual reforma del marco jurídico en vigor, pues es inherente a todo sistema democrático parlamentario la posibilidad de someter a la discusión política cualquier cuestión de interés general” (ATC 141/2016, FJ 5).</w:t>
      </w:r>
    </w:p>
    <w:p w:rsidR="001D6FAE" w:rsidRDefault="001D6FAE" w:rsidP="001D6FAE">
      <w:pPr>
        <w:pStyle w:val="TextoNormal"/>
      </w:pPr>
    </w:p>
    <w:p w:rsidR="001D6FAE" w:rsidRDefault="001D6FAE" w:rsidP="001D6FAE">
      <w:pPr>
        <w:pStyle w:val="TextoNormal"/>
      </w:pPr>
      <w:r>
        <w:t xml:space="preserve">Se advirtió asimismo que lo que tampoco cabe es utilizar ese cauce parlamentario para ignorar de forma deliberada los procedimientos expresamente previstos a tal fin en la Constitución (STC 259/2015, FJ 7), pues “la autonomía parlamentaria (art. 58 del Estatuto de Autonomía de Cataluña) no puede servir de pretexto para que la Cámara autonómica pueda ‘arrogarse la potestad de vulnerar el orden constitucional que sustenta su propia autoridad’ (STC 259/2015, FJ 7). El deber de fidelidad a la Constitución por parte de los poderes públicos ‘constituye un soporte esencial del funcionamiento del Estado autonómico y cuya observancia resulta obligada’ (STC 247/2007, de 12 diciembre, FJ 4), por lo que son las Asambleas parlamentarias, en su condición de poderes constituidos, las que, </w:t>
      </w:r>
      <w:r w:rsidRPr="001D6FAE">
        <w:rPr>
          <w:i/>
        </w:rPr>
        <w:t>prima facie</w:t>
      </w:r>
      <w:r>
        <w:t>, deben velar por que sus decisiones se acomoden, en todo momento, a la Constitución y al resto del ordenamiento jurídico (art. 9.1 CE), sin perjuicio, claro está, de que la última palabra, cuando así se le solicite, le corresponderá al Tribunal Constitucional (ATC 189/2015, FJ 3)” (ATC 141/2016, FJ 5).</w:t>
      </w:r>
    </w:p>
    <w:p w:rsidR="001D6FAE" w:rsidRDefault="001D6FAE" w:rsidP="001D6FAE">
      <w:pPr>
        <w:pStyle w:val="TextoNormal"/>
      </w:pPr>
    </w:p>
    <w:p w:rsidR="001D6FAE" w:rsidRDefault="001D6FAE" w:rsidP="001D6FAE">
      <w:pPr>
        <w:pStyle w:val="TextoNormal"/>
      </w:pPr>
      <w:r>
        <w:t>Partiendo de estas premisas, en el ATC 141/2016, FJ 6, este Tribunal afirmó que los “ámbitos” asignados por la resolución 5/XI a la Comisión de Estudio del Proceso Constituyente “ofrecen un alto grado de semejanza con alguno de los elementos integrantes del llamado proceso constituyente en la resolución del Parlamento de Cataluña 1/XI, de 9 de noviembre de 2015, declarada inconstitucional, aun cuando no existe en el texto referencia explícita alguna a ella, pues tales ‘ámbitos’ coinciden sustancialmente con los fines que perseguía la resolución 1/XI, declarada inconstitucional y nula por la STC 259/2015”. Además, la relevancia de esta similitud se ve acentuada por la sucesión temporal de acontecimientos parlamentarios en el ámbito de la Cámara autonómica, a los que el ATC 141/2016 hace referencia. Todo ello conduce a la conclusión de que la creación de esa comisión parlamentaria “podría ser entendida como un intento de dar apariencia de validez al denominado proceso constituyente en Cataluña, cuya inconstitucionalidad fue declarada por la STC 259/2015 y esto es suficiente para que deba estimarse el incidente de ejecución planteado” (ATC 141/2016, FJ 6).</w:t>
      </w:r>
    </w:p>
    <w:p w:rsidR="001D6FAE" w:rsidRDefault="001D6FAE" w:rsidP="001D6FAE">
      <w:pPr>
        <w:pStyle w:val="TextoNormal"/>
      </w:pPr>
    </w:p>
    <w:p w:rsidR="001D6FAE" w:rsidRDefault="001D6FAE" w:rsidP="001D6FAE">
      <w:pPr>
        <w:pStyle w:val="TextoNormal"/>
      </w:pPr>
      <w:r w:rsidRPr="001D6FAE">
        <w:rPr>
          <w:rStyle w:val="NumeroAFNegritaCaracter"/>
        </w:rPr>
        <w:t>5</w:t>
      </w:r>
      <w:r>
        <w:t>. Este Tribunal no estimó necesario, sin embargo, declarar la nulidad de la resolución 5/XI, en lo que se refiere a la Comisión de Estudio del Proceso Constituyente, al entender, por deferencia y respeto a la autonomía parlamentaria, que la actividad de esa comisión era susceptible de ser dirigida al objeto legítimo de analizar las distintas alternativas posibles para realizar, con arreglo a la Constitución, reformas de la misma para satisfacer cualquier pretensión política (ATC 141/2016, FJ 7).</w:t>
      </w:r>
    </w:p>
    <w:p w:rsidR="001D6FAE" w:rsidRDefault="001D6FAE" w:rsidP="001D6FAE">
      <w:pPr>
        <w:pStyle w:val="TextoNormal"/>
      </w:pPr>
    </w:p>
    <w:p w:rsidR="001D6FAE" w:rsidRDefault="001D6FAE" w:rsidP="001D6FAE">
      <w:pPr>
        <w:pStyle w:val="TextoNormal"/>
      </w:pPr>
      <w:r>
        <w:t>Afirmó el ATC 141/2016 que “lo que no resulta constitucionalmente admisible es que la actividad parlamentaria de ‘análisis’ o ‘estudio’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en los términos ya expuestos. En suma, la actividad de la comisión creada resulta absolutamente inviable si no se entiende condicionada al cumplimiento de las exigencias de la Constitución y, singularmente, de los procedimientos para su reforma y, en general, a los marcos que rigen para la actividad política, los cuales han sido definidos por el Tribunal con continuidad y firmeza en las sentencias que hemos venido citando. Así lo declara el Tribunal, advirtiendo asimismo a los poderes implicados y a sus titulares, bajo su responsabilidad, de su deber de impedir o paralizar cualquier iniciativa que suponga ignorar o eludir estos mandatos” (ATC 141/2016, FJ 7).</w:t>
      </w:r>
    </w:p>
    <w:p w:rsidR="001D6FAE" w:rsidRDefault="001D6FAE" w:rsidP="001D6FAE">
      <w:pPr>
        <w:pStyle w:val="TextoNormal"/>
      </w:pPr>
    </w:p>
    <w:p w:rsidR="001D6FAE" w:rsidRDefault="001D6FAE" w:rsidP="001D6FAE">
      <w:pPr>
        <w:pStyle w:val="TextoNormal"/>
      </w:pPr>
      <w:r>
        <w:t>Además, en el ATC 141/2016, FJ 7, se hace constar expresamente que el Tribunal ha tenido conocimiento de las conclusiones aprobadas por la Comisión de Estudio del Proceso Constituyente precisamente el día anterior a dicho Auto, constatando que su contenido contraviene claramente los mandatos a que se viene haciendo referencia, por lo que —en el cumplimiento de las advertencias que considera necesario realizar— los obligados deben tener en cuenta esta apreciación, sin perjuicio de recordar que todos los poderes públicos están obligados al cumplimiento de lo que el Tribunal Constitucional resuelva (art. 87.1 CE). En consecuencia, en la parte decisoria del Auto, tras estimar el incidente de ejecución, el Tribunal advertía “a los poderes implicados y a sus titulares, especialmente a la Mesa del Parlamento de Cataluña, bajo su responsabilidad, de su deber de impedir o paralizar cualquier iniciativa que suponga ignorar o eludir los mandatos enunciados”.</w:t>
      </w:r>
    </w:p>
    <w:p w:rsidR="001D6FAE" w:rsidRDefault="001D6FAE" w:rsidP="001D6FAE">
      <w:pPr>
        <w:pStyle w:val="TextoNormal"/>
      </w:pPr>
    </w:p>
    <w:p w:rsidR="001D6FAE" w:rsidRDefault="001D6FAE" w:rsidP="001D6FAE">
      <w:pPr>
        <w:pStyle w:val="TextoNormal"/>
      </w:pPr>
      <w:r w:rsidRPr="001D6FAE">
        <w:rPr>
          <w:rStyle w:val="NumeroAFNegritaCaracter"/>
        </w:rPr>
        <w:t>6</w:t>
      </w:r>
      <w:r>
        <w:t>. La resolución 263/XI del Parlamento de Cataluña de 27 de julio de 2016, por la cual se ratifica el informe y las conclusiones de la Comisión de Estudio del Proceso Constituyente (que han quedado reproducidas en los antecedentes), desatiende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Comisión de Estudio del Proceso Constituyente.</w:t>
      </w:r>
    </w:p>
    <w:p w:rsidR="001D6FAE" w:rsidRDefault="001D6FAE" w:rsidP="001D6FAE">
      <w:pPr>
        <w:pStyle w:val="TextoNormal"/>
      </w:pPr>
    </w:p>
    <w:p w:rsidR="001D6FAE" w:rsidRDefault="001D6FAE" w:rsidP="001D6FAE">
      <w:pPr>
        <w:pStyle w:val="TextoNormal"/>
      </w:pPr>
      <w:r>
        <w:t>Como ya se advirtió en el ATC 141/2016, FJ 7, a los poderes públicos implicados y a sus titulares, el contenido de las conclusiones aprobadas por la Comisión de Estudio del Proceso Constituyente creada por la resolución 5/XI contraviene los mandatos de sujeción a la Constitución y de cumplimiento de lo resuelto por este Tribunal (art. 87.1 LOTC). Al ratificar y asumir como propias las conclusiones aprobadas por la referida comisión parlamentaria, el Parlamento de Cataluña elude los pronunciamientos de la STC 259/2015 e ignora las advertencias del ATC 141/2016, pues pretende dar continuidad y soporte al denominado “proceso constituyente en Cataluña” dirigido a su desconexión del Estado español al que se refería la resolución l/XI, en términos que ya fueron rechazados por inconstitucionales en la STC 259/2015.</w:t>
      </w:r>
    </w:p>
    <w:p w:rsidR="001D6FAE" w:rsidRDefault="001D6FAE" w:rsidP="001D6FAE">
      <w:pPr>
        <w:pStyle w:val="TextoNormal"/>
      </w:pPr>
    </w:p>
    <w:p w:rsidR="001D6FAE" w:rsidRDefault="001D6FAE" w:rsidP="001D6FAE">
      <w:pPr>
        <w:pStyle w:val="TextoNormal"/>
      </w:pPr>
      <w:r>
        <w:t>La resolución 263/XI del Parlamento de Cataluña produce efectos jurídicos propios y no meramente políticos, pues implica el reconocimiento en favor del Parlamento o del pueblo de Cataluña de atribuciones inherentes a la soberanía superiores a las que derivan de la autonomía reconocida por la Constitución (STC 42/2014, FJ 2) e insiste en introducir en el ordenamiento jurídico con apariencia de validez (como ya hiciera la anulada resolución 1/IX) un objeto especifico, el proceso constituyente en Cataluña, dirigido a la creación de un Estado catalán independiente en forma de república; en contradicción con la Constitución de 1978 y con el Estatuto de Autonomía de Cataluña, como este Tribunal ya declaró en la citada STC 259/2015.</w:t>
      </w:r>
    </w:p>
    <w:p w:rsidR="001D6FAE" w:rsidRDefault="001D6FAE" w:rsidP="001D6FAE">
      <w:pPr>
        <w:pStyle w:val="TextoNormal"/>
      </w:pPr>
    </w:p>
    <w:p w:rsidR="001D6FAE" w:rsidRDefault="001D6FAE" w:rsidP="001D6FAE">
      <w:pPr>
        <w:pStyle w:val="TextoNormal"/>
      </w:pPr>
      <w:r>
        <w:t>Conforme se recuerda en el ATC 141/2016, FJ 5, nada impide que el Parlamento de Cataluña promueva, por vía de solicitud o de propuesta, una hipotética reforma de la Constitución (arts. 87.2 y 166 CE) y que para ello previamente establezca una comisión de estudio sobre tal eventual reforma del marco jurídico en vigor, pues es inherente a todo sistema democrático parlamentario la posibilidad de someter a la discusión política cualquier cuestión de interés general. El planteamiento de propuestas que pretendan modificar el fundamento mismo del orden constitucional tiene cabida en nuestro ordenamiento, siempre que no se defienda a través de una actividad que vulnere los principios democráticos, los derechos fundamentales o el resto de los mandatos constitucionales, y el intento de su consecución efectiva se realice en el marco de los procedimientos de reforma de la Constitución. “cuando, por el contrario, se pretenden alterar aquellos contenidos de manera unilateral y se ignoran de forma deliberada los procedimientos expresamente previstos a tal fin en la Constitución, se abandona la única senda que permite llegar a ese punto, la del Derecho” (SSTC 42/2014, FJ 4 y 259/2015, FJ 7).</w:t>
      </w:r>
    </w:p>
    <w:p w:rsidR="001D6FAE" w:rsidRDefault="001D6FAE" w:rsidP="001D6FAE">
      <w:pPr>
        <w:pStyle w:val="TextoNormal"/>
      </w:pPr>
    </w:p>
    <w:p w:rsidR="001D6FAE" w:rsidRDefault="001D6FAE" w:rsidP="001D6FAE">
      <w:pPr>
        <w:pStyle w:val="TextoNormal"/>
      </w:pPr>
      <w:r>
        <w:t>El deber de fidelidad a la Constitución por parte de los poderes públicos “constituye un soporte esencial del funcionamiento del Estado autonómico y cuya observancia resulta obligada” (STC 247/2007, de 12 diciembre, FJ 4). Por tanto las Asambleas parlamentarias, en su condición de poderes constituidos, deben velar por que sus decisiones se acomoden, en todo momento, a la Constitución y al resto del ordenamiento jurídico (art. 9.1 CE). Recae así sobre los titulares de cargos públicos —entre ellos los parlamentarios— un cualificado deber de acatamiento a la Constitución, que no se cifra en una necesaria adhesión ideológica a su total contenido, pero sí en el compromiso de realizar sus funciones de acuerdo con ella y en el respeto al resto del ordenamiento jurídico (art. 9.1 CE). “Que esto sea así para todo poder público deriva, inexcusablemente, de la condición de nuestro Estado como constitucional y de Derecho” (STC 259/2015, FJ 4). Por tanto, “el ordenamiento jurídico, con la Constitución en su cúspide, en ningún caso puede ser considerado como límite de la democracia, sino como su garantía misma” (STC 259/2015, FJ 5).</w:t>
      </w:r>
    </w:p>
    <w:p w:rsidR="001D6FAE" w:rsidRDefault="001D6FAE" w:rsidP="001D6FAE">
      <w:pPr>
        <w:pStyle w:val="TextoNormal"/>
      </w:pPr>
    </w:p>
    <w:p w:rsidR="001D6FAE" w:rsidRDefault="001D6FAE" w:rsidP="001D6FAE">
      <w:pPr>
        <w:pStyle w:val="TextoNormal"/>
      </w:pPr>
      <w:r>
        <w:t>En definitiva, importa recordar una vez más que la legitimidad democrática del Parlamento de Cataluña “no puede oponerse a la primacía incondicional de la Constitución. El texto constitucional refleja las manifestaciones relevantes del principio democrático, cuyo ejercicio, por tanto, no cabe fuera del mismo” (STC 42/2014, FJ 4). Por ello, no resulta constitucionalmente admisible que la actividad parlamentaria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Tal acontece con la aprobación por el Pleno del Parlamento de Cataluña de la resolución 263/XI, de 27 de julio de 2016, por la cual se ratifica el informe y las conclusiones de la Comisión de Estudio del Proceso Constituyente, desoyendo las expresas y nítidas advertencias contenidas al efecto en el ATC 141/2016, FJ 7.</w:t>
      </w:r>
    </w:p>
    <w:p w:rsidR="001D6FAE" w:rsidRDefault="001D6FAE" w:rsidP="001D6FAE">
      <w:pPr>
        <w:pStyle w:val="TextoNormal"/>
      </w:pPr>
    </w:p>
    <w:p w:rsidR="001D6FAE" w:rsidRDefault="001D6FAE" w:rsidP="001D6FAE">
      <w:pPr>
        <w:pStyle w:val="TextoNormal"/>
      </w:pPr>
      <w:r>
        <w:t>Por tanto, frente a lo que sostienen los Letrados del Parlamento de Cataluña en sus alegaciones y algunos miembros de la Mesa del Parlamento en sus informes, la autonomía parlamentaria no puede erigirse en razón para soslayar el cumplimiento de las resoluciones del Tribunal Constitucional. Como también recordamos en el ATC 141/2016, FJ 5, las Asambleas legislativas son “ante todo, escenarios privilegiados del debate público” (STC 226/2004, de 29 de noviembre, FJ 6) y, en principio, el eventual resultado no debe condicionar la viabilidad del debate (AATC 135/2004, FJ 6, y 189/2015, de 5 de noviembre, FJ 3). Sin embargo, la autonomía parlamentaria (art. 58 del Estatuto de Autonomía de Cataluña) no puede servir de pretexto para que la Cámara autonómica llegue a arrogarse la potestad de vulnerar el orden constitucional (STC 259/2015, FJ 7). No faltan indicios de que ello haya podido producirse al ratificar el Parlamento de Cataluña en su resolución 263/XI unas conclusiones elaboradas por la llamada Comisión de Estudio del Proceso Constituyente, cuyo contenido objetivamente contrario a la Constitución fue constatado de forma expresa por este Tribunal en el ATC 141/2016, FJ 7; lo que la Cámara autonómica conocía antes de proceder a debatir y votar en el Pleno del 27 de julio de 2016 la aprobación de dichas conclusiones.</w:t>
      </w:r>
    </w:p>
    <w:p w:rsidR="001D6FAE" w:rsidRDefault="001D6FAE" w:rsidP="001D6FAE">
      <w:pPr>
        <w:pStyle w:val="TextoNormal"/>
      </w:pPr>
    </w:p>
    <w:p w:rsidR="001D6FAE" w:rsidRDefault="001D6FAE" w:rsidP="001D6FAE">
      <w:pPr>
        <w:pStyle w:val="TextoNormal"/>
      </w:pPr>
      <w:r>
        <w:t>El Tribunal Constitucional viene abordando la cuestión que nos ocupa con el máximo respeto a la autonomía parlamentaria y con la mesura que aconsejan las circunstancias, pero también con la firmeza que requiere la importancia de o tratado. Como ya dijimos también en el ATC 141/2016, FJ 7, para este Tribunal, en su calidad de supremo intérprete de la Constitución (art. 1.1 LOTC), “resulta esencial, proclamando el respeto a la autonomía parlamentaria, admitir … que la actividad parlamentaria en el seno de una comisión de estudio puede tener como objeto analizar las distintas alternativas posibles para realizar, con arreglo a la Constitución, las reformas de la misma para satisfacer cualquier pretensión política, como este Tribunal ha tenido también ocasión de precisar con claridad (SSTC 42/2014, FFJJ 3 y 4, y 259/2015, FFJJ 3 y 7)”.</w:t>
      </w:r>
    </w:p>
    <w:p w:rsidR="001D6FAE" w:rsidRDefault="001D6FAE" w:rsidP="001D6FAE">
      <w:pPr>
        <w:pStyle w:val="TextoNormal"/>
      </w:pPr>
    </w:p>
    <w:p w:rsidR="001D6FAE" w:rsidRDefault="001D6FAE" w:rsidP="001D6FAE">
      <w:pPr>
        <w:pStyle w:val="TextoNormal"/>
      </w:pPr>
      <w:r>
        <w:t>Fue justamente por aceptar, atendiendo al máximo respeto a la autonomía parlamentaria, que la comisión de estudio creada por la resolución 5/XI podía ser susceptible de ser dirigida a ese objeto legítimo, por lo que este Tribunal, aunque estimó el incidente de ejecución promovido contra esa resolución parlamentaria, no entendió necesario declarar su nulidad. Pero tampoco dejó de advertir a los poderes implicados y a sus titulares, especialmente a la Mesa del Parlamento de Cataluña, de su deber de impedir o paralizar cualquier iniciativa que suponga ignorar o eludir los mandatos de cumplimiento de las exigencias de la Constitución y, singularmente, de los procedimientos para su reforma y, en general, de los marcos que rigen para la actividad política, tal como han sido definidos por el Tribunal en las SSTC 42/2014 y 259/2015, dejando expresa constancia de que el contenido de las conclusiones aprobadas por la Comisión de Estudio del Proceso Constituyente (finalmente ratificadas por la resolución del Parlamento de Cataluña 263/XI) contraviene los mandatos referidos (ATC 141/2016, FJ 7).</w:t>
      </w:r>
    </w:p>
    <w:p w:rsidR="001D6FAE" w:rsidRDefault="001D6FAE" w:rsidP="001D6FAE">
      <w:pPr>
        <w:pStyle w:val="TextoNormal"/>
      </w:pPr>
    </w:p>
    <w:p w:rsidR="001D6FAE" w:rsidRDefault="001D6FAE" w:rsidP="001D6FAE">
      <w:pPr>
        <w:pStyle w:val="TextoNormal"/>
      </w:pPr>
      <w:r w:rsidRPr="001D6FAE">
        <w:rPr>
          <w:rStyle w:val="NumeroAFNegritaCaracter"/>
        </w:rPr>
        <w:t>7</w:t>
      </w:r>
      <w:r>
        <w:t>. La resolución del Parlamento de Cataluña 263/XI de 27 de julio de 2016, por la que se aprueban las conclusiones de la Comisión de Estudio del Proceso Constituyente, contraviene asimismo los pronunciamientos de la STC 259/2015. Mediante la aprobación de dichas conclusiones, el Parlamento de Cataluña da continuidad y soporte al objetivo proclamado por la anulada resolución 1/XI de apertura de un “proceso constituyente en Cataluña”, encaminado a la “desconexión del Estado español” y a la “creación de la futura constitución catalana y del estado catalán independiente en forma de república”. La inconstitucionalidad de tal propósito fue declarada por la STC 259/2015 en términos firmes, que el Parlamento de Cataluña no puede obviar, por estar la propia Cámara obligada a lo resuelto por el Tribunal Constitucional (art. 87.1 LOTC), como expresamente se le recordó en el ATC 141/2016, FFJJ 5, 6 y 7.</w:t>
      </w:r>
    </w:p>
    <w:p w:rsidR="001D6FAE" w:rsidRDefault="001D6FAE" w:rsidP="001D6FAE">
      <w:pPr>
        <w:pStyle w:val="TextoNormal"/>
      </w:pPr>
    </w:p>
    <w:p w:rsidR="001D6FAE" w:rsidRDefault="001D6FAE" w:rsidP="001D6FAE">
      <w:pPr>
        <w:pStyle w:val="TextoNormal"/>
      </w:pPr>
      <w:r>
        <w:t>Además, como ya se dijo, el carácter inconstitucional de las conclusiones aprobadas por la Comisión de Estudio del Proceso Constituyente, creada por la resolución 5/XI, fue constatado en términos inequívocos por este Tribunal en el ATC 141/2016, FJ 7. Por ello advirtió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Tal admonición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De ahí deriva el cualificado deber de acatamiento a la Norma fundamental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 cuya doctrina recuerda el ATC 141/2016, FJ 5).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001D6FAE" w:rsidRDefault="001D6FAE" w:rsidP="001D6FAE">
      <w:pPr>
        <w:pStyle w:val="TextoNormal"/>
      </w:pPr>
    </w:p>
    <w:p w:rsidR="001D6FAE" w:rsidRDefault="001D6FAE" w:rsidP="001D6FAE">
      <w:pPr>
        <w:pStyle w:val="TextoNormal"/>
      </w:pPr>
      <w:r>
        <w:t>Como este Tribunal recordó en el ATC 141/2016, FJ 5, el debate público en las Asambleas legislativas sobre proyectos políticos que pretendan modificar el fundamento mismo del orden constitucional goza, precisamente al amparo de la misma Constitución, de una irrestricta libertad; siempre que no se articule o defienda a través de una actividad que vulnere los principios democráticos, los derechos fundamentales o el resto de los mandatos constitucionales y que el intento de su consecución efectiva se realice en el marco constitucional. Esto excluye la conversión de esos proyectos políticos en normas o en otras determinaciones del poder público de manera unilateral, ignorando el procedimiento de reforma constitucional (SSTC 42/2014, FJ 4, y 259/2015, FJ 7). La autonomía parlamentaria (art. 58 del Estatuto de Autonomía de Cataluña) no puede en modo alguno servir de argumento para que la Cámara autonómica se considere legitimada para atribuirse la potestad de vulnerar el orden constitucional (STC 259/2015, FJ 7).</w:t>
      </w:r>
    </w:p>
    <w:p w:rsidR="001D6FAE" w:rsidRDefault="001D6FAE" w:rsidP="001D6FAE">
      <w:pPr>
        <w:pStyle w:val="TextoNormal"/>
      </w:pPr>
    </w:p>
    <w:p w:rsidR="001D6FAE" w:rsidRDefault="001D6FAE" w:rsidP="001D6FAE">
      <w:pPr>
        <w:pStyle w:val="TextoNormal"/>
      </w:pPr>
      <w:r>
        <w:t>Pese a ello, el Parlamento de Cataluña ha desatendido las advertencias de este Tribunal contenidas en el ATC 141/2016, ratificando mediante la resolución 263/XI las inconstitucionales conclusiones aprobadas por la Comisión de Estudio del Proceso Constituyente en sus propios términos. De esta suerte la Cámara autonómica apela a un entendimiento del principio democrático objetivamente contrario a la Constitución, que menoscaba la eficacia de lo resuelto por este Tribunal en la STC 259/2015 y el ATC 141/2016. Confirma así la Cámara su voluntad de continuar con el “proceso constituyente en Cataluña” al margen del ordenamiento constitucional y sin supeditarse a las decisiones de las instituciones del Estado español y en particular de este Tribunal Constitucional. A este el Parlamento de Cataluña lo consideraba “carente de legitimidad y competencia” en la anulada resolución 1/XI (apartado sexto) y lo viene a ratificar ahora en la resolución 263/XI, cuando proclama que “las leyes de desconexión no son susceptibles de control, suspensión o impugnación por parte de ningún otro poder, juzgado o tribunal” (apartado 7), alegando que ninguna de las decisiones de la Asamblea constituyente, que dispone de “plenos poderes” para redactar y aprobar el proyecto de Constitución del futuro Estado catalán independiente en forma de república, será susceptible de control, suspensión o impugnación por parte de otro poder, juzgado o tribunal (apartado 9).</w:t>
      </w:r>
    </w:p>
    <w:p w:rsidR="001D6FAE" w:rsidRDefault="001D6FAE" w:rsidP="001D6FAE">
      <w:pPr>
        <w:pStyle w:val="TextoNormal"/>
      </w:pPr>
    </w:p>
    <w:p w:rsidR="001D6FAE" w:rsidRDefault="001D6FAE" w:rsidP="001D6FAE">
      <w:pPr>
        <w:pStyle w:val="TextoNormal"/>
      </w:pPr>
      <w:r>
        <w:t>La resolución 263/XI plasma la voluntad mayoritaria del Parlamento de Cataluña de eludir los procedimientos de reforma constitucional para llevar adelante su proyecto político 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y contraviene y menoscaba frontalmente los pronunciamientos contenidos en la STC 259/2015 y el ATC 141/2016.</w:t>
      </w:r>
    </w:p>
    <w:p w:rsidR="001D6FAE" w:rsidRDefault="001D6FAE" w:rsidP="001D6FAE">
      <w:pPr>
        <w:pStyle w:val="TextoNormal"/>
      </w:pPr>
    </w:p>
    <w:p w:rsidR="001D6FAE" w:rsidRDefault="001D6FAE" w:rsidP="001D6FAE">
      <w:pPr>
        <w:pStyle w:val="TextoNormal"/>
      </w:pPr>
      <w:r>
        <w:t>Todo ello conduce a estimar el incidente de ejecución (arts. 87.1 y 92 LOTC) promovido por la Abogacía del Estado contra la resolución del Parlamento de Cataluña 263/XI de 27 de julio de 2016, cuya apariencia de juridicidad —por provenir de un poder público sin duda legítimo en origen— debe ser cancelada mediante la declaración de inconstitucionalidad y nulidad que aquí se decide, lo que hace innecesario pronunciarse sobre la petición del levantamiento de la suspensión que pesa sobre dicha resolución (providencia de 1 de agosto de 2016) que solicitan los Letrados de la Cámara autonómica en su escrito de alegaciones.</w:t>
      </w:r>
    </w:p>
    <w:p w:rsidR="001D6FAE" w:rsidRDefault="001D6FAE" w:rsidP="001D6FAE">
      <w:pPr>
        <w:pStyle w:val="TextoNormal"/>
      </w:pPr>
    </w:p>
    <w:p w:rsidR="001D6FAE" w:rsidRDefault="001D6FAE" w:rsidP="001D6FAE">
      <w:pPr>
        <w:pStyle w:val="TextoNormal"/>
      </w:pPr>
      <w:r w:rsidRPr="001D6FAE">
        <w:rPr>
          <w:rStyle w:val="NumeroAFNegritaCaracter"/>
        </w:rPr>
        <w:t>8</w:t>
      </w:r>
      <w:r>
        <w:t>. Llegados a este punto debemos examinar seguidamente si procede efectuar los requerimientos personales, con advertencia de aplicar, en caso de incumplimiento, las medidas previstas en las letras a), b) y d) del art. 92.4 LOTC, como solicita la Abogacía del Estado, con apoyo del Ministerio Fiscal.</w:t>
      </w:r>
    </w:p>
    <w:p w:rsidR="001D6FAE" w:rsidRDefault="001D6FAE" w:rsidP="001D6FAE">
      <w:pPr>
        <w:pStyle w:val="TextoNormal"/>
      </w:pPr>
    </w:p>
    <w:p w:rsidR="001D6FAE" w:rsidRDefault="001D6FAE" w:rsidP="001D6FAE">
      <w:pPr>
        <w:pStyle w:val="TextoNormal"/>
      </w:pPr>
      <w:r>
        <w:t>Ha de advertirse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w:t>
      </w:r>
    </w:p>
    <w:p w:rsidR="001D6FAE" w:rsidRDefault="001D6FAE" w:rsidP="001D6FAE">
      <w:pPr>
        <w:pStyle w:val="TextoNormal"/>
      </w:pPr>
    </w:p>
    <w:p w:rsidR="001D6FAE" w:rsidRDefault="001D6FAE" w:rsidP="001D6FAE">
      <w:pPr>
        <w:pStyle w:val="TextoNormal"/>
      </w:pPr>
      <w:r>
        <w:t>La sucesión temporal de acontecimientos en el ámbito del Parlamento de Cataluña, que culminan con la aprobación de la resolución 263/XI pese a las advertencias contenidas en el ATC 141/2016, evidencia la pretensión de esa Cámara autonómica de incumplir las resoluciones del Tribunal Constitucional.</w:t>
      </w:r>
    </w:p>
    <w:p w:rsidR="001D6FAE" w:rsidRDefault="001D6FAE" w:rsidP="001D6FAE">
      <w:pPr>
        <w:pStyle w:val="TextoNormal"/>
      </w:pPr>
    </w:p>
    <w:p w:rsidR="001D6FAE" w:rsidRDefault="001D6FAE" w:rsidP="001D6FAE">
      <w:pPr>
        <w:pStyle w:val="TextoNormal"/>
      </w:pPr>
      <w:r>
        <w:t>En efecto, en el ATC 141/2016, por el que se estima el incidente de ejecución de la STC 259/2015 promovido por el Abogado del Estado frente a la resolución 5/XI del Parlamento de Cataluña, este Tribunal, obrando como ya se dijo con la máxima deferencia a la autonomía parlamentaria, se decantó por no anular dicha resolución, “habida cuenta que la actividad parlamentaria en el seno de una comisión de estudio puede tener como objeto analizar las distintas alternativas posibles para realizar, con arreglo a la Constitución, las reformas de la misma para satisfacer cualquier pretensión política, como este Tribunal ha tenido también ocasión de precisar con claridad (SSTC 42/2014, FFJJ 3 y 4; y 259/2015, FFJJ 3 y 7)”. Dejaba claro al propio tiempo que “lo que no resulta constitucionalmente admisible es que la actividad parlamentaria de ‘análisis’ o ‘estudio’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(ATC 141/2016, FJ 7). Como quiera que el Pleno del Tribunal tuvo conocimiento el mismo día en que se hallaba reunido para decidir sobre el incidente de ejecución, 19 de julio de 2016, de las conclusiones aprobadas el día anterior por la Comisión de Estudio del Proceso Constituyente creada por la resolución 5/XI (ATC 141/2016, antecedente 10 y FJ 7), constató de manera expresa en el ATC 141/2016, FJ 7, que el contenido de esas conclusiones “contraviene claramente los mandatos a que se viene haciendo referencia, por lo que —en el cumplimiento de las advertencias que considera necesario realizar— los obligados deben tener en cuenta esta apreciación”. Para que no quedase duda alguna acerca de los destinatarios de esta advertencia, en la parte dispositiva del ATC 141/2016 se acuerda, tras estimar el incidente de ejecución con el alcance establecido en el FJ 7, “advertir a los poderes implicados y a sus titulares, especialmente a la Mesa del Parlamento, bajo su responsabilidad, de su deber de impedir o paralizar cualquier iniciativa que suponga ignorar o eludir los mandatos enunciados”.</w:t>
      </w:r>
    </w:p>
    <w:p w:rsidR="001D6FAE" w:rsidRDefault="001D6FAE" w:rsidP="001D6FAE">
      <w:pPr>
        <w:pStyle w:val="TextoNormal"/>
      </w:pPr>
    </w:p>
    <w:p w:rsidR="001D6FAE" w:rsidRDefault="001D6FAE" w:rsidP="001D6FAE">
      <w:pPr>
        <w:pStyle w:val="TextoNormal"/>
      </w:pPr>
      <w:r>
        <w:t>A pesar de esta advertencia contenida en el ATC 141/2016, la Presidenta del Parlamento de Cataluña accedió a someter al Pleno la votación de la propuesta de los grupos parlamentarios Junts pel Sí (JxS) y Canditatura d’Unitat Popular (CUP) de incluir en el orden del día del Pleno del Parlamento de 27 de julio de 2016 un nuevo punto referido a la votación de la ratificación del informe y las conclusiones de la Comisión de Estudio del Proceso Constituyente; propuesta que fue aprobada por mayoría absoluta con los votos de los diputados de dichos grupos, para seguidamente, tras el debate, aprobarse por idéntica mayoría la ratificación de dicho informe y conclusiones de la Comisión de Estudio del Proceso Constituyente, mediante la resolución 263/XI, de 27 de julio de 2016.</w:t>
      </w:r>
    </w:p>
    <w:p w:rsidR="001D6FAE" w:rsidRDefault="001D6FAE" w:rsidP="001D6FAE">
      <w:pPr>
        <w:pStyle w:val="TextoNormal"/>
      </w:pPr>
    </w:p>
    <w:p w:rsidR="001D6FAE" w:rsidRDefault="001D6FAE" w:rsidP="001D6FAE">
      <w:pPr>
        <w:pStyle w:val="TextoNormal"/>
      </w:pPr>
      <w:r>
        <w:t>La actuación de la Presidenta del Parlamento de Cataluña permitiendo que se votara en el Pleno la alteración del orden del día solicitada por los dos grupos parlamentarios referidos en virtud de lo previsto en el art. 81 del Reglamento del Parlamento de Cataluña (RPC), lo que a la postre dio lugar a la ratificación mediante la resolución 263/XI de las conclusiones aprobadas por la Comisión de Estudio del Proceso Constituyente, constituye un incumplimiento objetivo de su deber de impedir o paralizar cualquier iniciativa que suponga ignorar o eludir los mandatos enunciados en la SSTC 259/2015 y el ATC 141/2016; deber del que se le advirtió de manera expresa, en su calidad de Presidenta de la Mesa del Parlamento y bajo su responsabilidad, en la parte dispositiva del ATC 141/2016.</w:t>
      </w:r>
    </w:p>
    <w:p w:rsidR="001D6FAE" w:rsidRDefault="001D6FAE" w:rsidP="001D6FAE">
      <w:pPr>
        <w:pStyle w:val="TextoNormal"/>
      </w:pPr>
    </w:p>
    <w:p w:rsidR="001D6FAE" w:rsidRDefault="001D6FAE" w:rsidP="001D6FAE">
      <w:pPr>
        <w:pStyle w:val="TextoNormal"/>
      </w:pPr>
      <w:r>
        <w:t>Las disposiciones reglamentarias de las Cámaras no pueden contradecir el imperio de la Constitución como norma suprema, ni ser interpretadas de forma que entren en contradicción con los pronunciamientos del Tribunal Constitucional. Frente a lo que sostienen en sus alegaciones los Letrados del Parlamento de Cataluña, así como la propia Presidenta en su informe (con el apoyo en sus informes del Vicepresidente primero y las Secretarias primera y cuarta de la Mesa, así como del Secretario General del Parlamento), su actuación no venía obligada por un cumplimiento escrupuloso del Reglamento que resultara inconciliable con las advertencias contenidas en el ATC 141/2016.</w:t>
      </w:r>
    </w:p>
    <w:p w:rsidR="001D6FAE" w:rsidRDefault="001D6FAE" w:rsidP="001D6FAE">
      <w:pPr>
        <w:pStyle w:val="TextoNormal"/>
      </w:pPr>
    </w:p>
    <w:p w:rsidR="001D6FAE" w:rsidRDefault="001D6FAE" w:rsidP="001D6FAE">
      <w:pPr>
        <w:pStyle w:val="TextoNormal"/>
      </w:pPr>
      <w:r>
        <w:t>No cabe duda de que a la Presidenta le incumbe la función de dirigir el debate y de cumplir y hacer cumplir el Reglamento del Parlamento (art. 39.1 RPC); lo que ha de cohonestarse con el cumplimiento de las resoluciones del Tribunal Constitucional, al que vienen obligados todos los poderes públicos, y por ende sus titulares (art. 87.1 LOTC). En tal sentido ha de advertirse que aunque es cierto que el art. 81.3 RPC (al que se refieren en sus alegaciones los Letrados del Parlamento de Cataluña y en sus informes respectivos la Presidenta del Parlamento y el resto de los cargos ya aludidos) permite en su primer inciso que el orden del día del Pleno del Parlamento pueda ser alterado si así lo acuerda este a petición (entre otros supuestos) de dos grupos parlamentarios, ello no es razón bastante para entender que la Presidenta viniera obligada a someter al Pleno la votación de la propuesta de los grupos parlamentarios JxS y CUP; lo previsto en el segundo inciso del propio art. 81.3 RPC, en relación con lo dispuesto en el art. 37.3, letras a) y e), del propio Reglamento del Parlamento de Cataluña, faculta a la Mesa del Parlamento, que actúa bajo la dirección de la Presidenta (art. 37.2 RPC), para decidir que esa propuesta parlamentaria no debía tramitarse, por contravenir los pronunciamientos contenidos en el ATC 141/2016.</w:t>
      </w:r>
    </w:p>
    <w:p w:rsidR="001D6FAE" w:rsidRDefault="001D6FAE" w:rsidP="001D6FAE">
      <w:pPr>
        <w:pStyle w:val="TextoNormal"/>
      </w:pPr>
    </w:p>
    <w:p w:rsidR="001D6FAE" w:rsidRDefault="001D6FAE" w:rsidP="001D6FAE">
      <w:pPr>
        <w:pStyle w:val="TextoNormal"/>
      </w:pPr>
      <w:r w:rsidRPr="001D6FAE">
        <w:rPr>
          <w:rStyle w:val="NumeroAFNegritaCaracter"/>
        </w:rPr>
        <w:t>9</w:t>
      </w:r>
      <w:r>
        <w:t>. En definitiva, la garantía del orden constitucional, conculcado por la resolución 263/XI del Parlamento de Cataluña y en particular por la actuación de su Presidenta, al facilitar el cauce para la aprobación de dicha resolución pese a la STC 259/2015 y a las advertencias contenidas en el ATC 141/2016, exige que este Tribunal ejerza las competencias que la Constitución le encomienda para preservar su jurisdicción y el cumplimiento de sus resoluciones (STC 259/2015, FJ 4; AATC 189/2015, FJ 3; y 141/2016, FJ 7).</w:t>
      </w:r>
    </w:p>
    <w:p w:rsidR="001D6FAE" w:rsidRDefault="001D6FAE" w:rsidP="001D6FAE">
      <w:pPr>
        <w:pStyle w:val="TextoNormal"/>
      </w:pPr>
    </w:p>
    <w:p w:rsidR="001D6FAE" w:rsidRDefault="001D6FAE" w:rsidP="001D6FAE">
      <w:pPr>
        <w:pStyle w:val="TextoNormal"/>
      </w:pPr>
      <w:r>
        <w:t>Ello implica, conforme a lo razonado en los fundamentos jurídicos precedentes, que la estimación del presente incidente de ejecución no se limite a declarar la inconstitucionalidad y nulidad de la resolución 263/XI del Parlamento de Cataluña, sino que, asimismo, de conformidad con lo dispuesto en los arts. 87.1, párrafo segundo, y 92.4 LOTC, procede notificar personalmente la presente resolución a la Presidenta del Parlamento de Cataluña, a los demás miembros de la Mesa del Parlamento y al Secretario General del Parlamento, así como al Presidente y demás miembros del Consejo de Gobierno de la Generalitat de Cataluña, advirtiéndoles de su deber de abstenerse de realizar cualesquiera actuaciones tendentes a dar cumplimiento a la resolución 263/XI, así como de su deber de impedir o paralizar cualquier iniciativa, jurídica o material, que directa o indirectamente pretenda o suponga ignorar o eludir la nulidad acordada de dicha resolución. Todo ello con expreso apercibimiento de la eventual responsabilidad en las que pudieran incurrir en caso de incumplimiento de lo ordenado por este Tribunal.</w:t>
      </w:r>
    </w:p>
    <w:p w:rsidR="001D6FAE" w:rsidRDefault="001D6FAE" w:rsidP="001D6FAE">
      <w:pPr>
        <w:pStyle w:val="TextoNormal"/>
      </w:pPr>
    </w:p>
    <w:p w:rsidR="001D6FAE" w:rsidRDefault="001D6FAE" w:rsidP="001D6FAE">
      <w:pPr>
        <w:pStyle w:val="TextoNormal"/>
      </w:pPr>
      <w:r>
        <w:t>No es competencia de este Tribunal resolver si la conducta de la Presidenta del Parlamento de Cataluña es constitutiva de alguna infracción penal, pero sí constatar que las circunstancias antes referidas constituyen un conjunto de entidad suficiente como para trasladarlas al Ministerio Fiscal a fin de que, si lo estima pertinente, promueva el ejercicio de las acciones penales que considere procedentes.</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el incidente de ejecución formulado por el Abogado del Estado en relación con la resolución 263/XI del Parlamento de Cataluña, de 27 de julio de 2016, por la cual se ratifica el informe y las conclusiones de la Comisión de Estudio del Proceso Constituyente (“Boletín Oficial del Parlamento de Cataluña” núm. 200, de 1 de agosto de 2016) y, en su virtud:</w:t>
      </w:r>
    </w:p>
    <w:p w:rsidR="001D6FAE" w:rsidRDefault="001D6FAE" w:rsidP="001D6FAE">
      <w:pPr>
        <w:pStyle w:val="TextoNormal"/>
      </w:pPr>
    </w:p>
    <w:p w:rsidR="001D6FAE" w:rsidRDefault="001D6FAE" w:rsidP="001D6FAE">
      <w:pPr>
        <w:pStyle w:val="TextoNormal"/>
      </w:pPr>
      <w:r>
        <w:t>1º Declarar la nulidad de la resolución del Parlamento de Cataluña 263/XI, de 27 de julio de 2016, por la cual se ratifica el informe y las conclusiones de la Comisión de Estudio del Proceso Constituyente.</w:t>
      </w:r>
    </w:p>
    <w:p w:rsidR="001D6FAE" w:rsidRDefault="001D6FAE" w:rsidP="001D6FAE">
      <w:pPr>
        <w:pStyle w:val="TextoNormal"/>
      </w:pPr>
    </w:p>
    <w:p w:rsidR="001D6FAE" w:rsidRDefault="001D6FAE" w:rsidP="001D6FAE">
      <w:pPr>
        <w:pStyle w:val="TextoNormal"/>
      </w:pPr>
      <w:r>
        <w:t>2º Notificar personalmente el presente Auto a la Presidenta del Parlamento de Cataluña, a los demás miembros de la Mesa del Parlamento y al Secretario General del Parlamento, así como al Presidente y demás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001D6FAE" w:rsidRDefault="001D6FAE" w:rsidP="001D6FAE">
      <w:pPr>
        <w:pStyle w:val="TextoNormal"/>
      </w:pPr>
    </w:p>
    <w:p w:rsidR="001D6FAE" w:rsidRDefault="001D6FAE" w:rsidP="001D6FAE">
      <w:pPr>
        <w:pStyle w:val="TextoNormal"/>
      </w:pPr>
      <w:r>
        <w:t>3º Deducir testimonio de particulares para que el Ministerio Fiscal, si lo estima procedente, ejerza las acciones que correspondan ante el Tribunal competente, acerca de la eventual responsabilidad en que hubieran podido incurrir la Presidenta del Parlamento de Cataluña, doña Carme Forcadell i Luis y, en su caso, cualesquiera otras personas, por incumplir el mandato del párrafo primero del art. 87.1 de la Ley Orgánica del Tribunal Constitucional en relación con los hechos objeto del presente incidente de ejecución.</w:t>
      </w:r>
    </w:p>
    <w:p w:rsidR="001D6FAE" w:rsidRDefault="001D6FAE" w:rsidP="001D6FAE">
      <w:pPr>
        <w:pStyle w:val="TextoNormal"/>
      </w:pPr>
    </w:p>
    <w:p w:rsidR="001D6FAE" w:rsidRDefault="001D6FAE" w:rsidP="001D6FAE">
      <w:pPr>
        <w:pStyle w:val="TextoNormal"/>
      </w:pPr>
      <w:r>
        <w:t>Publíquese este Auto en el “Boletín Oficial del Estado”.</w:t>
      </w:r>
    </w:p>
    <w:p w:rsidR="001D6FAE" w:rsidRDefault="001D6FAE" w:rsidP="001D6FAE">
      <w:pPr>
        <w:pStyle w:val="TextoNormal"/>
      </w:pPr>
    </w:p>
    <w:p w:rsidR="001D6FAE" w:rsidRDefault="001D6FAE" w:rsidP="001D6FAE">
      <w:pPr>
        <w:pStyle w:val="TextoNormal"/>
      </w:pPr>
      <w:r>
        <w:t>Madrid, a seis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5" w:name="AUTO_2016_171"/>
      <w:r>
        <w:t>AUTO 171/2016, de 6 de octubre de 2016</w:t>
      </w:r>
    </w:p>
    <w:bookmarkEnd w:id="145"/>
    <w:p w:rsidR="001D6FAE" w:rsidRDefault="001D6FAE" w:rsidP="001D6FAE">
      <w:pPr>
        <w:pStyle w:val="TtuloResolucin"/>
      </w:pPr>
      <w:r>
        <w:t>Pleno</w:t>
      </w:r>
    </w:p>
    <w:p w:rsidR="001D6FAE" w:rsidRDefault="001D6FAE" w:rsidP="001D6FAE">
      <w:pPr>
        <w:pStyle w:val="TextoNormalCentrado"/>
      </w:pPr>
      <w:r>
        <w:t>ECLI:ES:TC:2016:171A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Levanta la suspensión en el recurso de inconstitucionalidad 1941-2016, interpuesto por el Presidente del Gobierno en relación con diversos preceptos de la Ley del Parlamento Vasco 6/2015, de 30 de junio, de medidas adicionales de protección medioambientales para la extracción de hidrocarburos no convencionales y la fractura hidráulica o fracking.</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xml:space="preserve">. Mediante escrito presentado en el Registro General de este Tribunal el 11 de abril de 2016, el Abogado del Estado, en representación del Presidente del Gobierno, interpuso recurso de inconstitucionalidad contra los arts. 2 (inciso “los hidratos de metano enterrados en el mar”), 3, 5, y 6 (inciso “así como la reposición de la situación alterada a su estado originario”) y las disposiciones transitorias primera y segunda de la Ley del Parlamento Vasco 6/2015, de 30 de junio, de medidas adicionales de protección medioambiental para la extracción de hidrocarburos no convencionales y la fractura hidráulica o </w:t>
      </w:r>
      <w:r w:rsidRPr="001D6FAE">
        <w:rPr>
          <w:i/>
        </w:rPr>
        <w:t>fracking</w:t>
      </w:r>
      <w:r>
        <w:t>.</w:t>
      </w:r>
    </w:p>
    <w:p w:rsidR="001D6FAE" w:rsidRDefault="001D6FAE" w:rsidP="001D6FAE">
      <w:pPr>
        <w:pStyle w:val="TextoNormal"/>
      </w:pPr>
    </w:p>
    <w:p w:rsidR="001D6FAE" w:rsidRDefault="001D6FAE" w:rsidP="001D6FAE">
      <w:pPr>
        <w:pStyle w:val="TextoNormal"/>
      </w:pPr>
      <w:r>
        <w:t xml:space="preserve">En esencia, el Abogado del Estado sostiene que los arts. 3 y 5 de esa Ley, que modifican las Leyes de urbanismo y aguas del País Vasco, respectivamente, limitando o prohibiendo el uso de la técnica del </w:t>
      </w:r>
      <w:r w:rsidRPr="001D6FAE">
        <w:rPr>
          <w:i/>
        </w:rPr>
        <w:t>fracking</w:t>
      </w:r>
      <w:r>
        <w:t xml:space="preserve"> o fractura hidráulica en sus respectivos ámbitos de aplicación “pretende[n] dejar sin eficacia” las normas dictadas por el Estado en ejercicio legítimo de sus competencias en materia de economía (art. 149.1.13 CE) y bases del régimen minero (art. 149.1.25 CE) para permitir el empleo de esa técnica, posibilidad prevista en el art. 9.5 de la Ley 34/1998, de 7 de octubre, del sector de hidrocarburos, añadido por la disposición adicional segunda de la Ley 17/2013, de 29 de octubre, con las medidas de protección medioambiental igualmente establecidas por el Estado en la Ley 21/2013, de 9 de diciembre, de evaluación ambiental. Por este mismo motivo considera que son igualmente inconstitucionales y nulos un inciso del art. 6 y las disposiciones transitorias primera y segunda de la Ley 6/2015, por su carácter “instrumental” o por su “conexión” con los anteriores. Finalmente, entiende que un inciso del art. 2 permite a la Comunidad Autónoma extender sus competencias sobre el mar territorial sin concurrir los requisitos excepcionales para ello establecidos por la doctrina de este Tribunal.</w:t>
      </w:r>
    </w:p>
    <w:p w:rsidR="001D6FAE" w:rsidRDefault="001D6FAE" w:rsidP="001D6FAE">
      <w:pPr>
        <w:pStyle w:val="TextoNormal"/>
      </w:pPr>
    </w:p>
    <w:p w:rsidR="001D6FAE" w:rsidRDefault="001D6FAE" w:rsidP="001D6FAE">
      <w:pPr>
        <w:pStyle w:val="TextoNormal"/>
      </w:pPr>
      <w:r>
        <w:t>El Abogado del Estado invocó el art. 161.2 CE, en relación con el art. 30 de la Ley Orgánica del Tribunal Constitucional (LOTC), a fin de que se produjese la suspensión del inciso del precepto de la Ley recurrida.</w:t>
      </w:r>
    </w:p>
    <w:p w:rsidR="001D6FAE" w:rsidRDefault="001D6FAE" w:rsidP="001D6FAE">
      <w:pPr>
        <w:pStyle w:val="TextoNormal"/>
      </w:pPr>
    </w:p>
    <w:p w:rsidR="001D6FAE" w:rsidRDefault="001D6FAE" w:rsidP="001D6FAE">
      <w:pPr>
        <w:pStyle w:val="TextoNormal"/>
      </w:pPr>
      <w:r w:rsidRPr="001D6FAE">
        <w:rPr>
          <w:rStyle w:val="NumeroAFNegritaCaracter"/>
        </w:rPr>
        <w:t>2</w:t>
      </w:r>
      <w:r>
        <w:t>. El Pleno del Tribunal, mediante providencia de 26 de abril de 2016, acordó admitir a trámite el presente recurso de inconstitucionalidad y dar traslado de las actuaciones, conforme establece el art. 34 de la Ley Orgánica del Tribunal Constitucional, al Congreso de los Diputados, al Senado, al Gobierno y al Parlamento de la Comunidad Autónoma del País Vasco,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aparezca publicada la suspensión en el “Boletín Oficial del Estado” para los terceros, así como también publicar la incoación del recurso en el “Boletín Oficial del Estado” y en el “Boletín Oficial del País Vasco”.</w:t>
      </w:r>
    </w:p>
    <w:p w:rsidR="001D6FAE" w:rsidRDefault="001D6FAE" w:rsidP="001D6FAE">
      <w:pPr>
        <w:pStyle w:val="TextoNormal"/>
      </w:pPr>
    </w:p>
    <w:p w:rsidR="001D6FAE" w:rsidRDefault="001D6FAE" w:rsidP="001D6FAE">
      <w:pPr>
        <w:pStyle w:val="TextoNormal"/>
      </w:pPr>
      <w:r w:rsidRPr="001D6FAE">
        <w:rPr>
          <w:rStyle w:val="NumeroAFNegritaCaracter"/>
        </w:rPr>
        <w:t>3</w:t>
      </w:r>
      <w:r>
        <w:t>. El Letrado del Parlamento Vasco presentó sus alegaciones ante este Tribunal el 9 de junio de 2016, solicitando la desestimación del recurso interpuesto y sin hacer alegaciones sobre el levantamiento de la suspensión de los preceptos recurridos.</w:t>
      </w:r>
    </w:p>
    <w:p w:rsidR="001D6FAE" w:rsidRDefault="001D6FAE" w:rsidP="001D6FAE">
      <w:pPr>
        <w:pStyle w:val="TextoNormal"/>
      </w:pPr>
    </w:p>
    <w:p w:rsidR="001D6FAE" w:rsidRDefault="001D6FAE" w:rsidP="001D6FAE">
      <w:pPr>
        <w:pStyle w:val="TextoNormal"/>
      </w:pPr>
      <w:r w:rsidRPr="001D6FAE">
        <w:rPr>
          <w:rStyle w:val="NumeroAFNegritaCaracter"/>
        </w:rPr>
        <w:t>4</w:t>
      </w:r>
      <w:r>
        <w:t>. Por escrito registrado en este Tribunal el 13 de junio de 2016, la representación del Gobierno Vasco formuló alegaciones solicitando la desestimación del recurso de inconstitucionalidad. Asimismo, solicitó por otrosí el levantamiento de la suspensión acordada. Recuerda que es doctrina consolidada de este Tribunal que el plazo de cinco meses previsto en el art. 161.2 CE opera como límite máximo para ratificar o levantar la suspensión, pero que se incluye entre las potestades del Tribunal Constitucional la de pronunciarse al respecto antes del transcurso de esos cinco meses, y expone luego una consideraciones de carácter general sobre los criterios a los que, a su juicio, debe atender este Tribunal para adoptar esa decisión, que son la presunción de legitimidad de las normas, la ponderación de los intereses en presencia, tanto el general y público como los particulares o privados de terceras personas afectadas, y la existencia de perjuicios de imposible o difícil reparación que puede producir la suspensión de la norma.</w:t>
      </w:r>
    </w:p>
    <w:p w:rsidR="001D6FAE" w:rsidRDefault="001D6FAE" w:rsidP="001D6FAE">
      <w:pPr>
        <w:pStyle w:val="TextoNormal"/>
      </w:pPr>
    </w:p>
    <w:p w:rsidR="001D6FAE" w:rsidRDefault="001D6FAE" w:rsidP="001D6FAE">
      <w:pPr>
        <w:pStyle w:val="TextoNormal"/>
      </w:pPr>
      <w:r>
        <w:t>A continuación, recuerda que tampoco concurren en este caso las circunstancias excepcionales admitidas por la doctrina de este Tribunal que justifican el mantenimiento de la suspensión sin necesidad de acreditar la producción de daños de imposible o difícil reparación, que son: a) supuestos en los que la competencia estatal está palmariamente reconocida por el bloque de constitucionalidad, y b) supuestos en los que la norma impugnada reconoce expresamente haberse dictado con la única finalidad de dejar en suspenso una competencia estatal cuya legitimidad se discute. En este caso, prosigue, no concurren ninguno de esos dos presupuestos: ni la Ley 6/2015 se ha dictado con la finalidad de bloquear el ejercicio de competencias estatales, ni puede afirmarse en este trámite liminar que la competencia estatal esté reconocida de forma palmaria en el bloque de la constitucionalidad, pues la norma autonómica se ampara en la competencia autonómica para dictar normas adicionales de protección del medio ambiente [art. 149.1.23 CE y 11.1 a) del Estatuto de Autonomía para el País Vasco: EAPV].</w:t>
      </w:r>
    </w:p>
    <w:p w:rsidR="001D6FAE" w:rsidRDefault="001D6FAE" w:rsidP="001D6FAE">
      <w:pPr>
        <w:pStyle w:val="TextoNormal"/>
      </w:pPr>
    </w:p>
    <w:p w:rsidR="001D6FAE" w:rsidRDefault="001D6FAE" w:rsidP="001D6FAE">
      <w:pPr>
        <w:pStyle w:val="TextoNormal"/>
      </w:pPr>
      <w:r>
        <w:t>Además, señala una serie de circunstancias que a su juicio deben conducir al levantamiento de la suspensión: en primer lugar, la Ley ha estado en vigor por un periodo de nueve meses sin que se haya producido ningún perjuicio conocido ni a los intereses públicos ni a terceros; en segundo lugar, la prohibición introducida en la Ley del suelo (artículo 3) no es incondicionada, sino que depende de lo que dispongan los instrumentos de ordenación y gestión, que en la actualidad no prevén esa prohibición de la técnica extractiva, de modo que el levantamiento de la suspensión no produciría ningún efecto inmediato; en tercer lugar, la prohibición introducida en la Ley de aguas (artículo 5, que añade un apartado 2 al artículo 29 de esta última Ley) es en realidad una particularización o ejemplificación singular de la prohibición general de actividades susceptibles de provocar directa o indirectamente la contaminación o degradación de las aguas prevista en el apartado 1, por lo que en realidad el levantamiento de la suspensión tampoco modificaría esa realidad normativa; y finalmente, por lo que respecta a la disposición transitoria primera, que prescribe la aplicación de la Ley a los permisos ya concedidos o en tramitación, considera que el levantamiento de la suspensión tampoco produciría perjuicios irreparables teniendo en cuenta que en la actualidad solo hay permisos de investigación concedidos, no permisos de explotación, y aquéllos no atribuyen a su titular el derecho a obtener un permiso de explotación, sino solo “un derecho de prioridad para su tramitación”, según jurisprudencia del Tribunal Supremo. Además, los posibles perjuicios económicos quedarían cubiertos por el instituto de la responsabilidad patrimonial del estado legislador.</w:t>
      </w:r>
    </w:p>
    <w:p w:rsidR="001D6FAE" w:rsidRDefault="001D6FAE" w:rsidP="001D6FAE">
      <w:pPr>
        <w:pStyle w:val="TextoNormal"/>
      </w:pPr>
    </w:p>
    <w:p w:rsidR="001D6FAE" w:rsidRDefault="001D6FAE" w:rsidP="001D6FAE">
      <w:pPr>
        <w:pStyle w:val="TextoNormal"/>
      </w:pPr>
      <w:r w:rsidRPr="001D6FAE">
        <w:rPr>
          <w:rStyle w:val="NumeroAFNegritaCaracter"/>
        </w:rPr>
        <w:t>5</w:t>
      </w:r>
      <w:r>
        <w:t>. Por providencia de 21 de junio de 2016, el Pleno del Tribunal acordó incorporar a los autos los escritos de alegaciones formulados por el Letrado del Parlamento Vasco y de los servicios jurídicos centrales de la Administración general de la Comunidad Autónoma del País Vasco, en representación de dicha Cámara y de su Gobierno, respectivamente, y, en cuanto a la solicitud que formula este último por otrosí sobre el levantamiento de la suspensión de los preceptos objeto del recurso, dar traslado al Abogado del Estado y a la representación legal del Parlamento Vasco para que, en el plazo de cinco días, pudieran exponer lo que estimasen procedente al respecto.</w:t>
      </w:r>
    </w:p>
    <w:p w:rsidR="001D6FAE" w:rsidRDefault="001D6FAE" w:rsidP="001D6FAE">
      <w:pPr>
        <w:pStyle w:val="TextoNormal"/>
      </w:pPr>
    </w:p>
    <w:p w:rsidR="001D6FAE" w:rsidRDefault="001D6FAE" w:rsidP="001D6FAE">
      <w:pPr>
        <w:pStyle w:val="TextoNormal"/>
      </w:pPr>
      <w:r w:rsidRPr="001D6FAE">
        <w:rPr>
          <w:rStyle w:val="NumeroAFNegritaCaracter"/>
        </w:rPr>
        <w:t>6</w:t>
      </w:r>
      <w:r>
        <w:t>. El Abogado del Estado formuló sus alegaciones por escrito registrado en este Tribunal el 29 de junio de 2016, interesando el mantenimiento de la suspensión de la vigencia de los preceptos impugnados.</w:t>
      </w:r>
    </w:p>
    <w:p w:rsidR="001D6FAE" w:rsidRDefault="001D6FAE" w:rsidP="001D6FAE">
      <w:pPr>
        <w:pStyle w:val="TextoNormal"/>
      </w:pPr>
    </w:p>
    <w:p w:rsidR="001D6FAE" w:rsidRDefault="001D6FAE" w:rsidP="001D6FAE">
      <w:pPr>
        <w:pStyle w:val="TextoNormal"/>
      </w:pPr>
      <w:r>
        <w:t xml:space="preserve">Tras hacer un recordatorio de los criterios que según la doctrina consolidada de este Tribunal deben manejarse para resolver sobre el mantenimiento o levantamiento de la suspensión, recuerda que casos similares a este se han resuelto ya, en favor de la competencia del Estado, en las SSTC 106/2014, de 24 de junio, 134/2014, de 22 de julio, y 208/2014, de 15 de diciembre, en relación con normas similares de Cantabria, La Rioja y Navarra, respectivamente; y, singularmente, en la STC 73/2016, de 14 de abril, en relación con una norma catalana que presenta una “indudable analogía o similitud intensa con este caso” por presentarse también como una medida adicional de protección del medio ambiente que fue sin embargo rechazada por el Tribunal. Por lo tanto, considera aplicable la doctrina del </w:t>
      </w:r>
      <w:r w:rsidRPr="001D6FAE">
        <w:rPr>
          <w:i/>
        </w:rPr>
        <w:t>fumus boni iuris</w:t>
      </w:r>
      <w:r>
        <w:t xml:space="preserve"> para justificar el mantenimiento de la suspensión.</w:t>
      </w:r>
    </w:p>
    <w:p w:rsidR="001D6FAE" w:rsidRDefault="001D6FAE" w:rsidP="001D6FAE">
      <w:pPr>
        <w:pStyle w:val="TextoNormal"/>
      </w:pPr>
    </w:p>
    <w:p w:rsidR="001D6FAE" w:rsidRDefault="001D6FAE" w:rsidP="001D6FAE">
      <w:pPr>
        <w:pStyle w:val="TextoNormal"/>
      </w:pPr>
      <w:r>
        <w:t>Acto seguido, desgrana los perjuicios que el levantamiento de la suspensión podría generar tanto para el interés general como para intereses particulares o privados.</w:t>
      </w:r>
    </w:p>
    <w:p w:rsidR="001D6FAE" w:rsidRDefault="001D6FAE" w:rsidP="001D6FAE">
      <w:pPr>
        <w:pStyle w:val="TextoNormal"/>
      </w:pPr>
    </w:p>
    <w:p w:rsidR="001D6FAE" w:rsidRDefault="001D6FAE" w:rsidP="001D6FAE">
      <w:pPr>
        <w:pStyle w:val="TextoNormal"/>
      </w:pPr>
      <w:r>
        <w:t>Por lo que respecta al interés general, señala que el levantamiento de la suspensión privaría a España de una importante fuente de recursos energéticos, teniendo nuestro país una dependencia energética del 99,5 por 100 y un saldo negativo entre las importaciones y las exportaciones de productos energéticos de 26.085,5 millones de euros, según se acredita en el informe de la Secretaría de Estado de Comercio que acompaña a la demanda. Todo ello sin perjuicio de la repercusión en el producto interior bruto (4,3 por 100) y en la generación de empleo (260.000 puestos de trabajo) de esta actividad de explotación de gas no convencional, y de los ingresos tributarios que, como cualquier actividad empresarial, reportaría.</w:t>
      </w:r>
    </w:p>
    <w:p w:rsidR="001D6FAE" w:rsidRDefault="001D6FAE" w:rsidP="001D6FAE">
      <w:pPr>
        <w:pStyle w:val="TextoNormal"/>
      </w:pPr>
    </w:p>
    <w:p w:rsidR="001D6FAE" w:rsidRDefault="001D6FAE" w:rsidP="001D6FAE">
      <w:pPr>
        <w:pStyle w:val="TextoNormal"/>
      </w:pPr>
      <w:r>
        <w:t>Identifica además una serie de perjuicios para intereses privados. Apunta en particular a los efectos del levantamiento de la suspensión sobre los permisos de investigación ya existentes, que afectan además a Comunidades Autónomas limítrofes, y que se identifican en los informes que acompañan a la demanda. Los titulares de los citados permisos están desarrollando los trabajos comprometidos, y con el levantamiento de la suspensión verían frustrada su legítima expectativa de recuperar la inversión comprometida, que en lo que a la Comunidad Autónoma del país Vasco se refiere asciende a 80 millones de euros. A ello hay que sumar el impacto que el levantamiento de la suspensión podría generar en la inversión extranjera, que podría desviarse a otras áreas geográficas con “un marco regulatorio más estable”.</w:t>
      </w:r>
    </w:p>
    <w:p w:rsidR="001D6FAE" w:rsidRDefault="001D6FAE" w:rsidP="001D6FAE">
      <w:pPr>
        <w:pStyle w:val="TextoNormal"/>
      </w:pPr>
    </w:p>
    <w:p w:rsidR="001D6FAE" w:rsidRDefault="001D6FAE" w:rsidP="001D6FAE">
      <w:pPr>
        <w:pStyle w:val="TextoNormal"/>
      </w:pPr>
      <w:r>
        <w:t>Finalmente, recuerda que si la Ley recurrida se justifica en atención a los posibles riesgos que la actividad de la fractura hidráulica puede generar para el medio ambiente, la protección de éste se encuentra ya garantizada por la legislación del Estado, que impone el sometimiento de todo proyecto de estas características al trámite de evaluación ambiental. Y que la prohibición introducida en la Ley de aguas afecta al 36 por 100 del territorio de la Comunidad Autónoma del País Vasco, llegando, en el caso de Álava, al 50 por 100.</w:t>
      </w:r>
    </w:p>
    <w:p w:rsidR="001D6FAE" w:rsidRDefault="001D6FAE" w:rsidP="001D6FAE">
      <w:pPr>
        <w:pStyle w:val="TextoNormal"/>
      </w:pPr>
    </w:p>
    <w:p w:rsidR="001D6FAE" w:rsidRDefault="001D6FAE" w:rsidP="001D6FAE">
      <w:pPr>
        <w:pStyle w:val="TextoNormal"/>
      </w:pPr>
      <w:r>
        <w:t xml:space="preserve">Termina alertando sobre el riesgo de proliferación de este tipo de iniciativas contrarias al </w:t>
      </w:r>
      <w:r w:rsidRPr="001D6FAE">
        <w:rPr>
          <w:i/>
        </w:rPr>
        <w:t>fracking</w:t>
      </w:r>
      <w:r>
        <w:t xml:space="preserve"> en otras Comunidades Autónomas si se levanta la suspensión de los preceptos impugnados.</w:t>
      </w:r>
    </w:p>
    <w:p w:rsidR="001D6FAE" w:rsidRDefault="001D6FAE" w:rsidP="001D6FAE">
      <w:pPr>
        <w:pStyle w:val="TextoNormal"/>
      </w:pPr>
    </w:p>
    <w:p w:rsidR="001D6FAE" w:rsidRDefault="001D6FAE" w:rsidP="001D6FAE">
      <w:pPr>
        <w:pStyle w:val="TextoNormal"/>
      </w:pPr>
      <w:r w:rsidRPr="001D6FAE">
        <w:rPr>
          <w:rStyle w:val="NumeroAFNegritaCaracter"/>
        </w:rPr>
        <w:t>7</w:t>
      </w:r>
      <w:r>
        <w:t>. El Letrado del parlamento Vasco presentó sus alegaciones ante este Tribunal el 6 de julio de 2016, adhiriéndose expresamente a lo manifestado por la representación del Gobierno Vasco mediante otrosí en su escrito de alegaciones al recurso de inconstitucionalidad.</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xml:space="preserve">. El objeto de la presente resolución consiste en determinar si procede levantar o mantener la suspensión de los artículos de la Ley del Parlamento Vasco 6/2015, de 30 de junio, de medidas adicionales de protección medioambiental para la extracción de hidrocarburos no convencionales y la fractura hidráulica o </w:t>
      </w:r>
      <w:r w:rsidRPr="001D6FAE">
        <w:rPr>
          <w:i/>
        </w:rPr>
        <w:t>fracking</w:t>
      </w:r>
      <w:r>
        <w:t>, que son objeto del recurso de inconstitucionalidad núm. 1941-2016 interpuesto por el Presidente del Gobierno.</w:t>
      </w:r>
    </w:p>
    <w:p w:rsidR="001D6FAE" w:rsidRDefault="001D6FAE" w:rsidP="001D6FAE">
      <w:pPr>
        <w:pStyle w:val="TextoNormal"/>
      </w:pPr>
    </w:p>
    <w:p w:rsidR="001D6FAE" w:rsidRDefault="001D6FAE" w:rsidP="001D6FAE">
      <w:pPr>
        <w:pStyle w:val="TextoNormal"/>
      </w:pPr>
      <w:r>
        <w:t xml:space="preserve">En su recurso, el Abogado del Estado considera que la citada Ley 6/2015 contraviene la posibilidad general de emplear la técnica de la fractura hidráulica, admitida en el art. 9.5 de la Ley 34/1998, de 7 de octubre, del sector de hidrocarburos, cuya cobertura competencial </w:t>
      </w:r>
      <w:r w:rsidRPr="001D6FAE">
        <w:rPr>
          <w:i/>
        </w:rPr>
        <w:t>ex</w:t>
      </w:r>
      <w:r>
        <w:t xml:space="preserve"> art. 149.1.13 (economía) y 25 (bases del régimen minero) CE ha admitido ya este Tribunal en las SSTC 106/2014, de 24 de junio, 134/2014, de 22 de julio, 208/2014, de 15 de diciembre, y STC 73/2016, de 14 de abril, dictadas con ocasión de recursos de inconstitucionalidad interpuestos por el Presidente del Gobierno contra normas similares de otras Comunidades Autónomas.</w:t>
      </w:r>
    </w:p>
    <w:p w:rsidR="001D6FAE" w:rsidRDefault="001D6FAE" w:rsidP="001D6FAE">
      <w:pPr>
        <w:pStyle w:val="TextoNormal"/>
      </w:pPr>
    </w:p>
    <w:p w:rsidR="001D6FAE" w:rsidRDefault="001D6FAE" w:rsidP="001D6FAE">
      <w:pPr>
        <w:pStyle w:val="TextoNormal"/>
      </w:pPr>
      <w:r>
        <w:t>Los representantes del Parlamento y Gobierno autonómicos entienden, por el contrario, que los preceptos e incisos recurridos encuentran cobertura competencial en los títulos de protección del medio ambiente [arts. 149.1.23 de la Constitución y 11.1 a) del Estatuto de Autonomía para el País Vasco: EAPV], ordenación del territorio y urbanismo (art. 10.31 EAPV) y aprovechamientos hidráulicos, canales y regadíos, aguas minerales, termales y subterráneas (art. 10.11 EAPV) asumidos por la Comunidad Autónoma del País Vasco; y enfatizan además que la Ley impugnada no contiene una prohibición absoluta e incondicionada de la técnica de la fractura hidráulica incompatible con las bases estatales, en los términos ya proscritos por las SSTC 106/2014, 134/2014 y 208/2014, citadas de contrario, sino que establecen limitaciones razonables y proporcionadas al fin propuesto (protección del medio ambiente), respetando así la citada jurisprudencia constitucional.</w:t>
      </w:r>
    </w:p>
    <w:p w:rsidR="001D6FAE" w:rsidRDefault="001D6FAE" w:rsidP="001D6FAE">
      <w:pPr>
        <w:pStyle w:val="TextoNormal"/>
      </w:pPr>
    </w:p>
    <w:p w:rsidR="001D6FAE" w:rsidRDefault="001D6FAE" w:rsidP="001D6FAE">
      <w:pPr>
        <w:pStyle w:val="TextoNormal"/>
      </w:pPr>
      <w:r w:rsidRPr="001D6FAE">
        <w:rPr>
          <w:rStyle w:val="NumeroAFNegritaCaracter"/>
        </w:rPr>
        <w:t>2</w:t>
      </w:r>
      <w:r>
        <w:t>. Expuestos sucintamente los términos del recurso de inconstitucionalidad, cuyo contenido no compete resolver en este momento procesal, hemos de centrarnos en la cuestión de si procede o no procede levantar la suspensión de vigencia de las disposiciones impugnadas por el Estado, tal y como han solicitado las representaciones del Gobierno y del Parlamento autonómicos.</w:t>
      </w:r>
    </w:p>
    <w:p w:rsidR="001D6FAE" w:rsidRDefault="001D6FAE" w:rsidP="001D6FAE">
      <w:pPr>
        <w:pStyle w:val="TextoNormal"/>
      </w:pPr>
    </w:p>
    <w:p w:rsidR="001D6FAE" w:rsidRDefault="001D6FAE" w:rsidP="001D6FAE">
      <w:pPr>
        <w:pStyle w:val="TextoNormal"/>
      </w:pPr>
      <w:r>
        <w:t>Sobre este tipo de incidentes de suspensión es reiterada nuestra doctrina según la cual para su resolución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(así, entre otros muchos, AATC 157/2013, de 11 de julio, FJ 2, y 67/2015, de 14 de abril, FJ 1).</w:t>
      </w:r>
    </w:p>
    <w:p w:rsidR="001D6FAE" w:rsidRDefault="001D6FAE" w:rsidP="001D6FAE">
      <w:pPr>
        <w:pStyle w:val="TextoNormal"/>
      </w:pPr>
    </w:p>
    <w:p w:rsidR="001D6FAE" w:rsidRDefault="001D6FAE" w:rsidP="001D6FAE">
      <w:pPr>
        <w:pStyle w:val="TextoNormal"/>
      </w:pPr>
      <w:r w:rsidRPr="001D6FAE">
        <w:rPr>
          <w:rStyle w:val="NumeroAFNegritaCaracter"/>
        </w:rPr>
        <w:t>3</w:t>
      </w:r>
      <w:r>
        <w:t xml:space="preserve">. Con todo, el Abogado del Estado alude como primer motivo de suspensión al criterio del </w:t>
      </w:r>
      <w:r w:rsidRPr="001D6FAE">
        <w:rPr>
          <w:i/>
        </w:rPr>
        <w:t>fumus boni iuris</w:t>
      </w:r>
      <w:r>
        <w:t xml:space="preserve">, teniendo en cuenta los pronunciamientos anteriores de este Tribunal, ya citados, declarando inconstitucionales y nulas normas autonómicas que prohibían el empleo de la técnica del </w:t>
      </w:r>
      <w:r w:rsidRPr="001D6FAE">
        <w:rPr>
          <w:i/>
        </w:rPr>
        <w:t>fracking</w:t>
      </w:r>
      <w:r>
        <w:t>.</w:t>
      </w:r>
    </w:p>
    <w:p w:rsidR="001D6FAE" w:rsidRDefault="001D6FAE" w:rsidP="001D6FAE">
      <w:pPr>
        <w:pStyle w:val="TextoNormal"/>
      </w:pPr>
    </w:p>
    <w:p w:rsidR="001D6FAE" w:rsidRDefault="001D6FAE" w:rsidP="001D6FAE">
      <w:pPr>
        <w:pStyle w:val="TextoNormal"/>
      </w:pPr>
      <w:r>
        <w:t xml:space="preserve">Efectivamente, este Tribunal ha admitido excepcionalmente que pueda tenerse en consideración el criterio del </w:t>
      </w:r>
      <w:r w:rsidRPr="001D6FAE">
        <w:rPr>
          <w:i/>
        </w:rPr>
        <w:t>fumus boni iuris</w:t>
      </w:r>
      <w:r>
        <w:t xml:space="preserve"> para resolver este tipo de incidentes, como ocurre señaladamente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de 2015, FJ 6, y 41/2016, de 16 de febrero, FFJJ 2 y 3).</w:t>
      </w:r>
    </w:p>
    <w:p w:rsidR="001D6FAE" w:rsidRDefault="001D6FAE" w:rsidP="001D6FAE">
      <w:pPr>
        <w:pStyle w:val="TextoNormal"/>
      </w:pPr>
    </w:p>
    <w:p w:rsidR="001D6FAE" w:rsidRDefault="001D6FAE" w:rsidP="001D6FAE">
      <w:pPr>
        <w:pStyle w:val="TextoNormal"/>
      </w:pPr>
      <w:r>
        <w:t>En el presente caso, las tres primeras Sentencias antes citadas (SSTC 106/2014, 134/2014 y 208/2014) no pueden servir para aplicar el criterio de la apariencia de buen derecho. Como el propio Abogado del Estado reconoce en el escrito de interposición del recurso de inconstitucionalidad, la norma aquí impugnada se diferencia de las allí examinadas en que no contiene una “prohibición absoluta e incondicionada de la técnica de la fractura hidráulica en todo el territorio de la Comunidad Autónoma”, como se apreció en aquellos otros casos [SSTC 106/2014, FJ 8 a), 134/2014, FJ 2 f) y 208/2014, FJ 2 f)]. Por lo tanto, no pueden servir de soporte a la suspensión. Esta misma resolución se adoptó ya en el ATC 63/2015, de 17 de marzo, FJ 2, dictado en el recurso de inconstitucionalidad núm. 6513-2014, en el que recayó la última de las Sentencias citadas (STC 73/2016).</w:t>
      </w:r>
    </w:p>
    <w:p w:rsidR="001D6FAE" w:rsidRDefault="001D6FAE" w:rsidP="001D6FAE">
      <w:pPr>
        <w:pStyle w:val="TextoNormal"/>
      </w:pPr>
    </w:p>
    <w:p w:rsidR="001D6FAE" w:rsidRDefault="001D6FAE" w:rsidP="001D6FAE">
      <w:pPr>
        <w:pStyle w:val="TextoNormal"/>
      </w:pPr>
      <w:r>
        <w:t xml:space="preserve">En relación con la similitud apreciada por el Abogado del Estado entre el artículo 3 aquí impugnado y el precepto catalán declarado inconstitucional y nulo en la mencionada STC 73/2016, resulta obligado advertir que el precepto vasco contiene una remisión a “lo que establezcan los instrumentos de ordenación territorial urbanística y/o ambiental” que no existía en el precepto catalán, y que los representantes del Gobierno y del Parlamento Vascos fundamentan en esta divergencia la diferente solución que, a su juicio, debe adoptar este Tribunal, según es de ver en sus escritos de alegaciones. En consecuencia, la similitud no alcanza el grado necesario para aplicar el criterio del </w:t>
      </w:r>
      <w:r w:rsidRPr="001D6FAE">
        <w:rPr>
          <w:i/>
        </w:rPr>
        <w:t>fumus boni iuris</w:t>
      </w:r>
      <w:r>
        <w:t>, excepcional como queda dicho en la doctrina de este Tribunal, y por tanto de aplicación restrictiva.</w:t>
      </w:r>
    </w:p>
    <w:p w:rsidR="001D6FAE" w:rsidRDefault="001D6FAE" w:rsidP="001D6FAE">
      <w:pPr>
        <w:pStyle w:val="TextoNormal"/>
      </w:pPr>
    </w:p>
    <w:p w:rsidR="001D6FAE" w:rsidRDefault="001D6FAE" w:rsidP="001D6FAE">
      <w:pPr>
        <w:pStyle w:val="TextoNormal"/>
      </w:pPr>
      <w:r>
        <w:t>Lo dicho respecto a las diferencias entre el precepto objeto de este recurso y el examinado en la STC 73/2016 conduce asimismo a rechazar que nos encontremos ante otro de los supuestos excepcionales que permiten mantener la suspensión sin entrar a valorar los perjuicios de imposible o difícil reparación que ello generaría: el bloqueo de competencias estatales. Según se recuerda en el citado ATC 63/2015,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1D6FAE" w:rsidRDefault="001D6FAE" w:rsidP="001D6FAE">
      <w:pPr>
        <w:pStyle w:val="TextoNormal"/>
      </w:pPr>
    </w:p>
    <w:p w:rsidR="001D6FAE" w:rsidRDefault="001D6FAE" w:rsidP="001D6FAE">
      <w:pPr>
        <w:pStyle w:val="TextoNormal"/>
      </w:pPr>
      <w:r>
        <w:t>Ninguna de las circunstancias descritas concurre en este caso: ni la competencia estatal es incontrovertida, pues la Ley recurrida se ampara en la competencia autonómica para dictar normas “adicionales” de protección del medio ambiente; ni existe evidencia alguna de que la Ley se haya dictado con el propósito de bloquear el ejercicio de las competencias del Estado.</w:t>
      </w:r>
    </w:p>
    <w:p w:rsidR="001D6FAE" w:rsidRDefault="001D6FAE" w:rsidP="001D6FAE">
      <w:pPr>
        <w:pStyle w:val="TextoNormal"/>
      </w:pPr>
    </w:p>
    <w:p w:rsidR="001D6FAE" w:rsidRDefault="001D6FAE" w:rsidP="001D6FAE">
      <w:pPr>
        <w:pStyle w:val="TextoNormal"/>
      </w:pPr>
      <w:r w:rsidRPr="001D6FAE">
        <w:rPr>
          <w:rStyle w:val="NumeroAFNegritaCaracter"/>
        </w:rPr>
        <w:t>4</w:t>
      </w:r>
      <w:r>
        <w:t>. Al no ser aplicables los criterios anteriores, debe atenderse al criterio general y resolver si los perjuicios que ha alegado el Abogado del Estado tienen la gravedad y la consistencia necesarias como para prevalecer sobre la presunción de constitucionalidad de los preceptos impugnados.</w:t>
      </w:r>
    </w:p>
    <w:p w:rsidR="001D6FAE" w:rsidRDefault="001D6FAE" w:rsidP="001D6FAE">
      <w:pPr>
        <w:pStyle w:val="TextoNormal"/>
      </w:pPr>
    </w:p>
    <w:p w:rsidR="001D6FAE" w:rsidRDefault="001D6FAE" w:rsidP="001D6FAE">
      <w:pPr>
        <w:pStyle w:val="TextoNormal"/>
      </w:pPr>
      <w:r>
        <w:t>Los concretos perjuicios que se derivarían, según el Abogado del Estado, del levantamiento de la suspensión han quedado detallados en el apartado de los antecedentes. Resumidamente, alude a la pérdida, al menos provisional, de una fuente de recursos energéticos importante en un país como España con un alto grado de dependencia energética del exterior (perjuicio al interés general), y a las pérdidas que el levantamiento de la suspensión podría suponer para los titulares de los permisos de investigación ya concedidos, con inversiones comprometidas con el Estado por valor de 80 millones de euros (perjuicio al interés particular).</w:t>
      </w:r>
    </w:p>
    <w:p w:rsidR="001D6FAE" w:rsidRDefault="001D6FAE" w:rsidP="001D6FAE">
      <w:pPr>
        <w:pStyle w:val="TextoNormal"/>
      </w:pPr>
    </w:p>
    <w:p w:rsidR="001D6FAE" w:rsidRDefault="001D6FAE" w:rsidP="001D6FAE">
      <w:pPr>
        <w:pStyle w:val="TextoNormal"/>
      </w:pPr>
      <w:r>
        <w:t>Ninguno de estos perjuicios puede considerarse de imposible o difícil reparación.</w:t>
      </w:r>
    </w:p>
    <w:p w:rsidR="001D6FAE" w:rsidRDefault="001D6FAE" w:rsidP="001D6FAE">
      <w:pPr>
        <w:pStyle w:val="TextoNormal"/>
      </w:pPr>
    </w:p>
    <w:p w:rsidR="001D6FAE" w:rsidRDefault="001D6FAE" w:rsidP="001D6FAE">
      <w:pPr>
        <w:pStyle w:val="TextoNormal"/>
      </w:pPr>
      <w:r>
        <w:t>En cuanto al primero, el propio informe al que alude el Abogado del Estado, fechado el 6 de abril de 2016, afirma que existe “incertidumbre” en cuanto al “volumen de reservas de hidrocarburos no convencionales en España”, así como en cuanto a la posibilidad de su “recuperación” y “su viabilidad económica”, señalando además que “todos los permisos se encuentran en una fase preliminar y no parece factible la perforación de ningún sondeo con fractura hidráulica antes de dos años”. Por lo tanto, el mantenimiento de la suspensión no producirá el perjuicio alegado; todo lo más mantendrá la situación existente en España en tanto se resuelve el fondo del recurso.</w:t>
      </w:r>
    </w:p>
    <w:p w:rsidR="001D6FAE" w:rsidRDefault="001D6FAE" w:rsidP="001D6FAE">
      <w:pPr>
        <w:pStyle w:val="TextoNormal"/>
      </w:pPr>
    </w:p>
    <w:p w:rsidR="001D6FAE" w:rsidRDefault="001D6FAE" w:rsidP="001D6FAE">
      <w:pPr>
        <w:pStyle w:val="TextoNormal"/>
      </w:pPr>
      <w:r>
        <w:t>Y por lo que respecta a las pérdidas que puedan sufrir los titulares de permisos de investigación, se trataría de perjuicios de naturaleza económica y por tanto indemnizables, razón por la cual deben ceder ante la presunción de constitucionalidad de la Ley impugnada (ATC 181/2011, de 13 de diciembre, FJ 5).</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 xml:space="preserve">Levantar la suspensión de los arts. 2 (inciso “los hidratos de metano enterrados en el mar”), 3, 5, y 6 (inciso “así como la reposición de la situación alterada a su estado originario”) y las disposiciones transitorias primera y segunda de la Ley de la Comunidad Autónoma del País Vasco 6/2015, de 30 de junio, de medidas adicionales de protección medioambiental para la extracción de hidrocarburos no convencionales y la fractura hidráulica o </w:t>
      </w:r>
      <w:r w:rsidRPr="001D6FAE">
        <w:rPr>
          <w:i/>
        </w:rPr>
        <w:t>fracking</w:t>
      </w:r>
      <w:r>
        <w:t>.</w:t>
      </w:r>
    </w:p>
    <w:p w:rsidR="001D6FAE" w:rsidRDefault="001D6FAE" w:rsidP="001D6FAE">
      <w:pPr>
        <w:pStyle w:val="TextoNormal"/>
      </w:pPr>
    </w:p>
    <w:p w:rsidR="001D6FAE" w:rsidRDefault="001D6FAE" w:rsidP="001D6FAE">
      <w:pPr>
        <w:pStyle w:val="TextoNormal"/>
      </w:pPr>
      <w:r>
        <w:t>Madrid, a seis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6" w:name="AUTO_2016_172"/>
      <w:r>
        <w:t>AUTO 172/2016, de 7 de octubre de 2016</w:t>
      </w:r>
    </w:p>
    <w:bookmarkEnd w:id="146"/>
    <w:p w:rsidR="001D6FAE" w:rsidRDefault="001D6FAE" w:rsidP="001D6FAE">
      <w:pPr>
        <w:pStyle w:val="TtuloResolucin"/>
      </w:pPr>
      <w:r>
        <w:t>Sección Tercera</w:t>
      </w:r>
    </w:p>
    <w:p w:rsidR="001D6FAE" w:rsidRDefault="001D6FAE" w:rsidP="001D6FAE">
      <w:pPr>
        <w:pStyle w:val="TextoNormalCentrado"/>
      </w:pPr>
      <w:r>
        <w:t>ECLI:ES:TC:2016:172A</w:t>
      </w:r>
    </w:p>
    <w:p w:rsidR="001D6FAE" w:rsidRDefault="001D6FAE" w:rsidP="001D6FAE">
      <w:pPr>
        <w:pStyle w:val="TextoNormalCentrado"/>
      </w:pPr>
    </w:p>
    <w:p w:rsidR="001D6FAE" w:rsidRDefault="001D6FAE" w:rsidP="001D6FAE">
      <w:pPr>
        <w:pStyle w:val="SntesisDescriptiva"/>
      </w:pPr>
      <w:r>
        <w:t>Excms. Srs. doña Adela Asua Batarrita, don Juan José González Rivas y don Pedro José González-Trevijano Sánchez.</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47" w:name="AUTO_2016_173"/>
      <w:r>
        <w:t>AUTO 173/2016, de 17 de octubre de 2016</w:t>
      </w:r>
    </w:p>
    <w:bookmarkEnd w:id="147"/>
    <w:p w:rsidR="001D6FAE" w:rsidRDefault="001D6FAE" w:rsidP="001D6FAE">
      <w:pPr>
        <w:pStyle w:val="TtuloResolucin"/>
      </w:pPr>
      <w:r>
        <w:t>Sala Primera</w:t>
      </w:r>
    </w:p>
    <w:p w:rsidR="001D6FAE" w:rsidRDefault="001D6FAE" w:rsidP="001D6FAE">
      <w:pPr>
        <w:pStyle w:val="TextoNormalCentrado"/>
      </w:pPr>
      <w:r>
        <w:t>ECLI:ES:TC:2016:173A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don Andrés Ollero Tassara, don Santiago Martínez-Vares García y don Juan Antonio Xiol Ríos.</w:t>
      </w:r>
    </w:p>
    <w:p w:rsidR="001D6FAE" w:rsidRDefault="001D6FAE" w:rsidP="001D6FAE">
      <w:pPr>
        <w:pStyle w:val="SntesisDescriptiva"/>
      </w:pPr>
    </w:p>
    <w:p w:rsidR="001D6FAE" w:rsidRDefault="001D6FAE" w:rsidP="001D6FAE">
      <w:pPr>
        <w:pStyle w:val="SntesisDescriptiva"/>
      </w:pPr>
      <w:r>
        <w:t>Deniega la suspensión en el recurso de amparo 1821-2016, promovido por la federación regional de servicios de la Unión General de Trabajadores en Madrid (FES-UGT) en proceso parlamentario.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5 de abril de 2016, el Procurador de los Tribunales don Ignacio Argos Linares, en nombre y representación de la federación regional de servicios de la Unión General de Trabajadores de Madrid (FES-UGT-Madrid), y bajo la dirección del Letrado don José Antonio Serrano Martínez, interpuso recurso de amparo contra el acuerdo de la Mesa de la Asamblea de la Comunidad de Madrid de 14 de marzo de 2016, por el que se rechaza la reconsideración del acuerdo de 7 de marzo de 2016 que establece la propuesta de asociaciones profesionales y sociales más representativas del sector de la comunicación a los efectos de la presentación de candidaturas para el consejo de administración de Radio Televisión Madrid.</w:t>
      </w:r>
    </w:p>
    <w:p w:rsidR="001D6FAE" w:rsidRDefault="001D6FAE" w:rsidP="001D6FAE">
      <w:pPr>
        <w:pStyle w:val="TextoNormal"/>
      </w:pPr>
    </w:p>
    <w:p w:rsidR="001D6FAE" w:rsidRDefault="001D6FAE" w:rsidP="001D6FAE">
      <w:pPr>
        <w:pStyle w:val="TextoNormal"/>
      </w:pPr>
      <w:r>
        <w:t>En la demanda de amparo se solicita por otrosí la suspensión cautelar del proceso de elección de miembros del consejo de administración de Radio Televisión Madrid de los miembros correspondientes a las asociaciones profesionales y sociales más representativas del sector de la comunicación por entender que se puede causar un perjuicio irreparable en caso de que el proceso siga adelante y este Tribunal estime este recurso de amparo.</w:t>
      </w:r>
    </w:p>
    <w:p w:rsidR="001D6FAE" w:rsidRDefault="001D6FAE" w:rsidP="001D6FAE">
      <w:pPr>
        <w:pStyle w:val="TextoNormal"/>
      </w:pPr>
    </w:p>
    <w:p w:rsidR="001D6FAE" w:rsidRDefault="001D6FAE" w:rsidP="001D6FAE">
      <w:pPr>
        <w:pStyle w:val="TextoNormal"/>
      </w:pPr>
      <w:r w:rsidRPr="001D6FAE">
        <w:rPr>
          <w:rStyle w:val="NumeroAFNegritaCaracter"/>
        </w:rPr>
        <w:t>2</w:t>
      </w:r>
      <w:r>
        <w:t>. La Sala Primera de este Tribunal, por providencia de 19 de septiembre de 2016, acordó la admisión a trámite de la demanda de amparo y la formación de pieza separada para la tramitación del incidente sobre la suspensión solicitada. La Sección Primera de este Tribunal, por providencia de 19 de noviembre de 2016, acordó conceder al recurrente y al Ministerio Fiscal el plazo común de tres días para que alegasen lo que estimasen pertinente sobre la suspensión.</w:t>
      </w:r>
    </w:p>
    <w:p w:rsidR="001D6FAE" w:rsidRDefault="001D6FAE" w:rsidP="001D6FAE">
      <w:pPr>
        <w:pStyle w:val="TextoNormal"/>
      </w:pPr>
    </w:p>
    <w:p w:rsidR="001D6FAE" w:rsidRDefault="001D6FAE" w:rsidP="001D6FAE">
      <w:pPr>
        <w:pStyle w:val="TextoNormal"/>
      </w:pPr>
      <w:r w:rsidRPr="001D6FAE">
        <w:rPr>
          <w:rStyle w:val="NumeroAFNegritaCaracter"/>
        </w:rPr>
        <w:t>3</w:t>
      </w:r>
      <w:r>
        <w:t>. El Ministerio Fiscal, por escrito registrado el 29 de septiembre de 2016, presentó alegaciones en las que, enunciando la jurisprudencia de este Tribunal sobre el particular, interesó que se denegara la suspensión por perdida de objeto, argumentando que el proceso de elección cuya suspensión se solicita ya ha finalizado en fecha 5 de mayo de 2016 al haber procedido el pleno de la Asamblea de la Comunidad de Madrid a la designación de los miembros que debían formar parte del consejo de administración de Radio Televisión Madrid (“BOAM” núm. 60, de 12 de mayo de 2016).</w:t>
      </w:r>
    </w:p>
    <w:p w:rsidR="001D6FAE" w:rsidRDefault="001D6FAE" w:rsidP="001D6FAE">
      <w:pPr>
        <w:pStyle w:val="TextoNormal"/>
      </w:pPr>
    </w:p>
    <w:p w:rsidR="001D6FAE" w:rsidRDefault="001D6FAE" w:rsidP="001D6FAE">
      <w:pPr>
        <w:pStyle w:val="TextoNormal"/>
      </w:pPr>
      <w:r w:rsidRPr="001D6FAE">
        <w:rPr>
          <w:rStyle w:val="NumeroAFNegritaCaracter"/>
        </w:rPr>
        <w:t>4</w:t>
      </w:r>
      <w:r>
        <w:t>. La parte recurrente, por escrito registrado el 27 de septiembre de 2016, presentó alegaciones reiterando la solicitud de suspensión cautelar formulada en su escrito de demanda alegando que el consejo de administración ya está formalmente constituido desde el 20 de septiembre de 2016 por lo que, si no se procede a la suspensión, el recurso de amparo va a ir perdiendo su finalidad progresivamente. Igualmente, destaca que su suspensión no ocasionaría ninguna perturbación grave al poder seguir desarrollando sus funciones de manera provisional como han hecho hasta ahora.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Este Tribunal ha reiterado que la suspensión solo procede respecto de una ejecución que se está produciendo o que podría producirse en el futuro, de modo que carece de objeto y de sentido cuando el acto de los poderes públicos impugnado ya ha sido ejecutado plenamente, pues en ese caso las vulneraciones, de concurrir, ya se habrían producido y agotado (por ejemplo, AATC 315/2003, de 1 de octubre, y 94/2006, de 27 de marzo).</w:t>
      </w:r>
    </w:p>
    <w:p w:rsidR="001D6FAE" w:rsidRDefault="001D6FAE" w:rsidP="001D6FAE">
      <w:pPr>
        <w:pStyle w:val="TextoNormal"/>
      </w:pPr>
    </w:p>
    <w:p w:rsidR="001D6FAE" w:rsidRDefault="001D6FAE" w:rsidP="001D6FAE">
      <w:pPr>
        <w:pStyle w:val="TextoNormal"/>
      </w:pPr>
      <w:r>
        <w:t>En el presente caso, como ya ha sido expuesto en los antecedentes, ha quedado acreditado que (i) la concreta suspensión que se ha solicitado en la demanda y reiterado en el escrito de alegaciones es exclusivamente la del proceso de elección de miembros del consejo de administración de Radio Televisión Madrid de los miembros correspondientes a las asociaciones profesionales y sociales más representativas del sector de la comunicación; y (ii) que esas elecciones finalizaron el 5 de mayo de 2016 al haber procedido el Pleno de la Asamblea de la Comunidad de Madrid a la designación de los miembros que debían formar parte del consejo de administración de Radio Televisión Madrid (“BOAM” núm. 60, de 12 de mayo de 2016) y que dicho consejo de administración ha sido formalmente constituido el 20 de septiembre de 2016.</w:t>
      </w:r>
    </w:p>
    <w:p w:rsidR="001D6FAE" w:rsidRDefault="001D6FAE" w:rsidP="001D6FAE">
      <w:pPr>
        <w:pStyle w:val="TextoNormal"/>
      </w:pPr>
    </w:p>
    <w:p w:rsidR="001D6FAE" w:rsidRDefault="001D6FAE" w:rsidP="001D6FAE">
      <w:pPr>
        <w:pStyle w:val="TextoNormal"/>
      </w:pPr>
      <w:r>
        <w:t>Por tanto, no resulta procedente ni posible acceder a la suspensión de un proceso de elección que ya ha finalizado.</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Denegar la suspensión solicitada.</w:t>
      </w:r>
    </w:p>
    <w:p w:rsidR="001D6FAE" w:rsidRDefault="001D6FAE" w:rsidP="001D6FAE">
      <w:pPr>
        <w:pStyle w:val="TextoNormal"/>
      </w:pPr>
    </w:p>
    <w:p w:rsidR="001D6FAE" w:rsidRDefault="001D6FAE" w:rsidP="001D6FAE">
      <w:pPr>
        <w:pStyle w:val="TextoNormal"/>
      </w:pPr>
      <w:r>
        <w:t>Madrid, a diecisiete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8" w:name="AUTO_2016_174"/>
      <w:r>
        <w:t>AUTO 174/2016, de 17 de octubre de 2016</w:t>
      </w:r>
    </w:p>
    <w:bookmarkEnd w:id="148"/>
    <w:p w:rsidR="001D6FAE" w:rsidRDefault="001D6FAE" w:rsidP="001D6FAE">
      <w:pPr>
        <w:pStyle w:val="TtuloResolucin"/>
      </w:pPr>
      <w:r>
        <w:t>Sala Segunda</w:t>
      </w:r>
    </w:p>
    <w:p w:rsidR="001D6FAE" w:rsidRDefault="001D6FAE" w:rsidP="001D6FAE">
      <w:pPr>
        <w:pStyle w:val="TextoNormalCentrado"/>
      </w:pPr>
      <w:r>
        <w:t>ECLI:ES:TC:2016:174A</w:t>
      </w:r>
    </w:p>
    <w:p w:rsidR="001D6FAE" w:rsidRDefault="001D6FAE" w:rsidP="001D6FAE">
      <w:pPr>
        <w:pStyle w:val="TextoNormalCentrado"/>
      </w:pPr>
    </w:p>
    <w:p w:rsidR="001D6FAE" w:rsidRDefault="001D6FAE" w:rsidP="001D6FAE">
      <w:pPr>
        <w:pStyle w:val="SntesisDescriptiva"/>
      </w:pPr>
      <w:r>
        <w:t>Excms. Srs. doña Adela Asua Batarrita, don Fernando Valdés Dal-Ré, don Juan José González Rivas,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Acuerda la suspensión en el recurso de amparo 1881-2016, promovido por don Jean-Pierre Ollivier en pleito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7 de abril de 2016 tuvo entrada en el Registro General de este Tribunal escrito firmado por el Procurador de los Tribunales don José Manuel Villasante García, en nombre y representación de don Jean-Pierre Ollivier, en virtud del cual interpuso recurso de amparo contra el Auto de 17 de junio de 2015, dictado por el Juzgado de Primera Instancia núm. 18 de Palma de Mallorca en la pieza de nulidad núm. 5-2015, y por el que se rechazó tal petición de nulidad de actuaciones promovida por el aquí demandante de amparo en el procedimiento de ejecución hipotecaria núm. 556-2014. Dirigió, asimismo, el suplico de la demanda de amparo frente a la diligencia de ordenación de 25 de febrero de 2015, por la que en el citado procedimiento de ejecución hipotecaria se había acordado, mediante comunicación edictal, requerir de pago al ahora recurrente de amparo, interesando su nulidad, así como la de todas las actuaciones posteriores a la misma.</w:t>
      </w:r>
    </w:p>
    <w:p w:rsidR="001D6FAE" w:rsidRDefault="001D6FAE" w:rsidP="001D6FAE">
      <w:pPr>
        <w:pStyle w:val="TextoNormal"/>
      </w:pPr>
    </w:p>
    <w:p w:rsidR="001D6FAE" w:rsidRDefault="001D6FAE" w:rsidP="001D6FAE">
      <w:pPr>
        <w:pStyle w:val="TextoNormal"/>
      </w:pPr>
      <w:r>
        <w:t>Como se acaba de exponer, frente al demandante de amparo se siguió un proceso de ejecución hipotecaria a instancias de la entidad Caixabank, S.A., en el que, de conformidad con lo dispuesto en el art. 227 de la Ley de enjuiciamiento civil y aduciendo indefensión, el demandante de amparo vino a interesar la nulidad de lo hasta entonces actuado, con retroacción del procedimiento de ejecución al momento anterior al dictado del Auto de 12 de noviembre de 2014, con el fin de que se le pudiera notificar el despacho de ejecución y ejercitar, en consecuencia, su derecho de defensa. Denunciaba que el emplazamiento se realizó por edictos en el inmueble objeto de ejecución, sito en Deiá (Baleares), no obstante tenerse constancia tanto por la parte ejecutante, como por el propio Juzgado, a través de la escritura de préstamo hipotecario que sirve ahora de título ejecutivo, del domicilio donde el ejecutado tiene su residencia fija desde 1991 (Andorra la Vella); circunstancia ésta que hubiera permitido una notificación personal, en línea con lo expuesto en la STC 122/2013, de 20 de mayo.</w:t>
      </w:r>
    </w:p>
    <w:p w:rsidR="001D6FAE" w:rsidRDefault="001D6FAE" w:rsidP="001D6FAE">
      <w:pPr>
        <w:pStyle w:val="TextoNormal"/>
      </w:pPr>
    </w:p>
    <w:p w:rsidR="001D6FAE" w:rsidRDefault="001D6FAE" w:rsidP="001D6FAE">
      <w:pPr>
        <w:pStyle w:val="TextoNormal"/>
      </w:pPr>
      <w:r>
        <w:t>El Auto de 17 de junio de 2015 desestimó la solicitud de nulidad considerando que no se había producido vulneración alguna del derecho del recurrente, al haberse dado cumplimiento a lo dispuesto en el art. 686 de la Ley de enjuiciamiento civil, pues:</w:t>
      </w:r>
    </w:p>
    <w:p w:rsidR="001D6FAE" w:rsidRDefault="001D6FAE" w:rsidP="001D6FAE">
      <w:pPr>
        <w:pStyle w:val="TextoNormal"/>
      </w:pPr>
    </w:p>
    <w:p w:rsidR="001D6FAE" w:rsidRDefault="001D6FAE" w:rsidP="001D6FAE">
      <w:pPr>
        <w:pStyle w:val="TextoNormal"/>
      </w:pPr>
      <w:r>
        <w:t>“[L]a escritura de préstamo hipotecario, de 8 de octubre de 2007, en su estipulación o pacto décimo, apartado 2, trataba las posibles acciones judiciales ante eventuales incumplimientos y así, en concreto, se señaló como domicilio para la práctica de los requerimientos y notificaciones… el de la finca hipotecada. La finca hipotecada se encuentra en el término municipal de Deiá, donde consta que se han llevado a cabo las diligencias de notificación, por más que en el momento de la formalización pública de la operación crediticia constara otro domicilio del prestatario (ahora ejecutado) en el Principado de Andorra. La facultad de notificar algún cambio de vecindad a los efectos de poder fijar un domicilio para notificaciones de cara a la entidad prestamista (ahora ejecutante) no fue realizada por quien sostiene una nulidad procesal, que como se viene desgranando resulta inexistente. Y resulta indiferente que la alegada ‘vecindad’ sea previa a la fecha de la escritura del préstamo con garantía hipotecaria, tal y como se pretende documentar con la aportación de un contrato de inquilinato.</w:t>
      </w:r>
    </w:p>
    <w:p w:rsidR="001D6FAE" w:rsidRDefault="001D6FAE" w:rsidP="001D6FAE">
      <w:pPr>
        <w:pStyle w:val="TextoNormal"/>
      </w:pPr>
    </w:p>
    <w:p w:rsidR="001D6FAE" w:rsidRDefault="001D6FAE" w:rsidP="001D6FAE">
      <w:pPr>
        <w:pStyle w:val="TextoNormal"/>
      </w:pPr>
      <w:r>
        <w:t>Mayor rechazo merece el argumento relativo a que era exigible al Juzgado una mayor diligencia a la hora de llevar a cabo la notificación personal del ejecutado… puesto que la tramitación procesal se adecúa a las prescripciones legales de carácter procesal que, a su vez, se inspiran en el principio básico de esta jurisdicción civil, el principio dispositivo o de rogación. De acogerse alguna de las razones expuestas por el ejecutado, sería tanto como admitir la circunstancia de quedar al arbitrio de alguna de las partes procesales los tiempos y exigencias procesales.”</w:t>
      </w:r>
    </w:p>
    <w:p w:rsidR="001D6FAE" w:rsidRDefault="001D6FAE" w:rsidP="001D6FAE">
      <w:pPr>
        <w:pStyle w:val="TextoNormal"/>
      </w:pPr>
    </w:p>
    <w:p w:rsidR="001D6FAE" w:rsidRDefault="001D6FAE" w:rsidP="001D6FAE">
      <w:pPr>
        <w:pStyle w:val="TextoNormal"/>
      </w:pPr>
      <w:r w:rsidRPr="001D6FAE">
        <w:rPr>
          <w:rStyle w:val="NumeroAFNegritaCaracter"/>
        </w:rPr>
        <w:t>2</w:t>
      </w:r>
      <w:r>
        <w:t>. El demandante de amparo denuncia en su recurso la vulneración del derecho a la tutela judicial efectiva sin indefensión (art. 24.1 CE). A su juicio, el razonamiento del Juzgado descarta la obligación del órgano judicial de averiguar el domicilio real y efectivo de la parte demandada, en contra de lo dispuesto en la STC 122/2013, de 20 de mayo, pese a su expresa invocación ante el Juzgado ejecutante.</w:t>
      </w:r>
    </w:p>
    <w:p w:rsidR="001D6FAE" w:rsidRDefault="001D6FAE" w:rsidP="001D6FAE">
      <w:pPr>
        <w:pStyle w:val="TextoNormal"/>
      </w:pPr>
    </w:p>
    <w:p w:rsidR="001D6FAE" w:rsidRDefault="001D6FAE" w:rsidP="001D6FAE">
      <w:pPr>
        <w:pStyle w:val="TextoNormal"/>
      </w:pPr>
      <w:r>
        <w:t>La demanda solicita, por medio de otrosí, que se deje “en suspenso el referido procedimiento civil, ya que, en caso de continuarse el mismo y celebrarse subasta de la finca hipotecada, la adquisición de la misma por un tercero de buena fe podría quedar amparada por el artículo 34 de la Ley Hipotecaria y, en tal caso, no podría restituirse la propiedad de dicha finca”, ocasionándose de este modo al demandante daños y perjuicios de imposible o muy difícil reparación si finalmente le fuera concedido el amparo solicitado.</w:t>
      </w:r>
    </w:p>
    <w:p w:rsidR="001D6FAE" w:rsidRDefault="001D6FAE" w:rsidP="001D6FAE">
      <w:pPr>
        <w:pStyle w:val="TextoNormal"/>
      </w:pPr>
    </w:p>
    <w:p w:rsidR="001D6FAE" w:rsidRDefault="001D6FAE" w:rsidP="001D6FAE">
      <w:pPr>
        <w:pStyle w:val="TextoNormal"/>
      </w:pPr>
      <w:r w:rsidRPr="001D6FAE">
        <w:rPr>
          <w:rStyle w:val="NumeroAFNegritaCaracter"/>
        </w:rPr>
        <w:t>3</w:t>
      </w:r>
      <w:r>
        <w:t xml:space="preserve">. Mediante providencia de 20 de septiembre de 2016, la Sección Tercera de este Tribunal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w:t>
      </w:r>
      <w:r>
        <w:t>STC 155/2009, FJ 2 f)</w:t>
      </w:r>
      <w:r>
        <w:t>. Acordó, al propio tiempo, dirigir atenta comunicación al Juzgado de Primera Instancia núm. 18 de Palma de Mallorca, con el fin de que, en plazo que no exceda de diez días, emplazara a quienes hubieran sido parte en el procedimiento de ejecución hipotecaria (pieza de nulidad), con excepción de la parte recurrente en amparo. Finalmente, la Sección decidió la formación de pieza separada para la tramitación del incidente de suspensión.</w:t>
      </w:r>
    </w:p>
    <w:p w:rsidR="001D6FAE" w:rsidRDefault="001D6FAE" w:rsidP="001D6FAE">
      <w:pPr>
        <w:pStyle w:val="TextoNormal"/>
      </w:pPr>
    </w:p>
    <w:p w:rsidR="001D6FAE" w:rsidRDefault="001D6FAE" w:rsidP="001D6FAE">
      <w:pPr>
        <w:pStyle w:val="TextoNormal"/>
      </w:pPr>
      <w:r>
        <w:t>Abierta dicha pieza separada, por diligencia de igual fecha —20 de septiembre de 2016— la Sección acordó, conforme determina el art. 56 LOTC, conceder un plazo común de tres días a la parte recurrente y al Ministerio Fiscal para que alegaran lo que estimasen pertinente sobre dicha suspensión.</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escrito presentado el 29 de septiembre de 2016, el Procurador don José Manuel Villasante García, en nombre y representación de don Jean-Pierre Ollivier, formuló sus alegaciones. A lo ya expuesto en la demanda, vino a añadir, como dato sobrevenido susceptible de valoración, que ante la petición de venta en pública subasta de la finca objeto de ejecución interesada por la entidad ejecutante y ante la fijación de fecha para su efectiva celebración mediante decreto de 26 de abril de 2016, el demandante de amparo interesó su suspensión en el procedimiento de origen, a lo que el Juzgado accedió por diligencia de ordenación de 28 de abril de 2016, en la que textualmente se dice: “estando pendiente de resolver el recurso de amparo interpuesto por la parte ejecutada, acuerdo dejar en suspenso la convocatoria de subasta en tanto no se dicte la oportuna resolución por el Tribunal Constitucional”.</w:t>
      </w:r>
    </w:p>
    <w:p w:rsidR="001D6FAE" w:rsidRDefault="001D6FAE" w:rsidP="001D6FAE">
      <w:pPr>
        <w:pStyle w:val="TextoNormal"/>
      </w:pPr>
    </w:p>
    <w:p w:rsidR="001D6FAE" w:rsidRDefault="001D6FAE" w:rsidP="001D6FAE">
      <w:pPr>
        <w:pStyle w:val="TextoNormal"/>
      </w:pPr>
      <w:r>
        <w:t>Sostiene el demandante que la suspensión decretada en la instancia lo es a los solos efectos de que este Tribunal Constitucional se pronuncie, a su vez, respecto de la presente petición cautelar. Insiste, a tal fin, en la pertinencia y necesidad de la medida, dada la irreparabilidad del daño que habría de deparar una subasta de la finca que permitiera la adquisición del inmueble por tercero de buena fe, deviniendo en tal caso ineficaz cualquier resolución estimatoria del recurso de amparo.</w:t>
      </w:r>
    </w:p>
    <w:p w:rsidR="001D6FAE" w:rsidRDefault="001D6FAE" w:rsidP="001D6FAE">
      <w:pPr>
        <w:pStyle w:val="TextoNormal"/>
      </w:pPr>
    </w:p>
    <w:p w:rsidR="001D6FAE" w:rsidRDefault="001D6FAE" w:rsidP="001D6FAE">
      <w:pPr>
        <w:pStyle w:val="TextoNormal"/>
      </w:pPr>
      <w:r w:rsidRPr="001D6FAE">
        <w:rPr>
          <w:rStyle w:val="NumeroAFNegritaCaracter"/>
        </w:rPr>
        <w:t>5</w:t>
      </w:r>
      <w:r>
        <w:t>. El Ministerio Fiscal, en escrito registrado el 29 de septiembre de 2016, se muestra favorable a la suspensión interesada por el demandante. Tras exponer los antecedentes del caso, recuerda el contenido del art. 56.1 LOTC y de diversos pronunciamientos de este Tribunal sobre la causación de perjuicios que puedan hacer perder al amparo su finalidad (entre ellos, ATC 227/1999, de 27 de octubre, FFJJ 2 y 3), así como sobre el carácter excepcional de la medida provisional de suspensión y su aplicación restrictiva, al comportar cierta perturbación del interés general consistente en mantener la eficacia de las resoluciones judiciales firmes (por todos, AATC 169/1995, 419/1997 y 182/1998). Estima, ello no obstante, que en el supuesto de autos, tratándose de una resolución de carácter patrimonial, pueden llegar a verse afectados futuros derechos de terceros adquirentes de buena fe, por lo que, de acuerdo con la doctrina de este Tribunal (ATC 74/2013), resulta procedente acceder a la suspensión “para evitar situaciones cuya reversibilidad pueda devenir poco menos que imposible”.</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Conforme se ha expuesto en los antecedentes de esta resolución, el demandante de amparo ha denunciado la indefensión que dice haber sufrido al no habérsele notificado correctamente por el Juzgado de Primera Instancia núm. 18 de Palma de Mallorca el procedimiento de ejecución hipotecaria núm. 556-2014. Por este motivo, ha solicitado la suspensión cautelar de los efectos del Auto de 17 de junio de 2015, que rechazó su petición de nulidad —tramitada como pieza núm. 5-2015—, ya que, según ha razonado, de no acordarse la suspensión de su ejecución y efectos aparejados a ella, podrían producirse actos de adjudicación sobre el bien inmueble de su propiedad y consolidarse una situación difícilmente reversible. El Ministerio Fiscal se muestra favorable a la suspensión solicitada.</w:t>
      </w:r>
    </w:p>
    <w:p w:rsidR="001D6FAE" w:rsidRDefault="001D6FAE" w:rsidP="001D6FAE">
      <w:pPr>
        <w:pStyle w:val="TextoNormal"/>
      </w:pPr>
    </w:p>
    <w:p w:rsidR="001D6FAE" w:rsidRDefault="001D6FAE" w:rsidP="001D6FAE">
      <w:pPr>
        <w:pStyle w:val="TextoNormal"/>
      </w:pPr>
      <w:r w:rsidRPr="001D6FAE">
        <w:rPr>
          <w:rStyle w:val="NumeroAFNegritaCaracter"/>
        </w:rPr>
        <w:t>2</w:t>
      </w:r>
      <w:r>
        <w:t>. En una consolidada doctrina constitucional, de la que es buena muestra el ATC 74/2013, de 8 de abril, así como las resoluciones que en él se citan, este Tribunal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1D6FAE" w:rsidRDefault="001D6FAE" w:rsidP="001D6FAE">
      <w:pPr>
        <w:pStyle w:val="TextoNormal"/>
      </w:pPr>
    </w:p>
    <w:p w:rsidR="001D6FAE" w:rsidRDefault="001D6FAE" w:rsidP="001D6FAE">
      <w:pPr>
        <w:pStyle w:val="TextoNormal"/>
      </w:pPr>
      <w:r>
        <w:t>De conformidad con esta doctrina constitucional, y sin prejuzgar la decisión de fondo del recurso, procede acordar la suspensión solicitada. En otro caso, podría llegar a materializarse la transmisión del dominio del bien inmueble controvertido, sobre el que la entidad ejecutante Caixabank, S.A., ha solicitado la celebración de subasta (tal y como se desprende del escrito de 20 de abril de 2016, aportado por el demandante a esta pieza separada de suspensión), habiendo accedido a ello el Juzgado de Primera Instancia ejecutante por decreto de 26 de abril de 2016, sin perjuicio de la puntual paralización ordenada en la diligencia de ordenación que se señala.</w:t>
      </w:r>
    </w:p>
    <w:p w:rsidR="001D6FAE" w:rsidRDefault="001D6FAE" w:rsidP="001D6FAE">
      <w:pPr>
        <w:pStyle w:val="TextoNormal"/>
      </w:pPr>
    </w:p>
    <w:p w:rsidR="001D6FAE" w:rsidRDefault="001D6FAE" w:rsidP="001D6FAE">
      <w:pPr>
        <w:pStyle w:val="TextoNormal"/>
      </w:pPr>
      <w:r>
        <w:t>De no accederse a la suspensión y proseguir el procedimiento ejecutivo de origen, podría crearse, en efecto, una situación difícilmente reversible que hiciera perder al recurso de amparo su finalidad. Por lo demás, atendidas las circunstancias efectivamente acreditadas, no se advierte en este momento procesal que la suspensión de la ejecución entrañe una perturbación grave a un interés constitucionalmente protegido o a los derechos fundamentales o libertades públicas de terceros.</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Suspender la ejecución de la resolución recurrida y de toda actuación judicial sucesiva que pueda tener como efecto la adjudicación a terceros de los inmuebles controvertidos.</w:t>
      </w:r>
    </w:p>
    <w:p w:rsidR="001D6FAE" w:rsidRDefault="001D6FAE" w:rsidP="001D6FAE">
      <w:pPr>
        <w:pStyle w:val="TextoNormal"/>
      </w:pPr>
    </w:p>
    <w:p w:rsidR="001D6FAE" w:rsidRDefault="001D6FAE" w:rsidP="001D6FAE">
      <w:pPr>
        <w:pStyle w:val="TextoNormal"/>
      </w:pPr>
      <w:r>
        <w:t>Madrid, a diecisiete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49" w:name="AUTO_2016_175"/>
      <w:r>
        <w:t>AUTO 175/2016, de 18 de octubre de 2016</w:t>
      </w:r>
    </w:p>
    <w:bookmarkEnd w:id="149"/>
    <w:p w:rsidR="001D6FAE" w:rsidRDefault="001D6FAE" w:rsidP="001D6FAE">
      <w:pPr>
        <w:pStyle w:val="TtuloResolucin"/>
      </w:pPr>
      <w:r>
        <w:t>Pleno</w:t>
      </w:r>
    </w:p>
    <w:p w:rsidR="001D6FAE" w:rsidRDefault="001D6FAE" w:rsidP="001D6FAE">
      <w:pPr>
        <w:pStyle w:val="TextoNormalCentrado"/>
      </w:pPr>
      <w:r>
        <w:t>ECLI:ES:TC:2016:175A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Declara extinguido, por desaparición sobrevenida de su objeto, el recurso de inconstitucionalidad 4948-2013, interpuesto por el Gobierno de Aragón en relación con los artículos 2 e) y 7 de la Ley 10/2012, de 20 de noviembre, por la que se regulan determinadas tasas en el ámbito de la Administración de Justicia y del Instituto Nacional de Toxicología y Ciencias Forenses.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con fecha 7 de agosto 2013, la Letrada de la Comunidad Autónoma de Aragón, en la representación que legalmente ostenta del Gobierno de esa Comunidad Autónoma, interpone recurso de inconstitucionalidad contra los artículos 2 e) y 7.1 de la Ley 10/2012, de 20 noviembre, por la que se regulan determinadas tasas en el ámbito de la Administración de Justicia y del Instituto Nacional de Toxicología y Ciencias Forenses, en relación con su aplicación al recurso de casación foral aragonés (Ley 10/2012, en adelante).</w:t>
      </w:r>
    </w:p>
    <w:p w:rsidR="001D6FAE" w:rsidRDefault="001D6FAE" w:rsidP="001D6FAE">
      <w:pPr>
        <w:pStyle w:val="TextoNormal"/>
      </w:pPr>
    </w:p>
    <w:p w:rsidR="001D6FAE" w:rsidRDefault="001D6FAE" w:rsidP="001D6FAE">
      <w:pPr>
        <w:pStyle w:val="TextoNormal"/>
      </w:pPr>
      <w:r>
        <w:t>En concreto, en dicha Ley 10/2012 se regulan las tasas por el ejercicio de la potestad institucional, incluyéndose la correspondiente por la interposición del recurso de casación en el orden civil, pero sin que se establezca salvedad alguna en relación con los recursos de casación forales, resultando por tanto la tasa aplicable a la casación foral aragonesa regulada mediante la Ley autonómica 4/2005, de 14 junio.</w:t>
      </w:r>
    </w:p>
    <w:p w:rsidR="001D6FAE" w:rsidRDefault="001D6FAE" w:rsidP="001D6FAE">
      <w:pPr>
        <w:pStyle w:val="TextoNormal"/>
      </w:pPr>
    </w:p>
    <w:p w:rsidR="001D6FAE" w:rsidRDefault="001D6FAE" w:rsidP="001D6FAE">
      <w:pPr>
        <w:pStyle w:val="TextoNormal"/>
      </w:pPr>
      <w:r>
        <w:t>La regulación de la Ley de tasas del Estado encuentra amparo en el ejercicio de las competencias estatales en materia de Administración de Justicia, legislación procesal y hacienda pública del artículo 149.1.5, 6 y 14 de la Constitución, mientras que la Constitución reconoció la posibilidad de que las Comunidades Autónomas asumieran la competencia exclusiva para la conservación, modificación y desarrollo de los Derechos civiles forales o especiales, allí donde existan (art. 149.1.8 CE). Del mismo modo, el art. 149.1.6 CE establece la competencia exclusiva del Estado en materia de legislación procesal “sin perjuicio de las necesarias especialidades derivadas de las peculiaridades de derecho sustantivo de las comunidades autónomas”. Tales competencias se asumieron en el Estatuto de Autonomía de Aragón de 1982 y actualmente se reconocen en el artículo 71.2 del texto estatutario en relación al derecho sustantivo civil y en el artículo 71.3 que dispone la competencia de esta Comunidad Autónoma en materia de Derecho procesal derivada de las particularidades de Derecho sustantivo aragonés. En ejercicio de estas competencias el legislador aragonés dictó la Ley 4/2005 sobre la casación foral aragonesa.</w:t>
      </w:r>
    </w:p>
    <w:p w:rsidR="001D6FAE" w:rsidRDefault="001D6FAE" w:rsidP="001D6FAE">
      <w:pPr>
        <w:pStyle w:val="TextoNormal"/>
      </w:pPr>
    </w:p>
    <w:p w:rsidR="001D6FAE" w:rsidRDefault="001D6FAE" w:rsidP="001D6FAE">
      <w:pPr>
        <w:pStyle w:val="TextoNormal"/>
      </w:pPr>
      <w:r>
        <w:t>La casación civil aragonesa es una institución de Derecho procesal en ejercicio de la competencia autonómica propia para establecer especialidades procesales civiles que derivan del Derecho sustantivo aragonés.</w:t>
      </w:r>
    </w:p>
    <w:p w:rsidR="001D6FAE" w:rsidRDefault="001D6FAE" w:rsidP="001D6FAE">
      <w:pPr>
        <w:pStyle w:val="TextoNormal"/>
      </w:pPr>
    </w:p>
    <w:p w:rsidR="001D6FAE" w:rsidRDefault="001D6FAE" w:rsidP="001D6FAE">
      <w:pPr>
        <w:pStyle w:val="TextoNormal"/>
      </w:pPr>
      <w:r>
        <w:t>Dicha casación representa un papel relevante en el sistema de fuentes del Derecho foral aragonés a través de la jurisprudencia que resulta del recurso de casación, en consecuencia el legislador aragonés tiene establecidos unos requisitos procesales amplios para el acceso a dichos recurso, combinando un criterio cualitativo (el interés casacional) y otro cuantitativo (cuantía superior a 3.000 €).</w:t>
      </w:r>
    </w:p>
    <w:p w:rsidR="001D6FAE" w:rsidRDefault="001D6FAE" w:rsidP="001D6FAE">
      <w:pPr>
        <w:pStyle w:val="TextoNormal"/>
      </w:pPr>
    </w:p>
    <w:p w:rsidR="001D6FAE" w:rsidRDefault="001D6FAE" w:rsidP="001D6FAE">
      <w:pPr>
        <w:pStyle w:val="TextoNormal"/>
      </w:pPr>
      <w:r>
        <w:t>Es cierto que el legislador estatal encuentra amparo en el título competencial relacionado con el ejercicio de la potestad jurisdiccional (art. 149.1.5 CE), pero también es evidente que tal ejercicio no puede llevarse a cabo invadiendo otras competencias concurrentes. En este caso, la tasa establecida por el Estado, cuya cuota alcanza los 1.200 €, es desproporcionada en conexión con la cuantía, de 3.000 €, que establece la norma autonómica como umbral de casación.</w:t>
      </w:r>
    </w:p>
    <w:p w:rsidR="001D6FAE" w:rsidRDefault="001D6FAE" w:rsidP="001D6FAE">
      <w:pPr>
        <w:pStyle w:val="TextoNormal"/>
      </w:pPr>
    </w:p>
    <w:p w:rsidR="001D6FAE" w:rsidRDefault="001D6FAE" w:rsidP="001D6FAE">
      <w:pPr>
        <w:pStyle w:val="TextoNormal"/>
      </w:pPr>
      <w:r>
        <w:t>La aplicación a la casación civil aragonesa de la tasa prevista en el artículo 7 de la Ley estatal “desvirtúa, hasta el punto de vaciarla de contenido, la competencia autonómica sobre esta institución, adoleciendo así la regulación de inconstitucionalidad”. En apoyo de esta conclusión se cita la STC 102/2012, de 9 mayo (</w:t>
      </w:r>
      <w:r w:rsidRPr="001D6FAE">
        <w:rPr>
          <w:i/>
        </w:rPr>
        <w:t>sic</w:t>
      </w:r>
      <w:r>
        <w:t>, debe decir STC 103/2012) en relación a las tasas en el orden civil, con referencia en el fundamento cuarto a la proporcionalidad.</w:t>
      </w:r>
    </w:p>
    <w:p w:rsidR="001D6FAE" w:rsidRDefault="001D6FAE" w:rsidP="001D6FAE">
      <w:pPr>
        <w:pStyle w:val="TextoNormal"/>
      </w:pPr>
    </w:p>
    <w:p w:rsidR="001D6FAE" w:rsidRDefault="001D6FAE" w:rsidP="001D6FAE">
      <w:pPr>
        <w:pStyle w:val="TextoNormal"/>
      </w:pPr>
      <w:r>
        <w:t>Concluye afirmando que para haber respetado debidamente la competencia autonómica aragonesa sobre esta institución, el Estado debería haber excluido de su ámbito de aplicación en la Ley de tasas aquellas actuaciones procesales derivadas de las particularidades del Derecho sustantivo de las Comunidades Autónomas, renunciando al establecimiento de tasas derivadas de procesos en los que tienen competencia sustantiva y procesal las Comunidades Autónomas con particularidades forales, teniendo en cuenta que la competencia sobre el Derecho civil aragonés de la Comunidad Autónoma es exclusiva.</w:t>
      </w:r>
    </w:p>
    <w:p w:rsidR="001D6FAE" w:rsidRDefault="001D6FAE" w:rsidP="001D6FAE">
      <w:pPr>
        <w:pStyle w:val="TextoNormal"/>
      </w:pPr>
    </w:p>
    <w:p w:rsidR="001D6FAE" w:rsidRDefault="001D6FAE" w:rsidP="001D6FAE">
      <w:pPr>
        <w:pStyle w:val="TextoNormal"/>
      </w:pPr>
      <w:r w:rsidRPr="001D6FAE">
        <w:rPr>
          <w:rStyle w:val="NumeroAFNegritaCaracter"/>
        </w:rPr>
        <w:t>2</w:t>
      </w:r>
      <w:r>
        <w:t>. Por providencia de 24 de septiembre de 2013 el Pleno del Tribunal acordó admitir a trámite el recurso de inconstitucionalidad. Asimismo, se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15 días pudieran personarse en el proceso y formular las alegaciones que estimen convenientes, así como publicar la incoación del recurso en el “Boletín Oficial del Estado”, lo que se llevó a efecto en el número 240, de 7 de octubre de 2013.</w:t>
      </w:r>
    </w:p>
    <w:p w:rsidR="001D6FAE" w:rsidRDefault="001D6FAE" w:rsidP="001D6FAE">
      <w:pPr>
        <w:pStyle w:val="TextoNormal"/>
      </w:pPr>
    </w:p>
    <w:p w:rsidR="001D6FAE" w:rsidRDefault="001D6FAE" w:rsidP="001D6FAE">
      <w:pPr>
        <w:pStyle w:val="TextoNormal"/>
      </w:pPr>
      <w:r w:rsidRPr="001D6FAE">
        <w:rPr>
          <w:rStyle w:val="NumeroAFNegritaCaracter"/>
        </w:rPr>
        <w:t>3</w:t>
      </w:r>
      <w:r>
        <w:t>. Mediante escrito presentado en el Registro General de este Tribunal con fecha 7 de octubre de 2013 el Presidente del Congreso de los Diputados comunicó a este Tribunal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001D6FAE" w:rsidRDefault="001D6FAE" w:rsidP="001D6FAE">
      <w:pPr>
        <w:pStyle w:val="TextoNormal"/>
      </w:pPr>
    </w:p>
    <w:p w:rsidR="001D6FAE" w:rsidRDefault="001D6FAE" w:rsidP="001D6FAE">
      <w:pPr>
        <w:pStyle w:val="TextoNormal"/>
      </w:pPr>
      <w:r w:rsidRPr="001D6FAE">
        <w:rPr>
          <w:rStyle w:val="NumeroAFNegritaCaracter"/>
        </w:rPr>
        <w:t>4</w:t>
      </w:r>
      <w:r>
        <w:t>. El 9 de octubre de 2013 tuvo entrada en el Registro General de este Tribunal un escrito del Presidente del Senado por el que se comunicó el acuerdo adoptado por la Mesa de la Cámara de personarse en el procedimiento, ofreciendo su colaboración a efectos del art. 88.1 LOTC.</w:t>
      </w:r>
    </w:p>
    <w:p w:rsidR="001D6FAE" w:rsidRDefault="001D6FAE" w:rsidP="001D6FAE">
      <w:pPr>
        <w:pStyle w:val="TextoNormal"/>
      </w:pPr>
    </w:p>
    <w:p w:rsidR="001D6FAE" w:rsidRDefault="001D6FAE" w:rsidP="001D6FAE">
      <w:pPr>
        <w:pStyle w:val="TextoNormal"/>
      </w:pPr>
      <w:r w:rsidRPr="001D6FAE">
        <w:rPr>
          <w:rStyle w:val="NumeroAFNegritaCaracter"/>
        </w:rPr>
        <w:t>5</w:t>
      </w:r>
      <w:r>
        <w:t>. El 9 de octubre tuvo entrada en el Registro General el escrito del Abogado del Estado, por el que se persona en el procedimiento y solicita que se le prorrogue el plazo de alegaciones del art. 34.2 LOTC por ocho días más.</w:t>
      </w:r>
    </w:p>
    <w:p w:rsidR="001D6FAE" w:rsidRDefault="001D6FAE" w:rsidP="001D6FAE">
      <w:pPr>
        <w:pStyle w:val="TextoNormal"/>
      </w:pPr>
    </w:p>
    <w:p w:rsidR="001D6FAE" w:rsidRDefault="001D6FAE" w:rsidP="001D6FAE">
      <w:pPr>
        <w:pStyle w:val="TextoNormal"/>
      </w:pPr>
      <w:r w:rsidRPr="001D6FAE">
        <w:rPr>
          <w:rStyle w:val="NumeroAFNegritaCaracter"/>
        </w:rPr>
        <w:t>6</w:t>
      </w:r>
      <w:r>
        <w:t>. Mediante providencia de 10 de octubre de 2013 el Pleno del Tribunal acordó incorporar a las actuaciones el anterior escrito del Abogado del Estado, teniéndole por personado en la representación que legalmente ostenta y prorrogándose en ocho días más el plazo concedido por providencia de 24 de septiembre de 2013, a contar desde el siguiente al de expiración del ordinario.</w:t>
      </w:r>
    </w:p>
    <w:p w:rsidR="001D6FAE" w:rsidRDefault="001D6FAE" w:rsidP="001D6FAE">
      <w:pPr>
        <w:pStyle w:val="TextoNormal"/>
      </w:pPr>
    </w:p>
    <w:p w:rsidR="001D6FAE" w:rsidRDefault="001D6FAE" w:rsidP="001D6FAE">
      <w:pPr>
        <w:pStyle w:val="TextoNormal"/>
      </w:pPr>
      <w:r w:rsidRPr="001D6FAE">
        <w:rPr>
          <w:rStyle w:val="NumeroAFNegritaCaracter"/>
        </w:rPr>
        <w:t>7</w:t>
      </w:r>
      <w:r>
        <w:t>. El 30 de octubre de 2013 se registra en el Tribunal el escrito del Abogado del Estado, por el que se interesa la desestimación total del recurso con base en las alegaciones que en lo que sigue se resumen.</w:t>
      </w:r>
    </w:p>
    <w:p w:rsidR="001D6FAE" w:rsidRDefault="001D6FAE" w:rsidP="001D6FAE">
      <w:pPr>
        <w:pStyle w:val="TextoNormal"/>
      </w:pPr>
    </w:p>
    <w:p w:rsidR="001D6FAE" w:rsidRDefault="001D6FAE" w:rsidP="001D6FAE">
      <w:pPr>
        <w:pStyle w:val="TextoNormal"/>
      </w:pPr>
      <w:r>
        <w:t>Comienza el escrito refiriéndose a la doctrina constitucional contenida en la STC 20/2012, de 16 de febrero, y en todas las posteriores que la reiteran, como la STC 79/2012, de 17 de abril. La STC 20/2012 recuerda en su fundamento jurídico séptimo que el legislador cuenta con un amplio margen de libertad en la definición de las condiciones y consecuencias del acceso a la justicia. La imposición de una tasa tampoco afecta a la configuración constitucional de la gratuidad de la justicia, como se afirma en el fundamento octavo. Concluye que la Ley 10/2012 respeta el contenido esencial de la gratuidad excluyendo del pago de tasas a aquellas personas a las que se les haya reconocido el derecho a la asistencia jurídica gratuita [art. 4.2 a) de la Ley 10/2012]. Se refiere el escrito asimismo a la jurisprudencia del Tribunal Europeo de Derechos Humanos que confirma la constitucionalidad de las tasas judiciales siempre que por su cuantía no impidan el acceso a la jurisdicción o lo obstaculicen en un caso concreto en términos irrazonables.</w:t>
      </w:r>
    </w:p>
    <w:p w:rsidR="001D6FAE" w:rsidRDefault="001D6FAE" w:rsidP="001D6FAE">
      <w:pPr>
        <w:pStyle w:val="TextoNormal"/>
      </w:pPr>
    </w:p>
    <w:p w:rsidR="001D6FAE" w:rsidRDefault="001D6FAE" w:rsidP="001D6FAE">
      <w:pPr>
        <w:pStyle w:val="TextoNormal"/>
      </w:pPr>
      <w:r>
        <w:t>A continuación, se refiere al diferente canon de enjuiciamiento en función de que las tasas se impongan en la primera o en sucesivas instancias, citando de nuevo la STC 20/2012, FJ 5, así como la doctrina contenida en la STC 79/2012, FJ 4.</w:t>
      </w:r>
    </w:p>
    <w:p w:rsidR="001D6FAE" w:rsidRDefault="001D6FAE" w:rsidP="001D6FAE">
      <w:pPr>
        <w:pStyle w:val="TextoNormal"/>
      </w:pPr>
    </w:p>
    <w:p w:rsidR="001D6FAE" w:rsidRDefault="001D6FAE" w:rsidP="001D6FAE">
      <w:pPr>
        <w:pStyle w:val="TextoNormal"/>
      </w:pPr>
      <w:r>
        <w:t>Añade que las tasas judiciales introducidas por la Ley 10/2012 tienen una finalidad legítima, cual es entre otras garantizar que allí donde sea preciso se obtendrá el derecho a la justicia gratuita. Asimismo, se refiere al contexto y excepcionales circunstancias en que fue adoptada la Ley 10/2012 y que condujeron a la incorporación del principio de estabilidad presupuestaria al artículo 135 de la Constitución.</w:t>
      </w:r>
    </w:p>
    <w:p w:rsidR="001D6FAE" w:rsidRDefault="001D6FAE" w:rsidP="001D6FAE">
      <w:pPr>
        <w:pStyle w:val="TextoNormal"/>
      </w:pPr>
    </w:p>
    <w:p w:rsidR="001D6FAE" w:rsidRDefault="001D6FAE" w:rsidP="001D6FAE">
      <w:pPr>
        <w:pStyle w:val="TextoNormal"/>
      </w:pPr>
      <w:r>
        <w:t>Finaliza refiriéndose a la cuantía del recurso de casación foral aragonés, recalcando que la misma no ha sido configurada por la Ley estatal que establece la tasa controvertida. Razona que la norma estatal reguladora de las tasas judiciales no vulnera la competencia establecida en el art. 149.1.6 CE y art. 71.2 del Estatuto de Autonomía de Aragón, toda vez que la legislación foral aragonesa no experimenta limitación sustantiva alguna como consecuencia de la Ley de tasas judiciales estatal.</w:t>
      </w:r>
    </w:p>
    <w:p w:rsidR="001D6FAE" w:rsidRDefault="001D6FAE" w:rsidP="001D6FAE">
      <w:pPr>
        <w:pStyle w:val="TextoNormal"/>
      </w:pPr>
    </w:p>
    <w:p w:rsidR="001D6FAE" w:rsidRDefault="001D6FAE" w:rsidP="001D6FAE">
      <w:pPr>
        <w:pStyle w:val="TextoNormal"/>
      </w:pPr>
      <w:r>
        <w:t>El debate constitucional sobre las tasas judiciales, y en concreto sobre la tasa por la interposición del recurso de casación civil, debe seguir manteniéndose en el plano de la adecuación a la Constitución de una Administración de Justicia que no es enteramente gratuita. El problema de la proporcionalidad de la cuantía de la tasa en relación con el proceso subyacente y del límite para acceder a la casación es consecuencia de la correspondiente legislación procesal. Que la cuantía mínima para acceder a la casación civil común esté fijada en 150.000 €, mientras que sólo ascienda a 3.000 € para la casación foral aragonesa no es más que una opción que ha tomado el legislador procesal, estatal o autonómico. No cabe en suma reprochar a la Ley 10/2012 un supuesto desajuste a la Constitución en función de las cuantías de los procesos o de los recursos cuando es la Ley reguladora de esos procesos o recursos la que establece libremente una cuantía, que en su caso, es la que origina eventualmente la desproporción con la tasa aplicable. La desproporción, de haberla, no surge de la voluntad del legislador estatal sino del autonómico. Tampoco es admisible sostener que a la casación foral debe atribuírsele una cuantía de pretensión muy baja toda vez que se trata de un recurso judicial que se enmarca en el seno de procesos iniciales sobre Derecho civil aragonés. En ese sentido, también la casación civil común puede tener como pleitos subyacentes controversias en el ámbito del Derecho de familia o del específico con mayor o menor cuantía de la pretensión concreta que en el pleito civil se ventile ante la Sala primera del Tribunal Supremo y no por ello se ha fijado por la Ley de enjuiciamiento civil una cuantía ínfima para acceder al recurso de casación cuando de cuestiones jurídicas de derecho civil de familia o de sucesiones se trate. A ello añade que la misma Ley autonómica que regula el recurso de casación foral, la Ley 4/2005, de 14 junio, no vincula especialmente la procedencia de la casación foral a asuntos en los que las cuantías de los litigios sea reducida (3.000 €). En suma, no puede pretenderse que el artículo 2, apartado uno de la citada Ley 4/2005 pueda provocar la inconstitucionalidad de la Ley estatal 10/2012, con su posterior modificación mediante Real Decreto-ley 3/2013, que establece el régimen general de las tasas judiciales.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presente recurso de inconstitucionalidad se dirige contra los arts. 2 e) y 7.1 de la Ley 10/2012, de 20 de noviembre, por la que se regulan determinadas tasas en el ámbito de la Administración de Justicia y del Instituto Nacional de Toxicología y Ciencias Forenses, en su redacción otorgada tras la modificación por el Real Decreto-ley 3/2013, de 22 de febrero, por el que se modifica el régimen de las tasas en el ámbito de la Administración de Justicia y el sistema de asistencia jurídica gratuita.</w:t>
      </w:r>
    </w:p>
    <w:p w:rsidR="001D6FAE" w:rsidRDefault="001D6FAE" w:rsidP="001D6FAE">
      <w:pPr>
        <w:pStyle w:val="TextoNormal"/>
      </w:pPr>
    </w:p>
    <w:p w:rsidR="001D6FAE" w:rsidRDefault="001D6FAE" w:rsidP="001D6FAE">
      <w:pPr>
        <w:pStyle w:val="TextoNormal"/>
      </w:pPr>
      <w:r>
        <w:t>— El artículo 2 establece que el hecho imponible de la tasa está constituido por el ejercicio de la potestad jurisdiccional originada por el ejercicio de una serie de actos procesales entre los que se encuentra “e) La interposición de recursos de apelación contra sentencias y de casación en el orden civil y contencioso-administrativo”.</w:t>
      </w:r>
    </w:p>
    <w:p w:rsidR="001D6FAE" w:rsidRDefault="001D6FAE" w:rsidP="001D6FAE">
      <w:pPr>
        <w:pStyle w:val="TextoNormal"/>
      </w:pPr>
    </w:p>
    <w:p w:rsidR="001D6FAE" w:rsidRDefault="001D6FAE" w:rsidP="001D6FAE">
      <w:pPr>
        <w:pStyle w:val="TextoNormal"/>
      </w:pPr>
      <w:r>
        <w:t>— El artículo 7, intitulado “determinación de la cuota tributaria”, establece en su apartado primero una cuantía de 1.200 € para el recurso de casación en el orden jurisdiccional civil.</w:t>
      </w:r>
    </w:p>
    <w:p w:rsidR="001D6FAE" w:rsidRDefault="001D6FAE" w:rsidP="001D6FAE">
      <w:pPr>
        <w:pStyle w:val="TextoNormal"/>
      </w:pPr>
    </w:p>
    <w:p w:rsidR="001D6FAE" w:rsidRDefault="001D6FAE" w:rsidP="001D6FAE">
      <w:pPr>
        <w:pStyle w:val="TextoNormal"/>
      </w:pPr>
      <w:r>
        <w:t>El Gobierno de Aragón considera que la tasa estatal resulta desproporcionada en su aplicación al recurso de casación civil aragonés. Dicha desproporción radica en que la Ley autonómica 4/2005, de 14 de junio, sobre la casación foral aragonesa, prevé un umbral mínimo de acceso a la casación de 3.000 € en algunos recursos, no habiendo límite cuantitativo en otros casos. Por ello, razona, habida cuenta del citado umbral de casación, la aplicación de una tasa de 1.200 € como la prevista en el artículo 7 resulta desproporcionada, ya que “desvirtúa, hasta el punto de vaciarla de contenido, la competencia autonómica sobre esta institución, adoleciendo así la regulación de inconstitucionalidad”. Para la demanda, la tasa afecta a la competencia en materia de Derecho civil y de Derecho procesal civil derivado de las particularidades del derecho sustantivo aragonés reconocida en los arts. 71.2 y 71.3 del Estatuto de Autonomía. Concluye la demanda afirmando que, para evitar el menoscabo de la competencia, el Estado debió excluir del ámbito de aplicación de la citada tasa aquellas actuaciones procesales derivadas del derecho sustantivo de las Comunidades Autónomas. Al no hacerlo así, se está privando de virtualidad a la institución en cuanto que, con la aplicación de las tasas, se va a impedir la formación de jurisprudencia en relación con el Derecho civil aragonés.</w:t>
      </w:r>
    </w:p>
    <w:p w:rsidR="001D6FAE" w:rsidRDefault="001D6FAE" w:rsidP="001D6FAE">
      <w:pPr>
        <w:pStyle w:val="TextoNormal"/>
      </w:pPr>
    </w:p>
    <w:p w:rsidR="001D6FAE" w:rsidRDefault="001D6FAE" w:rsidP="001D6FAE">
      <w:pPr>
        <w:pStyle w:val="TextoNormal"/>
      </w:pPr>
      <w:r>
        <w:t>El Abogado del Estado comienza recordando que el legislador cuenta con un amplio margen de libertad en la definición de las condiciones del acceso a la justicia, sin que la imposición de una tasa afecte a la configuración constitucional de la gratuidad de la justicia y teniendo en cuenta el diferente canon de enjuiciamiento en función de que las tasas se impongan en la primera o en sucesivas instancias (SSTC 20/2012, de 16 de febrero, FJ 5, y 79/2012, de 17 de abril, FJ 4). A partir de ahí sostiene que la tasa judicial cuestionada no afecta a la cuantía del recurso de casación foral aragonés, que se establece en la norma autonómica, por lo que no vulnera la competencia establecida en el art. 149.1.6 CE y 71.2 del Estatuto de Autonomía de Aragón, toda vez que la legislación foral aragonesa no experimenta limitación sustantiva alguna como consecuencia de la Ley de tasas judiciales estatal. Descarta además que la tasa estatal sea desproporcionada, pues el hecho de que la cuantía mínima para acceder a la casación civil común esté fijada en 150.000 € mientras que sólo ascienda a 3.000 € para la casación foral aragonesa no es más que una opción adoptada por el legislador procesal, estatal o autonómico, sin que pueda reprocharse a la Ley 10/2012 un supuesto desajuste a la Constitución en función de las cuantías de los procesos o de los recursos, cuando es la propia Ley reguladora de esos procesos la que establece libremente una cuantía que, en su caso, es la que origina la desproporción con la tasa aplicable. La desproporción, de haberla, no surge de la voluntad del legislador estatal sino del autonómico.</w:t>
      </w:r>
    </w:p>
    <w:p w:rsidR="001D6FAE" w:rsidRDefault="001D6FAE" w:rsidP="001D6FAE">
      <w:pPr>
        <w:pStyle w:val="TextoNormal"/>
      </w:pPr>
    </w:p>
    <w:p w:rsidR="001D6FAE" w:rsidRDefault="001D6FAE" w:rsidP="001D6FAE">
      <w:pPr>
        <w:pStyle w:val="TextoNormal"/>
      </w:pPr>
      <w:r w:rsidRPr="001D6FAE">
        <w:rPr>
          <w:rStyle w:val="NumeroAFNegritaCaracter"/>
        </w:rPr>
        <w:t>2</w:t>
      </w:r>
      <w:r>
        <w:t>. El objeto de este asunto lo constituyen los arts. 2 e) y 7, apartado primero, de la Ley 10/2012, de 20 de noviembre, que establecen una cuota tributaria para el recurso de casación en el orden jurisdiccional civil que asciende a 1.200 €.</w:t>
      </w:r>
    </w:p>
    <w:p w:rsidR="001D6FAE" w:rsidRDefault="001D6FAE" w:rsidP="001D6FAE">
      <w:pPr>
        <w:pStyle w:val="TextoNormal"/>
      </w:pPr>
    </w:p>
    <w:p w:rsidR="001D6FAE" w:rsidRDefault="001D6FAE" w:rsidP="001D6FAE">
      <w:pPr>
        <w:pStyle w:val="TextoNormal"/>
      </w:pPr>
      <w:r>
        <w:t>Estos mismos preceptos han sido también impugnados en otros recursos de inconstitucionalidad; en concreto, los interpuestos por más de 50 Diputados del Grupo Socialista del Congreso (recurso núm. 973-2013 relativo a sus artículos 1, 2, 3, 5, 6, 7 y 11); por la Generalitat de Cataluña (recurso núm. 995-2013 relativo a sus artículos 1 a 11); por el Consejo de Gobierno de la Junta de Andalucía (recurso núm. 1024-2013, relativo a sus artículos 1, 2, 3, 4 y 7); y por el Gobierno de Canarias (recurso núm. 4972-2013, en relación con sus arts. 1; 2 c), e) y f); 4; 5.2 y 3; 6; 7 y disposición final).</w:t>
      </w:r>
    </w:p>
    <w:p w:rsidR="001D6FAE" w:rsidRDefault="001D6FAE" w:rsidP="001D6FAE">
      <w:pPr>
        <w:pStyle w:val="TextoNormal"/>
      </w:pPr>
    </w:p>
    <w:p w:rsidR="001D6FAE" w:rsidRDefault="001D6FAE" w:rsidP="001D6FAE">
      <w:pPr>
        <w:pStyle w:val="TextoNormal"/>
      </w:pPr>
      <w:r>
        <w:t>El primero de los recursos ha sido resuelto en la STC 140/2016, de 21 de julio, en la que se ha declarado la inconstitucionalidad y nulidad de varios de los incisos del art. 7, apartado 1, de la Ley 10/2012, de 20 de noviembre, anulando en concreto la tasa por acceso al recurso de casación que aquí se controvierte.</w:t>
      </w:r>
    </w:p>
    <w:p w:rsidR="001D6FAE" w:rsidRDefault="001D6FAE" w:rsidP="001D6FAE">
      <w:pPr>
        <w:pStyle w:val="TextoNormal"/>
      </w:pPr>
    </w:p>
    <w:p w:rsidR="001D6FAE" w:rsidRDefault="001D6FAE" w:rsidP="001D6FAE">
      <w:pPr>
        <w:pStyle w:val="TextoNormal"/>
      </w:pPr>
      <w:r>
        <w:t>En el presente asunto, si bien la demanda formalmente impugna, tanto el hecho imponible de la tasa [art. 2 e) de la Ley 10/2012], como su cuantía (artículo 7), no se ha formulado una alegación específica que cuestione la competencia del Estado para su establecimiento, sino tan solo el ejercicio de esta competencia; en consecuencia la impugnación del artículo 2 e) queda fuera del objeto del presente recurso, ya que, tal y como ha quedado reflejado en los antecedentes, la impugnación se ciñe a los efectos que se producen por la aplicación de la tasa estatal a la casación foral aragonesa, que reputa contrarios a su competencia sustantiva subyacente por considerar desproporcionada la cuantía del tributo con respecto de la cuantía del recurso de casación aragonés.</w:t>
      </w:r>
    </w:p>
    <w:p w:rsidR="001D6FAE" w:rsidRDefault="001D6FAE" w:rsidP="001D6FAE">
      <w:pPr>
        <w:pStyle w:val="TextoNormal"/>
      </w:pPr>
    </w:p>
    <w:p w:rsidR="001D6FAE" w:rsidRDefault="001D6FAE" w:rsidP="001D6FAE">
      <w:pPr>
        <w:pStyle w:val="TextoNormal"/>
      </w:pPr>
      <w:r>
        <w:t>Por ello, una vez que la cuota tributaria de la tasa por acceso al recurso de casación (artículo 7) ha sido declarada nula por la STC 140/2016, de 21 de julio, el presente proceso de inconstitucionalidad ha quedado ya sin finalidad por desaparición sobrevenida de su objeto (así, entre otros, AATC 148/2011, de 7 de noviembre, FJ único, y 149/2011, de 7 de noviembre, FJ único), pues la anulación de aquel precepto ha puesto fin a la controversia por menoscabo de competencias.</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Declarar la extinción del recurso de inconstitucionalidad núm. 4948-2013 por desaparición sobrevenida de su objeto.</w:t>
      </w:r>
    </w:p>
    <w:p w:rsidR="001D6FAE" w:rsidRDefault="001D6FAE" w:rsidP="001D6FAE">
      <w:pPr>
        <w:pStyle w:val="TextoNormal"/>
      </w:pPr>
    </w:p>
    <w:p w:rsidR="001D6FAE" w:rsidRDefault="001D6FAE" w:rsidP="001D6FAE">
      <w:pPr>
        <w:pStyle w:val="TextoNormal"/>
      </w:pPr>
      <w:r>
        <w:t>Madrid, a dieciocho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0" w:name="AUTO_2016_176"/>
      <w:r>
        <w:t>AUTO 176/2016, de 18 de octubre de 2016</w:t>
      </w:r>
    </w:p>
    <w:bookmarkEnd w:id="150"/>
    <w:p w:rsidR="001D6FAE" w:rsidRDefault="001D6FAE" w:rsidP="001D6FAE">
      <w:pPr>
        <w:pStyle w:val="TtuloResolucin"/>
      </w:pPr>
      <w:r>
        <w:t>Pleno</w:t>
      </w:r>
    </w:p>
    <w:p w:rsidR="001D6FAE" w:rsidRDefault="001D6FAE" w:rsidP="001D6FAE">
      <w:pPr>
        <w:pStyle w:val="TtuloBOE"/>
      </w:pPr>
      <w:r>
        <w:t>(BOE núm. 285, de 25 de noviembre de 2016)</w:t>
      </w:r>
    </w:p>
    <w:p w:rsidR="001D6FAE" w:rsidRDefault="001D6FAE" w:rsidP="001D6FAE">
      <w:pPr>
        <w:pStyle w:val="TextoNormalCentrado"/>
      </w:pPr>
      <w:r>
        <w:t>ECLI:ES:TC:2016:176A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2394-2016, planteada por la Sección Primera de la Sala de lo Contencioso-Administrativo del Tribunal Superior de Justicia de Galicia en relación con el artículo 30 del texto refundido de la Ley de función pública de Galicia, en la redacción dada al mismo por el artículo 21 de la Ley 15/2010, de 28 de diciembre, de medidas fiscales y administrativas.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de 3 de mayo de 2016 tuvo entrada en el Registro General del Tribunal Constitucional escrito de la Sección Primera de la Sala de lo Contencioso-Administrativo del Tribunal Superior de Justicia de Galicia al que se acompaña, además del testimonio del procedimiento, Auto de 31 de marzo de 2016 por el que se plantea cuestión de inconstitucionalidad en relación con el artículo 30 del Decreto Legislativo 1/2008, de 13 de marzo, por el que se aprueba el texto refundido de la Ley de función pública de Galicia, en la redacción dada al mismo por el art. 21 de la Ley 15/2010, de 28 de diciembre, de medidas fiscales y administrativas, por vulneración de la legislación básica en materia de función pública.</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del planteamiento de la presente cuestión de inconstitucionalidad son, sucintamente expuestos, los siguientes:</w:t>
      </w:r>
    </w:p>
    <w:p w:rsidR="001D6FAE" w:rsidRDefault="001D6FAE" w:rsidP="001D6FAE">
      <w:pPr>
        <w:pStyle w:val="TextoNormal"/>
      </w:pPr>
    </w:p>
    <w:p w:rsidR="001D6FAE" w:rsidRDefault="001D6FAE" w:rsidP="001D6FAE">
      <w:pPr>
        <w:pStyle w:val="TextoNormal"/>
      </w:pPr>
      <w:r>
        <w:t>a) Se interpuso recurso contencioso-administrativo contra la resolución de la teniente de alcalde delegada de personal del Concello de A Coruña, de fecha 24 de septiembre de 2014, que desestima el recurso de reposición interpuesto contra el acuerdo de la Junta de gobierno local de dicho Concello por el que se aprueba una modificación puntual de la relación de puestos de trabajo en lo relativo a la utilización del sistema de libre designación para la cobertura de las jefaturas de servicio y jefatura del departamento de control financiero, así como la apertura de su provisión por habilitados nacionales; contra las resoluciones de la teniente de alcalde delegada de personal del Concello de A Coruña, de 1 de agosto de 2014, por la que se convoca por el sistema de libre designación siete puestos de jefe de servicio así como la jefatura del departamento de control financiero; y contra las resoluciones de la teniente de alcalde delegada de personal, de 14 de agosto del mismo año, por la que se convocan por el sistema de libre designación tres puestos de jefe de servicio así como la jefatura de servicio de informática municipal. Dicho recurso fue desestimado por Sentencia de 7 de abril de 2015.</w:t>
      </w:r>
    </w:p>
    <w:p w:rsidR="001D6FAE" w:rsidRDefault="001D6FAE" w:rsidP="001D6FAE">
      <w:pPr>
        <w:pStyle w:val="TextoNormal"/>
      </w:pPr>
    </w:p>
    <w:p w:rsidR="001D6FAE" w:rsidRDefault="001D6FAE" w:rsidP="001D6FAE">
      <w:pPr>
        <w:pStyle w:val="TextoNormal"/>
      </w:pPr>
      <w:r>
        <w:t>Contra dicha Sentencia se interpuso recurso de apelación por 24 funcionarios del Ayuntamiento de A Coruña, técnicos de la Administración local del grupo A. En el recurso de apelación se insiste en la mayoría de los motivos impugnatorios rechazados por la Sentencia de 7 de abril de 2015, según consta en el Auto de planteamiento de la cuestión. Uno de los motivos de impugnación se refería al sistema de provisión por libre designación de determinadas jefaturas de servicio. Los recurrentes aducen la aplicación preferente de la Ley del estatuto básico del empleado público (LEEP) a las Administraciones locales y la vulneración del principio de igualdad, mérito y capacidad del art. 23.2 CE, aplicable a los actos relativos a la provisión de puestos de trabajo, por entender que el sistema más garantista para la provisión de puestos de trabajo es el concurso de méritos, sin que las jefaturas de servicio puedan incardinarse en el elenco de puestos directivos.</w:t>
      </w:r>
    </w:p>
    <w:p w:rsidR="001D6FAE" w:rsidRDefault="001D6FAE" w:rsidP="001D6FAE">
      <w:pPr>
        <w:pStyle w:val="TextoNormal"/>
      </w:pPr>
    </w:p>
    <w:p w:rsidR="001D6FAE" w:rsidRDefault="001D6FAE" w:rsidP="001D6FAE">
      <w:pPr>
        <w:pStyle w:val="TextoNormal"/>
      </w:pPr>
      <w:r>
        <w:t>La Abogada del Ayuntamiento de A Coruña, por su parte, entiende que no hay contradicción entre el art. 30 del Decreto Legislativo 1/2008 y el art. 79.1 LEEP puesto que el art. 80 se remite a las leyes de función pública que se dicten en desarrollo del mismo para la concreción de los criterios que determinen los puestos que por su especial responsabilidad o confianza puedan cubrirse por el procedimiento de libre designación. La codemandada en el recurso de apelación alega que ya en la relación de puestos de trabajo publicada en el “BOP” de 11 de junio de 2013 estaba prevista la provisión de las jefaturas de servicio por el sistema de libre designación, con lo cual “como expresa la sentencia recaída en los presentes autos, se trataría de un acto firme y consentido” y que la cuestión de legalidad de la provisión de las jefaturas de servicio por el sistema de libre designación ya habría sido resuelta por dicho tribunal con efecto de cosa juzgada.</w:t>
      </w:r>
    </w:p>
    <w:p w:rsidR="001D6FAE" w:rsidRDefault="001D6FAE" w:rsidP="001D6FAE">
      <w:pPr>
        <w:pStyle w:val="TextoNormal"/>
      </w:pPr>
    </w:p>
    <w:p w:rsidR="001D6FAE" w:rsidRDefault="001D6FAE" w:rsidP="001D6FAE">
      <w:pPr>
        <w:pStyle w:val="TextoNormal"/>
      </w:pPr>
      <w:r>
        <w:t>b) Por providencia de 18 de febrero de 2016 el órgano judicial otorgó trámite de audiencia a las partes y al Ministerio Fiscal sobre la pertinencia de plantear cuestión de inconstitucionalidad en relación con el art. 30 del Decreto Legislativo 1/2008, por la posible vulneración del derecho fundamental de acceso a los cargos y funciones públicas (art. 23.2 CE), derecho cuya configuración legal vendría dada, en primer lugar, por la legislación básica estatal (art. 149.1.18 CE), esto es, el art. 80.2 de la Ley 7/2007, de 12 de abril, del estatuto básico del empleado público y, con anterioridad, el art. 20.1 de la Ley 30/1984, de 2 de agosto, de medidas para la reforma de la función pública y, en los que se reserva la forma de provisión por libre designación exclusivamente para los puestos que requieran una especial responsabilidad y confianza. Asimismo, se pone de manifiesto que en relación con el mismo precepto dicho Tribunal ya ha planteado otra cuestión de inconstitucionalidad.</w:t>
      </w:r>
    </w:p>
    <w:p w:rsidR="001D6FAE" w:rsidRDefault="001D6FAE" w:rsidP="001D6FAE">
      <w:pPr>
        <w:pStyle w:val="TextoNormal"/>
      </w:pPr>
    </w:p>
    <w:p w:rsidR="001D6FAE" w:rsidRDefault="001D6FAE" w:rsidP="001D6FAE">
      <w:pPr>
        <w:pStyle w:val="TextoNormal"/>
      </w:pPr>
      <w:r>
        <w:t>La parte codemandada se opone al planteamiento de la cuestión de inconstitucionalidad alegando la plena constitucionalidad de la provisión de los puestos de jefatura de servicio por el sistema de libre designación. Asimismo afirma la necesidad de que el órgano judicial se pronuncie sobre las excepciones planteadas que determinarían la inadmisión del recurso o de algunas de sus pretensiones. Finalmente, aduce que se ha dejado vacía de contenido la preceptiva audiencia a las partes en el proceso impuesta por el art. 35 de la Ley Orgánica del Tribunal Constitucional (LOTC), al prescindir la providencia del juicio de compatibilidad de la norma cuestionada con el precepto constitucional invocado, dejando en indefensión a la parte que no puede conocer las razones por las que existe dicha incompatibilidad. Los recurrentes se muestran conformes con el planteamiento de la cuestión de inconstitucionalidad, por la contradicción del art. 30 del Decreto Legislativo 1/2008 con la normativa básica estatal y por la infracción de los principios de igualdad, mérito y capacidad previstos en el art. 23.2 CE. El Ministerio Fiscal manifiesta que resulta procedente plantear la cuestión de inconstitucionalidad. El Ayuntamiento de A Coruña, atendiendo a lo expuesto en el Auto, no formula alegaciones.</w:t>
      </w:r>
    </w:p>
    <w:p w:rsidR="001D6FAE" w:rsidRDefault="001D6FAE" w:rsidP="001D6FAE">
      <w:pPr>
        <w:pStyle w:val="TextoNormal"/>
      </w:pPr>
    </w:p>
    <w:p w:rsidR="001D6FAE" w:rsidRDefault="001D6FAE" w:rsidP="001D6FAE">
      <w:pPr>
        <w:pStyle w:val="TextoNormal"/>
      </w:pPr>
      <w:r>
        <w:t>c) Por Auto de 31 de marzo de 2016 se plantea cuestión de inconstitucionalidad en relación con el art. 30 del Decreto Legislativo 1/2008.</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planteamiento de la cuestión de inconstitucionalidad se fundamenta en las consideraciones que seguidamente se indican:</w:t>
      </w:r>
    </w:p>
    <w:p w:rsidR="001D6FAE" w:rsidRDefault="001D6FAE" w:rsidP="001D6FAE">
      <w:pPr>
        <w:pStyle w:val="TextoNormal"/>
      </w:pPr>
    </w:p>
    <w:p w:rsidR="001D6FAE" w:rsidRDefault="001D6FAE" w:rsidP="001D6FAE">
      <w:pPr>
        <w:pStyle w:val="TextoNormal"/>
      </w:pPr>
      <w:r>
        <w:t>Tras exponer los antecedentes de hecho, se refiere a la procedencia y requisitos de la cuestión planteada. Al respecto, rechaza las alegaciones realizadas por la parte codemandada sobre la deficiencia en el trámite de audiencia en la consideración de que la providencia ha exteriorizado la mínima identificación de la duda de constitucionalidad del art. 30 del Decreto Legislativo 1/2008 conforme a la doctrina constitucional que cita [STC 50/2015, de 5 de marzo, FJ 2 b)] y que “su lectura ha permitido a las partes conocer los términos de la duda de constitucionalidad planteada, y en consecuencia les ha permitido expresar su criterio sobre ella en el trámite de alegaciones”.</w:t>
      </w:r>
    </w:p>
    <w:p w:rsidR="001D6FAE" w:rsidRDefault="001D6FAE" w:rsidP="001D6FAE">
      <w:pPr>
        <w:pStyle w:val="TextoNormal"/>
      </w:pPr>
    </w:p>
    <w:p w:rsidR="001D6FAE" w:rsidRDefault="001D6FAE" w:rsidP="001D6FAE">
      <w:pPr>
        <w:pStyle w:val="TextoNormal"/>
      </w:pPr>
      <w:r>
        <w:t>Asimismo, se pronuncia sobre los óbices procesales planteados por la parte codemandada señalando que “la única causa de inadmisibilidad planteada….fue la extemporaneidad del recurso respecto de algunos recurrentes” que, indica el órgano judicial, fue rechazada en la Sentencia recurrida en apelación. Se alegó también “la falta de legitimación de los actores en general para impugnar una defectuosa negociación colectiva”, que también fue desestimada en la citada Sentencia. Y el “único recurso de apelación interpuesto” contra la citada Sentencia “fue el de los recurrentes, al ser la sentencia desestimatoria de sus pretensiones”. El resto de las cuestiones alegadas se consideran cuestiones de fondo por el órgano judicial.</w:t>
      </w:r>
    </w:p>
    <w:p w:rsidR="001D6FAE" w:rsidRDefault="001D6FAE" w:rsidP="001D6FAE">
      <w:pPr>
        <w:pStyle w:val="TextoNormal"/>
      </w:pPr>
    </w:p>
    <w:p w:rsidR="001D6FAE" w:rsidRDefault="001D6FAE" w:rsidP="001D6FAE">
      <w:pPr>
        <w:pStyle w:val="TextoNormal"/>
      </w:pPr>
      <w:r>
        <w:t>A continuación, tras exponer el contenido del art. 30 del Decreto Legislativo 1/2008, considera que podría conculcar el derecho fundamental de acceso a las funciones y cargos públicos en condiciones de igualdad (art. 23.2 CE), derecho que opera no sólo en el momento del acceso, sino también, conforme a la jurisprudencia constitucional que cita, durante la vigencia de la relación funcionarial y que resulta aplicable al sistema de provisión de puestos de trabajo. Añade que aquel derecho fundamental es de configuración legal, de modo tal que corresponde al legislador establecer las condiciones de acceso a la función pública con arreglo a los principios de igualdad, mérito y capacidad (art. 103.3 CE), lo que entraña una garantía de orden material que se traduce en la exigencia de predeterminar cuáles hayan de ser las condiciones para acceder a la función pública de conformidad con aquellos principios y que, a efectos de dicha configuración legal, la primera normativa llamada a determinar tales extremos es la legislación básica estatal, constituida aquí por el art. 20.1 b) de la Ley 30/1984, que permanece en vigor en virtud de lo dispuesto por la disposición derogatoria única, letra b), LEEP, que reserva el sistema de libre designación para los puestos de carácter directivo o de especial responsabilidad que así se determinen en las relaciones de puestos de trabajo, así como por lo dispuesto en el art. 80.2 LEEP, conforme al cual “(l)as leyes de Función Pública que se dicten en desarrollo del presente Estatuto establecerán los criterios para determinar los puestos de trabajo que por su especial responsabilidad y confianza puedan cubrirse por el procedimiento de libre designación con convocatoria pública”. Señala la Sección que no cabe dudar del carácter básico de esta previsión normativa, en atención a lo establecido en la disposición final primera del mismo estatuto del empleado público y cita al respecto el art. 149.1.18 CE.</w:t>
      </w:r>
    </w:p>
    <w:p w:rsidR="001D6FAE" w:rsidRDefault="001D6FAE" w:rsidP="001D6FAE">
      <w:pPr>
        <w:pStyle w:val="TextoNormal"/>
      </w:pPr>
    </w:p>
    <w:p w:rsidR="001D6FAE" w:rsidRDefault="001D6FAE" w:rsidP="001D6FAE">
      <w:pPr>
        <w:pStyle w:val="TextoNormal"/>
      </w:pPr>
      <w:r>
        <w:t>Se refiere a continuación el Auto a la relevancia para la resolución del recurso pendiente de la conformidad o no a la Constitución del precepto legal cuestionado, señalando al efecto que “uno de los motivos que esgrimen los apelantes para instar la revocación de la sentencia recaída en el procedimiento abreviado número 241/14 del Juzgado de lo Contencioso-administrativo núm. 4 de A Coruña, desestimatoria de sus pretensiones, versa sobre el sistema de provisión (libre designación) de los puestos de Jefatura de Servicio en la modificación de la RPT operada por el Acuerdo de la Junta de Gobierno Local de A Coruña de 28 de julio de 2014”. Expone el órgano judicial que “los apelantes fundamentan su impugnación … en la vulneración del principio de igualdad, mérito y capacidad del art. 23.2 CE, aplicable a los actos relativos a la provisión de puestos de trabajo, por entender que el sistema más garantista para la provisión de puestos de trabajo es el concurso de méritos … tanto el Ayuntamiento de A Coruña como la codemandada personada en autos fundamenta su oposición principalmente en que esa determinación venía impuesta por lo previsto en el art. 30 del Decreto Legislativo 1/2008, por lo que … la relevancia del planteamiento de la cuestión de inconstitucionalidad es indudable porque del resultado de la misma habrá de depender la respuesta que este órgano jurisdiccional ha de dar a este aspecto del recurso de apelación”. Asimismo pone de manifiesto que la expresión “en todo caso” que figura en el precepto cuestionado no deja margen para una interpretación conforme con la legislación básica. Además, el órgano judicial pone de relieve que la regulación vigente en la materia (Ley 2/2015, 29 abril, del empleo público de Galicia) ha excluido las jefaturas de servicio del elenco de puestos que recogía la norma ahora cuestionada como tributarios de esta forma de provisión, sin necesidad de que concurriese una razón o excepción que lo justificase. Concluye el órgano judicial considerando que sería insoslayable plantear la inconstitucionalidad mediata o indirecta de un precepto autonómico por posible vulneración de la normativa estatal de carácter básico.</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21 de junio de 2016, la Sección Segunda del Pleno del Tribunal Constitucional acordó, a los efectos que determina el art. 37.1 LOTC, oír al Fiscal General del Estado para que, en el plazo de diez días, alegara lo que considerase conveniente acerca de la admisibilidad de la cuestión de inconstitucionalidad, por si fuese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evacuó el trámite conferido mediante escrito registrado en este Tribunal el 14 de julio de 2016. Considera que la cuestión de inconstitucionalidad es inadmisible por ser notoriamente infundada. Después de relacionar las circunstancias del caso, así como de constatar el cumplimiento de los requisitos procesales, afirma que la presente cuestión de inconstitucionalidad es infundada por las mismas razones que se alegaron en relación con la cuestión de inconstitucionalidad núm. 6096-2013, cuestión planteada por el mismo órgano judicial con la misma argumentación que la ahora planteada. Cita jurisprudencia constitucional relativa al art. 23.2 CE y al sistema de libre designación, con especial mención de la STC 235/2000, de 5 de octubre, concluyéndose que el sistema de libre designación para puestos de indudable relevancia por su carácter directivo y especial responsabilidad no es en abstracto contrario al art. 103.3 CE.</w:t>
      </w:r>
    </w:p>
    <w:p w:rsidR="001D6FAE" w:rsidRDefault="001D6FAE" w:rsidP="001D6FAE">
      <w:pPr>
        <w:pStyle w:val="TextoNormal"/>
      </w:pPr>
    </w:p>
    <w:p w:rsidR="001D6FAE" w:rsidRDefault="001D6FAE" w:rsidP="001D6FAE">
      <w:pPr>
        <w:pStyle w:val="TextoNormal"/>
      </w:pPr>
      <w:r>
        <w:t xml:space="preserve">En el caso concreto, no cabe compartir ni el planteamiento general ni que el precepto cuestionado se oponga frontalmente al art. 80 LEEP, precepto que incorpora una remisión que deja espacio a una previsión como la cuestionada. Otro tanto cabría afirmar respecto del art. 20.1 b) de la Ley 30/1984, del que parece desprenderse que siempre que esté previsto en las relaciones de puestos de trabajo y se considere como puesto de especial responsabilidad, aún de ser aplicable el precepto en toda su extensión y consecuencias para las Administraciones autonómicas, habría margen para el desarrollo legal de una normativa autonómica y no existen razones en abstracto para descartar que entre dichos puestos se consideren como tales las jefaturas de servicio, ni siquiera </w:t>
      </w:r>
      <w:r w:rsidRPr="001D6FAE">
        <w:rPr>
          <w:i/>
        </w:rPr>
        <w:t>ope legis</w:t>
      </w:r>
      <w:r>
        <w:t xml:space="preserve">. El precepto cuestionado no infringe los arts. 23.2 y 103.3 CE ni la normativa básica ni, por tanto, el art. 149.1.18 CE. El caso podría considerarse similar al enjuiciado en la Sentencia de la Sección Tercera de la Sala Tercera del Tribunal Supremo de 9 de julio de 2012, que consideró ajustado a Derecho el sistema de provisión de determinados puestos de trabajo del Servicio Andaluz de Salud. También en el supuesto actual, para determinadas jefaturas de servicio, la libre designación no significa sino la mera puesta a disposición del órgano decisor de un cierto margen de valoración a la hora de apreciar, sin perder de vista su historial funcionarial, las aptitudes de los candidatos para desempeñar un determinado puesto de trabajo de singular importancia. No cabe concluir </w:t>
      </w:r>
      <w:r w:rsidRPr="001D6FAE">
        <w:rPr>
          <w:i/>
        </w:rPr>
        <w:t>a priori</w:t>
      </w:r>
      <w:r>
        <w:t xml:space="preserve"> la presencia de arbitrariedad ni la inexistencia de fundamento objetivo y razonable para esta concreta previsión, estando legalmente reafirmada la garantía de publicidad de las convocatorias, no abriéndose la posibilidad de desempeño a personas ajenas a las Administraciones públicas en la medida en que son ya funcionarios todos los posibles candidatos que puedan participar en la convocatoria, ni la igualdad ni los principios de mérito y capacidad resultan quebrados en tal medida que la disposición cuestionada aparezca como inconstitucional. Antes bien, aparece como infundado el planteamiento de la cuestión, dados los parámetros de la doctrina constitucional, especialmente a la vista de que tampoco en este caso cabe sostener que la facultad de libre designación dote al órgano de decisión de una suerte de poder omnímodo a fin de decidir cómo tenga por conveniente, ello sin perjuicio del oportuno control judicial previsto sobre la base de lo establecido en el art. 106.1 CE.</w:t>
      </w:r>
    </w:p>
    <w:p w:rsidR="001D6FAE" w:rsidRDefault="001D6FAE" w:rsidP="001D6FAE">
      <w:pPr>
        <w:pStyle w:val="TextoNormal"/>
      </w:pPr>
    </w:p>
    <w:p w:rsidR="001D6FAE" w:rsidRDefault="001D6FAE" w:rsidP="001D6FAE">
      <w:pPr>
        <w:pStyle w:val="TextoNormal"/>
      </w:pPr>
      <w:r>
        <w:t>Además, la doctrina constitucional ha reconocido un cierto margen de autoorganización de las diferentes Administraciones, que puede entenderse incluye la posibilidad de determinar por disposición de ley el campo de alcance del sistema de libre designación en la función pública de cada Comunidad Autónoma.</w:t>
      </w:r>
    </w:p>
    <w:p w:rsidR="001D6FAE" w:rsidRDefault="001D6FAE" w:rsidP="001D6FAE">
      <w:pPr>
        <w:pStyle w:val="TextoNormal"/>
      </w:pPr>
    </w:p>
    <w:p w:rsidR="001D6FAE" w:rsidRDefault="001D6FAE" w:rsidP="001D6FAE">
      <w:pPr>
        <w:pStyle w:val="TextoNormal"/>
      </w:pPr>
      <w:r>
        <w:t>Finalmente, se afirma que el hecho de que la Ley 2/2015, de 29 de abril, del empleo público de Galicia, haya derogado el texto refundido de la Ley 4/1988, de 26 de mayo, de la función pública de Galicia, aprobado por Decreto Legislativo 1/2008, de 13 de marzo, y establezca en su art. 92.2 que “solamente pueden proveerse por el procedimiento de libre designación con convocatoria pública entre personal funcionario de carrera las vicesecretarías generales, las subdirecciones generales o equivalentes, las secretarías de altos cargos y, excepcionalmente, aquellos puestos de trabajo de especial responsabilidad o cualificación profesional que se determinen en las relaciones de puestos de trabajo”, en nada empece las consideraciones efectuadas.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Primera de la Sala de lo Contencioso-Administrativo del Tribunal Superior de Justicia de Galicia promueve cuestión de inconstitucionalidad en relación con el art. 30 del Decreto Legislativo 1/2008, de 13 de marzo, por el que se aprueba el texto refundido de la Ley de función pública de Galicia, en la redacción dada al mismo por el art. 21 de la Ley 15/2010, de 28 de diciembre, de medidas fiscales y administrativas.</w:t>
      </w:r>
    </w:p>
    <w:p w:rsidR="001D6FAE" w:rsidRDefault="001D6FAE" w:rsidP="001D6FAE">
      <w:pPr>
        <w:pStyle w:val="TextoNormal"/>
      </w:pPr>
    </w:p>
    <w:p w:rsidR="001D6FAE" w:rsidRDefault="001D6FAE" w:rsidP="001D6FAE">
      <w:pPr>
        <w:pStyle w:val="TextoNormal"/>
      </w:pPr>
      <w:r>
        <w:t>Dicho precepto, que ha sido derogado por la Ley 2/2015, 29 abril, del empleo público de Galicia, establecía lo siguiente:</w:t>
      </w:r>
    </w:p>
    <w:p w:rsidR="001D6FAE" w:rsidRDefault="001D6FAE" w:rsidP="001D6FAE">
      <w:pPr>
        <w:pStyle w:val="TextoNormal"/>
      </w:pPr>
    </w:p>
    <w:p w:rsidR="001D6FAE" w:rsidRDefault="001D6FAE" w:rsidP="001D6FAE">
      <w:pPr>
        <w:pStyle w:val="TextoNormal"/>
      </w:pPr>
      <w:r>
        <w:t>“Se proveerán por el sistema de libre designación, con convocatoria pública entre personal funcionario de carrera, los puestos de trabajo de carácter directivo o de especial responsabilidad y aquellos que requieran una confianza personal para ejercer sus funciones. En todo caso, mediante este procedimiento, se proveerán las subdirecciones generales o equivalentes, jefaturas de servicio o equivalentes, las secretarías de altos cargos, así como, excepcionalmente, otros de nivel inferior que, como tales, se determinen en las relaciones de puestos de trabajo, según los criterios que se establezcan, en este último caso, previa negociación con las organizaciones sindicales.</w:t>
      </w:r>
    </w:p>
    <w:p w:rsidR="001D6FAE" w:rsidRDefault="001D6FAE" w:rsidP="001D6FAE">
      <w:pPr>
        <w:pStyle w:val="TextoNormal"/>
      </w:pPr>
    </w:p>
    <w:p w:rsidR="001D6FAE" w:rsidRDefault="001D6FAE" w:rsidP="001D6FAE">
      <w:pPr>
        <w:pStyle w:val="TextoNormal"/>
      </w:pPr>
      <w:r>
        <w:t>Los puestos clasificados como de libre designación estarán sometidos a disponibilidad horaria en los términos que se establezcan reglamentariamente.”</w:t>
      </w:r>
    </w:p>
    <w:p w:rsidR="001D6FAE" w:rsidRDefault="001D6FAE" w:rsidP="001D6FAE">
      <w:pPr>
        <w:pStyle w:val="TextoNormal"/>
      </w:pPr>
    </w:p>
    <w:p w:rsidR="001D6FAE" w:rsidRDefault="001D6FAE" w:rsidP="001D6FAE">
      <w:pPr>
        <w:pStyle w:val="TextoNormal"/>
      </w:pPr>
      <w:r>
        <w:t>Como se ha expuesto en los antecedentes, la Sala promotora de la cuestión considera que dicho precepto puede ser contrario a la legislación básica en materia de función pública. Por el contrario, la Fiscal General del Estado ha interesado la inadmisión de la cuestión de inconstitucionalidad planteada al considerarla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previsto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145/2016, de 19 de julio, FJ 3).</w:t>
      </w:r>
    </w:p>
    <w:p w:rsidR="001D6FAE" w:rsidRDefault="001D6FAE" w:rsidP="001D6FAE">
      <w:pPr>
        <w:pStyle w:val="TextoNormal"/>
      </w:pPr>
    </w:p>
    <w:p w:rsidR="001D6FAE" w:rsidRDefault="001D6FAE" w:rsidP="001D6FAE">
      <w:pPr>
        <w:pStyle w:val="TextoNormal"/>
      </w:pPr>
      <w:r>
        <w:t>En el presente caso, por las razones que se van a exponer a continuación, puede apreciarse ya en este trámite liminar que la cuestión planteada es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3</w:t>
      </w:r>
      <w:r>
        <w:t xml:space="preserve">. Con carácter previo al análisis de la cuestión de inconstitucionalidad planteada resulta necesario indicar que el precepto cuestionado no se encuentra ya en vigor, habiendo sido derogado por la Ley 2/2015, de 29 abril, del empleo público de Galicia. Sin embargo, y como hemos afirmado en diferentes ocasiones, ello no es óbice para continuar con nuestro análisis en este tipo de proceso jurisdiccional, donde lo relevante es que la norma que se cuestione resulte efectivamente aplicable en el proceso </w:t>
      </w:r>
      <w:r w:rsidRPr="001D6FAE">
        <w:rPr>
          <w:i/>
        </w:rPr>
        <w:t>a quo</w:t>
      </w:r>
      <w:r>
        <w:t>, y que de su validez dependa la decisión a adoptar en éste (SSTC 255/2004, de 23 de diciembre, FJ 2; 116/2009, de 18 de mayo, FJ 2; 73/2014, de 8 de mayo, FJ 2; 83/2015, de 30 de abril, FJ 3; 25/2016, de 15 de febrero, FJ 1, y 121/2016, de 23 de junio, FJ 2, entre otras muchas).</w:t>
      </w:r>
    </w:p>
    <w:p w:rsidR="001D6FAE" w:rsidRDefault="001D6FAE" w:rsidP="001D6FAE">
      <w:pPr>
        <w:pStyle w:val="TextoNormal"/>
      </w:pPr>
    </w:p>
    <w:p w:rsidR="001D6FAE" w:rsidRDefault="001D6FAE" w:rsidP="001D6FAE">
      <w:pPr>
        <w:pStyle w:val="TextoNormal"/>
      </w:pPr>
      <w:r>
        <w:t>La Sección Primera de la Sala de lo Contencioso-Administrativo del Tribunal Superior de Justicia de Galicia afirma en el Auto de planteamiento que la norma aplicable al procedimiento en el que se plantea la cuestión es el art. 30 del Decreto Legislativo 1/2008. Estando adecuadamente razonado el juicio de aplicabilidad y relevancia, nuestro análisis habrá de referirse a dicho precepto, sin tomar en consideración las modificaciones posteriores.</w:t>
      </w:r>
    </w:p>
    <w:p w:rsidR="001D6FAE" w:rsidRDefault="001D6FAE" w:rsidP="001D6FAE">
      <w:pPr>
        <w:pStyle w:val="TextoNormal"/>
      </w:pPr>
    </w:p>
    <w:p w:rsidR="001D6FAE" w:rsidRDefault="001D6FAE" w:rsidP="001D6FAE">
      <w:pPr>
        <w:pStyle w:val="TextoNormal"/>
      </w:pPr>
      <w:r w:rsidRPr="001D6FAE">
        <w:rPr>
          <w:rStyle w:val="NumeroAFNegritaCaracter"/>
        </w:rPr>
        <w:t>4</w:t>
      </w:r>
      <w:r>
        <w:t>. Debemos precisar, ahora, la duda de constitucionalidad que nos ha sido formulada por el órgano judicial. Si bien en el Auto de planteamiento de la cuestión se hace referencia a la posible vulneración del art. 23 CE, la misma, en los términos en los que está planteada, se anuda a la contravención de la legislación básica en materia de función pública. En efecto, el órgano judicial parte de que el art. 30 del Decreto Legislativo 1/2008 podría conculcar el derecho fundamental de acceso a las funciones y cargos públicos en condiciones de igualdad (art. 23.2 CE), derecho de configuración legal a cuyos efectos, la primera normativa llamada a determinar las condiciones de acceso a la función pública con arreglo a los principios de igualdad, mérito y capacidad es la legislación básica, constituida, a juicio del órgano judicial, por el art. 20.1 b) de la Ley 30/1984, de 2 de agosto, de medidas para la reforma de la función pública, así como por lo dispuesto en el art. 80.2 de la Ley 7/2007, de 12 de abril, del estatuto básico del empleado público (LEEP). Consecuentemente, la duda de constitucionalidad, en los términos en los que está expresada, se contrae a la posible contravención por el art. 30 del Decreto Legislativo 1/2008 de la normativa básica y, a su través, del art. 149.1.18 CE.</w:t>
      </w:r>
    </w:p>
    <w:p w:rsidR="001D6FAE" w:rsidRDefault="001D6FAE" w:rsidP="001D6FAE">
      <w:pPr>
        <w:pStyle w:val="TextoNormal"/>
      </w:pPr>
    </w:p>
    <w:p w:rsidR="001D6FAE" w:rsidRDefault="001D6FAE" w:rsidP="001D6FAE">
      <w:pPr>
        <w:pStyle w:val="TextoNormal"/>
      </w:pPr>
      <w:r w:rsidRPr="001D6FAE">
        <w:rPr>
          <w:rStyle w:val="NumeroAFNegritaCaracter"/>
        </w:rPr>
        <w:t>5</w:t>
      </w:r>
      <w:r>
        <w:t>. Atendiendo a lo anteriormente afirmado, la vulneración aducida por el órgano judicial es un supuesto de inconstitucionalidad de carácter mediato o indirecto (por todas, STC 246/2012, de 20 de diciembre, FJ 8, y las allí citadas, así como los AATC 85/2013, FJ 5, y 103/2015, de 9 de junio, FJ 2); la norma autonómica sería contraria al orden de distribución de competencias precisamente por infringir la normativa básica. Para que dicha vulneración exista será necesaria, como hemos declarado en la citada doctrina, la concurrencia de dos circunstancias: que la norma estatal que se afirma infringida por la ley autonómica sea, en el doble sentido material y formal, una norma básica; dictada, por tanto, legítimamente al amparo del correspondiente título competencial que la Constitución haya reservado al Estado. En segundo lugar, que esa contradicción entre ambas normas, estatal y autonómica, sea efectiva e insalvable por vía interpretativa.</w:t>
      </w:r>
    </w:p>
    <w:p w:rsidR="001D6FAE" w:rsidRDefault="001D6FAE" w:rsidP="001D6FAE">
      <w:pPr>
        <w:pStyle w:val="TextoNormal"/>
      </w:pPr>
    </w:p>
    <w:p w:rsidR="001D6FAE" w:rsidRDefault="001D6FAE" w:rsidP="001D6FAE">
      <w:pPr>
        <w:pStyle w:val="TextoNormal"/>
      </w:pPr>
      <w:r>
        <w:t>Como hemos señalado, planteándose un problema de inconstitucionalidad mediata o indirecta lo primero que hemos de hacer es determinar la legislación básica en materia de provisión de puestos de trabajo y cuya vulneración podría ocasionar la infracción del reparto constitucional de competencias en materia de régimen estatutario de los funcionarios públicos por inconstitucionalidad mediata, e, indirectamente, del art. 23.2 CE.</w:t>
      </w:r>
    </w:p>
    <w:p w:rsidR="001D6FAE" w:rsidRDefault="001D6FAE" w:rsidP="001D6FAE">
      <w:pPr>
        <w:pStyle w:val="TextoNormal"/>
      </w:pPr>
    </w:p>
    <w:p w:rsidR="001D6FAE" w:rsidRDefault="001D6FAE" w:rsidP="001D6FAE">
      <w:pPr>
        <w:pStyle w:val="TextoNormal"/>
      </w:pPr>
      <w:r>
        <w:t>Si bien es cierto que el órgano judicial considera que el art. 30 del Decreto Legislativo 1/2008 vulneraría tanto el art. 20.1 b) de la Ley 30/1984, de 2 de agosto, de medidas para la reforma de la función pública, como lo dispuesto en el art. 80.2 LEEP, hemos de realizar dos consideraciones respecto a dicho parámetro.</w:t>
      </w:r>
    </w:p>
    <w:p w:rsidR="001D6FAE" w:rsidRDefault="001D6FAE" w:rsidP="001D6FAE">
      <w:pPr>
        <w:pStyle w:val="TextoNormal"/>
      </w:pPr>
    </w:p>
    <w:p w:rsidR="001D6FAE" w:rsidRDefault="001D6FAE" w:rsidP="001D6FAE">
      <w:pPr>
        <w:pStyle w:val="TextoNormal"/>
      </w:pPr>
      <w:r>
        <w:t>En primer lugar, no constituye legislación básica el art. 20.1 b) de la Ley 30/1984, cuyo primer párrafo ha sido derogado expresamente por la disposición derogatoria única del texto refundido de la Ley del estatuto básico del empleado público, y cuyo segundo párrafo está dirigido, según se deduce de su tenor literal, a la Administración general del Estado.</w:t>
      </w:r>
    </w:p>
    <w:p w:rsidR="001D6FAE" w:rsidRDefault="001D6FAE" w:rsidP="001D6FAE">
      <w:pPr>
        <w:pStyle w:val="TextoNormal"/>
      </w:pPr>
    </w:p>
    <w:p w:rsidR="001D6FAE" w:rsidRDefault="001D6FAE" w:rsidP="001D6FAE">
      <w:pPr>
        <w:pStyle w:val="TextoNormal"/>
      </w:pPr>
      <w:r>
        <w:t xml:space="preserve">En segundo lugar, y en cuanto al art. 80.2 LEEP , hemos de tener en cuenta que conforme a la doctrina constitucional “el criterio reiterado de este Tribunal es que, como regla general, en las cuestiones de inconstitucionalidad se debe utilizar como canon de enjuiciamiento la legislación vigente en el momento de referencia para la aplicación por el órgano judicial </w:t>
      </w:r>
      <w:r w:rsidRPr="001D6FAE">
        <w:rPr>
          <w:i/>
        </w:rPr>
        <w:t>a quo</w:t>
      </w:r>
      <w:r>
        <w:t xml:space="preserve"> de la norma cuestionada” (STC 25/2016, de 15 de febrero, FJ 2, con cita de la STC 150/2014, de 22 de septiembre, FJ 2). De igual forma es preciso recordar, a tal fin, “que en las cuestiones de inconstitucionalidad (por todas, SSTC 4/2011, de 4 febrero, FJ 3; 175/2011, de 8 de noviembre, FJ 2, y 191/2012, de 29 de octubre, FJ 2) el control de los preceptos que pudieren haber incurrido en un exceso competencial ha de efectuarse con arreglo a las normas del bloque constitucional, vigentes en el momento en que fue planteada la cuestión en el proceso a quo, así como aquellas otras que, en su caso, operen como parámetro de enjuiciamiento del precepto cuestionado” (STC 235/2015, de 5 de noviembre, FJ 2). Conforme a dicha doctrina el parámetro no sería el propuesto art. 80.2 LEEP, sino el art. 80.2 del texto refundido de la Ley del estatuto básico del empleado público, aprobado por Real Decreto Legislativo 5/2015, de 30 de octubre que es la norma vigente en el momento de planteamiento de la cuestión de inconstitucionalidad y, en consecuencia, la norma de contraste de la disposición cuestionada. El hecho de que en la tramitación de la cuestión de inconstitucionalidad el órgano judicial haya determinado que el parámetro era el art. 80 LEEP no tiene relevancia, dada la identidad de contenido de ambas disposiciones.</w:t>
      </w:r>
    </w:p>
    <w:p w:rsidR="001D6FAE" w:rsidRDefault="001D6FAE" w:rsidP="001D6FAE">
      <w:pPr>
        <w:pStyle w:val="TextoNormal"/>
      </w:pPr>
    </w:p>
    <w:p w:rsidR="001D6FAE" w:rsidRDefault="001D6FAE" w:rsidP="001D6FAE">
      <w:pPr>
        <w:pStyle w:val="TextoNormal"/>
      </w:pPr>
      <w:r w:rsidRPr="001D6FAE">
        <w:rPr>
          <w:rStyle w:val="NumeroAFNegritaCaracter"/>
        </w:rPr>
        <w:t>6</w:t>
      </w:r>
      <w:r>
        <w:t xml:space="preserve">. Realizadas dichas consideraciones, hemos de abordar ahora la cuestión que nos ha sido planteada. El art. 80.2 del Real Decreto Legislativo 5/2015 establece que “las leyes de Función Pública que se dicten en desarrollo del presente Estatuto establecerán los criterios para determinar los puestos que por su especial responsabilidad y confianza puedan cubrirse por el procedimiento de libre designación con convocatoria pública”. Cabe afirmar que dicha disposición es una norma básica desde la perspectiva formal pues con tal carácter se proclama en la disposición final primera de dicho texto refundido. Y lo mismo sucede desde la perspectiva material. La competencia que asiste al Estado </w:t>
      </w:r>
      <w:r w:rsidRPr="001D6FAE">
        <w:rPr>
          <w:i/>
        </w:rPr>
        <w:t>ex</w:t>
      </w:r>
      <w:r>
        <w:t xml:space="preserve"> art. 149.1 18 CE le permite establecer las bases del régimen estatutario de los funcionarios públicos y dentro de este régimen se encuentran, sin duda, los sistemas de provisión de puestos de trabajo, tal y como ha afirmado el Tribunal Constitucional en anteriores ocasiones (STC 235/2000, de 5 de octubre, FJ 5). La regulación del art. 80 del Real Decreto Legislativo 5/2015 se incluye con naturalidad dentro de las bases del régimen estatutario de los funcionarios públicos, que han de ser establecidas por el Estado, conforme al art. 149.1.18 CE. En efecto, el precepto estatal que regula la libre designación se ha limitado a establecer, a grandes rasgos, las características —responsabilidad y confianza— que deben reunir los puestos para que pueda aplicarse este sistema de provisión y se mantenga su carácter excepcional, dejando espacio para el desarrollo normativo de las Comunidades Autónomas, esto es, para establecer los límites más o menos amplios, dentro de los contemplados por la norma básica, en que debe operar la libre designación.</w:t>
      </w:r>
    </w:p>
    <w:p w:rsidR="001D6FAE" w:rsidRDefault="001D6FAE" w:rsidP="001D6FAE">
      <w:pPr>
        <w:pStyle w:val="TextoNormal"/>
      </w:pPr>
    </w:p>
    <w:p w:rsidR="001D6FAE" w:rsidRDefault="001D6FAE" w:rsidP="001D6FAE">
      <w:pPr>
        <w:pStyle w:val="TextoNormal"/>
      </w:pPr>
      <w:r>
        <w:t>En definitiva, la normativa estatal que nos ocupa ha sido dictada con adecuación a la competencia sobre las bases que la Constitución reserva al Estado en su art. 149.1.18 pudiendo, por tanto, operar como canon de constitucionalidad.</w:t>
      </w:r>
    </w:p>
    <w:p w:rsidR="001D6FAE" w:rsidRDefault="001D6FAE" w:rsidP="001D6FAE">
      <w:pPr>
        <w:pStyle w:val="TextoNormal"/>
      </w:pPr>
    </w:p>
    <w:p w:rsidR="001D6FAE" w:rsidRDefault="001D6FAE" w:rsidP="001D6FAE">
      <w:pPr>
        <w:pStyle w:val="TextoNormal"/>
      </w:pPr>
      <w:r>
        <w:t>Una vez comprobada la naturaleza básica de la norma estatal, debemos examinar a continuación si, como se afirma en el Auto de planteamiento, resulta ser contradicho por el precepto cuestionado o si, por el contrario, tal contradicción no existe.</w:t>
      </w:r>
    </w:p>
    <w:p w:rsidR="001D6FAE" w:rsidRDefault="001D6FAE" w:rsidP="001D6FAE">
      <w:pPr>
        <w:pStyle w:val="TextoNormal"/>
      </w:pPr>
    </w:p>
    <w:p w:rsidR="001D6FAE" w:rsidRDefault="001D6FAE" w:rsidP="001D6FAE">
      <w:pPr>
        <w:pStyle w:val="TextoNormal"/>
      </w:pPr>
      <w:r>
        <w:t>Para ello debemos de partir de que, conforme al art. 79 del Real Decreto Legislativo 5/2015, el concurso es el sistema ordinario y la libre designación, en consecuencia, el sistema excepcional. Precisamente por ello el sistema de libre designación viene limitado a los puestos de trabajo de especial responsabilidad y confianza. La remisión a las leyes de función pública de desarrollo del Real Decreto Legislativo 5/2015 lo es para establecer “los criterios para determinar los puestos que por su especial responsabilidad y confianza puedan cubrirse por el procedimiento de libre designación”. No se establece, por tanto, más limitación a la posibilidad de configuración del sistema de libre designación por el legislador autonómico que los puestos que se provean por este sistema exigen una especial responsabilidad y confianza por las funciones que tienen encomendadas y que los criterios establecidos no conviertan el sistema excepcional en un sistema ordinario.</w:t>
      </w:r>
    </w:p>
    <w:p w:rsidR="001D6FAE" w:rsidRDefault="001D6FAE" w:rsidP="001D6FAE">
      <w:pPr>
        <w:pStyle w:val="TextoNormal"/>
      </w:pPr>
    </w:p>
    <w:p w:rsidR="001D6FAE" w:rsidRDefault="001D6FAE" w:rsidP="001D6FAE">
      <w:pPr>
        <w:pStyle w:val="TextoNormal"/>
      </w:pPr>
      <w:r>
        <w:t>Pues bien, el Decreto Legislativo 1/2008 establecía que el concurso era el sistema ordinario de provisión de puestos de trabajo, que la libre designación con convocatoria pública se utilizaría para cubrir aquellos puestos que así se determinasen en las relaciones de puestos de trabajo, exigiéndose además que, atendiendo a la función a desempeñar, era requisito necesario estar en posesión del diploma de directiva o directivo expedido por la Escuela gallega de Administración pública o equivalente dado por otras instituciones públicas que habilite para el ejercicio del puesto de trabajo de que se trate (artículo 29).</w:t>
      </w:r>
    </w:p>
    <w:p w:rsidR="001D6FAE" w:rsidRDefault="001D6FAE" w:rsidP="001D6FAE">
      <w:pPr>
        <w:pStyle w:val="TextoNormal"/>
      </w:pPr>
    </w:p>
    <w:p w:rsidR="001D6FAE" w:rsidRDefault="001D6FAE" w:rsidP="001D6FAE">
      <w:pPr>
        <w:pStyle w:val="TextoNormal"/>
      </w:pPr>
      <w:r>
        <w:t>Los criterios que se infieren de lo dispuesto en dicho precepto y en la disposición ahora cuestionada, son que las funciones que justifican el recurso a la libre designación son las de carácter directivo o de especial responsabilidad y aquellas que requieran una confianza personal para ejercer sus funciones; que las subdirecciones generales o equivalentes, jefaturas de servicio o equivalentes y las secretarías de altos cargos reúnen los requisitos establecidos en el apartado anterior para ser provistos por libre designación, esto es, cumplen funciones directivas o de especial responsabilidad o confianza; y que, en el caso de los puestos que correspondan a las categorías antes mencionadas, la provisión por libre designación no es una decisión voluntaria de la Administración sino que viene impuesta por el legislador, mientras que para los puestos no encuadrados en estas categorías es la relación de puestos de trabajo la que podrá elegir entre concurso o libre designación siempre y cuando, claro está, los puestos tengan asignadas funciones de naturaleza directiva, de especial responsabilidad o de especial confianza y así se justifique en la relación de puestos de trabajo.</w:t>
      </w:r>
    </w:p>
    <w:p w:rsidR="001D6FAE" w:rsidRDefault="001D6FAE" w:rsidP="001D6FAE">
      <w:pPr>
        <w:pStyle w:val="TextoNormal"/>
      </w:pPr>
    </w:p>
    <w:p w:rsidR="001D6FAE" w:rsidRDefault="001D6FAE" w:rsidP="001D6FAE">
      <w:pPr>
        <w:pStyle w:val="TextoNormal"/>
      </w:pPr>
      <w:r>
        <w:t>No hay base alguna, a partir de la interpretación del art. 80.2 del Real Decreto Legislativo 5/2015, en los términos en los que está formulada la base estatal, que indique que los criterios para definir los puestos que pueden cubrirse por libre designación no pueden utilizar denominaciones relativas a determinadas categorías de puestos de trabajo siempre y cuando, claro está, dichas categorías de puestos de trabajo tengan asignadas funciones de “especial responsabilidad”, o de “especial confianza”. Los únicos límites, como se anticipó, son la excepcionalidad del sistema de libre designación y la relación entre la utilización de este sistema de provisión y las funciones de especial responsabilidad o confianza de los puestos de trabajo. Por ello, sólo en el caso de que pudiera afirmarse que las funciones que tienen asignadas las jefaturas de servicio no son en modo alguno de especial responsabilidad o que la imposición por el legislador del sistema del libre de designación para una serie de puestos directivos de segundo nivel elimina el carácter excepcional de este sistema de provisión, cabría llegar a la conclusión de que no se respeta la normativa básica. La legislación autonómica asimilaba las funciones de especial responsabilidad con la función directiva, o, mejor dicho, establecía que los puestos de trabajo que tienen funciones directivas son puestos que conllevan funciones de especial responsabilidad. Si el legislador básico hubiera querido excluir las funciones directivas de las funciones de especial responsabilidad, o limitar las categorías de puestos con funciones de dirección susceptibles de ser cubiertos por libre designación, debía haberlo hecho expresamente, incorporándolo a la legislación básica.</w:t>
      </w:r>
    </w:p>
    <w:p w:rsidR="001D6FAE" w:rsidRDefault="001D6FAE" w:rsidP="001D6FAE">
      <w:pPr>
        <w:pStyle w:val="TextoNormal"/>
      </w:pPr>
    </w:p>
    <w:p w:rsidR="001D6FAE" w:rsidRDefault="001D6FAE" w:rsidP="001D6FAE">
      <w:pPr>
        <w:pStyle w:val="TextoNormal"/>
      </w:pPr>
      <w:r>
        <w:t>Así pues, si las funciones directivas son funciones de especial responsabilidad, la utilización del sistema de libre designación para cubrir las jefaturas de servicio que ha establecido el legislador autonómico no conllevaba una ampliación de las funciones que justifican, en la legislación estatal, el recurso a la libre designación, salvo que las jefaturas de servicio no tuvieran funciones directivas. Pero dada la estructura organizativa y la organización jerárquica de la administración, la jefatura de servicio implica la actividad de coordinación y mando sobre los puestos de trabajo que integran el servicio administrativo, con independencia de que existan otros niveles directivos superiores —subdirecciones generales—. En este sentido, el art. 36.2 de la Ley 16/2010, de 17 de diciembre, de organización y funcionamiento de la Administración general y del sector público autonómico de Galicia señala que los servicios constituyen órganos de apoyo a los órganos de dirección de cada consejería, y, entre las funciones que se les atribuyen se encuentran las de coordinación, dirección y control de las unidades administrativas de ellos dependientes.</w:t>
      </w:r>
    </w:p>
    <w:p w:rsidR="001D6FAE" w:rsidRDefault="001D6FAE" w:rsidP="001D6FAE">
      <w:pPr>
        <w:pStyle w:val="TextoNormal"/>
      </w:pPr>
    </w:p>
    <w:p w:rsidR="001D6FAE" w:rsidRDefault="001D6FAE" w:rsidP="001D6FAE">
      <w:pPr>
        <w:pStyle w:val="TextoNormal"/>
      </w:pPr>
      <w:r>
        <w:t>Pero, en segundo lugar, la exigencia de que dichos puestos se cubran por libre designación eliminando la discrecionalidad de la administración al elaborar la relación de puestos de trabajo, no implica eliminar el carácter excepcional de este sistema de provisión. El Real Decreto Legislativo 5/2015 no impone que la excepcionalidad se refiera a cada una de las categorías de puestos de trabajo (dentro de las subdirecciones generales, por ejemplo, unas deben ser cubiertas por libre designación y otras por concurso), pues se limita a relacionar la excepcionalidad con la limitación de las funciones atribuidas a los puestos de trabajo —sólo aquellos que tengan determinadas funciones pueden ser cubiertos por este sistema—.</w:t>
      </w:r>
    </w:p>
    <w:p w:rsidR="001D6FAE" w:rsidRDefault="001D6FAE" w:rsidP="001D6FAE">
      <w:pPr>
        <w:pStyle w:val="TextoNormal"/>
      </w:pPr>
    </w:p>
    <w:p w:rsidR="001D6FAE" w:rsidRDefault="001D6FAE" w:rsidP="001D6FAE">
      <w:pPr>
        <w:pStyle w:val="TextoNormal"/>
      </w:pPr>
      <w:r>
        <w:t>En tercer lugar, corresponde al legislador que desarrolla el Real Decreto Legislativo 5/2015 —autonómico o estatal— establecer los límites de la libre designación en el marco que impone la legislación básica. Por ello tanto cabe que el sistema de libre designación se formule de forma no sólo excepcional sino restrictiva dentro de su excepcionalidad —este era el caso de la legislación estatal [art. 20.1.1 b)] segundo párrafo Ley 30/1984, que siguieron inicialmente todas las Comunidades Autónomas y que hoy se mantiene para el Estado, o que las legislaciones de desarrollo del Real Decreto Legislativo 5/2015 amplíen, dentro de los dos límites establecidos en el Real Decreto Legislativo 5/2015, el sistema de libre designación que no resulta contrario al art. 23.2 CE (STC 235/2000).</w:t>
      </w:r>
    </w:p>
    <w:p w:rsidR="001D6FAE" w:rsidRDefault="001D6FAE" w:rsidP="001D6FAE">
      <w:pPr>
        <w:pStyle w:val="TextoNormal"/>
      </w:pPr>
    </w:p>
    <w:p w:rsidR="001D6FAE" w:rsidRDefault="001D6FAE" w:rsidP="001D6FAE">
      <w:pPr>
        <w:pStyle w:val="TextoNormal"/>
      </w:pPr>
      <w:r w:rsidRPr="001D6FAE">
        <w:rPr>
          <w:rStyle w:val="NumeroAFNegritaCaracter"/>
        </w:rPr>
        <w:t>7</w:t>
      </w:r>
      <w:r>
        <w:t>. De acuerdo con las consideraciones realizadas, y conforme a la conclusión que alcanzamos en otras ocasiones (ATC 85/2013, de 23 de abril, FJ 7) apreciamos que la normativa estatal que se utiliza como canon en el control de constitucionalidad de la normativa autonómica tiene una indudable naturaleza básica desde la doble perspectiva formal y material. Con arreglo a tal carácter es susceptible de ser desarrollada en el ámbito de cada Comunidad Autónoma y, en este sentido, el precepto autonómico cuestionado constituye un desarrollo de la misma conforme con ella, pues no altera la regla establecida por la norma básica. En suma, es posible concluir que, afirmado el carácter básico de la normativa estatal, no se aprecia que la normativa autonómica cuestionada incurra en contradicción con sus mandatos lo que resulta imprescindible, en supuestos como el presente, para sostener la inconstitucionalidad del precepto autonómico, pues ambas normas son así susceptibles de ser interpretadas e integradas armónicamente.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dieciocho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1" w:name="AUTO_2016_177"/>
      <w:r>
        <w:t>AUTO 177/2016, de 26 de octubre de 2016</w:t>
      </w:r>
    </w:p>
    <w:bookmarkEnd w:id="151"/>
    <w:p w:rsidR="001D6FAE" w:rsidRDefault="001D6FAE" w:rsidP="001D6FAE">
      <w:pPr>
        <w:pStyle w:val="TtuloResolucin"/>
      </w:pPr>
      <w:r>
        <w:t>Sección Primera</w:t>
      </w:r>
    </w:p>
    <w:p w:rsidR="001D6FAE" w:rsidRDefault="001D6FAE" w:rsidP="001D6FAE">
      <w:pPr>
        <w:pStyle w:val="TextoNormalCentrado"/>
      </w:pPr>
      <w:r>
        <w:t>ECLI:ES:TC:2016:177A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Desestima el recurso de súplica del Ministerio Fiscal sobre inadmisión del recurso de amparo 2450-2016, promovido por don Martín Eliseo Rodríguez Bernal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Procurador de los Tribunales don Álvaro De Luis Otero en nombre y representación del don Martín Eliseo Rodríguez Bernal presentó el 4 de mayo de 2015 en el Registro General de este Tribunal demanda de amparo contra el Auto de la Sección Primera de Sala de lo Contencioso-Ádministrativo del Tribunal Supremo de fecha 10 de marzo de 2016 por el que se inadmitía el recurso de casación interpuesto contra la Sentencia de la Sala de lo Contencioso-Administrativo de la Audiencia Nacional de 7 de abril de 2015, la que a su vez había desestimado el recurso contencioso-administrativo interpuesto por el recurrente contra la resolución de la Secretaría de Estado de Justicia por delegación de Ministro de Justicia por la que se desestimaba la reclamación de indemnización en concepto de responsabilidad patrimonial del Estado por funcionamiento de la Administración de Justicia por importe de 25.441.425 €.</w:t>
      </w:r>
    </w:p>
    <w:p w:rsidR="001D6FAE" w:rsidRDefault="001D6FAE" w:rsidP="001D6FAE">
      <w:pPr>
        <w:pStyle w:val="TextoNormal"/>
      </w:pPr>
    </w:p>
    <w:p w:rsidR="001D6FAE" w:rsidRDefault="001D6FAE" w:rsidP="001D6FAE">
      <w:pPr>
        <w:pStyle w:val="TextoNormal"/>
      </w:pPr>
      <w:r w:rsidRPr="001D6FAE">
        <w:rPr>
          <w:rStyle w:val="NumeroAFNegritaCaracter"/>
        </w:rPr>
        <w:t>2</w:t>
      </w:r>
      <w:r>
        <w:t>. El recurrente instó el procedimiento administrativo de reclamación de responsabilidad por el hecho de haber permanecido en prisión desde el 13 de febrero de 2007 hasta el 10 de marzo de 2009, por haberlo acordado así el Juzgado de Instrucción núm. 2 de Málaga en diligencias previas núm. 1388-2007, incoadas por un presunto delito de asesinato. La Sentencia del Tribunal del Jurado de Málaga de 6 de mayo de 2011, falló la absolución del recurrente, al no resultar “pruebas inequívocamente demostrativas de que el citado Martín Eliseo Rodríguez Bernal fuera quien efectuó la promesa de entrega de dinero aludido, ni llevara a cabo su entrega una vez producida la muerte” de la víctima. La resolución administrativa denegatoria de la indemnización razona que no se cumplen los requisitos establecidos en el art. 294 de la Ley Orgánica del Poder Judicial puesto que la Sentencia absolutoria no declaró la inexistencia del hecho delictivo que originó la incoación de las actuaciones judiciales.</w:t>
      </w:r>
    </w:p>
    <w:p w:rsidR="001D6FAE" w:rsidRDefault="001D6FAE" w:rsidP="001D6FAE">
      <w:pPr>
        <w:pStyle w:val="TextoNormal"/>
      </w:pPr>
    </w:p>
    <w:p w:rsidR="001D6FAE" w:rsidRDefault="001D6FAE" w:rsidP="001D6FAE">
      <w:pPr>
        <w:pStyle w:val="TextoNormal"/>
      </w:pPr>
      <w:r w:rsidRPr="001D6FAE">
        <w:rPr>
          <w:rStyle w:val="NumeroAFNegritaCaracter"/>
        </w:rPr>
        <w:t>3</w:t>
      </w:r>
      <w:r>
        <w:t>. Notificadas las resoluciones judiciales impugnadas, se registró demanda de recurso de amparo en fecha 4 de mayo de 2015 donde se atribuyen a las resoluciones impugnadas la vulneración de los artículos 294 de la Ley Orgánica del Poder Judicial; 14, 15, 24 y 121 de la Constitución Española y 3, 5, 6, 8, 14 y 50 del Convenio europeo de derechos humanos, así como del artículo 3 del protocolo 7 del mismo cuerpo legal. El recurrente señala que concurren los presupuestos para que se declare la responsabilidad patrimonial del Estado previstos en el artículo 139 de la Ley 30/1992, ya que ha permanecido privado de libertad injustamente. El recurrente cifra los daños ocasionados en 25.441.425 €.</w:t>
      </w:r>
    </w:p>
    <w:p w:rsidR="001D6FAE" w:rsidRDefault="001D6FAE" w:rsidP="001D6FAE">
      <w:pPr>
        <w:pStyle w:val="TextoNormal"/>
      </w:pPr>
    </w:p>
    <w:p w:rsidR="001D6FAE" w:rsidRDefault="001D6FAE" w:rsidP="001D6FAE">
      <w:pPr>
        <w:pStyle w:val="TextoNormal"/>
      </w:pPr>
      <w:r w:rsidRPr="001D6FAE">
        <w:rPr>
          <w:rStyle w:val="NumeroAFNegritaCaracter"/>
        </w:rPr>
        <w:t>4</w:t>
      </w:r>
      <w:r>
        <w:t xml:space="preserve">. Formalmente, la demanda de amparo contiene la cita de los preceptos cuya vulneración se alega sí como la reproducción literal de los cuatro fundamentos de Derecho de la Sentencia de la Audiencia Nacional de 7 de abril de 2015 (páginas 4 a 9) y la reproducción literal de extractos de las Sentencias del Tribunal Europeo de Derechos humanos en los asuntos </w:t>
      </w:r>
      <w:r w:rsidRPr="001D6FAE">
        <w:rPr>
          <w:i/>
        </w:rPr>
        <w:t>Tendam y Sekanina</w:t>
      </w:r>
      <w:r>
        <w:t xml:space="preserve"> (STEDH 28 junio 2011 asunto </w:t>
      </w:r>
      <w:r w:rsidRPr="001D6FAE">
        <w:rPr>
          <w:i/>
        </w:rPr>
        <w:t>Tendam c. España</w:t>
      </w:r>
      <w:r>
        <w:t xml:space="preserve"> y STEDH de 25 agosto de 1993), asunto </w:t>
      </w:r>
      <w:r w:rsidRPr="001D6FAE">
        <w:rPr>
          <w:i/>
        </w:rPr>
        <w:t>Sekanina c. Austria</w:t>
      </w:r>
      <w:r>
        <w:t>, (páginas 10 a 29), de lo que se concluye que “la Casación (</w:t>
      </w:r>
      <w:r w:rsidRPr="001D6FAE">
        <w:rPr>
          <w:i/>
        </w:rPr>
        <w:t>sic</w:t>
      </w:r>
      <w:r>
        <w:t>) debía estimarse puesto que la sentencia que ahora se combate, aunque hace referencia a la sentencia Tendam contra España y esta a su vez a la Sekenina (</w:t>
      </w:r>
      <w:r w:rsidRPr="001D6FAE">
        <w:rPr>
          <w:i/>
        </w:rPr>
        <w:t>sic</w:t>
      </w:r>
      <w:r>
        <w:t>) contra Austria, dan resoluciones distintas y estas dos sentencias de referencias (</w:t>
      </w:r>
      <w:r w:rsidRPr="001D6FAE">
        <w:rPr>
          <w:i/>
        </w:rPr>
        <w:t>sic</w:t>
      </w:r>
      <w:r>
        <w:t>) son idénticas en causa y argumentación juridicial (sic) a la pretensión del hoy recurrente”. Se concluye interesando le sea otorgado el amparo solicitado y se declare la nulidad de las resoluciones judiciales impugnadas.</w:t>
      </w:r>
    </w:p>
    <w:p w:rsidR="001D6FAE" w:rsidRDefault="001D6FAE" w:rsidP="001D6FAE">
      <w:pPr>
        <w:pStyle w:val="TextoNormal"/>
      </w:pPr>
    </w:p>
    <w:p w:rsidR="001D6FAE" w:rsidRDefault="001D6FAE" w:rsidP="001D6FAE">
      <w:pPr>
        <w:pStyle w:val="TextoNormal"/>
      </w:pPr>
      <w:r w:rsidRPr="001D6FAE">
        <w:rPr>
          <w:rStyle w:val="NumeroAFNegritaCaracter"/>
        </w:rPr>
        <w:t>5</w:t>
      </w:r>
      <w:r>
        <w:t>. La demanda contiene además la acreditación de la procedencia y de los requisitos procesales del recurso. Entre ellos, destaca la acreditación de la especial trascendencia constitucional del recurso en los siguientes términos: “puesto que la trascendencia constitucional del recuso. Se basa en derechos fundamentales recogidos como tales en la Constitución Española, no siendo aplicados todavía al hoy recurrente, y por lo tanto dejándola vacía en su aplicación sobre el mismo.”</w:t>
      </w:r>
    </w:p>
    <w:p w:rsidR="001D6FAE" w:rsidRDefault="001D6FAE" w:rsidP="001D6FAE">
      <w:pPr>
        <w:pStyle w:val="TextoNormal"/>
      </w:pPr>
    </w:p>
    <w:p w:rsidR="001D6FAE" w:rsidRDefault="001D6FAE" w:rsidP="001D6FAE">
      <w:pPr>
        <w:pStyle w:val="TextoNormal"/>
      </w:pPr>
      <w:r w:rsidRPr="001D6FAE">
        <w:rPr>
          <w:rStyle w:val="NumeroAFNegritaCaracter"/>
        </w:rPr>
        <w:t>6</w:t>
      </w:r>
      <w:r>
        <w:t>. Por providencia de 4 de julio de 2016, la Sala Primera del Tribunal Constitucional dictó providencia por la que se acordaba no admitir a trámite el recurso con arreglo a lo previsto en el art. 50.1 a) de la Ley Orgánica del Tribunal Constitucional (LOTC) toda vez que se incurría en el defecto insubsanable de no haber satisfecho debidamente la carga consistente en justificar la especial trascendencia constitucional del recurso (art. 49.1. LOTC).</w:t>
      </w:r>
    </w:p>
    <w:p w:rsidR="001D6FAE" w:rsidRDefault="001D6FAE" w:rsidP="001D6FAE">
      <w:pPr>
        <w:pStyle w:val="TextoNormal"/>
      </w:pPr>
    </w:p>
    <w:p w:rsidR="001D6FAE" w:rsidRDefault="001D6FAE" w:rsidP="001D6FAE">
      <w:pPr>
        <w:pStyle w:val="TextoNormal"/>
      </w:pPr>
      <w:r w:rsidRPr="001D6FAE">
        <w:rPr>
          <w:rStyle w:val="NumeroAFNegritaCaracter"/>
        </w:rPr>
        <w:t>7</w:t>
      </w:r>
      <w:r>
        <w:t>. Por escrito registrado el 28 de julio de 2016, el Fiscal ante el Tribunal Constitucional interpone recurso de súplica contra la antes citada providencia de inadmisión, solicitando la estimación del recurso de súplica y que se proceda a dejar sin efecto la providencia de inadmisión. En síntesis, argumenta el Fiscal que pese a la parquedad con la que el demandante de amparo trata de justificar el requisito de la trascendencia de su recurso, éste habría satisfecho debidamente la carga consistente en justificar de la misma. Para ello, utiliza una cuádruple argumentación:</w:t>
      </w:r>
    </w:p>
    <w:p w:rsidR="001D6FAE" w:rsidRDefault="001D6FAE" w:rsidP="001D6FAE">
      <w:pPr>
        <w:pStyle w:val="TextoNormal"/>
      </w:pPr>
    </w:p>
    <w:p w:rsidR="001D6FAE" w:rsidRDefault="001D6FAE" w:rsidP="001D6FAE">
      <w:pPr>
        <w:pStyle w:val="TextoNormal"/>
      </w:pPr>
      <w:r>
        <w:t>a) Parece que la trascendencia del recurso se sustentaría en el desconocimiento por la Administración y por el órgano judicial de la doctrina establecida por el Tribunal Europeo de Derechos Humanos, que conforme al art. 10 CE debe inspirar la interpretación que en materia de derechos y libertades fundamentales hagan los tribunales españoles.</w:t>
      </w:r>
    </w:p>
    <w:p w:rsidR="001D6FAE" w:rsidRDefault="001D6FAE" w:rsidP="001D6FAE">
      <w:pPr>
        <w:pStyle w:val="TextoNormal"/>
      </w:pPr>
    </w:p>
    <w:p w:rsidR="001D6FAE" w:rsidRDefault="001D6FAE" w:rsidP="001D6FAE">
      <w:pPr>
        <w:pStyle w:val="TextoNormal"/>
      </w:pPr>
      <w:r>
        <w:t xml:space="preserve">b) La jurisprudencia reciente del Tribunal Europeo (Sentencia de 16 de febrero de 2016 asunto </w:t>
      </w:r>
      <w:r w:rsidRPr="001D6FAE">
        <w:rPr>
          <w:i/>
        </w:rPr>
        <w:t>Vlieeland Boddy</w:t>
      </w:r>
      <w:r>
        <w:t xml:space="preserve"> y </w:t>
      </w:r>
      <w:r w:rsidRPr="001D6FAE">
        <w:rPr>
          <w:i/>
        </w:rPr>
        <w:t>Marcelo Lanni</w:t>
      </w:r>
      <w:r>
        <w:t>) reiteraría la falta de respeto del ordenamiento español al derecho a la presunción de inocencia al no indemnizar un supuesto de prisión preventiva seguida de sentencia penal que determinó la absolución del demandante por falta de pruebas.</w:t>
      </w:r>
    </w:p>
    <w:p w:rsidR="001D6FAE" w:rsidRDefault="001D6FAE" w:rsidP="001D6FAE">
      <w:pPr>
        <w:pStyle w:val="TextoNormal"/>
      </w:pPr>
    </w:p>
    <w:p w:rsidR="001D6FAE" w:rsidRDefault="001D6FAE" w:rsidP="001D6FAE">
      <w:pPr>
        <w:pStyle w:val="TextoNormal"/>
      </w:pPr>
      <w:r>
        <w:t>c) El recurso permitiría al Tribunal completar o modificar su doctrina sobre la indemnización por prisión preventiva en los supuestos en que el perjudicado es absuelto por sentencia cuyo fundamento es la falta de pruebas suficientes de la participación del acusado.</w:t>
      </w:r>
    </w:p>
    <w:p w:rsidR="001D6FAE" w:rsidRDefault="001D6FAE" w:rsidP="001D6FAE">
      <w:pPr>
        <w:pStyle w:val="TextoNormal"/>
      </w:pPr>
    </w:p>
    <w:p w:rsidR="001D6FAE" w:rsidRDefault="001D6FAE" w:rsidP="001D6FAE">
      <w:pPr>
        <w:pStyle w:val="TextoNormal"/>
      </w:pPr>
      <w:r>
        <w:t>d) En idéntica situación se hallan otros recursos de amparo ante el Tribunal, citando los registrados con números 5082-2013, 5794-2013 y 1269-2013, todos ellos admitidos por la Sala Segunda del Tribunal. Según el Fiscal, cabe entender, por tanto, que la Sala Primera (</w:t>
      </w:r>
      <w:r w:rsidRPr="001D6FAE">
        <w:rPr>
          <w:i/>
        </w:rPr>
        <w:t>sic</w:t>
      </w:r>
      <w:r>
        <w:t>) ha considerado que la controversia constitucional que plantean dichos recursos tiene trascendencia constitucional en orden a la determinación del contenido y alcance de los derechos fundamentales.</w:t>
      </w:r>
    </w:p>
    <w:p w:rsidR="001D6FAE" w:rsidRDefault="001D6FAE" w:rsidP="001D6FAE">
      <w:pPr>
        <w:pStyle w:val="TextoNormal"/>
      </w:pPr>
    </w:p>
    <w:p w:rsidR="001D6FAE" w:rsidRDefault="001D6FAE" w:rsidP="001D6FAE">
      <w:pPr>
        <w:pStyle w:val="TextoNormal"/>
      </w:pPr>
      <w:r w:rsidRPr="001D6FAE">
        <w:rPr>
          <w:rStyle w:val="NumeroAFNegritaCaracter"/>
        </w:rPr>
        <w:t>8</w:t>
      </w:r>
      <w:r>
        <w:t>. Dado traslado del escrito de interposición del recurso de súplica al demandante de amparo por diligencia de ordenación de 29 de julio de 2016, presentó éste en fecha 7 de septiembre de 2016 escrito por el cual alega que el Tribunal debe admitir la súplica y revocando la providencia de inadmisión, entrar a conocer del amparo planteado.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Como se ha descrito en los antecedentes, el recurso de amparo interpuesto por el recurrente fue inadmitido por providencia del Tribunal de fecha 4 de julio de 2016 por la que se acordaba no admitir a trámite el recurso con arreglo a lo previsto en el art. 50.1 a) de la Ley Orgánica del Tribunal Constitucional (LOTC) toda vez que se incurría en el defecto insubsanable de no haber satisfecho debidamente la carga consistente en justificar la especial trascendencia constitucional del recurso (art. 49.1 LOTC).</w:t>
      </w:r>
    </w:p>
    <w:p w:rsidR="001D6FAE" w:rsidRDefault="001D6FAE" w:rsidP="001D6FAE">
      <w:pPr>
        <w:pStyle w:val="TextoNormal"/>
      </w:pPr>
    </w:p>
    <w:p w:rsidR="001D6FAE" w:rsidRDefault="001D6FAE" w:rsidP="001D6FAE">
      <w:pPr>
        <w:pStyle w:val="TextoNormal"/>
      </w:pPr>
      <w:r w:rsidRPr="001D6FAE">
        <w:rPr>
          <w:rStyle w:val="NumeroAFNegritaCaracter"/>
        </w:rPr>
        <w:t>2</w:t>
      </w:r>
      <w:r>
        <w:t>.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001D6FAE" w:rsidRDefault="001D6FAE" w:rsidP="001D6FAE">
      <w:pPr>
        <w:pStyle w:val="TextoNormal"/>
      </w:pPr>
    </w:p>
    <w:p w:rsidR="001D6FAE" w:rsidRDefault="001D6FAE" w:rsidP="001D6FAE">
      <w:pPr>
        <w:pStyle w:val="TextoNormal"/>
      </w:pPr>
      <w:r>
        <w:t>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w:t>
      </w:r>
    </w:p>
    <w:p w:rsidR="001D6FAE" w:rsidRDefault="001D6FAE" w:rsidP="001D6FAE">
      <w:pPr>
        <w:pStyle w:val="TextoNormal"/>
      </w:pPr>
    </w:p>
    <w:p w:rsidR="001D6FAE" w:rsidRDefault="001D6FAE" w:rsidP="001D6FAE">
      <w:pPr>
        <w:pStyle w:val="TextoNormal"/>
      </w:pPr>
      <w:r>
        <w:t>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 .1 LOTC) la exigencia material de la especial trascendencia constitucional del asunto (ATC 264/2009, de 16 de noviembre, FJ único).</w:t>
      </w:r>
    </w:p>
    <w:p w:rsidR="001D6FAE" w:rsidRDefault="001D6FAE" w:rsidP="001D6FAE">
      <w:pPr>
        <w:pStyle w:val="TextoNormal"/>
      </w:pPr>
    </w:p>
    <w:p w:rsidR="001D6FAE" w:rsidRDefault="001D6FAE" w:rsidP="001D6FAE">
      <w:pPr>
        <w:pStyle w:val="TextoNormal"/>
      </w:pPr>
      <w:r>
        <w:t>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1D6FAE" w:rsidRDefault="001D6FAE" w:rsidP="001D6FAE">
      <w:pPr>
        <w:pStyle w:val="TextoNormal"/>
      </w:pPr>
    </w:p>
    <w:p w:rsidR="001D6FAE" w:rsidRDefault="001D6FAE" w:rsidP="001D6FAE">
      <w:pPr>
        <w:pStyle w:val="TextoNormal"/>
      </w:pPr>
      <w:r>
        <w:t>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(por todas, SSTC 69/2011, FJ 3, y 176/2012, FJ 3, y ATC 187/2010, de 29 de noviembre, FJ único).</w:t>
      </w:r>
    </w:p>
    <w:p w:rsidR="001D6FAE" w:rsidRDefault="001D6FAE" w:rsidP="001D6FAE">
      <w:pPr>
        <w:pStyle w:val="TextoNormal"/>
      </w:pPr>
    </w:p>
    <w:p w:rsidR="001D6FAE" w:rsidRDefault="001D6FAE" w:rsidP="001D6FAE">
      <w:pPr>
        <w:pStyle w:val="TextoNormal"/>
      </w:pPr>
      <w:r w:rsidRPr="001D6FAE">
        <w:rPr>
          <w:rStyle w:val="NumeroAFNegritaCaracter"/>
        </w:rPr>
        <w:t>3</w:t>
      </w:r>
      <w:r>
        <w:t>. Al aplicar la doctrina resumidamente expuesta al caso, resulta que puede afirmarse la distinción entre el requisito procesal de la justificación de la trascendencia constitucional que debe reunir el escrito de recurso, de la existencia misma de esa alegada trascendencia que es predicable al caso y que corresponde enjuiciar al Tribunal. Así, pese a que el fondo del asunto sea susceptible de enfocarse como un amparo cuya protección revista trascendencia constitucional, se mantiene la exigencia de justificación de su trascendencia por parte del escrito.</w:t>
      </w:r>
    </w:p>
    <w:p w:rsidR="001D6FAE" w:rsidRDefault="001D6FAE" w:rsidP="001D6FAE">
      <w:pPr>
        <w:pStyle w:val="TextoNormal"/>
      </w:pPr>
    </w:p>
    <w:p w:rsidR="001D6FAE" w:rsidRDefault="001D6FAE" w:rsidP="001D6FAE">
      <w:pPr>
        <w:pStyle w:val="TextoNormal"/>
      </w:pPr>
      <w:r>
        <w:t>En el presente caso, los argumentos esgrimidos en el recurso de súplica del fiscal refieren específicamente a la cuestión de la trascendencia que pueda revestir el asunto y no a la justificación que desarrolla el recurrente. Para ello, el Fiscal debe discurrir a modo de inferencia que “parece que la trascendencia se sustentaría en el desconocimiento por la Administración y por el órgano judicial de la doctrina establecida por el Tribunal Europeo de Derechos Humanos” o que el recurso “permitiría al alto Tribunal completar o modificar su doctrina sobre la indemnización por prisión preventiva”. Pero ninguna de estas argumentaciones se deduce explícitamente por parte del recurrente.</w:t>
      </w:r>
    </w:p>
    <w:p w:rsidR="001D6FAE" w:rsidRDefault="001D6FAE" w:rsidP="001D6FAE">
      <w:pPr>
        <w:pStyle w:val="TextoNormal"/>
      </w:pPr>
    </w:p>
    <w:p w:rsidR="001D6FAE" w:rsidRDefault="001D6FAE" w:rsidP="001D6FAE">
      <w:pPr>
        <w:pStyle w:val="TextoNormal"/>
      </w:pPr>
      <w:r>
        <w:t>El escrito de interposición se limita a situar la trascendencia en la inaplicación de determinados derechos fundamentales al recurrente, lo que sitúa la justificación de la trascendencia constitucional única y exclusivamente en el plano de la constatación de la lesión, esfuerzo insuficiente para superar el trámite de admisión según hemos dicho en nuestra STC 69/2011, de 16 de mayo, FJ 3.</w:t>
      </w:r>
    </w:p>
    <w:p w:rsidR="001D6FAE" w:rsidRDefault="001D6FAE" w:rsidP="001D6FAE">
      <w:pPr>
        <w:pStyle w:val="TextoNormal"/>
      </w:pPr>
    </w:p>
    <w:p w:rsidR="001D6FAE" w:rsidRDefault="001D6FAE" w:rsidP="001D6FAE">
      <w:pPr>
        <w:pStyle w:val="TextoNormal"/>
      </w:pPr>
      <w:r>
        <w:t xml:space="preserve">Tampoco la existencia de pronunciamientos recientes del Tribunal Europeo que parecerían abonar la posición del recurrente (STEDH de 16 de febrero de 2016, asunto </w:t>
      </w:r>
      <w:r w:rsidRPr="001D6FAE">
        <w:rPr>
          <w:i/>
        </w:rPr>
        <w:t>Vlieeland Boddy</w:t>
      </w:r>
      <w:r>
        <w:t xml:space="preserve"> y </w:t>
      </w:r>
      <w:r w:rsidRPr="001D6FAE">
        <w:rPr>
          <w:i/>
        </w:rPr>
        <w:t>Marcelo Lanni</w:t>
      </w:r>
      <w:r>
        <w:t>) constituyen un elemento para subsanar la falta de justificación de la trascendencia como requisito procesal de admisibilidad. De nuevo, hay que distinguir entre la apreciación material de la trascendencia y su efectiva alegación, sin que el Tribunal pueda reconstruir las demandas ni subsanar la falta de cumplimiento de los requisitos de admisibilidad.</w:t>
      </w:r>
    </w:p>
    <w:p w:rsidR="001D6FAE" w:rsidRDefault="001D6FAE" w:rsidP="001D6FAE">
      <w:pPr>
        <w:pStyle w:val="TextoNormal"/>
      </w:pPr>
    </w:p>
    <w:p w:rsidR="001D6FAE" w:rsidRDefault="001D6FAE" w:rsidP="001D6FAE">
      <w:pPr>
        <w:pStyle w:val="TextoNormal"/>
      </w:pPr>
      <w:r>
        <w:t>Finalmente, argumenta el Fiscal la existencia de otros asuntos similares en los que se ha dictado providencia de admisión, lo que, en aras a mantener la uniformidad en la resolución de casos idénticos, debería provocar la estimación de su recurso de súplica. Los recursos de amparo registrados con los números 1269-2013 y 5794-2013 acuerdan la admisión de las demandas sin que se plantee el óbice procesal que sí se aprecia en el presente caso. En el recurso de amparo 5082-2013, que también cita el escrito del Fiscal, se trata de un Auto (ATC 239/2014, de 10 de octubre de 2014) que acuerda estimar el recurso de súplica pero no por la existencia o inexistencia de un óbice procesal de admisibilidad sino por apreciar la concurrencia de una problemática de constitucionalidad encuadrable en la misma suscitada en otros asuntos. Según lo razonado, en su fundamento jurídico único “examinadas las alegaciones presentadas, hay que coincidir con el Ministerio Fiscal en que el recurso de amparo no revela, en contra de lo que apreciamos en nuestra providencia de 3 de julio de 2014, la manifiesta inexistencia de la violación de los derechos fundamentales que se invocan; vulneración que, de acuerdo con el art. 44.1 de la Ley Orgánica del Tribunal Constitucional, es condición para que este Tribunal pueda ejercer dicha tutela. Prueba definitiva de ello es que el presente amparo plantea una problemática de constitucionalidad que se encuadra a la suscitada en otros recursos ya admitidos a trámite, incluso en algún caso avocados a Pleno, como ocurre con los recursos de amparo núms. 424-2012, 2052-2012, y 2341-2012”. Es decir, se deja sin efecto la providencia de inadmisión por manifiesta inexistencia de lesión de los derechos fundamentales que se invocaron para pasar a apreciar que procede examinar si tal lesión concurre o no en una resolución posterior sobre el fondo.</w:t>
      </w:r>
    </w:p>
    <w:p w:rsidR="001D6FAE" w:rsidRDefault="001D6FAE" w:rsidP="001D6FAE">
      <w:pPr>
        <w:pStyle w:val="TextoNormal"/>
      </w:pPr>
    </w:p>
    <w:p w:rsidR="001D6FAE" w:rsidRDefault="001D6FAE" w:rsidP="001D6FAE">
      <w:pPr>
        <w:pStyle w:val="TextoNormal"/>
      </w:pPr>
      <w:r>
        <w:t>Los casos aportados por el Fiscal, en definitiva, no hacen más que abundar en la idea de que puede existir una relevancia constitucional en la solución del fondo del asunto. Pero lo que aquí debe dilucidarse, en realidad, es una cuestión distinta: el cumplimiento del requisito procesal de la justificación de la trascendencia constitucional del asunto que pesa sobre el demandante de amparo, según hemos destacado de nuestra doctrina. En definitiva, le está vedado al Tribunal admitir para su conocimiento aquellos asuntos que pese a presentar ciertas características comunes con otros, no cumplen con los requisitos procesales exigibles. Así se ha acordado en otras providencias donde, pese a la coincidencia con el fondo, el Tribunal ha acordado la inadmisión por apreciar: extemporaneidad simple (recurso de amparo núm. 830-2015; providencia de 25 de mayo de 2016), extemporaneidad por recurso manifiestamente improcedente (recurso de amparo núm. 5425-2014; providencia de 31 de mayo de 2015) o como en el presente caso, insuficiente justificación de la especial trascendencia constitucional (recursos de amparo núms. 110-2014; 337-2014, 338-2014, 1069-2014; 7169-2014, 1243-2015 o 4921-2015, entre otros).</w:t>
      </w:r>
    </w:p>
    <w:p w:rsidR="001D6FAE" w:rsidRDefault="001D6FAE" w:rsidP="001D6FAE">
      <w:pPr>
        <w:pStyle w:val="TextoNormal"/>
      </w:pPr>
    </w:p>
    <w:p w:rsidR="001D6FAE" w:rsidRDefault="001D6FAE" w:rsidP="001D6FAE">
      <w:pPr>
        <w:pStyle w:val="TextoNormal"/>
      </w:pPr>
      <w:r>
        <w:t xml:space="preserve">Y es que, como hemos señalado en nuestra reciente STC 146/2016, de 19 de septiembre, al enjuiciar de modo similar la suficiencia de la justificación de la trascendencia constitucional alegada por el recurrente, “para que el recurso de amparo pueda ser admitido, (no basta) con razonar la existencia de la vulneración de un derecho fundamental; es preciso, además, justificar que el recurso presenta especial trascendencia constitucional en atención a los criterios que señala el art. 50.1 b) LOTC. Para ello la demanda del recurrente habrá de disociar adecuadamente la argumentación dirigida a acreditar la existencia de la lesión del derecho fundamental que se alega y los razonamientos específicamente dirigidos a satisfacer la carga de justificar la especial trascendencia constitucional, como exige expresamente el art. 49.1 </w:t>
      </w:r>
      <w:r w:rsidRPr="001D6FAE">
        <w:rPr>
          <w:i/>
        </w:rPr>
        <w:t>in fine</w:t>
      </w:r>
      <w:r>
        <w:t xml:space="preserve"> LOTC.” (FJ 3).</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Desestimar el recurso de súplica interpuesto por el Ministerio Fiscal y, en consecuencia, confirmar en su integridad la providencia de 4 de julio de 2016.</w:t>
      </w:r>
    </w:p>
    <w:p w:rsidR="001D6FAE" w:rsidRDefault="001D6FAE" w:rsidP="001D6FAE">
      <w:pPr>
        <w:pStyle w:val="TextoNormal"/>
      </w:pPr>
    </w:p>
    <w:p w:rsidR="001D6FAE" w:rsidRDefault="001D6FAE" w:rsidP="001D6FAE">
      <w:pPr>
        <w:pStyle w:val="TextoNormal"/>
      </w:pPr>
      <w:r>
        <w:t>Madrid, a veintiséis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2" w:name="AUTO_2016_178"/>
      <w:r>
        <w:t>AUTO 178/2016, de 28 de octubre de 2016</w:t>
      </w:r>
    </w:p>
    <w:bookmarkEnd w:id="152"/>
    <w:p w:rsidR="001D6FAE" w:rsidRDefault="001D6FAE" w:rsidP="001D6FAE">
      <w:pPr>
        <w:pStyle w:val="TtuloResolucin"/>
      </w:pPr>
      <w:r>
        <w:t>Sección Primera</w:t>
      </w:r>
    </w:p>
    <w:p w:rsidR="001D6FAE" w:rsidRDefault="001D6FAE" w:rsidP="001D6FAE">
      <w:pPr>
        <w:pStyle w:val="TextoNormalCentrado"/>
      </w:pPr>
      <w:r>
        <w:t>ECLI:ES:TC:2016:178A</w:t>
      </w:r>
    </w:p>
    <w:p w:rsidR="001D6FAE" w:rsidRDefault="001D6FAE" w:rsidP="001D6FAE">
      <w:pPr>
        <w:pStyle w:val="TextoNormalCentrado"/>
      </w:pPr>
    </w:p>
    <w:p w:rsidR="001D6FAE" w:rsidRDefault="001D6FAE" w:rsidP="001D6FAE">
      <w:pPr>
        <w:pStyle w:val="SntesisDescriptiva"/>
      </w:pPr>
      <w:r>
        <w:t>Excms. Srs. don Francisco Pérez de los Cobos Orihuel y don Juan Antonio Xiol Ríos.</w:t>
      </w:r>
    </w:p>
    <w:p w:rsidR="001D6FAE" w:rsidRDefault="001D6FAE" w:rsidP="001D6FAE">
      <w:pPr>
        <w:pStyle w:val="SntesisDescriptiva"/>
      </w:pPr>
    </w:p>
    <w:p w:rsidR="001D6FAE" w:rsidRDefault="001D6FAE" w:rsidP="001D6FAE">
      <w:pPr>
        <w:pStyle w:val="SntesisDescriptiva"/>
      </w:pPr>
      <w:r>
        <w:t>Acepta una abstención en el recurso de amparo 4134-2016, promovido por don Juan José Bacallado Ucelay y otras personas en pleito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12 de julio de 2016, el Procurador de los Tribunales, don Marcos Juan Calleja García, en nombre y representación de don Juan José Bacallado Ucelay, actuando en nombre y representación de la comunidad de herederos de doña Olga Mercedes Ucelay Sabina, interpuso demanda de amparo contra el Auto dictado por la Sección Tercera de la Audiencia Provincial de Santa Cruz de Tenerife en el rollo de apelación 691-2015.</w:t>
      </w:r>
    </w:p>
    <w:p w:rsidR="001D6FAE" w:rsidRDefault="001D6FAE" w:rsidP="001D6FAE">
      <w:pPr>
        <w:pStyle w:val="TextoNormal"/>
      </w:pPr>
    </w:p>
    <w:p w:rsidR="001D6FAE" w:rsidRDefault="001D6FAE" w:rsidP="001D6FAE">
      <w:pPr>
        <w:pStyle w:val="TextoNormal"/>
      </w:pPr>
      <w:r w:rsidRPr="001D6FAE">
        <w:rPr>
          <w:rStyle w:val="NumeroAFNegritaCaracter"/>
        </w:rPr>
        <w:t>2</w:t>
      </w:r>
      <w:r>
        <w:t>. Se interpusieron recursos de casación e infracción procesal por doña María Dolores Ucelay Sabina y la entidad Manciol, Sociedad Limitada, y por don Ciro Nicolás Ucelay contra la Sentencia dictada, el día 8 de octubre de 2005, por la Sección Cuarta de la Audiencia Provincial de Tenerife en el rollo de apelación núm. 115-2005, que resolvió el recurso de apelación interpuesto contra la Sentencia que había pronunciado el Juzgado de Primera Instancia núm. 2 de Santa Cruz de Tenerife con fecha 29 de junio de 2004, en el procedimiento ordinario 310-1997. La Sala de lo Civil del Tribunal Supremo dictó Sentencia con fecha 19 de mayo de 2010, en el recurso de casación e infracción procesal núm. 203-2006, siendo Ponente la Excma. Sra. doña Encarnación Roca Trías.</w:t>
      </w:r>
    </w:p>
    <w:p w:rsidR="001D6FAE" w:rsidRDefault="001D6FAE" w:rsidP="001D6FAE">
      <w:pPr>
        <w:pStyle w:val="TextoNormal"/>
      </w:pPr>
    </w:p>
    <w:p w:rsidR="001D6FAE" w:rsidRDefault="001D6FAE" w:rsidP="001D6FAE">
      <w:pPr>
        <w:pStyle w:val="TextoNormal"/>
      </w:pPr>
      <w:r w:rsidRPr="001D6FAE">
        <w:rPr>
          <w:rStyle w:val="NumeroAFNegritaCaracter"/>
        </w:rPr>
        <w:t>3</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(artículo 1.2).</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escrito de 26 de octubre de 2016, la Magistrada doña Encarnación Roca Trías comunicó su voluntad de abstenerse en el conocimiento del presente recurso de amparo por entender que concurría la causa 11 del art. 219 de la Ley Orgánica del Poder Judicial.</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Vista la comunicación efectuada por doña Encarnación Roca Trías, en virtud de lo previsto en los arts. 80 de la Ley Orgánica del Tribunal Constitucional y 221.4 de la Ley Orgánica del Poder Judicial (LOPJ), se estima justificada la causa de abstención formulada, puesto que la mencionada Magistrada, está incursa en la causa 11 del art. 219 LOPJ.</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justificada la abstención formulada por la Magistrada doña Encarnación Roca Trías en el recurso de amparo núm. 4134-2016 y apartarla definitivamente del conocimiento del referido recurso y de todas sus incidencias.</w:t>
      </w:r>
    </w:p>
    <w:p w:rsidR="001D6FAE" w:rsidRDefault="001D6FAE" w:rsidP="001D6FAE">
      <w:pPr>
        <w:pStyle w:val="TextoNormal"/>
      </w:pPr>
    </w:p>
    <w:p w:rsidR="001D6FAE" w:rsidRDefault="001D6FAE" w:rsidP="001D6FAE">
      <w:pPr>
        <w:pStyle w:val="TextoNormal"/>
      </w:pPr>
      <w:r>
        <w:t>Madrid, a veintiocho de octubre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3" w:name="AUTO_2016_179"/>
      <w:r>
        <w:t>AUTO 179/2016, de 2 de noviembre de 2016</w:t>
      </w:r>
    </w:p>
    <w:bookmarkEnd w:id="153"/>
    <w:p w:rsidR="001D6FAE" w:rsidRDefault="001D6FAE" w:rsidP="001D6FAE">
      <w:pPr>
        <w:pStyle w:val="TtuloResolucin"/>
      </w:pPr>
      <w:r>
        <w:t>Pleno</w:t>
      </w:r>
    </w:p>
    <w:p w:rsidR="001D6FAE" w:rsidRDefault="001D6FAE" w:rsidP="001D6FAE">
      <w:pPr>
        <w:pStyle w:val="TextoNormalCentrado"/>
      </w:pPr>
      <w:r>
        <w:t>ECLI:ES:TC:2016:179A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Acuerda la extinción, por desaparición sobrevenida de objeto, del recurso de inconstitucionalidad 995-2013, interpuesto por el Gobierno de la Generalitat de Cataluña en relación con diversos preceptos de la Ley 10/2012, de 20 de noviembre, por la que se regulan determinadas tasas en el ámbito de la Administración de Justicia y del Instituto Nacional de Toxicología y Ciencias Forenses.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día 20 de febrero de 2013 tuvo entrada en el Registro General de este Tribunal Constitucional escrito formulado por el Abogado de la Generalitat de Cataluña, en la representación que ostenta, por el que interpuso recurso de inconstitucionalidad contra determinados preceptos de la Ley 10/2012, de 20 de noviembre, por la que se regulan determinadas tasas en el ámbito de la Administración de Justicia y del Instituto Nacional de Toxicología y Ciencias Forenses.</w:t>
      </w:r>
    </w:p>
    <w:p w:rsidR="001D6FAE" w:rsidRDefault="001D6FAE" w:rsidP="001D6FAE">
      <w:pPr>
        <w:pStyle w:val="TextoNormal"/>
      </w:pPr>
    </w:p>
    <w:p w:rsidR="001D6FAE" w:rsidRDefault="001D6FAE" w:rsidP="001D6FAE">
      <w:pPr>
        <w:pStyle w:val="TextoNormal"/>
      </w:pPr>
      <w:r>
        <w:t>Dicho escrito comienza indicando que el objeto del presente recurso se refiere únicamente a la “tasa por el ejercicio de la potestad jurisdiccional en los órdenes civil, contencioso-administrativo y social” regulada en los artículos 1 al 11 de la Ley 10/2012, que forman su título I, y, singularmente, responde a que se prevé su aplicación en un supuesto que resulta inconstitucional. Ese supuesto consiste, según se concreta más adelante, en la aplicación de la tasa en la interposición de la demanda en el orden jurisdiccional contencioso-administrativo, según prevé el art. 2 c) de la Ley 10/2012, cuando la cuota tributaria resultante de la aplicación de la parte fija y la parte variable, según las reglas de los arts. 6 y 7 de la misma Ley, resulte equivalente o superior al valor económico de la pretensión que se formula.</w:t>
      </w:r>
    </w:p>
    <w:p w:rsidR="001D6FAE" w:rsidRDefault="001D6FAE" w:rsidP="001D6FAE">
      <w:pPr>
        <w:pStyle w:val="TextoNormal"/>
      </w:pPr>
    </w:p>
    <w:p w:rsidR="001D6FAE" w:rsidRDefault="001D6FAE" w:rsidP="001D6FAE">
      <w:pPr>
        <w:pStyle w:val="TextoNormal"/>
      </w:pPr>
      <w:r>
        <w:t>La fundamentación jurídico-material del recurso se articula, en síntesis, del siguiente modo:</w:t>
      </w:r>
    </w:p>
    <w:p w:rsidR="001D6FAE" w:rsidRDefault="001D6FAE" w:rsidP="001D6FAE">
      <w:pPr>
        <w:pStyle w:val="TextoNormal"/>
      </w:pPr>
    </w:p>
    <w:p w:rsidR="001D6FAE" w:rsidRDefault="001D6FAE" w:rsidP="001D6FAE">
      <w:pPr>
        <w:pStyle w:val="TextoNormal"/>
      </w:pPr>
      <w:r>
        <w:t>a) Tras recordar sucintamente el contenido de los arts. 1 al 11 de la Ley 10/2012, contra los que se dirige el recurso, se efectúan dos aclaraciones preliminares:</w:t>
      </w:r>
    </w:p>
    <w:p w:rsidR="001D6FAE" w:rsidRDefault="001D6FAE" w:rsidP="001D6FAE">
      <w:pPr>
        <w:pStyle w:val="TextoNormal"/>
      </w:pPr>
    </w:p>
    <w:p w:rsidR="001D6FAE" w:rsidRDefault="001D6FAE" w:rsidP="001D6FAE">
      <w:pPr>
        <w:pStyle w:val="TextoNormal"/>
      </w:pPr>
      <w:r>
        <w:t>i. En primer lugar, dichos artículos forman un conjunto inescindible, de manera que su análisis no puede hacerse de forma fragmentada. Para dilucidar sobre la aplicación efectiva de la tasa a un supuesto determinado no bastará con comprobar su incardinación en el hecho imponible de la misma, puesto que en este caso el legislador ha optado por definirlo con una gran amplitud, en el artículo 2, para luego delimitar la aplicación real de la tasa por la vía de establecer una serie de exenciones, unas objetivas (las del artículo 4.1) y otras subjetivas (las del artículo 4.2), amén de modular la cuantía en base a reglas diversas sobre la determinación de la base imponible y la cuota en los artículos 6, 7 y 8. Por ello, la impugnación en abstracto de la aplicación de la tasa por el ejercicio de la potestad jurisdiccional en un determinado supuesto, habrá de referirse necesariamente a la aplicación al mismo de ese conjunto normativo. Lo que se pretende es que no se aplique la tasa en su actual configuración al supuesto indicado, por entender que en ese caso la tasa tiene un efecto disuasorio desproporcionado que afecta de forma grave el ejercicio del derecho a la tutela judicial efectiva del art. 24.1 CE, en relación con el art. 106 CE. Es cierto que el mismo resultado podría conseguirse contemplando tal supuesto entre las exenciones, de modo que se excluyera la aplicación de la tasa en ese caso, de modo semejante a como el legislador ha establecido para otros. Pero esta eventual alternativa corresponde decidirla, en su momento, al legislador. No cabiendo en el recurso de inconstitucionalidad la figura de la “impugnación por omisión”, relativa aquí a un supuesto de exención o modulación de la tasa que se considera constitucionalmente exigible en aras de respetar la primacía del texto constitucional, el camino para conseguir que se declare lo irregular e inconstitucional de la situación que el legislador provoca es, lógicamente, la impugnación de la configuración total de la tasa en cuanto que, en su formulación general, afecta e incluye indebida e inconstitucionalmente tal supuesto determinado.</w:t>
      </w:r>
    </w:p>
    <w:p w:rsidR="001D6FAE" w:rsidRDefault="001D6FAE" w:rsidP="001D6FAE">
      <w:pPr>
        <w:pStyle w:val="TextoNormal"/>
      </w:pPr>
    </w:p>
    <w:p w:rsidR="001D6FAE" w:rsidRDefault="001D6FAE" w:rsidP="001D6FAE">
      <w:pPr>
        <w:pStyle w:val="TextoNormal"/>
      </w:pPr>
      <w:r>
        <w:t>ii. En segundo lugar, descarta la parte recurrente que el presente recurso responda a una impugnación de índole competencial, en el entendimiento, dice, confirmado por la jurisprudencia constitucional de que la actuación del legislador estatal al regular de nuevo la tasa por el ejercicio de la potestad jurisdiccional en la Ley 10/2012, lo hace en el marco competencial y con el mismo alcance con que lo hizo en su precedente, el art. 35 de la Ley 53/2002, tal y como fue interpretado en las SSTC 162/2012, de 20 de septiembre, y 235/2012, de 13 de diciembre, para dirimir los recursos planteados sobre el citado precepto. A continuación añade que si por la representación estatal en el presente recurso no se compartiera este entendimiento como punto de partida y se pretendiere, por ejemplo, que el elevado incremento de la cuantía de la tasa estatal que nos ocupa se justifica porque responde no sólo a lo que es el ejercicio de la potestad jurisdiccional sino que abarca también los gastos relativos a los servicios administrativos personales y materiales en materia de justicia, esto es, la llamada “administración de la Administración de Justicia”, sobre la que la Generalitat de Cataluña ostenta competencias de acuerdo con los artículos 103 a 105 del Estatuto de Autonomía de Cataluña, en tal caso debería considerarse también impugnada la tasa estatal debido a tan erróneo entendimiento del alcance de la competencia estatal en esta materia.</w:t>
      </w:r>
    </w:p>
    <w:p w:rsidR="001D6FAE" w:rsidRDefault="001D6FAE" w:rsidP="001D6FAE">
      <w:pPr>
        <w:pStyle w:val="TextoNormal"/>
      </w:pPr>
    </w:p>
    <w:p w:rsidR="001D6FAE" w:rsidRDefault="001D6FAE" w:rsidP="001D6FAE">
      <w:pPr>
        <w:pStyle w:val="TextoNormal"/>
      </w:pPr>
      <w:r>
        <w:t>b) Como se adelantaba, la parte recurrente considera inconstitucional la aplicación de la tasa en la interposición de la demanda en el orden jurisdiccional contencioso-administrativo, según prevé el art. 2 c) de la Ley 10/2012, cuando la cuota tributaria resultante de la aplicación de la parte fija y la parte variable, según las reglas de los arts. 6 y 7 de la misma Ley, resulte equivalente o superior al valor económico de la pretensión que se formula. Aduce que en tal supuesto la exigencia de la tasa supone una carga desproporcionada que se traduce en un evidente efecto disuasorio para el ciudadano en su derecho de acudir a la tutela judicial efectiva del art. 24.1 CE, ya que lo obstaculiza en términos carentes de racionalidad y proporcionalidad. De tal situación, en contrapartida y como efecto colateral indeseable, la Administración eventualmente afectada por la demanda obtiene un inconstitucional beneficio, al permitirle prever de modo general que en tal caso no se producirá el control jurisdiccional de su actividad a que se refiere el art. 106 CE. En su argumentación efectúa las consideraciones que, resumidamente, se exponen a continuación:</w:t>
      </w:r>
    </w:p>
    <w:p w:rsidR="001D6FAE" w:rsidRDefault="001D6FAE" w:rsidP="001D6FAE">
      <w:pPr>
        <w:pStyle w:val="TextoNormal"/>
      </w:pPr>
    </w:p>
    <w:p w:rsidR="001D6FAE" w:rsidRDefault="001D6FAE" w:rsidP="001D6FAE">
      <w:pPr>
        <w:pStyle w:val="TextoNormal"/>
      </w:pPr>
      <w:r>
        <w:t>1ª. Siguiendo los razonamientos de la STC 20/2012, de 16 de febrero, cabe partir de que la exigencia del pago de tasas judiciales es constitucional y que corresponde al legislador decidir el modelo de financiación de la justicia, mediante impuestos, tasas o bien por cualquiera de los posibles modelos mixtos. El legislador puede establecer la regulación que considere más conveniente, teniendo presente que el art. 119 CE remite a su decisión fijar los supuestos de gratuidad de la justicia y sólo le impone como supuesto necesario el de aquellos que acrediten insuficiencia de recursos para litigar. Así pues, el legislador goza de un amplio margen de libertad en la configuración de las tasas, dentro de los márgenes constitucionales [STC 185/1995, FJ 6 a)], estando el Tribunal Constitucional facultado para determinar si al fijar el régimen legal del tributo el legislador ha sobrepasado o no esos límites constitucionales [STC 214/1994, FJ 5 b)]. Entre los límites constitucionales, el Tribunal Constitucional se ha referido a que la tasa judicial, cuyo impago aboca a la inadmisión de la demanda, afecta de lleno al derecho a la tutela judicial efectiva en su vertiente de acceso a la justicia, y la citada STC 20/2012 remarca la necesidad de que se respete el principio relativo a la proporcionalidad de la medida, señalando a su vez que las limitaciones económicas para acceder a los tribunales han de perseguir una finalidad legítima y guardar una razonable relación de proporcionalidad entre los medios empleados y la finalidad que se pretende, teniendo presentes las circunstancias propias de cada caso, postura adoptada también por el Tribunal Europeo de Derechos Humanos y por el Tribunal de Justicia de la Unión Europea, como indica la citada STC 20/2012 (FJ 10).</w:t>
      </w:r>
    </w:p>
    <w:p w:rsidR="001D6FAE" w:rsidRDefault="001D6FAE" w:rsidP="001D6FAE">
      <w:pPr>
        <w:pStyle w:val="TextoNormal"/>
      </w:pPr>
    </w:p>
    <w:p w:rsidR="001D6FAE" w:rsidRDefault="001D6FAE" w:rsidP="001D6FAE">
      <w:pPr>
        <w:pStyle w:val="TextoNormal"/>
      </w:pPr>
      <w:r>
        <w:t xml:space="preserve">2ª. Se reconoce la dificultad que comporta efectuar un juicio de proporcionalidad de una tasa legal en abstracto, puesto que implica la necesidad de comparar sus ventajas y sus inconvenientes, ponderando los beneficios y los daños o pérdidas que su aplicación pudiere provocar, tanto para el interés general como para el de los particulares afectados. Continúa señalando que es evidente que el efecto disuasorio de la tasa depende no sólo de su cuantía en abstracto, sino de la situación económica y de la sensibilidad social de cada ciudadano, así como del interés que pudiera merecerle no tolerar una determinada situación o decisión administrativa. De ahí el peligro de caer en un mero subjetivismo valorativo. Tal vez por ello mismo, el Tribunal Europeo de Derechos Humanos, en la Sentencia dictada en el asunto </w:t>
      </w:r>
      <w:r w:rsidRPr="001D6FAE">
        <w:rPr>
          <w:i/>
        </w:rPr>
        <w:t>Kreuz contra Polonia</w:t>
      </w:r>
      <w:r>
        <w:t xml:space="preserve">, de 19 de junio de 2001 (asunto núm. 28249-1995), en la que utilizó el argumento de que las tasas equivalían al salario anual del interesado, y en la más reciente STEDH de 1 de marzo de 2011, en el asunto </w:t>
      </w:r>
      <w:r w:rsidRPr="001D6FAE">
        <w:rPr>
          <w:i/>
        </w:rPr>
        <w:t>Kaba c. Turquía</w:t>
      </w:r>
      <w:r>
        <w:t xml:space="preserve">, en la que también estimó la demanda sobre la base de que las tasas exigidas equivalían a 24,8 veces el salario mínimo anual previsto en dicho país, destacó en su argumentación que la consideración de los salarios no se tomaba como referencia objetiva para determinar a partir de ella la proporcionalidad de las tasas aplicadas, sino como elemento de comparación que venía a evidenciar con alcance general el carácter extremadamente desproporcionado de las mismas. No obstante, al margen de la situación patrimonial del sujeto pasivo, existe otro posible criterio de consideración general, que es seguido en la STEDH de 16 de noviembre de 2010, dictada por la Gran Sala en el asunto </w:t>
      </w:r>
      <w:r w:rsidRPr="001D6FAE">
        <w:rPr>
          <w:i/>
        </w:rPr>
        <w:t>Perdigáo c. Portugal</w:t>
      </w:r>
      <w:r>
        <w:t xml:space="preserve"> (asunto núm. 24768-2006). En aquel supuesto, el Tribunal Europeo de Derechos Humanos  hizo notar que la elevada cuantía de las tasas absorbía aquello que el mismo Estado otorgaba en concepto de compensación económica por la expropiación de una finca, concluyendo que este hecho “ha supuesto un obstáculo excesivo para los demandantes, rompiendo el justo equilibrio entre el interés general de la comunidad y los derechos fundamentales del individuo” (§ 52). Tal planteamiento puede sostenerse con carácter abstracto, es decir, con independencia de la capacidad económica de los sujetos eventualmente afectados y de si se trata de personas físicas o jurídicas, puesto que en tal supuesto, el derecho a la tutela judicial efectiva que protege tanto a las unas como a otras (SSTC 53/1985, FJ 1, y 137/1985, FJ 3) se ve desmotivado en su ejercicio de manera semejante para todas ellas. No estamos aquí en el terreno de la gratuidad de la justicia, sino en el de la más sencilla ponderación entre costes y beneficios, lógica en cualquier actuación humana.</w:t>
      </w:r>
    </w:p>
    <w:p w:rsidR="001D6FAE" w:rsidRDefault="001D6FAE" w:rsidP="001D6FAE">
      <w:pPr>
        <w:pStyle w:val="TextoNormal"/>
      </w:pPr>
    </w:p>
    <w:p w:rsidR="001D6FAE" w:rsidRDefault="001D6FAE" w:rsidP="001D6FAE">
      <w:pPr>
        <w:pStyle w:val="TextoNormal"/>
      </w:pPr>
      <w:r>
        <w:t xml:space="preserve">3ª. Las consecuencias de la exigencia de la tasa en ese supuesto, en el que resulta equivalente la tasa y la pretensión, no resultan negativas sólo para el individuo sino también para el sistema judicial en su conjunto, y, como afirmó la citada STC 20/2012 (FJ 8) “resulta evidente que la justicia, en tanto que garantía del Estado de Derecho, implica beneficios colectivos que trascienden el interés del justiciable considerado individualmente”. La anterior consideración, continúa argumentando, encuentra un lugar y sentido de especial aplicación en el caso de la jurisdicción contencioso-administrativa, cuyo acceso también ofrece peculiaridades desde el punto de vista constitucional, consecuencia del mandato contenido en el art. 106.1 CE que ordena y garantiza el control jurisdiccional de la Administración por parte de los Tribunales (SSTC 294/1994, FJ 3, y 177/2011, FJ 3), a lo que también se refiere la STC 20/2012, FJ 4. En último término, ni el mandato constitucional del art. 103.1 CE ni la garantía jurisdiccional del artículo 106.1 serían nada sin el derecho de los ciudadanos a obtener la tutela judicial efectiva en el ejercicio de sus derechos e intereses legítimos (art. 24.1 CE; STC 294/1994, FJ 3). Por otra parte, si la Administración utilizara su poder tributario para impedir o dificultar irrazonablemente el citado control judicial, incurriría en una clara desviación de poder. En este sentido, en la citada STEDH de 6 de noviembre de 2010, asunto </w:t>
      </w:r>
      <w:r w:rsidRPr="001D6FAE">
        <w:rPr>
          <w:i/>
        </w:rPr>
        <w:t>Perdigáo c. Portugal</w:t>
      </w:r>
      <w:r>
        <w:t>, se afirma que, en cuanto al examen de la proporcionalidad, no se puede aplicar el mismo rasero cuando las tasas judiciales afectan a disputas de derecho privado que cuando recaen sobre las de derecho público, y acaba concluyendo que “puede resultar paradójico que el Estado pueda obtener con una mano (mediante tasas judiciales) más de aquello que concede con la otra. En una situación así, la diferente naturaleza jurídica de la obligación del Estado de compensar la expropiación y la obligación de los litigantes de abonar las tasas judiciales no constituye un obstáculo para el examen global de la proporcionalidad de la medida impugnada” (§ 72).</w:t>
      </w:r>
    </w:p>
    <w:p w:rsidR="001D6FAE" w:rsidRDefault="001D6FAE" w:rsidP="001D6FAE">
      <w:pPr>
        <w:pStyle w:val="TextoNormal"/>
      </w:pPr>
    </w:p>
    <w:p w:rsidR="001D6FAE" w:rsidRDefault="001D6FAE" w:rsidP="001D6FAE">
      <w:pPr>
        <w:pStyle w:val="TextoNormal"/>
      </w:pPr>
      <w:r>
        <w:t>4ª. La valoración de la constitucionalidad de las tasas no puede hacerse teniendo en cuenta aisladamente la cuantía resultante de las reglas de cálculo de los arts. 6 y 7, sino que su razonabilidad, desde la óptica de la disposición general que las regula, exige contemplar el sistema de exenciones a la tasa a que se refiere el artículo 4. Como se dijo, los elementos a considerar en un hipotético juicio de proporcionalidad pueden ser de naturaleza muy diversa, desde la capacidad económica del afectado hasta la naturaleza de los derechos objeto del litigio concreto. Ahora bien, como también quedó recogido, existe un elemento objetivo cuya consideración en abstracto por el legislador resulta exigible: la relación de equivalencia entre la tasa y el valor económico de la prestación objeto del proceso, de manera que aquélla no puede ser superior a ésta. De no respetarse dicha relación, sea en la determinación de la cuota, sea mediante el sistema de exenciones, se quiebra el principio de proporcionalidad.</w:t>
      </w:r>
    </w:p>
    <w:p w:rsidR="001D6FAE" w:rsidRDefault="001D6FAE" w:rsidP="001D6FAE">
      <w:pPr>
        <w:pStyle w:val="TextoNormal"/>
      </w:pPr>
    </w:p>
    <w:p w:rsidR="001D6FAE" w:rsidRDefault="001D6FAE" w:rsidP="001D6FAE">
      <w:pPr>
        <w:pStyle w:val="TextoNormal"/>
      </w:pPr>
      <w:r>
        <w:t>Tras examinar las exenciones del art. 4 de la Ley, argumenta la parte recurrente que en asuntos de escasa cuantía en el orden contenciosos-administrativo (piénsese, por ejemplo, en los numerosos supuestos relativos a la actuación administrativa sancionadora en general o a la responsabilidad patrimonial de las Administraciones públicas), la tasa provoca un efecto indudablemente disuasorio que comporta, en el momento de tomar la decisión sobre plantear una demanda judicial, que el interesado se vea fuertemente retraído de hacerlo, debido al lógico desaliento a que conduce la valoración de la relación coste-beneficio del resultado. Esta conclusión no resulta superada por la eventualidad de que la tasa pueda incluirse dentro de las costas procesales, de acuerdo con el art. 139 de la Ley reguladora de la jurisdicción contencioso-administrativa (LJCA), pues la posibilidad de recuperar la tasa pagada al final del proceso, una vez que las pretensiones hayan sido totalmente reconocidas, no excluye que el carácter excesivamente desincentivador de la tasa suponga un obstáculo real para solicitar inicialmente la intervención de la justicia frente una actuación administrativa. Por lo mismo, el hecho de desalentar el recurso contencioso-administrativo en tales supuestos de pequeña cuantía comporta que una parte de la actuación administrativa vaya a gozar de un ámbito material exento del control de su legalidad, lo que resulta contrario a las previsiones del art. 106 CE y hace que las posibilidades de los ciudadanos de promover tal control no resulten reales y efectivas, sino meramente teóricas. Así pues, en las situaciones en que las tasas judiciales son equivalentes o superiores al valor de la pretensión, la exigencia de la tasa provoca una interferencia excesivamente onerosa en el ejercicio a la tutela judicial efectiva que, a su vez, se traduce en el descontrol de la Administración.</w:t>
      </w:r>
    </w:p>
    <w:p w:rsidR="001D6FAE" w:rsidRDefault="001D6FAE" w:rsidP="001D6FAE">
      <w:pPr>
        <w:pStyle w:val="TextoNormal"/>
      </w:pPr>
    </w:p>
    <w:p w:rsidR="001D6FAE" w:rsidRDefault="001D6FAE" w:rsidP="001D6FAE">
      <w:pPr>
        <w:pStyle w:val="TextoNormal"/>
      </w:pPr>
      <w:r>
        <w:t>Esta situación, continúa argumentando la parte recurrente, resulta, hasta cierto punto, extraña en la regulación sistemática de la tasa contenida en la Ley 10/2012, puesto que una cierta correspondencia entre la tasa y la cuantía del proceso está presente en la determinación de la base imponible de la tasa, a que se refiere el artículo 6, y, paralelamente, en la aplicación de la escala de gravamen del artículo 7.2 para fijar su incremento de una forma equilibrada. Es más, cabe recordar en este punto que entre las exenciones objetivas recogidas en el artículo 4.1, la letra e) establece expresamente la exención en la jurisdicción civil de las reclamaciones cuya cuantía no supere los 2.000 €. Cabe pensar que, lógicamente, una exención semejante o una medida de efecto equivalente hubiera debido ser prevista al menos en relación con los procedimientos contencioso-administrativos de pequeña cuantía, entendidos como aquellos en los que la tasa absorbe el valor de la pretensión.</w:t>
      </w:r>
    </w:p>
    <w:p w:rsidR="001D6FAE" w:rsidRDefault="001D6FAE" w:rsidP="001D6FAE">
      <w:pPr>
        <w:pStyle w:val="TextoNormal"/>
      </w:pPr>
    </w:p>
    <w:p w:rsidR="001D6FAE" w:rsidRDefault="001D6FAE" w:rsidP="001D6FAE">
      <w:pPr>
        <w:pStyle w:val="TextoNormal"/>
      </w:pPr>
      <w:r>
        <w:t>Termina la demanda suplicado que tenga por formalizado recurso de inconstitucionalidad “en relación con los artículos 1 al 11 de la Ley 10/2012”, y se dicte Sentencia “por la que se declare la inconstitucionalidad de la aplicación de la tasa en los procedimientos contencioso-administrativos cuando la cuota tributaria, resultante de la aplicación de la parte fija y la parte variable, sea equivalente o superior al valor económico de la pretensión que se formula, puesto que en tal supuesto se vulnera el derecho a la tutela judicial efectiva del art. 24.1 CE en relación con el art. 106 CE”.</w:t>
      </w:r>
    </w:p>
    <w:p w:rsidR="001D6FAE" w:rsidRDefault="001D6FAE" w:rsidP="001D6FAE">
      <w:pPr>
        <w:pStyle w:val="TextoNormal"/>
      </w:pPr>
    </w:p>
    <w:p w:rsidR="001D6FAE" w:rsidRDefault="001D6FAE" w:rsidP="001D6FAE">
      <w:pPr>
        <w:pStyle w:val="TextoNormal"/>
      </w:pPr>
      <w:r w:rsidRPr="001D6FAE">
        <w:rPr>
          <w:rStyle w:val="NumeroAFNegritaCaracter"/>
        </w:rPr>
        <w:t>2</w:t>
      </w:r>
      <w:r>
        <w:t>. El Pleno de este Tribunal acordó admitir a trámite el recurso mediante providencia de 12 de marzo de 2013, dando traslado de la demanda y documentos presentados al Congreso de los Diputados y al Senado, por conducto de sus Presidentes, y al Gobierno a través del Ministro de Justicia, conforme establece el art. 34 de la Ley Orgánica del Tribunal Constitucional (LOTC), para que en el plazo de quince días pudieran personarse en el procedimiento y formular las alegaciones que estimaren convenientes. Todo ello con publicación en el “Boletín Oficial del Estado” (núm. 71, de 23 de marzo de 2013).</w:t>
      </w:r>
    </w:p>
    <w:p w:rsidR="001D6FAE" w:rsidRDefault="001D6FAE" w:rsidP="001D6FAE">
      <w:pPr>
        <w:pStyle w:val="TextoNormal"/>
      </w:pPr>
    </w:p>
    <w:p w:rsidR="001D6FAE" w:rsidRDefault="001D6FAE" w:rsidP="001D6FAE">
      <w:pPr>
        <w:pStyle w:val="TextoNormal"/>
      </w:pPr>
      <w:r w:rsidRPr="001D6FAE">
        <w:rPr>
          <w:rStyle w:val="NumeroAFNegritaCaracter"/>
        </w:rPr>
        <w:t>3</w:t>
      </w:r>
      <w:r>
        <w:t>. Por escrito registrado el día 27 de marzo de 2013, el Abogado del Estado, en la representación que legalmente ostenta, se personó ante este Tribunal y solicitó prórroga por el máximo legal concedido para formular alegaciones, “habida cuenta del número de asuntos que penden ante esta Abogacía”. En virtud de providencia del Pleno de 1 de abril de 2013, se accedió a lo solicitado acordándose la prórroga en ocho días más del plazo para alegaciones.</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escrito presentado en el Registro General de este Tribunal el día 4 de abril de 2013, el Vicepresidente Primero del Senado dio traslado del acuerdo de la Mesa de la Cámara adoptado el 2 de abril de 2013, para que se la tuviese por personada en el procedimiento “y por ofrecida su colaboración a los efectos del art. 88.1 de la Ley Orgánica del Tribunal Constitucional”.</w:t>
      </w:r>
    </w:p>
    <w:p w:rsidR="001D6FAE" w:rsidRDefault="001D6FAE" w:rsidP="001D6FAE">
      <w:pPr>
        <w:pStyle w:val="TextoNormal"/>
      </w:pPr>
    </w:p>
    <w:p w:rsidR="001D6FAE" w:rsidRDefault="001D6FAE" w:rsidP="001D6FAE">
      <w:pPr>
        <w:pStyle w:val="TextoNormal"/>
      </w:pPr>
      <w:r w:rsidRPr="001D6FAE">
        <w:rPr>
          <w:rStyle w:val="NumeroAFNegritaCaracter"/>
        </w:rPr>
        <w:t>5</w:t>
      </w:r>
      <w:r>
        <w:t>. Con idéntica finalidad, tuvo entrada en este Tribunal el 5 de abril de 2013 un escrito del Presidente del Congreso de los Diputados, de 2 de abril de 2013, por el que da traslado del acuerdo adoptado en la misma fecha por la Mesa de dicha Cámara para reconocer su personación en el procedimiento y ofrecer su colaboración, a los efectos del art. 88.1 de la Ley Orgánica de este Tribunal.</w:t>
      </w:r>
    </w:p>
    <w:p w:rsidR="001D6FAE" w:rsidRDefault="001D6FAE" w:rsidP="001D6FAE">
      <w:pPr>
        <w:pStyle w:val="TextoNormal"/>
      </w:pPr>
    </w:p>
    <w:p w:rsidR="001D6FAE" w:rsidRDefault="001D6FAE" w:rsidP="001D6FAE">
      <w:pPr>
        <w:pStyle w:val="TextoNormal"/>
      </w:pPr>
      <w:r w:rsidRPr="001D6FAE">
        <w:rPr>
          <w:rStyle w:val="NumeroAFNegritaCaracter"/>
        </w:rPr>
        <w:t>6</w:t>
      </w:r>
      <w:r>
        <w:t>. Mediante escrito registrado el día 23 de abril 2013, el Abogado del Estado presentó sus alegaciones interesando la inadmisión parcial del recurso respecto de los artículos 1, 2, 3, 5, 6, 8, 9, 10 y 11 de la Ley 10/2012 y la desestimación del mismo en todo lo demás.</w:t>
      </w:r>
    </w:p>
    <w:p w:rsidR="001D6FAE" w:rsidRDefault="001D6FAE" w:rsidP="001D6FAE">
      <w:pPr>
        <w:pStyle w:val="TextoNormal"/>
      </w:pPr>
    </w:p>
    <w:p w:rsidR="001D6FAE" w:rsidRDefault="001D6FAE" w:rsidP="001D6FAE">
      <w:pPr>
        <w:pStyle w:val="TextoNormal"/>
      </w:pPr>
      <w:r>
        <w:t>En relación con la inadmisión parcial que se postula, el Abogado del Estado efectúa, en síntesis, las siguientes consideraciones:</w:t>
      </w:r>
    </w:p>
    <w:p w:rsidR="001D6FAE" w:rsidRDefault="001D6FAE" w:rsidP="001D6FAE">
      <w:pPr>
        <w:pStyle w:val="TextoNormal"/>
      </w:pPr>
    </w:p>
    <w:p w:rsidR="001D6FAE" w:rsidRDefault="001D6FAE" w:rsidP="001D6FAE">
      <w:pPr>
        <w:pStyle w:val="TextoNormal"/>
      </w:pPr>
      <w:r>
        <w:t>a) En primer lugar, en cuanto a la delimitación del objeto del recurso, se aduce que la demanda no contiene ningún razonamiento de inconstitucionalidad sobre los arts. 1, 2, 3, 5, 6, 8, 9, 10 y 11 de la Ley 10/2012, pese a que estos sí aparecen formalmente impugnados, de modo que al no haber levantado la carga que le incumbe a la parte actora en este punto, no cabe tampoco una decisión de fondo sobre ellos. Por otra parte, manifiesta el Abogado del Estado que no puede compartir la interpretación de la doctrina constitucional en materia competencial para tratar de compatibilizar, con ello, las tasas, estatal y autonómica, en materia de justicia, remitiéndose a los argumentos dados en el recurso de inconstitucionalidad núm. 7208-2012.</w:t>
      </w:r>
    </w:p>
    <w:p w:rsidR="001D6FAE" w:rsidRDefault="001D6FAE" w:rsidP="001D6FAE">
      <w:pPr>
        <w:pStyle w:val="TextoNormal"/>
      </w:pPr>
    </w:p>
    <w:p w:rsidR="001D6FAE" w:rsidRDefault="001D6FAE" w:rsidP="001D6FAE">
      <w:pPr>
        <w:pStyle w:val="TextoNormal"/>
      </w:pPr>
      <w:r>
        <w:t>b) En segundo lugar, en el contexto de una primera consideración general que el escrito titula: “reforma de la Ley 10/2012 por el Real Decreto-ley 3/2013, de 22 de febrero, por el que se modifica el régimen de las tasas en el ámbito de la Administración de Justicia y el sistema de asistencia jurídica gratuita”, el Abogado del Estado sostiene que “en el tiempo que media entre la interposición del presente recurso de inconstitucionalidad y estas alegaciones, la Ley 10/2012 ha sido objeto de una profunda reforma por parte del Real Decreto-ley 3/2013, de 22 de febrero”, reforma que “priva de todo fundamento a las alegaciones de la demanda”.</w:t>
      </w:r>
    </w:p>
    <w:p w:rsidR="001D6FAE" w:rsidRDefault="001D6FAE" w:rsidP="001D6FAE">
      <w:pPr>
        <w:pStyle w:val="TextoNormal"/>
      </w:pPr>
    </w:p>
    <w:p w:rsidR="001D6FAE" w:rsidRDefault="001D6FAE" w:rsidP="001D6FAE">
      <w:pPr>
        <w:pStyle w:val="TextoNormal"/>
      </w:pPr>
      <w:r>
        <w:t>Trae a colación en ese sentido la exposición de motivos de dicho Real Decreto-ley, en cuanto al fin de evitar que la cuantía de la tasa “en casos concretos e individualizados” que resultaban de la Ley original resultase excesiva, lo que se cohonesta con la reforma del beneficio de justicia gratuita incluida en su texto. Atendiendo con ello, dice, a las recomendaciones realizadas por el Defensor del Pueblo en su informe el 12 de febrero de 2013, el legislador ha acordado una disminución para las personas físicas de la escala variable; un límite máximo de la tasa del 50 por 100 si se trata de recurrir sanciones administrativas e, insiste, una reforma además de la Ley 1/1996, previendo la exención de tasas para los beneficiarios de la justicia gratuita y el aumento de los umbrales de renta para obtener ésta.</w:t>
      </w:r>
    </w:p>
    <w:p w:rsidR="001D6FAE" w:rsidRDefault="001D6FAE" w:rsidP="001D6FAE">
      <w:pPr>
        <w:pStyle w:val="TextoNormal"/>
      </w:pPr>
    </w:p>
    <w:p w:rsidR="001D6FAE" w:rsidRDefault="001D6FAE" w:rsidP="001D6FAE">
      <w:pPr>
        <w:pStyle w:val="TextoNormal"/>
      </w:pPr>
      <w:r>
        <w:t>c) Luego de concluir con las consideraciones generales sobre el fondo del recurso —de las que de inmediato se hará resumen— y antes de entrar en el examen particularizado de los preceptos impugnados, el Abogado del Estado alega una tercera objeción de índole procesal, consistente en que la demanda “no razona, como le incumbiría, la inconstitucionalidad de cada uno de los preceptos que son objeto de recurso, sino que se limita a realizar una alegación de conjunto”, lo que resulta contrario a las exigencias de este Tribunal (cita las SSTC 49/2008, de 9 de abril, FJ 4, y 34/2013, de 14 de febrero, FJ 9).</w:t>
      </w:r>
    </w:p>
    <w:p w:rsidR="001D6FAE" w:rsidRDefault="001D6FAE" w:rsidP="001D6FAE">
      <w:pPr>
        <w:pStyle w:val="TextoNormal"/>
      </w:pPr>
    </w:p>
    <w:p w:rsidR="001D6FAE" w:rsidRDefault="001D6FAE" w:rsidP="001D6FAE">
      <w:pPr>
        <w:pStyle w:val="TextoNormal"/>
      </w:pPr>
      <w:r>
        <w:t>Sobre las cuestiones de fondo del recurso interpuesto, en una consideración general primera, el escrito del Abogado del Estado pasa revista a cada uno de los preceptos de la Ley 10/2012 objeto de reforma por el Real-Decreto-ley 3/2013.</w:t>
      </w:r>
    </w:p>
    <w:p w:rsidR="001D6FAE" w:rsidRDefault="001D6FAE" w:rsidP="001D6FAE">
      <w:pPr>
        <w:pStyle w:val="TextoNormal"/>
      </w:pPr>
    </w:p>
    <w:p w:rsidR="001D6FAE" w:rsidRDefault="001D6FAE" w:rsidP="001D6FAE">
      <w:pPr>
        <w:pStyle w:val="TextoNormal"/>
      </w:pPr>
      <w:r>
        <w:t>A continuación, la consideración general segunda, titulada “Doctrina constitucional relevante”, da cuenta de los postulados de las SSTC 20/2012, de 16 de febrero, y 79/2012, de 17 de abril, así como la jurisprudencia del Tribunal Europeo de Derechos Humanos y del Tribunal de Justicia de la Unión Europea analizada en la primera de ellas, la STC 20/2012, en su fundamento jurídico 10, de lo que, dice, se extraen varias consecuencias. (i) La primera, que la tasa judicial sólo llegaría a afectar al núcleo del derecho de acceso (art. 24.1 CE) si su cuantía resulta “desproporcionada o irrazonable”. (ii) Segunda, que debe distinguirse el diferente grado de protección brindado por la Constitución en el acceso a la jurisdicción y al recurso. (iii) Tercera, que en relación al orden contencioso-administrativo “la STC 20/2012, FJ 4, no apreció ninguna especialidad en materia de tasas judiciales”, sino que se limitó a hacer referencia a la plenitud del sometimiento de la actuación administrativa a la ley y al Derecho (art. 103.1 CE), así como a la inexistencia de zonas inmunes al control judicial (art. 106.1 CE). (iv) Cuarta, sobre la exigencia de la tasa de la Ley 10/2012 en el orden social, el Abogado del Estado reproduce el pasaje de la STC 20/2012, FJ 4, en el que se formulaba una precisión sobre este ámbito de la Justicia, sin que quepa inferir de ello, precisa, una prohibición a su establecimiento y tampoco denunciar una discriminación por indiferenciación en materia de tasas, conforme tiene dicho el ATC 71/2008, de 26 de febrero, FJ 4.</w:t>
      </w:r>
    </w:p>
    <w:p w:rsidR="001D6FAE" w:rsidRDefault="001D6FAE" w:rsidP="001D6FAE">
      <w:pPr>
        <w:pStyle w:val="TextoNormal"/>
      </w:pPr>
    </w:p>
    <w:p w:rsidR="001D6FAE" w:rsidRDefault="001D6FAE" w:rsidP="001D6FAE">
      <w:pPr>
        <w:pStyle w:val="TextoNormal"/>
      </w:pPr>
      <w:r>
        <w:t>Un tercer bloque de alegaciones generales se titula “finalidad legítima de las tasas judiciales introducidas por la Ley 10/2012”, donde se defienden los fines que han inspirado la regulación generalizada de la tasa judicial. Partiendo del preámbulo de la Ley, en el que se habla de la mejora de la financiación del sistema judicial y en particular de la asistencia jurídica gratuita, el Abogado del Estado considera necesario tener en cuenta las “excepcionales circunstancias en que se adopta la Ley 10/2012”, las mismas que han conducido a constitucionalizar el principio de estabilidad presupuestaria en el art. 135 CE, en relación con los objetivos de déficit público para los próximos años. En todo caso, añade, la cantidad estimada por ingresos de tasas judiciales está alejada del total del presupuesto general del Ministerio.</w:t>
      </w:r>
    </w:p>
    <w:p w:rsidR="001D6FAE" w:rsidRDefault="001D6FAE" w:rsidP="001D6FAE">
      <w:pPr>
        <w:pStyle w:val="TextoNormal"/>
      </w:pPr>
    </w:p>
    <w:p w:rsidR="001D6FAE" w:rsidRDefault="001D6FAE" w:rsidP="001D6FAE">
      <w:pPr>
        <w:pStyle w:val="TextoNormal"/>
      </w:pPr>
      <w:r>
        <w:t>La cuarta alegación de su escrito, titulada “Planteamiento general de esta contestación”, señala que si bien “los recurrentes dicen impugnar los arts. 1 al 11 de la Ley 10/2012, es lo cierto que las alegaciones presentadas se ciñen al contenido de los arts. 4 y 7; ningún argumento se ha expuesto en el escrito de demanda que induzca a dudar de la constitucionalidad del resto de preceptos formalmente impugnados, por lo que nuestro análisis debiera limitarse a los citados arts. 4 y 7”. No obstante, —dice— “procederemos a examinar someramente la supuesta inconstitucionalidad de todos ellos”. A partir de aquí, el escrito va deteniéndose (alegaciones quinta a décima, inclusive) en cada uno de los preceptos legales formalmente impugnados en la demanda, defendiendo la constitucionalidad de todos ellos:</w:t>
      </w:r>
    </w:p>
    <w:p w:rsidR="001D6FAE" w:rsidRDefault="001D6FAE" w:rsidP="001D6FAE">
      <w:pPr>
        <w:pStyle w:val="TextoNormal"/>
      </w:pPr>
    </w:p>
    <w:p w:rsidR="001D6FAE" w:rsidRDefault="001D6FAE" w:rsidP="001D6FAE">
      <w:pPr>
        <w:pStyle w:val="TextoNormal"/>
      </w:pPr>
      <w:r>
        <w:t>a) En cuanto al art. 1 de la Ley 10/2012, se advierte que al no aparecer en la demanda ningún cuestionamiento sobre la competencia del Estado para la fijación de las tasas por el ejercicio de la potestad jurisdiccional y que cabe entender que este precepto se impugna únicamente por su extensión al orden contencioso-administrativo, ningún reproche merece, insistiendo en que de la doctrina de este Tribunal Constitucional y la del Tribunal Europeo de Derechos Humanos resulta “la plena legitimidad” de su imposición en los órdenes jurisdiccionales gravados.</w:t>
      </w:r>
    </w:p>
    <w:p w:rsidR="001D6FAE" w:rsidRDefault="001D6FAE" w:rsidP="001D6FAE">
      <w:pPr>
        <w:pStyle w:val="TextoNormal"/>
      </w:pPr>
    </w:p>
    <w:p w:rsidR="001D6FAE" w:rsidRDefault="001D6FAE" w:rsidP="001D6FAE">
      <w:pPr>
        <w:pStyle w:val="TextoNormal"/>
      </w:pPr>
      <w:r>
        <w:t>b) En relación con el artículo 2 (hecho imponible de la tasa), el escrito de alegaciones replica que la demanda no haya razonado la inconstitucionalidad de los hechos imponibles gravados y que no resulta inconstitucional el gravamen con una tasa de determinados actos procesales, siempre que no se introduzca un obstáculo desproporcionado por su cuantía.</w:t>
      </w:r>
    </w:p>
    <w:p w:rsidR="001D6FAE" w:rsidRDefault="001D6FAE" w:rsidP="001D6FAE">
      <w:pPr>
        <w:pStyle w:val="TextoNormal"/>
      </w:pPr>
    </w:p>
    <w:p w:rsidR="001D6FAE" w:rsidRDefault="001D6FAE" w:rsidP="001D6FAE">
      <w:pPr>
        <w:pStyle w:val="TextoNormal"/>
      </w:pPr>
      <w:r>
        <w:t>c) Del art. 3 de la Ley (sujeto obligado), el escrito de alegaciones no ve tacha específica de inconstitucionalidad. En relación con la inclusión de las personas físicas en el ámbito subjetivo de las tasas, aduce que no parece que pueda hacérsele ninguna objeción constitucional ya que todos los casos citados más arriba del Tribunal Europeo de Derechos Humanos se referían a tasas impuestas a personas físicas, sin que el Tribunal se planteara una afectación al derecho a la tutela judicial efectiva por el simple hecho de recaer sobre personas físicas; sino que se centró en examinar la proporcionalidad de la tasa en función de los recursos económicos de la parte. Este es un control que debe hacerse caso por caso en función de la cuantía de la tasa y de los recursos de quien pretende la tutela judicial. Además, se afirma que el Real Decreto-ley 3/2013 ha acordado una rebaja sustancial de la cantidad variable que deben pagar las personas físicas y que el art. 3.1 de la Ley 1/1996, asimismo, ha elevado los umbrales de renta que excluyen el derecho al beneficio de justicia gratuita. Además, el art. 5.1 de esta última Ley faculta a la comisión de asistencia jurídica gratuita competente en cada caso para conceder el beneficio a quienes dispongan de ingresos que no excedan del quíntuplo del indicador público de renta de efectos múltiples, en atención a determinadas circunstancias excepcionales entra las que se encuentran “las tasas judiciales y otros costes derivados de la iniciación del proceso”.</w:t>
      </w:r>
    </w:p>
    <w:p w:rsidR="001D6FAE" w:rsidRDefault="001D6FAE" w:rsidP="001D6FAE">
      <w:pPr>
        <w:pStyle w:val="TextoNormal"/>
      </w:pPr>
    </w:p>
    <w:p w:rsidR="001D6FAE" w:rsidRDefault="001D6FAE" w:rsidP="001D6FAE">
      <w:pPr>
        <w:pStyle w:val="TextoNormal"/>
      </w:pPr>
      <w:r>
        <w:t>d) En relación con el art. 4 de la Ley recurrida (exenciones objetivas y subjetivas) aduce que no parece que puedan existir dudas de su constitucionalidad, en cuanto el mismo pretende precisamente introducir exenciones objetivas y subjetivas a las tasas, como medidas correctoras del excesivo rigor que, en determinados casos, las mismas podrían tener. Frente a lo argumentado de contrario, basta con poner de manifiesto las modificaciones normativas que introduce el Real Decreto-ley 3/2013: se añade un nuevo apartado 4 al artículo 4 de la Ley 10/2012, en cuya virtud “[e]n el orden contencioso-administrativo, los funcionarios públicos cuando actúen en defensa de sus derechos estatutarios tendrán una exención del 60 por ciento en la cuantía de la tasa que les corresponda por la interposición de los recursos de apelación y casación”; así como se añade un párrafo final al apartado 1 del artículo 7 de la Ley 10/2012 en el que se prescribe que “cuando el recurso contencioso-administrativo tenga por objeto la impugnación de resoluciones sancionadoras, la cuantía de la tasa, incluida la cantidad variable que prevé el apartado siguiente, no podrá exceder del 50 por ciento del importe de la sanción económica impuesta”. Considera, finalmente, que para que pueda apreciarse la modalidad excepcional de inconstitucionalidad por omisión de otras exenciones que se consideran pertinentes, como son aquellas impuestas en beneficio de los particulares que litiguen contra la Administración o las comprensivas de supuestos relativos a actuaciones administrativas de escasa cuantía, es preciso mucho mayor esfuerzo argumentativo que el que hace la demanda, con cita de la STC 120/2010, de 24 noviembre, FJ 6.</w:t>
      </w:r>
    </w:p>
    <w:p w:rsidR="001D6FAE" w:rsidRDefault="001D6FAE" w:rsidP="001D6FAE">
      <w:pPr>
        <w:pStyle w:val="TextoNormal"/>
      </w:pPr>
    </w:p>
    <w:p w:rsidR="001D6FAE" w:rsidRDefault="001D6FAE" w:rsidP="001D6FAE">
      <w:pPr>
        <w:pStyle w:val="TextoNormal"/>
      </w:pPr>
      <w:r>
        <w:t>e) Agrupados en la alegación novena, el Abogado del Estado reitera que sobre los arts. 5, 6, 8, 9, 10 y 11 de la Ley 10/2012 formalmente impugnados por la parte recurrente, la demanda no contiene tampoco ninguna motivación para sostener su disconformidad con la Constitución.</w:t>
      </w:r>
    </w:p>
    <w:p w:rsidR="001D6FAE" w:rsidRDefault="001D6FAE" w:rsidP="001D6FAE">
      <w:pPr>
        <w:pStyle w:val="TextoNormal"/>
      </w:pPr>
    </w:p>
    <w:p w:rsidR="001D6FAE" w:rsidRDefault="001D6FAE" w:rsidP="001D6FAE">
      <w:pPr>
        <w:pStyle w:val="TextoNormal"/>
      </w:pPr>
      <w:r>
        <w:t>f) Se detiene el escrito de alegaciones, a renglón seguido, en la defensa del art. 7 de la Ley 10/2012 referido a la cuantía de la tasa judicial (alegación décima), precepto éste, precisa, “donde cabría centrar las hipotéticas dudas de constitucionalidad que pudiera plantear” la Ley impugnada.</w:t>
      </w:r>
    </w:p>
    <w:p w:rsidR="001D6FAE" w:rsidRDefault="001D6FAE" w:rsidP="001D6FAE">
      <w:pPr>
        <w:pStyle w:val="TextoNormal"/>
      </w:pPr>
    </w:p>
    <w:p w:rsidR="001D6FAE" w:rsidRDefault="001D6FAE" w:rsidP="001D6FAE">
      <w:pPr>
        <w:pStyle w:val="TextoNormal"/>
      </w:pPr>
      <w:r>
        <w:t>Se refiere el Abogado del Estado al procedimiento abreviado en el orden contencioso-administrativo, y recuerda que el art. 35.6.1 de la Ley 53/2002, de 30 de diciembre, ya impuso una tasa para la interposición del recurso contencioso administrativo en el procedimiento abreviado de 120 €, lo que también suponía que la tasa superara el objeto del proceso cuando este fuera inferior a 120 €. Sin embargo, entonces no se entendió que ello implicara que una parte de la actividad administrativa quedara sin control. Es más, la Ley 53/2002 no introdujo la cautela que se lee en el art. 7.1 de la Ley 10/2012 de que en el ámbito sancionador, es decir, donde más intensamente se manifiesta el poder de la Administración, la cuantía de la tasa “no podrá exceder del 50 por ciento del importe de la sanción económica impuesta”. Por otro lado, argumenta que una tasa de 200 € supone una barrera de acceso mucho menos intensa que la que impone el requisito de la postulación y el coste que el mismo representa, y recuerda que el art. 139.1 LJCA consagra, también en el orden jurisdiccional contencioso-administrativo, el criterio del vencimiento en la primera instancia en materia de costas, entre cuyas partidas se incluye “la tasa por el ejercicio de la potestad jurisdiccional, cuando sea preceptiva”. Por tanto —argumenta—, si el demandante en el orden contencioso ve completamente estimada su demanda recuperará las tasas pagadas a través de las costas. La Ley 10/2012 consigue así, mediante la imposición de una tasa de escasa cuantía —200 €—, que pongan en marcha el caro servicio de la administración de justicia quienes ejerciten pretensiones bien fundadas, en las que exista una probabilidad alta de estimación y, por tanto, de recuperar la tasa vía costas. También incentiva a la Administración, respecto de las pretensiones fundadas, a reconocer “totalmente en vía administrativa las pretensiones del demandante”, o a allanarse totalmente a sus pretensiones, casos en que “se efectuará una devolución del 60 por 100 del importe de la tasa” —importe que, por tanto, tampoco se integraría en las costas— (art. 8.5 de la Ley 10/2012).</w:t>
      </w:r>
    </w:p>
    <w:p w:rsidR="001D6FAE" w:rsidRDefault="001D6FAE" w:rsidP="001D6FAE">
      <w:pPr>
        <w:pStyle w:val="TextoNormal"/>
      </w:pPr>
    </w:p>
    <w:p w:rsidR="001D6FAE" w:rsidRDefault="001D6FAE" w:rsidP="001D6FAE">
      <w:pPr>
        <w:pStyle w:val="TextoNormal"/>
      </w:pPr>
      <w:r>
        <w:t>Concluye afirmando que combinado lo expuesto con la exención del pago de tasas a quienes carezcan de recursos para litigar, no parece que la imposición de una tasa judicial de 200 € para estos asuntos de escasa cuantía suponga introducir un obstáculo desproporcionado al ejercicio del derecho fundamental del art. 24.1 CE.</w:t>
      </w:r>
    </w:p>
    <w:p w:rsidR="001D6FAE" w:rsidRDefault="001D6FAE" w:rsidP="001D6FAE">
      <w:pPr>
        <w:pStyle w:val="TextoNormal"/>
      </w:pPr>
    </w:p>
    <w:p w:rsidR="001D6FAE" w:rsidRDefault="001D6FAE" w:rsidP="001D6FAE">
      <w:pPr>
        <w:pStyle w:val="TextoNormal"/>
      </w:pPr>
      <w:r>
        <w:t>g) Finalmente, el Abogado del Estado hace una valoración conjunta de la Ley 10/2012 y de la Ley 1/1996, de asistencia jurídica gratuita, encontrando en ellas un “irreprochable equilibrio entre el respeto al derecho fundamental a la tutela judicial efectiva del art. 24 y la necesaria observancia del principio constitucional de estabilidad presupuestaria del art. 135 CE”. Recapitula las alegaciones vertidas en su escrito y reitera que el sistema de justicia gratuita incluye como “cláusula de cierre” la posibilidad de conceder el beneficio “a quienes tengan rentas que no superen el quíntuplo del indicador público de renta de efectos múltiples precisamente en atención a la concreta cuantía de las tasas judiciales”.</w:t>
      </w:r>
    </w:p>
    <w:p w:rsidR="001D6FAE" w:rsidRDefault="001D6FAE" w:rsidP="001D6FAE">
      <w:pPr>
        <w:pStyle w:val="TextoNormal"/>
      </w:pPr>
    </w:p>
    <w:p w:rsidR="001D6FAE" w:rsidRDefault="001D6FAE" w:rsidP="001D6FAE">
      <w:pPr>
        <w:pStyle w:val="TextoNormal"/>
      </w:pPr>
      <w:r w:rsidRPr="001D6FAE">
        <w:rPr>
          <w:rStyle w:val="NumeroAFNegritaCaracter"/>
        </w:rPr>
        <w:t>7</w:t>
      </w:r>
      <w:r>
        <w:t>. Mediante escritos presentados en el Registro General de este Tribunal en fecha 2 de agosto de 2013, los Letrados de la Generalitat de Cataluña que tienen conferida su defensa y representación procesal, formularon incidente de recusación del Presidente del Tribunal Constitucional en una serie de procesos, entre los que se incluye el presente recurso de inconstitucionalidad, por las causas 9 y 10 del art. 219 de la Ley Orgánica del Poder Judicial, en relación con el art. 80 de la Ley Orgánica del Tribunal Constitucional. Por ATC 180/2013, de 17 de septiembre, se acuerda la inadmisión a trámite de las recusaciones promovidas y, formulado recurso de súplica contra el anterior Auto por el Parlamento y la Generalitat de Cataluña, el Pleno, en providencia de 2 de octubre de 2013 acordó su inadmisión a trámite.</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Se interpone el presente recurso de inconstitucionalidad por el Gobierno de la Generalitat de Cataluña contra los arts. 1 al 11 de la Ley 10/2012, de 20 de noviembre, por la que se regulan determinadas tasas en el ámbito de la Administración de Justicia y del Instituto Nacional de Toxicología y Ciencias Forenses, suplicando únicamente de este Tribunal que declare “la inconstitucionalidad de la aplicación de la tasa en los procedimientos contencioso-administrativos cuando la cuota tributaria, resultante de la aplicación de la parte fija y la parte variable, sea equivalente o superior al valor económico de la pretensión que se formula”.</w:t>
      </w:r>
    </w:p>
    <w:p w:rsidR="001D6FAE" w:rsidRDefault="001D6FAE" w:rsidP="001D6FAE">
      <w:pPr>
        <w:pStyle w:val="TextoNormal"/>
      </w:pPr>
    </w:p>
    <w:p w:rsidR="001D6FAE" w:rsidRDefault="001D6FAE" w:rsidP="001D6FAE">
      <w:pPr>
        <w:pStyle w:val="TextoNormal"/>
      </w:pPr>
      <w:r>
        <w:t>La parte recurrente, partiendo de que dichos artículos forman un conjunto inescindible que obliga a dirigir el recurso formalmente frente a todos ellos, considera, en síntesis, que la aplicación de la tasa en el orden jurisdiccional contencioso-administrativo, según prevé el art. 2 c) de la Ley 10/2012, cuando la cuota tributaria resultante de la aplicación de la parte fija y la parte variable, según las reglas de los arts. 6 y 7 de la misma Ley, resulte equivalente o superior al valor económico de la pretensión que se formula, supone una carga desproporcionada que se traduce en un evidente efecto disuasorio para el ciudadano en su derecho de acudir a la tutela judicial efectiva del art. 24.1 CE, ya que lo obstaculiza en términos carentes de racionalidad y proporcionalidad, incurriendo, por tanto, en infracción de este precepto constitucional.</w:t>
      </w:r>
    </w:p>
    <w:p w:rsidR="001D6FAE" w:rsidRDefault="001D6FAE" w:rsidP="001D6FAE">
      <w:pPr>
        <w:pStyle w:val="TextoNormal"/>
      </w:pPr>
    </w:p>
    <w:p w:rsidR="001D6FAE" w:rsidRDefault="001D6FAE" w:rsidP="001D6FAE">
      <w:pPr>
        <w:pStyle w:val="TextoNormal"/>
      </w:pPr>
      <w:r>
        <w:t>Por su parte, el escrito del Abogado del Estado, actuando en representación del Gobierno de la Nación, interesa la inadmisión parcial del recurso y, en cuanto al fondo, que el mismo se desestime por no estar acreditadas las conculcaciones constitucionales que se aducen.</w:t>
      </w:r>
    </w:p>
    <w:p w:rsidR="001D6FAE" w:rsidRDefault="001D6FAE" w:rsidP="001D6FAE">
      <w:pPr>
        <w:pStyle w:val="TextoNormal"/>
      </w:pPr>
    </w:p>
    <w:p w:rsidR="001D6FAE" w:rsidRDefault="001D6FAE" w:rsidP="001D6FAE">
      <w:pPr>
        <w:pStyle w:val="TextoNormal"/>
      </w:pPr>
      <w:r w:rsidRPr="001D6FAE">
        <w:rPr>
          <w:rStyle w:val="NumeroAFNegritaCaracter"/>
        </w:rPr>
        <w:t>2</w:t>
      </w:r>
      <w:r>
        <w:t>. Tomando en consideración que la única pretensión de la parte recurrente en este recurso es la declaración de “la inconstitucionalidad de la aplicación de la tasa en los procedimientos contencioso-administrativos cuando la cuota tributaria sea equivalente o superior al valor económico de la pretensión que se formula”, se ha producido la pérdida sobrevenida de su objeto a causa de dos acontecimientos diferentes: la inclusión por el Real Decreto-ley 1/2015, de 27 de febrero, de todas las personas físicas como sujetos exentos del pago de la tasa; y el pronunciamiento de nuestra Sentencia núm. 140/2016, de 21 de julio, que ha declarado, por lo que al presente recurso importa, la inconstitucionalidad y nulidad del art. 7, apartado 1, de la Ley 10/2012, de 20 de noviembre, en el siguiente inciso: “En el orden jurisdiccional contencioso-administrativo: Abreviado: 200 €; Ordinario: 350 €”, y del art. 7, apartado 2, que regulaba la cuota variable, respecto de las personas jurídicas.</w:t>
      </w:r>
    </w:p>
    <w:p w:rsidR="001D6FAE" w:rsidRDefault="001D6FAE" w:rsidP="001D6FAE">
      <w:pPr>
        <w:pStyle w:val="TextoNormal"/>
      </w:pPr>
    </w:p>
    <w:p w:rsidR="001D6FAE" w:rsidRDefault="001D6FAE" w:rsidP="001D6FAE">
      <w:pPr>
        <w:pStyle w:val="TextoNormal"/>
      </w:pPr>
      <w:r>
        <w:t>Este criterio se reitera en el posterior Auto aprobado por el Pleno jurisdiccional de este Tribunal de fecha 18 de octubre de 2016, al resolver el recurso de inconstitucionalidad núm. 4948-2016, interpuesto por la Diputación General de Aragón.</w:t>
      </w:r>
    </w:p>
    <w:p w:rsidR="001D6FAE" w:rsidRDefault="001D6FAE" w:rsidP="001D6FAE">
      <w:pPr>
        <w:pStyle w:val="TextoNormal"/>
      </w:pPr>
    </w:p>
    <w:p w:rsidR="001D6FAE" w:rsidRDefault="001D6FAE" w:rsidP="001D6FAE">
      <w:pPr>
        <w:pStyle w:val="TextoNormal"/>
      </w:pPr>
      <w:r w:rsidRPr="001D6FAE">
        <w:rPr>
          <w:rStyle w:val="NumeroAFNegritaCaracter"/>
        </w:rPr>
        <w:t>3</w:t>
      </w:r>
      <w:r>
        <w:t>. En todo caso, al analizar la cuestión planteada procede hacer las siguientes consideraciones:</w:t>
      </w:r>
    </w:p>
    <w:p w:rsidR="001D6FAE" w:rsidRDefault="001D6FAE" w:rsidP="001D6FAE">
      <w:pPr>
        <w:pStyle w:val="TextoNormal"/>
      </w:pPr>
    </w:p>
    <w:p w:rsidR="001D6FAE" w:rsidRDefault="001D6FAE" w:rsidP="001D6FAE">
      <w:pPr>
        <w:pStyle w:val="TextoNormal"/>
      </w:pPr>
      <w:r>
        <w:t>a) Por lo que se refiere a la extinción del proceso, por carencia de objeto, hemos de comenzar recordando que la doctrina de este Tribunal ha establecido que en los recursos de inconstitucionalidad de las leyes, dado que se trata de “un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este Tribunal se pronunciase ‘sobre normas que el mismo legislador ha expulsado ya de dicho ordenamiento … de modo total, sin ultraactividad’” (entre otras, SSTC 223/2012, de 29 de noviembre, FJ 3; 131/2013, de 5 de junio, FJ 3; 158/2013, de 26 de septiembre, FJ 3; 160/2013, de 26 de septiembre, FJ 3; 165/2013, de 26 de septiembre, FJ 10; 120/2014, de 17 de julio, FJ 4; 214/2014, de 18 de diciembre, FJ 2; 237/2015, de 19 de noviembre, FJ 3, y 270/2015, de 17 de diciembre, FJ 2).</w:t>
      </w:r>
    </w:p>
    <w:p w:rsidR="001D6FAE" w:rsidRDefault="001D6FAE" w:rsidP="001D6FAE">
      <w:pPr>
        <w:pStyle w:val="TextoNormal"/>
      </w:pPr>
    </w:p>
    <w:p w:rsidR="001D6FAE" w:rsidRDefault="001D6FAE" w:rsidP="001D6FAE">
      <w:pPr>
        <w:pStyle w:val="TextoNormal"/>
      </w:pPr>
      <w:r>
        <w:t>Sin embargo, hemos establecido como excepciones a esta doctrina general, por un lado aquellos casos en que el recurso de inconstitucionalidad versa sobre una controversia de carácter competencial y ésta no ha desaparecido con la nueva norma [entre otras, SSTC 134/2011, de 20 de julio, FJ 2 b); 7/2012, de 18 de enero, FJ 2; 96/2013, de 26 de abril, FJ 2; 142/2014, de 11 de septiembre, FJ 2, y 230/2015, de 5 de noviembre, FJ 3 b)], Y también cuando el motivo alegado en el recurso afecta al procedimiento legislativo de aprobación de la disposición con rango de ley y a su contenido posible [entre otras, SSTC 60/1986, de 20 de mayo, FJ 1; 137/2003, de 3 de julio, FJ 2; 108/2004, de 30 de junio, FJ 4; 136/2011, de 13 de septiembre, FJ 2; 47/2015, de 25 de marzo, FJ 2 c), y 106/2015, de 28 de mayo, FJ 2].</w:t>
      </w:r>
    </w:p>
    <w:p w:rsidR="001D6FAE" w:rsidRDefault="001D6FAE" w:rsidP="001D6FAE">
      <w:pPr>
        <w:pStyle w:val="TextoNormal"/>
      </w:pPr>
    </w:p>
    <w:p w:rsidR="001D6FAE" w:rsidRDefault="001D6FAE" w:rsidP="001D6FAE">
      <w:pPr>
        <w:pStyle w:val="TextoNormal"/>
      </w:pPr>
      <w:r>
        <w:t>Pues bien, el art. 11 del Real Decreto-ley 1/2015, de 27 de febrero, de “mecanismos de segunda oportunidad, reducción de carga financiera y otras medidas de orden social” (convalidado por acuerdo del Congreso de los Diputados, de 12 de marzo de 2015, publicado en el “BOE” núm. 66, del 18 de marzo), ha modificado (art. 11.1) el apartado a) del art. 4.2 de la Ley 10/2012, para incluir a “las personas físicas” como exentas del pago de la tasa. Por su parte, para las personas jurídicas se mantiene la exención únicamente cuando se les haya reconocido el beneficio de justicia gratuita según su normativa reguladora, lo que ahora se especifica en la nueva redacción dada al apartado b) del mismo artículo 4.2.</w:t>
      </w:r>
    </w:p>
    <w:p w:rsidR="001D6FAE" w:rsidRDefault="001D6FAE" w:rsidP="001D6FAE">
      <w:pPr>
        <w:pStyle w:val="TextoNormal"/>
      </w:pPr>
    </w:p>
    <w:p w:rsidR="001D6FAE" w:rsidRDefault="001D6FAE" w:rsidP="001D6FAE">
      <w:pPr>
        <w:pStyle w:val="TextoNormal"/>
      </w:pPr>
      <w:r>
        <w:t>Y como consecuencia de la exención referida del art. 4.2 a), este Real Decreto-ley (art. 11.3) por un lado elimina la indicación que traía el artículo 7.2 sobre la persona jurídica (“cuando el sujeto pasivo sea persona jurídica se satisfará”), especificación innecesaria al pasar a ser el único sujeto pasivo del tributo; y de otro lado suprime el apartado 3, que contenía la cuota variable y escala para las personas físicas.</w:t>
      </w:r>
    </w:p>
    <w:p w:rsidR="001D6FAE" w:rsidRDefault="001D6FAE" w:rsidP="001D6FAE">
      <w:pPr>
        <w:pStyle w:val="TextoNormal"/>
      </w:pPr>
    </w:p>
    <w:p w:rsidR="001D6FAE" w:rsidRDefault="001D6FAE" w:rsidP="001D6FAE">
      <w:pPr>
        <w:pStyle w:val="TextoNormal"/>
      </w:pPr>
      <w:r>
        <w:t>Las modificaciones indicadas han sido asumidas después por la Ley 25/2015, de 28 de julio, “de mecanismo de segunda oportunidad, reducción de la carga financiera y otras medidas de orden social”, en su artículo 10, apartados 1 y 3 respectivamente. Ley que entró en vigor el 30 de julio de 2015, día siguiente al de su publicación en el “BOE” núm. 180, del día 29.</w:t>
      </w:r>
    </w:p>
    <w:p w:rsidR="001D6FAE" w:rsidRDefault="001D6FAE" w:rsidP="001D6FAE">
      <w:pPr>
        <w:pStyle w:val="TextoNormal"/>
      </w:pPr>
    </w:p>
    <w:p w:rsidR="001D6FAE" w:rsidRDefault="001D6FAE" w:rsidP="001D6FAE">
      <w:pPr>
        <w:pStyle w:val="TextoNormal"/>
      </w:pPr>
      <w:r>
        <w:t>La exención al pago de la tasa judicial para la totalidad de las personas físicas, de acuerdo con la consolidada doctrina general de este Tribunal enunciada anteriormente, concluimos en la citada STC 140/2016, de 21 de julio, FJ 2 c), “conduce a declarar la pérdida sobrevenida parcial del objeto del recurso en cuanto concierne a la imposición de la tasa de la Ley 10/2012 a las personas físicas, puesto que no se trata de una simple modificación de las condiciones en que la misma ha de ser satisfecha por ellas, sino que tales reglas dejan de serles aplicables, a salvo, lógicamente, aquella que contempla la exención [art. 4.2 a)]. Además, no existe dato alguno que permita inferir que la medida de exención introducida resulte meramente coyuntural, y no nos encontramos tampoco dentro de las excepciones reconocidas a la indicada doctrina general (temas competenciales o de depuración del procedimiento legislativo), que permitiera considerar viva la controversia en este punto”.</w:t>
      </w:r>
    </w:p>
    <w:p w:rsidR="001D6FAE" w:rsidRDefault="001D6FAE" w:rsidP="001D6FAE">
      <w:pPr>
        <w:pStyle w:val="TextoNormal"/>
      </w:pPr>
    </w:p>
    <w:p w:rsidR="001D6FAE" w:rsidRDefault="001D6FAE" w:rsidP="001D6FAE">
      <w:pPr>
        <w:pStyle w:val="TextoNormal"/>
      </w:pPr>
      <w:r>
        <w:t>b) En relación con el pronunciamiento de inconstitucionalidad y nulidad contenido en nuestra Sentencia núm. 140/2016, de 21 de julio, cabe recordar que es también doctrina de este Tribunal que “siendo el efecto inmediato de la anulación de cualquier norma su expulsión del ordenamiento jurídico de una vez por todas y para siempre, medida irreversible por su propia naturaleza”, las ulteriores pretensiones de anulación resultan ya redundantes y vacías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001D6FAE" w:rsidRDefault="001D6FAE" w:rsidP="001D6FAE">
      <w:pPr>
        <w:pStyle w:val="TextoNormal"/>
      </w:pPr>
    </w:p>
    <w:p w:rsidR="001D6FAE" w:rsidRDefault="001D6FAE" w:rsidP="001D6FAE">
      <w:pPr>
        <w:pStyle w:val="TextoNormal"/>
      </w:pPr>
      <w:r>
        <w:t>Por lo que al presente recurso de inconstitucionalidad se refiere, la referida Sentencia ha declarado la nulidad del apartado 1 del art. 7 de la Ley 10/2012, de 20 de noviembre, en los distintos incisos que prevén para las personas jurídicas, de manera separada, entre otras, las cuotas fijas de 200 € para interponer el recurso contencioso-administrativo abreviado y la de 350 € para interponer el recurso contencioso-administrativo ordinario; y la nulidad, en segundo lugar, de la cuota variable para las personas jurídicas, recogida en el apartado 2 del mismo art. 7 de la Ley recurrida.</w:t>
      </w:r>
    </w:p>
    <w:p w:rsidR="001D6FAE" w:rsidRDefault="001D6FAE" w:rsidP="001D6FAE">
      <w:pPr>
        <w:pStyle w:val="TextoNormal"/>
      </w:pPr>
    </w:p>
    <w:p w:rsidR="001D6FAE" w:rsidRDefault="001D6FAE" w:rsidP="001D6FAE">
      <w:pPr>
        <w:pStyle w:val="TextoNormal"/>
      </w:pPr>
      <w:r>
        <w:t>Respecto de ambos pronunciamientos de nulidad, ha aclarado la citada Sentencia (FJ 15),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anterior 54/2002, de 27 de febrero, FJ 9—; 161/2012, de 20 de septiembre, FJ 7, y 104/2013, de 25 de abril, FJ 4].</w:t>
      </w:r>
    </w:p>
    <w:p w:rsidR="001D6FAE" w:rsidRDefault="001D6FAE" w:rsidP="001D6FAE">
      <w:pPr>
        <w:pStyle w:val="TextoNormal"/>
      </w:pPr>
    </w:p>
    <w:p w:rsidR="001D6FAE" w:rsidRDefault="001D6FAE" w:rsidP="001D6FAE">
      <w:pPr>
        <w:pStyle w:val="TextoNormal"/>
      </w:pPr>
      <w:r>
        <w:t>En particular,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w:t>
      </w:r>
    </w:p>
    <w:p w:rsidR="001D6FAE" w:rsidRDefault="001D6FAE" w:rsidP="001D6FAE">
      <w:pPr>
        <w:pStyle w:val="TextoNormal"/>
      </w:pPr>
    </w:p>
    <w:p w:rsidR="001D6FAE" w:rsidRDefault="001D6FAE" w:rsidP="001D6FAE">
      <w:pPr>
        <w:pStyle w:val="TextoNormal"/>
      </w:pPr>
      <w:r>
        <w:t>En suma, atendiendo al objeto del recurso de inconstitucionalidad, las dos aludidas circunstancias sobrevenidas han dado ya respuesta a la pretensión de la parte recurrente, en cuanto que ni las personas físicas, por mandato del citado Real Decreto-ley 1/2015, ni las personas jurídicas, por la eficacia del referido pronunciamiento constitucional de nulidad, habrán de abonar tasa en los recursos contenciosos-administrativos en aplicación de la Ley que aquí fue impugnada.</w:t>
      </w:r>
    </w:p>
    <w:p w:rsidR="001D6FAE" w:rsidRDefault="001D6FAE" w:rsidP="001D6FAE">
      <w:pPr>
        <w:pStyle w:val="TextoNormal"/>
      </w:pPr>
    </w:p>
    <w:p w:rsidR="001D6FAE" w:rsidRDefault="001D6FAE" w:rsidP="001D6FAE">
      <w:pPr>
        <w:pStyle w:val="TextoNormal"/>
      </w:pPr>
      <w:r w:rsidRPr="001D6FAE">
        <w:rPr>
          <w:rStyle w:val="NumeroAFNegritaCaracter"/>
        </w:rPr>
        <w:t>4</w:t>
      </w:r>
      <w:r>
        <w:t>. Los razonamientos expuestos conducen a concluir que ha desaparecido sobrevenidamente el objeto de este proceso constitucional.</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Declarar la extinción del recurso de inconstitucionalidad núm. 995-2013 por desaparición sobrevenida de su objeto.</w:t>
      </w:r>
    </w:p>
    <w:p w:rsidR="001D6FAE" w:rsidRDefault="001D6FAE" w:rsidP="001D6FAE">
      <w:pPr>
        <w:pStyle w:val="TextoNormal"/>
      </w:pPr>
    </w:p>
    <w:p w:rsidR="001D6FAE" w:rsidRDefault="001D6FAE" w:rsidP="001D6FAE">
      <w:pPr>
        <w:pStyle w:val="TextoNormal"/>
      </w:pPr>
      <w:r>
        <w:t>Madrid, a dos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4" w:name="AUTO_2016_180"/>
      <w:r>
        <w:t>AUTO 180/2016, de 2 de noviembre de 2016</w:t>
      </w:r>
    </w:p>
    <w:bookmarkEnd w:id="154"/>
    <w:p w:rsidR="001D6FAE" w:rsidRDefault="001D6FAE" w:rsidP="001D6FAE">
      <w:pPr>
        <w:pStyle w:val="TtuloResolucin"/>
      </w:pPr>
      <w:r>
        <w:t>Pleno</w:t>
      </w:r>
    </w:p>
    <w:p w:rsidR="001D6FAE" w:rsidRDefault="001D6FAE" w:rsidP="001D6FAE">
      <w:pPr>
        <w:pStyle w:val="TextoNormalCentrado"/>
      </w:pPr>
      <w:r>
        <w:t>ECLI:ES:TC:2016:180A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3941-2016, planteada por el Juzgado de lo Contencioso-Administrativo núm. 1 de Zaragoza en relación con la disposición transitoria cuadragésima primera de la Ley Orgánica 6/1985, de 1 de julio, del Poder Judicial.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xml:space="preserve">. El 6 de julio de 2016 entró en el Registro General de este Tribunal un escrito del Juzgado de lo Contencioso-Administrativo núm. 1 de Zaragoza, al que se acompaña, junto al testimonio del procedimiento abreviado núm. 60-2013, el Auto de 28 de junio de 2016, por el que se acuerda plantear cuestión de inconstitucionalidad respecto a la disposición transitoria 41 de la Ley Orgánica del Poder Judicial (LOPJ), en la redacción dada por el apartado 35 de la Ley Orgánica 8/2012, de 27 de diciembre, de medidas de eficiencia presupuestaria de la Administración de Justicia; a los arts. 2.1 y 3.3 del Real Decreto-ley 20/2012, de 13 de julio, de medidas para garantizar la estabilidad presupuestaria y de fomento de la competitividad; y el art. 3.3 </w:t>
      </w:r>
      <w:r w:rsidRPr="001D6FAE">
        <w:rPr>
          <w:i/>
        </w:rPr>
        <w:t>bis</w:t>
      </w:r>
      <w:r>
        <w:t xml:space="preserve"> del Real Decreto-ley 20/2012, en su versión modificada por la Ley 10/2012, de 20 de noviembre, por posible infracción de la prohibición de retroactividad de las normas restrictivas de derechos individuales que garantiza el art. 9.3 CE.</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 los siguientes:</w:t>
      </w:r>
    </w:p>
    <w:p w:rsidR="001D6FAE" w:rsidRDefault="001D6FAE" w:rsidP="001D6FAE">
      <w:pPr>
        <w:pStyle w:val="TextoNormal"/>
      </w:pPr>
    </w:p>
    <w:p w:rsidR="001D6FAE" w:rsidRDefault="001D6FAE" w:rsidP="001D6FAE">
      <w:pPr>
        <w:pStyle w:val="TextoNormal"/>
      </w:pPr>
      <w:r>
        <w:t>a) Don J.G.G, perteneciente al cuerpo de tramitación procesal de la Administración de Justicia, interpuso recurso contencioso-administrativo en el que suplicaba que se declarara•la nulidad “tanto de la nómina recurrida (de septiembre de 2012) como de las posteriores que se ejecutaron siguiendo lo dispuesto en el Real Decreto-ley 20/2012, condenando a la Administración demandada a rehacer dichos actos y al reintegro de la cantidad de 1741, 67 € dejada de percibir por el demandante, con sus intereses legales, todo ello•con expresa imposición de costas a la Administración demandada”. El recurrente argumenta que “con la reducción de haberes desde el mes de septiembre, para posteriormente abonar la paga extraordinaria de diciembre, aunque de modo reducido, se pretende de una manera burda, crear la ficción de que efectivamente se procede al abono de la paga extra de diciembre y se cumple con el artículo de la Ley Orgánica del Poder Judicial que por jerarquía resulta de necesaria aplicación, cuando en realidad dicha paga ha sido previamente sustraída… Tal actuación de la Administración no queda convalidada por otra parte, con el hecho de que se haya aprobado una reforma de la LOPJ en la que a través de una disposición transitoria se pretende ratificar o convalidar la suspensión de la paga extraordinaria del mes de diciembre. Dicha reforma entró en vigor el 29 de diciembre de 2012, con posterioridad a la materialización de los descuentos, y la misma no modificó el referido art. 519”.</w:t>
      </w:r>
    </w:p>
    <w:p w:rsidR="001D6FAE" w:rsidRDefault="001D6FAE" w:rsidP="001D6FAE">
      <w:pPr>
        <w:pStyle w:val="TextoNormal"/>
      </w:pPr>
    </w:p>
    <w:p w:rsidR="001D6FAE" w:rsidRDefault="001D6FAE" w:rsidP="001D6FAE">
      <w:pPr>
        <w:pStyle w:val="TextoNormal"/>
      </w:pPr>
      <w:r>
        <w:t xml:space="preserve">b) Una vez concluso el procedimiento, y antes de dictar sentencia, el Juzgado Contencioso-Administrativo núm. 1 de Zaragoza dictó providencia de 4 de mayo de 2016, por la que, al amparo de lo previsto en el art. 35.2 de la Ley Orgánica del Tribunal Constitucional (LOTC), acordó oír a las partes y al Ministerio Fiscal por el plazo común de diez días acerca de la posible inconstitucionalidad “en relación con las siguientes normas legales: a) La Disposición Transitoria 41 LOPJ, en la redacción dada por el apartado treinta y cinco de la Ley Orgánica 8/2012, de 27 de diciembre, de Medidas de Eficiencia Presupuestaria de la Administración de Justicia; b) los arts. 2.1 y 3.3 del Real Decreto-Ley 20/2012, de 13 de julio, de medidas para garantizar la estabilidad presupuestaria y de fomento de la competitividad; y c) el art. 3.3 </w:t>
      </w:r>
      <w:r w:rsidRPr="001D6FAE">
        <w:rPr>
          <w:i/>
        </w:rPr>
        <w:t>bis</w:t>
      </w:r>
      <w:r>
        <w:t xml:space="preserve"> del Real Decreto-Ley 20/2012, en su versión modificada por la Ley 10/2012, de 20 de noviembre”. Añade la providencia que “el motivo de la eventual cuestión de inconstitucionalidad se relaciona con la posible infracción de la prohibición de retroactividad de las normas restrictivas• de derechos individuales en relación con el principio de seguridad jurídica (art. 9. 3 CE), del principio de igualdad (art. 14 CE) y de la interdicción de ser privados de bienes y derechos (art. 33 CE). En concreto, las dudas de este Juzgado se concretan en la posibilidad de que las normas precitadas hayan establecido una pérdida de derechos con carácter retroactivo, al haberse materializado el devengo de la totalidad de la paga extra del funcionario recurrente el 1 de diciembre de 2013, habiéndose producido la modificación' de la LOPJ en virtud de la Ley Orgánica 8/2012, de 27 de diciembre”.</w:t>
      </w:r>
    </w:p>
    <w:p w:rsidR="001D6FAE" w:rsidRDefault="001D6FAE" w:rsidP="001D6FAE">
      <w:pPr>
        <w:pStyle w:val="TextoNormal"/>
      </w:pPr>
    </w:p>
    <w:p w:rsidR="001D6FAE" w:rsidRDefault="001D6FAE" w:rsidP="001D6FAE">
      <w:pPr>
        <w:pStyle w:val="TextoNormal"/>
      </w:pPr>
      <w:r>
        <w:t>c) El Fiscal se opuso al planteamiento en escrito de 12 de mayo de 2016. El Letrado de la parte recurrente solicitó, mediante escrito de 19 de mayo, la estimación íntegra del recurso y, subsidiariamente, se mostró favorable al planteamiento de la cuestión. La Letrada del Gobierno de Aragón, en escrito de 20 de mayo, se opuso al planteamiento de la cuestión con el argumento de que “ya se ha procedido al pago de los 44 días devengados, así como de la mitad del resto de la paga extra a principios de este mes de mayo de 2016”. Por otra parte, sostiene que “el Tribunal Constitucional se ha pronunciado ya sobre algunas de las cuestiones planteadas inadmitiendo a trámite la cuestión de inconstitucionalidad, véase el Auto 172/2015, de 20 de octubre”.</w:t>
      </w:r>
    </w:p>
    <w:p w:rsidR="001D6FAE" w:rsidRDefault="001D6FAE" w:rsidP="001D6FAE">
      <w:pPr>
        <w:pStyle w:val="TextoNormal"/>
      </w:pPr>
    </w:p>
    <w:p w:rsidR="001D6FAE" w:rsidRDefault="001D6FAE" w:rsidP="001D6FAE">
      <w:pPr>
        <w:pStyle w:val="TextoNormal"/>
      </w:pPr>
      <w:r>
        <w:t xml:space="preserve">d) El Juzgado Contencioso-Administrativo núm. 1 de Zaragoza dictó el Auto de 28 de junio de 2016, por el que se acuerda plantear cuestión de inconstitucionalidad respecto a la disposición transitoria 41 LOPJ, en la redacción dada por el apartado 35 de la Ley Orgánica 8/2012, de 27 de diciembre, de medidas de eficiencia presupuestaria de la Administración de Justicia; a los arts. 2.1 y 3.3 del Real Decreto-ley 20/2012, de 13 de julio, de medidas para garantizar la estabilidad presupuestaria y de fomento de la competitividad, y el art. 3.3 </w:t>
      </w:r>
      <w:r w:rsidRPr="001D6FAE">
        <w:rPr>
          <w:i/>
        </w:rPr>
        <w:t>bis</w:t>
      </w:r>
      <w:r>
        <w:t xml:space="preserve"> del Real Decreto-ley 20/2012, en su versión modificada por la Ley 10/2012, de 20 de noviembre, por posible infracción de la prohibición de retroactividad de las normas restrictivas de derechos individuales que garantiza el art. 9.3 CE.</w:t>
      </w:r>
    </w:p>
    <w:p w:rsidR="001D6FAE" w:rsidRDefault="001D6FAE" w:rsidP="001D6FAE">
      <w:pPr>
        <w:pStyle w:val="TextoNormal"/>
      </w:pPr>
    </w:p>
    <w:p w:rsidR="001D6FAE" w:rsidRDefault="001D6FAE" w:rsidP="001D6FAE">
      <w:pPr>
        <w:pStyle w:val="TextoNormal"/>
      </w:pPr>
      <w:r w:rsidRPr="001D6FAE">
        <w:rPr>
          <w:rStyle w:val="NumeroAFNegritaCaracter"/>
        </w:rPr>
        <w:t>3</w:t>
      </w:r>
      <w:r>
        <w:t>. Dicho Auto, luego de referirse a los antecedentes y dar cuenta, en los términos que ya hemos reseñado, de la pretensión que el recurrente hace valer en el proceso a quo, se ocupa del juicio de relevancia. Razona que “la declaración de inconstitucionalidad de los preceptos citados en la providencia de planteamiento conllevaría la disconformidad a derecho de la resolución impugnada y, por ende, el reconocimiento del derecho a percibir la integridad de la paga extra junto con los correspondientes intereses”. Reseña, a continuación, que la Letrada del Gobierno de Aragón esgrime, de la manera que ya se ha expuesto más atrás, que se ha satisfecho extraprocesalmente la pretensión. Y argumenta que ello no supone un obstáculo para considerar al precepto relevante por dos razones. La primera es que “no consta que se haya abonado la totalidad de la paga extra a la fecha que se firma esta resolución”, con lo que la Sala pretende poner de relieve que la pretensión abarca a toda la paga extra y no solo a 44 días y, además, que lo relevante es el abono efectivo, no siendo suficiente el mero reconocimiento legal del derecho a obtener el reintegro (cita al efecto las SSTC 172 y 227 de 2015). El segundo motivo es que se pretende “no solo el reconocimiento del derecho a percibir la cantidad correspondiente a la paga extra dejada de percibir, sino también de los intereses que se hayan generado. Y precisamente esta última pretensión seguiría viva aunque se justifique que se ha pagado íntegramente la paga extra”, citando en su apoyo, aparte de jurisprudencia de tribunales ordinarios, la STC 32/1982, de 7 de junio.</w:t>
      </w:r>
    </w:p>
    <w:p w:rsidR="001D6FAE" w:rsidRDefault="001D6FAE" w:rsidP="001D6FAE">
      <w:pPr>
        <w:pStyle w:val="TextoNormal"/>
      </w:pPr>
    </w:p>
    <w:p w:rsidR="001D6FAE" w:rsidRDefault="001D6FAE" w:rsidP="001D6FAE">
      <w:pPr>
        <w:pStyle w:val="TextoNormal"/>
      </w:pPr>
      <w:r>
        <w:t>Expone luego que la duda de constitucionalidad “finalmente se va a circunscribir a la posible contravención del principio de irretroactividad de las disposiciones sancionadoras no favorables (art. 9.3 CE)”.</w:t>
      </w:r>
    </w:p>
    <w:p w:rsidR="001D6FAE" w:rsidRDefault="001D6FAE" w:rsidP="001D6FAE">
      <w:pPr>
        <w:pStyle w:val="TextoNormal"/>
      </w:pPr>
    </w:p>
    <w:p w:rsidR="001D6FAE" w:rsidRDefault="001D6FAE" w:rsidP="001D6FAE">
      <w:pPr>
        <w:pStyle w:val="TextoNormal"/>
      </w:pPr>
      <w:r>
        <w:t>Analiza a continuación el significado de los preceptos cuestionados respecto de los funcionarios públicos en general, haciendo abstracción de la especialidad del personal al servicio de la Administración de Justicia. Trae a colación la jurisprudencia de la Sala Social del Tribunal Supremo acerca de que la paga extra de los trabajadores es salario diferido, de tal modo que se devenga día a día aunque se pague en un momento diferido respecto del día en que se generó. Y sostiene que, a pesar de la regulación especial del devengo de la paga extra en el caso de los funcionarios, la calificación de salario diferido es igualmente aplicable, por lo que concluye que “nos encontramos ante una norma (parcialmente) retroactiva para los funcionarios en general, en cuanto que elimina derechos ya generados a favor de los empleados públicos en relación con el tiempo de prestación de servicios anterior a la entrada en vigor del Real Decreto-Ley [20/2012]”.</w:t>
      </w:r>
    </w:p>
    <w:p w:rsidR="001D6FAE" w:rsidRDefault="001D6FAE" w:rsidP="001D6FAE">
      <w:pPr>
        <w:pStyle w:val="TextoNormal"/>
      </w:pPr>
    </w:p>
    <w:p w:rsidR="001D6FAE" w:rsidRDefault="001D6FAE" w:rsidP="001D6FAE">
      <w:pPr>
        <w:pStyle w:val="TextoNormal"/>
      </w:pPr>
      <w:r>
        <w:t>El problema siguiente es, continúa diciendo el Auto, “si esta retroactividad es compatible con el art. 9 CE. Este Juzgado entiende que podríamos encontrarnos, siguiendo la terminología de la STC 127/1987, ante una suerte de retroactividad auténtica, en cuanto incidiría en derechos económicos (los días en que se han prestado servicios) que no pueden ser desconocidos por el legislador. Más aún, aunque se considerase que nos encontramos ante una suerte de retroactividad impropia, también debería realizarse una ponderación entre la seguridad jurídica y los imperativos de interés general a los que está ordenada la nueva regulación … En nuestro caso nos encontramos ante una regulación que podría afectar al principio de confianza legítima y seguridad jurídica de los empleados públicos que contaban con los ingresos correspondientes a su paga extra hasta el momento de la aprobación de las normas ahora cuestionadas”.</w:t>
      </w:r>
    </w:p>
    <w:p w:rsidR="001D6FAE" w:rsidRDefault="001D6FAE" w:rsidP="001D6FAE">
      <w:pPr>
        <w:pStyle w:val="TextoNormal"/>
      </w:pPr>
    </w:p>
    <w:p w:rsidR="001D6FAE" w:rsidRDefault="001D6FAE" w:rsidP="001D6FAE">
      <w:pPr>
        <w:pStyle w:val="TextoNormal"/>
      </w:pPr>
      <w:r>
        <w:t>Dando un paso adelante, el Auto sostiene que “este planteamiento general —que justificaría la elevación de una cuestión de inconstitucionalidad en el caso de autos— presenta, además, una importante singularidad en el caso de los funcionarios al servicio de la Administración de Justicia, debido a que las disposiciones transcritas pueden ser interpretadas en el sentido de que, hasta que no se aprobó la Disposición transitoria 41 LOPJ, no se habría materializado la privación de la paga extra, a la vista de la remisión realizada en el Real Decreto-Ley [20/2012] a la propia LOPJ y al tenor de su art. 519”, que dice que “los funcionarios tendrán derecho a percibir dos pagas extraordinarias al año por importe, cada una de ellas, de una mensualidad de sueldo y antigüedad y, en su caso, una cantidad proporcional del complemento general del puesto en los términos que se fijen por ley para la Administración de Justicia, que se harán efectivas en los meses de junio y diciembre, siempre que los perceptores estuvieran en servicio activo o con derecho a devengo del sueldo el día primero de los meses indicados”.</w:t>
      </w:r>
    </w:p>
    <w:p w:rsidR="001D6FAE" w:rsidRDefault="001D6FAE" w:rsidP="001D6FAE">
      <w:pPr>
        <w:pStyle w:val="TextoNormal"/>
      </w:pPr>
    </w:p>
    <w:p w:rsidR="001D6FAE" w:rsidRDefault="001D6FAE" w:rsidP="001D6FAE">
      <w:pPr>
        <w:pStyle w:val="TextoNormal"/>
      </w:pPr>
      <w:r>
        <w:t xml:space="preserve">Reconoce, por otro lado, que el ATC 172/2015 inadmitió una cuestión respecto de los mismos preceptos y por motivos idénticos planteada por la Sala de lo Contencioso-Administrativo del Tribunal Supremo. Pero, según arguye, dicha inadmisión fue debida a que la reclamación del pleito </w:t>
      </w:r>
      <w:r w:rsidRPr="001D6FAE">
        <w:rPr>
          <w:i/>
        </w:rPr>
        <w:t>a quo</w:t>
      </w:r>
      <w:r>
        <w:t xml:space="preserve"> derivaba de un funcionario que, aun perteneciendo a un cuerpo nacional de la Administración de Justicia, estaba destinado en el Tribunal Constitucional, donde el régimen retributivo depende de las facultades gubernativas del Pleno de dicho órgano constitucional y no de la Ley Orgánica del Poder Judicial de un modo directo.</w:t>
      </w:r>
    </w:p>
    <w:p w:rsidR="001D6FAE" w:rsidRDefault="001D6FAE" w:rsidP="001D6FAE">
      <w:pPr>
        <w:pStyle w:val="TextoNormal"/>
      </w:pPr>
    </w:p>
    <w:p w:rsidR="001D6FAE" w:rsidRDefault="001D6FAE" w:rsidP="001D6FAE">
      <w:pPr>
        <w:pStyle w:val="TextoNormal"/>
      </w:pPr>
      <w:r>
        <w:t>El Auto, por último, afirma que “aunque se aceptara que el Real Decreto-Ley [20/2012] afectó desde un inicio al art. 519 LOPJ, expresa sus dudas, con cita del Auto del Tribunal Supremo que promovió la cuestión de inconstitucionalidad inadmitida por ATC 172/2015, acerca de si un precepto de la LOPJ podría ser alterado por una norma con rango legal que no tenga la naturaleza de orgánica”.</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20 de septiembre de 2016 la Sección Tercera acordó, a los efectos que determina el art. 37.1 LOTC, oír al Fiscal General del Estado para que, en el plazo de diez días, alegue lo que considere conveniente acerca de la admisibilidad de la presente cuestión de inconstitucionalidad, por si fuera notoriamente infundada y por si hubiera perdido objeto.</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sus alegaciones el día 18 de octubre de 2016 interesando la inadmisión de la cuestión por los motivos que se resumen a continuación.</w:t>
      </w:r>
    </w:p>
    <w:p w:rsidR="001D6FAE" w:rsidRDefault="001D6FAE" w:rsidP="001D6FAE">
      <w:pPr>
        <w:pStyle w:val="TextoNormal"/>
      </w:pPr>
    </w:p>
    <w:p w:rsidR="001D6FAE" w:rsidRDefault="001D6FAE" w:rsidP="001D6FAE">
      <w:pPr>
        <w:pStyle w:val="TextoNormal"/>
      </w:pPr>
      <w:r>
        <w:t>Después de formular algunas consideraciones acerca del juicio de relevancia, la Fiscal General del Estado se ocupa, respectivamente, del eventual carácter notoriamente infundado de la cuestión y de su posible pérdida de objeto.</w:t>
      </w:r>
    </w:p>
    <w:p w:rsidR="001D6FAE" w:rsidRDefault="001D6FAE" w:rsidP="001D6FAE">
      <w:pPr>
        <w:pStyle w:val="TextoNormal"/>
      </w:pPr>
    </w:p>
    <w:p w:rsidR="001D6FAE" w:rsidRDefault="001D6FAE" w:rsidP="001D6FAE">
      <w:pPr>
        <w:pStyle w:val="TextoNormal"/>
      </w:pPr>
      <w:r>
        <w:t>Respecto de lo primero, razona que “el órgano judicial no toma en consideración que el Gobierno de Aragón actuó en cumplimiento de lo preceptuado en el art. 3 del Real Decreto-Ley 20/2012”, que transcribe. Y luego añade que “con esta fórmula se pretendió dar efectividad a la especialidad contenida en el art. 519 LOPJ y fue la seguida en el presente supuesto, en que se procedió a efectuar la reducción salarial contemplada en dicha norma, en las nóminas pendientes de percibir tras la entrada en vigor del Real Decreto-ley, y en el mes de diciembre se abonó la paga extra, con lo que se pretendía dar cumplimiento al artículo de la Ley Orgánica”.</w:t>
      </w:r>
    </w:p>
    <w:p w:rsidR="001D6FAE" w:rsidRDefault="001D6FAE" w:rsidP="001D6FAE">
      <w:pPr>
        <w:pStyle w:val="TextoNormal"/>
      </w:pPr>
    </w:p>
    <w:p w:rsidR="001D6FAE" w:rsidRDefault="001D6FAE" w:rsidP="001D6FAE">
      <w:pPr>
        <w:pStyle w:val="TextoNormal"/>
      </w:pPr>
      <w:r>
        <w:t>Acerca de lo segundo, transcribe in extenso varios fundamentos jurídicos de la STC 134/2016, en la que, como en otras muchas, este Tribunal ha considerado que este tipo de duda de constitucionalidad, consistente en que los preceptos cuestionados incurren en retroactividad auténtica prohibida por el art. 9.3 CE al afectar a la paga extraordinaria de diciembre de 2012 en la parte ya devengada, han perdido objeto si quienes fueron privados de esa retribución han sido oportunamente reintegrados en ella. Y termina puntualizando que “esta doctrina es de aplicación al presente supuesto, debiendo sustituirse las menciones a la legislación autonómica [que allí se hacen] por la de la Ley 1/2016, de 28 de enero, de Presupuestos de la Comunidad Autónoma de Aragón, en su disposición adicional trigésima, que ha supuesto un abono efectivo en estos momentos similar al contemplado en dicha STC 134/2016”.</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xml:space="preserve">. La presente cuestión de inconstitucionalidad se plantea respecto a la disposición Transitoria 41 de la Ley Orgánica del Poder Judicial (LOPJ), en la redacción dada por el apartado 35 de la Ley Orgánica 8/2012, de 27 de diciembre, de medidas de eficiencia presupuestaria de la Administración de Justicia; a los arts. 2.1 y 3.3 del Real Decreto-ley 20/2012, de 13 de julio, de medidas para garantizar la estabilidad presupuestaria y de fomento de la competitividad; y el art. 3.3 </w:t>
      </w:r>
      <w:r w:rsidRPr="001D6FAE">
        <w:rPr>
          <w:i/>
        </w:rPr>
        <w:t>bis</w:t>
      </w:r>
      <w:r>
        <w:t xml:space="preserve"> del Real Decreto-ley 20/2012, en su versión modificada por la Ley 10/2012, de 20 de noviembre.</w:t>
      </w:r>
    </w:p>
    <w:p w:rsidR="001D6FAE" w:rsidRDefault="001D6FAE" w:rsidP="001D6FAE">
      <w:pPr>
        <w:pStyle w:val="TextoNormal"/>
      </w:pPr>
    </w:p>
    <w:p w:rsidR="001D6FAE" w:rsidRDefault="001D6FAE" w:rsidP="001D6FAE">
      <w:pPr>
        <w:pStyle w:val="TextoNormal"/>
      </w:pPr>
      <w:r>
        <w:t>El órgano judicial, como principal duda de constitucionalidad, expone que estos preceptos legales disponen la privación de la paga extraordinaria de 2012 respecto del personal de la Administración de Justicia a que se refiere el art 31.3 de la Ley 2/2012, de 29 de junio, de presupuestos generales del Estado para el año 2012, cuando ésta ya se había devengado por completo, con lo que infringen la prohibición de retroactividad de las normas restrictivas de derechos individuales que garantiza el art. 9.3 CE. La clave de este planteamiento es que la supresión de la paga extra de diciembre de 2012 solo adquiere real eficacia con la aprobación de la Ley Orgánica 8/2012, de 27 de diciembre, que introduce un nueva disposición transitoria 41 en la Ley Orgánica del Poder Judicial. Como dicha norma entró en vigor el día 29 de diciembre de 2012, el Juzgado sostiene que incurre en retroactividad auténtica respecto de la totalidad de la paga extra de diciembre de 2012 en la medida que el periodo durante el que ésta se devenga había concluido previamente el 1 de diciembre de 2012.</w:t>
      </w:r>
    </w:p>
    <w:p w:rsidR="001D6FAE" w:rsidRDefault="001D6FAE" w:rsidP="001D6FAE">
      <w:pPr>
        <w:pStyle w:val="TextoNormal"/>
      </w:pPr>
    </w:p>
    <w:p w:rsidR="001D6FAE" w:rsidRDefault="001D6FAE" w:rsidP="001D6FAE">
      <w:pPr>
        <w:pStyle w:val="TextoNormal"/>
      </w:pPr>
      <w:r>
        <w:t xml:space="preserve">La segunda duda de constitucionalidad, que también pone en relación los preceptos legales indicados con la prohibición de retroactividad de las normas restrictivas de derechos individuales </w:t>
      </w:r>
      <w:r w:rsidRPr="001D6FAE">
        <w:rPr>
          <w:i/>
        </w:rPr>
        <w:t>ex</w:t>
      </w:r>
      <w:r>
        <w:t xml:space="preserve"> art. 9.3 CE, es la que ya viene siendo habitual en las cuestiones promovidas por considerar retroactiva la supresión de la paga extra de 2012. Esto es, que dicha retribución, al devengarse día a día si bien que su pago se difiere al término del semestre, ya se había consumado desde el primero de junio hasta el 14 de julio que entró en vigor el art. 2 y 3 del Real Decreto-ley 20/2012.</w:t>
      </w:r>
    </w:p>
    <w:p w:rsidR="001D6FAE" w:rsidRDefault="001D6FAE" w:rsidP="001D6FAE">
      <w:pPr>
        <w:pStyle w:val="TextoNormal"/>
      </w:pPr>
    </w:p>
    <w:p w:rsidR="001D6FAE" w:rsidRDefault="001D6FAE" w:rsidP="001D6FAE">
      <w:pPr>
        <w:pStyle w:val="TextoNormal"/>
      </w:pPr>
      <w:r>
        <w:t>La Fiscal General del Estado, con los argumentos expuestos en los antecedentes, señala que es notoriamente infundada la primera duda y que la segunda ha perdido objeto.</w:t>
      </w:r>
    </w:p>
    <w:p w:rsidR="001D6FAE" w:rsidRDefault="001D6FAE" w:rsidP="001D6FAE">
      <w:pPr>
        <w:pStyle w:val="TextoNormal"/>
      </w:pPr>
    </w:p>
    <w:p w:rsidR="001D6FAE" w:rsidRDefault="001D6FAE" w:rsidP="001D6FAE">
      <w:pPr>
        <w:pStyle w:val="TextoNormal"/>
      </w:pPr>
      <w:r w:rsidRPr="001D6FAE">
        <w:rPr>
          <w:rStyle w:val="NumeroAFNegritaCaracter"/>
        </w:rPr>
        <w:t>2</w:t>
      </w:r>
      <w:r>
        <w:t>. De acuerdo con el art. 37.1 LOTC, este Tribunal puede rechazar en trámite de admisión y mediante Auto, sin otra audiencia que la del Fiscal General del Estado, la cuestión de inconstitucionalidad cuando fuere notoriamente infundada.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001D6FAE" w:rsidRDefault="001D6FAE" w:rsidP="001D6FAE">
      <w:pPr>
        <w:pStyle w:val="TextoNormal"/>
      </w:pPr>
    </w:p>
    <w:p w:rsidR="001D6FAE" w:rsidRDefault="001D6FAE" w:rsidP="001D6FAE">
      <w:pPr>
        <w:pStyle w:val="TextoNormal"/>
      </w:pPr>
      <w:r w:rsidRPr="001D6FAE">
        <w:rPr>
          <w:rStyle w:val="NumeroAFNegritaCaracter"/>
        </w:rPr>
        <w:t>3</w:t>
      </w:r>
      <w:r>
        <w:t>. La primera duda de constitucionalidad parte, como premisa de la argumentación que la sostiene, de que la supresión de la paga extraordinaria de diciembre de 2012 solo adquiere real eficacia respecto del personal de la Administración de Justicia con la introducción de la disposición transitoria 41 en la Ley Orgánica del Poder Judicial mediante la Ley Orgánica 8/2012, de 27 de diciembre.</w:t>
      </w:r>
    </w:p>
    <w:p w:rsidR="001D6FAE" w:rsidRDefault="001D6FAE" w:rsidP="001D6FAE">
      <w:pPr>
        <w:pStyle w:val="TextoNormal"/>
      </w:pPr>
    </w:p>
    <w:p w:rsidR="001D6FAE" w:rsidRDefault="001D6FAE" w:rsidP="001D6FAE">
      <w:pPr>
        <w:pStyle w:val="TextoNormal"/>
      </w:pPr>
      <w:r>
        <w:t xml:space="preserve">El juicio de constitucionalidad que se reclama de este Tribunal y que versa sobre si los preceptos legales cuestionados incurren en retroactividad prohibida por el art. 9.3 CE no se puede compartir, pues la supresión de la paga extra de diciembre de 2012 respecto del personal al servicio de la Administración de Justicia deriva directamente y con plena eficacia del juego combinado de los arts. 2.1 y 3.3 (o 3.3 </w:t>
      </w:r>
      <w:r w:rsidRPr="001D6FAE">
        <w:rPr>
          <w:i/>
        </w:rPr>
        <w:t>bis</w:t>
      </w:r>
      <w:r>
        <w:t xml:space="preserve"> en lo que hace a los últimos días de noviembre) del Real Decreto-ley 20/2012. Las razones son las siguientes:</w:t>
      </w:r>
    </w:p>
    <w:p w:rsidR="001D6FAE" w:rsidRDefault="001D6FAE" w:rsidP="001D6FAE">
      <w:pPr>
        <w:pStyle w:val="TextoNormal"/>
      </w:pPr>
    </w:p>
    <w:p w:rsidR="001D6FAE" w:rsidRDefault="001D6FAE" w:rsidP="001D6FAE">
      <w:pPr>
        <w:pStyle w:val="TextoNormal"/>
      </w:pPr>
      <w:r>
        <w:t xml:space="preserve">a) La supresión de la paga extra de diciembre de 2012 que disponen los arts. 2.1 y 3.3 (o 3.3 </w:t>
      </w:r>
      <w:r w:rsidRPr="001D6FAE">
        <w:rPr>
          <w:i/>
        </w:rPr>
        <w:t>bis</w:t>
      </w:r>
      <w:r>
        <w:t xml:space="preserve"> en lo que hace a los últimos días de noviembre) del Real Decreto-ley 20/2012 no constituye una modificación de la regulación de la estructura retributiva del personal al servicio de la Administración de Justicia, que sigue siendo la regulada en los arts. 515 y ss LOPJ. En particular, no se altera la regla de que este personal recibirá dos pagas extraordinarias anuales, integradas por una mensualidad de sueldo, antigüedad y una proporción del complemento asignado al puesto de trabajo, que se pagarán en junio y diciembre.</w:t>
      </w:r>
    </w:p>
    <w:p w:rsidR="001D6FAE" w:rsidRDefault="001D6FAE" w:rsidP="001D6FAE">
      <w:pPr>
        <w:pStyle w:val="TextoNormal"/>
      </w:pPr>
    </w:p>
    <w:p w:rsidR="001D6FAE" w:rsidRDefault="001D6FAE" w:rsidP="001D6FAE">
      <w:pPr>
        <w:pStyle w:val="TextoNormal"/>
      </w:pPr>
      <w:r>
        <w:t xml:space="preserve">En realidad, los arts. 2.1 y 3.3 (o 3.3 </w:t>
      </w:r>
      <w:r w:rsidRPr="001D6FAE">
        <w:rPr>
          <w:i/>
        </w:rPr>
        <w:t>bis</w:t>
      </w:r>
      <w:r>
        <w:t xml:space="preserve"> en lo que hace a los últimos días de noviembre) del Real Decreto-ley 20/2012 no regulan el régimen retributivo de los funcionarios sino una medida de contención del gasto público, como lo acredita su carácter coyuntural y su afectación a todo tipo de personal de las Administraciones públicas. En otras palabras, dejan intacto el régimen retributivo y en este sentido no establecen que estos funcionarios solo tengan derecho a una paga extra al año. Mantienen el derecho de estos funcionario a dos pagas extra al año, una de ellas en diciembre, solo que eliminan, en aras a contener el gasto público, la correspondiente a diciembre de 2012.</w:t>
      </w:r>
    </w:p>
    <w:p w:rsidR="001D6FAE" w:rsidRDefault="001D6FAE" w:rsidP="001D6FAE">
      <w:pPr>
        <w:pStyle w:val="TextoNormal"/>
      </w:pPr>
    </w:p>
    <w:p w:rsidR="001D6FAE" w:rsidRDefault="001D6FAE" w:rsidP="001D6FAE">
      <w:pPr>
        <w:pStyle w:val="TextoNormal"/>
      </w:pPr>
      <w:r>
        <w:t xml:space="preserve">En conclusión, los arts. 2.1 y 3.3 (o 3.3 </w:t>
      </w:r>
      <w:r w:rsidRPr="001D6FAE">
        <w:rPr>
          <w:i/>
        </w:rPr>
        <w:t>bis</w:t>
      </w:r>
      <w:r>
        <w:t xml:space="preserve"> en lo que hace a los últimos días de noviembre) del Real Decreto-ley 20/2012 no concurren a establecer el régimen retributivo del personal al servicio de la Administración de Justicia, que es lo que podría considerarse reservado a la Ley Orgánica del Poder Judicial. Por este motivo, estos preceptos son idóneos, y lo son por sí mismos y sin necesidad de que sean complementados por una disposición que se incluya en la Ley Orgánica del Poder Judicial, para imponer esta reducción puntual de las remuneraciones del personal al servicio de la Administración de Justicia.</w:t>
      </w:r>
    </w:p>
    <w:p w:rsidR="001D6FAE" w:rsidRDefault="001D6FAE" w:rsidP="001D6FAE">
      <w:pPr>
        <w:pStyle w:val="TextoNormal"/>
      </w:pPr>
    </w:p>
    <w:p w:rsidR="001D6FAE" w:rsidRDefault="001D6FAE" w:rsidP="001D6FAE">
      <w:pPr>
        <w:pStyle w:val="TextoNormal"/>
      </w:pPr>
      <w:r>
        <w:t>b) Este planteamiento aparece corroborado por la regulación contenida en el Real Decreto-ley 20/2012 en cuanto a la supresión de la paga extra de diciembre de 2012 a los miembros de la carrera judicial y fiscal. Esta supresión resulta del juego combinado del art. 2.1 y 3.1 (o 3.3 en lo que hace a los últimos días de noviembre, por la reforma incorporada por la Ley 10/2012) del Real Decreto-ley 20/2012. En efecto, estos preceptos disponen para los funcionarios públicos integrantes de la carrera judicial y fiscal la misma reducción retributiva que afecta a la paga extra de diciembre de 2012. Sin embargo, en ningún momento se ha planteado que estos preceptos necesiten ser complementados por una disposición que se incluya en la Ley Orgánica del Poder Judicial. La razón es que, como venimos diciendo, estos preceptos no alteran el régimen retributivo de jueces y fiscales, que sigue intacto, sino que se limitan a imponer una reducción coyuntural de la cuantía de la retribución. Solo la regulación del régimen retributivo estaría reservada a la Ley Orgánica del Poder Judicial, no así la posibilidad de reducir coyunturalmente la cuantía de la retribución.</w:t>
      </w:r>
    </w:p>
    <w:p w:rsidR="001D6FAE" w:rsidRDefault="001D6FAE" w:rsidP="001D6FAE">
      <w:pPr>
        <w:pStyle w:val="TextoNormal"/>
      </w:pPr>
    </w:p>
    <w:p w:rsidR="001D6FAE" w:rsidRDefault="001D6FAE" w:rsidP="001D6FAE">
      <w:pPr>
        <w:pStyle w:val="TextoNormal"/>
      </w:pPr>
      <w:r>
        <w:t>En otras palabras, si para la plena eficacia de la reducción de la cuantía de la retribución que venimos examinando fuera necesario que se adoptase una disposición en la Ley Orgánica del Poder Judicial lo sería, no solo respecto del personal al servicio de la Administración de Justicia, sino con mucho más motivo en lo que atiende a jueces y fiscales, y sin embargo no hay tal norma en la Ley Orgánica del Poder Judicial respecto de estos últimos. Ello corrobora que no es necesaria tal intervención de la Ley Orgánica del Poder Judicial y, por tanto, que la regulación del Real Decreto-ley 20/2012 es plenamente eficaz por sí misma.</w:t>
      </w:r>
    </w:p>
    <w:p w:rsidR="001D6FAE" w:rsidRDefault="001D6FAE" w:rsidP="001D6FAE">
      <w:pPr>
        <w:pStyle w:val="TextoNormal"/>
      </w:pPr>
    </w:p>
    <w:p w:rsidR="001D6FAE" w:rsidRDefault="001D6FAE" w:rsidP="001D6FAE">
      <w:pPr>
        <w:pStyle w:val="TextoNormal"/>
      </w:pPr>
      <w:r>
        <w:t>c) Precisando aún más lo dicho anteriormente, la supresión de la paga extra de diciembre de 2012 viene impuesta al personal al servicio de la Administración de Justicia con eficacia plena por el art. 2.1 del Real Decreto-ley 20/2012, en tanto que, de un lado, la medida allí establecida se proyecta sobre “el personal del sector público definido en el art. 22.Uno de la Ley 2/2012” y, de otro, el art. 31.3 de esta última Ley, al definir las retribuciones de los miembros del cuerpo de Secretarios Judiciales y de los cuerpos al servicio de la Administración de Justicia, afirma hacerlo de acuerdo con el art. 22 de la Ley 2/2012.</w:t>
      </w:r>
    </w:p>
    <w:p w:rsidR="001D6FAE" w:rsidRDefault="001D6FAE" w:rsidP="001D6FAE">
      <w:pPr>
        <w:pStyle w:val="TextoNormal"/>
      </w:pPr>
    </w:p>
    <w:p w:rsidR="001D6FAE" w:rsidRDefault="001D6FAE" w:rsidP="001D6FAE">
      <w:pPr>
        <w:pStyle w:val="TextoNormal"/>
      </w:pPr>
      <w:r>
        <w:t xml:space="preserve">El contenido normativo del art. 3.3 (y el art. 3.3 </w:t>
      </w:r>
      <w:r w:rsidRPr="001D6FAE">
        <w:rPr>
          <w:i/>
        </w:rPr>
        <w:t>bis</w:t>
      </w:r>
      <w:r>
        <w:t xml:space="preserve"> en la redacción dada por la Ley 10/2012) se limita a determinar cómo se hará esa supresión.</w:t>
      </w:r>
    </w:p>
    <w:p w:rsidR="001D6FAE" w:rsidRDefault="001D6FAE" w:rsidP="001D6FAE">
      <w:pPr>
        <w:pStyle w:val="TextoNormal"/>
      </w:pPr>
    </w:p>
    <w:p w:rsidR="001D6FAE" w:rsidRDefault="001D6FAE" w:rsidP="001D6FAE">
      <w:pPr>
        <w:pStyle w:val="TextoNormal"/>
      </w:pPr>
      <w:r>
        <w:t xml:space="preserve">d) No obsta a este planteamiento que el art. 3.3 (y el art. 3.3 </w:t>
      </w:r>
      <w:r w:rsidRPr="001D6FAE">
        <w:rPr>
          <w:i/>
        </w:rPr>
        <w:t>bis</w:t>
      </w:r>
      <w:r>
        <w:t xml:space="preserve"> en la redacción dada por la Ley 10/2012) del Real Decreto-ley 20/2012 afirmen que “ la aplicación de lo previsto en el art 2 de este Real Decreto-ley se llevará a cabo, de acuerdo con lo previsto en la Ley Orgánica del Poder Judicial, respecto de los conceptos de sueldo y trienios”, minorando la cuantía anual por dichos conceptos del modo que allí se indica y prorrateando dicha minoración entre las mensualidades ordinarias y extraordinarias pendientes aún de percibir a la entrada en vigor del Real Decreto-ley.</w:t>
      </w:r>
    </w:p>
    <w:p w:rsidR="001D6FAE" w:rsidRDefault="001D6FAE" w:rsidP="001D6FAE">
      <w:pPr>
        <w:pStyle w:val="TextoNormal"/>
      </w:pPr>
    </w:p>
    <w:p w:rsidR="001D6FAE" w:rsidRDefault="001D6FAE" w:rsidP="001D6FAE">
      <w:pPr>
        <w:pStyle w:val="TextoNormal"/>
      </w:pPr>
      <w:r>
        <w:t>En realidad, la cláusula “de acuerdo con lo previsto en la Ley Orgánica del Poder Judicial” no condiciona la supresión de la paga extra de diciembre de 2012, que como hemos razonado viene impuesta con plena eficacia por el art. 2.1 del Real Decreto-ley 20/2012. Lo que condiciona es cómo se llevará a cabo respecto de los conceptos de sueldo y trienios. Lo que hacen estos preceptos al incluir esta cláusula es reconocer que la supresión de la paga extra de diciembre de 2012 debe llevarse a cabo teniendo en cuenta la regulación que la Ley Orgánica del Poder Judicial hace de las retribuciones básicas del personal al servicio de la Administración de Justicia, y en particular del sueldo y los trienios (designados por el art. 519 LOPJ con la expresión “antigüedad”), en la medida que estos conceptos son los que integran la paga extraordinaria.</w:t>
      </w:r>
    </w:p>
    <w:p w:rsidR="001D6FAE" w:rsidRDefault="001D6FAE" w:rsidP="001D6FAE">
      <w:pPr>
        <w:pStyle w:val="TextoNormal"/>
      </w:pPr>
    </w:p>
    <w:p w:rsidR="001D6FAE" w:rsidRDefault="001D6FAE" w:rsidP="001D6FAE">
      <w:pPr>
        <w:pStyle w:val="TextoNormal"/>
      </w:pPr>
      <w:r>
        <w:t xml:space="preserve">Dicha cláusula no condiciona ni siquiera en qué cuantía se minorarán tales conceptos retributivos, pues este aspecto se conecta con la medida de la reducción retributiva y no con la definición del régimen retributivo en general. Por ello, la cuantía de la minoración de esos conceptos deriva con eficacia plena del que fija el art. 3.3 (y el art. 3.3 </w:t>
      </w:r>
      <w:r w:rsidRPr="001D6FAE">
        <w:rPr>
          <w:i/>
        </w:rPr>
        <w:t>bis</w:t>
      </w:r>
      <w:r>
        <w:t xml:space="preserve"> en la redacción dada por la Ley 10/2012) del Real Decreto-ley 20/2012. Y lo mismo ocurre con la modalidad de aplicación de la reducción retributiva, esto es, la opción por prorratearla a lo largo de las mensualidades ordinarias y extraordinarias pendientes aún de percibir a la entrada en vigor del Real Decreto-ley.</w:t>
      </w:r>
    </w:p>
    <w:p w:rsidR="001D6FAE" w:rsidRDefault="001D6FAE" w:rsidP="001D6FAE">
      <w:pPr>
        <w:pStyle w:val="TextoNormal"/>
      </w:pPr>
    </w:p>
    <w:p w:rsidR="001D6FAE" w:rsidRDefault="001D6FAE" w:rsidP="001D6FAE">
      <w:pPr>
        <w:pStyle w:val="TextoNormal"/>
      </w:pPr>
      <w:r>
        <w:t>En fin, por las razones antedichas, no cabe compartir el razonamiento en que se sostiene la primera duda de constitucionalidad y, faltando la premisa en que se apoya, procede su rechazo en este momento procesal por notoriamente infundada, en el sentido limitado que la doctrina constitucional atribuye a este concepto (por todos, AATC 37/2015, de 17 de febrero, FJ 2, y 112/2015, de 23 de junio, FJ 2).</w:t>
      </w:r>
    </w:p>
    <w:p w:rsidR="001D6FAE" w:rsidRDefault="001D6FAE" w:rsidP="001D6FAE">
      <w:pPr>
        <w:pStyle w:val="TextoNormal"/>
      </w:pPr>
    </w:p>
    <w:p w:rsidR="001D6FAE" w:rsidRDefault="001D6FAE" w:rsidP="001D6FAE">
      <w:pPr>
        <w:pStyle w:val="TextoNormal"/>
      </w:pPr>
      <w:r w:rsidRPr="001D6FAE">
        <w:rPr>
          <w:rStyle w:val="NumeroAFNegritaCaracter"/>
        </w:rPr>
        <w:t>4</w:t>
      </w:r>
      <w:r>
        <w:t>. La segunda duda de constitucionalidad consiste en que los preceptos cuestionados incurren en retroactividad auténtica prohibida por el art. 9.3 CE al afectar a la paga extraordinaria de diciembre de 2012 en la parte ya devengada. Adviértase que dicha retribución, al devengarse día a día si bien que su pago se difiere al término del semestre, ya se había consumado desde el primero de junio hasta el 14 de julio, momento en que entraron en vigor los arts. 2 y 3 del Real Decreto-ley 20/2012.</w:t>
      </w:r>
    </w:p>
    <w:p w:rsidR="001D6FAE" w:rsidRDefault="001D6FAE" w:rsidP="001D6FAE">
      <w:pPr>
        <w:pStyle w:val="TextoNormal"/>
      </w:pPr>
    </w:p>
    <w:p w:rsidR="001D6FAE" w:rsidRDefault="001D6FAE" w:rsidP="001D6FAE">
      <w:pPr>
        <w:pStyle w:val="TextoNormal"/>
      </w:pPr>
      <w:r>
        <w:t>Esta duda de constitucionalidad se ha planteado muy reiteradamente ante este Tribunal, tanto respecto de funcionarios públicos como respecto de trabajadores del sector público con vínculo laboral. Se resolvió por primera vez en la STC 83/2015, de 30 de abril, en la que se estableció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1D6FAE" w:rsidRDefault="001D6FAE" w:rsidP="001D6FAE">
      <w:pPr>
        <w:pStyle w:val="TextoNormal"/>
      </w:pPr>
    </w:p>
    <w:p w:rsidR="001D6FAE" w:rsidRDefault="001D6FAE" w:rsidP="001D6FAE">
      <w:pPr>
        <w:pStyle w:val="TextoNormal"/>
      </w:pPr>
      <w:r>
        <w:t>Este criterio se ha aplicado a todos los demás supuestos que suscitaban esta duda de constitucionalidad, entre otras en las SSTC 174/2015, de 20 de julio; 210/2015, de 2 de noviembre. Y en el mismo sentido el Tribunal ha aprobado muchos Autos como el ATC 173/2015, de 20 de octubre, o recientemente el ATC 143/2016, de 19 de julio. Este concreto Auto, que enjuicia un supuesto muy similar al presente, concluye que “de este modo, el objeto de la presente cuestión inconstitucionalidad ha desaparecido teniendo en cuenta los términos en los que la duda se plantea, lo que ha de determinar, en este momento procesal, su inadmisión”.</w:t>
      </w:r>
    </w:p>
    <w:p w:rsidR="001D6FAE" w:rsidRDefault="001D6FAE" w:rsidP="001D6FAE">
      <w:pPr>
        <w:pStyle w:val="TextoNormal"/>
      </w:pPr>
    </w:p>
    <w:p w:rsidR="001D6FAE" w:rsidRDefault="001D6FAE" w:rsidP="001D6FAE">
      <w:pPr>
        <w:pStyle w:val="TextoNormal"/>
      </w:pPr>
      <w:r>
        <w:t>La aplicación de este criterio al caso concreto requiere considerar que el derecho a percibir la parte correspondiente de la paga extra de diciembre de 2012 que ya estaba devengada a la entrada en vigor del Real Decreto-ley 20/2012 ha sido reconocido, respecto del personal del sector público de la Comunidad Autónoma de Aragón (donde se integra el recurrente), por el Gobierno de Aragón en la Ley 1/2016, de 28 de enero, de presupuestos de la Comunidad Autónoma de Aragón para el ejercicio 2016, concretamente en su disposición adicional trigésima.</w:t>
      </w:r>
    </w:p>
    <w:p w:rsidR="001D6FAE" w:rsidRDefault="001D6FAE" w:rsidP="001D6FAE">
      <w:pPr>
        <w:pStyle w:val="TextoNormal"/>
      </w:pPr>
    </w:p>
    <w:p w:rsidR="001D6FAE" w:rsidRDefault="001D6FAE" w:rsidP="001D6FAE">
      <w:pPr>
        <w:pStyle w:val="TextoNormal"/>
      </w:pPr>
      <w:r>
        <w:t xml:space="preserve">Consta, por otra parte, que la Letrada del Gobierno de Aragón, en el escrito de 20 de mayo de 2016 por el que evacua el trámite de audiencia </w:t>
      </w:r>
      <w:r w:rsidRPr="001D6FAE">
        <w:rPr>
          <w:i/>
        </w:rPr>
        <w:t>ex</w:t>
      </w:r>
      <w:r>
        <w:t xml:space="preserve"> art. 35.2 de la Ley Orgánica del Tribunal Constitucional, se opuso al planteamiento de la cuestión con el argumento de que “ya se ha procedido al pago de los 44 días devengados, así como de la mitad del resto de la paga extra a principios de este mes de mayo de 2016”.</w:t>
      </w:r>
    </w:p>
    <w:p w:rsidR="001D6FAE" w:rsidRDefault="001D6FAE" w:rsidP="001D6FAE">
      <w:pPr>
        <w:pStyle w:val="TextoNormal"/>
      </w:pPr>
    </w:p>
    <w:p w:rsidR="001D6FAE" w:rsidRDefault="001D6FAE" w:rsidP="001D6FAE">
      <w:pPr>
        <w:pStyle w:val="TextoNormal"/>
      </w:pPr>
      <w:r>
        <w:t>Esto significa que, como también ocurría en el ATC 143/2016, el pago de la parte de la paga extraordinaria de diciembre de 2012 devengada a la entrada en vigor del Real Decreto-ley 20/2012 ya se había producido (mayo de 2016) al tiempo en que el Juzgado adoptó el Auto de planteamiento (28 de junio 2016). Por ello, y en los mismos términos que ha utilizado dicho ATC 143/2016, cabe afirmar, respecto de esta segunda duda de constitucionalidad, que “el objeto de la presente cuestión inconstitucionalidad ha desaparecido teniendo en cuenta los términos en los que la duda se plantea, lo que ha de determinar, en este momento procesal, su inadmisión”.</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dos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5" w:name="AUTO_2016_181"/>
      <w:r>
        <w:t>AUTO 181/2016, de 4 de noviembre de 2016</w:t>
      </w:r>
    </w:p>
    <w:bookmarkEnd w:id="155"/>
    <w:p w:rsidR="001D6FAE" w:rsidRDefault="001D6FAE" w:rsidP="001D6FAE">
      <w:pPr>
        <w:pStyle w:val="TtuloResolucin"/>
      </w:pPr>
      <w:r>
        <w:t>Sección Tercera</w:t>
      </w:r>
    </w:p>
    <w:p w:rsidR="001D6FAE" w:rsidRDefault="001D6FAE" w:rsidP="001D6FAE">
      <w:pPr>
        <w:pStyle w:val="TextoNormalCentrado"/>
      </w:pPr>
      <w:r>
        <w:t>ECLI:ES:TC:2016:181A</w:t>
      </w:r>
    </w:p>
    <w:p w:rsidR="001D6FAE" w:rsidRDefault="001D6FAE" w:rsidP="001D6FAE">
      <w:pPr>
        <w:pStyle w:val="TextoNormalCentrado"/>
      </w:pPr>
    </w:p>
    <w:p w:rsidR="001D6FAE" w:rsidRDefault="001D6FAE" w:rsidP="001D6FAE">
      <w:pPr>
        <w:pStyle w:val="SntesisDescriptiva"/>
      </w:pPr>
      <w:r>
        <w:t>Excms. Srs. doña Adela Asua Batarrita, don Juan José González Rivas y don Pedro José González-Trevijano Sánchez.</w:t>
      </w:r>
    </w:p>
    <w:p w:rsidR="001D6FAE" w:rsidRDefault="001D6FAE" w:rsidP="001D6FAE">
      <w:pPr>
        <w:pStyle w:val="SntesisDescriptiva"/>
      </w:pPr>
    </w:p>
    <w:p w:rsidR="001D6FAE" w:rsidRDefault="001D6FAE" w:rsidP="001D6FAE">
      <w:pPr>
        <w:pStyle w:val="SntesisDescriptiva"/>
      </w:pPr>
      <w:r>
        <w:t>Estima el recurso de súplica del Ministerio Fiscal sobre inadmisión del recurso de amparo 5299-2015, promovido por doña Paulina Goicoechea Errazquin y otras cuatro personas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23 de septiembre de 2015, don Javier Cuevas Rivas, Procurador de los Tribunales y de doña Paulina, don Pedro, doña Victoria, doña María Josefa y doña María Felisa Goicoechea Errazquin promovió, en nombre de los citados, recurso de amparo contra la Sentencia de la Sección Quinta de la Sala de lo Contencioso-Administrativo de la Audiencia Nacional, de 24 de junio de 2015 (recurso 53-2014), que desestimó el recurso contencioso-administrativo interpuesto contra la resolución del Ministerio del Interior, de 5 de diciembre de 2013, que, a su vez, desestimó el recurso de reposición interpuesto contra la resolución de 13 de junio del citado año, en cuya virtud se denegó la indemnización solicitada con base en la Ley 29/2011, de 22 de septiembre, de reconocimiento y protección integral a las víctimas del terrorismo.</w:t>
      </w:r>
    </w:p>
    <w:p w:rsidR="001D6FAE" w:rsidRDefault="001D6FAE" w:rsidP="001D6FAE">
      <w:pPr>
        <w:pStyle w:val="TextoNormal"/>
      </w:pPr>
    </w:p>
    <w:p w:rsidR="001D6FAE" w:rsidRDefault="001D6FAE" w:rsidP="001D6FAE">
      <w:pPr>
        <w:pStyle w:val="TextoNormal"/>
      </w:pPr>
      <w:r w:rsidRPr="001D6FAE">
        <w:rPr>
          <w:rStyle w:val="NumeroAFNegritaCaracter"/>
        </w:rPr>
        <w:t>2</w:t>
      </w:r>
      <w:r>
        <w:t>. La Sección Tercera, Sala Segunda de este Tribunal, dictó providencia el 26 de julio de 2016 con el siguiente tenor: “La Sección ha examinado el recurso presentado y ha acordado no admitirlo a trámite con arreglo a lo previsto en el art. 50.l a) LOTC, en relación con su art. 44.1 a), toda vez que el recurrente, que ha articulado su recurso de amparo por la vía del citado artículo 44 LOTC, no ha agotado debidamente los medios de impugnación dentro de la vía judicial (no interposición del incidente de nulidad de actuaciones previsto en el art. 241.1 LOPJ)”.</w:t>
      </w:r>
    </w:p>
    <w:p w:rsidR="001D6FAE" w:rsidRDefault="001D6FAE" w:rsidP="001D6FAE">
      <w:pPr>
        <w:pStyle w:val="TextoNormal"/>
      </w:pPr>
    </w:p>
    <w:p w:rsidR="001D6FAE" w:rsidRDefault="001D6FAE" w:rsidP="001D6FAE">
      <w:pPr>
        <w:pStyle w:val="TextoNormal"/>
      </w:pPr>
      <w:r w:rsidRPr="001D6FAE">
        <w:rPr>
          <w:rStyle w:val="NumeroAFNegritaCaracter"/>
        </w:rPr>
        <w:t>3</w:t>
      </w:r>
      <w:r>
        <w:t>. Contra esta decisión ha interpuesto el Ministerio Fiscal recurso de súplica, mediante escrito presentado en el Registro General de este Tribunal con fecha 19 de septiembre de 2016, el cual se fundamenta, en síntesis, en que la demanda del presente recurso de amparo alega la vulneración del derecho a la presunción de inocencia (art. 24.2 CE), causada en origen en la vía administrativa cuando se denegó lo pedido por las actoras con arreglo a los informes policiales disponibles. Añade que la citada lesión fue denunciada ante la Sala de lo Contencioso-Administrativo que conoció del recurso planteado contra la resolución ministerial que resultaba adversa. Prosigue diciendo que otros recursos de amparo de contenido similar e idéntico agotamiento de la vía judicial no han sido inadmitidos a trámite por este Tribunal por la causa declarada en este caso, sino por la “manifiesta inexistencia de la vulneración denunciada”.</w:t>
      </w:r>
    </w:p>
    <w:p w:rsidR="001D6FAE" w:rsidRDefault="001D6FAE" w:rsidP="001D6FAE">
      <w:pPr>
        <w:pStyle w:val="TextoNormal"/>
      </w:pPr>
    </w:p>
    <w:p w:rsidR="001D6FAE" w:rsidRDefault="001D6FAE" w:rsidP="001D6FAE">
      <w:pPr>
        <w:pStyle w:val="TextoNormal"/>
      </w:pPr>
      <w:r>
        <w:t>Así pues, el Fiscal considera que la vía judicial ha quedado correctamente agotada y, por tanto, no precisaba de la interposición del incidente de nulidad de actuaciones (art. 241 de la Ley Orgánica del Poder Judicial), por lo que solicita que se deje sin efecto nuestra providencia de 26 de julio de 2016, reponiendo las actuaciones al momento inmediatamente anterior al de su dictado.</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20 de septiembre de 2016, la Sección Tercera de este Tribunal acordó unir a las actuaciones el escrito presentado por el Fiscal, y conceder un plazo común de tres días a las demás partes para alegaciones.</w:t>
      </w:r>
    </w:p>
    <w:p w:rsidR="001D6FAE" w:rsidRDefault="001D6FAE" w:rsidP="001D6FAE">
      <w:pPr>
        <w:pStyle w:val="TextoNormal"/>
      </w:pPr>
    </w:p>
    <w:p w:rsidR="001D6FAE" w:rsidRDefault="001D6FAE" w:rsidP="001D6FAE">
      <w:pPr>
        <w:pStyle w:val="TextoNormal"/>
      </w:pPr>
      <w:r>
        <w:t>En su respuesta, el representante procesal de los recurrentes formalizó escrito el 5 de octubre de 2016, en el que manifestó su conformidad con lo solicitado por el Fiscal. Según afirma, otros recursos sustancialmente idénticos se han inadmitido por inexistencia de la vulneración denunciada, tanto desde la óptica del derecho a la presunción de inocencia como del derecho a la tutela judicial efectiva, y no por el óbice de falta de agotamiento. Aclaran los actores que, en “el presente recurso de amparo —y a pesar de los términos del escrito del Ministerio Fiscal— se formalizó exclusivamente por la vulneración de ese derecho del art. 24.2 CE”. Por último, añaden que la lesión referida se denunció ya en el recurso contencioso-administrativo interpuesto ante la Audiencia Nacional contra la denegación del Ministerio del Interior, por lo que no era precisa la interposición del incidente de nulidad de actuaciones.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Procede estimar el recurso de súplica del Ministerio Fiscal, a la vista de lo alegado por éste en su escrito y por la parte recurrente en el trámite de alegaciones abierto. Los demandantes de amparo alegan la lesión del derecho a la presunción de inocencia, la cual fue ocasionada por la resolución del Ministerio del Interior que denegó la indemnización solicitada y que, mediante la interposición del recurso contencioso- administrativo en el que se denunció tal vulneración, aquéllos trataron de remediar en sede judicial. Por ello, mediante la respuesta dada por la Sentencia de la Sección Quinta de la Sala de lo Contencioso-Administrativo de la Audiencia Nacional, que considera que no se vulneró el referido derecho fundamental, debe entenderse agotada la vía judicial previa al amparo, habida cuenta de que contra la referida Sentencia no cabe recurso alguno.</w:t>
      </w:r>
    </w:p>
    <w:p w:rsidR="001D6FAE" w:rsidRDefault="001D6FAE" w:rsidP="001D6FAE">
      <w:pPr>
        <w:pStyle w:val="TextoNormal"/>
      </w:pPr>
    </w:p>
    <w:p w:rsidR="001D6FAE" w:rsidRDefault="001D6FAE" w:rsidP="001D6FAE">
      <w:pPr>
        <w:pStyle w:val="TextoNormal"/>
      </w:pPr>
      <w:r>
        <w:t>La estimación del recurso de súplica determina que se deje sin efecto la providencia impugnada por el Fiscal, pero sin que esto comporte la admisión a trámite del presente recurso de amparo, sobre la que se resolverá en nueva providencia a dictar al efecto.</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el recurso de súplica interpuesto por el Ministerio Fiscal contra la providencia dictada el día 26 de julio de 2016, dejando sin efecto la misma y quedando las actuaciones en estado de proveer sobre la admisión a trámite del presente recurso.</w:t>
      </w:r>
    </w:p>
    <w:p w:rsidR="001D6FAE" w:rsidRDefault="001D6FAE" w:rsidP="001D6FAE">
      <w:pPr>
        <w:pStyle w:val="TextoNormal"/>
      </w:pPr>
    </w:p>
    <w:p w:rsidR="001D6FAE" w:rsidRDefault="001D6FAE" w:rsidP="001D6FAE">
      <w:pPr>
        <w:pStyle w:val="TextoNormal"/>
      </w:pPr>
      <w:r>
        <w:t>Madrid, a cuatro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6" w:name="AUTO_2016_182"/>
      <w:r>
        <w:t>AUTO 182/2016, de 15 de noviembre de 2016</w:t>
      </w:r>
    </w:p>
    <w:bookmarkEnd w:id="156"/>
    <w:p w:rsidR="001D6FAE" w:rsidRDefault="001D6FAE" w:rsidP="001D6FAE">
      <w:pPr>
        <w:pStyle w:val="TtuloResolucin"/>
      </w:pPr>
      <w:r>
        <w:t>Pleno</w:t>
      </w:r>
    </w:p>
    <w:p w:rsidR="001D6FAE" w:rsidRDefault="001D6FAE" w:rsidP="001D6FAE">
      <w:pPr>
        <w:pStyle w:val="TextoNormalCentrado"/>
      </w:pPr>
      <w:r>
        <w:t>ECLI:ES:TC:2016:182A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don Andrés Ollero Tassara, don Fernando Valdés Dal-Ré, don Juan José González Rivas, don Santiago Martínez-Vares García, don Juan Antonio Xiol Ríos, don Pedro José González-Trevijano Sánchez y don Ricardo Enríquez Sancho.</w:t>
      </w:r>
    </w:p>
    <w:p w:rsidR="001D6FAE" w:rsidRDefault="001D6FAE" w:rsidP="001D6FAE">
      <w:pPr>
        <w:pStyle w:val="SntesisDescriptiva"/>
      </w:pPr>
    </w:p>
    <w:p w:rsidR="001D6FAE" w:rsidRDefault="001D6FAE" w:rsidP="001D6FAE">
      <w:pPr>
        <w:pStyle w:val="SntesisDescriptiva"/>
      </w:pPr>
      <w:r>
        <w:t>Inadmite a trámite la cuestión de inconstitucionalidad 2110-2016, planteada por el Juzgado de lo Penal núm. 2 de Girona en relación con el artículo 16.3 de la Ley del Parlamento de Cataluña 17/2000, de 28 de diciembre, de equipamientos comerciales.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registrado en este Tribunal el 19 de abril de 2016, el Juzgado de lo Penal núm. 2 de Girona remitió, junto con copia de parte de las actuaciones correspondientes al procedimiento abreviado 117-2013, testimonio del Auto de 5 de abril de 2016 por el que el referido Juzgado acordó plantar cuestión de inconstitucionalidad en relación con el art. 16.3 de la de la Ley del Parlamento de Cataluña 17/2000, de 29 de diciembre, de equipamientos comerciales al considerar que este precepto podía ser contrario al art. 149.1.13 CE en relación con el art. 121.1 d) del Estatuto de Autonomía de Cataluña (EAC). Junto con este Auto se acompaña testimonio de parte de las actuaciones.</w:t>
      </w:r>
    </w:p>
    <w:p w:rsidR="001D6FAE" w:rsidRDefault="001D6FAE" w:rsidP="001D6FAE">
      <w:pPr>
        <w:pStyle w:val="TextoNormal"/>
      </w:pPr>
    </w:p>
    <w:p w:rsidR="001D6FAE" w:rsidRDefault="001D6FAE" w:rsidP="001D6FAE">
      <w:pPr>
        <w:pStyle w:val="TextoNormal"/>
      </w:pPr>
      <w:r>
        <w:t>Por diligencia de ordenación de 20 de mayo de 2016, la Secretaría de Justicia del Pleno de este Tribunal, al advertir que las actuaciones remitidas se encontraban incompletas, dirigió comunicación al Juzgado de lo Penal núm. 2 de Girona a fin de que remitiera copia completa de las actuaciones desde la presentación del escrito de la Procuradora doña Rosa Boadas Villoria de 17 de diciembre de 2014 hasta el Auto dictado el 11 de abril de 2016, que rectificó el de 5 de abril. La Letrada de la Administración de Justicia remitió las actuaciones solicitadas, que tuvieron su entrada en el Registro General de este Tribunal el 31 de mayo de 2016.</w:t>
      </w:r>
    </w:p>
    <w:p w:rsidR="001D6FAE" w:rsidRDefault="001D6FAE" w:rsidP="001D6FAE">
      <w:pPr>
        <w:pStyle w:val="TextoNormal"/>
      </w:pPr>
    </w:p>
    <w:p w:rsidR="001D6FAE" w:rsidRDefault="001D6FAE" w:rsidP="001D6FAE">
      <w:pPr>
        <w:pStyle w:val="TextoNormal"/>
      </w:pPr>
      <w:r>
        <w:t>El art. 16 de la ley 17/2000 regula los “programas de orientación para los equipamientos comerciales” y en su apartado 3, que es el cuestionado, establece:</w:t>
      </w:r>
    </w:p>
    <w:p w:rsidR="001D6FAE" w:rsidRDefault="001D6FAE" w:rsidP="001D6FAE">
      <w:pPr>
        <w:pStyle w:val="TextoNormal"/>
      </w:pPr>
    </w:p>
    <w:p w:rsidR="001D6FAE" w:rsidRDefault="001D6FAE" w:rsidP="001D6FAE">
      <w:pPr>
        <w:pStyle w:val="TextoNormal"/>
      </w:pPr>
      <w:r>
        <w:t>“3. Los programas de orientación para los equipamientos comerciales son obligatorios para la instalación de grandes establecimientos comerciales de más de:</w:t>
      </w:r>
    </w:p>
    <w:p w:rsidR="001D6FAE" w:rsidRDefault="001D6FAE" w:rsidP="001D6FAE">
      <w:pPr>
        <w:pStyle w:val="TextoNormal"/>
      </w:pPr>
    </w:p>
    <w:p w:rsidR="001D6FAE" w:rsidRDefault="001D6FAE" w:rsidP="001D6FAE">
      <w:pPr>
        <w:pStyle w:val="TextoNormal"/>
      </w:pPr>
      <w:r>
        <w:t>a) 20.000 metros cuadrados de superficie de venta en municipios de más de 100.000 habitantes.</w:t>
      </w:r>
    </w:p>
    <w:p w:rsidR="001D6FAE" w:rsidRDefault="001D6FAE" w:rsidP="001D6FAE">
      <w:pPr>
        <w:pStyle w:val="TextoNormal"/>
      </w:pPr>
    </w:p>
    <w:p w:rsidR="001D6FAE" w:rsidRDefault="001D6FAE" w:rsidP="001D6FAE">
      <w:pPr>
        <w:pStyle w:val="TextoNormal"/>
      </w:pPr>
      <w:r>
        <w:t>b) 10.000 metros cuadrados de superficie de venta en municipios de 25.001 a 100.000 habitantes.</w:t>
      </w:r>
    </w:p>
    <w:p w:rsidR="001D6FAE" w:rsidRDefault="001D6FAE" w:rsidP="001D6FAE">
      <w:pPr>
        <w:pStyle w:val="TextoNormal"/>
      </w:pPr>
    </w:p>
    <w:p w:rsidR="001D6FAE" w:rsidRDefault="001D6FAE" w:rsidP="001D6FAE">
      <w:pPr>
        <w:pStyle w:val="TextoNormal"/>
      </w:pPr>
      <w:r>
        <w:t>c) 5.000 metros cuadrados de superficie de venta en municipios de 10.000 a 25.000 habitantes.</w:t>
      </w:r>
    </w:p>
    <w:p w:rsidR="001D6FAE" w:rsidRDefault="001D6FAE" w:rsidP="001D6FAE">
      <w:pPr>
        <w:pStyle w:val="TextoNormal"/>
      </w:pPr>
    </w:p>
    <w:p w:rsidR="001D6FAE" w:rsidRDefault="001D6FAE" w:rsidP="001D6FAE">
      <w:pPr>
        <w:pStyle w:val="TextoNormal"/>
      </w:pPr>
      <w:r>
        <w:t>d) 3.000 metros cuadrados de superficie de venta en municipios de menos de 10.000 habitantes.”</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de los que trae causa la cuestión de inconstitucionalidad planteada son, en síntesis, los siguientes:</w:t>
      </w:r>
    </w:p>
    <w:p w:rsidR="001D6FAE" w:rsidRDefault="001D6FAE" w:rsidP="001D6FAE">
      <w:pPr>
        <w:pStyle w:val="TextoNormal"/>
      </w:pPr>
    </w:p>
    <w:p w:rsidR="001D6FAE" w:rsidRDefault="001D6FAE" w:rsidP="001D6FAE">
      <w:pPr>
        <w:pStyle w:val="TextoNormal"/>
      </w:pPr>
      <w:r>
        <w:t>a) El 17 de diciembre de 2014, la representación procesal del acusado en el procedimiento abreviado 117-2003 seguido en el Juzgado de lo Penal núm. 2 de Girona por un presunto delito de prevaricación administrativa presentó un escrito por el que solicitaba al Juez que planteara ante este Tribunal cuestión de inconstitucionalidad en relación con la Ley del Parlamento de Cataluña, 17/2000, de equipamiento comerciales, al considerar que esta Ley era inconstitucional. En el referido escrito se aducía que la Ley 17/2000 recogía las mismas restricciones a la implantación de centros comerciales que las que establecía la Ley 9/2011 y que este Tribunal había declarado que tales restricciones eran inconstitucionales en la STC 193/2013. Según se adujo, el planteamiento de la cuestión resultaba necesario en ese caso, ya que la acusación se fundamenta en el incumplimiento de la Ley que se considera inconstitucional.</w:t>
      </w:r>
    </w:p>
    <w:p w:rsidR="001D6FAE" w:rsidRDefault="001D6FAE" w:rsidP="001D6FAE">
      <w:pPr>
        <w:pStyle w:val="TextoNormal"/>
      </w:pPr>
    </w:p>
    <w:p w:rsidR="001D6FAE" w:rsidRDefault="001D6FAE" w:rsidP="001D6FAE">
      <w:pPr>
        <w:pStyle w:val="TextoNormal"/>
      </w:pPr>
      <w:r>
        <w:t>b) Por providencia de 3 de diciembre el órgano judicial otorgó audiencia a las partes para que en el plazo de diez días alegaran lo que a su derecho conviniese sobre la pertinencia de plantear cuestión de inconstitucionalidad.</w:t>
      </w:r>
    </w:p>
    <w:p w:rsidR="001D6FAE" w:rsidRDefault="001D6FAE" w:rsidP="001D6FAE">
      <w:pPr>
        <w:pStyle w:val="TextoNormal"/>
      </w:pPr>
    </w:p>
    <w:p w:rsidR="001D6FAE" w:rsidRDefault="001D6FAE" w:rsidP="001D6FAE">
      <w:pPr>
        <w:pStyle w:val="TextoNormal"/>
      </w:pPr>
      <w:r>
        <w:t>c) El Ministerio Fiscal, por escrito de 18 de noviembre de 2015 interpuso recurso de reforma contra la referida providencia al considerar que no cumplía los requisitos exigidos por el art. 35 de la Ley Orgánica del Tribunal Constitucional (LOTC), ya que, ni se concretaba la norma que podía ser objeto de la cuestión —se aludía genéricamente a la Ley 17/2000, sin precisar qué preceptos se consideraban contrarios a la Constitución— ni los preceptos constitucionales que se estimaban vulnerados. También se alegó, con cita de la STC 221/2013, que la falta de identificación del precepto que se considera inconstitucional impedía efectuar el juicio de aplicabilidad y relevancia. Por último, puso de manifiesto que el traslado a las partes debe ser simultáneo, ya que el art. 35 LOTC establece que el plazo ha de ser “común” y que este trámite debe otorgarse también a la parte que ha solicitado el planteamiento de la cuestión.</w:t>
      </w:r>
    </w:p>
    <w:p w:rsidR="001D6FAE" w:rsidRDefault="001D6FAE" w:rsidP="001D6FAE">
      <w:pPr>
        <w:pStyle w:val="TextoNormal"/>
      </w:pPr>
    </w:p>
    <w:p w:rsidR="001D6FAE" w:rsidRDefault="001D6FAE" w:rsidP="001D6FAE">
      <w:pPr>
        <w:pStyle w:val="TextoNormal"/>
      </w:pPr>
      <w:r>
        <w:t>d) La acusación particular, por escrito de 26 de noviembre de 2015, se opuso al planteamiento de la cuestión al considerar que la defensa, al solicitar el planteamiento de la cuestión de inconstitucionalidad sobre una de las leyes incumplidas por el acusado, no perseguía otra finalidad que la de dilatar el procedimiento. Según se sostuvo, la inconstitucionalidad de la norma no afectaría a la tipicidad de las conductas cometidas por el acusado (infringir de forma flagrante la normativa urbanística). Posteriormente, el 1 de diciembre de 2015, esta parte procesal presentó un escrito por el que se adhirió al recurso de reforma planteado por el Ministerio Fiscal al considerar que el órgano judicial no había efectuado el trámite de audiencia conforme exige el art. 35 LOTC (ni había identificado la norma cuya inconstitucionalidad se cuestiona, ni se indicaba el precepto constitucional que se estimaba infringido ni tampoco especificaba en qué medida la resolución del proceso dependía de la validez de la norma que se estimaba inconstitucional).</w:t>
      </w:r>
    </w:p>
    <w:p w:rsidR="001D6FAE" w:rsidRDefault="001D6FAE" w:rsidP="001D6FAE">
      <w:pPr>
        <w:pStyle w:val="TextoNormal"/>
      </w:pPr>
    </w:p>
    <w:p w:rsidR="001D6FAE" w:rsidRDefault="001D6FAE" w:rsidP="001D6FAE">
      <w:pPr>
        <w:pStyle w:val="TextoNormal"/>
      </w:pPr>
      <w:r>
        <w:t>e) La representación procesal del acusado formuló alegaciones en las que ponía de manifiesto que fue esa parte la que solicitó al Juez el planteamiento de la cuestión y que es el art. 16.3 de la Ley 17/2000 el que se considera contrario a la Constitución en aplicación de la doctrina establecida en la STC 193/2013. Por todo ello solicita que se entienda concretado el artículo específico de la Ley del Parlamento de Cataluña 17/2000 sobre el que esta parte interesó el planteamiento de la cuestión.</w:t>
      </w:r>
    </w:p>
    <w:p w:rsidR="001D6FAE" w:rsidRDefault="001D6FAE" w:rsidP="001D6FAE">
      <w:pPr>
        <w:pStyle w:val="TextoNormal"/>
      </w:pPr>
    </w:p>
    <w:p w:rsidR="001D6FAE" w:rsidRDefault="001D6FAE" w:rsidP="001D6FAE">
      <w:pPr>
        <w:pStyle w:val="TextoNormal"/>
      </w:pPr>
      <w:r>
        <w:t>f) Por Auto de 18 de diciembre 2015 el Juzgado de lo Penal núm. 2 de Girona estimó el recurso de reforma, concretó la norma de cuya inconstitucionalidad se dudaba (el art. 16.3 de la Ley 17/2000) y el precepto constitucional que se estimaba infringido [el art. 149.1.13 CE en relación con el art. 121.1 d) EAC] y fundamentó la aplicabilidad de la norma al caso “en las restricciones sobre superficies comerciales que son las mismas restricciones que las declaradas inconstitucionales en la meritada Sentencia” (se refiera la STC 193/2013).</w:t>
      </w:r>
    </w:p>
    <w:p w:rsidR="001D6FAE" w:rsidRDefault="001D6FAE" w:rsidP="001D6FAE">
      <w:pPr>
        <w:pStyle w:val="TextoNormal"/>
      </w:pPr>
    </w:p>
    <w:p w:rsidR="001D6FAE" w:rsidRDefault="001D6FAE" w:rsidP="001D6FAE">
      <w:pPr>
        <w:pStyle w:val="TextoNormal"/>
      </w:pPr>
      <w:r>
        <w:t>En este Auto se acordó también que se otorgara audiencia a las partes para que en el plazo común e improrrogable de diez días efectuaran las alegaciones que estimaran pertinentes. Consta acreditado en las actuaciones la notificación de esta resolución a las partes.</w:t>
      </w:r>
    </w:p>
    <w:p w:rsidR="001D6FAE" w:rsidRDefault="001D6FAE" w:rsidP="001D6FAE">
      <w:pPr>
        <w:pStyle w:val="TextoNormal"/>
      </w:pPr>
    </w:p>
    <w:p w:rsidR="001D6FAE" w:rsidRDefault="001D6FAE" w:rsidP="001D6FAE">
      <w:pPr>
        <w:pStyle w:val="TextoNormal"/>
      </w:pPr>
      <w:r>
        <w:t>g) El Fiscal formula sus alegaciones y considera que en este caso la norma de cuya constitucionalidad se duda es aplicable al caso y es relevante, ya que de su constitucionalidad depende el fallo.</w:t>
      </w:r>
    </w:p>
    <w:p w:rsidR="001D6FAE" w:rsidRDefault="001D6FAE" w:rsidP="001D6FAE">
      <w:pPr>
        <w:pStyle w:val="TextoNormal"/>
      </w:pPr>
    </w:p>
    <w:p w:rsidR="001D6FAE" w:rsidRDefault="001D6FAE" w:rsidP="001D6FAE">
      <w:pPr>
        <w:pStyle w:val="TextoNormal"/>
      </w:pPr>
      <w:r>
        <w:t>h) Por Auto de 5 de abril de 2016 el Juzgado de lo Penal núm. 2 de Girona acordó plantear cuestión de inconstitucionalidad en relación con el art. 16.3 de la ley 17/2000 de equipamientos comerciales en su redacción otorgada por la “Ley Orgánica 1/2004”.</w:t>
      </w:r>
    </w:p>
    <w:p w:rsidR="001D6FAE" w:rsidRDefault="001D6FAE" w:rsidP="001D6FAE">
      <w:pPr>
        <w:pStyle w:val="TextoNormal"/>
      </w:pPr>
    </w:p>
    <w:p w:rsidR="001D6FAE" w:rsidRDefault="001D6FAE" w:rsidP="001D6FAE">
      <w:pPr>
        <w:pStyle w:val="TextoNormal"/>
      </w:pPr>
      <w:r>
        <w:t>i) Por Auto de 11 de abril de 2016 se rectifica el auto de 5 de abril de 2016 y se suprime la precisión “en su redacción otorgada por Ley Orgánica 2004” que se hace al final de la parte dispositiva y en el razonamiento jurídico segundo, pues se considera un error.</w:t>
      </w:r>
    </w:p>
    <w:p w:rsidR="001D6FAE" w:rsidRDefault="001D6FAE" w:rsidP="001D6FAE">
      <w:pPr>
        <w:pStyle w:val="TextoNormal"/>
      </w:pPr>
    </w:p>
    <w:p w:rsidR="001D6FAE" w:rsidRDefault="001D6FAE" w:rsidP="001D6FAE">
      <w:pPr>
        <w:pStyle w:val="TextoNormal"/>
      </w:pPr>
      <w:r w:rsidRPr="001D6FAE">
        <w:rPr>
          <w:rStyle w:val="NumeroAFNegritaCaracter"/>
        </w:rPr>
        <w:t>3</w:t>
      </w:r>
      <w:r>
        <w:t>. En el Auto de planteamiento, tras hacer una breve referencia a los hechos que han dado lugar al planteamiento de la cuestión, se exponen los razonamientos jurídicos en los que fundamenta. Se pone de manifiesto, en primer lugar, que la cuestión se suscita a instancia de la defensa y se plantea con anterioridad a la celebración del juicio oral. Entiende el Juzgado que, en el presente caso, es posible plantear la cuestión en este momento procesal, pues considera que, de acuerdo con la doctrina constitucional, puede plantearse la cuestión en ese momento cuando la continuación del proceso no aporte ningún elemento adicional de juicio sobre la aplicabilidad de la norma cuestionada ni sobre su efecto determinante del fallo que haya de dictarse, ni sobre su legitimidad constitucional o cuando la propia norma tenga una incidencia anticipada e irreversible el propio proceso en curso [se citan las SSTC 54/1983, FJ 2 ; 25/1984, FJ 2; 186/1990, FJ 2; 76/1992, FJ 2 a), y AATC 121/1992, FJ 2; 92/1991, FJ 3; 203/1998, FJ 1; 236/1998; FJ 1, y 24/2000, FJ 1]. Según se sostiene en el Auto de planteamiento, en este caso la “tramitación del procedimiento no iba a poder aportar ningún elemento nuevo en orden a determinar la incidencia de la norma cuestionada sobre el fallo que hubiere de dictarse ni sobre la legitimidad o ilegitimidad de la norma cuestionada”. Junto a ello se sostiene también que “la propia norma tiene ya una incidencia anticipada e irreversible en el proceso”, y según se expone, es “posible afirmar en este procesal con cierta seguridad que la norma será aplicable y que de su validez dependen la decisión a adoptar”.</w:t>
      </w:r>
    </w:p>
    <w:p w:rsidR="001D6FAE" w:rsidRDefault="001D6FAE" w:rsidP="001D6FAE">
      <w:pPr>
        <w:pStyle w:val="TextoNormal"/>
      </w:pPr>
    </w:p>
    <w:p w:rsidR="001D6FAE" w:rsidRDefault="001D6FAE" w:rsidP="001D6FAE">
      <w:pPr>
        <w:pStyle w:val="TextoNormal"/>
      </w:pPr>
      <w:r>
        <w:t>En el Auto de planteamiento se precisa que la norma que se cuestiona es el art. 16.3 de la Ley 17/2000, de equipamientos comerciales y el precepto constitucional que se estima infringido es el 149.1.13 CE en relación con el art. 121.1 d) EAC. de 23 de noviembre, sobre el libre acceso a las actividades de servicios y su ejercicio que traspuso la Directiva 2006/13/CE, de 12 de diciembre, en la que se estableció como regla general la libertad de acceso a las actividades de servicio; libertad que solo podía limitarse excepcionalmente por una razón imperiosa de interés general.</w:t>
      </w:r>
    </w:p>
    <w:p w:rsidR="001D6FAE" w:rsidRDefault="001D6FAE" w:rsidP="001D6FAE">
      <w:pPr>
        <w:pStyle w:val="TextoNormal"/>
      </w:pPr>
    </w:p>
    <w:p w:rsidR="001D6FAE" w:rsidRDefault="001D6FAE" w:rsidP="001D6FAE">
      <w:pPr>
        <w:pStyle w:val="TextoNormal"/>
      </w:pPr>
      <w:r>
        <w:t>El Auto alude a la Ley del Parlamento de Cataluña 9/2011, de 29 de diciembre, de promoción de la actividad económica, que modificó la redacción de los preceptos del Decreto-ley 1/2009. Según se afirma “[l]as disposiciones autonómicas incurren en inconstitucionalidad mediata al contradecir la Ley 17/2009, de 23 de noviembre, sobre el libre acceso a las actividades de servicios y su ejercicio que traspuso la Directiva 2006/13/CE, de 12 de diciembre, en la que se estableció como regla general la libertad de acceso a las actividades de servicio y sólo podría limitarse excepcionalmente por una razón imperiosa de interés general”. Sostiene el órgano judicial que la “Ley de Cataluña no aporta razón alguna para limitar la implantación de establecimientos comerciales y supone una restricción adicional que desincentiva estos formatos de distribución comercial”. Se cita la STC 26/2012 y se pone de manifiesto que la STC 193/2013 declaró inconstitucionales los apartados 3 y 4 del art. 9 del Decreto-ley 1/2009, de 22 de diciembre, en la redacción dada a los mismos por el art. 114 de la Ley del Parlamento de Cataluña 9/2011, de 29 de diciembre.</w:t>
      </w:r>
    </w:p>
    <w:p w:rsidR="001D6FAE" w:rsidRDefault="001D6FAE" w:rsidP="001D6FAE">
      <w:pPr>
        <w:pStyle w:val="TextoNormal"/>
      </w:pPr>
    </w:p>
    <w:p w:rsidR="001D6FAE" w:rsidRDefault="001D6FAE" w:rsidP="001D6FAE">
      <w:pPr>
        <w:pStyle w:val="TextoNormal"/>
      </w:pPr>
      <w:r>
        <w:t>En el Auto de planteamiento se considera que el “juicio de relevancia de aplicación de la norma al caso [</w:t>
      </w:r>
      <w:r w:rsidRPr="001D6FAE">
        <w:rPr>
          <w:i/>
        </w:rPr>
        <w:t>sic</w:t>
      </w:r>
      <w:r>
        <w:t>]” es claro, pues los escritos de acusación se fundamentan en las restricciones sobre superficies en equipamientos comerciales mencionadas y, según se afirma estas restricciones son las mismas que fueron declaradas inconstitucionales por la STC 193/2013. También se indica que el Fiscal, en su escrito de conclusiones provisionales, basa su acusación en el hecho de haber concedido licencias municipales “sin haber obtenido la preceptiva y vinculante licencia comercial exigida por la ley 17/2000, de forma previa en sus arts. 4 y 5, estableciendo el art. 20 las infracciones”.</w:t>
      </w:r>
    </w:p>
    <w:p w:rsidR="001D6FAE" w:rsidRDefault="001D6FAE" w:rsidP="001D6FAE">
      <w:pPr>
        <w:pStyle w:val="TextoNormal"/>
      </w:pPr>
    </w:p>
    <w:p w:rsidR="001D6FAE" w:rsidRDefault="001D6FAE" w:rsidP="001D6FAE">
      <w:pPr>
        <w:pStyle w:val="TextoNormal"/>
      </w:pPr>
      <w:r>
        <w:t>Las anteriores consideraciones llevan al Juzgado de lo Penal núm. 2 de Girona a plantear cuestión de inconstitucionalidad en relación con el art. 16.3 de la Ley 17/2000 de equipamientos comerciales.</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5 julio de 2016, la Sección Primera de este Tribunal, a los efectos que determina el art. 37.1 LOTC, acordó oír al Fiscal General del Estado para que, en el plazo de diez días, alegase lo que considerara conveniente acerca de la admisibilidad de la presente cuestión de inconstitucionalidad, en relación con el cumplimiento de los requisitos procesales y por si fuere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evacuó el trámite conferido mediante escrito registrado en este Tribunal el 28 de julio de 2016. Tras exponer los antecedentes de los que trae causa la presente cuestión, alega, en primer lugar, que la exigencia establecida en el art. 35.2 LOTC que determina que los órganos judiciales solo pueden plantear la cuestión de inconstitucionalidad “una vez concluso el procedimiento y dentro del plazo para dictar sentencia o la resolución judicial que procediese” es consecuencia del carácter concreto de este proceso constitucional, ya que entiende que la condición de que el proceso se encuentre concluso y en fase de dictar sentencia solamente obedece a que el órgano judicial tenga todos los elementos de juicio necesario para poder apreciar si la norma de cuya constitucionalidad duda es aplicable al caso. No obstante, la Fiscal General, señala también que el Tribunal Constitucional (SSTC 54/1983, 25/1984, 186/1990, 76/1992, 110/1993 y 234/1997) ha aplicado esta exigencia de una forma flexible, pues ha efectuado una interpretación finalista de este requisito y ha admitido en algunos supuestos la posibilidad de plantear la cuestión antes de que esté concluso el proceso en los casos en los que la ley que se considera inconstitucional fuera procesal o si fuera sustantiva cuando la ulterior tramitación del proceso hasta la sentencia no puede aportar ningún elemento adicional de juicio sobre la aplicabilidad de la norma al caso y sobre su efecto determinante sobre el fallo. La Fiscal General considera que, en el presente caso, no concurren ninguna de las circunstancias de excepción que acaban de mencionarse y por ello entiende que la cuestión de inconstitucionalidad hubiera debido presentarse, si hubiera mérito para ello, una vez concluso el procedimiento, por lo que al haberse presentado antes de comenzar las sesiones del juicio oral, no ha sido presentada temporáneamente.</w:t>
      </w:r>
    </w:p>
    <w:p w:rsidR="001D6FAE" w:rsidRDefault="001D6FAE" w:rsidP="001D6FAE">
      <w:pPr>
        <w:pStyle w:val="TextoNormal"/>
      </w:pPr>
    </w:p>
    <w:p w:rsidR="001D6FAE" w:rsidRDefault="001D6FAE" w:rsidP="001D6FAE">
      <w:pPr>
        <w:pStyle w:val="TextoNormal"/>
      </w:pPr>
      <w:r>
        <w:t>También pone de manifiesto la Fiscal General que la iniciativa del planteamiento de la cuestión no partió del Juzgado de lo Penal, sino de la defensa del acusado. Junto a ello se sostiene que el trámite de audiencia no se otorgó debidamente, pues no consta que tras dictarse el Auto de 18 de diciembre de 2015 [Auto por el que el órgano judicial corrigió los defectos en los que había incurrido la providencia por la que se dio trámite de audiencia a las partes sobre la pertinencia de plantear la cuestión de inconstitucionalidad —concretó la norma de cuya inconstitucionalidad se dudaba (el art. 16.3 de la Ley 17/2000) y el precepto constitucional que se estimaba infringido el art. 149.1.13 CE en relación con el art. 121.1 d) EAC—] solo consta que se otorgase nuevamente trámite de audiencia al Ministerio Fiscal, pero no a las partes.</w:t>
      </w:r>
    </w:p>
    <w:p w:rsidR="001D6FAE" w:rsidRDefault="001D6FAE" w:rsidP="001D6FAE">
      <w:pPr>
        <w:pStyle w:val="TextoNormal"/>
      </w:pPr>
    </w:p>
    <w:p w:rsidR="001D6FAE" w:rsidRDefault="001D6FAE" w:rsidP="001D6FAE">
      <w:pPr>
        <w:pStyle w:val="TextoNormal"/>
      </w:pPr>
      <w:r>
        <w:t>Se aduce, además, que en el presente caso “no existe de modo notorio —esto es, sin necesidad de examinar el fondo debatido y en aplicación de principios jurídicos básicos— el necesario nexo causal entre la posible inconstitucionalidad de la norma legal cuestionada y la resolución que ha de recaer en el proceso”. La Fiscal General señala que el órgano judicial, al efectuar el juicio de relevancia, se limita a sostener que los escritos de acusación se fundamentan en las restricciones establecidas sobre superficies en equipamientos comerciales del art. 16.3 de la Ley del Parlamento de Cataluña 17/2000, de 29 de diciembre, de equipamientos comerciales y que estas son las mismas restricciones declaradas inconstitucionales en la STC 193/2013, de 21 de noviembre, pero no fundamenta la aplicabilidad y la relevancia de esa norma en relación con el verdadero objeto del proceso, que es la acusación dirigida por el Ministerio Fiscal y la acusación particular contra don J. C. G. como autor de uno o varios delitos de prevaricación por hechos relacionados con la modificación del planeamiento urbano y la concesión de licencias.</w:t>
      </w:r>
    </w:p>
    <w:p w:rsidR="001D6FAE" w:rsidRDefault="001D6FAE" w:rsidP="001D6FAE">
      <w:pPr>
        <w:pStyle w:val="TextoNormal"/>
      </w:pPr>
    </w:p>
    <w:p w:rsidR="001D6FAE" w:rsidRDefault="001D6FAE" w:rsidP="001D6FAE">
      <w:pPr>
        <w:pStyle w:val="TextoNormal"/>
      </w:pPr>
      <w:r>
        <w:t>Por último, la Fiscal General del Estado alega que la cuestión es notoriamente infundada. En su opinión, en el presente caso no puede fundamentarse la inconstitucionalidad del precepto cuestionado en las razones que llevaron a la STC 193/2013 a declarar la inconstitucionalidad de los apartados 3 y 4 del art. 9 del Decreto-ley 1/2009, de 22 de diciembre, de ordenación de equipamientos comerciales de Cataluña, ya que la norma cuestionada tiene un objeto distinto al que tenían los preceptos anulados por la citada STC 193/2013 El precepto ahora cuestionado tiene como objeto regular los supuestos en los que resultan obligatorios los programas de orientación para los equipamientos comerciales para la instalación de grandes establecimientos comerciales, por lo que al regular una cuestión distinta de la regulada por los preceptos declarados inconstitucionales por la STC 193/2013, que establecían limitaciones al establecimiento de determinados centros comerciales, la doctrina establecida en la STC 193/2013 no puede resultar trasladable, sin más, al precepto ahora cuestionado.</w:t>
      </w:r>
    </w:p>
    <w:p w:rsidR="001D6FAE" w:rsidRDefault="001D6FAE" w:rsidP="001D6FAE">
      <w:pPr>
        <w:pStyle w:val="TextoNormal"/>
      </w:pPr>
    </w:p>
    <w:p w:rsidR="001D6FAE" w:rsidRDefault="001D6FAE" w:rsidP="001D6FAE">
      <w:pPr>
        <w:pStyle w:val="TextoNormal"/>
      </w:pPr>
      <w:r>
        <w:t>Por todo ello la Fiscal General del Estado interesa que, de acuerdo con lo dispuesto en el art. 37.1 LOTC se dicte auto inadmitiendo la presente cuestión.</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Juzgado de lo Penal núm. 2 de Girona por Auto de 5 de abril de 2016 acordó plantar cuestión de inconstitucionalidad en relación con el 16.3 de la de la Ley del Parlamento de Cataluña 17/2000, de 29 de diciembre, de equipamientos comerciales al considerar que este precepto podía ser contrario al art. 149.1.13 CE en relación con el art. 121.1 d) del Estatuto de Autonomía de Cataluña (EAC). El órgano judicial considera que el precepto cuestionado, al establecer unas limitaciones al establecimiento de centros comerciales idénticas a las establecidas en la Ley 9/2011 y estas limitaciones que fueron declaradas inconstitucionales por la STC 193/2013, de 21 de noviembre, es inconstitucional.</w:t>
      </w:r>
    </w:p>
    <w:p w:rsidR="001D6FAE" w:rsidRDefault="001D6FAE" w:rsidP="001D6FAE">
      <w:pPr>
        <w:pStyle w:val="TextoNormal"/>
      </w:pPr>
    </w:p>
    <w:p w:rsidR="001D6FAE" w:rsidRDefault="001D6FAE" w:rsidP="001D6FAE">
      <w:pPr>
        <w:pStyle w:val="TextoNormal"/>
      </w:pPr>
      <w:r>
        <w:t>El art. 16. 3 de la ley 17/2000 establece:</w:t>
      </w:r>
    </w:p>
    <w:p w:rsidR="001D6FAE" w:rsidRDefault="001D6FAE" w:rsidP="001D6FAE">
      <w:pPr>
        <w:pStyle w:val="TextoNormal"/>
      </w:pPr>
    </w:p>
    <w:p w:rsidR="001D6FAE" w:rsidRDefault="001D6FAE" w:rsidP="001D6FAE">
      <w:pPr>
        <w:pStyle w:val="TextoNormal"/>
      </w:pPr>
      <w:r>
        <w:t>“3. Los programas de orientación para los equipamientos comerciales son obligatorios para la instalación de grandes establecimientos comerciales de más de:</w:t>
      </w:r>
    </w:p>
    <w:p w:rsidR="001D6FAE" w:rsidRDefault="001D6FAE" w:rsidP="001D6FAE">
      <w:pPr>
        <w:pStyle w:val="TextoNormal"/>
      </w:pPr>
    </w:p>
    <w:p w:rsidR="001D6FAE" w:rsidRDefault="001D6FAE" w:rsidP="001D6FAE">
      <w:pPr>
        <w:pStyle w:val="TextoNormal"/>
      </w:pPr>
      <w:r>
        <w:t>a) 20.000 metros cuadrados de superficie de venta en municipios de más de 100.000 habitantes.</w:t>
      </w:r>
    </w:p>
    <w:p w:rsidR="001D6FAE" w:rsidRDefault="001D6FAE" w:rsidP="001D6FAE">
      <w:pPr>
        <w:pStyle w:val="TextoNormal"/>
      </w:pPr>
    </w:p>
    <w:p w:rsidR="001D6FAE" w:rsidRDefault="001D6FAE" w:rsidP="001D6FAE">
      <w:pPr>
        <w:pStyle w:val="TextoNormal"/>
      </w:pPr>
      <w:r>
        <w:t>b) 10.000 metros cuadrados de superficie de venta en municipios de 25.001 a 100.000 habitantes.</w:t>
      </w:r>
    </w:p>
    <w:p w:rsidR="001D6FAE" w:rsidRDefault="001D6FAE" w:rsidP="001D6FAE">
      <w:pPr>
        <w:pStyle w:val="TextoNormal"/>
      </w:pPr>
    </w:p>
    <w:p w:rsidR="001D6FAE" w:rsidRDefault="001D6FAE" w:rsidP="001D6FAE">
      <w:pPr>
        <w:pStyle w:val="TextoNormal"/>
      </w:pPr>
      <w:r>
        <w:t>c) 5.000 metros cuadrados de superficie de venta en municipios de 10.000 a 25.000 habitantes.</w:t>
      </w:r>
    </w:p>
    <w:p w:rsidR="001D6FAE" w:rsidRDefault="001D6FAE" w:rsidP="001D6FAE">
      <w:pPr>
        <w:pStyle w:val="TextoNormal"/>
      </w:pPr>
    </w:p>
    <w:p w:rsidR="001D6FAE" w:rsidRDefault="001D6FAE" w:rsidP="001D6FAE">
      <w:pPr>
        <w:pStyle w:val="TextoNormal"/>
      </w:pPr>
      <w:r>
        <w:t>d) 3.000 metros cuadrados de superficie de venta en municipios de menos de 10.000 habitantes.”</w:t>
      </w:r>
    </w:p>
    <w:p w:rsidR="001D6FAE" w:rsidRDefault="001D6FAE" w:rsidP="001D6FAE">
      <w:pPr>
        <w:pStyle w:val="TextoNormal"/>
      </w:pPr>
    </w:p>
    <w:p w:rsidR="001D6FAE" w:rsidRDefault="001D6FAE" w:rsidP="001D6FAE">
      <w:pPr>
        <w:pStyle w:val="TextoNormal"/>
      </w:pPr>
      <w:r w:rsidRPr="001D6FAE">
        <w:rPr>
          <w:rStyle w:val="NumeroAFNegritaCaracter"/>
        </w:rPr>
        <w:t>2</w:t>
      </w:r>
      <w:r>
        <w:t>. Conforme a lo dispuesto en el art. 37.1 de la Ley Orgánica del Tribunal Constitucional (LOTC), este Tribunal puede rechazar en trámite de admisión y mediante Auto y sin otra audiencia que la del Fiscal General del Estado, aquellas cuestiones de inconstitucionalidad que no cumplan los requisitos procesales o que fueran notoriamente infundadas.</w:t>
      </w:r>
    </w:p>
    <w:p w:rsidR="001D6FAE" w:rsidRDefault="001D6FAE" w:rsidP="001D6FAE">
      <w:pPr>
        <w:pStyle w:val="TextoNormal"/>
      </w:pPr>
    </w:p>
    <w:p w:rsidR="001D6FAE" w:rsidRDefault="001D6FAE" w:rsidP="001D6FAE">
      <w:pPr>
        <w:pStyle w:val="TextoNormal"/>
      </w:pPr>
      <w:r>
        <w:t>Como ha sostenido este Tribunal en reiteradas ocasiones, los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y 189/2009, de 23 de junio, FJ 2, entre otras muchas resoluciones).”</w:t>
      </w:r>
    </w:p>
    <w:p w:rsidR="001D6FAE" w:rsidRDefault="001D6FAE" w:rsidP="001D6FAE">
      <w:pPr>
        <w:pStyle w:val="TextoNormal"/>
      </w:pPr>
    </w:p>
    <w:p w:rsidR="001D6FAE" w:rsidRDefault="001D6FAE" w:rsidP="001D6FAE">
      <w:pPr>
        <w:pStyle w:val="TextoNormal"/>
      </w:pPr>
      <w:r w:rsidRPr="001D6FAE">
        <w:rPr>
          <w:rStyle w:val="NumeroAFNegritaCaracter"/>
        </w:rPr>
        <w:t>3</w:t>
      </w:r>
      <w:r>
        <w:t>. En el presente caso, como ha puesto de manifiesto la Fiscal General del Estado la cuestión planteada no reúne las condiciones procesales para que pueda ser admitida a trámite.</w:t>
      </w:r>
    </w:p>
    <w:p w:rsidR="001D6FAE" w:rsidRDefault="001D6FAE" w:rsidP="001D6FAE">
      <w:pPr>
        <w:pStyle w:val="TextoNormal"/>
      </w:pPr>
    </w:p>
    <w:p w:rsidR="001D6FAE" w:rsidRDefault="001D6FAE" w:rsidP="001D6FAE">
      <w:pPr>
        <w:pStyle w:val="TextoNormal"/>
      </w:pPr>
      <w:r>
        <w:t>La cuestión se ha planteado prematuramente al haberse formulado antes de celebrar el juicio oral. Es cierto que, como se sostiene en el Auto de planteamiento, este Tribunal ha admitido en casos excepcionales una aplicación flexible de la exigencia que establece el art. 35.2 LOTC cuando dispone que el órgano judicial solo puede “plantear la cuestión una vez concluso el procedimiento y dentro del plazo para dictar sentencia”, pues, en virtud de una interpretación finalista de este precepto, ha entendido que en supuestos excepcionales puede plantarse la cuestión antes de que el proceso esté concluso.</w:t>
      </w:r>
    </w:p>
    <w:p w:rsidR="001D6FAE" w:rsidRDefault="001D6FAE" w:rsidP="001D6FAE">
      <w:pPr>
        <w:pStyle w:val="TextoNormal"/>
      </w:pPr>
    </w:p>
    <w:p w:rsidR="001D6FAE" w:rsidRDefault="001D6FAE" w:rsidP="001D6FAE">
      <w:pPr>
        <w:pStyle w:val="TextoNormal"/>
      </w:pPr>
      <w:r>
        <w:t>Ahora bien, esta posibilidad es excepcional y, como se afirma, entre otros muchos, en el ATC 238/2002, de 26 de noviembre, FJ 4,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54/1983, 25/1984, 186/1990, 76/1992, 110/1993 y 234/1997; AATC 121/1990, 60/1991, 92/1991, 203/1998 y 236/1998).” Por esta razón el Tribunal ha considerado que no pueden plantearse cuestiones de inconstitucionalidad en la fase de instrucción (AATC 121/1990, de 13 de marzo, y 203/1998) ni puede considerarse tampoco que constituya una aplicación de la norma que permita formular la cuestión de inconstitucionalidad la admisión de la denuncia o la práctica de una determinada prueba, pues en ese “momento procesal todavía no es posible saber si la norma que se cuestiona es aquella de la que va a depender el fallo, ya que pudiera ocurrir que esta norma no llegara a aplicarse porque no se probaran los hechos denunciados, existiera otra norma penal que desplazara aquélla o, en fin, por cualquier otro motivo que impidiera la aplicación de la norma cuestionada”. (STC 234/1997, de 18 de diciembre, FJ 2, y ATC 298/2005). Y, en lo que ahora interesa, también ha afirmado (ATC 238/2002, FJ 4) que no cabe plantear la cuestión de inconstitucionalidad antes de la celebración del juicio oral, “pues resulta contrario a la más elemental comprensión del proceso penal acorde con las garantías constitucionales que lo informan sostener que la celebración del mismo ‘no puede aportar ningún elemento adicional de juicio sobre la aplicabilidad de la norma legal cuestionada ni sobre su efecto determinante del fallo’. Como se afirma en el citado auto ATC 238/2002, FJ 4 el ‘juicio oral es el eje de todo el proceso penal porque es en él donde las partes traban el debate contradictorio ante el mismo Juez o Tribunal que ha de dictar Sentencia, de suerte que la convicción de éste sobre los hechos enjuiciados se alcanza en contacto directo con las razones y los medios probatorios aportados (entre otras muchas, SSTC 161/1990, de 19 de octubre, FJ 2; 40/1997, de 27 de febrero, FJ 2, y 188/2002, de 14 de octubre, FJ 2)’”.</w:t>
      </w:r>
    </w:p>
    <w:p w:rsidR="001D6FAE" w:rsidRDefault="001D6FAE" w:rsidP="001D6FAE">
      <w:pPr>
        <w:pStyle w:val="TextoNormal"/>
      </w:pPr>
    </w:p>
    <w:p w:rsidR="001D6FAE" w:rsidRDefault="001D6FAE" w:rsidP="001D6FAE">
      <w:pPr>
        <w:pStyle w:val="TextoNormal"/>
      </w:pPr>
      <w:r>
        <w:t>Estas consideraciones han llevado al Tribunal a sostener que “no cabe admitir que el órgano judicial formule un juicio de aplicabilidad y relevancia de la norma con rango legal de cuya constitucionalidad dice dudar antes de que se desarrolle el instante estelar del proceso penal, en el que han de practicarse, bajo la vigencia de los principios de oralidad, contradicción, inmediación y publicidad, las pruebas que deben acreditar, en su caso, la efectiva realización de los hechos enjuiciados así como la participación en ellos de los acusados, y antes de que las partes deduzcan sus pretensiones” (ATC 238/2002, FJ 4). En el mismo sentido, entre otros, AATC 421/2003, de 16 de diciembre, FJ 3; 298/2005, FFJJ 2 y 3, y 13/2008, de 16 de enero, FJ 2.</w:t>
      </w:r>
    </w:p>
    <w:p w:rsidR="001D6FAE" w:rsidRDefault="001D6FAE" w:rsidP="001D6FAE">
      <w:pPr>
        <w:pStyle w:val="TextoNormal"/>
      </w:pPr>
    </w:p>
    <w:p w:rsidR="001D6FAE" w:rsidRDefault="001D6FAE" w:rsidP="001D6FAE">
      <w:pPr>
        <w:pStyle w:val="TextoNormal"/>
      </w:pPr>
      <w:r>
        <w:t>La aplicación de esta doctrina al presente caso conlleva, como se ha adelantado, que el planteamiento de la cuestión deba considerarse prematuro al haber planteado el Juez la cuestión de inconstitucionalidad antes de haberse realizado el juicio oral.</w:t>
      </w:r>
    </w:p>
    <w:p w:rsidR="001D6FAE" w:rsidRDefault="001D6FAE" w:rsidP="001D6FAE">
      <w:pPr>
        <w:pStyle w:val="TextoNormal"/>
      </w:pPr>
    </w:p>
    <w:p w:rsidR="001D6FAE" w:rsidRDefault="001D6FAE" w:rsidP="001D6FAE">
      <w:pPr>
        <w:pStyle w:val="TextoNormal"/>
      </w:pPr>
      <w:r w:rsidRPr="001D6FAE">
        <w:rPr>
          <w:rStyle w:val="NumeroAFNegritaCaracter"/>
        </w:rPr>
        <w:t>4</w:t>
      </w:r>
      <w:r>
        <w:t>. Tampoco pueden considerarse debidamente efectuados los juicios de aplicabilidad y de relevancia.</w:t>
      </w:r>
    </w:p>
    <w:p w:rsidR="001D6FAE" w:rsidRDefault="001D6FAE" w:rsidP="001D6FAE">
      <w:pPr>
        <w:pStyle w:val="TextoNormal"/>
      </w:pPr>
    </w:p>
    <w:p w:rsidR="001D6FAE" w:rsidRDefault="001D6FAE" w:rsidP="001D6FAE">
      <w:pPr>
        <w:pStyle w:val="TextoNormal"/>
      </w:pPr>
      <w:r>
        <w:t>Como se ha acaba de indicar, al haberse planteado la cuestión antes de la celebración del juicio oral no ha podido formularse correctamente el juicio de relevancia, pues hasta que este juicio no se celebre el órgano judicial no va a contar con los elementos de juicio necesario para determinar si la conducta enjuiciada es o no constitutiva del delito que se imputa al acusado y, en consecuencia, no se va a poder determinar si la norma que se cuestiona puede ser determinante del fallo.</w:t>
      </w:r>
    </w:p>
    <w:p w:rsidR="001D6FAE" w:rsidRDefault="001D6FAE" w:rsidP="001D6FAE">
      <w:pPr>
        <w:pStyle w:val="TextoNormal"/>
      </w:pPr>
    </w:p>
    <w:p w:rsidR="001D6FAE" w:rsidRDefault="001D6FAE" w:rsidP="001D6FAE">
      <w:pPr>
        <w:pStyle w:val="TextoNormal"/>
      </w:pPr>
      <w:r>
        <w:t>Ahora bien, el incumplimiento de este requisito no se produce en este caso únicamente porque, dado el momento en el que se plantea la cuestión, no es posible determinar si la norma es determinante del fallo. Se da, además, la circunstancia de que el órgano judicial no ha fundamentado debidamente que la norma cuestionada (el art. 16. 3 de la Ley 17/2000) es aplicable al caso y determinante del fallo.</w:t>
      </w:r>
    </w:p>
    <w:p w:rsidR="001D6FAE" w:rsidRDefault="001D6FAE" w:rsidP="001D6FAE">
      <w:pPr>
        <w:pStyle w:val="TextoNormal"/>
      </w:pPr>
    </w:p>
    <w:p w:rsidR="001D6FAE" w:rsidRDefault="001D6FAE" w:rsidP="001D6FAE">
      <w:pPr>
        <w:pStyle w:val="TextoNormal"/>
      </w:pPr>
      <w:r>
        <w:t>Es doctrina constitucional reiterada (entre otras muchas, STC 87/2014) que es el órgano judicial quien “ha de interpretar los requisitos que rigen los procesos propios de su jurisdicción, de forma que es él quien ha de formular los pertinentes juicio de aplicabilidad y relevancia de la norma cuestionada, juicio sobre el que este Tribunal solo ejerce un ‘control meramente externo’ (SSTC 51/2004, de 13 de abril, FJ 1, y 141/2008, de 30 de octubre, FJ 4), concretado en que ‘no puede ponderar o revisar tal apreciación del propio órgano judicial sobre las normas que en cada caso estime aplicables, a salvo el supuesto de que el criterio que así se exponga resulte con toda evidencia errado’” (SSTC 188/1988, de 17 de octubre, FJ 3, y 141/2008, de 30 de octubre, FJ 4).</w:t>
      </w:r>
    </w:p>
    <w:p w:rsidR="001D6FAE" w:rsidRDefault="001D6FAE" w:rsidP="001D6FAE">
      <w:pPr>
        <w:pStyle w:val="TextoNormal"/>
      </w:pPr>
    </w:p>
    <w:p w:rsidR="001D6FAE" w:rsidRDefault="001D6FAE" w:rsidP="001D6FAE">
      <w:pPr>
        <w:pStyle w:val="TextoNormal"/>
      </w:pPr>
      <w:r>
        <w:t>En el presente caso concurre, la salvedad a la que se refiere la doctrina constitucional que se acaba de citar, pues, como se ha señalado, el órgano judicial incurre en un error evidente al apreciar el objeto de la norma que se cuestiona. Según se expone en el Auto de planteamiento:</w:t>
      </w:r>
    </w:p>
    <w:p w:rsidR="001D6FAE" w:rsidRDefault="001D6FAE" w:rsidP="001D6FAE">
      <w:pPr>
        <w:pStyle w:val="TextoNormal"/>
      </w:pPr>
    </w:p>
    <w:p w:rsidR="001D6FAE" w:rsidRDefault="001D6FAE" w:rsidP="001D6FAE">
      <w:pPr>
        <w:pStyle w:val="TextoNormal"/>
      </w:pPr>
      <w:r>
        <w:t>“Respecto al juicio de relevancia de aplicación de la norma al caso, el mismo es claro ya que los escritos de acusación se fundamentan en las restricciones sobre superficies en equipamientos Comerciales mencionadas, que son las mismas restricciones declaradas inconstitucionales en la meritada sentencia que hace referencia a la Ley del Parlamento de Cataluña, bien la presente causa hace referencia a la ley 17/2000 de equipaments comercials, anterior a la declarada inconstitucional, dicha ley en su art. 16.3 apartados a, b y c) establece limitaciones, exigiendo un determinado número de habitantes para el establecimiento de equipamientos comerciales.” (Auto de planteamiento, penúltima página, párrafo tercero).</w:t>
      </w:r>
    </w:p>
    <w:p w:rsidR="001D6FAE" w:rsidRDefault="001D6FAE" w:rsidP="001D6FAE">
      <w:pPr>
        <w:pStyle w:val="TextoNormal"/>
      </w:pPr>
    </w:p>
    <w:p w:rsidR="001D6FAE" w:rsidRDefault="001D6FAE" w:rsidP="001D6FAE">
      <w:pPr>
        <w:pStyle w:val="TextoNormal"/>
      </w:pPr>
      <w:r>
        <w:t>Y al final del Auto se afirma:</w:t>
      </w:r>
    </w:p>
    <w:p w:rsidR="001D6FAE" w:rsidRDefault="001D6FAE" w:rsidP="001D6FAE">
      <w:pPr>
        <w:pStyle w:val="TextoNormal"/>
      </w:pPr>
    </w:p>
    <w:p w:rsidR="001D6FAE" w:rsidRDefault="001D6FAE" w:rsidP="001D6FAE">
      <w:pPr>
        <w:pStyle w:val="TextoNormal"/>
      </w:pPr>
      <w:r>
        <w:t>“El escrito de conclusiones provisionales del Ministerio Fiscal basa su acusación en el hecho de haber concedido licencias municipales sin haber obtenido la preceptiva y vinculante licencia comercial exigida por la Ley 17/2000, de forma previa en sus arts. 4 y 5, estableciendo el art. 20 las infracciones.”</w:t>
      </w:r>
    </w:p>
    <w:p w:rsidR="001D6FAE" w:rsidRDefault="001D6FAE" w:rsidP="001D6FAE">
      <w:pPr>
        <w:pStyle w:val="TextoNormal"/>
      </w:pPr>
    </w:p>
    <w:p w:rsidR="001D6FAE" w:rsidRDefault="001D6FAE" w:rsidP="001D6FAE">
      <w:pPr>
        <w:pStyle w:val="TextoNormal"/>
      </w:pPr>
      <w:r>
        <w:t>Resulta, por tanto, que el órgano judicial fundamenta juicio de aplicabilidad y relevancia de la norma cuestionada (juicio que en el Auto de planteamiento no se deslindan con la debida claridad) en que, según se sostiene, el art. 16.3 de la Ley 17/2000 establece las mismas restricciones a la implantación de centros comerciales que las que contenía el art. 9, apartados 3 y 4, del Decreto-ley 1/2009, en la redacción que otorgó a esta norma el art. 114 de la Ley del Parlamento de Cataluña 9/2011. Tal consideración es con toda evidencia errada, pues el precepto ahora cuestionado no tiene como objeto establecer limitaciones a la implantación de centros comerciales, como se afirma en el Auto de planteamiento, sino regular los supuestos en los que son obligatorios los programas de orientación para los equipamientos comerciales para la instalación de grandes establecimientos comerciales.</w:t>
      </w:r>
    </w:p>
    <w:p w:rsidR="001D6FAE" w:rsidRDefault="001D6FAE" w:rsidP="001D6FAE">
      <w:pPr>
        <w:pStyle w:val="TextoNormal"/>
      </w:pPr>
    </w:p>
    <w:p w:rsidR="001D6FAE" w:rsidRDefault="001D6FAE" w:rsidP="001D6FAE">
      <w:pPr>
        <w:pStyle w:val="TextoNormal"/>
      </w:pPr>
      <w:r>
        <w:t>Y a esta conclusión puede llegarse mediante un control meramente externo, que es el que corresponde ejercer a este Tribunal en relación con el cumplimiento de este requisito, pues la existencia del error se pone de manifiesto “sin necesidad de entrar a examinar el fondo debatido” (entre otras, STC 114/2010, de 24 de noviembre, FJ 3, y 254/2015, de 30 de noviembre, FJ 2). Basta la mera lectura del precepto cuestionado para comprobar que, en contra de lo que se sostiene en el auto de planteamiento, no solo no establece las mismas limitaciones a la implantación de establecimientos comerciales que las que fueron declaradas inconstitucionales por la citada STC 193/2013 (limitaciones, por otra parte, que fueron declaradas inconstitucionales porque no se encontraban debidamente motivadas), sino que, como acaba de indicarse, no impone ninguna limitación, pues lo que en el mismo se regula son los casos en los que es preciso elaborar este instrumento de ordenación —el programa de orientación para los equipamientos comerciales— para poder instalar grandes establecimientos comerciales.</w:t>
      </w:r>
    </w:p>
    <w:p w:rsidR="001D6FAE" w:rsidRDefault="001D6FAE" w:rsidP="001D6FAE">
      <w:pPr>
        <w:pStyle w:val="TextoNormal"/>
      </w:pPr>
    </w:p>
    <w:p w:rsidR="001D6FAE" w:rsidRDefault="001D6FAE" w:rsidP="001D6FAE">
      <w:pPr>
        <w:pStyle w:val="TextoNormal"/>
      </w:pPr>
      <w:r>
        <w:t>Por ello, la argumentación expuesta no permite considerar debidamente efectuado el juicio de aplicabilidad, pues la referida argumentación se fundamenta en una premisa errónea —que la norma cuestionada contiene las mismas restricciones al establecimiento de ciertos centros comerciales que las que fueran declaradas inconstitucionales por la STC 193/2013 cuando la mera lectura del precepto cuestionado pone de manifiesto que el objeto de la norma cuestionada y la de los preceptos que fueron declarados inconstitucionales son diferentes—. Argumentación, por otra parte, que, como pone de manifiesto la Fiscal General del Estado, no fundamenta que el fallo del proceso dependa de esta norma, pues no expone las razones por las que la inconstitucionalidad de la norma podría incidir en el fallo de un proceso que tiene como objeto enjuiciar si el acusado ha incurrido en los delitos de prevaricación que se le imputan por hechos relacionados con la modificación del planeamiento urbanístico y la concesión de licencias municipales.</w:t>
      </w:r>
    </w:p>
    <w:p w:rsidR="001D6FAE" w:rsidRDefault="001D6FAE" w:rsidP="001D6FAE">
      <w:pPr>
        <w:pStyle w:val="TextoNormal"/>
      </w:pPr>
    </w:p>
    <w:p w:rsidR="001D6FAE" w:rsidRDefault="001D6FAE" w:rsidP="001D6FAE">
      <w:pPr>
        <w:pStyle w:val="TextoNormal"/>
      </w:pPr>
      <w:r>
        <w:t>Tampoco puede apreciarse que el órgano judicial haya efectuado debidamente el juicio de aplicación y relevancia de la norma cuestionada cuando afirma, al final del Auto de planteamiento, que el fiscal basa su acusación en el hecho de haber concedido licencia municipal sin haber obtenido la preceptiva y vinculante licencia comercial. Esta consideración no pone de manifiesto que, entre la norma cuestionada, el art. 16.3 de la Ley 17/2000, y el fallo del proceso exista “una verdadera dependencia” (STC 189/1991, de 3 de octubre, FJ 2), o un “nexo de subordinación” (STC 157/1990, de 18 de octubre, FJ 1, y STC 221/2015, de 22 de diciembre, FJ 2), pues la exigencia de haber obtenido una previa licencia comercial para poder instalar un centro comercial no la establece el art. 16.3 de la ley 17/2000, sino, como el propio órgano judicial afirma al final de su resolución, los art. 4 y 5 de esta Ley; preceptos que no han sido los cuestionados. Por esta razón, la referida consideración no permite entender justificado que la norma cuestionada, el art. 16.3 de la Ley 17/2000, es aplicable al caso ni menos aún que es relevante y determinante del fallo.</w:t>
      </w:r>
    </w:p>
    <w:p w:rsidR="001D6FAE" w:rsidRDefault="001D6FAE" w:rsidP="001D6FAE">
      <w:pPr>
        <w:pStyle w:val="TextoNormal"/>
      </w:pPr>
    </w:p>
    <w:p w:rsidR="001D6FAE" w:rsidRDefault="001D6FAE" w:rsidP="001D6FAE">
      <w:pPr>
        <w:pStyle w:val="TextoNormal"/>
      </w:pPr>
      <w:r>
        <w:t>En consecuencia, el órgano judicial no ha efectuado correctamente el juicio de relevancia, que lleva implícito como paso previo la realización del juicio de aplicabilidad (ATC 360/2006, de 10 de octubre), por lo que no puede considerarse justificado que la norma cuestionada sea “aplicable al caso” ni que “de su validez dependa al fallo”, como exige el art. 35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quince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7" w:name="AUTO_2016_183"/>
      <w:r>
        <w:t>AUTO 183/2016, de 15 de noviembre de 2016</w:t>
      </w:r>
    </w:p>
    <w:bookmarkEnd w:id="157"/>
    <w:p w:rsidR="001D6FAE" w:rsidRDefault="001D6FAE" w:rsidP="001D6FAE">
      <w:pPr>
        <w:pStyle w:val="TtuloResolucin"/>
      </w:pPr>
      <w:r>
        <w:t>Pleno</w:t>
      </w:r>
    </w:p>
    <w:p w:rsidR="001D6FAE" w:rsidRDefault="001D6FAE" w:rsidP="001D6FAE">
      <w:pPr>
        <w:pStyle w:val="TtuloBOE"/>
      </w:pPr>
      <w:r>
        <w:t>(BOE núm. 311, de 26 de diciembre de 2016)</w:t>
      </w:r>
    </w:p>
    <w:p w:rsidR="001D6FAE" w:rsidRDefault="001D6FAE" w:rsidP="001D6FAE">
      <w:pPr>
        <w:pStyle w:val="TextoNormalCentrado"/>
      </w:pPr>
      <w:r>
        <w:t>ECLI:ES:TC:2016:183A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don Andrés Ollero Tassara, don Fernando Valdés Dal-Ré, don Juan José González Rivas, don Santiago Martínez-Vares García, don Juan Antonio Xiol Ríos, don Pedro José González-Trevijano Sánchez y don Ricardo Enríquez Sancho.</w:t>
      </w:r>
    </w:p>
    <w:p w:rsidR="001D6FAE" w:rsidRDefault="001D6FAE" w:rsidP="001D6FAE">
      <w:pPr>
        <w:pStyle w:val="SntesisDescriptiva"/>
      </w:pPr>
    </w:p>
    <w:p w:rsidR="001D6FAE" w:rsidRDefault="001D6FAE" w:rsidP="001D6FAE">
      <w:pPr>
        <w:pStyle w:val="SntesisDescriptiva"/>
      </w:pPr>
      <w:r>
        <w:t>Inadmite a trámite la cuestión de inconstitucionalidad 3662-2016, planteada por la Sala de lo Contencioso-Administrativo del Tribunal Superior de Justicia de Castilla-La Mancha en relación con los capítulos I y II de la Ley 9/2011, de 21 de marzo, por la que se crean el canon eólico y el fondo para el desarrollo tecnológico de las energías renovables y el uso racional de la energía en Castilla-La Mancha.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24 de junio de 2016 tuvo entrada en el Registro General de este Tribunal un oficio de la Sección Segunda de la Sala de lo Contencioso-Administrativo del Tribunal Superior de Justicia de Castilla-La Mancha por el que se remite, junto con el testimonio del procedimiento correspondiente, el Auto de 22 de abril de 2016 por el que se acuerda plantear cuestión de inconstitucionalidad respecto de los capítulos I y II de la Ley 9/2011, de 21 de marzo, por la que se crean el canon eólico y el fondo para el desarrollo tecnológico de las energías renovables y el uso racional de la energía en Castilla- La Mancha.</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w:t>
      </w:r>
    </w:p>
    <w:p w:rsidR="001D6FAE" w:rsidRDefault="001D6FAE" w:rsidP="001D6FAE">
      <w:pPr>
        <w:pStyle w:val="TextoNormal"/>
      </w:pPr>
    </w:p>
    <w:p w:rsidR="001D6FAE" w:rsidRDefault="001D6FAE" w:rsidP="001D6FAE">
      <w:pPr>
        <w:pStyle w:val="TextoNormal"/>
      </w:pPr>
      <w:r>
        <w:t>a) La representación procesal de una determinada empresa presentó recurso contencioso-administrativo contra la desestimación por silencio y posterior resolución de 9 de diciembre de 2014 de la comisión superior de hacienda de la Junta de Comunidades de Castilla-La Mancha, por la que se desestima la reclamación económico-administrativa interpuesta contra la resolución de la Dirección General de Industria, Energía y Minas de 21 de enero de 2013, desestimatoria a su vez de la solicitud de rectificación y devolución de ingresos indebidos de las autoliquidaciones del canon eólico correspondientes al segundo, tercer y cuarto trimestres del ejercicio de 2011. La demanda se fundamentaba en que las liquidaciones impugnadas estaban viciadas de inconstitucionalidad por cuanto se trataría de un tributo que se solapa con el impuesto de actividades económicas y con el impuesto sobre bienes inmuebles. Igualmente se alegaba la contravención del art. 191.2 del Tratado de funcionamiento de la Unión Europea, así como de la Directiva 2009/28/CE, de 23 de abril.</w:t>
      </w:r>
    </w:p>
    <w:p w:rsidR="001D6FAE" w:rsidRDefault="001D6FAE" w:rsidP="001D6FAE">
      <w:pPr>
        <w:pStyle w:val="TextoNormal"/>
      </w:pPr>
    </w:p>
    <w:p w:rsidR="001D6FAE" w:rsidRDefault="001D6FAE" w:rsidP="001D6FAE">
      <w:pPr>
        <w:pStyle w:val="TextoNormal"/>
      </w:pPr>
      <w:r>
        <w:t>b) Seguido el procedimiento por sus trámites, se fijó fecha para votación y fallo. El 11 de febrero de 2016 la Sala dictó providencia concediendo a las partes y al Ministerio Fiscal un plazo de diez días para que alegasen sobre la pertinencia de plantear cuestión prejudicial en Tribunal de Justicia de la Unión Europea en relación con las cuestiones siguientes:</w:t>
      </w:r>
    </w:p>
    <w:p w:rsidR="001D6FAE" w:rsidRDefault="001D6FAE" w:rsidP="001D6FAE">
      <w:pPr>
        <w:pStyle w:val="TextoNormal"/>
      </w:pPr>
    </w:p>
    <w:p w:rsidR="001D6FAE" w:rsidRDefault="001D6FAE" w:rsidP="001D6FAE">
      <w:pPr>
        <w:pStyle w:val="TextoNormal"/>
      </w:pPr>
      <w:r>
        <w:t>“1. Si a la vista del articulado de la Ley 9/2011, del canon eólico implantado en nuestra Comunidad Autónoma, el citado canon tiene o no la verdadera naturaleza extrafiscal que se predica o se trata de un simple impuesto con finalidad recaudatoria que grava una manifestación de riqueza o capacidad de renta.</w:t>
      </w:r>
    </w:p>
    <w:p w:rsidR="001D6FAE" w:rsidRDefault="001D6FAE" w:rsidP="001D6FAE">
      <w:pPr>
        <w:pStyle w:val="TextoNormal"/>
      </w:pPr>
    </w:p>
    <w:p w:rsidR="001D6FAE" w:rsidRDefault="001D6FAE" w:rsidP="001D6FAE">
      <w:pPr>
        <w:pStyle w:val="TextoNormal"/>
      </w:pPr>
      <w:r>
        <w:t>2. Si la finalidad disuasoria que se persigue con el canon fiscal mencionado entra o no en contradicción con la Directiva comunitaria 2009/28/CE, que establece estímulos de todo tipo, incluidos los fiscales, para el impulso y desarrollo de las energías limpias y renovables, entre otras, la eólica, al ser más respetuosas con el medio ambiente que otras.</w:t>
      </w:r>
    </w:p>
    <w:p w:rsidR="001D6FAE" w:rsidRDefault="001D6FAE" w:rsidP="001D6FAE">
      <w:pPr>
        <w:pStyle w:val="TextoNormal"/>
      </w:pPr>
    </w:p>
    <w:p w:rsidR="001D6FAE" w:rsidRDefault="001D6FAE" w:rsidP="001D6FAE">
      <w:pPr>
        <w:pStyle w:val="TextoNormal"/>
      </w:pPr>
      <w:r>
        <w:t>3. Si puede existir doble imposición en cuanto al gravamen que el citado canon impone con relación a otros impuestos como son: el impuesto de actividades económicas; el impuesto de bienes inmuebles; el impuesto sobre el valor de producción de la energía eléctrica; el impuesto sobre el valor de la producción de energía eléctrica; el impuesto sobre construcciones, obras e instalaciones y el impuesto o canon urbanístico previsto en la LOTAU (artículos 54.3 y 64.3) en relación con el artículo 33 del Decreto 242/2004, de 27 de julio. La existencia o no de doble imposición se considera relevante, entre otras cosas, a la hora de decidir la conformidad del canon con la citada Directiva 2009/28/CE por el efecto negativo que dicho aspecto produciría con el fin promotor de las energías limpias ya enunciado.</w:t>
      </w:r>
    </w:p>
    <w:p w:rsidR="001D6FAE" w:rsidRDefault="001D6FAE" w:rsidP="001D6FAE">
      <w:pPr>
        <w:pStyle w:val="TextoNormal"/>
      </w:pPr>
    </w:p>
    <w:p w:rsidR="001D6FAE" w:rsidRDefault="001D6FAE" w:rsidP="001D6FAE">
      <w:pPr>
        <w:pStyle w:val="TextoNormal"/>
      </w:pPr>
      <w:r>
        <w:t>4. Si de acuerdo con la Sentencia del Tribunal de Justicia de la Unión Europea de fecha 27 de febrero de 2014 que interpreta la Directiva 92/12/CEE, derogada y sustituida por la Directiva 2008/118/CEE, sobre el denominado ‘céntimo sanitario’, se cumple en el presente caso con el requisito de la finalidad específica de que los rendimientos del impuesto deberían utilizarse obligatoriamente para reducir los costes medioambientales vinculados específicamente al establecimiento y funcionamiento de los parque eólicos.</w:t>
      </w:r>
    </w:p>
    <w:p w:rsidR="001D6FAE" w:rsidRDefault="001D6FAE" w:rsidP="001D6FAE">
      <w:pPr>
        <w:pStyle w:val="TextoNormal"/>
      </w:pPr>
    </w:p>
    <w:p w:rsidR="001D6FAE" w:rsidRDefault="001D6FAE" w:rsidP="001D6FAE">
      <w:pPr>
        <w:pStyle w:val="TextoNormal"/>
      </w:pPr>
      <w:r>
        <w:t>5. De igual modo y con relación a las cuestiones planteadas, se deberá tener en cuenta la Directiva 2003/96/CE, sobre imposición de productos energéticos en cuanto a los beneficios fiscales previstos para las energías limpias.”</w:t>
      </w:r>
    </w:p>
    <w:p w:rsidR="001D6FAE" w:rsidRDefault="001D6FAE" w:rsidP="001D6FAE">
      <w:pPr>
        <w:pStyle w:val="TextoNormal"/>
      </w:pPr>
    </w:p>
    <w:p w:rsidR="001D6FAE" w:rsidRDefault="001D6FAE" w:rsidP="001D6FAE">
      <w:pPr>
        <w:pStyle w:val="TextoNormal"/>
      </w:pPr>
      <w:r>
        <w:t>c) Presentadas las alegaciones de las partes el órgano judicial dictó Auto de 8 de abril de 2016 por el que acuerda plantear cuestiones prejudiciales ante el Tribunal de Justicia de la Unión Europea, del siguiente tenor literal:</w:t>
      </w:r>
    </w:p>
    <w:p w:rsidR="001D6FAE" w:rsidRDefault="001D6FAE" w:rsidP="001D6FAE">
      <w:pPr>
        <w:pStyle w:val="TextoNormal"/>
      </w:pPr>
    </w:p>
    <w:p w:rsidR="001D6FAE" w:rsidRDefault="001D6FAE" w:rsidP="001D6FAE">
      <w:pPr>
        <w:pStyle w:val="TextoNormal"/>
      </w:pPr>
      <w:r>
        <w:t>“1. Configurados los ‘sistemas de apoyo’ definidos en el art. 2 k) de la Directiva 2009/28/CE, y entre ellos, los estímulos fiscales consistentes en desgravaciones fiscales, exenciones y devoluciones de impuestos, como instrumentos dirigidos a la consecución de los objetivos de consumo de energías renovables previstos en la mencionada Directiva 2009/28/CE. ¿Debe entenderse que los mencionados estímulos o medidas tienen carácter obligatorio y son vinculantes para los Estados miembros con un efecto directo en cuanto pueden invocarse y hacerse valer por los particulares afectados en toda clase de instancias públicas, judiciales y administrativas?</w:t>
      </w:r>
    </w:p>
    <w:p w:rsidR="001D6FAE" w:rsidRDefault="001D6FAE" w:rsidP="001D6FAE">
      <w:pPr>
        <w:pStyle w:val="TextoNormal"/>
      </w:pPr>
    </w:p>
    <w:p w:rsidR="001D6FAE" w:rsidRDefault="001D6FAE" w:rsidP="001D6FAE">
      <w:pPr>
        <w:pStyle w:val="TextoNormal"/>
      </w:pPr>
      <w:r>
        <w:t>2. Al enumerarse entre los ‘sistemas de apoyo’ mencionados en la pregunta anterior medidas de estímulo fiscal consistentes en desgravaciones fiscales, exenciones y devoluciones de impuestos, empleándose la expresión ‘sin limitarse a estos’. ¿Deben entenderse comprendidos dentro de esos estímulos precisamente la no imposición, es decir, la prohibición de cualquier clase de gravamen específico y singular adicional, a los impuestos generales que gravan la actividad económica y la producción de electricidad pero sobre la energía procedente de fuentes renovables?. Asimismo y dentro de este mismo apartado se formula la siguiente cuestión: ¿A mayores, también debe entenderse comprendida dentro de la prohibición general anteriormente enunciada la relativa a la concurrencia, doble imposición o solapamiento de múltiples tributos generales o singulares que recaen en distintos momentos sobre la actividad de generación de energías renovables incidiendo en el mismo hecho imponible gravado por el canon eólico objeto de examen?</w:t>
      </w:r>
    </w:p>
    <w:p w:rsidR="001D6FAE" w:rsidRDefault="001D6FAE" w:rsidP="001D6FAE">
      <w:pPr>
        <w:pStyle w:val="TextoNormal"/>
      </w:pPr>
    </w:p>
    <w:p w:rsidR="001D6FAE" w:rsidRDefault="001D6FAE" w:rsidP="001D6FAE">
      <w:pPr>
        <w:pStyle w:val="TextoNormal"/>
      </w:pPr>
      <w:r>
        <w:t>3. Para el caso de darse una respuesta negativa al interrogante anterior y aceptarse la imposición sobre la energía procedente de fuentes renovables, a los efectos de lo previsto en el art. 1.2 de la Directiva 2008/118/CE ¿debe interpretarse la noción de ‘finalidad específica’ en el sentido de que el objetivo en que consista deba ser exclusivo y de que además el impuesto con el que se graven las energías renovables desde el punto de vista de su estructura tenga verdadera naturaleza extrafiscal y no meramente presupuestaria o recaudatoria?</w:t>
      </w:r>
    </w:p>
    <w:p w:rsidR="001D6FAE" w:rsidRDefault="001D6FAE" w:rsidP="001D6FAE">
      <w:pPr>
        <w:pStyle w:val="TextoNormal"/>
      </w:pPr>
    </w:p>
    <w:p w:rsidR="001D6FAE" w:rsidRDefault="001D6FAE" w:rsidP="001D6FAE">
      <w:pPr>
        <w:pStyle w:val="TextoNormal"/>
      </w:pPr>
      <w:r>
        <w:t>4. De acuerdo con lo dispuesto en el art. 4 de la Directiva 2009/96/CE que al referirse a los niveles de imposición que los Estados miembros deben aplicar sobre los productos energéticos y de la electricidad toma como referencia los mínimos de la Directiva entendidos como la suma de todos los impuestos directos e indirectos que se apliquen sobre aquellos productos en el momento de su puesta a consumo. ¿Debe entenderse que esa suma debe llevar a la exclusión del nivel de imposición exigido por la Directiva de aquellos impuestos nacionales que no tengan una verdadera naturaleza extrafiscal tanto desde el punto de vista de su estructura como desde su finalidad específica, interpretada según la respuesta que se dé a la pregunta anterior?</w:t>
      </w:r>
    </w:p>
    <w:p w:rsidR="001D6FAE" w:rsidRDefault="001D6FAE" w:rsidP="001D6FAE">
      <w:pPr>
        <w:pStyle w:val="TextoNormal"/>
      </w:pPr>
    </w:p>
    <w:p w:rsidR="001D6FAE" w:rsidRDefault="001D6FAE" w:rsidP="001D6FAE">
      <w:pPr>
        <w:pStyle w:val="TextoNormal"/>
      </w:pPr>
      <w:r>
        <w:t>5. ¿Constituye el término tasa empleado en el art. 13. núm. 1 e) de la Directiva 2009/28/CE un concepto autónomo del derecho europeo que deba interpretarse en un sentido más amplio como comprensivo y sinónimo también del concepto de tributo en general?</w:t>
      </w:r>
    </w:p>
    <w:p w:rsidR="001D6FAE" w:rsidRDefault="001D6FAE" w:rsidP="001D6FAE">
      <w:pPr>
        <w:pStyle w:val="TextoNormal"/>
      </w:pPr>
    </w:p>
    <w:p w:rsidR="001D6FAE" w:rsidRDefault="001D6FAE" w:rsidP="001D6FAE">
      <w:pPr>
        <w:pStyle w:val="TextoNormal"/>
      </w:pPr>
      <w:r>
        <w:t>6. Para el caso de una respuesta afirmativa a la pregunta anterior la pregunta que planteamos es la siguiente: ¿Las tasas que deben pagar los consumidores a las que se refiere el art. 13. núm. 1 e) mencionado solo pueden incluir aquellos gravámenes o imposiciones fiscales que traten de compensar en este caso los daños causados por su impacto en el medio ambiente y traten de reparar con el importe de la recaudación los daños ligados a tal impacto o afección negativos, pero no aquellos tributos o prestaciones que recayendo sobre las energías no contaminantes cumplan una finalidad primordialmente presupuestaria o recaudatoria?”.</w:t>
      </w:r>
    </w:p>
    <w:p w:rsidR="001D6FAE" w:rsidRDefault="001D6FAE" w:rsidP="001D6FAE">
      <w:pPr>
        <w:pStyle w:val="TextoNormal"/>
      </w:pPr>
    </w:p>
    <w:p w:rsidR="001D6FAE" w:rsidRDefault="001D6FAE" w:rsidP="001D6FAE">
      <w:pPr>
        <w:pStyle w:val="TextoNormal"/>
      </w:pPr>
      <w:r>
        <w:t>d) Por providencia de 26 de febrero de 2016 el órgano judicial acordó oír a las partes y al Ministerio Fiscal para que en el plazo de diez días formulasen alegaciones acerca de la conveniencia de plantear cuestión de inconstitucionalidad sobre la posible inconstitucionalidad de los capítulos I y II de la Ley 9/2011, de 21 de marzo, por la que se crean el canon eólico y el fondo para el desarrollo tecnológico de las energías renovables y el uso racional de la energía en Castilla-La Mancha, por la posible vulneración de los arts. 31.1 y 133.2 CE, “al establecerse una doble imposición, al solaparse el tributo con el hecho imponible de otros tributos y no ser apreciable una finalidad extrafiscal ni desde el punto de vista de la estructura del impuesto ni desde el punto de vista de la asignación y destino de lo recaudado”.</w:t>
      </w:r>
    </w:p>
    <w:p w:rsidR="001D6FAE" w:rsidRDefault="001D6FAE" w:rsidP="001D6FAE">
      <w:pPr>
        <w:pStyle w:val="TextoNormal"/>
      </w:pPr>
    </w:p>
    <w:p w:rsidR="001D6FAE" w:rsidRDefault="001D6FAE" w:rsidP="001D6FAE">
      <w:pPr>
        <w:pStyle w:val="TextoNormal"/>
      </w:pPr>
      <w:r>
        <w:t>La providencia plantea una doble duda. Así, desde lo que denomina punto de vista de la estructura del impuesto, señala literalmente que “la definición del tributo y la regulación de su estructura no permite establecer una distinción real con el Impuesto de Actividades Económicas. Nos remitimos aquí a lo razonado por el Tribunal Supremo en las sentencia de 1 de diciembre de 2015 (FJ 2, apartado 2) y de 10 de julio de 2014 (FJ 5. apartado 2) en cuanto a la figura establecida por la Ley de Galicia 8/2009 con el mismo nombre y estructura”. A lo anterior se añade por la Sala la siguiente reflexión “la finalidad extrafiscal de un tributo que derive de su estructura implica que la actividad del mismo promueve determinadas conductas o disuade de otras (STC 60/2013 y 169/2012, sentencia TJUE de 27 de febrero de 2014). Si se trata de averiguar cuál es la finalidad extrafiscal del canon eólico, en este sentido tal finalidad no puede ser, desde luego, disuadir del desarrollo y uso de una fuente de energía que es relativamente más beneficiosa para el medio ambiente que las posibles alternativas a la misma, y cuya promoción mediante ayudas y exenciones se establece a nivel europeo (Directiva 2009/28/CEE). En caso de que la finalidad sea promover que se desarrolle mediante parques en los que se reduzca el número de aerogeneradores para así promover el uso de los más potentes, debería haber un punto en el que quien se adapte a las condiciones máximas exigidas no pague el tributo, cosa que no sucede”.</w:t>
      </w:r>
    </w:p>
    <w:p w:rsidR="001D6FAE" w:rsidRDefault="001D6FAE" w:rsidP="001D6FAE">
      <w:pPr>
        <w:pStyle w:val="TextoNormal"/>
      </w:pPr>
    </w:p>
    <w:p w:rsidR="001D6FAE" w:rsidRDefault="001D6FAE" w:rsidP="001D6FAE">
      <w:pPr>
        <w:pStyle w:val="TextoNormal"/>
      </w:pPr>
      <w:r>
        <w:t>Desde el punto de vista de la asignación y destino de lo recaudado se afirma que “aunque la afectación del gravamen a una determinada finalidad no es más que uno de los varios indicios, y no precisamente el más importante, para determinar si en el tributo autonómico prima el carácter contributivo o una finalidad extrafiscal ( SSTC 179/2006, 60/2013), en cualquier caso en este supuesto, a diferencia del que examinó el Tribunal Supremo en las sentencias citadas, tampoco es posible apreciar que ese destino justifique la finalidad extrafiscal a la vista de lo razonado en el FJ 5 de la 60/2013, una vez examinado el art. 3 de la Ley, su DT 3ª y las Leyes de Presupuestos Generales de la Junta de Comunidades de Castilla la Mancha dictadas posteriormente (DA 11 Ley 5/2012, DA 12 Ley 10/2012, DA 18 Ley 10/2013, DA 17 Ley 10/2014), donde solo un 50 por 100 o un 36 por 100 de lo recaudado se dedica al Fondo que crea la Ley, mientras que el resto se rige por lo previsto en el art. 3.1, que, aparte de que contiene finalidades no medioambientales, no encuentra concreción alguna en las leyes presupuestarias (únicamente en la Ley 10/2014 se hace referencia a este resto, y se trata en cualquier caso de una mención genérica como las consideradas insuficientes por el TC en las sentencias citadas). Todo ello en contraste con el caso de la Ley Gallega 8/2009, en la que el 100 por 100 del canon aparece destinado al Fondo y aplicado a finalidades ambientales de los municipios donde se sitúan los parques eólicos”.</w:t>
      </w:r>
    </w:p>
    <w:p w:rsidR="001D6FAE" w:rsidRDefault="001D6FAE" w:rsidP="001D6FAE">
      <w:pPr>
        <w:pStyle w:val="TextoNormal"/>
      </w:pPr>
    </w:p>
    <w:p w:rsidR="001D6FAE" w:rsidRDefault="001D6FAE" w:rsidP="001D6FAE">
      <w:pPr>
        <w:pStyle w:val="TextoNormal"/>
      </w:pPr>
      <w:r>
        <w:t>El Letrado de la Junta de Comunidades de Castilla-La Mancha estimó que no procedía el planteamiento de la cuestión de inconstitucionalidad; la representación procesal de la mercantil actora interesó plantear la cuestión y el Ministerio Fiscal también la consideró pertinente.</w:t>
      </w:r>
    </w:p>
    <w:p w:rsidR="001D6FAE" w:rsidRDefault="001D6FAE" w:rsidP="001D6FAE">
      <w:pPr>
        <w:pStyle w:val="TextoNormal"/>
      </w:pPr>
    </w:p>
    <w:p w:rsidR="001D6FAE" w:rsidRDefault="001D6FAE" w:rsidP="001D6FAE">
      <w:pPr>
        <w:pStyle w:val="TextoNormal"/>
      </w:pPr>
      <w:r>
        <w:t>e) Por Auto de 22 de abril de 2016 el órgano judicial planteó cuestión de inconstitucionalidad respecto de los capítulos I y II de la Ley 9/2011, de 21 de marzo, por la que se crean el canon eólico y el fondo para el desarrollo tecnológico de las energías renovables y el uso racional de la energía en Castilla-La Mancha.</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interesa destacar lo siguiente:</w:t>
      </w:r>
    </w:p>
    <w:p w:rsidR="001D6FAE" w:rsidRDefault="001D6FAE" w:rsidP="001D6FAE">
      <w:pPr>
        <w:pStyle w:val="TextoNormal"/>
      </w:pPr>
    </w:p>
    <w:p w:rsidR="001D6FAE" w:rsidRDefault="001D6FAE" w:rsidP="001D6FAE">
      <w:pPr>
        <w:pStyle w:val="TextoNormal"/>
      </w:pPr>
      <w:r>
        <w:t>En primer lugar alude a los antecedentes del caso e inicia sus razonamientos jurídicos recogiendo literalmente los preceptos respecto a los que cuestiona su constitucionalidad (arts. 1 a 14 de la Ley 9/2011). A continuación justifica el cumplimiento de los requisitos del art. 35 de la Ley Orgánica del Tribunal Constitucional (LOTC), en particular el trámite de audiencia, el momento en el que se plantea la cuestión y el juicio de relevancia.</w:t>
      </w:r>
    </w:p>
    <w:p w:rsidR="001D6FAE" w:rsidRDefault="001D6FAE" w:rsidP="001D6FAE">
      <w:pPr>
        <w:pStyle w:val="TextoNormal"/>
      </w:pPr>
    </w:p>
    <w:p w:rsidR="001D6FAE" w:rsidRDefault="001D6FAE" w:rsidP="001D6FAE">
      <w:pPr>
        <w:pStyle w:val="TextoNormal"/>
      </w:pPr>
      <w:r>
        <w:t>Expone seguidamente los motivos por los que duda de la constitucionalidad del canon eólico señalando que “se desarrollará el planteamiento de la inconstitucionalidad del impuesto desde una doble perspectiva: tanto desde el punto de vista de su estructura, atendiendo a si existe o no solapamiento con relación al Impuesto de Actividades Económicas y si cumple o no una verdadera finalidad disuasoria de los comportamiento que trata de evitar con el fin de eludir la contaminación de la naturaleza y sus recursos, como desde la óptica de la asignación y destino de la recaudación a la reparación de los daños medioambientales causados por la instalación de los molinos de viento y su funcionamiento”.</w:t>
      </w:r>
    </w:p>
    <w:p w:rsidR="001D6FAE" w:rsidRDefault="001D6FAE" w:rsidP="001D6FAE">
      <w:pPr>
        <w:pStyle w:val="TextoNormal"/>
      </w:pPr>
    </w:p>
    <w:p w:rsidR="001D6FAE" w:rsidRDefault="001D6FAE" w:rsidP="001D6FAE">
      <w:pPr>
        <w:pStyle w:val="TextoNormal"/>
      </w:pPr>
      <w:r>
        <w:t xml:space="preserve">Por lo que hace a la posible concurrencia del canon cuestionado con el impuesto de actividades económicas (IAE), se remite a lo ya señalado en la providencia, en el sentido que la definición del tributo y la regulación de su estructura no permite establecer una distinción real entre ellos, tal como confirmarían las Sentencias del Tribunal Supremo de 1 de diciembre de 2015 y 10 de julio de 2014, que analizan una figura similar, creada por la Ley del Parlamento de Galicia 8/2009. Así afirma que “en la primera sentencia cuando se analiza el posible solapamiento del canon con el IAE llega a la conclusión de que por la estructura del impuesto existe una duplicidad o concurrencia con tal impuesto y resulta imposible determinar si hay una verdadera finalidad ambiental, o bien una forma distinta de referirse al mismo hecho imponible u objeto de gravamen que el lAE, fiándolo todo a lo que denomina ‘una </w:t>
      </w:r>
      <w:r w:rsidRPr="001D6FAE">
        <w:rPr>
          <w:i/>
        </w:rPr>
        <w:t>intentio legis</w:t>
      </w:r>
      <w:r>
        <w:t xml:space="preserve"> de gravar la actividad contaminante y los riesgos para el medio ambiente’, que en el caso examinado sí aprecia debido a la actividad probatoria desplegada por la Administración gallega”.</w:t>
      </w:r>
    </w:p>
    <w:p w:rsidR="001D6FAE" w:rsidRDefault="001D6FAE" w:rsidP="001D6FAE">
      <w:pPr>
        <w:pStyle w:val="TextoNormal"/>
      </w:pPr>
    </w:p>
    <w:p w:rsidR="001D6FAE" w:rsidRDefault="001D6FAE" w:rsidP="001D6FAE">
      <w:pPr>
        <w:pStyle w:val="TextoNormal"/>
      </w:pPr>
      <w:r>
        <w:t>A diferencia de ese caso, el Auto argumenta que no es posible sostener la finalidad extrafiscal del tributo, pues de las normas que regulan esta cuestión deduce que “solo un 50 por 100 o un 36 por 100 de lo recaudado se dedica al Fondo que crea la Ley; mientras que el resto se rige por lo previsto en el art. 3.1, que, aparte de que contiene finalidades no medioambientales, no encuentra concreción alguna en las leyes presupuestarias”. Para el Auto, eso evidencia “una manifiesta desconexión entre los ingresos procedentes del impuesto y la persecución de objetivos de naturaleza medioambiental proyectados por la Junta de Comunidades”. Esa desconexión no se vería salvada por la documentación que la representación procesal de la Junta de Comunidades de Castilla-La Mancha acompañó a su escrito de alegaciones en el trámite de audiencia. Por ello el órgano judicial señala que “es desde esta perspectiva, que afirma el carácter puramente fiscal y recaudatorio del impuesto, bajo la que nos planteamos la concurrencia o doble imposición con el impuesto de actividades económicas, que justifica el planteamiento de la cuestión. Pero es que además estamos ante un tributo que vulnera los límites constitucionales del poder tributario de las Comunidades Autónomas fijados por el art. 6.3 de la Ley Orgánica de Financiación de las Comunidades Autónomas 8/2008, de 22 de septiembre, modificada por la Ley Orgánica 3/2009”. Así, defiende que, despojado el canon eólico regulado en la Ley 9/2011 de su carácter impuesto medioambiental, “debemos sostener que la regulación de dicho impuesto por la Comunidad Autónoma de Castilla La Mancha desborda su poder normativo entrando en confrontación directa y vulnerando el art. 6.3 de la LOFCA, y dando lugar, a su vez, a un supuesto de doble imposición legalmente prohibido”.</w:t>
      </w:r>
    </w:p>
    <w:p w:rsidR="001D6FAE" w:rsidRDefault="001D6FAE" w:rsidP="001D6FAE">
      <w:pPr>
        <w:pStyle w:val="TextoNormal"/>
      </w:pPr>
    </w:p>
    <w:p w:rsidR="001D6FAE" w:rsidRDefault="001D6FAE" w:rsidP="001D6FAE">
      <w:pPr>
        <w:pStyle w:val="TextoNormal"/>
      </w:pPr>
      <w:r>
        <w:t>El Auto expone las razones en las que apoya la inconstitucionalidad del canon atendiendo a su estructura y desde el punto de vista de la asignación y destino de lo recaudado. Señala que para determinar si un impuesto tiene naturaleza extrafiscal y no meramente presupuestaria sería necesario el cumplimiento de dos requisitos: a) que por su estructura disuada de determinadas conductas estimulando la protección del medio ambiente, y b) que los ingresos y su recaudación se destinen a un fin no presupuestario, en este caso a reparar los posibles daños causados en el medio ambiente como consecuencia de la instalación de aerogeneradores.</w:t>
      </w:r>
    </w:p>
    <w:p w:rsidR="001D6FAE" w:rsidRDefault="001D6FAE" w:rsidP="001D6FAE">
      <w:pPr>
        <w:pStyle w:val="TextoNormal"/>
      </w:pPr>
    </w:p>
    <w:p w:rsidR="001D6FAE" w:rsidRDefault="001D6FAE" w:rsidP="001D6FAE">
      <w:pPr>
        <w:pStyle w:val="TextoNormal"/>
      </w:pPr>
      <w:r>
        <w:t>El órgano judicial cuestiona que ambos se cumplan. Señala, en primer lugar, el carácter limpio de la energía gravada y la ausencia de función disuasoria del tributo. Igualmente controvierte que la definición del hecho imponible se hace “de manera generalista e imprecisa sin concreción de los impactos negativos en el medio ambiente que provoca una energía limpia por definición a la que se considera contaminante sin explicarlo, y en función de los aerogeneradores instalados, computando todos ellos por igual”. Reitera que la finalidad extrafiscal del tributo resulta desdibujada cuando sólo se asigna determinado porcentaje de lo recaudado al fondo que crea la propia norma, pudiendo dedicarse lo restante a fines de carácter socioeconómico y tecnológico de Castilla-La Mancha. Alude a la STC 60/2013, de la que se desprendería que la extrafiscalidad requiere la asignación a fines perfectamente identificables.</w:t>
      </w:r>
    </w:p>
    <w:p w:rsidR="001D6FAE" w:rsidRDefault="001D6FAE" w:rsidP="001D6FAE">
      <w:pPr>
        <w:pStyle w:val="TextoNormal"/>
      </w:pPr>
    </w:p>
    <w:p w:rsidR="001D6FAE" w:rsidRDefault="001D6FAE" w:rsidP="001D6FAE">
      <w:pPr>
        <w:pStyle w:val="TextoNormal"/>
      </w:pPr>
      <w:r>
        <w:t>Por todo lo expuesto, la Sala entiende que los preceptos cuestionados vulneran los arts. 31.1 y 132.2 CE “por cuanto bajo una apariencia de tributo de cariz extrafiscal tanto desde el punto del destino de lo recaudado como de su estructura en realidad se presenta como tributo que grava una manifestación de riqueza como es la producción de energía eléctrica a través de aerogeneradores o molinos de viento en concurrencia con el Impuesto de Actividades Económicas, dando lugar a un caso de doble imposición, al carecer, entre otros motivos, la Junta de Comunidades de Castilla-La Mancha de poder normativo para el establecimiento de tal impuesto”.</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20 de septiembre de 2016 la Sección Cuarta acordó, a los efectos que determina el art. 37.1 LOTC, oír al Fiscal General del Estado para que, en el plazo de diez días, alegue lo que considere conveniente acerca de la admisibilidad de la presente cuestión de inconstitucionalidad en relación con el cumplimiento de los requisitos de aplicabilidad y relevancia, así como por si fuere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sus alegaciones el día 20 de octubre de 2016 interesando la inadmisión de la cuestión por los motivos que se resumen a continuación.</w:t>
      </w:r>
    </w:p>
    <w:p w:rsidR="001D6FAE" w:rsidRDefault="001D6FAE" w:rsidP="001D6FAE">
      <w:pPr>
        <w:pStyle w:val="TextoNormal"/>
      </w:pPr>
    </w:p>
    <w:p w:rsidR="001D6FAE" w:rsidRDefault="001D6FAE" w:rsidP="001D6FAE">
      <w:pPr>
        <w:pStyle w:val="TextoNormal"/>
      </w:pPr>
      <w:r>
        <w:t>Tras exponer los antecedentes del caso, el tenor literal de los preceptos legales cuestionados y la tramitación seguida por la cuestión, la Fiscal General del Estado examina el cumplimiento de los denominados juicios de aplicabilidad y relevancia. A tales efectos recuerda la doctrina constitucional respecto a ambos. Señala a continuación que el órgano judicial ha sostenido en el Auto de planteamiento que los preceptos que cuestiona son directamente aplicables al caso por establecer tanto la estructura del impuesto como la afectación de los ingresos obtenidos. Destaca, sin embargo, que la Sala no dedica ningún razonamiento a la exposición de las razones por las que ha decidido plantear también cuestión prejudicial ante el Tribunal de Justicia de la Unión Europea, como tampoco ha justificado en forma alguna los motivos por los que ha entendido que, siendo procedente el planteamiento de ambas cuestiones, éstas hubieran de ser simultaneadas en lugar de plantearse sucesivamente, ni la medida en que el planteamiento de la cuestión prejudicial pudiera afectar al correcto planeamiento de la cuestión de inconstitucionalidad. Recuerda la Fiscal General del Estado los pronunciamientos de este Tribunal en relación con la primacía del derecho comunitario así como que la cuestión prejudicial configura un instrumento más al servicio de los jueces y tribunales para la depuración del Ordenamiento jurídico. Señala el Ministerio público que la cuestión prejudicial y la cuestión de inconstitucionalidad constituyen instrumentos procesales orientados a hacer valer la normatividad del derecho nacional y del derecho de la Unión Europea, respectivamente, pero responden a exigencias diferentes. Ambas, no obstante, son necesarias para hacer compatibles las dos condiciones de eficacia que pesan sobre una ley: la validez de la norma, dependiente de su constitucionalidad, y la aplicabilidad de la norma, dependiente de su compatibilidad con el derecho de la Unión Europea. Tales condiciones son, sin embargo, autónomas, de modo que concurren así en el juez nacional dos obligaciones. De una parte, la de garantizar la supremacía de la Constitución frente a la ley; y, de otra parte, la aplicación preferente del derecho de la Unión Europea frente a cualesquiera normas nacionales. Eso plantea la cuestión de si la prioridad, en casos como el presente, debiera corresponder, por principio, a la cuestión prejudicial, dado que la incompatibilidad de la Ley con el derecho de la Unión Europea sería causa de inaplicabilidad y faltaría, por tanto, una de las condiciones exigidas para el correcto planteamiento de la cuestión de inconstitucionalidad. Esta última sería admisible si se hubiera descartado que la Ley cuestionada fuera incompatible con el derecho de la Unión Europea y, en consecuencia, inaplicable.</w:t>
      </w:r>
    </w:p>
    <w:p w:rsidR="001D6FAE" w:rsidRDefault="001D6FAE" w:rsidP="001D6FAE">
      <w:pPr>
        <w:pStyle w:val="TextoNormal"/>
      </w:pPr>
    </w:p>
    <w:p w:rsidR="001D6FAE" w:rsidRDefault="001D6FAE" w:rsidP="001D6FAE">
      <w:pPr>
        <w:pStyle w:val="TextoNormal"/>
      </w:pPr>
      <w:r>
        <w:t xml:space="preserve">La decisión del órgano judicial de plantear cuestión prejudicial tiene un efecto necesario y directo sobre la cuestión de inconstitucionalidad planteada. Y ello porque en el caso de que las normas cuestionadas sean incompatibles con el derecho de la Unión Europea, la consecuencia sería que tales preceptos no pudieran ser aplicados para la decisión de la controversia que se ventila en el proceso </w:t>
      </w:r>
      <w:r w:rsidRPr="001D6FAE">
        <w:rPr>
          <w:i/>
        </w:rPr>
        <w:t>a quo</w:t>
      </w:r>
      <w:r>
        <w:t>, lo cual, a su vez, ha de determinar, aquí y ahora, la ausencia de una de las condiciones necesarias para la admisión de una cuestión de inconstitucionalidad, cual es que la norma o normas cuestionadas sean aplicables para la resolución del caso sometido a enjuiciamiento de constitucionalidad. Aspecto este sobre el que el Auto de planteamiento omite cualquier razonamiento, por lo que no puede evitar una decisión de inadmisión por indebida formulación del juicio de aplicabilidad, lo cual a su vez excusa de efectuar consideración alguna acerca del denominado juicio de relevancia.</w:t>
      </w:r>
    </w:p>
    <w:p w:rsidR="001D6FAE" w:rsidRDefault="001D6FAE" w:rsidP="001D6FAE">
      <w:pPr>
        <w:pStyle w:val="TextoNormal"/>
      </w:pPr>
    </w:p>
    <w:p w:rsidR="001D6FAE" w:rsidRDefault="001D6FAE" w:rsidP="001D6FAE">
      <w:pPr>
        <w:pStyle w:val="TextoNormal"/>
      </w:pPr>
      <w:r>
        <w:t>Por lo que respecta al carácter infundado de la cuestión planteada, la Fiscal General del Estado recuerda la duda de constitucionalidad que se plantea, señalando que su análisis ha de comenzar con la determinación del canon de constitucionalidad aplicable, el cual, en el presente caso, viene dado por el art. 6.3 de la Ley Orgánica de financiación de las Comunidades Autónomas (LOFCA), modificado por la Ley Orgánica 3/2009, de 18 de diciembre. A propósito de dicho canon, el Ministerio público recuerda algunos principios básicos de la doctrina constitucional relativa a la autonomía financiera de las Comunidades Autónomas, lo que se efectuará siguiendo la doctrina de la STC 122/2012, de 5 de junio, FJ 3. Así, recalca i) que el canon de interpretación del nuevo art. 6.3 LOFCA debe ser delimitado tomando como punto de partida la doctrina sobre el art. 6.2 LOFCA; ii) que la LOFCA, en su artículo 6, condiciona el ejercicio de los tributos propios a dos límites la ocupación de la riqueza gravable tanto por los tributos estatales como por los locales; iii) que la intención del legislador orgánico cuando ha dado nueva redacción al art. 6.3 LOFCA ha sido asimilar los límites establecidos en los arts. 6.2 y 6.3 LOFCA; iv) que, respecto al art. 6.2 LOFCA, no procede identificar los conceptos de “materia imponible” y “hecho imponible”, porque ello conduciría a una interpretación extensiva del art. 6.2 LOFCA, notoriamente alejada del verdadero alcance de la prohibición que en dicha norma se contiene; v) que el “hecho imponible” es un concepto estrictamente jurídico que la Ley fija en cada caso para configurar cada tributo y cuya realización origina el nacimiento de la obligación tributaria; vi) que, por “materia imponible” u “objeto del tributo” debe entenderse toda fuente de riqueza, renta o cualquier otro elemento de la actividad económica que el legislador decida someter a imposición, lo que, en definitiva, preexiste al hecho imponible; vii) que es posible afirmar que el art. 6.3 LOFCA no tiene por objeto impedir que las Comunidades Autónomas establezcan tributos propios sobre objetos materiales o fuentes impositivas ya gravadas por los tributos locales, sino que prohíbe, en sus propios términos, la duplicidad de hechos imponibles y viii) que para determinar si se ha producido esa duplicidad de hechos imponibles será necesario partir de la redacción que los legisladores autonómico y estatal hayan dado al hecho imponible del impuesto sobre actividades económicas, por ser el impuesto que ahora interesa.</w:t>
      </w:r>
    </w:p>
    <w:p w:rsidR="001D6FAE" w:rsidRDefault="001D6FAE" w:rsidP="001D6FAE">
      <w:pPr>
        <w:pStyle w:val="TextoNormal"/>
      </w:pPr>
    </w:p>
    <w:p w:rsidR="001D6FAE" w:rsidRDefault="001D6FAE" w:rsidP="001D6FAE">
      <w:pPr>
        <w:pStyle w:val="TextoNormal"/>
      </w:pPr>
      <w:r>
        <w:t>Para analizar la regulación del hecho imponible, ha de tomarse en consideración no sólo este elemento, sino abarcar también los restantes elementos del tributo que se encuentran conectados con el hecho imponible, es decir, los sujetos pasivos, la base imponible, la capacidad económica gravada o los supuestos de no sujeción y exención. Otro de los criterios que puede ser útil para distinguir los hechos imponibles de dos impuestos es si su finalidad es básicamente fiscal o extrafiscal, la cual tendrá que aparecer reflejada en la estructura del impuesto y plasmarse en su hecho imponible.</w:t>
      </w:r>
    </w:p>
    <w:p w:rsidR="001D6FAE" w:rsidRDefault="001D6FAE" w:rsidP="001D6FAE">
      <w:pPr>
        <w:pStyle w:val="TextoNormal"/>
      </w:pPr>
    </w:p>
    <w:p w:rsidR="001D6FAE" w:rsidRDefault="001D6FAE" w:rsidP="001D6FAE">
      <w:pPr>
        <w:pStyle w:val="TextoNormal"/>
      </w:pPr>
      <w:r>
        <w:t>Recuerda la Fiscal General del Estado que la Comunidad Autónoma ostenta competencia exclusiva sobre las instalaciones de producción, distribución y transporte de energía, cuando el transporte no salga de su territorio y su aprovechamiento no afecte a otra Comunidad Autónoma, así como que la hacienda de la Comunidad Autónoma se constituye con, entre otros, los rendimientos de sus propios impuestos, tasas y contribuciones especiales, reguladas por ley autonómica, correspondiendo a la Comunidad Autónoma la gestión, recaudación, liquidación e inspección de sus propios tributos. Cita además el art. 45 CE y las competencias básicas del Estado y autonómicas de desarrollo relacionadas con dicho principio rector.</w:t>
      </w:r>
    </w:p>
    <w:p w:rsidR="001D6FAE" w:rsidRDefault="001D6FAE" w:rsidP="001D6FAE">
      <w:pPr>
        <w:pStyle w:val="TextoNormal"/>
      </w:pPr>
    </w:p>
    <w:p w:rsidR="001D6FAE" w:rsidRDefault="001D6FAE" w:rsidP="001D6FAE">
      <w:pPr>
        <w:pStyle w:val="TextoNormal"/>
      </w:pPr>
      <w:r>
        <w:t>Conforme a las anteriores precisiones considera la Fiscal General del Estado que se está ya en disposición de analizar la cuestión de inconstitucionalidad planteada. Indica que la Sala entiende que bajo la apariencia de tributo de carácter extrafiscal, se esconde en realidad un tributo que grava una manifestación de riqueza, la producción de energía eléctrica a través de aerogeneradores o molinos de viento, en concurrencia con el impuesto de actividades económicas (IAE), dando lugar con ello a un caso de doble imposición prohibido por el art. 6.3 LOFCA. El análisis de la cuestión así planteada obliga a determinar, en primer término, las características del canon eólico, examinando la naturaleza y el objeto del impuesto, el hecho imponible, las exenciones, los obligados tributarios, la base imponible, el tipo de gravamen y cuota, el período impositivo y devengo y la afectación de los ingresos generados por el canon. Ese mismo análisis se hace en relación con el IAE para concluir que no existe un supuesto de doble imposición prohibida por el art. 6.3 LOFCA. En efecto, i) el canon eólico atiende al daño para el medio ambiente que se deriva de la instalación de aerogeneradores, mientras que el IAE grava únicamente el ejercicio de una actividad económica; ii) el hecho imponible del canon eólico está constituido por “la generación de afecciones e impactos adversos sobre el medio natural y sobre el territorio” como consecuencia de la instalación en parques eólicos de aerogeneradores afectos a la producción de energía eléctrica, mientras que el hecho imponible del IAE está constituido por el “mero ejercicio, en territorio nacional, de actividades empresariales, profesionales o artísticas”, lo cual revela una evidente diferencia; iii) la base imponible del canon eólico está constituida por la “suma de unidades de aerogeneradores existentes en un parque eólico” con independencia de su potencia, mientras que en el 1AE se contempla la potencia instalada y iv) el canon eólico tiene, al menos parcialmente, una finalidad extrafiscal.</w:t>
      </w:r>
    </w:p>
    <w:p w:rsidR="001D6FAE" w:rsidRDefault="001D6FAE" w:rsidP="001D6FAE">
      <w:pPr>
        <w:pStyle w:val="TextoNormal"/>
      </w:pPr>
    </w:p>
    <w:p w:rsidR="001D6FAE" w:rsidRDefault="001D6FAE" w:rsidP="001D6FAE">
      <w:pPr>
        <w:pStyle w:val="TextoNormal"/>
      </w:pPr>
      <w:r>
        <w:t>Por lo anterior, la Fiscal General del Estado considera que no se da la concurrencia con el IAE que ha apreciado el órgano judicial ni se está por ello ante u n caso de doble imposición prohibido por el art. 6.3 LOFCA lo cual implica que esta cuestión de inconstitucionalidad haya de ser considerada infundada, por lo que deberá resolverse con arreglo a lo establecido en el segundo inciso del art. 37.1 LOTC.</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Segunda de la Sala de lo Contencioso-Administrativo del Tribunal Superior de Justicia de Castilla-La Mancha promueve cuestión de inconstitucionalidad respecto de los capítulos I y II de la Ley 9/2011, de 21 de marzo, por la que se crean el canon eólico y el fondo para el desarrollo tecnológico de las energías renovables y el uso racional de la energía en Castilla-La Mancha.</w:t>
      </w:r>
    </w:p>
    <w:p w:rsidR="001D6FAE" w:rsidRDefault="001D6FAE" w:rsidP="001D6FAE">
      <w:pPr>
        <w:pStyle w:val="TextoNormal"/>
      </w:pPr>
    </w:p>
    <w:p w:rsidR="001D6FAE" w:rsidRDefault="001D6FAE" w:rsidP="001D6FAE">
      <w:pPr>
        <w:pStyle w:val="TextoNormal"/>
      </w:pPr>
      <w:r>
        <w:t>El capítulo I, titulado objeto y contenido de la Ley, está integrado por el artículo 1 que recoge la finalidad y contenido. El capítulo II, “Del canon eólico”, lo forman los arts. 2 a 14. Dichos preceptos regulan el canon eólico fijando sucesivamente, además de la naturaleza y objeto del canon, la afectación de los ingresos derivados del mismo y sus elementos esenciales: hecho imponible, período impositivo y devengo, sujetos pasivos y responsables solidarios del impuesto, base imponible, tipos de gravamen y cuota tributaria. Cierran el capítulo las normas de gestión necesarias para su aplicación.</w:t>
      </w:r>
    </w:p>
    <w:p w:rsidR="001D6FAE" w:rsidRDefault="001D6FAE" w:rsidP="001D6FAE">
      <w:pPr>
        <w:pStyle w:val="TextoNormal"/>
      </w:pPr>
    </w:p>
    <w:p w:rsidR="001D6FAE" w:rsidRDefault="001D6FAE" w:rsidP="001D6FAE">
      <w:pPr>
        <w:pStyle w:val="TextoNormal"/>
      </w:pPr>
      <w:r>
        <w:t>La Fiscal General del Estado, por las razones expuestas en los antecedentes, ha interesado la inadmisión de la cuestión por incumplimiento de los requisitos procesales, así como por considerarla notoriamente infundada.</w:t>
      </w:r>
    </w:p>
    <w:p w:rsidR="001D6FAE" w:rsidRDefault="001D6FAE" w:rsidP="001D6FAE">
      <w:pPr>
        <w:pStyle w:val="TextoNormal"/>
      </w:pPr>
    </w:p>
    <w:p w:rsidR="001D6FAE" w:rsidRDefault="001D6FAE" w:rsidP="001D6FAE">
      <w:pPr>
        <w:pStyle w:val="TextoNormal"/>
      </w:pPr>
      <w:r>
        <w:t xml:space="preserve">De acuerdo con lo previsto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Ambas circunstancias concurren en el presente caso.</w:t>
      </w:r>
    </w:p>
    <w:p w:rsidR="001D6FAE" w:rsidRDefault="001D6FAE" w:rsidP="001D6FAE">
      <w:pPr>
        <w:pStyle w:val="TextoNormal"/>
      </w:pPr>
    </w:p>
    <w:p w:rsidR="001D6FAE" w:rsidRDefault="001D6FAE" w:rsidP="001D6FAE">
      <w:pPr>
        <w:pStyle w:val="TextoNormal"/>
      </w:pPr>
      <w:r w:rsidRPr="001D6FAE">
        <w:rPr>
          <w:rStyle w:val="NumeroAFNegritaCaracter"/>
        </w:rPr>
        <w:t>2</w:t>
      </w:r>
      <w:r>
        <w:t>. 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001D6FAE" w:rsidRDefault="001D6FAE" w:rsidP="001D6FAE">
      <w:pPr>
        <w:pStyle w:val="TextoNormal"/>
      </w:pPr>
    </w:p>
    <w:p w:rsidR="001D6FAE" w:rsidRDefault="001D6FAE" w:rsidP="001D6FAE">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001D6FAE" w:rsidRDefault="001D6FAE" w:rsidP="001D6FAE">
      <w:pPr>
        <w:pStyle w:val="TextoNormal"/>
      </w:pPr>
    </w:p>
    <w:p w:rsidR="001D6FAE" w:rsidRDefault="001D6FAE" w:rsidP="001D6FAE">
      <w:pPr>
        <w:pStyle w:val="TextoNormal"/>
      </w:pPr>
      <w:r>
        <w:t>La aplicación en este caso de la referida doctrina constitucional conduce a declarar la inadmisión de la cuestión de inconstitucionalidad por incumplimiento del juicio de aplicabilidad.</w:t>
      </w:r>
    </w:p>
    <w:p w:rsidR="001D6FAE" w:rsidRDefault="001D6FAE" w:rsidP="001D6FAE">
      <w:pPr>
        <w:pStyle w:val="TextoNormal"/>
      </w:pPr>
    </w:p>
    <w:p w:rsidR="001D6FAE" w:rsidRDefault="001D6FAE" w:rsidP="001D6FAE">
      <w:pPr>
        <w:pStyle w:val="TextoNormal"/>
      </w:pPr>
      <w:r>
        <w:t xml:space="preserve">Como ya se ha expuesto, la Sección ha planteado casi simultáneamente respecto de los mismos preceptos legales cuestión de inconstitucionalidad ante este Tribunal y cuestión prejudicial ante el Tribunal de Justicia de la Unión Europea (TJUE), en los términos antes transcritos. El planteamiento de la cuestión prejudicial ante el Tribunal de Justicia de la Unión Europea y de la cuestión de inconstitucionalidad ante este Tribunal determina que no pueda entenderse cumplido, respecto de la admisibilidad de esta, el requisito de que la norma con rango de ley cuestionada sea “aplicable al caso” (arts. 163 CE y 35.1 LOTC), por las razones que ya dejamos señaladas en el ATC 168/2016, de 4 de octubre, FJ 4, al que ahora procede remitirse </w:t>
      </w:r>
      <w:r w:rsidRPr="001D6FAE">
        <w:rPr>
          <w:i/>
        </w:rPr>
        <w:t>in totum</w:t>
      </w:r>
      <w:r>
        <w:t>.</w:t>
      </w:r>
    </w:p>
    <w:p w:rsidR="001D6FAE" w:rsidRDefault="001D6FAE" w:rsidP="001D6FAE">
      <w:pPr>
        <w:pStyle w:val="TextoNormal"/>
      </w:pPr>
    </w:p>
    <w:p w:rsidR="001D6FAE" w:rsidRDefault="001D6FAE" w:rsidP="001D6FAE">
      <w:pPr>
        <w:pStyle w:val="TextoNormal"/>
      </w:pPr>
      <w:r>
        <w:t>En efecto, allí se concluyó que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TJUE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1D6FAE" w:rsidRDefault="001D6FAE" w:rsidP="001D6FAE">
      <w:pPr>
        <w:pStyle w:val="TextoNormal"/>
      </w:pPr>
    </w:p>
    <w:p w:rsidR="001D6FAE" w:rsidRDefault="001D6FAE" w:rsidP="001D6FAE">
      <w:pPr>
        <w:pStyle w:val="TextoNormal"/>
      </w:pPr>
      <w:r>
        <w:t>En atención a la anterior doctrina, no puede entenderse que el juicio de aplicabilidad haya sido adecuadamente formulado, incumpliéndose así lo prevenido en el art. 35 LOTC.</w:t>
      </w:r>
    </w:p>
    <w:p w:rsidR="001D6FAE" w:rsidRDefault="001D6FAE" w:rsidP="001D6FAE">
      <w:pPr>
        <w:pStyle w:val="TextoNormal"/>
      </w:pPr>
    </w:p>
    <w:p w:rsidR="001D6FAE" w:rsidRDefault="001D6FAE" w:rsidP="001D6FAE">
      <w:pPr>
        <w:pStyle w:val="TextoNormal"/>
      </w:pPr>
      <w:r w:rsidRPr="001D6FAE">
        <w:rPr>
          <w:rStyle w:val="NumeroAFNegritaCaracter"/>
        </w:rPr>
        <w:t>3</w:t>
      </w:r>
      <w:r>
        <w:t>. Hemos de coincidir también con la Fiscal General del Estado en que la duda de constitucionalidad que se plantea es notoriamente infundada en el sentido que a esta expresión le ha atribuido la doctrina del Tribunal (por todos, ATC 43/2014, de 12 de febrero, FJ 3).</w:t>
      </w:r>
    </w:p>
    <w:p w:rsidR="001D6FAE" w:rsidRDefault="001D6FAE" w:rsidP="001D6FAE">
      <w:pPr>
        <w:pStyle w:val="TextoNormal"/>
      </w:pPr>
    </w:p>
    <w:p w:rsidR="001D6FAE" w:rsidRDefault="001D6FAE" w:rsidP="001D6FAE">
      <w:pPr>
        <w:pStyle w:val="TextoNormal"/>
      </w:pPr>
      <w: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existen supuestos en los que un examen preliminar permite apreciar la falta de viabilidad de la cuestión suscitada. Ello no significa necesariamente, que dicha cuestión carezca de forma total y absoluta de fundamentación o que ésta sea arbitraria. Hemos reiterado que puede resultar conveniente en tales casos resolver la cuestión en la primera fase procesal, máxime si su admisión, como ocurre en este caso, pudiera provocar efectos no deseables, como la paralización de múltiples procesos en los que resulte aplicable la norma cuestionada (entre otros, </w:t>
      </w:r>
      <w:r w:rsidRPr="001D6FAE">
        <w:rPr>
          <w:i/>
        </w:rPr>
        <w:t>vid</w:t>
      </w:r>
      <w:r>
        <w:t xml:space="preserve"> ATC 417/2005, de 22 de noviembre, FJ 3, con cita de muchos otros; así como los AATC 121/2015, de 7 de julio, FJ 2; 194/2015, de 18 de noviembre, FJ 3, y 14/2016, de 19 de enero, FJ 2, entre muchos otros).</w:t>
      </w:r>
    </w:p>
    <w:p w:rsidR="001D6FAE" w:rsidRDefault="001D6FAE" w:rsidP="001D6FAE">
      <w:pPr>
        <w:pStyle w:val="TextoNormal"/>
      </w:pPr>
    </w:p>
    <w:p w:rsidR="001D6FAE" w:rsidRDefault="001D6FAE" w:rsidP="001D6FAE">
      <w:pPr>
        <w:pStyle w:val="TextoNormal"/>
      </w:pPr>
      <w:r>
        <w:t>El órgano judicial plantea formalmente que los capítulos I y II de la Ley 9/2011 contravienen los arts. 31.1 y 133.2 CE. En realidad, como la tramitación de la cuestión de inconstitucionalidad pone de manifiesto, la duda que el órgano judicial ha trasladado a las partes y ha razonado en el Auto de planteamiento tiene que ver con dos cuestiones que, bien que relacionadas con los anteriores preceptos constitucionales, no versan exactamente sobre ellos.</w:t>
      </w:r>
    </w:p>
    <w:p w:rsidR="001D6FAE" w:rsidRDefault="001D6FAE" w:rsidP="001D6FAE">
      <w:pPr>
        <w:pStyle w:val="TextoNormal"/>
      </w:pPr>
    </w:p>
    <w:p w:rsidR="001D6FAE" w:rsidRDefault="001D6FAE" w:rsidP="001D6FAE">
      <w:pPr>
        <w:pStyle w:val="TextoNormal"/>
      </w:pPr>
      <w:r>
        <w:t>Ambas cuestiones son: a) que se trate de un supuesto de doble imposición vedada por el art. 6.3 de la Ley Orgánica 8/1980, de 22 de septiembre, de financiación de las comunidades autónomas (LOFCA), en cuanto que el hecho imponible del canon eólico coincidiría con el tributo local impuesto sobre actividades económicas (IAE), y b) relacionado con el anterior, la carencia de finalidad extrafiscal del tributo cuestionado, lo que, a su vez, impediría apreciar que no estamos ante un supuesto de doble imposición prohibido por la LOFCA. Es la respuesta negativa a dichas cuestiones lo que lleva al órgano judicial a considerar infringidos los arts. 31.1 y 133.2 CE.</w:t>
      </w:r>
    </w:p>
    <w:p w:rsidR="001D6FAE" w:rsidRDefault="001D6FAE" w:rsidP="001D6FAE">
      <w:pPr>
        <w:pStyle w:val="TextoNormal"/>
      </w:pPr>
    </w:p>
    <w:p w:rsidR="001D6FAE" w:rsidRDefault="001D6FAE" w:rsidP="001D6FAE">
      <w:pPr>
        <w:pStyle w:val="TextoNormal"/>
      </w:pPr>
      <w:r>
        <w:t>Con respecto a la primera de estas dudas el órgano judicial sostiene que la definición del tributo y la regulación de su estructura no permite establecer una distinción real con el impuesto sobre actividades económicas. Para justificar dicha afirmación se remite a lo razonado por el Tribunal Supremo en las Sentencias de 1 de diciembre de 2015, FJ 2, apartado 2, y de 10 de julio de 2014, FJ 5 apartado 2, ambas dictadas respecto a la figura creada por la Ley del Parlamento de Galicia 8/2009 de 22 de diciembre, por la que se regula el aprovechamiento eólico en Galicia y se crean el canon eólico y el fondo de compensación ambiental. Sin embargo, la lectura de ambas resoluciones judiciales muestra que el razonamiento del Tribunal Supremo dista de ser tan concluyente como lo plantea el órgano judicial, pues si lo fuere, la consecuencia no hubiera debido ser otra que el planteamiento de cuestión de inconstitucionalidad sobre la citada Ley gallega 8/2009, lo que es patente que no ha ocurrido.</w:t>
      </w:r>
    </w:p>
    <w:p w:rsidR="001D6FAE" w:rsidRDefault="001D6FAE" w:rsidP="001D6FAE">
      <w:pPr>
        <w:pStyle w:val="TextoNormal"/>
      </w:pPr>
    </w:p>
    <w:p w:rsidR="001D6FAE" w:rsidRDefault="001D6FAE" w:rsidP="001D6FAE">
      <w:pPr>
        <w:pStyle w:val="TextoNormal"/>
      </w:pPr>
      <w:r w:rsidRPr="001D6FAE">
        <w:rPr>
          <w:rStyle w:val="NumeroAFNegritaCaracter"/>
        </w:rPr>
        <w:t>4</w:t>
      </w:r>
      <w:r>
        <w:t xml:space="preserve">. Entendida la duda planteada en términos de duplicidad de hechos imponibles entre el canon eólico y el impuesto sobre actividades económicas (IAE), su resolución requiere, en primer lugar, precisar que, pese a su calificación legal como “prestación patrimonial de derecho público de naturaleza extrafiscal y real”, el mencionado canon es, en realidad, una figura de naturaleza tributaria, ya que materialmente es un impuesto en tanto que se trata de una nueva forma de ingreso público con la que coadyuvar a la financiación en la realización de fines que se consideran de interés para la Comunidad Autónoma. Con independencia del </w:t>
      </w:r>
      <w:r w:rsidRPr="001D6FAE">
        <w:rPr>
          <w:i/>
        </w:rPr>
        <w:t>nomen iuris</w:t>
      </w:r>
      <w:r>
        <w:t xml:space="preserve"> las prestaciones patrimoniales de carácter público tienen cada una de ellas la naturaleza propia y específica que les corresponda, de acuerdo con su presupuesto de hecho y en función de su configuración y estructura jurídica, no pudiendo hacerse depender, en ningún caso, de la mera denominación que el legislador, a su discreción, les asigne (en sentido parecido, SSTC 296/1994, de 10 de noviembre, FJ 4; 164/1995, de 13 de noviembre, FJ 4; 185/1995, de 5 de diciembre, FJ 6; 134/1996, de 22 de julio, FJ 6; 276/2000, de 16 de noviembre, FJ 3; 102/2005, de 20 de abril, FJ 4; 121/2005, de 10 de mayo, FJ 5, y 73/2011, de 19 de mayo, FJ 4).</w:t>
      </w:r>
    </w:p>
    <w:p w:rsidR="001D6FAE" w:rsidRDefault="001D6FAE" w:rsidP="001D6FAE">
      <w:pPr>
        <w:pStyle w:val="TextoNormal"/>
      </w:pPr>
    </w:p>
    <w:p w:rsidR="001D6FAE" w:rsidRDefault="001D6FAE" w:rsidP="001D6FAE">
      <w:pPr>
        <w:pStyle w:val="TextoNormal"/>
      </w:pPr>
      <w:r>
        <w:t>Por ello, atendiendo a su naturaleza tributaria, corresponde examinar el canon eólico a la luz del vigente art. 6.3 LOFCA, tras la reforma operada mediante la Ley Orgánica 3/2009, de 18 de diciembre porque se plantea un problema relacionado con los límites que, para la potestad tributaria autonómica, supone la regulación de la Ley Orgánica de financiación de las Comunidades Autónomas en tanto que integrante del bloque de constitucionalidad en esta materia.</w:t>
      </w:r>
    </w:p>
    <w:p w:rsidR="001D6FAE" w:rsidRDefault="001D6FAE" w:rsidP="001D6FAE">
      <w:pPr>
        <w:pStyle w:val="TextoNormal"/>
      </w:pPr>
    </w:p>
    <w:p w:rsidR="001D6FAE" w:rsidRDefault="001D6FAE" w:rsidP="001D6FAE">
      <w:pPr>
        <w:pStyle w:val="TextoNormal"/>
      </w:pPr>
      <w:r>
        <w:t xml:space="preserve">Con carácter general, y como recuerda la STC 210/2012, de 14 de noviembre, “los límites contenidos en la Ley Orgánica de Financiación de las Comunidades Autónomas reflejan que la competencia autonómica para establecer tributos </w:t>
      </w:r>
      <w:r w:rsidRPr="001D6FAE">
        <w:rPr>
          <w:i/>
        </w:rPr>
        <w:t>ex novo</w:t>
      </w:r>
      <w:r>
        <w:t xml:space="preserve"> no se configura constitucionalmente en términos absolutos, sino que se encuentra sujeta a los límites establecidos en las leyes del Estado a que se refieren los arts. 133.2 y 157.3 CE (por todas, STC 49/1995, de 16 de febrero, FJ 4). El poder tributario de las Comunidades Autónomas puede así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 (FJ 4).</w:t>
      </w:r>
    </w:p>
    <w:p w:rsidR="001D6FAE" w:rsidRDefault="001D6FAE" w:rsidP="001D6FAE">
      <w:pPr>
        <w:pStyle w:val="TextoNormal"/>
      </w:pPr>
    </w:p>
    <w:p w:rsidR="001D6FAE" w:rsidRDefault="001D6FAE" w:rsidP="001D6FAE">
      <w:pPr>
        <w:pStyle w:val="TextoNormal"/>
      </w:pPr>
      <w:r>
        <w:t>Sobre el límite actual del art. 6.3 LOFCA se ha pronunciado, entre otras muchas, la STC 122/2012, de 5 de junio, en la que se declaró la compatibilidad entre el impuesto sobre grandes establecimientos comerciales establecido por del Parlamento de Cataluña y el impuesto sobre bienes inmuebles. Se constató allí que el vigente art. 6.3 LOFCA contiene un límite similar al tradicionalmente previsto en el art. 6.2 LOFCA, lo que, a su vez, permite trasladar a este caso aquella doctrina.</w:t>
      </w:r>
    </w:p>
    <w:p w:rsidR="001D6FAE" w:rsidRDefault="001D6FAE" w:rsidP="001D6FAE">
      <w:pPr>
        <w:pStyle w:val="TextoNormal"/>
      </w:pPr>
    </w:p>
    <w:p w:rsidR="001D6FAE" w:rsidRDefault="001D6FAE" w:rsidP="001D6FAE">
      <w:pPr>
        <w:pStyle w:val="TextoNormal"/>
      </w:pPr>
      <w:r>
        <w:t>La doctrina acerca del art. 6.2 LOFCA ha sido recogida en numerosas resoluciones de este Tribunal, entre otras muchas, además de la ya citada STC 122/2012, las SSTC 210/2012, de 14 de noviembre, sobre el impuesto sobre depósitos bancarios de Extremadura, 30/2015, de 19 de febrero, 107/2015, 108/2015 y 111/2015, todas de 28 de mayo, y 202/2015, de 24 de septiembre, todas ellas referidas a diferentes impuestos autonómicos sobre depósitos en entidades de crédito y 74/2016, de 14 de abril, relativa al impuesto catalán sobre la producción de energía eléctrica de origen nuclear.</w:t>
      </w:r>
    </w:p>
    <w:p w:rsidR="001D6FAE" w:rsidRDefault="001D6FAE" w:rsidP="001D6FAE">
      <w:pPr>
        <w:pStyle w:val="TextoNormal"/>
      </w:pPr>
    </w:p>
    <w:p w:rsidR="001D6FAE" w:rsidRDefault="001D6FAE" w:rsidP="001D6FAE">
      <w:pPr>
        <w:pStyle w:val="TextoNormal"/>
      </w:pPr>
      <w:r>
        <w:t>En este cuerpo doctrinal, que debe darse aquí por reproducido, hemos establecido que, para determinar si un impuesto autonómico es contrario al art. 6.2 LOFCA, por recaer sobre un hecho imponible gravado por el Estado, deben compararse ambas figuras tributarias partiendo siempre del examen del hecho imponible, pero analizando también los restantes elementos del tributo que se encuentran conectados con éste: sujetos pasivos, base imponible, y demás elementos de cuantificación del hecho imponible, como la cuota tributaria o los supuestos de exención.</w:t>
      </w:r>
    </w:p>
    <w:p w:rsidR="001D6FAE" w:rsidRDefault="001D6FAE" w:rsidP="001D6FAE">
      <w:pPr>
        <w:pStyle w:val="TextoNormal"/>
      </w:pPr>
    </w:p>
    <w:p w:rsidR="001D6FAE" w:rsidRDefault="001D6FAE" w:rsidP="001D6FAE">
      <w:pPr>
        <w:pStyle w:val="TextoNormal"/>
      </w:pPr>
      <w:r>
        <w:t>En definitiva, como recuerda la STC 74/2016, FJ 2, respecto al art. 6.2 LOFCA, pero con unos criterios que son trasladables al art. 6.3 “para apreciar la coincidencia o no entre hechos imponibles, que es lo prohibido en el art. 6 LOFCA, se hace preciso atender a los elementos esenciales de los tributos que se confrontan, al objeto de determinar no sólo la riqueza gravada o materia imponible, que es el punto de partida de toda norma tributaria, sino la manera en que dicha riqueza o fuente de capacidad económica es sometida a gravamen en la estructura del tributo [SSTC 210/2012, FJ 4, y 53/2014, de 10 de abril, FJ 3 a)]. En este examen debe tenerse en todo caso presente que cabe gravar desde distintas perspectivas la misma actividad, como también reiteramos, por ejemplo, en la STC 210/2012 (al comparar el impuesto sobre depósitos establecido por la Comunidad de Extremadura y el impuesto sobre actividades económicas). Y ello porque, como tantas veces hemos reiterado, ‘habida cuenta de que la realidad económica en sus diferentes manifestaciones está toda ella virtualmente cubierta por tributos estatales, ello conduciría... a negar en la práctica la posibilidad de que se creen, al menos, por el momento, nuevos impuestos autonómicos’ (STC 37/1987, de 26 de marzo, FJ 14). En razón de esta premisa, la interpretación de los límites contenidos en el art. 6 LOFCA deberá respetar la existencia de un espacio fiscal propio de las Comunidades Autónomas y, en particular, tener en cuenta las competencias en materia tributaria asumidas por las Comunidades Autónomas, y en concreto, por la Comunidad Autónoma de Cataluña en virtud del art. 203.5 de su Estatuto de Autonomía. Ahora bien, todo ello teniendo en cuenta que las prohibiciones de equivalencia lo que pretenden evitar es, en suma,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FJ 4, y 53/2014, FJ 3 a)]”.</w:t>
      </w:r>
    </w:p>
    <w:p w:rsidR="001D6FAE" w:rsidRDefault="001D6FAE" w:rsidP="001D6FAE">
      <w:pPr>
        <w:pStyle w:val="TextoNormal"/>
      </w:pPr>
    </w:p>
    <w:p w:rsidR="001D6FAE" w:rsidRDefault="001D6FAE" w:rsidP="001D6FAE">
      <w:pPr>
        <w:pStyle w:val="TextoNormal"/>
      </w:pPr>
      <w:r>
        <w:t>De acuerdo con el método establecido en el examen de este tipo de controversias, debemos examinar los elementos esenciales del canon eólico cuestionado y compararlos con los del impuesto sobre actividades económicas, al objeto de comprobar si son efectivamente equivalentes, en términos que vulneran el art. 6.3 LOFCA, tal y como sostiene el Auto de planteamiento.</w:t>
      </w:r>
    </w:p>
    <w:p w:rsidR="001D6FAE" w:rsidRDefault="001D6FAE" w:rsidP="001D6FAE">
      <w:pPr>
        <w:pStyle w:val="TextoNormal"/>
      </w:pPr>
    </w:p>
    <w:p w:rsidR="001D6FAE" w:rsidRDefault="001D6FAE" w:rsidP="001D6FAE">
      <w:pPr>
        <w:pStyle w:val="TextoNormal"/>
      </w:pPr>
      <w:r w:rsidRPr="001D6FAE">
        <w:rPr>
          <w:rStyle w:val="NumeroAFNegritaCaracter"/>
        </w:rPr>
        <w:t>5</w:t>
      </w:r>
      <w:r>
        <w:t>. Atendiendo a lo anterior podemos ya iniciar el examen que se nos demanda, comenzando con la descripción del tributo autonómico cuestionado.</w:t>
      </w:r>
    </w:p>
    <w:p w:rsidR="001D6FAE" w:rsidRDefault="001D6FAE" w:rsidP="001D6FAE">
      <w:pPr>
        <w:pStyle w:val="TextoNormal"/>
      </w:pPr>
    </w:p>
    <w:p w:rsidR="001D6FAE" w:rsidRDefault="001D6FAE" w:rsidP="001D6FAE">
      <w:pPr>
        <w:pStyle w:val="TextoNormal"/>
      </w:pPr>
      <w:r>
        <w:t>El canon eólico se crea “con el fin de extender los beneficios derivados del aprovechamiento del recurso eólico, por la implantación de instalaciones de generación eléctrica a partir de la tecnología eólica, al conjunto del territorio regional y como instrumento compensatorio de las afecciones vinculadas al desarrollo de esta actividad económica” (artículo1), extremo que se ratifica en el artículo 2, según el cual el canon tiene el “fin de preservar la cohesión, el equilibrio territorial y el medio natural, en cuanto entorno físico soporte de la actividad económica vinculada al aprovechamiento industrial del viento”.</w:t>
      </w:r>
    </w:p>
    <w:p w:rsidR="001D6FAE" w:rsidRDefault="001D6FAE" w:rsidP="001D6FAE">
      <w:pPr>
        <w:pStyle w:val="TextoNormal"/>
      </w:pPr>
    </w:p>
    <w:p w:rsidR="001D6FAE" w:rsidRDefault="001D6FAE" w:rsidP="001D6FAE">
      <w:pPr>
        <w:pStyle w:val="TextoNormal"/>
      </w:pPr>
      <w:r>
        <w:t>Su hecho imponible está definido como “la generación de afecciones e impactos adversos sobre el medio natural y sobre el territorio, como consecuencia de la instalación en parques eólicos de aerogeneradores afectos a la producción de energía eléctrica, y situados en el territorio de la Comunidad Autónoma de Castilla-La Mancha” (artículo 4.1). Sujetos pasivos del canon son (artículo 6) las personas físicas o jurídicas que lleven a cabo la explotación de un parque eólico o instalaciones de generación eólica aunque no sean titulares de una autorización administrativa para su instalación. Constituye su base imponible (artículo 7) la suma de unidades de aerogeneradores existentes en un parque eólico situado en el territorio de la Comunidad Autónoma de Castilla-La Mancha. La cuota tributaria (artículo 8) viene determinada por la aplicación a la base imponible de tipos de gravamen definidos en función del número de aerogeneradores de la explotación con un mínimo exento, (parques eólicos que dispongan de hasta 2 aerogeneradores) y estableciendo en lo restante tramos progresivos (parques eólicos que dispongan de entre 3 y 7 aerogeneradores; entre 8 y 15 aerogeneradores; y más de 15 aerogeneradores con dos subtramos en función de que el número de aerogeneradores sea igual o inferior o sea superior a la potencia instalada del parque medida en megavatios). El período impositivo (artículo 5) coincidirá con los trimestres de cada año natural y el devengo se producirá el primer día de los meses de enero, abril, julio y octubre. Conforme al artículo 3, los ingresos derivados del canon, deducidos los costes de gestión, se destinarán a la implementación de actuaciones de impulso y promoción del uso racional de la energía y de las energías renovables, así como al cumplimiento de fines de carácter socio-económico y tecnológico en Castilla-La Mancha. Parte de los ingresos recaudados se destinan a la consolidación del modelo energético regional, a través del fondo para el desarrollo tecnológico de las energías renovables y el uso racional de la energía, en la cuantía que anualmente se establezca en la Ley de presupuestos generales de la Junta de Comunidades de Castilla-La Mancha.</w:t>
      </w:r>
    </w:p>
    <w:p w:rsidR="001D6FAE" w:rsidRDefault="001D6FAE" w:rsidP="001D6FAE">
      <w:pPr>
        <w:pStyle w:val="TextoNormal"/>
      </w:pPr>
    </w:p>
    <w:p w:rsidR="001D6FAE" w:rsidRDefault="001D6FAE" w:rsidP="001D6FAE">
      <w:pPr>
        <w:pStyle w:val="TextoNormal"/>
      </w:pPr>
      <w:r>
        <w:t>Por su parte, en el examen del impuesto sobre actividades económicas hay que precisar que en todos los casos en los que ha sido uno de los tributos en comparación, hemos atendido siempre a su particular naturaleza, constando por ejemplo en la STC 122/2012, que se trata de un tributo que afecta a toda actividad económica con carácter general, e insistiendo, entre otras en la STC 210/2012, que “dado el carácter universal y vocación censitaria del IAE, interpretado de forma literal, el contraste de cualquier tributo autonómico que grave una actividad económica con el IAE determinará que dicho tributo sea contrario al art. 6.3 LOFCA” (STC 210/2012, FJ 6). El impuesto sobre actividades económicas es un impuesto directo mediante el que se grava el mero ejercicio de actividades potencialmente generadoras de ingresos económicos para quienes las realizan, ingresos que se miden en función del beneficio medio presunto (STC 168/2004, de 6 de octubre, FJ 8). Su hecho imponible lo constituye “el mero ejercicio, en territorio nacional, de actividades empresariales, profesionales o artísticas, se ejerzan o no en local determinado y se hallen o no especificadas en las tarifas del impuesto” [art. 78.1 del Real Decreto Legislativo 2/2004, de 5 de marzo, por el que se aprueba el texto refundido de la Ley reguladora de las haciendas locales (LHL)]. El impuesto pretende gravar la capacidad económica que se concreta en la riqueza potencial puesta de manifiesto por el ejercicio de una actividad económica, de manera que las cuotas tributarias derivadas de aplicar las tarifas del impuesto se exigen en función de esa riqueza potencial que el legislador atribuye al ejercicio de una actividad económica durante un año natural o, lo que es lo mismo, se determina en función del beneficio medio presunto de la actividad gravada (art. 85.1).</w:t>
      </w:r>
    </w:p>
    <w:p w:rsidR="001D6FAE" w:rsidRDefault="001D6FAE" w:rsidP="001D6FAE">
      <w:pPr>
        <w:pStyle w:val="TextoNormal"/>
      </w:pPr>
    </w:p>
    <w:p w:rsidR="001D6FAE" w:rsidRDefault="001D6FAE" w:rsidP="001D6FAE">
      <w:pPr>
        <w:pStyle w:val="TextoNormal"/>
      </w:pPr>
      <w:r>
        <w:t>Son sujetos pasivos del impuesto sobre actividades económicas las personas, físicas o jurídicas, que realicen en el territorio nacional cualquiera de las actividades definidas en el hecho imponible (art. 83 LHL). El contenido de las actividades gravadas se define en las tarifas del impuesto (art. 79 LHL), aprobadas por Real Decreto Legislativo 1175/1990, de 28 de septiembre. En lo que ahora resulta relevante, el epígrafe 151.4 de las tarifas del IAE, se refiere a la materia gravada “producción de energía no especificada en los epígrafes anteriores”, abarcando la energía procedente de mareas, energía solar, etc., y el epígrafe 151.5, se hace mención a la actividad de transporte y distribución de energía eléctrica. En ambos casos la cuota se define por relación a la potencia en generadores y a la potencia contratada.</w:t>
      </w:r>
    </w:p>
    <w:p w:rsidR="001D6FAE" w:rsidRDefault="001D6FAE" w:rsidP="001D6FAE">
      <w:pPr>
        <w:pStyle w:val="TextoNormal"/>
      </w:pPr>
    </w:p>
    <w:p w:rsidR="001D6FAE" w:rsidRDefault="001D6FAE" w:rsidP="001D6FAE">
      <w:pPr>
        <w:pStyle w:val="TextoNormal"/>
      </w:pPr>
      <w:r w:rsidRPr="001D6FAE">
        <w:rPr>
          <w:rStyle w:val="NumeroAFNegritaCaracter"/>
        </w:rPr>
        <w:t>6</w:t>
      </w:r>
      <w:r>
        <w:t>. Así configurados ambos tributos, resulta que, como también ha destacado la Fiscal General del Estado, la existencia de diferencias esenciales entre ellos es palpable desde la perspectiva de la prohibición de equivalencia derivada de la Ley Orgánica de financiación de las Comunidades Autónomas.</w:t>
      </w:r>
    </w:p>
    <w:p w:rsidR="001D6FAE" w:rsidRDefault="001D6FAE" w:rsidP="001D6FAE">
      <w:pPr>
        <w:pStyle w:val="TextoNormal"/>
      </w:pPr>
    </w:p>
    <w:p w:rsidR="001D6FAE" w:rsidRDefault="001D6FAE" w:rsidP="001D6FAE">
      <w:pPr>
        <w:pStyle w:val="TextoNormal"/>
      </w:pPr>
      <w:r>
        <w:t>El impuesto sobre actividades económicas grava únicamente el ejercicio de una actividad económica, la capacidad de generar energía eléctrica de origen eólico, mientras que el canon autonómico atiende al hecho de que la instalación de aerogeneradores y las infraestructuras que estos precisan (esencialmente, pistas y líneas de transporte de la energía) provocan un impacto ambiental evidente y notorio, daños que, en el criterio del legislador castellano-manchego, deben ser internalizados por quienes explotan estas instalaciones.</w:t>
      </w:r>
    </w:p>
    <w:p w:rsidR="001D6FAE" w:rsidRDefault="001D6FAE" w:rsidP="001D6FAE">
      <w:pPr>
        <w:pStyle w:val="TextoNormal"/>
      </w:pPr>
    </w:p>
    <w:p w:rsidR="001D6FAE" w:rsidRDefault="001D6FAE" w:rsidP="001D6FAE">
      <w:pPr>
        <w:pStyle w:val="TextoNormal"/>
      </w:pPr>
      <w:r>
        <w:t>El análisis de los diversos elementos del tributo ratifica esa conclusión. El hecho imponible del canon responde a esa concepción en cuanto se refiere a la generación de afecciones medioambientales consideradas estas como contaminación visual o paisajística. El caso del IAE es diferente, por cuanto lo gravado es el ejercicio de una actividad económica vinculada a la producción y distribución de energía eléctrica. Es decir, la realización del hecho imponible no se cuantifica con arreglo al beneficio efectivamente obtenido, sino en función de la renta que potencialmente se le presupone a cada tipo de actividad económica. De esta forma, el tributo no grava el beneficio de la actividad económica, sino la actividad misma y tiene asimismo una finalidad recaudatoria, que al igual que sucede en el impuesto sobre bienes inmuebles, puede modularse en función de criterios extrafiscales (art. 88 LHL), además de cumplir la ya aludida función censal o de control de manera que no recae sobre la renta o beneficio empresarial (STC 210/2012, FJ 6).</w:t>
      </w:r>
    </w:p>
    <w:p w:rsidR="001D6FAE" w:rsidRDefault="001D6FAE" w:rsidP="001D6FAE">
      <w:pPr>
        <w:pStyle w:val="TextoNormal"/>
      </w:pPr>
    </w:p>
    <w:p w:rsidR="001D6FAE" w:rsidRDefault="001D6FAE" w:rsidP="001D6FAE">
      <w:pPr>
        <w:pStyle w:val="TextoNormal"/>
      </w:pPr>
      <w:r>
        <w:t>La determinación de la base imponible tampoco es coincidente. El hecho de que el precepto autonómico utilice el número de aerogeneradores como factor determinante es totalmente congruente con la estructura del canon, ya que lo que pretende es luchar contra las afecciones visuales y paisajísticas, así que lo esencial será el número de aerogeneradores que se encuentran en funcionamiento, con independencia de su valor o de su potencia. Por su parte, el impuesto sobre actividades económicas atiende únicamente al ejercicio de la actividad, en cuanto que contempla únicamente a efectos de determinación de la cuota tributaria los kilovatios de potencia en generadores, esto es, criterios relativos a la potencia de las instalaciones.</w:t>
      </w:r>
    </w:p>
    <w:p w:rsidR="001D6FAE" w:rsidRDefault="001D6FAE" w:rsidP="001D6FAE">
      <w:pPr>
        <w:pStyle w:val="TextoNormal"/>
      </w:pPr>
    </w:p>
    <w:p w:rsidR="001D6FAE" w:rsidRDefault="001D6FAE" w:rsidP="001D6FAE">
      <w:pPr>
        <w:pStyle w:val="TextoNormal"/>
      </w:pPr>
      <w:r>
        <w:t>En el caso del IAE, la cuota se determina en función de la potencia instalada que es elemento que elige el legislador en relación con este concreto sector, mientras que el objetivo del canon eólico es la lucha contra la contaminación visual y paisajística, de modo que su cuantificación es consecuente con esa función disuasoria. Lo relevante para el legislador es el número de aerogeneradores, no la potencia de los mismos, como sucede en el impuesto sobre actividades económicas, lo que puede influir en la potencialidad del parque eólico para obtener rendimientos pero no afecta directamente a las afecciones medioambientales que se trata de compensar. Así, mientras que el impuesto sobre actividades económicas no establece diferencias, el primer tramo de la base imponible del canon, constituido por parques eólicos que dispongan de hasta dos aerogeneradores, goza de un mínimo exento, al fijarse cero euros por cada unidad de aerogenerador. Por lo tanto, si el sujeto pasivo del tributo, con la misma potencia eléctrica cuya instalación o producción le ha sido autorizada por la Administración, logra disminuir el número de aerogeneradores del parque eólico conseguiría evitar el pago del tributo. Con esa medida, la norma prevé un umbral máximo de tolerancia al deterioro que dichas instalaciones son susceptibles de causar al medio natural.</w:t>
      </w:r>
    </w:p>
    <w:p w:rsidR="001D6FAE" w:rsidRDefault="001D6FAE" w:rsidP="001D6FAE">
      <w:pPr>
        <w:pStyle w:val="TextoNormal"/>
      </w:pPr>
    </w:p>
    <w:p w:rsidR="001D6FAE" w:rsidRDefault="001D6FAE" w:rsidP="001D6FAE">
      <w:pPr>
        <w:pStyle w:val="TextoNormal"/>
      </w:pPr>
      <w:r>
        <w:t>El impuesto sobre actividades económicas no establece tramos, mientras que en el caso del canon, al contemplarse una escala de gravamen progresiva en la que existen cuatro tramos con tipos de gravamen que aumentan a medida que lo hace el número de aerogeneradores de cada parque eólico. La consecuencia de esa configuración es que el sujeto pasivo que, haciendo uso de tecnologías más eficientes, incremente la potencia unitaria de cada aerogenerador y consiga reducir su número hasta situarse en el tramo inferior, verá también disminuido el importe de la cuota tributaria. Por lo tanto, la carga tributaria siempre será menor para las empresas que instalen menos turbinas eólicas y más eficientes. La capacidad recaudatoria será, en definitiva, inversamente proporcional al incremento de la eficiencia mostrada por las instalaciones destinadas al aprovechamiento de los recursos energéticos procedentes del viento.</w:t>
      </w:r>
    </w:p>
    <w:p w:rsidR="001D6FAE" w:rsidRDefault="001D6FAE" w:rsidP="001D6FAE">
      <w:pPr>
        <w:pStyle w:val="TextoNormal"/>
      </w:pPr>
    </w:p>
    <w:p w:rsidR="001D6FAE" w:rsidRDefault="001D6FAE" w:rsidP="001D6FAE">
      <w:pPr>
        <w:pStyle w:val="TextoNormal"/>
      </w:pPr>
      <w:r>
        <w:t>Finalmente el tributo tiene, aunque sea parcialmente, una finalidad extrafiscal, en los términos de su artículo 3 y concordantes lo que no puede dejar de tenerse en cuenta a la hora de establecer sus diferencias con el impuesto sobre actividades económicas.</w:t>
      </w:r>
    </w:p>
    <w:p w:rsidR="001D6FAE" w:rsidRDefault="001D6FAE" w:rsidP="001D6FAE">
      <w:pPr>
        <w:pStyle w:val="TextoNormal"/>
      </w:pPr>
    </w:p>
    <w:p w:rsidR="001D6FAE" w:rsidRDefault="001D6FAE" w:rsidP="001D6FAE">
      <w:pPr>
        <w:pStyle w:val="TextoNormal"/>
      </w:pPr>
      <w:r w:rsidRPr="001D6FAE">
        <w:rPr>
          <w:rStyle w:val="NumeroAFNegritaCaracter"/>
        </w:rPr>
        <w:t>7</w:t>
      </w:r>
      <w:r>
        <w:t>. En conclusión, la comparación de las bases imponibles del impuesto autonómico controvertido y el impuesto sobre actividades económicas, una vez puesta en relación con los restantes elementos de ambos tributos, aporta unos criterios distintivos que son suficientes para poder afirmar que el canon enjuiciado no tiene un hecho imponible idéntico y, por tanto, supera la prohibición establecida en el art. 6.3 LOFCA.</w:t>
      </w:r>
    </w:p>
    <w:p w:rsidR="001D6FAE" w:rsidRDefault="001D6FAE" w:rsidP="001D6FAE">
      <w:pPr>
        <w:pStyle w:val="TextoNormal"/>
      </w:pPr>
    </w:p>
    <w:p w:rsidR="001D6FAE" w:rsidRDefault="001D6FAE" w:rsidP="001D6FAE">
      <w:pPr>
        <w:pStyle w:val="TextoNormal"/>
      </w:pPr>
      <w:r>
        <w:t>Descartada esta vertiente de la duda de constitucionalidad planteada, ya no resulta necesario examinar la supuesta falta de finalidad extrafiscal del tributo autonómico que también ha denunciado el órgano judicial, por cuanto ya se ha determinado que, en los términos que han quedado expuestos, no se superan los límites que derivan del art. 6.3 LOFCA respecto a la creación de tributos propios por las Comunidades Autónomas y la duda del órgano judicial partía precisamente de la premisa de que tales límites se habían superado.</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Publíquese este Auto en el “Boletín Oficial del Estado”.</w:t>
      </w:r>
    </w:p>
    <w:p w:rsidR="001D6FAE" w:rsidRDefault="001D6FAE" w:rsidP="001D6FAE">
      <w:pPr>
        <w:pStyle w:val="TextoNormal"/>
      </w:pPr>
    </w:p>
    <w:p w:rsidR="001D6FAE" w:rsidRDefault="001D6FAE" w:rsidP="001D6FAE">
      <w:pPr>
        <w:pStyle w:val="TextoNormal"/>
      </w:pPr>
      <w:r>
        <w:t>Madrid, a quince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8" w:name="AUTO_2016_184"/>
      <w:r>
        <w:t>AUTO 184/2016, de 15 de noviembre de 2016</w:t>
      </w:r>
    </w:p>
    <w:bookmarkEnd w:id="158"/>
    <w:p w:rsidR="001D6FAE" w:rsidRDefault="001D6FAE" w:rsidP="001D6FAE">
      <w:pPr>
        <w:pStyle w:val="TtuloResolucin"/>
      </w:pPr>
      <w:r>
        <w:t>Pleno</w:t>
      </w:r>
    </w:p>
    <w:p w:rsidR="001D6FAE" w:rsidRDefault="001D6FAE" w:rsidP="001D6FAE">
      <w:pPr>
        <w:pStyle w:val="TextoNormalCentrado"/>
      </w:pPr>
      <w:r>
        <w:t>ECLI:ES:TC:2016:184A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don Andrés Ollero Tassara, don Fernando Valdés Dal-Ré, don Juan José González Rivas, don Santiago Martínez-Vares García, don Juan Antonio Xiol Ríos, don Pedro José González-Trevijano Sánchez y don Ricardo Enríquez Sancho.</w:t>
      </w:r>
    </w:p>
    <w:p w:rsidR="001D6FAE" w:rsidRDefault="001D6FAE" w:rsidP="001D6FAE">
      <w:pPr>
        <w:pStyle w:val="SntesisDescriptiva"/>
      </w:pPr>
    </w:p>
    <w:p w:rsidR="001D6FAE" w:rsidRDefault="001D6FAE" w:rsidP="001D6FAE">
      <w:pPr>
        <w:pStyle w:val="SntesisDescriptiva"/>
      </w:pPr>
      <w:r>
        <w:t>Inadmite a trámite la cuestión de inconstitucionalidad 3724-2016, planteada por la Sala de lo Social del Tribunal Superior de Justicia de Madrid en relación con la disposición adicional decimosexta, apartado 4 de la Ley 27/2011, de 1 de agosto, sobre actualización, adecuación y modernización del sistema de Seguridad Social.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27 de junio de 2016 tuvo entrada en el Registro General de este Tribunal oficio de la Sala de lo Social del Tribunal Superior de Justicia de Madrid, al que se acompaña, junto con el testimonio del procedimiento núm. 130-2016 que se tramita ante dicho Tribunal, el Auto de 3 de junio de 2016, por el que se acuerda plantear cuestión de inconstitucionalidad respecto de la disposición adicional decimosexta, apartado 4, de la Ley 27/2011, de 1 de agosto, sobre actualización, adecuación y modernización del sistema de Seguridad Social.</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 los siguientes:</w:t>
      </w:r>
    </w:p>
    <w:p w:rsidR="001D6FAE" w:rsidRDefault="001D6FAE" w:rsidP="001D6FAE">
      <w:pPr>
        <w:pStyle w:val="TextoNormal"/>
      </w:pPr>
    </w:p>
    <w:p w:rsidR="001D6FAE" w:rsidRDefault="001D6FAE" w:rsidP="001D6FAE">
      <w:pPr>
        <w:pStyle w:val="TextoNormal"/>
      </w:pPr>
      <w:r>
        <w:t>a) El 13 de octubre de 2014 la Dirección General del Servicio Público de Empleo Estatal (SEPE) emitió propuestas de liquidación a Barclays Bank, S.A.U., y Barclays Wealth Manager España S.G.I.I.C., S.A., por importe de 1.948.591 € por la anualidad 2011 y de 11.756.955,54 € por la anualidad 2012, y el 22 de enero de 2015 otra propuesta de liquidación por importe de 9.828.201,35 € relativa a la anualidad 2013, todas ellas en concepto de aportación económica al Tesoro de procedimiento de despido colectivo iniciado el 1 de junio de 2011.</w:t>
      </w:r>
    </w:p>
    <w:p w:rsidR="001D6FAE" w:rsidRDefault="001D6FAE" w:rsidP="001D6FAE">
      <w:pPr>
        <w:pStyle w:val="TextoNormal"/>
      </w:pPr>
    </w:p>
    <w:p w:rsidR="001D6FAE" w:rsidRDefault="001D6FAE" w:rsidP="001D6FAE">
      <w:pPr>
        <w:pStyle w:val="TextoNormal"/>
      </w:pPr>
      <w:r>
        <w:t>b) Contra dichas propuestas de liquidación se presentaron alegaciones en las que, entre otros argumentos, se aducía la imposibilidad de aplicación retroactiva de la norma a situaciones agotadas antes de la entrada en vigor de la Ley 27/2011, de 1 de agosto, al haber finalizado el proceso de despido colectivo por acuerdo anterior a la entrada en vigor de dicha Ley. Por resolución de 20 de enero de 2015, la Dirección General del SEPE declaró definitivas las liquidaciones provisionales antes mencionadas. Y por resolución de 27 de noviembre de 2015 del Ministerio de Empleo y Seguridad Social se desestimaron los recursos de alzada interpuestos alegando contra la retroactividad aplicada.</w:t>
      </w:r>
    </w:p>
    <w:p w:rsidR="001D6FAE" w:rsidRDefault="001D6FAE" w:rsidP="001D6FAE">
      <w:pPr>
        <w:pStyle w:val="TextoNormal"/>
      </w:pPr>
    </w:p>
    <w:p w:rsidR="001D6FAE" w:rsidRDefault="001D6FAE" w:rsidP="001D6FAE">
      <w:pPr>
        <w:pStyle w:val="TextoNormal"/>
      </w:pPr>
      <w:r>
        <w:t>c) Caixa Bank, S.A., entidad sucesora en virtud de fusión por absorción de Barclays Bank, S.A.U., y Barclays Wealth Manager España, interpuso demanda contra la resolución del Ministerio de Empleo y Seguridad Social, solicitando que se elevara cuestión de inconstitucionalidad frente a la disposición adicional decimosexta, apartado 4, de la Ley 27/2011, de 1 de agosto, sobre actualización, adecuación y modernización del sistema de Seguridad Social y que, tras la resolución de la citada cuestión, se dictase sentencia que declarase nula la resolución recurrida; y, subsidiariamente, que estimase la demanda por existencia del transcurso de los plazos de prescripción establecidos en el Real Decreto 1484/2012 y por inexistencia de beneficios del grupo en los dos años anteriores al inicio del despido conforme se desarrolla en los fundamentos jurídico-materiales segundo y tercero de la demanda.</w:t>
      </w:r>
    </w:p>
    <w:p w:rsidR="001D6FAE" w:rsidRDefault="001D6FAE" w:rsidP="001D6FAE">
      <w:pPr>
        <w:pStyle w:val="TextoNormal"/>
      </w:pPr>
    </w:p>
    <w:p w:rsidR="001D6FAE" w:rsidRDefault="001D6FAE" w:rsidP="001D6FAE">
      <w:pPr>
        <w:pStyle w:val="TextoNormal"/>
      </w:pPr>
      <w:r>
        <w:t>d) Por providencia de 26 de abril de 2016, la Sala de lo Social del Tribunal Superior de Justicia de Madrid acordó oír a las partes y al Ministerio Fiscal por el término de diez días sobre el posible planteamiento de una cuestión de inconstitucionalidad sobre la disposición adicional decimosexta, apartado 4, de la Ley 27/2011, de 1 de agosto, sobre actualización, adecuación y modernización del sistema de Seguridad Social, “por existir dudas sobre la compatibilidad de dicho efecto retroactivo concreto y el art. 9.3 CE, y la posible vulneración de las garantías constitucionales de seguridad jurídica e interdicción de la arbitrariedad”.</w:t>
      </w:r>
    </w:p>
    <w:p w:rsidR="001D6FAE" w:rsidRDefault="001D6FAE" w:rsidP="001D6FAE">
      <w:pPr>
        <w:pStyle w:val="TextoNormal"/>
      </w:pPr>
    </w:p>
    <w:p w:rsidR="001D6FAE" w:rsidRDefault="001D6FAE" w:rsidP="001D6FAE">
      <w:pPr>
        <w:pStyle w:val="TextoNormal"/>
      </w:pPr>
      <w:r>
        <w:t>El Fiscal, despachando por escrito registrado el 10 de mayo de 2016 el traslado conferido, consideró que se daban los requisitos señalados por el art. 35.2 de la Ley Orgánica del Tribunal Constitucional (LOTC), por lo que nada tenía que oponer a que se plantease la cuestión por Auto motivado ante el Tribunal Constitucional, sin perjuicio de la postura que en cuanto al fondo del asunto sostuviera ante dicho órgano la Fiscalía General del Estado.</w:t>
      </w:r>
    </w:p>
    <w:p w:rsidR="001D6FAE" w:rsidRDefault="001D6FAE" w:rsidP="001D6FAE">
      <w:pPr>
        <w:pStyle w:val="TextoNormal"/>
      </w:pPr>
    </w:p>
    <w:p w:rsidR="001D6FAE" w:rsidRDefault="001D6FAE" w:rsidP="001D6FAE">
      <w:pPr>
        <w:pStyle w:val="TextoNormal"/>
      </w:pPr>
      <w:r>
        <w:t>En escrito firmado el 17 de mayo de 2016, la parte demandante señaló que se cumplían los presupuestos necesarios para el planteamiento de la cuestión de inconstitucionalidad. En cuanto al fondo, afirmó que se trataba de un expediente de regulación de empleo o despido colectivo, por causas económicas, donde todo el proceso de preparación de documentación, convocatoria, negociación, acuerdo final y autorización en virtud de resolución administrativa se había producido sin atisbo alguno de existencia de norma que obligue al abono de cantidad alguna, además de la propia indemnización acordada, cuando los trabajadores afectados son mayores de 50 años. A su juicio, se daban los requisitos para apreciar una retroactividad auténtica en la nueva norma: imprevisibilidad, onerosidad y arbitrariedad; y, por tanto, la norma resulta inconstitucional.</w:t>
      </w:r>
    </w:p>
    <w:p w:rsidR="001D6FAE" w:rsidRDefault="001D6FAE" w:rsidP="001D6FAE">
      <w:pPr>
        <w:pStyle w:val="TextoNormal"/>
      </w:pPr>
    </w:p>
    <w:p w:rsidR="001D6FAE" w:rsidRDefault="001D6FAE" w:rsidP="001D6FAE">
      <w:pPr>
        <w:pStyle w:val="TextoNormal"/>
      </w:pPr>
      <w:r>
        <w:t>El Abogado del Estado, en escrito de 23 de mayo de 2016, descartó que se tratase de una norma restrictiva de derechos individuales en el sentido del art. 9.3 CE, y recordó la necesidad de interpretar restrictivamente el precepto, para no cercenar la libertad del legislador, así como la noción de derechos individuales. En segundo lugar, enumeró diversas sentencias de la Audiencia Nacional y del Tribunal Superior de Justicia de Madrid que habían avalado la constitucionalidad de la norma. Consideró que la norma no era injusta ni desproporcionada, por cuanto perseguía un objetivo socialmente loable: reducir el impacto de la crisis económica sobre los trabajadores mayores cuando la empresa tiene beneficios en un periodo relevante y puede aplicar la medida extintiva a otros trabajadores o promover medidas de flexibilidad interna. La aplicación retroactiva de la norma se ajusta a lo dispuesto en el art. 2.3 del Código civil y, consiguiente, se ajusta a lo dispuesto en el art. 9.3 CE.</w:t>
      </w:r>
    </w:p>
    <w:p w:rsidR="001D6FAE" w:rsidRDefault="001D6FAE" w:rsidP="001D6FAE">
      <w:pPr>
        <w:pStyle w:val="TextoNormal"/>
      </w:pPr>
    </w:p>
    <w:p w:rsidR="001D6FAE" w:rsidRDefault="001D6FAE" w:rsidP="001D6FAE">
      <w:pPr>
        <w:pStyle w:val="TextoNormal"/>
      </w:pPr>
      <w:r>
        <w:t>e) Mediante Auto de 3 de junio de 2016 la Sala de lo Social del Tribunal Superior de Justicia de Madrid acordó plantear ante el Tribunal Constitucional cuestión de inconstitucionalidad en relación con la disposición adicional decimosexta, apartado 4, de la Ley 27/2011, de 1 de agosto, sobre actualización, adecuación y modernización del sistema de Seguridad Social.</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3 de junio de 2016 interesa destacar los siguientes aspectos:</w:t>
      </w:r>
    </w:p>
    <w:p w:rsidR="001D6FAE" w:rsidRDefault="001D6FAE" w:rsidP="001D6FAE">
      <w:pPr>
        <w:pStyle w:val="TextoNormal"/>
      </w:pPr>
    </w:p>
    <w:p w:rsidR="001D6FAE" w:rsidRDefault="001D6FAE" w:rsidP="001D6FAE">
      <w:pPr>
        <w:pStyle w:val="TextoNormal"/>
      </w:pPr>
      <w:r>
        <w:t>a) En primer lugar, a los efectos del art. 5.3 de la Ley Orgánica del Poder Judicial (LOPJ) indica que no cabe por vía interpretativa acomodar la norma al ordenamiento constitucional, dados los términos de la disposición adicional decimosexta, apartado 4, de la Ley 27/2011, acogidos por la disposición transitoria duodécima del Real Decreto-ley 3/2012, de 10 de febrero, y por su disposición final cuarta.10. Y el procedimiento de despido colectivo comenzó el día 1 de junio, después del 27 de abril, y finalizó el día 9 de junio, dictándose la resolución administrativa de autorización de la extinción de los contratos el día 17 de junio. “En caso de que se considerase inconstitucional el punto 4 de la Disposición Adicional 16 de la Ley 27/2011 y concordantes, es claro que las liquidaciones practicadas serían nulas ya que expresamente se sustentan en aquella disposición, así como la Resolución que las confirma”.</w:t>
      </w:r>
    </w:p>
    <w:p w:rsidR="001D6FAE" w:rsidRDefault="001D6FAE" w:rsidP="001D6FAE">
      <w:pPr>
        <w:pStyle w:val="TextoNormal"/>
      </w:pPr>
    </w:p>
    <w:p w:rsidR="001D6FAE" w:rsidRDefault="001D6FAE" w:rsidP="001D6FAE">
      <w:pPr>
        <w:pStyle w:val="TextoNormal"/>
      </w:pPr>
      <w:r>
        <w:t>b) En segundo lugar, descarta la pertinencia para resolver la presente cuestión de las resoluciones judiciales aducidas por el Abogado del Estado. También rechaza su argumento de que no se trata de una norma restrictiva de derechos individuales en el sentido del art. 9.3 CE: “La obligación impuesta a la empresa, en los supuestos contemplados en la Ley, no es ciertamente una obligación de carácter tributario, pero si es una prestación de contenido económico por razones de política social a la que será exigible similares garantías constitucionales que a la obligación tributaria misma, dado su contenido oneroso”.</w:t>
      </w:r>
    </w:p>
    <w:p w:rsidR="001D6FAE" w:rsidRDefault="001D6FAE" w:rsidP="001D6FAE">
      <w:pPr>
        <w:pStyle w:val="TextoNormal"/>
      </w:pPr>
    </w:p>
    <w:p w:rsidR="001D6FAE" w:rsidRDefault="001D6FAE" w:rsidP="001D6FAE">
      <w:pPr>
        <w:pStyle w:val="TextoNormal"/>
      </w:pPr>
      <w:r>
        <w:t>También rechaza la insinuación de la parte actora de que las negociaciones se iniciaron antes del día 27 de abril, pues el procedimiento se inicia propiamente al presentar la solicitud ante la autoridad laboral. Igualmente rechaza la interpretación de que la disposición adicional decimosexta de la Ley 27/2011 sea aplicable a los procesos iniciados a partir del 27 de abril y terminados después de la entrada en vigor de la Ley.</w:t>
      </w:r>
    </w:p>
    <w:p w:rsidR="001D6FAE" w:rsidRDefault="001D6FAE" w:rsidP="001D6FAE">
      <w:pPr>
        <w:pStyle w:val="TextoNormal"/>
      </w:pPr>
    </w:p>
    <w:p w:rsidR="001D6FAE" w:rsidRDefault="001D6FAE" w:rsidP="001D6FAE">
      <w:pPr>
        <w:pStyle w:val="TextoNormal"/>
      </w:pPr>
      <w:r>
        <w:t>Por tanto, “se está en presencia de una situación jurídica desarrollada hasta su término, sobre la que se proyecta el efecto retroactivo de una Ley que entró en vigor con posterioridad. En tales supuestos de retroactividad máxima es exigible que la norma contemple elementos cualificados del bien común (STC 126/1987 y STC 233/2015) y que queden explicados en el preámbulo de la Ley así como también, explicada la retroactividad misma y su alcance (STC 233/2015, recurso 5012-2013, STC 105/2015, recurso 6066-2012, STC 48/2015 y STC 183/2014 entre otras)”.</w:t>
      </w:r>
    </w:p>
    <w:p w:rsidR="001D6FAE" w:rsidRDefault="001D6FAE" w:rsidP="001D6FAE">
      <w:pPr>
        <w:pStyle w:val="TextoNormal"/>
      </w:pPr>
    </w:p>
    <w:p w:rsidR="001D6FAE" w:rsidRDefault="001D6FAE" w:rsidP="001D6FAE">
      <w:pPr>
        <w:pStyle w:val="TextoNormal"/>
      </w:pPr>
      <w:r>
        <w:t>c) En tercer lugar, en cuanto a las exigencias cualificadas del bien común afirma que “tanto el preámbulo de la Ley 27/2011, como el de la Ley 3/2012 (que asume la Disposición Adicional 16 de la Ley anterior) y en el Real Decreto 1484/2012 de 29 de octubre que los desarrolla se encuentran explicaciones exhaustivas de la finalidad que persiguen como respuesta a una situación de crisis económicas sin precedentes”. Así pues, concluye que la norma contempla explícitamente exigencias cualificadas de bien común.</w:t>
      </w:r>
    </w:p>
    <w:p w:rsidR="001D6FAE" w:rsidRDefault="001D6FAE" w:rsidP="001D6FAE">
      <w:pPr>
        <w:pStyle w:val="TextoNormal"/>
      </w:pPr>
    </w:p>
    <w:p w:rsidR="001D6FAE" w:rsidRDefault="001D6FAE" w:rsidP="001D6FAE">
      <w:pPr>
        <w:pStyle w:val="TextoNormal"/>
      </w:pPr>
      <w:r>
        <w:t>No obstante, otra es su conclusión en relación con la específica previsión de retroactividad: “Sin embargo, no sucede lo mismo con la exigencia de una explicación de la retroactividad misma que permita descartar que la fecha señalada de 27 de abril de 2011 no es caprichosa o arbitraria. … Ni en el preámbulo de la Ley 3/2012, ni en el del Real Decreto 1484/2012 se encuentra referencia alguna a la aplicación retroactiva de la Ley. Podría ciertamente sostenerse que, en el presente supuesto, en el contexto de la situación económica catastrófica que se describe, y en función de la finalidad que la Ley persigue, que no es otra que la de obtener unos recursos económicos suficientes para afrontar con carácter urgente aquella situación protegiendo sobre todo al colectivo de trabajadores de más edad, su aplicación retroactiva no precisaría de una explicación adicional, porque si se está contemplando los despidos colectivos iniciados a partir del 27 de abril de 2011, lo es, evidentemente, por la repercusión en el coste social de las extinciones contractuales, y la fecha concreta elegida no es caprichosa ni arbitraria dado el número considerable de despidos colectivos previsibles, y aún, que la fecha del 27 de abril de 2011, es proporcionada y razonable, dada su proximidad relativa a la fecha de promulgación de la Ley (2 de agosto de 2011), siguiendo el razonamiento de la STC 126/1987 … y razonablemente previsible una reacción legislativa excepcional ante una situación de crisis igualmente excepcional. Pero ante la falta de una indicación explícita en las normas que se han analizado, no permite a la Sala, por elementales consideraciones de seguridad jurídica abordar el fondo de la cuestión debatida sin que se haya dilucidado si la Disposición Adicional 16 en su apartado 4 cumple o no con las exigencias constitucionales de seguridad jurídica e interdicción de la arbitrariedad del art. 9.3 CE”.</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20 de septiembre de 2016,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fuese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evacuó el trámite conferido mediante escrito registrado el 11 de octubre de 2016.</w:t>
      </w:r>
    </w:p>
    <w:p w:rsidR="001D6FAE" w:rsidRDefault="001D6FAE" w:rsidP="001D6FAE">
      <w:pPr>
        <w:pStyle w:val="TextoNormal"/>
      </w:pPr>
    </w:p>
    <w:p w:rsidR="001D6FAE" w:rsidRDefault="001D6FAE" w:rsidP="001D6FAE">
      <w:pPr>
        <w:pStyle w:val="TextoNormal"/>
      </w:pPr>
      <w:r>
        <w:t>En primer lugar, y tras recordar la doctrina constitucional sobre el control externo que ejerce este Tribunal sobre el llamado juicio de relevancia, la Fiscal General señala que la entidad demandante construyó su petición considerando prioritario que se analizase la constitucionalidad de la norma por establecer una retroactividad prohibida por el ordenamiento y contraria al art. 9.3 CE, y subsidiariamente solicitó la estimación de la demanda por transcurso de los plazos de prescripción y por inexistencia de beneficios del grupo en los dos años anteriores al inicio del despido. No obstante, a juicio de la Fiscal General, la Sala de lo Social promovente de la cuestión aceptó acríticamente ese planteamiento y se abstuvo de analizar tanto la prescripción como la inexistencia de beneficios también aducida, cuestiones cada una con entidad suficiente para acoger la tesis de la demanda y conllevar la irrelevancia de la retroactividad prevista en la norma y de cuya constitucionalidad se dudaba. Tal modo de proceder no se acomoda a la doctrina del Tribunal Constitucional como se deduce del ATC 131/2016, FJ 3, dictado en un supuesto en el que también se aducía la prescripción.</w:t>
      </w:r>
    </w:p>
    <w:p w:rsidR="001D6FAE" w:rsidRDefault="001D6FAE" w:rsidP="001D6FAE">
      <w:pPr>
        <w:pStyle w:val="TextoNormal"/>
      </w:pPr>
    </w:p>
    <w:p w:rsidR="001D6FAE" w:rsidRDefault="001D6FAE" w:rsidP="001D6FAE">
      <w:pPr>
        <w:pStyle w:val="TextoNormal"/>
      </w:pPr>
      <w:r>
        <w:t>En segundo lugar, en cuanto al fondo, tras señalar la doctrina constitucional relativa a la retroactividad de las normas tributarias [SSTC 182/1997, FJ 11 d), y 121/2016, FJ 4], la Fiscal General del Estado afirma que esa doctrina puede servir para enjuiciar la constitucionalidad de la disposición cuestionada que también contempla una aportación económica al Tesoro Público. Con carácter previo indica que dicha aportación económica, aunque con regulación distinta, ya existía en el ordenamiento jurídico español (art. 51.15 del estatuto de los trabajadores) y, por tanto, era aplicable en el momento en el que se aprobó el expediente de regulación de empleo. Por otra parte, señala que las extinciones se fueron sucediendo a medida que los trabajadores iban quedando incluidos en su ámbito de aplicación o, como se dice en el acuerdo, de forma gradual hasta la fecha definitiva de conclusión del mismo, fijado el día 31 de diciembre de 2013. También debe tenerse en cuenta que en la norma cuestionada [letra d) del número 1] se establece la necesidad de que los trabajadores afectados de 50 años o más de edad no hubiesen sido recolocados en el plazo de seis meses. Estos extremos, afirma la Fiscal General, sucedieron con posterioridad a la fecha de entrada en vigor de la norma cuestionada (agosto de 2011) tratándose de prestaciones periódicas que se han ido desembolsando a lo largo del tiempo, también con posterioridad a la entrada en vigor de la norma cuestionada. Ello pone de manifiesto que no se trata de un supuesto de retroactividad auténtica o de grado máximo, sino de una retroactividad impropia o de grado medio, pues, aun cuando el hecho que dio lugar al nacimiento de la obligación de aportación económica es anterior al momento de entrada en vigor de la norma (el 1 de junio de 2011), los hechos jurídicos determinantes de la aportación se concretaron con posterioridad a la entrada en vigor y se han ido renovando anualmente con posterioridad. Al tratarse de este tipo de retroactividad, deben ponderarse de un lado la seguridad jurídica y, de otro, las circunstancias concretas que concurren, esto es, la finalidad de la medida y las circunstancias relativas a su grado de previsibilidad e importancia cuantitativa.</w:t>
      </w:r>
    </w:p>
    <w:p w:rsidR="001D6FAE" w:rsidRDefault="001D6FAE" w:rsidP="001D6FAE">
      <w:pPr>
        <w:pStyle w:val="TextoNormal"/>
      </w:pPr>
    </w:p>
    <w:p w:rsidR="001D6FAE" w:rsidRDefault="001D6FAE" w:rsidP="001D6FAE">
      <w:pPr>
        <w:pStyle w:val="TextoNormal"/>
      </w:pPr>
      <w:r>
        <w:t>La finalidad de la norma no es otra que la de garantizar la viabilidad del sistema de protección del desempleo, en un momento de masiva destrucción de puestos de trabajo. La aportación se impone exclusivamente a las grandes empresas que llevan a cabo importantes ajustes de plantilla teniendo beneficios económicos, ajustes que generan un descomunal coste en el sistema de protección de desempleo, que además expulsan prematuramente del mercado de trabajo a trabajadores con enormes dificultades para una ulterior reincorporación. Tampoco cabe dudar de la previsibilidad de la medida, pues, de un lado, la tramitación de la Ley fue anterior y coetánea a la iniciación del expediente de regulación de empleo, su necesidad venía siendo reclamada desde tiempo atrás por distintos interlocutores sociales, por el informe de evaluación del Pacto de Toledo, por las instancias europeas ante la fragilidad del sistema de Seguridad Social, el Pacto de Toledo, los Consejos Europeos de Lisboa, Estocolmo, Gotemburgo, Barcelona y Bruselas, como se puede leer en la exposición de motivos. Y respecto a la importancia cuantitativa de la aportación económica, no ha sido analizada en comparación a la situación precedente, al ignorarse la que debía haber sido objeto de aportación de no haberse producido la modificación legislativa: en el proceso subyacente solo se adujo la cifra de la aportación económica requerida, aportación elevada, pero también fue elevado el número de trabajadores afectados por las extinciones, en total 698 y también elevada fue la cifra de las prestaciones y cotizaciones satisfechas según se hace constar en la propuesta de resolución de 27 de noviembre de 2015. No otra fue la postura del órgano judicial promovente que, en su Auto de planteamiento, entendió justificada la norma y su alcance retroactivo.</w:t>
      </w:r>
    </w:p>
    <w:p w:rsidR="001D6FAE" w:rsidRDefault="001D6FAE" w:rsidP="001D6FAE">
      <w:pPr>
        <w:pStyle w:val="TextoNormal"/>
      </w:pPr>
    </w:p>
    <w:p w:rsidR="001D6FAE" w:rsidRDefault="001D6FAE" w:rsidP="001D6FAE">
      <w:pPr>
        <w:pStyle w:val="TextoNormal"/>
      </w:pPr>
      <w:r>
        <w:t>Por todo ello, la Fiscal General del Estado solicita que el Pleno de este Tribunal dicte Auto inadmitiendo la presente cuestión de inconstitucionalidad.</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presente cuestión de inconstitucionalidad se plantea por la Sala de lo Social del Tribunal Superior de Justicia de Madrid respecto de la disposición adicional decimosexta, apartado 4, de la Ley 27/2011, de 1 de agosto, sobre actualización, adecuación y modernización del sistema de Seguridad Social.</w:t>
      </w:r>
    </w:p>
    <w:p w:rsidR="001D6FAE" w:rsidRDefault="001D6FAE" w:rsidP="001D6FAE">
      <w:pPr>
        <w:pStyle w:val="TextoNormal"/>
      </w:pPr>
    </w:p>
    <w:p w:rsidR="001D6FAE" w:rsidRDefault="001D6FAE" w:rsidP="001D6FAE">
      <w:pPr>
        <w:pStyle w:val="TextoNormal"/>
      </w:pPr>
      <w:r>
        <w:t>La mencionada disposición adicional decimosexta regula la aportación económica al Tesoro Público que deben efectuar las empresas que realicen despidos colectivos de acuerdo con lo establecido en el artículo 51 del estatuto de los trabajadores, y que incluyan a trabajadores de 50 o más años de edad. El apartado 4, único cuestionado en este proceso, establece que “[l]o previsto en esta disposición será de aplicación a los expedientes de regulación de empleo iniciados a partir del 27 de abril de 2011”.</w:t>
      </w:r>
    </w:p>
    <w:p w:rsidR="001D6FAE" w:rsidRDefault="001D6FAE" w:rsidP="001D6FAE">
      <w:pPr>
        <w:pStyle w:val="TextoNormal"/>
      </w:pPr>
    </w:p>
    <w:p w:rsidR="001D6FAE" w:rsidRDefault="001D6FAE" w:rsidP="001D6FAE">
      <w:pPr>
        <w:pStyle w:val="TextoNormal"/>
      </w:pPr>
      <w:r>
        <w:t>Como se ha expuesto en los antecedentes, el órgano judicial promotor de la cuestión considera que el apartado 4 de la disposición adicional decimosexta puede ser contrario a los principios de seguridad jurídica y de interdicción de la arbitrariedad del art. 9.3 CE. Por el contrario, la Fiscal General del Estado ha interesado la inadmisión de la cuestión de inconstitucionalidad planteada por un doble motivo, por incumplimiento de los requisitos procesales y por considerarla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2</w:t>
      </w:r>
      <w:r>
        <w:t>. Conforme a lo dispuesto en el art.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1D6FAE" w:rsidRDefault="001D6FAE" w:rsidP="001D6FAE">
      <w:pPr>
        <w:pStyle w:val="TextoNormal"/>
      </w:pPr>
    </w:p>
    <w:p w:rsidR="001D6FAE" w:rsidRDefault="001D6FAE" w:rsidP="001D6FAE">
      <w:pPr>
        <w:pStyle w:val="TextoNormal"/>
      </w:pPr>
      <w:r>
        <w:t xml:space="preserve">La Fiscal General del Estado alega que en la presente cuestión de inconstitucionalidad concurren los dos motivos de inadmisión. Por lo que respecta al primero, señala que la entidad recurrente no solo solicitó en el proceso </w:t>
      </w:r>
      <w:r w:rsidRPr="001D6FAE">
        <w:rPr>
          <w:i/>
        </w:rPr>
        <w:t>a quo</w:t>
      </w:r>
      <w:r>
        <w:t xml:space="preserve"> el análisis de constitucionalidad de la retroactividad de la norma que se la había aplicado mediante las liquidaciones de la aportación económica debida al Tesoro, también solicitó la estimación de la demanda por transcurso de los plazos de prescripción y por inexistencia de beneficios del grupo empresarial en los dos años anteriores al inicio del despido. No obstante, a juicio de la Fiscal General, la Sala de lo Social promovente de la cuestión se abstuvo de analizar tanto la prescripción como la inexistencia de beneficios, cuestiones cada una con entidad suficiente para amparar la pretensión impugnatoria de la demandante, de forma que, de ser posteriormente apreciadas cualquiera de ellas, conllevaría la inmediata anulación de las resoluciones impugnadas y, con ello, la irrelevancia de la retroactividad prevista en la norma y de cuya constitucionalidad se duda en el Auto de planteamiento de la presente cuestión de inconstitucionalidad.</w:t>
      </w:r>
    </w:p>
    <w:p w:rsidR="001D6FAE" w:rsidRDefault="001D6FAE" w:rsidP="001D6FAE">
      <w:pPr>
        <w:pStyle w:val="TextoNormal"/>
      </w:pPr>
    </w:p>
    <w:p w:rsidR="001D6FAE" w:rsidRDefault="001D6FAE" w:rsidP="001D6FAE">
      <w:pPr>
        <w:pStyle w:val="TextoNormal"/>
      </w:pPr>
      <w:r>
        <w:t>Como recuerda la Fiscal General del Estado, en nuestro reciente ATC 131/2016, de 21 de junio, FJ 3, abordamos una cuestión de inconstitucionalidad promovida por un órgano judicial sin haberse pronunciado previamente sobre la prescripción de la acción alegada por la parte demandada. Las consideraciones que entonces efectuamos son también aplicables al presente supuesto.</w:t>
      </w:r>
    </w:p>
    <w:p w:rsidR="001D6FAE" w:rsidRDefault="001D6FAE" w:rsidP="001D6FAE">
      <w:pPr>
        <w:pStyle w:val="TextoNormal"/>
      </w:pPr>
    </w:p>
    <w:p w:rsidR="001D6FAE" w:rsidRDefault="001D6FAE" w:rsidP="001D6FAE">
      <w:pPr>
        <w:pStyle w:val="TextoNormal"/>
      </w:pPr>
      <w:r>
        <w:t>En efecto, conforme ha señalado la STC 84/2012, de 18 de abril, FJ 3, “el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mismo en que la cuestión se plantea ni de los presupuestos procesales que le sirven de base, pues, por esa vía indirecta, estaría resolviendo el Tribunal un problema de legalidad ordinaria —en este caso, la admisión o inadmisión a trámite del recurso de suplicación en cuyo seno se plantea la cuestión— para lo que, obviamente, carece de jurisdicción y de competencia [SSTC 196/1987, de 11 de diciembre, FJ 2; 186/1990, de 15 de noviembre, FJ 2, y 110/1993, de 25 de marzo, FJ 2 a)].</w:t>
      </w:r>
    </w:p>
    <w:p w:rsidR="001D6FAE" w:rsidRDefault="001D6FAE" w:rsidP="001D6FAE">
      <w:pPr>
        <w:pStyle w:val="TextoNormal"/>
      </w:pPr>
    </w:p>
    <w:p w:rsidR="001D6FAE" w:rsidRDefault="001D6FAE" w:rsidP="001D6FAE">
      <w:pPr>
        <w:pStyle w:val="TextoNormal"/>
      </w:pPr>
      <w:r>
        <w:t xml:space="preserve">Ahora bien,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w:t>
      </w:r>
      <w:r w:rsidRPr="001D6FAE">
        <w:rPr>
          <w:i/>
        </w:rPr>
        <w:t>a quo</w:t>
      </w:r>
      <w:r>
        <w:t xml:space="preserve">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001D6FAE" w:rsidRDefault="001D6FAE" w:rsidP="001D6FAE">
      <w:pPr>
        <w:pStyle w:val="TextoNormal"/>
      </w:pPr>
    </w:p>
    <w:p w:rsidR="001D6FAE" w:rsidRDefault="001D6FAE" w:rsidP="001D6FAE">
      <w:pPr>
        <w:pStyle w:val="TextoNormal"/>
      </w:pPr>
      <w:r>
        <w:t>Pues bien, ni en la providencia por la que se acuerda oír a las partes y al Ministerio Fiscal, ni en el posterior Auto de planteamiento, la Sala ha razonado por qué la alegación por la parte recurrente de la prescripción de la acción ejercida por la parte demandada o de su inaplicabilidad, por la falta de concurrencia de alguno de sus presupuestos materiales, no impediría el planteamiento de la cuestión de inconstitucionalidad.</w:t>
      </w:r>
    </w:p>
    <w:p w:rsidR="001D6FAE" w:rsidRDefault="001D6FAE" w:rsidP="001D6FAE">
      <w:pPr>
        <w:pStyle w:val="TextoNormal"/>
      </w:pPr>
    </w:p>
    <w:p w:rsidR="001D6FAE" w:rsidRDefault="001D6FAE" w:rsidP="001D6FAE">
      <w:pPr>
        <w:pStyle w:val="TextoNormal"/>
      </w:pPr>
      <w:r>
        <w:t>Como señala la citada STC 84/2012, de 18 de abril, FJ 3,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(SSTC 17/1981, de 1 de junio, FJ 1; 141/2008, de 30 de octubre, FJ 6, y 115/2009, de 30 de mayo, FJ 2)”.</w:t>
      </w:r>
    </w:p>
    <w:p w:rsidR="001D6FAE" w:rsidRDefault="001D6FAE" w:rsidP="001D6FAE">
      <w:pPr>
        <w:pStyle w:val="TextoNormal"/>
      </w:pPr>
    </w:p>
    <w:p w:rsidR="001D6FAE" w:rsidRDefault="001D6FAE" w:rsidP="001D6FAE">
      <w:pPr>
        <w:pStyle w:val="TextoNormal"/>
      </w:pPr>
      <w:r>
        <w:t>Así pues, alegada la prescripción y la inaplicabilidad —por falta de alguno de sus presupuestos materiales— de la obligación de aportación económica al Tesoro Público en el escrito de demanda que inicia el proceso origen de la presente cuestión de inconstitucionalidad, la inexistencia de un razonamiento de la Sala que permitiera entender que no existe tal prescripción o tal inaplicabilidad nos conduce a concluir que no se ha satisfecho el juicio de relevancia exigido por el art. 35 LOTC, lo que hace procedente el pronunciamiento de inadmisión de la cuestión planteada.</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quince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59" w:name="AUTO_2016_185"/>
      <w:r>
        <w:t>AUTO 185/2016, de 15 de noviembre de 2016</w:t>
      </w:r>
    </w:p>
    <w:bookmarkEnd w:id="159"/>
    <w:p w:rsidR="001D6FAE" w:rsidRDefault="001D6FAE" w:rsidP="001D6FAE">
      <w:pPr>
        <w:pStyle w:val="TtuloResolucin"/>
      </w:pPr>
      <w:r>
        <w:t>Pleno</w:t>
      </w:r>
    </w:p>
    <w:p w:rsidR="001D6FAE" w:rsidRDefault="001D6FAE" w:rsidP="001D6FAE">
      <w:pPr>
        <w:pStyle w:val="TextoNormalCentrado"/>
      </w:pPr>
      <w:r>
        <w:t>ECLI:ES:TC:2016:185A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don Andrés Ollero Tassara, don Fernando Valdés Dal-Ré, don Juan José González Rivas, don Santiago Martínez-Vares García, don Juan Antonio Xiol Ríos, don Pedro José González-Trevijano Sánchez y don Ricardo Enríquez Sancho.</w:t>
      </w:r>
    </w:p>
    <w:p w:rsidR="001D6FAE" w:rsidRDefault="001D6FAE" w:rsidP="001D6FAE">
      <w:pPr>
        <w:pStyle w:val="SntesisDescriptiva"/>
      </w:pPr>
    </w:p>
    <w:p w:rsidR="001D6FAE" w:rsidRDefault="001D6FAE" w:rsidP="001D6FAE">
      <w:pPr>
        <w:pStyle w:val="SntesisDescriptiva"/>
      </w:pPr>
      <w:r>
        <w:t>Inadmite a trámite la cuestión de inconstitucionalidad 3788-2016, planteada por la Sala de lo Contencioso-Administrativo del Tribunal Superior de Justicia de Castilla-La Mancha en relación con los capítulos I y II de la Ley 9/2011, de 21 de marzo, por la que se crean el canon eólico y el fondo para el desarrollo tecnológico de las energías renovables y el uso racional de la energía en Castilla-La Mancha.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30 de junio de 2016 tuvo entrada en el Registro General de este Tribunal un oficio de la Sección Segunda de la Sala de lo Contencioso-Administrativo del Tribunal Superior de Justicia de Castilla-La Mancha por el que se remite, junto con el testimonio del procedimiento correspondiente, el Auto de 29 de abril de 2016 por el que se acuerda plantear cuestión de inconstitucionalidad respecto de los capítulos I y II de la Ley 9/2011, de 21 de marzo, por la que se crean el canon eólico y el fondo para el desarrollo tecnológico de las energías renovables y el uso racional de la energía en Castilla- La Mancha.</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w:t>
      </w:r>
    </w:p>
    <w:p w:rsidR="001D6FAE" w:rsidRDefault="001D6FAE" w:rsidP="001D6FAE">
      <w:pPr>
        <w:pStyle w:val="TextoNormal"/>
      </w:pPr>
    </w:p>
    <w:p w:rsidR="001D6FAE" w:rsidRDefault="001D6FAE" w:rsidP="001D6FAE">
      <w:pPr>
        <w:pStyle w:val="TextoNormal"/>
      </w:pPr>
      <w:r>
        <w:t>a) La representación procesal de una determinada empresa presentó recurso contencioso-administrativo contra la desestimación por silencio y posterior resolución de 9 de diciembre de 2014 de la comisión superior de hacienda de la Junta de Comunidades de Castilla-La Mancha, por la que se desestima la reclamación económico-administrativa interpuesta contra la resolución de la Dirección General de Industria, Energía y Minas de 21 de enero de 2013, desestimatoria a su vez de la solicitud de rectificación y devolución de ingresos indebidos de las autoliquidaciones del canon eólico correspondientes al segundo, tercer y cuarto trimestres del ejercicio de 2011. La demanda se fundamentaba en que las liquidaciones impugnadas estaban viciadas de inconstitucionalidad por cuanto se trataría de un tributo que se solapa con el impuesto de actividades económicas y con el impuesto sobre bienes inmuebles. Igualmente se alegaba la contravención del art. 191.2 del Tratado de funcionamiento de la Unión Europea, así como de la Directiva 2009/28/CE, de 23 de abril.</w:t>
      </w:r>
    </w:p>
    <w:p w:rsidR="001D6FAE" w:rsidRDefault="001D6FAE" w:rsidP="001D6FAE">
      <w:pPr>
        <w:pStyle w:val="TextoNormal"/>
      </w:pPr>
    </w:p>
    <w:p w:rsidR="001D6FAE" w:rsidRDefault="001D6FAE" w:rsidP="001D6FAE">
      <w:pPr>
        <w:pStyle w:val="TextoNormal"/>
      </w:pPr>
      <w:r>
        <w:t>b) Seguido el procedimiento por sus trámites se fijó fecha para votación y fallo. El 11 de febrero de 2016 la Sala dictó providencia concediendo a las partes y al Ministerio Fiscal un plazo de diez días para que alegasen sobre la pertinencia de plantear cuestión prejudicial en Tribunal de Justicia de la Unión Europea en relación con las cuestiones siguientes:</w:t>
      </w:r>
    </w:p>
    <w:p w:rsidR="001D6FAE" w:rsidRDefault="001D6FAE" w:rsidP="001D6FAE">
      <w:pPr>
        <w:pStyle w:val="TextoNormal"/>
      </w:pPr>
    </w:p>
    <w:p w:rsidR="001D6FAE" w:rsidRDefault="001D6FAE" w:rsidP="001D6FAE">
      <w:pPr>
        <w:pStyle w:val="TextoNormal"/>
      </w:pPr>
      <w:r>
        <w:t>“1. Si a la vista del articulado de la Ley 9/2011, del canon eólico implantado en nuestra Comunidad Autónoma, el citado canon tiene o no la verdadera naturaleza extrafiscal que se predica o se trata de un simple impuesto con finalidad recaudatoria que grava una manifestación de riqueza o capacidad de renta.</w:t>
      </w:r>
    </w:p>
    <w:p w:rsidR="001D6FAE" w:rsidRDefault="001D6FAE" w:rsidP="001D6FAE">
      <w:pPr>
        <w:pStyle w:val="TextoNormal"/>
      </w:pPr>
    </w:p>
    <w:p w:rsidR="001D6FAE" w:rsidRDefault="001D6FAE" w:rsidP="001D6FAE">
      <w:pPr>
        <w:pStyle w:val="TextoNormal"/>
      </w:pPr>
      <w:r>
        <w:t>2. Si la finalidad disuasoria que se persigue con el canon fiscal mencionado entra o no en contradicción con la Directiva comunitaria 2009/28/CE, que establece estímulos de todo tipo, incluidos los fiscales, para el impulso y desarrollo de las energías limpias y renovables, entre otras, la eólica, al ser más respetuosas con el medio ambiente que otras.</w:t>
      </w:r>
    </w:p>
    <w:p w:rsidR="001D6FAE" w:rsidRDefault="001D6FAE" w:rsidP="001D6FAE">
      <w:pPr>
        <w:pStyle w:val="TextoNormal"/>
      </w:pPr>
    </w:p>
    <w:p w:rsidR="001D6FAE" w:rsidRDefault="001D6FAE" w:rsidP="001D6FAE">
      <w:pPr>
        <w:pStyle w:val="TextoNormal"/>
      </w:pPr>
      <w:r>
        <w:t>3. Si puede existir doble imposición en cuanto al gravamen que el citado canon impone con relación a otros impuestos como son: el impuesto de actividades económicas; el impuesto de bienes inmuebles; el impuesto sobre el valor de producción de la energía eléctrica; el impuesto sobre el valor de la producción de energía eléctrica; el impuesto sobre construcciones, obras e instalaciones y el impuesto o canon urbanístico previsto en la LOTAU (artículos 54.3 y 64.3) en relación con el artículo 33 del Decreto 242/2004, de 27 de julio. La existencia o no de doble imposición se considera relevante, entre otras cosas, a la hora de decidir la conformidad del canon con la citada Directiva 2009/28/CE por el efecto negativo que dicho aspecto produciría con el fin promotor de las energías limpias ya enunciado.</w:t>
      </w:r>
    </w:p>
    <w:p w:rsidR="001D6FAE" w:rsidRDefault="001D6FAE" w:rsidP="001D6FAE">
      <w:pPr>
        <w:pStyle w:val="TextoNormal"/>
      </w:pPr>
    </w:p>
    <w:p w:rsidR="001D6FAE" w:rsidRDefault="001D6FAE" w:rsidP="001D6FAE">
      <w:pPr>
        <w:pStyle w:val="TextoNormal"/>
      </w:pPr>
      <w:r>
        <w:t>4. Si de acuerdo con la Sentencia del Tribunal de Justicia de la Unión Europea de fecha 27 de febrero de 2014 que interpreta la Directiva 92/12/CEE, derogada y sustituida por la Directiva 2008/118/CEE, sobre el denominado ‘céntimo sanitario’, se cumple en el presente caso con el requisito de la finalidad específica de que los rendimientos del impuesto deberían utilizarse obligatoriamente para reducir los costes medioambientales vinculados específicamente al establecimiento y funcionamiento de los parque eólicos.</w:t>
      </w:r>
    </w:p>
    <w:p w:rsidR="001D6FAE" w:rsidRDefault="001D6FAE" w:rsidP="001D6FAE">
      <w:pPr>
        <w:pStyle w:val="TextoNormal"/>
      </w:pPr>
    </w:p>
    <w:p w:rsidR="001D6FAE" w:rsidRDefault="001D6FAE" w:rsidP="001D6FAE">
      <w:pPr>
        <w:pStyle w:val="TextoNormal"/>
      </w:pPr>
      <w:r>
        <w:t>5. De igual modo y con relación a las cuestiones planteadas, se deberá tener en cuenta la Directiva 2003/96/CE, sobre imposición de productos energéticos en cuanto a los beneficios fiscales previstos para las energías limpias.”</w:t>
      </w:r>
    </w:p>
    <w:p w:rsidR="001D6FAE" w:rsidRDefault="001D6FAE" w:rsidP="001D6FAE">
      <w:pPr>
        <w:pStyle w:val="TextoNormal"/>
      </w:pPr>
    </w:p>
    <w:p w:rsidR="001D6FAE" w:rsidRDefault="001D6FAE" w:rsidP="001D6FAE">
      <w:pPr>
        <w:pStyle w:val="TextoNormal"/>
      </w:pPr>
      <w:r>
        <w:t>c) Presentadas las alegaciones de las partes el órgano judicial dictó Auto de 11 de abril de 2016 por el que acuerda plantear cuestiones prejudiciales ante el Tribunal de Justicia de la Unión Europea, del siguiente tenor literal:</w:t>
      </w:r>
    </w:p>
    <w:p w:rsidR="001D6FAE" w:rsidRDefault="001D6FAE" w:rsidP="001D6FAE">
      <w:pPr>
        <w:pStyle w:val="TextoNormal"/>
      </w:pPr>
    </w:p>
    <w:p w:rsidR="001D6FAE" w:rsidRDefault="001D6FAE" w:rsidP="001D6FAE">
      <w:pPr>
        <w:pStyle w:val="TextoNormal"/>
      </w:pPr>
      <w:r>
        <w:t>“1° Configurados los ‘sistemas de apoyo’ definidos en el art. 2 k) de la Directiva 2009/28/CE, y entre ellos, los estímulos fiscales consistentes en desgravaciones fiscales, exenciones y devoluciones de impuestos, como instrumentos dirigidos a la consecución de los objetivos de consumo de energías renovables previstos en la mencionada Directiva 2009/28/CE. ¿Debe entenderse que los mencionados estímulos o medidas tienen carácter obligatorio y son vinculantes para los Estados miembros con un efecto directo en cuanto pueden invocarse y hacerse valer por los particulares afectados en toda clase de instancias públicas, judiciales y administrativas?</w:t>
      </w:r>
    </w:p>
    <w:p w:rsidR="001D6FAE" w:rsidRDefault="001D6FAE" w:rsidP="001D6FAE">
      <w:pPr>
        <w:pStyle w:val="TextoNormal"/>
      </w:pPr>
    </w:p>
    <w:p w:rsidR="001D6FAE" w:rsidRDefault="001D6FAE" w:rsidP="001D6FAE">
      <w:pPr>
        <w:pStyle w:val="TextoNormal"/>
      </w:pPr>
      <w:r>
        <w:t>2° Al enumerarse entre los ‘sistemas de apoyo’ mencionados en la pregunta anterior medidas de estímulo fiscal consistentes en desgravaciones fiscales, exenciones y devoluciones de impuestos, empleándose la expresión ‘sin limitarse a estos’. ¿Deben entenderse comprendidos dentro de esos estímulos precisamente la no imposición, es decir, la prohibición de cualquier clase de gravamen específico y singular adicional, a los impuestos generales que gravan la actividad económica y la producción de electricidad pero sobre la energía procedente de fuentes renovables? Asimismo y dentro de este mismo apartado se formula la siguiente cuestión: ¿A mayores, también debe entenderse comprendida dentro de la prohibición general anteriormente enunciada la relativa a la concurrencia, doble imposición o solapamiento de múltiples tributos generales o singulares que recaen en distintos momentos sobre la actividad de generación de energías renovables incidiendo en el mismo hecho imponible gravado por el canon eólico objeto de examen?</w:t>
      </w:r>
    </w:p>
    <w:p w:rsidR="001D6FAE" w:rsidRDefault="001D6FAE" w:rsidP="001D6FAE">
      <w:pPr>
        <w:pStyle w:val="TextoNormal"/>
      </w:pPr>
    </w:p>
    <w:p w:rsidR="001D6FAE" w:rsidRDefault="001D6FAE" w:rsidP="001D6FAE">
      <w:pPr>
        <w:pStyle w:val="TextoNormal"/>
      </w:pPr>
      <w:r>
        <w:t>3° Para el caso de darse una respuesta negativa al interrogante anterior y aceptarse la imposición sobre la energía procedente de fuentes renovables, a los efectos de lo previsto en el arto 1.2 de la Directiva 2008/118/CE ¿debe interpretarse la noción de "finalidad específica" en el sentido de que el objetivo en que consista deba ser exclusivo y de que además el impuesto con el que se graven las energías renovables desde el punto de vista de su estructura tenga verdadera naturaleza extrafiscal y no meramente presupuestaria o recaudatoria?</w:t>
      </w:r>
    </w:p>
    <w:p w:rsidR="001D6FAE" w:rsidRDefault="001D6FAE" w:rsidP="001D6FAE">
      <w:pPr>
        <w:pStyle w:val="TextoNormal"/>
      </w:pPr>
    </w:p>
    <w:p w:rsidR="001D6FAE" w:rsidRDefault="001D6FAE" w:rsidP="001D6FAE">
      <w:pPr>
        <w:pStyle w:val="TextoNormal"/>
      </w:pPr>
      <w:r>
        <w:t>4° De acuerdo con lo dispuesto en el art. 4 de la Directiva 2009/96/CE que al referirse a los niveles de imposición que los Estados miembros deben aplicar sobre los productos energéticos y de la electricidad toma como referencia los mínimos de la Directiva entendidos como la suma de todos los impuestos directos e indirectos que se apliquen sobre aquellos productos en el momento de su puesta a consumo. ¿Debe entenderse que esa suma debe llevar a la exclusión del nivel de imposición exigido por la Directiva de aquellos impuestos nacionales que no tengan una verdadera naturaleza extrafiscal tanto desde el punto de vista de su estructura como desde su finalidad específica, interpretada según la respuesta que se dé a la pregunta anterior?</w:t>
      </w:r>
    </w:p>
    <w:p w:rsidR="001D6FAE" w:rsidRDefault="001D6FAE" w:rsidP="001D6FAE">
      <w:pPr>
        <w:pStyle w:val="TextoNormal"/>
      </w:pPr>
    </w:p>
    <w:p w:rsidR="001D6FAE" w:rsidRDefault="001D6FAE" w:rsidP="001D6FAE">
      <w:pPr>
        <w:pStyle w:val="TextoNormal"/>
      </w:pPr>
      <w:r>
        <w:t>5° ¿Constituye el término tasa empleado en el arto 13.1 e) de la Directiva 2009/28/CE un concepto autónomo del derecho europeo que deba interpretarse en un sentido más amplio como comprensivo y sinónimo también del concepto de tributo en general?</w:t>
      </w:r>
    </w:p>
    <w:p w:rsidR="001D6FAE" w:rsidRDefault="001D6FAE" w:rsidP="001D6FAE">
      <w:pPr>
        <w:pStyle w:val="TextoNormal"/>
      </w:pPr>
    </w:p>
    <w:p w:rsidR="001D6FAE" w:rsidRDefault="001D6FAE" w:rsidP="001D6FAE">
      <w:pPr>
        <w:pStyle w:val="TextoNormal"/>
      </w:pPr>
      <w:r>
        <w:t>6° Para el caso de una respuesta afirmativa a la pregunta anterior la pregunta que planteamos es la siguiente: ¿Las tasas que deben pagar los consumidores a las que se refiere el art.13.1 e) mencionado solo pueden incluir aquellos gravámenes o imposiciones fiscales que traten de compensar en este caso los daños causados por su impacto en el medio ambiente y traten de reparar con el importe de la recaudación los daños ligados a tal impacto o afección negativos, pero no aquellos tributos o prestaciones que recayendo sobre las energías no contaminantes cumplan una finalidad primordialmente presupuestaria o recaudatoria?”.</w:t>
      </w:r>
    </w:p>
    <w:p w:rsidR="001D6FAE" w:rsidRDefault="001D6FAE" w:rsidP="001D6FAE">
      <w:pPr>
        <w:pStyle w:val="TextoNormal"/>
      </w:pPr>
    </w:p>
    <w:p w:rsidR="001D6FAE" w:rsidRDefault="001D6FAE" w:rsidP="001D6FAE">
      <w:pPr>
        <w:pStyle w:val="TextoNormal"/>
      </w:pPr>
      <w:r>
        <w:t>d) Por providencia de 26 de febrero de 2016 el órgano judicial acordó oír a las partes y al Ministerio Fiscal para que en el plazo de diez días formulasen alegaciones acerca de la conveniencia de plantear cuestión de inconstitucionalidad sobre la posible inconstitucionalidad de los capítulos I y II de la Ley 9/2011, de 21 de marzo, por la que se crean el canon eólico y el fondo para el desarrollo tecnológico de las energías renovables y el uso racional de la energía en Castilla-La Mancha, por la posible vulneración de los arts. 31.1 y 133.2 CE, “al establecerse una doble imposición, al solaparse el tributo con el hecho imponible de otros tributos y no ser apreciable una finalidad extrafiscal ni desde el punto de vista de la estructura del impuesto ni desde el punto de vista de la asignación y destino de lo recaudado”.</w:t>
      </w:r>
    </w:p>
    <w:p w:rsidR="001D6FAE" w:rsidRDefault="001D6FAE" w:rsidP="001D6FAE">
      <w:pPr>
        <w:pStyle w:val="TextoNormal"/>
      </w:pPr>
    </w:p>
    <w:p w:rsidR="001D6FAE" w:rsidRDefault="001D6FAE" w:rsidP="001D6FAE">
      <w:pPr>
        <w:pStyle w:val="TextoNormal"/>
      </w:pPr>
      <w:r>
        <w:t>La providencia plantea una doble duda. Así, desde lo que denomina punto de vista de la estructura del impuesto, señala literalmente que: “La definición del tributo y la regulación de su estructura no permite establecer una distinción real con el Impuesto de Actividades Económicas. Nos remitimos aquí a lo razonado por el Tribunal Supremo en las sentencia de 1 de diciembre de 2015 (FJ 2, apartado 2) y de 10 de julio de 2014 (FJ 5. apartado 2) en cuanto a la figura establecida por la Ley de Galicia 8/2009 con el mismo nombre y estructura”. A lo anterior se añade por la Sala la siguiente reflexión “la finalidad extrafiscal de un tributo que derive de su estructura implica que la actividad del mismo promueve determinadas conductas o disuade de otras (STC 60/2013 y 169/2012, sentencia TJUE de 27 de febrero de 2014). Si se trata de averiguar cuál es la finalidad extrafiscal del canon eólico, en este sentido tal finalidad no puede ser, desde luego, disuadir del desarrollo y uso de una fuente de energía que es relativamente más beneficiosa para el medio ambiente que las posibles alternativas a la misma, y cuya promoción mediante ayudas y exenciones se establece a nivel europeo (Directiva 2009/28/CEE). En caso de que la finalidad sea promover que se desarrolle mediante parques en los que se reduzca el número de aerogeneradores para así promover el uso de los más potentes, debería haber un punto en el que quien se adapte a las condiciones máximas exigidas no pague el tributo, cosa que no sucede”.</w:t>
      </w:r>
    </w:p>
    <w:p w:rsidR="001D6FAE" w:rsidRDefault="001D6FAE" w:rsidP="001D6FAE">
      <w:pPr>
        <w:pStyle w:val="TextoNormal"/>
      </w:pPr>
    </w:p>
    <w:p w:rsidR="001D6FAE" w:rsidRDefault="001D6FAE" w:rsidP="001D6FAE">
      <w:pPr>
        <w:pStyle w:val="TextoNormal"/>
      </w:pPr>
      <w:r>
        <w:t>Desde el punto de vista de la asignación y destino de lo recaudado se afirma que “aunque la afectación del gravamen a una determinado finalidad no es más que uno de los varios indicios, y no precisamente el más importante, para determinar si en el tributo autonómico prima el carácter contributivo o una finalidad extrafiscal (SSTC 179/2006, 60/2013), en cualquier caso en este supuesto, a diferencia del que examinó el Tribunal Supremo en las sentencias citadas, tampoco es posible apreciar que ese destino justifique la finalidad extrafiscal a la vista de lo razonado en el FJ 5 de la 60/2013, una vez examinado el art. 3 de la Ley, su DT 3° y las Leyes de Presupuestos Generales de la Junta de Comunidades de Castilla la Mancha dictadas posteriormente (DA 11 Ley 5/2012, DA 12 Ley 10/2012, DA 18 Ley 10/2013, DA 17 Ley 10/2014), donde solo un 50 por 100 o un 36 por 100 de lo recaudado se dedica al Fondo que crea la Ley,• mientras que el resto se rige por lo previsto en el art. 3.1, que, aparte de que contiene finalidades no medioambientales, no encuentra concreción alguna en las leyes presupuestarias (únicamente en la Ley 10/2014 se hace referencia a este resto, y se trata en cualquier caso de una mención genérica como las consideradas insuficientes por el TC en las sentencias citadas). Todo ello en contraste con el caso de la Ley Gallega 8/2009, en la que el 100% del canon aparece destinado al Fondo y aplicado a finalidades ambientales de los municipios donde se sitúan los parques eólicos”.</w:t>
      </w:r>
    </w:p>
    <w:p w:rsidR="001D6FAE" w:rsidRDefault="001D6FAE" w:rsidP="001D6FAE">
      <w:pPr>
        <w:pStyle w:val="TextoNormal"/>
      </w:pPr>
    </w:p>
    <w:p w:rsidR="001D6FAE" w:rsidRDefault="001D6FAE" w:rsidP="001D6FAE">
      <w:pPr>
        <w:pStyle w:val="TextoNormal"/>
      </w:pPr>
      <w:r>
        <w:t>El Letrado de la Junta de Comunidades de Castilla-La Mancha estimó que no procedía el planteamiento de la cuestión de inconstitucionalidad; la representación procesal de la mercantil actora interesó plantear la cuestión y el Ministerio Fiscal también la consideró pertinente.</w:t>
      </w:r>
    </w:p>
    <w:p w:rsidR="001D6FAE" w:rsidRDefault="001D6FAE" w:rsidP="001D6FAE">
      <w:pPr>
        <w:pStyle w:val="TextoNormal"/>
      </w:pPr>
    </w:p>
    <w:p w:rsidR="001D6FAE" w:rsidRDefault="001D6FAE" w:rsidP="001D6FAE">
      <w:pPr>
        <w:pStyle w:val="TextoNormal"/>
      </w:pPr>
      <w:r>
        <w:t>e) Por Auto de 29 de abril de 2016 el órgano judicial planteó cuestión de inconstitucionalidad respecto de los capítulos I y II de la Ley 9/2011, de 21 de marzo, por la que se crean el canon eólico y el fondo para el desarrollo tecnológico de las energías renovables y el uso racional de la energía en Castilla-La Mancha.</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interesa destacar lo siguiente:</w:t>
      </w:r>
    </w:p>
    <w:p w:rsidR="001D6FAE" w:rsidRDefault="001D6FAE" w:rsidP="001D6FAE">
      <w:pPr>
        <w:pStyle w:val="TextoNormal"/>
      </w:pPr>
    </w:p>
    <w:p w:rsidR="001D6FAE" w:rsidRDefault="001D6FAE" w:rsidP="001D6FAE">
      <w:pPr>
        <w:pStyle w:val="TextoNormal"/>
      </w:pPr>
      <w:r>
        <w:t>En primer lugar alude a los antecedentes del caso e inicia sus razonamientos jurídicos recogiendo literalmente los preceptos respecto a los que cuestiona su constitucionalidad (arts. 1 a 14 de la Ley 9/2011). A continuación justifica el cumplimiento de los requisitos del art. 35 de la Ley Orgánica del Tribunal Constitucional (LOTC), en particular el trámite de audiencia, el momento en el que se plantea la cuestión y el juicio de relevancia.</w:t>
      </w:r>
    </w:p>
    <w:p w:rsidR="001D6FAE" w:rsidRDefault="001D6FAE" w:rsidP="001D6FAE">
      <w:pPr>
        <w:pStyle w:val="TextoNormal"/>
      </w:pPr>
    </w:p>
    <w:p w:rsidR="001D6FAE" w:rsidRDefault="001D6FAE" w:rsidP="001D6FAE">
      <w:pPr>
        <w:pStyle w:val="TextoNormal"/>
      </w:pPr>
      <w:r>
        <w:t>Expone seguidamente los motivos por los que duda de la constitucionalidad del canon eólico señalando que “se desarrollará el planteamiento de la inconstitucionalidad del impuesto desde una doble perspectiva: tanto desde el punto de vista de su estructura, atendiendo a si existe o no solapamiento con relación al Impuesto de Actividades Económicas y si cumple o no una verdadera finalidad disuasoria de los comportamiento que trata de evitar con el fin de eludir la contaminación de la naturaleza y sus recursos, como desde la óptica de la asignación y destino de la recaudación a la reparación de los daños medioambientales causados por la instalación de los molinos de viento y su funcionamiento”.</w:t>
      </w:r>
    </w:p>
    <w:p w:rsidR="001D6FAE" w:rsidRDefault="001D6FAE" w:rsidP="001D6FAE">
      <w:pPr>
        <w:pStyle w:val="TextoNormal"/>
      </w:pPr>
    </w:p>
    <w:p w:rsidR="001D6FAE" w:rsidRDefault="001D6FAE" w:rsidP="001D6FAE">
      <w:pPr>
        <w:pStyle w:val="TextoNormal"/>
      </w:pPr>
      <w:r>
        <w:t xml:space="preserve">Por lo que hace a la posible concurrencia del canon cuestionado con el impuesto sobre actividades económicas (IAE), se remite a lo ya señalado en la providencia en el sentido de que la definición del tributo y la regulación de su estructura no permite establecer una distinción real entre ellos, tal como confirmarían las Sentencias del Tribunal Supremo de 1 de diciembre de 2015 y 10 de julio de 2014, que analizan una figura similar, creada por la Ley de Galicia 8/2009. Así afirma que “en la primera sentencia cuando se analiza el posible solapamiento del canon con el IAE llega a la conclusión de que por la estructura del impuesto existe una duplicidad o concurrencia con tal impuesto y resulta imposible determinar si hay una verdadera finalidad ambiental, o bien una forma distinta de referirse al mismo hecho imponible u objeto de gravamen que el IAE, fiándolo todo a lo que denomina ‘una </w:t>
      </w:r>
      <w:r w:rsidRPr="001D6FAE">
        <w:rPr>
          <w:i/>
        </w:rPr>
        <w:t>intentio legis</w:t>
      </w:r>
      <w:r>
        <w:t xml:space="preserve"> de gravar la actividad contaminante y los riesgos para el medio ambiente’, que en el caso examinado sí aprecia debido a la actividad probatoria desplegada por la Administración gallega”.</w:t>
      </w:r>
    </w:p>
    <w:p w:rsidR="001D6FAE" w:rsidRDefault="001D6FAE" w:rsidP="001D6FAE">
      <w:pPr>
        <w:pStyle w:val="TextoNormal"/>
      </w:pPr>
    </w:p>
    <w:p w:rsidR="001D6FAE" w:rsidRDefault="001D6FAE" w:rsidP="001D6FAE">
      <w:pPr>
        <w:pStyle w:val="TextoNormal"/>
      </w:pPr>
      <w:r>
        <w:t>A diferencia de ese caso, el Auto argumenta que no es posible sostener la finalidad extrafiscal del tributo, pues de las normas que regulan esta cuestión deduce que “solo un 50 por 100 o un 36 por 100 de lo recaudado se dedica al Fondo que crea la Ley; mientras que el resto se rige por lo previsto en el art. 3.1, que, aparte de que contiene finalidades no medioambientales, no encuentra concreción alguna en las leyes presupuestarias”. Para el Auto, eso evidencia “una manifiesta desconexión entre los ingresos procedentes del impuesto y la persecución de objetivos de naturaleza medioambiental proyectados por la Junta de Comunidades”. Esa desconexión no se vería salvada por la documentación que la representación procesal de la Junta de Comunidades de Castilla-La Mancha acompañó a su escrito de alegaciones en el trámite de audiencia. Por ello el órgano judicial señala que “es desde esta perspectiva, que afirma el carácter puramente fiscal y recaudatorio del impuesto, bajo la que nos planteamos la concurrencia o doble imposición con el impuesto de actividades económicas, que justifica el planteamiento de la cuestión. Pero es que además estamos ante un tributo que vulnera los límites constitucionales del poder tributario de las Comunidades Autónomas fijados por el art. 6.3 de la Ley Orgánica de Financiación de las Comunidades Autónomas 8/2008, de 22 de septiembre, modificada por la Ley Orgánica 3/2009”. Así, defiende que, despojado el canon eólico regulado en la Ley 9/2011 de su carácter impuesto medioambiental, “debemos sostener que la regulación de dicho impuesto por la Comunidad Autónoma de Castilla La Mancha desborda su poder normativo entrando en confrontación directa y vulnerando el art. 6.3 de la LOFCA, y dando lugar, a su vez, a un supuesto de doble imposición legalmente prohibido”.</w:t>
      </w:r>
    </w:p>
    <w:p w:rsidR="001D6FAE" w:rsidRDefault="001D6FAE" w:rsidP="001D6FAE">
      <w:pPr>
        <w:pStyle w:val="TextoNormal"/>
      </w:pPr>
    </w:p>
    <w:p w:rsidR="001D6FAE" w:rsidRDefault="001D6FAE" w:rsidP="001D6FAE">
      <w:pPr>
        <w:pStyle w:val="TextoNormal"/>
      </w:pPr>
      <w:r>
        <w:t>El Auto expone las razones en las que apoya la inconstitucionalidad del canon atendiendo a su estructura y desde el punto de vista de la asignación y destino de lo recaudado. Señala que para determinar si un impuesto tiene naturaleza extrafiscal y no meramente presupuestaria sería necesario el cumplimiento de dos requisitos: a) que por su estructura disuada de determinadas conductas estimulando la protección del medio ambiente y b) que los ingresos y su recaudación se destinen a un fin no presupuestario, en este caso a reparar los posibles daños causados en el medio ambiente como consecuencia de la instalación de aerogeneradores.</w:t>
      </w:r>
    </w:p>
    <w:p w:rsidR="001D6FAE" w:rsidRDefault="001D6FAE" w:rsidP="001D6FAE">
      <w:pPr>
        <w:pStyle w:val="TextoNormal"/>
      </w:pPr>
    </w:p>
    <w:p w:rsidR="001D6FAE" w:rsidRDefault="001D6FAE" w:rsidP="001D6FAE">
      <w:pPr>
        <w:pStyle w:val="TextoNormal"/>
      </w:pPr>
      <w:r>
        <w:t>El órgano judicial cuestiona que ambos se cumplan. Señala, en primer lugar, el carácter limpio de la energía gravada y la ausencia de función disuasoria del tributo. Igualmente controvierte que la definición del hecho imponible se hace “de manera generalista e imprecisa sin concreción de los impactos negativos en el medio ambiente que provoca una energía limpia por definición a la que se considera contaminante sin explicarlo, y en función de los aerogeneradores instalados, computando todos ellos por igual”. Reitera que la finalidad extrafiscal del tributo resulta desdibujada cuando sólo se asigna determinado porcentaje de lo recaudado al fondo que crea la propia norma, pudiendo dedicarse lo restante a fines de carácter socioeconómico y tecnológico de Castilla La Mancha. Alude a la STC 60/2013, de la que se desprendería que la extrafiscalidad requiere la asignación a fines perfectamente identificables.</w:t>
      </w:r>
    </w:p>
    <w:p w:rsidR="001D6FAE" w:rsidRDefault="001D6FAE" w:rsidP="001D6FAE">
      <w:pPr>
        <w:pStyle w:val="TextoNormal"/>
      </w:pPr>
    </w:p>
    <w:p w:rsidR="001D6FAE" w:rsidRDefault="001D6FAE" w:rsidP="001D6FAE">
      <w:pPr>
        <w:pStyle w:val="TextoNormal"/>
      </w:pPr>
      <w:r>
        <w:t>Por todo lo expuesto, la Sala entiende que los preceptos cuestionados vulneran los arts. 31.1 y 132.2 CE “por cuanto bajo una apariencia de tributo de cariz extrafiscal tanto desde el punto del destino de lo recaudado como de su estructura en realidad se presenta como tributo que grava una manifestación de riqueza como es la producción de energía eléctrica a través de aerogeneradores o molinos de viento en concurrencia con el Impuesto de Actividades Económicas, dando lugar a un caso de doble imposición, al carecer, entre otros motivos, la Junta de Comunidades de Castilla La Mancha de poder normativo para el establecimiento de tal impuesto”.</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20 de septiembre de 2016 la Sección Cuarta acordó, a los efectos que determina el art. 37.1 LOTC, oír al Fiscal General del Estado para que, en el plazo de diez días, alegue lo que considere conveniente acerca de la admisibilidad de la presente cuestión de inconstitucionalidad en relación con el cumplimiento de los requisitos de aplicabilidad y relevancia, así como por si fuere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sus alegaciones el día 14 de octubre de 2016 interesando la inadmisión de la cuestión por los motivos que se resumen a continuación.</w:t>
      </w:r>
    </w:p>
    <w:p w:rsidR="001D6FAE" w:rsidRDefault="001D6FAE" w:rsidP="001D6FAE">
      <w:pPr>
        <w:pStyle w:val="TextoNormal"/>
      </w:pPr>
    </w:p>
    <w:p w:rsidR="001D6FAE" w:rsidRDefault="001D6FAE" w:rsidP="001D6FAE">
      <w:pPr>
        <w:pStyle w:val="TextoNormal"/>
      </w:pPr>
      <w:r>
        <w:t>Tras exponer los antecedentes del caso, el tenor literal de los preceptos legales cuestionados y la tramitación seguida por la cuestión, la Fiscal General del Estado examina el cumplimiento de los denominados juicios de aplicabilidad y relevancia. A tales efectos recuerda la doctrina constitucional respecto a ambos. Señala a continuación que el órgano judicial ha sostenido en el Auto de planteamiento que los preceptos que cuestiona son directamente aplicables al caso por establecer tanto la estructura del impuesto como la afectación de los ingresos obtenidos. Destaca, sin embargo, que la Sala no dedica ningún razonamiento a la exposición de las razones por las que ha decidido plantear también cuestión prejudicial ante el Tribunal de Justicia de la Unión Europea, como tampoco ha justificado en forma alguna los motivos por los que ha entendido que, siendo procedente el planteamiento de ambas cuestiones, éstas hubieran de ser simultaneadas en lugar de plantearse sucesivamente, ni la medida en que el planteamiento de la cuestión prejudicial pudiera afectar al correcto planeamiento de la cuestión de inconstitucionalidad. Recuerda la Fiscal General del Estado los pronunciamientos de este Tribunal en relación con la primacía del derecho comunitario así como que la cuestión prejudicial configura un instrumento más al servicio de los jueces y tribunales para la depuración del Ordenamiento jurídico. Señala el Ministerio público que la cuestión prejudicial y la cuestión de inconstitucionalidad constituyen instrumentos procesales orientados a hacer valer la normatividad del derecho nacional y del derecho de la Unión Europea, respectivamente, pero responden a exigencias diferentes. Ambas, no obstante, son necesarias para hacer compatibles las dos condiciones de eficacia que pesan sobre una ley: la validez de la norma, dependiente de su constitucionalidad, y la aplicabilidad de la norma, dependiente de su compatibilidad con el derecho de la Unión Europea. Tales condiciones son, sin embargo, autónomas, de modo que concurren así en el juez nacional dos obligaciones. De una parte, la de garantizar la supremacía de la Constitución frente a la ley; y, de otra parte, la aplicación preferente del derecho de la Unión Europea frente a cualesquiera normas nacionales. Eso plantea la cuestión de si la prioridad, en casos como el presente, debiera corresponder, por principio, a la cuestión prejudicial, dado que la incompatibilidad de la Ley con el derecho de la Unión Europea sería causa de inaplicabilidad y faltaría, por tanto, una de las condiciones exigidas para el correcto planteamiento de la cuestión de inconstitucionalidad. Esta última sería admisible si se hubiera descartado que la Ley cuestionada fuera incompatible con el derecho de la Unión Europea y, en consecuencia, inaplicable.</w:t>
      </w:r>
    </w:p>
    <w:p w:rsidR="001D6FAE" w:rsidRDefault="001D6FAE" w:rsidP="001D6FAE">
      <w:pPr>
        <w:pStyle w:val="TextoNormal"/>
      </w:pPr>
    </w:p>
    <w:p w:rsidR="001D6FAE" w:rsidRDefault="001D6FAE" w:rsidP="001D6FAE">
      <w:pPr>
        <w:pStyle w:val="TextoNormal"/>
      </w:pPr>
      <w:r>
        <w:t>La decisión del órgano judicial de plantear cuestión prejudicial tiene un efecto necesario y directo sobre la cuestión de inconstitucionalidad planteada. Y ello porque en el caso de que las normas cuestionadas sean incompatibles con el derecho de la Unión Europea, la consecuencia sería que tales preceptos no pudieran ser aplicados para la decisión de la controversia que se ventila en el proceso a quo, lo cual, a su vez, ha de determinar, aquí y ahora, la ausencia de una de las condiciones necesarias para la admisión de una cuestión de inconstitucionalidad, cual es que la norma o normas cuestionadas sean aplicables para la resolución del caso sometido a enjuiciamiento de constitucionalidad. Aspecto este sobre el que el Auto de planteamiento omite cualquier razonamiento, por lo que no puede evitar una decisión de inadmisión por indebida formulación del juicio de aplicabilidad, lo cual a su vez excusa de efectuar consideración alguna acerca del denominado juicio de relevancia.</w:t>
      </w:r>
    </w:p>
    <w:p w:rsidR="001D6FAE" w:rsidRDefault="001D6FAE" w:rsidP="001D6FAE">
      <w:pPr>
        <w:pStyle w:val="TextoNormal"/>
      </w:pPr>
    </w:p>
    <w:p w:rsidR="001D6FAE" w:rsidRDefault="001D6FAE" w:rsidP="001D6FAE">
      <w:pPr>
        <w:pStyle w:val="TextoNormal"/>
      </w:pPr>
      <w:r>
        <w:t>Por lo que respecta al carácter infundado de la cuestión planteada, la Fiscal General del Estado recuerda la duda de constitucionalidad que se plantea, señalando que su análisis ha de comenzar con la determinación del canon de constitucionalidad aplicable, el cual, en el presente caso, viene dado por el art. 6.3 de la Ley Orgánica de financiación de las Comunidades Autónomas (LOFCA), modificado por la Ley Orgánica 3/2009, de 18 de diciembre. A propósito de dicho canon, el Ministerio público recuerda algunos principios básicos de la doctrina constitucional relativa a la autonomía financiera de las Comunidades Autónomas, lo que se efectuará siguiendo la doctrina de la STC 122/2012, de 5 de junio, FJ 3. Así, recalca i) que el canon de interpretación del nuevo art. 6.3 LOFCA debe ser delimitado tomando como punto de partida la doctrina sobre el art. 6.2 LOFCA; ii) que la Ley Orgánica de financiación de las Comunidades Autónomas, en su artículo 6, condiciona el ejercicio de los tributos propios a dos límites la ocupación de la riqueza gravable tanto por los tributos estatales como por los locales; iii) que la intención del legislador orgánico cuando ha dado nueva redacción al art. 6.3 LOFCA ha sido asimilar los límites establecidos en los arts. 6.2 y 6.3 LOFCA; iv) que, respecto al art. 6.2 LOFCA, no procede identificar los conceptos de “materia imponible” y “hecho imponible”, porque ello conduciría a una interpretación extensiva del art. 6.2 LOFCA, notoriamente alejada del verdadero alcance de la prohibición que en dicha norma se contiene; v) que el “hecho imponible” es un concepto estrictamente jurídico que la Ley fija en cada caso para configurar cada tributo y cuya realización origina el nacimiento de la obligación tributaria; vi) que, por “materia imponible” u “objeto del tributo” debe entenderse toda fuente de riqueza, renta o cualquier otro elemento de la actividad económica que el legislador decida someter a imposición, lo que, en definitiva, preexiste al hecho imponible; vii) que es posible afirmar que el art. 6.3 LOFCA no tiene por objeto impedir que las Comunidades Autónomas establezcan tributos propios sobre objetos materiales o fuentes impositivas ya gravadas por los tributos locales, sino que prohíbe, en sus propios términos, la duplicidad de hechos imponibles y viii) que para determinar si se ha producido esa duplicidad de hechos imponibles será necesario partir de la redacción que los legisladores autonómico y estatal hayan dado al hecho imponible del impuesto sobre actividades económicas, por ser el impuesto que ahora interesa.</w:t>
      </w:r>
    </w:p>
    <w:p w:rsidR="001D6FAE" w:rsidRDefault="001D6FAE" w:rsidP="001D6FAE">
      <w:pPr>
        <w:pStyle w:val="TextoNormal"/>
      </w:pPr>
    </w:p>
    <w:p w:rsidR="001D6FAE" w:rsidRDefault="001D6FAE" w:rsidP="001D6FAE">
      <w:pPr>
        <w:pStyle w:val="TextoNormal"/>
      </w:pPr>
      <w:r>
        <w:t>Para analizar la regulación del hecho imponible, ha de tomarse en consideración no sólo este elemento, sino abarcar también los restantes elementos del tributo que se encuentran conectados con el hecho imponible, es decir, los sujetos pasivos, la base imponible, la capacidad económica gravada o los supuestos de no sujeción y exención. Otro de los criterios que puede ser útil para distinguir los hechos imponibles de dos impuestos es si su finalidad es básicamente fiscal o extrafiscal, la cual tendrá que aparecer reflejada en la estructura del impuesto y plasmarse en su hecho imponible.</w:t>
      </w:r>
    </w:p>
    <w:p w:rsidR="001D6FAE" w:rsidRDefault="001D6FAE" w:rsidP="001D6FAE">
      <w:pPr>
        <w:pStyle w:val="TextoNormal"/>
      </w:pPr>
    </w:p>
    <w:p w:rsidR="001D6FAE" w:rsidRDefault="001D6FAE" w:rsidP="001D6FAE">
      <w:pPr>
        <w:pStyle w:val="TextoNormal"/>
      </w:pPr>
      <w:r>
        <w:t>Recuerda la Fiscal General del Estado que la Comunidad Autónoma ostenta competencia exclusiva sobre las instalaciones de producción, distribución y transporte de energía, cuando el transporte no salga de su territorio y su aprovechamiento no afecte a otra Comunidad Autónoma, así como que la hacienda de la Comunidad Autónoma se constituye con, entre otros, los rendimientos de sus propios impuestos, tasas y contribuciones especiales, reguladas por ley autonómica, correspondiendo a la Comunidad Autónoma la gestión, recaudación, liquidación e inspección de sus propios tributos. Cita además el art. 45 CE y las competencias básicas del Estado y autonómicas de desarrollo relacionadas con dicho principio rector.</w:t>
      </w:r>
    </w:p>
    <w:p w:rsidR="001D6FAE" w:rsidRDefault="001D6FAE" w:rsidP="001D6FAE">
      <w:pPr>
        <w:pStyle w:val="TextoNormal"/>
      </w:pPr>
    </w:p>
    <w:p w:rsidR="001D6FAE" w:rsidRDefault="001D6FAE" w:rsidP="001D6FAE">
      <w:pPr>
        <w:pStyle w:val="TextoNormal"/>
      </w:pPr>
      <w:r>
        <w:t>Conforme a las anteriores precisiones considera la Fiscal General del Estado que se está ya en disposición de analizar la cuestión de inconstitucionalidad planteada. Indica que la Sala entiende que bajo la apariencia de tributo de carácter extrafiscal se esconde en realidad un tributo que grava una manifestación de riqueza, la producción de energía eléctrica a través de aerogeneradores o molinos de viento, en concurrencia con el impuesto de actividades económicas (IAE), dando lugar con ello a un caso de doble imposición prohibido por el art. 6.3 LOFCA. El análisis de la cuestión así planteada obliga a determinar, en primer término, las características del canon eólico, examinando la naturaleza y el objeto del impuesto, el hecho imponible, las exenciones, los obligados tributarios, la base imponible, el tipo de gravamen y cuota, el período impositivo y devengo y la afectación de los ingresos generados por el canon. Ese mismo análisis se hace en relación con el IAE para concluir que no existe un supuesto de doble imposición prohibida por el art. 6.3 LOFCA. En efecto, i) el canon eólico atiende al daño para el medio ambiente que se deriva de la instalación de aerogeneradores, mientras que el IAE grava únicamente el ejercicio de una actividad económica; ii) el hecho imponible del canon eólico está constituido por “la generación de afecciones e impactos adversos sobre el medio natural y sobre el territorio” como consecuencia de la instalación en parques eólicos de aerogeneradores afectos a la producción de energía eléctrica, mientras que el hecho imponible del IAE está constituido por el “mero ejercicio, en territorio nacional, de actividades empresariales, profesionales o artísticas”, lo cual revela una evidente diferencia; iii) la base imponible del canon eólico está constituida por la “suma de unidades de aerogeneradores existentes en un parque eólico” con independencia de su potencia, mientras que en el 1AE se contempla la potencia instalada y iv) el canon eólico tiene, al menos parcialmente, una finalidad extrafiscal.</w:t>
      </w:r>
    </w:p>
    <w:p w:rsidR="001D6FAE" w:rsidRDefault="001D6FAE" w:rsidP="001D6FAE">
      <w:pPr>
        <w:pStyle w:val="TextoNormal"/>
      </w:pPr>
    </w:p>
    <w:p w:rsidR="001D6FAE" w:rsidRDefault="001D6FAE" w:rsidP="001D6FAE">
      <w:pPr>
        <w:pStyle w:val="TextoNormal"/>
      </w:pPr>
      <w:r>
        <w:t>Por lo anterior, la Fiscal General del Estado considera que no se da la concurrencia con el IAE que ha apreciado el órgano judicial ni se está por ello ante u n caso de doble imposición prohibido por el art. 6.3 LOFCA lo cual implica que esta cuestión de inconstitucionalidad haya de ser considerada infundada, por lo que deberá resolverse con arreglo a lo establecido en el segundo inciso del art. 37.1 LOTC.</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Segunda de la Sala de lo Contencioso-Administrativo del Tribunal Superior de Justicia de Castilla-La Mancha promueve cuestión de inconstitucionalidad respecto de los capítulos I y II de la Ley 9/2011, de 21 de marzo, por la que se crean el canon eólico y el fondo para el desarrollo tecnológico de las energías renovables y el uso racional de la energía en Castilla-La Mancha.</w:t>
      </w:r>
    </w:p>
    <w:p w:rsidR="001D6FAE" w:rsidRDefault="001D6FAE" w:rsidP="001D6FAE">
      <w:pPr>
        <w:pStyle w:val="TextoNormal"/>
      </w:pPr>
    </w:p>
    <w:p w:rsidR="001D6FAE" w:rsidRDefault="001D6FAE" w:rsidP="001D6FAE">
      <w:pPr>
        <w:pStyle w:val="TextoNormal"/>
      </w:pPr>
      <w:r>
        <w:t>El capítulo I, titulado objeto y contenido de la Ley, está integrado por el artículo 1 que recoge la finalidad y contenido de la Ley. El capítulo II, “Del canon eólico”, lo forman los arts. 2 a 14. Dichos preceptos regulan el canon eólico fijando sucesivamente, además de la naturaleza y objeto del canon, la afectación de los ingresos derivados del mismo y sus elementos esenciales: hecho imponible, período impositivo y devengo, sujetos pasivos y responsables solidarios del impuesto, base imponible, tipos de gravamen y cuota tributaria. Cierran el capítulo las normas de gestión necesarias para su aplicación.</w:t>
      </w:r>
    </w:p>
    <w:p w:rsidR="001D6FAE" w:rsidRDefault="001D6FAE" w:rsidP="001D6FAE">
      <w:pPr>
        <w:pStyle w:val="TextoNormal"/>
      </w:pPr>
    </w:p>
    <w:p w:rsidR="001D6FAE" w:rsidRDefault="001D6FAE" w:rsidP="001D6FAE">
      <w:pPr>
        <w:pStyle w:val="TextoNormal"/>
      </w:pPr>
      <w:r>
        <w:t>La Fiscal General del Estado, por las razones expuestas en los antecedentes, ha interesado la inadmisión de la cuestión por incumplimiento de los requisitos procesales así como por considerarla notoriamente infundada.</w:t>
      </w:r>
    </w:p>
    <w:p w:rsidR="001D6FAE" w:rsidRDefault="001D6FAE" w:rsidP="001D6FAE">
      <w:pPr>
        <w:pStyle w:val="TextoNormal"/>
      </w:pPr>
    </w:p>
    <w:p w:rsidR="001D6FAE" w:rsidRDefault="001D6FAE" w:rsidP="001D6FAE">
      <w:pPr>
        <w:pStyle w:val="TextoNormal"/>
      </w:pPr>
      <w:r>
        <w:t xml:space="preserve">De acuerdo con lo previsto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Ambas circunstancias concurren en el presente caso.</w:t>
      </w:r>
    </w:p>
    <w:p w:rsidR="001D6FAE" w:rsidRDefault="001D6FAE" w:rsidP="001D6FAE">
      <w:pPr>
        <w:pStyle w:val="TextoNormal"/>
      </w:pPr>
    </w:p>
    <w:p w:rsidR="001D6FAE" w:rsidRDefault="001D6FAE" w:rsidP="001D6FAE">
      <w:pPr>
        <w:pStyle w:val="TextoNormal"/>
      </w:pPr>
      <w:r w:rsidRPr="001D6FAE">
        <w:rPr>
          <w:rStyle w:val="NumeroAFNegritaCaracter"/>
        </w:rPr>
        <w:t>2</w:t>
      </w:r>
      <w:r>
        <w:t>. 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ATC 12/2016, de 19 de enero, FJ 2).</w:t>
      </w:r>
    </w:p>
    <w:p w:rsidR="001D6FAE" w:rsidRDefault="001D6FAE" w:rsidP="001D6FAE">
      <w:pPr>
        <w:pStyle w:val="TextoNormal"/>
      </w:pPr>
    </w:p>
    <w:p w:rsidR="001D6FAE" w:rsidRDefault="001D6FAE" w:rsidP="001D6FAE">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001D6FAE" w:rsidRDefault="001D6FAE" w:rsidP="001D6FAE">
      <w:pPr>
        <w:pStyle w:val="TextoNormal"/>
      </w:pPr>
    </w:p>
    <w:p w:rsidR="001D6FAE" w:rsidRDefault="001D6FAE" w:rsidP="001D6FAE">
      <w:pPr>
        <w:pStyle w:val="TextoNormal"/>
      </w:pPr>
      <w:r>
        <w:t>La aplicación en este caso de la referida doctrina constitucional conduce a declarar la inadmisión de la cuestión de inconstitucionalidad por incumplimiento del juicio de aplicabilidad.</w:t>
      </w:r>
    </w:p>
    <w:p w:rsidR="001D6FAE" w:rsidRDefault="001D6FAE" w:rsidP="001D6FAE">
      <w:pPr>
        <w:pStyle w:val="TextoNormal"/>
      </w:pPr>
    </w:p>
    <w:p w:rsidR="001D6FAE" w:rsidRDefault="001D6FAE" w:rsidP="001D6FAE">
      <w:pPr>
        <w:pStyle w:val="TextoNormal"/>
      </w:pPr>
      <w:r>
        <w:t xml:space="preserve">Como ya se ha expuesto, la Sección ha planteado casi simultáneamente respecto de los mismos preceptos legales cuestión de inconstitucionalidad ante este Tribunal y cuestión prejudicial ante el Tribunal de Justicia de la Unión Europea, en los términos antes transcritos. El planteamiento de la cuestión prejudicial ante el Tribunal de Justicia de la Unión Europea y de la cuestión de inconstitucionalidad ante este Tribunal determina que no pueda entenderse cumplido, respecto de la admisibilidad de esta, el requisito de que la norma con rango de ley cuestionada sea “aplicable al caso” (arts. 163 CE y 35.1 LOTC), por las razones que ya dejamos señaladas en el ATC 168/2016, de 4 de octubre, FJ 4, al que ahora procede remitirse </w:t>
      </w:r>
      <w:r w:rsidRPr="001D6FAE">
        <w:rPr>
          <w:i/>
        </w:rPr>
        <w:t>in totum</w:t>
      </w:r>
      <w:r>
        <w:t>.</w:t>
      </w:r>
    </w:p>
    <w:p w:rsidR="001D6FAE" w:rsidRDefault="001D6FAE" w:rsidP="001D6FAE">
      <w:pPr>
        <w:pStyle w:val="TextoNormal"/>
      </w:pPr>
    </w:p>
    <w:p w:rsidR="001D6FAE" w:rsidRDefault="001D6FAE" w:rsidP="001D6FAE">
      <w:pPr>
        <w:pStyle w:val="TextoNormal"/>
      </w:pPr>
      <w:r>
        <w:t>En efecto, allí se concluyó que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TJUE y de la cuestión de inconstitucionalidad determina, en consecuencia, la inadmisibilidad de esta por incumplimiento del requisito de la aplicabilidad (art. 37.1 LOTC)”.</w:t>
      </w:r>
    </w:p>
    <w:p w:rsidR="001D6FAE" w:rsidRDefault="001D6FAE" w:rsidP="001D6FAE">
      <w:pPr>
        <w:pStyle w:val="TextoNormal"/>
      </w:pPr>
    </w:p>
    <w:p w:rsidR="001D6FAE" w:rsidRDefault="001D6FAE" w:rsidP="001D6FAE">
      <w:pPr>
        <w:pStyle w:val="TextoNormal"/>
      </w:pPr>
      <w:r>
        <w:t>En atención a la anterior doctrina, no puede entenderse que el juicio de aplicabilidad haya sido adecuadamente formulado, incumpliéndose así lo prevenido en el art. 35 LOTC.</w:t>
      </w:r>
    </w:p>
    <w:p w:rsidR="001D6FAE" w:rsidRDefault="001D6FAE" w:rsidP="001D6FAE">
      <w:pPr>
        <w:pStyle w:val="TextoNormal"/>
      </w:pPr>
    </w:p>
    <w:p w:rsidR="001D6FAE" w:rsidRDefault="001D6FAE" w:rsidP="001D6FAE">
      <w:pPr>
        <w:pStyle w:val="TextoNormal"/>
      </w:pPr>
      <w:r w:rsidRPr="001D6FAE">
        <w:rPr>
          <w:rStyle w:val="NumeroAFNegritaCaracter"/>
        </w:rPr>
        <w:t>3</w:t>
      </w:r>
      <w:r>
        <w:t>. Hemos de coincidir también con la Fiscal General del Estado en que la duda de constitucionalidad que se plantea es notoriamente infundada en el sentido que a esta expresión le ha atribuido la doctrina del Tribunal (por todos, ATC 43/2014, de 12 de febrero, FJ 3).</w:t>
      </w:r>
    </w:p>
    <w:p w:rsidR="001D6FAE" w:rsidRDefault="001D6FAE" w:rsidP="001D6FAE">
      <w:pPr>
        <w:pStyle w:val="TextoNormal"/>
      </w:pPr>
    </w:p>
    <w:p w:rsidR="001D6FAE" w:rsidRDefault="001D6FAE" w:rsidP="001D6FAE">
      <w:pPr>
        <w:pStyle w:val="TextoNormal"/>
      </w:pPr>
      <w: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existen supuestos en los que un examen preliminar permite apreciar la falta de viabilidad de la cuestión suscitada. Ello no significa necesariamente, que dicha cuestión carezca de forma total y absoluta de fundamentación o que ésta sea arbitraria. Hemos reiterado que puede resultar conveniente en tales casos resolver la cuestión en la primera fase procesal, máxime si su admisión, como ocurre en este caso, pudiera provocar efectos no deseables, como la paralización de múltiples procesos en los que resulte aplicable la norma cuestionada (entre otros, </w:t>
      </w:r>
      <w:r w:rsidRPr="001D6FAE">
        <w:rPr>
          <w:i/>
        </w:rPr>
        <w:t>vid</w:t>
      </w:r>
      <w:r>
        <w:t xml:space="preserve"> ATC 417/2005, de 22 de noviembre, FJ 3, con cita de muchos otros; así como los AATC 121/2015, de 7 de julio, FJ 2; 194/2015, de 18 de noviembre, FJ 3, y 14/2016, de 19 de enero, FJ 2, entre muchos otros).</w:t>
      </w:r>
    </w:p>
    <w:p w:rsidR="001D6FAE" w:rsidRDefault="001D6FAE" w:rsidP="001D6FAE">
      <w:pPr>
        <w:pStyle w:val="TextoNormal"/>
      </w:pPr>
    </w:p>
    <w:p w:rsidR="001D6FAE" w:rsidRDefault="001D6FAE" w:rsidP="001D6FAE">
      <w:pPr>
        <w:pStyle w:val="TextoNormal"/>
      </w:pPr>
      <w:r>
        <w:t>El órgano judicial plantea formalmente que los capítulos I y II de la Ley 9/2011 contravienen los arts. 31.1 y 133.2 CE. En realidad, como la tramitación de la cuestión de inconstitucionalidad pone de manifiesto, la duda que el órgano judicial ha trasladado a las partes y ha razonado en el Auto de planteamiento tiene que ver con dos cuestiones que, bien que relacionadas con los anteriores preceptos constitucionales, no versan exactamente sobre ellos.</w:t>
      </w:r>
    </w:p>
    <w:p w:rsidR="001D6FAE" w:rsidRDefault="001D6FAE" w:rsidP="001D6FAE">
      <w:pPr>
        <w:pStyle w:val="TextoNormal"/>
      </w:pPr>
    </w:p>
    <w:p w:rsidR="001D6FAE" w:rsidRDefault="001D6FAE" w:rsidP="001D6FAE">
      <w:pPr>
        <w:pStyle w:val="TextoNormal"/>
      </w:pPr>
      <w:r>
        <w:t>Ambas cuestiones son: a) que se trate de un supuesto de doble imposición vedada por el art. 6.3 de la Ley Orgánica 8/1980, de 22 de septiembre, de financiación de las Comunidades Autónomas (LOFCA), en cuanto que el hecho imponible del canon eólico coincidiría con el tributo local impuesto sobre actividades económicas (IAE), y b) relacionado con el anterior, la carencia de finalidad extrafiscal del tributo cuestionado, lo que, a su vez, impediría apreciar que no estamos ante un supuesto de doble imposición prohibido por la Ley Orgánica de financiación de las Comunidades Autónomas. Es la respuesta negativa a dichas cuestiones lo que lleva al órgano judicial a considerar infringidos los arts. 31.1 y 133.2 CE.</w:t>
      </w:r>
    </w:p>
    <w:p w:rsidR="001D6FAE" w:rsidRDefault="001D6FAE" w:rsidP="001D6FAE">
      <w:pPr>
        <w:pStyle w:val="TextoNormal"/>
      </w:pPr>
    </w:p>
    <w:p w:rsidR="001D6FAE" w:rsidRDefault="001D6FAE" w:rsidP="001D6FAE">
      <w:pPr>
        <w:pStyle w:val="TextoNormal"/>
      </w:pPr>
      <w:r>
        <w:t>Con respecto a la primera de estas dudas el órgano judicial sostiene que la definición del tributo y la regulación de su estructura no permite establecer una distinción real con el IAE. Para justificar dicha afirmación se remite a lo razonado por el Tribunal Supremo en las Sentencias de 1 de diciembre de 2015 (FJ 2, apartado 2), y de 10 de julio de 2014 (FJ 5, apartado 2) ambas dictadas respecto a la figura creada por la Ley del Parlamento de Galicia 8/2009 de 22 de diciembre, por la que se regula el aprovechamiento eólico en Galicia y se crean el canon eólico y el fondo de compensación ambiental. Sin embargo, la lectura de ambas resoluciones judiciales muestra que el razonamiento del Tribunal Supremo dista de ser tan concluyente como lo plantea el órgano judicial, pues si lo fuere, la consecuencia no hubiera debido ser otra que el planteamiento de cuestión de inconstitucionalidad sobre la citada Ley gallega 8/2009, lo que es patente que no ha ocurrido.</w:t>
      </w:r>
    </w:p>
    <w:p w:rsidR="001D6FAE" w:rsidRDefault="001D6FAE" w:rsidP="001D6FAE">
      <w:pPr>
        <w:pStyle w:val="TextoNormal"/>
      </w:pPr>
    </w:p>
    <w:p w:rsidR="001D6FAE" w:rsidRDefault="001D6FAE" w:rsidP="001D6FAE">
      <w:pPr>
        <w:pStyle w:val="TextoNormal"/>
      </w:pPr>
      <w:r w:rsidRPr="001D6FAE">
        <w:rPr>
          <w:rStyle w:val="NumeroAFNegritaCaracter"/>
        </w:rPr>
        <w:t>4</w:t>
      </w:r>
      <w:r>
        <w:t xml:space="preserve">. Entendida la duda planteada en términos de duplicidad de hechos imponibles entre el canon eólico y el impuesto sobre actividades económicas (IAE), su resolución requiere, en primer lugar, precisar que, pese a su calificación legal como “prestación patrimonial de derecho público de naturaleza extrafiscal y real”, el mencionado canon es, en realidad, una figura de naturaleza tributaria, ya que materialmente es un impuesto en tanto que se trata de una nueva forma de ingreso público con la que coadyuvar a la financiación en la realización de fines que se consideran de interés para la Comunidad Autónoma. Con independencia del </w:t>
      </w:r>
      <w:r w:rsidRPr="001D6FAE">
        <w:rPr>
          <w:i/>
        </w:rPr>
        <w:t>nomen iuris</w:t>
      </w:r>
      <w:r>
        <w:t xml:space="preserve"> las prestaciones patrimoniales de carácter público tienen cada una de ellas la naturaleza propia y específica que les corresponda, de acuerdo con su presupuesto de hecho y en función de su configuración y estructura jurídica, no pudiendo hacerse depender, en ningún caso, de la mera denominación que el legislador, a su discreción, les asigne (en sentido parecido, SSTC 296/1994, de 10 de noviembre, FJ 4; 164/1995, de 13 de noviembre, FJ 4; 185/1995, de 5 de diciembre, FJ 6; 134/1996, de 22 de julio, FJ 6; 276/2000, de 16 de noviembre, FJ 3; 102/2005, de 20 de abril, FJ 4; 121/2005, de 10 de mayo, FJ 5, y 73/2011, de 19 de mayo, FJ 4).</w:t>
      </w:r>
    </w:p>
    <w:p w:rsidR="001D6FAE" w:rsidRDefault="001D6FAE" w:rsidP="001D6FAE">
      <w:pPr>
        <w:pStyle w:val="TextoNormal"/>
      </w:pPr>
    </w:p>
    <w:p w:rsidR="001D6FAE" w:rsidRDefault="001D6FAE" w:rsidP="001D6FAE">
      <w:pPr>
        <w:pStyle w:val="TextoNormal"/>
      </w:pPr>
      <w:r>
        <w:t>Por ello, atendiendo a su naturaleza tributaria, corresponde examinar el canon eólico a la luz del vigente art. 6.3 LOFCA, tras la reforma operada mediante la Ley Orgánica 3/2009, de 18 de diciembre, porque se plantea un problema relacionado con los límites que, para la potestad tributaria autonómica, supone la regulación de la Ley Orgánica de financiación de las Comunidades Autónomas en tanto que integrante del bloque de constitucionalidad en esta materia.</w:t>
      </w:r>
    </w:p>
    <w:p w:rsidR="001D6FAE" w:rsidRDefault="001D6FAE" w:rsidP="001D6FAE">
      <w:pPr>
        <w:pStyle w:val="TextoNormal"/>
      </w:pPr>
    </w:p>
    <w:p w:rsidR="001D6FAE" w:rsidRDefault="001D6FAE" w:rsidP="001D6FAE">
      <w:pPr>
        <w:pStyle w:val="TextoNormal"/>
      </w:pPr>
      <w:r>
        <w:t xml:space="preserve">Con carácter general, y como recuerda la STC 210/2012, de 14 de noviembre, “los límites contenidos en la Ley Orgánica de Financiación de las Comunidades Autónomas reflejan que la competencia autonómica para establecer tributos </w:t>
      </w:r>
      <w:r w:rsidRPr="001D6FAE">
        <w:rPr>
          <w:i/>
        </w:rPr>
        <w:t>ex novo</w:t>
      </w:r>
      <w:r>
        <w:t xml:space="preserve"> no se configura constitucionalmente en términos absolutos, sino que se encuentra sujeta a los límites establecidos en las leyes del Estado a que se refieren los arts. 133.2 y 157.3 CE (por todas, STC 49/1995, de 16 de febrero, FJ 4). El poder tributario de las Comunidades Autónomas puede así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 (FJ 4).</w:t>
      </w:r>
    </w:p>
    <w:p w:rsidR="001D6FAE" w:rsidRDefault="001D6FAE" w:rsidP="001D6FAE">
      <w:pPr>
        <w:pStyle w:val="TextoNormal"/>
      </w:pPr>
    </w:p>
    <w:p w:rsidR="001D6FAE" w:rsidRDefault="001D6FAE" w:rsidP="001D6FAE">
      <w:pPr>
        <w:pStyle w:val="TextoNormal"/>
      </w:pPr>
      <w:r>
        <w:t>Sobre el límite actual del art. 6.3 LOFCA se ha pronunciado, entre otras muchas, la STC 122/2012, de 5 de junio, en la que se declaró la compatibilidad entre el impuesto sobre grandes establecimientos comerciales establecido por del Parlamento de Cataluña y el impuesto sobre bienes inmuebles. Se constató allí que el vigente art. 6.3 LOFCA contiene un límite similar al tradicionalmente previsto en el art. 6.2 LOFCA, lo que, a su vez, permite trasladar a este caso aquella doctrina.</w:t>
      </w:r>
    </w:p>
    <w:p w:rsidR="001D6FAE" w:rsidRDefault="001D6FAE" w:rsidP="001D6FAE">
      <w:pPr>
        <w:pStyle w:val="TextoNormal"/>
      </w:pPr>
    </w:p>
    <w:p w:rsidR="001D6FAE" w:rsidRDefault="001D6FAE" w:rsidP="001D6FAE">
      <w:pPr>
        <w:pStyle w:val="TextoNormal"/>
      </w:pPr>
      <w:r>
        <w:t>La doctrina acerca del art. 6.2 LOFCA ha sido recogida en numerosas resoluciones de este Tribunal, entre otras muchas, además de la ya citada STC 122/2012, las SSTC 210/2012, de 14 de noviembre, sobre el impuesto sobre depósitos bancarios de Extremadura; 30/2015, de 19 de febrero; 107/2015, 108/2015 y 111/2015, todas de 28 de mayo, y 202/2015, de 24 de septiembre, todas ellas referidas a diferentes impuestos autonómicos sobre depósitos en entidades de crédito y 74/2016, de 14 de abril, relativa al impuesto catalán sobre la producción de energía eléctrica de origen nuclear.</w:t>
      </w:r>
    </w:p>
    <w:p w:rsidR="001D6FAE" w:rsidRDefault="001D6FAE" w:rsidP="001D6FAE">
      <w:pPr>
        <w:pStyle w:val="TextoNormal"/>
      </w:pPr>
    </w:p>
    <w:p w:rsidR="001D6FAE" w:rsidRDefault="001D6FAE" w:rsidP="001D6FAE">
      <w:pPr>
        <w:pStyle w:val="TextoNormal"/>
      </w:pPr>
      <w:r>
        <w:t>En este cuerpo doctrinal, que debe darse aquí por reproducido, hemos establecido que, para determinar si un impuesto autonómico es contrario al art. 6.2 LOFCA, por recaer sobre un hecho imponible gravado por el Estado, deben compararse ambas figuras tributarias partiendo siempre del examen del hecho imponible, pero analizando también los restantes elementos del tributo que se encuentran conectados con éste: sujetos pasivos, base imponible, y demás elementos de cuantificación del hecho imponible, como la cuota tributaria o los supuestos de exención.</w:t>
      </w:r>
    </w:p>
    <w:p w:rsidR="001D6FAE" w:rsidRDefault="001D6FAE" w:rsidP="001D6FAE">
      <w:pPr>
        <w:pStyle w:val="TextoNormal"/>
      </w:pPr>
    </w:p>
    <w:p w:rsidR="001D6FAE" w:rsidRDefault="001D6FAE" w:rsidP="001D6FAE">
      <w:pPr>
        <w:pStyle w:val="TextoNormal"/>
      </w:pPr>
      <w:r>
        <w:t>En definitiva, como recuerda la STC 74/2016, FJ 2, respecto al art. 6.2 LOFCA, pero con unos criterios que son trasladables al artículo 6.3 “para apreciar la coincidencia o no entre hechos imponibles, que es lo prohibido en el art. 6 LOFCA, se hace preciso atender a los elementos esenciales de los tributos que se confrontan, al objeto de determinar no sólo la riqueza gravada o materia imponible, que es el punto de partida de toda norma tributaria, sino la manera en que dicha riqueza o fuente de capacidad económica es sometida a gravamen en la estructura del tributo [SSTC 210/2012, FJ 4, y 53/2014, de 10 de abril, FJ 3 a)]. En este examen debe tenerse en todo caso presente que cabe gravar desde distintas perspectivas la misma actividad, como también reiteramos, por ejemplo, en la STC 210/2012 (al comparar el impuesto sobre depósitos establecido por la Comunidad de Extremadura y el impuesto sobre actividades económicas). Y ello porque, como tantas veces hemos reiterado, ‘habida cuenta de que la realidad económica en sus diferentes manifestaciones está toda ella virtualmente cubierta por tributos estatales, ello conduciría ... a negar en la práctica la posibilidad de que se creen, al menos, por el momento, nuevos impuestos autonómicos’ (STC 37/1987, de 26 de marzo, FJ 14). En razón de esta premisa, la interpretación de los límites contenidos en el art. 6 LOFCA deberá respetar la existencia de un espacio fiscal propio de las Comunidades Autónomas y, en particular, tener en cuenta las competencias en materia tributaria asumidas por las Comunidades Autónomas, y en concreto, por la Comunidad Autónoma de Cataluña en virtud del art. 203.5 de su Estatuto de Autonomía. Ahora bien, todo ello teniendo en cuenta que las prohibiciones de equivalencia lo que pretenden evitar es, en suma,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FJ 4; y 53/2014, FJ 3 a)]”.</w:t>
      </w:r>
    </w:p>
    <w:p w:rsidR="001D6FAE" w:rsidRDefault="001D6FAE" w:rsidP="001D6FAE">
      <w:pPr>
        <w:pStyle w:val="TextoNormal"/>
      </w:pPr>
    </w:p>
    <w:p w:rsidR="001D6FAE" w:rsidRDefault="001D6FAE" w:rsidP="001D6FAE">
      <w:pPr>
        <w:pStyle w:val="TextoNormal"/>
      </w:pPr>
      <w:r>
        <w:t>De acuerdo con el método establecido en el examen de este tipo de controversias, debemos examinar los elementos esenciales del canon eólico cuestionado y compararlos con los del IAE, al objeto de comprobar si son efectivamente equivalentes, en términos que vulneran el art. 6.3 LOFCA, tal y como sostiene el Auto de planteamiento.</w:t>
      </w:r>
    </w:p>
    <w:p w:rsidR="001D6FAE" w:rsidRDefault="001D6FAE" w:rsidP="001D6FAE">
      <w:pPr>
        <w:pStyle w:val="TextoNormal"/>
      </w:pPr>
    </w:p>
    <w:p w:rsidR="001D6FAE" w:rsidRDefault="001D6FAE" w:rsidP="001D6FAE">
      <w:pPr>
        <w:pStyle w:val="TextoNormal"/>
      </w:pPr>
      <w:r w:rsidRPr="001D6FAE">
        <w:rPr>
          <w:rStyle w:val="NumeroAFNegritaCaracter"/>
        </w:rPr>
        <w:t>5</w:t>
      </w:r>
      <w:r>
        <w:t>. Atendiendo a lo anterior podemos ya iniciar el examen que se nos demanda, comenzando con la descripción del tributo autonómico cuestionado.</w:t>
      </w:r>
    </w:p>
    <w:p w:rsidR="001D6FAE" w:rsidRDefault="001D6FAE" w:rsidP="001D6FAE">
      <w:pPr>
        <w:pStyle w:val="TextoNormal"/>
      </w:pPr>
    </w:p>
    <w:p w:rsidR="001D6FAE" w:rsidRDefault="001D6FAE" w:rsidP="001D6FAE">
      <w:pPr>
        <w:pStyle w:val="TextoNormal"/>
      </w:pPr>
      <w:r>
        <w:t>El canon eólico se crea “con el fin de extender los beneficios derivados del aprovechamiento del recurso eólico, por la implantación de instalaciones de generación eléctrica a partir de la tecnología eólica, al conjunto del territorio regional y como instrumento compensatorio de las afecciones vinculadas al desarrollo de esta actividad económica” (art.1), extremo que se ratifica en el art. 2, según el cual el canon tiene el “fin de preservar la cohesión, el equilibrio territorial y el medio natural, en cuanto entorno físico soporte de la actividad económica vinculada al aprovechamiento industrial del viento”.</w:t>
      </w:r>
    </w:p>
    <w:p w:rsidR="001D6FAE" w:rsidRDefault="001D6FAE" w:rsidP="001D6FAE">
      <w:pPr>
        <w:pStyle w:val="TextoNormal"/>
      </w:pPr>
    </w:p>
    <w:p w:rsidR="001D6FAE" w:rsidRDefault="001D6FAE" w:rsidP="001D6FAE">
      <w:pPr>
        <w:pStyle w:val="TextoNormal"/>
      </w:pPr>
      <w:r>
        <w:t>Su hecho imponible está definido como “la generación de afecciones e impactos adversos sobre el medio natural y sobre el territorio, como consecuencia de la instalación en parques eólicos de aerogeneradores afectos a la producción de energía eléctrica, y situados en el territorio de la Comunidad Autónoma de Castilla-La Mancha” (artículo 4.1). Sujetos pasivos del canon son (artículo 6) las personas físicas o jurídicas que lleven a cabo la explotación de un parque eólico o instalaciones de generación eólica aunque no sean titulares de una autorización administrativa para su instalación. Constituye su base imponible (artículo 7) la suma de unidades de aerogeneradores existentes en un parque eólico situado en el territorio de la Comunidad Autónoma de Castilla-La Mancha. La cuota tributaria (artículo 8) viene determinada por la aplicación a la base imponible de tipos de gravamen definidos en función del número de aerogeneradores de la explotación con un mínimo exento, (parques eólicos que dispongan de hasta 2 aerogeneradores) y estableciendo en lo restante tramos progresivos (parques eólicos que dispongan de entre 3 y 7 aerogeneradores; entre 8 y 15 aerogeneradores; y más de 15 aerogeneradores con dos subtramos en función de que el número de aerogeneradores sea igual o inferior o sea superior a la potencia instalada del parque medida en megavatios). El período impositivo (artículo 5) coincidirá con los trimestres de cada año natural y el devengo se producirá el primer día de los meses de enero, abril, julio y octubre. Conforme al artículo 3, los ingresos derivados del canon, deducidos los costes de gestión, se destinarán a la implementación de actuaciones de impulso y promoción del uso racional de la energía y de las energías renovables, así como al cumplimiento de fines de carácter socio-económico y tecnológico en Castilla-La Mancha. Parte de los ingresos recaudados se destinan a la consolidación del modelo energético regional, a través del fondo para el desarrollo tecnológico de las energías renovables y el uso racional de la energía, en la cuantía que anualmente se establezca en la Ley de presupuestos generales de la Junta de Comunidades de Castilla-La Mancha.</w:t>
      </w:r>
    </w:p>
    <w:p w:rsidR="001D6FAE" w:rsidRDefault="001D6FAE" w:rsidP="001D6FAE">
      <w:pPr>
        <w:pStyle w:val="TextoNormal"/>
      </w:pPr>
    </w:p>
    <w:p w:rsidR="001D6FAE" w:rsidRDefault="001D6FAE" w:rsidP="001D6FAE">
      <w:pPr>
        <w:pStyle w:val="TextoNormal"/>
      </w:pPr>
      <w:r>
        <w:t>Por su parte, en el examen del IAE hay que precisar que en todos los casos en los que ha sido uno de los tributos en comparación, hemos atendido siempre a su particular naturaleza, constando por ejemplo en la STC 122/2012, que se trata de un tributo que afecta a toda actividad económica con carácter general, e insistiendo, entre otras en la STC 210/2012, que “dado el carácter universal y vocación censitaria del IAE, interpretado de forma literal, el contraste de cualquier tributo autonómico que grave una actividad económica con el IAE determinará que dicho tributo sea contrario al art. 6.3 LOFCA” (STC 210/2012, FJ 6). El IAE es un impuesto directo mediante el que se grava el mero ejercicio de actividades potencialmente generadoras de ingresos económicos para quienes las realizan, ingresos que se miden en función del beneficio medio presunto (STC 168/2004, de 6 de octubre, FJ 8). Su hecho imponible lo constituye “el mero ejercicio, en territorio nacional, de actividades empresariales, profesionales o artísticas, se ejerzan o no en local determinado y se hallen o no especificadas en las tarifas del impuesto” [art. 78.1 del Real Decreto Legislativo 2/2004, de 5 de marzo, por el que se aprueba el texto refundido de la Ley reguladora de las haciendas locales (LHL)]. El impuesto pretende gravar la capacidad económica que se concreta en la riqueza potencial puesta de manifiesto por el ejercicio de una actividad económica, de manera que las cuotas tributarias derivadas de aplicar las tarifas del impuesto se exigen en función de esa riqueza potencial que el legislador atribuye al ejercicio de una actividad económica durante un año natural o, lo que es lo mismo, se determina en función del beneficio medio presunto de la actividad gravada (artículo 85.1).</w:t>
      </w:r>
    </w:p>
    <w:p w:rsidR="001D6FAE" w:rsidRDefault="001D6FAE" w:rsidP="001D6FAE">
      <w:pPr>
        <w:pStyle w:val="TextoNormal"/>
      </w:pPr>
    </w:p>
    <w:p w:rsidR="001D6FAE" w:rsidRDefault="001D6FAE" w:rsidP="001D6FAE">
      <w:pPr>
        <w:pStyle w:val="TextoNormal"/>
      </w:pPr>
      <w:r>
        <w:t>Son sujetos pasivos del IAE las personas, físicas o jurídicas, que realicen en el territorio nacional cualquiera de las actividades definidas en el hecho imponible (art. 83 LHL). El contenido de las actividades gravadas se define en las tarifas del impuesto (art. 79 LHL), aprobadas por Real Decreto Legislativo 1175/1990, de 28 de septiembre. En lo que ahora resulta relevante, el epígrafe 151.4 de las tarifas del IAE, se refiere a la materia gravada “producción de energía no especificada en los epígrafes anteriores”, abarcando la energía procedente de mareas, energía solar, etc… y el epígrafe 151.5, se hace mención a la actividad de transporte y distribución de energía eléctrica. En ambos casos la cuota se define por relación a la potencia en generadores y a la potencia contratada.</w:t>
      </w:r>
    </w:p>
    <w:p w:rsidR="001D6FAE" w:rsidRDefault="001D6FAE" w:rsidP="001D6FAE">
      <w:pPr>
        <w:pStyle w:val="TextoNormal"/>
      </w:pPr>
    </w:p>
    <w:p w:rsidR="001D6FAE" w:rsidRDefault="001D6FAE" w:rsidP="001D6FAE">
      <w:pPr>
        <w:pStyle w:val="TextoNormal"/>
      </w:pPr>
      <w:r w:rsidRPr="001D6FAE">
        <w:rPr>
          <w:rStyle w:val="NumeroAFNegritaCaracter"/>
        </w:rPr>
        <w:t>6</w:t>
      </w:r>
      <w:r>
        <w:t>. Así configurados ambos tributos, resulta que, como también ha destacado la Fiscal General del Estado, la existencia de diferencias esenciales entre ellos es palpable desde la perspectiva de la prohibición de equivalencia derivada de la Ley Orgánica de financiación de las Comunidades Autónomas.</w:t>
      </w:r>
    </w:p>
    <w:p w:rsidR="001D6FAE" w:rsidRDefault="001D6FAE" w:rsidP="001D6FAE">
      <w:pPr>
        <w:pStyle w:val="TextoNormal"/>
      </w:pPr>
    </w:p>
    <w:p w:rsidR="001D6FAE" w:rsidRDefault="001D6FAE" w:rsidP="001D6FAE">
      <w:pPr>
        <w:pStyle w:val="TextoNormal"/>
      </w:pPr>
      <w:r>
        <w:t>El IAE grava únicamente el ejercicio de una actividad económica, la capacidad de generar energía eléctrica de origen eólico, mientras que el canon autonómico atiende al hecho de que la instalación de aerogeneradores y las infraestructuras que estos precisan (esencialmente, pistas y líneas de transporte de la energía) provocan un impacto ambiental evidente y notorio, daños que, en el criterio del legislador castellano-manchego, deben ser internalizados por quienes explotan estas instalaciones.</w:t>
      </w:r>
    </w:p>
    <w:p w:rsidR="001D6FAE" w:rsidRDefault="001D6FAE" w:rsidP="001D6FAE">
      <w:pPr>
        <w:pStyle w:val="TextoNormal"/>
      </w:pPr>
    </w:p>
    <w:p w:rsidR="001D6FAE" w:rsidRDefault="001D6FAE" w:rsidP="001D6FAE">
      <w:pPr>
        <w:pStyle w:val="TextoNormal"/>
      </w:pPr>
      <w:r>
        <w:t>El análisis de los diversos elementos del tributo ratifica esa conclusión. El hecho imponible del canon responde a esa concepción en cuanto se refiere a la generación de afecciones medioambientales consideradas estas como contaminación visual o paisajística. El caso del IAE es diferente, por cuanto lo gravado es el ejercicio de una actividad económica vinculada a la producción y distribución de energía eléctrica. Es decir, la realización del hecho imponible no se cuantifica con arreglo al beneficio efectivamente obtenido, sino en función de la renta que potencialmente se le presupone a cada tipo de actividad económica. De esta forma, el tributo no grava el beneficio de la actividad económica, sino la actividad misma y tiene asimismo una finalidad recaudatoria, que al igual que sucede en el impuesto sobre bienes inmuebles, puede modularse en función de criterios extrafiscales (art. 88 LHL), además de cumplir la ya aludida función censal o de control de manera que no recae sobre la renta o beneficio empresarial (STC 210/2012, FJ 6).</w:t>
      </w:r>
    </w:p>
    <w:p w:rsidR="001D6FAE" w:rsidRDefault="001D6FAE" w:rsidP="001D6FAE">
      <w:pPr>
        <w:pStyle w:val="TextoNormal"/>
      </w:pPr>
    </w:p>
    <w:p w:rsidR="001D6FAE" w:rsidRDefault="001D6FAE" w:rsidP="001D6FAE">
      <w:pPr>
        <w:pStyle w:val="TextoNormal"/>
      </w:pPr>
      <w:r>
        <w:t>La determinación de la base imponible tampoco es coincidente. El hecho de que el precepto autonómico utilice el número de aerogeneradores como factor determinante es totalmente congruente con la estructura del canon, ya que lo que pretende es luchar contra las afecciones visuales y paisajísticas, así que lo esencial será el número de aerogeneradores que se encuentran en funcionamiento, con independencia de su valor o de su potencia. Por su parte, el IAE atiende únicamente al ejercicio de la actividad, en cuanto que contempla únicamente a efectos de determinación de la cuota tributaria los kilovatios de potencia en generadores, esto es, criterios relativos a la potencia de las instalaciones.</w:t>
      </w:r>
    </w:p>
    <w:p w:rsidR="001D6FAE" w:rsidRDefault="001D6FAE" w:rsidP="001D6FAE">
      <w:pPr>
        <w:pStyle w:val="TextoNormal"/>
      </w:pPr>
    </w:p>
    <w:p w:rsidR="001D6FAE" w:rsidRDefault="001D6FAE" w:rsidP="001D6FAE">
      <w:pPr>
        <w:pStyle w:val="TextoNormal"/>
      </w:pPr>
      <w:r>
        <w:t>En el caso del IAE, la cuota se determina en función de la potencia instalada que es elemento que elige el legislador en relación con este concreto sector, mientras que el objetivo del canon eólico es la lucha contra la contaminación visual y paisajística, de modo que su cuantificación es consecuente con esa función disuasoria. Lo relevante para el legislador es el número de aerogeneradores, no la potencia de los mismos, como sucede en el IAE, lo que puede influir en la potencialidad del parque eólico para obtener rendimientos pero no afecta directamente a las afecciones medioambientales que se trata de compensar. Así, mientras que el IAE no establece diferencias, el primer tramo de la base imponible del canon, constituido por parques eólicos que dispongan de hasta dos aerogeneradores, goza de un mínimo exento, al fijarse cero euros por cada unidad de aerogenerador. Por lo tanto, si el sujeto pasivo del tributo, con la misma potencia eléctrica cuya instalación o producción le ha sido autorizada por la Administración, logra disminuir el número de aerogeneradores del parque eólico conseguiría evitar el pago del tributo. Con esa medida, la norma prevé un umbral máximo de tolerancia al deterioro que dichas instalaciones son susceptibles de causar al medio natural.</w:t>
      </w:r>
    </w:p>
    <w:p w:rsidR="001D6FAE" w:rsidRDefault="001D6FAE" w:rsidP="001D6FAE">
      <w:pPr>
        <w:pStyle w:val="TextoNormal"/>
      </w:pPr>
    </w:p>
    <w:p w:rsidR="001D6FAE" w:rsidRDefault="001D6FAE" w:rsidP="001D6FAE">
      <w:pPr>
        <w:pStyle w:val="TextoNormal"/>
      </w:pPr>
      <w:r>
        <w:t>El IAE no establece tramos, mientras que en el caso del canon, al contemplarse una escala de gravamen progresiva en la que existen cuatro tramos con tipos de gravamen que aumentan a medida que lo hace el número de aerogeneradores de cada parque eólico. La consecuencia de esa configuración es que el sujeto pasivo que, haciendo uso de tecnologías más eficientes, incremente la potencia unitaria de cada aerogenerador y consiga reducir su número hasta situarse en el tramo inferior, verá también disminuido el importe de la cuota tributaria. Por lo tanto, la carga tributaria siempre será menor para las empresas que instalen menos turbinas eólicas y más eficientes. La capacidad recaudatoria será, en definitiva, inversamente proporcional al incremento de la eficiencia mostrada por las instalaciones destinadas al aprovechamiento de los recursos energéticos procedentes del viento.</w:t>
      </w:r>
    </w:p>
    <w:p w:rsidR="001D6FAE" w:rsidRDefault="001D6FAE" w:rsidP="001D6FAE">
      <w:pPr>
        <w:pStyle w:val="TextoNormal"/>
      </w:pPr>
    </w:p>
    <w:p w:rsidR="001D6FAE" w:rsidRDefault="001D6FAE" w:rsidP="001D6FAE">
      <w:pPr>
        <w:pStyle w:val="TextoNormal"/>
      </w:pPr>
      <w:r>
        <w:t>Finalmente el tributo tiene, aunque sea parcialmente, una finalidad extrafiscal, en los términos de su artículo 3 y concordantes lo que no puede dejar de tenerse en cuenta a la hora de establecer sus diferencias con el IAE.</w:t>
      </w:r>
    </w:p>
    <w:p w:rsidR="001D6FAE" w:rsidRDefault="001D6FAE" w:rsidP="001D6FAE">
      <w:pPr>
        <w:pStyle w:val="TextoNormal"/>
      </w:pPr>
    </w:p>
    <w:p w:rsidR="001D6FAE" w:rsidRDefault="001D6FAE" w:rsidP="001D6FAE">
      <w:pPr>
        <w:pStyle w:val="TextoNormal"/>
      </w:pPr>
      <w:r w:rsidRPr="001D6FAE">
        <w:rPr>
          <w:rStyle w:val="NumeroAFNegritaCaracter"/>
        </w:rPr>
        <w:t>7</w:t>
      </w:r>
      <w:r>
        <w:t>. En conclusión, la comparación de las bases imponibles del impuesto autonómico controvertido y el IAE, una vez puesta en relación con los restantes elementos de ambos tributos, aporta unos criterios distintivos que son suficientes para poder afirmar que el canon enjuiciado no tiene un hecho imponible idéntico y, por tanto, supera la prohibición establecida en el art. 6.3 LOFCA.</w:t>
      </w:r>
    </w:p>
    <w:p w:rsidR="001D6FAE" w:rsidRDefault="001D6FAE" w:rsidP="001D6FAE">
      <w:pPr>
        <w:pStyle w:val="TextoNormal"/>
      </w:pPr>
    </w:p>
    <w:p w:rsidR="001D6FAE" w:rsidRDefault="001D6FAE" w:rsidP="001D6FAE">
      <w:pPr>
        <w:pStyle w:val="TextoNormal"/>
      </w:pPr>
      <w:r>
        <w:t>Descartada esta vertiente de la duda de constitucionalidad planteada, ya no resulta necesario examinar la supuesta falta de finalidad extrafiscal del tributo autonómico que también ha denunciado el órgano judicial, por cuanto ya se ha determinado que, en los términos que han quedado expuestos, no se superan los límites que derivan del art. 6.3 LOFCA respecto a la creación de tributos propios por las Comunidades Autónomas y la duda del órgano judicial partía precisamente de la premisa de que tales límites se habían superado.</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quince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0" w:name="AUTO_2016_186"/>
      <w:r>
        <w:t>AUTO 186/2016, de 15 de noviembre de 2016</w:t>
      </w:r>
    </w:p>
    <w:bookmarkEnd w:id="160"/>
    <w:p w:rsidR="001D6FAE" w:rsidRDefault="001D6FAE" w:rsidP="001D6FAE">
      <w:pPr>
        <w:pStyle w:val="TtuloResolucin"/>
      </w:pPr>
      <w:r>
        <w:t>Pleno</w:t>
      </w:r>
    </w:p>
    <w:p w:rsidR="001D6FAE" w:rsidRDefault="001D6FAE" w:rsidP="001D6FAE">
      <w:pPr>
        <w:pStyle w:val="TextoNormalCentrado"/>
      </w:pPr>
      <w:r>
        <w:t>ECLI:ES:TC:2016:186A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don Andrés Ollero Tassara, don Fernando Valdés Dal-Ré, don Juan José González Rivas, don Santiago Martínez-Vares García, don Juan Antonio Xiol Ríos, don Pedro José González-Trevijano Sánchez y don Ricardo Enríquez Sancho.</w:t>
      </w:r>
    </w:p>
    <w:p w:rsidR="001D6FAE" w:rsidRDefault="001D6FAE" w:rsidP="001D6FAE">
      <w:pPr>
        <w:pStyle w:val="SntesisDescriptiva"/>
      </w:pPr>
    </w:p>
    <w:p w:rsidR="001D6FAE" w:rsidRDefault="001D6FAE" w:rsidP="001D6FAE">
      <w:pPr>
        <w:pStyle w:val="SntesisDescriptiva"/>
      </w:pPr>
      <w:r>
        <w:t>Inadmite a trámite la cuestión de inconstitucionalidad 4623-2016, planteada por el Tribunal Superior de Justicia de Castilla-La Mancha en relación con el artículo 47.1 b) del Real Decreto Legislativo 5/2000, de 4 de agosto, por el que se aprueba el texto refundido de la Ley sobre infracciones y sanciones en el orden social.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registrado en este Tribunal el 1 de septiembre de 2016, la Sala de lo Social del Tribunal Superior de Justicia de Castilla-León remitió testimonio del Auto de 12 de julio de 2016 por el que se acuerda suspender las actuaciones del recurso de suplicación núm. 847-2016 y elevar al Tribunal Constitucional cuestión de inconstitucionalidad en relación con el art. 47.1 b) del Real Decreto Legislativo 5/2000, de 4 de agosto, por el que se aprueba el texto refundido de la Ley sobre infracciones y sanciones en el orden social, al considerar que podría ser contrario a los arts. 25.1 y 14 CE.</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 los siguientes:</w:t>
      </w:r>
    </w:p>
    <w:p w:rsidR="001D6FAE" w:rsidRDefault="001D6FAE" w:rsidP="001D6FAE">
      <w:pPr>
        <w:pStyle w:val="TextoNormal"/>
      </w:pPr>
    </w:p>
    <w:p w:rsidR="001D6FAE" w:rsidRDefault="001D6FAE" w:rsidP="001D6FAE">
      <w:pPr>
        <w:pStyle w:val="TextoNormal"/>
      </w:pPr>
      <w:r>
        <w:t>a) El 17 de junio de 2014 se presentó en el Juzgado Decano de Valladolid una demanda formulada por la que el actor impugnaba la decisión del Servicio Público de Empleo Estatal por la que se acordaba la extinción del subsidio de desempleo para mayores de 52 años que percibía y el reintegro de la prestación recibida en tal concepto desde el 3 de febrero de 2012, fecha en la que se consideró que había dejado de reunir los requisitos para percibir el referido subsidio. El Servicio Público de Empleo Estatal adoptó esta decisión al apreciar que el actor, al haber percibido la cantidad de 14.682,77€ en concepto de rescate de un plan de pensiones y no haber comunicado la obtención de esta renta, había incurrido en la infracción tipificada en el art. 25.3 del Real Decreto Legislativo 5/2000; infracción que, de acuerdo con lo previsto, en el art. 47.1 b) del Real Decreto Legislativo 5/2000, debía ser sancionada con la extinción de las prestaciones por desempleo y devolución de las cantidades indebidamente percibidas.</w:t>
      </w:r>
    </w:p>
    <w:p w:rsidR="001D6FAE" w:rsidRDefault="001D6FAE" w:rsidP="001D6FAE">
      <w:pPr>
        <w:pStyle w:val="TextoNormal"/>
      </w:pPr>
    </w:p>
    <w:p w:rsidR="001D6FAE" w:rsidRDefault="001D6FAE" w:rsidP="001D6FAE">
      <w:pPr>
        <w:pStyle w:val="TextoNormal"/>
      </w:pPr>
      <w:r>
        <w:t>b) La demanda fue turnada al Juzgado de lo Social núm. 4 de Valladolid. El 28 de diciembre de 2015 dictó Sentencia estimando parcialmente la demanda. Esta Sentencia revocó las resoluciones impugnadas en el extremo relativo a la declaración de percepción indebida y reintegro de prestaciones, manteniéndose como indebido únicamente el subsidio percibido en el mes de febrero de 2012, cuya obligación de devolución se mantiene. En consecuencia declara que deben ser devueltas al actor las cantidades reintegradas en la parte que excedan de la cuantía referida a ese periodo. La Sentencia confirma la decisión de tener por extinguido el subsidio que percibía el actor con efectos de 17 de febrero de 2014.</w:t>
      </w:r>
    </w:p>
    <w:p w:rsidR="001D6FAE" w:rsidRDefault="001D6FAE" w:rsidP="001D6FAE">
      <w:pPr>
        <w:pStyle w:val="TextoNormal"/>
      </w:pPr>
    </w:p>
    <w:p w:rsidR="001D6FAE" w:rsidRDefault="001D6FAE" w:rsidP="001D6FAE">
      <w:pPr>
        <w:pStyle w:val="TextoNormal"/>
      </w:pPr>
      <w:r>
        <w:t>c) Contra esta Sentencia se interpuso recurso de suplicación.</w:t>
      </w:r>
    </w:p>
    <w:p w:rsidR="001D6FAE" w:rsidRDefault="001D6FAE" w:rsidP="001D6FAE">
      <w:pPr>
        <w:pStyle w:val="TextoNormal"/>
      </w:pPr>
    </w:p>
    <w:p w:rsidR="001D6FAE" w:rsidRDefault="001D6FAE" w:rsidP="001D6FAE">
      <w:pPr>
        <w:pStyle w:val="TextoNormal"/>
      </w:pPr>
      <w:r>
        <w:t>d) Por providencia de 30 de mayo de 2016 se acordó oír a las partes personadas y al Ministerio Fiscal para que alegaran lo que estimasen conveniente sobre la pertinencia de plantear cuestión de inconstitucionalidad en relación con el art. 47.1 b) del Real Decreto Legislativo 5/2000, de 4 de agosto, por el que se aprueba el texto refundido de la Ley sobre infracciones y sanciones en el orden social. En esta providencia la Sala considera que el referido precepto puede vulnerar el principio de proporcionalidad de las sanciones e infringir por este motivo el art. 25.1 CE en conexión con el art. 14 CE. Según se expone en esta resolución, el precepto cuestionado puede ser inconstitucional porque su aplicación tiene como consecuencia que si el beneficiario de una prestación por desempleo no declara en el plazo reglamentariamente establecido la percepción de ingresos superiores al 75 por 100 del salario mínimo interprofesional, excluida la parte proporcional de las dos pagas extraordinarias, pierde el derecho a la percepción del referido subsidio. La Sala considera que esta sanción, al tenerse que imponer necesariamente sin poder tomar en consideración la intencionalidad fraudulenta, el grado de culpa del beneficiario o si la cantidad no declarada es elevada o no, no permite adaptar la sanción al mayor o menor grado de culpabilidad y por este motivo considera que puede vulnerar los referidos preceptos constitucionales.</w:t>
      </w:r>
    </w:p>
    <w:p w:rsidR="001D6FAE" w:rsidRDefault="001D6FAE" w:rsidP="001D6FAE">
      <w:pPr>
        <w:pStyle w:val="TextoNormal"/>
      </w:pPr>
    </w:p>
    <w:p w:rsidR="001D6FAE" w:rsidRDefault="001D6FAE" w:rsidP="001D6FAE">
      <w:pPr>
        <w:pStyle w:val="TextoNormal"/>
      </w:pPr>
      <w:r>
        <w:t>e) El Fiscal, por escrito de 1 de junio de 2016, formuló alegaciones, en las que muestra su conformidad sobre la pertinencia de plantear cuestión de inconstitucionalidad.</w:t>
      </w:r>
    </w:p>
    <w:p w:rsidR="001D6FAE" w:rsidRDefault="001D6FAE" w:rsidP="001D6FAE">
      <w:pPr>
        <w:pStyle w:val="TextoNormal"/>
      </w:pPr>
    </w:p>
    <w:p w:rsidR="001D6FAE" w:rsidRDefault="001D6FAE" w:rsidP="001D6FAE">
      <w:pPr>
        <w:pStyle w:val="TextoNormal"/>
      </w:pPr>
      <w:r>
        <w:t xml:space="preserve">f) La parte recurrente en aquel proceso se muestra conforme con el planteamiento de la cuestión de inconstitucionalidad. No obstante, considera que el planteamiento de la misma no es necesario en este caso, pues entiende que, de acuerdo con la doctrina establecida en la STS 65/2016, de 3 de febrero, núm. de recurso 2576-2014, dictada por la Sala en Pleno, en un caso idéntico al planteado en este recuso, se ha considerado que el art. 25.3 del Real Decreto Legislativo 5/2000 no resultaba aplicable al caso, pues, de acuerdo con lo declarado en la citada Sentencia, con “el rescate de un plan de pensiones la actora no ha ingresado en su patrimonio nada que no tuviera ya”. Según se afirma, “se ha sustituido un elemento patrimonial (el plan de pensiones) por otro (el dinero obtenido por el rescate del citado plan), siendo lo único relevante, a los efectos ahora examinados, la ganancia o plusvalía que haya podido reportar el citado plan”. El actor en el proceso </w:t>
      </w:r>
      <w:r w:rsidRPr="001D6FAE">
        <w:rPr>
          <w:i/>
        </w:rPr>
        <w:t>a quo</w:t>
      </w:r>
      <w:r>
        <w:t xml:space="preserve"> pone de manifiesto que en el caso del que trae causa esta cuestión no ha habido plusvalías, por lo que, de acuerdo con la doctrina del Tribunal Supremo invocada, no se ha podido incurrir en la infracción tipificada en el art. 25.3 del Real Decreto Legislativo 5/2000 y, en consecuencia, el art. 47.1 b) del Real Decreto Legislativo 5/2000 no resulta aplicable.</w:t>
      </w:r>
    </w:p>
    <w:p w:rsidR="001D6FAE" w:rsidRDefault="001D6FAE" w:rsidP="001D6FAE">
      <w:pPr>
        <w:pStyle w:val="TextoNormal"/>
      </w:pPr>
    </w:p>
    <w:p w:rsidR="001D6FAE" w:rsidRDefault="001D6FAE" w:rsidP="001D6FAE">
      <w:pPr>
        <w:pStyle w:val="TextoNormal"/>
      </w:pPr>
      <w:r>
        <w:t>g) El Servicio Público de Empleo Estatal no formuló alegaciones. Según consta en las actuaciones remitidas la providencia de 30 de mayo de 2016 le fue notificada telemáticamente el 1 de junio de 2016.</w:t>
      </w:r>
    </w:p>
    <w:p w:rsidR="001D6FAE" w:rsidRDefault="001D6FAE" w:rsidP="001D6FAE">
      <w:pPr>
        <w:pStyle w:val="TextoNormal"/>
      </w:pPr>
    </w:p>
    <w:p w:rsidR="001D6FAE" w:rsidRDefault="001D6FAE" w:rsidP="001D6FAE">
      <w:pPr>
        <w:pStyle w:val="TextoNormal"/>
      </w:pPr>
      <w:r>
        <w:t>h) La Sala de lo Social del Tribunal Superior de Justicia de Castilla-León, por Auto de 12 de julio de 2016, acordó plantear cuestión de inconstitucionalidad en relación con el art. 47.1 b) del Real Decreto-legislativo 5/2000, de 4 de agosto, por el que se aprueba el texto refundido de la Ley sobre infracciones y sanciones en el orden social al considerar que podría ser contrario a los arts. 25.1 y 14 CE.</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planteamiento expone, en primer lugar, los hechos que han dado lugar al planteamiento de la cuestión. En segundo lugar, alude a las cuestiones planteadas en el litigio y pone de manifiesto que en relación con una de ellas, la relativa a si el rescate de un plan de pensiones tiene la consideración de renta a los efectos del art. 215.3.2 del texto refundido de la Ley general de la Seguridad Social (LGSS), no existe controversia, puesto que en el escrito de interposición del recurso de suplicación el recurrente pide que se mantenga como indebido el subsidio percibido en el mes de febrero. La Sala señala también que las dudas surgen en relación con la decisión del Servicio Público de Empleo Estatal por la que se impone al actor la sanción de extinción del subsidio que venía percibiendo.</w:t>
      </w:r>
    </w:p>
    <w:p w:rsidR="001D6FAE" w:rsidRDefault="001D6FAE" w:rsidP="001D6FAE">
      <w:pPr>
        <w:pStyle w:val="TextoNormal"/>
      </w:pPr>
    </w:p>
    <w:p w:rsidR="001D6FAE" w:rsidRDefault="001D6FAE" w:rsidP="001D6FAE">
      <w:pPr>
        <w:pStyle w:val="TextoNormal"/>
      </w:pPr>
      <w:r>
        <w:t>La duda que se le plantea es en relación con el art. 47.1 b) del Real Decreto Legislativo 5/2000 y su adecuación a la Constitución. Este precepto dispone que “las faltas graves tipificadas en el artículo 25 con pérdida de la prestación o pensión durante un período de tres meses, salvo las de sus números 2 y 3, respectivamente, en las prestaciones por incapacidad temporal y en las prestaciones y subsidios por desempleo, así como en la prestación por cese de actividad de los trabajadores autónomos … la sanción será de extinción de la prestación”. Y el art. 25.3 de la referida Ley tipifica como infracción grave “no comunicar, salvo causa justificada, las bajas en las prestaciones en el momento en que se produzcan situaciones determinantes de la suspensión o extinción del derecho, o cuando se dejen de reunir los requisitos para el derecho a su percepción cuando por cualquiera de dichas causas se haya percibido indebidamente la prestación, siempre que la conducta no esté tipificada como infracción leve en el artículo 24.4 b) de esta ley”.</w:t>
      </w:r>
    </w:p>
    <w:p w:rsidR="001D6FAE" w:rsidRDefault="001D6FAE" w:rsidP="001D6FAE">
      <w:pPr>
        <w:pStyle w:val="TextoNormal"/>
      </w:pPr>
    </w:p>
    <w:p w:rsidR="001D6FAE" w:rsidRDefault="001D6FAE" w:rsidP="001D6FAE">
      <w:pPr>
        <w:pStyle w:val="TextoNormal"/>
      </w:pPr>
      <w:r>
        <w:t>Según se sostiene en el Auto de planteamiento, estos preceptos resultan aplicables al caso porque han sido los preceptos cuya aplicación ha determinado que el Servicio Público de Empleo Estatal acordase la extinción del subsidio de desempleo del actor, y en los que se ha basado el Juzgado de lo Social núm. 4 de Valladolid para confirmar la parte de la resolución administrativa que acuerda la extinción de la referida prestación. Por todo ello considera que la decisión del recurso de suplicación depende de la constitucionalidad del referido precepto legal, puesto que es el que la Sala tiene que aplicar para la resolución del recurso. Según se afirma, “[s]i el Tribunal Constitucional declara que el artículo controvertido se ajusta a las exigencias de la Constitución Española, a la Sala no le quedará más opción que desestimar el recurso de suplicación; por el contrario, si el Tribunal declarase su desajuste constitucional, a la Sala le quedaría la posibilidad de estimar el recurso y dejar sin efecto la extinción del subsidio de desempleo”.</w:t>
      </w:r>
    </w:p>
    <w:p w:rsidR="001D6FAE" w:rsidRDefault="001D6FAE" w:rsidP="001D6FAE">
      <w:pPr>
        <w:pStyle w:val="TextoNormal"/>
      </w:pPr>
    </w:p>
    <w:p w:rsidR="001D6FAE" w:rsidRDefault="001D6FAE" w:rsidP="001D6FAE">
      <w:pPr>
        <w:pStyle w:val="TextoNormal"/>
      </w:pPr>
      <w:r>
        <w:t>La Sala considera que el art. 47.1 b) del Real Decreto Legislativo 5/2000 puede vulnerar el art. 25.1 CE en relación con el art.14 CE al establecer una sanción —la extinción del subsidio— que se considera desproporcionada. Esta conclusión la fundamenta apoyándose, entre otros argumentos, en los expuestos en el Voto particular que formularon los Magistrados de Castro Fernández y Sempere Navarro en la Sentencia de la Sala Cuarta del Tribunal Supremo de 19 de febrero de 2016 recaída en el recurso de casación para la unificación de doctrina núm. 3035-2014, que el art. 47.1 b). Entiende la Sala que este precepto puede incurrir en la referida inconstitucionalidad porque su aplicación conlleva que toda falta de declaración en plazo reglamentario a la entidad gestora por parte del beneficiario del subsidio de la percepción de ingresos superiores al 75 por 100 del importe del salario mínimo interprofesional, excluida la parte proporcional de dos pagas extraordinarias, comporte automáticamente la extinción del derecho al subsidio. Según se sostiene en el Auto de planteamiento, aplicar esta consecuencia sin poder tomar en consideración la intencionalidad fraudulenta, el grado de culpa del beneficiario, el importe de la cantidad no declarada (no importa que sea notoria o escasa) impide individualizar la sanción y adaptarla al mayor o menor grado de culpabilidad. Por ello la Sala considera que el precepto cuestionado, al no establecer distinción alguna en función de las diversas circunstancias que pueden concurrir, puede ser contraria al principio de proporcionalidad, pues sanciona de igual manera la ocultación de unos ingresos cuantiosos que la no comunicación, por una negligencia levísima, de mínimas y esporádicas rentas que alcancen el límite del 75 por 100 del salario mínimo interprofesional.</w:t>
      </w:r>
    </w:p>
    <w:p w:rsidR="001D6FAE" w:rsidRDefault="001D6FAE" w:rsidP="001D6FAE">
      <w:pPr>
        <w:pStyle w:val="TextoNormal"/>
      </w:pPr>
    </w:p>
    <w:p w:rsidR="001D6FAE" w:rsidRDefault="001D6FAE" w:rsidP="001D6FAE">
      <w:pPr>
        <w:pStyle w:val="TextoNormal"/>
      </w:pPr>
      <w:r>
        <w:t>Según se afirma en el Auto de planteamiento, el principio de proporcionalidad vincula al legislador y por ello las leyes que regulan infracciones y sanciones administrativas deben guardar la debida proporción, sin incurrir en desequilibrios, entre la entidad de las conductas que conforman el tipo del ilícito administrativo y la cuantía de la sanción. Se sostiene también que este principio constituye un canon de juridicidad del ejercicio de la Administración de la potestad sancionadora, de modo que debe ser aplicado por los poderes públicos administrativos y por los órganos jurisdiccionales en el ejercicio de la función fiscalizadora de la actividad administrativa (arts.106 y 117 CE). Se alude, además, al art. 1.1 CE que consagra la justicia como un valor superior de nuestro ordenamiento jurídico y se invocan las SSTC 55/1996, de 28 de marzo, 161/1997, de 2 de octubre, y 36/1999, de 20 de julio.</w:t>
      </w:r>
    </w:p>
    <w:p w:rsidR="001D6FAE" w:rsidRDefault="001D6FAE" w:rsidP="001D6FAE">
      <w:pPr>
        <w:pStyle w:val="TextoNormal"/>
      </w:pPr>
    </w:p>
    <w:p w:rsidR="001D6FAE" w:rsidRDefault="001D6FAE" w:rsidP="001D6FAE">
      <w:pPr>
        <w:pStyle w:val="TextoNormal"/>
      </w:pPr>
      <w:r>
        <w:t xml:space="preserve">Se pone de manifiesto que tanto el Tribunal de Justicia de la Unión Europea (Sentencia Comisión/Grecia C210/91, apartado 20 y Sentencia </w:t>
      </w:r>
      <w:r w:rsidRPr="001D6FAE">
        <w:rPr>
          <w:i/>
        </w:rPr>
        <w:t>Louloudakis</w:t>
      </w:r>
      <w:r>
        <w:t xml:space="preserve"> C262/99) como el Tribunal Europeo de Derechos Humanos (Sentencia </w:t>
      </w:r>
      <w:r w:rsidRPr="001D6FAE">
        <w:rPr>
          <w:i/>
        </w:rPr>
        <w:t>Moon c. Francia</w:t>
      </w:r>
      <w:r>
        <w:t>, de 9 de julio de 2009) han declarado que el principio de proporcionalidad resulta de aplicación al derecho sancionador.</w:t>
      </w:r>
    </w:p>
    <w:p w:rsidR="001D6FAE" w:rsidRDefault="001D6FAE" w:rsidP="001D6FAE">
      <w:pPr>
        <w:pStyle w:val="TextoNormal"/>
      </w:pPr>
    </w:p>
    <w:p w:rsidR="001D6FAE" w:rsidRDefault="001D6FAE" w:rsidP="001D6FAE">
      <w:pPr>
        <w:pStyle w:val="TextoNormal"/>
      </w:pPr>
      <w:r>
        <w:t>Por último se sostiene que la exigencia de proporcionalidad en un caso como el que da lugar al planteamiento de esta cuestión tiene más relevancia que en otros, pues la simple comunicación extemporánea de una renta conlleva unas consecuencias muy perjudiciales para el beneficiario del subsidio de desempleo para mayores de 52 años, ya que puede conllevar su pérdida durante un largo periodo de tiempo y pude determinar que no pueda acceder en un futuro a una pensión contributiva. Según se afirma en el auto de planteamiento, en estos casos lo que está en juego es, en definitiva, la protección frente al desempleo, que es la situación de necesidad específicamente mencionada por el art. 41 CE cuando identifica lo que debe proteger la Seguridad Social.</w:t>
      </w:r>
    </w:p>
    <w:p w:rsidR="001D6FAE" w:rsidRDefault="001D6FAE" w:rsidP="001D6FAE">
      <w:pPr>
        <w:pStyle w:val="TextoNormal"/>
      </w:pPr>
    </w:p>
    <w:p w:rsidR="001D6FAE" w:rsidRDefault="001D6FAE" w:rsidP="001D6FAE">
      <w:pPr>
        <w:pStyle w:val="TextoNormal"/>
      </w:pPr>
      <w:r>
        <w:t>Estas consideraciones llevan a la Sala a plantear cuestión de inconstitucionalidad en relación con el art. 47.1 b) del Real Decreto Legislativo 5/2000.</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4 de octubre de 2016 la Sección Primera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 (art. 35.2 LOTC) y por si fuera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xml:space="preserve">. La Fiscal General del Estado presentó sus alegaciones el día 25 de octubre de 2016, interesando la inadmisión de la cuestión. Después de reseñar los antecedentes, así como transcribir los arts. 25 y 47 del Real Decreto Legislativo 5/2000 y los arts. 215.1.2 y 219.2 y 3 LGSS (en la numeración relevante para la resolución del proceso </w:t>
      </w:r>
      <w:r w:rsidRPr="001D6FAE">
        <w:rPr>
          <w:i/>
        </w:rPr>
        <w:t>a quo</w:t>
      </w:r>
      <w:r>
        <w:t>), reproduce un extracto del Auto de planteamiento relativo a las dudas de constitucionalidad que formula el órgano judicial, que se ciñen a si la sanción prevista en el art. 47.1 b) del Real Decreto Legislativo 5/2000 de pérdida del subsidio de desempleo, con las gravosas consecuencias que lleva aparejado, resulta desproporcionada en relación a la conducta sancionada de ocultación de rentas y, consecuentemente, lesiva del art. 25.1 CE.</w:t>
      </w:r>
    </w:p>
    <w:p w:rsidR="001D6FAE" w:rsidRDefault="001D6FAE" w:rsidP="001D6FAE">
      <w:pPr>
        <w:pStyle w:val="TextoNormal"/>
      </w:pPr>
    </w:p>
    <w:p w:rsidR="001D6FAE" w:rsidRDefault="001D6FAE" w:rsidP="001D6FAE">
      <w:pPr>
        <w:pStyle w:val="TextoNormal"/>
      </w:pPr>
      <w:r>
        <w:t>Luego de estos apuntes previos, la Fiscal se refiere, en primer lugar, a los requisitos procesales, señalando que “examinado el tenor literal de la providencia de fecha de 30 de mayo de 2016, y de las actuaciones procesales desplegadas con posterioridad para su cumplimiento, cabe descartar que la Sala de lo Social del Tribunal Superior de Justicia de Castilla-León, con sede en Valladolid, haya cometido alguna infracción en lo que concierne al trámite de audiencia prevenido por el art. 35.2 LOTC”.</w:t>
      </w:r>
    </w:p>
    <w:p w:rsidR="001D6FAE" w:rsidRDefault="001D6FAE" w:rsidP="001D6FAE">
      <w:pPr>
        <w:pStyle w:val="TextoNormal"/>
      </w:pPr>
    </w:p>
    <w:p w:rsidR="001D6FAE" w:rsidRDefault="001D6FAE" w:rsidP="001D6FAE">
      <w:pPr>
        <w:pStyle w:val="TextoNormal"/>
      </w:pPr>
      <w:r>
        <w:t>Se adentra, a continuación, en el eventual carácter notoriamente infundado de la cuestión suscitada tal como ha quedado delimitada. Precisa, en primer lugar, el sentido limitado que tiene dicho concepto en este contexto (ATC 145/2016) para luego traer a colación la doctrina constitucional sobre la materia. Reproduce la STC 99/2008, FJ 4, según la cual “procede recordar al respecto las potestades exclusivas del legislador para determinar normativamente qué conductas se penan y con qué pena, y los severos límites que demarcan el control de este Tribunal al respecto. Así, el juicio de proporcionalidad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Sólo cabe afirmar la falta de proporcionalidad de una reacción penal cuando la norma no persiga ‘la preservación de bienes o intereses que no estén constitucionalmente proscritos ni sean socialmente irrelevantes’; cuando la pena no sea ‘instrumentalmente apta para dicha persecución’; o cuando sea innecesaria o, en sentido estricto, desproporcionada.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139/1999, de 20 de julio, FJ 23; también, SSTC 55/1996, de 28 de marzo, FFJJ 6 y ss.; 161/1997, de 2 de octubre, FFJJ 9 y ss.; AATC 233/2004, de 7 de junio, FJ 3, y 332/2005, de 13 de septiembre, FJ 4)”. Transcribe igualmente un extracto del ATC 145/2015, FJ 4, en el mismo sentido.</w:t>
      </w:r>
    </w:p>
    <w:p w:rsidR="001D6FAE" w:rsidRDefault="001D6FAE" w:rsidP="001D6FAE">
      <w:pPr>
        <w:pStyle w:val="TextoNormal"/>
      </w:pPr>
    </w:p>
    <w:p w:rsidR="001D6FAE" w:rsidRDefault="001D6FAE" w:rsidP="001D6FAE">
      <w:pPr>
        <w:pStyle w:val="TextoNormal"/>
      </w:pPr>
      <w:r>
        <w:t>Recuerda, por otra parte, que la STC 128/2009, FJ 4, analizó la prestación de que se trata ahora en su regulación anterior, resultante de la reforma operada por la Ley 45/2002, de 12 de diciembre, de medidas urgentes para la reforma del sistema de protección por desempleo y mejora de la ocupabilidad, regulación que contemplaba la extinción del subsidio en todos los casos en que el beneficiario pasase a percibir rentas superiores al 75 por 100 del salario mínimo interprofesional, dejando sentada su constitucionalidad a pesar de que “la regulación del subsidio por desempleo toma en consideración la extraordinaria dificultad a la que se enfrentan las personas mayores de cincuenta y dos años para volver a acceder al mercado de trabajo una vez que han perdido su empleo, razón por la cual se les reconoce el derecho a un subsidio cuya duración puede extenderse hasta el acceso a la pensión de jubilación; sin embargo, al propio tiempo establece unas reglas de ordenación de la dinámica del derecho que determinan su extinción en el supuesto de dejarse de reunir, incluso transitoriamente, determinados requisitos, en particular el de carecer de rentas de cualquier naturaleza en cuantía superior a un límite determinado, y que obligan, para poder acceder de nuevo a la prestación, a cumplir de nuevo los requisitos inicialmente establecidos, que, por lo general, parten de una situación previa de empleo y cotización”.</w:t>
      </w:r>
    </w:p>
    <w:p w:rsidR="001D6FAE" w:rsidRDefault="001D6FAE" w:rsidP="001D6FAE">
      <w:pPr>
        <w:pStyle w:val="TextoNormal"/>
      </w:pPr>
    </w:p>
    <w:p w:rsidR="001D6FAE" w:rsidRDefault="001D6FAE" w:rsidP="001D6FAE">
      <w:pPr>
        <w:pStyle w:val="TextoNormal"/>
      </w:pPr>
      <w:r>
        <w:t xml:space="preserve">Sobre la base de estos elementos de juicio, la Fiscal razona que “el planteamiento del órgano judicial prescinde de la propia configuración legal del subsidio de desempleo en cuya regulación se toma en consideración la carencia de rentas, entre otros extremos, y que la obtención de las mismas lleva aparejada </w:t>
      </w:r>
      <w:r w:rsidRPr="001D6FAE">
        <w:rPr>
          <w:i/>
        </w:rPr>
        <w:t>ex lege</w:t>
      </w:r>
      <w:r>
        <w:t xml:space="preserve"> en determinados supuestos su extinción”. Ello es así sobre todo, enfatiza el Fiscal, a la luz de que la regulación actual es más favorable que la anterior y, sin embargo, aquélla no fue considerada contraria al art. 41 CE. En efecto, a diferencia de dicha regulación previa, en la actual “para que la obtención de rentas en determinadas circunstancias no lleve aparejada la extinción del subsidio, sino la mera suspensión con posterior reanudación, basta con comunicar tal extremo al Servicio Público de Empleo Estatal”.</w:t>
      </w:r>
    </w:p>
    <w:p w:rsidR="001D6FAE" w:rsidRDefault="001D6FAE" w:rsidP="001D6FAE">
      <w:pPr>
        <w:pStyle w:val="TextoNormal"/>
      </w:pPr>
    </w:p>
    <w:p w:rsidR="001D6FAE" w:rsidRDefault="001D6FAE" w:rsidP="001D6FAE">
      <w:pPr>
        <w:pStyle w:val="TextoNormal"/>
      </w:pPr>
      <w:r>
        <w:t>De este modo, prosigue el Fiscal, “es la ocultación la que determina la extinción de la prestación, no la obtención de la rentas en cuestión”. Y a partir de esta configuración concluye que “la medida, que tiene como finalidad la sostenibilidad del sistema y combatir las excepciones fraudulentas, no puede tildarse de rigorista ni desproporcionada… Si la no comunicación de la obtención de ingresos se equiparara a la comunicación y tuviera aparejadas las mismas consecuencias el sistema se tornaría inviable y además de ello resultaría anómalo desde el punto de vista jurídico”. Además, el Fiscal resalta que el órgano promovente ni siquiera “argumenta … cómo se podría atajar el fraude de forma igualmente eficaz ni tampoco cuestiona que el deber de comunicación impuesto a los beneficiarios del subsidio pueda considerarse excesivamente gravoso, desmesurado o comportar dificultades extraordinarias”.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Sala de lo Social del Tribunal Superior de Justicia de Castilla-León, por Auto de 12 de julio de 2016, planteó cuestión de inconstitucionalidad en relación con el art. 47.1 b) del Real Decreto Legislativo 5/2000, de 4 de agosto, por el que se aprueba el texto refundido de la Ley sobre infracciones y sanciones en el orden social, al considerar que podría ser contrario a los arts. 25.1 en relación con el art. 14 CE. Según se sostiene en el Auto de planteamiento, el precepto cuestionado, al no establecer distinción alguna en función de las diversas circunstancias que pueden concurrir, puede ser contrario al principio de proporcionalidad, pues sanciona de igual manera la ocultación de unos ingresos cuantiosos que la no comunicación, por una negligencia levísima, de mínimas y esporádicas rentas que alcancen el límite del 75 por 100 del salario mínimo interprofesional.</w:t>
      </w:r>
    </w:p>
    <w:p w:rsidR="001D6FAE" w:rsidRDefault="001D6FAE" w:rsidP="001D6FAE">
      <w:pPr>
        <w:pStyle w:val="TextoNormal"/>
      </w:pPr>
    </w:p>
    <w:p w:rsidR="001D6FAE" w:rsidRDefault="001D6FAE" w:rsidP="001D6FAE">
      <w:pPr>
        <w:pStyle w:val="TextoNormal"/>
      </w:pPr>
      <w:r>
        <w:t>El precepto cuestionado establece:</w:t>
      </w:r>
    </w:p>
    <w:p w:rsidR="001D6FAE" w:rsidRDefault="001D6FAE" w:rsidP="001D6FAE">
      <w:pPr>
        <w:pStyle w:val="TextoNormal"/>
      </w:pPr>
    </w:p>
    <w:p w:rsidR="001D6FAE" w:rsidRDefault="001D6FAE" w:rsidP="001D6FAE">
      <w:pPr>
        <w:pStyle w:val="TextoNormal"/>
      </w:pPr>
      <w:r>
        <w:t>“Artículo 47. Sanciones a los trabajadores, solicitantes y beneficiarios.</w:t>
      </w:r>
    </w:p>
    <w:p w:rsidR="001D6FAE" w:rsidRDefault="001D6FAE" w:rsidP="001D6FAE">
      <w:pPr>
        <w:pStyle w:val="TextoNormal"/>
      </w:pPr>
    </w:p>
    <w:p w:rsidR="001D6FAE" w:rsidRDefault="001D6FAE" w:rsidP="001D6FAE">
      <w:pPr>
        <w:pStyle w:val="TextoNormal"/>
      </w:pPr>
      <w:r>
        <w:t>1. En el caso de los solicitantes y beneficiarios de pensiones o prestaciones de Seguridad Social, incluidas las de desempleo y la prestación por cese de actividad de los trabajadores autónomos, las infracciones se sancionarán:</w:t>
      </w:r>
    </w:p>
    <w:p w:rsidR="001D6FAE" w:rsidRDefault="001D6FAE" w:rsidP="001D6FAE">
      <w:pPr>
        <w:pStyle w:val="TextoNormal"/>
      </w:pPr>
    </w:p>
    <w:p w:rsidR="001D6FAE" w:rsidRDefault="001D6FAE" w:rsidP="001D6FAE">
      <w:pPr>
        <w:pStyle w:val="TextoNormal"/>
      </w:pPr>
      <w:r>
        <w:t>…</w:t>
      </w:r>
    </w:p>
    <w:p w:rsidR="001D6FAE" w:rsidRDefault="001D6FAE" w:rsidP="001D6FAE">
      <w:pPr>
        <w:pStyle w:val="TextoNormal"/>
      </w:pPr>
    </w:p>
    <w:p w:rsidR="001D6FAE" w:rsidRDefault="001D6FAE" w:rsidP="001D6FAE">
      <w:pPr>
        <w:pStyle w:val="TextoNormal"/>
      </w:pPr>
      <w:r>
        <w:t>b) Las graves tipificadas en el artículo 25 con pérdida de la prestación o pensión durante un período de tres meses, salvo las de sus números 2 y 3, respectivamente, en las prestaciones por incapacidad temporal y en las prestaciones y subsidios por desempleo, así como en la prestación por cese de actividad de los trabajadores autónomos, en las que la sanción será de extinción de la prestación.</w:t>
      </w:r>
    </w:p>
    <w:p w:rsidR="001D6FAE" w:rsidRDefault="001D6FAE" w:rsidP="001D6FAE">
      <w:pPr>
        <w:pStyle w:val="TextoNormal"/>
      </w:pPr>
    </w:p>
    <w:p w:rsidR="001D6FAE" w:rsidRDefault="001D6FAE" w:rsidP="001D6FAE">
      <w:pPr>
        <w:pStyle w:val="TextoNormal"/>
      </w:pPr>
      <w:r>
        <w:t>En el caso de las prestaciones por desempleo de nivel contributivo o asistencial las infracciones graves tipificadas en el apartado 4 del artículo 25 se sancionarán conforme a la siguiente escala:</w:t>
      </w:r>
    </w:p>
    <w:p w:rsidR="001D6FAE" w:rsidRDefault="001D6FAE" w:rsidP="001D6FAE">
      <w:pPr>
        <w:pStyle w:val="TextoNormal"/>
      </w:pPr>
    </w:p>
    <w:p w:rsidR="001D6FAE" w:rsidRDefault="001D6FAE" w:rsidP="001D6FAE">
      <w:pPr>
        <w:pStyle w:val="TextoNormal"/>
      </w:pPr>
      <w:r>
        <w:t>1. Infracción. Pérdida de 3 meses de prestaciones.</w:t>
      </w:r>
    </w:p>
    <w:p w:rsidR="001D6FAE" w:rsidRDefault="001D6FAE" w:rsidP="001D6FAE">
      <w:pPr>
        <w:pStyle w:val="TextoNormal"/>
      </w:pPr>
    </w:p>
    <w:p w:rsidR="001D6FAE" w:rsidRDefault="001D6FAE" w:rsidP="001D6FAE">
      <w:pPr>
        <w:pStyle w:val="TextoNormal"/>
      </w:pPr>
      <w:r>
        <w:t>2. Infracción. Pérdida de 6 meses de prestaciones.</w:t>
      </w:r>
    </w:p>
    <w:p w:rsidR="001D6FAE" w:rsidRDefault="001D6FAE" w:rsidP="001D6FAE">
      <w:pPr>
        <w:pStyle w:val="TextoNormal"/>
      </w:pPr>
    </w:p>
    <w:p w:rsidR="001D6FAE" w:rsidRDefault="001D6FAE" w:rsidP="001D6FAE">
      <w:pPr>
        <w:pStyle w:val="TextoNormal"/>
      </w:pPr>
      <w:r>
        <w:t>3. Infracción. Extinción de prestaciones.</w:t>
      </w:r>
    </w:p>
    <w:p w:rsidR="001D6FAE" w:rsidRDefault="001D6FAE" w:rsidP="001D6FAE">
      <w:pPr>
        <w:pStyle w:val="TextoNormal"/>
      </w:pPr>
    </w:p>
    <w:p w:rsidR="001D6FAE" w:rsidRDefault="001D6FAE" w:rsidP="001D6FAE">
      <w:pPr>
        <w:pStyle w:val="TextoNormal"/>
      </w:pPr>
      <w:r>
        <w:t>En el caso de la prestación por cese de actividad de los trabajadores autónomos, la infracción grave tipificada en el artículo 25.4 b) se sancionará conforme a la siguiente escala:</w:t>
      </w:r>
    </w:p>
    <w:p w:rsidR="001D6FAE" w:rsidRDefault="001D6FAE" w:rsidP="001D6FAE">
      <w:pPr>
        <w:pStyle w:val="TextoNormal"/>
      </w:pPr>
    </w:p>
    <w:p w:rsidR="001D6FAE" w:rsidRDefault="001D6FAE" w:rsidP="001D6FAE">
      <w:pPr>
        <w:pStyle w:val="TextoNormal"/>
      </w:pPr>
      <w:r>
        <w:t>1. Infracción. Pérdida de 1 mes y 15 días de prestación.</w:t>
      </w:r>
    </w:p>
    <w:p w:rsidR="001D6FAE" w:rsidRDefault="001D6FAE" w:rsidP="001D6FAE">
      <w:pPr>
        <w:pStyle w:val="TextoNormal"/>
      </w:pPr>
    </w:p>
    <w:p w:rsidR="001D6FAE" w:rsidRDefault="001D6FAE" w:rsidP="001D6FAE">
      <w:pPr>
        <w:pStyle w:val="TextoNormal"/>
      </w:pPr>
      <w:r>
        <w:t>2. Infracción. Pérdida de 3 meses de prestación.</w:t>
      </w:r>
    </w:p>
    <w:p w:rsidR="001D6FAE" w:rsidRDefault="001D6FAE" w:rsidP="001D6FAE">
      <w:pPr>
        <w:pStyle w:val="TextoNormal"/>
      </w:pPr>
    </w:p>
    <w:p w:rsidR="001D6FAE" w:rsidRDefault="001D6FAE" w:rsidP="001D6FAE">
      <w:pPr>
        <w:pStyle w:val="TextoNormal"/>
      </w:pPr>
      <w:r>
        <w:t>3. Infracción. Extinción de la prestación.</w:t>
      </w:r>
    </w:p>
    <w:p w:rsidR="001D6FAE" w:rsidRDefault="001D6FAE" w:rsidP="001D6FAE">
      <w:pPr>
        <w:pStyle w:val="TextoNormal"/>
      </w:pPr>
    </w:p>
    <w:p w:rsidR="001D6FAE" w:rsidRDefault="001D6FAE" w:rsidP="001D6FAE">
      <w:pPr>
        <w:pStyle w:val="TextoNormal"/>
      </w:pPr>
      <w:r>
        <w:t>Se aplicarán estas escalas a partir de la primera infracción y cuando entre la comisión de una infracción grave y la anterior no hayan transcurrido más de los 365 días que establece el artículo 41.1 de esta Ley, con independencia del tipo de infracción.”</w:t>
      </w:r>
    </w:p>
    <w:p w:rsidR="001D6FAE" w:rsidRDefault="001D6FAE" w:rsidP="001D6FAE">
      <w:pPr>
        <w:pStyle w:val="TextoNormal"/>
      </w:pPr>
    </w:p>
    <w:p w:rsidR="001D6FAE" w:rsidRDefault="001D6FAE" w:rsidP="001D6FAE">
      <w:pPr>
        <w:pStyle w:val="TextoNormal"/>
      </w:pPr>
      <w:r w:rsidRPr="001D6FAE">
        <w:rPr>
          <w:rStyle w:val="NumeroAFNegritaCaracter"/>
        </w:rPr>
        <w:t>2</w:t>
      </w:r>
      <w:r>
        <w:t>. Conforme a lo dispuesto en el art. 37.1 de la Ley Orgánica del Tribunal Constitucional (LOTC), este Tribunal puede rechazar en trámite de admisión y mediante Auto y sin otra audiencia que la del Fiscal General del Estado, aquellas cuestiones de inconstitucionalidad que no cumplan los requisitos procesales o que fueran notoriamente infundadas.</w:t>
      </w:r>
    </w:p>
    <w:p w:rsidR="001D6FAE" w:rsidRDefault="001D6FAE" w:rsidP="001D6FAE">
      <w:pPr>
        <w:pStyle w:val="TextoNormal"/>
      </w:pPr>
    </w:p>
    <w:p w:rsidR="001D6FAE" w:rsidRDefault="001D6FAE" w:rsidP="001D6FAE">
      <w:pPr>
        <w:pStyle w:val="TextoNormal"/>
      </w:pPr>
      <w:r>
        <w:t>Como ha sostenido este Tribunal en reiteradas ocasiones, los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y 189/2009, de 23 de junio, FJ 2, entre otras muchas resoluciones).</w:t>
      </w:r>
    </w:p>
    <w:p w:rsidR="001D6FAE" w:rsidRDefault="001D6FAE" w:rsidP="001D6FAE">
      <w:pPr>
        <w:pStyle w:val="TextoNormal"/>
      </w:pPr>
    </w:p>
    <w:p w:rsidR="001D6FAE" w:rsidRDefault="001D6FAE" w:rsidP="001D6FAE">
      <w:pPr>
        <w:pStyle w:val="TextoNormal"/>
      </w:pPr>
      <w:r w:rsidRPr="001D6FAE">
        <w:rPr>
          <w:rStyle w:val="NumeroAFNegritaCaracter"/>
        </w:rPr>
        <w:t>3</w:t>
      </w:r>
      <w:r>
        <w:t>. En el presente caso, la cuestión de inconstitucionalidad planteada no reúne las condiciones procesales para que pueda ser admitida a trámite. De acuerdo con lo dispuesto en el art. 35.1 LOTC, la norma legal cuya constitucionalidad se cuestiona debe ser aplicable al caso, y conforme al art. 35.2 LOTC el órgano judicial debe especificar en qué medida la decisión del proceso depende de la validez de la norma en cuestión.</w:t>
      </w:r>
    </w:p>
    <w:p w:rsidR="001D6FAE" w:rsidRDefault="001D6FAE" w:rsidP="001D6FAE">
      <w:pPr>
        <w:pStyle w:val="TextoNormal"/>
      </w:pPr>
    </w:p>
    <w:p w:rsidR="001D6FAE" w:rsidRDefault="001D6FAE" w:rsidP="001D6FAE">
      <w:pPr>
        <w:pStyle w:val="TextoNormal"/>
      </w:pPr>
      <w:r>
        <w:t>Como ha afirmado, entre otras muchas la STC 43/2015, de 2 de marzo, FJ 3 “[e]s doctrina constitucional reiterada sobre este presupuesto de la cuestión de inconstitucionalidad que corresponde al órgano judicial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w:t>
      </w:r>
    </w:p>
    <w:p w:rsidR="001D6FAE" w:rsidRDefault="001D6FAE" w:rsidP="001D6FAE">
      <w:pPr>
        <w:pStyle w:val="TextoNormal"/>
      </w:pPr>
    </w:p>
    <w:p w:rsidR="001D6FAE" w:rsidRDefault="001D6FAE" w:rsidP="001D6FAE">
      <w:pPr>
        <w:pStyle w:val="TextoNormal"/>
      </w:pPr>
      <w:r>
        <w:t>Tal y como se ha expuesto en los antecedentes, la Sala considera que el precepto cuestionado resulta aplicable al caso porque ha sido el precepto cuya aplicación ha determinado que el Servicio público de empleo estatal acordase la extinción del subsidio de desempleo del actor, y en los que se ha basado el Juzgado de lo Social núm. 4 de Valladolid para confirmar la parte de la resolución administrativa que acuerda la extinción de la referida prestación. Por todo ello considera que la decisión del recurso de suplicación depende de la constitucionalidad del referido precepto legal, puesto que es el que la Sala tiene que aplicar para la resolución del recurso.</w:t>
      </w:r>
    </w:p>
    <w:p w:rsidR="001D6FAE" w:rsidRDefault="001D6FAE" w:rsidP="001D6FAE">
      <w:pPr>
        <w:pStyle w:val="TextoNormal"/>
      </w:pPr>
    </w:p>
    <w:p w:rsidR="001D6FAE" w:rsidRDefault="001D6FAE" w:rsidP="001D6FAE">
      <w:pPr>
        <w:pStyle w:val="TextoNormal"/>
      </w:pPr>
      <w:r>
        <w:t xml:space="preserve">Ahora bien, como también se indica en los antecedentes, el actor en el proceso </w:t>
      </w:r>
      <w:r w:rsidRPr="001D6FAE">
        <w:rPr>
          <w:i/>
        </w:rPr>
        <w:t>a quo</w:t>
      </w:r>
      <w:r>
        <w:t>, en su escrito de alegaciones formulado en el trámite otorgado por la Sala al amparo del art. 35.2 LOTC para que alegara lo que estimare procedente sobre la pertinencia de plantear cuestión de inconstitucionalidad, puso de manifiesto que el precepto cuestionado podría no ser aplicable al caso porque la Sentencia del Pleno de la Sala de lo Social del Tribunal Supremo núm. 65/2016, de 3 de febrero, recaída en el recurso de casación núm. 2576-2014, ha establecido, en un caso idéntico, que el rescate de un plan de pensiones no tiene a estos efectos la consideración de renta, pues esta consideración solo la tienen las plusvalías o beneficios que haya podido generar el plan de pensiones. El actor alega también que el plan de pensiones que rescató no generó beneficios, plusvalías ni rentas, por lo que la aplicación de la doctrina establecida en la Sentencia del Tribunal Supremo invocada determinaría que su conducta no pudiera subsumirse en el supuesto de hecho previsto en el art. 25.3 del Real Decreto Legislativo 5/2000, lo que conllevaría que la norma cuestionada no fuera aplicable al caso.</w:t>
      </w:r>
    </w:p>
    <w:p w:rsidR="001D6FAE" w:rsidRDefault="001D6FAE" w:rsidP="001D6FAE">
      <w:pPr>
        <w:pStyle w:val="TextoNormal"/>
      </w:pPr>
    </w:p>
    <w:p w:rsidR="001D6FAE" w:rsidRDefault="001D6FAE" w:rsidP="001D6FAE">
      <w:pPr>
        <w:pStyle w:val="TextoNormal"/>
      </w:pPr>
      <w:r>
        <w:t>En relación con esta cuestión la Sala, en el Auto de planteamiento, sostiene que el rescate de un plan de pensiones tiene la consideración de renta a los efectos del art. 215.3.2 de la Ley general de la Seguridad Social (LGSS) al haberlo aceptado así todas las partes procesales. Por ello entiende que la conducta realizada por el actor resulta subsumible en la infracción tipificada el art. 25.3 del Real Decreto Legislativo 5/2000, lo que determina, según la Sala, que resulte aplicable la sanción que establece el art. 47.1 b) del Real Decreto Legislativo 5/2000.</w:t>
      </w:r>
    </w:p>
    <w:p w:rsidR="001D6FAE" w:rsidRDefault="001D6FAE" w:rsidP="001D6FAE">
      <w:pPr>
        <w:pStyle w:val="TextoNormal"/>
      </w:pPr>
    </w:p>
    <w:p w:rsidR="001D6FAE" w:rsidRDefault="001D6FAE" w:rsidP="001D6FAE">
      <w:pPr>
        <w:pStyle w:val="TextoNormal"/>
      </w:pPr>
      <w:r>
        <w:t>Tales consideraciones no permiten entender debidamente efectuado el juicio de aplicabilidad y relevancia al haber incurrido la Sala en un error notorio al considerar que no existía controversia entre las partes sobre el carácter de renta de los ingresos percibidos al rescatar el plan de pensiones. El hecho de que en el recurso de suplicación el actor no discutiera que el rescate de un plan de pensiones tuviera naturaleza de renta a los efectos de considerar subsumida su conducta en el art. 25.3 del Real Decreto Legislativo 5/2000 no puede conllevar, en este caso, que no pudiera plantear esta cuestión en el trámite de alegaciones otorgado al amparo del art. 35.2 LOTC. Ha de tenerse en cuenta, que cuando formuló el escrito de interposición del recurso de suplicación, la doctrina jurisprudencial que invocó en su escrito de alegaciones no existía, pues esa doctrina se estableció en la STS 65/2016, de 3 de febrero, y el recurrente presento el escrito de interposición del recurso de suplicación el día 8 de febrero, por lo que es muy probable que en el momento en que formuló el referido escrito no conociera la existencia de la referida doctrina. Es más, es posible que, en ese momento, ni siquiera pudiera conocerla pues no cabe descartar que todavía no estuviera publicada la Sentencia que la establece. En todo caso, el deber de diligencia exigible al Abogado no puede llegar hasta el extremo de considerar que si no invoca en el escrito de interposición una doctrina que se ha establecido cinco días antes de interponer el recurso es porque no la considera aplicable al caso.</w:t>
      </w:r>
    </w:p>
    <w:p w:rsidR="001D6FAE" w:rsidRDefault="001D6FAE" w:rsidP="001D6FAE">
      <w:pPr>
        <w:pStyle w:val="TextoNormal"/>
      </w:pPr>
    </w:p>
    <w:p w:rsidR="001D6FAE" w:rsidRDefault="001D6FAE" w:rsidP="001D6FAE">
      <w:pPr>
        <w:pStyle w:val="TextoNormal"/>
      </w:pPr>
      <w:r>
        <w:t>Por todo ello, la Sala, para efectuar debidamente el juicio de aplicabilidad, hubiera debido tomar en consideración la nueva doctrina del Tribunal Supremo. Esta doctrina, recaída en un recurso casación para la unificación de doctrina, conlleva un cambio jurisprudencial, que puede determinar que la conducta realizada por el actor no sea constitutiva de la infracción administrativa por la que ha sido sancionado, por lo que este cambio jurisprudencial puede conllevar que la norma cuestionada no sea aplicable al caso.</w:t>
      </w:r>
    </w:p>
    <w:p w:rsidR="001D6FAE" w:rsidRDefault="001D6FAE" w:rsidP="001D6FAE">
      <w:pPr>
        <w:pStyle w:val="TextoNormal"/>
      </w:pPr>
    </w:p>
    <w:p w:rsidR="001D6FAE" w:rsidRDefault="001D6FAE" w:rsidP="001D6FAE">
      <w:pPr>
        <w:pStyle w:val="TextoNormal"/>
      </w:pPr>
      <w:r>
        <w:t>En consecuencia, la Sala, al entender que no existía controversia entre las partes sobre si los ingresos percibidos tienen la consideración de renta, ha incurrido en un error, porque esa controversia, sí existió —como se pone de manifiesto en las alegaciones formuladas por el actor en el trámite de alegaciones formulado al amparo del art. 35.2 LOTC— y surge cuando podía producirse (o al menos era exigible que se produjera), que es cuando el Tribunal Supremo cambia su doctrina y considera que el rescate de un plan de pensiones no tiene la consideración de renta a efectos de considerar que la percepción de tales ingresos puede ser incompatible con la percepción de un subsidio de desempleo. Este error es un error notorio, pues puede ser apreciado en virtud de un control externo “sin necesidad de entrar a examinar el fondo debatido” (entre otras, STC 114/2010, de 24 de noviembre, FJ 3) y ha determinado que la argumentación judicial en relación con el juicio de aplicabilidad y relevancia carezca de consistencia [SSTC 60/2013, de 13 de marzo, FJ 1 b), 43/2015, de 2 de marzo, entre otras muchas], lo que impide que pueda considerarse debidamente cumplida esta exigencia procesal.</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quince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1" w:name="AUTO_2016_187"/>
      <w:r>
        <w:t>AUTO 187/2016, de 15 de noviembre de 2016</w:t>
      </w:r>
    </w:p>
    <w:bookmarkEnd w:id="161"/>
    <w:p w:rsidR="001D6FAE" w:rsidRDefault="001D6FAE" w:rsidP="001D6FAE">
      <w:pPr>
        <w:pStyle w:val="TtuloResolucin"/>
      </w:pPr>
      <w:r>
        <w:t>Pleno</w:t>
      </w:r>
    </w:p>
    <w:p w:rsidR="001D6FAE" w:rsidRDefault="001D6FAE" w:rsidP="001D6FAE">
      <w:pPr>
        <w:pStyle w:val="TtuloBOE"/>
      </w:pPr>
      <w:r>
        <w:t>(BOE núm. 311, de 26 de diciembre de 2016)</w:t>
      </w:r>
    </w:p>
    <w:p w:rsidR="001D6FAE" w:rsidRDefault="001D6FAE" w:rsidP="001D6FAE">
      <w:pPr>
        <w:pStyle w:val="TextoNormalCentrado"/>
      </w:pPr>
      <w:r>
        <w:t>ECLI:ES:TC:2016:187A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don Andrés Ollero Tassara, don Fernando Valdés Dal-Ré, don Juan José González Rivas, don Santiago Martínez-Vares García, don Juan Antonio Xiol Ríos, don Pedro José González-Trevijano Sánchez y don Ricardo Enríquez Sancho.</w:t>
      </w:r>
    </w:p>
    <w:p w:rsidR="001D6FAE" w:rsidRDefault="001D6FAE" w:rsidP="001D6FAE">
      <w:pPr>
        <w:pStyle w:val="SntesisDescriptiva"/>
      </w:pPr>
    </w:p>
    <w:p w:rsidR="001D6FAE" w:rsidRDefault="001D6FAE" w:rsidP="001D6FAE">
      <w:pPr>
        <w:pStyle w:val="SntesisDescriptiva"/>
      </w:pPr>
      <w:r>
        <w:t>Inadmite a trámite la cuestión de inconstitucionalidad 4766-2016, planteada por el Juzgado de lo Social núm. 3 de Barcelona en relación con el artículo 47.1 b) del Real Decreto Legislativo 5/2000, de 4 de agosto, por el que se aprueba el texto refundido de la Ley sobre infracciones y sanciones en el orden social.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8 de septiembre de 2016 tuvo entrada en el Registro General de este Tribunal un oficio del Juzgado de lo Social núm. 3 de Barcelona, al que se acompaña, junto al testimonio del correspondiente procedimiento (Seguridad Social en materia prestacional núm. 652-2015), el Auto de 25 de julio de 2016, por el que se acuerda plantear cuestión de inconstitucionalidad en relación con el art. 47.1 b) del Real Decreto Legislativo 5/2000, de 4 de agosto, por el que se aprueba el texto refundido de la Ley sobre infracciones y sanciones en el orden social, al considerar que podría ser contrario a los arts. 14, 24.1 y 25.1 CE.</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pueden ser relevantes en este proceso constitucional son los siguientes:</w:t>
      </w:r>
    </w:p>
    <w:p w:rsidR="001D6FAE" w:rsidRDefault="001D6FAE" w:rsidP="001D6FAE">
      <w:pPr>
        <w:pStyle w:val="TextoNormal"/>
      </w:pPr>
    </w:p>
    <w:p w:rsidR="001D6FAE" w:rsidRDefault="001D6FAE" w:rsidP="001D6FAE">
      <w:pPr>
        <w:pStyle w:val="TextoNormal"/>
      </w:pPr>
      <w:r>
        <w:t>a) La Sra. D. B. C. tenía reconocido subsidio por desempleo para mayores de 52 años por resolución de fecha 22 de junio de 2010 por un periodo comprendido entre el 11 de mayo de 2010 y el 10 de octubre de 2016. El servicio público de empleo estatal emitió el 20 de mayo de 2015 una comunicación sobre propuesta de extinción de prestación y percepción indebida de la misma, en la que consta: “rentas propias superiores al 75 por 100 del salario mínimo interprofesional. El 13 de junio de 2013 obtiene una ganancia patrimonial por importe de 11.127,67 €, según la declaración de renta del ejercicio fiscal 2013, que divididos entre los 202 días que comprende el periodo 13/06/2013 a 31/12/2013 da un total de 55.08 € diarios, que se corresponde con un importe mensual de 1652,62, siendo el 75 por 100 del Salario Mínimo Interprofesional vigente en el año 2013 la cuantía de 483,98 €”. Concluye la entidad gestora que se ha producido un cobro indebido de 9.627,60 € correspondiente al periodo comprendido entre el 13 de junio de 2013 (momento del ingreso) y el 30 de abril de 2015 (última mensualidad de subsidio cobrada), acordando la suspensión cautelar de la prestación.</w:t>
      </w:r>
    </w:p>
    <w:p w:rsidR="001D6FAE" w:rsidRDefault="001D6FAE" w:rsidP="001D6FAE">
      <w:pPr>
        <w:pStyle w:val="TextoNormal"/>
      </w:pPr>
    </w:p>
    <w:p w:rsidR="001D6FAE" w:rsidRDefault="001D6FAE" w:rsidP="001D6FAE">
      <w:pPr>
        <w:pStyle w:val="TextoNormal"/>
      </w:pPr>
      <w:r>
        <w:t>b) La Sra. D. B. C, después de ver desestimada su reclamación previa a la vía judicial, interpone recurso en vía jurisdiccional. Argumenta que, al tratarse de una ganancia obtenida de una sola vez, lo único que cabe es ordenar el reintegro de esa mensualidad, así como la suspensión del subsidio durante ese mes, sin que proceda acordar la extinción del mismo.</w:t>
      </w:r>
    </w:p>
    <w:p w:rsidR="001D6FAE" w:rsidRDefault="001D6FAE" w:rsidP="001D6FAE">
      <w:pPr>
        <w:pStyle w:val="TextoNormal"/>
      </w:pPr>
    </w:p>
    <w:p w:rsidR="001D6FAE" w:rsidRDefault="001D6FAE" w:rsidP="001D6FAE">
      <w:pPr>
        <w:pStyle w:val="TextoNormal"/>
      </w:pPr>
      <w:r>
        <w:t>c) Por providencia de 26 de mayo de 2016 se acordó oír a las partes personadas y al Ministerio Fiscal para que alegaran lo que estimasen conveniente sobre la pertinencia de plantear cuestión de inconstitucionalidad “en base a los argumentos del voto particular de la sentencia de la Sala de lo Social del Tribunal Supremo de 19.02.16, recurso de casación para unificación de doctrina, núm. 3035, en base a la posible infracción del principio de proporcionalidad de las sanciones de Derecho Público (art. 25.1 CE) y del de no discriminación (art.14 CE) por la aplicación de la sanción de pérdida del subsidio de desempleo en una situación como la enjuiciada en este procedimiento (arts. 25.3 y 47.1.b del Real Decreto Legislativo 5/2000)”.</w:t>
      </w:r>
    </w:p>
    <w:p w:rsidR="001D6FAE" w:rsidRDefault="001D6FAE" w:rsidP="001D6FAE">
      <w:pPr>
        <w:pStyle w:val="TextoNormal"/>
      </w:pPr>
    </w:p>
    <w:p w:rsidR="001D6FAE" w:rsidRDefault="001D6FAE" w:rsidP="001D6FAE">
      <w:pPr>
        <w:pStyle w:val="TextoNormal"/>
      </w:pPr>
      <w:r>
        <w:t>d) Solo evacuó este trámite la representación de la demandante, que expone su conformidad con las consideraciones del Voto particular a que alude la providencia y, por ello, con que se eleve la cuestión de inconstitucionalidad en los términos que dicha providencia señala.</w:t>
      </w:r>
    </w:p>
    <w:p w:rsidR="001D6FAE" w:rsidRDefault="001D6FAE" w:rsidP="001D6FAE">
      <w:pPr>
        <w:pStyle w:val="TextoNormal"/>
      </w:pPr>
    </w:p>
    <w:p w:rsidR="001D6FAE" w:rsidRDefault="001D6FAE" w:rsidP="001D6FAE">
      <w:pPr>
        <w:pStyle w:val="TextoNormal"/>
      </w:pPr>
      <w:r>
        <w:t>e) Por Auto de 25 de julio de 2016, el Juzgado de lo Social núm. 3 de Barcelona acordó plantear cuestión de inconstitucionalidad en relación con el art. 47.1 b) del Real Decreto Legislativo 5/2000, al tenerlos, según señala en el suplico, por contrarios a los arts. 14, 24.1 CE. En la parte expositiva, sin embargo, expuso con detalle que, a su juicio, en la línea del Voto particular aludido en la providencia de audiencia, el precepto cuestionado “puede colisionar con el principio de proporcionalidad de las sanciones administrativas (dentro del principio de legalidad administrativa, art. 25.1 CE)”.</w:t>
      </w:r>
    </w:p>
    <w:p w:rsidR="001D6FAE" w:rsidRDefault="001D6FAE" w:rsidP="001D6FAE">
      <w:pPr>
        <w:pStyle w:val="TextoNormal"/>
      </w:pPr>
    </w:p>
    <w:p w:rsidR="001D6FAE" w:rsidRDefault="001D6FAE" w:rsidP="001D6FAE">
      <w:pPr>
        <w:pStyle w:val="TextoNormal"/>
      </w:pPr>
      <w:r w:rsidRPr="001D6FAE">
        <w:rPr>
          <w:rStyle w:val="NumeroAFNegritaCaracter"/>
        </w:rPr>
        <w:t>3</w:t>
      </w:r>
      <w:r>
        <w:t>. Dicho Auto, después de reseñar los antecedentes de hecho en los términos resumidos en el apartado anterior, se refiere a los requisitos procesales y de fondo. Respecto a los primeros expone que el art. 47.1 b) del Real Decreto Legislativo 5/2000 es norma de rango legal y que su relevancia “está fuera de toda duda, ya que se prevé para una falta tipificada como grave —no como muy grave— la aplicación de la máxima sanción prevista en la normativa que regula el régimen sancionador en materia de prestaciones por desempleo, cual es la extinción de la prestación o subsidio, por lo que la resolución de este proceso depende de la validez de la norma en cuestión”.</w:t>
      </w:r>
    </w:p>
    <w:p w:rsidR="001D6FAE" w:rsidRDefault="001D6FAE" w:rsidP="001D6FAE">
      <w:pPr>
        <w:pStyle w:val="TextoNormal"/>
      </w:pPr>
    </w:p>
    <w:p w:rsidR="001D6FAE" w:rsidRDefault="001D6FAE" w:rsidP="001D6FAE">
      <w:pPr>
        <w:pStyle w:val="TextoNormal"/>
      </w:pPr>
      <w:r>
        <w:t>Respecto la duda de constitucionalidad acerca del art. 47.1 b) del Real Decreto Legislativo 5/2000, afirma que (a) “puede colisionar con el principio de proporcionalidad de las sanciones administrativas (dentro del principio de legalidad administrativa, art. 25.1 CE)”; (b) que “el principio de igualdad y no discriminación consagrado en el art. 14 CE se encuentra comprometido al prever la máxima sanción prevista en la normativa que regula el régimen sancionador en materia de prestaciones de Seguridad Social para una falta calificada como grave, mientras para otras conductas calificadas también como graves se prevén sanciones de menor entidad”; y (c) que “con la formulación legal de la sanción se viene a sustraer a los jueces y tribunales la posibilidad de revisar la actuación de la Administración (art. 24.1 CE)”.</w:t>
      </w:r>
    </w:p>
    <w:p w:rsidR="001D6FAE" w:rsidRDefault="001D6FAE" w:rsidP="001D6FAE">
      <w:pPr>
        <w:pStyle w:val="TextoNormal"/>
      </w:pPr>
    </w:p>
    <w:p w:rsidR="001D6FAE" w:rsidRDefault="001D6FAE" w:rsidP="001D6FAE">
      <w:pPr>
        <w:pStyle w:val="TextoNormal"/>
      </w:pPr>
      <w:r>
        <w:t>A continuación desarrolla estas alegaciones. Expone, respecto a la desproporción en que, a su juicio, incurre el art. 47.1 b) del Real Decreto Legislativo 5/2000, que “la falta de proporción está en la sanción que se aplica a este supuesto, el cual se produce cuando no ha habido comunicación a la entidad gestora de la percepción de una cantidad determinada derivada de la venta de un inmueble, sin tener cuenta si ello ha servido para comprar otra vivienda o cualquier otra circunstancia, incluso debido a un simple descuido sin absolutamente ninguna intencionalidad de ocultación, dado que ha sido declarado a la Agencia Tributaria, se aplica la máxima sanción prevista en el ordenamiento para sancionar conductas dolosas”. Luego argumenta conjuntamente sobre la lesión de los arts. 25.1 y 14 CE señalando que “el término de comparación, y de desproporción, lo encontramos en otras conductas que igualmente se han calificado por el legislador como graves, como son las descritas en el art. 25.1 Real Decreto Legislativo 5/2000, a las cuales se aplican sanciones de suspensión del subsidio de 3 meses, o las descritas en el art. 25.4 Real Decreto Legislativo 5/2000, que se sancionan con suspensión del subsidio de 1 a 3 meses, mientras que se prevé la misma sanción de que conductas calificadas como infracciones muy graves, tal como actuar fraudulentamente para obtener prestaciones en connivencia con el empresario (art. 26.1 del Real Decreto Legislativo 5/2000). Nótese que en el caso de las infracciones muy graves hay un elemento intencional que no necesariamente existe en el supuesto que nos encontramos ahora, ya que la imputación de la conducta es objetiva y sin elemento de culpabilidad apreciable”. Tornando de nuevo a la desproporción contraria al art. 25.1 CE, apunta a que “las consecuencias que la imposición de esta sanción puede producir exceden de la corrección que merecería una conducta definida como grave, ya que los efectos de la sanción no se limitan a la existencia del propio subsidio, sino que van más allá, dado que esa extinción va ligada a la pérdida de posibilidades de acceso a la jubilación”. En fin, respecto de esta misma vulneración, afirma que comparte los razonamientos del Voto particular de la Sentencia de la Sala de lo Social del Tribunal Supremo de 19 de febrero de 2016, recurso de casación para unificación de doctrina núm. 3035, que transcribe:</w:t>
      </w:r>
    </w:p>
    <w:p w:rsidR="001D6FAE" w:rsidRDefault="001D6FAE" w:rsidP="001D6FAE">
      <w:pPr>
        <w:pStyle w:val="TextoNormal"/>
      </w:pPr>
    </w:p>
    <w:p w:rsidR="001D6FAE" w:rsidRDefault="001D6FAE" w:rsidP="001D6FAE">
      <w:pPr>
        <w:pStyle w:val="TextoNormal"/>
      </w:pPr>
      <w:r>
        <w:t>“Ausencia de proporcionalidad intrínseca.</w:t>
      </w:r>
    </w:p>
    <w:p w:rsidR="001D6FAE" w:rsidRDefault="001D6FAE" w:rsidP="001D6FAE">
      <w:pPr>
        <w:pStyle w:val="TextoNormal"/>
      </w:pPr>
    </w:p>
    <w:p w:rsidR="001D6FAE" w:rsidRDefault="001D6FAE" w:rsidP="001D6FAE">
      <w:pPr>
        <w:pStyle w:val="TextoNormal"/>
      </w:pPr>
      <w:r>
        <w:t>Al hilo de las medidas represivas contenidas en el Código Penal, la STC 136/1999, de 20 de julio, explicó que el sacrificio innecesario o excesivo de los derechos puede producirse bien por resultar innecesaria una reacción de tipo penal o bien por ser excesiva la cuantía o extensión de la pena en relación con la entidad del delito (desproporción en sentido estricto). Veamos si en nuestro caso puede existir esa anomalía constitucional.</w:t>
      </w:r>
    </w:p>
    <w:p w:rsidR="001D6FAE" w:rsidRDefault="001D6FAE" w:rsidP="001D6FAE">
      <w:pPr>
        <w:pStyle w:val="TextoNormal"/>
      </w:pPr>
    </w:p>
    <w:p w:rsidR="001D6FAE" w:rsidRDefault="001D6FAE" w:rsidP="001D6FAE">
      <w:pPr>
        <w:pStyle w:val="TextoNormal"/>
      </w:pPr>
      <w:r>
        <w:t>La duración máxima del subsidio alcanza desde los 55 años [art. 215.3 LGSS; 274.3 TR/2015] ‘hasta que el trabajador alcance la edad que le permita acceder a la pensión contributiva de jubilación’ [art. 216.3 LGSS; art. 277 TR/2015]. Por tanto, la circunstancia de que toda ocultación de ingresos en los expuestos términos legales comporte automáticamente la extinción del derecho al subsidio, consecuencia establecida sin excepción ni baremación alguna, entendemos que contraría el principio de proporcionalidad más arriba expuesto.</w:t>
      </w:r>
    </w:p>
    <w:p w:rsidR="001D6FAE" w:rsidRDefault="001D6FAE" w:rsidP="001D6FAE">
      <w:pPr>
        <w:pStyle w:val="TextoNormal"/>
      </w:pPr>
    </w:p>
    <w:p w:rsidR="001D6FAE" w:rsidRDefault="001D6FAE" w:rsidP="001D6FAE">
      <w:pPr>
        <w:pStyle w:val="TextoNormal"/>
      </w:pPr>
      <w:r>
        <w:t>Lo anterior no implica desconocer la necesidad de combatir con la mayor contundencia los supuestos de percepción fraudulenta. Pero la atribución de aquellas drásticas consecuencias [pérdida automática del subsidio por hasta casi diez años y la del consiguiente posible acceso a la pensión de jubilación contributiva], de forma automática por la no declaración —dolosa o culposa— de ingresos a partir de tan sólo 474,98 euros, consideramos que socava la virtualidad del principio de proporcionalidad de las infracciones y sanciones, máxima teniendo en cuenta lo siguiente:</w:t>
      </w:r>
    </w:p>
    <w:p w:rsidR="001D6FAE" w:rsidRDefault="001D6FAE" w:rsidP="001D6FAE">
      <w:pPr>
        <w:pStyle w:val="TextoNormal"/>
      </w:pPr>
    </w:p>
    <w:p w:rsidR="001D6FAE" w:rsidRDefault="001D6FAE" w:rsidP="001D6FAE">
      <w:pPr>
        <w:pStyle w:val="TextoNormal"/>
      </w:pPr>
      <w:r>
        <w:t>La consecuencia se establece sin distinción entre lo que propiamente es ‘renta’ en sentido civil [incrementos reales del patrimonio, por rendimiento del trabajo, ganancias patrimoniales...] y lo que lo es en sentido tributario [rentas nominales, por compensar escasamente la devaluación monetaria, tales como intereses del capital mobiliario, plusvalías...].</w:t>
      </w:r>
    </w:p>
    <w:p w:rsidR="001D6FAE" w:rsidRDefault="001D6FAE" w:rsidP="001D6FAE">
      <w:pPr>
        <w:pStyle w:val="TextoNormal"/>
      </w:pPr>
    </w:p>
    <w:p w:rsidR="001D6FAE" w:rsidRDefault="001D6FAE" w:rsidP="001D6FAE">
      <w:pPr>
        <w:pStyle w:val="TextoNormal"/>
      </w:pPr>
      <w:r>
        <w:t>Tampoco se atienda al importe de la cantidad no declarada —escasa o cuantiosa— baremando su posible consecuencia.</w:t>
      </w:r>
    </w:p>
    <w:p w:rsidR="001D6FAE" w:rsidRDefault="001D6FAE" w:rsidP="001D6FAE">
      <w:pPr>
        <w:pStyle w:val="TextoNormal"/>
      </w:pPr>
    </w:p>
    <w:p w:rsidR="001D6FAE" w:rsidRDefault="001D6FAE" w:rsidP="001D6FAE">
      <w:pPr>
        <w:pStyle w:val="TextoNormal"/>
      </w:pPr>
      <w:r>
        <w:t>En todo se impone la sanción por incumplimientos atribuibles a ‘simple inobservancia’ [art. 130.1 LPC].</w:t>
      </w:r>
    </w:p>
    <w:p w:rsidR="001D6FAE" w:rsidRDefault="001D6FAE" w:rsidP="001D6FAE">
      <w:pPr>
        <w:pStyle w:val="TextoNormal"/>
      </w:pPr>
    </w:p>
    <w:p w:rsidR="001D6FAE" w:rsidRDefault="001D6FAE" w:rsidP="001D6FAE">
      <w:pPr>
        <w:pStyle w:val="TextoNormal"/>
      </w:pPr>
      <w:r>
        <w:t>Todo ello, si bien presenta la genérica adecuación medios/fin [idoneidad y necesidad] propia de la exigible proporcionalidad, a nuestro entender incurre —cuando menos en determinados supuestos— en ausencia del tercer factor exigible, el de proporcionalidad estricta, alcanzando un indeseable exceso, precisamente porque la norma no consiente individualización alguna y porque puede llevar a que en algunos casos la gravedad de la sanción genéricamente impuesta no se corresponda con la posible entidad menor de la infracción o el grado de culpabilidad.</w:t>
      </w:r>
    </w:p>
    <w:p w:rsidR="001D6FAE" w:rsidRDefault="001D6FAE" w:rsidP="001D6FAE">
      <w:pPr>
        <w:pStyle w:val="TextoNormal"/>
      </w:pPr>
    </w:p>
    <w:p w:rsidR="001D6FAE" w:rsidRDefault="001D6FAE" w:rsidP="001D6FAE">
      <w:pPr>
        <w:pStyle w:val="TextoNormal"/>
      </w:pPr>
      <w:r>
        <w:t>Piénsese, por ejemplo, en intereses o rendimientos por un determinado capital, que ni tan siquiera llega a compensar la pérdida de valor que el transcurso del tiempo pudo haber supuesto para el correspondiente depósito dinerario; realmente no hay incremento patrimonial alguno, y sin embargo su falta de declaración se sanciona —conforme al Real Decreto Legislativo 5/2000— con igual rigor que para el supuesto de que se hubiesen obtenido cuantiosas ganancias patrimoniales o rentas en otro empleo.</w:t>
      </w:r>
    </w:p>
    <w:p w:rsidR="001D6FAE" w:rsidRDefault="001D6FAE" w:rsidP="001D6FAE">
      <w:pPr>
        <w:pStyle w:val="TextoNormal"/>
      </w:pPr>
    </w:p>
    <w:p w:rsidR="001D6FAE" w:rsidRDefault="001D6FAE" w:rsidP="001D6FAE">
      <w:pPr>
        <w:pStyle w:val="TextoNormal"/>
      </w:pPr>
      <w:r>
        <w:t>Ausencia de proporcionalidad relativa</w:t>
      </w:r>
    </w:p>
    <w:p w:rsidR="001D6FAE" w:rsidRDefault="001D6FAE" w:rsidP="001D6FAE">
      <w:pPr>
        <w:pStyle w:val="TextoNormal"/>
      </w:pPr>
    </w:p>
    <w:p w:rsidR="001D6FAE" w:rsidRDefault="001D6FAE" w:rsidP="001D6FAE">
      <w:pPr>
        <w:pStyle w:val="TextoNormal"/>
      </w:pPr>
      <w:r>
        <w:t>a) La quiebra del principio de proporcionalidad adquiere su vertiente más reconocible cuando una conducta recibe castigo del todo dispar (por elevado) respecto de conductas análogas. Veamos también si eso sucede en nuestro caso respecto de la regulación albergada en la Real Decreto Legislativo 5/2000, según la redacción vigente en la fecha de los hechos litigiosos.</w:t>
      </w:r>
    </w:p>
    <w:p w:rsidR="001D6FAE" w:rsidRDefault="001D6FAE" w:rsidP="001D6FAE">
      <w:pPr>
        <w:pStyle w:val="TextoNormal"/>
      </w:pPr>
    </w:p>
    <w:p w:rsidR="001D6FAE" w:rsidRDefault="001D6FAE" w:rsidP="001D6FAE">
      <w:pPr>
        <w:pStyle w:val="TextoNormal"/>
      </w:pPr>
      <w:r>
        <w:t>La conducta descrita en el artículo 25.3 Real Decreto Legislativo 5/2000 (‘no comunicar, salvo causa justificada, las bajas en las prestaciones en el momento en que se produzcan situaciones determinantes de suspensión o extinción del derecho, o cuando se dejen de reunir los requisitos para el derecho a su percepción cuando por cualquiera de dichas causas se haya percibido indebidamente la prestación’) comporta la imposición de extinción de la prestación (art. 47.1 b del Real Decreto Legislativo 5/2000).</w:t>
      </w:r>
    </w:p>
    <w:p w:rsidR="001D6FAE" w:rsidRDefault="001D6FAE" w:rsidP="001D6FAE">
      <w:pPr>
        <w:pStyle w:val="TextoNormal"/>
      </w:pPr>
    </w:p>
    <w:p w:rsidR="001D6FAE" w:rsidRDefault="001D6FAE" w:rsidP="001D6FAE">
      <w:pPr>
        <w:pStyle w:val="TextoNormal"/>
      </w:pPr>
      <w:r>
        <w:t>b) De entrada, la consecuencia se parifica con la atribuida a las infracciones graves que cometan los beneficiarios de la prestación contributiva por desempleo. Sn embargo, bien pensado, aparece aquí un primer elemento de disparidad en las consecuencias y de vulneración de la proporcionalidad: mientras que el subsidio por desempleo para mayores de 52 años (art. 215.2 LGSS) puede extenderse hasta el cumplimiento de la edad ordinaria de jubilación (art. 216.3 LGSS).</w:t>
      </w:r>
    </w:p>
    <w:p w:rsidR="001D6FAE" w:rsidRDefault="001D6FAE" w:rsidP="001D6FAE">
      <w:pPr>
        <w:pStyle w:val="TextoNormal"/>
      </w:pPr>
    </w:p>
    <w:p w:rsidR="001D6FAE" w:rsidRDefault="001D6FAE" w:rsidP="001D6FAE">
      <w:pPr>
        <w:pStyle w:val="TextoNormal"/>
      </w:pPr>
      <w:r>
        <w:t>Dicho abiertamente: el derecho cuya pérdida se prescribe solo puede extenderse dos años en un caso y hasta trece en el otro. El séxtuplo de consecuencias desfavorables para una conducta calificada con la misma gravedad, y en la misma situación de necesidad (desempleo), parece difícilmente compatible con las exigencias de la proporcionalidad relativa incluso teniendo en cuenta que en un caso se trata de prestaciones contributivas y en el otro la naturaleza es mixta.</w:t>
      </w:r>
    </w:p>
    <w:p w:rsidR="001D6FAE" w:rsidRDefault="001D6FAE" w:rsidP="001D6FAE">
      <w:pPr>
        <w:pStyle w:val="TextoNormal"/>
      </w:pPr>
    </w:p>
    <w:p w:rsidR="001D6FAE" w:rsidRDefault="001D6FAE" w:rsidP="001D6FAE">
      <w:pPr>
        <w:pStyle w:val="TextoNormal"/>
      </w:pPr>
      <w:r>
        <w:t>c) Pero si ponemos la atención en las anomalías cometidas por quienes son beneficiarios de pensiones no contributivas la conclusión es similar. Se trata de comparación muy ilustrativa puesto que, al igual que en el subsidio, aquí también opera el presupuesto de carencia de ingresos; y la duración (puesto que hablamos de pensiones) ya no está limitada temporalmente.</w:t>
      </w:r>
    </w:p>
    <w:p w:rsidR="001D6FAE" w:rsidRDefault="001D6FAE" w:rsidP="001D6FAE">
      <w:pPr>
        <w:pStyle w:val="TextoNormal"/>
      </w:pPr>
    </w:p>
    <w:p w:rsidR="001D6FAE" w:rsidRDefault="001D6FAE" w:rsidP="001D6FAE">
      <w:pPr>
        <w:pStyle w:val="TextoNormal"/>
      </w:pPr>
      <w:r>
        <w:t>Pues bien, la disparidad de consecuencias sancionadoras en este supuesto no puede resultar más palmaria: frente a la pérdida del derecho a percibir el subsidio (que puede afectar hasta a 13 años de disfrute) lo que prescribe el artículo 47.1 b) del Real Decreto Legislativo 5/2000 es la ‘pérdida’ de la pensión durante un período de tres meses. La dispar consecuencia es tan obvia que no consideramos necesario extendernos acerca de la misma.</w:t>
      </w:r>
    </w:p>
    <w:p w:rsidR="001D6FAE" w:rsidRDefault="001D6FAE" w:rsidP="001D6FAE">
      <w:pPr>
        <w:pStyle w:val="TextoNormal"/>
      </w:pPr>
    </w:p>
    <w:p w:rsidR="001D6FAE" w:rsidRDefault="001D6FAE" w:rsidP="001D6FAE">
      <w:pPr>
        <w:pStyle w:val="TextoNormal"/>
      </w:pPr>
      <w:r>
        <w:t>d) Nótese asimismo que en el supuesto de infracciones muy graves (no meramente graves, como las contempladas en el artículo 25 del Real Decreto Legislativo 5/2000 y que procede aplicar en el presente caso) la consecuencia atribuida por el artículo 47.1 c) del Real Decreto Legislativo 5/2000 es la pérdida de la pensión durante un período de seis meses.</w:t>
      </w:r>
    </w:p>
    <w:p w:rsidR="001D6FAE" w:rsidRDefault="001D6FAE" w:rsidP="001D6FAE">
      <w:pPr>
        <w:pStyle w:val="TextoNormal"/>
      </w:pPr>
    </w:p>
    <w:p w:rsidR="001D6FAE" w:rsidRDefault="001D6FAE" w:rsidP="001D6FAE">
      <w:pPr>
        <w:pStyle w:val="TextoNormal"/>
      </w:pPr>
      <w:r>
        <w:t>En consecuencia: ni siquiera los comportamientos identificados como de mayor gravedad transgresora pueden abocar a una consecuencia tan severa cual la derivada de haber cometido una infracción menos grave en materia de subsidio por desempleo.</w:t>
      </w:r>
    </w:p>
    <w:p w:rsidR="001D6FAE" w:rsidRDefault="001D6FAE" w:rsidP="001D6FAE">
      <w:pPr>
        <w:pStyle w:val="TextoNormal"/>
      </w:pPr>
    </w:p>
    <w:p w:rsidR="001D6FAE" w:rsidRDefault="001D6FAE" w:rsidP="001D6FAE">
      <w:pPr>
        <w:pStyle w:val="TextoNormal"/>
      </w:pPr>
      <w:r>
        <w:t>e) En fin, sin ánimo ni necesidad de agotar esta vertiente de reflexión, nótese asimismo que la extinción del subsidio por desempleo puede ser una consecuencia comprensible cuando se ha incurrido en una infracción grave y la protección dispensada por el sistema de Seguridad Social duraba el tiempo previsto en el artículo 216.1 LGSS para el resto de casos: 18 meses (en general), 24 o 36 meses (mayores de 45 años en ciertos casos), 6 o 21 meses (en otros casos).</w:t>
      </w:r>
    </w:p>
    <w:p w:rsidR="001D6FAE" w:rsidRDefault="001D6FAE" w:rsidP="001D6FAE">
      <w:pPr>
        <w:pStyle w:val="TextoNormal"/>
      </w:pPr>
    </w:p>
    <w:p w:rsidR="001D6FAE" w:rsidRDefault="001D6FAE" w:rsidP="001D6FAE">
      <w:pPr>
        <w:pStyle w:val="TextoNormal"/>
      </w:pPr>
      <w:r>
        <w:t>Sin embargo, recordemos que aquí hablamos del subsidio que, pese a su denominación, en algunos casos se aproxima más (por el tiempo promedio de su duración) a una pensión que a una prestación temporalmente acotada a un máximo de 24 o 36 meses.”</w:t>
      </w:r>
    </w:p>
    <w:p w:rsidR="001D6FAE" w:rsidRDefault="001D6FAE" w:rsidP="001D6FAE">
      <w:pPr>
        <w:pStyle w:val="TextoNormal"/>
      </w:pPr>
    </w:p>
    <w:p w:rsidR="001D6FAE" w:rsidRDefault="001D6FAE" w:rsidP="001D6FAE">
      <w:pPr>
        <w:pStyle w:val="TextoNormal"/>
      </w:pPr>
      <w:r>
        <w:t>En fin, respecto a la lesión del art. 24.1 CE, afirma que el principio de proporcionalidad es “el mecanismo de control judicial del ejercicio de la potestad sancionadora por la Administración mediante el ejercicio de un juicio de ponderación” y que el art. 47.1 b) del Real Decreto Legislativo 5/2000, al imponer la sanción de extinción del subsidio sin admitir ponderación alguna, “afecta al principio de tutela efectiva por parte de jueces y tribunales de los derechos e intereses legítimos de los ciudadanos”.</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4 de octubre de 2016 la Sección Tercera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por si fuera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xml:space="preserve">. La Fiscal General del Estado presentó sus alegaciones el día 21 de octubre de 2016, interesando la inadmisión de la cuestión. Después de reseñar los antecedentes, transcribir los arts. 25 y 47 del Real Decreto Legislativo 5/2000 y los arts. 215.1.2 y 219.2 y 3 de la Ley general de la Seguridad Social (en la numeración relevante para la resolución del proceso </w:t>
      </w:r>
      <w:r w:rsidRPr="001D6FAE">
        <w:rPr>
          <w:i/>
        </w:rPr>
        <w:t>a quo</w:t>
      </w:r>
      <w:r>
        <w:t>), así como reproducir un largo extracto del Auto de planteamiento, procede a delimitar el objeto del proceso. Advierte, en primer lugar, acerca de una falta de coincidencia entre el contenido de la providencia y el Auto de planteamiento, consistente en que mientras en aquélla los preceptos constitucionales que podrían ser infringidos eran el principio de proporcionalidad de las sanciones (art. 25.1 CE) y “el de no discriminación (art. 14 CE)”, el Auto alude en su fallo a los arts. 14 y 24.1 CE, este último por sustraerse a los jueces y tribunales la posibilidad de revisar la actuación de la Administración. A partir aquí concluye que “parece claro que esta última infracción no figuraba en la providencia que abrió el trámite de audiencia sin que tampoco la argumentación de la misma permitiese conocer esta duda de constitucionalidad, por lo que la misma debe ser inadmitida”. Alerta, en segundo lugar, de una defectuosa realización del trámite de audiencia, al no identificarse siquiera mínimamente el término de comparación, lo cual resulta necesario tratándose de un principio relacional como el de igualdad. Ahora bien, lo que se arguye en el Auto de planteamiento no es que se produzca una vulneración del principio de igualdad, por no haberse dado un trato igual a supuestos de hecho iguales, sino que la norma cuestionada prevé una sanción para una determinada conducta que es superior y desproporcionada en comparación a las sanciones que están legalmente contempladas para otras conductas distintas, “por lo que esta tacha de discriminación debe ser reconducida a la denuncia de vulneración del principio de proporcionalidad de las sanciones (art. 25.1 CE) que debe considerarse omitido por error en la parte dispositiva del auto de planteamiento, dado que todo el razonamiento del magistrado promovente se hace descansar en esta vulneración”.</w:t>
      </w:r>
    </w:p>
    <w:p w:rsidR="001D6FAE" w:rsidRDefault="001D6FAE" w:rsidP="001D6FAE">
      <w:pPr>
        <w:pStyle w:val="TextoNormal"/>
      </w:pPr>
    </w:p>
    <w:p w:rsidR="001D6FAE" w:rsidRDefault="001D6FAE" w:rsidP="001D6FAE">
      <w:pPr>
        <w:pStyle w:val="TextoNormal"/>
      </w:pPr>
      <w:r>
        <w:t>Se adentra, a continuación, en el eventual carácter notoriamente infundado de la cuestión suscitada tal como la ha delimitado, esto es, si la sanción prevista en el art. 47.1 b) del Real Decreto Legislativo 5/2000 de pérdida del subsidio de desempleo, con las gravosas consecuencias que lleva aparejado, resulta desproporcionada en relación a la conducta sancionada de ocultación de rentas y, consecuentemente, lesiva del art. 25.1 CE.</w:t>
      </w:r>
    </w:p>
    <w:p w:rsidR="001D6FAE" w:rsidRDefault="001D6FAE" w:rsidP="001D6FAE">
      <w:pPr>
        <w:pStyle w:val="TextoNormal"/>
      </w:pPr>
    </w:p>
    <w:p w:rsidR="001D6FAE" w:rsidRDefault="001D6FAE" w:rsidP="001D6FAE">
      <w:pPr>
        <w:pStyle w:val="TextoNormal"/>
      </w:pPr>
      <w:r>
        <w:t>Precisa, en primer lugar, el sentido limitado de dicho concepto en este contexto (ATC 145/2016) para luego traer a colación la doctrina constitucional sobre la materia. Reproduce la STC 99/2008, FJ 4, según la cual “procede recordar al respecto las potestades exclusivas del legislador para determinar normativamente qué conductas se penan y con qué pena, y los severos límites que demarcan el control de este Tribunal al respecto. Así, el juicio de proporcionalidad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Sólo cabe afirmar la falta de proporcionalidad de una reacción penal cuando la norma no persiga ‘la preservación de bienes o intereses que no estén constitucionalmente proscritos ni sean socialmente irrelevantes’; cuando la pena no sea ‘instrumentalmente apta para dicha persecución’; o cuando sea innecesaria o, en sentido estricto, desproporcionada.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139/1999, de 20 de julio, FJ 23; también, SSTC 55/1996, de 28 de marzo, FFJJ 6 y ss.; 161/1997, de 2 de octubre, FFJJ 9 y ss.; AATC 233/2004, de 7 de junio, FJ 3, y 332/2005, de 13 de septiembre, FJ 4)”. Transcribe igualmente un extracto del ATC 145/2015, FJ 4, en el mismo sentido.</w:t>
      </w:r>
    </w:p>
    <w:p w:rsidR="001D6FAE" w:rsidRDefault="001D6FAE" w:rsidP="001D6FAE">
      <w:pPr>
        <w:pStyle w:val="TextoNormal"/>
      </w:pPr>
    </w:p>
    <w:p w:rsidR="001D6FAE" w:rsidRDefault="001D6FAE" w:rsidP="001D6FAE">
      <w:pPr>
        <w:pStyle w:val="TextoNormal"/>
      </w:pPr>
      <w:r>
        <w:t>Recuerda, por otra parte, que la STC 128/2009, FJ 4, analizó la prestación de que se trata ahora en su regulación anterior, resultante de la reforma operada por la Ley 45/2002, de 12 de diciembre, de medidas urgentes para la reforma del sistema de protección por desempleo y mejora de la ocupabilidad, regulación que contemplaba la extinción del subsidio en todos los casos en que el beneficiario pasase a percibir rentas superiores al 75 por 100 del salario mínimo interprofesional, dejando sentada su constitucionalidad a pesar de que “la regulación del subsidio por desempleo toma en consideración la extraordinaria dificultad a la que se enfrentan las personas mayores de cincuenta y dos años para volver a acceder al mercado de trabajo una vez que han perdido su empleo, razón por la cual se les reconoce el derecho a un subsidio cuya duración puede extenderse hasta el acceso a la pensión de jubilación; sin embargo, al propio tiempo establece unas reglas de ordenación de la dinámica del derecho que determinan su extinción en el supuesto de dejarse de reunir, incluso transitoriamente, determinados requisitos, en particular el de carecer de rentas de cualquier naturaleza en cuantía superior a un límite determinado, y que obligan, para poder acceder de nuevo a la prestación, a cumplir de nuevo los requisitos inicialmente establecidos, que, por lo general, parten de una situación previa de empleo y cotización”.</w:t>
      </w:r>
    </w:p>
    <w:p w:rsidR="001D6FAE" w:rsidRDefault="001D6FAE" w:rsidP="001D6FAE">
      <w:pPr>
        <w:pStyle w:val="TextoNormal"/>
      </w:pPr>
    </w:p>
    <w:p w:rsidR="001D6FAE" w:rsidRDefault="001D6FAE" w:rsidP="001D6FAE">
      <w:pPr>
        <w:pStyle w:val="TextoNormal"/>
      </w:pPr>
      <w:r>
        <w:t xml:space="preserve">Sobre la base de estos elementos de juicio, la Fiscal razona que “el planteamiento del órgano judicial prescinde de la propia configuración legal del subsidio de desempleo en cuya regulación se toma en consideración la carencia de rentas, entre otros extremos, y que la obtención de las mismas lleva aparejada </w:t>
      </w:r>
      <w:r w:rsidRPr="001D6FAE">
        <w:rPr>
          <w:i/>
        </w:rPr>
        <w:t>ex lege</w:t>
      </w:r>
      <w:r>
        <w:t xml:space="preserve"> en determinados supuestos su extinción”. Ello es así sobre todo, enfatiza el Fiscal, a la luz de que la regulación actual es más favorable que la anterior y, sin embargo, aquélla no fue considerada contraria al art. 41 CE. En efecto, a diferencia de dicha regulación previa, en la actual “para que la obtención de rentas en determinadas circunstancias no lleve aparejada la extinción del subsidio, sino la mera suspensión con posterior reanudación, basta con comunicar tal extremo al Servicio Público de Empleo Estatal”.</w:t>
      </w:r>
    </w:p>
    <w:p w:rsidR="001D6FAE" w:rsidRDefault="001D6FAE" w:rsidP="001D6FAE">
      <w:pPr>
        <w:pStyle w:val="TextoNormal"/>
      </w:pPr>
    </w:p>
    <w:p w:rsidR="001D6FAE" w:rsidRDefault="001D6FAE" w:rsidP="001D6FAE">
      <w:pPr>
        <w:pStyle w:val="TextoNormal"/>
      </w:pPr>
      <w:r>
        <w:t>De este modo, prosigue el Fiscal, “es la ocultación la que determina la extinción de la prestación, no la obtención de la rentas en cuestión”. Y a partir de esta configuración concluye que “la medida, que tiene como finalidad la sostenibilidad del sistema y combatir las percepciones fraudulentas, no puede tildarse de rigorista ni desproporcionada… Si la no comunicación de la obtención de ingresos se equiparara a la comunicación y tuviera aparejadas las mismas consecuencias el sistema se tornaría inviable y además de ello resultaría anómalo desde el punto de vista jurídico”. Además, el Fiscal resalta que el órgano promotor ni siquiera “argumenta … cómo se podría atajar el fraude de forma igualmente eficaz ni tampoco cuestiona que el deber de comunicación impuesto a los beneficiarios del subsidio pueda considerarse excesivamente gravoso, desmesurado o comportar dificultades extraordinarias”.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presente cuestión de inconstitucionalidad se plantea respecto al art. 47.1 b) del Real Decreto Legislativo 5/2000, de 4 de agosto, por el que se aprueba el texto refundido de la Ley sobre infracciones y sanciones en el orden social, al considerar que podría ser contrario a los arts. 14, 24.1 y 25.1 CE.</w:t>
      </w:r>
    </w:p>
    <w:p w:rsidR="001D6FAE" w:rsidRDefault="001D6FAE" w:rsidP="001D6FAE">
      <w:pPr>
        <w:pStyle w:val="TextoNormal"/>
      </w:pPr>
    </w:p>
    <w:p w:rsidR="001D6FAE" w:rsidRDefault="001D6FAE" w:rsidP="001D6FAE">
      <w:pPr>
        <w:pStyle w:val="TextoNormal"/>
      </w:pPr>
      <w:r>
        <w:t>El art. 47.1 b) del Real Decreto Legislativo 5/2000, en conexión con los arts. 25.3 del Real Decreto Legislativo 5/2000 y 219 de la Ley general de la Seguridad Social (LGSS), asocia la sanción de extinción del subsidio por desempleo a la comisión de la infracción consistente en no comunicar temporáneamente a la autoridad competente, salvo causa justificada, las bajas en la prestación cuando se produzcan situaciones determinantes de su suspensión o extinción, como, entre otras, la de percibir rentas en cuantía incompatible con la vigencia de la prestación.</w:t>
      </w:r>
    </w:p>
    <w:p w:rsidR="001D6FAE" w:rsidRDefault="001D6FAE" w:rsidP="001D6FAE">
      <w:pPr>
        <w:pStyle w:val="TextoNormal"/>
      </w:pPr>
    </w:p>
    <w:p w:rsidR="001D6FAE" w:rsidRDefault="001D6FAE" w:rsidP="001D6FAE">
      <w:pPr>
        <w:pStyle w:val="TextoNormal"/>
      </w:pPr>
      <w:r>
        <w:t xml:space="preserve">El órgano judicial sostiene que el art. 47.1 b) del Real Decreto Legislativo 5/2000 colisiona con el principio de proporcionalidad de las sanciones administrativas, que forma parte del principio de legalidad </w:t>
      </w:r>
      <w:r w:rsidRPr="001D6FAE">
        <w:rPr>
          <w:i/>
        </w:rPr>
        <w:t>ex</w:t>
      </w:r>
      <w:r>
        <w:t xml:space="preserve"> art. 25.1 CE, debido a las consecuencias gravosas que esta sanción conlleva, pues, por las razones expuestas en los antecedentes, puede llevar aparejada la no percepción del subsidio (al que de otro modo se tendría derecho) durante un periodo que puede superar los diez años y, además, muy probablemente, la imposibilidad de obtener una pensión de jubilación. Por otra parte, a su entender, “el principio de igualdad y no discriminación consagrado en el art. 14 CE se encuentra comprometido al prever la máxima sanción prevista en la normativa que regula el régimen sancionador en materia de prestaciones de Seguridad Social para una falta calificada como grave, mientras para otras conductas calificadas también como graves se prevén sanciones de menor entidad”. Considera, en fin, que el art. 47.1 b) del Real Decreto Legislativo 5/2000, al imponer la sanción de extinción del subsidio sin admitir ponderación alguna, “afecta al principio de tutela efectiva por parte de jueces y tribunales de los derechos e intereses legítimos de los ciudadanos” y, por ello, al art. 24.1 CE.</w:t>
      </w:r>
    </w:p>
    <w:p w:rsidR="001D6FAE" w:rsidRDefault="001D6FAE" w:rsidP="001D6FAE">
      <w:pPr>
        <w:pStyle w:val="TextoNormal"/>
      </w:pPr>
    </w:p>
    <w:p w:rsidR="001D6FAE" w:rsidRDefault="001D6FAE" w:rsidP="001D6FAE">
      <w:pPr>
        <w:pStyle w:val="TextoNormal"/>
      </w:pPr>
      <w:r>
        <w:t xml:space="preserve">La Fiscal General del Estado, en virtud de los motivos expuestos en los antecedentes, entiende que la cuestión planteada no se puede admitir por lo que hace a la eventual vulneración del art. 24.1 CE y que las otras dos dudas de constitucionalidad suscitan un mismo debate, el del posible desconocimiento del principio de proporcionalidad de las sanciones </w:t>
      </w:r>
      <w:r w:rsidRPr="001D6FAE">
        <w:rPr>
          <w:i/>
        </w:rPr>
        <w:t>ex</w:t>
      </w:r>
      <w:r>
        <w:t xml:space="preserve"> art. 25.1 CE, infracción que, atendiendo a la doctrina constitucional sobre la materia, considera inexistente, por lo que insta la inadmisión de la cuestión.</w:t>
      </w:r>
    </w:p>
    <w:p w:rsidR="001D6FAE" w:rsidRDefault="001D6FAE" w:rsidP="001D6FAE">
      <w:pPr>
        <w:pStyle w:val="TextoNormal"/>
      </w:pPr>
    </w:p>
    <w:p w:rsidR="001D6FAE" w:rsidRDefault="001D6FAE" w:rsidP="001D6FAE">
      <w:pPr>
        <w:pStyle w:val="TextoNormal"/>
      </w:pPr>
      <w:r w:rsidRPr="001D6FAE">
        <w:rPr>
          <w:rStyle w:val="NumeroAFNegritaCaracter"/>
        </w:rPr>
        <w:t>2</w:t>
      </w:r>
      <w:r>
        <w:t>. Hay que destacar, en la línea de las alegaciones del Fiscal, que la providencia de 26 de mayo de 2016 solo refiere su duda de constitucionalidad a los arts. 25.1 y 14 CE, mientras que la parte dispositiva del Auto de planteamiento, así como los razonamientos que lo fundan, alude también al art. 24.1 CE, desde la óptica de la limitación de las facultades del juzgador. Esta perspectiva no se hallaba de ningún modo en la providencia en virtud de la que se dio audiencia al Fiscal y a las partes, por lo que resulta imposible que pudieran alegar sobre ello. Tampoco se incorpora esta posible dimensión de inconstitucionalidad del art. 47.1 b) del Real Decreto Legislativo 5/2000 en el escrito de la única parte que evacuó el trámite de audiencia. La conclusión de todo ello es que el trámite de audiencia no ha realizado su función en relación a la posible contradicción del art. 47.1 b) del Real Decreto Legislativo 5/2000 con el art. 24.1 CE. Procede, por tanto, al delimitar el objeto de esta cuestión, excluir de nuestro análisis esta duda de constitucionalidad.</w:t>
      </w:r>
    </w:p>
    <w:p w:rsidR="001D6FAE" w:rsidRDefault="001D6FAE" w:rsidP="001D6FAE">
      <w:pPr>
        <w:pStyle w:val="TextoNormal"/>
      </w:pPr>
    </w:p>
    <w:p w:rsidR="001D6FAE" w:rsidRDefault="001D6FAE" w:rsidP="001D6FAE">
      <w:pPr>
        <w:pStyle w:val="TextoNormal"/>
      </w:pPr>
      <w:r w:rsidRPr="001D6FAE">
        <w:rPr>
          <w:rStyle w:val="NumeroAFNegritaCaracter"/>
        </w:rPr>
        <w:t>3</w:t>
      </w:r>
      <w:r>
        <w:t xml:space="preserve">. Dejando a un lado la eventual contradicción entre el art. 47.1 b) del Real Decreto Legislativo 5/2000 y el art. 24.1 CE, pues respecto de ella no se realizó correctamente el trámite de audiencia </w:t>
      </w:r>
      <w:r w:rsidRPr="001D6FAE">
        <w:rPr>
          <w:i/>
        </w:rPr>
        <w:t>ex</w:t>
      </w:r>
      <w:r>
        <w:t xml:space="preserve"> art. 35.2 de la Ley Orgánica del Tribunal Constitucional (LOTC), procede analizar en cuanto al fondo la posible vulneración de los arts. 14 y 25.1 CE. En realidad, conforme resaltan las alegaciones del Fiscal, se desprende de los razonamientos del Auto de planteamiento que la alegación que funda la posible vulneración de uno y otro precepto constitucional es la misma, esto es, la desproporción que a juicio del juzgador resulta de asociar la extinción del subsidio por desempleo (y sus muy gravosas consecuencias) a la comisión de una infracción (grave) de falta de comunicación temporánea de que se perciben rentas más allá del mínimo legalmente previsto. Desproporción esta que daría lugar, de un lado, a una vulneración del art. 25.1 CE y, de otro, una desigualdad lesiva del art. 14 CE porque otras faltas graves reciben del legislador un reproche muy inferior. Por este motivo, desde un punto de vista constitucional se trata de una sola cuestión, que es la única sobre la que nos pronunciaremos en cuanto al fondo.</w:t>
      </w:r>
    </w:p>
    <w:p w:rsidR="001D6FAE" w:rsidRDefault="001D6FAE" w:rsidP="001D6FAE">
      <w:pPr>
        <w:pStyle w:val="TextoNormal"/>
      </w:pPr>
    </w:p>
    <w:p w:rsidR="001D6FAE" w:rsidRDefault="001D6FAE" w:rsidP="001D6FAE">
      <w:pPr>
        <w:pStyle w:val="TextoNormal"/>
      </w:pPr>
      <w:r w:rsidRPr="001D6FAE">
        <w:rPr>
          <w:rStyle w:val="NumeroAFNegritaCaracter"/>
        </w:rPr>
        <w:t>4</w:t>
      </w:r>
      <w:r>
        <w:t>. De acuerdo con el art. 37.1 LOTC, este Tribunal puede rechazar en trámite de admisión y mediante Auto, sin otra audiencia que la del Fiscal General del Estado, la cuestión de inconstitucionalidad cuando fuere notoriamente infundada.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001D6FAE" w:rsidRDefault="001D6FAE" w:rsidP="001D6FAE">
      <w:pPr>
        <w:pStyle w:val="TextoNormal"/>
      </w:pPr>
    </w:p>
    <w:p w:rsidR="001D6FAE" w:rsidRDefault="001D6FAE" w:rsidP="001D6FAE">
      <w:pPr>
        <w:pStyle w:val="TextoNormal"/>
      </w:pPr>
      <w:r w:rsidRPr="001D6FAE">
        <w:rPr>
          <w:rStyle w:val="NumeroAFNegritaCaracter"/>
        </w:rPr>
        <w:t>5</w:t>
      </w:r>
      <w:r>
        <w:t>. Este Tribunal tiene una doctrina muy consolidada acerca de cuándo la previsión legal de una concreta sanción incurre en desproporción en relación a la conducta que se pretende reprender y, en consecuencia, vulnera el principio de legalidad sancionadora garantizado por el art. 25.1 CE.</w:t>
      </w:r>
    </w:p>
    <w:p w:rsidR="001D6FAE" w:rsidRDefault="001D6FAE" w:rsidP="001D6FAE">
      <w:pPr>
        <w:pStyle w:val="TextoNormal"/>
      </w:pPr>
    </w:p>
    <w:p w:rsidR="001D6FAE" w:rsidRDefault="001D6FAE" w:rsidP="001D6FAE">
      <w:pPr>
        <w:pStyle w:val="TextoNormal"/>
      </w:pPr>
      <w:r>
        <w:t>La STC 60/2010, FJ 7, sintetiza dicha doctrina constitucional, que como ha sostenido el ATC 145/2015, de 10 de septiembre, FJ 4, es trasladable al ámbito sancionador. Parte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más adelante precisa que “esta configuración supone ‘un complejo juicio de oportunidad’, en el que el legislador goza de un amplio margen de libertad” y también que “‘el juicio que procede en esta sede jurisdiccional ha de limitarse a verificar que la norma penal no produzca un patente derroche inútil de coacción que conviert[a] la norma en arbitraria y que socav[e] los principios elementales de justicia inherentes a la dignidad de la persona y al Estado de Derecho’ (STC 136/1999, de 20 de julio, FJ 23; también, SSTC 55/1996, de 28 de marzo, FFJJ 6 y ss.; 161/1997, de 2 de octubre, FFJJ 9 y ss.; AATC 233/2004, de 7 de junio, FJ 3, y 332/2005, de 13 de septiembre, FJ 4)’ (STC 127/2009, de 26 de mayo, FJ 8)”.</w:t>
      </w:r>
    </w:p>
    <w:p w:rsidR="001D6FAE" w:rsidRDefault="001D6FAE" w:rsidP="001D6FAE">
      <w:pPr>
        <w:pStyle w:val="TextoNormal"/>
      </w:pPr>
    </w:p>
    <w:p w:rsidR="001D6FAE" w:rsidRDefault="001D6FAE" w:rsidP="001D6FAE">
      <w:pPr>
        <w:pStyle w:val="TextoNormal"/>
      </w:pPr>
      <w:r>
        <w:t>El ATC 20/2015, de 3 de febrero, ha analizado un supuesto en el que también se cuestionaba que un precepto legal tipificaba una sanción de un modo desproporcionado. En su fundamento jurídico 4 el Tribunal dijo que “incluso allí donde se encuentran efectivamente involucrados derechos fundamentales, como ocurre en el ámbito del art. 25.1 CE, hemos insistido en que el punto de partida del análisis es la potestad exclusiva del legislador para configurar el sistema de infracciones y sanciones atendiendo a los bienes jurídicamente protegidos, de suerte que la proporción entre las conductas que se pretenden evitar y las sanciones con las que intenta conseguirlo es puramente un ‘juicio de oportunidad’, que corresponde realizar al legislador, estando el juicio de constitucionalidad limitado ‘a verificar que la norma penal no produzca un patente derroche inútil de coacción que convierte la norma en arbitraria y que socava los principios elementales de justicia inherentes a la dignidad de la persona y al Estado de Derecho’ [STC 60/2010, de 7 de octubre, FJ 7 a); con cita de las SSTC 127/2009, de 26 de mayo, FJ 8; 136/1999, de 20 de julio, FJ 23; 55/1996, de 28 de marzo, FFJJ 6 y ss., y 161/1997, de 2 de octubre, FFJJ 9 y ss.; entre otras]. A partir de ahí corresponde primordialmente a los tribunales ordinarios determinar si se ha respetado la garantía del art. 25.1 CE en el plano aplicativo. En el presente caso no se aprecia que exista un ‘patente derroche inútil de coacción que convierte la norma en arbitraria’, que pudiera conducir a apreciar una infracción del principio de proporcionalidad en la previsión legal de las sanciones administrativas (art. 25.1 CE). Más allá de esa constatación, no le corresponde a este Tribunal pronunciarse sobre si resulta oportuna o adecuada, en abstracto, la decisión del legislador de sancionar la conducta descrita en el art. 191.6 LGT con una cuantía fija del 50 por 100 de la cuota”.</w:t>
      </w:r>
    </w:p>
    <w:p w:rsidR="001D6FAE" w:rsidRDefault="001D6FAE" w:rsidP="001D6FAE">
      <w:pPr>
        <w:pStyle w:val="TextoNormal"/>
      </w:pPr>
    </w:p>
    <w:p w:rsidR="001D6FAE" w:rsidRDefault="001D6FAE" w:rsidP="001D6FAE">
      <w:pPr>
        <w:pStyle w:val="TextoNormal"/>
      </w:pPr>
      <w:r w:rsidRPr="001D6FAE">
        <w:rPr>
          <w:rStyle w:val="NumeroAFNegritaCaracter"/>
        </w:rPr>
        <w:t>6</w:t>
      </w:r>
      <w:r>
        <w:t>. En aplicación de la doctrina expuesta, para que pudiéramos declarar que el art. 47.1 b) del Real Decreto Legislativo 5/2000, al establecer la sanción de extinción del subsidio por desempleo cuando se incurra en la infracción prevista en el art. 25.3 del Real Decreto Legislativo 5/2000 (no comunicar, salvo causa justificada, las bajas en la prestación en el momento que se produzcan situaciones de suspensión o extinción del derecho o se dejen de reunir los requisitos para su percepción), ha vulnerado el art. 25.1 CE en relación con el art. 14 CE por ser desproporcionado sería preciso que el precepto cuestionado incurriese en un “patente derroche inútil de coacción que conviert[iera] la norma en arbitraria” (entre otras muchas, STC 60/2010 y AATC 20/2015, de 3 febrero, FJ 4, y 145/2015, de 10 de septiembre, FJ 4). Esta es, por tanto, la ponderación a la que ha de ceñirse nuestro enjuiciamiento.</w:t>
      </w:r>
    </w:p>
    <w:p w:rsidR="001D6FAE" w:rsidRDefault="001D6FAE" w:rsidP="001D6FAE">
      <w:pPr>
        <w:pStyle w:val="TextoNormal"/>
      </w:pPr>
    </w:p>
    <w:p w:rsidR="001D6FAE" w:rsidRDefault="001D6FAE" w:rsidP="001D6FAE">
      <w:pPr>
        <w:pStyle w:val="TextoNormal"/>
      </w:pPr>
      <w:r>
        <w:t>El Tribunal ya se ha pronunciado en otra ocasión respecto del subsidio por desempleo, si bien que en la configuración legal que previamente le daba la Ley 45/2002, de 12 de diciembre, de medidas urgentes para la reforma del sistema de protección por desempleo y mejora de la ocupabilidad, regulación que contemplaba la extinción del subsidio en todos los casos en que el beneficiario pasase a percibir rentas superiores al 75 por 100 del salario mínimo interprofesional. El Tribunal en aquella ocasión, con motivo de enjuiciar si el subsidio por desempleo así previsto vulneraba las exigencias derivadas del art. 41 CE, consideró que la norma era constitucional a pesar de que “la regulación del subsidio por desempleo toma en consideración la extraordinaria dificultad a la que se enfrentan las personas mayores de cincuenta y dos años para volver a acceder al mercado de trabajo una vez que han perdido su empleo, razón por la cual se les reconoce el derecho a un subsidio cuya duración puede extenderse hasta el acceso a la pensión de jubilación; sin embargo, al propio tiempo establece unas reglas de ordenación de la dinámica del derecho que determinan su extinción en el supuesto de dejarse de reunir, incluso transitoriamente, determinados requisitos, en particular el de carecer de rentas de cualquier naturaleza en cuantía superior a un límite determinado, y que obligan, para poder acceder de nuevo a la prestación, a cumplir de nuevo los requisitos inicialmente establecidos, que, por lo general, parten de una situación previa de empleo y cotización” (STC 128/2009, de 1 de junio, FJ 4).</w:t>
      </w:r>
    </w:p>
    <w:p w:rsidR="001D6FAE" w:rsidRDefault="001D6FAE" w:rsidP="001D6FAE">
      <w:pPr>
        <w:pStyle w:val="TextoNormal"/>
      </w:pPr>
    </w:p>
    <w:p w:rsidR="001D6FAE" w:rsidRDefault="001D6FAE" w:rsidP="001D6FAE">
      <w:pPr>
        <w:pStyle w:val="TextoNormal"/>
      </w:pPr>
      <w:r>
        <w:t>En otras palabras, el Tribunal tuvo presente entonces las graves consecuencias que se siguen de la extinción del subsidio por desempleo, esto es que, debido a la dificultad de las personas mayores de cincuenta y dos años para volver a situación de empleo y cotización, la extinción del subsidio por desempleo resulta definitiva y, además, pone en riesgo cumplir los requisitos temporales de cotización para dar lugar a una pensión de jubilación. A pesar de estas implicaciones, que son las que llevan al órgano judicial a expresar el juicio de desproporción en que consiste su duda de constitucionalidad, no consideró extravagante o excesivo que el legislador ligara una extinción de la prestación tan gravosa a la simple percepción, incluso transitoria, de rentas incompatibles con dicho subsidio. Ello conlleva que ahora debamos entender, en la misma línea que entonces, que el art. 47.1 b) del Real Decreto Legislativo 5/2000 no incurre en patente exceso o derroche inútil de coacción cuando asocia una extinción del subsidio por desempleo con derivaciones tan gravosas a la percepción, aun transitoria, de rentas incompatibles, máxime cuando según el precepto que ahora analizamos ya no es esa mera percepción de rentas, sino ésta más su no comunicación temporánea a la autoridad competente, la que da lugar a la sanción de extinción del subsidio por desempleo.</w:t>
      </w:r>
    </w:p>
    <w:p w:rsidR="001D6FAE" w:rsidRDefault="001D6FAE" w:rsidP="001D6FAE">
      <w:pPr>
        <w:pStyle w:val="TextoNormal"/>
      </w:pPr>
    </w:p>
    <w:p w:rsidR="001D6FAE" w:rsidRDefault="001D6FAE" w:rsidP="001D6FAE">
      <w:pPr>
        <w:pStyle w:val="TextoNormal"/>
      </w:pPr>
      <w:r>
        <w:t>Por otra parte, cabe hacer hincapié en que la sanción de extinción del subsidio por desempleo ante la infracción consistente en la no comunicación temporánea a la autoridad competente de la percepción de rentas incompatibles tiene por objeto una finalidad constitucionalmente legítima como es combatir las percepciones fraudulentas y, consecuentemente, afianzar la sostenibilidad del sistema, a lo que se une, como resalta el Fiscal, que el órgano judicial promotor no argumenta en absoluto cómo se podría atajar de forma igualmente eficaz este tipo de fraudes que alcanzan a poner en verdadero riesgo la viabilidad del sistema.</w:t>
      </w:r>
    </w:p>
    <w:p w:rsidR="001D6FAE" w:rsidRDefault="001D6FAE" w:rsidP="001D6FAE">
      <w:pPr>
        <w:pStyle w:val="TextoNormal"/>
      </w:pPr>
    </w:p>
    <w:p w:rsidR="001D6FAE" w:rsidRDefault="001D6FAE" w:rsidP="001D6FAE">
      <w:pPr>
        <w:pStyle w:val="TextoNormal"/>
      </w:pPr>
      <w:r>
        <w:t>En todo caso, desde el punto de vista de la proporcionalidad de la sanción que aquí nos ocupa, el legislador no está obligado constitucionalmente a graduar la sanción en función de si el beneficiario ha incurrido en el referido ilícito con intención fraudulenta o por simple negligencia, ni a tomar en consideración la cuantía de la cantidad ocultada. La determinación de si tales extremos han de ser o no tomados en consideración a efectos de definir la reacción sancionadora que corresponde a la infracción cometida es una cuestión que, según la doctrina constitucional indicada, únicamente corresponde valorar al legislador, que es quien, en el ejercicio del amplio margen de libertad que la Constitución le reconoce, debe tipificar las infracciones y sanciones.</w:t>
      </w:r>
    </w:p>
    <w:p w:rsidR="001D6FAE" w:rsidRDefault="001D6FAE" w:rsidP="001D6FAE">
      <w:pPr>
        <w:pStyle w:val="TextoNormal"/>
      </w:pPr>
    </w:p>
    <w:p w:rsidR="001D6FAE" w:rsidRDefault="001D6FAE" w:rsidP="001D6FAE">
      <w:pPr>
        <w:pStyle w:val="TextoNormal"/>
      </w:pPr>
      <w:r>
        <w:t>En conclusión, en este caso no puede hablarse de patente exceso o derroche inútil de coacción, estando la tipificación de sanción que realiza el art. 47.1 b) del Real Decreto Legislativo 5/2000 dentro del amplio margen de apreciación que la doctrina constitucional reconoce en este punto al legislador, lo que determina la inadmisión de esta cuestión de inconstitucionalidad por resultar notoriamente infundada en el sentido limitado que tiene este concepto en este tipo de resoluciones (entre otros muchos, AATC 37/2015, de 17 de febrero, FJ 2, y 112/2015, de 23 de junio, FJ 2).</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Publíquese este Auto en el “Boletín Oficial del Estado”.</w:t>
      </w:r>
    </w:p>
    <w:p w:rsidR="001D6FAE" w:rsidRDefault="001D6FAE" w:rsidP="001D6FAE">
      <w:pPr>
        <w:pStyle w:val="TextoNormal"/>
      </w:pPr>
    </w:p>
    <w:p w:rsidR="001D6FAE" w:rsidRDefault="001D6FAE" w:rsidP="001D6FAE">
      <w:pPr>
        <w:pStyle w:val="TextoNormal"/>
      </w:pPr>
      <w:r>
        <w:t>Madrid, a quince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2" w:name="AUTO_2016_188"/>
      <w:r>
        <w:t>AUTO 188/2016, de 18 de noviembre de 2016</w:t>
      </w:r>
    </w:p>
    <w:bookmarkEnd w:id="162"/>
    <w:p w:rsidR="001D6FAE" w:rsidRDefault="001D6FAE" w:rsidP="001D6FAE">
      <w:pPr>
        <w:pStyle w:val="TtuloResolucin"/>
      </w:pPr>
      <w:r>
        <w:t>Sección Cuarta</w:t>
      </w:r>
    </w:p>
    <w:p w:rsidR="001D6FAE" w:rsidRDefault="001D6FAE" w:rsidP="001D6FAE">
      <w:pPr>
        <w:pStyle w:val="TextoNormalCentrado"/>
      </w:pPr>
      <w:r>
        <w:t>ECLI:ES:TC:2016:188A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63" w:name="AUTO_2016_189"/>
      <w:r>
        <w:t>AUTO 189/2016, de 24 de noviembre de 2016</w:t>
      </w:r>
    </w:p>
    <w:bookmarkEnd w:id="163"/>
    <w:p w:rsidR="001D6FAE" w:rsidRDefault="001D6FAE" w:rsidP="001D6FAE">
      <w:pPr>
        <w:pStyle w:val="TtuloResolucin"/>
      </w:pPr>
      <w:r>
        <w:t>Sección Primera</w:t>
      </w:r>
    </w:p>
    <w:p w:rsidR="001D6FAE" w:rsidRDefault="001D6FAE" w:rsidP="001D6FAE">
      <w:pPr>
        <w:pStyle w:val="TextoNormalCentrado"/>
      </w:pPr>
      <w:r>
        <w:t>ECLI:ES:TC:2016:189A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Se declara incompetente para enjuiciar la impugnación de una resolución de la Comisión Central de Asistencia Jurídica Gratuita formulada por don Ángel Irún Cañizares en el recurso de amparo 3921-2015.</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día 2 de julio de 2015 se registró en este Tribunal el escrito presentado por don Ángel Irún Cañizares, interponiendo recurso de amparo contra el Auto núm. 52/2015, de 15 de junio, dictado por el Tribunal Superior de Justicia de la Comunidad Valenciana, Sala de lo Civil y Penal, que no admitía a trámite su denuncia contra la Comisión de asistencia jurídica gratuita de Valencia, por la presunta comisión de un delito de prevaricación; contra un Fiscal de la Fiscalía Provincial de Valencia, por el presunto encubrimiento del delito indicado y contra el Letrado de la Generalitat Valenciana por la presunta comisión de un delito de falsedades documentales, dado que al Sr. Irún Cañizares se le había denegado el derecho al beneficio de justicia gratuita y consideraba que las resoluciones habían sido dictadas a sabiendas de su injusticia.</w:t>
      </w:r>
    </w:p>
    <w:p w:rsidR="001D6FAE" w:rsidRDefault="001D6FAE" w:rsidP="001D6FAE">
      <w:pPr>
        <w:pStyle w:val="TextoNormal"/>
      </w:pPr>
    </w:p>
    <w:p w:rsidR="001D6FAE" w:rsidRDefault="001D6FAE" w:rsidP="001D6FAE">
      <w:pPr>
        <w:pStyle w:val="TextoNormal"/>
      </w:pPr>
      <w:r>
        <w:t>A la vez solicitaba en la misma demanda que se realizara desde este Tribunal una consulta prejudicial al Tribunal de Justicia de la Unión Europea para dirimir si, en esta instancia, podía actuar sin Abogado y Procurador o que, en su defecto, estos les fueran asignados de oficio o, bien, se le comunicara si debía solicitar el beneficio de justicia gratuita.</w:t>
      </w:r>
    </w:p>
    <w:p w:rsidR="001D6FAE" w:rsidRDefault="001D6FAE" w:rsidP="001D6FAE">
      <w:pPr>
        <w:pStyle w:val="TextoNormal"/>
      </w:pPr>
    </w:p>
    <w:p w:rsidR="001D6FAE" w:rsidRDefault="001D6FAE" w:rsidP="001D6FAE">
      <w:pPr>
        <w:pStyle w:val="TextoNormal"/>
      </w:pPr>
      <w:r w:rsidRPr="001D6FAE">
        <w:rPr>
          <w:rStyle w:val="NumeroAFNegritaCaracter"/>
        </w:rPr>
        <w:t>2</w:t>
      </w:r>
      <w:r>
        <w:t>. En el citado Auto, la Sala Civil y Penal del Tribunal Superior de Justicia de la Comunidad Valenciana, aduce que el motivo de la inadmisión reside en que la Ley Orgánica del Poder Judicial, en sus arts. 405 y 406, dispone que la responsabilidad penal de Jueces y Magistrados sólo podrá incoarse en virtud de querella del Ministerio Fiscal o del perjudicado u ofendido o mediante el ejercicio de la acción popular, sin que esté prevista la denuncia como medio legalmente admitido para exigir la responsabilidad criminal de los Jueces y Magistrados; por lo tanto, dado que el entonces denunciante no había formulado el escrito de querella que exige la Ley, con la correspondiente firma de Letrado y Procurador, no procedía admitir a trámite la denuncia.</w:t>
      </w:r>
    </w:p>
    <w:p w:rsidR="001D6FAE" w:rsidRDefault="001D6FAE" w:rsidP="001D6FAE">
      <w:pPr>
        <w:pStyle w:val="TextoNormal"/>
      </w:pPr>
    </w:p>
    <w:p w:rsidR="001D6FAE" w:rsidRDefault="001D6FAE" w:rsidP="001D6FAE">
      <w:pPr>
        <w:pStyle w:val="TextoNormal"/>
      </w:pPr>
      <w:r w:rsidRPr="001D6FAE">
        <w:rPr>
          <w:rStyle w:val="NumeroAFNegritaCaracter"/>
        </w:rPr>
        <w:t>3</w:t>
      </w:r>
      <w:r>
        <w:t>. La Secretaría de la Sala Primera de este Tribunal, mediante diligencia de ordenación de 8 de julio de 2015, se dirigió a don Ángel Irún Cañizares, de conformidad con lo dispuesto en el artículo 49.4 de la Ley Orgánica del Tribunal Constitucional, para que en el plazo de diez días compareciera con Abogado y Procurador a su cargo o los solicitara de oficio, advirtiendo al citado recurrente que, de no haber gozado del beneficio de justicia gratuita en la vía judicial previa, no cabía instar a este Tribunal Constitucional que interesara la designación de Abogado y Procurador de oficio, que sólo podía solicitarlo al servicio de orientación jurídica del Colegio de Abogados de Madrid, añadiendo que la solicitud de justicia gratuita y subsiguiente designación de Abogado y Procurador de oficio, únicamente podría darse y justificarse cuando la insuficiencia económica haya sobrevenido en el curso del proceso o con posterioridad.</w:t>
      </w:r>
    </w:p>
    <w:p w:rsidR="001D6FAE" w:rsidRDefault="001D6FAE" w:rsidP="001D6FAE">
      <w:pPr>
        <w:pStyle w:val="TextoNormal"/>
      </w:pPr>
    </w:p>
    <w:p w:rsidR="001D6FAE" w:rsidRDefault="001D6FAE" w:rsidP="001D6FAE">
      <w:pPr>
        <w:pStyle w:val="TextoNormal"/>
      </w:pPr>
      <w:r>
        <w:t>Igualmente, se le advierte que en el caso de no atender el citado requerimiento, se acordaría la inadmisión del recurso.</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escrito registrado en este Tribunal el día 20 de julio de 2015, don Ángel Irún Cañizares adjunta copia de la consulta prejudicial dirigida al Tribunal de Justicia de la Unión Europea, el 5 de julio de 2015, donde le solicita a éste que se pronuncie sobre si puede actuar sin Letrado y sin Procurador en España; instando, además, al citado Tribunal a que le confirme si puede actuar en nombre de un ciudadano que le haya concedido el “poder de representación” (</w:t>
      </w:r>
      <w:r w:rsidRPr="001D6FAE">
        <w:rPr>
          <w:i/>
        </w:rPr>
        <w:t>sic</w:t>
      </w:r>
      <w:r>
        <w:t>). Asimismo, acompaña copia de la solicitud del beneficio de justicia gratuita.</w:t>
      </w:r>
    </w:p>
    <w:p w:rsidR="001D6FAE" w:rsidRDefault="001D6FAE" w:rsidP="001D6FAE">
      <w:pPr>
        <w:pStyle w:val="TextoNormal"/>
      </w:pPr>
    </w:p>
    <w:p w:rsidR="001D6FAE" w:rsidRDefault="001D6FAE" w:rsidP="001D6FAE">
      <w:pPr>
        <w:pStyle w:val="TextoNormal"/>
      </w:pPr>
      <w:r w:rsidRPr="001D6FAE">
        <w:rPr>
          <w:rStyle w:val="NumeroAFNegritaCaracter"/>
        </w:rPr>
        <w:t>5</w:t>
      </w:r>
      <w:r>
        <w:t>. El día 9 de septiembre de 2015, se recibe en este Tribunal la resolución de la comisión central de asistencia jurídica gratuita, adoptada el día 7 de septiembre de 2015 (expediente ICAM 62821), en la que se deniega a don Ángel Irún Cañizares el derecho de asistencia gratuita solicitado para el procedimiento: recurso de amparo penal 3921-2015 seguido ante este Tribunal, dado que, se afirma, consta acreditado que los ingresos económicos de don Ángel Irún Cañizares superan los límites establecidos en la Ley 1/1996, de asistencia jurídica gratuita, y no se aprecian circunstancias que motiven el reconocimiento excepcional del derecho.</w:t>
      </w:r>
    </w:p>
    <w:p w:rsidR="001D6FAE" w:rsidRDefault="001D6FAE" w:rsidP="001D6FAE">
      <w:pPr>
        <w:pStyle w:val="TextoNormal"/>
      </w:pPr>
    </w:p>
    <w:p w:rsidR="001D6FAE" w:rsidRDefault="001D6FAE" w:rsidP="001D6FAE">
      <w:pPr>
        <w:pStyle w:val="TextoNormal"/>
      </w:pPr>
      <w:r w:rsidRPr="001D6FAE">
        <w:rPr>
          <w:rStyle w:val="NumeroAFNegritaCaracter"/>
        </w:rPr>
        <w:t>6</w:t>
      </w:r>
      <w:r>
        <w:t>. Se recibe en el Registro General de este Tribunal, en fecha 18 de septiembre de 2015, oficio de la Comisión central de asistencia de justicia gratuita en el que dada la impugnación de la resolución de 7 de septiembre, por el Sr. Irún Cañizares, en cumplimiento de lo establecido en el art. 20, párrafo 2 de la Ley 1/1996, de asistencia jurídica gratuita, en relación con el art. 2.3, párrafo último del acuerdo de 18 de junio de 1996 del Pleno del Tribunal Constitucional, se remite el expediente original para su resolución al Decanato de los Juzgados de Madrid, interesando se dicte Auto manteniendo o revocando el acuerdo impugnado.</w:t>
      </w:r>
    </w:p>
    <w:p w:rsidR="001D6FAE" w:rsidRDefault="001D6FAE" w:rsidP="001D6FAE">
      <w:pPr>
        <w:pStyle w:val="TextoNormal"/>
      </w:pPr>
    </w:p>
    <w:p w:rsidR="001D6FAE" w:rsidRDefault="001D6FAE" w:rsidP="001D6FAE">
      <w:pPr>
        <w:pStyle w:val="TextoNormal"/>
      </w:pPr>
      <w:r w:rsidRPr="001D6FAE">
        <w:rPr>
          <w:rStyle w:val="NumeroAFNegritaCaracter"/>
        </w:rPr>
        <w:t>7</w:t>
      </w:r>
      <w:r>
        <w:t>. El Secretario Judicial del Juzgado de primera instancia núm. 86 de Madrid, emite una diligencia de ordenación el día 8 de octubre de 2015 mediante la que da por recibida la demanda de impugnación de justicia gratuita a instancia de don Ángel Irún Cañizares y da traslado a las partes y al Ministerio Fiscal, a fin de ser oídos en diez días, sobre la falta de competencia funcional del Juzgado, atendiendo a lo previsto en los arts. 61 y 62 de la Ley de enjuiciamiento civil.</w:t>
      </w:r>
    </w:p>
    <w:p w:rsidR="001D6FAE" w:rsidRDefault="001D6FAE" w:rsidP="001D6FAE">
      <w:pPr>
        <w:pStyle w:val="TextoNormal"/>
      </w:pPr>
    </w:p>
    <w:p w:rsidR="001D6FAE" w:rsidRDefault="001D6FAE" w:rsidP="001D6FAE">
      <w:pPr>
        <w:pStyle w:val="TextoNormal"/>
      </w:pPr>
      <w:r w:rsidRPr="001D6FAE">
        <w:rPr>
          <w:rStyle w:val="NumeroAFNegritaCaracter"/>
        </w:rPr>
        <w:t>8</w:t>
      </w:r>
      <w:r>
        <w:t>. Mediante escrito registrado en este Tribunal el día 28 de octubre de 2015, don Ángel Irún Cañizares, adjunta copia de las alegaciones dirigidas al Juzgado de primera instancia núm. 86 de Madrid, así como de su impugnación a la denegación del beneficio de justicia gratuita adoptada por la Comisión central de asistencia jurídica gratuita.</w:t>
      </w:r>
    </w:p>
    <w:p w:rsidR="001D6FAE" w:rsidRDefault="001D6FAE" w:rsidP="001D6FAE">
      <w:pPr>
        <w:pStyle w:val="TextoNormal"/>
      </w:pPr>
    </w:p>
    <w:p w:rsidR="001D6FAE" w:rsidRDefault="001D6FAE" w:rsidP="001D6FAE">
      <w:pPr>
        <w:pStyle w:val="TextoNormal"/>
      </w:pPr>
      <w:r w:rsidRPr="001D6FAE">
        <w:rPr>
          <w:rStyle w:val="NumeroAFNegritaCaracter"/>
        </w:rPr>
        <w:t>9</w:t>
      </w:r>
      <w:r>
        <w:t>. El Juzgado de Primera Instancia núm. 86 de Madrid, mediante Auto núm. 47/2016, de 22 de enero, declara la falta de competencia funcional de ese Juzgado para conocer de la impugnación de la resolución de la Comisión central de asistencia jurídica gratuita promovida a instancia de don Ángel Irún Cañizares en el procedimiento de: recurso de amparo penal 3921-2015; añadiendo que así lo entendía también el solicitante en su escrito de 27 de octubre de 2015, donde solicitaba que se remitiera el expediente al Tribunal Constitucional.</w:t>
      </w:r>
    </w:p>
    <w:p w:rsidR="001D6FAE" w:rsidRDefault="001D6FAE" w:rsidP="001D6FAE">
      <w:pPr>
        <w:pStyle w:val="TextoNormal"/>
      </w:pPr>
    </w:p>
    <w:p w:rsidR="001D6FAE" w:rsidRDefault="001D6FAE" w:rsidP="001D6FAE">
      <w:pPr>
        <w:pStyle w:val="TextoNormal"/>
      </w:pPr>
      <w:r>
        <w:t>En virtud de lo anterior, el Juzgado acuerda su inhibición a favor de la Sala Primera de este Tribunal, con remisión de los autos a este órgano y emplazando a las partes personadas a fin de que comparezcan ante el mismo en el plazo de diez días.</w:t>
      </w:r>
    </w:p>
    <w:p w:rsidR="001D6FAE" w:rsidRDefault="001D6FAE" w:rsidP="001D6FAE">
      <w:pPr>
        <w:pStyle w:val="TextoNormal"/>
      </w:pPr>
    </w:p>
    <w:p w:rsidR="001D6FAE" w:rsidRDefault="001D6FAE" w:rsidP="001D6FAE">
      <w:pPr>
        <w:pStyle w:val="TextoNormal"/>
      </w:pPr>
      <w:r w:rsidRPr="001D6FAE">
        <w:rPr>
          <w:rStyle w:val="NumeroAFNegritaCaracter"/>
        </w:rPr>
        <w:t>10</w:t>
      </w:r>
      <w:r>
        <w:t>. Mediante escrito registrado en este Tribunal el día 9 de febrero, comparece don Ángel Irún Cañizares, solicitando a la Sala Primera de este Tribunal que le conceda el beneficio de justicia gratuita dado que, señala, hay una Sentencia de 20 de julio de 2015, del Tribunal Superior de Justicia de Madrid, Sala de lo Contencioso-Administrativo, que se lo otorga para interponer una demanda y por “extensión de su argumentación”, añade, “interpreto que me corresponde para todos los Juzgados y Tribunales de Madrid (incluidos Audiencia Nacional, Tribunal Supremo y Tribunal Constitucional), lo mismo que para Juzgados y Tribunales de Valencia”.</w:t>
      </w:r>
    </w:p>
    <w:p w:rsidR="001D6FAE" w:rsidRDefault="001D6FAE" w:rsidP="001D6FAE">
      <w:pPr>
        <w:pStyle w:val="TextoNormal"/>
      </w:pPr>
    </w:p>
    <w:p w:rsidR="001D6FAE" w:rsidRDefault="001D6FAE" w:rsidP="001D6FAE">
      <w:pPr>
        <w:pStyle w:val="TextoNormal"/>
      </w:pPr>
      <w:r w:rsidRPr="001D6FAE">
        <w:rPr>
          <w:rStyle w:val="NumeroAFNegritaCaracter"/>
        </w:rPr>
        <w:t>11</w:t>
      </w:r>
      <w:r>
        <w:t>. El día 7 de marzo de 2016, el Secretario de la Sala Primera del Tribunal Constitucional dirige oficio al Juzgado de primera instancia núm. 86 de Madrid, de conformidad con lo previsto en el art. 88 de la Ley Orgánica del Tribunal Constitucional, a fin de que se informe del estado en el que se encuentra la impugnación de la resolución de la Comisión Central de Asistencia Jurídica Gratuita instada por don Ángel Irún Cañizares.</w:t>
      </w:r>
    </w:p>
    <w:p w:rsidR="001D6FAE" w:rsidRDefault="001D6FAE" w:rsidP="001D6FAE">
      <w:pPr>
        <w:pStyle w:val="TextoNormal"/>
      </w:pPr>
    </w:p>
    <w:p w:rsidR="001D6FAE" w:rsidRDefault="001D6FAE" w:rsidP="001D6FAE">
      <w:pPr>
        <w:pStyle w:val="TextoNormal"/>
      </w:pPr>
      <w:r w:rsidRPr="001D6FAE">
        <w:rPr>
          <w:rStyle w:val="NumeroAFNegritaCaracter"/>
        </w:rPr>
        <w:t>12</w:t>
      </w:r>
      <w:r>
        <w:t>. En el Registro General de este Tribunal, el día 22 de marzo de 2016, se recibe oficio del Juzgado de Primera Instancia núm. 86 de Madrid, comunicando que se había dictado Auto de fecha 22 de enero de 2016 en el que se declaraba la incompetencia funcional del Juzgado y la inhibición a favor de la Sala Primera del Tribunal Constitucional.</w:t>
      </w:r>
    </w:p>
    <w:p w:rsidR="001D6FAE" w:rsidRDefault="001D6FAE" w:rsidP="001D6FAE">
      <w:pPr>
        <w:pStyle w:val="TextoNormal"/>
      </w:pPr>
    </w:p>
    <w:p w:rsidR="001D6FAE" w:rsidRDefault="001D6FAE" w:rsidP="001D6FAE">
      <w:pPr>
        <w:pStyle w:val="TextoNormal"/>
      </w:pPr>
      <w:r w:rsidRPr="001D6FAE">
        <w:rPr>
          <w:rStyle w:val="NumeroAFNegritaCaracter"/>
        </w:rPr>
        <w:t>13</w:t>
      </w:r>
      <w:r>
        <w:t>. La Secretaría de la Sala Primera de este Tribunal, mediante diligencia de ordenación de 4 de abril de 2016, da por recibido el escrito de don Ángel Irún Cañizares, así como la comunicación de la comisión central de asistencia jurídica gratuita y las actuaciones del Juzgado de Primera Instancia núm. 86 de Madrid, relativas a la impugnación de la denegación del derecho a la asistencia jurídica gratuita del hoy recurrente en amparo, y a tenor de su contenido les concede un plazo de tres días al Abogado del Estado y al recurrente, para que aleguen lo que estimen precedente respecto de la competencia de este Tribunal para conocer de la impugnación prevista en el art. 20 de la Ley 1/1996, de 10 de enero, de asistencia jurídica gratuita.</w:t>
      </w:r>
    </w:p>
    <w:p w:rsidR="001D6FAE" w:rsidRDefault="001D6FAE" w:rsidP="001D6FAE">
      <w:pPr>
        <w:pStyle w:val="TextoNormal"/>
      </w:pPr>
    </w:p>
    <w:p w:rsidR="001D6FAE" w:rsidRDefault="001D6FAE" w:rsidP="001D6FAE">
      <w:pPr>
        <w:pStyle w:val="TextoNormal"/>
      </w:pPr>
      <w:r w:rsidRPr="001D6FAE">
        <w:rPr>
          <w:rStyle w:val="NumeroAFNegritaCaracter"/>
        </w:rPr>
        <w:t>14</w:t>
      </w:r>
      <w:r>
        <w:t>. El día 14 de abril de 2016 se registra en este Tribunal el escrito presentado por don Ángel Irún Cañizares en el que efectúa las alegaciones requeridas en la anterior diligencia de ordenación y solicita que le sea concedido el beneficio de justicia gratuita “directamente, sin producirse VISTA alguna” (</w:t>
      </w:r>
      <w:r w:rsidRPr="001D6FAE">
        <w:rPr>
          <w:i/>
        </w:rPr>
        <w:t>sic</w:t>
      </w:r>
      <w:r>
        <w:t>) ya que, aduce, ha acreditado dos concesiones directas del beneficio de justicia gratuita otorgadas por la Comisión central de asistencia jurídica gratuita, además de tres sentencias que le han concedido ese beneficio.</w:t>
      </w:r>
    </w:p>
    <w:p w:rsidR="001D6FAE" w:rsidRDefault="001D6FAE" w:rsidP="001D6FAE">
      <w:pPr>
        <w:pStyle w:val="TextoNormal"/>
      </w:pPr>
    </w:p>
    <w:p w:rsidR="001D6FAE" w:rsidRDefault="001D6FAE" w:rsidP="001D6FAE">
      <w:pPr>
        <w:pStyle w:val="TextoNormal"/>
      </w:pPr>
      <w:r w:rsidRPr="001D6FAE">
        <w:rPr>
          <w:rStyle w:val="NumeroAFNegritaCaracter"/>
        </w:rPr>
        <w:t>15</w:t>
      </w:r>
      <w:r>
        <w:t>. El Abogado del Estado presentó su escrito de alegaciones el 21 de abril de 2016, señalando que el Tribunal Constitucional ha establecido que es competente para resolver este tipo de impugnaciones cuando la insuficiencia económica del solicitante se ocasiona después de haber interpuesto el recurso de amparo; recuerda, además, que la insuficiencia económica sobrevenida con posterioridad a la interposición del recurso de amparo es el único supuesto en el que le correspondería al Tribunal Constitucional resolver la impugnación del acto de asistencia jurídica gratuita (AATC 138/1997 de 7 de mayo, FJ 3; 204/1997, de 4 de junio, FJ 3, y 120/2011, de 19 de septiembre, FJ 2 y 3).</w:t>
      </w:r>
    </w:p>
    <w:p w:rsidR="001D6FAE" w:rsidRDefault="001D6FAE" w:rsidP="001D6FAE">
      <w:pPr>
        <w:pStyle w:val="TextoNormal"/>
      </w:pPr>
    </w:p>
    <w:p w:rsidR="001D6FAE" w:rsidRDefault="001D6FAE" w:rsidP="001D6FAE">
      <w:pPr>
        <w:pStyle w:val="TextoNormal"/>
      </w:pPr>
      <w:r>
        <w:t>Concluye el Abogado del Estado que el recurrente alegó la insuficiencia económica en el escrito inicial de solicitud de amparo, por lo que aquélla no puede considerarse sobrevenida después de dicha interposición, sino, anterior a la misma, lo que conlleva que este Tribunal carezca de competencia para resolver la impugnación formulada contra la resolución de la Comisión central de asistencia jurídica gratuita que denegó este beneficio.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Como se ha indicado en los antecedentes, don Ángel Irún Cañizares, interpuso recurso amparo contra el Auto núm. 52/2015, de 15 de junio, dictado por el Tribunal Superior de Justicia de la Comunidad Valenciana, Sala de lo Civil y Penal, que no admitía a trámite su denuncia contra la Comisión de asistencia jurídica gratuita de Valencia, por la presunta comisión de un delito de prevaricación; contra un Fiscal de la Fiscalía Provincial de Valencia, por el presunto encubrimiento del delito indicado; y, contra el Letrado de la Generalitat Valenciana por la presunta comisión de un delito de falsedades documentales, dado que se le había denegado el derecho al beneficio de justicia gratuita y consideraba que esas resoluciones habían sido injustas a sabiendas.</w:t>
      </w:r>
    </w:p>
    <w:p w:rsidR="001D6FAE" w:rsidRDefault="001D6FAE" w:rsidP="001D6FAE">
      <w:pPr>
        <w:pStyle w:val="TextoNormal"/>
      </w:pPr>
    </w:p>
    <w:p w:rsidR="001D6FAE" w:rsidRDefault="001D6FAE" w:rsidP="001D6FAE">
      <w:pPr>
        <w:pStyle w:val="TextoNormal"/>
      </w:pPr>
      <w:r>
        <w:t>A la vez, solicitaba en la misma demanda que se realizara desde este Tribunal una consulta prejudicial al Tribunal de Justicia de la Unión Europea para dirimir si, en esta instancia, podía actuar sin Abogado y Procurador o que, en su defecto, éstos les fueran asignados de oficio o, bien, se le comunicara si debía de solicitar el beneficio de justicia gratuita.</w:t>
      </w:r>
    </w:p>
    <w:p w:rsidR="001D6FAE" w:rsidRDefault="001D6FAE" w:rsidP="001D6FAE">
      <w:pPr>
        <w:pStyle w:val="TextoNormal"/>
      </w:pPr>
    </w:p>
    <w:p w:rsidR="001D6FAE" w:rsidRDefault="001D6FAE" w:rsidP="001D6FAE">
      <w:pPr>
        <w:pStyle w:val="TextoNormal"/>
      </w:pPr>
      <w:r>
        <w:t>Una vez tramitado el expediente y denegado el derecho a la asistencia jurídica gratuita por la Comisión central de asistencia jurídica gratuita, resolución de 7 de septiembre de 2015 (expediente ICAM 62821) se impugnó la citada resolución por el Sr. Irún Cañizares, a través de la vía prevista en el art. 20 de la Ley 1/1996, de asistencia jurídica gratuita; sin embargo, el Juzgado de Primera Instancia núm. 86 de Madrid, se declaró incompetente para la resolución de dicha impugnación al entender que la competencia correspondía al Tribunal Constitucional, por lo que se remitieron a este Tribunal las actuaciones del juicio de impugnación de la resolución de justicia gratuita.</w:t>
      </w:r>
    </w:p>
    <w:p w:rsidR="001D6FAE" w:rsidRDefault="001D6FAE" w:rsidP="001D6FAE">
      <w:pPr>
        <w:pStyle w:val="TextoNormal"/>
      </w:pPr>
    </w:p>
    <w:p w:rsidR="001D6FAE" w:rsidRDefault="001D6FAE" w:rsidP="001D6FAE">
      <w:pPr>
        <w:pStyle w:val="TextoNormal"/>
      </w:pPr>
      <w:r w:rsidRPr="001D6FAE">
        <w:rPr>
          <w:rStyle w:val="NumeroAFNegritaCaracter"/>
        </w:rPr>
        <w:t>2</w:t>
      </w:r>
      <w:r>
        <w:t>. En los AATC 120/2011, de 19 de septiembre; 54/2012, de 26 de marzo; 80/2012, de 7 de mayo; 112/2012, de 31 de mayo, y 95/2013, de 7 de mayo, hemos establecido que el Tribunal Constitucional es competente para resolver este tipo de impugnaciones solamente cuando la insuficiencia económica del solicitante se ocasiona después de haber interpuesto el recurso de amparo.</w:t>
      </w:r>
    </w:p>
    <w:p w:rsidR="001D6FAE" w:rsidRDefault="001D6FAE" w:rsidP="001D6FAE">
      <w:pPr>
        <w:pStyle w:val="TextoNormal"/>
      </w:pPr>
    </w:p>
    <w:p w:rsidR="001D6FAE" w:rsidRDefault="001D6FAE" w:rsidP="001D6FAE">
      <w:pPr>
        <w:pStyle w:val="TextoNormal"/>
      </w:pPr>
      <w:r>
        <w:t>En efecto, 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1D6FAE" w:rsidRDefault="001D6FAE" w:rsidP="001D6FAE">
      <w:pPr>
        <w:pStyle w:val="TextoNormal"/>
      </w:pPr>
    </w:p>
    <w:p w:rsidR="001D6FAE" w:rsidRDefault="001D6FAE" w:rsidP="001D6FAE">
      <w:pPr>
        <w:pStyle w:val="TextoNormal"/>
      </w:pPr>
      <w:r w:rsidRPr="001D6FAE">
        <w:rPr>
          <w:rStyle w:val="NumeroAFNegritaCaracter"/>
        </w:rPr>
        <w:t>3</w:t>
      </w:r>
      <w:r>
        <w:t>. Pues bien, como se señalaba en el ATC 120/2011, de 19 de septiembre, FJ 2,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1D6FAE" w:rsidRDefault="001D6FAE" w:rsidP="001D6FAE">
      <w:pPr>
        <w:pStyle w:val="TextoNormal"/>
      </w:pPr>
    </w:p>
    <w:p w:rsidR="001D6FAE" w:rsidRDefault="001D6FAE" w:rsidP="001D6FAE">
      <w:pPr>
        <w:pStyle w:val="TextoNormal"/>
      </w:pPr>
      <w:r w:rsidRPr="001D6FAE">
        <w:rPr>
          <w:rStyle w:val="NumeroAFNegritaCaracter"/>
        </w:rPr>
        <w:t>4</w:t>
      </w:r>
      <w:r>
        <w:t>. En el presente caso, la solicitud de asistencia gratuita se efectuó en el mismo escrito en el que se anunciaba la formulación de la demanda de amparo (ATC 54/2012, de 26 de marzo, FJ 5), por lo que es claro que la situación de insuficiencia económica invocada no sobrevino con posterioridad a la presentación de la demanda, sino con anterioridad a la misma, lo que conlleva, como se acaba de indicar, que este Tribunal carezca de competencia para resolver la impugnación formulada contra la resolución de la Comisión central de asistencia jurídica gratuita (expediente ICAM 62821) que denegó este beneficio a don Ángel Irún Cañizares.</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1º Declararse incompetente para el enjuiciamiento de la impugnación impuesta por don Ángel Irún Cañizares, contra la resolución de la Comisión central de asistencia gratuita de 7 de septiembre de 2015 (expediente ICAM 62821).</w:t>
      </w:r>
    </w:p>
    <w:p w:rsidR="001D6FAE" w:rsidRDefault="001D6FAE" w:rsidP="001D6FAE">
      <w:pPr>
        <w:pStyle w:val="TextoNormal"/>
      </w:pPr>
    </w:p>
    <w:p w:rsidR="001D6FAE" w:rsidRDefault="001D6FAE" w:rsidP="001D6FAE">
      <w:pPr>
        <w:pStyle w:val="TextoNormal"/>
      </w:pPr>
      <w:r>
        <w:t>2º Devolver al Juzgado de Primera Instancia núm. 86 de Madrid las actuaciones que en su día fueron remitidas a este Tribunal.</w:t>
      </w:r>
    </w:p>
    <w:p w:rsidR="001D6FAE" w:rsidRDefault="001D6FAE" w:rsidP="001D6FAE">
      <w:pPr>
        <w:pStyle w:val="TextoNormal"/>
      </w:pPr>
    </w:p>
    <w:p w:rsidR="001D6FAE" w:rsidRDefault="001D6FAE" w:rsidP="001D6FAE">
      <w:pPr>
        <w:pStyle w:val="TextoNormal"/>
      </w:pPr>
      <w:r>
        <w:t>Madrid, a veinticuatro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4" w:name="AUTO_2016_190"/>
      <w:r>
        <w:t>AUTO 190/2016, de 4 de noviembre de 2016</w:t>
      </w:r>
    </w:p>
    <w:bookmarkEnd w:id="164"/>
    <w:p w:rsidR="001D6FAE" w:rsidRDefault="001D6FAE" w:rsidP="001D6FAE">
      <w:pPr>
        <w:pStyle w:val="TtuloResolucin"/>
      </w:pPr>
      <w:r>
        <w:t>Sección Cuarta</w:t>
      </w:r>
    </w:p>
    <w:p w:rsidR="001D6FAE" w:rsidRDefault="001D6FAE" w:rsidP="001D6FAE">
      <w:pPr>
        <w:pStyle w:val="TextoNormalCentrado"/>
      </w:pPr>
      <w:r>
        <w:t>ECLI:ES:TC:2016:190A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TtuloResolucin"/>
      </w:pPr>
      <w:r>
        <w:t>*Este auto no incorpora doctrina constitucional.</w:t>
      </w:r>
    </w:p>
    <w:p w:rsidR="001D6FAE" w:rsidRDefault="001D6FAE">
      <w:pPr>
        <w:spacing w:after="160" w:line="259" w:lineRule="auto"/>
        <w:rPr>
          <w:rFonts w:ascii="Times New Roman" w:eastAsia="Times New Roman" w:hAnsi="Times New Roman" w:cs="Times New Roman"/>
          <w:b/>
          <w:sz w:val="24"/>
          <w:szCs w:val="24"/>
          <w:lang w:eastAsia="es-ES"/>
        </w:rPr>
      </w:pPr>
      <w:r>
        <w:br w:type="page"/>
      </w:r>
    </w:p>
    <w:p w:rsidR="001D6FAE" w:rsidRDefault="001D6FAE" w:rsidP="001D6FAE">
      <w:pPr>
        <w:pStyle w:val="TtuloResolucin"/>
      </w:pPr>
      <w:bookmarkStart w:id="165" w:name="AUTO_2016_191"/>
      <w:r>
        <w:t>AUTO 191/2016, de 25 de noviembre de 2016</w:t>
      </w:r>
    </w:p>
    <w:bookmarkEnd w:id="165"/>
    <w:p w:rsidR="001D6FAE" w:rsidRDefault="001D6FAE" w:rsidP="001D6FAE">
      <w:pPr>
        <w:pStyle w:val="TtuloResolucin"/>
      </w:pPr>
      <w:r>
        <w:t>Sección Cuarta</w:t>
      </w:r>
    </w:p>
    <w:p w:rsidR="001D6FAE" w:rsidRDefault="001D6FAE" w:rsidP="001D6FAE">
      <w:pPr>
        <w:pStyle w:val="TextoNormalCentrado"/>
      </w:pPr>
      <w:r>
        <w:t>ECLI:ES:TC:2016:191A</w:t>
      </w:r>
    </w:p>
    <w:p w:rsidR="001D6FAE" w:rsidRDefault="001D6FAE" w:rsidP="001D6FAE">
      <w:pPr>
        <w:pStyle w:val="TextoNormalCentrado"/>
      </w:pPr>
    </w:p>
    <w:p w:rsidR="001D6FAE" w:rsidRDefault="001D6FAE" w:rsidP="001D6FAE">
      <w:pPr>
        <w:pStyle w:val="SntesisDescriptiva"/>
      </w:pPr>
      <w:r>
        <w:t>Excms. Srs. don Fernando Valdés Dal-Ré y don Ricardo Enríquez Sancho.</w:t>
      </w:r>
    </w:p>
    <w:p w:rsidR="001D6FAE" w:rsidRDefault="001D6FAE" w:rsidP="001D6FAE">
      <w:pPr>
        <w:pStyle w:val="SntesisDescriptiva"/>
      </w:pPr>
    </w:p>
    <w:p w:rsidR="001D6FAE" w:rsidRDefault="001D6FAE" w:rsidP="001D6FAE">
      <w:pPr>
        <w:pStyle w:val="SntesisDescriptiva"/>
      </w:pPr>
      <w:r>
        <w:t>Acepta una abstención en el recurso de amparo 3680-2016, promovido por doña María Jesús Moya Martínez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t>Único. En el presente recurso de amparo se impugna el Decreto de la Fiscal General del Estado de 21 de julio de 2015, que, en trámite de alzada, impuso a la ahora recurrente de amparo, perteneciente a la carrera fiscal y por actos relacionados con el ejercicio de su cargo, la sanción de suspensión de empleo y sueldo por tiempo de dos meses por falta disciplinaria muy grave, así como contra la Sentencia de 24 de mayo de 2016, dictada por la Sección Séptima de la Sala de lo Contencioso-Administrativo del Tribunal Superior de Justicia de la Comunidad de Madrid en el recurso contencioso-administrativo núm. 782-2015, que confirmó en vía jurisdiccional la precitada sanción.</w:t>
      </w:r>
    </w:p>
    <w:p w:rsidR="001D6FAE" w:rsidRDefault="001D6FAE" w:rsidP="001D6FAE">
      <w:pPr>
        <w:pStyle w:val="TextoNormal"/>
      </w:pPr>
    </w:p>
    <w:p w:rsidR="001D6FAE" w:rsidRDefault="001D6FAE" w:rsidP="001D6FAE">
      <w:pPr>
        <w:pStyle w:val="TextoNormal"/>
      </w:pPr>
      <w:r>
        <w:t>Mediante escrito fechado el día 24 de noviembre de 2016 el Magistrado don Antonio Narváez Rodríguez comunicó a los efectos oportunos que se abstenía de intervenir en el antes indicado recurso de amparo, de conformidad con el art. 80 de la Ley Orgánica del Tribunal Constitucional, por haber tenido conocimiento extraprocesal de los hechos y de las actuaciones disciplinarias seguidas contra la ahora recurrente.</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Vista la comunicación efectuada por don Antonio Narváez Rodríguez, Magistrado de esta Sección Cuarta del Tribunal Constitucional, la Sección, en virtud de lo previsto en el art. 219. 16 de la Ley Orgánica del Poder Judicial, supletoria de la Ley Orgánica del Tribunal Constitucional (art. 80), estima justificada la causa de abstención formulada, puesto que el mencionado Magistrado ha tenido conocimiento precedente del litigio ahora planteado en su condición de perteneciente a la carrera fiscal en situación de servicios especiales y ha podido formar criterio de las cuestiones suscitadas en el mismo, en detrimento de la debida imparcialidad que ahora debe regir sus actuaciones como Magistrado.</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justificada la abstención formulada por el Magistrado don Antonio Narváez Rodríguez en el recurso de amparo núm. 3680-2016 apartándole definitivamente del conocimiento del referido recurso y de todas sus incidencias.</w:t>
      </w:r>
    </w:p>
    <w:p w:rsidR="001D6FAE" w:rsidRDefault="001D6FAE" w:rsidP="001D6FAE">
      <w:pPr>
        <w:pStyle w:val="TextoNormal"/>
      </w:pPr>
    </w:p>
    <w:p w:rsidR="001D6FAE" w:rsidRDefault="001D6FAE" w:rsidP="001D6FAE">
      <w:pPr>
        <w:pStyle w:val="TextoNormal"/>
      </w:pPr>
      <w:r>
        <w:t>Madrid, a veinticinco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6" w:name="AUTO_2016_192"/>
      <w:r>
        <w:t>AUTO 192/2016, de 28 de noviembre de 2016</w:t>
      </w:r>
    </w:p>
    <w:bookmarkEnd w:id="166"/>
    <w:p w:rsidR="001D6FAE" w:rsidRDefault="001D6FAE" w:rsidP="001D6FAE">
      <w:pPr>
        <w:pStyle w:val="TtuloResolucin"/>
      </w:pPr>
      <w:r>
        <w:t>Sección Tercera</w:t>
      </w:r>
    </w:p>
    <w:p w:rsidR="001D6FAE" w:rsidRDefault="001D6FAE" w:rsidP="001D6FAE">
      <w:pPr>
        <w:pStyle w:val="TextoNormalCentrado"/>
      </w:pPr>
      <w:r>
        <w:t>ECLI:ES:TC:2016:192A</w:t>
      </w:r>
    </w:p>
    <w:p w:rsidR="001D6FAE" w:rsidRDefault="001D6FAE" w:rsidP="001D6FAE">
      <w:pPr>
        <w:pStyle w:val="TextoNormalCentrado"/>
      </w:pPr>
    </w:p>
    <w:p w:rsidR="001D6FAE" w:rsidRDefault="001D6FAE" w:rsidP="001D6FAE">
      <w:pPr>
        <w:pStyle w:val="SntesisDescriptiva"/>
      </w:pPr>
      <w:r>
        <w:t>Excms. Srs. doña Adela Asua Batarrita, don Juan José González Rivas y don Pedro José González-Trevijano Sánchez.</w:t>
      </w:r>
    </w:p>
    <w:p w:rsidR="001D6FAE" w:rsidRDefault="001D6FAE" w:rsidP="001D6FAE">
      <w:pPr>
        <w:pStyle w:val="SntesisDescriptiva"/>
      </w:pPr>
    </w:p>
    <w:p w:rsidR="001D6FAE" w:rsidRDefault="001D6FAE" w:rsidP="001D6FAE">
      <w:pPr>
        <w:pStyle w:val="SntesisDescriptiva"/>
      </w:pPr>
      <w:r>
        <w:t>Estima el recurso de súplica del Ministerio Fiscal sobre inadmisión del recurso de amparo 5297-2015, promovido por doña María Izaskunen Ugarte Begoña y dos personas más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23 de septiembre de 2015, don Javier Cuevas Rivas, Procurador de los Tribunales y de doña María Izaskun Ugarte Begoña, doña Hodei Goicoechea Ugarte y doña Haize Goicoechea Ugarte, promovió en su nombre recurso de amparo contra la Sentencia de la Sección Quinta de la Sala de lo Contencioso-Administrativo de la Audiencia Nacional, de 24 de junio de 2015 (recurso núm. 48-2014), que desestimó el recurso contencioso-administrativo interpuesto contra la resolución del Ministerio del Interior, de 4 de diciembre de 2013, denegando la indemnización solicitada con base en la Ley 29/2011, de 22 de septiembre, de reconocimiento y protección integral a las víctimas del terrorismo.</w:t>
      </w:r>
    </w:p>
    <w:p w:rsidR="001D6FAE" w:rsidRDefault="001D6FAE" w:rsidP="001D6FAE">
      <w:pPr>
        <w:pStyle w:val="TextoNormal"/>
      </w:pPr>
    </w:p>
    <w:p w:rsidR="001D6FAE" w:rsidRDefault="001D6FAE" w:rsidP="001D6FAE">
      <w:pPr>
        <w:pStyle w:val="TextoNormal"/>
      </w:pPr>
      <w:r w:rsidRPr="001D6FAE">
        <w:rPr>
          <w:rStyle w:val="NumeroAFNegritaCaracter"/>
        </w:rPr>
        <w:t>2</w:t>
      </w:r>
      <w:r>
        <w:t>. La Sección Tercera, Sala Segunda de este Tribunal, dictó providencia el 26 de julio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1D6FAE" w:rsidRDefault="001D6FAE" w:rsidP="001D6FAE">
      <w:pPr>
        <w:pStyle w:val="TextoNormal"/>
      </w:pPr>
    </w:p>
    <w:p w:rsidR="001D6FAE" w:rsidRDefault="001D6FAE" w:rsidP="001D6FAE">
      <w:pPr>
        <w:pStyle w:val="TextoNormal"/>
      </w:pPr>
      <w:r w:rsidRPr="001D6FAE">
        <w:rPr>
          <w:rStyle w:val="NumeroAFNegritaCaracter"/>
        </w:rPr>
        <w:t>3</w:t>
      </w:r>
      <w:r>
        <w:t>. Contra esta decisión ha interpuesto el Ministerio Fiscal recurso de súplica, mediante escrito presentado en el registro general de este Tribunal con fecha 19 de septiembre de 2016, el cual se fundamenta, en síntesis, en que la demanda del presente recurso de amparo alega la vulneración del derecho a la presunción de inocencia (art. 24.2 CE), causada en origen en la vía administrativa, cuando se denegó lo pedido por las actoras con arreglo a los informes policiales disponibles. Lesión constitucional que, por ello mismo, se denunció ante la Sala de lo Contencioso-Administrativo que conoció del recurso planteado contra la resolución ministerial que resultaba adversa. Prosigue diciendo que constan a la Fiscalía otros recursos de amparo de contenido similar e idéntico agotamiento de la vía judicial, los cuales no han sido inadmitidos a trámite por este Tribunal por la causa declarada en este caso, sino por la “manifiesta inexistencia de la vulneración denunciada”. Considera el Fiscal que la vía judicial ha quedado correctamente agotada y no precisaba de la interposición del incidente de nulidad de actuaciones (art. 241 de la Ley Orgánica del Poder Judicial: LOPJ), por lo que solicita que se deje sin efecto nuestra providencia de 26 de julio de 2016, reponiendo las actuaciones al momento inmediatamente anterior al de su dictado.</w:t>
      </w:r>
    </w:p>
    <w:p w:rsidR="001D6FAE" w:rsidRDefault="001D6FAE" w:rsidP="001D6FAE">
      <w:pPr>
        <w:pStyle w:val="TextoNormal"/>
      </w:pPr>
    </w:p>
    <w:p w:rsidR="001D6FAE" w:rsidRDefault="001D6FAE" w:rsidP="001D6FAE">
      <w:pPr>
        <w:pStyle w:val="TextoNormal"/>
      </w:pPr>
      <w:r w:rsidRPr="001D6FAE">
        <w:rPr>
          <w:rStyle w:val="NumeroAFNegritaCaracter"/>
        </w:rPr>
        <w:t>4</w:t>
      </w:r>
      <w:r>
        <w:t>. Por diligencia de ordenación de 20 de septiembre de 2016, la Secretaría de Justicia de la Sección Tercera de este Tribunal acordó unir a las actuaciones el escrito presentado por el Fiscal, y conceder un plazo común de tres días a las demás partes para alegaciones.</w:t>
      </w:r>
    </w:p>
    <w:p w:rsidR="001D6FAE" w:rsidRDefault="001D6FAE" w:rsidP="001D6FAE">
      <w:pPr>
        <w:pStyle w:val="TextoNormal"/>
      </w:pPr>
    </w:p>
    <w:p w:rsidR="001D6FAE" w:rsidRDefault="001D6FAE" w:rsidP="001D6FAE">
      <w:pPr>
        <w:pStyle w:val="TextoNormal"/>
      </w:pPr>
      <w:r>
        <w:t>En su respuesta, el representante procesal de las recurrentes formalizó escrito el 5 de octubre de 2016, manifestando su conformidad con lo solicitado por el Fiscal pues, explica, otros recursos se han inadmitido por inexistencia de la vulneración denunciada tanto desde la óptica del derecho a la presunción de inocencia como del derecho a la tutela judicial efectiva, no por el óbice de falta de agotamiento. Aclaran en todo caso las actoras, que en “el presente recurso de amparo —y a pesar de los términos del escrito del Ministerio Fiscal— se formalizó exclusivamente por la vulneración de ese derecho del art. 24.2 CE”. Añaden que la lesión referida se denunció ya en el recurso contencioso-administrativo interpuesto ante la Audiencia Nacional contra la denegación del Ministerio del Interior, adoptada con base en los informes policiales, por lo que no precisaba de interponerse incidente de nulidad de actuaciones.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Procede estimar el recurso de súplica del Ministerio Fiscal, a la vista de lo alegado por éste en su escrito, como también la parte recurrente en el trámite de alegaciones abierto. La demanda de amparo alega la lesión del derecho a la presunción de inocencia, atribuido en origen, efectivamente, a la resolución del Ministerio del Interior que denegó la indemnización solicitada, de modo que con la respuesta dada por la Sentencia de la Sección Quinta de la Sala de lo Contencioso-Administrativo de la Audiencia Nacional quedaba agotada la vía judicial previa al amparo.</w:t>
      </w:r>
    </w:p>
    <w:p w:rsidR="001D6FAE" w:rsidRDefault="001D6FAE" w:rsidP="001D6FAE">
      <w:pPr>
        <w:pStyle w:val="TextoNormal"/>
      </w:pPr>
    </w:p>
    <w:p w:rsidR="001D6FAE" w:rsidRDefault="001D6FAE" w:rsidP="001D6FAE">
      <w:pPr>
        <w:pStyle w:val="TextoNormal"/>
      </w:pPr>
      <w:r>
        <w:t>La estimación del recurso de súplica determina que se deje sin efecto la providencia impugnada por el Fiscal, pero sin que esto comporte la admisión a trámite del presente recurso de amparo, sobre la que se resolverá en nueva providencia a dictar al efecto.</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el recurso de súplica interpuesto por el Ministerio Fiscal contra la providencia dictada el 26 de julio de 2016, dejando sin efecto la misma, y quedando las actuaciones en estado de proveer sobre la admisión a trámite del presente recurso.</w:t>
      </w:r>
    </w:p>
    <w:p w:rsidR="001D6FAE" w:rsidRDefault="001D6FAE" w:rsidP="001D6FAE">
      <w:pPr>
        <w:pStyle w:val="TextoNormal"/>
      </w:pPr>
    </w:p>
    <w:p w:rsidR="001D6FAE" w:rsidRDefault="001D6FAE" w:rsidP="001D6FAE">
      <w:pPr>
        <w:pStyle w:val="TextoNormal"/>
      </w:pPr>
      <w:r>
        <w:t>Madrid, a veintiocho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7" w:name="AUTO_2016_193"/>
      <w:r>
        <w:t>AUTO 193/2016, de 28 de noviembre de 2016</w:t>
      </w:r>
    </w:p>
    <w:bookmarkEnd w:id="167"/>
    <w:p w:rsidR="001D6FAE" w:rsidRDefault="001D6FAE" w:rsidP="001D6FAE">
      <w:pPr>
        <w:pStyle w:val="TtuloResolucin"/>
      </w:pPr>
      <w:r>
        <w:t>Sala Segunda</w:t>
      </w:r>
    </w:p>
    <w:p w:rsidR="001D6FAE" w:rsidRDefault="001D6FAE" w:rsidP="001D6FAE">
      <w:pPr>
        <w:pStyle w:val="TextoNormalCentrado"/>
      </w:pPr>
      <w:r>
        <w:t>ECLI:ES:TC:2016:193A</w:t>
      </w:r>
    </w:p>
    <w:p w:rsidR="001D6FAE" w:rsidRDefault="001D6FAE" w:rsidP="001D6FAE">
      <w:pPr>
        <w:pStyle w:val="TextoNormalCentrado"/>
      </w:pPr>
    </w:p>
    <w:p w:rsidR="001D6FAE" w:rsidRDefault="001D6FAE" w:rsidP="001D6FAE">
      <w:pPr>
        <w:pStyle w:val="SntesisDescriptiva"/>
      </w:pPr>
      <w:r>
        <w:t>Excms. Srs. doña Adela Asua Batarrita, don Fernando Valdés Dal-Ré, don Juan José González Rivas,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Acuerda la extinción, por desaparición sobrevenida de objeto, de la cuestión de inconstitucionalidad 6987-2015, planteada por el Juzgado de Primera Instancia núm. 8 de A Coruña en relación con los artículos 2 e) y 7.1 y 2 de la Ley 10/2012, de 20 de noviembre, por la que se regulan determinadas tasas en el ámbito de la Administración de Justicia y del Instituto Nacional de Toxicología y Ciencias Forenses.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registrado en este Tribunal el 9 de diciembre de 2015, el Juzgado de Primera Instancia núm. 8 de A Coruña remitió testimonio del Auto de 18 de noviembre de 2015 por el que acordaba plantear cuestión de inconstitucionalidad en relación con los arts. 2 e) y 7.1 y 2, orden jurisdiccional civil, recurso de apelación, de la Ley 10/2012, de 20 de noviembre, por la que se regulan determinadas tasas en el ámbito de la Administración de Justicia y del Instituto Nacional de Toxicología y Ciencias Forenses, por posible vulneración del art. 24. 1 de la Constitución.</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la presente cuestión de inconstitucionalidad son los siguientes:</w:t>
      </w:r>
    </w:p>
    <w:p w:rsidR="001D6FAE" w:rsidRDefault="001D6FAE" w:rsidP="001D6FAE">
      <w:pPr>
        <w:pStyle w:val="TextoNormal"/>
      </w:pPr>
    </w:p>
    <w:p w:rsidR="001D6FAE" w:rsidRDefault="001D6FAE" w:rsidP="001D6FAE">
      <w:pPr>
        <w:pStyle w:val="TextoNormal"/>
      </w:pPr>
      <w:r>
        <w:t>a) Don Manuel Pais Miñones y la entidad Reale Seguros Generales, S.A., formularon demanda contra Unión Fenosa Distribución, S.A., y Gas Natural Fenosa, S.A., en reclamación de cantidad en concepto de indemnización por los daños presuntamente ocasionados por una alteración de la tensión en el suministro eléctrico llevado a cabo por la codemandada. La entidad aseguradora, con arreglo a lo dispuesto en el art. 43 de la Ley 50/1980, de 8 de octubre, de contrato de seguro, reclamaba la cantidad de 2.253,07 € en que alegaba haber indemnizado a su asegurado, mientras que esté último pretendía la de 3.200 € que carecía de cobertura. El conocimiento de dicha demanda correspondió al Juzgado de Primera Instancia núm. 8 de A Coruña, tramitándose el juicio verbal núm. 1058-2014 y recayendo, en fecha 17 de abril de 2015, Sentencia desestimatoria de la demanda.</w:t>
      </w:r>
    </w:p>
    <w:p w:rsidR="001D6FAE" w:rsidRDefault="001D6FAE" w:rsidP="001D6FAE">
      <w:pPr>
        <w:pStyle w:val="TextoNormal"/>
      </w:pPr>
    </w:p>
    <w:p w:rsidR="001D6FAE" w:rsidRDefault="001D6FAE" w:rsidP="001D6FAE">
      <w:pPr>
        <w:pStyle w:val="TextoNormal"/>
      </w:pPr>
      <w:r>
        <w:t>b) Don Manuel Pais Miñones y la entidad Reale Seguros Generales, S.A., bajo la misma representación, interpusieron recurso de apelación frente a la citada sentencia sin acompañar el justificante de pago de la tasa prevista en los arts. 2 e) y 7.1 y 2 de la Ley 10/2012, de 20 de noviembre. Por diligencia de ordenación de 2 de junio de 2015 se concedió un plazo de diez días para la subsanación del defecto. No habiendo sido subsanado tal extremo, por diligencia de ordenación de 27 de julio de 2015 se acordó dar cuenta al titular del órgano jurisdiccional para resolver sobre la admisión o inadmisión del recurso de apelación.</w:t>
      </w:r>
    </w:p>
    <w:p w:rsidR="001D6FAE" w:rsidRDefault="001D6FAE" w:rsidP="001D6FAE">
      <w:pPr>
        <w:pStyle w:val="TextoNormal"/>
      </w:pPr>
    </w:p>
    <w:p w:rsidR="001D6FAE" w:rsidRDefault="001D6FAE" w:rsidP="001D6FAE">
      <w:pPr>
        <w:pStyle w:val="TextoNormal"/>
      </w:pPr>
      <w:r>
        <w:t>c) Con esta misma fecha de 27 de julio de 2015 se dictó providencia acordando, conforme a lo dispuesto en el art. 35.2 de la Ley Orgánica 2/1979 del Tribunal Constitucional, otorgar a las partes y al Ministerio Fiscal un plazo común de diez días, con suspensión del procedimiento, para que alegasen lo que estimaren oportuno sobre la pertinencia de plantear cuestión de inconstitucionalidad “por la posible vulneración por los arts. 2 e) y 7 .1 y 2 de la Ley 10/2012, de 20 de noviembre, de lo dispuesto en el art. 24.1 de la Constitución Española”.</w:t>
      </w:r>
    </w:p>
    <w:p w:rsidR="001D6FAE" w:rsidRDefault="001D6FAE" w:rsidP="001D6FAE">
      <w:pPr>
        <w:pStyle w:val="TextoNormal"/>
      </w:pPr>
    </w:p>
    <w:p w:rsidR="001D6FAE" w:rsidRDefault="001D6FAE" w:rsidP="001D6FAE">
      <w:pPr>
        <w:pStyle w:val="TextoNormal"/>
      </w:pPr>
      <w:r>
        <w:t>d) En las alegaciones presentadas en dicho incidente, la parte actora consideró procedente el planteamiento de la cuestión de inconstitucionalidad. El Ministerio Fiscal consideró pertinente el planteamiento de la cuestión al no ser infundada la duda sobre el precepto legal y reunirse los requisitos formales.</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18 de noviembre de 2015 del Juzgado de Primera Instancia núm. 8 de A Coruña presenta la cuestión en los siguientes términos:</w:t>
      </w:r>
    </w:p>
    <w:p w:rsidR="001D6FAE" w:rsidRDefault="001D6FAE" w:rsidP="001D6FAE">
      <w:pPr>
        <w:pStyle w:val="TextoNormal"/>
      </w:pPr>
    </w:p>
    <w:p w:rsidR="001D6FAE" w:rsidRDefault="001D6FAE" w:rsidP="001D6FAE">
      <w:pPr>
        <w:pStyle w:val="TextoNormal"/>
      </w:pPr>
      <w:r>
        <w:t xml:space="preserve">Comienza reparando en que con la reforma operada por el Real Decreto-ley 1/2015, de 27 de febrero, se ha incluido entre las exenciones subjetivas a las personas físicas [art. 4. 2 a) según la nueva redacción de la “Ley de Tasas”], si bien en el supuesto enjuiciado la demanda se presenta no sólo por una persona física sino también por una persona jurídica (la aseguradora subrogada </w:t>
      </w:r>
      <w:r w:rsidRPr="001D6FAE">
        <w:rPr>
          <w:i/>
        </w:rPr>
        <w:t>ex</w:t>
      </w:r>
      <w:r>
        <w:t xml:space="preserve"> art. 43 de la Ley de contrato de seguro) y cada uno de los accionantes reclama una indemnización diversa. En consecuencia, afirma, nos encontramos en la tesitura de admitir o no el recurso de apelación interpuesto por la aseguradora, toda vez que no ha ingresado en el plazo de subsanación el importe de la tasa.</w:t>
      </w:r>
    </w:p>
    <w:p w:rsidR="001D6FAE" w:rsidRDefault="001D6FAE" w:rsidP="001D6FAE">
      <w:pPr>
        <w:pStyle w:val="TextoNormal"/>
      </w:pPr>
    </w:p>
    <w:p w:rsidR="001D6FAE" w:rsidRDefault="001D6FAE" w:rsidP="001D6FAE">
      <w:pPr>
        <w:pStyle w:val="TextoNormal"/>
      </w:pPr>
      <w:r>
        <w:t>Entrando en el examen de fondo, el órgano judicial considera que la exigencia de la tasa para la admisión del recurso de apelación, en su configuración legal, puede ser contraria al derecho a la tutela judicial efectiva (art 24.1 CE), en su modalidad de acceso a los recursos.</w:t>
      </w:r>
    </w:p>
    <w:p w:rsidR="001D6FAE" w:rsidRDefault="001D6FAE" w:rsidP="001D6FAE">
      <w:pPr>
        <w:pStyle w:val="TextoNormal"/>
      </w:pPr>
    </w:p>
    <w:p w:rsidR="001D6FAE" w:rsidRDefault="001D6FAE" w:rsidP="001D6FAE">
      <w:pPr>
        <w:pStyle w:val="TextoNormal"/>
      </w:pPr>
      <w:r>
        <w:t>En síntesis, el órgano judicial razona que si bien conforme a los pronunciamientos del Tribunal Constitucional la imposición de tasas judiciales y la subordinación de la admisión de demandas y recursos a su previo abono son decisiones legislativas que se acomodan a la Constitución Española, no obstante el propio Tribunal establece la salvedad de que la cuantía de las tasas sea tan elevada que impida en la práctica el ejercicio del derecho fundamental o lo obstaculice en un caso concreto en términos irrazonables (STC 20/2012, FJ 10).</w:t>
      </w:r>
    </w:p>
    <w:p w:rsidR="001D6FAE" w:rsidRDefault="001D6FAE" w:rsidP="001D6FAE">
      <w:pPr>
        <w:pStyle w:val="TextoNormal"/>
      </w:pPr>
    </w:p>
    <w:p w:rsidR="001D6FAE" w:rsidRDefault="001D6FAE" w:rsidP="001D6FAE">
      <w:pPr>
        <w:pStyle w:val="TextoNormal"/>
      </w:pPr>
      <w:r>
        <w:t xml:space="preserve">Razona que la exigencia de una tasa para el recurso de apelación civil, tal y como está configurada, puede vulnerar la tutela judicial efectiva en tanto en cuanto por mor de la tasa el justiciable ve mermado de modo no desdeñable el </w:t>
      </w:r>
      <w:r w:rsidRPr="001D6FAE">
        <w:rPr>
          <w:i/>
        </w:rPr>
        <w:t>quantum</w:t>
      </w:r>
      <w:r>
        <w:t xml:space="preserve"> de su pretensión o sufre un perjuicio patrimonial no resarcible que viene motivado por una deficiencia del propio servicio que se retribuye con las tasas. Cuando la tasa se le impone a la parte que intenta corregir un defecto del propio funcionamiento del servicio, parece irrazonable o excesivo que acabe soportando tal coste cuando se reconoce finalmente su derecho inicialmente desatendido.</w:t>
      </w:r>
    </w:p>
    <w:p w:rsidR="001D6FAE" w:rsidRDefault="001D6FAE" w:rsidP="001D6FAE">
      <w:pPr>
        <w:pStyle w:val="TextoNormal"/>
      </w:pPr>
    </w:p>
    <w:p w:rsidR="001D6FAE" w:rsidRDefault="001D6FAE" w:rsidP="001D6FAE">
      <w:pPr>
        <w:pStyle w:val="TextoNormal"/>
      </w:pPr>
      <w:r>
        <w:t xml:space="preserve">Prosigue señalando que, en el caso examinado, el recurrente ve minorada la pretensión de modo necesario; esto es, prosperando el recurso de apelación ve reducida su petición en la cuantía que ha tenido que satisfacer por la tasa, sin posibilidad alguna de reintegro. Así, razona que la Ley 10/2012 no contempla, a diferencia de lo que sucede con el depósito (disposición adicional decimoquinta de la Ley Orgánica del Poder Judicial: LOPJ), la devolución de la tasa si el recurso prospera. Si bien es cierto que la tasa es uno de los conceptos que forman parte de las costas (art. 242.1.7 de la Ley de enjuiciamiento civil: LEC), y por tal medio podría verse la parte resarcida de su importe, no lo es menos que aun prosperando el recurso de apelación las costas nunca pueden imponerse al recurrido (art. 398.2 LEC), lo que, en opinión del juez </w:t>
      </w:r>
      <w:r w:rsidRPr="001D6FAE">
        <w:rPr>
          <w:i/>
        </w:rPr>
        <w:t>a quo</w:t>
      </w:r>
      <w:r>
        <w:t>, resulta del todo punto razonable pues ninguna culpa cabe imputarle en el error padecido por la resolución recurrida. Nos encontramos, pues, con que el recurrente que ve acogido su recurso de apelación, pese a estar asistido de razón y haberse visto compelido a recurrir para obtenerla, ve forzosamente minorada su pretensión con el coste de la tasa que le ha supuesto el planteamiento del recurso, coste del que no puede reintegrarse en modo alguno.</w:t>
      </w:r>
    </w:p>
    <w:p w:rsidR="001D6FAE" w:rsidRDefault="001D6FAE" w:rsidP="001D6FAE">
      <w:pPr>
        <w:pStyle w:val="TextoNormal"/>
      </w:pPr>
    </w:p>
    <w:p w:rsidR="001D6FAE" w:rsidRDefault="001D6FAE" w:rsidP="001D6FAE">
      <w:pPr>
        <w:pStyle w:val="TextoNormal"/>
      </w:pPr>
      <w:r>
        <w:t xml:space="preserve">Añade que si comparamos esta situación con la tasa generada por la primera instancia, advertimos un trato desigual e irrazonable. Explica el Auto de planteamiento que si el actor vence con costas en la primera instancia, la Ley, por la vía de la condena en costas, le permite resarcirse de la tasa abonada (art. 241.1.7 LEC), esto es, el legislador que podía optar, con respeto a la Constitución Española, porque el que acude al servicio sufragara el gasto, sin embargo, le otorga la posibilidad de reintegrarse del mismo con cargo a la otra parte. Por el contrario, cuando de la tasa del recurso de apelación se trata y como no puede recuperar la misma por la vía de la condena en costas, pues no la hay para la recurrida, no pone a disposición del recurrente instrumento alguno a tal fin cuando el recurso es estimado, con la agravante de que, a diferencia de lo que acontece en la primera instancia, la necesidad de acudir al órgano </w:t>
      </w:r>
      <w:r w:rsidRPr="001D6FAE">
        <w:rPr>
          <w:i/>
        </w:rPr>
        <w:t>ad quem</w:t>
      </w:r>
      <w:r>
        <w:t xml:space="preserve"> viene originada por una respuesta inicial inadecuada.</w:t>
      </w:r>
    </w:p>
    <w:p w:rsidR="001D6FAE" w:rsidRDefault="001D6FAE" w:rsidP="001D6FAE">
      <w:pPr>
        <w:pStyle w:val="TextoNormal"/>
      </w:pPr>
    </w:p>
    <w:p w:rsidR="001D6FAE" w:rsidRDefault="001D6FAE" w:rsidP="001D6FAE">
      <w:pPr>
        <w:pStyle w:val="TextoNormal"/>
      </w:pPr>
      <w:r>
        <w:t>El Auto de planteamiento de la cuestión ilustra su argumentación con varios ejemplos para concluir que el erróneo ejercicio de la potestad jurisdiccional origina un desembolso que reduce el importe total de una pretensión ajustada a derecho. Y ello supone además un plus de gravosidad, pues el propio recurrente ha de soportar los costes de su Procurador y Abogado que genera el propio recurso, y que no podrá repercutir en la parte contraria. La deficiencia del propio servicio por el que se pagan las tasas acaba minorando la justa pretensión del demandante, lo que supone una traba que carece de razonabilidad.</w:t>
      </w:r>
    </w:p>
    <w:p w:rsidR="001D6FAE" w:rsidRDefault="001D6FAE" w:rsidP="001D6FAE">
      <w:pPr>
        <w:pStyle w:val="TextoNormal"/>
      </w:pPr>
    </w:p>
    <w:p w:rsidR="001D6FAE" w:rsidRDefault="001D6FAE" w:rsidP="001D6FAE">
      <w:pPr>
        <w:pStyle w:val="TextoNormal"/>
      </w:pPr>
      <w:r>
        <w:t>El órgano judicial advierte de las serias dudas de constitucionalidad del establecimiento de la interposición del recurso de apelación como hecho imponible, cuando al tiempo no existen otros medios legales de reintegrar su importe cuando el recurso es estimado. Sostiene que la previsión de que la deficiente prestación del servicio originara la devolución de su coste (al modo como se contempla para los depósitos para recurrir) colmaría el derecho fundamental a la tutela judicial efectiva, mas tal no acontece con la actual normativa.</w:t>
      </w:r>
    </w:p>
    <w:p w:rsidR="001D6FAE" w:rsidRDefault="001D6FAE" w:rsidP="001D6FAE">
      <w:pPr>
        <w:pStyle w:val="TextoNormal"/>
      </w:pPr>
    </w:p>
    <w:p w:rsidR="001D6FAE" w:rsidRDefault="001D6FAE" w:rsidP="001D6FAE">
      <w:pPr>
        <w:pStyle w:val="TextoNormal"/>
      </w:pPr>
      <w:r>
        <w:t>En definitiva, para el Auto de planteamiento, lo que pone bajo sospecha de inconstitucionalidad la configuración de la tasa en el recurso de apelación es que no permite al recurrente resarcirse de la tasa que se ha debido abonar para corregir el error inicial del propio servicio. Aunque el art. 8 de la Ley 10/2012 sí contempla supuestos de devolución, al menos parcial de la tasa, no lo hace para el caso de que el recurso prospere. El litigante al que asiste íntegramente el derecho debe salir indemne del proceso, que es el instrumento que el Estado pone a su disposición para obtener su reconocimiento, cuando ha sido el propio servicio el que le ha impelido a acudir a una instancia superior para enmendar el inicial desconocimiento de su derecho finalmente reconocido.</w:t>
      </w:r>
    </w:p>
    <w:p w:rsidR="001D6FAE" w:rsidRDefault="001D6FAE" w:rsidP="001D6FAE">
      <w:pPr>
        <w:pStyle w:val="TextoNormal"/>
      </w:pPr>
    </w:p>
    <w:p w:rsidR="001D6FAE" w:rsidRDefault="001D6FAE" w:rsidP="001D6FAE">
      <w:pPr>
        <w:pStyle w:val="TextoNormal"/>
      </w:pPr>
      <w:r>
        <w:t>Como segundo argumento en que fundamenta su duda de constitucionalidad, el órgano judicial cuestiona la cuantía de la tasa. Así, la cuantía reclamada por la compañía aseguradora es de 2.253,07 €, siendo la cuantía de la tasa, por aplicación del art. 7 de la Ley 10/2012, excepcionalmente elevada; en concreto, de 811,26 €, lo que supone el 39 por 100 de la cuantía reclamada por la persona jurídica, muy lejos de las “tasas preconstitucionales” que oscilaban entre el 6 y el 15 por 100. Denuncia que el sistema mixto de determinación de la cuota tributaria que recoge el art. 7 de la Ley castiga especialmente a las reclamaciones de menor importe, que se ven en términos absolutos porcentualmente muy gravadas y además comparativamente mucho más que las de mayor cantidad.</w:t>
      </w:r>
    </w:p>
    <w:p w:rsidR="001D6FAE" w:rsidRDefault="001D6FAE" w:rsidP="001D6FAE">
      <w:pPr>
        <w:pStyle w:val="TextoNormal"/>
      </w:pPr>
    </w:p>
    <w:p w:rsidR="001D6FAE" w:rsidRDefault="001D6FAE" w:rsidP="001D6FAE">
      <w:pPr>
        <w:pStyle w:val="TextoNormal"/>
      </w:pPr>
      <w:r>
        <w:t>Por último, concluye poniendo de relieve que las normas cuestionadas son relevantes y determinantes del fallo, al tratarse de uno de los supuestos de hecho imponible, como lo es la interposición del recurso de apelación, y la no justificación del pago de la tasa determinaría la inadmisión del recurso de la entidad apelante (arts. 8 de la Ley 10/2012 y 458.3 LEC).</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del Pleno de 19 de enero de 2016 se acordó admitir a trámite la presente cuestión, por posible vulneración del art. 24.1 CE; de conformidad con lo dispuesto en el artículo 10.1 c) de la Ley Orgánica del Tribunal Constitucional (LOTC), deferir a la Sala Segunda, a la que por turno objetivo le ha correspondido, el conocimiento de la presente cuestión;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(dicha publicación se llevó a efecto en el “BOE” núm. 22, de 26 de enero de 2016).</w:t>
      </w:r>
    </w:p>
    <w:p w:rsidR="001D6FAE" w:rsidRDefault="001D6FAE" w:rsidP="001D6FAE">
      <w:pPr>
        <w:pStyle w:val="TextoNormal"/>
      </w:pPr>
    </w:p>
    <w:p w:rsidR="001D6FAE" w:rsidRDefault="001D6FAE" w:rsidP="001D6FAE">
      <w:pPr>
        <w:pStyle w:val="TextoNormal"/>
      </w:pPr>
      <w:r w:rsidRPr="001D6FAE">
        <w:rPr>
          <w:rStyle w:val="NumeroAFNegritaCaracter"/>
        </w:rPr>
        <w:t>5</w:t>
      </w:r>
      <w:r>
        <w:t>. Mediante escrito registrado con fecha 3 de febrero de 2016, el Presidente del Senado comunicó el acuerdo de la Mesa de la Cámara de personarse en el procedimiento y ofrecer su colaboración a los efectos del art. 88.1 LOTC. De igual modo procedió el Presidente del Congreso de los Diputados por escrito que tuvo entrada en este Tribunal el día 5 de febrero de 2016.</w:t>
      </w:r>
    </w:p>
    <w:p w:rsidR="001D6FAE" w:rsidRDefault="001D6FAE" w:rsidP="001D6FAE">
      <w:pPr>
        <w:pStyle w:val="TextoNormal"/>
      </w:pPr>
    </w:p>
    <w:p w:rsidR="001D6FAE" w:rsidRDefault="001D6FAE" w:rsidP="001D6FAE">
      <w:pPr>
        <w:pStyle w:val="TextoNormal"/>
      </w:pPr>
      <w:r w:rsidRPr="001D6FAE">
        <w:rPr>
          <w:rStyle w:val="NumeroAFNegritaCaracter"/>
        </w:rPr>
        <w:t>6</w:t>
      </w:r>
      <w:r>
        <w:t>. El Abogado del Estado, en la representación que legalmente ostenta, presentó escrito que fue registrado en este Tribunal el día 12 de febrero de 2016 en el que interesa la desestimación de la cuestión.</w:t>
      </w:r>
    </w:p>
    <w:p w:rsidR="001D6FAE" w:rsidRDefault="001D6FAE" w:rsidP="001D6FAE">
      <w:pPr>
        <w:pStyle w:val="TextoNormal"/>
      </w:pPr>
    </w:p>
    <w:p w:rsidR="001D6FAE" w:rsidRDefault="001D6FAE" w:rsidP="001D6FAE">
      <w:pPr>
        <w:pStyle w:val="TextoNormal"/>
      </w:pPr>
      <w:r>
        <w:t>En su escrito, tras encuadrar el objeto de la presente cuestión de inconstitucionalidad, el representante de la Administración del Estado comienza exponiendo la doctrina de este Tribunal sobre la legitimidad constitucional de la imposición de tasas para financiar el servicio de la administración de justicia. Se refiere, en particular, a la STC 20/2012, de 16 de febrero, y a la STC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001D6FAE" w:rsidRDefault="001D6FAE" w:rsidP="001D6FAE">
      <w:pPr>
        <w:pStyle w:val="TextoNormal"/>
      </w:pPr>
    </w:p>
    <w:p w:rsidR="001D6FAE" w:rsidRDefault="001D6FAE" w:rsidP="001D6FAE">
      <w:pPr>
        <w:pStyle w:val="TextoNormal"/>
      </w:pPr>
      <w:r>
        <w:t>A continuación, el Abogado del Estado argumenta que únicamente cabría concluir que la tasa es inconstitucional si fuera desproporcionada por razón de su cuantía, de modo que el gravamen introdujera un obstáculo irrazonable. Aduce que para valorar la proporcionalidad de la tasa hay que tener en cuenta su cuantía, la capacidad económica de los sujetos y el momento en que se impone la tasa, es decir, si se grava la obtención de un primer pronunciamiento judicial o la fase de los sucesivos recursos. Se refiere después al razonamiento del Auto de planteamiento de la cuestión de inconstitucionalidad según el cual el carácter excesivo de la cuantía se genera porque “aun prosperando el recurso de apelación, las costas nunca pueden imponerse al recurrido (art. 398.2 LEC)”, de modo que “el recurrente que ve acogido su recurso de apelación ... ve forzosamente minorada su pretensión con el coste de la tasa que le ha supuesto el planteamiento del recurso, coste del que no puede reintegrarse en modo alguno”.</w:t>
      </w:r>
    </w:p>
    <w:p w:rsidR="001D6FAE" w:rsidRDefault="001D6FAE" w:rsidP="001D6FAE">
      <w:pPr>
        <w:pStyle w:val="TextoNormal"/>
      </w:pPr>
    </w:p>
    <w:p w:rsidR="001D6FAE" w:rsidRDefault="001D6FAE" w:rsidP="001D6FAE">
      <w:pPr>
        <w:pStyle w:val="TextoNormal"/>
      </w:pPr>
      <w:r>
        <w:t>Tras considerar las circunstancias del caso, argumenta que no resulta una quiebra excesiva, como se afirma, o al menos es algo opinable, y no objetivamente derivado del sólo importe de la tasa, que esta haya de considerarse de cuantía excesiva, y que no es suficiente la opinión que la proporcionalidad nos pueda merecer en un caso concreto, en esta tesitura, para sustituir la opción ordenadora que sólo al legislador corresponde por la decisión singular del órgano judicial.</w:t>
      </w:r>
    </w:p>
    <w:p w:rsidR="001D6FAE" w:rsidRDefault="001D6FAE" w:rsidP="001D6FAE">
      <w:pPr>
        <w:pStyle w:val="TextoNormal"/>
      </w:pPr>
    </w:p>
    <w:p w:rsidR="001D6FAE" w:rsidRDefault="001D6FAE" w:rsidP="001D6FAE">
      <w:pPr>
        <w:pStyle w:val="TextoNormal"/>
      </w:pPr>
      <w:r>
        <w:t>Partiendo de que resulta objetivamente asumible que las resoluciones judiciales sean revocadas en instancias superiores, considera el Abogado del Estado que tal cosa no constituye una “deficiencia del servicio”; y que el hecho de que recaída una sentencia en apelación, el apelante, aun estimado su recurso, no pueda obtener el reembolso de la tasa que tuvo que abonar para recurrir, constituye un efecto legal no derivado de la Ley 10/2012 y de los concretos preceptos cuestionados, sino que se deduce de la imposibilidad de condena en costas al recurrido que establece la Ley 1/2000, de 7 de enero, de enjuiciamiento civil, en su artículo 398.2.</w:t>
      </w:r>
    </w:p>
    <w:p w:rsidR="001D6FAE" w:rsidRDefault="001D6FAE" w:rsidP="001D6FAE">
      <w:pPr>
        <w:pStyle w:val="TextoNormal"/>
      </w:pPr>
    </w:p>
    <w:p w:rsidR="001D6FAE" w:rsidRDefault="001D6FAE" w:rsidP="001D6FAE">
      <w:pPr>
        <w:pStyle w:val="TextoNormal"/>
      </w:pPr>
      <w:r>
        <w:t>Continúa el defensor del Gobierno de la Nación argumentado que la configuración legal específica del régimen de la condena en costas en apelación no constituye en modo alguno una supuesta infracción del derecho a la tutela jurisdiccional universal. Se trata, por el contrario, de una manifestación legítima del ejercicio por parte del legislador procesal de una opción en orden a definir, entre las alternativas posibles dentro de su margen discrecional de ordenación, el régimen jurídico de la condena en costas. Aduce que el criterio de la no repetición del coste de las costas en segunda instancia frente a la parte que habría obtenido sentencia favorable en primera instancia es en sí mismo un efecto jurídico coherente con el criterio del vencimiento por el que el legislador ha optado en su margen de discrecionalidad ordenadora, y, en cambio, la tasa judicial corre paralela en cuanto que responde a otra necesidad distinta como es la de sufragar un servicio público.</w:t>
      </w:r>
    </w:p>
    <w:p w:rsidR="001D6FAE" w:rsidRDefault="001D6FAE" w:rsidP="001D6FAE">
      <w:pPr>
        <w:pStyle w:val="TextoNormal"/>
      </w:pPr>
    </w:p>
    <w:p w:rsidR="001D6FAE" w:rsidRDefault="001D6FAE" w:rsidP="001D6FAE">
      <w:pPr>
        <w:pStyle w:val="TextoNormal"/>
      </w:pPr>
      <w:r>
        <w:t>Concluye señalando que no deben interrelacionarse los aspectos de tasas judiciales y condena en costas, al menos sin un previo planteamiento explícito de la cuestión de manera que hubiese sido extensiva también a los preceptos procesales que regulan la condena en costas —lo que no ha sido el caso—. Dicha conexión conceptual entre esos dos sistemas de distinta naturaleza, origen y finalidad ordenadora, es, a su juicio, “una correlación en sí misma inadecuada dialécticamente para un análisis de la constitucionalidad de los preceptos reguladores del régimen de tasas judiciales en la apelación civil”, sobre los que versa la cuestión.</w:t>
      </w:r>
    </w:p>
    <w:p w:rsidR="001D6FAE" w:rsidRDefault="001D6FAE" w:rsidP="001D6FAE">
      <w:pPr>
        <w:pStyle w:val="TextoNormal"/>
      </w:pPr>
    </w:p>
    <w:p w:rsidR="001D6FAE" w:rsidRDefault="001D6FAE" w:rsidP="001D6FAE">
      <w:pPr>
        <w:pStyle w:val="TextoNormal"/>
      </w:pPr>
      <w:r w:rsidRPr="001D6FAE">
        <w:rPr>
          <w:rStyle w:val="NumeroAFNegritaCaracter"/>
        </w:rPr>
        <w:t>7</w:t>
      </w:r>
      <w:r>
        <w:t>. La Fiscal General del Estado presentó su escrito de alegaciones el 16 de febrero de 2016. En él solicita la estimación de la cuestión de inconstitucionalidad por vulneración del derecho a la tutela judicial efectiva (art. 24.1 CE), en su modalidad de acceso a los recursos y, por consiguiente, la declaración de inconstitucionalidad del art. 7.1 de la Ley 10/2012, de 20 de noviembre, en su redacción dada por Real Decreto-ley 2/2013, de 22 de febrero, y del art. 7.2 de la Ley 10/2012, en su redacción actual dada por Ley 25/2015, de 28 de julio, en lo que afecta exclusivamente al pago de la tasa en el orden jurisdiccional civil para la interposición del recurso de apelación.</w:t>
      </w:r>
    </w:p>
    <w:p w:rsidR="001D6FAE" w:rsidRDefault="001D6FAE" w:rsidP="001D6FAE">
      <w:pPr>
        <w:pStyle w:val="TextoNormal"/>
      </w:pPr>
    </w:p>
    <w:p w:rsidR="001D6FAE" w:rsidRDefault="001D6FAE" w:rsidP="001D6FAE">
      <w:pPr>
        <w:pStyle w:val="TextoNormal"/>
      </w:pPr>
      <w:r>
        <w:t>Tras hacer relación circunstanciada de los antecedentes y de los preceptos legales cuestionados, comienza la Fiscal General del Estado aclarando que el objeto de la presente cuestión, que se plantea una vez aprobado el Real Decreto-ley 1/2015, de 27 de febrero, norma que, junto a la posterior Ley 25/2015, de 28 de julio, excluyeron a las personas físicas de la obligación de pago de la tasa judicial [art. 4.2 a) de la Ley 10/2012, de 20 de noviembre], se limita a la previsión de pago de las tasas judiciales para las personas jurídicas en el recurso de apelación de la jurisdicción civil. Se trata, dice, de un aspecto destacado en el propio Auto de planteamiento de la cuestión donde advierte, en su fundamento jurídico 1, que la demanda fue presentada por una persona física, pero también por una persona jurídica, concretamente la compañía aseguradora Reale Seguros Generales, S.A., reclamando indemnizaciones distintas.</w:t>
      </w:r>
    </w:p>
    <w:p w:rsidR="001D6FAE" w:rsidRDefault="001D6FAE" w:rsidP="001D6FAE">
      <w:pPr>
        <w:pStyle w:val="TextoNormal"/>
      </w:pPr>
    </w:p>
    <w:p w:rsidR="001D6FAE" w:rsidRDefault="001D6FAE" w:rsidP="001D6FAE">
      <w:pPr>
        <w:pStyle w:val="TextoNormal"/>
      </w:pPr>
      <w:r>
        <w:t>En segundo lugar,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w:t>
      </w:r>
    </w:p>
    <w:p w:rsidR="001D6FAE" w:rsidRDefault="001D6FAE" w:rsidP="001D6FAE">
      <w:pPr>
        <w:pStyle w:val="TextoNormal"/>
      </w:pPr>
    </w:p>
    <w:p w:rsidR="001D6FAE" w:rsidRDefault="001D6FAE" w:rsidP="001D6FAE">
      <w:pPr>
        <w:pStyle w:val="TextoNormal"/>
      </w:pPr>
      <w:r>
        <w:t>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w:t>
      </w:r>
    </w:p>
    <w:p w:rsidR="001D6FAE" w:rsidRDefault="001D6FAE" w:rsidP="001D6FAE">
      <w:pPr>
        <w:pStyle w:val="TextoNormal"/>
      </w:pPr>
    </w:p>
    <w:p w:rsidR="001D6FAE" w:rsidRDefault="001D6FAE" w:rsidP="001D6FAE">
      <w:pPr>
        <w:pStyle w:val="TextoNormal"/>
      </w:pPr>
      <w:r>
        <w:t>Sigue a ello un exhaustivo repaso de la doctrina del Tribunal Europeo de Derechos Humanos y del Tribunal de Justicia de la Unión Europea.</w:t>
      </w:r>
    </w:p>
    <w:p w:rsidR="001D6FAE" w:rsidRDefault="001D6FAE" w:rsidP="001D6FAE">
      <w:pPr>
        <w:pStyle w:val="TextoNormal"/>
      </w:pPr>
    </w:p>
    <w:p w:rsidR="001D6FAE" w:rsidRDefault="001D6FAE" w:rsidP="001D6FAE">
      <w:pPr>
        <w:pStyle w:val="TextoNormal"/>
      </w:pPr>
      <w:r>
        <w:t>Del Tribunal Europeo de Derechos Humanos destaca que ha estimado las demandas por vulneración del art. 6.1 del Convenio europeo para la protección de los derechos humanos y de las libertades fundamentales (derecho de acceso a un Tribunal) en aquellos casos en que, por las concretas circunstancias concurrentes, la cuantía de la tasa exigida podía ser calificada de excesiva o desproporcionada en atención a la situación financiera y/o capacidad económica de los recurrentes (</w:t>
      </w:r>
      <w:r w:rsidRPr="001D6FAE">
        <w:rPr>
          <w:i/>
        </w:rPr>
        <w:t>Vid</w:t>
      </w:r>
      <w:r>
        <w:t xml:space="preserve">., entre otras, SSTEDH asunto </w:t>
      </w:r>
      <w:r w:rsidRPr="001D6FAE">
        <w:rPr>
          <w:i/>
        </w:rPr>
        <w:t>Coskun c. Turquía</w:t>
      </w:r>
      <w:r>
        <w:t xml:space="preserve">, 27 enero 2015, §§ 25-26; asunto </w:t>
      </w:r>
      <w:r w:rsidRPr="001D6FAE">
        <w:rPr>
          <w:i/>
        </w:rPr>
        <w:t>Kaba c. Turquía</w:t>
      </w:r>
      <w:r>
        <w:t xml:space="preserve">, 1 marzo 2011, §§ 22-24; asunto </w:t>
      </w:r>
      <w:r w:rsidRPr="001D6FAE">
        <w:rPr>
          <w:i/>
        </w:rPr>
        <w:t>Adnan Ózdemir c. Turquía</w:t>
      </w:r>
      <w:r>
        <w:t xml:space="preserve">, 20 mayo 2010, § 21; asunto </w:t>
      </w:r>
      <w:r w:rsidRPr="001D6FAE">
        <w:rPr>
          <w:i/>
        </w:rPr>
        <w:t>Silvogrecu Com. S.R.L. c. Rumania</w:t>
      </w:r>
      <w:r>
        <w:t xml:space="preserve">, 23 febrero de 2010, §§ 38 y 39; asunto </w:t>
      </w:r>
      <w:r w:rsidRPr="001D6FAE">
        <w:rPr>
          <w:i/>
        </w:rPr>
        <w:t>Adam c. Rumania</w:t>
      </w:r>
      <w:r>
        <w:t xml:space="preserve">, 3 noviembre 2009, §§ 29-31; asunto </w:t>
      </w:r>
      <w:r w:rsidRPr="001D6FAE">
        <w:rPr>
          <w:i/>
        </w:rPr>
        <w:t>Agromodel Ood c. Bulgaria</w:t>
      </w:r>
      <w:r>
        <w:t xml:space="preserve">, 24 septiembre 2009, § 47; asunto </w:t>
      </w:r>
      <w:r w:rsidRPr="001D6FAE">
        <w:rPr>
          <w:i/>
        </w:rPr>
        <w:t>Tzvyatkov c. Bulgaria</w:t>
      </w:r>
      <w:r>
        <w:t xml:space="preserve">, 12 junio 2008, § 26; asunto </w:t>
      </w:r>
      <w:r w:rsidRPr="001D6FAE">
        <w:rPr>
          <w:i/>
        </w:rPr>
        <w:t>Bakan c. Turquía</w:t>
      </w:r>
      <w:r>
        <w:t xml:space="preserve">, 12 junio 2007, §§ 67-68; asunto </w:t>
      </w:r>
      <w:r w:rsidRPr="001D6FAE">
        <w:rPr>
          <w:i/>
        </w:rPr>
        <w:t>Weissman y otros c. Rumania</w:t>
      </w:r>
      <w:r>
        <w:t xml:space="preserve">, 24 mayo 2006, §§ 3 9-42; asunto </w:t>
      </w:r>
      <w:r w:rsidRPr="001D6FAE">
        <w:rPr>
          <w:i/>
        </w:rPr>
        <w:t>Ait-Mouhoub c. Francia</w:t>
      </w:r>
      <w:r>
        <w:t>, 28 octubre 1998, § 48 y ss.), censurando la falta de flexibilidad del sistema de tasas judiciales, la prohibición general de exoneración del pago de las tasas y la no concesión de un margen de apreciación al juez.</w:t>
      </w:r>
    </w:p>
    <w:p w:rsidR="001D6FAE" w:rsidRDefault="001D6FAE" w:rsidP="001D6FAE">
      <w:pPr>
        <w:pStyle w:val="TextoNormal"/>
      </w:pPr>
    </w:p>
    <w:p w:rsidR="001D6FAE" w:rsidRDefault="001D6FAE" w:rsidP="001D6FAE">
      <w:pPr>
        <w:pStyle w:val="TextoNormal"/>
      </w:pPr>
      <w:r>
        <w:t>Con arreglo a su doctrina, serán factores a tener en cuenta: (i) la cuantía de la tasa, (ii) la forma de cálculo, (iii) la capacidad económica del obligado al pago y (iv) la fase del procedimiento en que las tasas se exigen (</w:t>
      </w:r>
      <w:r w:rsidRPr="001D6FAE">
        <w:rPr>
          <w:i/>
        </w:rPr>
        <w:t>Vid</w:t>
      </w:r>
      <w:r>
        <w:t xml:space="preserve">. SSTEDH asunto </w:t>
      </w:r>
      <w:r w:rsidRPr="001D6FAE">
        <w:rPr>
          <w:i/>
        </w:rPr>
        <w:t>MacKee c. Hungría</w:t>
      </w:r>
      <w:r>
        <w:t xml:space="preserve">, 3 junio 2014, §§ 22 y 29; asunto </w:t>
      </w:r>
      <w:r w:rsidRPr="001D6FAE">
        <w:rPr>
          <w:i/>
        </w:rPr>
        <w:t>Julin c. Estonia</w:t>
      </w:r>
      <w:r>
        <w:t>, 20 mayo 2012, § 159).</w:t>
      </w:r>
    </w:p>
    <w:p w:rsidR="001D6FAE" w:rsidRDefault="001D6FAE" w:rsidP="001D6FAE">
      <w:pPr>
        <w:pStyle w:val="TextoNormal"/>
      </w:pPr>
    </w:p>
    <w:p w:rsidR="001D6FAE" w:rsidRDefault="001D6FAE" w:rsidP="001D6FAE">
      <w:pPr>
        <w:pStyle w:val="TextoNormal"/>
      </w:pPr>
      <w:r>
        <w:t xml:space="preserve">Respecto del Tribunal de Justicia de la Unión Europea, subraya que en su Sentencia de 22 diciembre 2010, dictada en el asunto C-279/09, </w:t>
      </w:r>
      <w:r w:rsidRPr="001D6FAE">
        <w:rPr>
          <w:i/>
        </w:rPr>
        <w:t>DEB Deutsche Energiehundels-und Beratungsgesellschaft mbH y Bundesrepublik Deutschland</w:t>
      </w:r>
      <w:r>
        <w:t>, se ha pronunciado en términos semejantes, al valorar si los requisitos exigidos por la legislación de un Estado miembro para dispensar a un justiciable del pago anticipado de las costas procesales podían constituir un obstáculo al derecho de acceso a un Tribunal y, por tanto, representar una vulneración del derecho a la tutela judicial efectiva previsto en el art. 47 de la Carta de los Derechos Fundamentales de la Unión Europea (§§ 29-32).</w:t>
      </w:r>
    </w:p>
    <w:p w:rsidR="001D6FAE" w:rsidRDefault="001D6FAE" w:rsidP="001D6FAE">
      <w:pPr>
        <w:pStyle w:val="TextoNormal"/>
      </w:pPr>
    </w:p>
    <w:p w:rsidR="001D6FAE" w:rsidRDefault="001D6FAE" w:rsidP="001D6FAE">
      <w:pPr>
        <w:pStyle w:val="TextoNormal"/>
      </w:pPr>
      <w:r>
        <w:t>Para el Tribunal de Justicia de la Unión Europea corresponde al juez nacional comprobar si los requisitos para la concesión de la asistencia jurídica gratuita constituyen una limitación del derecho de acceso a los Tribunales que pueda afectar a la propia esencia de este derecho, si persiguen un fin legítimo y si existe una relación razonable de proporcionalidad entre los medios empleados y el fin perseguido (§ 60). Según la citada Sentencia “al realizar esta apreciación, el juez nacional puede tomar en consideración el objeto del litigio, la existencia de posibilidades razonables de que el demandante salga vencedor del proceso, la importancia que para éste tiene el objeto del proceso, la complejidad del Derecho y del procedimiento aplicables, así como la capacidad del demandante de defender eficazmente su causa. Para valorar la proporcionalidad, el juez nacional puede también tener en cuenta el importe de las costas de procedimiento que deben abonarse por anticipado y si éstas pueden representar o no un obstáculo insuperable al acceso a la justicia” (§ 61).</w:t>
      </w:r>
    </w:p>
    <w:p w:rsidR="001D6FAE" w:rsidRDefault="001D6FAE" w:rsidP="001D6FAE">
      <w:pPr>
        <w:pStyle w:val="TextoNormal"/>
      </w:pPr>
    </w:p>
    <w:p w:rsidR="001D6FAE" w:rsidRDefault="001D6FAE" w:rsidP="001D6FAE">
      <w:pPr>
        <w:pStyle w:val="TextoNormal"/>
      </w:pPr>
      <w:r>
        <w:t>Acto seguido razona el Ministerio público que,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 la entidad obligada al pago ni sus circunstancias concretas, pudiendo provocar un efecto disuasorio en el ejercicio de los recursos previstos en la ley.</w:t>
      </w:r>
    </w:p>
    <w:p w:rsidR="001D6FAE" w:rsidRDefault="001D6FAE" w:rsidP="001D6FAE">
      <w:pPr>
        <w:pStyle w:val="TextoNormal"/>
      </w:pPr>
    </w:p>
    <w:p w:rsidR="001D6FAE" w:rsidRDefault="001D6FAE" w:rsidP="001D6FAE">
      <w:pPr>
        <w:pStyle w:val="TextoNormal"/>
      </w:pPr>
      <w:r>
        <w:t xml:space="preserve">Si bien en el presente caso la entidad obligada al pago es una compañía aseguradora que no parece que carezca de capacidad económica o, al menos, el juez </w:t>
      </w:r>
      <w:r w:rsidRPr="001D6FAE">
        <w:rPr>
          <w:i/>
        </w:rPr>
        <w:t>a quo</w:t>
      </w:r>
      <w:r>
        <w:t xml:space="preserve"> nada argumenta sobre tal capacidad, el sistema de cálculo descrito, basado en porcentajes fijos dependientes de la naturaleza del proceso (o del recurso) y de su cuantía, y totalmente ajenos a la capacidad económica real del sujeto pasivo, no parece ajustarse a las exigencias impuestas por la doctrina del Tribunal Europeo de Derechos Humanos citada.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tal como advirtió la propia STC 20/2012, FJ 10, en su vertiente de acceso a los recursos.</w:t>
      </w:r>
    </w:p>
    <w:p w:rsidR="001D6FAE" w:rsidRDefault="001D6FAE" w:rsidP="001D6FAE">
      <w:pPr>
        <w:pStyle w:val="TextoNormal"/>
      </w:pPr>
    </w:p>
    <w:p w:rsidR="001D6FAE" w:rsidRDefault="001D6FAE" w:rsidP="001D6FAE">
      <w:pPr>
        <w:pStyle w:val="TextoNormal"/>
      </w:pPr>
      <w:r>
        <w:t xml:space="preserve">Por otra parte, como pone de manifiesto el propio Juez, el carácter no reintegrable de la tasa abonada para interponer recurso de apelación civil, unido al carácter desorbitado de la cuantía de la tasa, pueden actuar como un verdadero factor de disuasión, desincentivando la interposición de recursos de apelación en el orden jurisdiccional civil, ante la inexistencia de medios para obtener el reintegro de la tasa que debe abonarse de forma anticipada como </w:t>
      </w:r>
      <w:r w:rsidRPr="001D6FAE">
        <w:rPr>
          <w:i/>
        </w:rPr>
        <w:t>condictio sine qua non</w:t>
      </w:r>
      <w:r>
        <w:t xml:space="preserve"> para la admisión del recurso, pues el esfuerzo generado por el pago adelantado de la tasa judicial no se vería recompensado mediante su reintegro, para el caso en que el recurrente viera estimadas sus pretensiones en apelación.</w:t>
      </w:r>
    </w:p>
    <w:p w:rsidR="001D6FAE" w:rsidRDefault="001D6FAE" w:rsidP="001D6FAE">
      <w:pPr>
        <w:pStyle w:val="TextoNormal"/>
      </w:pPr>
    </w:p>
    <w:p w:rsidR="001D6FAE" w:rsidRDefault="001D6FAE" w:rsidP="001D6FAE">
      <w:pPr>
        <w:pStyle w:val="TextoNormal"/>
      </w:pPr>
      <w:r>
        <w:t xml:space="preserve">En conclusión, el pago por adelantado de la tasa para interponer recurso de apelación civil, en una cuantía nada desdeñable —que asciende a la cantidad de 800 € en concepto de cuantía fija a la que habrá de sumarse la cuantía variable conforme al sistema de cálculo que establece el cuestionado art. 7.2 de la Ley 10/2012—, y la imposibilidad de recuperar su importe por la vía de la condena en costas, a pesar de que el recurrente vea estimadas, total o parcialmente, sus pretensiones en segunda instancia (art. 398.2 LEC), unido al pago del depósito judicial (disposición adicional decimoquinta LOPJ) así como de otros costes económicos derivados del proceso, pueden hacer ilusorio el ejercicio del derecho a los recursos en la medida que provocan, como consecuencia, un efecto disuasorio en los justiciables. El factor de disuasión adquiere un singular impacto cuando se trata de la reclamación de cantidades de escasa cuantía, como sucede en el presente caso, y así es advertido por el Juez </w:t>
      </w:r>
      <w:r w:rsidRPr="001D6FAE">
        <w:rPr>
          <w:i/>
        </w:rPr>
        <w:t>a quo</w:t>
      </w:r>
      <w:r>
        <w:t xml:space="preserve"> en su Auto de planteamiento de la cuestión.</w:t>
      </w:r>
    </w:p>
    <w:p w:rsidR="001D6FAE" w:rsidRDefault="001D6FAE" w:rsidP="001D6FAE">
      <w:pPr>
        <w:pStyle w:val="TextoNormal"/>
      </w:pPr>
    </w:p>
    <w:p w:rsidR="001D6FAE" w:rsidRDefault="001D6FAE" w:rsidP="001D6FAE">
      <w:pPr>
        <w:pStyle w:val="TextoNormal"/>
      </w:pPr>
      <w:r>
        <w:t>Con base en lo anterior, la Fiscal General del Estado solicita que se estime la cuestión de inconstitucionalidad en los términos indicados.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Juzgado de Primera Instancia núm. 8 de A Coruña plantea cuestión de inconstitucionalidad sobre los arts. 2 e) y 7.1 y 2 de la Ley 10/2012, de 20 de noviembre, por la que se regulan determinadas tasas en el ámbito de la Administración de Justicia y del Instituto Nacional de Toxicología y Ciencias Forenses, respecto del recurso de apelación en el orden jurisdiccional civil, por posible vulneración del art. 24. 1 CE.</w:t>
      </w:r>
    </w:p>
    <w:p w:rsidR="001D6FAE" w:rsidRDefault="001D6FAE" w:rsidP="001D6FAE">
      <w:pPr>
        <w:pStyle w:val="TextoNormal"/>
      </w:pPr>
    </w:p>
    <w:p w:rsidR="001D6FAE" w:rsidRDefault="001D6FAE" w:rsidP="001D6FAE">
      <w:pPr>
        <w:pStyle w:val="TextoNormal"/>
      </w:pPr>
      <w:r>
        <w:t>El artículo 2 establece que el hecho imponible de la tasa está constituido por el ejercicio de la potestad jurisdiccional originada por el ejercicio de una serie de actos procesales entre los que se encuentra “e) La interposición de recursos de apelación contra sentencias en el orden civil”.</w:t>
      </w:r>
    </w:p>
    <w:p w:rsidR="001D6FAE" w:rsidRDefault="001D6FAE" w:rsidP="001D6FAE">
      <w:pPr>
        <w:pStyle w:val="TextoNormal"/>
      </w:pPr>
    </w:p>
    <w:p w:rsidR="001D6FAE" w:rsidRDefault="001D6FAE" w:rsidP="001D6FAE">
      <w:pPr>
        <w:pStyle w:val="TextoNormal"/>
      </w:pPr>
      <w:r>
        <w:t>El artículo 7, sobre “determinación de la cuota tributaria” establece en su apartado primero una cuantía de 800 € para el recurso de apelación en el orden jurisdiccional civil, añadiendo el apartado segundo que “deberá satisfacerse, además, la cantidad que resulte de aplicar a la base imponible determinada con arreglo a lo dispuesto en el artículo anterior, el tipo de gravamen que corresponda, según la siguiente escala: De: 0 A: 1.000.000 €: Tipo %: 0,5; Resto: Tipo %: 0,25; Máximo variable: 10.000 €”.</w:t>
      </w:r>
    </w:p>
    <w:p w:rsidR="001D6FAE" w:rsidRDefault="001D6FAE" w:rsidP="001D6FAE">
      <w:pPr>
        <w:pStyle w:val="TextoNormal"/>
      </w:pPr>
    </w:p>
    <w:p w:rsidR="001D6FAE" w:rsidRDefault="001D6FAE" w:rsidP="001D6FAE">
      <w:pPr>
        <w:pStyle w:val="TextoNormal"/>
      </w:pPr>
      <w:r>
        <w:t xml:space="preserve">Si bien el Auto de planteamiento cuestiona formalmente el art. 2 e) de la Ley 10/2012, referido al hecho imponible, en realidad, según se desprende de sus fundamentos, no se plantea duda alguna de constitucionalidad sobre él. Como ha quedado expuesto con detalle en los antecedentes, el órgano judicial considera, en síntesis, que la exigencia de la tasa a una persona jurídica para la admisión del recurso de apelación, en las circunstancias expuestas, puede ser contraria al derecho a la tutela judicial efectiva (art 24.1 CE), en su vertiente de acceso a los recursos, al constituir un obstáculo irrazonable atendiendo al sistema de cuantificación y al carácter no reintegrable de la misma por la vía de las cosas procesales, lo que determina una merma notable del </w:t>
      </w:r>
      <w:r w:rsidRPr="001D6FAE">
        <w:rPr>
          <w:i/>
        </w:rPr>
        <w:t>quantum</w:t>
      </w:r>
      <w:r>
        <w:t xml:space="preserve"> de la pretensión ejercitada en el proceso por el, a la sazón, apelante.</w:t>
      </w:r>
    </w:p>
    <w:p w:rsidR="001D6FAE" w:rsidRDefault="001D6FAE" w:rsidP="001D6FAE">
      <w:pPr>
        <w:pStyle w:val="TextoNormal"/>
      </w:pPr>
    </w:p>
    <w:p w:rsidR="001D6FAE" w:rsidRDefault="001D6FAE" w:rsidP="001D6FAE">
      <w:pPr>
        <w:pStyle w:val="TextoNormal"/>
      </w:pPr>
      <w:r>
        <w:t>El Abogado del Estado considera que debe desestimarse la cuestión con fundamento en que, partiendo que la tasa no resulta desproporcionada por razón de su cuantía, la merma advertida respecto del apelante no es imputable a la misma sino a la configuración legal del régimen de costas procesales, que no se ha cuestionado. Por el contrario, el Ministerio Fiscal, según se ha expuesto, aduce que procede su estimación con declaración de inconstitucionalidad del artículo 7.1 y 2, ya que, tanto por el sistema de cuantificación como por la imposibilidad de obtener su reintegro, unidos a otros factores, la tasa puede constituir un obstáculo excesivo, desproporcionado e irrazonable para el acceso a los recursos.</w:t>
      </w:r>
    </w:p>
    <w:p w:rsidR="001D6FAE" w:rsidRDefault="001D6FAE" w:rsidP="001D6FAE">
      <w:pPr>
        <w:pStyle w:val="TextoNormal"/>
      </w:pPr>
    </w:p>
    <w:p w:rsidR="001D6FAE" w:rsidRDefault="001D6FAE" w:rsidP="001D6FAE">
      <w:pPr>
        <w:pStyle w:val="TextoNormal"/>
      </w:pPr>
      <w:r w:rsidRPr="001D6FAE">
        <w:rPr>
          <w:rStyle w:val="NumeroAFNegritaCaracter"/>
        </w:rPr>
        <w:t>2</w:t>
      </w:r>
      <w:r>
        <w:t>. Tomando en consideración que el objeto de la presente cuestión, que se plantea una vez aprobado el Real Decreto-ley 1/2015, de 27 de febrero, norma que, junto a la posterior Ley 25/2015, de 28 de julio, excluyó a las personas físicas de la obligación de pago de la tasa judicial [art. 4.2 a) de la Ley 10/2012, de 20 de noviembre], se limita a la previsión de pago de las tasas judiciales en las condiciones legales establecidas en su artículo 7 para las personas jurídicas en el recurso de apelación de la jurisdicción civil, se ha producido la pérdida sobrevenida de su objeto a causa del pronunciamiento de nuestra reciente Sentencia núm. 140/2016, de 21 de julio. Esta Sentencia ha declarado, por lo que a la presente cuestión importa, la inconstitucionalidad y nulidad del art. 7, apartado 1, de la Ley 10/2012, de 20 de noviembre, en el siguiente inciso: “En el orden jurisdiccional civil: … Apelación: 800 €”, y del art. 7, apartado 2, que regulaba la cuota variable, respecto de las personas jurídicas.</w:t>
      </w:r>
    </w:p>
    <w:p w:rsidR="001D6FAE" w:rsidRDefault="001D6FAE" w:rsidP="001D6FAE">
      <w:pPr>
        <w:pStyle w:val="TextoNormal"/>
      </w:pPr>
    </w:p>
    <w:p w:rsidR="001D6FAE" w:rsidRDefault="001D6FAE" w:rsidP="001D6FAE">
      <w:pPr>
        <w:pStyle w:val="TextoNormal"/>
      </w:pPr>
      <w:r>
        <w:t>La declaración de nulidad contenida en dicha Sentencia, como se expresa en su fundamento jurídico 15, se proyecta sobre los procesos judiciales “donde aún no haya recaído una resolución firme”, entre los que se encuentra el juicio verbal núm. 1058-2014 seguido ante el Juzgado de Primera Instancia núm. 8 de A Coruña del que dimana la presente cuestión inconstitucionalidad.</w:t>
      </w:r>
    </w:p>
    <w:p w:rsidR="001D6FAE" w:rsidRDefault="001D6FAE" w:rsidP="001D6FAE">
      <w:pPr>
        <w:pStyle w:val="TextoNormal"/>
      </w:pPr>
    </w:p>
    <w:p w:rsidR="001D6FAE" w:rsidRDefault="001D6FAE" w:rsidP="001D6FAE">
      <w:pPr>
        <w:pStyle w:val="TextoNormal"/>
      </w:pPr>
      <w:r>
        <w:t>Cabe recordar que es doctrina de este Tribunal que “[s]iendo el efecto inmediato de la anulación de cualquier norma su expulsión del ordenamiento jurídico de una vez por todas y para siempre, medida irreversible por su propia naturaleza”, las ulteriores pretensiones de anulación resultan ya redundantes y vacías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001D6FAE" w:rsidRDefault="001D6FAE" w:rsidP="001D6FAE">
      <w:pPr>
        <w:pStyle w:val="TextoNormal"/>
      </w:pPr>
    </w:p>
    <w:p w:rsidR="001D6FAE" w:rsidRDefault="001D6FAE" w:rsidP="001D6FAE">
      <w:pPr>
        <w:pStyle w:val="TextoNormal"/>
      </w:pPr>
      <w:r>
        <w:t>Por lo que a la presente cuestión de inconstitucionalidad se refiere, la referida Sentencia, como se ha adelantado, ha declarado la nulidad del apartado 1 del art. 7 de la Ley 10/2012, de 20 de noviembre, en los distintos incisos que prevén para las personas jurídicas, de manera separada, entre otras, las cuotas fijas de 800 € para el recurso de apelación en el orden jurisdiccional civil; y la nulidad, en segundo lugar, de la cuota variable para las personas jurídicas, recogida en el apartado 2 del mismo art. 7 de la Ley recurrida.</w:t>
      </w:r>
    </w:p>
    <w:p w:rsidR="001D6FAE" w:rsidRDefault="001D6FAE" w:rsidP="001D6FAE">
      <w:pPr>
        <w:pStyle w:val="TextoNormal"/>
      </w:pPr>
    </w:p>
    <w:p w:rsidR="001D6FAE" w:rsidRDefault="001D6FAE" w:rsidP="001D6FAE">
      <w:pPr>
        <w:pStyle w:val="TextoNormal"/>
      </w:pPr>
      <w:r>
        <w:t>Respecto del alcance de ambos pronunciamientos de nulidad, la citada Sentencia 140/2016, de 21 de julio, FJ 15, ha aclarado que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anterior 54/2002, de 27 de febrero, FJ 9—; 161/2012, de 20 de septiembre, FJ 7; 104/2013, de 25 de abril, FJ 4]’”.</w:t>
      </w:r>
    </w:p>
    <w:p w:rsidR="001D6FAE" w:rsidRDefault="001D6FAE" w:rsidP="001D6FAE">
      <w:pPr>
        <w:pStyle w:val="TextoNormal"/>
      </w:pPr>
    </w:p>
    <w:p w:rsidR="001D6FAE" w:rsidRDefault="001D6FAE" w:rsidP="001D6FAE">
      <w:pPr>
        <w:pStyle w:val="TextoNormal"/>
      </w:pPr>
      <w:r>
        <w:t>De acuerdo con doctrina constitucional anterior, el mismo fundamento jurídico 15 pone como límite a la eficacia del pronunciamiento de nulidad “el del pago por los justiciables” de las tasas, tanto en los procedimientos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001D6FAE" w:rsidRDefault="001D6FAE" w:rsidP="001D6FAE">
      <w:pPr>
        <w:pStyle w:val="TextoNormal"/>
      </w:pPr>
    </w:p>
    <w:p w:rsidR="001D6FAE" w:rsidRDefault="001D6FAE" w:rsidP="001D6FAE">
      <w:pPr>
        <w:pStyle w:val="TextoNormal"/>
      </w:pPr>
      <w:r>
        <w:t>Pues bien, como se ha indicado, en el caso que ahora nos ocupa ni se produjo el pago de la tasa ni ha concluido el proceso judicial, de modo que no se encuentra entre aquellos supuestos a los que no alcanza la declaración de inconstitucionalidad. Por ello, la declaración de nulidad de la norma legal cuestionada surte sus efectos sobre el proceso de origen y ha supuesto la desaparición del objeto de esta cuestión de inconstitucionalidad.</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Declarar la extinción de la cuestión de inconstitucionalidad núm. 6987-2015 por desaparición sobrevenida de su objeto.</w:t>
      </w:r>
    </w:p>
    <w:p w:rsidR="001D6FAE" w:rsidRDefault="001D6FAE" w:rsidP="001D6FAE">
      <w:pPr>
        <w:pStyle w:val="TextoNormal"/>
      </w:pPr>
    </w:p>
    <w:p w:rsidR="001D6FAE" w:rsidRDefault="001D6FAE" w:rsidP="001D6FAE">
      <w:pPr>
        <w:pStyle w:val="TextoNormal"/>
      </w:pPr>
      <w:r>
        <w:t>Madrid, a veintiocho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8" w:name="AUTO_2016_194"/>
      <w:r>
        <w:t>AUTO 194/2016, de 28 de noviembre de 2016</w:t>
      </w:r>
    </w:p>
    <w:bookmarkEnd w:id="168"/>
    <w:p w:rsidR="001D6FAE" w:rsidRDefault="001D6FAE" w:rsidP="001D6FAE">
      <w:pPr>
        <w:pStyle w:val="TtuloResolucin"/>
      </w:pPr>
      <w:r>
        <w:t>Sala Segunda</w:t>
      </w:r>
    </w:p>
    <w:p w:rsidR="001D6FAE" w:rsidRDefault="001D6FAE" w:rsidP="001D6FAE">
      <w:pPr>
        <w:pStyle w:val="TextoNormalCentrado"/>
      </w:pPr>
      <w:r>
        <w:t>ECLI:ES:TC:2016:194A</w:t>
      </w:r>
    </w:p>
    <w:p w:rsidR="001D6FAE" w:rsidRDefault="001D6FAE" w:rsidP="001D6FAE">
      <w:pPr>
        <w:pStyle w:val="TextoNormalCentrado"/>
      </w:pPr>
    </w:p>
    <w:p w:rsidR="001D6FAE" w:rsidRDefault="001D6FAE" w:rsidP="001D6FAE">
      <w:pPr>
        <w:pStyle w:val="SntesisDescriptiva"/>
      </w:pPr>
      <w:r>
        <w:t>Excms. Srs. doña Adela Asua Batarrita, don Fernando Valdés Dal-Ré, don Juan José González Rivas,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Deniega la suspensión en el recurso de amparo 351-2016, promovido por doña Rosa Ehrlich Romero en pleito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22 de enero de 2016, el Procurador de los Tribunales don Joaquín Fanjul de Antonio, en nombre y representación de doña Rosa Ehrlich Romero, y bajo la dirección del Letrado don Fernando Muñoz-Campos García, interpuso recurso de amparo contra el Auto de la Sección Octava de la Audiencia Provincial de Madrid, de 14 de diciembre de 2015, dictado en el recurso de queja núm. 281-2015, y frente a los Autos de 6 de abril y 20 de abril de 2015 del Juzgado de Primera instancia núm. 1 de Majadahonda en procedimiento ordinario núm. 289-2013, así como contra diversas resoluciones previas en las que aquéllas tienen origen (decreto de 26 de febrero de 2015, providencia de 16 de marzo de 2015, providencia de 6 de abril de 2015 y diligencia de ordenación de 5 de noviembre de 2014), en atención a la aplicación que hicieron de las normas reguladoras de las tasas judiciales previstas en la Ley 10/2012, de 20 de noviembre, modificada por el Real Decreto-ley 3/2013, de 22 de febrero, por la que se regulan determinadas tasas en el ámbito de la Administración de Justicia y del Instituto Nacional de Toxicología y Ciencias Forenses, al considerar que impidieron el acceso a la apelación contra la sentencia dictada en el proceso, de 25 de febrero de 2013, de manera rigorista y desproporcionada, contrariando el art. 24.1 CE en la vertiente de derecho de acceso a los recursos.</w:t>
      </w:r>
    </w:p>
    <w:p w:rsidR="001D6FAE" w:rsidRDefault="001D6FAE" w:rsidP="001D6FAE">
      <w:pPr>
        <w:pStyle w:val="TextoNormal"/>
      </w:pPr>
    </w:p>
    <w:p w:rsidR="001D6FAE" w:rsidRDefault="001D6FAE" w:rsidP="001D6FAE">
      <w:pPr>
        <w:pStyle w:val="TextoNormal"/>
      </w:pPr>
      <w:r>
        <w:t>En la demanda de amparo se solicita por otrosí la suspensión de la ejecutividad de la mencionada Sentencia, contra la que se pretendía recurrir en apelación sin que al recurso se le diera curso, en aplicación de la Ley 10/2012, afirmando que la ejecución de la misma, que condenó a la recurrente al pago de 1.630.000 $ USA, más 800 € de intereses legales, produce un perjuicio irreparable haciendo perder al amparo su finalidad.</w:t>
      </w:r>
    </w:p>
    <w:p w:rsidR="001D6FAE" w:rsidRDefault="001D6FAE" w:rsidP="001D6FAE">
      <w:pPr>
        <w:pStyle w:val="TextoNormal"/>
      </w:pPr>
    </w:p>
    <w:p w:rsidR="001D6FAE" w:rsidRDefault="001D6FAE" w:rsidP="001D6FAE">
      <w:pPr>
        <w:pStyle w:val="TextoNormal"/>
      </w:pPr>
      <w:r w:rsidRPr="001D6FAE">
        <w:rPr>
          <w:rStyle w:val="NumeroAFNegritaCaracter"/>
        </w:rPr>
        <w:t>2</w:t>
      </w:r>
      <w:r>
        <w:t>. La Sala Segunda de este Tribunal, por providencia de 17 de octubre de 2016, acordó la admisión a trámite de la demanda de amparo, y por providencia de la misma fecha la formación de pieza separada para la tramitación del incidente sobre la suspensión solicitada, concediendo a la recurrente y al Ministerio Fiscal el plazo común de tres días para que alegasen lo que estimaran pertinente sobre la suspensión.</w:t>
      </w:r>
    </w:p>
    <w:p w:rsidR="001D6FAE" w:rsidRDefault="001D6FAE" w:rsidP="001D6FAE">
      <w:pPr>
        <w:pStyle w:val="TextoNormal"/>
      </w:pPr>
    </w:p>
    <w:p w:rsidR="001D6FAE" w:rsidRDefault="001D6FAE" w:rsidP="001D6FAE">
      <w:pPr>
        <w:pStyle w:val="TextoNormal"/>
      </w:pPr>
      <w:r w:rsidRPr="001D6FAE">
        <w:rPr>
          <w:rStyle w:val="NumeroAFNegritaCaracter"/>
        </w:rPr>
        <w:t>3</w:t>
      </w:r>
      <w:r>
        <w:t xml:space="preserve">. La recurrente, por escrito registrado el 26 de octubre de 2016, presentó alegaciones reiterando la cuantía de la condena, señalando que se trata objetivamente de una cantidad de gran entidad para una economía como la suya y que su abono podría conducirle, al carecer de medios, a una insostenible situación económica, al producirse el perjuicio de modo inmediato y con posibles repercusiones en su realidad patrimonial, puesto que se le podría llegar a embargar su vivienda. Añade a lo anterior la cita de la STC 140/2016, de 21 de julio, que declara inconstitucionales y nulos determinados preceptos de la ley aplicada, precisamente los que impidieron en este caso —dice— el acceso a la apelación en el proceso judicial, así como las reformas contenidas en la Ley 25/2015, de 28 de julio, y antes en el Real Decreto-ley 1/2015, de 27 de febrero, que modifican el ámbito subjetivo de los obligados al pago de las tasas judiciales, declarando exentas a las personas físicas, y, finalmente, las circunstancias del caso a examen (señaladamente, el hecho de la residencia en el extranjero de la demandante de amparo, que dio lugar al dictado de la sentencia </w:t>
      </w:r>
      <w:r w:rsidRPr="001D6FAE">
        <w:rPr>
          <w:i/>
        </w:rPr>
        <w:t>inaudita parte</w:t>
      </w:r>
      <w:r>
        <w:t>, al haberse señalado como domicilio de la misma por la parte actora su antiguo domicilio en España), todo lo cual, a su juicio, anunciaría un probable otorgamiento del amparo interesado, dato que debería tomarse en consideración a la hora de adoptar la decisión sobre la suspensión solicitada.</w:t>
      </w:r>
    </w:p>
    <w:p w:rsidR="001D6FAE" w:rsidRDefault="001D6FAE" w:rsidP="001D6FAE">
      <w:pPr>
        <w:pStyle w:val="TextoNormal"/>
      </w:pPr>
    </w:p>
    <w:p w:rsidR="001D6FAE" w:rsidRDefault="001D6FAE" w:rsidP="001D6FAE">
      <w:pPr>
        <w:pStyle w:val="TextoNormal"/>
      </w:pPr>
      <w:r w:rsidRPr="001D6FAE">
        <w:rPr>
          <w:rStyle w:val="NumeroAFNegritaCaracter"/>
        </w:rPr>
        <w:t>4</w:t>
      </w:r>
      <w:r>
        <w:t>. El Ministerio Fiscal, por escrito registrado en este Tribunal el 2 de noviembre de 2016, presentó alegaciones en las que, enunciando la jurisprudencia constitucional sobre el particular, interesó que se denegara la suspensión, argumentando que en ningún momento se ha justificado el carácter irreversible del perjuicio económico aducido, ni se ha acreditado ni aportado un principio de prueba que permita valorar que, efectivamente, dicho perjuicio se produciría realmente, resultando de difícil reparación.</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 56.3 LOTC establece que se podrá “adoptar cualesquiera medidas cautelares y resoluciones provisionales previstas en el ordenamiento, que, por su naturaleza, puedan aplicarse en el proceso de amparo y tiendan a evitar que el recurso pierda su finalidad”.</w:t>
      </w:r>
    </w:p>
    <w:p w:rsidR="001D6FAE" w:rsidRDefault="001D6FAE" w:rsidP="001D6FAE">
      <w:pPr>
        <w:pStyle w:val="TextoNormal"/>
      </w:pPr>
    </w:p>
    <w:p w:rsidR="001D6FAE" w:rsidRDefault="001D6FAE" w:rsidP="001D6FAE">
      <w:pPr>
        <w:pStyle w:val="TextoNormal"/>
      </w:pPr>
      <w:r>
        <w:t>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 por todos).</w:t>
      </w:r>
    </w:p>
    <w:p w:rsidR="001D6FAE" w:rsidRDefault="001D6FAE" w:rsidP="001D6FAE">
      <w:pPr>
        <w:pStyle w:val="TextoNormal"/>
      </w:pPr>
    </w:p>
    <w:p w:rsidR="001D6FAE" w:rsidRDefault="001D6FAE" w:rsidP="001D6FAE">
      <w:pPr>
        <w:pStyle w:val="TextoNormal"/>
      </w:pPr>
      <w:r>
        <w:t>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(entre tantos otros, ATC 81/2012, de 7 de mayo, FJ 3).</w:t>
      </w:r>
    </w:p>
    <w:p w:rsidR="001D6FAE" w:rsidRDefault="001D6FAE" w:rsidP="001D6FAE">
      <w:pPr>
        <w:pStyle w:val="TextoNormal"/>
      </w:pPr>
    </w:p>
    <w:p w:rsidR="001D6FAE" w:rsidRDefault="001D6FAE" w:rsidP="001D6FAE">
      <w:pPr>
        <w:pStyle w:val="TextoNormal"/>
      </w:pPr>
      <w:r>
        <w:t>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sólo se ha accedido a la suspensión en supuestos excepcionales en los que la ejecución de las resoluciones recurridas en amparo acarrearía perjuicios económicos muy difícilmente reparables por su entidad o por la irreversibilidad de las situaciones jurídicas que puedan producirse (recuerda ese criterio doctrinal, por ejemplo, el ATC 20/2013, de 28 de enero, FJ 1).</w:t>
      </w:r>
    </w:p>
    <w:p w:rsidR="001D6FAE" w:rsidRDefault="001D6FAE" w:rsidP="001D6FAE">
      <w:pPr>
        <w:pStyle w:val="TextoNormal"/>
      </w:pPr>
    </w:p>
    <w:p w:rsidR="001D6FAE" w:rsidRDefault="001D6FAE" w:rsidP="001D6FAE">
      <w:pPr>
        <w:pStyle w:val="TextoNormal"/>
      </w:pPr>
      <w:r w:rsidRPr="001D6FAE">
        <w:rPr>
          <w:rStyle w:val="NumeroAFNegritaCaracter"/>
        </w:rPr>
        <w:t>2</w:t>
      </w:r>
      <w:r>
        <w:t>. La recurrente sostiene que en este caso la no suspensión de la resolución objeto de impugnación es susceptible de generar un perjuicio irreparable que podría hacer perder al amparo su finalidad, argumentando que su situación económica le dificulta atender al cumplimiento de la condena, que de hacerlo podría acarrarle perjuicios irreparables en su ámbito patrimonial y que, por lo demás, las recientes reformas en la materia y el dictado de la STC 140/2016, de 21 de julio, anunciarían una más que probable estimación del recurso pendiente de sentencia.</w:t>
      </w:r>
    </w:p>
    <w:p w:rsidR="001D6FAE" w:rsidRDefault="001D6FAE" w:rsidP="001D6FAE">
      <w:pPr>
        <w:pStyle w:val="TextoNormal"/>
      </w:pPr>
    </w:p>
    <w:p w:rsidR="001D6FAE" w:rsidRDefault="001D6FAE" w:rsidP="001D6FAE">
      <w:pPr>
        <w:pStyle w:val="TextoNormal"/>
      </w:pPr>
      <w:r>
        <w:t>Sin embargo, el contenido de la resolución respecto del que se pide la suspensión (Sentencia de 25 de febrero de 2013, dictada por el Juzgado de Primera Instancia núm. 1 de Majadahonda en el procedimiento ordinario núm. 289-2013) es exclusivamente de carácter económico. En consecuencia, conforme a la jurisprudencia constitucional ya reseñada, solo la concurrencia de excepcionales circunstancias vinculadas a la irreparabilidad de los perjuicios económicos que se pudieran irrogar con la ejecución y su debida acreditación justificaría una decisión de suspensión.</w:t>
      </w:r>
    </w:p>
    <w:p w:rsidR="001D6FAE" w:rsidRDefault="001D6FAE" w:rsidP="001D6FAE">
      <w:pPr>
        <w:pStyle w:val="TextoNormal"/>
      </w:pPr>
    </w:p>
    <w:p w:rsidR="001D6FAE" w:rsidRDefault="001D6FAE" w:rsidP="001D6FAE">
      <w:pPr>
        <w:pStyle w:val="TextoNormal"/>
      </w:pPr>
      <w:r>
        <w:t>En el presente caso, en cambio, tal y como destaca el Ministerio Fiscal en su informe, no se ha desarrollado el esfuerzo argumental necesario para poner de manifiesto a este Tribunal cómo repercutiría la ejecución en el patrimonio de la obligada al pago, más allá de las genéricas alegaciones que carecen de prueba o acreditación alguna. Esa situación de indeterminación de los eventuales perjuicios debe determinar la denegación de la solicitud de suspensión. No correspondiendo en esta pieza hacer pronunciamiento alguno sobre la cuestión de fondo objeto de la controversia, de la que no puede depender la medida cautelar, definida en su objeto y requisitos en la Ley Orgánica del Tribunal Constitucional, este Tribunal no puede acceder a la suspensión solicitada por insuficiente acreditación de la concurrencia de sus presupuestos materiales.</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Denegar la suspensión solicitada.</w:t>
      </w:r>
    </w:p>
    <w:p w:rsidR="001D6FAE" w:rsidRDefault="001D6FAE" w:rsidP="001D6FAE">
      <w:pPr>
        <w:pStyle w:val="TextoNormal"/>
      </w:pPr>
    </w:p>
    <w:p w:rsidR="001D6FAE" w:rsidRDefault="001D6FAE" w:rsidP="001D6FAE">
      <w:pPr>
        <w:pStyle w:val="TextoNormal"/>
      </w:pPr>
      <w:r>
        <w:t>Madrid, a veintiocho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69" w:name="AUTO_2016_195"/>
      <w:r>
        <w:t>AUTO 195/2016, de 28 de noviembre de 2016</w:t>
      </w:r>
    </w:p>
    <w:bookmarkEnd w:id="169"/>
    <w:p w:rsidR="001D6FAE" w:rsidRDefault="001D6FAE" w:rsidP="001D6FAE">
      <w:pPr>
        <w:pStyle w:val="TtuloResolucin"/>
      </w:pPr>
      <w:r>
        <w:t>Sala Primera</w:t>
      </w:r>
    </w:p>
    <w:p w:rsidR="001D6FAE" w:rsidRDefault="001D6FAE" w:rsidP="001D6FAE">
      <w:pPr>
        <w:pStyle w:val="TextoNormalCentrado"/>
      </w:pPr>
      <w:r>
        <w:t>ECLI:ES:TC:2016:195A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don Andrés Ollero Tassara, don Santiago Martínez-Vares García y don Juan Antonio Xiol Ríos.</w:t>
      </w:r>
    </w:p>
    <w:p w:rsidR="001D6FAE" w:rsidRDefault="001D6FAE" w:rsidP="001D6FAE">
      <w:pPr>
        <w:pStyle w:val="SntesisDescriptiva"/>
      </w:pPr>
    </w:p>
    <w:p w:rsidR="001D6FAE" w:rsidRDefault="001D6FAE" w:rsidP="001D6FAE">
      <w:pPr>
        <w:pStyle w:val="SntesisDescriptiva"/>
      </w:pPr>
      <w:r>
        <w:t>Deniega la suspensión en el recurso de amparo 1659-2016, promovido por don Ignacio Agorria Ortiz de Zárate y otras personas en causa penal.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19 de marzo de 2016, la Procuradora de los Tribunales doña María Inés Pérez Canales, en nombre y representación de don Ignacio Agorria Ortiz de Zárate, don Joseba Imanol Dorronsoro Ibeas, doña Cristina Muñoz Fernández, doña Olga Muñoz Fernández y don Serbio Bermejo de la Peña, y bajo la dirección del Letrado don Luís Soriano Soriano, interpuso recurso de amparo contra el Auto de la Sala Segunda del Tribunal Supremo de 26 de enero de 2016, que desestimó el incidente de nulidad interpuesto contra la Sentencia 484/2015, de 7 de septiembre de 2015, dictada por el mismo órgano judicial. En esta Sentencia, revocando la Sentencia absolutoria dictada por la Sección Segunda de la Audiencia Provincial de Vizcaya dictada el 16 de junio de 2014, se condenó a los demandantes de amparo como autores de un delito contra la salud pública, en su modalidad de sustancias que no causan grave daño a la salud y con la apreciación de un error vencible de prohibición, a las penas: para cada uno de los tres primeros, de ocho meses de prisión con la accesoria de inhabilitación para el derecho de sufragio pasivo durante el tiempo de condena y multa de 5.000 €, con responsabilidad subsidiaria en caso de impago de 20 días; y para los dos últimos de tres meses de prisión con la accesoria de inhabilitación para el derecho de sufragio pasivo durante el tiempo de condena.</w:t>
      </w:r>
    </w:p>
    <w:p w:rsidR="001D6FAE" w:rsidRDefault="001D6FAE" w:rsidP="001D6FAE">
      <w:pPr>
        <w:pStyle w:val="TextoNormal"/>
      </w:pPr>
    </w:p>
    <w:p w:rsidR="001D6FAE" w:rsidRDefault="001D6FAE" w:rsidP="001D6FAE">
      <w:pPr>
        <w:pStyle w:val="TextoNormal"/>
      </w:pPr>
      <w:r>
        <w:t>En la demanda de amparo se solicita por otrosí la suspensión cautelar de la pena privativa de libertad, al considerar que su ejecución produciría a los recurrentes un perjuicio irreversible que haría perder al amparo su finalidad. Asimismo, se solicita que se “suspenda la ejecución de la sentencia impugnada”.</w:t>
      </w:r>
    </w:p>
    <w:p w:rsidR="001D6FAE" w:rsidRDefault="001D6FAE" w:rsidP="001D6FAE">
      <w:pPr>
        <w:pStyle w:val="TextoNormal"/>
      </w:pPr>
    </w:p>
    <w:p w:rsidR="001D6FAE" w:rsidRDefault="001D6FAE" w:rsidP="001D6FAE">
      <w:pPr>
        <w:pStyle w:val="TextoNormal"/>
      </w:pPr>
      <w:r w:rsidRPr="001D6FAE">
        <w:rPr>
          <w:rStyle w:val="NumeroAFNegritaCaracter"/>
        </w:rPr>
        <w:t>2</w:t>
      </w:r>
      <w:r>
        <w:t>. La Sala Primera de este Tribunal, por sendas providencias de 4 de octubre de 2016, acordó la admisión a trámite de la demanda de amparo y la formación de pieza separada para la tramitación del incidente sobre la suspensión solicitada, así como conceder a los recurrentes y al Ministerio Fiscal el plazo común de tres días para que alegasen lo que estimasen pertinente sobre la suspensión.</w:t>
      </w:r>
    </w:p>
    <w:p w:rsidR="001D6FAE" w:rsidRDefault="001D6FAE" w:rsidP="001D6FAE">
      <w:pPr>
        <w:pStyle w:val="TextoNormal"/>
      </w:pPr>
    </w:p>
    <w:p w:rsidR="001D6FAE" w:rsidRDefault="001D6FAE" w:rsidP="001D6FAE">
      <w:pPr>
        <w:pStyle w:val="TextoNormal"/>
      </w:pPr>
      <w:r w:rsidRPr="001D6FAE">
        <w:rPr>
          <w:rStyle w:val="NumeroAFNegritaCaracter"/>
        </w:rPr>
        <w:t>3</w:t>
      </w:r>
      <w:r>
        <w:t>. Por diligencia de constancia del Secretario de Justicia de 5 de octubre de 2016 se dio cuenta a la Sala Primera de hacerse recibido copia de los Autos de suspensión dictados en la ejecutoria núm. 57-2015-M, por la Sección Sexta de la Audiencia Provincial de Vizcaya, uniéndose a la pieza de suspensión.</w:t>
      </w:r>
    </w:p>
    <w:p w:rsidR="001D6FAE" w:rsidRDefault="001D6FAE" w:rsidP="001D6FAE">
      <w:pPr>
        <w:pStyle w:val="TextoNormal"/>
      </w:pPr>
    </w:p>
    <w:p w:rsidR="001D6FAE" w:rsidRDefault="001D6FAE" w:rsidP="001D6FAE">
      <w:pPr>
        <w:pStyle w:val="TextoNormal"/>
      </w:pPr>
      <w:r w:rsidRPr="001D6FAE">
        <w:rPr>
          <w:rStyle w:val="NumeroAFNegritaCaracter"/>
        </w:rPr>
        <w:t>4</w:t>
      </w:r>
      <w:r>
        <w:t>. El Ministerio Fiscal, por escrito registrado el 19 de octubre de 2016, presentó alegaciones en las que, enunciando la jurisprudencia de este Tribunal sobre el particular, interesó que se acordara la suspensión de la pena privativa de libertad, atendiendo a la duración de la pena impuesta a los demandantes y el tiempo que requiere normalmente la tramitación de un proceso de amparo como el presente, por lo que de no suspender su ejecución ocasionaría a los demandantes de amparo un perjuicio irreparable que dejaría totalmente en entredicho la eficacia de un eventual fallo estimatorio de la demanda de amparo, por cuanto la pena de prisión podría estar cumplida, al menos en gran parte. Por otra parte, considera que no procede la suspensión del resto de pronunciamientos condenatorios, ni de la responsabilidad subsidiaria para el caso de impago de la multa.</w:t>
      </w:r>
    </w:p>
    <w:p w:rsidR="001D6FAE" w:rsidRDefault="001D6FAE" w:rsidP="001D6FAE">
      <w:pPr>
        <w:pStyle w:val="TextoNormal"/>
      </w:pPr>
    </w:p>
    <w:p w:rsidR="001D6FAE" w:rsidRDefault="001D6FAE" w:rsidP="001D6FAE">
      <w:pPr>
        <w:pStyle w:val="TextoNormal"/>
      </w:pPr>
      <w:r w:rsidRPr="001D6FAE">
        <w:rPr>
          <w:rStyle w:val="NumeroAFNegritaCaracter"/>
        </w:rPr>
        <w:t>5</w:t>
      </w:r>
      <w:r>
        <w:t>. Por diligencia de constancia del Secretario de Justicia de 21 de octubre de 2016, se dio cuenta a la Sala Primera de la ausencia de escrito de alegaciones de la Procuradora de los Tribunales doña María Inés Pérez Canales.</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art. 56.1 de la Ley Orgánica del Tribunal Constitucional (LOTC) dispone que la interposición de un recurso de amparo no suspenderá los efectos del acto o sentencia impugnados, concretando el art. 56.2 LOTC, no obstante,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1D6FAE" w:rsidRDefault="001D6FAE" w:rsidP="001D6FAE">
      <w:pPr>
        <w:pStyle w:val="TextoNormal"/>
      </w:pPr>
    </w:p>
    <w:p w:rsidR="001D6FAE" w:rsidRDefault="001D6FAE" w:rsidP="001D6FAE">
      <w:pPr>
        <w:pStyle w:val="TextoNormal"/>
      </w:pPr>
      <w:r>
        <w:t>Según doctrina de este Tribunal (por todos, AATC 116/2015, de 6 de julio, y 2/2016, de 18 de enero),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w:t>
      </w:r>
    </w:p>
    <w:p w:rsidR="001D6FAE" w:rsidRDefault="001D6FAE" w:rsidP="001D6FAE">
      <w:pPr>
        <w:pStyle w:val="TextoNormal"/>
      </w:pPr>
    </w:p>
    <w:p w:rsidR="001D6FAE" w:rsidRDefault="001D6FAE" w:rsidP="001D6FAE">
      <w:pPr>
        <w:pStyle w:val="TextoNormal"/>
      </w:pPr>
      <w:r w:rsidRPr="001D6FAE">
        <w:rPr>
          <w:rStyle w:val="NumeroAFNegritaCaracter"/>
        </w:rPr>
        <w:t>2</w:t>
      </w:r>
      <w:r>
        <w:t>. En aplicación de dichas pautas jurisprudenciales y legales, no puede accederse a la suspensión de la pena privativa de libertad solicitada por los recurrentes y apoyada por el Ministerio Fiscal. Por Autos de la Sección Sexta de la Audiencia Provincial de Vizcaya de 19 de abril de 2016, se acordó la suspensión por el plazo de dos años de la ejecución de las penas privativas de libertad impuestas a los recurrentes. No concurre, entonces, el presupuesto establecido por el art. 56.2 LOTC, esto es, que la ejecución de la pena hubiere de ocasionar un perjuicio que haría perder al amparo su finalidad, pues la ejecución de las penas privativas de libertad impuestas se encuentra suspendida. Todo ello con independencia de que la denegación de la suspensión pueda ser modificada en el curso del proceso constitucional si surgieren nuevas circunstancias (art. 57 LOTC).</w:t>
      </w:r>
    </w:p>
    <w:p w:rsidR="001D6FAE" w:rsidRDefault="001D6FAE" w:rsidP="001D6FAE">
      <w:pPr>
        <w:pStyle w:val="TextoNormal"/>
      </w:pPr>
    </w:p>
    <w:p w:rsidR="001D6FAE" w:rsidRDefault="001D6FAE" w:rsidP="001D6FAE">
      <w:pPr>
        <w:pStyle w:val="TextoNormal"/>
      </w:pPr>
      <w:r>
        <w:t>Tampoco las penas de multa merecen ser suspendidas, pues a las mismas les resulta aplicable la doctrina de la no suspensión por su reparabilidad; tanto más, cuanto los demandantes ni siquiera han intentado justificar el carácter irreversible de los daños que podría ocasionarles su abono. Se ha hecho especial incidencia por la doctrina de este Tribunal (ATC 99/2016, de 9 de mayo),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 No puede declararse tampoco, por esta misma razón, la suspensión de la responsabilidad subsidiaria para el caso de impago de la pena de multa, conforme a lo indicado por el Ministerio Fiscal, al tratarse de una eventualidad incierta que depende de que la multa no llegase a ser pagada, voluntariamente o por la vía de apremio, y en cualquier caso de una eventualidad futura que, en caso de sobrevenir, podría dar lugar a la modificación de la decisión que ahora se adopta (ATC 116/2015, de 6 de julio, FJ 2).</w:t>
      </w:r>
    </w:p>
    <w:p w:rsidR="001D6FAE" w:rsidRDefault="001D6FAE" w:rsidP="001D6FAE">
      <w:pPr>
        <w:pStyle w:val="TextoNormal"/>
      </w:pPr>
    </w:p>
    <w:p w:rsidR="001D6FAE" w:rsidRDefault="001D6FAE" w:rsidP="001D6FAE">
      <w:pPr>
        <w:pStyle w:val="TextoNormal"/>
      </w:pPr>
      <w:r>
        <w:t>Finalmente, en relación con la pena accesoria de inhabilitación para el derecho de sufragio pasivo durante el tiempo de condena, no procede acceder a lo solicitado, al no quedar tampoco acreditados los daños y perjuicios derivados de esta pena privativa de derechos.</w:t>
      </w:r>
    </w:p>
    <w:p w:rsidR="001D6FAE" w:rsidRDefault="001D6FAE" w:rsidP="001D6FAE">
      <w:pPr>
        <w:pStyle w:val="TextoNormal"/>
      </w:pPr>
    </w:p>
    <w:p w:rsidR="001D6FAE" w:rsidRDefault="001D6FAE" w:rsidP="001D6FAE">
      <w:pPr>
        <w:pStyle w:val="TextoNormal"/>
      </w:pPr>
      <w:r>
        <w:t>Por todo lo expuesto, la Sala</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Denegar la suspensión solicitada.</w:t>
      </w:r>
    </w:p>
    <w:p w:rsidR="001D6FAE" w:rsidRDefault="001D6FAE" w:rsidP="001D6FAE">
      <w:pPr>
        <w:pStyle w:val="TextoNormal"/>
      </w:pPr>
    </w:p>
    <w:p w:rsidR="001D6FAE" w:rsidRDefault="001D6FAE" w:rsidP="001D6FAE">
      <w:pPr>
        <w:pStyle w:val="TextoNormal"/>
      </w:pPr>
      <w:r>
        <w:t>Madrid, a veintiocho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0" w:name="AUTO_2016_196"/>
      <w:r>
        <w:t>AUTO 196/2016, de 28 de noviembre de 2016</w:t>
      </w:r>
    </w:p>
    <w:bookmarkEnd w:id="170"/>
    <w:p w:rsidR="001D6FAE" w:rsidRDefault="001D6FAE" w:rsidP="001D6FAE">
      <w:pPr>
        <w:pStyle w:val="TtuloResolucin"/>
      </w:pPr>
      <w:r>
        <w:t>Sección Tercera</w:t>
      </w:r>
    </w:p>
    <w:p w:rsidR="001D6FAE" w:rsidRDefault="001D6FAE" w:rsidP="001D6FAE">
      <w:pPr>
        <w:pStyle w:val="TextoNormalCentrado"/>
      </w:pPr>
      <w:r>
        <w:t>ECLI:ES:TC:2016:196A</w:t>
      </w:r>
    </w:p>
    <w:p w:rsidR="001D6FAE" w:rsidRDefault="001D6FAE" w:rsidP="001D6FAE">
      <w:pPr>
        <w:pStyle w:val="TextoNormalCentrado"/>
      </w:pPr>
    </w:p>
    <w:p w:rsidR="001D6FAE" w:rsidRDefault="001D6FAE" w:rsidP="001D6FAE">
      <w:pPr>
        <w:pStyle w:val="SntesisDescriptiva"/>
      </w:pPr>
      <w:r>
        <w:t>Excms. Srs. doña Adela Asua Batarrita, don Juan José González Rivas y don Pedro José González-Trevijano Sánchez.</w:t>
      </w:r>
    </w:p>
    <w:p w:rsidR="001D6FAE" w:rsidRDefault="001D6FAE" w:rsidP="001D6FAE">
      <w:pPr>
        <w:pStyle w:val="SntesisDescriptiva"/>
      </w:pPr>
    </w:p>
    <w:p w:rsidR="001D6FAE" w:rsidRDefault="001D6FAE" w:rsidP="001D6FAE">
      <w:pPr>
        <w:pStyle w:val="SntesisDescriptiva"/>
      </w:pPr>
      <w:r>
        <w:t>Desestima el recurso de súplica del Ministerio Fiscal sobre inadmisión del recurso de amparo 2415-2016, promovido por don José Manuel G.G., y doña María do Mar C.V., en pleito civil. Voto particular.</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día 28 de abril de 2016, la Procuradora de los Tribunales doña María Concepción Hoyos Moliner, en nombre y representación de don José Manuel G.G., y de doña María do Mar C.V., interpuso demanda de amparo contra la Sentencia de 17 de marzo de 2016, dictada por la Sala de lo Civil del Tribunal Supremo, desestimatoria del recurso de casación núm. 1624-2015 formulado frente a la Sentencia de la Sección Sexta de la Audiencia Provincial de A Coruña de 11 de marzo de 2015 —recurso de apelación núm. 85-2014—, recaída en autos de juicio verbal núm. 1582-2015 del Juzgado de Primera Instancia núm. 6 de Santiago de Compostela.</w:t>
      </w:r>
    </w:p>
    <w:p w:rsidR="001D6FAE" w:rsidRDefault="001D6FAE" w:rsidP="001D6FAE">
      <w:pPr>
        <w:pStyle w:val="TextoNormal"/>
      </w:pPr>
    </w:p>
    <w:p w:rsidR="001D6FAE" w:rsidRDefault="001D6FAE" w:rsidP="001D6FAE">
      <w:pPr>
        <w:pStyle w:val="TextoNormal"/>
      </w:pPr>
      <w:r w:rsidRPr="001D6FAE">
        <w:rPr>
          <w:rStyle w:val="NumeroAFNegritaCaracter"/>
        </w:rPr>
        <w:t>2</w:t>
      </w:r>
      <w:r>
        <w:t>. Los hechos que anteceden a la demanda de amparo son, sucintamente descritos, los siguientes:</w:t>
      </w:r>
    </w:p>
    <w:p w:rsidR="001D6FAE" w:rsidRDefault="001D6FAE" w:rsidP="001D6FAE">
      <w:pPr>
        <w:pStyle w:val="TextoNormal"/>
      </w:pPr>
    </w:p>
    <w:p w:rsidR="001D6FAE" w:rsidRDefault="001D6FAE" w:rsidP="001D6FAE">
      <w:pPr>
        <w:pStyle w:val="TextoNormal"/>
      </w:pPr>
      <w:r>
        <w:t>a) Don José Manuel G.G., y doña María do Mar C.V., formularon demanda de incapacitación frente a su hija doña M.G.C., de la que conoció el Juzgado de Primera Instancia núm. 6 de Santiago de Compostela en autos juicio verbal núm. 1582-2013. Los padres solicitaron que se dictase sentencia sobre incapacidad parcial en los términos del informe médico forense, pero que se reconociera la capacidad de la demandada para el ejercicio del derecho de sufragio activo. El juzgado dictó Sentencia el 2 de septiembre de 2014, aclarada después por Auto de 7 de octubre de 2014, por la que se declaraba a doña M.G.C., incapaz en grado parcial para gobernarse por sí misma y para administrar sus bienes en los términos del informe forense, quedando sometida al régimen de patria potestad rehabilitada a ejercer por sus padres, privándola del ejercicio del derecho de sufragio activo.</w:t>
      </w:r>
    </w:p>
    <w:p w:rsidR="001D6FAE" w:rsidRDefault="001D6FAE" w:rsidP="001D6FAE">
      <w:pPr>
        <w:pStyle w:val="TextoNormal"/>
      </w:pPr>
    </w:p>
    <w:p w:rsidR="001D6FAE" w:rsidRDefault="001D6FAE" w:rsidP="001D6FAE">
      <w:pPr>
        <w:pStyle w:val="TextoNormal"/>
      </w:pPr>
      <w:r>
        <w:t>Sobre este último pronunciamiento relativo a la privación del ejercicio del derecho de sufragio activo, la Sentencia, en su fundamento jurídico tercero, comienza analizando la prueba practicada, señalando, en lo que aquí importa, lo que sigue:</w:t>
      </w:r>
    </w:p>
    <w:p w:rsidR="001D6FAE" w:rsidRDefault="001D6FAE" w:rsidP="001D6FAE">
      <w:pPr>
        <w:pStyle w:val="TextoNormal"/>
      </w:pPr>
    </w:p>
    <w:p w:rsidR="001D6FAE" w:rsidRDefault="001D6FAE" w:rsidP="001D6FAE">
      <w:pPr>
        <w:pStyle w:val="TextoNormal"/>
      </w:pPr>
      <w:r>
        <w:t>“[Procede] la privación del derecho de sufragio activo a la demandada al constatarse de manera indubitada en las dos exploraciones efectuadas y por este mismo magistrado las notables deficiencias que presenta la demandada en tal particular faceta electoral no sólo por su sustancial desconocimiento de aspectos básicos y fundamentales del sistema político y del mismo régimen electoral sino por la constatada influenciabilidad manifiesta de la misma, no siendo desvirtuado el informe pericial médico forense (dotado de las máximas garantías de objetividad e imparcialidad y merecedor de la más alta fiabilidad técnica por la extraordinaria profesionalidad de su autora, médico especialista en psiquiatría) por medio de prueba pericial médica de similar naturaleza y con capacidad y virtualidad probatoria para desvirtuar tal conclusión médico forense.</w:t>
      </w:r>
    </w:p>
    <w:p w:rsidR="001D6FAE" w:rsidRDefault="001D6FAE" w:rsidP="001D6FAE">
      <w:pPr>
        <w:pStyle w:val="TextoNormal"/>
      </w:pPr>
    </w:p>
    <w:p w:rsidR="001D6FAE" w:rsidRDefault="001D6FAE" w:rsidP="001D6FAE">
      <w:pPr>
        <w:pStyle w:val="TextoNormal"/>
      </w:pPr>
      <w:r>
        <w:t>En modo alguno resulta suficiente para desvirtuar la eficacia probatoria del citado informe médico forense que la demandada en el acto de juicio afirmase haber votado en una ocasión y manifestase a preguntas de la letrada de la parte actora su interés en seguir votando (máxime cuando previamente se constató por la médico forense y por este magistrado que la misma presenta semejantes deficiencias graves —y que no se consideran superables mediante mecanismos de auxilio o apoyo, al estilo de los ‘asistentes de apoyo’ del Código Civil Cataluña —en tal aspecto y ni siquiera conoce el objeto de este proceso ni sus consecuencias).</w:t>
      </w:r>
    </w:p>
    <w:p w:rsidR="001D6FAE" w:rsidRDefault="001D6FAE" w:rsidP="001D6FAE">
      <w:pPr>
        <w:pStyle w:val="TextoNormal"/>
      </w:pPr>
    </w:p>
    <w:p w:rsidR="001D6FAE" w:rsidRDefault="001D6FAE" w:rsidP="001D6FAE">
      <w:pPr>
        <w:pStyle w:val="TextoNormal"/>
      </w:pPr>
      <w:r>
        <w:t>Del mismo modo que resulta ineficaz e irrelevante para debilitar la fuerza probatoria del informe médico forense la manifestación de los padre[s] de la demandada favorable a la ausencia de incapacidad de la misma en tal aspecto al tratarse obviamente de una cuestión no dispositiva no acreditando n[i] tan siquiera la parte actora que la participación futura en procesos electorales de la demandada suponga un elemento necesario y relevante para fomentar su autonomía personal e inserción social.”</w:t>
      </w:r>
    </w:p>
    <w:p w:rsidR="001D6FAE" w:rsidRDefault="001D6FAE" w:rsidP="001D6FAE">
      <w:pPr>
        <w:pStyle w:val="TextoNormal"/>
      </w:pPr>
    </w:p>
    <w:p w:rsidR="001D6FAE" w:rsidRDefault="001D6FAE" w:rsidP="001D6FAE">
      <w:pPr>
        <w:pStyle w:val="TextoNormal"/>
      </w:pPr>
      <w:r>
        <w:t>Continúa la Sentencia de instancia con la cita y transcripción de parte de la Sentencia del Tribunal Supremo de 1 de julio de 2014 —recurso de casación núm. 1365-2012— y de la Sentencia de la Sección Decimoctava de la Audiencia Provincial de Barcelona de 2 de mayo de 2014; y concluye:</w:t>
      </w:r>
    </w:p>
    <w:p w:rsidR="001D6FAE" w:rsidRDefault="001D6FAE" w:rsidP="001D6FAE">
      <w:pPr>
        <w:pStyle w:val="TextoNormal"/>
      </w:pPr>
    </w:p>
    <w:p w:rsidR="001D6FAE" w:rsidRDefault="001D6FAE" w:rsidP="001D6FAE">
      <w:pPr>
        <w:pStyle w:val="TextoNormal"/>
      </w:pPr>
      <w:r>
        <w:t>“En el caso de autos la limitación apreciada en la demanda a nivel electoral no se basa en la exigencia a la misma de una aptitud cognitiva o intelectiva superior a la de otro posible ciudadano y elector ni en el simple desconocimiento por la demandada de las opciones políticas o en la hipotética irrazonabilidad en la elección de opciones por la misma, sino en la estricta y objetiva constatación de su falta de capacidad a efectos políticos y electorales, apreciándose por la médico forense y por este magistrado de forma indubitada las notables y de momento insuperables (sin perjuicio de ulterior proceso de modificación de la capacidad conforme al artículo 761 Ley de Enjuiciamiento Civil obviamente) deficiencias que presenta la demandada en tal particular faceta electoral no sólo por su sustancial desconocimiento de aspectos básicos y fundamentales del sistema político y del mismo régimen electoral sino por la constatada influenciabilidad de la demandada a tales efectos del mismo modo que se constató la incidencia de tal influenciabilidad a efectos de prestación del consentimiento para tratamientos médicos”.</w:t>
      </w:r>
    </w:p>
    <w:p w:rsidR="001D6FAE" w:rsidRDefault="001D6FAE" w:rsidP="001D6FAE">
      <w:pPr>
        <w:pStyle w:val="TextoNormal"/>
      </w:pPr>
    </w:p>
    <w:p w:rsidR="001D6FAE" w:rsidRDefault="001D6FAE" w:rsidP="001D6FAE">
      <w:pPr>
        <w:pStyle w:val="TextoNormal"/>
      </w:pPr>
      <w:r>
        <w:t>b) Interpuesto recurso de apelación por la representación de los padres respecto del pronunciamiento relativo a la prohibición de ejercicio del derecho de sufragio pasivo, fue desestimado por Sentencia de la Sección Sexta de la Audiencia Provincia de A Coruña de 11 de marzo de 2015.</w:t>
      </w:r>
    </w:p>
    <w:p w:rsidR="001D6FAE" w:rsidRDefault="001D6FAE" w:rsidP="001D6FAE">
      <w:pPr>
        <w:pStyle w:val="TextoNormal"/>
      </w:pPr>
    </w:p>
    <w:p w:rsidR="001D6FAE" w:rsidRDefault="001D6FAE" w:rsidP="001D6FAE">
      <w:pPr>
        <w:pStyle w:val="TextoNormal"/>
      </w:pPr>
      <w:r>
        <w:t>Se razona en dicha Sentencia lo que sigue:</w:t>
      </w:r>
    </w:p>
    <w:p w:rsidR="001D6FAE" w:rsidRDefault="001D6FAE" w:rsidP="001D6FAE">
      <w:pPr>
        <w:pStyle w:val="TextoNormal"/>
      </w:pPr>
    </w:p>
    <w:p w:rsidR="001D6FAE" w:rsidRDefault="001D6FAE" w:rsidP="001D6FAE">
      <w:pPr>
        <w:pStyle w:val="TextoNormal"/>
      </w:pPr>
      <w:r>
        <w:t>“La STS 1-7-2014 núm. 341/2014 y la STS 421/2013 de 24 de junio a la que aquélla se remite evidencian que la decisión de privación del derecho de sufragio activo es legalmente posible y compatible con la Convención de Nueva York, sin perjuicio de que para la eventual adopción de tal medida sea preciso examinar de forma concreta y particularizada las circunstancias e intereses concurrentes, evitando todo automatismo, para calibrar la necesidad de la medida para proteger los intereses del incapaz y del propio interés general de que la participación electoral se realice de forma libre y con un nivel de conocimiento mínimo respecto del hecho de votar y de la decisión adoptada. Como señala la segunda sentencia citada, se trata de poder discernir el sentido del voto y de no ponerlo en riesgo mediante la actuación de terceros o, como señala la sentencia de 25-11-2014 de la Sección 5ª de esta Audiencia, de constatar que “la persona conserva la habilidad necesaria para conocer la realidad política y discernir de forma suficiente a quién otorga el voto”. No se trata de establecer niveles de conocimiento político mínimo, ni de someter a la persona cuya capacidad en otros ámbitos se tutela o integra a exámenes que ningún otro ciudadano ha de tolerar, pero sí que es necesario ponderar si su nivel de conocimiento de la realidad social y su nivel intelectual permiten estimar que está en condiciones de adoptar efectiva, real y materialmente una decisión política, más allá del formalismo o rito social de introducir un voto en una urna, por ilusionante que pueda ser este ejercicio de un derecho ciudadano y por loable que sea el propósito de fomentar su participación en este acto de máxima relevancia en una sociedad democrática. No puede bastar en definitiva la voluntad, el querer votar que se patentizó n la vista, sino que es preciso que se cuente con un bagaje de conocimientos y capacidades vitales que permitan que el voto sea fruto de una verdadera decisión libre e informada, ajena por otra parte a hipotéticas –aunque en el caso no conste en absoluto que actualmente existan– influencias sobre una débil capacidad de autodeterminación.</w:t>
      </w:r>
    </w:p>
    <w:p w:rsidR="001D6FAE" w:rsidRDefault="001D6FAE" w:rsidP="001D6FAE">
      <w:pPr>
        <w:pStyle w:val="TextoNormal"/>
      </w:pPr>
    </w:p>
    <w:p w:rsidR="001D6FAE" w:rsidRDefault="001D6FAE" w:rsidP="001D6FAE">
      <w:pPr>
        <w:pStyle w:val="TextoNormal"/>
      </w:pPr>
      <w:r>
        <w:t>Siendo evidente desde el planteamiento del litigio que éste iba a ser el principal posible punto de controversia, queda claro que no se actuó por parte de la médico forense o por el juzgador de forma rutinaria o con inadvertencia hacia este aspecto concreto sometido a enjuiciamiento, que fue objeto de atención específica, provocando que se formularan preguntas concretas de interés sobre el mismo, en las varias sesiones en que estuvieron con la demandada. Constan datos plenamente relevantes como que su nivel de competencia curricular sea del primer ciclo de educación primaria (de 6 a 8 años), su desconocimiento casi total del valor del dinero o de conceptos legales básicos, su carencia casi total de conocimientos políticos (ignorancia sobre los partidos políticos o sobre el contenido de las elecciones) o su falta de capacidad para adoptar decisiones elementales (cuestión relativa al incendio), lo que llevan a estimar soportada por prueba suficiente la decisión restrictiva adoptada en la sentencia recurrida, al carecer la demandada de las aptitudes básicas necesarias, con arreglo a los criterios que se han intentado exponer, para ejercer el derecho de sufragio, por lo que ha de ser mantenida la resolución apelada atendidas las concretas circunstancias del caso”.</w:t>
      </w:r>
    </w:p>
    <w:p w:rsidR="001D6FAE" w:rsidRDefault="001D6FAE" w:rsidP="001D6FAE">
      <w:pPr>
        <w:pStyle w:val="TextoNormal"/>
      </w:pPr>
    </w:p>
    <w:p w:rsidR="001D6FAE" w:rsidRDefault="001D6FAE" w:rsidP="001D6FAE">
      <w:pPr>
        <w:pStyle w:val="TextoNormal"/>
      </w:pPr>
      <w:r>
        <w:t>c) Finalmente, interpuesto recurso de casación, también fue desestimado por la Sentencia de la Sala de lo Civil del Tribunal Supremo de 17 de marzo de 2016. Razona en ella el Alto Tribunal lo que a continuación se trascribe:</w:t>
      </w:r>
    </w:p>
    <w:p w:rsidR="001D6FAE" w:rsidRDefault="001D6FAE" w:rsidP="001D6FAE">
      <w:pPr>
        <w:pStyle w:val="TextoNormal"/>
      </w:pPr>
    </w:p>
    <w:p w:rsidR="001D6FAE" w:rsidRDefault="001D6FAE" w:rsidP="001D6FAE">
      <w:pPr>
        <w:pStyle w:val="TextoNormal"/>
      </w:pPr>
      <w:r>
        <w:t>“Lo que se cuestiona en este caso es de qué manera se encuentra afectada doña [M.G.C] para adoptar la medida que se (</w:t>
      </w:r>
      <w:r w:rsidRPr="001D6FAE">
        <w:rPr>
          <w:i/>
        </w:rPr>
        <w:t>sic</w:t>
      </w:r>
      <w:r>
        <w:t>) más favorable a su interés y como puede evitarse una posible disfunción en la aplicación de la Convención de Nueva York, respecto de la anulación de los derechos políticos, sociales o de cualquier otra índole reconocidos en la Convención, concretado en este caso en la privación del derecho de sufragio, como refiere la citada sentencia, en la que esta Sala ya alertó sobre el riesgo de no reconocer y potenciar en lo posible la capacidad acreditada en cada caso, “más allá de la simple rutina protocolar”, evitando lo que sería una verdadera muerte social y legal de la persona en situación de discapacidad.</w:t>
      </w:r>
    </w:p>
    <w:p w:rsidR="001D6FAE" w:rsidRDefault="001D6FAE" w:rsidP="001D6FAE">
      <w:pPr>
        <w:pStyle w:val="TextoNormal"/>
      </w:pPr>
    </w:p>
    <w:p w:rsidR="001D6FAE" w:rsidRDefault="001D6FAE" w:rsidP="001D6FAE">
      <w:pPr>
        <w:pStyle w:val="TextoNormal"/>
      </w:pPr>
      <w:r>
        <w:t>El artículo 29 de la Convención (SSTS 24 de junio 2013, 1 de julio 2014, entre otras) garantiza a las personas con discapacidad los derechos políticos y la posibilidad de gozar de ellos en igualdad de condiciones y como corolario lógico ejercer el derecho de voto que se considera conveniente y beneficioso, mientras que el artículo 3.1 b y 2 de la Ley 5/85, de 19 de julio, del Régimen Electoral General, señala que los declarados incapaces en virtud de sentencia judicial firme quedarán privados del derecho de sufragio, siempre que la misma se declare expresamente la incapacidad para su ejercicio, debiendo los Jueces y Tribunales que entiendan de los procedimientos de incapacitación o internamiento pronunciarse expresamente sobre la incapacidad para el ejercicio del sufragio. La pérdida del derecho de sufragio no es una consecuencia automática o necesaria de este estado, sino que es posible la incapacitación y la reserva al incapaz de este derecho pues una cosa es que una persona no pueda regirse por sí misma, ni administrar su patrimonio, y otra distinta que esté impedida para ejercitarlo correctamente. Es el Juez que conoce del proceso a quien corresponde analizar y valorar la situación de la persona sometida a su consideración y pronunciarse sobre la conveniencia de negar el ejercicio de este derecho fundamental, que es regla y no excepción, a quien puede hacerlo no obstante su situación personal.</w:t>
      </w:r>
    </w:p>
    <w:p w:rsidR="001D6FAE" w:rsidRDefault="001D6FAE" w:rsidP="001D6FAE">
      <w:pPr>
        <w:pStyle w:val="TextoNormal"/>
      </w:pPr>
    </w:p>
    <w:p w:rsidR="001D6FAE" w:rsidRDefault="001D6FAE" w:rsidP="001D6FAE">
      <w:pPr>
        <w:pStyle w:val="TextoNormal"/>
      </w:pPr>
      <w:r>
        <w:t>La decisión de privación del derecho de sufragio activo es por tanto legalmente posible y compatible con la Convención de Nueva York, sin perjuicio de que para la eventual adopción de tal medida sea preciso examinar de forma concreta y particularizada las circunstancias e intereses concurrentes, evitando todo automatismo, incompatible con los derechos fundamentales en juego, para calibrar y el propio interés general de que la participación electoral se realice de forma libre y con un nivel de conocimiento mínimo respecto del hecho de votar y de la decisión adoptada, como advierte la sentencia recurrida.</w:t>
      </w:r>
    </w:p>
    <w:p w:rsidR="001D6FAE" w:rsidRDefault="001D6FAE" w:rsidP="001D6FAE">
      <w:pPr>
        <w:pStyle w:val="TextoNormal"/>
      </w:pPr>
    </w:p>
    <w:p w:rsidR="001D6FAE" w:rsidRDefault="001D6FAE" w:rsidP="001D6FAE">
      <w:pPr>
        <w:pStyle w:val="TextoNormal"/>
      </w:pPr>
      <w:r>
        <w:t>Ocurre en este caso, a diferencia del supuesto resuelto en el recurso de casación que dio lugar a la sentencia de 24 de junio de 2013, que tanto la sentencia del Juzgado como la de apelación no han actuado “de forma rutinaria o con inadvertencia hacia este aspecto concreto”, antes al contrario, dicha persona fue objeto de atención específica, provocando que se formularan preguntas concretas de interés sobre el mismo, en las varias sesiones en que estuvieron con ella.”</w:t>
      </w:r>
    </w:p>
    <w:p w:rsidR="001D6FAE" w:rsidRDefault="001D6FAE" w:rsidP="001D6FAE">
      <w:pPr>
        <w:pStyle w:val="TextoNormal"/>
      </w:pPr>
    </w:p>
    <w:p w:rsidR="001D6FAE" w:rsidRDefault="001D6FAE" w:rsidP="001D6FAE">
      <w:pPr>
        <w:pStyle w:val="TextoNormal"/>
      </w:pPr>
      <w:r>
        <w:t>A continuación, trascribe la Sentencia de casación el fragmento de la apelación relativa a las concretas circunstancias del caso.</w:t>
      </w:r>
    </w:p>
    <w:p w:rsidR="001D6FAE" w:rsidRDefault="001D6FAE" w:rsidP="001D6FAE">
      <w:pPr>
        <w:pStyle w:val="TextoNormal"/>
      </w:pPr>
    </w:p>
    <w:p w:rsidR="001D6FAE" w:rsidRDefault="001D6FAE" w:rsidP="001D6FAE">
      <w:pPr>
        <w:pStyle w:val="TextoNormal"/>
      </w:pPr>
      <w:r w:rsidRPr="001D6FAE">
        <w:rPr>
          <w:rStyle w:val="NumeroAFNegritaCaracter"/>
        </w:rPr>
        <w:t>3</w:t>
      </w:r>
      <w:r>
        <w:t>. El recurso de amparo se funda en la vulneración del art. 23 CE en relación con la interpretación —que debe dársele de conformidad con el art. 10.2 CE— conforme a lo establecido en los arts. 29, 5 y 12 de la Convención internacional sobre los derechos de las personas con discapacidad, hecha en Nueva York el 13 de diciembre de 2006, y vulneración del art. 23 CE en relación con el art. 14 CE y de conformidad con el criterio interpretativo fijado en la citada Convención.</w:t>
      </w:r>
    </w:p>
    <w:p w:rsidR="001D6FAE" w:rsidRDefault="001D6FAE" w:rsidP="001D6FAE">
      <w:pPr>
        <w:pStyle w:val="TextoNormal"/>
      </w:pPr>
    </w:p>
    <w:p w:rsidR="001D6FAE" w:rsidRDefault="001D6FAE" w:rsidP="001D6FAE">
      <w:pPr>
        <w:pStyle w:val="TextoNormal"/>
      </w:pPr>
      <w:r>
        <w:t>a) En relación con el derecho a participar en asuntos públicos por medio del voto reconocido por el art. 23.1 CE, aduce la parte recurrente, en síntesis, que el precepto constitucional no contempla excepción, y que este derecho no está ligado a la posesión de un determinado nivel de conocimientos, o competencias, o de renta, ni a la acreditación de buena conducta, sino a la condición de ciudadano, circunstancia que convierte el sufragio en universal (art. 68 CE). La privación que autoriza el art. 3.1 b) de la Ley Orgánica del régimen electoral general (LOREG), además de dudosa constitucionalidad, debe interpretarse conforme al art. 29 de la Convención internacional sobre los derechos de las personas con discapacidad (art. 10.2 CE), que no se encontraba vigente al aprobarse la Ley Orgánica del régimen electoral general, que en su apartado a) indica que los estados partes se comprometen “a asegurar que las personas con discapacidad puedan participar plena y efectivamente en la vida política y pública en igualdad de condiciones con los demás, directamente o a través de representantes libremente elegidos, incluidos el derecho y la posibilidad de las personas con discapacidad a votar y ser elegidas”. Afirma que debería haberse inaplicado pura y simplemente el art. 3.1 b) LOREG, por oponerse a una norma convencional de aplicación preferente: el art. 29 de la Convención internacional sobre los derechos de las personas con discapacidad.</w:t>
      </w:r>
    </w:p>
    <w:p w:rsidR="001D6FAE" w:rsidRDefault="001D6FAE" w:rsidP="001D6FAE">
      <w:pPr>
        <w:pStyle w:val="TextoNormal"/>
      </w:pPr>
    </w:p>
    <w:p w:rsidR="001D6FAE" w:rsidRDefault="001D6FAE" w:rsidP="001D6FAE">
      <w:pPr>
        <w:pStyle w:val="TextoNormal"/>
      </w:pPr>
      <w:r>
        <w:t>Continúa la demanda expresando que la Sentencia del Tribunal Supremo impugnada justifica la privación en que se trata de una medida dirigida a “proteger los intereses del incapaz” y, sin embargo, no razona en modo alguno que ejercer el derecho de sufragio sea contrario a los intereses de la incapaz, máxime cuando la persona afectada ha manifestado su interés en participar en las elecciones. Aduce que la justificación de la privación del derecho fundamental con base en “el interés general de que la participación electoral se realice de forma libre y con un nivel de conocimiento mínimo respecto del hecho de votar y de la decisión adoptada”, no supera el test de proporcionalidad (STC 136/1999, de 20 de julio, FFJJ 27 a 29).</w:t>
      </w:r>
    </w:p>
    <w:p w:rsidR="001D6FAE" w:rsidRDefault="001D6FAE" w:rsidP="001D6FAE">
      <w:pPr>
        <w:pStyle w:val="TextoNormal"/>
      </w:pPr>
    </w:p>
    <w:p w:rsidR="001D6FAE" w:rsidRDefault="001D6FAE" w:rsidP="001D6FAE">
      <w:pPr>
        <w:pStyle w:val="TextoNormal"/>
      </w:pPr>
      <w:r>
        <w:t>b) En relación con la vulneración del principio de igualdad reconocido por el art. 14 CE, argumenta que si bien no toda diferencia de trato constituye una lesión del principio de igualdad, en este caso, el art. 12.2 de la Convención internacional sobre los derechos de las personas con discapacidad obliga a los Estados Parte a reconocer capacidad jurídica de las personas con discapacidad “en igualdad de condiciones con las demás en todos los aspectos de la vida”, no siendo razonable la diferencia de trato cuando la prohibición se impone al promover un procedimiento de incapacidad cuya finalidad es el “beneficio del tutelado”, sin que se haya probado que le ocasiona un perjuicio el ejercicio del derecho de sufragio, por lo que el trato desigual frente a los demás ciudadanos a quienes no se les somete a un test de conocimientos políticos y electorales, ni se examina su grado de influenciabilidad, carece de justificación objetiva y razonable. Afirma que la discapacidad no se encuentra entre los motivos específicos de discriminación expresamente contemplados en el art. 14 CE, pero ha sido incluido en dicho precepto por la STC 269/1994, de 3 de octubre, lo que resultaría además de la necesidad de interpretar el art. 14 CE conforme al art. 21.1 de la Carta de derechos fundamentales de la Unión Europea, que contempla expresamente la discapacidad en la relación de motivos de discriminación prohibidos, y en relación con el art. 5 de la tan citada Convención que prohíbe expresamente la discriminación por motivo de discapacidad.</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23 de junio de 2016, la Sección Tercera de este Tribunal acordó la inadmisión a trámite de la demanda de amparo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1D6FAE" w:rsidRDefault="001D6FAE" w:rsidP="001D6FAE">
      <w:pPr>
        <w:pStyle w:val="TextoNormal"/>
      </w:pPr>
    </w:p>
    <w:p w:rsidR="001D6FAE" w:rsidRDefault="001D6FAE" w:rsidP="001D6FAE">
      <w:pPr>
        <w:pStyle w:val="TextoNormal"/>
      </w:pPr>
      <w:r w:rsidRPr="001D6FAE">
        <w:rPr>
          <w:rStyle w:val="NumeroAFNegritaCaracter"/>
        </w:rPr>
        <w:t>5</w:t>
      </w:r>
      <w:r>
        <w:t>. El Ministerio Fiscal, mediante escrito de 21 de julio de 2016, interpuso recurso de súplica frente a la citada providencia al entender que no puede descartarse totalmente la existencia de una apariencia de lesión constitucional de los derechos fundamentales consagrados en los arts. 14 y 23 CE, en los términos denunciados por los recurrentes.</w:t>
      </w:r>
    </w:p>
    <w:p w:rsidR="001D6FAE" w:rsidRDefault="001D6FAE" w:rsidP="001D6FAE">
      <w:pPr>
        <w:pStyle w:val="TextoNormal"/>
      </w:pPr>
    </w:p>
    <w:p w:rsidR="001D6FAE" w:rsidRDefault="001D6FAE" w:rsidP="001D6FAE">
      <w:pPr>
        <w:pStyle w:val="TextoNormal"/>
      </w:pPr>
      <w:r>
        <w:t>Para el Fiscal ante el Tribunal Constitucional la lesión constitucional denunciada pudiera tener su origen en la propia previsión legal del art. 3 LOREG o bien en la interpretación y aplicación jurisprudencial que se está haciendo de esta disposición legal. Comienza el Fiscal con la trascripción parcial de la recomendación R (2006) 5 sobre el plan de acción del Consejo de Europa para la promoción de los derechos y la plena participación de las personas con discapacidad en la sociedad: mejorar la calidad de vida de las personas con discapacidad en Europa 2006-2015, y del dictamen del Comité Económico y Social Europeo (CESE) sobre la “Comunicación de la Comisión al Parlamento Europeo, al Consejo, al Comité Económico y Social Europeo y al Comité de las Regiones –Estrategia Europea Sobre Discapacidad 2010-2020: un compromiso renovado para una Europa sin barreras”, de fecha 21 de septiembre de 2011; se refiere, a continuación, a la doctrina del Tribunal Europeo de Derechos Humanos y a la Instrucción de la Fiscalía General del Estado núm. 3-2010 sobre la necesaria fundamentación individualizada de las medidas de protección o apoyo en los procedimientos sobre determinación de la capacidad de las personas, de donde se infiere que la privación del derechos de sufragio activo no puede ser una consecuencia necesaria de la limitación de capacidad de una persona, sino que, por el contrario, como consecuencia de su carácter excepcional, debe estar sometida a un riguroso juicio constitucional de necesidad. A su juicio, no puede descartarse, en el caso, la lesión del art. 23.1 CE por parte de los órganos judiciales, lo que infiere de los siguientes extremos: (i) no parece haberse valorado adecuadamente la manifestación realizada por la interesada en la vista de su voluntad de seguir votando, como así lo había hecho en una ocasión anterior; (ii) no se practicó prueba alguna que acreditara que el ejercicio del derecho de voto cause un perjuicio a doña M., o que tuviera perturbada su capacidad de decisión autónoma; (iii) el nivel de conocimientos políticos ni la supuesta “influenciabilidad” de la persona, no parecen argumentos suficientes para privar del derecho fundamental al voto por razón de discapacidad; lo primero porque supone exigir a las personas con discapacidad intelectual un plus que no se exige a las demás personas con derecho de voto; y lo segundo, porque el concepto de “influenciabilidad” es difícilmente objetivable, no puede presumirse, puede darse en personas sin discapacidad sin que ello sea argumento válido para privarles del ejercicio del derecho de voto, y porque hay en el ordenamiento garantías suficientes para proteger la libertad de voto de los electores.</w:t>
      </w:r>
    </w:p>
    <w:p w:rsidR="001D6FAE" w:rsidRDefault="001D6FAE" w:rsidP="001D6FAE">
      <w:pPr>
        <w:pStyle w:val="TextoNormal"/>
      </w:pPr>
    </w:p>
    <w:p w:rsidR="001D6FAE" w:rsidRDefault="001D6FAE" w:rsidP="001D6FAE">
      <w:pPr>
        <w:pStyle w:val="TextoNormal"/>
      </w:pPr>
      <w:r w:rsidRPr="001D6FAE">
        <w:rPr>
          <w:rStyle w:val="NumeroAFNegritaCaracter"/>
        </w:rPr>
        <w:t>6</w:t>
      </w:r>
      <w:r>
        <w:t>. Mediante diligencia de ordenación de 22 de julio de 2016, se dio traslado a la parte recurrente en amparo para que, de conformidad con el art. 93.2 LOTC, efectuara las alegaciones oportunas en el término de tres días, trámite que no ha sido evacuado.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Ministerio Fiscal considera en su recurso de súplica que la Sección Tercera de este Tribunal ha inadmitido indebidamente el recurso de amparo presentado por los actores, ya que la ausencia de lesión de los derechos fundamentales invocados no es, a su juicio, manifiesta. Para justificar este parecer, el Fiscal ante el Tribunal Constitucional utiliza los argumentos que han quedado consignados en los antecedentes de esta resolución y que se centran en la infracción del art. 23 CE por las resoluciones judiciales impugnadas, bien por el precepto legal aplicado, bien por la interpretación y aplicación dada al mismo por los tribunales de primera instancia, apelación y casación.</w:t>
      </w:r>
    </w:p>
    <w:p w:rsidR="001D6FAE" w:rsidRDefault="001D6FAE" w:rsidP="001D6FAE">
      <w:pPr>
        <w:pStyle w:val="TextoNormal"/>
      </w:pPr>
    </w:p>
    <w:p w:rsidR="001D6FAE" w:rsidRDefault="001D6FAE" w:rsidP="001D6FAE">
      <w:pPr>
        <w:pStyle w:val="TextoNormal"/>
      </w:pPr>
      <w:r>
        <w:t>Sin embargo, el recurso no puede ser acogido por los razonamientos que, a continuación, se exponen.</w:t>
      </w:r>
    </w:p>
    <w:p w:rsidR="001D6FAE" w:rsidRDefault="001D6FAE" w:rsidP="001D6FAE">
      <w:pPr>
        <w:pStyle w:val="TextoNormal"/>
      </w:pPr>
    </w:p>
    <w:p w:rsidR="001D6FAE" w:rsidRDefault="001D6FAE" w:rsidP="001D6FAE">
      <w:pPr>
        <w:pStyle w:val="TextoNormal"/>
      </w:pPr>
      <w:r w:rsidRPr="001D6FAE">
        <w:rPr>
          <w:rStyle w:val="NumeroAFNegritaCaracter"/>
        </w:rPr>
        <w:t>2</w:t>
      </w:r>
      <w:r>
        <w:t>. Por lo que se refiere a la duda de constitucionalidad de los apartados 1 b) y 2 del art. 3 de la Ley Orgánica 5/1985, de 19 de junio, del régimen electoral general (LOREG), en relación con el art. 23.1 CE, en la demanda se parte de que este precepto constitucional reconoce el derecho de derecho de sufragio activo a todos los “ciudadanos” sin limitaciones, excepciones ni llamadas al legislador.</w:t>
      </w:r>
    </w:p>
    <w:p w:rsidR="001D6FAE" w:rsidRDefault="001D6FAE" w:rsidP="001D6FAE">
      <w:pPr>
        <w:pStyle w:val="TextoNormal"/>
      </w:pPr>
    </w:p>
    <w:p w:rsidR="001D6FAE" w:rsidRDefault="001D6FAE" w:rsidP="001D6FAE">
      <w:pPr>
        <w:pStyle w:val="TextoNormal"/>
      </w:pPr>
      <w:r>
        <w:t>Hemos de recordar, sin embargo, que el derecho de sufragio activo universal es un derecho fundamental de configuración legal (arts. 68.1 CE, respecto del Congreso, 69.2 CE, del Senado, 140 en relación con los ayuntamientos y 152 en relación con las Asambleas Legislativas de las Comunidades Autónomas) como ha señalado expresamente la STC 153/2014, de 25 de septiembre, FJ 3, según la cual “la participación ha de sustanciarse en los términos en que el precepto haya sido desarrollado por el legislador electoral (arts. 53.1 y 81.1 CE), siempre que dicho desarrollo no menoscabe el contenido esencial del derecho fundamental ni infrinja los preceptos constitucionales”.</w:t>
      </w:r>
    </w:p>
    <w:p w:rsidR="001D6FAE" w:rsidRDefault="001D6FAE" w:rsidP="001D6FAE">
      <w:pPr>
        <w:pStyle w:val="TextoNormal"/>
      </w:pPr>
    </w:p>
    <w:p w:rsidR="001D6FAE" w:rsidRDefault="001D6FAE" w:rsidP="001D6FAE">
      <w:pPr>
        <w:pStyle w:val="TextoNormal"/>
      </w:pPr>
      <w:r>
        <w:t>No es ya que no existe una definición constitucional de “ciudadano” (art. 23.1 CE), ni sería posible constitucionalmente restringir esta noción a los mayores de dieciocho años (art. 12 CE), sino que tampoco, desde este mismo punto de vista constitucional, se identifica ese concepto con el de nacionalidad o vecindad, pues, como resaltó la citada Sentencia “la determinación de las condiciones que afectan a la titularidad y ejercicio del derecho de sufragio se sitúan en el dominio del legislador electoral” (STC 153/2014, de 25 de septiembre, FJ 7).</w:t>
      </w:r>
    </w:p>
    <w:p w:rsidR="001D6FAE" w:rsidRDefault="001D6FAE" w:rsidP="001D6FAE">
      <w:pPr>
        <w:pStyle w:val="TextoNormal"/>
      </w:pPr>
    </w:p>
    <w:p w:rsidR="001D6FAE" w:rsidRDefault="001D6FAE" w:rsidP="001D6FAE">
      <w:pPr>
        <w:pStyle w:val="TextoNormal"/>
      </w:pPr>
      <w:r>
        <w:t xml:space="preserve">Los arts. 2 y 3 LOREG condicionan el ejercicio del derecho de sufragio activo, además de a la nacionalidad —exigencia que tampoco es absoluta—, a la mayoría de edad, a la inscripción en el censo electoral, así como a la ausencia de alguna de las circunstancias previstas en el artículo 3, entre las que se encuentra la privación judicial en procesos de incapacitación o de internamiento por razón de trastorno psíquico. De ese modo, el modelo constitucional de sufragio universal no es </w:t>
      </w:r>
      <w:r w:rsidRPr="001D6FAE">
        <w:rPr>
          <w:i/>
        </w:rPr>
        <w:t>per se</w:t>
      </w:r>
      <w:r>
        <w:t xml:space="preserve"> incompatible con la privación singularizada de este derecho, por causa legalmente prevista, sobre todo cuando dicha privación está revestida de la garantía judicial.</w:t>
      </w:r>
    </w:p>
    <w:p w:rsidR="001D6FAE" w:rsidRDefault="001D6FAE" w:rsidP="001D6FAE">
      <w:pPr>
        <w:pStyle w:val="TextoNormal"/>
      </w:pPr>
    </w:p>
    <w:p w:rsidR="001D6FAE" w:rsidRDefault="001D6FAE" w:rsidP="001D6FAE">
      <w:pPr>
        <w:pStyle w:val="TextoNormal"/>
      </w:pPr>
      <w:r w:rsidRPr="001D6FAE">
        <w:rPr>
          <w:rStyle w:val="NumeroAFNegritaCaracter"/>
        </w:rPr>
        <w:t>3</w:t>
      </w:r>
      <w:r>
        <w:t>. A partir de las consideraciones del fundamento anterior, los argumentos empleados en la demanda resultan insuficientes para cuestionar eficazmente la constitucionalidad, por infracción de los arts. 23.1 y 14 CE, de la citada previsión legal —arts. 3.1 b) y 3.2 LOREG—, que habilita a los tribunales de justicia a llevar a cabo una restricción del ejercicio del derecho de sufragio activo por razón de la capacidad de la persona, singularmente, en razón a las concretas circunstancias de cada persona y tras el oportuno proceso de incapacitación (o de autorización de internamiento por razón de trastorno psíquico).</w:t>
      </w:r>
    </w:p>
    <w:p w:rsidR="001D6FAE" w:rsidRDefault="001D6FAE" w:rsidP="001D6FAE">
      <w:pPr>
        <w:pStyle w:val="TextoNormal"/>
      </w:pPr>
    </w:p>
    <w:p w:rsidR="001D6FAE" w:rsidRDefault="001D6FAE" w:rsidP="001D6FAE">
      <w:pPr>
        <w:pStyle w:val="TextoNormal"/>
      </w:pPr>
      <w:r>
        <w:t>Respecto de la invocada interpretación del art. 23 CE conforme a la Convención sobre los derechos de las personas con discapacidad, hecha en Nueva York el 13 de diciembre de 2006 y ratificada por España mediante Instrumento de 9 de abril de 2008, por mandato del art. 10.2 CE, y, singularmente, conforme a su artículo 29, debe tenerse en cuenta, en primer término, la distinción entre “discapacidad” en el sentido de la Convención, concepto muy amplio en que tiene cabida cualquier “deficiencia física, mental, intelectual o sensorial a largo plazo” que pueda impedir la efectiva igualdad (art. 1 de la citada Convención), de “incapacidad” en el sentido definido por el Código civil (CC) —“enfermedades o deficiencias persistentes de carácter físico o psíquico, que impidan a la persona gobernarse por sí misma” (art. 200 CC)—, y concretado respecto del ejercicio del derecho que nos ocupa en el art. 3 LOREG. En este último se trata de la capacidad de la persona —de cada persona— para emitir el voto como “libre expresión de la voluntad del elector”, lo que también garantiza la Convención [art. 29 a) iii)], cuya finalidad se inscribe más bien, en línea con el mandato contenido en el art. 9.2 CE, de remover los obstáculos que impidan o dificulten la emisión del voto libre, secreto y sin intimidación [apartado a) II y II del artículo 29] de las personas con discapacidad, llegando a garantizar que “cuando sea necesario y a petición de ellas” que “una persona de su elección les preste asistencia para votar”. Partiendo de este ámbito de aplicación y finalidad diferentes, las razones apuntadas por los recurrentes no siembran duda sobre la compatibilidad del art. 29 de la Convención internacional sobre los derechos de las personas con discapacidad y el art. 3.1 b) LOREG, tal y como han sido conciliados en la más reciente jurisprudencia del Tribunal Supremo, de la que se ha dejado constancia en el apartado de antecedentes al trascribir parte la sentencia inmediatamente recurrida.</w:t>
      </w:r>
    </w:p>
    <w:p w:rsidR="001D6FAE" w:rsidRDefault="001D6FAE" w:rsidP="001D6FAE">
      <w:pPr>
        <w:pStyle w:val="TextoNormal"/>
      </w:pPr>
    </w:p>
    <w:p w:rsidR="001D6FAE" w:rsidRDefault="001D6FAE" w:rsidP="001D6FAE">
      <w:pPr>
        <w:pStyle w:val="TextoNormal"/>
      </w:pPr>
      <w:r>
        <w:t>En segundo lugar, y si bien ese concreto aspecto no se cuestiona expresamente en el recurso de súplica formulado por el Fiscal, tampoco la demanda contiene una argumentación suficiente a fin de poner en duda eficazmente que el precepto legal aplicado introduzca una discriminación por razón de discapacidad, como se pretende, lo que resultaría contrario al art. 14 CE.</w:t>
      </w:r>
    </w:p>
    <w:p w:rsidR="001D6FAE" w:rsidRDefault="001D6FAE" w:rsidP="001D6FAE">
      <w:pPr>
        <w:pStyle w:val="TextoNormal"/>
      </w:pPr>
    </w:p>
    <w:p w:rsidR="001D6FAE" w:rsidRDefault="001D6FAE" w:rsidP="001D6FAE">
      <w:pPr>
        <w:pStyle w:val="TextoNormal"/>
      </w:pPr>
      <w:r>
        <w:t>Debe insistirse en que el precepto en cuestión no priva del derecho a voto los “discapacitados” como grupo o colectivo, y por razón de cualquier discapacidad. Por el contrario, atribuye a los órganos judiciales la función de decidir sobre tal restricción del ejercicio del derecho fundamental de modo individualizado, en razón a las concretas circunstancias de cada persona y tras el oportuno proceso. No ampara este precepto la privación de este derecho de sufragio activo a las personas por el hecho de padecer cualquier discapacidad, sino sólo a aquellas respecto de las que así se decida, por sentencia, tras el oportuno proceso con las debidas garantías de defensa y prueba, y por razón de la concreta disfuncionalidad que padecen y que se proyecte sobre su capacidad intelectiva y volitiva respecto del ejercicio del derecho de voto. Por ello, la restricción únicamente debe afectar a las personas que carecen del mínimo entendimiento y voluntad precisos para ejercer el voto libre que proclama el art. 23.1 CE. Además, la naturaleza de las medidas contempladas en los apartados i) a iii) del art. 29 a) de la Convención internacional sobre los derechos de las personas con discapacidad corrobora lo aquí afirmado, pues su finalidad es la de garantizar el efectivo ejercicio del voto que sea fiel reflejo de la libre voluntad de la persona con discapacidad y no, por el contrario, la mera introducción de la papeleta electoral en la urna.</w:t>
      </w:r>
    </w:p>
    <w:p w:rsidR="001D6FAE" w:rsidRDefault="001D6FAE" w:rsidP="001D6FAE">
      <w:pPr>
        <w:pStyle w:val="TextoNormal"/>
      </w:pPr>
    </w:p>
    <w:p w:rsidR="001D6FAE" w:rsidRDefault="001D6FAE" w:rsidP="001D6FAE">
      <w:pPr>
        <w:pStyle w:val="TextoNormal"/>
      </w:pPr>
      <w:r w:rsidRPr="001D6FAE">
        <w:rPr>
          <w:rStyle w:val="NumeroAFNegritaCaracter"/>
        </w:rPr>
        <w:t>4</w:t>
      </w:r>
      <w:r>
        <w:t>. Sobre la aplicación judicial del art. 3.2 LOREG al caso enjuiciado, aceptando como punto de partida, con el Fiscal, que la restricción del ejercicio del derecho de sufragio activo reconocido por el art. 23 CE no ha de ser aplicada como mera consecuencia automática de la declaración de incapacidad, el examen de las resoluciones judiciales impugnadas, singularmente de la Sentencia de la Sala de lo Civil del Tribunal Supremo, no evidencia, a nuestro juicio, el automatismo ni el error que se denuncia, sino todo lo contrario.</w:t>
      </w:r>
    </w:p>
    <w:p w:rsidR="001D6FAE" w:rsidRDefault="001D6FAE" w:rsidP="001D6FAE">
      <w:pPr>
        <w:pStyle w:val="TextoNormal"/>
      </w:pPr>
    </w:p>
    <w:p w:rsidR="001D6FAE" w:rsidRDefault="001D6FAE" w:rsidP="001D6FAE">
      <w:pPr>
        <w:pStyle w:val="TextoNormal"/>
      </w:pPr>
      <w:r>
        <w:t>Como se ha dejado constancia en el apartado de antecedentes, la Sentencia inmediatamente impugnada recoge la jurisprudencia recaída en esta materia a partir de la Sentencia de la Sala de lo Civil del Tribunal Supremo de 24 de junio de 2013 —que, a su vez, toma como precedente la Sentencia del Pleno de la Sala Primera del mismo Tribunal de 29 de abril 2009 que se había pronunciado en favor de la adecuación del sistema de incapacitación del Código civil a la Convención de Nueva York citada más arriba— y que ha sido reiterada con posterioridad. En síntesis, esta jurisprudencia, que es de fecha posterior a la de los textos citados por el Fiscal, partiendo de que la capacidad de ejercicio del derecho fundamental de sufragio activo “es regla y no excepción”, rechaza este aludido automatismo y exige que el pronunciamiento vaya precedido de un examen singularizado de la situación de la persona y de una ponderación de los intereses concurrentes. A partir de estas premisas concluye el tribunal de casación que “tanto la sentencia del Juzgado como la de apelación no han actuado ‘de forma rutinaria o con inadvertencia hacia este aspecto concreto’, antes al contrario, dicha persona fue objeto de atención específica”.</w:t>
      </w:r>
    </w:p>
    <w:p w:rsidR="001D6FAE" w:rsidRDefault="001D6FAE" w:rsidP="001D6FAE">
      <w:pPr>
        <w:pStyle w:val="TextoNormal"/>
      </w:pPr>
    </w:p>
    <w:p w:rsidR="001D6FAE" w:rsidRDefault="001D6FAE" w:rsidP="001D6FAE">
      <w:pPr>
        <w:pStyle w:val="TextoNormal"/>
      </w:pPr>
      <w:r>
        <w:t>Si bien no se ha invocado infracción del derecho fundamental a la tutela judicial efectiva (art. 24.1 CE) que, conviene recordar, no incluye un pretendido derecho al acierto judicial (por todas, STC 64/2010 de 18 de octubre, FJ 3), es necesario poner de manifiesto que la valoración de las concretas circunstancias de las que las resoluciones impugnadas deducen la incapacidad para el ejercicio del derecho de voto y que pone en tela de juicio por el Fiscal, no sólo no evidencia arbitrariedad, irracionalidad, o error patente en el discurso, sino que cumple con el canon de motivación reforzada exigible cuando de la restricción del ejercicio de derechos fundamentales se trata (por todas SSTC 62/1996, de 15 de abril, FJ 2; 34/1997, de 25 de febrero, FJ 2; 175/1997, de 27 de octubre, FJ 4; 200/1997, de 24 de noviembre, FJ 4; 83/1998, de 20 de abril, FJ 3; 116/1998, de 2 de junio, FJ 4, y 2/1999, de 25 de enero, FJ 2, entre otras), como es el caso.</w:t>
      </w:r>
    </w:p>
    <w:p w:rsidR="001D6FAE" w:rsidRDefault="001D6FAE" w:rsidP="001D6FAE">
      <w:pPr>
        <w:pStyle w:val="TextoNormal"/>
      </w:pPr>
    </w:p>
    <w:p w:rsidR="001D6FAE" w:rsidRDefault="001D6FAE" w:rsidP="001D6FAE">
      <w:pPr>
        <w:pStyle w:val="TextoNormal"/>
      </w:pPr>
      <w:r>
        <w:t>Como ha quedado expuesto, partiendo de la regla favorable a la capacidad, las resoluciones judiciales impugnadas toman en consideración los datos que extraen de pruebas practicadas, en concreto del informe médico-forense y del reconocimiento efectuado por el propio juez, y ponderan la relevancia de esos datos así como los que apuntan en la decisión contraria —entre los que se encuentra la propia manifestación de la persona afectada en juicio— para llegar a una decisión que no puede calificarse de irrazonable.</w:t>
      </w:r>
    </w:p>
    <w:p w:rsidR="001D6FAE" w:rsidRDefault="001D6FAE" w:rsidP="001D6FAE">
      <w:pPr>
        <w:pStyle w:val="TextoNormal"/>
      </w:pPr>
    </w:p>
    <w:p w:rsidR="001D6FAE" w:rsidRDefault="001D6FAE" w:rsidP="001D6FAE">
      <w:pPr>
        <w:pStyle w:val="TextoNormal"/>
      </w:pPr>
      <w:r>
        <w:t>Como resulta de lo argumentado por las sentencias recurridas y hace explicito la de primera instancia, el pronunciamiento cuestionado no pende de la posesión por la persona de cierto umbral de conocimientos o instrucción, que no se exige al resto de los ciudadanos no sometidos a un proceso de incapacitación. La tenencia de estos conocimientos es sólo un dato que, junto con otros —singularmente la pericial médico-psiquiátrica—, puede utilizarse razonablemente en el juicio de aptitud de entender y querer, como sucede con el conocimiento de la noción del dinero y del precio de las cosas para enjuiciar la aptitud para comprar y vender. Y la mismo puede decirse de la considerada “influenciabilidad por terceros”, dato que, además de tomarse del informe médico forense en el aspecto relativo valoración de la capacidad de prestación del consentimiento para tratamientos médicos, el propio juez califica de “manifiest[o]” a partir su directa percepción, y que es traído también al juicio sobre la capacidad de doña M. para votar libremente. No se trata, por tanto, de identificar ausencia de conocimientos o influenciabilidad de la persona con incapacidad, sino simplemente de reconocer que a través de estos datos, entre otros, insistimos, puede venirse en conocimiento del grado de desarrollo de las facultades mentales de la misma.</w:t>
      </w:r>
    </w:p>
    <w:p w:rsidR="001D6FAE" w:rsidRDefault="001D6FAE" w:rsidP="001D6FAE">
      <w:pPr>
        <w:pStyle w:val="TextoNormal"/>
      </w:pPr>
    </w:p>
    <w:p w:rsidR="001D6FAE" w:rsidRDefault="001D6FAE" w:rsidP="001D6FAE">
      <w:pPr>
        <w:pStyle w:val="TextoNormal"/>
      </w:pPr>
      <w:r>
        <w:t>A la vista, pues, de los razonamientos expresados, resulta procedente la desestimación del recurso de súplica interpuesto por el Ministerio Fiscal.</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Desestimar el recurso de súplica interpuesto por el Ministerio Fiscal y, en consecuencia, confirmar la Providencia de 23 de junio de 2016.</w:t>
      </w:r>
    </w:p>
    <w:p w:rsidR="001D6FAE" w:rsidRDefault="001D6FAE" w:rsidP="001D6FAE">
      <w:pPr>
        <w:pStyle w:val="TextoNormal"/>
      </w:pPr>
    </w:p>
    <w:p w:rsidR="001D6FAE" w:rsidRDefault="001D6FAE" w:rsidP="001D6FAE">
      <w:pPr>
        <w:pStyle w:val="TextoNormal"/>
      </w:pPr>
      <w:r>
        <w:t>Madrid, a veintiocho de noviembre de dos mil dieciséis.</w:t>
      </w:r>
    </w:p>
    <w:p w:rsidR="001D6FAE" w:rsidRDefault="001D6FAE" w:rsidP="001D6FAE">
      <w:pPr>
        <w:pStyle w:val="ParrafoNormal"/>
      </w:pPr>
    </w:p>
    <w:p w:rsidR="001D6FAE" w:rsidRDefault="001D6FAE" w:rsidP="001D6FAE">
      <w:pPr>
        <w:pStyle w:val="TextoNormalNegritaCentrado"/>
        <w:keepNext/>
      </w:pPr>
      <w:r>
        <w:t>Voto particular que formula la Magistrada doña Adela Asua Batarrita al Auto de desestimación del recurso de súplica interpuesto por el Ministerio Fiscal frente a la providencia de inadmisión del recurso de amparo 2415-2016.</w:t>
      </w:r>
    </w:p>
    <w:p w:rsidR="001D6FAE" w:rsidRDefault="001D6FAE" w:rsidP="001D6FAE">
      <w:pPr>
        <w:pStyle w:val="TextoNormalNegritaCentrado"/>
        <w:keepNext/>
      </w:pPr>
    </w:p>
    <w:p w:rsidR="001D6FAE" w:rsidRDefault="001D6FAE" w:rsidP="001D6FAE">
      <w:pPr>
        <w:pStyle w:val="TextoNormal"/>
      </w:pPr>
      <w:r>
        <w:t>En ejercicio de la facultad contemplada en el art. 90.2 de la Ley Orgánica del Tribunal Constitucional (LOTC) y con pleno respeto a la opinión de varios colegas magistrados que conforman la mayoría de la Sección, manifiesto mi discrepancia con el Auto de referencia por entender que debería haber estimado el recurso de súplica promovido por el Fiscal.</w:t>
      </w:r>
    </w:p>
    <w:p w:rsidR="001D6FAE" w:rsidRDefault="001D6FAE" w:rsidP="001D6FAE">
      <w:pPr>
        <w:pStyle w:val="TextoNormal"/>
      </w:pPr>
    </w:p>
    <w:p w:rsidR="001D6FAE" w:rsidRDefault="001D6FAE" w:rsidP="001D6FAE">
      <w:pPr>
        <w:pStyle w:val="TextoNormal"/>
      </w:pPr>
      <w:r>
        <w:t>1. Coincido, ante todo, con lo señalado por el Fiscal en su recurso, cuando afirma que la demanda de amparo plantea una cuestión de singular relevancia constitucional, ya que no existe doctrina de este Tribunal en relación con el ejercicio del derecho fundamental al voto, reconocido en el art. 23.1 CE, cuando se trata de personas con discapacidad intelectual. A ello se une la trascendencia del asunto, pues va más allá del caso concreto, por afectar a un importante colectivo en situación de especial vulnerabilidad por razón de su discapacidad, que se ve privado de la posibilidad de ejercer un derecho fundamental tan básico en un Estado social y democrático de Derecho (art. 1.1 CE) como es el de participar en los asuntos públicos, bien directamente, bien a través de representantes libremente elegidos por sufragio universal. En concreto, según los datos ofrecidos por el recurso de súplica, que señala como fuente la Junta electoral central, casi cien mil personas no pudieron participar en las pasadas elecciones del 26 de junio del año en curso por razón de su discapacidad.</w:t>
      </w:r>
    </w:p>
    <w:p w:rsidR="001D6FAE" w:rsidRDefault="001D6FAE" w:rsidP="001D6FAE">
      <w:pPr>
        <w:pStyle w:val="TextoNormal"/>
      </w:pPr>
      <w:r>
        <w:t xml:space="preserve">Aparte de lo anterior, que ya de por sí sería suficiente para otorgar al recurso de amparo especial trascendencia constitucional de acuerdo con los criterios establecidos en el fundamento jurídico 2 de la STC 155/2009, de 25 de junio, hay que apuntar otra circunstancia particular que pone de relieve esa trascendencia. Por instrumento de 23 de noviembre de 2007 (publicado en el “Boletín Oficial del Estado” de 21 de abril de 2008), el Estado español ratificó la Convención sobre los derechos de las personas con discapacidad de 13 de diciembre de 2006, en cuyo art. 29 se regulan los derechos referidos a la “participación en la vida política y pública”, en forma que no resulta compatible con lo establecido en el art. 3.1 b) de la Ley Orgánica del régimen electoral general: LOREG (como posteriormente se analizará con mayor detenimiento). De hecho, el Comité sobre los Derechos de las Personas con Discapacidad, en las observaciones finales aprobadas el 23 de septiembre de 2011 en relación con el informe presentado por España, manifestó su preocupación por el hecho de que se pudiera restringir el derecho al voto de las personas con discapacidad intelectual o psicosocial, si la persona interesada hubiese sido privada de su capacidad jurídica o hubiese sido internada en una institución, al tiempo que pidió expresamente al Estado español que modificara el art. 3 LOREG, con objeto de que se permitiera que todas las personas con discapacidad tuvieran derecho a votar. </w:t>
      </w:r>
    </w:p>
    <w:p w:rsidR="001D6FAE" w:rsidRDefault="001D6FAE" w:rsidP="001D6FAE">
      <w:pPr>
        <w:pStyle w:val="TextoNormal"/>
      </w:pPr>
      <w:r>
        <w:t>Dado que, conforme al art. 10.2 CE, debemos interpretar el art. 23.1 CE de conformidad con las previsiones de la citada Convención, es claro para cualquier observador que existe una apariencia de incompatibilidad entre lo dispuesto en el art. 3.1 b) LOREG, aplicado en este caso, y las disposiciones de la Convención, tal y como ponen de relieve las observaciones finales del Comité sobre los Derechos de las Personas con Discapacidad; lo que conllevaría, en suma, su discordancia con el art. 23.1 CE y, consiguientemente, su más que posible inconstitucionalidad. Es decir, que como los demandantes de amparo pusieron de relieve en su demanda, la vulneración del derecho fundamental alegado podría tener su origen en la propia Ley.</w:t>
      </w:r>
    </w:p>
    <w:p w:rsidR="001D6FAE" w:rsidRDefault="001D6FAE" w:rsidP="001D6FAE">
      <w:pPr>
        <w:pStyle w:val="TextoNormal"/>
      </w:pPr>
      <w:r>
        <w:t xml:space="preserve">A mi juicio, las anteriores circunstancias suponen una justificación suficiente para que el recurso de amparo hubiese sido admitido a trámite, sin más consideraciones en cuanto a la verosimilitud de la lesión. Por una parte, para permitir que este Tribunal cumpliera con la función que le incumbe en relación con los derechos fundamentales, estableciendo una precisa doctrina, en interpretación del derecho fundamental consagrado en el art. 23.1 CE, en cuanto a su ejercicio por las personas afectadas de una discapacidad, teniendo en cuenta los criterios hermenéuticos que ofrece el art. 10.2 CE, así como los mandatos contenidos en los arts. 9.2 y 49 CE. Por otra parte, la admisión del amparo habría permitido, como advierte el Fiscal en su recurso, determinar si la lesión que se aduce tiene su origen en el propio art. 3 LOREG o en la aplicación e interpretación jurisprudencial que se hace del mismo. </w:t>
      </w:r>
    </w:p>
    <w:p w:rsidR="001D6FAE" w:rsidRDefault="001D6FAE" w:rsidP="001D6FAE">
      <w:pPr>
        <w:pStyle w:val="TextoNormal"/>
      </w:pPr>
      <w:r>
        <w:t>2. Dado que el Tribunal no tiene establecida doctrina alguna sobre la cuestión que aquí se suscita, ni siquiera a partir de la ratificación de la Convención de Nueva York sobre los derechos de las personas con discapacidad, no cabe concluir, como hace la providencia de 23 de junio de 2016, “la manifiesta inexistencia de violación de un derecho fundamental tutelable en amparo”, porque no cabe rechazar de forma rotunda que el art. 3 LOREG permita la lesión de los arts. 14 y 23.1 CE que se invocaba en la demanda de amparo. Es significativo que la resolución del recurso de súplica del Fiscal mediante el Auto sobre el que muestro mi discrepancia, se fundamente en una reproducción de los criterios de la jurisprudencia del Tribunal Supremo (jurisprudencia que se mantiene en el nivel de la legalidad ordinaria, cuando aquí debemos atender al prisma de la constitucionalidad).</w:t>
      </w:r>
    </w:p>
    <w:p w:rsidR="001D6FAE" w:rsidRDefault="001D6FAE" w:rsidP="001D6FAE">
      <w:pPr>
        <w:pStyle w:val="TextoNormal"/>
      </w:pPr>
    </w:p>
    <w:p w:rsidR="001D6FAE" w:rsidRDefault="001D6FAE" w:rsidP="001D6FAE">
      <w:pPr>
        <w:pStyle w:val="TextoNormal"/>
      </w:pPr>
      <w:r>
        <w:t xml:space="preserve">Hay que partir de que el art. 23.1 CE establece, respecto del derecho a la participación política en su vertiente activa, que “los ciudadanos tienen el derecho a participar en los asuntos públicos, directamente o por medio de representantes, libremente elegidos en elecciones periódicas por sufragio universal”. La obligación </w:t>
      </w:r>
      <w:r w:rsidRPr="001D6FAE">
        <w:rPr>
          <w:i/>
        </w:rPr>
        <w:t>ex constitutione</w:t>
      </w:r>
      <w:r>
        <w:t xml:space="preserve"> de facilitar el ejercicio de los derechos fundamentales es un imperativo indeclinable para los poderes públicos, y que cobra particular importancia en el caso del derecho de sufragio y de los demás derechos de participación política. No en vano el art. 9.2 CE establece la obligación de los poderes públicos de remover los obstáculos que impidan y dificulten la plenitud de la libertad e igualdad y en especial “facilitar la participación de todos los ciudadanos en la vida política”, procurándose, además, que esta participación sea lo más representativa de la pluralidad social, debiendo adoptar los poderes públicos medidas positivas para facilitar el derecho de participación política, especialmente de las personas con discapacidad, como luego se insistirá. Esto es, facilitar la información, la formación, y los medios de conocimiento pertinentes sobre la relevancia del ejercicio del derecho de sufragio.</w:t>
      </w:r>
    </w:p>
    <w:p w:rsidR="001D6FAE" w:rsidRDefault="001D6FAE" w:rsidP="001D6FAE">
      <w:pPr>
        <w:pStyle w:val="TextoNormal"/>
      </w:pPr>
    </w:p>
    <w:p w:rsidR="001D6FAE" w:rsidRDefault="001D6FAE" w:rsidP="001D6FAE">
      <w:pPr>
        <w:pStyle w:val="TextoNormal"/>
      </w:pPr>
      <w:r>
        <w:t xml:space="preserve">En cuanto al art. 9.2 CE, este Tribunal ha afirmado que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(STC 216/1991, de 14 de noviembre, FJ 5). </w:t>
      </w:r>
    </w:p>
    <w:p w:rsidR="001D6FAE" w:rsidRDefault="001D6FAE" w:rsidP="001D6FAE">
      <w:pPr>
        <w:pStyle w:val="TextoNormal"/>
      </w:pPr>
      <w:r>
        <w:t xml:space="preserve">Por otra parte, en relación especialmente con las personas con discapacidad, el art. 49 CE contiene un claro mandato dirigido a los poderes públicos, estableciendo que “realizarán una política de previsión, tratamiento, rehabilitación e integración de los disminuidos físicos, sensoriales y psíquicos, a los que prestarán la atención especializada que requieran y </w:t>
      </w:r>
      <w:r w:rsidRPr="001D6FAE">
        <w:rPr>
          <w:i/>
        </w:rPr>
        <w:t>los ampararán especialmente para el disfrute de los derechos que este Título otorga a todos los ciudadanos</w:t>
      </w:r>
      <w:r>
        <w:t>” (énfasis añadido). Y entre esos derechos en cuyo disfrute se ha de amparar especialmente a las personas con discapacidad están los relativos a la participación política, que se establecen el art. 23 CE, y, particularmente, en lo que aquí nos interesa, el derecho de sufragio activo para participar en las decisiones políticas, que su apartado 1 reconoce a todos los ciudadanos por el hecho de serlo, sin que el propio precepto establezca excepción alguna. Ciertamente, el derecho que consagra el art. 23.1 CE es un derecho de configuración legal, como se encarga de recordar el Auto del que discrepo, pero la propia STC 153/2014, de 25 de septiembre, que en el mismo se cita, precisa en su fundamento jurídico 3 que habrá que estar a esas previsiones legales “siempre que dicho desarrollo [del art. 23.1 CE] no menoscabe el contenido esencial del derecho fundamental ni infrinja los preceptos constitucionales”, entre otros, a los efectos que aquí no interesan, el contenido en el ya citado artículo 49, que impone la realización de una actividad de promoción del ejercicio del derecho por las personas discapacitadas, con la que no se cohonesta el contenido del art. 3.1 b) LOREG. Asimismo, y siguiendo esta línea discursiva, la citada Sentencia señala que la atribución por parte de la Constitución de los derechos de participación política a los ciudadanos españoles en los arts. 13.2 y 23.1 —con las excepciones a favor de los extranjeros que se disponen en el propio art. 13.2 CE— admite modulaciones en su ejercicio, pero que vengan establecidas en preceptos de la propia Norma fundamental, lo que no sucede en el presente caso, en el que, antes al contrario, como ya se ha puesto de relieve, la conjunción de los arts. 9.2 y 49 CE implica que la Constitución ampara la obligación de facilitar a las personas con discapacidad el ejercicio de tales derechos de participación política.</w:t>
      </w:r>
    </w:p>
    <w:p w:rsidR="001D6FAE" w:rsidRDefault="001D6FAE" w:rsidP="001D6FAE">
      <w:pPr>
        <w:pStyle w:val="TextoNormal"/>
      </w:pPr>
      <w:r>
        <w:t>Frente a esta incontestable realidad, el Auto del que discrepo arguye que no existe una definición constitucional de “ciudadano” a los efectos del art. 23.1 CE. ¿Quiere decir con ello que los discapacitados no se consideran ciudadanos o, en el mejor de los casos, que son ciudadanos con merma de sus derechos fundamentales, esto es, ciudadanos de segunda o tercera clase? A mi juicio no es necesario que nuestra Norma fundamental tenga que dar una definición de “ciudadano” para que todo el mundo alcance a comprender tal concepto. Es una noción constantemente presente en la doctrina constitucional que no ha generado en este Tribunal una especial preocupación acerca de su alcance, por lo que no se ha producido la necesidad de aclarar su contenido, salvo cuando el asunto sometido a su decisión ha requerido una respuesta explícita. Así, la STC 61/1997, de 20 de marzo, FJ 17, se ha referido al ciudadano en cuanto titular de derechos y deberes constitucionales, y la STC 31/2010, de 28 de junio, FJ 11, en la dialéctica entre ciudadanía catalana y ciudadanía española, define a los ciudadanos, con referencia a la STC 12/2008, de 29 de enero, como el conjunto de quienes “están sometidos al Ordenamiento español y no tienen, en cuanto tales, más derechos que los que la Constitución les garantiza, con el contenido que, asegurado un mínimo constitucional indisponible, determine el legislador constituido”. Y, por supuesto, aunque resulte ocioso aclararlo, iguales todos ellos ante la ley, por determinación del art. 14 CE que, en este caso, ha de conjugarse con las reglas del art. 23 CE.</w:t>
      </w:r>
    </w:p>
    <w:p w:rsidR="001D6FAE" w:rsidRDefault="001D6FAE" w:rsidP="001D6FAE">
      <w:pPr>
        <w:pStyle w:val="TextoNormal"/>
      </w:pPr>
      <w:r>
        <w:t xml:space="preserve">Sin embargo, el Auto, partiendo de que el derecho del art. 23.1 CE es un derecho fundamental de configuración legal y que no existe una definición constitucional de “ciudadano”, desarrolla lo que a mi juicio es un argumento circular que produce perplejidad: como los arts. 2 y 3 LOREG condicionan el ejercicio del derecho de sufragio activo a la concurrencia de determinados requisitos y a la ausencia de determinadas circunstancias, se concluye que “el modelo constitucional de sufragio universal no es </w:t>
      </w:r>
      <w:r w:rsidRPr="001D6FAE">
        <w:rPr>
          <w:i/>
        </w:rPr>
        <w:t>per se</w:t>
      </w:r>
      <w:r>
        <w:t xml:space="preserve"> incompatible con la privación singularizada de este derecho, por causa legalmente prevista, sobre todo cuando dicha privación está revestida de la garantía judicial”. Argumento del que se sigue la consecuencia de que los razonamientos empleados en la demanda son insuficientes para cuestionar eficazmente la constitucionalidad del art. 3.1 b) y 2 LOREG. Es decir, que dichos preceptos son constitucionales por su propia regulación, a la que la Constitución se remite poco menos que en blanco, lo que nos lleva al inadmisible corolario de que ninguna de las leyes que desarrolle derechos fundamentales podría ser inconstitucional en la medida en que se trate de derechos de configuración legal, como si el contenido de tales derechos quedara establecido íntegramente en cada caso por el legislador orgánico. Sin embargo, ese argumento incurre en un olvido imperdonable: el legislador debe respetar en todo caso el contenido esencial del derecho derivado de la Constitución. Y en el Auto no se encuentra ni un solo razonamiento, ni una sola línea dedicados a determinar cuál es el contenido esencial del derecho consagrado en el art. 23.1 CE que condiciona el desarrollo y la configuración que del mismo pueda realizar el legislador constituido.</w:t>
      </w:r>
    </w:p>
    <w:p w:rsidR="001D6FAE" w:rsidRDefault="001D6FAE" w:rsidP="001D6FAE">
      <w:pPr>
        <w:pStyle w:val="TextoNormal"/>
      </w:pPr>
      <w:r>
        <w:t>3. No cabe soslayar, asimismo, que el art. 10.2 CE exige interpretar las normas relativas a los derechos fundamentales y libertades públicas contenidas en el título I CE de conformidad con la Declaración universal de derechos humanos y los tratados y acuerdos internacionales sobre las mismas materias ratificados por España, interpretación que de ninguna manera puede prescindir de la que, a su vez, llevan a cabo los órganos de garantía establecidos por esos tratados y acuerdos internacionales (por todas, STC 61/2013, de 14 de marzo, FJ 5). Pues bien, en la interpretación del alcance que deba tener el art. 23.1 CE en relación con las personas discapacitadas, es preciso tener presente lo que se establece en la Convención sobre los derechos de las personas con discapacidad, y, más en concreto, sus artículos 5, 12 y 29. Tras el establecimiento de una declaración general de “igualdad y no discriminación” en el artículo 5, el artículo 12 se refiere al “igual reconocimiento como persona ante la ley”, recogiendo en primer lugar la reafirmación del derecho de las personas con discapacidad al reconocimiento de su personalidad jurídica (apartado 1), y el reconocimiento de que “tienen capacidad jurídica en igualdad de condiciones con las demás [personas] en todos los aspectos de la vida” (apartado 2), junto con la previsión en los apartados 3 y 4 de la obligación de adoptar medidas necesarias de apoyo al ejercicio de la capacidad jurídica, así como del aseguramiento de que esas medidas proporcionen salvaguardias adecuadas y efectivas. Por su parte, el art. 29, bajo el epígrafe “participación en la vida política y pública”, establece, a los efectos que aquí interesan, lo siguiente:</w:t>
      </w:r>
    </w:p>
    <w:p w:rsidR="001D6FAE" w:rsidRDefault="001D6FAE" w:rsidP="001D6FAE">
      <w:pPr>
        <w:pStyle w:val="TextoNormal"/>
      </w:pPr>
      <w:r>
        <w:t>“Los Estados Partes garantizarán a las personas con discapacidad los derechos políticos y la posibilidad de gozar de ellos en igualdad de condiciones con las demás y se comprometerán a:</w:t>
      </w:r>
    </w:p>
    <w:p w:rsidR="001D6FAE" w:rsidRDefault="001D6FAE" w:rsidP="001D6FAE">
      <w:pPr>
        <w:pStyle w:val="TextoNormal"/>
      </w:pPr>
      <w:r>
        <w:t>a) Asegurar que las personas con discapacidad puedan participar plena y efectivamente en la vida política y pública en igualdad de condiciones con las demás, directamente o a través de representantes libremente elegidos, incluidos el derecho y la posibilidad de las personas con discapacidad a votar y ser elegidas, entre otras formas mediante:</w:t>
      </w:r>
    </w:p>
    <w:p w:rsidR="001D6FAE" w:rsidRDefault="001D6FAE" w:rsidP="001D6FAE">
      <w:pPr>
        <w:pStyle w:val="TextoNormal"/>
      </w:pPr>
      <w:r>
        <w:t>i) La garantía de que los procedimientos, instalaciones y materiales electorales sean adecuados, accesibles y fáciles de entender y utilizar;</w:t>
      </w:r>
    </w:p>
    <w:p w:rsidR="001D6FAE" w:rsidRDefault="001D6FAE" w:rsidP="001D6FAE">
      <w:pPr>
        <w:pStyle w:val="TextoNormal"/>
      </w:pPr>
      <w:r>
        <w:t>ii) La protección del derecho de las personas con discapacidad a emitir su voto en secreto en elecciones y referéndum públicos sin intimidación, y a presentarse efectivamente como candidatas en las elecciones, ejercer cargos y desempeñar cualquier función pública a todos los niveles de gobierno, facilitando el uso de nuevas tecnologías y tecnologías de apoyo cuando proceda;</w:t>
      </w:r>
    </w:p>
    <w:p w:rsidR="001D6FAE" w:rsidRDefault="001D6FAE" w:rsidP="001D6FAE">
      <w:pPr>
        <w:pStyle w:val="TextoNormal"/>
      </w:pPr>
      <w:r>
        <w:t>iii) La garantía de la libre expresión de la voluntad de las personas con discapacidad como electores y a este fin, cuando sea necesario y a petición de ellas, permitir que una persona de su elección les preste asistencia para votar.”</w:t>
      </w:r>
    </w:p>
    <w:p w:rsidR="001D6FAE" w:rsidRDefault="001D6FAE" w:rsidP="001D6FAE">
      <w:pPr>
        <w:pStyle w:val="TextoNormal"/>
      </w:pPr>
      <w:r>
        <w:t>Si contrastamos lo que aquí se establece con las reglas del art. 3.1 b) y 2 LOREG, fácilmente se llega, de acuerdo con lo que sustenta el Fiscal en su recurso de súplica, a la conclusión de que existe una clara incompatibilidad entre ambas previsiones, pues mientras el art. 3 LOREG se fundamenta en la discapacidad como impedimento para ostentar el derecho de sufragio, el art. 29 de la Convención descansa en la filosofía opuesta, esto es, la de ofrecer todos los medios precisos para que los discapacitados puedan participar en la vida pública en pie de igualdad con los demás ciudadanos. Y aunque el art. 29 de la Convención no sea canon de constitucionalidad, sí es, por mandato constitucional, como ya se ha adelantado, elemento interpretativo del art. 23.1 CE y del alcance que se deba otorgar al derecho que se reconoce en el mismo. Esa incompatibilidad ha sido puesta de manifiesto por las observaciones finales del Comité sobre los Derechos de las Personas con Discapacidad en relación con España, de 23 de septiembre de 2011, respecto de las cuales el Auto, curiosamente, omite toda mención, y en las que, en relación con los derechos de participación en la vida política y pública del citado art. 29 se dice lo siguiente:</w:t>
      </w:r>
    </w:p>
    <w:p w:rsidR="001D6FAE" w:rsidRDefault="001D6FAE" w:rsidP="001D6FAE">
      <w:pPr>
        <w:pStyle w:val="TextoNormal"/>
      </w:pPr>
      <w:r>
        <w:t xml:space="preserve">“47. Preocupa al Comité que se pueda restringir el derecho al voto de las personas con discapacidad intelectual  psicosocial si la persona interesada ha sido privada de su capacidad jurídica o ha sido internada en una institución. Le inquieta además que la privación de ese derecho parezca ser la regla y no la excepción. El Comité lamenta la falta de información sobre el rigor de las normas en materia de prueba, sobre los motivos requeridos y sobre los criterios aplicados por los jueces para privar a las personas de su derecho a voto. El Comité observa con preocupación el número de personas con discapacidad a las que se ha denegado el derecho de voto. </w:t>
      </w:r>
    </w:p>
    <w:p w:rsidR="001D6FAE" w:rsidRDefault="001D6FAE" w:rsidP="001D6FAE">
      <w:pPr>
        <w:pStyle w:val="TextoNormal"/>
      </w:pPr>
      <w:r>
        <w:t>48. El Comité recomienda que se revise toda la legislación pertinente para que todas las personas con discapacidad, independientemente de su deficiencia, de su condición jurídica o de su lugar de residencia, tengan derecho a votar y a participar en la vida pública en pie de igualdad con los demás. El Comité pide al Estado parte que modifique el art. 3 de la Ley Orgánica nº 5/1985, que autoriza a los jueces a denegar el derecho de voto en virtud de decisiones adoptadas en cada caso particular. La modificación debe hacer que todas las personas con discapacidad tengan derecho a votar…”</w:t>
      </w:r>
    </w:p>
    <w:p w:rsidR="001D6FAE" w:rsidRDefault="001D6FAE" w:rsidP="001D6FAE">
      <w:pPr>
        <w:pStyle w:val="TextoNormal"/>
      </w:pPr>
      <w:r>
        <w:t xml:space="preserve">Asimismo, en el Dictamen de incumplimiento de las obligaciones del art. 29 de la Convención, emitido por el Comité el 9 de septiembre de 2013 en relación con Hungría, se hace referencia expresamente a la preocupación reflejada en las observaciones finales sobre España, y se afirma (punto 9.4) que “el artículo 29 de la Convención exige a los Estados partes que aseguren que las personas con discapacidad puedan participar plena y efectivamente en la vida política y pública en igualdad de condiciones con las demás, incluido el derecho a votar. El artículo 29 no prevé ninguna restricción razonable ni permite excepción alguna con respecto a ningún grupo de personas con discapacidad. Por lo tanto, la exclusión del derecho de voto sobre la base de una discapacidad psicosocial o intelectual percibida o real, </w:t>
      </w:r>
      <w:r w:rsidRPr="001D6FAE">
        <w:rPr>
          <w:i/>
        </w:rPr>
        <w:t>incluida la restricción derivada de una evaluación individualizada</w:t>
      </w:r>
      <w:r>
        <w:t>, constituye una discriminación por motivos de discapacidad, en el sentido del artículo 2 de la Convención” (énfasis añadido).</w:t>
      </w:r>
    </w:p>
    <w:p w:rsidR="001D6FAE" w:rsidRDefault="001D6FAE" w:rsidP="001D6FAE">
      <w:pPr>
        <w:pStyle w:val="TextoNormal"/>
      </w:pPr>
      <w:r>
        <w:t>Frente a una obligación que tiene el alcance que le otorga la Convención, el art. 3 LOREG aparece, como bien dice el Fiscal, como un precepto de aplicación automática, que no establece criterio alguno, que guarda silencio sobre cuál debe ser el estándar de prueba, dejándolo todo en manos del juez. Es, por tanto, a los efectos del art. 23.1 CE, interpretado en consonancia con el art. 29 de la reiterada Convención, un precepto insuficiente, carente de los elementos esenciales, así como dirigido a privar del derecho, sin incluir mención alguna que oriente a facilitar su ejercicio. Es más, incluso aunque prescindiéramos de las reglas del art. 29 de la Convención sería un precepto que se separa de las exigencias constitucionales, si cohonestamos el art. 23 con los arts. 9.2 y 49 CE.</w:t>
      </w:r>
    </w:p>
    <w:p w:rsidR="001D6FAE" w:rsidRDefault="001D6FAE" w:rsidP="001D6FAE">
      <w:pPr>
        <w:pStyle w:val="TextoNormal"/>
      </w:pPr>
      <w:r>
        <w:t xml:space="preserve">Por otro lado, no está de más traer a colación la jurisprudencia del Tribunal Europeo de Derechos Humanos en la materia, también preterida por el Auto de la mayoría, a pesar de haber sido expresamente invocada por el Ministerio Fiscal en su recurso. En concreto, en la STEDH de 20 de agosto de 2010, asunto </w:t>
      </w:r>
      <w:r w:rsidRPr="001D6FAE">
        <w:rPr>
          <w:i/>
        </w:rPr>
        <w:t>Alajos Kiss contra Hungría</w:t>
      </w:r>
      <w:r>
        <w:t xml:space="preserve">, en la que se examinaba el caso de un enfermo mental sometido a curatela y privado del derecho de voto conforme a la Ley de Hungría, se declaró tal privación contraria al art. 3 del protocolo primero de la Convención. La Sentencia señala que el margen de apreciación del legislador, aun siendo amplio, no es ilimitado (asunto </w:t>
      </w:r>
      <w:r w:rsidRPr="001D6FAE">
        <w:rPr>
          <w:i/>
        </w:rPr>
        <w:t>Hirst c. Reino Unido</w:t>
      </w:r>
      <w:r>
        <w:t>, § 82), y “cuando una restricción de derechos fundamentales se aplica a un grupo particularmente vulnerable de la sociedad, que ha sufrido una discriminación considerable en el pasado, como es el caso de las personas con discapacidad mental, entonces el Estado dispone de un margen de apreciación más bien estrecho, y debe tener razones muy poderosas para imponer las restricciones en cuestión”. Y añade que este razonamiento se justifica por el hecho de que estos grupos han sido objeto en el pasado de tratamientos desfavorables con consecuencias perdurables, que han abocado a su exclusión de la sociedad (§ 42). Asimismo, afirma que es indiscutible la práctica consistente en tratar como un grupo homogéneo el conjunto de personas que sufren trastornos mentales o intelectuales, y que las eventuales restricciones así ocasionadas en los derechos de estas personas deben ser objeto de un control estricto. El Tribunal concluye “que la retirada automática del derecho de voto, en ausencia de evaluación judicial individualizada de la situación de los interesados y bajo el único fundamento de una discapacidad mental que necesite una colocación bajo curatela, no puede ser considerada como una medida de restricción del derecho de voto fundada sobre motivos legítimos” (§ 44).</w:t>
      </w:r>
    </w:p>
    <w:p w:rsidR="001D6FAE" w:rsidRDefault="001D6FAE" w:rsidP="001D6FAE">
      <w:pPr>
        <w:pStyle w:val="TextoNormal"/>
      </w:pPr>
      <w:r>
        <w:t>En nuestro caso, ni el art. 23.1 CE recoge las razones por las que una persona discapacitada podría ser privada de su derecho de voto, ni esas razones se explicitan tampoco en el art. 3.1 b) LOREG que, como ya se ha advertido, no establece ningún criterio, ni estándares mínimos, a los cuales deban sujetarse los órganos judiciales, de manera que la privación del derecho de voto a los discapacitados queda absolutamente remitida al libre criterio judicial, en un procedimiento que, a diferencia de lo previsto, debería encontrarse presidido por el beneficio del incapacitado, y que habría de tender, conforme al art. 29 de la Convención, a remover los obstáculos y facilitar los medios necesarios para que las personas con discapacidad, independientemente de su deficiencia, tuvieran derecho a votar y a participar en la vida pública de la misma forma que los demás ciudadanos.</w:t>
      </w:r>
    </w:p>
    <w:p w:rsidR="001D6FAE" w:rsidRDefault="001D6FAE" w:rsidP="001D6FAE">
      <w:pPr>
        <w:pStyle w:val="TextoNormal"/>
      </w:pPr>
      <w:r>
        <w:t>El Auto al que formulo el presente voto trata de salvar el escollo que supone el art. 29 de la Convención con argumentos que entiendo poco afortunados, y con el recurso a la jurisprudencia del Tribunal Supremo. En primer lugar, se acude al fútil argumento de señalar la distinción entre “discapacidad”, en el sentido de la Convención, e “incapacidad” en el sentido definido por el Código civil, que es lo que se concreta respecto del ejercicio del derecho que nos ocupa en el art. 3 LOREG, de modo que teniendo un ámbito de aplicación y finalidad diferentes, no hay duda —se dice— en cuanto a la compatibilidad del art 29 de la Convención y el art. 3.1 b) LOREG, “tal como han sido conciliados en la más reciente jurisprudencia del Tribunal Supremo”. Según mi entender, ni el Código civil es canon interpretativo de los preceptos constitucionales, ni el art. 200 del mismo regula la “incapacidad”, sino la “incapacitación” de la persona, procedimiento respecto del cual este Tribunal ha puesto de manifiesto, dada la relevancia de los intereses que en él se ventilan, que el derecho a la personalidad jurídica del ser humano, consagrado en el art. 6 de la Declaración universal de derechos humanos,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incapacidad de una persona sólo puede acordarse por Sentencia judicial en virtud de las causas establecidas en la ley mediante un procedimiento en el que se respeten de forma escrupulosa los trámites o diligencias exigidas legalmente (por todas, STC 7/2011, de 14 de febrero, FJ 2). Es decir, que es el Auto el que está distorsionando los planos, en su intento de introducir una distinción improcedente, pues el hecho de que una persona sea sometida a un proceso de incapacitación no es incompatible (por el contrario, será normalmente un presupuesto necesario) con que tenga una discapacidad, en los estrictos términos de la definición contenida en el art. 1 de la Convención, que considera personas con discapacidad a aquellas “que tenga deficiencias físicas, mentales, intelectuales o sensoriales a largo plazo que, al interactuar con diversas barreras, puedan impedir su participación plena y efectiva en la sociedad, en igualdad de condiciones con las demás”. De hecho, en las observaciones finales del Comité sobre los Derechos de las Personas con Discapacidad referidas a España, que he mencionado anteriormente, el Comité manifiesta su preocupación por el dato de que se pueda restringir el derecho al voto de las personas con discapacidad intelectual o psicosocial “si la persona interesada ha sido privada de su capacidad jurídica o ha sido internada en una institución”. En definitiva, incapacitación y discapacidad no son conceptos incompatibles, pues aquélla recae, en todo caso, sobre personas que se encuentran efectivamente afectadas de una discapacidad física o psíquica.</w:t>
      </w:r>
    </w:p>
    <w:p w:rsidR="001D6FAE" w:rsidRDefault="001D6FAE" w:rsidP="001D6FAE">
      <w:pPr>
        <w:pStyle w:val="TextoNormal"/>
      </w:pPr>
      <w:r>
        <w:t>De otro lado, lamento que este Tribunal, aunque sea en un Auto de desestimación de un recurso de súplica, haga dejación de sus funciones y se remita, sin más, a la “más reciente jurisprudencia del Tribunal Supremo” para afirmar la compatibilidad del art. 29 de la Convención y del art. 3.1 b) LOREG. Olvida la resolución de la que disiento que aquí se enjuiciaba, entre otras resoluciones, la Sentencia de la Sala Primera del Tribunal Supremo, por lo que enjuiciarla a partir de la propia jurisprudencia que en la misma se cita no resulta lo más correcto desde un punto de vista constitucional, más concretamente, desde la perspectiva de un recurso de amparo dirigido contra la actuación judicial producida en las distintas instancias. No dudo de los concretos términos y de la argumentación lógica de esa jurisprudencia a nivel de interpretación de la legalidad ordinaria sobre la cuestión que se le somete, pero no resuelve el problema propiamente constitucional que, en último término, se nos planteaba en el presente recurso de amparo: la posible incompatibilidad del art. 3.1 b) y 2 LOREG con el art. 23.1 CE, en relación con el ejercicio del derecho que este último consagra por parte de las personas aquejadas de algún tipo de discapacidad. Siendo éste el tenor del problema constitucional que se dilucidaba, no se puede renunciar a la tarea propia de este Tribunal Constitucional, como ha hecho el Auto del que discrepo, convirtiéndole en un simple aplicador de la jurisprudencia del Tribunal Supremo, cuando le corresponde el monopolio para determinar si los preceptos cuestionados en la demanda de amparo y en el recurso de súplica del Fiscal son o no son conformes con la Constitución. El Auto se ha olvidado, inspirado en esa preexistente jurisprudencia del Tribunal Supremo, siquiera de determinar cuál es el contenido esencial del derecho consagrado en el art. 23.1 CE, que resulta indisponible para el legislador. Constatado ello, huelgan más comentarios sobre el acierto o la bondad de la jurisprudencia que se ha aplicado para descartar toda incompatibilidad de los preceptos de la Ley Orgánica del régimen electoral general que se encuentran en tela de juicio respecto de normas constitucionales o internacionales.</w:t>
      </w:r>
    </w:p>
    <w:p w:rsidR="001D6FAE" w:rsidRDefault="001D6FAE" w:rsidP="001D6FAE">
      <w:pPr>
        <w:pStyle w:val="TextoNormal"/>
      </w:pPr>
      <w:r>
        <w:t>4. Finalmente, el Auto dedica un breve análisis al enjuiciamiento de las resoluciones judiciales, limitándose a reproducir el juicio del Tribunal Supremo acerca de las resoluciones de primera instancia y de apelación, para llegar a la conclusión de que sus decisiones no pueden calificarse de arbitrarias, irrazonables o incursas en error patente, realizando así un juicio sobre la motivación desde la perspectiva del derecho a la tutela judicial efectiva del art. 24.1 CE, cuya infracción, como bien dice el Auto, no ha sido invocada ni por el Ministerio Fiscal ni por los demandantes de amparo. Pero aquí olvida que lo que se discute en el presente amparo es la vulneración del art. 23.1 CE en relación con el art. 14 CE (que suelen encontrarse estrechamente unidos), esto es, de un derecho sustantivo y no simplemente de un derecho procesal. Y ello habría exigido que se realizara una ponderación, un juicio de proporcionalidad, esto es, que se determinara que la limitación del derecho fundamental era apta para lograr un fin constitucional, que fuera necesaria, en el sentido de que no existiera una medida menos gravosa para conseguir ese fin, y, por último, que superara el juicio de proporcionalidad en sentido estricto, determinando que los beneficios de la medida fueran mayores que los perjuicios que ha ocasionado. Nada de esto se encuentra en el Auto, ni tampoco en las resoluciones judiciales impugnadas, especialmente en la de primera instancia, que es sobre la que se debería haber centrado fundamentalmente nuestro enjuiciamiento, puesto que es la que habría originado primariamente la vulneración del derecho fundamental que se denuncia en el recurso de amparo.</w:t>
      </w:r>
    </w:p>
    <w:p w:rsidR="001D6FAE" w:rsidRDefault="001D6FAE" w:rsidP="001D6FAE">
      <w:pPr>
        <w:pStyle w:val="TextoNormal"/>
      </w:pPr>
      <w:r>
        <w:t>Y en cuanto a este extremo, precisamente por no entrar a realizar el juicio de proporcionalidad y por la argumentación en la que se sustenta la decisión de privar a la hija de los actores del derecho a voto, no puedo sino compartir la posición expresada por el Ministerio Fiscal en su recurso de súplica. El Juzgado tuvo en cuenta las, a su juicio, notables e insuperables deficiencias que presenta la demandada en tal particular faceta electoral, no sólo por su sustancial desconocimiento de aspectos básicos y fundamentales del sistema político y del mismo régimen electoral, sino por la constatada influenciabilidad a tales efectos de la persona sobre cuya incapacitación se decidía; influenciabilidad que, dicho sea de paso, la Sentencia de apelación considera hipotética, señalando que en el caso no consta en absoluto que actualmente exista. Es decir, que, en definitiva, prescindiendo de la explícita voluntad de la afectada de seguir ejerciendo su derecho de voto, y sin que quedara acreditada su falta de capacidad para adoptar una decisión autónoma, se le priva del derecho de voto por carecer de un cierto nivel de conocimientos políticos y constitucionales (a estos efectos, no tienen relevancia las deficiencias en cuanto al conocimiento de la noción del dinero y del precio de las cosas, sobre las que hace hincapié el Auto del que disiento). Pero, como bien dice el Fiscal, el art. 23.1 CE no condiciona el ejercicio del derecho de voto a la posesión de un nivel de conocimientos y/o competencias sobre el sistema político y electoral, sino a la condición de ciudadano (aspecto al que ya me he referido anteriormente). De esta forma, el sometimiento de las personas con discapacidad a un examen en relación con sus conocimientos sobre el sistema político y electoral no sólo no supone poner los medios precisos para asegurar que las personas con discapacidad puedan participar plena y efectivamente en la vida política y pública en igualdad de condiciones con las demás, como resultaría exigible, de acuerdo con los arts. 5, 12 y 29 a) de la Convención de los derechos de las personas con discapacidad, sino que implica la imposición de un obstáculo más, la exigencia de un plus con respecto a las demás personas con derecho al voto, a las que no se exigen esos conocimientos, lo que, a mi juicio, no es acorde con el art. 23.1 CE. ¿Qué pasaría si se sometiera a todo el cuerpo electoral a ese examen de conocimientos sobre nuestro sistema político y electoral? Probablemente, bajo ese mismo rasero, serían muchas las personas con derecho a voto no discapacitadas que no podrían votar. Claro que el art. 23.1 CE no contiene ninguna exigencia en tal sentido para ningún ciudadano, sea discapacitado o no.</w:t>
      </w:r>
    </w:p>
    <w:p w:rsidR="001D6FAE" w:rsidRDefault="001D6FAE" w:rsidP="001D6FAE">
      <w:pPr>
        <w:pStyle w:val="TextoNormal"/>
      </w:pPr>
      <w:r>
        <w:t>En conclusión, considero que no se ha efectuado en ningún momento, ni siquiera en el Auto aprobado por la mayoría, el imprescindible juicio de proporcionalidad que exigía el derecho fundamental afectado, lo que descalifica la decisión judicial adoptada, basada en criterios que no resultan suficientes desde la perspectiva del art. 23.1 CE, interpretado a la luz de la propia Constitución (arts. 9.2 y 49) y de los preceptos de la Convención sobre los derechos de las personas con discapacidad, en particular de sus arts. 5, 12 y 29.</w:t>
      </w:r>
    </w:p>
    <w:p w:rsidR="001D6FAE" w:rsidRDefault="001D6FAE" w:rsidP="001D6FAE">
      <w:pPr>
        <w:pStyle w:val="TextoNormal"/>
      </w:pPr>
      <w:r>
        <w:t>5. Por todo lo hasta aquí expuesto, sigo defendiendo que el recurso de súplica del Fiscal debería haber sido estimado, con la consiguiente admisión a trámite del recurso de amparo, no sólo por la indudable trascendencia constitucional de la cuestión que en el mismo se plantea, sino porque, a primera vista, desde la perspectiva limitada, propia de la decisión inicial relativa a la admisibilidad de un recurso, no podía sostenerse en modo alguno que la lesión del derecho fundamental alegada en la demanda era manifiestamente inexistente; antes al contrario, existen serios argumentos para estimar que dicha lesión podría haberse producido de manera efectiva, e incluso proceder de la propia regulación de la Ley Orgánica del régimen electoral general. Por lo demás, espero que los demandantes de amparo sigan luchando ante las instancias pertinentes para reclamar el reconocimiento del derecho de su hija a participar en la vida política en pie de igualdad con el resto de ciudadanos.</w:t>
      </w:r>
    </w:p>
    <w:p w:rsidR="001D6FAE" w:rsidRDefault="001D6FAE" w:rsidP="001D6FAE">
      <w:pPr>
        <w:pStyle w:val="TextoNormal"/>
      </w:pPr>
      <w:r>
        <w:t>Y en este sentido emito mi Voto particular.</w:t>
      </w:r>
    </w:p>
    <w:p w:rsidR="001D6FAE" w:rsidRDefault="001D6FAE" w:rsidP="001D6FAE">
      <w:pPr>
        <w:pStyle w:val="TextoNormal"/>
      </w:pPr>
      <w:r>
        <w:t>Madrid, a veintiocho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1" w:name="AUTO_2016_197"/>
      <w:r>
        <w:t>AUTO 197/2016, de 29 de noviembre de 2016</w:t>
      </w:r>
    </w:p>
    <w:bookmarkEnd w:id="171"/>
    <w:p w:rsidR="001D6FAE" w:rsidRDefault="001D6FAE" w:rsidP="001D6FAE">
      <w:pPr>
        <w:pStyle w:val="TtuloResolucin"/>
      </w:pPr>
      <w:r>
        <w:t>Pleno</w:t>
      </w:r>
    </w:p>
    <w:p w:rsidR="001D6FAE" w:rsidRDefault="001D6FAE" w:rsidP="001D6FAE">
      <w:pPr>
        <w:pStyle w:val="TextoNormalCentrado"/>
      </w:pPr>
      <w:r>
        <w:t>ECLI:ES:TC:2016:197A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4264-2016, planteada por el Juzgado de lo Contencioso-Administrativo núm. 4 de Madrid en relación con el artículo 30.4 de la Ley de la Asamblea de Madrid 5/2002, de 27 de junio, sobre drogodependencias y otros trastornos adictivos.</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día 21 de julio de 2016 tuvo entrada en el registro General de este Tribunal un oficio de fecha 13 de julio de 2016, firmado por la Letrada de la Administración de Justicia del Juzgado de lo Contencioso-Administrativo de núm. 4 de Madrid, al que acompañaba testimonio íntegro del orocedimiento ordinario 429-2015 “para la resolución de la cuestión de inconstitucionalidad planteada por este órgano judicial”. El testimonio incluye el Auto de 4 de julio de 2016 por el que se acuerda “plantear la cuestión de inconstitucionalidad en relación con el art. 30.4 de la Ley 5/2002, de 27 de junio, de la Comunidad de Madrid, sobre Drogodependencias y otros Trastornos Adictivos, por la posible vulneración de los artículos 14 y 38 de la Constitución Española”.</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que dan lugar a la presente cuestión de inconstitucionalidad son, sucintamente expuestos, los siguientes:</w:t>
      </w:r>
    </w:p>
    <w:p w:rsidR="001D6FAE" w:rsidRDefault="001D6FAE" w:rsidP="001D6FAE">
      <w:pPr>
        <w:pStyle w:val="TextoNormal"/>
      </w:pPr>
    </w:p>
    <w:p w:rsidR="001D6FAE" w:rsidRDefault="001D6FAE" w:rsidP="001D6FAE">
      <w:pPr>
        <w:pStyle w:val="TextoNormal"/>
      </w:pPr>
      <w:r>
        <w:t>a) En fecha 9 de octubre de 2015 tuvo entrada en el Decanato de los Juzgados de Madrid (oficina de apoyo contencioso-administrativa) el escrito de interposición del recurso contencioso-administrativo presentado por el Letrado de don Yonggen Lin contra la resolución de 23 de septiembre de 2015 de la Viceconsejera de Economía e Innovación de la Comunidad de Madrid, que había desestimado en trámite de alzada, el recurso interpuesto contra la precedente resolución de 25 de noviembre de 2014 de la Dirección General de Comercio, dependiente del mencionado departamento autonómico, por la que se le impuso al recurrente una sanción de 30.051 €, en el seno del expediente administrativo A 302-14-pa/pm (dimanante a su vez del expediente 115 ALC-2014). La sanción se amparaba en el art. 59.1 b) de la Ley Comunidad Autónoma de Madrid 5/2002, sobre drogodependencias y otros trastornos adictivos, y derivaba del incumplimiento de la prohibición de vender bebidas alcohólicas en horario nocturno, resultante del art. 30.4 de dicha disposición y tipificado como infracción grave en el art. 56.1 de la misma norma.</w:t>
      </w:r>
    </w:p>
    <w:p w:rsidR="001D6FAE" w:rsidRDefault="001D6FAE" w:rsidP="001D6FAE">
      <w:pPr>
        <w:pStyle w:val="TextoNormal"/>
      </w:pPr>
    </w:p>
    <w:p w:rsidR="001D6FAE" w:rsidRDefault="001D6FAE" w:rsidP="001D6FAE">
      <w:pPr>
        <w:pStyle w:val="TextoNormal"/>
      </w:pPr>
      <w:r>
        <w:t xml:space="preserve">b) Después de haber efectuado el recurrente la comparecencia </w:t>
      </w:r>
      <w:r w:rsidRPr="001D6FAE">
        <w:rPr>
          <w:i/>
        </w:rPr>
        <w:t>apud acta</w:t>
      </w:r>
      <w:r>
        <w:t xml:space="preserve"> ante la Letrada de la Administración de Justicia del Juzgado de lo Contencioso-Administrativo núm. 4 (en adelante, el Juzgado), ésta dictó decreto de 28 de octubre de 2015 por el que acordó la admisión a trámite del recurso contencioso-administrativo y, una vez recibido el expediente administrativo, el actor, en fecha 11 de enero de 2016, presentó la correspondiente demanda en la que incluía como motivo cuarto la denuncia de la “infracción de los artículos 14 y 38 CE y 1 de la Ley 15/2007, de 3 de julio, sobre Defensa de la competencia”. En el citado motivo el recurrente se quejaba de “la injusticia que supone que las bebidas alcohólicas se puedan vender más tarde de las 22,00 h en unas tiendas sí y en otras no”, situación propiciada, a su juicio, por la reforma operada en el art. 30.4 de la Ley 5/2002 por la Ley 9/2010 (ambas de la Comunidad Autónoma de Madrid).</w:t>
      </w:r>
    </w:p>
    <w:p w:rsidR="001D6FAE" w:rsidRDefault="001D6FAE" w:rsidP="001D6FAE">
      <w:pPr>
        <w:pStyle w:val="TextoNormal"/>
      </w:pPr>
    </w:p>
    <w:p w:rsidR="001D6FAE" w:rsidRDefault="001D6FAE" w:rsidP="001D6FAE">
      <w:pPr>
        <w:pStyle w:val="TextoNormal"/>
      </w:pPr>
      <w:r>
        <w:t>Según se afirma en la demanda, dicho precepto exceptúa de la prohibición general de vender bebidas alcohólicas después de las 22 horas a los llamados “establecimientos de conveniencia”. A juicio del demandante tal tipo de establecimiento carece de una “capacitación profesional específica” que justifique que sean privilegiados por aquella regulación. A su parecer, tampoco la licencia de actividad otorgada a este tipo de establecimiento tiene particularidad alguna que dote de sentido a la norma dictada en su beneficio exclusivo. Es más, siendo característico de este tipo de establecimientos que “deben tener una variedad de productos y unos porcentajes de superficie mínimos destinados a cada uno de ellos”, el recurrente considera que lo lógico habría sido exceptuar de la prohibición de venta de bebidas alcohólicas a los comerciantes especialistas en la venta de alimentos y bebidas, no a los comerciantes generalistas.</w:t>
      </w:r>
    </w:p>
    <w:p w:rsidR="001D6FAE" w:rsidRDefault="001D6FAE" w:rsidP="001D6FAE">
      <w:pPr>
        <w:pStyle w:val="TextoNormal"/>
      </w:pPr>
    </w:p>
    <w:p w:rsidR="001D6FAE" w:rsidRDefault="001D6FAE" w:rsidP="001D6FAE">
      <w:pPr>
        <w:pStyle w:val="TextoNormal"/>
      </w:pPr>
      <w:r>
        <w:t>El demandante considera, así, que “la nueva redacción dada al artículo 30.4 de ley 5/2002 por la disposición final 2ª de la ley 1/2011 de 14 de enero de la Comunidad Autónoma de Madrid vulnera el principio de igualdad, regulado en el art. 14 de la CE, el derecho a la libertad de empresa reconocido en el art. 38 CE y el art. 1.1 b) de la ley de Defensa de la Competencia (Ley 15/2007, de 3 de julio)”.</w:t>
      </w:r>
    </w:p>
    <w:p w:rsidR="001D6FAE" w:rsidRDefault="001D6FAE" w:rsidP="001D6FAE">
      <w:pPr>
        <w:pStyle w:val="TextoNormal"/>
      </w:pPr>
    </w:p>
    <w:p w:rsidR="001D6FAE" w:rsidRDefault="001D6FAE" w:rsidP="001D6FAE">
      <w:pPr>
        <w:pStyle w:val="TextoNormal"/>
      </w:pPr>
      <w:r>
        <w:t>c) En fecha 16 de febrero de 2016 tuvo entrada en el Juzgado la contestación a la demanda formulada por el Letrado de la Comunidad de Madrid. En lo que interesa a la presente cuestión cabe destacar que, en dicho escrito procesal, la Administración demandada argumentaba sobre la infracción constitucional denunciada por el demandante, entendiendo que “las alusiones a la igualdad, al derecho a la libre empresa y a la competencia olvidan que esos derechos se ejercen en el marco de las disposiciones legales, en este caso de la normativa sobre drogodependencias y comercio interior”. También afirmaba el Letrado de la Comunidad Autónoma de Madrid que las tiendas de conveniencias no son una particularidad del “derecho madrileño”, estando también reguladas en la legislación de Murcia. Consideraba, en suma, que la legislación aplicada es compatible con la Constitución. Finalmente, ponía de manifiesto que, en todo caso, el actor no había solicitado en el suplico de la demanda el planteamiento de cuestión de inconstitucionalidad.</w:t>
      </w:r>
    </w:p>
    <w:p w:rsidR="001D6FAE" w:rsidRDefault="001D6FAE" w:rsidP="001D6FAE">
      <w:pPr>
        <w:pStyle w:val="TextoNormal"/>
      </w:pPr>
    </w:p>
    <w:p w:rsidR="001D6FAE" w:rsidRDefault="001D6FAE" w:rsidP="001D6FAE">
      <w:pPr>
        <w:pStyle w:val="TextoNormal"/>
      </w:pPr>
      <w:r>
        <w:t>d) En fecha 23 de febrero de 2016, el Magistrado titular del Juzgado dictó providencia declarando el proceso concluso para sentencia y añadiendo, a continuación, el siguiente párrafo:</w:t>
      </w:r>
    </w:p>
    <w:p w:rsidR="001D6FAE" w:rsidRDefault="001D6FAE" w:rsidP="001D6FAE">
      <w:pPr>
        <w:pStyle w:val="TextoNormal"/>
      </w:pPr>
    </w:p>
    <w:p w:rsidR="001D6FAE" w:rsidRDefault="001D6FAE" w:rsidP="001D6FAE">
      <w:pPr>
        <w:pStyle w:val="TextoNormal"/>
      </w:pPr>
      <w:r>
        <w:t>“Habiéndose planteado por la parte recurrente en su demanda la inconstitucionalidad del art. 30.4 de la ley 5/2002, en la redacción dada al mismo por la disposición final 2ª de la ley 1/2011, de 14 de enero, con suspensión provisional de las actuaciones, óigase a las partes y al Ministerio Fiscal, para que, en el plazo común e improrrogable de diez días, puedan alegar lo que estimen conveniente sobre la pertinencia de plantear cuestión de inconstitucionalidad y sobre el fondo de la misma.”</w:t>
      </w:r>
    </w:p>
    <w:p w:rsidR="001D6FAE" w:rsidRDefault="001D6FAE" w:rsidP="001D6FAE">
      <w:pPr>
        <w:pStyle w:val="TextoNormal"/>
      </w:pPr>
    </w:p>
    <w:p w:rsidR="001D6FAE" w:rsidRDefault="001D6FAE" w:rsidP="001D6FAE">
      <w:pPr>
        <w:pStyle w:val="TextoNormal"/>
      </w:pPr>
      <w:r>
        <w:t>e) En fecha 3 de marzo de 2016, el Ministerio Fiscal presentó recurso de reforma contra la anterior providencia interesando que se concretara el precepto constitucional que el órgano judicial consideraba vulnerado, de acuerdo con lo exigido en el art. 35.2 de la Ley Orgánica del Tribunal Constitucional (LOTC).</w:t>
      </w:r>
    </w:p>
    <w:p w:rsidR="001D6FAE" w:rsidRDefault="001D6FAE" w:rsidP="001D6FAE">
      <w:pPr>
        <w:pStyle w:val="TextoNormal"/>
      </w:pPr>
    </w:p>
    <w:p w:rsidR="001D6FAE" w:rsidRDefault="001D6FAE" w:rsidP="001D6FAE">
      <w:pPr>
        <w:pStyle w:val="TextoNormal"/>
      </w:pPr>
      <w:r>
        <w:t>f) En fecha 18 de marzo de 2016, antes por tanto de que el recurso presentado por el Fiscal hubiera sido resuelto, tuvo entrada en el Juzgado el escrito de alegaciones del Letrado de la Comunidad de Madrid, en el que manifiesta su oposición al planteamiento de la cuestión de inconstitucionalidad. El letrado de la Comunidad Autónoma de Madrid considera que sólo pueden tener la condición de establecimientos de conveniencia los que cumplan con los requisitos establecidos en el art. 30 de la Ley de comercio interior de la Comunidad Autónoma de Madrid (Ley 16/1999, de 29 de abril). Dichos requisitos son: (i) tener una extensión útil no superior a los 500 metros cuadrados; (ii) permanecer abiertas al público al menos 18 horas al día y (iii) distribuir su oferta de forma similar entre libros, periódicos y revistas, artículos de alimentación, discos, vídeos, juguetes, regalos y artículos varios en las condiciones que concreta el art. 33.2 del Decreto 130/2002, de 18 de julio (norma que establece el porcentaje de metros cuadrados de exposición que el establecimiento debe dedicar a cada tipo de producto). También destaca el letrado de la Administración, como elemento que singulariza a estos establecimientos, que disponen de la posibilidad de vender tabaco si obtienen un certificado acreditativo de la condición de tienda de conveniencia, certificado sujeto a las condiciones fijadas en el Real Decreto-ley 14/2011, de 16 de septiembre.</w:t>
      </w:r>
    </w:p>
    <w:p w:rsidR="001D6FAE" w:rsidRDefault="001D6FAE" w:rsidP="001D6FAE">
      <w:pPr>
        <w:pStyle w:val="TextoNormal"/>
      </w:pPr>
    </w:p>
    <w:p w:rsidR="001D6FAE" w:rsidRDefault="001D6FAE" w:rsidP="001D6FAE">
      <w:pPr>
        <w:pStyle w:val="TextoNormal"/>
      </w:pPr>
      <w:r>
        <w:t>De acuerdo con esta regulación, el Letrado de la Comunidad Autónoma de Madrid estima que estamos ante establecimientos que se diferencian del resto “por el tipo de condiciones que tienen, por lo que necesitan una regulación especial y mayor control para ser considerados como tales”. Por ello, descarta que la regulación cuestionada sea contraria a los arts. 38 y 14 CE. Respecto del art. 38 CE, considera que cualquier establecimiento que cumpla con los requisitos legalmente fijados puede acceder a la condición de establecimiento de conveniencia. Añade que esos requisitos tratan de asegurar un control especial de los establecimientos que pueden vender en horas determinadas algunos productos a los que no pueden acceder ciertos consumidores (menores de edad). Asimismo, afirma que “no hay vulneración del derecho a la igualdad porque se trata iguales [sic] a quienes tienen las mismas condiciones, y diferente a quienes no las tienen”.</w:t>
      </w:r>
    </w:p>
    <w:p w:rsidR="001D6FAE" w:rsidRDefault="001D6FAE" w:rsidP="001D6FAE">
      <w:pPr>
        <w:pStyle w:val="TextoNormal"/>
      </w:pPr>
    </w:p>
    <w:p w:rsidR="001D6FAE" w:rsidRDefault="001D6FAE" w:rsidP="001D6FAE">
      <w:pPr>
        <w:pStyle w:val="TextoNormal"/>
      </w:pPr>
      <w:r>
        <w:t>g) Mediante providencia de 25 de abril de 2016, el Juzgado, en lugar de resolver el recurso de reforma interpuesto, acordó dar nuevo traslado al Ministerio Fiscal acompañando la demanda y “significándole que en ella se consideran infringidos los arts. 14 y 38 de la Constitución”.</w:t>
      </w:r>
    </w:p>
    <w:p w:rsidR="001D6FAE" w:rsidRDefault="001D6FAE" w:rsidP="001D6FAE">
      <w:pPr>
        <w:pStyle w:val="TextoNormal"/>
      </w:pPr>
    </w:p>
    <w:p w:rsidR="001D6FAE" w:rsidRDefault="001D6FAE" w:rsidP="001D6FAE">
      <w:pPr>
        <w:pStyle w:val="TextoNormal"/>
      </w:pPr>
      <w:r>
        <w:t>h) En fecha 10 de mayo de 2016 tuvo entrada el escrito de alegaciones del Ministerio Fiscal, en el que considera que concurren los presupuestos procesales necesarios para plantear la cuestión de inconstitucionalidad.</w:t>
      </w:r>
    </w:p>
    <w:p w:rsidR="001D6FAE" w:rsidRDefault="001D6FAE" w:rsidP="001D6FAE">
      <w:pPr>
        <w:pStyle w:val="TextoNormal"/>
      </w:pPr>
    </w:p>
    <w:p w:rsidR="001D6FAE" w:rsidRDefault="001D6FAE" w:rsidP="001D6FAE">
      <w:pPr>
        <w:pStyle w:val="TextoNormal"/>
      </w:pPr>
      <w:r>
        <w:t>i) Por diligencia de 21 de julio de 2016, la Letrada de la Administración de Justicia hizo constar que el demandante no formuló alegaciones en el plazo conferido para ello.</w:t>
      </w:r>
    </w:p>
    <w:p w:rsidR="001D6FAE" w:rsidRDefault="001D6FAE" w:rsidP="001D6FAE">
      <w:pPr>
        <w:pStyle w:val="TextoNormal"/>
      </w:pPr>
    </w:p>
    <w:p w:rsidR="001D6FAE" w:rsidRDefault="001D6FAE" w:rsidP="001D6FAE">
      <w:pPr>
        <w:pStyle w:val="TextoNormal"/>
      </w:pPr>
      <w:r>
        <w:t>j) Finalmente, el Juzgado dictó Auto de 4 de julio de 2016 acordando “plantear la cuestión de inconstitucionalidad en relación con el art. 30.4 de la Ley 5/2002, de 27 de junio, de la Comunidad de Madrid, sobre Drogodependencias y otros Trastornos Adictivos, por la posible vulneración de los artículos 14 y 38 de la Constitución Española, para lo que se elevará la cuestión al Tribunal Constitucional, junto con testimonio de los autos y el expediente administrativo, quedando suspendida provisionalmente la tramitación de este recurso hasta la resolución de la cuestión planteada”.</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interesa destacar lo siguiente:</w:t>
      </w:r>
    </w:p>
    <w:p w:rsidR="001D6FAE" w:rsidRDefault="001D6FAE" w:rsidP="001D6FAE">
      <w:pPr>
        <w:pStyle w:val="TextoNormal"/>
      </w:pPr>
    </w:p>
    <w:p w:rsidR="001D6FAE" w:rsidRDefault="001D6FAE" w:rsidP="001D6FAE">
      <w:pPr>
        <w:pStyle w:val="TextoNormal"/>
      </w:pPr>
      <w:r>
        <w:t>(i) Tras reproducir en los antecedentes las alegaciones de las partes, el órgano judicial realiza el correspondiente juicio de aplicabilidad y relevancia. En cuanto al primero (juicio de aplicabilidad), considera que “no hay duda de que la norma cuestionada … es aplicable al caso, en cuanto regula la prohibición venta de bebidas alcohólicas en horario nocturno— cuyo incumplimiento tipifica el artículo 56.1 de la misma ley como infracción grave”. En relación con el segundo (juicio de relevancia) estima que “tampoco pueden existir dudas razonables respecto a que de su validez depende el fallo que resuelva este asunto, puesto que, de no reputarse válida, dejaría de existir la prohibición y con ella la infracción que se le imputa al demandante, cuya impugnación constituye el objeto de este proceso”.</w:t>
      </w:r>
    </w:p>
    <w:p w:rsidR="001D6FAE" w:rsidRDefault="001D6FAE" w:rsidP="001D6FAE">
      <w:pPr>
        <w:pStyle w:val="TextoNormal"/>
      </w:pPr>
    </w:p>
    <w:p w:rsidR="001D6FAE" w:rsidRDefault="001D6FAE" w:rsidP="001D6FAE">
      <w:pPr>
        <w:pStyle w:val="TextoNormal"/>
      </w:pPr>
      <w:r>
        <w:t>(ii) A continuación, el Auto explicita la duda de inconstitucionalidad analizando la Ley 5/2002, de 27 de junio, desde su propio preámbulo, en el que se afirma que el objetivo prioritario de la norma es “garantizar una atención integral, que conciba las drogodependencias y otros trastornos adictivos como una enfermedad común con repercusiones en los ámbitos biológico, psicológico, social y económico”. Destaca el Auto que la versión originaria del precepto cuestionado (art. 30.4 de la Ley) no contenía la excepción subjetiva atinente a los establecimientos de conveniencia, que, según señala, fue introducida por la Ley 9/2010, de 23 de diciembre, de medidas fiscales, administrativas y de racionalización del sector público de la Comunidad de Madrid. El preámbulo de esta última disposición justificaba la modificación de la Ley 5/2002 a los fines de regular la “responsabilidad solidaria de los padres, tutores, acogedores o guardadores legales de los menores de edad que sean mayores de catorce años y que sean sancionados por … consumo de bebidas alcohólicas”. Dicha justificación, según se entiende en el Auto, carece de toda relación con la excepción subjetiva introducida a la prohibición de venta de bebidas alcohólicas. De ahí que el órgano judicial considere que la verdadera razón de la modificación legislativa es puramente económica. Según afirma:</w:t>
      </w:r>
    </w:p>
    <w:p w:rsidR="001D6FAE" w:rsidRDefault="001D6FAE" w:rsidP="001D6FAE">
      <w:pPr>
        <w:pStyle w:val="TextoNormal"/>
      </w:pPr>
    </w:p>
    <w:p w:rsidR="001D6FAE" w:rsidRDefault="001D6FAE" w:rsidP="001D6FAE">
      <w:pPr>
        <w:pStyle w:val="TextoNormal"/>
      </w:pPr>
      <w:r>
        <w:t>“[L]a introducción de dicha excepción como enmienda en la ley 9/2010 fue el resultado del pacto al que llegaron los dos partidos entonces mayoritarios en la Asamblea de Madrid (PP y PSOE), con apoyo en un informe del año 2009 elaborado por el Consejo Económico y Social, en el que se recomendaba la eliminación de las restricciones a la venta de alcohol en los establecimientos de conveniencia, con objeto de sostener su actividad comercial y el empleo que generan, llegando a afirmar sus dirigentes de la época que ‘es una medida que busca no poner en riesgo puestos de trabajo’ y que la posibilidad de que con ella se incremente el consumo de alcohol en la calle no les preocupa ‘porque los que hacen botellón salen con la compra hecha’ (información publicada en los diarios ‘El País’ y ‘El Mundo’ del 21-12-2010).”</w:t>
      </w:r>
    </w:p>
    <w:p w:rsidR="001D6FAE" w:rsidRDefault="001D6FAE" w:rsidP="001D6FAE">
      <w:pPr>
        <w:pStyle w:val="TextoNormal"/>
      </w:pPr>
    </w:p>
    <w:p w:rsidR="001D6FAE" w:rsidRDefault="001D6FAE" w:rsidP="001D6FAE">
      <w:pPr>
        <w:pStyle w:val="TextoNormal"/>
      </w:pPr>
      <w:r>
        <w:t>(iii) Una vez explicada la génesis de la norma, el órgano judicial señala los elementos que caracterizan los establecimientos de conveniencia en el art. 30 de la Ley 16/1999, de 29 de abril, de comercio interior de la Comunidad de Madrid (superficie útil no superior a 500 m2, horario de apertura al público de, al menos, 18 horas al día y distribución de oferta comercial de forma similar entre diferentes productos), y considera que:</w:t>
      </w:r>
    </w:p>
    <w:p w:rsidR="001D6FAE" w:rsidRDefault="001D6FAE" w:rsidP="001D6FAE">
      <w:pPr>
        <w:pStyle w:val="TextoNormal"/>
      </w:pPr>
    </w:p>
    <w:p w:rsidR="001D6FAE" w:rsidRDefault="001D6FAE" w:rsidP="001D6FAE">
      <w:pPr>
        <w:pStyle w:val="TextoNormal"/>
      </w:pPr>
      <w:r>
        <w:t>“[P]ara que la excepción a la prohibición de la venta de bebidas alcohólicas en horario nocturno, introducida por la ley 9/2010 en beneficio de los establecimientos de conveniencia, fuese acorde con las medidas de control limitativas de la venta y consumo de este tipo de bebidas contenidos en la ley 5/2002, hubiera sido necesario que a esos establecimientos se les exigiera el cumplimiento de algún requisito adicional específico, del que resultara una distinción real y objetiva con el resto de establecimientos del sector, referido, por ejemplo, a la especial cualificación de su personal en adicciones, a la obligación de informar al consumidor sobre las consecuencias de una ingesta excesiva, etc., porque, en caso contrario, la diferencia de trato se sustenta, exclusivamente, en aspectos comerciales que nada tienen que ver con aquellas medidas de control y que conducen, en la práctica a situaciones claramente discriminatorias porque ninguna justificación puede tener que un establecimiento, dotado con las correspondientes licencias que autorizan para la venta de bebidas alcohólicas, no lo pueda hacer a partir de las 22 horas y sí lo pueda hacer, en cambio, el de al lado con el que compite, porque tenga determinada superficie útil o venda, además, otro tipo de productos.”</w:t>
      </w:r>
    </w:p>
    <w:p w:rsidR="001D6FAE" w:rsidRDefault="001D6FAE" w:rsidP="001D6FAE">
      <w:pPr>
        <w:pStyle w:val="TextoNormal"/>
      </w:pPr>
    </w:p>
    <w:p w:rsidR="001D6FAE" w:rsidRDefault="001D6FAE" w:rsidP="001D6FAE">
      <w:pPr>
        <w:pStyle w:val="TextoNormal"/>
      </w:pPr>
      <w:r>
        <w:t>En suma, si la verdadera finalidad de la norma era preservar los puestos de trabajo y la actividad comercial, la excepción singular introducida vulnera el principio de igualdad y la libertad de empresa, pues “el mismo derecho les asistía al resto de establecimientos autorizados para la venta de alcohol, porque de lo contrario se coloca a estos últimos en peor situación”.</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4 de octubre de 2016 la Sección Cuarta acordó, a los efectos que determina el art. 37.1 de la Ley Orgánica del Tribunal Constitucional (LOTC), oír a la Fiscal General del Estado para que, en el plazo de diez días, alegara lo que considerase conveniente acerca de la admisibilidad de la presente cuestión de inconstitucionalidad en relación con el cumplimiento de los requisitos procesales (art. 35.2 LOTC).</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sus alegaciones el día 21 de octubre de 2016 interesando la inadmisión de la cuestión por tres motivos: por existir defectos formales relevantes en las providencias de traslado a las partes (I), por incumplimiento de los juicios de aplicabilidad y relevancia (II) y por ser la duda de constitucionalidad planteada notoriamente infundada (III).</w:t>
      </w:r>
    </w:p>
    <w:p w:rsidR="001D6FAE" w:rsidRDefault="001D6FAE" w:rsidP="001D6FAE">
      <w:pPr>
        <w:pStyle w:val="TextoNormal"/>
      </w:pPr>
    </w:p>
    <w:p w:rsidR="001D6FAE" w:rsidRDefault="001D6FAE" w:rsidP="001D6FAE">
      <w:pPr>
        <w:pStyle w:val="TextoNormal"/>
      </w:pPr>
      <w:r>
        <w:t>I. Tras exponer los antecedentes del caso, considera la Fiscal General del Estado, en primer lugar, que las providencias de 26 de febrero y 25 de abril de 2016, en las que el órgano judicial dio traslado a las partes para que formularan alegaciones sobre el eventual planteamiento de la cuestión de inconstitucionalidad, incurrieron en dos defectos que podrían ser determinantes de la inadmisibilidad de la misma:</w:t>
      </w:r>
    </w:p>
    <w:p w:rsidR="001D6FAE" w:rsidRDefault="001D6FAE" w:rsidP="001D6FAE">
      <w:pPr>
        <w:pStyle w:val="TextoNormal"/>
      </w:pPr>
    </w:p>
    <w:p w:rsidR="001D6FAE" w:rsidRDefault="001D6FAE" w:rsidP="001D6FAE">
      <w:pPr>
        <w:pStyle w:val="TextoNormal"/>
      </w:pPr>
      <w:r>
        <w:t>(i) De un lado, en dichas resoluciones no se exponen las dudas que el titular de la potestad jurisdiccional alberga sobre la validez constitucional del art. 30.4 de la Ley 5/2002. Al contrario, en ambas se realiza una mera remisión —más explícita en la segunda, pero siempre una remisión— a las dudas ya consignadas en la demanda por la parte actora. Considera, así, la Fiscal General que no puede estimarse “debidamente cumplimentado el trámite de audiencia dado que la providencia que lo otorga es sobre dudas de validez que plantea la parte recurrente y no sobre las que se le suscitan al Juez, que es el único legitimado para decidir plantear la cuestión de inconstitucionalidad”.</w:t>
      </w:r>
    </w:p>
    <w:p w:rsidR="001D6FAE" w:rsidRDefault="001D6FAE" w:rsidP="001D6FAE">
      <w:pPr>
        <w:pStyle w:val="TextoNormal"/>
      </w:pPr>
    </w:p>
    <w:p w:rsidR="001D6FAE" w:rsidRDefault="001D6FAE" w:rsidP="001D6FAE">
      <w:pPr>
        <w:pStyle w:val="TextoNormal"/>
      </w:pPr>
      <w:r>
        <w:t>(ii) De otra parte, la Fiscal General del Estado también pone de manifiesto que la primera providencia de traslado no incluía referencia alguna a los preceptos constitucionales que se consideraban infringidos, incumpliendo, por ello, una exigencia expresa del art. 35.2 LOTC. Esta omisión fue puesta de manifiesto por el Fiscal actuante en la pieza preliminar a través del pertinente recurso, lo que dio lugar a que se dictara una segunda providencia que sí incluía una referencia expresa a los arts. 14 y 38 CE. Sin embargo, esta segunda resolución sólo fue notificada al Ministerio Fiscal.</w:t>
      </w:r>
    </w:p>
    <w:p w:rsidR="001D6FAE" w:rsidRDefault="001D6FAE" w:rsidP="001D6FAE">
      <w:pPr>
        <w:pStyle w:val="TextoNormal"/>
      </w:pPr>
    </w:p>
    <w:p w:rsidR="001D6FAE" w:rsidRDefault="001D6FAE" w:rsidP="001D6FAE">
      <w:pPr>
        <w:pStyle w:val="TextoNormal"/>
      </w:pPr>
      <w:r>
        <w:t>Señalados ambos defectos, la Fiscal General sólo acaba otorgando una relevancia decisiva al primero de ellos, ya que, en relación con el segundo, reconoce que la falta de traslado a las partes de la segunda providencia no supuso merma alguna en sus posibilidades de alegar “sobre los exactos términos en los que se pretendía plantear la cuestión”, pues, en última instancia, el demandante y el demandado expresaron su parecer sobre los preceptos que, posteriormente, fueron incluidos en el Auto de planteamiento y a los que, indirectamente, ya se remitía la primera resolución de traslado, al realizar un reenvío al contenido de la demanda.</w:t>
      </w:r>
    </w:p>
    <w:p w:rsidR="001D6FAE" w:rsidRDefault="001D6FAE" w:rsidP="001D6FAE">
      <w:pPr>
        <w:pStyle w:val="TextoNormal"/>
      </w:pPr>
    </w:p>
    <w:p w:rsidR="001D6FAE" w:rsidRDefault="001D6FAE" w:rsidP="001D6FAE">
      <w:pPr>
        <w:pStyle w:val="TextoNormal"/>
      </w:pPr>
      <w:r>
        <w:t>II. En segundo lugar, la Fiscal General del Estado afirma que el Auto de planteamiento no cumple con los juicios de aplicabilidad y relevancia. En este sentido, considera que, aun realizando un mero control externo del cumplimiento de ambos juicios, es fácilmente apreciable que la argumentación del Auto es “inconsistente o equivocada”.</w:t>
      </w:r>
    </w:p>
    <w:p w:rsidR="001D6FAE" w:rsidRDefault="001D6FAE" w:rsidP="001D6FAE">
      <w:pPr>
        <w:pStyle w:val="TextoNormal"/>
      </w:pPr>
    </w:p>
    <w:p w:rsidR="001D6FAE" w:rsidRDefault="001D6FAE" w:rsidP="001D6FAE">
      <w:pPr>
        <w:pStyle w:val="TextoNormal"/>
      </w:pPr>
      <w:r>
        <w:t>En efecto, considera la Fiscal General que el Auto de planteamiento no cuestiona, en realidad, “el art. 30.4 de la Ley 5/2002 en su integridad […] sino solo su inciso último que excepciona de la prohibición de venta de las bebidas alcohólicas a los establecimientos no autorizados para el consumo en horario nocturno, a los establecimientos definidos por el art. 30 de la ley 16/1999, de Comercio Interior de la Comunidad de Madrid”. Estamos, pues, ante “una argumentación que se centra en analizar tan solo la excepción que en el art. 30.4 de la ley 5/2002, fue introducida por el art. 14 de la ley 9/2010, de 23 de diciembre, de Medidas Fiscales, Administrativas y de Racionalización del Sector Público de la Comunidad de Madrid”.</w:t>
      </w:r>
    </w:p>
    <w:p w:rsidR="001D6FAE" w:rsidRDefault="001D6FAE" w:rsidP="001D6FAE">
      <w:pPr>
        <w:pStyle w:val="TextoNormal"/>
      </w:pPr>
    </w:p>
    <w:p w:rsidR="001D6FAE" w:rsidRDefault="001D6FAE" w:rsidP="001D6FAE">
      <w:pPr>
        <w:pStyle w:val="TextoNormal"/>
      </w:pPr>
      <w:r>
        <w:t>No siendo el demandante titular de un establecimiento de ese tipo, la pretensión del Auto de planteamiento es, según razona la Fiscal General, que “la misma excepción se aplique a todos los establecimientos, aunque no concurran en ellos las circunstancias que concurren en los ‘establecimientos de conveniencia’, ni ninguna otra que de acuerdo con su criterio sería necesaria para excepcionar la prohibición de la venta en horario nocturno”. Semejante planteamiento, se añade, no puede ser admitido ya que “la única posibilidad en el supuesto de admitir que esa excepción es discriminatoria sería la de su nulidad por inconstitucional, pero no la de extender la excepción inconstitucional a todos los establecimientos derogando la prohibición general”. El juicio de aplicabilidad y relevancia de la disposición legal no habría sido, por ello, correctamente realizado.</w:t>
      </w:r>
    </w:p>
    <w:p w:rsidR="001D6FAE" w:rsidRDefault="001D6FAE" w:rsidP="001D6FAE">
      <w:pPr>
        <w:pStyle w:val="TextoNormal"/>
      </w:pPr>
    </w:p>
    <w:p w:rsidR="001D6FAE" w:rsidRDefault="001D6FAE" w:rsidP="001D6FAE">
      <w:pPr>
        <w:pStyle w:val="TextoNormal"/>
      </w:pPr>
      <w:r>
        <w:t>III. Por último considera la Fiscal General del Estado que la cuestión planteada es notoriamente infundada, tanto en lo relativo a la prohibición de trato discriminatorio (art. 14 CE), como en lo concerniente a la libertad de empresa (art. 38 CE):</w:t>
      </w:r>
    </w:p>
    <w:p w:rsidR="001D6FAE" w:rsidRDefault="001D6FAE" w:rsidP="001D6FAE">
      <w:pPr>
        <w:pStyle w:val="TextoNormal"/>
      </w:pPr>
    </w:p>
    <w:p w:rsidR="001D6FAE" w:rsidRDefault="001D6FAE" w:rsidP="001D6FAE">
      <w:pPr>
        <w:pStyle w:val="TextoNormal"/>
      </w:pPr>
      <w:r>
        <w:t xml:space="preserve">(i) En lo relativo a la prohibición de discriminación, considera que “la imputación de un trato discriminatorio” no va referida “a un tercero homogéneo”. A su juicio, “[n]o cabe considerar sujetos equivalentes a los establecimientos no autorizados para el consumo de bebidas alcohólicas sobre los que pesa la prohibición general de venta de bebidas alcohólicas en horario nocturno del art. 30.4 de la ley 5/2002 y aquellos a los que se refiere el art. 30 de la ley 16/1999, a los que se exceptúa de esa prohibición”, pues estos últimos “presentan unas circunstancias específicas relativas a su superficie, horarios de apertura y oferta de productos que no concurren en el resto de establecimientos sobre los que pesa la prohibición general”. Faltaría, pues, un </w:t>
      </w:r>
      <w:r w:rsidRPr="001D6FAE">
        <w:rPr>
          <w:i/>
        </w:rPr>
        <w:t>tertium comparationis</w:t>
      </w:r>
      <w:r>
        <w:t xml:space="preserve"> válido.</w:t>
      </w:r>
    </w:p>
    <w:p w:rsidR="001D6FAE" w:rsidRDefault="001D6FAE" w:rsidP="001D6FAE">
      <w:pPr>
        <w:pStyle w:val="TextoNormal"/>
      </w:pPr>
    </w:p>
    <w:p w:rsidR="001D6FAE" w:rsidRDefault="001D6FAE" w:rsidP="001D6FAE">
      <w:pPr>
        <w:pStyle w:val="TextoNormal"/>
      </w:pPr>
      <w:r>
        <w:t>(ii) En relación con la libertad de establecimiento, la Fiscal General añade que no hay infracción alguna del art. 38 CE, pues la norma cuestionada “de modo mediato establece los requisitos que debe tener el establecimiento para poder realizar la venta en horario nocturno de determinados productos, merecedores de especial consideración por su incidencia en la salud pública, como son las bebidas alcohólicas, pudiendo desempeñar esa actividad todos los que cumplan tales requisitos”.</w:t>
      </w:r>
    </w:p>
    <w:p w:rsidR="001D6FAE" w:rsidRDefault="001D6FAE" w:rsidP="001D6FAE">
      <w:pPr>
        <w:pStyle w:val="TextoNormal"/>
      </w:pPr>
    </w:p>
    <w:p w:rsidR="001D6FAE" w:rsidRDefault="001D6FAE" w:rsidP="001D6FAE">
      <w:pPr>
        <w:pStyle w:val="TextoNormal"/>
      </w:pPr>
      <w:r>
        <w:t>Por todas las razones expuestas, la Fiscal General del Estado concluye sus alegaciones interesando “que se dicte auto inadmitiendo la presente cuestión”.</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Juzgado de lo Contencioso-Administrativo de núm. 4 de Madrid promueve cuestión de inconstitucionalidad “en relación con el art. 30.4 de la Ley 5/2002, de 27 de junio, de la Comunidad de Madrid, sobre Drogodependencias y otros Trastornos Adictivos, por la posible vulneración de los artículos 14 y 38 de la Constitución Española”. El precepto cuya constitucionalidad se cuestiona dispone lo siguiente:</w:t>
      </w:r>
    </w:p>
    <w:p w:rsidR="001D6FAE" w:rsidRDefault="001D6FAE" w:rsidP="001D6FAE">
      <w:pPr>
        <w:pStyle w:val="TextoNormal"/>
      </w:pPr>
    </w:p>
    <w:p w:rsidR="001D6FAE" w:rsidRDefault="001D6FAE" w:rsidP="001D6FAE">
      <w:pPr>
        <w:pStyle w:val="TextoNormal"/>
      </w:pPr>
      <w:r>
        <w:t>“No se permitirá la venta, suministro o distribución minorista de bebidas alcohólicas realizada a través de establecimientos de cualquier clase en los que no esté autorizado el consumo, la de carácter ambulante y la efectuada a distancia, cuando tengan lugar durante el horario nocturno que se determine por cada Corporación Local, con excepción de los establecimientos definidos en el artículo 30 de la Ley 16/1999, de 29 de abril, de Comercio Interior de la Comunidad de Madrid. En defecto de normativa local, se entenderá por horario nocturno el comprendido entre las veintidós y las ocho horas del día siguiente.”</w:t>
      </w:r>
    </w:p>
    <w:p w:rsidR="001D6FAE" w:rsidRDefault="001D6FAE" w:rsidP="001D6FAE">
      <w:pPr>
        <w:pStyle w:val="TextoNormal"/>
      </w:pPr>
    </w:p>
    <w:p w:rsidR="001D6FAE" w:rsidRDefault="001D6FAE" w:rsidP="001D6FAE">
      <w:pPr>
        <w:pStyle w:val="TextoNormal"/>
      </w:pPr>
      <w:r>
        <w:t>El órgano judicial considera, en el Auto de planteamiento, que dicho precepto infringe los arts. 14 y 38 CE, al introducir una excepción subjetiva al cumplimiento de la prohibición general de venta de bebidas alcohólicas en horario nocturno que favorece en exclusiva a un tipo de establecimiento (el regulado en el art. 30 de la Ley de comercio interior de la Comunidad Autónoma de Madrid) que no presenta ninguna cualificación que aporte una justificación objetiva y razonable a la diferencia de trato establecida. Se colocaría, así, en situación desfavorable al resto de establecimientos que cuentan con licencia para la venta de bebidas alcohólicas y a los que la prohibición general sí resulta aplicable.</w:t>
      </w:r>
    </w:p>
    <w:p w:rsidR="001D6FAE" w:rsidRDefault="001D6FAE" w:rsidP="001D6FAE">
      <w:pPr>
        <w:pStyle w:val="TextoNormal"/>
      </w:pPr>
    </w:p>
    <w:p w:rsidR="001D6FAE" w:rsidRDefault="001D6FAE" w:rsidP="001D6FAE">
      <w:pPr>
        <w:pStyle w:val="TextoNormal"/>
      </w:pPr>
      <w:r>
        <w:t>La Fiscal General del Estado, por las razones expuestas en los antecedentes, ha interesado la inadmisión de la cuestión de inconstitucionalidad.</w:t>
      </w:r>
    </w:p>
    <w:p w:rsidR="001D6FAE" w:rsidRDefault="001D6FAE" w:rsidP="001D6FAE">
      <w:pPr>
        <w:pStyle w:val="TextoNormal"/>
      </w:pPr>
    </w:p>
    <w:p w:rsidR="001D6FAE" w:rsidRDefault="001D6FAE" w:rsidP="001D6FAE">
      <w:pPr>
        <w:pStyle w:val="TextoNormal"/>
      </w:pPr>
      <w:r w:rsidRPr="001D6FAE">
        <w:rPr>
          <w:rStyle w:val="NumeroAFNegritaCaracter"/>
        </w:rPr>
        <w:t>2</w:t>
      </w:r>
      <w:r>
        <w:t>. Deben realizarse, en primer lugar, dos consideraciones previas que resultan necesarias para delimitar adecuadamente el objeto de la presente cuestión de inconstitucionalidad y decidir acerca de su admisibilidad:</w:t>
      </w:r>
    </w:p>
    <w:p w:rsidR="001D6FAE" w:rsidRDefault="001D6FAE" w:rsidP="001D6FAE">
      <w:pPr>
        <w:pStyle w:val="TextoNormal"/>
      </w:pPr>
    </w:p>
    <w:p w:rsidR="001D6FAE" w:rsidRDefault="001D6FAE" w:rsidP="001D6FAE">
      <w:pPr>
        <w:pStyle w:val="TextoNormal"/>
      </w:pPr>
      <w:r>
        <w:t>(i) En primer lugar, de la lectura del Auto de planteamiento se infiere, como destaca en sus alegaciones la Fiscal General del Estado, que la duda de constitucionalidad del órgano judicial va exclusivamente referida al inciso añadido al art. 30.4 de Ley 5/2002 por el art. 14 de la Ley 9/2010, de 23 de diciembre, de medidas fiscales, administrativas y de racionalización del sector público de la Comunidad de Madrid. Dicho inciso es el que establece la excepción subjetiva para los establecimientos llamados de conveniencia, a los que alude mediante un reenvío expreso al art. 30 de la ley 16/1999, de 29 de abril, de comercio interior de la Comunidad de Madrid. El precepto preexistente (que era el que figuraba en el texto originario de la Ley 5/2002) sólo difiere del reproducido en el fundamento jurídico precedente en que no figuraba en el mismo el referido inciso. En este sentido, es claro que el Auto de planteamiento no argumenta que la norma cuestionada (art. 30.4 de la Ley 5/2002) sea en su integridad contraria a los preceptos constitucionales que señala. Sólo duda, en realidad, de la constitucionalidad del inciso introducido por la Ley 9/2010.</w:t>
      </w:r>
    </w:p>
    <w:p w:rsidR="001D6FAE" w:rsidRDefault="001D6FAE" w:rsidP="001D6FAE">
      <w:pPr>
        <w:pStyle w:val="TextoNormal"/>
      </w:pPr>
    </w:p>
    <w:p w:rsidR="001D6FAE" w:rsidRDefault="001D6FAE" w:rsidP="001D6FAE">
      <w:pPr>
        <w:pStyle w:val="TextoNormal"/>
      </w:pPr>
      <w:r>
        <w:t xml:space="preserve">(ii) Cabe añadir, asimismo, que queda fuera del objeto de la cuestión planteada el segundo párrafo del art. 30.4 de la Ley 5/2002, introducido por la disposición final segunda de la Ley de la Comunidad de Madrid 1/2011, de 14 de enero, a la que, por error, alude el actor del proceso </w:t>
      </w:r>
      <w:r w:rsidRPr="001D6FAE">
        <w:rPr>
          <w:i/>
        </w:rPr>
        <w:t>a quo</w:t>
      </w:r>
      <w:r>
        <w:t xml:space="preserve"> en su demanda. Dicho precepto señala que “[l]a excepción prevista en el párrafo anterior relativa al artículo 30 de la Ley 16/1999, de 29 de abril, podrá no ser de aplicación en las zonas que cada ayuntamiento determine dentro de su término municipal, previo informe favorable de la Consejería competente en materia de comercio”. Ni de la argumentación del Auto de planteamiento, ni de las actuaciones remitidas a este Tribunal se infiere que esta habilitación a los ayuntamientos para dejar sin efecto la excepción subjetiva a la prohibición de venta de alcohol en determinadas zonas resulte de aplicación al presente caso. Cuestión distinta es que una eventual estimación de la cuestión planteada hubiera de conducir, por conexión, a la declaración de inconstitucionalidad de este segundo párrafo del precepto.</w:t>
      </w:r>
    </w:p>
    <w:p w:rsidR="001D6FAE" w:rsidRDefault="001D6FAE" w:rsidP="001D6FAE">
      <w:pPr>
        <w:pStyle w:val="TextoNormal"/>
      </w:pPr>
    </w:p>
    <w:p w:rsidR="001D6FAE" w:rsidRDefault="001D6FAE" w:rsidP="001D6FAE">
      <w:pPr>
        <w:pStyle w:val="TextoNormal"/>
      </w:pPr>
      <w:r>
        <w:t>Puede, así, concluirse, como delimitación inicial del objeto de la cuestión de inconstitucionalidad, que la misma se refiere en exclusiva a la excepción subjetiva introducida por la Ley 9/2010 en el texto originario del art. 30.4 de la Ley 5/2002 en relación con el art. 30 de la Ley 16/1999, todas ellas de la Comunidad Autónoma de Madrid.</w:t>
      </w:r>
    </w:p>
    <w:p w:rsidR="001D6FAE" w:rsidRDefault="001D6FAE" w:rsidP="001D6FAE">
      <w:pPr>
        <w:pStyle w:val="TextoNormal"/>
      </w:pPr>
    </w:p>
    <w:p w:rsidR="001D6FAE" w:rsidRDefault="001D6FAE" w:rsidP="001D6FAE">
      <w:pPr>
        <w:pStyle w:val="TextoNormal"/>
      </w:pPr>
      <w:r w:rsidRPr="001D6FAE">
        <w:rPr>
          <w:rStyle w:val="NumeroAFNegritaCaracter"/>
        </w:rPr>
        <w:t>3</w:t>
      </w:r>
      <w:r>
        <w:t xml:space="preserve">. Hecha esta aclaración, ha de señalarse que, de acuerdo con lo dispuesto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En relación con las condiciones procesales, plantea, en primer lugar, la Fiscal General del Estado que el traslado realizado a las partes de la duda de constitucionalidad de la que deriva la presente cuestión no se ajustó a lo preceptuado en el art. 35.2 LOTC, pues: (i) de un lado, el titular de la potestad jurisdiccional no expresó, en ninguna de las dos providencias dictadas (de 23 de febrero y 25 de abril de 2016), sus propias dudas sobre la constitucionalidad del art. 30.4 de la Ley 5/2002, sino que se limitó a remitirse a las que el actor había reseñado en la demanda; (ii) de otro lado, sólo la segunda providencia dictada, de la que se dio traslado únicamente al Fiscal, llegó a concretar los preceptos constitucionales que podían resultar infringidos, de modo que el actor y el demandado debieron deducir cuáles eran dichos preceptos de la remisión realizada a la demanda en su día presentada, en la primera providencia dictada.</w:t>
      </w:r>
    </w:p>
    <w:p w:rsidR="001D6FAE" w:rsidRDefault="001D6FAE" w:rsidP="001D6FAE">
      <w:pPr>
        <w:pStyle w:val="TextoNormal"/>
      </w:pPr>
    </w:p>
    <w:p w:rsidR="001D6FAE" w:rsidRDefault="001D6FAE" w:rsidP="001D6FAE">
      <w:pPr>
        <w:pStyle w:val="TextoNormal"/>
      </w:pPr>
      <w:r w:rsidRPr="001D6FAE">
        <w:rPr>
          <w:rStyle w:val="NumeroAFNegritaCaracter"/>
        </w:rPr>
        <w:t>4</w:t>
      </w:r>
      <w:r>
        <w:t>. Empezando nuestro examen por el segundo defecto aludido, hay que coincidir con la Fiscal General del Estado en que la tramitación de la pieza preliminar del presente procedimiento constitucional ha sido formalmente defectuosa, pues, como se ha señalado en los antecedentes, no se hizo constar en la inicial providencia de 23 de febrero de 2016 qué preceptos de la Constitución podían resultar infringidos por la norma legal cuestionada. Es más, cuando el Ministerio Fiscal recurrió la aludida resolución para que se subsanara la omisión detectada, el Juzgado se limitó a dar nuevo traslado al propio Fiscal, poniendo sólo a éste de manifiesto que los preceptos constitucionales en juego eran los arts. 14 y 38 CE. No obstante, en las actuaciones remitidas por el órgano judicial, ampliamente reseñadas en los antecedentes, puede comprobarse que:</w:t>
      </w:r>
    </w:p>
    <w:p w:rsidR="001D6FAE" w:rsidRDefault="001D6FAE" w:rsidP="001D6FAE">
      <w:pPr>
        <w:pStyle w:val="TextoNormal"/>
      </w:pPr>
    </w:p>
    <w:p w:rsidR="001D6FAE" w:rsidRDefault="001D6FAE" w:rsidP="001D6FAE">
      <w:pPr>
        <w:pStyle w:val="TextoNormal"/>
      </w:pPr>
      <w:r>
        <w:t>(i) Al dictarse la providencia de 23 de febrero de 2016, el demandante ya había alegado en su demanda que la inconstitucionalidad del art. 30.4 de la Ley 5/2002 resultaba de la incompatibilidad de dicho precepto con los arts. 14 y 38 CE. Una vez que el órgano judicial le dio el traslado previsto en el art. 35.2 LOTC, el actor dejó precluir el trámite sin aportar ningún razonamiento adicional.</w:t>
      </w:r>
    </w:p>
    <w:p w:rsidR="001D6FAE" w:rsidRDefault="001D6FAE" w:rsidP="001D6FAE">
      <w:pPr>
        <w:pStyle w:val="TextoNormal"/>
      </w:pPr>
    </w:p>
    <w:p w:rsidR="001D6FAE" w:rsidRDefault="001D6FAE" w:rsidP="001D6FAE">
      <w:pPr>
        <w:pStyle w:val="TextoNormal"/>
      </w:pPr>
      <w:r>
        <w:t>(ii) El Letrado de la Comunidad Autónoma de Madrid no sólo hizo alegaciones sobre esos dos preceptos constitucionales en la contestación a la demanda sino que, una vez recibido el traslado específico del art. 35.2 LOTC, dio por sentado que eran esos dos artículos los que podían resultar vulnerados, tal y como se había argumentado en la demanda. Volvió, por ello, a alegar en relación con los mismos.</w:t>
      </w:r>
    </w:p>
    <w:p w:rsidR="001D6FAE" w:rsidRDefault="001D6FAE" w:rsidP="001D6FAE">
      <w:pPr>
        <w:pStyle w:val="TextoNormal"/>
      </w:pPr>
    </w:p>
    <w:p w:rsidR="001D6FAE" w:rsidRDefault="001D6FAE" w:rsidP="001D6FAE">
      <w:pPr>
        <w:pStyle w:val="TextoNormal"/>
      </w:pPr>
      <w:r>
        <w:t>(iii) El Ministerio Fiscal, finalmente, presentó sus alegaciones una vez que recibió el segundo traslado, que ya aludía a las dos normas constitucionales eventualmente vulneradas.</w:t>
      </w:r>
    </w:p>
    <w:p w:rsidR="001D6FAE" w:rsidRDefault="001D6FAE" w:rsidP="001D6FAE">
      <w:pPr>
        <w:pStyle w:val="TextoNormal"/>
      </w:pPr>
    </w:p>
    <w:p w:rsidR="001D6FAE" w:rsidRDefault="001D6FAE" w:rsidP="001D6FAE">
      <w:pPr>
        <w:pStyle w:val="TextoNormal"/>
      </w:pPr>
      <w:r>
        <w:t>Se observa así que todas las partes tuvieron plenas posibilidades de alegar sobre los preceptos constitucionales que, finalmente, fueron expresamente contemplados en el Auto de planteamiento. El defecto formal de la providencia de traslado resulta, pues, intrascendente, como parece reconocer, en realidad, la propia Fiscal General del Estado en sus alegaciones. En este sentido, ha de recordarse que, si bien hemos subrayado (por todas, STC 95/2015, de 14 de mayo, FJ 2) la importancia del trámite de audiencia a efectos de que las partes sean oídas, también hemos afirmado que los defectos “en la identificación del objeto de la cuestión de inconstitucionalidad no deben conducir inexorablemente a la inadmisión de la misma por falta de los requisitos procesales … cuando el defecto en que incurre la providencia de apertura del trámite de audiencia no alcanza a producir confusión en los destinatarios, de modo que éstos pueden superar ese defecto y entender correctamente cuál era la duda que se les plantea, pues en estos casos no se habrá impedido a las partes el efectivo ejercicio de su derecho de audiencia en el trámite previsto por el art. 35.2 LOTC” (ATC 136/2015, de 21 de julio, FJ 2, y 156/2016, de 20 de septiembre, FJ 3). Eso, precisamente, es lo que ha ocurrido en el presente caso.</w:t>
      </w:r>
    </w:p>
    <w:p w:rsidR="001D6FAE" w:rsidRDefault="001D6FAE" w:rsidP="001D6FAE">
      <w:pPr>
        <w:pStyle w:val="TextoNormal"/>
      </w:pPr>
    </w:p>
    <w:p w:rsidR="001D6FAE" w:rsidRDefault="001D6FAE" w:rsidP="001D6FAE">
      <w:pPr>
        <w:pStyle w:val="TextoNormal"/>
      </w:pPr>
      <w:r w:rsidRPr="001D6FAE">
        <w:rPr>
          <w:rStyle w:val="NumeroAFNegritaCaracter"/>
        </w:rPr>
        <w:t>5</w:t>
      </w:r>
      <w:r>
        <w:t>. Descartada, pues, la trascendencia de la omisión formal de la cita de los preceptos constitucionales eventualmente vulnerados, debe examinarse todavía si, tal y como también plantea la Fiscal General del Estado, tiene trascendencia, a efectos de resolver sobre la admisibilidad de la cuestión, la forma en que el órgano judicial trasladó a las partes las dudas de constitucionalidad en la providencia de 23 de febrero de 2016. Destaca, en este punto, la Fiscal General que el Magistrado utilizó una técnica puramente remisoria, aludiendo en su resolución a las alegaciones que, sobre la inconstitucionalidad de la norma, había formulado el actor en la demanda. De este modo, no se habrían consignado, realmente, y como sería exigible, dudas propias del titular de la potestad jurisdiccional sino meras dudas de parte.</w:t>
      </w:r>
    </w:p>
    <w:p w:rsidR="001D6FAE" w:rsidRDefault="001D6FAE" w:rsidP="001D6FAE">
      <w:pPr>
        <w:pStyle w:val="TextoNormal"/>
      </w:pPr>
    </w:p>
    <w:p w:rsidR="001D6FAE" w:rsidRDefault="001D6FAE" w:rsidP="001D6FAE">
      <w:pPr>
        <w:pStyle w:val="TextoNormal"/>
      </w:pPr>
      <w:r>
        <w:t>El planteamiento aludido no puede ser asumido. Es cierto, en efecto, que el actor realizó alegaciones en la demanda sobre la inconstitucionalidad del art. 30.4 de la Ley 5/2002 en relación con los arts. 14 y 38 CE. También lo es que la Administración autonómica llegó a alegar de contrario, rechazando dicha inconstitucionalidad, en su escrito de contestación a la demanda. Pero estas circunstancias fácticas revelan, justamente, que el órgano judicial no se contentó con el debate procesal ya materializado, por los cauces formales ordinarios, entre las partes en litigio sino que decidió abrir, en relación con la inconstitucionalidad apuntada por el actor y rechazada por la Comunidad Autónoma de Madrid, el trámite específico que permite plantear la cuestión de inconstitucionalidad ante el Tribunal Constitucional. Esa decisión del órgano judicial de abrir un trámite específico sobre la inconstitucionalidad del precepto revela, con toda evidencia, que el titular de la potestad jurisdiccional era proclive a asumir como propia la duda suscitada en el debate entre partes, y que dicha duda le impedía, estando concluida la tramitación del procedimiento, finalizar el mismo con la correspondiente sentencia.</w:t>
      </w:r>
    </w:p>
    <w:p w:rsidR="001D6FAE" w:rsidRDefault="001D6FAE" w:rsidP="001D6FAE">
      <w:pPr>
        <w:pStyle w:val="TextoNormal"/>
      </w:pPr>
    </w:p>
    <w:p w:rsidR="001D6FAE" w:rsidRDefault="001D6FAE" w:rsidP="001D6FAE">
      <w:pPr>
        <w:pStyle w:val="TextoNormal"/>
      </w:pPr>
      <w:r>
        <w:t>En este sentido, es evidente que el órgano judicial puede abrir el trámite preliminar del art. 35.2 LOTC de oficio o a instancia de parte, siendo la técnica remisoria utilizada, en el caso que nos ocupa, meramente indicativa de que las dudas del titular de la potestad jurisdiccional vinieron suscitadas, en este caso concreto, por las alegaciones formuladas por la parte actora, habiendo considerado, por ello, el Magistrado que dichas alegaciones eran suficientes para abrir el debate exigido en el art. 35.2 LOTC. Lo único trascendente en este punto es que las dudas finalmente consignadas en el Auto de planteamiento fueron completamente homogéneas a las debatidas por las partes. El trámite abierto sirvió, por tanto, para el fin de salvaguarda que le es característico, pues ha permitido cumplir 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(por todas, STC 95/2015, de 14 de mayo, FJ 2).</w:t>
      </w:r>
    </w:p>
    <w:p w:rsidR="001D6FAE" w:rsidRDefault="001D6FAE" w:rsidP="001D6FAE">
      <w:pPr>
        <w:pStyle w:val="TextoNormal"/>
      </w:pPr>
    </w:p>
    <w:p w:rsidR="001D6FAE" w:rsidRDefault="001D6FAE" w:rsidP="001D6FAE">
      <w:pPr>
        <w:pStyle w:val="TextoNormal"/>
      </w:pPr>
      <w:r>
        <w:t>No debe olvidarse, finalmente, que es el Auto de planteamiento, y no la providencia de traslado, la resolución en la que el órgano judicial asume definitivamente las dudas sobre la inconstitucionalidad del precepto que son previamente sometidas al debate de las partes y del Ministerio Fiscal. La cuestión formal sobre la que objeta la Fiscal General del Estado tampoco permite, por tanto, sustentar un pronunciamiento liminar de inadmisión.</w:t>
      </w:r>
    </w:p>
    <w:p w:rsidR="001D6FAE" w:rsidRDefault="001D6FAE" w:rsidP="001D6FAE">
      <w:pPr>
        <w:pStyle w:val="TextoNormal"/>
      </w:pPr>
    </w:p>
    <w:p w:rsidR="001D6FAE" w:rsidRDefault="001D6FAE" w:rsidP="001D6FAE">
      <w:pPr>
        <w:pStyle w:val="TextoNormal"/>
      </w:pPr>
      <w:r w:rsidRPr="001D6FAE">
        <w:rPr>
          <w:rStyle w:val="NumeroAFNegritaCaracter"/>
        </w:rPr>
        <w:t>6</w:t>
      </w:r>
      <w:r>
        <w:t>. Plantea, asimismo, la Fiscal General del Estado que el órgano judicial no ha superado los llamados juicios de aplicabilidad y relevancia, que se erigen en requisitos esenciales para impedir que la cuestión de inconstitucionalidad pueda quedar desvirtuada por un uso no acomodado a su naturaleza y finalidad, como sucedería si se utilizase para obtener pronunciamientos innecesarios o indiferentes para la decisión del proceso en que se suscita. (entre otras muchas, SSTC 17/1981, de 1 de junio, FJ 4; 42/2013, de 14 de febrero, FJ 2; 156/2014, de 25 de septiembre, FJ 2; 79/2015, de 30 de abril, FJ 3, y AATC 12/2016, de 19 de enero, FJ 2, y 168/2016, de 4 de octubre, FJ 3). En este punto, hemos de recordar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188/2015, de 5 de noviembre, FJ 2, y 168/2016, de 4 de octubre, FJ 3).</w:t>
      </w:r>
    </w:p>
    <w:p w:rsidR="001D6FAE" w:rsidRDefault="001D6FAE" w:rsidP="001D6FAE">
      <w:pPr>
        <w:pStyle w:val="TextoNormal"/>
      </w:pPr>
    </w:p>
    <w:p w:rsidR="001D6FAE" w:rsidRDefault="001D6FAE" w:rsidP="001D6FAE">
      <w:pPr>
        <w:pStyle w:val="TextoNormal"/>
      </w:pPr>
      <w:r>
        <w:t>Con arreglo a la doctrina que acaba de reproducirse la objeción formulada por la Fiscal General del Estado ha de ser acogida y debe conducir a la inadmisión de la presente cuestión de inconstitucionalidad.</w:t>
      </w:r>
    </w:p>
    <w:p w:rsidR="001D6FAE" w:rsidRDefault="001D6FAE" w:rsidP="001D6FAE">
      <w:pPr>
        <w:pStyle w:val="TextoNormal"/>
      </w:pPr>
    </w:p>
    <w:p w:rsidR="001D6FAE" w:rsidRDefault="001D6FAE" w:rsidP="001D6FAE">
      <w:pPr>
        <w:pStyle w:val="TextoNormal"/>
      </w:pPr>
      <w:r>
        <w:t>En efecto, tal y como apunta la máxima representante del Ministerio Fiscal, el Auto de planteamiento no niega la constitucionalidad de la prohibición general de venta de bebidas alcohólicas en horario nocturno que constituye la esencia de la infracción tipificada en el art. 30.4 de la Ley 5/2002 de la Comunidad Autónoma de Madrid. La duda del Magistrado se proyecta exclusivamente sobre la excepción subjetiva, introducida por la Ley 9/2010, que dispensa de someterse a dicha prohibición a un determinado tipo de establecimiento (las llamadas tiendas “de conveniencia” reguladas en el art. 30 de la Ley 16/1999), en la consideración de que dicho tipo de comercio no reúne, según razona, ninguna cualificación que justifique objetivamente semejante trato de favor.</w:t>
      </w:r>
    </w:p>
    <w:p w:rsidR="001D6FAE" w:rsidRDefault="001D6FAE" w:rsidP="001D6FAE">
      <w:pPr>
        <w:pStyle w:val="TextoNormal"/>
      </w:pPr>
    </w:p>
    <w:p w:rsidR="001D6FAE" w:rsidRDefault="001D6FAE" w:rsidP="001D6FAE">
      <w:pPr>
        <w:pStyle w:val="TextoNormal"/>
      </w:pPr>
      <w:r>
        <w:t xml:space="preserve">Pues bien, es claro que, de apreciarse la inconstitucionalidad apuntada por el órgano judicial, la declaración de inconstitucionalidad y nulidad debería ceñirse al concreto inciso que establece la excepción subjetiva considerada ilegítima (en cuanto carente de justificación). Quedaría, por ello, a salvo el núcleo de la prohibición contenido en la redacción originaria del precepto. En otros términos: el precepto recuperaría la redacción originaria de la Ley 5/2002, que no establecía excepción alguna a la prohibición general de venta de alcohol en horario nocturno. Se advierte, así, que si el precepto fuera eventualmente depurado de su posible inciso inconstitucional, la prohibición general subsistente seguiría siendo plenamente aplicable en el proceso contencioso-administrativo </w:t>
      </w:r>
      <w:r w:rsidRPr="001D6FAE">
        <w:rPr>
          <w:i/>
        </w:rPr>
        <w:t>a quo</w:t>
      </w:r>
      <w:r>
        <w:t>, en el que ha sido sancionado el titular de un establecimiento que cuenta con licencia de venta de bebidas alcohólicas pero que carece de la condición de tienda de conveniencia.</w:t>
      </w:r>
    </w:p>
    <w:p w:rsidR="001D6FAE" w:rsidRDefault="001D6FAE" w:rsidP="001D6FAE">
      <w:pPr>
        <w:pStyle w:val="TextoNormal"/>
      </w:pPr>
    </w:p>
    <w:p w:rsidR="001D6FAE" w:rsidRDefault="001D6FAE" w:rsidP="001D6FAE">
      <w:pPr>
        <w:pStyle w:val="TextoNormal"/>
      </w:pPr>
      <w:r>
        <w:t>Puede concluirse, por ello, que el proceso carece de relación directa con el inciso sobre el que se proyecta la duda de constitucionalidad del órgano judicial. Dicho en otros términos: el precepto es aplicable al demandante con total independencia de la validez del inciso en cuestión. El fragmento de la norma que resulta verdaderamente cuestionado no es, pues, aplicable al proceso y, en todo caso, de la validez del mismo no depende la resolución del proceso.</w:t>
      </w:r>
    </w:p>
    <w:p w:rsidR="001D6FAE" w:rsidRDefault="001D6FAE" w:rsidP="001D6FAE">
      <w:pPr>
        <w:pStyle w:val="TextoNormal"/>
      </w:pPr>
    </w:p>
    <w:p w:rsidR="001D6FAE" w:rsidRDefault="001D6FAE" w:rsidP="001D6FAE">
      <w:pPr>
        <w:pStyle w:val="TextoNormal"/>
      </w:pPr>
      <w:r>
        <w:t xml:space="preserve">En este sentido, no es asumible la pretensión del Auto de planteamiento de que la falta de justificación de la excepción subjetiva controvertida debe llevar a que ésta extienda sus efectos sobre todos los establecimientos que cuentan con licencia de venta de bebidas alcohólicas. Y es que no pueden acogerse las razones que aporta el propio órgano judicial en su Auto, ante una excepción subjetiva que, estimándose jurídicamente fundada en razones plausibles, deba ser extendida a otros establecimientos que presenten idéntica </w:t>
      </w:r>
      <w:r w:rsidRPr="001D6FAE">
        <w:rPr>
          <w:i/>
        </w:rPr>
        <w:t>ratio</w:t>
      </w:r>
      <w:r>
        <w:t xml:space="preserve"> normativa y que hayan sido indebidamente omitidos. Al contrario, según argumenta el Auto de planteamiento, es la excepción misma a la prohibición general la que carece de toda base razonable, incluso en relación con los establecimientos que expresamente contempla. No se argumenta, pues, que haya una diferenciación justificada pero incompleta sino que se ha establecido legislativamente una diferenciación injustificada (la de establecimientos de conveniencia en relación con el resto). En esas circunstancias, la duda de constitucionalidad planteada no podría tener otra respuesta, en caso de verse estimada, que la declaración de inconstitucionalidad del inciso que establece la excepción inconstitucional, inciso que, como queda dicho, no resulta aplicable al caso enjuiciado en el proceso </w:t>
      </w:r>
      <w:r w:rsidRPr="001D6FAE">
        <w:rPr>
          <w:i/>
        </w:rPr>
        <w:t>a quo</w:t>
      </w:r>
      <w:r>
        <w:t>. En otras palabras: tal y como está planteada la duda de constitucionalidad, el efecto de su estimación nunca podría ser, como pretende el órgano judicial, vaciar de contenido una prohibición general que la propia resolución considera legítimamente establecida en el ejercicio del poder legislativo para hacer prevalecer sobre ella, en todos los casos, una excepción subjetiva que, según razona, carece de justificación.</w:t>
      </w:r>
    </w:p>
    <w:p w:rsidR="001D6FAE" w:rsidRDefault="001D6FAE" w:rsidP="001D6FAE">
      <w:pPr>
        <w:pStyle w:val="TextoNormal"/>
      </w:pPr>
    </w:p>
    <w:p w:rsidR="001D6FAE" w:rsidRDefault="001D6FAE" w:rsidP="001D6FAE">
      <w:pPr>
        <w:pStyle w:val="TextoNormal"/>
      </w:pPr>
      <w:r>
        <w:t xml:space="preserve">Es oportuno señalar aquí que en esta línea se ha pronunciado ya este Tribunal en el ATC 85/2011, de 7 de junio, resolución en la que se destacó, en relación con la controversia relativa al Real Decreto-ley 8/2010, de 20 de mayo, de reducción salarial para el personal laboral del sector público, entonces planteada, que el órgano judicial no imputaba “una lesión del principio de igualdad a la regla general prevista en el art. 1” de la citada norma, sino que la lesión del aludido principio constitucional se atribuía únicamente a una disposición adicional que establecía unas normas especiales que excluían de esa regla general al personal laboral de determinadas entidades públicas empresariales, circunstancia que para el órgano judicial suponía “un trato más beneficioso que el que se da al personal laboral del resto de entidades públicas empresariales”. En esas circunstancias, concluimos que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 En consecuencia, declaró entonces este Tribunal que “la cuestión de inconstitucionalidad resulta inadmisible en relación con la disposición adicional novena del Real Decreto-ley 8/2010, de 20 de mayo, ya que, dada su falta de aplicabilidad y relevancia, de su validez no depende la decisión del proceso </w:t>
      </w:r>
      <w:r w:rsidRPr="001D6FAE">
        <w:rPr>
          <w:i/>
        </w:rPr>
        <w:t>a quo</w:t>
      </w:r>
      <w:r>
        <w:t xml:space="preserve"> (art. 35.1 LOTC)” (FJ 5). Esa misma conclusión puede alcanzarse, por idénticas razones, en el caso presente, según ha quedado expuesto.</w:t>
      </w:r>
    </w:p>
    <w:p w:rsidR="001D6FAE" w:rsidRDefault="001D6FAE" w:rsidP="001D6FAE">
      <w:pPr>
        <w:pStyle w:val="TextoNormal"/>
      </w:pPr>
    </w:p>
    <w:p w:rsidR="001D6FAE" w:rsidRDefault="001D6FAE" w:rsidP="001D6FAE">
      <w:pPr>
        <w:pStyle w:val="TextoNormal"/>
      </w:pPr>
      <w:r w:rsidRPr="001D6FAE">
        <w:rPr>
          <w:rStyle w:val="NumeroAFNegritaCaracter"/>
        </w:rPr>
        <w:t>7</w:t>
      </w:r>
      <w:r>
        <w:t>. Lo señalado en el fundamento jurídico que precede debe conducir a la inadmisión de la presente cuestión de inconstitucionalidad, sin que, una vez constatada la falta de justificación de la aplicabilidad de la norma sobre cuya constitucionalidad se duda, nos corresponda realizar consideraciones adicionales sobre el fundamento de la inconstitucionalidad planteada, que sólo podríamos resolver a través de un examen abstracto, impropio del proceso constitucional que ahora nos ocupa.</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veintinueve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2" w:name="AUTO_2016_198"/>
      <w:r>
        <w:t>AUTO 198/2016, de 29 de noviembre de 2016</w:t>
      </w:r>
    </w:p>
    <w:bookmarkEnd w:id="172"/>
    <w:p w:rsidR="001D6FAE" w:rsidRDefault="001D6FAE" w:rsidP="001D6FAE">
      <w:pPr>
        <w:pStyle w:val="TtuloResolucin"/>
      </w:pPr>
      <w:r>
        <w:t>Pleno</w:t>
      </w:r>
    </w:p>
    <w:p w:rsidR="001D6FAE" w:rsidRDefault="001D6FAE" w:rsidP="001D6FAE">
      <w:pPr>
        <w:pStyle w:val="TextoNormalCentrado"/>
      </w:pPr>
      <w:r>
        <w:t>ECLI:ES:TC:2016:198A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4542-2016, planteada por el Juzgado de lo Mercantil núm. 2 de Alicante en relación con los artículos 695 y 698 de la Ley 1/2000, de 7 de enero, de enjuiciamiento civil.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día 5 de agosto de 2016 tuvo entrada en este Tribunal escrito del Juzgado de lo Mercantil núm. 2 de Alicante, al que se acompaña testimonio del procedimiento de ejecución hipotecaria 775-2012, dimanante del concurso de acreedores 377-2010, y el Auto de 6 de julio de 2016 por el que se acuerda plantear cuestión de inconstitucionalidad en relación con el art. 695 y subsidiariamente con el art. 698, ambos de la Ley de enjuiciamiento civil (LEC), por la posible infracción del art. 24 CE.</w:t>
      </w:r>
    </w:p>
    <w:p w:rsidR="001D6FAE" w:rsidRDefault="001D6FAE" w:rsidP="001D6FAE">
      <w:pPr>
        <w:pStyle w:val="TextoNormal"/>
      </w:pPr>
    </w:p>
    <w:p w:rsidR="001D6FAE" w:rsidRDefault="001D6FAE" w:rsidP="001D6FAE">
      <w:pPr>
        <w:pStyle w:val="TextoNormal"/>
      </w:pPr>
      <w:r w:rsidRPr="001D6FAE">
        <w:rPr>
          <w:rStyle w:val="NumeroAFNegritaCaracter"/>
        </w:rPr>
        <w:t>2</w:t>
      </w:r>
      <w:r>
        <w:t>. El planteamiento de la cuestión de inconstitucionalidad tiene origen en los siguientes antecedentes:</w:t>
      </w:r>
    </w:p>
    <w:p w:rsidR="001D6FAE" w:rsidRDefault="001D6FAE" w:rsidP="001D6FAE">
      <w:pPr>
        <w:pStyle w:val="TextoNormal"/>
      </w:pPr>
    </w:p>
    <w:p w:rsidR="001D6FAE" w:rsidRDefault="001D6FAE" w:rsidP="001D6FAE">
      <w:pPr>
        <w:pStyle w:val="TextoNormal"/>
      </w:pPr>
      <w:r>
        <w:t>a) En el concurso de acreedores núm. 377-2010 tramitado ante el Juzgado de lo Mercantil núm. 2 de Alicante fue declarado, mediante Auto de 26 de octubre de 2010, el concurso de Xeresa Golf, S.A.</w:t>
      </w:r>
    </w:p>
    <w:p w:rsidR="001D6FAE" w:rsidRDefault="001D6FAE" w:rsidP="001D6FAE">
      <w:pPr>
        <w:pStyle w:val="TextoNormal"/>
      </w:pPr>
    </w:p>
    <w:p w:rsidR="001D6FAE" w:rsidRDefault="001D6FAE" w:rsidP="001D6FAE">
      <w:pPr>
        <w:pStyle w:val="TextoNormal"/>
      </w:pPr>
      <w:r>
        <w:t>b) El 2 de noviembre de 2012, y conforme autoriza el art. 56.1 de la Ley 22/2003, de 9 de julio, concursal, en relación con los arts. 681 y ss. de la Ley 1/2000, de 7 de enero, de enjuiciamiento civil (LEC), las entidades Banco Santander, S.A., Banco Sabadell, S.A., Banco BPI, S.A., Sucursal en España e Instituto Valenciano de Finanzas (en adelante, las ejecutantes) presentaron demanda de ejecución hipotecaria frente a Xeresa Golf, S.A. (en adelante, la ejecutada), amparada en el incumplimiento por ésta última del crédito sindicado (esto es, coparticipado por varias entidades financieras), formalizado mediante la concesión de un préstamo con garantía hipotecaria por un importe nominal de hasta 91 millones de euros (91.000.000 €) y elevado a escritura pública otorgada ante Notario el 1 de agosto de 2007. En concreto, la ejecución de la garantía hipotecaria descansaba en la falta de pago por la ejecutada de las amortizaciones de capital y liquidaciones de intereses vencidas los días 30 de abril (por importe de 1.484.776,80 €), 30 de junio (importe: 1.108.211,23 €), 30 de septiembre (656.689,71 €), 30 de octubre (1.484.776,80 €) y 30 de diciembre (673.686,58 €), todos del año 2011, al haberse estipulado en el contrato que el incumplimiento del pago de cualquier vencimiento de principal o intereses constituía causa de vencimiento anticipado del mismo.</w:t>
      </w:r>
    </w:p>
    <w:p w:rsidR="001D6FAE" w:rsidRDefault="001D6FAE" w:rsidP="001D6FAE">
      <w:pPr>
        <w:pStyle w:val="TextoNormal"/>
      </w:pPr>
    </w:p>
    <w:p w:rsidR="001D6FAE" w:rsidRDefault="001D6FAE" w:rsidP="001D6FAE">
      <w:pPr>
        <w:pStyle w:val="TextoNormal"/>
      </w:pPr>
      <w:r>
        <w:t>En dicho contrato se había incluido asimismo una cláusula por la que las entidades ejecutantes mandataban a una de ellas (Banco Santander, S.A.) para que llevara a cabo todas las actuaciones necesarias para la ejecución y cumplimiento del convenio.</w:t>
      </w:r>
    </w:p>
    <w:p w:rsidR="001D6FAE" w:rsidRDefault="001D6FAE" w:rsidP="001D6FAE">
      <w:pPr>
        <w:pStyle w:val="TextoNormal"/>
      </w:pPr>
    </w:p>
    <w:p w:rsidR="001D6FAE" w:rsidRDefault="001D6FAE" w:rsidP="001D6FAE">
      <w:pPr>
        <w:pStyle w:val="TextoNormal"/>
      </w:pPr>
      <w:r>
        <w:t>c) Antes de proceder al despacho de la ejecución solicitada el Juzgado dio trámite de alegaciones a las partes. En dicho trámite, la administración concursal no se opuso a la ejecución, considerando que se cumplían los requisitos legalmente establecidos. Sin embargo, la ejecutada (Xeresa Golf, S.A.) y otras entidades (Fletamentos Marítimos, S.A., y Rústicas, S.A., terceros intervinientes cuya personación se admitió al amparo de los arts. 24.1 CE y 13.1 LEC por considerar que tenían interés legítimo en el resultado del proceso en su condición de accionistas de Xeresa Golf, S.A., y además garantes del cumplimiento de sus obligaciones derivadas del contrato cuyo incumplimiento amparaba la ejecución al haber constituido con esa finalidad un derecho real de prenda sobre sus acciones en Xeresa Golf, S.A.), alegaron que estaba pendiente de resolución un proceso declarativo instado de contrario, esto es, por la ejecutada (Xeresa Golf, S.A.) contra Banco Santander, S.A., en el que se denunciaba el incumplimiento por ésta de sus obligaciones derivadas del mismo contrato. Se trataba, en concreto, de la obligación de Banco Santander, S.A., de atender ciertos pagos ordenados por Xeresa Golf, S.A., contra la cuenta abierta en la entidad y vinculada al contrato de préstamo. Un incumplimiento que según se defendía en aquel proceso justificaba a su vez el incumplimiento por Xeresa Golf, S.A., de sus propias obligaciones, al amparo del art. 1.124 del Código civil (“condición resolutoria tácita”).</w:t>
      </w:r>
    </w:p>
    <w:p w:rsidR="001D6FAE" w:rsidRDefault="001D6FAE" w:rsidP="001D6FAE">
      <w:pPr>
        <w:pStyle w:val="TextoNormal"/>
      </w:pPr>
    </w:p>
    <w:p w:rsidR="001D6FAE" w:rsidRDefault="001D6FAE" w:rsidP="001D6FAE">
      <w:pPr>
        <w:pStyle w:val="TextoNormal"/>
      </w:pPr>
      <w:r>
        <w:t>En el momento de presentarse esas alegaciones, el citado proceso declarativo había sido resuelto ya en primera y segunda instancia en sentido favorable a Xeresa Golf, S.A. (Sentencias del Juzgado de Primera Instancia núm. 49 de Madrid de 13 de diciembre de 2010 y de la Sección Decimonovena de la Audiencia Provincial de 5 de diciembre de 2011). En concreto, la Sentencia de primera instancia: (i) declaraba que Banco Santander, S.A., había incumplido sus obligaciones derivadas del contrato y, correlativamente, que Xeresa Golf, S.A., no había incumplido las suyas; y (ii) condenaba en consecuencia a Banco Santander, S.A., a cumplir la cláusula incumplida, y por tanto a atender a los pagos ordenados por Xeresa Golf, S.A., así como a indemnizar a ésta por ciertos perjuicios que le había ocasionado el incumplimiento declarado (intereses legales de la cantidad, reintegro de las comisiones de devolución de los cheques cobradas por Banco Santander, S.A., y atender al pago de ciertas reclamaciones que había tenido que atender Xeresa Golf, S.A., como consecuencia del incumplimiento). Pero ese pronunciamiento judicial no era firme porque Banco Santander, S.A., había interpuesto contra la Sentencia de la Audiencia Provincial recurso extraordinario por infracción procesal ante el Tribunal Supremo que se encontraba pendiente de resolución en el momento de presentarse esas alegaciones.</w:t>
      </w:r>
    </w:p>
    <w:p w:rsidR="001D6FAE" w:rsidRDefault="001D6FAE" w:rsidP="001D6FAE">
      <w:pPr>
        <w:pStyle w:val="TextoNormal"/>
      </w:pPr>
    </w:p>
    <w:p w:rsidR="001D6FAE" w:rsidRDefault="001D6FAE" w:rsidP="001D6FAE">
      <w:pPr>
        <w:pStyle w:val="TextoNormal"/>
      </w:pPr>
      <w:r>
        <w:t>d) El 3 de abril de 2013 el Juzgado dictó Auto resolviendo las mencionadas alegaciones previas. En lo que a este proceso interesa, en el indicado Auto se declara expresamente que “[e]ntre las causas de suspensión de un procedimiento de ejecución hipotecaria no se encuentra la interposición de acciones de resolución u otras declarativas” (fundamento de Derecho segundo), manifestación seguida de la reproducción íntegra y literal de los arts. 695 a 698 LEC. La parte dispositiva del Auto considera procedente, por ello, el despacho de la ejecución hipotecaria instada por las mercantiles antes reseñadas.</w:t>
      </w:r>
    </w:p>
    <w:p w:rsidR="001D6FAE" w:rsidRDefault="001D6FAE" w:rsidP="001D6FAE">
      <w:pPr>
        <w:pStyle w:val="TextoNormal"/>
      </w:pPr>
    </w:p>
    <w:p w:rsidR="001D6FAE" w:rsidRDefault="001D6FAE" w:rsidP="001D6FAE">
      <w:pPr>
        <w:pStyle w:val="TextoNormal"/>
      </w:pPr>
      <w:r>
        <w:t>Por Auto separado, de 11 de junio de 2013, el Juzgado acordó despachar ejecución frente a Xeresa Golf, S.A., por un importe total de 87.824.093,72 € incluyendo principal, intereses y costas.</w:t>
      </w:r>
    </w:p>
    <w:p w:rsidR="001D6FAE" w:rsidRDefault="001D6FAE" w:rsidP="001D6FAE">
      <w:pPr>
        <w:pStyle w:val="TextoNormal"/>
      </w:pPr>
    </w:p>
    <w:p w:rsidR="001D6FAE" w:rsidRDefault="001D6FAE" w:rsidP="001D6FAE">
      <w:pPr>
        <w:pStyle w:val="TextoNormal"/>
      </w:pPr>
      <w:r>
        <w:t>e) Por escrito presentado en el Juzgado el 23 de abril de 2013, la ejecutada (Xeresa Golf, S.A.) y los terceros intervinientes (Fletamentos Marítimos, S.A., y Rústicas, S.A.) interpusieron recurso de reposición contra el Auto de 3 de abril de 2013 por el que se desestimaban sus alegaciones previas al despacho de la ejecución.</w:t>
      </w:r>
    </w:p>
    <w:p w:rsidR="001D6FAE" w:rsidRDefault="001D6FAE" w:rsidP="001D6FAE">
      <w:pPr>
        <w:pStyle w:val="TextoNormal"/>
      </w:pPr>
    </w:p>
    <w:p w:rsidR="001D6FAE" w:rsidRDefault="001D6FAE" w:rsidP="001D6FAE">
      <w:pPr>
        <w:pStyle w:val="TextoNormal"/>
      </w:pPr>
      <w:r>
        <w:t>Además, por escrito de 27 de junio de 2013, la ejecutada (Xeresa Golf, S.A.) presentó oposición a la ejecución despachada por Auto de 11 de junio de 2013, en la que alegaba, por lo que a este proceso interesa, que la Sentencia del Juzgado de Primera Instancia núm. 49 de Madrid que declaraba el incumplimiento del contrato por las ejecutantes y la ausencia de incumplimiento por la ejecutada había ganado firmeza por haber sido inadmitido el recurso extraordinario por infracción procesal interpuesto y pendiente de resolución, mediante Auto de la Sala Primera del Tribunal Supremo de 23 de abril de 2013.</w:t>
      </w:r>
    </w:p>
    <w:p w:rsidR="001D6FAE" w:rsidRDefault="001D6FAE" w:rsidP="001D6FAE">
      <w:pPr>
        <w:pStyle w:val="TextoNormal"/>
      </w:pPr>
    </w:p>
    <w:p w:rsidR="001D6FAE" w:rsidRDefault="001D6FAE" w:rsidP="001D6FAE">
      <w:pPr>
        <w:pStyle w:val="TextoNormal"/>
      </w:pPr>
      <w:r>
        <w:t>f) Por Auto de 10 de julio de 2013, confirmado por nuevo Auto de 19 de septiembre, se admitió la personación de Impesca, S.A., Monduber, S.A., y Azahar, S.A., en su condición de accionistas de la ejecutada y también garantes del cumplimiento de sus obligaciones derivadas del contrato cuyo incumplimiento ampara la ejecución, como las ya citadas Fletamentos Marítimos, S.A., y Rústica, S.A.</w:t>
      </w:r>
    </w:p>
    <w:p w:rsidR="001D6FAE" w:rsidRDefault="001D6FAE" w:rsidP="001D6FAE">
      <w:pPr>
        <w:pStyle w:val="TextoNormal"/>
      </w:pPr>
    </w:p>
    <w:p w:rsidR="001D6FAE" w:rsidRDefault="001D6FAE" w:rsidP="001D6FAE">
      <w:pPr>
        <w:pStyle w:val="TextoNormal"/>
      </w:pPr>
      <w:r>
        <w:t>g) Celebrada la comparecencia de oposición a la ejecución del art. 695.2 LEC, el Juzgado dictó providencia de 19 de noviembre de 2013 dando audiencia a todas las partes comparecidas para que formulasen alegaciones sobre la posible inconstitucionalidad de los arts. 695 y 698 LEC por vulneración del art. 24 CE.</w:t>
      </w:r>
    </w:p>
    <w:p w:rsidR="001D6FAE" w:rsidRDefault="001D6FAE" w:rsidP="001D6FAE">
      <w:pPr>
        <w:pStyle w:val="TextoNormal"/>
      </w:pPr>
    </w:p>
    <w:p w:rsidR="001D6FAE" w:rsidRDefault="001D6FAE" w:rsidP="001D6FAE">
      <w:pPr>
        <w:pStyle w:val="TextoNormal"/>
      </w:pPr>
      <w:r>
        <w:t>La providencia explica de este modo sus dudas de constitucionalidad:</w:t>
      </w:r>
    </w:p>
    <w:p w:rsidR="001D6FAE" w:rsidRDefault="001D6FAE" w:rsidP="001D6FAE">
      <w:pPr>
        <w:pStyle w:val="TextoNormal"/>
      </w:pPr>
    </w:p>
    <w:p w:rsidR="001D6FAE" w:rsidRDefault="001D6FAE" w:rsidP="001D6FAE">
      <w:pPr>
        <w:pStyle w:val="TextoNormal"/>
      </w:pPr>
      <w:r>
        <w:t xml:space="preserve">“Este juzgado tiene dudas sobre la constitucionalidad del artículo 695 LEC ya que aunque pudiera derivarse del 551 y 552 de la LEC, aplicables por expresa previsión del 681 del mismo texto, que el Juez tiene la potestad de valorar </w:t>
      </w:r>
      <w:r w:rsidRPr="001D6FAE">
        <w:rPr>
          <w:i/>
        </w:rPr>
        <w:t>ab initio</w:t>
      </w:r>
      <w:r>
        <w:t xml:space="preserve"> la corrección del título (entendido, como acertadamente ha manifestado el letrado de [los terceros intervinientes] no sólo como el documento, sino como los hechos surgidos en la relación contra contractual que han dado lugar a que se produjera la resolución anticipada, </w:t>
      </w:r>
      <w:r w:rsidRPr="001D6FAE">
        <w:rPr>
          <w:i/>
        </w:rPr>
        <w:t>condictio sine qua non</w:t>
      </w:r>
      <w:r>
        <w:t xml:space="preserve"> para la ejecución hipotecaria pretendida), sin embargo no permite hacerlo con posterioridad en el seno del propio procedimiento de ejecución hipotecaria, ni de oficio ni a instancia de parte, como declara el 698 LEC, ni siquiera en supuestos tales en que habría de permitirse como el presente en que se ha producido con posterioridad al despacho de la ejecución un hecho nuevo determinante” como es “la firmeza de una sentencia”, que podría dar lugar a que “en el seno del presente [procedimiento de ejecución hipotecaria] por imperativo del art. 222 de la LEC hubiera de apreciarse que efectivamente en el momento que se produjo la resolución anticipada por impago no existía tal impago sino que el saldo derivado del conjunto de la relación jurídica era favorable a la ejecutada.”</w:t>
      </w:r>
    </w:p>
    <w:p w:rsidR="001D6FAE" w:rsidRDefault="001D6FAE" w:rsidP="001D6FAE">
      <w:pPr>
        <w:pStyle w:val="TextoNormal"/>
      </w:pPr>
    </w:p>
    <w:p w:rsidR="001D6FAE" w:rsidRDefault="001D6FAE" w:rsidP="001D6FAE">
      <w:pPr>
        <w:pStyle w:val="TextoNormal"/>
      </w:pPr>
      <w:r>
        <w:t>Continúa la providencia explicando que las dudas sobre la constitucionalidad de los preceptos cuestionados “se sustentan no sólo en el hecho de que imposibilite que después de producido el despacho de ejecución pueda plantearse por una parte o apreciarse de oficio por el juzgador la falta de concurrencia de los requisitos necesarios para que se proceda al propio despacho de la ejecución, cuando dicha alegación se sustente en hechos nuevos, sino que además se imposibilita cuando esos hechos nuevos son resoluciones judiciales, que ha de recordarse que en el caso del proceso declarativo pueden incluso aportarse cuando los autos quedan vistos para sentencia, sobre la premisa de que su aportación en cualquier momento no genera indefensión (271.2 LEC). En el presente caso la resolución es el Auto del Tribunal Supremo de 23 abril 2013 y la misma, al inadmitir a trámite el recurso extraordinario por infracción procesal, declaraba la firmeza de la resolución judicial, lo que debiendo considerarse un pronunciamiento vinculante por aplicación del 222.4 de la LEC, a juicio de este juzgador, determina que sobrevenidamente deba darse por probado que no existió incumplimiento por parte del ejecutado y por tanto la resolución anticipada que conforma que integra el título estaba indebidamente realizada”.</w:t>
      </w:r>
    </w:p>
    <w:p w:rsidR="001D6FAE" w:rsidRDefault="001D6FAE" w:rsidP="001D6FAE">
      <w:pPr>
        <w:pStyle w:val="TextoNormal"/>
      </w:pPr>
    </w:p>
    <w:p w:rsidR="001D6FAE" w:rsidRDefault="001D6FAE" w:rsidP="001D6FAE">
      <w:pPr>
        <w:pStyle w:val="TextoNormal"/>
      </w:pPr>
      <w:r>
        <w:t>A juicio del juzgado “impedir que el acaecimiento de hechos nuevos que pudieran afectar a la propia concurrencia de los requisitos para el despacho de la ejecución puedan ser alegados y tomados en consideración una vez que se ha producido tal despacho pudiera vulnerar lo dispuesto en el artículo 24 de la CE porque no se encuentra suficientemente justificada dicha prohibición sólo en el respeto a los principios” de protección del acreedor y celeridad la posible inconstitucionalidad.</w:t>
      </w:r>
    </w:p>
    <w:p w:rsidR="001D6FAE" w:rsidRDefault="001D6FAE" w:rsidP="001D6FAE">
      <w:pPr>
        <w:pStyle w:val="TextoNormal"/>
      </w:pPr>
    </w:p>
    <w:p w:rsidR="001D6FAE" w:rsidRDefault="001D6FAE" w:rsidP="001D6FAE">
      <w:pPr>
        <w:pStyle w:val="TextoNormal"/>
      </w:pPr>
      <w:r>
        <w:t>“La posible inconstitucionalidad del citado artículo” —continúa la providencia— “hay que ponerla en relación con el artículo 698 LEC, que debe estimarse la cuestión, habría de excluir la referencia a la validez del título como alegación que ha de tramitarse en declarativo aparte, por lo que la inconstitucionalidad de uno implicaría, entiendo, la del otro.”</w:t>
      </w:r>
    </w:p>
    <w:p w:rsidR="001D6FAE" w:rsidRDefault="001D6FAE" w:rsidP="001D6FAE">
      <w:pPr>
        <w:pStyle w:val="TextoNormal"/>
      </w:pPr>
    </w:p>
    <w:p w:rsidR="001D6FAE" w:rsidRDefault="001D6FAE" w:rsidP="001D6FAE">
      <w:pPr>
        <w:pStyle w:val="TextoNormal"/>
      </w:pPr>
      <w:r>
        <w:t xml:space="preserve">“Para apreciar la misma, hay que poner el 695 de la LEC en relación con lo que continúa estipulando en sus apartados 1 </w:t>
      </w:r>
      <w:r w:rsidRPr="001D6FAE">
        <w:rPr>
          <w:i/>
        </w:rPr>
        <w:t>in fine</w:t>
      </w:r>
      <w:r>
        <w:t xml:space="preserve"> y 2 y 3 el citado 698 que sólo permite la adopción de medidas para la retención de las cantidades derivadas de la liquidación, ya que pudiera valorarse que no es instrumento suficiente para salvaguardar los derechos de los ejecutados que, en todo caso, se ven obligados a soportar la ejecución que determinará una transmisión inatacable de tercero y, por tanto, unos daños que pueden, como en el presente caso, resultar manifiestamente irreparables toda vez que se trata del derecho de superficie de un complejo hotelero, con un importante número de trabajadores, amén del activo principal y afecto al fin social de una empresa con convenio único, que habría de abocarse a la liquidación.”</w:t>
      </w:r>
    </w:p>
    <w:p w:rsidR="001D6FAE" w:rsidRDefault="001D6FAE" w:rsidP="001D6FAE">
      <w:pPr>
        <w:pStyle w:val="TextoNormal"/>
      </w:pPr>
    </w:p>
    <w:p w:rsidR="001D6FAE" w:rsidRDefault="001D6FAE" w:rsidP="001D6FAE">
      <w:pPr>
        <w:pStyle w:val="TextoNormal"/>
      </w:pPr>
      <w:r>
        <w:t>En suma, según la providencia, ni los artículos que regulan las causas (tasadas) de oposición a la ejecución (arts. 695 y 698 LEC), ni el art. 222 LEC (cosa juzgada) permiten enervar la ejecución ya despachada a pesar de la ausencia de incumplimiento declarada por el Juzgado de Primera Instancia en el proceso declarativo correspondiente.</w:t>
      </w:r>
    </w:p>
    <w:p w:rsidR="001D6FAE" w:rsidRDefault="001D6FAE" w:rsidP="001D6FAE">
      <w:pPr>
        <w:pStyle w:val="TextoNormal"/>
      </w:pPr>
    </w:p>
    <w:p w:rsidR="001D6FAE" w:rsidRDefault="001D6FAE" w:rsidP="001D6FAE">
      <w:pPr>
        <w:pStyle w:val="TextoNormal"/>
      </w:pPr>
      <w:r>
        <w:t xml:space="preserve">h) La ejecutada presentó alegaciones solicitando una interpretación del art. 695 LEC </w:t>
      </w:r>
      <w:r w:rsidRPr="001D6FAE">
        <w:rPr>
          <w:i/>
        </w:rPr>
        <w:t>secundum constitutionem</w:t>
      </w:r>
      <w:r>
        <w:t xml:space="preserve"> que permita al Juzgado inadmitir la demanda ejecutiva al resolver el recurso de reposición interpuesto frente al Auto de 3 de abril de 2013 en el que se desestiman las alegaciones previas presentadas por las partes con carácter previo al despacho de la ejecución, aún pendiente de resolución; y, subsidiariamente, el planteamiento de la cuestión de inconstitucionalidad por incompatibilidad de esos arts. 695 y 698 LEC con el art. 24 CE.</w:t>
      </w:r>
    </w:p>
    <w:p w:rsidR="001D6FAE" w:rsidRDefault="001D6FAE" w:rsidP="001D6FAE">
      <w:pPr>
        <w:pStyle w:val="TextoNormal"/>
      </w:pPr>
    </w:p>
    <w:p w:rsidR="001D6FAE" w:rsidRDefault="001D6FAE" w:rsidP="001D6FAE">
      <w:pPr>
        <w:pStyle w:val="TextoNormal"/>
      </w:pPr>
      <w:r>
        <w:t>Las ejecutantes se opusieron al planteamiento de la cuestión por considerarla “notoriamente infundada” a la luz de la jurisprudencia de este Tribunal Constitucional sobre la naturaleza y efectos del proceso de ejecución hipotecaria (citan las SSTC 41/1981, 217/1993, 269/1993, 158/1997 y 223/1997).</w:t>
      </w:r>
    </w:p>
    <w:p w:rsidR="001D6FAE" w:rsidRDefault="001D6FAE" w:rsidP="001D6FAE">
      <w:pPr>
        <w:pStyle w:val="TextoNormal"/>
      </w:pPr>
    </w:p>
    <w:p w:rsidR="001D6FAE" w:rsidRDefault="001D6FAE" w:rsidP="001D6FAE">
      <w:pPr>
        <w:pStyle w:val="TextoNormal"/>
      </w:pPr>
      <w:r>
        <w:t>Los terceros intervinientes se pronunciaron en términos análogos a la ejecutada, solicitando una interpretación conforme con la Constitución Española del artículo 695 y, subsidiariamente, el planteamiento de la cuestión de inconstitucionalidad.</w:t>
      </w:r>
    </w:p>
    <w:p w:rsidR="001D6FAE" w:rsidRDefault="001D6FAE" w:rsidP="001D6FAE">
      <w:pPr>
        <w:pStyle w:val="TextoNormal"/>
      </w:pPr>
    </w:p>
    <w:p w:rsidR="001D6FAE" w:rsidRDefault="001D6FAE" w:rsidP="001D6FAE">
      <w:pPr>
        <w:pStyle w:val="TextoNormal"/>
      </w:pPr>
      <w:r>
        <w:t>Y el Fiscal presentó escrito considerando que se daban las condiciones procesales para el planteamiento de la cuestión.</w:t>
      </w:r>
    </w:p>
    <w:p w:rsidR="001D6FAE" w:rsidRDefault="001D6FAE" w:rsidP="001D6FAE">
      <w:pPr>
        <w:pStyle w:val="TextoNormal"/>
      </w:pPr>
    </w:p>
    <w:p w:rsidR="001D6FAE" w:rsidRDefault="001D6FAE" w:rsidP="001D6FAE">
      <w:pPr>
        <w:pStyle w:val="TextoNormal"/>
      </w:pPr>
      <w:r>
        <w:t>i) Previa suspensión del procedimiento por acuerdo de todas las partes comparecidas (art. 19.4 LEC), y al no haberse alcanzado un acuerdo entre ellas según se puso en conocimiento del Juzgado, éste, por sendos Autos de 6 de julio de 2016 acordó (i) desestimar el recurso de reposición contra el Auto de 3 de abril de 2013; y (ii) plantear la cuestión de inconstitucionalidad en relación con los arts. 695 y 698 LEC, por posible infracción del art. 24 CE.</w:t>
      </w:r>
    </w:p>
    <w:p w:rsidR="001D6FAE" w:rsidRDefault="001D6FAE" w:rsidP="001D6FAE">
      <w:pPr>
        <w:pStyle w:val="TextoNormal"/>
      </w:pPr>
    </w:p>
    <w:p w:rsidR="001D6FAE" w:rsidRDefault="001D6FAE" w:rsidP="001D6FAE">
      <w:pPr>
        <w:pStyle w:val="TextoNormal"/>
      </w:pPr>
      <w:r w:rsidRPr="001D6FAE">
        <w:rPr>
          <w:rStyle w:val="NumeroAFNegritaCaracter"/>
        </w:rPr>
        <w:t>3</w:t>
      </w:r>
      <w:r>
        <w:t>. El Auto de planteamiento, después de transcribir íntegramente la providencia que abrió el trámite de audiencia del art. 35.2 LOTC, concreta su duda de constitucionalidad en los siguientes términos:</w:t>
      </w:r>
    </w:p>
    <w:p w:rsidR="001D6FAE" w:rsidRDefault="001D6FAE" w:rsidP="001D6FAE">
      <w:pPr>
        <w:pStyle w:val="TextoNormal"/>
      </w:pPr>
    </w:p>
    <w:p w:rsidR="001D6FAE" w:rsidRDefault="001D6FAE" w:rsidP="001D6FAE">
      <w:pPr>
        <w:pStyle w:val="TextoNormal"/>
      </w:pPr>
      <w:r>
        <w:t>Primero, señala que “[l]a inconstitucionalidad del art. 695 LEC puede venir referida más que al hecho de no permitir la valoración de hechos nuevos, a la circunstancia de que no prevé una causa o motivo de oposición sobre la propia existencia del incumplimiento, y por tanto de la corrección de la resolución anticipada, únicamente en los préstamos con garantía hipotecaria que se insertan en operaciones de financiación de las que se derivan obligaciones bilaterales, en los préstamos promotores con los que, en ejercicio de la autonomía de la voluntad, las partes hayan decidido configurar el empréstito como bilateral y consensual”.</w:t>
      </w:r>
    </w:p>
    <w:p w:rsidR="001D6FAE" w:rsidRDefault="001D6FAE" w:rsidP="001D6FAE">
      <w:pPr>
        <w:pStyle w:val="TextoNormal"/>
      </w:pPr>
    </w:p>
    <w:p w:rsidR="001D6FAE" w:rsidRDefault="001D6FAE" w:rsidP="001D6FAE">
      <w:pPr>
        <w:pStyle w:val="TextoNormal"/>
      </w:pPr>
      <w:r>
        <w:t>Y después matiza que “[l]a constitucionalidad del art. 695 LEC no implicaría necesariamente la del art. 698 LEC ya que si se admitiera como motivo de oposición la inexistencia de incumplimiento que autoriza la resolución anticipada en los supuestos especificados, quedarían suficientemente garantizados los derechos de los deudores hipotecarios. Sólo ha de cuestionarse su constitucionalidad de forma subsidiaria”.</w:t>
      </w:r>
    </w:p>
    <w:p w:rsidR="001D6FAE" w:rsidRDefault="001D6FAE" w:rsidP="001D6FAE">
      <w:pPr>
        <w:pStyle w:val="TextoNormal"/>
      </w:pPr>
    </w:p>
    <w:p w:rsidR="001D6FAE" w:rsidRDefault="001D6FAE" w:rsidP="001D6FAE">
      <w:pPr>
        <w:pStyle w:val="TextoNormal"/>
      </w:pPr>
      <w:r>
        <w:t>A continuación el Auto explica también que la reciente STC 39/2015, de 2 de marzo, no permite resolver tampoco la controversia sin plantear cuestión de inconstitucionalidad, pues si en esa STC 39/2015 se apreció vulneración del art. 24.1 CE por haberse negado el órgano judicial a examinar una excepción procesal basada en una causa legal de oposición, la del art. 682.2.1 LEC (corrección del título por no incluir la escritura de constitución de la hipoteca el precio en que las partes tasan el bien para servir de tipo de subasta), en el presente la excepción que se formula por la ejecutada no está prevista legalmente, siendo esto lo que se reputa contrario al art. 24 CE.</w:t>
      </w:r>
    </w:p>
    <w:p w:rsidR="001D6FAE" w:rsidRDefault="001D6FAE" w:rsidP="001D6FAE">
      <w:pPr>
        <w:pStyle w:val="TextoNormal"/>
      </w:pPr>
    </w:p>
    <w:p w:rsidR="001D6FAE" w:rsidRDefault="001D6FAE" w:rsidP="001D6FAE">
      <w:pPr>
        <w:pStyle w:val="TextoNormal"/>
      </w:pPr>
      <w:r>
        <w:t>Sostiene el órgano judicial que la relevancia que el legislador otorga a las liquidaciones de deuda que deben acompañar a las demandas de ejecución “parte de la presunción de que obedecen a meras operaciones aritméticas, y que por tanto, por su propia naturaleza, nunca podrían abordar cuestiones jurídicas complejas” como las planteadas en este caso. En suma, lo que se cuestiona es que el sistema legal de las ejecuciones hipotecarias no permita al juzgador examinar si ha existido verdaderamente el incumplimiento que determina el vencimiento anticipado del contrato.</w:t>
      </w:r>
    </w:p>
    <w:p w:rsidR="001D6FAE" w:rsidRDefault="001D6FAE" w:rsidP="001D6FAE">
      <w:pPr>
        <w:pStyle w:val="TextoNormal"/>
      </w:pPr>
    </w:p>
    <w:p w:rsidR="001D6FAE" w:rsidRDefault="001D6FAE" w:rsidP="001D6FAE">
      <w:pPr>
        <w:pStyle w:val="TextoNormal"/>
      </w:pPr>
      <w:r>
        <w:t>El Auto también explica que no encuentra posible hacer una interpretación conforme del art. 695 LEC, pues no le parece que pueda reconducirse el supuesto que se le plantea a la causa de oposición prevista en el artículo 695.1.2, que, según el Auto, “parece restringirse a supuestos de error”.</w:t>
      </w:r>
    </w:p>
    <w:p w:rsidR="001D6FAE" w:rsidRDefault="001D6FAE" w:rsidP="001D6FAE">
      <w:pPr>
        <w:pStyle w:val="TextoNormal"/>
      </w:pPr>
    </w:p>
    <w:p w:rsidR="001D6FAE" w:rsidRDefault="001D6FAE" w:rsidP="001D6FAE">
      <w:pPr>
        <w:pStyle w:val="TextoNormal"/>
      </w:pPr>
      <w:r>
        <w:t>Finalmente, expone que solo “subsidiariamente” se plantea la duda de constitucionalidad del art. 698 LEC, para el caso de que de que se declare conforme con la Constitución Española el art. 695 LEC “en la medida en que no se prevén medidas de aseguramiento que permitan la paralización del procedimiento antes de la adjudicación en los supuestos de préstamos con obligaciones bilaterales, a los efectos de evitar que la transmisión del bien pudiere devenir inatacable por aplicación del artículo 34 de la LH y, por tanto, ser en parte irreparables in natura los daños y perjuicios causados”.</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4 de octubre de 2016, la Sección Cuarta del Tribunal Constitucional acordó oír al Fiscal General del Estado para que, en el plazo de diez días, y a los efectos que determina el art. 37.1 LOTC, alegase lo que considerase conveniente “en relación con el cumplimiento de los requisitos procesales (art. 35.2 LOTC) y por si [la cuestión de inconstitucionalidad] fuese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El Fiscal General del Estado evacuó el trámite conferido mediante escrito registrado el 27 de octubre de 2016, en el que interesa la inadmisión de la cuestión de inconstitucionalidad “tanto por el incumplimiento de los requisitos procesales exigidos para su planteamiento como por ser notoriamente infundada”.</w:t>
      </w:r>
    </w:p>
    <w:p w:rsidR="001D6FAE" w:rsidRDefault="001D6FAE" w:rsidP="001D6FAE">
      <w:pPr>
        <w:pStyle w:val="TextoNormal"/>
      </w:pPr>
    </w:p>
    <w:p w:rsidR="001D6FAE" w:rsidRDefault="001D6FAE" w:rsidP="001D6FAE">
      <w:pPr>
        <w:pStyle w:val="TextoNormal"/>
      </w:pPr>
      <w:r>
        <w:t xml:space="preserve">a) En cuanto a los requisitos procesales de la cuestión de inconstitucionalidad, la Fiscal General del Estado llama la atención sobre dos defectos en su tramitación. En primer lugar considera defectuosamente formulado el juicio de aplicabilidad, por no haberse pronunciado el Juzgado sobre la aplicabilidad de los arts. 43 y 56 de la Ley concursal, invocados por la parte ejecutada en el proceso </w:t>
      </w:r>
      <w:r w:rsidRPr="001D6FAE">
        <w:rPr>
          <w:i/>
        </w:rPr>
        <w:t>a quo</w:t>
      </w:r>
      <w:r>
        <w:t xml:space="preserve"> y hubieran permitido algún tipo de cognición sobre la relación subyacente que habría permitido resolver sobre la inadmisibilidad de la demanda ejecutiva. En segundo lugar, considera igualmente defectuoso el juicio de relevancia, pues en el momento de plantear cuestión la constitucionalidad en relación con los arts. 695 y 698 LEC el Juzgado ya había hecho aplicación de los mismos, en los Autos de 3 de abril de 2013 y 6 de julio de 2016, desestimatorio del recurso de reposición deducido contra el primero.</w:t>
      </w:r>
    </w:p>
    <w:p w:rsidR="001D6FAE" w:rsidRDefault="001D6FAE" w:rsidP="001D6FAE">
      <w:pPr>
        <w:pStyle w:val="TextoNormal"/>
      </w:pPr>
    </w:p>
    <w:p w:rsidR="001D6FAE" w:rsidRDefault="001D6FAE" w:rsidP="001D6FAE">
      <w:pPr>
        <w:pStyle w:val="TextoNormal"/>
      </w:pPr>
      <w:r>
        <w:t>b) En cuanto a la consistencia de la duda de constitucionalidad, considera que el hecho de que el Tribunal haya despejado ya la constitucionalidad del sistema de cognición limitada de los procesos judiciales de ejecución hipotecaria, singularmente en el ATC 113/2011, de 19 de julio, permite inadmitir la cuestión de inconstitucionalidad por notoriamente infundada, respecto al art. 695 LEC.</w:t>
      </w:r>
    </w:p>
    <w:p w:rsidR="001D6FAE" w:rsidRDefault="001D6FAE" w:rsidP="001D6FAE">
      <w:pPr>
        <w:pStyle w:val="TextoNormal"/>
      </w:pPr>
    </w:p>
    <w:p w:rsidR="001D6FAE" w:rsidRDefault="001D6FAE" w:rsidP="001D6FAE">
      <w:pPr>
        <w:pStyle w:val="TextoNormal"/>
      </w:pPr>
      <w:r>
        <w:t>Y respecto al art. 698 LEC, considera igualmente notoriamente infundada la duda de constitucionalidad planteada en cuanto que el precepto regula expresamente un medio de protección para evitar perjuicios económicos, como es la retención de la cantidad que deba entregarse al acreedor, y además porque en ese proceso declarativo el actor está legitimado para instar las demás medidas previstas en el ordenamiento para garantizar la efectividad del derecho que pretende ejercer.</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Juzgado de lo Mercantil núm. 2 de Alicante plantea cuestión de inconstitucionalidad en relación con el art. 695 y, subsidiariamente, con el art. 698, ambos de de la Ley de enjuiciamiento civil (LEC), por posible vulneración del art. 24 CE.</w:t>
      </w:r>
    </w:p>
    <w:p w:rsidR="001D6FAE" w:rsidRDefault="001D6FAE" w:rsidP="001D6FAE">
      <w:pPr>
        <w:pStyle w:val="TextoNormal"/>
      </w:pPr>
    </w:p>
    <w:p w:rsidR="001D6FAE" w:rsidRDefault="001D6FAE" w:rsidP="001D6FAE">
      <w:pPr>
        <w:pStyle w:val="TextoNormal"/>
      </w:pPr>
      <w:r>
        <w:t>El art. 695 LEC es el que enumera las causas tasadas de oposición que se admiten en el proceso de ejecución hipotecaria (y entre las que no se encuentra una que debería permitirse a juicio del órgano promotor de la cuestión), y el artículo 698 es el que remite cualquier otra reclamación distinta de las anteriores, “incluso las que versen sobre nulidad del título o sobre el vencimiento, certeza, extinción o cuantía de la deuda” al juicio declarativo que corresponda “sin producir nunca el efecto de suspender ni entorpecer el procedimiento” de ejecución hipotecaria.</w:t>
      </w:r>
    </w:p>
    <w:p w:rsidR="001D6FAE" w:rsidRDefault="001D6FAE" w:rsidP="001D6FAE">
      <w:pPr>
        <w:pStyle w:val="TextoNormal"/>
      </w:pPr>
    </w:p>
    <w:p w:rsidR="001D6FAE" w:rsidRDefault="001D6FAE" w:rsidP="001D6FAE">
      <w:pPr>
        <w:pStyle w:val="TextoNormal"/>
      </w:pPr>
      <w:r>
        <w:t xml:space="preserve">El órgano promotor de la cuestión considera, en cuanto al primero, que al no incluirse en el listado tasado de causas de oposición una que permita entrar a conocer “sobre la propia existencia del incumplimiento, y por tanto de la corrección de la resolución anticipada” del contrato con garantía hipotecaria que justifica la demanda ejecutiva, ello pudiera ser contrario al derecho a la tutela judicial efectiva en un caso como el del proceso </w:t>
      </w:r>
      <w:r w:rsidRPr="001D6FAE">
        <w:rPr>
          <w:i/>
        </w:rPr>
        <w:t>a quo</w:t>
      </w:r>
      <w:r>
        <w:t>, en el que por Sentencia dictada en otro proceso, y cuya firmeza se produjo despachada ya la ejecución, se ha declarado que la entidad ejecutante ha incumplido sus obligaciones derivadas de ese mismo contrato.</w:t>
      </w:r>
    </w:p>
    <w:p w:rsidR="001D6FAE" w:rsidRDefault="001D6FAE" w:rsidP="001D6FAE">
      <w:pPr>
        <w:pStyle w:val="TextoNormal"/>
      </w:pPr>
    </w:p>
    <w:p w:rsidR="001D6FAE" w:rsidRDefault="001D6FAE" w:rsidP="001D6FAE">
      <w:pPr>
        <w:pStyle w:val="TextoNormal"/>
      </w:pPr>
      <w:r>
        <w:t>Y en cuanto al segundo, le parece igualmente insuficiente el contenido del precepto en cuanto no regula expresamente medidas que puedan adoptarse en ese otro proceso declarativo a fin de impedir la transmisión a terceros del bien hipotecado y subastado en el procedimiento de ejecución hipotecaria, poniéndolo así a salvo de eventuales titularidades inatacables por efecto del art. 34 de la Ley hipotecaria.</w:t>
      </w:r>
    </w:p>
    <w:p w:rsidR="001D6FAE" w:rsidRDefault="001D6FAE" w:rsidP="001D6FAE">
      <w:pPr>
        <w:pStyle w:val="TextoNormal"/>
      </w:pPr>
    </w:p>
    <w:p w:rsidR="001D6FAE" w:rsidRDefault="001D6FAE" w:rsidP="001D6FAE">
      <w:pPr>
        <w:pStyle w:val="TextoNormal"/>
      </w:pPr>
      <w:r w:rsidRPr="001D6FAE">
        <w:rPr>
          <w:rStyle w:val="NumeroAFNegritaCaracter"/>
        </w:rPr>
        <w:t>2</w:t>
      </w:r>
      <w:r>
        <w:t>.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1D6FAE" w:rsidRDefault="001D6FAE" w:rsidP="001D6FAE">
      <w:pPr>
        <w:pStyle w:val="TextoNormal"/>
      </w:pPr>
    </w:p>
    <w:p w:rsidR="001D6FAE" w:rsidRDefault="001D6FAE" w:rsidP="001D6FAE">
      <w:pPr>
        <w:pStyle w:val="TextoNormal"/>
      </w:pPr>
      <w:r>
        <w:t>Como a continuación se expone, en el presente caso faltan dos de las “condiciones procesales” exigidas por la doctrina de este Tribunal para admitir y tramitar una cuestión de inconstitucionalidad.</w:t>
      </w:r>
    </w:p>
    <w:p w:rsidR="001D6FAE" w:rsidRDefault="001D6FAE" w:rsidP="001D6FAE">
      <w:pPr>
        <w:pStyle w:val="TextoNormal"/>
      </w:pPr>
    </w:p>
    <w:p w:rsidR="001D6FAE" w:rsidRDefault="001D6FAE" w:rsidP="001D6FAE">
      <w:pPr>
        <w:pStyle w:val="TextoNormal"/>
      </w:pPr>
      <w:r w:rsidRPr="001D6FAE">
        <w:rPr>
          <w:rStyle w:val="NumeroAFNegritaCaracter"/>
        </w:rPr>
        <w:t>3</w:t>
      </w:r>
      <w:r>
        <w:t>. En primer lugar, la cuestión de inconstitucionalidad no se ha planteado en el momento procesal oportuno, esto es, antes de aplicar el órgano promotor los preceptos cuya constitucionalidad cuestiona, habiendo declarado este Tribunal que cuando no se respeta esta exigencia pierde sentido este singular proceso constitucional dirigido a verificar la compatibilidad de normas legales con la Constitución con carácter prejudicial, esto es, antes de proceder a su aplicación en un caso concreto (así, entre los más recientes, AATC 42/2016, de 16 de febrero, FJ 4; 76/2015, de 28 de abril, FJ 3, y 206/2014, de 22 de julio, FJ 3).</w:t>
      </w:r>
    </w:p>
    <w:p w:rsidR="001D6FAE" w:rsidRDefault="001D6FAE" w:rsidP="001D6FAE">
      <w:pPr>
        <w:pStyle w:val="TextoNormal"/>
      </w:pPr>
    </w:p>
    <w:p w:rsidR="001D6FAE" w:rsidRDefault="001D6FAE" w:rsidP="001D6FAE">
      <w:pPr>
        <w:pStyle w:val="TextoNormal"/>
      </w:pPr>
      <w:r>
        <w:t>Es efectivamente doctrina reiterada de este Tribunal que “la cuestión de inconstitucionalidad presenta en nuestro ordenamiento jurídico carácter prejudicial, de modo que, como ya afirmáramos en los AATC 361/2004, de 21 de septiembre, FJ 4; y 134/2006, de 4 de abril, FJ 2,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(AATC 220/2012, de 27 de noviembre, FJ 3, y 184/2009, de 15 de junio, FJ 2).</w:t>
      </w:r>
    </w:p>
    <w:p w:rsidR="001D6FAE" w:rsidRDefault="001D6FAE" w:rsidP="001D6FAE">
      <w:pPr>
        <w:pStyle w:val="TextoNormal"/>
      </w:pPr>
    </w:p>
    <w:p w:rsidR="001D6FAE" w:rsidRDefault="001D6FAE" w:rsidP="001D6FAE">
      <w:pPr>
        <w:pStyle w:val="TextoNormal"/>
      </w:pPr>
      <w:r>
        <w:t>De acuerdo con esta doctrina, la presente cuestión de inconstitucionalidad debe considerarse extemporánea.</w:t>
      </w:r>
    </w:p>
    <w:p w:rsidR="001D6FAE" w:rsidRDefault="001D6FAE" w:rsidP="001D6FAE">
      <w:pPr>
        <w:pStyle w:val="TextoNormal"/>
      </w:pPr>
    </w:p>
    <w:p w:rsidR="001D6FAE" w:rsidRDefault="001D6FAE" w:rsidP="001D6FAE">
      <w:pPr>
        <w:pStyle w:val="TextoNormal"/>
      </w:pPr>
      <w:r>
        <w:t>Tal y como ha quedado reflejado en los antecedentes, el órgano judicial, antes de plantear la cuestión de inconstitucionalidad, había aplicado ya el mismo régimen procesal de oposición limitada a las demandas de ejecución hipotecaria cuya constitucionalidad ahora se cuestiona, al menos en tres ocasiones: al resolver (y desestimar) las alegaciones previas de la ejecutada y los terceros intervinientes contrarias al despacho de la ejecución (Auto de 3 de abril de 2013), al despachar ejecución en contra de lo peticionado por aquéllas (Auto de 11 de junio de 2013) y al desestimar el recurso de reposición interpuesto frente al primer Auto citado (nuevo Auto de 6 de julio de 2016).</w:t>
      </w:r>
    </w:p>
    <w:p w:rsidR="001D6FAE" w:rsidRDefault="001D6FAE" w:rsidP="001D6FAE">
      <w:pPr>
        <w:pStyle w:val="TextoNormal"/>
      </w:pPr>
    </w:p>
    <w:p w:rsidR="001D6FAE" w:rsidRDefault="001D6FAE" w:rsidP="001D6FAE">
      <w:pPr>
        <w:pStyle w:val="TextoNormal"/>
      </w:pPr>
      <w:r>
        <w:t>Singularmente, en el trámite de alegaciones abierto por el Juzgado antes de resolver sobre el despacho de la ejecución, la entidad frente a la que se pedía el despacho de ejecución había solicitado que no se despachara ésta por estar pendiente de resolución firme otro proceso declarativo, instado por ella, en el que se solicitaba la declaración de incumplimiento por la entidad ejecutante de sus obligaciones derivadas del mismo contrato que amparaba la demanda ejecutiva presentada, proceso que había sido resuelto ya en sentido favorable para aquélla en primera y segunda instancia pero que estaba pendiente de recurso extraordinario por infracción procesal ante el Tribunal Supremo. Y frente a esta concreta alegación, en el primer Auto citado, el órgano judicial afirmó categóricamente que “[e]ntre las causas de suspensión de un procedimiento de ejecución hipotecaria no se encuentra la interposición de acciones de resolución u otras declarativas” (fundamento de Derecho segundo), manifestación seguida de la reproducción íntegra y literal de los arts. 695 a 698 LEC ahora cuestionados.</w:t>
      </w:r>
    </w:p>
    <w:p w:rsidR="001D6FAE" w:rsidRDefault="001D6FAE" w:rsidP="001D6FAE">
      <w:pPr>
        <w:pStyle w:val="TextoNormal"/>
      </w:pPr>
    </w:p>
    <w:p w:rsidR="001D6FAE" w:rsidRDefault="001D6FAE" w:rsidP="001D6FAE">
      <w:pPr>
        <w:pStyle w:val="TextoNormal"/>
      </w:pPr>
      <w:r>
        <w:t>El carácter intempestivo de la cuestión de inconstitucionalidad es apreciable con independencia de que en el momento de dictarse el mencionado Auto el pronunciamiento de ese proceso declarativo no fuera firme, pues solamente ganó firmeza con el Auto del Tribunal Supremo de 23 de abril de 2013, y también de que la firmeza de ese pronunciamiento no constase en las actuaciones hasta después de despachada la ejecución. Es así porque lo que cuestiona el órgano judicial es que el art. 695 LEC no le permita entrar a conocer “sobre la propia existencia del incumplimiento, y por tanto de la corrección de la resolución anticipada” del contrato que justifica la demanda ejecutiva, según ha quedado ya reflejado. Y ese defecto era ya predicable del régimen legal cuestionado en la fecha del citado Auto y de los posteriores.</w:t>
      </w:r>
    </w:p>
    <w:p w:rsidR="001D6FAE" w:rsidRDefault="001D6FAE" w:rsidP="001D6FAE">
      <w:pPr>
        <w:pStyle w:val="TextoNormal"/>
      </w:pPr>
    </w:p>
    <w:p w:rsidR="001D6FAE" w:rsidRDefault="001D6FAE" w:rsidP="001D6FAE">
      <w:pPr>
        <w:pStyle w:val="TextoNormal"/>
      </w:pPr>
      <w:r w:rsidRPr="001D6FAE">
        <w:rPr>
          <w:rStyle w:val="NumeroAFNegritaCaracter"/>
        </w:rPr>
        <w:t>4</w:t>
      </w:r>
      <w:r>
        <w:t>. Si lo anterior es predicable de la cuestión de inconstitucionalidad en su conjunto, que se dirige contra el régimen legal de oposición a la ejecución hipotecaria resultante de los arts. 695 y 698 LEC, uno de los dos preceptos que lo componen, el art. 698 LEC, no cumple tampoco el requisito de la aplicabilidad necesario para admitir y tramitar una cuestión de inconstitucionalidad, que exige siempre que el precepto cuestionado sea “aplicable al caso” (arts. 163 CE y 35.1 LOTC).</w:t>
      </w:r>
    </w:p>
    <w:p w:rsidR="001D6FAE" w:rsidRDefault="001D6FAE" w:rsidP="001D6FAE">
      <w:pPr>
        <w:pStyle w:val="TextoNormal"/>
      </w:pPr>
    </w:p>
    <w:p w:rsidR="001D6FAE" w:rsidRDefault="001D6FAE" w:rsidP="001D6FAE">
      <w:pPr>
        <w:pStyle w:val="TextoNormal"/>
      </w:pPr>
      <w:r>
        <w:t>Como ya tuvimos ocasión de señalar al resolver una cuestión de inconstitucionalidad análoga a la ahora planteada el art. 698 LEC “versa sobre el régimen legal de un procedimiento que no es el sustanciado, sino aquel al que puede acudir el ejecutado hipotecario al margen del juicio sumario. De este modo el órgano judicial proponente viene a formular un improcedente control abstracto y directo sobre la constitucionalidad de [dicho precepto legal] que no [es] paso obligado para la continuación del proceso y [condicionante] de la decisión a tomar en el trámite de oposición, para lo que no está constitucionalmente facultado” (ATC 113/2011, de 19 de julio, FJ 3).</w:t>
      </w:r>
    </w:p>
    <w:p w:rsidR="001D6FAE" w:rsidRDefault="001D6FAE" w:rsidP="001D6FAE">
      <w:pPr>
        <w:pStyle w:val="TextoNormal"/>
      </w:pPr>
    </w:p>
    <w:p w:rsidR="001D6FAE" w:rsidRDefault="001D6FAE" w:rsidP="001D6FAE">
      <w:pPr>
        <w:pStyle w:val="TextoNormal"/>
      </w:pPr>
      <w:r>
        <w:t>Dicho en otros términos: este art. 698 LEC no resulta aplicable por el órgano promotor de la cuestión (Juez de la ejecución), sino por el juez que conozca del proceso declarativo al que dicho precepto remite, en la medida en que lo que el órgano promotor de la cuestión impugna es la omisión en dicho precepto de medidas cautelares que puedan adoptarse en ese otro proceso con el fin de asegurar la restitución del bien hipotecado al hipotecante si finalmente la ejecución despachada contra él resultara contraria a derecho según lo resuelto en ese proceso declarativo.</w:t>
      </w:r>
    </w:p>
    <w:p w:rsidR="001D6FAE" w:rsidRDefault="001D6FAE" w:rsidP="001D6FAE">
      <w:pPr>
        <w:pStyle w:val="TextoNormal"/>
      </w:pPr>
    </w:p>
    <w:p w:rsidR="001D6FAE" w:rsidRDefault="001D6FAE" w:rsidP="001D6FAE">
      <w:pPr>
        <w:pStyle w:val="TextoNormal"/>
      </w:pPr>
      <w:r>
        <w:t>Por lo tanto, y sin perjuicio de lo razonado en el precedente fundamento jurídico 3, la cuestión de inconstitucionalidad planteada en relación con este art. 698 LEC no cumple tampoco el requisito de la aplicabilidad derivado de los arts. 163 CE y 35.1 LOTC antes mencionados.</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veintinueve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3" w:name="AUTO_2016_199"/>
      <w:r>
        <w:t>AUTO 199/2016, de 30 de noviembre de 2016</w:t>
      </w:r>
    </w:p>
    <w:bookmarkEnd w:id="173"/>
    <w:p w:rsidR="001D6FAE" w:rsidRDefault="001D6FAE" w:rsidP="001D6FAE">
      <w:pPr>
        <w:pStyle w:val="TtuloResolucin"/>
      </w:pPr>
      <w:r>
        <w:t>Sección Cuarta</w:t>
      </w:r>
    </w:p>
    <w:p w:rsidR="001D6FAE" w:rsidRDefault="001D6FAE" w:rsidP="001D6FAE">
      <w:pPr>
        <w:pStyle w:val="TextoNormalCentrado"/>
      </w:pPr>
      <w:r>
        <w:t>ECLI:ES:TC:2016:199A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SntesisDescriptiva"/>
      </w:pPr>
      <w:r>
        <w:t>Estima el recurso de súplica del Ministerio Fiscal sobre inadmisión del recurso de amparo 3414-2016, promovido por don Antero Aybar de Pablo en causa penal.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Por escrito presentado en el Registro General de este Tribunal el 15 de junio de 2016, don Antero Aybar de Pablo interpuso recurso de amparo contra el Auto de 19 de febrero de 2016 de la Sección Primera de la Audiencia Provincial de Guadalajara, confirmado por el Auto sucesivo, dictado en súplica, de 9 de marzo de 2016, desestimatorios ambos de la práctica de prueba documental en segunda instancia solicitada por el ahora demandante al recurrir la Sentencia de 5 de diciembre de 2015 del Juzgado de lo Penal de Guadalajara (procedimiento abreviado núm. 296-20159), así como contra el Auto de 6 de mayo de 2016 de la misma Audiencia Provincial, que desestimó el incidente de nulidad de actuaciones formalizado con base en los mismos motivos contra la Sentencia dictada en la apelación, de fecha 16 de marzo de 2016.</w:t>
      </w:r>
    </w:p>
    <w:p w:rsidR="001D6FAE" w:rsidRDefault="001D6FAE" w:rsidP="001D6FAE">
      <w:pPr>
        <w:pStyle w:val="TextoNormal"/>
      </w:pPr>
    </w:p>
    <w:p w:rsidR="001D6FAE" w:rsidRDefault="001D6FAE" w:rsidP="001D6FAE">
      <w:pPr>
        <w:pStyle w:val="TextoNormal"/>
      </w:pPr>
      <w:r w:rsidRPr="001D6FAE">
        <w:rPr>
          <w:rStyle w:val="NumeroAFNegritaCaracter"/>
        </w:rPr>
        <w:t>2</w:t>
      </w:r>
      <w:r>
        <w:t>. La representación del demandante aduce la vulneración del art. 24.1 CE por parte de las resoluciones judiciales citadas.</w:t>
      </w:r>
    </w:p>
    <w:p w:rsidR="001D6FAE" w:rsidRDefault="001D6FAE" w:rsidP="001D6FAE">
      <w:pPr>
        <w:pStyle w:val="TextoNormal"/>
      </w:pPr>
    </w:p>
    <w:p w:rsidR="001D6FAE" w:rsidRDefault="001D6FAE" w:rsidP="001D6FAE">
      <w:pPr>
        <w:pStyle w:val="TextoNormal"/>
      </w:pPr>
      <w:r w:rsidRPr="001D6FAE">
        <w:rPr>
          <w:rStyle w:val="NumeroAFNegritaCaracter"/>
        </w:rPr>
        <w:t>3</w:t>
      </w:r>
      <w:r>
        <w:t>. Mediante providencia de 17 de octubre de 2016, la Sección Cuarta del Tribunal Constitucional acordó inadmitir a trámite el recurso de amparo por no haber concluido el proceso abierto en la vía judicial [arts. 44.1 a) y 50.1 a) de la Ley Orgánica del Tribunal Constitucional].</w:t>
      </w:r>
    </w:p>
    <w:p w:rsidR="001D6FAE" w:rsidRDefault="001D6FAE" w:rsidP="001D6FAE">
      <w:pPr>
        <w:pStyle w:val="TextoNormal"/>
      </w:pPr>
    </w:p>
    <w:p w:rsidR="001D6FAE" w:rsidRDefault="001D6FAE" w:rsidP="001D6FAE">
      <w:pPr>
        <w:pStyle w:val="TextoNormal"/>
      </w:pPr>
      <w:r w:rsidRPr="001D6FAE">
        <w:rPr>
          <w:rStyle w:val="NumeroAFNegritaCaracter"/>
        </w:rPr>
        <w:t>4</w:t>
      </w:r>
      <w:r>
        <w:t>. El Ministerio Fiscal interpuso el 11 de noviembre de 2016 recurso de súplica frente a la providencia de inadmisión. Señala su escrito que el examen de la demanda y de las resoluciones que constituyen su objeto acredita que estamos ante un procedimiento judicial por delito ya acabado en la segunda instancia, en la que incluso se formuló y resolvió un incidente de nulidad de actuaciones contra la Sentencia resolutoria del recurso de apelación. Solicita, en consecuencia, que dejemos sin efecto la providencia de inadmisión de 17 de octubre de 2016.</w:t>
      </w:r>
    </w:p>
    <w:p w:rsidR="001D6FAE" w:rsidRDefault="001D6FAE" w:rsidP="001D6FAE">
      <w:pPr>
        <w:pStyle w:val="TextoNormal"/>
      </w:pPr>
    </w:p>
    <w:p w:rsidR="001D6FAE" w:rsidRDefault="001D6FAE" w:rsidP="001D6FAE">
      <w:pPr>
        <w:pStyle w:val="TextoNormal"/>
      </w:pPr>
      <w:r w:rsidRPr="001D6FAE">
        <w:rPr>
          <w:rStyle w:val="NumeroAFNegritaCaracter"/>
        </w:rPr>
        <w:t>5</w:t>
      </w:r>
      <w:r>
        <w:t>. Mediante diligencia de ordenación de 16 de noviembre de 2016, se acordó dar traslado al demandante de amparo por el plazo de tres días para que alegara lo que estimara pertinente. El recurrente, mediante escrito de 23 de noviembre de 2016, se adhirió al recurso de súplica interpuesto por el Ministerio Fiscal.</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Como se ha expuesto en los antecedentes, el Ministerio Fiscal recurre en súplica la providencia dictada por esta misma Sección el día 17 de octubre de 2016, por la que se acordó inadmitir a trámite el recurso de amparo al considerarlo prematuro, resultando a su juicio que, en cambio, la vía judicial previa había sido objetivamente agotada a la fecha de interposición del presente recurso.</w:t>
      </w:r>
    </w:p>
    <w:p w:rsidR="001D6FAE" w:rsidRDefault="001D6FAE" w:rsidP="001D6FAE">
      <w:pPr>
        <w:pStyle w:val="TextoNormal"/>
      </w:pPr>
    </w:p>
    <w:p w:rsidR="001D6FAE" w:rsidRDefault="001D6FAE" w:rsidP="001D6FAE">
      <w:pPr>
        <w:pStyle w:val="TextoNormal"/>
      </w:pPr>
      <w:r>
        <w:t>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(por todos, ATC 98/2016, de 4 de mayo, FJ único). Como el Ministerio Fiscal afirma, sin embargo, el proceso judicial quedó efectivamente cerrado en este caso con la Sentencia de apelación de 16 de marzo de 2016 y, finalmente, con el Auto de 6 de mayo de 2016 que desestimó el incidente de nulidad de actuaciones formalizado frente a la misma.</w:t>
      </w:r>
    </w:p>
    <w:p w:rsidR="001D6FAE" w:rsidRDefault="001D6FAE" w:rsidP="001D6FAE">
      <w:pPr>
        <w:pStyle w:val="TextoNormal"/>
      </w:pPr>
    </w:p>
    <w:p w:rsidR="001D6FAE" w:rsidRDefault="001D6FAE" w:rsidP="001D6FAE">
      <w:pPr>
        <w:pStyle w:val="TextoNormal"/>
      </w:pPr>
      <w:r>
        <w:t>La estimación del recurso de súplica determina que se deje sin efecto la providencia impugnada por el Fiscal, pero sin que ello comporte la admisión a trámite del presente recurso de amparo, sobre la que se resolverá en nueva providencia a dictar al efecto.</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Estimar el recurso de súplica interpuesto por el Ministerio Fiscal contra la providencia dictada el 17 de octubre de 2016, dejando sin efecto la misma y quedando las actuaciones en estado de proveer sobre la admisión a trámite del recurso de amparo.</w:t>
      </w:r>
    </w:p>
    <w:p w:rsidR="001D6FAE" w:rsidRDefault="001D6FAE" w:rsidP="001D6FAE">
      <w:pPr>
        <w:pStyle w:val="TextoNormal"/>
      </w:pPr>
    </w:p>
    <w:p w:rsidR="001D6FAE" w:rsidRDefault="001D6FAE" w:rsidP="001D6FAE">
      <w:pPr>
        <w:pStyle w:val="TextoNormal"/>
      </w:pPr>
      <w:r>
        <w:t>Madrid, a treinta de noviembre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4" w:name="AUTO_2016_200"/>
      <w:r>
        <w:t>AUTO 200/2016, de 1 de diciembre de 2016</w:t>
      </w:r>
    </w:p>
    <w:bookmarkEnd w:id="174"/>
    <w:p w:rsidR="001D6FAE" w:rsidRDefault="001D6FAE" w:rsidP="001D6FAE">
      <w:pPr>
        <w:pStyle w:val="TtuloResolucin"/>
      </w:pPr>
      <w:r>
        <w:t>Pleno</w:t>
      </w:r>
    </w:p>
    <w:p w:rsidR="001D6FAE" w:rsidRDefault="001D6FAE" w:rsidP="001D6FAE">
      <w:pPr>
        <w:pStyle w:val="TextoNormalCentrado"/>
      </w:pPr>
      <w:r>
        <w:t>ECLI:ES:TC:2016:200A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1256-2016, planteada por la Sala de lo Contencioso-Administrativo del Tribunal Superior de Justicia de la Comunidad Valenciana en relación con la disposición transitoria segunda del Estatuto del personal de Les Corts Valencianes de 16 de junio de 2010.</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En fecha 9 de marzo de 2016 tuvo entrada en el registro general de este Tribunal Constitucional oficio de la Secretaría de la Sala de lo Contencioso-Administrativo del Tribunal Superior de Justicia de la Comunidad Valenciana al que acompañaba Auto de 15 de diciembre de 2015 de dicho órgano judicial por el que se había acordado plantear cuestión de inconstitucionalidad respecto de la disposición transitoria segunda del estatuto del personal de Les Corts Valencianes, aprobado por el Pleno de dicha Cámara Autonómica, en sesión celebrada el día 16 de junio de 2010, (“Diario Oficial de la Comunidad Valenciana” número 6312, de 16 de julio de 2010), que tiene por rúbrica la de “Integración en los nuevos grupos de Clasificación”, en la medida en que entendió que la disposición cuestionada podría resultar contraria a los artículos 14, 23.2 y 103.3 de la Constitución Española.</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del planteamiento de la presente cuestión de inconstitucionalidad son, sucintamente expuestos, los siguientes:</w:t>
      </w:r>
    </w:p>
    <w:p w:rsidR="001D6FAE" w:rsidRDefault="001D6FAE" w:rsidP="001D6FAE">
      <w:pPr>
        <w:pStyle w:val="TextoNormal"/>
      </w:pPr>
    </w:p>
    <w:p w:rsidR="001D6FAE" w:rsidRDefault="001D6FAE" w:rsidP="001D6FAE">
      <w:pPr>
        <w:pStyle w:val="TextoNormal"/>
      </w:pPr>
      <w:r>
        <w:t>a) Por la confederación sindical de Comisiones Obreras del País Valenciano se interpuso recurso contencioso-administrativo contra la desestimación presunta por silencio administrativo por parte de la Mesa de las Cortes Valencianas de la solicitud formal sobre integración de funcionarios del antiguo grupo E en el nuevo grupo C2, tal como se disponía en el estatuto del personal de les Corts Valencianes de 16 de junio de 2010, con reconocimiento de efectos administrativos y económicos desde la entrada en vigor de dicha norma de acuerdo con lo establecido en la disposición transitoria segunda de la citada norma parlamentaria, pese a lo cual la Mesa de negociación de las Cortes Valencianas no había procedido a llevar a la práctica la integración de los puestos clasificados anteriormente como grupo E en la nueva clasificación prevista, ni a efectos administrativos, ni a efectos económicos, interesando se dictase sentencia por la que se declarase contrario a derecho y se anulase el acto administrativo impugnado, condenando a la demandada a llevar a efecto la integración de los funcionarios anteriormente clasificados como grupo E en el nuevo subgrupo C2, con plenos efectos administrativos y económicos desde el 22 de junio de 2010.</w:t>
      </w:r>
    </w:p>
    <w:p w:rsidR="001D6FAE" w:rsidRDefault="001D6FAE" w:rsidP="001D6FAE">
      <w:pPr>
        <w:pStyle w:val="TextoNormal"/>
      </w:pPr>
    </w:p>
    <w:p w:rsidR="001D6FAE" w:rsidRDefault="001D6FAE" w:rsidP="001D6FAE">
      <w:pPr>
        <w:pStyle w:val="TextoNormal"/>
      </w:pPr>
      <w:r>
        <w:t>b) El Letrado de las Cortes Valencianas interesó la desestimación del recurso tras razonar que la nueva regulación introducida por el estatuto de personal de les Corts Valencianes no consistía en una simple alteración de la letra que acompañaba a cada puesto de trabajo, sino que suponía alterar la relación de puestos de trabajo para adaptarla a los nuevos grupos, lo que determinaba que fuera necesario el pertinente proceso negociador con las organizaciones sindicales que culminase con un acuerdo que debía ser ratificado por la Mesa de las Cortes Valencianas, sin que el acuerdo suscrito en el seno de la mesa negociadora por los sindicatos y la representación institucional supusiera la existencia de un acuerdo entre la cámara autonómica y los sindicatos, al no haberse procedido a su ratificación por la Mesa de las Cortes Valencianas. En consecuencia, entendía la representación del parlamento autonómico que no podía accederse a la pretensión de la actora consistente en que, sin intermediación de norma alguna, se produjera la modificación en la clasificación de los puestos existentes en la relación de puestos de trabajo de las Cortes Valencianas.</w:t>
      </w:r>
    </w:p>
    <w:p w:rsidR="001D6FAE" w:rsidRDefault="001D6FAE" w:rsidP="001D6FAE">
      <w:pPr>
        <w:pStyle w:val="TextoNormal"/>
      </w:pPr>
    </w:p>
    <w:p w:rsidR="001D6FAE" w:rsidRDefault="001D6FAE" w:rsidP="001D6FAE">
      <w:pPr>
        <w:pStyle w:val="TextoNormal"/>
      </w:pPr>
      <w:r>
        <w:t>c) Por medio de escrito de 1 de octubre de 2015, la Confederación Sindical de Comisiones Obreras del País Valenciano desistió del recurso interpuesto, y, después de dar traslado de aquel a la parte demandada sin que se hubiese pronunciado al efecto, la Sala de lo Contencioso-Administrativo procedió, por Auto de 2 de noviembre de 2015, a acordar la continuación del recurso no otorgando eficacia extintiva al desistimiento del sindicato recurrente, en virtud de lo establecido en el art. 74.4 de la Ley reguladora de la jurisdicción contencioso-administrativa (LJCA), por entender que estaba implicado el interés público en la eventual subsistencia de la norma cuya aplicación se suscitaba (disposición transitoria segunda del estatuto del personal de Les Corts), la cual había que poner en relación con los arts. 14, 23.2 y 103.3 de la Constitución Española, por lo que, asumir el archivo del proceso, implicaría daño para el interés público, cuya tutela también resultaba encomendada a dicho órgano jurisdiccional.</w:t>
      </w:r>
    </w:p>
    <w:p w:rsidR="001D6FAE" w:rsidRDefault="001D6FAE" w:rsidP="001D6FAE">
      <w:pPr>
        <w:pStyle w:val="TextoNormal"/>
      </w:pPr>
    </w:p>
    <w:p w:rsidR="001D6FAE" w:rsidRDefault="001D6FAE" w:rsidP="001D6FAE">
      <w:pPr>
        <w:pStyle w:val="TextoNormal"/>
      </w:pPr>
      <w:r>
        <w:t>Por todo ello, de acuerdo con lo dispuesto en el art. 35.2 de la Ley Orgánica del Tribunal Constitucional (LOTC) y 5.2 LOPJ, se dejaba en suspenso el plazo para dictar sentencia y se daba traslado a las partes y al Ministerio Fiscal para que alegasen lo que estimasen oportuno sobre la pertinencia de plantear la cuestión de inconstitucionalidad. Tanto el Ministerio Fiscal como el Letrado de las Cortes Valencianas alegaron la improcedencia de plantear la cuestión de inconstitucionalidad en sus respectivos escritos de 17 y 27 de noviembre de 2015.</w:t>
      </w:r>
    </w:p>
    <w:p w:rsidR="001D6FAE" w:rsidRDefault="001D6FAE" w:rsidP="001D6FAE">
      <w:pPr>
        <w:pStyle w:val="TextoNormal"/>
      </w:pPr>
    </w:p>
    <w:p w:rsidR="001D6FAE" w:rsidRDefault="001D6FAE" w:rsidP="001D6FAE">
      <w:pPr>
        <w:pStyle w:val="TextoNormal"/>
      </w:pPr>
      <w:r>
        <w:t>d) El órgano judicial, sin embargo, dictó Auto de 15 de diciembre de 2015 planteando cuestión de inconstitucionalidad en relación a la disposición transitoria segunda del estatuto del personal de Les Corts denominada “integración en los nuevos grupos de Clasificación”, por resultar eventualmente contraria a los artículos 14, 23.2 y 103.3 de la Constitución Española.</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interesa destacar lo siguiente:</w:t>
      </w:r>
    </w:p>
    <w:p w:rsidR="001D6FAE" w:rsidRDefault="001D6FAE" w:rsidP="001D6FAE">
      <w:pPr>
        <w:pStyle w:val="TextoNormal"/>
      </w:pPr>
    </w:p>
    <w:p w:rsidR="001D6FAE" w:rsidRDefault="001D6FAE" w:rsidP="001D6FAE">
      <w:pPr>
        <w:pStyle w:val="TextoNormal"/>
      </w:pPr>
      <w:r>
        <w:t>Luego de hacer referencia al cumplimiento de los requisitos para el planteamiento de la cuestión de inconstitucionalidad, el auto procede a concretar la posible contrariedad de la disposición transitoria segunda del estatuto de personal de Les Corts Valecianes con los arts. 14, 23.2 y 103.3 CE, al establecer dicha disposición que “los grupos de clasificación existentes a la entrada en vigor del Estatuto del Personal de Les Corts Valencianes se integran de forma automática en los grupos de clasificación profesional de funcionarios previstos en el artículo 10 del mismo, de acuerdo con la siguientes equivalencias: … Antiguo grupo E: subgrupo C2”, integración automática que se ordena con abstracción de ningún otro requisito y ajeno a la consideración del nivel de titulación exigido para el ingreso en los cuerpos a poner en relación con las plazas afectadas.</w:t>
      </w:r>
    </w:p>
    <w:p w:rsidR="001D6FAE" w:rsidRDefault="001D6FAE" w:rsidP="001D6FAE">
      <w:pPr>
        <w:pStyle w:val="TextoNormal"/>
      </w:pPr>
    </w:p>
    <w:p w:rsidR="001D6FAE" w:rsidRDefault="001D6FAE" w:rsidP="001D6FAE">
      <w:pPr>
        <w:pStyle w:val="TextoNormal"/>
      </w:pPr>
      <w:r>
        <w:t>Se razona que la decisión definitiva que haya de darse al proceso depende de la validez constitucional de la mencionada disposición transitoria segunda, pues habiendo sido pretendida la integración automática del antiguo grupo E en el subgrupo C2 con efectos inmediatos a la entrada en vigor del estatuto de personal y habiendo sido desestimada tal solicitud por silencio administrativo, era obvia la necesidad de depurar la constitucionalidad de dicha disposición, sin que se pudiesen acoger los argumentos del Letrado de las Cortes Valencianas, por no entender equiparable el pretendido trasvase argumentativo que se hace desde las previsiones del estatuto básico del empleado público (LEEP) a la disposición transitoria de referencia, toda vez que esta, a diferencia de aquel, equipara dos grupos de clasificación diferenciados (el antiguo grupo D y el antiguo grupo E) los cuales de forma adjetivada por la norma como “automática”, ordena se integren en el subgrupo C2, entendiendo que el contenido del acuerdo de la Mesa de las Cortes [“se habilitarán los procesos necesarios con estricto cumplimiento de los principios de mérito y capacidad. El personal afectado por el proceso de reconversión habrá de estar en posesión de la titulación requerida para el puesto de trabajo. En los supuestos en los que no se poseyera la titulación necesaria se quedarán los puestos de trabajo adecuados a su titulación”] evidencia la necesidad de depurar la eventual inconstitucionalidad de tal disposición transitoria.</w:t>
      </w:r>
    </w:p>
    <w:p w:rsidR="001D6FAE" w:rsidRDefault="001D6FAE" w:rsidP="001D6FAE">
      <w:pPr>
        <w:pStyle w:val="TextoNormal"/>
      </w:pPr>
    </w:p>
    <w:p w:rsidR="001D6FAE" w:rsidRDefault="001D6FAE" w:rsidP="001D6FAE">
      <w:pPr>
        <w:pStyle w:val="TextoNormal"/>
      </w:pPr>
      <w:r w:rsidRPr="001D6FAE">
        <w:rPr>
          <w:rStyle w:val="NumeroAFNegritaCaracter"/>
        </w:rPr>
        <w:t>4</w:t>
      </w:r>
      <w:r>
        <w:t>. Por providencia de 5 de julio de 2016, la Sección Cuarta de este Tribunal acordó, a los efectos que determina el art. 37.1 LOTC, oír al Fiscal General del Estado para que, en el plazo de diez días, alegase lo que considerase conveniente acerca de la admisibilidad de la presente cuestión de inconstitucionalidad en relación con el cumplimiento de los requisitos procesales (art. 35.2 LOTC) y por si fuese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sus alegaciones el día 29 de septiembre de 2016 interesando la inadmisión de la cuestión por los motivos que se resumen a continuación:</w:t>
      </w:r>
    </w:p>
    <w:p w:rsidR="001D6FAE" w:rsidRDefault="001D6FAE" w:rsidP="001D6FAE">
      <w:pPr>
        <w:pStyle w:val="TextoNormal"/>
      </w:pPr>
    </w:p>
    <w:p w:rsidR="001D6FAE" w:rsidRDefault="001D6FAE" w:rsidP="001D6FAE">
      <w:pPr>
        <w:pStyle w:val="TextoNormal"/>
      </w:pPr>
      <w:r>
        <w:t>Después de recoger los antecedentes de hecho que consideró oportunos y de citar el precepto cuestionado y los artículos de la Constitución vulnerados, procede, a continuación, a exponer la doctrina constitucional sobre la inadmisión de la cuestión por resultar notoriamente infundada, con cita del ATC 174/2007, de 27 de febrero, STC 27/1991, de 14 de febrero, y ATC 71/2008, de 26 de febrero. Se detiene, igualmente, en el contenido de la doctrina constitucional del art. 23.2 CE, haciendo referencia a la STC 138/2000, de 29 de mayo, y, en cuanto a la regulación de la función pública, a la doctrina constitucional contenida en las STC 113/2010, de 24 de noviembre y 39/2014, de 11 de marzo.</w:t>
      </w:r>
    </w:p>
    <w:p w:rsidR="001D6FAE" w:rsidRDefault="001D6FAE" w:rsidP="001D6FAE">
      <w:pPr>
        <w:pStyle w:val="TextoNormal"/>
      </w:pPr>
    </w:p>
    <w:p w:rsidR="001D6FAE" w:rsidRDefault="001D6FAE" w:rsidP="001D6FAE">
      <w:pPr>
        <w:pStyle w:val="TextoNormal"/>
      </w:pPr>
      <w:r>
        <w:t>A continuación, analiza si, como plantea el órgano jurisdiccional, la disposición transitoria segunda establece realmente una integración automática que deba reputarse incondicionada de los antiguos cuerpos grupo D y E en el subgrupo C2 con abstracción de otros requisitos, y, en consecuencia, ajena al nivel de titulación, con vulneración de los arts. 14, 23.2 y 103.3 CE. Para ello, después de afirmar que el estatuto de personal de les Corts Valencianes responde a un régimen singular que entronca en el art. 72 CE y delimitar su ámbito de aplicación de acuerdo con lo dispuesto en el art. 3.6 de la Ley 10/2010, de 9 de julio, de la función pública de la Comunidad Valenciana y el art. 4 a) LEEP (Ley 7/2007), destaca que la norma impugnada debe integrarse en el conjunto de las disposiciones que regulan la materia de personal de la función pública con cita, a tal efecto, de los arts. 21.1, 25.1 y 50 de la Ley Orgánica 5/1982, de 1 de julio, de Estatuto de Autonomía de la Comunidad Valenciana, los arts. 1, 9, 10, 55, 62, 63 y disposición transitoria primera del estatuto de personal y los arts. 24, 51, 53 y disposiciones adicionales de la Ley de la función pública de la Comunidad Valenciana 10/2010, de 9 de julio.</w:t>
      </w:r>
    </w:p>
    <w:p w:rsidR="001D6FAE" w:rsidRDefault="001D6FAE" w:rsidP="001D6FAE">
      <w:pPr>
        <w:pStyle w:val="TextoNormal"/>
      </w:pPr>
    </w:p>
    <w:p w:rsidR="001D6FAE" w:rsidRDefault="001D6FAE" w:rsidP="001D6FAE">
      <w:pPr>
        <w:pStyle w:val="TextoNormal"/>
      </w:pPr>
      <w:r>
        <w:t>En cuanto a la legislación del Estado, hace mención de los arts. 55, 56 y 76 de la Ley 7/2007, de 12 de abril, del estatuto básico del empleado público.</w:t>
      </w:r>
    </w:p>
    <w:p w:rsidR="001D6FAE" w:rsidRDefault="001D6FAE" w:rsidP="001D6FAE">
      <w:pPr>
        <w:pStyle w:val="TextoNormal"/>
      </w:pPr>
    </w:p>
    <w:p w:rsidR="001D6FAE" w:rsidRDefault="001D6FAE" w:rsidP="001D6FAE">
      <w:pPr>
        <w:pStyle w:val="TextoNormal"/>
      </w:pPr>
      <w:r>
        <w:t>Concluye afirmando que, a la vista de la normativa citada, la disposición transitoria segunda forma parte de las disposiciones y principios de la norma en que se integra —el estatuto de personal— y por remisión de ésta, le resulta de aplicación, tanto la legislación de la función pública valenciana como la propia ley estatal —Ley 7/2007, del estatuto básico del empleado público — por lo que la norma impugnada no puede ser objeto de aplicación aisladamente, sino que ha de hacerse en el contexto legislativo del que forma parte, incorporando dicha normativa, tanto estatal como autonómica, una regulación que responde a unos principios coordinados y homogéneos, comenzando por el propio estatuto de personal. Y en todos se contemplan las condiciones de mérito y capacidad como requisitos de acceso y desempeño —y, lógicamente, de integración— de la respectiva función en el grupo o escala correspondiente, incorporando, por tanto, la necesidad de la titulación oficial como requisito básico, de acuerdo con la doctrina constitucional citada, por lo que la interpretación de los términos “de forma automática” que fundamentan casi en exclusiva la argumentación del auto de planteamiento, no puede hacerse en abstracto incondicionada y al margen de los principios de mérito y capacidad, sino con respeto al requisito de la titulación que en cada caso corresponda, porque aquellos se integran de forma sistemática y reiterada en dicha legislación y su inobservancia sería contraria a la normativa expuesta.</w:t>
      </w:r>
    </w:p>
    <w:p w:rsidR="001D6FAE" w:rsidRDefault="001D6FAE" w:rsidP="001D6FAE">
      <w:pPr>
        <w:pStyle w:val="TextoNormal"/>
      </w:pPr>
    </w:p>
    <w:p w:rsidR="001D6FAE" w:rsidRDefault="001D6FAE" w:rsidP="001D6FAE">
      <w:pPr>
        <w:pStyle w:val="TextoNormal"/>
      </w:pPr>
      <w:r>
        <w:t>Hace notar, por otro lado, que la cuestión de inconstitucionalidad ha sido planteada después de que la parte demandante hubiera desistido del recurso contencioso-administrativo y de que la Administración demandada no se hubiera opuesto al mismo, por lo que, si bien es cierto que el desistimiento puede no ser acordado cuando se “apreciare daño para el interés público”, y, según el Auto de planteamiento, dicho interés público se habría concretado en “la eventual subsistencia de la norma cuya aplicación se suscita”, es lo cierto que tal modo de actuación procesal se ha traducido en una forma de control general de la norma, tendente a determinar un juicio abstracto de constitucionalidad ajeno a la función prevista de los arts. 163 CE y 35 LOTC, citando al efecto la doctrina contenida en el ATC 251/2006.</w:t>
      </w:r>
    </w:p>
    <w:p w:rsidR="001D6FAE" w:rsidRDefault="001D6FAE" w:rsidP="001D6FAE">
      <w:pPr>
        <w:pStyle w:val="TextoNormal"/>
      </w:pPr>
    </w:p>
    <w:p w:rsidR="001D6FAE" w:rsidRDefault="001D6FAE" w:rsidP="001D6FAE">
      <w:pPr>
        <w:pStyle w:val="TextoNormal"/>
      </w:pPr>
      <w:r>
        <w:t>Todo lo anterior le lleva a solicitar la inadmisión de la presente cuestión de inconstitucionalidad por considerarla notoriamente infundada.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Sala de lo Contencioso-Administrativo del Tribunal Superior de Justicia de la Comunidad Valenciana ha promovido cuestión de inconstitucionalidad en relación a la disposición transitoria segunda del estatuto del personal de Les Corts Valencianes, que lleva como encabezamiento de su contenido la rúbrica “integración en los nuevos grupos de Clasificación”. Dicha disposición establece lo siguiente:</w:t>
      </w:r>
    </w:p>
    <w:p w:rsidR="001D6FAE" w:rsidRDefault="001D6FAE" w:rsidP="001D6FAE">
      <w:pPr>
        <w:pStyle w:val="TextoNormal"/>
      </w:pPr>
    </w:p>
    <w:p w:rsidR="001D6FAE" w:rsidRDefault="001D6FAE" w:rsidP="001D6FAE">
      <w:pPr>
        <w:pStyle w:val="TextoNormal"/>
      </w:pPr>
      <w:r>
        <w:t>“Los grupos de clasificación existentes a la entrada en vigor del Estatuto del personal de Corts Valencianes se integran de forma automática en los grupos de clasificación profesional de funcionarios previstos en el artículo 10 del mismo, de acuerdo con las siguientes equivalencias:</w:t>
      </w:r>
    </w:p>
    <w:p w:rsidR="001D6FAE" w:rsidRDefault="001D6FAE" w:rsidP="001D6FAE">
      <w:pPr>
        <w:pStyle w:val="TextoNormal"/>
      </w:pPr>
    </w:p>
    <w:p w:rsidR="001D6FAE" w:rsidRDefault="001D6FAE" w:rsidP="001D6FAE">
      <w:pPr>
        <w:pStyle w:val="TextoNormal"/>
      </w:pPr>
      <w:r>
        <w:t>Antiguo grupo A: subgrupo A1</w:t>
      </w:r>
    </w:p>
    <w:p w:rsidR="001D6FAE" w:rsidRDefault="001D6FAE" w:rsidP="001D6FAE">
      <w:pPr>
        <w:pStyle w:val="TextoNormal"/>
      </w:pPr>
    </w:p>
    <w:p w:rsidR="001D6FAE" w:rsidRDefault="001D6FAE" w:rsidP="001D6FAE">
      <w:pPr>
        <w:pStyle w:val="TextoNormal"/>
      </w:pPr>
      <w:r>
        <w:t>Antiguo grupo B: subgrupo A2</w:t>
      </w:r>
    </w:p>
    <w:p w:rsidR="001D6FAE" w:rsidRDefault="001D6FAE" w:rsidP="001D6FAE">
      <w:pPr>
        <w:pStyle w:val="TextoNormal"/>
      </w:pPr>
    </w:p>
    <w:p w:rsidR="001D6FAE" w:rsidRDefault="001D6FAE" w:rsidP="001D6FAE">
      <w:pPr>
        <w:pStyle w:val="TextoNormal"/>
      </w:pPr>
      <w:r>
        <w:t>Antiguo grupo C: subgrupo C1</w:t>
      </w:r>
    </w:p>
    <w:p w:rsidR="001D6FAE" w:rsidRDefault="001D6FAE" w:rsidP="001D6FAE">
      <w:pPr>
        <w:pStyle w:val="TextoNormal"/>
      </w:pPr>
    </w:p>
    <w:p w:rsidR="001D6FAE" w:rsidRDefault="001D6FAE" w:rsidP="001D6FAE">
      <w:pPr>
        <w:pStyle w:val="TextoNormal"/>
      </w:pPr>
      <w:r>
        <w:t>Antiguo grupo D y antiguo grupo E: subgrupo C2.”</w:t>
      </w:r>
    </w:p>
    <w:p w:rsidR="001D6FAE" w:rsidRDefault="001D6FAE" w:rsidP="001D6FAE">
      <w:pPr>
        <w:pStyle w:val="TextoNormal"/>
      </w:pPr>
    </w:p>
    <w:p w:rsidR="001D6FAE" w:rsidRDefault="001D6FAE" w:rsidP="001D6FAE">
      <w:pPr>
        <w:pStyle w:val="TextoNormal"/>
      </w:pPr>
      <w:r>
        <w:t>El órgano jurisdiccional considera que la norma aludida vulnera los arts. 14, 23.2 y 103.3 CE, al acordar la integración automática del “</w:t>
      </w:r>
      <w:r w:rsidRPr="001D6FAE">
        <w:rPr>
          <w:i/>
        </w:rPr>
        <w:t>Antiguo grupo E: subgrupo C</w:t>
      </w:r>
      <w:r>
        <w:t>2” con abstracción de cualquier otro requisito y sin tener en consideración el nivel de titulación exigido en el art. 9 del propio Estatuto del Personal para el ingreso en los cuerpos relacionados con las plazas afectadas. Así, el sistema general parte de la consideración de los títulos académicos como criterio taxonómico para clasificar los Cuerpos, Escalas, clases y categorías de funcionarios.</w:t>
      </w:r>
    </w:p>
    <w:p w:rsidR="001D6FAE" w:rsidRDefault="001D6FAE" w:rsidP="001D6FAE">
      <w:pPr>
        <w:pStyle w:val="TextoNormal"/>
      </w:pPr>
    </w:p>
    <w:p w:rsidR="001D6FAE" w:rsidRDefault="001D6FAE" w:rsidP="001D6FAE">
      <w:pPr>
        <w:pStyle w:val="TextoNormal"/>
      </w:pPr>
      <w:r>
        <w:t>“Artículo 9 Grupos por nivel de titulación</w:t>
      </w:r>
    </w:p>
    <w:p w:rsidR="001D6FAE" w:rsidRDefault="001D6FAE" w:rsidP="001D6FAE">
      <w:pPr>
        <w:pStyle w:val="TextoNormal"/>
      </w:pPr>
    </w:p>
    <w:p w:rsidR="001D6FAE" w:rsidRDefault="001D6FAE" w:rsidP="001D6FAE">
      <w:pPr>
        <w:pStyle w:val="TextoNormal"/>
      </w:pPr>
      <w:r>
        <w:t>Los cuerpos, escalas y subescalas se agrupan de la siguiente forma, según el nivel de titulación:</w:t>
      </w:r>
    </w:p>
    <w:p w:rsidR="001D6FAE" w:rsidRDefault="001D6FAE" w:rsidP="001D6FAE">
      <w:pPr>
        <w:pStyle w:val="TextoNormal"/>
      </w:pPr>
    </w:p>
    <w:p w:rsidR="001D6FAE" w:rsidRDefault="001D6FAE" w:rsidP="001D6FAE">
      <w:pPr>
        <w:pStyle w:val="TextoNormal"/>
      </w:pPr>
      <w:r>
        <w:t>— Grupo A. Dividido en dos subgrupos, A1 y A2:</w:t>
      </w:r>
    </w:p>
    <w:p w:rsidR="001D6FAE" w:rsidRDefault="001D6FAE" w:rsidP="001D6FAE">
      <w:pPr>
        <w:pStyle w:val="TextoNormal"/>
      </w:pPr>
    </w:p>
    <w:p w:rsidR="001D6FAE" w:rsidRDefault="001D6FAE" w:rsidP="001D6FAE">
      <w:pPr>
        <w:pStyle w:val="TextoNormal"/>
      </w:pPr>
      <w:r>
        <w:t>Para el acceso a los cuerpos o escalas de este grupo se exigirá estar en posesión del título universitario de grado o titulación equivalente. En aquellos supuestos en los que la ley exija otro título universitario será éste el que se tenga en cuenta.</w:t>
      </w:r>
    </w:p>
    <w:p w:rsidR="001D6FAE" w:rsidRDefault="001D6FAE" w:rsidP="001D6FAE">
      <w:pPr>
        <w:pStyle w:val="TextoNormal"/>
      </w:pPr>
    </w:p>
    <w:p w:rsidR="001D6FAE" w:rsidRDefault="001D6FAE" w:rsidP="001D6FAE">
      <w:pPr>
        <w:pStyle w:val="TextoNormal"/>
      </w:pPr>
      <w:r>
        <w:t>— Grupo B:</w:t>
      </w:r>
    </w:p>
    <w:p w:rsidR="001D6FAE" w:rsidRDefault="001D6FAE" w:rsidP="001D6FAE">
      <w:pPr>
        <w:pStyle w:val="TextoNormal"/>
      </w:pPr>
    </w:p>
    <w:p w:rsidR="001D6FAE" w:rsidRDefault="001D6FAE" w:rsidP="001D6FAE">
      <w:pPr>
        <w:pStyle w:val="TextoNormal"/>
      </w:pPr>
      <w:r>
        <w:t>Para el acceso a este cuerpo o escala se exigirá estar en posesión del título de técnico superior o titulación equivalente.</w:t>
      </w:r>
    </w:p>
    <w:p w:rsidR="001D6FAE" w:rsidRDefault="001D6FAE" w:rsidP="001D6FAE">
      <w:pPr>
        <w:pStyle w:val="TextoNormal"/>
      </w:pPr>
    </w:p>
    <w:p w:rsidR="001D6FAE" w:rsidRDefault="001D6FAE" w:rsidP="001D6FAE">
      <w:pPr>
        <w:pStyle w:val="TextoNormal"/>
      </w:pPr>
      <w:r>
        <w:t>— Grupo C. Dividido en dos subgrupos, C1 y C2, según la titulación exigida para el ingreso:</w:t>
      </w:r>
    </w:p>
    <w:p w:rsidR="001D6FAE" w:rsidRDefault="001D6FAE" w:rsidP="001D6FAE">
      <w:pPr>
        <w:pStyle w:val="TextoNormal"/>
      </w:pPr>
    </w:p>
    <w:p w:rsidR="001D6FAE" w:rsidRDefault="001D6FAE" w:rsidP="001D6FAE">
      <w:pPr>
        <w:pStyle w:val="TextoNormal"/>
      </w:pPr>
      <w:r>
        <w:t>C1: posesión del título de bachiller o técnico o titulación equivalente.</w:t>
      </w:r>
    </w:p>
    <w:p w:rsidR="001D6FAE" w:rsidRDefault="001D6FAE" w:rsidP="001D6FAE">
      <w:pPr>
        <w:pStyle w:val="TextoNormal"/>
      </w:pPr>
    </w:p>
    <w:p w:rsidR="001D6FAE" w:rsidRDefault="001D6FAE" w:rsidP="001D6FAE">
      <w:pPr>
        <w:pStyle w:val="TextoNormal"/>
      </w:pPr>
      <w:r>
        <w:t>C2: título de graduado en educación secundaria obligatoria o titulación equivalente.”</w:t>
      </w:r>
    </w:p>
    <w:p w:rsidR="001D6FAE" w:rsidRDefault="001D6FAE" w:rsidP="001D6FAE">
      <w:pPr>
        <w:pStyle w:val="TextoNormal"/>
      </w:pPr>
    </w:p>
    <w:p w:rsidR="001D6FAE" w:rsidRDefault="001D6FAE" w:rsidP="001D6FAE">
      <w:pPr>
        <w:pStyle w:val="TextoNormal"/>
      </w:pPr>
      <w:r>
        <w:t>Considera el órgano proponente de la cuestión que la decisión definitiva que haya de darse al proceso depende de la validez constitucional de la referida disposición transitoria segunda, pues, habiéndose pretendido la integración automática del antiguo grupo E en el subgrupo C2 con efectos inmediatos a la entrada en vigor del estatuto de personal, y desestimada tal solicitud, es obvia la necesidad de depurar la constitucionalidad de aquella.</w:t>
      </w:r>
    </w:p>
    <w:p w:rsidR="001D6FAE" w:rsidRDefault="001D6FAE" w:rsidP="001D6FAE">
      <w:pPr>
        <w:pStyle w:val="TextoNormal"/>
      </w:pPr>
    </w:p>
    <w:p w:rsidR="001D6FAE" w:rsidRDefault="001D6FAE" w:rsidP="001D6FAE">
      <w:pPr>
        <w:pStyle w:val="TextoNormal"/>
      </w:pPr>
      <w:r>
        <w:t>La Fiscal General del Estado, por las razones expuestas en los antecedentes, ha interesado la inadmisión de la cuestión por considerarla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previsto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145/2016, de 19 de julio, FJ 3).</w:t>
      </w:r>
    </w:p>
    <w:p w:rsidR="001D6FAE" w:rsidRDefault="001D6FAE" w:rsidP="001D6FAE">
      <w:pPr>
        <w:pStyle w:val="TextoNormal"/>
      </w:pPr>
    </w:p>
    <w:p w:rsidR="001D6FAE" w:rsidRDefault="001D6FAE" w:rsidP="001D6FAE">
      <w:pPr>
        <w:pStyle w:val="TextoNormal"/>
      </w:pPr>
      <w:r>
        <w:t>En el presente caso, por las razones que se van a exponer a continuación, puede apreciarse ya en este trámite liminar que la cuestión planteada es notoriamente infundada.</w:t>
      </w:r>
    </w:p>
    <w:p w:rsidR="001D6FAE" w:rsidRDefault="001D6FAE" w:rsidP="001D6FAE">
      <w:pPr>
        <w:pStyle w:val="TextoNormal"/>
      </w:pPr>
    </w:p>
    <w:p w:rsidR="001D6FAE" w:rsidRDefault="001D6FAE" w:rsidP="001D6FAE">
      <w:pPr>
        <w:pStyle w:val="TextoNormal"/>
      </w:pPr>
      <w:r w:rsidRPr="001D6FAE">
        <w:rPr>
          <w:rStyle w:val="NumeroAFNegritaCaracter"/>
        </w:rPr>
        <w:t>3</w:t>
      </w:r>
      <w:r>
        <w:t>. La cuestión que se nos plantea es si la disposición transitoria segunda del estatuto del personal de Les Corts al establecer la integración automática del antiguo grupo E en el subgrupo C2, excluye la exigencia de titulación para este subgrupo establecida en el art. 9 del estatuto de personal, y por tanto menoscaba la capacidad como requisito absoluto para el desempeño de cada puesto de trabajo concreto y niega el mérito como elemento para el acceso o nombramiento, vulnerando el principio de igualdad de todos los españoles (art. 14 CE), el derecho a acceder en condiciones de igualdad a las funciones y cargos públicos con los requisitos que señalen las leyes (art. 23.2 CE) y el precepto que establece que “la ley regulará el acceso a la función pública de acuerdo con los principios de mérito y capacidad” (art. 103.3 CE).</w:t>
      </w:r>
    </w:p>
    <w:p w:rsidR="001D6FAE" w:rsidRDefault="001D6FAE" w:rsidP="001D6FAE">
      <w:pPr>
        <w:pStyle w:val="TextoNormal"/>
      </w:pPr>
    </w:p>
    <w:p w:rsidR="001D6FAE" w:rsidRDefault="001D6FAE" w:rsidP="001D6FAE">
      <w:pPr>
        <w:pStyle w:val="TextoNormal"/>
      </w:pPr>
      <w:r>
        <w:t>Este Tribunal ha reiterado que cuando se alega simultáneamente la vulneración de los arts. 14 y 23.2 CE, las supuestas violaciones de aquél quedan subsumidas en las más concretas de éste, salvo que la discriminación impugnada, que no es el caso en el presente supuesto, concierna a alguno de los criterios explícitamente proscritos en el art. 14 CE (por todas, STC 87/2008, de 21 de julio, FJ 3).</w:t>
      </w:r>
    </w:p>
    <w:p w:rsidR="001D6FAE" w:rsidRDefault="001D6FAE" w:rsidP="001D6FAE">
      <w:pPr>
        <w:pStyle w:val="TextoNormal"/>
      </w:pPr>
    </w:p>
    <w:p w:rsidR="001D6FAE" w:rsidRDefault="001D6FAE" w:rsidP="001D6FAE">
      <w:pPr>
        <w:pStyle w:val="TextoNormal"/>
      </w:pPr>
      <w:r>
        <w:t>Conforme con una reiterada jurisprudencia de este Tribunal, las garantías derivadas de art. 23.2 CE comprenden no sólo el acceso a la función pública sino también, aunque con distinto alcance, el desarrollo o promoción de la propia carrera administrativa (por todas, STC 87/2008, de 21 de julio, FJ 3). Así, de acuerdo con la doctrina de este Tribunal,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tendentes a lograr una mayor eficacia en la organización y prestación de los servicios públicos o a satisfacer otros bienes constitucionalmente protegidos (por todas, STC 30/2008, de 25 de febrero, FJ 5). No obstante lo anterior, ni siquiera en el supuesto de la promoción interna de quienes ya son funcionarios de carrera cabe excluir el juego de “los principios de mérito y capacidad en el acceso a la función pública”, principios que concretan y articulan el genérico juicio de igualdad en esta materia consagrado por el artículo 23.2. La promoción interna de los funcionarios a través del trabajo no puede confundirse con una patente para excluir la vigencia de estos preceptos constitucionales ni siquiera temporal y excepcionalmente, puesto que nada permite al legislador estatal o autonómico transgredir los límites que la Constitución impone a su libertad de configuración normativa y menos cuando está en juego un derecho con rango de fundamental como es la igualdad de acceso de todos los ciudadanos a las funciones públicas (art. 23.2 de la Constitución Española).</w:t>
      </w:r>
    </w:p>
    <w:p w:rsidR="001D6FAE" w:rsidRDefault="001D6FAE" w:rsidP="001D6FAE">
      <w:pPr>
        <w:pStyle w:val="TextoNormal"/>
      </w:pPr>
    </w:p>
    <w:p w:rsidR="001D6FAE" w:rsidRDefault="001D6FAE" w:rsidP="001D6FAE">
      <w:pPr>
        <w:pStyle w:val="TextoNormal"/>
      </w:pPr>
      <w:r>
        <w:t>Recordado lo anterior, cabe subrayar que en el proceso a quo, se puso sobre la mesa una interpretación alternativa de la disposición impugnada. Así, el Letrado de Las Cortes señaló que el acuerdo de la Mesa de las Cortes de 20 de octubre de 2015 —en el que se recoge la interpretación que se hizo de la disposición impugnada en el acuerdo de la Mesa negociadora del personal de las Cortes de 2 de octubre de 2015 (acuerdo coincidente en fechas precisamente con el escrito de desistimiento de 5 de octubre de 2015 por parte del sindicato actor)—, interpretó que la integración automática del antiguo grupo E en el subgrupo C2 que se establece en la disposición transitoria segunda del estatuto del personal de Les Corts no eximía del cumplimiento de titulación requerido para este subgrupo en el art. 9 del propio estatuto de personal. En aquel acuerdo, la Mesa de Les Corts consideró que en estricto cumplimiento de los principios de mérito y capacidad el personal afectado por el proceso de reconversión habría de estar en posesión de la titulación requerida por el puesto de trabajo. En el supuesto en que no se poseyese la titulación necesaria quedará el afectado en el puesto de trabajo actual adecuado a su titulación.</w:t>
      </w:r>
    </w:p>
    <w:p w:rsidR="001D6FAE" w:rsidRDefault="001D6FAE" w:rsidP="001D6FAE">
      <w:pPr>
        <w:pStyle w:val="TextoNormal"/>
      </w:pPr>
    </w:p>
    <w:p w:rsidR="001D6FAE" w:rsidRDefault="001D6FAE" w:rsidP="001D6FAE">
      <w:pPr>
        <w:pStyle w:val="TextoNormal"/>
      </w:pPr>
      <w:r>
        <w:t>Esta misma interpretación de la disposición impugnada ha sido la realizada por la Fiscal General del Estado cuando considera que de la disposición transitoria segunda del estatuto del personal de Les Corts no cabría extraer el establecimiento de una exención del cumplimiento del requisito de titulación recogido en el propio estatuto de personal.</w:t>
      </w:r>
    </w:p>
    <w:p w:rsidR="001D6FAE" w:rsidRDefault="001D6FAE" w:rsidP="001D6FAE">
      <w:pPr>
        <w:pStyle w:val="TextoNormal"/>
      </w:pPr>
    </w:p>
    <w:p w:rsidR="001D6FAE" w:rsidRDefault="001D6FAE" w:rsidP="001D6FAE">
      <w:pPr>
        <w:pStyle w:val="TextoNormal"/>
      </w:pPr>
      <w:r>
        <w:t>Nos encontramos, por tanto, ante una cuestión notoriamente infundada, en el sentido que le ha dado a tal concepto la doctrina de esta Tribunal cuando se ha referido a la existencia de supuestos en los que un examen preliminar permite apreciar la falta de viabilidad de la cuestión suscitada, sin que ello signifique un juicio peyorativo sobre la duda de constitucionalidad trasladada por el órgano judicial, pues el precepto controvertido era susceptible de una interpretación alternativa que no desborda el tenor literal del precepto. La Sala podía haber acomodado por vía interpretativa el precepto aplicable con tan sólo entender que la referencia a la integración automática del antiguo grupo E en el subgrupo C2 que se establece en la disposición transitoria segunda del estatuto del personal de Les Corts no exime del cumplimiento de titulación requerido para este subgrupo en el art. 9 del propio estatuto de personal.</w:t>
      </w:r>
    </w:p>
    <w:p w:rsidR="001D6FAE" w:rsidRDefault="001D6FAE" w:rsidP="001D6FAE">
      <w:pPr>
        <w:pStyle w:val="TextoNormal"/>
      </w:pPr>
    </w:p>
    <w:p w:rsidR="001D6FAE" w:rsidRDefault="001D6FAE" w:rsidP="001D6FAE">
      <w:pPr>
        <w:pStyle w:val="TextoNormal"/>
      </w:pPr>
      <w:r>
        <w:t>La finalidad de los procesos de inconstitucionalidad es la expulsión del ordenamiento jurídico de aquellas normas que se hallen en franca contradicción con la Constitución, y no la anulación de un determinado modo de interpretarlas, incluso por muy sólido que éste sea, cuando aquéllas ofrecen otras significaciones posibles; en este caso la interpretación que, a partir de los mismos elementos normativos, permite llegar a conclusiones opuestas a las que sustenta el órgano judicial proponente (ATC 180/2015, de 3 de noviembre, FJ 4).</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 núm. 1256-2016.</w:t>
      </w:r>
    </w:p>
    <w:p w:rsidR="001D6FAE" w:rsidRDefault="001D6FAE" w:rsidP="001D6FAE">
      <w:pPr>
        <w:pStyle w:val="TextoNormal"/>
      </w:pPr>
    </w:p>
    <w:p w:rsidR="001D6FAE" w:rsidRDefault="001D6FAE" w:rsidP="001D6FAE">
      <w:pPr>
        <w:pStyle w:val="TextoNormal"/>
      </w:pPr>
      <w:r>
        <w:t>Madrid, a uno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5" w:name="AUTO_2016_201"/>
      <w:r>
        <w:t>AUTO 201/2016, de 12 de diciembre de 2016</w:t>
      </w:r>
    </w:p>
    <w:bookmarkEnd w:id="175"/>
    <w:p w:rsidR="001D6FAE" w:rsidRDefault="001D6FAE" w:rsidP="001D6FAE">
      <w:pPr>
        <w:pStyle w:val="TtuloResolucin"/>
      </w:pPr>
      <w:r>
        <w:t>Sección Cuarta</w:t>
      </w:r>
    </w:p>
    <w:p w:rsidR="001D6FAE" w:rsidRDefault="001D6FAE" w:rsidP="001D6FAE">
      <w:pPr>
        <w:pStyle w:val="TextoNormalCentrado"/>
      </w:pPr>
      <w:r>
        <w:t>ECLI:ES:TC:2016:201A</w:t>
      </w:r>
    </w:p>
    <w:p w:rsidR="001D6FAE" w:rsidRDefault="001D6FAE" w:rsidP="001D6FAE">
      <w:pPr>
        <w:pStyle w:val="TextoNormalCentrado"/>
      </w:pPr>
    </w:p>
    <w:p w:rsidR="001D6FAE" w:rsidRDefault="001D6FAE" w:rsidP="001D6FAE">
      <w:pPr>
        <w:pStyle w:val="SntesisDescriptiva"/>
      </w:pPr>
      <w:r>
        <w:t>Excms. Srs. don Fernando Valdés Dal-Ré, don Ricardo Enríquez Sancho y don Antonio Narváez Rodríguez.</w:t>
      </w:r>
    </w:p>
    <w:p w:rsidR="001D6FAE" w:rsidRDefault="001D6FAE" w:rsidP="001D6FAE">
      <w:pPr>
        <w:pStyle w:val="SntesisDescriptiva"/>
      </w:pPr>
    </w:p>
    <w:p w:rsidR="001D6FAE" w:rsidRDefault="001D6FAE" w:rsidP="001D6FAE">
      <w:pPr>
        <w:pStyle w:val="SntesisDescriptiva"/>
      </w:pPr>
      <w:r>
        <w:t>Acuerda el desistimiento en el recurso de amparo 3606-2016, promovido en proceso contencioso-administrativo.</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22 de junio 2016 tiene entrada en el registro general del Tribunal recurso de amparo suscrito por el Procurador de los Tribunales don Antonio Rafael Rodríguez Muñoz en nombre y representación de la Universidad de Alcalá interpuesto contra Autos dictados por la Sala de lo Contencioso-Administrativo del Tribunal Superior de Justicia de Madrid (Sección de ejecuciones y extensiones de efectos-grupo 8) de fecha 8 de febrero y 25 de abril de 2016, que fue registrado con el núm. 3606-2016.</w:t>
      </w:r>
    </w:p>
    <w:p w:rsidR="001D6FAE" w:rsidRDefault="001D6FAE" w:rsidP="001D6FAE">
      <w:pPr>
        <w:pStyle w:val="TextoNormal"/>
      </w:pPr>
    </w:p>
    <w:p w:rsidR="001D6FAE" w:rsidRDefault="001D6FAE" w:rsidP="001D6FAE">
      <w:pPr>
        <w:pStyle w:val="TextoNormal"/>
      </w:pPr>
      <w:r w:rsidRPr="001D6FAE">
        <w:rPr>
          <w:rStyle w:val="NumeroAFNegritaCaracter"/>
        </w:rPr>
        <w:t>2</w:t>
      </w:r>
      <w:r>
        <w:t>. El 17 de noviembre de 2016 el Procurador Sr. Rodríguez Muñoz presentó escrito en el que solicita se tenga a su representada por desistida del recurso de amparo interpuesto y se proceda a su archivo al que acompaña acuerdo del Rectorado de la Universidad de Alcalá de 16 de noviembre de 2016.</w:t>
      </w:r>
    </w:p>
    <w:p w:rsidR="001D6FAE" w:rsidRDefault="001D6FAE" w:rsidP="001D6FAE">
      <w:pPr>
        <w:pStyle w:val="TextoNormal"/>
      </w:pPr>
    </w:p>
    <w:p w:rsidR="001D6FAE" w:rsidRDefault="001D6FAE" w:rsidP="001D6FAE">
      <w:pPr>
        <w:pStyle w:val="TextoNormal"/>
      </w:pPr>
      <w:r w:rsidRPr="001D6FAE">
        <w:rPr>
          <w:rStyle w:val="NumeroAFNegritaCaracter"/>
        </w:rPr>
        <w:t>3</w:t>
      </w:r>
      <w:r>
        <w:t>. Por diligencia de ordenación de 18 de noviembre de 2016 se dio traslado al Ministerio Fiscal a fin de que formulara alegaciones, lo que hizo por escrito presentado el 2 de diciembre de 2016 en el que manifiesta que es procedente acceder al desistimiento solicitado.</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El desistimiento es una forma de terminación del procedimiento prevista en los arts. 80 y 86 de nuestra Ley Orgánica (LOTC),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Tener por desistida del presente recurso de amparo a la Universidad de Alcalá y archivar las presentes actuaciones.</w:t>
      </w:r>
    </w:p>
    <w:p w:rsidR="001D6FAE" w:rsidRDefault="001D6FAE" w:rsidP="001D6FAE">
      <w:pPr>
        <w:pStyle w:val="TextoNormal"/>
      </w:pPr>
    </w:p>
    <w:p w:rsidR="001D6FAE" w:rsidRDefault="001D6FAE" w:rsidP="001D6FAE">
      <w:pPr>
        <w:pStyle w:val="TextoNormal"/>
      </w:pPr>
      <w:r>
        <w:t>Madrid, a doce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6" w:name="AUTO_2016_202"/>
      <w:r>
        <w:t>AUTO 202/2016, de 13 de diciembre de 2016</w:t>
      </w:r>
    </w:p>
    <w:bookmarkEnd w:id="176"/>
    <w:p w:rsidR="001D6FAE" w:rsidRDefault="001D6FAE" w:rsidP="001D6FAE">
      <w:pPr>
        <w:pStyle w:val="TtuloResolucin"/>
      </w:pPr>
      <w:r>
        <w:t>Pleno</w:t>
      </w:r>
    </w:p>
    <w:p w:rsidR="001D6FAE" w:rsidRDefault="001D6FAE" w:rsidP="001D6FAE">
      <w:pPr>
        <w:pStyle w:val="TextoNormalCentrado"/>
      </w:pPr>
      <w:r>
        <w:t>ECLI:ES:TC:2016:202A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4177-2016, planteada por la Sala de lo Contencioso-Administrativo del Tribunal Supremo en relación con diversos preceptos de la Ley 15/2012, de 27 de diciembre, de medidas fiscales para la sostenibilidad energética.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18 de julio de 2016 tuvo entrada en el registro general de este Tribunal oficio de la Sección Segunda de la Sala de lo de lo Contencioso-Administrativo del Tribunal Supremo, remitiendo testimonio del Auto de 14 de junio de 2016 por el que se acuerda plantear cuestión de inconstitucionalidad respecto de los arts. 1, 4.1, 6.1 y 8 de la Ley 15/2012, de 27 de diciembre, de medidas fiscales para la sostenibilidad energética, que regulan el impuesto sobre el valor de la producción de la energía eléctrica. Se acompaña testimonio íntegro del recurso de casación 8-2554-2014.</w:t>
      </w:r>
    </w:p>
    <w:p w:rsidR="001D6FAE" w:rsidRDefault="001D6FAE" w:rsidP="001D6FAE">
      <w:pPr>
        <w:pStyle w:val="TextoNormal"/>
      </w:pPr>
    </w:p>
    <w:p w:rsidR="001D6FAE" w:rsidRDefault="001D6FAE" w:rsidP="001D6FAE">
      <w:pPr>
        <w:pStyle w:val="TextoNormal"/>
      </w:pPr>
      <w:r>
        <w:t>Los preceptos cuestionados son del siguiente tenor:</w:t>
      </w:r>
    </w:p>
    <w:p w:rsidR="001D6FAE" w:rsidRDefault="001D6FAE" w:rsidP="001D6FAE">
      <w:pPr>
        <w:pStyle w:val="TextoNormal"/>
      </w:pPr>
    </w:p>
    <w:p w:rsidR="001D6FAE" w:rsidRDefault="001D6FAE" w:rsidP="001D6FAE">
      <w:pPr>
        <w:pStyle w:val="TextoNormal"/>
      </w:pPr>
      <w:r>
        <w:t>“Artículo 1. Naturaleza.</w:t>
      </w:r>
    </w:p>
    <w:p w:rsidR="001D6FAE" w:rsidRDefault="001D6FAE" w:rsidP="001D6FAE">
      <w:pPr>
        <w:pStyle w:val="TextoNormal"/>
      </w:pPr>
    </w:p>
    <w:p w:rsidR="001D6FAE" w:rsidRDefault="001D6FAE" w:rsidP="001D6FAE">
      <w:pPr>
        <w:pStyle w:val="TextoNormal"/>
      </w:pPr>
      <w:r>
        <w:t>El impuesto sobre el valor de la producción de la energía eléctrica es un tributo de carácter directo y naturaleza real que grava la realización de actividades de producción e incorporación al sistema eléctrico de energía eléctrica, medida en barras de central, a través de cada una de las instalaciones indicadas en el artículo 4 de esta Ley.”</w:t>
      </w:r>
    </w:p>
    <w:p w:rsidR="001D6FAE" w:rsidRDefault="001D6FAE" w:rsidP="001D6FAE">
      <w:pPr>
        <w:pStyle w:val="TextoNormal"/>
      </w:pPr>
    </w:p>
    <w:p w:rsidR="001D6FAE" w:rsidRDefault="001D6FAE" w:rsidP="001D6FAE">
      <w:pPr>
        <w:pStyle w:val="TextoNormal"/>
      </w:pPr>
      <w:r>
        <w:t>“Artículo 4. Hecho imponible.</w:t>
      </w:r>
    </w:p>
    <w:p w:rsidR="001D6FAE" w:rsidRDefault="001D6FAE" w:rsidP="001D6FAE">
      <w:pPr>
        <w:pStyle w:val="TextoNormal"/>
      </w:pPr>
    </w:p>
    <w:p w:rsidR="001D6FAE" w:rsidRDefault="001D6FAE" w:rsidP="001D6FAE">
      <w:pPr>
        <w:pStyle w:val="TextoNormal"/>
      </w:pPr>
      <w:r>
        <w:t>1. Constituye el hecho imponible la producción e incorporación al sistema eléctrico de energía eléctrica medida en barras de central, incluidos el sistema eléctrico peninsular y los territorios insulares y extrapeninsulares, en cualquiera de las instalaciones a las que se refiere el Título IV de la Ley 54/1997, de 27 de noviembre, del Sector Eléctrico.”</w:t>
      </w:r>
    </w:p>
    <w:p w:rsidR="001D6FAE" w:rsidRDefault="001D6FAE" w:rsidP="001D6FAE">
      <w:pPr>
        <w:pStyle w:val="TextoNormal"/>
      </w:pPr>
    </w:p>
    <w:p w:rsidR="001D6FAE" w:rsidRDefault="001D6FAE" w:rsidP="001D6FAE">
      <w:pPr>
        <w:pStyle w:val="TextoNormal"/>
      </w:pPr>
      <w:r>
        <w:t>“Artículo 6. Base imponible.</w:t>
      </w:r>
    </w:p>
    <w:p w:rsidR="001D6FAE" w:rsidRDefault="001D6FAE" w:rsidP="001D6FAE">
      <w:pPr>
        <w:pStyle w:val="TextoNormal"/>
      </w:pPr>
    </w:p>
    <w:p w:rsidR="001D6FAE" w:rsidRDefault="001D6FAE" w:rsidP="001D6FAE">
      <w:pPr>
        <w:pStyle w:val="TextoNormal"/>
      </w:pPr>
      <w:r>
        <w:t>1. La base imponible del impuesto estará constituida por el importe total que corresponda percibir al contribuyente por la producción e incorporación al sistema eléctrico de energía eléctrica, medida en barras de central, por cada instalación, en el período impositivo.</w:t>
      </w:r>
    </w:p>
    <w:p w:rsidR="001D6FAE" w:rsidRDefault="001D6FAE" w:rsidP="001D6FAE">
      <w:pPr>
        <w:pStyle w:val="TextoNormal"/>
      </w:pPr>
    </w:p>
    <w:p w:rsidR="001D6FAE" w:rsidRDefault="001D6FAE" w:rsidP="001D6FAE">
      <w:pPr>
        <w:pStyle w:val="TextoNormal"/>
      </w:pPr>
      <w:r>
        <w:t>A estos efectos, en el cálculo del importe total se considerarán las retribuciones previstas en todos los regímenes económicos que se deriven de lo establecido en la Ley 54/1997, de 27 de noviembre, del Sector Eléctrico, en el período impositivo correspondiente, así como las previstas en el régimen económico específico para el caso de actividades de producción e incorporación al sistema eléctrico de energía eléctrica en los territorios insulares y extrapeninsulares.”</w:t>
      </w:r>
    </w:p>
    <w:p w:rsidR="001D6FAE" w:rsidRDefault="001D6FAE" w:rsidP="001D6FAE">
      <w:pPr>
        <w:pStyle w:val="TextoNormal"/>
      </w:pPr>
    </w:p>
    <w:p w:rsidR="001D6FAE" w:rsidRDefault="001D6FAE" w:rsidP="001D6FAE">
      <w:pPr>
        <w:pStyle w:val="TextoNormal"/>
      </w:pPr>
      <w:r>
        <w:t>“Artículo 8. Tipo de gravamen.</w:t>
      </w:r>
    </w:p>
    <w:p w:rsidR="001D6FAE" w:rsidRDefault="001D6FAE" w:rsidP="001D6FAE">
      <w:pPr>
        <w:pStyle w:val="TextoNormal"/>
      </w:pPr>
    </w:p>
    <w:p w:rsidR="001D6FAE" w:rsidRDefault="001D6FAE" w:rsidP="001D6FAE">
      <w:pPr>
        <w:pStyle w:val="TextoNormal"/>
      </w:pPr>
      <w:r>
        <w:t>El impuesto se exigirá al tipo del 7 por ciento.”</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relevantes para el examen de la cuestión son los siguientes:</w:t>
      </w:r>
    </w:p>
    <w:p w:rsidR="001D6FAE" w:rsidRDefault="001D6FAE" w:rsidP="001D6FAE">
      <w:pPr>
        <w:pStyle w:val="TextoNormal"/>
      </w:pPr>
    </w:p>
    <w:p w:rsidR="001D6FAE" w:rsidRDefault="001D6FAE" w:rsidP="001D6FAE">
      <w:pPr>
        <w:pStyle w:val="TextoNormal"/>
      </w:pPr>
      <w:r>
        <w:t>a) En el recurso tramitado ante la Audiencia Nacional con el núm. 297-2013, la mercantil I.G., S.A.U., impugnó la Orden HAP/703/2013, de 29 de abril, por la que se aprueba el modelo 583 “impuesto sobre el valor de la producción de la energía eléctrica. Autoliquidación y pagos fraccionados”, y se establece la forma y procedimiento para su presentación. Entre otros motivos, la recurrente sostuvo que la Ley 15/2012, objeto de desarrollo por la citada Orden, es inconstitucional y disconforme con el Derecho europeo.</w:t>
      </w:r>
    </w:p>
    <w:p w:rsidR="001D6FAE" w:rsidRDefault="001D6FAE" w:rsidP="001D6FAE">
      <w:pPr>
        <w:pStyle w:val="TextoNormal"/>
      </w:pPr>
    </w:p>
    <w:p w:rsidR="001D6FAE" w:rsidRDefault="001D6FAE" w:rsidP="001D6FAE">
      <w:pPr>
        <w:pStyle w:val="TextoNormal"/>
      </w:pPr>
      <w:r>
        <w:t>b) Desestimado el recurso contencioso-administrativo por Sentencia de 2 de junio de 2014, I.G., S.A.U., interpuso recurso de casación.</w:t>
      </w:r>
    </w:p>
    <w:p w:rsidR="001D6FAE" w:rsidRDefault="001D6FAE" w:rsidP="001D6FAE">
      <w:pPr>
        <w:pStyle w:val="TextoNormal"/>
      </w:pPr>
    </w:p>
    <w:p w:rsidR="001D6FAE" w:rsidRDefault="001D6FAE" w:rsidP="001D6FAE">
      <w:pPr>
        <w:pStyle w:val="TextoNormal"/>
      </w:pPr>
      <w:r>
        <w:t>c) Señalado el día 12 de abril de 2016 para deliberación y fallo, por providencia adoptada en la misma fecha de acuerdo con el art. 35.2 de la Ley Orgánica del Tribunal Constitucional (LOTC), se dio audiencia a las partes y al Ministerio Fiscal sobre la procedencia de plantear cuestión de inconstitucionalidad en relación con los arts. 1, 4.1, 6.1, 8 y 9 de la Ley 15/2012, habida cuenta de su eventual oposición al art. 31.1 CE, en relación con la consolidada jurisprudencia del Tribunal Constitucional sobre los tributos de naturaleza extrafiscal.</w:t>
      </w:r>
    </w:p>
    <w:p w:rsidR="001D6FAE" w:rsidRDefault="001D6FAE" w:rsidP="001D6FAE">
      <w:pPr>
        <w:pStyle w:val="TextoNormal"/>
      </w:pPr>
    </w:p>
    <w:p w:rsidR="001D6FAE" w:rsidRDefault="001D6FAE" w:rsidP="001D6FAE">
      <w:pPr>
        <w:pStyle w:val="TextoNormal"/>
      </w:pPr>
      <w:r>
        <w:t>d) En la evacuación del trámite de alegaciones, la parte actora solicita la elevación de la cuestión de inconstitucionalidad sobre el conjunto de los preceptos citados, por ser contrarios a los principios del poder tributario del Estado consagrados en el art. 31.1 CE en conexión con la doctrina constitucional en materia de tributos extrafiscales; el Abogado del Estado se opuso al planteamiento de la cuestión; el Ministerio Fiscal no se opuso a la procedencia de su planteamiento, alegando en cuanto al fondo, en el marco de provisionalidad y aproximación inicial que implica el mero propósito de comprobar la razonabilidad de la duda de constitucionalidad.</w:t>
      </w:r>
    </w:p>
    <w:p w:rsidR="001D6FAE" w:rsidRDefault="001D6FAE" w:rsidP="001D6FAE">
      <w:pPr>
        <w:pStyle w:val="TextoNormal"/>
      </w:pPr>
    </w:p>
    <w:p w:rsidR="001D6FAE" w:rsidRDefault="001D6FAE" w:rsidP="001D6FAE">
      <w:pPr>
        <w:pStyle w:val="TextoNormal"/>
      </w:pPr>
      <w:r>
        <w:t>e) Por Auto de 14 de junio de 2016, la Sección Segunda de la Sala de lo Contencioso-Administrativo del Tribunal Supremo acordó plantear la cuestión de inconstitucionalidad respecto de los arts. 1, 4.1, 6.1 y 8 de la Ley 15/2012, en atención a su eventual oposición al principio de capacidad económica que proclama el art. 31.1 CE.</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de la cuestión de inconstitucionalidad, interesa destacar lo siguiente:</w:t>
      </w:r>
    </w:p>
    <w:p w:rsidR="001D6FAE" w:rsidRDefault="001D6FAE" w:rsidP="001D6FAE">
      <w:pPr>
        <w:pStyle w:val="TextoNormal"/>
      </w:pPr>
    </w:p>
    <w:p w:rsidR="001D6FAE" w:rsidRDefault="001D6FAE" w:rsidP="001D6FAE">
      <w:pPr>
        <w:pStyle w:val="TextoNormal"/>
      </w:pPr>
      <w:r>
        <w:t xml:space="preserve">a) Frente al criterio de la Sala de instancia y del sostenido por el Abogado del Estado en el trámite del art. 35.2 LOTC, que consideran que no procede plantear la cuestión de inconstitucionalidad, por no apreciar conexión entre la norma reglamentaria impugnada en el proceso </w:t>
      </w:r>
      <w:r w:rsidRPr="001D6FAE">
        <w:rPr>
          <w:i/>
        </w:rPr>
        <w:t>a quo</w:t>
      </w:r>
      <w:r>
        <w:t xml:space="preserve"> y la Ley 15/2012, el órgano promotor de esta cuestión de inconstitucionalidad entiende que tal planteamiento desconoce la íntima conexión existente entre las obligaciones formales y materiales que componen la relación jurídico-tributaria, pues si la exigibilidad de las formales está condicionada a la previa existencia de una obligación material, nada impide cuestionar aquéllas con el argumento de que éstas son inválidas por inconstitucionales, o ineficaces por contrarias al ordenamiento jurídico de la Unión Europea. Si la obligación tributaria material regulada en la Ley es contraria al ordenamiento jurídico, tal vicio se traslada a la obligación formal que es su complemento. Negar que el recurso contra la disposición reglamentaria pueda sustentarse en tales vicios de la Ley incorpora una restricción a la impugnación de las disposiciones administrativas que no está en la Ley reguladora de la jurisdicción contencioso-administrativa ni en el art. 106.1 CE, y limita injustificadamente la efectividad de la tutela judicial, con desconocimiento del art. 24.1 CE.</w:t>
      </w:r>
    </w:p>
    <w:p w:rsidR="001D6FAE" w:rsidRDefault="001D6FAE" w:rsidP="001D6FAE">
      <w:pPr>
        <w:pStyle w:val="TextoNormal"/>
      </w:pPr>
    </w:p>
    <w:p w:rsidR="001D6FAE" w:rsidRDefault="001D6FAE" w:rsidP="001D6FAE">
      <w:pPr>
        <w:pStyle w:val="TextoNormal"/>
      </w:pPr>
      <w:r>
        <w:t>A lo anterior no se opone el ATC 54/2006, de 15 de febrero, invocado en la sentencia recurrida en casación. Dicho Auto afirmó que (salvo las excepciones que contempla) las disposiciones reglamentarias no pueden ser objeto de cuestión de inconstitucionalidad. Pero no dice, y no podría decir, que, cuando un tribunal ordinario tenga que zanjar un litigio en el que se discute una disposición administrativa que desarrolla una ley de cuya constitucionalidad dude, no pueda dirigirse incidentalmente al Tribunal Constitucional para que despeje la duda, debiendo, en tal caso, dejar imprejuzgada la cuestión. Tampoco son obstáculo las SSTC 255/2004, de 23 de diciembre, y 148/2006, de 9 de mayo. En ellas se condiciona la admisibilidad de la cuestión a que la exteriorización del juicio de relevancia ponga de relieve la conexión entre los preceptos reglamentarios impugnados y las disposiciones legales cuestionadas. La conexión se da en este caso, pues si la obligación material disciplinada en la Ley 15/2012 es contraria a la Constitución Española, la formal regulada en la Orden ministerial discutida perdería cobertura, siendo nula. Resulta pues evidente que la decisión del recurso contencioso-administrativo depende de la validez constitucional de la Ley 15/2012 (SSTC 60/2013, de 13 de marzo, FJ 1, y 53/2014, de 10 de abril, FJ 1).</w:t>
      </w:r>
    </w:p>
    <w:p w:rsidR="001D6FAE" w:rsidRDefault="001D6FAE" w:rsidP="001D6FAE">
      <w:pPr>
        <w:pStyle w:val="TextoNormal"/>
      </w:pPr>
    </w:p>
    <w:p w:rsidR="001D6FAE" w:rsidRDefault="001D6FAE" w:rsidP="001D6FAE">
      <w:pPr>
        <w:pStyle w:val="TextoNormal"/>
      </w:pPr>
      <w:r>
        <w:t>La STC 183/2014, de 6 de noviembre, analizó la constitucionalidad de la Ley 15/2012, pero desde la perspectiva de los principios de seguridad jurídica e igualdad (arts. 9.3 y 14 CE). Para el Auto de planteamiento, en la presente cuestión de inconstitucionalidad “se trata de determinar, en un análisis más técnico, específico y detallado del tributo, si se ajusta a los requerimientos que a la potestad tributaria del Estado impone el artículo 31.1 de la Constitución”.</w:t>
      </w:r>
    </w:p>
    <w:p w:rsidR="001D6FAE" w:rsidRDefault="001D6FAE" w:rsidP="001D6FAE">
      <w:pPr>
        <w:pStyle w:val="TextoNormal"/>
      </w:pPr>
    </w:p>
    <w:p w:rsidR="001D6FAE" w:rsidRDefault="001D6FAE" w:rsidP="001D6FAE">
      <w:pPr>
        <w:pStyle w:val="TextoNormal"/>
      </w:pPr>
      <w:r>
        <w:t>b) Tras exponer el marco regulador del impuesto sobre el valor de la producción de la energía eléctrica y resumir la doctrina constitucional sobre los tributos de naturaleza extrafiscal, el Auto de planteamiento inicia la exposición de las dudas de constitucionalidad acotando su ámbito en los siguientes términos:</w:t>
      </w:r>
    </w:p>
    <w:p w:rsidR="001D6FAE" w:rsidRDefault="001D6FAE" w:rsidP="001D6FAE">
      <w:pPr>
        <w:pStyle w:val="TextoNormal"/>
      </w:pPr>
    </w:p>
    <w:p w:rsidR="001D6FAE" w:rsidRDefault="001D6FAE" w:rsidP="001D6FAE">
      <w:pPr>
        <w:pStyle w:val="TextoNormal"/>
      </w:pPr>
      <w:r>
        <w:t>“Con carácter preliminar hemos de acotar el ámbito de nuestras dudas. En primer lugar, debe quedar claro que el contraste que provoca este reenvío al Tribunal Constitucional lo es entre la Ley 15/2012 y la Constitución, en particular su artículo 31.1. No interviene para nada como elemento de enjuiciamiento en este momento el Derecho de la Unión Europea, extremo sobre el que insiste Iberdrola Generación en su escrito de alegaciones. La eventual contradicción entre la mencionada Ley y dicho ordenamiento jurídico transnacional, así como las perplejidades interpretativas que tal enjuiciamiento pudiera provocar, disponen de otro marco procesal para su solución, sobre el que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c) Para el Auto, pese a que se proclama en el preámbulo de la Ley 15/2012 la doble finalidad medioambiental y recaudatoria del impuesto sobre el valor de la producción de la energía eléctrica, sólo la finalidad fiscal se refleja de forma nítida en el articulado. La finalidad extrafiscal, de protección del medio ambiente, no aparece en el análisis de los elementos configuradores de la estructura del tributo. Resulta así llamativa la ausencia de exenciones o bonificaciones cuando se trate de actividades de reducido impacto medioambiental; la ausencia de variables con incidencia medioambiental en la base imponible, que viene constituida sin más por el valor económico de la producción e incorporación de energía eléctrica al sistema; o el tipo único de gravamen.</w:t>
      </w:r>
    </w:p>
    <w:p w:rsidR="001D6FAE" w:rsidRDefault="001D6FAE" w:rsidP="001D6FAE">
      <w:pPr>
        <w:pStyle w:val="TextoNormal"/>
      </w:pPr>
    </w:p>
    <w:p w:rsidR="001D6FAE" w:rsidRDefault="001D6FAE" w:rsidP="001D6FAE">
      <w:pPr>
        <w:pStyle w:val="TextoNormal"/>
      </w:pPr>
      <w:r>
        <w:t>Pasa pues a primer plano la otra finalidad confesada en el preámbulo: hacer frente a los “muy relevantes costes necesarios para el mantenimiento de la garantía del suministro”. Ahora bien, por más que esto sea técnicamente defectuoso, no lo convierte sin más en inconstitucional, puesto que no lo será si respeta los principios del art. 31.1 CE, en particular, el de capacidad económica. Siendo así, el órgano promotor de la cuestión considera pertinente el análisis y comparación propuesto por la recurrente entre el impuesto sobre el valor de la producción de la energía eléctrica y el impuesto sobre actividades económicas (IAE), del que se desprende que hay razones para concluir no solo que ambos impuestos recaen sobre igual manifestación de riqueza de los sujetos pasivos contribuyentes, sino que en realidad pueden estar gravando el mismo hecho imponible.</w:t>
      </w:r>
    </w:p>
    <w:p w:rsidR="001D6FAE" w:rsidRDefault="001D6FAE" w:rsidP="001D6FAE">
      <w:pPr>
        <w:pStyle w:val="TextoNormal"/>
      </w:pPr>
    </w:p>
    <w:p w:rsidR="001D6FAE" w:rsidRDefault="001D6FAE" w:rsidP="001D6FAE">
      <w:pPr>
        <w:pStyle w:val="TextoNormal"/>
      </w:pPr>
      <w:r>
        <w:t xml:space="preserve">Añade el Auto de planteamiento que la doble imposición no sería </w:t>
      </w:r>
      <w:r w:rsidRPr="001D6FAE">
        <w:rPr>
          <w:i/>
        </w:rPr>
        <w:t>per se</w:t>
      </w:r>
      <w:r>
        <w:t xml:space="preserve"> contraria al principio de capacidad económica proclamado por el art. 31.1 CE, pero “este Tribunal Supremo no tiene claro, enfrentando la resolución del presente recurso de casación, que la circunstancia de que el impuesto sobre el valor de la producción de la energía eléctrica someta a tributación la misma capacidad económica por la que los productores de energía eléctrica abonan el IAE, sin responder nítidamente además a la otra finalidad extrafiscal que teóricamente lo justifica, la medioambiental, no incida sobre dicho principio contributivo, sin cuyo respeto no cabe hablar de tributos constitucionalmente admisibles”.</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providencia de 18 de octubre de 2016, el Pleno, a propuesta de la Sección Cuarta, acordó, a los efectos que determina el art. 37.1 LOTC, oír al Fiscal General del Estado para que, en el plazo de diez días, alegara lo que considerase conveniente acerca de la admisibilidad de la presente cuestión de inconstitucionalidad, en relación con el cumplimiento de los requisitos procesales (art. 35.2 LOTC).</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 escrito de alegaciones en este Tribunal el día 11 de noviembre de 2016, instando la inadmisión de esta cuestión de inconstitucionalidad por deficiencias en el cumplimiento de los requisitos procesales, en atención a las razones que a continuación se resumen.</w:t>
      </w:r>
    </w:p>
    <w:p w:rsidR="001D6FAE" w:rsidRDefault="001D6FAE" w:rsidP="001D6FAE">
      <w:pPr>
        <w:pStyle w:val="TextoNormal"/>
      </w:pPr>
    </w:p>
    <w:p w:rsidR="001D6FAE" w:rsidRDefault="001D6FAE" w:rsidP="001D6FAE">
      <w:pPr>
        <w:pStyle w:val="TextoNormal"/>
      </w:pPr>
      <w:r>
        <w:t>a) La cuestión relativa a la posible inadmisión de la presente cuestión de inconstitucionalidad por infracción de requisitos procesales (art. 35.2 LOTC) ha de quedar limitada a la comprobación de la forma en que la Sala ha formulado, en el Auto de planteamiento, los denominados juicios de aplicabilidad y de relevancia, según han quedado conformados por la doctrina constitucional.</w:t>
      </w:r>
    </w:p>
    <w:p w:rsidR="001D6FAE" w:rsidRDefault="001D6FAE" w:rsidP="001D6FAE">
      <w:pPr>
        <w:pStyle w:val="TextoNormal"/>
      </w:pPr>
    </w:p>
    <w:p w:rsidR="001D6FAE" w:rsidRDefault="001D6FAE" w:rsidP="001D6FAE">
      <w:pPr>
        <w:pStyle w:val="TextoNormal"/>
      </w:pPr>
      <w:r>
        <w:t>Por lo que se refiere a la justificación de la aplicabilidad de los preceptos cuestionados para la resolución del recurso de casación núm. 2554-2014 entablado contra la Orden HAP/703/2013, el Auto de planteamiento ha dejado dicho que para resolverlo ha de partir de la base de que, si la obligación tributaria material regulada en la Ley 15/2012, en cuanto al impuesto sobre el valor de la producción de la energía eléctrica, fuera contraria al ordenamiento jurídico-constitucional, tal vicio se trasladaría a la obligación formal que es su complemento, motivo por el cual necesita saber, para zanjar el litigio que ha de fallar, si los preceptos de la Ley 15/2012 que disciplinan el impuesto sobre el valor de la producción de la energía eléctrica, de los que la orden ministerial impugnada es desarrollo y aplicación, son contrarios o no a la Constitución Española.</w:t>
      </w:r>
    </w:p>
    <w:p w:rsidR="001D6FAE" w:rsidRDefault="001D6FAE" w:rsidP="001D6FAE">
      <w:pPr>
        <w:pStyle w:val="TextoNormal"/>
      </w:pPr>
    </w:p>
    <w:p w:rsidR="001D6FAE" w:rsidRDefault="001D6FAE" w:rsidP="001D6FAE">
      <w:pPr>
        <w:pStyle w:val="TextoNormal"/>
      </w:pPr>
      <w:r>
        <w:t>Sin embargo, no ha dedicado ningún razonamiento a la exposición de las razones por las que ha decidido plantear esta cuestión de inconstitucionalidad antes que la cuestión prejudicial ante el Tribunal de Justicia de la Unión Europea que ha interesado la recurrente. Lo referido al respecto en su fundamento de derecho 4 [que ha quedado transcrito en el antecedente 3 b)] significa, con toda claridad, que la Sala ha dado prioridad al planteamiento de la cuestión de inconstitucionalidad sobre el planteamiento de la cuestión prejudicial europea que, sin embargo, también entiende procedente.</w:t>
      </w:r>
    </w:p>
    <w:p w:rsidR="001D6FAE" w:rsidRDefault="001D6FAE" w:rsidP="001D6FAE">
      <w:pPr>
        <w:pStyle w:val="TextoNormal"/>
      </w:pPr>
    </w:p>
    <w:p w:rsidR="001D6FAE" w:rsidRDefault="001D6FAE" w:rsidP="001D6FAE">
      <w:pPr>
        <w:pStyle w:val="TextoNormal"/>
      </w:pPr>
      <w:r>
        <w:t>Ello constituye el principal problema de admisibilidad de la presente cuestión de inconstitucionalidad, sobre todo a la vista de la doctrina fijada por el Tribunal en el fundamento jurídico 4 del ATC 168/2016, de 4 de octubre. Con arreglo a la misma,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dado que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La hipótesis que se plantea en la presente cuestión de inconstitucionalidad no es exactamente la misma que se planteó en el caso resuelto por el ATC 168/2016, pues ahora no se trata de un planteamiento simultáneo de la cuestión de inconstitucionalidad y de la cuestión prejudicial europea, sino de un planteamiento prioritario o preferente de la cuestión de inconstitucionalidad sobre la cuestión prejudicial europea. Sin embargo, esta diferencia no ha de implicar que la solución que haya de darse al presente caso tenga que ser diferente de la dada a aquel otro, habida cuenta de que el ATC 168/2016 ha dejado sentado, sin lugar a dudas, que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con lo que, si lo que sucede es que alberga dudas sobre la compatibilidad de esa ley con el Derecho de la Unión, lo que habrá de hacer es plantear primero la cuestión prejudicial ante el Tribunal de Justicia de la Unión Europea, de suerte que solo cuando éste haya descartado la incompatibilidad de la norma nacional con el Derecho comunitario cabrá plantear la cuestión de inconstitucionalidad”.</w:t>
      </w:r>
    </w:p>
    <w:p w:rsidR="001D6FAE" w:rsidRDefault="001D6FAE" w:rsidP="001D6FAE">
      <w:pPr>
        <w:pStyle w:val="TextoNormal"/>
      </w:pPr>
    </w:p>
    <w:p w:rsidR="001D6FAE" w:rsidRDefault="001D6FAE" w:rsidP="001D6FAE">
      <w:pPr>
        <w:pStyle w:val="TextoNormal"/>
      </w:pPr>
      <w:r>
        <w:t xml:space="preserve">Entendiendo la Sala promotora, como con toda evidencia se desprende del razonamiento contenido en el Auto de planteamiento, que los preceptos de la Ley 15/2012 que disciplinan el impuesto sobre el valor de la producción de la energía eléctrica pudieran ser a un tiempo contrarios al art. 31.1 CE e infractores del Derecho de la Unión Europea, ha dado prioridad al planteamiento de la cuestión de inconstitucionalidad sobre el planteamiento de la cuestión prejudicial europea. Al obrar así, ha venido a reconocer la inaplicabilidad actual de esos preceptos para la resolución del proceso </w:t>
      </w:r>
      <w:r w:rsidRPr="001D6FAE">
        <w:rPr>
          <w:i/>
        </w:rPr>
        <w:t>a quo</w:t>
      </w:r>
      <w:r>
        <w:t>, lo que a su vez ha de provocar la inadmisión de la presente cuestión de inconstitucionalidad por incumplimiento del requisito de la aplicabilidad (art. 37. l LOTC).</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Segunda de la Sala de lo Contencioso-Administrativo del Tribunal Supremo ha promovido cuestión de inconstitucionalidad relativa a los arts. 1, 4.1, 6.1 y 8 de la Ley 15/2012, de 27 de diciembre, de medidas fiscales para la sostenibilidad energética, que regulan el impuesto sobre el valor de la producción de la energía, por posible vulneración del principio de capacidad económico recogido en el art. 31.1 CE.</w:t>
      </w:r>
    </w:p>
    <w:p w:rsidR="001D6FAE" w:rsidRDefault="001D6FAE" w:rsidP="001D6FAE">
      <w:pPr>
        <w:pStyle w:val="TextoNormal"/>
      </w:pPr>
    </w:p>
    <w:p w:rsidR="001D6FAE" w:rsidRDefault="001D6FAE" w:rsidP="001D6FAE">
      <w:pPr>
        <w:pStyle w:val="TextoNormal"/>
      </w:pPr>
      <w:r>
        <w:t>Como ha quedado expuesto en los antecedentes de esta resolución, la Fiscal General del Estado interesa la inadmisión de esta cuestión.</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dispuesto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001D6FAE" w:rsidRDefault="001D6FAE" w:rsidP="001D6FAE">
      <w:pPr>
        <w:pStyle w:val="TextoNormal"/>
      </w:pPr>
    </w:p>
    <w:p w:rsidR="001D6FAE" w:rsidRDefault="001D6FAE" w:rsidP="001D6FAE">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001D6FAE" w:rsidRDefault="001D6FAE" w:rsidP="001D6FAE">
      <w:pPr>
        <w:pStyle w:val="TextoNormal"/>
      </w:pPr>
    </w:p>
    <w:p w:rsidR="001D6FAE" w:rsidRDefault="001D6FAE" w:rsidP="001D6FAE">
      <w:pPr>
        <w:pStyle w:val="TextoNormal"/>
      </w:pPr>
      <w:r w:rsidRPr="001D6FAE">
        <w:rPr>
          <w:rStyle w:val="NumeroAFNegritaCaracter"/>
        </w:rPr>
        <w:t>3</w:t>
      </w:r>
      <w:r>
        <w:t>. La aplicación en este caso de la referida doctrina constitucional conduce a declarar la inadmisión de la cuestión de inconstitucionalidad por incumplimiento del juicio de aplicabilidad. Como ha quedado transcrito en los antecedentes de esta resolución, el Auto de planteamiento, al acotar su duda de constitucionalidad, precisa que la eventual contradicción entre la Ley 15/2012 y el Derecho de la Unión Europea no interviene en este momento como elemento de enjuiciamiento, ya que dispone de otro marco procesal para su solución: por ello, anticipa que sobre tal extremo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Planteada la cuestión en estos términos, hemos de remitirnos al ATC 168/2016, de 4 de octubre, que ha sentado doctrina (reiterada en los AATC 183/2016 y 185/2016, ambos de 15 de noviembre, según la cual dicho enfoque determina que no pueda entenderse cumplido, respecto de la admisibilidad de la cuestión de inconstitucionalidad, el requisito de que la norma con rango de ley cuestionada sea “aplicable al caso” (arts. 163 CE y 35.1 LOTC). 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ATC 168/2016 razona en su fundamento jurídico 4 lo siguiente:</w:t>
      </w:r>
    </w:p>
    <w:p w:rsidR="001D6FAE" w:rsidRDefault="001D6FAE" w:rsidP="001D6FAE">
      <w:pPr>
        <w:pStyle w:val="TextoNormal"/>
      </w:pPr>
    </w:p>
    <w:p w:rsidR="001D6FAE" w:rsidRDefault="001D6FAE" w:rsidP="001D6FAE">
      <w:pPr>
        <w:pStyle w:val="TextoNormal"/>
      </w:pPr>
      <w: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w:t>
      </w:r>
      <w:r w:rsidRPr="001D6FAE">
        <w:rPr>
          <w:i/>
        </w:rPr>
        <w:t>Melki y Abdeli</w:t>
      </w:r>
      <w:r>
        <w:t xml:space="preserve">; de 11 de septiembre de 2014, asunto A c. B y otros; y de 4 de junio de 2015, asunto </w:t>
      </w:r>
      <w:r w:rsidRPr="001D6FAE">
        <w:rPr>
          <w:i/>
        </w:rPr>
        <w:t>Kernkraftwerke Lippe-Ems GmbH c. Hauptzollamt Osnabrück</w:t>
      </w:r>
      <w:r>
        <w:t xml:space="preserve">.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w:t>
      </w:r>
      <w:r w:rsidRPr="001D6FAE">
        <w:rPr>
          <w:i/>
        </w:rPr>
        <w:t>ex</w:t>
      </w:r>
      <w:r>
        <w:t xml:space="preserve"> art. 267 TFUE.</w:t>
      </w:r>
    </w:p>
    <w:p w:rsidR="001D6FAE" w:rsidRDefault="001D6FAE" w:rsidP="001D6FAE">
      <w:pPr>
        <w:pStyle w:val="TextoNormal"/>
      </w:pPr>
    </w:p>
    <w:p w:rsidR="001D6FAE" w:rsidRDefault="001D6FAE" w:rsidP="001D6FAE">
      <w:pPr>
        <w:pStyle w:val="TextoNormal"/>
      </w:pPr>
      <w:r>
        <w:t>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1D6FAE" w:rsidRDefault="001D6FAE" w:rsidP="001D6FAE">
      <w:pPr>
        <w:pStyle w:val="TextoNormal"/>
      </w:pPr>
    </w:p>
    <w:p w:rsidR="001D6FAE" w:rsidRDefault="001D6FAE" w:rsidP="001D6FAE">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001D6FAE" w:rsidRDefault="001D6FAE" w:rsidP="001D6FAE">
      <w:pPr>
        <w:pStyle w:val="TextoNormal"/>
      </w:pPr>
    </w:p>
    <w:p w:rsidR="001D6FAE" w:rsidRDefault="001D6FAE" w:rsidP="001D6FAE">
      <w:pPr>
        <w:pStyle w:val="TextoNormal"/>
      </w:pPr>
      <w:r>
        <w:t>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001D6FAE" w:rsidRDefault="001D6FAE" w:rsidP="001D6FAE">
      <w:pPr>
        <w:pStyle w:val="TextoNormal"/>
      </w:pPr>
    </w:p>
    <w:p w:rsidR="001D6FAE" w:rsidRDefault="001D6FAE" w:rsidP="001D6FAE">
      <w:pPr>
        <w:pStyle w:val="TextoNormal"/>
      </w:pPr>
      <w:r>
        <w:t>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1D6FAE" w:rsidRDefault="001D6FAE" w:rsidP="001D6FAE">
      <w:pPr>
        <w:pStyle w:val="TextoNormal"/>
      </w:pPr>
    </w:p>
    <w:p w:rsidR="001D6FAE" w:rsidRDefault="001D6FAE" w:rsidP="001D6FAE">
      <w:pPr>
        <w:pStyle w:val="TextoNormal"/>
      </w:pPr>
      <w:r>
        <w:t>Como advierte la Fiscal General del Estado, a diferencia de la situación examinada por el ATC 168/2016, en este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dudas acerca de la compatibilidad de la Ley 15/2012 con el Derecho de la Unión Europea, por lo que vendría obligado bien a no aplicarla, bien a plantear primero la cuestión prejudicial, y solo cuando haya quedado descartada la incompatibilidad de la norma nacional con el Derecho comunitario cabría plantear la cuestión de inconstitucionalidad.</w:t>
      </w:r>
    </w:p>
    <w:p w:rsidR="001D6FAE" w:rsidRDefault="001D6FAE" w:rsidP="001D6FAE">
      <w:pPr>
        <w:pStyle w:val="TextoNormal"/>
      </w:pPr>
    </w:p>
    <w:p w:rsidR="001D6FAE" w:rsidRDefault="001D6FAE" w:rsidP="001D6FAE">
      <w:pPr>
        <w:pStyle w:val="TextoNormal"/>
      </w:pPr>
      <w:r>
        <w:t>Por el contrario, la Sala promotora ha dado prioridad al planteamiento de la cuestión de inconstitucionalidad sobre el planteamiento de la cuestión prejudicial europea, cuando lo cierto es que la irresuelta decisión acerca de la eventual incompatibilidad de la Ley 15/2012 con el Derecho de la Unión, de confirmarse, sería causa de su inaplicabilidad en el proceso y, por tanto, faltaría una de las condiciones exigidas para la admisibilidad de la cuestión de inconstitucionalidad (art. 37.1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trece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7" w:name="AUTO_2016_203"/>
      <w:r>
        <w:t>AUTO 203/2016, de 13 de diciembre de 2016</w:t>
      </w:r>
    </w:p>
    <w:bookmarkEnd w:id="177"/>
    <w:p w:rsidR="001D6FAE" w:rsidRDefault="001D6FAE" w:rsidP="001D6FAE">
      <w:pPr>
        <w:pStyle w:val="TtuloResolucin"/>
      </w:pPr>
      <w:r>
        <w:t>Pleno</w:t>
      </w:r>
    </w:p>
    <w:p w:rsidR="001D6FAE" w:rsidRDefault="001D6FAE" w:rsidP="001D6FAE">
      <w:pPr>
        <w:pStyle w:val="TextoNormalCentrado"/>
      </w:pPr>
      <w:r>
        <w:t>ECLI:ES:TC:2016:203A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4178-2016, planteada por la Sala de lo Contencioso-Administrativo del Tribunal Supremo en relación con diversos preceptos de la Ley 15/2012, de 27 de diciembre, de medidas fiscales para la sostenibilidad energética.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18 de julio de 2016 tuvo entrada en el registro general de este Tribunal oficio de la Sección Segunda de la Sala de lo Contencioso-Administrativo del Tribunal Supremo, remitiendo testimonio del Auto de 14 de junio de 2016 por el que se acuerda plantear cuestión de inconstitucionalidad respecto de los arts. 12, 15, 17, 18, 19, 22, 24 y 26 de la Ley 15/2012, de 27 de diciembre, de medidas fiscales para la sostenibilidad energética. Estos regulan los impuestos sobre el valor de la producción de combustible nuclear gastado y residuos radiactivos resultantes de la generación de energía nucleoeléctrica y sobre el almacenamiento de combustible nuclear gastado y residuos radioactivos en instalaciones centralizadas, por posible vulneración del art. 31.1 CE. Se acompaña testimonio íntegro del recurso de casación núm. 8-3817-2014.</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relevantes para el examen de la cuestión son los siguientes:</w:t>
      </w:r>
    </w:p>
    <w:p w:rsidR="001D6FAE" w:rsidRDefault="001D6FAE" w:rsidP="001D6FAE">
      <w:pPr>
        <w:pStyle w:val="TextoNormal"/>
      </w:pPr>
    </w:p>
    <w:p w:rsidR="001D6FAE" w:rsidRDefault="001D6FAE" w:rsidP="001D6FAE">
      <w:pPr>
        <w:pStyle w:val="TextoNormal"/>
      </w:pPr>
      <w:r>
        <w:t>a) En el recurso contencioso-administrativo tramitado ante la Audiencia Nacional con el núm. 264-2013, la sociedad Endesa Generación, S.A., impugnó la Orden HAP/538/2013, de 5 de abril, por la que se aprueban los modelos 584 “impuesto sobre la producción de combustible nuclear gastado y residuos radiactivos resultantes de la generación de energía nucleoeléctrica. Autoliquidación y pagos fraccionados” y 585 “impuesto sobre el almacenamiento de combustible nuclear gastado y residuos radiactivos en instalaciones centralizadas. Autoliquidación y pagos fraccionados”, y se establece la forma y procedimiento para su presentación. Entre otros motivos, la sociedad recurrente sostuvo que la Ley 15/2012, objeto de desarrollo por esa orden, vulnera los arts. 9.3, 14 y 31 CE y no resulta conforme con el Derecho de la Unión Europea.</w:t>
      </w:r>
    </w:p>
    <w:p w:rsidR="001D6FAE" w:rsidRDefault="001D6FAE" w:rsidP="001D6FAE">
      <w:pPr>
        <w:pStyle w:val="TextoNormal"/>
      </w:pPr>
    </w:p>
    <w:p w:rsidR="001D6FAE" w:rsidRDefault="001D6FAE" w:rsidP="001D6FAE">
      <w:pPr>
        <w:pStyle w:val="TextoNormal"/>
      </w:pPr>
      <w:r>
        <w:t>b) Desestimado el recurso contencioso-administrativo por Sentencia de 13 de octubre de 2014 de la Sección Séptima de la Sala de lo Contencioso-Administrativo de la Audiencia Nacional, la sociedad Endesa Generación, S.A., interpuso recurso de casación, en el que reiteró su argumentación relativa a que la Ley 15/2012 es inconstitucional y contraria al Derecho de la Unión Europea.</w:t>
      </w:r>
    </w:p>
    <w:p w:rsidR="001D6FAE" w:rsidRDefault="001D6FAE" w:rsidP="001D6FAE">
      <w:pPr>
        <w:pStyle w:val="TextoNormal"/>
      </w:pPr>
    </w:p>
    <w:p w:rsidR="001D6FAE" w:rsidRDefault="001D6FAE" w:rsidP="001D6FAE">
      <w:pPr>
        <w:pStyle w:val="TextoNormal"/>
      </w:pPr>
      <w:r>
        <w:t>c) Señalado el día 12 de abril de 2016 para deliberación y fallo, por providencia adoptada en la misma fecha de acuerdo con el art. 35.2 de la Ley Orgánica del Tribunal Constitucional (LOTC), la Sección Segunda de la Sala de lo Contencioso-Administrativo del Tribunal Supremo dio audiencia a las partes y al Ministerio Fiscal sobre la procedencia de plantear cuestión de inconstitucionalidad en relación con los arts. 12, 15, 17, 18, 19, 22, 24 y 26 de la Ley 15/2012, de 27 de diciembre, de medidas fiscales para la sostenibilidad energética, habida cuenta de su eventual oposición al art. 31.1 CE, en relación con la consolidada jurisprudencia del Tribunal Constitucional sobre los tributos de naturaleza extrafiscal.</w:t>
      </w:r>
    </w:p>
    <w:p w:rsidR="001D6FAE" w:rsidRDefault="001D6FAE" w:rsidP="001D6FAE">
      <w:pPr>
        <w:pStyle w:val="TextoNormal"/>
      </w:pPr>
    </w:p>
    <w:p w:rsidR="001D6FAE" w:rsidRDefault="001D6FAE" w:rsidP="001D6FAE">
      <w:pPr>
        <w:pStyle w:val="TextoNormal"/>
      </w:pPr>
      <w:r>
        <w:t>d) En el trámite de alegaciones la sociedad demandante solicitó el planteamiento de la cuestión de inconstitucionalidad sobre el conjunto de los preceptos citados, por ser contrarios a los principios del poder tributario del Estado consagrados en el art. 31.1 CE, en conexión con la doctrina constitucional en materia de tributos extrafiscales. Señaló que igualmente procede la elevación de una cuestión prejudicial ante el Tribunal de Justicia de la Unión Europea, “sin que exista óbice alguno para que puedan plantearse de forma simultánea”. El Abogado del Estado se opuso al planteamiento de la cuestión de inconstitucionalidad, porque los preceptos de la Ley 15/2012 a los que se refiere la providencia del Tribunal Supremo no contradicen el art. 31.1 CE ni la doctrina constitucional sobre los tributos de naturaleza extrafiscal. El Ministerio Fiscal entendió que concurren los requisitos procesales legalmente previstos en el art. 35 LOTC y que del análisis provisional sobre la razonabilidad de la duda de constitucionalidad que formula el órgano judicial no resultan razones fundadas para formular objeción desde el punto de vista jurídico-material al planteamiento de la cuestión de inconstitucionalidad.</w:t>
      </w:r>
    </w:p>
    <w:p w:rsidR="001D6FAE" w:rsidRDefault="001D6FAE" w:rsidP="001D6FAE">
      <w:pPr>
        <w:pStyle w:val="TextoNormal"/>
      </w:pPr>
    </w:p>
    <w:p w:rsidR="001D6FAE" w:rsidRDefault="001D6FAE" w:rsidP="001D6FAE">
      <w:pPr>
        <w:pStyle w:val="TextoNormal"/>
      </w:pPr>
      <w:r>
        <w:t>e) Por Auto de 14 de junio de 2016, la Sección Segunda de la Sala de lo Contencioso-Administrativo del Tribunal Supremo acordó plantear cuestión de inconstitucionalidad respecto de los arts. 12, 15, 17, 18, 19, 22, 24 y 26 de la Ley 15/2012, de 27 de diciembre, de medidas fiscales para la sostenibilidad energética, en atención a su eventual oposición al principio de capacidad económica que proclama el art. 31.1 CE.</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de la cuestión de inconstitucionalidad, interesa destacar lo siguiente:</w:t>
      </w:r>
    </w:p>
    <w:p w:rsidR="001D6FAE" w:rsidRDefault="001D6FAE" w:rsidP="001D6FAE">
      <w:pPr>
        <w:pStyle w:val="TextoNormal"/>
      </w:pPr>
    </w:p>
    <w:p w:rsidR="001D6FAE" w:rsidRDefault="001D6FAE" w:rsidP="001D6FAE">
      <w:pPr>
        <w:pStyle w:val="TextoNormal"/>
      </w:pPr>
      <w:r>
        <w:t xml:space="preserve">a) Frente al criterio de la Sala de instancia y del sostenido por el Abogado del Estado en el trámite del art. 35.2 LOTC, que consideran que no procede plantear la cuestión de inconstitucionalidad por no apreciar conexión entre la norma reglamentaria impugnada en el proceso </w:t>
      </w:r>
      <w:r w:rsidRPr="001D6FAE">
        <w:rPr>
          <w:i/>
        </w:rPr>
        <w:t>a quo</w:t>
      </w:r>
      <w:r>
        <w:t xml:space="preserve"> y la Ley 15/2012, la Sala de lo Contencioso-Administrativo del Tribunal Supremo entiende que tal postura desconoce la íntima conexión existente entre las obligaciones formales y materiales que componen la relación jurídico-tributaria; si la exigibilidad de las formales está condicionada a la previa existencia de una obligación material, nada impide cuestionar aquéllas con el argumento de que éstas son inválidas por inconstitucionales, o ineficaces por contrarias al ordenamiento jurídico de la Unión Europea. Si la obligación tributaria material regulada en la Ley es contraria al ordenamiento jurídico, tal vicio se traslada a la obligación formal que es su complemento. Negar que el recurso contra la disposición reglamentaria pueda sustentarse en tales vicios de la Ley supone incorporar una restricción a la impugnación de las disposiciones administrativas que no está contemplada en la Ley reguladora de la jurisdicción contencioso-administrativa ni en el art. 106.1 CE y que limita injustificadamente la efectividad de la tutela judicial, con desconocimiento del art. 24.1 CE.</w:t>
      </w:r>
    </w:p>
    <w:p w:rsidR="001D6FAE" w:rsidRDefault="001D6FAE" w:rsidP="001D6FAE">
      <w:pPr>
        <w:pStyle w:val="TextoNormal"/>
      </w:pPr>
    </w:p>
    <w:p w:rsidR="001D6FAE" w:rsidRDefault="001D6FAE" w:rsidP="001D6FAE">
      <w:pPr>
        <w:pStyle w:val="TextoNormal"/>
      </w:pPr>
      <w:r>
        <w:t xml:space="preserve">A lo anterior no se opone el ATC 54/2006, de 15 de febrero, invocado en la sentencia recurrida en casación. Dicho Auto afirmó que (salvo las excepciones que contempla) las disposiciones reglamentarias no pueden ser objeto de cuestión de inconstitucionalidad. Pero no dice —ni podría decir— que, cuando un tribunal ordinario tenga que zanjar un litigio en el que se discute una disposición administrativa que desarrolla una ley de cuya constitucionalidad dude, no pueda dirigirse incidentalmente al Tribunal Constitucional para que despeje la duda, debiendo, en tal caso, dejar imprejuzgada la cuestión. Tampoco son obstáculo al planteamiento de la cuestión las SSTC 255/2004, de 23 de diciembre, y 148/2006, de 9 de mayo. En ellas se condiciona la admisibilidad de la cuestión de inconstitucionalidad a que la exteriorización del juicio de relevancia ponga de relieve la conexión entre los preceptos reglamentarios impugnados y las disposiciones legales cuestionadas. La conexión se da en este caso, pues si la obligación material establecida en la Ley 15/2012 es contraria a la Constitución, la obligación formal regulada en la Orden ministerial impugnada en el proceso </w:t>
      </w:r>
      <w:r w:rsidRPr="001D6FAE">
        <w:rPr>
          <w:i/>
        </w:rPr>
        <w:t>a quo</w:t>
      </w:r>
      <w:r>
        <w:t xml:space="preserve"> perdería su cobertura legal, siendo en consecuencia nula. Resulta pues evidente que la decisión del recurso contencioso-administrativo depende de la validez constitucional de la Ley 15/2012 (SSTC 60/2013, de 13 de marzo, FJ 1, y 53/2014, de 10 de abril, FJ 1).</w:t>
      </w:r>
    </w:p>
    <w:p w:rsidR="001D6FAE" w:rsidRDefault="001D6FAE" w:rsidP="001D6FAE">
      <w:pPr>
        <w:pStyle w:val="TextoNormal"/>
      </w:pPr>
    </w:p>
    <w:p w:rsidR="001D6FAE" w:rsidRDefault="001D6FAE" w:rsidP="001D6FAE">
      <w:pPr>
        <w:pStyle w:val="TextoNormal"/>
      </w:pPr>
      <w:r>
        <w:t>Por otra parte se razona que la STC 183/2014, de 6 de noviembre, analizó la constitucionalidad de la Ley 15/2012, pero desde la perspectiva de los principios de seguridad jurídica e igualdad (arts. 9.3 y 14 CE). Según el Auto de planteamiento, en la presente cuestión de inconstitucionalidad “se trata de determinar, en un análisis más técnico, específico y detallado de los impuestos que nos ocupan, si se ajustan a los requerimientos que a la potestad tributaria del Estado impone el artículo 31.1 de la Constitución”.</w:t>
      </w:r>
    </w:p>
    <w:p w:rsidR="001D6FAE" w:rsidRDefault="001D6FAE" w:rsidP="001D6FAE">
      <w:pPr>
        <w:pStyle w:val="TextoNormal"/>
      </w:pPr>
    </w:p>
    <w:p w:rsidR="001D6FAE" w:rsidRDefault="001D6FAE" w:rsidP="001D6FAE">
      <w:pPr>
        <w:pStyle w:val="TextoNormal"/>
      </w:pPr>
      <w:r>
        <w:t>b) Tras exponer el marco regulador de los impuestos a los que se refiere la cuestión, contenido en la Ley 15/2012, modificada por la Ley 16/2013, de 29 de octubre, y resumir la doctrina constitucional sobre los tributos de naturaleza extrafiscal, el Auto de planteamiento inicia la exposición de las dudas de constitucionalidad acotando con carácter preliminar su ámbito en los siguientes términos:</w:t>
      </w:r>
    </w:p>
    <w:p w:rsidR="001D6FAE" w:rsidRDefault="001D6FAE" w:rsidP="001D6FAE">
      <w:pPr>
        <w:pStyle w:val="TextoNormal"/>
      </w:pPr>
    </w:p>
    <w:p w:rsidR="001D6FAE" w:rsidRDefault="001D6FAE" w:rsidP="001D6FAE">
      <w:pPr>
        <w:pStyle w:val="TextoNormal"/>
      </w:pPr>
      <w:r>
        <w:t>“En primer lugar, debe quedar claro que el contraste que provoca este reenvío al Tribunal Constitucional lo es entre la Ley 15/2012 y la Constitución, en particular su artículo 31.1. No interviene para nada como elemento de enjuiciamiento en este momento el Derecho de la Unión Europea, extremo sobre el que insiste Endesa Generación, S.A., en su escrito de alegaciones. La eventual contradicción entre la mencionada Ley y dicho ordenamiento jurídico transnacional, así como las perplejidades interpretativas que tal enjuiciamiento pudiera provocar, disponen de otro marco procesal para su solución, sobre el que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En segundo lugar, se precisa en el Auto que la cuestión de inconstitucionalidad se refiere a una Ley en la que el Estado ejerce su potestad originaria para establecer tributos (art. 133.1 CE), haciendo valer su competencia exclusiva en materia de hacienda general (art. 149.1.14 CE), sin que se discuta sobre la colisión con hechos imponibles gravados por las Comunidades Autónomas, por lo que queda fuera del debate la interpretación del art. 6.2 de la Ley Orgánica de financiación de las Comunidades Autónomas (LOFCA), al que se remite la disposición adicional primera de la Ley 15/2012, y la doctrina constitucional al respecto.</w:t>
      </w:r>
    </w:p>
    <w:p w:rsidR="001D6FAE" w:rsidRDefault="001D6FAE" w:rsidP="001D6FAE">
      <w:pPr>
        <w:pStyle w:val="TextoNormal"/>
      </w:pPr>
    </w:p>
    <w:p w:rsidR="001D6FAE" w:rsidRDefault="001D6FAE" w:rsidP="001D6FAE">
      <w:pPr>
        <w:pStyle w:val="TextoNormal"/>
      </w:pPr>
      <w:r>
        <w:t>c) Para el Tribunal Supremo, pese a que se proclama en el preámbulo de la Ley 15/2012 la doble finalidad medioambiental y recaudatoria de los impuestos a los que se refiere la cuestión, sólo la finalidad fiscal se refleja de forma nítida en el articulado. La finalidad extrafiscal, de protección del medio ambiente, no aparece en el análisis de los elementos configuradores de la estructura de estos impuestos. Se trata de impuestos directos y reales, que inciden sobre la propia capacidad económica del contribuyente, gravando su renta; el hecho imponible se construye a partir de una determinada actividad, la producción (ya sea de combustible nuclear, ya de residuos radiactivos resultantes de la generación de energía nucleoeléctrica) o el almacenamiento de combustible nuclear gastado y de residuos radioactivos.</w:t>
      </w:r>
    </w:p>
    <w:p w:rsidR="001D6FAE" w:rsidRDefault="001D6FAE" w:rsidP="001D6FAE">
      <w:pPr>
        <w:pStyle w:val="TextoNormal"/>
      </w:pPr>
    </w:p>
    <w:p w:rsidR="001D6FAE" w:rsidRDefault="001D6FAE" w:rsidP="001D6FAE">
      <w:pPr>
        <w:pStyle w:val="TextoNormal"/>
      </w:pPr>
      <w:r>
        <w:t>La verdadera finalidad perseguida con el establecimiento de estos impuestos es la financiación del déficit tarifario por parte de las centrales nucleares. El legislador ha obviado dotar a estas figuras impositivas de elementos identificadores del pretendido carácter extrafiscal, de protección medioambiental en relación con su potencial contaminante, para desincentivarlo o estimular otras conductas. Resulta así acreditada la superposición de nuevos gravámenes al régimen tributario de un sector cuya actividad económica ya es objeto de tributación mediante las tasas previstas en la Ley 54/1997, de 27 de noviembre, del sector eléctrico, lo que podría ser contrario al principio de capacidad económica proclamado por el art. 31.1 CE.</w:t>
      </w:r>
    </w:p>
    <w:p w:rsidR="001D6FAE" w:rsidRDefault="001D6FAE" w:rsidP="001D6FAE">
      <w:pPr>
        <w:pStyle w:val="TextoNormal"/>
      </w:pPr>
    </w:p>
    <w:p w:rsidR="001D6FAE" w:rsidRDefault="001D6FAE" w:rsidP="001D6FAE">
      <w:pPr>
        <w:pStyle w:val="TextoNormal"/>
      </w:pPr>
      <w:r>
        <w:t>En definitiva, concluye el Auto de planteamiento, “se tiene serias dudas sobre el alcance extrafiscal de los impuestos analizados y su respeto al artículo 31.1 de la Constitución, al poderse estar gravando, inexistente aquella finalidad, una misma manifestación de riqueza a través de varias figuras tributarias”.</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providencia de 18 de octubre de 2016, el Pleno, a propuesta de la Sección Segunda, acordó, a los efectos que determina el art. 37.1 LOTC, oír al Fiscal General del Estado para que, en el plazo de diez días, alegara lo que considerase conveniente acerca de la admisibilidad de la presente cuestión de inconstitucionalidad, en relación con el cumplimiento de los requisitos procesales (art. 35.2 LOTC).</w:t>
      </w:r>
    </w:p>
    <w:p w:rsidR="001D6FAE" w:rsidRDefault="001D6FAE" w:rsidP="001D6FAE">
      <w:pPr>
        <w:pStyle w:val="TextoNormal"/>
      </w:pPr>
    </w:p>
    <w:p w:rsidR="001D6FAE" w:rsidRDefault="001D6FAE" w:rsidP="001D6FAE">
      <w:pPr>
        <w:pStyle w:val="TextoNormal"/>
      </w:pPr>
      <w:r w:rsidRPr="001D6FAE">
        <w:rPr>
          <w:rStyle w:val="NumeroAFNegritaCaracter"/>
        </w:rPr>
        <w:t>5</w:t>
      </w:r>
      <w:r>
        <w:t>. El Fiscal General del Estado presentó su escrito de alegaciones en este Tribunal el día 23 de noviembre de 2016, instando la inadmisión de esta cuestión de inconstitucionalidad por deficiencias en el cumplimiento de los requisitos procesales, en atención a las razones que a continuación se resumen.</w:t>
      </w:r>
    </w:p>
    <w:p w:rsidR="001D6FAE" w:rsidRDefault="001D6FAE" w:rsidP="001D6FAE">
      <w:pPr>
        <w:pStyle w:val="TextoNormal"/>
      </w:pPr>
    </w:p>
    <w:p w:rsidR="001D6FAE" w:rsidRDefault="001D6FAE" w:rsidP="001D6FAE">
      <w:pPr>
        <w:pStyle w:val="TextoNormal"/>
      </w:pPr>
      <w:r>
        <w:t>a) La cuestión relativa a la posible inadmisión de la presente cuestión de inconstitucionalidad por infracción de requisitos procesales (art. 35.2 LOTC) ha de quedar limitada a la comprobación de la forma en que el Tribunal Supremo ha formulado, en el Auto de planteamiento, los denominados juicios de aplicabilidad y de relevancia, según han quedado conformados por la doctrina constitucional.</w:t>
      </w:r>
    </w:p>
    <w:p w:rsidR="001D6FAE" w:rsidRDefault="001D6FAE" w:rsidP="001D6FAE">
      <w:pPr>
        <w:pStyle w:val="TextoNormal"/>
      </w:pPr>
    </w:p>
    <w:p w:rsidR="001D6FAE" w:rsidRDefault="001D6FAE" w:rsidP="001D6FAE">
      <w:pPr>
        <w:pStyle w:val="TextoNormal"/>
      </w:pPr>
      <w:r>
        <w:t>Por lo que se refiere a la justificación de la aplicabilidad de los preceptos cuestionados para la resolución del recurso de casación núm. 3817-2014 entablado contra la Orden HAP/538/2013, afirma el Tribunal Supremo en el Auto de planteamiento que para resolverlo ha de partir de la base de que, si la obligación tributaria material regulada en la Ley 15/2012, en cuanto a los impuestos sobre el valor de la producción y sobre el almacenamiento de combustible nuclear gastado y residuos radioactivos, fuera contraria al ordenamiento jurídico-constitucional, tal vicio se trasladaría a la obligación formal que es su complemento, motivo por el cual necesita saber, para zanjar el litigio que ha de fallar, si los preceptos de la Ley 15/2012 que disciplinan dichos impuestos, de los que la Orden ministerial impugnada es desarrollo y aplicación, son contrarios o no al art. 31.1 CE.</w:t>
      </w:r>
    </w:p>
    <w:p w:rsidR="001D6FAE" w:rsidRDefault="001D6FAE" w:rsidP="001D6FAE">
      <w:pPr>
        <w:pStyle w:val="TextoNormal"/>
      </w:pPr>
    </w:p>
    <w:p w:rsidR="001D6FAE" w:rsidRDefault="001D6FAE" w:rsidP="001D6FAE">
      <w:pPr>
        <w:pStyle w:val="TextoNormal"/>
      </w:pPr>
      <w:r>
        <w:t>Sin embargo, no ha dedicado ningún razonamiento a la exposición de las razones por las que ha decidido plantear esta cuestión de inconstitucionalidad antes que la cuestión prejudicial ante el Tribunal de Justicia de la Unión Europea que ha interesado la sociedad recurrente. Lo referido al respecto en el cuarto fundamento de derecho del Auto de planteamiento de la cuestión [que ha quedado transcrito en el antecedente 3 b)] significa, con toda claridad, que el Tribunal Supremo ha dado prioridad al planteamiento de la cuestión de inconstitucionalidad sobre el planteamiento de la cuestión prejudicial europea cuya procedencia, sin embargo, no excluye.</w:t>
      </w:r>
    </w:p>
    <w:p w:rsidR="001D6FAE" w:rsidRDefault="001D6FAE" w:rsidP="001D6FAE">
      <w:pPr>
        <w:pStyle w:val="TextoNormal"/>
      </w:pPr>
    </w:p>
    <w:p w:rsidR="001D6FAE" w:rsidRDefault="001D6FAE" w:rsidP="001D6FAE">
      <w:pPr>
        <w:pStyle w:val="TextoNormal"/>
      </w:pPr>
      <w:r>
        <w:t>Ello constituye el principal problema de admisibilidad de la presente cuestión de inconstitucionalidad, sobre todo a la vista de la doctrina sentada por el Tribunal Constitucional en ATC 168/2016, de 4 de octubre, FJ 4. Con arreglo a la misma, estando pendiente de resolución una cuestión prejudicial planteada por el órgano judicial sobre una norma legal, por entender que puede ser incompatible con el Derecho de la Unión Europea, no cabe que ese órgano judicial plantee cuestión de inconstitucionalidad sobre esa misma norma hasta que el Tribunal de Justicia de la Unión Europea resuelva; la eventual incompatibilidad de la ley nacional con el Derecho europeo sería causa de su inaplicabilidad en el proceso y, por tanto, faltaría una de las condiciones exigidas para la admisibilidad de la cuestión de inconstitucionalidad: que la norma con rango de ley cuestionada sea “aplicable al caso” (arts. 163 CE y 35.1 LOTC).</w:t>
      </w:r>
    </w:p>
    <w:p w:rsidR="001D6FAE" w:rsidRDefault="001D6FAE" w:rsidP="001D6FAE">
      <w:pPr>
        <w:pStyle w:val="TextoNormal"/>
      </w:pPr>
    </w:p>
    <w:p w:rsidR="001D6FAE" w:rsidRDefault="001D6FAE" w:rsidP="001D6FAE">
      <w:pPr>
        <w:pStyle w:val="TextoNormal"/>
      </w:pPr>
      <w:r>
        <w:t>La hipótesis que se plantea en la presente cuestión de inconstitucionalidad no es exactamente la misma que la del caso resuelto por el ATC 168/2016. Ahora no se trata de un planteamiento simultáneo de la cuestión de inconstitucionalidad y de la cuestión prejudicial europea, sino del prioritario o preferente de la cuestión de inconstitucionalidad sobre la cuestión prejudicial europea. Sin embargo, esta diferencia no ha de implicar que la solución que haya de darse al presente caso tenga que ser diferente de la dada al otro, habida cuenta de que el ATC 168/2016, FJ 4, ha dejado sentado de forma indubitada que,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con lo que, si lo que sucede es que alberga dudas sobre la compatibilidad de esa ley con el Derecho de la Unión, lo que habrá de hacer es plantear primero la cuestión prejudicial ante el Tribunal de Justicia de la Unión Europea, de suerte que solo cuando éste haya descartado la incompatibilidad de la norma nacional con el Derecho comunitario cabrá plantear la cuestión de inconstitucionalidad”.</w:t>
      </w:r>
    </w:p>
    <w:p w:rsidR="001D6FAE" w:rsidRDefault="001D6FAE" w:rsidP="001D6FAE">
      <w:pPr>
        <w:pStyle w:val="TextoNormal"/>
      </w:pPr>
    </w:p>
    <w:p w:rsidR="001D6FAE" w:rsidRDefault="001D6FAE" w:rsidP="001D6FAE">
      <w:pPr>
        <w:pStyle w:val="TextoNormal"/>
      </w:pPr>
      <w:r>
        <w:t>Entendiendo la Sala promotora de la presente cuestión, como con toda evidencia se desprende del razonamiento contenido en el Auto de planteamiento, que los preceptos de la Ley 15/2012 que regulan los impuestos sobre el valor de la producción y sobre el almacenamiento de combustible nuclear gastado y residuos radioactivos pudieran ser a un tiempo contrarios al art. 31.1 CE y lesivos del Derecho de la Unión Europea, ha dado prioridad al planteamiento de la cuestión de inconstitucionalidad sobre el planteamiento de la cuestión prejudicial europea. Al obrar así, ha venido a reconocer la inaplicabilidad actual de esos preceptos para la resolución del recurso de casación sometido a su conocimiento, lo que debe conducir a la inadmisión de la presente cuestión de inconstitucionalidad por incumplimiento del requisito de la aplicabilidad (art. 37. l LOTC).</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Segunda de la Sala de lo Contencioso-Administrativo del Tribunal Supremo ha promovido cuestión de inconstitucionalidad relativa a los arts. 12, 15, 17, 18, 19, 22, 24 y 26 de la Ley 15/2012, de 27 de diciembre, de medidas fiscales para la sostenibilidad energética, que regulan los impuestos sobre el valor de la producción y sobre el almacenamiento de combustible nuclear gastado y residuos radioactivos, por posible vulneración del principio de capacidad económica reconocido en el art. 31.1 CE.</w:t>
      </w:r>
    </w:p>
    <w:p w:rsidR="001D6FAE" w:rsidRDefault="001D6FAE" w:rsidP="001D6FAE">
      <w:pPr>
        <w:pStyle w:val="TextoNormal"/>
      </w:pPr>
    </w:p>
    <w:p w:rsidR="001D6FAE" w:rsidRDefault="001D6FAE" w:rsidP="001D6FAE">
      <w:pPr>
        <w:pStyle w:val="TextoNormal"/>
      </w:pPr>
      <w:r>
        <w:t>Como ha quedado expuesto en los antecedentes de esta resolución, el Fiscal General del Estado interesa la inadmisión de esta cuestión por incumplimiento del requisito de la aplicabilidad (art. 37. l de la Ley Orgánica del Tribunal Constitucional: LOTC).</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dispuesto en el art. 37.1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pues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001D6FAE" w:rsidRDefault="001D6FAE" w:rsidP="001D6FAE">
      <w:pPr>
        <w:pStyle w:val="TextoNormal"/>
      </w:pPr>
    </w:p>
    <w:p w:rsidR="001D6FAE" w:rsidRDefault="001D6FAE" w:rsidP="001D6FAE">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001D6FAE" w:rsidRDefault="001D6FAE" w:rsidP="001D6FAE">
      <w:pPr>
        <w:pStyle w:val="TextoNormal"/>
      </w:pPr>
    </w:p>
    <w:p w:rsidR="001D6FAE" w:rsidRDefault="001D6FAE" w:rsidP="001D6FAE">
      <w:pPr>
        <w:pStyle w:val="TextoNormal"/>
      </w:pPr>
      <w:r w:rsidRPr="001D6FAE">
        <w:rPr>
          <w:rStyle w:val="NumeroAFNegritaCaracter"/>
        </w:rPr>
        <w:t>3</w:t>
      </w:r>
      <w:r>
        <w:t>. La aplicación en este caso de la referida doctrina constitucional conduce a declarar la inadmisión de la cuestión de inconstitucionalidad por incumplimiento del juicio de aplicabilidad. Como ha quedado transcrito en los antecedentes de esta resolución, en el cuarto fundamento de derecho del Auto de planteamiento, al acotar las dudas de constitucionalidad, la Sala de lo Contencioso-Administrativo del Tribunal Supremo precisa que la eventual contradicción entre la Ley 15/2012 y el Derecho de la Unión Europea no interviene “en este momento” como elemento de enjuiciamiento, ya que dispone de otro marco procesal para su solución: por ello, anticipa que sobre tal extremo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 xml:space="preserve">Planteada la cuestión en estos términos, hemos de remitirnos al ATC 168/2016, de 4 de octubre, que ha sentado doctrina (reiterada en sendos AATC 183/2016 y 185/2016, ambos de 15 de noviembre), según la cual dicho enfoque determina que no pueda entenderse cumplido, respecto de la admisibilidad de la cuestión de inconstitucionalidad, el requisito de que la norma con rango de ley cuestionada sea “aplicable al caso” (arts. 163 CE y 35.1 LOTC). 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ATC 168/2016 razona en su FJ 4, tras referirse a la jurisprudencia del Tribunal de Justicia de la Unión Europea (Sentencias del Tribunal de Justicia de la Unión Europea de 22 de junio de 2010, asunto </w:t>
      </w:r>
      <w:r w:rsidRPr="001D6FAE">
        <w:rPr>
          <w:i/>
        </w:rPr>
        <w:t>Melki y Abdeli</w:t>
      </w:r>
      <w:r>
        <w:t xml:space="preserve">; de 11 de septiembre de 2014, </w:t>
      </w:r>
      <w:r w:rsidRPr="001D6FAE">
        <w:rPr>
          <w:i/>
        </w:rPr>
        <w:t>asunto A c. B y otros</w:t>
      </w:r>
      <w:r>
        <w:t xml:space="preserve">; y de 4 de junio de 2015, asunto </w:t>
      </w:r>
      <w:r w:rsidRPr="001D6FAE">
        <w:rPr>
          <w:i/>
        </w:rPr>
        <w:t>Kernkraftwerke Lippe-Ems GmbH c. Hauptzollamt Osnabrück</w:t>
      </w:r>
      <w:r>
        <w:t>), y a lo dispuesto en los arts. 163 CE y 35.1 LOTC, conforme a los cuales la cuestión de inconstitucionalidad debe referirse siempre a una norma legal “aplicable al caso”, que:</w:t>
      </w:r>
    </w:p>
    <w:p w:rsidR="001D6FAE" w:rsidRDefault="001D6FAE" w:rsidP="001D6FAE">
      <w:pPr>
        <w:pStyle w:val="TextoNormal"/>
      </w:pPr>
    </w:p>
    <w:p w:rsidR="001D6FAE" w:rsidRDefault="001D6FAE" w:rsidP="001D6FAE">
      <w:pPr>
        <w:pStyle w:val="TextoNormal"/>
      </w:pPr>
      <w:r>
        <w:t>“La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1D6FAE" w:rsidRDefault="001D6FAE" w:rsidP="001D6FAE">
      <w:pPr>
        <w:pStyle w:val="TextoNormal"/>
      </w:pPr>
    </w:p>
    <w:p w:rsidR="001D6FAE" w:rsidRDefault="001D6FAE" w:rsidP="001D6FAE">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001D6FAE" w:rsidRDefault="001D6FAE" w:rsidP="001D6FAE">
      <w:pPr>
        <w:pStyle w:val="TextoNormal"/>
      </w:pPr>
    </w:p>
    <w:p w:rsidR="001D6FAE" w:rsidRDefault="001D6FAE" w:rsidP="001D6FAE">
      <w:pPr>
        <w:pStyle w:val="TextoNormal"/>
      </w:pPr>
      <w:r>
        <w:t>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001D6FAE" w:rsidRDefault="001D6FAE" w:rsidP="001D6FAE">
      <w:pPr>
        <w:pStyle w:val="TextoNormal"/>
      </w:pPr>
    </w:p>
    <w:p w:rsidR="001D6FAE" w:rsidRDefault="001D6FAE" w:rsidP="001D6FAE">
      <w:pPr>
        <w:pStyle w:val="TextoNormal"/>
      </w:pPr>
      <w:r>
        <w:t>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1D6FAE" w:rsidRDefault="001D6FAE" w:rsidP="001D6FAE">
      <w:pPr>
        <w:pStyle w:val="TextoNormal"/>
      </w:pPr>
    </w:p>
    <w:p w:rsidR="001D6FAE" w:rsidRDefault="001D6FAE" w:rsidP="001D6FAE">
      <w:pPr>
        <w:pStyle w:val="TextoNormal"/>
      </w:pPr>
      <w:r>
        <w:t>Ciertamente, como advierte el Fiscal General del Estado, a diferencia de la situación examinada por el ATC 168/2016 en este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posibles dudas acerca de la compatibilidad de los preceptos cuestionados de la Ley 15/2012 con el Derecho de la Unión Europea. Venía por tanto obligado a plantear primero la cuestión prejudicial del art. 267 del Tratado de funcionamiento de la Unión Europea  (TFUE) ante el Tribunal de Justicia de la Unión Europea, de forma que solo cuando hubiera quedado descartada la incompatibilidad de la Ley 15/2012 con el Derecho europeo cabría plantear la cuestión de inconstitucionalidad. Pero si consideraba que esos preceptos legales son incompatibles con el Derecho de la Unión Europea, entonces lo procedente era no aplicarlos, conforme al principio de primacía.</w:t>
      </w:r>
    </w:p>
    <w:p w:rsidR="001D6FAE" w:rsidRDefault="001D6FAE" w:rsidP="001D6FAE">
      <w:pPr>
        <w:pStyle w:val="TextoNormal"/>
      </w:pPr>
    </w:p>
    <w:p w:rsidR="001D6FAE" w:rsidRDefault="001D6FAE" w:rsidP="001D6FAE">
      <w:pPr>
        <w:pStyle w:val="TextoNormal"/>
      </w:pPr>
      <w:r>
        <w:t>En suma, al haber dado el Tribunal Supremo prioridad al planteamiento de la cuestión de inconstitucionalidad sobre el planteamiento de la cuestión prejudicial europea, reservándose en el propio Auto la posibilidad de promover “en el momento oportuno” esta última “una vez cuente con la respuesta del Tribunal Constitucional”, debe concluirse que, siendo la eventual incompatibilidad de la ley nacional con el Derecho de la Unión Europea causa de su inaplicabilidad en el proceso, no se cumple una de las condiciones exigidas para la admisibilidad de la cuestión de inconstitucionalidad: que la norma con rango de ley cuestionada sea “aplicable al caso” (arts. 163 CE y 35.1 LOTC). Ello determina, en consecuencia, la inadmisibilidad de la presente cuestión por incumplimiento del requisito de la aplicabilidad (art. 37.1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trece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8" w:name="AUTO_2016_204"/>
      <w:r>
        <w:t>AUTO 204/2016, de 13 de diciembre de 2016</w:t>
      </w:r>
    </w:p>
    <w:bookmarkEnd w:id="178"/>
    <w:p w:rsidR="001D6FAE" w:rsidRDefault="001D6FAE" w:rsidP="001D6FAE">
      <w:pPr>
        <w:pStyle w:val="TtuloResolucin"/>
      </w:pPr>
      <w:r>
        <w:t>Pleno</w:t>
      </w:r>
    </w:p>
    <w:p w:rsidR="001D6FAE" w:rsidRDefault="001D6FAE" w:rsidP="001D6FAE">
      <w:pPr>
        <w:pStyle w:val="TextoNormalCentrado"/>
      </w:pPr>
      <w:r>
        <w:t>ECLI:ES:TC:2016:204A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4179-2016, planteada por la Sala de lo Contencioso-Administrativo del Tribunal Supremo en relación con diversos preceptos de la Ley 15/2012, de 27 de diciembre, de medidas fiscales para la sostenibilidad energética.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18 de julio de 2016 tuvo entrada en el registro general de este Tribunal oficio de la Sección Segunda de la Sala Tercera de lo Contencioso-Administrativo del Tribunal Supremo, remitiendo testimonio del Auto de 14 de junio de 2016 por el que se acuerda plantear cuestión de inconstitucionalidad respecto de los arts. 1, 4.1, 6.1 y 8 de la Ley 15/2012, de 27 de diciembre, de medidas fiscales para la sostenibilidad energética, que regulan el impuesto sobre el valor de la producción de la energía eléctrica. Se acompaña testimonio íntegro del recurso de casación 8-2955-2014.</w:t>
      </w:r>
    </w:p>
    <w:p w:rsidR="001D6FAE" w:rsidRDefault="001D6FAE" w:rsidP="001D6FAE">
      <w:pPr>
        <w:pStyle w:val="TextoNormal"/>
      </w:pPr>
    </w:p>
    <w:p w:rsidR="001D6FAE" w:rsidRDefault="001D6FAE" w:rsidP="001D6FAE">
      <w:pPr>
        <w:pStyle w:val="TextoNormal"/>
      </w:pPr>
      <w:r>
        <w:t>Los preceptos cuestionados son del siguiente tenor:</w:t>
      </w:r>
    </w:p>
    <w:p w:rsidR="001D6FAE" w:rsidRDefault="001D6FAE" w:rsidP="001D6FAE">
      <w:pPr>
        <w:pStyle w:val="TextoNormal"/>
      </w:pPr>
    </w:p>
    <w:p w:rsidR="001D6FAE" w:rsidRDefault="001D6FAE" w:rsidP="001D6FAE">
      <w:pPr>
        <w:pStyle w:val="TextoNormal"/>
      </w:pPr>
      <w:r>
        <w:t>“Artículo 1. Naturaleza.</w:t>
      </w:r>
    </w:p>
    <w:p w:rsidR="001D6FAE" w:rsidRDefault="001D6FAE" w:rsidP="001D6FAE">
      <w:pPr>
        <w:pStyle w:val="TextoNormal"/>
      </w:pPr>
    </w:p>
    <w:p w:rsidR="001D6FAE" w:rsidRDefault="001D6FAE" w:rsidP="001D6FAE">
      <w:pPr>
        <w:pStyle w:val="TextoNormal"/>
      </w:pPr>
      <w:r>
        <w:t>El impuesto sobre el valor de la producción de la energía eléctrica es un tributo de carácter directo y naturaleza real que grava la realización de actividades de producción e incorporación al sistema eléctrico de energía eléctrica, medida en barras de central, a través de cada una de las instalaciones indicadas en el artículo 4 de esta Ley.”</w:t>
      </w:r>
    </w:p>
    <w:p w:rsidR="001D6FAE" w:rsidRDefault="001D6FAE" w:rsidP="001D6FAE">
      <w:pPr>
        <w:pStyle w:val="TextoNormal"/>
      </w:pPr>
    </w:p>
    <w:p w:rsidR="001D6FAE" w:rsidRDefault="001D6FAE" w:rsidP="001D6FAE">
      <w:pPr>
        <w:pStyle w:val="TextoNormal"/>
      </w:pPr>
      <w:r>
        <w:t>“Artículo 4. Hecho imponible.</w:t>
      </w:r>
    </w:p>
    <w:p w:rsidR="001D6FAE" w:rsidRDefault="001D6FAE" w:rsidP="001D6FAE">
      <w:pPr>
        <w:pStyle w:val="TextoNormal"/>
      </w:pPr>
    </w:p>
    <w:p w:rsidR="001D6FAE" w:rsidRDefault="001D6FAE" w:rsidP="001D6FAE">
      <w:pPr>
        <w:pStyle w:val="TextoNormal"/>
      </w:pPr>
      <w:r>
        <w:t>1. Constituye el hecho imponible la producción e incorporación al sistema eléctrico de energía eléctrica medida en barras de central, incluidos el sistema eléctrico peninsular y los territorios insulares y extrapeninsulares, en cualquiera de las instalaciones a las que se refiere el Título IV de la Ley 54/1997, de 27 de noviembre, del Sector Eléctrico.”</w:t>
      </w:r>
    </w:p>
    <w:p w:rsidR="001D6FAE" w:rsidRDefault="001D6FAE" w:rsidP="001D6FAE">
      <w:pPr>
        <w:pStyle w:val="TextoNormal"/>
      </w:pPr>
    </w:p>
    <w:p w:rsidR="001D6FAE" w:rsidRDefault="001D6FAE" w:rsidP="001D6FAE">
      <w:pPr>
        <w:pStyle w:val="TextoNormal"/>
      </w:pPr>
      <w:r>
        <w:t>“Artículo 6. Base imponible.</w:t>
      </w:r>
    </w:p>
    <w:p w:rsidR="001D6FAE" w:rsidRDefault="001D6FAE" w:rsidP="001D6FAE">
      <w:pPr>
        <w:pStyle w:val="TextoNormal"/>
      </w:pPr>
    </w:p>
    <w:p w:rsidR="001D6FAE" w:rsidRDefault="001D6FAE" w:rsidP="001D6FAE">
      <w:pPr>
        <w:pStyle w:val="TextoNormal"/>
      </w:pPr>
      <w:r>
        <w:t>1. La base imponible del impuesto estará constituida por el importe total que corresponda percibir al contribuyente por la producción e incorporación al sistema eléctrico de energía eléctrica, medida en barras de central, por cada instalación, en el período impositivo.</w:t>
      </w:r>
    </w:p>
    <w:p w:rsidR="001D6FAE" w:rsidRDefault="001D6FAE" w:rsidP="001D6FAE">
      <w:pPr>
        <w:pStyle w:val="TextoNormal"/>
      </w:pPr>
    </w:p>
    <w:p w:rsidR="001D6FAE" w:rsidRDefault="001D6FAE" w:rsidP="001D6FAE">
      <w:pPr>
        <w:pStyle w:val="TextoNormal"/>
      </w:pPr>
      <w:r>
        <w:t>A estos efectos, en el cálculo del importe total se considerarán las retribuciones previstas en todos los regímenes económicos que se deriven de lo establecido en la Ley 54/1997, de 27 de noviembre, del Sector Eléctrico, en el período impositivo correspondiente, así como las previstas en el régimen económico específico para el caso de actividades de producción e incorporación al sistema eléctrico de energía eléctrica en los territorios insulares y extrapeninsulares.”</w:t>
      </w:r>
    </w:p>
    <w:p w:rsidR="001D6FAE" w:rsidRDefault="001D6FAE" w:rsidP="001D6FAE">
      <w:pPr>
        <w:pStyle w:val="TextoNormal"/>
      </w:pPr>
    </w:p>
    <w:p w:rsidR="001D6FAE" w:rsidRDefault="001D6FAE" w:rsidP="001D6FAE">
      <w:pPr>
        <w:pStyle w:val="TextoNormal"/>
      </w:pPr>
      <w:r>
        <w:t>“Artículo 8. Tipo de gravamen.</w:t>
      </w:r>
    </w:p>
    <w:p w:rsidR="001D6FAE" w:rsidRDefault="001D6FAE" w:rsidP="001D6FAE">
      <w:pPr>
        <w:pStyle w:val="TextoNormal"/>
      </w:pPr>
    </w:p>
    <w:p w:rsidR="001D6FAE" w:rsidRDefault="001D6FAE" w:rsidP="001D6FAE">
      <w:pPr>
        <w:pStyle w:val="TextoNormal"/>
      </w:pPr>
      <w:r>
        <w:t>El Impuesto se exigirá al tipo del 7 por ciento.”</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relevantes para el examen de la cuestión son los siguientes:</w:t>
      </w:r>
    </w:p>
    <w:p w:rsidR="001D6FAE" w:rsidRDefault="001D6FAE" w:rsidP="001D6FAE">
      <w:pPr>
        <w:pStyle w:val="TextoNormal"/>
      </w:pPr>
    </w:p>
    <w:p w:rsidR="001D6FAE" w:rsidRDefault="001D6FAE" w:rsidP="001D6FAE">
      <w:pPr>
        <w:pStyle w:val="TextoNormal"/>
      </w:pPr>
      <w:r>
        <w:t>a) En el recurso tramitado ante la Audiencia Nacional con el núm. 2115-2013, la asociación española de la industria eléctrica (UNESA) impugnó la Orden HAP/703/2013, de 29 de abril, por la que se aprueba el modelo 583 “impuesto sobre el valor de la producción de la energía eléctrica. Autoliquidación y pagos fraccionados”, y se establece la forma y procedimiento para su presentación.</w:t>
      </w:r>
    </w:p>
    <w:p w:rsidR="001D6FAE" w:rsidRDefault="001D6FAE" w:rsidP="001D6FAE">
      <w:pPr>
        <w:pStyle w:val="TextoNormal"/>
      </w:pPr>
    </w:p>
    <w:p w:rsidR="001D6FAE" w:rsidRDefault="001D6FAE" w:rsidP="001D6FAE">
      <w:pPr>
        <w:pStyle w:val="TextoNormal"/>
      </w:pPr>
      <w:r>
        <w:t>b) Desestimado el recurso contencioso-administrativo por Sentencia de 30 de junio de 2014, UNESA interpuso recurso de casación.</w:t>
      </w:r>
    </w:p>
    <w:p w:rsidR="001D6FAE" w:rsidRDefault="001D6FAE" w:rsidP="001D6FAE">
      <w:pPr>
        <w:pStyle w:val="TextoNormal"/>
      </w:pPr>
    </w:p>
    <w:p w:rsidR="001D6FAE" w:rsidRDefault="001D6FAE" w:rsidP="001D6FAE">
      <w:pPr>
        <w:pStyle w:val="TextoNormal"/>
      </w:pPr>
      <w:r>
        <w:t>c) Señalado el día 12 de abril de 2016 para deliberación y fallo, por providencia adoptada en la misma fecha de acuerdo con el art. 35.2 de la Ley Orgánica del Tribunal Constitucional (LOTC), se dio audiencia a las partes y al Ministerio Fiscal sobre la procedencia de plantear cuestión de inconstitucionalidad en relación con los arts. 1, 4.1, 6.1, 8 y 9 de la Ley 15/2012, habida cuenta de su eventual oposición al art. 31.1 CE, en relación con la consolidada jurisprudencia del Tribunal Constitucional sobre los tributos de naturaleza extrafiscal.</w:t>
      </w:r>
    </w:p>
    <w:p w:rsidR="001D6FAE" w:rsidRDefault="001D6FAE" w:rsidP="001D6FAE">
      <w:pPr>
        <w:pStyle w:val="TextoNormal"/>
      </w:pPr>
    </w:p>
    <w:p w:rsidR="001D6FAE" w:rsidRDefault="001D6FAE" w:rsidP="001D6FAE">
      <w:pPr>
        <w:pStyle w:val="TextoNormal"/>
      </w:pPr>
      <w:r>
        <w:t>d) En la evacuación del trámite de alegaciones, la parte actora solicita la elevación de la cuestión de inconstitucionalidad sobre el conjunto de los preceptos citados, por ser contrarios a los principios del poder tributario del Estado consagrados en el art. 31.1 CE en conexión con la doctrina constitucional en materia de tributos extrafiscales; el Abogado del Estado se opuso al planteamiento de la cuestión; el Ministerio Fiscal no se opuso a la procedencia de su planteamiento, alegando en cuanto al fondo, en el marco de provisionalidad y aproximación inicial que implica el mero propósito de comprobar la razonabilidad de la duda de constitucionalidad.</w:t>
      </w:r>
    </w:p>
    <w:p w:rsidR="001D6FAE" w:rsidRDefault="001D6FAE" w:rsidP="001D6FAE">
      <w:pPr>
        <w:pStyle w:val="TextoNormal"/>
      </w:pPr>
    </w:p>
    <w:p w:rsidR="001D6FAE" w:rsidRDefault="001D6FAE" w:rsidP="001D6FAE">
      <w:pPr>
        <w:pStyle w:val="TextoNormal"/>
      </w:pPr>
      <w:r>
        <w:t>e) Por Auto de 14 de junio de 2016, la Sala Tercera de lo Contencioso-Administrativo del Tribunal Supremo acordó plantear la cuestión de inconstitucionalidad respecto de los arts. 1, 4.1, 6.1 y 8 de la Ley 15/2012, en atención a su eventual oposición al principio de capacidad económica que proclama el art. 31.1 CE.</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de la cuestión de inconstitucionalidad, interesa destacar lo siguiente:</w:t>
      </w:r>
    </w:p>
    <w:p w:rsidR="001D6FAE" w:rsidRDefault="001D6FAE" w:rsidP="001D6FAE">
      <w:pPr>
        <w:pStyle w:val="TextoNormal"/>
      </w:pPr>
    </w:p>
    <w:p w:rsidR="001D6FAE" w:rsidRDefault="001D6FAE" w:rsidP="001D6FAE">
      <w:pPr>
        <w:pStyle w:val="TextoNormal"/>
      </w:pPr>
      <w:r>
        <w:t xml:space="preserve">a) Frente al criterio de la Sala de instancia y al sostenido por el Abogado del Estado en el trámite del art. 35.2 LOTC, que consideran que no procede plantear la cuestión de inconstitucionalidad, por no apreciar conexión entre la norma reglamentaria impugnada en el proceso </w:t>
      </w:r>
      <w:r w:rsidRPr="001D6FAE">
        <w:rPr>
          <w:i/>
        </w:rPr>
        <w:t>a quo</w:t>
      </w:r>
      <w:r>
        <w:t xml:space="preserve"> y la Ley 15/2012, el órgano promotor de esta cuestión de inconstitucionalidad entiende que tal planteamiento desconoce la íntima conexión existente entre las obligaciones formales y materiales que componen la relación jurídico-tributaria, pues si la exigibilidad de las formales está condicionada a la previa existencia de una obligación material, nada impide cuestionar aquéllas con el argumento de que éstas son inválidas por inconstitucionales, o ineficaces por contrarias al ordenamiento jurídico de la Unión Europea. Si la obligación tributaria material regulada en la Ley es contraria al ordenamiento jurídico, tal vicio se traslada a la obligación formal que es su complemento. Negar que el recurso contra la disposición reglamentaria pueda sustentarse en tales vicios de la Ley incorpora una restricción a la impugnación de las disposiciones administrativas que no está en la Ley reguladora de la jurisdicción contencioso-administrativa ni en el art. 106.1 CE, y limita injustificadamente la efectividad de la tutela judicial, con desconocimiento del art. 24.1 CE.</w:t>
      </w:r>
    </w:p>
    <w:p w:rsidR="001D6FAE" w:rsidRDefault="001D6FAE" w:rsidP="001D6FAE">
      <w:pPr>
        <w:pStyle w:val="TextoNormal"/>
      </w:pPr>
    </w:p>
    <w:p w:rsidR="001D6FAE" w:rsidRDefault="001D6FAE" w:rsidP="001D6FAE">
      <w:pPr>
        <w:pStyle w:val="TextoNormal"/>
      </w:pPr>
      <w:r>
        <w:t>A lo anterior no se opone el ATC 54/2006, de 15 de febrero, invocado en la sentencia recurrida en casación. Dicho Auto afirmó que (salvo las excepciones que contempla) las disposiciones reglamentarias no pueden ser objeto de cuestión de inconstitucionalidad. Pero no dice, y no podría decir que, cuando un tribunal ordinario tenga que zanjar un litigio en el que se discute una disposición administrativa que desarrolla una ley de cuya constitucionalidad dude, no pueda dirigirse incidentalmente al Tribunal Constitucional para que despeje la duda, debiendo, en tal caso, dejar imprejuzgada la cuestión. Tampoco son obstáculo las SSTC 255/2004, de 23 de diciembre, y 148/2006, de 9 de mayo. En ellas se condiciona la admisibilidad de la cuestión a que la exteriorización del juicio de relevancia ponga de relieve la conexión entre los preceptos reglamentarios impugnados y las disposiciones legales cuestionadas. La conexión se da en este caso, pues si la obligación material disciplinada en la Ley 15/2012 es contraria a la Constitución, la formal regulada en la Orden ministerial discutida perdería cobertura, siendo nula. Resulta pues evidente que la decisión del recurso contencioso-administrativo depende de la validez constitucional de la Ley 15/2012 (SSTC 60/2013, de 13 de marzo, FJ 1, y 53/2014, de 10 de abril, FJ 1).</w:t>
      </w:r>
    </w:p>
    <w:p w:rsidR="001D6FAE" w:rsidRDefault="001D6FAE" w:rsidP="001D6FAE">
      <w:pPr>
        <w:pStyle w:val="TextoNormal"/>
      </w:pPr>
    </w:p>
    <w:p w:rsidR="001D6FAE" w:rsidRDefault="001D6FAE" w:rsidP="001D6FAE">
      <w:pPr>
        <w:pStyle w:val="TextoNormal"/>
      </w:pPr>
      <w:r>
        <w:t>La STC 183/2014, de 6 de noviembre, analizó la constitucionalidad de la Ley 15/2012, pero desde la perspectiva de los principios de seguridad jurídica e igualdad (arts. 9.3 y 14 CE). Para el Auto de planteamiento, en la presente cuestión de inconstitucionalidad “se trata de determinar, en un análisis más técnico, específico y detallado del tributo, si se ajusta a los requerimientos que a la potestad tributaria del Estado impone el artículo 31.1 de la Constitución”.</w:t>
      </w:r>
    </w:p>
    <w:p w:rsidR="001D6FAE" w:rsidRDefault="001D6FAE" w:rsidP="001D6FAE">
      <w:pPr>
        <w:pStyle w:val="TextoNormal"/>
      </w:pPr>
    </w:p>
    <w:p w:rsidR="001D6FAE" w:rsidRDefault="001D6FAE" w:rsidP="001D6FAE">
      <w:pPr>
        <w:pStyle w:val="TextoNormal"/>
      </w:pPr>
      <w:r>
        <w:t>b) Tras exponer el marco regulador del impuesto sobre el valor de la producción de la energía eléctrica y resumir la doctrina constitucional sobre los tributos de naturaleza extrafiscal, el Auto de planteamiento inicia la exposición de las dudas de constitucionalidad acotando su ámbito en los siguientes términos:</w:t>
      </w:r>
    </w:p>
    <w:p w:rsidR="001D6FAE" w:rsidRDefault="001D6FAE" w:rsidP="001D6FAE">
      <w:pPr>
        <w:pStyle w:val="TextoNormal"/>
      </w:pPr>
    </w:p>
    <w:p w:rsidR="001D6FAE" w:rsidRDefault="001D6FAE" w:rsidP="001D6FAE">
      <w:pPr>
        <w:pStyle w:val="TextoNormal"/>
      </w:pPr>
      <w:r>
        <w:t>“Con carácter preliminar hemos de acotar el ámbito de nuestras dudas. En primer lugar, debe quedar claro que el contraste que provoca este reenvío al Tribunal Constitucional lo es entre la Ley 15/2012 y la Constitución., en particular su artículo 31.1. No interviene para nada como elemento de enjuiciamiento en este momento el Derecho de la Unión Europea, extremo sobre el que insiste Iberdrola Generación en su escrito de alegaciones. La eventual contradicción entre la mencionada Ley y dicho ordenamiento jurídico transnacional, así como las perplejidades interpretativas que tal enjuiciamiento pudiera provocar, disponen de otro marco procesal para su solución, sobre el que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c) Para el Auto, pese a que se proclama en el preámbulo de la Ley 15/2012 la doble finalidad medioambiental y recaudatoria del impuesto sobre el valor de la producción de la energía eléctrica, sólo la finalidad fiscal se refleja de forma nítida en el articulado. La finalidad extrafiscal, de protección del medio ambiente, no aparece en el análisis de los elementos configuradores de la estructura del tributo. Resulta así llamativa la ausencia de exenciones o bonificaciones cuando se trate de actividades de reducido impacto medioambiental; la ausencia de variables con incidencia medioambiental en la base imponible, que viene constituida sin más por el valor económico de la producción e incorporación de energía eléctrica al sistema; o el tipo único de gravamen.</w:t>
      </w:r>
    </w:p>
    <w:p w:rsidR="001D6FAE" w:rsidRDefault="001D6FAE" w:rsidP="001D6FAE">
      <w:pPr>
        <w:pStyle w:val="TextoNormal"/>
      </w:pPr>
    </w:p>
    <w:p w:rsidR="001D6FAE" w:rsidRDefault="001D6FAE" w:rsidP="001D6FAE">
      <w:pPr>
        <w:pStyle w:val="TextoNormal"/>
      </w:pPr>
      <w:r>
        <w:t>Pasa pues a primer plano la otra finalidad confesada en el preámbulo: hacer frente a los “muy relevantes costes necesarios para el mantenimiento de la garantía del suministro”. Ahora bien, por más que esto sea técnicamente defectuoso, no lo convierte sin más en inconstitucional, puesto que no lo será si respeta los principios del art. 31.1 CE, en particular, el de capacidad económica. Siendo así, el órgano promotor de la cuestión considera pertinente el análisis y comparación propuesto por la recurrente entre el impuesto sobre el valor de la producción de la energía eléctrica y el impuesto sobre actividades económicas (IAE), del que se desprende que hay razones para concluir no solo que ambos impuestos recaen sobre igual manifestación de riqueza de los sujetos pasivos contribuyentes, sino que en realidad pueden estar gravando el mismo hecho imponible.</w:t>
      </w:r>
    </w:p>
    <w:p w:rsidR="001D6FAE" w:rsidRDefault="001D6FAE" w:rsidP="001D6FAE">
      <w:pPr>
        <w:pStyle w:val="TextoNormal"/>
      </w:pPr>
    </w:p>
    <w:p w:rsidR="001D6FAE" w:rsidRDefault="001D6FAE" w:rsidP="001D6FAE">
      <w:pPr>
        <w:pStyle w:val="TextoNormal"/>
      </w:pPr>
      <w:r>
        <w:t xml:space="preserve">Añade el Auto de planteamiento que la doble imposición no sería </w:t>
      </w:r>
      <w:r w:rsidRPr="001D6FAE">
        <w:rPr>
          <w:i/>
        </w:rPr>
        <w:t>per se</w:t>
      </w:r>
      <w:r>
        <w:t xml:space="preserve"> contraria al principio de capacidad económica proclamado por el art. 31.1 CE, pero “este Tribunal Supremo no tiene claro, enfrentando la resolución del presente recurso de casación, que la circunstancia de que el impuesto sobre el valor de la producción de la energía eléctrica someta a tributación la misma capacidad económica por la que los productores de energía eléctrica abonan el IAE, sin responder nítidamente además a la otra finalidad extrafiscal que teóricamente lo justifica, la medioambiental, no incida sobre dicho principio contributivo, sin cuyo respeto no cabe hablar de tributos constitucionalmente admisibles”.</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providencia de 18 de octubre de 2016, el Pleno, a propuesta de la Sección Primera, acordó, a los efectos que determina el art. 37.1 LOTC, oír al Fiscal General del Estado para que, en el plazo de diez días, alegara lo que considerase conveniente acerca de la admisibilidad de la presente cuestión de inconstitucionalidad, en relación con el cumplimiento de los requisitos procesales (art. 35.2 LOTC).</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 escrito de alegaciones en este Tribunal el día 16 de noviembre de 2016, instando la inadmisión de esta cuestión de inconstitucionalidad por deficiencias en el cumplimiento de los requisitos procesales, en atención a las razones que a continuación se resumen.</w:t>
      </w:r>
    </w:p>
    <w:p w:rsidR="001D6FAE" w:rsidRDefault="001D6FAE" w:rsidP="001D6FAE">
      <w:pPr>
        <w:pStyle w:val="TextoNormal"/>
      </w:pPr>
    </w:p>
    <w:p w:rsidR="001D6FAE" w:rsidRDefault="001D6FAE" w:rsidP="001D6FAE">
      <w:pPr>
        <w:pStyle w:val="TextoNormal"/>
      </w:pPr>
      <w:r>
        <w:t>a) La cuestión relativa a la posible inadmisión de la presente cuestión de inconstitucionalidad por infracción de requisitos procesales (art. 35.2 LOTC) ha de quedar limitada a la comprobación de la forma en que la Sala ha formulado, en el Auto de planteamiento, los denominados juicios de aplicabilidad y de relevancia, según han quedado conformados por la doctrina constitucional.</w:t>
      </w:r>
    </w:p>
    <w:p w:rsidR="001D6FAE" w:rsidRDefault="001D6FAE" w:rsidP="001D6FAE">
      <w:pPr>
        <w:pStyle w:val="TextoNormal"/>
      </w:pPr>
    </w:p>
    <w:p w:rsidR="001D6FAE" w:rsidRDefault="001D6FAE" w:rsidP="001D6FAE">
      <w:pPr>
        <w:pStyle w:val="TextoNormal"/>
      </w:pPr>
      <w:r>
        <w:t>Por lo que se refiere a la justificación de la aplicabilidad de los preceptos cuestionados para la resolución del recurso de casación núm. 2554-2014 entablado contra la Orden HAP/703/2013, el Auto de planteamiento ha dejado dicho que para resolverlo ha de partir de la base de que, si la obligación tributaria material regulada en la Ley 15/2012, en cuanto al impuesto sobre el valor de la producción de la energía eléctrica, fuera contraria al ordenamiento jurídico-constitucional, tal vicio se trasladaría a la obligación formal que es su complemento, motivo por el cual necesita saber, para zanjar el litigio que ha de fallar, si los preceptos de la Ley 15/2012 que disciplinan el impuesto sobre el valor de la producción de la energía eléctrica, de los que la Orden ministerial impugnada es desarrollo y aplicación, son contrarios o no a la Constitución Española.</w:t>
      </w:r>
    </w:p>
    <w:p w:rsidR="001D6FAE" w:rsidRDefault="001D6FAE" w:rsidP="001D6FAE">
      <w:pPr>
        <w:pStyle w:val="TextoNormal"/>
      </w:pPr>
    </w:p>
    <w:p w:rsidR="001D6FAE" w:rsidRDefault="001D6FAE" w:rsidP="001D6FAE">
      <w:pPr>
        <w:pStyle w:val="TextoNormal"/>
      </w:pPr>
      <w:r>
        <w:t>Sin embargo, no ha dedicado ningún razonamiento a la exposición de las razones por las que ha decidido plantear esta cuestión de inconstitucionalidad antes que la cuestión prejudicial ante el Tribunal de Justicia de la Unión Europea que ha interesado la recurrente. Lo referido al respecto en su fundamento de derecho 4 [que ha quedado transcrito en el antecedente 3 b)] significa, con toda claridad, que la Sala ha dado prioridad al planteamiento de la cuestión de inconstitucionalidad sobre el planteamiento de la cuestión prejudicial europea que, sin embargo, también entiende procedente.</w:t>
      </w:r>
    </w:p>
    <w:p w:rsidR="001D6FAE" w:rsidRDefault="001D6FAE" w:rsidP="001D6FAE">
      <w:pPr>
        <w:pStyle w:val="TextoNormal"/>
      </w:pPr>
    </w:p>
    <w:p w:rsidR="001D6FAE" w:rsidRDefault="001D6FAE" w:rsidP="001D6FAE">
      <w:pPr>
        <w:pStyle w:val="TextoNormal"/>
      </w:pPr>
      <w:r>
        <w:t>Ello constituye el principal problema de admisibilidad de la presente cuestión de inconstitucionalidad, sobre todo a la vista de la doctrina fijada por el Tribunal en el fundamento jurídico 4 del ATC 168/2016, de 4 de octubre. Con arreglo a la misma,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dado que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La hipótesis que se plantea en la presente cuestión de inconstitucionalidad no es exactamente la misma que se planteó en el caso resuelto por el ATC 168/2016, pues ahora no se trata de un planteamiento simultáneo de la cuestión de inconstitucionalidad y de la cuestión prejudicial europea, sino de un planteamiento prioritario o preferente de la cuestión de inconstitucionalidad sobre la cuestión prejudicial europea. Sin embargo, esta diferencia no ha de implicar que la solución que haya de darse al presente caso tenga que ser diferente de la dada a aquel otro, habida cuenta de que el ATC 168/2016 ha dejado sentado, sin lugar a dudas, que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con lo que, si lo que sucede es que alberga dudas sobre la compatibilidad de esa ley con el Derecho de la Unión, lo que habrá de hacer es plantear primero la cuestión prejudicial ante el Tribunal de Justicia de la Unión Europea, de suerte que solo cuando éste haya descartado la incompatibilidad de la norma nacional con el Derecho comunitario cabrá plantear la cuestión de inconstitucionalidad”.</w:t>
      </w:r>
    </w:p>
    <w:p w:rsidR="001D6FAE" w:rsidRDefault="001D6FAE" w:rsidP="001D6FAE">
      <w:pPr>
        <w:pStyle w:val="TextoNormal"/>
      </w:pPr>
    </w:p>
    <w:p w:rsidR="001D6FAE" w:rsidRDefault="001D6FAE" w:rsidP="001D6FAE">
      <w:pPr>
        <w:pStyle w:val="TextoNormal"/>
      </w:pPr>
      <w:r>
        <w:t xml:space="preserve">Entendiendo la Sala promotora, como con toda evidencia se desprende del razonamiento contenido en el Auto de planteamiento, que los preceptos de la Ley 15/2012 que disciplinan el impuesto sobre el valor de la producción de la energía eléctrica pudieran ser a un tiempo contrarios al art. 31.1 CE e infractores del Derecho de la Unión Europea, ha dado prioridad al planteamiento de la cuestión de inconstitucionalidad sobre el planteamiento de la cuestión prejudicial europea. Al obrar así, ha venido a reconocer la inaplicabilidad actual de esos preceptos para la resolución del proceso </w:t>
      </w:r>
      <w:r w:rsidRPr="001D6FAE">
        <w:rPr>
          <w:i/>
        </w:rPr>
        <w:t>a quo</w:t>
      </w:r>
      <w:r>
        <w:t>, lo que a su vez ha de provocar la inadmisión de la presente cuestión de inconstitucionalidad por incumplimiento del requisito de la aplicabilidad (art. 37. l LOTC).</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Sala Tercera de lo Contencioso-Administrativo del Tribunal Supremo ha promovido cuestión de inconstitucionalidad relativa a los arts. 1, 4.1, 6.1 y 8 de la Ley 15/2012, de 27 de diciembre, de medidas fiscales para la sostenibilidad energética, que regulan el impuesto sobre el valor de la producción de la energía, por posible vulneración del principio de capacidad económica recogido en el art. 31.1 CE.</w:t>
      </w:r>
    </w:p>
    <w:p w:rsidR="001D6FAE" w:rsidRDefault="001D6FAE" w:rsidP="001D6FAE">
      <w:pPr>
        <w:pStyle w:val="TextoNormal"/>
      </w:pPr>
    </w:p>
    <w:p w:rsidR="001D6FAE" w:rsidRDefault="001D6FAE" w:rsidP="001D6FAE">
      <w:pPr>
        <w:pStyle w:val="TextoNormal"/>
      </w:pPr>
      <w:r>
        <w:t>Como ha quedado expuesto en los antecedentes de esta resolución, la Fiscal General del Estado interesa la inadmisión de esta cuestión.</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dispuesto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001D6FAE" w:rsidRDefault="001D6FAE" w:rsidP="001D6FAE">
      <w:pPr>
        <w:pStyle w:val="TextoNormal"/>
      </w:pPr>
    </w:p>
    <w:p w:rsidR="001D6FAE" w:rsidRDefault="001D6FAE" w:rsidP="001D6FAE">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001D6FAE" w:rsidRDefault="001D6FAE" w:rsidP="001D6FAE">
      <w:pPr>
        <w:pStyle w:val="TextoNormal"/>
      </w:pPr>
    </w:p>
    <w:p w:rsidR="001D6FAE" w:rsidRDefault="001D6FAE" w:rsidP="001D6FAE">
      <w:pPr>
        <w:pStyle w:val="TextoNormal"/>
      </w:pPr>
      <w:r w:rsidRPr="001D6FAE">
        <w:rPr>
          <w:rStyle w:val="NumeroAFNegritaCaracter"/>
        </w:rPr>
        <w:t>3</w:t>
      </w:r>
      <w:r>
        <w:t>. La aplicación en este caso de la referida doctrina constitucional conduce a declarar la inadmisión de la cuestión de inconstitucionalidad por incumplimiento del juicio de aplicabilidad. Como ha quedado transcrito en los antecedentes de esta resolución, el Auto de planteamiento, al acotar su duda de constitucionalidad, precisa que la eventual contradicción entre la Ley 15/2012 y el Derecho de la Unión Europea no interviene en este momento como elemento de enjuiciamiento, ya que dispone de otro marco procesal para su solución. Por ello, anticipa que sobre tal extremo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Planteada la cuestión en estos términos, hemos de remitirnos al ATC 168/2016, de 4 de octubre, que ha sentado doctrina reiterada en los AATC 183/2016 y 185/2016, ambos de 15 de noviembre, según la cual dicho enfoque determina que no pueda entenderse cumplido, respecto de la admisibilidad de la cuestión de inconstitucionalidad, el requisito de que la norma con rango de ley cuestionada sea “aplicable al caso” (arts. 163 CE y 35.1 LOTC). 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ATC 168/2016 razona en su fundamento jurídico 4 lo siguiente:</w:t>
      </w:r>
    </w:p>
    <w:p w:rsidR="001D6FAE" w:rsidRDefault="001D6FAE" w:rsidP="001D6FAE">
      <w:pPr>
        <w:pStyle w:val="TextoNormal"/>
      </w:pPr>
    </w:p>
    <w:p w:rsidR="001D6FAE" w:rsidRDefault="001D6FAE" w:rsidP="001D6FAE">
      <w:pPr>
        <w:pStyle w:val="TextoNormal"/>
      </w:pPr>
      <w: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w:t>
      </w:r>
      <w:r w:rsidRPr="001D6FAE">
        <w:rPr>
          <w:i/>
        </w:rPr>
        <w:t>Melki y Abdeli</w:t>
      </w:r>
      <w:r>
        <w:t xml:space="preserve">; de 11 de septiembre de 2014, asunto A c. B y otros; y de 4 de junio de 2015, asunto </w:t>
      </w:r>
      <w:r w:rsidRPr="001D6FAE">
        <w:rPr>
          <w:i/>
        </w:rPr>
        <w:t>Kernkraftwerke Lippe-Ems Gm bH c. Hauptzollamt Osnabrück</w:t>
      </w:r>
      <w:r>
        <w:t xml:space="preserve">.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w:t>
      </w:r>
      <w:r w:rsidRPr="001D6FAE">
        <w:rPr>
          <w:i/>
        </w:rPr>
        <w:t>ex</w:t>
      </w:r>
      <w:r>
        <w:t xml:space="preserve"> art. 267 del Tratado de funcionamiento de la Unión Europea (TFUE).</w:t>
      </w:r>
    </w:p>
    <w:p w:rsidR="001D6FAE" w:rsidRDefault="001D6FAE" w:rsidP="001D6FAE">
      <w:pPr>
        <w:pStyle w:val="TextoNormal"/>
      </w:pPr>
    </w:p>
    <w:p w:rsidR="001D6FAE" w:rsidRDefault="001D6FAE" w:rsidP="001D6FAE">
      <w:pPr>
        <w:pStyle w:val="TextoNormal"/>
      </w:pPr>
      <w:r>
        <w:t>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1D6FAE" w:rsidRDefault="001D6FAE" w:rsidP="001D6FAE">
      <w:pPr>
        <w:pStyle w:val="TextoNormal"/>
      </w:pPr>
    </w:p>
    <w:p w:rsidR="001D6FAE" w:rsidRDefault="001D6FAE" w:rsidP="001D6FAE">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001D6FAE" w:rsidRDefault="001D6FAE" w:rsidP="001D6FAE">
      <w:pPr>
        <w:pStyle w:val="TextoNormal"/>
      </w:pPr>
    </w:p>
    <w:p w:rsidR="001D6FAE" w:rsidRDefault="001D6FAE" w:rsidP="001D6FAE">
      <w:pPr>
        <w:pStyle w:val="TextoNormal"/>
      </w:pPr>
      <w:r>
        <w:t>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001D6FAE" w:rsidRDefault="001D6FAE" w:rsidP="001D6FAE">
      <w:pPr>
        <w:pStyle w:val="TextoNormal"/>
      </w:pPr>
    </w:p>
    <w:p w:rsidR="001D6FAE" w:rsidRDefault="001D6FAE" w:rsidP="001D6FAE">
      <w:pPr>
        <w:pStyle w:val="TextoNormal"/>
      </w:pPr>
      <w:r>
        <w:t>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1D6FAE" w:rsidRDefault="001D6FAE" w:rsidP="001D6FAE">
      <w:pPr>
        <w:pStyle w:val="TextoNormal"/>
      </w:pPr>
    </w:p>
    <w:p w:rsidR="001D6FAE" w:rsidRDefault="001D6FAE" w:rsidP="001D6FAE">
      <w:pPr>
        <w:pStyle w:val="TextoNormal"/>
      </w:pPr>
      <w:r>
        <w:t>Como advierte la Fiscal General del Estado, a diferencia de la situación examinada por el ATC 168/2016, en este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dudas acerca de la compatibilidad de la Ley 15/2012 con el Derecho de la Unión Europea, por lo que vendría obligado bien a no aplicarla, bien a plantear primero la cuestión prejudicial, y solo cuando haya quedado descartada la incompatibilidad de la norma nacional con el Derecho comunitario cabría plantear la cuestión de inconstitucionalidad.</w:t>
      </w:r>
    </w:p>
    <w:p w:rsidR="001D6FAE" w:rsidRDefault="001D6FAE" w:rsidP="001D6FAE">
      <w:pPr>
        <w:pStyle w:val="TextoNormal"/>
      </w:pPr>
    </w:p>
    <w:p w:rsidR="001D6FAE" w:rsidRDefault="001D6FAE" w:rsidP="001D6FAE">
      <w:pPr>
        <w:pStyle w:val="TextoNormal"/>
      </w:pPr>
      <w:r>
        <w:t>Por el contrario, la Sala promotora ha dado prioridad al planteamiento de la cuestión de inconstitucionalidad sobre el planteamiento de la cuestión prejudicial europea, cuando lo cierto es que la irresuelta decisión acerca de la eventual incompatibilidad de la Ley 15/2012 con el Derecho de la Unión, de confirmarse, sería causa de su inaplicabilidad en el proceso y, por tanto, faltaría una de las condiciones exigidas para la admisibilidad de la cuestión de inconstitucionalidad (art. 37.1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trece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79" w:name="AUTO_2016_205"/>
      <w:r>
        <w:t>AUTO 205/2016, de 13 de diciembre de 2016</w:t>
      </w:r>
    </w:p>
    <w:bookmarkEnd w:id="179"/>
    <w:p w:rsidR="001D6FAE" w:rsidRDefault="001D6FAE" w:rsidP="001D6FAE">
      <w:pPr>
        <w:pStyle w:val="TtuloResolucin"/>
      </w:pPr>
      <w:r>
        <w:t>Pleno</w:t>
      </w:r>
    </w:p>
    <w:p w:rsidR="001D6FAE" w:rsidRDefault="001D6FAE" w:rsidP="001D6FAE">
      <w:pPr>
        <w:pStyle w:val="TextoNormalCentrado"/>
      </w:pPr>
      <w:r>
        <w:t>ECLI:ES:TC:2016:205A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la cuestión de inconstitucionalidad 4180-2016, planteada por la Sala de lo Contencioso-Administrativo del Tribunal Supremo en relación con varios artículos de la Ley 15/2012, de 27 de diciembre, de medidas fiscales para la sostenibilidad energética.</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Con fecha 18 de julio de 2016 tuvo entrada en el registro general de este Tribunal oficio de la Sección Segunda de la Sala de lo Contencioso-Administrativo del Tribunal Supremo, remitiendo testimonio del Auto de 14 de junio de 2016 por el que se acuerda plantear cuestión de inconstitucionalidad respecto de los arts. 12, 15, 17, 18, 19, 22, 24 y 26 de la Ley 15/2012, de 27 de diciembre, de medidas fiscales para la sostenibilidad energética. Se acompaña testimonio íntegro del recurso de casación 8-3240-2014.</w:t>
      </w:r>
    </w:p>
    <w:p w:rsidR="001D6FAE" w:rsidRDefault="001D6FAE" w:rsidP="001D6FAE">
      <w:pPr>
        <w:pStyle w:val="TextoNormal"/>
      </w:pPr>
    </w:p>
    <w:p w:rsidR="001D6FAE" w:rsidRDefault="001D6FAE" w:rsidP="001D6FAE">
      <w:pPr>
        <w:pStyle w:val="TextoNormal"/>
      </w:pPr>
      <w:r>
        <w:t>Los preceptos cuestionados se encuentran en el título II de la Ley 15/2012, que regula los impuestos sobre la producción de combustible nuclear gastado y residuos radiactivos resultantes de la generación de energía nucleoeléctrica y el almacenamiento de combustible nuclear gastado y residuos radiactivos en instalaciones centralizadas, y tienen el siguiente tenor:</w:t>
      </w:r>
    </w:p>
    <w:p w:rsidR="001D6FAE" w:rsidRDefault="001D6FAE" w:rsidP="001D6FAE">
      <w:pPr>
        <w:pStyle w:val="TextoNormal"/>
      </w:pPr>
    </w:p>
    <w:p w:rsidR="001D6FAE" w:rsidRDefault="001D6FAE" w:rsidP="001D6FAE">
      <w:pPr>
        <w:pStyle w:val="TextoNormal"/>
      </w:pPr>
      <w:r>
        <w:t>“CAPÍTULO I</w:t>
      </w:r>
    </w:p>
    <w:p w:rsidR="001D6FAE" w:rsidRDefault="001D6FAE" w:rsidP="001D6FAE">
      <w:pPr>
        <w:pStyle w:val="TextoNormal"/>
      </w:pPr>
    </w:p>
    <w:p w:rsidR="001D6FAE" w:rsidRDefault="001D6FAE" w:rsidP="001D6FAE">
      <w:pPr>
        <w:pStyle w:val="TextoNormal"/>
      </w:pPr>
      <w:r>
        <w:t>Disposiciones generales</w:t>
      </w:r>
    </w:p>
    <w:p w:rsidR="001D6FAE" w:rsidRDefault="001D6FAE" w:rsidP="001D6FAE">
      <w:pPr>
        <w:pStyle w:val="TextoNormal"/>
      </w:pPr>
    </w:p>
    <w:p w:rsidR="001D6FAE" w:rsidRDefault="001D6FAE" w:rsidP="001D6FAE">
      <w:pPr>
        <w:pStyle w:val="TextoNormal"/>
      </w:pPr>
      <w:r>
        <w:t>Artículo 12. Naturaleza.</w:t>
      </w:r>
    </w:p>
    <w:p w:rsidR="001D6FAE" w:rsidRDefault="001D6FAE" w:rsidP="001D6FAE">
      <w:pPr>
        <w:pStyle w:val="TextoNormal"/>
      </w:pPr>
    </w:p>
    <w:p w:rsidR="001D6FAE" w:rsidRDefault="001D6FAE" w:rsidP="001D6FAE">
      <w:pPr>
        <w:pStyle w:val="TextoNormal"/>
      </w:pPr>
      <w:r>
        <w:t>El impuesto sobre la producción de combustible nuclear gastado y residuos radiactivos resultantes de la generación de energía nucleoeléctrica y el impuesto sobre el almacenamiento de combustible nuclear gastado y residuos radiactivos en instalaciones centralizadas son tributos de carácter directo y naturaleza real, que gravan las actividades que, integrando su respectivo hecho imponible, se definen en los artículos 15 y 19 de esta Ley.”</w:t>
      </w:r>
    </w:p>
    <w:p w:rsidR="001D6FAE" w:rsidRDefault="001D6FAE" w:rsidP="001D6FAE">
      <w:pPr>
        <w:pStyle w:val="TextoNormal"/>
      </w:pPr>
    </w:p>
    <w:p w:rsidR="001D6FAE" w:rsidRDefault="001D6FAE" w:rsidP="001D6FAE">
      <w:pPr>
        <w:pStyle w:val="TextoNormal"/>
      </w:pPr>
      <w:r>
        <w:t>“CAPÍTULO II</w:t>
      </w:r>
    </w:p>
    <w:p w:rsidR="001D6FAE" w:rsidRDefault="001D6FAE" w:rsidP="001D6FAE">
      <w:pPr>
        <w:pStyle w:val="TextoNormal"/>
      </w:pPr>
    </w:p>
    <w:p w:rsidR="001D6FAE" w:rsidRDefault="001D6FAE" w:rsidP="001D6FAE">
      <w:pPr>
        <w:pStyle w:val="TextoNormal"/>
      </w:pPr>
      <w:r>
        <w:t>Impuesto sobre la producción de combustible nuclear gastado y residuos radiactivos resultantes de la generación de energía nucleoeléctrica</w:t>
      </w:r>
    </w:p>
    <w:p w:rsidR="001D6FAE" w:rsidRDefault="001D6FAE" w:rsidP="001D6FAE">
      <w:pPr>
        <w:pStyle w:val="TextoNormal"/>
      </w:pPr>
    </w:p>
    <w:p w:rsidR="001D6FAE" w:rsidRDefault="001D6FAE" w:rsidP="001D6FAE">
      <w:pPr>
        <w:pStyle w:val="TextoNormal"/>
      </w:pPr>
      <w:r>
        <w:t>Artículo 15. Hecho imponible.</w:t>
      </w:r>
    </w:p>
    <w:p w:rsidR="001D6FAE" w:rsidRDefault="001D6FAE" w:rsidP="001D6FAE">
      <w:pPr>
        <w:pStyle w:val="TextoNormal"/>
      </w:pPr>
    </w:p>
    <w:p w:rsidR="001D6FAE" w:rsidRDefault="001D6FAE" w:rsidP="001D6FAE">
      <w:pPr>
        <w:pStyle w:val="TextoNormal"/>
      </w:pPr>
      <w:r>
        <w:t>Constituye el hecho imponible del impuesto la producción de combustible nuclear gastado y residuos radiactivos resultantes de la generación de energía nucleoeléctrica.”</w:t>
      </w:r>
    </w:p>
    <w:p w:rsidR="001D6FAE" w:rsidRDefault="001D6FAE" w:rsidP="001D6FAE">
      <w:pPr>
        <w:pStyle w:val="TextoNormal"/>
      </w:pPr>
    </w:p>
    <w:p w:rsidR="001D6FAE" w:rsidRDefault="001D6FAE" w:rsidP="001D6FAE">
      <w:pPr>
        <w:pStyle w:val="TextoNormal"/>
      </w:pPr>
      <w:r>
        <w:t>“Artículo 17. Base imponible.</w:t>
      </w:r>
    </w:p>
    <w:p w:rsidR="001D6FAE" w:rsidRDefault="001D6FAE" w:rsidP="001D6FAE">
      <w:pPr>
        <w:pStyle w:val="TextoNormal"/>
      </w:pPr>
    </w:p>
    <w:p w:rsidR="001D6FAE" w:rsidRDefault="001D6FAE" w:rsidP="001D6FAE">
      <w:pPr>
        <w:pStyle w:val="TextoNormal"/>
      </w:pPr>
      <w:r>
        <w:t>1. Constituye la base imponible sobre la producción de combustible nuclear gastado y residuos radiactivos resultantes de la generación de energía nucleoeléctrica:</w:t>
      </w:r>
    </w:p>
    <w:p w:rsidR="001D6FAE" w:rsidRDefault="001D6FAE" w:rsidP="001D6FAE">
      <w:pPr>
        <w:pStyle w:val="TextoNormal"/>
      </w:pPr>
    </w:p>
    <w:p w:rsidR="001D6FAE" w:rsidRDefault="001D6FAE" w:rsidP="001D6FAE">
      <w:pPr>
        <w:pStyle w:val="TextoNormal"/>
      </w:pPr>
      <w:r>
        <w:t>a) Los kilogramos de metal pesado contenidos en el combustible nuclear producido durante el período impositivo, entendiéndose como metal pesado el uranio y el plutonio contenidos, y como combustible nuclear gastado el combustible nuclear irradiado en el reactor que durante el período impositivo haya sido extraído definitivamente de éste.</w:t>
      </w:r>
    </w:p>
    <w:p w:rsidR="001D6FAE" w:rsidRDefault="001D6FAE" w:rsidP="001D6FAE">
      <w:pPr>
        <w:pStyle w:val="TextoNormal"/>
      </w:pPr>
    </w:p>
    <w:p w:rsidR="001D6FAE" w:rsidRDefault="001D6FAE" w:rsidP="001D6FAE">
      <w:pPr>
        <w:pStyle w:val="TextoNormal"/>
      </w:pPr>
      <w:r>
        <w:t>b) Los metros cúbicos de residuos radiactivos de media, baja y muy baja actividad producidos, que han sido acondicionados durante el periodo impositivo para su almacenamiento con carácter temporal en el propio emplazamiento de la instalación.</w:t>
      </w:r>
    </w:p>
    <w:p w:rsidR="001D6FAE" w:rsidRDefault="001D6FAE" w:rsidP="001D6FAE">
      <w:pPr>
        <w:pStyle w:val="TextoNormal"/>
      </w:pPr>
    </w:p>
    <w:p w:rsidR="001D6FAE" w:rsidRDefault="001D6FAE" w:rsidP="001D6FAE">
      <w:pPr>
        <w:pStyle w:val="TextoNormal"/>
      </w:pPr>
      <w:r>
        <w:t>2. La base imponible definida en este artículo se determinará para cada instalación en la que se realicen las actividades que constituyen el hecho imponible de este impuesto.</w:t>
      </w:r>
    </w:p>
    <w:p w:rsidR="001D6FAE" w:rsidRDefault="001D6FAE" w:rsidP="001D6FAE">
      <w:pPr>
        <w:pStyle w:val="TextoNormal"/>
      </w:pPr>
    </w:p>
    <w:p w:rsidR="001D6FAE" w:rsidRDefault="001D6FAE" w:rsidP="001D6FAE">
      <w:pPr>
        <w:pStyle w:val="TextoNormal"/>
      </w:pPr>
      <w:r>
        <w:t>Artículo 18. Tipo impositivo y cuota tributaria.</w:t>
      </w:r>
    </w:p>
    <w:p w:rsidR="001D6FAE" w:rsidRDefault="001D6FAE" w:rsidP="001D6FAE">
      <w:pPr>
        <w:pStyle w:val="TextoNormal"/>
      </w:pPr>
    </w:p>
    <w:p w:rsidR="001D6FAE" w:rsidRDefault="001D6FAE" w:rsidP="001D6FAE">
      <w:pPr>
        <w:pStyle w:val="TextoNormal"/>
      </w:pPr>
      <w:r>
        <w:t>La cuota tributaria será el resultado de aplicar a la base imponible los siguientes tipos impositivos:</w:t>
      </w:r>
    </w:p>
    <w:p w:rsidR="001D6FAE" w:rsidRDefault="001D6FAE" w:rsidP="001D6FAE">
      <w:pPr>
        <w:pStyle w:val="TextoNormal"/>
      </w:pPr>
    </w:p>
    <w:p w:rsidR="001D6FAE" w:rsidRDefault="001D6FAE" w:rsidP="001D6FAE">
      <w:pPr>
        <w:pStyle w:val="TextoNormal"/>
      </w:pPr>
      <w:r>
        <w:t>a) En la producción de combustible gastado resultante de la generación de energía nucleoeléctrica, a la que se refiere el apartado 1.a) del artículo 17, el tipo será de 2.190 euros por kilogramo de metal pesado.</w:t>
      </w:r>
    </w:p>
    <w:p w:rsidR="001D6FAE" w:rsidRDefault="001D6FAE" w:rsidP="001D6FAE">
      <w:pPr>
        <w:pStyle w:val="TextoNormal"/>
      </w:pPr>
    </w:p>
    <w:p w:rsidR="001D6FAE" w:rsidRDefault="001D6FAE" w:rsidP="001D6FAE">
      <w:pPr>
        <w:pStyle w:val="TextoNormal"/>
      </w:pPr>
      <w:r>
        <w:t>b) En la producción de residuos radiactivos a que se refiere el apartado 1.b) del artículo 17:</w:t>
      </w:r>
    </w:p>
    <w:p w:rsidR="001D6FAE" w:rsidRDefault="001D6FAE" w:rsidP="001D6FAE">
      <w:pPr>
        <w:pStyle w:val="TextoNormal"/>
      </w:pPr>
    </w:p>
    <w:p w:rsidR="001D6FAE" w:rsidRDefault="001D6FAE" w:rsidP="001D6FAE">
      <w:pPr>
        <w:pStyle w:val="TextoNormal"/>
      </w:pPr>
      <w:r>
        <w:t>1. Para residuos radiactivos de baja y media actividad, el tipo será de 6.000 euros por metro cúbico.</w:t>
      </w:r>
    </w:p>
    <w:p w:rsidR="001D6FAE" w:rsidRDefault="001D6FAE" w:rsidP="001D6FAE">
      <w:pPr>
        <w:pStyle w:val="TextoNormal"/>
      </w:pPr>
    </w:p>
    <w:p w:rsidR="001D6FAE" w:rsidRDefault="001D6FAE" w:rsidP="001D6FAE">
      <w:pPr>
        <w:pStyle w:val="TextoNormal"/>
      </w:pPr>
      <w:r>
        <w:t>2. Para residuos radiactivos de muy baja actividad, el tipo será de 1.000 euros por metro cúbico.</w:t>
      </w:r>
    </w:p>
    <w:p w:rsidR="001D6FAE" w:rsidRDefault="001D6FAE" w:rsidP="001D6FAE">
      <w:pPr>
        <w:pStyle w:val="TextoNormal"/>
      </w:pPr>
    </w:p>
    <w:p w:rsidR="001D6FAE" w:rsidRDefault="001D6FAE" w:rsidP="001D6FAE">
      <w:pPr>
        <w:pStyle w:val="TextoNormal"/>
      </w:pPr>
      <w:r>
        <w:t>CAPÍTULO III</w:t>
      </w:r>
    </w:p>
    <w:p w:rsidR="001D6FAE" w:rsidRDefault="001D6FAE" w:rsidP="001D6FAE">
      <w:pPr>
        <w:pStyle w:val="TextoNormal"/>
      </w:pPr>
    </w:p>
    <w:p w:rsidR="001D6FAE" w:rsidRDefault="001D6FAE" w:rsidP="001D6FAE">
      <w:pPr>
        <w:pStyle w:val="TextoNormal"/>
      </w:pPr>
      <w:r>
        <w:t>Impuesto sobre el almacenamiento de combustible nuclear gastado y residuos radiactivos en instalaciones centralizadas</w:t>
      </w:r>
    </w:p>
    <w:p w:rsidR="001D6FAE" w:rsidRDefault="001D6FAE" w:rsidP="001D6FAE">
      <w:pPr>
        <w:pStyle w:val="TextoNormal"/>
      </w:pPr>
    </w:p>
    <w:p w:rsidR="001D6FAE" w:rsidRDefault="001D6FAE" w:rsidP="001D6FAE">
      <w:pPr>
        <w:pStyle w:val="TextoNormal"/>
      </w:pPr>
      <w:r>
        <w:t>Artículo 19. Hecho imponible.</w:t>
      </w:r>
    </w:p>
    <w:p w:rsidR="001D6FAE" w:rsidRDefault="001D6FAE" w:rsidP="001D6FAE">
      <w:pPr>
        <w:pStyle w:val="TextoNormal"/>
      </w:pPr>
    </w:p>
    <w:p w:rsidR="001D6FAE" w:rsidRDefault="001D6FAE" w:rsidP="001D6FAE">
      <w:pPr>
        <w:pStyle w:val="TextoNormal"/>
      </w:pPr>
      <w:r>
        <w:t>Constituye el hecho imponible del impuesto la actividad de almacenamiento de combustible nuclear gastado y de residuos radiactivos en una instalación centralizada.</w:t>
      </w:r>
    </w:p>
    <w:p w:rsidR="001D6FAE" w:rsidRDefault="001D6FAE" w:rsidP="001D6FAE">
      <w:pPr>
        <w:pStyle w:val="TextoNormal"/>
      </w:pPr>
    </w:p>
    <w:p w:rsidR="001D6FAE" w:rsidRDefault="001D6FAE" w:rsidP="001D6FAE">
      <w:pPr>
        <w:pStyle w:val="TextoNormal"/>
      </w:pPr>
      <w:r>
        <w:t>A los efectos de este impuesto, se entenderá como almacenamiento de combustible nuclear gastado y residuos radiactivos a toda actividad consistente en la inmovilización temporal o definitiva de los mismos, con independencia de la forma en que se realice, y como instalación centralizada a aquella que pueda almacenar estos materiales procedentes de diversas instalaciones u orígenes.”</w:t>
      </w:r>
    </w:p>
    <w:p w:rsidR="001D6FAE" w:rsidRDefault="001D6FAE" w:rsidP="001D6FAE">
      <w:pPr>
        <w:pStyle w:val="TextoNormal"/>
      </w:pPr>
    </w:p>
    <w:p w:rsidR="001D6FAE" w:rsidRDefault="001D6FAE" w:rsidP="001D6FAE">
      <w:pPr>
        <w:pStyle w:val="TextoNormal"/>
      </w:pPr>
      <w:r>
        <w:t>“Artículo 22. Base imponible.</w:t>
      </w:r>
    </w:p>
    <w:p w:rsidR="001D6FAE" w:rsidRDefault="001D6FAE" w:rsidP="001D6FAE">
      <w:pPr>
        <w:pStyle w:val="TextoNormal"/>
      </w:pPr>
    </w:p>
    <w:p w:rsidR="001D6FAE" w:rsidRDefault="001D6FAE" w:rsidP="001D6FAE">
      <w:pPr>
        <w:pStyle w:val="TextoNormal"/>
      </w:pPr>
      <w:r>
        <w:t>1. Constituye la base imponible del impuesto sobre el almacenamiento de combustible nuclear gastado y residuos radiactivos en instalaciones centralizadas:</w:t>
      </w:r>
    </w:p>
    <w:p w:rsidR="001D6FAE" w:rsidRDefault="001D6FAE" w:rsidP="001D6FAE">
      <w:pPr>
        <w:pStyle w:val="TextoNormal"/>
      </w:pPr>
    </w:p>
    <w:p w:rsidR="001D6FAE" w:rsidRDefault="001D6FAE" w:rsidP="001D6FAE">
      <w:pPr>
        <w:pStyle w:val="TextoNormal"/>
      </w:pPr>
      <w:r>
        <w:t>a) La diferencia entre el peso del metal pesado contenido en el combustible nuclear gastado almacenado a la finalización y al inicio del período impositivo, expresado en kilogramos.</w:t>
      </w:r>
    </w:p>
    <w:p w:rsidR="001D6FAE" w:rsidRDefault="001D6FAE" w:rsidP="001D6FAE">
      <w:pPr>
        <w:pStyle w:val="TextoNormal"/>
      </w:pPr>
    </w:p>
    <w:p w:rsidR="001D6FAE" w:rsidRDefault="001D6FAE" w:rsidP="001D6FAE">
      <w:pPr>
        <w:pStyle w:val="TextoNormal"/>
      </w:pPr>
      <w:r>
        <w:t>b) La diferencia entre el volumen de residuos radiactivos de alta actividad, distintos del combustible nuclear gastado, o de media actividad y vida larga, almacenados a la finalización y al inicio del período impositivo, expresado en metros cúbicos.</w:t>
      </w:r>
    </w:p>
    <w:p w:rsidR="001D6FAE" w:rsidRDefault="001D6FAE" w:rsidP="001D6FAE">
      <w:pPr>
        <w:pStyle w:val="TextoNormal"/>
      </w:pPr>
    </w:p>
    <w:p w:rsidR="001D6FAE" w:rsidRDefault="001D6FAE" w:rsidP="001D6FAE">
      <w:pPr>
        <w:pStyle w:val="TextoNormal"/>
      </w:pPr>
      <w:r>
        <w:t>c) El volumen de residuos radiactivos de media actividad no incluidos en el apartado b), y de baja o muy baja actividad, introducidos en la instalación para su almacenamiento durante el período impositivo, expresado en metros cúbicos.</w:t>
      </w:r>
    </w:p>
    <w:p w:rsidR="001D6FAE" w:rsidRDefault="001D6FAE" w:rsidP="001D6FAE">
      <w:pPr>
        <w:pStyle w:val="TextoNormal"/>
      </w:pPr>
    </w:p>
    <w:p w:rsidR="001D6FAE" w:rsidRDefault="001D6FAE" w:rsidP="001D6FAE">
      <w:pPr>
        <w:pStyle w:val="TextoNormal"/>
      </w:pPr>
      <w:r>
        <w:t>2. La base imponible definida en este artículo se determinará para cada instalación en la que se realicen las actividades que constituyen el hecho imponible de este impuesto.”</w:t>
      </w:r>
    </w:p>
    <w:p w:rsidR="001D6FAE" w:rsidRDefault="001D6FAE" w:rsidP="001D6FAE">
      <w:pPr>
        <w:pStyle w:val="TextoNormal"/>
      </w:pPr>
    </w:p>
    <w:p w:rsidR="001D6FAE" w:rsidRDefault="001D6FAE" w:rsidP="001D6FAE">
      <w:pPr>
        <w:pStyle w:val="TextoNormal"/>
      </w:pPr>
      <w:r>
        <w:t>“Artículo 24. Tipo impositivo y cuota tributaria.</w:t>
      </w:r>
    </w:p>
    <w:p w:rsidR="001D6FAE" w:rsidRDefault="001D6FAE" w:rsidP="001D6FAE">
      <w:pPr>
        <w:pStyle w:val="TextoNormal"/>
      </w:pPr>
    </w:p>
    <w:p w:rsidR="001D6FAE" w:rsidRDefault="001D6FAE" w:rsidP="001D6FAE">
      <w:pPr>
        <w:pStyle w:val="TextoNormal"/>
      </w:pPr>
      <w:r>
        <w:t>1. La cuota tributaria será el resultado de aplicar a la base imponible, o a la base liquidable de acuerdo con lo establecido en el artículo 23, los siguientes tipos impositivos:</w:t>
      </w:r>
    </w:p>
    <w:p w:rsidR="001D6FAE" w:rsidRDefault="001D6FAE" w:rsidP="001D6FAE">
      <w:pPr>
        <w:pStyle w:val="TextoNormal"/>
      </w:pPr>
    </w:p>
    <w:p w:rsidR="001D6FAE" w:rsidRDefault="001D6FAE" w:rsidP="001D6FAE">
      <w:pPr>
        <w:pStyle w:val="TextoNormal"/>
      </w:pPr>
      <w:r>
        <w:t>a) En el almacenamiento de combustible gastado a que se refiere el apartado 1.a) del artículo 22, el tipo será de 70 euros por kilogramo de metal pesado.</w:t>
      </w:r>
    </w:p>
    <w:p w:rsidR="001D6FAE" w:rsidRDefault="001D6FAE" w:rsidP="001D6FAE">
      <w:pPr>
        <w:pStyle w:val="TextoNormal"/>
      </w:pPr>
    </w:p>
    <w:p w:rsidR="001D6FAE" w:rsidRDefault="001D6FAE" w:rsidP="001D6FAE">
      <w:pPr>
        <w:pStyle w:val="TextoNormal"/>
      </w:pPr>
      <w:r>
        <w:t>b) En el almacenamiento de residuos radiactivos a que se refiere el apartado 1.b) del artículo 22, el tipo será de 30.000 euros por metro cúbico de residuo radiactivo.</w:t>
      </w:r>
    </w:p>
    <w:p w:rsidR="001D6FAE" w:rsidRDefault="001D6FAE" w:rsidP="001D6FAE">
      <w:pPr>
        <w:pStyle w:val="TextoNormal"/>
      </w:pPr>
    </w:p>
    <w:p w:rsidR="001D6FAE" w:rsidRDefault="001D6FAE" w:rsidP="001D6FAE">
      <w:pPr>
        <w:pStyle w:val="TextoNormal"/>
      </w:pPr>
      <w:r>
        <w:t>c) En el almacenamiento de residuos radiactivos a que se refiere el apartado 1.c) del artículo 22:</w:t>
      </w:r>
    </w:p>
    <w:p w:rsidR="001D6FAE" w:rsidRDefault="001D6FAE" w:rsidP="001D6FAE">
      <w:pPr>
        <w:pStyle w:val="TextoNormal"/>
      </w:pPr>
    </w:p>
    <w:p w:rsidR="001D6FAE" w:rsidRDefault="001D6FAE" w:rsidP="001D6FAE">
      <w:pPr>
        <w:pStyle w:val="TextoNormal"/>
      </w:pPr>
      <w:r>
        <w:t>1. Para residuos radiactivos de baja y media actividad, el tipo será de 10.000 euros por metro cúbico.</w:t>
      </w:r>
    </w:p>
    <w:p w:rsidR="001D6FAE" w:rsidRDefault="001D6FAE" w:rsidP="001D6FAE">
      <w:pPr>
        <w:pStyle w:val="TextoNormal"/>
      </w:pPr>
    </w:p>
    <w:p w:rsidR="001D6FAE" w:rsidRDefault="001D6FAE" w:rsidP="001D6FAE">
      <w:pPr>
        <w:pStyle w:val="TextoNormal"/>
      </w:pPr>
      <w:r>
        <w:t>2. Para residuos radiactivos de muy baja actividad, el tipo será de 2.000 euros por metro cúbico.”</w:t>
      </w:r>
    </w:p>
    <w:p w:rsidR="001D6FAE" w:rsidRDefault="001D6FAE" w:rsidP="001D6FAE">
      <w:pPr>
        <w:pStyle w:val="TextoNormal"/>
      </w:pPr>
    </w:p>
    <w:p w:rsidR="001D6FAE" w:rsidRDefault="001D6FAE" w:rsidP="001D6FAE">
      <w:pPr>
        <w:pStyle w:val="TextoNormal"/>
      </w:pPr>
      <w:r>
        <w:t>“CAPÍTULO IV</w:t>
      </w:r>
    </w:p>
    <w:p w:rsidR="001D6FAE" w:rsidRDefault="001D6FAE" w:rsidP="001D6FAE">
      <w:pPr>
        <w:pStyle w:val="TextoNormal"/>
      </w:pPr>
    </w:p>
    <w:p w:rsidR="001D6FAE" w:rsidRDefault="001D6FAE" w:rsidP="001D6FAE">
      <w:pPr>
        <w:pStyle w:val="TextoNormal"/>
      </w:pPr>
      <w:r>
        <w:t>Normas comunes para ambos impuestos</w:t>
      </w:r>
    </w:p>
    <w:p w:rsidR="001D6FAE" w:rsidRDefault="001D6FAE" w:rsidP="001D6FAE">
      <w:pPr>
        <w:pStyle w:val="TextoNormal"/>
      </w:pPr>
    </w:p>
    <w:p w:rsidR="001D6FAE" w:rsidRDefault="001D6FAE" w:rsidP="001D6FAE">
      <w:pPr>
        <w:pStyle w:val="TextoNormal"/>
      </w:pPr>
      <w:r>
        <w:t>Artículo 26. Liquidación y pago.</w:t>
      </w:r>
    </w:p>
    <w:p w:rsidR="001D6FAE" w:rsidRDefault="001D6FAE" w:rsidP="001D6FAE">
      <w:pPr>
        <w:pStyle w:val="TextoNormal"/>
      </w:pPr>
    </w:p>
    <w:p w:rsidR="001D6FAE" w:rsidRDefault="001D6FAE" w:rsidP="001D6FAE">
      <w:pPr>
        <w:pStyle w:val="TextoNormal"/>
      </w:pPr>
      <w:r>
        <w:t>1. Los contribuyentes estarán obligados a autoliquidar el impuesto e ingresar la cuota resultante en el plazo de los primeros 20 días naturales siguientes al devengo del impuesto, de acuerdo con las normas y modelos que establezca el Ministro de Hacienda y Administraciones Públicas.</w:t>
      </w:r>
    </w:p>
    <w:p w:rsidR="001D6FAE" w:rsidRDefault="001D6FAE" w:rsidP="001D6FAE">
      <w:pPr>
        <w:pStyle w:val="TextoNormal"/>
      </w:pPr>
    </w:p>
    <w:p w:rsidR="001D6FAE" w:rsidRDefault="001D6FAE" w:rsidP="001D6FAE">
      <w:pPr>
        <w:pStyle w:val="TextoNormal"/>
      </w:pPr>
      <w:r>
        <w:t>2. En los primeros 20 días naturales de los meses de abril, julio y octubre, los contribuyentes que realicen el hecho imponible establecido en los artículos 15 y 19 deberán efectuar un pago fraccionado a cuenta de la liquidación correspondiente al período impositivo en curso, de acuerdo con las normas y modelos que establezca el Ministro de Hacienda y Administraciones Públicas.</w:t>
      </w:r>
    </w:p>
    <w:p w:rsidR="001D6FAE" w:rsidRDefault="001D6FAE" w:rsidP="001D6FAE">
      <w:pPr>
        <w:pStyle w:val="TextoNormal"/>
      </w:pPr>
    </w:p>
    <w:p w:rsidR="001D6FAE" w:rsidRDefault="001D6FAE" w:rsidP="001D6FAE">
      <w:pPr>
        <w:pStyle w:val="TextoNormal"/>
      </w:pPr>
      <w:r>
        <w:t>El importe de los pagos fraccionados se calculará en función de las magnitudes determinantes de la base imponible que correspondan al trimestre natural anterior al inicio del plazo de realización de cada uno de los pagos fraccionados, y aplicando el tipo impositivo, según el caso, a que se refieren los artículos 18 y 24 de la Ley.”</w:t>
      </w:r>
    </w:p>
    <w:p w:rsidR="001D6FAE" w:rsidRDefault="001D6FAE" w:rsidP="001D6FAE">
      <w:pPr>
        <w:pStyle w:val="TextoNormal"/>
      </w:pPr>
    </w:p>
    <w:p w:rsidR="001D6FAE" w:rsidRDefault="001D6FAE" w:rsidP="001D6FAE">
      <w:pPr>
        <w:pStyle w:val="TextoNormal"/>
      </w:pPr>
      <w:r w:rsidRPr="001D6FAE">
        <w:rPr>
          <w:rStyle w:val="NumeroAFNegritaCaracter"/>
        </w:rPr>
        <w:t>2</w:t>
      </w:r>
      <w:r>
        <w:t>. Los antecedentes de hecho relevantes para el examen de la cuestión son los siguientes:</w:t>
      </w:r>
    </w:p>
    <w:p w:rsidR="001D6FAE" w:rsidRDefault="001D6FAE" w:rsidP="001D6FAE">
      <w:pPr>
        <w:pStyle w:val="TextoNormal"/>
      </w:pPr>
    </w:p>
    <w:p w:rsidR="001D6FAE" w:rsidRDefault="001D6FAE" w:rsidP="001D6FAE">
      <w:pPr>
        <w:pStyle w:val="TextoNormal"/>
      </w:pPr>
      <w:r>
        <w:t>a) En el recurso tramitado ante la Audiencia Nacional con el núm. 220-2013, la Asociación Española de la Industria Eléctrica (UNESA) impugnó la Orden HAP/538/2013, de 5 de abril, por la que se aprueban los modelos 583 (“Impuesto sobre la producción de combustible nuclear gastado y residuos radioactivos resultantes de la generación de energía nucleoeléctrica. Autoliquidación y pagos fraccionados”) y 585 (“Impuesto sobre el almacenamiento de combustible nuclear gastado y residuos radioactivos en instalaciones centralizadas. Autoliquidación y pagos fraccionados”), y se establece la forma y procedimiento para su presentación. Entre otros motivos, la recurrente sostuvo que la Ley 15/2012, objeto de desarrollo por esta Orden, vulneraba los arts. 9.3, 14 y 31 CE.</w:t>
      </w:r>
    </w:p>
    <w:p w:rsidR="001D6FAE" w:rsidRDefault="001D6FAE" w:rsidP="001D6FAE">
      <w:pPr>
        <w:pStyle w:val="TextoNormal"/>
      </w:pPr>
    </w:p>
    <w:p w:rsidR="001D6FAE" w:rsidRDefault="001D6FAE" w:rsidP="001D6FAE">
      <w:pPr>
        <w:pStyle w:val="TextoNormal"/>
      </w:pPr>
      <w:r>
        <w:t>b) Desestimado el recurso contencioso-administrativo por Sentencia de 21 de julio de 2014, UNESA interpuso recurso de casación, que fue tramitado con el núm. 3240-2014.</w:t>
      </w:r>
    </w:p>
    <w:p w:rsidR="001D6FAE" w:rsidRDefault="001D6FAE" w:rsidP="001D6FAE">
      <w:pPr>
        <w:pStyle w:val="TextoNormal"/>
      </w:pPr>
    </w:p>
    <w:p w:rsidR="001D6FAE" w:rsidRDefault="001D6FAE" w:rsidP="001D6FAE">
      <w:pPr>
        <w:pStyle w:val="TextoNormal"/>
      </w:pPr>
      <w:r>
        <w:t>c) Señalado el día 12 de abril de 2016 para deliberación y fallo, por providencia adoptada en la misma fecha de acuerdo con el art. 35.2 de la Ley Orgánica del Tribunal Constitucional (LOTC), se dio audiencia a las partes y al Ministerio Fiscal sobre la procedencia de plantear cuestión de inconstitucionalidad en relación con los arts. 12, 15, 17, 18, 19, 22, 24 y 26 de la Ley 15/2012, habida cuenta de su eventual oposición al art. 31.1 CE, en relación con la consolidada jurisprudencia del Tribunal Constitucional sobre los tributos de naturaleza extrafiscal.</w:t>
      </w:r>
    </w:p>
    <w:p w:rsidR="001D6FAE" w:rsidRDefault="001D6FAE" w:rsidP="001D6FAE">
      <w:pPr>
        <w:pStyle w:val="TextoNormal"/>
      </w:pPr>
    </w:p>
    <w:p w:rsidR="001D6FAE" w:rsidRDefault="001D6FAE" w:rsidP="001D6FAE">
      <w:pPr>
        <w:pStyle w:val="TextoNormal"/>
      </w:pPr>
      <w:r>
        <w:t>d) En la evacuación del trámite de alegaciones, la parte actora solicitó la elevación de la cuestión de inconstitucionalidad sobre el conjunto de los preceptos citados, por ser contrarios a los principios del poder tributario del Estado consagrados en el art. 31.1 CE, en cuanto que los impuestos controvertidos carecen de finalidad medioambiental, en referencia a la doctrina constitucional en materia de tributos extrafiscales y a las exigencias del derecho de la Unión Europea en materia de política medioambiental. En cuanto a las partes demandadas en el recurso de casación, la Administración general del Estado se opuso al planteamiento de la cuestión, e Iberdrola Generación Nuclear, S.A.U., no realizó alegación alguna. Por su parte, el Ministerio Fiscal no se opuso a la procedencia de su planteamiento.</w:t>
      </w:r>
    </w:p>
    <w:p w:rsidR="001D6FAE" w:rsidRDefault="001D6FAE" w:rsidP="001D6FAE">
      <w:pPr>
        <w:pStyle w:val="TextoNormal"/>
      </w:pPr>
    </w:p>
    <w:p w:rsidR="001D6FAE" w:rsidRDefault="001D6FAE" w:rsidP="001D6FAE">
      <w:pPr>
        <w:pStyle w:val="TextoNormal"/>
      </w:pPr>
      <w:r>
        <w:t>e) Por Auto de 14 de junio de 2016, la Sección Segunda de la Sala de lo Contencioso-Administrativo del Tribunal Supremo acordó plantear la cuestión de inconstitucionalidad respecto de los arts. 12, 15, 17, 18, 19, 22, 24 y 26 de la Ley 15/2012, en atención a su eventual oposición al principio de capacidad económica que proclama el art. 31.1 CE.</w:t>
      </w:r>
    </w:p>
    <w:p w:rsidR="001D6FAE" w:rsidRDefault="001D6FAE" w:rsidP="001D6FAE">
      <w:pPr>
        <w:pStyle w:val="TextoNormal"/>
      </w:pPr>
    </w:p>
    <w:p w:rsidR="001D6FAE" w:rsidRDefault="001D6FAE" w:rsidP="001D6FAE">
      <w:pPr>
        <w:pStyle w:val="TextoNormal"/>
      </w:pPr>
      <w:r w:rsidRPr="001D6FAE">
        <w:rPr>
          <w:rStyle w:val="NumeroAFNegritaCaracter"/>
        </w:rPr>
        <w:t>3</w:t>
      </w:r>
      <w:r>
        <w:t>. Del contenido del Auto de planteamiento de la cuestión de inconstitucionalidad, interesa destacar lo siguiente:</w:t>
      </w:r>
    </w:p>
    <w:p w:rsidR="001D6FAE" w:rsidRDefault="001D6FAE" w:rsidP="001D6FAE">
      <w:pPr>
        <w:pStyle w:val="TextoNormal"/>
      </w:pPr>
    </w:p>
    <w:p w:rsidR="001D6FAE" w:rsidRDefault="001D6FAE" w:rsidP="001D6FAE">
      <w:pPr>
        <w:pStyle w:val="TextoNormal"/>
      </w:pPr>
      <w:r>
        <w:t xml:space="preserve">a) Frente al criterio de la Sala de instancia y del sostenido por el Abogado del Estado en el trámite del art. 35.2 LOTC, que consideran que no procede plantear la cuestión de inconstitucionalidad, por no apreciar conexión entre la norma reglamentaria impugnada en el proceso </w:t>
      </w:r>
      <w:r w:rsidRPr="001D6FAE">
        <w:rPr>
          <w:i/>
        </w:rPr>
        <w:t>a quo</w:t>
      </w:r>
      <w:r>
        <w:t xml:space="preserve"> y la Ley 15/2012, el órgano promotor de la presente cuestión de inconstitucionalidad entiende que dicho criterio desconoce la íntima conexión existente entre las obligaciones formales y materiales que componen la relación jurídico-tributaria, pues si la exigibilidad de las formales está condicionada a la previa existencia de una obligación material, nada impide cuestionar aquéllas con el argumento de que éstas son inválidas por inconstitucionales, o ineficaces por contrarias al ordenamiento jurídico de la Unión Europea. Si la obligación tributaria material regulada en la Ley es contraria al ordenamiento jurídico, tal vicio se comunica a la obligación formal que es su complemento. Negar que el recurso contra la disposición reglamentaria pueda sustentarse en tales vicios de la Ley incorpora una restricción a la impugnación de las disposiciones administrativas que no está en la Ley reguladora de la jurisdicción contencioso-administrativa (LJCA) ni en el art. 106.1 CE, y limita injustificadamente la efectividad de la tutela judicial, con desconocimiento del art. 24.1 CE.</w:t>
      </w:r>
    </w:p>
    <w:p w:rsidR="001D6FAE" w:rsidRDefault="001D6FAE" w:rsidP="001D6FAE">
      <w:pPr>
        <w:pStyle w:val="TextoNormal"/>
      </w:pPr>
    </w:p>
    <w:p w:rsidR="001D6FAE" w:rsidRDefault="001D6FAE" w:rsidP="001D6FAE">
      <w:pPr>
        <w:pStyle w:val="TextoNormal"/>
      </w:pPr>
      <w:r>
        <w:t>A lo anterior no se opone el ATC 54/2006, de 15 de febrero, invocado en la sentencia recurrida en casación. Dicho Auto afirmó que (salvo las excepciones que contempla) las disposiciones reglamentarias no pueden ser objeto de cuestión de inconstitucionalidad. Pero no dice, y no podría decir, que cuando un tribunal ordinario tenga que zanjar un litigio en el que se discute una disposición administrativa que desarrolla una ley de cuya constitucionalidad dude no pueda dirigirse incidentalmente al Tribunal Constitucional para que despeje la duda, debiendo, en tal caso, dejar imprejuzgada la cuestión. Tampoco son obstáculo las SSTC 255/2004, de 23 de diciembre, y 148/2006, de 9 de mayo. En ellas se condiciona la admisibilidad de la cuestión a que la exteriorización del juicio de relevancia ponga de relieve la conexión entre los preceptos reglamentarios impugnados y las disposiciones legales cuestionadas. La conexión se da en este caso, pues si las obligaciones materiales disciplinadas en la Ley 15/2012 son contrarias a la Constitución, las formales reguladas en la Orden ministerial discutida perderían cobertura, siendo nulas. Resulta pues evidente que la decisión del recurso contencioso-administrativo depende de la validez constitucional de la Ley 15/2012 (SSTC 60/2013, de 13 de marzo, FJ 1, y 53/2014, de 10 de abril, FJ 1). La STC 183/2014, de 6 de noviembre, analizó la constitucionalidad de la Ley 15/2012, pero desde la perspectiva de los principios de seguridad jurídica e igualdad (arts. 9.3 y 14 CE), no desde los requerimientos impuestos por el art. 31.1 CE.</w:t>
      </w:r>
    </w:p>
    <w:p w:rsidR="001D6FAE" w:rsidRDefault="001D6FAE" w:rsidP="001D6FAE">
      <w:pPr>
        <w:pStyle w:val="TextoNormal"/>
      </w:pPr>
    </w:p>
    <w:p w:rsidR="001D6FAE" w:rsidRDefault="001D6FAE" w:rsidP="001D6FAE">
      <w:pPr>
        <w:pStyle w:val="TextoNormal"/>
      </w:pPr>
      <w:r>
        <w:t>b) Tras exponer el marco regulador de los impuestos objeto de la cuestión y resumir la doctrina constitucional sobre los tributos de naturaleza extrafiscal, el Auto de planteamiento inicia la exposición de las dudas de constitucionalidad acotando su ámbito en el fundamento de derecho cuarto, en los siguientes términos:</w:t>
      </w:r>
    </w:p>
    <w:p w:rsidR="001D6FAE" w:rsidRDefault="001D6FAE" w:rsidP="001D6FAE">
      <w:pPr>
        <w:pStyle w:val="TextoNormal"/>
      </w:pPr>
    </w:p>
    <w:p w:rsidR="001D6FAE" w:rsidRDefault="001D6FAE" w:rsidP="001D6FAE">
      <w:pPr>
        <w:pStyle w:val="TextoNormal"/>
      </w:pPr>
      <w:r>
        <w:t>“Con carácter preliminar hemos de acotar el ámbito de nuestras dudas. En primer lugar, debe quedar claro que el contraste que provoca este reenvío al Tribunal Constitucional lo es entre la Ley 15/2012 y la Constitución, en particular su artículo 31.1. No interviene para nada como elemento de enjuiciamiento en este momento el Derecho de la Unión Europea, cuestión sobre la que insiste UNESA en su escrito de alegaciones. La eventual contradicción entre la mencionada Ley y dicho ordenamiento jurídico transnacional, así como las perplejidades interpretativas que tal enjuiciamiento pudiera provocar, disponen de otro marco procesal para su solución, sobre el que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c) Pese a que en el preámbulo de la Ley se proclama la doble finalidad medioambiental y recaudatoria de los impuestos controvertidos, el Auto afirma que su carácter extrafiscal no se deriva de su estructura ni de sus elementos configuradores. Parece haber bastado la justificación ofrecida en el preámbulo y el propio desvalor medioambiental que acompaña a cualquier actividad relacionada con su condición de nuclear, pero en la configuración y estructuración legal se obvia dotar a estas figuras impositivas de elementos identificadores del carácter extrafiscal en relación con su potencial descontaminante, para desincentivarlo o estimular otras conductas; lo único visible es que se está gravando simple y llanamente la actividad de producción y almacenamiento de residuos radiactivos. Como reconoce el Ministerio fiscal, se acredita así la superposición de un nuevo gravamen al régimen tributario de un sector de actividad cuya capacidad económica, al menos en relación con esta concreta actividad, ya es objeto de tributación, determinando un desbordamiento de los límites establecidos por el art. 31.1 CE. Según el órgano judicial promotor de la cuestión, “en la Ley 15/2012 no se hace accesible la afectación al medio ambiente de la actividad de producción y almacenamiento de residuos radiactivos que justificaría su carácter extrafiscal, al punto que el solapamiento denunciado con el efecto pernicioso de la doble imposición resulta posible, en tanto que es objeto simultáneamente de varios tributos las mismas actividades”. La duda de constitucionalidad estriba, por tanto, en el carácter extrafiscal de los impuestos analizados y su respeto al art. 31.1 CE, “al poderse estar gravando, inexistente aquella finalidad, una misma manifestación de riqueza a través de varias figuras tributarias”.</w:t>
      </w:r>
    </w:p>
    <w:p w:rsidR="001D6FAE" w:rsidRDefault="001D6FAE" w:rsidP="001D6FAE">
      <w:pPr>
        <w:pStyle w:val="TextoNormal"/>
      </w:pPr>
    </w:p>
    <w:p w:rsidR="001D6FAE" w:rsidRDefault="001D6FAE" w:rsidP="001D6FAE">
      <w:pPr>
        <w:pStyle w:val="TextoNormal"/>
      </w:pPr>
      <w:r w:rsidRPr="001D6FAE">
        <w:rPr>
          <w:rStyle w:val="NumeroAFNegritaCaracter"/>
        </w:rPr>
        <w:t>4</w:t>
      </w:r>
      <w:r>
        <w:t>. Mediante providencia de 18 de octubre de 2016, el Pleno, a propuesta de la Sección Tercera, acordó, a los efectos que determina el art. 37.1 LOTC, oír al Fiscal General del Estado para que, en el plazo de diez días, alegara lo que considerase conveniente acerca de la admisibilidad de la presente cuestión de inconstitucionalidad, en relación con el cumplimiento de los requisitos procesales (art. 35.2 LOTC).</w:t>
      </w:r>
    </w:p>
    <w:p w:rsidR="001D6FAE" w:rsidRDefault="001D6FAE" w:rsidP="001D6FAE">
      <w:pPr>
        <w:pStyle w:val="TextoNormal"/>
      </w:pPr>
    </w:p>
    <w:p w:rsidR="001D6FAE" w:rsidRDefault="001D6FAE" w:rsidP="001D6FAE">
      <w:pPr>
        <w:pStyle w:val="TextoNormal"/>
      </w:pPr>
      <w:r w:rsidRPr="001D6FAE">
        <w:rPr>
          <w:rStyle w:val="NumeroAFNegritaCaracter"/>
        </w:rPr>
        <w:t>5</w:t>
      </w:r>
      <w:r>
        <w:t>. La Fiscal General del Estado presentó su escrito de alegaciones en este Tribunal el día 23 de noviembre de 2016, instando la inadmisión de esta cuestión de inconstitucionalidad por deficiencias en el cumplimiento de los requisitos procesales, en atención a las razones que a continuación se resumen.</w:t>
      </w:r>
    </w:p>
    <w:p w:rsidR="001D6FAE" w:rsidRDefault="001D6FAE" w:rsidP="001D6FAE">
      <w:pPr>
        <w:pStyle w:val="TextoNormal"/>
      </w:pPr>
    </w:p>
    <w:p w:rsidR="001D6FAE" w:rsidRDefault="001D6FAE" w:rsidP="001D6FAE">
      <w:pPr>
        <w:pStyle w:val="TextoNormal"/>
      </w:pPr>
      <w:r>
        <w:t>a) La cuestión relativa a la posible inadmisión de la presente cuestión de inconstitucionalidad por infracción de requisitos procesales (art. 35.2 LOTC) ha de quedar limitada a la comprobación de la forma en que la Sala ha formulado, en el Auto de planteamiento, los denominados juicios de aplicabilidad y de relevancia, según han quedado conformados por la doctrina constitucional.</w:t>
      </w:r>
    </w:p>
    <w:p w:rsidR="001D6FAE" w:rsidRDefault="001D6FAE" w:rsidP="001D6FAE">
      <w:pPr>
        <w:pStyle w:val="TextoNormal"/>
      </w:pPr>
    </w:p>
    <w:p w:rsidR="001D6FAE" w:rsidRDefault="001D6FAE" w:rsidP="001D6FAE">
      <w:pPr>
        <w:pStyle w:val="TextoNormal"/>
      </w:pPr>
      <w:r>
        <w:t>Por lo que se refiere a la justificación de la aplicabilidad de los preceptos cuestionados para la resolución del recurso de casación núm. 3240-2014 entablado contra la Orden HAP/538/2013, el Auto de planteamiento ha dejado dicho que para resolverlo ha de partir de la base de que, si la obligación tributaria material regulada en la Ley 15/2012, que disciplina los impuestos aquí cuestionados, fuera contraria al ordenamiento jurídico-constitucional, tal vicio se trasladaría a la obligación formal que es su complemento, motivo por el cual necesita saber, para zanjar el litigio que ha de fallar, si los preceptos de la Ley 15/2012 que disciplinan los impuestos sobre producción de combustible nuclear gastado y residuos radiactivos resultantes de la generación de energía núcleo eléctrica y el almacenamiento de combustible nuclear gastado y residuos radioactivos en instalaciones centralizadas, de los que la Orden ministerial impugnada es desarrollo y aplicación, son contrarios o no a la Constitución.</w:t>
      </w:r>
    </w:p>
    <w:p w:rsidR="001D6FAE" w:rsidRDefault="001D6FAE" w:rsidP="001D6FAE">
      <w:pPr>
        <w:pStyle w:val="TextoNormal"/>
      </w:pPr>
    </w:p>
    <w:p w:rsidR="001D6FAE" w:rsidRDefault="001D6FAE" w:rsidP="001D6FAE">
      <w:pPr>
        <w:pStyle w:val="TextoNormal"/>
      </w:pPr>
      <w:r>
        <w:t>Sin embargo, no ha dedicado ningún razonamiento a la exposición de las razones por las que ha decidido plantear esta cuestión de inconstitucionalidad antes que la cuestión prejudicial ante el Tribunal de Justicia de la Unión Europea que ha interesado la recurrente. Lo referido al respecto en su fundamento de derecho cuarto significa, con toda claridad, que la Sala ha dado prioridad al planteamiento de la cuestión de inconstitucionalidad sobre el planteamiento de la cuestión prejudicial europea que, sin embargo, también entiende procedente.</w:t>
      </w:r>
    </w:p>
    <w:p w:rsidR="001D6FAE" w:rsidRDefault="001D6FAE" w:rsidP="001D6FAE">
      <w:pPr>
        <w:pStyle w:val="TextoNormal"/>
      </w:pPr>
    </w:p>
    <w:p w:rsidR="001D6FAE" w:rsidRDefault="001D6FAE" w:rsidP="001D6FAE">
      <w:pPr>
        <w:pStyle w:val="TextoNormal"/>
      </w:pPr>
      <w:r>
        <w:t>Ello constituye el principal problema de admisibilidad de la presente cuestión de inconstitucionalidad, sobre todo a la vista de la doctrina fijada por el Tribunal en el fundamento jurídico 4 del ATC 168/2016, de 4 de octubre. Con arreglo a la misma,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dado que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La hipótesis que se plantea en la presente cuestión de inconstitucionalidad no es exactamente la misma que se planteó en el caso resuelto por el ATC 168/2016, pues ahora no se trata de un planteamiento simultáneo de la cuestión de inconstitucionalidad y de la cuestión prejudicial europea, sino de un planteamiento prioritario o preferente de la cuestión de inconstitucionalidad sobre la cuestión prejudicial europea. Sin embargo, esta diferencia no ha de implicar que la solución que haya de darse al presente caso tenga que ser diferente de la dada a aquel otro, habida cuenta de que el ATC 168/2016 ha dejado sentado, sin lugar a dudas, que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con lo que, si lo que sucede es que alberga dudas sobre la compatibilidad de esa ley con el Derecho de la Unión, lo que habrá de hacer es plantear primero la cuestión prejudicial ante el Tribunal de Justicia de la Unión Europea, de suerte que solo cuando éste haya descartado la incompatibilidad de la norma nacional con el Derecho comunitario cabrá plantear la cuestión de inconstitucionalidad”.</w:t>
      </w:r>
    </w:p>
    <w:p w:rsidR="001D6FAE" w:rsidRDefault="001D6FAE" w:rsidP="001D6FAE">
      <w:pPr>
        <w:pStyle w:val="TextoNormal"/>
      </w:pPr>
    </w:p>
    <w:p w:rsidR="001D6FAE" w:rsidRDefault="001D6FAE" w:rsidP="001D6FAE">
      <w:pPr>
        <w:pStyle w:val="TextoNormal"/>
      </w:pPr>
      <w:r>
        <w:t xml:space="preserve">Entendiendo la Sala promotora, como con toda evidencia se desprende del razonamiento contenido en el Auto de planteamiento, que los preceptos de la Ley 15/2012 que disciplinan los impuestos controvertidos pudieran ser a un tiempo contrarios al art. 31.1 CE e infractores del Derecho de la Unión Europea, ha dado prioridad al planteamiento de la cuestión de inconstitucionalidad sobre el planteamiento de la cuestión prejudicial europea. Al obrar así, ha venido a reconocer la inaplicabilidad actual de esos preceptos para la resolución del proceso </w:t>
      </w:r>
      <w:r w:rsidRPr="001D6FAE">
        <w:rPr>
          <w:i/>
        </w:rPr>
        <w:t>a quo</w:t>
      </w:r>
      <w:r>
        <w:t>, lo que a su vez ha de provocar la inadmisión de la presente cuestión de inconstitucionalidad por incumplimiento del requisito de la aplicabilidad (art. 37. l LOTC).</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La Sección Segunda de la Sala de lo Contencioso-Administrativo del Tribunal Supremo ha promovido cuestión de inconstitucionalidad relativa a los 12, 15, 17, 18, 19, 22, 24 y 26 de la Ley 15/2012, de 27 de diciembre, de medidas fiscales para la sostenibilidad energética, que regulan los impuestos sobre producción de combustible nuclear gastado y residuos radiactivos resultantes de la generación de energía núcleo eléctrica y el almacenamiento de combustible nuclear gastado y residuos radioactivos en instalaciones centralizadas, por posible vulneración del principio de capacidad económica recogido en el art. 31.1 CE.</w:t>
      </w:r>
    </w:p>
    <w:p w:rsidR="001D6FAE" w:rsidRDefault="001D6FAE" w:rsidP="001D6FAE">
      <w:pPr>
        <w:pStyle w:val="TextoNormal"/>
      </w:pPr>
    </w:p>
    <w:p w:rsidR="001D6FAE" w:rsidRDefault="001D6FAE" w:rsidP="001D6FAE">
      <w:pPr>
        <w:pStyle w:val="TextoNormal"/>
      </w:pPr>
      <w:r>
        <w:t>Como ha quedado expuesto en los antecedentes de esta resolución, la Fiscal General del Estado interesa la inadmisión de esta cuestión.</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De acuerdo con lo dispuesto en el art. 37.1 de la Ley Orgánica del Tribunal Constitucional (LOTC), este Tribunal puede rechazar </w:t>
      </w:r>
      <w:r w:rsidRPr="001D6FAE">
        <w:rPr>
          <w:i/>
        </w:rPr>
        <w:t>a limine</w:t>
      </w:r>
      <w:r>
        <w:t xml:space="preserve"> las cuestiones de inconstitucionalidad, mediante Auto y sin otra audiencia que la del Fiscal General del Estado, si faltaren las condiciones procesales o fueran notoriamente infundadas.</w:t>
      </w:r>
    </w:p>
    <w:p w:rsidR="001D6FAE" w:rsidRDefault="001D6FAE" w:rsidP="001D6FAE">
      <w:pPr>
        <w:pStyle w:val="TextoNormal"/>
      </w:pPr>
    </w:p>
    <w:p w:rsidR="001D6FAE" w:rsidRDefault="001D6FAE" w:rsidP="001D6FAE">
      <w:pPr>
        <w:pStyle w:val="TextoNormal"/>
      </w:pPr>
      <w:r>
        <w:t>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001D6FAE" w:rsidRDefault="001D6FAE" w:rsidP="001D6FAE">
      <w:pPr>
        <w:pStyle w:val="TextoNormal"/>
      </w:pPr>
    </w:p>
    <w:p w:rsidR="001D6FAE" w:rsidRDefault="001D6FAE" w:rsidP="001D6FAE">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y 188/2015, de 5 de noviembre, FJ 2).</w:t>
      </w:r>
    </w:p>
    <w:p w:rsidR="001D6FAE" w:rsidRDefault="001D6FAE" w:rsidP="001D6FAE">
      <w:pPr>
        <w:pStyle w:val="TextoNormal"/>
      </w:pPr>
    </w:p>
    <w:p w:rsidR="001D6FAE" w:rsidRDefault="001D6FAE" w:rsidP="001D6FAE">
      <w:pPr>
        <w:pStyle w:val="TextoNormal"/>
      </w:pPr>
      <w:r w:rsidRPr="001D6FAE">
        <w:rPr>
          <w:rStyle w:val="NumeroAFNegritaCaracter"/>
        </w:rPr>
        <w:t>3</w:t>
      </w:r>
      <w:r>
        <w:t>. La aplicación en este caso de la referida doctrina constitucional conduce a declarar la inadmisión de la cuestión de inconstitucionalidad por incumplimiento del juicio de aplicabilidad. Como ha quedado transcrito en el antecedente 3 b) de esta resolución, el Auto de planteamiento, al acotar su duda de constitucionalidad, precisa que la eventual contradicción entre la Ley 15/2012 y el Derecho de la Unión Europea no interviene en este momento como elemento de enjuiciamiento, ya que dispone de otro marco procesal para su solución: por ello, anticipa que sobre tal extremo “se pronunciará esta Sala en el momento oportuno, si resulta menester, una vez cuente con la respuesta del Tribunal Constitucional”.</w:t>
      </w:r>
    </w:p>
    <w:p w:rsidR="001D6FAE" w:rsidRDefault="001D6FAE" w:rsidP="001D6FAE">
      <w:pPr>
        <w:pStyle w:val="TextoNormal"/>
      </w:pPr>
    </w:p>
    <w:p w:rsidR="001D6FAE" w:rsidRDefault="001D6FAE" w:rsidP="001D6FAE">
      <w:pPr>
        <w:pStyle w:val="TextoNormal"/>
      </w:pPr>
      <w:r>
        <w:t>Planteada la cuestión en estos términos, hemos de remitirnos al ATC 168/2016, de 4 de octubre, que ha sentado doctrina (reiterada en los AATC 183/2016 y 185/2016, ambos de 15 de noviembre, que resolvieron respectivamente la cuestión de inconstitucionalidad 3662-2016 y la cuestión de inconstitucionalidad 3788-2016), según la cual dicho enfoque determina que no pueda entenderse cumplido, respecto de la admisibilidad de la cuestión de inconstitucionalidad, el requisito de que la norma con rango de ley cuestionada sea “aplicable al caso” (arts. 163 CE y 35.1 LOTC). 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ATC 168/2016 razona en su FJ 4 lo siguiente:</w:t>
      </w:r>
    </w:p>
    <w:p w:rsidR="001D6FAE" w:rsidRDefault="001D6FAE" w:rsidP="001D6FAE">
      <w:pPr>
        <w:pStyle w:val="TextoNormal"/>
      </w:pPr>
    </w:p>
    <w:p w:rsidR="001D6FAE" w:rsidRDefault="001D6FAE" w:rsidP="001D6FAE">
      <w:pPr>
        <w:pStyle w:val="TextoNormal"/>
      </w:pPr>
      <w: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w:t>
      </w:r>
      <w:r w:rsidRPr="001D6FAE">
        <w:rPr>
          <w:i/>
        </w:rPr>
        <w:t>Melki y Abdeli</w:t>
      </w:r>
      <w:r>
        <w:t xml:space="preserve">; de 11 de septiembre de 2014, asunto </w:t>
      </w:r>
      <w:r w:rsidRPr="001D6FAE">
        <w:rPr>
          <w:i/>
        </w:rPr>
        <w:t>A c. B y otros</w:t>
      </w:r>
      <w:r>
        <w:t xml:space="preserve">; y de 4 de junio de 2015, asunto </w:t>
      </w:r>
      <w:r w:rsidRPr="001D6FAE">
        <w:rPr>
          <w:i/>
        </w:rPr>
        <w:t>Kernkraftwerke Lippe-Ems GmbH c. Hauptzollamt Osnabrück</w:t>
      </w:r>
      <w:r>
        <w:t xml:space="preserve">.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w:t>
      </w:r>
      <w:r w:rsidRPr="001D6FAE">
        <w:rPr>
          <w:i/>
        </w:rPr>
        <w:t>ex</w:t>
      </w:r>
      <w:r>
        <w:t xml:space="preserve"> art. 267 TFUE.</w:t>
      </w:r>
    </w:p>
    <w:p w:rsidR="001D6FAE" w:rsidRDefault="001D6FAE" w:rsidP="001D6FAE">
      <w:pPr>
        <w:pStyle w:val="TextoNormal"/>
      </w:pPr>
    </w:p>
    <w:p w:rsidR="001D6FAE" w:rsidRDefault="001D6FAE" w:rsidP="001D6FAE">
      <w:pPr>
        <w:pStyle w:val="TextoNormal"/>
      </w:pPr>
      <w:r>
        <w:t>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1D6FAE" w:rsidRDefault="001D6FAE" w:rsidP="001D6FAE">
      <w:pPr>
        <w:pStyle w:val="TextoNormal"/>
      </w:pPr>
    </w:p>
    <w:p w:rsidR="001D6FAE" w:rsidRDefault="001D6FAE" w:rsidP="001D6FAE">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001D6FAE" w:rsidRDefault="001D6FAE" w:rsidP="001D6FAE">
      <w:pPr>
        <w:pStyle w:val="TextoNormal"/>
      </w:pPr>
    </w:p>
    <w:p w:rsidR="001D6FAE" w:rsidRDefault="001D6FAE" w:rsidP="001D6FAE">
      <w:pPr>
        <w:pStyle w:val="TextoNormal"/>
      </w:pPr>
      <w:r>
        <w:t>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001D6FAE" w:rsidRDefault="001D6FAE" w:rsidP="001D6FAE">
      <w:pPr>
        <w:pStyle w:val="TextoNormal"/>
      </w:pPr>
    </w:p>
    <w:p w:rsidR="001D6FAE" w:rsidRDefault="001D6FAE" w:rsidP="001D6FAE">
      <w:pPr>
        <w:pStyle w:val="TextoNormal"/>
      </w:pPr>
      <w:r>
        <w:t>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1D6FAE" w:rsidRDefault="001D6FAE" w:rsidP="001D6FAE">
      <w:pPr>
        <w:pStyle w:val="TextoNormal"/>
      </w:pPr>
    </w:p>
    <w:p w:rsidR="001D6FAE" w:rsidRDefault="001D6FAE" w:rsidP="001D6FAE">
      <w:pPr>
        <w:pStyle w:val="TextoNormal"/>
      </w:pPr>
      <w:r>
        <w:t>Como advierte la Fiscal General del Estado, a diferencia de la situación examinada por el ATC 168/2016, en este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dudas acerca de la compatibilidad de la Ley 15/2012 con el Derecho de la Unión Europea, por lo que vendría obligado bien a no aplicarla, bien a plantear primero la cuestión prejudicial, y solo cuando haya quedado descartada la incompatibilidad de la norma nacional con el Derecho comunitario cabría plantear la cuestión de inconstitucionalidad.</w:t>
      </w:r>
    </w:p>
    <w:p w:rsidR="001D6FAE" w:rsidRDefault="001D6FAE" w:rsidP="001D6FAE">
      <w:pPr>
        <w:pStyle w:val="TextoNormal"/>
      </w:pPr>
    </w:p>
    <w:p w:rsidR="001D6FAE" w:rsidRDefault="001D6FAE" w:rsidP="001D6FAE">
      <w:pPr>
        <w:pStyle w:val="TextoNormal"/>
      </w:pPr>
      <w:r>
        <w:t>Por el contrario, la Sala promotora ha dado prioridad al planteamiento de la cuestión de inconstitucionalidad sobre el planteamiento de la cuestión prejudicial europea, cuando lo cierto es que la irresuelta decisión acerca de la eventual incompatibilidad de la Ley 15/2012 con el Derecho de la Unión, de confirmarse, sería causa de su inaplicabilidad en el proceso y, por tanto, faltaría una de las condiciones exigidas para la admisibilidad de la cuestión de inconstitucionalidad (art. 37.1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la presente cuestión de inconstitucionalidad.</w:t>
      </w:r>
    </w:p>
    <w:p w:rsidR="001D6FAE" w:rsidRDefault="001D6FAE" w:rsidP="001D6FAE">
      <w:pPr>
        <w:pStyle w:val="TextoNormal"/>
      </w:pPr>
    </w:p>
    <w:p w:rsidR="001D6FAE" w:rsidRDefault="001D6FAE" w:rsidP="001D6FAE">
      <w:pPr>
        <w:pStyle w:val="TextoNormal"/>
      </w:pPr>
      <w:r>
        <w:t>Madrid, a trece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80" w:name="AUTO_2016_206"/>
      <w:r>
        <w:t>AUTO 206/2016, de 13 de diciembre de 2016</w:t>
      </w:r>
    </w:p>
    <w:bookmarkEnd w:id="180"/>
    <w:p w:rsidR="001D6FAE" w:rsidRDefault="001D6FAE" w:rsidP="001D6FAE">
      <w:pPr>
        <w:pStyle w:val="TtuloResolucin"/>
      </w:pPr>
      <w:r>
        <w:t>Pleno</w:t>
      </w:r>
    </w:p>
    <w:p w:rsidR="001D6FAE" w:rsidRDefault="001D6FAE" w:rsidP="001D6FAE">
      <w:pPr>
        <w:pStyle w:val="TextoNormalCentrado"/>
      </w:pPr>
      <w:r>
        <w:t>ECLI:ES:TC:2016:206A</w:t>
      </w:r>
    </w:p>
    <w:p w:rsidR="001D6FAE" w:rsidRDefault="001D6FAE" w:rsidP="001D6FAE">
      <w:pPr>
        <w:pStyle w:val="TextoNormalCentrado"/>
      </w:pPr>
    </w:p>
    <w:p w:rsidR="001D6FAE" w:rsidRDefault="001D6FAE" w:rsidP="001D6FAE">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1D6FAE" w:rsidRDefault="001D6FAE" w:rsidP="001D6FAE">
      <w:pPr>
        <w:pStyle w:val="SntesisDescriptiva"/>
      </w:pPr>
    </w:p>
    <w:p w:rsidR="001D6FAE" w:rsidRDefault="001D6FAE" w:rsidP="001D6FAE">
      <w:pPr>
        <w:pStyle w:val="SntesisDescriptiva"/>
      </w:pPr>
      <w:r>
        <w:t>Inadmite a trámite el conflicto en defensa de la autonomía local 4629-2016, planteado por el Ayuntamiento de Tordesillas en relación con el Decreto-ley 2/2016, de 19 de mayo, por el que se prohíbe la muerte de las reses de lidia en presencia del público en los espectáculos taurinos populares y tradicionales en Castilla-León.</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presentado en el registro general del Tribunal Constitucional el día 1 de septiembre de 2016, don JFM, Procurador de los Tribunales, actuando en nombre y representación del Ayuntamiento de Tordesillas, plantea conflicto en defensa de la autonomía local contra el Decreto-ley 2/2016, de 19 de mayo, por el que se prohíbe la muerte de las reses de lidia en presencia del público en los espectáculos taurinos populares y tradicionales en Castilla y León.</w:t>
      </w:r>
    </w:p>
    <w:p w:rsidR="001D6FAE" w:rsidRDefault="001D6FAE" w:rsidP="001D6FAE">
      <w:pPr>
        <w:pStyle w:val="TextoNormal"/>
      </w:pPr>
    </w:p>
    <w:p w:rsidR="001D6FAE" w:rsidRDefault="001D6FAE" w:rsidP="001D6FAE">
      <w:pPr>
        <w:pStyle w:val="TextoNormal"/>
      </w:pPr>
      <w:r w:rsidRPr="001D6FAE">
        <w:rPr>
          <w:rStyle w:val="NumeroAFNegritaCaracter"/>
        </w:rPr>
        <w:t>2</w:t>
      </w:r>
      <w:r>
        <w:t>. El Decreto-ley objeto del conflicto consta de artículo único, una disposición adicional, una disposición derogatoria y dos disposiciones finales.</w:t>
      </w:r>
    </w:p>
    <w:p w:rsidR="001D6FAE" w:rsidRDefault="001D6FAE" w:rsidP="001D6FAE">
      <w:pPr>
        <w:pStyle w:val="TextoNormal"/>
      </w:pPr>
    </w:p>
    <w:p w:rsidR="001D6FAE" w:rsidRDefault="001D6FAE" w:rsidP="001D6FAE">
      <w:pPr>
        <w:pStyle w:val="TextoNormal"/>
      </w:pPr>
      <w:r>
        <w:t>El artículo único, sobre “Muerte de las reses en espectáculos taurinos”, establece lo siguiente:</w:t>
      </w:r>
    </w:p>
    <w:p w:rsidR="001D6FAE" w:rsidRDefault="001D6FAE" w:rsidP="001D6FAE">
      <w:pPr>
        <w:pStyle w:val="TextoNormal"/>
      </w:pPr>
    </w:p>
    <w:p w:rsidR="001D6FAE" w:rsidRDefault="001D6FAE" w:rsidP="001D6FAE">
      <w:pPr>
        <w:pStyle w:val="TextoNormal"/>
      </w:pPr>
      <w:r>
        <w:t>“1. En la Comunidad de Castilla y León queda prohibido dar muerte a las reses de lidia en presencia del público en los espectáculos taurinos populares y tradicionales.</w:t>
      </w:r>
    </w:p>
    <w:p w:rsidR="001D6FAE" w:rsidRDefault="001D6FAE" w:rsidP="001D6FAE">
      <w:pPr>
        <w:pStyle w:val="TextoNormal"/>
      </w:pPr>
    </w:p>
    <w:p w:rsidR="001D6FAE" w:rsidRDefault="001D6FAE" w:rsidP="001D6FAE">
      <w:pPr>
        <w:pStyle w:val="TextoNormal"/>
      </w:pPr>
      <w:r>
        <w:t>2. A los efectos de este precepto, se entiende por espectáculos taurinos populares aquellos festejos en los que se utilicen reses de lidia para el ocio y recreo de los ciudadanos. Tendrán la consideración de tales, los siguientes:</w:t>
      </w:r>
    </w:p>
    <w:p w:rsidR="001D6FAE" w:rsidRDefault="001D6FAE" w:rsidP="001D6FAE">
      <w:pPr>
        <w:pStyle w:val="TextoNormal"/>
      </w:pPr>
    </w:p>
    <w:p w:rsidR="001D6FAE" w:rsidRDefault="001D6FAE" w:rsidP="001D6FAE">
      <w:pPr>
        <w:pStyle w:val="TextoNormal"/>
      </w:pPr>
      <w:r>
        <w:t>a) Encierro, pudiendo ser urbano, de campo y mixto.</w:t>
      </w:r>
    </w:p>
    <w:p w:rsidR="001D6FAE" w:rsidRDefault="001D6FAE" w:rsidP="001D6FAE">
      <w:pPr>
        <w:pStyle w:val="TextoNormal"/>
      </w:pPr>
    </w:p>
    <w:p w:rsidR="001D6FAE" w:rsidRDefault="001D6FAE" w:rsidP="001D6FAE">
      <w:pPr>
        <w:pStyle w:val="TextoNormal"/>
      </w:pPr>
      <w:r>
        <w:t>b) Vaquillas, capea o probadilla.</w:t>
      </w:r>
    </w:p>
    <w:p w:rsidR="001D6FAE" w:rsidRDefault="001D6FAE" w:rsidP="001D6FAE">
      <w:pPr>
        <w:pStyle w:val="TextoNormal"/>
      </w:pPr>
    </w:p>
    <w:p w:rsidR="001D6FAE" w:rsidRDefault="001D6FAE" w:rsidP="001D6FAE">
      <w:pPr>
        <w:pStyle w:val="TextoNormal"/>
      </w:pPr>
      <w:r>
        <w:t>c) Concurso de cortes.</w:t>
      </w:r>
    </w:p>
    <w:p w:rsidR="001D6FAE" w:rsidRDefault="001D6FAE" w:rsidP="001D6FAE">
      <w:pPr>
        <w:pStyle w:val="TextoNormal"/>
      </w:pPr>
    </w:p>
    <w:p w:rsidR="001D6FAE" w:rsidRDefault="001D6FAE" w:rsidP="001D6FAE">
      <w:pPr>
        <w:pStyle w:val="TextoNormal"/>
      </w:pPr>
      <w:r>
        <w:t>A los mismos efectos, se entiende por espectáculos taurinos tradicionales aquellos festejos populares con reses de lidia cuya celebración arraigada socialmente se venga realizando en la localidad de forma continuada desde tiempos inmemoriales, desarrollándose de acuerdo con la costumbre del lugar. Tienen la consideración de celebraciones inmemoriales aquellos espectáculos en los que se acredite que tienen una antigüedad de, al menos, doscientos años.</w:t>
      </w:r>
    </w:p>
    <w:p w:rsidR="001D6FAE" w:rsidRDefault="001D6FAE" w:rsidP="001D6FAE">
      <w:pPr>
        <w:pStyle w:val="TextoNormal"/>
      </w:pPr>
    </w:p>
    <w:p w:rsidR="001D6FAE" w:rsidRDefault="001D6FAE" w:rsidP="001D6FAE">
      <w:pPr>
        <w:pStyle w:val="TextoNormal"/>
      </w:pPr>
      <w:r>
        <w:t>3. La prohibición prevista en este artículo se entiende sin perjuicio de las eventuales actuaciones que hayan de efectuarse sobre las reses de lidia imprescindibles para garantizar la seguridad e integridad de las personas.”</w:t>
      </w:r>
    </w:p>
    <w:p w:rsidR="001D6FAE" w:rsidRDefault="001D6FAE" w:rsidP="001D6FAE">
      <w:pPr>
        <w:pStyle w:val="TextoNormal"/>
      </w:pPr>
    </w:p>
    <w:p w:rsidR="001D6FAE" w:rsidRDefault="001D6FAE" w:rsidP="001D6FAE">
      <w:pPr>
        <w:pStyle w:val="TextoNormal"/>
      </w:pPr>
      <w:r>
        <w:t>A su vez, la disposición adicional, relativa a la adaptación de las bases reguladoras, establece que:</w:t>
      </w:r>
    </w:p>
    <w:p w:rsidR="001D6FAE" w:rsidRDefault="001D6FAE" w:rsidP="001D6FAE">
      <w:pPr>
        <w:pStyle w:val="TextoNormal"/>
      </w:pPr>
    </w:p>
    <w:p w:rsidR="001D6FAE" w:rsidRDefault="001D6FAE" w:rsidP="001D6FAE">
      <w:pPr>
        <w:pStyle w:val="TextoNormal"/>
      </w:pPr>
      <w:r>
        <w:t>“1. Los espectáculos taurinos tradicionales declarados como tales a la entrada en vigor de esta norma y cuyas bases reguladoras permitiesen la muerte de reses de lidia en presencia del público no podrán ser autorizados para su celebración a partir del momento de la entrada en vigor de la misma en tanto no adapten sus bases reguladoras a lo previsto en este decreto-ley.</w:t>
      </w:r>
    </w:p>
    <w:p w:rsidR="001D6FAE" w:rsidRDefault="001D6FAE" w:rsidP="001D6FAE">
      <w:pPr>
        <w:pStyle w:val="TextoNormal"/>
      </w:pPr>
    </w:p>
    <w:p w:rsidR="001D6FAE" w:rsidRDefault="001D6FAE" w:rsidP="001D6FAE">
      <w:pPr>
        <w:pStyle w:val="TextoNormal"/>
      </w:pPr>
      <w:r>
        <w:t>2. Los Ayuntamientos interesados en mantener los espectáculos a que se refiere el apartado anterior deberán obtener de la Administración de la Comunidad de Castilla y León la conformidad de la adaptación de las bases reguladoras a lo previsto en este decreto-ley. La solicitud de conformidad con la propuesta de adaptación aprobada por el Pleno, previo un periodo de información pública de quince días, se dirigirá a la consejería competente en materia de espectáculos públicos y actividades recreativas, la cual resolverá lo procedente en un plazo de un mes.</w:t>
      </w:r>
    </w:p>
    <w:p w:rsidR="001D6FAE" w:rsidRDefault="001D6FAE" w:rsidP="001D6FAE">
      <w:pPr>
        <w:pStyle w:val="TextoNormal"/>
      </w:pPr>
    </w:p>
    <w:p w:rsidR="001D6FAE" w:rsidRDefault="001D6FAE" w:rsidP="001D6FAE">
      <w:pPr>
        <w:pStyle w:val="TextoNormal"/>
      </w:pPr>
      <w:r>
        <w:t>La conformidad de la adaptación de las bases a las previsiones de este decreto-ley en los términos establecidos implicará el mantenimiento de las declaraciones de espectáculos taurinos tradicionales a que se refiere el apartado primero.”</w:t>
      </w:r>
    </w:p>
    <w:p w:rsidR="001D6FAE" w:rsidRDefault="001D6FAE" w:rsidP="001D6FAE">
      <w:pPr>
        <w:pStyle w:val="TextoNormal"/>
      </w:pPr>
    </w:p>
    <w:p w:rsidR="001D6FAE" w:rsidRDefault="001D6FAE" w:rsidP="001D6FAE">
      <w:pPr>
        <w:pStyle w:val="TextoNormal"/>
      </w:pPr>
      <w:r w:rsidRPr="001D6FAE">
        <w:rPr>
          <w:rStyle w:val="NumeroAFNegritaCaracter"/>
        </w:rPr>
        <w:t>3</w:t>
      </w:r>
      <w:r>
        <w:t>. El escrito de interposición del conflicto, tras exponer el contenido de la disposición impugnada, afirma que el Decreto-ley 2/2016 ha sido aprobado con la única finalidad de prohibir el festejo popular taurino del “Torneo del Toro de la Vega”, del Ayuntamiento de Tordesillas. A continuación, hace referencia tanto a los motivos por los que se entiende vulnerada la autonomía local como a los requisitos procesales para la interposición del conflicto, incidiendo, especialmente, en la legitimación del Ayuntamiento de Tordesillas.</w:t>
      </w:r>
    </w:p>
    <w:p w:rsidR="001D6FAE" w:rsidRDefault="001D6FAE" w:rsidP="001D6FAE">
      <w:pPr>
        <w:pStyle w:val="TextoNormal"/>
      </w:pPr>
    </w:p>
    <w:p w:rsidR="001D6FAE" w:rsidRDefault="001D6FAE" w:rsidP="001D6FAE">
      <w:pPr>
        <w:pStyle w:val="TextoNormal"/>
      </w:pPr>
      <w:r>
        <w:t>La pretensión que se deduce por el Ayuntamiento de Tordesillas en el presente conflicto, conforme consta en la demanda, se concreta en “la declaración por el Tribunal Constitucional de la vulneración por el Decreto-ley 2/2016, de 19 de mayo, por el que se prohíbe la muerte de las reses de lidia en presencia de público en los espectáculos taurinos populares y tradicionales en Castilla y León, de la autonomía local constitucionalmente garantizada, con los efectos legalmente predeterminados, y por ende que dicho Decreto-ley no respeta el nivel mínimo de competencias legalmente atribuidas al Ayuntamiento de Tordesillas, reconociendo que a éste le corresponde participar en el proceso previo, coetáneo y posterior a la modificación del Reglamento de espectáculos taurinos populares de Castilla y León respecto al desarrollo de los espectáculos taurinos populares y tradicionales que se celebran en su ámbito territorial, careciendo, por tanto ese Decreto-ley de efectos vinculantes para el municipio, dejando sin efecto las actuaciones realizadas tras la entrada en vigor del mismo”.</w:t>
      </w:r>
    </w:p>
    <w:p w:rsidR="001D6FAE" w:rsidRDefault="001D6FAE" w:rsidP="001D6FAE">
      <w:pPr>
        <w:pStyle w:val="TextoNormal"/>
      </w:pPr>
    </w:p>
    <w:p w:rsidR="001D6FAE" w:rsidRDefault="001D6FAE" w:rsidP="001D6FAE">
      <w:pPr>
        <w:pStyle w:val="TextoNormal"/>
      </w:pPr>
      <w:r>
        <w:t>Los motivos en los que se fundamenta dicha pretensión son, resumidamente, los siguientes:</w:t>
      </w:r>
    </w:p>
    <w:p w:rsidR="001D6FAE" w:rsidRDefault="001D6FAE" w:rsidP="001D6FAE">
      <w:pPr>
        <w:pStyle w:val="TextoNormal"/>
      </w:pPr>
    </w:p>
    <w:p w:rsidR="001D6FAE" w:rsidRDefault="001D6FAE" w:rsidP="001D6FAE">
      <w:pPr>
        <w:pStyle w:val="TextoNormal"/>
      </w:pPr>
      <w:r>
        <w:t>El municipio de Tordesillas cuenta, entre los espectáculos taurinos que se desarrollan con motivo de la celebración de sus fiestas patronales anuales, con la celebración que se conoce desde tiempos inmemoriales como el “Torneo del Toro de la Vega” declarado como espectáculo taurino tradicional por Orden de la Consejería de Presidencia y Administración Territorial de la Junta de Castilla y León de fecha 7 de septiembre de 1999.</w:t>
      </w:r>
    </w:p>
    <w:p w:rsidR="001D6FAE" w:rsidRDefault="001D6FAE" w:rsidP="001D6FAE">
      <w:pPr>
        <w:pStyle w:val="TextoNormal"/>
      </w:pPr>
    </w:p>
    <w:p w:rsidR="001D6FAE" w:rsidRDefault="001D6FAE" w:rsidP="001D6FAE">
      <w:pPr>
        <w:pStyle w:val="TextoNormal"/>
      </w:pPr>
      <w:r>
        <w:t>Ninguno de los otros espectáculos declarados como tradicionales en la Comunidad de Castilla y León, de acuerdo con las respectivas órdenes autonómicas, recoge en sus bases la muerte de la res en presencia del público. En consecuencia, el Decreto-Ley impugnado se utiliza para regular genéricamente los espectáculos taurinos populares y tradicionales en Castilla y León, pero solo es de aplicación al torneo del toro de la Vega de Tordesillas, ya que solo en este se produce la muerte de las reses de lidia en presencia del público. Por ello se concluye que el objeto de dicho Decreto-ley es la regulación de ese espectáculo y su finalidad la prohibición de la celebración del festejo.</w:t>
      </w:r>
    </w:p>
    <w:p w:rsidR="001D6FAE" w:rsidRDefault="001D6FAE" w:rsidP="001D6FAE">
      <w:pPr>
        <w:pStyle w:val="TextoNormal"/>
      </w:pPr>
    </w:p>
    <w:p w:rsidR="001D6FAE" w:rsidRDefault="001D6FAE" w:rsidP="001D6FAE">
      <w:pPr>
        <w:pStyle w:val="TextoNormal"/>
      </w:pPr>
      <w:r>
        <w:t>De lo expuesto se deduce que la prohibición de dar muerte a la res de lidia en público que establece el Decreto-ley 2/2016 afecta directa y únicamente al festejo taurino tradicional denominado “Torneo del Toro de la Vega”, impide su desarrollo y realización, se dirige contra un rasgo fundamental de la identidad y singularidad cultural del municipio de Tordesillas y afecta directamente a sus intereses públicos. Además, por regularse mediante un decreto-Ley, vulnera los principios de lealtad institucional y el respeto a los ámbitos competenciales.</w:t>
      </w:r>
    </w:p>
    <w:p w:rsidR="001D6FAE" w:rsidRDefault="001D6FAE" w:rsidP="001D6FAE">
      <w:pPr>
        <w:pStyle w:val="TextoNormal"/>
      </w:pPr>
    </w:p>
    <w:p w:rsidR="001D6FAE" w:rsidRDefault="001D6FAE" w:rsidP="001D6FAE">
      <w:pPr>
        <w:pStyle w:val="TextoNormal"/>
      </w:pPr>
      <w:r>
        <w:t>Ello comporta que se haya producido una notoria y clara vulneración de la autonomía local garantizada por los arts. 137 y 140 CE, ya que el municipio es titular del festejo, autor de su regulación y responsable de su desarrollo. El Ayuntamiento de Tordesillas tiene potestades reglamentaria y de autoorganización en materia de patrimonio y cultura y en la defensa de los intereses locales que representa, conforme a lo dispuesto en la Ley 7/1985, de 2 de abril, reguladora de las bases de régimen local (LBRL), la Ley 1/1998, de 4 de junio, de régimen local de Castilla y León y el Estatuto de Autonomía de Castilla y León (EACL), en relación con la Ley 18/2013, de 12 de noviembre, para la regulación de la tauromaquia como patrimonio cultural, que define la tauromaquia con ese carácter y dentro del concepto de tauromaquia previsto por la citada Ley, incluye los festejos populares.</w:t>
      </w:r>
    </w:p>
    <w:p w:rsidR="001D6FAE" w:rsidRDefault="001D6FAE" w:rsidP="001D6FAE">
      <w:pPr>
        <w:pStyle w:val="TextoNormal"/>
      </w:pPr>
    </w:p>
    <w:p w:rsidR="001D6FAE" w:rsidRDefault="001D6FAE" w:rsidP="001D6FAE">
      <w:pPr>
        <w:pStyle w:val="TextoNormal"/>
      </w:pPr>
      <w:r>
        <w:t>A ello se añade que la disposición adicional del Decreto-ley 2/2016 deja vacías de contenido no sólo las vigentes bases reguladoras del torneo del toro de la Vega, sino el reglamento municipal de la organización, desarrollo y participación en los encierros tradicionales de la villa de Tordesillas, atribuyéndose a la Comunidad Autónoma la facultad de autorizar la modificación que se haga de ambas normas como requisito indispensable para el mantenimiento de la declaración de espectáculo tradicional, lo que no se compadece con lo dispuesto en el art. 49 LBRL. Dicha intromisión de la Comunidad Autónoma en el ejercicio de la potestad reglamentaria de las entidades locales produce una vulneración de la autonomía local, dado que la norma impugnada tiene una incidencia directa en el ámbito de autonomía propio de esta Administración local.</w:t>
      </w:r>
    </w:p>
    <w:p w:rsidR="001D6FAE" w:rsidRDefault="001D6FAE" w:rsidP="001D6FAE">
      <w:pPr>
        <w:pStyle w:val="TextoNormal"/>
      </w:pPr>
    </w:p>
    <w:p w:rsidR="001D6FAE" w:rsidRDefault="001D6FAE" w:rsidP="001D6FAE">
      <w:pPr>
        <w:pStyle w:val="TextoNormal"/>
      </w:pPr>
      <w:r>
        <w:t>A la vista de lo expuesto, se deduce que el artículo único y la disposición adicional del Decreto-ley 2/2016 vulneran el núcleo primario del autogobierno del municipio, en el que se incluye el respeto de sus tradiciones culturales, rasgo que forma parte de su identidad como municipio que, como tal, es beneficiario de la garantía institucional de la autonomía local previsto en el art. 140 CE.</w:t>
      </w:r>
    </w:p>
    <w:p w:rsidR="001D6FAE" w:rsidRDefault="001D6FAE" w:rsidP="001D6FAE">
      <w:pPr>
        <w:pStyle w:val="TextoNormal"/>
      </w:pPr>
    </w:p>
    <w:p w:rsidR="001D6FAE" w:rsidRDefault="001D6FAE" w:rsidP="001D6FAE">
      <w:pPr>
        <w:pStyle w:val="TextoNormal"/>
      </w:pPr>
      <w:r>
        <w:t>La demanda aduce otras vulneraciones, aun entendiendo que no forman parte del presente conflicto, derivadas de que la regulación controvertida se haya adoptado por decreto-ley y no mediante la modificación de Reglamento de espectáculos taurinos populares de la Comunidad de Castilla y León: la vulneración del derecho a la tutela judicial efectiva por la imposibilidad de impugnar el Decreto-ley ante la jurisdicción contencioso-administrativa; así como del art. 25.4 EACL y del art. 86.1 CE, por no concurrir la situación de extraordinaria y urgente necesidad para la aprobación del Decreto-ley. Asimismo, se alega la infracción del deber de protección previsto en el art. 3 de la Ley 18/2013, de 12 de noviembre, para la regulación de la tauromaquia como patrimonio cultural.</w:t>
      </w:r>
    </w:p>
    <w:p w:rsidR="001D6FAE" w:rsidRDefault="001D6FAE" w:rsidP="001D6FAE">
      <w:pPr>
        <w:pStyle w:val="TextoNormal"/>
      </w:pPr>
    </w:p>
    <w:p w:rsidR="001D6FAE" w:rsidRDefault="001D6FAE" w:rsidP="001D6FAE">
      <w:pPr>
        <w:pStyle w:val="TextoNormal"/>
      </w:pPr>
      <w:r>
        <w:t xml:space="preserve">Finalmente, y a la vista de las consideraciones expuestas, la demanda afirma que el Ayuntamiento de Tordesillas es el destinatario único del Decreto-ley objeto del conflicto por lo que está legitimado para su interposición conforme al art. 75 </w:t>
      </w:r>
      <w:r w:rsidRPr="001D6FAE">
        <w:rPr>
          <w:i/>
        </w:rPr>
        <w:t>ter</w:t>
      </w:r>
      <w:r>
        <w:t xml:space="preserve"> 1 a) de la Ley Orgánica del Tribunal Constitucional.</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El Ayuntamiento de Tordesillas ha planteado ante este Tribunal conflicto en defensa de la autonomía local contra el Decreto-ley 2/2016, de 19 de mayo, por el que se prohíbe la muerte de las reses de lidia en presencia del público en los espectáculos taurinos populares y tradicionales en Castilla y León.</w:t>
      </w:r>
    </w:p>
    <w:p w:rsidR="001D6FAE" w:rsidRDefault="001D6FAE" w:rsidP="001D6FAE">
      <w:pPr>
        <w:pStyle w:val="TextoNormal"/>
      </w:pPr>
    </w:p>
    <w:p w:rsidR="001D6FAE" w:rsidRDefault="001D6FAE" w:rsidP="001D6FAE">
      <w:pPr>
        <w:pStyle w:val="TextoNormal"/>
      </w:pPr>
      <w:r>
        <w:t>El escrito promotor del conflicto sustenta la vulneración del principio constitucional de autonomía local (arts. 137, 140 y 142 CE) en que la prohibición de dar muerte a las reses de lidia en presencia del público en los espectáculos taurinos populares y tradicionales que establece el Decreto-ley 2/2016, afecta directa y únicamente al festejo taurino tradicional denominado “Torneo del Toro de la Vega”, que se celebraba con motivo de las fiestas patronales anuales del municipio de Tordesillas, impide su desarrollo y realización, se dirige contra un rasgo fundamental de la identidad y singularidad cultural del municipio de Tordesillas y afecta directamente a sus intereses públicos. Ello comporta que se haya producido la vulneración de su autonomía local ya que el municipio es titular del festejo, autor de su regulación y responsable de su desarrollo sin que se le haya dado participación en la adopción de la regulación controvertida. A ello se añade que la disposición adicional del Decreto-ley deja vacías de contenido, no solo las vigentes bases reguladoras del torneo del toro de la Vega, sino el Reglamento municipal de la organización, desarrollo y participación en los encierros tradicionales de la villa de Tordesillas, atribuyéndose a la Comunidad Autónoma la facultad de autorizar la modificación que se haga de ambas normas como requisito indispensable para el mantenimiento de la declaración de espectáculo tradicional, lo que no se compadece con lo dispuesto en el art. 49 de la Ley 7/1985, de 2 de abril, reguladora de las bases de régimen local (LBRL).</w:t>
      </w:r>
    </w:p>
    <w:p w:rsidR="001D6FAE" w:rsidRDefault="001D6FAE" w:rsidP="001D6FAE">
      <w:pPr>
        <w:pStyle w:val="TextoNormal"/>
      </w:pPr>
    </w:p>
    <w:p w:rsidR="001D6FAE" w:rsidRDefault="001D6FAE" w:rsidP="001D6FAE">
      <w:pPr>
        <w:pStyle w:val="TextoNormal"/>
      </w:pPr>
      <w:r w:rsidRPr="001D6FAE">
        <w:rPr>
          <w:rStyle w:val="NumeroAFNegritaCaracter"/>
        </w:rPr>
        <w:t>2</w:t>
      </w:r>
      <w:r>
        <w:t xml:space="preserve">. El art. 75 </w:t>
      </w:r>
      <w:r w:rsidRPr="001D6FAE">
        <w:rPr>
          <w:i/>
        </w:rPr>
        <w:t>quinquies</w:t>
      </w:r>
      <w:r>
        <w:t xml:space="preserve">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w:t>
      </w:r>
    </w:p>
    <w:p w:rsidR="001D6FAE" w:rsidRDefault="001D6FAE" w:rsidP="001D6FAE">
      <w:pPr>
        <w:pStyle w:val="TextoNormal"/>
      </w:pPr>
    </w:p>
    <w:p w:rsidR="001D6FAE" w:rsidRDefault="001D6FAE" w:rsidP="001D6FAE">
      <w:pPr>
        <w:pStyle w:val="TextoNormal"/>
      </w:pPr>
      <w:r w:rsidRPr="001D6FAE">
        <w:rPr>
          <w:rStyle w:val="NumeroAFNegritaCaracter"/>
        </w:rPr>
        <w:t>3</w:t>
      </w:r>
      <w:r>
        <w:t>. Comenzando por el examen de las condiciones exigidas para el planteamiento del conflicto en defensa de la autonomía local establecidas en el capítulo IV del título IV LOTC, podemos anticipar que se cumplen.</w:t>
      </w:r>
    </w:p>
    <w:p w:rsidR="001D6FAE" w:rsidRDefault="001D6FAE" w:rsidP="001D6FAE">
      <w:pPr>
        <w:pStyle w:val="TextoNormal"/>
      </w:pPr>
    </w:p>
    <w:p w:rsidR="001D6FAE" w:rsidRDefault="001D6FAE" w:rsidP="001D6FAE">
      <w:pPr>
        <w:pStyle w:val="TextoNormal"/>
      </w:pPr>
      <w:r>
        <w:t>En lo relativo a la legitimación exigida para el planteamiento del conflicto en defensa de la autonomía local, el art. 75.</w:t>
      </w:r>
      <w:r w:rsidRPr="001D6FAE">
        <w:rPr>
          <w:i/>
        </w:rPr>
        <w:t>ter</w:t>
      </w:r>
      <w:r>
        <w:t xml:space="preserve"> 1 a) LOTC dispone que están legitimados para plantear el conflicto “el municipio o provincia que sea destinatario único de la ley”. El Ayuntamiento de Tordesillas promueve el conflicto de modo individualizado, partiendo del entendimiento de que es destinatario único del Decreto-ley por ser éste sólo de aplicación al torneo del toro de la Vega de Tordesillas, ya que sólo en este festejo se produce la muerte de las reses de lidia en presencia del público.</w:t>
      </w:r>
    </w:p>
    <w:p w:rsidR="001D6FAE" w:rsidRDefault="001D6FAE" w:rsidP="001D6FAE">
      <w:pPr>
        <w:pStyle w:val="TextoNormal"/>
      </w:pPr>
    </w:p>
    <w:p w:rsidR="001D6FAE" w:rsidRDefault="001D6FAE" w:rsidP="001D6FAE">
      <w:pPr>
        <w:pStyle w:val="TextoNormal"/>
      </w:pPr>
      <w:r>
        <w:t>Para determinar si el Ayuntamiento de Tordesillas cumple la exigencia regulada en el apartado a) del citado art. 75.</w:t>
      </w:r>
      <w:r w:rsidRPr="001D6FAE">
        <w:rPr>
          <w:i/>
        </w:rPr>
        <w:t>ter</w:t>
      </w:r>
      <w:r>
        <w:t xml:space="preserve"> 1 LOTC, hemos de referirnos a la doctrina que hemos sentado en torno al entendimiento de la expresión “destinatario único” que emplea el citado precepto. La STC 121/2012, FJ 3, afirmó que esta expresión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w:t>
      </w:r>
      <w:r w:rsidRPr="001D6FAE">
        <w:rPr>
          <w:i/>
        </w:rPr>
        <w:t>ter</w:t>
      </w:r>
      <w:r>
        <w:t xml:space="preserve"> 1 a) LOTC no puede ser definido en tan estrictos términos, sino que bastará, a efectos de entender satisfecho lo previsto en el mismo, con que 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w:t>
      </w:r>
    </w:p>
    <w:p w:rsidR="001D6FAE" w:rsidRDefault="001D6FAE" w:rsidP="001D6FAE">
      <w:pPr>
        <w:pStyle w:val="TextoNormal"/>
      </w:pPr>
    </w:p>
    <w:p w:rsidR="001D6FAE" w:rsidRDefault="001D6FAE" w:rsidP="001D6FAE">
      <w:pPr>
        <w:pStyle w:val="TextoNormal"/>
      </w:pPr>
      <w:r>
        <w:t>Asimismo, y conforme a la STC 37/2014, de 11 de marzo, FJ 2, este concepto de destinatario único de la ley “debe ser determinado caso por caso, a partir del ámbito territorial de la disposición legal presuntamente vulneradora de la autonomía local y de su contenido material”.</w:t>
      </w:r>
    </w:p>
    <w:p w:rsidR="001D6FAE" w:rsidRDefault="001D6FAE" w:rsidP="001D6FAE">
      <w:pPr>
        <w:pStyle w:val="TextoNormal"/>
      </w:pPr>
    </w:p>
    <w:p w:rsidR="001D6FAE" w:rsidRDefault="001D6FAE" w:rsidP="001D6FAE">
      <w:pPr>
        <w:pStyle w:val="TextoNormal"/>
      </w:pPr>
      <w:r>
        <w:t>De acuerdo con dichos criterios, debemos analizar la norma impugnada. El Decreto-ley 2/2016 consta de una exposición de motivos, un artículo único, una disposición adicional, una derogatoria y dos finales. En su exposición de motivos se afirma que en la citada norma “se regula de manera clara la prohibición de la muerte en público de las reses de lidia en los espectáculos taurinos populares y tradicionales, de forma que los existentes habrán de adaptar sus bases reguladoras a esta nueva exigencia social y normativa”.</w:t>
      </w:r>
    </w:p>
    <w:p w:rsidR="001D6FAE" w:rsidRDefault="001D6FAE" w:rsidP="001D6FAE">
      <w:pPr>
        <w:pStyle w:val="TextoNormal"/>
      </w:pPr>
    </w:p>
    <w:p w:rsidR="001D6FAE" w:rsidRDefault="001D6FAE" w:rsidP="001D6FAE">
      <w:pPr>
        <w:pStyle w:val="TextoNormal"/>
      </w:pPr>
      <w:r>
        <w:t>Es en el artículo único en el que, según la exposición de motivos, se incluye el núcleo de la innovación normativa que se concreta en la prohibición de dar muerte a las reses de lidia en presencia del público en los espectáculos taurinos populares y tradicionales, sin prever ninguna excepción a dicha prohibición. El precepto completa la regulación definiendo los espectáculos taurinos populares y tradicionales. Por su parte la disposición adicional se refiere a la necesidad de adaptación de las declaraciones de espectáculos taurinos tradicionales existentes y de las bases reguladoras del desarrollo del festejo.</w:t>
      </w:r>
    </w:p>
    <w:p w:rsidR="001D6FAE" w:rsidRDefault="001D6FAE" w:rsidP="001D6FAE">
      <w:pPr>
        <w:pStyle w:val="TextoNormal"/>
      </w:pPr>
    </w:p>
    <w:p w:rsidR="001D6FAE" w:rsidRDefault="001D6FAE" w:rsidP="001D6FAE">
      <w:pPr>
        <w:pStyle w:val="TextoNormal"/>
      </w:pPr>
      <w:r>
        <w:t>El Decreto-ley 2/2016, en consecuencia, tiene como objeto prohibir la muerte del toro en presencia del público en los espectáculos taurinos populares y tradicionales en los que se produzca la misma y, ateniéndonos a lo expuesto en el escrito promotor del conflicto, el único festejo en el que concurre dicha circunstancia en la Comunidad de Castilla y León, es el torneo del toro de la Vega, organizado por el Ayuntamiento de Tordesillas.</w:t>
      </w:r>
    </w:p>
    <w:p w:rsidR="001D6FAE" w:rsidRDefault="001D6FAE" w:rsidP="001D6FAE">
      <w:pPr>
        <w:pStyle w:val="TextoNormal"/>
      </w:pPr>
    </w:p>
    <w:p w:rsidR="001D6FAE" w:rsidRDefault="001D6FAE" w:rsidP="001D6FAE">
      <w:pPr>
        <w:pStyle w:val="TextoNormal"/>
      </w:pPr>
      <w:r>
        <w:t>Al respecto cabe señalar que por Decreto 14/1999, de 8 de febrero, se aprobó el Reglamento de espectáculos taurinos populares de la Comunidad de Castilla y León, en el que ya se contemplaba la prohibición de dar muerte al toro en los espectáculos taurinos populares en presencia del público (artículo 19). Pero se establecía una excepción a dicha prohibición al determinar que “lo establecido en el párrafo anterior se entiende sin perjuicio de la posible realización de aquellas acciones físicas que haya que efectuar sobre las reses de lidia tendentes a garantizar la seguridad e integridad de los participantes, el desarrollo del espectáculo, o aquellas que, excepcionalmente, sean inherentes a la celebración de un espectáculo taurino tradicional de los previstos en el Capítulo II de este Reglamento” (artículo 19.2). En dicha excepción estaban incluidos los espectáculos tradicionales de más de 200 años de antigüedad, en los que, conforme a la información de la propia Junta de Castilla y León, solamente en uno, el torneo del toro de la Vega, se contempla la muerte del animal. A mayor abundamiento, este extremo fue expresamente reconocido durante el debate de convalidación del Decreto-ley 2/2016, por cuanto el Consejero de Presidencia de Castilla y León afirmó que el único espectáculo taurino tradicional que se había acogido a la excepción de la prohibición de dar muerte al toro en presencia del público era el toro de la Vega (“Diario de Sesiones de las Cortes de Castilla y León” núm. 35/9 de 8 de junio de 2016).</w:t>
      </w:r>
    </w:p>
    <w:p w:rsidR="001D6FAE" w:rsidRDefault="001D6FAE" w:rsidP="001D6FAE">
      <w:pPr>
        <w:pStyle w:val="TextoNormal"/>
      </w:pPr>
    </w:p>
    <w:p w:rsidR="001D6FAE" w:rsidRDefault="001D6FAE" w:rsidP="001D6FAE">
      <w:pPr>
        <w:pStyle w:val="TextoNormal"/>
      </w:pPr>
      <w:r>
        <w:t xml:space="preserve">Por lo tanto, se trata de una regulación autonómica que resulta aplicable exclusivamente al Ayuntamiento de Tordesillas, en el sentido afirmado en STC 121/2012, FJ 3, el cual, puede ser considerado como destinatario único de dicha disposición, teniendo en cuenta, además, que el art. 75 </w:t>
      </w:r>
      <w:r w:rsidRPr="001D6FAE">
        <w:rPr>
          <w:i/>
        </w:rPr>
        <w:t>ter</w:t>
      </w:r>
      <w:r>
        <w:t xml:space="preserve"> 1 a) LOTC ha de ser interpretado de forma flexible con el fin de garantizar la eficacia del principio </w:t>
      </w:r>
      <w:r w:rsidRPr="001D6FAE">
        <w:rPr>
          <w:i/>
        </w:rPr>
        <w:t>pro actione</w:t>
      </w:r>
      <w:r>
        <w:t>, tal y como afirmamos en STC 132/2014, de 22 de julio, FJ 3. Atendiendo a dicho criterio interpretativo, y en la medida en que, en el momento de su aprobación el Decreto- ley, aunque partiendo de una formulación general, estaba destinado a prohibir la muerte del toro en presencia del público en el único festejo taurino tradicional en que se producía la misma, esto es en el “Torneo del Toro de la Vega”, en definitiva, ha de considerarse que el Ayuntamiento de Tordesillas se encuentra en el supuesto contemplado en el citado art. 75</w:t>
      </w:r>
      <w:r w:rsidRPr="001D6FAE">
        <w:rPr>
          <w:i/>
        </w:rPr>
        <w:t xml:space="preserve"> te</w:t>
      </w:r>
      <w:r>
        <w:t>r 1 a) LOTC.</w:t>
      </w:r>
    </w:p>
    <w:p w:rsidR="001D6FAE" w:rsidRDefault="001D6FAE" w:rsidP="001D6FAE">
      <w:pPr>
        <w:pStyle w:val="TextoNormal"/>
      </w:pPr>
    </w:p>
    <w:p w:rsidR="001D6FAE" w:rsidRDefault="001D6FAE" w:rsidP="001D6FAE">
      <w:pPr>
        <w:pStyle w:val="TextoNormal"/>
      </w:pPr>
      <w:r>
        <w:t xml:space="preserve">En cuanto a los demás requisitos exigidos para promover el presente conflicto, la disposición objeto del conflicto tiene el rango normativo exigido por el art. 75 </w:t>
      </w:r>
      <w:r w:rsidRPr="001D6FAE">
        <w:rPr>
          <w:i/>
        </w:rPr>
        <w:t>bis</w:t>
      </w:r>
      <w:r>
        <w:t xml:space="preserve">.1 LOTC y el acuerdo plenario exigido por el art. 75 </w:t>
      </w:r>
      <w:r w:rsidRPr="001D6FAE">
        <w:rPr>
          <w:i/>
        </w:rPr>
        <w:t>ter</w:t>
      </w:r>
      <w:r>
        <w:t xml:space="preserve"> 2 LOTC ha sido válidamente adoptado. También se ha aportado el correspondiente dictamen del Consejo Consultivo de Castilla y León (art. 75 </w:t>
      </w:r>
      <w:r w:rsidRPr="001D6FAE">
        <w:rPr>
          <w:i/>
        </w:rPr>
        <w:t>ter</w:t>
      </w:r>
      <w:r>
        <w:t xml:space="preserve"> 3 LOTC), el cual se solicitó en el plazo establecido en el art. 75 </w:t>
      </w:r>
      <w:r w:rsidRPr="001D6FAE">
        <w:rPr>
          <w:i/>
        </w:rPr>
        <w:t>quater</w:t>
      </w:r>
      <w:r>
        <w:t xml:space="preserve"> 1 LOTC. Finalmente, el conflicto ha sido planteado en el plazo previsto en el art. 75 </w:t>
      </w:r>
      <w:r w:rsidRPr="001D6FAE">
        <w:rPr>
          <w:i/>
        </w:rPr>
        <w:t>quater</w:t>
      </w:r>
      <w:r>
        <w:t xml:space="preserve"> 2 LOTC.</w:t>
      </w:r>
    </w:p>
    <w:p w:rsidR="001D6FAE" w:rsidRDefault="001D6FAE" w:rsidP="001D6FAE">
      <w:pPr>
        <w:pStyle w:val="TextoNormal"/>
      </w:pPr>
    </w:p>
    <w:p w:rsidR="001D6FAE" w:rsidRDefault="001D6FAE" w:rsidP="001D6FAE">
      <w:pPr>
        <w:pStyle w:val="TextoNormal"/>
      </w:pPr>
      <w:r w:rsidRPr="001D6FAE">
        <w:rPr>
          <w:rStyle w:val="NumeroAFNegritaCaracter"/>
        </w:rPr>
        <w:t>4</w:t>
      </w:r>
      <w:r>
        <w:t xml:space="preserve">. Una vez afirmado el cumplimiento de los requisitos procesales exigidos para el planteamiento del presente conflicto en defensa de la autonomía local, procede recordar que, conforme al art. 75 </w:t>
      </w:r>
      <w:r w:rsidRPr="001D6FAE">
        <w:rPr>
          <w:i/>
        </w:rPr>
        <w:t>quinquies</w:t>
      </w:r>
      <w:r>
        <w:t xml:space="preserve"> 1 LOTC, este Tribunal también podrá acordar, mediante Auto motivado, la inadmisión del conflicto en defensa de la autonomía local cuando, entre otros motivos, estime notoriamente infundada la controversia suscitada. De esta facultad hicimos ya uso en los AATC 251/2009, de 13 de octubre, y 9/2013, de 15 de enero, en los que declaramos que la doctrina elaborada acerca del concepto de cuestión de inconstitucionalidad “notoriamente infundada” contemplado en el art. 37.1 LOTC es trasladable al supuesto previsto en el art. 75 </w:t>
      </w:r>
      <w:r w:rsidRPr="001D6FAE">
        <w:rPr>
          <w:i/>
        </w:rPr>
        <w:t>quinquies</w:t>
      </w:r>
      <w:r>
        <w:t xml:space="preserve"> 1 LOTC. Por ello, del mismo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(por todos, ATC 123/2009, de 28 de abril, FJ 1), también es posible que desde la ponderación inicial de los términos en que se suscita el conflicto en defensa de la autonomía local, quepa ya apreciar que éste no puede prosperar, en cuyo caso podrá este Tribunal decidir su inadmisión a trámite sin esperar a su desestimación en la correspondiente sentencia.</w:t>
      </w:r>
    </w:p>
    <w:p w:rsidR="001D6FAE" w:rsidRDefault="001D6FAE" w:rsidP="001D6FAE">
      <w:pPr>
        <w:pStyle w:val="TextoNormal"/>
      </w:pPr>
    </w:p>
    <w:p w:rsidR="001D6FAE" w:rsidRDefault="001D6FAE" w:rsidP="001D6FAE">
      <w:pPr>
        <w:pStyle w:val="TextoNormal"/>
      </w:pPr>
      <w:r>
        <w:t>Según se deduce del escrito promotor del conflicto, el Decreto-ley 2/2016 vulneraría la autonomía local del Ayuntamiento de Tordesillas por varios motivos. Por una parte, por establecer la prohibición de dar muerte al toro en un espectáculo taurino tradicional, prohibición que en el momento de aprobación del Decreto-ley resultaba aplicable únicamente al “Torneo del Toro de la Vega”, por lo que afecta a los intereses públicos del Ayuntamiento de Tordesillas en un ámbito en el que el municipio ostenta competencias en materia de cultura. Al adoptar dicha decisión la forma de decreto-ley, la vulneración de la autonomía local se habría producido por no haberse dado participación al Ayuntamiento.</w:t>
      </w:r>
    </w:p>
    <w:p w:rsidR="001D6FAE" w:rsidRDefault="001D6FAE" w:rsidP="001D6FAE">
      <w:pPr>
        <w:pStyle w:val="TextoNormal"/>
      </w:pPr>
    </w:p>
    <w:p w:rsidR="001D6FAE" w:rsidRDefault="001D6FAE" w:rsidP="001D6FAE">
      <w:pPr>
        <w:pStyle w:val="TextoNormal"/>
      </w:pPr>
      <w:r>
        <w:t>Además, la exigencia de conformidad para modificar la normativa del Ayuntamiento reguladora de los espectáculos tradicionales que exige la disposición adicional del Decreto- ley también se entiende que vulnera la autonomía local.</w:t>
      </w:r>
    </w:p>
    <w:p w:rsidR="001D6FAE" w:rsidRDefault="001D6FAE" w:rsidP="001D6FAE">
      <w:pPr>
        <w:pStyle w:val="TextoNormal"/>
      </w:pPr>
    </w:p>
    <w:p w:rsidR="001D6FAE" w:rsidRDefault="001D6FAE" w:rsidP="001D6FAE">
      <w:pPr>
        <w:pStyle w:val="TextoNormal"/>
      </w:pPr>
      <w:r>
        <w:t>Para valorar si se ha producido la vulneración de la garantía constitucional de la autonomía municipal aducida, corresponde determinar: a) si hay intereses municipales que hayan resultado afectados por la regulación impugnada; b) si hay intereses supralocales que justifiquen que la Comunidad Autónoma haya establecido la prohibición de dar muerte al toro en los espectáculos taurinos populares en presencia del público y que dicha prohibición se haya establecido por decreto-ley; y c) si la Comunidad Autónoma ha ponderado los intereses municipales afectados y ha asegurado al ayuntamiento implicado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(en un sentido similar, SSTC 154/2015, de 9 de julio, FJ 5 a) y 152/2016, de 22 de septiembre, FJ 6, y AATC 184/2015, de 3 de noviembre, FJ 3; 193/2015, de 18 de noviembre, FJ 3, y 194/2015, de 18 de noviembre, FJ 3).</w:t>
      </w:r>
    </w:p>
    <w:p w:rsidR="001D6FAE" w:rsidRDefault="001D6FAE" w:rsidP="001D6FAE">
      <w:pPr>
        <w:pStyle w:val="TextoNormal"/>
      </w:pPr>
    </w:p>
    <w:p w:rsidR="001D6FAE" w:rsidRDefault="001D6FAE" w:rsidP="001D6FAE">
      <w:pPr>
        <w:pStyle w:val="TextoNormal"/>
      </w:pPr>
      <w:r>
        <w:t>El Municipio ostenta, como competencias propias, las de promoción de la actividad turística de interés y ámbito local y de promoción de la cultura (art. 25.2 h y m) LBRL, y art. 20 o) y q) de la Ley 1/1998, de 4 de junio, de régimen local de Castilla y León). Resulta indubitado que una de las funciones de los ayuntamientos en el ámbito de sus competencias en cultura y turismo es la relativa a las fiestas locales, y los festejos taurinos una de las expresiones propias de las fiestas locales o patronales de los municipios. En este caso, y según se expone en la demanda, este espectáculo taurino se incardina en las fiestas patronales, como parte de su propia cultura. Por lo tanto, atendiendo al objeto de la regulación, así como a las competencias en la materia del Ayuntamiento promotor del conflicto, es indudable la presencia de intereses municipales afectados por la modificación de un espectáculo tradicional propio de un municipio que es, según hemos expuesto con anterioridad, el destinatario único de la norma.</w:t>
      </w:r>
    </w:p>
    <w:p w:rsidR="001D6FAE" w:rsidRDefault="001D6FAE" w:rsidP="001D6FAE">
      <w:pPr>
        <w:pStyle w:val="TextoNormal"/>
      </w:pPr>
    </w:p>
    <w:p w:rsidR="001D6FAE" w:rsidRDefault="001D6FAE" w:rsidP="001D6FAE">
      <w:pPr>
        <w:pStyle w:val="TextoNormal"/>
      </w:pPr>
      <w:r>
        <w:t>Por otra parte el Decreto-ley 2/2016, ha sido dictado, de acuerdo con lo afirmado en su exposición de motivos, “en el ejercicio de las competencias exclusivas de la Comunidad de Castilla y León en materia de fiestas y tradiciones populares y de espectáculos públicos y actividades recreativas, conforme a lo dispuesto en los artículos 70.1.31 f) y 70.1.32 del Estatuto de Autonomía”. Asimismo, la Comunidad Autónoma ostenta competencias de desarrollo normativo y ejecución en materia de sanidad animal. Conforme a las referidas competencias, la Comunidad Autónoma puede, en principio, afrontar la regulación, desarrollo y organización de tales eventos lo que puede incluir, desde el punto de vista competencial, la prohibición de dar muerte de las reses de lidia en presencia del público en los espectáculos taurinos populares y tradicionales. Al adoptar dicha regulación, la Comunidad Autónoma atiende a la preservación de intereses supralocales que no son otros que el ejercicio de sus competencias en materia de espectáculos públicos, fiestas y tradiciones populares y sanidad animal para, según manifiesta el preámbulo del Decreto-ley, dar respuesta a las exigencias sociales y dar protección a los múltiples derechos que se ven afectados en los espectáculos taurinos populares y tradicionales.</w:t>
      </w:r>
    </w:p>
    <w:p w:rsidR="001D6FAE" w:rsidRDefault="001D6FAE" w:rsidP="001D6FAE">
      <w:pPr>
        <w:pStyle w:val="TextoNormal"/>
      </w:pPr>
    </w:p>
    <w:p w:rsidR="001D6FAE" w:rsidRDefault="001D6FAE" w:rsidP="001D6FAE">
      <w:pPr>
        <w:pStyle w:val="TextoNormal"/>
      </w:pPr>
      <w:r w:rsidRPr="001D6FAE">
        <w:rPr>
          <w:rStyle w:val="NumeroAFNegritaCaracter"/>
        </w:rPr>
        <w:t>5</w:t>
      </w:r>
      <w:r>
        <w:t>. Conforme a lo expuesto y atendiendo a los motivos aducidos en el escrito promotor del conflicto debemos descartar que la regulación adoptada vulnere, en cuanto a la concreta prohibición que incorpora, la autonomía local constitucionalmente garantizada ya que atiende a la consecución de intereses supralocales que se ven afectados en los espectáculos taurinos populares y tradicionales, velando por el mantenimiento y protección de la raza bovina de lidia y de los propios festejos y que ha sido adoptada en el ejercicio de las competencias que corresponden a la Comunidad Autónoma. Además, resulta relevante que la intervención normativa se ha ceñido a la protección del animal al consistir en la prohibición de matar al toro en presencia del público y no a otro aspecto de la regulación del espectáculo.</w:t>
      </w:r>
    </w:p>
    <w:p w:rsidR="001D6FAE" w:rsidRDefault="001D6FAE" w:rsidP="001D6FAE">
      <w:pPr>
        <w:pStyle w:val="TextoNormal"/>
      </w:pPr>
    </w:p>
    <w:p w:rsidR="001D6FAE" w:rsidRDefault="001D6FAE" w:rsidP="001D6FAE">
      <w:pPr>
        <w:pStyle w:val="TextoNormal"/>
      </w:pPr>
      <w:r>
        <w:t>Respecto a la alegación de que la disposición adicional del Decreto- ley vulnera la autonomía local por la exigencia de conformidad de la Administración de la Comunidad Autónoma para modificar la normativa del Ayuntamiento reguladora de los espectáculos tradicionales, hemos de partir de que dicha queja no afecta al conjunto de la norma, sino únicamente a su disposición adicional única, respecto a la que se aduce que dicha conformidad no está prevista en el art. 49 LBRL. La disposición adicional única del Decreto-ley, en su segundo apartado, establece que “los Ayuntamientos interesados en mantener los espectáculos a que se refiere el apartado anterior deberán obtener de la Administración de la Comunidad de Castilla y León la conformidad de la adaptación de las bases reguladoras a lo previsto en este decreto-ley. La solicitud de conformidad con la propuesta de adaptación aprobada por el Pleno, previo un periodo de información pública de quince días, se dirigirá a la consejería competente en materia de espectáculos públicos y actividades recreativas, la cual resolverá lo procedente en un plazo de un mes. La conformidad de la adaptación de las bases a las previsiones de este decreto-ley en los términos establecidos implicará el mantenimiento de las declaraciones de espectáculos taurinos tradicionales a que se refiere el apartado primero”.</w:t>
      </w:r>
    </w:p>
    <w:p w:rsidR="001D6FAE" w:rsidRDefault="001D6FAE" w:rsidP="001D6FAE">
      <w:pPr>
        <w:pStyle w:val="TextoNormal"/>
      </w:pPr>
    </w:p>
    <w:p w:rsidR="001D6FAE" w:rsidRDefault="001D6FAE" w:rsidP="001D6FAE">
      <w:pPr>
        <w:pStyle w:val="TextoNormal"/>
      </w:pPr>
      <w:r>
        <w:t>En efecto, a tenor de lo dispuesto en el referido precepto de la Ley reguladora de las bases del régimen local, en el procedimiento de elaboración de las ordenanzas locales, procedimiento que en principio resulta de aplicación al procedimiento de elaboración de todas las disposiciones generales del Ayuntamiento, no está prevista la intervención de la Comunidad Autónoma. Además, la potestad normativa de los entes locales se considera inherente a la autonomía local constitucionalmente garantizada, por lo que la intervención de la Comunidad Autónoma en el proceso de elaboración de una norma local podría resultar vulneradora de la autonomía local ya que parece evidente que la disposición adicional del Decreto-ley impugnado establece una injerencia de la Comunidad Autónoma en la potestad normativa del Ayuntamiento al prever la exigencia de conformidad de la Administración autonómica a las bases reguladoras.</w:t>
      </w:r>
    </w:p>
    <w:p w:rsidR="001D6FAE" w:rsidRDefault="001D6FAE" w:rsidP="001D6FAE">
      <w:pPr>
        <w:pStyle w:val="TextoNormal"/>
      </w:pPr>
    </w:p>
    <w:p w:rsidR="001D6FAE" w:rsidRDefault="001D6FAE" w:rsidP="001D6FAE">
      <w:pPr>
        <w:pStyle w:val="TextoNormal"/>
      </w:pPr>
      <w:r>
        <w:t>Ahora bien, hemos admitido la participación de otras Administraciones públicas en el ejercicio de la potestad normativa de los entes locales ante la concurrencia de intereses públicos cuya salvaguardia corresponde a dichas Administraciones públicas. En este sentido, por traslación de la doctrina contenida, entre otras, en STC 240/2006, de 20 de julio, FJ 10, en la medida en que no se elimina la participación del Ayuntamiento en el proceso de elaboración de las bases reguladoras, más al contrario, se atribuye al mismo su elaboración, sin perjuicio de su ulterior conformidad por la Comunidad Autónoma, la disposición adicional impugnada no resultaría contraria a la autonomía local.</w:t>
      </w:r>
    </w:p>
    <w:p w:rsidR="001D6FAE" w:rsidRDefault="001D6FAE" w:rsidP="001D6FAE">
      <w:pPr>
        <w:pStyle w:val="TextoNormal"/>
      </w:pPr>
    </w:p>
    <w:p w:rsidR="001D6FAE" w:rsidRDefault="001D6FAE" w:rsidP="001D6FAE">
      <w:pPr>
        <w:pStyle w:val="TextoNormal"/>
      </w:pPr>
      <w:r>
        <w:t>Por consiguiente, desde esta perspectiva debemos descartar la vulneración de la autonomía local.</w:t>
      </w:r>
    </w:p>
    <w:p w:rsidR="001D6FAE" w:rsidRDefault="001D6FAE" w:rsidP="001D6FAE">
      <w:pPr>
        <w:pStyle w:val="TextoNormal"/>
      </w:pPr>
    </w:p>
    <w:p w:rsidR="001D6FAE" w:rsidRDefault="001D6FAE" w:rsidP="001D6FAE">
      <w:pPr>
        <w:pStyle w:val="TextoNormal"/>
      </w:pPr>
      <w:r>
        <w:t>Finalmente, la vulneración de la autonomía local no solo se suscita por la regulación establecida, sino por la forma de su adopción. En concreto, lo que plantea el presente conflicto es si, al haber prescindido el Gobierno autonómico de la participación del Ayuntamiento de Tordesillas en la elaboración del Decreto-ley controvertido, no ha asegurado al ayuntamiento implicado un nivel de intervención correlativo a la intensidad de los intereses municipales y, consecuentemente, ha vulnerado la autonomía local constitucionalmente garantizada. Por lo tanto, el análisis de la eventual vulneración de la autonomía local radicaría en determinar si, dados los intereses supralocales y locales en presencia, la ausencia de participación en la elaboración de la norma comporta o no la vulneración de la autonomía local constitucionalmente garantizada.</w:t>
      </w:r>
    </w:p>
    <w:p w:rsidR="001D6FAE" w:rsidRDefault="001D6FAE" w:rsidP="001D6FAE">
      <w:pPr>
        <w:pStyle w:val="TextoNormal"/>
      </w:pPr>
    </w:p>
    <w:p w:rsidR="001D6FAE" w:rsidRDefault="001D6FAE" w:rsidP="001D6FAE">
      <w:pPr>
        <w:pStyle w:val="TextoNormal"/>
      </w:pPr>
      <w:r>
        <w:t>A ese respecto ha de tenerse en cuenta que el art. 2.1 LBRL establece que “para la efectividad de la autonomía garantizada constitucionalmente a las Entidades Locales, la legislación del Estado y la de las Comunidades Autónomas, reguladora de los distintos sectores de acción pública, según la distribución constitucional de competencias, deberá asegurar a los Municipios, las Provincias y las Islas su derecho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proximidad, eficacia y eficiencia, y con estricta sujeción a la normativa de estabilidad presupuestaria y sostenibilidad financiera”. Precepto que ha de interpretarse atendiendo a que forma parte de la autonomía local constitucionalmente garantizada el derecho de la corporación local a intervenir en aquellos asuntos que afecten a sus intereses de naturaleza local cualquiera que sea la materia en la que éstos aparecen (STC 121/2014, FJ 7).</w:t>
      </w:r>
    </w:p>
    <w:p w:rsidR="001D6FAE" w:rsidRDefault="001D6FAE" w:rsidP="001D6FAE">
      <w:pPr>
        <w:pStyle w:val="TextoNormal"/>
      </w:pPr>
    </w:p>
    <w:p w:rsidR="001D6FAE" w:rsidRDefault="001D6FAE" w:rsidP="001D6FAE">
      <w:pPr>
        <w:pStyle w:val="TextoNormal"/>
      </w:pPr>
      <w:r>
        <w:t>Ahora bien, ya hemos afirmado, en STC 57/2015, FJ 6, que “tratándose de normas con rango de ley, no puede invocarse el principio de autonomía local para condicionar los correspondientes procedimientos legislativos imponiendo en ellos la audiencia de los ayuntamientos que pudieran resultar afectados por los proyectos en tramitación. Dicho principio actúa como canon de constitucionalidad del contenido de las leyes, no del procedimiento de su elaboración … Lo expuesto permite rechazar la incardinación que los recurrentes postulan de la reiteración del trámite de audiencia en la autonomía municipal constitucionalmente garantizada pues esta garantía lo es de un instituto de participación de la comunidad local en el juego libre y democrático, no confiriéndoles a los entes locales un poder de veto o predeterminación de la regulación legislativa de las instituciones”.</w:t>
      </w:r>
    </w:p>
    <w:p w:rsidR="001D6FAE" w:rsidRDefault="001D6FAE" w:rsidP="001D6FAE">
      <w:pPr>
        <w:pStyle w:val="TextoNormal"/>
      </w:pPr>
    </w:p>
    <w:p w:rsidR="001D6FAE" w:rsidRDefault="001D6FAE" w:rsidP="001D6FAE">
      <w:pPr>
        <w:pStyle w:val="TextoNormal"/>
      </w:pPr>
      <w:r>
        <w:t>La traslación de dicha doctrina a la controversia ahora trabada permite considerar que, asimismo, en este aspecto, la cuestión suscitada en este conflicto es notoriamente infundada, en la medida en que la garantía de participación local se predica del contenido de la norma, no de su forma de elaboración, que, en este caso concreto corresponde a una prerrogativa propia de las instituciones de autogobierno de la Comunidad Autónoma (art. 25.4 en relación con el 24.14 del Estatuto de Autonomía de Castilla y León, aprobado por Ley Orgánica 14/2007, de 30 de noviembre).</w:t>
      </w:r>
    </w:p>
    <w:p w:rsidR="001D6FAE" w:rsidRDefault="001D6FAE" w:rsidP="001D6FAE">
      <w:pPr>
        <w:pStyle w:val="TextoNormal"/>
      </w:pPr>
    </w:p>
    <w:p w:rsidR="001D6FAE" w:rsidRDefault="001D6FAE" w:rsidP="001D6FAE">
      <w:pPr>
        <w:pStyle w:val="TextoNormal"/>
      </w:pPr>
      <w:r>
        <w:t>Finalmente, y como se afirma en el escrito promotor del conflicto, las restantes vulneraciones aducidas no forman parte del conflicto en defensa de la autonomía local, ya que, como se afirmó en STC 132/2014, FJ 6, la especificidad del conflicto en defensa de la autonomía local se manifiesta en que el conflicto sólo puede ser promovido frente a normas legales con base en un único motivo de inconstitucionalidad, la lesión de la autonomía local constitucionalmente garantizada, por lo que no podrán alegarse en él otros motivos fundados en la infracción de preceptos constitucionales que no guarden una relación directa con la autonomía que la Constitución garantiza a los entes locales.</w:t>
      </w:r>
    </w:p>
    <w:p w:rsidR="001D6FAE" w:rsidRDefault="001D6FAE" w:rsidP="001D6FAE">
      <w:pPr>
        <w:pStyle w:val="TextoNormal"/>
      </w:pPr>
    </w:p>
    <w:p w:rsidR="001D6FAE" w:rsidRDefault="001D6FAE" w:rsidP="001D6FAE">
      <w:pPr>
        <w:pStyle w:val="TextoNormal"/>
      </w:pPr>
      <w:r>
        <w:t xml:space="preserve">Atendidas las razones aducidas en el escrito promotor del conflicto hemos de concluir que el Decreto-ley 2/2016, de 19 de mayo, por el que se prohíbe la muerte de las reses de lidia en presencia del público en los espectáculos taurinos populares y tradicionales en Castilla y León, no vulnera el principio constitucional de autonomía local, por lo que el presente conflicto resulta notoriamente infundado, en los términos del art. 75 </w:t>
      </w:r>
      <w:r w:rsidRPr="001D6FAE">
        <w:rPr>
          <w:i/>
        </w:rPr>
        <w:t>quinquies</w:t>
      </w:r>
      <w:r>
        <w:t>.1 LOTC.</w:t>
      </w:r>
    </w:p>
    <w:p w:rsidR="001D6FAE" w:rsidRDefault="001D6FAE" w:rsidP="001D6FAE">
      <w:pPr>
        <w:pStyle w:val="TextoNormal"/>
      </w:pPr>
    </w:p>
    <w:p w:rsidR="001D6FAE" w:rsidRDefault="001D6FAE" w:rsidP="001D6FAE">
      <w:pPr>
        <w:pStyle w:val="TextoNormal"/>
      </w:pPr>
      <w:r>
        <w:t>Por todo lo expuesto, el Pleno</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Inadmitir a trámite el presente conflicto en defensa de la autonomía local.</w:t>
      </w:r>
    </w:p>
    <w:p w:rsidR="001D6FAE" w:rsidRDefault="001D6FAE" w:rsidP="001D6FAE">
      <w:pPr>
        <w:pStyle w:val="TextoNormal"/>
      </w:pPr>
    </w:p>
    <w:p w:rsidR="001D6FAE" w:rsidRDefault="001D6FAE" w:rsidP="001D6FAE">
      <w:pPr>
        <w:pStyle w:val="TextoNormal"/>
      </w:pPr>
      <w:r>
        <w:t>Madrid, a trece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81" w:name="AUTO_2016_207"/>
      <w:r>
        <w:t>AUTO 207/2016, de 14 de diciembre de 2016</w:t>
      </w:r>
    </w:p>
    <w:bookmarkEnd w:id="181"/>
    <w:p w:rsidR="001D6FAE" w:rsidRDefault="001D6FAE" w:rsidP="001D6FAE">
      <w:pPr>
        <w:pStyle w:val="TtuloResolucin"/>
      </w:pPr>
      <w:r>
        <w:t>Sección Primera</w:t>
      </w:r>
    </w:p>
    <w:p w:rsidR="001D6FAE" w:rsidRDefault="001D6FAE" w:rsidP="001D6FAE">
      <w:pPr>
        <w:pStyle w:val="TextoNormalCentrado"/>
      </w:pPr>
      <w:r>
        <w:t>ECLI:ES:TC:2016:207A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y don Juan Antonio Xiol Ríos.</w:t>
      </w:r>
    </w:p>
    <w:p w:rsidR="001D6FAE" w:rsidRDefault="001D6FAE" w:rsidP="001D6FAE">
      <w:pPr>
        <w:pStyle w:val="SntesisDescriptiva"/>
      </w:pPr>
    </w:p>
    <w:p w:rsidR="001D6FAE" w:rsidRDefault="001D6FAE" w:rsidP="001D6FAE">
      <w:pPr>
        <w:pStyle w:val="SntesisDescriptiva"/>
      </w:pPr>
      <w:r>
        <w:t>Desestima el recurso de súplica interpuesto por doña Isabel Casado López sobre inadmisión del recurso de amparo 3837, en causa penal.</w:t>
      </w:r>
    </w:p>
    <w:p w:rsidR="001D6FAE" w:rsidRDefault="001D6FAE" w:rsidP="001D6FAE">
      <w:pPr>
        <w:pStyle w:val="SntesisDescriptiva"/>
      </w:pPr>
    </w:p>
    <w:p w:rsidR="001D6FAE" w:rsidRDefault="001D6FAE" w:rsidP="001D6FAE">
      <w:pPr>
        <w:pStyle w:val="SntesisDescriptiva"/>
      </w:pPr>
    </w:p>
    <w:p w:rsidR="001D6FAE" w:rsidRDefault="001D6FAE" w:rsidP="001D6FAE">
      <w:pPr>
        <w:pStyle w:val="SntesisDescriptiva"/>
      </w:pPr>
    </w:p>
    <w:p w:rsidR="001D6FAE" w:rsidRDefault="001D6FAE" w:rsidP="001D6FAE">
      <w:pPr>
        <w:pStyle w:val="TextoNormalNegritaCentrado"/>
      </w:pPr>
      <w:r>
        <w:t>AUTO</w:t>
      </w:r>
    </w:p>
    <w:p w:rsidR="001D6FAE" w:rsidRDefault="001D6FAE" w:rsidP="001D6FAE">
      <w:pPr>
        <w:pStyle w:val="TextoNormalNegritaCentrado"/>
      </w:pPr>
    </w:p>
    <w:p w:rsidR="001D6FAE" w:rsidRDefault="001D6FAE" w:rsidP="001D6FAE">
      <w:pPr>
        <w:pStyle w:val="TextoNormalNegritaCentrado"/>
        <w:keepNext/>
      </w:pPr>
      <w:r>
        <w:t>I. Antecedentes</w:t>
      </w:r>
    </w:p>
    <w:p w:rsidR="001D6FAE" w:rsidRDefault="001D6FAE" w:rsidP="001D6FAE">
      <w:pPr>
        <w:pStyle w:val="TextoNormalNegritaCentrado"/>
        <w:keepNext/>
      </w:pPr>
    </w:p>
    <w:p w:rsidR="001D6FAE" w:rsidRDefault="001D6FAE" w:rsidP="001D6FAE">
      <w:pPr>
        <w:pStyle w:val="TextoNormal"/>
      </w:pPr>
      <w:r w:rsidRPr="001D6FAE">
        <w:rPr>
          <w:rStyle w:val="NumeroAFNegritaCaracter"/>
        </w:rPr>
        <w:t>1</w:t>
      </w:r>
      <w:r>
        <w:t>. Mediante escrito registrado en este Tribunal el 29 de junio de 2015, doña Isabel Casado López solicitó que se le designaran procurador del turno de oficio para interponer recurso de amparo contra diversas resoluciones dictadas por el Juzgado de Instrucción núm. 4 de Alicante en las diligencias previas núm. 335-2015.</w:t>
      </w:r>
    </w:p>
    <w:p w:rsidR="001D6FAE" w:rsidRDefault="001D6FAE" w:rsidP="001D6FAE">
      <w:pPr>
        <w:pStyle w:val="TextoNormal"/>
      </w:pPr>
    </w:p>
    <w:p w:rsidR="001D6FAE" w:rsidRDefault="001D6FAE" w:rsidP="001D6FAE">
      <w:pPr>
        <w:pStyle w:val="TextoNormal"/>
      </w:pPr>
      <w:r w:rsidRPr="001D6FAE">
        <w:rPr>
          <w:rStyle w:val="NumeroAFNegritaCaracter"/>
        </w:rPr>
        <w:t>2</w:t>
      </w:r>
      <w:r>
        <w:t>. La Comisión central de asistencia jurídica gratuita dictó resolución de 13 de noviembre de 2015 denegando a la solicitante el derecho de asistencia jurídica gratuita. La interesada impugnó la resolución denegatoria del beneficio y la Comisión central lo remitió al Decanato de los Juzgado de Madrid para su resolución.</w:t>
      </w:r>
    </w:p>
    <w:p w:rsidR="001D6FAE" w:rsidRDefault="001D6FAE" w:rsidP="001D6FAE">
      <w:pPr>
        <w:pStyle w:val="TextoNormal"/>
      </w:pPr>
    </w:p>
    <w:p w:rsidR="001D6FAE" w:rsidRDefault="001D6FAE" w:rsidP="001D6FAE">
      <w:pPr>
        <w:pStyle w:val="TextoNormal"/>
      </w:pPr>
      <w:r w:rsidRPr="001D6FAE">
        <w:rPr>
          <w:rStyle w:val="NumeroAFNegritaCaracter"/>
        </w:rPr>
        <w:t>3</w:t>
      </w:r>
      <w:r>
        <w:t>. Turnada dicha impugnación al Juzgado de Instrucción núm. 6 de Madrid, por providencia de 14 de abril de 2016 resolvió que, al haberse promovido la solicitud de la asistencia jurídica gratuita para la interposición de un recurso de amparo ante el Tribunal Constitucional, y de conformidad con el art. 10 del acuerdo de 18 de junio de 1996, del Pleno del Tribunal Constitucional, sobre asistencia jurídica gratuita en los procesos de amparo constitucional, es el propio Tribunal Constitucional el competente para resolver la impugnación planteada por haberse producido la situación de insuficiencia económica sobrevenidamente a la interposición del recurso de amparo.</w:t>
      </w:r>
    </w:p>
    <w:p w:rsidR="001D6FAE" w:rsidRDefault="001D6FAE" w:rsidP="001D6FAE">
      <w:pPr>
        <w:pStyle w:val="TextoNormal"/>
      </w:pPr>
    </w:p>
    <w:p w:rsidR="001D6FAE" w:rsidRDefault="001D6FAE" w:rsidP="001D6FAE">
      <w:pPr>
        <w:pStyle w:val="TextoNormal"/>
      </w:pPr>
      <w:r w:rsidRPr="001D6FAE">
        <w:rPr>
          <w:rStyle w:val="NumeroAFNegritaCaracter"/>
        </w:rPr>
        <w:t>4</w:t>
      </w:r>
      <w:r>
        <w:t>. La Secretaría de Justicia de la Sala Primera de este Tribunal, mediante diligencia de ordenación de 5 de mayo de 2016, tuvo por recibidas las actuaciones del Juzgado de Instrucción núm. 6 de Madrid y acordó conceder un plazo común de tres días al Abogado del Estado y a la recurrente en amparo, para que presentaran alegaciones acerca de la competencia para conocer de la impugnación a la que se refiere el art. 20 de la Ley 1/1996, de 10 de enero, de asistencia jurídica gratuita.</w:t>
      </w:r>
    </w:p>
    <w:p w:rsidR="001D6FAE" w:rsidRDefault="001D6FAE" w:rsidP="001D6FAE">
      <w:pPr>
        <w:pStyle w:val="TextoNormal"/>
      </w:pPr>
    </w:p>
    <w:p w:rsidR="001D6FAE" w:rsidRDefault="001D6FAE" w:rsidP="001D6FAE">
      <w:pPr>
        <w:pStyle w:val="TextoNormal"/>
      </w:pPr>
      <w:r w:rsidRPr="001D6FAE">
        <w:rPr>
          <w:rStyle w:val="NumeroAFNegritaCaracter"/>
        </w:rPr>
        <w:t>5</w:t>
      </w:r>
      <w:r>
        <w:t>. La Sección Primera de este Tribunal, mediante ATC 153/2016, de 14 de septiembre, declaró que este Tribunal Constitucional es incompetente para enjuiciar la impugnación formulada contra la resolución de la Comisión central de asistencia jurídica gratuita de 13 de noviembre de 2015 y ordenó devolver al Juzgado de Instrucción núm. 6 de Madrid las actuaciones que sobre esta impugnación fueron remitidas a este Tribunal.</w:t>
      </w:r>
    </w:p>
    <w:p w:rsidR="001D6FAE" w:rsidRDefault="001D6FAE" w:rsidP="001D6FAE">
      <w:pPr>
        <w:pStyle w:val="TextoNormal"/>
      </w:pPr>
    </w:p>
    <w:p w:rsidR="001D6FAE" w:rsidRDefault="001D6FAE" w:rsidP="001D6FAE">
      <w:pPr>
        <w:pStyle w:val="TextoNormal"/>
      </w:pPr>
      <w:r w:rsidRPr="001D6FAE">
        <w:rPr>
          <w:rStyle w:val="NumeroAFNegritaCaracter"/>
        </w:rPr>
        <w:t>6</w:t>
      </w:r>
      <w:r>
        <w:t>. La recurrente, mediante escrito registrado el 3 de octubre de 2016, presentó recurso contra el citado ATC 153/2016, argumentando que se ha incurrido en incongruencia omisiva al no haberse resuelto sobre todas las pretensiones planteadas respecto de la competencia del propio Tribunal Constitucional para resolver sobre la impugnación planteada contra la resolución de la Comisión central de asistencia jurídica gratuita.</w:t>
      </w:r>
    </w:p>
    <w:p w:rsidR="001D6FAE" w:rsidRDefault="001D6FAE" w:rsidP="001D6FAE">
      <w:pPr>
        <w:pStyle w:val="TextoNormal"/>
      </w:pPr>
    </w:p>
    <w:p w:rsidR="001D6FAE" w:rsidRDefault="001D6FAE" w:rsidP="001D6FAE">
      <w:pPr>
        <w:pStyle w:val="TextoNormal"/>
      </w:pPr>
      <w:r w:rsidRPr="001D6FAE">
        <w:rPr>
          <w:rStyle w:val="NumeroAFNegritaCaracter"/>
        </w:rPr>
        <w:t>7</w:t>
      </w:r>
      <w:r>
        <w:t>. La Secretaría de Justicia de la Sección Primera de este Tribunal, mediante diligencia de ordenación de 18 de octubre de 2016, acordó conceder un plazo común de tres días al Ministerio Fiscal, para que presentaran las alegaciones que estimara oportunas en relación con dicho recurso.</w:t>
      </w:r>
    </w:p>
    <w:p w:rsidR="001D6FAE" w:rsidRDefault="001D6FAE" w:rsidP="001D6FAE">
      <w:pPr>
        <w:pStyle w:val="TextoNormal"/>
      </w:pPr>
    </w:p>
    <w:p w:rsidR="001D6FAE" w:rsidRDefault="001D6FAE" w:rsidP="001D6FAE">
      <w:pPr>
        <w:pStyle w:val="TextoNormal"/>
      </w:pPr>
      <w:r w:rsidRPr="001D6FAE">
        <w:rPr>
          <w:rStyle w:val="NumeroAFNegritaCaracter"/>
        </w:rPr>
        <w:t>8</w:t>
      </w:r>
      <w:r>
        <w:t>. El Ministerio Fiscal, mediante escrito registrado el 2 de noviembre de 2016, interesa la desestimación íntegra del recurso, argumentando que ninguna omisión ni arbitrariedad se ha producido en la resolución judicial impugnada.</w:t>
      </w:r>
    </w:p>
    <w:p w:rsidR="001D6FAE" w:rsidRDefault="001D6FAE" w:rsidP="001D6FAE">
      <w:pPr>
        <w:pStyle w:val="TextoNormal"/>
      </w:pPr>
    </w:p>
    <w:p w:rsidR="001D6FAE" w:rsidRDefault="001D6FAE" w:rsidP="001D6FAE">
      <w:pPr>
        <w:pStyle w:val="TextoNormalNegritaCentrado"/>
        <w:keepNext/>
      </w:pPr>
      <w:r>
        <w:t>II. Fundamentos jurídicos</w:t>
      </w:r>
    </w:p>
    <w:p w:rsidR="001D6FAE" w:rsidRDefault="001D6FAE" w:rsidP="001D6FAE">
      <w:pPr>
        <w:pStyle w:val="TextoNormalNegritaCentrado"/>
        <w:keepNext/>
      </w:pPr>
    </w:p>
    <w:p w:rsidR="001D6FAE" w:rsidRDefault="001D6FAE" w:rsidP="001D6FAE">
      <w:pPr>
        <w:pStyle w:val="TextoNormal"/>
      </w:pPr>
      <w:r>
        <w:t>Único. El recurso interpuesto debe ser desestimado. El único y exclusivo objeto del ATC 153/2016, de 14 de septiembre, era determinar la competencia para resolver sobre la impugnación de una denegación del reconocimiento del derecho a la asistencia jurídica a que se refiere el art. 20 de la Ley 1/1996, de 10 de enero, de asistencia jurídica gratuita, cuando concurre la circunstancia de que la alegada insuficiencia económica del solicitante se produce con carácter previo a la propia interposición de la demanda de amparo. Dicha cuestión fue resuelta por el citado ATC 153/2016 haciéndose expresas las razones normativas y los precedentes de la jurisprudencia constitucional en las que se sustentó la decisión de considerar que en tales casos la competencia no corresponde a este Tribunal. Por tanto, en atención a ese objeto y a la respuesta aportada ninguna incongruencia omisiva cabe apreciar en relación con ninguna otra consideración que no sea la expresa regulación sobre el particular para determinar dicha competencia.</w:t>
      </w:r>
    </w:p>
    <w:p w:rsidR="001D6FAE" w:rsidRDefault="001D6FAE" w:rsidP="001D6FAE">
      <w:pPr>
        <w:pStyle w:val="TextoNormal"/>
      </w:pPr>
    </w:p>
    <w:p w:rsidR="001D6FAE" w:rsidRDefault="001D6FAE" w:rsidP="001D6FAE">
      <w:pPr>
        <w:pStyle w:val="TextoNormal"/>
      </w:pPr>
      <w:r>
        <w:t>Por todo lo expuesto, la Sección</w:t>
      </w:r>
    </w:p>
    <w:p w:rsidR="001D6FAE" w:rsidRDefault="001D6FAE" w:rsidP="001D6FAE">
      <w:pPr>
        <w:pStyle w:val="TextoNormal"/>
      </w:pPr>
    </w:p>
    <w:p w:rsidR="001D6FAE" w:rsidRDefault="001D6FAE" w:rsidP="001D6FAE">
      <w:pPr>
        <w:pStyle w:val="TextoNormalCentrado"/>
      </w:pPr>
      <w:r>
        <w:t>ACUERDA</w:t>
      </w:r>
    </w:p>
    <w:p w:rsidR="001D6FAE" w:rsidRDefault="001D6FAE" w:rsidP="001D6FAE">
      <w:pPr>
        <w:pStyle w:val="TextoNormalCentrado"/>
      </w:pPr>
    </w:p>
    <w:p w:rsidR="001D6FAE" w:rsidRDefault="001D6FAE" w:rsidP="001D6FAE">
      <w:pPr>
        <w:pStyle w:val="TextoNormal"/>
      </w:pPr>
      <w:r>
        <w:t>Desestima el recurso de súplica interpuesto por doña Isabel Casado López sobre inadmisión del recurso de amparo 3837-2015, en causa penal.</w:t>
      </w:r>
    </w:p>
    <w:p w:rsidR="001D6FAE" w:rsidRDefault="001D6FAE" w:rsidP="001D6FAE">
      <w:pPr>
        <w:pStyle w:val="TextoNormal"/>
      </w:pPr>
    </w:p>
    <w:p w:rsidR="001D6FAE" w:rsidRDefault="001D6FAE" w:rsidP="001D6FAE">
      <w:pPr>
        <w:pStyle w:val="TextoNormal"/>
      </w:pPr>
      <w:r>
        <w:t>Madrid, a catorce de diciembre de dos mil dieciséis.</w:t>
      </w:r>
    </w:p>
    <w:p w:rsidR="001D6FAE" w:rsidRDefault="001D6FAE">
      <w:pPr>
        <w:spacing w:after="160" w:line="259" w:lineRule="auto"/>
        <w:rPr>
          <w:rFonts w:ascii="Times New Roman" w:eastAsia="Times New Roman" w:hAnsi="Times New Roman" w:cs="Times New Roman"/>
          <w:sz w:val="24"/>
          <w:szCs w:val="24"/>
          <w:lang w:eastAsia="es-ES"/>
        </w:rPr>
      </w:pPr>
      <w:r>
        <w:br w:type="page"/>
      </w:r>
    </w:p>
    <w:p w:rsidR="001D6FAE" w:rsidRDefault="001D6FAE" w:rsidP="001D6FAE">
      <w:pPr>
        <w:pStyle w:val="TtuloResolucin"/>
      </w:pPr>
      <w:bookmarkStart w:id="182" w:name="AUTO_2016_208"/>
      <w:r>
        <w:t>AUTO 208/2016, de 28 de diciembre de 2016</w:t>
      </w:r>
    </w:p>
    <w:bookmarkEnd w:id="182"/>
    <w:p w:rsidR="001D6FAE" w:rsidRDefault="001D6FAE" w:rsidP="001D6FAE">
      <w:pPr>
        <w:pStyle w:val="TtuloResolucin"/>
      </w:pPr>
      <w:r>
        <w:t>Sala Primera</w:t>
      </w:r>
    </w:p>
    <w:p w:rsidR="001D6FAE" w:rsidRDefault="001D6FAE" w:rsidP="001D6FAE">
      <w:pPr>
        <w:pStyle w:val="TextoNormalCentrado"/>
      </w:pPr>
      <w:r>
        <w:t>ECLI:ES:TC:2016:208A</w:t>
      </w:r>
    </w:p>
    <w:p w:rsidR="001D6FAE" w:rsidRDefault="001D6FAE" w:rsidP="001D6FAE">
      <w:pPr>
        <w:pStyle w:val="TextoNormalCentrado"/>
      </w:pPr>
    </w:p>
    <w:p w:rsidR="001D6FAE" w:rsidRDefault="001D6FAE" w:rsidP="001D6FAE">
      <w:pPr>
        <w:pStyle w:val="SntesisDescriptiva"/>
      </w:pPr>
      <w:r>
        <w:t>Excms. Srs. don Francisco Pérez de los Cobos Orihuel, doña Encarnación Roca Trías, don Andrés Ollero Tassara, don Santiago Martínez-Vares García y don Juan Antonio Xiol Ríos.</w:t>
      </w:r>
    </w:p>
    <w:p w:rsidR="001D6FAE" w:rsidRDefault="001D6FAE" w:rsidP="001D6FAE">
      <w:pPr>
        <w:pStyle w:val="SntesisDescriptiva"/>
      </w:pPr>
    </w:p>
    <w:p w:rsidR="001D6FAE" w:rsidRDefault="001D6FAE" w:rsidP="00427CF1">
      <w:pPr>
        <w:pStyle w:val="TtuloResolucin"/>
      </w:pPr>
      <w:r>
        <w:t>*Este auto no incorpora doctrina constitucional.</w:t>
      </w:r>
    </w:p>
    <w:p w:rsidR="00427CF1" w:rsidRDefault="00427CF1">
      <w:pPr>
        <w:spacing w:after="160" w:line="259" w:lineRule="auto"/>
        <w:rPr>
          <w:rFonts w:ascii="Times New Roman" w:eastAsia="Times New Roman" w:hAnsi="Times New Roman" w:cs="Times New Roman"/>
          <w:b/>
          <w:sz w:val="24"/>
          <w:szCs w:val="24"/>
          <w:lang w:eastAsia="es-ES"/>
        </w:rPr>
      </w:pPr>
      <w:r>
        <w:br w:type="page"/>
      </w:r>
    </w:p>
    <w:p w:rsidR="00427CF1" w:rsidRDefault="00427CF1" w:rsidP="001D6FAE">
      <w:pPr>
        <w:pStyle w:val="TtuloResolucin"/>
      </w:pPr>
    </w:p>
    <w:p w:rsidR="00427CF1" w:rsidRDefault="00427CF1" w:rsidP="00427CF1">
      <w:pPr>
        <w:pStyle w:val="TextoNormal"/>
      </w:pPr>
    </w:p>
    <w:p w:rsidR="00427CF1" w:rsidRDefault="00427CF1" w:rsidP="00427CF1">
      <w:pPr>
        <w:pStyle w:val="TextoNormal"/>
      </w:pPr>
    </w:p>
    <w:p w:rsidR="00427CF1" w:rsidRDefault="00427CF1" w:rsidP="00427CF1">
      <w:pPr>
        <w:pStyle w:val="TextoNormal"/>
      </w:pPr>
    </w:p>
    <w:p w:rsidR="00427CF1" w:rsidRDefault="00427CF1" w:rsidP="00427CF1">
      <w:pPr>
        <w:pStyle w:val="Ttulondice"/>
        <w:suppressAutoHyphens/>
      </w:pPr>
      <w:r>
        <w:t>3. ÍNDICE DE DISPOSICIONES CON FUERZA DE LEY IMPUGNADAS</w:t>
      </w: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pPr>
    </w:p>
    <w:p w:rsidR="00427CF1" w:rsidRDefault="00427CF1" w:rsidP="00427CF1">
      <w:pPr>
        <w:pStyle w:val="TextoNormal"/>
      </w:pPr>
      <w:bookmarkStart w:id="183" w:name="INDICE22802"/>
      <w:bookmarkEnd w:id="183"/>
    </w:p>
    <w:p w:rsidR="00427CF1" w:rsidRDefault="00427CF1" w:rsidP="00427CF1">
      <w:pPr>
        <w:pStyle w:val="TextoIndiceNivel2"/>
        <w:suppressAutoHyphens/>
      </w:pPr>
      <w:r>
        <w:t>A) Disposiciones con fuerza de ley del Estado</w:t>
      </w:r>
    </w:p>
    <w:p w:rsidR="00427CF1" w:rsidRDefault="00427CF1" w:rsidP="00427CF1">
      <w:pPr>
        <w:pStyle w:val="TextoIndiceNivel2"/>
      </w:pPr>
    </w:p>
    <w:p w:rsidR="00427CF1" w:rsidRDefault="00427CF1" w:rsidP="00427CF1">
      <w:pPr>
        <w:pStyle w:val="TextoNormalNegritaCursivandice"/>
      </w:pPr>
      <w:r>
        <w:t>Real Decreto de 24 de julio de 1889. Código civil</w:t>
      </w:r>
    </w:p>
    <w:p w:rsidR="00427CF1" w:rsidRDefault="00427CF1" w:rsidP="00427CF1">
      <w:pPr>
        <w:pStyle w:val="SangriaFrancesaArticulo"/>
      </w:pPr>
      <w:r w:rsidRPr="00427CF1">
        <w:rPr>
          <w:rStyle w:val="TextoNormalNegritaCaracter"/>
        </w:rPr>
        <w:t>Artículo 1535.</w:t>
      </w:r>
      <w:r w:rsidRPr="00427CF1">
        <w:rPr>
          <w:rStyle w:val="TextoNormalCaracter"/>
        </w:rPr>
        <w:t>-</w:t>
      </w:r>
      <w:r>
        <w:t xml:space="preserve"> Auto </w:t>
      </w:r>
      <w:hyperlink w:anchor="AUTO_2016_168" w:history="1">
        <w:r w:rsidRPr="00427CF1">
          <w:rPr>
            <w:rStyle w:val="TextoNormalCaracter"/>
          </w:rPr>
          <w:t>168/2016</w:t>
        </w:r>
      </w:hyperlink>
      <w:r>
        <w:t>.</w:t>
      </w:r>
    </w:p>
    <w:p w:rsidR="00427CF1" w:rsidRDefault="00427CF1" w:rsidP="00427CF1">
      <w:pPr>
        <w:pStyle w:val="SangriaFrancesaArticulo"/>
      </w:pPr>
    </w:p>
    <w:p w:rsidR="00427CF1" w:rsidRDefault="00427CF1" w:rsidP="00427CF1">
      <w:pPr>
        <w:pStyle w:val="TextoNormalNegritaCursivandice"/>
      </w:pPr>
      <w:r>
        <w:t>Ley Orgánica 6/1985, de 1 de julio. Poder judicial</w:t>
      </w:r>
    </w:p>
    <w:p w:rsidR="00427CF1" w:rsidRDefault="00427CF1" w:rsidP="00427CF1">
      <w:pPr>
        <w:pStyle w:val="SangriaFrancesaArticulo"/>
      </w:pPr>
      <w:r w:rsidRPr="00427CF1">
        <w:rPr>
          <w:rStyle w:val="TextoNormalNegritaCaracter"/>
        </w:rPr>
        <w:t>Artículo 564</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xml:space="preserve"> (interpreta).</w:t>
      </w:r>
    </w:p>
    <w:p w:rsidR="00427CF1" w:rsidRDefault="00427CF1" w:rsidP="00427CF1">
      <w:pPr>
        <w:pStyle w:val="SangriaFrancesaArticulo"/>
      </w:pPr>
      <w:r w:rsidRPr="00427CF1">
        <w:rPr>
          <w:rStyle w:val="TextoNormalNegritaCaracter"/>
        </w:rPr>
        <w:t>Artículo 570.1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570.3</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579.1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580.1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590</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591.1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599</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600.4</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Artículo 638.2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Disposición transitoria cuadragésima primera</w:t>
      </w:r>
      <w:r>
        <w:t xml:space="preserve"> (redactada por la Ley Orgánica 8/2012, de 27 de diciembre)</w:t>
      </w:r>
      <w:r w:rsidRPr="00427CF1">
        <w:rPr>
          <w:rStyle w:val="TextoNormalNegritaCaracter"/>
        </w:rPr>
        <w:t>.</w:t>
      </w:r>
      <w:r w:rsidRPr="00427CF1">
        <w:rPr>
          <w:rStyle w:val="TextoNormalCaracter"/>
        </w:rPr>
        <w:t>-</w:t>
      </w:r>
      <w:r>
        <w:t xml:space="preserve"> Auto </w:t>
      </w:r>
      <w:hyperlink w:anchor="AUTO_2016_180" w:history="1">
        <w:r w:rsidRPr="00427CF1">
          <w:rPr>
            <w:rStyle w:val="TextoNormalCaracter"/>
          </w:rPr>
          <w:t>180/2016</w:t>
        </w:r>
      </w:hyperlink>
      <w:r>
        <w:t>.</w:t>
      </w:r>
    </w:p>
    <w:p w:rsidR="00427CF1" w:rsidRDefault="00427CF1" w:rsidP="00427CF1">
      <w:pPr>
        <w:pStyle w:val="SangriaFrancesaArticulo"/>
      </w:pPr>
    </w:p>
    <w:p w:rsidR="00427CF1" w:rsidRDefault="00427CF1" w:rsidP="00427CF1">
      <w:pPr>
        <w:pStyle w:val="TextoNormalNegritaCursivandice"/>
      </w:pPr>
      <w:r>
        <w:t>Real Decreto Legislativo 1/1994, de 20 de junio. Texto refundido de la Ley general de la Seguridad Social</w:t>
      </w:r>
    </w:p>
    <w:p w:rsidR="00427CF1" w:rsidRDefault="00427CF1" w:rsidP="00427CF1">
      <w:pPr>
        <w:pStyle w:val="SangriaFrancesaArticulo"/>
      </w:pPr>
      <w:r w:rsidRPr="00427CF1">
        <w:rPr>
          <w:rStyle w:val="TextoNormalNegritaCaracter"/>
        </w:rPr>
        <w:t>Disposición adicional sexagésima sexta, apartado 1.</w:t>
      </w:r>
      <w:r w:rsidRPr="00427CF1">
        <w:rPr>
          <w:rStyle w:val="TextoNormalCaracter"/>
        </w:rPr>
        <w:t>-</w:t>
      </w:r>
      <w:r>
        <w:t xml:space="preserve"> Sentencia </w:t>
      </w:r>
      <w:hyperlink w:anchor="SENTENCIA_2016_135" w:history="1">
        <w:r w:rsidRPr="00427CF1">
          <w:rPr>
            <w:rStyle w:val="TextoNormalCaracter"/>
          </w:rPr>
          <w:t>135/2016</w:t>
        </w:r>
      </w:hyperlink>
      <w:r>
        <w:t>.</w:t>
      </w:r>
    </w:p>
    <w:p w:rsidR="00427CF1" w:rsidRDefault="00427CF1" w:rsidP="00427CF1">
      <w:pPr>
        <w:pStyle w:val="SangriaFrancesaArticulo"/>
      </w:pPr>
    </w:p>
    <w:p w:rsidR="00427CF1" w:rsidRDefault="00427CF1" w:rsidP="00427CF1">
      <w:pPr>
        <w:pStyle w:val="TextoNormalNegritaCursivandice"/>
      </w:pPr>
      <w:r>
        <w:t>Ley 16/1997, de 25 de abril. Regulación de servicios de oficinas de farmacia</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Auto </w:t>
      </w:r>
      <w:hyperlink w:anchor="AUTO_2016_156" w:history="1">
        <w:r w:rsidRPr="00427CF1">
          <w:rPr>
            <w:rStyle w:val="TextoNormalCaracter"/>
          </w:rPr>
          <w:t>156/2016</w:t>
        </w:r>
      </w:hyperlink>
      <w:r>
        <w:t>.</w:t>
      </w:r>
    </w:p>
    <w:p w:rsidR="00427CF1" w:rsidRDefault="00427CF1" w:rsidP="00427CF1">
      <w:pPr>
        <w:pStyle w:val="SangriaFrancesaArticulo"/>
      </w:pPr>
    </w:p>
    <w:p w:rsidR="00427CF1" w:rsidRDefault="00427CF1" w:rsidP="00427CF1">
      <w:pPr>
        <w:pStyle w:val="TextoNormalNegritaCursivandice"/>
      </w:pPr>
      <w:r>
        <w:t>Ley 1/2000, de 7 de enero. Enjuiciamiento civil</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Auto </w:t>
      </w:r>
      <w:hyperlink w:anchor="AUTO_2016_168" w:history="1">
        <w:r w:rsidRPr="00427CF1">
          <w:rPr>
            <w:rStyle w:val="TextoNormalCaracter"/>
          </w:rPr>
          <w:t>168/2016</w:t>
        </w:r>
      </w:hyperlink>
      <w:r>
        <w:t>.</w:t>
      </w:r>
    </w:p>
    <w:p w:rsidR="00427CF1" w:rsidRDefault="00427CF1" w:rsidP="00427CF1">
      <w:pPr>
        <w:pStyle w:val="SangriaFrancesaArticulo"/>
      </w:pPr>
      <w:r w:rsidRPr="00427CF1">
        <w:rPr>
          <w:rStyle w:val="TextoNormalNegritaCaracter"/>
        </w:rPr>
        <w:t>Artículo 540.</w:t>
      </w:r>
      <w:r w:rsidRPr="00427CF1">
        <w:rPr>
          <w:rStyle w:val="TextoNormalCaracter"/>
        </w:rPr>
        <w:t>-</w:t>
      </w:r>
      <w:r>
        <w:t xml:space="preserve"> Auto </w:t>
      </w:r>
      <w:hyperlink w:anchor="AUTO_2016_168" w:history="1">
        <w:r w:rsidRPr="00427CF1">
          <w:rPr>
            <w:rStyle w:val="TextoNormalCaracter"/>
          </w:rPr>
          <w:t>168/2016</w:t>
        </w:r>
      </w:hyperlink>
      <w:r>
        <w:t>.</w:t>
      </w:r>
    </w:p>
    <w:p w:rsidR="00427CF1" w:rsidRDefault="00427CF1" w:rsidP="00427CF1">
      <w:pPr>
        <w:pStyle w:val="SangriaFrancesaArticulo"/>
      </w:pPr>
      <w:r w:rsidRPr="00427CF1">
        <w:rPr>
          <w:rStyle w:val="TextoNormalNegritaCaracter"/>
        </w:rPr>
        <w:t>Artículo 695.</w:t>
      </w:r>
      <w:r w:rsidRPr="00427CF1">
        <w:rPr>
          <w:rStyle w:val="TextoNormalCaracter"/>
        </w:rPr>
        <w:t>-</w:t>
      </w:r>
      <w:r>
        <w:t xml:space="preserve"> Auto </w:t>
      </w:r>
      <w:hyperlink w:anchor="AUTO_2016_198" w:history="1">
        <w:r w:rsidRPr="00427CF1">
          <w:rPr>
            <w:rStyle w:val="TextoNormalCaracter"/>
          </w:rPr>
          <w:t>198/2016</w:t>
        </w:r>
      </w:hyperlink>
      <w:r>
        <w:t>.</w:t>
      </w:r>
    </w:p>
    <w:p w:rsidR="00427CF1" w:rsidRDefault="00427CF1" w:rsidP="00427CF1">
      <w:pPr>
        <w:pStyle w:val="SangriaFrancesaArticulo"/>
      </w:pPr>
      <w:r w:rsidRPr="00427CF1">
        <w:rPr>
          <w:rStyle w:val="TextoNormalNegritaCaracter"/>
        </w:rPr>
        <w:t>Artículo 698.</w:t>
      </w:r>
      <w:r w:rsidRPr="00427CF1">
        <w:rPr>
          <w:rStyle w:val="TextoNormalCaracter"/>
        </w:rPr>
        <w:t>-</w:t>
      </w:r>
      <w:r>
        <w:t xml:space="preserve"> Auto </w:t>
      </w:r>
      <w:hyperlink w:anchor="AUTO_2016_198" w:history="1">
        <w:r w:rsidRPr="00427CF1">
          <w:rPr>
            <w:rStyle w:val="TextoNormalCaracter"/>
          </w:rPr>
          <w:t>198/2016</w:t>
        </w:r>
      </w:hyperlink>
      <w:r>
        <w:t>.</w:t>
      </w:r>
    </w:p>
    <w:p w:rsidR="00427CF1" w:rsidRDefault="00427CF1" w:rsidP="00427CF1">
      <w:pPr>
        <w:pStyle w:val="SangriaFrancesaArticulo"/>
      </w:pPr>
    </w:p>
    <w:p w:rsidR="00427CF1" w:rsidRDefault="00427CF1" w:rsidP="00427CF1">
      <w:pPr>
        <w:pStyle w:val="TextoNormalNegritaCursivandice"/>
      </w:pPr>
      <w:r>
        <w:t>Real Decreto Legislativo 5/2000, de 4 de agosto. Texto refundido de la Ley sobre infracciones y sanciones en el orden social</w:t>
      </w:r>
    </w:p>
    <w:p w:rsidR="00427CF1" w:rsidRDefault="00427CF1" w:rsidP="00427CF1">
      <w:pPr>
        <w:pStyle w:val="SangriaFrancesaArticulo"/>
      </w:pPr>
      <w:r w:rsidRPr="00427CF1">
        <w:rPr>
          <w:rStyle w:val="TextoNormalNegritaCaracter"/>
        </w:rPr>
        <w:t>Artículo 47.1 b).</w:t>
      </w:r>
      <w:r w:rsidRPr="00427CF1">
        <w:rPr>
          <w:rStyle w:val="TextoNormalCaracter"/>
        </w:rPr>
        <w:t>-</w:t>
      </w:r>
      <w:r>
        <w:t xml:space="preserve"> Autos </w:t>
      </w:r>
      <w:hyperlink w:anchor="AUTO_2016_186" w:history="1">
        <w:r w:rsidRPr="00427CF1">
          <w:rPr>
            <w:rStyle w:val="TextoNormalCaracter"/>
          </w:rPr>
          <w:t>186/2016</w:t>
        </w:r>
      </w:hyperlink>
      <w:r>
        <w:t xml:space="preserve">; </w:t>
      </w:r>
      <w:hyperlink w:anchor="AUTO_2016_187" w:history="1">
        <w:r w:rsidRPr="00427CF1">
          <w:rPr>
            <w:rStyle w:val="TextoNormalCaracter"/>
          </w:rPr>
          <w:t>187/2016</w:t>
        </w:r>
      </w:hyperlink>
      <w:r>
        <w:t>.</w:t>
      </w:r>
    </w:p>
    <w:p w:rsidR="00427CF1" w:rsidRDefault="00427CF1" w:rsidP="00427CF1">
      <w:pPr>
        <w:pStyle w:val="SangriaFrancesaArticulo"/>
      </w:pPr>
    </w:p>
    <w:p w:rsidR="00427CF1" w:rsidRDefault="00427CF1" w:rsidP="00427CF1">
      <w:pPr>
        <w:pStyle w:val="TextoNormalNegritaCursivandice"/>
      </w:pPr>
      <w:r>
        <w:t>Ley 16/2003, de 28 de mayo. Cohesión y calidad del sistema nacional de salud</w:t>
      </w:r>
    </w:p>
    <w:p w:rsidR="00427CF1" w:rsidRDefault="00427CF1" w:rsidP="00427CF1">
      <w:pPr>
        <w:pStyle w:val="SangriaFrancesaArticulo"/>
      </w:pPr>
      <w:r w:rsidRPr="00427CF1">
        <w:rPr>
          <w:rStyle w:val="TextoNormalNegritaCaracter"/>
        </w:rPr>
        <w:t xml:space="preserve">Artículo 3.3 inciso </w:t>
      </w:r>
      <w:r w:rsidRPr="00427CF1">
        <w:rPr>
          <w:rStyle w:val="TextoNormalNegritaCursivaCaracter"/>
        </w:rPr>
        <w:t>in fine</w:t>
      </w:r>
      <w:r>
        <w:t xml:space="preserve"> </w:t>
      </w:r>
      <w:r w:rsidRPr="00427CF1">
        <w:rPr>
          <w:rStyle w:val="TextoNormalCaracter"/>
        </w:rPr>
        <w:t>(redactado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xml:space="preserve"> (anula).</w:t>
      </w:r>
    </w:p>
    <w:p w:rsidR="00427CF1" w:rsidRDefault="00427CF1" w:rsidP="00427CF1">
      <w:pPr>
        <w:pStyle w:val="SangriaFrancesaArticulo"/>
      </w:pPr>
    </w:p>
    <w:p w:rsidR="00427CF1" w:rsidRDefault="00427CF1" w:rsidP="00427CF1">
      <w:pPr>
        <w:pStyle w:val="TextoNormalNegritaCursivandice"/>
      </w:pPr>
      <w:r>
        <w:t>Ley 55/2003, de 16 de diciembre. Estatuto marco del personal estatutario de los servicios de salud</w:t>
      </w:r>
    </w:p>
    <w:p w:rsidR="00427CF1" w:rsidRDefault="00427CF1" w:rsidP="00427CF1">
      <w:pPr>
        <w:pStyle w:val="SangriaFrancesaArticulo"/>
      </w:pPr>
      <w:r w:rsidRPr="00427CF1">
        <w:rPr>
          <w:rStyle w:val="TextoNormalNegritaCaracter"/>
        </w:rPr>
        <w:t>Disposición adicional decimosexta, apartado 2</w:t>
      </w:r>
      <w:r>
        <w:t xml:space="preserve"> (redactada por el Real Decreto-ley 16/2012, de 20 de abril)</w:t>
      </w:r>
      <w:r w:rsidRPr="00427CF1">
        <w:rPr>
          <w:rStyle w:val="TextoNormalNegritaCaracter"/>
        </w:rPr>
        <w:t>.</w:t>
      </w:r>
      <w:r w:rsidRPr="00427CF1">
        <w:rPr>
          <w:rStyle w:val="TextoNormalCaracter"/>
        </w:rPr>
        <w:t>-</w:t>
      </w:r>
      <w:r>
        <w:t xml:space="preserve"> Sentencia </w:t>
      </w:r>
      <w:hyperlink w:anchor="SENTENCIA_2016_183" w:history="1">
        <w:r w:rsidRPr="00427CF1">
          <w:rPr>
            <w:rStyle w:val="TextoNormalCaracter"/>
          </w:rPr>
          <w:t>183/2016</w:t>
        </w:r>
      </w:hyperlink>
      <w:r>
        <w:t xml:space="preserve"> (anula).</w:t>
      </w:r>
    </w:p>
    <w:p w:rsidR="00427CF1" w:rsidRDefault="00427CF1" w:rsidP="00427CF1">
      <w:pPr>
        <w:pStyle w:val="SangriaFrancesaArticulo"/>
      </w:pPr>
    </w:p>
    <w:p w:rsidR="00427CF1" w:rsidRDefault="00427CF1" w:rsidP="00427CF1">
      <w:pPr>
        <w:pStyle w:val="TextoNormalNegritaCursivandice"/>
      </w:pPr>
      <w:r>
        <w:t>Real Decreto-ley 13/2005, de 28 de octubre. Modificación de la Ley 4/1986, de 8 de enero, de cesión de bienes del patrimonio sindical acumulado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5" w:history="1">
        <w:r w:rsidRPr="00427CF1">
          <w:rPr>
            <w:rStyle w:val="TextoNormalCaracter"/>
          </w:rPr>
          <w:t>125/2016</w:t>
        </w:r>
      </w:hyperlink>
      <w:r>
        <w:t xml:space="preserve"> (anula).</w:t>
      </w:r>
    </w:p>
    <w:p w:rsidR="00427CF1" w:rsidRDefault="00427CF1" w:rsidP="00427CF1">
      <w:pPr>
        <w:pStyle w:val="SangriaFrancesaArticulo"/>
      </w:pPr>
    </w:p>
    <w:p w:rsidR="00427CF1" w:rsidRDefault="00427CF1" w:rsidP="00427CF1">
      <w:pPr>
        <w:pStyle w:val="TextoNormalNegritaCursivandice"/>
      </w:pPr>
      <w:r>
        <w:t>Real Decreto-ley 14/2010, de 23 de diciembre. Medidas urgentes para la corrección del déficit tarifario del sector eléctrico</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Sentencias </w:t>
      </w:r>
      <w:hyperlink w:anchor="SENTENCIA_2016_167" w:history="1">
        <w:r w:rsidRPr="00427CF1">
          <w:rPr>
            <w:rStyle w:val="TextoNormalCaracter"/>
          </w:rPr>
          <w:t>167/2016</w:t>
        </w:r>
      </w:hyperlink>
      <w:r>
        <w:t xml:space="preserve">; </w:t>
      </w:r>
      <w:hyperlink w:anchor="SENTENCIA_2016_174" w:history="1">
        <w:r w:rsidRPr="00427CF1">
          <w:rPr>
            <w:rStyle w:val="TextoNormalCaracter"/>
          </w:rPr>
          <w:t>174/2016</w:t>
        </w:r>
      </w:hyperlink>
      <w:r>
        <w:t xml:space="preserve">; </w:t>
      </w:r>
      <w:hyperlink w:anchor="SENTENCIA_2016_187" w:history="1">
        <w:r w:rsidRPr="00427CF1">
          <w:rPr>
            <w:rStyle w:val="TextoNormalCaracter"/>
          </w:rPr>
          <w:t>187/2016</w:t>
        </w:r>
      </w:hyperlink>
      <w:r>
        <w:t xml:space="preserve">; </w:t>
      </w:r>
      <w:hyperlink w:anchor="SENTENCIA_2016_188" w:history="1">
        <w:r w:rsidRPr="00427CF1">
          <w:rPr>
            <w:rStyle w:val="TextoNormalCaracter"/>
          </w:rPr>
          <w:t>188/2016</w:t>
        </w:r>
      </w:hyperlink>
      <w:r>
        <w:t xml:space="preserve">; </w:t>
      </w:r>
      <w:hyperlink w:anchor="SENTENCIA_2016_197" w:history="1">
        <w:r w:rsidRPr="00427CF1">
          <w:rPr>
            <w:rStyle w:val="TextoNormalCaracter"/>
          </w:rPr>
          <w:t>197/2016</w:t>
        </w:r>
      </w:hyperlink>
      <w:r>
        <w:t>.</w:t>
      </w:r>
    </w:p>
    <w:p w:rsidR="00427CF1" w:rsidRDefault="00427CF1" w:rsidP="00427CF1">
      <w:pPr>
        <w:pStyle w:val="SangriaFrancesaArticulo"/>
      </w:pPr>
    </w:p>
    <w:p w:rsidR="00427CF1" w:rsidRDefault="00427CF1" w:rsidP="00427CF1">
      <w:pPr>
        <w:pStyle w:val="TextoNormalNegritaCursivandice"/>
      </w:pPr>
      <w:r>
        <w:t>Ley 40/2010, de 29 de diciembre. Almacenamiento geológico de dióxido de carbono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5.4.</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6.3.</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8.6 párrafo 2.</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9.6.</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9.7.</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10.4.</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10.6.</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10.7.</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11.6.</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15.1.</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15.2.</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15.3.</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15.4.</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15.5.</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15.7.</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19.2.</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19.3.</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24.1.</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24.2.</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24.3.</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24.4.</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26.1.</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26.3.</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26.4.</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26.5.</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27.</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27.1.</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Artículo 28.4.</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38.</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Artículo 38.1.</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r w:rsidRPr="00427CF1">
        <w:rPr>
          <w:rStyle w:val="TextoNormalNegritaCaracter"/>
        </w:rPr>
        <w:t>Disposición adicional tercera, apartado 5.</w:t>
      </w:r>
      <w:r w:rsidRPr="00427CF1">
        <w:rPr>
          <w:rStyle w:val="TextoNormalCaracter"/>
        </w:rPr>
        <w:t>-</w:t>
      </w:r>
      <w:r>
        <w:t xml:space="preserve"> Sentencia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Disposición final undécima.</w:t>
      </w:r>
      <w:r w:rsidRPr="00427CF1">
        <w:rPr>
          <w:rStyle w:val="TextoNormalCaracter"/>
        </w:rPr>
        <w:t>-</w:t>
      </w:r>
      <w:r>
        <w:t xml:space="preserve"> Sentencias </w:t>
      </w:r>
      <w:hyperlink w:anchor="SENTENCIA_2016_182" w:history="1">
        <w:r w:rsidRPr="00427CF1">
          <w:rPr>
            <w:rStyle w:val="TextoNormalCaracter"/>
          </w:rPr>
          <w:t>182/2016</w:t>
        </w:r>
      </w:hyperlink>
      <w:r>
        <w:t xml:space="preserve">; </w:t>
      </w:r>
      <w:hyperlink w:anchor="SENTENCIA_2016_190" w:history="1">
        <w:r w:rsidRPr="00427CF1">
          <w:rPr>
            <w:rStyle w:val="TextoNormalCaracter"/>
          </w:rPr>
          <w:t>190/2016</w:t>
        </w:r>
      </w:hyperlink>
      <w:r>
        <w:t>.</w:t>
      </w:r>
    </w:p>
    <w:p w:rsidR="00427CF1" w:rsidRDefault="00427CF1" w:rsidP="00427CF1">
      <w:pPr>
        <w:pStyle w:val="SangriaFrancesaArticulo"/>
      </w:pPr>
      <w:r w:rsidRPr="00427CF1">
        <w:rPr>
          <w:rStyle w:val="TextoNormalNegritaCaracter"/>
        </w:rPr>
        <w:t>Disposición final decimocuarta.</w:t>
      </w:r>
      <w:r w:rsidRPr="00427CF1">
        <w:rPr>
          <w:rStyle w:val="TextoNormalCaracter"/>
        </w:rPr>
        <w:t>-</w:t>
      </w:r>
      <w:r>
        <w:t xml:space="preserve"> Sentencia </w:t>
      </w:r>
      <w:hyperlink w:anchor="SENTENCIA_2016_182" w:history="1">
        <w:r w:rsidRPr="00427CF1">
          <w:rPr>
            <w:rStyle w:val="TextoNormalCaracter"/>
          </w:rPr>
          <w:t>182/2016</w:t>
        </w:r>
      </w:hyperlink>
      <w:r>
        <w:t>.</w:t>
      </w:r>
    </w:p>
    <w:p w:rsidR="00427CF1" w:rsidRDefault="00427CF1" w:rsidP="00427CF1">
      <w:pPr>
        <w:pStyle w:val="SangriaFrancesaArticulo"/>
      </w:pPr>
    </w:p>
    <w:p w:rsidR="00427CF1" w:rsidRDefault="00427CF1" w:rsidP="00427CF1">
      <w:pPr>
        <w:pStyle w:val="TextoNormalNegritaCursivandice"/>
      </w:pPr>
      <w:r>
        <w:t>Ley 27/2011, de 1 de agosto. Actualización, adecuación y modernización del sistema de Seguridad Social</w:t>
      </w:r>
    </w:p>
    <w:p w:rsidR="00427CF1" w:rsidRDefault="00427CF1" w:rsidP="00427CF1">
      <w:pPr>
        <w:pStyle w:val="SangriaFrancesaArticulo"/>
      </w:pPr>
      <w:r w:rsidRPr="00427CF1">
        <w:rPr>
          <w:rStyle w:val="TextoNormalNegritaCaracter"/>
        </w:rPr>
        <w:t>Disposición adicional decimosexta, apartado 4.</w:t>
      </w:r>
      <w:r w:rsidRPr="00427CF1">
        <w:rPr>
          <w:rStyle w:val="TextoNormalCaracter"/>
        </w:rPr>
        <w:t>-</w:t>
      </w:r>
      <w:r>
        <w:t xml:space="preserve"> Auto </w:t>
      </w:r>
      <w:hyperlink w:anchor="AUTO_2016_184" w:history="1">
        <w:r w:rsidRPr="00427CF1">
          <w:rPr>
            <w:rStyle w:val="TextoNormalCaracter"/>
          </w:rPr>
          <w:t>184/2016</w:t>
        </w:r>
      </w:hyperlink>
      <w:r>
        <w:t>.</w:t>
      </w:r>
    </w:p>
    <w:p w:rsidR="00427CF1" w:rsidRDefault="00427CF1" w:rsidP="00427CF1">
      <w:pPr>
        <w:pStyle w:val="SangriaFrancesaArticulo"/>
      </w:pPr>
    </w:p>
    <w:p w:rsidR="00427CF1" w:rsidRDefault="00427CF1" w:rsidP="00427CF1">
      <w:pPr>
        <w:pStyle w:val="TextoNormalNegritaCursivandice"/>
      </w:pPr>
      <w:r>
        <w:t>Real Decreto-ley 16/2012, de 20 de abril. Medidas urgentes para garantizar la sostenibilidad del sistema nacional de salud y mejorar la calidad y seguridad de sus prestaciones</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39" w:history="1">
        <w:r w:rsidRPr="00427CF1">
          <w:rPr>
            <w:rStyle w:val="TextoNormalCaracter"/>
          </w:rPr>
          <w:t>139/2016</w:t>
        </w:r>
      </w:hyperlink>
      <w:r>
        <w:t xml:space="preserve"> (anula).</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4.12.</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4.13.</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4.14.</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10.4.</w:t>
      </w:r>
      <w:r w:rsidRPr="00427CF1">
        <w:rPr>
          <w:rStyle w:val="TextoNormalCaracter"/>
        </w:rPr>
        <w:t>-</w:t>
      </w:r>
      <w:r>
        <w:t xml:space="preserve"> Sentencia </w:t>
      </w:r>
      <w:hyperlink w:anchor="SENTENCIA_2016_183" w:history="1">
        <w:r w:rsidRPr="00427CF1">
          <w:rPr>
            <w:rStyle w:val="TextoNormalCaracter"/>
          </w:rPr>
          <w:t>183/2016</w:t>
        </w:r>
      </w:hyperlink>
      <w:r>
        <w:t xml:space="preserve"> (anula).</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p>
    <w:p w:rsidR="00427CF1" w:rsidRDefault="00427CF1" w:rsidP="00427CF1">
      <w:pPr>
        <w:pStyle w:val="TextoNormalNegritaCursivandice"/>
      </w:pPr>
      <w:r>
        <w:t>Real Decreto-ley 20/2012, de 13 de julio. Medidas para garantizar la estabilidad presupuestaria y de fomento de la competitividad</w:t>
      </w:r>
    </w:p>
    <w:p w:rsidR="00427CF1" w:rsidRDefault="00427CF1" w:rsidP="00427CF1">
      <w:pPr>
        <w:pStyle w:val="SangriaFrancesaArticulo"/>
      </w:pPr>
      <w:r w:rsidRPr="00427CF1">
        <w:rPr>
          <w:rStyle w:val="TextoNormalNegritaCaracter"/>
        </w:rPr>
        <w:t>Título I.</w:t>
      </w:r>
      <w:r w:rsidRPr="00427CF1">
        <w:rPr>
          <w:rStyle w:val="TextoNormalCaracter"/>
        </w:rPr>
        <w:t>-</w:t>
      </w:r>
      <w:r>
        <w:t xml:space="preserve"> Autos </w:t>
      </w:r>
      <w:hyperlink w:anchor="AUTO_2016_138" w:history="1">
        <w:r w:rsidRPr="00427CF1">
          <w:rPr>
            <w:rStyle w:val="TextoNormalCaracter"/>
          </w:rPr>
          <w:t>138/2016</w:t>
        </w:r>
      </w:hyperlink>
      <w:r>
        <w:t xml:space="preserve">; </w:t>
      </w:r>
      <w:hyperlink w:anchor="AUTO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Sentencias </w:t>
      </w:r>
      <w:hyperlink w:anchor="SENTENCIA_2016_134" w:history="1">
        <w:r w:rsidRPr="00427CF1">
          <w:rPr>
            <w:rStyle w:val="TextoNormalCaracter"/>
          </w:rPr>
          <w:t>134/2016</w:t>
        </w:r>
      </w:hyperlink>
      <w:r>
        <w:t xml:space="preserve">; </w:t>
      </w:r>
      <w:hyperlink w:anchor="SENTENCIA_2016_145" w:history="1">
        <w:r w:rsidRPr="00427CF1">
          <w:rPr>
            <w:rStyle w:val="TextoNormalCaracter"/>
          </w:rPr>
          <w:t>145/2016</w:t>
        </w:r>
      </w:hyperlink>
      <w:r>
        <w:t>.</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w:t>
      </w:r>
      <w:hyperlink w:anchor="AUTO_2016_139" w:history="1">
        <w:r w:rsidRPr="00427CF1">
          <w:rPr>
            <w:rStyle w:val="TextoNormalCaracter"/>
          </w:rPr>
          <w:t>139/2016</w:t>
        </w:r>
      </w:hyperlink>
      <w:r>
        <w:t xml:space="preserve">; </w:t>
      </w:r>
      <w:hyperlink w:anchor="AUTO_2016_143" w:history="1">
        <w:r w:rsidRPr="00427CF1">
          <w:rPr>
            <w:rStyle w:val="TextoNormalCaracter"/>
          </w:rPr>
          <w:t>143/2016</w:t>
        </w:r>
      </w:hyperlink>
      <w:r>
        <w:t>.</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Auto </w:t>
      </w:r>
      <w:hyperlink w:anchor="AUTO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60" w:history="1">
        <w:r w:rsidRPr="00427CF1">
          <w:rPr>
            <w:rStyle w:val="TextoNormalCaracter"/>
          </w:rPr>
          <w:t>160/2016</w:t>
        </w:r>
      </w:hyperlink>
      <w:r>
        <w:t>.</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Auto </w:t>
      </w:r>
      <w:hyperlink w:anchor="AUTO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3.3 bis</w:t>
      </w:r>
      <w:r>
        <w:t xml:space="preserve"> (redactado por la Ley 10/2012, de 20 de noviembre)</w:t>
      </w:r>
      <w:r w:rsidRPr="00427CF1">
        <w:rPr>
          <w:rStyle w:val="TextoNormalNegritaCaracter"/>
        </w:rPr>
        <w:t>.</w:t>
      </w:r>
      <w:r w:rsidRPr="00427CF1">
        <w:rPr>
          <w:rStyle w:val="TextoNormalCaracter"/>
        </w:rPr>
        <w:t>-</w:t>
      </w:r>
      <w:r>
        <w:t xml:space="preserve"> Auto </w:t>
      </w:r>
      <w:hyperlink w:anchor="AUTO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60" w:history="1">
        <w:r w:rsidRPr="00427CF1">
          <w:rPr>
            <w:rStyle w:val="TextoNormalCaracter"/>
          </w:rPr>
          <w:t>160/2016</w:t>
        </w:r>
      </w:hyperlink>
      <w:r>
        <w:t>.</w:t>
      </w:r>
    </w:p>
    <w:p w:rsidR="00427CF1" w:rsidRDefault="00427CF1" w:rsidP="00427CF1">
      <w:pPr>
        <w:pStyle w:val="SangriaFrancesaArticulo"/>
      </w:pPr>
    </w:p>
    <w:p w:rsidR="00427CF1" w:rsidRDefault="00427CF1" w:rsidP="00427CF1">
      <w:pPr>
        <w:pStyle w:val="TextoNormalNegritaCursivandice"/>
      </w:pPr>
      <w:r>
        <w:t>Ley 10/2012, de 20 de noviembre. Se regulan determinadas tasas en el ámbito de la Administración de justicia y del Instituto Nacional de Toxicología y Ciencias Forenses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Sentencias </w:t>
      </w:r>
      <w:hyperlink w:anchor="SENTENCIA_2016_140" w:history="1">
        <w:r w:rsidRPr="00427CF1">
          <w:rPr>
            <w:rStyle w:val="TextoNormalCaracter"/>
          </w:rPr>
          <w:t>140/2016</w:t>
        </w:r>
      </w:hyperlink>
      <w:r>
        <w:t xml:space="preserve">; </w:t>
      </w:r>
      <w:hyperlink w:anchor="SENTENCIA_2016_202" w:history="1">
        <w:r w:rsidRPr="00427CF1">
          <w:rPr>
            <w:rStyle w:val="TextoNormalCaracter"/>
          </w:rPr>
          <w:t>202/2016</w:t>
        </w:r>
      </w:hyperlink>
      <w:r>
        <w:t>.</w:t>
      </w:r>
    </w:p>
    <w:p w:rsidR="00427CF1" w:rsidRDefault="00427CF1" w:rsidP="00427CF1">
      <w:pPr>
        <w:pStyle w:val="SangriaFrancesaArticulo"/>
      </w:pPr>
      <w:r w:rsidRPr="00427CF1">
        <w:rPr>
          <w:rStyle w:val="TextoNormalNegritaCaracter"/>
        </w:rPr>
        <w:t>Artículos 1 a 11.</w:t>
      </w:r>
      <w:r w:rsidRPr="00427CF1">
        <w:rPr>
          <w:rStyle w:val="TextoNormalCaracter"/>
        </w:rPr>
        <w:t>-</w:t>
      </w:r>
      <w:r>
        <w:t xml:space="preserve"> Auto </w:t>
      </w:r>
      <w:hyperlink w:anchor="AUTO_2016_179" w:history="1">
        <w:r w:rsidRPr="00427CF1">
          <w:rPr>
            <w:rStyle w:val="TextoNormalCaracter"/>
          </w:rPr>
          <w:t>179/2016</w:t>
        </w:r>
      </w:hyperlink>
      <w:r>
        <w:t>.</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40" w:history="1">
        <w:r w:rsidRPr="00427CF1">
          <w:rPr>
            <w:rStyle w:val="TextoNormalCaracter"/>
          </w:rPr>
          <w:t>140/2016</w:t>
        </w:r>
      </w:hyperlink>
      <w:r>
        <w:t>.</w:t>
      </w:r>
    </w:p>
    <w:p w:rsidR="00427CF1" w:rsidRDefault="00427CF1" w:rsidP="00427CF1">
      <w:pPr>
        <w:pStyle w:val="SangriaFrancesaArticulo"/>
      </w:pPr>
      <w:r w:rsidRPr="00427CF1">
        <w:rPr>
          <w:rStyle w:val="TextoNormalNegritaCaracter"/>
        </w:rPr>
        <w:t>Artículo 2 c).</w:t>
      </w:r>
      <w:r w:rsidRPr="00427CF1">
        <w:rPr>
          <w:rStyle w:val="TextoNormalCaracter"/>
        </w:rPr>
        <w:t>-</w:t>
      </w:r>
      <w:r>
        <w:t xml:space="preserve"> Sentencia </w:t>
      </w:r>
      <w:hyperlink w:anchor="SENTENCIA_2016_202" w:history="1">
        <w:r w:rsidRPr="00427CF1">
          <w:rPr>
            <w:rStyle w:val="TextoNormalCaracter"/>
          </w:rPr>
          <w:t>202/2016</w:t>
        </w:r>
      </w:hyperlink>
      <w:r>
        <w:t>.</w:t>
      </w:r>
    </w:p>
    <w:p w:rsidR="00427CF1" w:rsidRDefault="00427CF1" w:rsidP="00427CF1">
      <w:pPr>
        <w:pStyle w:val="SangriaFrancesaArticulo"/>
      </w:pPr>
      <w:r w:rsidRPr="00427CF1">
        <w:rPr>
          <w:rStyle w:val="TextoNormalNegritaCaracter"/>
        </w:rPr>
        <w:t>Artículo 2 e)</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02" w:history="1">
        <w:r w:rsidRPr="00427CF1">
          <w:rPr>
            <w:rStyle w:val="TextoNormalCaracter"/>
          </w:rPr>
          <w:t>202/2016</w:t>
        </w:r>
      </w:hyperlink>
      <w:r>
        <w:t>.</w:t>
      </w:r>
    </w:p>
    <w:p w:rsidR="00427CF1" w:rsidRDefault="00427CF1" w:rsidP="00427CF1">
      <w:pPr>
        <w:pStyle w:val="SangriaIzquierdaArticulo"/>
      </w:pPr>
      <w:r>
        <w:t xml:space="preserve">Autos </w:t>
      </w:r>
      <w:hyperlink w:anchor="AUTO_2016_175" w:history="1">
        <w:r w:rsidRPr="00427CF1">
          <w:rPr>
            <w:rStyle w:val="TextoNormalCaracter"/>
          </w:rPr>
          <w:t>175/2016</w:t>
        </w:r>
      </w:hyperlink>
      <w:r>
        <w:t xml:space="preserve">; </w:t>
      </w:r>
      <w:hyperlink w:anchor="AUTO_2016_193" w:history="1">
        <w:r w:rsidRPr="00427CF1">
          <w:rPr>
            <w:rStyle w:val="TextoNormalCaracter"/>
          </w:rPr>
          <w:t>193/2016</w:t>
        </w:r>
      </w:hyperlink>
      <w:r>
        <w:t>.</w:t>
      </w:r>
    </w:p>
    <w:p w:rsidR="00427CF1" w:rsidRDefault="00427CF1" w:rsidP="00427CF1">
      <w:pPr>
        <w:pStyle w:val="SangriaFrancesaArticulo"/>
      </w:pPr>
      <w:r w:rsidRPr="00427CF1">
        <w:rPr>
          <w:rStyle w:val="TextoNormalNegritaCaracter"/>
        </w:rPr>
        <w:t>Artículo 2 f).</w:t>
      </w:r>
      <w:r w:rsidRPr="00427CF1">
        <w:rPr>
          <w:rStyle w:val="TextoNormalCaracter"/>
        </w:rPr>
        <w:t>-</w:t>
      </w:r>
      <w:r>
        <w:t xml:space="preserve"> Sentencia </w:t>
      </w:r>
      <w:hyperlink w:anchor="SENTENCIA_2016_202" w:history="1">
        <w:r w:rsidRPr="00427CF1">
          <w:rPr>
            <w:rStyle w:val="TextoNormalCaracter"/>
          </w:rPr>
          <w:t>202/2016</w:t>
        </w:r>
      </w:hyperlink>
      <w:r>
        <w:t>.</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40" w:history="1">
        <w:r w:rsidRPr="00427CF1">
          <w:rPr>
            <w:rStyle w:val="TextoNormalCaracter"/>
          </w:rPr>
          <w:t>140/2016</w:t>
        </w:r>
      </w:hyperlink>
      <w:r>
        <w:t>.</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40" w:history="1">
        <w:r w:rsidRPr="00427CF1">
          <w:rPr>
            <w:rStyle w:val="TextoNormalCaracter"/>
          </w:rPr>
          <w:t>140/2016</w:t>
        </w:r>
      </w:hyperlink>
      <w:r>
        <w:t>.</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202" w:history="1">
        <w:r w:rsidRPr="00427CF1">
          <w:rPr>
            <w:rStyle w:val="TextoNormalCaracter"/>
          </w:rPr>
          <w:t>202/2016</w:t>
        </w:r>
      </w:hyperlink>
      <w:r>
        <w:t>.</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40" w:history="1">
        <w:r w:rsidRPr="00427CF1">
          <w:rPr>
            <w:rStyle w:val="TextoNormalCaracter"/>
          </w:rPr>
          <w:t>140/2016</w:t>
        </w:r>
      </w:hyperlink>
      <w:r>
        <w:t>.</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202" w:history="1">
        <w:r w:rsidRPr="00427CF1">
          <w:rPr>
            <w:rStyle w:val="TextoNormalCaracter"/>
          </w:rPr>
          <w:t>202/2016</w:t>
        </w:r>
      </w:hyperlink>
      <w:r>
        <w:t>.</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202" w:history="1">
        <w:r w:rsidRPr="00427CF1">
          <w:rPr>
            <w:rStyle w:val="TextoNormalCaracter"/>
          </w:rPr>
          <w:t>202/2016</w:t>
        </w:r>
      </w:hyperlink>
      <w:r>
        <w:t>.</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Sentencias </w:t>
      </w:r>
      <w:hyperlink w:anchor="SENTENCIA_2016_140" w:history="1">
        <w:r w:rsidRPr="00427CF1">
          <w:rPr>
            <w:rStyle w:val="TextoNormalCaracter"/>
          </w:rPr>
          <w:t>140/2016</w:t>
        </w:r>
      </w:hyperlink>
      <w:r>
        <w:t xml:space="preserve">; </w:t>
      </w:r>
      <w:hyperlink w:anchor="SENTENCIA_2016_202" w:history="1">
        <w:r w:rsidRPr="00427CF1">
          <w:rPr>
            <w:rStyle w:val="TextoNormalCaracter"/>
          </w:rPr>
          <w:t>202/2016</w:t>
        </w:r>
      </w:hyperlink>
      <w:r>
        <w:t>.</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Sentencias </w:t>
      </w:r>
      <w:hyperlink w:anchor="SENTENCIA_2016_140" w:history="1">
        <w:r w:rsidRPr="00427CF1">
          <w:rPr>
            <w:rStyle w:val="TextoNormalCaracter"/>
          </w:rPr>
          <w:t>140/2016</w:t>
        </w:r>
      </w:hyperlink>
      <w:r>
        <w:t xml:space="preserve">; </w:t>
      </w:r>
      <w:hyperlink w:anchor="SENTENCIA_2016_202" w:history="1">
        <w:r w:rsidRPr="00427CF1">
          <w:rPr>
            <w:rStyle w:val="TextoNormalCaracter"/>
          </w:rPr>
          <w:t>202/2016</w:t>
        </w:r>
      </w:hyperlink>
      <w:r>
        <w:t xml:space="preserve">; </w:t>
      </w:r>
      <w:hyperlink w:anchor="SENTENCIA_2016_227" w:history="1">
        <w:r w:rsidRPr="00427CF1">
          <w:rPr>
            <w:rStyle w:val="TextoNormalCaracter"/>
          </w:rPr>
          <w:t>227/2016</w:t>
        </w:r>
      </w:hyperlink>
      <w:r>
        <w:t>.</w:t>
      </w:r>
    </w:p>
    <w:p w:rsidR="00427CF1" w:rsidRDefault="00427CF1" w:rsidP="00427CF1">
      <w:pPr>
        <w:pStyle w:val="SangriaIzquierdaArticulo"/>
      </w:pPr>
      <w:r>
        <w:t xml:space="preserve">Auto </w:t>
      </w:r>
      <w:hyperlink w:anchor="AUTO_2016_175" w:history="1">
        <w:r w:rsidRPr="00427CF1">
          <w:rPr>
            <w:rStyle w:val="TextoNormalCaracter"/>
          </w:rPr>
          <w:t>175/2016</w:t>
        </w:r>
      </w:hyperlink>
      <w:r>
        <w:t>.</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Auto </w:t>
      </w:r>
      <w:hyperlink w:anchor="AUTO_2016_193" w:history="1">
        <w:r w:rsidRPr="00427CF1">
          <w:rPr>
            <w:rStyle w:val="TextoNormalCaracter"/>
          </w:rPr>
          <w:t>193/2016</w:t>
        </w:r>
      </w:hyperlink>
      <w:r>
        <w:t>.</w:t>
      </w:r>
    </w:p>
    <w:p w:rsidR="00427CF1" w:rsidRDefault="00427CF1" w:rsidP="00427CF1">
      <w:pPr>
        <w:pStyle w:val="SangriaFrancesaArticulo"/>
      </w:pPr>
      <w:r w:rsidRPr="00427CF1">
        <w:rPr>
          <w:rStyle w:val="TextoNormalNegritaCaracter"/>
        </w:rPr>
        <w:t>Artículo 7.1 expresión "en el orden jurisdiccional civil ... apelación 800€"</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27" w:history="1">
        <w:r w:rsidRPr="00427CF1">
          <w:rPr>
            <w:rStyle w:val="TextoNormalCaracter"/>
          </w:rPr>
          <w:t>227/2016</w:t>
        </w:r>
      </w:hyperlink>
      <w:r>
        <w:t xml:space="preserve"> (anula).</w:t>
      </w:r>
    </w:p>
    <w:p w:rsidR="00427CF1" w:rsidRDefault="00427CF1" w:rsidP="00427CF1">
      <w:pPr>
        <w:pStyle w:val="SangriaFrancesaArticulo"/>
      </w:pPr>
      <w:r w:rsidRPr="00427CF1">
        <w:rPr>
          <w:rStyle w:val="TextoNormalNegritaCaracter"/>
        </w:rPr>
        <w:t>Artículo 7.1 expresión "en el orden jurisdiccional civil: apelación: 800 €; casación y extraordinario por infracción procesal:1.200 €".</w:t>
      </w:r>
      <w:r w:rsidRPr="00427CF1">
        <w:rPr>
          <w:rStyle w:val="TextoNormalCaracter"/>
        </w:rPr>
        <w:t>-</w:t>
      </w:r>
      <w:r>
        <w:t xml:space="preserve"> Sentencia </w:t>
      </w:r>
      <w:hyperlink w:anchor="SENTENCIA_2016_140" w:history="1">
        <w:r w:rsidRPr="00427CF1">
          <w:rPr>
            <w:rStyle w:val="TextoNormalCaracter"/>
          </w:rPr>
          <w:t>140/2016</w:t>
        </w:r>
      </w:hyperlink>
      <w:r>
        <w:t xml:space="preserve"> (anula).</w:t>
      </w:r>
    </w:p>
    <w:p w:rsidR="00427CF1" w:rsidRDefault="00427CF1" w:rsidP="00427CF1">
      <w:pPr>
        <w:pStyle w:val="SangriaFrancesaArticulo"/>
      </w:pPr>
      <w:r w:rsidRPr="00427CF1">
        <w:rPr>
          <w:rStyle w:val="TextoNormalNegritaCaracter"/>
        </w:rPr>
        <w:t>Artículo 7.1 expresión "en el orden jurisdiccional contencioso-administrativo: abreviado: 200 €; ordinario: 350 €; apelación: 800 €; casación: 1.200€".</w:t>
      </w:r>
      <w:r w:rsidRPr="00427CF1">
        <w:rPr>
          <w:rStyle w:val="TextoNormalCaracter"/>
        </w:rPr>
        <w:t>-</w:t>
      </w:r>
      <w:r>
        <w:t xml:space="preserve"> Sentencia </w:t>
      </w:r>
      <w:hyperlink w:anchor="SENTENCIA_2016_140" w:history="1">
        <w:r w:rsidRPr="00427CF1">
          <w:rPr>
            <w:rStyle w:val="TextoNormalCaracter"/>
          </w:rPr>
          <w:t>140/2016</w:t>
        </w:r>
      </w:hyperlink>
      <w:r>
        <w:t xml:space="preserve"> (anula).</w:t>
      </w:r>
    </w:p>
    <w:p w:rsidR="00427CF1" w:rsidRDefault="00427CF1" w:rsidP="00427CF1">
      <w:pPr>
        <w:pStyle w:val="SangriaFrancesaArticulo"/>
      </w:pPr>
      <w:r w:rsidRPr="00427CF1">
        <w:rPr>
          <w:rStyle w:val="TextoNormalNegritaCaracter"/>
        </w:rPr>
        <w:t>Artículo 7.1 expresión "en el orden social: suplicación: 500 €; casación: 750 €".</w:t>
      </w:r>
      <w:r w:rsidRPr="00427CF1">
        <w:rPr>
          <w:rStyle w:val="TextoNormalCaracter"/>
        </w:rPr>
        <w:t>-</w:t>
      </w:r>
      <w:r>
        <w:t xml:space="preserve"> Sentencia </w:t>
      </w:r>
      <w:hyperlink w:anchor="SENTENCIA_2016_140" w:history="1">
        <w:r w:rsidRPr="00427CF1">
          <w:rPr>
            <w:rStyle w:val="TextoNormalCaracter"/>
          </w:rPr>
          <w:t>140/2016</w:t>
        </w:r>
      </w:hyperlink>
      <w:r>
        <w:t xml:space="preserve"> (anula).</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Auto </w:t>
      </w:r>
      <w:hyperlink w:anchor="AUTO_2016_193" w:history="1">
        <w:r w:rsidRPr="00427CF1">
          <w:rPr>
            <w:rStyle w:val="TextoNormalCaracter"/>
          </w:rPr>
          <w:t>193/2016</w:t>
        </w:r>
      </w:hyperlink>
      <w:r>
        <w:t>.</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 </w:t>
      </w:r>
      <w:hyperlink w:anchor="SENTENCIA_2016_140" w:history="1">
        <w:r w:rsidRPr="00427CF1">
          <w:rPr>
            <w:rStyle w:val="TextoNormalCaracter"/>
          </w:rPr>
          <w:t>140/2016</w:t>
        </w:r>
      </w:hyperlink>
      <w:r>
        <w:t xml:space="preserve"> (anula).</w:t>
      </w:r>
    </w:p>
    <w:p w:rsidR="00427CF1" w:rsidRDefault="00427CF1" w:rsidP="00427CF1">
      <w:pPr>
        <w:pStyle w:val="SangriaFrancesaArticulo"/>
      </w:pPr>
      <w:r w:rsidRPr="00427CF1">
        <w:rPr>
          <w:rStyle w:val="TextoNormalNegritaCaracter"/>
        </w:rPr>
        <w:t>Artículo 7.3</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27" w:history="1">
        <w:r w:rsidRPr="00427CF1">
          <w:rPr>
            <w:rStyle w:val="TextoNormalCaracter"/>
          </w:rPr>
          <w:t>227/2016</w:t>
        </w:r>
      </w:hyperlink>
      <w:r>
        <w:t xml:space="preserve"> (anula).</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40" w:history="1">
        <w:r w:rsidRPr="00427CF1">
          <w:rPr>
            <w:rStyle w:val="TextoNormalCaracter"/>
          </w:rPr>
          <w:t>140/2016</w:t>
        </w:r>
      </w:hyperlink>
      <w:r>
        <w:t>.</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202" w:history="1">
        <w:r w:rsidRPr="00427CF1">
          <w:rPr>
            <w:rStyle w:val="TextoNormalCaracter"/>
          </w:rPr>
          <w:t>202/2016</w:t>
        </w:r>
      </w:hyperlink>
      <w:r>
        <w:t>.</w:t>
      </w:r>
    </w:p>
    <w:p w:rsidR="00427CF1" w:rsidRDefault="00427CF1" w:rsidP="00427CF1">
      <w:pPr>
        <w:pStyle w:val="SangriaFrancesaArticulo"/>
      </w:pPr>
    </w:p>
    <w:p w:rsidR="00427CF1" w:rsidRDefault="00427CF1" w:rsidP="00427CF1">
      <w:pPr>
        <w:pStyle w:val="TextoNormalNegritaCursivandice"/>
      </w:pPr>
      <w:r>
        <w:t>Ley Orgánica 8/2012, de 27 de diciembre. Medidas de eficiencia presupuestaria en la Administración de Justicia, por la que se modifica la Ley Orgánica 6/1985, de 1 de julio, del Poder Judicial</w:t>
      </w:r>
    </w:p>
    <w:p w:rsidR="00427CF1" w:rsidRDefault="00427CF1" w:rsidP="00427CF1">
      <w:pPr>
        <w:pStyle w:val="SangriaFrancesaArticulo"/>
      </w:pPr>
      <w:r w:rsidRPr="00427CF1">
        <w:rPr>
          <w:rStyle w:val="TextoNormalNegritaCaracter"/>
        </w:rPr>
        <w:t>Artículo único, apartado 35.</w:t>
      </w:r>
      <w:r w:rsidRPr="00427CF1">
        <w:rPr>
          <w:rStyle w:val="TextoNormalCaracter"/>
        </w:rPr>
        <w:t>-</w:t>
      </w:r>
      <w:r>
        <w:t xml:space="preserve"> Auto </w:t>
      </w:r>
      <w:hyperlink w:anchor="AUTO_2016_180" w:history="1">
        <w:r w:rsidRPr="00427CF1">
          <w:rPr>
            <w:rStyle w:val="TextoNormalCaracter"/>
          </w:rPr>
          <w:t>180/2016</w:t>
        </w:r>
      </w:hyperlink>
      <w:r>
        <w:t>.</w:t>
      </w:r>
    </w:p>
    <w:p w:rsidR="00427CF1" w:rsidRDefault="00427CF1" w:rsidP="00427CF1">
      <w:pPr>
        <w:pStyle w:val="SangriaFrancesaArticulo"/>
      </w:pPr>
    </w:p>
    <w:p w:rsidR="00427CF1" w:rsidRDefault="00427CF1" w:rsidP="00427CF1">
      <w:pPr>
        <w:pStyle w:val="TextoNormalNegritaCursivandice"/>
      </w:pPr>
      <w:r>
        <w:t>Ley 15/2012, de 27 de diciembre. Medidas fiscales para la sostenibilidad energética</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Autos </w:t>
      </w:r>
      <w:hyperlink w:anchor="AUTO_2016_202" w:history="1">
        <w:r w:rsidRPr="00427CF1">
          <w:rPr>
            <w:rStyle w:val="TextoNormalCaracter"/>
          </w:rPr>
          <w:t>202/2016</w:t>
        </w:r>
      </w:hyperlink>
      <w:r>
        <w:t xml:space="preserve">; </w:t>
      </w:r>
      <w:hyperlink w:anchor="AUTO_2016_203" w:history="1">
        <w:r w:rsidRPr="00427CF1">
          <w:rPr>
            <w:rStyle w:val="TextoNormalCaracter"/>
          </w:rPr>
          <w:t>203/2016</w:t>
        </w:r>
      </w:hyperlink>
      <w:r>
        <w:t xml:space="preserve">; </w:t>
      </w:r>
      <w:hyperlink w:anchor="AUTO_2016_204" w:history="1">
        <w:r w:rsidRPr="00427CF1">
          <w:rPr>
            <w:rStyle w:val="TextoNormalCaracter"/>
          </w:rPr>
          <w:t>204/2016</w:t>
        </w:r>
      </w:hyperlink>
      <w:r>
        <w:t>.</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Autos </w:t>
      </w:r>
      <w:hyperlink w:anchor="AUTO_2016_202" w:history="1">
        <w:r w:rsidRPr="00427CF1">
          <w:rPr>
            <w:rStyle w:val="TextoNormalCaracter"/>
          </w:rPr>
          <w:t>202/2016</w:t>
        </w:r>
      </w:hyperlink>
      <w:r>
        <w:t xml:space="preserve">; </w:t>
      </w:r>
      <w:hyperlink w:anchor="AUTO_2016_203" w:history="1">
        <w:r w:rsidRPr="00427CF1">
          <w:rPr>
            <w:rStyle w:val="TextoNormalCaracter"/>
          </w:rPr>
          <w:t>203/2016</w:t>
        </w:r>
      </w:hyperlink>
      <w:r>
        <w:t xml:space="preserve">; </w:t>
      </w:r>
      <w:hyperlink w:anchor="AUTO_2016_204" w:history="1">
        <w:r w:rsidRPr="00427CF1">
          <w:rPr>
            <w:rStyle w:val="TextoNormalCaracter"/>
          </w:rPr>
          <w:t>204/2016</w:t>
        </w:r>
      </w:hyperlink>
      <w:r>
        <w:t>.</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Autos </w:t>
      </w:r>
      <w:hyperlink w:anchor="AUTO_2016_202" w:history="1">
        <w:r w:rsidRPr="00427CF1">
          <w:rPr>
            <w:rStyle w:val="TextoNormalCaracter"/>
          </w:rPr>
          <w:t>202/2016</w:t>
        </w:r>
      </w:hyperlink>
      <w:r>
        <w:t xml:space="preserve">; </w:t>
      </w:r>
      <w:hyperlink w:anchor="AUTO_2016_203" w:history="1">
        <w:r w:rsidRPr="00427CF1">
          <w:rPr>
            <w:rStyle w:val="TextoNormalCaracter"/>
          </w:rPr>
          <w:t>203/2016</w:t>
        </w:r>
      </w:hyperlink>
      <w:r>
        <w:t xml:space="preserve">; </w:t>
      </w:r>
      <w:hyperlink w:anchor="AUTO_2016_204" w:history="1">
        <w:r w:rsidRPr="00427CF1">
          <w:rPr>
            <w:rStyle w:val="TextoNormalCaracter"/>
          </w:rPr>
          <w:t>204/2016</w:t>
        </w:r>
      </w:hyperlink>
      <w:r>
        <w:t>.</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Autos </w:t>
      </w:r>
      <w:hyperlink w:anchor="AUTO_2016_202" w:history="1">
        <w:r w:rsidRPr="00427CF1">
          <w:rPr>
            <w:rStyle w:val="TextoNormalCaracter"/>
          </w:rPr>
          <w:t>202/2016</w:t>
        </w:r>
      </w:hyperlink>
      <w:r>
        <w:t xml:space="preserve">; </w:t>
      </w:r>
      <w:hyperlink w:anchor="AUTO_2016_203" w:history="1">
        <w:r w:rsidRPr="00427CF1">
          <w:rPr>
            <w:rStyle w:val="TextoNormalCaracter"/>
          </w:rPr>
          <w:t>203/2016</w:t>
        </w:r>
      </w:hyperlink>
      <w:r>
        <w:t xml:space="preserve">; </w:t>
      </w:r>
      <w:hyperlink w:anchor="AUTO_2016_204" w:history="1">
        <w:r w:rsidRPr="00427CF1">
          <w:rPr>
            <w:rStyle w:val="TextoNormalCaracter"/>
          </w:rPr>
          <w:t>204/2016</w:t>
        </w:r>
      </w:hyperlink>
      <w:r>
        <w:t>.</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Autos </w:t>
      </w:r>
      <w:hyperlink w:anchor="AUTO_2016_203" w:history="1">
        <w:r w:rsidRPr="00427CF1">
          <w:rPr>
            <w:rStyle w:val="TextoNormalCaracter"/>
          </w:rPr>
          <w:t>203/2016</w:t>
        </w:r>
      </w:hyperlink>
      <w:r>
        <w:t xml:space="preserve">; </w:t>
      </w:r>
      <w:hyperlink w:anchor="AUTO_2016_205" w:history="1">
        <w:r w:rsidRPr="00427CF1">
          <w:rPr>
            <w:rStyle w:val="TextoNormalCaracter"/>
          </w:rPr>
          <w:t>205/2016</w:t>
        </w:r>
      </w:hyperlink>
      <w:r>
        <w:t>.</w:t>
      </w:r>
    </w:p>
    <w:p w:rsidR="00427CF1" w:rsidRDefault="00427CF1" w:rsidP="00427CF1">
      <w:pPr>
        <w:pStyle w:val="SangriaFrancesaArticulo"/>
      </w:pPr>
    </w:p>
    <w:p w:rsidR="00427CF1" w:rsidRDefault="00427CF1" w:rsidP="00427CF1">
      <w:pPr>
        <w:pStyle w:val="TextoNormalNegritaCursivandice"/>
      </w:pPr>
      <w:r>
        <w:t>Ley 17/2012, de 27 de diciembre. Presupuestos Generales del Estado para el año 2013</w:t>
      </w:r>
    </w:p>
    <w:p w:rsidR="00427CF1" w:rsidRDefault="00427CF1" w:rsidP="00427CF1">
      <w:pPr>
        <w:pStyle w:val="SangriaFrancesaArticulo"/>
      </w:pPr>
      <w:r w:rsidRPr="00427CF1">
        <w:rPr>
          <w:rStyle w:val="TextoNormalNegritaCaracter"/>
        </w:rPr>
        <w:t>Artículo 22.3.</w:t>
      </w:r>
      <w:r w:rsidRPr="00427CF1">
        <w:rPr>
          <w:rStyle w:val="TextoNormalCaracter"/>
        </w:rPr>
        <w:t>-</w:t>
      </w:r>
      <w:r>
        <w:t xml:space="preserve"> Sentencia </w:t>
      </w:r>
      <w:hyperlink w:anchor="SENTENCIA_2016_194" w:history="1">
        <w:r w:rsidRPr="00427CF1">
          <w:rPr>
            <w:rStyle w:val="TextoNormalCaracter"/>
          </w:rPr>
          <w:t>194/2016</w:t>
        </w:r>
      </w:hyperlink>
      <w:r>
        <w:t>.</w:t>
      </w:r>
    </w:p>
    <w:p w:rsidR="00427CF1" w:rsidRDefault="00427CF1" w:rsidP="00427CF1">
      <w:pPr>
        <w:pStyle w:val="SangriaFrancesaArticulo"/>
      </w:pPr>
      <w:r w:rsidRPr="00427CF1">
        <w:rPr>
          <w:rStyle w:val="TextoNormalNegritaCaracter"/>
        </w:rPr>
        <w:t>Artículo 23.1.2.</w:t>
      </w:r>
      <w:r w:rsidRPr="00427CF1">
        <w:rPr>
          <w:rStyle w:val="TextoNormalCaracter"/>
        </w:rPr>
        <w:t>-</w:t>
      </w:r>
      <w:r>
        <w:t xml:space="preserve"> Sentencia </w:t>
      </w:r>
      <w:hyperlink w:anchor="SENTENCIA_2016_194" w:history="1">
        <w:r w:rsidRPr="00427CF1">
          <w:rPr>
            <w:rStyle w:val="TextoNormalCaracter"/>
          </w:rPr>
          <w:t>194/2016</w:t>
        </w:r>
      </w:hyperlink>
      <w:r>
        <w:t>.</w:t>
      </w:r>
    </w:p>
    <w:p w:rsidR="00427CF1" w:rsidRDefault="00427CF1" w:rsidP="00427CF1">
      <w:pPr>
        <w:pStyle w:val="SangriaFrancesaArticulo"/>
      </w:pPr>
      <w:r w:rsidRPr="00427CF1">
        <w:rPr>
          <w:rStyle w:val="TextoNormalNegritaCaracter"/>
        </w:rPr>
        <w:t>Disposición adicional octogésima cuarta.</w:t>
      </w:r>
      <w:r w:rsidRPr="00427CF1">
        <w:rPr>
          <w:rStyle w:val="TextoNormalCaracter"/>
        </w:rPr>
        <w:t>-</w:t>
      </w:r>
      <w:r>
        <w:t xml:space="preserve"> Sentencias </w:t>
      </w:r>
      <w:hyperlink w:anchor="SENTENCIA_2016_179" w:history="1">
        <w:r w:rsidRPr="00427CF1">
          <w:rPr>
            <w:rStyle w:val="TextoNormalCaracter"/>
          </w:rPr>
          <w:t>179/2016</w:t>
        </w:r>
      </w:hyperlink>
      <w:r>
        <w:t xml:space="preserve">; </w:t>
      </w:r>
      <w:hyperlink w:anchor="SENTENCIA_2016_194" w:history="1">
        <w:r w:rsidRPr="00427CF1">
          <w:rPr>
            <w:rStyle w:val="TextoNormalCaracter"/>
          </w:rPr>
          <w:t>194/2016</w:t>
        </w:r>
      </w:hyperlink>
      <w:r>
        <w:t>.</w:t>
      </w:r>
    </w:p>
    <w:p w:rsidR="00427CF1" w:rsidRDefault="00427CF1" w:rsidP="00427CF1">
      <w:pPr>
        <w:pStyle w:val="SangriaFrancesaArticulo"/>
      </w:pPr>
      <w:r w:rsidRPr="00427CF1">
        <w:rPr>
          <w:rStyle w:val="TextoNormalNegritaCaracter"/>
        </w:rPr>
        <w:t>Disposición adicional octogésima primera.</w:t>
      </w:r>
      <w:r w:rsidRPr="00427CF1">
        <w:rPr>
          <w:rStyle w:val="TextoNormalCaracter"/>
        </w:rPr>
        <w:t>-</w:t>
      </w:r>
      <w:r>
        <w:t xml:space="preserve"> Sentencias </w:t>
      </w:r>
      <w:hyperlink w:anchor="SENTENCIA_2016_179" w:history="1">
        <w:r w:rsidRPr="00427CF1">
          <w:rPr>
            <w:rStyle w:val="TextoNormalCaracter"/>
          </w:rPr>
          <w:t>179/2016</w:t>
        </w:r>
      </w:hyperlink>
      <w:r>
        <w:t xml:space="preserve">; </w:t>
      </w:r>
      <w:hyperlink w:anchor="SENTENCIA_2016_194" w:history="1">
        <w:r w:rsidRPr="00427CF1">
          <w:rPr>
            <w:rStyle w:val="TextoNormalCaracter"/>
          </w:rPr>
          <w:t>194/2016</w:t>
        </w:r>
      </w:hyperlink>
      <w:r>
        <w:t>.</w:t>
      </w:r>
    </w:p>
    <w:p w:rsidR="00427CF1" w:rsidRDefault="00427CF1" w:rsidP="00427CF1">
      <w:pPr>
        <w:pStyle w:val="SangriaFrancesaArticulo"/>
      </w:pPr>
    </w:p>
    <w:p w:rsidR="00427CF1" w:rsidRDefault="00427CF1" w:rsidP="00427CF1">
      <w:pPr>
        <w:pStyle w:val="TextoNormalNegritaCursivandice"/>
      </w:pPr>
      <w:r>
        <w:t>Real Decreto-ley 3/2013, de 22 de febrero. Modifica el régimen de las tasas en el ámbito de la Administración de Justicia y el sistema de asistencia jurídica gratuita</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 </w:t>
      </w:r>
      <w:hyperlink w:anchor="SENTENCIA_2016_227" w:history="1">
        <w:r w:rsidRPr="00427CF1">
          <w:rPr>
            <w:rStyle w:val="TextoNormalCaracter"/>
          </w:rPr>
          <w:t>227/2016</w:t>
        </w:r>
      </w:hyperlink>
      <w:r>
        <w:t xml:space="preserve"> (anula).</w:t>
      </w:r>
    </w:p>
    <w:p w:rsidR="00427CF1" w:rsidRDefault="00427CF1" w:rsidP="00427CF1">
      <w:pPr>
        <w:pStyle w:val="SangriaFrancesaArticulo"/>
      </w:pPr>
    </w:p>
    <w:p w:rsidR="00427CF1" w:rsidRDefault="00427CF1" w:rsidP="00427CF1">
      <w:pPr>
        <w:pStyle w:val="TextoNormalNegritaCursivandice"/>
      </w:pPr>
      <w:r>
        <w:t>Ley 1/2013, de 14 de mayo. Medidas para reforzar la protección a los deudores hipotecarios, reestructuración de deuda y alquiler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3" w:history="1">
        <w:r w:rsidRPr="00427CF1">
          <w:rPr>
            <w:rStyle w:val="TextoNormalCaracter"/>
          </w:rPr>
          <w:t>213/2016</w:t>
        </w:r>
      </w:hyperlink>
      <w:r>
        <w:t>.</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Auto </w:t>
      </w:r>
      <w:hyperlink w:anchor="AUTO_2016_146" w:history="1">
        <w:r w:rsidRPr="00427CF1">
          <w:rPr>
            <w:rStyle w:val="TextoNormalCaracter"/>
          </w:rPr>
          <w:t>146/2016</w:t>
        </w:r>
      </w:hyperlink>
      <w:r>
        <w:t>.</w:t>
      </w:r>
    </w:p>
    <w:p w:rsidR="00427CF1" w:rsidRDefault="00427CF1" w:rsidP="00427CF1">
      <w:pPr>
        <w:pStyle w:val="SangriaFrancesaArticulo"/>
      </w:pPr>
    </w:p>
    <w:p w:rsidR="00427CF1" w:rsidRDefault="00427CF1" w:rsidP="00427CF1">
      <w:pPr>
        <w:pStyle w:val="TextoNormalNegritaCursivandice"/>
      </w:pPr>
      <w:r>
        <w:t>Ley Orgánica 4/2013, de 28 de junio. Reforma del Consejo General del Poder Judicial, por la que se modifica la Ley Orgánica 6/1985, de 1 de julio, del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Disposición transitoria décima, apartado 3.</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p>
    <w:p w:rsidR="00427CF1" w:rsidRDefault="00427CF1" w:rsidP="00427CF1">
      <w:pPr>
        <w:pStyle w:val="TextoNormalNegritaCursivandice"/>
      </w:pPr>
      <w:r>
        <w:t>Ley 22/2013, de 23 de diciembre. Presupuestos generales del Estado para el año 2014</w:t>
      </w:r>
    </w:p>
    <w:p w:rsidR="00427CF1" w:rsidRDefault="00427CF1" w:rsidP="00427CF1">
      <w:pPr>
        <w:pStyle w:val="SangriaFrancesaArticulo"/>
      </w:pPr>
      <w:r w:rsidRPr="00427CF1">
        <w:rPr>
          <w:rStyle w:val="TextoNormalNegritaCaracter"/>
        </w:rPr>
        <w:t>Disposición final cuarta, apartado 8.</w:t>
      </w:r>
      <w:r w:rsidRPr="00427CF1">
        <w:rPr>
          <w:rStyle w:val="TextoNormalCaracter"/>
        </w:rPr>
        <w:t>-</w:t>
      </w:r>
      <w:r>
        <w:t xml:space="preserve"> Sentencia </w:t>
      </w:r>
      <w:hyperlink w:anchor="SENTENCIA_2016_135" w:history="1">
        <w:r w:rsidRPr="00427CF1">
          <w:rPr>
            <w:rStyle w:val="TextoNormalCaracter"/>
          </w:rPr>
          <w:t>135/2016</w:t>
        </w:r>
      </w:hyperlink>
      <w:r>
        <w:t>.</w:t>
      </w:r>
    </w:p>
    <w:p w:rsidR="00427CF1" w:rsidRDefault="00427CF1" w:rsidP="00427CF1">
      <w:pPr>
        <w:pStyle w:val="SangriaFrancesaArticulo"/>
      </w:pPr>
    </w:p>
    <w:p w:rsidR="00427CF1" w:rsidRDefault="00427CF1" w:rsidP="00427CF1">
      <w:pPr>
        <w:pStyle w:val="TextoNormalNegritaCursivandice"/>
      </w:pPr>
      <w:r>
        <w:t>Ley 27/2013, de 27 de diciembre. Racionalización y sostenibilidad de la Administración local</w:t>
      </w:r>
    </w:p>
    <w:p w:rsidR="00427CF1" w:rsidRDefault="00427CF1" w:rsidP="00427CF1">
      <w:pPr>
        <w:pStyle w:val="SangriaFrancesaArticulo"/>
      </w:pPr>
      <w:r w:rsidRPr="00427CF1">
        <w:rPr>
          <w:rStyle w:val="TextoNormalNegritaCaracter"/>
        </w:rPr>
        <w:t>Articulo 1.3.</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Sentencias </w:t>
      </w:r>
      <w:hyperlink w:anchor="SENTENCIA_2016_168" w:history="1">
        <w:r w:rsidRPr="00427CF1">
          <w:rPr>
            <w:rStyle w:val="TextoNormalCaracter"/>
          </w:rPr>
          <w:t>168/2016</w:t>
        </w:r>
      </w:hyperlink>
      <w:r>
        <w:t xml:space="preserve">;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 </w:t>
      </w:r>
      <w:hyperlink w:anchor="SENTENCIA_2016_168" w:history="1">
        <w:r w:rsidRPr="00427CF1">
          <w:rPr>
            <w:rStyle w:val="TextoNormalCaracter"/>
          </w:rPr>
          <w:t>168/2016</w:t>
        </w:r>
      </w:hyperlink>
      <w:r>
        <w:t>.</w:t>
      </w:r>
    </w:p>
    <w:p w:rsidR="00427CF1" w:rsidRDefault="00427CF1" w:rsidP="00427CF1">
      <w:pPr>
        <w:pStyle w:val="SangriaFrancesaArticulo"/>
      </w:pPr>
      <w:r w:rsidRPr="00427CF1">
        <w:rPr>
          <w:rStyle w:val="TextoNormalNegritaCaracter"/>
        </w:rPr>
        <w:t>Artículo 1.10.</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Articulo 1.13.</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Articulo 1.16.</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1.21.</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Articulo 1.30.</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1.31.</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1.38.</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68" w:history="1">
        <w:r w:rsidRPr="00427CF1">
          <w:rPr>
            <w:rStyle w:val="TextoNormalCaracter"/>
          </w:rPr>
          <w:t>168/2016</w:t>
        </w:r>
      </w:hyperlink>
      <w:r>
        <w:t>.</w:t>
      </w:r>
    </w:p>
    <w:p w:rsidR="00427CF1" w:rsidRDefault="00427CF1" w:rsidP="00427CF1">
      <w:pPr>
        <w:pStyle w:val="SangriaFrancesaArticulo"/>
      </w:pPr>
      <w:r w:rsidRPr="00427CF1">
        <w:rPr>
          <w:rStyle w:val="TextoNormalNegritaCaracter"/>
        </w:rPr>
        <w:t>Disposición adicional sexta.</w:t>
      </w:r>
      <w:r w:rsidRPr="00427CF1">
        <w:rPr>
          <w:rStyle w:val="TextoNormalCaracter"/>
        </w:rPr>
        <w:t>-</w:t>
      </w:r>
      <w:r>
        <w:t xml:space="preserve"> Sentencia </w:t>
      </w:r>
      <w:hyperlink w:anchor="SENTENCIA_2016_168" w:history="1">
        <w:r w:rsidRPr="00427CF1">
          <w:rPr>
            <w:rStyle w:val="TextoNormalCaracter"/>
          </w:rPr>
          <w:t>168/2016</w:t>
        </w:r>
      </w:hyperlink>
      <w:r>
        <w:t>.</w:t>
      </w:r>
    </w:p>
    <w:p w:rsidR="00427CF1" w:rsidRDefault="00427CF1" w:rsidP="00427CF1">
      <w:pPr>
        <w:pStyle w:val="SangriaFrancesaArticulo"/>
      </w:pPr>
      <w:r w:rsidRPr="00427CF1">
        <w:rPr>
          <w:rStyle w:val="TextoNormalNegritaCaracter"/>
        </w:rPr>
        <w:t>Disposición adicional novena.</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Disposición adicional decimoquinta.</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Disposiciones transitorias primera a cuarta.</w:t>
      </w:r>
      <w:r w:rsidRPr="00427CF1">
        <w:rPr>
          <w:rStyle w:val="TextoNormalCaracter"/>
        </w:rPr>
        <w:t>-</w:t>
      </w:r>
      <w:r>
        <w:t xml:space="preserve"> Sentencia </w:t>
      </w:r>
      <w:hyperlink w:anchor="SENTENCIA_2016_168" w:history="1">
        <w:r w:rsidRPr="00427CF1">
          <w:rPr>
            <w:rStyle w:val="TextoNormalCaracter"/>
          </w:rPr>
          <w:t>168/2016</w:t>
        </w:r>
      </w:hyperlink>
      <w:r>
        <w:t>.</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Disposición transitoria tercera.</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Disposición transitoria cuarta.</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r w:rsidRPr="00427CF1">
        <w:rPr>
          <w:rStyle w:val="TextoNormalNegritaCaracter"/>
        </w:rPr>
        <w:t>Disposición transitoria undécima.</w:t>
      </w:r>
      <w:r w:rsidRPr="00427CF1">
        <w:rPr>
          <w:rStyle w:val="TextoNormalCaracter"/>
        </w:rPr>
        <w:t>-</w:t>
      </w:r>
      <w:r>
        <w:t xml:space="preserve"> Sentencia </w:t>
      </w:r>
      <w:hyperlink w:anchor="SENTENCIA_2016_180" w:history="1">
        <w:r w:rsidRPr="00427CF1">
          <w:rPr>
            <w:rStyle w:val="TextoNormalCaracter"/>
          </w:rPr>
          <w:t>180/2016</w:t>
        </w:r>
      </w:hyperlink>
      <w:r>
        <w:t>.</w:t>
      </w:r>
    </w:p>
    <w:p w:rsidR="00427CF1" w:rsidRDefault="00427CF1" w:rsidP="00427CF1">
      <w:pPr>
        <w:pStyle w:val="SangriaFrancesaArticulo"/>
      </w:pPr>
    </w:p>
    <w:p w:rsidR="00427CF1" w:rsidRDefault="00427CF1" w:rsidP="00427CF1">
      <w:pPr>
        <w:pStyle w:val="TextoNormalNegritaCursivandice"/>
      </w:pPr>
      <w:r>
        <w:t>Real Decreto-ley 8/2014, de 4 de julio. Aprobación de medidas urgentes para el crecimiento, la competitividad y la eficiencia</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95" w:history="1">
        <w:r w:rsidRPr="00427CF1">
          <w:rPr>
            <w:rStyle w:val="TextoNormalCaracter"/>
          </w:rPr>
          <w:t>195/2016</w:t>
        </w:r>
      </w:hyperlink>
      <w:r>
        <w:t>.</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195" w:history="1">
        <w:r w:rsidRPr="00427CF1">
          <w:rPr>
            <w:rStyle w:val="TextoNormalCaracter"/>
          </w:rPr>
          <w:t>195/2016</w:t>
        </w:r>
      </w:hyperlink>
      <w:r>
        <w:t>.</w:t>
      </w:r>
    </w:p>
    <w:p w:rsidR="00427CF1" w:rsidRDefault="00427CF1" w:rsidP="00427CF1">
      <w:pPr>
        <w:pStyle w:val="SangriaFrancesaArticulo"/>
      </w:pPr>
    </w:p>
    <w:p w:rsidR="00427CF1" w:rsidRDefault="00427CF1" w:rsidP="00427CF1">
      <w:pPr>
        <w:pStyle w:val="TextoNormalNegritaCursivandice"/>
      </w:pPr>
      <w:r>
        <w:t>Ley 18/2014, de 15 de octubre. Aprobación de medidas urgentes para el crecimiento, la competitividad y la eficiencia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4" w:history="1">
        <w:r w:rsidRPr="00427CF1">
          <w:rPr>
            <w:rStyle w:val="TextoNormalCaracter"/>
          </w:rPr>
          <w:t>214/2016</w:t>
        </w:r>
      </w:hyperlink>
      <w:r>
        <w:t>.</w:t>
      </w:r>
    </w:p>
    <w:p w:rsidR="00427CF1" w:rsidRDefault="00427CF1" w:rsidP="00427CF1">
      <w:pPr>
        <w:pStyle w:val="SangriaFrancesaArticulo"/>
      </w:pPr>
    </w:p>
    <w:p w:rsidR="00427CF1" w:rsidRDefault="00427CF1" w:rsidP="00427CF1">
      <w:pPr>
        <w:pStyle w:val="TextoNormalNegritaCursivandice"/>
      </w:pPr>
      <w:r>
        <w:t>Real Decreto-ley 10/2014, de 1 de agosto. Se conceden créditos extraordinarios y suplementos de crédito en el presupuesto de los Ministerios de Asuntos Exteriores y de Cooperación, de Defensa y de Agricultura, Alimentación y Medio Ambiente</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26" w:history="1">
        <w:r w:rsidRPr="00427CF1">
          <w:rPr>
            <w:rStyle w:val="TextoNormalCaracter"/>
          </w:rPr>
          <w:t>126/2016</w:t>
        </w:r>
      </w:hyperlink>
      <w:r>
        <w:t xml:space="preserve"> (anula).</w:t>
      </w:r>
    </w:p>
    <w:p w:rsidR="00427CF1" w:rsidRDefault="00427CF1" w:rsidP="00427CF1">
      <w:pPr>
        <w:pStyle w:val="SangriaFrancesaArticulo"/>
      </w:pPr>
    </w:p>
    <w:p w:rsidR="00427CF1" w:rsidRDefault="00427CF1" w:rsidP="00427CF1">
      <w:pPr>
        <w:pStyle w:val="TextoNormalNegritaCursivandice"/>
      </w:pPr>
      <w:r>
        <w:t>Real Decreto-ley 7/2015, de 14 de mayo. Se conceden créditos extraordinarios y un suplemento de crédito por importe de 856.440.673,35 euros en el presupuesto del Ministerio de Defensa, para atender al pago de obligaciones correspondientes a Programas Especiales de Armamento y a la realización de otras actuaciones del Departamento</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69" w:history="1">
        <w:r w:rsidRPr="00427CF1">
          <w:rPr>
            <w:rStyle w:val="TextoNormalCaracter"/>
          </w:rPr>
          <w:t>169/2016</w:t>
        </w:r>
      </w:hyperlink>
      <w:r>
        <w:t xml:space="preserve"> (anula).</w:t>
      </w:r>
    </w:p>
    <w:p w:rsidR="00427CF1" w:rsidRDefault="00427CF1" w:rsidP="00427CF1">
      <w:pPr>
        <w:pStyle w:val="SangriaFrancesaArticulo"/>
      </w:pPr>
    </w:p>
    <w:p w:rsidR="00427CF1" w:rsidRDefault="00427CF1" w:rsidP="00427CF1">
      <w:pPr>
        <w:pStyle w:val="TextoNormalNegritaCursivandice"/>
      </w:pPr>
      <w:r>
        <w:t>Ley Orgánica 6/2015, de 12 de junio. Modificación de la Ley Orgánica 8/1980, de 22 de septiembre, de financiación de las Comunidades Autónomas y de la Ley Orgánica 2/2012, de 27 de abril, de Estabilidad Presupuestaria y Sostenibilidad Financiera</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56" w:history="1">
        <w:r w:rsidRPr="00427CF1">
          <w:rPr>
            <w:rStyle w:val="TextoNormalCaracter"/>
          </w:rPr>
          <w:t>156/2016</w:t>
        </w:r>
      </w:hyperlink>
      <w:r>
        <w:t>.</w:t>
      </w:r>
    </w:p>
    <w:p w:rsidR="00427CF1" w:rsidRDefault="00427CF1" w:rsidP="00427CF1">
      <w:pPr>
        <w:pStyle w:val="SangriaFrancesaArticulo"/>
      </w:pPr>
      <w:r w:rsidRPr="00427CF1">
        <w:rPr>
          <w:rStyle w:val="TextoNormalNegritaCaracter"/>
        </w:rPr>
        <w:t>Disposición final primera, apartado 3.</w:t>
      </w:r>
      <w:r w:rsidRPr="00427CF1">
        <w:rPr>
          <w:rStyle w:val="TextoNormalCaracter"/>
        </w:rPr>
        <w:t>-</w:t>
      </w:r>
      <w:r>
        <w:t xml:space="preserve"> Sentencia </w:t>
      </w:r>
      <w:hyperlink w:anchor="SENTENCIA_2016_156" w:history="1">
        <w:r w:rsidRPr="00427CF1">
          <w:rPr>
            <w:rStyle w:val="TextoNormalCaracter"/>
          </w:rPr>
          <w:t>156/2016</w:t>
        </w:r>
      </w:hyperlink>
      <w:r>
        <w:t>.</w:t>
      </w:r>
    </w:p>
    <w:p w:rsidR="00427CF1" w:rsidRDefault="00427CF1" w:rsidP="00427CF1">
      <w:pPr>
        <w:pStyle w:val="SangriaFrancesaArticulo"/>
      </w:pPr>
    </w:p>
    <w:p w:rsidR="00427CF1" w:rsidRDefault="00427CF1" w:rsidP="00427CF1">
      <w:pPr>
        <w:pStyle w:val="TextoNormalNegritaCursivandice"/>
      </w:pPr>
      <w:r>
        <w:t>Ley 28/2015, de 30 de julio. Defensa de la calidad alimentaria</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 xml:space="preserve">Artículo 12.1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 xml:space="preserve">Artículo 12.1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12.2.</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 xml:space="preserve">Artículo 17.1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 xml:space="preserve">Artículo 17.1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19.1 párrafo 2.</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Artículo 19.1 párrafo 2.</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19.2.</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Sentencias </w:t>
      </w:r>
      <w:hyperlink w:anchor="SENTENCIA_2016_142" w:history="1">
        <w:r w:rsidRPr="00427CF1">
          <w:rPr>
            <w:rStyle w:val="TextoNormalCaracter"/>
          </w:rPr>
          <w:t>142/2016</w:t>
        </w:r>
      </w:hyperlink>
      <w:r>
        <w:t xml:space="preserve">;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22 párrafo 4.</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Artículo 22 párrafo 4.</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23.1.</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r w:rsidRPr="00427CF1">
        <w:rPr>
          <w:rStyle w:val="TextoNormalNegritaCaracter"/>
        </w:rPr>
        <w:t xml:space="preserve">Artículo 23.2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 xml:space="preserve">Artículo 23.2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Artículo 24.1.</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r w:rsidRPr="00427CF1">
        <w:rPr>
          <w:rStyle w:val="TextoNormalNegritaCaracter"/>
        </w:rPr>
        <w:t>Artículo 24.2.</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r w:rsidRPr="00427CF1">
        <w:rPr>
          <w:rStyle w:val="TextoNormalNegritaCaracter"/>
        </w:rPr>
        <w:t>Artículo 24.4.</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r w:rsidRPr="00427CF1">
        <w:rPr>
          <w:rStyle w:val="TextoNormalNegritaCaracter"/>
        </w:rPr>
        <w:t>Artículo 24.5.</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adicional primera, apartado 2.</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adicional primera, apartado 3.</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adicional primera, apartado 4.</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adicional primera, apartados 2, 3, 4.</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Disposición transitoria única.</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transitoria única, apartado 1.</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transitoria única, apartado 1 expresión "excepto los artículos 15 y 16, que seguirán aplicándose".</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Disposición transitoria única, apartado 1 expresión "excepto los artículos 15 y 16, que seguirán aplicándose".</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transitoria única, apartado 2.</w:t>
      </w:r>
      <w:r w:rsidRPr="00427CF1">
        <w:rPr>
          <w:rStyle w:val="TextoNormalCaracter"/>
        </w:rPr>
        <w:t>-</w:t>
      </w:r>
      <w:r>
        <w:t xml:space="preserve"> Sentencia </w:t>
      </w:r>
      <w:hyperlink w:anchor="SENTENCIA_2016_142" w:history="1">
        <w:r w:rsidRPr="00427CF1">
          <w:rPr>
            <w:rStyle w:val="TextoNormalCaracter"/>
          </w:rPr>
          <w:t>142/2016</w:t>
        </w:r>
      </w:hyperlink>
      <w:r>
        <w:t xml:space="preserve"> (anula).</w:t>
      </w:r>
    </w:p>
    <w:p w:rsidR="00427CF1" w:rsidRDefault="00427CF1" w:rsidP="00427CF1">
      <w:pPr>
        <w:pStyle w:val="SangriaFrancesaArticulo"/>
      </w:pPr>
      <w:r w:rsidRPr="00427CF1">
        <w:rPr>
          <w:rStyle w:val="TextoNormalNegritaCaracter"/>
        </w:rPr>
        <w:t>Disposición transitoria única, apartado 2.</w:t>
      </w:r>
      <w:r w:rsidRPr="00427CF1">
        <w:rPr>
          <w:rStyle w:val="TextoNormalCaracter"/>
        </w:rPr>
        <w:t>-</w:t>
      </w:r>
      <w:r>
        <w:t xml:space="preserve"> Sentencia </w:t>
      </w:r>
      <w:hyperlink w:anchor="SENTENCIA_2016_186" w:history="1">
        <w:r w:rsidRPr="00427CF1">
          <w:rPr>
            <w:rStyle w:val="TextoNormalCaracter"/>
          </w:rPr>
          <w:t>186/2016</w:t>
        </w:r>
      </w:hyperlink>
      <w:r>
        <w:t>.</w:t>
      </w:r>
    </w:p>
    <w:p w:rsidR="00427CF1" w:rsidRDefault="00427CF1" w:rsidP="00427CF1">
      <w:pPr>
        <w:pStyle w:val="SangriaFrancesaArticulo"/>
      </w:pPr>
      <w:r w:rsidRPr="00427CF1">
        <w:rPr>
          <w:rStyle w:val="TextoNormalNegritaCaracter"/>
        </w:rPr>
        <w:t>Disposición final quinta.</w:t>
      </w:r>
      <w:r w:rsidRPr="00427CF1">
        <w:rPr>
          <w:rStyle w:val="TextoNormalCaracter"/>
        </w:rPr>
        <w:t>-</w:t>
      </w:r>
      <w:r>
        <w:t xml:space="preserve"> Sentencia </w:t>
      </w:r>
      <w:hyperlink w:anchor="SENTENCIA_2016_142" w:history="1">
        <w:r w:rsidRPr="00427CF1">
          <w:rPr>
            <w:rStyle w:val="TextoNormalCaracter"/>
          </w:rPr>
          <w:t>142/2016</w:t>
        </w:r>
      </w:hyperlink>
      <w:r>
        <w:t>.</w:t>
      </w:r>
    </w:p>
    <w:p w:rsidR="00427CF1" w:rsidRDefault="00427CF1" w:rsidP="00427CF1">
      <w:pPr>
        <w:pStyle w:val="SangriaFrancesaArticulo"/>
      </w:pPr>
    </w:p>
    <w:p w:rsidR="00427CF1" w:rsidRDefault="00427CF1" w:rsidP="00427CF1">
      <w:pPr>
        <w:pStyle w:val="TextoNormalNegritaCursivandice"/>
      </w:pPr>
      <w:r>
        <w:t>Ley 36/2015, de 28 de septiembre. Seguridad Nacional</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84" w:history="1">
        <w:r w:rsidRPr="00427CF1">
          <w:rPr>
            <w:rStyle w:val="TextoNormalCaracter"/>
          </w:rPr>
          <w:t>184/2016</w:t>
        </w:r>
      </w:hyperlink>
      <w:r>
        <w:t>.</w:t>
      </w:r>
    </w:p>
    <w:p w:rsidR="00427CF1" w:rsidRDefault="00427CF1" w:rsidP="00427CF1">
      <w:pPr>
        <w:pStyle w:val="SangriaFrancesaArticulo"/>
      </w:pPr>
      <w:r w:rsidRPr="00427CF1">
        <w:rPr>
          <w:rStyle w:val="TextoNormalNegritaCaracter"/>
        </w:rPr>
        <w:t>Artículo 15 c).</w:t>
      </w:r>
      <w:r w:rsidRPr="00427CF1">
        <w:rPr>
          <w:rStyle w:val="TextoNormalCaracter"/>
        </w:rPr>
        <w:t>-</w:t>
      </w:r>
      <w:r>
        <w:t xml:space="preserve"> Sentencia </w:t>
      </w:r>
      <w:hyperlink w:anchor="SENTENCIA_2016_184" w:history="1">
        <w:r w:rsidRPr="00427CF1">
          <w:rPr>
            <w:rStyle w:val="TextoNormalCaracter"/>
          </w:rPr>
          <w:t>184/2016</w:t>
        </w:r>
      </w:hyperlink>
      <w:r>
        <w:t>.</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 </w:t>
      </w:r>
      <w:hyperlink w:anchor="SENTENCIA_2016_184" w:history="1">
        <w:r w:rsidRPr="00427CF1">
          <w:rPr>
            <w:rStyle w:val="TextoNormalCaracter"/>
          </w:rPr>
          <w:t>184/2016</w:t>
        </w:r>
      </w:hyperlink>
      <w:r>
        <w:t>.</w:t>
      </w:r>
    </w:p>
    <w:p w:rsidR="00427CF1" w:rsidRDefault="00427CF1" w:rsidP="00427CF1">
      <w:pPr>
        <w:pStyle w:val="SangriaFrancesaArticulo"/>
      </w:pPr>
    </w:p>
    <w:p w:rsidR="00427CF1" w:rsidRDefault="00427CF1" w:rsidP="00427CF1">
      <w:pPr>
        <w:pStyle w:val="TextoNormalNegritaCursivandice"/>
      </w:pPr>
      <w:r>
        <w:t>Ley Orgánica 15/2015, de 16 de octubre. Reforma de la Ley Orgánica 2/1979, de 3 de octubre, del Tribunal Constitucional, para la ejecución de las resoluciones del Tribunal Constitucional como garantía del Estado de Derecho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85" w:history="1">
        <w:r w:rsidRPr="00427CF1">
          <w:rPr>
            <w:rStyle w:val="TextoNormalCaracter"/>
          </w:rPr>
          <w:t>185/2016</w:t>
        </w:r>
      </w:hyperlink>
      <w:r>
        <w:t xml:space="preserve">; </w:t>
      </w:r>
      <w:hyperlink w:anchor="SENTENCIA_2016_215" w:history="1">
        <w:r w:rsidRPr="00427CF1">
          <w:rPr>
            <w:rStyle w:val="TextoNormalCaracter"/>
          </w:rPr>
          <w:t>215/2016</w:t>
        </w:r>
      </w:hyperlink>
      <w:r>
        <w:t>.</w:t>
      </w:r>
    </w:p>
    <w:p w:rsidR="00427CF1" w:rsidRDefault="00427CF1" w:rsidP="00427CF1">
      <w:pPr>
        <w:pStyle w:val="SangriaFrancesaArticulo"/>
      </w:pPr>
    </w:p>
    <w:p w:rsidR="00427CF1" w:rsidRDefault="00427CF1" w:rsidP="00427CF1">
      <w:pPr>
        <w:pStyle w:val="TextoNormalNegritaCursivandice"/>
      </w:pPr>
      <w:r>
        <w:t>Ley 48/2015, de 29 de octubre. Presupuestos Generales del Estado para el año 2016</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17" w:history="1">
        <w:r w:rsidRPr="00427CF1">
          <w:rPr>
            <w:rStyle w:val="TextoNormalCaracter"/>
          </w:rPr>
          <w:t>217/2016</w:t>
        </w:r>
      </w:hyperlink>
      <w:r>
        <w:t>.</w:t>
      </w:r>
    </w:p>
    <w:p w:rsidR="00427CF1" w:rsidRDefault="00427CF1" w:rsidP="00427CF1">
      <w:pPr>
        <w:pStyle w:val="SangriaFrancesaArticulo"/>
      </w:pPr>
    </w:p>
    <w:p w:rsidR="00427CF1" w:rsidRDefault="00427CF1" w:rsidP="00427CF1">
      <w:pPr>
        <w:pStyle w:val="TextoNormalNegritaCursivandice"/>
      </w:pPr>
      <w:r>
        <w:t>Real Decreto Legislativo 8/2015, de 30 de octubre. Texto refundido de la Ley general de la Seguridad Social</w:t>
      </w:r>
    </w:p>
    <w:p w:rsidR="00427CF1" w:rsidRDefault="00427CF1" w:rsidP="00427CF1">
      <w:pPr>
        <w:pStyle w:val="SangriaFrancesaArticulo"/>
      </w:pPr>
      <w:r w:rsidRPr="00427CF1">
        <w:rPr>
          <w:rStyle w:val="TextoNormalNegritaCaracter"/>
        </w:rPr>
        <w:t>Artículo 174.3.</w:t>
      </w:r>
      <w:r w:rsidRPr="00427CF1">
        <w:rPr>
          <w:rStyle w:val="TextoNormalCaracter"/>
        </w:rPr>
        <w:t>-</w:t>
      </w:r>
      <w:r>
        <w:t xml:space="preserve"> Auto </w:t>
      </w:r>
      <w:hyperlink w:anchor="AUTO_2016_142" w:history="1">
        <w:r w:rsidRPr="00427CF1">
          <w:rPr>
            <w:rStyle w:val="TextoNormalCaracter"/>
          </w:rPr>
          <w:t>142/2016</w:t>
        </w:r>
      </w:hyperlink>
      <w:r>
        <w:t>.</w:t>
      </w:r>
    </w:p>
    <w:p w:rsidR="00427CF1" w:rsidRDefault="00427CF1" w:rsidP="00427CF1">
      <w:pPr>
        <w:pStyle w:val="TextoNormal"/>
      </w:pPr>
    </w:p>
    <w:p w:rsidR="00427CF1" w:rsidRDefault="00427CF1" w:rsidP="00427CF1">
      <w:pPr>
        <w:pStyle w:val="SangriaFrancesaArticulo"/>
      </w:pPr>
      <w:bookmarkStart w:id="184" w:name="INDICE22806"/>
    </w:p>
    <w:bookmarkEnd w:id="184"/>
    <w:p w:rsidR="00427CF1" w:rsidRDefault="00427CF1" w:rsidP="00427CF1">
      <w:pPr>
        <w:pStyle w:val="TextoIndiceNivel2"/>
        <w:suppressAutoHyphens/>
      </w:pPr>
      <w:r>
        <w:t>B) Disposiciones con fuerza de ley de las Comunidades Autónomas</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B.1) Andalucía</w:t>
      </w:r>
    </w:p>
    <w:p w:rsidR="00427CF1" w:rsidRDefault="00427CF1" w:rsidP="00427CF1">
      <w:pPr>
        <w:pStyle w:val="TextoNormalNegritaCentrado"/>
      </w:pPr>
    </w:p>
    <w:p w:rsidR="00427CF1" w:rsidRDefault="00427CF1" w:rsidP="00427CF1">
      <w:pPr>
        <w:pStyle w:val="TextoNormalNegritaCursivandice"/>
      </w:pPr>
      <w:r>
        <w:t>Ley del Parlamento de Andalucía 22/2007, de 18 de diciembre. Farmacia de Andalucía</w:t>
      </w:r>
    </w:p>
    <w:p w:rsidR="00427CF1" w:rsidRDefault="00427CF1" w:rsidP="00427CF1">
      <w:pPr>
        <w:pStyle w:val="SangriaFrancesaArticulo"/>
      </w:pPr>
      <w:r w:rsidRPr="00427CF1">
        <w:rPr>
          <w:rStyle w:val="TextoNormalNegritaCaracter"/>
        </w:rPr>
        <w:t>Artículo 47.1.</w:t>
      </w:r>
      <w:r w:rsidRPr="00427CF1">
        <w:rPr>
          <w:rStyle w:val="TextoNormalCaracter"/>
        </w:rPr>
        <w:t>-</w:t>
      </w:r>
      <w:r>
        <w:t xml:space="preserve"> Auto </w:t>
      </w:r>
      <w:hyperlink w:anchor="AUTO_2016_156" w:history="1">
        <w:r w:rsidRPr="00427CF1">
          <w:rPr>
            <w:rStyle w:val="TextoNormalCaracter"/>
          </w:rPr>
          <w:t>156/2016</w:t>
        </w:r>
      </w:hyperlink>
      <w:r>
        <w:t>.</w:t>
      </w:r>
    </w:p>
    <w:p w:rsidR="00427CF1" w:rsidRDefault="00427CF1" w:rsidP="00427CF1">
      <w:pPr>
        <w:pStyle w:val="SangriaFrancesaArticulo"/>
      </w:pPr>
      <w:r w:rsidRPr="00427CF1">
        <w:rPr>
          <w:rStyle w:val="TextoNormalNegritaCaracter"/>
        </w:rPr>
        <w:t>Artículo 47.2.</w:t>
      </w:r>
      <w:r w:rsidRPr="00427CF1">
        <w:rPr>
          <w:rStyle w:val="TextoNormalCaracter"/>
        </w:rPr>
        <w:t>-</w:t>
      </w:r>
      <w:r>
        <w:t xml:space="preserve"> Auto </w:t>
      </w:r>
      <w:hyperlink w:anchor="AUTO_2016_156" w:history="1">
        <w:r w:rsidRPr="00427CF1">
          <w:rPr>
            <w:rStyle w:val="TextoNormalCaracter"/>
          </w:rPr>
          <w:t>156/2016</w:t>
        </w:r>
      </w:hyperlink>
      <w:r>
        <w:t>.</w:t>
      </w:r>
    </w:p>
    <w:p w:rsidR="00427CF1" w:rsidRDefault="00427CF1" w:rsidP="00427CF1">
      <w:pPr>
        <w:pStyle w:val="SangriaFrancesaArticulo"/>
      </w:pPr>
      <w:r w:rsidRPr="00427CF1">
        <w:rPr>
          <w:rStyle w:val="TextoNormalNegritaCaracter"/>
        </w:rPr>
        <w:t>Artículo 47.3.</w:t>
      </w:r>
      <w:r w:rsidRPr="00427CF1">
        <w:rPr>
          <w:rStyle w:val="TextoNormalCaracter"/>
        </w:rPr>
        <w:t>-</w:t>
      </w:r>
      <w:r>
        <w:t xml:space="preserve"> Auto </w:t>
      </w:r>
      <w:hyperlink w:anchor="AUTO_2016_156" w:history="1">
        <w:r w:rsidRPr="00427CF1">
          <w:rPr>
            <w:rStyle w:val="TextoNormalCaracter"/>
          </w:rPr>
          <w:t>156/2016</w:t>
        </w:r>
      </w:hyperlink>
      <w:r>
        <w:t>.</w:t>
      </w:r>
    </w:p>
    <w:p w:rsidR="00427CF1" w:rsidRDefault="00427CF1" w:rsidP="00427CF1">
      <w:pPr>
        <w:pStyle w:val="SangriaFrancesaArticulo"/>
      </w:pPr>
      <w:r w:rsidRPr="00427CF1">
        <w:rPr>
          <w:rStyle w:val="TextoNormalNegritaCaracter"/>
        </w:rPr>
        <w:t>Artículo 47.4.</w:t>
      </w:r>
      <w:r w:rsidRPr="00427CF1">
        <w:rPr>
          <w:rStyle w:val="TextoNormalCaracter"/>
        </w:rPr>
        <w:t>-</w:t>
      </w:r>
      <w:r>
        <w:t xml:space="preserve"> Auto </w:t>
      </w:r>
      <w:hyperlink w:anchor="AUTO_2016_156" w:history="1">
        <w:r w:rsidRPr="00427CF1">
          <w:rPr>
            <w:rStyle w:val="TextoNormalCaracter"/>
          </w:rPr>
          <w:t>156/2016</w:t>
        </w:r>
      </w:hyperlink>
      <w:r>
        <w:t>.</w:t>
      </w:r>
    </w:p>
    <w:p w:rsidR="00427CF1" w:rsidRDefault="00427CF1" w:rsidP="00427CF1">
      <w:pPr>
        <w:pStyle w:val="SangriaFrancesaArticulo"/>
      </w:pPr>
      <w:r w:rsidRPr="00427CF1">
        <w:rPr>
          <w:rStyle w:val="TextoNormalNegritaCaracter"/>
        </w:rPr>
        <w:t>Artículo 47.7.</w:t>
      </w:r>
      <w:r w:rsidRPr="00427CF1">
        <w:rPr>
          <w:rStyle w:val="TextoNormalCaracter"/>
        </w:rPr>
        <w:t>-</w:t>
      </w:r>
      <w:r>
        <w:t xml:space="preserve"> Auto </w:t>
      </w:r>
      <w:hyperlink w:anchor="AUTO_2016_156" w:history="1">
        <w:r w:rsidRPr="00427CF1">
          <w:rPr>
            <w:rStyle w:val="TextoNormalCaracter"/>
          </w:rPr>
          <w:t>156/2016</w:t>
        </w:r>
      </w:hyperlink>
      <w:r>
        <w:t>.</w:t>
      </w:r>
    </w:p>
    <w:p w:rsidR="00427CF1" w:rsidRDefault="00427CF1" w:rsidP="00427CF1">
      <w:pPr>
        <w:pStyle w:val="SangriaFrancesaArticulo"/>
      </w:pPr>
    </w:p>
    <w:p w:rsidR="00427CF1" w:rsidRDefault="00427CF1" w:rsidP="00427CF1">
      <w:pPr>
        <w:pStyle w:val="TextoNormalNegritaCursivandice"/>
      </w:pPr>
      <w:r>
        <w:t>Ley del Parlamento de Andalucía 9/2010, de 30 de julio. Aguas de Andalucía</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32 excepto apartado 4.</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33 excepto apartado 1.</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78.</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82.2.</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95.</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96.</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p>
    <w:p w:rsidR="00427CF1" w:rsidRDefault="00427CF1" w:rsidP="00427CF1">
      <w:pPr>
        <w:pStyle w:val="TextoNormalNegritaCursivandice"/>
      </w:pPr>
      <w:r>
        <w:t>Decreto-ley de la Junta de Andalucía 3/2011, de 13 de diciembre. Aprueba medidas urgentes sobre prestación farmacéutica del sistema sanitario público de Andalucía</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Sentencia </w:t>
      </w:r>
      <w:hyperlink w:anchor="SENTENCIA_2016_210" w:history="1">
        <w:r w:rsidRPr="00427CF1">
          <w:rPr>
            <w:rStyle w:val="TextoNormalCaracter"/>
          </w:rPr>
          <w:t>210/2016</w:t>
        </w:r>
      </w:hyperlink>
      <w:r>
        <w:t>.</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B.2) Castilla-La Mancha</w:t>
      </w:r>
    </w:p>
    <w:p w:rsidR="00427CF1" w:rsidRDefault="00427CF1" w:rsidP="00427CF1">
      <w:pPr>
        <w:pStyle w:val="TextoNormalNegritaCentrado"/>
      </w:pPr>
    </w:p>
    <w:p w:rsidR="00427CF1" w:rsidRDefault="00427CF1" w:rsidP="00427CF1">
      <w:pPr>
        <w:pStyle w:val="TextoNormalNegritaCursivandice"/>
      </w:pPr>
      <w:r>
        <w:t>Ley de las Cortes de Castilla-La Mancha 9/2011, de 21 de marzo. Crea el canon eólico y el fondo para el desarrollo tecnológico de las energías renovables y el uso racional de la energía en Castilla-La Mancha</w:t>
      </w:r>
    </w:p>
    <w:p w:rsidR="00427CF1" w:rsidRDefault="00427CF1" w:rsidP="00427CF1">
      <w:pPr>
        <w:pStyle w:val="SangriaFrancesaArticulo"/>
      </w:pPr>
      <w:r w:rsidRPr="00427CF1">
        <w:rPr>
          <w:rStyle w:val="TextoNormalNegritaCaracter"/>
        </w:rPr>
        <w:t>Capítulo I.</w:t>
      </w:r>
      <w:r w:rsidRPr="00427CF1">
        <w:rPr>
          <w:rStyle w:val="TextoNormalCaracter"/>
        </w:rPr>
        <w:t>-</w:t>
      </w:r>
      <w:r>
        <w:t xml:space="preserve"> Auto </w:t>
      </w:r>
      <w:hyperlink w:anchor="AUTO_2016_183" w:history="1">
        <w:r w:rsidRPr="00427CF1">
          <w:rPr>
            <w:rStyle w:val="TextoNormalCaracter"/>
          </w:rPr>
          <w:t>183/2016</w:t>
        </w:r>
      </w:hyperlink>
      <w:r>
        <w:t>.</w:t>
      </w:r>
    </w:p>
    <w:p w:rsidR="00427CF1" w:rsidRDefault="00427CF1" w:rsidP="00427CF1">
      <w:pPr>
        <w:pStyle w:val="SangriaFrancesaArticulo"/>
      </w:pPr>
      <w:r w:rsidRPr="00427CF1">
        <w:rPr>
          <w:rStyle w:val="TextoNormalNegritaCaracter"/>
        </w:rPr>
        <w:t>Capitulo I.</w:t>
      </w:r>
      <w:r w:rsidRPr="00427CF1">
        <w:rPr>
          <w:rStyle w:val="TextoNormalCaracter"/>
        </w:rPr>
        <w:t>-</w:t>
      </w:r>
      <w:r>
        <w:t xml:space="preserve"> Auto </w:t>
      </w:r>
      <w:hyperlink w:anchor="AUTO_2016_185" w:history="1">
        <w:r w:rsidRPr="00427CF1">
          <w:rPr>
            <w:rStyle w:val="TextoNormalCaracter"/>
          </w:rPr>
          <w:t>185/2016</w:t>
        </w:r>
      </w:hyperlink>
      <w:r>
        <w:t>.</w:t>
      </w:r>
    </w:p>
    <w:p w:rsidR="00427CF1" w:rsidRDefault="00427CF1" w:rsidP="00427CF1">
      <w:pPr>
        <w:pStyle w:val="SangriaFrancesaArticulo"/>
      </w:pPr>
      <w:r w:rsidRPr="00427CF1">
        <w:rPr>
          <w:rStyle w:val="TextoNormalNegritaCaracter"/>
        </w:rPr>
        <w:t>Capítulo II.</w:t>
      </w:r>
      <w:r w:rsidRPr="00427CF1">
        <w:rPr>
          <w:rStyle w:val="TextoNormalCaracter"/>
        </w:rPr>
        <w:t>-</w:t>
      </w:r>
      <w:r>
        <w:t xml:space="preserve"> Autos </w:t>
      </w:r>
      <w:hyperlink w:anchor="AUTO_2016_183" w:history="1">
        <w:r w:rsidRPr="00427CF1">
          <w:rPr>
            <w:rStyle w:val="TextoNormalCaracter"/>
          </w:rPr>
          <w:t>183/2016</w:t>
        </w:r>
      </w:hyperlink>
      <w:r>
        <w:t xml:space="preserve">; </w:t>
      </w:r>
      <w:hyperlink w:anchor="AUTO_2016_185" w:history="1">
        <w:r w:rsidRPr="00427CF1">
          <w:rPr>
            <w:rStyle w:val="TextoNormalCaracter"/>
          </w:rPr>
          <w:t>185/2016</w:t>
        </w:r>
      </w:hyperlink>
      <w:r>
        <w:t>.</w:t>
      </w:r>
    </w:p>
    <w:p w:rsidR="00427CF1" w:rsidRDefault="00427CF1" w:rsidP="00427CF1">
      <w:pPr>
        <w:pStyle w:val="SangriaFrancesaArticulo"/>
      </w:pPr>
    </w:p>
    <w:p w:rsidR="00427CF1" w:rsidRDefault="00427CF1" w:rsidP="00427CF1">
      <w:pPr>
        <w:pStyle w:val="TextoNormalNegritaCursivandice"/>
      </w:pPr>
      <w:r>
        <w:t>Ley de las Cortes de Castilla-La Mancha 1/2012, de 21 de febrero. Medidas complementarias para la aplicación del plan de garantías de servicios sociales</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45" w:history="1">
        <w:r w:rsidRPr="00427CF1">
          <w:rPr>
            <w:rStyle w:val="TextoNormalCaracter"/>
          </w:rPr>
          <w:t>145/2016</w:t>
        </w:r>
      </w:hyperlink>
      <w:r>
        <w:t>.</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 </w:t>
      </w:r>
      <w:hyperlink w:anchor="AUTO_2016_145" w:history="1">
        <w:r w:rsidRPr="00427CF1">
          <w:rPr>
            <w:rStyle w:val="TextoNormalCaracter"/>
          </w:rPr>
          <w:t>145/2016</w:t>
        </w:r>
      </w:hyperlink>
      <w:r>
        <w:t>.</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Auto </w:t>
      </w:r>
      <w:hyperlink w:anchor="AUTO_2016_145" w:history="1">
        <w:r w:rsidRPr="00427CF1">
          <w:rPr>
            <w:rStyle w:val="TextoNormalCaracter"/>
          </w:rPr>
          <w:t>145/2016</w:t>
        </w:r>
      </w:hyperlink>
      <w:r>
        <w:t>.</w:t>
      </w:r>
    </w:p>
    <w:p w:rsidR="00427CF1" w:rsidRDefault="00427CF1" w:rsidP="00427CF1">
      <w:pPr>
        <w:pStyle w:val="SangriaFrancesaArticulo"/>
      </w:pPr>
    </w:p>
    <w:p w:rsidR="00427CF1" w:rsidRDefault="00427CF1" w:rsidP="00427CF1">
      <w:pPr>
        <w:pStyle w:val="TextoNormalNegritaCursivandice"/>
      </w:pPr>
      <w:r>
        <w:t>Ley de las Cortes de Castilla-La Mancha 7/2015, de 2 de diciembre.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8" w:history="1">
        <w:r w:rsidRPr="00427CF1">
          <w:rPr>
            <w:rStyle w:val="TextoNormalCaracter"/>
          </w:rPr>
          <w:t>158/2016</w:t>
        </w:r>
      </w:hyperlink>
      <w:r>
        <w:t xml:space="preserve"> (anula).</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B.3) Castilla y León</w:t>
      </w:r>
    </w:p>
    <w:p w:rsidR="00427CF1" w:rsidRDefault="00427CF1" w:rsidP="00427CF1">
      <w:pPr>
        <w:pStyle w:val="TextoNormalNegritaCentrado"/>
      </w:pPr>
    </w:p>
    <w:p w:rsidR="00427CF1" w:rsidRDefault="00427CF1" w:rsidP="00427CF1">
      <w:pPr>
        <w:pStyle w:val="TextoNormalNegritaCursivandice"/>
      </w:pPr>
      <w:r>
        <w:t>Decreto-ley de la Junta de Castilla y León 2/2016, de 19 de mayo. Prohíbe la muerte de las reses de lidia en presencia del público en los espectáculos taurinos populares y tradicionales en Castilla y León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206" w:history="1">
        <w:r w:rsidRPr="00427CF1">
          <w:rPr>
            <w:rStyle w:val="TextoNormalCaracter"/>
          </w:rPr>
          <w:t>206/2016</w:t>
        </w:r>
      </w:hyperlink>
      <w:r>
        <w:t>.</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B.4) Cataluña</w:t>
      </w:r>
    </w:p>
    <w:p w:rsidR="00427CF1" w:rsidRDefault="00427CF1" w:rsidP="00427CF1">
      <w:pPr>
        <w:pStyle w:val="TextoNormalNegritaCentrado"/>
      </w:pPr>
    </w:p>
    <w:p w:rsidR="00427CF1" w:rsidRDefault="00427CF1" w:rsidP="00427CF1">
      <w:pPr>
        <w:pStyle w:val="TextoNormalNegritaCursivandice"/>
      </w:pPr>
      <w:r>
        <w:t>Ley del Parlamento de Cataluña 17/2000, de 29 de diciembre. Equipamientos comerciales</w:t>
      </w:r>
    </w:p>
    <w:p w:rsidR="00427CF1" w:rsidRDefault="00427CF1" w:rsidP="00427CF1">
      <w:pPr>
        <w:pStyle w:val="SangriaFrancesaArticulo"/>
      </w:pPr>
      <w:r w:rsidRPr="00427CF1">
        <w:rPr>
          <w:rStyle w:val="TextoNormalNegritaCaracter"/>
        </w:rPr>
        <w:t>Artículo 16.3.</w:t>
      </w:r>
      <w:r w:rsidRPr="00427CF1">
        <w:rPr>
          <w:rStyle w:val="TextoNormalCaracter"/>
        </w:rPr>
        <w:t>-</w:t>
      </w:r>
      <w:r>
        <w:t xml:space="preserve"> Auto </w:t>
      </w:r>
      <w:hyperlink w:anchor="AUTO_2016_182" w:history="1">
        <w:r w:rsidRPr="00427CF1">
          <w:rPr>
            <w:rStyle w:val="TextoNormalCaracter"/>
          </w:rPr>
          <w:t>182/2016</w:t>
        </w:r>
      </w:hyperlink>
      <w:r>
        <w:t>.</w:t>
      </w:r>
    </w:p>
    <w:p w:rsidR="00427CF1" w:rsidRDefault="00427CF1" w:rsidP="00427CF1">
      <w:pPr>
        <w:pStyle w:val="SangriaFrancesaArticulo"/>
      </w:pPr>
    </w:p>
    <w:p w:rsidR="00427CF1" w:rsidRDefault="00427CF1" w:rsidP="00427CF1">
      <w:pPr>
        <w:pStyle w:val="TextoNormalNegritaCursivandice"/>
      </w:pPr>
      <w:r>
        <w:t>Ley del Parlamento de Cataluña 8/2004, de 23 de diciembre. Horarios comerciales</w:t>
      </w:r>
    </w:p>
    <w:p w:rsidR="00427CF1" w:rsidRDefault="00427CF1" w:rsidP="00427CF1">
      <w:pPr>
        <w:pStyle w:val="SangriaFrancesaArticulo"/>
      </w:pPr>
      <w:r w:rsidRPr="00427CF1">
        <w:rPr>
          <w:rStyle w:val="TextoNormalNegritaCaracter"/>
        </w:rPr>
        <w:t>Artículo 1.2 a)</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1.2 a) a e)</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w:t>
      </w:r>
    </w:p>
    <w:p w:rsidR="00427CF1" w:rsidRDefault="00427CF1" w:rsidP="00427CF1">
      <w:pPr>
        <w:pStyle w:val="SangriaFrancesaArticulo"/>
      </w:pPr>
      <w:r w:rsidRPr="00427CF1">
        <w:rPr>
          <w:rStyle w:val="TextoNormalNegritaCaracter"/>
        </w:rPr>
        <w:t>Artículo 1.2 b)</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1.2 e) expresión "25 y 26 de diciembre"</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1.2 e) expresión "domingo y lunes de Pascua"</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2.1 b) expresión "los que solo son accesibles desde el interior de"</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2.1 c)</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w:t>
      </w:r>
    </w:p>
    <w:p w:rsidR="00427CF1" w:rsidRDefault="00427CF1" w:rsidP="00427CF1">
      <w:pPr>
        <w:pStyle w:val="SangriaFrancesaArticulo"/>
      </w:pPr>
      <w:r w:rsidRPr="00427CF1">
        <w:rPr>
          <w:rStyle w:val="TextoNormalNegritaCaracter"/>
        </w:rPr>
        <w:t>Artículo 2.1 d)</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w:t>
      </w:r>
    </w:p>
    <w:p w:rsidR="00427CF1" w:rsidRDefault="00427CF1" w:rsidP="00427CF1">
      <w:pPr>
        <w:pStyle w:val="SangriaFrancesaArticulo"/>
      </w:pPr>
      <w:r w:rsidRPr="00427CF1">
        <w:rPr>
          <w:rStyle w:val="TextoNormalNegritaCaracter"/>
        </w:rPr>
        <w:t>Artículo 2.1 f)</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w:t>
      </w:r>
    </w:p>
    <w:p w:rsidR="00427CF1" w:rsidRDefault="00427CF1" w:rsidP="00427CF1">
      <w:pPr>
        <w:pStyle w:val="SangriaFrancesaArticulo"/>
      </w:pPr>
      <w:r w:rsidRPr="00427CF1">
        <w:rPr>
          <w:rStyle w:val="TextoNormalNegritaCaracter"/>
        </w:rPr>
        <w:t>Artículo 2.1 i)</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2.1 l)</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w:t>
      </w:r>
    </w:p>
    <w:p w:rsidR="00427CF1" w:rsidRDefault="00427CF1" w:rsidP="00427CF1">
      <w:pPr>
        <w:pStyle w:val="SangriaFrancesaArticulo"/>
      </w:pPr>
      <w:r w:rsidRPr="00427CF1">
        <w:rPr>
          <w:rStyle w:val="TextoNormalNegritaCaracter"/>
        </w:rPr>
        <w:t>Artículo 2.2</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p>
    <w:p w:rsidR="00427CF1" w:rsidRDefault="00427CF1" w:rsidP="00427CF1">
      <w:pPr>
        <w:pStyle w:val="TextoNormalNegritaCursivandice"/>
      </w:pPr>
      <w:r>
        <w:t>Decreto Legislativo de la Generalidad de Cataluña 2/2008, de 15 de abril. Aprueba el texto refundido de la Ley de protección de los animales</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77" w:history="1">
        <w:r w:rsidRPr="00427CF1">
          <w:rPr>
            <w:rStyle w:val="TextoNormalCaracter"/>
          </w:rPr>
          <w:t>177/2016</w:t>
        </w:r>
      </w:hyperlink>
      <w:r>
        <w:t xml:space="preserve"> (anula).</w:t>
      </w:r>
    </w:p>
    <w:p w:rsidR="00427CF1" w:rsidRDefault="00427CF1" w:rsidP="00427CF1">
      <w:pPr>
        <w:pStyle w:val="SangriaFrancesaArticulo"/>
      </w:pPr>
    </w:p>
    <w:p w:rsidR="00427CF1" w:rsidRDefault="00427CF1" w:rsidP="00427CF1">
      <w:pPr>
        <w:pStyle w:val="TextoNormalNegritaCursivandice"/>
      </w:pPr>
      <w:r>
        <w:t>Decreto-ley de la Generalitat de Cataluña 1/2009, de 22 de diciembre. Ordenación de los equipamientos comerciales</w:t>
      </w:r>
    </w:p>
    <w:p w:rsidR="00427CF1" w:rsidRDefault="00427CF1" w:rsidP="00427CF1">
      <w:pPr>
        <w:pStyle w:val="SangriaFrancesaArticulo"/>
      </w:pPr>
      <w:r w:rsidRPr="00427CF1">
        <w:rPr>
          <w:rStyle w:val="TextoNormalNegritaCaracter"/>
        </w:rPr>
        <w:t>Artículo 9.3 b)</w:t>
      </w:r>
      <w:r>
        <w:t xml:space="preserve"> (redactado por el Decreto-ley de la Generalidad de Cataluña 7/2014, de 23 de diciembre)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xml:space="preserve"> (anula).</w:t>
      </w:r>
    </w:p>
    <w:p w:rsidR="00427CF1" w:rsidRDefault="00427CF1" w:rsidP="00427CF1">
      <w:pPr>
        <w:pStyle w:val="SangriaFrancesaArticulo"/>
      </w:pPr>
      <w:r w:rsidRPr="00427CF1">
        <w:rPr>
          <w:rStyle w:val="TextoNormalNegritaCaracter"/>
        </w:rPr>
        <w:t>Artículo 9.4 párrafo 2</w:t>
      </w:r>
      <w:r>
        <w:t xml:space="preserve"> (redactado por el Decreto-ley de la Generalidad de Cataluña 7/2014, de 23 de diciembre)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xml:space="preserve"> (anula).</w:t>
      </w:r>
    </w:p>
    <w:p w:rsidR="00427CF1" w:rsidRDefault="00427CF1" w:rsidP="00427CF1">
      <w:pPr>
        <w:pStyle w:val="SangriaFrancesaArticulo"/>
      </w:pPr>
      <w:r w:rsidRPr="00427CF1">
        <w:rPr>
          <w:rStyle w:val="TextoNormalNegritaCaracter"/>
        </w:rPr>
        <w:t>Artículo 21.3 a).</w:t>
      </w:r>
      <w:r w:rsidRPr="00427CF1">
        <w:rPr>
          <w:rStyle w:val="TextoNormalCaracter"/>
        </w:rPr>
        <w:t>-</w:t>
      </w:r>
      <w:r>
        <w:t xml:space="preserve"> Sentencia </w:t>
      </w:r>
      <w:hyperlink w:anchor="SENTENCIA_2016_175" w:history="1">
        <w:r w:rsidRPr="00427CF1">
          <w:rPr>
            <w:rStyle w:val="TextoNormalCaracter"/>
          </w:rPr>
          <w:t>175/2016</w:t>
        </w:r>
      </w:hyperlink>
      <w:r>
        <w:t>.</w:t>
      </w:r>
    </w:p>
    <w:p w:rsidR="00427CF1" w:rsidRDefault="00427CF1" w:rsidP="00427CF1">
      <w:pPr>
        <w:pStyle w:val="SangriaFrancesaArticulo"/>
      </w:pPr>
    </w:p>
    <w:p w:rsidR="00427CF1" w:rsidRDefault="00427CF1" w:rsidP="00427CF1">
      <w:pPr>
        <w:pStyle w:val="TextoNormalNegritaCursivandice"/>
      </w:pPr>
      <w:r>
        <w:t>Ley del Parlamento de Cataluña 28/2010, de 3 de agosto. Modificación del artículo 6 del texto refundido de la Ley de protección de los animales, aprobado por el Decreto legislativo 2/2008, de 15 de abril</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77" w:history="1">
        <w:r w:rsidRPr="00427CF1">
          <w:rPr>
            <w:rStyle w:val="TextoNormalCaracter"/>
          </w:rPr>
          <w:t>177/2016</w:t>
        </w:r>
      </w:hyperlink>
      <w:r>
        <w:t xml:space="preserve"> (anula).</w:t>
      </w:r>
    </w:p>
    <w:p w:rsidR="00427CF1" w:rsidRDefault="00427CF1" w:rsidP="00427CF1">
      <w:pPr>
        <w:pStyle w:val="SangriaFrancesaArticulo"/>
      </w:pPr>
    </w:p>
    <w:p w:rsidR="00427CF1" w:rsidRDefault="00427CF1" w:rsidP="00427CF1">
      <w:pPr>
        <w:pStyle w:val="TextoNormalNegritaCursivandice"/>
      </w:pPr>
      <w:r>
        <w:t>Decreto-ley de la Generalidad de Cataluña 4/2012, de 30 de octubre. Medidas en materia de horarios comerciales y determinadas actividades de promoción</w:t>
      </w:r>
    </w:p>
    <w:p w:rsidR="00427CF1" w:rsidRDefault="00427CF1" w:rsidP="00427CF1">
      <w:pPr>
        <w:pStyle w:val="SangriaFrancesaArticulo"/>
      </w:pPr>
      <w:r w:rsidRPr="00427CF1">
        <w:rPr>
          <w:rStyle w:val="TextoNormalNegritaCaracter"/>
        </w:rPr>
        <w:t>Artículo 5 a).</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5 b).</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r w:rsidRPr="00427CF1">
        <w:rPr>
          <w:rStyle w:val="TextoNormalNegritaCaracter"/>
        </w:rPr>
        <w:t>Artículo 5 expresión "dentro de los siguientes períodos estacionales".</w:t>
      </w:r>
      <w:r w:rsidRPr="00427CF1">
        <w:rPr>
          <w:rStyle w:val="TextoNormalCaracter"/>
        </w:rPr>
        <w:t>-</w:t>
      </w:r>
      <w:r>
        <w:t xml:space="preserve"> Sentencia </w:t>
      </w:r>
      <w:hyperlink w:anchor="SENTENCIA_2016_211" w:history="1">
        <w:r w:rsidRPr="00427CF1">
          <w:rPr>
            <w:rStyle w:val="TextoNormalCaracter"/>
          </w:rPr>
          <w:t>211/2016</w:t>
        </w:r>
      </w:hyperlink>
      <w:r>
        <w:t xml:space="preserve"> (anula).</w:t>
      </w:r>
    </w:p>
    <w:p w:rsidR="00427CF1" w:rsidRDefault="00427CF1" w:rsidP="00427CF1">
      <w:pPr>
        <w:pStyle w:val="SangriaFrancesaArticulo"/>
      </w:pPr>
    </w:p>
    <w:p w:rsidR="00427CF1" w:rsidRDefault="00427CF1" w:rsidP="00427CF1">
      <w:pPr>
        <w:pStyle w:val="TextoNormalNegritaCursivandice"/>
      </w:pPr>
      <w:r>
        <w:t>Ley del Parlamento de Cataluña 16/2014, de 4 de diciembre. Acción exterior y de relaciones con la Unión Europea</w:t>
      </w:r>
    </w:p>
    <w:p w:rsidR="00427CF1" w:rsidRDefault="00427CF1" w:rsidP="00427CF1">
      <w:pPr>
        <w:pStyle w:val="SangriaFrancesaArticulo"/>
      </w:pPr>
      <w:r w:rsidRPr="00427CF1">
        <w:rPr>
          <w:rStyle w:val="TextoNormalNegritaCaracter"/>
        </w:rPr>
        <w:t>Artículo 1 a 9.</w:t>
      </w:r>
      <w:r w:rsidRPr="00427CF1">
        <w:rPr>
          <w:rStyle w:val="TextoNormalCaracter"/>
        </w:rPr>
        <w:t>-</w:t>
      </w:r>
      <w:r>
        <w:t xml:space="preserve"> Sentencia </w:t>
      </w:r>
      <w:hyperlink w:anchor="SENTENCIA_2016_228" w:history="1">
        <w:r w:rsidRPr="00427CF1">
          <w:rPr>
            <w:rStyle w:val="TextoNormalCaracter"/>
          </w:rPr>
          <w:t>228/2016</w:t>
        </w:r>
      </w:hyperlink>
      <w:r>
        <w:t>.</w:t>
      </w:r>
    </w:p>
    <w:p w:rsidR="00427CF1" w:rsidRDefault="00427CF1" w:rsidP="00427CF1">
      <w:pPr>
        <w:pStyle w:val="SangriaFrancesaArticulo"/>
      </w:pPr>
      <w:r w:rsidRPr="00427CF1">
        <w:rPr>
          <w:rStyle w:val="TextoNormalNegritaCaracter"/>
        </w:rPr>
        <w:t>Artículo 1 expresión "la acción exterior de Cataluña".</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1.1 b) expresión "actor internacional activo".</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 xml:space="preserve">Artículo 1.1 párrafo 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28" w:history="1">
        <w:r w:rsidRPr="00427CF1">
          <w:rPr>
            <w:rStyle w:val="TextoNormalCaracter"/>
          </w:rPr>
          <w:t>228/2016</w:t>
        </w:r>
      </w:hyperlink>
      <w:r>
        <w:t>.</w:t>
      </w:r>
    </w:p>
    <w:p w:rsidR="00427CF1" w:rsidRDefault="00427CF1" w:rsidP="00427CF1">
      <w:pPr>
        <w:pStyle w:val="SangriaFrancesaArticulo"/>
      </w:pPr>
      <w:r w:rsidRPr="00427CF1">
        <w:rPr>
          <w:rStyle w:val="TextoNormalNegritaCaracter"/>
        </w:rPr>
        <w:t>Artículo 2 a).</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2 d).</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2 i).</w:t>
      </w:r>
      <w:r w:rsidRPr="00427CF1">
        <w:rPr>
          <w:rStyle w:val="TextoNormalCaracter"/>
        </w:rPr>
        <w:t>-</w:t>
      </w:r>
      <w:r>
        <w:t xml:space="preserve"> Sentencia </w:t>
      </w:r>
      <w:hyperlink w:anchor="SENTENCIA_2016_228" w:history="1">
        <w:r w:rsidRPr="00427CF1">
          <w:rPr>
            <w:rStyle w:val="TextoNormalCaracter"/>
          </w:rPr>
          <w:t>228/2016</w:t>
        </w:r>
      </w:hyperlink>
      <w:r>
        <w:t xml:space="preserve"> (anula).</w:t>
      </w:r>
    </w:p>
    <w:p w:rsidR="00427CF1" w:rsidRDefault="00427CF1" w:rsidP="00427CF1">
      <w:pPr>
        <w:pStyle w:val="SangriaFrancesaArticulo"/>
      </w:pPr>
      <w:r w:rsidRPr="00427CF1">
        <w:rPr>
          <w:rStyle w:val="TextoNormalNegritaCaracter"/>
        </w:rPr>
        <w:t>Artículo 2 j).</w:t>
      </w:r>
      <w:r w:rsidRPr="00427CF1">
        <w:rPr>
          <w:rStyle w:val="TextoNormalCaracter"/>
        </w:rPr>
        <w:t>-</w:t>
      </w:r>
      <w:r>
        <w:t xml:space="preserve"> Sentencia </w:t>
      </w:r>
      <w:hyperlink w:anchor="SENTENCIA_2016_228" w:history="1">
        <w:r w:rsidRPr="00427CF1">
          <w:rPr>
            <w:rStyle w:val="TextoNormalCaracter"/>
          </w:rPr>
          <w:t>228/2016</w:t>
        </w:r>
      </w:hyperlink>
      <w:r>
        <w:t xml:space="preserve"> (anula).</w:t>
      </w:r>
    </w:p>
    <w:p w:rsidR="00427CF1" w:rsidRDefault="00427CF1" w:rsidP="00427CF1">
      <w:pPr>
        <w:pStyle w:val="SangriaFrancesaArticulo"/>
      </w:pPr>
      <w:r w:rsidRPr="00427CF1">
        <w:rPr>
          <w:rStyle w:val="TextoNormalNegritaCaracter"/>
        </w:rPr>
        <w:t>Artículo 2 k).</w:t>
      </w:r>
      <w:r w:rsidRPr="00427CF1">
        <w:rPr>
          <w:rStyle w:val="TextoNormalCaracter"/>
        </w:rPr>
        <w:t>-</w:t>
      </w:r>
      <w:r>
        <w:t xml:space="preserve"> Sentencia </w:t>
      </w:r>
      <w:hyperlink w:anchor="SENTENCIA_2016_228" w:history="1">
        <w:r w:rsidRPr="00427CF1">
          <w:rPr>
            <w:rStyle w:val="TextoNormalCaracter"/>
          </w:rPr>
          <w:t>228/2016</w:t>
        </w:r>
      </w:hyperlink>
      <w:r>
        <w:t xml:space="preserve"> (anula).</w:t>
      </w:r>
    </w:p>
    <w:p w:rsidR="00427CF1" w:rsidRDefault="00427CF1" w:rsidP="00427CF1">
      <w:pPr>
        <w:pStyle w:val="SangriaFrancesaArticulo"/>
      </w:pPr>
      <w:r w:rsidRPr="00427CF1">
        <w:rPr>
          <w:rStyle w:val="TextoNormalNegritaCaracter"/>
        </w:rPr>
        <w:t>Artículo 2 l).</w:t>
      </w:r>
      <w:r w:rsidRPr="00427CF1">
        <w:rPr>
          <w:rStyle w:val="TextoNormalCaracter"/>
        </w:rPr>
        <w:t>-</w:t>
      </w:r>
      <w:r>
        <w:t xml:space="preserve"> Sentencia </w:t>
      </w:r>
      <w:hyperlink w:anchor="SENTENCIA_2016_228" w:history="1">
        <w:r w:rsidRPr="00427CF1">
          <w:rPr>
            <w:rStyle w:val="TextoNormalCaracter"/>
          </w:rPr>
          <w:t>228/2016</w:t>
        </w:r>
      </w:hyperlink>
      <w:r>
        <w:t xml:space="preserve"> (anula).</w:t>
      </w:r>
    </w:p>
    <w:p w:rsidR="00427CF1" w:rsidRDefault="00427CF1" w:rsidP="00427CF1">
      <w:pPr>
        <w:pStyle w:val="SangriaFrancesaArticulo"/>
      </w:pPr>
      <w:r w:rsidRPr="00427CF1">
        <w:rPr>
          <w:rStyle w:val="TextoNormalNegritaCaracter"/>
        </w:rPr>
        <w:t>Artículo 3 e) expresión "el reconocimiento del derecho a decidir de los pueblos".</w:t>
      </w:r>
      <w:r w:rsidRPr="00427CF1">
        <w:rPr>
          <w:rStyle w:val="TextoNormalCaracter"/>
        </w:rPr>
        <w:t>-</w:t>
      </w:r>
      <w:r>
        <w:t xml:space="preserve"> Sentencia </w:t>
      </w:r>
      <w:hyperlink w:anchor="SENTENCIA_2016_228" w:history="1">
        <w:r w:rsidRPr="00427CF1">
          <w:rPr>
            <w:rStyle w:val="TextoNormalCaracter"/>
          </w:rPr>
          <w:t>228/2016</w:t>
        </w:r>
      </w:hyperlink>
      <w:r>
        <w:t xml:space="preserve"> (anula).</w:t>
      </w:r>
    </w:p>
    <w:p w:rsidR="00427CF1" w:rsidRDefault="00427CF1" w:rsidP="00427CF1">
      <w:pPr>
        <w:pStyle w:val="SangriaFrancesaArticulo"/>
      </w:pPr>
      <w:r w:rsidRPr="00427CF1">
        <w:rPr>
          <w:rStyle w:val="TextoNormalNegritaCaracter"/>
        </w:rPr>
        <w:t>Artículo 3 expresión "la acción exterior de Cataluña".</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4 a) expresión "como un actor internacional comprometido, solidario y responsable".</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4 expresión "la acción exterior de Cataluña".</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7.2 e).</w:t>
      </w:r>
      <w:r w:rsidRPr="00427CF1">
        <w:rPr>
          <w:rStyle w:val="TextoNormalCaracter"/>
        </w:rPr>
        <w:t>-</w:t>
      </w:r>
      <w:r>
        <w:t xml:space="preserve"> Sentencia </w:t>
      </w:r>
      <w:hyperlink w:anchor="SENTENCIA_2016_228" w:history="1">
        <w:r w:rsidRPr="00427CF1">
          <w:rPr>
            <w:rStyle w:val="TextoNormalCaracter"/>
          </w:rPr>
          <w:t>228/2016</w:t>
        </w:r>
      </w:hyperlink>
      <w:r>
        <w:t xml:space="preserve"> (interpreta).</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 </w:t>
      </w:r>
      <w:hyperlink w:anchor="SENTENCIA_2016_228" w:history="1">
        <w:r w:rsidRPr="00427CF1">
          <w:rPr>
            <w:rStyle w:val="TextoNormalCaracter"/>
          </w:rPr>
          <w:t>228/2016</w:t>
        </w:r>
      </w:hyperlink>
      <w:r>
        <w:t>.</w:t>
      </w:r>
    </w:p>
    <w:p w:rsidR="00427CF1" w:rsidRDefault="00427CF1" w:rsidP="00427CF1">
      <w:pPr>
        <w:pStyle w:val="SangriaFrancesaArticulo"/>
      </w:pPr>
      <w:r w:rsidRPr="00427CF1">
        <w:rPr>
          <w:rStyle w:val="TextoNormalNegritaCaracter"/>
        </w:rPr>
        <w:t>Artículo 26.1 e).</w:t>
      </w:r>
      <w:r w:rsidRPr="00427CF1">
        <w:rPr>
          <w:rStyle w:val="TextoNormalCaracter"/>
        </w:rPr>
        <w:t>-</w:t>
      </w:r>
      <w:r>
        <w:t xml:space="preserve"> Sentencia </w:t>
      </w:r>
      <w:hyperlink w:anchor="SENTENCIA_2016_228" w:history="1">
        <w:r w:rsidRPr="00427CF1">
          <w:rPr>
            <w:rStyle w:val="TextoNormalCaracter"/>
          </w:rPr>
          <w:t>228/2016</w:t>
        </w:r>
      </w:hyperlink>
      <w:r>
        <w:t xml:space="preserve"> (anula).</w:t>
      </w:r>
    </w:p>
    <w:p w:rsidR="00427CF1" w:rsidRDefault="00427CF1" w:rsidP="00427CF1">
      <w:pPr>
        <w:pStyle w:val="SangriaFrancesaArticulo"/>
      </w:pPr>
      <w:r w:rsidRPr="00427CF1">
        <w:rPr>
          <w:rStyle w:val="TextoNormalNegritaCaracter"/>
        </w:rPr>
        <w:t>Artículo 29 a 38.</w:t>
      </w:r>
      <w:r w:rsidRPr="00427CF1">
        <w:rPr>
          <w:rStyle w:val="TextoNormalCaracter"/>
        </w:rPr>
        <w:t>-</w:t>
      </w:r>
      <w:r>
        <w:t xml:space="preserve"> Sentencia </w:t>
      </w:r>
      <w:hyperlink w:anchor="SENTENCIA_2016_228" w:history="1">
        <w:r w:rsidRPr="00427CF1">
          <w:rPr>
            <w:rStyle w:val="TextoNormalCaracter"/>
          </w:rPr>
          <w:t>228/2016</w:t>
        </w:r>
      </w:hyperlink>
      <w:r>
        <w:t>.</w:t>
      </w:r>
    </w:p>
    <w:p w:rsidR="00427CF1" w:rsidRDefault="00427CF1" w:rsidP="00427CF1">
      <w:pPr>
        <w:pStyle w:val="SangriaFrancesaArticulo"/>
      </w:pPr>
      <w:r w:rsidRPr="00427CF1">
        <w:rPr>
          <w:rStyle w:val="TextoNormalNegritaCaracter"/>
        </w:rPr>
        <w:t>Artículo 38.</w:t>
      </w:r>
      <w:r w:rsidRPr="00427CF1">
        <w:rPr>
          <w:rStyle w:val="TextoNormalCaracter"/>
        </w:rPr>
        <w:t>-</w:t>
      </w:r>
      <w:r>
        <w:t xml:space="preserve"> Sentencia </w:t>
      </w:r>
      <w:hyperlink w:anchor="SENTENCIA_2016_228" w:history="1">
        <w:r w:rsidRPr="00427CF1">
          <w:rPr>
            <w:rStyle w:val="TextoNormalCaracter"/>
          </w:rPr>
          <w:t>228/2016</w:t>
        </w:r>
      </w:hyperlink>
      <w:r>
        <w:t xml:space="preserve"> (anula).</w:t>
      </w:r>
    </w:p>
    <w:p w:rsidR="00427CF1" w:rsidRDefault="00427CF1" w:rsidP="00427CF1">
      <w:pPr>
        <w:pStyle w:val="SangriaFrancesaArticulo"/>
      </w:pPr>
    </w:p>
    <w:p w:rsidR="00427CF1" w:rsidRDefault="00427CF1" w:rsidP="00427CF1">
      <w:pPr>
        <w:pStyle w:val="TextoNormalNegritaCursivandice"/>
      </w:pPr>
      <w:r>
        <w:t>Decreto-ley de la Generalitat de Cataluña 7/2014, de 23 de diciembre. Deroga la letra b) del apartado 3 y el segundo párrafo del apartado 4 del artículo 9 del Decreto ley 1/2009, de 22 de diciembre, de ordenación de los equipamientos comerciales</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Sentencia </w:t>
      </w:r>
      <w:hyperlink w:anchor="SENTENCIA_2016_157" w:history="1">
        <w:r w:rsidRPr="00427CF1">
          <w:rPr>
            <w:rStyle w:val="TextoNormalCaracter"/>
          </w:rPr>
          <w:t>157/2016</w:t>
        </w:r>
      </w:hyperlink>
      <w:r>
        <w:t xml:space="preserve"> (anula).</w:t>
      </w:r>
    </w:p>
    <w:p w:rsidR="00427CF1" w:rsidRDefault="00427CF1" w:rsidP="00427CF1">
      <w:pPr>
        <w:pStyle w:val="SangriaFrancesaArticulo"/>
      </w:pPr>
    </w:p>
    <w:p w:rsidR="00427CF1" w:rsidRDefault="00427CF1" w:rsidP="00427CF1">
      <w:pPr>
        <w:pStyle w:val="TextoNormalNegritaCursivandice"/>
      </w:pPr>
      <w:r>
        <w:t>Ley del Parlamento de Cataluña 3/2015, de 11 de marzo. Medidas fiscales, financieras y administrativas</w:t>
      </w:r>
    </w:p>
    <w:p w:rsidR="00427CF1" w:rsidRDefault="00427CF1" w:rsidP="00427CF1">
      <w:pPr>
        <w:pStyle w:val="SangriaFrancesaArticulo"/>
      </w:pPr>
      <w:r w:rsidRPr="00427CF1">
        <w:rPr>
          <w:rStyle w:val="TextoNormalNegritaCaracter"/>
        </w:rPr>
        <w:t>Artículo 69.</w:t>
      </w:r>
      <w:r w:rsidRPr="00427CF1">
        <w:rPr>
          <w:rStyle w:val="TextoNormalCaracter"/>
        </w:rPr>
        <w:t>-</w:t>
      </w:r>
      <w:r>
        <w:t xml:space="preserve"> Sentencia </w:t>
      </w:r>
      <w:hyperlink w:anchor="SENTENCIA_2016_128" w:history="1">
        <w:r w:rsidRPr="00427CF1">
          <w:rPr>
            <w:rStyle w:val="TextoNormalCaracter"/>
          </w:rPr>
          <w:t>128/2016</w:t>
        </w:r>
      </w:hyperlink>
      <w:r>
        <w:t xml:space="preserve"> (anula).</w:t>
      </w:r>
    </w:p>
    <w:p w:rsidR="00427CF1" w:rsidRDefault="00427CF1" w:rsidP="00427CF1">
      <w:pPr>
        <w:pStyle w:val="SangriaFrancesaArticulo"/>
      </w:pPr>
      <w:r w:rsidRPr="00427CF1">
        <w:rPr>
          <w:rStyle w:val="TextoNormalNegritaCaracter"/>
        </w:rPr>
        <w:t>Artículo 95.</w:t>
      </w:r>
      <w:r w:rsidRPr="00427CF1">
        <w:rPr>
          <w:rStyle w:val="TextoNormalCaracter"/>
        </w:rPr>
        <w:t>-</w:t>
      </w:r>
      <w:r>
        <w:t xml:space="preserve"> Sentencia </w:t>
      </w:r>
      <w:hyperlink w:anchor="SENTENCIA_2016_128" w:history="1">
        <w:r w:rsidRPr="00427CF1">
          <w:rPr>
            <w:rStyle w:val="TextoNormalCaracter"/>
          </w:rPr>
          <w:t>128/2016</w:t>
        </w:r>
      </w:hyperlink>
      <w:r>
        <w:t xml:space="preserve"> (anula).</w:t>
      </w:r>
    </w:p>
    <w:p w:rsidR="00427CF1" w:rsidRDefault="00427CF1" w:rsidP="00427CF1">
      <w:pPr>
        <w:pStyle w:val="SangriaFrancesaArticulo"/>
      </w:pPr>
      <w:r w:rsidRPr="00427CF1">
        <w:rPr>
          <w:rStyle w:val="TextoNormalNegritaCaracter"/>
        </w:rPr>
        <w:t>Disposición adicional vigésima segunda.</w:t>
      </w:r>
      <w:r w:rsidRPr="00427CF1">
        <w:rPr>
          <w:rStyle w:val="TextoNormalCaracter"/>
        </w:rPr>
        <w:t>-</w:t>
      </w:r>
      <w:r>
        <w:t xml:space="preserve"> Sentencia </w:t>
      </w:r>
      <w:hyperlink w:anchor="SENTENCIA_2016_128" w:history="1">
        <w:r w:rsidRPr="00427CF1">
          <w:rPr>
            <w:rStyle w:val="TextoNormalCaracter"/>
          </w:rPr>
          <w:t>128/2016</w:t>
        </w:r>
      </w:hyperlink>
      <w:r>
        <w:t xml:space="preserve"> (anula).</w:t>
      </w:r>
    </w:p>
    <w:p w:rsidR="00427CF1" w:rsidRDefault="00427CF1" w:rsidP="00427CF1">
      <w:pPr>
        <w:pStyle w:val="SangriaFrancesaArticulo"/>
      </w:pPr>
      <w:r w:rsidRPr="00427CF1">
        <w:rPr>
          <w:rStyle w:val="TextoNormalNegritaCaracter"/>
        </w:rPr>
        <w:t>Disposición adicional vigésima tercera.</w:t>
      </w:r>
      <w:r w:rsidRPr="00427CF1">
        <w:rPr>
          <w:rStyle w:val="TextoNormalCaracter"/>
        </w:rPr>
        <w:t>-</w:t>
      </w:r>
      <w:r>
        <w:t xml:space="preserve"> Sentencia </w:t>
      </w:r>
      <w:hyperlink w:anchor="SENTENCIA_2016_128" w:history="1">
        <w:r w:rsidRPr="00427CF1">
          <w:rPr>
            <w:rStyle w:val="TextoNormalCaracter"/>
          </w:rPr>
          <w:t>128/2016</w:t>
        </w:r>
      </w:hyperlink>
      <w:r>
        <w:t>.</w:t>
      </w:r>
    </w:p>
    <w:p w:rsidR="00427CF1" w:rsidRDefault="00427CF1" w:rsidP="00427CF1">
      <w:pPr>
        <w:pStyle w:val="SangriaFrancesaArticulo"/>
      </w:pPr>
      <w:r w:rsidRPr="00427CF1">
        <w:rPr>
          <w:rStyle w:val="TextoNormalNegritaCaracter"/>
        </w:rPr>
        <w:t>Disposición adicional vigésima cuarta.</w:t>
      </w:r>
      <w:r w:rsidRPr="00427CF1">
        <w:rPr>
          <w:rStyle w:val="TextoNormalCaracter"/>
        </w:rPr>
        <w:t>-</w:t>
      </w:r>
      <w:r>
        <w:t xml:space="preserve"> Sentencia </w:t>
      </w:r>
      <w:hyperlink w:anchor="SENTENCIA_2016_128" w:history="1">
        <w:r w:rsidRPr="00427CF1">
          <w:rPr>
            <w:rStyle w:val="TextoNormalCaracter"/>
          </w:rPr>
          <w:t>128/2016</w:t>
        </w:r>
      </w:hyperlink>
      <w:r>
        <w:t xml:space="preserve"> (anula).</w:t>
      </w:r>
    </w:p>
    <w:p w:rsidR="00427CF1" w:rsidRDefault="00427CF1" w:rsidP="00427CF1">
      <w:pPr>
        <w:pStyle w:val="SangriaFrancesaArticulo"/>
      </w:pPr>
      <w:r w:rsidRPr="00427CF1">
        <w:rPr>
          <w:rStyle w:val="TextoNormalNegritaCaracter"/>
        </w:rPr>
        <w:t>Disposición adicional vigésima quinta.</w:t>
      </w:r>
      <w:r w:rsidRPr="00427CF1">
        <w:rPr>
          <w:rStyle w:val="TextoNormalCaracter"/>
        </w:rPr>
        <w:t>-</w:t>
      </w:r>
      <w:r>
        <w:t xml:space="preserve"> Sentencia </w:t>
      </w:r>
      <w:hyperlink w:anchor="SENTENCIA_2016_128" w:history="1">
        <w:r w:rsidRPr="00427CF1">
          <w:rPr>
            <w:rStyle w:val="TextoNormalCaracter"/>
          </w:rPr>
          <w:t>128/2016</w:t>
        </w:r>
      </w:hyperlink>
      <w:r>
        <w:t>.</w:t>
      </w:r>
    </w:p>
    <w:p w:rsidR="00427CF1" w:rsidRDefault="00427CF1" w:rsidP="00427CF1">
      <w:pPr>
        <w:pStyle w:val="SangriaFrancesaArticulo"/>
      </w:pPr>
      <w:r w:rsidRPr="00427CF1">
        <w:rPr>
          <w:rStyle w:val="TextoNormalNegritaCaracter"/>
        </w:rPr>
        <w:t>Disposición adicional vigésima sexta.</w:t>
      </w:r>
      <w:r w:rsidRPr="00427CF1">
        <w:rPr>
          <w:rStyle w:val="TextoNormalCaracter"/>
        </w:rPr>
        <w:t>-</w:t>
      </w:r>
      <w:r>
        <w:t xml:space="preserve"> Sentencia </w:t>
      </w:r>
      <w:hyperlink w:anchor="SENTENCIA_2016_128" w:history="1">
        <w:r w:rsidRPr="00427CF1">
          <w:rPr>
            <w:rStyle w:val="TextoNormalCaracter"/>
          </w:rPr>
          <w:t>128/2016</w:t>
        </w:r>
      </w:hyperlink>
      <w:r>
        <w:t xml:space="preserve"> (anula).</w:t>
      </w:r>
    </w:p>
    <w:p w:rsidR="00427CF1" w:rsidRDefault="00427CF1" w:rsidP="00427CF1">
      <w:pPr>
        <w:pStyle w:val="SangriaFrancesaArticulo"/>
      </w:pPr>
    </w:p>
    <w:p w:rsidR="00427CF1" w:rsidRDefault="00427CF1" w:rsidP="00427CF1">
      <w:pPr>
        <w:pStyle w:val="TextoNormalNegritaCursivandice"/>
      </w:pPr>
      <w:r>
        <w:t>Ley del Parlamento de Cataluña 7/2015, de 14 de mayo. Modificación de la Ley 3/2008, del ejercicio de las profesiones del deporte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0" w:history="1">
        <w:r w:rsidRPr="00427CF1">
          <w:rPr>
            <w:rStyle w:val="TextoNormalCaracter"/>
          </w:rPr>
          <w:t>140/2016</w:t>
        </w:r>
      </w:hyperlink>
      <w:r>
        <w:t>.</w:t>
      </w:r>
    </w:p>
    <w:p w:rsidR="00427CF1" w:rsidRDefault="00427CF1" w:rsidP="00427CF1">
      <w:pPr>
        <w:pStyle w:val="SangriaFrancesaArticulo"/>
      </w:pPr>
    </w:p>
    <w:p w:rsidR="00427CF1" w:rsidRDefault="00427CF1" w:rsidP="00427CF1">
      <w:pPr>
        <w:pStyle w:val="TextoNormalNegritaCursivandice"/>
      </w:pPr>
      <w:r>
        <w:t>Ley del Parlamento de Cataluña 14/2015, de 21 de julio. Impuesto sobre las viviendas vacías, y modificación de normas tributarias y la Ley 3/2012</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57" w:history="1">
        <w:r w:rsidRPr="00427CF1">
          <w:rPr>
            <w:rStyle w:val="TextoNormalCaracter"/>
          </w:rPr>
          <w:t>157/2016</w:t>
        </w:r>
      </w:hyperlink>
      <w:r>
        <w:t>.</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Auto </w:t>
      </w:r>
      <w:hyperlink w:anchor="AUTO_2016_157" w:history="1">
        <w:r w:rsidRPr="00427CF1">
          <w:rPr>
            <w:rStyle w:val="TextoNormalCaracter"/>
          </w:rPr>
          <w:t>157/2016</w:t>
        </w:r>
      </w:hyperlink>
      <w:r>
        <w:t>.</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Auto </w:t>
      </w:r>
      <w:hyperlink w:anchor="AUTO_2016_157" w:history="1">
        <w:r w:rsidRPr="00427CF1">
          <w:rPr>
            <w:rStyle w:val="TextoNormalCaracter"/>
          </w:rPr>
          <w:t>157/2016</w:t>
        </w:r>
      </w:hyperlink>
      <w:r>
        <w:t>.</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Auto </w:t>
      </w:r>
      <w:hyperlink w:anchor="AUTO_2016_157" w:history="1">
        <w:r w:rsidRPr="00427CF1">
          <w:rPr>
            <w:rStyle w:val="TextoNormalCaracter"/>
          </w:rPr>
          <w:t>157/2016</w:t>
        </w:r>
      </w:hyperlink>
      <w:r>
        <w:t>.</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Auto </w:t>
      </w:r>
      <w:hyperlink w:anchor="AUTO_2016_157" w:history="1">
        <w:r w:rsidRPr="00427CF1">
          <w:rPr>
            <w:rStyle w:val="TextoNormalCaracter"/>
          </w:rPr>
          <w:t>157/2016</w:t>
        </w:r>
      </w:hyperlink>
      <w:r>
        <w:t>.</w:t>
      </w:r>
    </w:p>
    <w:p w:rsidR="00427CF1" w:rsidRDefault="00427CF1" w:rsidP="00427CF1">
      <w:pPr>
        <w:pStyle w:val="SangriaFrancesaArticulo"/>
      </w:pPr>
    </w:p>
    <w:p w:rsidR="00427CF1" w:rsidRDefault="00427CF1" w:rsidP="00427CF1">
      <w:pPr>
        <w:pStyle w:val="TextoNormalNegritaCursivandice"/>
      </w:pPr>
      <w:r>
        <w:t>Ley del Parlamento de Cataluña 16/2015, de 21 de julio. Simplificación de la actividad administrativa de la Administración de la Generalidad y de los gobiernos locales de Cataluña y de impulso de la actividad económica</w:t>
      </w:r>
    </w:p>
    <w:p w:rsidR="00427CF1" w:rsidRDefault="00427CF1" w:rsidP="00427CF1">
      <w:pPr>
        <w:pStyle w:val="SangriaFrancesaArticulo"/>
      </w:pPr>
      <w:r w:rsidRPr="00427CF1">
        <w:rPr>
          <w:rStyle w:val="TextoNormalNegritaCaracter"/>
        </w:rPr>
        <w:t>Artículo 19.6.</w:t>
      </w:r>
      <w:r w:rsidRPr="00427CF1">
        <w:rPr>
          <w:rStyle w:val="TextoNormalCaracter"/>
        </w:rPr>
        <w:t>-</w:t>
      </w:r>
      <w:r>
        <w:t xml:space="preserve"> Auto </w:t>
      </w:r>
      <w:hyperlink w:anchor="AUTO_2016_158" w:history="1">
        <w:r w:rsidRPr="00427CF1">
          <w:rPr>
            <w:rStyle w:val="TextoNormalCaracter"/>
          </w:rPr>
          <w:t>158/2016</w:t>
        </w:r>
      </w:hyperlink>
      <w:r>
        <w:t>.</w:t>
      </w:r>
    </w:p>
    <w:p w:rsidR="00427CF1" w:rsidRDefault="00427CF1" w:rsidP="00427CF1">
      <w:pPr>
        <w:pStyle w:val="SangriaFrancesaArticulo"/>
      </w:pPr>
    </w:p>
    <w:p w:rsidR="00427CF1" w:rsidRDefault="00427CF1" w:rsidP="00427CF1">
      <w:pPr>
        <w:pStyle w:val="TextoNormalNegritaCursivandice"/>
      </w:pPr>
      <w:r>
        <w:t>Ley del Parlamento de Cataluña 17/2015, de 21 de julio. Igualdad efectiva de mujeres y hombres</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36.1.</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36.2.</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36.3.</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36.4.</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39.</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39.1.</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39.2.</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39.3.</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40.</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41.2.</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41.3.</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41.4.</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44.</w:t>
      </w:r>
      <w:r w:rsidRPr="00427CF1">
        <w:rPr>
          <w:rStyle w:val="TextoNormalCaracter"/>
        </w:rPr>
        <w:t>-</w:t>
      </w:r>
      <w:r>
        <w:t xml:space="preserve"> Sentencia </w:t>
      </w:r>
      <w:hyperlink w:anchor="SENTENCIA_2016_159" w:history="1">
        <w:r w:rsidRPr="00427CF1">
          <w:rPr>
            <w:rStyle w:val="TextoNormalCaracter"/>
          </w:rPr>
          <w:t>159/2016</w:t>
        </w:r>
      </w:hyperlink>
      <w:r>
        <w:t xml:space="preserve"> (anula).</w:t>
      </w:r>
    </w:p>
    <w:p w:rsidR="00427CF1" w:rsidRDefault="00427CF1" w:rsidP="00427CF1">
      <w:pPr>
        <w:pStyle w:val="SangriaFrancesaArticulo"/>
      </w:pPr>
      <w:r w:rsidRPr="00427CF1">
        <w:rPr>
          <w:rStyle w:val="TextoNormalNegritaCaracter"/>
        </w:rPr>
        <w:t>Artículo 59 a 64.</w:t>
      </w:r>
      <w:r w:rsidRPr="00427CF1">
        <w:rPr>
          <w:rStyle w:val="TextoNormalCaracter"/>
        </w:rPr>
        <w:t>-</w:t>
      </w:r>
      <w:r>
        <w:t xml:space="preserve"> Sentencia </w:t>
      </w:r>
      <w:hyperlink w:anchor="SENTENCIA_2016_159" w:history="1">
        <w:r w:rsidRPr="00427CF1">
          <w:rPr>
            <w:rStyle w:val="TextoNormalCaracter"/>
          </w:rPr>
          <w:t>159/2016</w:t>
        </w:r>
      </w:hyperlink>
      <w:r>
        <w:t>.</w:t>
      </w:r>
    </w:p>
    <w:p w:rsidR="00427CF1" w:rsidRDefault="00427CF1" w:rsidP="00427CF1">
      <w:pPr>
        <w:pStyle w:val="SangriaFrancesaArticulo"/>
      </w:pPr>
    </w:p>
    <w:p w:rsidR="00427CF1" w:rsidRDefault="00427CF1" w:rsidP="00427CF1">
      <w:pPr>
        <w:pStyle w:val="TextoNormalNegritaCursivandice"/>
      </w:pPr>
      <w:r>
        <w:t>Ley del Parlamento de Cataluña 19/2015, de 29 de julio. Código civil de Cataluña, libro quinto relativo a la incorporación de la propiedad temporal y de la propiedad compartida</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69" w:history="1">
        <w:r w:rsidRPr="00427CF1">
          <w:rPr>
            <w:rStyle w:val="TextoNormalCaracter"/>
          </w:rPr>
          <w:t>169/2016</w:t>
        </w:r>
      </w:hyperlink>
      <w:r>
        <w:t>.</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Auto </w:t>
      </w:r>
      <w:hyperlink w:anchor="AUTO_2016_169" w:history="1">
        <w:r w:rsidRPr="00427CF1">
          <w:rPr>
            <w:rStyle w:val="TextoNormalCaracter"/>
          </w:rPr>
          <w:t>169/2016</w:t>
        </w:r>
      </w:hyperlink>
      <w:r>
        <w:t>.</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Auto </w:t>
      </w:r>
      <w:hyperlink w:anchor="AUTO_2016_169" w:history="1">
        <w:r w:rsidRPr="00427CF1">
          <w:rPr>
            <w:rStyle w:val="TextoNormalCaracter"/>
          </w:rPr>
          <w:t>169/2016</w:t>
        </w:r>
      </w:hyperlink>
      <w:r>
        <w:t>.</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Auto </w:t>
      </w:r>
      <w:hyperlink w:anchor="AUTO_2016_169" w:history="1">
        <w:r w:rsidRPr="00427CF1">
          <w:rPr>
            <w:rStyle w:val="TextoNormalCaracter"/>
          </w:rPr>
          <w:t>169/2016</w:t>
        </w:r>
      </w:hyperlink>
      <w:r>
        <w:t>.</w:t>
      </w:r>
    </w:p>
    <w:p w:rsidR="00427CF1" w:rsidRDefault="00427CF1" w:rsidP="00427CF1">
      <w:pPr>
        <w:pStyle w:val="SangriaFrancesaArticulo"/>
      </w:pPr>
      <w:r w:rsidRPr="00427CF1">
        <w:rPr>
          <w:rStyle w:val="TextoNormalNegritaCaracter"/>
        </w:rPr>
        <w:t>Disposición final.</w:t>
      </w:r>
      <w:r w:rsidRPr="00427CF1">
        <w:rPr>
          <w:rStyle w:val="TextoNormalCaracter"/>
        </w:rPr>
        <w:t>-</w:t>
      </w:r>
      <w:r>
        <w:t xml:space="preserve"> Auto </w:t>
      </w:r>
      <w:hyperlink w:anchor="AUTO_2016_169" w:history="1">
        <w:r w:rsidRPr="00427CF1">
          <w:rPr>
            <w:rStyle w:val="TextoNormalCaracter"/>
          </w:rPr>
          <w:t>169/2016</w:t>
        </w:r>
      </w:hyperlink>
      <w:r>
        <w:t>.</w:t>
      </w:r>
    </w:p>
    <w:p w:rsidR="00427CF1" w:rsidRDefault="00427CF1" w:rsidP="00427CF1">
      <w:pPr>
        <w:pStyle w:val="SangriaFrancesaArticulo"/>
      </w:pPr>
    </w:p>
    <w:p w:rsidR="00427CF1" w:rsidRDefault="00427CF1" w:rsidP="00427CF1">
      <w:pPr>
        <w:pStyle w:val="TextoNormalNegritaCursivandice"/>
      </w:pPr>
      <w:r>
        <w:t>Ley del Parlamento de Cataluña 24/2015, de 29 de julio.  Medidas urgentes para afrontar la emergencia en el ámbito de la vivienda y la pobreza energética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60" w:history="1">
        <w:r w:rsidRPr="00427CF1">
          <w:rPr>
            <w:rStyle w:val="TextoNormalCaracter"/>
          </w:rPr>
          <w:t>160/2016</w:t>
        </w:r>
      </w:hyperlink>
      <w:r>
        <w:t>.</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B.5) Galicia</w:t>
      </w:r>
    </w:p>
    <w:p w:rsidR="00427CF1" w:rsidRDefault="00427CF1" w:rsidP="00427CF1">
      <w:pPr>
        <w:pStyle w:val="TextoNormalNegritaCentrado"/>
      </w:pPr>
    </w:p>
    <w:p w:rsidR="00427CF1" w:rsidRDefault="00427CF1" w:rsidP="00427CF1">
      <w:pPr>
        <w:pStyle w:val="TextoNormalNegritaCursivandice"/>
      </w:pPr>
      <w:r>
        <w:t>Ley del Parlamento de Galicia 5/1997, de 22 de julio. Administración local</w:t>
      </w:r>
    </w:p>
    <w:p w:rsidR="00427CF1" w:rsidRDefault="00427CF1" w:rsidP="00427CF1">
      <w:pPr>
        <w:pStyle w:val="SangriaFrancesaArticulo"/>
      </w:pPr>
      <w:r w:rsidRPr="00427CF1">
        <w:rPr>
          <w:rStyle w:val="TextoNormalNegritaCaracter"/>
        </w:rPr>
        <w:t>Artículo 32.1.</w:t>
      </w:r>
      <w:r w:rsidRPr="00427CF1">
        <w:rPr>
          <w:rStyle w:val="TextoNormalCaracter"/>
        </w:rPr>
        <w:t>-</w:t>
      </w:r>
      <w:r>
        <w:t xml:space="preserve"> Sentencia </w:t>
      </w:r>
      <w:hyperlink w:anchor="SENTENCIA_2016_127" w:history="1">
        <w:r w:rsidRPr="00427CF1">
          <w:rPr>
            <w:rStyle w:val="TextoNormalCaracter"/>
          </w:rPr>
          <w:t>127/2016</w:t>
        </w:r>
      </w:hyperlink>
      <w:r>
        <w:t>.</w:t>
      </w:r>
    </w:p>
    <w:p w:rsidR="00427CF1" w:rsidRDefault="00427CF1" w:rsidP="00427CF1">
      <w:pPr>
        <w:pStyle w:val="SangriaFrancesaArticulo"/>
      </w:pPr>
    </w:p>
    <w:p w:rsidR="00427CF1" w:rsidRDefault="00427CF1" w:rsidP="00427CF1">
      <w:pPr>
        <w:pStyle w:val="TextoNormalNegritaCursivandice"/>
      </w:pPr>
      <w:r>
        <w:t>Ley del Parlamento de Galicia 15/2010, de 28 de diciembre. Medidas fiscales y administrativas</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155" w:history="1">
        <w:r w:rsidRPr="00427CF1">
          <w:rPr>
            <w:rStyle w:val="TextoNormalCaracter"/>
          </w:rPr>
          <w:t>155/2016</w:t>
        </w:r>
      </w:hyperlink>
      <w:r>
        <w:t>.</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B.6) Madrid</w:t>
      </w:r>
    </w:p>
    <w:p w:rsidR="00427CF1" w:rsidRDefault="00427CF1" w:rsidP="00427CF1">
      <w:pPr>
        <w:pStyle w:val="TextoNormalNegritaCentrado"/>
      </w:pPr>
    </w:p>
    <w:p w:rsidR="00427CF1" w:rsidRDefault="00427CF1" w:rsidP="00427CF1">
      <w:pPr>
        <w:pStyle w:val="TextoNormalNegritaCursivandice"/>
      </w:pPr>
      <w:r>
        <w:t>Ley de la Asamblea de Madrid 5/2002, de 27 de junio.  Drogodependencias y otros trastornos adictivos</w:t>
      </w:r>
    </w:p>
    <w:p w:rsidR="00427CF1" w:rsidRDefault="00427CF1" w:rsidP="00427CF1">
      <w:pPr>
        <w:pStyle w:val="SangriaFrancesaArticulo"/>
      </w:pPr>
      <w:r w:rsidRPr="00427CF1">
        <w:rPr>
          <w:rStyle w:val="TextoNormalNegritaCaracter"/>
        </w:rPr>
        <w:t>Artículo 30.4.</w:t>
      </w:r>
      <w:r w:rsidRPr="00427CF1">
        <w:rPr>
          <w:rStyle w:val="TextoNormalCaracter"/>
        </w:rPr>
        <w:t>-</w:t>
      </w:r>
      <w:r>
        <w:t xml:space="preserve"> Auto </w:t>
      </w:r>
      <w:hyperlink w:anchor="AUTO_2016_197" w:history="1">
        <w:r w:rsidRPr="00427CF1">
          <w:rPr>
            <w:rStyle w:val="TextoNormalCaracter"/>
          </w:rPr>
          <w:t>197/2016</w:t>
        </w:r>
      </w:hyperlink>
      <w:r>
        <w:t>.</w:t>
      </w:r>
    </w:p>
    <w:p w:rsidR="00427CF1" w:rsidRDefault="00427CF1" w:rsidP="00427CF1">
      <w:pPr>
        <w:pStyle w:val="SangriaFrancesaArticulo"/>
      </w:pPr>
    </w:p>
    <w:p w:rsidR="00427CF1" w:rsidRDefault="00427CF1" w:rsidP="00427CF1">
      <w:pPr>
        <w:pStyle w:val="TextoNormalNegritaCursivandice"/>
      </w:pPr>
      <w:r>
        <w:t>Ley de la Asamblea de Madrid 2/2003, de 11 de marzo. Administración Local de la Comunidad de Madrid</w:t>
      </w:r>
    </w:p>
    <w:p w:rsidR="00427CF1" w:rsidRDefault="00427CF1" w:rsidP="00427CF1">
      <w:pPr>
        <w:pStyle w:val="SangriaFrancesaArticulo"/>
      </w:pPr>
      <w:r w:rsidRPr="00427CF1">
        <w:rPr>
          <w:rStyle w:val="TextoNormalNegritaCaracter"/>
        </w:rPr>
        <w:t>Artículo 100.3 d).</w:t>
      </w:r>
      <w:r w:rsidRPr="00427CF1">
        <w:rPr>
          <w:rStyle w:val="TextoNormalCaracter"/>
        </w:rPr>
        <w:t>-</w:t>
      </w:r>
      <w:r>
        <w:t xml:space="preserve"> Auto </w:t>
      </w:r>
      <w:hyperlink w:anchor="AUTO_2016_167" w:history="1">
        <w:r w:rsidRPr="00427CF1">
          <w:rPr>
            <w:rStyle w:val="TextoNormalCaracter"/>
          </w:rPr>
          <w:t>167/2016</w:t>
        </w:r>
      </w:hyperlink>
      <w:r>
        <w:t>.</w:t>
      </w:r>
    </w:p>
    <w:p w:rsidR="00427CF1" w:rsidRDefault="00427CF1" w:rsidP="00427CF1">
      <w:pPr>
        <w:pStyle w:val="SangriaFrancesaArticulo"/>
      </w:pPr>
    </w:p>
    <w:p w:rsidR="00427CF1" w:rsidRDefault="00427CF1" w:rsidP="00427CF1">
      <w:pPr>
        <w:pStyle w:val="TextoNormalNegritaCursivandice"/>
      </w:pPr>
      <w:r>
        <w:t>Ley de la Asamblea de Madrid 4/2010, de 29 de junio. Medidas urgentes, por la que se modifica la Ley 9/2009, de 23 de diciembre, de Presupuestos Generales de la Comunidad de Madrid para 2010, para su adecuación al Real Decreto-Ley 8/2010, de 20 de mayo, por el que se adoptan medidas extraordinarias para la reducción del déficit público</w:t>
      </w:r>
    </w:p>
    <w:p w:rsidR="00427CF1" w:rsidRDefault="00427CF1" w:rsidP="00427CF1">
      <w:pPr>
        <w:pStyle w:val="SangriaFrancesaArticulo"/>
      </w:pPr>
      <w:r w:rsidRPr="00427CF1">
        <w:rPr>
          <w:rStyle w:val="TextoNormalNegritaCaracter"/>
        </w:rPr>
        <w:t>Disposición adicional primera, apartado 1.</w:t>
      </w:r>
      <w:r w:rsidRPr="00427CF1">
        <w:rPr>
          <w:rStyle w:val="TextoNormalCaracter"/>
        </w:rPr>
        <w:t>-</w:t>
      </w:r>
      <w:r>
        <w:t xml:space="preserve"> Sentencia </w:t>
      </w:r>
      <w:hyperlink w:anchor="SENTENCIA_2016_164" w:history="1">
        <w:r w:rsidRPr="00427CF1">
          <w:rPr>
            <w:rStyle w:val="TextoNormalCaracter"/>
          </w:rPr>
          <w:t>164/2016</w:t>
        </w:r>
      </w:hyperlink>
      <w:r>
        <w:t xml:space="preserve"> (anula).</w:t>
      </w:r>
    </w:p>
    <w:p w:rsidR="00427CF1" w:rsidRDefault="00427CF1" w:rsidP="00427CF1">
      <w:pPr>
        <w:pStyle w:val="SangriaFrancesaArticulo"/>
      </w:pPr>
      <w:r w:rsidRPr="00427CF1">
        <w:rPr>
          <w:rStyle w:val="TextoNormalNegritaCaracter"/>
        </w:rPr>
        <w:t>Disposición adicional primera, apartado 2.</w:t>
      </w:r>
      <w:r w:rsidRPr="00427CF1">
        <w:rPr>
          <w:rStyle w:val="TextoNormalCaracter"/>
        </w:rPr>
        <w:t>-</w:t>
      </w:r>
      <w:r>
        <w:t xml:space="preserve"> Sentencia </w:t>
      </w:r>
      <w:hyperlink w:anchor="SENTENCIA_2016_164" w:history="1">
        <w:r w:rsidRPr="00427CF1">
          <w:rPr>
            <w:rStyle w:val="TextoNormalCaracter"/>
          </w:rPr>
          <w:t>164/2016</w:t>
        </w:r>
      </w:hyperlink>
      <w:r>
        <w:t xml:space="preserve"> (anula).</w:t>
      </w:r>
    </w:p>
    <w:p w:rsidR="00427CF1" w:rsidRDefault="00427CF1" w:rsidP="00427CF1">
      <w:pPr>
        <w:pStyle w:val="SangriaFrancesaArticulo"/>
      </w:pPr>
    </w:p>
    <w:p w:rsidR="00427CF1" w:rsidRDefault="00427CF1" w:rsidP="00427CF1">
      <w:pPr>
        <w:pStyle w:val="TextoNormalNegritaCursivandice"/>
      </w:pPr>
      <w:r>
        <w:t>Ley de la Asamblea de Madrid 4/2015, de 18 de diciembre. Modificación de la Ley 9/2001, de 17 de julio, del suelo de la Comunidad de Madrid</w:t>
      </w:r>
    </w:p>
    <w:p w:rsidR="00427CF1" w:rsidRDefault="00427CF1" w:rsidP="00427CF1">
      <w:pPr>
        <w:pStyle w:val="SangriaFrancesaArticulo"/>
      </w:pPr>
      <w:r w:rsidRPr="00427CF1">
        <w:rPr>
          <w:rStyle w:val="TextoNormalNegritaCaracter"/>
        </w:rPr>
        <w:t>Disposición adicional.</w:t>
      </w:r>
      <w:r w:rsidRPr="00427CF1">
        <w:rPr>
          <w:rStyle w:val="TextoNormalCaracter"/>
        </w:rPr>
        <w:t>-</w:t>
      </w:r>
      <w:r>
        <w:t xml:space="preserve"> Sentencia </w:t>
      </w:r>
      <w:hyperlink w:anchor="SENTENCIA_2016_170" w:history="1">
        <w:r w:rsidRPr="00427CF1">
          <w:rPr>
            <w:rStyle w:val="TextoNormalCaracter"/>
          </w:rPr>
          <w:t>170/2016</w:t>
        </w:r>
      </w:hyperlink>
      <w:r>
        <w:t>.</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B.7) Murcia</w:t>
      </w:r>
    </w:p>
    <w:p w:rsidR="00427CF1" w:rsidRDefault="00427CF1" w:rsidP="00427CF1">
      <w:pPr>
        <w:pStyle w:val="TextoNormalNegritaCentrado"/>
      </w:pPr>
    </w:p>
    <w:p w:rsidR="00427CF1" w:rsidRDefault="00427CF1" w:rsidP="00427CF1">
      <w:pPr>
        <w:pStyle w:val="TextoNormalNegritaCursivandice"/>
      </w:pPr>
      <w:r>
        <w:t>Ley de la Asamblea Regional de Murcia 10/2006, de 21 de diciembre, de Energías Renovables y Ahorro y Eficiencia Energética de la Región de Murcia</w:t>
      </w:r>
    </w:p>
    <w:p w:rsidR="00427CF1" w:rsidRDefault="00427CF1" w:rsidP="00427CF1">
      <w:pPr>
        <w:pStyle w:val="SangriaFrancesaArticulo"/>
      </w:pPr>
      <w:r w:rsidRPr="00427CF1">
        <w:rPr>
          <w:rStyle w:val="TextoNormalNegritaCaracter"/>
        </w:rPr>
        <w:t>Artículo 20 bis</w:t>
      </w:r>
      <w:r>
        <w:t xml:space="preserve"> (redactado por la Ley 11/2015, de 30 de marzo)</w:t>
      </w:r>
      <w:r w:rsidRPr="00427CF1">
        <w:rPr>
          <w:rStyle w:val="TextoNormalNegritaCaracter"/>
        </w:rPr>
        <w:t>.</w:t>
      </w:r>
      <w:r w:rsidRPr="00427CF1">
        <w:rPr>
          <w:rStyle w:val="TextoNormalCaracter"/>
        </w:rPr>
        <w:t>-</w:t>
      </w:r>
      <w:r>
        <w:t xml:space="preserve"> Sentencia </w:t>
      </w:r>
      <w:hyperlink w:anchor="SENTENCIA_2016_205" w:history="1">
        <w:r w:rsidRPr="00427CF1">
          <w:rPr>
            <w:rStyle w:val="TextoNormalCaracter"/>
          </w:rPr>
          <w:t>205/2016</w:t>
        </w:r>
      </w:hyperlink>
      <w:r>
        <w:t xml:space="preserve"> (anula).</w:t>
      </w:r>
    </w:p>
    <w:p w:rsidR="00427CF1" w:rsidRDefault="00427CF1" w:rsidP="00427CF1">
      <w:pPr>
        <w:pStyle w:val="SangriaFrancesaArticulo"/>
      </w:pPr>
    </w:p>
    <w:p w:rsidR="00427CF1" w:rsidRDefault="00427CF1" w:rsidP="00427CF1">
      <w:pPr>
        <w:pStyle w:val="TextoNormalNegritaCursivandice"/>
      </w:pPr>
      <w:r>
        <w:t>Ley de la Asamblea Regional de Murcia 9/2012, de 8 de noviembre. Adaptación de la normativa regional en materia de función pública al Real Decreto-ley 20/2012, de 13 de julio, de medidas para garantizar la estabilidad presupuestaria y de fomento de la competitividad</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34" w:history="1">
        <w:r w:rsidRPr="00427CF1">
          <w:rPr>
            <w:rStyle w:val="TextoNormalCaracter"/>
          </w:rPr>
          <w:t>134/2016</w:t>
        </w:r>
      </w:hyperlink>
      <w:r>
        <w:t>.</w:t>
      </w:r>
    </w:p>
    <w:p w:rsidR="00427CF1" w:rsidRDefault="00427CF1" w:rsidP="00427CF1">
      <w:pPr>
        <w:pStyle w:val="SangriaFrancesaArticulo"/>
      </w:pPr>
      <w:r w:rsidRPr="00427CF1">
        <w:rPr>
          <w:rStyle w:val="TextoNormalNegritaCaracter"/>
        </w:rPr>
        <w:t>Arículo 2.1.</w:t>
      </w:r>
      <w:r w:rsidRPr="00427CF1">
        <w:rPr>
          <w:rStyle w:val="TextoNormalCaracter"/>
        </w:rPr>
        <w:t>-</w:t>
      </w:r>
      <w:r>
        <w:t xml:space="preserve"> Auto </w:t>
      </w:r>
      <w:hyperlink w:anchor="AUTO_2016_143" w:history="1">
        <w:r w:rsidRPr="00427CF1">
          <w:rPr>
            <w:rStyle w:val="TextoNormalCaracter"/>
          </w:rPr>
          <w:t>143/2016</w:t>
        </w:r>
      </w:hyperlink>
      <w:r>
        <w:t>.</w:t>
      </w:r>
    </w:p>
    <w:p w:rsidR="00427CF1" w:rsidRDefault="00427CF1" w:rsidP="00427CF1">
      <w:pPr>
        <w:pStyle w:val="SangriaFrancesaArticulo"/>
      </w:pPr>
    </w:p>
    <w:p w:rsidR="00427CF1" w:rsidRDefault="00427CF1" w:rsidP="00427CF1">
      <w:pPr>
        <w:pStyle w:val="TextoNormalNegritaCursivandice"/>
      </w:pPr>
      <w:r>
        <w:t>Ley 11/2015, de 30 de marzo, de modificación de la Ley 10/2006, de 21 de diciembre. Energías Renovables y Ahorro y Eficiencia Energética de la Región de Murcia</w:t>
      </w:r>
    </w:p>
    <w:p w:rsidR="00427CF1" w:rsidRDefault="00427CF1" w:rsidP="00427CF1">
      <w:pPr>
        <w:pStyle w:val="SangriaFrancesaArticulo"/>
      </w:pPr>
      <w:r w:rsidRPr="00427CF1">
        <w:rPr>
          <w:rStyle w:val="TextoNormalNegritaCaracter"/>
        </w:rPr>
        <w:t>Artículo único, apartado 12.</w:t>
      </w:r>
      <w:r w:rsidRPr="00427CF1">
        <w:rPr>
          <w:rStyle w:val="TextoNormalCaracter"/>
        </w:rPr>
        <w:t>-</w:t>
      </w:r>
      <w:r>
        <w:t xml:space="preserve"> Sentencia </w:t>
      </w:r>
      <w:hyperlink w:anchor="SENTENCIA_2016_205" w:history="1">
        <w:r w:rsidRPr="00427CF1">
          <w:rPr>
            <w:rStyle w:val="TextoNormalCaracter"/>
          </w:rPr>
          <w:t>205/2016</w:t>
        </w:r>
      </w:hyperlink>
      <w:r>
        <w:t xml:space="preserve"> (anula).</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B.8) País Vasco</w:t>
      </w:r>
    </w:p>
    <w:p w:rsidR="00427CF1" w:rsidRDefault="00427CF1" w:rsidP="00427CF1">
      <w:pPr>
        <w:pStyle w:val="TextoNormalNegritaCentrado"/>
      </w:pPr>
    </w:p>
    <w:p w:rsidR="00427CF1" w:rsidRDefault="00427CF1" w:rsidP="00427CF1">
      <w:pPr>
        <w:pStyle w:val="TextoNormalNegritaCursivandice"/>
      </w:pPr>
      <w:r>
        <w:t>Ley del Parlamento Vasco 6/1989, de 6 de julio. Función pública vasca</w:t>
      </w:r>
    </w:p>
    <w:p w:rsidR="00427CF1" w:rsidRDefault="00427CF1" w:rsidP="00427CF1">
      <w:pPr>
        <w:pStyle w:val="SangriaFrancesaArticulo"/>
      </w:pPr>
      <w:r w:rsidRPr="00427CF1">
        <w:rPr>
          <w:rStyle w:val="TextoNormalNegritaCaracter"/>
        </w:rPr>
        <w:t>Artículo 89.2.</w:t>
      </w:r>
      <w:r w:rsidRPr="00427CF1">
        <w:rPr>
          <w:rStyle w:val="TextoNormalCaracter"/>
        </w:rPr>
        <w:t>-</w:t>
      </w:r>
      <w:r>
        <w:t xml:space="preserve"> Sentencia </w:t>
      </w:r>
      <w:hyperlink w:anchor="SENTENCIA_2016_204" w:history="1">
        <w:r w:rsidRPr="00427CF1">
          <w:rPr>
            <w:rStyle w:val="TextoNormalCaracter"/>
          </w:rPr>
          <w:t>204/2016</w:t>
        </w:r>
      </w:hyperlink>
      <w:r>
        <w:t>.</w:t>
      </w:r>
    </w:p>
    <w:p w:rsidR="00427CF1" w:rsidRDefault="00427CF1" w:rsidP="00427CF1">
      <w:pPr>
        <w:pStyle w:val="SangriaFrancesaArticulo"/>
      </w:pPr>
    </w:p>
    <w:p w:rsidR="00427CF1" w:rsidRDefault="00427CF1" w:rsidP="00427CF1">
      <w:pPr>
        <w:pStyle w:val="TextoNormalNegritaCursivandice"/>
      </w:pPr>
      <w:r>
        <w:t>Ley del Parlamento Vasco 3/2015, de 18 de junio. Vivienda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4" w:history="1">
        <w:r w:rsidRPr="00427CF1">
          <w:rPr>
            <w:rStyle w:val="TextoNormalCaracter"/>
          </w:rPr>
          <w:t>144/2016</w:t>
        </w:r>
      </w:hyperlink>
      <w:r>
        <w:t>.</w:t>
      </w:r>
    </w:p>
    <w:p w:rsidR="00427CF1" w:rsidRDefault="00427CF1" w:rsidP="00427CF1">
      <w:pPr>
        <w:pStyle w:val="SangriaFrancesaArticulo"/>
      </w:pPr>
    </w:p>
    <w:p w:rsidR="00427CF1" w:rsidRDefault="00427CF1" w:rsidP="00427CF1">
      <w:pPr>
        <w:pStyle w:val="TextoNormalNegritaCursivandice"/>
      </w:pPr>
      <w:r>
        <w:t>Ley del Parlamento Vasco 6/2015, de 30 de junio. Medidas adicionales de protección medioambiental para la extracción de hidrocarburos no convencionales y la fractura hidráulica o "fracking"</w:t>
      </w:r>
    </w:p>
    <w:p w:rsidR="00427CF1" w:rsidRDefault="00427CF1" w:rsidP="00427CF1">
      <w:pPr>
        <w:pStyle w:val="SangriaFrancesaArticulo"/>
      </w:pPr>
      <w:r w:rsidRPr="00427CF1">
        <w:rPr>
          <w:rStyle w:val="TextoNormalNegritaCaracter"/>
        </w:rPr>
        <w:t>Artículo 2 inciso sobre los hidratos de metano enterrados en el mar.</w:t>
      </w:r>
      <w:r w:rsidRPr="00427CF1">
        <w:rPr>
          <w:rStyle w:val="TextoNormalCaracter"/>
        </w:rPr>
        <w:t>-</w:t>
      </w:r>
      <w:r>
        <w:t xml:space="preserve"> Auto </w:t>
      </w:r>
      <w:hyperlink w:anchor="AUTO_2016_171" w:history="1">
        <w:r w:rsidRPr="00427CF1">
          <w:rPr>
            <w:rStyle w:val="TextoNormalCaracter"/>
          </w:rPr>
          <w:t>171/2016</w:t>
        </w:r>
      </w:hyperlink>
      <w:r>
        <w:t>.</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Auto </w:t>
      </w:r>
      <w:hyperlink w:anchor="AUTO_2016_171" w:history="1">
        <w:r w:rsidRPr="00427CF1">
          <w:rPr>
            <w:rStyle w:val="TextoNormalCaracter"/>
          </w:rPr>
          <w:t>171/2016</w:t>
        </w:r>
      </w:hyperlink>
      <w:r>
        <w:t>.</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 </w:t>
      </w:r>
      <w:hyperlink w:anchor="AUTO_2016_171" w:history="1">
        <w:r w:rsidRPr="00427CF1">
          <w:rPr>
            <w:rStyle w:val="TextoNormalCaracter"/>
          </w:rPr>
          <w:t>171/2016</w:t>
        </w:r>
      </w:hyperlink>
      <w:r>
        <w:t>.</w:t>
      </w:r>
    </w:p>
    <w:p w:rsidR="00427CF1" w:rsidRDefault="00427CF1" w:rsidP="00427CF1">
      <w:pPr>
        <w:pStyle w:val="SangriaFrancesaArticulo"/>
      </w:pPr>
      <w:r w:rsidRPr="00427CF1">
        <w:rPr>
          <w:rStyle w:val="TextoNormalNegritaCaracter"/>
        </w:rPr>
        <w:t>Artículo 6 inciso sobre así como la reposición de la situación alterada a su estado originario.</w:t>
      </w:r>
      <w:r w:rsidRPr="00427CF1">
        <w:rPr>
          <w:rStyle w:val="TextoNormalCaracter"/>
        </w:rPr>
        <w:t>-</w:t>
      </w:r>
      <w:r>
        <w:t xml:space="preserve"> Auto </w:t>
      </w:r>
      <w:hyperlink w:anchor="AUTO_2016_171" w:history="1">
        <w:r w:rsidRPr="00427CF1">
          <w:rPr>
            <w:rStyle w:val="TextoNormalCaracter"/>
          </w:rPr>
          <w:t>171/2016</w:t>
        </w:r>
      </w:hyperlink>
      <w:r>
        <w:t>.</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Auto </w:t>
      </w:r>
      <w:hyperlink w:anchor="AUTO_2016_171" w:history="1">
        <w:r w:rsidRPr="00427CF1">
          <w:rPr>
            <w:rStyle w:val="TextoNormalCaracter"/>
          </w:rPr>
          <w:t>171/2016</w:t>
        </w:r>
      </w:hyperlink>
      <w:r>
        <w:t>.</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Auto </w:t>
      </w:r>
      <w:hyperlink w:anchor="AUTO_2016_171" w:history="1">
        <w:r w:rsidRPr="00427CF1">
          <w:rPr>
            <w:rStyle w:val="TextoNormalCaracter"/>
          </w:rPr>
          <w:t>171/2016</w:t>
        </w:r>
      </w:hyperlink>
      <w:r>
        <w:t>.</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B.9) Valencia</w:t>
      </w:r>
    </w:p>
    <w:p w:rsidR="00427CF1" w:rsidRDefault="00427CF1" w:rsidP="00427CF1">
      <w:pPr>
        <w:pStyle w:val="TextoNormalNegritaCentrado"/>
      </w:pPr>
    </w:p>
    <w:p w:rsidR="00427CF1" w:rsidRDefault="00427CF1" w:rsidP="00427CF1">
      <w:pPr>
        <w:pStyle w:val="TextoNormalNegritaCursivandice"/>
      </w:pPr>
      <w:r>
        <w:t>Ley de las Cortes Valencianas 13/2009, de 29 de diciembre. Presupuestos de la Generalidad para el ejercicio 2010</w:t>
      </w:r>
    </w:p>
    <w:p w:rsidR="00427CF1" w:rsidRDefault="00427CF1" w:rsidP="00427CF1">
      <w:pPr>
        <w:pStyle w:val="SangriaFrancesaArticulo"/>
      </w:pPr>
      <w:r w:rsidRPr="00427CF1">
        <w:rPr>
          <w:rStyle w:val="TextoNormalNegritaCaracter"/>
        </w:rPr>
        <w:t>Artículo 31.6</w:t>
      </w:r>
      <w:r>
        <w:t xml:space="preserve"> (redactado por el Decreto-Ley 3/2010, de 4 de junio)</w:t>
      </w:r>
      <w:r w:rsidRPr="00427CF1">
        <w:rPr>
          <w:rStyle w:val="TextoNormalNegritaCaracter"/>
        </w:rPr>
        <w:t>.</w:t>
      </w:r>
      <w:r w:rsidRPr="00427CF1">
        <w:rPr>
          <w:rStyle w:val="TextoNormalCaracter"/>
        </w:rPr>
        <w:t>-</w:t>
      </w:r>
      <w:r>
        <w:t xml:space="preserve"> Auto </w:t>
      </w:r>
      <w:hyperlink w:anchor="AUTO_2016_159" w:history="1">
        <w:r w:rsidRPr="00427CF1">
          <w:rPr>
            <w:rStyle w:val="TextoNormalCaracter"/>
          </w:rPr>
          <w:t>159/2016</w:t>
        </w:r>
      </w:hyperlink>
      <w:r>
        <w:t>.</w:t>
      </w:r>
    </w:p>
    <w:p w:rsidR="00427CF1" w:rsidRDefault="00427CF1" w:rsidP="00427CF1">
      <w:pPr>
        <w:pStyle w:val="SangriaFrancesaArticulo"/>
      </w:pPr>
    </w:p>
    <w:p w:rsidR="00427CF1" w:rsidRDefault="00427CF1" w:rsidP="00427CF1">
      <w:pPr>
        <w:pStyle w:val="TextoNormalNegritaCursivandice"/>
      </w:pPr>
      <w:r>
        <w:t>Decreto-ley de la Generalitat Valenciana 3/2010, de 4 de junio.  Medidas urgentes en materia de retribuciones en el ámbito del sector público valenciano</w:t>
      </w:r>
    </w:p>
    <w:p w:rsidR="00427CF1" w:rsidRDefault="00427CF1" w:rsidP="00427CF1">
      <w:pPr>
        <w:pStyle w:val="SangriaFrancesaArticulo"/>
      </w:pPr>
      <w:r w:rsidRPr="00427CF1">
        <w:rPr>
          <w:rStyle w:val="TextoNormalNegritaCaracter"/>
        </w:rPr>
        <w:t>Artículo 30.7.</w:t>
      </w:r>
      <w:r w:rsidRPr="00427CF1">
        <w:rPr>
          <w:rStyle w:val="TextoNormalCaracter"/>
        </w:rPr>
        <w:t>-</w:t>
      </w:r>
      <w:r>
        <w:t xml:space="preserve"> Auto </w:t>
      </w:r>
      <w:hyperlink w:anchor="AUTO_2016_159" w:history="1">
        <w:r w:rsidRPr="00427CF1">
          <w:rPr>
            <w:rStyle w:val="TextoNormalCaracter"/>
          </w:rPr>
          <w:t>159/2016</w:t>
        </w:r>
      </w:hyperlink>
      <w:r>
        <w:t>.</w:t>
      </w:r>
    </w:p>
    <w:p w:rsidR="00427CF1" w:rsidRDefault="00427CF1" w:rsidP="00427CF1">
      <w:pPr>
        <w:pStyle w:val="SangriaFrancesaArticulo"/>
      </w:pPr>
    </w:p>
    <w:p w:rsidR="00427CF1" w:rsidRDefault="00427CF1" w:rsidP="00427CF1">
      <w:pPr>
        <w:pStyle w:val="TextoNormalNegritaCursivandice"/>
      </w:pPr>
      <w:r>
        <w:t>Estatuto del personal de Les Corts Valencianes de 16 de junio de 2010</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Auto </w:t>
      </w:r>
      <w:hyperlink w:anchor="AUTO_2016_200" w:history="1">
        <w:r w:rsidRPr="00427CF1">
          <w:rPr>
            <w:rStyle w:val="TextoNormalCaracter"/>
          </w:rPr>
          <w:t>200/2016</w:t>
        </w:r>
      </w:hyperlink>
      <w:r>
        <w:t>.</w:t>
      </w:r>
    </w:p>
    <w:p w:rsidR="00427CF1" w:rsidRDefault="00427CF1" w:rsidP="00427CF1">
      <w:pPr>
        <w:pStyle w:val="SangriaFrancesaArticulo"/>
      </w:pPr>
    </w:p>
    <w:p w:rsidR="00427CF1" w:rsidRDefault="00427CF1" w:rsidP="00427CF1">
      <w:pPr>
        <w:pStyle w:val="TextoNormalNegritaCursivandice"/>
      </w:pPr>
      <w:r>
        <w:t>Ley de las Cortes Valencianas 5/2011, de 1 de abril. Relaciones familiares de los hijos e hijas cuyos progenitores no conviven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xml:space="preserve"> (anula).</w:t>
      </w:r>
    </w:p>
    <w:p w:rsidR="00427CF1" w:rsidRDefault="00427CF1" w:rsidP="00427CF1">
      <w:pPr>
        <w:pStyle w:val="SangriaFrancesaArticulo"/>
      </w:pPr>
    </w:p>
    <w:p w:rsidR="00427CF1" w:rsidRDefault="00427CF1" w:rsidP="00427CF1">
      <w:pPr>
        <w:pStyle w:val="TextoNormalNegritaCursivandice"/>
      </w:pPr>
      <w:r>
        <w:t>Decreto-ley de la Generalitat Valenciana 6/2012, de 28 de septiembre. Desarrollo y aplicación de las disposiciones incluidas en el título I y disposiciones concordantes del Real Decreto-ley 20/2012, de 13 de julio, de medidas para garantizar la estabilidad presupuestaria y de fomento de la competitividad</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Autos </w:t>
      </w:r>
      <w:hyperlink w:anchor="AUTO_2016_138" w:history="1">
        <w:r w:rsidRPr="00427CF1">
          <w:rPr>
            <w:rStyle w:val="TextoNormalCaracter"/>
          </w:rPr>
          <w:t>138/2016</w:t>
        </w:r>
      </w:hyperlink>
      <w:r>
        <w:t xml:space="preserve">; </w:t>
      </w:r>
      <w:hyperlink w:anchor="AUTO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Autos </w:t>
      </w:r>
      <w:hyperlink w:anchor="AUTO_2016_138" w:history="1">
        <w:r w:rsidRPr="00427CF1">
          <w:rPr>
            <w:rStyle w:val="TextoNormalCaracter"/>
          </w:rPr>
          <w:t>138/2016</w:t>
        </w:r>
      </w:hyperlink>
      <w:r>
        <w:t xml:space="preserve">; </w:t>
      </w:r>
      <w:hyperlink w:anchor="AUTO_2016_139" w:history="1">
        <w:r w:rsidRPr="00427CF1">
          <w:rPr>
            <w:rStyle w:val="TextoNormalCaracter"/>
          </w:rPr>
          <w:t>139/2016</w:t>
        </w:r>
      </w:hyperlink>
      <w:r>
        <w:t>.</w:t>
      </w:r>
    </w:p>
    <w:p w:rsidR="00427CF1" w:rsidRDefault="00427CF1" w:rsidP="00427CF1">
      <w:pPr>
        <w:pStyle w:val="SangriaFrancesaArticulo"/>
      </w:pPr>
    </w:p>
    <w:p w:rsidR="00427CF1" w:rsidRDefault="00427CF1" w:rsidP="00427CF1">
      <w:pPr>
        <w:pStyle w:val="TextoNormalNegritaCursivandice"/>
      </w:pPr>
      <w:r>
        <w:t>Ley de las Cortes Valencianas 4/2013, de 27 de noviembre. Supresión de la prestación de los servicios de radiodifusión y televisión de ámbito autonómico, de titularidad de la Generalitat, así como de disolución y liquidación de Radiotelevisión Valenciana, SAU</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3" w:history="1">
        <w:r w:rsidRPr="00427CF1">
          <w:rPr>
            <w:rStyle w:val="TextoNormalCaracter"/>
          </w:rPr>
          <w:t>153/2016</w:t>
        </w:r>
      </w:hyperlink>
      <w:r>
        <w:t>.</w:t>
      </w:r>
    </w:p>
    <w:p w:rsidR="00427CF1" w:rsidRDefault="00427CF1">
      <w:pPr>
        <w:spacing w:after="160" w:line="259" w:lineRule="auto"/>
        <w:rPr>
          <w:rFonts w:ascii="Times New Roman" w:eastAsia="Times New Roman" w:hAnsi="Times New Roman" w:cs="Times New Roman"/>
          <w:sz w:val="24"/>
          <w:szCs w:val="24"/>
          <w:lang w:eastAsia="es-ES"/>
        </w:rPr>
      </w:pPr>
      <w:r>
        <w:br w:type="page"/>
      </w:r>
    </w:p>
    <w:p w:rsidR="00427CF1" w:rsidRDefault="00427CF1" w:rsidP="00427CF1">
      <w:pPr>
        <w:pStyle w:val="SangriaFrancesaArticulo"/>
      </w:pPr>
    </w:p>
    <w:p w:rsidR="00427CF1" w:rsidRDefault="00427CF1" w:rsidP="00427CF1">
      <w:pPr>
        <w:pStyle w:val="TextoNormal"/>
      </w:pPr>
    </w:p>
    <w:p w:rsidR="00427CF1" w:rsidRDefault="00427CF1" w:rsidP="00427CF1">
      <w:pPr>
        <w:pStyle w:val="TextoNormal"/>
      </w:pPr>
    </w:p>
    <w:p w:rsidR="00427CF1" w:rsidRDefault="00427CF1" w:rsidP="00427CF1">
      <w:pPr>
        <w:pStyle w:val="TextoNormal"/>
      </w:pPr>
    </w:p>
    <w:p w:rsidR="00427CF1" w:rsidRDefault="00427CF1" w:rsidP="00427CF1">
      <w:pPr>
        <w:pStyle w:val="Ttulondice"/>
        <w:suppressAutoHyphens/>
      </w:pPr>
      <w:r>
        <w:t>4. ÍNDICE DE DISPOSICIONES GENERALES IMPUGNADAS</w:t>
      </w: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pPr>
    </w:p>
    <w:p w:rsidR="00427CF1" w:rsidRDefault="00427CF1" w:rsidP="00427CF1">
      <w:pPr>
        <w:pStyle w:val="TextoNormal"/>
      </w:pPr>
      <w:bookmarkStart w:id="185" w:name="INDICE22803"/>
      <w:bookmarkEnd w:id="185"/>
    </w:p>
    <w:p w:rsidR="00427CF1" w:rsidRDefault="00427CF1" w:rsidP="00427CF1">
      <w:pPr>
        <w:pStyle w:val="TextoIndiceNivel2"/>
        <w:suppressAutoHyphens/>
      </w:pPr>
      <w:r>
        <w:t>A) Disposiciones del Estado</w:t>
      </w:r>
    </w:p>
    <w:p w:rsidR="00427CF1" w:rsidRDefault="00427CF1" w:rsidP="00427CF1">
      <w:pPr>
        <w:pStyle w:val="TextoIndiceNivel2"/>
      </w:pPr>
    </w:p>
    <w:p w:rsidR="00427CF1" w:rsidRDefault="00427CF1" w:rsidP="00427CF1">
      <w:pPr>
        <w:pStyle w:val="TextoNormalNegritaCursivandice"/>
      </w:pPr>
      <w:r>
        <w:t>Orden de la Consejería de Educación de la Junta de Andalucía de 13 de febrero de 2012. Convocatoria de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3" w:history="1">
        <w:r w:rsidRPr="00427CF1">
          <w:rPr>
            <w:rStyle w:val="TextoNormalCaracter"/>
          </w:rPr>
          <w:t>193/2016</w:t>
        </w:r>
      </w:hyperlink>
      <w:r>
        <w:t xml:space="preserve"> (anula).</w:t>
      </w:r>
    </w:p>
    <w:p w:rsidR="00427CF1" w:rsidRDefault="00427CF1" w:rsidP="00427CF1">
      <w:pPr>
        <w:pStyle w:val="SangriaFrancesaArticulo"/>
      </w:pPr>
    </w:p>
    <w:p w:rsidR="00427CF1" w:rsidRDefault="00427CF1" w:rsidP="00427CF1">
      <w:pPr>
        <w:pStyle w:val="TextoNormalNegritaCursivandice"/>
      </w:pPr>
      <w:r>
        <w:t>Real Decreto 239/2013, de 5 de abril. Establece las normas para la aplicación del Reglamento (CE) 1221/2009 del Parlamento Europeo y del Consejo, de 25 de noviembre de 2009, relativo a la participación voluntaria de organizaciones en un sistema comunitario de gestión y auditoría medioambientales (EMAS), y por el que se derogan el Reglamento (CE) 761/2001 y las Decisiones 2001/681/CE y 2006/193/CE de la Comisión</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141" w:history="1">
        <w:r w:rsidRPr="00427CF1">
          <w:rPr>
            <w:rStyle w:val="TextoNormalCaracter"/>
          </w:rPr>
          <w:t>141/2016</w:t>
        </w:r>
      </w:hyperlink>
      <w:r>
        <w:t>.</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141" w:history="1">
        <w:r w:rsidRPr="00427CF1">
          <w:rPr>
            <w:rStyle w:val="TextoNormalCaracter"/>
          </w:rPr>
          <w:t>141/2016</w:t>
        </w:r>
      </w:hyperlink>
      <w:r>
        <w:t>.</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41" w:history="1">
        <w:r w:rsidRPr="00427CF1">
          <w:rPr>
            <w:rStyle w:val="TextoNormalCaracter"/>
          </w:rPr>
          <w:t>141/2016</w:t>
        </w:r>
      </w:hyperlink>
      <w:r>
        <w:t xml:space="preserve"> (anula).</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141" w:history="1">
        <w:r w:rsidRPr="00427CF1">
          <w:rPr>
            <w:rStyle w:val="TextoNormalCaracter"/>
          </w:rPr>
          <w:t>141/2016</w:t>
        </w:r>
      </w:hyperlink>
      <w:r>
        <w:t xml:space="preserve"> (anula).</w:t>
      </w:r>
    </w:p>
    <w:p w:rsidR="00427CF1" w:rsidRDefault="00427CF1" w:rsidP="00427CF1">
      <w:pPr>
        <w:pStyle w:val="SangriaFrancesaArticulo"/>
      </w:pPr>
      <w:r w:rsidRPr="00427CF1">
        <w:rPr>
          <w:rStyle w:val="TextoNormalNegritaCaracter"/>
        </w:rPr>
        <w:t>Artículo 12.1.</w:t>
      </w:r>
      <w:r w:rsidRPr="00427CF1">
        <w:rPr>
          <w:rStyle w:val="TextoNormalCaracter"/>
        </w:rPr>
        <w:t>-</w:t>
      </w:r>
      <w:r>
        <w:t xml:space="preserve"> Sentencia </w:t>
      </w:r>
      <w:hyperlink w:anchor="SENTENCIA_2016_141" w:history="1">
        <w:r w:rsidRPr="00427CF1">
          <w:rPr>
            <w:rStyle w:val="TextoNormalCaracter"/>
          </w:rPr>
          <w:t>141/2016</w:t>
        </w:r>
      </w:hyperlink>
      <w:r>
        <w:t xml:space="preserve"> (anula).</w:t>
      </w:r>
    </w:p>
    <w:p w:rsidR="00427CF1" w:rsidRDefault="00427CF1" w:rsidP="00427CF1">
      <w:pPr>
        <w:pStyle w:val="SangriaFrancesaArticulo"/>
      </w:pPr>
      <w:r w:rsidRPr="00427CF1">
        <w:rPr>
          <w:rStyle w:val="TextoNormalNegritaCaracter"/>
        </w:rPr>
        <w:t>Artículo 12.4.</w:t>
      </w:r>
      <w:r w:rsidRPr="00427CF1">
        <w:rPr>
          <w:rStyle w:val="TextoNormalCaracter"/>
        </w:rPr>
        <w:t>-</w:t>
      </w:r>
      <w:r>
        <w:t xml:space="preserve"> Sentencia </w:t>
      </w:r>
      <w:hyperlink w:anchor="SENTENCIA_2016_141" w:history="1">
        <w:r w:rsidRPr="00427CF1">
          <w:rPr>
            <w:rStyle w:val="TextoNormalCaracter"/>
          </w:rPr>
          <w:t>141/2016</w:t>
        </w:r>
      </w:hyperlink>
      <w:r>
        <w:t xml:space="preserve"> (anula).</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41" w:history="1">
        <w:r w:rsidRPr="00427CF1">
          <w:rPr>
            <w:rStyle w:val="TextoNormalCaracter"/>
          </w:rPr>
          <w:t>141/2016</w:t>
        </w:r>
      </w:hyperlink>
      <w:r>
        <w:t xml:space="preserve"> (anula).</w:t>
      </w:r>
    </w:p>
    <w:p w:rsidR="00427CF1" w:rsidRDefault="00427CF1" w:rsidP="00427CF1">
      <w:pPr>
        <w:pStyle w:val="SangriaFrancesaArticulo"/>
      </w:pPr>
      <w:r w:rsidRPr="00427CF1">
        <w:rPr>
          <w:rStyle w:val="TextoNormalNegritaCaracter"/>
        </w:rPr>
        <w:t xml:space="preserve">Disposición final tercera,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1" w:history="1">
        <w:r w:rsidRPr="00427CF1">
          <w:rPr>
            <w:rStyle w:val="TextoNormalCaracter"/>
          </w:rPr>
          <w:t>141/2016</w:t>
        </w:r>
      </w:hyperlink>
      <w:r>
        <w:t xml:space="preserve"> (anula).</w:t>
      </w:r>
    </w:p>
    <w:p w:rsidR="00427CF1" w:rsidRDefault="00427CF1" w:rsidP="00427CF1">
      <w:pPr>
        <w:pStyle w:val="SangriaFrancesaArticulo"/>
      </w:pPr>
    </w:p>
    <w:p w:rsidR="00427CF1" w:rsidRDefault="00427CF1" w:rsidP="00427CF1">
      <w:pPr>
        <w:pStyle w:val="TextoNormalNegritaCursivandice"/>
      </w:pPr>
      <w:r>
        <w:t>Real Decreto-ley 9/2013, de 12 de julio. Adopta medidas urgentes para garantizar la estabilidad financiera del sistema eléctrico</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81" w:history="1">
        <w:r w:rsidRPr="00427CF1">
          <w:rPr>
            <w:rStyle w:val="TextoNormalCaracter"/>
          </w:rPr>
          <w:t>181/2016</w:t>
        </w:r>
      </w:hyperlink>
      <w:r>
        <w:t>.</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81" w:history="1">
        <w:r w:rsidRPr="00427CF1">
          <w:rPr>
            <w:rStyle w:val="TextoNormalCaracter"/>
          </w:rPr>
          <w:t>181/2016</w:t>
        </w:r>
      </w:hyperlink>
      <w:r>
        <w:t>.</w:t>
      </w:r>
    </w:p>
    <w:p w:rsidR="00427CF1" w:rsidRDefault="00427CF1" w:rsidP="00427CF1">
      <w:pPr>
        <w:pStyle w:val="SangriaFrancesaArticulo"/>
      </w:pPr>
      <w:r w:rsidRPr="00427CF1">
        <w:rPr>
          <w:rStyle w:val="TextoNormalNegritaCaracter"/>
        </w:rPr>
        <w:t>Anexo I.</w:t>
      </w:r>
      <w:r w:rsidRPr="00427CF1">
        <w:rPr>
          <w:rStyle w:val="TextoNormalCaracter"/>
        </w:rPr>
        <w:t>-</w:t>
      </w:r>
      <w:r>
        <w:t xml:space="preserve"> Sentencia </w:t>
      </w:r>
      <w:hyperlink w:anchor="SENTENCIA_2016_181" w:history="1">
        <w:r w:rsidRPr="00427CF1">
          <w:rPr>
            <w:rStyle w:val="TextoNormalCaracter"/>
          </w:rPr>
          <w:t>181/2016</w:t>
        </w:r>
      </w:hyperlink>
      <w:r>
        <w:t>.</w:t>
      </w:r>
    </w:p>
    <w:p w:rsidR="00427CF1" w:rsidRDefault="00427CF1" w:rsidP="00427CF1">
      <w:pPr>
        <w:pStyle w:val="SangriaFrancesaArticulo"/>
      </w:pPr>
      <w:r w:rsidRPr="00427CF1">
        <w:rPr>
          <w:rStyle w:val="TextoNormalNegritaCaracter"/>
        </w:rPr>
        <w:t>Anexo II.</w:t>
      </w:r>
      <w:r w:rsidRPr="00427CF1">
        <w:rPr>
          <w:rStyle w:val="TextoNormalCaracter"/>
        </w:rPr>
        <w:t>-</w:t>
      </w:r>
      <w:r>
        <w:t xml:space="preserve"> Sentencia </w:t>
      </w:r>
      <w:hyperlink w:anchor="SENTENCIA_2016_181" w:history="1">
        <w:r w:rsidRPr="00427CF1">
          <w:rPr>
            <w:rStyle w:val="TextoNormalCaracter"/>
          </w:rPr>
          <w:t>181/2016</w:t>
        </w:r>
      </w:hyperlink>
      <w:r>
        <w:t>.</w:t>
      </w:r>
    </w:p>
    <w:p w:rsidR="00427CF1" w:rsidRDefault="00427CF1" w:rsidP="00427CF1">
      <w:pPr>
        <w:pStyle w:val="SangriaFrancesaArticulo"/>
      </w:pPr>
    </w:p>
    <w:p w:rsidR="00427CF1" w:rsidRDefault="00427CF1" w:rsidP="00427CF1">
      <w:pPr>
        <w:pStyle w:val="TextoNormalNegritaCursivandice"/>
      </w:pPr>
      <w:r>
        <w:t>Real Decreto 954/2015, de 23 de octubre. Regula la indicación, uso y autorización de dispensación de medicamentos y productos sanitarios de uso humano por parte de los enfermeros</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Artículo 3.2 párrafo 1.</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Artículo 10.1 párrafo 3.</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Artículo 10.2 párrafo 1.</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Artículo 10.3 párrafo 1.</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Disposición transitoria única, apartado 3 párrafo 2.</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Disposición final cuarta, apartado 4.</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Anexo II.</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p>
    <w:p w:rsidR="00427CF1" w:rsidRDefault="00427CF1" w:rsidP="00427CF1">
      <w:pPr>
        <w:pStyle w:val="TextoNormalNegritaCursivandice"/>
      </w:pPr>
      <w:r>
        <w:t>Real Decreto 1/2016, de 8 de enero. Aprueba la revisión de los planes hidrológicos de las demarcaciones hidrográficas del Cantábrico Occidental, Guadalquivir, Ceuta, Melilla, Segura y Júcar, y de la parte española de las demarcaciones hidrográficas del Cantábrico Oriental, Miño-Sil, Duero, Tajo, Guadiana y Ebro</w:t>
      </w:r>
    </w:p>
    <w:p w:rsidR="00427CF1" w:rsidRDefault="00427CF1" w:rsidP="00427CF1">
      <w:pPr>
        <w:pStyle w:val="SangriaFrancesaArticulo"/>
      </w:pPr>
      <w:r w:rsidRPr="00427CF1">
        <w:rPr>
          <w:rStyle w:val="TextoNormalNegritaCaracter"/>
        </w:rPr>
        <w:t>Anexo XI.</w:t>
      </w:r>
      <w:r w:rsidRPr="00427CF1">
        <w:rPr>
          <w:rStyle w:val="TextoNormalCaracter"/>
        </w:rPr>
        <w:t>-</w:t>
      </w:r>
      <w:r>
        <w:t xml:space="preserve"> Sentencia </w:t>
      </w:r>
      <w:hyperlink w:anchor="SENTENCIA_2016_216" w:history="1">
        <w:r w:rsidRPr="00427CF1">
          <w:rPr>
            <w:rStyle w:val="TextoNormalCaracter"/>
          </w:rPr>
          <w:t>216/2016</w:t>
        </w:r>
      </w:hyperlink>
      <w:r>
        <w:t>.</w:t>
      </w:r>
    </w:p>
    <w:p w:rsidR="00427CF1" w:rsidRDefault="00427CF1" w:rsidP="00427CF1">
      <w:pPr>
        <w:pStyle w:val="SangriaFrancesaArticulo"/>
      </w:pPr>
      <w:r w:rsidRPr="00427CF1">
        <w:rPr>
          <w:rStyle w:val="TextoNormalNegritaCaracter"/>
        </w:rPr>
        <w:t>Anexo XI, artículo 1.</w:t>
      </w:r>
      <w:r w:rsidRPr="00427CF1">
        <w:rPr>
          <w:rStyle w:val="TextoNormalCaracter"/>
        </w:rPr>
        <w:t>-</w:t>
      </w:r>
      <w:r>
        <w:t xml:space="preserve"> Sentencia </w:t>
      </w:r>
      <w:hyperlink w:anchor="SENTENCIA_2016_216" w:history="1">
        <w:r w:rsidRPr="00427CF1">
          <w:rPr>
            <w:rStyle w:val="TextoNormalCaracter"/>
          </w:rPr>
          <w:t>216/2016</w:t>
        </w:r>
      </w:hyperlink>
      <w:r>
        <w:t>.</w:t>
      </w:r>
    </w:p>
    <w:p w:rsidR="00427CF1" w:rsidRDefault="00427CF1" w:rsidP="00427CF1">
      <w:pPr>
        <w:pStyle w:val="SangriaFrancesaArticulo"/>
      </w:pPr>
      <w:r w:rsidRPr="00427CF1">
        <w:rPr>
          <w:rStyle w:val="TextoNormalNegritaCaracter"/>
        </w:rPr>
        <w:t>Anexo XI, artículo 2.</w:t>
      </w:r>
      <w:r w:rsidRPr="00427CF1">
        <w:rPr>
          <w:rStyle w:val="TextoNormalCaracter"/>
        </w:rPr>
        <w:t>-</w:t>
      </w:r>
      <w:r>
        <w:t xml:space="preserve"> Sentencia </w:t>
      </w:r>
      <w:hyperlink w:anchor="SENTENCIA_2016_216" w:history="1">
        <w:r w:rsidRPr="00427CF1">
          <w:rPr>
            <w:rStyle w:val="TextoNormalCaracter"/>
          </w:rPr>
          <w:t>216/2016</w:t>
        </w:r>
      </w:hyperlink>
      <w:r>
        <w:t>.</w:t>
      </w:r>
    </w:p>
    <w:p w:rsidR="00427CF1" w:rsidRDefault="00427CF1" w:rsidP="00427CF1">
      <w:pPr>
        <w:pStyle w:val="SangriaFrancesaArticulo"/>
      </w:pPr>
      <w:r w:rsidRPr="00427CF1">
        <w:rPr>
          <w:rStyle w:val="TextoNormalNegritaCaracter"/>
        </w:rPr>
        <w:t>Anexo XI, artículo 3.</w:t>
      </w:r>
      <w:r w:rsidRPr="00427CF1">
        <w:rPr>
          <w:rStyle w:val="TextoNormalCaracter"/>
        </w:rPr>
        <w:t>-</w:t>
      </w:r>
      <w:r>
        <w:t xml:space="preserve"> Sentencia </w:t>
      </w:r>
      <w:hyperlink w:anchor="SENTENCIA_2016_216" w:history="1">
        <w:r w:rsidRPr="00427CF1">
          <w:rPr>
            <w:rStyle w:val="TextoNormalCaracter"/>
          </w:rPr>
          <w:t>216/2016</w:t>
        </w:r>
      </w:hyperlink>
      <w:r>
        <w:t>.</w:t>
      </w:r>
    </w:p>
    <w:p w:rsidR="00427CF1" w:rsidRDefault="00427CF1" w:rsidP="00427CF1">
      <w:pPr>
        <w:pStyle w:val="SangriaFrancesaArticulo"/>
      </w:pPr>
    </w:p>
    <w:p w:rsidR="00427CF1" w:rsidRDefault="00427CF1" w:rsidP="00427CF1">
      <w:pPr>
        <w:pStyle w:val="TextoNormalNegritaCursivandice"/>
      </w:pPr>
      <w:r>
        <w:t>Real Decreto 56/2016, de 12 de febrero.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71" w:history="1">
        <w:r w:rsidRPr="00427CF1">
          <w:rPr>
            <w:rStyle w:val="TextoNormalCaracter"/>
          </w:rPr>
          <w:t>171/2016</w:t>
        </w:r>
      </w:hyperlink>
      <w:r>
        <w:t>.</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71" w:history="1">
        <w:r w:rsidRPr="00427CF1">
          <w:rPr>
            <w:rStyle w:val="TextoNormalCaracter"/>
          </w:rPr>
          <w:t>171/2016</w:t>
        </w:r>
      </w:hyperlink>
      <w:r>
        <w:t>.</w:t>
      </w:r>
    </w:p>
    <w:p w:rsidR="00427CF1" w:rsidRDefault="00427CF1" w:rsidP="00427CF1">
      <w:pPr>
        <w:pStyle w:val="SangriaFrancesaArticulo"/>
      </w:pPr>
      <w:r w:rsidRPr="00427CF1">
        <w:rPr>
          <w:rStyle w:val="TextoNormalNegritaCaracter"/>
        </w:rPr>
        <w:t>Disposición final cuarta.</w:t>
      </w:r>
      <w:r w:rsidRPr="00427CF1">
        <w:rPr>
          <w:rStyle w:val="TextoNormalCaracter"/>
        </w:rPr>
        <w:t>-</w:t>
      </w:r>
      <w:r>
        <w:t xml:space="preserve"> Sentencia </w:t>
      </w:r>
      <w:hyperlink w:anchor="SENTENCIA_2016_171" w:history="1">
        <w:r w:rsidRPr="00427CF1">
          <w:rPr>
            <w:rStyle w:val="TextoNormalCaracter"/>
          </w:rPr>
          <w:t>171/2016</w:t>
        </w:r>
      </w:hyperlink>
      <w:r>
        <w:t>.</w:t>
      </w:r>
    </w:p>
    <w:p w:rsidR="00427CF1" w:rsidRDefault="00427CF1" w:rsidP="00427CF1">
      <w:pPr>
        <w:pStyle w:val="TextoNormal"/>
      </w:pPr>
    </w:p>
    <w:p w:rsidR="00427CF1" w:rsidRDefault="00427CF1" w:rsidP="00427CF1">
      <w:pPr>
        <w:pStyle w:val="SangriaFrancesaArticulo"/>
      </w:pPr>
      <w:bookmarkStart w:id="186" w:name="INDICE22824"/>
    </w:p>
    <w:bookmarkEnd w:id="186"/>
    <w:p w:rsidR="00427CF1" w:rsidRDefault="00427CF1" w:rsidP="00427CF1">
      <w:pPr>
        <w:pStyle w:val="TextoIndiceNivel2"/>
        <w:suppressAutoHyphens/>
      </w:pPr>
      <w:r>
        <w:t>B) Disposiciones de las Comunidades y Ciudades Autónomas</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B.1) Cataluña</w:t>
      </w:r>
    </w:p>
    <w:p w:rsidR="00427CF1" w:rsidRDefault="00427CF1" w:rsidP="00427CF1">
      <w:pPr>
        <w:pStyle w:val="TextoNormalNegritaCentrado"/>
      </w:pPr>
    </w:p>
    <w:p w:rsidR="00427CF1" w:rsidRDefault="00427CF1" w:rsidP="00427CF1">
      <w:pPr>
        <w:pStyle w:val="TextoNormalNegritaCursivandice"/>
      </w:pPr>
      <w:r>
        <w:t>Resolución del Parlamento de Cataluña 263/XI, de 27 de julio de 2016. Ratifica el informe y las conclusiones de la comisión de estudio del proceso constituyente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70" w:history="1">
        <w:r w:rsidRPr="00427CF1">
          <w:rPr>
            <w:rStyle w:val="TextoNormalCaracter"/>
          </w:rPr>
          <w:t>170/2016</w:t>
        </w:r>
      </w:hyperlink>
      <w:r>
        <w:t xml:space="preserve"> (anula).</w:t>
      </w:r>
    </w:p>
    <w:p w:rsidR="00427CF1" w:rsidRDefault="00427CF1" w:rsidP="00427CF1">
      <w:pPr>
        <w:pStyle w:val="TextoNormal"/>
      </w:pPr>
    </w:p>
    <w:p w:rsidR="00427CF1" w:rsidRDefault="00427CF1" w:rsidP="00427CF1">
      <w:pPr>
        <w:pStyle w:val="SangriaFrancesaArticulo"/>
      </w:pPr>
      <w:bookmarkStart w:id="187" w:name="INDICE22825"/>
    </w:p>
    <w:bookmarkEnd w:id="187"/>
    <w:p w:rsidR="00427CF1" w:rsidRDefault="00427CF1" w:rsidP="00427CF1">
      <w:pPr>
        <w:pStyle w:val="TextoIndiceNivel2"/>
        <w:suppressAutoHyphens/>
      </w:pPr>
      <w:r>
        <w:t>C) Disposiciones de territorios históricos y corporaciones locales</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C.2) Territorios históricos</w:t>
      </w:r>
    </w:p>
    <w:p w:rsidR="00427CF1" w:rsidRDefault="00427CF1" w:rsidP="00427CF1">
      <w:pPr>
        <w:pStyle w:val="TextoNormal"/>
      </w:pPr>
    </w:p>
    <w:p w:rsidR="00427CF1" w:rsidRDefault="00427CF1" w:rsidP="00427CF1">
      <w:pPr>
        <w:pStyle w:val="TextoNormalNegritaCentradoSubrayado"/>
        <w:suppressAutoHyphens/>
      </w:pPr>
      <w:r>
        <w:t>C.2.1) Gipuzkoa</w:t>
      </w:r>
    </w:p>
    <w:p w:rsidR="00427CF1" w:rsidRDefault="00427CF1" w:rsidP="00427CF1">
      <w:pPr>
        <w:pStyle w:val="TextoNormalNegritaCentradoSubrayado"/>
      </w:pPr>
    </w:p>
    <w:p w:rsidR="00427CF1" w:rsidRDefault="00427CF1" w:rsidP="00427CF1">
      <w:pPr>
        <w:pStyle w:val="TextoNormalNegritaCursivandice"/>
      </w:pPr>
      <w:r>
        <w:t>Norma Foral de la Junta General de Gipuzkoa 10/2006, de 29 de diciembre. Impuesto sobre la renta de las personas físicas del territorio histórico de Guipúzcoa</w:t>
      </w:r>
    </w:p>
    <w:p w:rsidR="00427CF1" w:rsidRDefault="00427CF1" w:rsidP="00427CF1">
      <w:pPr>
        <w:pStyle w:val="SangriaFrancesaArticulo"/>
      </w:pPr>
      <w:r w:rsidRPr="00427CF1">
        <w:rPr>
          <w:rStyle w:val="TextoNormalNegritaCaracter"/>
        </w:rPr>
        <w:t>Artículo 30.2.</w:t>
      </w:r>
      <w:r w:rsidRPr="00427CF1">
        <w:rPr>
          <w:rStyle w:val="TextoNormalCaracter"/>
        </w:rPr>
        <w:t>-</w:t>
      </w:r>
      <w:r>
        <w:t xml:space="preserve"> Sentencia </w:t>
      </w:r>
      <w:hyperlink w:anchor="SENTENCIA_2016_203" w:history="1">
        <w:r w:rsidRPr="00427CF1">
          <w:rPr>
            <w:rStyle w:val="TextoNormalCaracter"/>
          </w:rPr>
          <w:t>203/2016</w:t>
        </w:r>
      </w:hyperlink>
      <w:r>
        <w:t xml:space="preserve"> (anula).</w:t>
      </w:r>
    </w:p>
    <w:p w:rsidR="00427CF1" w:rsidRDefault="00427CF1">
      <w:pPr>
        <w:spacing w:after="160" w:line="259" w:lineRule="auto"/>
        <w:rPr>
          <w:rFonts w:ascii="Times New Roman" w:eastAsia="Times New Roman" w:hAnsi="Times New Roman" w:cs="Times New Roman"/>
          <w:sz w:val="24"/>
          <w:szCs w:val="24"/>
          <w:lang w:eastAsia="es-ES"/>
        </w:rPr>
      </w:pPr>
      <w:r>
        <w:br w:type="page"/>
      </w:r>
    </w:p>
    <w:p w:rsidR="00427CF1" w:rsidRDefault="00427CF1" w:rsidP="00427CF1">
      <w:pPr>
        <w:pStyle w:val="SangriaFrancesaArticulo"/>
      </w:pPr>
    </w:p>
    <w:p w:rsidR="00427CF1" w:rsidRDefault="00427CF1" w:rsidP="00427CF1">
      <w:pPr>
        <w:pStyle w:val="TextoNormal"/>
      </w:pPr>
    </w:p>
    <w:p w:rsidR="00427CF1" w:rsidRDefault="00427CF1" w:rsidP="00427CF1">
      <w:pPr>
        <w:pStyle w:val="TextoNormal"/>
      </w:pPr>
    </w:p>
    <w:p w:rsidR="00427CF1" w:rsidRDefault="00427CF1" w:rsidP="00427CF1">
      <w:pPr>
        <w:pStyle w:val="TextoNormal"/>
      </w:pPr>
    </w:p>
    <w:p w:rsidR="00427CF1" w:rsidRDefault="00427CF1" w:rsidP="00427CF1">
      <w:pPr>
        <w:pStyle w:val="Ttulondice"/>
        <w:suppressAutoHyphens/>
      </w:pPr>
      <w:r>
        <w:t>5. ÍNDICE DE DISPOSICIONES CITADAS</w:t>
      </w: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pPr>
    </w:p>
    <w:p w:rsidR="00427CF1" w:rsidRDefault="00427CF1" w:rsidP="00427CF1">
      <w:pPr>
        <w:pStyle w:val="TextoNormal"/>
      </w:pPr>
      <w:bookmarkStart w:id="188" w:name="INDICE22804"/>
      <w:bookmarkEnd w:id="188"/>
    </w:p>
    <w:p w:rsidR="00427CF1" w:rsidRDefault="00427CF1" w:rsidP="00427CF1">
      <w:pPr>
        <w:pStyle w:val="TextoIndiceNivel2"/>
        <w:suppressAutoHyphens/>
      </w:pPr>
      <w:r>
        <w:t>A) Constitución</w:t>
      </w:r>
    </w:p>
    <w:p w:rsidR="00427CF1" w:rsidRDefault="00427CF1" w:rsidP="00427CF1">
      <w:pPr>
        <w:pStyle w:val="TextoIndiceNivel2"/>
      </w:pPr>
    </w:p>
    <w:p w:rsidR="00427CF1" w:rsidRDefault="00427CF1" w:rsidP="00427CF1">
      <w:pPr>
        <w:pStyle w:val="TextoNormalNegritaCursivandice"/>
      </w:pPr>
      <w:r>
        <w:t>Constitución española, de 27 de diciembre de 1978</w:t>
      </w:r>
    </w:p>
    <w:p w:rsidR="00427CF1" w:rsidRDefault="00427CF1" w:rsidP="00427CF1">
      <w:pPr>
        <w:pStyle w:val="SangriaFrancesaArticulo"/>
      </w:pPr>
      <w:r w:rsidRPr="00427CF1">
        <w:rPr>
          <w:rStyle w:val="TextoNormalNegritaCaracter"/>
        </w:rPr>
        <w:t>Título I.</w:t>
      </w:r>
      <w:r w:rsidRPr="00427CF1">
        <w:rPr>
          <w:rStyle w:val="TextoNormalCaracter"/>
        </w:rPr>
        <w:t>-</w:t>
      </w:r>
      <w:r>
        <w:t xml:space="preserve"> Sentencia </w:t>
      </w:r>
      <w:hyperlink w:anchor="SENTENCIA_2016_139" w:history="1">
        <w:r w:rsidRPr="00427CF1">
          <w:rPr>
            <w:rStyle w:val="TextoNormalCaracter"/>
          </w:rPr>
          <w:t>139/2016</w:t>
        </w:r>
      </w:hyperlink>
      <w:r>
        <w:t>, f. 6, VP I.</w:t>
      </w:r>
    </w:p>
    <w:p w:rsidR="00427CF1" w:rsidRDefault="00427CF1" w:rsidP="00427CF1">
      <w:pPr>
        <w:pStyle w:val="SangriaFrancesaArticulo"/>
      </w:pPr>
      <w:r w:rsidRPr="00427CF1">
        <w:rPr>
          <w:rStyle w:val="TextoNormalNegritaCaracter"/>
        </w:rPr>
        <w:t>Título I, capítulo II.</w:t>
      </w:r>
      <w:r w:rsidRPr="00427CF1">
        <w:rPr>
          <w:rStyle w:val="TextoNormalCaracter"/>
        </w:rPr>
        <w:t>-</w:t>
      </w:r>
      <w:r>
        <w:t xml:space="preserve"> Sentencia </w:t>
      </w:r>
      <w:hyperlink w:anchor="SENTENCIA_2016_139" w:history="1">
        <w:r w:rsidRPr="00427CF1">
          <w:rPr>
            <w:rStyle w:val="TextoNormalCaracter"/>
          </w:rPr>
          <w:t>139/2016</w:t>
        </w:r>
      </w:hyperlink>
      <w:r>
        <w:t>, f. 13, VP I.</w:t>
      </w:r>
    </w:p>
    <w:p w:rsidR="00427CF1" w:rsidRDefault="00427CF1" w:rsidP="00427CF1">
      <w:pPr>
        <w:pStyle w:val="SangriaFrancesaArticulo"/>
      </w:pPr>
      <w:r w:rsidRPr="00427CF1">
        <w:rPr>
          <w:rStyle w:val="TextoNormalNegritaCaracter"/>
        </w:rPr>
        <w:t>Título I, capítulo II, sección primera.</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Título I, capítulo II, sección segunda.</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Título I, capítulo III.</w:t>
      </w:r>
      <w:r w:rsidRPr="00427CF1">
        <w:rPr>
          <w:rStyle w:val="TextoNormalCaracter"/>
        </w:rPr>
        <w:t>-</w:t>
      </w:r>
      <w:r>
        <w:t xml:space="preserve"> Sentencia </w:t>
      </w:r>
      <w:hyperlink w:anchor="SENTENCIA_2016_139" w:history="1">
        <w:r w:rsidRPr="00427CF1">
          <w:rPr>
            <w:rStyle w:val="TextoNormalCaracter"/>
          </w:rPr>
          <w:t>139/2016</w:t>
        </w:r>
      </w:hyperlink>
      <w:r>
        <w:t>, ff. 8, 10, VP I.</w:t>
      </w:r>
    </w:p>
    <w:p w:rsidR="00427CF1" w:rsidRDefault="00427CF1" w:rsidP="00427CF1">
      <w:pPr>
        <w:pStyle w:val="SangriaFrancesaArticulo"/>
      </w:pPr>
      <w:r w:rsidRPr="00427CF1">
        <w:rPr>
          <w:rStyle w:val="TextoNormalNegritaCaracter"/>
        </w:rPr>
        <w:t>Título II.</w:t>
      </w:r>
      <w:r w:rsidRPr="00427CF1">
        <w:rPr>
          <w:rStyle w:val="TextoNormalCaracter"/>
        </w:rPr>
        <w:t>-</w:t>
      </w:r>
      <w:r>
        <w:t xml:space="preserve"> Sentencia </w:t>
      </w:r>
      <w:hyperlink w:anchor="SENTENCIA_2016_142" w:history="1">
        <w:r w:rsidRPr="00427CF1">
          <w:rPr>
            <w:rStyle w:val="TextoNormalCaracter"/>
          </w:rPr>
          <w:t>142/2016</w:t>
        </w:r>
      </w:hyperlink>
      <w:r>
        <w:t>, f. 2.</w:t>
      </w:r>
    </w:p>
    <w:p w:rsidR="00427CF1" w:rsidRDefault="00427CF1" w:rsidP="00427CF1">
      <w:pPr>
        <w:pStyle w:val="SangriaFrancesaArticulo"/>
      </w:pPr>
      <w:r w:rsidRPr="00427CF1">
        <w:rPr>
          <w:rStyle w:val="TextoNormalNegritaCaracter"/>
        </w:rPr>
        <w:t>Título V.</w:t>
      </w:r>
      <w:r w:rsidRPr="00427CF1">
        <w:rPr>
          <w:rStyle w:val="TextoNormalCaracter"/>
        </w:rPr>
        <w:t>-</w:t>
      </w:r>
      <w:r>
        <w:t xml:space="preserve"> Sentencia </w:t>
      </w:r>
      <w:hyperlink w:anchor="SENTENCIA_2016_191" w:history="1">
        <w:r w:rsidRPr="00427CF1">
          <w:rPr>
            <w:rStyle w:val="TextoNormalCaracter"/>
          </w:rPr>
          <w:t>191/2016</w:t>
        </w:r>
      </w:hyperlink>
      <w:r>
        <w:t>, f. 6.</w:t>
      </w:r>
    </w:p>
    <w:p w:rsidR="00427CF1" w:rsidRDefault="00427CF1" w:rsidP="00427CF1">
      <w:pPr>
        <w:pStyle w:val="SangriaFrancesaArticulo"/>
      </w:pPr>
      <w:r w:rsidRPr="00427CF1">
        <w:rPr>
          <w:rStyle w:val="TextoNormalNegritaCaracter"/>
        </w:rPr>
        <w:t>Título VI.</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r w:rsidRPr="00427CF1">
        <w:rPr>
          <w:rStyle w:val="TextoNormalNegritaCaracter"/>
        </w:rPr>
        <w:t>Título VIII.</w:t>
      </w:r>
      <w:r w:rsidRPr="00427CF1">
        <w:rPr>
          <w:rStyle w:val="TextoNormalCaracter"/>
        </w:rPr>
        <w:t>-</w:t>
      </w:r>
      <w:r>
        <w:t xml:space="preserve"> Sentencias </w:t>
      </w:r>
      <w:hyperlink w:anchor="SENTENCIA_2016_139" w:history="1">
        <w:r w:rsidRPr="00427CF1">
          <w:rPr>
            <w:rStyle w:val="TextoNormalCaracter"/>
          </w:rPr>
          <w:t>139/2016</w:t>
        </w:r>
      </w:hyperlink>
      <w:r>
        <w:t xml:space="preserve">, f. 6; </w:t>
      </w:r>
      <w:hyperlink w:anchor="SENTENCIA_2016_182" w:history="1">
        <w:r w:rsidRPr="00427CF1">
          <w:rPr>
            <w:rStyle w:val="TextoNormalCaracter"/>
          </w:rPr>
          <w:t>182/2016</w:t>
        </w:r>
      </w:hyperlink>
      <w:r>
        <w:t>, f. 5.</w:t>
      </w:r>
    </w:p>
    <w:p w:rsidR="00427CF1" w:rsidRDefault="00427CF1" w:rsidP="00427CF1">
      <w:pPr>
        <w:pStyle w:val="SangriaFrancesaArticulo"/>
      </w:pPr>
      <w:r w:rsidRPr="00427CF1">
        <w:rPr>
          <w:rStyle w:val="TextoNormalNegritaCaracter"/>
        </w:rPr>
        <w:t>Título IX.</w:t>
      </w:r>
      <w:r w:rsidRPr="00427CF1">
        <w:rPr>
          <w:rStyle w:val="TextoNormalCaracter"/>
        </w:rPr>
        <w:t>-</w:t>
      </w:r>
      <w:r>
        <w:t xml:space="preserve"> Sentencias </w:t>
      </w:r>
      <w:hyperlink w:anchor="SENTENCIA_2016_185" w:history="1">
        <w:r w:rsidRPr="00427CF1">
          <w:rPr>
            <w:rStyle w:val="TextoNormalCaracter"/>
          </w:rPr>
          <w:t>185/2016</w:t>
        </w:r>
      </w:hyperlink>
      <w:r>
        <w:t xml:space="preserve">, ff. 3, 6, 8, VP I, VP II, VP III; </w:t>
      </w:r>
      <w:hyperlink w:anchor="SENTENCIA_2016_215" w:history="1">
        <w:r w:rsidRPr="00427CF1">
          <w:rPr>
            <w:rStyle w:val="TextoNormalCaracter"/>
          </w:rPr>
          <w:t>215/2016</w:t>
        </w:r>
      </w:hyperlink>
      <w:r>
        <w:t>, f. 9, VP III.</w:t>
      </w:r>
    </w:p>
    <w:p w:rsidR="00427CF1" w:rsidRDefault="00427CF1" w:rsidP="00427CF1">
      <w:pPr>
        <w:pStyle w:val="SangriaFrancesaArticulo"/>
      </w:pPr>
      <w:r w:rsidRPr="00427CF1">
        <w:rPr>
          <w:rStyle w:val="TextoNormalNegritaCaracter"/>
        </w:rPr>
        <w:t>Título X.</w:t>
      </w:r>
      <w:r w:rsidRPr="00427CF1">
        <w:rPr>
          <w:rStyle w:val="TextoNormalCaracter"/>
        </w:rPr>
        <w:t>-</w:t>
      </w:r>
      <w:r>
        <w:t xml:space="preserve"> Sentencia </w:t>
      </w:r>
      <w:hyperlink w:anchor="SENTENCIA_2016_128" w:history="1">
        <w:r w:rsidRPr="00427CF1">
          <w:rPr>
            <w:rStyle w:val="TextoNormalCaracter"/>
          </w:rPr>
          <w:t>128/2016</w:t>
        </w:r>
      </w:hyperlink>
      <w:r>
        <w:t>, f. 5.</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Sentencias </w:t>
      </w:r>
      <w:hyperlink w:anchor="SENTENCIA_2016_177" w:history="1">
        <w:r w:rsidRPr="00427CF1">
          <w:rPr>
            <w:rStyle w:val="TextoNormalCaracter"/>
          </w:rPr>
          <w:t>177/2016</w:t>
        </w:r>
      </w:hyperlink>
      <w:r>
        <w:t xml:space="preserve">, VP II; </w:t>
      </w:r>
      <w:hyperlink w:anchor="SENTENCIA_2016_204" w:history="1">
        <w:r w:rsidRPr="00427CF1">
          <w:rPr>
            <w:rStyle w:val="TextoNormalCaracter"/>
          </w:rPr>
          <w:t>204/2016</w:t>
        </w:r>
      </w:hyperlink>
      <w:r>
        <w:t>, VP II.</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Sentencias </w:t>
      </w:r>
      <w:hyperlink w:anchor="SENTENCIA_2016_132" w:history="1">
        <w:r w:rsidRPr="00427CF1">
          <w:rPr>
            <w:rStyle w:val="TextoNormalCaracter"/>
          </w:rPr>
          <w:t>132/2016</w:t>
        </w:r>
      </w:hyperlink>
      <w:r>
        <w:t xml:space="preserve">, f. 4; </w:t>
      </w:r>
      <w:hyperlink w:anchor="SENTENCIA_2016_191" w:history="1">
        <w:r w:rsidRPr="00427CF1">
          <w:rPr>
            <w:rStyle w:val="TextoNormalCaracter"/>
          </w:rPr>
          <w:t>191/2016</w:t>
        </w:r>
      </w:hyperlink>
      <w:r>
        <w:t>, ff. 4, 6.</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Sentencias </w:t>
      </w:r>
      <w:hyperlink w:anchor="SENTENCIA_2016_139" w:history="1">
        <w:r w:rsidRPr="00427CF1">
          <w:rPr>
            <w:rStyle w:val="TextoNormalCaracter"/>
          </w:rPr>
          <w:t>139/2016</w:t>
        </w:r>
      </w:hyperlink>
      <w:r>
        <w:t xml:space="preserve">, VP I; </w:t>
      </w:r>
      <w:hyperlink w:anchor="SENTENCIA_2016_140" w:history="1">
        <w:r w:rsidRPr="00427CF1">
          <w:rPr>
            <w:rStyle w:val="TextoNormalCaracter"/>
          </w:rPr>
          <w:t>140/2016</w:t>
        </w:r>
      </w:hyperlink>
      <w:r>
        <w:t xml:space="preserve">, ff. 7, 13; </w:t>
      </w:r>
      <w:hyperlink w:anchor="SENTENCIA_2016_154" w:history="1">
        <w:r w:rsidRPr="00427CF1">
          <w:rPr>
            <w:rStyle w:val="TextoNormalCaracter"/>
          </w:rPr>
          <w:t>154/2016</w:t>
        </w:r>
      </w:hyperlink>
      <w:r>
        <w:t xml:space="preserve">, VP; </w:t>
      </w:r>
      <w:hyperlink w:anchor="SENTENCIA_2016_185" w:history="1">
        <w:r w:rsidRPr="00427CF1">
          <w:rPr>
            <w:rStyle w:val="TextoNormalCaracter"/>
          </w:rPr>
          <w:t>185/2016</w:t>
        </w:r>
      </w:hyperlink>
      <w:r>
        <w:t xml:space="preserve">, f. 5, VP II; </w:t>
      </w:r>
      <w:hyperlink w:anchor="SENTENCIA_2016_191" w:history="1">
        <w:r w:rsidRPr="00427CF1">
          <w:rPr>
            <w:rStyle w:val="TextoNormalCaracter"/>
          </w:rPr>
          <w:t>191/2016</w:t>
        </w:r>
      </w:hyperlink>
      <w:r>
        <w:t xml:space="preserve">, ff. 6, 11; </w:t>
      </w:r>
      <w:hyperlink w:anchor="SENTENCIA_2016_213" w:history="1">
        <w:r w:rsidRPr="00427CF1">
          <w:rPr>
            <w:rStyle w:val="TextoNormalCaracter"/>
          </w:rPr>
          <w:t>213/2016</w:t>
        </w:r>
      </w:hyperlink>
      <w:r>
        <w:t xml:space="preserve">, f. 3; </w:t>
      </w:r>
      <w:hyperlink w:anchor="SENTENCIA_2016_227" w:history="1">
        <w:r w:rsidRPr="00427CF1">
          <w:rPr>
            <w:rStyle w:val="TextoNormalCaracter"/>
          </w:rPr>
          <w:t>227/2016</w:t>
        </w:r>
      </w:hyperlink>
      <w:r>
        <w:t>, f. 5.</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 3; </w:t>
      </w:r>
      <w:hyperlink w:anchor="AUTO_2016_170" w:history="1">
        <w:r w:rsidRPr="00427CF1">
          <w:rPr>
            <w:rStyle w:val="TextoNormalCaracter"/>
          </w:rPr>
          <w:t>170/2016</w:t>
        </w:r>
      </w:hyperlink>
      <w:r>
        <w:t>, f. 7.</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Sentencias </w:t>
      </w:r>
      <w:hyperlink w:anchor="SENTENCIA_2016_128" w:history="1">
        <w:r w:rsidRPr="00427CF1">
          <w:rPr>
            <w:rStyle w:val="TextoNormalCaracter"/>
          </w:rPr>
          <w:t>128/2016</w:t>
        </w:r>
      </w:hyperlink>
      <w:r>
        <w:t xml:space="preserve">, ff. 1, 4 a 10; </w:t>
      </w:r>
      <w:hyperlink w:anchor="SENTENCIA_2016_185" w:history="1">
        <w:r w:rsidRPr="00427CF1">
          <w:rPr>
            <w:rStyle w:val="TextoNormalCaracter"/>
          </w:rPr>
          <w:t>185/2016</w:t>
        </w:r>
      </w:hyperlink>
      <w:r>
        <w:t>, VP II.</w:t>
      </w:r>
    </w:p>
    <w:p w:rsidR="00427CF1" w:rsidRDefault="00427CF1" w:rsidP="00427CF1">
      <w:pPr>
        <w:pStyle w:val="SangriaIzquierdaArticulo"/>
      </w:pPr>
      <w:r>
        <w:t xml:space="preserve">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91" w:history="1">
        <w:r w:rsidRPr="00427CF1">
          <w:rPr>
            <w:rStyle w:val="TextoNormalCaracter"/>
          </w:rPr>
          <w:t>191/2016</w:t>
        </w:r>
      </w:hyperlink>
      <w:r>
        <w:t>, f. 6.</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Sentencias </w:t>
      </w:r>
      <w:hyperlink w:anchor="SENTENCIA_2016_128" w:history="1">
        <w:r w:rsidRPr="00427CF1">
          <w:rPr>
            <w:rStyle w:val="TextoNormalCaracter"/>
          </w:rPr>
          <w:t>128/2016</w:t>
        </w:r>
      </w:hyperlink>
      <w:r>
        <w:t xml:space="preserve">, ff. 1, 4 a 10; </w:t>
      </w:r>
      <w:hyperlink w:anchor="SENTENCIA_2016_177" w:history="1">
        <w:r w:rsidRPr="00427CF1">
          <w:rPr>
            <w:rStyle w:val="TextoNormalCaracter"/>
          </w:rPr>
          <w:t>177/2016</w:t>
        </w:r>
      </w:hyperlink>
      <w:r>
        <w:t xml:space="preserve">, VP II; </w:t>
      </w:r>
      <w:hyperlink w:anchor="SENTENCIA_2016_192" w:history="1">
        <w:r w:rsidRPr="00427CF1">
          <w:rPr>
            <w:rStyle w:val="TextoNormalCaracter"/>
          </w:rPr>
          <w:t>192/2016</w:t>
        </w:r>
      </w:hyperlink>
      <w:r>
        <w:t xml:space="preserve">, VP; </w:t>
      </w:r>
      <w:hyperlink w:anchor="SENTENCIA_2016_194" w:history="1">
        <w:r w:rsidRPr="00427CF1">
          <w:rPr>
            <w:rStyle w:val="TextoNormalCaracter"/>
          </w:rPr>
          <w:t>194/2016</w:t>
        </w:r>
      </w:hyperlink>
      <w:r>
        <w:t xml:space="preserve">, f. 2; </w:t>
      </w:r>
      <w:hyperlink w:anchor="SENTENCIA_2016_210" w:history="1">
        <w:r w:rsidRPr="00427CF1">
          <w:rPr>
            <w:rStyle w:val="TextoNormalCaracter"/>
          </w:rPr>
          <w:t>210/2016</w:t>
        </w:r>
      </w:hyperlink>
      <w:r>
        <w:t>, f. 7.</w:t>
      </w:r>
    </w:p>
    <w:p w:rsidR="00427CF1" w:rsidRDefault="00427CF1" w:rsidP="00427CF1">
      <w:pPr>
        <w:pStyle w:val="SangriaIzquierdaArticulo"/>
      </w:pPr>
      <w:r>
        <w:t xml:space="preserve">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226" w:history="1">
        <w:r w:rsidRPr="00427CF1">
          <w:rPr>
            <w:rStyle w:val="TextoNormalCaracter"/>
          </w:rPr>
          <w:t>226/2016</w:t>
        </w:r>
      </w:hyperlink>
      <w:r>
        <w:t>, ff. 1, 2, 6, VP.</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Sentencia </w:t>
      </w:r>
      <w:hyperlink w:anchor="SENTENCIA_2016_213" w:history="1">
        <w:r w:rsidRPr="00427CF1">
          <w:rPr>
            <w:rStyle w:val="TextoNormalCaracter"/>
          </w:rPr>
          <w:t>213/2016</w:t>
        </w:r>
      </w:hyperlink>
      <w:r>
        <w:t>, f. 6.</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Sentencias </w:t>
      </w:r>
      <w:hyperlink w:anchor="SENTENCIA_2016_128" w:history="1">
        <w:r w:rsidRPr="00427CF1">
          <w:rPr>
            <w:rStyle w:val="TextoNormalCaracter"/>
          </w:rPr>
          <w:t>128/2016</w:t>
        </w:r>
      </w:hyperlink>
      <w:r>
        <w:t xml:space="preserve">, ff. 1, 4 a 10; </w:t>
      </w:r>
      <w:hyperlink w:anchor="SENTENCIA_2016_185" w:history="1">
        <w:r w:rsidRPr="00427CF1">
          <w:rPr>
            <w:rStyle w:val="TextoNormalCaracter"/>
          </w:rPr>
          <w:t>185/2016</w:t>
        </w:r>
      </w:hyperlink>
      <w:r>
        <w:t xml:space="preserve">, ff. 3, 9, 10, 15, 16, VP II; </w:t>
      </w:r>
      <w:hyperlink w:anchor="SENTENCIA_2016_215" w:history="1">
        <w:r w:rsidRPr="00427CF1">
          <w:rPr>
            <w:rStyle w:val="TextoNormalCaracter"/>
          </w:rPr>
          <w:t>215/2016</w:t>
        </w:r>
      </w:hyperlink>
      <w:r>
        <w:t>, ff. 3, 6, 8, 10.</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ff. 3, 5; </w:t>
      </w:r>
      <w:hyperlink w:anchor="AUTO_2016_146" w:history="1">
        <w:r w:rsidRPr="00427CF1">
          <w:rPr>
            <w:rStyle w:val="TextoNormalCaracter"/>
          </w:rPr>
          <w:t>146/2016</w:t>
        </w:r>
      </w:hyperlink>
      <w:r>
        <w:t xml:space="preserve">, f. 4; </w:t>
      </w:r>
      <w:hyperlink w:anchor="AUTO_2016_170" w:history="1">
        <w:r w:rsidRPr="00427CF1">
          <w:rPr>
            <w:rStyle w:val="TextoNormalCaracter"/>
          </w:rPr>
          <w:t>170/2016</w:t>
        </w:r>
      </w:hyperlink>
      <w:r>
        <w:t>, ff. 4, 6, 7.</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Sentencias </w:t>
      </w:r>
      <w:hyperlink w:anchor="SENTENCIA_2016_139" w:history="1">
        <w:r w:rsidRPr="00427CF1">
          <w:rPr>
            <w:rStyle w:val="TextoNormalCaracter"/>
          </w:rPr>
          <w:t>139/2016</w:t>
        </w:r>
      </w:hyperlink>
      <w:r>
        <w:t xml:space="preserve">, VP I; </w:t>
      </w:r>
      <w:hyperlink w:anchor="SENTENCIA_2016_153" w:history="1">
        <w:r w:rsidRPr="00427CF1">
          <w:rPr>
            <w:rStyle w:val="TextoNormalCaracter"/>
          </w:rPr>
          <w:t>153/2016</w:t>
        </w:r>
      </w:hyperlink>
      <w:r>
        <w:t xml:space="preserve">, ff. 1, 2; </w:t>
      </w:r>
      <w:hyperlink w:anchor="SENTENCIA_2016_159" w:history="1">
        <w:r w:rsidRPr="00427CF1">
          <w:rPr>
            <w:rStyle w:val="TextoNormalCaracter"/>
          </w:rPr>
          <w:t>159/2016</w:t>
        </w:r>
      </w:hyperlink>
      <w:r>
        <w:t>, f. 2.</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Sentencias </w:t>
      </w:r>
      <w:hyperlink w:anchor="SENTENCIA_2016_126" w:history="1">
        <w:r w:rsidRPr="00427CF1">
          <w:rPr>
            <w:rStyle w:val="TextoNormalCaracter"/>
          </w:rPr>
          <w:t>126/2016</w:t>
        </w:r>
      </w:hyperlink>
      <w:r>
        <w:t xml:space="preserve">, f. 7; </w:t>
      </w:r>
      <w:hyperlink w:anchor="SENTENCIA_2016_128" w:history="1">
        <w:r w:rsidRPr="00427CF1">
          <w:rPr>
            <w:rStyle w:val="TextoNormalCaracter"/>
          </w:rPr>
          <w:t>128/2016</w:t>
        </w:r>
      </w:hyperlink>
      <w:r>
        <w:t xml:space="preserve">, ff. 5, 8; </w:t>
      </w:r>
      <w:hyperlink w:anchor="SENTENCIA_2016_134" w:history="1">
        <w:r w:rsidRPr="00427CF1">
          <w:rPr>
            <w:rStyle w:val="TextoNormalCaracter"/>
          </w:rPr>
          <w:t>134/2016</w:t>
        </w:r>
      </w:hyperlink>
      <w:r>
        <w:t xml:space="preserve">, f. 3; </w:t>
      </w:r>
      <w:hyperlink w:anchor="SENTENCIA_2016_135" w:history="1">
        <w:r w:rsidRPr="00427CF1">
          <w:rPr>
            <w:rStyle w:val="TextoNormalCaracter"/>
          </w:rPr>
          <w:t>135/2016</w:t>
        </w:r>
      </w:hyperlink>
      <w:r>
        <w:t xml:space="preserve">, f. 1; </w:t>
      </w:r>
      <w:hyperlink w:anchor="SENTENCIA_2016_145" w:history="1">
        <w:r w:rsidRPr="00427CF1">
          <w:rPr>
            <w:rStyle w:val="TextoNormalCaracter"/>
          </w:rPr>
          <w:t>145/2016</w:t>
        </w:r>
      </w:hyperlink>
      <w:r>
        <w:t xml:space="preserve">, f. 1; </w:t>
      </w:r>
      <w:hyperlink w:anchor="SENTENCIA_2016_153" w:history="1">
        <w:r w:rsidRPr="00427CF1">
          <w:rPr>
            <w:rStyle w:val="TextoNormalCaracter"/>
          </w:rPr>
          <w:t>153/2016</w:t>
        </w:r>
      </w:hyperlink>
      <w:r>
        <w:t xml:space="preserve">, ff. 1 a 3; </w:t>
      </w:r>
      <w:hyperlink w:anchor="SENTENCIA_2016_155" w:history="1">
        <w:r w:rsidRPr="00427CF1">
          <w:rPr>
            <w:rStyle w:val="TextoNormalCaracter"/>
          </w:rPr>
          <w:t>155/2016</w:t>
        </w:r>
      </w:hyperlink>
      <w:r>
        <w:t xml:space="preserve">, ff. 1, 7; </w:t>
      </w:r>
      <w:hyperlink w:anchor="SENTENCIA_2016_160" w:history="1">
        <w:r w:rsidRPr="00427CF1">
          <w:rPr>
            <w:rStyle w:val="TextoNormalCaracter"/>
          </w:rPr>
          <w:t>160/2016</w:t>
        </w:r>
      </w:hyperlink>
      <w:r>
        <w:t xml:space="preserve">, f. 2; </w:t>
      </w:r>
      <w:hyperlink w:anchor="SENTENCIA_2016_167" w:history="1">
        <w:r w:rsidRPr="00427CF1">
          <w:rPr>
            <w:rStyle w:val="TextoNormalCaracter"/>
          </w:rPr>
          <w:t>167/2016</w:t>
        </w:r>
      </w:hyperlink>
      <w:r>
        <w:t xml:space="preserve">, ff. 1, 2, 4, 6, 7; </w:t>
      </w:r>
      <w:hyperlink w:anchor="SENTENCIA_2016_170" w:history="1">
        <w:r w:rsidRPr="00427CF1">
          <w:rPr>
            <w:rStyle w:val="TextoNormalCaracter"/>
          </w:rPr>
          <w:t>170/2016</w:t>
        </w:r>
      </w:hyperlink>
      <w:r>
        <w:t xml:space="preserve">, ff. 1, 4 a 6; </w:t>
      </w:r>
      <w:hyperlink w:anchor="SENTENCIA_2016_174" w:history="1">
        <w:r w:rsidRPr="00427CF1">
          <w:rPr>
            <w:rStyle w:val="TextoNormalCaracter"/>
          </w:rPr>
          <w:t>174/2016</w:t>
        </w:r>
      </w:hyperlink>
      <w:r>
        <w:t xml:space="preserve">, ff. 1, 2; </w:t>
      </w:r>
      <w:hyperlink w:anchor="SENTENCIA_2016_181" w:history="1">
        <w:r w:rsidRPr="00427CF1">
          <w:rPr>
            <w:rStyle w:val="TextoNormalCaracter"/>
          </w:rPr>
          <w:t>181/2016</w:t>
        </w:r>
      </w:hyperlink>
      <w:r>
        <w:t xml:space="preserve">, ff. 1, 2, 5; </w:t>
      </w:r>
      <w:hyperlink w:anchor="SENTENCIA_2016_183" w:history="1">
        <w:r w:rsidRPr="00427CF1">
          <w:rPr>
            <w:rStyle w:val="TextoNormalCaracter"/>
          </w:rPr>
          <w:t>183/2016</w:t>
        </w:r>
      </w:hyperlink>
      <w:r>
        <w:t xml:space="preserve">, f. 4; </w:t>
      </w:r>
      <w:hyperlink w:anchor="SENTENCIA_2016_187" w:history="1">
        <w:r w:rsidRPr="00427CF1">
          <w:rPr>
            <w:rStyle w:val="TextoNormalCaracter"/>
          </w:rPr>
          <w:t>187/2016</w:t>
        </w:r>
      </w:hyperlink>
      <w:r>
        <w:t xml:space="preserve">, ff. 1 a 3; </w:t>
      </w:r>
      <w:hyperlink w:anchor="SENTENCIA_2016_188" w:history="1">
        <w:r w:rsidRPr="00427CF1">
          <w:rPr>
            <w:rStyle w:val="TextoNormalCaracter"/>
          </w:rPr>
          <w:t>188/2016</w:t>
        </w:r>
      </w:hyperlink>
      <w:r>
        <w:t xml:space="preserve">, ff. 1 a 3; </w:t>
      </w:r>
      <w:hyperlink w:anchor="SENTENCIA_2016_197" w:history="1">
        <w:r w:rsidRPr="00427CF1">
          <w:rPr>
            <w:rStyle w:val="TextoNormalCaracter"/>
          </w:rPr>
          <w:t>197/2016</w:t>
        </w:r>
      </w:hyperlink>
      <w:r>
        <w:t xml:space="preserve">, ff. 1 a 3; </w:t>
      </w:r>
      <w:hyperlink w:anchor="SENTENCIA_2016_213" w:history="1">
        <w:r w:rsidRPr="00427CF1">
          <w:rPr>
            <w:rStyle w:val="TextoNormalCaracter"/>
          </w:rPr>
          <w:t>213/2016</w:t>
        </w:r>
      </w:hyperlink>
      <w:r>
        <w:t xml:space="preserve">, f. 6; </w:t>
      </w:r>
      <w:hyperlink w:anchor="SENTENCIA_2016_215" w:history="1">
        <w:r w:rsidRPr="00427CF1">
          <w:rPr>
            <w:rStyle w:val="TextoNormalCaracter"/>
          </w:rPr>
          <w:t>215/2016</w:t>
        </w:r>
      </w:hyperlink>
      <w:r>
        <w:t>, ff. 1, 7, 8.</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f. 1; </w:t>
      </w:r>
      <w:hyperlink w:anchor="AUTO_2016_139" w:history="1">
        <w:r w:rsidRPr="00427CF1">
          <w:rPr>
            <w:rStyle w:val="TextoNormalCaracter"/>
          </w:rPr>
          <w:t>139/2016</w:t>
        </w:r>
      </w:hyperlink>
      <w:r>
        <w:t xml:space="preserve">, ff. 1, 3; </w:t>
      </w:r>
      <w:hyperlink w:anchor="AUTO_2016_143" w:history="1">
        <w:r w:rsidRPr="00427CF1">
          <w:rPr>
            <w:rStyle w:val="TextoNormalCaracter"/>
          </w:rPr>
          <w:t>143/2016</w:t>
        </w:r>
      </w:hyperlink>
      <w:r>
        <w:t xml:space="preserve">, f. 1; </w:t>
      </w:r>
      <w:hyperlink w:anchor="AUTO_2016_146" w:history="1">
        <w:r w:rsidRPr="00427CF1">
          <w:rPr>
            <w:rStyle w:val="TextoNormalCaracter"/>
          </w:rPr>
          <w:t>146/2016</w:t>
        </w:r>
      </w:hyperlink>
      <w:r>
        <w:t xml:space="preserve">, ff. 1, 3, 4; </w:t>
      </w:r>
      <w:hyperlink w:anchor="AUTO_2016_155" w:history="1">
        <w:r w:rsidRPr="00427CF1">
          <w:rPr>
            <w:rStyle w:val="TextoNormalCaracter"/>
          </w:rPr>
          <w:t>155/2016</w:t>
        </w:r>
      </w:hyperlink>
      <w:r>
        <w:t xml:space="preserve">, VP I; </w:t>
      </w:r>
      <w:hyperlink w:anchor="AUTO_2016_156" w:history="1">
        <w:r w:rsidRPr="00427CF1">
          <w:rPr>
            <w:rStyle w:val="TextoNormalCaracter"/>
          </w:rPr>
          <w:t>156/2016</w:t>
        </w:r>
      </w:hyperlink>
      <w:r>
        <w:t xml:space="preserve">, f. 4; </w:t>
      </w:r>
      <w:hyperlink w:anchor="AUTO_2016_159" w:history="1">
        <w:r w:rsidRPr="00427CF1">
          <w:rPr>
            <w:rStyle w:val="TextoNormalCaracter"/>
          </w:rPr>
          <w:t>159/2016</w:t>
        </w:r>
      </w:hyperlink>
      <w:r>
        <w:t>, f. 1.</w:t>
      </w:r>
    </w:p>
    <w:p w:rsidR="00427CF1" w:rsidRDefault="00427CF1" w:rsidP="00427CF1">
      <w:pPr>
        <w:pStyle w:val="SangriaFrancesaArticulo"/>
      </w:pPr>
      <w:r w:rsidRPr="00427CF1">
        <w:rPr>
          <w:rStyle w:val="TextoNormalNegritaCaracter"/>
        </w:rPr>
        <w:t>Artículo 9.3</w:t>
      </w:r>
      <w:r>
        <w:t xml:space="preserve"> (interdicción de la arbitrariedad de los poderes públicos)</w:t>
      </w:r>
      <w:r w:rsidRPr="00427CF1">
        <w:rPr>
          <w:rStyle w:val="TextoNormalNegritaCaracter"/>
        </w:rPr>
        <w:t>.</w:t>
      </w:r>
      <w:r w:rsidRPr="00427CF1">
        <w:rPr>
          <w:rStyle w:val="TextoNormalCaracter"/>
        </w:rPr>
        <w:t>-</w:t>
      </w:r>
      <w:r>
        <w:t xml:space="preserve"> Sentencias </w:t>
      </w:r>
      <w:hyperlink w:anchor="SENTENCIA_2016_125" w:history="1">
        <w:r w:rsidRPr="00427CF1">
          <w:rPr>
            <w:rStyle w:val="TextoNormalCaracter"/>
          </w:rPr>
          <w:t>125/2016</w:t>
        </w:r>
      </w:hyperlink>
      <w:r>
        <w:t xml:space="preserve">, ff. 1, 5; </w:t>
      </w:r>
      <w:hyperlink w:anchor="SENTENCIA_2016_140" w:history="1">
        <w:r w:rsidRPr="00427CF1">
          <w:rPr>
            <w:rStyle w:val="TextoNormalCaracter"/>
          </w:rPr>
          <w:t>140/2016</w:t>
        </w:r>
      </w:hyperlink>
      <w:r>
        <w:t xml:space="preserve">, f. 10; </w:t>
      </w:r>
      <w:hyperlink w:anchor="SENTENCIA_2016_156" w:history="1">
        <w:r w:rsidRPr="00427CF1">
          <w:rPr>
            <w:rStyle w:val="TextoNormalCaracter"/>
          </w:rPr>
          <w:t>156/2016</w:t>
        </w:r>
      </w:hyperlink>
      <w:r>
        <w:t xml:space="preserve">, ff. 2, 4, 5; </w:t>
      </w:r>
      <w:hyperlink w:anchor="SENTENCIA_2016_160" w:history="1">
        <w:r w:rsidRPr="00427CF1">
          <w:rPr>
            <w:rStyle w:val="TextoNormalCaracter"/>
          </w:rPr>
          <w:t>160/2016</w:t>
        </w:r>
      </w:hyperlink>
      <w:r>
        <w:t xml:space="preserve">, f. 1; </w:t>
      </w:r>
      <w:hyperlink w:anchor="SENTENCIA_2016_167" w:history="1">
        <w:r w:rsidRPr="00427CF1">
          <w:rPr>
            <w:rStyle w:val="TextoNormalCaracter"/>
          </w:rPr>
          <w:t>167/2016</w:t>
        </w:r>
      </w:hyperlink>
      <w:r>
        <w:t xml:space="preserve">, f. 7; </w:t>
      </w:r>
      <w:hyperlink w:anchor="SENTENCIA_2016_174" w:history="1">
        <w:r w:rsidRPr="00427CF1">
          <w:rPr>
            <w:rStyle w:val="TextoNormalCaracter"/>
          </w:rPr>
          <w:t>174/2016</w:t>
        </w:r>
      </w:hyperlink>
      <w:r>
        <w:t xml:space="preserve">, f. 3; </w:t>
      </w:r>
      <w:hyperlink w:anchor="SENTENCIA_2016_183" w:history="1">
        <w:r w:rsidRPr="00427CF1">
          <w:rPr>
            <w:rStyle w:val="TextoNormalCaracter"/>
          </w:rPr>
          <w:t>183/2016</w:t>
        </w:r>
      </w:hyperlink>
      <w:r>
        <w:t>, f. 1.</w:t>
      </w:r>
    </w:p>
    <w:p w:rsidR="00427CF1" w:rsidRDefault="00427CF1" w:rsidP="00427CF1">
      <w:pPr>
        <w:pStyle w:val="SangriaIzquierdaArticulo"/>
      </w:pPr>
      <w:r>
        <w:t xml:space="preserve">Auto </w:t>
      </w:r>
      <w:hyperlink w:anchor="AUTO_2016_184" w:history="1">
        <w:r w:rsidRPr="00427CF1">
          <w:rPr>
            <w:rStyle w:val="TextoNormalCaracter"/>
          </w:rPr>
          <w:t>184/2016</w:t>
        </w:r>
      </w:hyperlink>
      <w:r>
        <w:t>, f. 1.</w:t>
      </w:r>
    </w:p>
    <w:p w:rsidR="00427CF1" w:rsidRDefault="00427CF1" w:rsidP="00427CF1">
      <w:pPr>
        <w:pStyle w:val="SangriaFrancesaArticulo"/>
      </w:pPr>
      <w:r w:rsidRPr="00427CF1">
        <w:rPr>
          <w:rStyle w:val="TextoNormalNegritaCaracter"/>
        </w:rPr>
        <w:t>Artículo 9.3</w:t>
      </w:r>
      <w:r>
        <w:t xml:space="preserve"> (irretroactividad)</w:t>
      </w:r>
      <w:r w:rsidRPr="00427CF1">
        <w:rPr>
          <w:rStyle w:val="TextoNormalNegritaCaracter"/>
        </w:rPr>
        <w:t>.</w:t>
      </w:r>
      <w:r w:rsidRPr="00427CF1">
        <w:rPr>
          <w:rStyle w:val="TextoNormalCaracter"/>
        </w:rPr>
        <w:t>-</w:t>
      </w:r>
      <w:r>
        <w:t xml:space="preserve"> Sentencias </w:t>
      </w:r>
      <w:hyperlink w:anchor="SENTENCIA_2016_134" w:history="1">
        <w:r w:rsidRPr="00427CF1">
          <w:rPr>
            <w:rStyle w:val="TextoNormalCaracter"/>
          </w:rPr>
          <w:t>134/2016</w:t>
        </w:r>
      </w:hyperlink>
      <w:r>
        <w:t xml:space="preserve">, f. 2; </w:t>
      </w:r>
      <w:hyperlink w:anchor="SENTENCIA_2016_160" w:history="1">
        <w:r w:rsidRPr="00427CF1">
          <w:rPr>
            <w:rStyle w:val="TextoNormalCaracter"/>
          </w:rPr>
          <w:t>160/2016</w:t>
        </w:r>
      </w:hyperlink>
      <w:r>
        <w:t>, f. 2.</w:t>
      </w:r>
    </w:p>
    <w:p w:rsidR="00427CF1" w:rsidRDefault="00427CF1" w:rsidP="00427CF1">
      <w:pPr>
        <w:pStyle w:val="SangriaIzquierdaArticulo"/>
      </w:pPr>
      <w:r>
        <w:t xml:space="preserve">Auto </w:t>
      </w:r>
      <w:hyperlink w:anchor="AUTO_2016_180" w:history="1">
        <w:r w:rsidRPr="00427CF1">
          <w:rPr>
            <w:rStyle w:val="TextoNormalCaracter"/>
          </w:rPr>
          <w:t>180/2016</w:t>
        </w:r>
      </w:hyperlink>
      <w:r>
        <w:t>, ff. 1, 3, 4.</w:t>
      </w:r>
    </w:p>
    <w:p w:rsidR="00427CF1" w:rsidRDefault="00427CF1" w:rsidP="00427CF1">
      <w:pPr>
        <w:pStyle w:val="SangriaFrancesaArticulo"/>
      </w:pPr>
      <w:r w:rsidRPr="00427CF1">
        <w:rPr>
          <w:rStyle w:val="TextoNormalNegritaCaracter"/>
        </w:rPr>
        <w:t>Artículo 9.3</w:t>
      </w:r>
      <w:r>
        <w:t xml:space="preserve"> (jerarquía normativa)</w:t>
      </w:r>
      <w:r w:rsidRPr="00427CF1">
        <w:rPr>
          <w:rStyle w:val="TextoNormalNegritaCaracter"/>
        </w:rPr>
        <w:t>.</w:t>
      </w:r>
      <w:r w:rsidRPr="00427CF1">
        <w:rPr>
          <w:rStyle w:val="TextoNormalCaracter"/>
        </w:rPr>
        <w:t>-</w:t>
      </w:r>
      <w:r>
        <w:t xml:space="preserve"> Sentencia </w:t>
      </w:r>
      <w:hyperlink w:anchor="SENTENCIA_2016_156" w:history="1">
        <w:r w:rsidRPr="00427CF1">
          <w:rPr>
            <w:rStyle w:val="TextoNormalCaracter"/>
          </w:rPr>
          <w:t>156/2016</w:t>
        </w:r>
      </w:hyperlink>
      <w:r>
        <w:t>, f. 5.</w:t>
      </w:r>
    </w:p>
    <w:p w:rsidR="00427CF1" w:rsidRDefault="00427CF1" w:rsidP="00427CF1">
      <w:pPr>
        <w:pStyle w:val="SangriaFrancesaArticulo"/>
      </w:pPr>
      <w:r w:rsidRPr="00427CF1">
        <w:rPr>
          <w:rStyle w:val="TextoNormalNegritaCaracter"/>
        </w:rPr>
        <w:t>Artículo 9.3</w:t>
      </w:r>
      <w:r>
        <w:t xml:space="preserve"> (seguridad jurídica)</w:t>
      </w:r>
      <w:r w:rsidRPr="00427CF1">
        <w:rPr>
          <w:rStyle w:val="TextoNormalNegritaCaracter"/>
        </w:rPr>
        <w:t>.</w:t>
      </w:r>
      <w:r w:rsidRPr="00427CF1">
        <w:rPr>
          <w:rStyle w:val="TextoNormalCaracter"/>
        </w:rPr>
        <w:t>-</w:t>
      </w:r>
      <w:r>
        <w:t xml:space="preserve"> Sentencias </w:t>
      </w:r>
      <w:hyperlink w:anchor="SENTENCIA_2016_134" w:history="1">
        <w:r w:rsidRPr="00427CF1">
          <w:rPr>
            <w:rStyle w:val="TextoNormalCaracter"/>
          </w:rPr>
          <w:t>134/2016</w:t>
        </w:r>
      </w:hyperlink>
      <w:r>
        <w:t xml:space="preserve">, f. 1; </w:t>
      </w:r>
      <w:hyperlink w:anchor="SENTENCIA_2016_140" w:history="1">
        <w:r w:rsidRPr="00427CF1">
          <w:rPr>
            <w:rStyle w:val="TextoNormalCaracter"/>
          </w:rPr>
          <w:t>140/2016</w:t>
        </w:r>
      </w:hyperlink>
      <w:r>
        <w:t xml:space="preserve">, f. 14; </w:t>
      </w:r>
      <w:hyperlink w:anchor="SENTENCIA_2016_156" w:history="1">
        <w:r w:rsidRPr="00427CF1">
          <w:rPr>
            <w:rStyle w:val="TextoNormalCaracter"/>
          </w:rPr>
          <w:t>156/2016</w:t>
        </w:r>
      </w:hyperlink>
      <w:r>
        <w:t xml:space="preserve">, ff. 2, 4, 5; </w:t>
      </w:r>
      <w:hyperlink w:anchor="SENTENCIA_2016_161" w:history="1">
        <w:r w:rsidRPr="00427CF1">
          <w:rPr>
            <w:rStyle w:val="TextoNormalCaracter"/>
          </w:rPr>
          <w:t>161/2016</w:t>
        </w:r>
      </w:hyperlink>
      <w:r>
        <w:t xml:space="preserve">, f. 3; </w:t>
      </w:r>
      <w:hyperlink w:anchor="SENTENCIA_2016_164" w:history="1">
        <w:r w:rsidRPr="00427CF1">
          <w:rPr>
            <w:rStyle w:val="TextoNormalCaracter"/>
          </w:rPr>
          <w:t>164/2016</w:t>
        </w:r>
      </w:hyperlink>
      <w:r>
        <w:t xml:space="preserve">, f. 7; </w:t>
      </w:r>
      <w:hyperlink w:anchor="SENTENCIA_2016_169" w:history="1">
        <w:r w:rsidRPr="00427CF1">
          <w:rPr>
            <w:rStyle w:val="TextoNormalCaracter"/>
          </w:rPr>
          <w:t>169/2016</w:t>
        </w:r>
      </w:hyperlink>
      <w:r>
        <w:t xml:space="preserve">, f. 4; </w:t>
      </w:r>
      <w:hyperlink w:anchor="SENTENCIA_2016_172" w:history="1">
        <w:r w:rsidRPr="00427CF1">
          <w:rPr>
            <w:rStyle w:val="TextoNormalCaracter"/>
          </w:rPr>
          <w:t>172/2016</w:t>
        </w:r>
      </w:hyperlink>
      <w:r>
        <w:t xml:space="preserve">, f. 9; </w:t>
      </w:r>
      <w:hyperlink w:anchor="SENTENCIA_2016_199" w:history="1">
        <w:r w:rsidRPr="00427CF1">
          <w:rPr>
            <w:rStyle w:val="TextoNormalCaracter"/>
          </w:rPr>
          <w:t>199/2016</w:t>
        </w:r>
      </w:hyperlink>
      <w:r>
        <w:t xml:space="preserve">, f. 5; </w:t>
      </w:r>
      <w:hyperlink w:anchor="SENTENCIA_2016_219" w:history="1">
        <w:r w:rsidRPr="00427CF1">
          <w:rPr>
            <w:rStyle w:val="TextoNormalCaracter"/>
          </w:rPr>
          <w:t>219/2016</w:t>
        </w:r>
      </w:hyperlink>
      <w:r>
        <w:t xml:space="preserve">, f. 6; </w:t>
      </w:r>
      <w:hyperlink w:anchor="SENTENCIA_2016_220" w:history="1">
        <w:r w:rsidRPr="00427CF1">
          <w:rPr>
            <w:rStyle w:val="TextoNormalCaracter"/>
          </w:rPr>
          <w:t>220/2016</w:t>
        </w:r>
      </w:hyperlink>
      <w:r>
        <w:t>, f. 6.</w:t>
      </w:r>
    </w:p>
    <w:p w:rsidR="00427CF1" w:rsidRDefault="00427CF1" w:rsidP="00427CF1">
      <w:pPr>
        <w:pStyle w:val="SangriaIzquierdaArticulo"/>
      </w:pPr>
      <w:r>
        <w:t xml:space="preserve">Autos </w:t>
      </w:r>
      <w:hyperlink w:anchor="AUTO_2016_179" w:history="1">
        <w:r w:rsidRPr="00427CF1">
          <w:rPr>
            <w:rStyle w:val="TextoNormalCaracter"/>
          </w:rPr>
          <w:t>179/2016</w:t>
        </w:r>
      </w:hyperlink>
      <w:r>
        <w:t xml:space="preserve">, f. 3; </w:t>
      </w:r>
      <w:hyperlink w:anchor="AUTO_2016_184" w:history="1">
        <w:r w:rsidRPr="00427CF1">
          <w:rPr>
            <w:rStyle w:val="TextoNormalCaracter"/>
          </w:rPr>
          <w:t>184/2016</w:t>
        </w:r>
      </w:hyperlink>
      <w:r>
        <w:t xml:space="preserve">, f. 1; </w:t>
      </w:r>
      <w:hyperlink w:anchor="AUTO_2016_193" w:history="1">
        <w:r w:rsidRPr="00427CF1">
          <w:rPr>
            <w:rStyle w:val="TextoNormalCaracter"/>
          </w:rPr>
          <w:t>193/2016</w:t>
        </w:r>
      </w:hyperlink>
      <w:r>
        <w:t>, f. 2.</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Sentencias </w:t>
      </w:r>
      <w:hyperlink w:anchor="SENTENCIA_2016_139" w:history="1">
        <w:r w:rsidRPr="00427CF1">
          <w:rPr>
            <w:rStyle w:val="TextoNormalCaracter"/>
          </w:rPr>
          <w:t>139/2016</w:t>
        </w:r>
      </w:hyperlink>
      <w:r>
        <w:t xml:space="preserve">, f. 8, VP I; </w:t>
      </w:r>
      <w:hyperlink w:anchor="SENTENCIA_2016_153" w:history="1">
        <w:r w:rsidRPr="00427CF1">
          <w:rPr>
            <w:rStyle w:val="TextoNormalCaracter"/>
          </w:rPr>
          <w:t>153/2016</w:t>
        </w:r>
      </w:hyperlink>
      <w:r>
        <w:t xml:space="preserve">, ff. 1, 2; </w:t>
      </w:r>
      <w:hyperlink w:anchor="SENTENCIA_2016_213" w:history="1">
        <w:r w:rsidRPr="00427CF1">
          <w:rPr>
            <w:rStyle w:val="TextoNormalCaracter"/>
          </w:rPr>
          <w:t>213/2016</w:t>
        </w:r>
      </w:hyperlink>
      <w:r>
        <w:t>, f. 6.</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Sentencias </w:t>
      </w:r>
      <w:hyperlink w:anchor="SENTENCIA_2016_131" w:history="1">
        <w:r w:rsidRPr="00427CF1">
          <w:rPr>
            <w:rStyle w:val="TextoNormalCaracter"/>
          </w:rPr>
          <w:t>131/2016</w:t>
        </w:r>
      </w:hyperlink>
      <w:r>
        <w:t xml:space="preserve">, f. 6; </w:t>
      </w:r>
      <w:hyperlink w:anchor="SENTENCIA_2016_139" w:history="1">
        <w:r w:rsidRPr="00427CF1">
          <w:rPr>
            <w:rStyle w:val="TextoNormalCaracter"/>
          </w:rPr>
          <w:t>139/2016</w:t>
        </w:r>
      </w:hyperlink>
      <w:r>
        <w:t xml:space="preserve">, VP I; </w:t>
      </w:r>
      <w:hyperlink w:anchor="SENTENCIA_2016_162" w:history="1">
        <w:r w:rsidRPr="00427CF1">
          <w:rPr>
            <w:rStyle w:val="TextoNormalCaracter"/>
          </w:rPr>
          <w:t>162/2016</w:t>
        </w:r>
      </w:hyperlink>
      <w:r>
        <w:t>, f. 4.</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Sentencias </w:t>
      </w:r>
      <w:hyperlink w:anchor="SENTENCIA_2016_131" w:history="1">
        <w:r w:rsidRPr="00427CF1">
          <w:rPr>
            <w:rStyle w:val="TextoNormalCaracter"/>
          </w:rPr>
          <w:t>131/2016</w:t>
        </w:r>
      </w:hyperlink>
      <w:r>
        <w:t xml:space="preserve">, f. 6; </w:t>
      </w:r>
      <w:hyperlink w:anchor="SENTENCIA_2016_139" w:history="1">
        <w:r w:rsidRPr="00427CF1">
          <w:rPr>
            <w:rStyle w:val="TextoNormalCaracter"/>
          </w:rPr>
          <w:t>139/2016</w:t>
        </w:r>
      </w:hyperlink>
      <w:r>
        <w:t xml:space="preserve">, VP I; </w:t>
      </w:r>
      <w:hyperlink w:anchor="SENTENCIA_2016_140" w:history="1">
        <w:r w:rsidRPr="00427CF1">
          <w:rPr>
            <w:rStyle w:val="TextoNormalCaracter"/>
          </w:rPr>
          <w:t>140/2016</w:t>
        </w:r>
      </w:hyperlink>
      <w:r>
        <w:t>, f. 5.</w:t>
      </w:r>
    </w:p>
    <w:p w:rsidR="00427CF1" w:rsidRDefault="00427CF1" w:rsidP="00427CF1">
      <w:pPr>
        <w:pStyle w:val="SangriaIzquierdaArticulo"/>
      </w:pPr>
      <w:r>
        <w:t xml:space="preserve">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39" w:history="1">
        <w:r w:rsidRPr="00427CF1">
          <w:rPr>
            <w:rStyle w:val="TextoNormalCaracter"/>
          </w:rPr>
          <w:t>139/2016</w:t>
        </w:r>
      </w:hyperlink>
      <w:r>
        <w:t>, ff. 8, 10, VP I.</w:t>
      </w:r>
    </w:p>
    <w:p w:rsidR="00427CF1" w:rsidRDefault="00427CF1" w:rsidP="00427CF1">
      <w:pPr>
        <w:pStyle w:val="SangriaFrancesaArticulo"/>
      </w:pPr>
      <w:r w:rsidRPr="00427CF1">
        <w:rPr>
          <w:rStyle w:val="TextoNormalNegritaCaracter"/>
        </w:rPr>
        <w:t>Artículo 13.2.</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Sentencias </w:t>
      </w:r>
      <w:hyperlink w:anchor="SENTENCIA_2016_125" w:history="1">
        <w:r w:rsidRPr="00427CF1">
          <w:rPr>
            <w:rStyle w:val="TextoNormalCaracter"/>
          </w:rPr>
          <w:t>125/2016</w:t>
        </w:r>
      </w:hyperlink>
      <w:r>
        <w:t xml:space="preserve">, f. 1; </w:t>
      </w:r>
      <w:hyperlink w:anchor="SENTENCIA_2016_131" w:history="1">
        <w:r w:rsidRPr="00427CF1">
          <w:rPr>
            <w:rStyle w:val="TextoNormalCaracter"/>
          </w:rPr>
          <w:t>131/2016</w:t>
        </w:r>
      </w:hyperlink>
      <w:r>
        <w:t xml:space="preserve">, ff. 1, 2; </w:t>
      </w:r>
      <w:hyperlink w:anchor="SENTENCIA_2016_135" w:history="1">
        <w:r w:rsidRPr="00427CF1">
          <w:rPr>
            <w:rStyle w:val="TextoNormalCaracter"/>
          </w:rPr>
          <w:t>135/2016</w:t>
        </w:r>
      </w:hyperlink>
      <w:r>
        <w:t xml:space="preserve">, f. 1; </w:t>
      </w:r>
      <w:hyperlink w:anchor="SENTENCIA_2016_139" w:history="1">
        <w:r w:rsidRPr="00427CF1">
          <w:rPr>
            <w:rStyle w:val="TextoNormalCaracter"/>
          </w:rPr>
          <w:t>139/2016</w:t>
        </w:r>
      </w:hyperlink>
      <w:r>
        <w:t xml:space="preserve">, f. 9; </w:t>
      </w:r>
      <w:hyperlink w:anchor="SENTENCIA_2016_155" w:history="1">
        <w:r w:rsidRPr="00427CF1">
          <w:rPr>
            <w:rStyle w:val="TextoNormalCaracter"/>
          </w:rPr>
          <w:t>155/2016</w:t>
        </w:r>
      </w:hyperlink>
      <w:r>
        <w:t xml:space="preserve">, ff. 1, 7; </w:t>
      </w:r>
      <w:hyperlink w:anchor="SENTENCIA_2016_159" w:history="1">
        <w:r w:rsidRPr="00427CF1">
          <w:rPr>
            <w:rStyle w:val="TextoNormalCaracter"/>
          </w:rPr>
          <w:t>159/2016</w:t>
        </w:r>
      </w:hyperlink>
      <w:r>
        <w:t xml:space="preserve">, f. 2; </w:t>
      </w:r>
      <w:hyperlink w:anchor="SENTENCIA_2016_160" w:history="1">
        <w:r w:rsidRPr="00427CF1">
          <w:rPr>
            <w:rStyle w:val="TextoNormalCaracter"/>
          </w:rPr>
          <w:t>160/2016</w:t>
        </w:r>
      </w:hyperlink>
      <w:r>
        <w:t xml:space="preserve">, ff. 1, 2; </w:t>
      </w:r>
      <w:hyperlink w:anchor="SENTENCIA_2016_162" w:history="1">
        <w:r w:rsidRPr="00427CF1">
          <w:rPr>
            <w:rStyle w:val="TextoNormalCaracter"/>
          </w:rPr>
          <w:t>162/2016</w:t>
        </w:r>
      </w:hyperlink>
      <w:r>
        <w:t xml:space="preserve">, ff. 2, 3, 4, 7, 8; </w:t>
      </w:r>
      <w:hyperlink w:anchor="SENTENCIA_2016_167" w:history="1">
        <w:r w:rsidRPr="00427CF1">
          <w:rPr>
            <w:rStyle w:val="TextoNormalCaracter"/>
          </w:rPr>
          <w:t>167/2016</w:t>
        </w:r>
      </w:hyperlink>
      <w:r>
        <w:t xml:space="preserve">, ff. 1, 2, 4 a 6; </w:t>
      </w:r>
      <w:hyperlink w:anchor="SENTENCIA_2016_174" w:history="1">
        <w:r w:rsidRPr="00427CF1">
          <w:rPr>
            <w:rStyle w:val="TextoNormalCaracter"/>
          </w:rPr>
          <w:t>174/2016</w:t>
        </w:r>
      </w:hyperlink>
      <w:r>
        <w:t xml:space="preserve">, ff. 1 a 3; </w:t>
      </w:r>
      <w:hyperlink w:anchor="SENTENCIA_2016_187" w:history="1">
        <w:r w:rsidRPr="00427CF1">
          <w:rPr>
            <w:rStyle w:val="TextoNormalCaracter"/>
          </w:rPr>
          <w:t>187/2016</w:t>
        </w:r>
      </w:hyperlink>
      <w:r>
        <w:t xml:space="preserve">, ff. 1 a 3; </w:t>
      </w:r>
      <w:hyperlink w:anchor="SENTENCIA_2016_188" w:history="1">
        <w:r w:rsidRPr="00427CF1">
          <w:rPr>
            <w:rStyle w:val="TextoNormalCaracter"/>
          </w:rPr>
          <w:t>188/2016</w:t>
        </w:r>
      </w:hyperlink>
      <w:r>
        <w:t xml:space="preserve">, ff. 1 a 3; </w:t>
      </w:r>
      <w:hyperlink w:anchor="SENTENCIA_2016_197" w:history="1">
        <w:r w:rsidRPr="00427CF1">
          <w:rPr>
            <w:rStyle w:val="TextoNormalCaracter"/>
          </w:rPr>
          <w:t>197/2016</w:t>
        </w:r>
      </w:hyperlink>
      <w:r>
        <w:t xml:space="preserve">, ff. 1 a 3; </w:t>
      </w:r>
      <w:hyperlink w:anchor="SENTENCIA_2016_198" w:history="1">
        <w:r w:rsidRPr="00427CF1">
          <w:rPr>
            <w:rStyle w:val="TextoNormalCaracter"/>
          </w:rPr>
          <w:t>198/2016</w:t>
        </w:r>
      </w:hyperlink>
      <w:r>
        <w:t xml:space="preserve">, ff. 1 a 5; </w:t>
      </w:r>
      <w:hyperlink w:anchor="SENTENCIA_2016_202" w:history="1">
        <w:r w:rsidRPr="00427CF1">
          <w:rPr>
            <w:rStyle w:val="TextoNormalCaracter"/>
          </w:rPr>
          <w:t>202/2016</w:t>
        </w:r>
      </w:hyperlink>
      <w:r>
        <w:t xml:space="preserve">, ff. 1, 3; </w:t>
      </w:r>
      <w:hyperlink w:anchor="SENTENCIA_2016_213" w:history="1">
        <w:r w:rsidRPr="00427CF1">
          <w:rPr>
            <w:rStyle w:val="TextoNormalCaracter"/>
          </w:rPr>
          <w:t>213/2016</w:t>
        </w:r>
      </w:hyperlink>
      <w:r>
        <w:t xml:space="preserve">, ff. 1, 5; </w:t>
      </w:r>
      <w:hyperlink w:anchor="SENTENCIA_2016_220" w:history="1">
        <w:r w:rsidRPr="00427CF1">
          <w:rPr>
            <w:rStyle w:val="TextoNormalCaracter"/>
          </w:rPr>
          <w:t>220/2016</w:t>
        </w:r>
      </w:hyperlink>
      <w:r>
        <w:t>, ff. 1, 3.</w:t>
      </w:r>
    </w:p>
    <w:p w:rsidR="00427CF1" w:rsidRDefault="00427CF1" w:rsidP="00427CF1">
      <w:pPr>
        <w:pStyle w:val="SangriaIzquierdaArticulo"/>
      </w:pPr>
      <w:r>
        <w:t xml:space="preserve">Autos </w:t>
      </w:r>
      <w:hyperlink w:anchor="AUTO_2016_140" w:history="1">
        <w:r w:rsidRPr="00427CF1">
          <w:rPr>
            <w:rStyle w:val="TextoNormalCaracter"/>
          </w:rPr>
          <w:t>140/2016</w:t>
        </w:r>
      </w:hyperlink>
      <w:r>
        <w:t xml:space="preserve"> bis, f. 2; </w:t>
      </w:r>
      <w:hyperlink w:anchor="AUTO_2016_148" w:history="1">
        <w:r w:rsidRPr="00427CF1">
          <w:rPr>
            <w:rStyle w:val="TextoNormalCaracter"/>
          </w:rPr>
          <w:t>148/2016</w:t>
        </w:r>
      </w:hyperlink>
      <w:r>
        <w:t xml:space="preserve">, ff. 1, 5, 7; </w:t>
      </w:r>
      <w:hyperlink w:anchor="AUTO_2016_156" w:history="1">
        <w:r w:rsidRPr="00427CF1">
          <w:rPr>
            <w:rStyle w:val="TextoNormalCaracter"/>
          </w:rPr>
          <w:t>156/2016</w:t>
        </w:r>
      </w:hyperlink>
      <w:r>
        <w:t xml:space="preserve">, f. 3; </w:t>
      </w:r>
      <w:hyperlink w:anchor="AUTO_2016_168" w:history="1">
        <w:r w:rsidRPr="00427CF1">
          <w:rPr>
            <w:rStyle w:val="TextoNormalCaracter"/>
          </w:rPr>
          <w:t>168/2016</w:t>
        </w:r>
      </w:hyperlink>
      <w:r>
        <w:t xml:space="preserve">, f. 1; </w:t>
      </w:r>
      <w:hyperlink w:anchor="AUTO_2016_186" w:history="1">
        <w:r w:rsidRPr="00427CF1">
          <w:rPr>
            <w:rStyle w:val="TextoNormalCaracter"/>
          </w:rPr>
          <w:t>186/2016</w:t>
        </w:r>
      </w:hyperlink>
      <w:r>
        <w:t xml:space="preserve">, f. 1; </w:t>
      </w:r>
      <w:hyperlink w:anchor="AUTO_2016_187" w:history="1">
        <w:r w:rsidRPr="00427CF1">
          <w:rPr>
            <w:rStyle w:val="TextoNormalCaracter"/>
          </w:rPr>
          <w:t>187/2016</w:t>
        </w:r>
      </w:hyperlink>
      <w:r>
        <w:t xml:space="preserve">, ff. 1 a 3, 6; </w:t>
      </w:r>
      <w:hyperlink w:anchor="AUTO_2016_197" w:history="1">
        <w:r w:rsidRPr="00427CF1">
          <w:rPr>
            <w:rStyle w:val="TextoNormalCaracter"/>
          </w:rPr>
          <w:t>197/2016</w:t>
        </w:r>
      </w:hyperlink>
      <w:r>
        <w:t xml:space="preserve">, ff. 1, 4, 5; </w:t>
      </w:r>
      <w:hyperlink w:anchor="AUTO_2016_200" w:history="1">
        <w:r w:rsidRPr="00427CF1">
          <w:rPr>
            <w:rStyle w:val="TextoNormalCaracter"/>
          </w:rPr>
          <w:t>200/2016</w:t>
        </w:r>
      </w:hyperlink>
      <w:r>
        <w:t>, ff. 1, 3.</w:t>
      </w:r>
    </w:p>
    <w:p w:rsidR="00427CF1" w:rsidRDefault="00427CF1" w:rsidP="00427CF1">
      <w:pPr>
        <w:pStyle w:val="SangriaFrancesaArticulo"/>
      </w:pPr>
      <w:r w:rsidRPr="00427CF1">
        <w:rPr>
          <w:rStyle w:val="TextoNormalNegritaCaracter"/>
        </w:rPr>
        <w:t>Artículo 14</w:t>
      </w:r>
      <w:r>
        <w:t xml:space="preserve"> (discriminación por circunstancias personales o sociales)</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4.</w:t>
      </w:r>
    </w:p>
    <w:p w:rsidR="00427CF1" w:rsidRDefault="00427CF1" w:rsidP="00427CF1">
      <w:pPr>
        <w:pStyle w:val="SangriaFrancesaArticulo"/>
      </w:pPr>
      <w:r w:rsidRPr="00427CF1">
        <w:rPr>
          <w:rStyle w:val="TextoNormalNegritaCaracter"/>
        </w:rPr>
        <w:t>Artículo 14</w:t>
      </w:r>
      <w:r>
        <w:t xml:space="preserve"> (discriminación por sexo)</w:t>
      </w:r>
      <w:r w:rsidRPr="00427CF1">
        <w:rPr>
          <w:rStyle w:val="TextoNormalNegritaCaracter"/>
        </w:rPr>
        <w:t>.</w:t>
      </w:r>
      <w:r w:rsidRPr="00427CF1">
        <w:rPr>
          <w:rStyle w:val="TextoNormalCaracter"/>
        </w:rPr>
        <w:t>-</w:t>
      </w:r>
      <w:r>
        <w:t xml:space="preserve"> Sentencias </w:t>
      </w:r>
      <w:hyperlink w:anchor="SENTENCIA_2016_140" w:history="1">
        <w:r w:rsidRPr="00427CF1">
          <w:rPr>
            <w:rStyle w:val="TextoNormalCaracter"/>
          </w:rPr>
          <w:t>140/2016</w:t>
        </w:r>
      </w:hyperlink>
      <w:r>
        <w:t xml:space="preserve">, f. 4; </w:t>
      </w:r>
      <w:hyperlink w:anchor="SENTENCIA_2016_162" w:history="1">
        <w:r w:rsidRPr="00427CF1">
          <w:rPr>
            <w:rStyle w:val="TextoNormalCaracter"/>
          </w:rPr>
          <w:t>162/2016</w:t>
        </w:r>
      </w:hyperlink>
      <w:r>
        <w:t>, ff. 1, 3 a 5, 7.</w:t>
      </w:r>
    </w:p>
    <w:p w:rsidR="00427CF1" w:rsidRDefault="00427CF1" w:rsidP="00427CF1">
      <w:pPr>
        <w:pStyle w:val="SangriaFrancesaArticulo"/>
      </w:pPr>
      <w:r w:rsidRPr="00427CF1">
        <w:rPr>
          <w:rStyle w:val="TextoNormalNegritaCaracter"/>
        </w:rPr>
        <w:t>Artículo 14</w:t>
      </w:r>
      <w:r>
        <w:t xml:space="preserve"> (igualdad en la aplicación de la ley)</w:t>
      </w:r>
      <w:r w:rsidRPr="00427CF1">
        <w:rPr>
          <w:rStyle w:val="TextoNormalNegritaCaracter"/>
        </w:rPr>
        <w:t>.</w:t>
      </w:r>
      <w:r w:rsidRPr="00427CF1">
        <w:rPr>
          <w:rStyle w:val="TextoNormalCaracter"/>
        </w:rPr>
        <w:t>-</w:t>
      </w:r>
      <w:r>
        <w:t xml:space="preserve"> Sentencias </w:t>
      </w:r>
      <w:hyperlink w:anchor="SENTENCIA_2016_140" w:history="1">
        <w:r w:rsidRPr="00427CF1">
          <w:rPr>
            <w:rStyle w:val="TextoNormalCaracter"/>
          </w:rPr>
          <w:t>140/2016</w:t>
        </w:r>
      </w:hyperlink>
      <w:r>
        <w:t xml:space="preserve">, ff. 1, 4; </w:t>
      </w:r>
      <w:hyperlink w:anchor="SENTENCIA_2016_147" w:history="1">
        <w:r w:rsidRPr="00427CF1">
          <w:rPr>
            <w:rStyle w:val="TextoNormalCaracter"/>
          </w:rPr>
          <w:t>147/2016</w:t>
        </w:r>
      </w:hyperlink>
      <w:r>
        <w:t xml:space="preserve">, ff. 1, 2; </w:t>
      </w:r>
      <w:hyperlink w:anchor="SENTENCIA_2016_162" w:history="1">
        <w:r w:rsidRPr="00427CF1">
          <w:rPr>
            <w:rStyle w:val="TextoNormalCaracter"/>
          </w:rPr>
          <w:t>162/2016</w:t>
        </w:r>
      </w:hyperlink>
      <w:r>
        <w:t xml:space="preserve">, f. 3; </w:t>
      </w:r>
      <w:hyperlink w:anchor="SENTENCIA_2016_172" w:history="1">
        <w:r w:rsidRPr="00427CF1">
          <w:rPr>
            <w:rStyle w:val="TextoNormalCaracter"/>
          </w:rPr>
          <w:t>172/2016</w:t>
        </w:r>
      </w:hyperlink>
      <w:r>
        <w:t xml:space="preserve">, ff. 1, 3; </w:t>
      </w:r>
      <w:hyperlink w:anchor="SENTENCIA_2016_196" w:history="1">
        <w:r w:rsidRPr="00427CF1">
          <w:rPr>
            <w:rStyle w:val="TextoNormalCaracter"/>
          </w:rPr>
          <w:t>196/2016</w:t>
        </w:r>
      </w:hyperlink>
      <w:r>
        <w:t xml:space="preserve">, ff. 1 a 4; </w:t>
      </w:r>
      <w:hyperlink w:anchor="SENTENCIA_2016_219" w:history="1">
        <w:r w:rsidRPr="00427CF1">
          <w:rPr>
            <w:rStyle w:val="TextoNormalCaracter"/>
          </w:rPr>
          <w:t>219/2016</w:t>
        </w:r>
      </w:hyperlink>
      <w:r>
        <w:t>, ff. 1, 3.</w:t>
      </w:r>
    </w:p>
    <w:p w:rsidR="00427CF1" w:rsidRDefault="00427CF1" w:rsidP="00427CF1">
      <w:pPr>
        <w:pStyle w:val="SangriaIzquierdaArticulo"/>
      </w:pPr>
      <w:r>
        <w:t xml:space="preserve">Autos </w:t>
      </w:r>
      <w:hyperlink w:anchor="AUTO_2016_148" w:history="1">
        <w:r w:rsidRPr="00427CF1">
          <w:rPr>
            <w:rStyle w:val="TextoNormalCaracter"/>
          </w:rPr>
          <w:t>148/2016</w:t>
        </w:r>
      </w:hyperlink>
      <w:r>
        <w:t xml:space="preserve">, f. 7; </w:t>
      </w:r>
      <w:hyperlink w:anchor="AUTO_2016_155" w:history="1">
        <w:r w:rsidRPr="00427CF1">
          <w:rPr>
            <w:rStyle w:val="TextoNormalCaracter"/>
          </w:rPr>
          <w:t>155/2016</w:t>
        </w:r>
      </w:hyperlink>
      <w:r>
        <w:t>, ff. 4, 5.</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Sentencias </w:t>
      </w:r>
      <w:hyperlink w:anchor="SENTENCIA_2016_130" w:history="1">
        <w:r w:rsidRPr="00427CF1">
          <w:rPr>
            <w:rStyle w:val="TextoNormalCaracter"/>
          </w:rPr>
          <w:t>130/2016</w:t>
        </w:r>
      </w:hyperlink>
      <w:r>
        <w:t xml:space="preserve">, ff. 1, 2, 6; </w:t>
      </w:r>
      <w:hyperlink w:anchor="SENTENCIA_2016_139" w:history="1">
        <w:r w:rsidRPr="00427CF1">
          <w:rPr>
            <w:rStyle w:val="TextoNormalCaracter"/>
          </w:rPr>
          <w:t>139/2016</w:t>
        </w:r>
      </w:hyperlink>
      <w:r>
        <w:t xml:space="preserve">, f. 10, VP I; </w:t>
      </w:r>
      <w:hyperlink w:anchor="SENTENCIA_2016_144" w:history="1">
        <w:r w:rsidRPr="00427CF1">
          <w:rPr>
            <w:rStyle w:val="TextoNormalCaracter"/>
          </w:rPr>
          <w:t>144/2016</w:t>
        </w:r>
      </w:hyperlink>
      <w:r>
        <w:t xml:space="preserve">, ff. 1 a 3; </w:t>
      </w:r>
      <w:hyperlink w:anchor="SENTENCIA_2016_201" w:history="1">
        <w:r w:rsidRPr="00427CF1">
          <w:rPr>
            <w:rStyle w:val="TextoNormalCaracter"/>
          </w:rPr>
          <w:t>201/2016</w:t>
        </w:r>
      </w:hyperlink>
      <w:r>
        <w:t>, f. 1.</w:t>
      </w:r>
    </w:p>
    <w:p w:rsidR="00427CF1" w:rsidRDefault="00427CF1" w:rsidP="00427CF1">
      <w:pPr>
        <w:pStyle w:val="SangriaIzquierdaArticulo"/>
      </w:pPr>
      <w:r>
        <w:t xml:space="preserve">Auto </w:t>
      </w:r>
      <w:hyperlink w:anchor="AUTO_2016_155" w:history="1">
        <w:r w:rsidRPr="00427CF1">
          <w:rPr>
            <w:rStyle w:val="TextoNormalCaracter"/>
          </w:rPr>
          <w:t>155/2016</w:t>
        </w:r>
      </w:hyperlink>
      <w:r>
        <w:t>, f. 2.</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Sentencias </w:t>
      </w:r>
      <w:hyperlink w:anchor="SENTENCIA_2016_138" w:history="1">
        <w:r w:rsidRPr="00427CF1">
          <w:rPr>
            <w:rStyle w:val="TextoNormalCaracter"/>
          </w:rPr>
          <w:t>138/2016</w:t>
        </w:r>
      </w:hyperlink>
      <w:r>
        <w:t xml:space="preserve">, f. 3; </w:t>
      </w:r>
      <w:hyperlink w:anchor="SENTENCIA_2016_154" w:history="1">
        <w:r w:rsidRPr="00427CF1">
          <w:rPr>
            <w:rStyle w:val="TextoNormalCaracter"/>
          </w:rPr>
          <w:t>154/2016</w:t>
        </w:r>
      </w:hyperlink>
      <w:r>
        <w:t>, f. 3, VP.</w:t>
      </w:r>
    </w:p>
    <w:p w:rsidR="00427CF1" w:rsidRDefault="00427CF1" w:rsidP="00427CF1">
      <w:pPr>
        <w:pStyle w:val="SangriaFrancesaArticulo"/>
      </w:pPr>
      <w:r w:rsidRPr="00427CF1">
        <w:rPr>
          <w:rStyle w:val="TextoNormalNegritaCaracter"/>
        </w:rPr>
        <w:t>Artículo 17.1.</w:t>
      </w:r>
      <w:r w:rsidRPr="00427CF1">
        <w:rPr>
          <w:rStyle w:val="TextoNormalCaracter"/>
        </w:rPr>
        <w:t>-</w:t>
      </w:r>
      <w:r>
        <w:t xml:space="preserve"> Sentencias </w:t>
      </w:r>
      <w:hyperlink w:anchor="SENTENCIA_2016_132" w:history="1">
        <w:r w:rsidRPr="00427CF1">
          <w:rPr>
            <w:rStyle w:val="TextoNormalCaracter"/>
          </w:rPr>
          <w:t>132/2016</w:t>
        </w:r>
      </w:hyperlink>
      <w:r>
        <w:t xml:space="preserve">, ff. 1 a 4, 6; </w:t>
      </w:r>
      <w:hyperlink w:anchor="SENTENCIA_2016_137" w:history="1">
        <w:r w:rsidRPr="00427CF1">
          <w:rPr>
            <w:rStyle w:val="TextoNormalCaracter"/>
          </w:rPr>
          <w:t>137/2016</w:t>
        </w:r>
      </w:hyperlink>
      <w:r>
        <w:t xml:space="preserve">, ff. 2, 3, 4; </w:t>
      </w:r>
      <w:hyperlink w:anchor="SENTENCIA_2016_138" w:history="1">
        <w:r w:rsidRPr="00427CF1">
          <w:rPr>
            <w:rStyle w:val="TextoNormalCaracter"/>
          </w:rPr>
          <w:t>138/2016</w:t>
        </w:r>
      </w:hyperlink>
      <w:r>
        <w:t xml:space="preserve">, ff. 1, 3; </w:t>
      </w:r>
      <w:hyperlink w:anchor="SENTENCIA_2016_154" w:history="1">
        <w:r w:rsidRPr="00427CF1">
          <w:rPr>
            <w:rStyle w:val="TextoNormalCaracter"/>
          </w:rPr>
          <w:t>154/2016</w:t>
        </w:r>
      </w:hyperlink>
      <w:r>
        <w:t>, VP.</w:t>
      </w:r>
    </w:p>
    <w:p w:rsidR="00427CF1" w:rsidRDefault="00427CF1" w:rsidP="00427CF1">
      <w:pPr>
        <w:pStyle w:val="SangriaIzquierdaArticulo"/>
      </w:pPr>
      <w:r>
        <w:t xml:space="preserve">Auto </w:t>
      </w:r>
      <w:hyperlink w:anchor="AUTO_2016_155" w:history="1">
        <w:r w:rsidRPr="00427CF1">
          <w:rPr>
            <w:rStyle w:val="TextoNormalCaracter"/>
          </w:rPr>
          <w:t>155/2016</w:t>
        </w:r>
      </w:hyperlink>
      <w:r>
        <w:t>, f. 2, VP I.</w:t>
      </w:r>
    </w:p>
    <w:p w:rsidR="00427CF1" w:rsidRDefault="00427CF1" w:rsidP="00427CF1">
      <w:pPr>
        <w:pStyle w:val="SangriaFrancesaArticulo"/>
      </w:pPr>
      <w:r w:rsidRPr="00427CF1">
        <w:rPr>
          <w:rStyle w:val="TextoNormalNegritaCaracter"/>
        </w:rPr>
        <w:t>Artículo 17.2.</w:t>
      </w:r>
      <w:r w:rsidRPr="00427CF1">
        <w:rPr>
          <w:rStyle w:val="TextoNormalCaracter"/>
        </w:rPr>
        <w:t>-</w:t>
      </w:r>
      <w:r>
        <w:t xml:space="preserve"> Sentencia </w:t>
      </w:r>
      <w:hyperlink w:anchor="SENTENCIA_2016_154" w:history="1">
        <w:r w:rsidRPr="00427CF1">
          <w:rPr>
            <w:rStyle w:val="TextoNormalCaracter"/>
          </w:rPr>
          <w:t>154/2016</w:t>
        </w:r>
      </w:hyperlink>
      <w:r>
        <w:t>, ff. 1, 3, VP.</w:t>
      </w:r>
    </w:p>
    <w:p w:rsidR="00427CF1" w:rsidRDefault="00427CF1" w:rsidP="00427CF1">
      <w:pPr>
        <w:pStyle w:val="SangriaFrancesaArticulo"/>
      </w:pPr>
      <w:r w:rsidRPr="00427CF1">
        <w:rPr>
          <w:rStyle w:val="TextoNormalNegritaCaracter"/>
        </w:rPr>
        <w:t>Artículo 17.3.</w:t>
      </w:r>
      <w:r w:rsidRPr="00427CF1">
        <w:rPr>
          <w:rStyle w:val="TextoNormalCaracter"/>
        </w:rPr>
        <w:t>-</w:t>
      </w:r>
      <w:r>
        <w:t xml:space="preserve"> Sentencia </w:t>
      </w:r>
      <w:hyperlink w:anchor="SENTENCIA_2016_154" w:history="1">
        <w:r w:rsidRPr="00427CF1">
          <w:rPr>
            <w:rStyle w:val="TextoNormalCaracter"/>
          </w:rPr>
          <w:t>154/2016</w:t>
        </w:r>
      </w:hyperlink>
      <w:r>
        <w:t>, ff. 1, 3, VP.</w:t>
      </w:r>
    </w:p>
    <w:p w:rsidR="00427CF1" w:rsidRDefault="00427CF1" w:rsidP="00427CF1">
      <w:pPr>
        <w:pStyle w:val="SangriaFrancesaArticulo"/>
      </w:pPr>
      <w:r w:rsidRPr="00427CF1">
        <w:rPr>
          <w:rStyle w:val="TextoNormalNegritaCaracter"/>
        </w:rPr>
        <w:t>Artículo 17.4.</w:t>
      </w:r>
      <w:r w:rsidRPr="00427CF1">
        <w:rPr>
          <w:rStyle w:val="TextoNormalCaracter"/>
        </w:rPr>
        <w:t>-</w:t>
      </w:r>
      <w:r>
        <w:t xml:space="preserve"> Sentencia </w:t>
      </w:r>
      <w:hyperlink w:anchor="SENTENCIA_2016_154" w:history="1">
        <w:r w:rsidRPr="00427CF1">
          <w:rPr>
            <w:rStyle w:val="TextoNormalCaracter"/>
          </w:rPr>
          <w:t>154/2016</w:t>
        </w:r>
      </w:hyperlink>
      <w:r>
        <w:t>, ff. 1, 3, VP.</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Sentencias </w:t>
      </w:r>
      <w:hyperlink w:anchor="SENTENCIA_2016_131" w:history="1">
        <w:r w:rsidRPr="00427CF1">
          <w:rPr>
            <w:rStyle w:val="TextoNormalCaracter"/>
          </w:rPr>
          <w:t>131/2016</w:t>
        </w:r>
      </w:hyperlink>
      <w:r>
        <w:t xml:space="preserve">, ff. 1, 2; </w:t>
      </w:r>
      <w:hyperlink w:anchor="SENTENCIA_2016_201" w:history="1">
        <w:r w:rsidRPr="00427CF1">
          <w:rPr>
            <w:rStyle w:val="TextoNormalCaracter"/>
          </w:rPr>
          <w:t>201/2016</w:t>
        </w:r>
      </w:hyperlink>
      <w:r>
        <w:t>, f. 1.</w:t>
      </w:r>
    </w:p>
    <w:p w:rsidR="00427CF1" w:rsidRDefault="00427CF1" w:rsidP="00427CF1">
      <w:pPr>
        <w:pStyle w:val="SangriaFrancesaArticulo"/>
      </w:pPr>
      <w:r w:rsidRPr="00427CF1">
        <w:rPr>
          <w:rStyle w:val="TextoNormalNegritaCaracter"/>
        </w:rPr>
        <w:t>Artículo 18.1.</w:t>
      </w:r>
      <w:r w:rsidRPr="00427CF1">
        <w:rPr>
          <w:rStyle w:val="TextoNormalCaracter"/>
        </w:rPr>
        <w:t>-</w:t>
      </w:r>
      <w:r>
        <w:t xml:space="preserve"> Sentencias </w:t>
      </w:r>
      <w:hyperlink w:anchor="SENTENCIA_2016_131" w:history="1">
        <w:r w:rsidRPr="00427CF1">
          <w:rPr>
            <w:rStyle w:val="TextoNormalCaracter"/>
          </w:rPr>
          <w:t>131/2016</w:t>
        </w:r>
      </w:hyperlink>
      <w:r>
        <w:t xml:space="preserve">, f. 6; </w:t>
      </w:r>
      <w:hyperlink w:anchor="SENTENCIA_2016_201" w:history="1">
        <w:r w:rsidRPr="00427CF1">
          <w:rPr>
            <w:rStyle w:val="TextoNormalCaracter"/>
          </w:rPr>
          <w:t>201/2016</w:t>
        </w:r>
      </w:hyperlink>
      <w:r>
        <w:t>, f. 3.</w:t>
      </w:r>
    </w:p>
    <w:p w:rsidR="00427CF1" w:rsidRDefault="00427CF1" w:rsidP="00427CF1">
      <w:pPr>
        <w:pStyle w:val="SangriaFrancesaArticulo"/>
      </w:pPr>
      <w:r w:rsidRPr="00427CF1">
        <w:rPr>
          <w:rStyle w:val="TextoNormalNegritaCaracter"/>
        </w:rPr>
        <w:t>Artículo 18.2.</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 18.4.</w:t>
      </w:r>
      <w:r w:rsidRPr="00427CF1">
        <w:rPr>
          <w:rStyle w:val="TextoNormalCaracter"/>
        </w:rPr>
        <w:t>-</w:t>
      </w:r>
      <w:r>
        <w:t xml:space="preserve"> Sentencia </w:t>
      </w:r>
      <w:hyperlink w:anchor="SENTENCIA_2016_139" w:history="1">
        <w:r w:rsidRPr="00427CF1">
          <w:rPr>
            <w:rStyle w:val="TextoNormalCaracter"/>
          </w:rPr>
          <w:t>139/2016</w:t>
        </w:r>
      </w:hyperlink>
      <w:r>
        <w:t>, ff. 1, 6, VP I.</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Sentencias </w:t>
      </w:r>
      <w:hyperlink w:anchor="SENTENCIA_2016_177" w:history="1">
        <w:r w:rsidRPr="00427CF1">
          <w:rPr>
            <w:rStyle w:val="TextoNormalCaracter"/>
          </w:rPr>
          <w:t>177/2016</w:t>
        </w:r>
      </w:hyperlink>
      <w:r>
        <w:t xml:space="preserve">, f. 3; </w:t>
      </w:r>
      <w:hyperlink w:anchor="SENTENCIA_2016_226" w:history="1">
        <w:r w:rsidRPr="00427CF1">
          <w:rPr>
            <w:rStyle w:val="TextoNormalCaracter"/>
          </w:rPr>
          <w:t>226/2016</w:t>
        </w:r>
      </w:hyperlink>
      <w:r>
        <w:t>, ff. 4, 5.</w:t>
      </w:r>
    </w:p>
    <w:p w:rsidR="00427CF1" w:rsidRDefault="00427CF1" w:rsidP="00427CF1">
      <w:pPr>
        <w:pStyle w:val="SangriaFrancesaArticulo"/>
      </w:pPr>
      <w:r w:rsidRPr="00427CF1">
        <w:rPr>
          <w:rStyle w:val="TextoNormalNegritaCaracter"/>
        </w:rPr>
        <w:t>Artículo 20.1.</w:t>
      </w:r>
      <w:r w:rsidRPr="00427CF1">
        <w:rPr>
          <w:rStyle w:val="TextoNormalCaracter"/>
        </w:rPr>
        <w:t>-</w:t>
      </w:r>
      <w:r>
        <w:t xml:space="preserve"> Sentencia </w:t>
      </w:r>
      <w:hyperlink w:anchor="SENTENCIA_2016_142" w:history="1">
        <w:r w:rsidRPr="00427CF1">
          <w:rPr>
            <w:rStyle w:val="TextoNormalCaracter"/>
          </w:rPr>
          <w:t>142/2016</w:t>
        </w:r>
      </w:hyperlink>
      <w:r>
        <w:t>, f. 7.</w:t>
      </w:r>
    </w:p>
    <w:p w:rsidR="00427CF1" w:rsidRDefault="00427CF1" w:rsidP="00427CF1">
      <w:pPr>
        <w:pStyle w:val="SangriaFrancesaArticulo"/>
      </w:pPr>
      <w:r w:rsidRPr="00427CF1">
        <w:rPr>
          <w:rStyle w:val="TextoNormalNegritaCaracter"/>
        </w:rPr>
        <w:t>Artículo 20.1 a).</w:t>
      </w:r>
      <w:r w:rsidRPr="00427CF1">
        <w:rPr>
          <w:rStyle w:val="TextoNormalCaracter"/>
        </w:rPr>
        <w:t>-</w:t>
      </w:r>
      <w:r>
        <w:t xml:space="preserve"> Sentencias </w:t>
      </w:r>
      <w:hyperlink w:anchor="SENTENCIA_2016_153" w:history="1">
        <w:r w:rsidRPr="00427CF1">
          <w:rPr>
            <w:rStyle w:val="TextoNormalCaracter"/>
          </w:rPr>
          <w:t>153/2016</w:t>
        </w:r>
      </w:hyperlink>
      <w:r>
        <w:t xml:space="preserve">, ff. 1, 2; </w:t>
      </w:r>
      <w:hyperlink w:anchor="SENTENCIA_2016_177" w:history="1">
        <w:r w:rsidRPr="00427CF1">
          <w:rPr>
            <w:rStyle w:val="TextoNormalCaracter"/>
          </w:rPr>
          <w:t>177/2016</w:t>
        </w:r>
      </w:hyperlink>
      <w:r>
        <w:t xml:space="preserve">, ff. 1, 2; </w:t>
      </w:r>
      <w:hyperlink w:anchor="SENTENCIA_2016_226" w:history="1">
        <w:r w:rsidRPr="00427CF1">
          <w:rPr>
            <w:rStyle w:val="TextoNormalCaracter"/>
          </w:rPr>
          <w:t>226/2016</w:t>
        </w:r>
      </w:hyperlink>
      <w:r>
        <w:t>, ff. 1, 4, VP.</w:t>
      </w:r>
    </w:p>
    <w:p w:rsidR="00427CF1" w:rsidRDefault="00427CF1" w:rsidP="00427CF1">
      <w:pPr>
        <w:pStyle w:val="SangriaFrancesaArticulo"/>
      </w:pPr>
      <w:r w:rsidRPr="00427CF1">
        <w:rPr>
          <w:rStyle w:val="TextoNormalNegritaCaracter"/>
        </w:rPr>
        <w:t>Artículo 20.1 b).</w:t>
      </w:r>
      <w:r w:rsidRPr="00427CF1">
        <w:rPr>
          <w:rStyle w:val="TextoNormalCaracter"/>
        </w:rPr>
        <w:t>-</w:t>
      </w:r>
      <w:r>
        <w:t xml:space="preserve"> Sentencia </w:t>
      </w:r>
      <w:hyperlink w:anchor="SENTENCIA_2016_177" w:history="1">
        <w:r w:rsidRPr="00427CF1">
          <w:rPr>
            <w:rStyle w:val="TextoNormalCaracter"/>
          </w:rPr>
          <w:t>177/2016</w:t>
        </w:r>
      </w:hyperlink>
      <w:r>
        <w:t>, f. 2.</w:t>
      </w:r>
    </w:p>
    <w:p w:rsidR="00427CF1" w:rsidRDefault="00427CF1" w:rsidP="00427CF1">
      <w:pPr>
        <w:pStyle w:val="SangriaFrancesaArticulo"/>
      </w:pPr>
      <w:r w:rsidRPr="00427CF1">
        <w:rPr>
          <w:rStyle w:val="TextoNormalNegritaCaracter"/>
        </w:rPr>
        <w:t>Artículo 20.1 c).</w:t>
      </w:r>
      <w:r w:rsidRPr="00427CF1">
        <w:rPr>
          <w:rStyle w:val="TextoNormalCaracter"/>
        </w:rPr>
        <w:t>-</w:t>
      </w:r>
      <w:r>
        <w:t xml:space="preserve"> Sentencia </w:t>
      </w:r>
      <w:hyperlink w:anchor="SENTENCIA_2016_177" w:history="1">
        <w:r w:rsidRPr="00427CF1">
          <w:rPr>
            <w:rStyle w:val="TextoNormalCaracter"/>
          </w:rPr>
          <w:t>177/2016</w:t>
        </w:r>
      </w:hyperlink>
      <w:r>
        <w:t>, ff. 1, 2.</w:t>
      </w:r>
    </w:p>
    <w:p w:rsidR="00427CF1" w:rsidRDefault="00427CF1" w:rsidP="00427CF1">
      <w:pPr>
        <w:pStyle w:val="SangriaFrancesaArticulo"/>
      </w:pPr>
      <w:r w:rsidRPr="00427CF1">
        <w:rPr>
          <w:rStyle w:val="TextoNormalNegritaCaracter"/>
        </w:rPr>
        <w:t>Artículo 20.1 d).</w:t>
      </w:r>
      <w:r w:rsidRPr="00427CF1">
        <w:rPr>
          <w:rStyle w:val="TextoNormalCaracter"/>
        </w:rPr>
        <w:t>-</w:t>
      </w:r>
      <w:r>
        <w:t xml:space="preserve"> Sentencias </w:t>
      </w:r>
      <w:hyperlink w:anchor="SENTENCIA_2016_153" w:history="1">
        <w:r w:rsidRPr="00427CF1">
          <w:rPr>
            <w:rStyle w:val="TextoNormalCaracter"/>
          </w:rPr>
          <w:t>153/2016</w:t>
        </w:r>
      </w:hyperlink>
      <w:r>
        <w:t xml:space="preserve">, ff. 1, 2; </w:t>
      </w:r>
      <w:hyperlink w:anchor="SENTENCIA_2016_177" w:history="1">
        <w:r w:rsidRPr="00427CF1">
          <w:rPr>
            <w:rStyle w:val="TextoNormalCaracter"/>
          </w:rPr>
          <w:t>177/2016</w:t>
        </w:r>
      </w:hyperlink>
      <w:r>
        <w:t>, f. 8.</w:t>
      </w:r>
    </w:p>
    <w:p w:rsidR="00427CF1" w:rsidRDefault="00427CF1" w:rsidP="00427CF1">
      <w:pPr>
        <w:pStyle w:val="SangriaFrancesaArticulo"/>
      </w:pPr>
      <w:r w:rsidRPr="00427CF1">
        <w:rPr>
          <w:rStyle w:val="TextoNormalNegritaCaracter"/>
        </w:rPr>
        <w:t>Artículo 20.3.</w:t>
      </w:r>
      <w:r w:rsidRPr="00427CF1">
        <w:rPr>
          <w:rStyle w:val="TextoNormalCaracter"/>
        </w:rPr>
        <w:t>-</w:t>
      </w:r>
      <w:r>
        <w:t xml:space="preserve"> Sentencia </w:t>
      </w:r>
      <w:hyperlink w:anchor="SENTENCIA_2016_153" w:history="1">
        <w:r w:rsidRPr="00427CF1">
          <w:rPr>
            <w:rStyle w:val="TextoNormalCaracter"/>
          </w:rPr>
          <w:t>153/2016</w:t>
        </w:r>
      </w:hyperlink>
      <w:r>
        <w:t>, ff. 1, 2.</w:t>
      </w:r>
    </w:p>
    <w:p w:rsidR="00427CF1" w:rsidRDefault="00427CF1" w:rsidP="00427CF1">
      <w:pPr>
        <w:pStyle w:val="SangriaFrancesaArticulo"/>
      </w:pPr>
      <w:r w:rsidRPr="00427CF1">
        <w:rPr>
          <w:rStyle w:val="TextoNormalNegritaCaracter"/>
        </w:rPr>
        <w:t>Artículo 20.4.</w:t>
      </w:r>
      <w:r w:rsidRPr="00427CF1">
        <w:rPr>
          <w:rStyle w:val="TextoNormalCaracter"/>
        </w:rPr>
        <w:t>-</w:t>
      </w:r>
      <w:r>
        <w:t xml:space="preserve"> Sentencia </w:t>
      </w:r>
      <w:hyperlink w:anchor="SENTENCIA_2016_226" w:history="1">
        <w:r w:rsidRPr="00427CF1">
          <w:rPr>
            <w:rStyle w:val="TextoNormalCaracter"/>
          </w:rPr>
          <w:t>226/2016</w:t>
        </w:r>
      </w:hyperlink>
      <w:r>
        <w:t>, f. 7.</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226" w:history="1">
        <w:r w:rsidRPr="00427CF1">
          <w:rPr>
            <w:rStyle w:val="TextoNormalCaracter"/>
          </w:rPr>
          <w:t>226/2016</w:t>
        </w:r>
      </w:hyperlink>
      <w:r>
        <w:t>, ff. 4, 6, 7, 10, 11, VP.</w:t>
      </w:r>
    </w:p>
    <w:p w:rsidR="00427CF1" w:rsidRDefault="00427CF1" w:rsidP="00427CF1">
      <w:pPr>
        <w:pStyle w:val="SangriaFrancesaArticulo"/>
      </w:pPr>
      <w:r w:rsidRPr="00427CF1">
        <w:rPr>
          <w:rStyle w:val="TextoNormalNegritaCaracter"/>
        </w:rPr>
        <w:t>Artículo 22.1.</w:t>
      </w:r>
      <w:r w:rsidRPr="00427CF1">
        <w:rPr>
          <w:rStyle w:val="TextoNormalCaracter"/>
        </w:rPr>
        <w:t>-</w:t>
      </w:r>
      <w:r>
        <w:t xml:space="preserve"> Sentencia </w:t>
      </w:r>
      <w:hyperlink w:anchor="SENTENCIA_2016_226" w:history="1">
        <w:r w:rsidRPr="00427CF1">
          <w:rPr>
            <w:rStyle w:val="TextoNormalCaracter"/>
          </w:rPr>
          <w:t>226/2016</w:t>
        </w:r>
      </w:hyperlink>
      <w:r>
        <w:t>, ff. 1, 2.</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Sentencias </w:t>
      </w:r>
      <w:hyperlink w:anchor="SENTENCIA_2016_139" w:history="1">
        <w:r w:rsidRPr="00427CF1">
          <w:rPr>
            <w:rStyle w:val="TextoNormalCaracter"/>
          </w:rPr>
          <w:t>139/2016</w:t>
        </w:r>
      </w:hyperlink>
      <w:r>
        <w:t xml:space="preserve">, f. 10; </w:t>
      </w:r>
      <w:hyperlink w:anchor="SENTENCIA_2016_143" w:history="1">
        <w:r w:rsidRPr="00427CF1">
          <w:rPr>
            <w:rStyle w:val="TextoNormalCaracter"/>
          </w:rPr>
          <w:t>143/2016</w:t>
        </w:r>
      </w:hyperlink>
      <w:r>
        <w:t xml:space="preserve">, ff. 1, 2; </w:t>
      </w:r>
      <w:hyperlink w:anchor="SENTENCIA_2016_162" w:history="1">
        <w:r w:rsidRPr="00427CF1">
          <w:rPr>
            <w:rStyle w:val="TextoNormalCaracter"/>
          </w:rPr>
          <w:t>162/2016</w:t>
        </w:r>
      </w:hyperlink>
      <w:r>
        <w:t xml:space="preserve">, f. 3; </w:t>
      </w:r>
      <w:hyperlink w:anchor="SENTENCIA_2016_185" w:history="1">
        <w:r w:rsidRPr="00427CF1">
          <w:rPr>
            <w:rStyle w:val="TextoNormalCaracter"/>
          </w:rPr>
          <w:t>185/2016</w:t>
        </w:r>
      </w:hyperlink>
      <w:r>
        <w:t xml:space="preserve">, ff. 4, 5, 10, VP I; </w:t>
      </w:r>
      <w:hyperlink w:anchor="SENTENCIA_2016_212" w:history="1">
        <w:r w:rsidRPr="00427CF1">
          <w:rPr>
            <w:rStyle w:val="TextoNormalCaracter"/>
          </w:rPr>
          <w:t>212/2016</w:t>
        </w:r>
      </w:hyperlink>
      <w:r>
        <w:t xml:space="preserve">, f. 1; </w:t>
      </w:r>
      <w:hyperlink w:anchor="SENTENCIA_2016_213" w:history="1">
        <w:r w:rsidRPr="00427CF1">
          <w:rPr>
            <w:rStyle w:val="TextoNormalCaracter"/>
          </w:rPr>
          <w:t>213/2016</w:t>
        </w:r>
      </w:hyperlink>
      <w:r>
        <w:t xml:space="preserve">, ff. 3, 4; </w:t>
      </w:r>
      <w:hyperlink w:anchor="SENTENCIA_2016_215" w:history="1">
        <w:r w:rsidRPr="00427CF1">
          <w:rPr>
            <w:rStyle w:val="TextoNormalCaracter"/>
          </w:rPr>
          <w:t>215/2016</w:t>
        </w:r>
      </w:hyperlink>
      <w:r>
        <w:t xml:space="preserve">, ff. 1, 4, 5, 9, 10; </w:t>
      </w:r>
      <w:hyperlink w:anchor="SENTENCIA_2016_224" w:history="1">
        <w:r w:rsidRPr="00427CF1">
          <w:rPr>
            <w:rStyle w:val="TextoNormalCaracter"/>
          </w:rPr>
          <w:t>224/2016</w:t>
        </w:r>
      </w:hyperlink>
      <w:r>
        <w:t xml:space="preserve">, ff. 1, 2; </w:t>
      </w:r>
      <w:hyperlink w:anchor="SENTENCIA_2016_225" w:history="1">
        <w:r w:rsidRPr="00427CF1">
          <w:rPr>
            <w:rStyle w:val="TextoNormalCaracter"/>
          </w:rPr>
          <w:t>225/2016</w:t>
        </w:r>
      </w:hyperlink>
      <w:r>
        <w:t>, ff. 1, 2.</w:t>
      </w:r>
    </w:p>
    <w:p w:rsidR="00427CF1" w:rsidRDefault="00427CF1" w:rsidP="00427CF1">
      <w:pPr>
        <w:pStyle w:val="SangriaIzquierdaArticulo"/>
      </w:pPr>
      <w:r>
        <w:t xml:space="preserve">Autos </w:t>
      </w:r>
      <w:hyperlink w:anchor="AUTO_2016_156" w:history="1">
        <w:r w:rsidRPr="00427CF1">
          <w:rPr>
            <w:rStyle w:val="TextoNormalCaracter"/>
          </w:rPr>
          <w:t>156/2016</w:t>
        </w:r>
      </w:hyperlink>
      <w:r>
        <w:t xml:space="preserve">, f. 3; </w:t>
      </w:r>
      <w:hyperlink w:anchor="AUTO_2016_170" w:history="1">
        <w:r w:rsidRPr="00427CF1">
          <w:rPr>
            <w:rStyle w:val="TextoNormalCaracter"/>
          </w:rPr>
          <w:t>170/2016</w:t>
        </w:r>
      </w:hyperlink>
      <w:r>
        <w:t>, f. 7.</w:t>
      </w:r>
    </w:p>
    <w:p w:rsidR="00427CF1" w:rsidRDefault="00427CF1" w:rsidP="00427CF1">
      <w:pPr>
        <w:pStyle w:val="SangriaFrancesaArticulo"/>
      </w:pPr>
      <w:r w:rsidRPr="00427CF1">
        <w:rPr>
          <w:rStyle w:val="TextoNormalNegritaCaracter"/>
        </w:rPr>
        <w:t>Artículo 23.1.</w:t>
      </w:r>
      <w:r w:rsidRPr="00427CF1">
        <w:rPr>
          <w:rStyle w:val="TextoNormalCaracter"/>
        </w:rPr>
        <w:t>-</w:t>
      </w:r>
      <w:r>
        <w:t xml:space="preserve"> Sentencias </w:t>
      </w:r>
      <w:hyperlink w:anchor="SENTENCIA_2016_143" w:history="1">
        <w:r w:rsidRPr="00427CF1">
          <w:rPr>
            <w:rStyle w:val="TextoNormalCaracter"/>
          </w:rPr>
          <w:t>143/2016</w:t>
        </w:r>
      </w:hyperlink>
      <w:r>
        <w:t xml:space="preserve">, f. 3; </w:t>
      </w:r>
      <w:hyperlink w:anchor="SENTENCIA_2016_154" w:history="1">
        <w:r w:rsidRPr="00427CF1">
          <w:rPr>
            <w:rStyle w:val="TextoNormalCaracter"/>
          </w:rPr>
          <w:t>154/2016</w:t>
        </w:r>
      </w:hyperlink>
      <w:r>
        <w:t xml:space="preserve">, f. 2; </w:t>
      </w:r>
      <w:hyperlink w:anchor="SENTENCIA_2016_199" w:history="1">
        <w:r w:rsidRPr="00427CF1">
          <w:rPr>
            <w:rStyle w:val="TextoNormalCaracter"/>
          </w:rPr>
          <w:t>199/2016</w:t>
        </w:r>
      </w:hyperlink>
      <w:r>
        <w:t xml:space="preserve">, ff. 1 a 3, 5; </w:t>
      </w:r>
      <w:hyperlink w:anchor="SENTENCIA_2016_212" w:history="1">
        <w:r w:rsidRPr="00427CF1">
          <w:rPr>
            <w:rStyle w:val="TextoNormalCaracter"/>
          </w:rPr>
          <w:t>212/2016</w:t>
        </w:r>
      </w:hyperlink>
      <w:r>
        <w:t xml:space="preserve">, ff. 1, 3, 6; </w:t>
      </w:r>
      <w:hyperlink w:anchor="SENTENCIA_2016_213" w:history="1">
        <w:r w:rsidRPr="00427CF1">
          <w:rPr>
            <w:rStyle w:val="TextoNormalCaracter"/>
          </w:rPr>
          <w:t>213/2016</w:t>
        </w:r>
      </w:hyperlink>
      <w:r>
        <w:t xml:space="preserve">, ff. 1, 3, 4; </w:t>
      </w:r>
      <w:hyperlink w:anchor="SENTENCIA_2016_224" w:history="1">
        <w:r w:rsidRPr="00427CF1">
          <w:rPr>
            <w:rStyle w:val="TextoNormalCaracter"/>
          </w:rPr>
          <w:t>224/2016</w:t>
        </w:r>
      </w:hyperlink>
      <w:r>
        <w:t xml:space="preserve">, ff. 1, 2, 6; </w:t>
      </w:r>
      <w:hyperlink w:anchor="SENTENCIA_2016_225" w:history="1">
        <w:r w:rsidRPr="00427CF1">
          <w:rPr>
            <w:rStyle w:val="TextoNormalCaracter"/>
          </w:rPr>
          <w:t>225/2016</w:t>
        </w:r>
      </w:hyperlink>
      <w:r>
        <w:t>, ff. 1, 2, 6.</w:t>
      </w:r>
    </w:p>
    <w:p w:rsidR="00427CF1" w:rsidRDefault="00427CF1" w:rsidP="00427CF1">
      <w:pPr>
        <w:pStyle w:val="SangriaFrancesaArticulo"/>
      </w:pPr>
      <w:r w:rsidRPr="00427CF1">
        <w:rPr>
          <w:rStyle w:val="TextoNormalNegritaCaracter"/>
        </w:rPr>
        <w:t>Artículo 23.2.</w:t>
      </w:r>
      <w:r w:rsidRPr="00427CF1">
        <w:rPr>
          <w:rStyle w:val="TextoNormalCaracter"/>
        </w:rPr>
        <w:t>-</w:t>
      </w:r>
      <w:r>
        <w:t xml:space="preserve"> Sentencias </w:t>
      </w:r>
      <w:hyperlink w:anchor="SENTENCIA_2016_143" w:history="1">
        <w:r w:rsidRPr="00427CF1">
          <w:rPr>
            <w:rStyle w:val="TextoNormalCaracter"/>
          </w:rPr>
          <w:t>143/2016</w:t>
        </w:r>
      </w:hyperlink>
      <w:r>
        <w:t xml:space="preserve">, ff. 3 a 5; </w:t>
      </w:r>
      <w:hyperlink w:anchor="SENTENCIA_2016_153" w:history="1">
        <w:r w:rsidRPr="00427CF1">
          <w:rPr>
            <w:rStyle w:val="TextoNormalCaracter"/>
          </w:rPr>
          <w:t>153/2016</w:t>
        </w:r>
      </w:hyperlink>
      <w:r>
        <w:t xml:space="preserve">, ff. 1 a 3; </w:t>
      </w:r>
      <w:hyperlink w:anchor="SENTENCIA_2016_154" w:history="1">
        <w:r w:rsidRPr="00427CF1">
          <w:rPr>
            <w:rStyle w:val="TextoNormalCaracter"/>
          </w:rPr>
          <w:t>154/2016</w:t>
        </w:r>
      </w:hyperlink>
      <w:r>
        <w:t xml:space="preserve">, f. 2; </w:t>
      </w:r>
      <w:hyperlink w:anchor="SENTENCIA_2016_156" w:history="1">
        <w:r w:rsidRPr="00427CF1">
          <w:rPr>
            <w:rStyle w:val="TextoNormalCaracter"/>
          </w:rPr>
          <w:t>156/2016</w:t>
        </w:r>
      </w:hyperlink>
      <w:r>
        <w:t xml:space="preserve">, f. 5; </w:t>
      </w:r>
      <w:hyperlink w:anchor="SENTENCIA_2016_162" w:history="1">
        <w:r w:rsidRPr="00427CF1">
          <w:rPr>
            <w:rStyle w:val="TextoNormalCaracter"/>
          </w:rPr>
          <w:t>162/2016</w:t>
        </w:r>
      </w:hyperlink>
      <w:r>
        <w:t xml:space="preserve">, f. 3; </w:t>
      </w:r>
      <w:hyperlink w:anchor="SENTENCIA_2016_185" w:history="1">
        <w:r w:rsidRPr="00427CF1">
          <w:rPr>
            <w:rStyle w:val="TextoNormalCaracter"/>
          </w:rPr>
          <w:t>185/2016</w:t>
        </w:r>
      </w:hyperlink>
      <w:r>
        <w:t xml:space="preserve">, ff. 1, 4, 5, VP I; </w:t>
      </w:r>
      <w:hyperlink w:anchor="SENTENCIA_2016_191" w:history="1">
        <w:r w:rsidRPr="00427CF1">
          <w:rPr>
            <w:rStyle w:val="TextoNormalCaracter"/>
          </w:rPr>
          <w:t>191/2016</w:t>
        </w:r>
      </w:hyperlink>
      <w:r>
        <w:t xml:space="preserve">, f. 6; </w:t>
      </w:r>
      <w:hyperlink w:anchor="SENTENCIA_2016_199" w:history="1">
        <w:r w:rsidRPr="00427CF1">
          <w:rPr>
            <w:rStyle w:val="TextoNormalCaracter"/>
          </w:rPr>
          <w:t>199/2016</w:t>
        </w:r>
      </w:hyperlink>
      <w:r>
        <w:t xml:space="preserve">, ff. 1, 3 a 5; </w:t>
      </w:r>
      <w:hyperlink w:anchor="SENTENCIA_2016_212" w:history="1">
        <w:r w:rsidRPr="00427CF1">
          <w:rPr>
            <w:rStyle w:val="TextoNormalCaracter"/>
          </w:rPr>
          <w:t>212/2016</w:t>
        </w:r>
      </w:hyperlink>
      <w:r>
        <w:t xml:space="preserve">, ff. 1, 3, 5 a 7; </w:t>
      </w:r>
      <w:hyperlink w:anchor="SENTENCIA_2016_213" w:history="1">
        <w:r w:rsidRPr="00427CF1">
          <w:rPr>
            <w:rStyle w:val="TextoNormalCaracter"/>
          </w:rPr>
          <w:t>213/2016</w:t>
        </w:r>
      </w:hyperlink>
      <w:r>
        <w:t xml:space="preserve">, ff. 1, 3, 4; </w:t>
      </w:r>
      <w:hyperlink w:anchor="SENTENCIA_2016_215" w:history="1">
        <w:r w:rsidRPr="00427CF1">
          <w:rPr>
            <w:rStyle w:val="TextoNormalCaracter"/>
          </w:rPr>
          <w:t>215/2016</w:t>
        </w:r>
      </w:hyperlink>
      <w:r>
        <w:t xml:space="preserve">, ff. 4, 5; </w:t>
      </w:r>
      <w:hyperlink w:anchor="SENTENCIA_2016_224" w:history="1">
        <w:r w:rsidRPr="00427CF1">
          <w:rPr>
            <w:rStyle w:val="TextoNormalCaracter"/>
          </w:rPr>
          <w:t>224/2016</w:t>
        </w:r>
      </w:hyperlink>
      <w:r>
        <w:t xml:space="preserve">, ff. 1, 2, 4 a 6; </w:t>
      </w:r>
      <w:hyperlink w:anchor="SENTENCIA_2016_225" w:history="1">
        <w:r w:rsidRPr="00427CF1">
          <w:rPr>
            <w:rStyle w:val="TextoNormalCaracter"/>
          </w:rPr>
          <w:t>225/2016</w:t>
        </w:r>
      </w:hyperlink>
      <w:r>
        <w:t>, ff. 1, 2, 4 a 6.</w:t>
      </w:r>
    </w:p>
    <w:p w:rsidR="00427CF1" w:rsidRDefault="00427CF1" w:rsidP="00427CF1">
      <w:pPr>
        <w:pStyle w:val="SangriaIzquierdaArticulo"/>
      </w:pPr>
      <w:r>
        <w:t xml:space="preserve">Autos </w:t>
      </w:r>
      <w:hyperlink w:anchor="AUTO_2016_150" w:history="1">
        <w:r w:rsidRPr="00427CF1">
          <w:rPr>
            <w:rStyle w:val="TextoNormalCaracter"/>
          </w:rPr>
          <w:t>150/2016</w:t>
        </w:r>
      </w:hyperlink>
      <w:r>
        <w:t xml:space="preserve">, f. 3; </w:t>
      </w:r>
      <w:hyperlink w:anchor="AUTO_2016_156" w:history="1">
        <w:r w:rsidRPr="00427CF1">
          <w:rPr>
            <w:rStyle w:val="TextoNormalCaracter"/>
          </w:rPr>
          <w:t>156/2016</w:t>
        </w:r>
      </w:hyperlink>
      <w:r>
        <w:t xml:space="preserve">, ff. 1, 3, 4; </w:t>
      </w:r>
      <w:hyperlink w:anchor="AUTO_2016_200" w:history="1">
        <w:r w:rsidRPr="00427CF1">
          <w:rPr>
            <w:rStyle w:val="TextoNormalCaracter"/>
          </w:rPr>
          <w:t>200/2016</w:t>
        </w:r>
      </w:hyperlink>
      <w:r>
        <w:t>, ff. 1, 3.</w:t>
      </w:r>
    </w:p>
    <w:p w:rsidR="00427CF1" w:rsidRDefault="00427CF1" w:rsidP="00427CF1">
      <w:pPr>
        <w:pStyle w:val="SangriaFrancesaArticulo"/>
      </w:pPr>
      <w:r w:rsidRPr="00427CF1">
        <w:rPr>
          <w:rStyle w:val="TextoNormalNegritaCaracter"/>
        </w:rPr>
        <w:t xml:space="preserve">Artículo 23.2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212" w:history="1">
        <w:r w:rsidRPr="00427CF1">
          <w:rPr>
            <w:rStyle w:val="TextoNormalCaracter"/>
          </w:rPr>
          <w:t>212/2016</w:t>
        </w:r>
      </w:hyperlink>
      <w:r>
        <w:t>, f. 3.</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31" w:history="1">
        <w:r w:rsidRPr="00427CF1">
          <w:rPr>
            <w:rStyle w:val="TextoNormalCaracter"/>
          </w:rPr>
          <w:t>131/2016</w:t>
        </w:r>
      </w:hyperlink>
      <w:r>
        <w:t xml:space="preserve">, ff. 6, 7; </w:t>
      </w:r>
      <w:hyperlink w:anchor="SENTENCIA_2016_144" w:history="1">
        <w:r w:rsidRPr="00427CF1">
          <w:rPr>
            <w:rStyle w:val="TextoNormalCaracter"/>
          </w:rPr>
          <w:t>144/2016</w:t>
        </w:r>
      </w:hyperlink>
      <w:r>
        <w:t xml:space="preserve">, f. 2; </w:t>
      </w:r>
      <w:hyperlink w:anchor="SENTENCIA_2016_146" w:history="1">
        <w:r w:rsidRPr="00427CF1">
          <w:rPr>
            <w:rStyle w:val="TextoNormalCaracter"/>
          </w:rPr>
          <w:t>146/2016</w:t>
        </w:r>
      </w:hyperlink>
      <w:r>
        <w:t xml:space="preserve">, f. 3; </w:t>
      </w:r>
      <w:hyperlink w:anchor="SENTENCIA_2016_149" w:history="1">
        <w:r w:rsidRPr="00427CF1">
          <w:rPr>
            <w:rStyle w:val="TextoNormalCaracter"/>
          </w:rPr>
          <w:t>149/2016</w:t>
        </w:r>
      </w:hyperlink>
      <w:r>
        <w:t xml:space="preserve">, f. 4; </w:t>
      </w:r>
      <w:hyperlink w:anchor="SENTENCIA_2016_185" w:history="1">
        <w:r w:rsidRPr="00427CF1">
          <w:rPr>
            <w:rStyle w:val="TextoNormalCaracter"/>
          </w:rPr>
          <w:t>185/2016</w:t>
        </w:r>
      </w:hyperlink>
      <w:r>
        <w:t xml:space="preserve">, ff. 1, 6, 11, VP II; </w:t>
      </w:r>
      <w:hyperlink w:anchor="SENTENCIA_2016_189" w:history="1">
        <w:r w:rsidRPr="00427CF1">
          <w:rPr>
            <w:rStyle w:val="TextoNormalCaracter"/>
          </w:rPr>
          <w:t>189/2016</w:t>
        </w:r>
      </w:hyperlink>
      <w:r>
        <w:t xml:space="preserve">, f. 1; </w:t>
      </w:r>
      <w:hyperlink w:anchor="SENTENCIA_2016_201" w:history="1">
        <w:r w:rsidRPr="00427CF1">
          <w:rPr>
            <w:rStyle w:val="TextoNormalCaracter"/>
          </w:rPr>
          <w:t>201/2016</w:t>
        </w:r>
      </w:hyperlink>
      <w:r>
        <w:t xml:space="preserve">, f. 4; </w:t>
      </w:r>
      <w:hyperlink w:anchor="SENTENCIA_2016_213" w:history="1">
        <w:r w:rsidRPr="00427CF1">
          <w:rPr>
            <w:rStyle w:val="TextoNormalCaracter"/>
          </w:rPr>
          <w:t>213/2016</w:t>
        </w:r>
      </w:hyperlink>
      <w:r>
        <w:t xml:space="preserve">, ff. 1, 5, 6; </w:t>
      </w:r>
      <w:hyperlink w:anchor="SENTENCIA_2016_222" w:history="1">
        <w:r w:rsidRPr="00427CF1">
          <w:rPr>
            <w:rStyle w:val="TextoNormalCaracter"/>
          </w:rPr>
          <w:t>222/2016</w:t>
        </w:r>
      </w:hyperlink>
      <w:r>
        <w:t>, f. 5.</w:t>
      </w:r>
    </w:p>
    <w:p w:rsidR="00427CF1" w:rsidRDefault="00427CF1" w:rsidP="00427CF1">
      <w:pPr>
        <w:pStyle w:val="SangriaIzquierdaArticulo"/>
      </w:pPr>
      <w:r>
        <w:t xml:space="preserve">Autos </w:t>
      </w:r>
      <w:hyperlink w:anchor="AUTO_2016_142" w:history="1">
        <w:r w:rsidRPr="00427CF1">
          <w:rPr>
            <w:rStyle w:val="TextoNormalCaracter"/>
          </w:rPr>
          <w:t>142/2016</w:t>
        </w:r>
      </w:hyperlink>
      <w:r>
        <w:t xml:space="preserve">, f. 3; </w:t>
      </w:r>
      <w:hyperlink w:anchor="AUTO_2016_198" w:history="1">
        <w:r w:rsidRPr="00427CF1">
          <w:rPr>
            <w:rStyle w:val="TextoNormalCaracter"/>
          </w:rPr>
          <w:t>198/2016</w:t>
        </w:r>
      </w:hyperlink>
      <w:r>
        <w:t>, f. 1.</w:t>
      </w:r>
    </w:p>
    <w:p w:rsidR="00427CF1" w:rsidRDefault="00427CF1" w:rsidP="00427CF1">
      <w:pPr>
        <w:pStyle w:val="SangriaFrancesaArticulo"/>
      </w:pPr>
      <w:r w:rsidRPr="00427CF1">
        <w:rPr>
          <w:rStyle w:val="TextoNormalNegritaCaracter"/>
        </w:rPr>
        <w:t>Artículo 24.1.</w:t>
      </w:r>
      <w:r w:rsidRPr="00427CF1">
        <w:rPr>
          <w:rStyle w:val="TextoNormalCaracter"/>
        </w:rPr>
        <w:t>-</w:t>
      </w:r>
      <w:r>
        <w:t xml:space="preserve"> Sentencias </w:t>
      </w:r>
      <w:hyperlink w:anchor="SENTENCIA_2016_129" w:history="1">
        <w:r w:rsidRPr="00427CF1">
          <w:rPr>
            <w:rStyle w:val="TextoNormalCaracter"/>
          </w:rPr>
          <w:t>129/2016</w:t>
        </w:r>
      </w:hyperlink>
      <w:r>
        <w:t xml:space="preserve">, f. 3; </w:t>
      </w:r>
      <w:hyperlink w:anchor="SENTENCIA_2016_130" w:history="1">
        <w:r w:rsidRPr="00427CF1">
          <w:rPr>
            <w:rStyle w:val="TextoNormalCaracter"/>
          </w:rPr>
          <w:t>130/2016</w:t>
        </w:r>
      </w:hyperlink>
      <w:r>
        <w:t xml:space="preserve">, ff. 1, 2, 6; </w:t>
      </w:r>
      <w:hyperlink w:anchor="SENTENCIA_2016_131" w:history="1">
        <w:r w:rsidRPr="00427CF1">
          <w:rPr>
            <w:rStyle w:val="TextoNormalCaracter"/>
          </w:rPr>
          <w:t>131/2016</w:t>
        </w:r>
      </w:hyperlink>
      <w:r>
        <w:t xml:space="preserve">, ff. 1, 5, 6; </w:t>
      </w:r>
      <w:hyperlink w:anchor="SENTENCIA_2016_133" w:history="1">
        <w:r w:rsidRPr="00427CF1">
          <w:rPr>
            <w:rStyle w:val="TextoNormalCaracter"/>
          </w:rPr>
          <w:t>133/2016</w:t>
        </w:r>
      </w:hyperlink>
      <w:r>
        <w:t xml:space="preserve">, ff. 1, 6; </w:t>
      </w:r>
      <w:hyperlink w:anchor="SENTENCIA_2016_135" w:history="1">
        <w:r w:rsidRPr="00427CF1">
          <w:rPr>
            <w:rStyle w:val="TextoNormalCaracter"/>
          </w:rPr>
          <w:t>135/2016</w:t>
        </w:r>
      </w:hyperlink>
      <w:r>
        <w:t xml:space="preserve">, f. 1; </w:t>
      </w:r>
      <w:hyperlink w:anchor="SENTENCIA_2016_136" w:history="1">
        <w:r w:rsidRPr="00427CF1">
          <w:rPr>
            <w:rStyle w:val="TextoNormalCaracter"/>
          </w:rPr>
          <w:t>136/2016</w:t>
        </w:r>
      </w:hyperlink>
      <w:r>
        <w:t xml:space="preserve">, ff. 2, 4 a 6; </w:t>
      </w:r>
      <w:hyperlink w:anchor="SENTENCIA_2016_138" w:history="1">
        <w:r w:rsidRPr="00427CF1">
          <w:rPr>
            <w:rStyle w:val="TextoNormalCaracter"/>
          </w:rPr>
          <w:t>138/2016</w:t>
        </w:r>
      </w:hyperlink>
      <w:r>
        <w:t xml:space="preserve">, ff. 1 a 3, 5; </w:t>
      </w:r>
      <w:hyperlink w:anchor="SENTENCIA_2016_139" w:history="1">
        <w:r w:rsidRPr="00427CF1">
          <w:rPr>
            <w:rStyle w:val="TextoNormalCaracter"/>
          </w:rPr>
          <w:t>139/2016</w:t>
        </w:r>
      </w:hyperlink>
      <w:r>
        <w:t xml:space="preserve">, VP I; </w:t>
      </w:r>
      <w:hyperlink w:anchor="SENTENCIA_2016_140" w:history="1">
        <w:r w:rsidRPr="00427CF1">
          <w:rPr>
            <w:rStyle w:val="TextoNormalCaracter"/>
          </w:rPr>
          <w:t>140/2016</w:t>
        </w:r>
      </w:hyperlink>
      <w:r>
        <w:t xml:space="preserve">, ff. 1, 3 a 8, 10 a 14; </w:t>
      </w:r>
      <w:hyperlink w:anchor="SENTENCIA_2016_144" w:history="1">
        <w:r w:rsidRPr="00427CF1">
          <w:rPr>
            <w:rStyle w:val="TextoNormalCaracter"/>
          </w:rPr>
          <w:t>144/2016</w:t>
        </w:r>
      </w:hyperlink>
      <w:r>
        <w:t xml:space="preserve">, ff. 1, 3; </w:t>
      </w:r>
      <w:hyperlink w:anchor="SENTENCIA_2016_146" w:history="1">
        <w:r w:rsidRPr="00427CF1">
          <w:rPr>
            <w:rStyle w:val="TextoNormalCaracter"/>
          </w:rPr>
          <w:t>146/2016</w:t>
        </w:r>
      </w:hyperlink>
      <w:r>
        <w:t xml:space="preserve">, ff. 1, 3, VP; </w:t>
      </w:r>
      <w:hyperlink w:anchor="SENTENCIA_2016_147" w:history="1">
        <w:r w:rsidRPr="00427CF1">
          <w:rPr>
            <w:rStyle w:val="TextoNormalCaracter"/>
          </w:rPr>
          <w:t>147/2016</w:t>
        </w:r>
      </w:hyperlink>
      <w:r>
        <w:t xml:space="preserve">, ff. 1 a 3, 6; </w:t>
      </w:r>
      <w:hyperlink w:anchor="SENTENCIA_2016_148" w:history="1">
        <w:r w:rsidRPr="00427CF1">
          <w:rPr>
            <w:rStyle w:val="TextoNormalCaracter"/>
          </w:rPr>
          <w:t>148/2016</w:t>
        </w:r>
      </w:hyperlink>
      <w:r>
        <w:t xml:space="preserve">, ff. 1, 2, 7; </w:t>
      </w:r>
      <w:hyperlink w:anchor="SENTENCIA_2016_149" w:history="1">
        <w:r w:rsidRPr="00427CF1">
          <w:rPr>
            <w:rStyle w:val="TextoNormalCaracter"/>
          </w:rPr>
          <w:t>149/2016</w:t>
        </w:r>
      </w:hyperlink>
      <w:r>
        <w:t xml:space="preserve">, ff. 1 a 6; </w:t>
      </w:r>
      <w:hyperlink w:anchor="SENTENCIA_2016_150" w:history="1">
        <w:r w:rsidRPr="00427CF1">
          <w:rPr>
            <w:rStyle w:val="TextoNormalCaracter"/>
          </w:rPr>
          <w:t>150/2016</w:t>
        </w:r>
      </w:hyperlink>
      <w:r>
        <w:t xml:space="preserve">, ff. 1, 2, 4; </w:t>
      </w:r>
      <w:hyperlink w:anchor="SENTENCIA_2016_151" w:history="1">
        <w:r w:rsidRPr="00427CF1">
          <w:rPr>
            <w:rStyle w:val="TextoNormalCaracter"/>
          </w:rPr>
          <w:t>151/2016</w:t>
        </w:r>
      </w:hyperlink>
      <w:r>
        <w:t xml:space="preserve">, ff. 1, 2, 4; </w:t>
      </w:r>
      <w:hyperlink w:anchor="SENTENCIA_2016_153" w:history="1">
        <w:r w:rsidRPr="00427CF1">
          <w:rPr>
            <w:rStyle w:val="TextoNormalCaracter"/>
          </w:rPr>
          <w:t>153/2016</w:t>
        </w:r>
      </w:hyperlink>
      <w:r>
        <w:t xml:space="preserve">, ff. 1, 2; </w:t>
      </w:r>
      <w:hyperlink w:anchor="SENTENCIA_2016_154" w:history="1">
        <w:r w:rsidRPr="00427CF1">
          <w:rPr>
            <w:rStyle w:val="TextoNormalCaracter"/>
          </w:rPr>
          <w:t>154/2016</w:t>
        </w:r>
      </w:hyperlink>
      <w:r>
        <w:t xml:space="preserve">, ff. 1, 3; </w:t>
      </w:r>
      <w:hyperlink w:anchor="SENTENCIA_2016_162" w:history="1">
        <w:r w:rsidRPr="00427CF1">
          <w:rPr>
            <w:rStyle w:val="TextoNormalCaracter"/>
          </w:rPr>
          <w:t>162/2016</w:t>
        </w:r>
      </w:hyperlink>
      <w:r>
        <w:t xml:space="preserve">, f. 3; </w:t>
      </w:r>
      <w:hyperlink w:anchor="SENTENCIA_2016_163" w:history="1">
        <w:r w:rsidRPr="00427CF1">
          <w:rPr>
            <w:rStyle w:val="TextoNormalCaracter"/>
          </w:rPr>
          <w:t>163/2016</w:t>
        </w:r>
      </w:hyperlink>
      <w:r>
        <w:t xml:space="preserve">, ff. 1, 3, 4; </w:t>
      </w:r>
      <w:hyperlink w:anchor="SENTENCIA_2016_166" w:history="1">
        <w:r w:rsidRPr="00427CF1">
          <w:rPr>
            <w:rStyle w:val="TextoNormalCaracter"/>
          </w:rPr>
          <w:t>166/2016</w:t>
        </w:r>
      </w:hyperlink>
      <w:r>
        <w:t xml:space="preserve">, ff. 1, 3 a 5; </w:t>
      </w:r>
      <w:hyperlink w:anchor="SENTENCIA_2016_170" w:history="1">
        <w:r w:rsidRPr="00427CF1">
          <w:rPr>
            <w:rStyle w:val="TextoNormalCaracter"/>
          </w:rPr>
          <w:t>170/2016</w:t>
        </w:r>
      </w:hyperlink>
      <w:r>
        <w:t xml:space="preserve">, ff. 1, 4, 5; </w:t>
      </w:r>
      <w:hyperlink w:anchor="SENTENCIA_2016_172" w:history="1">
        <w:r w:rsidRPr="00427CF1">
          <w:rPr>
            <w:rStyle w:val="TextoNormalCaracter"/>
          </w:rPr>
          <w:t>172/2016</w:t>
        </w:r>
      </w:hyperlink>
      <w:r>
        <w:t xml:space="preserve">, ff. 1, 3 a 6, 9, VP; </w:t>
      </w:r>
      <w:hyperlink w:anchor="SENTENCIA_2016_173" w:history="1">
        <w:r w:rsidRPr="00427CF1">
          <w:rPr>
            <w:rStyle w:val="TextoNormalCaracter"/>
          </w:rPr>
          <w:t>173/2016</w:t>
        </w:r>
      </w:hyperlink>
      <w:r>
        <w:t xml:space="preserve">, ff. 1, 3 a 5; </w:t>
      </w:r>
      <w:hyperlink w:anchor="SENTENCIA_2016_176" w:history="1">
        <w:r w:rsidRPr="00427CF1">
          <w:rPr>
            <w:rStyle w:val="TextoNormalCaracter"/>
          </w:rPr>
          <w:t>176/2016</w:t>
        </w:r>
      </w:hyperlink>
      <w:r>
        <w:t xml:space="preserve">, ff. 1 a 3; </w:t>
      </w:r>
      <w:hyperlink w:anchor="SENTENCIA_2016_198" w:history="1">
        <w:r w:rsidRPr="00427CF1">
          <w:rPr>
            <w:rStyle w:val="TextoNormalCaracter"/>
          </w:rPr>
          <w:t>198/2016</w:t>
        </w:r>
      </w:hyperlink>
      <w:r>
        <w:t xml:space="preserve">, ff. 1, 5; </w:t>
      </w:r>
      <w:hyperlink w:anchor="SENTENCIA_2016_200" w:history="1">
        <w:r w:rsidRPr="00427CF1">
          <w:rPr>
            <w:rStyle w:val="TextoNormalCaracter"/>
          </w:rPr>
          <w:t>200/2016</w:t>
        </w:r>
      </w:hyperlink>
      <w:r>
        <w:t xml:space="preserve">, ff. 1, 4 a 7; </w:t>
      </w:r>
      <w:hyperlink w:anchor="SENTENCIA_2016_201" w:history="1">
        <w:r w:rsidRPr="00427CF1">
          <w:rPr>
            <w:rStyle w:val="TextoNormalCaracter"/>
          </w:rPr>
          <w:t>201/2016</w:t>
        </w:r>
      </w:hyperlink>
      <w:r>
        <w:t xml:space="preserve">, ff. 1, 2, 4; </w:t>
      </w:r>
      <w:hyperlink w:anchor="SENTENCIA_2016_202" w:history="1">
        <w:r w:rsidRPr="00427CF1">
          <w:rPr>
            <w:rStyle w:val="TextoNormalCaracter"/>
          </w:rPr>
          <w:t>202/2016</w:t>
        </w:r>
      </w:hyperlink>
      <w:r>
        <w:t xml:space="preserve">, ff. 1 a 4; </w:t>
      </w:r>
      <w:hyperlink w:anchor="SENTENCIA_2016_206" w:history="1">
        <w:r w:rsidRPr="00427CF1">
          <w:rPr>
            <w:rStyle w:val="TextoNormalCaracter"/>
          </w:rPr>
          <w:t>206/2016</w:t>
        </w:r>
      </w:hyperlink>
      <w:r>
        <w:t xml:space="preserve">, ff. 1, 3; </w:t>
      </w:r>
      <w:hyperlink w:anchor="SENTENCIA_2016_207" w:history="1">
        <w:r w:rsidRPr="00427CF1">
          <w:rPr>
            <w:rStyle w:val="TextoNormalCaracter"/>
          </w:rPr>
          <w:t>207/2016</w:t>
        </w:r>
      </w:hyperlink>
      <w:r>
        <w:t xml:space="preserve">, ff. 1, 3, 4; </w:t>
      </w:r>
      <w:hyperlink w:anchor="SENTENCIA_2016_208" w:history="1">
        <w:r w:rsidRPr="00427CF1">
          <w:rPr>
            <w:rStyle w:val="TextoNormalCaracter"/>
          </w:rPr>
          <w:t>208/2016</w:t>
        </w:r>
      </w:hyperlink>
      <w:r>
        <w:t xml:space="preserve">, ff. 1, 3; </w:t>
      </w:r>
      <w:hyperlink w:anchor="SENTENCIA_2016_209" w:history="1">
        <w:r w:rsidRPr="00427CF1">
          <w:rPr>
            <w:rStyle w:val="TextoNormalCaracter"/>
          </w:rPr>
          <w:t>209/2016</w:t>
        </w:r>
      </w:hyperlink>
      <w:r>
        <w:t xml:space="preserve">, ff. 1, 3; </w:t>
      </w:r>
      <w:hyperlink w:anchor="SENTENCIA_2016_218" w:history="1">
        <w:r w:rsidRPr="00427CF1">
          <w:rPr>
            <w:rStyle w:val="TextoNormalCaracter"/>
          </w:rPr>
          <w:t>218/2016</w:t>
        </w:r>
      </w:hyperlink>
      <w:r>
        <w:t xml:space="preserve">, ff. 1, 3, 4; </w:t>
      </w:r>
      <w:hyperlink w:anchor="SENTENCIA_2016_219" w:history="1">
        <w:r w:rsidRPr="00427CF1">
          <w:rPr>
            <w:rStyle w:val="TextoNormalCaracter"/>
          </w:rPr>
          <w:t>219/2016</w:t>
        </w:r>
      </w:hyperlink>
      <w:r>
        <w:t xml:space="preserve">, f. 3; </w:t>
      </w:r>
      <w:hyperlink w:anchor="SENTENCIA_2016_220" w:history="1">
        <w:r w:rsidRPr="00427CF1">
          <w:rPr>
            <w:rStyle w:val="TextoNormalCaracter"/>
          </w:rPr>
          <w:t>220/2016</w:t>
        </w:r>
      </w:hyperlink>
      <w:r>
        <w:t xml:space="preserve">, f. 3; </w:t>
      </w:r>
      <w:hyperlink w:anchor="SENTENCIA_2016_221" w:history="1">
        <w:r w:rsidRPr="00427CF1">
          <w:rPr>
            <w:rStyle w:val="TextoNormalCaracter"/>
          </w:rPr>
          <w:t>221/2016</w:t>
        </w:r>
      </w:hyperlink>
      <w:r>
        <w:t xml:space="preserve">, ff. 1, 3, 4; </w:t>
      </w:r>
      <w:hyperlink w:anchor="SENTENCIA_2016_222" w:history="1">
        <w:r w:rsidRPr="00427CF1">
          <w:rPr>
            <w:rStyle w:val="TextoNormalCaracter"/>
          </w:rPr>
          <w:t>222/2016</w:t>
        </w:r>
      </w:hyperlink>
      <w:r>
        <w:t xml:space="preserve">, ff. 1 a 5; </w:t>
      </w:r>
      <w:hyperlink w:anchor="SENTENCIA_2016_223" w:history="1">
        <w:r w:rsidRPr="00427CF1">
          <w:rPr>
            <w:rStyle w:val="TextoNormalCaracter"/>
          </w:rPr>
          <w:t>223/2016</w:t>
        </w:r>
      </w:hyperlink>
      <w:r>
        <w:t xml:space="preserve">, ff. 1, 3; </w:t>
      </w:r>
      <w:hyperlink w:anchor="SENTENCIA_2016_227" w:history="1">
        <w:r w:rsidRPr="00427CF1">
          <w:rPr>
            <w:rStyle w:val="TextoNormalCaracter"/>
          </w:rPr>
          <w:t>227/2016</w:t>
        </w:r>
      </w:hyperlink>
      <w:r>
        <w:t>, ff. 1, 4 a 6.</w:t>
      </w:r>
    </w:p>
    <w:p w:rsidR="00427CF1" w:rsidRDefault="00427CF1" w:rsidP="00427CF1">
      <w:pPr>
        <w:pStyle w:val="SangriaIzquierdaArticulo"/>
      </w:pPr>
      <w:r>
        <w:t xml:space="preserve">Autos </w:t>
      </w:r>
      <w:hyperlink w:anchor="AUTO_2016_135" w:history="1">
        <w:r w:rsidRPr="00427CF1">
          <w:rPr>
            <w:rStyle w:val="TextoNormalCaracter"/>
          </w:rPr>
          <w:t>135/2016</w:t>
        </w:r>
      </w:hyperlink>
      <w:r>
        <w:t xml:space="preserve">, ff. 1 a 3; </w:t>
      </w:r>
      <w:hyperlink w:anchor="AUTO_2016_146" w:history="1">
        <w:r w:rsidRPr="00427CF1">
          <w:rPr>
            <w:rStyle w:val="TextoNormalCaracter"/>
          </w:rPr>
          <w:t>146/2016</w:t>
        </w:r>
      </w:hyperlink>
      <w:r>
        <w:t xml:space="preserve">, ff. 1, 4, 5; </w:t>
      </w:r>
      <w:hyperlink w:anchor="AUTO_2016_148" w:history="1">
        <w:r w:rsidRPr="00427CF1">
          <w:rPr>
            <w:rStyle w:val="TextoNormalCaracter"/>
          </w:rPr>
          <w:t>148/2016</w:t>
        </w:r>
      </w:hyperlink>
      <w:r>
        <w:t xml:space="preserve">, ff. 1, 4, 5, 7, 8; </w:t>
      </w:r>
      <w:hyperlink w:anchor="AUTO_2016_155" w:history="1">
        <w:r w:rsidRPr="00427CF1">
          <w:rPr>
            <w:rStyle w:val="TextoNormalCaracter"/>
          </w:rPr>
          <w:t>155/2016</w:t>
        </w:r>
      </w:hyperlink>
      <w:r>
        <w:t xml:space="preserve">, ff. 2, 6, VP I; </w:t>
      </w:r>
      <w:hyperlink w:anchor="AUTO_2016_179" w:history="1">
        <w:r w:rsidRPr="00427CF1">
          <w:rPr>
            <w:rStyle w:val="TextoNormalCaracter"/>
          </w:rPr>
          <w:t>179/2016</w:t>
        </w:r>
      </w:hyperlink>
      <w:r>
        <w:t xml:space="preserve">, ff. 1, 3; </w:t>
      </w:r>
      <w:hyperlink w:anchor="AUTO_2016_187" w:history="1">
        <w:r w:rsidRPr="00427CF1">
          <w:rPr>
            <w:rStyle w:val="TextoNormalCaracter"/>
          </w:rPr>
          <w:t>187/2016</w:t>
        </w:r>
      </w:hyperlink>
      <w:r>
        <w:t xml:space="preserve">, ff. 1 a 3; </w:t>
      </w:r>
      <w:hyperlink w:anchor="AUTO_2016_193" w:history="1">
        <w:r w:rsidRPr="00427CF1">
          <w:rPr>
            <w:rStyle w:val="TextoNormalCaracter"/>
          </w:rPr>
          <w:t>193/2016</w:t>
        </w:r>
      </w:hyperlink>
      <w:r>
        <w:t>, ff. 1, 2.</w:t>
      </w:r>
    </w:p>
    <w:p w:rsidR="00427CF1" w:rsidRDefault="00427CF1" w:rsidP="00427CF1">
      <w:pPr>
        <w:pStyle w:val="SangriaFrancesaArticulo"/>
      </w:pPr>
      <w:r w:rsidRPr="00427CF1">
        <w:rPr>
          <w:rStyle w:val="TextoNormalNegritaCaracter"/>
        </w:rPr>
        <w:t>Artículo 24.2.</w:t>
      </w:r>
      <w:r w:rsidRPr="00427CF1">
        <w:rPr>
          <w:rStyle w:val="TextoNormalCaracter"/>
        </w:rPr>
        <w:t>-</w:t>
      </w:r>
      <w:r>
        <w:t xml:space="preserve"> Sentencias </w:t>
      </w:r>
      <w:hyperlink w:anchor="SENTENCIA_2016_131" w:history="1">
        <w:r w:rsidRPr="00427CF1">
          <w:rPr>
            <w:rStyle w:val="TextoNormalCaracter"/>
          </w:rPr>
          <w:t>131/2016</w:t>
        </w:r>
      </w:hyperlink>
      <w:r>
        <w:t xml:space="preserve">, f. 6; </w:t>
      </w:r>
      <w:hyperlink w:anchor="SENTENCIA_2016_161" w:history="1">
        <w:r w:rsidRPr="00427CF1">
          <w:rPr>
            <w:rStyle w:val="TextoNormalCaracter"/>
          </w:rPr>
          <w:t>161/2016</w:t>
        </w:r>
      </w:hyperlink>
      <w:r>
        <w:t xml:space="preserve">, ff. 3, 4, 6, 7; </w:t>
      </w:r>
      <w:hyperlink w:anchor="SENTENCIA_2016_172" w:history="1">
        <w:r w:rsidRPr="00427CF1">
          <w:rPr>
            <w:rStyle w:val="TextoNormalCaracter"/>
          </w:rPr>
          <w:t>172/2016</w:t>
        </w:r>
      </w:hyperlink>
      <w:r>
        <w:t xml:space="preserve">, VP; </w:t>
      </w:r>
      <w:hyperlink w:anchor="SENTENCIA_2016_185" w:history="1">
        <w:r w:rsidRPr="00427CF1">
          <w:rPr>
            <w:rStyle w:val="TextoNormalCaracter"/>
          </w:rPr>
          <w:t>185/2016</w:t>
        </w:r>
      </w:hyperlink>
      <w:r>
        <w:t xml:space="preserve">, VP I; </w:t>
      </w:r>
      <w:hyperlink w:anchor="SENTENCIA_2016_189" w:history="1">
        <w:r w:rsidRPr="00427CF1">
          <w:rPr>
            <w:rStyle w:val="TextoNormalCaracter"/>
          </w:rPr>
          <w:t>189/2016</w:t>
        </w:r>
      </w:hyperlink>
      <w:r>
        <w:t xml:space="preserve">, f. 3; </w:t>
      </w:r>
      <w:hyperlink w:anchor="SENTENCIA_2016_201" w:history="1">
        <w:r w:rsidRPr="00427CF1">
          <w:rPr>
            <w:rStyle w:val="TextoNormalCaracter"/>
          </w:rPr>
          <w:t>201/2016</w:t>
        </w:r>
      </w:hyperlink>
      <w:r>
        <w:t xml:space="preserve">, f. 3; </w:t>
      </w:r>
      <w:hyperlink w:anchor="SENTENCIA_2016_222" w:history="1">
        <w:r w:rsidRPr="00427CF1">
          <w:rPr>
            <w:rStyle w:val="TextoNormalCaracter"/>
          </w:rPr>
          <w:t>222/2016</w:t>
        </w:r>
      </w:hyperlink>
      <w:r>
        <w:t>, f. 3.</w:t>
      </w:r>
    </w:p>
    <w:p w:rsidR="00427CF1" w:rsidRDefault="00427CF1" w:rsidP="00427CF1">
      <w:pPr>
        <w:pStyle w:val="SangriaIzquierdaArticulo"/>
      </w:pPr>
      <w:r>
        <w:t xml:space="preserve">Autos </w:t>
      </w:r>
      <w:hyperlink w:anchor="AUTO_2016_146" w:history="1">
        <w:r w:rsidRPr="00427CF1">
          <w:rPr>
            <w:rStyle w:val="TextoNormalCaracter"/>
          </w:rPr>
          <w:t>146/2016</w:t>
        </w:r>
      </w:hyperlink>
      <w:r>
        <w:t xml:space="preserve">, ff. 1, 3, 4; </w:t>
      </w:r>
      <w:hyperlink w:anchor="AUTO_2016_148" w:history="1">
        <w:r w:rsidRPr="00427CF1">
          <w:rPr>
            <w:rStyle w:val="TextoNormalCaracter"/>
          </w:rPr>
          <w:t>148/2016</w:t>
        </w:r>
      </w:hyperlink>
      <w:r>
        <w:t>, f. 1.</w:t>
      </w:r>
    </w:p>
    <w:p w:rsidR="00427CF1" w:rsidRDefault="00427CF1" w:rsidP="00427CF1">
      <w:pPr>
        <w:pStyle w:val="SangriaFrancesaArticulo"/>
      </w:pPr>
      <w:r w:rsidRPr="00427CF1">
        <w:rPr>
          <w:rStyle w:val="TextoNormalNegritaCaracter"/>
        </w:rPr>
        <w:t>Artículo 24.2</w:t>
      </w:r>
      <w:r>
        <w:t xml:space="preserve"> (derecho a la defensa)</w:t>
      </w:r>
      <w:r w:rsidRPr="00427CF1">
        <w:rPr>
          <w:rStyle w:val="TextoNormalNegritaCaracter"/>
        </w:rPr>
        <w:t>.</w:t>
      </w:r>
      <w:r w:rsidRPr="00427CF1">
        <w:rPr>
          <w:rStyle w:val="TextoNormalCaracter"/>
        </w:rPr>
        <w:t>-</w:t>
      </w:r>
      <w:r>
        <w:t xml:space="preserve"> Sentencia </w:t>
      </w:r>
      <w:hyperlink w:anchor="SENTENCIA_2016_172" w:history="1">
        <w:r w:rsidRPr="00427CF1">
          <w:rPr>
            <w:rStyle w:val="TextoNormalCaracter"/>
          </w:rPr>
          <w:t>172/2016</w:t>
        </w:r>
      </w:hyperlink>
      <w:r>
        <w:t>, f. 1.</w:t>
      </w:r>
    </w:p>
    <w:p w:rsidR="00427CF1" w:rsidRDefault="00427CF1" w:rsidP="00427CF1">
      <w:pPr>
        <w:pStyle w:val="SangriaFrancesaArticulo"/>
      </w:pPr>
      <w:r w:rsidRPr="00427CF1">
        <w:rPr>
          <w:rStyle w:val="TextoNormalNegritaCaracter"/>
        </w:rPr>
        <w:t>Artículo 24.2</w:t>
      </w:r>
      <w:r>
        <w:t xml:space="preserve"> (derecho a la presunción de inocencia)</w:t>
      </w:r>
      <w:r w:rsidRPr="00427CF1">
        <w:rPr>
          <w:rStyle w:val="TextoNormalNegritaCaracter"/>
        </w:rPr>
        <w:t>.</w:t>
      </w:r>
      <w:r w:rsidRPr="00427CF1">
        <w:rPr>
          <w:rStyle w:val="TextoNormalCaracter"/>
        </w:rPr>
        <w:t>-</w:t>
      </w:r>
      <w:r>
        <w:t xml:space="preserve"> Sentencias </w:t>
      </w:r>
      <w:hyperlink w:anchor="SENTENCIA_2016_138" w:history="1">
        <w:r w:rsidRPr="00427CF1">
          <w:rPr>
            <w:rStyle w:val="TextoNormalCaracter"/>
          </w:rPr>
          <w:t>138/2016</w:t>
        </w:r>
      </w:hyperlink>
      <w:r>
        <w:t xml:space="preserve">, ff. 1, 4; </w:t>
      </w:r>
      <w:hyperlink w:anchor="SENTENCIA_2016_172" w:history="1">
        <w:r w:rsidRPr="00427CF1">
          <w:rPr>
            <w:rStyle w:val="TextoNormalCaracter"/>
          </w:rPr>
          <w:t>172/2016</w:t>
        </w:r>
      </w:hyperlink>
      <w:r>
        <w:t>, ff. 1, 9.</w:t>
      </w:r>
    </w:p>
    <w:p w:rsidR="00427CF1" w:rsidRDefault="00427CF1" w:rsidP="00427CF1">
      <w:pPr>
        <w:pStyle w:val="SangriaFrancesaArticulo"/>
      </w:pPr>
      <w:r w:rsidRPr="00427CF1">
        <w:rPr>
          <w:rStyle w:val="TextoNormalNegritaCaracter"/>
        </w:rPr>
        <w:t>Artículo 24.2</w:t>
      </w:r>
      <w:r>
        <w:t xml:space="preserve"> (derecho a la prueba)</w:t>
      </w:r>
      <w:r w:rsidRPr="00427CF1">
        <w:rPr>
          <w:rStyle w:val="TextoNormalNegritaCaracter"/>
        </w:rPr>
        <w:t>.</w:t>
      </w:r>
      <w:r w:rsidRPr="00427CF1">
        <w:rPr>
          <w:rStyle w:val="TextoNormalCaracter"/>
        </w:rPr>
        <w:t>-</w:t>
      </w:r>
      <w:r>
        <w:t xml:space="preserve"> Sentencias </w:t>
      </w:r>
      <w:hyperlink w:anchor="SENTENCIA_2016_130" w:history="1">
        <w:r w:rsidRPr="00427CF1">
          <w:rPr>
            <w:rStyle w:val="TextoNormalCaracter"/>
          </w:rPr>
          <w:t>130/2016</w:t>
        </w:r>
      </w:hyperlink>
      <w:r>
        <w:t xml:space="preserve">, f. 1; </w:t>
      </w:r>
      <w:hyperlink w:anchor="SENTENCIA_2016_144" w:history="1">
        <w:r w:rsidRPr="00427CF1">
          <w:rPr>
            <w:rStyle w:val="TextoNormalCaracter"/>
          </w:rPr>
          <w:t>144/2016</w:t>
        </w:r>
      </w:hyperlink>
      <w:r>
        <w:t>, f. 1.</w:t>
      </w:r>
    </w:p>
    <w:p w:rsidR="00427CF1" w:rsidRDefault="00427CF1" w:rsidP="00427CF1">
      <w:pPr>
        <w:pStyle w:val="SangriaFrancesaArticulo"/>
      </w:pPr>
      <w:r w:rsidRPr="00427CF1">
        <w:rPr>
          <w:rStyle w:val="TextoNormalNegritaCaracter"/>
        </w:rPr>
        <w:t>Artículo 24.2</w:t>
      </w:r>
      <w:r>
        <w:t xml:space="preserve"> (derecho a ser informado de la acusación)</w:t>
      </w:r>
      <w:r w:rsidRPr="00427CF1">
        <w:rPr>
          <w:rStyle w:val="TextoNormalNegritaCaracter"/>
        </w:rPr>
        <w:t>.</w:t>
      </w:r>
      <w:r w:rsidRPr="00427CF1">
        <w:rPr>
          <w:rStyle w:val="TextoNormalCaracter"/>
        </w:rPr>
        <w:t>-</w:t>
      </w:r>
      <w:r>
        <w:t xml:space="preserve"> Sentencia </w:t>
      </w:r>
      <w:hyperlink w:anchor="SENTENCIA_2016_172" w:history="1">
        <w:r w:rsidRPr="00427CF1">
          <w:rPr>
            <w:rStyle w:val="TextoNormalCaracter"/>
          </w:rPr>
          <w:t>172/2016</w:t>
        </w:r>
      </w:hyperlink>
      <w:r>
        <w:t>, ff. 1, 10.</w:t>
      </w:r>
    </w:p>
    <w:p w:rsidR="00427CF1" w:rsidRDefault="00427CF1" w:rsidP="00427CF1">
      <w:pPr>
        <w:pStyle w:val="SangriaFrancesaArticulo"/>
      </w:pPr>
      <w:r w:rsidRPr="00427CF1">
        <w:rPr>
          <w:rStyle w:val="TextoNormalNegritaCaracter"/>
        </w:rPr>
        <w:t>Artículo 24.2</w:t>
      </w:r>
      <w:r>
        <w:t xml:space="preserve"> (derecho a un proceso con todas las garantías)</w:t>
      </w:r>
      <w:r w:rsidRPr="00427CF1">
        <w:rPr>
          <w:rStyle w:val="TextoNormalNegritaCaracter"/>
        </w:rPr>
        <w:t>.</w:t>
      </w:r>
      <w:r w:rsidRPr="00427CF1">
        <w:rPr>
          <w:rStyle w:val="TextoNormalCaracter"/>
        </w:rPr>
        <w:t>-</w:t>
      </w:r>
      <w:r>
        <w:t xml:space="preserve"> Sentencias </w:t>
      </w:r>
      <w:hyperlink w:anchor="SENTENCIA_2016_130" w:history="1">
        <w:r w:rsidRPr="00427CF1">
          <w:rPr>
            <w:rStyle w:val="TextoNormalCaracter"/>
          </w:rPr>
          <w:t>130/2016</w:t>
        </w:r>
      </w:hyperlink>
      <w:r>
        <w:t xml:space="preserve">, f. 1; </w:t>
      </w:r>
      <w:hyperlink w:anchor="SENTENCIA_2016_144" w:history="1">
        <w:r w:rsidRPr="00427CF1">
          <w:rPr>
            <w:rStyle w:val="TextoNormalCaracter"/>
          </w:rPr>
          <w:t>144/2016</w:t>
        </w:r>
      </w:hyperlink>
      <w:r>
        <w:t xml:space="preserve">, f. 1; </w:t>
      </w:r>
      <w:hyperlink w:anchor="SENTENCIA_2016_163" w:history="1">
        <w:r w:rsidRPr="00427CF1">
          <w:rPr>
            <w:rStyle w:val="TextoNormalCaracter"/>
          </w:rPr>
          <w:t>163/2016</w:t>
        </w:r>
      </w:hyperlink>
      <w:r>
        <w:t xml:space="preserve">, f. 1; </w:t>
      </w:r>
      <w:hyperlink w:anchor="SENTENCIA_2016_172" w:history="1">
        <w:r w:rsidRPr="00427CF1">
          <w:rPr>
            <w:rStyle w:val="TextoNormalCaracter"/>
          </w:rPr>
          <w:t>172/2016</w:t>
        </w:r>
      </w:hyperlink>
      <w:r>
        <w:t>, ff. 1, 3, 6 a 8, VP.</w:t>
      </w:r>
    </w:p>
    <w:p w:rsidR="00427CF1" w:rsidRDefault="00427CF1" w:rsidP="00427CF1">
      <w:pPr>
        <w:pStyle w:val="SangriaFrancesaArticulo"/>
      </w:pPr>
      <w:r w:rsidRPr="00427CF1">
        <w:rPr>
          <w:rStyle w:val="TextoNormalNegritaCaracter"/>
        </w:rPr>
        <w:t>Artículo 24.2</w:t>
      </w:r>
      <w:r>
        <w:t xml:space="preserve"> (derecho a un proceso sin dilaciones)</w:t>
      </w:r>
      <w:r w:rsidRPr="00427CF1">
        <w:rPr>
          <w:rStyle w:val="TextoNormalNegritaCaracter"/>
        </w:rPr>
        <w:t>.</w:t>
      </w:r>
      <w:r w:rsidRPr="00427CF1">
        <w:rPr>
          <w:rStyle w:val="TextoNormalCaracter"/>
        </w:rPr>
        <w:t>-</w:t>
      </w:r>
      <w:r>
        <w:t xml:space="preserve"> Sentencia </w:t>
      </w:r>
      <w:hyperlink w:anchor="SENTENCIA_2016_129" w:history="1">
        <w:r w:rsidRPr="00427CF1">
          <w:rPr>
            <w:rStyle w:val="TextoNormalCaracter"/>
          </w:rPr>
          <w:t>129/2016</w:t>
        </w:r>
      </w:hyperlink>
      <w:r>
        <w:t>, ff. 1, 5.</w:t>
      </w:r>
    </w:p>
    <w:p w:rsidR="00427CF1" w:rsidRDefault="00427CF1" w:rsidP="00427CF1">
      <w:pPr>
        <w:pStyle w:val="SangriaFrancesaArticulo"/>
      </w:pPr>
      <w:r w:rsidRPr="00427CF1">
        <w:rPr>
          <w:rStyle w:val="TextoNormalNegritaCaracter"/>
        </w:rPr>
        <w:t>Artículo 24.2</w:t>
      </w:r>
      <w:r>
        <w:t xml:space="preserve"> (derecho al juez ordinario predeterminado por la ley)</w:t>
      </w:r>
      <w:r w:rsidRPr="00427CF1">
        <w:rPr>
          <w:rStyle w:val="TextoNormalNegritaCaracter"/>
        </w:rPr>
        <w:t>.</w:t>
      </w:r>
      <w:r w:rsidRPr="00427CF1">
        <w:rPr>
          <w:rStyle w:val="TextoNormalCaracter"/>
        </w:rPr>
        <w:t>-</w:t>
      </w:r>
      <w:r>
        <w:t xml:space="preserve"> Auto </w:t>
      </w:r>
      <w:hyperlink w:anchor="AUTO_2016_155" w:history="1">
        <w:r w:rsidRPr="00427CF1">
          <w:rPr>
            <w:rStyle w:val="TextoNormalCaracter"/>
          </w:rPr>
          <w:t>155/2016</w:t>
        </w:r>
      </w:hyperlink>
      <w:r>
        <w:t>, f. 6.</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Sentencias </w:t>
      </w:r>
      <w:hyperlink w:anchor="SENTENCIA_2016_146" w:history="1">
        <w:r w:rsidRPr="00427CF1">
          <w:rPr>
            <w:rStyle w:val="TextoNormalCaracter"/>
          </w:rPr>
          <w:t>146/2016</w:t>
        </w:r>
      </w:hyperlink>
      <w:r>
        <w:t xml:space="preserve">, f. 3; </w:t>
      </w:r>
      <w:hyperlink w:anchor="SENTENCIA_2016_185" w:history="1">
        <w:r w:rsidRPr="00427CF1">
          <w:rPr>
            <w:rStyle w:val="TextoNormalCaracter"/>
          </w:rPr>
          <w:t>185/2016</w:t>
        </w:r>
      </w:hyperlink>
      <w:r>
        <w:t xml:space="preserve">, ff. 11, 13, VP I; </w:t>
      </w:r>
      <w:hyperlink w:anchor="SENTENCIA_2016_215" w:history="1">
        <w:r w:rsidRPr="00427CF1">
          <w:rPr>
            <w:rStyle w:val="TextoNormalCaracter"/>
          </w:rPr>
          <w:t>215/2016</w:t>
        </w:r>
      </w:hyperlink>
      <w:r>
        <w:t>, ff. 1, 7 a 10.</w:t>
      </w:r>
    </w:p>
    <w:p w:rsidR="00427CF1" w:rsidRDefault="00427CF1" w:rsidP="00427CF1">
      <w:pPr>
        <w:pStyle w:val="SangriaIzquierdaArticulo"/>
      </w:pPr>
      <w:r>
        <w:t xml:space="preserve">Auto </w:t>
      </w:r>
      <w:hyperlink w:anchor="AUTO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Artículo 25.1.</w:t>
      </w:r>
      <w:r w:rsidRPr="00427CF1">
        <w:rPr>
          <w:rStyle w:val="TextoNormalCaracter"/>
        </w:rPr>
        <w:t>-</w:t>
      </w:r>
      <w:r>
        <w:t xml:space="preserve"> Sentencias </w:t>
      </w:r>
      <w:hyperlink w:anchor="SENTENCIA_2016_135" w:history="1">
        <w:r w:rsidRPr="00427CF1">
          <w:rPr>
            <w:rStyle w:val="TextoNormalCaracter"/>
          </w:rPr>
          <w:t>135/2016</w:t>
        </w:r>
      </w:hyperlink>
      <w:r>
        <w:t xml:space="preserve">, f. 1; </w:t>
      </w:r>
      <w:hyperlink w:anchor="SENTENCIA_2016_138" w:history="1">
        <w:r w:rsidRPr="00427CF1">
          <w:rPr>
            <w:rStyle w:val="TextoNormalCaracter"/>
          </w:rPr>
          <w:t>138/2016</w:t>
        </w:r>
      </w:hyperlink>
      <w:r>
        <w:t xml:space="preserve">, f. 1; </w:t>
      </w:r>
      <w:hyperlink w:anchor="SENTENCIA_2016_142" w:history="1">
        <w:r w:rsidRPr="00427CF1">
          <w:rPr>
            <w:rStyle w:val="TextoNormalCaracter"/>
          </w:rPr>
          <w:t>142/2016</w:t>
        </w:r>
      </w:hyperlink>
      <w:r>
        <w:t xml:space="preserve">, f. 3; </w:t>
      </w:r>
      <w:hyperlink w:anchor="SENTENCIA_2016_185" w:history="1">
        <w:r w:rsidRPr="00427CF1">
          <w:rPr>
            <w:rStyle w:val="TextoNormalCaracter"/>
          </w:rPr>
          <w:t>185/2016</w:t>
        </w:r>
      </w:hyperlink>
      <w:r>
        <w:t xml:space="preserve">, ff. 1, 11, 12, 15, VP II; </w:t>
      </w:r>
      <w:hyperlink w:anchor="SENTENCIA_2016_215" w:history="1">
        <w:r w:rsidRPr="00427CF1">
          <w:rPr>
            <w:rStyle w:val="TextoNormalCaracter"/>
          </w:rPr>
          <w:t>215/2016</w:t>
        </w:r>
      </w:hyperlink>
      <w:r>
        <w:t xml:space="preserve">, ff. 7 a 9; </w:t>
      </w:r>
      <w:hyperlink w:anchor="SENTENCIA_2016_219" w:history="1">
        <w:r w:rsidRPr="00427CF1">
          <w:rPr>
            <w:rStyle w:val="TextoNormalCaracter"/>
          </w:rPr>
          <w:t>219/2016</w:t>
        </w:r>
      </w:hyperlink>
      <w:r>
        <w:t xml:space="preserve">, ff. 2 a 4, 7 a 9; </w:t>
      </w:r>
      <w:hyperlink w:anchor="SENTENCIA_2016_220" w:history="1">
        <w:r w:rsidRPr="00427CF1">
          <w:rPr>
            <w:rStyle w:val="TextoNormalCaracter"/>
          </w:rPr>
          <w:t>220/2016</w:t>
        </w:r>
      </w:hyperlink>
      <w:r>
        <w:t>, ff. 2 a 4, 7 a 9.</w:t>
      </w:r>
    </w:p>
    <w:p w:rsidR="00427CF1" w:rsidRDefault="00427CF1" w:rsidP="00427CF1">
      <w:pPr>
        <w:pStyle w:val="SangriaIzquierdaArticulo"/>
      </w:pPr>
      <w:r>
        <w:t xml:space="preserve">Autos </w:t>
      </w:r>
      <w:hyperlink w:anchor="AUTO_2016_155" w:history="1">
        <w:r w:rsidRPr="00427CF1">
          <w:rPr>
            <w:rStyle w:val="TextoNormalCaracter"/>
          </w:rPr>
          <w:t>155/2016</w:t>
        </w:r>
      </w:hyperlink>
      <w:r>
        <w:t xml:space="preserve">, ff. 2, 4, VP I; </w:t>
      </w:r>
      <w:hyperlink w:anchor="AUTO_2016_186" w:history="1">
        <w:r w:rsidRPr="00427CF1">
          <w:rPr>
            <w:rStyle w:val="TextoNormalCaracter"/>
          </w:rPr>
          <w:t>186/2016</w:t>
        </w:r>
      </w:hyperlink>
      <w:r>
        <w:t xml:space="preserve">, f. 1; </w:t>
      </w:r>
      <w:hyperlink w:anchor="AUTO_2016_187" w:history="1">
        <w:r w:rsidRPr="00427CF1">
          <w:rPr>
            <w:rStyle w:val="TextoNormalCaracter"/>
          </w:rPr>
          <w:t>187/2016</w:t>
        </w:r>
      </w:hyperlink>
      <w:r>
        <w:t>, ff. 1 a 3, 5, 6.</w:t>
      </w:r>
    </w:p>
    <w:p w:rsidR="00427CF1" w:rsidRDefault="00427CF1" w:rsidP="00427CF1">
      <w:pPr>
        <w:pStyle w:val="SangriaFrancesaArticulo"/>
      </w:pPr>
      <w:r w:rsidRPr="00427CF1">
        <w:rPr>
          <w:rStyle w:val="TextoNormalNegritaCaracter"/>
        </w:rPr>
        <w:t>Artículo 25.2.</w:t>
      </w:r>
      <w:r w:rsidRPr="00427CF1">
        <w:rPr>
          <w:rStyle w:val="TextoNormalCaracter"/>
        </w:rPr>
        <w:t>-</w:t>
      </w:r>
      <w:r>
        <w:t xml:space="preserve"> Sentencias </w:t>
      </w:r>
      <w:hyperlink w:anchor="SENTENCIA_2016_135" w:history="1">
        <w:r w:rsidRPr="00427CF1">
          <w:rPr>
            <w:rStyle w:val="TextoNormalCaracter"/>
          </w:rPr>
          <w:t>135/2016</w:t>
        </w:r>
      </w:hyperlink>
      <w:r>
        <w:t xml:space="preserve">, f. 1; </w:t>
      </w:r>
      <w:hyperlink w:anchor="SENTENCIA_2016_161" w:history="1">
        <w:r w:rsidRPr="00427CF1">
          <w:rPr>
            <w:rStyle w:val="TextoNormalCaracter"/>
          </w:rPr>
          <w:t>161/2016</w:t>
        </w:r>
      </w:hyperlink>
      <w:r>
        <w:t>, f. 3.</w:t>
      </w:r>
    </w:p>
    <w:p w:rsidR="00427CF1" w:rsidRDefault="00427CF1" w:rsidP="00427CF1">
      <w:pPr>
        <w:pStyle w:val="SangriaFrancesaArticulo"/>
      </w:pPr>
      <w:r w:rsidRPr="00427CF1">
        <w:rPr>
          <w:rStyle w:val="TextoNormalNegritaCaracter"/>
        </w:rPr>
        <w:t>Artículo 28.1.</w:t>
      </w:r>
      <w:r w:rsidRPr="00427CF1">
        <w:rPr>
          <w:rStyle w:val="TextoNormalCaracter"/>
        </w:rPr>
        <w:t>-</w:t>
      </w:r>
      <w:r>
        <w:t xml:space="preserve"> Sentencias </w:t>
      </w:r>
      <w:hyperlink w:anchor="SENTENCIA_2016_125" w:history="1">
        <w:r w:rsidRPr="00427CF1">
          <w:rPr>
            <w:rStyle w:val="TextoNormalCaracter"/>
          </w:rPr>
          <w:t>125/2016</w:t>
        </w:r>
      </w:hyperlink>
      <w:r>
        <w:t xml:space="preserve">, f. 1;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155" w:history="1">
        <w:r w:rsidRPr="00427CF1">
          <w:rPr>
            <w:rStyle w:val="TextoNormalCaracter"/>
          </w:rPr>
          <w:t>155/2016</w:t>
        </w:r>
      </w:hyperlink>
      <w:r>
        <w:t>, f. 1.</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Sentencias </w:t>
      </w:r>
      <w:hyperlink w:anchor="SENTENCIA_2016_140" w:history="1">
        <w:r w:rsidRPr="00427CF1">
          <w:rPr>
            <w:rStyle w:val="TextoNormalCaracter"/>
          </w:rPr>
          <w:t>140/2016</w:t>
        </w:r>
      </w:hyperlink>
      <w:r>
        <w:t xml:space="preserve">, ff. 4, 14; </w:t>
      </w:r>
      <w:hyperlink w:anchor="SENTENCIA_2016_202" w:history="1">
        <w:r w:rsidRPr="00427CF1">
          <w:rPr>
            <w:rStyle w:val="TextoNormalCaracter"/>
          </w:rPr>
          <w:t>202/2016</w:t>
        </w:r>
      </w:hyperlink>
      <w:r>
        <w:t xml:space="preserve">, ff. 1, 2; </w:t>
      </w:r>
      <w:hyperlink w:anchor="SENTENCIA_2016_203" w:history="1">
        <w:r w:rsidRPr="00427CF1">
          <w:rPr>
            <w:rStyle w:val="TextoNormalCaracter"/>
          </w:rPr>
          <w:t>203/2016</w:t>
        </w:r>
      </w:hyperlink>
      <w:r>
        <w:t>, f. 1.</w:t>
      </w:r>
    </w:p>
    <w:p w:rsidR="00427CF1" w:rsidRDefault="00427CF1" w:rsidP="00427CF1">
      <w:pPr>
        <w:pStyle w:val="SangriaFrancesaArticulo"/>
      </w:pPr>
      <w:r w:rsidRPr="00427CF1">
        <w:rPr>
          <w:rStyle w:val="TextoNormalNegritaCaracter"/>
        </w:rPr>
        <w:t>Artículo 31.1.</w:t>
      </w:r>
      <w:r w:rsidRPr="00427CF1">
        <w:rPr>
          <w:rStyle w:val="TextoNormalCaracter"/>
        </w:rPr>
        <w:t>-</w:t>
      </w:r>
      <w:r>
        <w:t xml:space="preserve"> Sentencias </w:t>
      </w:r>
      <w:hyperlink w:anchor="SENTENCIA_2016_139" w:history="1">
        <w:r w:rsidRPr="00427CF1">
          <w:rPr>
            <w:rStyle w:val="TextoNormalCaracter"/>
          </w:rPr>
          <w:t>139/2016</w:t>
        </w:r>
      </w:hyperlink>
      <w:r>
        <w:t xml:space="preserve">, f. 6, VP I; </w:t>
      </w:r>
      <w:hyperlink w:anchor="SENTENCIA_2016_140" w:history="1">
        <w:r w:rsidRPr="00427CF1">
          <w:rPr>
            <w:rStyle w:val="TextoNormalCaracter"/>
          </w:rPr>
          <w:t>140/2016</w:t>
        </w:r>
      </w:hyperlink>
      <w:r>
        <w:t xml:space="preserve">, f. 1; </w:t>
      </w:r>
      <w:hyperlink w:anchor="SENTENCIA_2016_167" w:history="1">
        <w:r w:rsidRPr="00427CF1">
          <w:rPr>
            <w:rStyle w:val="TextoNormalCaracter"/>
          </w:rPr>
          <w:t>167/2016</w:t>
        </w:r>
      </w:hyperlink>
      <w:r>
        <w:t xml:space="preserve">, ff. 2, 4; </w:t>
      </w:r>
      <w:hyperlink w:anchor="SENTENCIA_2016_174" w:history="1">
        <w:r w:rsidRPr="00427CF1">
          <w:rPr>
            <w:rStyle w:val="TextoNormalCaracter"/>
          </w:rPr>
          <w:t>174/2016</w:t>
        </w:r>
      </w:hyperlink>
      <w:r>
        <w:t xml:space="preserve">, f. 1; </w:t>
      </w:r>
      <w:hyperlink w:anchor="SENTENCIA_2016_187" w:history="1">
        <w:r w:rsidRPr="00427CF1">
          <w:rPr>
            <w:rStyle w:val="TextoNormalCaracter"/>
          </w:rPr>
          <w:t>187/2016</w:t>
        </w:r>
      </w:hyperlink>
      <w:r>
        <w:t xml:space="preserve">, f. 1; </w:t>
      </w:r>
      <w:hyperlink w:anchor="SENTENCIA_2016_188" w:history="1">
        <w:r w:rsidRPr="00427CF1">
          <w:rPr>
            <w:rStyle w:val="TextoNormalCaracter"/>
          </w:rPr>
          <w:t>188/2016</w:t>
        </w:r>
      </w:hyperlink>
      <w:r>
        <w:t xml:space="preserve">, f. 1; </w:t>
      </w:r>
      <w:hyperlink w:anchor="SENTENCIA_2016_197" w:history="1">
        <w:r w:rsidRPr="00427CF1">
          <w:rPr>
            <w:rStyle w:val="TextoNormalCaracter"/>
          </w:rPr>
          <w:t>197/2016</w:t>
        </w:r>
      </w:hyperlink>
      <w:r>
        <w:t>, ff. 1, 2.</w:t>
      </w:r>
    </w:p>
    <w:p w:rsidR="00427CF1" w:rsidRDefault="00427CF1" w:rsidP="00427CF1">
      <w:pPr>
        <w:pStyle w:val="SangriaIzquierdaArticulo"/>
      </w:pPr>
      <w:r>
        <w:t xml:space="preserve">Autos </w:t>
      </w:r>
      <w:hyperlink w:anchor="AUTO_2016_183" w:history="1">
        <w:r w:rsidRPr="00427CF1">
          <w:rPr>
            <w:rStyle w:val="TextoNormalCaracter"/>
          </w:rPr>
          <w:t>183/2016</w:t>
        </w:r>
      </w:hyperlink>
      <w:r>
        <w:t xml:space="preserve">, ff. 3, 4; </w:t>
      </w:r>
      <w:hyperlink w:anchor="AUTO_2016_185" w:history="1">
        <w:r w:rsidRPr="00427CF1">
          <w:rPr>
            <w:rStyle w:val="TextoNormalCaracter"/>
          </w:rPr>
          <w:t>185/2016</w:t>
        </w:r>
      </w:hyperlink>
      <w:r>
        <w:t xml:space="preserve">, f. 3; </w:t>
      </w:r>
      <w:hyperlink w:anchor="AUTO_2016_202" w:history="1">
        <w:r w:rsidRPr="00427CF1">
          <w:rPr>
            <w:rStyle w:val="TextoNormalCaracter"/>
          </w:rPr>
          <w:t>202/2016</w:t>
        </w:r>
      </w:hyperlink>
      <w:r>
        <w:t xml:space="preserve">, f. 1; </w:t>
      </w:r>
      <w:hyperlink w:anchor="AUTO_2016_203" w:history="1">
        <w:r w:rsidRPr="00427CF1">
          <w:rPr>
            <w:rStyle w:val="TextoNormalCaracter"/>
          </w:rPr>
          <w:t>203/2016</w:t>
        </w:r>
      </w:hyperlink>
      <w:r>
        <w:t xml:space="preserve">, f. 1; </w:t>
      </w:r>
      <w:hyperlink w:anchor="AUTO_2016_204" w:history="1">
        <w:r w:rsidRPr="00427CF1">
          <w:rPr>
            <w:rStyle w:val="TextoNormalCaracter"/>
          </w:rPr>
          <w:t>204/2016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31.2.</w:t>
      </w:r>
      <w:r w:rsidRPr="00427CF1">
        <w:rPr>
          <w:rStyle w:val="TextoNormalCaracter"/>
        </w:rPr>
        <w:t>-</w:t>
      </w:r>
      <w:r>
        <w:t xml:space="preserve"> Sentencias </w:t>
      </w:r>
      <w:hyperlink w:anchor="SENTENCIA_2016_125" w:history="1">
        <w:r w:rsidRPr="00427CF1">
          <w:rPr>
            <w:rStyle w:val="TextoNormalCaracter"/>
          </w:rPr>
          <w:t>125/2016</w:t>
        </w:r>
      </w:hyperlink>
      <w:r>
        <w:t xml:space="preserve">, f. 1; </w:t>
      </w:r>
      <w:hyperlink w:anchor="SENTENCIA_2016_139" w:history="1">
        <w:r w:rsidRPr="00427CF1">
          <w:rPr>
            <w:rStyle w:val="TextoNormalCaracter"/>
          </w:rPr>
          <w:t>139/2016</w:t>
        </w:r>
      </w:hyperlink>
      <w:r>
        <w:t xml:space="preserve">, f. 6;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31.3.</w:t>
      </w:r>
      <w:r w:rsidRPr="00427CF1">
        <w:rPr>
          <w:rStyle w:val="TextoNormalCaracter"/>
        </w:rPr>
        <w:t>-</w:t>
      </w:r>
      <w:r>
        <w:t xml:space="preserve"> Sentencias </w:t>
      </w:r>
      <w:hyperlink w:anchor="SENTENCIA_2016_139" w:history="1">
        <w:r w:rsidRPr="00427CF1">
          <w:rPr>
            <w:rStyle w:val="TextoNormalCaracter"/>
          </w:rPr>
          <w:t>139/2016</w:t>
        </w:r>
      </w:hyperlink>
      <w:r>
        <w:t xml:space="preserve">, f. 6; </w:t>
      </w:r>
      <w:hyperlink w:anchor="SENTENCIA_2016_167" w:history="1">
        <w:r w:rsidRPr="00427CF1">
          <w:rPr>
            <w:rStyle w:val="TextoNormalCaracter"/>
          </w:rPr>
          <w:t>167/2016</w:t>
        </w:r>
      </w:hyperlink>
      <w:r>
        <w:t xml:space="preserve">, ff. 1, 2, 4; </w:t>
      </w:r>
      <w:hyperlink w:anchor="SENTENCIA_2016_174" w:history="1">
        <w:r w:rsidRPr="00427CF1">
          <w:rPr>
            <w:rStyle w:val="TextoNormalCaracter"/>
          </w:rPr>
          <w:t>174/2016</w:t>
        </w:r>
      </w:hyperlink>
      <w:r>
        <w:t xml:space="preserve">, f. 1; </w:t>
      </w:r>
      <w:hyperlink w:anchor="SENTENCIA_2016_187" w:history="1">
        <w:r w:rsidRPr="00427CF1">
          <w:rPr>
            <w:rStyle w:val="TextoNormalCaracter"/>
          </w:rPr>
          <w:t>187/2016</w:t>
        </w:r>
      </w:hyperlink>
      <w:r>
        <w:t xml:space="preserve">, ff. 1, 2; </w:t>
      </w:r>
      <w:hyperlink w:anchor="SENTENCIA_2016_188" w:history="1">
        <w:r w:rsidRPr="00427CF1">
          <w:rPr>
            <w:rStyle w:val="TextoNormalCaracter"/>
          </w:rPr>
          <w:t>188/2016</w:t>
        </w:r>
      </w:hyperlink>
      <w:r>
        <w:t xml:space="preserve">, ff. 1, 2; </w:t>
      </w:r>
      <w:hyperlink w:anchor="SENTENCIA_2016_197" w:history="1">
        <w:r w:rsidRPr="00427CF1">
          <w:rPr>
            <w:rStyle w:val="TextoNormalCaracter"/>
          </w:rPr>
          <w:t>197/2016</w:t>
        </w:r>
      </w:hyperlink>
      <w:r>
        <w:t>, ff. 1, 2.</w:t>
      </w:r>
    </w:p>
    <w:p w:rsidR="00427CF1" w:rsidRDefault="00427CF1" w:rsidP="00427CF1">
      <w:pPr>
        <w:pStyle w:val="SangriaFrancesaArticulo"/>
      </w:pPr>
      <w:r w:rsidRPr="00427CF1">
        <w:rPr>
          <w:rStyle w:val="TextoNormalNegritaCaracter"/>
        </w:rPr>
        <w:t>Artículo 32.1.</w:t>
      </w:r>
      <w:r w:rsidRPr="00427CF1">
        <w:rPr>
          <w:rStyle w:val="TextoNormalCaracter"/>
        </w:rPr>
        <w:t>-</w:t>
      </w:r>
      <w:r>
        <w:t xml:space="preserve"> Sentencia </w:t>
      </w:r>
      <w:hyperlink w:anchor="SENTENCIA_2016_180" w:history="1">
        <w:r w:rsidRPr="00427CF1">
          <w:rPr>
            <w:rStyle w:val="TextoNormalCaracter"/>
          </w:rPr>
          <w:t>180/2016</w:t>
        </w:r>
      </w:hyperlink>
      <w:r>
        <w:t>, f. 7.</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81" w:history="1">
        <w:r w:rsidRPr="00427CF1">
          <w:rPr>
            <w:rStyle w:val="TextoNormalCaracter"/>
          </w:rPr>
          <w:t>181/2016</w:t>
        </w:r>
      </w:hyperlink>
      <w:r>
        <w:t>, f. 2.</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33.2.</w:t>
      </w:r>
      <w:r w:rsidRPr="00427CF1">
        <w:rPr>
          <w:rStyle w:val="TextoNormalCaracter"/>
        </w:rPr>
        <w:t>-</w:t>
      </w:r>
      <w:r>
        <w:t xml:space="preserve"> Auto </w:t>
      </w:r>
      <w:hyperlink w:anchor="AUTO_2016_156" w:history="1">
        <w:r w:rsidRPr="00427CF1">
          <w:rPr>
            <w:rStyle w:val="TextoNormalCaracter"/>
          </w:rPr>
          <w:t>156/2016</w:t>
        </w:r>
      </w:hyperlink>
      <w:r>
        <w:t>, ff. 1, 3, 4.</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37.1.</w:t>
      </w:r>
      <w:r w:rsidRPr="00427CF1">
        <w:rPr>
          <w:rStyle w:val="TextoNormalCaracter"/>
        </w:rPr>
        <w:t>-</w:t>
      </w:r>
      <w:r>
        <w:t xml:space="preserve"> Autos </w:t>
      </w:r>
      <w:hyperlink w:anchor="AUTO_2016_145" w:history="1">
        <w:r w:rsidRPr="00427CF1">
          <w:rPr>
            <w:rStyle w:val="TextoNormalCaracter"/>
          </w:rPr>
          <w:t>145/2016</w:t>
        </w:r>
      </w:hyperlink>
      <w:r>
        <w:t xml:space="preserve">, ff. 1 a 3; </w:t>
      </w:r>
      <w:hyperlink w:anchor="AUTO_2016_159" w:history="1">
        <w:r w:rsidRPr="00427CF1">
          <w:rPr>
            <w:rStyle w:val="TextoNormalCaracter"/>
          </w:rPr>
          <w:t>159/2016</w:t>
        </w:r>
      </w:hyperlink>
      <w:r>
        <w:t>, f. 1.</w:t>
      </w:r>
    </w:p>
    <w:p w:rsidR="00427CF1" w:rsidRDefault="00427CF1" w:rsidP="00427CF1">
      <w:pPr>
        <w:pStyle w:val="SangriaFrancesaArticulo"/>
      </w:pPr>
      <w:r w:rsidRPr="00427CF1">
        <w:rPr>
          <w:rStyle w:val="TextoNormalNegritaCaracter"/>
        </w:rPr>
        <w:t>Artículo 38.</w:t>
      </w:r>
      <w:r w:rsidRPr="00427CF1">
        <w:rPr>
          <w:rStyle w:val="TextoNormalCaracter"/>
        </w:rPr>
        <w:t>-</w:t>
      </w:r>
      <w:r>
        <w:t xml:space="preserve"> Sentencia </w:t>
      </w:r>
      <w:hyperlink w:anchor="SENTENCIA_2016_177" w:history="1">
        <w:r w:rsidRPr="00427CF1">
          <w:rPr>
            <w:rStyle w:val="TextoNormalCaracter"/>
          </w:rPr>
          <w:t>177/2016</w:t>
        </w:r>
      </w:hyperlink>
      <w:r>
        <w:t>, ff. 1, 2, 8.</w:t>
      </w:r>
    </w:p>
    <w:p w:rsidR="00427CF1" w:rsidRDefault="00427CF1" w:rsidP="00427CF1">
      <w:pPr>
        <w:pStyle w:val="SangriaIzquierdaArticulo"/>
      </w:pPr>
      <w:r>
        <w:t xml:space="preserve">Autos </w:t>
      </w:r>
      <w:hyperlink w:anchor="AUTO_2016_156" w:history="1">
        <w:r w:rsidRPr="00427CF1">
          <w:rPr>
            <w:rStyle w:val="TextoNormalCaracter"/>
          </w:rPr>
          <w:t>156/2016</w:t>
        </w:r>
      </w:hyperlink>
      <w:r>
        <w:t xml:space="preserve">, f. 3; </w:t>
      </w:r>
      <w:hyperlink w:anchor="AUTO_2016_197" w:history="1">
        <w:r w:rsidRPr="00427CF1">
          <w:rPr>
            <w:rStyle w:val="TextoNormalCaracter"/>
          </w:rPr>
          <w:t>197/2016</w:t>
        </w:r>
      </w:hyperlink>
      <w:r>
        <w:t>, ff. 1, 4, 5.</w:t>
      </w:r>
    </w:p>
    <w:p w:rsidR="00427CF1" w:rsidRDefault="00427CF1" w:rsidP="00427CF1">
      <w:pPr>
        <w:pStyle w:val="SangriaFrancesaArticulo"/>
      </w:pPr>
      <w:r w:rsidRPr="00427CF1">
        <w:rPr>
          <w:rStyle w:val="TextoNormalNegritaCaracter"/>
        </w:rPr>
        <w:t>Artículo 39.</w:t>
      </w:r>
      <w:r w:rsidRPr="00427CF1">
        <w:rPr>
          <w:rStyle w:val="TextoNormalCaracter"/>
        </w:rPr>
        <w:t>-</w:t>
      </w:r>
      <w:r>
        <w:t xml:space="preserve"> Sentencias </w:t>
      </w:r>
      <w:hyperlink w:anchor="SENTENCIA_2016_131" w:history="1">
        <w:r w:rsidRPr="00427CF1">
          <w:rPr>
            <w:rStyle w:val="TextoNormalCaracter"/>
          </w:rPr>
          <w:t>131/2016</w:t>
        </w:r>
      </w:hyperlink>
      <w:r>
        <w:t xml:space="preserve">, f. 1; </w:t>
      </w:r>
      <w:hyperlink w:anchor="SENTENCIA_2016_201" w:history="1">
        <w:r w:rsidRPr="00427CF1">
          <w:rPr>
            <w:rStyle w:val="TextoNormalCaracter"/>
          </w:rPr>
          <w:t>201/2016</w:t>
        </w:r>
      </w:hyperlink>
      <w:r>
        <w:t>, f. 1.</w:t>
      </w:r>
    </w:p>
    <w:p w:rsidR="00427CF1" w:rsidRDefault="00427CF1" w:rsidP="00427CF1">
      <w:pPr>
        <w:pStyle w:val="SangriaFrancesaArticulo"/>
      </w:pPr>
      <w:r w:rsidRPr="00427CF1">
        <w:rPr>
          <w:rStyle w:val="TextoNormalNegritaCaracter"/>
        </w:rPr>
        <w:t>Artículo 39.1.</w:t>
      </w:r>
      <w:r w:rsidRPr="00427CF1">
        <w:rPr>
          <w:rStyle w:val="TextoNormalCaracter"/>
        </w:rPr>
        <w:t>-</w:t>
      </w:r>
      <w:r>
        <w:t xml:space="preserve"> Sentencias </w:t>
      </w:r>
      <w:hyperlink w:anchor="SENTENCIA_2016_128" w:history="1">
        <w:r w:rsidRPr="00427CF1">
          <w:rPr>
            <w:rStyle w:val="TextoNormalCaracter"/>
          </w:rPr>
          <w:t>128/2016</w:t>
        </w:r>
      </w:hyperlink>
      <w:r>
        <w:t xml:space="preserve">, f. 9; </w:t>
      </w:r>
      <w:hyperlink w:anchor="SENTENCIA_2016_131" w:history="1">
        <w:r w:rsidRPr="00427CF1">
          <w:rPr>
            <w:rStyle w:val="TextoNormalCaracter"/>
          </w:rPr>
          <w:t>131/2016</w:t>
        </w:r>
      </w:hyperlink>
      <w:r>
        <w:t xml:space="preserve">, f. 6; </w:t>
      </w:r>
      <w:hyperlink w:anchor="SENTENCIA_2016_201" w:history="1">
        <w:r w:rsidRPr="00427CF1">
          <w:rPr>
            <w:rStyle w:val="TextoNormalCaracter"/>
          </w:rPr>
          <w:t>201/2016</w:t>
        </w:r>
      </w:hyperlink>
      <w:r>
        <w:t>, f. 3.</w:t>
      </w:r>
    </w:p>
    <w:p w:rsidR="00427CF1" w:rsidRDefault="00427CF1" w:rsidP="00427CF1">
      <w:pPr>
        <w:pStyle w:val="SangriaFrancesaArticulo"/>
      </w:pPr>
      <w:r w:rsidRPr="00427CF1">
        <w:rPr>
          <w:rStyle w:val="TextoNormalNegritaCaracter"/>
        </w:rPr>
        <w:t>Artículo 39.4.</w:t>
      </w:r>
      <w:r w:rsidRPr="00427CF1">
        <w:rPr>
          <w:rStyle w:val="TextoNormalCaracter"/>
        </w:rPr>
        <w:t>-</w:t>
      </w:r>
      <w:r>
        <w:t xml:space="preserve"> Sentencia </w:t>
      </w:r>
      <w:hyperlink w:anchor="SENTENCIA_2016_131" w:history="1">
        <w:r w:rsidRPr="00427CF1">
          <w:rPr>
            <w:rStyle w:val="TextoNormalCaracter"/>
          </w:rPr>
          <w:t>131/2016</w:t>
        </w:r>
      </w:hyperlink>
      <w:r>
        <w:t>, f. 6.</w:t>
      </w:r>
    </w:p>
    <w:p w:rsidR="00427CF1" w:rsidRDefault="00427CF1" w:rsidP="00427CF1">
      <w:pPr>
        <w:pStyle w:val="SangriaFrancesaArticulo"/>
      </w:pPr>
      <w:r w:rsidRPr="00427CF1">
        <w:rPr>
          <w:rStyle w:val="TextoNormalNegritaCaracter"/>
        </w:rPr>
        <w:t>Artículo 40.1.</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Sentencias </w:t>
      </w:r>
      <w:hyperlink w:anchor="SENTENCIA_2016_139" w:history="1">
        <w:r w:rsidRPr="00427CF1">
          <w:rPr>
            <w:rStyle w:val="TextoNormalCaracter"/>
          </w:rPr>
          <w:t>139/2016</w:t>
        </w:r>
      </w:hyperlink>
      <w:r>
        <w:t xml:space="preserve">, f. 8; </w:t>
      </w:r>
      <w:hyperlink w:anchor="SENTENCIA_2016_167" w:history="1">
        <w:r w:rsidRPr="00427CF1">
          <w:rPr>
            <w:rStyle w:val="TextoNormalCaracter"/>
          </w:rPr>
          <w:t>167/2016</w:t>
        </w:r>
      </w:hyperlink>
      <w:r>
        <w:t>, f. 4.</w:t>
      </w:r>
    </w:p>
    <w:p w:rsidR="00427CF1" w:rsidRDefault="00427CF1" w:rsidP="00427CF1">
      <w:pPr>
        <w:pStyle w:val="SangriaIzquierdaArticulo"/>
      </w:pPr>
      <w:r>
        <w:t xml:space="preserve">Auto </w:t>
      </w:r>
      <w:hyperlink w:anchor="AUTO_2016_187" w:history="1">
        <w:r w:rsidRPr="00427CF1">
          <w:rPr>
            <w:rStyle w:val="TextoNormalCaracter"/>
          </w:rPr>
          <w:t>187/2016</w:t>
        </w:r>
      </w:hyperlink>
      <w:r>
        <w:t>, f. 6.</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39" w:history="1">
        <w:r w:rsidRPr="00427CF1">
          <w:rPr>
            <w:rStyle w:val="TextoNormalCaracter"/>
          </w:rPr>
          <w:t>139/2016</w:t>
        </w:r>
      </w:hyperlink>
      <w:r>
        <w:t>, ff. 1, 2, 6 a 11, VP I, VP II.</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4.</w:t>
      </w:r>
    </w:p>
    <w:p w:rsidR="00427CF1" w:rsidRDefault="00427CF1" w:rsidP="00427CF1">
      <w:pPr>
        <w:pStyle w:val="SangriaFrancesaArticulo"/>
      </w:pPr>
      <w:r w:rsidRPr="00427CF1">
        <w:rPr>
          <w:rStyle w:val="TextoNormalNegritaCaracter"/>
        </w:rPr>
        <w:t>Artículo 43.1.</w:t>
      </w:r>
      <w:r w:rsidRPr="00427CF1">
        <w:rPr>
          <w:rStyle w:val="TextoNormalCaracter"/>
        </w:rPr>
        <w:t>-</w:t>
      </w:r>
      <w:r>
        <w:t xml:space="preserve"> Sentencia </w:t>
      </w:r>
      <w:hyperlink w:anchor="SENTENCIA_2016_139" w:history="1">
        <w:r w:rsidRPr="00427CF1">
          <w:rPr>
            <w:rStyle w:val="TextoNormalCaracter"/>
          </w:rPr>
          <w:t>139/2016</w:t>
        </w:r>
      </w:hyperlink>
      <w:r>
        <w:t>, ff. 6, 8.</w:t>
      </w:r>
    </w:p>
    <w:p w:rsidR="00427CF1" w:rsidRDefault="00427CF1" w:rsidP="00427CF1">
      <w:pPr>
        <w:pStyle w:val="SangriaFrancesaArticulo"/>
      </w:pPr>
      <w:r w:rsidRPr="00427CF1">
        <w:rPr>
          <w:rStyle w:val="TextoNormalNegritaCaracter"/>
        </w:rPr>
        <w:t>Artículo 43.2.</w:t>
      </w:r>
      <w:r w:rsidRPr="00427CF1">
        <w:rPr>
          <w:rStyle w:val="TextoNormalCaracter"/>
        </w:rPr>
        <w:t>-</w:t>
      </w:r>
      <w:r>
        <w:t xml:space="preserve"> Sentencia </w:t>
      </w:r>
      <w:hyperlink w:anchor="SENTENCIA_2016_139" w:history="1">
        <w:r w:rsidRPr="00427CF1">
          <w:rPr>
            <w:rStyle w:val="TextoNormalCaracter"/>
          </w:rPr>
          <w:t>139/2016</w:t>
        </w:r>
      </w:hyperlink>
      <w:r>
        <w:t>, ff. 6, 8, 9.</w:t>
      </w:r>
    </w:p>
    <w:p w:rsidR="00427CF1" w:rsidRDefault="00427CF1" w:rsidP="00427CF1">
      <w:pPr>
        <w:pStyle w:val="SangriaFrancesaArticulo"/>
      </w:pPr>
      <w:r w:rsidRPr="00427CF1">
        <w:rPr>
          <w:rStyle w:val="TextoNormalNegritaCaracter"/>
        </w:rPr>
        <w:t>Artículo 44.</w:t>
      </w:r>
      <w:r w:rsidRPr="00427CF1">
        <w:rPr>
          <w:rStyle w:val="TextoNormalCaracter"/>
        </w:rPr>
        <w:t>-</w:t>
      </w:r>
      <w:r>
        <w:t xml:space="preserve"> Sentencias </w:t>
      </w:r>
      <w:hyperlink w:anchor="SENTENCIA_2016_154" w:history="1">
        <w:r w:rsidRPr="00427CF1">
          <w:rPr>
            <w:rStyle w:val="TextoNormalCaracter"/>
          </w:rPr>
          <w:t>154/2016</w:t>
        </w:r>
      </w:hyperlink>
      <w:r>
        <w:t xml:space="preserve">, f. 2; </w:t>
      </w:r>
      <w:hyperlink w:anchor="SENTENCIA_2016_177" w:history="1">
        <w:r w:rsidRPr="00427CF1">
          <w:rPr>
            <w:rStyle w:val="TextoNormalCaracter"/>
          </w:rPr>
          <w:t>177/2016</w:t>
        </w:r>
      </w:hyperlink>
      <w:r>
        <w:t>, ff. 1 a 3, 5.</w:t>
      </w:r>
    </w:p>
    <w:p w:rsidR="00427CF1" w:rsidRDefault="00427CF1" w:rsidP="00427CF1">
      <w:pPr>
        <w:pStyle w:val="SangriaFrancesaArticulo"/>
      </w:pPr>
      <w:r w:rsidRPr="00427CF1">
        <w:rPr>
          <w:rStyle w:val="TextoNormalNegritaCaracter"/>
        </w:rPr>
        <w:t>Artículo 44.1.</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r w:rsidRPr="00427CF1">
        <w:rPr>
          <w:rStyle w:val="TextoNormalNegritaCaracter"/>
        </w:rPr>
        <w:t>Artículo 44.4.</w:t>
      </w:r>
      <w:r w:rsidRPr="00427CF1">
        <w:rPr>
          <w:rStyle w:val="TextoNormalCaracter"/>
        </w:rPr>
        <w:t>-</w:t>
      </w:r>
      <w:r>
        <w:t xml:space="preserve"> Sentencia </w:t>
      </w:r>
      <w:hyperlink w:anchor="SENTENCIA_2016_177" w:history="1">
        <w:r w:rsidRPr="00427CF1">
          <w:rPr>
            <w:rStyle w:val="TextoNormalCaracter"/>
          </w:rPr>
          <w:t>177/2016</w:t>
        </w:r>
      </w:hyperlink>
      <w:r>
        <w:t>, f. 5.</w:t>
      </w:r>
    </w:p>
    <w:p w:rsidR="00427CF1" w:rsidRDefault="00427CF1" w:rsidP="00427CF1">
      <w:pPr>
        <w:pStyle w:val="SangriaFrancesaArticulo"/>
      </w:pPr>
      <w:r w:rsidRPr="00427CF1">
        <w:rPr>
          <w:rStyle w:val="TextoNormalNegritaCaracter"/>
        </w:rPr>
        <w:t>Artículo 44.5.</w:t>
      </w:r>
      <w:r w:rsidRPr="00427CF1">
        <w:rPr>
          <w:rStyle w:val="TextoNormalCaracter"/>
        </w:rPr>
        <w:t>-</w:t>
      </w:r>
      <w:r>
        <w:t xml:space="preserve"> Sentencia </w:t>
      </w:r>
      <w:hyperlink w:anchor="SENTENCIA_2016_177" w:history="1">
        <w:r w:rsidRPr="00427CF1">
          <w:rPr>
            <w:rStyle w:val="TextoNormalCaracter"/>
          </w:rPr>
          <w:t>177/2016</w:t>
        </w:r>
      </w:hyperlink>
      <w:r>
        <w:t>, f. 5.</w:t>
      </w:r>
    </w:p>
    <w:p w:rsidR="00427CF1" w:rsidRDefault="00427CF1" w:rsidP="00427CF1">
      <w:pPr>
        <w:pStyle w:val="SangriaFrancesaArticulo"/>
      </w:pPr>
      <w:r w:rsidRPr="00427CF1">
        <w:rPr>
          <w:rStyle w:val="TextoNormalNegritaCaracter"/>
        </w:rPr>
        <w:t>Artículo 46.</w:t>
      </w:r>
      <w:r w:rsidRPr="00427CF1">
        <w:rPr>
          <w:rStyle w:val="TextoNormalCaracter"/>
        </w:rPr>
        <w:t>-</w:t>
      </w:r>
      <w:r>
        <w:t xml:space="preserve"> Sentencia </w:t>
      </w:r>
      <w:hyperlink w:anchor="SENTENCIA_2016_177" w:history="1">
        <w:r w:rsidRPr="00427CF1">
          <w:rPr>
            <w:rStyle w:val="TextoNormalCaracter"/>
          </w:rPr>
          <w:t>177/2016</w:t>
        </w:r>
      </w:hyperlink>
      <w:r>
        <w:t>, ff. 1 a 3, 5 a 7, VP II.</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 49.</w:t>
      </w:r>
      <w:r w:rsidRPr="00427CF1">
        <w:rPr>
          <w:rStyle w:val="TextoNormalCaracter"/>
        </w:rPr>
        <w:t>-</w:t>
      </w:r>
      <w:r>
        <w:t xml:space="preserve"> Sentencia </w:t>
      </w:r>
      <w:hyperlink w:anchor="SENTENCIA_2016_132" w:history="1">
        <w:r w:rsidRPr="00427CF1">
          <w:rPr>
            <w:rStyle w:val="TextoNormalCaracter"/>
          </w:rPr>
          <w:t>132/2016</w:t>
        </w:r>
      </w:hyperlink>
      <w:r>
        <w:t>, f. 4.</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213" w:history="1">
        <w:r w:rsidRPr="00427CF1">
          <w:rPr>
            <w:rStyle w:val="TextoNormalCaracter"/>
          </w:rPr>
          <w:t>213/2016</w:t>
        </w:r>
      </w:hyperlink>
      <w:r>
        <w:t>, ff. 1, 5, 6.</w:t>
      </w:r>
    </w:p>
    <w:p w:rsidR="00427CF1" w:rsidRDefault="00427CF1" w:rsidP="00427CF1">
      <w:pPr>
        <w:pStyle w:val="SangriaFrancesaArticulo"/>
      </w:pPr>
      <w:r w:rsidRPr="00427CF1">
        <w:rPr>
          <w:rStyle w:val="TextoNormalNegritaCaracter"/>
        </w:rPr>
        <w:t>Artículo 51.1.</w:t>
      </w:r>
      <w:r w:rsidRPr="00427CF1">
        <w:rPr>
          <w:rStyle w:val="TextoNormalCaracter"/>
        </w:rPr>
        <w:t>-</w:t>
      </w:r>
      <w:r>
        <w:t xml:space="preserve"> Auto </w:t>
      </w:r>
      <w:hyperlink w:anchor="AUTO_2016_168" w:history="1">
        <w:r w:rsidRPr="00427CF1">
          <w:rPr>
            <w:rStyle w:val="TextoNormalCaracter"/>
          </w:rPr>
          <w:t>168/2016</w:t>
        </w:r>
      </w:hyperlink>
      <w:r>
        <w:t>, f.1.</w:t>
      </w:r>
    </w:p>
    <w:p w:rsidR="00427CF1" w:rsidRDefault="00427CF1" w:rsidP="00427CF1">
      <w:pPr>
        <w:pStyle w:val="SangriaFrancesaArticulo"/>
      </w:pPr>
      <w:r w:rsidRPr="00427CF1">
        <w:rPr>
          <w:rStyle w:val="TextoNormalNegritaCaracter"/>
        </w:rPr>
        <w:t>Artículo 51.3.</w:t>
      </w:r>
      <w:r w:rsidRPr="00427CF1">
        <w:rPr>
          <w:rStyle w:val="TextoNormalCaracter"/>
        </w:rPr>
        <w:t>-</w:t>
      </w:r>
      <w:r>
        <w:t xml:space="preserve"> Auto </w:t>
      </w:r>
      <w:hyperlink w:anchor="AUTO_2016_168" w:history="1">
        <w:r w:rsidRPr="00427CF1">
          <w:rPr>
            <w:rStyle w:val="TextoNormalCaracter"/>
          </w:rPr>
          <w:t>168/2016</w:t>
        </w:r>
      </w:hyperlink>
      <w:r>
        <w:t>, f. 1.</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Sentencias </w:t>
      </w:r>
      <w:hyperlink w:anchor="SENTENCIA_2016_139" w:history="1">
        <w:r w:rsidRPr="00427CF1">
          <w:rPr>
            <w:rStyle w:val="TextoNormalCaracter"/>
          </w:rPr>
          <w:t>139/2016</w:t>
        </w:r>
      </w:hyperlink>
      <w:r>
        <w:t xml:space="preserve">, f. 6; </w:t>
      </w:r>
      <w:hyperlink w:anchor="SENTENCIA_2016_149" w:history="1">
        <w:r w:rsidRPr="00427CF1">
          <w:rPr>
            <w:rStyle w:val="TextoNormalCaracter"/>
          </w:rPr>
          <w:t>149/2016</w:t>
        </w:r>
      </w:hyperlink>
      <w:r>
        <w:t xml:space="preserve">, f. 4; </w:t>
      </w:r>
      <w:hyperlink w:anchor="SENTENCIA_2016_154" w:history="1">
        <w:r w:rsidRPr="00427CF1">
          <w:rPr>
            <w:rStyle w:val="TextoNormalCaracter"/>
          </w:rPr>
          <w:t>154/2016</w:t>
        </w:r>
      </w:hyperlink>
      <w:r>
        <w:t xml:space="preserve">, f. 2; </w:t>
      </w:r>
      <w:hyperlink w:anchor="SENTENCIA_2016_185" w:history="1">
        <w:r w:rsidRPr="00427CF1">
          <w:rPr>
            <w:rStyle w:val="TextoNormalCaracter"/>
          </w:rPr>
          <w:t>185/2016</w:t>
        </w:r>
      </w:hyperlink>
      <w:r>
        <w:t xml:space="preserve">, VP II; </w:t>
      </w:r>
      <w:hyperlink w:anchor="SENTENCIA_2016_226" w:history="1">
        <w:r w:rsidRPr="00427CF1">
          <w:rPr>
            <w:rStyle w:val="TextoNormalCaracter"/>
          </w:rPr>
          <w:t>226/2016</w:t>
        </w:r>
      </w:hyperlink>
      <w:r>
        <w:t>, f. 8.</w:t>
      </w:r>
    </w:p>
    <w:p w:rsidR="00427CF1" w:rsidRDefault="00427CF1" w:rsidP="00427CF1">
      <w:pPr>
        <w:pStyle w:val="SangriaFrancesaArticulo"/>
      </w:pPr>
      <w:r w:rsidRPr="00427CF1">
        <w:rPr>
          <w:rStyle w:val="TextoNormalNegritaCaracter"/>
        </w:rPr>
        <w:t>Artículo 53.1.</w:t>
      </w:r>
      <w:r w:rsidRPr="00427CF1">
        <w:rPr>
          <w:rStyle w:val="TextoNormalCaracter"/>
        </w:rPr>
        <w:t>-</w:t>
      </w:r>
      <w:r>
        <w:t xml:space="preserve"> Sentencias </w:t>
      </w:r>
      <w:hyperlink w:anchor="SENTENCIA_2016_139" w:history="1">
        <w:r w:rsidRPr="00427CF1">
          <w:rPr>
            <w:rStyle w:val="TextoNormalCaracter"/>
          </w:rPr>
          <w:t>139/2016</w:t>
        </w:r>
      </w:hyperlink>
      <w:r>
        <w:t xml:space="preserve">, f. 13, VP I; </w:t>
      </w:r>
      <w:hyperlink w:anchor="SENTENCIA_2016_156" w:history="1">
        <w:r w:rsidRPr="00427CF1">
          <w:rPr>
            <w:rStyle w:val="TextoNormalCaracter"/>
          </w:rPr>
          <w:t>156/2016</w:t>
        </w:r>
      </w:hyperlink>
      <w:r>
        <w:t>, f. 5.</w:t>
      </w:r>
    </w:p>
    <w:p w:rsidR="00427CF1" w:rsidRDefault="00427CF1" w:rsidP="00427CF1">
      <w:pPr>
        <w:pStyle w:val="SangriaFrancesaArticulo"/>
      </w:pPr>
      <w:r w:rsidRPr="00427CF1">
        <w:rPr>
          <w:rStyle w:val="TextoNormalNegritaCaracter"/>
        </w:rPr>
        <w:t>Artículo 53.2.</w:t>
      </w:r>
      <w:r w:rsidRPr="00427CF1">
        <w:rPr>
          <w:rStyle w:val="TextoNormalCaracter"/>
        </w:rPr>
        <w:t>-</w:t>
      </w:r>
      <w:r>
        <w:t xml:space="preserve"> Sentencias </w:t>
      </w:r>
      <w:hyperlink w:anchor="SENTENCIA_2016_129" w:history="1">
        <w:r w:rsidRPr="00427CF1">
          <w:rPr>
            <w:rStyle w:val="TextoNormalCaracter"/>
          </w:rPr>
          <w:t>129/2016</w:t>
        </w:r>
      </w:hyperlink>
      <w:r>
        <w:t xml:space="preserve">, f. 3; </w:t>
      </w:r>
      <w:hyperlink w:anchor="SENTENCIA_2016_148" w:history="1">
        <w:r w:rsidRPr="00427CF1">
          <w:rPr>
            <w:rStyle w:val="TextoNormalCaracter"/>
          </w:rPr>
          <w:t>148/2016</w:t>
        </w:r>
      </w:hyperlink>
      <w:r>
        <w:t xml:space="preserve">, f. 5; </w:t>
      </w:r>
      <w:hyperlink w:anchor="SENTENCIA_2016_154" w:history="1">
        <w:r w:rsidRPr="00427CF1">
          <w:rPr>
            <w:rStyle w:val="TextoNormalCaracter"/>
          </w:rPr>
          <w:t>154/2016</w:t>
        </w:r>
      </w:hyperlink>
      <w:r>
        <w:t xml:space="preserve">, f. 2; </w:t>
      </w:r>
      <w:hyperlink w:anchor="SENTENCIA_2016_185" w:history="1">
        <w:r w:rsidRPr="00427CF1">
          <w:rPr>
            <w:rStyle w:val="TextoNormalCaracter"/>
          </w:rPr>
          <w:t>185/2016</w:t>
        </w:r>
      </w:hyperlink>
      <w:r>
        <w:t xml:space="preserve">, ff. 8, 10; </w:t>
      </w:r>
      <w:hyperlink w:anchor="SENTENCIA_2016_204" w:history="1">
        <w:r w:rsidRPr="00427CF1">
          <w:rPr>
            <w:rStyle w:val="TextoNormalCaracter"/>
          </w:rPr>
          <w:t>204/2016</w:t>
        </w:r>
      </w:hyperlink>
      <w:r>
        <w:t>, VP II.</w:t>
      </w:r>
    </w:p>
    <w:p w:rsidR="00427CF1" w:rsidRDefault="00427CF1" w:rsidP="00427CF1">
      <w:pPr>
        <w:pStyle w:val="SangriaIzquierdaArticulo"/>
      </w:pPr>
      <w:r>
        <w:t xml:space="preserve">Autos </w:t>
      </w:r>
      <w:hyperlink w:anchor="AUTO_2016_148" w:history="1">
        <w:r w:rsidRPr="00427CF1">
          <w:rPr>
            <w:rStyle w:val="TextoNormalCaracter"/>
          </w:rPr>
          <w:t>148/2016</w:t>
        </w:r>
      </w:hyperlink>
      <w:r>
        <w:t xml:space="preserve">, f. 9; </w:t>
      </w:r>
      <w:hyperlink w:anchor="AUTO_2016_155" w:history="1">
        <w:r w:rsidRPr="00427CF1">
          <w:rPr>
            <w:rStyle w:val="TextoNormalCaracter"/>
          </w:rPr>
          <w:t>155/2016</w:t>
        </w:r>
      </w:hyperlink>
      <w:r>
        <w:t>, VP II.</w:t>
      </w:r>
    </w:p>
    <w:p w:rsidR="00427CF1" w:rsidRDefault="00427CF1" w:rsidP="00427CF1">
      <w:pPr>
        <w:pStyle w:val="SangriaFrancesaArticulo"/>
      </w:pPr>
      <w:r w:rsidRPr="00427CF1">
        <w:rPr>
          <w:rStyle w:val="TextoNormalNegritaCaracter"/>
        </w:rPr>
        <w:t>Artículo 53.3.</w:t>
      </w:r>
      <w:r w:rsidRPr="00427CF1">
        <w:rPr>
          <w:rStyle w:val="TextoNormalCaracter"/>
        </w:rPr>
        <w:t>-</w:t>
      </w:r>
      <w:r>
        <w:t xml:space="preserve"> Sentencia </w:t>
      </w:r>
      <w:hyperlink w:anchor="SENTENCIA_2016_139" w:history="1">
        <w:r w:rsidRPr="00427CF1">
          <w:rPr>
            <w:rStyle w:val="TextoNormalCaracter"/>
          </w:rPr>
          <w:t>139/2016</w:t>
        </w:r>
      </w:hyperlink>
      <w:r>
        <w:t>, ff. 6, 8.</w:t>
      </w:r>
    </w:p>
    <w:p w:rsidR="00427CF1" w:rsidRDefault="00427CF1" w:rsidP="00427CF1">
      <w:pPr>
        <w:pStyle w:val="SangriaFrancesaArticulo"/>
      </w:pPr>
      <w:r w:rsidRPr="00427CF1">
        <w:rPr>
          <w:rStyle w:val="TextoNormalNegritaCaracter"/>
        </w:rPr>
        <w:t>Artículo 62.</w:t>
      </w:r>
      <w:r w:rsidRPr="00427CF1">
        <w:rPr>
          <w:rStyle w:val="TextoNormalCaracter"/>
        </w:rPr>
        <w:t>-</w:t>
      </w:r>
      <w:r>
        <w:t xml:space="preserve"> Sentencia </w:t>
      </w:r>
      <w:hyperlink w:anchor="SENTENCIA_2016_215" w:history="1">
        <w:r w:rsidRPr="00427CF1">
          <w:rPr>
            <w:rStyle w:val="TextoNormalCaracter"/>
          </w:rPr>
          <w:t>215/2016</w:t>
        </w:r>
      </w:hyperlink>
      <w:r>
        <w:t>, f. 14.</w:t>
      </w:r>
    </w:p>
    <w:p w:rsidR="00427CF1" w:rsidRDefault="00427CF1" w:rsidP="00427CF1">
      <w:pPr>
        <w:pStyle w:val="SangriaFrancesaArticulo"/>
      </w:pPr>
      <w:r w:rsidRPr="00427CF1">
        <w:rPr>
          <w:rStyle w:val="TextoNormalNegritaCaracter"/>
        </w:rPr>
        <w:t>Artículo 63.</w:t>
      </w:r>
      <w:r w:rsidRPr="00427CF1">
        <w:rPr>
          <w:rStyle w:val="TextoNormalCaracter"/>
        </w:rPr>
        <w:t>-</w:t>
      </w:r>
      <w:r>
        <w:t xml:space="preserve"> Sentencia </w:t>
      </w:r>
      <w:hyperlink w:anchor="SENTENCIA_2016_228" w:history="1">
        <w:r w:rsidRPr="00427CF1">
          <w:rPr>
            <w:rStyle w:val="TextoNormalCaracter"/>
          </w:rPr>
          <w:t>228/2016</w:t>
        </w:r>
      </w:hyperlink>
      <w:r>
        <w:t>, ff. 1, 2.</w:t>
      </w:r>
    </w:p>
    <w:p w:rsidR="00427CF1" w:rsidRDefault="00427CF1" w:rsidP="00427CF1">
      <w:pPr>
        <w:pStyle w:val="SangriaFrancesaArticulo"/>
      </w:pPr>
      <w:r w:rsidRPr="00427CF1">
        <w:rPr>
          <w:rStyle w:val="TextoNormalNegritaCaracter"/>
        </w:rPr>
        <w:t>Artículo 64.2.</w:t>
      </w:r>
      <w:r w:rsidRPr="00427CF1">
        <w:rPr>
          <w:rStyle w:val="TextoNormalCaracter"/>
        </w:rPr>
        <w:t>-</w:t>
      </w:r>
      <w:r>
        <w:t xml:space="preserve"> Sentencia </w:t>
      </w:r>
      <w:hyperlink w:anchor="SENTENCIA_2016_215" w:history="1">
        <w:r w:rsidRPr="00427CF1">
          <w:rPr>
            <w:rStyle w:val="TextoNormalCaracter"/>
          </w:rPr>
          <w:t>215/2016</w:t>
        </w:r>
      </w:hyperlink>
      <w:r>
        <w:t>, f. 14.</w:t>
      </w:r>
    </w:p>
    <w:p w:rsidR="00427CF1" w:rsidRDefault="00427CF1" w:rsidP="00427CF1">
      <w:pPr>
        <w:pStyle w:val="SangriaFrancesaArticulo"/>
      </w:pPr>
      <w:r w:rsidRPr="00427CF1">
        <w:rPr>
          <w:rStyle w:val="TextoNormalNegritaCaracter"/>
        </w:rPr>
        <w:t>Artículo 66.1.</w:t>
      </w:r>
      <w:r w:rsidRPr="00427CF1">
        <w:rPr>
          <w:rStyle w:val="TextoNormalCaracter"/>
        </w:rPr>
        <w:t>-</w:t>
      </w:r>
      <w:r>
        <w:t xml:space="preserve"> Sentencia </w:t>
      </w:r>
      <w:hyperlink w:anchor="SENTENCIA_2016_191" w:history="1">
        <w:r w:rsidRPr="00427CF1">
          <w:rPr>
            <w:rStyle w:val="TextoNormalCaracter"/>
          </w:rPr>
          <w:t>191/2016</w:t>
        </w:r>
      </w:hyperlink>
      <w:r>
        <w:t>, ff. 2, 6.</w:t>
      </w:r>
    </w:p>
    <w:p w:rsidR="00427CF1" w:rsidRDefault="00427CF1" w:rsidP="00427CF1">
      <w:pPr>
        <w:pStyle w:val="SangriaFrancesaArticulo"/>
      </w:pPr>
      <w:r w:rsidRPr="00427CF1">
        <w:rPr>
          <w:rStyle w:val="TextoNormalNegritaCaracter"/>
        </w:rPr>
        <w:t>Artículo 66.2.</w:t>
      </w:r>
      <w:r w:rsidRPr="00427CF1">
        <w:rPr>
          <w:rStyle w:val="TextoNormalCaracter"/>
        </w:rPr>
        <w:t>-</w:t>
      </w:r>
      <w:r>
        <w:t xml:space="preserve"> Sentencias </w:t>
      </w:r>
      <w:hyperlink w:anchor="SENTENCIA_2016_179" w:history="1">
        <w:r w:rsidRPr="00427CF1">
          <w:rPr>
            <w:rStyle w:val="TextoNormalCaracter"/>
          </w:rPr>
          <w:t>179/2016</w:t>
        </w:r>
      </w:hyperlink>
      <w:r>
        <w:t xml:space="preserve">, f. 3; </w:t>
      </w:r>
      <w:hyperlink w:anchor="SENTENCIA_2016_185" w:history="1">
        <w:r w:rsidRPr="00427CF1">
          <w:rPr>
            <w:rStyle w:val="TextoNormalCaracter"/>
          </w:rPr>
          <w:t>185/2016</w:t>
        </w:r>
      </w:hyperlink>
      <w:r>
        <w:t xml:space="preserve">, VP II, VP III; </w:t>
      </w:r>
      <w:hyperlink w:anchor="SENTENCIA_2016_191" w:history="1">
        <w:r w:rsidRPr="00427CF1">
          <w:rPr>
            <w:rStyle w:val="TextoNormalCaracter"/>
          </w:rPr>
          <w:t>191/2016</w:t>
        </w:r>
      </w:hyperlink>
      <w:r>
        <w:t>, ff. 2, 6.</w:t>
      </w:r>
    </w:p>
    <w:p w:rsidR="00427CF1" w:rsidRDefault="00427CF1" w:rsidP="00427CF1">
      <w:pPr>
        <w:pStyle w:val="SangriaFrancesaArticulo"/>
      </w:pPr>
      <w:r w:rsidRPr="00427CF1">
        <w:rPr>
          <w:rStyle w:val="TextoNormalNegritaCaracter"/>
        </w:rPr>
        <w:t>Artículo 66.3.</w:t>
      </w:r>
      <w:r w:rsidRPr="00427CF1">
        <w:rPr>
          <w:rStyle w:val="TextoNormalCaracter"/>
        </w:rPr>
        <w:t>-</w:t>
      </w:r>
      <w:r>
        <w:t xml:space="preserve"> Sentencia </w:t>
      </w:r>
      <w:hyperlink w:anchor="SENTENCIA_2016_185" w:history="1">
        <w:r w:rsidRPr="00427CF1">
          <w:rPr>
            <w:rStyle w:val="TextoNormalCaracter"/>
          </w:rPr>
          <w:t>185/2016</w:t>
        </w:r>
      </w:hyperlink>
      <w:r>
        <w:t>, VP I, VP II.</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185" w:history="1">
        <w:r w:rsidRPr="00427CF1">
          <w:rPr>
            <w:rStyle w:val="TextoNormalCaracter"/>
          </w:rPr>
          <w:t>185/2016</w:t>
        </w:r>
      </w:hyperlink>
      <w:r>
        <w:t>, ff. 1, 11, VP II.</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Sentencias </w:t>
      </w:r>
      <w:hyperlink w:anchor="SENTENCIA_2016_143" w:history="1">
        <w:r w:rsidRPr="00427CF1">
          <w:rPr>
            <w:rStyle w:val="TextoNormalCaracter"/>
          </w:rPr>
          <w:t>143/2016</w:t>
        </w:r>
      </w:hyperlink>
      <w:r>
        <w:t xml:space="preserve">, f. 3; </w:t>
      </w:r>
      <w:hyperlink w:anchor="SENTENCIA_2016_185" w:history="1">
        <w:r w:rsidRPr="00427CF1">
          <w:rPr>
            <w:rStyle w:val="TextoNormalCaracter"/>
          </w:rPr>
          <w:t>185/2016</w:t>
        </w:r>
      </w:hyperlink>
      <w:r>
        <w:t xml:space="preserve">, ff. 1, 5, 11, VP II; </w:t>
      </w:r>
      <w:hyperlink w:anchor="SENTENCIA_2016_213" w:history="1">
        <w:r w:rsidRPr="00427CF1">
          <w:rPr>
            <w:rStyle w:val="TextoNormalCaracter"/>
          </w:rPr>
          <w:t>213/2016</w:t>
        </w:r>
      </w:hyperlink>
      <w:r>
        <w:t xml:space="preserve">, ff. 3, 4; </w:t>
      </w:r>
      <w:hyperlink w:anchor="SENTENCIA_2016_215" w:history="1">
        <w:r w:rsidRPr="00427CF1">
          <w:rPr>
            <w:rStyle w:val="TextoNormalCaracter"/>
          </w:rPr>
          <w:t>215/2016</w:t>
        </w:r>
      </w:hyperlink>
      <w:r>
        <w:t>, ff. 5, 11.</w:t>
      </w:r>
    </w:p>
    <w:p w:rsidR="00427CF1" w:rsidRDefault="00427CF1" w:rsidP="00427CF1">
      <w:pPr>
        <w:pStyle w:val="SangriaFrancesaArticulo"/>
      </w:pPr>
      <w:r w:rsidRPr="00427CF1">
        <w:rPr>
          <w:rStyle w:val="TextoNormalNegritaCaracter"/>
        </w:rPr>
        <w:t>Artículo 72.1.</w:t>
      </w:r>
      <w:r w:rsidRPr="00427CF1">
        <w:rPr>
          <w:rStyle w:val="TextoNormalCaracter"/>
        </w:rPr>
        <w:t>-</w:t>
      </w:r>
      <w:r>
        <w:t xml:space="preserve"> Sentencia </w:t>
      </w:r>
      <w:hyperlink w:anchor="SENTENCIA_2016_191" w:history="1">
        <w:r w:rsidRPr="00427CF1">
          <w:rPr>
            <w:rStyle w:val="TextoNormalCaracter"/>
          </w:rPr>
          <w:t>191/2016</w:t>
        </w:r>
      </w:hyperlink>
      <w:r>
        <w:t>, ff. 4, 6.</w:t>
      </w:r>
    </w:p>
    <w:p w:rsidR="00427CF1" w:rsidRDefault="00427CF1" w:rsidP="00427CF1">
      <w:pPr>
        <w:pStyle w:val="SangriaFrancesaArticulo"/>
      </w:pPr>
      <w:r w:rsidRPr="00427CF1">
        <w:rPr>
          <w:rStyle w:val="TextoNormalNegritaCaracter"/>
        </w:rPr>
        <w:t>Artículo 76.2.</w:t>
      </w:r>
      <w:r w:rsidRPr="00427CF1">
        <w:rPr>
          <w:rStyle w:val="TextoNormalCaracter"/>
        </w:rPr>
        <w:t>-</w:t>
      </w:r>
      <w:r>
        <w:t xml:space="preserve"> Sentencia </w:t>
      </w:r>
      <w:hyperlink w:anchor="SENTENCIA_2016_191" w:history="1">
        <w:r w:rsidRPr="00427CF1">
          <w:rPr>
            <w:rStyle w:val="TextoNormalCaracter"/>
          </w:rPr>
          <w:t>191/2016</w:t>
        </w:r>
      </w:hyperlink>
      <w:r>
        <w:t>, ff. 4, 6.</w:t>
      </w:r>
    </w:p>
    <w:p w:rsidR="00427CF1" w:rsidRDefault="00427CF1" w:rsidP="00427CF1">
      <w:pPr>
        <w:pStyle w:val="SangriaFrancesaArticulo"/>
      </w:pPr>
      <w:r w:rsidRPr="00427CF1">
        <w:rPr>
          <w:rStyle w:val="TextoNormalNegritaCaracter"/>
        </w:rPr>
        <w:t>Artículo 77.</w:t>
      </w:r>
      <w:r w:rsidRPr="00427CF1">
        <w:rPr>
          <w:rStyle w:val="TextoNormalCaracter"/>
        </w:rPr>
        <w:t>-</w:t>
      </w:r>
      <w:r>
        <w:t xml:space="preserve"> Sentencia </w:t>
      </w:r>
      <w:hyperlink w:anchor="SENTENCIA_2016_215" w:history="1">
        <w:r w:rsidRPr="00427CF1">
          <w:rPr>
            <w:rStyle w:val="TextoNormalCaracter"/>
          </w:rPr>
          <w:t>215/2016</w:t>
        </w:r>
      </w:hyperlink>
      <w:r>
        <w:t>, f. 14.</w:t>
      </w:r>
    </w:p>
    <w:p w:rsidR="00427CF1" w:rsidRDefault="00427CF1" w:rsidP="00427CF1">
      <w:pPr>
        <w:pStyle w:val="SangriaFrancesaArticulo"/>
      </w:pPr>
      <w:r w:rsidRPr="00427CF1">
        <w:rPr>
          <w:rStyle w:val="TextoNormalNegritaCaracter"/>
        </w:rPr>
        <w:t>Artículo 79.</w:t>
      </w:r>
      <w:r w:rsidRPr="00427CF1">
        <w:rPr>
          <w:rStyle w:val="TextoNormalCaracter"/>
        </w:rPr>
        <w:t>-</w:t>
      </w:r>
      <w:r>
        <w:t xml:space="preserve"> Sentencia </w:t>
      </w:r>
      <w:hyperlink w:anchor="SENTENCIA_2016_215" w:history="1">
        <w:r w:rsidRPr="00427CF1">
          <w:rPr>
            <w:rStyle w:val="TextoNormalCaracter"/>
          </w:rPr>
          <w:t>215/2016</w:t>
        </w:r>
      </w:hyperlink>
      <w:r>
        <w:t>, f. 5.</w:t>
      </w:r>
    </w:p>
    <w:p w:rsidR="00427CF1" w:rsidRDefault="00427CF1" w:rsidP="00427CF1">
      <w:pPr>
        <w:pStyle w:val="SangriaFrancesaArticulo"/>
      </w:pPr>
      <w:r w:rsidRPr="00427CF1">
        <w:rPr>
          <w:rStyle w:val="TextoNormalNegritaCaracter"/>
        </w:rPr>
        <w:t>Artículo 81.</w:t>
      </w:r>
      <w:r w:rsidRPr="00427CF1">
        <w:rPr>
          <w:rStyle w:val="TextoNormalCaracter"/>
        </w:rPr>
        <w:t>-</w:t>
      </w:r>
      <w:r>
        <w:t xml:space="preserve"> Sentencia </w:t>
      </w:r>
      <w:hyperlink w:anchor="SENTENCIA_2016_139" w:history="1">
        <w:r w:rsidRPr="00427CF1">
          <w:rPr>
            <w:rStyle w:val="TextoNormalCaracter"/>
          </w:rPr>
          <w:t>139/2016</w:t>
        </w:r>
      </w:hyperlink>
      <w:r>
        <w:t>, f. 7.</w:t>
      </w:r>
    </w:p>
    <w:p w:rsidR="00427CF1" w:rsidRDefault="00427CF1" w:rsidP="00427CF1">
      <w:pPr>
        <w:pStyle w:val="SangriaFrancesaArticulo"/>
      </w:pPr>
      <w:r w:rsidRPr="00427CF1">
        <w:rPr>
          <w:rStyle w:val="TextoNormalNegritaCaracter"/>
        </w:rPr>
        <w:t>Artículo 86.</w:t>
      </w:r>
      <w:r w:rsidRPr="00427CF1">
        <w:rPr>
          <w:rStyle w:val="TextoNormalCaracter"/>
        </w:rPr>
        <w:t>-</w:t>
      </w:r>
      <w:r>
        <w:t xml:space="preserve"> Sentencias </w:t>
      </w:r>
      <w:hyperlink w:anchor="SENTENCIA_2016_126" w:history="1">
        <w:r w:rsidRPr="00427CF1">
          <w:rPr>
            <w:rStyle w:val="TextoNormalCaracter"/>
          </w:rPr>
          <w:t>126/2016</w:t>
        </w:r>
      </w:hyperlink>
      <w:r>
        <w:t xml:space="preserve">, f. 6; </w:t>
      </w:r>
      <w:hyperlink w:anchor="SENTENCIA_2016_139" w:history="1">
        <w:r w:rsidRPr="00427CF1">
          <w:rPr>
            <w:rStyle w:val="TextoNormalCaracter"/>
          </w:rPr>
          <w:t>139/2016</w:t>
        </w:r>
      </w:hyperlink>
      <w:r>
        <w:t xml:space="preserve">, VP I; </w:t>
      </w:r>
      <w:hyperlink w:anchor="SENTENCIA_2016_157" w:history="1">
        <w:r w:rsidRPr="00427CF1">
          <w:rPr>
            <w:rStyle w:val="TextoNormalCaracter"/>
          </w:rPr>
          <w:t>157/2016</w:t>
        </w:r>
      </w:hyperlink>
      <w:r>
        <w:t xml:space="preserve">, f. 4; </w:t>
      </w:r>
      <w:hyperlink w:anchor="SENTENCIA_2016_169" w:history="1">
        <w:r w:rsidRPr="00427CF1">
          <w:rPr>
            <w:rStyle w:val="TextoNormalCaracter"/>
          </w:rPr>
          <w:t>169/2016</w:t>
        </w:r>
      </w:hyperlink>
      <w:r>
        <w:t xml:space="preserve">, f. 2; </w:t>
      </w:r>
      <w:hyperlink w:anchor="SENTENCIA_2016_211" w:history="1">
        <w:r w:rsidRPr="00427CF1">
          <w:rPr>
            <w:rStyle w:val="TextoNormalCaracter"/>
          </w:rPr>
          <w:t>211/2016</w:t>
        </w:r>
      </w:hyperlink>
      <w:r>
        <w:t>, f. 3.</w:t>
      </w:r>
    </w:p>
    <w:p w:rsidR="00427CF1" w:rsidRDefault="00427CF1" w:rsidP="00427CF1">
      <w:pPr>
        <w:pStyle w:val="SangriaFrancesaArticulo"/>
      </w:pPr>
      <w:r w:rsidRPr="00427CF1">
        <w:rPr>
          <w:rStyle w:val="TextoNormalNegritaCaracter"/>
        </w:rPr>
        <w:t>Artículo 86.1.</w:t>
      </w:r>
      <w:r w:rsidRPr="00427CF1">
        <w:rPr>
          <w:rStyle w:val="TextoNormalCaracter"/>
        </w:rPr>
        <w:t>-</w:t>
      </w:r>
      <w:r>
        <w:t xml:space="preserve"> Sentencias </w:t>
      </w:r>
      <w:hyperlink w:anchor="SENTENCIA_2016_125" w:history="1">
        <w:r w:rsidRPr="00427CF1">
          <w:rPr>
            <w:rStyle w:val="TextoNormalCaracter"/>
          </w:rPr>
          <w:t>125/2016</w:t>
        </w:r>
      </w:hyperlink>
      <w:r>
        <w:t xml:space="preserve">, ff. 1 a 5; </w:t>
      </w:r>
      <w:hyperlink w:anchor="SENTENCIA_2016_126" w:history="1">
        <w:r w:rsidRPr="00427CF1">
          <w:rPr>
            <w:rStyle w:val="TextoNormalCaracter"/>
          </w:rPr>
          <w:t>126/2016</w:t>
        </w:r>
      </w:hyperlink>
      <w:r>
        <w:t xml:space="preserve">, ff. 1, 2, 6; </w:t>
      </w:r>
      <w:hyperlink w:anchor="SENTENCIA_2016_139" w:history="1">
        <w:r w:rsidRPr="00427CF1">
          <w:rPr>
            <w:rStyle w:val="TextoNormalCaracter"/>
          </w:rPr>
          <w:t>139/2016</w:t>
        </w:r>
      </w:hyperlink>
      <w:r>
        <w:t xml:space="preserve">, ff. 1 a 6, VP I, VP II; </w:t>
      </w:r>
      <w:hyperlink w:anchor="SENTENCIA_2016_167" w:history="1">
        <w:r w:rsidRPr="00427CF1">
          <w:rPr>
            <w:rStyle w:val="TextoNormalCaracter"/>
          </w:rPr>
          <w:t>167/2016</w:t>
        </w:r>
      </w:hyperlink>
      <w:r>
        <w:t xml:space="preserve">, ff. 1, 2, 4; </w:t>
      </w:r>
      <w:hyperlink w:anchor="SENTENCIA_2016_169" w:history="1">
        <w:r w:rsidRPr="00427CF1">
          <w:rPr>
            <w:rStyle w:val="TextoNormalCaracter"/>
          </w:rPr>
          <w:t>169/2016</w:t>
        </w:r>
      </w:hyperlink>
      <w:r>
        <w:t xml:space="preserve">, ff. 1 a 3; </w:t>
      </w:r>
      <w:hyperlink w:anchor="SENTENCIA_2016_174" w:history="1">
        <w:r w:rsidRPr="00427CF1">
          <w:rPr>
            <w:rStyle w:val="TextoNormalCaracter"/>
          </w:rPr>
          <w:t>174/2016</w:t>
        </w:r>
      </w:hyperlink>
      <w:r>
        <w:t xml:space="preserve">, f. 1; </w:t>
      </w:r>
      <w:hyperlink w:anchor="SENTENCIA_2016_183" w:history="1">
        <w:r w:rsidRPr="00427CF1">
          <w:rPr>
            <w:rStyle w:val="TextoNormalCaracter"/>
          </w:rPr>
          <w:t>183/2016</w:t>
        </w:r>
      </w:hyperlink>
      <w:r>
        <w:t xml:space="preserve">, f. 2; </w:t>
      </w:r>
      <w:hyperlink w:anchor="SENTENCIA_2016_187" w:history="1">
        <w:r w:rsidRPr="00427CF1">
          <w:rPr>
            <w:rStyle w:val="TextoNormalCaracter"/>
          </w:rPr>
          <w:t>187/2016</w:t>
        </w:r>
      </w:hyperlink>
      <w:r>
        <w:t xml:space="preserve">, ff. 1, 2; </w:t>
      </w:r>
      <w:hyperlink w:anchor="SENTENCIA_2016_188" w:history="1">
        <w:r w:rsidRPr="00427CF1">
          <w:rPr>
            <w:rStyle w:val="TextoNormalCaracter"/>
          </w:rPr>
          <w:t>188/2016</w:t>
        </w:r>
      </w:hyperlink>
      <w:r>
        <w:t xml:space="preserve">, ff. 1, 2; </w:t>
      </w:r>
      <w:hyperlink w:anchor="SENTENCIA_2016_195" w:history="1">
        <w:r w:rsidRPr="00427CF1">
          <w:rPr>
            <w:rStyle w:val="TextoNormalCaracter"/>
          </w:rPr>
          <w:t>195/2016</w:t>
        </w:r>
      </w:hyperlink>
      <w:r>
        <w:t xml:space="preserve">, ff. 1 a 3, VP I, VP II; </w:t>
      </w:r>
      <w:hyperlink w:anchor="SENTENCIA_2016_197" w:history="1">
        <w:r w:rsidRPr="00427CF1">
          <w:rPr>
            <w:rStyle w:val="TextoNormalCaracter"/>
          </w:rPr>
          <w:t>197/2016</w:t>
        </w:r>
      </w:hyperlink>
      <w:r>
        <w:t xml:space="preserve">, f. 2; </w:t>
      </w:r>
      <w:hyperlink w:anchor="SENTENCIA_2016_211" w:history="1">
        <w:r w:rsidRPr="00427CF1">
          <w:rPr>
            <w:rStyle w:val="TextoNormalCaracter"/>
          </w:rPr>
          <w:t>211/2016</w:t>
        </w:r>
      </w:hyperlink>
      <w:r>
        <w:t>, ff. 2, 3, 5.</w:t>
      </w:r>
    </w:p>
    <w:p w:rsidR="00427CF1" w:rsidRDefault="00427CF1" w:rsidP="00427CF1">
      <w:pPr>
        <w:pStyle w:val="SangriaFrancesaArticulo"/>
      </w:pPr>
      <w:r w:rsidRPr="00427CF1">
        <w:rPr>
          <w:rStyle w:val="TextoNormalNegritaCaracter"/>
        </w:rPr>
        <w:t>Artículo 86.2.</w:t>
      </w:r>
      <w:r w:rsidRPr="00427CF1">
        <w:rPr>
          <w:rStyle w:val="TextoNormalCaracter"/>
        </w:rPr>
        <w:t>-</w:t>
      </w:r>
      <w:r>
        <w:t xml:space="preserve"> Sentencias </w:t>
      </w:r>
      <w:hyperlink w:anchor="SENTENCIA_2016_128" w:history="1">
        <w:r w:rsidRPr="00427CF1">
          <w:rPr>
            <w:rStyle w:val="TextoNormalCaracter"/>
          </w:rPr>
          <w:t>128/2016</w:t>
        </w:r>
      </w:hyperlink>
      <w:r>
        <w:t xml:space="preserve">, ff. 6, 10; </w:t>
      </w:r>
      <w:hyperlink w:anchor="SENTENCIA_2016_195" w:history="1">
        <w:r w:rsidRPr="00427CF1">
          <w:rPr>
            <w:rStyle w:val="TextoNormalCaracter"/>
          </w:rPr>
          <w:t>195/2016</w:t>
        </w:r>
      </w:hyperlink>
      <w:r>
        <w:t>, f. 2.</w:t>
      </w:r>
    </w:p>
    <w:p w:rsidR="00427CF1" w:rsidRDefault="00427CF1" w:rsidP="00427CF1">
      <w:pPr>
        <w:pStyle w:val="SangriaFrancesaArticulo"/>
      </w:pPr>
      <w:r w:rsidRPr="00427CF1">
        <w:rPr>
          <w:rStyle w:val="TextoNormalNegritaCaracter"/>
        </w:rPr>
        <w:t>Artículo 86.3.</w:t>
      </w:r>
      <w:r w:rsidRPr="00427CF1">
        <w:rPr>
          <w:rStyle w:val="TextoNormalCaracter"/>
        </w:rPr>
        <w:t>-</w:t>
      </w:r>
      <w:r>
        <w:t xml:space="preserve"> Sentencia </w:t>
      </w:r>
      <w:hyperlink w:anchor="SENTENCIA_2016_195" w:history="1">
        <w:r w:rsidRPr="00427CF1">
          <w:rPr>
            <w:rStyle w:val="TextoNormalCaracter"/>
          </w:rPr>
          <w:t>195/2016</w:t>
        </w:r>
      </w:hyperlink>
      <w:r>
        <w:t>, f. 2.</w:t>
      </w:r>
    </w:p>
    <w:p w:rsidR="00427CF1" w:rsidRDefault="00427CF1" w:rsidP="00427CF1">
      <w:pPr>
        <w:pStyle w:val="SangriaFrancesaArticulo"/>
      </w:pPr>
      <w:r w:rsidRPr="00427CF1">
        <w:rPr>
          <w:rStyle w:val="TextoNormalNegritaCaracter"/>
        </w:rPr>
        <w:t>Artículo 87.</w:t>
      </w:r>
      <w:r w:rsidRPr="00427CF1">
        <w:rPr>
          <w:rStyle w:val="TextoNormalCaracter"/>
        </w:rPr>
        <w:t>-</w:t>
      </w:r>
      <w:r>
        <w:t xml:space="preserve"> Sentencia </w:t>
      </w:r>
      <w:hyperlink w:anchor="SENTENCIA_2016_213" w:history="1">
        <w:r w:rsidRPr="00427CF1">
          <w:rPr>
            <w:rStyle w:val="TextoNormalCaracter"/>
          </w:rPr>
          <w:t>213/2016</w:t>
        </w:r>
      </w:hyperlink>
      <w:r>
        <w:t>, f. 4.</w:t>
      </w:r>
    </w:p>
    <w:p w:rsidR="00427CF1" w:rsidRDefault="00427CF1" w:rsidP="00427CF1">
      <w:pPr>
        <w:pStyle w:val="SangriaFrancesaArticulo"/>
      </w:pPr>
      <w:r w:rsidRPr="00427CF1">
        <w:rPr>
          <w:rStyle w:val="TextoNormalNegritaCaracter"/>
        </w:rPr>
        <w:t>Artículo 87.1.</w:t>
      </w:r>
      <w:r w:rsidRPr="00427CF1">
        <w:rPr>
          <w:rStyle w:val="TextoNormalCaracter"/>
        </w:rPr>
        <w:t>-</w:t>
      </w:r>
      <w:r>
        <w:t xml:space="preserve"> Sentencia </w:t>
      </w:r>
      <w:hyperlink w:anchor="SENTENCIA_2016_185" w:history="1">
        <w:r w:rsidRPr="00427CF1">
          <w:rPr>
            <w:rStyle w:val="TextoNormalCaracter"/>
          </w:rPr>
          <w:t>185/2016</w:t>
        </w:r>
      </w:hyperlink>
      <w:r>
        <w:t>, f. 10.</w:t>
      </w:r>
    </w:p>
    <w:p w:rsidR="00427CF1" w:rsidRDefault="00427CF1" w:rsidP="00427CF1">
      <w:pPr>
        <w:pStyle w:val="SangriaFrancesaArticulo"/>
      </w:pPr>
      <w:r w:rsidRPr="00427CF1">
        <w:rPr>
          <w:rStyle w:val="TextoNormalNegritaCaracter"/>
        </w:rPr>
        <w:t>Artículo 87.2.</w:t>
      </w:r>
      <w:r w:rsidRPr="00427CF1">
        <w:rPr>
          <w:rStyle w:val="TextoNormalCaracter"/>
        </w:rPr>
        <w:t>-</w:t>
      </w:r>
      <w:r>
        <w:t xml:space="preserve"> Sentencia </w:t>
      </w:r>
      <w:hyperlink w:anchor="SENTENCIA_2016_128" w:history="1">
        <w:r w:rsidRPr="00427CF1">
          <w:rPr>
            <w:rStyle w:val="TextoNormalCaracter"/>
          </w:rPr>
          <w:t>128/2016</w:t>
        </w:r>
      </w:hyperlink>
      <w:r>
        <w:t>, ff. 4 a 6, 10.</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 5; </w:t>
      </w:r>
      <w:hyperlink w:anchor="AUTO_2016_170" w:history="1">
        <w:r w:rsidRPr="00427CF1">
          <w:rPr>
            <w:rStyle w:val="TextoNormalCaracter"/>
          </w:rPr>
          <w:t>170/2016</w:t>
        </w:r>
      </w:hyperlink>
      <w:r>
        <w:t>, ff. 4, 6.</w:t>
      </w:r>
    </w:p>
    <w:p w:rsidR="00427CF1" w:rsidRDefault="00427CF1" w:rsidP="00427CF1">
      <w:pPr>
        <w:pStyle w:val="SangriaFrancesaArticulo"/>
      </w:pPr>
      <w:r w:rsidRPr="00427CF1">
        <w:rPr>
          <w:rStyle w:val="TextoNormalNegritaCaracter"/>
        </w:rPr>
        <w:t>Artículo 87.3.</w:t>
      </w:r>
      <w:r w:rsidRPr="00427CF1">
        <w:rPr>
          <w:rStyle w:val="TextoNormalCaracter"/>
        </w:rPr>
        <w:t>-</w:t>
      </w:r>
      <w:r>
        <w:t xml:space="preserve"> Sentencias </w:t>
      </w:r>
      <w:hyperlink w:anchor="SENTENCIA_2016_213" w:history="1">
        <w:r w:rsidRPr="00427CF1">
          <w:rPr>
            <w:rStyle w:val="TextoNormalCaracter"/>
          </w:rPr>
          <w:t>213/2016</w:t>
        </w:r>
      </w:hyperlink>
      <w:r>
        <w:t xml:space="preserve">, ff. 1, 3, 4; </w:t>
      </w:r>
      <w:hyperlink w:anchor="SENTENCIA_2016_224" w:history="1">
        <w:r w:rsidRPr="00427CF1">
          <w:rPr>
            <w:rStyle w:val="TextoNormalCaracter"/>
          </w:rPr>
          <w:t>224/2016</w:t>
        </w:r>
      </w:hyperlink>
      <w:r>
        <w:t xml:space="preserve">, f. 4; </w:t>
      </w:r>
      <w:hyperlink w:anchor="SENTENCIA_2016_225" w:history="1">
        <w:r w:rsidRPr="00427CF1">
          <w:rPr>
            <w:rStyle w:val="TextoNormalCaracter"/>
          </w:rPr>
          <w:t>225/2016</w:t>
        </w:r>
      </w:hyperlink>
      <w:r>
        <w:t>, f. 4.</w:t>
      </w:r>
    </w:p>
    <w:p w:rsidR="00427CF1" w:rsidRDefault="00427CF1" w:rsidP="00427CF1">
      <w:pPr>
        <w:pStyle w:val="SangriaFrancesaArticulo"/>
      </w:pPr>
      <w:r w:rsidRPr="00427CF1">
        <w:rPr>
          <w:rStyle w:val="TextoNormalNegritaCaracter"/>
        </w:rPr>
        <w:t>Artículo 88.</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90.3.</w:t>
      </w:r>
      <w:r w:rsidRPr="00427CF1">
        <w:rPr>
          <w:rStyle w:val="TextoNormalCaracter"/>
        </w:rPr>
        <w:t>-</w:t>
      </w:r>
      <w:r>
        <w:t xml:space="preserve"> Sentencias </w:t>
      </w:r>
      <w:hyperlink w:anchor="SENTENCIA_2016_143" w:history="1">
        <w:r w:rsidRPr="00427CF1">
          <w:rPr>
            <w:rStyle w:val="TextoNormalCaracter"/>
          </w:rPr>
          <w:t>143/2016</w:t>
        </w:r>
      </w:hyperlink>
      <w:r>
        <w:t xml:space="preserve">, f. 3; </w:t>
      </w:r>
      <w:hyperlink w:anchor="SENTENCIA_2016_185" w:history="1">
        <w:r w:rsidRPr="00427CF1">
          <w:rPr>
            <w:rStyle w:val="TextoNormalCaracter"/>
          </w:rPr>
          <w:t>185/2016</w:t>
        </w:r>
      </w:hyperlink>
      <w:r>
        <w:t xml:space="preserve">, f. 5; </w:t>
      </w:r>
      <w:hyperlink w:anchor="SENTENCIA_2016_215" w:history="1">
        <w:r w:rsidRPr="00427CF1">
          <w:rPr>
            <w:rStyle w:val="TextoNormalCaracter"/>
          </w:rPr>
          <w:t>215/2016</w:t>
        </w:r>
      </w:hyperlink>
      <w:r>
        <w:t>, f. 5.</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Sentencias </w:t>
      </w:r>
      <w:hyperlink w:anchor="SENTENCIA_2016_141" w:history="1">
        <w:r w:rsidRPr="00427CF1">
          <w:rPr>
            <w:rStyle w:val="TextoNormalCaracter"/>
          </w:rPr>
          <w:t>141/2016</w:t>
        </w:r>
      </w:hyperlink>
      <w:r>
        <w:t xml:space="preserve">, ff. 3, 7; </w:t>
      </w:r>
      <w:hyperlink w:anchor="SENTENCIA_2016_198" w:history="1">
        <w:r w:rsidRPr="00427CF1">
          <w:rPr>
            <w:rStyle w:val="TextoNormalCaracter"/>
          </w:rPr>
          <w:t>198/2016</w:t>
        </w:r>
      </w:hyperlink>
      <w:r>
        <w:t>, f. 5.</w:t>
      </w:r>
    </w:p>
    <w:p w:rsidR="00427CF1" w:rsidRDefault="00427CF1" w:rsidP="00427CF1">
      <w:pPr>
        <w:pStyle w:val="SangriaFrancesaArticulo"/>
      </w:pPr>
      <w:r w:rsidRPr="00427CF1">
        <w:rPr>
          <w:rStyle w:val="TextoNormalNegritaCaracter"/>
        </w:rPr>
        <w:t>Artículos 93 a 96.</w:t>
      </w:r>
      <w:r w:rsidRPr="00427CF1">
        <w:rPr>
          <w:rStyle w:val="TextoNormalCaracter"/>
        </w:rPr>
        <w:t>-</w:t>
      </w:r>
      <w:r>
        <w:t xml:space="preserve"> Sentencia </w:t>
      </w:r>
      <w:hyperlink w:anchor="SENTENCIA_2016_228" w:history="1">
        <w:r w:rsidRPr="00427CF1">
          <w:rPr>
            <w:rStyle w:val="TextoNormalCaracter"/>
          </w:rPr>
          <w:t>228/2016</w:t>
        </w:r>
      </w:hyperlink>
      <w:r>
        <w:t>, ff. 1, 2.</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228" w:history="1">
        <w:r w:rsidRPr="00427CF1">
          <w:rPr>
            <w:rStyle w:val="TextoNormalCaracter"/>
          </w:rPr>
          <w:t>228/2016</w:t>
        </w:r>
      </w:hyperlink>
      <w:r>
        <w:t>, f. 2.</w:t>
      </w:r>
    </w:p>
    <w:p w:rsidR="00427CF1" w:rsidRDefault="00427CF1" w:rsidP="00427CF1">
      <w:pPr>
        <w:pStyle w:val="SangriaFrancesaArticulo"/>
      </w:pPr>
      <w:r w:rsidRPr="00427CF1">
        <w:rPr>
          <w:rStyle w:val="TextoNormalNegritaCaracter"/>
        </w:rPr>
        <w:t>Artículo 95.2.</w:t>
      </w:r>
      <w:r w:rsidRPr="00427CF1">
        <w:rPr>
          <w:rStyle w:val="TextoNormalCaracter"/>
        </w:rPr>
        <w:t>-</w:t>
      </w:r>
      <w:r>
        <w:t xml:space="preserve"> Sentencia </w:t>
      </w:r>
      <w:hyperlink w:anchor="SENTENCIA_2016_185" w:history="1">
        <w:r w:rsidRPr="00427CF1">
          <w:rPr>
            <w:rStyle w:val="TextoNormalCaracter"/>
          </w:rPr>
          <w:t>185/2016</w:t>
        </w:r>
      </w:hyperlink>
      <w:r>
        <w:t>, ff. 8, 10.</w:t>
      </w:r>
    </w:p>
    <w:p w:rsidR="00427CF1" w:rsidRDefault="00427CF1" w:rsidP="00427CF1">
      <w:pPr>
        <w:pStyle w:val="SangriaFrancesaArticulo"/>
      </w:pPr>
      <w:r w:rsidRPr="00427CF1">
        <w:rPr>
          <w:rStyle w:val="TextoNormalNegritaCaracter"/>
        </w:rPr>
        <w:t>Artículo 96.</w:t>
      </w:r>
      <w:r w:rsidRPr="00427CF1">
        <w:rPr>
          <w:rStyle w:val="TextoNormalCaracter"/>
        </w:rPr>
        <w:t>-</w:t>
      </w:r>
      <w:r>
        <w:t xml:space="preserve"> Sentencias </w:t>
      </w:r>
      <w:hyperlink w:anchor="SENTENCIA_2016_139" w:history="1">
        <w:r w:rsidRPr="00427CF1">
          <w:rPr>
            <w:rStyle w:val="TextoNormalCaracter"/>
          </w:rPr>
          <w:t>139/2016</w:t>
        </w:r>
      </w:hyperlink>
      <w:r>
        <w:t xml:space="preserve">, VP I; </w:t>
      </w:r>
      <w:hyperlink w:anchor="SENTENCIA_2016_213" w:history="1">
        <w:r w:rsidRPr="00427CF1">
          <w:rPr>
            <w:rStyle w:val="TextoNormalCaracter"/>
          </w:rPr>
          <w:t>213/2016</w:t>
        </w:r>
      </w:hyperlink>
      <w:r>
        <w:t>, f. 6.</w:t>
      </w:r>
    </w:p>
    <w:p w:rsidR="00427CF1" w:rsidRDefault="00427CF1" w:rsidP="00427CF1">
      <w:pPr>
        <w:pStyle w:val="SangriaFrancesaArticulo"/>
      </w:pPr>
      <w:r w:rsidRPr="00427CF1">
        <w:rPr>
          <w:rStyle w:val="TextoNormalNegritaCaracter"/>
        </w:rPr>
        <w:t>Artículo 97.</w:t>
      </w:r>
      <w:r w:rsidRPr="00427CF1">
        <w:rPr>
          <w:rStyle w:val="TextoNormalCaracter"/>
        </w:rPr>
        <w:t>-</w:t>
      </w:r>
      <w:r>
        <w:t xml:space="preserve"> Sentencia </w:t>
      </w:r>
      <w:hyperlink w:anchor="SENTENCIA_2016_228" w:history="1">
        <w:r w:rsidRPr="00427CF1">
          <w:rPr>
            <w:rStyle w:val="TextoNormalCaracter"/>
          </w:rPr>
          <w:t>228/2016</w:t>
        </w:r>
      </w:hyperlink>
      <w:r>
        <w:t>, ff. 1, 2, 4, 6, 11, VP II.</w:t>
      </w:r>
    </w:p>
    <w:p w:rsidR="00427CF1" w:rsidRDefault="00427CF1" w:rsidP="00427CF1">
      <w:pPr>
        <w:pStyle w:val="SangriaFrancesaArticulo"/>
      </w:pPr>
      <w:r w:rsidRPr="00427CF1">
        <w:rPr>
          <w:rStyle w:val="TextoNormalNegritaCaracter"/>
        </w:rPr>
        <w:t>Artículo 103.</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40" w:history="1">
        <w:r w:rsidRPr="00427CF1">
          <w:rPr>
            <w:rStyle w:val="TextoNormalCaracter"/>
          </w:rPr>
          <w:t>140/2016</w:t>
        </w:r>
      </w:hyperlink>
      <w:r>
        <w:t xml:space="preserve">, ff. 3, 12; </w:t>
      </w:r>
      <w:hyperlink w:anchor="SENTENCIA_2016_185" w:history="1">
        <w:r w:rsidRPr="00427CF1">
          <w:rPr>
            <w:rStyle w:val="TextoNormalCaracter"/>
          </w:rPr>
          <w:t>185/2016</w:t>
        </w:r>
      </w:hyperlink>
      <w:r>
        <w:t>, VP II.</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103.1.</w:t>
      </w:r>
      <w:r w:rsidRPr="00427CF1">
        <w:rPr>
          <w:rStyle w:val="TextoNormalCaracter"/>
        </w:rPr>
        <w:t>-</w:t>
      </w:r>
      <w:r>
        <w:t xml:space="preserve"> Sentencias </w:t>
      </w:r>
      <w:hyperlink w:anchor="SENTENCIA_2016_140" w:history="1">
        <w:r w:rsidRPr="00427CF1">
          <w:rPr>
            <w:rStyle w:val="TextoNormalCaracter"/>
          </w:rPr>
          <w:t>140/2016</w:t>
        </w:r>
      </w:hyperlink>
      <w:r>
        <w:t xml:space="preserve">, ff. 1, 11; </w:t>
      </w:r>
      <w:hyperlink w:anchor="SENTENCIA_2016_152" w:history="1">
        <w:r w:rsidRPr="00427CF1">
          <w:rPr>
            <w:rStyle w:val="TextoNormalCaracter"/>
          </w:rPr>
          <w:t>152/2016</w:t>
        </w:r>
      </w:hyperlink>
      <w:r>
        <w:t xml:space="preserve">, f. 5; </w:t>
      </w:r>
      <w:hyperlink w:anchor="SENTENCIA_2016_185" w:history="1">
        <w:r w:rsidRPr="00427CF1">
          <w:rPr>
            <w:rStyle w:val="TextoNormalCaracter"/>
          </w:rPr>
          <w:t>185/2016</w:t>
        </w:r>
      </w:hyperlink>
      <w:r>
        <w:t>, VP II.</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4.</w:t>
      </w:r>
    </w:p>
    <w:p w:rsidR="00427CF1" w:rsidRDefault="00427CF1" w:rsidP="00427CF1">
      <w:pPr>
        <w:pStyle w:val="SangriaFrancesaArticulo"/>
      </w:pPr>
      <w:r w:rsidRPr="00427CF1">
        <w:rPr>
          <w:rStyle w:val="TextoNormalNegritaCaracter"/>
        </w:rPr>
        <w:t>Artículo 103.3.</w:t>
      </w:r>
      <w:r w:rsidRPr="00427CF1">
        <w:rPr>
          <w:rStyle w:val="TextoNormalCaracter"/>
        </w:rPr>
        <w:t>-</w:t>
      </w:r>
      <w:r>
        <w:t xml:space="preserve"> Sentencias </w:t>
      </w:r>
      <w:hyperlink w:anchor="SENTENCIA_2016_156" w:history="1">
        <w:r w:rsidRPr="00427CF1">
          <w:rPr>
            <w:rStyle w:val="TextoNormalCaracter"/>
          </w:rPr>
          <w:t>156/2016</w:t>
        </w:r>
      </w:hyperlink>
      <w:r>
        <w:t xml:space="preserve">, f. 5; </w:t>
      </w:r>
      <w:hyperlink w:anchor="SENTENCIA_2016_183" w:history="1">
        <w:r w:rsidRPr="00427CF1">
          <w:rPr>
            <w:rStyle w:val="TextoNormalCaracter"/>
          </w:rPr>
          <w:t>183/2016</w:t>
        </w:r>
      </w:hyperlink>
      <w:r>
        <w:t>, f. 4.</w:t>
      </w:r>
    </w:p>
    <w:p w:rsidR="00427CF1" w:rsidRDefault="00427CF1" w:rsidP="00427CF1">
      <w:pPr>
        <w:pStyle w:val="SangriaIzquierdaArticulo"/>
      </w:pPr>
      <w:r>
        <w:t xml:space="preserve">Autos </w:t>
      </w:r>
      <w:hyperlink w:anchor="AUTO_2016_156" w:history="1">
        <w:r w:rsidRPr="00427CF1">
          <w:rPr>
            <w:rStyle w:val="TextoNormalCaracter"/>
          </w:rPr>
          <w:t>156/2016</w:t>
        </w:r>
      </w:hyperlink>
      <w:r>
        <w:t xml:space="preserve">, ff. 3, 4; </w:t>
      </w:r>
      <w:hyperlink w:anchor="AUTO_2016_200" w:history="1">
        <w:r w:rsidRPr="00427CF1">
          <w:rPr>
            <w:rStyle w:val="TextoNormalCaracter"/>
          </w:rPr>
          <w:t>200/2016</w:t>
        </w:r>
      </w:hyperlink>
      <w:r>
        <w:t>, ff. 1, 3.</w:t>
      </w:r>
    </w:p>
    <w:p w:rsidR="00427CF1" w:rsidRDefault="00427CF1" w:rsidP="00427CF1">
      <w:pPr>
        <w:pStyle w:val="SangriaFrancesaArticulo"/>
      </w:pPr>
      <w:r w:rsidRPr="00427CF1">
        <w:rPr>
          <w:rStyle w:val="TextoNormalNegritaCaracter"/>
        </w:rPr>
        <w:t>Artículo 104.</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r w:rsidRPr="00427CF1">
        <w:rPr>
          <w:rStyle w:val="TextoNormalNegritaCaracter"/>
        </w:rPr>
        <w:t>Artículo 104.2.</w:t>
      </w:r>
      <w:r w:rsidRPr="00427CF1">
        <w:rPr>
          <w:rStyle w:val="TextoNormalCaracter"/>
        </w:rPr>
        <w:t>-</w:t>
      </w:r>
      <w:r>
        <w:t xml:space="preserve"> Sentencia </w:t>
      </w:r>
      <w:hyperlink w:anchor="SENTENCIA_2016_184" w:history="1">
        <w:r w:rsidRPr="00427CF1">
          <w:rPr>
            <w:rStyle w:val="TextoNormalCaracter"/>
          </w:rPr>
          <w:t>184/2016</w:t>
        </w:r>
      </w:hyperlink>
      <w:r>
        <w:t>, f. 4.</w:t>
      </w:r>
    </w:p>
    <w:p w:rsidR="00427CF1" w:rsidRDefault="00427CF1" w:rsidP="00427CF1">
      <w:pPr>
        <w:pStyle w:val="SangriaFrancesaArticulo"/>
      </w:pPr>
      <w:r w:rsidRPr="00427CF1">
        <w:rPr>
          <w:rStyle w:val="TextoNormalNegritaCaracter"/>
        </w:rPr>
        <w:t>Artículo 106.</w:t>
      </w:r>
      <w:r w:rsidRPr="00427CF1">
        <w:rPr>
          <w:rStyle w:val="TextoNormalCaracter"/>
        </w:rPr>
        <w:t>-</w:t>
      </w:r>
      <w:r>
        <w:t xml:space="preserve"> Sentencias </w:t>
      </w:r>
      <w:hyperlink w:anchor="SENTENCIA_2016_140" w:history="1">
        <w:r w:rsidRPr="00427CF1">
          <w:rPr>
            <w:rStyle w:val="TextoNormalCaracter"/>
          </w:rPr>
          <w:t>140/2016</w:t>
        </w:r>
      </w:hyperlink>
      <w:r>
        <w:t xml:space="preserve">, f. 12; </w:t>
      </w:r>
      <w:hyperlink w:anchor="SENTENCIA_2016_162" w:history="1">
        <w:r w:rsidRPr="00427CF1">
          <w:rPr>
            <w:rStyle w:val="TextoNormalCaracter"/>
          </w:rPr>
          <w:t>162/2016</w:t>
        </w:r>
      </w:hyperlink>
      <w:r>
        <w:t>, f. 3.</w:t>
      </w:r>
    </w:p>
    <w:p w:rsidR="00427CF1" w:rsidRDefault="00427CF1" w:rsidP="00427CF1">
      <w:pPr>
        <w:pStyle w:val="SangriaFrancesaArticulo"/>
      </w:pPr>
      <w:r w:rsidRPr="00427CF1">
        <w:rPr>
          <w:rStyle w:val="TextoNormalNegritaCaracter"/>
        </w:rPr>
        <w:t>Artículo 106.1.</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40" w:history="1">
        <w:r w:rsidRPr="00427CF1">
          <w:rPr>
            <w:rStyle w:val="TextoNormalCaracter"/>
          </w:rPr>
          <w:t>140/2016</w:t>
        </w:r>
      </w:hyperlink>
      <w:r>
        <w:t xml:space="preserve">, ff. 1, 3, 11; </w:t>
      </w:r>
      <w:hyperlink w:anchor="SENTENCIA_2016_202" w:history="1">
        <w:r w:rsidRPr="00427CF1">
          <w:rPr>
            <w:rStyle w:val="TextoNormalCaracter"/>
          </w:rPr>
          <w:t>202/2016</w:t>
        </w:r>
      </w:hyperlink>
      <w:r>
        <w:t xml:space="preserve">, f. 4;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109.</w:t>
      </w:r>
      <w:r w:rsidRPr="00427CF1">
        <w:rPr>
          <w:rStyle w:val="TextoNormalCaracter"/>
        </w:rPr>
        <w:t>-</w:t>
      </w:r>
      <w:r>
        <w:t xml:space="preserve"> Sentencia </w:t>
      </w:r>
      <w:hyperlink w:anchor="SENTENCIA_2016_191" w:history="1">
        <w:r w:rsidRPr="00427CF1">
          <w:rPr>
            <w:rStyle w:val="TextoNormalCaracter"/>
          </w:rPr>
          <w:t>191/2016</w:t>
        </w:r>
      </w:hyperlink>
      <w:r>
        <w:t>, ff. 4, 6.</w:t>
      </w:r>
    </w:p>
    <w:p w:rsidR="00427CF1" w:rsidRDefault="00427CF1" w:rsidP="00427CF1">
      <w:pPr>
        <w:pStyle w:val="SangriaFrancesaArticulo"/>
      </w:pPr>
      <w:r w:rsidRPr="00427CF1">
        <w:rPr>
          <w:rStyle w:val="TextoNormalNegritaCaracter"/>
        </w:rPr>
        <w:t>Artículo 110.1.</w:t>
      </w:r>
      <w:r w:rsidRPr="00427CF1">
        <w:rPr>
          <w:rStyle w:val="TextoNormalCaracter"/>
        </w:rPr>
        <w:t>-</w:t>
      </w:r>
      <w:r>
        <w:t xml:space="preserve"> Sentencia </w:t>
      </w:r>
      <w:hyperlink w:anchor="SENTENCIA_2016_191" w:history="1">
        <w:r w:rsidRPr="00427CF1">
          <w:rPr>
            <w:rStyle w:val="TextoNormalCaracter"/>
          </w:rPr>
          <w:t>191/2016</w:t>
        </w:r>
      </w:hyperlink>
      <w:r>
        <w:t>, f. 6.</w:t>
      </w:r>
    </w:p>
    <w:p w:rsidR="00427CF1" w:rsidRDefault="00427CF1" w:rsidP="00427CF1">
      <w:pPr>
        <w:pStyle w:val="SangriaFrancesaArticulo"/>
      </w:pPr>
      <w:r w:rsidRPr="00427CF1">
        <w:rPr>
          <w:rStyle w:val="TextoNormalNegritaCaracter"/>
        </w:rPr>
        <w:t>Artículo 116.</w:t>
      </w:r>
      <w:r w:rsidRPr="00427CF1">
        <w:rPr>
          <w:rStyle w:val="TextoNormalCaracter"/>
        </w:rPr>
        <w:t>-</w:t>
      </w:r>
      <w:r>
        <w:t xml:space="preserve"> Sentencias </w:t>
      </w:r>
      <w:hyperlink w:anchor="SENTENCIA_2016_184" w:history="1">
        <w:r w:rsidRPr="00427CF1">
          <w:rPr>
            <w:rStyle w:val="TextoNormalCaracter"/>
          </w:rPr>
          <w:t>184/2016</w:t>
        </w:r>
      </w:hyperlink>
      <w:r>
        <w:t xml:space="preserve">, f. 2; </w:t>
      </w:r>
      <w:hyperlink w:anchor="SENTENCIA_2016_215" w:history="1">
        <w:r w:rsidRPr="00427CF1">
          <w:rPr>
            <w:rStyle w:val="TextoNormalCaracter"/>
          </w:rPr>
          <w:t>215/2016</w:t>
        </w:r>
      </w:hyperlink>
      <w:r>
        <w:t>, f. 11.</w:t>
      </w:r>
    </w:p>
    <w:p w:rsidR="00427CF1" w:rsidRDefault="00427CF1" w:rsidP="00427CF1">
      <w:pPr>
        <w:pStyle w:val="SangriaFrancesaArticulo"/>
      </w:pPr>
      <w:r w:rsidRPr="00427CF1">
        <w:rPr>
          <w:rStyle w:val="TextoNormalNegritaCaracter"/>
        </w:rPr>
        <w:t>Artículo 117.</w:t>
      </w:r>
      <w:r w:rsidRPr="00427CF1">
        <w:rPr>
          <w:rStyle w:val="TextoNormalCaracter"/>
        </w:rPr>
        <w:t>-</w:t>
      </w:r>
      <w:r>
        <w:t xml:space="preserve"> Sentencias </w:t>
      </w:r>
      <w:hyperlink w:anchor="SENTENCIA_2016_173" w:history="1">
        <w:r w:rsidRPr="00427CF1">
          <w:rPr>
            <w:rStyle w:val="TextoNormalCaracter"/>
          </w:rPr>
          <w:t>173/2016</w:t>
        </w:r>
      </w:hyperlink>
      <w:r>
        <w:t xml:space="preserve">, f. 3; </w:t>
      </w:r>
      <w:hyperlink w:anchor="SENTENCIA_2016_176" w:history="1">
        <w:r w:rsidRPr="00427CF1">
          <w:rPr>
            <w:rStyle w:val="TextoNormalCaracter"/>
          </w:rPr>
          <w:t>176/2016</w:t>
        </w:r>
      </w:hyperlink>
      <w:r>
        <w:t>, f. 2.</w:t>
      </w:r>
    </w:p>
    <w:p w:rsidR="00427CF1" w:rsidRDefault="00427CF1" w:rsidP="00427CF1">
      <w:pPr>
        <w:pStyle w:val="SangriaFrancesaArticulo"/>
      </w:pPr>
      <w:r w:rsidRPr="00427CF1">
        <w:rPr>
          <w:rStyle w:val="TextoNormalNegritaCaracter"/>
        </w:rPr>
        <w:t>Artículo 117.1.</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85" w:history="1">
        <w:r w:rsidRPr="00427CF1">
          <w:rPr>
            <w:rStyle w:val="TextoNormalCaracter"/>
          </w:rPr>
          <w:t>185/2016</w:t>
        </w:r>
      </w:hyperlink>
      <w:r>
        <w:t xml:space="preserve">, VP II; </w:t>
      </w:r>
      <w:hyperlink w:anchor="SENTENCIA_2016_191" w:history="1">
        <w:r w:rsidRPr="00427CF1">
          <w:rPr>
            <w:rStyle w:val="TextoNormalCaracter"/>
          </w:rPr>
          <w:t>191/2016</w:t>
        </w:r>
      </w:hyperlink>
      <w:r>
        <w:t xml:space="preserve">, f. 5; </w:t>
      </w:r>
      <w:hyperlink w:anchor="SENTENCIA_2016_204" w:history="1">
        <w:r w:rsidRPr="00427CF1">
          <w:rPr>
            <w:rStyle w:val="TextoNormalCaracter"/>
          </w:rPr>
          <w:t>204/2016</w:t>
        </w:r>
      </w:hyperlink>
      <w:r>
        <w:t xml:space="preserve">, VP I, VP II; </w:t>
      </w:r>
      <w:hyperlink w:anchor="SENTENCIA_2016_215" w:history="1">
        <w:r w:rsidRPr="00427CF1">
          <w:rPr>
            <w:rStyle w:val="TextoNormalCaracter"/>
          </w:rPr>
          <w:t>215/2016</w:t>
        </w:r>
      </w:hyperlink>
      <w:r>
        <w:t>, f. 11.</w:t>
      </w:r>
    </w:p>
    <w:p w:rsidR="00427CF1" w:rsidRDefault="00427CF1" w:rsidP="00427CF1">
      <w:pPr>
        <w:pStyle w:val="SangriaIzquierdaArticulo"/>
      </w:pPr>
      <w:r>
        <w:t xml:space="preserve">Auto </w:t>
      </w:r>
      <w:hyperlink w:anchor="AUTO_2016_146" w:history="1">
        <w:r w:rsidRPr="00427CF1">
          <w:rPr>
            <w:rStyle w:val="TextoNormalCaracter"/>
          </w:rPr>
          <w:t>146/2016</w:t>
        </w:r>
      </w:hyperlink>
      <w:r>
        <w:t>, f. 4.</w:t>
      </w:r>
    </w:p>
    <w:p w:rsidR="00427CF1" w:rsidRDefault="00427CF1" w:rsidP="00427CF1">
      <w:pPr>
        <w:pStyle w:val="SangriaFrancesaArticulo"/>
      </w:pPr>
      <w:r w:rsidRPr="00427CF1">
        <w:rPr>
          <w:rStyle w:val="TextoNormalNegritaCaracter"/>
        </w:rPr>
        <w:t>Artículo 117.3.</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29" w:history="1">
        <w:r w:rsidRPr="00427CF1">
          <w:rPr>
            <w:rStyle w:val="TextoNormalCaracter"/>
          </w:rPr>
          <w:t>129/2016</w:t>
        </w:r>
      </w:hyperlink>
      <w:r>
        <w:t xml:space="preserve">, f. 3; </w:t>
      </w:r>
      <w:hyperlink w:anchor="SENTENCIA_2016_140" w:history="1">
        <w:r w:rsidRPr="00427CF1">
          <w:rPr>
            <w:rStyle w:val="TextoNormalCaracter"/>
          </w:rPr>
          <w:t>140/2016</w:t>
        </w:r>
      </w:hyperlink>
      <w:r>
        <w:t xml:space="preserve">, f. 7; </w:t>
      </w:r>
      <w:hyperlink w:anchor="SENTENCIA_2016_166" w:history="1">
        <w:r w:rsidRPr="00427CF1">
          <w:rPr>
            <w:rStyle w:val="TextoNormalCaracter"/>
          </w:rPr>
          <w:t>166/2016</w:t>
        </w:r>
      </w:hyperlink>
      <w:r>
        <w:t xml:space="preserve">, f. 3; </w:t>
      </w:r>
      <w:hyperlink w:anchor="SENTENCIA_2016_170" w:history="1">
        <w:r w:rsidRPr="00427CF1">
          <w:rPr>
            <w:rStyle w:val="TextoNormalCaracter"/>
          </w:rPr>
          <w:t>170/2016</w:t>
        </w:r>
      </w:hyperlink>
      <w:r>
        <w:t xml:space="preserve">, ff. 1, 6; </w:t>
      </w:r>
      <w:hyperlink w:anchor="SENTENCIA_2016_172" w:history="1">
        <w:r w:rsidRPr="00427CF1">
          <w:rPr>
            <w:rStyle w:val="TextoNormalCaracter"/>
          </w:rPr>
          <w:t>172/2016</w:t>
        </w:r>
      </w:hyperlink>
      <w:r>
        <w:t xml:space="preserve">, f. 4; </w:t>
      </w:r>
      <w:hyperlink w:anchor="SENTENCIA_2016_176" w:history="1">
        <w:r w:rsidRPr="00427CF1">
          <w:rPr>
            <w:rStyle w:val="TextoNormalCaracter"/>
          </w:rPr>
          <w:t>176/2016</w:t>
        </w:r>
      </w:hyperlink>
      <w:r>
        <w:t xml:space="preserve">, f. 2; </w:t>
      </w:r>
      <w:hyperlink w:anchor="SENTENCIA_2016_185" w:history="1">
        <w:r w:rsidRPr="00427CF1">
          <w:rPr>
            <w:rStyle w:val="TextoNormalCaracter"/>
          </w:rPr>
          <w:t>185/2016</w:t>
        </w:r>
      </w:hyperlink>
      <w:r>
        <w:t xml:space="preserve">, ff. 1, 6, 10, VP II; </w:t>
      </w:r>
      <w:hyperlink w:anchor="SENTENCIA_2016_191" w:history="1">
        <w:r w:rsidRPr="00427CF1">
          <w:rPr>
            <w:rStyle w:val="TextoNormalCaracter"/>
          </w:rPr>
          <w:t>191/2016</w:t>
        </w:r>
      </w:hyperlink>
      <w:r>
        <w:t xml:space="preserve">, ff. 5, 9; </w:t>
      </w:r>
      <w:hyperlink w:anchor="SENTENCIA_2016_222" w:history="1">
        <w:r w:rsidRPr="00427CF1">
          <w:rPr>
            <w:rStyle w:val="TextoNormalCaracter"/>
          </w:rPr>
          <w:t>222/2016</w:t>
        </w:r>
      </w:hyperlink>
      <w:r>
        <w:t xml:space="preserve">, f. 4; </w:t>
      </w:r>
      <w:hyperlink w:anchor="SENTENCIA_2016_227" w:history="1">
        <w:r w:rsidRPr="00427CF1">
          <w:rPr>
            <w:rStyle w:val="TextoNormalCaracter"/>
          </w:rPr>
          <w:t>227/2016</w:t>
        </w:r>
      </w:hyperlink>
      <w:r>
        <w:t>, f. 2.</w:t>
      </w:r>
    </w:p>
    <w:p w:rsidR="00427CF1" w:rsidRDefault="00427CF1" w:rsidP="00427CF1">
      <w:pPr>
        <w:pStyle w:val="SangriaIzquierdaArticulo"/>
      </w:pPr>
      <w:r>
        <w:t xml:space="preserve">Autos </w:t>
      </w:r>
      <w:hyperlink w:anchor="AUTO_2016_135" w:history="1">
        <w:r w:rsidRPr="00427CF1">
          <w:rPr>
            <w:rStyle w:val="TextoNormalCaracter"/>
          </w:rPr>
          <w:t>135/2016</w:t>
        </w:r>
      </w:hyperlink>
      <w:r>
        <w:t xml:space="preserve">, f. 2; </w:t>
      </w:r>
      <w:hyperlink w:anchor="AUTO_2016_146" w:history="1">
        <w:r w:rsidRPr="00427CF1">
          <w:rPr>
            <w:rStyle w:val="TextoNormalCaracter"/>
          </w:rPr>
          <w:t>146/2016</w:t>
        </w:r>
      </w:hyperlink>
      <w:r>
        <w:t xml:space="preserve">, ff. 1, 3, 4; </w:t>
      </w:r>
      <w:hyperlink w:anchor="AUTO_2016_148" w:history="1">
        <w:r w:rsidRPr="00427CF1">
          <w:rPr>
            <w:rStyle w:val="TextoNormalCaracter"/>
          </w:rPr>
          <w:t>148/2016</w:t>
        </w:r>
      </w:hyperlink>
      <w:r>
        <w:t xml:space="preserve">, ff. 7, 8; </w:t>
      </w:r>
      <w:hyperlink w:anchor="AUTO_2016_194" w:history="1">
        <w:r w:rsidRPr="00427CF1">
          <w:rPr>
            <w:rStyle w:val="TextoNormalCaracter"/>
          </w:rPr>
          <w:t>194/2016</w:t>
        </w:r>
      </w:hyperlink>
      <w:r>
        <w:t>, f. 1.</w:t>
      </w:r>
    </w:p>
    <w:p w:rsidR="00427CF1" w:rsidRDefault="00427CF1" w:rsidP="00427CF1">
      <w:pPr>
        <w:pStyle w:val="SangriaFrancesaArticulo"/>
      </w:pPr>
      <w:r w:rsidRPr="00427CF1">
        <w:rPr>
          <w:rStyle w:val="TextoNormalNegritaCaracter"/>
        </w:rPr>
        <w:t>Artículo 117.4.</w:t>
      </w:r>
      <w:r w:rsidRPr="00427CF1">
        <w:rPr>
          <w:rStyle w:val="TextoNormalCaracter"/>
        </w:rPr>
        <w:t>-</w:t>
      </w:r>
      <w:r>
        <w:t xml:space="preserve"> Sentencia </w:t>
      </w:r>
      <w:hyperlink w:anchor="SENTENCIA_2016_191" w:history="1">
        <w:r w:rsidRPr="00427CF1">
          <w:rPr>
            <w:rStyle w:val="TextoNormalCaracter"/>
          </w:rPr>
          <w:t>191/2016</w:t>
        </w:r>
      </w:hyperlink>
      <w:r>
        <w:t>, f. 9.</w:t>
      </w:r>
    </w:p>
    <w:p w:rsidR="00427CF1" w:rsidRDefault="00427CF1" w:rsidP="00427CF1">
      <w:pPr>
        <w:pStyle w:val="SangriaFrancesaArticulo"/>
      </w:pPr>
      <w:r w:rsidRPr="00427CF1">
        <w:rPr>
          <w:rStyle w:val="TextoNormalNegritaCaracter"/>
        </w:rPr>
        <w:t>Artículo 118.</w:t>
      </w:r>
      <w:r w:rsidRPr="00427CF1">
        <w:rPr>
          <w:rStyle w:val="TextoNormalCaracter"/>
        </w:rPr>
        <w:t>-</w:t>
      </w:r>
      <w:r>
        <w:t xml:space="preserve"> Sentencia </w:t>
      </w:r>
      <w:hyperlink w:anchor="SENTENCIA_2016_153" w:history="1">
        <w:r w:rsidRPr="00427CF1">
          <w:rPr>
            <w:rStyle w:val="TextoNormalCaracter"/>
          </w:rPr>
          <w:t>153/2016</w:t>
        </w:r>
      </w:hyperlink>
      <w:r>
        <w:t>, ff. 1, 2.</w:t>
      </w:r>
    </w:p>
    <w:p w:rsidR="00427CF1" w:rsidRDefault="00427CF1" w:rsidP="00427CF1">
      <w:pPr>
        <w:pStyle w:val="SangriaIzquierdaArticulo"/>
      </w:pPr>
      <w:r>
        <w:t xml:space="preserve">Auto </w:t>
      </w:r>
      <w:hyperlink w:anchor="AUTO_2016_150" w:history="1">
        <w:r w:rsidRPr="00427CF1">
          <w:rPr>
            <w:rStyle w:val="TextoNormalCaracter"/>
          </w:rPr>
          <w:t>150/2016</w:t>
        </w:r>
      </w:hyperlink>
      <w:r>
        <w:t>, f. 3.</w:t>
      </w:r>
    </w:p>
    <w:p w:rsidR="00427CF1" w:rsidRDefault="00427CF1" w:rsidP="00427CF1">
      <w:pPr>
        <w:pStyle w:val="SangriaFrancesaArticulo"/>
      </w:pPr>
      <w:r w:rsidRPr="00427CF1">
        <w:rPr>
          <w:rStyle w:val="TextoNormalNegritaCaracter"/>
        </w:rPr>
        <w:t>Artículo 119.</w:t>
      </w:r>
      <w:r w:rsidRPr="00427CF1">
        <w:rPr>
          <w:rStyle w:val="TextoNormalCaracter"/>
        </w:rPr>
        <w:t>-</w:t>
      </w:r>
      <w:r>
        <w:t xml:space="preserve"> Sentencias </w:t>
      </w:r>
      <w:hyperlink w:anchor="SENTENCIA_2016_136" w:history="1">
        <w:r w:rsidRPr="00427CF1">
          <w:rPr>
            <w:rStyle w:val="TextoNormalCaracter"/>
          </w:rPr>
          <w:t>136/2016</w:t>
        </w:r>
      </w:hyperlink>
      <w:r>
        <w:t xml:space="preserve">, ff. 1, 4, 6; </w:t>
      </w:r>
      <w:hyperlink w:anchor="SENTENCIA_2016_139" w:history="1">
        <w:r w:rsidRPr="00427CF1">
          <w:rPr>
            <w:rStyle w:val="TextoNormalCaracter"/>
          </w:rPr>
          <w:t>139/2016</w:t>
        </w:r>
      </w:hyperlink>
      <w:r>
        <w:t xml:space="preserve">, VP I; </w:t>
      </w:r>
      <w:hyperlink w:anchor="SENTENCIA_2016_140" w:history="1">
        <w:r w:rsidRPr="00427CF1">
          <w:rPr>
            <w:rStyle w:val="TextoNormalCaracter"/>
          </w:rPr>
          <w:t>140/2016</w:t>
        </w:r>
      </w:hyperlink>
      <w:r>
        <w:t xml:space="preserve">, ff. 3, 6; </w:t>
      </w:r>
      <w:hyperlink w:anchor="SENTENCIA_2016_202" w:history="1">
        <w:r w:rsidRPr="00427CF1">
          <w:rPr>
            <w:rStyle w:val="TextoNormalCaracter"/>
          </w:rPr>
          <w:t>202/2016</w:t>
        </w:r>
      </w:hyperlink>
      <w:r>
        <w:t>, f. 3.</w:t>
      </w:r>
    </w:p>
    <w:p w:rsidR="00427CF1" w:rsidRDefault="00427CF1" w:rsidP="00427CF1">
      <w:pPr>
        <w:pStyle w:val="SangriaIzquierdaArticulo"/>
      </w:pPr>
      <w:r>
        <w:t xml:space="preserve">Auto </w:t>
      </w:r>
      <w:hyperlink w:anchor="AUTO_2016_135" w:history="1">
        <w:r w:rsidRPr="00427CF1">
          <w:rPr>
            <w:rStyle w:val="TextoNormalCaracter"/>
          </w:rPr>
          <w:t>135/2016</w:t>
        </w:r>
      </w:hyperlink>
      <w:r>
        <w:t>, ff. 1, 2.</w:t>
      </w:r>
    </w:p>
    <w:p w:rsidR="00427CF1" w:rsidRDefault="00427CF1" w:rsidP="00427CF1">
      <w:pPr>
        <w:pStyle w:val="SangriaFrancesaArticulo"/>
      </w:pPr>
      <w:r w:rsidRPr="00427CF1">
        <w:rPr>
          <w:rStyle w:val="TextoNormalNegritaCaracter"/>
        </w:rPr>
        <w:t>Artículo 120.3.</w:t>
      </w:r>
      <w:r w:rsidRPr="00427CF1">
        <w:rPr>
          <w:rStyle w:val="TextoNormalCaracter"/>
        </w:rPr>
        <w:t>-</w:t>
      </w:r>
      <w:r>
        <w:t xml:space="preserve"> Sentencia </w:t>
      </w:r>
      <w:hyperlink w:anchor="SENTENCIA_2016_172" w:history="1">
        <w:r w:rsidRPr="00427CF1">
          <w:rPr>
            <w:rStyle w:val="TextoNormalCaracter"/>
          </w:rPr>
          <w:t>172/2016</w:t>
        </w:r>
      </w:hyperlink>
      <w:r>
        <w:t>, ff. 1, 9.</w:t>
      </w:r>
    </w:p>
    <w:p w:rsidR="00427CF1" w:rsidRDefault="00427CF1" w:rsidP="00427CF1">
      <w:pPr>
        <w:pStyle w:val="SangriaFrancesaArticulo"/>
      </w:pPr>
      <w:r w:rsidRPr="00427CF1">
        <w:rPr>
          <w:rStyle w:val="TextoNormalNegritaCaracter"/>
        </w:rPr>
        <w:t>Artículo 122.</w:t>
      </w:r>
      <w:r w:rsidRPr="00427CF1">
        <w:rPr>
          <w:rStyle w:val="TextoNormalCaracter"/>
        </w:rPr>
        <w:t>-</w:t>
      </w:r>
      <w:r>
        <w:t xml:space="preserve"> Sentencia </w:t>
      </w:r>
      <w:hyperlink w:anchor="SENTENCIA_2016_215" w:history="1">
        <w:r w:rsidRPr="00427CF1">
          <w:rPr>
            <w:rStyle w:val="TextoNormalCaracter"/>
          </w:rPr>
          <w:t>215/2016</w:t>
        </w:r>
      </w:hyperlink>
      <w:r>
        <w:t>, f. 3.</w:t>
      </w:r>
    </w:p>
    <w:p w:rsidR="00427CF1" w:rsidRDefault="00427CF1" w:rsidP="00427CF1">
      <w:pPr>
        <w:pStyle w:val="SangriaFrancesaArticulo"/>
      </w:pPr>
      <w:r w:rsidRPr="00427CF1">
        <w:rPr>
          <w:rStyle w:val="TextoNormalNegritaCaracter"/>
        </w:rPr>
        <w:t>Artículo 122.1.</w:t>
      </w:r>
      <w:r w:rsidRPr="00427CF1">
        <w:rPr>
          <w:rStyle w:val="TextoNormalCaracter"/>
        </w:rPr>
        <w:t>-</w:t>
      </w:r>
      <w:r>
        <w:t xml:space="preserve"> Sentencia </w:t>
      </w:r>
      <w:hyperlink w:anchor="SENTENCIA_2016_191" w:history="1">
        <w:r w:rsidRPr="00427CF1">
          <w:rPr>
            <w:rStyle w:val="TextoNormalCaracter"/>
          </w:rPr>
          <w:t>191/2016</w:t>
        </w:r>
      </w:hyperlink>
      <w:r>
        <w:t>, f. 9.</w:t>
      </w:r>
    </w:p>
    <w:p w:rsidR="00427CF1" w:rsidRDefault="00427CF1" w:rsidP="00427CF1">
      <w:pPr>
        <w:pStyle w:val="SangriaFrancesaArticulo"/>
      </w:pPr>
      <w:r w:rsidRPr="00427CF1">
        <w:rPr>
          <w:rStyle w:val="TextoNormalNegritaCaracter"/>
        </w:rPr>
        <w:t>Artículo 122.2.</w:t>
      </w:r>
      <w:r w:rsidRPr="00427CF1">
        <w:rPr>
          <w:rStyle w:val="TextoNormalCaracter"/>
        </w:rPr>
        <w:t>-</w:t>
      </w:r>
      <w:r>
        <w:t xml:space="preserve"> Sentencia </w:t>
      </w:r>
      <w:hyperlink w:anchor="SENTENCIA_2016_191" w:history="1">
        <w:r w:rsidRPr="00427CF1">
          <w:rPr>
            <w:rStyle w:val="TextoNormalCaracter"/>
          </w:rPr>
          <w:t>191/2016</w:t>
        </w:r>
      </w:hyperlink>
      <w:r>
        <w:t>, ff. 3, 5, 6, 9, 11.</w:t>
      </w:r>
    </w:p>
    <w:p w:rsidR="00427CF1" w:rsidRDefault="00427CF1" w:rsidP="00427CF1">
      <w:pPr>
        <w:pStyle w:val="SangriaFrancesaArticulo"/>
      </w:pPr>
      <w:r w:rsidRPr="00427CF1">
        <w:rPr>
          <w:rStyle w:val="TextoNormalNegritaCaracter"/>
        </w:rPr>
        <w:t>Artículo 122.3.</w:t>
      </w:r>
      <w:r w:rsidRPr="00427CF1">
        <w:rPr>
          <w:rStyle w:val="TextoNormalCaracter"/>
        </w:rPr>
        <w:t>-</w:t>
      </w:r>
      <w:r>
        <w:t xml:space="preserve"> Sentencia </w:t>
      </w:r>
      <w:hyperlink w:anchor="SENTENCIA_2016_191" w:history="1">
        <w:r w:rsidRPr="00427CF1">
          <w:rPr>
            <w:rStyle w:val="TextoNormalCaracter"/>
          </w:rPr>
          <w:t>191/2016</w:t>
        </w:r>
      </w:hyperlink>
      <w:r>
        <w:t>, ff. 3, 7, 8, 10.</w:t>
      </w:r>
    </w:p>
    <w:p w:rsidR="00427CF1" w:rsidRDefault="00427CF1" w:rsidP="00427CF1">
      <w:pPr>
        <w:pStyle w:val="SangriaFrancesaArticulo"/>
      </w:pPr>
      <w:r w:rsidRPr="00427CF1">
        <w:rPr>
          <w:rStyle w:val="TextoNormalNegritaCaracter"/>
        </w:rPr>
        <w:t>Artículo 123.</w:t>
      </w:r>
      <w:r w:rsidRPr="00427CF1">
        <w:rPr>
          <w:rStyle w:val="TextoNormalCaracter"/>
        </w:rPr>
        <w:t>-</w:t>
      </w:r>
      <w:r>
        <w:t xml:space="preserve"> Sentencias </w:t>
      </w:r>
      <w:hyperlink w:anchor="SENTENCIA_2016_148" w:history="1">
        <w:r w:rsidRPr="00427CF1">
          <w:rPr>
            <w:rStyle w:val="TextoNormalCaracter"/>
          </w:rPr>
          <w:t>148/2016</w:t>
        </w:r>
      </w:hyperlink>
      <w:r>
        <w:t xml:space="preserve">, f. 6; </w:t>
      </w:r>
      <w:hyperlink w:anchor="SENTENCIA_2016_206" w:history="1">
        <w:r w:rsidRPr="00427CF1">
          <w:rPr>
            <w:rStyle w:val="TextoNormalCaracter"/>
          </w:rPr>
          <w:t>206/2016</w:t>
        </w:r>
      </w:hyperlink>
      <w:r>
        <w:t xml:space="preserve">, f. 4; </w:t>
      </w:r>
      <w:hyperlink w:anchor="SENTENCIA_2016_207" w:history="1">
        <w:r w:rsidRPr="00427CF1">
          <w:rPr>
            <w:rStyle w:val="TextoNormalCaracter"/>
          </w:rPr>
          <w:t>207/2016</w:t>
        </w:r>
      </w:hyperlink>
      <w:r>
        <w:t xml:space="preserve">, f. 5; </w:t>
      </w:r>
      <w:hyperlink w:anchor="SENTENCIA_2016_208" w:history="1">
        <w:r w:rsidRPr="00427CF1">
          <w:rPr>
            <w:rStyle w:val="TextoNormalCaracter"/>
          </w:rPr>
          <w:t>208/2016</w:t>
        </w:r>
      </w:hyperlink>
      <w:r>
        <w:t xml:space="preserve">, f. 4; </w:t>
      </w:r>
      <w:hyperlink w:anchor="SENTENCIA_2016_209" w:history="1">
        <w:r w:rsidRPr="00427CF1">
          <w:rPr>
            <w:rStyle w:val="TextoNormalCaracter"/>
          </w:rPr>
          <w:t>209/2016</w:t>
        </w:r>
      </w:hyperlink>
      <w:r>
        <w:t xml:space="preserve">, f. 4; </w:t>
      </w:r>
      <w:hyperlink w:anchor="SENTENCIA_2016_218" w:history="1">
        <w:r w:rsidRPr="00427CF1">
          <w:rPr>
            <w:rStyle w:val="TextoNormalCaracter"/>
          </w:rPr>
          <w:t>218/2016</w:t>
        </w:r>
      </w:hyperlink>
      <w:r>
        <w:t xml:space="preserve">, f. 5; </w:t>
      </w:r>
      <w:hyperlink w:anchor="SENTENCIA_2016_221" w:history="1">
        <w:r w:rsidRPr="00427CF1">
          <w:rPr>
            <w:rStyle w:val="TextoNormalCaracter"/>
          </w:rPr>
          <w:t>221/2016</w:t>
        </w:r>
      </w:hyperlink>
      <w:r>
        <w:t xml:space="preserve">, f. 5; </w:t>
      </w:r>
      <w:hyperlink w:anchor="SENTENCIA_2016_223" w:history="1">
        <w:r w:rsidRPr="00427CF1">
          <w:rPr>
            <w:rStyle w:val="TextoNormalCaracter"/>
          </w:rPr>
          <w:t>223/2016</w:t>
        </w:r>
      </w:hyperlink>
      <w:r>
        <w:t>, f. 4.</w:t>
      </w:r>
    </w:p>
    <w:p w:rsidR="00427CF1" w:rsidRDefault="00427CF1" w:rsidP="00427CF1">
      <w:pPr>
        <w:pStyle w:val="SangriaFrancesaArticulo"/>
      </w:pPr>
      <w:r w:rsidRPr="00427CF1">
        <w:rPr>
          <w:rStyle w:val="TextoNormalNegritaCaracter"/>
        </w:rPr>
        <w:t>Artículo 123.1.</w:t>
      </w:r>
      <w:r w:rsidRPr="00427CF1">
        <w:rPr>
          <w:rStyle w:val="TextoNormalCaracter"/>
        </w:rPr>
        <w:t>-</w:t>
      </w:r>
      <w:r>
        <w:t xml:space="preserve"> Sentencias </w:t>
      </w:r>
      <w:hyperlink w:anchor="SENTENCIA_2016_149" w:history="1">
        <w:r w:rsidRPr="00427CF1">
          <w:rPr>
            <w:rStyle w:val="TextoNormalCaracter"/>
          </w:rPr>
          <w:t>149/2016</w:t>
        </w:r>
      </w:hyperlink>
      <w:r>
        <w:t xml:space="preserve">, f. 4; </w:t>
      </w:r>
      <w:hyperlink w:anchor="SENTENCIA_2016_172" w:history="1">
        <w:r w:rsidRPr="00427CF1">
          <w:rPr>
            <w:rStyle w:val="TextoNormalCaracter"/>
          </w:rPr>
          <w:t>172/2016</w:t>
        </w:r>
      </w:hyperlink>
      <w:r>
        <w:t>, VP.</w:t>
      </w:r>
    </w:p>
    <w:p w:rsidR="00427CF1" w:rsidRDefault="00427CF1" w:rsidP="00427CF1">
      <w:pPr>
        <w:pStyle w:val="SangriaFrancesaArticulo"/>
      </w:pPr>
      <w:r w:rsidRPr="00427CF1">
        <w:rPr>
          <w:rStyle w:val="TextoNormalNegritaCaracter"/>
        </w:rPr>
        <w:t>Artículo 123.2.</w:t>
      </w:r>
      <w:r w:rsidRPr="00427CF1">
        <w:rPr>
          <w:rStyle w:val="TextoNormalCaracter"/>
        </w:rPr>
        <w:t>-</w:t>
      </w:r>
      <w:r>
        <w:t xml:space="preserve"> Sentencia </w:t>
      </w:r>
      <w:hyperlink w:anchor="SENTENCIA_2016_191" w:history="1">
        <w:r w:rsidRPr="00427CF1">
          <w:rPr>
            <w:rStyle w:val="TextoNormalCaracter"/>
          </w:rPr>
          <w:t>191/2016</w:t>
        </w:r>
      </w:hyperlink>
      <w:r>
        <w:t>, f. 3.</w:t>
      </w:r>
    </w:p>
    <w:p w:rsidR="00427CF1" w:rsidRDefault="00427CF1" w:rsidP="00427CF1">
      <w:pPr>
        <w:pStyle w:val="SangriaFrancesaArticulo"/>
      </w:pPr>
      <w:r w:rsidRPr="00427CF1">
        <w:rPr>
          <w:rStyle w:val="TextoNormalNegritaCaracter"/>
        </w:rPr>
        <w:t>Artículo 124.4.</w:t>
      </w:r>
      <w:r w:rsidRPr="00427CF1">
        <w:rPr>
          <w:rStyle w:val="TextoNormalCaracter"/>
        </w:rPr>
        <w:t>-</w:t>
      </w:r>
      <w:r>
        <w:t xml:space="preserve"> Sentencia </w:t>
      </w:r>
      <w:hyperlink w:anchor="SENTENCIA_2016_191" w:history="1">
        <w:r w:rsidRPr="00427CF1">
          <w:rPr>
            <w:rStyle w:val="TextoNormalCaracter"/>
          </w:rPr>
          <w:t>191/2016</w:t>
        </w:r>
      </w:hyperlink>
      <w:r>
        <w:t>, f. 3.</w:t>
      </w:r>
    </w:p>
    <w:p w:rsidR="00427CF1" w:rsidRDefault="00427CF1" w:rsidP="00427CF1">
      <w:pPr>
        <w:pStyle w:val="SangriaFrancesaArticulo"/>
      </w:pPr>
      <w:r w:rsidRPr="00427CF1">
        <w:rPr>
          <w:rStyle w:val="TextoNormalNegritaCaracter"/>
        </w:rPr>
        <w:t>Artículo 127.1.</w:t>
      </w:r>
      <w:r w:rsidRPr="00427CF1">
        <w:rPr>
          <w:rStyle w:val="TextoNormalCaracter"/>
        </w:rPr>
        <w:t>-</w:t>
      </w:r>
      <w:r>
        <w:t xml:space="preserve"> Sentencia </w:t>
      </w:r>
      <w:hyperlink w:anchor="SENTENCIA_2016_191" w:history="1">
        <w:r w:rsidRPr="00427CF1">
          <w:rPr>
            <w:rStyle w:val="TextoNormalCaracter"/>
          </w:rPr>
          <w:t>191/2016</w:t>
        </w:r>
      </w:hyperlink>
      <w:r>
        <w:t>, f. 9.</w:t>
      </w:r>
    </w:p>
    <w:p w:rsidR="00427CF1" w:rsidRDefault="00427CF1" w:rsidP="00427CF1">
      <w:pPr>
        <w:pStyle w:val="SangriaFrancesaArticulo"/>
      </w:pPr>
      <w:r w:rsidRPr="00427CF1">
        <w:rPr>
          <w:rStyle w:val="TextoNormalNegritaCaracter"/>
        </w:rPr>
        <w:t>Artículo 132.2.</w:t>
      </w:r>
      <w:r w:rsidRPr="00427CF1">
        <w:rPr>
          <w:rStyle w:val="TextoNormalCaracter"/>
        </w:rPr>
        <w:t>-</w:t>
      </w:r>
      <w:r>
        <w:t xml:space="preserve"> Sentencia </w:t>
      </w:r>
      <w:hyperlink w:anchor="SENTENCIA_2016_165" w:history="1">
        <w:r w:rsidRPr="00427CF1">
          <w:rPr>
            <w:rStyle w:val="TextoNormalCaracter"/>
          </w:rPr>
          <w:t>165/2016</w:t>
        </w:r>
      </w:hyperlink>
      <w:r>
        <w:t>, f. 5.</w:t>
      </w:r>
    </w:p>
    <w:p w:rsidR="00427CF1" w:rsidRDefault="00427CF1" w:rsidP="00427CF1">
      <w:pPr>
        <w:pStyle w:val="SangriaFrancesaArticulo"/>
      </w:pPr>
      <w:r w:rsidRPr="00427CF1">
        <w:rPr>
          <w:rStyle w:val="TextoNormalNegritaCaracter"/>
        </w:rPr>
        <w:t>Artículo 133.1.</w:t>
      </w:r>
      <w:r w:rsidRPr="00427CF1">
        <w:rPr>
          <w:rStyle w:val="TextoNormalCaracter"/>
        </w:rPr>
        <w:t>-</w:t>
      </w:r>
      <w:r>
        <w:t xml:space="preserve"> Sentencias </w:t>
      </w:r>
      <w:hyperlink w:anchor="SENTENCIA_2016_128" w:history="1">
        <w:r w:rsidRPr="00427CF1">
          <w:rPr>
            <w:rStyle w:val="TextoNormalCaracter"/>
          </w:rPr>
          <w:t>128/2016</w:t>
        </w:r>
      </w:hyperlink>
      <w:r>
        <w:t xml:space="preserve">, f. 6; </w:t>
      </w:r>
      <w:hyperlink w:anchor="SENTENCIA_2016_139" w:history="1">
        <w:r w:rsidRPr="00427CF1">
          <w:rPr>
            <w:rStyle w:val="TextoNormalCaracter"/>
          </w:rPr>
          <w:t>139/2016</w:t>
        </w:r>
      </w:hyperlink>
      <w:r>
        <w:t xml:space="preserve">, f. 6; </w:t>
      </w:r>
      <w:hyperlink w:anchor="SENTENCIA_2016_167" w:history="1">
        <w:r w:rsidRPr="00427CF1">
          <w:rPr>
            <w:rStyle w:val="TextoNormalCaracter"/>
          </w:rPr>
          <w:t>167/2016</w:t>
        </w:r>
      </w:hyperlink>
      <w:r>
        <w:t>, f. 4.</w:t>
      </w:r>
    </w:p>
    <w:p w:rsidR="00427CF1" w:rsidRDefault="00427CF1" w:rsidP="00427CF1">
      <w:pPr>
        <w:pStyle w:val="SangriaFrancesaArticulo"/>
      </w:pPr>
      <w:r w:rsidRPr="00427CF1">
        <w:rPr>
          <w:rStyle w:val="TextoNormalNegritaCaracter"/>
        </w:rPr>
        <w:t>Artículo 133.2.</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IzquierdaArticulo"/>
      </w:pPr>
      <w:r>
        <w:t xml:space="preserve">Autos </w:t>
      </w:r>
      <w:hyperlink w:anchor="AUTO_2016_183" w:history="1">
        <w:r w:rsidRPr="00427CF1">
          <w:rPr>
            <w:rStyle w:val="TextoNormalCaracter"/>
          </w:rPr>
          <w:t>183/2016</w:t>
        </w:r>
      </w:hyperlink>
      <w:r>
        <w:t xml:space="preserve">, ff. 3, 4; </w:t>
      </w:r>
      <w:hyperlink w:anchor="AUTO_2016_185" w:history="1">
        <w:r w:rsidRPr="00427CF1">
          <w:rPr>
            <w:rStyle w:val="TextoNormalCaracter"/>
          </w:rPr>
          <w:t>185/2016</w:t>
        </w:r>
      </w:hyperlink>
      <w:r>
        <w:t>, ff. 3, 4.</w:t>
      </w:r>
    </w:p>
    <w:p w:rsidR="00427CF1" w:rsidRDefault="00427CF1" w:rsidP="00427CF1">
      <w:pPr>
        <w:pStyle w:val="SangriaFrancesaArticulo"/>
      </w:pPr>
      <w:r w:rsidRPr="00427CF1">
        <w:rPr>
          <w:rStyle w:val="TextoNormalNegritaCaracter"/>
        </w:rPr>
        <w:t>Artículo 133.3.</w:t>
      </w:r>
      <w:r w:rsidRPr="00427CF1">
        <w:rPr>
          <w:rStyle w:val="TextoNormalCaracter"/>
        </w:rPr>
        <w:t>-</w:t>
      </w:r>
      <w:r>
        <w:t xml:space="preserve"> Sentencia </w:t>
      </w:r>
      <w:hyperlink w:anchor="SENTENCIA_2016_128" w:history="1">
        <w:r w:rsidRPr="00427CF1">
          <w:rPr>
            <w:rStyle w:val="TextoNormalCaracter"/>
          </w:rPr>
          <w:t>128/2016</w:t>
        </w:r>
      </w:hyperlink>
      <w:r>
        <w:t>, ff. 6, 7.</w:t>
      </w:r>
    </w:p>
    <w:p w:rsidR="00427CF1" w:rsidRDefault="00427CF1" w:rsidP="00427CF1">
      <w:pPr>
        <w:pStyle w:val="SangriaFrancesaArticulo"/>
      </w:pPr>
      <w:r w:rsidRPr="00427CF1">
        <w:rPr>
          <w:rStyle w:val="TextoNormalNegritaCaracter"/>
        </w:rPr>
        <w:t>Artículo 134.</w:t>
      </w:r>
      <w:r w:rsidRPr="00427CF1">
        <w:rPr>
          <w:rStyle w:val="TextoNormalCaracter"/>
        </w:rPr>
        <w:t>-</w:t>
      </w:r>
      <w:r>
        <w:t xml:space="preserve"> Sentencia </w:t>
      </w:r>
      <w:hyperlink w:anchor="SENTENCIA_2016_217" w:history="1">
        <w:r w:rsidRPr="00427CF1">
          <w:rPr>
            <w:rStyle w:val="TextoNormalCaracter"/>
          </w:rPr>
          <w:t>217/2016</w:t>
        </w:r>
      </w:hyperlink>
      <w:r>
        <w:t>, f. 5.</w:t>
      </w:r>
    </w:p>
    <w:p w:rsidR="00427CF1" w:rsidRDefault="00427CF1" w:rsidP="00427CF1">
      <w:pPr>
        <w:pStyle w:val="SangriaFrancesaArticulo"/>
      </w:pPr>
      <w:r w:rsidRPr="00427CF1">
        <w:rPr>
          <w:rStyle w:val="TextoNormalNegritaCaracter"/>
        </w:rPr>
        <w:t>Artículo 134.2.</w:t>
      </w:r>
      <w:r w:rsidRPr="00427CF1">
        <w:rPr>
          <w:rStyle w:val="TextoNormalCaracter"/>
        </w:rPr>
        <w:t>-</w:t>
      </w:r>
      <w:r>
        <w:t xml:space="preserve"> Sentencias </w:t>
      </w:r>
      <w:hyperlink w:anchor="SENTENCIA_2016_135" w:history="1">
        <w:r w:rsidRPr="00427CF1">
          <w:rPr>
            <w:rStyle w:val="TextoNormalCaracter"/>
          </w:rPr>
          <w:t>135/2016</w:t>
        </w:r>
      </w:hyperlink>
      <w:r>
        <w:t xml:space="preserve">, f. 2; </w:t>
      </w:r>
      <w:hyperlink w:anchor="SENTENCIA_2016_158" w:history="1">
        <w:r w:rsidRPr="00427CF1">
          <w:rPr>
            <w:rStyle w:val="TextoNormalCaracter"/>
          </w:rPr>
          <w:t>158/2016</w:t>
        </w:r>
      </w:hyperlink>
      <w:r>
        <w:t>, f. 4, VP.</w:t>
      </w:r>
    </w:p>
    <w:p w:rsidR="00427CF1" w:rsidRDefault="00427CF1" w:rsidP="00427CF1">
      <w:pPr>
        <w:pStyle w:val="SangriaFrancesaArticulo"/>
      </w:pPr>
      <w:r w:rsidRPr="00427CF1">
        <w:rPr>
          <w:rStyle w:val="TextoNormalNegritaCaracter"/>
        </w:rPr>
        <w:t>Artículo 135.</w:t>
      </w:r>
      <w:r w:rsidRPr="00427CF1">
        <w:rPr>
          <w:rStyle w:val="TextoNormalCaracter"/>
        </w:rPr>
        <w:t>-</w:t>
      </w:r>
      <w:r>
        <w:t xml:space="preserve"> Sentencias </w:t>
      </w:r>
      <w:hyperlink w:anchor="SENTENCIA_2016_140" w:history="1">
        <w:r w:rsidRPr="00427CF1">
          <w:rPr>
            <w:rStyle w:val="TextoNormalCaracter"/>
          </w:rPr>
          <w:t>140/2016</w:t>
        </w:r>
      </w:hyperlink>
      <w:r>
        <w:t xml:space="preserve">, f. 7; </w:t>
      </w:r>
      <w:hyperlink w:anchor="SENTENCIA_2016_143" w:history="1">
        <w:r w:rsidRPr="00427CF1">
          <w:rPr>
            <w:rStyle w:val="TextoNormalCaracter"/>
          </w:rPr>
          <w:t>143/2016</w:t>
        </w:r>
      </w:hyperlink>
      <w:r>
        <w:t xml:space="preserve">, f. 5; </w:t>
      </w:r>
      <w:hyperlink w:anchor="SENTENCIA_2016_180" w:history="1">
        <w:r w:rsidRPr="00427CF1">
          <w:rPr>
            <w:rStyle w:val="TextoNormalCaracter"/>
          </w:rPr>
          <w:t>180/2016</w:t>
        </w:r>
      </w:hyperlink>
      <w:r>
        <w:t>, ff. 1, 7, 8.</w:t>
      </w:r>
    </w:p>
    <w:p w:rsidR="00427CF1" w:rsidRDefault="00427CF1" w:rsidP="00427CF1">
      <w:pPr>
        <w:pStyle w:val="SangriaIzquierdaArticulo"/>
      </w:pPr>
      <w:r>
        <w:t xml:space="preserve">Autos </w:t>
      </w:r>
      <w:hyperlink w:anchor="AUTO_2016_157" w:history="1">
        <w:r w:rsidRPr="00427CF1">
          <w:rPr>
            <w:rStyle w:val="TextoNormalCaracter"/>
          </w:rPr>
          <w:t>157/2016</w:t>
        </w:r>
      </w:hyperlink>
      <w:r>
        <w:t xml:space="preserve">, f. 4; </w:t>
      </w:r>
      <w:hyperlink w:anchor="AUTO_2016_158" w:history="1">
        <w:r w:rsidRPr="00427CF1">
          <w:rPr>
            <w:rStyle w:val="TextoNormalCaracter"/>
          </w:rPr>
          <w:t>158/2016</w:t>
        </w:r>
      </w:hyperlink>
      <w:r>
        <w:t>, f. 4.</w:t>
      </w:r>
    </w:p>
    <w:p w:rsidR="00427CF1" w:rsidRDefault="00427CF1" w:rsidP="00427CF1">
      <w:pPr>
        <w:pStyle w:val="SangriaFrancesaArticulo"/>
      </w:pPr>
      <w:r w:rsidRPr="00427CF1">
        <w:rPr>
          <w:rStyle w:val="TextoNormalNegritaCaracter"/>
        </w:rPr>
        <w:t>Artículo 135</w:t>
      </w:r>
      <w:r>
        <w:t xml:space="preserve"> (redactado por la reforma constitucional de 27 de septiembre de 2011)</w:t>
      </w:r>
      <w:r w:rsidRPr="00427CF1">
        <w:rPr>
          <w:rStyle w:val="TextoNormalNegritaCaracter"/>
        </w:rPr>
        <w:t>.</w:t>
      </w:r>
      <w:r w:rsidRPr="00427CF1">
        <w:rPr>
          <w:rStyle w:val="TextoNormalCaracter"/>
        </w:rPr>
        <w:t>-</w:t>
      </w:r>
      <w:r>
        <w:t xml:space="preserve"> Sentencias </w:t>
      </w:r>
      <w:hyperlink w:anchor="SENTENCIA_2016_139" w:history="1">
        <w:r w:rsidRPr="00427CF1">
          <w:rPr>
            <w:rStyle w:val="TextoNormalCaracter"/>
          </w:rPr>
          <w:t>139/2016</w:t>
        </w:r>
      </w:hyperlink>
      <w:r>
        <w:t xml:space="preserve">, f. 12; </w:t>
      </w:r>
      <w:hyperlink w:anchor="SENTENCIA_2016_152" w:history="1">
        <w:r w:rsidRPr="00427CF1">
          <w:rPr>
            <w:rStyle w:val="TextoNormalCaracter"/>
          </w:rPr>
          <w:t>152/2016</w:t>
        </w:r>
      </w:hyperlink>
      <w:r>
        <w:t xml:space="preserve">, f. 5; </w:t>
      </w:r>
      <w:hyperlink w:anchor="SENTENCIA_2016_178" w:history="1">
        <w:r w:rsidRPr="00427CF1">
          <w:rPr>
            <w:rStyle w:val="TextoNormalCaracter"/>
          </w:rPr>
          <w:t>178/2016</w:t>
        </w:r>
      </w:hyperlink>
      <w:r>
        <w:t>, ff. 1 a 3.</w:t>
      </w:r>
    </w:p>
    <w:p w:rsidR="00427CF1" w:rsidRDefault="00427CF1" w:rsidP="00427CF1">
      <w:pPr>
        <w:pStyle w:val="SangriaFrancesaArticulo"/>
      </w:pPr>
      <w:r w:rsidRPr="00427CF1">
        <w:rPr>
          <w:rStyle w:val="TextoNormalNegritaCaracter"/>
        </w:rPr>
        <w:t>Artículo 135.1</w:t>
      </w:r>
      <w:r>
        <w:t xml:space="preserve"> (redactado por la reforma constitucional de 27 de septiembre de 2011)</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12.</w:t>
      </w:r>
    </w:p>
    <w:p w:rsidR="00427CF1" w:rsidRDefault="00427CF1" w:rsidP="00427CF1">
      <w:pPr>
        <w:pStyle w:val="SangriaFrancesaArticulo"/>
      </w:pPr>
      <w:r w:rsidRPr="00427CF1">
        <w:rPr>
          <w:rStyle w:val="TextoNormalNegritaCaracter"/>
        </w:rPr>
        <w:t>Artículo 135.3</w:t>
      </w:r>
      <w:r>
        <w:t xml:space="preserve"> (redactado por la reforma constitucional de 27 de septiembre de 2011)</w:t>
      </w:r>
      <w:r w:rsidRPr="00427CF1">
        <w:rPr>
          <w:rStyle w:val="TextoNormalNegritaCaracter"/>
        </w:rPr>
        <w:t>.</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135.5.</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137.</w:t>
      </w:r>
      <w:r w:rsidRPr="00427CF1">
        <w:rPr>
          <w:rStyle w:val="TextoNormalCaracter"/>
        </w:rPr>
        <w:t>-</w:t>
      </w:r>
      <w:r>
        <w:t xml:space="preserve"> Sentencias </w:t>
      </w:r>
      <w:hyperlink w:anchor="SENTENCIA_2016_128" w:history="1">
        <w:r w:rsidRPr="00427CF1">
          <w:rPr>
            <w:rStyle w:val="TextoNormalCaracter"/>
          </w:rPr>
          <w:t>128/2016</w:t>
        </w:r>
      </w:hyperlink>
      <w:r>
        <w:t xml:space="preserve">, f. 7; </w:t>
      </w:r>
      <w:hyperlink w:anchor="SENTENCIA_2016_152" w:history="1">
        <w:r w:rsidRPr="00427CF1">
          <w:rPr>
            <w:rStyle w:val="TextoNormalCaracter"/>
          </w:rPr>
          <w:t>152/2016</w:t>
        </w:r>
      </w:hyperlink>
      <w:r>
        <w:t xml:space="preserve">, ff. 4, 5; </w:t>
      </w:r>
      <w:hyperlink w:anchor="SENTENCIA_2016_156" w:history="1">
        <w:r w:rsidRPr="00427CF1">
          <w:rPr>
            <w:rStyle w:val="TextoNormalCaracter"/>
          </w:rPr>
          <w:t>156/2016</w:t>
        </w:r>
      </w:hyperlink>
      <w:r>
        <w:t xml:space="preserve">, ff. 2, 4; </w:t>
      </w:r>
      <w:hyperlink w:anchor="SENTENCIA_2016_168" w:history="1">
        <w:r w:rsidRPr="00427CF1">
          <w:rPr>
            <w:rStyle w:val="TextoNormalCaracter"/>
          </w:rPr>
          <w:t>168/2016</w:t>
        </w:r>
      </w:hyperlink>
      <w:r>
        <w:t xml:space="preserve">, ff. 2, 4; </w:t>
      </w:r>
      <w:hyperlink w:anchor="SENTENCIA_2016_180" w:history="1">
        <w:r w:rsidRPr="00427CF1">
          <w:rPr>
            <w:rStyle w:val="TextoNormalCaracter"/>
          </w:rPr>
          <w:t>180/2016</w:t>
        </w:r>
      </w:hyperlink>
      <w:r>
        <w:t xml:space="preserve">, ff. 1, 3, 7, 8; </w:t>
      </w:r>
      <w:hyperlink w:anchor="SENTENCIA_2016_215" w:history="1">
        <w:r w:rsidRPr="00427CF1">
          <w:rPr>
            <w:rStyle w:val="TextoNormalCaracter"/>
          </w:rPr>
          <w:t>215/2016</w:t>
        </w:r>
      </w:hyperlink>
      <w:r>
        <w:t xml:space="preserve">, ff. 1, 11; </w:t>
      </w:r>
      <w:hyperlink w:anchor="SENTENCIA_2016_228" w:history="1">
        <w:r w:rsidRPr="00427CF1">
          <w:rPr>
            <w:rStyle w:val="TextoNormalCaracter"/>
          </w:rPr>
          <w:t>228/2016</w:t>
        </w:r>
      </w:hyperlink>
      <w:r>
        <w:t>, f. 4.</w:t>
      </w:r>
    </w:p>
    <w:p w:rsidR="00427CF1" w:rsidRDefault="00427CF1" w:rsidP="00427CF1">
      <w:pPr>
        <w:pStyle w:val="SangriaIzquierdaArticulo"/>
      </w:pPr>
      <w:r>
        <w:t xml:space="preserve">Auto </w:t>
      </w:r>
      <w:hyperlink w:anchor="AUTO_2016_206" w:history="1">
        <w:r w:rsidRPr="00427CF1">
          <w:rPr>
            <w:rStyle w:val="TextoNormalCaracter"/>
          </w:rPr>
          <w:t>206/2016</w:t>
        </w:r>
      </w:hyperlink>
      <w:r>
        <w:t>, f. 1.</w:t>
      </w:r>
    </w:p>
    <w:p w:rsidR="00427CF1" w:rsidRDefault="00427CF1" w:rsidP="00427CF1">
      <w:pPr>
        <w:pStyle w:val="SangriaFrancesaArticulo"/>
      </w:pPr>
      <w:r w:rsidRPr="00427CF1">
        <w:rPr>
          <w:rStyle w:val="TextoNormalNegritaCaracter"/>
        </w:rPr>
        <w:t>Artículo 138.</w:t>
      </w:r>
      <w:r w:rsidRPr="00427CF1">
        <w:rPr>
          <w:rStyle w:val="TextoNormalCaracter"/>
        </w:rPr>
        <w:t>-</w:t>
      </w:r>
      <w:r>
        <w:t xml:space="preserve"> Sentencia </w:t>
      </w:r>
      <w:hyperlink w:anchor="SENTENCIA_2016_210" w:history="1">
        <w:r w:rsidRPr="00427CF1">
          <w:rPr>
            <w:rStyle w:val="TextoNormalCaracter"/>
          </w:rPr>
          <w:t>210/2016</w:t>
        </w:r>
      </w:hyperlink>
      <w:r>
        <w:t>, f. 7.</w:t>
      </w:r>
    </w:p>
    <w:p w:rsidR="00427CF1" w:rsidRDefault="00427CF1" w:rsidP="00427CF1">
      <w:pPr>
        <w:pStyle w:val="SangriaFrancesaArticulo"/>
      </w:pPr>
      <w:r w:rsidRPr="00427CF1">
        <w:rPr>
          <w:rStyle w:val="TextoNormalNegritaCaracter"/>
        </w:rPr>
        <w:t>Artículo 139.</w:t>
      </w:r>
      <w:r w:rsidRPr="00427CF1">
        <w:rPr>
          <w:rStyle w:val="TextoNormalCaracter"/>
        </w:rPr>
        <w:t>-</w:t>
      </w:r>
      <w:r>
        <w:t xml:space="preserve"> 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139.2.</w:t>
      </w:r>
      <w:r w:rsidRPr="00427CF1">
        <w:rPr>
          <w:rStyle w:val="TextoNormalCaracter"/>
        </w:rPr>
        <w:t>-</w:t>
      </w:r>
      <w:r>
        <w:t xml:space="preserve"> Sentencia </w:t>
      </w:r>
      <w:hyperlink w:anchor="SENTENCIA_2016_177" w:history="1">
        <w:r w:rsidRPr="00427CF1">
          <w:rPr>
            <w:rStyle w:val="TextoNormalCaracter"/>
          </w:rPr>
          <w:t>177/2016</w:t>
        </w:r>
      </w:hyperlink>
      <w:r>
        <w:t>, ff. 1, 2, 8.</w:t>
      </w:r>
    </w:p>
    <w:p w:rsidR="00427CF1" w:rsidRDefault="00427CF1" w:rsidP="00427CF1">
      <w:pPr>
        <w:pStyle w:val="SangriaFrancesaArticulo"/>
      </w:pPr>
      <w:r w:rsidRPr="00427CF1">
        <w:rPr>
          <w:rStyle w:val="TextoNormalNegritaCaracter"/>
        </w:rPr>
        <w:t>Artículo 140.</w:t>
      </w:r>
      <w:r w:rsidRPr="00427CF1">
        <w:rPr>
          <w:rStyle w:val="TextoNormalCaracter"/>
        </w:rPr>
        <w:t>-</w:t>
      </w:r>
      <w:r>
        <w:t xml:space="preserve"> Sentencias </w:t>
      </w:r>
      <w:hyperlink w:anchor="SENTENCIA_2016_128" w:history="1">
        <w:r w:rsidRPr="00427CF1">
          <w:rPr>
            <w:rStyle w:val="TextoNormalCaracter"/>
          </w:rPr>
          <w:t>128/2016</w:t>
        </w:r>
      </w:hyperlink>
      <w:r>
        <w:t xml:space="preserve">, f. 7; </w:t>
      </w:r>
      <w:hyperlink w:anchor="SENTENCIA_2016_152" w:history="1">
        <w:r w:rsidRPr="00427CF1">
          <w:rPr>
            <w:rStyle w:val="TextoNormalCaracter"/>
          </w:rPr>
          <w:t>152/2016</w:t>
        </w:r>
      </w:hyperlink>
      <w:r>
        <w:t xml:space="preserve">, ff. 4, 5; </w:t>
      </w:r>
      <w:hyperlink w:anchor="SENTENCIA_2016_168" w:history="1">
        <w:r w:rsidRPr="00427CF1">
          <w:rPr>
            <w:rStyle w:val="TextoNormalCaracter"/>
          </w:rPr>
          <w:t>168/2016</w:t>
        </w:r>
      </w:hyperlink>
      <w:r>
        <w:t xml:space="preserve">, ff. 2, 4; </w:t>
      </w:r>
      <w:hyperlink w:anchor="SENTENCIA_2016_180" w:history="1">
        <w:r w:rsidRPr="00427CF1">
          <w:rPr>
            <w:rStyle w:val="TextoNormalCaracter"/>
          </w:rPr>
          <w:t>180/2016</w:t>
        </w:r>
      </w:hyperlink>
      <w:r>
        <w:t xml:space="preserve">, ff. 1, 3, 7, 8; </w:t>
      </w:r>
      <w:hyperlink w:anchor="SENTENCIA_2016_191" w:history="1">
        <w:r w:rsidRPr="00427CF1">
          <w:rPr>
            <w:rStyle w:val="TextoNormalCaracter"/>
          </w:rPr>
          <w:t>191/2016</w:t>
        </w:r>
      </w:hyperlink>
      <w:r>
        <w:t>, f. 10.</w:t>
      </w:r>
    </w:p>
    <w:p w:rsidR="00427CF1" w:rsidRDefault="00427CF1" w:rsidP="00427CF1">
      <w:pPr>
        <w:pStyle w:val="SangriaIzquierdaArticulo"/>
      </w:pPr>
      <w:r>
        <w:t xml:space="preserve">Auto </w:t>
      </w:r>
      <w:hyperlink w:anchor="AUTO_2016_206" w:history="1">
        <w:r w:rsidRPr="00427CF1">
          <w:rPr>
            <w:rStyle w:val="TextoNormalCaracter"/>
          </w:rPr>
          <w:t>206/2016</w:t>
        </w:r>
      </w:hyperlink>
      <w:r>
        <w:t>, f. 1.</w:t>
      </w:r>
    </w:p>
    <w:p w:rsidR="00427CF1" w:rsidRDefault="00427CF1" w:rsidP="00427CF1">
      <w:pPr>
        <w:pStyle w:val="SangriaFrancesaArticulo"/>
      </w:pPr>
      <w:r w:rsidRPr="00427CF1">
        <w:rPr>
          <w:rStyle w:val="TextoNormalNegritaCaracter"/>
        </w:rPr>
        <w:t>Artículo 141.</w:t>
      </w:r>
      <w:r w:rsidRPr="00427CF1">
        <w:rPr>
          <w:rStyle w:val="TextoNormalCaracter"/>
        </w:rPr>
        <w:t>-</w:t>
      </w:r>
      <w:r>
        <w:t xml:space="preserve"> Sentencias </w:t>
      </w:r>
      <w:hyperlink w:anchor="SENTENCIA_2016_152" w:history="1">
        <w:r w:rsidRPr="00427CF1">
          <w:rPr>
            <w:rStyle w:val="TextoNormalCaracter"/>
          </w:rPr>
          <w:t>152/2016</w:t>
        </w:r>
      </w:hyperlink>
      <w:r>
        <w:t xml:space="preserve">, ff. 4, 5; </w:t>
      </w:r>
      <w:hyperlink w:anchor="SENTENCIA_2016_168" w:history="1">
        <w:r w:rsidRPr="00427CF1">
          <w:rPr>
            <w:rStyle w:val="TextoNormalCaracter"/>
          </w:rPr>
          <w:t>168/2016</w:t>
        </w:r>
      </w:hyperlink>
      <w:r>
        <w:t xml:space="preserve">, f. 2; </w:t>
      </w:r>
      <w:hyperlink w:anchor="SENTENCIA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141.2.</w:t>
      </w:r>
      <w:r w:rsidRPr="00427CF1">
        <w:rPr>
          <w:rStyle w:val="TextoNormalCaracter"/>
        </w:rPr>
        <w:t>-</w:t>
      </w:r>
      <w:r>
        <w:t xml:space="preserve"> Sentencias </w:t>
      </w:r>
      <w:hyperlink w:anchor="SENTENCIA_2016_128" w:history="1">
        <w:r w:rsidRPr="00427CF1">
          <w:rPr>
            <w:rStyle w:val="TextoNormalCaracter"/>
          </w:rPr>
          <w:t>128/2016</w:t>
        </w:r>
      </w:hyperlink>
      <w:r>
        <w:t xml:space="preserve">, f. 7;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141.3.</w:t>
      </w:r>
      <w:r w:rsidRPr="00427CF1">
        <w:rPr>
          <w:rStyle w:val="TextoNormalCaracter"/>
        </w:rPr>
        <w:t>-</w:t>
      </w:r>
      <w:r>
        <w:t xml:space="preserve"> Sentencia </w:t>
      </w:r>
      <w:hyperlink w:anchor="SENTENCIA_2016_177" w:history="1">
        <w:r w:rsidRPr="00427CF1">
          <w:rPr>
            <w:rStyle w:val="TextoNormalCaracter"/>
          </w:rPr>
          <w:t>177/2016</w:t>
        </w:r>
      </w:hyperlink>
      <w:r>
        <w:t>, f. 4.</w:t>
      </w:r>
    </w:p>
    <w:p w:rsidR="00427CF1" w:rsidRDefault="00427CF1" w:rsidP="00427CF1">
      <w:pPr>
        <w:pStyle w:val="SangriaFrancesaArticulo"/>
      </w:pPr>
      <w:r w:rsidRPr="00427CF1">
        <w:rPr>
          <w:rStyle w:val="TextoNormalNegritaCaracter"/>
        </w:rPr>
        <w:t>Artículo 141.4.</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142.</w:t>
      </w:r>
      <w:r w:rsidRPr="00427CF1">
        <w:rPr>
          <w:rStyle w:val="TextoNormalCaracter"/>
        </w:rPr>
        <w:t>-</w:t>
      </w:r>
      <w:r>
        <w:t xml:space="preserve"> Sentencias </w:t>
      </w:r>
      <w:hyperlink w:anchor="SENTENCIA_2016_152" w:history="1">
        <w:r w:rsidRPr="00427CF1">
          <w:rPr>
            <w:rStyle w:val="TextoNormalCaracter"/>
          </w:rPr>
          <w:t>152/2016</w:t>
        </w:r>
      </w:hyperlink>
      <w:r>
        <w:t xml:space="preserve">, f. 7; </w:t>
      </w:r>
      <w:hyperlink w:anchor="SENTENCIA_2016_156" w:history="1">
        <w:r w:rsidRPr="00427CF1">
          <w:rPr>
            <w:rStyle w:val="TextoNormalCaracter"/>
          </w:rPr>
          <w:t>156/2016</w:t>
        </w:r>
      </w:hyperlink>
      <w:r>
        <w:t xml:space="preserve">, f. 4; </w:t>
      </w:r>
      <w:hyperlink w:anchor="SENTENCIA_2016_180" w:history="1">
        <w:r w:rsidRPr="00427CF1">
          <w:rPr>
            <w:rStyle w:val="TextoNormalCaracter"/>
          </w:rPr>
          <w:t>180/2016</w:t>
        </w:r>
      </w:hyperlink>
      <w:r>
        <w:t>, f. 1.</w:t>
      </w:r>
    </w:p>
    <w:p w:rsidR="00427CF1" w:rsidRDefault="00427CF1" w:rsidP="00427CF1">
      <w:pPr>
        <w:pStyle w:val="SangriaIzquierdaArticulo"/>
      </w:pPr>
      <w:r>
        <w:t xml:space="preserve">Auto </w:t>
      </w:r>
      <w:hyperlink w:anchor="AUTO_2016_206" w:history="1">
        <w:r w:rsidRPr="00427CF1">
          <w:rPr>
            <w:rStyle w:val="TextoNormalCaracter"/>
          </w:rPr>
          <w:t>206/2016</w:t>
        </w:r>
      </w:hyperlink>
      <w:r>
        <w:t>, f. 1.</w:t>
      </w:r>
    </w:p>
    <w:p w:rsidR="00427CF1" w:rsidRDefault="00427CF1" w:rsidP="00427CF1">
      <w:pPr>
        <w:pStyle w:val="SangriaFrancesaArticulo"/>
      </w:pPr>
      <w:r w:rsidRPr="00427CF1">
        <w:rPr>
          <w:rStyle w:val="TextoNormalNegritaCaracter"/>
        </w:rPr>
        <w:t>Artículo 143.</w:t>
      </w:r>
      <w:r w:rsidRPr="00427CF1">
        <w:rPr>
          <w:rStyle w:val="TextoNormalCaracter"/>
        </w:rPr>
        <w:t>-</w:t>
      </w:r>
      <w:r>
        <w:t xml:space="preserve"> Sentencias </w:t>
      </w:r>
      <w:hyperlink w:anchor="SENTENCIA_2016_177" w:history="1">
        <w:r w:rsidRPr="00427CF1">
          <w:rPr>
            <w:rStyle w:val="TextoNormalCaracter"/>
          </w:rPr>
          <w:t>177/2016</w:t>
        </w:r>
      </w:hyperlink>
      <w:r>
        <w:t xml:space="preserve">, VP II; </w:t>
      </w:r>
      <w:hyperlink w:anchor="SENTENCIA_2016_185" w:history="1">
        <w:r w:rsidRPr="00427CF1">
          <w:rPr>
            <w:rStyle w:val="TextoNormalCaracter"/>
          </w:rPr>
          <w:t>185/2016</w:t>
        </w:r>
      </w:hyperlink>
      <w:r>
        <w:t>, f. 16.</w:t>
      </w:r>
    </w:p>
    <w:p w:rsidR="00427CF1" w:rsidRDefault="00427CF1" w:rsidP="00427CF1">
      <w:pPr>
        <w:pStyle w:val="SangriaFrancesaArticulo"/>
      </w:pPr>
      <w:r w:rsidRPr="00427CF1">
        <w:rPr>
          <w:rStyle w:val="TextoNormalNegritaCaracter"/>
        </w:rPr>
        <w:t>Artículo 147.1.</w:t>
      </w:r>
      <w:r w:rsidRPr="00427CF1">
        <w:rPr>
          <w:rStyle w:val="TextoNormalCaracter"/>
        </w:rPr>
        <w:t>-</w:t>
      </w:r>
      <w:r>
        <w:t xml:space="preserve"> Sentencia </w:t>
      </w:r>
      <w:hyperlink w:anchor="SENTENCIA_2016_168" w:history="1">
        <w:r w:rsidRPr="00427CF1">
          <w:rPr>
            <w:rStyle w:val="TextoNormalCaracter"/>
          </w:rPr>
          <w:t>168/2016</w:t>
        </w:r>
      </w:hyperlink>
      <w:r>
        <w:t>, f. 3.</w:t>
      </w:r>
    </w:p>
    <w:p w:rsidR="00427CF1" w:rsidRDefault="00427CF1" w:rsidP="00427CF1">
      <w:pPr>
        <w:pStyle w:val="SangriaFrancesaArticulo"/>
      </w:pPr>
      <w:r w:rsidRPr="00427CF1">
        <w:rPr>
          <w:rStyle w:val="TextoNormalNegritaCaracter"/>
        </w:rPr>
        <w:t>Artículo 147.2.</w:t>
      </w:r>
      <w:r w:rsidRPr="00427CF1">
        <w:rPr>
          <w:rStyle w:val="TextoNormalCaracter"/>
        </w:rPr>
        <w:t>-</w:t>
      </w:r>
      <w:r>
        <w:t xml:space="preserve"> Sentencia </w:t>
      </w:r>
      <w:hyperlink w:anchor="SENTENCIA_2016_168" w:history="1">
        <w:r w:rsidRPr="00427CF1">
          <w:rPr>
            <w:rStyle w:val="TextoNormalCaracter"/>
          </w:rPr>
          <w:t>168/2016</w:t>
        </w:r>
      </w:hyperlink>
      <w:r>
        <w:t>, ff. 3, 4.</w:t>
      </w:r>
    </w:p>
    <w:p w:rsidR="00427CF1" w:rsidRDefault="00427CF1" w:rsidP="00427CF1">
      <w:pPr>
        <w:pStyle w:val="SangriaFrancesaArticulo"/>
      </w:pPr>
      <w:r w:rsidRPr="00427CF1">
        <w:rPr>
          <w:rStyle w:val="TextoNormalNegritaCaracter"/>
        </w:rPr>
        <w:t>Artículo 148.1.1.</w:t>
      </w:r>
      <w:r w:rsidRPr="00427CF1">
        <w:rPr>
          <w:rStyle w:val="TextoNormalCaracter"/>
        </w:rPr>
        <w:t>-</w:t>
      </w:r>
      <w:r>
        <w:t xml:space="preserve"> Sentencia </w:t>
      </w:r>
      <w:hyperlink w:anchor="SENTENCIA_2016_180" w:history="1">
        <w:r w:rsidRPr="00427CF1">
          <w:rPr>
            <w:rStyle w:val="TextoNormalCaracter"/>
          </w:rPr>
          <w:t>180/2016</w:t>
        </w:r>
      </w:hyperlink>
      <w:r>
        <w:t>, f. 1.</w:t>
      </w:r>
    </w:p>
    <w:p w:rsidR="00427CF1" w:rsidRDefault="00427CF1" w:rsidP="00427CF1">
      <w:pPr>
        <w:pStyle w:val="SangriaFrancesaArticulo"/>
      </w:pPr>
      <w:r w:rsidRPr="00427CF1">
        <w:rPr>
          <w:rStyle w:val="TextoNormalNegritaCaracter"/>
        </w:rPr>
        <w:t>Artículo 148.1.2.</w:t>
      </w:r>
      <w:r w:rsidRPr="00427CF1">
        <w:rPr>
          <w:rStyle w:val="TextoNormalCaracter"/>
        </w:rPr>
        <w:t>-</w:t>
      </w:r>
      <w:r>
        <w:t xml:space="preserve"> Sentencia </w:t>
      </w:r>
      <w:hyperlink w:anchor="SENTENCIA_2016_180" w:history="1">
        <w:r w:rsidRPr="00427CF1">
          <w:rPr>
            <w:rStyle w:val="TextoNormalCaracter"/>
          </w:rPr>
          <w:t>180/2016</w:t>
        </w:r>
      </w:hyperlink>
      <w:r>
        <w:t>, f. 1.</w:t>
      </w:r>
    </w:p>
    <w:p w:rsidR="00427CF1" w:rsidRDefault="00427CF1" w:rsidP="00427CF1">
      <w:pPr>
        <w:pStyle w:val="SangriaFrancesaArticulo"/>
      </w:pPr>
      <w:r w:rsidRPr="00427CF1">
        <w:rPr>
          <w:rStyle w:val="TextoNormalNegritaCaracter"/>
        </w:rPr>
        <w:t>Artículo 148.1.3.</w:t>
      </w:r>
      <w:r w:rsidRPr="00427CF1">
        <w:rPr>
          <w:rStyle w:val="TextoNormalCaracter"/>
        </w:rPr>
        <w:t>-</w:t>
      </w:r>
      <w:r>
        <w:t xml:space="preserve"> Sentencia </w:t>
      </w:r>
      <w:hyperlink w:anchor="SENTENCIA_2016_170" w:history="1">
        <w:r w:rsidRPr="00427CF1">
          <w:rPr>
            <w:rStyle w:val="TextoNormalCaracter"/>
          </w:rPr>
          <w:t>170/2016</w:t>
        </w:r>
      </w:hyperlink>
      <w:r>
        <w:t>, f. 2.</w:t>
      </w:r>
    </w:p>
    <w:p w:rsidR="00427CF1" w:rsidRDefault="00427CF1" w:rsidP="00427CF1">
      <w:pPr>
        <w:pStyle w:val="SangriaFrancesaArticulo"/>
      </w:pPr>
      <w:r w:rsidRPr="00427CF1">
        <w:rPr>
          <w:rStyle w:val="TextoNormalNegritaCaracter"/>
        </w:rPr>
        <w:t>Artículo 148.1.20.</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Artículo 149.</w:t>
      </w:r>
      <w:r w:rsidRPr="00427CF1">
        <w:rPr>
          <w:rStyle w:val="TextoNormalCaracter"/>
        </w:rPr>
        <w:t>-</w:t>
      </w:r>
      <w:r>
        <w:t xml:space="preserve"> Sentencias </w:t>
      </w:r>
      <w:hyperlink w:anchor="SENTENCIA_2016_165" w:history="1">
        <w:r w:rsidRPr="00427CF1">
          <w:rPr>
            <w:rStyle w:val="TextoNormalCaracter"/>
          </w:rPr>
          <w:t>165/2016</w:t>
        </w:r>
      </w:hyperlink>
      <w:r>
        <w:t xml:space="preserve">, ff. 6, 7; </w:t>
      </w:r>
      <w:hyperlink w:anchor="SENTENCIA_2016_192" w:history="1">
        <w:r w:rsidRPr="00427CF1">
          <w:rPr>
            <w:rStyle w:val="TextoNormalCaracter"/>
          </w:rPr>
          <w:t>192/2016</w:t>
        </w:r>
      </w:hyperlink>
      <w:r>
        <w:t>, f. 2.</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149.1.</w:t>
      </w:r>
      <w:r w:rsidRPr="00427CF1">
        <w:rPr>
          <w:rStyle w:val="TextoNormalCaracter"/>
        </w:rPr>
        <w:t>-</w:t>
      </w:r>
      <w:r>
        <w:t xml:space="preserve"> Sentencias </w:t>
      </w:r>
      <w:hyperlink w:anchor="SENTENCIA_2016_128" w:history="1">
        <w:r w:rsidRPr="00427CF1">
          <w:rPr>
            <w:rStyle w:val="TextoNormalCaracter"/>
          </w:rPr>
          <w:t>128/2016</w:t>
        </w:r>
      </w:hyperlink>
      <w:r>
        <w:t xml:space="preserve">, f. 9; </w:t>
      </w:r>
      <w:hyperlink w:anchor="SENTENCIA_2016_158" w:history="1">
        <w:r w:rsidRPr="00427CF1">
          <w:rPr>
            <w:rStyle w:val="TextoNormalCaracter"/>
          </w:rPr>
          <w:t>158/2016</w:t>
        </w:r>
      </w:hyperlink>
      <w:r>
        <w:t xml:space="preserve">, f. 4; </w:t>
      </w:r>
      <w:hyperlink w:anchor="SENTENCIA_2016_165" w:history="1">
        <w:r w:rsidRPr="00427CF1">
          <w:rPr>
            <w:rStyle w:val="TextoNormalCaracter"/>
          </w:rPr>
          <w:t>165/2016</w:t>
        </w:r>
      </w:hyperlink>
      <w:r>
        <w:t xml:space="preserve">, ff. 1, 4; </w:t>
      </w:r>
      <w:hyperlink w:anchor="SENTENCIA_2016_177" w:history="1">
        <w:r w:rsidRPr="00427CF1">
          <w:rPr>
            <w:rStyle w:val="TextoNormalCaracter"/>
          </w:rPr>
          <w:t>177/2016</w:t>
        </w:r>
      </w:hyperlink>
      <w:r>
        <w:t xml:space="preserve">, VP I; </w:t>
      </w:r>
      <w:hyperlink w:anchor="SENTENCIA_2016_182" w:history="1">
        <w:r w:rsidRPr="00427CF1">
          <w:rPr>
            <w:rStyle w:val="TextoNormalCaracter"/>
          </w:rPr>
          <w:t>182/2016</w:t>
        </w:r>
      </w:hyperlink>
      <w:r>
        <w:t xml:space="preserve">, f. 4; </w:t>
      </w:r>
      <w:hyperlink w:anchor="SENTENCIA_2016_184" w:history="1">
        <w:r w:rsidRPr="00427CF1">
          <w:rPr>
            <w:rStyle w:val="TextoNormalCaracter"/>
          </w:rPr>
          <w:t>184/2016</w:t>
        </w:r>
      </w:hyperlink>
      <w:r>
        <w:t xml:space="preserve">, ff. 1, 3; </w:t>
      </w:r>
      <w:hyperlink w:anchor="SENTENCIA_2016_204" w:history="1">
        <w:r w:rsidRPr="00427CF1">
          <w:rPr>
            <w:rStyle w:val="TextoNormalCaracter"/>
          </w:rPr>
          <w:t>204/2016</w:t>
        </w:r>
      </w:hyperlink>
      <w:r>
        <w:t xml:space="preserve">, VP II; </w:t>
      </w:r>
      <w:hyperlink w:anchor="SENTENCIA_2016_205" w:history="1">
        <w:r w:rsidRPr="00427CF1">
          <w:rPr>
            <w:rStyle w:val="TextoNormalCaracter"/>
          </w:rPr>
          <w:t>205/2016</w:t>
        </w:r>
      </w:hyperlink>
      <w:r>
        <w:t xml:space="preserve">, f. 2; </w:t>
      </w:r>
      <w:hyperlink w:anchor="SENTENCIA_2016_214" w:history="1">
        <w:r w:rsidRPr="00427CF1">
          <w:rPr>
            <w:rStyle w:val="TextoNormalCaracter"/>
          </w:rPr>
          <w:t>214/2016</w:t>
        </w:r>
      </w:hyperlink>
      <w:r>
        <w:t>, f. 4.</w:t>
      </w:r>
    </w:p>
    <w:p w:rsidR="00427CF1" w:rsidRDefault="00427CF1" w:rsidP="00427CF1">
      <w:pPr>
        <w:pStyle w:val="SangriaFrancesaArticulo"/>
      </w:pPr>
      <w:r w:rsidRPr="00427CF1">
        <w:rPr>
          <w:rStyle w:val="TextoNormalNegritaCaracter"/>
        </w:rPr>
        <w:t>Artículo 149.1.1.</w:t>
      </w:r>
      <w:r w:rsidRPr="00427CF1">
        <w:rPr>
          <w:rStyle w:val="TextoNormalCaracter"/>
        </w:rPr>
        <w:t>-</w:t>
      </w:r>
      <w:r>
        <w:t xml:space="preserve"> Sentencias </w:t>
      </w:r>
      <w:hyperlink w:anchor="SENTENCIA_2016_128" w:history="1">
        <w:r w:rsidRPr="00427CF1">
          <w:rPr>
            <w:rStyle w:val="TextoNormalCaracter"/>
          </w:rPr>
          <w:t>128/2016</w:t>
        </w:r>
      </w:hyperlink>
      <w:r>
        <w:t xml:space="preserve">, f. 9; </w:t>
      </w:r>
      <w:hyperlink w:anchor="SENTENCIA_2016_142" w:history="1">
        <w:r w:rsidRPr="00427CF1">
          <w:rPr>
            <w:rStyle w:val="TextoNormalCaracter"/>
          </w:rPr>
          <w:t>142/2016</w:t>
        </w:r>
      </w:hyperlink>
      <w:r>
        <w:t xml:space="preserve">, ff. 3, 4, 10; </w:t>
      </w:r>
      <w:hyperlink w:anchor="SENTENCIA_2016_155" w:history="1">
        <w:r w:rsidRPr="00427CF1">
          <w:rPr>
            <w:rStyle w:val="TextoNormalCaracter"/>
          </w:rPr>
          <w:t>155/2016</w:t>
        </w:r>
      </w:hyperlink>
      <w:r>
        <w:t xml:space="preserve">, ff. 1, 7; </w:t>
      </w:r>
      <w:hyperlink w:anchor="SENTENCIA_2016_159" w:history="1">
        <w:r w:rsidRPr="00427CF1">
          <w:rPr>
            <w:rStyle w:val="TextoNormalCaracter"/>
          </w:rPr>
          <w:t>159/2016</w:t>
        </w:r>
      </w:hyperlink>
      <w:r>
        <w:t xml:space="preserve">, f. 2; </w:t>
      </w:r>
      <w:hyperlink w:anchor="SENTENCIA_2016_179" w:history="1">
        <w:r w:rsidRPr="00427CF1">
          <w:rPr>
            <w:rStyle w:val="TextoNormalCaracter"/>
          </w:rPr>
          <w:t>179/2016</w:t>
        </w:r>
      </w:hyperlink>
      <w:r>
        <w:t xml:space="preserve">, f. 3; </w:t>
      </w:r>
      <w:hyperlink w:anchor="SENTENCIA_2016_186" w:history="1">
        <w:r w:rsidRPr="00427CF1">
          <w:rPr>
            <w:rStyle w:val="TextoNormalCaracter"/>
          </w:rPr>
          <w:t>186/2016</w:t>
        </w:r>
      </w:hyperlink>
      <w:r>
        <w:t xml:space="preserve">, f. 3; </w:t>
      </w:r>
      <w:hyperlink w:anchor="SENTENCIA_2016_210" w:history="1">
        <w:r w:rsidRPr="00427CF1">
          <w:rPr>
            <w:rStyle w:val="TextoNormalCaracter"/>
          </w:rPr>
          <w:t>210/2016</w:t>
        </w:r>
      </w:hyperlink>
      <w:r>
        <w:t>, f. 5.</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f. 3.</w:t>
      </w:r>
    </w:p>
    <w:p w:rsidR="00427CF1" w:rsidRDefault="00427CF1" w:rsidP="00427CF1">
      <w:pPr>
        <w:pStyle w:val="SangriaFrancesaArticulo"/>
      </w:pPr>
      <w:r w:rsidRPr="00427CF1">
        <w:rPr>
          <w:rStyle w:val="TextoNormalNegritaCaracter"/>
        </w:rPr>
        <w:t>Artículo 149.1.2.</w:t>
      </w:r>
      <w:r w:rsidRPr="00427CF1">
        <w:rPr>
          <w:rStyle w:val="TextoNormalCaracter"/>
        </w:rPr>
        <w:t>-</w:t>
      </w:r>
      <w:r>
        <w:t xml:space="preserve"> Sentencias </w:t>
      </w:r>
      <w:hyperlink w:anchor="SENTENCIA_2016_179" w:history="1">
        <w:r w:rsidRPr="00427CF1">
          <w:rPr>
            <w:rStyle w:val="TextoNormalCaracter"/>
          </w:rPr>
          <w:t>179/2016</w:t>
        </w:r>
      </w:hyperlink>
      <w:r>
        <w:t xml:space="preserve">, f. 2; </w:t>
      </w:r>
      <w:hyperlink w:anchor="SENTENCIA_2016_183" w:history="1">
        <w:r w:rsidRPr="00427CF1">
          <w:rPr>
            <w:rStyle w:val="TextoNormalCaracter"/>
          </w:rPr>
          <w:t>183/2016</w:t>
        </w:r>
      </w:hyperlink>
      <w:r>
        <w:t>, f. 6.</w:t>
      </w:r>
    </w:p>
    <w:p w:rsidR="00427CF1" w:rsidRDefault="00427CF1" w:rsidP="00427CF1">
      <w:pPr>
        <w:pStyle w:val="SangriaFrancesaArticulo"/>
      </w:pPr>
      <w:r w:rsidRPr="00427CF1">
        <w:rPr>
          <w:rStyle w:val="TextoNormalNegritaCaracter"/>
        </w:rPr>
        <w:t>Artículo 149.1.3.</w:t>
      </w:r>
      <w:r w:rsidRPr="00427CF1">
        <w:rPr>
          <w:rStyle w:val="TextoNormalCaracter"/>
        </w:rPr>
        <w:t>-</w:t>
      </w:r>
      <w:r>
        <w:t xml:space="preserve"> Sentencia </w:t>
      </w:r>
      <w:hyperlink w:anchor="SENTENCIA_2016_228" w:history="1">
        <w:r w:rsidRPr="00427CF1">
          <w:rPr>
            <w:rStyle w:val="TextoNormalCaracter"/>
          </w:rPr>
          <w:t>228/2016</w:t>
        </w:r>
      </w:hyperlink>
      <w:r>
        <w:t>, ff. 1, 2, 4 a 11, VP I, VP II.</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149.1.4.</w:t>
      </w:r>
      <w:r w:rsidRPr="00427CF1">
        <w:rPr>
          <w:rStyle w:val="TextoNormalCaracter"/>
        </w:rPr>
        <w:t>-</w:t>
      </w:r>
      <w:r>
        <w:t xml:space="preserve"> Sentencias </w:t>
      </w:r>
      <w:hyperlink w:anchor="SENTENCIA_2016_128" w:history="1">
        <w:r w:rsidRPr="00427CF1">
          <w:rPr>
            <w:rStyle w:val="TextoNormalCaracter"/>
          </w:rPr>
          <w:t>128/2016</w:t>
        </w:r>
      </w:hyperlink>
      <w:r>
        <w:t xml:space="preserve">, f. 2; </w:t>
      </w:r>
      <w:hyperlink w:anchor="SENTENCIA_2016_165" w:history="1">
        <w:r w:rsidRPr="00427CF1">
          <w:rPr>
            <w:rStyle w:val="TextoNormalCaracter"/>
          </w:rPr>
          <w:t>165/2016</w:t>
        </w:r>
      </w:hyperlink>
      <w:r>
        <w:t xml:space="preserve">, f. 7; </w:t>
      </w:r>
      <w:hyperlink w:anchor="SENTENCIA_2016_184" w:history="1">
        <w:r w:rsidRPr="00427CF1">
          <w:rPr>
            <w:rStyle w:val="TextoNormalCaracter"/>
          </w:rPr>
          <w:t>184/2016</w:t>
        </w:r>
      </w:hyperlink>
      <w:r>
        <w:t>, ff. 1, 3, 4, 7.</w:t>
      </w:r>
    </w:p>
    <w:p w:rsidR="00427CF1" w:rsidRDefault="00427CF1" w:rsidP="00427CF1">
      <w:pPr>
        <w:pStyle w:val="SangriaFrancesaArticulo"/>
      </w:pPr>
      <w:r w:rsidRPr="00427CF1">
        <w:rPr>
          <w:rStyle w:val="TextoNormalNegritaCaracter"/>
        </w:rPr>
        <w:t>Artículo 149.1.5.</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149.1.6.</w:t>
      </w:r>
      <w:r w:rsidRPr="00427CF1">
        <w:rPr>
          <w:rStyle w:val="TextoNormalCaracter"/>
        </w:rPr>
        <w:t>-</w:t>
      </w:r>
      <w:r>
        <w:t xml:space="preserve"> Sentencia </w:t>
      </w:r>
      <w:hyperlink w:anchor="SENTENCIA_2016_211" w:history="1">
        <w:r w:rsidRPr="00427CF1">
          <w:rPr>
            <w:rStyle w:val="TextoNormalCaracter"/>
          </w:rPr>
          <w:t>211/2016</w:t>
        </w:r>
      </w:hyperlink>
      <w:r>
        <w:t>, f. 1.</w:t>
      </w:r>
    </w:p>
    <w:p w:rsidR="00427CF1" w:rsidRDefault="00427CF1" w:rsidP="00427CF1">
      <w:pPr>
        <w:pStyle w:val="SangriaIzquierdaArticulo"/>
      </w:pPr>
      <w:r>
        <w:t xml:space="preserve">Auto </w:t>
      </w:r>
      <w:hyperlink w:anchor="AUTO_2016_175" w:history="1">
        <w:r w:rsidRPr="00427CF1">
          <w:rPr>
            <w:rStyle w:val="TextoNormalCaracter"/>
          </w:rPr>
          <w:t>175/2016</w:t>
        </w:r>
      </w:hyperlink>
      <w:r>
        <w:t>, f. 1.</w:t>
      </w:r>
    </w:p>
    <w:p w:rsidR="00427CF1" w:rsidRDefault="00427CF1" w:rsidP="00427CF1">
      <w:pPr>
        <w:pStyle w:val="SangriaFrancesaArticulo"/>
      </w:pPr>
      <w:r w:rsidRPr="00427CF1">
        <w:rPr>
          <w:rStyle w:val="TextoNormalNegritaCaracter"/>
        </w:rPr>
        <w:t>Artículo 149.1.7.</w:t>
      </w:r>
      <w:r w:rsidRPr="00427CF1">
        <w:rPr>
          <w:rStyle w:val="TextoNormalCaracter"/>
        </w:rPr>
        <w:t>-</w:t>
      </w:r>
      <w:r>
        <w:t xml:space="preserve"> Sentencias </w:t>
      </w:r>
      <w:hyperlink w:anchor="SENTENCIA_2016_158" w:history="1">
        <w:r w:rsidRPr="00427CF1">
          <w:rPr>
            <w:rStyle w:val="TextoNormalCaracter"/>
          </w:rPr>
          <w:t>158/2016</w:t>
        </w:r>
      </w:hyperlink>
      <w:r>
        <w:t xml:space="preserve">, ff. 1 a 6; </w:t>
      </w:r>
      <w:hyperlink w:anchor="SENTENCIA_2016_159" w:history="1">
        <w:r w:rsidRPr="00427CF1">
          <w:rPr>
            <w:rStyle w:val="TextoNormalCaracter"/>
          </w:rPr>
          <w:t>159/2016</w:t>
        </w:r>
      </w:hyperlink>
      <w:r>
        <w:t xml:space="preserve">, ff. 1, 2, 5, 6, 8; </w:t>
      </w:r>
      <w:hyperlink w:anchor="SENTENCIA_2016_179" w:history="1">
        <w:r w:rsidRPr="00427CF1">
          <w:rPr>
            <w:rStyle w:val="TextoNormalCaracter"/>
          </w:rPr>
          <w:t>179/2016</w:t>
        </w:r>
      </w:hyperlink>
      <w:r>
        <w:t>, f. 2.</w:t>
      </w:r>
    </w:p>
    <w:p w:rsidR="00427CF1" w:rsidRDefault="00427CF1" w:rsidP="00427CF1">
      <w:pPr>
        <w:pStyle w:val="SangriaIzquierdaArticulo"/>
      </w:pPr>
      <w:r>
        <w:t xml:space="preserve">Auto </w:t>
      </w:r>
      <w:hyperlink w:anchor="AUTO_2016_145" w:history="1">
        <w:r w:rsidRPr="00427CF1">
          <w:rPr>
            <w:rStyle w:val="TextoNormalCaracter"/>
          </w:rPr>
          <w:t>145/2016</w:t>
        </w:r>
      </w:hyperlink>
      <w:r>
        <w:t>, f. 1.</w:t>
      </w:r>
    </w:p>
    <w:p w:rsidR="00427CF1" w:rsidRDefault="00427CF1" w:rsidP="00427CF1">
      <w:pPr>
        <w:pStyle w:val="SangriaFrancesaArticulo"/>
      </w:pPr>
      <w:r w:rsidRPr="00427CF1">
        <w:rPr>
          <w:rStyle w:val="TextoNormalNegritaCaracter"/>
        </w:rPr>
        <w:t>Artículo 149.1.8.</w:t>
      </w:r>
      <w:r w:rsidRPr="00427CF1">
        <w:rPr>
          <w:rStyle w:val="TextoNormalCaracter"/>
        </w:rPr>
        <w:t>-</w:t>
      </w:r>
      <w:r>
        <w:t xml:space="preserve"> Sentencia </w:t>
      </w:r>
      <w:hyperlink w:anchor="SENTENCIA_2016_192" w:history="1">
        <w:r w:rsidRPr="00427CF1">
          <w:rPr>
            <w:rStyle w:val="TextoNormalCaracter"/>
          </w:rPr>
          <w:t>192/2016</w:t>
        </w:r>
      </w:hyperlink>
      <w:r>
        <w:t>, ff. 1 a 4.</w:t>
      </w:r>
    </w:p>
    <w:p w:rsidR="00427CF1" w:rsidRDefault="00427CF1" w:rsidP="00427CF1">
      <w:pPr>
        <w:pStyle w:val="SangriaFrancesaArticulo"/>
      </w:pPr>
      <w:r w:rsidRPr="00427CF1">
        <w:rPr>
          <w:rStyle w:val="TextoNormalNegritaCaracter"/>
        </w:rPr>
        <w:t>Artículo 149.1.11.</w:t>
      </w:r>
      <w:r w:rsidRPr="00427CF1">
        <w:rPr>
          <w:rStyle w:val="TextoNormalCaracter"/>
        </w:rPr>
        <w:t>-</w:t>
      </w:r>
      <w:r>
        <w:t xml:space="preserve"> Sentencia </w:t>
      </w:r>
      <w:hyperlink w:anchor="SENTENCIA_2016_165" w:history="1">
        <w:r w:rsidRPr="00427CF1">
          <w:rPr>
            <w:rStyle w:val="TextoNormalCaracter"/>
          </w:rPr>
          <w:t>165/2016</w:t>
        </w:r>
      </w:hyperlink>
      <w:r>
        <w:t>, VP.</w:t>
      </w:r>
    </w:p>
    <w:p w:rsidR="00427CF1" w:rsidRDefault="00427CF1" w:rsidP="00427CF1">
      <w:pPr>
        <w:pStyle w:val="SangriaFrancesaArticulo"/>
      </w:pPr>
      <w:r w:rsidRPr="00427CF1">
        <w:rPr>
          <w:rStyle w:val="TextoNormalNegritaCaracter"/>
        </w:rPr>
        <w:t>Artículo 149.1.13.</w:t>
      </w:r>
      <w:r w:rsidRPr="00427CF1">
        <w:rPr>
          <w:rStyle w:val="TextoNormalCaracter"/>
        </w:rPr>
        <w:t>-</w:t>
      </w:r>
      <w:r>
        <w:t xml:space="preserve"> Sentencias </w:t>
      </w:r>
      <w:hyperlink w:anchor="SENTENCIA_2016_128" w:history="1">
        <w:r w:rsidRPr="00427CF1">
          <w:rPr>
            <w:rStyle w:val="TextoNormalCaracter"/>
          </w:rPr>
          <w:t>128/2016</w:t>
        </w:r>
      </w:hyperlink>
      <w:r>
        <w:t xml:space="preserve">, ff. 3, 10; </w:t>
      </w:r>
      <w:hyperlink w:anchor="SENTENCIA_2016_139" w:history="1">
        <w:r w:rsidRPr="00427CF1">
          <w:rPr>
            <w:rStyle w:val="TextoNormalCaracter"/>
          </w:rPr>
          <w:t>139/2016</w:t>
        </w:r>
      </w:hyperlink>
      <w:r>
        <w:t xml:space="preserve">, f. 12; </w:t>
      </w:r>
      <w:hyperlink w:anchor="SENTENCIA_2016_141" w:history="1">
        <w:r w:rsidRPr="00427CF1">
          <w:rPr>
            <w:rStyle w:val="TextoNormalCaracter"/>
          </w:rPr>
          <w:t>141/2016</w:t>
        </w:r>
      </w:hyperlink>
      <w:r>
        <w:t xml:space="preserve">, ff. 1, 2, 5; </w:t>
      </w:r>
      <w:hyperlink w:anchor="SENTENCIA_2016_142" w:history="1">
        <w:r w:rsidRPr="00427CF1">
          <w:rPr>
            <w:rStyle w:val="TextoNormalCaracter"/>
          </w:rPr>
          <w:t>142/2016</w:t>
        </w:r>
      </w:hyperlink>
      <w:r>
        <w:t xml:space="preserve">, ff. 1 a 3, 5, 9, 11, 12, 13; </w:t>
      </w:r>
      <w:hyperlink w:anchor="SENTENCIA_2016_157" w:history="1">
        <w:r w:rsidRPr="00427CF1">
          <w:rPr>
            <w:rStyle w:val="TextoNormalCaracter"/>
          </w:rPr>
          <w:t>157/2016</w:t>
        </w:r>
      </w:hyperlink>
      <w:r>
        <w:t xml:space="preserve">, ff. 1, 2, 8, 9; </w:t>
      </w:r>
      <w:hyperlink w:anchor="SENTENCIA_2016_158" w:history="1">
        <w:r w:rsidRPr="00427CF1">
          <w:rPr>
            <w:rStyle w:val="TextoNormalCaracter"/>
          </w:rPr>
          <w:t>158/2016</w:t>
        </w:r>
      </w:hyperlink>
      <w:r>
        <w:t xml:space="preserve">, ff. 1, 3; </w:t>
      </w:r>
      <w:hyperlink w:anchor="SENTENCIA_2016_164" w:history="1">
        <w:r w:rsidRPr="00427CF1">
          <w:rPr>
            <w:rStyle w:val="TextoNormalCaracter"/>
          </w:rPr>
          <w:t>164/2016</w:t>
        </w:r>
      </w:hyperlink>
      <w:r>
        <w:t xml:space="preserve">, ff. 1, 4, 7; </w:t>
      </w:r>
      <w:hyperlink w:anchor="SENTENCIA_2016_165" w:history="1">
        <w:r w:rsidRPr="00427CF1">
          <w:rPr>
            <w:rStyle w:val="TextoNormalCaracter"/>
          </w:rPr>
          <w:t>165/2016</w:t>
        </w:r>
      </w:hyperlink>
      <w:r>
        <w:t xml:space="preserve">, ff. 1, 6, 12; </w:t>
      </w:r>
      <w:hyperlink w:anchor="SENTENCIA_2016_171" w:history="1">
        <w:r w:rsidRPr="00427CF1">
          <w:rPr>
            <w:rStyle w:val="TextoNormalCaracter"/>
          </w:rPr>
          <w:t>171/2016</w:t>
        </w:r>
      </w:hyperlink>
      <w:r>
        <w:t xml:space="preserve">, ff. 1, 3, 4, 7; </w:t>
      </w:r>
      <w:hyperlink w:anchor="SENTENCIA_2016_177" w:history="1">
        <w:r w:rsidRPr="00427CF1">
          <w:rPr>
            <w:rStyle w:val="TextoNormalCaracter"/>
          </w:rPr>
          <w:t>177/2016</w:t>
        </w:r>
      </w:hyperlink>
      <w:r>
        <w:t xml:space="preserve">, ff. 1, 2, 8, VP I; </w:t>
      </w:r>
      <w:hyperlink w:anchor="SENTENCIA_2016_178" w:history="1">
        <w:r w:rsidRPr="00427CF1">
          <w:rPr>
            <w:rStyle w:val="TextoNormalCaracter"/>
          </w:rPr>
          <w:t>178/2016</w:t>
        </w:r>
      </w:hyperlink>
      <w:r>
        <w:t xml:space="preserve">, ff. 1 a 3; </w:t>
      </w:r>
      <w:hyperlink w:anchor="SENTENCIA_2016_179" w:history="1">
        <w:r w:rsidRPr="00427CF1">
          <w:rPr>
            <w:rStyle w:val="TextoNormalCaracter"/>
          </w:rPr>
          <w:t>179/2016</w:t>
        </w:r>
      </w:hyperlink>
      <w:r>
        <w:t xml:space="preserve">, ff. 2, 3; </w:t>
      </w:r>
      <w:hyperlink w:anchor="SENTENCIA_2016_186" w:history="1">
        <w:r w:rsidRPr="00427CF1">
          <w:rPr>
            <w:rStyle w:val="TextoNormalCaracter"/>
          </w:rPr>
          <w:t>186/2016</w:t>
        </w:r>
      </w:hyperlink>
      <w:r>
        <w:t xml:space="preserve">, f. 1; </w:t>
      </w:r>
      <w:hyperlink w:anchor="SENTENCIA_2016_190" w:history="1">
        <w:r w:rsidRPr="00427CF1">
          <w:rPr>
            <w:rStyle w:val="TextoNormalCaracter"/>
          </w:rPr>
          <w:t>190/2016</w:t>
        </w:r>
      </w:hyperlink>
      <w:r>
        <w:t xml:space="preserve">, f. 1; </w:t>
      </w:r>
      <w:hyperlink w:anchor="SENTENCIA_2016_193" w:history="1">
        <w:r w:rsidRPr="00427CF1">
          <w:rPr>
            <w:rStyle w:val="TextoNormalCaracter"/>
          </w:rPr>
          <w:t>193/2016</w:t>
        </w:r>
      </w:hyperlink>
      <w:r>
        <w:t xml:space="preserve">, ff. 1 a 3, 5; </w:t>
      </w:r>
      <w:hyperlink w:anchor="SENTENCIA_2016_194" w:history="1">
        <w:r w:rsidRPr="00427CF1">
          <w:rPr>
            <w:rStyle w:val="TextoNormalCaracter"/>
          </w:rPr>
          <w:t>194/2016</w:t>
        </w:r>
      </w:hyperlink>
      <w:r>
        <w:t xml:space="preserve">, ff. 2, 3; </w:t>
      </w:r>
      <w:hyperlink w:anchor="SENTENCIA_2016_195" w:history="1">
        <w:r w:rsidRPr="00427CF1">
          <w:rPr>
            <w:rStyle w:val="TextoNormalCaracter"/>
          </w:rPr>
          <w:t>195/2016</w:t>
        </w:r>
      </w:hyperlink>
      <w:r>
        <w:t xml:space="preserve">, f. 4; </w:t>
      </w:r>
      <w:hyperlink w:anchor="SENTENCIA_2016_205" w:history="1">
        <w:r w:rsidRPr="00427CF1">
          <w:rPr>
            <w:rStyle w:val="TextoNormalCaracter"/>
          </w:rPr>
          <w:t>205/2016</w:t>
        </w:r>
      </w:hyperlink>
      <w:r>
        <w:t xml:space="preserve">, ff. 1 a 4; </w:t>
      </w:r>
      <w:hyperlink w:anchor="SENTENCIA_2016_211" w:history="1">
        <w:r w:rsidRPr="00427CF1">
          <w:rPr>
            <w:rStyle w:val="TextoNormalCaracter"/>
          </w:rPr>
          <w:t>211/2016</w:t>
        </w:r>
      </w:hyperlink>
      <w:r>
        <w:t xml:space="preserve">, ff. 1, 6, 7, 9; </w:t>
      </w:r>
      <w:hyperlink w:anchor="SENTENCIA_2016_214" w:history="1">
        <w:r w:rsidRPr="00427CF1">
          <w:rPr>
            <w:rStyle w:val="TextoNormalCaracter"/>
          </w:rPr>
          <w:t>214/2016</w:t>
        </w:r>
      </w:hyperlink>
      <w:r>
        <w:t>, ff. 1, 3.</w:t>
      </w:r>
    </w:p>
    <w:p w:rsidR="00427CF1" w:rsidRDefault="00427CF1" w:rsidP="00427CF1">
      <w:pPr>
        <w:pStyle w:val="SangriaIzquierdaArticulo"/>
      </w:pPr>
      <w:r>
        <w:t xml:space="preserve">Autos </w:t>
      </w:r>
      <w:hyperlink w:anchor="AUTO_2016_140" w:history="1">
        <w:r w:rsidRPr="00427CF1">
          <w:rPr>
            <w:rStyle w:val="TextoNormalCaracter"/>
          </w:rPr>
          <w:t>140/2016</w:t>
        </w:r>
      </w:hyperlink>
      <w:r>
        <w:t xml:space="preserve">, f. 3; </w:t>
      </w:r>
      <w:hyperlink w:anchor="AUTO_2016_145" w:history="1">
        <w:r w:rsidRPr="00427CF1">
          <w:rPr>
            <w:rStyle w:val="TextoNormalCaracter"/>
          </w:rPr>
          <w:t>145/2016</w:t>
        </w:r>
      </w:hyperlink>
      <w:r>
        <w:t xml:space="preserve">, ff. 1, 3, 4; </w:t>
      </w:r>
      <w:hyperlink w:anchor="AUTO_2016_159" w:history="1">
        <w:r w:rsidRPr="00427CF1">
          <w:rPr>
            <w:rStyle w:val="TextoNormalCaracter"/>
          </w:rPr>
          <w:t>159/2016</w:t>
        </w:r>
      </w:hyperlink>
      <w:r>
        <w:t xml:space="preserve">, f. 1; </w:t>
      </w:r>
      <w:hyperlink w:anchor="AUTO_2016_171" w:history="1">
        <w:r w:rsidRPr="00427CF1">
          <w:rPr>
            <w:rStyle w:val="TextoNormalCaracter"/>
          </w:rPr>
          <w:t>171/2016</w:t>
        </w:r>
      </w:hyperlink>
      <w:r>
        <w:t xml:space="preserve">, f. 1; </w:t>
      </w:r>
      <w:hyperlink w:anchor="AUTO_2016_182" w:history="1">
        <w:r w:rsidRPr="00427CF1">
          <w:rPr>
            <w:rStyle w:val="TextoNormalCaracter"/>
          </w:rPr>
          <w:t>182/2016</w:t>
        </w:r>
      </w:hyperlink>
      <w:r>
        <w:t>, f. 1.</w:t>
      </w:r>
    </w:p>
    <w:p w:rsidR="00427CF1" w:rsidRDefault="00427CF1" w:rsidP="00427CF1">
      <w:pPr>
        <w:pStyle w:val="SangriaFrancesaArticulo"/>
      </w:pPr>
      <w:r w:rsidRPr="00427CF1">
        <w:rPr>
          <w:rStyle w:val="TextoNormalNegritaCaracter"/>
        </w:rPr>
        <w:t>Artículo 149.1.14.</w:t>
      </w:r>
      <w:r w:rsidRPr="00427CF1">
        <w:rPr>
          <w:rStyle w:val="TextoNormalCaracter"/>
        </w:rPr>
        <w:t>-</w:t>
      </w:r>
      <w:r>
        <w:t xml:space="preserve"> Sentencias </w:t>
      </w:r>
      <w:hyperlink w:anchor="SENTENCIA_2016_128" w:history="1">
        <w:r w:rsidRPr="00427CF1">
          <w:rPr>
            <w:rStyle w:val="TextoNormalCaracter"/>
          </w:rPr>
          <w:t>128/2016</w:t>
        </w:r>
      </w:hyperlink>
      <w:r>
        <w:t xml:space="preserve">, ff. 6, 7; </w:t>
      </w:r>
      <w:hyperlink w:anchor="SENTENCIA_2016_152" w:history="1">
        <w:r w:rsidRPr="00427CF1">
          <w:rPr>
            <w:rStyle w:val="TextoNormalCaracter"/>
          </w:rPr>
          <w:t>152/2016</w:t>
        </w:r>
      </w:hyperlink>
      <w:r>
        <w:t xml:space="preserve">, f. 7; </w:t>
      </w:r>
      <w:hyperlink w:anchor="SENTENCIA_2016_156" w:history="1">
        <w:r w:rsidRPr="00427CF1">
          <w:rPr>
            <w:rStyle w:val="TextoNormalCaracter"/>
          </w:rPr>
          <w:t>156/2016</w:t>
        </w:r>
      </w:hyperlink>
      <w:r>
        <w:t xml:space="preserve">, f. 4; </w:t>
      </w:r>
      <w:hyperlink w:anchor="SENTENCIA_2016_180" w:history="1">
        <w:r w:rsidRPr="00427CF1">
          <w:rPr>
            <w:rStyle w:val="TextoNormalCaracter"/>
          </w:rPr>
          <w:t>180/2016</w:t>
        </w:r>
      </w:hyperlink>
      <w:r>
        <w:t>, ff. 4, 5.</w:t>
      </w:r>
    </w:p>
    <w:p w:rsidR="00427CF1" w:rsidRDefault="00427CF1" w:rsidP="00427CF1">
      <w:pPr>
        <w:pStyle w:val="SangriaFrancesaArticulo"/>
      </w:pPr>
      <w:r w:rsidRPr="00427CF1">
        <w:rPr>
          <w:rStyle w:val="TextoNormalNegritaCaracter"/>
        </w:rPr>
        <w:t>Artículo 149.1.16.</w:t>
      </w:r>
      <w:r w:rsidRPr="00427CF1">
        <w:rPr>
          <w:rStyle w:val="TextoNormalCaracter"/>
        </w:rPr>
        <w:t>-</w:t>
      </w:r>
      <w:r>
        <w:t xml:space="preserve"> Sentencias </w:t>
      </w:r>
      <w:hyperlink w:anchor="SENTENCIA_2016_142" w:history="1">
        <w:r w:rsidRPr="00427CF1">
          <w:rPr>
            <w:rStyle w:val="TextoNormalCaracter"/>
          </w:rPr>
          <w:t>142/2016</w:t>
        </w:r>
      </w:hyperlink>
      <w:r>
        <w:t xml:space="preserve">, f. 3; </w:t>
      </w:r>
      <w:hyperlink w:anchor="SENTENCIA_2016_183" w:history="1">
        <w:r w:rsidRPr="00427CF1">
          <w:rPr>
            <w:rStyle w:val="TextoNormalCaracter"/>
          </w:rPr>
          <w:t>183/2016</w:t>
        </w:r>
      </w:hyperlink>
      <w:r>
        <w:t xml:space="preserve">, ff. 4, 6; </w:t>
      </w:r>
      <w:hyperlink w:anchor="SENTENCIA_2016_210" w:history="1">
        <w:r w:rsidRPr="00427CF1">
          <w:rPr>
            <w:rStyle w:val="TextoNormalCaracter"/>
          </w:rPr>
          <w:t>210/2016</w:t>
        </w:r>
      </w:hyperlink>
      <w:r>
        <w:t>, ff. 5 a 7.</w:t>
      </w:r>
    </w:p>
    <w:p w:rsidR="00427CF1" w:rsidRDefault="00427CF1" w:rsidP="00427CF1">
      <w:pPr>
        <w:pStyle w:val="SangriaFrancesaArticulo"/>
      </w:pPr>
      <w:r w:rsidRPr="00427CF1">
        <w:rPr>
          <w:rStyle w:val="TextoNormalNegritaCaracter"/>
        </w:rPr>
        <w:t>Artículo 149.1.17.</w:t>
      </w:r>
      <w:r w:rsidRPr="00427CF1">
        <w:rPr>
          <w:rStyle w:val="TextoNormalCaracter"/>
        </w:rPr>
        <w:t>-</w:t>
      </w:r>
      <w:r>
        <w:t xml:space="preserve"> Sentencias </w:t>
      </w:r>
      <w:hyperlink w:anchor="SENTENCIA_2016_128" w:history="1">
        <w:r w:rsidRPr="00427CF1">
          <w:rPr>
            <w:rStyle w:val="TextoNormalCaracter"/>
          </w:rPr>
          <w:t>128/2016</w:t>
        </w:r>
      </w:hyperlink>
      <w:r>
        <w:t xml:space="preserve">, f. 9; </w:t>
      </w:r>
      <w:hyperlink w:anchor="SENTENCIA_2016_179" w:history="1">
        <w:r w:rsidRPr="00427CF1">
          <w:rPr>
            <w:rStyle w:val="TextoNormalCaracter"/>
          </w:rPr>
          <w:t>179/2016</w:t>
        </w:r>
      </w:hyperlink>
      <w:r>
        <w:t xml:space="preserve">, f. 3; </w:t>
      </w:r>
      <w:hyperlink w:anchor="SENTENCIA_2016_183" w:history="1">
        <w:r w:rsidRPr="00427CF1">
          <w:rPr>
            <w:rStyle w:val="TextoNormalCaracter"/>
          </w:rPr>
          <w:t>183/2016</w:t>
        </w:r>
      </w:hyperlink>
      <w:r>
        <w:t xml:space="preserve">, f. 6; </w:t>
      </w:r>
      <w:hyperlink w:anchor="SENTENCIA_2016_210" w:history="1">
        <w:r w:rsidRPr="00427CF1">
          <w:rPr>
            <w:rStyle w:val="TextoNormalCaracter"/>
          </w:rPr>
          <w:t>210/2016</w:t>
        </w:r>
      </w:hyperlink>
      <w:r>
        <w:t>, f. 5.</w:t>
      </w:r>
    </w:p>
    <w:p w:rsidR="00427CF1" w:rsidRDefault="00427CF1" w:rsidP="00427CF1">
      <w:pPr>
        <w:pStyle w:val="SangriaFrancesaArticulo"/>
      </w:pPr>
      <w:r w:rsidRPr="00427CF1">
        <w:rPr>
          <w:rStyle w:val="TextoNormalNegritaCaracter"/>
        </w:rPr>
        <w:t>Artículo 149.1.18.</w:t>
      </w:r>
      <w:r w:rsidRPr="00427CF1">
        <w:rPr>
          <w:rStyle w:val="TextoNormalCaracter"/>
        </w:rPr>
        <w:t>-</w:t>
      </w:r>
      <w:r>
        <w:t xml:space="preserve"> Sentencias </w:t>
      </w:r>
      <w:hyperlink w:anchor="SENTENCIA_2016_127" w:history="1">
        <w:r w:rsidRPr="00427CF1">
          <w:rPr>
            <w:rStyle w:val="TextoNormalCaracter"/>
          </w:rPr>
          <w:t>127/2016</w:t>
        </w:r>
      </w:hyperlink>
      <w:r>
        <w:t xml:space="preserve">, f. 1; </w:t>
      </w:r>
      <w:hyperlink w:anchor="SENTENCIA_2016_128" w:history="1">
        <w:r w:rsidRPr="00427CF1">
          <w:rPr>
            <w:rStyle w:val="TextoNormalCaracter"/>
          </w:rPr>
          <w:t>128/2016</w:t>
        </w:r>
      </w:hyperlink>
      <w:r>
        <w:t xml:space="preserve">, f. 7; </w:t>
      </w:r>
      <w:hyperlink w:anchor="SENTENCIA_2016_141" w:history="1">
        <w:r w:rsidRPr="00427CF1">
          <w:rPr>
            <w:rStyle w:val="TextoNormalCaracter"/>
          </w:rPr>
          <w:t>141/2016</w:t>
        </w:r>
      </w:hyperlink>
      <w:r>
        <w:t xml:space="preserve">, f. 8; </w:t>
      </w:r>
      <w:hyperlink w:anchor="SENTENCIA_2016_142" w:history="1">
        <w:r w:rsidRPr="00427CF1">
          <w:rPr>
            <w:rStyle w:val="TextoNormalCaracter"/>
          </w:rPr>
          <w:t>142/2016</w:t>
        </w:r>
      </w:hyperlink>
      <w:r>
        <w:t xml:space="preserve">, ff. 10, 13; </w:t>
      </w:r>
      <w:hyperlink w:anchor="SENTENCIA_2016_152" w:history="1">
        <w:r w:rsidRPr="00427CF1">
          <w:rPr>
            <w:rStyle w:val="TextoNormalCaracter"/>
          </w:rPr>
          <w:t>152/2016</w:t>
        </w:r>
      </w:hyperlink>
      <w:r>
        <w:t xml:space="preserve">, f. 5; </w:t>
      </w:r>
      <w:hyperlink w:anchor="SENTENCIA_2016_155" w:history="1">
        <w:r w:rsidRPr="00427CF1">
          <w:rPr>
            <w:rStyle w:val="TextoNormalCaracter"/>
          </w:rPr>
          <w:t>155/2016</w:t>
        </w:r>
      </w:hyperlink>
      <w:r>
        <w:t xml:space="preserve">, ff. 1, 3, 6, 7; </w:t>
      </w:r>
      <w:hyperlink w:anchor="SENTENCIA_2016_158" w:history="1">
        <w:r w:rsidRPr="00427CF1">
          <w:rPr>
            <w:rStyle w:val="TextoNormalCaracter"/>
          </w:rPr>
          <w:t>158/2016</w:t>
        </w:r>
      </w:hyperlink>
      <w:r>
        <w:t xml:space="preserve">, ff. 1 a 6, VP; </w:t>
      </w:r>
      <w:hyperlink w:anchor="SENTENCIA_2016_168" w:history="1">
        <w:r w:rsidRPr="00427CF1">
          <w:rPr>
            <w:rStyle w:val="TextoNormalCaracter"/>
          </w:rPr>
          <w:t>168/2016</w:t>
        </w:r>
      </w:hyperlink>
      <w:r>
        <w:t xml:space="preserve">, ff. 2 a 4; </w:t>
      </w:r>
      <w:hyperlink w:anchor="SENTENCIA_2016_175" w:history="1">
        <w:r w:rsidRPr="00427CF1">
          <w:rPr>
            <w:rStyle w:val="TextoNormalCaracter"/>
          </w:rPr>
          <w:t>175/2016</w:t>
        </w:r>
      </w:hyperlink>
      <w:r>
        <w:t xml:space="preserve">, ff. 1, 3; </w:t>
      </w:r>
      <w:hyperlink w:anchor="SENTENCIA_2016_180" w:history="1">
        <w:r w:rsidRPr="00427CF1">
          <w:rPr>
            <w:rStyle w:val="TextoNormalCaracter"/>
          </w:rPr>
          <w:t>180/2016</w:t>
        </w:r>
      </w:hyperlink>
      <w:r>
        <w:t xml:space="preserve">, ff. 1, 3 a 5; </w:t>
      </w:r>
      <w:hyperlink w:anchor="SENTENCIA_2016_183" w:history="1">
        <w:r w:rsidRPr="00427CF1">
          <w:rPr>
            <w:rStyle w:val="TextoNormalCaracter"/>
          </w:rPr>
          <w:t>183/2016</w:t>
        </w:r>
      </w:hyperlink>
      <w:r>
        <w:t xml:space="preserve">, ff. 4 a 6; </w:t>
      </w:r>
      <w:hyperlink w:anchor="SENTENCIA_2016_194" w:history="1">
        <w:r w:rsidRPr="00427CF1">
          <w:rPr>
            <w:rStyle w:val="TextoNormalCaracter"/>
          </w:rPr>
          <w:t>194/2016</w:t>
        </w:r>
      </w:hyperlink>
      <w:r>
        <w:t xml:space="preserve">, f. 2; </w:t>
      </w:r>
      <w:hyperlink w:anchor="SENTENCIA_2016_204" w:history="1">
        <w:r w:rsidRPr="00427CF1">
          <w:rPr>
            <w:rStyle w:val="TextoNormalCaracter"/>
          </w:rPr>
          <w:t>204/2016</w:t>
        </w:r>
      </w:hyperlink>
      <w:r>
        <w:t>, ff. 1, 2.</w:t>
      </w:r>
    </w:p>
    <w:p w:rsidR="00427CF1" w:rsidRDefault="00427CF1" w:rsidP="00427CF1">
      <w:pPr>
        <w:pStyle w:val="SangriaIzquierdaArticulo"/>
      </w:pPr>
      <w:r>
        <w:t xml:space="preserve">Auto </w:t>
      </w:r>
      <w:hyperlink w:anchor="AUTO_2016_167" w:history="1">
        <w:r w:rsidRPr="00427CF1">
          <w:rPr>
            <w:rStyle w:val="TextoNormalCaracter"/>
          </w:rPr>
          <w:t>167/2016</w:t>
        </w:r>
      </w:hyperlink>
      <w:r>
        <w:t>, ff. 1, 3.</w:t>
      </w:r>
    </w:p>
    <w:p w:rsidR="00427CF1" w:rsidRDefault="00427CF1" w:rsidP="00427CF1">
      <w:pPr>
        <w:pStyle w:val="SangriaFrancesaArticulo"/>
      </w:pPr>
      <w:r w:rsidRPr="00427CF1">
        <w:rPr>
          <w:rStyle w:val="TextoNormalNegritaCaracter"/>
        </w:rPr>
        <w:t>Artículo 149.1.20.</w:t>
      </w:r>
      <w:r w:rsidRPr="00427CF1">
        <w:rPr>
          <w:rStyle w:val="TextoNormalCaracter"/>
        </w:rPr>
        <w:t>-</w:t>
      </w:r>
      <w:r>
        <w:t xml:space="preserve"> Sentencias </w:t>
      </w:r>
      <w:hyperlink w:anchor="SENTENCIA_2016_128" w:history="1">
        <w:r w:rsidRPr="00427CF1">
          <w:rPr>
            <w:rStyle w:val="TextoNormalCaracter"/>
          </w:rPr>
          <w:t>128/2016</w:t>
        </w:r>
      </w:hyperlink>
      <w:r>
        <w:t xml:space="preserve">, f. 2; </w:t>
      </w:r>
      <w:hyperlink w:anchor="SENTENCIA_2016_165" w:history="1">
        <w:r w:rsidRPr="00427CF1">
          <w:rPr>
            <w:rStyle w:val="TextoNormalCaracter"/>
          </w:rPr>
          <w:t>165/2016</w:t>
        </w:r>
      </w:hyperlink>
      <w:r>
        <w:t>, f. 7.</w:t>
      </w:r>
    </w:p>
    <w:p w:rsidR="00427CF1" w:rsidRDefault="00427CF1" w:rsidP="00427CF1">
      <w:pPr>
        <w:pStyle w:val="SangriaFrancesaArticulo"/>
      </w:pPr>
      <w:r w:rsidRPr="00427CF1">
        <w:rPr>
          <w:rStyle w:val="TextoNormalNegritaCaracter"/>
        </w:rPr>
        <w:t>Artículo 149.1.21.</w:t>
      </w:r>
      <w:r w:rsidRPr="00427CF1">
        <w:rPr>
          <w:rStyle w:val="TextoNormalCaracter"/>
        </w:rPr>
        <w:t>-</w:t>
      </w:r>
      <w:r>
        <w:t xml:space="preserve"> Sentencia </w:t>
      </w:r>
      <w:hyperlink w:anchor="SENTENCIA_2016_165" w:history="1">
        <w:r w:rsidRPr="00427CF1">
          <w:rPr>
            <w:rStyle w:val="TextoNormalCaracter"/>
          </w:rPr>
          <w:t>165/2016</w:t>
        </w:r>
      </w:hyperlink>
      <w:r>
        <w:t>, f. 7.</w:t>
      </w:r>
    </w:p>
    <w:p w:rsidR="00427CF1" w:rsidRDefault="00427CF1" w:rsidP="00427CF1">
      <w:pPr>
        <w:pStyle w:val="SangriaFrancesaArticulo"/>
      </w:pPr>
      <w:r w:rsidRPr="00427CF1">
        <w:rPr>
          <w:rStyle w:val="TextoNormalNegritaCaracter"/>
        </w:rPr>
        <w:t>Artículo 149.1.22.</w:t>
      </w:r>
      <w:r w:rsidRPr="00427CF1">
        <w:rPr>
          <w:rStyle w:val="TextoNormalCaracter"/>
        </w:rPr>
        <w:t>-</w:t>
      </w:r>
      <w:r>
        <w:t xml:space="preserve"> Sentencias </w:t>
      </w:r>
      <w:hyperlink w:anchor="SENTENCIA_2016_152" w:history="1">
        <w:r w:rsidRPr="00427CF1">
          <w:rPr>
            <w:rStyle w:val="TextoNormalCaracter"/>
          </w:rPr>
          <w:t>152/2016</w:t>
        </w:r>
      </w:hyperlink>
      <w:r>
        <w:t xml:space="preserve">, f. 1; </w:t>
      </w:r>
      <w:hyperlink w:anchor="SENTENCIA_2016_165" w:history="1">
        <w:r w:rsidRPr="00427CF1">
          <w:rPr>
            <w:rStyle w:val="TextoNormalCaracter"/>
          </w:rPr>
          <w:t>165/2016</w:t>
        </w:r>
      </w:hyperlink>
      <w:r>
        <w:t xml:space="preserve">, ff. 1, 7, VP; </w:t>
      </w:r>
      <w:hyperlink w:anchor="SENTENCIA_2016_171" w:history="1">
        <w:r w:rsidRPr="00427CF1">
          <w:rPr>
            <w:rStyle w:val="TextoNormalCaracter"/>
          </w:rPr>
          <w:t>171/2016</w:t>
        </w:r>
      </w:hyperlink>
      <w:r>
        <w:t xml:space="preserve">, ff. 1, 4, 6; </w:t>
      </w:r>
      <w:hyperlink w:anchor="SENTENCIA_2016_205" w:history="1">
        <w:r w:rsidRPr="00427CF1">
          <w:rPr>
            <w:rStyle w:val="TextoNormalCaracter"/>
          </w:rPr>
          <w:t>205/2016</w:t>
        </w:r>
      </w:hyperlink>
      <w:r>
        <w:t xml:space="preserve">, ff. 2, 3; </w:t>
      </w:r>
      <w:hyperlink w:anchor="SENTENCIA_2016_216" w:history="1">
        <w:r w:rsidRPr="00427CF1">
          <w:rPr>
            <w:rStyle w:val="TextoNormalCaracter"/>
          </w:rPr>
          <w:t>216/2016</w:t>
        </w:r>
      </w:hyperlink>
      <w:r>
        <w:t>, f. 1.</w:t>
      </w:r>
    </w:p>
    <w:p w:rsidR="00427CF1" w:rsidRDefault="00427CF1" w:rsidP="00427CF1">
      <w:pPr>
        <w:pStyle w:val="SangriaFrancesaArticulo"/>
      </w:pPr>
      <w:r w:rsidRPr="00427CF1">
        <w:rPr>
          <w:rStyle w:val="TextoNormalNegritaCaracter"/>
        </w:rPr>
        <w:t>Artículo 149.1.23.</w:t>
      </w:r>
      <w:r w:rsidRPr="00427CF1">
        <w:rPr>
          <w:rStyle w:val="TextoNormalCaracter"/>
        </w:rPr>
        <w:t>-</w:t>
      </w:r>
      <w:r>
        <w:t xml:space="preserve"> Sentencias </w:t>
      </w:r>
      <w:hyperlink w:anchor="SENTENCIA_2016_141" w:history="1">
        <w:r w:rsidRPr="00427CF1">
          <w:rPr>
            <w:rStyle w:val="TextoNormalCaracter"/>
          </w:rPr>
          <w:t>141/2016</w:t>
        </w:r>
      </w:hyperlink>
      <w:r>
        <w:t xml:space="preserve">, ff. 1, 2, 5, 7, 9; </w:t>
      </w:r>
      <w:hyperlink w:anchor="SENTENCIA_2016_165" w:history="1">
        <w:r w:rsidRPr="00427CF1">
          <w:rPr>
            <w:rStyle w:val="TextoNormalCaracter"/>
          </w:rPr>
          <w:t>165/2016</w:t>
        </w:r>
      </w:hyperlink>
      <w:r>
        <w:t xml:space="preserve">, ff. 1, 6; </w:t>
      </w:r>
      <w:hyperlink w:anchor="SENTENCIA_2016_171" w:history="1">
        <w:r w:rsidRPr="00427CF1">
          <w:rPr>
            <w:rStyle w:val="TextoNormalCaracter"/>
          </w:rPr>
          <w:t>171/2016</w:t>
        </w:r>
      </w:hyperlink>
      <w:r>
        <w:t xml:space="preserve">, ff. 3, 4, 7; </w:t>
      </w:r>
      <w:hyperlink w:anchor="SENTENCIA_2016_182" w:history="1">
        <w:r w:rsidRPr="00427CF1">
          <w:rPr>
            <w:rStyle w:val="TextoNormalCaracter"/>
          </w:rPr>
          <w:t>182/2016</w:t>
        </w:r>
      </w:hyperlink>
      <w:r>
        <w:t xml:space="preserve">, f. 1; </w:t>
      </w:r>
      <w:hyperlink w:anchor="SENTENCIA_2016_190" w:history="1">
        <w:r w:rsidRPr="00427CF1">
          <w:rPr>
            <w:rStyle w:val="TextoNormalCaracter"/>
          </w:rPr>
          <w:t>190/2016</w:t>
        </w:r>
      </w:hyperlink>
      <w:r>
        <w:t>, f. 1.</w:t>
      </w:r>
    </w:p>
    <w:p w:rsidR="00427CF1" w:rsidRDefault="00427CF1" w:rsidP="00427CF1">
      <w:pPr>
        <w:pStyle w:val="SangriaIzquierdaArticulo"/>
      </w:pPr>
      <w:r>
        <w:t xml:space="preserve">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Artículo 149.1.24.</w:t>
      </w:r>
      <w:r w:rsidRPr="00427CF1">
        <w:rPr>
          <w:rStyle w:val="TextoNormalCaracter"/>
        </w:rPr>
        <w:t>-</w:t>
      </w:r>
      <w:r>
        <w:t xml:space="preserve"> Sentencia </w:t>
      </w:r>
      <w:hyperlink w:anchor="SENTENCIA_2016_165" w:history="1">
        <w:r w:rsidRPr="00427CF1">
          <w:rPr>
            <w:rStyle w:val="TextoNormalCaracter"/>
          </w:rPr>
          <w:t>165/2016</w:t>
        </w:r>
      </w:hyperlink>
      <w:r>
        <w:t>, f. 7.</w:t>
      </w:r>
    </w:p>
    <w:p w:rsidR="00427CF1" w:rsidRDefault="00427CF1" w:rsidP="00427CF1">
      <w:pPr>
        <w:pStyle w:val="SangriaFrancesaArticulo"/>
      </w:pPr>
      <w:r w:rsidRPr="00427CF1">
        <w:rPr>
          <w:rStyle w:val="TextoNormalNegritaCaracter"/>
        </w:rPr>
        <w:t>Artículo 149.1.25.</w:t>
      </w:r>
      <w:r w:rsidRPr="00427CF1">
        <w:rPr>
          <w:rStyle w:val="TextoNormalCaracter"/>
        </w:rPr>
        <w:t>-</w:t>
      </w:r>
      <w:r>
        <w:t xml:space="preserve"> Sentencias </w:t>
      </w:r>
      <w:hyperlink w:anchor="SENTENCIA_2016_165" w:history="1">
        <w:r w:rsidRPr="00427CF1">
          <w:rPr>
            <w:rStyle w:val="TextoNormalCaracter"/>
          </w:rPr>
          <w:t>165/2016</w:t>
        </w:r>
      </w:hyperlink>
      <w:r>
        <w:t xml:space="preserve">, ff. 1, 5 a 8, 11, 15, VP; </w:t>
      </w:r>
      <w:hyperlink w:anchor="SENTENCIA_2016_171" w:history="1">
        <w:r w:rsidRPr="00427CF1">
          <w:rPr>
            <w:rStyle w:val="TextoNormalCaracter"/>
          </w:rPr>
          <w:t>171/2016</w:t>
        </w:r>
      </w:hyperlink>
      <w:r>
        <w:t xml:space="preserve">, ff. 1, 3, 4, 7; </w:t>
      </w:r>
      <w:hyperlink w:anchor="SENTENCIA_2016_182" w:history="1">
        <w:r w:rsidRPr="00427CF1">
          <w:rPr>
            <w:rStyle w:val="TextoNormalCaracter"/>
          </w:rPr>
          <w:t>182/2016</w:t>
        </w:r>
      </w:hyperlink>
      <w:r>
        <w:t xml:space="preserve">, ff. 2 a 4; </w:t>
      </w:r>
      <w:hyperlink w:anchor="SENTENCIA_2016_190" w:history="1">
        <w:r w:rsidRPr="00427CF1">
          <w:rPr>
            <w:rStyle w:val="TextoNormalCaracter"/>
          </w:rPr>
          <w:t>190/2016</w:t>
        </w:r>
      </w:hyperlink>
      <w:r>
        <w:t xml:space="preserve">, ff. 1, 2; </w:t>
      </w:r>
      <w:hyperlink w:anchor="SENTENCIA_2016_205" w:history="1">
        <w:r w:rsidRPr="00427CF1">
          <w:rPr>
            <w:rStyle w:val="TextoNormalCaracter"/>
          </w:rPr>
          <w:t>205/2016</w:t>
        </w:r>
      </w:hyperlink>
      <w:r>
        <w:t>, ff. 1 a 4.</w:t>
      </w:r>
    </w:p>
    <w:p w:rsidR="00427CF1" w:rsidRDefault="00427CF1" w:rsidP="00427CF1">
      <w:pPr>
        <w:pStyle w:val="SangriaIzquierdaArticulo"/>
      </w:pPr>
      <w:r>
        <w:t xml:space="preserve">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Artículo 149.1.27.</w:t>
      </w:r>
      <w:r w:rsidRPr="00427CF1">
        <w:rPr>
          <w:rStyle w:val="TextoNormalCaracter"/>
        </w:rPr>
        <w:t>-</w:t>
      </w:r>
      <w:r>
        <w:t xml:space="preserve"> Sentencia </w:t>
      </w:r>
      <w:hyperlink w:anchor="SENTENCIA_2016_153" w:history="1">
        <w:r w:rsidRPr="00427CF1">
          <w:rPr>
            <w:rStyle w:val="TextoNormalCaracter"/>
          </w:rPr>
          <w:t>153/2016</w:t>
        </w:r>
      </w:hyperlink>
      <w:r>
        <w:t>, ff. 1, 2.</w:t>
      </w:r>
    </w:p>
    <w:p w:rsidR="00427CF1" w:rsidRDefault="00427CF1" w:rsidP="00427CF1">
      <w:pPr>
        <w:pStyle w:val="SangriaFrancesaArticulo"/>
      </w:pPr>
      <w:r w:rsidRPr="00427CF1">
        <w:rPr>
          <w:rStyle w:val="TextoNormalNegritaCaracter"/>
        </w:rPr>
        <w:t>Artículo 149.1.28.</w:t>
      </w:r>
      <w:r w:rsidRPr="00427CF1">
        <w:rPr>
          <w:rStyle w:val="TextoNormalCaracter"/>
        </w:rPr>
        <w:t>-</w:t>
      </w:r>
      <w:r>
        <w:t xml:space="preserve"> Sentencia </w:t>
      </w:r>
      <w:hyperlink w:anchor="SENTENCIA_2016_165" w:history="1">
        <w:r w:rsidRPr="00427CF1">
          <w:rPr>
            <w:rStyle w:val="TextoNormalCaracter"/>
          </w:rPr>
          <w:t>165/2016</w:t>
        </w:r>
      </w:hyperlink>
      <w:r>
        <w:t>, f. 7.</w:t>
      </w:r>
    </w:p>
    <w:p w:rsidR="00427CF1" w:rsidRDefault="00427CF1" w:rsidP="00427CF1">
      <w:pPr>
        <w:pStyle w:val="SangriaFrancesaArticulo"/>
      </w:pPr>
      <w:r w:rsidRPr="00427CF1">
        <w:rPr>
          <w:rStyle w:val="TextoNormalNegritaCaracter"/>
        </w:rPr>
        <w:t>Dispoisición adicional primera.</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149.1.28.</w:t>
      </w:r>
      <w:r w:rsidRPr="00427CF1">
        <w:rPr>
          <w:rStyle w:val="TextoNormalCaracter"/>
        </w:rPr>
        <w:t>-</w:t>
      </w:r>
      <w:r>
        <w:t xml:space="preserve"> Sentencia </w:t>
      </w:r>
      <w:hyperlink w:anchor="SENTENCIA_2016_177" w:history="1">
        <w:r w:rsidRPr="00427CF1">
          <w:rPr>
            <w:rStyle w:val="TextoNormalCaracter"/>
          </w:rPr>
          <w:t>177/2016</w:t>
        </w:r>
      </w:hyperlink>
      <w:r>
        <w:t>, ff. 1 a 3, 5, 6, VP I.</w:t>
      </w:r>
    </w:p>
    <w:p w:rsidR="00427CF1" w:rsidRDefault="00427CF1" w:rsidP="00427CF1">
      <w:pPr>
        <w:pStyle w:val="SangriaFrancesaArticulo"/>
      </w:pPr>
      <w:r w:rsidRPr="00427CF1">
        <w:rPr>
          <w:rStyle w:val="TextoNormalNegritaCaracter"/>
        </w:rPr>
        <w:t>Artículo 149.1.29.</w:t>
      </w:r>
      <w:r w:rsidRPr="00427CF1">
        <w:rPr>
          <w:rStyle w:val="TextoNormalCaracter"/>
        </w:rPr>
        <w:t>-</w:t>
      </w:r>
      <w:r>
        <w:t xml:space="preserve"> Sentencias </w:t>
      </w:r>
      <w:hyperlink w:anchor="SENTENCIA_2016_128" w:history="1">
        <w:r w:rsidRPr="00427CF1">
          <w:rPr>
            <w:rStyle w:val="TextoNormalCaracter"/>
          </w:rPr>
          <w:t>128/2016</w:t>
        </w:r>
      </w:hyperlink>
      <w:r>
        <w:t xml:space="preserve">, f. 8; </w:t>
      </w:r>
      <w:hyperlink w:anchor="SENTENCIA_2016_165" w:history="1">
        <w:r w:rsidRPr="00427CF1">
          <w:rPr>
            <w:rStyle w:val="TextoNormalCaracter"/>
          </w:rPr>
          <w:t>165/2016</w:t>
        </w:r>
      </w:hyperlink>
      <w:r>
        <w:t xml:space="preserve">, f. 7; </w:t>
      </w:r>
      <w:hyperlink w:anchor="SENTENCIA_2016_177" w:history="1">
        <w:r w:rsidRPr="00427CF1">
          <w:rPr>
            <w:rStyle w:val="TextoNormalCaracter"/>
          </w:rPr>
          <w:t>177/2016</w:t>
        </w:r>
      </w:hyperlink>
      <w:r>
        <w:t xml:space="preserve">, ff. 1 a 4, VP I, VP II; </w:t>
      </w:r>
      <w:hyperlink w:anchor="SENTENCIA_2016_184" w:history="1">
        <w:r w:rsidRPr="00427CF1">
          <w:rPr>
            <w:rStyle w:val="TextoNormalCaracter"/>
          </w:rPr>
          <w:t>184/2016</w:t>
        </w:r>
      </w:hyperlink>
      <w:r>
        <w:t xml:space="preserve">, ff. 1, 3, 4, 7;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149.1.30.</w:t>
      </w:r>
      <w:r w:rsidRPr="00427CF1">
        <w:rPr>
          <w:rStyle w:val="TextoNormalCaracter"/>
        </w:rPr>
        <w:t>-</w:t>
      </w:r>
      <w:r>
        <w:t xml:space="preserve"> Sentencia </w:t>
      </w:r>
      <w:hyperlink w:anchor="SENTENCIA_2016_183" w:history="1">
        <w:r w:rsidRPr="00427CF1">
          <w:rPr>
            <w:rStyle w:val="TextoNormalCaracter"/>
          </w:rPr>
          <w:t>183/2016</w:t>
        </w:r>
      </w:hyperlink>
      <w:r>
        <w:t>, f. 6.</w:t>
      </w:r>
    </w:p>
    <w:p w:rsidR="00427CF1" w:rsidRDefault="00427CF1" w:rsidP="00427CF1">
      <w:pPr>
        <w:pStyle w:val="SangriaFrancesaArticulo"/>
      </w:pPr>
      <w:r w:rsidRPr="00427CF1">
        <w:rPr>
          <w:rStyle w:val="TextoNormalNegritaCaracter"/>
        </w:rPr>
        <w:t>Artículo 149.1.31.</w:t>
      </w:r>
      <w:r w:rsidRPr="00427CF1">
        <w:rPr>
          <w:rStyle w:val="TextoNormalCaracter"/>
        </w:rPr>
        <w:t>-</w:t>
      </w:r>
      <w:r>
        <w:t xml:space="preserve"> Sentencia </w:t>
      </w:r>
      <w:hyperlink w:anchor="SENTENCIA_2016_214" w:history="1">
        <w:r w:rsidRPr="00427CF1">
          <w:rPr>
            <w:rStyle w:val="TextoNormalCaracter"/>
          </w:rPr>
          <w:t>214/2016</w:t>
        </w:r>
      </w:hyperlink>
      <w:r>
        <w:t>, f. 3.</w:t>
      </w:r>
    </w:p>
    <w:p w:rsidR="00427CF1" w:rsidRDefault="00427CF1" w:rsidP="00427CF1">
      <w:pPr>
        <w:pStyle w:val="SangriaFrancesaArticulo"/>
      </w:pPr>
      <w:r w:rsidRPr="00427CF1">
        <w:rPr>
          <w:rStyle w:val="TextoNormalNegritaCaracter"/>
        </w:rPr>
        <w:t>Artículo 149.2.</w:t>
      </w:r>
      <w:r w:rsidRPr="00427CF1">
        <w:rPr>
          <w:rStyle w:val="TextoNormalCaracter"/>
        </w:rPr>
        <w:t>-</w:t>
      </w:r>
      <w:r>
        <w:t xml:space="preserve"> Sentencia </w:t>
      </w:r>
      <w:hyperlink w:anchor="SENTENCIA_2016_177" w:history="1">
        <w:r w:rsidRPr="00427CF1">
          <w:rPr>
            <w:rStyle w:val="TextoNormalCaracter"/>
          </w:rPr>
          <w:t>177/2016</w:t>
        </w:r>
      </w:hyperlink>
      <w:r>
        <w:t>, ff. 1 a 3, 5 a 7, VP I, VP II.</w:t>
      </w:r>
    </w:p>
    <w:p w:rsidR="00427CF1" w:rsidRDefault="00427CF1" w:rsidP="00427CF1">
      <w:pPr>
        <w:pStyle w:val="SangriaFrancesaArticulo"/>
      </w:pPr>
      <w:r w:rsidRPr="00427CF1">
        <w:rPr>
          <w:rStyle w:val="TextoNormalNegritaCaracter"/>
        </w:rPr>
        <w:t>Artículo 149.3.</w:t>
      </w:r>
      <w:r w:rsidRPr="00427CF1">
        <w:rPr>
          <w:rStyle w:val="TextoNormalCaracter"/>
        </w:rPr>
        <w:t>-</w:t>
      </w:r>
      <w:r>
        <w:t xml:space="preserve"> Sentencias </w:t>
      </w:r>
      <w:hyperlink w:anchor="SENTENCIA_2016_127" w:history="1">
        <w:r w:rsidRPr="00427CF1">
          <w:rPr>
            <w:rStyle w:val="TextoNormalCaracter"/>
          </w:rPr>
          <w:t>127/2016</w:t>
        </w:r>
      </w:hyperlink>
      <w:r>
        <w:t xml:space="preserve">, ff. 1 a 3, VP; </w:t>
      </w:r>
      <w:hyperlink w:anchor="SENTENCIA_2016_128" w:history="1">
        <w:r w:rsidRPr="00427CF1">
          <w:rPr>
            <w:rStyle w:val="TextoNormalCaracter"/>
          </w:rPr>
          <w:t>128/2016</w:t>
        </w:r>
      </w:hyperlink>
      <w:r>
        <w:t xml:space="preserve">, f. 6; </w:t>
      </w:r>
      <w:hyperlink w:anchor="SENTENCIA_2016_141" w:history="1">
        <w:r w:rsidRPr="00427CF1">
          <w:rPr>
            <w:rStyle w:val="TextoNormalCaracter"/>
          </w:rPr>
          <w:t>141/2016</w:t>
        </w:r>
      </w:hyperlink>
      <w:r>
        <w:t xml:space="preserve">, f. 6; </w:t>
      </w:r>
      <w:hyperlink w:anchor="SENTENCIA_2016_142" w:history="1">
        <w:r w:rsidRPr="00427CF1">
          <w:rPr>
            <w:rStyle w:val="TextoNormalCaracter"/>
          </w:rPr>
          <w:t>142/2016</w:t>
        </w:r>
      </w:hyperlink>
      <w:r>
        <w:t xml:space="preserve">, f. 13; </w:t>
      </w:r>
      <w:hyperlink w:anchor="SENTENCIA_2016_184" w:history="1">
        <w:r w:rsidRPr="00427CF1">
          <w:rPr>
            <w:rStyle w:val="TextoNormalCaracter"/>
          </w:rPr>
          <w:t>184/2016</w:t>
        </w:r>
      </w:hyperlink>
      <w:r>
        <w:t xml:space="preserve">, ff. 1, 3; </w:t>
      </w:r>
      <w:hyperlink w:anchor="SENTENCIA_2016_204" w:history="1">
        <w:r w:rsidRPr="00427CF1">
          <w:rPr>
            <w:rStyle w:val="TextoNormalCaracter"/>
          </w:rPr>
          <w:t>204/2016</w:t>
        </w:r>
      </w:hyperlink>
      <w:r>
        <w:t xml:space="preserve">, f. 3, VP II; </w:t>
      </w:r>
      <w:hyperlink w:anchor="SENTENCIA_2016_214" w:history="1">
        <w:r w:rsidRPr="00427CF1">
          <w:rPr>
            <w:rStyle w:val="TextoNormalCaracter"/>
          </w:rPr>
          <w:t>214/2016</w:t>
        </w:r>
      </w:hyperlink>
      <w:r>
        <w:t>, ff. 1, 4.</w:t>
      </w:r>
    </w:p>
    <w:p w:rsidR="00427CF1" w:rsidRDefault="00427CF1" w:rsidP="00427CF1">
      <w:pPr>
        <w:pStyle w:val="SangriaIzquierdaArticulo"/>
      </w:pPr>
      <w:r>
        <w:t xml:space="preserve">Autos </w:t>
      </w:r>
      <w:hyperlink w:anchor="AUTO_2016_159" w:history="1">
        <w:r w:rsidRPr="00427CF1">
          <w:rPr>
            <w:rStyle w:val="TextoNormalCaracter"/>
          </w:rPr>
          <w:t>159/2016</w:t>
        </w:r>
      </w:hyperlink>
      <w:r>
        <w:t xml:space="preserve">, f. 1; </w:t>
      </w:r>
      <w:hyperlink w:anchor="AUTO_2016_167" w:history="1">
        <w:r w:rsidRPr="00427CF1">
          <w:rPr>
            <w:rStyle w:val="TextoNormalCaracter"/>
          </w:rPr>
          <w:t>167/2016</w:t>
        </w:r>
      </w:hyperlink>
      <w:r>
        <w:t>, f. 4.</w:t>
      </w:r>
    </w:p>
    <w:p w:rsidR="00427CF1" w:rsidRDefault="00427CF1" w:rsidP="00427CF1">
      <w:pPr>
        <w:pStyle w:val="SangriaFrancesaArticulo"/>
      </w:pPr>
      <w:r w:rsidRPr="00427CF1">
        <w:rPr>
          <w:rStyle w:val="TextoNormalNegritaCaracter"/>
        </w:rPr>
        <w:t>Artículo 150.</w:t>
      </w:r>
      <w:r w:rsidRPr="00427CF1">
        <w:rPr>
          <w:rStyle w:val="TextoNormalCaracter"/>
        </w:rPr>
        <w:t>-</w:t>
      </w:r>
      <w:r>
        <w:t xml:space="preserve"> Sentencia </w:t>
      </w:r>
      <w:hyperlink w:anchor="SENTENCIA_2016_128" w:history="1">
        <w:r w:rsidRPr="00427CF1">
          <w:rPr>
            <w:rStyle w:val="TextoNormalCaracter"/>
          </w:rPr>
          <w:t>128/2016</w:t>
        </w:r>
      </w:hyperlink>
      <w:r>
        <w:t>, ff. 6, 8.</w:t>
      </w:r>
    </w:p>
    <w:p w:rsidR="00427CF1" w:rsidRDefault="00427CF1" w:rsidP="00427CF1">
      <w:pPr>
        <w:pStyle w:val="SangriaFrancesaArticulo"/>
      </w:pPr>
      <w:r w:rsidRPr="00427CF1">
        <w:rPr>
          <w:rStyle w:val="TextoNormalNegritaCaracter"/>
        </w:rPr>
        <w:t>Artículo 150.1.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150.2.</w:t>
      </w:r>
      <w:r w:rsidRPr="00427CF1">
        <w:rPr>
          <w:rStyle w:val="TextoNormalCaracter"/>
        </w:rPr>
        <w:t>-</w:t>
      </w:r>
      <w:r>
        <w:t xml:space="preserve"> Sentencias </w:t>
      </w:r>
      <w:hyperlink w:anchor="SENTENCIA_2016_128" w:history="1">
        <w:r w:rsidRPr="00427CF1">
          <w:rPr>
            <w:rStyle w:val="TextoNormalCaracter"/>
          </w:rPr>
          <w:t>128/2016</w:t>
        </w:r>
      </w:hyperlink>
      <w:r>
        <w:t xml:space="preserve">, ff. 6, 9;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153.</w:t>
      </w:r>
      <w:r w:rsidRPr="00427CF1">
        <w:rPr>
          <w:rStyle w:val="TextoNormalCaracter"/>
        </w:rPr>
        <w:t>-</w:t>
      </w:r>
      <w:r>
        <w:t xml:space="preserve"> Sentencia </w:t>
      </w:r>
      <w:hyperlink w:anchor="SENTENCIA_2016_215" w:history="1">
        <w:r w:rsidRPr="00427CF1">
          <w:rPr>
            <w:rStyle w:val="TextoNormalCaracter"/>
          </w:rPr>
          <w:t>215/2016</w:t>
        </w:r>
      </w:hyperlink>
      <w:r>
        <w:t>, ff. 1, 11.</w:t>
      </w:r>
    </w:p>
    <w:p w:rsidR="00427CF1" w:rsidRDefault="00427CF1" w:rsidP="00427CF1">
      <w:pPr>
        <w:pStyle w:val="SangriaFrancesaArticulo"/>
      </w:pPr>
      <w:r w:rsidRPr="00427CF1">
        <w:rPr>
          <w:rStyle w:val="TextoNormalNegritaCaracter"/>
        </w:rPr>
        <w:t>Artículo 153 a).</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r w:rsidRPr="00427CF1">
        <w:rPr>
          <w:rStyle w:val="TextoNormalNegritaCaracter"/>
        </w:rPr>
        <w:t>Artículo 154.</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155.</w:t>
      </w:r>
      <w:r w:rsidRPr="00427CF1">
        <w:rPr>
          <w:rStyle w:val="TextoNormalCaracter"/>
        </w:rPr>
        <w:t>-</w:t>
      </w:r>
      <w:r>
        <w:t xml:space="preserve"> Sentencias </w:t>
      </w:r>
      <w:hyperlink w:anchor="SENTENCIA_2016_185" w:history="1">
        <w:r w:rsidRPr="00427CF1">
          <w:rPr>
            <w:rStyle w:val="TextoNormalCaracter"/>
          </w:rPr>
          <w:t>185/2016</w:t>
        </w:r>
      </w:hyperlink>
      <w:r>
        <w:t xml:space="preserve">, ff. 6, 16, 17, VP II, VP III; </w:t>
      </w:r>
      <w:hyperlink w:anchor="SENTENCIA_2016_215" w:history="1">
        <w:r w:rsidRPr="00427CF1">
          <w:rPr>
            <w:rStyle w:val="TextoNormalCaracter"/>
          </w:rPr>
          <w:t>215/2016</w:t>
        </w:r>
      </w:hyperlink>
      <w:r>
        <w:t>, f. 11, VP III.</w:t>
      </w:r>
    </w:p>
    <w:p w:rsidR="00427CF1" w:rsidRDefault="00427CF1" w:rsidP="00427CF1">
      <w:pPr>
        <w:pStyle w:val="SangriaFrancesaArticulo"/>
      </w:pPr>
      <w:r w:rsidRPr="00427CF1">
        <w:rPr>
          <w:rStyle w:val="TextoNormalNegritaCaracter"/>
        </w:rPr>
        <w:t>Artículo 155.1.</w:t>
      </w:r>
      <w:r w:rsidRPr="00427CF1">
        <w:rPr>
          <w:rStyle w:val="TextoNormalCaracter"/>
        </w:rPr>
        <w:t>-</w:t>
      </w:r>
      <w:r>
        <w:t xml:space="preserve"> Sentencias </w:t>
      </w:r>
      <w:hyperlink w:anchor="SENTENCIA_2016_185" w:history="1">
        <w:r w:rsidRPr="00427CF1">
          <w:rPr>
            <w:rStyle w:val="TextoNormalCaracter"/>
          </w:rPr>
          <w:t>185/2016</w:t>
        </w:r>
      </w:hyperlink>
      <w:r>
        <w:t xml:space="preserve">, VP III; </w:t>
      </w:r>
      <w:hyperlink w:anchor="SENTENCIA_2016_215" w:history="1">
        <w:r w:rsidRPr="00427CF1">
          <w:rPr>
            <w:rStyle w:val="TextoNormalCaracter"/>
          </w:rPr>
          <w:t>215/2016</w:t>
        </w:r>
      </w:hyperlink>
      <w:r>
        <w:t>, VP III.</w:t>
      </w:r>
    </w:p>
    <w:p w:rsidR="00427CF1" w:rsidRDefault="00427CF1" w:rsidP="00427CF1">
      <w:pPr>
        <w:pStyle w:val="SangriaFrancesaArticulo"/>
      </w:pPr>
      <w:r w:rsidRPr="00427CF1">
        <w:rPr>
          <w:rStyle w:val="TextoNormalNegritaCaracter"/>
        </w:rPr>
        <w:t>Artículo 155.2.</w:t>
      </w:r>
      <w:r w:rsidRPr="00427CF1">
        <w:rPr>
          <w:rStyle w:val="TextoNormalCaracter"/>
        </w:rPr>
        <w:t>-</w:t>
      </w:r>
      <w:r>
        <w:t xml:space="preserve"> Sentencia </w:t>
      </w:r>
      <w:hyperlink w:anchor="SENTENCIA_2016_185" w:history="1">
        <w:r w:rsidRPr="00427CF1">
          <w:rPr>
            <w:rStyle w:val="TextoNormalCaracter"/>
          </w:rPr>
          <w:t>185/2016</w:t>
        </w:r>
      </w:hyperlink>
      <w:r>
        <w:t>, f. 16.</w:t>
      </w:r>
    </w:p>
    <w:p w:rsidR="00427CF1" w:rsidRDefault="00427CF1" w:rsidP="00427CF1">
      <w:pPr>
        <w:pStyle w:val="SangriaFrancesaArticulo"/>
      </w:pPr>
      <w:r w:rsidRPr="00427CF1">
        <w:rPr>
          <w:rStyle w:val="TextoNormalNegritaCaracter"/>
        </w:rPr>
        <w:t>Artículo 156.</w:t>
      </w:r>
      <w:r w:rsidRPr="00427CF1">
        <w:rPr>
          <w:rStyle w:val="TextoNormalCaracter"/>
        </w:rPr>
        <w:t>-</w:t>
      </w:r>
      <w:r>
        <w:t xml:space="preserve"> Sentencias </w:t>
      </w:r>
      <w:hyperlink w:anchor="SENTENCIA_2016_164" w:history="1">
        <w:r w:rsidRPr="00427CF1">
          <w:rPr>
            <w:rStyle w:val="TextoNormalCaracter"/>
          </w:rPr>
          <w:t>164/2016</w:t>
        </w:r>
      </w:hyperlink>
      <w:r>
        <w:t xml:space="preserve">, f. 4; </w:t>
      </w:r>
      <w:hyperlink w:anchor="SENTENCIA_2016_178" w:history="1">
        <w:r w:rsidRPr="00427CF1">
          <w:rPr>
            <w:rStyle w:val="TextoNormalCaracter"/>
          </w:rPr>
          <w:t>178/2016</w:t>
        </w:r>
      </w:hyperlink>
      <w:r>
        <w:t xml:space="preserve">, ff. 1 a 3;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156.1.</w:t>
      </w:r>
      <w:r w:rsidRPr="00427CF1">
        <w:rPr>
          <w:rStyle w:val="TextoNormalCaracter"/>
        </w:rPr>
        <w:t>-</w:t>
      </w:r>
      <w:r>
        <w:t xml:space="preserve"> Sentencias </w:t>
      </w:r>
      <w:hyperlink w:anchor="SENTENCIA_2016_139" w:history="1">
        <w:r w:rsidRPr="00427CF1">
          <w:rPr>
            <w:rStyle w:val="TextoNormalCaracter"/>
          </w:rPr>
          <w:t>139/2016</w:t>
        </w:r>
      </w:hyperlink>
      <w:r>
        <w:t xml:space="preserve">, f. 12; </w:t>
      </w:r>
      <w:hyperlink w:anchor="SENTENCIA_2016_156" w:history="1">
        <w:r w:rsidRPr="00427CF1">
          <w:rPr>
            <w:rStyle w:val="TextoNormalCaracter"/>
          </w:rPr>
          <w:t>156/2016</w:t>
        </w:r>
      </w:hyperlink>
      <w:r>
        <w:t xml:space="preserve">, ff. 2, 4; </w:t>
      </w:r>
      <w:hyperlink w:anchor="SENTENCIA_2016_164" w:history="1">
        <w:r w:rsidRPr="00427CF1">
          <w:rPr>
            <w:rStyle w:val="TextoNormalCaracter"/>
          </w:rPr>
          <w:t>164/2016</w:t>
        </w:r>
      </w:hyperlink>
      <w:r>
        <w:t xml:space="preserve">, ff. 1, 7; </w:t>
      </w:r>
      <w:hyperlink w:anchor="SENTENCIA_2016_193" w:history="1">
        <w:r w:rsidRPr="00427CF1">
          <w:rPr>
            <w:rStyle w:val="TextoNormalCaracter"/>
          </w:rPr>
          <w:t>193/2016</w:t>
        </w:r>
      </w:hyperlink>
      <w:r>
        <w:t xml:space="preserve">, ff. 1 a 3, 5; </w:t>
      </w:r>
      <w:hyperlink w:anchor="SENTENCIA_2016_194" w:history="1">
        <w:r w:rsidRPr="00427CF1">
          <w:rPr>
            <w:rStyle w:val="TextoNormalCaracter"/>
          </w:rPr>
          <w:t>194/2016</w:t>
        </w:r>
      </w:hyperlink>
      <w:r>
        <w:t>, ff. 2, 3.</w:t>
      </w:r>
    </w:p>
    <w:p w:rsidR="00427CF1" w:rsidRDefault="00427CF1" w:rsidP="00427CF1">
      <w:pPr>
        <w:pStyle w:val="SangriaIzquierdaArticulo"/>
      </w:pPr>
      <w:r>
        <w:t xml:space="preserve">Autos </w:t>
      </w:r>
      <w:hyperlink w:anchor="AUTO_2016_145" w:history="1">
        <w:r w:rsidRPr="00427CF1">
          <w:rPr>
            <w:rStyle w:val="TextoNormalCaracter"/>
          </w:rPr>
          <w:t>145/2016</w:t>
        </w:r>
      </w:hyperlink>
      <w:r>
        <w:t xml:space="preserve">, ff. 1, 3, 4; </w:t>
      </w:r>
      <w:hyperlink w:anchor="AUTO_2016_159" w:history="1">
        <w:r w:rsidRPr="00427CF1">
          <w:rPr>
            <w:rStyle w:val="TextoNormalCaracter"/>
          </w:rPr>
          <w:t>159/2016</w:t>
        </w:r>
      </w:hyperlink>
      <w:r>
        <w:t>, f. 1.</w:t>
      </w:r>
    </w:p>
    <w:p w:rsidR="00427CF1" w:rsidRDefault="00427CF1" w:rsidP="00427CF1">
      <w:pPr>
        <w:pStyle w:val="SangriaFrancesaArticulo"/>
      </w:pPr>
      <w:r w:rsidRPr="00427CF1">
        <w:rPr>
          <w:rStyle w:val="TextoNormalNegritaCaracter"/>
        </w:rPr>
        <w:t>Artículo 156.2.</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157.1.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157.1 a).</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157.1 b).</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157.3.</w:t>
      </w:r>
      <w:r w:rsidRPr="00427CF1">
        <w:rPr>
          <w:rStyle w:val="TextoNormalCaracter"/>
        </w:rPr>
        <w:t>-</w:t>
      </w:r>
      <w:r>
        <w:t xml:space="preserve"> Sentencias </w:t>
      </w:r>
      <w:hyperlink w:anchor="SENTENCIA_2016_128" w:history="1">
        <w:r w:rsidRPr="00427CF1">
          <w:rPr>
            <w:rStyle w:val="TextoNormalCaracter"/>
          </w:rPr>
          <w:t>128/2016</w:t>
        </w:r>
      </w:hyperlink>
      <w:r>
        <w:t xml:space="preserve">, f. 6; </w:t>
      </w:r>
      <w:hyperlink w:anchor="SENTENCIA_2016_139" w:history="1">
        <w:r w:rsidRPr="00427CF1">
          <w:rPr>
            <w:rStyle w:val="TextoNormalCaracter"/>
          </w:rPr>
          <w:t>139/2016</w:t>
        </w:r>
      </w:hyperlink>
      <w:r>
        <w:t xml:space="preserve">, f. 12; </w:t>
      </w:r>
      <w:hyperlink w:anchor="SENTENCIA_2016_156" w:history="1">
        <w:r w:rsidRPr="00427CF1">
          <w:rPr>
            <w:rStyle w:val="TextoNormalCaracter"/>
          </w:rPr>
          <w:t>156/2016</w:t>
        </w:r>
      </w:hyperlink>
      <w:r>
        <w:t>, f. 3.</w:t>
      </w:r>
    </w:p>
    <w:p w:rsidR="00427CF1" w:rsidRDefault="00427CF1" w:rsidP="00427CF1">
      <w:pPr>
        <w:pStyle w:val="SangriaIzquierdaArticulo"/>
      </w:pPr>
      <w:r>
        <w:t xml:space="preserve">Autos </w:t>
      </w:r>
      <w:hyperlink w:anchor="AUTO_2016_183" w:history="1">
        <w:r w:rsidRPr="00427CF1">
          <w:rPr>
            <w:rStyle w:val="TextoNormalCaracter"/>
          </w:rPr>
          <w:t>183/2016</w:t>
        </w:r>
      </w:hyperlink>
      <w:r>
        <w:t xml:space="preserve">, f. 4; </w:t>
      </w:r>
      <w:hyperlink w:anchor="AUTO_2016_185" w:history="1">
        <w:r w:rsidRPr="00427CF1">
          <w:rPr>
            <w:rStyle w:val="TextoNormalCaracter"/>
          </w:rPr>
          <w:t>185/2016</w:t>
        </w:r>
      </w:hyperlink>
      <w:r>
        <w:t>, f. 4.</w:t>
      </w:r>
    </w:p>
    <w:p w:rsidR="00427CF1" w:rsidRDefault="00427CF1" w:rsidP="00427CF1">
      <w:pPr>
        <w:pStyle w:val="SangriaFrancesaArticulo"/>
      </w:pPr>
      <w:r w:rsidRPr="00427CF1">
        <w:rPr>
          <w:rStyle w:val="TextoNormalNegritaCaracter"/>
        </w:rPr>
        <w:t>Artículo 158.1.</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159.1.</w:t>
      </w:r>
      <w:r w:rsidRPr="00427CF1">
        <w:rPr>
          <w:rStyle w:val="TextoNormalCaracter"/>
        </w:rPr>
        <w:t>-</w:t>
      </w:r>
      <w:r>
        <w:t xml:space="preserve"> Sentencia </w:t>
      </w:r>
      <w:hyperlink w:anchor="SENTENCIA_2016_185" w:history="1">
        <w:r w:rsidRPr="00427CF1">
          <w:rPr>
            <w:rStyle w:val="TextoNormalCaracter"/>
          </w:rPr>
          <w:t>185/2016</w:t>
        </w:r>
      </w:hyperlink>
      <w:r>
        <w:t>, f. 8.</w:t>
      </w:r>
    </w:p>
    <w:p w:rsidR="00427CF1" w:rsidRDefault="00427CF1" w:rsidP="00427CF1">
      <w:pPr>
        <w:pStyle w:val="SangriaFrancesaArticulo"/>
      </w:pPr>
      <w:r w:rsidRPr="00427CF1">
        <w:rPr>
          <w:rStyle w:val="TextoNormalNegritaCaracter"/>
        </w:rPr>
        <w:t xml:space="preserve">Artículo 159.1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3, 11.</w:t>
      </w:r>
    </w:p>
    <w:p w:rsidR="00427CF1" w:rsidRDefault="00427CF1" w:rsidP="00427CF1">
      <w:pPr>
        <w:pStyle w:val="SangriaFrancesaArticulo"/>
      </w:pPr>
      <w:r w:rsidRPr="00427CF1">
        <w:rPr>
          <w:rStyle w:val="TextoNormalNegritaCaracter"/>
        </w:rPr>
        <w:t>Artículo 160.</w:t>
      </w:r>
      <w:r w:rsidRPr="00427CF1">
        <w:rPr>
          <w:rStyle w:val="TextoNormalCaracter"/>
        </w:rPr>
        <w:t>-</w:t>
      </w:r>
      <w:r>
        <w:t xml:space="preserve"> Sentencia </w:t>
      </w:r>
      <w:hyperlink w:anchor="SENTENCIA_2016_185" w:history="1">
        <w:r w:rsidRPr="00427CF1">
          <w:rPr>
            <w:rStyle w:val="TextoNormalCaracter"/>
          </w:rPr>
          <w:t>185/2016</w:t>
        </w:r>
      </w:hyperlink>
      <w:r>
        <w:t>, f. 8.</w:t>
      </w:r>
    </w:p>
    <w:p w:rsidR="00427CF1" w:rsidRDefault="00427CF1" w:rsidP="00427CF1">
      <w:pPr>
        <w:pStyle w:val="SangriaFrancesaArticulo"/>
      </w:pPr>
      <w:r w:rsidRPr="00427CF1">
        <w:rPr>
          <w:rStyle w:val="TextoNormalNegritaCaracter"/>
        </w:rPr>
        <w:t>Artículo 161.</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85" w:history="1">
        <w:r w:rsidRPr="00427CF1">
          <w:rPr>
            <w:rStyle w:val="TextoNormalCaracter"/>
          </w:rPr>
          <w:t>185/2016</w:t>
        </w:r>
      </w:hyperlink>
      <w:r>
        <w:t xml:space="preserve">, ff. 1, 6, 8, 10, VP II, VP III; </w:t>
      </w:r>
      <w:hyperlink w:anchor="SENTENCIA_2016_215" w:history="1">
        <w:r w:rsidRPr="00427CF1">
          <w:rPr>
            <w:rStyle w:val="TextoNormalCaracter"/>
          </w:rPr>
          <w:t>215/2016</w:t>
        </w:r>
      </w:hyperlink>
      <w:r>
        <w:t>, ff. 1, 11, 13, VP III.</w:t>
      </w:r>
    </w:p>
    <w:p w:rsidR="00427CF1" w:rsidRDefault="00427CF1" w:rsidP="00427CF1">
      <w:pPr>
        <w:pStyle w:val="SangriaFrancesaArticulo"/>
      </w:pPr>
      <w:r w:rsidRPr="00427CF1">
        <w:rPr>
          <w:rStyle w:val="TextoNormalNegritaCaracter"/>
        </w:rPr>
        <w:t>Artículo 161.1.</w:t>
      </w:r>
      <w:r w:rsidRPr="00427CF1">
        <w:rPr>
          <w:rStyle w:val="TextoNormalCaracter"/>
        </w:rPr>
        <w:t>-</w:t>
      </w:r>
      <w:r>
        <w:t xml:space="preserve"> Sentencias </w:t>
      </w:r>
      <w:hyperlink w:anchor="SENTENCIA_2016_185" w:history="1">
        <w:r w:rsidRPr="00427CF1">
          <w:rPr>
            <w:rStyle w:val="TextoNormalCaracter"/>
          </w:rPr>
          <w:t>185/2016</w:t>
        </w:r>
      </w:hyperlink>
      <w:r>
        <w:t xml:space="preserve">, ff. 6, 10; </w:t>
      </w:r>
      <w:hyperlink w:anchor="SENTENCIA_2016_215" w:history="1">
        <w:r w:rsidRPr="00427CF1">
          <w:rPr>
            <w:rStyle w:val="TextoNormalCaracter"/>
          </w:rPr>
          <w:t>215/2016</w:t>
        </w:r>
      </w:hyperlink>
      <w:r>
        <w:t>, ff. 1, 9 a 11.</w:t>
      </w:r>
    </w:p>
    <w:p w:rsidR="00427CF1" w:rsidRDefault="00427CF1" w:rsidP="00427CF1">
      <w:pPr>
        <w:pStyle w:val="SangriaFrancesaArticulo"/>
      </w:pPr>
      <w:r w:rsidRPr="00427CF1">
        <w:rPr>
          <w:rStyle w:val="TextoNormalNegritaCaracter"/>
        </w:rPr>
        <w:t>Artículo 161.1 a).</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161.1 b).</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IzquierdaArticulo"/>
      </w:pPr>
      <w:r>
        <w:t xml:space="preserve">Autos </w:t>
      </w:r>
      <w:hyperlink w:anchor="AUTO_2016_147" w:history="1">
        <w:r w:rsidRPr="00427CF1">
          <w:rPr>
            <w:rStyle w:val="TextoNormalCaracter"/>
          </w:rPr>
          <w:t>147/2016</w:t>
        </w:r>
      </w:hyperlink>
      <w:r>
        <w:t xml:space="preserve">, f. único; </w:t>
      </w:r>
      <w:hyperlink w:anchor="AUTO_2016_152" w:history="1">
        <w:r w:rsidRPr="00427CF1">
          <w:rPr>
            <w:rStyle w:val="TextoNormalCaracter"/>
          </w:rPr>
          <w:t>152/2016</w:t>
        </w:r>
      </w:hyperlink>
      <w:r>
        <w:t xml:space="preserve">, f. único; </w:t>
      </w:r>
      <w:hyperlink w:anchor="AUTO_2016_155" w:history="1">
        <w:r w:rsidRPr="00427CF1">
          <w:rPr>
            <w:rStyle w:val="TextoNormalCaracter"/>
          </w:rPr>
          <w:t>155/2016</w:t>
        </w:r>
      </w:hyperlink>
      <w:r>
        <w:t xml:space="preserve">, VP II; </w:t>
      </w:r>
      <w:hyperlink w:anchor="AUTO_2016_163" w:history="1">
        <w:r w:rsidRPr="00427CF1">
          <w:rPr>
            <w:rStyle w:val="TextoNormalCaracter"/>
          </w:rPr>
          <w:t>163/2016</w:t>
        </w:r>
      </w:hyperlink>
      <w:r>
        <w:t xml:space="preserve">, f. único; </w:t>
      </w:r>
      <w:hyperlink w:anchor="AUTO_2016_172" w:history="1">
        <w:r w:rsidRPr="00427CF1">
          <w:rPr>
            <w:rStyle w:val="TextoNormalCaracter"/>
          </w:rPr>
          <w:t>172/2016</w:t>
        </w:r>
      </w:hyperlink>
      <w:r>
        <w:t xml:space="preserve">, f. único; </w:t>
      </w:r>
      <w:hyperlink w:anchor="AUTO_2016_188" w:history="1">
        <w:r w:rsidRPr="00427CF1">
          <w:rPr>
            <w:rStyle w:val="TextoNormalCaracter"/>
          </w:rPr>
          <w:t>188/2016</w:t>
        </w:r>
      </w:hyperlink>
      <w:r>
        <w:t xml:space="preserve">, f. único; </w:t>
      </w:r>
      <w:hyperlink w:anchor="AUTO_2016_190" w:history="1">
        <w:r w:rsidRPr="00427CF1">
          <w:rPr>
            <w:rStyle w:val="TextoNormalCaracter"/>
          </w:rPr>
          <w:t>190/2016</w:t>
        </w:r>
      </w:hyperlink>
      <w:r>
        <w:t xml:space="preserve">, f. único; </w:t>
      </w:r>
      <w:hyperlink w:anchor="AUTO_2016_201" w:history="1">
        <w:r w:rsidRPr="00427CF1">
          <w:rPr>
            <w:rStyle w:val="TextoNormalCaracter"/>
          </w:rPr>
          <w:t>201/2016</w:t>
        </w:r>
      </w:hyperlink>
      <w:r>
        <w:t>, f. único.</w:t>
      </w:r>
    </w:p>
    <w:p w:rsidR="00427CF1" w:rsidRDefault="00427CF1" w:rsidP="00427CF1">
      <w:pPr>
        <w:pStyle w:val="SangriaFrancesaArticulo"/>
      </w:pPr>
      <w:r w:rsidRPr="00427CF1">
        <w:rPr>
          <w:rStyle w:val="TextoNormalNegritaCaracter"/>
        </w:rPr>
        <w:t>Artículo 161.1 c).</w:t>
      </w:r>
      <w:r w:rsidRPr="00427CF1">
        <w:rPr>
          <w:rStyle w:val="TextoNormalCaracter"/>
        </w:rPr>
        <w:t>-</w:t>
      </w:r>
      <w:r>
        <w:t xml:space="preserve"> Sentencia </w:t>
      </w:r>
      <w:hyperlink w:anchor="SENTENCIA_2016_215" w:history="1">
        <w:r w:rsidRPr="00427CF1">
          <w:rPr>
            <w:rStyle w:val="TextoNormalCaracter"/>
          </w:rPr>
          <w:t>215/2016</w:t>
        </w:r>
      </w:hyperlink>
      <w:r>
        <w:t>, ff. 13, 14.</w:t>
      </w:r>
    </w:p>
    <w:p w:rsidR="00427CF1" w:rsidRDefault="00427CF1" w:rsidP="00427CF1">
      <w:pPr>
        <w:pStyle w:val="SangriaFrancesaArticulo"/>
      </w:pPr>
      <w:r w:rsidRPr="00427CF1">
        <w:rPr>
          <w:rStyle w:val="TextoNormalNegritaCaracter"/>
        </w:rPr>
        <w:t>Artículo 161.1 d).</w:t>
      </w:r>
      <w:r w:rsidRPr="00427CF1">
        <w:rPr>
          <w:rStyle w:val="TextoNormalCaracter"/>
        </w:rPr>
        <w:t>-</w:t>
      </w:r>
      <w:r>
        <w:t xml:space="preserve"> Sentencias </w:t>
      </w:r>
      <w:hyperlink w:anchor="SENTENCIA_2016_185" w:history="1">
        <w:r w:rsidRPr="00427CF1">
          <w:rPr>
            <w:rStyle w:val="TextoNormalCaracter"/>
          </w:rPr>
          <w:t>185/2016</w:t>
        </w:r>
      </w:hyperlink>
      <w:r>
        <w:t xml:space="preserve">, ff. 3, 8, 10, VP I, VP II; </w:t>
      </w:r>
      <w:hyperlink w:anchor="SENTENCIA_2016_203" w:history="1">
        <w:r w:rsidRPr="00427CF1">
          <w:rPr>
            <w:rStyle w:val="TextoNormalCaracter"/>
          </w:rPr>
          <w:t>203/2016</w:t>
        </w:r>
      </w:hyperlink>
      <w:r>
        <w:t xml:space="preserve">, f. 2; </w:t>
      </w:r>
      <w:hyperlink w:anchor="SENTENCIA_2016_215" w:history="1">
        <w:r w:rsidRPr="00427CF1">
          <w:rPr>
            <w:rStyle w:val="TextoNormalCaracter"/>
          </w:rPr>
          <w:t>215/2016</w:t>
        </w:r>
      </w:hyperlink>
      <w:r>
        <w:t>, ff. 3, 6.</w:t>
      </w:r>
    </w:p>
    <w:p w:rsidR="00427CF1" w:rsidRDefault="00427CF1" w:rsidP="00427CF1">
      <w:pPr>
        <w:pStyle w:val="SangriaFrancesaArticulo"/>
      </w:pPr>
      <w:r w:rsidRPr="00427CF1">
        <w:rPr>
          <w:rStyle w:val="TextoNormalNegritaCaracter"/>
        </w:rPr>
        <w:t>Artículo 161.2.</w:t>
      </w:r>
      <w:r w:rsidRPr="00427CF1">
        <w:rPr>
          <w:rStyle w:val="TextoNormalCaracter"/>
        </w:rPr>
        <w:t>-</w:t>
      </w:r>
      <w:r>
        <w:t xml:space="preserve"> Sentencias </w:t>
      </w:r>
      <w:hyperlink w:anchor="SENTENCIA_2016_185" w:history="1">
        <w:r w:rsidRPr="00427CF1">
          <w:rPr>
            <w:rStyle w:val="TextoNormalCaracter"/>
          </w:rPr>
          <w:t>185/2016</w:t>
        </w:r>
      </w:hyperlink>
      <w:r>
        <w:t xml:space="preserve">, f. 10; </w:t>
      </w:r>
      <w:hyperlink w:anchor="SENTENCIA_2016_215" w:history="1">
        <w:r w:rsidRPr="00427CF1">
          <w:rPr>
            <w:rStyle w:val="TextoNormalCaracter"/>
          </w:rPr>
          <w:t>215/2016</w:t>
        </w:r>
      </w:hyperlink>
      <w:r>
        <w:t>, ff. 13, 14.</w:t>
      </w:r>
    </w:p>
    <w:p w:rsidR="00427CF1" w:rsidRDefault="00427CF1" w:rsidP="00427CF1">
      <w:pPr>
        <w:pStyle w:val="SangriaIzquierdaArticulo"/>
      </w:pPr>
      <w:r>
        <w:t xml:space="preserve">Autos </w:t>
      </w:r>
      <w:hyperlink w:anchor="AUTO_2016_140" w:history="1">
        <w:r w:rsidRPr="00427CF1">
          <w:rPr>
            <w:rStyle w:val="TextoNormalCaracter"/>
          </w:rPr>
          <w:t>140/2016</w:t>
        </w:r>
      </w:hyperlink>
      <w:r>
        <w:t xml:space="preserve">, ff. 1, 2; </w:t>
      </w:r>
      <w:hyperlink w:anchor="AUTO_2016_141" w:history="1">
        <w:r w:rsidRPr="00427CF1">
          <w:rPr>
            <w:rStyle w:val="TextoNormalCaracter"/>
          </w:rPr>
          <w:t>141/2016</w:t>
        </w:r>
      </w:hyperlink>
      <w:r>
        <w:t xml:space="preserve">, f. 3; </w:t>
      </w:r>
      <w:hyperlink w:anchor="AUTO_2016_144" w:history="1">
        <w:r w:rsidRPr="00427CF1">
          <w:rPr>
            <w:rStyle w:val="TextoNormalCaracter"/>
          </w:rPr>
          <w:t>144/2016</w:t>
        </w:r>
      </w:hyperlink>
      <w:r>
        <w:t xml:space="preserve">, ff. 1 a 3, 5; </w:t>
      </w:r>
      <w:hyperlink w:anchor="AUTO_2016_157" w:history="1">
        <w:r w:rsidRPr="00427CF1">
          <w:rPr>
            <w:rStyle w:val="TextoNormalCaracter"/>
          </w:rPr>
          <w:t>157/2016</w:t>
        </w:r>
      </w:hyperlink>
      <w:r>
        <w:t xml:space="preserve">, ff. 1, 3; </w:t>
      </w:r>
      <w:hyperlink w:anchor="AUTO_2016_158" w:history="1">
        <w:r w:rsidRPr="00427CF1">
          <w:rPr>
            <w:rStyle w:val="TextoNormalCaracter"/>
          </w:rPr>
          <w:t>158/2016</w:t>
        </w:r>
      </w:hyperlink>
      <w:r>
        <w:t xml:space="preserve">, ff. 1, 2, 4; </w:t>
      </w:r>
      <w:hyperlink w:anchor="AUTO_2016_160" w:history="1">
        <w:r w:rsidRPr="00427CF1">
          <w:rPr>
            <w:rStyle w:val="TextoNormalCaracter"/>
          </w:rPr>
          <w:t>160/2016</w:t>
        </w:r>
      </w:hyperlink>
      <w:r>
        <w:t xml:space="preserve">, ff. 1, 2; </w:t>
      </w:r>
      <w:hyperlink w:anchor="AUTO_2016_162" w:history="1">
        <w:r w:rsidRPr="00427CF1">
          <w:rPr>
            <w:rStyle w:val="TextoNormalCaracter"/>
          </w:rPr>
          <w:t>162/2016</w:t>
        </w:r>
      </w:hyperlink>
      <w:r>
        <w:t xml:space="preserve">, f. 2; </w:t>
      </w:r>
      <w:hyperlink w:anchor="AUTO_2016_169" w:history="1">
        <w:r w:rsidRPr="00427CF1">
          <w:rPr>
            <w:rStyle w:val="TextoNormalCaracter"/>
          </w:rPr>
          <w:t>169/2016</w:t>
        </w:r>
      </w:hyperlink>
      <w:r>
        <w:t xml:space="preserve">, ff. 1, 2; </w:t>
      </w:r>
      <w:hyperlink w:anchor="AUTO_2016_170" w:history="1">
        <w:r w:rsidRPr="00427CF1">
          <w:rPr>
            <w:rStyle w:val="TextoNormalCaracter"/>
          </w:rPr>
          <w:t>170/2016</w:t>
        </w:r>
      </w:hyperlink>
      <w:r>
        <w:t>, f. 1.</w:t>
      </w:r>
    </w:p>
    <w:p w:rsidR="00427CF1" w:rsidRDefault="00427CF1" w:rsidP="00427CF1">
      <w:pPr>
        <w:pStyle w:val="SangriaFrancesaArticulo"/>
      </w:pPr>
      <w:r w:rsidRPr="00427CF1">
        <w:rPr>
          <w:rStyle w:val="TextoNormalNegritaCaracter"/>
        </w:rPr>
        <w:t>Artículo 162.</w:t>
      </w:r>
      <w:r w:rsidRPr="00427CF1">
        <w:rPr>
          <w:rStyle w:val="TextoNormalCaracter"/>
        </w:rPr>
        <w:t>-</w:t>
      </w:r>
      <w:r>
        <w:t xml:space="preserve"> Sentencia </w:t>
      </w:r>
      <w:hyperlink w:anchor="SENTENCIA_2016_154" w:history="1">
        <w:r w:rsidRPr="00427CF1">
          <w:rPr>
            <w:rStyle w:val="TextoNormalCaracter"/>
          </w:rPr>
          <w:t>154/2016</w:t>
        </w:r>
      </w:hyperlink>
      <w:r>
        <w:t>, f. 2.</w:t>
      </w:r>
    </w:p>
    <w:p w:rsidR="00427CF1" w:rsidRDefault="00427CF1" w:rsidP="00427CF1">
      <w:pPr>
        <w:pStyle w:val="SangriaFrancesaArticulo"/>
      </w:pPr>
      <w:r w:rsidRPr="00427CF1">
        <w:rPr>
          <w:rStyle w:val="TextoNormalNegritaCaracter"/>
        </w:rPr>
        <w:t>Artículo 162.1 a).</w:t>
      </w:r>
      <w:r w:rsidRPr="00427CF1">
        <w:rPr>
          <w:rStyle w:val="TextoNormalCaracter"/>
        </w:rPr>
        <w:t>-</w:t>
      </w:r>
      <w:r>
        <w:t xml:space="preserve"> Sentencia </w:t>
      </w:r>
      <w:hyperlink w:anchor="SENTENCIA_2016_185" w:history="1">
        <w:r w:rsidRPr="00427CF1">
          <w:rPr>
            <w:rStyle w:val="TextoNormalCaracter"/>
          </w:rPr>
          <w:t>185/2016</w:t>
        </w:r>
      </w:hyperlink>
      <w:r>
        <w:t>, VP I.</w:t>
      </w:r>
    </w:p>
    <w:p w:rsidR="00427CF1" w:rsidRDefault="00427CF1" w:rsidP="00427CF1">
      <w:pPr>
        <w:pStyle w:val="SangriaFrancesaArticulo"/>
      </w:pPr>
      <w:r w:rsidRPr="00427CF1">
        <w:rPr>
          <w:rStyle w:val="TextoNormalNegritaCaracter"/>
        </w:rPr>
        <w:t>Artículo 162.1 b).</w:t>
      </w:r>
      <w:r w:rsidRPr="00427CF1">
        <w:rPr>
          <w:rStyle w:val="TextoNormalCaracter"/>
        </w:rPr>
        <w:t>-</w:t>
      </w:r>
      <w:r>
        <w:t xml:space="preserve"> Sentencias </w:t>
      </w:r>
      <w:hyperlink w:anchor="SENTENCIA_2016_132" w:history="1">
        <w:r w:rsidRPr="00427CF1">
          <w:rPr>
            <w:rStyle w:val="TextoNormalCaracter"/>
          </w:rPr>
          <w:t>132/2016</w:t>
        </w:r>
      </w:hyperlink>
      <w:r>
        <w:t xml:space="preserve">, f. 2; </w:t>
      </w:r>
      <w:hyperlink w:anchor="SENTENCIA_2016_154" w:history="1">
        <w:r w:rsidRPr="00427CF1">
          <w:rPr>
            <w:rStyle w:val="TextoNormalCaracter"/>
          </w:rPr>
          <w:t>154/2016</w:t>
        </w:r>
      </w:hyperlink>
      <w:r>
        <w:t>, ff. 2, 3, VP.</w:t>
      </w:r>
    </w:p>
    <w:p w:rsidR="00427CF1" w:rsidRDefault="00427CF1" w:rsidP="00427CF1">
      <w:pPr>
        <w:pStyle w:val="SangriaFrancesaArticulo"/>
      </w:pPr>
      <w:r w:rsidRPr="00427CF1">
        <w:rPr>
          <w:rStyle w:val="TextoNormalNegritaCaracter"/>
        </w:rPr>
        <w:t>Artículo 162.2.</w:t>
      </w:r>
      <w:r w:rsidRPr="00427CF1">
        <w:rPr>
          <w:rStyle w:val="TextoNormalCaracter"/>
        </w:rPr>
        <w:t>-</w:t>
      </w:r>
      <w:r>
        <w:t xml:space="preserve"> Sentencias </w:t>
      </w:r>
      <w:hyperlink w:anchor="SENTENCIA_2016_185" w:history="1">
        <w:r w:rsidRPr="00427CF1">
          <w:rPr>
            <w:rStyle w:val="TextoNormalCaracter"/>
          </w:rPr>
          <w:t>185/2016</w:t>
        </w:r>
      </w:hyperlink>
      <w:r>
        <w:t xml:space="preserve">, ff. 3, 8, 10, VP II; </w:t>
      </w:r>
      <w:hyperlink w:anchor="SENTENCIA_2016_203" w:history="1">
        <w:r w:rsidRPr="00427CF1">
          <w:rPr>
            <w:rStyle w:val="TextoNormalCaracter"/>
          </w:rPr>
          <w:t>203/2016</w:t>
        </w:r>
      </w:hyperlink>
      <w:r>
        <w:t xml:space="preserve">, f. 2; </w:t>
      </w:r>
      <w:hyperlink w:anchor="SENTENCIA_2016_215" w:history="1">
        <w:r w:rsidRPr="00427CF1">
          <w:rPr>
            <w:rStyle w:val="TextoNormalCaracter"/>
          </w:rPr>
          <w:t>215/2016</w:t>
        </w:r>
      </w:hyperlink>
      <w:r>
        <w:t>, ff. 3, 6.</w:t>
      </w:r>
    </w:p>
    <w:p w:rsidR="00427CF1" w:rsidRDefault="00427CF1" w:rsidP="00427CF1">
      <w:pPr>
        <w:pStyle w:val="SangriaFrancesaArticulo"/>
      </w:pPr>
      <w:r w:rsidRPr="00427CF1">
        <w:rPr>
          <w:rStyle w:val="TextoNormalNegritaCaracter"/>
        </w:rPr>
        <w:t>Artículo 163.</w:t>
      </w:r>
      <w:r w:rsidRPr="00427CF1">
        <w:rPr>
          <w:rStyle w:val="TextoNormalCaracter"/>
        </w:rPr>
        <w:t>-</w:t>
      </w:r>
      <w:r>
        <w:t xml:space="preserve"> Sentencias </w:t>
      </w:r>
      <w:hyperlink w:anchor="SENTENCIA_2016_127" w:history="1">
        <w:r w:rsidRPr="00427CF1">
          <w:rPr>
            <w:rStyle w:val="TextoNormalCaracter"/>
          </w:rPr>
          <w:t>127/2016</w:t>
        </w:r>
      </w:hyperlink>
      <w:r>
        <w:t xml:space="preserve">, f. 3, VP; </w:t>
      </w:r>
      <w:hyperlink w:anchor="SENTENCIA_2016_134" w:history="1">
        <w:r w:rsidRPr="00427CF1">
          <w:rPr>
            <w:rStyle w:val="TextoNormalCaracter"/>
          </w:rPr>
          <w:t>134/2016</w:t>
        </w:r>
      </w:hyperlink>
      <w:r>
        <w:t xml:space="preserve">, f. 4; </w:t>
      </w:r>
      <w:hyperlink w:anchor="SENTENCIA_2016_135" w:history="1">
        <w:r w:rsidRPr="00427CF1">
          <w:rPr>
            <w:rStyle w:val="TextoNormalCaracter"/>
          </w:rPr>
          <w:t>135/2016</w:t>
        </w:r>
      </w:hyperlink>
      <w:r>
        <w:t xml:space="preserve">, f. 1; </w:t>
      </w:r>
      <w:hyperlink w:anchor="SENTENCIA_2016_145" w:history="1">
        <w:r w:rsidRPr="00427CF1">
          <w:rPr>
            <w:rStyle w:val="TextoNormalCaracter"/>
          </w:rPr>
          <w:t>145/2016</w:t>
        </w:r>
      </w:hyperlink>
      <w:r>
        <w:t xml:space="preserve">, f. 2; </w:t>
      </w:r>
      <w:hyperlink w:anchor="SENTENCIA_2016_160" w:history="1">
        <w:r w:rsidRPr="00427CF1">
          <w:rPr>
            <w:rStyle w:val="TextoNormalCaracter"/>
          </w:rPr>
          <w:t>160/2016</w:t>
        </w:r>
      </w:hyperlink>
      <w:r>
        <w:t xml:space="preserve">, f. 3; </w:t>
      </w:r>
      <w:hyperlink w:anchor="SENTENCIA_2016_167" w:history="1">
        <w:r w:rsidRPr="00427CF1">
          <w:rPr>
            <w:rStyle w:val="TextoNormalCaracter"/>
          </w:rPr>
          <w:t>167/2016</w:t>
        </w:r>
      </w:hyperlink>
      <w:r>
        <w:t xml:space="preserve">, f. 2; </w:t>
      </w:r>
      <w:hyperlink w:anchor="SENTENCIA_2016_174" w:history="1">
        <w:r w:rsidRPr="00427CF1">
          <w:rPr>
            <w:rStyle w:val="TextoNormalCaracter"/>
          </w:rPr>
          <w:t>174/2016</w:t>
        </w:r>
      </w:hyperlink>
      <w:r>
        <w:t xml:space="preserve">, f. 2; </w:t>
      </w:r>
      <w:hyperlink w:anchor="SENTENCIA_2016_175" w:history="1">
        <w:r w:rsidRPr="00427CF1">
          <w:rPr>
            <w:rStyle w:val="TextoNormalCaracter"/>
          </w:rPr>
          <w:t>175/2016</w:t>
        </w:r>
      </w:hyperlink>
      <w:r>
        <w:t xml:space="preserve">, f. 5; </w:t>
      </w:r>
      <w:hyperlink w:anchor="SENTENCIA_2016_181" w:history="1">
        <w:r w:rsidRPr="00427CF1">
          <w:rPr>
            <w:rStyle w:val="TextoNormalCaracter"/>
          </w:rPr>
          <w:t>181/2016</w:t>
        </w:r>
      </w:hyperlink>
      <w:r>
        <w:t xml:space="preserve">, f. 2; </w:t>
      </w:r>
      <w:hyperlink w:anchor="SENTENCIA_2016_185" w:history="1">
        <w:r w:rsidRPr="00427CF1">
          <w:rPr>
            <w:rStyle w:val="TextoNormalCaracter"/>
          </w:rPr>
          <w:t>185/2016</w:t>
        </w:r>
      </w:hyperlink>
      <w:r>
        <w:t xml:space="preserve">, ff. 8, 10; </w:t>
      </w:r>
      <w:hyperlink w:anchor="SENTENCIA_2016_187" w:history="1">
        <w:r w:rsidRPr="00427CF1">
          <w:rPr>
            <w:rStyle w:val="TextoNormalCaracter"/>
          </w:rPr>
          <w:t>187/2016</w:t>
        </w:r>
      </w:hyperlink>
      <w:r>
        <w:t xml:space="preserve">, f. 2; </w:t>
      </w:r>
      <w:hyperlink w:anchor="SENTENCIA_2016_188" w:history="1">
        <w:r w:rsidRPr="00427CF1">
          <w:rPr>
            <w:rStyle w:val="TextoNormalCaracter"/>
          </w:rPr>
          <w:t>188/2016</w:t>
        </w:r>
      </w:hyperlink>
      <w:r>
        <w:t xml:space="preserve">, f. 2; </w:t>
      </w:r>
      <w:hyperlink w:anchor="SENTENCIA_2016_197" w:history="1">
        <w:r w:rsidRPr="00427CF1">
          <w:rPr>
            <w:rStyle w:val="TextoNormalCaracter"/>
          </w:rPr>
          <w:t>197/2016</w:t>
        </w:r>
      </w:hyperlink>
      <w:r>
        <w:t xml:space="preserve">, f. 2; </w:t>
      </w:r>
      <w:hyperlink w:anchor="SENTENCIA_2016_204" w:history="1">
        <w:r w:rsidRPr="00427CF1">
          <w:rPr>
            <w:rStyle w:val="TextoNormalCaracter"/>
          </w:rPr>
          <w:t>204/2016</w:t>
        </w:r>
      </w:hyperlink>
      <w:r>
        <w:t>, VP I, VP II.</w:t>
      </w:r>
    </w:p>
    <w:p w:rsidR="00427CF1" w:rsidRDefault="00427CF1" w:rsidP="00427CF1">
      <w:pPr>
        <w:pStyle w:val="SangriaIzquierdaArticulo"/>
      </w:pPr>
      <w:r>
        <w:t xml:space="preserve">Autos </w:t>
      </w:r>
      <w:hyperlink w:anchor="AUTO_2016_142" w:history="1">
        <w:r w:rsidRPr="00427CF1">
          <w:rPr>
            <w:rStyle w:val="TextoNormalCaracter"/>
          </w:rPr>
          <w:t>142/2016</w:t>
        </w:r>
      </w:hyperlink>
      <w:r>
        <w:t xml:space="preserve">, f. 1; </w:t>
      </w:r>
      <w:hyperlink w:anchor="AUTO_2016_143" w:history="1">
        <w:r w:rsidRPr="00427CF1">
          <w:rPr>
            <w:rStyle w:val="TextoNormalCaracter"/>
          </w:rPr>
          <w:t>143/2016</w:t>
        </w:r>
      </w:hyperlink>
      <w:r>
        <w:t xml:space="preserve">, f. 2; </w:t>
      </w:r>
      <w:hyperlink w:anchor="AUTO_2016_159" w:history="1">
        <w:r w:rsidRPr="00427CF1">
          <w:rPr>
            <w:rStyle w:val="TextoNormalCaracter"/>
          </w:rPr>
          <w:t>159/2016</w:t>
        </w:r>
      </w:hyperlink>
      <w:r>
        <w:t xml:space="preserve">, f. 2; </w:t>
      </w:r>
      <w:hyperlink w:anchor="AUTO_2016_167" w:history="1">
        <w:r w:rsidRPr="00427CF1">
          <w:rPr>
            <w:rStyle w:val="TextoNormalCaracter"/>
          </w:rPr>
          <w:t>167/2016</w:t>
        </w:r>
      </w:hyperlink>
      <w:r>
        <w:t xml:space="preserve">, ff. 2, 4; </w:t>
      </w:r>
      <w:hyperlink w:anchor="AUTO_2016_168" w:history="1">
        <w:r w:rsidRPr="00427CF1">
          <w:rPr>
            <w:rStyle w:val="TextoNormalCaracter"/>
          </w:rPr>
          <w:t>168/2016</w:t>
        </w:r>
      </w:hyperlink>
      <w:r>
        <w:t xml:space="preserve">, ff. 2 a 5; </w:t>
      </w:r>
      <w:hyperlink w:anchor="AUTO_2016_182" w:history="1">
        <w:r w:rsidRPr="00427CF1">
          <w:rPr>
            <w:rStyle w:val="TextoNormalCaracter"/>
          </w:rPr>
          <w:t>182/2016</w:t>
        </w:r>
      </w:hyperlink>
      <w:r>
        <w:t xml:space="preserve">, f. 2; </w:t>
      </w:r>
      <w:hyperlink w:anchor="AUTO_2016_183" w:history="1">
        <w:r w:rsidRPr="00427CF1">
          <w:rPr>
            <w:rStyle w:val="TextoNormalCaracter"/>
          </w:rPr>
          <w:t>183/2016</w:t>
        </w:r>
      </w:hyperlink>
      <w:r>
        <w:t xml:space="preserve">, f. 2; </w:t>
      </w:r>
      <w:hyperlink w:anchor="AUTO_2016_185" w:history="1">
        <w:r w:rsidRPr="00427CF1">
          <w:rPr>
            <w:rStyle w:val="TextoNormalCaracter"/>
          </w:rPr>
          <w:t>185/2016</w:t>
        </w:r>
      </w:hyperlink>
      <w:r>
        <w:t xml:space="preserve">, f. 2; </w:t>
      </w:r>
      <w:hyperlink w:anchor="AUTO_2016_186" w:history="1">
        <w:r w:rsidRPr="00427CF1">
          <w:rPr>
            <w:rStyle w:val="TextoNormalCaracter"/>
          </w:rPr>
          <w:t>186/2016</w:t>
        </w:r>
      </w:hyperlink>
      <w:r>
        <w:t xml:space="preserve">, f. 2; </w:t>
      </w:r>
      <w:hyperlink w:anchor="AUTO_2016_198" w:history="1">
        <w:r w:rsidRPr="00427CF1">
          <w:rPr>
            <w:rStyle w:val="TextoNormalCaracter"/>
          </w:rPr>
          <w:t>198/2016</w:t>
        </w:r>
      </w:hyperlink>
      <w:r>
        <w:t xml:space="preserve">, f. 4; </w:t>
      </w:r>
      <w:hyperlink w:anchor="AUTO_2016_202" w:history="1">
        <w:r w:rsidRPr="00427CF1">
          <w:rPr>
            <w:rStyle w:val="TextoNormalCaracter"/>
          </w:rPr>
          <w:t>202/2016</w:t>
        </w:r>
      </w:hyperlink>
      <w:r>
        <w:t xml:space="preserve">, ff. 2, 3; </w:t>
      </w:r>
      <w:hyperlink w:anchor="AUTO_2016_203" w:history="1">
        <w:r w:rsidRPr="00427CF1">
          <w:rPr>
            <w:rStyle w:val="TextoNormalCaracter"/>
          </w:rPr>
          <w:t>203/2016</w:t>
        </w:r>
      </w:hyperlink>
      <w:r>
        <w:t xml:space="preserve">, ff. 2, 3; </w:t>
      </w:r>
      <w:hyperlink w:anchor="AUTO_2016_204" w:history="1">
        <w:r w:rsidRPr="00427CF1">
          <w:rPr>
            <w:rStyle w:val="TextoNormalCaracter"/>
          </w:rPr>
          <w:t>204/2016</w:t>
        </w:r>
      </w:hyperlink>
      <w:r>
        <w:t xml:space="preserve">, ff. 2, 3; </w:t>
      </w:r>
      <w:hyperlink w:anchor="AUTO_2016_205" w:history="1">
        <w:r w:rsidRPr="00427CF1">
          <w:rPr>
            <w:rStyle w:val="TextoNormalCaracter"/>
          </w:rPr>
          <w:t>205/2016</w:t>
        </w:r>
      </w:hyperlink>
      <w:r>
        <w:t>, ff. 2, 3.</w:t>
      </w:r>
    </w:p>
    <w:p w:rsidR="00427CF1" w:rsidRDefault="00427CF1" w:rsidP="00427CF1">
      <w:pPr>
        <w:pStyle w:val="SangriaFrancesaArticulo"/>
      </w:pPr>
      <w:r w:rsidRPr="00427CF1">
        <w:rPr>
          <w:rStyle w:val="TextoNormalNegritaCaracter"/>
        </w:rPr>
        <w:t>Artículo 164.</w:t>
      </w:r>
      <w:r w:rsidRPr="00427CF1">
        <w:rPr>
          <w:rStyle w:val="TextoNormalCaracter"/>
        </w:rPr>
        <w:t>-</w:t>
      </w:r>
      <w:r>
        <w:t xml:space="preserve"> Sentencias </w:t>
      </w:r>
      <w:hyperlink w:anchor="SENTENCIA_2016_185" w:history="1">
        <w:r w:rsidRPr="00427CF1">
          <w:rPr>
            <w:rStyle w:val="TextoNormalCaracter"/>
          </w:rPr>
          <w:t>185/2016</w:t>
        </w:r>
      </w:hyperlink>
      <w:r>
        <w:t xml:space="preserve">, ff. 1, 6, 8, 10, VP II; </w:t>
      </w:r>
      <w:hyperlink w:anchor="SENTENCIA_2016_215" w:history="1">
        <w:r w:rsidRPr="00427CF1">
          <w:rPr>
            <w:rStyle w:val="TextoNormalCaracter"/>
          </w:rPr>
          <w:t>215/2016</w:t>
        </w:r>
      </w:hyperlink>
      <w:r>
        <w:t>, ff. 7, 11.</w:t>
      </w:r>
    </w:p>
    <w:p w:rsidR="00427CF1" w:rsidRDefault="00427CF1" w:rsidP="00427CF1">
      <w:pPr>
        <w:pStyle w:val="SangriaFrancesaArticulo"/>
      </w:pPr>
      <w:r w:rsidRPr="00427CF1">
        <w:rPr>
          <w:rStyle w:val="TextoNormalNegritaCaracter"/>
        </w:rPr>
        <w:t>Artículo 164.1.</w:t>
      </w:r>
      <w:r w:rsidRPr="00427CF1">
        <w:rPr>
          <w:rStyle w:val="TextoNormalCaracter"/>
        </w:rPr>
        <w:t>-</w:t>
      </w:r>
      <w:r>
        <w:t xml:space="preserve"> Sentencias </w:t>
      </w:r>
      <w:hyperlink w:anchor="SENTENCIA_2016_185" w:history="1">
        <w:r w:rsidRPr="00427CF1">
          <w:rPr>
            <w:rStyle w:val="TextoNormalCaracter"/>
          </w:rPr>
          <w:t>185/2016</w:t>
        </w:r>
      </w:hyperlink>
      <w:r>
        <w:t xml:space="preserve">, VP II; </w:t>
      </w:r>
      <w:hyperlink w:anchor="SENTENCIA_2016_215" w:history="1">
        <w:r w:rsidRPr="00427CF1">
          <w:rPr>
            <w:rStyle w:val="TextoNormalCaracter"/>
          </w:rPr>
          <w:t>215/2016</w:t>
        </w:r>
      </w:hyperlink>
      <w:r>
        <w:t>, f. 8.</w:t>
      </w:r>
    </w:p>
    <w:p w:rsidR="00427CF1" w:rsidRDefault="00427CF1" w:rsidP="00427CF1">
      <w:pPr>
        <w:pStyle w:val="SangriaFrancesaArticulo"/>
      </w:pPr>
      <w:r w:rsidRPr="00427CF1">
        <w:rPr>
          <w:rStyle w:val="TextoNormalNegritaCaracter"/>
        </w:rPr>
        <w:t>Artículo 165.</w:t>
      </w:r>
      <w:r w:rsidRPr="00427CF1">
        <w:rPr>
          <w:rStyle w:val="TextoNormalCaracter"/>
        </w:rPr>
        <w:t>-</w:t>
      </w:r>
      <w:r>
        <w:t xml:space="preserve"> Sentencias </w:t>
      </w:r>
      <w:hyperlink w:anchor="SENTENCIA_2016_185" w:history="1">
        <w:r w:rsidRPr="00427CF1">
          <w:rPr>
            <w:rStyle w:val="TextoNormalCaracter"/>
          </w:rPr>
          <w:t>185/2016</w:t>
        </w:r>
      </w:hyperlink>
      <w:r>
        <w:t xml:space="preserve">, ff. 1, 3, 6, 8 a 10, 15, 17, VP I, VP II, VP III; </w:t>
      </w:r>
      <w:hyperlink w:anchor="SENTENCIA_2016_203" w:history="1">
        <w:r w:rsidRPr="00427CF1">
          <w:rPr>
            <w:rStyle w:val="TextoNormalCaracter"/>
          </w:rPr>
          <w:t>203/2016</w:t>
        </w:r>
      </w:hyperlink>
      <w:r>
        <w:t xml:space="preserve">, f. 2; </w:t>
      </w:r>
      <w:hyperlink w:anchor="SENTENCIA_2016_215" w:history="1">
        <w:r w:rsidRPr="00427CF1">
          <w:rPr>
            <w:rStyle w:val="TextoNormalCaracter"/>
          </w:rPr>
          <w:t>215/2016</w:t>
        </w:r>
      </w:hyperlink>
      <w:r>
        <w:t>, 1, 3, 6, 8, 10, 11, 13, 14, VP III.</w:t>
      </w:r>
    </w:p>
    <w:p w:rsidR="00427CF1" w:rsidRDefault="00427CF1" w:rsidP="00427CF1">
      <w:pPr>
        <w:pStyle w:val="SangriaFrancesaArticulo"/>
      </w:pPr>
      <w:r w:rsidRPr="00427CF1">
        <w:rPr>
          <w:rStyle w:val="TextoNormalNegritaCaracter"/>
        </w:rPr>
        <w:t>Artículo 166.</w:t>
      </w:r>
      <w:r w:rsidRPr="00427CF1">
        <w:rPr>
          <w:rStyle w:val="TextoNormalCaracter"/>
        </w:rPr>
        <w:t>-</w:t>
      </w:r>
      <w:r>
        <w:t xml:space="preserve"> Sentencia </w:t>
      </w:r>
      <w:hyperlink w:anchor="SENTENCIA_2016_128" w:history="1">
        <w:r w:rsidRPr="00427CF1">
          <w:rPr>
            <w:rStyle w:val="TextoNormalCaracter"/>
          </w:rPr>
          <w:t>128/2016</w:t>
        </w:r>
      </w:hyperlink>
      <w:r>
        <w:t>, ff. 4 a 6, 10.</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 5; </w:t>
      </w:r>
      <w:hyperlink w:anchor="AUTO_2016_170" w:history="1">
        <w:r w:rsidRPr="00427CF1">
          <w:rPr>
            <w:rStyle w:val="TextoNormalCaracter"/>
          </w:rPr>
          <w:t>170/2016</w:t>
        </w:r>
      </w:hyperlink>
      <w:r>
        <w:t>, ff. 4, 6.</w:t>
      </w:r>
    </w:p>
    <w:p w:rsidR="00427CF1" w:rsidRDefault="00427CF1" w:rsidP="00427CF1">
      <w:pPr>
        <w:pStyle w:val="SangriaFrancesaArticulo"/>
      </w:pPr>
      <w:r w:rsidRPr="00427CF1">
        <w:rPr>
          <w:rStyle w:val="TextoNormalNegritaCaracter"/>
        </w:rPr>
        <w:t>Artículo 168.</w:t>
      </w:r>
      <w:r w:rsidRPr="00427CF1">
        <w:rPr>
          <w:rStyle w:val="TextoNormalCaracter"/>
        </w:rPr>
        <w:t>-</w:t>
      </w:r>
      <w:r>
        <w:t xml:space="preserve"> Sentencia </w:t>
      </w:r>
      <w:hyperlink w:anchor="SENTENCIA_2016_128" w:history="1">
        <w:r w:rsidRPr="00427CF1">
          <w:rPr>
            <w:rStyle w:val="TextoNormalCaracter"/>
          </w:rPr>
          <w:t>128/2016</w:t>
        </w:r>
      </w:hyperlink>
      <w:r>
        <w:t>, ff. 1, 4 a 10.</w:t>
      </w:r>
    </w:p>
    <w:p w:rsidR="00427CF1" w:rsidRDefault="00427CF1" w:rsidP="00427CF1">
      <w:pPr>
        <w:pStyle w:val="SangriaIzquierdaArticulo"/>
      </w:pPr>
      <w:r>
        <w:t xml:space="preserve">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Artículo 168.1.</w:t>
      </w:r>
      <w:r w:rsidRPr="00427CF1">
        <w:rPr>
          <w:rStyle w:val="TextoNormalCaracter"/>
        </w:rPr>
        <w:t>-</w:t>
      </w:r>
      <w:r>
        <w:t xml:space="preserve"> Sentencia </w:t>
      </w:r>
      <w:hyperlink w:anchor="SENTENCIA_2016_128" w:history="1">
        <w:r w:rsidRPr="00427CF1">
          <w:rPr>
            <w:rStyle w:val="TextoNormalCaracter"/>
          </w:rPr>
          <w:t>128/2016</w:t>
        </w:r>
      </w:hyperlink>
      <w:r>
        <w:t>, f. 5.</w:t>
      </w:r>
    </w:p>
    <w:p w:rsidR="00427CF1" w:rsidRDefault="00427CF1" w:rsidP="00427CF1">
      <w:pPr>
        <w:pStyle w:val="SangriaIzquierdaArticulo"/>
      </w:pPr>
      <w:r>
        <w:t xml:space="preserve">Auto </w:t>
      </w:r>
      <w:hyperlink w:anchor="AUTO_2016_141" w:history="1">
        <w:r w:rsidRPr="00427CF1">
          <w:rPr>
            <w:rStyle w:val="TextoNormalCaracter"/>
          </w:rPr>
          <w:t>141/2016</w:t>
        </w:r>
      </w:hyperlink>
      <w:r>
        <w:t>, f. 5.</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Sentencias </w:t>
      </w:r>
      <w:hyperlink w:anchor="SENTENCIA_2016_180" w:history="1">
        <w:r w:rsidRPr="00427CF1">
          <w:rPr>
            <w:rStyle w:val="TextoNormalCaracter"/>
          </w:rPr>
          <w:t>180/2016</w:t>
        </w:r>
      </w:hyperlink>
      <w:r>
        <w:t xml:space="preserve">, f. 4; </w:t>
      </w:r>
      <w:hyperlink w:anchor="SENTENCIA_2016_192" w:history="1">
        <w:r w:rsidRPr="00427CF1">
          <w:rPr>
            <w:rStyle w:val="TextoNormalCaracter"/>
          </w:rPr>
          <w:t>192/2016</w:t>
        </w:r>
      </w:hyperlink>
      <w:r>
        <w:t xml:space="preserve">, VP;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Disposición adicional primera, párrafo 2.</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 </w:t>
      </w:r>
      <w:hyperlink w:anchor="SENTENCIA_2016_217" w:history="1">
        <w:r w:rsidRPr="00427CF1">
          <w:rPr>
            <w:rStyle w:val="TextoNormalCaracter"/>
          </w:rPr>
          <w:t>217/2016</w:t>
        </w:r>
      </w:hyperlink>
      <w:r>
        <w:t>, f.4.</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 </w:t>
      </w:r>
      <w:hyperlink w:anchor="SENTENCIA_2016_192" w:history="1">
        <w:r w:rsidRPr="00427CF1">
          <w:rPr>
            <w:rStyle w:val="TextoNormalCaracter"/>
          </w:rPr>
          <w:t>192/2016</w:t>
        </w:r>
      </w:hyperlink>
      <w:r>
        <w:t>, VP.</w:t>
      </w:r>
    </w:p>
    <w:p w:rsidR="00427CF1" w:rsidRDefault="00427CF1" w:rsidP="00427CF1">
      <w:pPr>
        <w:pStyle w:val="TextoNormal"/>
      </w:pPr>
    </w:p>
    <w:p w:rsidR="00427CF1" w:rsidRDefault="00427CF1" w:rsidP="00427CF1">
      <w:pPr>
        <w:pStyle w:val="SangriaFrancesaArticulo"/>
      </w:pPr>
      <w:bookmarkStart w:id="189" w:name="INDICE22843"/>
    </w:p>
    <w:bookmarkEnd w:id="189"/>
    <w:p w:rsidR="00427CF1" w:rsidRDefault="00427CF1" w:rsidP="00427CF1">
      <w:pPr>
        <w:pStyle w:val="TextoIndiceNivel2"/>
        <w:suppressAutoHyphens/>
      </w:pPr>
      <w:r>
        <w:t>B) Tribunal Constitucional</w:t>
      </w:r>
    </w:p>
    <w:p w:rsidR="00427CF1" w:rsidRDefault="00427CF1" w:rsidP="00427CF1">
      <w:pPr>
        <w:pStyle w:val="TextoIndiceNivel2"/>
      </w:pPr>
    </w:p>
    <w:p w:rsidR="00427CF1" w:rsidRDefault="00427CF1" w:rsidP="00427CF1">
      <w:pPr>
        <w:pStyle w:val="TextoNormalNegritaCursivandice"/>
      </w:pPr>
      <w:r>
        <w:t>Ley Orgánica 2/1979, de 3 de octubre. Tribunal Constitucional</w:t>
      </w:r>
    </w:p>
    <w:p w:rsidR="00427CF1" w:rsidRDefault="00427CF1" w:rsidP="00427CF1">
      <w:pPr>
        <w:pStyle w:val="SangriaFrancesaArticulo"/>
      </w:pPr>
      <w:r w:rsidRPr="00427CF1">
        <w:rPr>
          <w:rStyle w:val="TextoNormalNegritaCaracter"/>
        </w:rPr>
        <w:t>Título II.</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Título IV, capítulo IV.</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Título V.</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ff. 1, 3; </w:t>
      </w:r>
      <w:hyperlink w:anchor="AUTO_2016_170" w:history="1">
        <w:r w:rsidRPr="00427CF1">
          <w:rPr>
            <w:rStyle w:val="TextoNormalCaracter"/>
          </w:rPr>
          <w:t>170/2016</w:t>
        </w:r>
      </w:hyperlink>
      <w:r>
        <w:t>, ff. 1, 4.</w:t>
      </w:r>
    </w:p>
    <w:p w:rsidR="00427CF1" w:rsidRDefault="00427CF1" w:rsidP="00427CF1">
      <w:pPr>
        <w:pStyle w:val="SangriaFrancesaArticulo"/>
      </w:pPr>
      <w:r w:rsidRPr="00427CF1">
        <w:rPr>
          <w:rStyle w:val="TextoNormalNegritaCaracter"/>
        </w:rPr>
        <w:t>Título VII.</w:t>
      </w:r>
      <w:r w:rsidRPr="00427CF1">
        <w:rPr>
          <w:rStyle w:val="TextoNormalCaracter"/>
        </w:rPr>
        <w:t>-</w:t>
      </w:r>
      <w:r>
        <w:t xml:space="preserve"> Sentencia </w:t>
      </w:r>
      <w:hyperlink w:anchor="SENTENCIA_2016_185" w:history="1">
        <w:r w:rsidRPr="00427CF1">
          <w:rPr>
            <w:rStyle w:val="TextoNormalCaracter"/>
          </w:rPr>
          <w:t>185/2016</w:t>
        </w:r>
      </w:hyperlink>
      <w:r>
        <w:t>, f. 9.</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Sentencias </w:t>
      </w:r>
      <w:hyperlink w:anchor="SENTENCIA_2016_185" w:history="1">
        <w:r w:rsidRPr="00427CF1">
          <w:rPr>
            <w:rStyle w:val="TextoNormalCaracter"/>
          </w:rPr>
          <w:t>185/2016</w:t>
        </w:r>
      </w:hyperlink>
      <w:r>
        <w:t xml:space="preserve">, VP I, VP II, VP III; </w:t>
      </w:r>
      <w:hyperlink w:anchor="SENTENCIA_2016_210" w:history="1">
        <w:r w:rsidRPr="00427CF1">
          <w:rPr>
            <w:rStyle w:val="TextoNormalCaracter"/>
          </w:rPr>
          <w:t>210/2016</w:t>
        </w:r>
      </w:hyperlink>
      <w:r>
        <w:t xml:space="preserve">, f. 5; </w:t>
      </w:r>
      <w:hyperlink w:anchor="SENTENCIA_2016_215" w:history="1">
        <w:r w:rsidRPr="00427CF1">
          <w:rPr>
            <w:rStyle w:val="TextoNormalCaracter"/>
          </w:rPr>
          <w:t>215/2016</w:t>
        </w:r>
      </w:hyperlink>
      <w:r>
        <w:t>, VP III.</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Sentencias </w:t>
      </w:r>
      <w:hyperlink w:anchor="SENTENCIA_2016_148" w:history="1">
        <w:r w:rsidRPr="00427CF1">
          <w:rPr>
            <w:rStyle w:val="TextoNormalCaracter"/>
          </w:rPr>
          <w:t>148/2016</w:t>
        </w:r>
      </w:hyperlink>
      <w:r>
        <w:t xml:space="preserve">, f. 5; </w:t>
      </w:r>
      <w:hyperlink w:anchor="SENTENCIA_2016_185" w:history="1">
        <w:r w:rsidRPr="00427CF1">
          <w:rPr>
            <w:rStyle w:val="TextoNormalCaracter"/>
          </w:rPr>
          <w:t>185/2016</w:t>
        </w:r>
      </w:hyperlink>
      <w:r>
        <w:t xml:space="preserve">, ff. 3, 9, VP II, VP III; </w:t>
      </w:r>
      <w:hyperlink w:anchor="SENTENCIA_2016_192" w:history="1">
        <w:r w:rsidRPr="00427CF1">
          <w:rPr>
            <w:rStyle w:val="TextoNormalCaracter"/>
          </w:rPr>
          <w:t>192/2016</w:t>
        </w:r>
      </w:hyperlink>
      <w:r>
        <w:t xml:space="preserve">, f. 2; </w:t>
      </w:r>
      <w:hyperlink w:anchor="SENTENCIA_2016_215" w:history="1">
        <w:r w:rsidRPr="00427CF1">
          <w:rPr>
            <w:rStyle w:val="TextoNormalCaracter"/>
          </w:rPr>
          <w:t>215/2016</w:t>
        </w:r>
      </w:hyperlink>
      <w:r>
        <w:t>, f. 6.</w:t>
      </w:r>
    </w:p>
    <w:p w:rsidR="00427CF1" w:rsidRDefault="00427CF1" w:rsidP="00427CF1">
      <w:pPr>
        <w:pStyle w:val="SangriaIzquierdaArticulo"/>
      </w:pPr>
      <w:r>
        <w:t xml:space="preserve">Auto </w:t>
      </w:r>
      <w:hyperlink w:anchor="AUTO_2016_170" w:history="1">
        <w:r w:rsidRPr="00427CF1">
          <w:rPr>
            <w:rStyle w:val="TextoNormalCaracter"/>
          </w:rPr>
          <w:t>170/2016</w:t>
        </w:r>
      </w:hyperlink>
      <w:r>
        <w:t>, f. 6.</w:t>
      </w:r>
    </w:p>
    <w:p w:rsidR="00427CF1" w:rsidRDefault="00427CF1" w:rsidP="00427CF1">
      <w:pPr>
        <w:pStyle w:val="SangriaFrancesaArticulo"/>
      </w:pPr>
      <w:r w:rsidRPr="00427CF1">
        <w:rPr>
          <w:rStyle w:val="TextoNormalNegritaCaracter"/>
        </w:rPr>
        <w:t>Artículo 2.1 a).</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2.1 d) bis.</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4</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85" w:history="1">
        <w:r w:rsidRPr="00427CF1">
          <w:rPr>
            <w:rStyle w:val="TextoNormalCaracter"/>
          </w:rPr>
          <w:t>185/2016</w:t>
        </w:r>
      </w:hyperlink>
      <w:r>
        <w:t>, VP III.</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FrancesaArticulo"/>
      </w:pPr>
      <w:r w:rsidRPr="00427CF1">
        <w:rPr>
          <w:rStyle w:val="TextoNormalNegritaCaracter"/>
        </w:rPr>
        <w:t>Artículo 4.1</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85" w:history="1">
        <w:r w:rsidRPr="00427CF1">
          <w:rPr>
            <w:rStyle w:val="TextoNormalCaracter"/>
          </w:rPr>
          <w:t>185/2016</w:t>
        </w:r>
      </w:hyperlink>
      <w:r>
        <w:t>, f. 9.</w:t>
      </w:r>
    </w:p>
    <w:p w:rsidR="00427CF1" w:rsidRDefault="00427CF1" w:rsidP="00427CF1">
      <w:pPr>
        <w:pStyle w:val="SangriaIzquierdaArticulo"/>
      </w:pPr>
      <w:r>
        <w:t xml:space="preserve">Auto </w:t>
      </w:r>
      <w:hyperlink w:anchor="AUTO_2016_170" w:history="1">
        <w:r w:rsidRPr="00427CF1">
          <w:rPr>
            <w:rStyle w:val="TextoNormalCaracter"/>
          </w:rPr>
          <w:t>170/2016</w:t>
        </w:r>
      </w:hyperlink>
      <w:r>
        <w:t>, f. 2.</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 </w:t>
      </w:r>
      <w:hyperlink w:anchor="SENTENCIA_2016_216" w:history="1">
        <w:r w:rsidRPr="00427CF1">
          <w:rPr>
            <w:rStyle w:val="TextoNormalCaracter"/>
          </w:rPr>
          <w:t>216/2016</w:t>
        </w:r>
      </w:hyperlink>
      <w:r>
        <w:t>, f. 4.</w:t>
      </w:r>
    </w:p>
    <w:p w:rsidR="00427CF1" w:rsidRDefault="00427CF1" w:rsidP="00427CF1">
      <w:pPr>
        <w:pStyle w:val="SangriaFrancesaArticulo"/>
      </w:pPr>
      <w:r w:rsidRPr="00427CF1">
        <w:rPr>
          <w:rStyle w:val="TextoNormalNegritaCaracter"/>
        </w:rPr>
        <w:t>Artículo 8.1.</w:t>
      </w:r>
      <w:r w:rsidRPr="00427CF1">
        <w:rPr>
          <w:rStyle w:val="TextoNormalCaracter"/>
        </w:rPr>
        <w:t>-</w:t>
      </w:r>
      <w:r>
        <w:t xml:space="preserve"> Sentencia </w:t>
      </w:r>
      <w:hyperlink w:anchor="SENTENCIA_2016_172" w:history="1">
        <w:r w:rsidRPr="00427CF1">
          <w:rPr>
            <w:rStyle w:val="TextoNormalCaracter"/>
          </w:rPr>
          <w:t>172/2016</w:t>
        </w:r>
      </w:hyperlink>
      <w:r>
        <w:t>, f. 2.</w:t>
      </w:r>
    </w:p>
    <w:p w:rsidR="00427CF1" w:rsidRDefault="00427CF1" w:rsidP="00427CF1">
      <w:pPr>
        <w:pStyle w:val="SangriaFrancesaArticulo"/>
      </w:pPr>
      <w:r w:rsidRPr="00427CF1">
        <w:rPr>
          <w:rStyle w:val="TextoNormalNegritaCaracter"/>
        </w:rPr>
        <w:t>Artículo 10.1 b).</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10.1 n).</w:t>
      </w:r>
      <w:r w:rsidRPr="00427CF1">
        <w:rPr>
          <w:rStyle w:val="TextoNormalCaracter"/>
        </w:rPr>
        <w:t>-</w:t>
      </w:r>
      <w:r>
        <w:t xml:space="preserve"> Sentencia </w:t>
      </w:r>
      <w:hyperlink w:anchor="SENTENCIA_2016_212" w:history="1">
        <w:r w:rsidRPr="00427CF1">
          <w:rPr>
            <w:rStyle w:val="TextoNormalCaracter"/>
          </w:rPr>
          <w:t>212/2016</w:t>
        </w:r>
      </w:hyperlink>
      <w:r>
        <w:t>, f. 4.</w:t>
      </w:r>
    </w:p>
    <w:p w:rsidR="00427CF1" w:rsidRDefault="00427CF1" w:rsidP="00427CF1">
      <w:pPr>
        <w:pStyle w:val="SangriaIzquierdaArticulo"/>
      </w:pPr>
      <w:r>
        <w:t xml:space="preserve">Auto </w:t>
      </w:r>
      <w:hyperlink w:anchor="AUTO_2016_155" w:history="1">
        <w:r w:rsidRPr="00427CF1">
          <w:rPr>
            <w:rStyle w:val="TextoNormalCaracter"/>
          </w:rPr>
          <w:t>155/2016</w:t>
        </w:r>
      </w:hyperlink>
      <w:r>
        <w:t>, VP II.</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172" w:history="1">
        <w:r w:rsidRPr="00427CF1">
          <w:rPr>
            <w:rStyle w:val="TextoNormalCaracter"/>
          </w:rPr>
          <w:t>172/2016</w:t>
        </w:r>
      </w:hyperlink>
      <w:r>
        <w:t>, f. 2.</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212" w:history="1">
        <w:r w:rsidRPr="00427CF1">
          <w:rPr>
            <w:rStyle w:val="TextoNormalCaracter"/>
          </w:rPr>
          <w:t>212/2016</w:t>
        </w:r>
      </w:hyperlink>
      <w:r>
        <w:t>, f. 4.</w:t>
      </w:r>
    </w:p>
    <w:p w:rsidR="00427CF1" w:rsidRDefault="00427CF1" w:rsidP="00427CF1">
      <w:pPr>
        <w:pStyle w:val="SangriaFrancesaArticulo"/>
      </w:pPr>
      <w:r w:rsidRPr="00427CF1">
        <w:rPr>
          <w:rStyle w:val="TextoNormalNegritaCaracter"/>
        </w:rPr>
        <w:t>Artículo 27.1.</w:t>
      </w:r>
      <w:r w:rsidRPr="00427CF1">
        <w:rPr>
          <w:rStyle w:val="TextoNormalCaracter"/>
        </w:rPr>
        <w:t>-</w:t>
      </w:r>
      <w:r>
        <w:t xml:space="preserve"> Sentencias </w:t>
      </w:r>
      <w:hyperlink w:anchor="SENTENCIA_2016_128" w:history="1">
        <w:r w:rsidRPr="00427CF1">
          <w:rPr>
            <w:rStyle w:val="TextoNormalCaracter"/>
          </w:rPr>
          <w:t>128/2016</w:t>
        </w:r>
      </w:hyperlink>
      <w:r>
        <w:t xml:space="preserve">, f. 5; </w:t>
      </w:r>
      <w:hyperlink w:anchor="SENTENCIA_2016_153" w:history="1">
        <w:r w:rsidRPr="00427CF1">
          <w:rPr>
            <w:rStyle w:val="TextoNormalCaracter"/>
          </w:rPr>
          <w:t>153/2016</w:t>
        </w:r>
      </w:hyperlink>
      <w:r>
        <w:t xml:space="preserve">, f. 2; </w:t>
      </w:r>
      <w:hyperlink w:anchor="SENTENCIA_2016_165" w:history="1">
        <w:r w:rsidRPr="00427CF1">
          <w:rPr>
            <w:rStyle w:val="TextoNormalCaracter"/>
          </w:rPr>
          <w:t>165/2016</w:t>
        </w:r>
      </w:hyperlink>
      <w:r>
        <w:t xml:space="preserve">, f. 4; </w:t>
      </w:r>
      <w:hyperlink w:anchor="SENTENCIA_2016_185" w:history="1">
        <w:r w:rsidRPr="00427CF1">
          <w:rPr>
            <w:rStyle w:val="TextoNormalCaracter"/>
          </w:rPr>
          <w:t>185/2016</w:t>
        </w:r>
      </w:hyperlink>
      <w:r>
        <w:t>, f. 7.</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Artículo 28.1.</w:t>
      </w:r>
      <w:r w:rsidRPr="00427CF1">
        <w:rPr>
          <w:rStyle w:val="TextoNormalCaracter"/>
        </w:rPr>
        <w:t>-</w:t>
      </w:r>
      <w:r>
        <w:t xml:space="preserve"> Sentencias </w:t>
      </w:r>
      <w:hyperlink w:anchor="SENTENCIA_2016_128" w:history="1">
        <w:r w:rsidRPr="00427CF1">
          <w:rPr>
            <w:rStyle w:val="TextoNormalCaracter"/>
          </w:rPr>
          <w:t>128/2016</w:t>
        </w:r>
      </w:hyperlink>
      <w:r>
        <w:t xml:space="preserve">, f. 2; </w:t>
      </w:r>
      <w:hyperlink w:anchor="SENTENCIA_2016_185" w:history="1">
        <w:r w:rsidRPr="00427CF1">
          <w:rPr>
            <w:rStyle w:val="TextoNormalCaracter"/>
          </w:rPr>
          <w:t>185/2016</w:t>
        </w:r>
      </w:hyperlink>
      <w:r>
        <w:t xml:space="preserve">, f. 5; </w:t>
      </w:r>
      <w:hyperlink w:anchor="SENTENCIA_2016_213" w:history="1">
        <w:r w:rsidRPr="00427CF1">
          <w:rPr>
            <w:rStyle w:val="TextoNormalCaracter"/>
          </w:rPr>
          <w:t>213/2016</w:t>
        </w:r>
      </w:hyperlink>
      <w:r>
        <w:t xml:space="preserve">, f. 3; </w:t>
      </w:r>
      <w:hyperlink w:anchor="SENTENCIA_2016_215" w:history="1">
        <w:r w:rsidRPr="00427CF1">
          <w:rPr>
            <w:rStyle w:val="TextoNormalCaracter"/>
          </w:rPr>
          <w:t>215/2016</w:t>
        </w:r>
      </w:hyperlink>
      <w:r>
        <w:t xml:space="preserve">, f. 5; </w:t>
      </w:r>
      <w:hyperlink w:anchor="SENTENCIA_2016_217" w:history="1">
        <w:r w:rsidRPr="00427CF1">
          <w:rPr>
            <w:rStyle w:val="TextoNormalCaracter"/>
          </w:rPr>
          <w:t>217/2016</w:t>
        </w:r>
      </w:hyperlink>
      <w:r>
        <w:t>, ff. 2, 5.</w:t>
      </w:r>
    </w:p>
    <w:p w:rsidR="00427CF1" w:rsidRDefault="00427CF1" w:rsidP="00427CF1">
      <w:pPr>
        <w:pStyle w:val="SangriaFrancesaArticulo"/>
      </w:pPr>
      <w:r w:rsidRPr="00427CF1">
        <w:rPr>
          <w:rStyle w:val="TextoNormalNegritaCaracter"/>
        </w:rPr>
        <w:t>Artículo 30.</w:t>
      </w:r>
      <w:r w:rsidRPr="00427CF1">
        <w:rPr>
          <w:rStyle w:val="TextoNormalCaracter"/>
        </w:rPr>
        <w:t>-</w:t>
      </w:r>
      <w:r>
        <w:t xml:space="preserve"> Sentencia </w:t>
      </w:r>
      <w:hyperlink w:anchor="SENTENCIA_2016_215" w:history="1">
        <w:r w:rsidRPr="00427CF1">
          <w:rPr>
            <w:rStyle w:val="TextoNormalCaracter"/>
          </w:rPr>
          <w:t>215/2016</w:t>
        </w:r>
      </w:hyperlink>
      <w:r>
        <w:t>, f. 14.</w:t>
      </w:r>
    </w:p>
    <w:p w:rsidR="00427CF1" w:rsidRDefault="00427CF1" w:rsidP="00427CF1">
      <w:pPr>
        <w:pStyle w:val="SangriaIzquierdaArticulo"/>
      </w:pPr>
      <w:r>
        <w:t xml:space="preserve">Autos </w:t>
      </w:r>
      <w:hyperlink w:anchor="AUTO_2016_140" w:history="1">
        <w:r w:rsidRPr="00427CF1">
          <w:rPr>
            <w:rStyle w:val="TextoNormalCaracter"/>
          </w:rPr>
          <w:t>140/2016</w:t>
        </w:r>
      </w:hyperlink>
      <w:r>
        <w:t xml:space="preserve">, f. 2; </w:t>
      </w:r>
      <w:hyperlink w:anchor="AUTO_2016_144" w:history="1">
        <w:r w:rsidRPr="00427CF1">
          <w:rPr>
            <w:rStyle w:val="TextoNormalCaracter"/>
          </w:rPr>
          <w:t>144/2016</w:t>
        </w:r>
      </w:hyperlink>
      <w:r>
        <w:t xml:space="preserve">, ff. 1, 2, 5; </w:t>
      </w:r>
      <w:hyperlink w:anchor="AUTO_2016_157" w:history="1">
        <w:r w:rsidRPr="00427CF1">
          <w:rPr>
            <w:rStyle w:val="TextoNormalCaracter"/>
          </w:rPr>
          <w:t>157/2016</w:t>
        </w:r>
      </w:hyperlink>
      <w:r>
        <w:t xml:space="preserve">, f. 1; </w:t>
      </w:r>
      <w:hyperlink w:anchor="AUTO_2016_158" w:history="1">
        <w:r w:rsidRPr="00427CF1">
          <w:rPr>
            <w:rStyle w:val="TextoNormalCaracter"/>
          </w:rPr>
          <w:t>158/2016</w:t>
        </w:r>
      </w:hyperlink>
      <w:r>
        <w:t xml:space="preserve">, f. 2; </w:t>
      </w:r>
      <w:hyperlink w:anchor="AUTO_2016_160" w:history="1">
        <w:r w:rsidRPr="00427CF1">
          <w:rPr>
            <w:rStyle w:val="TextoNormalCaracter"/>
          </w:rPr>
          <w:t>160/2016</w:t>
        </w:r>
      </w:hyperlink>
      <w:r>
        <w:t xml:space="preserve">, ff. 1, 2; </w:t>
      </w:r>
      <w:hyperlink w:anchor="AUTO_2016_169" w:history="1">
        <w:r w:rsidRPr="00427CF1">
          <w:rPr>
            <w:rStyle w:val="TextoNormalCaracter"/>
          </w:rPr>
          <w:t>169/2016</w:t>
        </w:r>
      </w:hyperlink>
      <w:r>
        <w:t>, f. 2.</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Artículos 31 a 34.</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32.2.</w:t>
      </w:r>
      <w:r w:rsidRPr="00427CF1">
        <w:rPr>
          <w:rStyle w:val="TextoNormalCaracter"/>
        </w:rPr>
        <w:t>-</w:t>
      </w:r>
      <w:r>
        <w:t xml:space="preserve"> Sentencias </w:t>
      </w:r>
      <w:hyperlink w:anchor="SENTENCIA_2016_202" w:history="1">
        <w:r w:rsidRPr="00427CF1">
          <w:rPr>
            <w:rStyle w:val="TextoNormalCaracter"/>
          </w:rPr>
          <w:t>202/2016</w:t>
        </w:r>
      </w:hyperlink>
      <w:r>
        <w:t xml:space="preserve">, ff. 1, 2;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Artículo 33.1.</w:t>
      </w:r>
      <w:r w:rsidRPr="00427CF1">
        <w:rPr>
          <w:rStyle w:val="TextoNormalCaracter"/>
        </w:rPr>
        <w:t>-</w:t>
      </w:r>
      <w:r>
        <w:t xml:space="preserve"> Sentencia </w:t>
      </w:r>
      <w:hyperlink w:anchor="SENTENCIA_2016_202" w:history="1">
        <w:r w:rsidRPr="00427CF1">
          <w:rPr>
            <w:rStyle w:val="TextoNormalCaracter"/>
          </w:rPr>
          <w:t>202/2016</w:t>
        </w:r>
      </w:hyperlink>
      <w:r>
        <w:t>, f. 2.</w:t>
      </w:r>
    </w:p>
    <w:p w:rsidR="00427CF1" w:rsidRDefault="00427CF1" w:rsidP="00427CF1">
      <w:pPr>
        <w:pStyle w:val="SangriaFrancesaArticulo"/>
      </w:pPr>
      <w:r w:rsidRPr="00427CF1">
        <w:rPr>
          <w:rStyle w:val="TextoNormalNegritaCaracter"/>
        </w:rPr>
        <w:t>Artículo 33.2</w:t>
      </w:r>
      <w:r>
        <w:t xml:space="preserve"> (redactado por la Ley Orgánica 1/2000, de 7 de enero)</w:t>
      </w:r>
      <w:r w:rsidRPr="00427CF1">
        <w:rPr>
          <w:rStyle w:val="TextoNormalNegritaCaracter"/>
        </w:rPr>
        <w:t>.</w:t>
      </w:r>
      <w:r w:rsidRPr="00427CF1">
        <w:rPr>
          <w:rStyle w:val="TextoNormalCaracter"/>
        </w:rPr>
        <w:t>-</w:t>
      </w:r>
      <w:r>
        <w:t xml:space="preserve"> Sentencia </w:t>
      </w:r>
      <w:hyperlink w:anchor="SENTENCIA_2016_178" w:history="1">
        <w:r w:rsidRPr="00427CF1">
          <w:rPr>
            <w:rStyle w:val="TextoNormalCaracter"/>
          </w:rPr>
          <w:t>178/2016</w:t>
        </w:r>
      </w:hyperlink>
      <w:r>
        <w:t>, f. 1.</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Sentencias </w:t>
      </w:r>
      <w:hyperlink w:anchor="SENTENCIA_2016_134" w:history="1">
        <w:r w:rsidRPr="00427CF1">
          <w:rPr>
            <w:rStyle w:val="TextoNormalCaracter"/>
          </w:rPr>
          <w:t>134/2016</w:t>
        </w:r>
      </w:hyperlink>
      <w:r>
        <w:t xml:space="preserve">, f. 2; </w:t>
      </w:r>
      <w:hyperlink w:anchor="SENTENCIA_2016_140" w:history="1">
        <w:r w:rsidRPr="00427CF1">
          <w:rPr>
            <w:rStyle w:val="TextoNormalCaracter"/>
          </w:rPr>
          <w:t>140/2016</w:t>
        </w:r>
      </w:hyperlink>
      <w:r>
        <w:t xml:space="preserve">, f. 5; </w:t>
      </w:r>
      <w:hyperlink w:anchor="SENTENCIA_2016_175" w:history="1">
        <w:r w:rsidRPr="00427CF1">
          <w:rPr>
            <w:rStyle w:val="TextoNormalCaracter"/>
          </w:rPr>
          <w:t>175/2016</w:t>
        </w:r>
      </w:hyperlink>
      <w:r>
        <w:t xml:space="preserve">, f. 3; </w:t>
      </w:r>
      <w:hyperlink w:anchor="SENTENCIA_2016_197" w:history="1">
        <w:r w:rsidRPr="00427CF1">
          <w:rPr>
            <w:rStyle w:val="TextoNormalCaracter"/>
          </w:rPr>
          <w:t>197/2016</w:t>
        </w:r>
      </w:hyperlink>
      <w:r>
        <w:t>, f. 2.</w:t>
      </w:r>
    </w:p>
    <w:p w:rsidR="00427CF1" w:rsidRDefault="00427CF1" w:rsidP="00427CF1">
      <w:pPr>
        <w:pStyle w:val="SangriaIzquierdaArticulo"/>
      </w:pPr>
      <w:r>
        <w:t xml:space="preserve">Autos </w:t>
      </w:r>
      <w:hyperlink w:anchor="AUTO_2016_159" w:history="1">
        <w:r w:rsidRPr="00427CF1">
          <w:rPr>
            <w:rStyle w:val="TextoNormalCaracter"/>
          </w:rPr>
          <w:t>159/2016</w:t>
        </w:r>
      </w:hyperlink>
      <w:r>
        <w:t xml:space="preserve">, f. 3; </w:t>
      </w:r>
      <w:hyperlink w:anchor="AUTO_2016_182" w:history="1">
        <w:r w:rsidRPr="00427CF1">
          <w:rPr>
            <w:rStyle w:val="TextoNormalCaracter"/>
          </w:rPr>
          <w:t>182/2016</w:t>
        </w:r>
      </w:hyperlink>
      <w:r>
        <w:t xml:space="preserve">, f. 4; </w:t>
      </w:r>
      <w:hyperlink w:anchor="AUTO_2016_183" w:history="1">
        <w:r w:rsidRPr="00427CF1">
          <w:rPr>
            <w:rStyle w:val="TextoNormalCaracter"/>
          </w:rPr>
          <w:t>183/2016</w:t>
        </w:r>
      </w:hyperlink>
      <w:r>
        <w:t xml:space="preserve">, f. 2; </w:t>
      </w:r>
      <w:hyperlink w:anchor="AUTO_2016_184" w:history="1">
        <w:r w:rsidRPr="00427CF1">
          <w:rPr>
            <w:rStyle w:val="TextoNormalCaracter"/>
          </w:rPr>
          <w:t>184/2016</w:t>
        </w:r>
      </w:hyperlink>
      <w:r>
        <w:t xml:space="preserve">, f. 2; </w:t>
      </w:r>
      <w:hyperlink w:anchor="AUTO_2016_185" w:history="1">
        <w:r w:rsidRPr="00427CF1">
          <w:rPr>
            <w:rStyle w:val="TextoNormalCaracter"/>
          </w:rPr>
          <w:t>185/2016</w:t>
        </w:r>
      </w:hyperlink>
      <w:r>
        <w:t>, f. 2.</w:t>
      </w:r>
    </w:p>
    <w:p w:rsidR="00427CF1" w:rsidRDefault="00427CF1" w:rsidP="00427CF1">
      <w:pPr>
        <w:pStyle w:val="SangriaFrancesaArticulo"/>
      </w:pPr>
      <w:r w:rsidRPr="00427CF1">
        <w:rPr>
          <w:rStyle w:val="TextoNormalNegritaCaracter"/>
        </w:rPr>
        <w:t>Artículo 35.1.</w:t>
      </w:r>
      <w:r w:rsidRPr="00427CF1">
        <w:rPr>
          <w:rStyle w:val="TextoNormalCaracter"/>
        </w:rPr>
        <w:t>-</w:t>
      </w:r>
      <w:r>
        <w:t xml:space="preserve"> Sentencias </w:t>
      </w:r>
      <w:hyperlink w:anchor="SENTENCIA_2016_175" w:history="1">
        <w:r w:rsidRPr="00427CF1">
          <w:rPr>
            <w:rStyle w:val="TextoNormalCaracter"/>
          </w:rPr>
          <w:t>175/2016</w:t>
        </w:r>
      </w:hyperlink>
      <w:r>
        <w:t xml:space="preserve">, ff. 2, 3; </w:t>
      </w:r>
      <w:hyperlink w:anchor="SENTENCIA_2016_185" w:history="1">
        <w:r w:rsidRPr="00427CF1">
          <w:rPr>
            <w:rStyle w:val="TextoNormalCaracter"/>
          </w:rPr>
          <w:t>185/2016</w:t>
        </w:r>
      </w:hyperlink>
      <w:r>
        <w:t>, VP II.</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f. 2; </w:t>
      </w:r>
      <w:hyperlink w:anchor="AUTO_2016_139" w:history="1">
        <w:r w:rsidRPr="00427CF1">
          <w:rPr>
            <w:rStyle w:val="TextoNormalCaracter"/>
          </w:rPr>
          <w:t>139/2016</w:t>
        </w:r>
      </w:hyperlink>
      <w:r>
        <w:t xml:space="preserve">, f. 2; </w:t>
      </w:r>
      <w:hyperlink w:anchor="AUTO_2016_159" w:history="1">
        <w:r w:rsidRPr="00427CF1">
          <w:rPr>
            <w:rStyle w:val="TextoNormalCaracter"/>
          </w:rPr>
          <w:t>159/2016</w:t>
        </w:r>
      </w:hyperlink>
      <w:r>
        <w:t xml:space="preserve">, f.  2; </w:t>
      </w:r>
      <w:hyperlink w:anchor="AUTO_2016_168" w:history="1">
        <w:r w:rsidRPr="00427CF1">
          <w:rPr>
            <w:rStyle w:val="TextoNormalCaracter"/>
          </w:rPr>
          <w:t>168/2016</w:t>
        </w:r>
      </w:hyperlink>
      <w:r>
        <w:t xml:space="preserve">, ff. 3 a 5; </w:t>
      </w:r>
      <w:hyperlink w:anchor="AUTO_2016_183" w:history="1">
        <w:r w:rsidRPr="00427CF1">
          <w:rPr>
            <w:rStyle w:val="TextoNormalCaracter"/>
          </w:rPr>
          <w:t>183/2016</w:t>
        </w:r>
      </w:hyperlink>
      <w:r>
        <w:t xml:space="preserve">, f. 2; </w:t>
      </w:r>
      <w:hyperlink w:anchor="AUTO_2016_185" w:history="1">
        <w:r w:rsidRPr="00427CF1">
          <w:rPr>
            <w:rStyle w:val="TextoNormalCaracter"/>
          </w:rPr>
          <w:t>185/2016</w:t>
        </w:r>
      </w:hyperlink>
      <w:r>
        <w:t xml:space="preserve">, f. 2; </w:t>
      </w:r>
      <w:hyperlink w:anchor="AUTO_2016_186" w:history="1">
        <w:r w:rsidRPr="00427CF1">
          <w:rPr>
            <w:rStyle w:val="TextoNormalCaracter"/>
          </w:rPr>
          <w:t>186/2016</w:t>
        </w:r>
      </w:hyperlink>
      <w:r>
        <w:t xml:space="preserve">, f. 3; </w:t>
      </w:r>
      <w:hyperlink w:anchor="AUTO_2016_197" w:history="1">
        <w:r w:rsidRPr="00427CF1">
          <w:rPr>
            <w:rStyle w:val="TextoNormalCaracter"/>
          </w:rPr>
          <w:t>197/2016</w:t>
        </w:r>
      </w:hyperlink>
      <w:r>
        <w:t xml:space="preserve">, f. 6; </w:t>
      </w:r>
      <w:hyperlink w:anchor="AUTO_2016_198" w:history="1">
        <w:r w:rsidRPr="00427CF1">
          <w:rPr>
            <w:rStyle w:val="TextoNormalCaracter"/>
          </w:rPr>
          <w:t>198/2016</w:t>
        </w:r>
      </w:hyperlink>
      <w:r>
        <w:t xml:space="preserve">, f. 4; </w:t>
      </w:r>
      <w:hyperlink w:anchor="AUTO_2016_202" w:history="1">
        <w:r w:rsidRPr="00427CF1">
          <w:rPr>
            <w:rStyle w:val="TextoNormalCaracter"/>
          </w:rPr>
          <w:t>202/2016</w:t>
        </w:r>
      </w:hyperlink>
      <w:r>
        <w:t xml:space="preserve">, ff. 2, 3; </w:t>
      </w:r>
      <w:hyperlink w:anchor="AUTO_2016_203" w:history="1">
        <w:r w:rsidRPr="00427CF1">
          <w:rPr>
            <w:rStyle w:val="TextoNormalCaracter"/>
          </w:rPr>
          <w:t>203/2016</w:t>
        </w:r>
      </w:hyperlink>
      <w:r>
        <w:t xml:space="preserve">, ff. 2, 3; </w:t>
      </w:r>
      <w:hyperlink w:anchor="AUTO_2016_204" w:history="1">
        <w:r w:rsidRPr="00427CF1">
          <w:rPr>
            <w:rStyle w:val="TextoNormalCaracter"/>
          </w:rPr>
          <w:t>204/2016</w:t>
        </w:r>
      </w:hyperlink>
      <w:r>
        <w:t xml:space="preserve">, ff. 2, 3; </w:t>
      </w:r>
      <w:hyperlink w:anchor="AUTO_2016_205" w:history="1">
        <w:r w:rsidRPr="00427CF1">
          <w:rPr>
            <w:rStyle w:val="TextoNormalCaracter"/>
          </w:rPr>
          <w:t>205/2016</w:t>
        </w:r>
      </w:hyperlink>
      <w:r>
        <w:t>, ff. 2, 3.</w:t>
      </w:r>
    </w:p>
    <w:p w:rsidR="00427CF1" w:rsidRDefault="00427CF1" w:rsidP="00427CF1">
      <w:pPr>
        <w:pStyle w:val="SangriaFrancesaArticulo"/>
      </w:pPr>
      <w:r w:rsidRPr="00427CF1">
        <w:rPr>
          <w:rStyle w:val="TextoNormalNegritaCaracter"/>
        </w:rPr>
        <w:t>Artículo 35.2.</w:t>
      </w:r>
      <w:r w:rsidRPr="00427CF1">
        <w:rPr>
          <w:rStyle w:val="TextoNormalCaracter"/>
        </w:rPr>
        <w:t>-</w:t>
      </w:r>
      <w:r>
        <w:t xml:space="preserve"> Sentencias </w:t>
      </w:r>
      <w:hyperlink w:anchor="SENTENCIA_2016_127" w:history="1">
        <w:r w:rsidRPr="00427CF1">
          <w:rPr>
            <w:rStyle w:val="TextoNormalCaracter"/>
          </w:rPr>
          <w:t>127/2016</w:t>
        </w:r>
      </w:hyperlink>
      <w:r>
        <w:t xml:space="preserve">, f. 3; </w:t>
      </w:r>
      <w:hyperlink w:anchor="SENTENCIA_2016_187" w:history="1">
        <w:r w:rsidRPr="00427CF1">
          <w:rPr>
            <w:rStyle w:val="TextoNormalCaracter"/>
          </w:rPr>
          <w:t>187/2016</w:t>
        </w:r>
      </w:hyperlink>
      <w:r>
        <w:t xml:space="preserve">, f. 2; </w:t>
      </w:r>
      <w:hyperlink w:anchor="SENTENCIA_2016_188" w:history="1">
        <w:r w:rsidRPr="00427CF1">
          <w:rPr>
            <w:rStyle w:val="TextoNormalCaracter"/>
          </w:rPr>
          <w:t>188/2016</w:t>
        </w:r>
      </w:hyperlink>
      <w:r>
        <w:t xml:space="preserve">, f. 2; </w:t>
      </w:r>
      <w:hyperlink w:anchor="SENTENCIA_2016_197" w:history="1">
        <w:r w:rsidRPr="00427CF1">
          <w:rPr>
            <w:rStyle w:val="TextoNormalCaracter"/>
          </w:rPr>
          <w:t>197/2016</w:t>
        </w:r>
      </w:hyperlink>
      <w:r>
        <w:t>, f. 2.</w:t>
      </w:r>
    </w:p>
    <w:p w:rsidR="00427CF1" w:rsidRDefault="00427CF1" w:rsidP="00427CF1">
      <w:pPr>
        <w:pStyle w:val="SangriaIzquierdaArticulo"/>
      </w:pPr>
      <w:r>
        <w:t xml:space="preserve">Autos </w:t>
      </w:r>
      <w:hyperlink w:anchor="AUTO_2016_142" w:history="1">
        <w:r w:rsidRPr="00427CF1">
          <w:rPr>
            <w:rStyle w:val="TextoNormalCaracter"/>
          </w:rPr>
          <w:t>142/2016</w:t>
        </w:r>
      </w:hyperlink>
      <w:r>
        <w:t xml:space="preserve">, ff. 1, 2; </w:t>
      </w:r>
      <w:hyperlink w:anchor="AUTO_2016_156" w:history="1">
        <w:r w:rsidRPr="00427CF1">
          <w:rPr>
            <w:rStyle w:val="TextoNormalCaracter"/>
          </w:rPr>
          <w:t>156/2016</w:t>
        </w:r>
      </w:hyperlink>
      <w:r>
        <w:t xml:space="preserve">, f. 3; </w:t>
      </w:r>
      <w:hyperlink w:anchor="AUTO_2016_159" w:history="1">
        <w:r w:rsidRPr="00427CF1">
          <w:rPr>
            <w:rStyle w:val="TextoNormalCaracter"/>
          </w:rPr>
          <w:t>159/2016</w:t>
        </w:r>
      </w:hyperlink>
      <w:r>
        <w:t xml:space="preserve">, f. 3; </w:t>
      </w:r>
      <w:hyperlink w:anchor="AUTO_2016_204" w:history="1">
        <w:r w:rsidRPr="00427CF1">
          <w:rPr>
            <w:rStyle w:val="TextoNormalCaracter"/>
          </w:rPr>
          <w:t>204/2016</w:t>
        </w:r>
      </w:hyperlink>
      <w:r>
        <w:t xml:space="preserve">, f. 2; </w:t>
      </w:r>
      <w:hyperlink w:anchor="AUTO_2016_205" w:history="1">
        <w:r w:rsidRPr="00427CF1">
          <w:rPr>
            <w:rStyle w:val="TextoNormalCaracter"/>
          </w:rPr>
          <w:t>205/2016</w:t>
        </w:r>
      </w:hyperlink>
      <w:r>
        <w:t>, f. 2.</w:t>
      </w:r>
    </w:p>
    <w:p w:rsidR="00427CF1" w:rsidRDefault="00427CF1" w:rsidP="00427CF1">
      <w:pPr>
        <w:pStyle w:val="SangriaFrancesaArticulo"/>
      </w:pPr>
      <w:r w:rsidRPr="00427CF1">
        <w:rPr>
          <w:rStyle w:val="TextoNormalNegritaCaracter"/>
        </w:rPr>
        <w:t>Artículo 35.2</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34" w:history="1">
        <w:r w:rsidRPr="00427CF1">
          <w:rPr>
            <w:rStyle w:val="TextoNormalCaracter"/>
          </w:rPr>
          <w:t>134/2016</w:t>
        </w:r>
      </w:hyperlink>
      <w:r>
        <w:t xml:space="preserve">, f. 2; </w:t>
      </w:r>
      <w:hyperlink w:anchor="SENTENCIA_2016_160" w:history="1">
        <w:r w:rsidRPr="00427CF1">
          <w:rPr>
            <w:rStyle w:val="TextoNormalCaracter"/>
          </w:rPr>
          <w:t>160/2016</w:t>
        </w:r>
      </w:hyperlink>
      <w:r>
        <w:t xml:space="preserve">, f. 2; </w:t>
      </w:r>
      <w:hyperlink w:anchor="SENTENCIA_2016_167" w:history="1">
        <w:r w:rsidRPr="00427CF1">
          <w:rPr>
            <w:rStyle w:val="TextoNormalCaracter"/>
          </w:rPr>
          <w:t>167/2016</w:t>
        </w:r>
      </w:hyperlink>
      <w:r>
        <w:t xml:space="preserve">, f. 2; </w:t>
      </w:r>
      <w:hyperlink w:anchor="SENTENCIA_2016_174" w:history="1">
        <w:r w:rsidRPr="00427CF1">
          <w:rPr>
            <w:rStyle w:val="TextoNormalCaracter"/>
          </w:rPr>
          <w:t>174/2016</w:t>
        </w:r>
      </w:hyperlink>
      <w:r>
        <w:t xml:space="preserve">, f. 2; </w:t>
      </w:r>
      <w:hyperlink w:anchor="SENTENCIA_2016_175" w:history="1">
        <w:r w:rsidRPr="00427CF1">
          <w:rPr>
            <w:rStyle w:val="TextoNormalCaracter"/>
          </w:rPr>
          <w:t>175/2016</w:t>
        </w:r>
      </w:hyperlink>
      <w:r>
        <w:t>, ff. 2, 3.</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f. 2; </w:t>
      </w:r>
      <w:hyperlink w:anchor="AUTO_2016_139" w:history="1">
        <w:r w:rsidRPr="00427CF1">
          <w:rPr>
            <w:rStyle w:val="TextoNormalCaracter"/>
          </w:rPr>
          <w:t>139/2016</w:t>
        </w:r>
      </w:hyperlink>
      <w:r>
        <w:t xml:space="preserve">, f. 2; </w:t>
      </w:r>
      <w:hyperlink w:anchor="AUTO_2016_167" w:history="1">
        <w:r w:rsidRPr="00427CF1">
          <w:rPr>
            <w:rStyle w:val="TextoNormalCaracter"/>
          </w:rPr>
          <w:t>167/2016</w:t>
        </w:r>
      </w:hyperlink>
      <w:r>
        <w:t xml:space="preserve">, ff. 2, 4; </w:t>
      </w:r>
      <w:hyperlink w:anchor="AUTO_2016_168" w:history="1">
        <w:r w:rsidRPr="00427CF1">
          <w:rPr>
            <w:rStyle w:val="TextoNormalCaracter"/>
          </w:rPr>
          <w:t>168/2016</w:t>
        </w:r>
      </w:hyperlink>
      <w:r>
        <w:t xml:space="preserve">, ff. 2, 3, 5; </w:t>
      </w:r>
      <w:hyperlink w:anchor="AUTO_2016_180" w:history="1">
        <w:r w:rsidRPr="00427CF1">
          <w:rPr>
            <w:rStyle w:val="TextoNormalCaracter"/>
          </w:rPr>
          <w:t>180/2016</w:t>
        </w:r>
      </w:hyperlink>
      <w:r>
        <w:t xml:space="preserve">, f. 4; </w:t>
      </w:r>
      <w:hyperlink w:anchor="AUTO_2016_182" w:history="1">
        <w:r w:rsidRPr="00427CF1">
          <w:rPr>
            <w:rStyle w:val="TextoNormalCaracter"/>
          </w:rPr>
          <w:t>182/2016</w:t>
        </w:r>
      </w:hyperlink>
      <w:r>
        <w:t xml:space="preserve">, ff. 2, 3; </w:t>
      </w:r>
      <w:hyperlink w:anchor="AUTO_2016_183" w:history="1">
        <w:r w:rsidRPr="00427CF1">
          <w:rPr>
            <w:rStyle w:val="TextoNormalCaracter"/>
          </w:rPr>
          <w:t>183/2016</w:t>
        </w:r>
      </w:hyperlink>
      <w:r>
        <w:t xml:space="preserve">, f. 2; </w:t>
      </w:r>
      <w:hyperlink w:anchor="AUTO_2016_184" w:history="1">
        <w:r w:rsidRPr="00427CF1">
          <w:rPr>
            <w:rStyle w:val="TextoNormalCaracter"/>
          </w:rPr>
          <w:t>184/2016</w:t>
        </w:r>
      </w:hyperlink>
      <w:r>
        <w:t xml:space="preserve">, f. 2; </w:t>
      </w:r>
      <w:hyperlink w:anchor="AUTO_2016_185" w:history="1">
        <w:r w:rsidRPr="00427CF1">
          <w:rPr>
            <w:rStyle w:val="TextoNormalCaracter"/>
          </w:rPr>
          <w:t>185/2016</w:t>
        </w:r>
      </w:hyperlink>
      <w:r>
        <w:t xml:space="preserve">, f. 2; </w:t>
      </w:r>
      <w:hyperlink w:anchor="AUTO_2016_186" w:history="1">
        <w:r w:rsidRPr="00427CF1">
          <w:rPr>
            <w:rStyle w:val="TextoNormalCaracter"/>
          </w:rPr>
          <w:t>186/2016</w:t>
        </w:r>
      </w:hyperlink>
      <w:r>
        <w:t xml:space="preserve">, ff. 2, 3; </w:t>
      </w:r>
      <w:hyperlink w:anchor="AUTO_2016_187" w:history="1">
        <w:r w:rsidRPr="00427CF1">
          <w:rPr>
            <w:rStyle w:val="TextoNormalCaracter"/>
          </w:rPr>
          <w:t>187/2016</w:t>
        </w:r>
      </w:hyperlink>
      <w:r>
        <w:t xml:space="preserve">, f. 3; </w:t>
      </w:r>
      <w:hyperlink w:anchor="AUTO_2016_197" w:history="1">
        <w:r w:rsidRPr="00427CF1">
          <w:rPr>
            <w:rStyle w:val="TextoNormalCaracter"/>
          </w:rPr>
          <w:t>197/2016</w:t>
        </w:r>
      </w:hyperlink>
      <w:r>
        <w:t xml:space="preserve">, ff. 3 a 5; </w:t>
      </w:r>
      <w:hyperlink w:anchor="AUTO_2016_202" w:history="1">
        <w:r w:rsidRPr="00427CF1">
          <w:rPr>
            <w:rStyle w:val="TextoNormalCaracter"/>
          </w:rPr>
          <w:t>202/2016</w:t>
        </w:r>
      </w:hyperlink>
      <w:r>
        <w:t xml:space="preserve">, f. 2; </w:t>
      </w:r>
      <w:hyperlink w:anchor="AUTO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37.</w:t>
      </w:r>
      <w:r w:rsidRPr="00427CF1">
        <w:rPr>
          <w:rStyle w:val="TextoNormalCaracter"/>
        </w:rPr>
        <w:t>-</w:t>
      </w:r>
      <w:r>
        <w:t xml:space="preserve"> Sentencia </w:t>
      </w:r>
      <w:hyperlink w:anchor="SENTENCIA_2016_134" w:history="1">
        <w:r w:rsidRPr="00427CF1">
          <w:rPr>
            <w:rStyle w:val="TextoNormalCaracter"/>
          </w:rPr>
          <w:t>134/2016</w:t>
        </w:r>
      </w:hyperlink>
      <w:r>
        <w:t>, f. 2.</w:t>
      </w:r>
    </w:p>
    <w:p w:rsidR="00427CF1" w:rsidRDefault="00427CF1" w:rsidP="00427CF1">
      <w:pPr>
        <w:pStyle w:val="SangriaFrancesaArticulo"/>
      </w:pPr>
      <w:r w:rsidRPr="00427CF1">
        <w:rPr>
          <w:rStyle w:val="TextoNormalNegritaCaracter"/>
        </w:rPr>
        <w:t>Artículo 37.1.</w:t>
      </w:r>
      <w:r w:rsidRPr="00427CF1">
        <w:rPr>
          <w:rStyle w:val="TextoNormalCaracter"/>
        </w:rPr>
        <w:t>-</w:t>
      </w:r>
      <w:r>
        <w:t xml:space="preserve"> Sentencia </w:t>
      </w:r>
      <w:hyperlink w:anchor="SENTENCIA_2016_175" w:history="1">
        <w:r w:rsidRPr="00427CF1">
          <w:rPr>
            <w:rStyle w:val="TextoNormalCaracter"/>
          </w:rPr>
          <w:t>175/2016</w:t>
        </w:r>
      </w:hyperlink>
      <w:r>
        <w:t>, f. 2.</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f. 2; </w:t>
      </w:r>
      <w:hyperlink w:anchor="AUTO_2016_139" w:history="1">
        <w:r w:rsidRPr="00427CF1">
          <w:rPr>
            <w:rStyle w:val="TextoNormalCaracter"/>
          </w:rPr>
          <w:t>139/2016</w:t>
        </w:r>
      </w:hyperlink>
      <w:r>
        <w:t xml:space="preserve">, f. 2; </w:t>
      </w:r>
      <w:hyperlink w:anchor="AUTO_2016_142" w:history="1">
        <w:r w:rsidRPr="00427CF1">
          <w:rPr>
            <w:rStyle w:val="TextoNormalCaracter"/>
          </w:rPr>
          <w:t>142/2016</w:t>
        </w:r>
      </w:hyperlink>
      <w:r>
        <w:t xml:space="preserve">, f. 1; </w:t>
      </w:r>
      <w:hyperlink w:anchor="AUTO_2016_143" w:history="1">
        <w:r w:rsidRPr="00427CF1">
          <w:rPr>
            <w:rStyle w:val="TextoNormalCaracter"/>
          </w:rPr>
          <w:t>143/2016</w:t>
        </w:r>
      </w:hyperlink>
      <w:r>
        <w:t xml:space="preserve">, f. 2; </w:t>
      </w:r>
      <w:hyperlink w:anchor="AUTO_2016_146" w:history="1">
        <w:r w:rsidRPr="00427CF1">
          <w:rPr>
            <w:rStyle w:val="TextoNormalCaracter"/>
          </w:rPr>
          <w:t>146/2016</w:t>
        </w:r>
      </w:hyperlink>
      <w:r>
        <w:t xml:space="preserve">, f. 2; </w:t>
      </w:r>
      <w:hyperlink w:anchor="AUTO_2016_156" w:history="1">
        <w:r w:rsidRPr="00427CF1">
          <w:rPr>
            <w:rStyle w:val="TextoNormalCaracter"/>
          </w:rPr>
          <w:t>156/2016</w:t>
        </w:r>
      </w:hyperlink>
      <w:r>
        <w:t xml:space="preserve">, ff. 2, 3; </w:t>
      </w:r>
      <w:hyperlink w:anchor="AUTO_2016_159" w:history="1">
        <w:r w:rsidRPr="00427CF1">
          <w:rPr>
            <w:rStyle w:val="TextoNormalCaracter"/>
          </w:rPr>
          <w:t>159/2016</w:t>
        </w:r>
      </w:hyperlink>
      <w:r>
        <w:t xml:space="preserve">, ff. 1, 2; </w:t>
      </w:r>
      <w:hyperlink w:anchor="AUTO_2016_167" w:history="1">
        <w:r w:rsidRPr="00427CF1">
          <w:rPr>
            <w:rStyle w:val="TextoNormalCaracter"/>
          </w:rPr>
          <w:t>167/2016</w:t>
        </w:r>
      </w:hyperlink>
      <w:r>
        <w:t xml:space="preserve">, f. 2; </w:t>
      </w:r>
      <w:hyperlink w:anchor="AUTO_2016_168" w:history="1">
        <w:r w:rsidRPr="00427CF1">
          <w:rPr>
            <w:rStyle w:val="TextoNormalCaracter"/>
          </w:rPr>
          <w:t>168/2016</w:t>
        </w:r>
      </w:hyperlink>
      <w:r>
        <w:t xml:space="preserve">, ff. 2 a 4; </w:t>
      </w:r>
      <w:hyperlink w:anchor="AUTO_2016_180" w:history="1">
        <w:r w:rsidRPr="00427CF1">
          <w:rPr>
            <w:rStyle w:val="TextoNormalCaracter"/>
          </w:rPr>
          <w:t>180/2016</w:t>
        </w:r>
      </w:hyperlink>
      <w:r>
        <w:t xml:space="preserve">, f. 2; </w:t>
      </w:r>
      <w:hyperlink w:anchor="AUTO_2016_182" w:history="1">
        <w:r w:rsidRPr="00427CF1">
          <w:rPr>
            <w:rStyle w:val="TextoNormalCaracter"/>
          </w:rPr>
          <w:t>182/2016</w:t>
        </w:r>
      </w:hyperlink>
      <w:r>
        <w:t xml:space="preserve">, f. 2; </w:t>
      </w:r>
      <w:hyperlink w:anchor="AUTO_2016_183" w:history="1">
        <w:r w:rsidRPr="00427CF1">
          <w:rPr>
            <w:rStyle w:val="TextoNormalCaracter"/>
          </w:rPr>
          <w:t>183/2016</w:t>
        </w:r>
      </w:hyperlink>
      <w:r>
        <w:t xml:space="preserve">, ff. 1, 2; </w:t>
      </w:r>
      <w:hyperlink w:anchor="AUTO_2016_184" w:history="1">
        <w:r w:rsidRPr="00427CF1">
          <w:rPr>
            <w:rStyle w:val="TextoNormalCaracter"/>
          </w:rPr>
          <w:t>184/2016</w:t>
        </w:r>
      </w:hyperlink>
      <w:r>
        <w:t xml:space="preserve">, f. 2; </w:t>
      </w:r>
      <w:hyperlink w:anchor="AUTO_2016_185" w:history="1">
        <w:r w:rsidRPr="00427CF1">
          <w:rPr>
            <w:rStyle w:val="TextoNormalCaracter"/>
          </w:rPr>
          <w:t>185/2016</w:t>
        </w:r>
      </w:hyperlink>
      <w:r>
        <w:t xml:space="preserve">, ff. 1, 2; </w:t>
      </w:r>
      <w:hyperlink w:anchor="AUTO_2016_186" w:history="1">
        <w:r w:rsidRPr="00427CF1">
          <w:rPr>
            <w:rStyle w:val="TextoNormalCaracter"/>
          </w:rPr>
          <w:t>186/2016</w:t>
        </w:r>
      </w:hyperlink>
      <w:r>
        <w:t xml:space="preserve">, f. 2; </w:t>
      </w:r>
      <w:hyperlink w:anchor="AUTO_2016_187" w:history="1">
        <w:r w:rsidRPr="00427CF1">
          <w:rPr>
            <w:rStyle w:val="TextoNormalCaracter"/>
          </w:rPr>
          <w:t>187/2016</w:t>
        </w:r>
      </w:hyperlink>
      <w:r>
        <w:t xml:space="preserve">, f. 4; </w:t>
      </w:r>
      <w:hyperlink w:anchor="AUTO_2016_197" w:history="1">
        <w:r w:rsidRPr="00427CF1">
          <w:rPr>
            <w:rStyle w:val="TextoNormalCaracter"/>
          </w:rPr>
          <w:t>197/2016</w:t>
        </w:r>
      </w:hyperlink>
      <w:r>
        <w:t xml:space="preserve">, f. 3; </w:t>
      </w:r>
      <w:hyperlink w:anchor="AUTO_2016_198" w:history="1">
        <w:r w:rsidRPr="00427CF1">
          <w:rPr>
            <w:rStyle w:val="TextoNormalCaracter"/>
          </w:rPr>
          <w:t>198/2016</w:t>
        </w:r>
      </w:hyperlink>
      <w:r>
        <w:t xml:space="preserve">, f. 2; </w:t>
      </w:r>
      <w:hyperlink w:anchor="AUTO_2016_200" w:history="1">
        <w:r w:rsidRPr="00427CF1">
          <w:rPr>
            <w:rStyle w:val="TextoNormalCaracter"/>
          </w:rPr>
          <w:t>200/2016</w:t>
        </w:r>
      </w:hyperlink>
      <w:r>
        <w:t xml:space="preserve">, f. 2; </w:t>
      </w:r>
      <w:hyperlink w:anchor="AUTO_2016_202" w:history="1">
        <w:r w:rsidRPr="00427CF1">
          <w:rPr>
            <w:rStyle w:val="TextoNormalCaracter"/>
          </w:rPr>
          <w:t>202/2016</w:t>
        </w:r>
      </w:hyperlink>
      <w:r>
        <w:t xml:space="preserve">, ff. 2, 3; </w:t>
      </w:r>
      <w:hyperlink w:anchor="AUTO_2016_203" w:history="1">
        <w:r w:rsidRPr="00427CF1">
          <w:rPr>
            <w:rStyle w:val="TextoNormalCaracter"/>
          </w:rPr>
          <w:t>203/2016</w:t>
        </w:r>
      </w:hyperlink>
      <w:r>
        <w:t xml:space="preserve">, ff. 1 a 3; </w:t>
      </w:r>
      <w:hyperlink w:anchor="AUTO_2016_204" w:history="1">
        <w:r w:rsidRPr="00427CF1">
          <w:rPr>
            <w:rStyle w:val="TextoNormalCaracter"/>
          </w:rPr>
          <w:t>204/2016</w:t>
        </w:r>
      </w:hyperlink>
      <w:r>
        <w:t xml:space="preserve">, ff. 2, 3; </w:t>
      </w:r>
      <w:hyperlink w:anchor="AUTO_2016_205" w:history="1">
        <w:r w:rsidRPr="00427CF1">
          <w:rPr>
            <w:rStyle w:val="TextoNormalCaracter"/>
          </w:rPr>
          <w:t>205/2016</w:t>
        </w:r>
      </w:hyperlink>
      <w:r>
        <w:t xml:space="preserve">, ff. 2, 3; </w:t>
      </w:r>
      <w:hyperlink w:anchor="AUTO_2016_206" w:history="1">
        <w:r w:rsidRPr="00427CF1">
          <w:rPr>
            <w:rStyle w:val="TextoNormalCaracter"/>
          </w:rPr>
          <w:t>206/2016</w:t>
        </w:r>
      </w:hyperlink>
      <w:r>
        <w:t>, f. 4.</w:t>
      </w:r>
    </w:p>
    <w:p w:rsidR="00427CF1" w:rsidRDefault="00427CF1" w:rsidP="00427CF1">
      <w:pPr>
        <w:pStyle w:val="SangriaFrancesaArticulo"/>
      </w:pPr>
      <w:r w:rsidRPr="00427CF1">
        <w:rPr>
          <w:rStyle w:val="TextoNormalNegritaCaracter"/>
        </w:rPr>
        <w:t>Artículo 37.2.</w:t>
      </w:r>
      <w:r w:rsidRPr="00427CF1">
        <w:rPr>
          <w:rStyle w:val="TextoNormalCaracter"/>
        </w:rPr>
        <w:t>-</w:t>
      </w:r>
      <w:r>
        <w:t xml:space="preserve"> Sentencias </w:t>
      </w:r>
      <w:hyperlink w:anchor="SENTENCIA_2016_187" w:history="1">
        <w:r w:rsidRPr="00427CF1">
          <w:rPr>
            <w:rStyle w:val="TextoNormalCaracter"/>
          </w:rPr>
          <w:t>187/2016</w:t>
        </w:r>
      </w:hyperlink>
      <w:r>
        <w:t xml:space="preserve">, f. 2; </w:t>
      </w:r>
      <w:hyperlink w:anchor="SENTENCIA_2016_188" w:history="1">
        <w:r w:rsidRPr="00427CF1">
          <w:rPr>
            <w:rStyle w:val="TextoNormalCaracter"/>
          </w:rPr>
          <w:t>188/2016</w:t>
        </w:r>
      </w:hyperlink>
      <w:r>
        <w:t xml:space="preserve">, f. 2; </w:t>
      </w:r>
      <w:hyperlink w:anchor="SENTENCIA_2016_197" w:history="1">
        <w:r w:rsidRPr="00427CF1">
          <w:rPr>
            <w:rStyle w:val="TextoNormalCaracter"/>
          </w:rPr>
          <w:t>197/2016</w:t>
        </w:r>
      </w:hyperlink>
      <w:r>
        <w:t>, f. 2.</w:t>
      </w:r>
    </w:p>
    <w:p w:rsidR="00427CF1" w:rsidRDefault="00427CF1" w:rsidP="00427CF1">
      <w:pPr>
        <w:pStyle w:val="SangriaFrancesaArticulo"/>
      </w:pPr>
      <w:r w:rsidRPr="00427CF1">
        <w:rPr>
          <w:rStyle w:val="TextoNormalNegritaCaracter"/>
        </w:rPr>
        <w:t>Artículo 37.2</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74" w:history="1">
        <w:r w:rsidRPr="00427CF1">
          <w:rPr>
            <w:rStyle w:val="TextoNormalCaracter"/>
          </w:rPr>
          <w:t>174/2016</w:t>
        </w:r>
      </w:hyperlink>
      <w:r>
        <w:t>, f. 2.</w:t>
      </w:r>
    </w:p>
    <w:p w:rsidR="00427CF1" w:rsidRDefault="00427CF1" w:rsidP="00427CF1">
      <w:pPr>
        <w:pStyle w:val="SangriaFrancesaArticulo"/>
      </w:pPr>
      <w:r w:rsidRPr="00427CF1">
        <w:rPr>
          <w:rStyle w:val="TextoNormalNegritaCaracter"/>
        </w:rPr>
        <w:t>Artículo 38.</w:t>
      </w:r>
      <w:r w:rsidRPr="00427CF1">
        <w:rPr>
          <w:rStyle w:val="TextoNormalCaracter"/>
        </w:rPr>
        <w:t>-</w:t>
      </w:r>
      <w:r>
        <w:t xml:space="preserve"> Sentencia </w:t>
      </w:r>
      <w:hyperlink w:anchor="SENTENCIA_2016_185" w:history="1">
        <w:r w:rsidRPr="00427CF1">
          <w:rPr>
            <w:rStyle w:val="TextoNormalCaracter"/>
          </w:rPr>
          <w:t>185/2016</w:t>
        </w:r>
      </w:hyperlink>
      <w:r>
        <w:t>, f. 8.</w:t>
      </w:r>
    </w:p>
    <w:p w:rsidR="00427CF1" w:rsidRDefault="00427CF1" w:rsidP="00427CF1">
      <w:pPr>
        <w:pStyle w:val="SangriaFrancesaArticulo"/>
      </w:pPr>
      <w:r w:rsidRPr="00427CF1">
        <w:rPr>
          <w:rStyle w:val="TextoNormalNegritaCaracter"/>
        </w:rPr>
        <w:t>Artículo 38.1.</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38.2.</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39.</w:t>
      </w:r>
      <w:r w:rsidRPr="00427CF1">
        <w:rPr>
          <w:rStyle w:val="TextoNormalCaracter"/>
        </w:rPr>
        <w:t>-</w:t>
      </w:r>
      <w:r>
        <w:t xml:space="preserve"> Sentencias </w:t>
      </w:r>
      <w:hyperlink w:anchor="SENTENCIA_2016_140" w:history="1">
        <w:r w:rsidRPr="00427CF1">
          <w:rPr>
            <w:rStyle w:val="TextoNormalCaracter"/>
          </w:rPr>
          <w:t>140/2016</w:t>
        </w:r>
      </w:hyperlink>
      <w:r>
        <w:t xml:space="preserve">, f. 10; </w:t>
      </w:r>
      <w:hyperlink w:anchor="SENTENCIA_2016_165" w:history="1">
        <w:r w:rsidRPr="00427CF1">
          <w:rPr>
            <w:rStyle w:val="TextoNormalCaracter"/>
          </w:rPr>
          <w:t>165/2016</w:t>
        </w:r>
      </w:hyperlink>
      <w:r>
        <w:t xml:space="preserve">, f. 4; </w:t>
      </w:r>
      <w:hyperlink w:anchor="SENTENCIA_2016_185" w:history="1">
        <w:r w:rsidRPr="00427CF1">
          <w:rPr>
            <w:rStyle w:val="TextoNormalCaracter"/>
          </w:rPr>
          <w:t>185/2016</w:t>
        </w:r>
      </w:hyperlink>
      <w:r>
        <w:t xml:space="preserve">, f. 8; </w:t>
      </w:r>
      <w:hyperlink w:anchor="SENTENCIA_2016_217" w:history="1">
        <w:r w:rsidRPr="00427CF1">
          <w:rPr>
            <w:rStyle w:val="TextoNormalCaracter"/>
          </w:rPr>
          <w:t>217/2016</w:t>
        </w:r>
      </w:hyperlink>
      <w:r>
        <w:t>, f. 2.</w:t>
      </w:r>
    </w:p>
    <w:p w:rsidR="00427CF1" w:rsidRDefault="00427CF1" w:rsidP="00427CF1">
      <w:pPr>
        <w:pStyle w:val="SangriaFrancesaArticulo"/>
      </w:pPr>
      <w:r w:rsidRPr="00427CF1">
        <w:rPr>
          <w:rStyle w:val="TextoNormalNegritaCaracter"/>
        </w:rPr>
        <w:t>Artículo 39.1.</w:t>
      </w:r>
      <w:r w:rsidRPr="00427CF1">
        <w:rPr>
          <w:rStyle w:val="TextoNormalCaracter"/>
        </w:rPr>
        <w:t>-</w:t>
      </w:r>
      <w:r>
        <w:t xml:space="preserve"> Sentencia </w:t>
      </w:r>
      <w:hyperlink w:anchor="SENTENCIA_2016_125" w:history="1">
        <w:r w:rsidRPr="00427CF1">
          <w:rPr>
            <w:rStyle w:val="TextoNormalCaracter"/>
          </w:rPr>
          <w:t>125/2016</w:t>
        </w:r>
      </w:hyperlink>
      <w:r>
        <w:t>, f. 5.</w:t>
      </w:r>
    </w:p>
    <w:p w:rsidR="00427CF1" w:rsidRDefault="00427CF1" w:rsidP="00427CF1">
      <w:pPr>
        <w:pStyle w:val="SangriaFrancesaArticulo"/>
      </w:pPr>
      <w:r w:rsidRPr="00427CF1">
        <w:rPr>
          <w:rStyle w:val="TextoNormalNegritaCaracter"/>
        </w:rPr>
        <w:t>Artículo 39.2.</w:t>
      </w:r>
      <w:r w:rsidRPr="00427CF1">
        <w:rPr>
          <w:rStyle w:val="TextoNormalCaracter"/>
        </w:rPr>
        <w:t>-</w:t>
      </w:r>
      <w:r>
        <w:t xml:space="preserve"> Sentencias </w:t>
      </w:r>
      <w:hyperlink w:anchor="SENTENCIA_2016_167" w:history="1">
        <w:r w:rsidRPr="00427CF1">
          <w:rPr>
            <w:rStyle w:val="TextoNormalCaracter"/>
          </w:rPr>
          <w:t>167/2016</w:t>
        </w:r>
      </w:hyperlink>
      <w:r>
        <w:t xml:space="preserve">, f. 2; </w:t>
      </w:r>
      <w:hyperlink w:anchor="SENTENCIA_2016_174" w:history="1">
        <w:r w:rsidRPr="00427CF1">
          <w:rPr>
            <w:rStyle w:val="TextoNormalCaracter"/>
          </w:rPr>
          <w:t>174/2016</w:t>
        </w:r>
      </w:hyperlink>
      <w:r>
        <w:t xml:space="preserve">, f. 2; </w:t>
      </w:r>
      <w:hyperlink w:anchor="SENTENCIA_2016_181" w:history="1">
        <w:r w:rsidRPr="00427CF1">
          <w:rPr>
            <w:rStyle w:val="TextoNormalCaracter"/>
          </w:rPr>
          <w:t>181/2016</w:t>
        </w:r>
      </w:hyperlink>
      <w:r>
        <w:t xml:space="preserve">, f. 2; </w:t>
      </w:r>
      <w:hyperlink w:anchor="SENTENCIA_2016_187" w:history="1">
        <w:r w:rsidRPr="00427CF1">
          <w:rPr>
            <w:rStyle w:val="TextoNormalCaracter"/>
          </w:rPr>
          <w:t>187/2016</w:t>
        </w:r>
      </w:hyperlink>
      <w:r>
        <w:t xml:space="preserve">, f. 2; </w:t>
      </w:r>
      <w:hyperlink w:anchor="SENTENCIA_2016_188" w:history="1">
        <w:r w:rsidRPr="00427CF1">
          <w:rPr>
            <w:rStyle w:val="TextoNormalCaracter"/>
          </w:rPr>
          <w:t>188/2016</w:t>
        </w:r>
      </w:hyperlink>
      <w:r>
        <w:t xml:space="preserve">, f. 2; </w:t>
      </w:r>
      <w:hyperlink w:anchor="SENTENCIA_2016_197" w:history="1">
        <w:r w:rsidRPr="00427CF1">
          <w:rPr>
            <w:rStyle w:val="TextoNormalCaracter"/>
          </w:rPr>
          <w:t>197/2016</w:t>
        </w:r>
      </w:hyperlink>
      <w:r>
        <w:t>, f. 2.</w:t>
      </w:r>
    </w:p>
    <w:p w:rsidR="00427CF1" w:rsidRDefault="00427CF1" w:rsidP="00427CF1">
      <w:pPr>
        <w:pStyle w:val="SangriaFrancesaArticulo"/>
      </w:pPr>
      <w:r w:rsidRPr="00427CF1">
        <w:rPr>
          <w:rStyle w:val="TextoNormalNegritaCaracter"/>
        </w:rPr>
        <w:t>Artículo 40.</w:t>
      </w:r>
      <w:r w:rsidRPr="00427CF1">
        <w:rPr>
          <w:rStyle w:val="TextoNormalCaracter"/>
        </w:rPr>
        <w:t>-</w:t>
      </w:r>
      <w:r>
        <w:t xml:space="preserve"> Sentencias </w:t>
      </w:r>
      <w:hyperlink w:anchor="SENTENCIA_2016_140" w:history="1">
        <w:r w:rsidRPr="00427CF1">
          <w:rPr>
            <w:rStyle w:val="TextoNormalCaracter"/>
          </w:rPr>
          <w:t>140/2016</w:t>
        </w:r>
      </w:hyperlink>
      <w:r>
        <w:t xml:space="preserve">, f. 10; </w:t>
      </w:r>
      <w:hyperlink w:anchor="SENTENCIA_2016_185" w:history="1">
        <w:r w:rsidRPr="00427CF1">
          <w:rPr>
            <w:rStyle w:val="TextoNormalCaracter"/>
          </w:rPr>
          <w:t>185/2016</w:t>
        </w:r>
      </w:hyperlink>
      <w:r>
        <w:t>, f. 8.</w:t>
      </w:r>
    </w:p>
    <w:p w:rsidR="00427CF1" w:rsidRDefault="00427CF1" w:rsidP="00427CF1">
      <w:pPr>
        <w:pStyle w:val="SangriaFrancesaArticulo"/>
      </w:pPr>
      <w:r w:rsidRPr="00427CF1">
        <w:rPr>
          <w:rStyle w:val="TextoNormalNegritaCaracter"/>
        </w:rPr>
        <w:t>Artículo 40.1.</w:t>
      </w:r>
      <w:r w:rsidRPr="00427CF1">
        <w:rPr>
          <w:rStyle w:val="TextoNormalCaracter"/>
        </w:rPr>
        <w:t>-</w:t>
      </w:r>
      <w:r>
        <w:t xml:space="preserve"> Sentencias </w:t>
      </w:r>
      <w:hyperlink w:anchor="SENTENCIA_2016_125" w:history="1">
        <w:r w:rsidRPr="00427CF1">
          <w:rPr>
            <w:rStyle w:val="TextoNormalCaracter"/>
          </w:rPr>
          <w:t>125/2016</w:t>
        </w:r>
      </w:hyperlink>
      <w:r>
        <w:t xml:space="preserve">, f. 5; </w:t>
      </w:r>
      <w:hyperlink w:anchor="SENTENCIA_2016_126" w:history="1">
        <w:r w:rsidRPr="00427CF1">
          <w:rPr>
            <w:rStyle w:val="TextoNormalCaracter"/>
          </w:rPr>
          <w:t>126/2016</w:t>
        </w:r>
      </w:hyperlink>
      <w:r>
        <w:t xml:space="preserve">, f. 7; </w:t>
      </w:r>
      <w:hyperlink w:anchor="SENTENCIA_2016_140" w:history="1">
        <w:r w:rsidRPr="00427CF1">
          <w:rPr>
            <w:rStyle w:val="TextoNormalCaracter"/>
          </w:rPr>
          <w:t>140/2016</w:t>
        </w:r>
      </w:hyperlink>
      <w:r>
        <w:t xml:space="preserve">, ff. 2, 14; </w:t>
      </w:r>
      <w:hyperlink w:anchor="SENTENCIA_2016_153" w:history="1">
        <w:r w:rsidRPr="00427CF1">
          <w:rPr>
            <w:rStyle w:val="TextoNormalCaracter"/>
          </w:rPr>
          <w:t>153/2016</w:t>
        </w:r>
      </w:hyperlink>
      <w:r>
        <w:t xml:space="preserve">, f. 2; </w:t>
      </w:r>
      <w:hyperlink w:anchor="SENTENCIA_2016_164" w:history="1">
        <w:r w:rsidRPr="00427CF1">
          <w:rPr>
            <w:rStyle w:val="TextoNormalCaracter"/>
          </w:rPr>
          <w:t>164/2016</w:t>
        </w:r>
      </w:hyperlink>
      <w:r>
        <w:t xml:space="preserve">, f. 7; </w:t>
      </w:r>
      <w:hyperlink w:anchor="SENTENCIA_2016_169" w:history="1">
        <w:r w:rsidRPr="00427CF1">
          <w:rPr>
            <w:rStyle w:val="TextoNormalCaracter"/>
          </w:rPr>
          <w:t>169/2016</w:t>
        </w:r>
      </w:hyperlink>
      <w:r>
        <w:t xml:space="preserve">, f. 4; </w:t>
      </w:r>
      <w:hyperlink w:anchor="SENTENCIA_2016_213" w:history="1">
        <w:r w:rsidRPr="00427CF1">
          <w:rPr>
            <w:rStyle w:val="TextoNormalCaracter"/>
          </w:rPr>
          <w:t>213/2016</w:t>
        </w:r>
      </w:hyperlink>
      <w:r>
        <w:t>, ff. 2, 5.</w:t>
      </w:r>
    </w:p>
    <w:p w:rsidR="00427CF1" w:rsidRDefault="00427CF1" w:rsidP="00427CF1">
      <w:pPr>
        <w:pStyle w:val="SangriaIzquierdaArticulo"/>
      </w:pPr>
      <w:r>
        <w:t xml:space="preserve">Autos </w:t>
      </w:r>
      <w:hyperlink w:anchor="AUTO_2016_179" w:history="1">
        <w:r w:rsidRPr="00427CF1">
          <w:rPr>
            <w:rStyle w:val="TextoNormalCaracter"/>
          </w:rPr>
          <w:t>179/2016</w:t>
        </w:r>
      </w:hyperlink>
      <w:r>
        <w:t xml:space="preserve">, f. 3; </w:t>
      </w:r>
      <w:hyperlink w:anchor="AUTO_2016_193" w:history="1">
        <w:r w:rsidRPr="00427CF1">
          <w:rPr>
            <w:rStyle w:val="TextoNormalCaracter"/>
          </w:rPr>
          <w:t>193/2016</w:t>
        </w:r>
      </w:hyperlink>
      <w:r>
        <w:t>, f. 2.</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Auto </w:t>
      </w:r>
      <w:hyperlink w:anchor="AUTO_2016_155" w:history="1">
        <w:r w:rsidRPr="00427CF1">
          <w:rPr>
            <w:rStyle w:val="TextoNormalCaracter"/>
          </w:rPr>
          <w:t>155/2016</w:t>
        </w:r>
      </w:hyperlink>
      <w:r>
        <w:t>, VP II.</w:t>
      </w:r>
    </w:p>
    <w:p w:rsidR="00427CF1" w:rsidRDefault="00427CF1" w:rsidP="00427CF1">
      <w:pPr>
        <w:pStyle w:val="SangriaFrancesaArticulo"/>
      </w:pPr>
      <w:r w:rsidRPr="00427CF1">
        <w:rPr>
          <w:rStyle w:val="TextoNormalNegritaCaracter"/>
        </w:rPr>
        <w:t>Artículo 41.1.</w:t>
      </w:r>
      <w:r w:rsidRPr="00427CF1">
        <w:rPr>
          <w:rStyle w:val="TextoNormalCaracter"/>
        </w:rPr>
        <w:t>-</w:t>
      </w:r>
      <w:r>
        <w:t xml:space="preserve"> Sentencia </w:t>
      </w:r>
      <w:hyperlink w:anchor="SENTENCIA_2016_204" w:history="1">
        <w:r w:rsidRPr="00427CF1">
          <w:rPr>
            <w:rStyle w:val="TextoNormalCaracter"/>
          </w:rPr>
          <w:t>204/2016</w:t>
        </w:r>
      </w:hyperlink>
      <w:r>
        <w:t>, VP II.</w:t>
      </w:r>
    </w:p>
    <w:p w:rsidR="00427CF1" w:rsidRDefault="00427CF1" w:rsidP="00427CF1">
      <w:pPr>
        <w:pStyle w:val="SangriaFrancesaArticulo"/>
      </w:pPr>
      <w:r w:rsidRPr="00427CF1">
        <w:rPr>
          <w:rStyle w:val="TextoNormalNegritaCaracter"/>
        </w:rPr>
        <w:t>Artículo 41.3.</w:t>
      </w:r>
      <w:r w:rsidRPr="00427CF1">
        <w:rPr>
          <w:rStyle w:val="TextoNormalCaracter"/>
        </w:rPr>
        <w:t>-</w:t>
      </w:r>
      <w:r>
        <w:t xml:space="preserve"> Autos </w:t>
      </w:r>
      <w:hyperlink w:anchor="AUTO_2016_147" w:history="1">
        <w:r w:rsidRPr="00427CF1">
          <w:rPr>
            <w:rStyle w:val="TextoNormalCaracter"/>
          </w:rPr>
          <w:t>147/2016</w:t>
        </w:r>
      </w:hyperlink>
      <w:r>
        <w:t xml:space="preserve">, f. único; </w:t>
      </w:r>
      <w:hyperlink w:anchor="AUTO_2016_152" w:history="1">
        <w:r w:rsidRPr="00427CF1">
          <w:rPr>
            <w:rStyle w:val="TextoNormalCaracter"/>
          </w:rPr>
          <w:t>152/2016</w:t>
        </w:r>
      </w:hyperlink>
      <w:r>
        <w:t xml:space="preserve">, f. único; </w:t>
      </w:r>
      <w:hyperlink w:anchor="AUTO_2016_163" w:history="1">
        <w:r w:rsidRPr="00427CF1">
          <w:rPr>
            <w:rStyle w:val="TextoNormalCaracter"/>
          </w:rPr>
          <w:t>163/2016</w:t>
        </w:r>
      </w:hyperlink>
      <w:r>
        <w:t xml:space="preserve">, f. único; </w:t>
      </w:r>
      <w:hyperlink w:anchor="AUTO_2016_172" w:history="1">
        <w:r w:rsidRPr="00427CF1">
          <w:rPr>
            <w:rStyle w:val="TextoNormalCaracter"/>
          </w:rPr>
          <w:t>172/2016</w:t>
        </w:r>
      </w:hyperlink>
      <w:r>
        <w:t xml:space="preserve">, f. único; </w:t>
      </w:r>
      <w:hyperlink w:anchor="AUTO_2016_188" w:history="1">
        <w:r w:rsidRPr="00427CF1">
          <w:rPr>
            <w:rStyle w:val="TextoNormalCaracter"/>
          </w:rPr>
          <w:t>188/2016</w:t>
        </w:r>
      </w:hyperlink>
      <w:r>
        <w:t xml:space="preserve">, f. único; </w:t>
      </w:r>
      <w:hyperlink w:anchor="AUTO_2016_190" w:history="1">
        <w:r w:rsidRPr="00427CF1">
          <w:rPr>
            <w:rStyle w:val="TextoNormalCaracter"/>
          </w:rPr>
          <w:t>190/2016</w:t>
        </w:r>
      </w:hyperlink>
      <w:r>
        <w:t xml:space="preserve">, f. único; </w:t>
      </w:r>
      <w:hyperlink w:anchor="AUTO_2016_201" w:history="1">
        <w:r w:rsidRPr="00427CF1">
          <w:rPr>
            <w:rStyle w:val="TextoNormalCaracter"/>
          </w:rPr>
          <w:t>201/2016</w:t>
        </w:r>
      </w:hyperlink>
      <w:r>
        <w:t>, f. único.</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Sentencias </w:t>
      </w:r>
      <w:hyperlink w:anchor="SENTENCIA_2016_143" w:history="1">
        <w:r w:rsidRPr="00427CF1">
          <w:rPr>
            <w:rStyle w:val="TextoNormalCaracter"/>
          </w:rPr>
          <w:t>143/2016</w:t>
        </w:r>
      </w:hyperlink>
      <w:r>
        <w:t xml:space="preserve">, ff. 1 a 3; </w:t>
      </w:r>
      <w:hyperlink w:anchor="SENTENCIA_2016_212" w:history="1">
        <w:r w:rsidRPr="00427CF1">
          <w:rPr>
            <w:rStyle w:val="TextoNormalCaracter"/>
          </w:rPr>
          <w:t>212/2016</w:t>
        </w:r>
      </w:hyperlink>
      <w:r>
        <w:t xml:space="preserve">, ff. 2, 3; </w:t>
      </w:r>
      <w:hyperlink w:anchor="SENTENCIA_2016_224" w:history="1">
        <w:r w:rsidRPr="00427CF1">
          <w:rPr>
            <w:rStyle w:val="TextoNormalCaracter"/>
          </w:rPr>
          <w:t>224/2016</w:t>
        </w:r>
      </w:hyperlink>
      <w:r>
        <w:t>, f. 2.</w:t>
      </w:r>
    </w:p>
    <w:p w:rsidR="00427CF1" w:rsidRDefault="00427CF1" w:rsidP="00427CF1">
      <w:pPr>
        <w:pStyle w:val="SangriaFrancesaArticulo"/>
      </w:pPr>
      <w:r w:rsidRPr="00427CF1">
        <w:rPr>
          <w:rStyle w:val="TextoNormalNegritaCaracter"/>
        </w:rPr>
        <w:t>Artículo 42</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99" w:history="1">
        <w:r w:rsidRPr="00427CF1">
          <w:rPr>
            <w:rStyle w:val="TextoNormalCaracter"/>
          </w:rPr>
          <w:t>199/2016</w:t>
        </w:r>
      </w:hyperlink>
      <w:r>
        <w:t xml:space="preserve">, ff. 2, 3; </w:t>
      </w:r>
      <w:hyperlink w:anchor="SENTENCIA_2016_225" w:history="1">
        <w:r w:rsidRPr="00427CF1">
          <w:rPr>
            <w:rStyle w:val="TextoNormalCaracter"/>
          </w:rPr>
          <w:t>225/2016</w:t>
        </w:r>
      </w:hyperlink>
      <w:r>
        <w:t>, f. 2.</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Sentencias </w:t>
      </w:r>
      <w:hyperlink w:anchor="SENTENCIA_2016_198" w:history="1">
        <w:r w:rsidRPr="00427CF1">
          <w:rPr>
            <w:rStyle w:val="TextoNormalCaracter"/>
          </w:rPr>
          <w:t>198/2016</w:t>
        </w:r>
      </w:hyperlink>
      <w:r>
        <w:t xml:space="preserve">, f. 1; </w:t>
      </w:r>
      <w:hyperlink w:anchor="SENTENCIA_2016_220" w:history="1">
        <w:r w:rsidRPr="00427CF1">
          <w:rPr>
            <w:rStyle w:val="TextoNormalCaracter"/>
          </w:rPr>
          <w:t>220/2016</w:t>
        </w:r>
      </w:hyperlink>
      <w:r>
        <w:t>, f. 3.</w:t>
      </w:r>
    </w:p>
    <w:p w:rsidR="00427CF1" w:rsidRDefault="00427CF1" w:rsidP="00427CF1">
      <w:pPr>
        <w:pStyle w:val="SangriaFrancesaArticulo"/>
      </w:pPr>
      <w:r w:rsidRPr="00427CF1">
        <w:rPr>
          <w:rStyle w:val="TextoNormalNegritaCaracter"/>
        </w:rPr>
        <w:t>Artículo 43</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36" w:history="1">
        <w:r w:rsidRPr="00427CF1">
          <w:rPr>
            <w:rStyle w:val="TextoNormalCaracter"/>
          </w:rPr>
          <w:t>136/2016</w:t>
        </w:r>
      </w:hyperlink>
      <w:r>
        <w:t xml:space="preserve">, f. 2; </w:t>
      </w:r>
      <w:hyperlink w:anchor="SENTENCIA_2016_219" w:history="1">
        <w:r w:rsidRPr="00427CF1">
          <w:rPr>
            <w:rStyle w:val="TextoNormalCaracter"/>
          </w:rPr>
          <w:t>219/2016</w:t>
        </w:r>
      </w:hyperlink>
      <w:r>
        <w:t>, f. 3.</w:t>
      </w:r>
    </w:p>
    <w:p w:rsidR="00427CF1" w:rsidRDefault="00427CF1" w:rsidP="00427CF1">
      <w:pPr>
        <w:pStyle w:val="SangriaIzquierdaArticulo"/>
      </w:pPr>
      <w:r>
        <w:t xml:space="preserve">Auto </w:t>
      </w:r>
      <w:hyperlink w:anchor="AUTO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Artículo 44.</w:t>
      </w:r>
      <w:r w:rsidRPr="00427CF1">
        <w:rPr>
          <w:rStyle w:val="TextoNormalCaracter"/>
        </w:rPr>
        <w:t>-</w:t>
      </w:r>
      <w:r>
        <w:t xml:space="preserve"> Sentencias </w:t>
      </w:r>
      <w:hyperlink w:anchor="SENTENCIA_2016_136" w:history="1">
        <w:r w:rsidRPr="00427CF1">
          <w:rPr>
            <w:rStyle w:val="TextoNormalCaracter"/>
          </w:rPr>
          <w:t>136/2016</w:t>
        </w:r>
      </w:hyperlink>
      <w:r>
        <w:t xml:space="preserve">, f. 3; </w:t>
      </w:r>
      <w:hyperlink w:anchor="SENTENCIA_2016_198" w:history="1">
        <w:r w:rsidRPr="00427CF1">
          <w:rPr>
            <w:rStyle w:val="TextoNormalCaracter"/>
          </w:rPr>
          <w:t>198/2016</w:t>
        </w:r>
      </w:hyperlink>
      <w:r>
        <w:t>, f. 1.</w:t>
      </w:r>
    </w:p>
    <w:p w:rsidR="00427CF1" w:rsidRDefault="00427CF1" w:rsidP="00427CF1">
      <w:pPr>
        <w:pStyle w:val="SangriaFrancesaArticulo"/>
      </w:pPr>
      <w:r w:rsidRPr="00427CF1">
        <w:rPr>
          <w:rStyle w:val="TextoNormalNegritaCaracter"/>
        </w:rPr>
        <w:t>Artículo 44</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54" w:history="1">
        <w:r w:rsidRPr="00427CF1">
          <w:rPr>
            <w:rStyle w:val="TextoNormalCaracter"/>
          </w:rPr>
          <w:t>154/2016</w:t>
        </w:r>
      </w:hyperlink>
      <w:r>
        <w:t xml:space="preserve">, f. 2; </w:t>
      </w:r>
      <w:hyperlink w:anchor="SENTENCIA_2016_226" w:history="1">
        <w:r w:rsidRPr="00427CF1">
          <w:rPr>
            <w:rStyle w:val="TextoNormalCaracter"/>
          </w:rPr>
          <w:t>226/2016</w:t>
        </w:r>
      </w:hyperlink>
      <w:r>
        <w:t>, ff. 2, 4.</w:t>
      </w:r>
    </w:p>
    <w:p w:rsidR="00427CF1" w:rsidRDefault="00427CF1" w:rsidP="00427CF1">
      <w:pPr>
        <w:pStyle w:val="SangriaIzquierdaArticulo"/>
      </w:pPr>
      <w:r>
        <w:t xml:space="preserve">Auto </w:t>
      </w:r>
      <w:hyperlink w:anchor="AUTO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Artículo 44.1.</w:t>
      </w:r>
      <w:r w:rsidRPr="00427CF1">
        <w:rPr>
          <w:rStyle w:val="TextoNormalCaracter"/>
        </w:rPr>
        <w:t>-</w:t>
      </w:r>
      <w:r>
        <w:t xml:space="preserve"> Auto </w:t>
      </w:r>
      <w:hyperlink w:anchor="AUTO_2016_177" w:history="1">
        <w:r w:rsidRPr="00427CF1">
          <w:rPr>
            <w:rStyle w:val="TextoNormalCaracter"/>
          </w:rPr>
          <w:t>177/2016</w:t>
        </w:r>
      </w:hyperlink>
      <w:r>
        <w:t>, f. 3.</w:t>
      </w:r>
    </w:p>
    <w:p w:rsidR="00427CF1" w:rsidRDefault="00427CF1" w:rsidP="00427CF1">
      <w:pPr>
        <w:pStyle w:val="SangriaFrancesaArticulo"/>
      </w:pPr>
      <w:r w:rsidRPr="00427CF1">
        <w:rPr>
          <w:rStyle w:val="TextoNormalNegritaCaracter"/>
        </w:rPr>
        <w:t>Artículo 44.1</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204" w:history="1">
        <w:r w:rsidRPr="00427CF1">
          <w:rPr>
            <w:rStyle w:val="TextoNormalCaracter"/>
          </w:rPr>
          <w:t>204/2016</w:t>
        </w:r>
      </w:hyperlink>
      <w:r>
        <w:t>, VP II.</w:t>
      </w:r>
    </w:p>
    <w:p w:rsidR="00427CF1" w:rsidRDefault="00427CF1" w:rsidP="00427CF1">
      <w:pPr>
        <w:pStyle w:val="SangriaIzquierdaArticulo"/>
      </w:pPr>
      <w:r>
        <w:t xml:space="preserve">Autos </w:t>
      </w:r>
      <w:hyperlink w:anchor="AUTO_2016_137" w:history="1">
        <w:r w:rsidRPr="00427CF1">
          <w:rPr>
            <w:rStyle w:val="TextoNormalCaracter"/>
          </w:rPr>
          <w:t>137/2016</w:t>
        </w:r>
      </w:hyperlink>
      <w:r>
        <w:t xml:space="preserve">, f. 3; </w:t>
      </w:r>
      <w:hyperlink w:anchor="AUTO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44.1 a).</w:t>
      </w:r>
      <w:r w:rsidRPr="00427CF1">
        <w:rPr>
          <w:rStyle w:val="TextoNormalCaracter"/>
        </w:rPr>
        <w:t>-</w:t>
      </w:r>
      <w:r>
        <w:t xml:space="preserve"> Sentencias </w:t>
      </w:r>
      <w:hyperlink w:anchor="SENTENCIA_2016_166" w:history="1">
        <w:r w:rsidRPr="00427CF1">
          <w:rPr>
            <w:rStyle w:val="TextoNormalCaracter"/>
          </w:rPr>
          <w:t>166/2016</w:t>
        </w:r>
      </w:hyperlink>
      <w:r>
        <w:t xml:space="preserve">, f. 6; </w:t>
      </w:r>
      <w:hyperlink w:anchor="SENTENCIA_2016_189" w:history="1">
        <w:r w:rsidRPr="00427CF1">
          <w:rPr>
            <w:rStyle w:val="TextoNormalCaracter"/>
          </w:rPr>
          <w:t>189/2016</w:t>
        </w:r>
      </w:hyperlink>
      <w:r>
        <w:t xml:space="preserve">, ff. 1, 3; </w:t>
      </w:r>
      <w:hyperlink w:anchor="SENTENCIA_2016_207" w:history="1">
        <w:r w:rsidRPr="00427CF1">
          <w:rPr>
            <w:rStyle w:val="TextoNormalCaracter"/>
          </w:rPr>
          <w:t>207/2016</w:t>
        </w:r>
      </w:hyperlink>
      <w:r>
        <w:t xml:space="preserve">, f. 3; </w:t>
      </w:r>
      <w:hyperlink w:anchor="SENTENCIA_2016_218" w:history="1">
        <w:r w:rsidRPr="00427CF1">
          <w:rPr>
            <w:rStyle w:val="TextoNormalCaracter"/>
          </w:rPr>
          <w:t>218/2016</w:t>
        </w:r>
      </w:hyperlink>
      <w:r>
        <w:t xml:space="preserve">, f. 3; </w:t>
      </w:r>
      <w:hyperlink w:anchor="SENTENCIA_2016_221" w:history="1">
        <w:r w:rsidRPr="00427CF1">
          <w:rPr>
            <w:rStyle w:val="TextoNormalCaracter"/>
          </w:rPr>
          <w:t>221/2016</w:t>
        </w:r>
      </w:hyperlink>
      <w:r>
        <w:t>, f. 3.</w:t>
      </w:r>
    </w:p>
    <w:p w:rsidR="00427CF1" w:rsidRDefault="00427CF1" w:rsidP="00427CF1">
      <w:pPr>
        <w:pStyle w:val="SangriaIzquierdaArticulo"/>
      </w:pPr>
      <w:r>
        <w:t xml:space="preserve">Autos </w:t>
      </w:r>
      <w:hyperlink w:anchor="AUTO_2016_149" w:history="1">
        <w:r w:rsidRPr="00427CF1">
          <w:rPr>
            <w:rStyle w:val="TextoNormalCaracter"/>
          </w:rPr>
          <w:t>149/2016</w:t>
        </w:r>
      </w:hyperlink>
      <w:r>
        <w:t xml:space="preserve">, f. 1; </w:t>
      </w:r>
      <w:hyperlink w:anchor="AUTO_2016_165" w:history="1">
        <w:r w:rsidRPr="00427CF1">
          <w:rPr>
            <w:rStyle w:val="TextoNormalCaracter"/>
          </w:rPr>
          <w:t>165/2016</w:t>
        </w:r>
      </w:hyperlink>
      <w:r>
        <w:t>, f. único.</w:t>
      </w:r>
    </w:p>
    <w:p w:rsidR="00427CF1" w:rsidRDefault="00427CF1" w:rsidP="00427CF1">
      <w:pPr>
        <w:pStyle w:val="SangriaFrancesaArticulo"/>
      </w:pPr>
      <w:r w:rsidRPr="00427CF1">
        <w:rPr>
          <w:rStyle w:val="TextoNormalNegritaCaracter"/>
        </w:rPr>
        <w:t>Artículo 44.1 a)</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29" w:history="1">
        <w:r w:rsidRPr="00427CF1">
          <w:rPr>
            <w:rStyle w:val="TextoNormalCaracter"/>
          </w:rPr>
          <w:t>129/2016</w:t>
        </w:r>
      </w:hyperlink>
      <w:r>
        <w:t xml:space="preserve">, ff. 2, 3; </w:t>
      </w:r>
      <w:hyperlink w:anchor="SENTENCIA_2016_131" w:history="1">
        <w:r w:rsidRPr="00427CF1">
          <w:rPr>
            <w:rStyle w:val="TextoNormalCaracter"/>
          </w:rPr>
          <w:t>131/2016</w:t>
        </w:r>
      </w:hyperlink>
      <w:r>
        <w:t xml:space="preserve">, f. 2; </w:t>
      </w:r>
      <w:hyperlink w:anchor="SENTENCIA_2016_148" w:history="1">
        <w:r w:rsidRPr="00427CF1">
          <w:rPr>
            <w:rStyle w:val="TextoNormalCaracter"/>
          </w:rPr>
          <w:t>148/2016</w:t>
        </w:r>
      </w:hyperlink>
      <w:r>
        <w:t xml:space="preserve">, f. 2; </w:t>
      </w:r>
      <w:hyperlink w:anchor="SENTENCIA_2016_154" w:history="1">
        <w:r w:rsidRPr="00427CF1">
          <w:rPr>
            <w:rStyle w:val="TextoNormalCaracter"/>
          </w:rPr>
          <w:t>154/2016</w:t>
        </w:r>
      </w:hyperlink>
      <w:r>
        <w:t>, f. 4.</w:t>
      </w:r>
    </w:p>
    <w:p w:rsidR="00427CF1" w:rsidRDefault="00427CF1" w:rsidP="00427CF1">
      <w:pPr>
        <w:pStyle w:val="SangriaFrancesaArticulo"/>
      </w:pPr>
      <w:r w:rsidRPr="00427CF1">
        <w:rPr>
          <w:rStyle w:val="TextoNormalNegritaCaracter"/>
        </w:rPr>
        <w:t>Artículo 44.2</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36" w:history="1">
        <w:r w:rsidRPr="00427CF1">
          <w:rPr>
            <w:rStyle w:val="TextoNormalCaracter"/>
          </w:rPr>
          <w:t>136/2016</w:t>
        </w:r>
      </w:hyperlink>
      <w:r>
        <w:t xml:space="preserve">, ff. 2, 3; </w:t>
      </w:r>
      <w:hyperlink w:anchor="SENTENCIA_2016_172" w:history="1">
        <w:r w:rsidRPr="00427CF1">
          <w:rPr>
            <w:rStyle w:val="TextoNormalCaracter"/>
          </w:rPr>
          <w:t>172/2016</w:t>
        </w:r>
      </w:hyperlink>
      <w:r>
        <w:t>, f. 2.</w:t>
      </w:r>
    </w:p>
    <w:p w:rsidR="00427CF1" w:rsidRDefault="00427CF1" w:rsidP="00427CF1">
      <w:pPr>
        <w:pStyle w:val="SangriaFrancesaArticulo"/>
      </w:pPr>
      <w:r w:rsidRPr="00427CF1">
        <w:rPr>
          <w:rStyle w:val="TextoNormalNegritaCaracter"/>
        </w:rPr>
        <w:t>Artículo 46.</w:t>
      </w:r>
      <w:r w:rsidRPr="00427CF1">
        <w:rPr>
          <w:rStyle w:val="TextoNormalCaracter"/>
        </w:rPr>
        <w:t>-</w:t>
      </w:r>
      <w:r>
        <w:t xml:space="preserve"> Sentencia </w:t>
      </w:r>
      <w:hyperlink w:anchor="SENTENCIA_2016_154" w:history="1">
        <w:r w:rsidRPr="00427CF1">
          <w:rPr>
            <w:rStyle w:val="TextoNormalCaracter"/>
          </w:rPr>
          <w:t>154/2016</w:t>
        </w:r>
      </w:hyperlink>
      <w:r>
        <w:t>, f. 2.</w:t>
      </w:r>
    </w:p>
    <w:p w:rsidR="00427CF1" w:rsidRDefault="00427CF1" w:rsidP="00427CF1">
      <w:pPr>
        <w:pStyle w:val="SangriaFrancesaArticulo"/>
      </w:pPr>
      <w:r w:rsidRPr="00427CF1">
        <w:rPr>
          <w:rStyle w:val="TextoNormalNegritaCaracter"/>
        </w:rPr>
        <w:t>Artículo 46.1 b)</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32" w:history="1">
        <w:r w:rsidRPr="00427CF1">
          <w:rPr>
            <w:rStyle w:val="TextoNormalCaracter"/>
          </w:rPr>
          <w:t>132/2016</w:t>
        </w:r>
      </w:hyperlink>
      <w:r>
        <w:t xml:space="preserve">, f. 2; </w:t>
      </w:r>
      <w:hyperlink w:anchor="SENTENCIA_2016_154" w:history="1">
        <w:r w:rsidRPr="00427CF1">
          <w:rPr>
            <w:rStyle w:val="TextoNormalCaracter"/>
          </w:rPr>
          <w:t>154/2016</w:t>
        </w:r>
      </w:hyperlink>
      <w:r>
        <w:t>, ff. 2, 3.</w:t>
      </w:r>
    </w:p>
    <w:p w:rsidR="00427CF1" w:rsidRDefault="00427CF1" w:rsidP="00427CF1">
      <w:pPr>
        <w:pStyle w:val="SangriaFrancesaArticulo"/>
      </w:pPr>
      <w:r w:rsidRPr="00427CF1">
        <w:rPr>
          <w:rStyle w:val="TextoNormalNegritaCaracter"/>
        </w:rPr>
        <w:t>Artículo 49.1.</w:t>
      </w:r>
      <w:r w:rsidRPr="00427CF1">
        <w:rPr>
          <w:rStyle w:val="TextoNormalCaracter"/>
        </w:rPr>
        <w:t>-</w:t>
      </w:r>
      <w:r>
        <w:t xml:space="preserve"> Sentencias </w:t>
      </w:r>
      <w:hyperlink w:anchor="SENTENCIA_2016_143" w:history="1">
        <w:r w:rsidRPr="00427CF1">
          <w:rPr>
            <w:rStyle w:val="TextoNormalCaracter"/>
          </w:rPr>
          <w:t>143/2016</w:t>
        </w:r>
      </w:hyperlink>
      <w:r>
        <w:t xml:space="preserve">, f. 2; </w:t>
      </w:r>
      <w:hyperlink w:anchor="SENTENCIA_2016_146" w:history="1">
        <w:r w:rsidRPr="00427CF1">
          <w:rPr>
            <w:rStyle w:val="TextoNormalCaracter"/>
          </w:rPr>
          <w:t>146/2016</w:t>
        </w:r>
      </w:hyperlink>
      <w:r>
        <w:t xml:space="preserve">, ff. 2, 3; </w:t>
      </w:r>
      <w:hyperlink w:anchor="SENTENCIA_2016_161" w:history="1">
        <w:r w:rsidRPr="00427CF1">
          <w:rPr>
            <w:rStyle w:val="TextoNormalCaracter"/>
          </w:rPr>
          <w:t>161/2016</w:t>
        </w:r>
      </w:hyperlink>
      <w:r>
        <w:t xml:space="preserve">, f. 2; </w:t>
      </w:r>
      <w:hyperlink w:anchor="SENTENCIA_2016_173" w:history="1">
        <w:r w:rsidRPr="00427CF1">
          <w:rPr>
            <w:rStyle w:val="TextoNormalCaracter"/>
          </w:rPr>
          <w:t>173/2016</w:t>
        </w:r>
      </w:hyperlink>
      <w:r>
        <w:t xml:space="preserve">, f. 2; </w:t>
      </w:r>
      <w:hyperlink w:anchor="SENTENCIA_2016_200" w:history="1">
        <w:r w:rsidRPr="00427CF1">
          <w:rPr>
            <w:rStyle w:val="TextoNormalCaracter"/>
          </w:rPr>
          <w:t>200/2016</w:t>
        </w:r>
      </w:hyperlink>
      <w:r>
        <w:t xml:space="preserve">, f. 2; </w:t>
      </w:r>
      <w:hyperlink w:anchor="SENTENCIA_2016_212" w:history="1">
        <w:r w:rsidRPr="00427CF1">
          <w:rPr>
            <w:rStyle w:val="TextoNormalCaracter"/>
          </w:rPr>
          <w:t>212/2016</w:t>
        </w:r>
      </w:hyperlink>
      <w:r>
        <w:t>, f. 2.</w:t>
      </w:r>
    </w:p>
    <w:p w:rsidR="00427CF1" w:rsidRDefault="00427CF1" w:rsidP="00427CF1">
      <w:pPr>
        <w:pStyle w:val="SangriaIzquierdaArticulo"/>
      </w:pPr>
      <w:r>
        <w:t xml:space="preserve">Auto </w:t>
      </w:r>
      <w:hyperlink w:anchor="AUTO_2016_177" w:history="1">
        <w:r w:rsidRPr="00427CF1">
          <w:rPr>
            <w:rStyle w:val="TextoNormalCaracter"/>
          </w:rPr>
          <w:t>177/2016</w:t>
        </w:r>
      </w:hyperlink>
      <w:r>
        <w:t>, f. 1.</w:t>
      </w:r>
    </w:p>
    <w:p w:rsidR="00427CF1" w:rsidRDefault="00427CF1" w:rsidP="00427CF1">
      <w:pPr>
        <w:pStyle w:val="SangriaFrancesaArticulo"/>
      </w:pPr>
      <w:r w:rsidRPr="00427CF1">
        <w:rPr>
          <w:rStyle w:val="TextoNormalNegritaCaracter"/>
        </w:rPr>
        <w:t>Artículo 49.1</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29" w:history="1">
        <w:r w:rsidRPr="00427CF1">
          <w:rPr>
            <w:rStyle w:val="TextoNormalCaracter"/>
          </w:rPr>
          <w:t>129/2016</w:t>
        </w:r>
      </w:hyperlink>
      <w:r>
        <w:t xml:space="preserve">, f. 2; </w:t>
      </w:r>
      <w:hyperlink w:anchor="SENTENCIA_2016_131" w:history="1">
        <w:r w:rsidRPr="00427CF1">
          <w:rPr>
            <w:rStyle w:val="TextoNormalCaracter"/>
          </w:rPr>
          <w:t>131/2016</w:t>
        </w:r>
      </w:hyperlink>
      <w:r>
        <w:t xml:space="preserve">, f. 3; </w:t>
      </w:r>
      <w:hyperlink w:anchor="SENTENCIA_2016_138" w:history="1">
        <w:r w:rsidRPr="00427CF1">
          <w:rPr>
            <w:rStyle w:val="TextoNormalCaracter"/>
          </w:rPr>
          <w:t>138/2016</w:t>
        </w:r>
      </w:hyperlink>
      <w:r>
        <w:t xml:space="preserve">, f. 2; </w:t>
      </w:r>
      <w:hyperlink w:anchor="SENTENCIA_2016_163" w:history="1">
        <w:r w:rsidRPr="00427CF1">
          <w:rPr>
            <w:rStyle w:val="TextoNormalCaracter"/>
          </w:rPr>
          <w:t>163/2016</w:t>
        </w:r>
      </w:hyperlink>
      <w:r>
        <w:t xml:space="preserve">, f. 2; </w:t>
      </w:r>
      <w:hyperlink w:anchor="SENTENCIA_2016_172" w:history="1">
        <w:r w:rsidRPr="00427CF1">
          <w:rPr>
            <w:rStyle w:val="TextoNormalCaracter"/>
          </w:rPr>
          <w:t>172/2016</w:t>
        </w:r>
      </w:hyperlink>
      <w:r>
        <w:t xml:space="preserve">, f. 2; </w:t>
      </w:r>
      <w:hyperlink w:anchor="SENTENCIA_2016_199" w:history="1">
        <w:r w:rsidRPr="00427CF1">
          <w:rPr>
            <w:rStyle w:val="TextoNormalCaracter"/>
          </w:rPr>
          <w:t>199/2016</w:t>
        </w:r>
      </w:hyperlink>
      <w:r>
        <w:t>, f. 2.</w:t>
      </w:r>
    </w:p>
    <w:p w:rsidR="00427CF1" w:rsidRDefault="00427CF1" w:rsidP="00427CF1">
      <w:pPr>
        <w:pStyle w:val="SangriaFrancesaArticulo"/>
      </w:pPr>
      <w:r w:rsidRPr="00427CF1">
        <w:rPr>
          <w:rStyle w:val="TextoNormalNegritaCaracter"/>
        </w:rPr>
        <w:t xml:space="preserve">Artículo 49.1 </w:t>
      </w:r>
      <w:r w:rsidRPr="00427CF1">
        <w:rPr>
          <w:rStyle w:val="TextoNormalNegritaCursivaCaracter"/>
        </w:rPr>
        <w:t>in fine</w:t>
      </w:r>
      <w:r>
        <w:t xml:space="preserve"> </w:t>
      </w:r>
      <w:r w:rsidRPr="00427CF1">
        <w:rPr>
          <w:rStyle w:val="TextoNormalCaracter"/>
        </w:rPr>
        <w:t>(redactado por la Ley Orgánica 6/2007, de 24 de mayo)</w:t>
      </w:r>
      <w:r w:rsidRPr="00427CF1">
        <w:rPr>
          <w:rStyle w:val="TextoNormalNegritaCaracter"/>
        </w:rPr>
        <w:t>.</w:t>
      </w:r>
      <w:r w:rsidRPr="00427CF1">
        <w:rPr>
          <w:rStyle w:val="TextoNormalCaracter"/>
        </w:rPr>
        <w:t>-</w:t>
      </w:r>
      <w:r>
        <w:t xml:space="preserve"> Sentencias </w:t>
      </w:r>
      <w:hyperlink w:anchor="SENTENCIA_2016_146" w:history="1">
        <w:r w:rsidRPr="00427CF1">
          <w:rPr>
            <w:rStyle w:val="TextoNormalCaracter"/>
          </w:rPr>
          <w:t>146/2016</w:t>
        </w:r>
      </w:hyperlink>
      <w:r>
        <w:t xml:space="preserve">, ff. 2, 3, VP; </w:t>
      </w:r>
      <w:hyperlink w:anchor="SENTENCIA_2016_200" w:history="1">
        <w:r w:rsidRPr="00427CF1">
          <w:rPr>
            <w:rStyle w:val="TextoNormalCaracter"/>
          </w:rPr>
          <w:t>200/2016</w:t>
        </w:r>
      </w:hyperlink>
      <w:r>
        <w:t xml:space="preserve">, ff. 1, 2; </w:t>
      </w:r>
      <w:hyperlink w:anchor="SENTENCIA_2016_226" w:history="1">
        <w:r w:rsidRPr="00427CF1">
          <w:rPr>
            <w:rStyle w:val="TextoNormalCaracter"/>
          </w:rPr>
          <w:t>226/2016</w:t>
        </w:r>
      </w:hyperlink>
      <w:r>
        <w:t>, f. 2.</w:t>
      </w:r>
    </w:p>
    <w:p w:rsidR="00427CF1" w:rsidRDefault="00427CF1" w:rsidP="00427CF1">
      <w:pPr>
        <w:pStyle w:val="SangriaIzquierdaArticulo"/>
      </w:pPr>
      <w:r>
        <w:t xml:space="preserve">Auto </w:t>
      </w:r>
      <w:hyperlink w:anchor="AUTO_2016_177" w:history="1">
        <w:r w:rsidRPr="00427CF1">
          <w:rPr>
            <w:rStyle w:val="TextoNormalCaracter"/>
          </w:rPr>
          <w:t>177/2016</w:t>
        </w:r>
      </w:hyperlink>
      <w:r>
        <w:t>, f. 3.</w:t>
      </w:r>
    </w:p>
    <w:p w:rsidR="00427CF1" w:rsidRDefault="00427CF1" w:rsidP="00427CF1">
      <w:pPr>
        <w:pStyle w:val="SangriaFrancesaArticulo"/>
      </w:pPr>
      <w:r w:rsidRPr="00427CF1">
        <w:rPr>
          <w:rStyle w:val="TextoNormalNegritaCaracter"/>
        </w:rPr>
        <w:t>Artículo 50</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72" w:history="1">
        <w:r w:rsidRPr="00427CF1">
          <w:rPr>
            <w:rStyle w:val="TextoNormalCaracter"/>
          </w:rPr>
          <w:t>172/2016</w:t>
        </w:r>
      </w:hyperlink>
      <w:r>
        <w:t>, f. 2.</w:t>
      </w:r>
    </w:p>
    <w:p w:rsidR="00427CF1" w:rsidRDefault="00427CF1" w:rsidP="00427CF1">
      <w:pPr>
        <w:pStyle w:val="SangriaFrancesaArticulo"/>
      </w:pPr>
      <w:r w:rsidRPr="00427CF1">
        <w:rPr>
          <w:rStyle w:val="TextoNormalNegritaCaracter"/>
        </w:rPr>
        <w:t>Artículo 50.1.</w:t>
      </w:r>
      <w:r w:rsidRPr="00427CF1">
        <w:rPr>
          <w:rStyle w:val="TextoNormalCaracter"/>
        </w:rPr>
        <w:t>-</w:t>
      </w:r>
      <w:r>
        <w:t xml:space="preserve"> Sentencia </w:t>
      </w:r>
      <w:hyperlink w:anchor="SENTENCIA_2016_212" w:history="1">
        <w:r w:rsidRPr="00427CF1">
          <w:rPr>
            <w:rStyle w:val="TextoNormalCaracter"/>
          </w:rPr>
          <w:t>212/2016</w:t>
        </w:r>
      </w:hyperlink>
      <w:r>
        <w:t>, f. 2.</w:t>
      </w:r>
    </w:p>
    <w:p w:rsidR="00427CF1" w:rsidRDefault="00427CF1" w:rsidP="00427CF1">
      <w:pPr>
        <w:pStyle w:val="SangriaIzquierdaArticulo"/>
      </w:pPr>
      <w:r>
        <w:t xml:space="preserve">Auto </w:t>
      </w:r>
      <w:hyperlink w:anchor="AUTO_2016_151" w:history="1">
        <w:r w:rsidRPr="00427CF1">
          <w:rPr>
            <w:rStyle w:val="TextoNormalCaracter"/>
          </w:rPr>
          <w:t>151/2016</w:t>
        </w:r>
      </w:hyperlink>
      <w:r>
        <w:t>, f. 1.</w:t>
      </w:r>
    </w:p>
    <w:p w:rsidR="00427CF1" w:rsidRDefault="00427CF1" w:rsidP="00427CF1">
      <w:pPr>
        <w:pStyle w:val="SangriaFrancesaArticulo"/>
      </w:pPr>
      <w:r w:rsidRPr="00427CF1">
        <w:rPr>
          <w:rStyle w:val="TextoNormalNegritaCaracter"/>
        </w:rPr>
        <w:t>Artículo 50.1</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33" w:history="1">
        <w:r w:rsidRPr="00427CF1">
          <w:rPr>
            <w:rStyle w:val="TextoNormalCaracter"/>
          </w:rPr>
          <w:t>133/2016</w:t>
        </w:r>
      </w:hyperlink>
      <w:r>
        <w:t xml:space="preserve">, f. 2; </w:t>
      </w:r>
      <w:hyperlink w:anchor="SENTENCIA_2016_154" w:history="1">
        <w:r w:rsidRPr="00427CF1">
          <w:rPr>
            <w:rStyle w:val="TextoNormalCaracter"/>
          </w:rPr>
          <w:t>154/2016</w:t>
        </w:r>
      </w:hyperlink>
      <w:r>
        <w:t xml:space="preserve">, f. 2; </w:t>
      </w:r>
      <w:hyperlink w:anchor="SENTENCIA_2016_162" w:history="1">
        <w:r w:rsidRPr="00427CF1">
          <w:rPr>
            <w:rStyle w:val="TextoNormalCaracter"/>
          </w:rPr>
          <w:t>162/2016</w:t>
        </w:r>
      </w:hyperlink>
      <w:r>
        <w:t xml:space="preserve">, f. 2; </w:t>
      </w:r>
      <w:hyperlink w:anchor="SENTENCIA_2016_199" w:history="1">
        <w:r w:rsidRPr="00427CF1">
          <w:rPr>
            <w:rStyle w:val="TextoNormalCaracter"/>
          </w:rPr>
          <w:t>199/2016</w:t>
        </w:r>
      </w:hyperlink>
      <w:r>
        <w:t>, f. 2.</w:t>
      </w:r>
    </w:p>
    <w:p w:rsidR="00427CF1" w:rsidRDefault="00427CF1" w:rsidP="00427CF1">
      <w:pPr>
        <w:pStyle w:val="SangriaFrancesaArticulo"/>
      </w:pPr>
      <w:r w:rsidRPr="00427CF1">
        <w:rPr>
          <w:rStyle w:val="TextoNormalNegritaCaracter"/>
        </w:rPr>
        <w:t>Artículo 50.1 a).</w:t>
      </w:r>
      <w:r w:rsidRPr="00427CF1">
        <w:rPr>
          <w:rStyle w:val="TextoNormalCaracter"/>
        </w:rPr>
        <w:t>-</w:t>
      </w:r>
      <w:r>
        <w:t xml:space="preserve"> Autos </w:t>
      </w:r>
      <w:hyperlink w:anchor="AUTO_2016_149" w:history="1">
        <w:r w:rsidRPr="00427CF1">
          <w:rPr>
            <w:rStyle w:val="TextoNormalCaracter"/>
          </w:rPr>
          <w:t>149/2016</w:t>
        </w:r>
      </w:hyperlink>
      <w:r>
        <w:t xml:space="preserve">, f. 1; </w:t>
      </w:r>
      <w:hyperlink w:anchor="AUTO_2016_177" w:history="1">
        <w:r w:rsidRPr="00427CF1">
          <w:rPr>
            <w:rStyle w:val="TextoNormalCaracter"/>
          </w:rPr>
          <w:t>177/2016</w:t>
        </w:r>
      </w:hyperlink>
      <w:r>
        <w:t>, f. 1.</w:t>
      </w:r>
    </w:p>
    <w:p w:rsidR="00427CF1" w:rsidRDefault="00427CF1" w:rsidP="00427CF1">
      <w:pPr>
        <w:pStyle w:val="SangriaFrancesaArticulo"/>
      </w:pPr>
      <w:r w:rsidRPr="00427CF1">
        <w:rPr>
          <w:rStyle w:val="TextoNormalNegritaCaracter"/>
        </w:rPr>
        <w:t>Artículo 50.1 a)</w:t>
      </w:r>
      <w:r>
        <w:t xml:space="preserve"> (redactado por la Ley Orgánica 6/2007, de 24 de mayo)</w:t>
      </w:r>
      <w:r w:rsidRPr="00427CF1">
        <w:rPr>
          <w:rStyle w:val="TextoNormalNegritaCaracter"/>
        </w:rPr>
        <w:t>.</w:t>
      </w:r>
      <w:r w:rsidRPr="00427CF1">
        <w:rPr>
          <w:rStyle w:val="TextoNormalCaracter"/>
        </w:rPr>
        <w:t>-</w:t>
      </w:r>
      <w:r>
        <w:t xml:space="preserve"> Auto </w:t>
      </w:r>
      <w:hyperlink w:anchor="AUTO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50.1 b).</w:t>
      </w:r>
      <w:r w:rsidRPr="00427CF1">
        <w:rPr>
          <w:rStyle w:val="TextoNormalCaracter"/>
        </w:rPr>
        <w:t>-</w:t>
      </w:r>
      <w:r>
        <w:t xml:space="preserve"> Sentencias </w:t>
      </w:r>
      <w:hyperlink w:anchor="SENTENCIA_2016_143" w:history="1">
        <w:r w:rsidRPr="00427CF1">
          <w:rPr>
            <w:rStyle w:val="TextoNormalCaracter"/>
          </w:rPr>
          <w:t>143/2016</w:t>
        </w:r>
      </w:hyperlink>
      <w:r>
        <w:t xml:space="preserve">, f. 2; </w:t>
      </w:r>
      <w:hyperlink w:anchor="SENTENCIA_2016_146" w:history="1">
        <w:r w:rsidRPr="00427CF1">
          <w:rPr>
            <w:rStyle w:val="TextoNormalCaracter"/>
          </w:rPr>
          <w:t>146/2016</w:t>
        </w:r>
      </w:hyperlink>
      <w:r>
        <w:t xml:space="preserve">, ff. 2, 3; </w:t>
      </w:r>
      <w:hyperlink w:anchor="SENTENCIA_2016_149" w:history="1">
        <w:r w:rsidRPr="00427CF1">
          <w:rPr>
            <w:rStyle w:val="TextoNormalCaracter"/>
          </w:rPr>
          <w:t>149/2016</w:t>
        </w:r>
      </w:hyperlink>
      <w:r>
        <w:t xml:space="preserve">, f. 2; </w:t>
      </w:r>
      <w:hyperlink w:anchor="SENTENCIA_2016_161" w:history="1">
        <w:r w:rsidRPr="00427CF1">
          <w:rPr>
            <w:rStyle w:val="TextoNormalCaracter"/>
          </w:rPr>
          <w:t>161/2016</w:t>
        </w:r>
      </w:hyperlink>
      <w:r>
        <w:t xml:space="preserve">, f. 2; </w:t>
      </w:r>
      <w:hyperlink w:anchor="SENTENCIA_2016_166" w:history="1">
        <w:r w:rsidRPr="00427CF1">
          <w:rPr>
            <w:rStyle w:val="TextoNormalCaracter"/>
          </w:rPr>
          <w:t>166/2016</w:t>
        </w:r>
      </w:hyperlink>
      <w:r>
        <w:t xml:space="preserve">, f. 2; </w:t>
      </w:r>
      <w:hyperlink w:anchor="SENTENCIA_2016_173" w:history="1">
        <w:r w:rsidRPr="00427CF1">
          <w:rPr>
            <w:rStyle w:val="TextoNormalCaracter"/>
          </w:rPr>
          <w:t>173/2016</w:t>
        </w:r>
      </w:hyperlink>
      <w:r>
        <w:t xml:space="preserve">, f. 2; </w:t>
      </w:r>
      <w:hyperlink w:anchor="SENTENCIA_2016_189" w:history="1">
        <w:r w:rsidRPr="00427CF1">
          <w:rPr>
            <w:rStyle w:val="TextoNormalCaracter"/>
          </w:rPr>
          <w:t>189/2016</w:t>
        </w:r>
      </w:hyperlink>
      <w:r>
        <w:t xml:space="preserve">, f. 2; </w:t>
      </w:r>
      <w:hyperlink w:anchor="SENTENCIA_2016_198" w:history="1">
        <w:r w:rsidRPr="00427CF1">
          <w:rPr>
            <w:rStyle w:val="TextoNormalCaracter"/>
          </w:rPr>
          <w:t>198/2016</w:t>
        </w:r>
      </w:hyperlink>
      <w:r>
        <w:t xml:space="preserve">, f. 2; </w:t>
      </w:r>
      <w:hyperlink w:anchor="SENTENCIA_2016_200" w:history="1">
        <w:r w:rsidRPr="00427CF1">
          <w:rPr>
            <w:rStyle w:val="TextoNormalCaracter"/>
          </w:rPr>
          <w:t>200/2016</w:t>
        </w:r>
      </w:hyperlink>
      <w:r>
        <w:t xml:space="preserve">, ff. 2, 3; </w:t>
      </w:r>
      <w:hyperlink w:anchor="SENTENCIA_2016_212" w:history="1">
        <w:r w:rsidRPr="00427CF1">
          <w:rPr>
            <w:rStyle w:val="TextoNormalCaracter"/>
          </w:rPr>
          <w:t>212/2016</w:t>
        </w:r>
      </w:hyperlink>
      <w:r>
        <w:t>, f. 2.</w:t>
      </w:r>
    </w:p>
    <w:p w:rsidR="00427CF1" w:rsidRDefault="00427CF1" w:rsidP="00427CF1">
      <w:pPr>
        <w:pStyle w:val="SangriaIzquierdaArticulo"/>
      </w:pPr>
      <w:r>
        <w:t xml:space="preserve">Auto </w:t>
      </w:r>
      <w:hyperlink w:anchor="AUTO_2016_177" w:history="1">
        <w:r w:rsidRPr="00427CF1">
          <w:rPr>
            <w:rStyle w:val="TextoNormalCaracter"/>
          </w:rPr>
          <w:t>177/2016</w:t>
        </w:r>
      </w:hyperlink>
      <w:r>
        <w:t>, ff. 1, 3.</w:t>
      </w:r>
    </w:p>
    <w:p w:rsidR="00427CF1" w:rsidRDefault="00427CF1" w:rsidP="00427CF1">
      <w:pPr>
        <w:pStyle w:val="SangriaFrancesaArticulo"/>
      </w:pPr>
      <w:r w:rsidRPr="00427CF1">
        <w:rPr>
          <w:rStyle w:val="TextoNormalNegritaCaracter"/>
        </w:rPr>
        <w:t>Artículo 50.1 b)</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29" w:history="1">
        <w:r w:rsidRPr="00427CF1">
          <w:rPr>
            <w:rStyle w:val="TextoNormalCaracter"/>
          </w:rPr>
          <w:t>129/2016</w:t>
        </w:r>
      </w:hyperlink>
      <w:r>
        <w:t xml:space="preserve">, f. 2; </w:t>
      </w:r>
      <w:hyperlink w:anchor="SENTENCIA_2016_131" w:history="1">
        <w:r w:rsidRPr="00427CF1">
          <w:rPr>
            <w:rStyle w:val="TextoNormalCaracter"/>
          </w:rPr>
          <w:t>131/2016</w:t>
        </w:r>
      </w:hyperlink>
      <w:r>
        <w:t xml:space="preserve">, f. 3; </w:t>
      </w:r>
      <w:hyperlink w:anchor="SENTENCIA_2016_132" w:history="1">
        <w:r w:rsidRPr="00427CF1">
          <w:rPr>
            <w:rStyle w:val="TextoNormalCaracter"/>
          </w:rPr>
          <w:t>132/2016</w:t>
        </w:r>
      </w:hyperlink>
      <w:r>
        <w:t xml:space="preserve">, f. 2; </w:t>
      </w:r>
      <w:hyperlink w:anchor="SENTENCIA_2016_138" w:history="1">
        <w:r w:rsidRPr="00427CF1">
          <w:rPr>
            <w:rStyle w:val="TextoNormalCaracter"/>
          </w:rPr>
          <w:t>138/2016</w:t>
        </w:r>
      </w:hyperlink>
      <w:r>
        <w:t xml:space="preserve">, f. 2; </w:t>
      </w:r>
      <w:hyperlink w:anchor="SENTENCIA_2016_163" w:history="1">
        <w:r w:rsidRPr="00427CF1">
          <w:rPr>
            <w:rStyle w:val="TextoNormalCaracter"/>
          </w:rPr>
          <w:t>163/2016</w:t>
        </w:r>
      </w:hyperlink>
      <w:r>
        <w:t xml:space="preserve">, f. 2; </w:t>
      </w:r>
      <w:hyperlink w:anchor="SENTENCIA_2016_172" w:history="1">
        <w:r w:rsidRPr="00427CF1">
          <w:rPr>
            <w:rStyle w:val="TextoNormalCaracter"/>
          </w:rPr>
          <w:t>172/2016</w:t>
        </w:r>
      </w:hyperlink>
      <w:r>
        <w:t xml:space="preserve">, f. 2; </w:t>
      </w:r>
      <w:hyperlink w:anchor="SENTENCIA_2016_196" w:history="1">
        <w:r w:rsidRPr="00427CF1">
          <w:rPr>
            <w:rStyle w:val="TextoNormalCaracter"/>
          </w:rPr>
          <w:t>196/2016</w:t>
        </w:r>
      </w:hyperlink>
      <w:r>
        <w:t xml:space="preserve">, f. 2; </w:t>
      </w:r>
      <w:hyperlink w:anchor="SENTENCIA_2016_199" w:history="1">
        <w:r w:rsidRPr="00427CF1">
          <w:rPr>
            <w:rStyle w:val="TextoNormalCaracter"/>
          </w:rPr>
          <w:t>199/2016</w:t>
        </w:r>
      </w:hyperlink>
      <w:r>
        <w:t xml:space="preserve">, f. 2; </w:t>
      </w:r>
      <w:hyperlink w:anchor="SENTENCIA_2016_222" w:history="1">
        <w:r w:rsidRPr="00427CF1">
          <w:rPr>
            <w:rStyle w:val="TextoNormalCaracter"/>
          </w:rPr>
          <w:t>222/2016</w:t>
        </w:r>
      </w:hyperlink>
      <w:r>
        <w:t xml:space="preserve">, f. 2; </w:t>
      </w:r>
      <w:hyperlink w:anchor="SENTENCIA_2016_226" w:history="1">
        <w:r w:rsidRPr="00427CF1">
          <w:rPr>
            <w:rStyle w:val="TextoNormalCaracter"/>
          </w:rPr>
          <w:t>226/2016</w:t>
        </w:r>
      </w:hyperlink>
      <w:r>
        <w:t>, ff. 2, 3.</w:t>
      </w:r>
    </w:p>
    <w:p w:rsidR="00427CF1" w:rsidRDefault="00427CF1" w:rsidP="00427CF1">
      <w:pPr>
        <w:pStyle w:val="SangriaIzquierdaArticulo"/>
      </w:pPr>
      <w:r>
        <w:t xml:space="preserve">Autos </w:t>
      </w:r>
      <w:hyperlink w:anchor="AUTO_2016_148" w:history="1">
        <w:r w:rsidRPr="00427CF1">
          <w:rPr>
            <w:rStyle w:val="TextoNormalCaracter"/>
          </w:rPr>
          <w:t>148/2016</w:t>
        </w:r>
      </w:hyperlink>
      <w:r>
        <w:t xml:space="preserve">, f. 2; </w:t>
      </w:r>
      <w:hyperlink w:anchor="AUTO_2016_155" w:history="1">
        <w:r w:rsidRPr="00427CF1">
          <w:rPr>
            <w:rStyle w:val="TextoNormalCaracter"/>
          </w:rPr>
          <w:t>155/2016</w:t>
        </w:r>
      </w:hyperlink>
      <w:r>
        <w:t>, VP II.</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Sentencias </w:t>
      </w:r>
      <w:hyperlink w:anchor="SENTENCIA_2016_132" w:history="1">
        <w:r w:rsidRPr="00427CF1">
          <w:rPr>
            <w:rStyle w:val="TextoNormalCaracter"/>
          </w:rPr>
          <w:t>132/2016</w:t>
        </w:r>
      </w:hyperlink>
      <w:r>
        <w:t xml:space="preserve">, f. 3; </w:t>
      </w:r>
      <w:hyperlink w:anchor="SENTENCIA_2016_172" w:history="1">
        <w:r w:rsidRPr="00427CF1">
          <w:rPr>
            <w:rStyle w:val="TextoNormalCaracter"/>
          </w:rPr>
          <w:t>172/2016</w:t>
        </w:r>
      </w:hyperlink>
      <w:r>
        <w:t xml:space="preserve">, f. 2; </w:t>
      </w:r>
      <w:hyperlink w:anchor="SENTENCIA_2016_221" w:history="1">
        <w:r w:rsidRPr="00427CF1">
          <w:rPr>
            <w:rStyle w:val="TextoNormalCaracter"/>
          </w:rPr>
          <w:t>221/2016</w:t>
        </w:r>
      </w:hyperlink>
      <w:r>
        <w:t>, f. 3.</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146" w:history="1">
        <w:r w:rsidRPr="00427CF1">
          <w:rPr>
            <w:rStyle w:val="TextoNormalCaracter"/>
          </w:rPr>
          <w:t>146/2016</w:t>
        </w:r>
      </w:hyperlink>
      <w:r>
        <w:t>, f. 2.</w:t>
      </w:r>
    </w:p>
    <w:p w:rsidR="00427CF1" w:rsidRDefault="00427CF1" w:rsidP="00427CF1">
      <w:pPr>
        <w:pStyle w:val="SangriaFrancesaArticulo"/>
      </w:pPr>
      <w:r w:rsidRPr="00427CF1">
        <w:rPr>
          <w:rStyle w:val="TextoNormalNegritaCaracter"/>
        </w:rPr>
        <w:t>Artículo 53</w:t>
      </w:r>
      <w:r>
        <w:t xml:space="preserve"> (redactado por la Ley Orgánica 6/2007, de 24 de mayo)</w:t>
      </w:r>
      <w:r w:rsidRPr="00427CF1">
        <w:rPr>
          <w:rStyle w:val="TextoNormalNegritaCaracter"/>
        </w:rPr>
        <w:t>.</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Artículo 54.</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54</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54" w:history="1">
        <w:r w:rsidRPr="00427CF1">
          <w:rPr>
            <w:rStyle w:val="TextoNormalCaracter"/>
          </w:rPr>
          <w:t>154/2016</w:t>
        </w:r>
      </w:hyperlink>
      <w:r>
        <w:t>, f. 4.</w:t>
      </w:r>
    </w:p>
    <w:p w:rsidR="00427CF1" w:rsidRDefault="00427CF1" w:rsidP="00427CF1">
      <w:pPr>
        <w:pStyle w:val="SangriaFrancesaArticulo"/>
      </w:pPr>
      <w:r w:rsidRPr="00427CF1">
        <w:rPr>
          <w:rStyle w:val="TextoNormalNegritaCaracter"/>
        </w:rPr>
        <w:t>Artículo 55.</w:t>
      </w:r>
      <w:r w:rsidRPr="00427CF1">
        <w:rPr>
          <w:rStyle w:val="TextoNormalCaracter"/>
        </w:rPr>
        <w:t>-</w:t>
      </w:r>
      <w:r>
        <w:t xml:space="preserve"> Sentencia </w:t>
      </w:r>
      <w:hyperlink w:anchor="SENTENCIA_2016_221" w:history="1">
        <w:r w:rsidRPr="00427CF1">
          <w:rPr>
            <w:rStyle w:val="TextoNormalCaracter"/>
          </w:rPr>
          <w:t>221/2016</w:t>
        </w:r>
      </w:hyperlink>
      <w:r>
        <w:t>, f. 3.</w:t>
      </w:r>
    </w:p>
    <w:p w:rsidR="00427CF1" w:rsidRDefault="00427CF1" w:rsidP="00427CF1">
      <w:pPr>
        <w:pStyle w:val="SangriaFrancesaArticulo"/>
      </w:pPr>
      <w:r w:rsidRPr="00427CF1">
        <w:rPr>
          <w:rStyle w:val="TextoNormalNegritaCaracter"/>
        </w:rPr>
        <w:t>Artículo 55.1.</w:t>
      </w:r>
      <w:r w:rsidRPr="00427CF1">
        <w:rPr>
          <w:rStyle w:val="TextoNormalCaracter"/>
        </w:rPr>
        <w:t>-</w:t>
      </w:r>
      <w:r>
        <w:t xml:space="preserve"> Sentencias </w:t>
      </w:r>
      <w:hyperlink w:anchor="SENTENCIA_2016_149" w:history="1">
        <w:r w:rsidRPr="00427CF1">
          <w:rPr>
            <w:rStyle w:val="TextoNormalCaracter"/>
          </w:rPr>
          <w:t>149/2016</w:t>
        </w:r>
      </w:hyperlink>
      <w:r>
        <w:t xml:space="preserve">, f. 6; </w:t>
      </w:r>
      <w:hyperlink w:anchor="SENTENCIA_2016_200" w:history="1">
        <w:r w:rsidRPr="00427CF1">
          <w:rPr>
            <w:rStyle w:val="TextoNormalCaracter"/>
          </w:rPr>
          <w:t>200/2016</w:t>
        </w:r>
      </w:hyperlink>
      <w:r>
        <w:t xml:space="preserve">, f. 7; </w:t>
      </w:r>
      <w:hyperlink w:anchor="SENTENCIA_2016_224" w:history="1">
        <w:r w:rsidRPr="00427CF1">
          <w:rPr>
            <w:rStyle w:val="TextoNormalCaracter"/>
          </w:rPr>
          <w:t>224/2016</w:t>
        </w:r>
      </w:hyperlink>
      <w:r>
        <w:t>, f. 6.</w:t>
      </w:r>
    </w:p>
    <w:p w:rsidR="00427CF1" w:rsidRDefault="00427CF1" w:rsidP="00427CF1">
      <w:pPr>
        <w:pStyle w:val="SangriaFrancesaArticulo"/>
      </w:pPr>
      <w:r w:rsidRPr="00427CF1">
        <w:rPr>
          <w:rStyle w:val="TextoNormalNegritaCaracter"/>
        </w:rPr>
        <w:t>Artículo 55.1</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37" w:history="1">
        <w:r w:rsidRPr="00427CF1">
          <w:rPr>
            <w:rStyle w:val="TextoNormalCaracter"/>
          </w:rPr>
          <w:t>137/2016</w:t>
        </w:r>
      </w:hyperlink>
      <w:r>
        <w:t xml:space="preserve">, f. 4; </w:t>
      </w:r>
      <w:hyperlink w:anchor="SENTENCIA_2016_225" w:history="1">
        <w:r w:rsidRPr="00427CF1">
          <w:rPr>
            <w:rStyle w:val="TextoNormalCaracter"/>
          </w:rPr>
          <w:t>225/2016</w:t>
        </w:r>
      </w:hyperlink>
      <w:r>
        <w:t>, f. 6.</w:t>
      </w:r>
    </w:p>
    <w:p w:rsidR="00427CF1" w:rsidRDefault="00427CF1" w:rsidP="00427CF1">
      <w:pPr>
        <w:pStyle w:val="SangriaFrancesaArticulo"/>
      </w:pPr>
      <w:r w:rsidRPr="00427CF1">
        <w:rPr>
          <w:rStyle w:val="TextoNormalNegritaCaracter"/>
        </w:rPr>
        <w:t>Artículo 55.2</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29" w:history="1">
        <w:r w:rsidRPr="00427CF1">
          <w:rPr>
            <w:rStyle w:val="TextoNormalCaracter"/>
          </w:rPr>
          <w:t>129/2016</w:t>
        </w:r>
      </w:hyperlink>
      <w:r>
        <w:t xml:space="preserve">, f. 1;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Artículo 56.</w:t>
      </w:r>
      <w:r w:rsidRPr="00427CF1">
        <w:rPr>
          <w:rStyle w:val="TextoNormalCaracter"/>
        </w:rPr>
        <w:t>-</w:t>
      </w:r>
      <w:r>
        <w:t xml:space="preserve"> Auto </w:t>
      </w:r>
      <w:hyperlink w:anchor="AUTO_2016_154" w:history="1">
        <w:r w:rsidRPr="00427CF1">
          <w:rPr>
            <w:rStyle w:val="TextoNormalCaracter"/>
          </w:rPr>
          <w:t>154/2016</w:t>
        </w:r>
      </w:hyperlink>
      <w:r>
        <w:t>, f. 1.</w:t>
      </w:r>
    </w:p>
    <w:p w:rsidR="00427CF1" w:rsidRDefault="00427CF1" w:rsidP="00427CF1">
      <w:pPr>
        <w:pStyle w:val="SangriaFrancesaArticulo"/>
      </w:pPr>
      <w:r w:rsidRPr="00427CF1">
        <w:rPr>
          <w:rStyle w:val="TextoNormalNegritaCaracter"/>
        </w:rPr>
        <w:t>Artículo 56.1</w:t>
      </w:r>
      <w:r>
        <w:t xml:space="preserve"> (redactado por la Ley Orgánica 6/2007, de 24 de mayo)</w:t>
      </w:r>
      <w:r w:rsidRPr="00427CF1">
        <w:rPr>
          <w:rStyle w:val="TextoNormalNegritaCaracter"/>
        </w:rPr>
        <w:t>.</w:t>
      </w:r>
      <w:r w:rsidRPr="00427CF1">
        <w:rPr>
          <w:rStyle w:val="TextoNormalCaracter"/>
        </w:rPr>
        <w:t>-</w:t>
      </w:r>
      <w:r>
        <w:t xml:space="preserve"> Autos </w:t>
      </w:r>
      <w:hyperlink w:anchor="AUTO_2016_194" w:history="1">
        <w:r w:rsidRPr="00427CF1">
          <w:rPr>
            <w:rStyle w:val="TextoNormalCaracter"/>
          </w:rPr>
          <w:t>194/2016</w:t>
        </w:r>
      </w:hyperlink>
      <w:r>
        <w:t xml:space="preserve">, f. 1; </w:t>
      </w:r>
      <w:hyperlink w:anchor="AUTO_2016_195" w:history="1">
        <w:r w:rsidRPr="00427CF1">
          <w:rPr>
            <w:rStyle w:val="TextoNormalCaracter"/>
          </w:rPr>
          <w:t>195/2016</w:t>
        </w:r>
      </w:hyperlink>
      <w:r>
        <w:t>, f. 1.</w:t>
      </w:r>
    </w:p>
    <w:p w:rsidR="00427CF1" w:rsidRDefault="00427CF1" w:rsidP="00427CF1">
      <w:pPr>
        <w:pStyle w:val="SangriaFrancesaArticulo"/>
      </w:pPr>
      <w:r w:rsidRPr="00427CF1">
        <w:rPr>
          <w:rStyle w:val="TextoNormalNegritaCaracter"/>
        </w:rPr>
        <w:t>Artículo 56.2.</w:t>
      </w:r>
      <w:r w:rsidRPr="00427CF1">
        <w:rPr>
          <w:rStyle w:val="TextoNormalCaracter"/>
        </w:rPr>
        <w:t>-</w:t>
      </w:r>
      <w:r>
        <w:t xml:space="preserve"> Auto </w:t>
      </w:r>
      <w:hyperlink w:anchor="AUTO_2016_154" w:history="1">
        <w:r w:rsidRPr="00427CF1">
          <w:rPr>
            <w:rStyle w:val="TextoNormalCaracter"/>
          </w:rPr>
          <w:t>154/2016</w:t>
        </w:r>
      </w:hyperlink>
      <w:r>
        <w:t>, f. 1.</w:t>
      </w:r>
    </w:p>
    <w:p w:rsidR="00427CF1" w:rsidRDefault="00427CF1" w:rsidP="00427CF1">
      <w:pPr>
        <w:pStyle w:val="SangriaFrancesaArticulo"/>
      </w:pPr>
      <w:r w:rsidRPr="00427CF1">
        <w:rPr>
          <w:rStyle w:val="TextoNormalNegritaCaracter"/>
        </w:rPr>
        <w:t>Artículo 56.2</w:t>
      </w:r>
      <w:r>
        <w:t xml:space="preserve"> (redactado por la Ley Orgánica 6/2007, de 24 de mayo)</w:t>
      </w:r>
      <w:r w:rsidRPr="00427CF1">
        <w:rPr>
          <w:rStyle w:val="TextoNormalNegritaCaracter"/>
        </w:rPr>
        <w:t>.</w:t>
      </w:r>
      <w:r w:rsidRPr="00427CF1">
        <w:rPr>
          <w:rStyle w:val="TextoNormalCaracter"/>
        </w:rPr>
        <w:t>-</w:t>
      </w:r>
      <w:r>
        <w:t xml:space="preserve"> Autos </w:t>
      </w:r>
      <w:hyperlink w:anchor="AUTO_2016_194" w:history="1">
        <w:r w:rsidRPr="00427CF1">
          <w:rPr>
            <w:rStyle w:val="TextoNormalCaracter"/>
          </w:rPr>
          <w:t>194/2016</w:t>
        </w:r>
      </w:hyperlink>
      <w:r>
        <w:t xml:space="preserve">, f. 1; </w:t>
      </w:r>
      <w:hyperlink w:anchor="AUTO_2016_195" w:history="1">
        <w:r w:rsidRPr="00427CF1">
          <w:rPr>
            <w:rStyle w:val="TextoNormalCaracter"/>
          </w:rPr>
          <w:t>195/2016</w:t>
        </w:r>
      </w:hyperlink>
      <w:r>
        <w:t>, ff. 1, 2.</w:t>
      </w:r>
    </w:p>
    <w:p w:rsidR="00427CF1" w:rsidRDefault="00427CF1" w:rsidP="00427CF1">
      <w:pPr>
        <w:pStyle w:val="SangriaFrancesaArticulo"/>
      </w:pPr>
      <w:r w:rsidRPr="00427CF1">
        <w:rPr>
          <w:rStyle w:val="TextoNormalNegritaCaracter"/>
        </w:rPr>
        <w:t>Artículo 56.3.</w:t>
      </w:r>
      <w:r w:rsidRPr="00427CF1">
        <w:rPr>
          <w:rStyle w:val="TextoNormalCaracter"/>
        </w:rPr>
        <w:t>-</w:t>
      </w:r>
      <w:r>
        <w:t xml:space="preserve"> Auto </w:t>
      </w:r>
      <w:hyperlink w:anchor="AUTO_2016_154" w:history="1">
        <w:r w:rsidRPr="00427CF1">
          <w:rPr>
            <w:rStyle w:val="TextoNormalCaracter"/>
          </w:rPr>
          <w:t>154/2016</w:t>
        </w:r>
      </w:hyperlink>
      <w:r>
        <w:t>, f. 1.</w:t>
      </w:r>
    </w:p>
    <w:p w:rsidR="00427CF1" w:rsidRDefault="00427CF1" w:rsidP="00427CF1">
      <w:pPr>
        <w:pStyle w:val="SangriaFrancesaArticulo"/>
      </w:pPr>
      <w:r w:rsidRPr="00427CF1">
        <w:rPr>
          <w:rStyle w:val="TextoNormalNegritaCaracter"/>
        </w:rPr>
        <w:t>Artículo 56.3</w:t>
      </w:r>
      <w:r>
        <w:t xml:space="preserve"> (redactado por la Ley Orgánica 6/2007, de 24 de mayo)</w:t>
      </w:r>
      <w:r w:rsidRPr="00427CF1">
        <w:rPr>
          <w:rStyle w:val="TextoNormalNegritaCaracter"/>
        </w:rPr>
        <w:t>.</w:t>
      </w:r>
      <w:r w:rsidRPr="00427CF1">
        <w:rPr>
          <w:rStyle w:val="TextoNormalCaracter"/>
        </w:rPr>
        <w:t>-</w:t>
      </w:r>
      <w:r>
        <w:t xml:space="preserve"> Auto </w:t>
      </w:r>
      <w:hyperlink w:anchor="AUTO_2016_194" w:history="1">
        <w:r w:rsidRPr="00427CF1">
          <w:rPr>
            <w:rStyle w:val="TextoNormalCaracter"/>
          </w:rPr>
          <w:t>194/2016</w:t>
        </w:r>
      </w:hyperlink>
      <w:r>
        <w:t>, f. 1.</w:t>
      </w:r>
    </w:p>
    <w:p w:rsidR="00427CF1" w:rsidRDefault="00427CF1" w:rsidP="00427CF1">
      <w:pPr>
        <w:pStyle w:val="SangriaFrancesaArticulo"/>
      </w:pPr>
      <w:r w:rsidRPr="00427CF1">
        <w:rPr>
          <w:rStyle w:val="TextoNormalNegritaCaracter"/>
        </w:rPr>
        <w:t>Artículo 57.</w:t>
      </w:r>
      <w:r w:rsidRPr="00427CF1">
        <w:rPr>
          <w:rStyle w:val="TextoNormalCaracter"/>
        </w:rPr>
        <w:t>-</w:t>
      </w:r>
      <w:r>
        <w:t xml:space="preserve"> Auto </w:t>
      </w:r>
      <w:hyperlink w:anchor="AUTO_2016_195" w:history="1">
        <w:r w:rsidRPr="00427CF1">
          <w:rPr>
            <w:rStyle w:val="TextoNormalCaracter"/>
          </w:rPr>
          <w:t>195/2016</w:t>
        </w:r>
      </w:hyperlink>
      <w:r>
        <w:t>, f. 2.</w:t>
      </w:r>
    </w:p>
    <w:p w:rsidR="00427CF1" w:rsidRDefault="00427CF1" w:rsidP="00427CF1">
      <w:pPr>
        <w:pStyle w:val="SangriaFrancesaArticulo"/>
      </w:pPr>
      <w:r w:rsidRPr="00427CF1">
        <w:rPr>
          <w:rStyle w:val="TextoNormalNegritaCaracter"/>
        </w:rPr>
        <w:t>Artículo 61.3.</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63.2.</w:t>
      </w:r>
      <w:r w:rsidRPr="00427CF1">
        <w:rPr>
          <w:rStyle w:val="TextoNormalCaracter"/>
        </w:rPr>
        <w:t>-</w:t>
      </w:r>
      <w:r>
        <w:t xml:space="preserve"> Sentencia </w:t>
      </w:r>
      <w:hyperlink w:anchor="SENTENCIA_2016_216" w:history="1">
        <w:r w:rsidRPr="00427CF1">
          <w:rPr>
            <w:rStyle w:val="TextoNormalCaracter"/>
          </w:rPr>
          <w:t>216/2016</w:t>
        </w:r>
      </w:hyperlink>
      <w:r>
        <w:t>, f. 3.</w:t>
      </w:r>
    </w:p>
    <w:p w:rsidR="00427CF1" w:rsidRDefault="00427CF1" w:rsidP="00427CF1">
      <w:pPr>
        <w:pStyle w:val="SangriaFrancesaArticulo"/>
      </w:pPr>
      <w:r w:rsidRPr="00427CF1">
        <w:rPr>
          <w:rStyle w:val="TextoNormalNegritaCaracter"/>
        </w:rPr>
        <w:t>Artículo 64.3.</w:t>
      </w:r>
      <w:r w:rsidRPr="00427CF1">
        <w:rPr>
          <w:rStyle w:val="TextoNormalCaracter"/>
        </w:rPr>
        <w:t>-</w:t>
      </w:r>
      <w:r>
        <w:t xml:space="preserve"> Auto </w:t>
      </w:r>
      <w:hyperlink w:anchor="AUTO_2016_162" w:history="1">
        <w:r w:rsidRPr="00427CF1">
          <w:rPr>
            <w:rStyle w:val="TextoNormalCaracter"/>
          </w:rPr>
          <w:t>162/2016</w:t>
        </w:r>
      </w:hyperlink>
      <w:r>
        <w:t>, f. 1.</w:t>
      </w:r>
    </w:p>
    <w:p w:rsidR="00427CF1" w:rsidRDefault="00427CF1" w:rsidP="00427CF1">
      <w:pPr>
        <w:pStyle w:val="SangriaFrancesaArticulo"/>
      </w:pPr>
      <w:r w:rsidRPr="00427CF1">
        <w:rPr>
          <w:rStyle w:val="TextoNormalNegritaCaracter"/>
        </w:rPr>
        <w:t>Artículo 66.</w:t>
      </w:r>
      <w:r w:rsidRPr="00427CF1">
        <w:rPr>
          <w:rStyle w:val="TextoNormalCaracter"/>
        </w:rPr>
        <w:t>-</w:t>
      </w:r>
      <w:r>
        <w:t xml:space="preserve"> Sentencias </w:t>
      </w:r>
      <w:hyperlink w:anchor="SENTENCIA_2016_178" w:history="1">
        <w:r w:rsidRPr="00427CF1">
          <w:rPr>
            <w:rStyle w:val="TextoNormalCaracter"/>
          </w:rPr>
          <w:t>178/2016</w:t>
        </w:r>
      </w:hyperlink>
      <w:r>
        <w:t xml:space="preserve">, f. 4;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67.</w:t>
      </w:r>
      <w:r w:rsidRPr="00427CF1">
        <w:rPr>
          <w:rStyle w:val="TextoNormalCaracter"/>
        </w:rPr>
        <w:t>-</w:t>
      </w:r>
      <w:r>
        <w:t xml:space="preserve"> Sentencia </w:t>
      </w:r>
      <w:hyperlink w:anchor="SENTENCIA_2016_192" w:history="1">
        <w:r w:rsidRPr="00427CF1">
          <w:rPr>
            <w:rStyle w:val="TextoNormalCaracter"/>
          </w:rPr>
          <w:t>192/2016</w:t>
        </w:r>
      </w:hyperlink>
      <w:r>
        <w:t>, VP.</w:t>
      </w:r>
    </w:p>
    <w:p w:rsidR="00427CF1" w:rsidRDefault="00427CF1" w:rsidP="00427CF1">
      <w:pPr>
        <w:pStyle w:val="SangriaFrancesaArticulo"/>
      </w:pPr>
      <w:r w:rsidRPr="00427CF1">
        <w:rPr>
          <w:rStyle w:val="TextoNormalNegritaCaracter"/>
        </w:rPr>
        <w:t>Artículo 75 bis 1.</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Artículo 75 quater, apartado 1.</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Artículo 75 quater, apartado 2.</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Artículo 75 quinquies.</w:t>
      </w:r>
      <w:r w:rsidRPr="00427CF1">
        <w:rPr>
          <w:rStyle w:val="TextoNormalCaracter"/>
        </w:rPr>
        <w:t>-</w:t>
      </w:r>
      <w:r>
        <w:t xml:space="preserve"> Auto </w:t>
      </w:r>
      <w:hyperlink w:anchor="AUTO_2016_206" w:history="1">
        <w:r w:rsidRPr="00427CF1">
          <w:rPr>
            <w:rStyle w:val="TextoNormalCaracter"/>
          </w:rPr>
          <w:t>206/2016</w:t>
        </w:r>
      </w:hyperlink>
      <w:r>
        <w:t>, f. 2.</w:t>
      </w:r>
    </w:p>
    <w:p w:rsidR="00427CF1" w:rsidRDefault="00427CF1" w:rsidP="00427CF1">
      <w:pPr>
        <w:pStyle w:val="SangriaFrancesaArticulo"/>
      </w:pPr>
      <w:r w:rsidRPr="00427CF1">
        <w:rPr>
          <w:rStyle w:val="TextoNormalNegritaCaracter"/>
        </w:rPr>
        <w:t>Artículo 75 quinquies, apartado 1.</w:t>
      </w:r>
      <w:r w:rsidRPr="00427CF1">
        <w:rPr>
          <w:rStyle w:val="TextoNormalCaracter"/>
        </w:rPr>
        <w:t>-</w:t>
      </w:r>
      <w:r>
        <w:t xml:space="preserve"> Auto </w:t>
      </w:r>
      <w:hyperlink w:anchor="AUTO_2016_206" w:history="1">
        <w:r w:rsidRPr="00427CF1">
          <w:rPr>
            <w:rStyle w:val="TextoNormalCaracter"/>
          </w:rPr>
          <w:t>206/2016</w:t>
        </w:r>
      </w:hyperlink>
      <w:r>
        <w:t>, ff. 4, 5.</w:t>
      </w:r>
    </w:p>
    <w:p w:rsidR="00427CF1" w:rsidRDefault="00427CF1" w:rsidP="00427CF1">
      <w:pPr>
        <w:pStyle w:val="SangriaFrancesaArticulo"/>
      </w:pPr>
      <w:r w:rsidRPr="00427CF1">
        <w:rPr>
          <w:rStyle w:val="TextoNormalNegritaCaracter"/>
        </w:rPr>
        <w:t>Artículo 75 ter 1 a).</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Artículo 75 ter 2.</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Artículo 75 ter 3.</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Artículo 75.quater, apartado 1.</w:t>
      </w:r>
      <w:r w:rsidRPr="00427CF1">
        <w:rPr>
          <w:rStyle w:val="TextoNormalCaracter"/>
        </w:rPr>
        <w:t>-</w:t>
      </w:r>
      <w:r>
        <w:t xml:space="preserve"> Sentencia </w:t>
      </w:r>
      <w:hyperlink w:anchor="SENTENCIA_2016_152" w:history="1">
        <w:r w:rsidRPr="00427CF1">
          <w:rPr>
            <w:rStyle w:val="TextoNormalCaracter"/>
          </w:rPr>
          <w:t>152/2016</w:t>
        </w:r>
      </w:hyperlink>
      <w:r>
        <w:t>, f. 2.</w:t>
      </w:r>
    </w:p>
    <w:p w:rsidR="00427CF1" w:rsidRDefault="00427CF1" w:rsidP="00427CF1">
      <w:pPr>
        <w:pStyle w:val="SangriaFrancesaArticulo"/>
      </w:pPr>
      <w:r w:rsidRPr="00427CF1">
        <w:rPr>
          <w:rStyle w:val="TextoNormalNegritaCaracter"/>
        </w:rPr>
        <w:t>Artículo 75.quater, apartado 2.</w:t>
      </w:r>
      <w:r w:rsidRPr="00427CF1">
        <w:rPr>
          <w:rStyle w:val="TextoNormalCaracter"/>
        </w:rPr>
        <w:t>-</w:t>
      </w:r>
      <w:r>
        <w:t xml:space="preserve"> Sentencia </w:t>
      </w:r>
      <w:hyperlink w:anchor="SENTENCIA_2016_152" w:history="1">
        <w:r w:rsidRPr="00427CF1">
          <w:rPr>
            <w:rStyle w:val="TextoNormalCaracter"/>
          </w:rPr>
          <w:t>152/2016</w:t>
        </w:r>
      </w:hyperlink>
      <w:r>
        <w:t>, f. 2.</w:t>
      </w:r>
    </w:p>
    <w:p w:rsidR="00427CF1" w:rsidRDefault="00427CF1" w:rsidP="00427CF1">
      <w:pPr>
        <w:pStyle w:val="SangriaFrancesaArticulo"/>
      </w:pPr>
      <w:r w:rsidRPr="00427CF1">
        <w:rPr>
          <w:rStyle w:val="TextoNormalNegritaCaracter"/>
        </w:rPr>
        <w:t>Artículo 75.ter, apartado 1 b).</w:t>
      </w:r>
      <w:r w:rsidRPr="00427CF1">
        <w:rPr>
          <w:rStyle w:val="TextoNormalCaracter"/>
        </w:rPr>
        <w:t>-</w:t>
      </w:r>
      <w:r>
        <w:t xml:space="preserve"> Sentencia </w:t>
      </w:r>
      <w:hyperlink w:anchor="SENTENCIA_2016_152" w:history="1">
        <w:r w:rsidRPr="00427CF1">
          <w:rPr>
            <w:rStyle w:val="TextoNormalCaracter"/>
          </w:rPr>
          <w:t>152/2016</w:t>
        </w:r>
      </w:hyperlink>
      <w:r>
        <w:t>, f. 2.</w:t>
      </w:r>
    </w:p>
    <w:p w:rsidR="00427CF1" w:rsidRDefault="00427CF1" w:rsidP="00427CF1">
      <w:pPr>
        <w:pStyle w:val="SangriaFrancesaArticulo"/>
      </w:pPr>
      <w:r w:rsidRPr="00427CF1">
        <w:rPr>
          <w:rStyle w:val="TextoNormalNegritaCaracter"/>
        </w:rPr>
        <w:t>Artículo 75.ter, apartado 2.</w:t>
      </w:r>
      <w:r w:rsidRPr="00427CF1">
        <w:rPr>
          <w:rStyle w:val="TextoNormalCaracter"/>
        </w:rPr>
        <w:t>-</w:t>
      </w:r>
      <w:r>
        <w:t xml:space="preserve"> Sentencia </w:t>
      </w:r>
      <w:hyperlink w:anchor="SENTENCIA_2016_152" w:history="1">
        <w:r w:rsidRPr="00427CF1">
          <w:rPr>
            <w:rStyle w:val="TextoNormalCaracter"/>
          </w:rPr>
          <w:t>152/2016</w:t>
        </w:r>
      </w:hyperlink>
      <w:r>
        <w:t>, f. 2.</w:t>
      </w:r>
    </w:p>
    <w:p w:rsidR="00427CF1" w:rsidRDefault="00427CF1" w:rsidP="00427CF1">
      <w:pPr>
        <w:pStyle w:val="SangriaFrancesaArticulo"/>
      </w:pPr>
      <w:r w:rsidRPr="00427CF1">
        <w:rPr>
          <w:rStyle w:val="TextoNormalNegritaCaracter"/>
        </w:rPr>
        <w:t>Artículo 75.ter, apartado 3.</w:t>
      </w:r>
      <w:r w:rsidRPr="00427CF1">
        <w:rPr>
          <w:rStyle w:val="TextoNormalCaracter"/>
        </w:rPr>
        <w:t>-</w:t>
      </w:r>
      <w:r>
        <w:t xml:space="preserve"> Sentencia </w:t>
      </w:r>
      <w:hyperlink w:anchor="SENTENCIA_2016_152" w:history="1">
        <w:r w:rsidRPr="00427CF1">
          <w:rPr>
            <w:rStyle w:val="TextoNormalCaracter"/>
          </w:rPr>
          <w:t>152/2016</w:t>
        </w:r>
      </w:hyperlink>
      <w:r>
        <w:t>, ff. 2, 3.</w:t>
      </w:r>
    </w:p>
    <w:p w:rsidR="00427CF1" w:rsidRDefault="00427CF1" w:rsidP="00427CF1">
      <w:pPr>
        <w:pStyle w:val="SangriaFrancesaArticulo"/>
      </w:pPr>
      <w:r w:rsidRPr="00427CF1">
        <w:rPr>
          <w:rStyle w:val="TextoNormalNegritaCaracter"/>
        </w:rPr>
        <w:t>Artículo 76.</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Artículo 77.</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Artículo 80.</w:t>
      </w:r>
      <w:r w:rsidRPr="00427CF1">
        <w:rPr>
          <w:rStyle w:val="TextoNormalCaracter"/>
        </w:rPr>
        <w:t>-</w:t>
      </w:r>
      <w:r>
        <w:t xml:space="preserve"> Autos </w:t>
      </w:r>
      <w:hyperlink w:anchor="AUTO_2016_136" w:history="1">
        <w:r w:rsidRPr="00427CF1">
          <w:rPr>
            <w:rStyle w:val="TextoNormalCaracter"/>
          </w:rPr>
          <w:t>136/2016</w:t>
        </w:r>
      </w:hyperlink>
      <w:r>
        <w:t xml:space="preserve">, f. único; </w:t>
      </w:r>
      <w:hyperlink w:anchor="AUTO_2016_140" w:history="1">
        <w:r w:rsidRPr="00427CF1">
          <w:rPr>
            <w:rStyle w:val="TextoNormalCaracter"/>
          </w:rPr>
          <w:t>140/2016</w:t>
        </w:r>
      </w:hyperlink>
      <w:r>
        <w:t xml:space="preserve"> bis, f. 1; </w:t>
      </w:r>
      <w:hyperlink w:anchor="AUTO_2016_147" w:history="1">
        <w:r w:rsidRPr="00427CF1">
          <w:rPr>
            <w:rStyle w:val="TextoNormalCaracter"/>
          </w:rPr>
          <w:t>147/2016</w:t>
        </w:r>
      </w:hyperlink>
      <w:r>
        <w:t xml:space="preserve">, f. único; </w:t>
      </w:r>
      <w:hyperlink w:anchor="AUTO_2016_152" w:history="1">
        <w:r w:rsidRPr="00427CF1">
          <w:rPr>
            <w:rStyle w:val="TextoNormalCaracter"/>
          </w:rPr>
          <w:t>152/2016</w:t>
        </w:r>
      </w:hyperlink>
      <w:r>
        <w:t xml:space="preserve">, f. único; </w:t>
      </w:r>
      <w:hyperlink w:anchor="AUTO_2016_161" w:history="1">
        <w:r w:rsidRPr="00427CF1">
          <w:rPr>
            <w:rStyle w:val="TextoNormalCaracter"/>
          </w:rPr>
          <w:t>161/2016</w:t>
        </w:r>
      </w:hyperlink>
      <w:r>
        <w:t xml:space="preserve">, f. único; </w:t>
      </w:r>
      <w:hyperlink w:anchor="AUTO_2016_163" w:history="1">
        <w:r w:rsidRPr="00427CF1">
          <w:rPr>
            <w:rStyle w:val="TextoNormalCaracter"/>
          </w:rPr>
          <w:t>163/2016</w:t>
        </w:r>
      </w:hyperlink>
      <w:r>
        <w:t xml:space="preserve">, f. único; </w:t>
      </w:r>
      <w:hyperlink w:anchor="AUTO_2016_166" w:history="1">
        <w:r w:rsidRPr="00427CF1">
          <w:rPr>
            <w:rStyle w:val="TextoNormalCaracter"/>
          </w:rPr>
          <w:t>166/2016</w:t>
        </w:r>
      </w:hyperlink>
      <w:r>
        <w:t xml:space="preserve">, f. único; </w:t>
      </w:r>
      <w:hyperlink w:anchor="AUTO_2016_172" w:history="1">
        <w:r w:rsidRPr="00427CF1">
          <w:rPr>
            <w:rStyle w:val="TextoNormalCaracter"/>
          </w:rPr>
          <w:t>172/2016</w:t>
        </w:r>
      </w:hyperlink>
      <w:r>
        <w:t xml:space="preserve">, f. único; </w:t>
      </w:r>
      <w:hyperlink w:anchor="AUTO_2016_178" w:history="1">
        <w:r w:rsidRPr="00427CF1">
          <w:rPr>
            <w:rStyle w:val="TextoNormalCaracter"/>
          </w:rPr>
          <w:t>178/2016</w:t>
        </w:r>
      </w:hyperlink>
      <w:r>
        <w:t>, f. único.</w:t>
      </w:r>
    </w:p>
    <w:p w:rsidR="00427CF1" w:rsidRDefault="00427CF1" w:rsidP="00427CF1">
      <w:pPr>
        <w:pStyle w:val="SangriaFrancesaArticulo"/>
      </w:pPr>
      <w:r w:rsidRPr="00427CF1">
        <w:rPr>
          <w:rStyle w:val="TextoNormalNegritaCaracter"/>
        </w:rPr>
        <w:t>Artículo 80</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ff. 2, VP III; </w:t>
      </w:r>
      <w:hyperlink w:anchor="SENTENCIA_2016_215" w:history="1">
        <w:r w:rsidRPr="00427CF1">
          <w:rPr>
            <w:rStyle w:val="TextoNormalCaracter"/>
          </w:rPr>
          <w:t>215/2016</w:t>
        </w:r>
      </w:hyperlink>
      <w:r>
        <w:t>, VP III.</w:t>
      </w:r>
    </w:p>
    <w:p w:rsidR="00427CF1" w:rsidRDefault="00427CF1" w:rsidP="00427CF1">
      <w:pPr>
        <w:pStyle w:val="SangriaIzquierdaArticulo"/>
      </w:pPr>
      <w:r>
        <w:t xml:space="preserve">Autos </w:t>
      </w:r>
      <w:hyperlink w:anchor="AUTO_2016_188" w:history="1">
        <w:r w:rsidRPr="00427CF1">
          <w:rPr>
            <w:rStyle w:val="TextoNormalCaracter"/>
          </w:rPr>
          <w:t>188/2016</w:t>
        </w:r>
      </w:hyperlink>
      <w:r>
        <w:t xml:space="preserve">, f. único; </w:t>
      </w:r>
      <w:hyperlink w:anchor="AUTO_2016_190" w:history="1">
        <w:r w:rsidRPr="00427CF1">
          <w:rPr>
            <w:rStyle w:val="TextoNormalCaracter"/>
          </w:rPr>
          <w:t>190/2016</w:t>
        </w:r>
      </w:hyperlink>
      <w:r>
        <w:t xml:space="preserve">, f. único; </w:t>
      </w:r>
      <w:hyperlink w:anchor="AUTO_2016_191" w:history="1">
        <w:r w:rsidRPr="00427CF1">
          <w:rPr>
            <w:rStyle w:val="TextoNormalCaracter"/>
          </w:rPr>
          <w:t>191/2016</w:t>
        </w:r>
      </w:hyperlink>
      <w:r>
        <w:t xml:space="preserve">, f. único; </w:t>
      </w:r>
      <w:hyperlink w:anchor="AUTO_2016_201" w:history="1">
        <w:r w:rsidRPr="00427CF1">
          <w:rPr>
            <w:rStyle w:val="TextoNormalCaracter"/>
          </w:rPr>
          <w:t>201/2016</w:t>
        </w:r>
      </w:hyperlink>
      <w:r>
        <w:t xml:space="preserve">, f. único; </w:t>
      </w:r>
      <w:hyperlink w:anchor="AUTO_2016_208" w:history="1">
        <w:r w:rsidRPr="00427CF1">
          <w:rPr>
            <w:rStyle w:val="TextoNormalCaracter"/>
          </w:rPr>
          <w:t>208/2016</w:t>
        </w:r>
      </w:hyperlink>
      <w:r>
        <w:t>, f. único.</w:t>
      </w:r>
    </w:p>
    <w:p w:rsidR="00427CF1" w:rsidRDefault="00427CF1" w:rsidP="00427CF1">
      <w:pPr>
        <w:pStyle w:val="SangriaFrancesaArticulo"/>
      </w:pPr>
      <w:r w:rsidRPr="00427CF1">
        <w:rPr>
          <w:rStyle w:val="TextoNormalNegritaCaracter"/>
        </w:rPr>
        <w:t>Artículo 82.1.</w:t>
      </w:r>
      <w:r w:rsidRPr="00427CF1">
        <w:rPr>
          <w:rStyle w:val="TextoNormalCaracter"/>
        </w:rPr>
        <w:t>-</w:t>
      </w:r>
      <w:r>
        <w:t xml:space="preserve"> Sentencia </w:t>
      </w:r>
      <w:hyperlink w:anchor="SENTENCIA_2016_152" w:history="1">
        <w:r w:rsidRPr="00427CF1">
          <w:rPr>
            <w:rStyle w:val="TextoNormalCaracter"/>
          </w:rPr>
          <w:t>152/2016</w:t>
        </w:r>
      </w:hyperlink>
      <w:r>
        <w:t>, f. 3.</w:t>
      </w:r>
    </w:p>
    <w:p w:rsidR="00427CF1" w:rsidRDefault="00427CF1" w:rsidP="00427CF1">
      <w:pPr>
        <w:pStyle w:val="SangriaFrancesaArticulo"/>
      </w:pPr>
      <w:r w:rsidRPr="00427CF1">
        <w:rPr>
          <w:rStyle w:val="TextoNormalNegritaCaracter"/>
        </w:rPr>
        <w:t>Artículo 85.1.</w:t>
      </w:r>
      <w:r w:rsidRPr="00427CF1">
        <w:rPr>
          <w:rStyle w:val="TextoNormalCaracter"/>
        </w:rPr>
        <w:t>-</w:t>
      </w:r>
      <w:r>
        <w:t xml:space="preserve"> Sentencia </w:t>
      </w:r>
      <w:hyperlink w:anchor="SENTENCIA_2016_152" w:history="1">
        <w:r w:rsidRPr="00427CF1">
          <w:rPr>
            <w:rStyle w:val="TextoNormalCaracter"/>
          </w:rPr>
          <w:t>152/2016</w:t>
        </w:r>
      </w:hyperlink>
      <w:r>
        <w:t>, f. 3.</w:t>
      </w:r>
    </w:p>
    <w:p w:rsidR="00427CF1" w:rsidRDefault="00427CF1" w:rsidP="00427CF1">
      <w:pPr>
        <w:pStyle w:val="SangriaFrancesaArticulo"/>
      </w:pPr>
      <w:r w:rsidRPr="00427CF1">
        <w:rPr>
          <w:rStyle w:val="TextoNormalNegritaCaracter"/>
        </w:rPr>
        <w:t>Artículo 85.2</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36" w:history="1">
        <w:r w:rsidRPr="00427CF1">
          <w:rPr>
            <w:rStyle w:val="TextoNormalCaracter"/>
          </w:rPr>
          <w:t>136/2016</w:t>
        </w:r>
      </w:hyperlink>
      <w:r>
        <w:t>, f. 3.</w:t>
      </w:r>
    </w:p>
    <w:p w:rsidR="00427CF1" w:rsidRDefault="00427CF1" w:rsidP="00427CF1">
      <w:pPr>
        <w:pStyle w:val="SangriaFrancesaArticulo"/>
      </w:pPr>
      <w:r w:rsidRPr="00427CF1">
        <w:rPr>
          <w:rStyle w:val="TextoNormalNegritaCaracter"/>
        </w:rPr>
        <w:t>Artículo 86.</w:t>
      </w:r>
      <w:r w:rsidRPr="00427CF1">
        <w:rPr>
          <w:rStyle w:val="TextoNormalCaracter"/>
        </w:rPr>
        <w:t>-</w:t>
      </w:r>
      <w:r>
        <w:t xml:space="preserve"> Sentencia </w:t>
      </w:r>
      <w:hyperlink w:anchor="SENTENCIA_2016_185" w:history="1">
        <w:r w:rsidRPr="00427CF1">
          <w:rPr>
            <w:rStyle w:val="TextoNormalCaracter"/>
          </w:rPr>
          <w:t>185/2016</w:t>
        </w:r>
      </w:hyperlink>
      <w:r>
        <w:t>, f. 8.</w:t>
      </w:r>
    </w:p>
    <w:p w:rsidR="00427CF1" w:rsidRDefault="00427CF1" w:rsidP="00427CF1">
      <w:pPr>
        <w:pStyle w:val="SangriaIzquierdaArticulo"/>
      </w:pPr>
      <w:r>
        <w:t xml:space="preserve">Autos </w:t>
      </w:r>
      <w:hyperlink w:anchor="AUTO_2016_147" w:history="1">
        <w:r w:rsidRPr="00427CF1">
          <w:rPr>
            <w:rStyle w:val="TextoNormalCaracter"/>
          </w:rPr>
          <w:t>147/2016</w:t>
        </w:r>
      </w:hyperlink>
      <w:r>
        <w:t xml:space="preserve">, f. único; </w:t>
      </w:r>
      <w:hyperlink w:anchor="AUTO_2016_152" w:history="1">
        <w:r w:rsidRPr="00427CF1">
          <w:rPr>
            <w:rStyle w:val="TextoNormalCaracter"/>
          </w:rPr>
          <w:t>152/2016</w:t>
        </w:r>
      </w:hyperlink>
      <w:r>
        <w:t xml:space="preserve">, f. único; </w:t>
      </w:r>
      <w:hyperlink w:anchor="AUTO_2016_163" w:history="1">
        <w:r w:rsidRPr="00427CF1">
          <w:rPr>
            <w:rStyle w:val="TextoNormalCaracter"/>
          </w:rPr>
          <w:t>163/2016</w:t>
        </w:r>
      </w:hyperlink>
      <w:r>
        <w:t xml:space="preserve">, f. único; </w:t>
      </w:r>
      <w:hyperlink w:anchor="AUTO_2016_172" w:history="1">
        <w:r w:rsidRPr="00427CF1">
          <w:rPr>
            <w:rStyle w:val="TextoNormalCaracter"/>
          </w:rPr>
          <w:t>172/2016</w:t>
        </w:r>
      </w:hyperlink>
      <w:r>
        <w:t xml:space="preserve">, f. único; </w:t>
      </w:r>
      <w:hyperlink w:anchor="AUTO_2016_188" w:history="1">
        <w:r w:rsidRPr="00427CF1">
          <w:rPr>
            <w:rStyle w:val="TextoNormalCaracter"/>
          </w:rPr>
          <w:t>188/2016</w:t>
        </w:r>
      </w:hyperlink>
      <w:r>
        <w:t xml:space="preserve">, f. único; </w:t>
      </w:r>
      <w:hyperlink w:anchor="AUTO_2016_190" w:history="1">
        <w:r w:rsidRPr="00427CF1">
          <w:rPr>
            <w:rStyle w:val="TextoNormalCaracter"/>
          </w:rPr>
          <w:t>190/2016</w:t>
        </w:r>
      </w:hyperlink>
      <w:r>
        <w:t xml:space="preserve">, f. único; </w:t>
      </w:r>
      <w:hyperlink w:anchor="AUTO_2016_201" w:history="1">
        <w:r w:rsidRPr="00427CF1">
          <w:rPr>
            <w:rStyle w:val="TextoNormalCaracter"/>
          </w:rPr>
          <w:t>201/2016</w:t>
        </w:r>
      </w:hyperlink>
      <w:r>
        <w:t>, f. único.</w:t>
      </w:r>
    </w:p>
    <w:p w:rsidR="00427CF1" w:rsidRDefault="00427CF1" w:rsidP="00427CF1">
      <w:pPr>
        <w:pStyle w:val="SangriaFrancesaArticulo"/>
      </w:pPr>
      <w:r w:rsidRPr="00427CF1">
        <w:rPr>
          <w:rStyle w:val="TextoNormalNegritaCaracter"/>
        </w:rPr>
        <w:t>Artículo 86.1.</w:t>
      </w:r>
      <w:r w:rsidRPr="00427CF1">
        <w:rPr>
          <w:rStyle w:val="TextoNormalCaracter"/>
        </w:rPr>
        <w:t>-</w:t>
      </w:r>
      <w:r>
        <w:t xml:space="preserve"> Auto </w:t>
      </w:r>
      <w:hyperlink w:anchor="AUTO_2016_161" w:history="1">
        <w:r w:rsidRPr="00427CF1">
          <w:rPr>
            <w:rStyle w:val="TextoNormalCaracter"/>
          </w:rPr>
          <w:t>161/2016</w:t>
        </w:r>
      </w:hyperlink>
      <w:r>
        <w:t>, f. único.</w:t>
      </w:r>
    </w:p>
    <w:p w:rsidR="00427CF1" w:rsidRDefault="00427CF1" w:rsidP="00427CF1">
      <w:pPr>
        <w:pStyle w:val="SangriaFrancesaArticulo"/>
      </w:pPr>
      <w:r w:rsidRPr="00427CF1">
        <w:rPr>
          <w:rStyle w:val="TextoNormalNegritaCaracter"/>
        </w:rPr>
        <w:t>Artículo 86.1</w:t>
      </w:r>
      <w:r>
        <w:t xml:space="preserve"> (redactado por la Ley Orgánica 6/1988, de 9 de junio)</w:t>
      </w:r>
      <w:r w:rsidRPr="00427CF1">
        <w:rPr>
          <w:rStyle w:val="TextoNormalNegritaCaracter"/>
        </w:rPr>
        <w:t>.</w:t>
      </w:r>
      <w:r w:rsidRPr="00427CF1">
        <w:rPr>
          <w:rStyle w:val="TextoNormalCaracter"/>
        </w:rPr>
        <w:t>-</w:t>
      </w:r>
      <w:r>
        <w:t xml:space="preserve"> Autos </w:t>
      </w:r>
      <w:hyperlink w:anchor="AUTO_2016_136" w:history="1">
        <w:r w:rsidRPr="00427CF1">
          <w:rPr>
            <w:rStyle w:val="TextoNormalCaracter"/>
          </w:rPr>
          <w:t>136/2016</w:t>
        </w:r>
      </w:hyperlink>
      <w:r>
        <w:t xml:space="preserve">, f. único; </w:t>
      </w:r>
      <w:hyperlink w:anchor="AUTO_2016_140" w:history="1">
        <w:r w:rsidRPr="00427CF1">
          <w:rPr>
            <w:rStyle w:val="TextoNormalCaracter"/>
          </w:rPr>
          <w:t>140/2016</w:t>
        </w:r>
      </w:hyperlink>
      <w:r>
        <w:t xml:space="preserve"> bis, f. 1; </w:t>
      </w:r>
      <w:hyperlink w:anchor="AUTO_2016_208" w:history="1">
        <w:r w:rsidRPr="00427CF1">
          <w:rPr>
            <w:rStyle w:val="TextoNormalCaracter"/>
          </w:rPr>
          <w:t>208/2016</w:t>
        </w:r>
      </w:hyperlink>
      <w:r>
        <w:t>, f. único.</w:t>
      </w:r>
    </w:p>
    <w:p w:rsidR="00427CF1" w:rsidRDefault="00427CF1" w:rsidP="00427CF1">
      <w:pPr>
        <w:pStyle w:val="SangriaFrancesaArticulo"/>
      </w:pPr>
      <w:r w:rsidRPr="00427CF1">
        <w:rPr>
          <w:rStyle w:val="TextoNormalNegritaCaracter"/>
        </w:rPr>
        <w:t>Artículo 86.3.</w:t>
      </w:r>
      <w:r w:rsidRPr="00427CF1">
        <w:rPr>
          <w:rStyle w:val="TextoNormalCaracter"/>
        </w:rPr>
        <w:t>-</w:t>
      </w:r>
      <w:r>
        <w:t xml:space="preserve"> Sentencia </w:t>
      </w:r>
      <w:hyperlink w:anchor="SENTENCIA_2016_132" w:history="1">
        <w:r w:rsidRPr="00427CF1">
          <w:rPr>
            <w:rStyle w:val="TextoNormalCaracter"/>
          </w:rPr>
          <w:t>132/2016</w:t>
        </w:r>
      </w:hyperlink>
      <w:r>
        <w:t>, f. 2.</w:t>
      </w:r>
    </w:p>
    <w:p w:rsidR="00427CF1" w:rsidRDefault="00427CF1" w:rsidP="00427CF1">
      <w:pPr>
        <w:pStyle w:val="SangriaFrancesaArticulo"/>
      </w:pPr>
      <w:r w:rsidRPr="00427CF1">
        <w:rPr>
          <w:rStyle w:val="TextoNormalNegritaCaracter"/>
        </w:rPr>
        <w:t>Artículo 87</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 9; </w:t>
      </w:r>
      <w:hyperlink w:anchor="SENTENCIA_2016_215" w:history="1">
        <w:r w:rsidRPr="00427CF1">
          <w:rPr>
            <w:rStyle w:val="TextoNormalCaracter"/>
          </w:rPr>
          <w:t>215/2016</w:t>
        </w:r>
      </w:hyperlink>
      <w:r>
        <w:t>, f. 7.</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 2; </w:t>
      </w:r>
      <w:hyperlink w:anchor="AUTO_2016_170" w:history="1">
        <w:r w:rsidRPr="00427CF1">
          <w:rPr>
            <w:rStyle w:val="TextoNormalCaracter"/>
          </w:rPr>
          <w:t>170/2016</w:t>
        </w:r>
      </w:hyperlink>
      <w:r>
        <w:t>, ff. 1, 2.</w:t>
      </w:r>
    </w:p>
    <w:p w:rsidR="00427CF1" w:rsidRDefault="00427CF1" w:rsidP="00427CF1">
      <w:pPr>
        <w:pStyle w:val="SangriaFrancesaArticulo"/>
      </w:pPr>
      <w:r w:rsidRPr="00427CF1">
        <w:rPr>
          <w:rStyle w:val="TextoNormalNegritaCaracter"/>
        </w:rPr>
        <w:t>Artículo 87.1</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ff. 2, 9, 10; </w:t>
      </w:r>
      <w:hyperlink w:anchor="SENTENCIA_2016_215" w:history="1">
        <w:r w:rsidRPr="00427CF1">
          <w:rPr>
            <w:rStyle w:val="TextoNormalCaracter"/>
          </w:rPr>
          <w:t>215/2016</w:t>
        </w:r>
      </w:hyperlink>
      <w:r>
        <w:t>, f. 8.</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 2; </w:t>
      </w:r>
      <w:hyperlink w:anchor="AUTO_2016_141" w:history="1">
        <w:r w:rsidRPr="00427CF1">
          <w:rPr>
            <w:rStyle w:val="TextoNormalCaracter"/>
          </w:rPr>
          <w:t>141/2016</w:t>
        </w:r>
      </w:hyperlink>
      <w:r>
        <w:t xml:space="preserve">, ff. 1, 2, 7; </w:t>
      </w:r>
      <w:hyperlink w:anchor="AUTO_2016_170" w:history="1">
        <w:r w:rsidRPr="00427CF1">
          <w:rPr>
            <w:rStyle w:val="TextoNormalCaracter"/>
          </w:rPr>
          <w:t>170/2016</w:t>
        </w:r>
      </w:hyperlink>
      <w:r>
        <w:t>, ff. 1 a 3, 5 a 9.</w:t>
      </w:r>
    </w:p>
    <w:p w:rsidR="00427CF1" w:rsidRDefault="00427CF1" w:rsidP="00427CF1">
      <w:pPr>
        <w:pStyle w:val="SangriaFrancesaArticulo"/>
      </w:pPr>
      <w:r w:rsidRPr="00427CF1">
        <w:rPr>
          <w:rStyle w:val="TextoNormalNegritaCaracter"/>
        </w:rPr>
        <w:t>Artículo 87.2</w:t>
      </w:r>
      <w:r>
        <w:t xml:space="preserve"> (redactado por la Ley Orgánica 15/2015, de 16 de octubre)</w:t>
      </w:r>
      <w:r w:rsidRPr="00427CF1">
        <w:rPr>
          <w:rStyle w:val="TextoNormalNegritaCaracter"/>
        </w:rPr>
        <w:t>.</w:t>
      </w:r>
      <w:r w:rsidRPr="00427CF1">
        <w:rPr>
          <w:rStyle w:val="TextoNormalCaracter"/>
        </w:rPr>
        <w:t>-</w:t>
      </w:r>
      <w:r>
        <w:t xml:space="preserve"> Sentencia </w:t>
      </w:r>
      <w:hyperlink w:anchor="SENTENCIA_2016_185" w:history="1">
        <w:r w:rsidRPr="00427CF1">
          <w:rPr>
            <w:rStyle w:val="TextoNormalCaracter"/>
          </w:rPr>
          <w:t>185/2016</w:t>
        </w:r>
      </w:hyperlink>
      <w:r>
        <w:t>, ff. 2, 9.</w:t>
      </w:r>
    </w:p>
    <w:p w:rsidR="00427CF1" w:rsidRDefault="00427CF1" w:rsidP="00427CF1">
      <w:pPr>
        <w:pStyle w:val="SangriaFrancesaArticulo"/>
      </w:pPr>
      <w:r w:rsidRPr="00427CF1">
        <w:rPr>
          <w:rStyle w:val="TextoNormalNegritaCaracter"/>
        </w:rPr>
        <w:t>Artículo 88.</w:t>
      </w:r>
      <w:r w:rsidRPr="00427CF1">
        <w:rPr>
          <w:rStyle w:val="TextoNormalCaracter"/>
        </w:rPr>
        <w:t>-</w:t>
      </w:r>
      <w:r>
        <w:t xml:space="preserve"> Auto </w:t>
      </w:r>
      <w:hyperlink w:anchor="AUTO_2016_143" w:history="1">
        <w:r w:rsidRPr="00427CF1">
          <w:rPr>
            <w:rStyle w:val="TextoNormalCaracter"/>
          </w:rPr>
          <w:t>143/2016</w:t>
        </w:r>
      </w:hyperlink>
      <w:r>
        <w:t>, f. 2.</w:t>
      </w:r>
    </w:p>
    <w:p w:rsidR="00427CF1" w:rsidRDefault="00427CF1" w:rsidP="00427CF1">
      <w:pPr>
        <w:pStyle w:val="SangriaFrancesaArticulo"/>
      </w:pPr>
      <w:r w:rsidRPr="00427CF1">
        <w:rPr>
          <w:rStyle w:val="TextoNormalNegritaCaracter"/>
        </w:rPr>
        <w:t>Artículo 90.2.</w:t>
      </w:r>
      <w:r w:rsidRPr="00427CF1">
        <w:rPr>
          <w:rStyle w:val="TextoNormalCaracter"/>
        </w:rPr>
        <w:t>-</w:t>
      </w:r>
      <w:r>
        <w:t xml:space="preserve"> Sentencias </w:t>
      </w:r>
      <w:hyperlink w:anchor="SENTENCIA_2016_158" w:history="1">
        <w:r w:rsidRPr="00427CF1">
          <w:rPr>
            <w:rStyle w:val="TextoNormalCaracter"/>
          </w:rPr>
          <w:t>158/2016</w:t>
        </w:r>
      </w:hyperlink>
      <w:r>
        <w:t xml:space="preserve">, VP; </w:t>
      </w:r>
      <w:hyperlink w:anchor="SENTENCIA_2016_165" w:history="1">
        <w:r w:rsidRPr="00427CF1">
          <w:rPr>
            <w:rStyle w:val="TextoNormalCaracter"/>
          </w:rPr>
          <w:t>165/2016</w:t>
        </w:r>
      </w:hyperlink>
      <w:r>
        <w:t xml:space="preserve">, VP; </w:t>
      </w:r>
      <w:hyperlink w:anchor="SENTENCIA_2016_185" w:history="1">
        <w:r w:rsidRPr="00427CF1">
          <w:rPr>
            <w:rStyle w:val="TextoNormalCaracter"/>
          </w:rPr>
          <w:t>185/2016</w:t>
        </w:r>
      </w:hyperlink>
      <w:r>
        <w:t xml:space="preserve">, VP I; </w:t>
      </w:r>
      <w:hyperlink w:anchor="SENTENCIA_2016_194" w:history="1">
        <w:r w:rsidRPr="00427CF1">
          <w:rPr>
            <w:rStyle w:val="TextoNormalCaracter"/>
          </w:rPr>
          <w:t>194/2016</w:t>
        </w:r>
      </w:hyperlink>
      <w:r>
        <w:t xml:space="preserve">, VP; </w:t>
      </w:r>
      <w:hyperlink w:anchor="SENTENCIA_2016_215" w:history="1">
        <w:r w:rsidRPr="00427CF1">
          <w:rPr>
            <w:rStyle w:val="TextoNormalCaracter"/>
          </w:rPr>
          <w:t>215/2016</w:t>
        </w:r>
      </w:hyperlink>
      <w:r>
        <w:t>, VP I, VP II, VP III.</w:t>
      </w:r>
    </w:p>
    <w:p w:rsidR="00427CF1" w:rsidRDefault="00427CF1" w:rsidP="00427CF1">
      <w:pPr>
        <w:pStyle w:val="SangriaFrancesaArticulo"/>
      </w:pPr>
      <w:r w:rsidRPr="00427CF1">
        <w:rPr>
          <w:rStyle w:val="TextoNormalNegritaCaracter"/>
        </w:rPr>
        <w:t>Artículo 90.2</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39" w:history="1">
        <w:r w:rsidRPr="00427CF1">
          <w:rPr>
            <w:rStyle w:val="TextoNormalCaracter"/>
          </w:rPr>
          <w:t>139/2016</w:t>
        </w:r>
      </w:hyperlink>
      <w:r>
        <w:t xml:space="preserve">, VP I; </w:t>
      </w:r>
      <w:hyperlink w:anchor="SENTENCIA_2016_156" w:history="1">
        <w:r w:rsidRPr="00427CF1">
          <w:rPr>
            <w:rStyle w:val="TextoNormalCaracter"/>
          </w:rPr>
          <w:t>156/2016</w:t>
        </w:r>
      </w:hyperlink>
      <w:r>
        <w:t xml:space="preserve">, VP; </w:t>
      </w:r>
      <w:hyperlink w:anchor="SENTENCIA_2016_157" w:history="1">
        <w:r w:rsidRPr="00427CF1">
          <w:rPr>
            <w:rStyle w:val="TextoNormalCaracter"/>
          </w:rPr>
          <w:t>157/2016</w:t>
        </w:r>
      </w:hyperlink>
      <w:r>
        <w:t xml:space="preserve">, VP; </w:t>
      </w:r>
      <w:hyperlink w:anchor="SENTENCIA_2016_177" w:history="1">
        <w:r w:rsidRPr="00427CF1">
          <w:rPr>
            <w:rStyle w:val="TextoNormalCaracter"/>
          </w:rPr>
          <w:t>177/2016</w:t>
        </w:r>
      </w:hyperlink>
      <w:r>
        <w:t xml:space="preserve">, VP I; </w:t>
      </w:r>
      <w:hyperlink w:anchor="SENTENCIA_2016_179" w:history="1">
        <w:r w:rsidRPr="00427CF1">
          <w:rPr>
            <w:rStyle w:val="TextoNormalCaracter"/>
          </w:rPr>
          <w:t>179/2016</w:t>
        </w:r>
      </w:hyperlink>
      <w:r>
        <w:t xml:space="preserve">, VP; </w:t>
      </w:r>
      <w:hyperlink w:anchor="SENTENCIA_2016_204" w:history="1">
        <w:r w:rsidRPr="00427CF1">
          <w:rPr>
            <w:rStyle w:val="TextoNormalCaracter"/>
          </w:rPr>
          <w:t>204/2016</w:t>
        </w:r>
      </w:hyperlink>
      <w:r>
        <w:t xml:space="preserve">, VP I, VP II; </w:t>
      </w:r>
      <w:hyperlink w:anchor="SENTENCIA_2016_226" w:history="1">
        <w:r w:rsidRPr="00427CF1">
          <w:rPr>
            <w:rStyle w:val="TextoNormalCaracter"/>
          </w:rPr>
          <w:t>226/2016</w:t>
        </w:r>
      </w:hyperlink>
      <w:r>
        <w:t xml:space="preserve">, VP; </w:t>
      </w:r>
      <w:hyperlink w:anchor="SENTENCIA_2016_228" w:history="1">
        <w:r w:rsidRPr="00427CF1">
          <w:rPr>
            <w:rStyle w:val="TextoNormalCaracter"/>
          </w:rPr>
          <w:t>228/2016</w:t>
        </w:r>
      </w:hyperlink>
      <w:r>
        <w:t>, VP I.</w:t>
      </w:r>
    </w:p>
    <w:p w:rsidR="00427CF1" w:rsidRDefault="00427CF1" w:rsidP="00427CF1">
      <w:pPr>
        <w:pStyle w:val="SangriaIzquierdaArticulo"/>
      </w:pPr>
      <w:r>
        <w:t xml:space="preserve">Auto </w:t>
      </w:r>
      <w:hyperlink w:anchor="AUTO_2016_155" w:history="1">
        <w:r w:rsidRPr="00427CF1">
          <w:rPr>
            <w:rStyle w:val="TextoNormalCaracter"/>
          </w:rPr>
          <w:t>155/2016</w:t>
        </w:r>
      </w:hyperlink>
      <w:r>
        <w:t>, VP II.</w:t>
      </w:r>
    </w:p>
    <w:p w:rsidR="00427CF1" w:rsidRDefault="00427CF1" w:rsidP="00427CF1">
      <w:pPr>
        <w:pStyle w:val="SangriaFrancesaArticulo"/>
      </w:pPr>
      <w:r w:rsidRPr="00427CF1">
        <w:rPr>
          <w:rStyle w:val="TextoNormalNegritaCaracter"/>
        </w:rPr>
        <w:t>Artículo 92</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ff. 6, 9, VP II; </w:t>
      </w:r>
      <w:hyperlink w:anchor="SENTENCIA_2016_215" w:history="1">
        <w:r w:rsidRPr="00427CF1">
          <w:rPr>
            <w:rStyle w:val="TextoNormalCaracter"/>
          </w:rPr>
          <w:t>215/2016</w:t>
        </w:r>
      </w:hyperlink>
      <w:r>
        <w:t>, f. 12.</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ff. 1, 2; </w:t>
      </w:r>
      <w:hyperlink w:anchor="AUTO_2016_170" w:history="1">
        <w:r w:rsidRPr="00427CF1">
          <w:rPr>
            <w:rStyle w:val="TextoNormalCaracter"/>
          </w:rPr>
          <w:t>170/2016</w:t>
        </w:r>
      </w:hyperlink>
      <w:r>
        <w:t>, ff. 1, 2, 7.</w:t>
      </w:r>
    </w:p>
    <w:p w:rsidR="00427CF1" w:rsidRDefault="00427CF1" w:rsidP="00427CF1">
      <w:pPr>
        <w:pStyle w:val="SangriaFrancesaArticulo"/>
      </w:pPr>
      <w:r w:rsidRPr="00427CF1">
        <w:rPr>
          <w:rStyle w:val="TextoNormalNegritaCaracter"/>
        </w:rPr>
        <w:t>Artículo 92.1</w:t>
      </w:r>
      <w:r>
        <w:t xml:space="preserve"> (redactado por la Ley Orgánica 15/2015, de 16 de octubre)</w:t>
      </w:r>
      <w:r w:rsidRPr="00427CF1">
        <w:rPr>
          <w:rStyle w:val="TextoNormalNegritaCaracter"/>
        </w:rPr>
        <w:t>.</w:t>
      </w:r>
      <w:r w:rsidRPr="00427CF1">
        <w:rPr>
          <w:rStyle w:val="TextoNormalCaracter"/>
        </w:rPr>
        <w:t>-</w:t>
      </w:r>
      <w:r>
        <w:t xml:space="preserve"> Sentencia </w:t>
      </w:r>
      <w:hyperlink w:anchor="SENTENCIA_2016_185" w:history="1">
        <w:r w:rsidRPr="00427CF1">
          <w:rPr>
            <w:rStyle w:val="TextoNormalCaracter"/>
          </w:rPr>
          <w:t>185/2016</w:t>
        </w:r>
      </w:hyperlink>
      <w:r>
        <w:t>, ff. 2, 9.</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 2; </w:t>
      </w:r>
      <w:hyperlink w:anchor="AUTO_2016_170" w:history="1">
        <w:r w:rsidRPr="00427CF1">
          <w:rPr>
            <w:rStyle w:val="TextoNormalCaracter"/>
          </w:rPr>
          <w:t>170/2016</w:t>
        </w:r>
      </w:hyperlink>
      <w:r>
        <w:t>, f. 2.</w:t>
      </w:r>
    </w:p>
    <w:p w:rsidR="00427CF1" w:rsidRDefault="00427CF1" w:rsidP="00427CF1">
      <w:pPr>
        <w:pStyle w:val="SangriaFrancesaArticulo"/>
      </w:pPr>
      <w:r w:rsidRPr="00427CF1">
        <w:rPr>
          <w:rStyle w:val="TextoNormalNegritaCaracter"/>
        </w:rPr>
        <w:t>Artículo 92.1 párrafo 1</w:t>
      </w:r>
      <w:r>
        <w:t xml:space="preserve"> (redactado por la Ley Orgánica 15/2015, de 16 de octubre)</w:t>
      </w:r>
      <w:r w:rsidRPr="00427CF1">
        <w:rPr>
          <w:rStyle w:val="TextoNormalNegritaCaracter"/>
        </w:rPr>
        <w:t>.</w:t>
      </w:r>
      <w:r w:rsidRPr="00427CF1">
        <w:rPr>
          <w:rStyle w:val="TextoNormalCaracter"/>
        </w:rPr>
        <w:t>-</w:t>
      </w:r>
      <w:r>
        <w:t xml:space="preserve"> Auto </w:t>
      </w:r>
      <w:hyperlink w:anchor="AUTO_2016_141" w:history="1">
        <w:r w:rsidRPr="00427CF1">
          <w:rPr>
            <w:rStyle w:val="TextoNormalCaracter"/>
          </w:rPr>
          <w:t>141/2016</w:t>
        </w:r>
      </w:hyperlink>
      <w:r>
        <w:t>, f. 7.</w:t>
      </w:r>
    </w:p>
    <w:p w:rsidR="00427CF1" w:rsidRDefault="00427CF1" w:rsidP="00427CF1">
      <w:pPr>
        <w:pStyle w:val="SangriaFrancesaArticulo"/>
      </w:pPr>
      <w:r w:rsidRPr="00427CF1">
        <w:rPr>
          <w:rStyle w:val="TextoNormalNegritaCaracter"/>
        </w:rPr>
        <w:t xml:space="preserve">Artículo 92.2 </w:t>
      </w:r>
      <w:r>
        <w:t>(redactado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ff. 2, 9; </w:t>
      </w:r>
      <w:hyperlink w:anchor="SENTENCIA_2016_215" w:history="1">
        <w:r w:rsidRPr="00427CF1">
          <w:rPr>
            <w:rStyle w:val="TextoNormalCaracter"/>
          </w:rPr>
          <w:t>215/2016</w:t>
        </w:r>
      </w:hyperlink>
      <w:r>
        <w:t>, f. 12.</w:t>
      </w:r>
    </w:p>
    <w:p w:rsidR="00427CF1" w:rsidRDefault="00427CF1" w:rsidP="00427CF1">
      <w:pPr>
        <w:pStyle w:val="SangriaFrancesaArticulo"/>
      </w:pPr>
      <w:r w:rsidRPr="00427CF1">
        <w:rPr>
          <w:rStyle w:val="TextoNormalNegritaCaracter"/>
        </w:rPr>
        <w:t>Artículo 92.3</w:t>
      </w:r>
      <w:r>
        <w:t xml:space="preserve"> (redactado por la Ley Orgánica 15/2015, de 16 de octubre)</w:t>
      </w:r>
      <w:r w:rsidRPr="00427CF1">
        <w:rPr>
          <w:rStyle w:val="TextoNormalNegritaCaracter"/>
        </w:rPr>
        <w:t>.</w:t>
      </w:r>
      <w:r w:rsidRPr="00427CF1">
        <w:rPr>
          <w:rStyle w:val="TextoNormalCaracter"/>
        </w:rPr>
        <w:t>-</w:t>
      </w:r>
      <w:r>
        <w:t xml:space="preserve"> Auto </w:t>
      </w:r>
      <w:hyperlink w:anchor="AUTO_2016_141" w:history="1">
        <w:r w:rsidRPr="00427CF1">
          <w:rPr>
            <w:rStyle w:val="TextoNormalCaracter"/>
          </w:rPr>
          <w:t>141/2016</w:t>
        </w:r>
      </w:hyperlink>
      <w:r>
        <w:t>, f. 7.</w:t>
      </w:r>
    </w:p>
    <w:p w:rsidR="00427CF1" w:rsidRDefault="00427CF1" w:rsidP="00427CF1">
      <w:pPr>
        <w:pStyle w:val="SangriaFrancesaArticulo"/>
      </w:pPr>
      <w:r w:rsidRPr="00427CF1">
        <w:rPr>
          <w:rStyle w:val="TextoNormalNegritaCaracter"/>
        </w:rPr>
        <w:t>Artículo 92.4.</w:t>
      </w:r>
      <w:r w:rsidRPr="00427CF1">
        <w:rPr>
          <w:rStyle w:val="TextoNormalCaracter"/>
        </w:rPr>
        <w:t>-</w:t>
      </w:r>
      <w:r>
        <w:t xml:space="preserve"> Sentencia </w:t>
      </w:r>
      <w:hyperlink w:anchor="SENTENCIA_2016_185" w:history="1">
        <w:r w:rsidRPr="00427CF1">
          <w:rPr>
            <w:rStyle w:val="TextoNormalCaracter"/>
          </w:rPr>
          <w:t>185/2016</w:t>
        </w:r>
      </w:hyperlink>
      <w:r>
        <w:t>, ff. 14, 17, VP I, VP II.</w:t>
      </w:r>
    </w:p>
    <w:p w:rsidR="00427CF1" w:rsidRDefault="00427CF1" w:rsidP="00427CF1">
      <w:pPr>
        <w:pStyle w:val="SangriaFrancesaArticulo"/>
      </w:pPr>
      <w:r w:rsidRPr="00427CF1">
        <w:rPr>
          <w:rStyle w:val="TextoNormalNegritaCaracter"/>
        </w:rPr>
        <w:t>Artículo 92.4</w:t>
      </w:r>
      <w:r>
        <w:t xml:space="preserve"> (redactado por la Ley Orgánica 15/2015, de 16 de octubre)</w:t>
      </w:r>
      <w:r w:rsidRPr="00427CF1">
        <w:rPr>
          <w:rStyle w:val="TextoNormalNegritaCaracter"/>
        </w:rPr>
        <w:t>.</w:t>
      </w:r>
      <w:r w:rsidRPr="00427CF1">
        <w:rPr>
          <w:rStyle w:val="TextoNormalCaracter"/>
        </w:rPr>
        <w:t>-</w:t>
      </w:r>
      <w:r>
        <w:t xml:space="preserve"> Sentencia </w:t>
      </w:r>
      <w:hyperlink w:anchor="SENTENCIA_2016_215" w:history="1">
        <w:r w:rsidRPr="00427CF1">
          <w:rPr>
            <w:rStyle w:val="TextoNormalCaracter"/>
          </w:rPr>
          <w:t>215/2016</w:t>
        </w:r>
      </w:hyperlink>
      <w:r>
        <w:t>, ff. 8, 10, 12, VP III.</w:t>
      </w:r>
    </w:p>
    <w:p w:rsidR="00427CF1" w:rsidRDefault="00427CF1" w:rsidP="00427CF1">
      <w:pPr>
        <w:pStyle w:val="SangriaIzquierdaArticulo"/>
      </w:pPr>
      <w:r>
        <w:t xml:space="preserve">Auto </w:t>
      </w:r>
      <w:hyperlink w:anchor="AUTO_2016_170" w:history="1">
        <w:r w:rsidRPr="00427CF1">
          <w:rPr>
            <w:rStyle w:val="TextoNormalCaracter"/>
          </w:rPr>
          <w:t>170/2016</w:t>
        </w:r>
      </w:hyperlink>
      <w:r>
        <w:t>, ff. 1, 2, 9.</w:t>
      </w:r>
    </w:p>
    <w:p w:rsidR="00427CF1" w:rsidRDefault="00427CF1" w:rsidP="00427CF1">
      <w:pPr>
        <w:pStyle w:val="SangriaFrancesaArticulo"/>
      </w:pPr>
      <w:r w:rsidRPr="00427CF1">
        <w:rPr>
          <w:rStyle w:val="TextoNormalNegritaCaracter"/>
        </w:rPr>
        <w:t>Artículo 92.4 a)</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 10; </w:t>
      </w:r>
      <w:hyperlink w:anchor="SENTENCIA_2016_215" w:history="1">
        <w:r w:rsidRPr="00427CF1">
          <w:rPr>
            <w:rStyle w:val="TextoNormalCaracter"/>
          </w:rPr>
          <w:t>215/2016</w:t>
        </w:r>
      </w:hyperlink>
      <w:r>
        <w:t>, ff. 1, 2, 6 a 8, VP II, VP III.</w:t>
      </w:r>
    </w:p>
    <w:p w:rsidR="00427CF1" w:rsidRDefault="00427CF1" w:rsidP="00427CF1">
      <w:pPr>
        <w:pStyle w:val="SangriaIzquierdaArticulo"/>
      </w:pPr>
      <w:r>
        <w:t xml:space="preserve">Auto </w:t>
      </w:r>
      <w:hyperlink w:anchor="AUTO_2016_170" w:history="1">
        <w:r w:rsidRPr="00427CF1">
          <w:rPr>
            <w:rStyle w:val="TextoNormalCaracter"/>
          </w:rPr>
          <w:t>170/2016</w:t>
        </w:r>
      </w:hyperlink>
      <w:r>
        <w:t>, ff. 1, 2, 8.</w:t>
      </w:r>
    </w:p>
    <w:p w:rsidR="00427CF1" w:rsidRDefault="00427CF1" w:rsidP="00427CF1">
      <w:pPr>
        <w:pStyle w:val="SangriaFrancesaArticulo"/>
      </w:pPr>
      <w:r w:rsidRPr="00427CF1">
        <w:rPr>
          <w:rStyle w:val="TextoNormalNegritaCaracter"/>
        </w:rPr>
        <w:t>Artículo 92.4 b)</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ff. 1, 2, 6, 9 a 17, VP I, VP II, VP III; </w:t>
      </w:r>
      <w:hyperlink w:anchor="SENTENCIA_2016_215" w:history="1">
        <w:r w:rsidRPr="00427CF1">
          <w:rPr>
            <w:rStyle w:val="TextoNormalCaracter"/>
          </w:rPr>
          <w:t>215/2016</w:t>
        </w:r>
      </w:hyperlink>
      <w:r>
        <w:t>, 1, 2, 6, 9, 10, 14, VPI, VPII, VPIII.</w:t>
      </w:r>
    </w:p>
    <w:p w:rsidR="00427CF1" w:rsidRDefault="00427CF1" w:rsidP="00427CF1">
      <w:pPr>
        <w:pStyle w:val="SangriaIzquierdaArticulo"/>
      </w:pPr>
      <w:r>
        <w:t xml:space="preserve">Auto </w:t>
      </w:r>
      <w:hyperlink w:anchor="AUTO_2016_170" w:history="1">
        <w:r w:rsidRPr="00427CF1">
          <w:rPr>
            <w:rStyle w:val="TextoNormalCaracter"/>
          </w:rPr>
          <w:t>170/2016</w:t>
        </w:r>
      </w:hyperlink>
      <w:r>
        <w:t>, ff. 1, 7.</w:t>
      </w:r>
    </w:p>
    <w:p w:rsidR="00427CF1" w:rsidRDefault="00427CF1" w:rsidP="00427CF1">
      <w:pPr>
        <w:pStyle w:val="SangriaFrancesaArticulo"/>
      </w:pPr>
      <w:r w:rsidRPr="00427CF1">
        <w:rPr>
          <w:rStyle w:val="TextoNormalNegritaCaracter"/>
        </w:rPr>
        <w:t>Artículo 92.4 c)</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ff. 1, 2, 6, 9 a 12, 16, 17, VP I, VP II, VP III; </w:t>
      </w:r>
      <w:hyperlink w:anchor="SENTENCIA_2016_215" w:history="1">
        <w:r w:rsidRPr="00427CF1">
          <w:rPr>
            <w:rStyle w:val="TextoNormalCaracter"/>
          </w:rPr>
          <w:t>215/2016</w:t>
        </w:r>
      </w:hyperlink>
      <w:r>
        <w:t>, ff. 1, 2, 6, 11, 12, VP III.</w:t>
      </w:r>
    </w:p>
    <w:p w:rsidR="00427CF1" w:rsidRDefault="00427CF1" w:rsidP="00427CF1">
      <w:pPr>
        <w:pStyle w:val="SangriaFrancesaArticulo"/>
      </w:pPr>
      <w:r w:rsidRPr="00427CF1">
        <w:rPr>
          <w:rStyle w:val="TextoNormalNegritaCaracter"/>
        </w:rPr>
        <w:t>Artículo 92.4 d)</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 15, VP I; </w:t>
      </w:r>
      <w:hyperlink w:anchor="SENTENCIA_2016_215" w:history="1">
        <w:r w:rsidRPr="00427CF1">
          <w:rPr>
            <w:rStyle w:val="TextoNormalCaracter"/>
          </w:rPr>
          <w:t>215/2016</w:t>
        </w:r>
      </w:hyperlink>
      <w:r>
        <w:t>, f. 10.</w:t>
      </w:r>
    </w:p>
    <w:p w:rsidR="00427CF1" w:rsidRDefault="00427CF1" w:rsidP="00427CF1">
      <w:pPr>
        <w:pStyle w:val="SangriaIzquierdaArticulo"/>
      </w:pPr>
      <w:r>
        <w:t xml:space="preserve">Auto </w:t>
      </w:r>
      <w:hyperlink w:anchor="AUTO_2016_170" w:history="1">
        <w:r w:rsidRPr="00427CF1">
          <w:rPr>
            <w:rStyle w:val="TextoNormalCaracter"/>
          </w:rPr>
          <w:t>170/2016</w:t>
        </w:r>
      </w:hyperlink>
      <w:r>
        <w:t>, ff. 1, 2, 8.</w:t>
      </w:r>
    </w:p>
    <w:p w:rsidR="00427CF1" w:rsidRDefault="00427CF1" w:rsidP="00427CF1">
      <w:pPr>
        <w:pStyle w:val="SangriaFrancesaArticulo"/>
      </w:pPr>
      <w:r w:rsidRPr="00427CF1">
        <w:rPr>
          <w:rStyle w:val="TextoNormalNegritaCaracter"/>
        </w:rPr>
        <w:t>Artículo 92.5</w:t>
      </w:r>
      <w:r>
        <w:t xml:space="preserve"> (redactado por la Ley Orgánica 15/2015, de 16 de octubre)</w:t>
      </w:r>
      <w:r w:rsidRPr="00427CF1">
        <w:rPr>
          <w:rStyle w:val="TextoNormalNegritaCaracter"/>
        </w:rPr>
        <w:t>.</w:t>
      </w:r>
      <w:r w:rsidRPr="00427CF1">
        <w:rPr>
          <w:rStyle w:val="TextoNormalCaracter"/>
        </w:rPr>
        <w:t>-</w:t>
      </w:r>
      <w:r>
        <w:t xml:space="preserve"> Sentencias </w:t>
      </w:r>
      <w:hyperlink w:anchor="SENTENCIA_2016_185" w:history="1">
        <w:r w:rsidRPr="00427CF1">
          <w:rPr>
            <w:rStyle w:val="TextoNormalCaracter"/>
          </w:rPr>
          <w:t>185/2016</w:t>
        </w:r>
      </w:hyperlink>
      <w:r>
        <w:t xml:space="preserve">, ff. 1, 2, 6, 9 a 12, 16, 17, VP II; </w:t>
      </w:r>
      <w:hyperlink w:anchor="SENTENCIA_2016_215" w:history="1">
        <w:r w:rsidRPr="00427CF1">
          <w:rPr>
            <w:rStyle w:val="TextoNormalCaracter"/>
          </w:rPr>
          <w:t>215/2016</w:t>
        </w:r>
      </w:hyperlink>
      <w:r>
        <w:t>, ff. 1, 2, 6, 13, 14, VP III.</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FrancesaArticulo"/>
      </w:pPr>
      <w:r w:rsidRPr="00427CF1">
        <w:rPr>
          <w:rStyle w:val="TextoNormalNegritaCaracter"/>
        </w:rPr>
        <w:t>Artículo 93.2.</w:t>
      </w:r>
      <w:r w:rsidRPr="00427CF1">
        <w:rPr>
          <w:rStyle w:val="TextoNormalCaracter"/>
        </w:rPr>
        <w:t>-</w:t>
      </w:r>
      <w:r>
        <w:t xml:space="preserve"> Autos </w:t>
      </w:r>
      <w:hyperlink w:anchor="AUTO_2016_141" w:history="1">
        <w:r w:rsidRPr="00427CF1">
          <w:rPr>
            <w:rStyle w:val="TextoNormalCaracter"/>
          </w:rPr>
          <w:t>141/2016</w:t>
        </w:r>
      </w:hyperlink>
      <w:r>
        <w:t xml:space="preserve">, f. 2; </w:t>
      </w:r>
      <w:hyperlink w:anchor="AUTO_2016_170" w:history="1">
        <w:r w:rsidRPr="00427CF1">
          <w:rPr>
            <w:rStyle w:val="TextoNormalCaracter"/>
          </w:rPr>
          <w:t>170/2016</w:t>
        </w:r>
      </w:hyperlink>
      <w:r>
        <w:t>, f. 2.</w:t>
      </w:r>
    </w:p>
    <w:p w:rsidR="00427CF1" w:rsidRDefault="00427CF1" w:rsidP="00427CF1">
      <w:pPr>
        <w:pStyle w:val="SangriaFrancesaArticulo"/>
      </w:pPr>
      <w:r w:rsidRPr="00427CF1">
        <w:rPr>
          <w:rStyle w:val="TextoNormalNegritaCaracter"/>
        </w:rPr>
        <w:t>Artículo 95.1.</w:t>
      </w:r>
      <w:r w:rsidRPr="00427CF1">
        <w:rPr>
          <w:rStyle w:val="TextoNormalCaracter"/>
        </w:rPr>
        <w:t>-</w:t>
      </w:r>
      <w:r>
        <w:t xml:space="preserve"> Sentencia </w:t>
      </w:r>
      <w:hyperlink w:anchor="SENTENCIA_2016_172" w:history="1">
        <w:r w:rsidRPr="00427CF1">
          <w:rPr>
            <w:rStyle w:val="TextoNormalCaracter"/>
          </w:rPr>
          <w:t>172/2016</w:t>
        </w:r>
      </w:hyperlink>
      <w:r>
        <w:t>, f. 12.</w:t>
      </w:r>
    </w:p>
    <w:p w:rsidR="00427CF1" w:rsidRDefault="00427CF1" w:rsidP="00427CF1">
      <w:pPr>
        <w:pStyle w:val="SangriaFrancesaArticulo"/>
      </w:pPr>
      <w:r w:rsidRPr="00427CF1">
        <w:rPr>
          <w:rStyle w:val="TextoNormalNegritaCaracter"/>
        </w:rPr>
        <w:t>Artículo 95.2.</w:t>
      </w:r>
      <w:r w:rsidRPr="00427CF1">
        <w:rPr>
          <w:rStyle w:val="TextoNormalCaracter"/>
        </w:rPr>
        <w:t>-</w:t>
      </w:r>
      <w:r>
        <w:t xml:space="preserve"> Sentencia </w:t>
      </w:r>
      <w:hyperlink w:anchor="SENTENCIA_2016_215" w:history="1">
        <w:r w:rsidRPr="00427CF1">
          <w:rPr>
            <w:rStyle w:val="TextoNormalCaracter"/>
          </w:rPr>
          <w:t>215/2016</w:t>
        </w:r>
      </w:hyperlink>
      <w:r>
        <w:t>, f. 13, VP III.</w:t>
      </w:r>
    </w:p>
    <w:p w:rsidR="00427CF1" w:rsidRDefault="00427CF1" w:rsidP="00427CF1">
      <w:pPr>
        <w:pStyle w:val="SangriaFrancesaArticulo"/>
      </w:pPr>
      <w:r w:rsidRPr="00427CF1">
        <w:rPr>
          <w:rStyle w:val="TextoNormalNegritaCaracter"/>
        </w:rPr>
        <w:t>Artículo 95.3</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85" w:history="1">
        <w:r w:rsidRPr="00427CF1">
          <w:rPr>
            <w:rStyle w:val="TextoNormalCaracter"/>
          </w:rPr>
          <w:t>185/2016</w:t>
        </w:r>
      </w:hyperlink>
      <w:r>
        <w:t>, VP I.</w:t>
      </w:r>
    </w:p>
    <w:p w:rsidR="00427CF1" w:rsidRDefault="00427CF1" w:rsidP="00427CF1">
      <w:pPr>
        <w:pStyle w:val="SangriaFrancesaArticulo"/>
      </w:pPr>
      <w:r w:rsidRPr="00427CF1">
        <w:rPr>
          <w:rStyle w:val="TextoNormalNegritaCaracter"/>
        </w:rPr>
        <w:t>Artículo 95.4.</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IzquierdaArticulo"/>
      </w:pPr>
      <w:r>
        <w:t xml:space="preserve">Auto </w:t>
      </w:r>
      <w:hyperlink w:anchor="AUTO_2016_170" w:history="1">
        <w:r w:rsidRPr="00427CF1">
          <w:rPr>
            <w:rStyle w:val="TextoNormalCaracter"/>
          </w:rPr>
          <w:t>170/2016</w:t>
        </w:r>
      </w:hyperlink>
      <w:r>
        <w:t>, f. 2.</w:t>
      </w:r>
    </w:p>
    <w:p w:rsidR="00427CF1" w:rsidRDefault="00427CF1" w:rsidP="00427CF1">
      <w:pPr>
        <w:pStyle w:val="SangriaFrancesaArticulo"/>
      </w:pPr>
      <w:r w:rsidRPr="00427CF1">
        <w:rPr>
          <w:rStyle w:val="TextoNormalNegritaCaracter"/>
        </w:rPr>
        <w:t>Artículo 95.4</w:t>
      </w:r>
      <w:r>
        <w:t xml:space="preserve"> (redactado por la Ley Orgánica 6/2007, de 24 de mayo)</w:t>
      </w:r>
      <w:r w:rsidRPr="00427CF1">
        <w:rPr>
          <w:rStyle w:val="TextoNormalNegritaCaracter"/>
        </w:rPr>
        <w:t>.</w:t>
      </w:r>
      <w:r w:rsidRPr="00427CF1">
        <w:rPr>
          <w:rStyle w:val="TextoNormalCaracter"/>
        </w:rPr>
        <w:t>-</w:t>
      </w:r>
      <w:r>
        <w:t xml:space="preserve"> Sentencia </w:t>
      </w:r>
      <w:hyperlink w:anchor="SENTENCIA_2016_185" w:history="1">
        <w:r w:rsidRPr="00427CF1">
          <w:rPr>
            <w:rStyle w:val="TextoNormalCaracter"/>
          </w:rPr>
          <w:t>185/2016</w:t>
        </w:r>
      </w:hyperlink>
      <w:r>
        <w:t>, f. 9, VP I.</w:t>
      </w:r>
    </w:p>
    <w:p w:rsidR="00427CF1" w:rsidRDefault="00427CF1" w:rsidP="00427CF1">
      <w:pPr>
        <w:pStyle w:val="SangriaFrancesaArticulo"/>
      </w:pPr>
      <w:r w:rsidRPr="00427CF1">
        <w:rPr>
          <w:rStyle w:val="TextoNormalNegritaCaracter"/>
        </w:rPr>
        <w:t>Disposición adicional quinta</w:t>
      </w:r>
      <w:r>
        <w:t xml:space="preserve"> (redactada por la Ley Orgánica 1/2010, de 19 de febrero)</w:t>
      </w:r>
      <w:r w:rsidRPr="00427CF1">
        <w:rPr>
          <w:rStyle w:val="TextoNormalNegritaCaracter"/>
        </w:rPr>
        <w:t>.</w:t>
      </w:r>
      <w:r w:rsidRPr="00427CF1">
        <w:rPr>
          <w:rStyle w:val="TextoNormalCaracter"/>
        </w:rPr>
        <w:t>-</w:t>
      </w:r>
      <w:r>
        <w:t xml:space="preserve"> Sentencia </w:t>
      </w:r>
      <w:hyperlink w:anchor="SENTENCIA_2016_203" w:history="1">
        <w:r w:rsidRPr="00427CF1">
          <w:rPr>
            <w:rStyle w:val="TextoNormalCaracter"/>
          </w:rPr>
          <w:t>203/2016</w:t>
        </w:r>
      </w:hyperlink>
      <w:r>
        <w:t>, ff. 2, 4.</w:t>
      </w:r>
    </w:p>
    <w:p w:rsidR="00427CF1" w:rsidRDefault="00427CF1" w:rsidP="00427CF1">
      <w:pPr>
        <w:pStyle w:val="SangriaFrancesaArticulo"/>
      </w:pPr>
      <w:r w:rsidRPr="00427CF1">
        <w:rPr>
          <w:rStyle w:val="TextoNormalNegritaCaracter"/>
        </w:rPr>
        <w:t>Disposición adicional quinta, apartado 1</w:t>
      </w:r>
      <w:r>
        <w:t xml:space="preserve"> (redactada por la Ley Orgánica 1/2010, de 19 de febrero)</w:t>
      </w:r>
      <w:r w:rsidRPr="00427CF1">
        <w:rPr>
          <w:rStyle w:val="TextoNormalNegritaCaracter"/>
        </w:rPr>
        <w:t>.</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Disposición adicional quinta, apartado 2</w:t>
      </w:r>
      <w:r>
        <w:t xml:space="preserve"> (redactada por la Ley Orgánica 1/2010, de 19 de febrero)</w:t>
      </w:r>
      <w:r w:rsidRPr="00427CF1">
        <w:rPr>
          <w:rStyle w:val="TextoNormalNegritaCaracter"/>
        </w:rPr>
        <w:t>.</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p>
    <w:p w:rsidR="00427CF1" w:rsidRDefault="00427CF1" w:rsidP="00427CF1">
      <w:pPr>
        <w:pStyle w:val="TextoNormalNegritaCursivandice"/>
      </w:pPr>
      <w:r>
        <w:t>Ley Orgánica 6/1988, de 9 de junio. Modifica los artículos 50 y 86 de la Ley Orgánica 2/1979, de 3 de octubre, del Tribunal Constitucional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36" w:history="1">
        <w:r w:rsidRPr="00427CF1">
          <w:rPr>
            <w:rStyle w:val="TextoNormalCaracter"/>
          </w:rPr>
          <w:t>136/2016</w:t>
        </w:r>
      </w:hyperlink>
      <w:r>
        <w:t xml:space="preserve">, f. único; </w:t>
      </w:r>
      <w:hyperlink w:anchor="AUTO_2016_140" w:history="1">
        <w:r w:rsidRPr="00427CF1">
          <w:rPr>
            <w:rStyle w:val="TextoNormalCaracter"/>
          </w:rPr>
          <w:t>140/2016</w:t>
        </w:r>
      </w:hyperlink>
      <w:r>
        <w:t xml:space="preserve"> bis, f. 1; </w:t>
      </w:r>
      <w:hyperlink w:anchor="AUTO_2016_208" w:history="1">
        <w:r w:rsidRPr="00427CF1">
          <w:rPr>
            <w:rStyle w:val="TextoNormalCaracter"/>
          </w:rPr>
          <w:t>208/2016</w:t>
        </w:r>
      </w:hyperlink>
      <w:r>
        <w:t>, f. único.</w:t>
      </w:r>
    </w:p>
    <w:p w:rsidR="00427CF1" w:rsidRDefault="00427CF1" w:rsidP="00427CF1">
      <w:pPr>
        <w:pStyle w:val="SangriaFrancesaArticulo"/>
      </w:pPr>
    </w:p>
    <w:p w:rsidR="00427CF1" w:rsidRDefault="00427CF1" w:rsidP="00427CF1">
      <w:pPr>
        <w:pStyle w:val="TextoNormalNegritaCursivandice"/>
      </w:pPr>
      <w:r>
        <w:t>Acuerdo del Pleno del Tribunal Constitucional, de 18 de junio de 1996. Asistencia jurídica gratuita en los procesos de amparo constitucional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Capítulo III, sección 1.</w:t>
      </w:r>
      <w:r w:rsidRPr="00427CF1">
        <w:rPr>
          <w:rStyle w:val="TextoNormalCaracter"/>
        </w:rPr>
        <w:t>-</w:t>
      </w:r>
      <w:r>
        <w:t xml:space="preserve"> Auto </w:t>
      </w:r>
      <w:hyperlink w:anchor="AUTO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Capítulo III, sección 2.</w:t>
      </w:r>
      <w:r w:rsidRPr="00427CF1">
        <w:rPr>
          <w:rStyle w:val="TextoNormalCaracter"/>
        </w:rPr>
        <w:t>-</w:t>
      </w:r>
      <w:r>
        <w:t xml:space="preserve"> Auto </w:t>
      </w:r>
      <w:hyperlink w:anchor="AUTO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89" w:history="1">
        <w:r w:rsidRPr="00427CF1">
          <w:rPr>
            <w:rStyle w:val="TextoNormalCaracter"/>
          </w:rPr>
          <w:t>189/2016</w:t>
        </w:r>
      </w:hyperlink>
      <w:r>
        <w:t>, f. 2.</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Auto </w:t>
      </w:r>
      <w:hyperlink w:anchor="AUTO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Auto </w:t>
      </w:r>
      <w:hyperlink w:anchor="AUTO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Autos </w:t>
      </w:r>
      <w:hyperlink w:anchor="AUTO_2016_153" w:history="1">
        <w:r w:rsidRPr="00427CF1">
          <w:rPr>
            <w:rStyle w:val="TextoNormalCaracter"/>
          </w:rPr>
          <w:t>153/2016</w:t>
        </w:r>
      </w:hyperlink>
      <w:r>
        <w:t xml:space="preserve">, f. único; </w:t>
      </w:r>
      <w:hyperlink w:anchor="AUTO_2016_189" w:history="1">
        <w:r w:rsidRPr="00427CF1">
          <w:rPr>
            <w:rStyle w:val="TextoNormalCaracter"/>
          </w:rPr>
          <w:t>189/2016</w:t>
        </w:r>
      </w:hyperlink>
      <w:r>
        <w:t>, f. 3.</w:t>
      </w:r>
    </w:p>
    <w:p w:rsidR="00427CF1" w:rsidRDefault="00427CF1" w:rsidP="00427CF1">
      <w:pPr>
        <w:pStyle w:val="SangriaFrancesaArticulo"/>
      </w:pPr>
    </w:p>
    <w:p w:rsidR="00427CF1" w:rsidRDefault="00427CF1" w:rsidP="00427CF1">
      <w:pPr>
        <w:pStyle w:val="TextoNormalNegritaCursivandice"/>
      </w:pPr>
      <w:r>
        <w:t>Ley Orgánica 1/2000, de 7 de enero. Modificación de la Ley Orgánica 2/1979, de 3 de octubre, del Tribunal Constitucional</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Auto </w:t>
      </w:r>
      <w:hyperlink w:anchor="AUTO_2016_140" w:history="1">
        <w:r w:rsidRPr="00427CF1">
          <w:rPr>
            <w:rStyle w:val="TextoNormalCaracter"/>
          </w:rPr>
          <w:t>140/2016</w:t>
        </w:r>
      </w:hyperlink>
      <w:r>
        <w:t xml:space="preserve"> bis, f. 1.</w:t>
      </w:r>
    </w:p>
    <w:p w:rsidR="00427CF1" w:rsidRDefault="00427CF1" w:rsidP="00427CF1">
      <w:pPr>
        <w:pStyle w:val="SangriaFrancesaArticulo"/>
      </w:pPr>
    </w:p>
    <w:p w:rsidR="00427CF1" w:rsidRDefault="00427CF1" w:rsidP="00427CF1">
      <w:pPr>
        <w:pStyle w:val="TextoNormalNegritaCursivandice"/>
      </w:pPr>
      <w:r>
        <w:t>Ley Orgánica 6/2007, de 24 de mayo. Modificación de la Ley Orgánica 2/1979, de 3 de octubre, del Tribunal Constitucional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29" w:history="1">
        <w:r w:rsidRPr="00427CF1">
          <w:rPr>
            <w:rStyle w:val="TextoNormalCaracter"/>
          </w:rPr>
          <w:t>129/2016</w:t>
        </w:r>
      </w:hyperlink>
      <w:r>
        <w:t xml:space="preserve">, ff. 1 a 3; </w:t>
      </w:r>
      <w:hyperlink w:anchor="SENTENCIA_2016_131" w:history="1">
        <w:r w:rsidRPr="00427CF1">
          <w:rPr>
            <w:rStyle w:val="TextoNormalCaracter"/>
          </w:rPr>
          <w:t>131/2016</w:t>
        </w:r>
      </w:hyperlink>
      <w:r>
        <w:t xml:space="preserve">, ff. 2, 3; </w:t>
      </w:r>
      <w:hyperlink w:anchor="SENTENCIA_2016_132" w:history="1">
        <w:r w:rsidRPr="00427CF1">
          <w:rPr>
            <w:rStyle w:val="TextoNormalCaracter"/>
          </w:rPr>
          <w:t>132/2016</w:t>
        </w:r>
      </w:hyperlink>
      <w:r>
        <w:t xml:space="preserve">, f. 2; </w:t>
      </w:r>
      <w:hyperlink w:anchor="SENTENCIA_2016_133" w:history="1">
        <w:r w:rsidRPr="00427CF1">
          <w:rPr>
            <w:rStyle w:val="TextoNormalCaracter"/>
          </w:rPr>
          <w:t>133/2016</w:t>
        </w:r>
      </w:hyperlink>
      <w:r>
        <w:t xml:space="preserve">, f. 2; </w:t>
      </w:r>
      <w:hyperlink w:anchor="SENTENCIA_2016_134" w:history="1">
        <w:r w:rsidRPr="00427CF1">
          <w:rPr>
            <w:rStyle w:val="TextoNormalCaracter"/>
          </w:rPr>
          <w:t>134/2016</w:t>
        </w:r>
      </w:hyperlink>
      <w:r>
        <w:t xml:space="preserve">, f. 2; </w:t>
      </w:r>
      <w:hyperlink w:anchor="SENTENCIA_2016_136" w:history="1">
        <w:r w:rsidRPr="00427CF1">
          <w:rPr>
            <w:rStyle w:val="TextoNormalCaracter"/>
          </w:rPr>
          <w:t>136/2016</w:t>
        </w:r>
      </w:hyperlink>
      <w:r>
        <w:t xml:space="preserve">, ff. 2, 3; </w:t>
      </w:r>
      <w:hyperlink w:anchor="SENTENCIA_2016_137" w:history="1">
        <w:r w:rsidRPr="00427CF1">
          <w:rPr>
            <w:rStyle w:val="TextoNormalCaracter"/>
          </w:rPr>
          <w:t>137/2016</w:t>
        </w:r>
      </w:hyperlink>
      <w:r>
        <w:t xml:space="preserve">, f. 4; </w:t>
      </w:r>
      <w:hyperlink w:anchor="SENTENCIA_2016_138" w:history="1">
        <w:r w:rsidRPr="00427CF1">
          <w:rPr>
            <w:rStyle w:val="TextoNormalCaracter"/>
          </w:rPr>
          <w:t>138/2016</w:t>
        </w:r>
      </w:hyperlink>
      <w:r>
        <w:t xml:space="preserve">, f. 2; </w:t>
      </w:r>
      <w:hyperlink w:anchor="SENTENCIA_2016_139" w:history="1">
        <w:r w:rsidRPr="00427CF1">
          <w:rPr>
            <w:rStyle w:val="TextoNormalCaracter"/>
          </w:rPr>
          <w:t>139/2016</w:t>
        </w:r>
      </w:hyperlink>
      <w:r>
        <w:t xml:space="preserve">, VP I; </w:t>
      </w:r>
      <w:hyperlink w:anchor="SENTENCIA_2016_140" w:history="1">
        <w:r w:rsidRPr="00427CF1">
          <w:rPr>
            <w:rStyle w:val="TextoNormalCaracter"/>
          </w:rPr>
          <w:t>140/2016</w:t>
        </w:r>
      </w:hyperlink>
      <w:r>
        <w:t xml:space="preserve">, f. 5; </w:t>
      </w:r>
      <w:hyperlink w:anchor="SENTENCIA_2016_146" w:history="1">
        <w:r w:rsidRPr="00427CF1">
          <w:rPr>
            <w:rStyle w:val="TextoNormalCaracter"/>
          </w:rPr>
          <w:t>146/2016</w:t>
        </w:r>
      </w:hyperlink>
      <w:r>
        <w:t xml:space="preserve">, f. 3; </w:t>
      </w:r>
      <w:hyperlink w:anchor="SENTENCIA_2016_148" w:history="1">
        <w:r w:rsidRPr="00427CF1">
          <w:rPr>
            <w:rStyle w:val="TextoNormalCaracter"/>
          </w:rPr>
          <w:t>148/2016</w:t>
        </w:r>
      </w:hyperlink>
      <w:r>
        <w:t xml:space="preserve">, f. 2; </w:t>
      </w:r>
      <w:hyperlink w:anchor="SENTENCIA_2016_154" w:history="1">
        <w:r w:rsidRPr="00427CF1">
          <w:rPr>
            <w:rStyle w:val="TextoNormalCaracter"/>
          </w:rPr>
          <w:t>154/2016</w:t>
        </w:r>
      </w:hyperlink>
      <w:r>
        <w:t xml:space="preserve">, ff. 2, 4; </w:t>
      </w:r>
      <w:hyperlink w:anchor="SENTENCIA_2016_156" w:history="1">
        <w:r w:rsidRPr="00427CF1">
          <w:rPr>
            <w:rStyle w:val="TextoNormalCaracter"/>
          </w:rPr>
          <w:t>156/2016</w:t>
        </w:r>
      </w:hyperlink>
      <w:r>
        <w:t xml:space="preserve">, VP; </w:t>
      </w:r>
      <w:hyperlink w:anchor="SENTENCIA_2016_157" w:history="1">
        <w:r w:rsidRPr="00427CF1">
          <w:rPr>
            <w:rStyle w:val="TextoNormalCaracter"/>
          </w:rPr>
          <w:t>157/2016</w:t>
        </w:r>
      </w:hyperlink>
      <w:r>
        <w:t xml:space="preserve">, VP; </w:t>
      </w:r>
      <w:hyperlink w:anchor="SENTENCIA_2016_160" w:history="1">
        <w:r w:rsidRPr="00427CF1">
          <w:rPr>
            <w:rStyle w:val="TextoNormalCaracter"/>
          </w:rPr>
          <w:t>160/2016</w:t>
        </w:r>
      </w:hyperlink>
      <w:r>
        <w:t xml:space="preserve">, f. 2; </w:t>
      </w:r>
      <w:hyperlink w:anchor="SENTENCIA_2016_162" w:history="1">
        <w:r w:rsidRPr="00427CF1">
          <w:rPr>
            <w:rStyle w:val="TextoNormalCaracter"/>
          </w:rPr>
          <w:t>162/2016</w:t>
        </w:r>
      </w:hyperlink>
      <w:r>
        <w:t xml:space="preserve">, f. 2; </w:t>
      </w:r>
      <w:hyperlink w:anchor="SENTENCIA_2016_163" w:history="1">
        <w:r w:rsidRPr="00427CF1">
          <w:rPr>
            <w:rStyle w:val="TextoNormalCaracter"/>
          </w:rPr>
          <w:t>163/2016</w:t>
        </w:r>
      </w:hyperlink>
      <w:r>
        <w:t xml:space="preserve">, f. 2; </w:t>
      </w:r>
      <w:hyperlink w:anchor="SENTENCIA_2016_167" w:history="1">
        <w:r w:rsidRPr="00427CF1">
          <w:rPr>
            <w:rStyle w:val="TextoNormalCaracter"/>
          </w:rPr>
          <w:t>167/2016</w:t>
        </w:r>
      </w:hyperlink>
      <w:r>
        <w:t xml:space="preserve">, f. 2; </w:t>
      </w:r>
      <w:hyperlink w:anchor="SENTENCIA_2016_172" w:history="1">
        <w:r w:rsidRPr="00427CF1">
          <w:rPr>
            <w:rStyle w:val="TextoNormalCaracter"/>
          </w:rPr>
          <w:t>172/2016</w:t>
        </w:r>
      </w:hyperlink>
      <w:r>
        <w:t xml:space="preserve">, f. 2; </w:t>
      </w:r>
      <w:hyperlink w:anchor="SENTENCIA_2016_174" w:history="1">
        <w:r w:rsidRPr="00427CF1">
          <w:rPr>
            <w:rStyle w:val="TextoNormalCaracter"/>
          </w:rPr>
          <w:t>174/2016</w:t>
        </w:r>
      </w:hyperlink>
      <w:r>
        <w:t xml:space="preserve">, f. 2; </w:t>
      </w:r>
      <w:hyperlink w:anchor="SENTENCIA_2016_177" w:history="1">
        <w:r w:rsidRPr="00427CF1">
          <w:rPr>
            <w:rStyle w:val="TextoNormalCaracter"/>
          </w:rPr>
          <w:t>177/2016</w:t>
        </w:r>
      </w:hyperlink>
      <w:r>
        <w:t xml:space="preserve">, VP I; </w:t>
      </w:r>
      <w:hyperlink w:anchor="SENTENCIA_2016_178" w:history="1">
        <w:r w:rsidRPr="00427CF1">
          <w:rPr>
            <w:rStyle w:val="TextoNormalCaracter"/>
          </w:rPr>
          <w:t>178/2016</w:t>
        </w:r>
      </w:hyperlink>
      <w:r>
        <w:t xml:space="preserve">, f. 1; </w:t>
      </w:r>
      <w:hyperlink w:anchor="SENTENCIA_2016_179" w:history="1">
        <w:r w:rsidRPr="00427CF1">
          <w:rPr>
            <w:rStyle w:val="TextoNormalCaracter"/>
          </w:rPr>
          <w:t>179/2016</w:t>
        </w:r>
      </w:hyperlink>
      <w:r>
        <w:t xml:space="preserve">, VP; </w:t>
      </w:r>
      <w:hyperlink w:anchor="SENTENCIA_2016_196" w:history="1">
        <w:r w:rsidRPr="00427CF1">
          <w:rPr>
            <w:rStyle w:val="TextoNormalCaracter"/>
          </w:rPr>
          <w:t>196/2016</w:t>
        </w:r>
      </w:hyperlink>
      <w:r>
        <w:t xml:space="preserve">, f. 2; </w:t>
      </w:r>
      <w:hyperlink w:anchor="SENTENCIA_2016_199" w:history="1">
        <w:r w:rsidRPr="00427CF1">
          <w:rPr>
            <w:rStyle w:val="TextoNormalCaracter"/>
          </w:rPr>
          <w:t>199/2016</w:t>
        </w:r>
      </w:hyperlink>
      <w:r>
        <w:t xml:space="preserve">, f. 2; </w:t>
      </w:r>
      <w:hyperlink w:anchor="SENTENCIA_2016_204" w:history="1">
        <w:r w:rsidRPr="00427CF1">
          <w:rPr>
            <w:rStyle w:val="TextoNormalCaracter"/>
          </w:rPr>
          <w:t>204/2016</w:t>
        </w:r>
      </w:hyperlink>
      <w:r>
        <w:t xml:space="preserve">, VP I, VP II; </w:t>
      </w:r>
      <w:hyperlink w:anchor="SENTENCIA_2016_215" w:history="1">
        <w:r w:rsidRPr="00427CF1">
          <w:rPr>
            <w:rStyle w:val="TextoNormalCaracter"/>
          </w:rPr>
          <w:t>215/2016</w:t>
        </w:r>
      </w:hyperlink>
      <w:r>
        <w:t xml:space="preserve">, f. 8; </w:t>
      </w:r>
      <w:hyperlink w:anchor="SENTENCIA_2016_219" w:history="1">
        <w:r w:rsidRPr="00427CF1">
          <w:rPr>
            <w:rStyle w:val="TextoNormalCaracter"/>
          </w:rPr>
          <w:t>219/2016</w:t>
        </w:r>
      </w:hyperlink>
      <w:r>
        <w:t xml:space="preserve">, f. 3; </w:t>
      </w:r>
      <w:hyperlink w:anchor="SENTENCIA_2016_222" w:history="1">
        <w:r w:rsidRPr="00427CF1">
          <w:rPr>
            <w:rStyle w:val="TextoNormalCaracter"/>
          </w:rPr>
          <w:t>222/2016</w:t>
        </w:r>
      </w:hyperlink>
      <w:r>
        <w:t xml:space="preserve">, f. 2; </w:t>
      </w:r>
      <w:hyperlink w:anchor="SENTENCIA_2016_225" w:history="1">
        <w:r w:rsidRPr="00427CF1">
          <w:rPr>
            <w:rStyle w:val="TextoNormalCaracter"/>
          </w:rPr>
          <w:t>225/2016</w:t>
        </w:r>
      </w:hyperlink>
      <w:r>
        <w:t xml:space="preserve">, ff. 2, 6; </w:t>
      </w:r>
      <w:hyperlink w:anchor="SENTENCIA_2016_226" w:history="1">
        <w:r w:rsidRPr="00427CF1">
          <w:rPr>
            <w:rStyle w:val="TextoNormalCaracter"/>
          </w:rPr>
          <w:t>226/2016</w:t>
        </w:r>
      </w:hyperlink>
      <w:r>
        <w:t xml:space="preserve">, f. 2, VP; </w:t>
      </w:r>
      <w:hyperlink w:anchor="SENTENCIA_2016_228" w:history="1">
        <w:r w:rsidRPr="00427CF1">
          <w:rPr>
            <w:rStyle w:val="TextoNormalCaracter"/>
          </w:rPr>
          <w:t>228/2016</w:t>
        </w:r>
      </w:hyperlink>
      <w:r>
        <w:t>, VP I.</w:t>
      </w:r>
    </w:p>
    <w:p w:rsidR="00427CF1" w:rsidRDefault="00427CF1" w:rsidP="00427CF1">
      <w:pPr>
        <w:pStyle w:val="SangriaIzquierdaArticulo"/>
      </w:pPr>
      <w:r>
        <w:t xml:space="preserve">Autos </w:t>
      </w:r>
      <w:hyperlink w:anchor="AUTO_2016_137" w:history="1">
        <w:r w:rsidRPr="00427CF1">
          <w:rPr>
            <w:rStyle w:val="TextoNormalCaracter"/>
          </w:rPr>
          <w:t>137/2016</w:t>
        </w:r>
      </w:hyperlink>
      <w:r>
        <w:t xml:space="preserve">, f. 3; </w:t>
      </w:r>
      <w:hyperlink w:anchor="AUTO_2016_138" w:history="1">
        <w:r w:rsidRPr="00427CF1">
          <w:rPr>
            <w:rStyle w:val="TextoNormalCaracter"/>
          </w:rPr>
          <w:t>138/2016</w:t>
        </w:r>
      </w:hyperlink>
      <w:r>
        <w:t xml:space="preserve">, f. 2; </w:t>
      </w:r>
      <w:hyperlink w:anchor="AUTO_2016_139" w:history="1">
        <w:r w:rsidRPr="00427CF1">
          <w:rPr>
            <w:rStyle w:val="TextoNormalCaracter"/>
          </w:rPr>
          <w:t>139/2016</w:t>
        </w:r>
      </w:hyperlink>
      <w:r>
        <w:t xml:space="preserve">, f. 2; </w:t>
      </w:r>
      <w:hyperlink w:anchor="AUTO_2016_148" w:history="1">
        <w:r w:rsidRPr="00427CF1">
          <w:rPr>
            <w:rStyle w:val="TextoNormalCaracter"/>
          </w:rPr>
          <w:t>148/2016</w:t>
        </w:r>
      </w:hyperlink>
      <w:r>
        <w:t xml:space="preserve">, ff. 2, 4; </w:t>
      </w:r>
      <w:hyperlink w:anchor="AUTO_2016_155" w:history="1">
        <w:r w:rsidRPr="00427CF1">
          <w:rPr>
            <w:rStyle w:val="TextoNormalCaracter"/>
          </w:rPr>
          <w:t>155/2016</w:t>
        </w:r>
      </w:hyperlink>
      <w:r>
        <w:t xml:space="preserve">, VP I, VP II; </w:t>
      </w:r>
      <w:hyperlink w:anchor="AUTO_2016_167" w:history="1">
        <w:r w:rsidRPr="00427CF1">
          <w:rPr>
            <w:rStyle w:val="TextoNormalCaracter"/>
          </w:rPr>
          <w:t>167/2016</w:t>
        </w:r>
      </w:hyperlink>
      <w:r>
        <w:t xml:space="preserve">, ff. 2, 4; </w:t>
      </w:r>
      <w:hyperlink w:anchor="AUTO_2016_180" w:history="1">
        <w:r w:rsidRPr="00427CF1">
          <w:rPr>
            <w:rStyle w:val="TextoNormalCaracter"/>
          </w:rPr>
          <w:t>180/2016</w:t>
        </w:r>
      </w:hyperlink>
      <w:r>
        <w:t xml:space="preserve">, f. 4; </w:t>
      </w:r>
      <w:hyperlink w:anchor="AUTO_2016_182" w:history="1">
        <w:r w:rsidRPr="00427CF1">
          <w:rPr>
            <w:rStyle w:val="TextoNormalCaracter"/>
          </w:rPr>
          <w:t>182/2016</w:t>
        </w:r>
      </w:hyperlink>
      <w:r>
        <w:t xml:space="preserve">, ff. 2, 3; </w:t>
      </w:r>
      <w:hyperlink w:anchor="AUTO_2016_183" w:history="1">
        <w:r w:rsidRPr="00427CF1">
          <w:rPr>
            <w:rStyle w:val="TextoNormalCaracter"/>
          </w:rPr>
          <w:t>183/2016</w:t>
        </w:r>
      </w:hyperlink>
      <w:r>
        <w:t xml:space="preserve">, f. 2; </w:t>
      </w:r>
      <w:hyperlink w:anchor="AUTO_2016_184" w:history="1">
        <w:r w:rsidRPr="00427CF1">
          <w:rPr>
            <w:rStyle w:val="TextoNormalCaracter"/>
          </w:rPr>
          <w:t>184/2016</w:t>
        </w:r>
      </w:hyperlink>
      <w:r>
        <w:t xml:space="preserve">, f. 2; </w:t>
      </w:r>
      <w:hyperlink w:anchor="AUTO_2016_185" w:history="1">
        <w:r w:rsidRPr="00427CF1">
          <w:rPr>
            <w:rStyle w:val="TextoNormalCaracter"/>
          </w:rPr>
          <w:t>185/2016</w:t>
        </w:r>
      </w:hyperlink>
      <w:r>
        <w:t xml:space="preserve">, f. 2; </w:t>
      </w:r>
      <w:hyperlink w:anchor="AUTO_2016_186" w:history="1">
        <w:r w:rsidRPr="00427CF1">
          <w:rPr>
            <w:rStyle w:val="TextoNormalCaracter"/>
          </w:rPr>
          <w:t>186/2016</w:t>
        </w:r>
      </w:hyperlink>
      <w:r>
        <w:t xml:space="preserve">, ff. 2, 3; </w:t>
      </w:r>
      <w:hyperlink w:anchor="AUTO_2016_187" w:history="1">
        <w:r w:rsidRPr="00427CF1">
          <w:rPr>
            <w:rStyle w:val="TextoNormalCaracter"/>
          </w:rPr>
          <w:t>187/2016</w:t>
        </w:r>
      </w:hyperlink>
      <w:r>
        <w:t xml:space="preserve">, f. 3; </w:t>
      </w:r>
      <w:hyperlink w:anchor="AUTO_2016_189" w:history="1">
        <w:r w:rsidRPr="00427CF1">
          <w:rPr>
            <w:rStyle w:val="TextoNormalCaracter"/>
          </w:rPr>
          <w:t>189/2016</w:t>
        </w:r>
      </w:hyperlink>
      <w:r>
        <w:t xml:space="preserve">, f. 3; </w:t>
      </w:r>
      <w:hyperlink w:anchor="AUTO_2016_194" w:history="1">
        <w:r w:rsidRPr="00427CF1">
          <w:rPr>
            <w:rStyle w:val="TextoNormalCaracter"/>
          </w:rPr>
          <w:t>194/2016</w:t>
        </w:r>
      </w:hyperlink>
      <w:r>
        <w:t xml:space="preserve">, f. 1; </w:t>
      </w:r>
      <w:hyperlink w:anchor="AUTO_2016_195" w:history="1">
        <w:r w:rsidRPr="00427CF1">
          <w:rPr>
            <w:rStyle w:val="TextoNormalCaracter"/>
          </w:rPr>
          <w:t>195/2016</w:t>
        </w:r>
      </w:hyperlink>
      <w:r>
        <w:t xml:space="preserve">, f. 1; </w:t>
      </w:r>
      <w:hyperlink w:anchor="AUTO_2016_197" w:history="1">
        <w:r w:rsidRPr="00427CF1">
          <w:rPr>
            <w:rStyle w:val="TextoNormalCaracter"/>
          </w:rPr>
          <w:t>197/2016</w:t>
        </w:r>
      </w:hyperlink>
      <w:r>
        <w:t xml:space="preserve">, f. 3; </w:t>
      </w:r>
      <w:hyperlink w:anchor="AUTO_2016_202" w:history="1">
        <w:r w:rsidRPr="00427CF1">
          <w:rPr>
            <w:rStyle w:val="TextoNormalCaracter"/>
          </w:rPr>
          <w:t>202/2016</w:t>
        </w:r>
      </w:hyperlink>
      <w:r>
        <w:t xml:space="preserve">, f. 2; </w:t>
      </w:r>
      <w:hyperlink w:anchor="AUTO_2016_203" w:history="1">
        <w:r w:rsidRPr="00427CF1">
          <w:rPr>
            <w:rStyle w:val="TextoNormalCaracter"/>
          </w:rPr>
          <w:t>203/2016</w:t>
        </w:r>
      </w:hyperlink>
      <w:r>
        <w:t>.</w:t>
      </w:r>
    </w:p>
    <w:p w:rsidR="00427CF1" w:rsidRDefault="00427CF1" w:rsidP="00427CF1">
      <w:pPr>
        <w:pStyle w:val="SangriaIzquierdaArticulo"/>
      </w:pPr>
    </w:p>
    <w:p w:rsidR="00427CF1" w:rsidRDefault="00427CF1" w:rsidP="00427CF1">
      <w:pPr>
        <w:pStyle w:val="TextoNormalNegritaCursivandice"/>
      </w:pPr>
      <w:r>
        <w:t>Acuerdo del Pleno del Tribunal Constitucional de 23 de julio de 2015. Regula la exclusión de los datos de identidad personal en la publicación de las resoluciones jurisdiccionales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2" w:history="1">
        <w:r w:rsidRPr="00427CF1">
          <w:rPr>
            <w:rStyle w:val="TextoNormalCaracter"/>
          </w:rPr>
          <w:t>132/2016</w:t>
        </w:r>
      </w:hyperlink>
      <w:r>
        <w:t>, f. 2.</w:t>
      </w:r>
    </w:p>
    <w:p w:rsidR="00427CF1" w:rsidRDefault="00427CF1" w:rsidP="00427CF1">
      <w:pPr>
        <w:pStyle w:val="TextoNormal"/>
      </w:pPr>
    </w:p>
    <w:p w:rsidR="00427CF1" w:rsidRDefault="00427CF1" w:rsidP="00427CF1">
      <w:pPr>
        <w:pStyle w:val="SangriaFrancesaArticulo"/>
      </w:pPr>
      <w:bookmarkStart w:id="190" w:name="INDICE22844"/>
    </w:p>
    <w:bookmarkEnd w:id="190"/>
    <w:p w:rsidR="00427CF1" w:rsidRDefault="00427CF1" w:rsidP="00427CF1">
      <w:pPr>
        <w:pStyle w:val="TextoIndiceNivel2"/>
        <w:suppressAutoHyphens/>
      </w:pPr>
      <w:r>
        <w:t>C) Cortes Generales</w:t>
      </w:r>
    </w:p>
    <w:p w:rsidR="00427CF1" w:rsidRDefault="00427CF1" w:rsidP="00427CF1">
      <w:pPr>
        <w:pStyle w:val="TextoIndiceNivel2"/>
      </w:pPr>
    </w:p>
    <w:p w:rsidR="00427CF1" w:rsidRDefault="00427CF1" w:rsidP="00427CF1">
      <w:pPr>
        <w:pStyle w:val="TextoNormalNegritaCursivandice"/>
      </w:pPr>
      <w:r>
        <w:t>Reglamento del Congreso de los Diputados, de 10 de febrero de 1982</w:t>
      </w:r>
    </w:p>
    <w:p w:rsidR="00427CF1" w:rsidRDefault="00427CF1" w:rsidP="00427CF1">
      <w:pPr>
        <w:pStyle w:val="SangriaFrancesaArticulo"/>
      </w:pPr>
      <w:r w:rsidRPr="00427CF1">
        <w:rPr>
          <w:rStyle w:val="TextoNormalNegritaCaracter"/>
        </w:rPr>
        <w:t>Artículo 44.</w:t>
      </w:r>
      <w:r w:rsidRPr="00427CF1">
        <w:rPr>
          <w:rStyle w:val="TextoNormalCaracter"/>
        </w:rPr>
        <w:t>-</w:t>
      </w:r>
      <w:r>
        <w:t xml:space="preserve"> Sentencia </w:t>
      </w:r>
      <w:hyperlink w:anchor="SENTENCIA_2016_191" w:history="1">
        <w:r w:rsidRPr="00427CF1">
          <w:rPr>
            <w:rStyle w:val="TextoNormalCaracter"/>
          </w:rPr>
          <w:t>191/2016</w:t>
        </w:r>
      </w:hyperlink>
      <w:r>
        <w:t>, ff. 6, 7.</w:t>
      </w:r>
    </w:p>
    <w:p w:rsidR="00427CF1" w:rsidRDefault="00427CF1" w:rsidP="00427CF1">
      <w:pPr>
        <w:pStyle w:val="SangriaFrancesaArticulo"/>
      </w:pPr>
      <w:r w:rsidRPr="00427CF1">
        <w:rPr>
          <w:rStyle w:val="TextoNormalNegritaCaracter"/>
        </w:rPr>
        <w:t>Artículo 44.3.</w:t>
      </w:r>
      <w:r w:rsidRPr="00427CF1">
        <w:rPr>
          <w:rStyle w:val="TextoNormalCaracter"/>
        </w:rPr>
        <w:t>-</w:t>
      </w:r>
      <w:r>
        <w:t xml:space="preserve"> Sentencia </w:t>
      </w:r>
      <w:hyperlink w:anchor="SENTENCIA_2016_191" w:history="1">
        <w:r w:rsidRPr="00427CF1">
          <w:rPr>
            <w:rStyle w:val="TextoNormalCaracter"/>
          </w:rPr>
          <w:t>191/2016</w:t>
        </w:r>
      </w:hyperlink>
      <w:r>
        <w:t>, ff. 4, 6.</w:t>
      </w:r>
    </w:p>
    <w:p w:rsidR="00427CF1" w:rsidRDefault="00427CF1" w:rsidP="00427CF1">
      <w:pPr>
        <w:pStyle w:val="SangriaFrancesaArticulo"/>
      </w:pPr>
      <w:r w:rsidRPr="00427CF1">
        <w:rPr>
          <w:rStyle w:val="TextoNormalNegritaCaracter"/>
        </w:rPr>
        <w:t>Artículo 44.4.</w:t>
      </w:r>
      <w:r w:rsidRPr="00427CF1">
        <w:rPr>
          <w:rStyle w:val="TextoNormalCaracter"/>
        </w:rPr>
        <w:t>-</w:t>
      </w:r>
      <w:r>
        <w:t xml:space="preserve"> Sentencia </w:t>
      </w:r>
      <w:hyperlink w:anchor="SENTENCIA_2016_191" w:history="1">
        <w:r w:rsidRPr="00427CF1">
          <w:rPr>
            <w:rStyle w:val="TextoNormalCaracter"/>
          </w:rPr>
          <w:t>191/2016</w:t>
        </w:r>
      </w:hyperlink>
      <w:r>
        <w:t>, ff. 4, 6.</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Sentencias </w:t>
      </w:r>
      <w:hyperlink w:anchor="SENTENCIA_2016_213" w:history="1">
        <w:r w:rsidRPr="00427CF1">
          <w:rPr>
            <w:rStyle w:val="TextoNormalCaracter"/>
          </w:rPr>
          <w:t>213/2016</w:t>
        </w:r>
      </w:hyperlink>
      <w:r>
        <w:t xml:space="preserve">, f. 3; </w:t>
      </w:r>
      <w:hyperlink w:anchor="SENTENCIA_2016_215" w:history="1">
        <w:r w:rsidRPr="00427CF1">
          <w:rPr>
            <w:rStyle w:val="TextoNormalCaracter"/>
          </w:rPr>
          <w:t>215/2016</w:t>
        </w:r>
      </w:hyperlink>
      <w:r>
        <w:t>, f. 5.</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215" w:history="1">
        <w:r w:rsidRPr="00427CF1">
          <w:rPr>
            <w:rStyle w:val="TextoNormalCaracter"/>
          </w:rPr>
          <w:t>215/2016</w:t>
        </w:r>
      </w:hyperlink>
      <w:r>
        <w:t>, f. 5.</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213" w:history="1">
        <w:r w:rsidRPr="00427CF1">
          <w:rPr>
            <w:rStyle w:val="TextoNormalCaracter"/>
          </w:rPr>
          <w:t>213/2016</w:t>
        </w:r>
      </w:hyperlink>
      <w:r>
        <w:t>, ff. 3, 4.</w:t>
      </w:r>
    </w:p>
    <w:p w:rsidR="00427CF1" w:rsidRDefault="00427CF1" w:rsidP="00427CF1">
      <w:pPr>
        <w:pStyle w:val="SangriaFrancesaArticulo"/>
      </w:pPr>
      <w:r w:rsidRPr="00427CF1">
        <w:rPr>
          <w:rStyle w:val="TextoNormalNegritaCaracter"/>
        </w:rPr>
        <w:t>Artículo 114.</w:t>
      </w:r>
      <w:r w:rsidRPr="00427CF1">
        <w:rPr>
          <w:rStyle w:val="TextoNormalCaracter"/>
        </w:rPr>
        <w:t>-</w:t>
      </w:r>
      <w:r>
        <w:t xml:space="preserve"> Sentencia </w:t>
      </w:r>
      <w:hyperlink w:anchor="SENTENCIA_2016_213" w:history="1">
        <w:r w:rsidRPr="00427CF1">
          <w:rPr>
            <w:rStyle w:val="TextoNormalCaracter"/>
          </w:rPr>
          <w:t>213/2016</w:t>
        </w:r>
      </w:hyperlink>
      <w:r>
        <w:t>, ff. 3, 4.</w:t>
      </w:r>
    </w:p>
    <w:p w:rsidR="00427CF1" w:rsidRDefault="00427CF1" w:rsidP="00427CF1">
      <w:pPr>
        <w:pStyle w:val="SangriaFrancesaArticulo"/>
      </w:pPr>
      <w:r w:rsidRPr="00427CF1">
        <w:rPr>
          <w:rStyle w:val="TextoNormalNegritaCaracter"/>
        </w:rPr>
        <w:t>Artículo 125.</w:t>
      </w:r>
      <w:r w:rsidRPr="00427CF1">
        <w:rPr>
          <w:rStyle w:val="TextoNormalCaracter"/>
        </w:rPr>
        <w:t>-</w:t>
      </w:r>
      <w:r>
        <w:t xml:space="preserve"> Sentencia </w:t>
      </w:r>
      <w:hyperlink w:anchor="SENTENCIA_2016_213" w:history="1">
        <w:r w:rsidRPr="00427CF1">
          <w:rPr>
            <w:rStyle w:val="TextoNormalCaracter"/>
          </w:rPr>
          <w:t>213/2016</w:t>
        </w:r>
      </w:hyperlink>
      <w:r>
        <w:t>, f. 3.</w:t>
      </w:r>
    </w:p>
    <w:p w:rsidR="00427CF1" w:rsidRDefault="00427CF1" w:rsidP="00427CF1">
      <w:pPr>
        <w:pStyle w:val="SangriaFrancesaArticulo"/>
      </w:pPr>
      <w:r w:rsidRPr="00427CF1">
        <w:rPr>
          <w:rStyle w:val="TextoNormalNegritaCaracter"/>
        </w:rPr>
        <w:t>Artículo 126.</w:t>
      </w:r>
      <w:r w:rsidRPr="00427CF1">
        <w:rPr>
          <w:rStyle w:val="TextoNormalCaracter"/>
        </w:rPr>
        <w:t>-</w:t>
      </w:r>
      <w:r>
        <w:t xml:space="preserve"> Sentencia </w:t>
      </w:r>
      <w:hyperlink w:anchor="SENTENCIA_2016_213" w:history="1">
        <w:r w:rsidRPr="00427CF1">
          <w:rPr>
            <w:rStyle w:val="TextoNormalCaracter"/>
          </w:rPr>
          <w:t>213/2016</w:t>
        </w:r>
      </w:hyperlink>
      <w:r>
        <w:t>, f. 3.</w:t>
      </w:r>
    </w:p>
    <w:p w:rsidR="00427CF1" w:rsidRDefault="00427CF1" w:rsidP="00427CF1">
      <w:pPr>
        <w:pStyle w:val="SangriaFrancesaArticulo"/>
      </w:pPr>
      <w:r w:rsidRPr="00427CF1">
        <w:rPr>
          <w:rStyle w:val="TextoNormalNegritaCaracter"/>
        </w:rPr>
        <w:t>Artículo 126.5.</w:t>
      </w:r>
      <w:r w:rsidRPr="00427CF1">
        <w:rPr>
          <w:rStyle w:val="TextoNormalCaracter"/>
        </w:rPr>
        <w:t>-</w:t>
      </w:r>
      <w:r>
        <w:t xml:space="preserve"> Sentencia </w:t>
      </w:r>
      <w:hyperlink w:anchor="SENTENCIA_2016_213" w:history="1">
        <w:r w:rsidRPr="00427CF1">
          <w:rPr>
            <w:rStyle w:val="TextoNormalCaracter"/>
          </w:rPr>
          <w:t>213/2016</w:t>
        </w:r>
      </w:hyperlink>
      <w:r>
        <w:t>, ff. 3, 4.</w:t>
      </w:r>
    </w:p>
    <w:p w:rsidR="00427CF1" w:rsidRDefault="00427CF1" w:rsidP="00427CF1">
      <w:pPr>
        <w:pStyle w:val="SangriaFrancesaArticulo"/>
      </w:pPr>
      <w:r w:rsidRPr="00427CF1">
        <w:rPr>
          <w:rStyle w:val="TextoNormalNegritaCaracter"/>
        </w:rPr>
        <w:t>Artículo 127.</w:t>
      </w:r>
      <w:r w:rsidRPr="00427CF1">
        <w:rPr>
          <w:rStyle w:val="TextoNormalCaracter"/>
        </w:rPr>
        <w:t>-</w:t>
      </w:r>
      <w:r>
        <w:t xml:space="preserve"> Sentencia </w:t>
      </w:r>
      <w:hyperlink w:anchor="SENTENCIA_2016_213" w:history="1">
        <w:r w:rsidRPr="00427CF1">
          <w:rPr>
            <w:rStyle w:val="TextoNormalCaracter"/>
          </w:rPr>
          <w:t>213/2016</w:t>
        </w:r>
      </w:hyperlink>
      <w:r>
        <w:t>, f. 3.</w:t>
      </w:r>
    </w:p>
    <w:p w:rsidR="00427CF1" w:rsidRDefault="00427CF1" w:rsidP="00427CF1">
      <w:pPr>
        <w:pStyle w:val="SangriaFrancesaArticulo"/>
      </w:pPr>
      <w:r w:rsidRPr="00427CF1">
        <w:rPr>
          <w:rStyle w:val="TextoNormalNegritaCaracter"/>
        </w:rPr>
        <w:t>Artículo 150.</w:t>
      </w:r>
      <w:r w:rsidRPr="00427CF1">
        <w:rPr>
          <w:rStyle w:val="TextoNormalCaracter"/>
        </w:rPr>
        <w:t>-</w:t>
      </w:r>
      <w:r>
        <w:t xml:space="preserve"> Sentencias </w:t>
      </w:r>
      <w:hyperlink w:anchor="SENTENCIA_2016_185" w:history="1">
        <w:r w:rsidRPr="00427CF1">
          <w:rPr>
            <w:rStyle w:val="TextoNormalCaracter"/>
          </w:rPr>
          <w:t>185/2016</w:t>
        </w:r>
      </w:hyperlink>
      <w:r>
        <w:t xml:space="preserve">, ff. 1, 4, 5; </w:t>
      </w:r>
      <w:hyperlink w:anchor="SENTENCIA_2016_215" w:history="1">
        <w:r w:rsidRPr="00427CF1">
          <w:rPr>
            <w:rStyle w:val="TextoNormalCaracter"/>
          </w:rPr>
          <w:t>215/2016</w:t>
        </w:r>
      </w:hyperlink>
      <w:r>
        <w:t>, ff. 1, 4, 5.</w:t>
      </w:r>
    </w:p>
    <w:p w:rsidR="00427CF1" w:rsidRDefault="00427CF1" w:rsidP="00427CF1">
      <w:pPr>
        <w:pStyle w:val="SangriaFrancesaArticulo"/>
      </w:pPr>
    </w:p>
    <w:p w:rsidR="00427CF1" w:rsidRDefault="00427CF1" w:rsidP="00427CF1">
      <w:pPr>
        <w:pStyle w:val="TextoNormalNegritaCursivandice"/>
      </w:pPr>
      <w:r>
        <w:t>Reglamento del Senado de 3 de mayo de 1994. Texto refundido</w:t>
      </w:r>
    </w:p>
    <w:p w:rsidR="00427CF1" w:rsidRDefault="00427CF1" w:rsidP="00427CF1">
      <w:pPr>
        <w:pStyle w:val="SangriaFrancesaArticulo"/>
      </w:pPr>
      <w:r w:rsidRPr="00427CF1">
        <w:rPr>
          <w:rStyle w:val="TextoNormalNegritaCaracter"/>
        </w:rPr>
        <w:t>Artículo 129.</w:t>
      </w:r>
      <w:r w:rsidRPr="00427CF1">
        <w:rPr>
          <w:rStyle w:val="TextoNormalCaracter"/>
        </w:rPr>
        <w:t>-</w:t>
      </w:r>
      <w:r>
        <w:t xml:space="preserve"> Sentencia </w:t>
      </w:r>
      <w:hyperlink w:anchor="SENTENCIA_2016_185" w:history="1">
        <w:r w:rsidRPr="00427CF1">
          <w:rPr>
            <w:rStyle w:val="TextoNormalCaracter"/>
          </w:rPr>
          <w:t>185/2016</w:t>
        </w:r>
      </w:hyperlink>
      <w:r>
        <w:t>, ff. 1, 4.</w:t>
      </w:r>
    </w:p>
    <w:p w:rsidR="00427CF1" w:rsidRDefault="00427CF1" w:rsidP="00427CF1">
      <w:pPr>
        <w:pStyle w:val="TextoNormal"/>
      </w:pPr>
    </w:p>
    <w:p w:rsidR="00427CF1" w:rsidRDefault="00427CF1" w:rsidP="00427CF1">
      <w:pPr>
        <w:pStyle w:val="SangriaFrancesaArticulo"/>
      </w:pPr>
      <w:bookmarkStart w:id="191" w:name="INDICE22845"/>
    </w:p>
    <w:bookmarkEnd w:id="191"/>
    <w:p w:rsidR="00427CF1" w:rsidRDefault="00427CF1" w:rsidP="00427CF1">
      <w:pPr>
        <w:pStyle w:val="TextoIndiceNivel2"/>
        <w:suppressAutoHyphens/>
      </w:pPr>
      <w:r>
        <w:t>D) Leyes Orgánicas</w:t>
      </w:r>
    </w:p>
    <w:p w:rsidR="00427CF1" w:rsidRDefault="00427CF1" w:rsidP="00427CF1">
      <w:pPr>
        <w:pStyle w:val="TextoIndiceNivel2"/>
      </w:pPr>
    </w:p>
    <w:p w:rsidR="00427CF1" w:rsidRDefault="00427CF1" w:rsidP="00427CF1">
      <w:pPr>
        <w:pStyle w:val="TextoNormalNegritaCursivandice"/>
      </w:pPr>
      <w:r>
        <w:t>Ley Orgánica 1/1979, de 26 de septiembre. General penitenciaria</w:t>
      </w:r>
    </w:p>
    <w:p w:rsidR="00427CF1" w:rsidRDefault="00427CF1" w:rsidP="00427CF1">
      <w:pPr>
        <w:pStyle w:val="SangriaFrancesaArticulo"/>
      </w:pPr>
      <w:r w:rsidRPr="00427CF1">
        <w:rPr>
          <w:rStyle w:val="TextoNormalNegritaCaracter"/>
        </w:rPr>
        <w:t>Artículo 80.</w:t>
      </w:r>
      <w:r w:rsidRPr="00427CF1">
        <w:rPr>
          <w:rStyle w:val="TextoNormalCaracter"/>
        </w:rPr>
        <w:t>-</w:t>
      </w:r>
      <w:r>
        <w:t xml:space="preserve"> Sentencia </w:t>
      </w:r>
      <w:hyperlink w:anchor="SENTENCIA_2016_161" w:history="1">
        <w:r w:rsidRPr="00427CF1">
          <w:rPr>
            <w:rStyle w:val="TextoNormalCaracter"/>
          </w:rPr>
          <w:t>161/2016</w:t>
        </w:r>
      </w:hyperlink>
      <w:r>
        <w:t>, f. 4.</w:t>
      </w:r>
    </w:p>
    <w:p w:rsidR="00427CF1" w:rsidRDefault="00427CF1" w:rsidP="00427CF1">
      <w:pPr>
        <w:pStyle w:val="SangriaFrancesaArticulo"/>
      </w:pPr>
    </w:p>
    <w:p w:rsidR="00427CF1" w:rsidRDefault="00427CF1" w:rsidP="00427CF1">
      <w:pPr>
        <w:pStyle w:val="TextoNormalNegritaCursivandice"/>
      </w:pPr>
      <w:r>
        <w:t>Ley Orgánica 1/1980, de 10 de enero. Consejo General del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1" w:history="1">
        <w:r w:rsidRPr="00427CF1">
          <w:rPr>
            <w:rStyle w:val="TextoNormalCaracter"/>
          </w:rPr>
          <w:t>191/2016</w:t>
        </w:r>
      </w:hyperlink>
      <w:r>
        <w:t>, f. 3.</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91" w:history="1">
        <w:r w:rsidRPr="00427CF1">
          <w:rPr>
            <w:rStyle w:val="TextoNormalCaracter"/>
          </w:rPr>
          <w:t>191/2016</w:t>
        </w:r>
      </w:hyperlink>
      <w:r>
        <w:t>, f. 4.</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Sentencia </w:t>
      </w:r>
      <w:hyperlink w:anchor="SENTENCIA_2016_191" w:history="1">
        <w:r w:rsidRPr="00427CF1">
          <w:rPr>
            <w:rStyle w:val="TextoNormalCaracter"/>
          </w:rPr>
          <w:t>191/2016</w:t>
        </w:r>
      </w:hyperlink>
      <w:r>
        <w:t>, f. 7.</w:t>
      </w:r>
    </w:p>
    <w:p w:rsidR="00427CF1" w:rsidRDefault="00427CF1" w:rsidP="00427CF1">
      <w:pPr>
        <w:pStyle w:val="SangriaFrancesaArticulo"/>
      </w:pPr>
      <w:r w:rsidRPr="00427CF1">
        <w:rPr>
          <w:rStyle w:val="TextoNormalNegritaCaracter"/>
        </w:rPr>
        <w:t xml:space="preserve">Artículo 11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8.</w:t>
      </w:r>
    </w:p>
    <w:p w:rsidR="00427CF1" w:rsidRDefault="00427CF1" w:rsidP="00427CF1">
      <w:pPr>
        <w:pStyle w:val="SangriaFrancesaArticulo"/>
      </w:pPr>
    </w:p>
    <w:p w:rsidR="00427CF1" w:rsidRDefault="00427CF1" w:rsidP="00427CF1">
      <w:pPr>
        <w:pStyle w:val="TextoNormalNegritaCursivandice"/>
      </w:pPr>
      <w:r>
        <w:t>Ley Orgánica 3/1980, de 22 de abril. Consejo de Estado</w:t>
      </w:r>
    </w:p>
    <w:p w:rsidR="00427CF1" w:rsidRDefault="00427CF1" w:rsidP="00427CF1">
      <w:pPr>
        <w:pStyle w:val="SangriaFrancesaArticulo"/>
      </w:pPr>
      <w:r w:rsidRPr="00427CF1">
        <w:rPr>
          <w:rStyle w:val="TextoNormalNegritaCaracter"/>
        </w:rPr>
        <w:t>Artículo 22.14.</w:t>
      </w:r>
      <w:r w:rsidRPr="00427CF1">
        <w:rPr>
          <w:rStyle w:val="TextoNormalCaracter"/>
        </w:rPr>
        <w:t>-</w:t>
      </w:r>
      <w:r>
        <w:t xml:space="preserve"> Sentencia </w:t>
      </w:r>
      <w:hyperlink w:anchor="SENTENCIA_2016_126" w:history="1">
        <w:r w:rsidRPr="00427CF1">
          <w:rPr>
            <w:rStyle w:val="TextoNormalCaracter"/>
          </w:rPr>
          <w:t>126/2016</w:t>
        </w:r>
      </w:hyperlink>
      <w:r>
        <w:t>, f. 5.</w:t>
      </w:r>
    </w:p>
    <w:p w:rsidR="00427CF1" w:rsidRDefault="00427CF1" w:rsidP="00427CF1">
      <w:pPr>
        <w:pStyle w:val="SangriaFrancesaArticulo"/>
      </w:pPr>
    </w:p>
    <w:p w:rsidR="00427CF1" w:rsidRDefault="00427CF1" w:rsidP="00427CF1">
      <w:pPr>
        <w:pStyle w:val="TextoNormalNegritaCursivandice"/>
      </w:pPr>
      <w:r>
        <w:t>Ley Orgánica 8/1980, de 22 de septiembre. Financiación de las Comunidades Autónomas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83" w:history="1">
        <w:r w:rsidRPr="00427CF1">
          <w:rPr>
            <w:rStyle w:val="TextoNormalCaracter"/>
          </w:rPr>
          <w:t>183/2016</w:t>
        </w:r>
      </w:hyperlink>
      <w:r>
        <w:t xml:space="preserve">, ff. 3, 4, 6; </w:t>
      </w:r>
      <w:hyperlink w:anchor="AUTO_2016_185" w:history="1">
        <w:r w:rsidRPr="00427CF1">
          <w:rPr>
            <w:rStyle w:val="TextoNormalCaracter"/>
          </w:rPr>
          <w:t>185/2016</w:t>
        </w:r>
      </w:hyperlink>
      <w:r>
        <w:t>, ff. 3, 4, 6.</w:t>
      </w:r>
    </w:p>
    <w:p w:rsidR="00427CF1" w:rsidRDefault="00427CF1" w:rsidP="00427CF1">
      <w:pPr>
        <w:pStyle w:val="SangriaFrancesaArticulo"/>
      </w:pPr>
      <w:r w:rsidRPr="00427CF1">
        <w:rPr>
          <w:rStyle w:val="TextoNormalNegritaCaracter"/>
        </w:rPr>
        <w:t>Artículo 6</w:t>
      </w:r>
      <w:r>
        <w:t xml:space="preserve"> (redactado por la Ley Orgánica 3/2009, de 18 de diciembre)</w:t>
      </w:r>
      <w:r w:rsidRPr="00427CF1">
        <w:rPr>
          <w:rStyle w:val="TextoNormalNegritaCaracter"/>
        </w:rPr>
        <w:t>.</w:t>
      </w:r>
      <w:r w:rsidRPr="00427CF1">
        <w:rPr>
          <w:rStyle w:val="TextoNormalCaracter"/>
        </w:rPr>
        <w:t>-</w:t>
      </w:r>
      <w:r>
        <w:t xml:space="preserve"> Autos </w:t>
      </w:r>
      <w:hyperlink w:anchor="AUTO_2016_183" w:history="1">
        <w:r w:rsidRPr="00427CF1">
          <w:rPr>
            <w:rStyle w:val="TextoNormalCaracter"/>
          </w:rPr>
          <w:t>183/2016</w:t>
        </w:r>
      </w:hyperlink>
      <w:r>
        <w:t xml:space="preserve">, f. 4; </w:t>
      </w:r>
      <w:hyperlink w:anchor="AUTO_2016_185" w:history="1">
        <w:r w:rsidRPr="00427CF1">
          <w:rPr>
            <w:rStyle w:val="TextoNormalCaracter"/>
          </w:rPr>
          <w:t>185/2016</w:t>
        </w:r>
      </w:hyperlink>
      <w:r>
        <w:t>, f. 4.</w:t>
      </w:r>
    </w:p>
    <w:p w:rsidR="00427CF1" w:rsidRDefault="00427CF1" w:rsidP="00427CF1">
      <w:pPr>
        <w:pStyle w:val="SangriaFrancesaArticulo"/>
      </w:pPr>
      <w:r w:rsidRPr="00427CF1">
        <w:rPr>
          <w:rStyle w:val="TextoNormalNegritaCaracter"/>
        </w:rPr>
        <w:t>Artículo 6.2.</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6.2</w:t>
      </w:r>
      <w:r>
        <w:t xml:space="preserve"> (redactado por la Ley Orgánica 3/2009, de 18 de diciembre)</w:t>
      </w:r>
      <w:r w:rsidRPr="00427CF1">
        <w:rPr>
          <w:rStyle w:val="TextoNormalNegritaCaracter"/>
        </w:rPr>
        <w:t>.</w:t>
      </w:r>
      <w:r w:rsidRPr="00427CF1">
        <w:rPr>
          <w:rStyle w:val="TextoNormalCaracter"/>
        </w:rPr>
        <w:t>-</w:t>
      </w:r>
      <w:r>
        <w:t xml:space="preserve"> Autos </w:t>
      </w:r>
      <w:hyperlink w:anchor="AUTO_2016_183" w:history="1">
        <w:r w:rsidRPr="00427CF1">
          <w:rPr>
            <w:rStyle w:val="TextoNormalCaracter"/>
          </w:rPr>
          <w:t>183/2016</w:t>
        </w:r>
      </w:hyperlink>
      <w:r>
        <w:t xml:space="preserve">, f. 4; </w:t>
      </w:r>
      <w:hyperlink w:anchor="AUTO_2016_185" w:history="1">
        <w:r w:rsidRPr="00427CF1">
          <w:rPr>
            <w:rStyle w:val="TextoNormalCaracter"/>
          </w:rPr>
          <w:t>185/2016</w:t>
        </w:r>
      </w:hyperlink>
      <w:r>
        <w:t>, f. 4.</w:t>
      </w:r>
    </w:p>
    <w:p w:rsidR="00427CF1" w:rsidRDefault="00427CF1" w:rsidP="00427CF1">
      <w:pPr>
        <w:pStyle w:val="SangriaFrancesaArticulo"/>
      </w:pPr>
      <w:r w:rsidRPr="00427CF1">
        <w:rPr>
          <w:rStyle w:val="TextoNormalNegritaCaracter"/>
        </w:rPr>
        <w:t>Artículo 6.3</w:t>
      </w:r>
      <w:r>
        <w:t xml:space="preserve"> (redactado por la Ley Orgánica 3/2009, de 18 de diciembre)</w:t>
      </w:r>
      <w:r w:rsidRPr="00427CF1">
        <w:rPr>
          <w:rStyle w:val="TextoNormalNegritaCaracter"/>
        </w:rPr>
        <w:t>.</w:t>
      </w:r>
      <w:r w:rsidRPr="00427CF1">
        <w:rPr>
          <w:rStyle w:val="TextoNormalCaracter"/>
        </w:rPr>
        <w:t>-</w:t>
      </w:r>
      <w:r>
        <w:t xml:space="preserve"> Autos </w:t>
      </w:r>
      <w:hyperlink w:anchor="AUTO_2016_183" w:history="1">
        <w:r w:rsidRPr="00427CF1">
          <w:rPr>
            <w:rStyle w:val="TextoNormalCaracter"/>
          </w:rPr>
          <w:t>183/2016</w:t>
        </w:r>
      </w:hyperlink>
      <w:r>
        <w:t xml:space="preserve">, ff. 3 a 5, 7; </w:t>
      </w:r>
      <w:hyperlink w:anchor="AUTO_2016_185" w:history="1">
        <w:r w:rsidRPr="00427CF1">
          <w:rPr>
            <w:rStyle w:val="TextoNormalCaracter"/>
          </w:rPr>
          <w:t>185/2016</w:t>
        </w:r>
      </w:hyperlink>
      <w:r>
        <w:t>, ff. 3 a 5, 7.</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10.3.</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Disposición adicional octava, apartado 3</w:t>
      </w:r>
      <w:r>
        <w:t xml:space="preserve"> (redactado por la Ley Orgánica 9/2013, de 20 de diciembre)</w:t>
      </w:r>
      <w:r w:rsidRPr="00427CF1">
        <w:rPr>
          <w:rStyle w:val="TextoNormalNegritaCaracter"/>
        </w:rPr>
        <w:t>.</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Disposición adicional octava, apartado 5</w:t>
      </w:r>
      <w:r>
        <w:t xml:space="preserve"> (redactada por la Ley Orgánica 6/2015, de 12 de junio)</w:t>
      </w:r>
      <w:r w:rsidRPr="00427CF1">
        <w:rPr>
          <w:rStyle w:val="TextoNormalNegritaCaracter"/>
        </w:rPr>
        <w:t>.</w:t>
      </w:r>
      <w:r w:rsidRPr="00427CF1">
        <w:rPr>
          <w:rStyle w:val="TextoNormalCaracter"/>
        </w:rPr>
        <w:t>-</w:t>
      </w:r>
      <w:r>
        <w:t xml:space="preserve"> Sentencia </w:t>
      </w:r>
      <w:hyperlink w:anchor="SENTENCIA_2016_156" w:history="1">
        <w:r w:rsidRPr="00427CF1">
          <w:rPr>
            <w:rStyle w:val="TextoNormalCaracter"/>
          </w:rPr>
          <w:t>156/2016</w:t>
        </w:r>
      </w:hyperlink>
      <w:r>
        <w:t>, ff. 1 a 4, VP.</w:t>
      </w:r>
    </w:p>
    <w:p w:rsidR="00427CF1" w:rsidRDefault="00427CF1" w:rsidP="00427CF1">
      <w:pPr>
        <w:pStyle w:val="SangriaFrancesaArticulo"/>
      </w:pPr>
    </w:p>
    <w:p w:rsidR="00427CF1" w:rsidRDefault="00427CF1" w:rsidP="00427CF1">
      <w:pPr>
        <w:pStyle w:val="TextoNormalNegritaCursivandice"/>
      </w:pPr>
      <w:r>
        <w:t>Ley Orgánica 12/1982, de 10 de agosto. Transferencia a la Comunidad Valenciana de competencias en materia de titularidad estatal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ff. 1, 2.</w:t>
      </w:r>
    </w:p>
    <w:p w:rsidR="00427CF1" w:rsidRDefault="00427CF1" w:rsidP="00427CF1">
      <w:pPr>
        <w:pStyle w:val="SangriaFrancesaArticulo"/>
      </w:pPr>
    </w:p>
    <w:p w:rsidR="00427CF1" w:rsidRDefault="00427CF1" w:rsidP="00427CF1">
      <w:pPr>
        <w:pStyle w:val="TextoNormalNegritaCursivandice"/>
      </w:pPr>
      <w:r>
        <w:t>Ley Orgánica 2/1984, de 26 de marzo. Regulación del ejercicio del derecho de rectificación</w:t>
      </w:r>
    </w:p>
    <w:p w:rsidR="00427CF1" w:rsidRDefault="00427CF1" w:rsidP="00427CF1">
      <w:pPr>
        <w:pStyle w:val="SangriaFrancesaArticulo"/>
      </w:pPr>
      <w:r w:rsidRPr="00427CF1">
        <w:rPr>
          <w:rStyle w:val="TextoNormalNegritaCaracter"/>
        </w:rPr>
        <w:t>Artículo 6 b).</w:t>
      </w:r>
      <w:r w:rsidRPr="00427CF1">
        <w:rPr>
          <w:rStyle w:val="TextoNormalCaracter"/>
        </w:rPr>
        <w:t>-</w:t>
      </w:r>
      <w:r>
        <w:t xml:space="preserve"> Auto </w:t>
      </w:r>
      <w:hyperlink w:anchor="AUTO_2016_146" w:history="1">
        <w:r w:rsidRPr="00427CF1">
          <w:rPr>
            <w:rStyle w:val="TextoNormalCaracter"/>
          </w:rPr>
          <w:t>146/2016</w:t>
        </w:r>
      </w:hyperlink>
      <w:r>
        <w:t>, f. 3.</w:t>
      </w:r>
    </w:p>
    <w:p w:rsidR="00427CF1" w:rsidRDefault="00427CF1" w:rsidP="00427CF1">
      <w:pPr>
        <w:pStyle w:val="SangriaFrancesaArticulo"/>
      </w:pPr>
    </w:p>
    <w:p w:rsidR="00427CF1" w:rsidRDefault="00427CF1" w:rsidP="00427CF1">
      <w:pPr>
        <w:pStyle w:val="TextoNormalNegritaCursivandice"/>
      </w:pPr>
      <w:r>
        <w:t>Ley Orgánica 3/1984, de 26 de marzo. Regulación de la iniciativa legislativa popular</w:t>
      </w:r>
    </w:p>
    <w:p w:rsidR="00427CF1" w:rsidRDefault="00427CF1" w:rsidP="00427CF1">
      <w:pPr>
        <w:pStyle w:val="SangriaFrancesaArticulo"/>
      </w:pPr>
      <w:r w:rsidRPr="00427CF1">
        <w:rPr>
          <w:rStyle w:val="TextoNormalNegritaCaracter"/>
        </w:rPr>
        <w:t>Artículo 13.2</w:t>
      </w:r>
      <w:r>
        <w:t xml:space="preserve"> (redactado por la Ley Orgánica 3/2015, de 30 de marzo)</w:t>
      </w:r>
      <w:r w:rsidRPr="00427CF1">
        <w:rPr>
          <w:rStyle w:val="TextoNormalNegritaCaracter"/>
        </w:rPr>
        <w:t>.</w:t>
      </w:r>
      <w:r w:rsidRPr="00427CF1">
        <w:rPr>
          <w:rStyle w:val="TextoNormalCaracter"/>
        </w:rPr>
        <w:t>-</w:t>
      </w:r>
      <w:r>
        <w:t xml:space="preserve"> Sentencia </w:t>
      </w:r>
      <w:hyperlink w:anchor="SENTENCIA_2016_213" w:history="1">
        <w:r w:rsidRPr="00427CF1">
          <w:rPr>
            <w:rStyle w:val="TextoNormalCaracter"/>
          </w:rPr>
          <w:t>213/2016</w:t>
        </w:r>
      </w:hyperlink>
      <w:r>
        <w:t>, f. 3.</w:t>
      </w:r>
    </w:p>
    <w:p w:rsidR="00427CF1" w:rsidRDefault="00427CF1" w:rsidP="00427CF1">
      <w:pPr>
        <w:pStyle w:val="SangriaFrancesaArticulo"/>
      </w:pPr>
    </w:p>
    <w:p w:rsidR="00427CF1" w:rsidRDefault="00427CF1" w:rsidP="00427CF1">
      <w:pPr>
        <w:pStyle w:val="TextoNormalNegritaCursivandice"/>
      </w:pPr>
      <w:r>
        <w:t>Ley Orgánica 6/1984, de 24 de mayo. Regula del procedimiento de Habeas Corpus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1 c).</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1 d).</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54" w:history="1">
        <w:r w:rsidRPr="00427CF1">
          <w:rPr>
            <w:rStyle w:val="TextoNormalCaracter"/>
          </w:rPr>
          <w:t>154/2016</w:t>
        </w:r>
      </w:hyperlink>
      <w:r>
        <w:t>, f. 3, VP.</w:t>
      </w:r>
    </w:p>
    <w:p w:rsidR="00427CF1" w:rsidRDefault="00427CF1" w:rsidP="00427CF1">
      <w:pPr>
        <w:pStyle w:val="SangriaFrancesaArticulo"/>
      </w:pPr>
      <w:r w:rsidRPr="00427CF1">
        <w:rPr>
          <w:rStyle w:val="TextoNormalNegritaCaracter"/>
        </w:rPr>
        <w:t>Artículo 3 a).</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p>
    <w:p w:rsidR="00427CF1" w:rsidRDefault="00427CF1" w:rsidP="00427CF1">
      <w:pPr>
        <w:pStyle w:val="TextoNormalNegritaCursivandice"/>
      </w:pPr>
      <w:r>
        <w:t>Ley Orgánica 5/1985, de 19 de junio. Régimen electoral general</w:t>
      </w:r>
    </w:p>
    <w:p w:rsidR="00427CF1" w:rsidRDefault="00427CF1" w:rsidP="00427CF1">
      <w:pPr>
        <w:pStyle w:val="SangriaFrancesaArticulo"/>
      </w:pPr>
      <w:r w:rsidRPr="00427CF1">
        <w:rPr>
          <w:rStyle w:val="TextoNormalNegritaCaracter"/>
        </w:rPr>
        <w:t>Artículo 6.2 b).</w:t>
      </w:r>
      <w:r w:rsidRPr="00427CF1">
        <w:rPr>
          <w:rStyle w:val="TextoNormalCaracter"/>
        </w:rPr>
        <w:t>-</w:t>
      </w:r>
      <w:r>
        <w:t xml:space="preserve"> Auto </w:t>
      </w:r>
      <w:hyperlink w:anchor="AUTO_2016_150" w:history="1">
        <w:r w:rsidRPr="00427CF1">
          <w:rPr>
            <w:rStyle w:val="TextoNormalCaracter"/>
          </w:rPr>
          <w:t>150/2016</w:t>
        </w:r>
      </w:hyperlink>
      <w:r>
        <w:t>, f. 1.</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Auto </w:t>
      </w:r>
      <w:hyperlink w:anchor="AUTO_2016_150" w:history="1">
        <w:r w:rsidRPr="00427CF1">
          <w:rPr>
            <w:rStyle w:val="TextoNormalCaracter"/>
          </w:rPr>
          <w:t>150/2016</w:t>
        </w:r>
      </w:hyperlink>
      <w:r>
        <w:t>, f. 2.</w:t>
      </w:r>
    </w:p>
    <w:p w:rsidR="00427CF1" w:rsidRDefault="00427CF1" w:rsidP="00427CF1">
      <w:pPr>
        <w:pStyle w:val="SangriaFrancesaArticulo"/>
      </w:pPr>
      <w:r w:rsidRPr="00427CF1">
        <w:rPr>
          <w:rStyle w:val="TextoNormalNegritaCaracter"/>
        </w:rPr>
        <w:t>Artículo 49.1.</w:t>
      </w:r>
      <w:r w:rsidRPr="00427CF1">
        <w:rPr>
          <w:rStyle w:val="TextoNormalCaracter"/>
        </w:rPr>
        <w:t>-</w:t>
      </w:r>
      <w:r>
        <w:t xml:space="preserve"> Autos </w:t>
      </w:r>
      <w:hyperlink w:anchor="AUTO_2016_146" w:history="1">
        <w:r w:rsidRPr="00427CF1">
          <w:rPr>
            <w:rStyle w:val="TextoNormalCaracter"/>
          </w:rPr>
          <w:t>146/2016</w:t>
        </w:r>
      </w:hyperlink>
      <w:r>
        <w:t xml:space="preserve">, f. 3; </w:t>
      </w:r>
      <w:hyperlink w:anchor="AUTO_2016_150" w:history="1">
        <w:r w:rsidRPr="00427CF1">
          <w:rPr>
            <w:rStyle w:val="TextoNormalCaracter"/>
          </w:rPr>
          <w:t>150/2016</w:t>
        </w:r>
      </w:hyperlink>
      <w:r>
        <w:t>, ff. 1, 3.</w:t>
      </w:r>
    </w:p>
    <w:p w:rsidR="00427CF1" w:rsidRDefault="00427CF1" w:rsidP="00427CF1">
      <w:pPr>
        <w:pStyle w:val="SangriaFrancesaArticulo"/>
      </w:pPr>
      <w:r w:rsidRPr="00427CF1">
        <w:rPr>
          <w:rStyle w:val="TextoNormalNegritaCaracter"/>
        </w:rPr>
        <w:t>Artículos 202 a 209.</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p>
    <w:p w:rsidR="00427CF1" w:rsidRDefault="00427CF1" w:rsidP="00427CF1">
      <w:pPr>
        <w:pStyle w:val="TextoNormalNegritaCursivandice"/>
      </w:pPr>
      <w:r>
        <w:t>Ley Orgánica 6/1985, de 1 de julio.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72" w:history="1">
        <w:r w:rsidRPr="00427CF1">
          <w:rPr>
            <w:rStyle w:val="TextoNormalCaracter"/>
          </w:rPr>
          <w:t>172/2016</w:t>
        </w:r>
      </w:hyperlink>
      <w:r>
        <w:t xml:space="preserve">, ff. 2, 5, VP; </w:t>
      </w:r>
      <w:hyperlink w:anchor="SENTENCIA_2016_185" w:history="1">
        <w:r w:rsidRPr="00427CF1">
          <w:rPr>
            <w:rStyle w:val="TextoNormalCaracter"/>
          </w:rPr>
          <w:t>185/2016</w:t>
        </w:r>
      </w:hyperlink>
      <w:r>
        <w:t>, VP I.</w:t>
      </w:r>
    </w:p>
    <w:p w:rsidR="00427CF1" w:rsidRDefault="00427CF1" w:rsidP="00427CF1">
      <w:pPr>
        <w:pStyle w:val="SangriaIzquierdaArticulo"/>
      </w:pPr>
      <w:r>
        <w:t xml:space="preserve">Autos </w:t>
      </w:r>
      <w:hyperlink w:anchor="AUTO_2016_180" w:history="1">
        <w:r w:rsidRPr="00427CF1">
          <w:rPr>
            <w:rStyle w:val="TextoNormalCaracter"/>
          </w:rPr>
          <w:t>180/2016</w:t>
        </w:r>
      </w:hyperlink>
      <w:r>
        <w:t xml:space="preserve">, f. 3; </w:t>
      </w:r>
      <w:hyperlink w:anchor="AUTO_2016_188" w:history="1">
        <w:r w:rsidRPr="00427CF1">
          <w:rPr>
            <w:rStyle w:val="TextoNormalCaracter"/>
          </w:rPr>
          <w:t>188/2016</w:t>
        </w:r>
      </w:hyperlink>
      <w:r>
        <w:t xml:space="preserve">, f. único; </w:t>
      </w:r>
      <w:hyperlink w:anchor="AUTO_2016_190" w:history="1">
        <w:r w:rsidRPr="00427CF1">
          <w:rPr>
            <w:rStyle w:val="TextoNormalCaracter"/>
          </w:rPr>
          <w:t>190/2016</w:t>
        </w:r>
      </w:hyperlink>
      <w:r>
        <w:t xml:space="preserve">, f. único; </w:t>
      </w:r>
      <w:hyperlink w:anchor="AUTO_2016_201" w:history="1">
        <w:r w:rsidRPr="00427CF1">
          <w:rPr>
            <w:rStyle w:val="TextoNormalCaracter"/>
          </w:rPr>
          <w:t>201/2016</w:t>
        </w:r>
      </w:hyperlink>
      <w:r>
        <w:t>, f. único.</w:t>
      </w:r>
    </w:p>
    <w:p w:rsidR="00427CF1" w:rsidRDefault="00427CF1" w:rsidP="00427CF1">
      <w:pPr>
        <w:pStyle w:val="SangriaFrancesaArticulo"/>
      </w:pPr>
      <w:r w:rsidRPr="00427CF1">
        <w:rPr>
          <w:rStyle w:val="TextoNormalNegritaCaracter"/>
        </w:rPr>
        <w:t>Libro VIII</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1.</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38" w:history="1">
        <w:r w:rsidRPr="00427CF1">
          <w:rPr>
            <w:rStyle w:val="TextoNormalCaracter"/>
          </w:rPr>
          <w:t>138/2016</w:t>
        </w:r>
      </w:hyperlink>
      <w:r>
        <w:t>, ff. 2,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9.4</w:t>
      </w:r>
      <w:r>
        <w:t xml:space="preserve"> (redactado por la Ley Orgánica 1/2010, de 19 de febrero)</w:t>
      </w:r>
      <w:r w:rsidRPr="00427CF1">
        <w:rPr>
          <w:rStyle w:val="TextoNormalNegritaCaracter"/>
        </w:rPr>
        <w:t>.</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11.3.</w:t>
      </w:r>
      <w:r w:rsidRPr="00427CF1">
        <w:rPr>
          <w:rStyle w:val="TextoNormalCaracter"/>
        </w:rPr>
        <w:t>-</w:t>
      </w:r>
      <w:r>
        <w:t xml:space="preserve"> Sentencia </w:t>
      </w:r>
      <w:hyperlink w:anchor="SENTENCIA_2016_163" w:history="1">
        <w:r w:rsidRPr="00427CF1">
          <w:rPr>
            <w:rStyle w:val="TextoNormalCaracter"/>
          </w:rPr>
          <w:t>163/2016</w:t>
        </w:r>
      </w:hyperlink>
      <w:r>
        <w:t>, f. 4.</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Auto </w:t>
      </w:r>
      <w:hyperlink w:anchor="AUTO_2016_150" w:history="1">
        <w:r w:rsidRPr="00427CF1">
          <w:rPr>
            <w:rStyle w:val="TextoNormalCaracter"/>
          </w:rPr>
          <w:t>150/2016</w:t>
        </w:r>
      </w:hyperlink>
      <w:r>
        <w:t>, f. 3.</w:t>
      </w:r>
    </w:p>
    <w:p w:rsidR="00427CF1" w:rsidRDefault="00427CF1" w:rsidP="00427CF1">
      <w:pPr>
        <w:pStyle w:val="SangriaFrancesaArticulo"/>
      </w:pPr>
      <w:r w:rsidRPr="00427CF1">
        <w:rPr>
          <w:rStyle w:val="TextoNormalNegritaCaracter"/>
        </w:rPr>
        <w:t>Artículo 87 ter, apartado 3.</w:t>
      </w:r>
      <w:r w:rsidRPr="00427CF1">
        <w:rPr>
          <w:rStyle w:val="TextoNormalCaracter"/>
        </w:rPr>
        <w:t>-</w:t>
      </w:r>
      <w:r>
        <w:t xml:space="preserve"> Sentencia </w:t>
      </w:r>
      <w:hyperlink w:anchor="SENTENCIA_2016_172" w:history="1">
        <w:r w:rsidRPr="00427CF1">
          <w:rPr>
            <w:rStyle w:val="TextoNormalCaracter"/>
          </w:rPr>
          <w:t>172/2016</w:t>
        </w:r>
      </w:hyperlink>
      <w:r>
        <w:t>, f. 5, VP.</w:t>
      </w:r>
    </w:p>
    <w:p w:rsidR="00427CF1" w:rsidRDefault="00427CF1" w:rsidP="00427CF1">
      <w:pPr>
        <w:pStyle w:val="SangriaFrancesaArticulo"/>
      </w:pPr>
      <w:r w:rsidRPr="00427CF1">
        <w:rPr>
          <w:rStyle w:val="TextoNormalNegritaCaracter"/>
        </w:rPr>
        <w:t>Artículo 87.3.</w:t>
      </w:r>
      <w:r w:rsidRPr="00427CF1">
        <w:rPr>
          <w:rStyle w:val="TextoNormalCaracter"/>
        </w:rPr>
        <w:t>-</w:t>
      </w:r>
      <w:r>
        <w:t xml:space="preserve"> Sentencia </w:t>
      </w:r>
      <w:hyperlink w:anchor="SENTENCIA_2016_172" w:history="1">
        <w:r w:rsidRPr="00427CF1">
          <w:rPr>
            <w:rStyle w:val="TextoNormalCaracter"/>
          </w:rPr>
          <w:t>172/2016</w:t>
        </w:r>
      </w:hyperlink>
      <w:r>
        <w:t>, f. 3.</w:t>
      </w:r>
    </w:p>
    <w:p w:rsidR="00427CF1" w:rsidRDefault="00427CF1" w:rsidP="00427CF1">
      <w:pPr>
        <w:pStyle w:val="SangriaFrancesaArticulo"/>
      </w:pPr>
      <w:r w:rsidRPr="00427CF1">
        <w:rPr>
          <w:rStyle w:val="TextoNormalNegritaCaracter"/>
        </w:rPr>
        <w:t>Artículo 109.2.</w:t>
      </w:r>
      <w:r w:rsidRPr="00427CF1">
        <w:rPr>
          <w:rStyle w:val="TextoNormalCaracter"/>
        </w:rPr>
        <w:t>-</w:t>
      </w:r>
      <w:r>
        <w:t xml:space="preserve"> Sentencia </w:t>
      </w:r>
      <w:hyperlink w:anchor="SENTENCIA_2016_191" w:history="1">
        <w:r w:rsidRPr="00427CF1">
          <w:rPr>
            <w:rStyle w:val="TextoNormalCaracter"/>
          </w:rPr>
          <w:t>191/2016</w:t>
        </w:r>
      </w:hyperlink>
      <w:r>
        <w:t>, ff. 4, 6.</w:t>
      </w:r>
    </w:p>
    <w:p w:rsidR="00427CF1" w:rsidRDefault="00427CF1" w:rsidP="00427CF1">
      <w:pPr>
        <w:pStyle w:val="SangriaFrancesaArticulo"/>
      </w:pPr>
      <w:r w:rsidRPr="00427CF1">
        <w:rPr>
          <w:rStyle w:val="TextoNormalNegritaCaracter"/>
        </w:rPr>
        <w:t>Artículo 112.1.</w:t>
      </w:r>
      <w:r w:rsidRPr="00427CF1">
        <w:rPr>
          <w:rStyle w:val="TextoNormalCaracter"/>
        </w:rPr>
        <w:t>-</w:t>
      </w:r>
      <w:r>
        <w:t xml:space="preserve"> Sentencia </w:t>
      </w:r>
      <w:hyperlink w:anchor="SENTENCIA_2016_191" w:history="1">
        <w:r w:rsidRPr="00427CF1">
          <w:rPr>
            <w:rStyle w:val="TextoNormalCaracter"/>
          </w:rPr>
          <w:t>191/2016</w:t>
        </w:r>
      </w:hyperlink>
      <w:r>
        <w:t>, f. 7.</w:t>
      </w:r>
    </w:p>
    <w:p w:rsidR="00427CF1" w:rsidRDefault="00427CF1" w:rsidP="00427CF1">
      <w:pPr>
        <w:pStyle w:val="SangriaFrancesaArticulo"/>
      </w:pPr>
      <w:r w:rsidRPr="00427CF1">
        <w:rPr>
          <w:rStyle w:val="TextoNormalNegritaCaracter"/>
        </w:rPr>
        <w:t>Artículo 112.2.</w:t>
      </w:r>
      <w:r w:rsidRPr="00427CF1">
        <w:rPr>
          <w:rStyle w:val="TextoNormalCaracter"/>
        </w:rPr>
        <w:t>-</w:t>
      </w:r>
      <w:r>
        <w:t xml:space="preserve"> Sentencia </w:t>
      </w:r>
      <w:hyperlink w:anchor="SENTENCIA_2016_191" w:history="1">
        <w:r w:rsidRPr="00427CF1">
          <w:rPr>
            <w:rStyle w:val="TextoNormalCaracter"/>
          </w:rPr>
          <w:t>191/2016</w:t>
        </w:r>
      </w:hyperlink>
      <w:r>
        <w:t>, f. 7.</w:t>
      </w:r>
    </w:p>
    <w:p w:rsidR="00427CF1" w:rsidRDefault="00427CF1" w:rsidP="00427CF1">
      <w:pPr>
        <w:pStyle w:val="SangriaFrancesaArticulo"/>
      </w:pPr>
      <w:r w:rsidRPr="00427CF1">
        <w:rPr>
          <w:rStyle w:val="TextoNormalNegritaCaracter"/>
        </w:rPr>
        <w:t>Artículo 112.3.</w:t>
      </w:r>
      <w:r w:rsidRPr="00427CF1">
        <w:rPr>
          <w:rStyle w:val="TextoNormalCaracter"/>
        </w:rPr>
        <w:t>-</w:t>
      </w:r>
      <w:r>
        <w:t xml:space="preserve"> Sentencia </w:t>
      </w:r>
      <w:hyperlink w:anchor="SENTENCIA_2016_191" w:history="1">
        <w:r w:rsidRPr="00427CF1">
          <w:rPr>
            <w:rStyle w:val="TextoNormalCaracter"/>
          </w:rPr>
          <w:t>191/2016</w:t>
        </w:r>
      </w:hyperlink>
      <w:r>
        <w:t>, f. 7.</w:t>
      </w:r>
    </w:p>
    <w:p w:rsidR="00427CF1" w:rsidRDefault="00427CF1" w:rsidP="00427CF1">
      <w:pPr>
        <w:pStyle w:val="SangriaFrancesaArticulo"/>
      </w:pPr>
      <w:r w:rsidRPr="00427CF1">
        <w:rPr>
          <w:rStyle w:val="TextoNormalNegritaCaracter"/>
        </w:rPr>
        <w:t>Artículo 129.</w:t>
      </w:r>
      <w:r w:rsidRPr="00427CF1">
        <w:rPr>
          <w:rStyle w:val="TextoNormalCaracter"/>
        </w:rPr>
        <w:t>-</w:t>
      </w:r>
      <w:r>
        <w:t xml:space="preserve"> Sentencia </w:t>
      </w:r>
      <w:hyperlink w:anchor="SENTENCIA_2016_191" w:history="1">
        <w:r w:rsidRPr="00427CF1">
          <w:rPr>
            <w:rStyle w:val="TextoNormalCaracter"/>
          </w:rPr>
          <w:t>191/2016</w:t>
        </w:r>
      </w:hyperlink>
      <w:r>
        <w:t>, f. 11.</w:t>
      </w:r>
    </w:p>
    <w:p w:rsidR="00427CF1" w:rsidRDefault="00427CF1" w:rsidP="00427CF1">
      <w:pPr>
        <w:pStyle w:val="SangriaFrancesaArticulo"/>
      </w:pPr>
      <w:r w:rsidRPr="00427CF1">
        <w:rPr>
          <w:rStyle w:val="TextoNormalNegritaCaracter"/>
        </w:rPr>
        <w:t>Artículo 219.</w:t>
      </w:r>
      <w:r w:rsidRPr="00427CF1">
        <w:rPr>
          <w:rStyle w:val="TextoNormalCaracter"/>
        </w:rPr>
        <w:t>-</w:t>
      </w:r>
      <w:r>
        <w:t xml:space="preserve"> Auto </w:t>
      </w:r>
      <w:hyperlink w:anchor="AUTO_2016_178" w:history="1">
        <w:r w:rsidRPr="00427CF1">
          <w:rPr>
            <w:rStyle w:val="TextoNormalCaracter"/>
          </w:rPr>
          <w:t>178/2016</w:t>
        </w:r>
      </w:hyperlink>
      <w:r>
        <w:t>, f. único.</w:t>
      </w:r>
    </w:p>
    <w:p w:rsidR="00427CF1" w:rsidRDefault="00427CF1" w:rsidP="00427CF1">
      <w:pPr>
        <w:pStyle w:val="SangriaFrancesaArticulo"/>
      </w:pPr>
      <w:r w:rsidRPr="00427CF1">
        <w:rPr>
          <w:rStyle w:val="TextoNormalNegritaCaracter"/>
        </w:rPr>
        <w:t>Artículo 219.11</w:t>
      </w:r>
      <w:r>
        <w:t xml:space="preserve"> (redactado por la Ley Orgánica 19/2003, de 23 de diciembre)</w:t>
      </w:r>
      <w:r w:rsidRPr="00427CF1">
        <w:rPr>
          <w:rStyle w:val="TextoNormalNegritaCaracter"/>
        </w:rPr>
        <w:t>.</w:t>
      </w:r>
      <w:r w:rsidRPr="00427CF1">
        <w:rPr>
          <w:rStyle w:val="TextoNormalCaracter"/>
        </w:rPr>
        <w:t>-</w:t>
      </w:r>
      <w:r>
        <w:t xml:space="preserve"> Auto </w:t>
      </w:r>
      <w:hyperlink w:anchor="AUTO_2016_166" w:history="1">
        <w:r w:rsidRPr="00427CF1">
          <w:rPr>
            <w:rStyle w:val="TextoNormalCaracter"/>
          </w:rPr>
          <w:t>166/2016</w:t>
        </w:r>
      </w:hyperlink>
      <w:r>
        <w:t>, f. único.</w:t>
      </w:r>
    </w:p>
    <w:p w:rsidR="00427CF1" w:rsidRDefault="00427CF1" w:rsidP="00427CF1">
      <w:pPr>
        <w:pStyle w:val="SangriaFrancesaArticulo"/>
      </w:pPr>
      <w:r w:rsidRPr="00427CF1">
        <w:rPr>
          <w:rStyle w:val="TextoNormalNegritaCaracter"/>
        </w:rPr>
        <w:t>Artículo 219.16</w:t>
      </w:r>
      <w:r>
        <w:t xml:space="preserve"> (redactado por la Ley Orgánica 19/2003, de 23 de diciembre)</w:t>
      </w:r>
      <w:r w:rsidRPr="00427CF1">
        <w:rPr>
          <w:rStyle w:val="TextoNormalNegritaCaracter"/>
        </w:rPr>
        <w:t>.</w:t>
      </w:r>
      <w:r w:rsidRPr="00427CF1">
        <w:rPr>
          <w:rStyle w:val="TextoNormalCaracter"/>
        </w:rPr>
        <w:t>-</w:t>
      </w:r>
      <w:r>
        <w:t xml:space="preserve"> Auto </w:t>
      </w:r>
      <w:hyperlink w:anchor="AUTO_2016_191" w:history="1">
        <w:r w:rsidRPr="00427CF1">
          <w:rPr>
            <w:rStyle w:val="TextoNormalCaracter"/>
          </w:rPr>
          <w:t>191/2016</w:t>
        </w:r>
      </w:hyperlink>
      <w:r>
        <w:t>, f. único.</w:t>
      </w:r>
    </w:p>
    <w:p w:rsidR="00427CF1" w:rsidRDefault="00427CF1" w:rsidP="00427CF1">
      <w:pPr>
        <w:pStyle w:val="SangriaFrancesaArticulo"/>
      </w:pPr>
      <w:r w:rsidRPr="00427CF1">
        <w:rPr>
          <w:rStyle w:val="TextoNormalNegritaCaracter"/>
        </w:rPr>
        <w:t>Artículo 221.4.</w:t>
      </w:r>
      <w:r w:rsidRPr="00427CF1">
        <w:rPr>
          <w:rStyle w:val="TextoNormalCaracter"/>
        </w:rPr>
        <w:t>-</w:t>
      </w:r>
      <w:r>
        <w:t xml:space="preserve"> Autos </w:t>
      </w:r>
      <w:hyperlink w:anchor="AUTO_2016_166" w:history="1">
        <w:r w:rsidRPr="00427CF1">
          <w:rPr>
            <w:rStyle w:val="TextoNormalCaracter"/>
          </w:rPr>
          <w:t>166/2016</w:t>
        </w:r>
      </w:hyperlink>
      <w:r>
        <w:t xml:space="preserve">, f. único; </w:t>
      </w:r>
      <w:hyperlink w:anchor="AUTO_2016_178" w:history="1">
        <w:r w:rsidRPr="00427CF1">
          <w:rPr>
            <w:rStyle w:val="TextoNormalCaracter"/>
          </w:rPr>
          <w:t>178/2016</w:t>
        </w:r>
      </w:hyperlink>
      <w:r>
        <w:t>, f. único.</w:t>
      </w:r>
    </w:p>
    <w:p w:rsidR="00427CF1" w:rsidRDefault="00427CF1" w:rsidP="00427CF1">
      <w:pPr>
        <w:pStyle w:val="SangriaFrancesaArticulo"/>
      </w:pPr>
      <w:r w:rsidRPr="00427CF1">
        <w:rPr>
          <w:rStyle w:val="TextoNormalNegritaCaracter"/>
        </w:rPr>
        <w:t xml:space="preserve">Artículo 240.2 </w:t>
      </w:r>
      <w:r>
        <w:t xml:space="preserve"> (redactado por la Ley Orgánica 19/2003, de 23 de diciembre)</w:t>
      </w:r>
      <w:r w:rsidRPr="00427CF1">
        <w:rPr>
          <w:rStyle w:val="TextoNormalNegritaCaracter"/>
        </w:rPr>
        <w:t>.</w:t>
      </w:r>
      <w:r w:rsidRPr="00427CF1">
        <w:rPr>
          <w:rStyle w:val="TextoNormalCaracter"/>
        </w:rPr>
        <w:t>-</w:t>
      </w:r>
      <w:r>
        <w:t xml:space="preserve"> Sentencia </w:t>
      </w:r>
      <w:hyperlink w:anchor="SENTENCIA_2016_129" w:history="1">
        <w:r w:rsidRPr="00427CF1">
          <w:rPr>
            <w:rStyle w:val="TextoNormalCaracter"/>
          </w:rPr>
          <w:t>129/2016</w:t>
        </w:r>
      </w:hyperlink>
      <w:r>
        <w:t>, f. 3.</w:t>
      </w:r>
    </w:p>
    <w:p w:rsidR="00427CF1" w:rsidRDefault="00427CF1" w:rsidP="00427CF1">
      <w:pPr>
        <w:pStyle w:val="SangriaFrancesaArticulo"/>
      </w:pPr>
      <w:r w:rsidRPr="00427CF1">
        <w:rPr>
          <w:rStyle w:val="TextoNormalNegritaCaracter"/>
        </w:rPr>
        <w:t>Artículo 241.</w:t>
      </w:r>
      <w:r w:rsidRPr="00427CF1">
        <w:rPr>
          <w:rStyle w:val="TextoNormalCaracter"/>
        </w:rPr>
        <w:t>-</w:t>
      </w:r>
      <w:r>
        <w:t xml:space="preserve"> Sentencia </w:t>
      </w:r>
      <w:hyperlink w:anchor="SENTENCIA_2016_148" w:history="1">
        <w:r w:rsidRPr="00427CF1">
          <w:rPr>
            <w:rStyle w:val="TextoNormalCaracter"/>
          </w:rPr>
          <w:t>148/2016</w:t>
        </w:r>
      </w:hyperlink>
      <w:r>
        <w:t>, f. 2.</w:t>
      </w:r>
    </w:p>
    <w:p w:rsidR="00427CF1" w:rsidRDefault="00427CF1" w:rsidP="00427CF1">
      <w:pPr>
        <w:pStyle w:val="SangriaFrancesaArticulo"/>
      </w:pPr>
      <w:r w:rsidRPr="00427CF1">
        <w:rPr>
          <w:rStyle w:val="TextoNormalNegritaCaracter"/>
        </w:rPr>
        <w:t>Artículo 241</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54" w:history="1">
        <w:r w:rsidRPr="00427CF1">
          <w:rPr>
            <w:rStyle w:val="TextoNormalCaracter"/>
          </w:rPr>
          <w:t>154/2016</w:t>
        </w:r>
      </w:hyperlink>
      <w:r>
        <w:t xml:space="preserve">, f. 4; </w:t>
      </w:r>
      <w:hyperlink w:anchor="SENTENCIA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Artículo 241.1</w:t>
      </w:r>
      <w:r>
        <w:t xml:space="preserve"> (redactado por la Ley Orgánica 6/2007, de 24 de mayo)</w:t>
      </w:r>
      <w:r w:rsidRPr="00427CF1">
        <w:rPr>
          <w:rStyle w:val="TextoNormalNegritaCaracter"/>
        </w:rPr>
        <w:t>.</w:t>
      </w:r>
      <w:r w:rsidRPr="00427CF1">
        <w:rPr>
          <w:rStyle w:val="TextoNormalCaracter"/>
        </w:rPr>
        <w:t>-</w:t>
      </w:r>
      <w:r>
        <w:t xml:space="preserve"> Sentencias </w:t>
      </w:r>
      <w:hyperlink w:anchor="SENTENCIA_2016_129" w:history="1">
        <w:r w:rsidRPr="00427CF1">
          <w:rPr>
            <w:rStyle w:val="TextoNormalCaracter"/>
          </w:rPr>
          <w:t>129/2016</w:t>
        </w:r>
      </w:hyperlink>
      <w:r>
        <w:t xml:space="preserve">, f. 3; </w:t>
      </w:r>
      <w:hyperlink w:anchor="SENTENCIA_2016_131" w:history="1">
        <w:r w:rsidRPr="00427CF1">
          <w:rPr>
            <w:rStyle w:val="TextoNormalCaracter"/>
          </w:rPr>
          <w:t>131/2016</w:t>
        </w:r>
      </w:hyperlink>
      <w:r>
        <w:t xml:space="preserve">, f. 2; </w:t>
      </w:r>
      <w:hyperlink w:anchor="SENTENCIA_2016_189" w:history="1">
        <w:r w:rsidRPr="00427CF1">
          <w:rPr>
            <w:rStyle w:val="TextoNormalCaracter"/>
          </w:rPr>
          <w:t>189/2016</w:t>
        </w:r>
      </w:hyperlink>
      <w:r>
        <w:t>, f. 3.</w:t>
      </w:r>
    </w:p>
    <w:p w:rsidR="00427CF1" w:rsidRDefault="00427CF1" w:rsidP="00427CF1">
      <w:pPr>
        <w:pStyle w:val="SangriaFrancesaArticulo"/>
      </w:pPr>
      <w:r w:rsidRPr="00427CF1">
        <w:rPr>
          <w:rStyle w:val="TextoNormalNegritaCaracter"/>
        </w:rPr>
        <w:t>Artículo 515</w:t>
      </w:r>
      <w:r>
        <w:t xml:space="preserve"> (redactado por la Ley Orgánica 19/2003, de 23 de diciembre)</w:t>
      </w:r>
      <w:r w:rsidRPr="00427CF1">
        <w:rPr>
          <w:rStyle w:val="TextoNormalNegritaCaracter"/>
        </w:rPr>
        <w:t>.</w:t>
      </w:r>
      <w:r w:rsidRPr="00427CF1">
        <w:rPr>
          <w:rStyle w:val="TextoNormalCaracter"/>
        </w:rPr>
        <w:t>-</w:t>
      </w:r>
      <w:r>
        <w:t xml:space="preserve"> Auto </w:t>
      </w:r>
      <w:hyperlink w:anchor="AUTO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519</w:t>
      </w:r>
      <w:r>
        <w:t xml:space="preserve"> (redactado por la Ley Orgánica 19/2003, de 23 de diciembre)</w:t>
      </w:r>
      <w:r w:rsidRPr="00427CF1">
        <w:rPr>
          <w:rStyle w:val="TextoNormalNegritaCaracter"/>
        </w:rPr>
        <w:t>.</w:t>
      </w:r>
      <w:r w:rsidRPr="00427CF1">
        <w:rPr>
          <w:rStyle w:val="TextoNormalCaracter"/>
        </w:rPr>
        <w:t>-</w:t>
      </w:r>
      <w:r>
        <w:t xml:space="preserve"> Auto </w:t>
      </w:r>
      <w:hyperlink w:anchor="AUTO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560.4</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2.</w:t>
      </w:r>
    </w:p>
    <w:p w:rsidR="00427CF1" w:rsidRDefault="00427CF1" w:rsidP="00427CF1">
      <w:pPr>
        <w:pStyle w:val="SangriaFrancesaArticulo"/>
      </w:pPr>
      <w:r w:rsidRPr="00427CF1">
        <w:rPr>
          <w:rStyle w:val="TextoNormalNegritaCaracter"/>
        </w:rPr>
        <w:t>Artículo 561.1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6.</w:t>
      </w:r>
    </w:p>
    <w:p w:rsidR="00427CF1" w:rsidRDefault="00427CF1" w:rsidP="00427CF1">
      <w:pPr>
        <w:pStyle w:val="SangriaFrancesaArticulo"/>
      </w:pPr>
      <w:r w:rsidRPr="00427CF1">
        <w:rPr>
          <w:rStyle w:val="TextoNormalNegritaCaracter"/>
        </w:rPr>
        <w:t>Artículo 561.1.9</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6.</w:t>
      </w:r>
    </w:p>
    <w:p w:rsidR="00427CF1" w:rsidRDefault="00427CF1" w:rsidP="00427CF1">
      <w:pPr>
        <w:pStyle w:val="SangriaFrancesaArticulo"/>
      </w:pPr>
      <w:r w:rsidRPr="00427CF1">
        <w:rPr>
          <w:rStyle w:val="TextoNormalNegritaCaracter"/>
        </w:rPr>
        <w:t>Artículo 563</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4, 6.</w:t>
      </w:r>
    </w:p>
    <w:p w:rsidR="00427CF1" w:rsidRDefault="00427CF1" w:rsidP="00427CF1">
      <w:pPr>
        <w:pStyle w:val="SangriaFrancesaArticulo"/>
      </w:pPr>
      <w:r w:rsidRPr="00427CF1">
        <w:rPr>
          <w:rStyle w:val="TextoNormalNegritaCaracter"/>
        </w:rPr>
        <w:t>Artículo 563.1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4.</w:t>
      </w:r>
    </w:p>
    <w:p w:rsidR="00427CF1" w:rsidRDefault="00427CF1" w:rsidP="00427CF1">
      <w:pPr>
        <w:pStyle w:val="SangriaFrancesaArticulo"/>
      </w:pPr>
      <w:r w:rsidRPr="00427CF1">
        <w:rPr>
          <w:rStyle w:val="TextoNormalNegritaCaracter"/>
        </w:rPr>
        <w:t>Artículo 563.2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4.</w:t>
      </w:r>
    </w:p>
    <w:p w:rsidR="00427CF1" w:rsidRDefault="00427CF1" w:rsidP="00427CF1">
      <w:pPr>
        <w:pStyle w:val="SangriaFrancesaArticulo"/>
      </w:pPr>
      <w:r w:rsidRPr="00427CF1">
        <w:rPr>
          <w:rStyle w:val="TextoNormalNegritaCaracter"/>
        </w:rPr>
        <w:t>Artículo 563.3</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4, 6.</w:t>
      </w:r>
    </w:p>
    <w:p w:rsidR="00427CF1" w:rsidRDefault="00427CF1" w:rsidP="00427CF1">
      <w:pPr>
        <w:pStyle w:val="SangriaFrancesaArticulo"/>
      </w:pPr>
      <w:r w:rsidRPr="00427CF1">
        <w:rPr>
          <w:rStyle w:val="TextoNormalNegritaCaracter"/>
        </w:rPr>
        <w:t>Artículo 564</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4 a 6.</w:t>
      </w:r>
    </w:p>
    <w:p w:rsidR="00427CF1" w:rsidRDefault="00427CF1" w:rsidP="00427CF1">
      <w:pPr>
        <w:pStyle w:val="SangriaFrancesaArticulo"/>
      </w:pPr>
      <w:r w:rsidRPr="00427CF1">
        <w:rPr>
          <w:rStyle w:val="TextoNormalNegritaCaracter"/>
        </w:rPr>
        <w:t>Artículo 567</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7.</w:t>
      </w:r>
    </w:p>
    <w:p w:rsidR="00427CF1" w:rsidRDefault="00427CF1" w:rsidP="00427CF1">
      <w:pPr>
        <w:pStyle w:val="SangriaFrancesaArticulo"/>
      </w:pPr>
      <w:r w:rsidRPr="00427CF1">
        <w:rPr>
          <w:rStyle w:val="TextoNormalNegritaCaracter"/>
        </w:rPr>
        <w:t>Artículo 568.1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7, 8.</w:t>
      </w:r>
    </w:p>
    <w:p w:rsidR="00427CF1" w:rsidRDefault="00427CF1" w:rsidP="00427CF1">
      <w:pPr>
        <w:pStyle w:val="SangriaFrancesaArticulo"/>
      </w:pPr>
      <w:r w:rsidRPr="00427CF1">
        <w:rPr>
          <w:rStyle w:val="TextoNormalNegritaCaracter"/>
        </w:rPr>
        <w:t>Artículo 569.2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8.</w:t>
      </w:r>
    </w:p>
    <w:p w:rsidR="00427CF1" w:rsidRDefault="00427CF1" w:rsidP="00427CF1">
      <w:pPr>
        <w:pStyle w:val="SangriaFrancesaArticulo"/>
      </w:pPr>
      <w:r w:rsidRPr="00427CF1">
        <w:rPr>
          <w:rStyle w:val="TextoNormalNegritaCaracter"/>
        </w:rPr>
        <w:t>Artículo 570.1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2, 7, 8.</w:t>
      </w:r>
    </w:p>
    <w:p w:rsidR="00427CF1" w:rsidRDefault="00427CF1" w:rsidP="00427CF1">
      <w:pPr>
        <w:pStyle w:val="SangriaFrancesaArticulo"/>
      </w:pPr>
      <w:r w:rsidRPr="00427CF1">
        <w:rPr>
          <w:rStyle w:val="TextoNormalNegritaCaracter"/>
        </w:rPr>
        <w:t>Artículo 570.2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7, 8.</w:t>
      </w:r>
    </w:p>
    <w:p w:rsidR="00427CF1" w:rsidRDefault="00427CF1" w:rsidP="00427CF1">
      <w:pPr>
        <w:pStyle w:val="SangriaFrancesaArticulo"/>
      </w:pPr>
      <w:r w:rsidRPr="00427CF1">
        <w:rPr>
          <w:rStyle w:val="TextoNormalNegritaCaracter"/>
        </w:rPr>
        <w:t>Artículo 570.3</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2, 7, 8.</w:t>
      </w:r>
    </w:p>
    <w:p w:rsidR="00427CF1" w:rsidRDefault="00427CF1" w:rsidP="00427CF1">
      <w:pPr>
        <w:pStyle w:val="SangriaFrancesaArticulo"/>
      </w:pPr>
      <w:r w:rsidRPr="00427CF1">
        <w:rPr>
          <w:rStyle w:val="TextoNormalNegritaCaracter"/>
        </w:rPr>
        <w:t>Artículo 571.2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8.</w:t>
      </w:r>
    </w:p>
    <w:p w:rsidR="00427CF1" w:rsidRDefault="00427CF1" w:rsidP="00427CF1">
      <w:pPr>
        <w:pStyle w:val="SangriaFrancesaArticulo"/>
      </w:pPr>
      <w:r w:rsidRPr="00427CF1">
        <w:rPr>
          <w:rStyle w:val="TextoNormalNegritaCaracter"/>
        </w:rPr>
        <w:t>Artículos 572 a 578</w:t>
      </w:r>
      <w:r>
        <w:t xml:space="preserve"> (redactados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8.</w:t>
      </w:r>
    </w:p>
    <w:p w:rsidR="00427CF1" w:rsidRDefault="00427CF1" w:rsidP="00427CF1">
      <w:pPr>
        <w:pStyle w:val="SangriaFrancesaArticulo"/>
      </w:pPr>
      <w:r w:rsidRPr="00427CF1">
        <w:rPr>
          <w:rStyle w:val="TextoNormalNegritaCaracter"/>
        </w:rPr>
        <w:t>Artículo 579.1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2, 9.</w:t>
      </w:r>
    </w:p>
    <w:p w:rsidR="00427CF1" w:rsidRDefault="00427CF1" w:rsidP="00427CF1">
      <w:pPr>
        <w:pStyle w:val="SangriaFrancesaArticulo"/>
      </w:pPr>
      <w:r w:rsidRPr="00427CF1">
        <w:rPr>
          <w:rStyle w:val="TextoNormalNegritaCaracter"/>
        </w:rPr>
        <w:t>Artículo 580</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2, 9.</w:t>
      </w:r>
    </w:p>
    <w:p w:rsidR="00427CF1" w:rsidRDefault="00427CF1" w:rsidP="00427CF1">
      <w:pPr>
        <w:pStyle w:val="SangriaFrancesaArticulo"/>
      </w:pPr>
      <w:r w:rsidRPr="00427CF1">
        <w:rPr>
          <w:rStyle w:val="TextoNormalNegritaCaracter"/>
        </w:rPr>
        <w:t>Artículo 580.1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9.</w:t>
      </w:r>
    </w:p>
    <w:p w:rsidR="00427CF1" w:rsidRDefault="00427CF1" w:rsidP="00427CF1">
      <w:pPr>
        <w:pStyle w:val="SangriaFrancesaArticulo"/>
      </w:pPr>
      <w:r w:rsidRPr="00427CF1">
        <w:rPr>
          <w:rStyle w:val="TextoNormalNegritaCaracter"/>
        </w:rPr>
        <w:t>Artículo 581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5.</w:t>
      </w:r>
    </w:p>
    <w:p w:rsidR="00427CF1" w:rsidRDefault="00427CF1" w:rsidP="00427CF1">
      <w:pPr>
        <w:pStyle w:val="SangriaFrancesaArticulo"/>
      </w:pPr>
      <w:r w:rsidRPr="00427CF1">
        <w:rPr>
          <w:rStyle w:val="TextoNormalNegritaCaracter"/>
        </w:rPr>
        <w:t>Artículo 582.1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5.</w:t>
      </w:r>
    </w:p>
    <w:p w:rsidR="00427CF1" w:rsidRDefault="00427CF1" w:rsidP="00427CF1">
      <w:pPr>
        <w:pStyle w:val="SangriaFrancesaArticulo"/>
      </w:pPr>
      <w:r w:rsidRPr="00427CF1">
        <w:rPr>
          <w:rStyle w:val="TextoNormalNegritaCaracter"/>
        </w:rPr>
        <w:t>Artículo 589</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10.</w:t>
      </w:r>
    </w:p>
    <w:p w:rsidR="00427CF1" w:rsidRDefault="00427CF1" w:rsidP="00427CF1">
      <w:pPr>
        <w:pStyle w:val="SangriaFrancesaArticulo"/>
      </w:pPr>
      <w:r w:rsidRPr="00427CF1">
        <w:rPr>
          <w:rStyle w:val="TextoNormalNegritaCaracter"/>
        </w:rPr>
        <w:t>Artículo 589.2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11.</w:t>
      </w:r>
    </w:p>
    <w:p w:rsidR="00427CF1" w:rsidRDefault="00427CF1" w:rsidP="00427CF1">
      <w:pPr>
        <w:pStyle w:val="SangriaFrancesaArticulo"/>
      </w:pPr>
      <w:r w:rsidRPr="00427CF1">
        <w:rPr>
          <w:rStyle w:val="TextoNormalNegritaCaracter"/>
        </w:rPr>
        <w:t>Artículo 590</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10.</w:t>
      </w:r>
    </w:p>
    <w:p w:rsidR="00427CF1" w:rsidRDefault="00427CF1" w:rsidP="00427CF1">
      <w:pPr>
        <w:pStyle w:val="SangriaFrancesaArticulo"/>
      </w:pPr>
      <w:r w:rsidRPr="00427CF1">
        <w:rPr>
          <w:rStyle w:val="TextoNormalNegritaCaracter"/>
        </w:rPr>
        <w:t>Artículo 591.1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10.</w:t>
      </w:r>
    </w:p>
    <w:p w:rsidR="00427CF1" w:rsidRDefault="00427CF1" w:rsidP="00427CF1">
      <w:pPr>
        <w:pStyle w:val="SangriaFrancesaArticulo"/>
      </w:pPr>
      <w:r w:rsidRPr="00427CF1">
        <w:rPr>
          <w:rStyle w:val="TextoNormalNegritaCaracter"/>
        </w:rPr>
        <w:t>Artículo 592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2.</w:t>
      </w:r>
    </w:p>
    <w:p w:rsidR="00427CF1" w:rsidRDefault="00427CF1" w:rsidP="00427CF1">
      <w:pPr>
        <w:pStyle w:val="SangriaFrancesaArticulo"/>
      </w:pPr>
      <w:r w:rsidRPr="00427CF1">
        <w:rPr>
          <w:rStyle w:val="TextoNormalNegritaCaracter"/>
        </w:rPr>
        <w:t>Artículo 596</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2.</w:t>
      </w:r>
    </w:p>
    <w:p w:rsidR="00427CF1" w:rsidRDefault="00427CF1" w:rsidP="00427CF1">
      <w:pPr>
        <w:pStyle w:val="SangriaFrancesaArticulo"/>
      </w:pPr>
      <w:r w:rsidRPr="00427CF1">
        <w:rPr>
          <w:rStyle w:val="TextoNormalNegritaCaracter"/>
        </w:rPr>
        <w:t>Artículo 597</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2, 10.</w:t>
      </w:r>
    </w:p>
    <w:p w:rsidR="00427CF1" w:rsidRDefault="00427CF1" w:rsidP="00427CF1">
      <w:pPr>
        <w:pStyle w:val="SangriaFrancesaArticulo"/>
      </w:pPr>
      <w:r w:rsidRPr="00427CF1">
        <w:rPr>
          <w:rStyle w:val="TextoNormalNegritaCaracter"/>
        </w:rPr>
        <w:t>Artículo 598.1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10.</w:t>
      </w:r>
    </w:p>
    <w:p w:rsidR="00427CF1" w:rsidRDefault="00427CF1" w:rsidP="00427CF1">
      <w:pPr>
        <w:pStyle w:val="SangriaFrancesaArticulo"/>
      </w:pPr>
      <w:r w:rsidRPr="00427CF1">
        <w:rPr>
          <w:rStyle w:val="TextoNormalNegritaCaracter"/>
        </w:rPr>
        <w:t>Artículo 599</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2, 11.</w:t>
      </w:r>
    </w:p>
    <w:p w:rsidR="00427CF1" w:rsidRDefault="00427CF1" w:rsidP="00427CF1">
      <w:pPr>
        <w:pStyle w:val="SangriaFrancesaArticulo"/>
      </w:pPr>
      <w:r w:rsidRPr="00427CF1">
        <w:rPr>
          <w:rStyle w:val="TextoNormalNegritaCaracter"/>
        </w:rPr>
        <w:t>Artículo 599.1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2, 11.</w:t>
      </w:r>
    </w:p>
    <w:p w:rsidR="00427CF1" w:rsidRDefault="00427CF1" w:rsidP="00427CF1">
      <w:pPr>
        <w:pStyle w:val="SangriaFrancesaArticulo"/>
      </w:pPr>
      <w:r w:rsidRPr="00427CF1">
        <w:rPr>
          <w:rStyle w:val="TextoNormalNegritaCaracter"/>
        </w:rPr>
        <w:t>Artículo 599.3</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2, 11.</w:t>
      </w:r>
    </w:p>
    <w:p w:rsidR="00427CF1" w:rsidRDefault="00427CF1" w:rsidP="00427CF1">
      <w:pPr>
        <w:pStyle w:val="SangriaFrancesaArticulo"/>
      </w:pPr>
      <w:r w:rsidRPr="00427CF1">
        <w:rPr>
          <w:rStyle w:val="TextoNormalNegritaCaracter"/>
        </w:rPr>
        <w:t>Artículo 599.4</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2, 11.</w:t>
      </w:r>
    </w:p>
    <w:p w:rsidR="00427CF1" w:rsidRDefault="00427CF1" w:rsidP="00427CF1">
      <w:pPr>
        <w:pStyle w:val="SangriaFrancesaArticulo"/>
      </w:pPr>
      <w:r w:rsidRPr="00427CF1">
        <w:rPr>
          <w:rStyle w:val="TextoNormalNegritaCaracter"/>
        </w:rPr>
        <w:t>Artículo 600.3</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11.</w:t>
      </w:r>
    </w:p>
    <w:p w:rsidR="00427CF1" w:rsidRDefault="00427CF1" w:rsidP="00427CF1">
      <w:pPr>
        <w:pStyle w:val="SangriaFrancesaArticulo"/>
      </w:pPr>
      <w:r w:rsidRPr="00427CF1">
        <w:rPr>
          <w:rStyle w:val="TextoNormalNegritaCaracter"/>
        </w:rPr>
        <w:t>Artículo 600.4</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11.</w:t>
      </w:r>
    </w:p>
    <w:p w:rsidR="00427CF1" w:rsidRDefault="00427CF1" w:rsidP="00427CF1">
      <w:pPr>
        <w:pStyle w:val="SangriaFrancesaArticulo"/>
      </w:pPr>
      <w:r w:rsidRPr="00427CF1">
        <w:rPr>
          <w:rStyle w:val="TextoNormalNegritaCaracter"/>
        </w:rPr>
        <w:t>Artículo 630.1</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11.</w:t>
      </w:r>
    </w:p>
    <w:p w:rsidR="00427CF1" w:rsidRDefault="00427CF1" w:rsidP="00427CF1">
      <w:pPr>
        <w:pStyle w:val="SangriaFrancesaArticulo"/>
      </w:pPr>
      <w:r w:rsidRPr="00427CF1">
        <w:rPr>
          <w:rStyle w:val="TextoNormalNegritaCaracter"/>
        </w:rPr>
        <w:t>Artículo 638.2</w:t>
      </w:r>
      <w:r>
        <w:t xml:space="preserve"> (redactado por la Ley Orgánica 4/2013, de 28 de junio)</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ff. 1, 2.</w:t>
      </w:r>
    </w:p>
    <w:p w:rsidR="00427CF1" w:rsidRDefault="00427CF1" w:rsidP="00427CF1">
      <w:pPr>
        <w:pStyle w:val="SangriaFrancesaArticulo"/>
      </w:pPr>
      <w:r w:rsidRPr="00427CF1">
        <w:rPr>
          <w:rStyle w:val="TextoNormalNegritaCaracter"/>
        </w:rPr>
        <w:t>Disposición adicional decimoquinta.</w:t>
      </w:r>
      <w:r w:rsidRPr="00427CF1">
        <w:rPr>
          <w:rStyle w:val="TextoNormalCaracter"/>
        </w:rPr>
        <w:t>-</w:t>
      </w:r>
      <w:r>
        <w:t xml:space="preserve"> Sentencia </w:t>
      </w:r>
      <w:hyperlink w:anchor="SENTENCIA_2016_140" w:history="1">
        <w:r w:rsidRPr="00427CF1">
          <w:rPr>
            <w:rStyle w:val="TextoNormalCaracter"/>
          </w:rPr>
          <w:t>140/2016</w:t>
        </w:r>
      </w:hyperlink>
      <w:r>
        <w:t>, f. 8.</w:t>
      </w:r>
    </w:p>
    <w:p w:rsidR="00427CF1" w:rsidRDefault="00427CF1" w:rsidP="00427CF1">
      <w:pPr>
        <w:pStyle w:val="SangriaFrancesaArticulo"/>
      </w:pPr>
      <w:r w:rsidRPr="00427CF1">
        <w:rPr>
          <w:rStyle w:val="TextoNormalNegritaCaracter"/>
        </w:rPr>
        <w:t>Disposición adicional decimoquinta</w:t>
      </w:r>
      <w:r>
        <w:t xml:space="preserve"> (redactado por la Ley Orgánica 1/2009, de 3 de noviembre)</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8.</w:t>
      </w:r>
    </w:p>
    <w:p w:rsidR="00427CF1" w:rsidRDefault="00427CF1" w:rsidP="00427CF1">
      <w:pPr>
        <w:pStyle w:val="SangriaFrancesaArticulo"/>
      </w:pPr>
      <w:r w:rsidRPr="00427CF1">
        <w:rPr>
          <w:rStyle w:val="TextoNormalNegritaCaracter"/>
        </w:rPr>
        <w:t>Disposición transitoria décima, apartado 3.</w:t>
      </w:r>
      <w:r w:rsidRPr="00427CF1">
        <w:rPr>
          <w:rStyle w:val="TextoNormalCaracter"/>
        </w:rPr>
        <w:t>-</w:t>
      </w:r>
      <w:r>
        <w:t xml:space="preserve"> Sentencia </w:t>
      </w:r>
      <w:hyperlink w:anchor="SENTENCIA_2016_191" w:history="1">
        <w:r w:rsidRPr="00427CF1">
          <w:rPr>
            <w:rStyle w:val="TextoNormalCaracter"/>
          </w:rPr>
          <w:t>191/2016</w:t>
        </w:r>
      </w:hyperlink>
      <w:r>
        <w:t>.</w:t>
      </w:r>
    </w:p>
    <w:p w:rsidR="00427CF1" w:rsidRDefault="00427CF1" w:rsidP="00427CF1">
      <w:pPr>
        <w:pStyle w:val="SangriaFrancesaArticulo"/>
      </w:pPr>
      <w:r w:rsidRPr="00427CF1">
        <w:rPr>
          <w:rStyle w:val="TextoNormalNegritaCaracter"/>
        </w:rPr>
        <w:t>Disposición transitoria cuadragésima primera.</w:t>
      </w:r>
      <w:r w:rsidRPr="00427CF1">
        <w:rPr>
          <w:rStyle w:val="TextoNormalCaracter"/>
        </w:rPr>
        <w:t>-</w:t>
      </w:r>
      <w:r>
        <w:t xml:space="preserve"> Auto </w:t>
      </w:r>
      <w:hyperlink w:anchor="AUTO_2016_180" w:history="1">
        <w:r w:rsidRPr="00427CF1">
          <w:rPr>
            <w:rStyle w:val="TextoNormalCaracter"/>
          </w:rPr>
          <w:t>180/2016</w:t>
        </w:r>
      </w:hyperlink>
      <w:r>
        <w:t>, f. 1.</w:t>
      </w:r>
    </w:p>
    <w:p w:rsidR="00427CF1" w:rsidRDefault="00427CF1" w:rsidP="00427CF1">
      <w:pPr>
        <w:pStyle w:val="SangriaFrancesaArticulo"/>
      </w:pPr>
      <w:r w:rsidRPr="00427CF1">
        <w:rPr>
          <w:rStyle w:val="TextoNormalNegritaCaracter"/>
        </w:rPr>
        <w:t>Disposición transitoria cuadragésima primera</w:t>
      </w:r>
      <w:r>
        <w:t xml:space="preserve"> (redactada por la Ley Orgánica 8/2012, de 27 de diciembre)</w:t>
      </w:r>
      <w:r w:rsidRPr="00427CF1">
        <w:rPr>
          <w:rStyle w:val="TextoNormalNegritaCaracter"/>
        </w:rPr>
        <w:t>.</w:t>
      </w:r>
      <w:r w:rsidRPr="00427CF1">
        <w:rPr>
          <w:rStyle w:val="TextoNormalCaracter"/>
        </w:rPr>
        <w:t>-</w:t>
      </w:r>
      <w:r>
        <w:t xml:space="preserve"> Auto </w:t>
      </w:r>
      <w:hyperlink w:anchor="AUTO_2016_180" w:history="1">
        <w:r w:rsidRPr="00427CF1">
          <w:rPr>
            <w:rStyle w:val="TextoNormalCaracter"/>
          </w:rPr>
          <w:t>180/2016</w:t>
        </w:r>
      </w:hyperlink>
      <w:r>
        <w:t>, ff. 1, 3.</w:t>
      </w:r>
    </w:p>
    <w:p w:rsidR="00427CF1" w:rsidRDefault="00427CF1" w:rsidP="00427CF1">
      <w:pPr>
        <w:pStyle w:val="SangriaFrancesaArticulo"/>
      </w:pPr>
    </w:p>
    <w:p w:rsidR="00427CF1" w:rsidRDefault="00427CF1" w:rsidP="00427CF1">
      <w:pPr>
        <w:pStyle w:val="TextoNormalNegritaCursivandice"/>
      </w:pPr>
      <w:r>
        <w:t>Ley Orgánica 2/1986, de 13 de marzo. Fuerzas y cuerpos de seguridad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4" w:history="1">
        <w:r w:rsidRPr="00427CF1">
          <w:rPr>
            <w:rStyle w:val="TextoNormalCaracter"/>
          </w:rPr>
          <w:t>184/2016</w:t>
        </w:r>
      </w:hyperlink>
      <w:r>
        <w:t>, f. 4.</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r w:rsidRPr="00427CF1">
        <w:rPr>
          <w:rStyle w:val="TextoNormalNegritaCaracter"/>
        </w:rPr>
        <w:t>Artículo 48.</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p>
    <w:p w:rsidR="00427CF1" w:rsidRDefault="00427CF1" w:rsidP="00427CF1">
      <w:pPr>
        <w:pStyle w:val="TextoNormalNegritaCursivandice"/>
      </w:pPr>
      <w:r>
        <w:t>Ley Orgánica 1/1992, de 21 de febrero. Protección de la seguridad ciudadana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p>
    <w:p w:rsidR="00427CF1" w:rsidRDefault="00427CF1" w:rsidP="00427CF1">
      <w:pPr>
        <w:pStyle w:val="TextoNormalNegritaCursivandice"/>
      </w:pPr>
      <w:r>
        <w:t>Ley Orgánica 9/1992, de 23 de diciembre. Transferencia de competencias a Comunidades Autónomas que accedieron a la autonomía por la vía del artículo 143 de la Constitución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Orgánica 5/1995, de 22 de mayo. Tribunal del Jurado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5.</w:t>
      </w:r>
    </w:p>
    <w:p w:rsidR="00427CF1" w:rsidRDefault="00427CF1" w:rsidP="00427CF1">
      <w:pPr>
        <w:pStyle w:val="SangriaFrancesaArticulo"/>
      </w:pPr>
    </w:p>
    <w:p w:rsidR="00427CF1" w:rsidRDefault="00427CF1" w:rsidP="00427CF1">
      <w:pPr>
        <w:pStyle w:val="TextoNormalNegritaCursivandice"/>
      </w:pPr>
      <w:r>
        <w:t>Ley Orgánica 10/1995, de 23 de noviembre. Código penal</w:t>
      </w:r>
    </w:p>
    <w:p w:rsidR="00427CF1" w:rsidRDefault="00427CF1" w:rsidP="00427CF1">
      <w:pPr>
        <w:pStyle w:val="SangriaFrancesaArticulo"/>
      </w:pPr>
      <w:r w:rsidRPr="00427CF1">
        <w:rPr>
          <w:rStyle w:val="TextoNormalNegritaCaracter"/>
        </w:rPr>
        <w:t>Artículo 36.2 a).</w:t>
      </w:r>
      <w:r w:rsidRPr="00427CF1">
        <w:rPr>
          <w:rStyle w:val="TextoNormalCaracter"/>
        </w:rPr>
        <w:t>-</w:t>
      </w:r>
      <w:r>
        <w:t xml:space="preserve"> Sentencia </w:t>
      </w:r>
      <w:hyperlink w:anchor="SENTENCIA_2016_135" w:history="1">
        <w:r w:rsidRPr="00427CF1">
          <w:rPr>
            <w:rStyle w:val="TextoNormalCaracter"/>
          </w:rPr>
          <w:t>135/2016</w:t>
        </w:r>
      </w:hyperlink>
      <w:r>
        <w:t>, f. 2.</w:t>
      </w:r>
    </w:p>
    <w:p w:rsidR="00427CF1" w:rsidRDefault="00427CF1" w:rsidP="00427CF1">
      <w:pPr>
        <w:pStyle w:val="SangriaFrancesaArticulo"/>
      </w:pPr>
      <w:r w:rsidRPr="00427CF1">
        <w:rPr>
          <w:rStyle w:val="TextoNormalNegritaCaracter"/>
        </w:rPr>
        <w:t>Artículo 36.2 b).</w:t>
      </w:r>
      <w:r w:rsidRPr="00427CF1">
        <w:rPr>
          <w:rStyle w:val="TextoNormalCaracter"/>
        </w:rPr>
        <w:t>-</w:t>
      </w:r>
      <w:r>
        <w:t xml:space="preserve"> Sentencia </w:t>
      </w:r>
      <w:hyperlink w:anchor="SENTENCIA_2016_135" w:history="1">
        <w:r w:rsidRPr="00427CF1">
          <w:rPr>
            <w:rStyle w:val="TextoNormalCaracter"/>
          </w:rPr>
          <w:t>135/2016</w:t>
        </w:r>
      </w:hyperlink>
      <w:r>
        <w:t>, f. 2.</w:t>
      </w:r>
    </w:p>
    <w:p w:rsidR="00427CF1" w:rsidRDefault="00427CF1" w:rsidP="00427CF1">
      <w:pPr>
        <w:pStyle w:val="SangriaFrancesaArticulo"/>
      </w:pPr>
      <w:r w:rsidRPr="00427CF1">
        <w:rPr>
          <w:rStyle w:val="TextoNormalNegritaCaracter"/>
        </w:rPr>
        <w:t>Artículo 39.</w:t>
      </w:r>
      <w:r w:rsidRPr="00427CF1">
        <w:rPr>
          <w:rStyle w:val="TextoNormalCaracter"/>
        </w:rPr>
        <w:t>-</w:t>
      </w:r>
      <w:r>
        <w:t xml:space="preserve"> Sentencia </w:t>
      </w:r>
      <w:hyperlink w:anchor="SENTENCIA_2016_185" w:history="1">
        <w:r w:rsidRPr="00427CF1">
          <w:rPr>
            <w:rStyle w:val="TextoNormalCaracter"/>
          </w:rPr>
          <w:t>185/2016</w:t>
        </w:r>
      </w:hyperlink>
      <w:r>
        <w:t>, f. 11.</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85" w:history="1">
        <w:r w:rsidRPr="00427CF1">
          <w:rPr>
            <w:rStyle w:val="TextoNormalCaracter"/>
          </w:rPr>
          <w:t>185/2016</w:t>
        </w:r>
      </w:hyperlink>
      <w:r>
        <w:t>, f. 11.</w:t>
      </w:r>
    </w:p>
    <w:p w:rsidR="00427CF1" w:rsidRDefault="00427CF1" w:rsidP="00427CF1">
      <w:pPr>
        <w:pStyle w:val="SangriaFrancesaArticulo"/>
      </w:pPr>
      <w:r w:rsidRPr="00427CF1">
        <w:rPr>
          <w:rStyle w:val="TextoNormalNegritaCaracter"/>
        </w:rPr>
        <w:t>Artículo 58</w:t>
      </w:r>
      <w:r>
        <w:t xml:space="preserve"> (redactado por la Ley Orgánica 5/2010, de 22 de junio)</w:t>
      </w:r>
      <w:r w:rsidRPr="00427CF1">
        <w:rPr>
          <w:rStyle w:val="TextoNormalNegritaCaracter"/>
        </w:rPr>
        <w:t>.</w:t>
      </w:r>
      <w:r w:rsidRPr="00427CF1">
        <w:rPr>
          <w:rStyle w:val="TextoNormalCaracter"/>
        </w:rPr>
        <w:t>-</w:t>
      </w:r>
      <w:r>
        <w:t xml:space="preserve"> Sentencia </w:t>
      </w:r>
      <w:hyperlink w:anchor="SENTENCIA_2016_137" w:history="1">
        <w:r w:rsidRPr="00427CF1">
          <w:rPr>
            <w:rStyle w:val="TextoNormalCaracter"/>
          </w:rPr>
          <w:t>137/2016</w:t>
        </w:r>
      </w:hyperlink>
      <w:r>
        <w:t>, ff. 1 a 3.</w:t>
      </w:r>
    </w:p>
    <w:p w:rsidR="00427CF1" w:rsidRDefault="00427CF1" w:rsidP="00427CF1">
      <w:pPr>
        <w:pStyle w:val="SangriaFrancesaArticulo"/>
      </w:pPr>
      <w:r w:rsidRPr="00427CF1">
        <w:rPr>
          <w:rStyle w:val="TextoNormalNegritaCaracter"/>
        </w:rPr>
        <w:t>Artículo 58.1</w:t>
      </w:r>
      <w:r>
        <w:t xml:space="preserve"> (redactado por la Ley Orgánica 5/2010, de 22 de junio)</w:t>
      </w:r>
      <w:r w:rsidRPr="00427CF1">
        <w:rPr>
          <w:rStyle w:val="TextoNormalNegritaCaracter"/>
        </w:rPr>
        <w:t>.</w:t>
      </w:r>
      <w:r w:rsidRPr="00427CF1">
        <w:rPr>
          <w:rStyle w:val="TextoNormalCaracter"/>
        </w:rPr>
        <w:t>-</w:t>
      </w:r>
      <w:r>
        <w:t xml:space="preserve"> Sentencia </w:t>
      </w:r>
      <w:hyperlink w:anchor="SENTENCIA_2016_137" w:history="1">
        <w:r w:rsidRPr="00427CF1">
          <w:rPr>
            <w:rStyle w:val="TextoNormalCaracter"/>
          </w:rPr>
          <w:t>137/2016</w:t>
        </w:r>
      </w:hyperlink>
      <w:r>
        <w:t>, f. 2.</w:t>
      </w:r>
    </w:p>
    <w:p w:rsidR="00427CF1" w:rsidRDefault="00427CF1" w:rsidP="00427CF1">
      <w:pPr>
        <w:pStyle w:val="SangriaFrancesaArticulo"/>
      </w:pPr>
      <w:r w:rsidRPr="00427CF1">
        <w:rPr>
          <w:rStyle w:val="TextoNormalNegritaCaracter"/>
        </w:rPr>
        <w:t>Artículo 76.</w:t>
      </w:r>
      <w:r w:rsidRPr="00427CF1">
        <w:rPr>
          <w:rStyle w:val="TextoNormalCaracter"/>
        </w:rPr>
        <w:t>-</w:t>
      </w:r>
      <w:r>
        <w:t xml:space="preserve"> Auto </w:t>
      </w:r>
      <w:hyperlink w:anchor="AUTO_2016_155" w:history="1">
        <w:r w:rsidRPr="00427CF1">
          <w:rPr>
            <w:rStyle w:val="TextoNormalCaracter"/>
          </w:rPr>
          <w:t>155/2016</w:t>
        </w:r>
      </w:hyperlink>
      <w:r>
        <w:t>, ff. 2, 3, VP I.</w:t>
      </w:r>
    </w:p>
    <w:p w:rsidR="00427CF1" w:rsidRDefault="00427CF1" w:rsidP="00427CF1">
      <w:pPr>
        <w:pStyle w:val="SangriaFrancesaArticulo"/>
      </w:pPr>
      <w:r w:rsidRPr="00427CF1">
        <w:rPr>
          <w:rStyle w:val="TextoNormalNegritaCaracter"/>
        </w:rPr>
        <w:t>Artículo 76.2.</w:t>
      </w:r>
      <w:r w:rsidRPr="00427CF1">
        <w:rPr>
          <w:rStyle w:val="TextoNormalCaracter"/>
        </w:rPr>
        <w:t>-</w:t>
      </w:r>
      <w:r>
        <w:t xml:space="preserve"> Auto </w:t>
      </w:r>
      <w:hyperlink w:anchor="AUTO_2016_155" w:history="1">
        <w:r w:rsidRPr="00427CF1">
          <w:rPr>
            <w:rStyle w:val="TextoNormalCaracter"/>
          </w:rPr>
          <w:t>155/2016</w:t>
        </w:r>
      </w:hyperlink>
      <w:r>
        <w:t>, ff. 3, 5.</w:t>
      </w:r>
    </w:p>
    <w:p w:rsidR="00427CF1" w:rsidRDefault="00427CF1" w:rsidP="00427CF1">
      <w:pPr>
        <w:pStyle w:val="SangriaFrancesaArticulo"/>
      </w:pPr>
      <w:r w:rsidRPr="00427CF1">
        <w:rPr>
          <w:rStyle w:val="TextoNormalNegritaCaracter"/>
        </w:rPr>
        <w:t>Artículo 131.1.</w:t>
      </w:r>
      <w:r w:rsidRPr="00427CF1">
        <w:rPr>
          <w:rStyle w:val="TextoNormalCaracter"/>
        </w:rPr>
        <w:t>-</w:t>
      </w:r>
      <w:r>
        <w:t xml:space="preserve"> Sentencia </w:t>
      </w:r>
      <w:hyperlink w:anchor="SENTENCIA_2016_138" w:history="1">
        <w:r w:rsidRPr="00427CF1">
          <w:rPr>
            <w:rStyle w:val="TextoNormalCaracter"/>
          </w:rPr>
          <w:t>138/2016</w:t>
        </w:r>
      </w:hyperlink>
      <w:r>
        <w:t>, f. 3.</w:t>
      </w:r>
    </w:p>
    <w:p w:rsidR="00427CF1" w:rsidRDefault="00427CF1" w:rsidP="00427CF1">
      <w:pPr>
        <w:pStyle w:val="SangriaFrancesaArticulo"/>
      </w:pPr>
      <w:r w:rsidRPr="00427CF1">
        <w:rPr>
          <w:rStyle w:val="TextoNormalNegritaCaracter"/>
        </w:rPr>
        <w:t>Artículo 132.2.</w:t>
      </w:r>
      <w:r w:rsidRPr="00427CF1">
        <w:rPr>
          <w:rStyle w:val="TextoNormalCaracter"/>
        </w:rPr>
        <w:t>-</w:t>
      </w:r>
      <w:r>
        <w:t xml:space="preserve"> Sentencia </w:t>
      </w:r>
      <w:hyperlink w:anchor="SENTENCIA_2016_138" w:history="1">
        <w:r w:rsidRPr="00427CF1">
          <w:rPr>
            <w:rStyle w:val="TextoNormalCaracter"/>
          </w:rPr>
          <w:t>138/2016</w:t>
        </w:r>
      </w:hyperlink>
      <w:r>
        <w:t>, ff. 2, 3.</w:t>
      </w:r>
    </w:p>
    <w:p w:rsidR="00427CF1" w:rsidRDefault="00427CF1" w:rsidP="00427CF1">
      <w:pPr>
        <w:pStyle w:val="SangriaFrancesaArticulo"/>
      </w:pPr>
      <w:r w:rsidRPr="00427CF1">
        <w:rPr>
          <w:rStyle w:val="TextoNormalNegritaCaracter"/>
        </w:rPr>
        <w:t>Artículo 132.2</w:t>
      </w:r>
      <w:r>
        <w:t xml:space="preserve"> (redactado por la Ley Orgánica 5/2010, de 22 de junio)</w:t>
      </w:r>
      <w:r w:rsidRPr="00427CF1">
        <w:rPr>
          <w:rStyle w:val="TextoNormalNegritaCaracter"/>
        </w:rPr>
        <w:t>.</w:t>
      </w:r>
      <w:r w:rsidRPr="00427CF1">
        <w:rPr>
          <w:rStyle w:val="TextoNormalCaracter"/>
        </w:rPr>
        <w:t>-</w:t>
      </w:r>
      <w:r>
        <w:t xml:space="preserve"> Sentencia </w:t>
      </w:r>
      <w:hyperlink w:anchor="SENTENCIA_2016_138" w:history="1">
        <w:r w:rsidRPr="00427CF1">
          <w:rPr>
            <w:rStyle w:val="TextoNormalCaracter"/>
          </w:rPr>
          <w:t>138/2016</w:t>
        </w:r>
      </w:hyperlink>
      <w:r>
        <w:t>, f. 2.</w:t>
      </w:r>
    </w:p>
    <w:p w:rsidR="00427CF1" w:rsidRDefault="00427CF1" w:rsidP="00427CF1">
      <w:pPr>
        <w:pStyle w:val="SangriaFrancesaArticulo"/>
      </w:pPr>
      <w:r w:rsidRPr="00427CF1">
        <w:rPr>
          <w:rStyle w:val="TextoNormalNegritaCaracter"/>
        </w:rPr>
        <w:t>Artículo 446.</w:t>
      </w:r>
      <w:r w:rsidRPr="00427CF1">
        <w:rPr>
          <w:rStyle w:val="TextoNormalCaracter"/>
        </w:rPr>
        <w:t>-</w:t>
      </w:r>
      <w:r>
        <w:t xml:space="preserve"> Sentencia </w:t>
      </w:r>
      <w:hyperlink w:anchor="SENTENCIA_2016_172" w:history="1">
        <w:r w:rsidRPr="00427CF1">
          <w:rPr>
            <w:rStyle w:val="TextoNormalCaracter"/>
          </w:rPr>
          <w:t>172/2016</w:t>
        </w:r>
      </w:hyperlink>
      <w:r>
        <w:t>, f. 5.</w:t>
      </w:r>
    </w:p>
    <w:p w:rsidR="00427CF1" w:rsidRDefault="00427CF1" w:rsidP="00427CF1">
      <w:pPr>
        <w:pStyle w:val="SangriaFrancesaArticulo"/>
      </w:pPr>
      <w:r w:rsidRPr="00427CF1">
        <w:rPr>
          <w:rStyle w:val="TextoNormalNegritaCaracter"/>
        </w:rPr>
        <w:t>Artículo 446.3.</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r w:rsidRPr="00427CF1">
        <w:rPr>
          <w:rStyle w:val="TextoNormalNegritaCaracter"/>
        </w:rPr>
        <w:t>Artículo 447.</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p>
    <w:p w:rsidR="00427CF1" w:rsidRDefault="00427CF1" w:rsidP="00427CF1">
      <w:pPr>
        <w:pStyle w:val="TextoNormalNegritaCursivandice"/>
      </w:pPr>
      <w:r>
        <w:t>Ley Orgánica 16/1995, de 27 de diciembre. Transferencia de competencias a la Comunidad Autónoma gallega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Orgánica 1/1996, de 15 de enero. Protección jurídica del menor, modificación parcial del Código civil y de la Ley de enjuiciamiento civil</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p>
    <w:p w:rsidR="00427CF1" w:rsidRDefault="00427CF1" w:rsidP="00427CF1">
      <w:pPr>
        <w:pStyle w:val="TextoNormalNegritaCursivandice"/>
      </w:pPr>
      <w:r>
        <w:t>Ley Orgánica 15/1999, de 13 de diciembre. Protección de datos de carácter personal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2" w:history="1">
        <w:r w:rsidRPr="00427CF1">
          <w:rPr>
            <w:rStyle w:val="TextoNormalCaracter"/>
          </w:rPr>
          <w:t>142/2016</w:t>
        </w:r>
      </w:hyperlink>
      <w:r>
        <w:t>, f. 9.</w:t>
      </w:r>
    </w:p>
    <w:p w:rsidR="00427CF1" w:rsidRDefault="00427CF1" w:rsidP="00427CF1">
      <w:pPr>
        <w:pStyle w:val="SangriaFrancesaArticulo"/>
      </w:pPr>
      <w:r w:rsidRPr="00427CF1">
        <w:rPr>
          <w:rStyle w:val="TextoNormalNegritaCaracter"/>
        </w:rPr>
        <w:t>Artículo 11.2 a).</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p>
    <w:p w:rsidR="00427CF1" w:rsidRDefault="00427CF1" w:rsidP="00427CF1">
      <w:pPr>
        <w:pStyle w:val="TextoNormalNegritaCursivandice"/>
      </w:pPr>
      <w:r>
        <w:t>Ley Orgánica 4/2000, de 11 de enero. Derechos y libertades de los extranjeros en España y su integración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1" w:history="1">
        <w:r w:rsidRPr="00427CF1">
          <w:rPr>
            <w:rStyle w:val="TextoNormalCaracter"/>
          </w:rPr>
          <w:t>131/2016</w:t>
        </w:r>
      </w:hyperlink>
      <w:r>
        <w:t xml:space="preserve">, f. 6; </w:t>
      </w:r>
      <w:hyperlink w:anchor="SENTENCIA_2016_139" w:history="1">
        <w:r w:rsidRPr="00427CF1">
          <w:rPr>
            <w:rStyle w:val="TextoNormalCaracter"/>
          </w:rPr>
          <w:t>139/2016</w:t>
        </w:r>
      </w:hyperlink>
      <w:r>
        <w:t>, f. 10.</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39" w:history="1">
        <w:r w:rsidRPr="00427CF1">
          <w:rPr>
            <w:rStyle w:val="TextoNormalCaracter"/>
          </w:rPr>
          <w:t>139/2016</w:t>
        </w:r>
      </w:hyperlink>
      <w:r>
        <w:t>, ff. 2, 8.</w:t>
      </w:r>
    </w:p>
    <w:p w:rsidR="00427CF1" w:rsidRDefault="00427CF1" w:rsidP="00427CF1">
      <w:pPr>
        <w:pStyle w:val="SangriaFrancesaArticulo"/>
      </w:pPr>
      <w:r w:rsidRPr="00427CF1">
        <w:rPr>
          <w:rStyle w:val="TextoNormalNegritaCaracter"/>
        </w:rPr>
        <w:t>Artículo 12</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4, VP I, VP II.</w:t>
      </w:r>
    </w:p>
    <w:p w:rsidR="00427CF1" w:rsidRDefault="00427CF1" w:rsidP="00427CF1">
      <w:pPr>
        <w:pStyle w:val="SangriaFrancesaArticulo"/>
      </w:pPr>
      <w:r w:rsidRPr="00427CF1">
        <w:rPr>
          <w:rStyle w:val="TextoNormalNegritaCaracter"/>
        </w:rPr>
        <w:t>Artículo 12</w:t>
      </w:r>
      <w:r>
        <w:t xml:space="preserve"> (redactado por la Ley Orgánica 2/2009, de 11 de diciembre)</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Artículo 20.2</w:t>
      </w:r>
      <w:r>
        <w:t xml:space="preserve"> (redactado por la Ley Orgánica 8/2000, de 22 de diciembre)</w:t>
      </w:r>
      <w:r w:rsidRPr="00427CF1">
        <w:rPr>
          <w:rStyle w:val="TextoNormalNegritaCaracter"/>
        </w:rPr>
        <w:t>.</w:t>
      </w:r>
      <w:r w:rsidRPr="00427CF1">
        <w:rPr>
          <w:rStyle w:val="TextoNormalCaracter"/>
        </w:rPr>
        <w:t>-</w:t>
      </w:r>
      <w:r>
        <w:t xml:space="preserve"> Sentencia </w:t>
      </w:r>
      <w:hyperlink w:anchor="SENTENCIA_2016_131" w:history="1">
        <w:r w:rsidRPr="00427CF1">
          <w:rPr>
            <w:rStyle w:val="TextoNormalCaracter"/>
          </w:rPr>
          <w:t>131/2016</w:t>
        </w:r>
      </w:hyperlink>
      <w:r>
        <w:t>, f. 5.</w:t>
      </w:r>
    </w:p>
    <w:p w:rsidR="00427CF1" w:rsidRDefault="00427CF1" w:rsidP="00427CF1">
      <w:pPr>
        <w:pStyle w:val="SangriaFrancesaArticulo"/>
      </w:pPr>
      <w:r w:rsidRPr="00427CF1">
        <w:rPr>
          <w:rStyle w:val="TextoNormalNegritaCaracter"/>
        </w:rPr>
        <w:t>Artículo 20.3.</w:t>
      </w:r>
      <w:r w:rsidRPr="00427CF1">
        <w:rPr>
          <w:rStyle w:val="TextoNormalCaracter"/>
        </w:rPr>
        <w:t>-</w:t>
      </w:r>
      <w:r>
        <w:t xml:space="preserve"> Sentencia </w:t>
      </w:r>
      <w:hyperlink w:anchor="SENTENCIA_2016_154" w:history="1">
        <w:r w:rsidRPr="00427CF1">
          <w:rPr>
            <w:rStyle w:val="TextoNormalCaracter"/>
          </w:rPr>
          <w:t>154/2016</w:t>
        </w:r>
      </w:hyperlink>
      <w:r>
        <w:t>, f. 3.</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22.2.</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50.</w:t>
      </w:r>
      <w:r w:rsidRPr="00427CF1">
        <w:rPr>
          <w:rStyle w:val="TextoNormalCaracter"/>
        </w:rPr>
        <w:t>-</w:t>
      </w:r>
      <w:r>
        <w:t xml:space="preserve"> Sentencia </w:t>
      </w:r>
      <w:hyperlink w:anchor="SENTENCIA_2016_131" w:history="1">
        <w:r w:rsidRPr="00427CF1">
          <w:rPr>
            <w:rStyle w:val="TextoNormalCaracter"/>
          </w:rPr>
          <w:t>131/2016</w:t>
        </w:r>
      </w:hyperlink>
      <w:r>
        <w:t>, f. 5.</w:t>
      </w:r>
    </w:p>
    <w:p w:rsidR="00427CF1" w:rsidRDefault="00427CF1" w:rsidP="00427CF1">
      <w:pPr>
        <w:pStyle w:val="SangriaFrancesaArticulo"/>
      </w:pPr>
      <w:r w:rsidRPr="00427CF1">
        <w:rPr>
          <w:rStyle w:val="TextoNormalNegritaCaracter"/>
        </w:rPr>
        <w:t>Artículo 55.3.</w:t>
      </w:r>
      <w:r w:rsidRPr="00427CF1">
        <w:rPr>
          <w:rStyle w:val="TextoNormalCaracter"/>
        </w:rPr>
        <w:t>-</w:t>
      </w:r>
      <w:r>
        <w:t xml:space="preserve"> Sentencia </w:t>
      </w:r>
      <w:hyperlink w:anchor="SENTENCIA_2016_131" w:history="1">
        <w:r w:rsidRPr="00427CF1">
          <w:rPr>
            <w:rStyle w:val="TextoNormalCaracter"/>
          </w:rPr>
          <w:t>131/2016</w:t>
        </w:r>
      </w:hyperlink>
      <w:r>
        <w:t>, ff. 5, 6.</w:t>
      </w:r>
    </w:p>
    <w:p w:rsidR="00427CF1" w:rsidRDefault="00427CF1" w:rsidP="00427CF1">
      <w:pPr>
        <w:pStyle w:val="SangriaFrancesaArticulo"/>
      </w:pPr>
      <w:r w:rsidRPr="00427CF1">
        <w:rPr>
          <w:rStyle w:val="TextoNormalNegritaCaracter"/>
        </w:rPr>
        <w:t>Artículo 57.2.</w:t>
      </w:r>
      <w:r w:rsidRPr="00427CF1">
        <w:rPr>
          <w:rStyle w:val="TextoNormalCaracter"/>
        </w:rPr>
        <w:t>-</w:t>
      </w:r>
      <w:r>
        <w:t xml:space="preserve"> Sentencia </w:t>
      </w:r>
      <w:hyperlink w:anchor="SENTENCIA_2016_131" w:history="1">
        <w:r w:rsidRPr="00427CF1">
          <w:rPr>
            <w:rStyle w:val="TextoNormalCaracter"/>
          </w:rPr>
          <w:t>131/2016</w:t>
        </w:r>
      </w:hyperlink>
      <w:r>
        <w:t>, ff. 1, 5, 6.</w:t>
      </w:r>
    </w:p>
    <w:p w:rsidR="00427CF1" w:rsidRDefault="00427CF1" w:rsidP="00427CF1">
      <w:pPr>
        <w:pStyle w:val="SangriaFrancesaArticulo"/>
      </w:pPr>
      <w:r w:rsidRPr="00427CF1">
        <w:rPr>
          <w:rStyle w:val="TextoNormalNegritaCaracter"/>
        </w:rPr>
        <w:t>Artículo 57.2</w:t>
      </w:r>
      <w:r>
        <w:t xml:space="preserve"> (redactado por la Ley Orgánica 8/2000, de 22 de diciembre)</w:t>
      </w:r>
      <w:r w:rsidRPr="00427CF1">
        <w:rPr>
          <w:rStyle w:val="TextoNormalNegritaCaracter"/>
        </w:rPr>
        <w:t>.</w:t>
      </w:r>
      <w:r w:rsidRPr="00427CF1">
        <w:rPr>
          <w:rStyle w:val="TextoNormalCaracter"/>
        </w:rPr>
        <w:t>-</w:t>
      </w:r>
      <w:r>
        <w:t xml:space="preserve"> Sentencia </w:t>
      </w:r>
      <w:hyperlink w:anchor="SENTENCIA_2016_201" w:history="1">
        <w:r w:rsidRPr="00427CF1">
          <w:rPr>
            <w:rStyle w:val="TextoNormalCaracter"/>
          </w:rPr>
          <w:t>201/2016</w:t>
        </w:r>
      </w:hyperlink>
      <w:r>
        <w:t>, ff. 2 a 4.</w:t>
      </w:r>
    </w:p>
    <w:p w:rsidR="00427CF1" w:rsidRDefault="00427CF1" w:rsidP="00427CF1">
      <w:pPr>
        <w:pStyle w:val="SangriaFrancesaArticulo"/>
      </w:pPr>
      <w:r w:rsidRPr="00427CF1">
        <w:rPr>
          <w:rStyle w:val="TextoNormalNegritaCaracter"/>
        </w:rPr>
        <w:t>Artículo 57.5.</w:t>
      </w:r>
      <w:r w:rsidRPr="00427CF1">
        <w:rPr>
          <w:rStyle w:val="TextoNormalCaracter"/>
        </w:rPr>
        <w:t>-</w:t>
      </w:r>
      <w:r>
        <w:t xml:space="preserve"> Sentencia </w:t>
      </w:r>
      <w:hyperlink w:anchor="SENTENCIA_2016_131" w:history="1">
        <w:r w:rsidRPr="00427CF1">
          <w:rPr>
            <w:rStyle w:val="TextoNormalCaracter"/>
          </w:rPr>
          <w:t>131/2016</w:t>
        </w:r>
      </w:hyperlink>
      <w:r>
        <w:t>, ff. 1, 6.</w:t>
      </w:r>
    </w:p>
    <w:p w:rsidR="00427CF1" w:rsidRDefault="00427CF1" w:rsidP="00427CF1">
      <w:pPr>
        <w:pStyle w:val="SangriaFrancesaArticulo"/>
      </w:pPr>
      <w:r w:rsidRPr="00427CF1">
        <w:rPr>
          <w:rStyle w:val="TextoNormalNegritaCaracter"/>
        </w:rPr>
        <w:t>Artículo 57.5</w:t>
      </w:r>
      <w:r>
        <w:t xml:space="preserve"> (redactado por la Ley Orgánica 8/2000, de 22 de diciembre)</w:t>
      </w:r>
      <w:r w:rsidRPr="00427CF1">
        <w:rPr>
          <w:rStyle w:val="TextoNormalNegritaCaracter"/>
        </w:rPr>
        <w:t>.</w:t>
      </w:r>
      <w:r w:rsidRPr="00427CF1">
        <w:rPr>
          <w:rStyle w:val="TextoNormalCaracter"/>
        </w:rPr>
        <w:t>-</w:t>
      </w:r>
      <w:r>
        <w:t xml:space="preserve"> Sentencia </w:t>
      </w:r>
      <w:hyperlink w:anchor="SENTENCIA_2016_201" w:history="1">
        <w:r w:rsidRPr="00427CF1">
          <w:rPr>
            <w:rStyle w:val="TextoNormalCaracter"/>
          </w:rPr>
          <w:t>201/2016</w:t>
        </w:r>
      </w:hyperlink>
      <w:r>
        <w:t>, f. 3.</w:t>
      </w:r>
    </w:p>
    <w:p w:rsidR="00427CF1" w:rsidRDefault="00427CF1" w:rsidP="00427CF1">
      <w:pPr>
        <w:pStyle w:val="SangriaFrancesaArticulo"/>
      </w:pPr>
      <w:r w:rsidRPr="00427CF1">
        <w:rPr>
          <w:rStyle w:val="TextoNormalNegritaCaracter"/>
        </w:rPr>
        <w:t>Artículo 58.</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58.6.</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62 bis.</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p>
    <w:p w:rsidR="00427CF1" w:rsidRDefault="00427CF1" w:rsidP="00427CF1">
      <w:pPr>
        <w:pStyle w:val="TextoNormalNegritaCursivandice"/>
      </w:pPr>
      <w:r>
        <w:t>Ley Orgánica 8/2000, de 22 de diciembre. Reforma parcial de la Ley Orgánica 4/2000, de 11 de enero, sobre derechos y libertades de los extranjeros en España y su integración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1" w:history="1">
        <w:r w:rsidRPr="00427CF1">
          <w:rPr>
            <w:rStyle w:val="TextoNormalCaracter"/>
          </w:rPr>
          <w:t>131/2016</w:t>
        </w:r>
      </w:hyperlink>
      <w:r>
        <w:t xml:space="preserve">, f. 5; </w:t>
      </w:r>
      <w:hyperlink w:anchor="SENTENCIA_2016_201" w:history="1">
        <w:r w:rsidRPr="00427CF1">
          <w:rPr>
            <w:rStyle w:val="TextoNormalCaracter"/>
          </w:rPr>
          <w:t>201/2016</w:t>
        </w:r>
      </w:hyperlink>
      <w:r>
        <w:t>, ff. 2, 3.</w:t>
      </w:r>
    </w:p>
    <w:p w:rsidR="00427CF1" w:rsidRDefault="00427CF1" w:rsidP="00427CF1">
      <w:pPr>
        <w:pStyle w:val="SangriaFrancesaArticulo"/>
      </w:pPr>
    </w:p>
    <w:p w:rsidR="00427CF1" w:rsidRDefault="00427CF1" w:rsidP="00427CF1">
      <w:pPr>
        <w:pStyle w:val="TextoNormalNegritaCursivandice"/>
      </w:pPr>
      <w:r>
        <w:t>Ley Orgánica 5/2001, de 13 de diciembre. Complementaria a la Ley general de estabilidad presupuestaria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12.</w:t>
      </w:r>
    </w:p>
    <w:p w:rsidR="00427CF1" w:rsidRDefault="00427CF1" w:rsidP="00427CF1">
      <w:pPr>
        <w:pStyle w:val="SangriaFrancesaArticulo"/>
      </w:pPr>
    </w:p>
    <w:p w:rsidR="00427CF1" w:rsidRDefault="00427CF1" w:rsidP="00427CF1">
      <w:pPr>
        <w:pStyle w:val="TextoNormalNegritaCursivandice"/>
      </w:pPr>
      <w:r>
        <w:t>Ley Orgánica 1/2002, de 22 de marzo. Derecho de asociación</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Ley Orgánica 6/2002, de 27 de junio. Partidos políticos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6" w:history="1">
        <w:r w:rsidRPr="00427CF1">
          <w:rPr>
            <w:rStyle w:val="TextoNormalCaracter"/>
          </w:rPr>
          <w:t>226/2016</w:t>
        </w:r>
      </w:hyperlink>
      <w:r>
        <w:t>, f. 6, VP.</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226" w:history="1">
        <w:r w:rsidRPr="00427CF1">
          <w:rPr>
            <w:rStyle w:val="TextoNormalCaracter"/>
          </w:rPr>
          <w:t>226/2016</w:t>
        </w:r>
      </w:hyperlink>
      <w:r>
        <w:t>, f. 6.</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226" w:history="1">
        <w:r w:rsidRPr="00427CF1">
          <w:rPr>
            <w:rStyle w:val="TextoNormalCaracter"/>
          </w:rPr>
          <w:t>226/2016</w:t>
        </w:r>
      </w:hyperlink>
      <w:r>
        <w:t>, f. 6.</w:t>
      </w:r>
    </w:p>
    <w:p w:rsidR="00427CF1" w:rsidRDefault="00427CF1" w:rsidP="00427CF1">
      <w:pPr>
        <w:pStyle w:val="SangriaFrancesaArticulo"/>
      </w:pPr>
      <w:r w:rsidRPr="00427CF1">
        <w:rPr>
          <w:rStyle w:val="TextoNormalNegritaCaracter"/>
        </w:rPr>
        <w:t>Artículo 8.4.</w:t>
      </w:r>
      <w:r w:rsidRPr="00427CF1">
        <w:rPr>
          <w:rStyle w:val="TextoNormalCaracter"/>
        </w:rPr>
        <w:t>-</w:t>
      </w:r>
      <w:r>
        <w:t xml:space="preserve"> Sentencia </w:t>
      </w:r>
      <w:hyperlink w:anchor="SENTENCIA_2016_226" w:history="1">
        <w:r w:rsidRPr="00427CF1">
          <w:rPr>
            <w:rStyle w:val="TextoNormalCaracter"/>
          </w:rPr>
          <w:t>226/2016</w:t>
        </w:r>
      </w:hyperlink>
      <w:r>
        <w:t>, f. 6.</w:t>
      </w:r>
    </w:p>
    <w:p w:rsidR="00427CF1" w:rsidRDefault="00427CF1" w:rsidP="00427CF1">
      <w:pPr>
        <w:pStyle w:val="SangriaFrancesaArticulo"/>
      </w:pPr>
      <w:r w:rsidRPr="00427CF1">
        <w:rPr>
          <w:rStyle w:val="TextoNormalNegritaCaracter"/>
        </w:rPr>
        <w:t>Artículo 8.5.</w:t>
      </w:r>
      <w:r w:rsidRPr="00427CF1">
        <w:rPr>
          <w:rStyle w:val="TextoNormalCaracter"/>
        </w:rPr>
        <w:t>-</w:t>
      </w:r>
      <w:r>
        <w:t xml:space="preserve"> Sentencia </w:t>
      </w:r>
      <w:hyperlink w:anchor="SENTENCIA_2016_226" w:history="1">
        <w:r w:rsidRPr="00427CF1">
          <w:rPr>
            <w:rStyle w:val="TextoNormalCaracter"/>
          </w:rPr>
          <w:t>226/2016</w:t>
        </w:r>
      </w:hyperlink>
      <w:r>
        <w:t>, f. 7.</w:t>
      </w:r>
    </w:p>
    <w:p w:rsidR="00427CF1" w:rsidRDefault="00427CF1" w:rsidP="00427CF1">
      <w:pPr>
        <w:pStyle w:val="SangriaFrancesaArticulo"/>
      </w:pPr>
    </w:p>
    <w:p w:rsidR="00427CF1" w:rsidRDefault="00427CF1" w:rsidP="00427CF1">
      <w:pPr>
        <w:pStyle w:val="TextoNormalNegritaCursivandice"/>
      </w:pPr>
      <w:r>
        <w:t>Ley Orgánica 19/2003, de 23 de diciembre. Modificación de la Ley Orgánica 6/1985, de 1 de julio, del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9" w:history="1">
        <w:r w:rsidRPr="00427CF1">
          <w:rPr>
            <w:rStyle w:val="TextoNormalCaracter"/>
          </w:rPr>
          <w:t>129/2016</w:t>
        </w:r>
      </w:hyperlink>
      <w:r>
        <w:t>, f. 3.</w:t>
      </w:r>
    </w:p>
    <w:p w:rsidR="00427CF1" w:rsidRDefault="00427CF1" w:rsidP="00427CF1">
      <w:pPr>
        <w:pStyle w:val="SangriaIzquierdaArticulo"/>
      </w:pPr>
      <w:r>
        <w:t xml:space="preserve">Autos </w:t>
      </w:r>
      <w:hyperlink w:anchor="AUTO_2016_166" w:history="1">
        <w:r w:rsidRPr="00427CF1">
          <w:rPr>
            <w:rStyle w:val="TextoNormalCaracter"/>
          </w:rPr>
          <w:t>166/2016</w:t>
        </w:r>
      </w:hyperlink>
      <w:r>
        <w:t xml:space="preserve">, f. único; </w:t>
      </w:r>
      <w:hyperlink w:anchor="AUTO_2016_180" w:history="1">
        <w:r w:rsidRPr="00427CF1">
          <w:rPr>
            <w:rStyle w:val="TextoNormalCaracter"/>
          </w:rPr>
          <w:t>180/2016</w:t>
        </w:r>
      </w:hyperlink>
      <w:r>
        <w:t xml:space="preserve">, f. 3; </w:t>
      </w:r>
      <w:hyperlink w:anchor="AUTO_2016_191" w:history="1">
        <w:r w:rsidRPr="00427CF1">
          <w:rPr>
            <w:rStyle w:val="TextoNormalCaracter"/>
          </w:rPr>
          <w:t>191/2016</w:t>
        </w:r>
      </w:hyperlink>
      <w:r>
        <w:t>, f. único.</w:t>
      </w:r>
    </w:p>
    <w:p w:rsidR="00427CF1" w:rsidRDefault="00427CF1" w:rsidP="00427CF1">
      <w:pPr>
        <w:pStyle w:val="SangriaIzquierdaArticulo"/>
      </w:pPr>
    </w:p>
    <w:p w:rsidR="00427CF1" w:rsidRDefault="00427CF1" w:rsidP="00427CF1">
      <w:pPr>
        <w:pStyle w:val="TextoNormalNegritaCursivandice"/>
      </w:pPr>
      <w:r>
        <w:t>Ley Orgánica 5/2005, de 17 de noviembre. Defensa Nacional</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p>
    <w:p w:rsidR="00427CF1" w:rsidRDefault="00427CF1" w:rsidP="00427CF1">
      <w:pPr>
        <w:pStyle w:val="TextoNormalNegritaCursivandice"/>
      </w:pPr>
      <w:r>
        <w:t>Ley Orgánica 2/2006, de 3 de mayo. Educación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93" w:history="1">
        <w:r w:rsidRPr="00427CF1">
          <w:rPr>
            <w:rStyle w:val="TextoNormalCaracter"/>
          </w:rPr>
          <w:t>193/2016</w:t>
        </w:r>
      </w:hyperlink>
      <w:r>
        <w:t xml:space="preserve">, f. 3; </w:t>
      </w:r>
      <w:hyperlink w:anchor="SENTENCIA_2016_194" w:history="1">
        <w:r w:rsidRPr="00427CF1">
          <w:rPr>
            <w:rStyle w:val="TextoNormalCaracter"/>
          </w:rPr>
          <w:t>194/2016</w:t>
        </w:r>
      </w:hyperlink>
      <w:r>
        <w:t>, f. 3.</w:t>
      </w:r>
    </w:p>
    <w:p w:rsidR="00427CF1" w:rsidRDefault="00427CF1" w:rsidP="00427CF1">
      <w:pPr>
        <w:pStyle w:val="SangriaFrancesaArticulo"/>
      </w:pPr>
    </w:p>
    <w:p w:rsidR="00427CF1" w:rsidRDefault="00427CF1" w:rsidP="00427CF1">
      <w:pPr>
        <w:pStyle w:val="TextoNormalNegritaCursivandice"/>
      </w:pPr>
      <w:r>
        <w:t>Ley Orgánica 3/2007, de 22 de marzo. Igualdad efectiva de mujeres y hombres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59" w:history="1">
        <w:r w:rsidRPr="00427CF1">
          <w:rPr>
            <w:rStyle w:val="TextoNormalCaracter"/>
          </w:rPr>
          <w:t>159/2016</w:t>
        </w:r>
      </w:hyperlink>
      <w:r>
        <w:t xml:space="preserve">, f. 2; </w:t>
      </w:r>
      <w:hyperlink w:anchor="SENTENCIA_2016_162" w:history="1">
        <w:r w:rsidRPr="00427CF1">
          <w:rPr>
            <w:rStyle w:val="TextoNormalCaracter"/>
          </w:rPr>
          <w:t>162/2016</w:t>
        </w:r>
      </w:hyperlink>
      <w:r>
        <w:t>, ff. 2, 4, 5.</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62" w:history="1">
        <w:r w:rsidRPr="00427CF1">
          <w:rPr>
            <w:rStyle w:val="TextoNormalCaracter"/>
          </w:rPr>
          <w:t>162/2016</w:t>
        </w:r>
      </w:hyperlink>
      <w:r>
        <w:t>, f. 4.</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9" w:history="1">
        <w:r w:rsidRPr="00427CF1">
          <w:rPr>
            <w:rStyle w:val="TextoNormalCaracter"/>
          </w:rPr>
          <w:t>159/2016</w:t>
        </w:r>
      </w:hyperlink>
      <w:r>
        <w:t>, f. 2.</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62" w:history="1">
        <w:r w:rsidRPr="00427CF1">
          <w:rPr>
            <w:rStyle w:val="TextoNormalCaracter"/>
          </w:rPr>
          <w:t>162/2016</w:t>
        </w:r>
      </w:hyperlink>
      <w:r>
        <w:t>, f. 5.</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62" w:history="1">
        <w:r w:rsidRPr="00427CF1">
          <w:rPr>
            <w:rStyle w:val="TextoNormalCaracter"/>
          </w:rPr>
          <w:t>162/2016</w:t>
        </w:r>
      </w:hyperlink>
      <w:r>
        <w:t>, f. 7.</w:t>
      </w:r>
    </w:p>
    <w:p w:rsidR="00427CF1" w:rsidRDefault="00427CF1" w:rsidP="00427CF1">
      <w:pPr>
        <w:pStyle w:val="SangriaFrancesaArticulo"/>
      </w:pPr>
      <w:r w:rsidRPr="00427CF1">
        <w:rPr>
          <w:rStyle w:val="TextoNormalNegritaCaracter"/>
        </w:rPr>
        <w:t>Artículo 7.3.</w:t>
      </w:r>
      <w:r w:rsidRPr="00427CF1">
        <w:rPr>
          <w:rStyle w:val="TextoNormalCaracter"/>
        </w:rPr>
        <w:t>-</w:t>
      </w:r>
      <w:r>
        <w:t xml:space="preserve"> Sentencia </w:t>
      </w:r>
      <w:hyperlink w:anchor="SENTENCIA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62" w:history="1">
        <w:r w:rsidRPr="00427CF1">
          <w:rPr>
            <w:rStyle w:val="TextoNormalCaracter"/>
          </w:rPr>
          <w:t>162/2016</w:t>
        </w:r>
      </w:hyperlink>
      <w:r>
        <w:t>, f. 5.</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 </w:t>
      </w:r>
      <w:hyperlink w:anchor="SENTENCIA_2016_159" w:history="1">
        <w:r w:rsidRPr="00427CF1">
          <w:rPr>
            <w:rStyle w:val="TextoNormalCaracter"/>
          </w:rPr>
          <w:t>159/2016</w:t>
        </w:r>
      </w:hyperlink>
      <w:r>
        <w:t>, f. 7.</w:t>
      </w:r>
    </w:p>
    <w:p w:rsidR="00427CF1" w:rsidRDefault="00427CF1" w:rsidP="00427CF1">
      <w:pPr>
        <w:pStyle w:val="SangriaFrancesaArticulo"/>
      </w:pPr>
      <w:r w:rsidRPr="00427CF1">
        <w:rPr>
          <w:rStyle w:val="TextoNormalNegritaCaracter"/>
        </w:rPr>
        <w:t>Artículo 45.</w:t>
      </w:r>
      <w:r w:rsidRPr="00427CF1">
        <w:rPr>
          <w:rStyle w:val="TextoNormalCaracter"/>
        </w:rPr>
        <w:t>-</w:t>
      </w:r>
      <w:r>
        <w:t xml:space="preserve"> Sentencia </w:t>
      </w:r>
      <w:hyperlink w:anchor="SENTENCIA_2016_159" w:history="1">
        <w:r w:rsidRPr="00427CF1">
          <w:rPr>
            <w:rStyle w:val="TextoNormalCaracter"/>
          </w:rPr>
          <w:t>159/2016</w:t>
        </w:r>
      </w:hyperlink>
      <w:r>
        <w:t>, f. 4.</w:t>
      </w:r>
    </w:p>
    <w:p w:rsidR="00427CF1" w:rsidRDefault="00427CF1" w:rsidP="00427CF1">
      <w:pPr>
        <w:pStyle w:val="SangriaFrancesaArticulo"/>
      </w:pPr>
      <w:r w:rsidRPr="00427CF1">
        <w:rPr>
          <w:rStyle w:val="TextoNormalNegritaCaracter"/>
        </w:rPr>
        <w:t>Artículo 46.</w:t>
      </w:r>
      <w:r w:rsidRPr="00427CF1">
        <w:rPr>
          <w:rStyle w:val="TextoNormalCaracter"/>
        </w:rPr>
        <w:t>-</w:t>
      </w:r>
      <w:r>
        <w:t xml:space="preserve"> Sentencia </w:t>
      </w:r>
      <w:hyperlink w:anchor="SENTENCIA_2016_159" w:history="1">
        <w:r w:rsidRPr="00427CF1">
          <w:rPr>
            <w:rStyle w:val="TextoNormalCaracter"/>
          </w:rPr>
          <w:t>159/2016</w:t>
        </w:r>
      </w:hyperlink>
      <w:r>
        <w:t>, f. 4.</w:t>
      </w:r>
    </w:p>
    <w:p w:rsidR="00427CF1" w:rsidRDefault="00427CF1" w:rsidP="00427CF1">
      <w:pPr>
        <w:pStyle w:val="SangriaFrancesaArticulo"/>
      </w:pPr>
      <w:r w:rsidRPr="00427CF1">
        <w:rPr>
          <w:rStyle w:val="TextoNormalNegritaCaracter"/>
        </w:rPr>
        <w:t>Artículo 46.1.</w:t>
      </w:r>
      <w:r w:rsidRPr="00427CF1">
        <w:rPr>
          <w:rStyle w:val="TextoNormalCaracter"/>
        </w:rPr>
        <w:t>-</w:t>
      </w:r>
      <w:r>
        <w:t xml:space="preserve"> Sentencia </w:t>
      </w:r>
      <w:hyperlink w:anchor="SENTENCIA_2016_159" w:history="1">
        <w:r w:rsidRPr="00427CF1">
          <w:rPr>
            <w:rStyle w:val="TextoNormalCaracter"/>
          </w:rPr>
          <w:t>159/2016</w:t>
        </w:r>
      </w:hyperlink>
      <w:r>
        <w:t>, f. 4.</w:t>
      </w:r>
    </w:p>
    <w:p w:rsidR="00427CF1" w:rsidRDefault="00427CF1" w:rsidP="00427CF1">
      <w:pPr>
        <w:pStyle w:val="SangriaFrancesaArticulo"/>
      </w:pPr>
      <w:r w:rsidRPr="00427CF1">
        <w:rPr>
          <w:rStyle w:val="TextoNormalNegritaCaracter"/>
        </w:rPr>
        <w:t>Artículo 46.2.</w:t>
      </w:r>
      <w:r w:rsidRPr="00427CF1">
        <w:rPr>
          <w:rStyle w:val="TextoNormalCaracter"/>
        </w:rPr>
        <w:t>-</w:t>
      </w:r>
      <w:r>
        <w:t xml:space="preserve"> Sentencia </w:t>
      </w:r>
      <w:hyperlink w:anchor="SENTENCIA_2016_159" w:history="1">
        <w:r w:rsidRPr="00427CF1">
          <w:rPr>
            <w:rStyle w:val="TextoNormalCaracter"/>
          </w:rPr>
          <w:t>159/2016</w:t>
        </w:r>
      </w:hyperlink>
      <w:r>
        <w:t>, f. 4.</w:t>
      </w:r>
    </w:p>
    <w:p w:rsidR="00427CF1" w:rsidRDefault="00427CF1" w:rsidP="00427CF1">
      <w:pPr>
        <w:pStyle w:val="SangriaFrancesaArticulo"/>
      </w:pPr>
      <w:r w:rsidRPr="00427CF1">
        <w:rPr>
          <w:rStyle w:val="TextoNormalNegritaCaracter"/>
        </w:rPr>
        <w:t>Artículo 48.</w:t>
      </w:r>
      <w:r w:rsidRPr="00427CF1">
        <w:rPr>
          <w:rStyle w:val="TextoNormalCaracter"/>
        </w:rPr>
        <w:t>-</w:t>
      </w:r>
      <w:r>
        <w:t xml:space="preserve"> Sentencia </w:t>
      </w:r>
      <w:hyperlink w:anchor="SENTENCIA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62" w:history="1">
        <w:r w:rsidRPr="00427CF1">
          <w:rPr>
            <w:rStyle w:val="TextoNormalCaracter"/>
          </w:rPr>
          <w:t>162/2016</w:t>
        </w:r>
      </w:hyperlink>
      <w:r>
        <w:t>, f. 5.</w:t>
      </w:r>
    </w:p>
    <w:p w:rsidR="00427CF1" w:rsidRDefault="00427CF1" w:rsidP="00427CF1">
      <w:pPr>
        <w:pStyle w:val="SangriaFrancesaArticulo"/>
      </w:pPr>
      <w:r w:rsidRPr="00427CF1">
        <w:rPr>
          <w:rStyle w:val="TextoNormalNegritaCaracter"/>
        </w:rPr>
        <w:t>Disposición final primera, apartado 3.</w:t>
      </w:r>
      <w:r w:rsidRPr="00427CF1">
        <w:rPr>
          <w:rStyle w:val="TextoNormalCaracter"/>
        </w:rPr>
        <w:t>-</w:t>
      </w:r>
      <w:r>
        <w:t xml:space="preserve"> Sentencia </w:t>
      </w:r>
      <w:hyperlink w:anchor="SENTENCIA_2016_159" w:history="1">
        <w:r w:rsidRPr="00427CF1">
          <w:rPr>
            <w:rStyle w:val="TextoNormalCaracter"/>
          </w:rPr>
          <w:t>159/2016</w:t>
        </w:r>
      </w:hyperlink>
      <w:r>
        <w:t>, f. 2.</w:t>
      </w:r>
    </w:p>
    <w:p w:rsidR="00427CF1" w:rsidRDefault="00427CF1" w:rsidP="00427CF1">
      <w:pPr>
        <w:pStyle w:val="SangriaFrancesaArticulo"/>
      </w:pPr>
    </w:p>
    <w:p w:rsidR="00427CF1" w:rsidRDefault="00427CF1" w:rsidP="00427CF1">
      <w:pPr>
        <w:pStyle w:val="TextoNormalNegritaCursivandice"/>
      </w:pPr>
      <w:r>
        <w:t>Ley Orgánica 1/2009, de 3 de noviembre. Complementaria de la Ley de reforma de la legislación procesal para la implantación de la nueva oficina judicial, por la que se modifica la Ley Orgánica 6/1985, de 1 de julio, del Poder Judicial</w:t>
      </w:r>
    </w:p>
    <w:p w:rsidR="00427CF1" w:rsidRDefault="00427CF1" w:rsidP="00427CF1">
      <w:pPr>
        <w:pStyle w:val="SangriaFrancesaArticulo"/>
      </w:pPr>
      <w:r w:rsidRPr="00427CF1">
        <w:rPr>
          <w:rStyle w:val="TextoNormalNegritaCaracter"/>
        </w:rPr>
        <w:t>Preámbulo, apartado V.</w:t>
      </w:r>
      <w:r w:rsidRPr="00427CF1">
        <w:rPr>
          <w:rStyle w:val="TextoNormalCaracter"/>
        </w:rPr>
        <w:t>-</w:t>
      </w:r>
      <w:r>
        <w:t xml:space="preserve"> Sentencia </w:t>
      </w:r>
      <w:hyperlink w:anchor="SENTENCIA_2016_140" w:history="1">
        <w:r w:rsidRPr="00427CF1">
          <w:rPr>
            <w:rStyle w:val="TextoNormalCaracter"/>
          </w:rPr>
          <w:t>140/2016</w:t>
        </w:r>
      </w:hyperlink>
      <w:r>
        <w:t>, f. 8.</w:t>
      </w:r>
    </w:p>
    <w:p w:rsidR="00427CF1" w:rsidRDefault="00427CF1" w:rsidP="00427CF1">
      <w:pPr>
        <w:pStyle w:val="SangriaFrancesaArticulo"/>
      </w:pPr>
    </w:p>
    <w:p w:rsidR="00427CF1" w:rsidRDefault="00427CF1" w:rsidP="00427CF1">
      <w:pPr>
        <w:pStyle w:val="TextoNormalNegritaCursivandice"/>
      </w:pPr>
      <w:r>
        <w:t>Ley Orgánica 2/2009, de 11 de diciembre. Reforma de la Ley Orgánica 4/2000, de 11 de enero, sobre derechos y libertades de los extranjeros en España y su integración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9" w:history="1">
        <w:r w:rsidRPr="00427CF1">
          <w:rPr>
            <w:rStyle w:val="TextoNormalCaracter"/>
          </w:rPr>
          <w:t>139/2016</w:t>
        </w:r>
      </w:hyperlink>
      <w:r>
        <w:t xml:space="preserve">, VP I;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23.2.</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23.3.</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23.4.</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p>
    <w:p w:rsidR="00427CF1" w:rsidRDefault="00427CF1" w:rsidP="00427CF1">
      <w:pPr>
        <w:pStyle w:val="TextoNormalNegritaCursivandice"/>
      </w:pPr>
      <w:r>
        <w:t>Ley Orgánica 3/2009, de 18 de diciembre. Modificación de la Ley Orgánica 8/1980, de 22 de septiembre. Financiación de las Comunidades Autónomas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83" w:history="1">
        <w:r w:rsidRPr="00427CF1">
          <w:rPr>
            <w:rStyle w:val="TextoNormalCaracter"/>
          </w:rPr>
          <w:t>183/2016</w:t>
        </w:r>
      </w:hyperlink>
      <w:r>
        <w:t xml:space="preserve">, ff. 3, 4; </w:t>
      </w:r>
      <w:hyperlink w:anchor="AUTO_2016_185" w:history="1">
        <w:r w:rsidRPr="00427CF1">
          <w:rPr>
            <w:rStyle w:val="TextoNormalCaracter"/>
          </w:rPr>
          <w:t>185/2016</w:t>
        </w:r>
      </w:hyperlink>
      <w:r>
        <w:t>, ff. 3 a 5.</w:t>
      </w:r>
    </w:p>
    <w:p w:rsidR="00427CF1" w:rsidRDefault="00427CF1" w:rsidP="00427CF1">
      <w:pPr>
        <w:pStyle w:val="SangriaFrancesaArticulo"/>
      </w:pPr>
    </w:p>
    <w:p w:rsidR="00427CF1" w:rsidRDefault="00427CF1" w:rsidP="00427CF1">
      <w:pPr>
        <w:pStyle w:val="TextoNormalNegritaCursivandice"/>
      </w:pPr>
      <w:r>
        <w:t>Ley Orgánica 1/2010, de 19 de febrero. Modifica las leyes orgánicas del Tribunal Constitucional y del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Disposición adicional única.</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p>
    <w:p w:rsidR="00427CF1" w:rsidRDefault="00427CF1" w:rsidP="00427CF1">
      <w:pPr>
        <w:pStyle w:val="TextoNormalNegritaCursivandice"/>
      </w:pPr>
      <w:r>
        <w:t>Ley Orgánica 5/2010, de 22 de junio. Modifica la Ley Orgánica 10/1995, de 23 de noviembre, del Código penal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7" w:history="1">
        <w:r w:rsidRPr="00427CF1">
          <w:rPr>
            <w:rStyle w:val="TextoNormalCaracter"/>
          </w:rPr>
          <w:t>137/2016</w:t>
        </w:r>
      </w:hyperlink>
      <w:r>
        <w:t xml:space="preserve">, ff. 1 a 3; </w:t>
      </w:r>
      <w:hyperlink w:anchor="SENTENCIA_2016_138" w:history="1">
        <w:r w:rsidRPr="00427CF1">
          <w:rPr>
            <w:rStyle w:val="TextoNormalCaracter"/>
          </w:rPr>
          <w:t>138/2016</w:t>
        </w:r>
      </w:hyperlink>
      <w:r>
        <w:t>, ff. 2, 3.</w:t>
      </w:r>
    </w:p>
    <w:p w:rsidR="00427CF1" w:rsidRDefault="00427CF1" w:rsidP="00427CF1">
      <w:pPr>
        <w:pStyle w:val="SangriaFrancesaArticulo"/>
      </w:pPr>
    </w:p>
    <w:p w:rsidR="00427CF1" w:rsidRDefault="00427CF1" w:rsidP="00427CF1">
      <w:pPr>
        <w:pStyle w:val="TextoNormalNegritaCursivandice"/>
      </w:pPr>
      <w:r>
        <w:t>Ley Orgánica 2/2012, de 27 de abril. Estabilidad presupuestaria y sostenibilidad financiera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3" w:history="1">
        <w:r w:rsidRPr="00427CF1">
          <w:rPr>
            <w:rStyle w:val="TextoNormalCaracter"/>
          </w:rPr>
          <w:t>143/2016</w:t>
        </w:r>
      </w:hyperlink>
      <w:r>
        <w:t xml:space="preserve">, ff. 4, 5; </w:t>
      </w:r>
      <w:hyperlink w:anchor="SENTENCIA_2016_194" w:history="1">
        <w:r w:rsidRPr="00427CF1">
          <w:rPr>
            <w:rStyle w:val="TextoNormalCaracter"/>
          </w:rPr>
          <w:t>194/2016</w:t>
        </w:r>
      </w:hyperlink>
      <w:r>
        <w:t>, f. 3.</w:t>
      </w:r>
    </w:p>
    <w:p w:rsidR="00427CF1" w:rsidRDefault="00427CF1" w:rsidP="00427CF1">
      <w:pPr>
        <w:pStyle w:val="SangriaFrancesaArticulo"/>
      </w:pPr>
      <w:r w:rsidRPr="00427CF1">
        <w:rPr>
          <w:rStyle w:val="TextoNormalNegritaCaracter"/>
        </w:rPr>
        <w:t>Artículo 11.4.</w:t>
      </w:r>
      <w:r w:rsidRPr="00427CF1">
        <w:rPr>
          <w:rStyle w:val="TextoNormalCaracter"/>
        </w:rPr>
        <w:t>-</w:t>
      </w:r>
      <w:r>
        <w:t xml:space="preserve"> Sentencia </w:t>
      </w:r>
      <w:hyperlink w:anchor="SENTENCIA_2016_194" w:history="1">
        <w:r w:rsidRPr="00427CF1">
          <w:rPr>
            <w:rStyle w:val="TextoNormalCaracter"/>
          </w:rPr>
          <w:t>194/2016</w:t>
        </w:r>
      </w:hyperlink>
      <w:r>
        <w:t>, f. 3.</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21.1.</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23.4.</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Sentencias </w:t>
      </w:r>
      <w:hyperlink w:anchor="SENTENCIA_2016_139" w:history="1">
        <w:r w:rsidRPr="00427CF1">
          <w:rPr>
            <w:rStyle w:val="TextoNormalCaracter"/>
          </w:rPr>
          <w:t>139/2016</w:t>
        </w:r>
      </w:hyperlink>
      <w:r>
        <w:t xml:space="preserve">, f. 12; </w:t>
      </w:r>
      <w:hyperlink w:anchor="SENTENCIA_2016_180" w:history="1">
        <w:r w:rsidRPr="00427CF1">
          <w:rPr>
            <w:rStyle w:val="TextoNormalCaracter"/>
          </w:rPr>
          <w:t>180/2016</w:t>
        </w:r>
      </w:hyperlink>
      <w:r>
        <w:t>, ff. 4, 5.</w:t>
      </w:r>
    </w:p>
    <w:p w:rsidR="00427CF1" w:rsidRDefault="00427CF1" w:rsidP="00427CF1">
      <w:pPr>
        <w:pStyle w:val="SangriaFrancesaArticulo"/>
      </w:pPr>
    </w:p>
    <w:p w:rsidR="00427CF1" w:rsidRDefault="00427CF1" w:rsidP="00427CF1">
      <w:pPr>
        <w:pStyle w:val="TextoNormalNegritaCursivandice"/>
      </w:pPr>
      <w:r>
        <w:t>Ley Orgánica 8/2012, de 27 de diciembre. Medidas de eficiencia presupuestaria en la Administración de Justicia, por la que se modifica la Ley Orgánica 6/1985, de 1 de julio, del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80" w:history="1">
        <w:r w:rsidRPr="00427CF1">
          <w:rPr>
            <w:rStyle w:val="TextoNormalCaracter"/>
          </w:rPr>
          <w:t>180/2016</w:t>
        </w:r>
      </w:hyperlink>
      <w:r>
        <w:t>, ff. 1, 3.</w:t>
      </w:r>
    </w:p>
    <w:p w:rsidR="00427CF1" w:rsidRDefault="00427CF1" w:rsidP="00427CF1">
      <w:pPr>
        <w:pStyle w:val="SangriaFrancesaArticulo"/>
      </w:pPr>
      <w:r w:rsidRPr="00427CF1">
        <w:rPr>
          <w:rStyle w:val="TextoNormalNegritaCaracter"/>
        </w:rPr>
        <w:t>Artículo único, apartado 35.</w:t>
      </w:r>
      <w:r w:rsidRPr="00427CF1">
        <w:rPr>
          <w:rStyle w:val="TextoNormalCaracter"/>
        </w:rPr>
        <w:t>-</w:t>
      </w:r>
      <w:r>
        <w:t xml:space="preserve"> Auto </w:t>
      </w:r>
      <w:hyperlink w:anchor="AUTO_2016_180" w:history="1">
        <w:r w:rsidRPr="00427CF1">
          <w:rPr>
            <w:rStyle w:val="TextoNormalCaracter"/>
          </w:rPr>
          <w:t>180/2016</w:t>
        </w:r>
      </w:hyperlink>
      <w:r>
        <w:t>, f. 1.</w:t>
      </w:r>
    </w:p>
    <w:p w:rsidR="00427CF1" w:rsidRDefault="00427CF1" w:rsidP="00427CF1">
      <w:pPr>
        <w:pStyle w:val="SangriaFrancesaArticulo"/>
      </w:pPr>
    </w:p>
    <w:p w:rsidR="00427CF1" w:rsidRDefault="00427CF1" w:rsidP="00427CF1">
      <w:pPr>
        <w:pStyle w:val="TextoNormalNegritaCursivandice"/>
      </w:pPr>
      <w:r>
        <w:t>Ley Orgánica 4/2013, de 28 de junio. Reforma del Consejo General del Poder Judicial, por la que se modifica la Ley Orgánica 6/1985, de 1 de julio, del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1" w:history="1">
        <w:r w:rsidRPr="00427CF1">
          <w:rPr>
            <w:rStyle w:val="TextoNormalCaracter"/>
          </w:rPr>
          <w:t>191/2016</w:t>
        </w:r>
      </w:hyperlink>
      <w:r>
        <w:t>, ff. 1, 2, 4 a 10.</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91" w:history="1">
        <w:r w:rsidRPr="00427CF1">
          <w:rPr>
            <w:rStyle w:val="TextoNormalCaracter"/>
          </w:rPr>
          <w:t>191/2016</w:t>
        </w:r>
      </w:hyperlink>
      <w:r>
        <w:t>, ff. 7, 9.</w:t>
      </w:r>
    </w:p>
    <w:p w:rsidR="00427CF1" w:rsidRDefault="00427CF1" w:rsidP="00427CF1">
      <w:pPr>
        <w:pStyle w:val="SangriaFrancesaArticulo"/>
      </w:pPr>
      <w:r w:rsidRPr="00427CF1">
        <w:rPr>
          <w:rStyle w:val="TextoNormalNegritaCaracter"/>
        </w:rPr>
        <w:t>Artículo único, apartado 1.</w:t>
      </w:r>
      <w:r w:rsidRPr="00427CF1">
        <w:rPr>
          <w:rStyle w:val="TextoNormalCaracter"/>
        </w:rPr>
        <w:t>-</w:t>
      </w:r>
      <w:r>
        <w:t xml:space="preserve"> Sentencia </w:t>
      </w:r>
      <w:hyperlink w:anchor="SENTENCIA_2016_191" w:history="1">
        <w:r w:rsidRPr="00427CF1">
          <w:rPr>
            <w:rStyle w:val="TextoNormalCaracter"/>
          </w:rPr>
          <w:t>191/2016</w:t>
        </w:r>
      </w:hyperlink>
      <w:r>
        <w:t>, ff. 1, 2.</w:t>
      </w:r>
    </w:p>
    <w:p w:rsidR="00427CF1" w:rsidRDefault="00427CF1" w:rsidP="00427CF1">
      <w:pPr>
        <w:pStyle w:val="SangriaFrancesaArticulo"/>
      </w:pPr>
      <w:r w:rsidRPr="00427CF1">
        <w:rPr>
          <w:rStyle w:val="TextoNormalNegritaCaracter"/>
        </w:rPr>
        <w:t>Disposición transitoria décima, apartado 3.</w:t>
      </w:r>
      <w:r w:rsidRPr="00427CF1">
        <w:rPr>
          <w:rStyle w:val="TextoNormalCaracter"/>
        </w:rPr>
        <w:t>-</w:t>
      </w:r>
      <w:r>
        <w:t xml:space="preserve"> Sentencia </w:t>
      </w:r>
      <w:hyperlink w:anchor="SENTENCIA_2016_191" w:history="1">
        <w:r w:rsidRPr="00427CF1">
          <w:rPr>
            <w:rStyle w:val="TextoNormalCaracter"/>
          </w:rPr>
          <w:t>191/2016</w:t>
        </w:r>
      </w:hyperlink>
      <w:r>
        <w:t>, ff. 1, 2.</w:t>
      </w:r>
    </w:p>
    <w:p w:rsidR="00427CF1" w:rsidRDefault="00427CF1" w:rsidP="00427CF1">
      <w:pPr>
        <w:pStyle w:val="SangriaFrancesaArticulo"/>
      </w:pPr>
      <w:r w:rsidRPr="00427CF1">
        <w:rPr>
          <w:rStyle w:val="TextoNormalNegritaCaracter"/>
        </w:rPr>
        <w:t xml:space="preserve">Disposición transitoria décima, apartado 3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91" w:history="1">
        <w:r w:rsidRPr="00427CF1">
          <w:rPr>
            <w:rStyle w:val="TextoNormalCaracter"/>
          </w:rPr>
          <w:t>191/2016</w:t>
        </w:r>
      </w:hyperlink>
      <w:r>
        <w:t>, f. 2.</w:t>
      </w:r>
    </w:p>
    <w:p w:rsidR="00427CF1" w:rsidRDefault="00427CF1" w:rsidP="00427CF1">
      <w:pPr>
        <w:pStyle w:val="SangriaFrancesaArticulo"/>
      </w:pPr>
    </w:p>
    <w:p w:rsidR="00427CF1" w:rsidRDefault="00427CF1" w:rsidP="00427CF1">
      <w:pPr>
        <w:pStyle w:val="TextoNormalNegritaCursivandice"/>
      </w:pPr>
      <w:r>
        <w:t>Ley Orgánica 9/2013, de 20 de diciembre. Control de la deuda comercial en el sector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1.16.</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p>
    <w:p w:rsidR="00427CF1" w:rsidRDefault="00427CF1" w:rsidP="00427CF1">
      <w:pPr>
        <w:pStyle w:val="TextoNormalNegritaCursivandice"/>
      </w:pPr>
      <w:r>
        <w:t>Ley Orgánica 7/2014, de 12 de noviembre. Intercambio de información de antecedentes penales y consideración de resoluciones judiciales penales en la Unión Europea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5" w:history="1">
        <w:r w:rsidRPr="00427CF1">
          <w:rPr>
            <w:rStyle w:val="TextoNormalCaracter"/>
          </w:rPr>
          <w:t>155/2016</w:t>
        </w:r>
      </w:hyperlink>
      <w:r>
        <w:t>, f. 4, VP I.</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Artículo 14.2.</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Disposición adicional única.</w:t>
      </w:r>
      <w:r w:rsidRPr="00427CF1">
        <w:rPr>
          <w:rStyle w:val="TextoNormalCaracter"/>
        </w:rPr>
        <w:t>-</w:t>
      </w:r>
      <w:r>
        <w:t xml:space="preserve"> Auto </w:t>
      </w:r>
      <w:hyperlink w:anchor="AUTO_2016_155" w:history="1">
        <w:r w:rsidRPr="00427CF1">
          <w:rPr>
            <w:rStyle w:val="TextoNormalCaracter"/>
          </w:rPr>
          <w:t>155/2016</w:t>
        </w:r>
      </w:hyperlink>
      <w:r>
        <w:t>, f. 4, VP I.</w:t>
      </w:r>
    </w:p>
    <w:p w:rsidR="00427CF1" w:rsidRDefault="00427CF1" w:rsidP="00427CF1">
      <w:pPr>
        <w:pStyle w:val="SangriaFrancesaArticulo"/>
      </w:pPr>
    </w:p>
    <w:p w:rsidR="00427CF1" w:rsidRDefault="00427CF1" w:rsidP="00427CF1">
      <w:pPr>
        <w:pStyle w:val="TextoNormalNegritaCursivandice"/>
      </w:pPr>
      <w:r>
        <w:t>Ley Orgánica 3/2015, de 30 de marzo. Control de la actividad económico-financiera de los partidos políticos, por la que se modifican la Ley Orgánica 8/2007, de 4 de julio, sobre financiación de los partidos políticos, la Ley Orgánica 6/2002, de 27 de junio, de partidos políticos y la Ley Orgánica 2/1982, de 12 de mayo, del Tribunal de Cuentas</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26" w:history="1">
        <w:r w:rsidRPr="00427CF1">
          <w:rPr>
            <w:rStyle w:val="TextoNormalCaracter"/>
          </w:rPr>
          <w:t>226/2016</w:t>
        </w:r>
      </w:hyperlink>
      <w:r>
        <w:t>, f. 6.</w:t>
      </w:r>
    </w:p>
    <w:p w:rsidR="00427CF1" w:rsidRDefault="00427CF1" w:rsidP="00427CF1">
      <w:pPr>
        <w:pStyle w:val="SangriaFrancesaArticulo"/>
      </w:pPr>
    </w:p>
    <w:p w:rsidR="00427CF1" w:rsidRDefault="00427CF1" w:rsidP="00427CF1">
      <w:pPr>
        <w:pStyle w:val="TextoNormalNegritaCursivandice"/>
      </w:pPr>
      <w:r>
        <w:t>Ley Orgánica 4/2015, de 30 de marzo. Protección de la seguridad ciudadana</w:t>
      </w:r>
    </w:p>
    <w:p w:rsidR="00427CF1" w:rsidRDefault="00427CF1" w:rsidP="00427CF1">
      <w:pPr>
        <w:pStyle w:val="SangriaFrancesaArticulo"/>
      </w:pPr>
      <w:r w:rsidRPr="00427CF1">
        <w:rPr>
          <w:rStyle w:val="TextoNormalNegritaCaracter"/>
        </w:rPr>
        <w:t>En general</w:t>
      </w:r>
      <w:r>
        <w:t xml:space="preserve"> (sustituye a la Ley Orgánica 1/1992, de 21 de febrero)</w:t>
      </w:r>
      <w:r w:rsidRPr="00427CF1">
        <w:rPr>
          <w:rStyle w:val="TextoNormalNegritaCaracter"/>
        </w:rPr>
        <w:t>.</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p>
    <w:p w:rsidR="00427CF1" w:rsidRDefault="00427CF1" w:rsidP="00427CF1">
      <w:pPr>
        <w:pStyle w:val="TextoNormalNegritaCursivandice"/>
      </w:pPr>
      <w:r>
        <w:t>Ley Orgánica 6/2015, de 12 de junio. Modificación de la Ley Orgánica 8/1980, de 22 de septiembre, de financiación de las Comunidades Autónomas y de la Ley Orgánica 2/2012, de 27 de abril, de Estabilidad Presupuestaria y Sostenibilidad Financiera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6" w:history="1">
        <w:r w:rsidRPr="00427CF1">
          <w:rPr>
            <w:rStyle w:val="TextoNormalCaracter"/>
          </w:rPr>
          <w:t>156/2016</w:t>
        </w:r>
      </w:hyperlink>
      <w:r>
        <w:t>, ff. 1, 2.</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56" w:history="1">
        <w:r w:rsidRPr="00427CF1">
          <w:rPr>
            <w:rStyle w:val="TextoNormalCaracter"/>
          </w:rPr>
          <w:t>156/2016</w:t>
        </w:r>
      </w:hyperlink>
      <w:r>
        <w:t>, ff. 1, 2, 4, VP.</w:t>
      </w:r>
    </w:p>
    <w:p w:rsidR="00427CF1" w:rsidRDefault="00427CF1" w:rsidP="00427CF1">
      <w:pPr>
        <w:pStyle w:val="SangriaFrancesaArticulo"/>
      </w:pPr>
      <w:r w:rsidRPr="00427CF1">
        <w:rPr>
          <w:rStyle w:val="TextoNormalNegritaCaracter"/>
        </w:rPr>
        <w:t>Artículo 1.5.4.</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20.6.</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Disposición final primera, apartado 3.</w:t>
      </w:r>
      <w:r w:rsidRPr="00427CF1">
        <w:rPr>
          <w:rStyle w:val="TextoNormalCaracter"/>
        </w:rPr>
        <w:t>-</w:t>
      </w:r>
      <w:r>
        <w:t xml:space="preserve"> Sentencia </w:t>
      </w:r>
      <w:hyperlink w:anchor="SENTENCIA_2016_156" w:history="1">
        <w:r w:rsidRPr="00427CF1">
          <w:rPr>
            <w:rStyle w:val="TextoNormalCaracter"/>
          </w:rPr>
          <w:t>156/2016</w:t>
        </w:r>
      </w:hyperlink>
      <w:r>
        <w:t>, ff. 1, 5.</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p>
    <w:p w:rsidR="00427CF1" w:rsidRDefault="00427CF1" w:rsidP="00427CF1">
      <w:pPr>
        <w:pStyle w:val="TextoNormalNegritaCursivandice"/>
      </w:pPr>
      <w:r>
        <w:t>Ley Orgánica 7/2015, de 21 de julio. Modificación de la Ley Orgánica 6/1985, de 1 de julio, del Poder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9" w:history="1">
        <w:r w:rsidRPr="00427CF1">
          <w:rPr>
            <w:rStyle w:val="TextoNormalCaracter"/>
          </w:rPr>
          <w:t>129/2016</w:t>
        </w:r>
      </w:hyperlink>
      <w:r>
        <w:t xml:space="preserve">, f. 1;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Disposición final tercera, apartado 1.</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Disposición final tercera, apartado 2.</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Disposición final décima.</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Orgánica 12/2015, de 22 de septiembre. Modificación de la Ley Orgánica 2/1979, de 3 de octubre, del Tribunal Constitucional, para el establecimiento del recurso previo de inconstitucionalidad para los Proyectos de Ley Orgánica de Estatuto de Autonomía o de su modificación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5" w:history="1">
        <w:r w:rsidRPr="00427CF1">
          <w:rPr>
            <w:rStyle w:val="TextoNormalCaracter"/>
          </w:rPr>
          <w:t>215/2016</w:t>
        </w:r>
      </w:hyperlink>
      <w:r>
        <w:t>, f. 4.</w:t>
      </w:r>
    </w:p>
    <w:p w:rsidR="00427CF1" w:rsidRDefault="00427CF1" w:rsidP="00427CF1">
      <w:pPr>
        <w:pStyle w:val="SangriaFrancesaArticulo"/>
      </w:pPr>
    </w:p>
    <w:p w:rsidR="00427CF1" w:rsidRDefault="00427CF1" w:rsidP="00427CF1">
      <w:pPr>
        <w:pStyle w:val="TextoNormalNegritaCursivandice"/>
      </w:pPr>
      <w:r>
        <w:t>Ley Orgánica 15/2015, de 16 de octubre. Reforma de la Ley Orgánica 2/1979, de 3 de octubre, del Tribunal Constitucional, para la ejecución de las resoluciones del Tribunal Constitucional como garantía del Estado de Derecho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85" w:history="1">
        <w:r w:rsidRPr="00427CF1">
          <w:rPr>
            <w:rStyle w:val="TextoNormalCaracter"/>
          </w:rPr>
          <w:t>185/2016</w:t>
        </w:r>
      </w:hyperlink>
      <w:r>
        <w:t xml:space="preserve">, ff. 4 a 7, VP I, VP III; </w:t>
      </w:r>
      <w:hyperlink w:anchor="SENTENCIA_2016_215" w:history="1">
        <w:r w:rsidRPr="00427CF1">
          <w:rPr>
            <w:rStyle w:val="TextoNormalCaracter"/>
          </w:rPr>
          <w:t>215/2016</w:t>
        </w:r>
      </w:hyperlink>
      <w:r>
        <w:t>, ff. 1, 4, 8, VP I, VP III.</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ff. 1, 2, 7; </w:t>
      </w:r>
      <w:hyperlink w:anchor="AUTO_2016_170" w:history="1">
        <w:r w:rsidRPr="00427CF1">
          <w:rPr>
            <w:rStyle w:val="TextoNormalCaracter"/>
          </w:rPr>
          <w:t>170/2016</w:t>
        </w:r>
      </w:hyperlink>
      <w:r>
        <w:t xml:space="preserve">, ff. 1, 2; </w:t>
      </w:r>
      <w:hyperlink w:anchor="AUTO_2016_188" w:history="1">
        <w:r w:rsidRPr="00427CF1">
          <w:rPr>
            <w:rStyle w:val="TextoNormalCaracter"/>
          </w:rPr>
          <w:t>188/2016</w:t>
        </w:r>
      </w:hyperlink>
      <w:r>
        <w:t xml:space="preserve">, f. único; </w:t>
      </w:r>
      <w:hyperlink w:anchor="AUTO_2016_190" w:history="1">
        <w:r w:rsidRPr="00427CF1">
          <w:rPr>
            <w:rStyle w:val="TextoNormalCaracter"/>
          </w:rPr>
          <w:t>190/2016</w:t>
        </w:r>
      </w:hyperlink>
      <w:r>
        <w:t xml:space="preserve">, f. único; </w:t>
      </w:r>
      <w:hyperlink w:anchor="AUTO_2016_191" w:history="1">
        <w:r w:rsidRPr="00427CF1">
          <w:rPr>
            <w:rStyle w:val="TextoNormalCaracter"/>
          </w:rPr>
          <w:t>191/2016</w:t>
        </w:r>
      </w:hyperlink>
      <w:r>
        <w:t xml:space="preserve">, f. único; </w:t>
      </w:r>
      <w:hyperlink w:anchor="AUTO_2016_201" w:history="1">
        <w:r w:rsidRPr="00427CF1">
          <w:rPr>
            <w:rStyle w:val="TextoNormalCaracter"/>
          </w:rPr>
          <w:t>201/2016</w:t>
        </w:r>
      </w:hyperlink>
      <w:r>
        <w:t xml:space="preserve">, f. único; </w:t>
      </w:r>
      <w:hyperlink w:anchor="AUTO_2016_208" w:history="1">
        <w:r w:rsidRPr="00427CF1">
          <w:rPr>
            <w:rStyle w:val="TextoNormalCaracter"/>
          </w:rPr>
          <w:t>208/2016</w:t>
        </w:r>
      </w:hyperlink>
      <w:r>
        <w:t>, f. único.</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Sentencias </w:t>
      </w:r>
      <w:hyperlink w:anchor="SENTENCIA_2016_185" w:history="1">
        <w:r w:rsidRPr="00427CF1">
          <w:rPr>
            <w:rStyle w:val="TextoNormalCaracter"/>
          </w:rPr>
          <w:t>185/2016</w:t>
        </w:r>
      </w:hyperlink>
      <w:r>
        <w:t xml:space="preserve">, ff. 2, 9, 14, 15, VP III; </w:t>
      </w:r>
      <w:hyperlink w:anchor="SENTENCIA_2016_215" w:history="1">
        <w:r w:rsidRPr="00427CF1">
          <w:rPr>
            <w:rStyle w:val="TextoNormalCaracter"/>
          </w:rPr>
          <w:t>215/2016</w:t>
        </w:r>
      </w:hyperlink>
      <w:r>
        <w:t>, ff. 2, 10, 14, VP III.</w:t>
      </w:r>
    </w:p>
    <w:p w:rsidR="00427CF1" w:rsidRDefault="00427CF1" w:rsidP="00427CF1">
      <w:pPr>
        <w:pStyle w:val="SangriaFrancesaArticulo"/>
      </w:pPr>
      <w:r w:rsidRPr="00427CF1">
        <w:rPr>
          <w:rStyle w:val="TextoNormalNegritaCaracter"/>
        </w:rPr>
        <w:t>Artículo único, apartado 1.</w:t>
      </w:r>
      <w:r w:rsidRPr="00427CF1">
        <w:rPr>
          <w:rStyle w:val="TextoNormalCaracter"/>
        </w:rPr>
        <w:t>-</w:t>
      </w:r>
      <w:r>
        <w:t xml:space="preserve"> Sentencia </w:t>
      </w:r>
      <w:hyperlink w:anchor="SENTENCIA_2016_185" w:history="1">
        <w:r w:rsidRPr="00427CF1">
          <w:rPr>
            <w:rStyle w:val="TextoNormalCaracter"/>
          </w:rPr>
          <w:t>185/2016</w:t>
        </w:r>
      </w:hyperlink>
      <w:r>
        <w:t>, f. 2.</w:t>
      </w:r>
    </w:p>
    <w:p w:rsidR="00427CF1" w:rsidRDefault="00427CF1" w:rsidP="00427CF1">
      <w:pPr>
        <w:pStyle w:val="SangriaFrancesaArticulo"/>
      </w:pPr>
      <w:r w:rsidRPr="00427CF1">
        <w:rPr>
          <w:rStyle w:val="TextoNormalNegritaCaracter"/>
        </w:rPr>
        <w:t>Artículo único, apartado 2.</w:t>
      </w:r>
      <w:r w:rsidRPr="00427CF1">
        <w:rPr>
          <w:rStyle w:val="TextoNormalCaracter"/>
        </w:rPr>
        <w:t>-</w:t>
      </w:r>
      <w:r>
        <w:t xml:space="preserve"> Sentencia </w:t>
      </w:r>
      <w:hyperlink w:anchor="SENTENCIA_2016_185" w:history="1">
        <w:r w:rsidRPr="00427CF1">
          <w:rPr>
            <w:rStyle w:val="TextoNormalCaracter"/>
          </w:rPr>
          <w:t>185/2016</w:t>
        </w:r>
      </w:hyperlink>
      <w:r>
        <w:t>, f. 2.</w:t>
      </w:r>
    </w:p>
    <w:p w:rsidR="00427CF1" w:rsidRDefault="00427CF1" w:rsidP="00427CF1">
      <w:pPr>
        <w:pStyle w:val="SangriaFrancesaArticulo"/>
      </w:pPr>
      <w:r w:rsidRPr="00427CF1">
        <w:rPr>
          <w:rStyle w:val="TextoNormalNegritaCaracter"/>
        </w:rPr>
        <w:t>Artículo único, apartado 3.</w:t>
      </w:r>
      <w:r w:rsidRPr="00427CF1">
        <w:rPr>
          <w:rStyle w:val="TextoNormalCaracter"/>
        </w:rPr>
        <w:t>-</w:t>
      </w:r>
      <w:r>
        <w:t xml:space="preserve"> Sentencias </w:t>
      </w:r>
      <w:hyperlink w:anchor="SENTENCIA_2016_185" w:history="1">
        <w:r w:rsidRPr="00427CF1">
          <w:rPr>
            <w:rStyle w:val="TextoNormalCaracter"/>
          </w:rPr>
          <w:t>185/2016</w:t>
        </w:r>
      </w:hyperlink>
      <w:r>
        <w:t xml:space="preserve">, ff. 1, 6, 9, 11, 16; </w:t>
      </w:r>
      <w:hyperlink w:anchor="SENTENCIA_2016_215" w:history="1">
        <w:r w:rsidRPr="00427CF1">
          <w:rPr>
            <w:rStyle w:val="TextoNormalCaracter"/>
          </w:rPr>
          <w:t>215/2016</w:t>
        </w:r>
      </w:hyperlink>
      <w:r>
        <w:t>, ff. 1, 7, 9, 11, 13.</w:t>
      </w:r>
    </w:p>
    <w:p w:rsidR="00427CF1" w:rsidRDefault="00427CF1" w:rsidP="00427CF1">
      <w:pPr>
        <w:pStyle w:val="SangriaFrancesaArticulo"/>
      </w:pPr>
      <w:r w:rsidRPr="00427CF1">
        <w:rPr>
          <w:rStyle w:val="TextoNormalNegritaCaracter"/>
        </w:rPr>
        <w:t>Artículo único, apartado 5.</w:t>
      </w:r>
      <w:r w:rsidRPr="00427CF1">
        <w:rPr>
          <w:rStyle w:val="TextoNormalCaracter"/>
        </w:rPr>
        <w:t>-</w:t>
      </w:r>
      <w:r>
        <w:t xml:space="preserve"> Sentencia </w:t>
      </w:r>
      <w:hyperlink w:anchor="SENTENCIA_2016_185" w:history="1">
        <w:r w:rsidRPr="00427CF1">
          <w:rPr>
            <w:rStyle w:val="TextoNormalCaracter"/>
          </w:rPr>
          <w:t>185/2016</w:t>
        </w:r>
      </w:hyperlink>
      <w:r>
        <w:t>, f. 2.</w:t>
      </w:r>
    </w:p>
    <w:p w:rsidR="00427CF1" w:rsidRDefault="00427CF1" w:rsidP="00427CF1">
      <w:pPr>
        <w:pStyle w:val="TextoNormal"/>
      </w:pPr>
    </w:p>
    <w:p w:rsidR="00427CF1" w:rsidRDefault="00427CF1" w:rsidP="00427CF1">
      <w:pPr>
        <w:pStyle w:val="SangriaFrancesaArticulo"/>
      </w:pPr>
      <w:bookmarkStart w:id="192" w:name="INDICE22846"/>
    </w:p>
    <w:bookmarkEnd w:id="192"/>
    <w:p w:rsidR="00427CF1" w:rsidRDefault="00427CF1" w:rsidP="00427CF1">
      <w:pPr>
        <w:pStyle w:val="TextoIndiceNivel2"/>
        <w:suppressAutoHyphens/>
      </w:pPr>
      <w:r>
        <w:t>E) Leyes de las Cortes Generales</w:t>
      </w:r>
    </w:p>
    <w:p w:rsidR="00427CF1" w:rsidRDefault="00427CF1" w:rsidP="00427CF1">
      <w:pPr>
        <w:pStyle w:val="TextoIndiceNivel2"/>
      </w:pPr>
    </w:p>
    <w:p w:rsidR="00427CF1" w:rsidRDefault="00427CF1" w:rsidP="00427CF1">
      <w:pPr>
        <w:pStyle w:val="TextoNormalNegritaCursivandice"/>
      </w:pPr>
      <w:r>
        <w:t>Ley 8/1980, de 10 de marzo. Estatuto de los trabajadores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p>
    <w:p w:rsidR="00427CF1" w:rsidRDefault="00427CF1" w:rsidP="00427CF1">
      <w:pPr>
        <w:pStyle w:val="TextoNormalNegritaCursivandice"/>
      </w:pPr>
      <w:r>
        <w:t>Ley 50/1981, de 30 de diciembre. Estatuto orgánico del Ministerio Fiscal</w:t>
      </w:r>
    </w:p>
    <w:p w:rsidR="00427CF1" w:rsidRDefault="00427CF1" w:rsidP="00427CF1">
      <w:pPr>
        <w:pStyle w:val="SangriaFrancesaArticulo"/>
      </w:pPr>
      <w:r w:rsidRPr="00427CF1">
        <w:rPr>
          <w:rStyle w:val="TextoNormalNegritaCaracter"/>
        </w:rPr>
        <w:t>Artículo 3.11.</w:t>
      </w:r>
      <w:r w:rsidRPr="00427CF1">
        <w:rPr>
          <w:rStyle w:val="TextoNormalCaracter"/>
        </w:rPr>
        <w:t>-</w:t>
      </w:r>
      <w:r>
        <w:t xml:space="preserve"> Sentencia </w:t>
      </w:r>
      <w:hyperlink w:anchor="SENTENCIA_2016_132" w:history="1">
        <w:r w:rsidRPr="00427CF1">
          <w:rPr>
            <w:rStyle w:val="TextoNormalCaracter"/>
          </w:rPr>
          <w:t>132/2016</w:t>
        </w:r>
      </w:hyperlink>
      <w:r>
        <w:t>, f. 2.</w:t>
      </w:r>
    </w:p>
    <w:p w:rsidR="00427CF1" w:rsidRDefault="00427CF1" w:rsidP="00427CF1">
      <w:pPr>
        <w:pStyle w:val="SangriaFrancesaArticulo"/>
      </w:pPr>
    </w:p>
    <w:p w:rsidR="00427CF1" w:rsidRDefault="00427CF1" w:rsidP="00427CF1">
      <w:pPr>
        <w:pStyle w:val="TextoNormalNegritaCursivandice"/>
      </w:pPr>
      <w:r>
        <w:t>Ley 26/1984, de 19 de julio. General para la defensa de los consumidores y usuarios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 4;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Artículo 82.3.</w:t>
      </w:r>
      <w:r w:rsidRPr="00427CF1">
        <w:rPr>
          <w:rStyle w:val="TextoNormalCaracter"/>
        </w:rPr>
        <w:t>-</w:t>
      </w:r>
      <w:r>
        <w:t xml:space="preserve"> Sentencias </w:t>
      </w:r>
      <w:hyperlink w:anchor="SENTENCIA_2016_218" w:history="1">
        <w:r w:rsidRPr="00427CF1">
          <w:rPr>
            <w:rStyle w:val="TextoNormalCaracter"/>
          </w:rPr>
          <w:t>218/2016</w:t>
        </w:r>
      </w:hyperlink>
      <w:r>
        <w:t xml:space="preserve">, ff. 4, 5; </w:t>
      </w:r>
      <w:hyperlink w:anchor="SENTENCIA_2016_221" w:history="1">
        <w:r w:rsidRPr="00427CF1">
          <w:rPr>
            <w:rStyle w:val="TextoNormalCaracter"/>
          </w:rPr>
          <w:t>221/2016</w:t>
        </w:r>
      </w:hyperlink>
      <w:r>
        <w:t xml:space="preserve">, ff. 4, 5; </w:t>
      </w:r>
      <w:hyperlink w:anchor="SENTENCIA_2016_223" w:history="1">
        <w:r w:rsidRPr="00427CF1">
          <w:rPr>
            <w:rStyle w:val="TextoNormalCaracter"/>
          </w:rPr>
          <w:t>223/2016</w:t>
        </w:r>
      </w:hyperlink>
      <w:r>
        <w:t>, ff. 3, 4.</w:t>
      </w:r>
    </w:p>
    <w:p w:rsidR="00427CF1" w:rsidRDefault="00427CF1" w:rsidP="00427CF1">
      <w:pPr>
        <w:pStyle w:val="SangriaFrancesaArticulo"/>
      </w:pPr>
    </w:p>
    <w:p w:rsidR="00427CF1" w:rsidRDefault="00427CF1" w:rsidP="00427CF1">
      <w:pPr>
        <w:pStyle w:val="TextoNormalNegritaCursivandice"/>
      </w:pPr>
      <w:r>
        <w:t>Ley 30/1984, de 2 de agosto. Medidas para la reforma de la función pública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4" w:history="1">
        <w:r w:rsidRPr="00427CF1">
          <w:rPr>
            <w:rStyle w:val="TextoNormalCaracter"/>
          </w:rPr>
          <w:t>204/2016</w:t>
        </w:r>
      </w:hyperlink>
      <w:r>
        <w:t>, f. 2, VP I.</w:t>
      </w:r>
    </w:p>
    <w:p w:rsidR="00427CF1" w:rsidRDefault="00427CF1" w:rsidP="00427CF1">
      <w:pPr>
        <w:pStyle w:val="SangriaFrancesaArticulo"/>
      </w:pPr>
    </w:p>
    <w:p w:rsidR="00427CF1" w:rsidRDefault="00427CF1" w:rsidP="00427CF1">
      <w:pPr>
        <w:pStyle w:val="TextoNormalNegritaCursivandice"/>
      </w:pPr>
      <w:r>
        <w:t>Ley 31/1984, de 2 de agosto. Protección por desempleo, por la que se modifica el Título II de la Ley 51/1980, de 8 de octubre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5" w:history="1">
        <w:r w:rsidRPr="00427CF1">
          <w:rPr>
            <w:rStyle w:val="TextoNormalCaracter"/>
          </w:rPr>
          <w:t>135/2016</w:t>
        </w:r>
      </w:hyperlink>
      <w:r>
        <w:t>, f. 2.</w:t>
      </w:r>
    </w:p>
    <w:p w:rsidR="00427CF1" w:rsidRDefault="00427CF1" w:rsidP="00427CF1">
      <w:pPr>
        <w:pStyle w:val="SangriaFrancesaArticulo"/>
      </w:pPr>
    </w:p>
    <w:p w:rsidR="00427CF1" w:rsidRDefault="00427CF1" w:rsidP="00427CF1">
      <w:pPr>
        <w:pStyle w:val="TextoNormalNegritaCursivandice"/>
      </w:pPr>
      <w:r>
        <w:t>Ley 2/1985, de 21 de enero. Protección Civil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84" w:history="1">
        <w:r w:rsidRPr="00427CF1">
          <w:rPr>
            <w:rStyle w:val="TextoNormalCaracter"/>
          </w:rPr>
          <w:t>184/2016</w:t>
        </w:r>
      </w:hyperlink>
      <w:r>
        <w:t>, f. 7.</w:t>
      </w:r>
    </w:p>
    <w:p w:rsidR="00427CF1" w:rsidRDefault="00427CF1" w:rsidP="00427CF1">
      <w:pPr>
        <w:pStyle w:val="SangriaFrancesaArticulo"/>
      </w:pPr>
    </w:p>
    <w:p w:rsidR="00427CF1" w:rsidRDefault="00427CF1" w:rsidP="00427CF1">
      <w:pPr>
        <w:pStyle w:val="TextoNormalNegritaCursivandice"/>
      </w:pPr>
      <w:r>
        <w:t>Ley 7/1985, de 2 de abril. Reguladora de bases del régimen local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IzquierdaArticulo"/>
      </w:pPr>
      <w:r>
        <w:t xml:space="preserve">Auto </w:t>
      </w:r>
      <w:hyperlink w:anchor="AUTO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52" w:history="1">
        <w:r w:rsidRPr="00427CF1">
          <w:rPr>
            <w:rStyle w:val="TextoNormalCaracter"/>
          </w:rPr>
          <w:t>152/2016</w:t>
        </w:r>
      </w:hyperlink>
      <w:r>
        <w:t>, ff. 4, 8.</w:t>
      </w:r>
    </w:p>
    <w:p w:rsidR="00427CF1" w:rsidRDefault="00427CF1" w:rsidP="00427CF1">
      <w:pPr>
        <w:pStyle w:val="SangriaIzquierdaArticulo"/>
      </w:pPr>
      <w:r>
        <w:t xml:space="preserve">Auto </w:t>
      </w:r>
      <w:hyperlink w:anchor="AUTO_2016_206" w:history="1">
        <w:r w:rsidRPr="00427CF1">
          <w:rPr>
            <w:rStyle w:val="TextoNormalCaracter"/>
          </w:rPr>
          <w:t>206/2016</w:t>
        </w:r>
      </w:hyperlink>
      <w:r>
        <w:t>, f. 5.</w:t>
      </w:r>
    </w:p>
    <w:p w:rsidR="00427CF1" w:rsidRDefault="00427CF1" w:rsidP="00427CF1">
      <w:pPr>
        <w:pStyle w:val="SangriaFrancesaArticulo"/>
      </w:pPr>
      <w:r w:rsidRPr="00427CF1">
        <w:rPr>
          <w:rStyle w:val="TextoNormalNegritaCaracter"/>
        </w:rPr>
        <w:t>Artículo 7.3</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7.4</w:t>
      </w:r>
      <w:r>
        <w:t xml:space="preserve"> (redactado por la Ley 27/2013, de 27 de diciembre)</w:t>
      </w:r>
      <w:r w:rsidRPr="00427CF1">
        <w:rPr>
          <w:rStyle w:val="TextoNormalNegritaCaracter"/>
        </w:rPr>
        <w:t>.</w:t>
      </w:r>
      <w:r w:rsidRPr="00427CF1">
        <w:rPr>
          <w:rStyle w:val="TextoNormalCaracter"/>
        </w:rPr>
        <w:t>-</w:t>
      </w:r>
      <w:r>
        <w:t xml:space="preserve"> Sentencias </w:t>
      </w:r>
      <w:hyperlink w:anchor="SENTENCIA_2016_168" w:history="1">
        <w:r w:rsidRPr="00427CF1">
          <w:rPr>
            <w:rStyle w:val="TextoNormalCaracter"/>
          </w:rPr>
          <w:t>168/2016</w:t>
        </w:r>
      </w:hyperlink>
      <w:r>
        <w:t xml:space="preserve">, f. 3; </w:t>
      </w:r>
      <w:hyperlink w:anchor="SENTENCIA_2016_180" w:history="1">
        <w:r w:rsidRPr="00427CF1">
          <w:rPr>
            <w:rStyle w:val="TextoNormalCaracter"/>
          </w:rPr>
          <w:t>180/2016</w:t>
        </w:r>
      </w:hyperlink>
      <w:r>
        <w:t>, ff. 3, 4, 8.</w:t>
      </w:r>
    </w:p>
    <w:p w:rsidR="00427CF1" w:rsidRDefault="00427CF1" w:rsidP="00427CF1">
      <w:pPr>
        <w:pStyle w:val="SangriaFrancesaArticulo"/>
      </w:pPr>
      <w:r w:rsidRPr="00427CF1">
        <w:rPr>
          <w:rStyle w:val="TextoNormalNegritaCaracter"/>
        </w:rPr>
        <w:t>Artículo 13</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ff. 3, 8.</w:t>
      </w:r>
    </w:p>
    <w:p w:rsidR="00427CF1" w:rsidRDefault="00427CF1" w:rsidP="00427CF1">
      <w:pPr>
        <w:pStyle w:val="SangriaFrancesaArticulo"/>
      </w:pPr>
      <w:r w:rsidRPr="00427CF1">
        <w:rPr>
          <w:rStyle w:val="TextoNormalNegritaCaracter"/>
        </w:rPr>
        <w:t>Artículo 18.1 g)</w:t>
      </w:r>
      <w:r>
        <w:t xml:space="preserve"> (redactado por la Ley 57/2003, de 16 de diciembre)</w:t>
      </w:r>
      <w:r w:rsidRPr="00427CF1">
        <w:rPr>
          <w:rStyle w:val="TextoNormalNegritaCaracter"/>
        </w:rPr>
        <w:t>.</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19 a 24 bis</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24 bis.</w:t>
      </w:r>
      <w:r w:rsidRPr="00427CF1">
        <w:rPr>
          <w:rStyle w:val="TextoNormalCaracter"/>
        </w:rPr>
        <w:t>-</w:t>
      </w:r>
      <w:r>
        <w:t xml:space="preserve"> Sentencia </w:t>
      </w:r>
      <w:hyperlink w:anchor="SENTENCIA_2016_168" w:history="1">
        <w:r w:rsidRPr="00427CF1">
          <w:rPr>
            <w:rStyle w:val="TextoNormalCaracter"/>
          </w:rPr>
          <w:t>168/2016</w:t>
        </w:r>
      </w:hyperlink>
      <w:r>
        <w:t>, f. 3.</w:t>
      </w:r>
    </w:p>
    <w:p w:rsidR="00427CF1" w:rsidRDefault="00427CF1" w:rsidP="00427CF1">
      <w:pPr>
        <w:pStyle w:val="SangriaFrancesaArticulo"/>
      </w:pPr>
      <w:r w:rsidRPr="00427CF1">
        <w:rPr>
          <w:rStyle w:val="TextoNormalNegritaCaracter"/>
        </w:rPr>
        <w:t>Artículo 24 bis</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ff. 5, 8.</w:t>
      </w:r>
    </w:p>
    <w:p w:rsidR="00427CF1" w:rsidRDefault="00427CF1" w:rsidP="00427CF1">
      <w:pPr>
        <w:pStyle w:val="SangriaIzquierdaArticulo"/>
      </w:pPr>
      <w:r>
        <w:t xml:space="preserve">Auto </w:t>
      </w:r>
      <w:hyperlink w:anchor="AUTO_2016_158" w:history="1">
        <w:r w:rsidRPr="00427CF1">
          <w:rPr>
            <w:rStyle w:val="TextoNormalCaracter"/>
          </w:rPr>
          <w:t>158/2016</w:t>
        </w:r>
      </w:hyperlink>
      <w:r>
        <w:t>, f. 3.</w:t>
      </w:r>
    </w:p>
    <w:p w:rsidR="00427CF1" w:rsidRDefault="00427CF1" w:rsidP="00427CF1">
      <w:pPr>
        <w:pStyle w:val="SangriaFrancesaArticulo"/>
      </w:pPr>
      <w:r w:rsidRPr="00427CF1">
        <w:rPr>
          <w:rStyle w:val="TextoNormalNegritaCaracter"/>
        </w:rPr>
        <w:t>Artículo 24 bis apartado 1</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68" w:history="1">
        <w:r w:rsidRPr="00427CF1">
          <w:rPr>
            <w:rStyle w:val="TextoNormalCaracter"/>
          </w:rPr>
          <w:t>168/2016</w:t>
        </w:r>
      </w:hyperlink>
      <w:r>
        <w:t>, ff. 2, 3.</w:t>
      </w:r>
    </w:p>
    <w:p w:rsidR="00427CF1" w:rsidRDefault="00427CF1" w:rsidP="00427CF1">
      <w:pPr>
        <w:pStyle w:val="SangriaFrancesaArticulo"/>
      </w:pPr>
      <w:r w:rsidRPr="00427CF1">
        <w:rPr>
          <w:rStyle w:val="TextoNormalNegritaCaracter"/>
        </w:rPr>
        <w:t>Artículo 24 bis apartado 3</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68" w:history="1">
        <w:r w:rsidRPr="00427CF1">
          <w:rPr>
            <w:rStyle w:val="TextoNormalCaracter"/>
          </w:rPr>
          <w:t>168/2016</w:t>
        </w:r>
      </w:hyperlink>
      <w:r>
        <w:t>, f. 2.</w:t>
      </w:r>
    </w:p>
    <w:p w:rsidR="00427CF1" w:rsidRDefault="00427CF1" w:rsidP="00427CF1">
      <w:pPr>
        <w:pStyle w:val="SangriaFrancesaArticulo"/>
      </w:pPr>
      <w:r w:rsidRPr="00427CF1">
        <w:rPr>
          <w:rStyle w:val="TextoNormalNegritaCaracter"/>
        </w:rPr>
        <w:t>Artículo 25</w:t>
      </w:r>
      <w:r>
        <w:t xml:space="preserve"> (redactado por la Ley 27/2013, de 27 de diciembre)</w:t>
      </w:r>
      <w:r w:rsidRPr="00427CF1">
        <w:rPr>
          <w:rStyle w:val="TextoNormalNegritaCaracter"/>
        </w:rPr>
        <w:t>.</w:t>
      </w:r>
      <w:r w:rsidRPr="00427CF1">
        <w:rPr>
          <w:rStyle w:val="TextoNormalCaracter"/>
        </w:rPr>
        <w:t>-</w:t>
      </w:r>
      <w:r>
        <w:t xml:space="preserve"> Sentencias </w:t>
      </w:r>
      <w:hyperlink w:anchor="SENTENCIA_2016_168" w:history="1">
        <w:r w:rsidRPr="00427CF1">
          <w:rPr>
            <w:rStyle w:val="TextoNormalCaracter"/>
          </w:rPr>
          <w:t>168/2016</w:t>
        </w:r>
      </w:hyperlink>
      <w:r>
        <w:t xml:space="preserve">, f. 3; </w:t>
      </w:r>
      <w:hyperlink w:anchor="SENTENCIA_2016_180" w:history="1">
        <w:r w:rsidRPr="00427CF1">
          <w:rPr>
            <w:rStyle w:val="TextoNormalCaracter"/>
          </w:rPr>
          <w:t>180/2016</w:t>
        </w:r>
      </w:hyperlink>
      <w:r>
        <w:t>, f. 6.</w:t>
      </w:r>
    </w:p>
    <w:p w:rsidR="00427CF1" w:rsidRDefault="00427CF1" w:rsidP="00427CF1">
      <w:pPr>
        <w:pStyle w:val="SangriaFrancesaArticulo"/>
      </w:pPr>
      <w:r w:rsidRPr="00427CF1">
        <w:rPr>
          <w:rStyle w:val="TextoNormalNegritaCaracter"/>
        </w:rPr>
        <w:t>Artículo 25.2.</w:t>
      </w:r>
      <w:r w:rsidRPr="00427CF1">
        <w:rPr>
          <w:rStyle w:val="TextoNormalCaracter"/>
        </w:rPr>
        <w:t>-</w:t>
      </w:r>
      <w:r>
        <w:t xml:space="preserve"> Sentencias </w:t>
      </w:r>
      <w:hyperlink w:anchor="SENTENCIA_2016_152" w:history="1">
        <w:r w:rsidRPr="00427CF1">
          <w:rPr>
            <w:rStyle w:val="TextoNormalCaracter"/>
          </w:rPr>
          <w:t>152/2016</w:t>
        </w:r>
      </w:hyperlink>
      <w:r>
        <w:t xml:space="preserve">, f. 4;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25.2 c).</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25.2 h).</w:t>
      </w:r>
      <w:r w:rsidRPr="00427CF1">
        <w:rPr>
          <w:rStyle w:val="TextoNormalCaracter"/>
        </w:rPr>
        <w:t>-</w:t>
      </w:r>
      <w:r>
        <w:t xml:space="preserve"> Auto </w:t>
      </w:r>
      <w:hyperlink w:anchor="AUTO_2016_206" w:history="1">
        <w:r w:rsidRPr="00427CF1">
          <w:rPr>
            <w:rStyle w:val="TextoNormalCaracter"/>
          </w:rPr>
          <w:t>206/2016</w:t>
        </w:r>
      </w:hyperlink>
      <w:r>
        <w:t>, f. 4.</w:t>
      </w:r>
    </w:p>
    <w:p w:rsidR="00427CF1" w:rsidRDefault="00427CF1" w:rsidP="00427CF1">
      <w:pPr>
        <w:pStyle w:val="SangriaFrancesaArticulo"/>
      </w:pPr>
      <w:r w:rsidRPr="00427CF1">
        <w:rPr>
          <w:rStyle w:val="TextoNormalNegritaCaracter"/>
        </w:rPr>
        <w:t>Artículo 25.2 m).</w:t>
      </w:r>
      <w:r w:rsidRPr="00427CF1">
        <w:rPr>
          <w:rStyle w:val="TextoNormalCaracter"/>
        </w:rPr>
        <w:t>-</w:t>
      </w:r>
      <w:r>
        <w:t xml:space="preserve"> Auto </w:t>
      </w:r>
      <w:hyperlink w:anchor="AUTO_2016_206" w:history="1">
        <w:r w:rsidRPr="00427CF1">
          <w:rPr>
            <w:rStyle w:val="TextoNormalCaracter"/>
          </w:rPr>
          <w:t>206/2016</w:t>
        </w:r>
      </w:hyperlink>
      <w:r>
        <w:t>, f. 4.</w:t>
      </w:r>
    </w:p>
    <w:p w:rsidR="00427CF1" w:rsidRDefault="00427CF1" w:rsidP="00427CF1">
      <w:pPr>
        <w:pStyle w:val="SangriaFrancesaArticulo"/>
      </w:pPr>
      <w:r w:rsidRPr="00427CF1">
        <w:rPr>
          <w:rStyle w:val="TextoNormalNegritaCaracter"/>
        </w:rPr>
        <w:t>Artículo 25.3</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4.</w:t>
      </w:r>
    </w:p>
    <w:p w:rsidR="00427CF1" w:rsidRDefault="00427CF1" w:rsidP="00427CF1">
      <w:pPr>
        <w:pStyle w:val="SangriaFrancesaArticulo"/>
      </w:pPr>
      <w:r w:rsidRPr="00427CF1">
        <w:rPr>
          <w:rStyle w:val="TextoNormalNegritaCaracter"/>
        </w:rPr>
        <w:t>Artículo 25.4</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4.</w:t>
      </w:r>
    </w:p>
    <w:p w:rsidR="00427CF1" w:rsidRDefault="00427CF1" w:rsidP="00427CF1">
      <w:pPr>
        <w:pStyle w:val="SangriaFrancesaArticulo"/>
      </w:pPr>
      <w:r w:rsidRPr="00427CF1">
        <w:rPr>
          <w:rStyle w:val="TextoNormalNegritaCaracter"/>
        </w:rPr>
        <w:t>Artículo 25.5</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4.</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Sentencias </w:t>
      </w:r>
      <w:hyperlink w:anchor="SENTENCIA_2016_152" w:history="1">
        <w:r w:rsidRPr="00427CF1">
          <w:rPr>
            <w:rStyle w:val="TextoNormalCaracter"/>
          </w:rPr>
          <w:t>152/2016</w:t>
        </w:r>
      </w:hyperlink>
      <w:r>
        <w:t xml:space="preserve">, f. 4;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26</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26.1.</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26.2.</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26.2</w:t>
      </w:r>
      <w:r>
        <w:t xml:space="preserve"> (redactado  por la Ley 27/2013, de 27 de diciembre)</w:t>
      </w:r>
      <w:r w:rsidRPr="00427CF1">
        <w:rPr>
          <w:rStyle w:val="TextoNormalNegritaCaracter"/>
        </w:rPr>
        <w:t>.</w:t>
      </w:r>
      <w:r w:rsidRPr="00427CF1">
        <w:rPr>
          <w:rStyle w:val="TextoNormalCaracter"/>
        </w:rPr>
        <w:t>-</w:t>
      </w:r>
      <w:r>
        <w:t xml:space="preserve"> Sentencias </w:t>
      </w:r>
      <w:hyperlink w:anchor="SENTENCIA_2016_168" w:history="1">
        <w:r w:rsidRPr="00427CF1">
          <w:rPr>
            <w:rStyle w:val="TextoNormalCaracter"/>
          </w:rPr>
          <w:t>168/2016</w:t>
        </w:r>
      </w:hyperlink>
      <w:r>
        <w:t xml:space="preserve">, ff. 2, 5; </w:t>
      </w:r>
      <w:hyperlink w:anchor="SENTENCIA_2016_180" w:history="1">
        <w:r w:rsidRPr="00427CF1">
          <w:rPr>
            <w:rStyle w:val="TextoNormalCaracter"/>
          </w:rPr>
          <w:t>180/2016</w:t>
        </w:r>
      </w:hyperlink>
      <w:r>
        <w:t>, ff. 2, 4.</w:t>
      </w:r>
    </w:p>
    <w:p w:rsidR="00427CF1" w:rsidRDefault="00427CF1" w:rsidP="00427CF1">
      <w:pPr>
        <w:pStyle w:val="SangriaFrancesaArticulo"/>
      </w:pPr>
      <w:r w:rsidRPr="00427CF1">
        <w:rPr>
          <w:rStyle w:val="TextoNormalNegritaCaracter"/>
        </w:rPr>
        <w:t>Artículo 27</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Artículos 31 a 38.</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152" w:history="1">
        <w:r w:rsidRPr="00427CF1">
          <w:rPr>
            <w:rStyle w:val="TextoNormalCaracter"/>
          </w:rPr>
          <w:t>152/2016</w:t>
        </w:r>
      </w:hyperlink>
      <w:r>
        <w:t>, f. 4.</w:t>
      </w:r>
    </w:p>
    <w:p w:rsidR="00427CF1" w:rsidRDefault="00427CF1" w:rsidP="00427CF1">
      <w:pPr>
        <w:pStyle w:val="SangriaFrancesaArticulo"/>
      </w:pPr>
      <w:r w:rsidRPr="00427CF1">
        <w:rPr>
          <w:rStyle w:val="TextoNormalNegritaCaracter"/>
        </w:rPr>
        <w:t>Artículo 36</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36.1 b).</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36.1 g)</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Artículo 36.1 h).</w:t>
      </w:r>
      <w:r w:rsidRPr="00427CF1">
        <w:rPr>
          <w:rStyle w:val="TextoNormalCaracter"/>
        </w:rPr>
        <w:t>-</w:t>
      </w:r>
      <w:r>
        <w:t xml:space="preserve"> Sentencia </w:t>
      </w:r>
      <w:hyperlink w:anchor="SENTENCIA_2016_168" w:history="1">
        <w:r w:rsidRPr="00427CF1">
          <w:rPr>
            <w:rStyle w:val="TextoNormalCaracter"/>
          </w:rPr>
          <w:t>168/2016</w:t>
        </w:r>
      </w:hyperlink>
      <w:r>
        <w:t>, f. 5.</w:t>
      </w:r>
    </w:p>
    <w:p w:rsidR="00427CF1" w:rsidRDefault="00427CF1" w:rsidP="00427CF1">
      <w:pPr>
        <w:pStyle w:val="SangriaFrancesaArticulo"/>
      </w:pPr>
      <w:r w:rsidRPr="00427CF1">
        <w:rPr>
          <w:rStyle w:val="TextoNormalNegritaCaracter"/>
        </w:rPr>
        <w:t>Artículo 36.2 a)</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ff. 2, 3, 8.</w:t>
      </w:r>
    </w:p>
    <w:p w:rsidR="00427CF1" w:rsidRDefault="00427CF1" w:rsidP="00427CF1">
      <w:pPr>
        <w:pStyle w:val="SangriaFrancesaArticulo"/>
      </w:pPr>
      <w:r w:rsidRPr="00427CF1">
        <w:rPr>
          <w:rStyle w:val="TextoNormalNegritaCaracter"/>
        </w:rPr>
        <w:t>Artículo 36.2 a), párrafo 2.</w:t>
      </w:r>
      <w:r w:rsidRPr="00427CF1">
        <w:rPr>
          <w:rStyle w:val="TextoNormalCaracter"/>
        </w:rPr>
        <w:t>-</w:t>
      </w:r>
      <w:r>
        <w:t xml:space="preserve"> Sentencias </w:t>
      </w:r>
      <w:hyperlink w:anchor="SENTENCIA_2016_152" w:history="1">
        <w:r w:rsidRPr="00427CF1">
          <w:rPr>
            <w:rStyle w:val="TextoNormalCaracter"/>
          </w:rPr>
          <w:t>152/2016</w:t>
        </w:r>
      </w:hyperlink>
      <w:r>
        <w:t xml:space="preserve">, f. 5;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42.1.</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42.3.</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42.4.</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44</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45</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68" w:history="1">
        <w:r w:rsidRPr="00427CF1">
          <w:rPr>
            <w:rStyle w:val="TextoNormalCaracter"/>
          </w:rPr>
          <w:t>168/2016</w:t>
        </w:r>
      </w:hyperlink>
      <w:r>
        <w:t>, f. 3.</w:t>
      </w:r>
    </w:p>
    <w:p w:rsidR="00427CF1" w:rsidRDefault="00427CF1" w:rsidP="00427CF1">
      <w:pPr>
        <w:pStyle w:val="SangriaFrancesaArticulo"/>
      </w:pPr>
      <w:r w:rsidRPr="00427CF1">
        <w:rPr>
          <w:rStyle w:val="TextoNormalNegritaCaracter"/>
        </w:rPr>
        <w:t>Artículo 47.2.</w:t>
      </w:r>
      <w:r w:rsidRPr="00427CF1">
        <w:rPr>
          <w:rStyle w:val="TextoNormalCaracter"/>
        </w:rPr>
        <w:t>-</w:t>
      </w:r>
      <w:r>
        <w:t xml:space="preserve"> Sentencia </w:t>
      </w:r>
      <w:hyperlink w:anchor="SENTENCIA_2016_127" w:history="1">
        <w:r w:rsidRPr="00427CF1">
          <w:rPr>
            <w:rStyle w:val="TextoNormalCaracter"/>
          </w:rPr>
          <w:t>127/2016</w:t>
        </w:r>
      </w:hyperlink>
      <w:r>
        <w:t>, f. 2.</w:t>
      </w:r>
    </w:p>
    <w:p w:rsidR="00427CF1" w:rsidRDefault="00427CF1" w:rsidP="00427CF1">
      <w:pPr>
        <w:pStyle w:val="SangriaFrancesaArticulo"/>
      </w:pPr>
      <w:r w:rsidRPr="00427CF1">
        <w:rPr>
          <w:rStyle w:val="TextoNormalNegritaCaracter"/>
        </w:rPr>
        <w:t>Artículo 47.2</w:t>
      </w:r>
      <w:r>
        <w:t xml:space="preserve"> (redactado por la Ley 57/2003, de 16 de diciembre)</w:t>
      </w:r>
      <w:r w:rsidRPr="00427CF1">
        <w:rPr>
          <w:rStyle w:val="TextoNormalNegritaCaracter"/>
        </w:rPr>
        <w:t>.</w:t>
      </w:r>
      <w:r w:rsidRPr="00427CF1">
        <w:rPr>
          <w:rStyle w:val="TextoNormalCaracter"/>
        </w:rPr>
        <w:t>-</w:t>
      </w:r>
      <w:r>
        <w:t xml:space="preserve"> Sentencias </w:t>
      </w:r>
      <w:hyperlink w:anchor="SENTENCIA_2016_127" w:history="1">
        <w:r w:rsidRPr="00427CF1">
          <w:rPr>
            <w:rStyle w:val="TextoNormalCaracter"/>
          </w:rPr>
          <w:t>127/2016</w:t>
        </w:r>
      </w:hyperlink>
      <w:r>
        <w:t xml:space="preserve">, f. 2, VP; </w:t>
      </w:r>
      <w:hyperlink w:anchor="SENTENCIA_2016_204" w:history="1">
        <w:r w:rsidRPr="00427CF1">
          <w:rPr>
            <w:rStyle w:val="TextoNormalCaracter"/>
          </w:rPr>
          <w:t>204/2016</w:t>
        </w:r>
      </w:hyperlink>
      <w:r>
        <w:t>, VP II.</w:t>
      </w:r>
    </w:p>
    <w:p w:rsidR="00427CF1" w:rsidRDefault="00427CF1" w:rsidP="00427CF1">
      <w:pPr>
        <w:pStyle w:val="SangriaFrancesaArticulo"/>
      </w:pPr>
      <w:r w:rsidRPr="00427CF1">
        <w:rPr>
          <w:rStyle w:val="TextoNormalNegritaCaracter"/>
        </w:rPr>
        <w:t>Artículo 47.2 a).</w:t>
      </w:r>
      <w:r w:rsidRPr="00427CF1">
        <w:rPr>
          <w:rStyle w:val="TextoNormalCaracter"/>
        </w:rPr>
        <w:t>-</w:t>
      </w:r>
      <w:r>
        <w:t xml:space="preserve"> Sentencia </w:t>
      </w:r>
      <w:hyperlink w:anchor="SENTENCIA_2016_127" w:history="1">
        <w:r w:rsidRPr="00427CF1">
          <w:rPr>
            <w:rStyle w:val="TextoNormalCaracter"/>
          </w:rPr>
          <w:t>127/2016</w:t>
        </w:r>
      </w:hyperlink>
      <w:r>
        <w:t>, ff. 1, 3.</w:t>
      </w:r>
    </w:p>
    <w:p w:rsidR="00427CF1" w:rsidRDefault="00427CF1" w:rsidP="00427CF1">
      <w:pPr>
        <w:pStyle w:val="SangriaFrancesaArticulo"/>
      </w:pPr>
      <w:r w:rsidRPr="00427CF1">
        <w:rPr>
          <w:rStyle w:val="TextoNormalNegritaCaracter"/>
        </w:rPr>
        <w:t>Artículo 47.2 a)</w:t>
      </w:r>
      <w:r>
        <w:t xml:space="preserve"> (redactado por la Ley 57/2003, de 16 de diciembre)</w:t>
      </w:r>
      <w:r w:rsidRPr="00427CF1">
        <w:rPr>
          <w:rStyle w:val="TextoNormalNegritaCaracter"/>
        </w:rPr>
        <w:t>.</w:t>
      </w:r>
      <w:r w:rsidRPr="00427CF1">
        <w:rPr>
          <w:rStyle w:val="TextoNormalCaracter"/>
        </w:rPr>
        <w:t>-</w:t>
      </w:r>
      <w:r>
        <w:t xml:space="preserve"> Sentencia </w:t>
      </w:r>
      <w:hyperlink w:anchor="SENTENCIA_2016_127" w:history="1">
        <w:r w:rsidRPr="00427CF1">
          <w:rPr>
            <w:rStyle w:val="TextoNormalCaracter"/>
          </w:rPr>
          <w:t>127/2016</w:t>
        </w:r>
      </w:hyperlink>
      <w:r>
        <w:t>, ff. 1 a 3, VP.</w:t>
      </w:r>
    </w:p>
    <w:p w:rsidR="00427CF1" w:rsidRDefault="00427CF1" w:rsidP="00427CF1">
      <w:pPr>
        <w:pStyle w:val="SangriaFrancesaArticulo"/>
      </w:pPr>
      <w:r w:rsidRPr="00427CF1">
        <w:rPr>
          <w:rStyle w:val="TextoNormalNegritaCaracter"/>
        </w:rPr>
        <w:t>Artículo 47.2 d)</w:t>
      </w:r>
      <w:r>
        <w:t xml:space="preserve"> (redactado por la Ley 57/2003, de 16 de diciembre)</w:t>
      </w:r>
      <w:r w:rsidRPr="00427CF1">
        <w:rPr>
          <w:rStyle w:val="TextoNormalNegritaCaracter"/>
        </w:rPr>
        <w:t>.</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204" w:history="1">
        <w:r w:rsidRPr="00427CF1">
          <w:rPr>
            <w:rStyle w:val="TextoNormalCaracter"/>
          </w:rPr>
          <w:t>204/2016</w:t>
        </w:r>
      </w:hyperlink>
      <w:r>
        <w:t>, VP II.</w:t>
      </w:r>
    </w:p>
    <w:p w:rsidR="00427CF1" w:rsidRDefault="00427CF1" w:rsidP="00427CF1">
      <w:pPr>
        <w:pStyle w:val="SangriaFrancesaArticulo"/>
      </w:pPr>
      <w:r w:rsidRPr="00427CF1">
        <w:rPr>
          <w:rStyle w:val="TextoNormalNegritaCaracter"/>
        </w:rPr>
        <w:t>Artículo 49.</w:t>
      </w:r>
      <w:r w:rsidRPr="00427CF1">
        <w:rPr>
          <w:rStyle w:val="TextoNormalCaracter"/>
        </w:rPr>
        <w:t>-</w:t>
      </w:r>
      <w:r>
        <w:t xml:space="preserve"> Auto </w:t>
      </w:r>
      <w:hyperlink w:anchor="AUTO_2016_206" w:history="1">
        <w:r w:rsidRPr="00427CF1">
          <w:rPr>
            <w:rStyle w:val="TextoNormalCaracter"/>
          </w:rPr>
          <w:t>206/2016</w:t>
        </w:r>
      </w:hyperlink>
      <w:r>
        <w:t>, ff. 1, 5.</w:t>
      </w:r>
    </w:p>
    <w:p w:rsidR="00427CF1" w:rsidRDefault="00427CF1" w:rsidP="00427CF1">
      <w:pPr>
        <w:pStyle w:val="SangriaFrancesaArticulo"/>
      </w:pPr>
      <w:r w:rsidRPr="00427CF1">
        <w:rPr>
          <w:rStyle w:val="TextoNormalNegritaCaracter"/>
        </w:rPr>
        <w:t>Artículo 57</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ff. 3, 8.</w:t>
      </w:r>
    </w:p>
    <w:p w:rsidR="00427CF1" w:rsidRDefault="00427CF1" w:rsidP="00427CF1">
      <w:pPr>
        <w:pStyle w:val="SangriaFrancesaArticulo"/>
      </w:pPr>
      <w:r w:rsidRPr="00427CF1">
        <w:rPr>
          <w:rStyle w:val="TextoNormalNegritaCaracter"/>
        </w:rPr>
        <w:t>Artículo 57 bis</w:t>
      </w:r>
      <w:r>
        <w:t xml:space="preserve"> (redactado por la Ley 27/2013, de 27 de diciembre)</w:t>
      </w:r>
      <w:r w:rsidRPr="00427CF1">
        <w:rPr>
          <w:rStyle w:val="TextoNormalNegritaCaracter"/>
        </w:rPr>
        <w:t>.</w:t>
      </w:r>
      <w:r w:rsidRPr="00427CF1">
        <w:rPr>
          <w:rStyle w:val="TextoNormalCaracter"/>
        </w:rPr>
        <w:t>-</w:t>
      </w:r>
      <w:r>
        <w:t xml:space="preserve"> Sentencias </w:t>
      </w:r>
      <w:hyperlink w:anchor="SENTENCIA_2016_156" w:history="1">
        <w:r w:rsidRPr="00427CF1">
          <w:rPr>
            <w:rStyle w:val="TextoNormalCaracter"/>
          </w:rPr>
          <w:t>156/2016</w:t>
        </w:r>
      </w:hyperlink>
      <w:r>
        <w:t xml:space="preserve">, f. 3;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Artículo 57.1</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7.</w:t>
      </w:r>
    </w:p>
    <w:p w:rsidR="00427CF1" w:rsidRDefault="00427CF1" w:rsidP="00427CF1">
      <w:pPr>
        <w:pStyle w:val="SangriaFrancesaArticulo"/>
      </w:pPr>
      <w:r w:rsidRPr="00427CF1">
        <w:rPr>
          <w:rStyle w:val="TextoNormalNegritaCaracter"/>
        </w:rPr>
        <w:t>Artículo 57.3</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7.</w:t>
      </w:r>
    </w:p>
    <w:p w:rsidR="00427CF1" w:rsidRDefault="00427CF1" w:rsidP="00427CF1">
      <w:pPr>
        <w:pStyle w:val="SangriaFrancesaArticulo"/>
      </w:pPr>
      <w:r w:rsidRPr="00427CF1">
        <w:rPr>
          <w:rStyle w:val="TextoNormalNegritaCaracter"/>
        </w:rPr>
        <w:t>Artículo 60.</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61.1.</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67.</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85.2.</w:t>
      </w:r>
      <w:r w:rsidRPr="00427CF1">
        <w:rPr>
          <w:rStyle w:val="TextoNormalCaracter"/>
        </w:rPr>
        <w:t>-</w:t>
      </w:r>
      <w:r>
        <w:t xml:space="preserve"> Auto </w:t>
      </w:r>
      <w:hyperlink w:anchor="AUTO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Artículo 85.2</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ff. 3, 6.</w:t>
      </w:r>
    </w:p>
    <w:p w:rsidR="00427CF1" w:rsidRDefault="00427CF1" w:rsidP="00427CF1">
      <w:pPr>
        <w:pStyle w:val="SangriaFrancesaArticulo"/>
      </w:pPr>
      <w:r w:rsidRPr="00427CF1">
        <w:rPr>
          <w:rStyle w:val="TextoNormalNegritaCaracter"/>
        </w:rPr>
        <w:t>Artículo 85.2 b)</w:t>
      </w:r>
      <w:r>
        <w:t xml:space="preserve"> (redactado por la Ley 57/2003, de 16 de diciembre)</w:t>
      </w:r>
      <w:r w:rsidRPr="00427CF1">
        <w:rPr>
          <w:rStyle w:val="TextoNormalNegritaCaracter"/>
        </w:rPr>
        <w:t>.</w:t>
      </w:r>
      <w:r w:rsidRPr="00427CF1">
        <w:rPr>
          <w:rStyle w:val="TextoNormalCaracter"/>
        </w:rPr>
        <w:t>-</w:t>
      </w:r>
      <w:r>
        <w:t xml:space="preserve"> Auto </w:t>
      </w:r>
      <w:hyperlink w:anchor="AUTO_2016_167" w:history="1">
        <w:r w:rsidRPr="00427CF1">
          <w:rPr>
            <w:rStyle w:val="TextoNormalCaracter"/>
          </w:rPr>
          <w:t>167/2016</w:t>
        </w:r>
      </w:hyperlink>
      <w:r>
        <w:t>, ff. 1, 3.</w:t>
      </w:r>
    </w:p>
    <w:p w:rsidR="00427CF1" w:rsidRDefault="00427CF1" w:rsidP="00427CF1">
      <w:pPr>
        <w:pStyle w:val="SangriaFrancesaArticulo"/>
      </w:pPr>
      <w:r w:rsidRPr="00427CF1">
        <w:rPr>
          <w:rStyle w:val="TextoNormalNegritaCaracter"/>
        </w:rPr>
        <w:t>Artículo 116 bis</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116 bis, apartado 1</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116 bis, apartado 2</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116 bis, apartado 3</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116 ter</w:t>
      </w:r>
      <w:r>
        <w:t xml:space="preserve"> (redactado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ff. 3, 4.</w:t>
      </w:r>
    </w:p>
    <w:p w:rsidR="00427CF1" w:rsidRDefault="00427CF1" w:rsidP="00427CF1">
      <w:pPr>
        <w:pStyle w:val="SangriaFrancesaArticulo"/>
      </w:pPr>
      <w:r w:rsidRPr="00427CF1">
        <w:rPr>
          <w:rStyle w:val="TextoNormalNegritaCaracter"/>
        </w:rPr>
        <w:t>Disposición adicional primera, apartado 2.</w:t>
      </w:r>
      <w:r w:rsidRPr="00427CF1">
        <w:rPr>
          <w:rStyle w:val="TextoNormalCaracter"/>
        </w:rPr>
        <w:t>-</w:t>
      </w:r>
      <w:r>
        <w:t xml:space="preserve"> Sentencia </w:t>
      </w:r>
      <w:hyperlink w:anchor="SENTENCIA_2016_180" w:history="1">
        <w:r w:rsidRPr="00427CF1">
          <w:rPr>
            <w:rStyle w:val="TextoNormalCaracter"/>
          </w:rPr>
          <w:t>180/2016</w:t>
        </w:r>
      </w:hyperlink>
      <w:r>
        <w:t>, f. 4.</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Sentencia </w:t>
      </w:r>
      <w:hyperlink w:anchor="SENTENCIA_2016_180" w:history="1">
        <w:r w:rsidRPr="00427CF1">
          <w:rPr>
            <w:rStyle w:val="TextoNormalCaracter"/>
          </w:rPr>
          <w:t>180/2016</w:t>
        </w:r>
      </w:hyperlink>
      <w:r>
        <w:t>, ff. 4, 5.</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 </w:t>
      </w:r>
      <w:hyperlink w:anchor="SENTENCIA_2016_180" w:history="1">
        <w:r w:rsidRPr="00427CF1">
          <w:rPr>
            <w:rStyle w:val="TextoNormalCaracter"/>
          </w:rPr>
          <w:t>180/2016</w:t>
        </w:r>
      </w:hyperlink>
      <w:r>
        <w:t>, ff. 4, 5.</w:t>
      </w:r>
    </w:p>
    <w:p w:rsidR="00427CF1" w:rsidRDefault="00427CF1" w:rsidP="00427CF1">
      <w:pPr>
        <w:pStyle w:val="SangriaFrancesaArticulo"/>
      </w:pPr>
      <w:r w:rsidRPr="00427CF1">
        <w:rPr>
          <w:rStyle w:val="TextoNormalNegritaCaracter"/>
        </w:rPr>
        <w:t>Disposición adicional decimosexta</w:t>
      </w:r>
      <w:r>
        <w:t xml:space="preserve"> (redactada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ff. 2, 3, 8.</w:t>
      </w:r>
    </w:p>
    <w:p w:rsidR="00427CF1" w:rsidRDefault="00427CF1" w:rsidP="00427CF1">
      <w:pPr>
        <w:pStyle w:val="SangriaFrancesaArticulo"/>
      </w:pPr>
    </w:p>
    <w:p w:rsidR="00427CF1" w:rsidRDefault="00427CF1" w:rsidP="00427CF1">
      <w:pPr>
        <w:pStyle w:val="TextoNormalNegritaCursivandice"/>
      </w:pPr>
      <w:r>
        <w:t>Ley 16/1985, de 25 de junio. Patrimonio histórico español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f. 6.</w:t>
      </w:r>
    </w:p>
    <w:p w:rsidR="00427CF1" w:rsidRDefault="00427CF1" w:rsidP="00427CF1">
      <w:pPr>
        <w:pStyle w:val="SangriaFrancesaArticulo"/>
      </w:pPr>
    </w:p>
    <w:p w:rsidR="00427CF1" w:rsidRDefault="00427CF1" w:rsidP="00427CF1">
      <w:pPr>
        <w:pStyle w:val="TextoNormalNegritaCursivandice"/>
      </w:pPr>
      <w:r>
        <w:t>Ley 4/1986, de 8 de enero. Cesión de bienes del patrimonio sindical acumulado</w:t>
      </w:r>
    </w:p>
    <w:p w:rsidR="00427CF1" w:rsidRDefault="00427CF1" w:rsidP="00427CF1">
      <w:pPr>
        <w:pStyle w:val="SangriaFrancesaArticulo"/>
      </w:pPr>
      <w:r w:rsidRPr="00427CF1">
        <w:rPr>
          <w:rStyle w:val="TextoNormalNegritaCaracter"/>
        </w:rPr>
        <w:t>Disposición adicional cuarta</w:t>
      </w:r>
      <w:r>
        <w:t xml:space="preserve"> (redactada por el Real Decreto-ley 13/2005, de 28 de octubre)</w:t>
      </w:r>
      <w:r w:rsidRPr="00427CF1">
        <w:rPr>
          <w:rStyle w:val="TextoNormalNegritaCaracter"/>
        </w:rPr>
        <w:t>.</w:t>
      </w:r>
      <w:r w:rsidRPr="00427CF1">
        <w:rPr>
          <w:rStyle w:val="TextoNormalCaracter"/>
        </w:rPr>
        <w:t>-</w:t>
      </w:r>
      <w:r>
        <w:t xml:space="preserve"> Sentencia </w:t>
      </w:r>
      <w:hyperlink w:anchor="SENTENCIA_2016_125" w:history="1">
        <w:r w:rsidRPr="00427CF1">
          <w:rPr>
            <w:rStyle w:val="TextoNormalCaracter"/>
          </w:rPr>
          <w:t>125/2016</w:t>
        </w:r>
      </w:hyperlink>
      <w:r>
        <w:t>, ff. 1 a 4.</w:t>
      </w:r>
    </w:p>
    <w:p w:rsidR="00427CF1" w:rsidRDefault="00427CF1" w:rsidP="00427CF1">
      <w:pPr>
        <w:pStyle w:val="SangriaFrancesaArticulo"/>
      </w:pPr>
      <w:r w:rsidRPr="00427CF1">
        <w:rPr>
          <w:rStyle w:val="TextoNormalNegritaCaracter"/>
        </w:rPr>
        <w:t>Disposición adicional cuarta apartado 2</w:t>
      </w:r>
      <w:r>
        <w:t xml:space="preserve"> (redactada por el Real Decreto-ley 13/2005, de 28 de octubre)</w:t>
      </w:r>
      <w:r w:rsidRPr="00427CF1">
        <w:rPr>
          <w:rStyle w:val="TextoNormalNegritaCaracter"/>
        </w:rPr>
        <w:t>.</w:t>
      </w:r>
      <w:r w:rsidRPr="00427CF1">
        <w:rPr>
          <w:rStyle w:val="TextoNormalCaracter"/>
        </w:rPr>
        <w:t>-</w:t>
      </w:r>
      <w:r>
        <w:t xml:space="preserve"> Sentencia </w:t>
      </w:r>
      <w:hyperlink w:anchor="SENTENCIA_2016_125" w:history="1">
        <w:r w:rsidRPr="00427CF1">
          <w:rPr>
            <w:rStyle w:val="TextoNormalCaracter"/>
          </w:rPr>
          <w:t>125/2016</w:t>
        </w:r>
      </w:hyperlink>
      <w:r>
        <w:t>, f. 4.</w:t>
      </w:r>
    </w:p>
    <w:p w:rsidR="00427CF1" w:rsidRDefault="00427CF1" w:rsidP="00427CF1">
      <w:pPr>
        <w:pStyle w:val="SangriaFrancesaArticulo"/>
      </w:pPr>
    </w:p>
    <w:p w:rsidR="00427CF1" w:rsidRDefault="00427CF1" w:rsidP="00427CF1">
      <w:pPr>
        <w:pStyle w:val="TextoNormalNegritaCursivandice"/>
      </w:pPr>
      <w:r>
        <w:t>Ley 14/1986, de 25 de abril. General de sanidad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Artículo 80.</w:t>
      </w:r>
      <w:r w:rsidRPr="00427CF1">
        <w:rPr>
          <w:rStyle w:val="TextoNormalCaracter"/>
        </w:rPr>
        <w:t>-</w:t>
      </w:r>
      <w:r>
        <w:t xml:space="preserve"> Sentencia </w:t>
      </w:r>
      <w:hyperlink w:anchor="SENTENCIA_2016_139" w:history="1">
        <w:r w:rsidRPr="00427CF1">
          <w:rPr>
            <w:rStyle w:val="TextoNormalCaracter"/>
          </w:rPr>
          <w:t>139/2016</w:t>
        </w:r>
      </w:hyperlink>
      <w:r>
        <w:t>, f. 9.</w:t>
      </w:r>
    </w:p>
    <w:p w:rsidR="00427CF1" w:rsidRDefault="00427CF1" w:rsidP="00427CF1">
      <w:pPr>
        <w:pStyle w:val="SangriaFrancesaArticulo"/>
      </w:pPr>
      <w:r w:rsidRPr="00427CF1">
        <w:rPr>
          <w:rStyle w:val="TextoNormalNegritaCaracter"/>
        </w:rPr>
        <w:t>Artículo 84.</w:t>
      </w:r>
      <w:r w:rsidRPr="00427CF1">
        <w:rPr>
          <w:rStyle w:val="TextoNormalCaracter"/>
        </w:rPr>
        <w:t>-</w:t>
      </w:r>
      <w:r>
        <w:t xml:space="preserve"> Sentencia </w:t>
      </w:r>
      <w:hyperlink w:anchor="SENTENCIA_2016_183" w:history="1">
        <w:r w:rsidRPr="00427CF1">
          <w:rPr>
            <w:rStyle w:val="TextoNormalCaracter"/>
          </w:rPr>
          <w:t>183/2016</w:t>
        </w:r>
      </w:hyperlink>
      <w:r>
        <w:t>, ff. 4, 6.</w:t>
      </w:r>
    </w:p>
    <w:p w:rsidR="00427CF1" w:rsidRDefault="00427CF1" w:rsidP="00427CF1">
      <w:pPr>
        <w:pStyle w:val="SangriaFrancesaArticulo"/>
      </w:pPr>
      <w:r w:rsidRPr="00427CF1">
        <w:rPr>
          <w:rStyle w:val="TextoNormalNegritaCaracter"/>
        </w:rPr>
        <w:t>Artículos 107 a 110.</w:t>
      </w:r>
      <w:r w:rsidRPr="00427CF1">
        <w:rPr>
          <w:rStyle w:val="TextoNormalCaracter"/>
        </w:rPr>
        <w:t>-</w:t>
      </w:r>
      <w:r>
        <w:t xml:space="preserve"> Sentencia </w:t>
      </w:r>
      <w:hyperlink w:anchor="SENTENCIA_2016_156" w:history="1">
        <w:r w:rsidRPr="00427CF1">
          <w:rPr>
            <w:rStyle w:val="TextoNormalCaracter"/>
          </w:rPr>
          <w:t>156/2016</w:t>
        </w:r>
      </w:hyperlink>
      <w:r>
        <w:t>, f. 5.</w:t>
      </w:r>
    </w:p>
    <w:p w:rsidR="00427CF1" w:rsidRDefault="00427CF1" w:rsidP="00427CF1">
      <w:pPr>
        <w:pStyle w:val="SangriaFrancesaArticulo"/>
      </w:pPr>
      <w:r w:rsidRPr="00427CF1">
        <w:rPr>
          <w:rStyle w:val="TextoNormalNegritaCaracter"/>
        </w:rPr>
        <w:t>Disposición transitoria quinta.</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Disposición final decimosexta.</w:t>
      </w:r>
      <w:r w:rsidRPr="00427CF1">
        <w:rPr>
          <w:rStyle w:val="TextoNormalCaracter"/>
        </w:rPr>
        <w:t>-</w:t>
      </w:r>
      <w:r>
        <w:t xml:space="preserve"> Sentencia </w:t>
      </w:r>
      <w:hyperlink w:anchor="SENTENCIA_2016_156" w:history="1">
        <w:r w:rsidRPr="00427CF1">
          <w:rPr>
            <w:rStyle w:val="TextoNormalCaracter"/>
          </w:rPr>
          <w:t>156/2016</w:t>
        </w:r>
      </w:hyperlink>
      <w:r>
        <w:t>, ff. 1, 5.</w:t>
      </w:r>
    </w:p>
    <w:p w:rsidR="00427CF1" w:rsidRDefault="00427CF1" w:rsidP="00427CF1">
      <w:pPr>
        <w:pStyle w:val="SangriaFrancesaArticulo"/>
      </w:pPr>
    </w:p>
    <w:p w:rsidR="00427CF1" w:rsidRDefault="00427CF1" w:rsidP="00427CF1">
      <w:pPr>
        <w:pStyle w:val="TextoNormalNegritaCursivandice"/>
      </w:pPr>
      <w:r>
        <w:t>Ley 21/1986, de 23 de diciembre. Presupuestos generales del Estado para 1987</w:t>
      </w:r>
    </w:p>
    <w:p w:rsidR="00427CF1" w:rsidRDefault="00427CF1" w:rsidP="00427CF1">
      <w:pPr>
        <w:pStyle w:val="SangriaFrancesaArticulo"/>
      </w:pPr>
      <w:r w:rsidRPr="00427CF1">
        <w:rPr>
          <w:rStyle w:val="TextoNormalNegritaCaracter"/>
        </w:rPr>
        <w:t>Disposición final primera, apartado 3.</w:t>
      </w:r>
      <w:r w:rsidRPr="00427CF1">
        <w:rPr>
          <w:rStyle w:val="TextoNormalCaracter"/>
        </w:rPr>
        <w:t>-</w:t>
      </w:r>
      <w:r>
        <w:t xml:space="preserve"> Sentencia </w:t>
      </w:r>
      <w:hyperlink w:anchor="SENTENCIA_2016_219" w:history="1">
        <w:r w:rsidRPr="00427CF1">
          <w:rPr>
            <w:rStyle w:val="TextoNormalCaracter"/>
          </w:rPr>
          <w:t>219/2016</w:t>
        </w:r>
      </w:hyperlink>
      <w:r>
        <w:t>, f. 4.</w:t>
      </w:r>
    </w:p>
    <w:p w:rsidR="00427CF1" w:rsidRDefault="00427CF1" w:rsidP="00427CF1">
      <w:pPr>
        <w:pStyle w:val="SangriaFrancesaArticulo"/>
      </w:pPr>
      <w:r w:rsidRPr="00427CF1">
        <w:rPr>
          <w:rStyle w:val="TextoNormalNegritaCaracter"/>
        </w:rPr>
        <w:t>Disposición final primera, apartado 3 primera a).</w:t>
      </w:r>
      <w:r w:rsidRPr="00427CF1">
        <w:rPr>
          <w:rStyle w:val="TextoNormalCaracter"/>
        </w:rPr>
        <w:t>-</w:t>
      </w:r>
      <w:r>
        <w:t xml:space="preserve"> Sentencias </w:t>
      </w:r>
      <w:hyperlink w:anchor="SENTENCIA_2016_219" w:history="1">
        <w:r w:rsidRPr="00427CF1">
          <w:rPr>
            <w:rStyle w:val="TextoNormalCaracter"/>
          </w:rPr>
          <w:t>219/2016</w:t>
        </w:r>
      </w:hyperlink>
      <w:r>
        <w:t xml:space="preserve">, ff. 1, 4, 6; </w:t>
      </w:r>
      <w:hyperlink w:anchor="SENTENCIA_2016_220" w:history="1">
        <w:r w:rsidRPr="00427CF1">
          <w:rPr>
            <w:rStyle w:val="TextoNormalCaracter"/>
          </w:rPr>
          <w:t>220/2016</w:t>
        </w:r>
      </w:hyperlink>
      <w:r>
        <w:t>, ff. 1, 4, 6.</w:t>
      </w:r>
    </w:p>
    <w:p w:rsidR="00427CF1" w:rsidRDefault="00427CF1" w:rsidP="00427CF1">
      <w:pPr>
        <w:pStyle w:val="SangriaFrancesaArticulo"/>
      </w:pPr>
    </w:p>
    <w:p w:rsidR="00427CF1" w:rsidRDefault="00427CF1" w:rsidP="00427CF1">
      <w:pPr>
        <w:pStyle w:val="TextoNormalNegritaCursivandice"/>
      </w:pPr>
      <w:r>
        <w:t>Ley 25/1986, de 24 de diciembre. Gratuidad: Supresión de las tasas judiciales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ff. 3, 7.</w:t>
      </w:r>
    </w:p>
    <w:p w:rsidR="00427CF1" w:rsidRDefault="00427CF1" w:rsidP="00427CF1">
      <w:pPr>
        <w:pStyle w:val="SangriaFrancesaArticulo"/>
      </w:pPr>
    </w:p>
    <w:p w:rsidR="00427CF1" w:rsidRDefault="00427CF1" w:rsidP="00427CF1">
      <w:pPr>
        <w:pStyle w:val="TextoNormalNegritaCursivandice"/>
      </w:pPr>
      <w:r>
        <w:t>Ley 37/1988, de 28 de diciembre. Presupuestos generales del Estado para 1989</w:t>
      </w:r>
    </w:p>
    <w:p w:rsidR="00427CF1" w:rsidRDefault="00427CF1" w:rsidP="00427CF1">
      <w:pPr>
        <w:pStyle w:val="SangriaFrancesaArticulo"/>
      </w:pPr>
      <w:r w:rsidRPr="00427CF1">
        <w:rPr>
          <w:rStyle w:val="TextoNormalNegritaCaracter"/>
        </w:rPr>
        <w:t>Artículo 55.</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p>
    <w:p w:rsidR="00427CF1" w:rsidRDefault="00427CF1" w:rsidP="00427CF1">
      <w:pPr>
        <w:pStyle w:val="TextoNormalNegritaCursivandice"/>
      </w:pPr>
      <w:r>
        <w:t>Ley 4/1989, de 27 de marzo. Conservación de los espacios naturales y de la flora y fauna silvestres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2" w:history="1">
        <w:r w:rsidRPr="00427CF1">
          <w:rPr>
            <w:rStyle w:val="TextoNormalCaracter"/>
          </w:rPr>
          <w:t>142/2016</w:t>
        </w:r>
      </w:hyperlink>
      <w:r>
        <w:t>, f. 7.</w:t>
      </w:r>
    </w:p>
    <w:p w:rsidR="00427CF1" w:rsidRDefault="00427CF1" w:rsidP="00427CF1">
      <w:pPr>
        <w:pStyle w:val="SangriaFrancesaArticulo"/>
      </w:pPr>
    </w:p>
    <w:p w:rsidR="00427CF1" w:rsidRDefault="00427CF1" w:rsidP="00427CF1">
      <w:pPr>
        <w:pStyle w:val="TextoNormalNegritaCursivandice"/>
      </w:pPr>
      <w:r>
        <w:t>Ley 7/1989, de 12 de abril. Bases de procedimiento laboral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6" w:history="1">
        <w:r w:rsidRPr="00427CF1">
          <w:rPr>
            <w:rStyle w:val="TextoNormalCaracter"/>
          </w:rPr>
          <w:t>166/2016</w:t>
        </w:r>
      </w:hyperlink>
      <w:r>
        <w:t xml:space="preserve">, f. 4; </w:t>
      </w:r>
      <w:hyperlink w:anchor="SENTENCIA_2016_173" w:history="1">
        <w:r w:rsidRPr="00427CF1">
          <w:rPr>
            <w:rStyle w:val="TextoNormalCaracter"/>
          </w:rPr>
          <w:t>173/2016</w:t>
        </w:r>
      </w:hyperlink>
      <w:r>
        <w:t>, f. 4.</w:t>
      </w:r>
    </w:p>
    <w:p w:rsidR="00427CF1" w:rsidRDefault="00427CF1" w:rsidP="00427CF1">
      <w:pPr>
        <w:pStyle w:val="SangriaFrancesaArticulo"/>
      </w:pPr>
      <w:r w:rsidRPr="00427CF1">
        <w:rPr>
          <w:rStyle w:val="TextoNormalNegritaCaracter"/>
        </w:rPr>
        <w:t>Artículo 170.</w:t>
      </w:r>
      <w:r w:rsidRPr="00427CF1">
        <w:rPr>
          <w:rStyle w:val="TextoNormalCaracter"/>
        </w:rPr>
        <w:t>-</w:t>
      </w:r>
      <w:r>
        <w:t xml:space="preserve"> Sentencia </w:t>
      </w:r>
      <w:hyperlink w:anchor="SENTENCIA_2016_166" w:history="1">
        <w:r w:rsidRPr="00427CF1">
          <w:rPr>
            <w:rStyle w:val="TextoNormalCaracter"/>
          </w:rPr>
          <w:t>166/2016</w:t>
        </w:r>
      </w:hyperlink>
      <w:r>
        <w:t>, f. 4.</w:t>
      </w:r>
    </w:p>
    <w:p w:rsidR="00427CF1" w:rsidRDefault="00427CF1" w:rsidP="00427CF1">
      <w:pPr>
        <w:pStyle w:val="SangriaFrancesaArticulo"/>
      </w:pPr>
      <w:r w:rsidRPr="00427CF1">
        <w:rPr>
          <w:rStyle w:val="TextoNormalNegritaCaracter"/>
        </w:rPr>
        <w:t>Artículo 227.</w:t>
      </w:r>
      <w:r w:rsidRPr="00427CF1">
        <w:rPr>
          <w:rStyle w:val="TextoNormalCaracter"/>
        </w:rPr>
        <w:t>-</w:t>
      </w:r>
      <w:r>
        <w:t xml:space="preserve"> Sentencia </w:t>
      </w:r>
      <w:hyperlink w:anchor="SENTENCIA_2016_166" w:history="1">
        <w:r w:rsidRPr="00427CF1">
          <w:rPr>
            <w:rStyle w:val="TextoNormalCaracter"/>
          </w:rPr>
          <w:t>166/2016</w:t>
        </w:r>
      </w:hyperlink>
      <w:r>
        <w:t>, f. 4.</w:t>
      </w:r>
    </w:p>
    <w:p w:rsidR="00427CF1" w:rsidRDefault="00427CF1" w:rsidP="00427CF1">
      <w:pPr>
        <w:pStyle w:val="SangriaFrancesaArticulo"/>
      </w:pPr>
    </w:p>
    <w:p w:rsidR="00427CF1" w:rsidRDefault="00427CF1" w:rsidP="00427CF1">
      <w:pPr>
        <w:pStyle w:val="TextoNormalNegritaCursivandice"/>
      </w:pPr>
      <w:r>
        <w:t>Ley 8/1989, de 13 de abril. Tasas y precios públicos</w:t>
      </w:r>
    </w:p>
    <w:p w:rsidR="00427CF1" w:rsidRDefault="00427CF1" w:rsidP="00427CF1">
      <w:pPr>
        <w:pStyle w:val="SangriaFrancesaArticulo"/>
      </w:pPr>
      <w:r w:rsidRPr="00427CF1">
        <w:rPr>
          <w:rStyle w:val="TextoNormalNegritaCaracter"/>
        </w:rPr>
        <w:t>Artículo 13 m).</w:t>
      </w:r>
      <w:r w:rsidRPr="00427CF1">
        <w:rPr>
          <w:rStyle w:val="TextoNormalCaracter"/>
        </w:rPr>
        <w:t>-</w:t>
      </w:r>
      <w:r>
        <w:t xml:space="preserve"> Sentencia </w:t>
      </w:r>
      <w:hyperlink w:anchor="SENTENCIA_2016_202" w:history="1">
        <w:r w:rsidRPr="00427CF1">
          <w:rPr>
            <w:rStyle w:val="TextoNormalCaracter"/>
          </w:rPr>
          <w:t>202/2016</w:t>
        </w:r>
      </w:hyperlink>
      <w:r>
        <w:t>, f. 5.</w:t>
      </w:r>
    </w:p>
    <w:p w:rsidR="00427CF1" w:rsidRDefault="00427CF1" w:rsidP="00427CF1">
      <w:pPr>
        <w:pStyle w:val="SangriaFrancesaArticulo"/>
      </w:pPr>
    </w:p>
    <w:p w:rsidR="00427CF1" w:rsidRDefault="00427CF1" w:rsidP="00427CF1">
      <w:pPr>
        <w:pStyle w:val="TextoNormalNegritaCursivandice"/>
      </w:pPr>
      <w:r>
        <w:t>Ley 25/1990, de 20 de diciembre. Medicamento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p>
    <w:p w:rsidR="00427CF1" w:rsidRDefault="00427CF1" w:rsidP="00427CF1">
      <w:pPr>
        <w:pStyle w:val="TextoNormalNegritaCursivandice"/>
      </w:pPr>
      <w:r>
        <w:t>Ley 26/1990, de 20 de diciembre. Establece prestaciones no contributivas del sistema de la Seguridad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p>
    <w:p w:rsidR="00427CF1" w:rsidRDefault="00427CF1" w:rsidP="00427CF1">
      <w:pPr>
        <w:pStyle w:val="TextoNormalNegritaCursivandice"/>
      </w:pPr>
      <w:r>
        <w:t>Ley 10/1991, de 4 de abril. Potestades administrativas en materia de espectáculos taurinos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77" w:history="1">
        <w:r w:rsidRPr="00427CF1">
          <w:rPr>
            <w:rStyle w:val="TextoNormalCaracter"/>
          </w:rPr>
          <w:t>177/2016</w:t>
        </w:r>
      </w:hyperlink>
      <w:r>
        <w:t>, ff. 6, 7, VP II.</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 </w:t>
      </w:r>
      <w:hyperlink w:anchor="SENTENCIA_2016_177" w:history="1">
        <w:r w:rsidRPr="00427CF1">
          <w:rPr>
            <w:rStyle w:val="TextoNormalCaracter"/>
          </w:rPr>
          <w:t>177/2016</w:t>
        </w:r>
      </w:hyperlink>
      <w:r>
        <w:t>, f. 6, VP II.</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r w:rsidRPr="00427CF1">
        <w:rPr>
          <w:rStyle w:val="TextoNormalNegritaCaracter"/>
        </w:rPr>
        <w:t>Disposición adicional.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r w:rsidRPr="00427CF1">
        <w:rPr>
          <w:rStyle w:val="TextoNormalNegritaCaracter"/>
        </w:rPr>
        <w:t>Disposición adicional, párrafo 1.</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21/1992, de 16 de julio. Industria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1" w:history="1">
        <w:r w:rsidRPr="00427CF1">
          <w:rPr>
            <w:rStyle w:val="TextoNormalCaracter"/>
          </w:rPr>
          <w:t>141/2016</w:t>
        </w:r>
      </w:hyperlink>
      <w:r>
        <w:t>, f. 9.</w:t>
      </w:r>
    </w:p>
    <w:p w:rsidR="00427CF1" w:rsidRDefault="00427CF1" w:rsidP="00427CF1">
      <w:pPr>
        <w:pStyle w:val="SangriaFrancesaArticulo"/>
      </w:pPr>
    </w:p>
    <w:p w:rsidR="00427CF1" w:rsidRDefault="00427CF1" w:rsidP="00427CF1">
      <w:pPr>
        <w:pStyle w:val="TextoNormalNegritaCursivandice"/>
      </w:pPr>
      <w:r>
        <w:t>Ley 30/1992, de 26 de noviembre. Régimen jurídico de las Administraciones públicas y del procedimiento administrativo común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1" w:history="1">
        <w:r w:rsidRPr="00427CF1">
          <w:rPr>
            <w:rStyle w:val="TextoNormalCaracter"/>
          </w:rPr>
          <w:t>141/2016</w:t>
        </w:r>
      </w:hyperlink>
      <w:r>
        <w:t xml:space="preserve">, f. 8; </w:t>
      </w:r>
      <w:hyperlink w:anchor="SENTENCIA_2016_142" w:history="1">
        <w:r w:rsidRPr="00427CF1">
          <w:rPr>
            <w:rStyle w:val="TextoNormalCaracter"/>
          </w:rPr>
          <w:t>142/2016</w:t>
        </w:r>
      </w:hyperlink>
      <w:r>
        <w:t>, f. 10.</w:t>
      </w:r>
    </w:p>
    <w:p w:rsidR="00427CF1" w:rsidRDefault="00427CF1" w:rsidP="00427CF1">
      <w:pPr>
        <w:pStyle w:val="SangriaFrancesaArticulo"/>
      </w:pPr>
      <w:r w:rsidRPr="00427CF1">
        <w:rPr>
          <w:rStyle w:val="TextoNormalNegritaCaracter"/>
        </w:rPr>
        <w:t>Artículo 34.4 b).</w:t>
      </w:r>
      <w:r w:rsidRPr="00427CF1">
        <w:rPr>
          <w:rStyle w:val="TextoNormalCaracter"/>
        </w:rPr>
        <w:t>-</w:t>
      </w:r>
      <w:r>
        <w:t xml:space="preserve"> Sentencia </w:t>
      </w:r>
      <w:hyperlink w:anchor="SENTENCIA_2016_152" w:history="1">
        <w:r w:rsidRPr="00427CF1">
          <w:rPr>
            <w:rStyle w:val="TextoNormalCaracter"/>
          </w:rPr>
          <w:t>152/2016</w:t>
        </w:r>
      </w:hyperlink>
      <w:r>
        <w:t>, f. 2.</w:t>
      </w:r>
    </w:p>
    <w:p w:rsidR="00427CF1" w:rsidRDefault="00427CF1" w:rsidP="00427CF1">
      <w:pPr>
        <w:pStyle w:val="SangriaFrancesaArticulo"/>
      </w:pPr>
      <w:r w:rsidRPr="00427CF1">
        <w:rPr>
          <w:rStyle w:val="TextoNormalNegritaCaracter"/>
        </w:rPr>
        <w:t>Artículo 34.4 c).</w:t>
      </w:r>
      <w:r w:rsidRPr="00427CF1">
        <w:rPr>
          <w:rStyle w:val="TextoNormalCaracter"/>
        </w:rPr>
        <w:t>-</w:t>
      </w:r>
      <w:r>
        <w:t xml:space="preserve"> Sentencia </w:t>
      </w:r>
      <w:hyperlink w:anchor="SENTENCIA_2016_152" w:history="1">
        <w:r w:rsidRPr="00427CF1">
          <w:rPr>
            <w:rStyle w:val="TextoNormalCaracter"/>
          </w:rPr>
          <w:t>152/2016</w:t>
        </w:r>
      </w:hyperlink>
      <w:r>
        <w:t>, f. 2.</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Sentencia </w:t>
      </w:r>
      <w:hyperlink w:anchor="SENTENCIA_2016_155" w:history="1">
        <w:r w:rsidRPr="00427CF1">
          <w:rPr>
            <w:rStyle w:val="TextoNormalCaracter"/>
          </w:rPr>
          <w:t>155/2016</w:t>
        </w:r>
      </w:hyperlink>
      <w:r>
        <w:t>, f. 3.</w:t>
      </w:r>
    </w:p>
    <w:p w:rsidR="00427CF1" w:rsidRDefault="00427CF1" w:rsidP="00427CF1">
      <w:pPr>
        <w:pStyle w:val="SangriaFrancesaArticulo"/>
      </w:pPr>
      <w:r w:rsidRPr="00427CF1">
        <w:rPr>
          <w:rStyle w:val="TextoNormalNegritaCaracter"/>
        </w:rPr>
        <w:t>Artículo 42.3 a).</w:t>
      </w:r>
      <w:r w:rsidRPr="00427CF1">
        <w:rPr>
          <w:rStyle w:val="TextoNormalCaracter"/>
        </w:rPr>
        <w:t>-</w:t>
      </w:r>
      <w:r>
        <w:t xml:space="preserve"> Sentencia </w:t>
      </w:r>
      <w:hyperlink w:anchor="SENTENCIA_2016_155" w:history="1">
        <w:r w:rsidRPr="00427CF1">
          <w:rPr>
            <w:rStyle w:val="TextoNormalCaracter"/>
          </w:rPr>
          <w:t>155/2016</w:t>
        </w:r>
      </w:hyperlink>
      <w:r>
        <w:t>, f. 3.</w:t>
      </w:r>
    </w:p>
    <w:p w:rsidR="00427CF1" w:rsidRDefault="00427CF1" w:rsidP="00427CF1">
      <w:pPr>
        <w:pStyle w:val="SangriaFrancesaArticulo"/>
      </w:pPr>
      <w:r w:rsidRPr="00427CF1">
        <w:rPr>
          <w:rStyle w:val="TextoNormalNegritaCaracter"/>
        </w:rPr>
        <w:t>Artículo 42.3 b).</w:t>
      </w:r>
      <w:r w:rsidRPr="00427CF1">
        <w:rPr>
          <w:rStyle w:val="TextoNormalCaracter"/>
        </w:rPr>
        <w:t>-</w:t>
      </w:r>
      <w:r>
        <w:t xml:space="preserve"> Sentencia </w:t>
      </w:r>
      <w:hyperlink w:anchor="SENTENCIA_2016_175" w:history="1">
        <w:r w:rsidRPr="00427CF1">
          <w:rPr>
            <w:rStyle w:val="TextoNormalCaracter"/>
          </w:rPr>
          <w:t>175/2016</w:t>
        </w:r>
      </w:hyperlink>
      <w:r>
        <w:t>, ff. 1, 3, 5.</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55" w:history="1">
        <w:r w:rsidRPr="00427CF1">
          <w:rPr>
            <w:rStyle w:val="TextoNormalCaracter"/>
          </w:rPr>
          <w:t>155/2016</w:t>
        </w:r>
      </w:hyperlink>
      <w:r>
        <w:t>, f. 5.</w:t>
      </w:r>
    </w:p>
    <w:p w:rsidR="00427CF1" w:rsidRDefault="00427CF1" w:rsidP="00427CF1">
      <w:pPr>
        <w:pStyle w:val="SangriaFrancesaArticulo"/>
      </w:pPr>
      <w:r w:rsidRPr="00427CF1">
        <w:rPr>
          <w:rStyle w:val="TextoNormalNegritaCaracter"/>
        </w:rPr>
        <w:t>Artículo 43.1.</w:t>
      </w:r>
      <w:r w:rsidRPr="00427CF1">
        <w:rPr>
          <w:rStyle w:val="TextoNormalCaracter"/>
        </w:rPr>
        <w:t>-</w:t>
      </w:r>
      <w:r>
        <w:t xml:space="preserve"> Sentencias </w:t>
      </w:r>
      <w:hyperlink w:anchor="SENTENCIA_2016_155" w:history="1">
        <w:r w:rsidRPr="00427CF1">
          <w:rPr>
            <w:rStyle w:val="TextoNormalCaracter"/>
          </w:rPr>
          <w:t>155/2016</w:t>
        </w:r>
      </w:hyperlink>
      <w:r>
        <w:t xml:space="preserve">, ff. 1 a 7; </w:t>
      </w:r>
      <w:hyperlink w:anchor="SENTENCIA_2016_175" w:history="1">
        <w:r w:rsidRPr="00427CF1">
          <w:rPr>
            <w:rStyle w:val="TextoNormalCaracter"/>
          </w:rPr>
          <w:t>175/2016</w:t>
        </w:r>
      </w:hyperlink>
      <w:r>
        <w:t>, ff. 3, 4.</w:t>
      </w:r>
    </w:p>
    <w:p w:rsidR="00427CF1" w:rsidRDefault="00427CF1" w:rsidP="00427CF1">
      <w:pPr>
        <w:pStyle w:val="SangriaFrancesaArticulo"/>
      </w:pPr>
      <w:r w:rsidRPr="00427CF1">
        <w:rPr>
          <w:rStyle w:val="TextoNormalNegritaCaracter"/>
        </w:rPr>
        <w:t>Artículo 43.1</w:t>
      </w:r>
      <w:r>
        <w:t xml:space="preserve"> (redactado por la Ley 25/2009, de 22 de diciembre)</w:t>
      </w:r>
      <w:r w:rsidRPr="00427CF1">
        <w:rPr>
          <w:rStyle w:val="TextoNormalNegritaCaracter"/>
        </w:rPr>
        <w:t>.</w:t>
      </w:r>
      <w:r w:rsidRPr="00427CF1">
        <w:rPr>
          <w:rStyle w:val="TextoNormalCaracter"/>
        </w:rPr>
        <w:t>-</w:t>
      </w:r>
      <w:r>
        <w:t xml:space="preserve"> Sentencia </w:t>
      </w:r>
      <w:hyperlink w:anchor="SENTENCIA_2016_155" w:history="1">
        <w:r w:rsidRPr="00427CF1">
          <w:rPr>
            <w:rStyle w:val="TextoNormalCaracter"/>
          </w:rPr>
          <w:t>155/2016</w:t>
        </w:r>
      </w:hyperlink>
      <w:r>
        <w:t>, ff. 1 a 3.</w:t>
      </w:r>
    </w:p>
    <w:p w:rsidR="00427CF1" w:rsidRDefault="00427CF1" w:rsidP="00427CF1">
      <w:pPr>
        <w:pStyle w:val="SangriaFrancesaArticulo"/>
      </w:pPr>
      <w:r w:rsidRPr="00427CF1">
        <w:rPr>
          <w:rStyle w:val="TextoNormalNegritaCaracter"/>
        </w:rPr>
        <w:t>Artículo 43.1 párrafo 1.</w:t>
      </w:r>
      <w:r w:rsidRPr="00427CF1">
        <w:rPr>
          <w:rStyle w:val="TextoNormalCaracter"/>
        </w:rPr>
        <w:t>-</w:t>
      </w:r>
      <w:r>
        <w:t xml:space="preserve"> Sentencias </w:t>
      </w:r>
      <w:hyperlink w:anchor="SENTENCIA_2016_155" w:history="1">
        <w:r w:rsidRPr="00427CF1">
          <w:rPr>
            <w:rStyle w:val="TextoNormalCaracter"/>
          </w:rPr>
          <w:t>155/2016</w:t>
        </w:r>
      </w:hyperlink>
      <w:r>
        <w:t xml:space="preserve">, ff. 4, 5; </w:t>
      </w:r>
      <w:hyperlink w:anchor="SENTENCIA_2016_175" w:history="1">
        <w:r w:rsidRPr="00427CF1">
          <w:rPr>
            <w:rStyle w:val="TextoNormalCaracter"/>
          </w:rPr>
          <w:t>175/2016</w:t>
        </w:r>
      </w:hyperlink>
      <w:r>
        <w:t>, ff. 4, 5.</w:t>
      </w:r>
    </w:p>
    <w:p w:rsidR="00427CF1" w:rsidRDefault="00427CF1" w:rsidP="00427CF1">
      <w:pPr>
        <w:pStyle w:val="SangriaFrancesaArticulo"/>
      </w:pPr>
      <w:r w:rsidRPr="00427CF1">
        <w:rPr>
          <w:rStyle w:val="TextoNormalNegritaCaracter"/>
        </w:rPr>
        <w:t>Artículo 43.1 párrafo 2.</w:t>
      </w:r>
      <w:r w:rsidRPr="00427CF1">
        <w:rPr>
          <w:rStyle w:val="TextoNormalCaracter"/>
        </w:rPr>
        <w:t>-</w:t>
      </w:r>
      <w:r>
        <w:t xml:space="preserve"> Sentencia </w:t>
      </w:r>
      <w:hyperlink w:anchor="SENTENCIA_2016_155" w:history="1">
        <w:r w:rsidRPr="00427CF1">
          <w:rPr>
            <w:rStyle w:val="TextoNormalCaracter"/>
          </w:rPr>
          <w:t>155/2016</w:t>
        </w:r>
      </w:hyperlink>
      <w:r>
        <w:t>, ff. 4, 7.</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141" w:history="1">
        <w:r w:rsidRPr="00427CF1">
          <w:rPr>
            <w:rStyle w:val="TextoNormalCaracter"/>
          </w:rPr>
          <w:t>141/2016</w:t>
        </w:r>
      </w:hyperlink>
      <w:r>
        <w:t>, f. 8.</w:t>
      </w:r>
    </w:p>
    <w:p w:rsidR="00427CF1" w:rsidRDefault="00427CF1" w:rsidP="00427CF1">
      <w:pPr>
        <w:pStyle w:val="SangriaFrancesaArticulo"/>
      </w:pPr>
      <w:r w:rsidRPr="00427CF1">
        <w:rPr>
          <w:rStyle w:val="TextoNormalNegritaCaracter"/>
        </w:rPr>
        <w:t>Artículo 81.</w:t>
      </w:r>
      <w:r w:rsidRPr="00427CF1">
        <w:rPr>
          <w:rStyle w:val="TextoNormalCaracter"/>
        </w:rPr>
        <w:t>-</w:t>
      </w:r>
      <w:r>
        <w:t xml:space="preserve"> Sentencia </w:t>
      </w:r>
      <w:hyperlink w:anchor="SENTENCIA_2016_161" w:history="1">
        <w:r w:rsidRPr="00427CF1">
          <w:rPr>
            <w:rStyle w:val="TextoNormalCaracter"/>
          </w:rPr>
          <w:t>161/2016</w:t>
        </w:r>
      </w:hyperlink>
      <w:r>
        <w:t>, f. 6.</w:t>
      </w:r>
    </w:p>
    <w:p w:rsidR="00427CF1" w:rsidRDefault="00427CF1" w:rsidP="00427CF1">
      <w:pPr>
        <w:pStyle w:val="SangriaFrancesaArticulo"/>
      </w:pPr>
      <w:r w:rsidRPr="00427CF1">
        <w:rPr>
          <w:rStyle w:val="TextoNormalNegritaCaracter"/>
        </w:rPr>
        <w:t>Artículo 99.1.</w:t>
      </w:r>
      <w:r w:rsidRPr="00427CF1">
        <w:rPr>
          <w:rStyle w:val="TextoNormalCaracter"/>
        </w:rPr>
        <w:t>-</w:t>
      </w:r>
      <w:r>
        <w:t xml:space="preserve"> Sentencia </w:t>
      </w:r>
      <w:hyperlink w:anchor="SENTENCIA_2016_142" w:history="1">
        <w:r w:rsidRPr="00427CF1">
          <w:rPr>
            <w:rStyle w:val="TextoNormalCaracter"/>
          </w:rPr>
          <w:t>142/2016</w:t>
        </w:r>
      </w:hyperlink>
      <w:r>
        <w:t>, f. 6.</w:t>
      </w:r>
    </w:p>
    <w:p w:rsidR="00427CF1" w:rsidRDefault="00427CF1" w:rsidP="00427CF1">
      <w:pPr>
        <w:pStyle w:val="SangriaFrancesaArticulo"/>
      </w:pPr>
      <w:r w:rsidRPr="00427CF1">
        <w:rPr>
          <w:rStyle w:val="TextoNormalNegritaCaracter"/>
        </w:rPr>
        <w:t>Artículo 116.</w:t>
      </w:r>
      <w:r w:rsidRPr="00427CF1">
        <w:rPr>
          <w:rStyle w:val="TextoNormalCaracter"/>
        </w:rPr>
        <w:t>-</w:t>
      </w:r>
      <w:r>
        <w:t xml:space="preserve"> Sentencia </w:t>
      </w:r>
      <w:hyperlink w:anchor="SENTENCIA_2016_141" w:history="1">
        <w:r w:rsidRPr="00427CF1">
          <w:rPr>
            <w:rStyle w:val="TextoNormalCaracter"/>
          </w:rPr>
          <w:t>141/2016</w:t>
        </w:r>
      </w:hyperlink>
      <w:r>
        <w:t>, f. 8.</w:t>
      </w:r>
    </w:p>
    <w:p w:rsidR="00427CF1" w:rsidRDefault="00427CF1" w:rsidP="00427CF1">
      <w:pPr>
        <w:pStyle w:val="SangriaFrancesaArticulo"/>
      </w:pPr>
      <w:r w:rsidRPr="00427CF1">
        <w:rPr>
          <w:rStyle w:val="TextoNormalNegritaCaracter"/>
        </w:rPr>
        <w:t>Artículo 117.</w:t>
      </w:r>
      <w:r w:rsidRPr="00427CF1">
        <w:rPr>
          <w:rStyle w:val="TextoNormalCaracter"/>
        </w:rPr>
        <w:t>-</w:t>
      </w:r>
      <w:r>
        <w:t xml:space="preserve"> Sentencia </w:t>
      </w:r>
      <w:hyperlink w:anchor="SENTENCIA_2016_141" w:history="1">
        <w:r w:rsidRPr="00427CF1">
          <w:rPr>
            <w:rStyle w:val="TextoNormalCaracter"/>
          </w:rPr>
          <w:t>141/2016</w:t>
        </w:r>
      </w:hyperlink>
      <w:r>
        <w:t>, f. 8.</w:t>
      </w:r>
    </w:p>
    <w:p w:rsidR="00427CF1" w:rsidRDefault="00427CF1" w:rsidP="00427CF1">
      <w:pPr>
        <w:pStyle w:val="SangriaFrancesaArticulo"/>
      </w:pPr>
      <w:r w:rsidRPr="00427CF1">
        <w:rPr>
          <w:rStyle w:val="TextoNormalNegritaCaracter"/>
        </w:rPr>
        <w:t>Artículo 130.</w:t>
      </w:r>
      <w:r w:rsidRPr="00427CF1">
        <w:rPr>
          <w:rStyle w:val="TextoNormalCaracter"/>
        </w:rPr>
        <w:t>-</w:t>
      </w:r>
      <w:r>
        <w:t xml:space="preserve"> Sentencia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131.</w:t>
      </w:r>
      <w:r w:rsidRPr="00427CF1">
        <w:rPr>
          <w:rStyle w:val="TextoNormalCaracter"/>
        </w:rPr>
        <w:t>-</w:t>
      </w:r>
      <w:r>
        <w:t xml:space="preserve"> Sentencia </w:t>
      </w:r>
      <w:hyperlink w:anchor="SENTENCIA_2016_131" w:history="1">
        <w:r w:rsidRPr="00427CF1">
          <w:rPr>
            <w:rStyle w:val="TextoNormalCaracter"/>
          </w:rPr>
          <w:t>131/2016</w:t>
        </w:r>
      </w:hyperlink>
      <w:r>
        <w:t>, f. 5.</w:t>
      </w:r>
    </w:p>
    <w:p w:rsidR="00427CF1" w:rsidRDefault="00427CF1" w:rsidP="00427CF1">
      <w:pPr>
        <w:pStyle w:val="SangriaFrancesaArticulo"/>
      </w:pPr>
      <w:r w:rsidRPr="00427CF1">
        <w:rPr>
          <w:rStyle w:val="TextoNormalNegritaCaracter"/>
        </w:rPr>
        <w:t>Artículo 132.</w:t>
      </w:r>
      <w:r w:rsidRPr="00427CF1">
        <w:rPr>
          <w:rStyle w:val="TextoNormalCaracter"/>
        </w:rPr>
        <w:t>-</w:t>
      </w:r>
      <w:r>
        <w:t xml:space="preserve"> Sentencia </w:t>
      </w:r>
      <w:hyperlink w:anchor="SENTENCIA_2016_142" w:history="1">
        <w:r w:rsidRPr="00427CF1">
          <w:rPr>
            <w:rStyle w:val="TextoNormalCaracter"/>
          </w:rPr>
          <w:t>142/2016</w:t>
        </w:r>
      </w:hyperlink>
      <w:r>
        <w:t>, f. 10.</w:t>
      </w:r>
    </w:p>
    <w:p w:rsidR="00427CF1" w:rsidRDefault="00427CF1" w:rsidP="00427CF1">
      <w:pPr>
        <w:pStyle w:val="SangriaFrancesaArticulo"/>
      </w:pPr>
      <w:r w:rsidRPr="00427CF1">
        <w:rPr>
          <w:rStyle w:val="TextoNormalNegritaCaracter"/>
        </w:rPr>
        <w:t>Artículo 132.2.</w:t>
      </w:r>
      <w:r w:rsidRPr="00427CF1">
        <w:rPr>
          <w:rStyle w:val="TextoNormalCaracter"/>
        </w:rPr>
        <w:t>-</w:t>
      </w:r>
      <w:r>
        <w:t xml:space="preserve"> Sentencia </w:t>
      </w:r>
      <w:hyperlink w:anchor="SENTENCIA_2016_142" w:history="1">
        <w:r w:rsidRPr="00427CF1">
          <w:rPr>
            <w:rStyle w:val="TextoNormalCaracter"/>
          </w:rPr>
          <w:t>142/2016</w:t>
        </w:r>
      </w:hyperlink>
      <w:r>
        <w:t>, f. 10.</w:t>
      </w:r>
    </w:p>
    <w:p w:rsidR="00427CF1" w:rsidRDefault="00427CF1" w:rsidP="00427CF1">
      <w:pPr>
        <w:pStyle w:val="SangriaFrancesaArticulo"/>
      </w:pPr>
      <w:r w:rsidRPr="00427CF1">
        <w:rPr>
          <w:rStyle w:val="TextoNormalNegritaCaracter"/>
        </w:rPr>
        <w:t>Artículo 132.3.</w:t>
      </w:r>
      <w:r w:rsidRPr="00427CF1">
        <w:rPr>
          <w:rStyle w:val="TextoNormalCaracter"/>
        </w:rPr>
        <w:t>-</w:t>
      </w:r>
      <w:r>
        <w:t xml:space="preserve"> Sentencia </w:t>
      </w:r>
      <w:hyperlink w:anchor="SENTENCIA_2016_142" w:history="1">
        <w:r w:rsidRPr="00427CF1">
          <w:rPr>
            <w:rStyle w:val="TextoNormalCaracter"/>
          </w:rPr>
          <w:t>142/2016</w:t>
        </w:r>
      </w:hyperlink>
      <w:r>
        <w:t>, f. 10.</w:t>
      </w:r>
    </w:p>
    <w:p w:rsidR="00427CF1" w:rsidRDefault="00427CF1" w:rsidP="00427CF1">
      <w:pPr>
        <w:pStyle w:val="SangriaFrancesaArticulo"/>
      </w:pPr>
      <w:r w:rsidRPr="00427CF1">
        <w:rPr>
          <w:rStyle w:val="TextoNormalNegritaCaracter"/>
        </w:rPr>
        <w:t>Artículo 137.3.</w:t>
      </w:r>
      <w:r w:rsidRPr="00427CF1">
        <w:rPr>
          <w:rStyle w:val="TextoNormalCaracter"/>
        </w:rPr>
        <w:t>-</w:t>
      </w:r>
      <w:r>
        <w:t xml:space="preserve"> Sentencia </w:t>
      </w:r>
      <w:hyperlink w:anchor="SENTENCIA_2016_161" w:history="1">
        <w:r w:rsidRPr="00427CF1">
          <w:rPr>
            <w:rStyle w:val="TextoNormalCaracter"/>
          </w:rPr>
          <w:t>161/2016</w:t>
        </w:r>
      </w:hyperlink>
      <w:r>
        <w:t>, ff. 1, 3, 5.</w:t>
      </w:r>
    </w:p>
    <w:p w:rsidR="00427CF1" w:rsidRDefault="00427CF1" w:rsidP="00427CF1">
      <w:pPr>
        <w:pStyle w:val="SangriaFrancesaArticulo"/>
      </w:pPr>
    </w:p>
    <w:p w:rsidR="00427CF1" w:rsidRDefault="00427CF1" w:rsidP="00427CF1">
      <w:pPr>
        <w:pStyle w:val="TextoNormalNegritaCursivandice"/>
      </w:pPr>
      <w:r>
        <w:t>Ley 40/1994, de 30 de diciembre. Ordenación del sistema eléctrico nacional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1" w:history="1">
        <w:r w:rsidRPr="00427CF1">
          <w:rPr>
            <w:rStyle w:val="TextoNormalCaracter"/>
          </w:rPr>
          <w:t>171/2016</w:t>
        </w:r>
      </w:hyperlink>
      <w:r>
        <w:t>, f. 6.</w:t>
      </w:r>
    </w:p>
    <w:p w:rsidR="00427CF1" w:rsidRDefault="00427CF1" w:rsidP="00427CF1">
      <w:pPr>
        <w:pStyle w:val="SangriaFrancesaArticulo"/>
      </w:pPr>
      <w:r w:rsidRPr="00427CF1">
        <w:rPr>
          <w:rStyle w:val="TextoNormalNegritaCaracter"/>
        </w:rPr>
        <w:t>Artículo 3.13 a).</w:t>
      </w:r>
      <w:r w:rsidRPr="00427CF1">
        <w:rPr>
          <w:rStyle w:val="TextoNormalCaracter"/>
        </w:rPr>
        <w:t>-</w:t>
      </w:r>
      <w:r>
        <w:t xml:space="preserve"> Sentencia </w:t>
      </w:r>
      <w:hyperlink w:anchor="SENTENCIA_2016_171" w:history="1">
        <w:r w:rsidRPr="00427CF1">
          <w:rPr>
            <w:rStyle w:val="TextoNormalCaracter"/>
          </w:rPr>
          <w:t>171/2016</w:t>
        </w:r>
      </w:hyperlink>
      <w:r>
        <w:t>, f. 6.</w:t>
      </w:r>
    </w:p>
    <w:p w:rsidR="00427CF1" w:rsidRDefault="00427CF1" w:rsidP="00427CF1">
      <w:pPr>
        <w:pStyle w:val="SangriaFrancesaArticulo"/>
      </w:pPr>
    </w:p>
    <w:p w:rsidR="00427CF1" w:rsidRDefault="00427CF1" w:rsidP="00427CF1">
      <w:pPr>
        <w:pStyle w:val="TextoNormalNegritaCursivandice"/>
      </w:pPr>
      <w:r>
        <w:t>Ley 31/1995, de 8 de noviembre. Prevención de riesgos laborales</w:t>
      </w:r>
    </w:p>
    <w:p w:rsidR="00427CF1" w:rsidRDefault="00427CF1" w:rsidP="00427CF1">
      <w:pPr>
        <w:pStyle w:val="SangriaFrancesaArticulo"/>
      </w:pPr>
      <w:r w:rsidRPr="00427CF1">
        <w:rPr>
          <w:rStyle w:val="TextoNormalNegritaCaracter"/>
        </w:rPr>
        <w:t>Artículo 25.2.</w:t>
      </w:r>
      <w:r w:rsidRPr="00427CF1">
        <w:rPr>
          <w:rStyle w:val="TextoNormalCaracter"/>
        </w:rPr>
        <w:t>-</w:t>
      </w:r>
      <w:r>
        <w:t xml:space="preserve"> Sentencia </w:t>
      </w:r>
      <w:hyperlink w:anchor="SENTENCIA_2016_159" w:history="1">
        <w:r w:rsidRPr="00427CF1">
          <w:rPr>
            <w:rStyle w:val="TextoNormalCaracter"/>
          </w:rPr>
          <w:t>159/2016</w:t>
        </w:r>
      </w:hyperlink>
      <w:r>
        <w:t>, f. 8.</w:t>
      </w:r>
    </w:p>
    <w:p w:rsidR="00427CF1" w:rsidRDefault="00427CF1" w:rsidP="00427CF1">
      <w:pPr>
        <w:pStyle w:val="SangriaFrancesaArticulo"/>
      </w:pPr>
    </w:p>
    <w:p w:rsidR="00427CF1" w:rsidRDefault="00427CF1" w:rsidP="00427CF1">
      <w:pPr>
        <w:pStyle w:val="TextoNormalNegritaCursivandice"/>
      </w:pPr>
      <w:r>
        <w:t>Ley 43/1995, de 27 de diciembre. Impuesto sobre sociedades</w:t>
      </w:r>
    </w:p>
    <w:p w:rsidR="00427CF1" w:rsidRDefault="00427CF1" w:rsidP="00427CF1">
      <w:pPr>
        <w:pStyle w:val="SangriaFrancesaArticulo"/>
      </w:pPr>
      <w:r w:rsidRPr="00427CF1">
        <w:rPr>
          <w:rStyle w:val="TextoNormalNegritaCaracter"/>
        </w:rPr>
        <w:t>Artículo 122.1</w:t>
      </w:r>
      <w:r>
        <w:t xml:space="preserve"> (redactado por la Ley 24/2001, de 27 de diciembre)</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1/1996, de 10 de enero. Asistencia jurídica gratuita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2 c).</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2 d).</w:t>
      </w:r>
      <w:r w:rsidRPr="00427CF1">
        <w:rPr>
          <w:rStyle w:val="TextoNormalCaracter"/>
        </w:rPr>
        <w:t>-</w:t>
      </w:r>
      <w:r>
        <w:t xml:space="preserve"> Sentencia </w:t>
      </w:r>
      <w:hyperlink w:anchor="SENTENCIA_2016_202" w:history="1">
        <w:r w:rsidRPr="00427CF1">
          <w:rPr>
            <w:rStyle w:val="TextoNormalCaracter"/>
          </w:rPr>
          <w:t>202/2016</w:t>
        </w:r>
      </w:hyperlink>
      <w:r>
        <w:t>, f. 3.</w:t>
      </w:r>
    </w:p>
    <w:p w:rsidR="00427CF1" w:rsidRDefault="00427CF1" w:rsidP="00427CF1">
      <w:pPr>
        <w:pStyle w:val="SangriaFrancesaArticulo"/>
      </w:pPr>
      <w:r w:rsidRPr="00427CF1">
        <w:rPr>
          <w:rStyle w:val="TextoNormalNegritaCaracter"/>
        </w:rPr>
        <w:t>Artículos 2 a 5.</w:t>
      </w:r>
      <w:r w:rsidRPr="00427CF1">
        <w:rPr>
          <w:rStyle w:val="TextoNormalCaracter"/>
        </w:rPr>
        <w:t>-</w:t>
      </w:r>
      <w:r>
        <w:t xml:space="preserve"> Auto </w:t>
      </w:r>
      <w:hyperlink w:anchor="AUTO_2016_189" w:history="1">
        <w:r w:rsidRPr="00427CF1">
          <w:rPr>
            <w:rStyle w:val="TextoNormalCaracter"/>
          </w:rPr>
          <w:t>189/2016</w:t>
        </w:r>
      </w:hyperlink>
      <w:r>
        <w:t>, f. 2.</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Auto </w:t>
      </w:r>
      <w:hyperlink w:anchor="AUTO_2016_189" w:history="1">
        <w:r w:rsidRPr="00427CF1">
          <w:rPr>
            <w:rStyle w:val="TextoNormalCaracter"/>
          </w:rPr>
          <w:t>189/2016</w:t>
        </w:r>
      </w:hyperlink>
      <w:r>
        <w:t>, f. 2.</w:t>
      </w:r>
    </w:p>
    <w:p w:rsidR="00427CF1" w:rsidRDefault="00427CF1" w:rsidP="00427CF1">
      <w:pPr>
        <w:pStyle w:val="SangriaFrancesaArticulo"/>
      </w:pPr>
      <w:r w:rsidRPr="00427CF1">
        <w:rPr>
          <w:rStyle w:val="TextoNormalNegritaCaracter"/>
        </w:rPr>
        <w:t>Artículo 6.5.</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136" w:history="1">
        <w:r w:rsidRPr="00427CF1">
          <w:rPr>
            <w:rStyle w:val="TextoNormalCaracter"/>
          </w:rPr>
          <w:t>136/2016</w:t>
        </w:r>
      </w:hyperlink>
      <w:r>
        <w:t>, f. 3.</w:t>
      </w:r>
    </w:p>
    <w:p w:rsidR="00427CF1" w:rsidRDefault="00427CF1" w:rsidP="00427CF1">
      <w:pPr>
        <w:pStyle w:val="SangriaIzquierdaArticulo"/>
      </w:pPr>
      <w:r>
        <w:t xml:space="preserve">Auto </w:t>
      </w:r>
      <w:hyperlink w:anchor="AUTO_2016_135" w:history="1">
        <w:r w:rsidRPr="00427CF1">
          <w:rPr>
            <w:rStyle w:val="TextoNormalCaracter"/>
          </w:rPr>
          <w:t>135/2016</w:t>
        </w:r>
      </w:hyperlink>
      <w:r>
        <w:t>, ff. 1, 3.</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 </w:t>
      </w:r>
      <w:hyperlink w:anchor="SENTENCIA_2016_136" w:history="1">
        <w:r w:rsidRPr="00427CF1">
          <w:rPr>
            <w:rStyle w:val="TextoNormalCaracter"/>
          </w:rPr>
          <w:t>136/2016</w:t>
        </w:r>
      </w:hyperlink>
      <w:r>
        <w:t>, ff. 2, 3.</w:t>
      </w:r>
    </w:p>
    <w:p w:rsidR="00427CF1" w:rsidRDefault="00427CF1" w:rsidP="00427CF1">
      <w:pPr>
        <w:pStyle w:val="SangriaIzquierdaArticulo"/>
      </w:pPr>
      <w:r>
        <w:t xml:space="preserve">Autos </w:t>
      </w:r>
      <w:hyperlink w:anchor="AUTO_2016_153" w:history="1">
        <w:r w:rsidRPr="00427CF1">
          <w:rPr>
            <w:rStyle w:val="TextoNormalCaracter"/>
          </w:rPr>
          <w:t>153/2016</w:t>
        </w:r>
      </w:hyperlink>
      <w:r>
        <w:t xml:space="preserve">, f. único; </w:t>
      </w:r>
      <w:hyperlink w:anchor="AUTO_2016_189" w:history="1">
        <w:r w:rsidRPr="00427CF1">
          <w:rPr>
            <w:rStyle w:val="TextoNormalCaracter"/>
          </w:rPr>
          <w:t>189/2016</w:t>
        </w:r>
      </w:hyperlink>
      <w:r>
        <w:t xml:space="preserve">, ff. 1 a 3; </w:t>
      </w:r>
      <w:hyperlink w:anchor="AUTO_2016_207" w:history="1">
        <w:r w:rsidRPr="00427CF1">
          <w:rPr>
            <w:rStyle w:val="TextoNormalCaracter"/>
          </w:rPr>
          <w:t>207/2016</w:t>
        </w:r>
      </w:hyperlink>
      <w:r>
        <w:t>, f. único.</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Disposición adicional segunda, párrafo 3</w:t>
      </w:r>
      <w:r>
        <w:t xml:space="preserve"> (redactado por la Ley 16/2005, de 8 de julio)</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Ley 7/1996, de 15 de enero. Ordenación del comercio minorista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ff. 1, 2, 8, 9, VP.</w:t>
      </w:r>
    </w:p>
    <w:p w:rsidR="00427CF1" w:rsidRDefault="00427CF1" w:rsidP="00427CF1">
      <w:pPr>
        <w:pStyle w:val="SangriaFrancesaArticulo"/>
      </w:pPr>
      <w:r w:rsidRPr="00427CF1">
        <w:rPr>
          <w:rStyle w:val="TextoNormalNegritaCaracter"/>
        </w:rPr>
        <w:t>Artículo 6</w:t>
      </w:r>
      <w:r>
        <w:t xml:space="preserve"> (redactado por la Ley 1/2010, de 1 de marzo)</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ff. 8, 9, VP.</w:t>
      </w:r>
    </w:p>
    <w:p w:rsidR="00427CF1" w:rsidRDefault="00427CF1" w:rsidP="00427CF1">
      <w:pPr>
        <w:pStyle w:val="SangriaFrancesaArticulo"/>
      </w:pPr>
      <w:r w:rsidRPr="00427CF1">
        <w:rPr>
          <w:rStyle w:val="TextoNormalNegritaCaracter"/>
        </w:rPr>
        <w:t>Artículo 6</w:t>
      </w:r>
      <w:r>
        <w:t xml:space="preserve"> (redactado por la Ley 18/2014, de 15 de octubre)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ff. 8, 9, VP.</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 8, VP.</w:t>
      </w:r>
    </w:p>
    <w:p w:rsidR="00427CF1" w:rsidRDefault="00427CF1" w:rsidP="00427CF1">
      <w:pPr>
        <w:pStyle w:val="SangriaFrancesaArticulo"/>
      </w:pPr>
      <w:r w:rsidRPr="00427CF1">
        <w:rPr>
          <w:rStyle w:val="TextoNormalNegritaCaracter"/>
        </w:rPr>
        <w:t>Artículo 6.2.</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 8, VP.</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r w:rsidRPr="00427CF1">
        <w:rPr>
          <w:rStyle w:val="TextoNormalNegritaCaracter"/>
        </w:rPr>
        <w:t>Artículo 25</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9.</w:t>
      </w:r>
    </w:p>
    <w:p w:rsidR="00427CF1" w:rsidRDefault="00427CF1" w:rsidP="00427CF1">
      <w:pPr>
        <w:pStyle w:val="SangriaFrancesaArticulo"/>
      </w:pPr>
      <w:r w:rsidRPr="00427CF1">
        <w:rPr>
          <w:rStyle w:val="TextoNormalNegritaCaracter"/>
        </w:rPr>
        <w:t>Artículo 25.2.</w:t>
      </w:r>
      <w:r w:rsidRPr="00427CF1">
        <w:rPr>
          <w:rStyle w:val="TextoNormalCaracter"/>
        </w:rPr>
        <w:t>-</w:t>
      </w:r>
      <w:r>
        <w:t xml:space="preserve"> Sentencia </w:t>
      </w:r>
      <w:hyperlink w:anchor="SENTENCIA_2016_211" w:history="1">
        <w:r w:rsidRPr="00427CF1">
          <w:rPr>
            <w:rStyle w:val="TextoNormalCaracter"/>
          </w:rPr>
          <w:t>211/2016</w:t>
        </w:r>
      </w:hyperlink>
      <w:r>
        <w:t>, f. 4.</w:t>
      </w:r>
    </w:p>
    <w:p w:rsidR="00427CF1" w:rsidRDefault="00427CF1" w:rsidP="00427CF1">
      <w:pPr>
        <w:pStyle w:val="SangriaFrancesaArticulo"/>
      </w:pPr>
      <w:r w:rsidRPr="00427CF1">
        <w:rPr>
          <w:rStyle w:val="TextoNormalNegritaCaracter"/>
        </w:rPr>
        <w:t>Disposición final única.</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p>
    <w:p w:rsidR="00427CF1" w:rsidRDefault="00427CF1" w:rsidP="00427CF1">
      <w:pPr>
        <w:pStyle w:val="TextoNormalNegritaCursivandice"/>
      </w:pPr>
      <w:r>
        <w:t>Ley 12/1996, de 30 de diciembre. Presupuestos generales del Estado para 1997</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93" w:history="1">
        <w:r w:rsidRPr="00427CF1">
          <w:rPr>
            <w:rStyle w:val="TextoNormalCaracter"/>
          </w:rPr>
          <w:t>193/2016</w:t>
        </w:r>
      </w:hyperlink>
      <w:r>
        <w:t>, f. 2.</w:t>
      </w:r>
    </w:p>
    <w:p w:rsidR="00427CF1" w:rsidRDefault="00427CF1" w:rsidP="00427CF1">
      <w:pPr>
        <w:pStyle w:val="SangriaFrancesaArticulo"/>
      </w:pPr>
      <w:r w:rsidRPr="00427CF1">
        <w:rPr>
          <w:rStyle w:val="TextoNormalNegritaCaracter"/>
        </w:rPr>
        <w:t>Artículo 17.4.</w:t>
      </w:r>
      <w:r w:rsidRPr="00427CF1">
        <w:rPr>
          <w:rStyle w:val="TextoNormalCaracter"/>
        </w:rPr>
        <w:t>-</w:t>
      </w:r>
      <w:r>
        <w:t xml:space="preserve"> Sentencia </w:t>
      </w:r>
      <w:hyperlink w:anchor="SENTENCIA_2016_193" w:history="1">
        <w:r w:rsidRPr="00427CF1">
          <w:rPr>
            <w:rStyle w:val="TextoNormalCaracter"/>
          </w:rPr>
          <w:t>193/2016</w:t>
        </w:r>
      </w:hyperlink>
      <w:r>
        <w:t>, f. 4.</w:t>
      </w:r>
    </w:p>
    <w:p w:rsidR="00427CF1" w:rsidRDefault="00427CF1" w:rsidP="00427CF1">
      <w:pPr>
        <w:pStyle w:val="SangriaFrancesaArticulo"/>
      </w:pPr>
    </w:p>
    <w:p w:rsidR="00427CF1" w:rsidRDefault="00427CF1" w:rsidP="00427CF1">
      <w:pPr>
        <w:pStyle w:val="TextoNormalNegritaCursivandice"/>
      </w:pPr>
      <w:r>
        <w:t>Ley 6/1997, de 14 de abril. Organización y funcionamiento de la Administración General del Estado</w:t>
      </w:r>
    </w:p>
    <w:p w:rsidR="00427CF1" w:rsidRDefault="00427CF1" w:rsidP="00427CF1">
      <w:pPr>
        <w:pStyle w:val="SangriaFrancesaArticulo"/>
      </w:pPr>
      <w:r w:rsidRPr="00427CF1">
        <w:rPr>
          <w:rStyle w:val="TextoNormalNegritaCaracter"/>
        </w:rPr>
        <w:t>Capítulo II, Título II.</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p>
    <w:p w:rsidR="00427CF1" w:rsidRDefault="00427CF1" w:rsidP="00427CF1">
      <w:pPr>
        <w:pStyle w:val="TextoNormalNegritaCursivandice"/>
      </w:pPr>
      <w:r>
        <w:t>Ley 16/1997, de 25 de abril. Regulación de servicios de oficinas de farmacia</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Auto </w:t>
      </w:r>
      <w:hyperlink w:anchor="AUTO_2016_156" w:history="1">
        <w:r w:rsidRPr="00427CF1">
          <w:rPr>
            <w:rStyle w:val="TextoNormalCaracter"/>
          </w:rPr>
          <w:t>156/2016</w:t>
        </w:r>
      </w:hyperlink>
      <w:r>
        <w:t>, ff. 1, 3.</w:t>
      </w:r>
    </w:p>
    <w:p w:rsidR="00427CF1" w:rsidRDefault="00427CF1" w:rsidP="00427CF1">
      <w:pPr>
        <w:pStyle w:val="SangriaFrancesaArticulo"/>
      </w:pPr>
    </w:p>
    <w:p w:rsidR="00427CF1" w:rsidRDefault="00427CF1" w:rsidP="00427CF1">
      <w:pPr>
        <w:pStyle w:val="TextoNormalNegritaCursivandice"/>
      </w:pPr>
      <w:r>
        <w:t>Ley 50/1997, de 27 de noviembre. Gobierno</w:t>
      </w:r>
    </w:p>
    <w:p w:rsidR="00427CF1" w:rsidRDefault="00427CF1" w:rsidP="00427CF1">
      <w:pPr>
        <w:pStyle w:val="SangriaFrancesaArticulo"/>
      </w:pPr>
      <w:r w:rsidRPr="00427CF1">
        <w:rPr>
          <w:rStyle w:val="TextoNormalNegritaCaracter"/>
        </w:rPr>
        <w:t>Artículo 22.2.</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r w:rsidRPr="00427CF1">
        <w:rPr>
          <w:rStyle w:val="TextoNormalNegritaCaracter"/>
        </w:rPr>
        <w:t>Artículo 26.3</w:t>
      </w:r>
      <w:r>
        <w:t xml:space="preserve"> (redactado por la Ley 40/2015, de 1 de octubre)</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p>
    <w:p w:rsidR="00427CF1" w:rsidRDefault="00427CF1" w:rsidP="00427CF1">
      <w:pPr>
        <w:pStyle w:val="TextoNormalNegritaCursivandice"/>
      </w:pPr>
      <w:r>
        <w:t>Ley 54/1997, de 27 de noviembre. Sector eléctrico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ff. 3, 6; </w:t>
      </w:r>
      <w:hyperlink w:anchor="SENTENCIA_2016_181" w:history="1">
        <w:r w:rsidRPr="00427CF1">
          <w:rPr>
            <w:rStyle w:val="TextoNormalCaracter"/>
          </w:rPr>
          <w:t>181/2016</w:t>
        </w:r>
      </w:hyperlink>
      <w:r>
        <w:t xml:space="preserve">, f. 2; </w:t>
      </w:r>
      <w:hyperlink w:anchor="SENTENCIA_2016_196" w:history="1">
        <w:r w:rsidRPr="00427CF1">
          <w:rPr>
            <w:rStyle w:val="TextoNormalCaracter"/>
          </w:rPr>
          <w:t>196/2016</w:t>
        </w:r>
      </w:hyperlink>
      <w:r>
        <w:t>, f. 4.</w:t>
      </w:r>
    </w:p>
    <w:p w:rsidR="00427CF1" w:rsidRDefault="00427CF1" w:rsidP="00427CF1">
      <w:pPr>
        <w:pStyle w:val="SangriaFrancesaArticulo"/>
      </w:pPr>
      <w:r w:rsidRPr="00427CF1">
        <w:rPr>
          <w:rStyle w:val="TextoNormalNegritaCaracter"/>
        </w:rPr>
        <w:t>Título IV, capítulos I y II.</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96" w:history="1">
        <w:r w:rsidRPr="00427CF1">
          <w:rPr>
            <w:rStyle w:val="TextoNormalCaracter"/>
          </w:rPr>
          <w:t>196/2016</w:t>
        </w:r>
      </w:hyperlink>
      <w:r>
        <w:t>, f. 4.</w:t>
      </w:r>
    </w:p>
    <w:p w:rsidR="00427CF1" w:rsidRDefault="00427CF1" w:rsidP="00427CF1">
      <w:pPr>
        <w:pStyle w:val="SangriaFrancesaArticulo"/>
      </w:pPr>
      <w:r w:rsidRPr="00427CF1">
        <w:rPr>
          <w:rStyle w:val="TextoNormalNegritaCaracter"/>
        </w:rPr>
        <w:t>Título VI.</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96" w:history="1">
        <w:r w:rsidRPr="00427CF1">
          <w:rPr>
            <w:rStyle w:val="TextoNormalCaracter"/>
          </w:rPr>
          <w:t>196/2016</w:t>
        </w:r>
      </w:hyperlink>
      <w:r>
        <w:t>, f. 4.</w:t>
      </w:r>
    </w:p>
    <w:p w:rsidR="00427CF1" w:rsidRDefault="00427CF1" w:rsidP="00427CF1">
      <w:pPr>
        <w:pStyle w:val="SangriaFrancesaArticulo"/>
      </w:pPr>
      <w:r w:rsidRPr="00427CF1">
        <w:rPr>
          <w:rStyle w:val="TextoNormalNegritaCaracter"/>
        </w:rPr>
        <w:t>Título VII.</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Sentencias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f. 4.</w:t>
      </w:r>
    </w:p>
    <w:p w:rsidR="00427CF1" w:rsidRDefault="00427CF1" w:rsidP="00427CF1">
      <w:pPr>
        <w:pStyle w:val="SangriaFrancesaArticulo"/>
      </w:pPr>
      <w:r w:rsidRPr="00427CF1">
        <w:rPr>
          <w:rStyle w:val="TextoNormalNegritaCaracter"/>
        </w:rPr>
        <w:t>Exposición de motivos, párrafo 1.</w:t>
      </w:r>
      <w:r w:rsidRPr="00427CF1">
        <w:rPr>
          <w:rStyle w:val="TextoNormalCaracter"/>
        </w:rPr>
        <w:t>-</w:t>
      </w:r>
      <w:r>
        <w:t xml:space="preserve"> Sentencias </w:t>
      </w:r>
      <w:hyperlink w:anchor="SENTENCIA_2016_167" w:history="1">
        <w:r w:rsidRPr="00427CF1">
          <w:rPr>
            <w:rStyle w:val="TextoNormalCaracter"/>
          </w:rPr>
          <w:t>167/2016</w:t>
        </w:r>
      </w:hyperlink>
      <w:r>
        <w:t xml:space="preserve">, f. 3;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 xml:space="preserve">Exposición de motivos, párrafo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16.1 c).</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f. 4.</w:t>
      </w:r>
    </w:p>
    <w:p w:rsidR="00427CF1" w:rsidRDefault="00427CF1" w:rsidP="00427CF1">
      <w:pPr>
        <w:pStyle w:val="SangriaFrancesaArticulo"/>
      </w:pPr>
      <w:r w:rsidRPr="00427CF1">
        <w:rPr>
          <w:rStyle w:val="TextoNormalNegritaCaracter"/>
        </w:rPr>
        <w:t>Artículo 16.3.</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r w:rsidRPr="00427CF1">
        <w:rPr>
          <w:rStyle w:val="TextoNormalNegritaCaracter"/>
        </w:rPr>
        <w:t>Artículo 27.1.</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f. 4.</w:t>
      </w:r>
    </w:p>
    <w:p w:rsidR="00427CF1" w:rsidRDefault="00427CF1" w:rsidP="00427CF1">
      <w:pPr>
        <w:pStyle w:val="SangriaFrancesaArticulo"/>
      </w:pPr>
      <w:r w:rsidRPr="00427CF1">
        <w:rPr>
          <w:rStyle w:val="TextoNormalNegritaCaracter"/>
        </w:rPr>
        <w:t>Disposición adicional vigesima primera.</w:t>
      </w:r>
      <w:r w:rsidRPr="00427CF1">
        <w:rPr>
          <w:rStyle w:val="TextoNormalCaracter"/>
        </w:rPr>
        <w:t>-</w:t>
      </w:r>
      <w:r>
        <w:t xml:space="preserve"> Sentencia </w:t>
      </w:r>
      <w:hyperlink w:anchor="SENTENCIA_2016_198" w:history="1">
        <w:r w:rsidRPr="00427CF1">
          <w:rPr>
            <w:rStyle w:val="TextoNormalCaracter"/>
          </w:rPr>
          <w:t>198/2016</w:t>
        </w:r>
      </w:hyperlink>
      <w:r>
        <w:t>, ff. 2 a 5.</w:t>
      </w:r>
    </w:p>
    <w:p w:rsidR="00427CF1" w:rsidRDefault="00427CF1" w:rsidP="00427CF1">
      <w:pPr>
        <w:pStyle w:val="SangriaFrancesaArticulo"/>
      </w:pPr>
      <w:r w:rsidRPr="00427CF1">
        <w:rPr>
          <w:rStyle w:val="TextoNormalNegritaCaracter"/>
        </w:rPr>
        <w:t>Disposición adicional vigesima primera, apartado 2 párrafo último.</w:t>
      </w:r>
      <w:r w:rsidRPr="00427CF1">
        <w:rPr>
          <w:rStyle w:val="TextoNormalCaracter"/>
        </w:rPr>
        <w:t>-</w:t>
      </w:r>
      <w:r>
        <w:t xml:space="preserve"> Sentencia </w:t>
      </w:r>
      <w:hyperlink w:anchor="SENTENCIA_2016_198" w:history="1">
        <w:r w:rsidRPr="00427CF1">
          <w:rPr>
            <w:rStyle w:val="TextoNormalCaracter"/>
          </w:rPr>
          <w:t>198/2016</w:t>
        </w:r>
      </w:hyperlink>
      <w:r>
        <w:t>, f. 3.</w:t>
      </w:r>
    </w:p>
    <w:p w:rsidR="00427CF1" w:rsidRDefault="00427CF1" w:rsidP="00427CF1">
      <w:pPr>
        <w:pStyle w:val="SangriaFrancesaArticulo"/>
      </w:pPr>
      <w:r w:rsidRPr="00427CF1">
        <w:rPr>
          <w:rStyle w:val="TextoNormalNegritaCaracter"/>
        </w:rPr>
        <w:t>Disposición adicional vigesima primera, apartado 5.</w:t>
      </w:r>
      <w:r w:rsidRPr="00427CF1">
        <w:rPr>
          <w:rStyle w:val="TextoNormalCaracter"/>
        </w:rPr>
        <w:t>-</w:t>
      </w:r>
      <w:r>
        <w:t xml:space="preserve"> Sentencia </w:t>
      </w:r>
      <w:hyperlink w:anchor="SENTENCIA_2016_198" w:history="1">
        <w:r w:rsidRPr="00427CF1">
          <w:rPr>
            <w:rStyle w:val="TextoNormalCaracter"/>
          </w:rPr>
          <w:t>198/2016</w:t>
        </w:r>
      </w:hyperlink>
      <w:r>
        <w:t>, f. 3.</w:t>
      </w:r>
    </w:p>
    <w:p w:rsidR="00427CF1" w:rsidRDefault="00427CF1" w:rsidP="00427CF1">
      <w:pPr>
        <w:pStyle w:val="SangriaFrancesaArticulo"/>
      </w:pPr>
      <w:r w:rsidRPr="00427CF1">
        <w:rPr>
          <w:rStyle w:val="TextoNormalNegritaCaracter"/>
        </w:rPr>
        <w:t>Disposición adicional vigesima primera, apartado 5, párrafo 1.</w:t>
      </w:r>
      <w:r w:rsidRPr="00427CF1">
        <w:rPr>
          <w:rStyle w:val="TextoNormalCaracter"/>
        </w:rPr>
        <w:t>-</w:t>
      </w:r>
      <w:r>
        <w:t xml:space="preserve"> Sentencia </w:t>
      </w:r>
      <w:hyperlink w:anchor="SENTENCIA_2016_198" w:history="1">
        <w:r w:rsidRPr="00427CF1">
          <w:rPr>
            <w:rStyle w:val="TextoNormalCaracter"/>
          </w:rPr>
          <w:t>198/2016</w:t>
        </w:r>
      </w:hyperlink>
      <w:r>
        <w:t>, f. 3.</w:t>
      </w:r>
    </w:p>
    <w:p w:rsidR="00427CF1" w:rsidRDefault="00427CF1" w:rsidP="00427CF1">
      <w:pPr>
        <w:pStyle w:val="SangriaFrancesaArticulo"/>
      </w:pPr>
      <w:r w:rsidRPr="00427CF1">
        <w:rPr>
          <w:rStyle w:val="TextoNormalNegritaCaracter"/>
        </w:rPr>
        <w:t>Disposición adicional vigesimoprimera.</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96" w:history="1">
        <w:r w:rsidRPr="00427CF1">
          <w:rPr>
            <w:rStyle w:val="TextoNormalCaracter"/>
          </w:rPr>
          <w:t>196/2016</w:t>
        </w:r>
      </w:hyperlink>
      <w:r>
        <w:t>, ff. 2 a 4.</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xml:space="preserve"> bis, f. 2.</w:t>
      </w:r>
    </w:p>
    <w:p w:rsidR="00427CF1" w:rsidRDefault="00427CF1" w:rsidP="00427CF1">
      <w:pPr>
        <w:pStyle w:val="SangriaFrancesaArticulo"/>
      </w:pPr>
      <w:r w:rsidRPr="00427CF1">
        <w:rPr>
          <w:rStyle w:val="TextoNormalNegritaCaracter"/>
        </w:rPr>
        <w:t>Disposición adicional vigesimoprimera, apartado 2.</w:t>
      </w:r>
      <w:r w:rsidRPr="00427CF1">
        <w:rPr>
          <w:rStyle w:val="TextoNormalCaracter"/>
        </w:rPr>
        <w:t>-</w:t>
      </w:r>
      <w:r>
        <w:t xml:space="preserve"> Sentencia </w:t>
      </w:r>
      <w:hyperlink w:anchor="SENTENCIA_2016_196" w:history="1">
        <w:r w:rsidRPr="00427CF1">
          <w:rPr>
            <w:rStyle w:val="TextoNormalCaracter"/>
          </w:rPr>
          <w:t>196/2016</w:t>
        </w:r>
      </w:hyperlink>
      <w:r>
        <w:t>, f. 3.</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xml:space="preserve"> bis, f. 2.</w:t>
      </w:r>
    </w:p>
    <w:p w:rsidR="00427CF1" w:rsidRDefault="00427CF1" w:rsidP="00427CF1">
      <w:pPr>
        <w:pStyle w:val="SangriaFrancesaArticulo"/>
      </w:pPr>
      <w:r w:rsidRPr="00427CF1">
        <w:rPr>
          <w:rStyle w:val="TextoNormalNegritaCaracter"/>
        </w:rPr>
        <w:t xml:space="preserve">Disposición adicional vigesimoprimera, apartado 2, párrafo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96" w:history="1">
        <w:r w:rsidRPr="00427CF1">
          <w:rPr>
            <w:rStyle w:val="TextoNormalCaracter"/>
          </w:rPr>
          <w:t>196/2016</w:t>
        </w:r>
      </w:hyperlink>
      <w:r>
        <w:t>, f. 3.</w:t>
      </w:r>
    </w:p>
    <w:p w:rsidR="00427CF1" w:rsidRDefault="00427CF1" w:rsidP="00427CF1">
      <w:pPr>
        <w:pStyle w:val="SangriaFrancesaArticulo"/>
      </w:pPr>
      <w:r w:rsidRPr="00427CF1">
        <w:rPr>
          <w:rStyle w:val="TextoNormalNegritaCaracter"/>
        </w:rPr>
        <w:t>Disposición adicional vigesimoprimera, apartado 5.</w:t>
      </w:r>
      <w:r w:rsidRPr="00427CF1">
        <w:rPr>
          <w:rStyle w:val="TextoNormalCaracter"/>
        </w:rPr>
        <w:t>-</w:t>
      </w:r>
      <w:r>
        <w:t xml:space="preserve"> Sentencia </w:t>
      </w:r>
      <w:hyperlink w:anchor="SENTENCIA_2016_196" w:history="1">
        <w:r w:rsidRPr="00427CF1">
          <w:rPr>
            <w:rStyle w:val="TextoNormalCaracter"/>
          </w:rPr>
          <w:t>196/2016</w:t>
        </w:r>
      </w:hyperlink>
      <w:r>
        <w:t>, f. 3.</w:t>
      </w:r>
    </w:p>
    <w:p w:rsidR="00427CF1" w:rsidRDefault="00427CF1" w:rsidP="00427CF1">
      <w:pPr>
        <w:pStyle w:val="SangriaFrancesaArticulo"/>
      </w:pPr>
      <w:r w:rsidRPr="00427CF1">
        <w:rPr>
          <w:rStyle w:val="TextoNormalNegritaCaracter"/>
        </w:rPr>
        <w:t>Disposición adicional vigesimoprimera, apartado 5, párrafo 1.</w:t>
      </w:r>
      <w:r w:rsidRPr="00427CF1">
        <w:rPr>
          <w:rStyle w:val="TextoNormalCaracter"/>
        </w:rPr>
        <w:t>-</w:t>
      </w:r>
      <w:r>
        <w:t xml:space="preserve"> Sentencia </w:t>
      </w:r>
      <w:hyperlink w:anchor="SENTENCIA_2016_196" w:history="1">
        <w:r w:rsidRPr="00427CF1">
          <w:rPr>
            <w:rStyle w:val="TextoNormalCaracter"/>
          </w:rPr>
          <w:t>196/2016</w:t>
        </w:r>
      </w:hyperlink>
      <w:r>
        <w:t>, f. 3.</w:t>
      </w:r>
    </w:p>
    <w:p w:rsidR="00427CF1" w:rsidRDefault="00427CF1" w:rsidP="00427CF1">
      <w:pPr>
        <w:pStyle w:val="SangriaFrancesaArticulo"/>
      </w:pPr>
      <w:r w:rsidRPr="00427CF1">
        <w:rPr>
          <w:rStyle w:val="TextoNormalNegritaCaracter"/>
        </w:rPr>
        <w:t>Disposición adicional vigesima primera, apartado 2</w:t>
      </w:r>
      <w:r>
        <w:t xml:space="preserve"> (redactada por el Real Decreto-ley 6/2010, de 9 de abril)</w:t>
      </w:r>
      <w:r w:rsidRPr="00427CF1">
        <w:rPr>
          <w:rStyle w:val="TextoNormalNegritaCaracter"/>
        </w:rPr>
        <w:t>.</w:t>
      </w:r>
      <w:r w:rsidRPr="00427CF1">
        <w:rPr>
          <w:rStyle w:val="TextoNormalCaracter"/>
        </w:rPr>
        <w:t>-</w:t>
      </w:r>
      <w:r>
        <w:t xml:space="preserve"> Sentencia </w:t>
      </w:r>
      <w:hyperlink w:anchor="SENTENCIA_2016_198" w:history="1">
        <w:r w:rsidRPr="00427CF1">
          <w:rPr>
            <w:rStyle w:val="TextoNormalCaracter"/>
          </w:rPr>
          <w:t>198/2016</w:t>
        </w:r>
      </w:hyperlink>
      <w:r>
        <w:t>, f. 3.</w:t>
      </w:r>
    </w:p>
    <w:p w:rsidR="00427CF1" w:rsidRDefault="00427CF1" w:rsidP="00427CF1">
      <w:pPr>
        <w:pStyle w:val="SangriaFrancesaArticulo"/>
      </w:pPr>
      <w:r w:rsidRPr="00427CF1">
        <w:rPr>
          <w:rStyle w:val="TextoNormalNegritaCaracter"/>
        </w:rPr>
        <w:t>Disposición transitoria sexta.</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f.4.</w:t>
      </w:r>
    </w:p>
    <w:p w:rsidR="00427CF1" w:rsidRDefault="00427CF1" w:rsidP="00427CF1">
      <w:pPr>
        <w:pStyle w:val="SangriaFrancesaArticulo"/>
      </w:pPr>
      <w:r w:rsidRPr="00427CF1">
        <w:rPr>
          <w:rStyle w:val="TextoNormalNegritaCaracter"/>
        </w:rPr>
        <w:t>Disposición transitoria sexta</w:t>
      </w:r>
      <w:r>
        <w:t xml:space="preserve"> (redactada por la Ley 50/1998, de 30 de diciembre)</w:t>
      </w:r>
      <w:r w:rsidRPr="00427CF1">
        <w:rPr>
          <w:rStyle w:val="TextoNormalNegritaCaracter"/>
        </w:rPr>
        <w:t>.</w:t>
      </w:r>
      <w:r w:rsidRPr="00427CF1">
        <w:rPr>
          <w:rStyle w:val="TextoNormalCaracter"/>
        </w:rPr>
        <w:t>-</w:t>
      </w:r>
      <w:r>
        <w:t xml:space="preserve"> Sentencia </w:t>
      </w:r>
      <w:hyperlink w:anchor="SENTENCIA_2016_167" w:history="1">
        <w:r w:rsidRPr="00427CF1">
          <w:rPr>
            <w:rStyle w:val="TextoNormalCaracter"/>
          </w:rPr>
          <w:t>167/2016</w:t>
        </w:r>
      </w:hyperlink>
      <w:r>
        <w:t>, f. 7.</w:t>
      </w:r>
    </w:p>
    <w:p w:rsidR="00427CF1" w:rsidRDefault="00427CF1" w:rsidP="00427CF1">
      <w:pPr>
        <w:pStyle w:val="SangriaFrancesaArticulo"/>
      </w:pPr>
    </w:p>
    <w:p w:rsidR="00427CF1" w:rsidRDefault="00427CF1" w:rsidP="00427CF1">
      <w:pPr>
        <w:pStyle w:val="TextoNormalNegritaCursivandice"/>
      </w:pPr>
      <w:r>
        <w:t>Ley 7/1998, de 13 de abril. Condiciones generales de la contratación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 6; </w:t>
      </w:r>
      <w:hyperlink w:anchor="SENTENCIA_2016_206" w:history="1">
        <w:r w:rsidRPr="00427CF1">
          <w:rPr>
            <w:rStyle w:val="TextoNormalCaracter"/>
          </w:rPr>
          <w:t>206/2016</w:t>
        </w:r>
      </w:hyperlink>
      <w:r>
        <w:t xml:space="preserve">, ff. 3, 4; </w:t>
      </w:r>
      <w:hyperlink w:anchor="SENTENCIA_2016_207" w:history="1">
        <w:r w:rsidRPr="00427CF1">
          <w:rPr>
            <w:rStyle w:val="TextoNormalCaracter"/>
          </w:rPr>
          <w:t>207/2016</w:t>
        </w:r>
      </w:hyperlink>
      <w:r>
        <w:t xml:space="preserve">, ff. 3, 4; </w:t>
      </w:r>
      <w:hyperlink w:anchor="SENTENCIA_2016_208" w:history="1">
        <w:r w:rsidRPr="00427CF1">
          <w:rPr>
            <w:rStyle w:val="TextoNormalCaracter"/>
          </w:rPr>
          <w:t>208/2016</w:t>
        </w:r>
      </w:hyperlink>
      <w:r>
        <w:t xml:space="preserve">, ff. 3, 4; </w:t>
      </w:r>
      <w:hyperlink w:anchor="SENTENCIA_2016_209" w:history="1">
        <w:r w:rsidRPr="00427CF1">
          <w:rPr>
            <w:rStyle w:val="TextoNormalCaracter"/>
          </w:rPr>
          <w:t>209/2016</w:t>
        </w:r>
      </w:hyperlink>
      <w:r>
        <w:t xml:space="preserve">, ff. 3, 4;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8.2.</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12.2.</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Sentencias </w:t>
      </w:r>
      <w:hyperlink w:anchor="SENTENCIA_2016_206" w:history="1">
        <w:r w:rsidRPr="00427CF1">
          <w:rPr>
            <w:rStyle w:val="TextoNormalCaracter"/>
          </w:rPr>
          <w:t>206/2016</w:t>
        </w:r>
      </w:hyperlink>
      <w:r>
        <w:t xml:space="preserve">, f. 3;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p>
    <w:p w:rsidR="00427CF1" w:rsidRDefault="00427CF1" w:rsidP="00427CF1">
      <w:pPr>
        <w:pStyle w:val="TextoNormalNegritaCursivandice"/>
      </w:pPr>
      <w:r>
        <w:t>Ley 29/1998, de 13 de julio. Jurisdicción contencioso-administrativa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9" w:history="1">
        <w:r w:rsidRPr="00427CF1">
          <w:rPr>
            <w:rStyle w:val="TextoNormalCaracter"/>
          </w:rPr>
          <w:t>129/2016</w:t>
        </w:r>
      </w:hyperlink>
      <w:r>
        <w:t xml:space="preserve">, f. 1; </w:t>
      </w:r>
      <w:hyperlink w:anchor="SENTENCIA_2016_141" w:history="1">
        <w:r w:rsidRPr="00427CF1">
          <w:rPr>
            <w:rStyle w:val="TextoNormalCaracter"/>
          </w:rPr>
          <w:t>141/2016</w:t>
        </w:r>
      </w:hyperlink>
      <w:r>
        <w:t>, f. 8.</w:t>
      </w:r>
    </w:p>
    <w:p w:rsidR="00427CF1" w:rsidRDefault="00427CF1" w:rsidP="00427CF1">
      <w:pPr>
        <w:pStyle w:val="SangriaFrancesaArticulo"/>
      </w:pPr>
      <w:r w:rsidRPr="00427CF1">
        <w:rPr>
          <w:rStyle w:val="TextoNormalNegritaCaracter"/>
        </w:rPr>
        <w:t>Artículo 3 d)</w:t>
      </w:r>
      <w:r>
        <w:t xml:space="preserve"> (redactado por la Ley Orgánica 1/2010, de 19 de febrero)</w:t>
      </w:r>
      <w:r w:rsidRPr="00427CF1">
        <w:rPr>
          <w:rStyle w:val="TextoNormalNegritaCaracter"/>
        </w:rPr>
        <w:t>.</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14.1.2.</w:t>
      </w:r>
      <w:r w:rsidRPr="00427CF1">
        <w:rPr>
          <w:rStyle w:val="TextoNormalCaracter"/>
        </w:rPr>
        <w:t>-</w:t>
      </w:r>
      <w:r>
        <w:t xml:space="preserve"> Sentencia </w:t>
      </w:r>
      <w:hyperlink w:anchor="SENTENCIA_2016_146" w:history="1">
        <w:r w:rsidRPr="00427CF1">
          <w:rPr>
            <w:rStyle w:val="TextoNormalCaracter"/>
          </w:rPr>
          <w:t>146/2016</w:t>
        </w:r>
      </w:hyperlink>
      <w:r>
        <w:t>, f. 1, VP.</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 </w:t>
      </w:r>
      <w:hyperlink w:anchor="SENTENCIA_2016_140" w:history="1">
        <w:r w:rsidRPr="00427CF1">
          <w:rPr>
            <w:rStyle w:val="TextoNormalCaracter"/>
          </w:rPr>
          <w:t>140/2016</w:t>
        </w:r>
      </w:hyperlink>
      <w:r>
        <w:t>, f. 3.</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 </w:t>
      </w:r>
      <w:hyperlink w:anchor="SENTENCIA_2016_140" w:history="1">
        <w:r w:rsidRPr="00427CF1">
          <w:rPr>
            <w:rStyle w:val="TextoNormalCaracter"/>
          </w:rPr>
          <w:t>140/2016</w:t>
        </w:r>
      </w:hyperlink>
      <w:r>
        <w:t>, f. 3.</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27.</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45.</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IzquierdaArticulo"/>
      </w:pPr>
      <w:r>
        <w:t xml:space="preserve">Auto </w:t>
      </w:r>
      <w:hyperlink w:anchor="AUTO_2016_146" w:history="1">
        <w:r w:rsidRPr="00427CF1">
          <w:rPr>
            <w:rStyle w:val="TextoNormalCaracter"/>
          </w:rPr>
          <w:t>146/2016</w:t>
        </w:r>
      </w:hyperlink>
      <w:r>
        <w:t>, f. 3.</w:t>
      </w:r>
    </w:p>
    <w:p w:rsidR="00427CF1" w:rsidRDefault="00427CF1" w:rsidP="00427CF1">
      <w:pPr>
        <w:pStyle w:val="SangriaFrancesaArticulo"/>
      </w:pPr>
      <w:r w:rsidRPr="00427CF1">
        <w:rPr>
          <w:rStyle w:val="TextoNormalNegritaCaracter"/>
        </w:rPr>
        <w:t>Artículo 45.1.</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45.2.</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45.2 d).</w:t>
      </w:r>
      <w:r w:rsidRPr="00427CF1">
        <w:rPr>
          <w:rStyle w:val="TextoNormalCaracter"/>
        </w:rPr>
        <w:t>-</w:t>
      </w:r>
      <w:r>
        <w:t xml:space="preserve"> Sentencia </w:t>
      </w:r>
      <w:hyperlink w:anchor="SENTENCIA_2016_163" w:history="1">
        <w:r w:rsidRPr="00427CF1">
          <w:rPr>
            <w:rStyle w:val="TextoNormalCaracter"/>
          </w:rPr>
          <w:t>163/2016</w:t>
        </w:r>
      </w:hyperlink>
      <w:r>
        <w:t>, ff. 1, 5.</w:t>
      </w:r>
    </w:p>
    <w:p w:rsidR="00427CF1" w:rsidRDefault="00427CF1" w:rsidP="00427CF1">
      <w:pPr>
        <w:pStyle w:val="SangriaFrancesaArticulo"/>
      </w:pPr>
      <w:r w:rsidRPr="00427CF1">
        <w:rPr>
          <w:rStyle w:val="TextoNormalNegritaCaracter"/>
        </w:rPr>
        <w:t>Artículo 45.3.</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45.5.</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46.</w:t>
      </w:r>
      <w:r w:rsidRPr="00427CF1">
        <w:rPr>
          <w:rStyle w:val="TextoNormalCaracter"/>
        </w:rPr>
        <w:t>-</w:t>
      </w:r>
      <w:r>
        <w:t xml:space="preserve"> Sentencia </w:t>
      </w:r>
      <w:hyperlink w:anchor="SENTENCIA_2016_141" w:history="1">
        <w:r w:rsidRPr="00427CF1">
          <w:rPr>
            <w:rStyle w:val="TextoNormalCaracter"/>
          </w:rPr>
          <w:t>141/2016</w:t>
        </w:r>
      </w:hyperlink>
      <w:r>
        <w:t>, f. 8.</w:t>
      </w:r>
    </w:p>
    <w:p w:rsidR="00427CF1" w:rsidRDefault="00427CF1" w:rsidP="00427CF1">
      <w:pPr>
        <w:pStyle w:val="SangriaFrancesaArticulo"/>
      </w:pPr>
      <w:r w:rsidRPr="00427CF1">
        <w:rPr>
          <w:rStyle w:val="TextoNormalNegritaCaracter"/>
        </w:rPr>
        <w:t>Artículo 48.</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48.7 a).</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FrancesaArticulo"/>
      </w:pPr>
      <w:r w:rsidRPr="00427CF1">
        <w:rPr>
          <w:rStyle w:val="TextoNormalNegritaCaracter"/>
        </w:rPr>
        <w:t>Artículo 49.</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56.</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67.1.</w:t>
      </w:r>
      <w:r w:rsidRPr="00427CF1">
        <w:rPr>
          <w:rStyle w:val="TextoNormalCaracter"/>
        </w:rPr>
        <w:t>-</w:t>
      </w:r>
      <w:r>
        <w:t xml:space="preserve"> Sentencia </w:t>
      </w:r>
      <w:hyperlink w:anchor="SENTENCIA_2016_133" w:history="1">
        <w:r w:rsidRPr="00427CF1">
          <w:rPr>
            <w:rStyle w:val="TextoNormalCaracter"/>
          </w:rPr>
          <w:t>133/2016</w:t>
        </w:r>
      </w:hyperlink>
      <w:r>
        <w:t>, ff. 4, 6.</w:t>
      </w:r>
    </w:p>
    <w:p w:rsidR="00427CF1" w:rsidRDefault="00427CF1" w:rsidP="00427CF1">
      <w:pPr>
        <w:pStyle w:val="SangriaFrancesaArticulo"/>
      </w:pPr>
      <w:r w:rsidRPr="00427CF1">
        <w:rPr>
          <w:rStyle w:val="TextoNormalNegritaCaracter"/>
        </w:rPr>
        <w:t>Artículo 69 b).</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Artículos 74-77.</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78.</w:t>
      </w:r>
      <w:r w:rsidRPr="00427CF1">
        <w:rPr>
          <w:rStyle w:val="TextoNormalCaracter"/>
        </w:rPr>
        <w:t>-</w:t>
      </w:r>
      <w:r>
        <w:t xml:space="preserve"> Sentencias </w:t>
      </w:r>
      <w:hyperlink w:anchor="SENTENCIA_2016_140" w:history="1">
        <w:r w:rsidRPr="00427CF1">
          <w:rPr>
            <w:rStyle w:val="TextoNormalCaracter"/>
          </w:rPr>
          <w:t>140/2016</w:t>
        </w:r>
      </w:hyperlink>
      <w:r>
        <w:t xml:space="preserve">, f. 11;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78.6.</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78.7.</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78.8.</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78.23.</w:t>
      </w:r>
      <w:r w:rsidRPr="00427CF1">
        <w:rPr>
          <w:rStyle w:val="TextoNormalCaracter"/>
        </w:rPr>
        <w:t>-</w:t>
      </w:r>
      <w:r>
        <w:t xml:space="preserve"> Sentencia </w:t>
      </w:r>
      <w:hyperlink w:anchor="SENTENCIA_2016_163" w:history="1">
        <w:r w:rsidRPr="00427CF1">
          <w:rPr>
            <w:rStyle w:val="TextoNormalCaracter"/>
          </w:rPr>
          <w:t>163/2016</w:t>
        </w:r>
      </w:hyperlink>
      <w:r>
        <w:t>, f. 5.</w:t>
      </w:r>
    </w:p>
    <w:p w:rsidR="00427CF1" w:rsidRDefault="00427CF1" w:rsidP="00427CF1">
      <w:pPr>
        <w:pStyle w:val="SangriaFrancesaArticulo"/>
      </w:pPr>
      <w:r w:rsidRPr="00427CF1">
        <w:rPr>
          <w:rStyle w:val="TextoNormalNegritaCaracter"/>
        </w:rPr>
        <w:t>Artículo 81.</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86.</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88.</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96.</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99.</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102 bis, apartado 2</w:t>
      </w:r>
      <w:r>
        <w:t xml:space="preserve"> (redactado por la Ley 13/2009, de 3 de noviembre)</w:t>
      </w:r>
      <w:r w:rsidRPr="00427CF1">
        <w:rPr>
          <w:rStyle w:val="TextoNormalNegritaCaracter"/>
        </w:rPr>
        <w:t>.</w:t>
      </w:r>
      <w:r w:rsidRPr="00427CF1">
        <w:rPr>
          <w:rStyle w:val="TextoNormalCaracter"/>
        </w:rPr>
        <w:t>-</w:t>
      </w:r>
      <w:r>
        <w:t xml:space="preserve"> Sentencia </w:t>
      </w:r>
      <w:hyperlink w:anchor="SENTENCIA_2016_129" w:history="1">
        <w:r w:rsidRPr="00427CF1">
          <w:rPr>
            <w:rStyle w:val="TextoNormalCaracter"/>
          </w:rPr>
          <w:t>129/2016</w:t>
        </w:r>
      </w:hyperlink>
      <w:r>
        <w:t>, ff. 2, 3.</w:t>
      </w:r>
    </w:p>
    <w:p w:rsidR="00427CF1" w:rsidRDefault="00427CF1" w:rsidP="00427CF1">
      <w:pPr>
        <w:pStyle w:val="SangriaFrancesaArticulo"/>
      </w:pPr>
      <w:r w:rsidRPr="00427CF1">
        <w:rPr>
          <w:rStyle w:val="TextoNormalNegritaCaracter"/>
        </w:rPr>
        <w:t>Artículo 102 bis, apartado 2 párrafo 1</w:t>
      </w:r>
      <w:r>
        <w:t xml:space="preserve"> (redactado por la Ley 13/2009, de 3 de noviembre)</w:t>
      </w:r>
      <w:r w:rsidRPr="00427CF1">
        <w:rPr>
          <w:rStyle w:val="TextoNormalNegritaCaracter"/>
        </w:rPr>
        <w:t>.</w:t>
      </w:r>
      <w:r w:rsidRPr="00427CF1">
        <w:rPr>
          <w:rStyle w:val="TextoNormalCaracter"/>
        </w:rPr>
        <w:t>-</w:t>
      </w:r>
      <w:r>
        <w:t xml:space="preserve"> Sentencia </w:t>
      </w:r>
      <w:hyperlink w:anchor="SENTENCIA_2016_129" w:history="1">
        <w:r w:rsidRPr="00427CF1">
          <w:rPr>
            <w:rStyle w:val="TextoNormalCaracter"/>
          </w:rPr>
          <w:t>129/2016</w:t>
        </w:r>
      </w:hyperlink>
      <w:r>
        <w:t>, f. 3.</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FrancesaArticulo"/>
      </w:pPr>
      <w:r w:rsidRPr="00427CF1">
        <w:rPr>
          <w:rStyle w:val="TextoNormalNegritaCaracter"/>
        </w:rPr>
        <w:t>Artículos 123 a 126.</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139.1</w:t>
      </w:r>
      <w:r>
        <w:t xml:space="preserve"> (redactado por la Ley 37/2011, de 10 de octubre)</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139.2.</w:t>
      </w:r>
      <w:r w:rsidRPr="00427CF1">
        <w:rPr>
          <w:rStyle w:val="TextoNormalCaracter"/>
        </w:rPr>
        <w:t>-</w:t>
      </w:r>
      <w:r>
        <w:t xml:space="preserve"> Sentencias </w:t>
      </w:r>
      <w:hyperlink w:anchor="SENTENCIA_2016_140" w:history="1">
        <w:r w:rsidRPr="00427CF1">
          <w:rPr>
            <w:rStyle w:val="TextoNormalCaracter"/>
          </w:rPr>
          <w:t>140/2016</w:t>
        </w:r>
      </w:hyperlink>
      <w:r>
        <w:t xml:space="preserve">, f. 12;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Ley 34/1998, de 7 de octubre. Sector de hidrocarburos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8" w:history="1">
        <w:r w:rsidRPr="00427CF1">
          <w:rPr>
            <w:rStyle w:val="TextoNormalCaracter"/>
          </w:rPr>
          <w:t>198/2016</w:t>
        </w:r>
      </w:hyperlink>
      <w:r>
        <w:t>, f. 4.</w:t>
      </w:r>
    </w:p>
    <w:p w:rsidR="00427CF1" w:rsidRDefault="00427CF1" w:rsidP="00427CF1">
      <w:pPr>
        <w:pStyle w:val="SangriaFrancesaArticulo"/>
      </w:pPr>
      <w:r w:rsidRPr="00427CF1">
        <w:rPr>
          <w:rStyle w:val="TextoNormalNegritaCaracter"/>
        </w:rPr>
        <w:t>Artículo 9.5.</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p>
    <w:p w:rsidR="00427CF1" w:rsidRDefault="00427CF1" w:rsidP="00427CF1">
      <w:pPr>
        <w:pStyle w:val="TextoNormalNegritaCursivandice"/>
      </w:pPr>
      <w:r>
        <w:t>Ley 50/1998, de 30 de diciembre. Medidas fiscales, administrativas y del orden social</w:t>
      </w:r>
    </w:p>
    <w:p w:rsidR="00427CF1" w:rsidRDefault="00427CF1" w:rsidP="00427CF1">
      <w:pPr>
        <w:pStyle w:val="SangriaFrancesaArticulo"/>
      </w:pPr>
      <w:r w:rsidRPr="00427CF1">
        <w:rPr>
          <w:rStyle w:val="TextoNormalNegritaCaracter"/>
        </w:rPr>
        <w:t>Artículo 107.</w:t>
      </w:r>
      <w:r w:rsidRPr="00427CF1">
        <w:rPr>
          <w:rStyle w:val="TextoNormalCaracter"/>
        </w:rPr>
        <w:t>-</w:t>
      </w:r>
      <w:r>
        <w:t xml:space="preserve"> Sentencia </w:t>
      </w:r>
      <w:hyperlink w:anchor="SENTENCIA_2016_167" w:history="1">
        <w:r w:rsidRPr="00427CF1">
          <w:rPr>
            <w:rStyle w:val="TextoNormalCaracter"/>
          </w:rPr>
          <w:t>167/2016</w:t>
        </w:r>
      </w:hyperlink>
      <w:r>
        <w:t>, f. 7.</w:t>
      </w:r>
    </w:p>
    <w:p w:rsidR="00427CF1" w:rsidRDefault="00427CF1" w:rsidP="00427CF1">
      <w:pPr>
        <w:pStyle w:val="SangriaFrancesaArticulo"/>
      </w:pPr>
    </w:p>
    <w:p w:rsidR="00427CF1" w:rsidRDefault="00427CF1" w:rsidP="00427CF1">
      <w:pPr>
        <w:pStyle w:val="TextoNormalNegritaCursivandice"/>
      </w:pPr>
      <w:r>
        <w:t>Ley 1/2000, de 7 de enero. Enjuiciamiento civil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 4; </w:t>
      </w:r>
      <w:hyperlink w:anchor="SENTENCIA_2016_222" w:history="1">
        <w:r w:rsidRPr="00427CF1">
          <w:rPr>
            <w:rStyle w:val="TextoNormalCaracter"/>
          </w:rPr>
          <w:t>222/2016</w:t>
        </w:r>
      </w:hyperlink>
      <w:r>
        <w:t>, f. 4.</w:t>
      </w:r>
    </w:p>
    <w:p w:rsidR="00427CF1" w:rsidRDefault="00427CF1" w:rsidP="00427CF1">
      <w:pPr>
        <w:pStyle w:val="SangriaIzquierdaArticulo"/>
      </w:pPr>
      <w:r>
        <w:t xml:space="preserve">Autos </w:t>
      </w:r>
      <w:hyperlink w:anchor="AUTO_2016_188" w:history="1">
        <w:r w:rsidRPr="00427CF1">
          <w:rPr>
            <w:rStyle w:val="TextoNormalCaracter"/>
          </w:rPr>
          <w:t>188/2016</w:t>
        </w:r>
      </w:hyperlink>
      <w:r>
        <w:t xml:space="preserve">, f. único; </w:t>
      </w:r>
      <w:hyperlink w:anchor="AUTO_2016_190" w:history="1">
        <w:r w:rsidRPr="00427CF1">
          <w:rPr>
            <w:rStyle w:val="TextoNormalCaracter"/>
          </w:rPr>
          <w:t>190/2016</w:t>
        </w:r>
      </w:hyperlink>
      <w:r>
        <w:t xml:space="preserve">, f. único; </w:t>
      </w:r>
      <w:hyperlink w:anchor="AUTO_2016_201" w:history="1">
        <w:r w:rsidRPr="00427CF1">
          <w:rPr>
            <w:rStyle w:val="TextoNormalCaracter"/>
          </w:rPr>
          <w:t>201/2016</w:t>
        </w:r>
      </w:hyperlink>
      <w:r>
        <w:t>, f. único.</w:t>
      </w:r>
    </w:p>
    <w:p w:rsidR="00427CF1" w:rsidRDefault="00427CF1" w:rsidP="00427CF1">
      <w:pPr>
        <w:pStyle w:val="SangriaFrancesaArticulo"/>
      </w:pPr>
      <w:r w:rsidRPr="00427CF1">
        <w:rPr>
          <w:rStyle w:val="TextoNormalNegritaCaracter"/>
        </w:rPr>
        <w:t>Artículo 6.1.7.</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7.7.</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Sentencias </w:t>
      </w:r>
      <w:hyperlink w:anchor="SENTENCIA_2016_148" w:history="1">
        <w:r w:rsidRPr="00427CF1">
          <w:rPr>
            <w:rStyle w:val="TextoNormalCaracter"/>
          </w:rPr>
          <w:t>148/2016</w:t>
        </w:r>
      </w:hyperlink>
      <w:r>
        <w:t xml:space="preserve">, ff. 4, 6; </w:t>
      </w:r>
      <w:hyperlink w:anchor="SENTENCIA_2016_206" w:history="1">
        <w:r w:rsidRPr="00427CF1">
          <w:rPr>
            <w:rStyle w:val="TextoNormalCaracter"/>
          </w:rPr>
          <w:t>206/2016</w:t>
        </w:r>
      </w:hyperlink>
      <w:r>
        <w:t xml:space="preserve">, f. 4; </w:t>
      </w:r>
      <w:hyperlink w:anchor="SENTENCIA_2016_207" w:history="1">
        <w:r w:rsidRPr="00427CF1">
          <w:rPr>
            <w:rStyle w:val="TextoNormalCaracter"/>
          </w:rPr>
          <w:t>207/2016</w:t>
        </w:r>
      </w:hyperlink>
      <w:r>
        <w:t xml:space="preserve">, f. 5; </w:t>
      </w:r>
      <w:hyperlink w:anchor="SENTENCIA_2016_208" w:history="1">
        <w:r w:rsidRPr="00427CF1">
          <w:rPr>
            <w:rStyle w:val="TextoNormalCaracter"/>
          </w:rPr>
          <w:t>208/2016</w:t>
        </w:r>
      </w:hyperlink>
      <w:r>
        <w:t xml:space="preserve">, f. 4; </w:t>
      </w:r>
      <w:hyperlink w:anchor="SENTENCIA_2016_209" w:history="1">
        <w:r w:rsidRPr="00427CF1">
          <w:rPr>
            <w:rStyle w:val="TextoNormalCaracter"/>
          </w:rPr>
          <w:t>209/2016</w:t>
        </w:r>
      </w:hyperlink>
      <w:r>
        <w:t xml:space="preserve">, f. 4; </w:t>
      </w:r>
      <w:hyperlink w:anchor="SENTENCIA_2016_218" w:history="1">
        <w:r w:rsidRPr="00427CF1">
          <w:rPr>
            <w:rStyle w:val="TextoNormalCaracter"/>
          </w:rPr>
          <w:t>218/2016</w:t>
        </w:r>
      </w:hyperlink>
      <w:r>
        <w:t xml:space="preserve">, f. 5; </w:t>
      </w:r>
      <w:hyperlink w:anchor="SENTENCIA_2016_221" w:history="1">
        <w:r w:rsidRPr="00427CF1">
          <w:rPr>
            <w:rStyle w:val="TextoNormalCaracter"/>
          </w:rPr>
          <w:t>221/2016</w:t>
        </w:r>
      </w:hyperlink>
      <w:r>
        <w:t xml:space="preserve">, f. 5; </w:t>
      </w:r>
      <w:hyperlink w:anchor="SENTENCIA_2016_223" w:history="1">
        <w:r w:rsidRPr="00427CF1">
          <w:rPr>
            <w:rStyle w:val="TextoNormalCaracter"/>
          </w:rPr>
          <w:t>223/2016</w:t>
        </w:r>
      </w:hyperlink>
      <w:r>
        <w:t>, f. 4.</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Sentencias </w:t>
      </w:r>
      <w:hyperlink w:anchor="SENTENCIA_2016_148" w:history="1">
        <w:r w:rsidRPr="00427CF1">
          <w:rPr>
            <w:rStyle w:val="TextoNormalCaracter"/>
          </w:rPr>
          <w:t>148/2016</w:t>
        </w:r>
      </w:hyperlink>
      <w:r>
        <w:t xml:space="preserve">, ff. 4, 6; </w:t>
      </w:r>
      <w:hyperlink w:anchor="SENTENCIA_2016_206" w:history="1">
        <w:r w:rsidRPr="00427CF1">
          <w:rPr>
            <w:rStyle w:val="TextoNormalCaracter"/>
          </w:rPr>
          <w:t>206/2016</w:t>
        </w:r>
      </w:hyperlink>
      <w:r>
        <w:t xml:space="preserve">, f. 4; </w:t>
      </w:r>
      <w:hyperlink w:anchor="SENTENCIA_2016_207" w:history="1">
        <w:r w:rsidRPr="00427CF1">
          <w:rPr>
            <w:rStyle w:val="TextoNormalCaracter"/>
          </w:rPr>
          <w:t>207/2016</w:t>
        </w:r>
      </w:hyperlink>
      <w:r>
        <w:t xml:space="preserve">, f. 5; </w:t>
      </w:r>
      <w:hyperlink w:anchor="SENTENCIA_2016_208" w:history="1">
        <w:r w:rsidRPr="00427CF1">
          <w:rPr>
            <w:rStyle w:val="TextoNormalCaracter"/>
          </w:rPr>
          <w:t>208/2016</w:t>
        </w:r>
      </w:hyperlink>
      <w:r>
        <w:t xml:space="preserve">, f. 4; </w:t>
      </w:r>
      <w:hyperlink w:anchor="SENTENCIA_2016_209" w:history="1">
        <w:r w:rsidRPr="00427CF1">
          <w:rPr>
            <w:rStyle w:val="TextoNormalCaracter"/>
          </w:rPr>
          <w:t>209/2016</w:t>
        </w:r>
      </w:hyperlink>
      <w:r>
        <w:t xml:space="preserve">, f. 4; </w:t>
      </w:r>
      <w:hyperlink w:anchor="SENTENCIA_2016_218" w:history="1">
        <w:r w:rsidRPr="00427CF1">
          <w:rPr>
            <w:rStyle w:val="TextoNormalCaracter"/>
          </w:rPr>
          <w:t>218/2016</w:t>
        </w:r>
      </w:hyperlink>
      <w:r>
        <w:t xml:space="preserve">, f. 5; </w:t>
      </w:r>
      <w:hyperlink w:anchor="SENTENCIA_2016_221" w:history="1">
        <w:r w:rsidRPr="00427CF1">
          <w:rPr>
            <w:rStyle w:val="TextoNormalCaracter"/>
          </w:rPr>
          <w:t>221/2016</w:t>
        </w:r>
      </w:hyperlink>
      <w:r>
        <w:t xml:space="preserve">, f. 5; </w:t>
      </w:r>
      <w:hyperlink w:anchor="SENTENCIA_2016_223" w:history="1">
        <w:r w:rsidRPr="00427CF1">
          <w:rPr>
            <w:rStyle w:val="TextoNormalCaracter"/>
          </w:rPr>
          <w:t>223/2016</w:t>
        </w:r>
      </w:hyperlink>
      <w:r>
        <w:t>, f. 4.</w:t>
      </w:r>
    </w:p>
    <w:p w:rsidR="00427CF1" w:rsidRDefault="00427CF1" w:rsidP="00427CF1">
      <w:pPr>
        <w:pStyle w:val="SangriaIzquierdaArticulo"/>
      </w:pPr>
      <w:r>
        <w:t xml:space="preserve">Auto </w:t>
      </w:r>
      <w:hyperlink w:anchor="AUTO_2016_148" w:history="1">
        <w:r w:rsidRPr="00427CF1">
          <w:rPr>
            <w:rStyle w:val="TextoNormalCaracter"/>
          </w:rPr>
          <w:t>148/2016</w:t>
        </w:r>
      </w:hyperlink>
      <w:r>
        <w:t>, f. 3.</w:t>
      </w:r>
    </w:p>
    <w:p w:rsidR="00427CF1" w:rsidRDefault="00427CF1" w:rsidP="00427CF1">
      <w:pPr>
        <w:pStyle w:val="SangriaFrancesaArticulo"/>
      </w:pPr>
      <w:r w:rsidRPr="00427CF1">
        <w:rPr>
          <w:rStyle w:val="TextoNormalNegritaCaracter"/>
        </w:rPr>
        <w:t>Artículo 11.3.</w:t>
      </w:r>
      <w:r w:rsidRPr="00427CF1">
        <w:rPr>
          <w:rStyle w:val="TextoNormalCaracter"/>
        </w:rPr>
        <w:t>-</w:t>
      </w:r>
      <w:r>
        <w:t xml:space="preserve"> Sentencias </w:t>
      </w:r>
      <w:hyperlink w:anchor="SENTENCIA_2016_148" w:history="1">
        <w:r w:rsidRPr="00427CF1">
          <w:rPr>
            <w:rStyle w:val="TextoNormalCaracter"/>
          </w:rPr>
          <w:t>148/2016</w:t>
        </w:r>
      </w:hyperlink>
      <w:r>
        <w:t xml:space="preserve">, ff. 4, 6; </w:t>
      </w:r>
      <w:hyperlink w:anchor="SENTENCIA_2016_206" w:history="1">
        <w:r w:rsidRPr="00427CF1">
          <w:rPr>
            <w:rStyle w:val="TextoNormalCaracter"/>
          </w:rPr>
          <w:t>206/2016</w:t>
        </w:r>
      </w:hyperlink>
      <w:r>
        <w:t xml:space="preserve">, f. 4; </w:t>
      </w:r>
      <w:hyperlink w:anchor="SENTENCIA_2016_207" w:history="1">
        <w:r w:rsidRPr="00427CF1">
          <w:rPr>
            <w:rStyle w:val="TextoNormalCaracter"/>
          </w:rPr>
          <w:t>207/2016</w:t>
        </w:r>
      </w:hyperlink>
      <w:r>
        <w:t xml:space="preserve">, f. 5; </w:t>
      </w:r>
      <w:hyperlink w:anchor="SENTENCIA_2016_208" w:history="1">
        <w:r w:rsidRPr="00427CF1">
          <w:rPr>
            <w:rStyle w:val="TextoNormalCaracter"/>
          </w:rPr>
          <w:t>208/2016</w:t>
        </w:r>
      </w:hyperlink>
      <w:r>
        <w:t xml:space="preserve">, f. 4; </w:t>
      </w:r>
      <w:hyperlink w:anchor="SENTENCIA_2016_209" w:history="1">
        <w:r w:rsidRPr="00427CF1">
          <w:rPr>
            <w:rStyle w:val="TextoNormalCaracter"/>
          </w:rPr>
          <w:t>209/2016</w:t>
        </w:r>
      </w:hyperlink>
      <w:r>
        <w:t xml:space="preserve">, f. 4; </w:t>
      </w:r>
      <w:hyperlink w:anchor="SENTENCIA_2016_218" w:history="1">
        <w:r w:rsidRPr="00427CF1">
          <w:rPr>
            <w:rStyle w:val="TextoNormalCaracter"/>
          </w:rPr>
          <w:t>218/2016</w:t>
        </w:r>
      </w:hyperlink>
      <w:r>
        <w:t xml:space="preserve">, f. 5; </w:t>
      </w:r>
      <w:hyperlink w:anchor="SENTENCIA_2016_221" w:history="1">
        <w:r w:rsidRPr="00427CF1">
          <w:rPr>
            <w:rStyle w:val="TextoNormalCaracter"/>
          </w:rPr>
          <w:t>221/2016</w:t>
        </w:r>
      </w:hyperlink>
      <w:r>
        <w:t xml:space="preserve">, 5. 5; </w:t>
      </w:r>
      <w:hyperlink w:anchor="SENTENCIA_2016_223" w:history="1">
        <w:r w:rsidRPr="00427CF1">
          <w:rPr>
            <w:rStyle w:val="TextoNormalCaracter"/>
          </w:rPr>
          <w:t>223/2016</w:t>
        </w:r>
      </w:hyperlink>
      <w:r>
        <w:t>, f. 4.</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Sentencias </w:t>
      </w:r>
      <w:hyperlink w:anchor="SENTENCIA_2016_148" w:history="1">
        <w:r w:rsidRPr="00427CF1">
          <w:rPr>
            <w:rStyle w:val="TextoNormalCaracter"/>
          </w:rPr>
          <w:t>148/2016</w:t>
        </w:r>
      </w:hyperlink>
      <w:r>
        <w:t xml:space="preserve">, f. 4; </w:t>
      </w:r>
      <w:hyperlink w:anchor="SENTENCIA_2016_206" w:history="1">
        <w:r w:rsidRPr="00427CF1">
          <w:rPr>
            <w:rStyle w:val="TextoNormalCaracter"/>
          </w:rPr>
          <w:t>206/2016</w:t>
        </w:r>
      </w:hyperlink>
      <w:r>
        <w:t xml:space="preserve">, f. 4;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ff. 3, 4;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ff. 4, 5;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ff. 3, 4.</w:t>
      </w:r>
    </w:p>
    <w:p w:rsidR="00427CF1" w:rsidRDefault="00427CF1" w:rsidP="00427CF1">
      <w:pPr>
        <w:pStyle w:val="SangriaFrancesaArticulo"/>
      </w:pPr>
      <w:r w:rsidRPr="00427CF1">
        <w:rPr>
          <w:rStyle w:val="TextoNormalNegritaCaracter"/>
        </w:rPr>
        <w:t>Artículo 15 apartado 4.</w:t>
      </w:r>
      <w:r w:rsidRPr="00427CF1">
        <w:rPr>
          <w:rStyle w:val="TextoNormalCaracter"/>
        </w:rPr>
        <w:t>-</w:t>
      </w:r>
      <w:r>
        <w:t xml:space="preserve"> Sentencia </w:t>
      </w:r>
      <w:hyperlink w:anchor="SENTENCIA_2016_209" w:history="1">
        <w:r w:rsidRPr="00427CF1">
          <w:rPr>
            <w:rStyle w:val="TextoNormalCaracter"/>
          </w:rPr>
          <w:t>209/2016</w:t>
        </w:r>
      </w:hyperlink>
      <w:r>
        <w:t>, ff. 3, 4.</w:t>
      </w:r>
    </w:p>
    <w:p w:rsidR="00427CF1" w:rsidRDefault="00427CF1" w:rsidP="00427CF1">
      <w:pPr>
        <w:pStyle w:val="SangriaFrancesaArticulo"/>
      </w:pPr>
      <w:r w:rsidRPr="00427CF1">
        <w:rPr>
          <w:rStyle w:val="TextoNormalNegritaCaracter"/>
        </w:rPr>
        <w:t>Artículo 15.4.</w:t>
      </w:r>
      <w:r w:rsidRPr="00427CF1">
        <w:rPr>
          <w:rStyle w:val="TextoNormalCaracter"/>
        </w:rPr>
        <w:t>-</w:t>
      </w:r>
      <w:r>
        <w:t xml:space="preserve"> Sentencias </w:t>
      </w:r>
      <w:hyperlink w:anchor="SENTENCIA_2016_148" w:history="1">
        <w:r w:rsidRPr="00427CF1">
          <w:rPr>
            <w:rStyle w:val="TextoNormalCaracter"/>
          </w:rPr>
          <w:t>148/2016</w:t>
        </w:r>
      </w:hyperlink>
      <w:r>
        <w:t xml:space="preserve">, ff. 4, 6; </w:t>
      </w:r>
      <w:hyperlink w:anchor="SENTENCIA_2016_207" w:history="1">
        <w:r w:rsidRPr="00427CF1">
          <w:rPr>
            <w:rStyle w:val="TextoNormalCaracter"/>
          </w:rPr>
          <w:t>207/2016</w:t>
        </w:r>
      </w:hyperlink>
      <w:r>
        <w:t xml:space="preserve">, f. 5; </w:t>
      </w:r>
      <w:hyperlink w:anchor="SENTENCIA_2016_221" w:history="1">
        <w:r w:rsidRPr="00427CF1">
          <w:rPr>
            <w:rStyle w:val="TextoNormalCaracter"/>
          </w:rPr>
          <w:t>221/2016</w:t>
        </w:r>
      </w:hyperlink>
      <w:r>
        <w:t>, f. 5.</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Auto </w:t>
      </w:r>
      <w:hyperlink w:anchor="AUTO_2016_168" w:history="1">
        <w:r w:rsidRPr="00427CF1">
          <w:rPr>
            <w:rStyle w:val="TextoNormalCaracter"/>
          </w:rPr>
          <w:t>168/2016</w:t>
        </w:r>
      </w:hyperlink>
      <w:r>
        <w:t>, ff. 1, 2, 5.</w:t>
      </w:r>
    </w:p>
    <w:p w:rsidR="00427CF1" w:rsidRDefault="00427CF1" w:rsidP="00427CF1">
      <w:pPr>
        <w:pStyle w:val="SangriaFrancesaArticulo"/>
      </w:pPr>
      <w:r w:rsidRPr="00427CF1">
        <w:rPr>
          <w:rStyle w:val="TextoNormalNegritaCaracter"/>
        </w:rPr>
        <w:t>Artículo 19.1.</w:t>
      </w:r>
      <w:r w:rsidRPr="00427CF1">
        <w:rPr>
          <w:rStyle w:val="TextoNormalCaracter"/>
        </w:rPr>
        <w:t>-</w:t>
      </w:r>
      <w:r>
        <w:t xml:space="preserve"> Autos </w:t>
      </w:r>
      <w:hyperlink w:anchor="AUTO_2016_136" w:history="1">
        <w:r w:rsidRPr="00427CF1">
          <w:rPr>
            <w:rStyle w:val="TextoNormalCaracter"/>
          </w:rPr>
          <w:t>136/2016</w:t>
        </w:r>
      </w:hyperlink>
      <w:r>
        <w:t xml:space="preserve">, f. único; </w:t>
      </w:r>
      <w:hyperlink w:anchor="AUTO_2016_161" w:history="1">
        <w:r w:rsidRPr="00427CF1">
          <w:rPr>
            <w:rStyle w:val="TextoNormalCaracter"/>
          </w:rPr>
          <w:t>161/2016</w:t>
        </w:r>
      </w:hyperlink>
      <w:r>
        <w:t xml:space="preserve">, f. único; </w:t>
      </w:r>
      <w:hyperlink w:anchor="AUTO_2016_208" w:history="1">
        <w:r w:rsidRPr="00427CF1">
          <w:rPr>
            <w:rStyle w:val="TextoNormalCaracter"/>
          </w:rPr>
          <w:t>208/2016</w:t>
        </w:r>
      </w:hyperlink>
      <w:r>
        <w:t>, f. único.</w:t>
      </w:r>
    </w:p>
    <w:p w:rsidR="00427CF1" w:rsidRDefault="00427CF1" w:rsidP="00427CF1">
      <w:pPr>
        <w:pStyle w:val="SangriaFrancesaArticulo"/>
      </w:pPr>
      <w:r w:rsidRPr="00427CF1">
        <w:rPr>
          <w:rStyle w:val="TextoNormalNegritaCaracter"/>
        </w:rPr>
        <w:t>Artículo 20.2.</w:t>
      </w:r>
      <w:r w:rsidRPr="00427CF1">
        <w:rPr>
          <w:rStyle w:val="TextoNormalCaracter"/>
        </w:rPr>
        <w:t>-</w:t>
      </w:r>
      <w:r>
        <w:t xml:space="preserve"> Autos </w:t>
      </w:r>
      <w:hyperlink w:anchor="AUTO_2016_136" w:history="1">
        <w:r w:rsidRPr="00427CF1">
          <w:rPr>
            <w:rStyle w:val="TextoNormalCaracter"/>
          </w:rPr>
          <w:t>136/2016</w:t>
        </w:r>
      </w:hyperlink>
      <w:r>
        <w:t xml:space="preserve">, f. único; </w:t>
      </w:r>
      <w:hyperlink w:anchor="AUTO_2016_161" w:history="1">
        <w:r w:rsidRPr="00427CF1">
          <w:rPr>
            <w:rStyle w:val="TextoNormalCaracter"/>
          </w:rPr>
          <w:t>161/2016</w:t>
        </w:r>
      </w:hyperlink>
      <w:r>
        <w:t xml:space="preserve">, f. único; </w:t>
      </w:r>
      <w:hyperlink w:anchor="AUTO_2016_208" w:history="1">
        <w:r w:rsidRPr="00427CF1">
          <w:rPr>
            <w:rStyle w:val="TextoNormalCaracter"/>
          </w:rPr>
          <w:t>208/2016</w:t>
        </w:r>
      </w:hyperlink>
      <w:r>
        <w:t>, f. único.</w:t>
      </w:r>
    </w:p>
    <w:p w:rsidR="00427CF1" w:rsidRDefault="00427CF1" w:rsidP="00427CF1">
      <w:pPr>
        <w:pStyle w:val="SangriaFrancesaArticulo"/>
      </w:pPr>
      <w:r w:rsidRPr="00427CF1">
        <w:rPr>
          <w:rStyle w:val="TextoNormalNegritaCaracter"/>
        </w:rPr>
        <w:t>Artículo 20.3.</w:t>
      </w:r>
      <w:r w:rsidRPr="00427CF1">
        <w:rPr>
          <w:rStyle w:val="TextoNormalCaracter"/>
        </w:rPr>
        <w:t>-</w:t>
      </w:r>
      <w:r>
        <w:t xml:space="preserve"> Autos </w:t>
      </w:r>
      <w:hyperlink w:anchor="AUTO_2016_136" w:history="1">
        <w:r w:rsidRPr="00427CF1">
          <w:rPr>
            <w:rStyle w:val="TextoNormalCaracter"/>
          </w:rPr>
          <w:t>136/2016</w:t>
        </w:r>
      </w:hyperlink>
      <w:r>
        <w:t xml:space="preserve">, f. único; </w:t>
      </w:r>
      <w:hyperlink w:anchor="AUTO_2016_161" w:history="1">
        <w:r w:rsidRPr="00427CF1">
          <w:rPr>
            <w:rStyle w:val="TextoNormalCaracter"/>
          </w:rPr>
          <w:t>161/2016</w:t>
        </w:r>
      </w:hyperlink>
      <w:r>
        <w:t xml:space="preserve">, f. único; </w:t>
      </w:r>
      <w:hyperlink w:anchor="AUTO_2016_208" w:history="1">
        <w:r w:rsidRPr="00427CF1">
          <w:rPr>
            <w:rStyle w:val="TextoNormalCaracter"/>
          </w:rPr>
          <w:t>208/2016</w:t>
        </w:r>
      </w:hyperlink>
      <w:r>
        <w:t>, f. único.</w:t>
      </w:r>
    </w:p>
    <w:p w:rsidR="00427CF1" w:rsidRDefault="00427CF1" w:rsidP="00427CF1">
      <w:pPr>
        <w:pStyle w:val="SangriaFrancesaArticulo"/>
      </w:pPr>
      <w:r w:rsidRPr="00427CF1">
        <w:rPr>
          <w:rStyle w:val="TextoNormalNegritaCaracter"/>
        </w:rPr>
        <w:t>Artículo 25.2.1.</w:t>
      </w:r>
      <w:r w:rsidRPr="00427CF1">
        <w:rPr>
          <w:rStyle w:val="TextoNormalCaracter"/>
        </w:rPr>
        <w:t>-</w:t>
      </w:r>
      <w:r>
        <w:t xml:space="preserve"> Autos </w:t>
      </w:r>
      <w:hyperlink w:anchor="AUTO_2016_136" w:history="1">
        <w:r w:rsidRPr="00427CF1">
          <w:rPr>
            <w:rStyle w:val="TextoNormalCaracter"/>
          </w:rPr>
          <w:t>136/2016</w:t>
        </w:r>
      </w:hyperlink>
      <w:r>
        <w:t xml:space="preserve">, f. único; </w:t>
      </w:r>
      <w:hyperlink w:anchor="AUTO_2016_161" w:history="1">
        <w:r w:rsidRPr="00427CF1">
          <w:rPr>
            <w:rStyle w:val="TextoNormalCaracter"/>
          </w:rPr>
          <w:t>161/2016</w:t>
        </w:r>
      </w:hyperlink>
      <w:r>
        <w:t>, f. único.</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Sentencias </w:t>
      </w:r>
      <w:hyperlink w:anchor="SENTENCIA_2016_148" w:history="1">
        <w:r w:rsidRPr="00427CF1">
          <w:rPr>
            <w:rStyle w:val="TextoNormalCaracter"/>
          </w:rPr>
          <w:t>148/2016</w:t>
        </w:r>
      </w:hyperlink>
      <w:r>
        <w:t xml:space="preserve">, ff. 1, 5; </w:t>
      </w:r>
      <w:hyperlink w:anchor="SENTENCIA_2016_207" w:history="1">
        <w:r w:rsidRPr="00427CF1">
          <w:rPr>
            <w:rStyle w:val="TextoNormalCaracter"/>
          </w:rPr>
          <w:t>207/2016</w:t>
        </w:r>
      </w:hyperlink>
      <w:r>
        <w:t xml:space="preserve">, ff. 1, 4; </w:t>
      </w:r>
      <w:hyperlink w:anchor="SENTENCIA_2016_208" w:history="1">
        <w:r w:rsidRPr="00427CF1">
          <w:rPr>
            <w:rStyle w:val="TextoNormalCaracter"/>
          </w:rPr>
          <w:t>208/2016</w:t>
        </w:r>
      </w:hyperlink>
      <w:r>
        <w:t xml:space="preserve">, f. 3; </w:t>
      </w:r>
      <w:hyperlink w:anchor="SENTENCIA_2016_218" w:history="1">
        <w:r w:rsidRPr="00427CF1">
          <w:rPr>
            <w:rStyle w:val="TextoNormalCaracter"/>
          </w:rPr>
          <w:t>218/2016</w:t>
        </w:r>
      </w:hyperlink>
      <w:r>
        <w:t xml:space="preserve">, ff. 1, 4; </w:t>
      </w:r>
      <w:hyperlink w:anchor="SENTENCIA_2016_221" w:history="1">
        <w:r w:rsidRPr="00427CF1">
          <w:rPr>
            <w:rStyle w:val="TextoNormalCaracter"/>
          </w:rPr>
          <w:t>221/2016</w:t>
        </w:r>
      </w:hyperlink>
      <w:r>
        <w:t xml:space="preserve">, ff. 1, 4; </w:t>
      </w:r>
      <w:hyperlink w:anchor="SENTENCIA_2016_223" w:history="1">
        <w:r w:rsidRPr="00427CF1">
          <w:rPr>
            <w:rStyle w:val="TextoNormalCaracter"/>
          </w:rPr>
          <w:t>223/2016</w:t>
        </w:r>
      </w:hyperlink>
      <w:r>
        <w:t>, ff. 1, 3.</w:t>
      </w:r>
    </w:p>
    <w:p w:rsidR="00427CF1" w:rsidRDefault="00427CF1" w:rsidP="00427CF1">
      <w:pPr>
        <w:pStyle w:val="SangriaFrancesaArticulo"/>
      </w:pPr>
      <w:r w:rsidRPr="00427CF1">
        <w:rPr>
          <w:rStyle w:val="TextoNormalNegritaCaracter"/>
        </w:rPr>
        <w:t>Artículo 80.</w:t>
      </w:r>
      <w:r w:rsidRPr="00427CF1">
        <w:rPr>
          <w:rStyle w:val="TextoNormalCaracter"/>
        </w:rPr>
        <w:t>-</w:t>
      </w:r>
      <w:r>
        <w:t xml:space="preserve"> Sentencia </w:t>
      </w:r>
      <w:hyperlink w:anchor="SENTENCIA_2016_185" w:history="1">
        <w:r w:rsidRPr="00427CF1">
          <w:rPr>
            <w:rStyle w:val="TextoNormalCaracter"/>
          </w:rPr>
          <w:t>185/2016</w:t>
        </w:r>
      </w:hyperlink>
      <w:r>
        <w:t>, VP I.</w:t>
      </w:r>
    </w:p>
    <w:p w:rsidR="00427CF1" w:rsidRDefault="00427CF1" w:rsidP="00427CF1">
      <w:pPr>
        <w:pStyle w:val="SangriaFrancesaArticulo"/>
      </w:pPr>
      <w:r w:rsidRPr="00427CF1">
        <w:rPr>
          <w:rStyle w:val="TextoNormalNegritaCaracter"/>
        </w:rPr>
        <w:t>Artículo 135.1.</w:t>
      </w:r>
      <w:r w:rsidRPr="00427CF1">
        <w:rPr>
          <w:rStyle w:val="TextoNormalCaracter"/>
        </w:rPr>
        <w:t>-</w:t>
      </w:r>
      <w:r>
        <w:t xml:space="preserve"> Sentencia </w:t>
      </w:r>
      <w:hyperlink w:anchor="SENTENCIA_2016_136" w:history="1">
        <w:r w:rsidRPr="00427CF1">
          <w:rPr>
            <w:rStyle w:val="TextoNormalCaracter"/>
          </w:rPr>
          <w:t>136/2016</w:t>
        </w:r>
      </w:hyperlink>
      <w:r>
        <w:t>, f. 3.</w:t>
      </w:r>
    </w:p>
    <w:p w:rsidR="00427CF1" w:rsidRDefault="00427CF1" w:rsidP="00427CF1">
      <w:pPr>
        <w:pStyle w:val="SangriaFrancesaArticulo"/>
      </w:pPr>
      <w:r w:rsidRPr="00427CF1">
        <w:rPr>
          <w:rStyle w:val="TextoNormalNegritaCaracter"/>
        </w:rPr>
        <w:t>Artículo 155.3.</w:t>
      </w:r>
      <w:r w:rsidRPr="00427CF1">
        <w:rPr>
          <w:rStyle w:val="TextoNormalCaracter"/>
        </w:rPr>
        <w:t>-</w:t>
      </w:r>
      <w:r>
        <w:t xml:space="preserve"> Sentencia </w:t>
      </w:r>
      <w:hyperlink w:anchor="SENTENCIA_2016_200" w:history="1">
        <w:r w:rsidRPr="00427CF1">
          <w:rPr>
            <w:rStyle w:val="TextoNormalCaracter"/>
          </w:rPr>
          <w:t>200/2016</w:t>
        </w:r>
      </w:hyperlink>
      <w:r>
        <w:t>, ff. 4, 5.</w:t>
      </w:r>
    </w:p>
    <w:p w:rsidR="00427CF1" w:rsidRDefault="00427CF1" w:rsidP="00427CF1">
      <w:pPr>
        <w:pStyle w:val="SangriaFrancesaArticulo"/>
      </w:pPr>
      <w:r w:rsidRPr="00427CF1">
        <w:rPr>
          <w:rStyle w:val="TextoNormalNegritaCaracter"/>
        </w:rPr>
        <w:t>Artículo 156.</w:t>
      </w:r>
      <w:r w:rsidRPr="00427CF1">
        <w:rPr>
          <w:rStyle w:val="TextoNormalCaracter"/>
        </w:rPr>
        <w:t>-</w:t>
      </w:r>
      <w:r>
        <w:t xml:space="preserve"> Sentencia </w:t>
      </w:r>
      <w:hyperlink w:anchor="SENTENCIA_2016_200" w:history="1">
        <w:r w:rsidRPr="00427CF1">
          <w:rPr>
            <w:rStyle w:val="TextoNormalCaracter"/>
          </w:rPr>
          <w:t>200/2016</w:t>
        </w:r>
      </w:hyperlink>
      <w:r>
        <w:t>, f. 5.</w:t>
      </w:r>
    </w:p>
    <w:p w:rsidR="00427CF1" w:rsidRDefault="00427CF1" w:rsidP="00427CF1">
      <w:pPr>
        <w:pStyle w:val="SangriaFrancesaArticulo"/>
      </w:pPr>
      <w:r w:rsidRPr="00427CF1">
        <w:rPr>
          <w:rStyle w:val="TextoNormalNegritaCaracter"/>
        </w:rPr>
        <w:t>Artículo 164.</w:t>
      </w:r>
      <w:r w:rsidRPr="00427CF1">
        <w:rPr>
          <w:rStyle w:val="TextoNormalCaracter"/>
        </w:rPr>
        <w:t>-</w:t>
      </w:r>
      <w:r>
        <w:t xml:space="preserve"> Sentencias </w:t>
      </w:r>
      <w:hyperlink w:anchor="SENTENCIA_2016_150" w:history="1">
        <w:r w:rsidRPr="00427CF1">
          <w:rPr>
            <w:rStyle w:val="TextoNormalCaracter"/>
          </w:rPr>
          <w:t>150/2016</w:t>
        </w:r>
      </w:hyperlink>
      <w:r>
        <w:t xml:space="preserve">, f. 2; </w:t>
      </w:r>
      <w:hyperlink w:anchor="SENTENCIA_2016_151" w:history="1">
        <w:r w:rsidRPr="00427CF1">
          <w:rPr>
            <w:rStyle w:val="TextoNormalCaracter"/>
          </w:rPr>
          <w:t>151/2016</w:t>
        </w:r>
      </w:hyperlink>
      <w:r>
        <w:t>, f. 2.</w:t>
      </w:r>
    </w:p>
    <w:p w:rsidR="00427CF1" w:rsidRDefault="00427CF1" w:rsidP="00427CF1">
      <w:pPr>
        <w:pStyle w:val="SangriaFrancesaArticulo"/>
      </w:pPr>
      <w:r w:rsidRPr="00427CF1">
        <w:rPr>
          <w:rStyle w:val="TextoNormalNegritaCaracter"/>
        </w:rPr>
        <w:t>Artículo 217.2.</w:t>
      </w:r>
      <w:r w:rsidRPr="00427CF1">
        <w:rPr>
          <w:rStyle w:val="TextoNormalCaracter"/>
        </w:rPr>
        <w:t>-</w:t>
      </w:r>
      <w:r>
        <w:t xml:space="preserve"> Auto </w:t>
      </w:r>
      <w:hyperlink w:anchor="AUTO_2016_146" w:history="1">
        <w:r w:rsidRPr="00427CF1">
          <w:rPr>
            <w:rStyle w:val="TextoNormalCaracter"/>
          </w:rPr>
          <w:t>146/2016</w:t>
        </w:r>
      </w:hyperlink>
      <w:r>
        <w:t>, f. 5.</w:t>
      </w:r>
    </w:p>
    <w:p w:rsidR="00427CF1" w:rsidRDefault="00427CF1" w:rsidP="00427CF1">
      <w:pPr>
        <w:pStyle w:val="SangriaFrancesaArticulo"/>
      </w:pPr>
      <w:r w:rsidRPr="00427CF1">
        <w:rPr>
          <w:rStyle w:val="TextoNormalNegritaCaracter"/>
        </w:rPr>
        <w:t>Artículo 221.</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IzquierdaArticulo"/>
      </w:pPr>
      <w:r>
        <w:t xml:space="preserve">Auto </w:t>
      </w:r>
      <w:hyperlink w:anchor="AUTO_2016_148" w:history="1">
        <w:r w:rsidRPr="00427CF1">
          <w:rPr>
            <w:rStyle w:val="TextoNormalCaracter"/>
          </w:rPr>
          <w:t>148/2016</w:t>
        </w:r>
      </w:hyperlink>
      <w:r>
        <w:t>, f. 3.</w:t>
      </w:r>
    </w:p>
    <w:p w:rsidR="00427CF1" w:rsidRDefault="00427CF1" w:rsidP="00427CF1">
      <w:pPr>
        <w:pStyle w:val="SangriaFrancesaArticulo"/>
      </w:pPr>
      <w:r w:rsidRPr="00427CF1">
        <w:rPr>
          <w:rStyle w:val="TextoNormalNegritaCaracter"/>
        </w:rPr>
        <w:t>Artículo 222.</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247.</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283.</w:t>
      </w:r>
      <w:r w:rsidRPr="00427CF1">
        <w:rPr>
          <w:rStyle w:val="TextoNormalCaracter"/>
        </w:rPr>
        <w:t>-</w:t>
      </w:r>
      <w:r>
        <w:t xml:space="preserve"> Auto </w:t>
      </w:r>
      <w:hyperlink w:anchor="AUTO_2016_146" w:history="1">
        <w:r w:rsidRPr="00427CF1">
          <w:rPr>
            <w:rStyle w:val="TextoNormalCaracter"/>
          </w:rPr>
          <w:t>146/2016</w:t>
        </w:r>
      </w:hyperlink>
      <w:r>
        <w:t>, f. 3.</w:t>
      </w:r>
    </w:p>
    <w:p w:rsidR="00427CF1" w:rsidRDefault="00427CF1" w:rsidP="00427CF1">
      <w:pPr>
        <w:pStyle w:val="SangriaFrancesaArticulo"/>
      </w:pPr>
      <w:r w:rsidRPr="00427CF1">
        <w:rPr>
          <w:rStyle w:val="TextoNormalNegritaCaracter"/>
        </w:rPr>
        <w:t>Artículo 317.5.</w:t>
      </w:r>
      <w:r w:rsidRPr="00427CF1">
        <w:rPr>
          <w:rStyle w:val="TextoNormalCaracter"/>
        </w:rPr>
        <w:t>-</w:t>
      </w:r>
      <w:r>
        <w:t xml:space="preserve"> Sentencia </w:t>
      </w:r>
      <w:hyperlink w:anchor="SENTENCIA_2016_161" w:history="1">
        <w:r w:rsidRPr="00427CF1">
          <w:rPr>
            <w:rStyle w:val="TextoNormalCaracter"/>
          </w:rPr>
          <w:t>161/2016</w:t>
        </w:r>
      </w:hyperlink>
      <w:r>
        <w:t>, f. 1.</w:t>
      </w:r>
    </w:p>
    <w:p w:rsidR="00427CF1" w:rsidRDefault="00427CF1" w:rsidP="00427CF1">
      <w:pPr>
        <w:pStyle w:val="SangriaFrancesaArticulo"/>
      </w:pPr>
      <w:r w:rsidRPr="00427CF1">
        <w:rPr>
          <w:rStyle w:val="TextoNormalNegritaCaracter"/>
        </w:rPr>
        <w:t>Artículo 319.</w:t>
      </w:r>
      <w:r w:rsidRPr="00427CF1">
        <w:rPr>
          <w:rStyle w:val="TextoNormalCaracter"/>
        </w:rPr>
        <w:t>-</w:t>
      </w:r>
      <w:r>
        <w:t xml:space="preserve"> Sentencia </w:t>
      </w:r>
      <w:hyperlink w:anchor="SENTENCIA_2016_161" w:history="1">
        <w:r w:rsidRPr="00427CF1">
          <w:rPr>
            <w:rStyle w:val="TextoNormalCaracter"/>
          </w:rPr>
          <w:t>161/2016</w:t>
        </w:r>
      </w:hyperlink>
      <w:r>
        <w:t>, f. 1.</w:t>
      </w:r>
    </w:p>
    <w:p w:rsidR="00427CF1" w:rsidRDefault="00427CF1" w:rsidP="00427CF1">
      <w:pPr>
        <w:pStyle w:val="SangriaFrancesaArticulo"/>
      </w:pPr>
      <w:r w:rsidRPr="00427CF1">
        <w:rPr>
          <w:rStyle w:val="TextoNormalNegritaCaracter"/>
        </w:rPr>
        <w:t>Artículo 398.</w:t>
      </w:r>
      <w:r w:rsidRPr="00427CF1">
        <w:rPr>
          <w:rStyle w:val="TextoNormalCaracter"/>
        </w:rPr>
        <w:t>-</w:t>
      </w:r>
      <w:r>
        <w:t xml:space="preserve"> Sentencias </w:t>
      </w:r>
      <w:hyperlink w:anchor="SENTENCIA_2016_140" w:history="1">
        <w:r w:rsidRPr="00427CF1">
          <w:rPr>
            <w:rStyle w:val="TextoNormalCaracter"/>
          </w:rPr>
          <w:t>140/2016</w:t>
        </w:r>
      </w:hyperlink>
      <w:r>
        <w:t xml:space="preserve">, f. 12; </w:t>
      </w:r>
      <w:hyperlink w:anchor="SENTENCIA_2016_227" w:history="1">
        <w:r w:rsidRPr="00427CF1">
          <w:rPr>
            <w:rStyle w:val="TextoNormalCaracter"/>
          </w:rPr>
          <w:t>227/2016</w:t>
        </w:r>
      </w:hyperlink>
      <w:r>
        <w:t>, f. 4.</w:t>
      </w:r>
    </w:p>
    <w:p w:rsidR="00427CF1" w:rsidRDefault="00427CF1" w:rsidP="00427CF1">
      <w:pPr>
        <w:pStyle w:val="SangriaFrancesaArticulo"/>
      </w:pPr>
      <w:r w:rsidRPr="00427CF1">
        <w:rPr>
          <w:rStyle w:val="TextoNormalNegritaCaracter"/>
        </w:rPr>
        <w:t>Artículo 439.4.</w:t>
      </w:r>
      <w:r w:rsidRPr="00427CF1">
        <w:rPr>
          <w:rStyle w:val="TextoNormalCaracter"/>
        </w:rPr>
        <w:t>-</w:t>
      </w:r>
      <w:r>
        <w:t xml:space="preserve"> Auto </w:t>
      </w:r>
      <w:hyperlink w:anchor="AUTO_2016_146" w:history="1">
        <w:r w:rsidRPr="00427CF1">
          <w:rPr>
            <w:rStyle w:val="TextoNormalCaracter"/>
          </w:rPr>
          <w:t>146/2016</w:t>
        </w:r>
      </w:hyperlink>
      <w:r>
        <w:t>, f. 3.</w:t>
      </w:r>
    </w:p>
    <w:p w:rsidR="00427CF1" w:rsidRDefault="00427CF1" w:rsidP="00427CF1">
      <w:pPr>
        <w:pStyle w:val="SangriaFrancesaArticulo"/>
      </w:pPr>
      <w:r w:rsidRPr="00427CF1">
        <w:rPr>
          <w:rStyle w:val="TextoNormalNegritaCaracter"/>
        </w:rPr>
        <w:t>Artículo 477.</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496.2.</w:t>
      </w:r>
      <w:r w:rsidRPr="00427CF1">
        <w:rPr>
          <w:rStyle w:val="TextoNormalCaracter"/>
        </w:rPr>
        <w:t>-</w:t>
      </w:r>
      <w:r>
        <w:t xml:space="preserve"> Auto </w:t>
      </w:r>
      <w:hyperlink w:anchor="AUTO_2016_146" w:history="1">
        <w:r w:rsidRPr="00427CF1">
          <w:rPr>
            <w:rStyle w:val="TextoNormalCaracter"/>
          </w:rPr>
          <w:t>146/2016</w:t>
        </w:r>
      </w:hyperlink>
      <w:r>
        <w:t>, f. 5.</w:t>
      </w:r>
    </w:p>
    <w:p w:rsidR="00427CF1" w:rsidRDefault="00427CF1" w:rsidP="00427CF1">
      <w:pPr>
        <w:pStyle w:val="SangriaFrancesaArticulo"/>
      </w:pPr>
      <w:r w:rsidRPr="00427CF1">
        <w:rPr>
          <w:rStyle w:val="TextoNormalNegritaCaracter"/>
        </w:rPr>
        <w:t>Artículo 519.</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539.</w:t>
      </w:r>
      <w:r w:rsidRPr="00427CF1">
        <w:rPr>
          <w:rStyle w:val="TextoNormalCaracter"/>
        </w:rPr>
        <w:t>-</w:t>
      </w:r>
      <w:r>
        <w:t xml:space="preserve"> Sentencia </w:t>
      </w:r>
      <w:hyperlink w:anchor="SENTENCIA_2016_222" w:history="1">
        <w:r w:rsidRPr="00427CF1">
          <w:rPr>
            <w:rStyle w:val="TextoNormalCaracter"/>
          </w:rPr>
          <w:t>222/2016</w:t>
        </w:r>
      </w:hyperlink>
      <w:r>
        <w:t>, ff. 3, 4.</w:t>
      </w:r>
    </w:p>
    <w:p w:rsidR="00427CF1" w:rsidRDefault="00427CF1" w:rsidP="00427CF1">
      <w:pPr>
        <w:pStyle w:val="SangriaFrancesaArticulo"/>
      </w:pPr>
      <w:r w:rsidRPr="00427CF1">
        <w:rPr>
          <w:rStyle w:val="TextoNormalNegritaCaracter"/>
        </w:rPr>
        <w:t>Artículo 540.</w:t>
      </w:r>
      <w:r w:rsidRPr="00427CF1">
        <w:rPr>
          <w:rStyle w:val="TextoNormalCaracter"/>
        </w:rPr>
        <w:t>-</w:t>
      </w:r>
      <w:r>
        <w:t xml:space="preserve"> Auto </w:t>
      </w:r>
      <w:hyperlink w:anchor="AUTO_2016_168" w:history="1">
        <w:r w:rsidRPr="00427CF1">
          <w:rPr>
            <w:rStyle w:val="TextoNormalCaracter"/>
          </w:rPr>
          <w:t>168/2016</w:t>
        </w:r>
      </w:hyperlink>
      <w:r>
        <w:t>, ff. 1, 2, 5.</w:t>
      </w:r>
    </w:p>
    <w:p w:rsidR="00427CF1" w:rsidRDefault="00427CF1" w:rsidP="00427CF1">
      <w:pPr>
        <w:pStyle w:val="SangriaFrancesaArticulo"/>
      </w:pPr>
      <w:r w:rsidRPr="00427CF1">
        <w:rPr>
          <w:rStyle w:val="TextoNormalNegritaCaracter"/>
        </w:rPr>
        <w:t>Artículo 550.</w:t>
      </w:r>
      <w:r w:rsidRPr="00427CF1">
        <w:rPr>
          <w:rStyle w:val="TextoNormalCaracter"/>
        </w:rPr>
        <w:t>-</w:t>
      </w:r>
      <w:r>
        <w:t xml:space="preserve"> Auto </w:t>
      </w:r>
      <w:hyperlink w:anchor="AUTO_2016_146" w:history="1">
        <w:r w:rsidRPr="00427CF1">
          <w:rPr>
            <w:rStyle w:val="TextoNormalCaracter"/>
          </w:rPr>
          <w:t>146/2016</w:t>
        </w:r>
      </w:hyperlink>
      <w:r>
        <w:t>, f. 3.</w:t>
      </w:r>
    </w:p>
    <w:p w:rsidR="00427CF1" w:rsidRDefault="00427CF1" w:rsidP="00427CF1">
      <w:pPr>
        <w:pStyle w:val="SangriaFrancesaArticulo"/>
      </w:pPr>
      <w:r w:rsidRPr="00427CF1">
        <w:rPr>
          <w:rStyle w:val="TextoNormalNegritaCaracter"/>
        </w:rPr>
        <w:t>Artículo 552.1</w:t>
      </w:r>
      <w:r>
        <w:t xml:space="preserve"> (redactado por la Ley 1/2013, de 14 de mayo)</w:t>
      </w:r>
      <w:r w:rsidRPr="00427CF1">
        <w:rPr>
          <w:rStyle w:val="TextoNormalNegritaCaracter"/>
        </w:rPr>
        <w:t>.</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 553.</w:t>
      </w:r>
      <w:r w:rsidRPr="00427CF1">
        <w:rPr>
          <w:rStyle w:val="TextoNormalCaracter"/>
        </w:rPr>
        <w:t>-</w:t>
      </w:r>
      <w:r>
        <w:t xml:space="preserve"> Sentencias </w:t>
      </w:r>
      <w:hyperlink w:anchor="SENTENCIA_2016_150" w:history="1">
        <w:r w:rsidRPr="00427CF1">
          <w:rPr>
            <w:rStyle w:val="TextoNormalCaracter"/>
          </w:rPr>
          <w:t>150/2016</w:t>
        </w:r>
      </w:hyperlink>
      <w:r>
        <w:t xml:space="preserve">, f. 2; </w:t>
      </w:r>
      <w:hyperlink w:anchor="SENTENCIA_2016_151" w:history="1">
        <w:r w:rsidRPr="00427CF1">
          <w:rPr>
            <w:rStyle w:val="TextoNormalCaracter"/>
          </w:rPr>
          <w:t>151/2016</w:t>
        </w:r>
      </w:hyperlink>
      <w:r>
        <w:t xml:space="preserve">, f. 2; </w:t>
      </w:r>
      <w:hyperlink w:anchor="SENTENCIA_2016_200" w:history="1">
        <w:r w:rsidRPr="00427CF1">
          <w:rPr>
            <w:rStyle w:val="TextoNormalCaracter"/>
          </w:rPr>
          <w:t>200/2016</w:t>
        </w:r>
      </w:hyperlink>
      <w:r>
        <w:t>, f. 4.</w:t>
      </w:r>
    </w:p>
    <w:p w:rsidR="00427CF1" w:rsidRDefault="00427CF1" w:rsidP="00427CF1">
      <w:pPr>
        <w:pStyle w:val="SangriaFrancesaArticulo"/>
      </w:pPr>
      <w:r w:rsidRPr="00427CF1">
        <w:rPr>
          <w:rStyle w:val="TextoNormalNegritaCaracter"/>
        </w:rPr>
        <w:t>Artículo 560.</w:t>
      </w:r>
      <w:r w:rsidRPr="00427CF1">
        <w:rPr>
          <w:rStyle w:val="TextoNormalCaracter"/>
        </w:rPr>
        <w:t>-</w:t>
      </w:r>
      <w:r>
        <w:t xml:space="preserve"> Sentencia </w:t>
      </w:r>
      <w:hyperlink w:anchor="SENTENCIA_2016_222" w:history="1">
        <w:r w:rsidRPr="00427CF1">
          <w:rPr>
            <w:rStyle w:val="TextoNormalCaracter"/>
          </w:rPr>
          <w:t>222/2016</w:t>
        </w:r>
      </w:hyperlink>
      <w:r>
        <w:t>, f. 4.</w:t>
      </w:r>
    </w:p>
    <w:p w:rsidR="00427CF1" w:rsidRDefault="00427CF1" w:rsidP="00427CF1">
      <w:pPr>
        <w:pStyle w:val="SangriaFrancesaArticulo"/>
      </w:pPr>
      <w:r w:rsidRPr="00427CF1">
        <w:rPr>
          <w:rStyle w:val="TextoNormalNegritaCaracter"/>
        </w:rPr>
        <w:t>Artículo 573.</w:t>
      </w:r>
      <w:r w:rsidRPr="00427CF1">
        <w:rPr>
          <w:rStyle w:val="TextoNormalCaracter"/>
        </w:rPr>
        <w:t>-</w:t>
      </w:r>
      <w:r>
        <w:t xml:space="preserve"> Auto </w:t>
      </w:r>
      <w:hyperlink w:anchor="AUTO_2016_146" w:history="1">
        <w:r w:rsidRPr="00427CF1">
          <w:rPr>
            <w:rStyle w:val="TextoNormalCaracter"/>
          </w:rPr>
          <w:t>146/2016</w:t>
        </w:r>
      </w:hyperlink>
      <w:r>
        <w:t>, f. 3.</w:t>
      </w:r>
    </w:p>
    <w:p w:rsidR="00427CF1" w:rsidRDefault="00427CF1" w:rsidP="00427CF1">
      <w:pPr>
        <w:pStyle w:val="SangriaFrancesaArticulo"/>
      </w:pPr>
      <w:r w:rsidRPr="00427CF1">
        <w:rPr>
          <w:rStyle w:val="TextoNormalNegritaCaracter"/>
        </w:rPr>
        <w:t>Artículo 671.</w:t>
      </w:r>
      <w:r w:rsidRPr="00427CF1">
        <w:rPr>
          <w:rStyle w:val="TextoNormalCaracter"/>
        </w:rPr>
        <w:t>-</w:t>
      </w:r>
      <w:r>
        <w:t xml:space="preserve"> Auto </w:t>
      </w:r>
      <w:hyperlink w:anchor="AUTO_2016_146" w:history="1">
        <w:r w:rsidRPr="00427CF1">
          <w:rPr>
            <w:rStyle w:val="TextoNormalCaracter"/>
          </w:rPr>
          <w:t>146/2016</w:t>
        </w:r>
      </w:hyperlink>
      <w:r>
        <w:t>, f. 4.</w:t>
      </w:r>
    </w:p>
    <w:p w:rsidR="00427CF1" w:rsidRDefault="00427CF1" w:rsidP="00427CF1">
      <w:pPr>
        <w:pStyle w:val="SangriaFrancesaArticulo"/>
      </w:pPr>
      <w:r w:rsidRPr="00427CF1">
        <w:rPr>
          <w:rStyle w:val="TextoNormalNegritaCaracter"/>
        </w:rPr>
        <w:t>Artículo 675.</w:t>
      </w:r>
      <w:r w:rsidRPr="00427CF1">
        <w:rPr>
          <w:rStyle w:val="TextoNormalCaracter"/>
        </w:rPr>
        <w:t>-</w:t>
      </w:r>
      <w:r>
        <w:t xml:space="preserve"> Auto </w:t>
      </w:r>
      <w:hyperlink w:anchor="AUTO_2016_146" w:history="1">
        <w:r w:rsidRPr="00427CF1">
          <w:rPr>
            <w:rStyle w:val="TextoNormalCaracter"/>
          </w:rPr>
          <w:t>146/2016</w:t>
        </w:r>
      </w:hyperlink>
      <w:r>
        <w:t>, f. 4.</w:t>
      </w:r>
    </w:p>
    <w:p w:rsidR="00427CF1" w:rsidRDefault="00427CF1" w:rsidP="00427CF1">
      <w:pPr>
        <w:pStyle w:val="SangriaFrancesaArticulo"/>
      </w:pPr>
      <w:r w:rsidRPr="00427CF1">
        <w:rPr>
          <w:rStyle w:val="TextoNormalNegritaCaracter"/>
        </w:rPr>
        <w:t>Artículo 686.</w:t>
      </w:r>
      <w:r w:rsidRPr="00427CF1">
        <w:rPr>
          <w:rStyle w:val="TextoNormalCaracter"/>
        </w:rPr>
        <w:t>-</w:t>
      </w:r>
      <w:r>
        <w:t xml:space="preserve"> Sentencia </w:t>
      </w:r>
      <w:hyperlink w:anchor="SENTENCIA_2016_150" w:history="1">
        <w:r w:rsidRPr="00427CF1">
          <w:rPr>
            <w:rStyle w:val="TextoNormalCaracter"/>
          </w:rPr>
          <w:t>150/2016</w:t>
        </w:r>
      </w:hyperlink>
      <w:r>
        <w:t>, f. 2.</w:t>
      </w:r>
    </w:p>
    <w:p w:rsidR="00427CF1" w:rsidRDefault="00427CF1" w:rsidP="00427CF1">
      <w:pPr>
        <w:pStyle w:val="SangriaFrancesaArticulo"/>
      </w:pPr>
      <w:r w:rsidRPr="00427CF1">
        <w:rPr>
          <w:rStyle w:val="TextoNormalNegritaCaracter"/>
        </w:rPr>
        <w:t>Artículo 686.1.</w:t>
      </w:r>
      <w:r w:rsidRPr="00427CF1">
        <w:rPr>
          <w:rStyle w:val="TextoNormalCaracter"/>
        </w:rPr>
        <w:t>-</w:t>
      </w:r>
      <w:r>
        <w:t xml:space="preserve"> Sentencias </w:t>
      </w:r>
      <w:hyperlink w:anchor="SENTENCIA_2016_150" w:history="1">
        <w:r w:rsidRPr="00427CF1">
          <w:rPr>
            <w:rStyle w:val="TextoNormalCaracter"/>
          </w:rPr>
          <w:t>150/2016</w:t>
        </w:r>
      </w:hyperlink>
      <w:r>
        <w:t xml:space="preserve">, f. 1; </w:t>
      </w:r>
      <w:hyperlink w:anchor="SENTENCIA_2016_151" w:history="1">
        <w:r w:rsidRPr="00427CF1">
          <w:rPr>
            <w:rStyle w:val="TextoNormalCaracter"/>
          </w:rPr>
          <w:t>151/2016</w:t>
        </w:r>
      </w:hyperlink>
      <w:r>
        <w:t>, f. 1.</w:t>
      </w:r>
    </w:p>
    <w:p w:rsidR="00427CF1" w:rsidRDefault="00427CF1" w:rsidP="00427CF1">
      <w:pPr>
        <w:pStyle w:val="SangriaFrancesaArticulo"/>
      </w:pPr>
      <w:r w:rsidRPr="00427CF1">
        <w:rPr>
          <w:rStyle w:val="TextoNormalNegritaCaracter"/>
        </w:rPr>
        <w:t>Artículo 686.3.</w:t>
      </w:r>
      <w:r w:rsidRPr="00427CF1">
        <w:rPr>
          <w:rStyle w:val="TextoNormalCaracter"/>
        </w:rPr>
        <w:t>-</w:t>
      </w:r>
      <w:r>
        <w:t xml:space="preserve"> Sentencias </w:t>
      </w:r>
      <w:hyperlink w:anchor="SENTENCIA_2016_150" w:history="1">
        <w:r w:rsidRPr="00427CF1">
          <w:rPr>
            <w:rStyle w:val="TextoNormalCaracter"/>
          </w:rPr>
          <w:t>150/2016</w:t>
        </w:r>
      </w:hyperlink>
      <w:r>
        <w:t xml:space="preserve">, ff. 1, 3; </w:t>
      </w:r>
      <w:hyperlink w:anchor="SENTENCIA_2016_151" w:history="1">
        <w:r w:rsidRPr="00427CF1">
          <w:rPr>
            <w:rStyle w:val="TextoNormalCaracter"/>
          </w:rPr>
          <w:t>151/2016</w:t>
        </w:r>
      </w:hyperlink>
      <w:r>
        <w:t>, ff. 1 a 3.</w:t>
      </w:r>
    </w:p>
    <w:p w:rsidR="00427CF1" w:rsidRDefault="00427CF1" w:rsidP="00427CF1">
      <w:pPr>
        <w:pStyle w:val="SangriaFrancesaArticulo"/>
      </w:pPr>
      <w:r w:rsidRPr="00427CF1">
        <w:rPr>
          <w:rStyle w:val="TextoNormalNegritaCaracter"/>
        </w:rPr>
        <w:t>Artículo 686.3</w:t>
      </w:r>
      <w:r>
        <w:t xml:space="preserve"> (redactado por la Ley 13/2009, de 3 de noviembre)</w:t>
      </w:r>
      <w:r w:rsidRPr="00427CF1">
        <w:rPr>
          <w:rStyle w:val="TextoNormalNegritaCaracter"/>
        </w:rPr>
        <w:t>.</w:t>
      </w:r>
      <w:r w:rsidRPr="00427CF1">
        <w:rPr>
          <w:rStyle w:val="TextoNormalCaracter"/>
        </w:rPr>
        <w:t>-</w:t>
      </w:r>
      <w:r>
        <w:t xml:space="preserve"> Sentencias </w:t>
      </w:r>
      <w:hyperlink w:anchor="SENTENCIA_2016_150" w:history="1">
        <w:r w:rsidRPr="00427CF1">
          <w:rPr>
            <w:rStyle w:val="TextoNormalCaracter"/>
          </w:rPr>
          <w:t>150/2016</w:t>
        </w:r>
      </w:hyperlink>
      <w:r>
        <w:t xml:space="preserve">, f. 2; </w:t>
      </w:r>
      <w:hyperlink w:anchor="SENTENCIA_2016_151" w:history="1">
        <w:r w:rsidRPr="00427CF1">
          <w:rPr>
            <w:rStyle w:val="TextoNormalCaracter"/>
          </w:rPr>
          <w:t>151/2016</w:t>
        </w:r>
      </w:hyperlink>
      <w:r>
        <w:t xml:space="preserve">, f. 2; </w:t>
      </w:r>
      <w:hyperlink w:anchor="SENTENCIA_2016_200" w:history="1">
        <w:r w:rsidRPr="00427CF1">
          <w:rPr>
            <w:rStyle w:val="TextoNormalCaracter"/>
          </w:rPr>
          <w:t>200/2016</w:t>
        </w:r>
      </w:hyperlink>
      <w:r>
        <w:t>, ff. 4, 5.</w:t>
      </w:r>
    </w:p>
    <w:p w:rsidR="00427CF1" w:rsidRDefault="00427CF1" w:rsidP="00427CF1">
      <w:pPr>
        <w:pStyle w:val="SangriaFrancesaArticulo"/>
      </w:pPr>
      <w:r w:rsidRPr="00427CF1">
        <w:rPr>
          <w:rStyle w:val="TextoNormalNegritaCaracter"/>
        </w:rPr>
        <w:t>Artículo 695.</w:t>
      </w:r>
      <w:r w:rsidRPr="00427CF1">
        <w:rPr>
          <w:rStyle w:val="TextoNormalCaracter"/>
        </w:rPr>
        <w:t>-</w:t>
      </w:r>
      <w:r>
        <w:t xml:space="preserve"> Sentencia </w:t>
      </w:r>
      <w:hyperlink w:anchor="SENTENCIA_2016_222" w:history="1">
        <w:r w:rsidRPr="00427CF1">
          <w:rPr>
            <w:rStyle w:val="TextoNormalCaracter"/>
          </w:rPr>
          <w:t>222/2016</w:t>
        </w:r>
      </w:hyperlink>
      <w:r>
        <w:t>, f. 4.</w:t>
      </w:r>
    </w:p>
    <w:p w:rsidR="00427CF1" w:rsidRDefault="00427CF1" w:rsidP="00427CF1">
      <w:pPr>
        <w:pStyle w:val="SangriaIzquierdaArticulo"/>
      </w:pPr>
      <w:r>
        <w:t xml:space="preserve">Auto </w:t>
      </w:r>
      <w:hyperlink w:anchor="AUTO_2016_198" w:history="1">
        <w:r w:rsidRPr="00427CF1">
          <w:rPr>
            <w:rStyle w:val="TextoNormalCaracter"/>
          </w:rPr>
          <w:t>198/2016</w:t>
        </w:r>
      </w:hyperlink>
      <w:r>
        <w:t>, ff. 1, 3, 4.</w:t>
      </w:r>
    </w:p>
    <w:p w:rsidR="00427CF1" w:rsidRDefault="00427CF1" w:rsidP="00427CF1">
      <w:pPr>
        <w:pStyle w:val="SangriaFrancesaArticulo"/>
      </w:pPr>
      <w:r w:rsidRPr="00427CF1">
        <w:rPr>
          <w:rStyle w:val="TextoNormalNegritaCaracter"/>
        </w:rPr>
        <w:t>Artículo 695.2.</w:t>
      </w:r>
      <w:r w:rsidRPr="00427CF1">
        <w:rPr>
          <w:rStyle w:val="TextoNormalCaracter"/>
        </w:rPr>
        <w:t>-</w:t>
      </w:r>
      <w:r>
        <w:t xml:space="preserve"> Sentencia </w:t>
      </w:r>
      <w:hyperlink w:anchor="SENTENCIA_2016_222" w:history="1">
        <w:r w:rsidRPr="00427CF1">
          <w:rPr>
            <w:rStyle w:val="TextoNormalCaracter"/>
          </w:rPr>
          <w:t>222/2016</w:t>
        </w:r>
      </w:hyperlink>
      <w:r>
        <w:t>, ff. 1, 3, 4.</w:t>
      </w:r>
    </w:p>
    <w:p w:rsidR="00427CF1" w:rsidRDefault="00427CF1" w:rsidP="00427CF1">
      <w:pPr>
        <w:pStyle w:val="SangriaFrancesaArticulo"/>
      </w:pPr>
      <w:r w:rsidRPr="00427CF1">
        <w:rPr>
          <w:rStyle w:val="TextoNormalNegritaCaracter"/>
        </w:rPr>
        <w:t>Artículo 695.4</w:t>
      </w:r>
      <w:r>
        <w:t xml:space="preserve"> (redactado por la Ley 1/2013, de 14 de mayo)</w:t>
      </w:r>
      <w:r w:rsidRPr="00427CF1">
        <w:rPr>
          <w:rStyle w:val="TextoNormalNegritaCaracter"/>
        </w:rPr>
        <w:t>.</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Artículos 695 a 698.</w:t>
      </w:r>
      <w:r w:rsidRPr="00427CF1">
        <w:rPr>
          <w:rStyle w:val="TextoNormalCaracter"/>
        </w:rPr>
        <w:t>-</w:t>
      </w:r>
      <w:r>
        <w:t xml:space="preserve"> Auto </w:t>
      </w:r>
      <w:hyperlink w:anchor="AUTO_2016_198" w:history="1">
        <w:r w:rsidRPr="00427CF1">
          <w:rPr>
            <w:rStyle w:val="TextoNormalCaracter"/>
          </w:rPr>
          <w:t>198/2016</w:t>
        </w:r>
      </w:hyperlink>
      <w:r>
        <w:t>, f. 3.</w:t>
      </w:r>
    </w:p>
    <w:p w:rsidR="00427CF1" w:rsidRDefault="00427CF1" w:rsidP="00427CF1">
      <w:pPr>
        <w:pStyle w:val="SangriaFrancesaArticulo"/>
      </w:pPr>
      <w:r w:rsidRPr="00427CF1">
        <w:rPr>
          <w:rStyle w:val="TextoNormalNegritaCaracter"/>
        </w:rPr>
        <w:t>Artículo 698.</w:t>
      </w:r>
      <w:r w:rsidRPr="00427CF1">
        <w:rPr>
          <w:rStyle w:val="TextoNormalCaracter"/>
        </w:rPr>
        <w:t>-</w:t>
      </w:r>
      <w:r>
        <w:t xml:space="preserve"> Auto </w:t>
      </w:r>
      <w:hyperlink w:anchor="AUTO_2016_198" w:history="1">
        <w:r w:rsidRPr="00427CF1">
          <w:rPr>
            <w:rStyle w:val="TextoNormalCaracter"/>
          </w:rPr>
          <w:t>198/2016</w:t>
        </w:r>
      </w:hyperlink>
      <w:r>
        <w:t>, ff. 1, 4.</w:t>
      </w:r>
    </w:p>
    <w:p w:rsidR="00427CF1" w:rsidRDefault="00427CF1" w:rsidP="00427CF1">
      <w:pPr>
        <w:pStyle w:val="SangriaFrancesaArticulo"/>
      </w:pPr>
      <w:r w:rsidRPr="00427CF1">
        <w:rPr>
          <w:rStyle w:val="TextoNormalNegritaCaracter"/>
        </w:rPr>
        <w:t>Artículos 756 a 762.</w:t>
      </w:r>
      <w:r w:rsidRPr="00427CF1">
        <w:rPr>
          <w:rStyle w:val="TextoNormalCaracter"/>
        </w:rPr>
        <w:t>-</w:t>
      </w:r>
      <w:r>
        <w:t xml:space="preserve"> Sentencia </w:t>
      </w:r>
      <w:hyperlink w:anchor="SENTENCIA_2016_132" w:history="1">
        <w:r w:rsidRPr="00427CF1">
          <w:rPr>
            <w:rStyle w:val="TextoNormalCaracter"/>
          </w:rPr>
          <w:t>132/2016</w:t>
        </w:r>
      </w:hyperlink>
      <w:r>
        <w:t>, ff. 2, 4 a 6.</w:t>
      </w:r>
    </w:p>
    <w:p w:rsidR="00427CF1" w:rsidRDefault="00427CF1" w:rsidP="00427CF1">
      <w:pPr>
        <w:pStyle w:val="SangriaFrancesaArticulo"/>
      </w:pPr>
      <w:r w:rsidRPr="00427CF1">
        <w:rPr>
          <w:rStyle w:val="TextoNormalNegritaCaracter"/>
        </w:rPr>
        <w:t>Artículo 757.</w:t>
      </w:r>
      <w:r w:rsidRPr="00427CF1">
        <w:rPr>
          <w:rStyle w:val="TextoNormalCaracter"/>
        </w:rPr>
        <w:t>-</w:t>
      </w:r>
      <w:r>
        <w:t xml:space="preserve"> Sentencia </w:t>
      </w:r>
      <w:hyperlink w:anchor="SENTENCIA_2016_132" w:history="1">
        <w:r w:rsidRPr="00427CF1">
          <w:rPr>
            <w:rStyle w:val="TextoNormalCaracter"/>
          </w:rPr>
          <w:t>132/2016</w:t>
        </w:r>
      </w:hyperlink>
      <w:r>
        <w:t>, f. 6.</w:t>
      </w:r>
    </w:p>
    <w:p w:rsidR="00427CF1" w:rsidRDefault="00427CF1" w:rsidP="00427CF1">
      <w:pPr>
        <w:pStyle w:val="SangriaFrancesaArticulo"/>
      </w:pPr>
      <w:r w:rsidRPr="00427CF1">
        <w:rPr>
          <w:rStyle w:val="TextoNormalNegritaCaracter"/>
        </w:rPr>
        <w:t>Artículo 760.1.</w:t>
      </w:r>
      <w:r w:rsidRPr="00427CF1">
        <w:rPr>
          <w:rStyle w:val="TextoNormalCaracter"/>
        </w:rPr>
        <w:t>-</w:t>
      </w:r>
      <w:r>
        <w:t xml:space="preserve"> Sentencia </w:t>
      </w:r>
      <w:hyperlink w:anchor="SENTENCIA_2016_132" w:history="1">
        <w:r w:rsidRPr="00427CF1">
          <w:rPr>
            <w:rStyle w:val="TextoNormalCaracter"/>
          </w:rPr>
          <w:t>132/2016</w:t>
        </w:r>
      </w:hyperlink>
      <w:r>
        <w:t>, f. 4.</w:t>
      </w:r>
    </w:p>
    <w:p w:rsidR="00427CF1" w:rsidRDefault="00427CF1" w:rsidP="00427CF1">
      <w:pPr>
        <w:pStyle w:val="SangriaFrancesaArticulo"/>
      </w:pPr>
      <w:r w:rsidRPr="00427CF1">
        <w:rPr>
          <w:rStyle w:val="TextoNormalNegritaCaracter"/>
        </w:rPr>
        <w:t>Artículo 762.</w:t>
      </w:r>
      <w:r w:rsidRPr="00427CF1">
        <w:rPr>
          <w:rStyle w:val="TextoNormalCaracter"/>
        </w:rPr>
        <w:t>-</w:t>
      </w:r>
      <w:r>
        <w:t xml:space="preserve"> Sentencia </w:t>
      </w:r>
      <w:hyperlink w:anchor="SENTENCIA_2016_132" w:history="1">
        <w:r w:rsidRPr="00427CF1">
          <w:rPr>
            <w:rStyle w:val="TextoNormalCaracter"/>
          </w:rPr>
          <w:t>132/2016</w:t>
        </w:r>
      </w:hyperlink>
      <w:r>
        <w:t>, f. 5.</w:t>
      </w:r>
    </w:p>
    <w:p w:rsidR="00427CF1" w:rsidRDefault="00427CF1" w:rsidP="00427CF1">
      <w:pPr>
        <w:pStyle w:val="SangriaFrancesaArticulo"/>
      </w:pPr>
      <w:r w:rsidRPr="00427CF1">
        <w:rPr>
          <w:rStyle w:val="TextoNormalNegritaCaracter"/>
        </w:rPr>
        <w:t>Artículo 762.1.</w:t>
      </w:r>
      <w:r w:rsidRPr="00427CF1">
        <w:rPr>
          <w:rStyle w:val="TextoNormalCaracter"/>
        </w:rPr>
        <w:t>-</w:t>
      </w:r>
      <w:r>
        <w:t xml:space="preserve"> Sentencia </w:t>
      </w:r>
      <w:hyperlink w:anchor="SENTENCIA_2016_132" w:history="1">
        <w:r w:rsidRPr="00427CF1">
          <w:rPr>
            <w:rStyle w:val="TextoNormalCaracter"/>
          </w:rPr>
          <w:t>132/2016</w:t>
        </w:r>
      </w:hyperlink>
      <w:r>
        <w:t>, ff. 4, 6.</w:t>
      </w:r>
    </w:p>
    <w:p w:rsidR="00427CF1" w:rsidRDefault="00427CF1" w:rsidP="00427CF1">
      <w:pPr>
        <w:pStyle w:val="SangriaFrancesaArticulo"/>
      </w:pPr>
      <w:r w:rsidRPr="00427CF1">
        <w:rPr>
          <w:rStyle w:val="TextoNormalNegritaCaracter"/>
        </w:rPr>
        <w:t>Artículo 763.</w:t>
      </w:r>
      <w:r w:rsidRPr="00427CF1">
        <w:rPr>
          <w:rStyle w:val="TextoNormalCaracter"/>
        </w:rPr>
        <w:t>-</w:t>
      </w:r>
      <w:r>
        <w:t xml:space="preserve"> Sentencia </w:t>
      </w:r>
      <w:hyperlink w:anchor="SENTENCIA_2016_132" w:history="1">
        <w:r w:rsidRPr="00427CF1">
          <w:rPr>
            <w:rStyle w:val="TextoNormalCaracter"/>
          </w:rPr>
          <w:t>132/2016</w:t>
        </w:r>
      </w:hyperlink>
      <w:r>
        <w:t>, ff. 1, 3 a 5.</w:t>
      </w:r>
    </w:p>
    <w:p w:rsidR="00427CF1" w:rsidRDefault="00427CF1" w:rsidP="00427CF1">
      <w:pPr>
        <w:pStyle w:val="SangriaFrancesaArticulo"/>
      </w:pPr>
      <w:r w:rsidRPr="00427CF1">
        <w:rPr>
          <w:rStyle w:val="TextoNormalNegritaCaracter"/>
        </w:rPr>
        <w:t>Artículo 763.1.</w:t>
      </w:r>
      <w:r w:rsidRPr="00427CF1">
        <w:rPr>
          <w:rStyle w:val="TextoNormalCaracter"/>
        </w:rPr>
        <w:t>-</w:t>
      </w:r>
      <w:r>
        <w:t xml:space="preserve"> Sentencia </w:t>
      </w:r>
      <w:hyperlink w:anchor="SENTENCIA_2016_132" w:history="1">
        <w:r w:rsidRPr="00427CF1">
          <w:rPr>
            <w:rStyle w:val="TextoNormalCaracter"/>
          </w:rPr>
          <w:t>132/2016</w:t>
        </w:r>
      </w:hyperlink>
      <w:r>
        <w:t>, ff. 3, 5, 6.</w:t>
      </w:r>
    </w:p>
    <w:p w:rsidR="00427CF1" w:rsidRDefault="00427CF1" w:rsidP="00427CF1">
      <w:pPr>
        <w:pStyle w:val="SangriaFrancesaArticulo"/>
      </w:pPr>
      <w:r w:rsidRPr="00427CF1">
        <w:rPr>
          <w:rStyle w:val="TextoNormalNegritaCaracter"/>
        </w:rPr>
        <w:t>Artículo 775.</w:t>
      </w:r>
      <w:r w:rsidRPr="00427CF1">
        <w:rPr>
          <w:rStyle w:val="TextoNormalCaracter"/>
        </w:rPr>
        <w:t>-</w:t>
      </w:r>
      <w:r>
        <w:t xml:space="preserve"> Sentencia </w:t>
      </w:r>
      <w:hyperlink w:anchor="SENTENCIA_2016_192" w:history="1">
        <w:r w:rsidRPr="00427CF1">
          <w:rPr>
            <w:rStyle w:val="TextoNormalCaracter"/>
          </w:rPr>
          <w:t>192/2016</w:t>
        </w:r>
      </w:hyperlink>
      <w:r>
        <w:t>, f. 5.</w:t>
      </w:r>
    </w:p>
    <w:p w:rsidR="00427CF1" w:rsidRDefault="00427CF1" w:rsidP="00427CF1">
      <w:pPr>
        <w:pStyle w:val="SangriaFrancesaArticulo"/>
      </w:pPr>
      <w:r w:rsidRPr="00427CF1">
        <w:rPr>
          <w:rStyle w:val="TextoNormalNegritaCaracter"/>
        </w:rPr>
        <w:t>Artículo 812.</w:t>
      </w:r>
      <w:r w:rsidRPr="00427CF1">
        <w:rPr>
          <w:rStyle w:val="TextoNormalCaracter"/>
        </w:rPr>
        <w:t>-</w:t>
      </w:r>
      <w:r>
        <w:t xml:space="preserve"> Auto </w:t>
      </w:r>
      <w:hyperlink w:anchor="AUTO_2016_146" w:history="1">
        <w:r w:rsidRPr="00427CF1">
          <w:rPr>
            <w:rStyle w:val="TextoNormalCaracter"/>
          </w:rPr>
          <w:t>146/2016</w:t>
        </w:r>
      </w:hyperlink>
      <w:r>
        <w:t>, f. 3.</w:t>
      </w:r>
    </w:p>
    <w:p w:rsidR="00427CF1" w:rsidRDefault="00427CF1" w:rsidP="00427CF1">
      <w:pPr>
        <w:pStyle w:val="SangriaFrancesaArticulo"/>
      </w:pPr>
      <w:r w:rsidRPr="00427CF1">
        <w:rPr>
          <w:rStyle w:val="TextoNormalNegritaCaracter"/>
        </w:rPr>
        <w:t>Disposición final sexta.</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Disposición final decimosexta, párrafo 1, regla 5.</w:t>
      </w:r>
      <w:r w:rsidRPr="00427CF1">
        <w:rPr>
          <w:rStyle w:val="TextoNormalCaracter"/>
        </w:rPr>
        <w:t>-</w:t>
      </w:r>
      <w:r>
        <w:t xml:space="preserve"> Auto </w:t>
      </w:r>
      <w:hyperlink w:anchor="AUTO_2016_137" w:history="1">
        <w:r w:rsidRPr="00427CF1">
          <w:rPr>
            <w:rStyle w:val="TextoNormalCaracter"/>
          </w:rPr>
          <w:t>137/2016</w:t>
        </w:r>
      </w:hyperlink>
      <w:r>
        <w:t>, f. 2.</w:t>
      </w:r>
    </w:p>
    <w:p w:rsidR="00427CF1" w:rsidRDefault="00427CF1" w:rsidP="00427CF1">
      <w:pPr>
        <w:pStyle w:val="SangriaFrancesaArticulo"/>
      </w:pPr>
    </w:p>
    <w:p w:rsidR="00427CF1" w:rsidRDefault="00427CF1" w:rsidP="00427CF1">
      <w:pPr>
        <w:pStyle w:val="TextoNormalNegritaCursivandice"/>
      </w:pPr>
      <w:r>
        <w:t>Ley 14/2000, de 29 diciembre. Medidas fiscales, administrativas y del orden social</w:t>
      </w:r>
    </w:p>
    <w:p w:rsidR="00427CF1" w:rsidRDefault="00427CF1" w:rsidP="00427CF1">
      <w:pPr>
        <w:pStyle w:val="SangriaFrancesaArticulo"/>
      </w:pPr>
      <w:r w:rsidRPr="00427CF1">
        <w:rPr>
          <w:rStyle w:val="TextoNormalNegritaCaracter"/>
        </w:rPr>
        <w:t>Disposición adicional vigesimonovena.</w:t>
      </w:r>
      <w:r w:rsidRPr="00427CF1">
        <w:rPr>
          <w:rStyle w:val="TextoNormalCaracter"/>
        </w:rPr>
        <w:t>-</w:t>
      </w:r>
      <w:r>
        <w:t xml:space="preserve"> Sentencia </w:t>
      </w:r>
      <w:hyperlink w:anchor="SENTENCIA_2016_155" w:history="1">
        <w:r w:rsidRPr="00427CF1">
          <w:rPr>
            <w:rStyle w:val="TextoNormalCaracter"/>
          </w:rPr>
          <w:t>155/2016</w:t>
        </w:r>
      </w:hyperlink>
      <w:r>
        <w:t>, f. 5.</w:t>
      </w:r>
    </w:p>
    <w:p w:rsidR="00427CF1" w:rsidRDefault="00427CF1" w:rsidP="00427CF1">
      <w:pPr>
        <w:pStyle w:val="SangriaFrancesaArticulo"/>
      </w:pPr>
    </w:p>
    <w:p w:rsidR="00427CF1" w:rsidRDefault="00427CF1" w:rsidP="00427CF1">
      <w:pPr>
        <w:pStyle w:val="TextoNormalNegritaCursivandice"/>
      </w:pPr>
      <w:r>
        <w:t>Ley 18/2001, de 12 de diciembre. General de estabilidad presupuestaria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12.</w:t>
      </w:r>
    </w:p>
    <w:p w:rsidR="00427CF1" w:rsidRDefault="00427CF1" w:rsidP="00427CF1">
      <w:pPr>
        <w:pStyle w:val="SangriaFrancesaArticulo"/>
      </w:pPr>
    </w:p>
    <w:p w:rsidR="00427CF1" w:rsidRDefault="00427CF1" w:rsidP="00427CF1">
      <w:pPr>
        <w:pStyle w:val="TextoNormalNegritaCursivandice"/>
      </w:pPr>
      <w:r>
        <w:t>Ley 24/2001, de 27 de diciembre.  Medidas fiscales, administrativas y del orden social</w:t>
      </w:r>
    </w:p>
    <w:p w:rsidR="00427CF1" w:rsidRDefault="00427CF1" w:rsidP="00427CF1">
      <w:pPr>
        <w:pStyle w:val="SangriaFrancesaArticulo"/>
      </w:pPr>
      <w:r w:rsidRPr="00427CF1">
        <w:rPr>
          <w:rStyle w:val="TextoNormalNegritaCaracter"/>
        </w:rPr>
        <w:t>Artículo 2.40.</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1/2002, de 21 de febrero. Coordinación de las competencias del Estado y las Comunidades Autónomas en materia de defensa de la competencia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p>
    <w:p w:rsidR="00427CF1" w:rsidRDefault="00427CF1" w:rsidP="00427CF1">
      <w:pPr>
        <w:pStyle w:val="TextoNormalNegritaCursivandice"/>
      </w:pPr>
      <w:r>
        <w:t>Ley 12/2002, de 23 de mayo. Concierto económico con la Comunidad Autónoma del País Vasco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Artículo 2.1.2.</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Artículo 3 a).</w:t>
      </w:r>
      <w:r w:rsidRPr="00427CF1">
        <w:rPr>
          <w:rStyle w:val="TextoNormalCaracter"/>
        </w:rPr>
        <w:t>-</w:t>
      </w:r>
      <w:r>
        <w:t xml:space="preserve"> Sentencia </w:t>
      </w:r>
      <w:hyperlink w:anchor="SENTENCIA_2016_203" w:history="1">
        <w:r w:rsidRPr="00427CF1">
          <w:rPr>
            <w:rStyle w:val="TextoNormalCaracter"/>
          </w:rPr>
          <w:t>203/2016</w:t>
        </w:r>
      </w:hyperlink>
      <w:r>
        <w:t>, ff. 1, 3 a 5.</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48.</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p>
    <w:p w:rsidR="00427CF1" w:rsidRDefault="00427CF1" w:rsidP="00427CF1">
      <w:pPr>
        <w:pStyle w:val="TextoNormalNegritaCursivandice"/>
      </w:pPr>
      <w:r>
        <w:t>Ley 16/2002, de 1 de julio. Prevención y control integrados de la contaminación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1" w:history="1">
        <w:r w:rsidRPr="00427CF1">
          <w:rPr>
            <w:rStyle w:val="TextoNormalCaracter"/>
          </w:rPr>
          <w:t>171/2016</w:t>
        </w:r>
      </w:hyperlink>
      <w:r>
        <w:t>, f. 6.</w:t>
      </w:r>
    </w:p>
    <w:p w:rsidR="00427CF1" w:rsidRDefault="00427CF1" w:rsidP="00427CF1">
      <w:pPr>
        <w:pStyle w:val="SangriaFrancesaArticulo"/>
      </w:pPr>
    </w:p>
    <w:p w:rsidR="00427CF1" w:rsidRDefault="00427CF1" w:rsidP="00427CF1">
      <w:pPr>
        <w:pStyle w:val="TextoNormalNegritaCursivandice"/>
      </w:pPr>
      <w:r>
        <w:t>Ley 39/2002, de 28 de octubre. Transposición al ordenamiento jurídico español de diversas directivas comunitarias en materia de protección de los intereses de los consumidores y usuarios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 4;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Exposición de motivos, apartado II.</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p>
    <w:p w:rsidR="00427CF1" w:rsidRDefault="00427CF1" w:rsidP="00427CF1">
      <w:pPr>
        <w:pStyle w:val="TextoNormalNegritaCursivandice"/>
      </w:pPr>
      <w:r>
        <w:t>Ley 45/2002, de 12 de diciembre. Medidas urgentes para la reforma del sistema de protección por desempleo y mejora de la ocupabilidad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87" w:history="1">
        <w:r w:rsidRPr="00427CF1">
          <w:rPr>
            <w:rStyle w:val="TextoNormalCaracter"/>
          </w:rPr>
          <w:t>187/2016</w:t>
        </w:r>
      </w:hyperlink>
      <w:r>
        <w:t>, f. 6.</w:t>
      </w:r>
    </w:p>
    <w:p w:rsidR="00427CF1" w:rsidRDefault="00427CF1" w:rsidP="00427CF1">
      <w:pPr>
        <w:pStyle w:val="SangriaFrancesaArticulo"/>
      </w:pPr>
    </w:p>
    <w:p w:rsidR="00427CF1" w:rsidRDefault="00427CF1" w:rsidP="00427CF1">
      <w:pPr>
        <w:pStyle w:val="TextoNormalNegritaCursivandice"/>
      </w:pPr>
      <w:r>
        <w:t>Ley 53/2002, de 30 de diciembre. Medidas fiscales, administrativas y del orden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ff. 3, 12.</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Sentencias </w:t>
      </w:r>
      <w:hyperlink w:anchor="SENTENCIA_2016_140" w:history="1">
        <w:r w:rsidRPr="00427CF1">
          <w:rPr>
            <w:rStyle w:val="TextoNormalCaracter"/>
          </w:rPr>
          <w:t>140/2016</w:t>
        </w:r>
      </w:hyperlink>
      <w:r>
        <w:t xml:space="preserve">, ff. 1, 3, 5, 7, 8, 12; </w:t>
      </w:r>
      <w:hyperlink w:anchor="SENTENCIA_2016_202" w:history="1">
        <w:r w:rsidRPr="00427CF1">
          <w:rPr>
            <w:rStyle w:val="TextoNormalCaracter"/>
          </w:rPr>
          <w:t>202/2016</w:t>
        </w:r>
      </w:hyperlink>
      <w:r>
        <w:t xml:space="preserve">, ff. 1, 3; </w:t>
      </w:r>
      <w:hyperlink w:anchor="SENTENCIA_2016_227" w:history="1">
        <w:r w:rsidRPr="00427CF1">
          <w:rPr>
            <w:rStyle w:val="TextoNormalCaracter"/>
          </w:rPr>
          <w:t>227/2016</w:t>
        </w:r>
      </w:hyperlink>
      <w:r>
        <w:t>, f. 4.</w:t>
      </w:r>
    </w:p>
    <w:p w:rsidR="00427CF1" w:rsidRDefault="00427CF1" w:rsidP="00427CF1">
      <w:pPr>
        <w:pStyle w:val="SangriaFrancesaArticulo"/>
      </w:pPr>
      <w:r w:rsidRPr="00427CF1">
        <w:rPr>
          <w:rStyle w:val="TextoNormalNegritaCaracter"/>
        </w:rPr>
        <w:t>Artículo 35.1.</w:t>
      </w:r>
      <w:r w:rsidRPr="00427CF1">
        <w:rPr>
          <w:rStyle w:val="TextoNormalCaracter"/>
        </w:rPr>
        <w:t>-</w:t>
      </w:r>
      <w:r>
        <w:t xml:space="preserve"> Sentencia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35.3.2 d).</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35.7.</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10/2003, de 20 de mayo. Medidas urgentes de liberalización en el sector inmobiliario y transportes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4" w:history="1">
        <w:r w:rsidRPr="00427CF1">
          <w:rPr>
            <w:rStyle w:val="TextoNormalCaracter"/>
          </w:rPr>
          <w:t>144/2016</w:t>
        </w:r>
      </w:hyperlink>
      <w:r>
        <w:t>, f. 7.</w:t>
      </w:r>
    </w:p>
    <w:p w:rsidR="00427CF1" w:rsidRDefault="00427CF1" w:rsidP="00427CF1">
      <w:pPr>
        <w:pStyle w:val="SangriaFrancesaArticulo"/>
      </w:pPr>
    </w:p>
    <w:p w:rsidR="00427CF1" w:rsidRDefault="00427CF1" w:rsidP="00427CF1">
      <w:pPr>
        <w:pStyle w:val="TextoNormalNegritaCursivandice"/>
      </w:pPr>
      <w:r>
        <w:t>Ley 16/2003, de 28 de mayo. Cohesión y calidad del sistema nacional de salud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3, VP I.</w:t>
      </w:r>
    </w:p>
    <w:p w:rsidR="00427CF1" w:rsidRDefault="00427CF1" w:rsidP="00427CF1">
      <w:pPr>
        <w:pStyle w:val="SangriaFrancesaArticulo"/>
      </w:pPr>
      <w:r w:rsidRPr="00427CF1">
        <w:rPr>
          <w:rStyle w:val="TextoNormalNegritaCaracter"/>
        </w:rPr>
        <w:t>Artículo 3</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ff. 2, 5, 10, VP I, VP II.</w:t>
      </w:r>
    </w:p>
    <w:p w:rsidR="00427CF1" w:rsidRDefault="00427CF1" w:rsidP="00427CF1">
      <w:pPr>
        <w:pStyle w:val="SangriaFrancesaArticulo"/>
      </w:pPr>
      <w:r w:rsidRPr="00427CF1">
        <w:rPr>
          <w:rStyle w:val="TextoNormalNegritaCaracter"/>
        </w:rPr>
        <w:t>Artículo 3 ter</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10, VP I.</w:t>
      </w:r>
    </w:p>
    <w:p w:rsidR="00427CF1" w:rsidRDefault="00427CF1" w:rsidP="00427CF1">
      <w:pPr>
        <w:pStyle w:val="SangriaFrancesaArticulo"/>
      </w:pPr>
      <w:r w:rsidRPr="00427CF1">
        <w:rPr>
          <w:rStyle w:val="TextoNormalNegritaCaracter"/>
        </w:rPr>
        <w:t>Artículo 3.1 a).</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Artículo 3.2</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ff. 5, 8, VP II.</w:t>
      </w:r>
    </w:p>
    <w:p w:rsidR="00427CF1" w:rsidRDefault="00427CF1" w:rsidP="00427CF1">
      <w:pPr>
        <w:pStyle w:val="SangriaFrancesaArticulo"/>
      </w:pPr>
      <w:r w:rsidRPr="00427CF1">
        <w:rPr>
          <w:rStyle w:val="TextoNormalNegritaCaracter"/>
        </w:rPr>
        <w:t>Artículo 3.3</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ff. 5, 9, 10, VP II.</w:t>
      </w:r>
    </w:p>
    <w:p w:rsidR="00427CF1" w:rsidRDefault="00427CF1" w:rsidP="00427CF1">
      <w:pPr>
        <w:pStyle w:val="SangriaFrancesaArticulo"/>
      </w:pPr>
      <w:r w:rsidRPr="00427CF1">
        <w:rPr>
          <w:rStyle w:val="TextoNormalNegritaCaracter"/>
        </w:rPr>
        <w:t xml:space="preserve">Artículo 3.3 inciso </w:t>
      </w:r>
      <w:r w:rsidRPr="00427CF1">
        <w:rPr>
          <w:rStyle w:val="TextoNormalNegritaCursivaCaracter"/>
        </w:rPr>
        <w:t>in fine</w:t>
      </w:r>
      <w:r>
        <w:t xml:space="preserve"> </w:t>
      </w:r>
      <w:r w:rsidRPr="00427CF1">
        <w:rPr>
          <w:rStyle w:val="TextoNormalCaracter"/>
        </w:rPr>
        <w:t>(redactado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w:t>
      </w:r>
    </w:p>
    <w:p w:rsidR="00427CF1" w:rsidRDefault="00427CF1" w:rsidP="00427CF1">
      <w:pPr>
        <w:pStyle w:val="SangriaFrancesaArticulo"/>
      </w:pPr>
      <w:r w:rsidRPr="00427CF1">
        <w:rPr>
          <w:rStyle w:val="TextoNormalNegritaCaracter"/>
        </w:rPr>
        <w:t>Artículo 3.4</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5.</w:t>
      </w:r>
    </w:p>
    <w:p w:rsidR="00427CF1" w:rsidRDefault="00427CF1" w:rsidP="00427CF1">
      <w:pPr>
        <w:pStyle w:val="SangriaFrancesaArticulo"/>
      </w:pPr>
      <w:r w:rsidRPr="00427CF1">
        <w:rPr>
          <w:rStyle w:val="TextoNormalNegritaCaracter"/>
        </w:rPr>
        <w:t>Artículo 3.6</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5.</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8 quienquies, apartado 7</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12.</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210" w:history="1">
        <w:r w:rsidRPr="00427CF1">
          <w:rPr>
            <w:rStyle w:val="TextoNormalCaracter"/>
          </w:rPr>
          <w:t>210/2016</w:t>
        </w:r>
      </w:hyperlink>
      <w:r>
        <w:t>, f. 7.</w:t>
      </w:r>
    </w:p>
    <w:p w:rsidR="00427CF1" w:rsidRDefault="00427CF1" w:rsidP="00427CF1">
      <w:pPr>
        <w:pStyle w:val="SangriaFrancesaArticulo"/>
      </w:pPr>
    </w:p>
    <w:p w:rsidR="00427CF1" w:rsidRDefault="00427CF1" w:rsidP="00427CF1">
      <w:pPr>
        <w:pStyle w:val="TextoNormalNegritaCursivandice"/>
      </w:pPr>
      <w:r>
        <w:t>Ley 22/2003, de 9 de julio. Concursal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6" w:history="1">
        <w:r w:rsidRPr="00427CF1">
          <w:rPr>
            <w:rStyle w:val="TextoNormalCaracter"/>
          </w:rPr>
          <w:t>166/2016</w:t>
        </w:r>
      </w:hyperlink>
      <w:r>
        <w:t>, ff. 2, 5.</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5 bis.</w:t>
      </w:r>
      <w:r w:rsidRPr="00427CF1">
        <w:rPr>
          <w:rStyle w:val="TextoNormalCaracter"/>
        </w:rPr>
        <w:t>-</w:t>
      </w:r>
      <w:r>
        <w:t xml:space="preserve"> Sentencia </w:t>
      </w:r>
      <w:hyperlink w:anchor="SENTENCIA_2016_173" w:history="1">
        <w:r w:rsidRPr="00427CF1">
          <w:rPr>
            <w:rStyle w:val="TextoNormalCaracter"/>
          </w:rPr>
          <w:t>173/2016</w:t>
        </w:r>
      </w:hyperlink>
      <w:r>
        <w:t>, ff. 4, 5.</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66" w:history="1">
        <w:r w:rsidRPr="00427CF1">
          <w:rPr>
            <w:rStyle w:val="TextoNormalCaracter"/>
          </w:rPr>
          <w:t>166/2016</w:t>
        </w:r>
      </w:hyperlink>
      <w:r>
        <w:t>, f. 5.</w:t>
      </w:r>
    </w:p>
    <w:p w:rsidR="00427CF1" w:rsidRDefault="00427CF1" w:rsidP="00427CF1">
      <w:pPr>
        <w:pStyle w:val="SangriaFrancesaArticulo"/>
      </w:pPr>
      <w:r w:rsidRPr="00427CF1">
        <w:rPr>
          <w:rStyle w:val="TextoNormalNegritaCaracter"/>
        </w:rPr>
        <w:t>Artículo 87.3.</w:t>
      </w:r>
      <w:r w:rsidRPr="00427CF1">
        <w:rPr>
          <w:rStyle w:val="TextoNormalCaracter"/>
        </w:rPr>
        <w:t>-</w:t>
      </w:r>
      <w:r>
        <w:t xml:space="preserve"> Sentencia </w:t>
      </w:r>
      <w:hyperlink w:anchor="SENTENCIA_2016_166" w:history="1">
        <w:r w:rsidRPr="00427CF1">
          <w:rPr>
            <w:rStyle w:val="TextoNormalCaracter"/>
          </w:rPr>
          <w:t>166/2016</w:t>
        </w:r>
      </w:hyperlink>
      <w:r>
        <w:t>, f. 5.</w:t>
      </w:r>
    </w:p>
    <w:p w:rsidR="00427CF1" w:rsidRDefault="00427CF1" w:rsidP="00427CF1">
      <w:pPr>
        <w:pStyle w:val="SangriaFrancesaArticulo"/>
      </w:pPr>
    </w:p>
    <w:p w:rsidR="00427CF1" w:rsidRDefault="00427CF1" w:rsidP="00427CF1">
      <w:pPr>
        <w:pStyle w:val="TextoNormalNegritaCursivandice"/>
      </w:pPr>
      <w:r>
        <w:t>Ley 25/2003, de 15 de julio. Modificación del Convenio económico entre el Estado y la Comunidad foral de Navarra</w:t>
      </w:r>
    </w:p>
    <w:p w:rsidR="00427CF1" w:rsidRDefault="00427CF1" w:rsidP="00427CF1">
      <w:pPr>
        <w:pStyle w:val="SangriaFrancesaArticulo"/>
      </w:pPr>
      <w:r w:rsidRPr="00427CF1">
        <w:rPr>
          <w:rStyle w:val="TextoNormalNegritaCaracter"/>
        </w:rPr>
        <w:t>Disposición adicional séptima.</w:t>
      </w:r>
      <w:r w:rsidRPr="00427CF1">
        <w:rPr>
          <w:rStyle w:val="TextoNormalCaracter"/>
        </w:rPr>
        <w:t>-</w:t>
      </w:r>
      <w:r>
        <w:t xml:space="preserve"> Sentencia </w:t>
      </w:r>
      <w:hyperlink w:anchor="SENTENCIA_2016_180" w:history="1">
        <w:r w:rsidRPr="00427CF1">
          <w:rPr>
            <w:rStyle w:val="TextoNormalCaracter"/>
          </w:rPr>
          <w:t>180/2016</w:t>
        </w:r>
      </w:hyperlink>
      <w:r>
        <w:t>, f. 4.</w:t>
      </w:r>
    </w:p>
    <w:p w:rsidR="00427CF1" w:rsidRDefault="00427CF1" w:rsidP="00427CF1">
      <w:pPr>
        <w:pStyle w:val="SangriaFrancesaArticulo"/>
      </w:pPr>
    </w:p>
    <w:p w:rsidR="00427CF1" w:rsidRDefault="00427CF1" w:rsidP="00427CF1">
      <w:pPr>
        <w:pStyle w:val="TextoNormalNegritaCursivandice"/>
      </w:pPr>
      <w:r>
        <w:t>Ley 33/2003, de 3 de noviembre. Patrimonio de las Administraciones públicas</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32.1.</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Disposición final segunda, apartado 5.</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p>
    <w:p w:rsidR="00427CF1" w:rsidRDefault="00427CF1" w:rsidP="00427CF1">
      <w:pPr>
        <w:pStyle w:val="TextoNormalNegritaCursivandice"/>
      </w:pPr>
      <w:r>
        <w:t>Ley 51/2003, de 2 de diciembre. Igualdad de oportunidades, no discriminación y accesibilidad universal de las personas con discapacidad</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Ley 55/2003, de 16 de diciembre. Estatuto marco del personal estatutario de los servicios de salud</w:t>
      </w:r>
    </w:p>
    <w:p w:rsidR="00427CF1" w:rsidRDefault="00427CF1" w:rsidP="00427CF1">
      <w:pPr>
        <w:pStyle w:val="SangriaFrancesaArticulo"/>
      </w:pPr>
      <w:r w:rsidRPr="00427CF1">
        <w:rPr>
          <w:rStyle w:val="TextoNormalNegritaCaracter"/>
        </w:rPr>
        <w:t>Capítulo IX.</w:t>
      </w:r>
      <w:r w:rsidRPr="00427CF1">
        <w:rPr>
          <w:rStyle w:val="TextoNormalCaracter"/>
        </w:rPr>
        <w:t>-</w:t>
      </w:r>
      <w:r>
        <w:t xml:space="preserve"> Sentencia </w:t>
      </w:r>
      <w:hyperlink w:anchor="SENTENCIA_2016_155" w:history="1">
        <w:r w:rsidRPr="00427CF1">
          <w:rPr>
            <w:rStyle w:val="TextoNormalCaracter"/>
          </w:rPr>
          <w:t>155/2016</w:t>
        </w:r>
      </w:hyperlink>
      <w:r>
        <w:t>, f. 7.</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83" w:history="1">
        <w:r w:rsidRPr="00427CF1">
          <w:rPr>
            <w:rStyle w:val="TextoNormalCaracter"/>
          </w:rPr>
          <w:t>183/2016</w:t>
        </w:r>
      </w:hyperlink>
      <w:r>
        <w:t>, f. 4.</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55" w:history="1">
        <w:r w:rsidRPr="00427CF1">
          <w:rPr>
            <w:rStyle w:val="TextoNormalCaracter"/>
          </w:rPr>
          <w:t>155/2016</w:t>
        </w:r>
      </w:hyperlink>
      <w:r>
        <w:t>, f. 7.</w:t>
      </w:r>
    </w:p>
    <w:p w:rsidR="00427CF1" w:rsidRDefault="00427CF1" w:rsidP="00427CF1">
      <w:pPr>
        <w:pStyle w:val="SangriaFrancesaArticulo"/>
      </w:pPr>
      <w:r w:rsidRPr="00427CF1">
        <w:rPr>
          <w:rStyle w:val="TextoNormalNegritaCaracter"/>
        </w:rPr>
        <w:t>Disposición adicional quinta.</w:t>
      </w:r>
      <w:r w:rsidRPr="00427CF1">
        <w:rPr>
          <w:rStyle w:val="TextoNormalCaracter"/>
        </w:rPr>
        <w:t>-</w:t>
      </w:r>
      <w:r>
        <w:t xml:space="preserve"> Sentencia </w:t>
      </w:r>
      <w:hyperlink w:anchor="SENTENCIA_2016_183" w:history="1">
        <w:r w:rsidRPr="00427CF1">
          <w:rPr>
            <w:rStyle w:val="TextoNormalCaracter"/>
          </w:rPr>
          <w:t>183/2016</w:t>
        </w:r>
      </w:hyperlink>
      <w:r>
        <w:t>, ff. 3, 6.</w:t>
      </w:r>
    </w:p>
    <w:p w:rsidR="00427CF1" w:rsidRDefault="00427CF1" w:rsidP="00427CF1">
      <w:pPr>
        <w:pStyle w:val="SangriaFrancesaArticulo"/>
      </w:pPr>
      <w:r w:rsidRPr="00427CF1">
        <w:rPr>
          <w:rStyle w:val="TextoNormalNegritaCaracter"/>
        </w:rPr>
        <w:t>Disposición adicional decimosexta</w:t>
      </w:r>
      <w:r>
        <w:t xml:space="preserve"> (redactada por el Real Decreto-ley 16/2012, de 20 de abril)</w:t>
      </w:r>
      <w:r w:rsidRPr="00427CF1">
        <w:rPr>
          <w:rStyle w:val="TextoNormalNegritaCaracter"/>
        </w:rPr>
        <w:t>.</w:t>
      </w:r>
      <w:r w:rsidRPr="00427CF1">
        <w:rPr>
          <w:rStyle w:val="TextoNormalCaracter"/>
        </w:rPr>
        <w:t>-</w:t>
      </w:r>
      <w:r>
        <w:t xml:space="preserve"> Sentencia </w:t>
      </w:r>
      <w:hyperlink w:anchor="SENTENCIA_2016_183" w:history="1">
        <w:r w:rsidRPr="00427CF1">
          <w:rPr>
            <w:rStyle w:val="TextoNormalCaracter"/>
          </w:rPr>
          <w:t>183/2016</w:t>
        </w:r>
      </w:hyperlink>
      <w:r>
        <w:t>, ff. 1, 5, 6.</w:t>
      </w:r>
    </w:p>
    <w:p w:rsidR="00427CF1" w:rsidRDefault="00427CF1" w:rsidP="00427CF1">
      <w:pPr>
        <w:pStyle w:val="SangriaFrancesaArticulo"/>
      </w:pPr>
      <w:r w:rsidRPr="00427CF1">
        <w:rPr>
          <w:rStyle w:val="TextoNormalNegritaCaracter"/>
        </w:rPr>
        <w:t>Disposición adicional decimosexta, apartado 1</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83" w:history="1">
        <w:r w:rsidRPr="00427CF1">
          <w:rPr>
            <w:rStyle w:val="TextoNormalCaracter"/>
          </w:rPr>
          <w:t>183/2016</w:t>
        </w:r>
      </w:hyperlink>
      <w:r>
        <w:t>, f. 6.</w:t>
      </w:r>
    </w:p>
    <w:p w:rsidR="00427CF1" w:rsidRDefault="00427CF1" w:rsidP="00427CF1">
      <w:pPr>
        <w:pStyle w:val="SangriaFrancesaArticulo"/>
      </w:pPr>
      <w:r w:rsidRPr="00427CF1">
        <w:rPr>
          <w:rStyle w:val="TextoNormalNegritaCaracter"/>
        </w:rPr>
        <w:t>Disposición adicional decimosexta, apartado 2</w:t>
      </w:r>
      <w:r>
        <w:t xml:space="preserve"> (redactada por el Real Decreto-ley 16/2012, de 20 de abril)</w:t>
      </w:r>
      <w:r w:rsidRPr="00427CF1">
        <w:rPr>
          <w:rStyle w:val="TextoNormalNegritaCaracter"/>
        </w:rPr>
        <w:t>.</w:t>
      </w:r>
      <w:r w:rsidRPr="00427CF1">
        <w:rPr>
          <w:rStyle w:val="TextoNormalCaracter"/>
        </w:rPr>
        <w:t>-</w:t>
      </w:r>
      <w:r>
        <w:t xml:space="preserve"> Sentencia </w:t>
      </w:r>
      <w:hyperlink w:anchor="SENTENCIA_2016_183" w:history="1">
        <w:r w:rsidRPr="00427CF1">
          <w:rPr>
            <w:rStyle w:val="TextoNormalCaracter"/>
          </w:rPr>
          <w:t>183/2016</w:t>
        </w:r>
      </w:hyperlink>
      <w:r>
        <w:t>, ff. 1, 6.</w:t>
      </w:r>
    </w:p>
    <w:p w:rsidR="00427CF1" w:rsidRDefault="00427CF1" w:rsidP="00427CF1">
      <w:pPr>
        <w:pStyle w:val="SangriaFrancesaArticulo"/>
      </w:pPr>
    </w:p>
    <w:p w:rsidR="00427CF1" w:rsidRDefault="00427CF1" w:rsidP="00427CF1">
      <w:pPr>
        <w:pStyle w:val="TextoNormalNegritaCursivandice"/>
      </w:pPr>
      <w:r>
        <w:t>Ley 56/2003, de 16 de diciembre. Empleo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r w:rsidRPr="00427CF1">
        <w:rPr>
          <w:rStyle w:val="TextoNormalNegritaCaracter"/>
        </w:rPr>
        <w:t>Artículo 4.1 b).</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r w:rsidRPr="00427CF1">
        <w:rPr>
          <w:rStyle w:val="TextoNormalNegritaCaracter"/>
        </w:rPr>
        <w:t>Artículo 13 e).</w:t>
      </w:r>
      <w:r w:rsidRPr="00427CF1">
        <w:rPr>
          <w:rStyle w:val="TextoNormalCaracter"/>
        </w:rPr>
        <w:t>-</w:t>
      </w:r>
      <w:r>
        <w:t xml:space="preserve"> Sentencia </w:t>
      </w:r>
      <w:hyperlink w:anchor="SENTENCIA_2016_179" w:history="1">
        <w:r w:rsidRPr="00427CF1">
          <w:rPr>
            <w:rStyle w:val="TextoNormalCaracter"/>
          </w:rPr>
          <w:t>179/2016</w:t>
        </w:r>
      </w:hyperlink>
      <w:r>
        <w:t>, f. 2, VP.</w:t>
      </w:r>
    </w:p>
    <w:p w:rsidR="00427CF1" w:rsidRDefault="00427CF1" w:rsidP="00427CF1">
      <w:pPr>
        <w:pStyle w:val="SangriaFrancesaArticulo"/>
      </w:pPr>
      <w:r w:rsidRPr="00427CF1">
        <w:rPr>
          <w:rStyle w:val="TextoNormalNegritaCaracter"/>
        </w:rPr>
        <w:t>Artículo 13 e), párrafo 1.</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r w:rsidRPr="00427CF1">
        <w:rPr>
          <w:rStyle w:val="TextoNormalNegritaCaracter"/>
        </w:rPr>
        <w:t>Artículo 13 e), párrafo 2.</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r w:rsidRPr="00427CF1">
        <w:rPr>
          <w:rStyle w:val="TextoNormalNegritaCaracter"/>
        </w:rPr>
        <w:t>Artículo 13 h).</w:t>
      </w:r>
      <w:r w:rsidRPr="00427CF1">
        <w:rPr>
          <w:rStyle w:val="TextoNormalCaracter"/>
        </w:rPr>
        <w:t>-</w:t>
      </w:r>
      <w:r>
        <w:t xml:space="preserve"> Sentencias </w:t>
      </w:r>
      <w:hyperlink w:anchor="SENTENCIA_2016_179" w:history="1">
        <w:r w:rsidRPr="00427CF1">
          <w:rPr>
            <w:rStyle w:val="TextoNormalCaracter"/>
          </w:rPr>
          <w:t>179/2016</w:t>
        </w:r>
      </w:hyperlink>
      <w:r>
        <w:t xml:space="preserve">, ff. 1, 2, VP;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 xml:space="preserve">Artículo 13 h), párrafo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14.3.</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adicional cuarta.</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p>
    <w:p w:rsidR="00427CF1" w:rsidRDefault="00427CF1" w:rsidP="00427CF1">
      <w:pPr>
        <w:pStyle w:val="TextoNormalNegritaCursivandice"/>
      </w:pPr>
      <w:r>
        <w:t>Ley 57/2003, de 16 de diciembre. Medidas para la modernización del gobierno local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7" w:history="1">
        <w:r w:rsidRPr="00427CF1">
          <w:rPr>
            <w:rStyle w:val="TextoNormalCaracter"/>
          </w:rPr>
          <w:t>127/2016</w:t>
        </w:r>
      </w:hyperlink>
      <w:r>
        <w:t xml:space="preserve">, VP; </w:t>
      </w:r>
      <w:hyperlink w:anchor="SENTENCIA_2016_152" w:history="1">
        <w:r w:rsidRPr="00427CF1">
          <w:rPr>
            <w:rStyle w:val="TextoNormalCaracter"/>
          </w:rPr>
          <w:t>152/2016</w:t>
        </w:r>
      </w:hyperlink>
      <w:r>
        <w:t xml:space="preserve">, f. 5; </w:t>
      </w:r>
      <w:hyperlink w:anchor="SENTENCIA_2016_204" w:history="1">
        <w:r w:rsidRPr="00427CF1">
          <w:rPr>
            <w:rStyle w:val="TextoNormalCaracter"/>
          </w:rPr>
          <w:t>204/2016</w:t>
        </w:r>
      </w:hyperlink>
      <w:r>
        <w:t>, VP II.</w:t>
      </w:r>
    </w:p>
    <w:p w:rsidR="00427CF1" w:rsidRDefault="00427CF1" w:rsidP="00427CF1">
      <w:pPr>
        <w:pStyle w:val="SangriaIzquierdaArticulo"/>
      </w:pPr>
      <w:r>
        <w:t xml:space="preserve">Auto </w:t>
      </w:r>
      <w:hyperlink w:anchor="AUTO_2016_167" w:history="1">
        <w:r w:rsidRPr="00427CF1">
          <w:rPr>
            <w:rStyle w:val="TextoNormalCaracter"/>
          </w:rPr>
          <w:t>167/2016</w:t>
        </w:r>
      </w:hyperlink>
      <w:r>
        <w:t>, f. 1.</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27" w:history="1">
        <w:r w:rsidRPr="00427CF1">
          <w:rPr>
            <w:rStyle w:val="TextoNormalCaracter"/>
          </w:rPr>
          <w:t>127/2016</w:t>
        </w:r>
      </w:hyperlink>
      <w:r>
        <w:t>, f. 1.</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Auto </w:t>
      </w:r>
      <w:hyperlink w:anchor="AUTO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Ley 58/2003, de 17 de diciembre. General tributaria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9" w:history="1">
        <w:r w:rsidRPr="00427CF1">
          <w:rPr>
            <w:rStyle w:val="TextoNormalCaracter"/>
          </w:rPr>
          <w:t>139/2016</w:t>
        </w:r>
      </w:hyperlink>
      <w:r>
        <w:t xml:space="preserve">, f. 13;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 </w:t>
      </w:r>
      <w:hyperlink w:anchor="SENTENCIA_2016_152" w:history="1">
        <w:r w:rsidRPr="00427CF1">
          <w:rPr>
            <w:rStyle w:val="TextoNormalCaracter"/>
          </w:rPr>
          <w:t>152/2016</w:t>
        </w:r>
      </w:hyperlink>
      <w:r>
        <w:t>, f. 9.</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152" w:history="1">
        <w:r w:rsidRPr="00427CF1">
          <w:rPr>
            <w:rStyle w:val="TextoNormalCaracter"/>
          </w:rPr>
          <w:t>152/2016</w:t>
        </w:r>
      </w:hyperlink>
      <w:r>
        <w:t>, f. 9.</w:t>
      </w:r>
    </w:p>
    <w:p w:rsidR="00427CF1" w:rsidRDefault="00427CF1" w:rsidP="00427CF1">
      <w:pPr>
        <w:pStyle w:val="SangriaFrancesaArticulo"/>
      </w:pPr>
      <w:r w:rsidRPr="00427CF1">
        <w:rPr>
          <w:rStyle w:val="TextoNormalNegritaCaracter"/>
        </w:rPr>
        <w:t>Artículo 50.2.</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50.3.</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65.</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188.</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191.6.</w:t>
      </w:r>
      <w:r w:rsidRPr="00427CF1">
        <w:rPr>
          <w:rStyle w:val="TextoNormalCaracter"/>
        </w:rPr>
        <w:t>-</w:t>
      </w:r>
      <w:r>
        <w:t xml:space="preserve"> Auto </w:t>
      </w:r>
      <w:hyperlink w:anchor="AUTO_2016_187" w:history="1">
        <w:r w:rsidRPr="00427CF1">
          <w:rPr>
            <w:rStyle w:val="TextoNormalCaracter"/>
          </w:rPr>
          <w:t>187/2016</w:t>
        </w:r>
      </w:hyperlink>
      <w:r>
        <w:t>, f. 5.</w:t>
      </w:r>
    </w:p>
    <w:p w:rsidR="00427CF1" w:rsidRDefault="00427CF1" w:rsidP="00427CF1">
      <w:pPr>
        <w:pStyle w:val="SangriaFrancesaArticulo"/>
      </w:pPr>
      <w:r w:rsidRPr="00427CF1">
        <w:rPr>
          <w:rStyle w:val="TextoNormalNegritaCaracter"/>
        </w:rPr>
        <w:t>Artículo 239.6.</w:t>
      </w:r>
      <w:r w:rsidRPr="00427CF1">
        <w:rPr>
          <w:rStyle w:val="TextoNormalCaracter"/>
        </w:rPr>
        <w:t>-</w:t>
      </w:r>
      <w:r>
        <w:t xml:space="preserve"> Sentencia </w:t>
      </w:r>
      <w:hyperlink w:anchor="SENTENCIA_2016_133" w:history="1">
        <w:r w:rsidRPr="00427CF1">
          <w:rPr>
            <w:rStyle w:val="TextoNormalCaracter"/>
          </w:rPr>
          <w:t>133/2016</w:t>
        </w:r>
      </w:hyperlink>
      <w:r>
        <w:t>, ff. 4, 5.</w:t>
      </w:r>
    </w:p>
    <w:p w:rsidR="00427CF1" w:rsidRDefault="00427CF1" w:rsidP="00427CF1">
      <w:pPr>
        <w:pStyle w:val="SangriaFrancesaArticulo"/>
      </w:pPr>
    </w:p>
    <w:p w:rsidR="00427CF1" w:rsidRDefault="00427CF1" w:rsidP="00427CF1">
      <w:pPr>
        <w:pStyle w:val="TextoNormalNegritaCursivandice"/>
      </w:pPr>
      <w:r>
        <w:t>Ley 11/2011, de 20 de mayo. Reforma de la Ley 60/2003, de 23 de diciembre, de arbitraje y de regulación del arbitraje institucional en la Administración General del Estado</w:t>
      </w:r>
    </w:p>
    <w:p w:rsidR="00427CF1" w:rsidRDefault="00427CF1" w:rsidP="00427CF1">
      <w:pPr>
        <w:pStyle w:val="SangriaFrancesaArticulo"/>
      </w:pPr>
      <w:r w:rsidRPr="00427CF1">
        <w:rPr>
          <w:rStyle w:val="TextoNormalNegritaCaracter"/>
        </w:rPr>
        <w:t>Disposición adicional única.</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p>
    <w:p w:rsidR="00427CF1" w:rsidRDefault="00427CF1" w:rsidP="00427CF1">
      <w:pPr>
        <w:pStyle w:val="TextoNormalNegritaCursivandice"/>
      </w:pPr>
      <w:r>
        <w:t>Ley 1/2004, de 21 de diciembre. Horarios comerciales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1" w:history="1">
        <w:r w:rsidRPr="00427CF1">
          <w:rPr>
            <w:rStyle w:val="TextoNormalCaracter"/>
          </w:rPr>
          <w:t>211/2016</w:t>
        </w:r>
      </w:hyperlink>
      <w:r>
        <w:t>, ff. 6, 7.</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211" w:history="1">
        <w:r w:rsidRPr="00427CF1">
          <w:rPr>
            <w:rStyle w:val="TextoNormalCaracter"/>
          </w:rPr>
          <w:t>211/2016</w:t>
        </w:r>
      </w:hyperlink>
      <w:r>
        <w:t>, f. 7.</w:t>
      </w:r>
    </w:p>
    <w:p w:rsidR="00427CF1" w:rsidRDefault="00427CF1" w:rsidP="00427CF1">
      <w:pPr>
        <w:pStyle w:val="SangriaFrancesaArticulo"/>
      </w:pPr>
      <w:r w:rsidRPr="00427CF1">
        <w:rPr>
          <w:rStyle w:val="TextoNormalNegritaCaracter"/>
        </w:rPr>
        <w:t>Artículo 3.1</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4</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Artículo 4.2</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4.5</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7.</w:t>
      </w:r>
    </w:p>
    <w:p w:rsidR="00427CF1" w:rsidRDefault="00427CF1" w:rsidP="00427CF1">
      <w:pPr>
        <w:pStyle w:val="SangriaFrancesaArticulo"/>
      </w:pPr>
      <w:r w:rsidRPr="00427CF1">
        <w:rPr>
          <w:rStyle w:val="TextoNormalNegritaCaracter"/>
        </w:rPr>
        <w:t>Artículo 4.5 a).</w:t>
      </w:r>
      <w:r w:rsidRPr="00427CF1">
        <w:rPr>
          <w:rStyle w:val="TextoNormalCaracter"/>
        </w:rPr>
        <w:t>-</w:t>
      </w:r>
      <w:r>
        <w:t xml:space="preserve"> Sentencia </w:t>
      </w:r>
      <w:hyperlink w:anchor="SENTENCIA_2016_211" w:history="1">
        <w:r w:rsidRPr="00427CF1">
          <w:rPr>
            <w:rStyle w:val="TextoNormalCaracter"/>
          </w:rPr>
          <w:t>211/2016</w:t>
        </w:r>
      </w:hyperlink>
      <w:r>
        <w:t>, f. 7.</w:t>
      </w:r>
    </w:p>
    <w:p w:rsidR="00427CF1" w:rsidRDefault="00427CF1" w:rsidP="00427CF1">
      <w:pPr>
        <w:pStyle w:val="SangriaFrancesaArticulo"/>
      </w:pPr>
      <w:r w:rsidRPr="00427CF1">
        <w:rPr>
          <w:rStyle w:val="TextoNormalNegritaCaracter"/>
        </w:rPr>
        <w:t>Artículo 4.5 b).</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r w:rsidRPr="00427CF1">
        <w:rPr>
          <w:rStyle w:val="TextoNormalNegritaCaracter"/>
        </w:rPr>
        <w:t>Artículo 4.5 d).</w:t>
      </w:r>
      <w:r w:rsidRPr="00427CF1">
        <w:rPr>
          <w:rStyle w:val="TextoNormalCaracter"/>
        </w:rPr>
        <w:t>-</w:t>
      </w:r>
      <w:r>
        <w:t xml:space="preserve"> Sentencia </w:t>
      </w:r>
      <w:hyperlink w:anchor="SENTENCIA_2016_211" w:history="1">
        <w:r w:rsidRPr="00427CF1">
          <w:rPr>
            <w:rStyle w:val="TextoNormalCaracter"/>
          </w:rPr>
          <w:t>211/2016</w:t>
        </w:r>
      </w:hyperlink>
      <w:r>
        <w:t>, f. 7.</w:t>
      </w:r>
    </w:p>
    <w:p w:rsidR="00427CF1" w:rsidRDefault="00427CF1" w:rsidP="00427CF1">
      <w:pPr>
        <w:pStyle w:val="SangriaFrancesaArticulo"/>
      </w:pPr>
      <w:r w:rsidRPr="00427CF1">
        <w:rPr>
          <w:rStyle w:val="TextoNormalNegritaCaracter"/>
        </w:rPr>
        <w:t>Artículo 5</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6, 8, 9.</w:t>
      </w:r>
    </w:p>
    <w:p w:rsidR="00427CF1" w:rsidRDefault="00427CF1" w:rsidP="00427CF1">
      <w:pPr>
        <w:pStyle w:val="SangriaFrancesaArticulo"/>
      </w:pPr>
      <w:r w:rsidRPr="00427CF1">
        <w:rPr>
          <w:rStyle w:val="TextoNormalNegritaCaracter"/>
        </w:rPr>
        <w:t>Artículo 5.1</w:t>
      </w:r>
      <w:r>
        <w:t xml:space="preserve"> (redactado por el Real Decreto-ley 20/2012, de 13 de julio)</w:t>
      </w:r>
      <w:r w:rsidRPr="00427CF1">
        <w:rPr>
          <w:rStyle w:val="TextoNormalNegritaCaracter"/>
        </w:rPr>
        <w:t>.</w:t>
      </w:r>
      <w:r w:rsidRPr="00427CF1">
        <w:rPr>
          <w:rStyle w:val="TextoNormalCaracter"/>
        </w:rPr>
        <w:t>-</w:t>
      </w:r>
      <w:r>
        <w:t xml:space="preserve"> Sentencias </w:t>
      </w:r>
      <w:hyperlink w:anchor="SENTENCIA_2016_195" w:history="1">
        <w:r w:rsidRPr="00427CF1">
          <w:rPr>
            <w:rStyle w:val="TextoNormalCaracter"/>
          </w:rPr>
          <w:t>195/2016</w:t>
        </w:r>
      </w:hyperlink>
      <w:r>
        <w:t xml:space="preserve">, f. 5;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5.4</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195" w:history="1">
        <w:r w:rsidRPr="00427CF1">
          <w:rPr>
            <w:rStyle w:val="TextoNormalCaracter"/>
          </w:rPr>
          <w:t>195/2016</w:t>
        </w:r>
      </w:hyperlink>
      <w:r>
        <w:t>, f. 5.</w:t>
      </w:r>
    </w:p>
    <w:p w:rsidR="00427CF1" w:rsidRDefault="00427CF1" w:rsidP="00427CF1">
      <w:pPr>
        <w:pStyle w:val="SangriaFrancesaArticulo"/>
      </w:pPr>
      <w:r w:rsidRPr="00427CF1">
        <w:rPr>
          <w:rStyle w:val="TextoNormalNegritaCaracter"/>
        </w:rPr>
        <w:t>Artículo 5.4</w:t>
      </w:r>
      <w:r>
        <w:t xml:space="preserve"> (redactado por la Ley 18/2014, de 15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6, 8.</w:t>
      </w:r>
    </w:p>
    <w:p w:rsidR="00427CF1" w:rsidRDefault="00427CF1" w:rsidP="00427CF1">
      <w:pPr>
        <w:pStyle w:val="SangriaFrancesaArticulo"/>
      </w:pPr>
      <w:r w:rsidRPr="00427CF1">
        <w:rPr>
          <w:rStyle w:val="TextoNormalNegritaCaracter"/>
        </w:rPr>
        <w:t>Artículo 5.5</w:t>
      </w:r>
      <w:r>
        <w:t xml:space="preserve"> (redactado por el Real Decreto-ley 20/2012, de 13 de julio)</w:t>
      </w:r>
      <w:r w:rsidRPr="00427CF1">
        <w:rPr>
          <w:rStyle w:val="TextoNormalNegritaCaracter"/>
        </w:rPr>
        <w:t>.</w:t>
      </w:r>
      <w:r w:rsidRPr="00427CF1">
        <w:rPr>
          <w:rStyle w:val="TextoNormalCaracter"/>
        </w:rPr>
        <w:t>-</w:t>
      </w:r>
      <w:r>
        <w:t xml:space="preserve"> Sentencia </w:t>
      </w:r>
      <w:hyperlink w:anchor="SENTENCIA_2016_195" w:history="1">
        <w:r w:rsidRPr="00427CF1">
          <w:rPr>
            <w:rStyle w:val="TextoNormalCaracter"/>
          </w:rPr>
          <w:t>195/2016</w:t>
        </w:r>
      </w:hyperlink>
      <w:r>
        <w:t>, ff. 5, 6.</w:t>
      </w:r>
    </w:p>
    <w:p w:rsidR="00427CF1" w:rsidRDefault="00427CF1" w:rsidP="00427CF1">
      <w:pPr>
        <w:pStyle w:val="SangriaFrancesaArticulo"/>
      </w:pPr>
      <w:r w:rsidRPr="00427CF1">
        <w:rPr>
          <w:rStyle w:val="TextoNormalNegritaCaracter"/>
        </w:rPr>
        <w:t>Artículo 5.5</w:t>
      </w:r>
      <w:r>
        <w:t xml:space="preserve"> (redactado por la Ley 18/2014, de 15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6, 8.</w:t>
      </w:r>
    </w:p>
    <w:p w:rsidR="00427CF1" w:rsidRDefault="00427CF1" w:rsidP="00427CF1">
      <w:pPr>
        <w:pStyle w:val="SangriaFrancesaArticulo"/>
      </w:pPr>
      <w:r w:rsidRPr="00427CF1">
        <w:rPr>
          <w:rStyle w:val="TextoNormalNegritaCaracter"/>
        </w:rPr>
        <w:t>Artículo 5.6.</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Disposición adicional primera</w:t>
      </w:r>
      <w:r>
        <w:t xml:space="preserve"> (redactada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Disposición adicional segunda</w:t>
      </w:r>
      <w:r>
        <w:t xml:space="preserve"> (redactada por el Real Decreto-Ley 20/2012, de 13 de julio)</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6.</w:t>
      </w:r>
    </w:p>
    <w:p w:rsidR="00427CF1" w:rsidRDefault="00427CF1" w:rsidP="00427CF1">
      <w:pPr>
        <w:pStyle w:val="SangriaFrancesaArticulo"/>
      </w:pPr>
    </w:p>
    <w:p w:rsidR="00427CF1" w:rsidRDefault="00427CF1" w:rsidP="00427CF1">
      <w:pPr>
        <w:pStyle w:val="TextoNormalNegritaCursivandice"/>
      </w:pPr>
      <w:r>
        <w:t>Ley 2/2004, de 27 de diciembre. Presupuestos generales del Estado para 2005</w:t>
      </w:r>
    </w:p>
    <w:p w:rsidR="00427CF1" w:rsidRDefault="00427CF1" w:rsidP="00427CF1">
      <w:pPr>
        <w:pStyle w:val="SangriaFrancesaArticulo"/>
      </w:pPr>
      <w:r w:rsidRPr="00427CF1">
        <w:rPr>
          <w:rStyle w:val="TextoNormalNegritaCaracter"/>
        </w:rPr>
        <w:t>Artículo 62.1.</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16/2005, de 18 de julio. Modifica la Ley 1/1996, de 10 de enero, de asistencia jurídica gratuita, para regular las especialidades de los litigios transfronterizos civiles y mercantiles en la Unión Europea</w:t>
      </w:r>
    </w:p>
    <w:p w:rsidR="00427CF1" w:rsidRDefault="00427CF1" w:rsidP="00427CF1">
      <w:pPr>
        <w:pStyle w:val="SangriaFrancesaArticulo"/>
      </w:pPr>
      <w:r w:rsidRPr="00427CF1">
        <w:rPr>
          <w:rStyle w:val="TextoNormalNegritaCaracter"/>
        </w:rPr>
        <w:t>Artículo único, apartado 8.</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Ley 27/2006, de 18 de julio. Regula los derechos de acceso a la información, de participación pública y de acceso a la justicia en materia de medio ambiente (incorpora las Directivas 2003/4/CE y 2003/35/CE)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23.2.</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Ley 29/2006, de 26 de julio. Garantías y uso racional de los medicamentos y productos sanitarios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9" w:history="1">
        <w:r w:rsidRPr="00427CF1">
          <w:rPr>
            <w:rStyle w:val="TextoNormalCaracter"/>
          </w:rPr>
          <w:t>139/2016</w:t>
        </w:r>
      </w:hyperlink>
      <w:r>
        <w:t xml:space="preserve">, f. 11;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85.</w:t>
      </w:r>
      <w:r w:rsidRPr="00427CF1">
        <w:rPr>
          <w:rStyle w:val="TextoNormalCaracter"/>
        </w:rPr>
        <w:t>-</w:t>
      </w:r>
      <w:r>
        <w:t xml:space="preserve"> Sentencia </w:t>
      </w:r>
      <w:hyperlink w:anchor="SENTENCIA_2016_210" w:history="1">
        <w:r w:rsidRPr="00427CF1">
          <w:rPr>
            <w:rStyle w:val="TextoNormalCaracter"/>
          </w:rPr>
          <w:t>210/2016</w:t>
        </w:r>
      </w:hyperlink>
      <w:r>
        <w:t>, ff. 5, 8.</w:t>
      </w:r>
    </w:p>
    <w:p w:rsidR="00427CF1" w:rsidRDefault="00427CF1" w:rsidP="00427CF1">
      <w:pPr>
        <w:pStyle w:val="SangriaFrancesaArticulo"/>
      </w:pPr>
      <w:r w:rsidRPr="00427CF1">
        <w:rPr>
          <w:rStyle w:val="TextoNormalNegritaCaracter"/>
        </w:rPr>
        <w:t>Artículo 85.1</w:t>
      </w:r>
      <w:r>
        <w:t xml:space="preserve"> (redactado por el Real Decreto legislativo 1/2015, de 24 de julio)</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ff. 3, 8.</w:t>
      </w:r>
    </w:p>
    <w:p w:rsidR="00427CF1" w:rsidRDefault="00427CF1" w:rsidP="00427CF1">
      <w:pPr>
        <w:pStyle w:val="SangriaFrancesaArticulo"/>
      </w:pPr>
      <w:r w:rsidRPr="00427CF1">
        <w:rPr>
          <w:rStyle w:val="TextoNormalNegritaCaracter"/>
        </w:rPr>
        <w:t>Artículo 86</w:t>
      </w:r>
      <w:r>
        <w:t xml:space="preserve"> (redactado por el Real Decreto legislativo 1/2015, de 24 de julio)</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88.</w:t>
      </w:r>
      <w:r w:rsidRPr="00427CF1">
        <w:rPr>
          <w:rStyle w:val="TextoNormalCaracter"/>
        </w:rPr>
        <w:t>-</w:t>
      </w:r>
      <w:r>
        <w:t xml:space="preserve"> Sentencia </w:t>
      </w:r>
      <w:hyperlink w:anchor="SENTENCIA_2016_210" w:history="1">
        <w:r w:rsidRPr="00427CF1">
          <w:rPr>
            <w:rStyle w:val="TextoNormalCaracter"/>
          </w:rPr>
          <w:t>210/2016</w:t>
        </w:r>
      </w:hyperlink>
      <w:r>
        <w:t>, f. 5.</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r w:rsidRPr="00427CF1">
        <w:rPr>
          <w:rStyle w:val="TextoNormalNegritaCaracter"/>
        </w:rPr>
        <w:t>Artículo 94 bis.</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r w:rsidRPr="00427CF1">
        <w:rPr>
          <w:rStyle w:val="TextoNormalNegritaCaracter"/>
        </w:rPr>
        <w:t>Artículo 94 bis 5</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94 bis 5 a) a c)</w:t>
      </w:r>
      <w:r>
        <w:t xml:space="preserve"> (redactado por el Real Decreto Legislativo 1/2015, de 24 de julio)</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94 bis 5 d)</w:t>
      </w:r>
      <w:r>
        <w:t xml:space="preserve"> (redactado por el Real Decreto Legislativo 1/2015, de 24 de julio)</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94 bis 6</w:t>
      </w:r>
      <w:r>
        <w:t xml:space="preserve"> (redactado por el Real Decreto Legislativo 1/2015, de 24 de julio)</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94 ter</w:t>
      </w:r>
      <w:r>
        <w:t xml:space="preserve"> (redactado por el Real Decreto Legislativo 1/2015, de 24 de julio)</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94.1.</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r w:rsidRPr="00427CF1">
        <w:rPr>
          <w:rStyle w:val="TextoNormalNegritaCaracter"/>
        </w:rPr>
        <w:t>Artículo 94.2.</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r w:rsidRPr="00427CF1">
        <w:rPr>
          <w:rStyle w:val="TextoNormalNegritaCaracter"/>
        </w:rPr>
        <w:t>Artículo 94.2 a).</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r w:rsidRPr="00427CF1">
        <w:rPr>
          <w:rStyle w:val="TextoNormalNegritaCaracter"/>
        </w:rPr>
        <w:t>Artículo 94.2 e).</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p>
    <w:p w:rsidR="00427CF1" w:rsidRDefault="00427CF1" w:rsidP="00427CF1">
      <w:pPr>
        <w:pStyle w:val="TextoNormalNegritaCursivandice"/>
      </w:pPr>
      <w:r>
        <w:t>Ley 39/2006, de 14 de diciembre. Promoción de la autonomía personal y atención a las  personas en situación de dependencia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 </w:t>
      </w:r>
      <w:hyperlink w:anchor="SENTENCIA_2016_179" w:history="1">
        <w:r w:rsidRPr="00427CF1">
          <w:rPr>
            <w:rStyle w:val="TextoNormalCaracter"/>
          </w:rPr>
          <w:t>179/2016</w:t>
        </w:r>
      </w:hyperlink>
      <w:r>
        <w:t>, ff. 1, 3.</w:t>
      </w:r>
    </w:p>
    <w:p w:rsidR="00427CF1" w:rsidRDefault="00427CF1" w:rsidP="00427CF1">
      <w:pPr>
        <w:pStyle w:val="SangriaFrancesaArticulo"/>
      </w:pPr>
      <w:r w:rsidRPr="00427CF1">
        <w:rPr>
          <w:rStyle w:val="TextoNormalNegritaCaracter"/>
        </w:rPr>
        <w:t>Artículo 8.2 a).</w:t>
      </w:r>
      <w:r w:rsidRPr="00427CF1">
        <w:rPr>
          <w:rStyle w:val="TextoNormalCaracter"/>
        </w:rPr>
        <w:t>-</w:t>
      </w:r>
      <w:r>
        <w:t xml:space="preserve"> Sentencia </w:t>
      </w:r>
      <w:hyperlink w:anchor="SENTENCIA_2016_179" w:history="1">
        <w:r w:rsidRPr="00427CF1">
          <w:rPr>
            <w:rStyle w:val="TextoNormalCaracter"/>
          </w:rPr>
          <w:t>179/2016</w:t>
        </w:r>
      </w:hyperlink>
      <w:r>
        <w:t>, ff. 1, 3.</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79" w:history="1">
        <w:r w:rsidRPr="00427CF1">
          <w:rPr>
            <w:rStyle w:val="TextoNormalCaracter"/>
          </w:rPr>
          <w:t>179/2016</w:t>
        </w:r>
      </w:hyperlink>
      <w:r>
        <w:t>, ff. 1, 3.</w:t>
      </w:r>
    </w:p>
    <w:p w:rsidR="00427CF1" w:rsidRDefault="00427CF1" w:rsidP="00427CF1">
      <w:pPr>
        <w:pStyle w:val="SangriaFrancesaArticulo"/>
      </w:pPr>
      <w:r w:rsidRPr="00427CF1">
        <w:rPr>
          <w:rStyle w:val="TextoNormalNegritaCaracter"/>
        </w:rPr>
        <w:t>Artículo 32.3.</w:t>
      </w:r>
      <w:r w:rsidRPr="00427CF1">
        <w:rPr>
          <w:rStyle w:val="TextoNormalCaracter"/>
        </w:rPr>
        <w:t>-</w:t>
      </w:r>
      <w:r>
        <w:t xml:space="preserve"> Sentencia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32.3, párrafo 1.</w:t>
      </w:r>
      <w:r w:rsidRPr="00427CF1">
        <w:rPr>
          <w:rStyle w:val="TextoNormalCaracter"/>
        </w:rPr>
        <w:t>-</w:t>
      </w:r>
      <w:r>
        <w:t xml:space="preserve"> Sentencia </w:t>
      </w:r>
      <w:hyperlink w:anchor="SENTENCIA_2016_179" w:history="1">
        <w:r w:rsidRPr="00427CF1">
          <w:rPr>
            <w:rStyle w:val="TextoNormalCaracter"/>
          </w:rPr>
          <w:t>179/2016</w:t>
        </w:r>
      </w:hyperlink>
      <w:r>
        <w:t>, ff. 1, 3.</w:t>
      </w:r>
    </w:p>
    <w:p w:rsidR="00427CF1" w:rsidRDefault="00427CF1" w:rsidP="00427CF1">
      <w:pPr>
        <w:pStyle w:val="SangriaFrancesaArticulo"/>
      </w:pPr>
      <w:r w:rsidRPr="00427CF1">
        <w:rPr>
          <w:rStyle w:val="TextoNormalNegritaCaracter"/>
        </w:rPr>
        <w:t>Artículo 32.3, párrafo 2.</w:t>
      </w:r>
      <w:r w:rsidRPr="00427CF1">
        <w:rPr>
          <w:rStyle w:val="TextoNormalCaracter"/>
        </w:rPr>
        <w:t>-</w:t>
      </w:r>
      <w:r>
        <w:t xml:space="preserve"> Sentencia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79" w:history="1">
        <w:r w:rsidRPr="00427CF1">
          <w:rPr>
            <w:rStyle w:val="TextoNormalCaracter"/>
          </w:rPr>
          <w:t>179/2016</w:t>
        </w:r>
      </w:hyperlink>
      <w:r>
        <w:t>, ff. 1, 3.</w:t>
      </w:r>
    </w:p>
    <w:p w:rsidR="00427CF1" w:rsidRDefault="00427CF1" w:rsidP="00427CF1">
      <w:pPr>
        <w:pStyle w:val="SangriaFrancesaArticulo"/>
      </w:pPr>
    </w:p>
    <w:p w:rsidR="00427CF1" w:rsidRDefault="00427CF1" w:rsidP="00427CF1">
      <w:pPr>
        <w:pStyle w:val="TextoNormalNegritaCursivandice"/>
      </w:pPr>
      <w:r>
        <w:t>Ley 7/2007, de 12 de abril. Estatuto básico del empleado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93" w:history="1">
        <w:r w:rsidRPr="00427CF1">
          <w:rPr>
            <w:rStyle w:val="TextoNormalCaracter"/>
          </w:rPr>
          <w:t>193/2016</w:t>
        </w:r>
      </w:hyperlink>
      <w:r>
        <w:t xml:space="preserve">, f. 5; </w:t>
      </w:r>
      <w:hyperlink w:anchor="SENTENCIA_2016_204" w:history="1">
        <w:r w:rsidRPr="00427CF1">
          <w:rPr>
            <w:rStyle w:val="TextoNormalCaracter"/>
          </w:rPr>
          <w:t>204/2016</w:t>
        </w:r>
      </w:hyperlink>
      <w:r>
        <w:t>, VP I.</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161" w:history="1">
        <w:r w:rsidRPr="00427CF1">
          <w:rPr>
            <w:rStyle w:val="TextoNormalCaracter"/>
          </w:rPr>
          <w:t>161/2016</w:t>
        </w:r>
      </w:hyperlink>
      <w:r>
        <w:t>, f. 4.</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Artículo 47</w:t>
      </w:r>
      <w:r>
        <w:t xml:space="preserve"> (redactado por el Real Decreto Legislativo 5/2015, de 30 de octubre)</w:t>
      </w:r>
      <w:r w:rsidRPr="00427CF1">
        <w:rPr>
          <w:rStyle w:val="TextoNormalNegritaCaracter"/>
        </w:rPr>
        <w:t>.</w:t>
      </w:r>
      <w:r w:rsidRPr="00427CF1">
        <w:rPr>
          <w:rStyle w:val="TextoNormalCaracter"/>
        </w:rPr>
        <w:t>-</w:t>
      </w:r>
      <w:r>
        <w:t xml:space="preserve"> Sentencia </w:t>
      </w:r>
      <w:hyperlink w:anchor="SENTENCIA_2016_158" w:history="1">
        <w:r w:rsidRPr="00427CF1">
          <w:rPr>
            <w:rStyle w:val="TextoNormalCaracter"/>
          </w:rPr>
          <w:t>158/2016</w:t>
        </w:r>
      </w:hyperlink>
      <w:r>
        <w:t>, f. 4.</w:t>
      </w:r>
    </w:p>
    <w:p w:rsidR="00427CF1" w:rsidRDefault="00427CF1" w:rsidP="00427CF1">
      <w:pPr>
        <w:pStyle w:val="SangriaFrancesaArticulo"/>
      </w:pPr>
      <w:r w:rsidRPr="00427CF1">
        <w:rPr>
          <w:rStyle w:val="TextoNormalNegritaCaracter"/>
        </w:rPr>
        <w:t>Artículo 51</w:t>
      </w:r>
      <w:r>
        <w:t xml:space="preserve"> (redactado por el Real Decreto Legislativo 5/2015, de 30 de octubre)</w:t>
      </w:r>
      <w:r w:rsidRPr="00427CF1">
        <w:rPr>
          <w:rStyle w:val="TextoNormalNegritaCaracter"/>
        </w:rPr>
        <w:t>.</w:t>
      </w:r>
      <w:r w:rsidRPr="00427CF1">
        <w:rPr>
          <w:rStyle w:val="TextoNormalCaracter"/>
        </w:rPr>
        <w:t>-</w:t>
      </w:r>
      <w:r>
        <w:t xml:space="preserve"> Sentencia </w:t>
      </w:r>
      <w:hyperlink w:anchor="SENTENCIA_2016_158" w:history="1">
        <w:r w:rsidRPr="00427CF1">
          <w:rPr>
            <w:rStyle w:val="TextoNormalCaracter"/>
          </w:rPr>
          <w:t>158/2016</w:t>
        </w:r>
      </w:hyperlink>
      <w:r>
        <w:t>, f. 4.</w:t>
      </w:r>
    </w:p>
    <w:p w:rsidR="00427CF1" w:rsidRDefault="00427CF1" w:rsidP="00427CF1">
      <w:pPr>
        <w:pStyle w:val="SangriaFrancesaArticulo"/>
      </w:pPr>
      <w:r w:rsidRPr="00427CF1">
        <w:rPr>
          <w:rStyle w:val="TextoNormalNegritaCaracter"/>
        </w:rPr>
        <w:t>Artículo 97.</w:t>
      </w:r>
      <w:r w:rsidRPr="00427CF1">
        <w:rPr>
          <w:rStyle w:val="TextoNormalCaracter"/>
        </w:rPr>
        <w:t>-</w:t>
      </w:r>
      <w:r>
        <w:t xml:space="preserve"> Sentencia </w:t>
      </w:r>
      <w:hyperlink w:anchor="SENTENCIA_2016_204" w:history="1">
        <w:r w:rsidRPr="00427CF1">
          <w:rPr>
            <w:rStyle w:val="TextoNormalCaracter"/>
          </w:rPr>
          <w:t>204/2016</w:t>
        </w:r>
      </w:hyperlink>
      <w:r>
        <w:t>, f. 1, VP II.</w:t>
      </w:r>
    </w:p>
    <w:p w:rsidR="00427CF1" w:rsidRDefault="00427CF1" w:rsidP="00427CF1">
      <w:pPr>
        <w:pStyle w:val="SangriaFrancesaArticulo"/>
      </w:pPr>
      <w:r w:rsidRPr="00427CF1">
        <w:rPr>
          <w:rStyle w:val="TextoNormalNegritaCaracter"/>
        </w:rPr>
        <w:t>Artículo 97 párrafo 1.</w:t>
      </w:r>
      <w:r w:rsidRPr="00427CF1">
        <w:rPr>
          <w:rStyle w:val="TextoNormalCaracter"/>
        </w:rPr>
        <w:t>-</w:t>
      </w:r>
      <w:r>
        <w:t xml:space="preserve"> Sentencia </w:t>
      </w:r>
      <w:hyperlink w:anchor="SENTENCIA_2016_204" w:history="1">
        <w:r w:rsidRPr="00427CF1">
          <w:rPr>
            <w:rStyle w:val="TextoNormalCaracter"/>
          </w:rPr>
          <w:t>204/2016</w:t>
        </w:r>
      </w:hyperlink>
      <w:r>
        <w:t>, f. 2, VP II.</w:t>
      </w:r>
    </w:p>
    <w:p w:rsidR="00427CF1" w:rsidRDefault="00427CF1" w:rsidP="00427CF1">
      <w:pPr>
        <w:pStyle w:val="SangriaFrancesaArticulo"/>
      </w:pPr>
      <w:r w:rsidRPr="00427CF1">
        <w:rPr>
          <w:rStyle w:val="TextoNormalNegritaCaracter"/>
        </w:rPr>
        <w:t>Disposición transitoria cuarta.</w:t>
      </w:r>
      <w:r w:rsidRPr="00427CF1">
        <w:rPr>
          <w:rStyle w:val="TextoNormalCaracter"/>
        </w:rPr>
        <w:t>-</w:t>
      </w:r>
      <w:r>
        <w:t xml:space="preserve"> Sentencia </w:t>
      </w:r>
      <w:hyperlink w:anchor="SENTENCIA_2016_193" w:history="1">
        <w:r w:rsidRPr="00427CF1">
          <w:rPr>
            <w:rStyle w:val="TextoNormalCaracter"/>
          </w:rPr>
          <w:t>193/2016</w:t>
        </w:r>
      </w:hyperlink>
      <w:r>
        <w:t>, ff. 3, 5.</w:t>
      </w:r>
    </w:p>
    <w:p w:rsidR="00427CF1" w:rsidRDefault="00427CF1" w:rsidP="00427CF1">
      <w:pPr>
        <w:pStyle w:val="SangriaFrancesaArticulo"/>
      </w:pPr>
      <w:r w:rsidRPr="00427CF1">
        <w:rPr>
          <w:rStyle w:val="TextoNormalNegritaCaracter"/>
        </w:rPr>
        <w:t>Disposición derogatoria única, apartado a).</w:t>
      </w:r>
      <w:r w:rsidRPr="00427CF1">
        <w:rPr>
          <w:rStyle w:val="TextoNormalCaracter"/>
        </w:rPr>
        <w:t>-</w:t>
      </w:r>
      <w:r>
        <w:t xml:space="preserve"> Sentencia </w:t>
      </w:r>
      <w:hyperlink w:anchor="SENTENCIA_2016_204" w:history="1">
        <w:r w:rsidRPr="00427CF1">
          <w:rPr>
            <w:rStyle w:val="TextoNormalCaracter"/>
          </w:rPr>
          <w:t>204/2016</w:t>
        </w:r>
      </w:hyperlink>
      <w:r>
        <w:t>, f. 2.</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204" w:history="1">
        <w:r w:rsidRPr="00427CF1">
          <w:rPr>
            <w:rStyle w:val="TextoNormalCaracter"/>
          </w:rPr>
          <w:t>204/2016</w:t>
        </w:r>
      </w:hyperlink>
      <w:r>
        <w:t>, f. 2.</w:t>
      </w:r>
    </w:p>
    <w:p w:rsidR="00427CF1" w:rsidRDefault="00427CF1" w:rsidP="00427CF1">
      <w:pPr>
        <w:pStyle w:val="SangriaFrancesaArticulo"/>
      </w:pPr>
    </w:p>
    <w:p w:rsidR="00427CF1" w:rsidRDefault="00427CF1" w:rsidP="00427CF1">
      <w:pPr>
        <w:pStyle w:val="TextoNormalNegritaCursivandice"/>
      </w:pPr>
      <w:r>
        <w:t>Ley 17/2007, de 4 de julio. Modificación de la Ley 54/1997, de 27 de noviembre del sector eléctrico para adaptarla a la Directiva 2003/54/CE sobre normas comunes para el mercado interior de la electricidad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Ley 39/2007, de 19 de noviembre. Carrera militar</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4" w:history="1">
        <w:r w:rsidRPr="00427CF1">
          <w:rPr>
            <w:rStyle w:val="TextoNormalCaracter"/>
          </w:rPr>
          <w:t>194/2016</w:t>
        </w:r>
      </w:hyperlink>
      <w:r>
        <w:t>, f. 3.</w:t>
      </w:r>
    </w:p>
    <w:p w:rsidR="00427CF1" w:rsidRDefault="00427CF1" w:rsidP="00427CF1">
      <w:pPr>
        <w:pStyle w:val="SangriaFrancesaArticulo"/>
      </w:pPr>
    </w:p>
    <w:p w:rsidR="00427CF1" w:rsidRDefault="00427CF1" w:rsidP="00427CF1">
      <w:pPr>
        <w:pStyle w:val="TextoNormalNegritaCursivandice"/>
      </w:pPr>
      <w:r>
        <w:t>Ley 13/2009, de 3 de noviembre. Reforma de la legislación procesal para la implantación de la nueva oficina judicial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9" w:history="1">
        <w:r w:rsidRPr="00427CF1">
          <w:rPr>
            <w:rStyle w:val="TextoNormalCaracter"/>
          </w:rPr>
          <w:t>129/2016</w:t>
        </w:r>
      </w:hyperlink>
      <w:r>
        <w:t xml:space="preserve">, ff. 1 a 3; </w:t>
      </w:r>
      <w:hyperlink w:anchor="SENTENCIA_2016_200" w:history="1">
        <w:r w:rsidRPr="00427CF1">
          <w:rPr>
            <w:rStyle w:val="TextoNormalCaracter"/>
          </w:rPr>
          <w:t>200/2016</w:t>
        </w:r>
      </w:hyperlink>
      <w:r>
        <w:t>, ff. 4, 5.</w:t>
      </w:r>
    </w:p>
    <w:p w:rsidR="00427CF1" w:rsidRDefault="00427CF1" w:rsidP="00427CF1">
      <w:pPr>
        <w:pStyle w:val="SangriaFrancesaArticulo"/>
      </w:pPr>
      <w:r w:rsidRPr="00427CF1">
        <w:rPr>
          <w:rStyle w:val="TextoNormalNegritaCaracter"/>
        </w:rPr>
        <w:t>Artículo 15, apartado 304.</w:t>
      </w:r>
      <w:r w:rsidRPr="00427CF1">
        <w:rPr>
          <w:rStyle w:val="TextoNormalCaracter"/>
        </w:rPr>
        <w:t>-</w:t>
      </w:r>
      <w:r>
        <w:t xml:space="preserve"> Sentencia </w:t>
      </w:r>
      <w:hyperlink w:anchor="SENTENCIA_2016_150" w:history="1">
        <w:r w:rsidRPr="00427CF1">
          <w:rPr>
            <w:rStyle w:val="TextoNormalCaracter"/>
          </w:rPr>
          <w:t>150/2016</w:t>
        </w:r>
      </w:hyperlink>
      <w:r>
        <w:t>, f. 2.</w:t>
      </w:r>
    </w:p>
    <w:p w:rsidR="00427CF1" w:rsidRDefault="00427CF1" w:rsidP="00427CF1">
      <w:pPr>
        <w:pStyle w:val="SangriaFrancesaArticulo"/>
      </w:pPr>
    </w:p>
    <w:p w:rsidR="00427CF1" w:rsidRDefault="00427CF1" w:rsidP="00427CF1">
      <w:pPr>
        <w:pStyle w:val="TextoNormalNegritaCursivandice"/>
      </w:pPr>
      <w:r>
        <w:t>Ley 17/2009, de 23 de noviembre. Libre acceso a las actividades de servicios y su ejercicio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55" w:history="1">
        <w:r w:rsidRPr="00427CF1">
          <w:rPr>
            <w:rStyle w:val="TextoNormalCaracter"/>
          </w:rPr>
          <w:t>155/2016</w:t>
        </w:r>
      </w:hyperlink>
      <w:r>
        <w:t xml:space="preserve">, ff. 1, 4, 5; </w:t>
      </w:r>
      <w:hyperlink w:anchor="SENTENCIA_2016_157" w:history="1">
        <w:r w:rsidRPr="00427CF1">
          <w:rPr>
            <w:rStyle w:val="TextoNormalCaracter"/>
          </w:rPr>
          <w:t>157/2016</w:t>
        </w:r>
      </w:hyperlink>
      <w:r>
        <w:t>, ff. 8, 9, VP.</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55" w:history="1">
        <w:r w:rsidRPr="00427CF1">
          <w:rPr>
            <w:rStyle w:val="TextoNormalCaracter"/>
          </w:rPr>
          <w:t>155/2016</w:t>
        </w:r>
      </w:hyperlink>
      <w:r>
        <w:t>, f. 4.</w:t>
      </w:r>
    </w:p>
    <w:p w:rsidR="00427CF1" w:rsidRDefault="00427CF1" w:rsidP="00427CF1">
      <w:pPr>
        <w:pStyle w:val="SangriaFrancesaArticulo"/>
      </w:pPr>
      <w:r w:rsidRPr="00427CF1">
        <w:rPr>
          <w:rStyle w:val="TextoNormalNegritaCaracter"/>
        </w:rPr>
        <w:t>Artículo 3.11.</w:t>
      </w:r>
      <w:r w:rsidRPr="00427CF1">
        <w:rPr>
          <w:rStyle w:val="TextoNormalCaracter"/>
        </w:rPr>
        <w:t>-</w:t>
      </w:r>
      <w:r>
        <w:t xml:space="preserve"> Sentencias </w:t>
      </w:r>
      <w:hyperlink w:anchor="SENTENCIA_2016_155" w:history="1">
        <w:r w:rsidRPr="00427CF1">
          <w:rPr>
            <w:rStyle w:val="TextoNormalCaracter"/>
          </w:rPr>
          <w:t>155/2016</w:t>
        </w:r>
      </w:hyperlink>
      <w:r>
        <w:t xml:space="preserve">, f. 4;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VP.</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57" w:history="1">
        <w:r w:rsidRPr="00427CF1">
          <w:rPr>
            <w:rStyle w:val="TextoNormalCaracter"/>
          </w:rPr>
          <w:t>157/2016</w:t>
        </w:r>
      </w:hyperlink>
      <w:r>
        <w:t>, ff. 1, 8, VP.</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157" w:history="1">
        <w:r w:rsidRPr="00427CF1">
          <w:rPr>
            <w:rStyle w:val="TextoNormalCaracter"/>
          </w:rPr>
          <w:t>157/2016</w:t>
        </w:r>
      </w:hyperlink>
      <w:r>
        <w:t>, VP.</w:t>
      </w:r>
    </w:p>
    <w:p w:rsidR="00427CF1" w:rsidRDefault="00427CF1" w:rsidP="00427CF1">
      <w:pPr>
        <w:pStyle w:val="SangriaFrancesaArticulo"/>
      </w:pPr>
      <w:r w:rsidRPr="00427CF1">
        <w:rPr>
          <w:rStyle w:val="TextoNormalNegritaCaracter"/>
        </w:rPr>
        <w:t>Artículo 11.2</w:t>
      </w:r>
      <w:r>
        <w:t xml:space="preserve"> (redactado por la Ley 20/2013, de 9 de diciembre)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p>
    <w:p w:rsidR="00427CF1" w:rsidRDefault="00427CF1" w:rsidP="00427CF1">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427CF1" w:rsidRDefault="00427CF1" w:rsidP="00427CF1">
      <w:pPr>
        <w:pStyle w:val="SangriaFrancesaArticulo"/>
      </w:pPr>
      <w:r w:rsidRPr="00427CF1">
        <w:rPr>
          <w:rStyle w:val="TextoNormalNegritaCaracter"/>
        </w:rPr>
        <w:t>Artículos 30 a 44.</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46.1.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48.1.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49.1.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50.1.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52.1.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p>
    <w:p w:rsidR="00427CF1" w:rsidRDefault="00427CF1" w:rsidP="00427CF1">
      <w:pPr>
        <w:pStyle w:val="TextoNormalNegritaCursivandice"/>
      </w:pPr>
      <w:r>
        <w:t>Ley 25/2009, de 22 de diciembre. Modificación de diversas leyes para su adaptación a la Ley sobre el libre acceso a las actividades de servicios y su ejercicio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5" w:history="1">
        <w:r w:rsidRPr="00427CF1">
          <w:rPr>
            <w:rStyle w:val="TextoNormalCaracter"/>
          </w:rPr>
          <w:t>155/2016</w:t>
        </w:r>
      </w:hyperlink>
      <w:r>
        <w:t>, f. 5.</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55" w:history="1">
        <w:r w:rsidRPr="00427CF1">
          <w:rPr>
            <w:rStyle w:val="TextoNormalCaracter"/>
          </w:rPr>
          <w:t>155/2016</w:t>
        </w:r>
      </w:hyperlink>
      <w:r>
        <w:t>, ff. 1, 3, 4.</w:t>
      </w:r>
    </w:p>
    <w:p w:rsidR="00427CF1" w:rsidRDefault="00427CF1" w:rsidP="00427CF1">
      <w:pPr>
        <w:pStyle w:val="SangriaFrancesaArticulo"/>
      </w:pPr>
      <w:r w:rsidRPr="00427CF1">
        <w:rPr>
          <w:rStyle w:val="TextoNormalNegritaCaracter"/>
        </w:rPr>
        <w:t>Disposición adicional cuarta.</w:t>
      </w:r>
      <w:r w:rsidRPr="00427CF1">
        <w:rPr>
          <w:rStyle w:val="TextoNormalCaracter"/>
        </w:rPr>
        <w:t>-</w:t>
      </w:r>
      <w:r>
        <w:t xml:space="preserve"> Sentencia </w:t>
      </w:r>
      <w:hyperlink w:anchor="SENTENCIA_2016_155" w:history="1">
        <w:r w:rsidRPr="00427CF1">
          <w:rPr>
            <w:rStyle w:val="TextoNormalCaracter"/>
          </w:rPr>
          <w:t>155/2016</w:t>
        </w:r>
      </w:hyperlink>
      <w:r>
        <w:t>, f. 5.</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55" w:history="1">
        <w:r w:rsidRPr="00427CF1">
          <w:rPr>
            <w:rStyle w:val="TextoNormalCaracter"/>
          </w:rPr>
          <w:t>155/2016</w:t>
        </w:r>
      </w:hyperlink>
      <w:r>
        <w:t>, f. 3.</w:t>
      </w:r>
    </w:p>
    <w:p w:rsidR="00427CF1" w:rsidRDefault="00427CF1" w:rsidP="00427CF1">
      <w:pPr>
        <w:pStyle w:val="SangriaFrancesaArticulo"/>
      </w:pPr>
    </w:p>
    <w:p w:rsidR="00427CF1" w:rsidRDefault="00427CF1" w:rsidP="00427CF1">
      <w:pPr>
        <w:pStyle w:val="TextoNormalNegritaCursivandice"/>
      </w:pPr>
      <w:r>
        <w:t>Ley 26/2009, de 23 de diciembre. Presupuestos generales del Estado para 2010</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8" w:history="1">
        <w:r w:rsidRPr="00427CF1">
          <w:rPr>
            <w:rStyle w:val="TextoNormalCaracter"/>
          </w:rPr>
          <w:t>148/2016</w:t>
        </w:r>
      </w:hyperlink>
      <w:r>
        <w:t>, f. 6.</w:t>
      </w:r>
    </w:p>
    <w:p w:rsidR="00427CF1" w:rsidRDefault="00427CF1" w:rsidP="00427CF1">
      <w:pPr>
        <w:pStyle w:val="SangriaFrancesaArticulo"/>
      </w:pPr>
      <w:r w:rsidRPr="00427CF1">
        <w:rPr>
          <w:rStyle w:val="TextoNormalNegritaCaracter"/>
        </w:rPr>
        <w:t>Artículo 22.1 g).</w:t>
      </w:r>
      <w:r w:rsidRPr="00427CF1">
        <w:rPr>
          <w:rStyle w:val="TextoNormalCaracter"/>
        </w:rPr>
        <w:t>-</w:t>
      </w:r>
      <w:r>
        <w:t xml:space="preserve"> Auto </w:t>
      </w:r>
      <w:hyperlink w:anchor="AUTO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22.1 h).</w:t>
      </w:r>
      <w:r w:rsidRPr="00427CF1">
        <w:rPr>
          <w:rStyle w:val="TextoNormalCaracter"/>
        </w:rPr>
        <w:t>-</w:t>
      </w:r>
      <w:r>
        <w:t xml:space="preserve"> Auto </w:t>
      </w:r>
      <w:hyperlink w:anchor="AUTO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22.2.</w:t>
      </w:r>
      <w:r w:rsidRPr="00427CF1">
        <w:rPr>
          <w:rStyle w:val="TextoNormalCaracter"/>
        </w:rPr>
        <w:t>-</w:t>
      </w:r>
      <w:r>
        <w:t xml:space="preserve"> Sentencia </w:t>
      </w:r>
      <w:hyperlink w:anchor="SENTENCIA_2016_164" w:history="1">
        <w:r w:rsidRPr="00427CF1">
          <w:rPr>
            <w:rStyle w:val="TextoNormalCaracter"/>
          </w:rPr>
          <w:t>164/2016</w:t>
        </w:r>
      </w:hyperlink>
      <w:r>
        <w:t>, f. 4.</w:t>
      </w:r>
    </w:p>
    <w:p w:rsidR="00427CF1" w:rsidRDefault="00427CF1" w:rsidP="00427CF1">
      <w:pPr>
        <w:pStyle w:val="SangriaFrancesaArticulo"/>
      </w:pPr>
      <w:r w:rsidRPr="00427CF1">
        <w:rPr>
          <w:rStyle w:val="TextoNormalNegritaCaracter"/>
        </w:rPr>
        <w:t>Artículo 22.2 b)</w:t>
      </w:r>
      <w:r>
        <w:t xml:space="preserve"> (redactado por el Real Decreto-ley 8/2010, de 20 de mayo)</w:t>
      </w:r>
      <w:r w:rsidRPr="00427CF1">
        <w:rPr>
          <w:rStyle w:val="TextoNormalNegritaCaracter"/>
        </w:rPr>
        <w:t>.</w:t>
      </w:r>
      <w:r w:rsidRPr="00427CF1">
        <w:rPr>
          <w:rStyle w:val="TextoNormalCaracter"/>
        </w:rPr>
        <w:t>-</w:t>
      </w:r>
      <w:r>
        <w:t xml:space="preserve"> Sentencia </w:t>
      </w:r>
      <w:hyperlink w:anchor="SENTENCIA_2016_164" w:history="1">
        <w:r w:rsidRPr="00427CF1">
          <w:rPr>
            <w:rStyle w:val="TextoNormalCaracter"/>
          </w:rPr>
          <w:t>164/2016</w:t>
        </w:r>
      </w:hyperlink>
      <w:r>
        <w:t>, f. 3.</w:t>
      </w:r>
    </w:p>
    <w:p w:rsidR="00427CF1" w:rsidRDefault="00427CF1" w:rsidP="00427CF1">
      <w:pPr>
        <w:pStyle w:val="SangriaFrancesaArticulo"/>
      </w:pPr>
      <w:r w:rsidRPr="00427CF1">
        <w:rPr>
          <w:rStyle w:val="TextoNormalNegritaCaracter"/>
        </w:rPr>
        <w:t>Disposición adicional quincuagésima séptima.</w:t>
      </w:r>
      <w:r w:rsidRPr="00427CF1">
        <w:rPr>
          <w:rStyle w:val="TextoNormalCaracter"/>
        </w:rPr>
        <w:t>-</w:t>
      </w:r>
      <w:r>
        <w:t xml:space="preserve"> Auto </w:t>
      </w:r>
      <w:hyperlink w:anchor="AUTO_2016_148" w:history="1">
        <w:r w:rsidRPr="00427CF1">
          <w:rPr>
            <w:rStyle w:val="TextoNormalCaracter"/>
          </w:rPr>
          <w:t>148/2016</w:t>
        </w:r>
      </w:hyperlink>
      <w:r>
        <w:t>, f. 2.</w:t>
      </w:r>
    </w:p>
    <w:p w:rsidR="00427CF1" w:rsidRDefault="00427CF1" w:rsidP="00427CF1">
      <w:pPr>
        <w:pStyle w:val="SangriaFrancesaArticulo"/>
      </w:pPr>
    </w:p>
    <w:p w:rsidR="00427CF1" w:rsidRDefault="00427CF1" w:rsidP="00427CF1">
      <w:pPr>
        <w:pStyle w:val="TextoNormalNegritaCursivandice"/>
      </w:pPr>
      <w:r>
        <w:t>Ley 1/2010, de 1 de marzo. Reforma de la Ley 7/1996 de ordenación del comercio minorista</w:t>
      </w:r>
    </w:p>
    <w:p w:rsidR="00427CF1" w:rsidRDefault="00427CF1" w:rsidP="00427CF1">
      <w:pPr>
        <w:pStyle w:val="SangriaFrancesaArticulo"/>
      </w:pPr>
      <w:r w:rsidRPr="00427CF1">
        <w:rPr>
          <w:rStyle w:val="TextoNormalNegritaCaracter"/>
        </w:rPr>
        <w:t>Artículo único, apartado 2.</w:t>
      </w:r>
      <w:r w:rsidRPr="00427CF1">
        <w:rPr>
          <w:rStyle w:val="TextoNormalCaracter"/>
        </w:rPr>
        <w:t>-</w:t>
      </w:r>
      <w:r>
        <w:t xml:space="preserve"> Sentencia </w:t>
      </w:r>
      <w:hyperlink w:anchor="SENTENCIA_2016_157" w:history="1">
        <w:r w:rsidRPr="00427CF1">
          <w:rPr>
            <w:rStyle w:val="TextoNormalCaracter"/>
          </w:rPr>
          <w:t>157/2016</w:t>
        </w:r>
      </w:hyperlink>
      <w:r>
        <w:t>, ff. 8, 9, VP.</w:t>
      </w:r>
    </w:p>
    <w:p w:rsidR="00427CF1" w:rsidRDefault="00427CF1" w:rsidP="00427CF1">
      <w:pPr>
        <w:pStyle w:val="SangriaFrancesaArticulo"/>
      </w:pPr>
    </w:p>
    <w:p w:rsidR="00427CF1" w:rsidRDefault="00427CF1" w:rsidP="00427CF1">
      <w:pPr>
        <w:pStyle w:val="TextoNormalNegritaCursivandice"/>
      </w:pPr>
      <w:r>
        <w:t>Ley 16/2010, de 16 de julio. Régimen de cesión de tributos del Estado a la Comunidad Autónoma de Cataluña y de fijación del alcance y condiciones de dicha cesión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p>
    <w:p w:rsidR="00427CF1" w:rsidRDefault="00427CF1" w:rsidP="00427CF1">
      <w:pPr>
        <w:pStyle w:val="TextoNormalNegritaCursivandice"/>
      </w:pPr>
      <w:r>
        <w:t>Ley 39/2010, de 22 de diciembre. Presupuestos generales del Estado para el año 2011</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3" w:history="1">
        <w:r w:rsidRPr="00427CF1">
          <w:rPr>
            <w:rStyle w:val="TextoNormalCaracter"/>
          </w:rPr>
          <w:t>193/2016</w:t>
        </w:r>
      </w:hyperlink>
      <w:r>
        <w:t>, f. 5.</w:t>
      </w:r>
    </w:p>
    <w:p w:rsidR="00427CF1" w:rsidRDefault="00427CF1" w:rsidP="00427CF1">
      <w:pPr>
        <w:pStyle w:val="SangriaFrancesaArticulo"/>
      </w:pPr>
      <w:r w:rsidRPr="00427CF1">
        <w:rPr>
          <w:rStyle w:val="TextoNormalNegritaCaracter"/>
        </w:rPr>
        <w:t>Artículo 23.1.</w:t>
      </w:r>
      <w:r w:rsidRPr="00427CF1">
        <w:rPr>
          <w:rStyle w:val="TextoNormalCaracter"/>
        </w:rPr>
        <w:t>-</w:t>
      </w:r>
      <w:r>
        <w:t xml:space="preserve"> Sentencia </w:t>
      </w:r>
      <w:hyperlink w:anchor="SENTENCIA_2016_193" w:history="1">
        <w:r w:rsidRPr="00427CF1">
          <w:rPr>
            <w:rStyle w:val="TextoNormalCaracter"/>
          </w:rPr>
          <w:t>193/2016</w:t>
        </w:r>
      </w:hyperlink>
      <w:r>
        <w:t>, f. 5.</w:t>
      </w:r>
    </w:p>
    <w:p w:rsidR="00427CF1" w:rsidRDefault="00427CF1" w:rsidP="00427CF1">
      <w:pPr>
        <w:pStyle w:val="SangriaFrancesaArticulo"/>
      </w:pPr>
      <w:r w:rsidRPr="00427CF1">
        <w:rPr>
          <w:rStyle w:val="TextoNormalNegritaCaracter"/>
        </w:rPr>
        <w:t>Disposición adicional décima.</w:t>
      </w:r>
      <w:r w:rsidRPr="00427CF1">
        <w:rPr>
          <w:rStyle w:val="TextoNormalCaracter"/>
        </w:rPr>
        <w:t>-</w:t>
      </w:r>
      <w:r>
        <w:t xml:space="preserve"> Sentencia </w:t>
      </w:r>
      <w:hyperlink w:anchor="SENTENCIA_2016_193" w:history="1">
        <w:r w:rsidRPr="00427CF1">
          <w:rPr>
            <w:rStyle w:val="TextoNormalCaracter"/>
          </w:rPr>
          <w:t>193/2016</w:t>
        </w:r>
      </w:hyperlink>
      <w:r>
        <w:t>, f. 3.</w:t>
      </w:r>
    </w:p>
    <w:p w:rsidR="00427CF1" w:rsidRDefault="00427CF1" w:rsidP="00427CF1">
      <w:pPr>
        <w:pStyle w:val="SangriaFrancesaArticulo"/>
      </w:pPr>
      <w:r w:rsidRPr="00427CF1">
        <w:rPr>
          <w:rStyle w:val="TextoNormalNegritaCaracter"/>
        </w:rPr>
        <w:t>Disposición adicional trigésimo tercera.</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Ley 40/2010, de 29 de diciembre. Almacenamiento geológico de dióxido de carbono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5" w:history="1">
        <w:r w:rsidRPr="00427CF1">
          <w:rPr>
            <w:rStyle w:val="TextoNormalCaracter"/>
          </w:rPr>
          <w:t>165/2016</w:t>
        </w:r>
      </w:hyperlink>
      <w:r>
        <w:t xml:space="preserve">, ff. 1, 2, 4, 9 a 12, VP; </w:t>
      </w:r>
      <w:hyperlink w:anchor="SENTENCIA_2016_182" w:history="1">
        <w:r w:rsidRPr="00427CF1">
          <w:rPr>
            <w:rStyle w:val="TextoNormalCaracter"/>
          </w:rPr>
          <w:t>182/2016</w:t>
        </w:r>
      </w:hyperlink>
      <w:r>
        <w:t xml:space="preserve">, ff. 2, 4;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65" w:history="1">
        <w:r w:rsidRPr="00427CF1">
          <w:rPr>
            <w:rStyle w:val="TextoNormalCaracter"/>
          </w:rPr>
          <w:t>165/2016</w:t>
        </w:r>
      </w:hyperlink>
      <w:r>
        <w:t>, ff. 2, 10.</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65" w:history="1">
        <w:r w:rsidRPr="00427CF1">
          <w:rPr>
            <w:rStyle w:val="TextoNormalCaracter"/>
          </w:rPr>
          <w:t>165/2016</w:t>
        </w:r>
      </w:hyperlink>
      <w:r>
        <w:t>, f. 8.</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65" w:history="1">
        <w:r w:rsidRPr="00427CF1">
          <w:rPr>
            <w:rStyle w:val="TextoNormalCaracter"/>
          </w:rPr>
          <w:t>165/2016</w:t>
        </w:r>
      </w:hyperlink>
      <w:r>
        <w:t>, f. 3.</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65" w:history="1">
        <w:r w:rsidRPr="00427CF1">
          <w:rPr>
            <w:rStyle w:val="TextoNormalCaracter"/>
          </w:rPr>
          <w:t>165/2016</w:t>
        </w:r>
      </w:hyperlink>
      <w:r>
        <w:t>, f. 5.</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65" w:history="1">
        <w:r w:rsidRPr="00427CF1">
          <w:rPr>
            <w:rStyle w:val="TextoNormalCaracter"/>
          </w:rPr>
          <w:t>165/2016</w:t>
        </w:r>
      </w:hyperlink>
      <w:r>
        <w:t>, f. 15.</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65" w:history="1">
        <w:r w:rsidRPr="00427CF1">
          <w:rPr>
            <w:rStyle w:val="TextoNormalCaracter"/>
          </w:rPr>
          <w:t>165/2016</w:t>
        </w:r>
      </w:hyperlink>
      <w:r>
        <w:t>, f. 8.</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65" w:history="1">
        <w:r w:rsidRPr="00427CF1">
          <w:rPr>
            <w:rStyle w:val="TextoNormalCaracter"/>
          </w:rPr>
          <w:t>165/2016</w:t>
        </w:r>
      </w:hyperlink>
      <w:r>
        <w:t>, f. 5.</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Sentencias </w:t>
      </w:r>
      <w:hyperlink w:anchor="SENTENCIA_2016_165" w:history="1">
        <w:r w:rsidRPr="00427CF1">
          <w:rPr>
            <w:rStyle w:val="TextoNormalCaracter"/>
          </w:rPr>
          <w:t>165/2016</w:t>
        </w:r>
      </w:hyperlink>
      <w:r>
        <w:t xml:space="preserve">, ff. 1, 3; </w:t>
      </w:r>
      <w:hyperlink w:anchor="SENTENCIA_2016_182" w:history="1">
        <w:r w:rsidRPr="00427CF1">
          <w:rPr>
            <w:rStyle w:val="TextoNormalCaracter"/>
          </w:rPr>
          <w:t>182/2016</w:t>
        </w:r>
      </w:hyperlink>
      <w:r>
        <w:t>, ff. 1, 2.</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65" w:history="1">
        <w:r w:rsidRPr="00427CF1">
          <w:rPr>
            <w:rStyle w:val="TextoNormalCaracter"/>
          </w:rPr>
          <w:t>165/2016</w:t>
        </w:r>
      </w:hyperlink>
      <w:r>
        <w:t>, ff. 5, 8.</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Sentencias </w:t>
      </w:r>
      <w:hyperlink w:anchor="SENTENCIA_2016_165" w:history="1">
        <w:r w:rsidRPr="00427CF1">
          <w:rPr>
            <w:rStyle w:val="TextoNormalCaracter"/>
          </w:rPr>
          <w:t>165/2016</w:t>
        </w:r>
      </w:hyperlink>
      <w:r>
        <w:t xml:space="preserve">, ff. 8, 9, 11 a 13; </w:t>
      </w:r>
      <w:hyperlink w:anchor="SENTENCIA_2016_182" w:history="1">
        <w:r w:rsidRPr="00427CF1">
          <w:rPr>
            <w:rStyle w:val="TextoNormalCaracter"/>
          </w:rPr>
          <w:t>182/2016</w:t>
        </w:r>
      </w:hyperlink>
      <w:r>
        <w:t>, ff. 1, 2.</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5.1 a).</w:t>
      </w:r>
      <w:r w:rsidRPr="00427CF1">
        <w:rPr>
          <w:rStyle w:val="TextoNormalCaracter"/>
        </w:rPr>
        <w:t>-</w:t>
      </w:r>
      <w:r>
        <w:t xml:space="preserve"> Sentencias </w:t>
      </w:r>
      <w:hyperlink w:anchor="SENTENCIA_2016_165" w:history="1">
        <w:r w:rsidRPr="00427CF1">
          <w:rPr>
            <w:rStyle w:val="TextoNormalCaracter"/>
          </w:rPr>
          <w:t>165/2016</w:t>
        </w:r>
      </w:hyperlink>
      <w:r>
        <w:t xml:space="preserve">, f. 13; </w:t>
      </w:r>
      <w:hyperlink w:anchor="SENTENCIA_2016_182" w:history="1">
        <w:r w:rsidRPr="00427CF1">
          <w:rPr>
            <w:rStyle w:val="TextoNormalCaracter"/>
          </w:rPr>
          <w:t>182/2016</w:t>
        </w:r>
      </w:hyperlink>
      <w:r>
        <w:t xml:space="preserve">, ff. 1, 3; </w:t>
      </w:r>
      <w:hyperlink w:anchor="SENTENCIA_2016_190" w:history="1">
        <w:r w:rsidRPr="00427CF1">
          <w:rPr>
            <w:rStyle w:val="TextoNormalCaracter"/>
          </w:rPr>
          <w:t>190/2016</w:t>
        </w:r>
      </w:hyperlink>
      <w:r>
        <w:t>, f. 2.</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5.2 a).</w:t>
      </w:r>
      <w:r w:rsidRPr="00427CF1">
        <w:rPr>
          <w:rStyle w:val="TextoNormalCaracter"/>
        </w:rPr>
        <w:t>-</w:t>
      </w:r>
      <w:r>
        <w:t xml:space="preserve"> Sentencias </w:t>
      </w:r>
      <w:hyperlink w:anchor="SENTENCIA_2016_165" w:history="1">
        <w:r w:rsidRPr="00427CF1">
          <w:rPr>
            <w:rStyle w:val="TextoNormalCaracter"/>
          </w:rPr>
          <w:t>165/2016</w:t>
        </w:r>
      </w:hyperlink>
      <w:r>
        <w:t xml:space="preserve">, f. 14; </w:t>
      </w:r>
      <w:hyperlink w:anchor="SENTENCIA_2016_182" w:history="1">
        <w:r w:rsidRPr="00427CF1">
          <w:rPr>
            <w:rStyle w:val="TextoNormalCaracter"/>
          </w:rPr>
          <w:t>182/2016</w:t>
        </w:r>
      </w:hyperlink>
      <w:r>
        <w:t>, ff. 1, 3.</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5.3 a).</w:t>
      </w:r>
      <w:r w:rsidRPr="00427CF1">
        <w:rPr>
          <w:rStyle w:val="TextoNormalCaracter"/>
        </w:rPr>
        <w:t>-</w:t>
      </w:r>
      <w:r>
        <w:t xml:space="preserve"> Sentencias </w:t>
      </w:r>
      <w:hyperlink w:anchor="SENTENCIA_2016_165" w:history="1">
        <w:r w:rsidRPr="00427CF1">
          <w:rPr>
            <w:rStyle w:val="TextoNormalCaracter"/>
          </w:rPr>
          <w:t>165/2016</w:t>
        </w:r>
      </w:hyperlink>
      <w:r>
        <w:t xml:space="preserve">, f. 13; </w:t>
      </w:r>
      <w:hyperlink w:anchor="SENTENCIA_2016_190" w:history="1">
        <w:r w:rsidRPr="00427CF1">
          <w:rPr>
            <w:rStyle w:val="TextoNormalCaracter"/>
          </w:rPr>
          <w:t>190/2016</w:t>
        </w:r>
      </w:hyperlink>
      <w:r>
        <w:t>, f. 2.</w:t>
      </w:r>
    </w:p>
    <w:p w:rsidR="00427CF1" w:rsidRDefault="00427CF1" w:rsidP="00427CF1">
      <w:pPr>
        <w:pStyle w:val="SangriaFrancesaArticulo"/>
      </w:pPr>
      <w:r w:rsidRPr="00427CF1">
        <w:rPr>
          <w:rStyle w:val="TextoNormalNegritaCaracter"/>
        </w:rPr>
        <w:t>Artículo 5.3 b).</w:t>
      </w:r>
      <w:r w:rsidRPr="00427CF1">
        <w:rPr>
          <w:rStyle w:val="TextoNormalCaracter"/>
        </w:rPr>
        <w:t>-</w:t>
      </w:r>
      <w:r>
        <w:t xml:space="preserve"> Sentencia </w:t>
      </w:r>
      <w:hyperlink w:anchor="SENTENCIA_2016_165" w:history="1">
        <w:r w:rsidRPr="00427CF1">
          <w:rPr>
            <w:rStyle w:val="TextoNormalCaracter"/>
          </w:rPr>
          <w:t>165/2016</w:t>
        </w:r>
      </w:hyperlink>
      <w:r>
        <w:t>, f. 14.</w:t>
      </w:r>
    </w:p>
    <w:p w:rsidR="00427CF1" w:rsidRDefault="00427CF1" w:rsidP="00427CF1">
      <w:pPr>
        <w:pStyle w:val="SangriaFrancesaArticulo"/>
      </w:pPr>
      <w:r w:rsidRPr="00427CF1">
        <w:rPr>
          <w:rStyle w:val="TextoNormalNegritaCaracter"/>
        </w:rPr>
        <w:t>Artículo 5.4.</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5.5.</w:t>
      </w:r>
      <w:r w:rsidRPr="00427CF1">
        <w:rPr>
          <w:rStyle w:val="TextoNormalCaracter"/>
        </w:rPr>
        <w:t>-</w:t>
      </w:r>
      <w:r>
        <w:t xml:space="preserve"> Sentencia </w:t>
      </w:r>
      <w:hyperlink w:anchor="SENTENCIA_2016_182" w:history="1">
        <w:r w:rsidRPr="00427CF1">
          <w:rPr>
            <w:rStyle w:val="TextoNormalCaracter"/>
          </w:rPr>
          <w:t>182/2016</w:t>
        </w:r>
      </w:hyperlink>
      <w:r>
        <w:t>, ff. 1,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65" w:history="1">
        <w:r w:rsidRPr="00427CF1">
          <w:rPr>
            <w:rStyle w:val="TextoNormalCaracter"/>
          </w:rPr>
          <w:t>165/2016</w:t>
        </w:r>
      </w:hyperlink>
      <w:r>
        <w:t>, ff. 1, 9, 13.</w:t>
      </w:r>
    </w:p>
    <w:p w:rsidR="00427CF1" w:rsidRDefault="00427CF1" w:rsidP="00427CF1">
      <w:pPr>
        <w:pStyle w:val="SangriaFrancesaArticulo"/>
      </w:pPr>
      <w:r w:rsidRPr="00427CF1">
        <w:rPr>
          <w:rStyle w:val="TextoNormalNegritaCaracter"/>
        </w:rPr>
        <w:t>Artículo 6.3.</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Sentencias </w:t>
      </w:r>
      <w:hyperlink w:anchor="SENTENCIA_2016_165" w:history="1">
        <w:r w:rsidRPr="00427CF1">
          <w:rPr>
            <w:rStyle w:val="TextoNormalCaracter"/>
          </w:rPr>
          <w:t>165/2016</w:t>
        </w:r>
      </w:hyperlink>
      <w:r>
        <w:t xml:space="preserve">, ff. 1, 3, 12;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8.6 párrafo 2.</w:t>
      </w:r>
      <w:r w:rsidRPr="00427CF1">
        <w:rPr>
          <w:rStyle w:val="TextoNormalCaracter"/>
        </w:rPr>
        <w:t>-</w:t>
      </w:r>
      <w:r>
        <w:t xml:space="preserve"> Sentencias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Sentencia </w:t>
      </w:r>
      <w:hyperlink w:anchor="SENTENCIA_2016_165" w:history="1">
        <w:r w:rsidRPr="00427CF1">
          <w:rPr>
            <w:rStyle w:val="TextoNormalCaracter"/>
          </w:rPr>
          <w:t>165/2016</w:t>
        </w:r>
      </w:hyperlink>
      <w:r>
        <w:t>, ff. 1, 3, 12.</w:t>
      </w:r>
    </w:p>
    <w:p w:rsidR="00427CF1" w:rsidRDefault="00427CF1" w:rsidP="00427CF1">
      <w:pPr>
        <w:pStyle w:val="SangriaFrancesaArticulo"/>
      </w:pPr>
      <w:r w:rsidRPr="00427CF1">
        <w:rPr>
          <w:rStyle w:val="TextoNormalNegritaCaracter"/>
        </w:rPr>
        <w:t>Artículo 9.6.</w:t>
      </w:r>
      <w:r w:rsidRPr="00427CF1">
        <w:rPr>
          <w:rStyle w:val="TextoNormalCaracter"/>
        </w:rPr>
        <w:t>-</w:t>
      </w:r>
      <w:r>
        <w:t xml:space="preserve"> Sentencias </w:t>
      </w:r>
      <w:hyperlink w:anchor="SENTENCIA_2016_165" w:history="1">
        <w:r w:rsidRPr="00427CF1">
          <w:rPr>
            <w:rStyle w:val="TextoNormalCaracter"/>
          </w:rPr>
          <w:t>165/2016</w:t>
        </w:r>
      </w:hyperlink>
      <w:r>
        <w:t xml:space="preserve">, f. 14;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9.7.</w:t>
      </w:r>
      <w:r w:rsidRPr="00427CF1">
        <w:rPr>
          <w:rStyle w:val="TextoNormalCaracter"/>
        </w:rPr>
        <w:t>-</w:t>
      </w:r>
      <w:r>
        <w:t xml:space="preserve"> Sentencias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65" w:history="1">
        <w:r w:rsidRPr="00427CF1">
          <w:rPr>
            <w:rStyle w:val="TextoNormalCaracter"/>
          </w:rPr>
          <w:t>165/2016</w:t>
        </w:r>
      </w:hyperlink>
      <w:r>
        <w:t>, ff. 1, 3.</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 </w:t>
      </w:r>
      <w:hyperlink w:anchor="SENTENCIA_2016_165" w:history="1">
        <w:r w:rsidRPr="00427CF1">
          <w:rPr>
            <w:rStyle w:val="TextoNormalCaracter"/>
          </w:rPr>
          <w:t>165/2016</w:t>
        </w:r>
      </w:hyperlink>
      <w:r>
        <w:t>, ff. 9, 10.</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165" w:history="1">
        <w:r w:rsidRPr="00427CF1">
          <w:rPr>
            <w:rStyle w:val="TextoNormalCaracter"/>
          </w:rPr>
          <w:t>165/2016</w:t>
        </w:r>
      </w:hyperlink>
      <w:r>
        <w:t>, f. 5.</w:t>
      </w:r>
    </w:p>
    <w:p w:rsidR="00427CF1" w:rsidRDefault="00427CF1" w:rsidP="00427CF1">
      <w:pPr>
        <w:pStyle w:val="SangriaFrancesaArticulo"/>
      </w:pPr>
      <w:r w:rsidRPr="00427CF1">
        <w:rPr>
          <w:rStyle w:val="TextoNormalNegritaCaracter"/>
        </w:rPr>
        <w:t>Artículo 10.3.</w:t>
      </w:r>
      <w:r w:rsidRPr="00427CF1">
        <w:rPr>
          <w:rStyle w:val="TextoNormalCaracter"/>
        </w:rPr>
        <w:t>-</w:t>
      </w:r>
      <w:r>
        <w:t xml:space="preserve"> Sentencia </w:t>
      </w:r>
      <w:hyperlink w:anchor="SENTENCIA_2016_165" w:history="1">
        <w:r w:rsidRPr="00427CF1">
          <w:rPr>
            <w:rStyle w:val="TextoNormalCaracter"/>
          </w:rPr>
          <w:t>165/2016</w:t>
        </w:r>
      </w:hyperlink>
      <w:r>
        <w:t>, f. 9.</w:t>
      </w:r>
    </w:p>
    <w:p w:rsidR="00427CF1" w:rsidRDefault="00427CF1" w:rsidP="00427CF1">
      <w:pPr>
        <w:pStyle w:val="SangriaFrancesaArticulo"/>
      </w:pPr>
      <w:r w:rsidRPr="00427CF1">
        <w:rPr>
          <w:rStyle w:val="TextoNormalNegritaCaracter"/>
        </w:rPr>
        <w:t>Artículo 10.4.</w:t>
      </w:r>
      <w:r w:rsidRPr="00427CF1">
        <w:rPr>
          <w:rStyle w:val="TextoNormalCaracter"/>
        </w:rPr>
        <w:t>-</w:t>
      </w:r>
      <w:r>
        <w:t xml:space="preserve"> Sentencias </w:t>
      </w:r>
      <w:hyperlink w:anchor="SENTENCIA_2016_165" w:history="1">
        <w:r w:rsidRPr="00427CF1">
          <w:rPr>
            <w:rStyle w:val="TextoNormalCaracter"/>
          </w:rPr>
          <w:t>165/2016</w:t>
        </w:r>
      </w:hyperlink>
      <w:r>
        <w:t xml:space="preserve">, f. 9;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10.6.</w:t>
      </w:r>
      <w:r w:rsidRPr="00427CF1">
        <w:rPr>
          <w:rStyle w:val="TextoNormalCaracter"/>
        </w:rPr>
        <w:t>-</w:t>
      </w:r>
      <w:r>
        <w:t xml:space="preserve"> Sentencias </w:t>
      </w:r>
      <w:hyperlink w:anchor="SENTENCIA_2016_165" w:history="1">
        <w:r w:rsidRPr="00427CF1">
          <w:rPr>
            <w:rStyle w:val="TextoNormalCaracter"/>
          </w:rPr>
          <w:t>165/2016</w:t>
        </w:r>
      </w:hyperlink>
      <w:r>
        <w:t xml:space="preserve">, ff. 3, 9;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10.7.</w:t>
      </w:r>
      <w:r w:rsidRPr="00427CF1">
        <w:rPr>
          <w:rStyle w:val="TextoNormalCaracter"/>
        </w:rPr>
        <w:t>-</w:t>
      </w:r>
      <w:r>
        <w:t xml:space="preserve"> Sentencias </w:t>
      </w:r>
      <w:hyperlink w:anchor="SENTENCIA_2016_165" w:history="1">
        <w:r w:rsidRPr="00427CF1">
          <w:rPr>
            <w:rStyle w:val="TextoNormalCaracter"/>
          </w:rPr>
          <w:t>165/2016</w:t>
        </w:r>
      </w:hyperlink>
      <w:r>
        <w:t xml:space="preserve">, f. 9;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Sentencias </w:t>
      </w:r>
      <w:hyperlink w:anchor="SENTENCIA_2016_165" w:history="1">
        <w:r w:rsidRPr="00427CF1">
          <w:rPr>
            <w:rStyle w:val="TextoNormalCaracter"/>
          </w:rPr>
          <w:t>165/2016</w:t>
        </w:r>
      </w:hyperlink>
      <w:r>
        <w:t xml:space="preserve">, ff. 1, 3;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Sentencias </w:t>
      </w:r>
      <w:hyperlink w:anchor="SENTENCIA_2016_165" w:history="1">
        <w:r w:rsidRPr="00427CF1">
          <w:rPr>
            <w:rStyle w:val="TextoNormalCaracter"/>
          </w:rPr>
          <w:t>165/2016</w:t>
        </w:r>
      </w:hyperlink>
      <w:r>
        <w:t xml:space="preserve">, ff. 9, 11;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11.3.</w:t>
      </w:r>
      <w:r w:rsidRPr="00427CF1">
        <w:rPr>
          <w:rStyle w:val="TextoNormalCaracter"/>
        </w:rPr>
        <w:t>-</w:t>
      </w:r>
      <w:r>
        <w:t xml:space="preserve"> Sentencia </w:t>
      </w:r>
      <w:hyperlink w:anchor="SENTENCIA_2016_165" w:history="1">
        <w:r w:rsidRPr="00427CF1">
          <w:rPr>
            <w:rStyle w:val="TextoNormalCaracter"/>
          </w:rPr>
          <w:t>165/2016</w:t>
        </w:r>
      </w:hyperlink>
      <w:r>
        <w:t>, f. 9.</w:t>
      </w:r>
    </w:p>
    <w:p w:rsidR="00427CF1" w:rsidRDefault="00427CF1" w:rsidP="00427CF1">
      <w:pPr>
        <w:pStyle w:val="SangriaFrancesaArticulo"/>
      </w:pPr>
      <w:r w:rsidRPr="00427CF1">
        <w:rPr>
          <w:rStyle w:val="TextoNormalNegritaCaracter"/>
        </w:rPr>
        <w:t>Artículo 11.5.</w:t>
      </w:r>
      <w:r w:rsidRPr="00427CF1">
        <w:rPr>
          <w:rStyle w:val="TextoNormalCaracter"/>
        </w:rPr>
        <w:t>-</w:t>
      </w:r>
      <w:r>
        <w:t xml:space="preserve"> Sentencia </w:t>
      </w:r>
      <w:hyperlink w:anchor="SENTENCIA_2016_165" w:history="1">
        <w:r w:rsidRPr="00427CF1">
          <w:rPr>
            <w:rStyle w:val="TextoNormalCaracter"/>
          </w:rPr>
          <w:t>165/2016</w:t>
        </w:r>
      </w:hyperlink>
      <w:r>
        <w:t>, f. 10.</w:t>
      </w:r>
    </w:p>
    <w:p w:rsidR="00427CF1" w:rsidRDefault="00427CF1" w:rsidP="00427CF1">
      <w:pPr>
        <w:pStyle w:val="SangriaFrancesaArticulo"/>
      </w:pPr>
      <w:r w:rsidRPr="00427CF1">
        <w:rPr>
          <w:rStyle w:val="TextoNormalNegritaCaracter"/>
        </w:rPr>
        <w:t>Artículo 11.6.</w:t>
      </w:r>
      <w:r w:rsidRPr="00427CF1">
        <w:rPr>
          <w:rStyle w:val="TextoNormalCaracter"/>
        </w:rPr>
        <w:t>-</w:t>
      </w:r>
      <w:r>
        <w:t xml:space="preserve"> Sentencias </w:t>
      </w:r>
      <w:hyperlink w:anchor="SENTENCIA_2016_165" w:history="1">
        <w:r w:rsidRPr="00427CF1">
          <w:rPr>
            <w:rStyle w:val="TextoNormalCaracter"/>
          </w:rPr>
          <w:t>165/2016</w:t>
        </w:r>
      </w:hyperlink>
      <w:r>
        <w:t xml:space="preserve">, f. 14;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Sentencias </w:t>
      </w:r>
      <w:hyperlink w:anchor="SENTENCIA_2016_165" w:history="1">
        <w:r w:rsidRPr="00427CF1">
          <w:rPr>
            <w:rStyle w:val="TextoNormalCaracter"/>
          </w:rPr>
          <w:t>165/2016</w:t>
        </w:r>
      </w:hyperlink>
      <w:r>
        <w:t xml:space="preserve">, ff. 1, 3, 9;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 </w:t>
      </w:r>
      <w:hyperlink w:anchor="SENTENCIA_2016_165" w:history="1">
        <w:r w:rsidRPr="00427CF1">
          <w:rPr>
            <w:rStyle w:val="TextoNormalCaracter"/>
          </w:rPr>
          <w:t>165/2016</w:t>
        </w:r>
      </w:hyperlink>
      <w:r>
        <w:t>, ff. 1, 3.</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Sentencias </w:t>
      </w:r>
      <w:hyperlink w:anchor="SENTENCIA_2016_165" w:history="1">
        <w:r w:rsidRPr="00427CF1">
          <w:rPr>
            <w:rStyle w:val="TextoNormalCaracter"/>
          </w:rPr>
          <w:t>165/2016</w:t>
        </w:r>
      </w:hyperlink>
      <w:r>
        <w:t xml:space="preserve">, ff. 1, 3, 9;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15.1.</w:t>
      </w:r>
      <w:r w:rsidRPr="00427CF1">
        <w:rPr>
          <w:rStyle w:val="TextoNormalCaracter"/>
        </w:rPr>
        <w:t>-</w:t>
      </w:r>
      <w:r>
        <w:t xml:space="preserve"> Sentencias </w:t>
      </w:r>
      <w:hyperlink w:anchor="SENTENCIA_2016_165" w:history="1">
        <w:r w:rsidRPr="00427CF1">
          <w:rPr>
            <w:rStyle w:val="TextoNormalCaracter"/>
          </w:rPr>
          <w:t>165/2016</w:t>
        </w:r>
      </w:hyperlink>
      <w:r>
        <w:t xml:space="preserve">, f. 9;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15.2.</w:t>
      </w:r>
      <w:r w:rsidRPr="00427CF1">
        <w:rPr>
          <w:rStyle w:val="TextoNormalCaracter"/>
        </w:rPr>
        <w:t>-</w:t>
      </w:r>
      <w:r>
        <w:t xml:space="preserve"> Sentencias </w:t>
      </w:r>
      <w:hyperlink w:anchor="SENTENCIA_2016_165" w:history="1">
        <w:r w:rsidRPr="00427CF1">
          <w:rPr>
            <w:rStyle w:val="TextoNormalCaracter"/>
          </w:rPr>
          <w:t>165/2016</w:t>
        </w:r>
      </w:hyperlink>
      <w:r>
        <w:t xml:space="preserve">, f. 9;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15.3.</w:t>
      </w:r>
      <w:r w:rsidRPr="00427CF1">
        <w:rPr>
          <w:rStyle w:val="TextoNormalCaracter"/>
        </w:rPr>
        <w:t>-</w:t>
      </w:r>
      <w:r>
        <w:t xml:space="preserve"> Sentencias </w:t>
      </w:r>
      <w:hyperlink w:anchor="SENTENCIA_2016_165" w:history="1">
        <w:r w:rsidRPr="00427CF1">
          <w:rPr>
            <w:rStyle w:val="TextoNormalCaracter"/>
          </w:rPr>
          <w:t>165/2016</w:t>
        </w:r>
      </w:hyperlink>
      <w:r>
        <w:t xml:space="preserve">, f. 9;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15.4.</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15.5.</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15.7.</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165" w:history="1">
        <w:r w:rsidRPr="00427CF1">
          <w:rPr>
            <w:rStyle w:val="TextoNormalCaracter"/>
          </w:rPr>
          <w:t>165/2016</w:t>
        </w:r>
      </w:hyperlink>
      <w:r>
        <w:t>, ff. 1, 3, 9.</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165" w:history="1">
        <w:r w:rsidRPr="00427CF1">
          <w:rPr>
            <w:rStyle w:val="TextoNormalCaracter"/>
          </w:rPr>
          <w:t>165/2016</w:t>
        </w:r>
      </w:hyperlink>
      <w:r>
        <w:t>, ff. 1, 3.</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 </w:t>
      </w:r>
      <w:hyperlink w:anchor="SENTENCIA_2016_165" w:history="1">
        <w:r w:rsidRPr="00427CF1">
          <w:rPr>
            <w:rStyle w:val="TextoNormalCaracter"/>
          </w:rPr>
          <w:t>165/2016</w:t>
        </w:r>
      </w:hyperlink>
      <w:r>
        <w:t>, ff. 3, 7, 8.</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Sentencias </w:t>
      </w:r>
      <w:hyperlink w:anchor="SENTENCIA_2016_165" w:history="1">
        <w:r w:rsidRPr="00427CF1">
          <w:rPr>
            <w:rStyle w:val="TextoNormalCaracter"/>
          </w:rPr>
          <w:t>165/2016</w:t>
        </w:r>
      </w:hyperlink>
      <w:r>
        <w:t xml:space="preserve">, ff. 3, 7, 8;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19.2.</w:t>
      </w:r>
      <w:r w:rsidRPr="00427CF1">
        <w:rPr>
          <w:rStyle w:val="TextoNormalCaracter"/>
        </w:rPr>
        <w:t>-</w:t>
      </w:r>
      <w:r>
        <w:t xml:space="preserve"> Sentencias </w:t>
      </w:r>
      <w:hyperlink w:anchor="SENTENCIA_2016_165" w:history="1">
        <w:r w:rsidRPr="00427CF1">
          <w:rPr>
            <w:rStyle w:val="TextoNormalCaracter"/>
          </w:rPr>
          <w:t>165/2016</w:t>
        </w:r>
      </w:hyperlink>
      <w:r>
        <w:t xml:space="preserve">, ff. 5, 9;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19.3.</w:t>
      </w:r>
      <w:r w:rsidRPr="00427CF1">
        <w:rPr>
          <w:rStyle w:val="TextoNormalCaracter"/>
        </w:rPr>
        <w:t>-</w:t>
      </w:r>
      <w:r>
        <w:t xml:space="preserve"> Sentencias </w:t>
      </w:r>
      <w:hyperlink w:anchor="SENTENCIA_2016_165" w:history="1">
        <w:r w:rsidRPr="00427CF1">
          <w:rPr>
            <w:rStyle w:val="TextoNormalCaracter"/>
          </w:rPr>
          <w:t>165/2016</w:t>
        </w:r>
      </w:hyperlink>
      <w:r>
        <w:t xml:space="preserve">, f. 9;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 </w:t>
      </w:r>
      <w:hyperlink w:anchor="SENTENCIA_2016_165" w:history="1">
        <w:r w:rsidRPr="00427CF1">
          <w:rPr>
            <w:rStyle w:val="TextoNormalCaracter"/>
          </w:rPr>
          <w:t>165/2016</w:t>
        </w:r>
      </w:hyperlink>
      <w:r>
        <w:t>, ff. 3, 7, 8.</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65" w:history="1">
        <w:r w:rsidRPr="00427CF1">
          <w:rPr>
            <w:rStyle w:val="TextoNormalCaracter"/>
          </w:rPr>
          <w:t>165/2016</w:t>
        </w:r>
      </w:hyperlink>
      <w:r>
        <w:t>, ff. 3, 7, 8.</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65" w:history="1">
        <w:r w:rsidRPr="00427CF1">
          <w:rPr>
            <w:rStyle w:val="TextoNormalCaracter"/>
          </w:rPr>
          <w:t>165/2016</w:t>
        </w:r>
      </w:hyperlink>
      <w:r>
        <w:t>, ff. 3, 7, 8.</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Sentencias </w:t>
      </w:r>
      <w:hyperlink w:anchor="SENTENCIA_2016_165" w:history="1">
        <w:r w:rsidRPr="00427CF1">
          <w:rPr>
            <w:rStyle w:val="TextoNormalCaracter"/>
          </w:rPr>
          <w:t>165/2016</w:t>
        </w:r>
      </w:hyperlink>
      <w:r>
        <w:t xml:space="preserve">, ff. 3, 7, 8;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23.1.</w:t>
      </w:r>
      <w:r w:rsidRPr="00427CF1">
        <w:rPr>
          <w:rStyle w:val="TextoNormalCaracter"/>
        </w:rPr>
        <w:t>-</w:t>
      </w:r>
      <w:r>
        <w:t xml:space="preserve"> Sentencia </w:t>
      </w:r>
      <w:hyperlink w:anchor="SENTENCIA_2016_165" w:history="1">
        <w:r w:rsidRPr="00427CF1">
          <w:rPr>
            <w:rStyle w:val="TextoNormalCaracter"/>
          </w:rPr>
          <w:t>165/2016</w:t>
        </w:r>
      </w:hyperlink>
      <w:r>
        <w:t>, f. 9.</w:t>
      </w:r>
    </w:p>
    <w:p w:rsidR="00427CF1" w:rsidRDefault="00427CF1" w:rsidP="00427CF1">
      <w:pPr>
        <w:pStyle w:val="SangriaFrancesaArticulo"/>
      </w:pPr>
      <w:r w:rsidRPr="00427CF1">
        <w:rPr>
          <w:rStyle w:val="TextoNormalNegritaCaracter"/>
        </w:rPr>
        <w:t>Artículo 23.2.</w:t>
      </w:r>
      <w:r w:rsidRPr="00427CF1">
        <w:rPr>
          <w:rStyle w:val="TextoNormalCaracter"/>
        </w:rPr>
        <w:t>-</w:t>
      </w:r>
      <w:r>
        <w:t xml:space="preserve"> Sentencia </w:t>
      </w:r>
      <w:hyperlink w:anchor="SENTENCIA_2016_165" w:history="1">
        <w:r w:rsidRPr="00427CF1">
          <w:rPr>
            <w:rStyle w:val="TextoNormalCaracter"/>
          </w:rPr>
          <w:t>165/2016</w:t>
        </w:r>
      </w:hyperlink>
      <w:r>
        <w:t>, f. 9.</w:t>
      </w:r>
    </w:p>
    <w:p w:rsidR="00427CF1" w:rsidRDefault="00427CF1" w:rsidP="00427CF1">
      <w:pPr>
        <w:pStyle w:val="SangriaFrancesaArticulo"/>
      </w:pPr>
      <w:r w:rsidRPr="00427CF1">
        <w:rPr>
          <w:rStyle w:val="TextoNormalNegritaCaracter"/>
        </w:rPr>
        <w:t>Artículo 23.3.</w:t>
      </w:r>
      <w:r w:rsidRPr="00427CF1">
        <w:rPr>
          <w:rStyle w:val="TextoNormalCaracter"/>
        </w:rPr>
        <w:t>-</w:t>
      </w:r>
      <w:r>
        <w:t xml:space="preserve"> Sentencia </w:t>
      </w:r>
      <w:hyperlink w:anchor="SENTENCIA_2016_165" w:history="1">
        <w:r w:rsidRPr="00427CF1">
          <w:rPr>
            <w:rStyle w:val="TextoNormalCaracter"/>
          </w:rPr>
          <w:t>165/2016</w:t>
        </w:r>
      </w:hyperlink>
      <w:r>
        <w:t>, f. 9.</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Sentencias </w:t>
      </w:r>
      <w:hyperlink w:anchor="SENTENCIA_2016_165" w:history="1">
        <w:r w:rsidRPr="00427CF1">
          <w:rPr>
            <w:rStyle w:val="TextoNormalCaracter"/>
          </w:rPr>
          <w:t>165/2016</w:t>
        </w:r>
      </w:hyperlink>
      <w:r>
        <w:t xml:space="preserve">, ff. 1, 3, 10;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 2.</w:t>
      </w:r>
    </w:p>
    <w:p w:rsidR="00427CF1" w:rsidRDefault="00427CF1" w:rsidP="00427CF1">
      <w:pPr>
        <w:pStyle w:val="SangriaFrancesaArticulo"/>
      </w:pPr>
      <w:r w:rsidRPr="00427CF1">
        <w:rPr>
          <w:rStyle w:val="TextoNormalNegritaCaracter"/>
        </w:rPr>
        <w:t>Artículo 24.1.</w:t>
      </w:r>
      <w:r w:rsidRPr="00427CF1">
        <w:rPr>
          <w:rStyle w:val="TextoNormalCaracter"/>
        </w:rPr>
        <w:t>-</w:t>
      </w:r>
      <w:r>
        <w:t xml:space="preserve"> Sentencia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24.2.</w:t>
      </w:r>
      <w:r w:rsidRPr="00427CF1">
        <w:rPr>
          <w:rStyle w:val="TextoNormalCaracter"/>
        </w:rPr>
        <w:t>-</w:t>
      </w:r>
      <w:r>
        <w:t xml:space="preserve"> Sentencia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24.3.</w:t>
      </w:r>
      <w:r w:rsidRPr="00427CF1">
        <w:rPr>
          <w:rStyle w:val="TextoNormalCaracter"/>
        </w:rPr>
        <w:t>-</w:t>
      </w:r>
      <w:r>
        <w:t xml:space="preserve"> Sentencia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24.4.</w:t>
      </w:r>
      <w:r w:rsidRPr="00427CF1">
        <w:rPr>
          <w:rStyle w:val="TextoNormalCaracter"/>
        </w:rPr>
        <w:t>-</w:t>
      </w:r>
      <w:r>
        <w:t xml:space="preserve"> Sentencia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Sentencias </w:t>
      </w:r>
      <w:hyperlink w:anchor="SENTENCIA_2016_165" w:history="1">
        <w:r w:rsidRPr="00427CF1">
          <w:rPr>
            <w:rStyle w:val="TextoNormalCaracter"/>
          </w:rPr>
          <w:t>165/2016</w:t>
        </w:r>
      </w:hyperlink>
      <w:r>
        <w:t xml:space="preserve">, f. 1;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 </w:t>
      </w:r>
      <w:hyperlink w:anchor="SENTENCIA_2016_165" w:history="1">
        <w:r w:rsidRPr="00427CF1">
          <w:rPr>
            <w:rStyle w:val="TextoNormalCaracter"/>
          </w:rPr>
          <w:t>165/2016</w:t>
        </w:r>
      </w:hyperlink>
      <w:r>
        <w:t>, ff. 1, 3, 9, 12.</w:t>
      </w:r>
    </w:p>
    <w:p w:rsidR="00427CF1" w:rsidRDefault="00427CF1" w:rsidP="00427CF1">
      <w:pPr>
        <w:pStyle w:val="SangriaFrancesaArticulo"/>
      </w:pPr>
      <w:r w:rsidRPr="00427CF1">
        <w:rPr>
          <w:rStyle w:val="TextoNormalNegritaCaracter"/>
        </w:rPr>
        <w:t>Artículo 26.1.</w:t>
      </w:r>
      <w:r w:rsidRPr="00427CF1">
        <w:rPr>
          <w:rStyle w:val="TextoNormalCaracter"/>
        </w:rPr>
        <w:t>-</w:t>
      </w:r>
      <w:r>
        <w:t xml:space="preserve"> Sentencias </w:t>
      </w:r>
      <w:hyperlink w:anchor="SENTENCIA_2016_165" w:history="1">
        <w:r w:rsidRPr="00427CF1">
          <w:rPr>
            <w:rStyle w:val="TextoNormalCaracter"/>
          </w:rPr>
          <w:t>165/2016</w:t>
        </w:r>
      </w:hyperlink>
      <w:r>
        <w:t xml:space="preserve">, f. 15;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26.3.</w:t>
      </w:r>
      <w:r w:rsidRPr="00427CF1">
        <w:rPr>
          <w:rStyle w:val="TextoNormalCaracter"/>
        </w:rPr>
        <w:t>-</w:t>
      </w:r>
      <w:r>
        <w:t xml:space="preserve"> Sentencias </w:t>
      </w:r>
      <w:hyperlink w:anchor="SENTENCIA_2016_165" w:history="1">
        <w:r w:rsidRPr="00427CF1">
          <w:rPr>
            <w:rStyle w:val="TextoNormalCaracter"/>
          </w:rPr>
          <w:t>165/2016</w:t>
        </w:r>
      </w:hyperlink>
      <w:r>
        <w:t xml:space="preserve">, f. 15;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26.4.</w:t>
      </w:r>
      <w:r w:rsidRPr="00427CF1">
        <w:rPr>
          <w:rStyle w:val="TextoNormalCaracter"/>
        </w:rPr>
        <w:t>-</w:t>
      </w:r>
      <w:r>
        <w:t xml:space="preserve"> Sentencias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26.5.</w:t>
      </w:r>
      <w:r w:rsidRPr="00427CF1">
        <w:rPr>
          <w:rStyle w:val="TextoNormalCaracter"/>
        </w:rPr>
        <w:t>-</w:t>
      </w:r>
      <w:r>
        <w:t xml:space="preserve"> Sentencias </w:t>
      </w:r>
      <w:hyperlink w:anchor="SENTENCIA_2016_182" w:history="1">
        <w:r w:rsidRPr="00427CF1">
          <w:rPr>
            <w:rStyle w:val="TextoNormalCaracter"/>
          </w:rPr>
          <w:t>182/2016</w:t>
        </w:r>
      </w:hyperlink>
      <w:r>
        <w:t xml:space="preserve">, ff. 1, 2;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27.</w:t>
      </w:r>
      <w:r w:rsidRPr="00427CF1">
        <w:rPr>
          <w:rStyle w:val="TextoNormalCaracter"/>
        </w:rPr>
        <w:t>-</w:t>
      </w:r>
      <w:r>
        <w:t xml:space="preserve"> Sentencias </w:t>
      </w:r>
      <w:hyperlink w:anchor="SENTENCIA_2016_165" w:history="1">
        <w:r w:rsidRPr="00427CF1">
          <w:rPr>
            <w:rStyle w:val="TextoNormalCaracter"/>
          </w:rPr>
          <w:t>165/2016</w:t>
        </w:r>
      </w:hyperlink>
      <w:r>
        <w:t xml:space="preserve">, ff. 1, 3, 9, 12; </w:t>
      </w:r>
      <w:hyperlink w:anchor="SENTENCIA_2016_182" w:history="1">
        <w:r w:rsidRPr="00427CF1">
          <w:rPr>
            <w:rStyle w:val="TextoNormalCaracter"/>
          </w:rPr>
          <w:t>182/2016</w:t>
        </w:r>
      </w:hyperlink>
      <w:r>
        <w:t>, ff. 1, 2.</w:t>
      </w:r>
    </w:p>
    <w:p w:rsidR="00427CF1" w:rsidRDefault="00427CF1" w:rsidP="00427CF1">
      <w:pPr>
        <w:pStyle w:val="SangriaFrancesaArticulo"/>
      </w:pPr>
      <w:r w:rsidRPr="00427CF1">
        <w:rPr>
          <w:rStyle w:val="TextoNormalNegritaCaracter"/>
        </w:rPr>
        <w:t>Artículo 27.1.</w:t>
      </w:r>
      <w:r w:rsidRPr="00427CF1">
        <w:rPr>
          <w:rStyle w:val="TextoNormalCaracter"/>
        </w:rPr>
        <w:t>-</w:t>
      </w:r>
      <w:r>
        <w:t xml:space="preserve"> Sentencia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165" w:history="1">
        <w:r w:rsidRPr="00427CF1">
          <w:rPr>
            <w:rStyle w:val="TextoNormalCaracter"/>
          </w:rPr>
          <w:t>165/2016</w:t>
        </w:r>
      </w:hyperlink>
      <w:r>
        <w:t>, f. 3.</w:t>
      </w:r>
    </w:p>
    <w:p w:rsidR="00427CF1" w:rsidRDefault="00427CF1" w:rsidP="00427CF1">
      <w:pPr>
        <w:pStyle w:val="SangriaFrancesaArticulo"/>
      </w:pPr>
      <w:r w:rsidRPr="00427CF1">
        <w:rPr>
          <w:rStyle w:val="TextoNormalNegritaCaracter"/>
        </w:rPr>
        <w:t>Artículo 28.1.</w:t>
      </w:r>
      <w:r w:rsidRPr="00427CF1">
        <w:rPr>
          <w:rStyle w:val="TextoNormalCaracter"/>
        </w:rPr>
        <w:t>-</w:t>
      </w:r>
      <w:r>
        <w:t xml:space="preserve"> Sentencia </w:t>
      </w:r>
      <w:hyperlink w:anchor="SENTENCIA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28.2.</w:t>
      </w:r>
      <w:r w:rsidRPr="00427CF1">
        <w:rPr>
          <w:rStyle w:val="TextoNormalCaracter"/>
        </w:rPr>
        <w:t>-</w:t>
      </w:r>
      <w:r>
        <w:t xml:space="preserve"> Sentencia </w:t>
      </w:r>
      <w:hyperlink w:anchor="SENTENCIA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28.4.</w:t>
      </w:r>
      <w:r w:rsidRPr="00427CF1">
        <w:rPr>
          <w:rStyle w:val="TextoNormalCaracter"/>
        </w:rPr>
        <w:t>-</w:t>
      </w:r>
      <w:r>
        <w:t xml:space="preserve"> Sentencia </w:t>
      </w:r>
      <w:hyperlink w:anchor="SENTENCIA_2016_182" w:history="1">
        <w:r w:rsidRPr="00427CF1">
          <w:rPr>
            <w:rStyle w:val="TextoNormalCaracter"/>
          </w:rPr>
          <w:t>182/2016</w:t>
        </w:r>
      </w:hyperlink>
      <w:r>
        <w:t>, ff. 1, 4.</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165" w:history="1">
        <w:r w:rsidRPr="00427CF1">
          <w:rPr>
            <w:rStyle w:val="TextoNormalCaracter"/>
          </w:rPr>
          <w:t>165/2016</w:t>
        </w:r>
      </w:hyperlink>
      <w:r>
        <w:t>, f. 3.</w:t>
      </w:r>
    </w:p>
    <w:p w:rsidR="00427CF1" w:rsidRDefault="00427CF1" w:rsidP="00427CF1">
      <w:pPr>
        <w:pStyle w:val="SangriaFrancesaArticulo"/>
      </w:pPr>
      <w:r w:rsidRPr="00427CF1">
        <w:rPr>
          <w:rStyle w:val="TextoNormalNegritaCaracter"/>
        </w:rPr>
        <w:t>Artículo 30.</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34.</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37.</w:t>
      </w:r>
      <w:r w:rsidRPr="00427CF1">
        <w:rPr>
          <w:rStyle w:val="TextoNormalCaracter"/>
        </w:rPr>
        <w:t>-</w:t>
      </w:r>
      <w:r>
        <w:t xml:space="preserve"> Sentencia </w:t>
      </w:r>
      <w:hyperlink w:anchor="SENTENCIA_2016_165" w:history="1">
        <w:r w:rsidRPr="00427CF1">
          <w:rPr>
            <w:rStyle w:val="TextoNormalCaracter"/>
          </w:rPr>
          <w:t>165/2016</w:t>
        </w:r>
      </w:hyperlink>
      <w:r>
        <w:t>, ff. 3, 8.</w:t>
      </w:r>
    </w:p>
    <w:p w:rsidR="00427CF1" w:rsidRDefault="00427CF1" w:rsidP="00427CF1">
      <w:pPr>
        <w:pStyle w:val="SangriaFrancesaArticulo"/>
      </w:pPr>
      <w:r w:rsidRPr="00427CF1">
        <w:rPr>
          <w:rStyle w:val="TextoNormalNegritaCaracter"/>
        </w:rPr>
        <w:t>Artículo 38.</w:t>
      </w:r>
      <w:r w:rsidRPr="00427CF1">
        <w:rPr>
          <w:rStyle w:val="TextoNormalCaracter"/>
        </w:rPr>
        <w:t>-</w:t>
      </w:r>
      <w:r>
        <w:t xml:space="preserve"> Sentencias </w:t>
      </w:r>
      <w:hyperlink w:anchor="SENTENCIA_2016_165" w:history="1">
        <w:r w:rsidRPr="00427CF1">
          <w:rPr>
            <w:rStyle w:val="TextoNormalCaracter"/>
          </w:rPr>
          <w:t>165/2016</w:t>
        </w:r>
      </w:hyperlink>
      <w:r>
        <w:t xml:space="preserve">, ff. 3, 8; </w:t>
      </w:r>
      <w:hyperlink w:anchor="SENTENCIA_2016_182" w:history="1">
        <w:r w:rsidRPr="00427CF1">
          <w:rPr>
            <w:rStyle w:val="TextoNormalCaracter"/>
          </w:rPr>
          <w:t>182/2016</w:t>
        </w:r>
      </w:hyperlink>
      <w:r>
        <w:t>, ff. 1, 2.</w:t>
      </w:r>
    </w:p>
    <w:p w:rsidR="00427CF1" w:rsidRDefault="00427CF1" w:rsidP="00427CF1">
      <w:pPr>
        <w:pStyle w:val="SangriaFrancesaArticulo"/>
      </w:pPr>
      <w:r w:rsidRPr="00427CF1">
        <w:rPr>
          <w:rStyle w:val="TextoNormalNegritaCaracter"/>
        </w:rPr>
        <w:t>Artículo 38.1.</w:t>
      </w:r>
      <w:r w:rsidRPr="00427CF1">
        <w:rPr>
          <w:rStyle w:val="TextoNormalCaracter"/>
        </w:rPr>
        <w:t>-</w:t>
      </w:r>
      <w:r>
        <w:t xml:space="preserve"> Sentencia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Artículo 39.</w:t>
      </w:r>
      <w:r w:rsidRPr="00427CF1">
        <w:rPr>
          <w:rStyle w:val="TextoNormalCaracter"/>
        </w:rPr>
        <w:t>-</w:t>
      </w:r>
      <w:r>
        <w:t xml:space="preserve"> Sentencia </w:t>
      </w:r>
      <w:hyperlink w:anchor="SENTENCIA_2016_190" w:history="1">
        <w:r w:rsidRPr="00427CF1">
          <w:rPr>
            <w:rStyle w:val="TextoNormalCaracter"/>
          </w:rPr>
          <w:t>190/2016</w:t>
        </w:r>
      </w:hyperlink>
      <w:r>
        <w:t>, f. 2.</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82" w:history="1">
        <w:r w:rsidRPr="00427CF1">
          <w:rPr>
            <w:rStyle w:val="TextoNormalCaracter"/>
          </w:rPr>
          <w:t>182/2016</w:t>
        </w:r>
      </w:hyperlink>
      <w:r>
        <w:t>, ff. 1, 2, 4.</w:t>
      </w:r>
    </w:p>
    <w:p w:rsidR="00427CF1" w:rsidRDefault="00427CF1" w:rsidP="00427CF1">
      <w:pPr>
        <w:pStyle w:val="SangriaFrancesaArticulo"/>
      </w:pPr>
      <w:r w:rsidRPr="00427CF1">
        <w:rPr>
          <w:rStyle w:val="TextoNormalNegritaCaracter"/>
        </w:rPr>
        <w:t>Disposición adicional primera, apartado 2, último inciso.</w:t>
      </w:r>
      <w:r w:rsidRPr="00427CF1">
        <w:rPr>
          <w:rStyle w:val="TextoNormalCaracter"/>
        </w:rPr>
        <w:t>-</w:t>
      </w:r>
      <w:r>
        <w:t xml:space="preserve"> Sentencia </w:t>
      </w:r>
      <w:hyperlink w:anchor="SENTENCIA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Disposición adicional primera, apartado 4.</w:t>
      </w:r>
      <w:r w:rsidRPr="00427CF1">
        <w:rPr>
          <w:rStyle w:val="TextoNormalCaracter"/>
        </w:rPr>
        <w:t>-</w:t>
      </w:r>
      <w:r>
        <w:t xml:space="preserve"> Sentencia </w:t>
      </w:r>
      <w:hyperlink w:anchor="SENTENCIA_2016_182" w:history="1">
        <w:r w:rsidRPr="00427CF1">
          <w:rPr>
            <w:rStyle w:val="TextoNormalCaracter"/>
          </w:rPr>
          <w:t>182/2016</w:t>
        </w:r>
      </w:hyperlink>
      <w:r>
        <w:t>, ff. 1, 3.</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Sentencia </w:t>
      </w:r>
      <w:hyperlink w:anchor="SENTENCIA_2016_182" w:history="1">
        <w:r w:rsidRPr="00427CF1">
          <w:rPr>
            <w:rStyle w:val="TextoNormalCaracter"/>
          </w:rPr>
          <w:t>182/2016</w:t>
        </w:r>
      </w:hyperlink>
      <w:r>
        <w:t>, ff. 1, 2.</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Sentencias </w:t>
      </w:r>
      <w:hyperlink w:anchor="SENTENCIA_2016_165" w:history="1">
        <w:r w:rsidRPr="00427CF1">
          <w:rPr>
            <w:rStyle w:val="TextoNormalCaracter"/>
          </w:rPr>
          <w:t>165/2016</w:t>
        </w:r>
      </w:hyperlink>
      <w:r>
        <w:t xml:space="preserve">, f. 5; </w:t>
      </w:r>
      <w:hyperlink w:anchor="SENTENCIA_2016_182" w:history="1">
        <w:r w:rsidRPr="00427CF1">
          <w:rPr>
            <w:rStyle w:val="TextoNormalCaracter"/>
          </w:rPr>
          <w:t>182/2016</w:t>
        </w:r>
      </w:hyperlink>
      <w:r>
        <w:t>, ff. 1 a 3.</w:t>
      </w:r>
    </w:p>
    <w:p w:rsidR="00427CF1" w:rsidRDefault="00427CF1" w:rsidP="00427CF1">
      <w:pPr>
        <w:pStyle w:val="SangriaFrancesaArticulo"/>
      </w:pPr>
      <w:r w:rsidRPr="00427CF1">
        <w:rPr>
          <w:rStyle w:val="TextoNormalNegritaCaracter"/>
        </w:rPr>
        <w:t>Disposición adicional tercera, apartado 5.</w:t>
      </w:r>
      <w:r w:rsidRPr="00427CF1">
        <w:rPr>
          <w:rStyle w:val="TextoNormalCaracter"/>
        </w:rPr>
        <w:t>-</w:t>
      </w:r>
      <w:r>
        <w:t xml:space="preserve"> Sentencia </w:t>
      </w:r>
      <w:hyperlink w:anchor="SENTENCIA_2016_190" w:history="1">
        <w:r w:rsidRPr="00427CF1">
          <w:rPr>
            <w:rStyle w:val="TextoNormalCaracter"/>
          </w:rPr>
          <w:t>190/2016</w:t>
        </w:r>
      </w:hyperlink>
      <w:r>
        <w:t>, f. 1.</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65" w:history="1">
        <w:r w:rsidRPr="00427CF1">
          <w:rPr>
            <w:rStyle w:val="TextoNormalCaracter"/>
          </w:rPr>
          <w:t>165/2016</w:t>
        </w:r>
      </w:hyperlink>
      <w:r>
        <w:t>, ff. 3, 9.</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65" w:history="1">
        <w:r w:rsidRPr="00427CF1">
          <w:rPr>
            <w:rStyle w:val="TextoNormalCaracter"/>
          </w:rPr>
          <w:t>165/2016</w:t>
        </w:r>
      </w:hyperlink>
      <w:r>
        <w:t>, ff. 2, 9.</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165" w:history="1">
        <w:r w:rsidRPr="00427CF1">
          <w:rPr>
            <w:rStyle w:val="TextoNormalCaracter"/>
          </w:rPr>
          <w:t>165/2016</w:t>
        </w:r>
      </w:hyperlink>
      <w:r>
        <w:t>, ff. 2, 14.</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165" w:history="1">
        <w:r w:rsidRPr="00427CF1">
          <w:rPr>
            <w:rStyle w:val="TextoNormalCaracter"/>
          </w:rPr>
          <w:t>165/2016</w:t>
        </w:r>
      </w:hyperlink>
      <w:r>
        <w:t>, f. 2.</w:t>
      </w:r>
    </w:p>
    <w:p w:rsidR="00427CF1" w:rsidRDefault="00427CF1" w:rsidP="00427CF1">
      <w:pPr>
        <w:pStyle w:val="SangriaFrancesaArticulo"/>
      </w:pPr>
      <w:r w:rsidRPr="00427CF1">
        <w:rPr>
          <w:rStyle w:val="TextoNormalNegritaCaracter"/>
        </w:rPr>
        <w:t>Disposición final cuarta.</w:t>
      </w:r>
      <w:r w:rsidRPr="00427CF1">
        <w:rPr>
          <w:rStyle w:val="TextoNormalCaracter"/>
        </w:rPr>
        <w:t>-</w:t>
      </w:r>
      <w:r>
        <w:t xml:space="preserve"> Sentencia </w:t>
      </w:r>
      <w:hyperlink w:anchor="SENTENCIA_2016_165" w:history="1">
        <w:r w:rsidRPr="00427CF1">
          <w:rPr>
            <w:rStyle w:val="TextoNormalCaracter"/>
          </w:rPr>
          <w:t>165/2016</w:t>
        </w:r>
      </w:hyperlink>
      <w:r>
        <w:t>, f. 2.</w:t>
      </w:r>
    </w:p>
    <w:p w:rsidR="00427CF1" w:rsidRDefault="00427CF1" w:rsidP="00427CF1">
      <w:pPr>
        <w:pStyle w:val="SangriaFrancesaArticulo"/>
      </w:pPr>
      <w:r w:rsidRPr="00427CF1">
        <w:rPr>
          <w:rStyle w:val="TextoNormalNegritaCaracter"/>
        </w:rPr>
        <w:t>Disposición final quinta.</w:t>
      </w:r>
      <w:r w:rsidRPr="00427CF1">
        <w:rPr>
          <w:rStyle w:val="TextoNormalCaracter"/>
        </w:rPr>
        <w:t>-</w:t>
      </w:r>
      <w:r>
        <w:t xml:space="preserve"> Sentencia </w:t>
      </w:r>
      <w:hyperlink w:anchor="SENTENCIA_2016_165" w:history="1">
        <w:r w:rsidRPr="00427CF1">
          <w:rPr>
            <w:rStyle w:val="TextoNormalCaracter"/>
          </w:rPr>
          <w:t>165/2016</w:t>
        </w:r>
      </w:hyperlink>
      <w:r>
        <w:t>, f. 2.</w:t>
      </w:r>
    </w:p>
    <w:p w:rsidR="00427CF1" w:rsidRDefault="00427CF1" w:rsidP="00427CF1">
      <w:pPr>
        <w:pStyle w:val="SangriaFrancesaArticulo"/>
      </w:pPr>
      <w:r w:rsidRPr="00427CF1">
        <w:rPr>
          <w:rStyle w:val="TextoNormalNegritaCaracter"/>
        </w:rPr>
        <w:t>Disposición final undécima.</w:t>
      </w:r>
      <w:r w:rsidRPr="00427CF1">
        <w:rPr>
          <w:rStyle w:val="TextoNormalCaracter"/>
        </w:rPr>
        <w:t>-</w:t>
      </w:r>
      <w:r>
        <w:t xml:space="preserve"> Sentencias </w:t>
      </w:r>
      <w:hyperlink w:anchor="SENTENCIA_2016_165" w:history="1">
        <w:r w:rsidRPr="00427CF1">
          <w:rPr>
            <w:rStyle w:val="TextoNormalCaracter"/>
          </w:rPr>
          <w:t>165/2016</w:t>
        </w:r>
      </w:hyperlink>
      <w:r>
        <w:t xml:space="preserve">, ff. 1, 8; </w:t>
      </w:r>
      <w:hyperlink w:anchor="SENTENCIA_2016_182" w:history="1">
        <w:r w:rsidRPr="00427CF1">
          <w:rPr>
            <w:rStyle w:val="TextoNormalCaracter"/>
          </w:rPr>
          <w:t>182/2016</w:t>
        </w:r>
      </w:hyperlink>
      <w:r>
        <w:t xml:space="preserve">, ff. 1, 5; </w:t>
      </w:r>
      <w:hyperlink w:anchor="SENTENCIA_2016_190" w:history="1">
        <w:r w:rsidRPr="00427CF1">
          <w:rPr>
            <w:rStyle w:val="TextoNormalCaracter"/>
          </w:rPr>
          <w:t>190/2016</w:t>
        </w:r>
      </w:hyperlink>
      <w:r>
        <w:t>, ff. 1, 2.</w:t>
      </w:r>
    </w:p>
    <w:p w:rsidR="00427CF1" w:rsidRDefault="00427CF1" w:rsidP="00427CF1">
      <w:pPr>
        <w:pStyle w:val="SangriaFrancesaArticulo"/>
      </w:pPr>
      <w:r w:rsidRPr="00427CF1">
        <w:rPr>
          <w:rStyle w:val="TextoNormalNegritaCaracter"/>
        </w:rPr>
        <w:t>Disposición final decimocuarta.</w:t>
      </w:r>
      <w:r w:rsidRPr="00427CF1">
        <w:rPr>
          <w:rStyle w:val="TextoNormalCaracter"/>
        </w:rPr>
        <w:t>-</w:t>
      </w:r>
      <w:r>
        <w:t xml:space="preserve"> Sentencias </w:t>
      </w:r>
      <w:hyperlink w:anchor="SENTENCIA_2016_165" w:history="1">
        <w:r w:rsidRPr="00427CF1">
          <w:rPr>
            <w:rStyle w:val="TextoNormalCaracter"/>
          </w:rPr>
          <w:t>165/2016</w:t>
        </w:r>
      </w:hyperlink>
      <w:r>
        <w:t xml:space="preserve">, f. 3; </w:t>
      </w:r>
      <w:hyperlink w:anchor="SENTENCIA_2016_182" w:history="1">
        <w:r w:rsidRPr="00427CF1">
          <w:rPr>
            <w:rStyle w:val="TextoNormalCaracter"/>
          </w:rPr>
          <w:t>182/2016</w:t>
        </w:r>
      </w:hyperlink>
      <w:r>
        <w:t>, ff. 1, 5.</w:t>
      </w:r>
    </w:p>
    <w:p w:rsidR="00427CF1" w:rsidRDefault="00427CF1" w:rsidP="00427CF1">
      <w:pPr>
        <w:pStyle w:val="SangriaFrancesaArticulo"/>
      </w:pPr>
    </w:p>
    <w:p w:rsidR="00427CF1" w:rsidRDefault="00427CF1" w:rsidP="00427CF1">
      <w:pPr>
        <w:pStyle w:val="TextoNormalNegritaCursivandice"/>
      </w:pPr>
      <w:r>
        <w:t>Ley 2/2011, de 4 de marzo. Economía sostenible</w:t>
      </w:r>
    </w:p>
    <w:p w:rsidR="00427CF1" w:rsidRDefault="00427CF1" w:rsidP="00427CF1">
      <w:pPr>
        <w:pStyle w:val="SangriaFrancesaArticulo"/>
      </w:pPr>
      <w:r w:rsidRPr="00427CF1">
        <w:rPr>
          <w:rStyle w:val="TextoNormalNegritaCaracter"/>
        </w:rPr>
        <w:t>Artículo 40.</w:t>
      </w:r>
      <w:r w:rsidRPr="00427CF1">
        <w:rPr>
          <w:rStyle w:val="TextoNormalCaracter"/>
        </w:rPr>
        <w:t>-</w:t>
      </w:r>
      <w:r>
        <w:t xml:space="preserve"> Sentencia </w:t>
      </w:r>
      <w:hyperlink w:anchor="SENTENCIA_2016_155" w:history="1">
        <w:r w:rsidRPr="00427CF1">
          <w:rPr>
            <w:rStyle w:val="TextoNormalCaracter"/>
          </w:rPr>
          <w:t>155/2016</w:t>
        </w:r>
      </w:hyperlink>
      <w:r>
        <w:t>, f. 5.</w:t>
      </w:r>
    </w:p>
    <w:p w:rsidR="00427CF1" w:rsidRDefault="00427CF1" w:rsidP="00427CF1">
      <w:pPr>
        <w:pStyle w:val="SangriaFrancesaArticulo"/>
      </w:pPr>
    </w:p>
    <w:p w:rsidR="00427CF1" w:rsidRDefault="00427CF1" w:rsidP="00427CF1">
      <w:pPr>
        <w:pStyle w:val="TextoNormalNegritaCursivandice"/>
      </w:pPr>
      <w:r>
        <w:t>Ley 8/2011, de 28 de abril. Establece medidas para la protección de las infraestructuras críticas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2 d).</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2 e).</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2 f).</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p>
    <w:p w:rsidR="00427CF1" w:rsidRDefault="00427CF1" w:rsidP="00427CF1">
      <w:pPr>
        <w:pStyle w:val="TextoNormalNegritaCursivandice"/>
      </w:pPr>
      <w:r>
        <w:t>Ley 14/2011, de 1 de junio. De la Ciencia, la Tecnología y la Innovación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4" w:history="1">
        <w:r w:rsidRPr="00427CF1">
          <w:rPr>
            <w:rStyle w:val="TextoNormalCaracter"/>
          </w:rPr>
          <w:t>194/2016</w:t>
        </w:r>
      </w:hyperlink>
      <w:r>
        <w:t>, f. 3.</w:t>
      </w:r>
    </w:p>
    <w:p w:rsidR="00427CF1" w:rsidRDefault="00427CF1" w:rsidP="00427CF1">
      <w:pPr>
        <w:pStyle w:val="SangriaFrancesaArticulo"/>
      </w:pPr>
    </w:p>
    <w:p w:rsidR="00427CF1" w:rsidRDefault="00427CF1" w:rsidP="00427CF1">
      <w:pPr>
        <w:pStyle w:val="TextoNormalNegritaCursivandice"/>
      </w:pPr>
      <w:r>
        <w:t>Ley 27/2011, de 1 de agosto. Actualización, adecuación y modernización del sistema de Seguridad Social</w:t>
      </w:r>
    </w:p>
    <w:p w:rsidR="00427CF1" w:rsidRDefault="00427CF1" w:rsidP="00427CF1">
      <w:pPr>
        <w:pStyle w:val="SangriaFrancesaArticulo"/>
      </w:pPr>
      <w:r w:rsidRPr="00427CF1">
        <w:rPr>
          <w:rStyle w:val="TextoNormalNegritaCaracter"/>
        </w:rPr>
        <w:t>Disposición adicional decimosexta.</w:t>
      </w:r>
      <w:r w:rsidRPr="00427CF1">
        <w:rPr>
          <w:rStyle w:val="TextoNormalCaracter"/>
        </w:rPr>
        <w:t>-</w:t>
      </w:r>
      <w:r>
        <w:t xml:space="preserve"> Auto </w:t>
      </w:r>
      <w:hyperlink w:anchor="AUTO_2016_184" w:history="1">
        <w:r w:rsidRPr="00427CF1">
          <w:rPr>
            <w:rStyle w:val="TextoNormalCaracter"/>
          </w:rPr>
          <w:t>184/2016</w:t>
        </w:r>
      </w:hyperlink>
      <w:r>
        <w:t>, f. 1.</w:t>
      </w:r>
    </w:p>
    <w:p w:rsidR="00427CF1" w:rsidRDefault="00427CF1" w:rsidP="00427CF1">
      <w:pPr>
        <w:pStyle w:val="SangriaFrancesaArticulo"/>
      </w:pPr>
      <w:r w:rsidRPr="00427CF1">
        <w:rPr>
          <w:rStyle w:val="TextoNormalNegritaCaracter"/>
        </w:rPr>
        <w:t>Disposición adicional decimosexta, apartado 4.</w:t>
      </w:r>
      <w:r w:rsidRPr="00427CF1">
        <w:rPr>
          <w:rStyle w:val="TextoNormalCaracter"/>
        </w:rPr>
        <w:t>-</w:t>
      </w:r>
      <w:r>
        <w:t xml:space="preserve"> Auto </w:t>
      </w:r>
      <w:hyperlink w:anchor="AUTO_2016_184" w:history="1">
        <w:r w:rsidRPr="00427CF1">
          <w:rPr>
            <w:rStyle w:val="TextoNormalCaracter"/>
          </w:rPr>
          <w:t>184/2016</w:t>
        </w:r>
      </w:hyperlink>
      <w:r>
        <w:t>, f. 1.</w:t>
      </w:r>
    </w:p>
    <w:p w:rsidR="00427CF1" w:rsidRDefault="00427CF1" w:rsidP="00427CF1">
      <w:pPr>
        <w:pStyle w:val="SangriaFrancesaArticulo"/>
      </w:pPr>
    </w:p>
    <w:p w:rsidR="00427CF1" w:rsidRDefault="00427CF1" w:rsidP="00427CF1">
      <w:pPr>
        <w:pStyle w:val="TextoNormalNegritaCursivandice"/>
      </w:pPr>
      <w:r>
        <w:t>Ley 33/2011, de 4 de octubre. General de salud pública</w:t>
      </w:r>
    </w:p>
    <w:p w:rsidR="00427CF1" w:rsidRDefault="00427CF1" w:rsidP="00427CF1">
      <w:pPr>
        <w:pStyle w:val="SangriaFrancesaArticulo"/>
      </w:pPr>
      <w:r w:rsidRPr="00427CF1">
        <w:rPr>
          <w:rStyle w:val="TextoNormalNegritaCaracter"/>
        </w:rPr>
        <w:t>Disposición adicional sexta.</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p>
    <w:p w:rsidR="00427CF1" w:rsidRDefault="00427CF1" w:rsidP="00427CF1">
      <w:pPr>
        <w:pStyle w:val="TextoNormalNegritaCursivandice"/>
      </w:pPr>
      <w:r>
        <w:t>Ley 36/2011, de 10 de octubre. Reguladora de la jurisdicción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3" w:history="1">
        <w:r w:rsidRPr="00427CF1">
          <w:rPr>
            <w:rStyle w:val="TextoNormalCaracter"/>
          </w:rPr>
          <w:t>173/2016</w:t>
        </w:r>
      </w:hyperlink>
      <w:r>
        <w:t>, f. 1.</w:t>
      </w:r>
    </w:p>
    <w:p w:rsidR="00427CF1" w:rsidRDefault="00427CF1" w:rsidP="00427CF1">
      <w:pPr>
        <w:pStyle w:val="SangriaFrancesaArticulo"/>
      </w:pPr>
      <w:r w:rsidRPr="00427CF1">
        <w:rPr>
          <w:rStyle w:val="TextoNormalNegritaCaracter"/>
        </w:rPr>
        <w:t>Artículo 17.5.</w:t>
      </w:r>
      <w:r w:rsidRPr="00427CF1">
        <w:rPr>
          <w:rStyle w:val="TextoNormalCaracter"/>
        </w:rPr>
        <w:t>-</w:t>
      </w:r>
      <w:r>
        <w:t xml:space="preserve"> Sentencia </w:t>
      </w:r>
      <w:hyperlink w:anchor="SENTENCIA_2016_147" w:history="1">
        <w:r w:rsidRPr="00427CF1">
          <w:rPr>
            <w:rStyle w:val="TextoNormalCaracter"/>
          </w:rPr>
          <w:t>147/2016</w:t>
        </w:r>
      </w:hyperlink>
      <w:r>
        <w:t>, f. 4.</w:t>
      </w:r>
    </w:p>
    <w:p w:rsidR="00427CF1" w:rsidRDefault="00427CF1" w:rsidP="00427CF1">
      <w:pPr>
        <w:pStyle w:val="SangriaFrancesaArticulo"/>
      </w:pPr>
      <w:r w:rsidRPr="00427CF1">
        <w:rPr>
          <w:rStyle w:val="TextoNormalNegritaCaracter"/>
        </w:rPr>
        <w:t>Artículo 26.2.</w:t>
      </w:r>
      <w:r w:rsidRPr="00427CF1">
        <w:rPr>
          <w:rStyle w:val="TextoNormalCaracter"/>
        </w:rPr>
        <w:t>-</w:t>
      </w:r>
      <w:r>
        <w:t xml:space="preserve"> Sentencia </w:t>
      </w:r>
      <w:hyperlink w:anchor="SENTENCIA_2016_149" w:history="1">
        <w:r w:rsidRPr="00427CF1">
          <w:rPr>
            <w:rStyle w:val="TextoNormalCaracter"/>
          </w:rPr>
          <w:t>149/2016</w:t>
        </w:r>
      </w:hyperlink>
      <w:r>
        <w:t>, ff. 2, 4.</w:t>
      </w:r>
    </w:p>
    <w:p w:rsidR="00427CF1" w:rsidRDefault="00427CF1" w:rsidP="00427CF1">
      <w:pPr>
        <w:pStyle w:val="SangriaFrancesaArticulo"/>
      </w:pPr>
      <w:r w:rsidRPr="00427CF1">
        <w:rPr>
          <w:rStyle w:val="TextoNormalNegritaCaracter"/>
        </w:rPr>
        <w:t>Artículo 110.1.</w:t>
      </w:r>
      <w:r w:rsidRPr="00427CF1">
        <w:rPr>
          <w:rStyle w:val="TextoNormalCaracter"/>
        </w:rPr>
        <w:t>-</w:t>
      </w:r>
      <w:r>
        <w:t xml:space="preserve"> Sentencia </w:t>
      </w:r>
      <w:hyperlink w:anchor="SENTENCIA_2016_176" w:history="1">
        <w:r w:rsidRPr="00427CF1">
          <w:rPr>
            <w:rStyle w:val="TextoNormalCaracter"/>
          </w:rPr>
          <w:t>176/2016</w:t>
        </w:r>
      </w:hyperlink>
      <w:r>
        <w:t>, f. 1.</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r w:rsidRPr="00427CF1">
        <w:rPr>
          <w:rStyle w:val="TextoNormalNegritaCaracter"/>
        </w:rPr>
        <w:t>Artículo 111 b) párrafo 2.</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r w:rsidRPr="00427CF1">
        <w:rPr>
          <w:rStyle w:val="TextoNormalNegritaCaracter"/>
        </w:rPr>
        <w:t>Artículo 138.6.</w:t>
      </w:r>
      <w:r w:rsidRPr="00427CF1">
        <w:rPr>
          <w:rStyle w:val="TextoNormalCaracter"/>
        </w:rPr>
        <w:t>-</w:t>
      </w:r>
      <w:r>
        <w:t xml:space="preserve"> Sentencia </w:t>
      </w:r>
      <w:hyperlink w:anchor="SENTENCIA_2016_149" w:history="1">
        <w:r w:rsidRPr="00427CF1">
          <w:rPr>
            <w:rStyle w:val="TextoNormalCaracter"/>
          </w:rPr>
          <w:t>149/2016</w:t>
        </w:r>
      </w:hyperlink>
      <w:r>
        <w:t>, f. 4.</w:t>
      </w:r>
    </w:p>
    <w:p w:rsidR="00427CF1" w:rsidRDefault="00427CF1" w:rsidP="00427CF1">
      <w:pPr>
        <w:pStyle w:val="SangriaFrancesaArticulo"/>
      </w:pPr>
      <w:r w:rsidRPr="00427CF1">
        <w:rPr>
          <w:rStyle w:val="TextoNormalNegritaCaracter"/>
        </w:rPr>
        <w:t>Artículo 177.</w:t>
      </w:r>
      <w:r w:rsidRPr="00427CF1">
        <w:rPr>
          <w:rStyle w:val="TextoNormalCaracter"/>
        </w:rPr>
        <w:t>-</w:t>
      </w:r>
      <w:r>
        <w:t xml:space="preserve"> Sentencia </w:t>
      </w:r>
      <w:hyperlink w:anchor="SENTENCIA_2016_149" w:history="1">
        <w:r w:rsidRPr="00427CF1">
          <w:rPr>
            <w:rStyle w:val="TextoNormalCaracter"/>
          </w:rPr>
          <w:t>149/2016</w:t>
        </w:r>
      </w:hyperlink>
      <w:r>
        <w:t>, f. 1.</w:t>
      </w:r>
    </w:p>
    <w:p w:rsidR="00427CF1" w:rsidRDefault="00427CF1" w:rsidP="00427CF1">
      <w:pPr>
        <w:pStyle w:val="SangriaFrancesaArticulo"/>
      </w:pPr>
      <w:r w:rsidRPr="00427CF1">
        <w:rPr>
          <w:rStyle w:val="TextoNormalNegritaCaracter"/>
        </w:rPr>
        <w:t>Artículo 178.2.</w:t>
      </w:r>
      <w:r w:rsidRPr="00427CF1">
        <w:rPr>
          <w:rStyle w:val="TextoNormalCaracter"/>
        </w:rPr>
        <w:t>-</w:t>
      </w:r>
      <w:r>
        <w:t xml:space="preserve"> Sentencia </w:t>
      </w:r>
      <w:hyperlink w:anchor="SENTENCIA_2016_149" w:history="1">
        <w:r w:rsidRPr="00427CF1">
          <w:rPr>
            <w:rStyle w:val="TextoNormalCaracter"/>
          </w:rPr>
          <w:t>149/2016</w:t>
        </w:r>
      </w:hyperlink>
      <w:r>
        <w:t>, ff. 1, 4.</w:t>
      </w:r>
    </w:p>
    <w:p w:rsidR="00427CF1" w:rsidRDefault="00427CF1" w:rsidP="00427CF1">
      <w:pPr>
        <w:pStyle w:val="SangriaFrancesaArticulo"/>
      </w:pPr>
      <w:r w:rsidRPr="00427CF1">
        <w:rPr>
          <w:rStyle w:val="TextoNormalNegritaCaracter"/>
        </w:rPr>
        <w:t>Artículo 184.</w:t>
      </w:r>
      <w:r w:rsidRPr="00427CF1">
        <w:rPr>
          <w:rStyle w:val="TextoNormalCaracter"/>
        </w:rPr>
        <w:t>-</w:t>
      </w:r>
      <w:r>
        <w:t xml:space="preserve"> Sentencia </w:t>
      </w:r>
      <w:hyperlink w:anchor="SENTENCIA_2016_149" w:history="1">
        <w:r w:rsidRPr="00427CF1">
          <w:rPr>
            <w:rStyle w:val="TextoNormalCaracter"/>
          </w:rPr>
          <w:t>149/2016</w:t>
        </w:r>
      </w:hyperlink>
      <w:r>
        <w:t>, ff. 1, 2, 4, 5.</w:t>
      </w:r>
    </w:p>
    <w:p w:rsidR="00427CF1" w:rsidRDefault="00427CF1" w:rsidP="00427CF1">
      <w:pPr>
        <w:pStyle w:val="SangriaFrancesaArticulo"/>
      </w:pPr>
      <w:r w:rsidRPr="00427CF1">
        <w:rPr>
          <w:rStyle w:val="TextoNormalNegritaCaracter"/>
        </w:rPr>
        <w:t xml:space="preserve">Artículo 184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9" w:history="1">
        <w:r w:rsidRPr="00427CF1">
          <w:rPr>
            <w:rStyle w:val="TextoNormalCaracter"/>
          </w:rPr>
          <w:t>149/2016</w:t>
        </w:r>
      </w:hyperlink>
      <w:r>
        <w:t>, f. 2.</w:t>
      </w:r>
    </w:p>
    <w:p w:rsidR="00427CF1" w:rsidRDefault="00427CF1" w:rsidP="00427CF1">
      <w:pPr>
        <w:pStyle w:val="SangriaFrancesaArticulo"/>
      </w:pPr>
      <w:r w:rsidRPr="00427CF1">
        <w:rPr>
          <w:rStyle w:val="TextoNormalNegritaCaracter"/>
        </w:rPr>
        <w:t>Artículo 190 a 204.</w:t>
      </w:r>
      <w:r w:rsidRPr="00427CF1">
        <w:rPr>
          <w:rStyle w:val="TextoNormalCaracter"/>
        </w:rPr>
        <w:t>-</w:t>
      </w:r>
      <w:r>
        <w:t xml:space="preserve"> Sentencia </w:t>
      </w:r>
      <w:hyperlink w:anchor="SENTENCIA_2016_147" w:history="1">
        <w:r w:rsidRPr="00427CF1">
          <w:rPr>
            <w:rStyle w:val="TextoNormalCaracter"/>
          </w:rPr>
          <w:t>147/2016</w:t>
        </w:r>
      </w:hyperlink>
      <w:r>
        <w:t>, f. 4.</w:t>
      </w:r>
    </w:p>
    <w:p w:rsidR="00427CF1" w:rsidRDefault="00427CF1" w:rsidP="00427CF1">
      <w:pPr>
        <w:pStyle w:val="SangriaFrancesaArticulo"/>
      </w:pPr>
      <w:r w:rsidRPr="00427CF1">
        <w:rPr>
          <w:rStyle w:val="TextoNormalNegritaCaracter"/>
        </w:rPr>
        <w:t>Artículo 191.</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191.3.</w:t>
      </w:r>
      <w:r w:rsidRPr="00427CF1">
        <w:rPr>
          <w:rStyle w:val="TextoNormalCaracter"/>
        </w:rPr>
        <w:t>-</w:t>
      </w:r>
      <w:r>
        <w:t xml:space="preserve"> Sentencia </w:t>
      </w:r>
      <w:hyperlink w:anchor="SENTENCIA_2016_149" w:history="1">
        <w:r w:rsidRPr="00427CF1">
          <w:rPr>
            <w:rStyle w:val="TextoNormalCaracter"/>
          </w:rPr>
          <w:t>149/2016</w:t>
        </w:r>
      </w:hyperlink>
      <w:r>
        <w:t>, f. 4.</w:t>
      </w:r>
    </w:p>
    <w:p w:rsidR="00427CF1" w:rsidRDefault="00427CF1" w:rsidP="00427CF1">
      <w:pPr>
        <w:pStyle w:val="SangriaFrancesaArticulo"/>
      </w:pPr>
      <w:r w:rsidRPr="00427CF1">
        <w:rPr>
          <w:rStyle w:val="TextoNormalNegritaCaracter"/>
        </w:rPr>
        <w:t>Artículo 191.3 f).</w:t>
      </w:r>
      <w:r w:rsidRPr="00427CF1">
        <w:rPr>
          <w:rStyle w:val="TextoNormalCaracter"/>
        </w:rPr>
        <w:t>-</w:t>
      </w:r>
      <w:r>
        <w:t xml:space="preserve"> Sentencia </w:t>
      </w:r>
      <w:hyperlink w:anchor="SENTENCIA_2016_149" w:history="1">
        <w:r w:rsidRPr="00427CF1">
          <w:rPr>
            <w:rStyle w:val="TextoNormalCaracter"/>
          </w:rPr>
          <w:t>149/2016</w:t>
        </w:r>
      </w:hyperlink>
      <w:r>
        <w:t>, ff. 1, 2, 4, 5.</w:t>
      </w:r>
    </w:p>
    <w:p w:rsidR="00427CF1" w:rsidRDefault="00427CF1" w:rsidP="00427CF1">
      <w:pPr>
        <w:pStyle w:val="SangriaFrancesaArticulo"/>
      </w:pPr>
      <w:r w:rsidRPr="00427CF1">
        <w:rPr>
          <w:rStyle w:val="TextoNormalNegritaCaracter"/>
        </w:rPr>
        <w:t>Artículo 192.2 párrafo 2.</w:t>
      </w:r>
      <w:r w:rsidRPr="00427CF1">
        <w:rPr>
          <w:rStyle w:val="TextoNormalCaracter"/>
        </w:rPr>
        <w:t>-</w:t>
      </w:r>
      <w:r>
        <w:t xml:space="preserve"> Sentencia </w:t>
      </w:r>
      <w:hyperlink w:anchor="SENTENCIA_2016_149" w:history="1">
        <w:r w:rsidRPr="00427CF1">
          <w:rPr>
            <w:rStyle w:val="TextoNormalCaracter"/>
          </w:rPr>
          <w:t>149/2016</w:t>
        </w:r>
      </w:hyperlink>
      <w:r>
        <w:t>, f. 4.</w:t>
      </w:r>
    </w:p>
    <w:p w:rsidR="00427CF1" w:rsidRDefault="00427CF1" w:rsidP="00427CF1">
      <w:pPr>
        <w:pStyle w:val="SangriaFrancesaArticulo"/>
      </w:pPr>
      <w:r w:rsidRPr="00427CF1">
        <w:rPr>
          <w:rStyle w:val="TextoNormalNegritaCaracter"/>
        </w:rPr>
        <w:t>Artículo 197.</w:t>
      </w:r>
      <w:r w:rsidRPr="00427CF1">
        <w:rPr>
          <w:rStyle w:val="TextoNormalCaracter"/>
        </w:rPr>
        <w:t>-</w:t>
      </w:r>
      <w:r>
        <w:t xml:space="preserve"> Sentencia </w:t>
      </w:r>
      <w:hyperlink w:anchor="SENTENCIA_2016_147" w:history="1">
        <w:r w:rsidRPr="00427CF1">
          <w:rPr>
            <w:rStyle w:val="TextoNormalCaracter"/>
          </w:rPr>
          <w:t>147/2016</w:t>
        </w:r>
      </w:hyperlink>
      <w:r>
        <w:t>, f. 4.</w:t>
      </w:r>
    </w:p>
    <w:p w:rsidR="00427CF1" w:rsidRDefault="00427CF1" w:rsidP="00427CF1">
      <w:pPr>
        <w:pStyle w:val="SangriaFrancesaArticulo"/>
      </w:pPr>
      <w:r w:rsidRPr="00427CF1">
        <w:rPr>
          <w:rStyle w:val="TextoNormalNegritaCaracter"/>
        </w:rPr>
        <w:t>Artículo 205.</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218.</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219.</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226.2.</w:t>
      </w:r>
      <w:r w:rsidRPr="00427CF1">
        <w:rPr>
          <w:rStyle w:val="TextoNormalCaracter"/>
        </w:rPr>
        <w:t>-</w:t>
      </w:r>
      <w:r>
        <w:t xml:space="preserve"> Sentencia </w:t>
      </w:r>
      <w:hyperlink w:anchor="SENTENCIA_2016_147" w:history="1">
        <w:r w:rsidRPr="00427CF1">
          <w:rPr>
            <w:rStyle w:val="TextoNormalCaracter"/>
          </w:rPr>
          <w:t>147/2016</w:t>
        </w:r>
      </w:hyperlink>
      <w:r>
        <w:t>, f. 4.</w:t>
      </w:r>
    </w:p>
    <w:p w:rsidR="00427CF1" w:rsidRDefault="00427CF1" w:rsidP="00427CF1">
      <w:pPr>
        <w:pStyle w:val="SangriaFrancesaArticulo"/>
      </w:pPr>
      <w:r w:rsidRPr="00427CF1">
        <w:rPr>
          <w:rStyle w:val="TextoNormalNegritaCaracter"/>
        </w:rPr>
        <w:t>Artículo 229.4.</w:t>
      </w:r>
      <w:r w:rsidRPr="00427CF1">
        <w:rPr>
          <w:rStyle w:val="TextoNormalCaracter"/>
        </w:rPr>
        <w:t>-</w:t>
      </w:r>
      <w:r>
        <w:t xml:space="preserve"> Sentencias </w:t>
      </w:r>
      <w:hyperlink w:anchor="SENTENCIA_2016_166" w:history="1">
        <w:r w:rsidRPr="00427CF1">
          <w:rPr>
            <w:rStyle w:val="TextoNormalCaracter"/>
          </w:rPr>
          <w:t>166/2016</w:t>
        </w:r>
      </w:hyperlink>
      <w:r>
        <w:t xml:space="preserve">, f. 4; </w:t>
      </w:r>
      <w:hyperlink w:anchor="SENTENCIA_2016_173" w:history="1">
        <w:r w:rsidRPr="00427CF1">
          <w:rPr>
            <w:rStyle w:val="TextoNormalCaracter"/>
          </w:rPr>
          <w:t>173/2016</w:t>
        </w:r>
      </w:hyperlink>
      <w:r>
        <w:t>, f. 4.</w:t>
      </w:r>
    </w:p>
    <w:p w:rsidR="00427CF1" w:rsidRDefault="00427CF1" w:rsidP="00427CF1">
      <w:pPr>
        <w:pStyle w:val="SangriaFrancesaArticulo"/>
      </w:pPr>
      <w:r w:rsidRPr="00427CF1">
        <w:rPr>
          <w:rStyle w:val="TextoNormalNegritaCaracter"/>
        </w:rPr>
        <w:t>Artículo 230.</w:t>
      </w:r>
      <w:r w:rsidRPr="00427CF1">
        <w:rPr>
          <w:rStyle w:val="TextoNormalCaracter"/>
        </w:rPr>
        <w:t>-</w:t>
      </w:r>
      <w:r>
        <w:t xml:space="preserve"> Sentencias </w:t>
      </w:r>
      <w:hyperlink w:anchor="SENTENCIA_2016_166" w:history="1">
        <w:r w:rsidRPr="00427CF1">
          <w:rPr>
            <w:rStyle w:val="TextoNormalCaracter"/>
          </w:rPr>
          <w:t>166/2016</w:t>
        </w:r>
      </w:hyperlink>
      <w:r>
        <w:t xml:space="preserve">, f. 5; </w:t>
      </w:r>
      <w:hyperlink w:anchor="SENTENCIA_2016_173" w:history="1">
        <w:r w:rsidRPr="00427CF1">
          <w:rPr>
            <w:rStyle w:val="TextoNormalCaracter"/>
          </w:rPr>
          <w:t>173/2016</w:t>
        </w:r>
      </w:hyperlink>
      <w:r>
        <w:t xml:space="preserve">, f. 5; </w:t>
      </w:r>
      <w:hyperlink w:anchor="SENTENCIA_2016_176" w:history="1">
        <w:r w:rsidRPr="00427CF1">
          <w:rPr>
            <w:rStyle w:val="TextoNormalCaracter"/>
          </w:rPr>
          <w:t>176/2016</w:t>
        </w:r>
      </w:hyperlink>
      <w:r>
        <w:t>, f. 1.</w:t>
      </w:r>
    </w:p>
    <w:p w:rsidR="00427CF1" w:rsidRDefault="00427CF1" w:rsidP="00427CF1">
      <w:pPr>
        <w:pStyle w:val="SangriaFrancesaArticulo"/>
      </w:pPr>
      <w:r w:rsidRPr="00427CF1">
        <w:rPr>
          <w:rStyle w:val="TextoNormalNegritaCaracter"/>
        </w:rPr>
        <w:t>Artículo 230.1.</w:t>
      </w:r>
      <w:r w:rsidRPr="00427CF1">
        <w:rPr>
          <w:rStyle w:val="TextoNormalCaracter"/>
        </w:rPr>
        <w:t>-</w:t>
      </w:r>
      <w:r>
        <w:t xml:space="preserve"> Sentencias </w:t>
      </w:r>
      <w:hyperlink w:anchor="SENTENCIA_2016_166" w:history="1">
        <w:r w:rsidRPr="00427CF1">
          <w:rPr>
            <w:rStyle w:val="TextoNormalCaracter"/>
          </w:rPr>
          <w:t>166/2016</w:t>
        </w:r>
      </w:hyperlink>
      <w:r>
        <w:t xml:space="preserve">, ff. 1, 4, 5; </w:t>
      </w:r>
      <w:hyperlink w:anchor="SENTENCIA_2016_173" w:history="1">
        <w:r w:rsidRPr="00427CF1">
          <w:rPr>
            <w:rStyle w:val="TextoNormalCaracter"/>
          </w:rPr>
          <w:t>173/2016</w:t>
        </w:r>
      </w:hyperlink>
      <w:r>
        <w:t xml:space="preserve">, ff. 1, 4, 5; </w:t>
      </w:r>
      <w:hyperlink w:anchor="SENTENCIA_2016_176" w:history="1">
        <w:r w:rsidRPr="00427CF1">
          <w:rPr>
            <w:rStyle w:val="TextoNormalCaracter"/>
          </w:rPr>
          <w:t>176/2016</w:t>
        </w:r>
      </w:hyperlink>
      <w:r>
        <w:t>, ff. 1, 3.</w:t>
      </w:r>
    </w:p>
    <w:p w:rsidR="00427CF1" w:rsidRDefault="00427CF1" w:rsidP="00427CF1">
      <w:pPr>
        <w:pStyle w:val="SangriaFrancesaArticulo"/>
      </w:pPr>
      <w:r w:rsidRPr="00427CF1">
        <w:rPr>
          <w:rStyle w:val="TextoNormalNegritaCaracter"/>
        </w:rPr>
        <w:t>Artículo 230.4.</w:t>
      </w:r>
      <w:r w:rsidRPr="00427CF1">
        <w:rPr>
          <w:rStyle w:val="TextoNormalCaracter"/>
        </w:rPr>
        <w:t>-</w:t>
      </w:r>
      <w:r>
        <w:t xml:space="preserve"> Sentencias </w:t>
      </w:r>
      <w:hyperlink w:anchor="SENTENCIA_2016_166" w:history="1">
        <w:r w:rsidRPr="00427CF1">
          <w:rPr>
            <w:rStyle w:val="TextoNormalCaracter"/>
          </w:rPr>
          <w:t>166/2016</w:t>
        </w:r>
      </w:hyperlink>
      <w:r>
        <w:t xml:space="preserve">, f. 4; </w:t>
      </w:r>
      <w:hyperlink w:anchor="SENTENCIA_2016_173" w:history="1">
        <w:r w:rsidRPr="00427CF1">
          <w:rPr>
            <w:rStyle w:val="TextoNormalCaracter"/>
          </w:rPr>
          <w:t>173/2016</w:t>
        </w:r>
      </w:hyperlink>
      <w:r>
        <w:t>, f. 4.</w:t>
      </w:r>
    </w:p>
    <w:p w:rsidR="00427CF1" w:rsidRDefault="00427CF1" w:rsidP="00427CF1">
      <w:pPr>
        <w:pStyle w:val="SangriaFrancesaArticulo"/>
      </w:pPr>
      <w:r w:rsidRPr="00427CF1">
        <w:rPr>
          <w:rStyle w:val="TextoNormalNegritaCaracter"/>
        </w:rPr>
        <w:t>Artículo 235.</w:t>
      </w:r>
      <w:r w:rsidRPr="00427CF1">
        <w:rPr>
          <w:rStyle w:val="TextoNormalCaracter"/>
        </w:rPr>
        <w:t>-</w:t>
      </w:r>
      <w:r>
        <w:t xml:space="preserve"> Sentencias </w:t>
      </w:r>
      <w:hyperlink w:anchor="SENTENCIA_2016_140" w:history="1">
        <w:r w:rsidRPr="00427CF1">
          <w:rPr>
            <w:rStyle w:val="TextoNormalCaracter"/>
          </w:rPr>
          <w:t>140/2016</w:t>
        </w:r>
      </w:hyperlink>
      <w:r>
        <w:t xml:space="preserve">, f. 12; </w:t>
      </w:r>
      <w:hyperlink w:anchor="SENTENCIA_2016_227" w:history="1">
        <w:r w:rsidRPr="00427CF1">
          <w:rPr>
            <w:rStyle w:val="TextoNormalCaracter"/>
          </w:rPr>
          <w:t>227/2016</w:t>
        </w:r>
      </w:hyperlink>
      <w:r>
        <w:t>, f. 4.</w:t>
      </w:r>
    </w:p>
    <w:p w:rsidR="00427CF1" w:rsidRDefault="00427CF1" w:rsidP="00427CF1">
      <w:pPr>
        <w:pStyle w:val="SangriaFrancesaArticulo"/>
      </w:pPr>
      <w:r w:rsidRPr="00427CF1">
        <w:rPr>
          <w:rStyle w:val="TextoNormalNegritaCaracter"/>
        </w:rPr>
        <w:t>Artículo 297.</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p>
    <w:p w:rsidR="00427CF1" w:rsidRDefault="00427CF1" w:rsidP="00427CF1">
      <w:pPr>
        <w:pStyle w:val="TextoNormalNegritaCursivandice"/>
      </w:pPr>
      <w:r>
        <w:t>Ley 37/2011, de 10 de octubre. Medidas de agilización procesal</w:t>
      </w:r>
    </w:p>
    <w:p w:rsidR="00427CF1" w:rsidRDefault="00427CF1" w:rsidP="00427CF1">
      <w:pPr>
        <w:pStyle w:val="SangriaFrancesaArticulo"/>
      </w:pPr>
      <w:r w:rsidRPr="00427CF1">
        <w:rPr>
          <w:rStyle w:val="TextoNormalNegritaCaracter"/>
        </w:rPr>
        <w:t>Artículo 3.11.</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2/2012, de 29 de junio. Presupuestos Generales del Estado para el año 2012</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0" w:history="1">
        <w:r w:rsidRPr="00427CF1">
          <w:rPr>
            <w:rStyle w:val="TextoNormalCaracter"/>
          </w:rPr>
          <w:t>160/2016</w:t>
        </w:r>
      </w:hyperlink>
      <w:r>
        <w:t xml:space="preserve">, f. 3;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Auto </w:t>
      </w:r>
      <w:hyperlink w:anchor="AUTO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22.1.</w:t>
      </w:r>
      <w:r w:rsidRPr="00427CF1">
        <w:rPr>
          <w:rStyle w:val="TextoNormalCaracter"/>
        </w:rPr>
        <w:t>-</w:t>
      </w:r>
      <w:r>
        <w:t xml:space="preserve"> Sentencias </w:t>
      </w:r>
      <w:hyperlink w:anchor="SENTENCIA_2016_134" w:history="1">
        <w:r w:rsidRPr="00427CF1">
          <w:rPr>
            <w:rStyle w:val="TextoNormalCaracter"/>
          </w:rPr>
          <w:t>134/2016</w:t>
        </w:r>
      </w:hyperlink>
      <w:r>
        <w:t xml:space="preserve">, f. 2; </w:t>
      </w:r>
      <w:hyperlink w:anchor="SENTENCIA_2016_145" w:history="1">
        <w:r w:rsidRPr="00427CF1">
          <w:rPr>
            <w:rStyle w:val="TextoNormalCaracter"/>
          </w:rPr>
          <w:t>145/2016</w:t>
        </w:r>
      </w:hyperlink>
      <w:r>
        <w:t xml:space="preserve">, f. 1; </w:t>
      </w:r>
      <w:hyperlink w:anchor="SENTENCIA_2016_160" w:history="1">
        <w:r w:rsidRPr="00427CF1">
          <w:rPr>
            <w:rStyle w:val="TextoNormalCaracter"/>
          </w:rPr>
          <w:t>160/2016</w:t>
        </w:r>
      </w:hyperlink>
      <w:r>
        <w:t xml:space="preserve">, f. 1; </w:t>
      </w:r>
      <w:hyperlink w:anchor="SENTENCIA_2016_178" w:history="1">
        <w:r w:rsidRPr="00427CF1">
          <w:rPr>
            <w:rStyle w:val="TextoNormalCaracter"/>
          </w:rPr>
          <w:t>178/2016</w:t>
        </w:r>
      </w:hyperlink>
      <w:r>
        <w:t>, f. 3.</w:t>
      </w:r>
    </w:p>
    <w:p w:rsidR="00427CF1" w:rsidRDefault="00427CF1" w:rsidP="00427CF1">
      <w:pPr>
        <w:pStyle w:val="SangriaIzquierdaArticulo"/>
      </w:pPr>
      <w:r>
        <w:t xml:space="preserve">Auto </w:t>
      </w:r>
      <w:hyperlink w:anchor="AUTO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31.3.</w:t>
      </w:r>
      <w:r w:rsidRPr="00427CF1">
        <w:rPr>
          <w:rStyle w:val="TextoNormalCaracter"/>
        </w:rPr>
        <w:t>-</w:t>
      </w:r>
      <w:r>
        <w:t xml:space="preserve"> Auto </w:t>
      </w:r>
      <w:hyperlink w:anchor="AUTO_2016_180" w:history="1">
        <w:r w:rsidRPr="00427CF1">
          <w:rPr>
            <w:rStyle w:val="TextoNormalCaracter"/>
          </w:rPr>
          <w:t>180/2016</w:t>
        </w:r>
      </w:hyperlink>
      <w:r>
        <w:t>, ff. 1, 3.</w:t>
      </w:r>
    </w:p>
    <w:p w:rsidR="00427CF1" w:rsidRDefault="00427CF1" w:rsidP="00427CF1">
      <w:pPr>
        <w:pStyle w:val="SangriaFrancesaArticulo"/>
      </w:pPr>
      <w:r w:rsidRPr="00427CF1">
        <w:rPr>
          <w:rStyle w:val="TextoNormalNegritaCaracter"/>
        </w:rPr>
        <w:t>Disposición adicional septuagésima primera.</w:t>
      </w:r>
      <w:r w:rsidRPr="00427CF1">
        <w:rPr>
          <w:rStyle w:val="TextoNormalCaracter"/>
        </w:rPr>
        <w:t>-</w:t>
      </w:r>
      <w:r>
        <w:t xml:space="preserve"> Sentencia </w:t>
      </w:r>
      <w:hyperlink w:anchor="SENTENCIA_2016_158" w:history="1">
        <w:r w:rsidRPr="00427CF1">
          <w:rPr>
            <w:rStyle w:val="TextoNormalCaracter"/>
          </w:rPr>
          <w:t>158/2016</w:t>
        </w:r>
      </w:hyperlink>
      <w:r>
        <w:t>, ff. 1 a 6, VP.</w:t>
      </w:r>
    </w:p>
    <w:p w:rsidR="00427CF1" w:rsidRDefault="00427CF1" w:rsidP="00427CF1">
      <w:pPr>
        <w:pStyle w:val="SangriaFrancesaArticulo"/>
      </w:pPr>
      <w:r w:rsidRPr="00427CF1">
        <w:rPr>
          <w:rStyle w:val="TextoNormalNegritaCaracter"/>
        </w:rPr>
        <w:t>Disposición adicional septuagésima primera, apartado 1.</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Disposición adicional septuagésima primera, apartado 1 a).</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Disposición adicional septuagésima primera, apartado 1 c).</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Disposición adicional septuagésima primera, apartado 1 d).</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Disposición adicional septuagésima primera, apartado 1 e).</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Disposición adicional septuagésima primera, apartado 1 f).</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Disposición adicional duodécima.</w:t>
      </w:r>
      <w:r w:rsidRPr="00427CF1">
        <w:rPr>
          <w:rStyle w:val="TextoNormalCaracter"/>
        </w:rPr>
        <w:t>-</w:t>
      </w:r>
      <w:r>
        <w:t xml:space="preserve"> Sentencia </w:t>
      </w:r>
      <w:hyperlink w:anchor="SENTENCIA_2016_194" w:history="1">
        <w:r w:rsidRPr="00427CF1">
          <w:rPr>
            <w:rStyle w:val="TextoNormalCaracter"/>
          </w:rPr>
          <w:t>194/2016</w:t>
        </w:r>
      </w:hyperlink>
      <w:r>
        <w:t>, f. 1.</w:t>
      </w:r>
    </w:p>
    <w:p w:rsidR="00427CF1" w:rsidRDefault="00427CF1" w:rsidP="00427CF1">
      <w:pPr>
        <w:pStyle w:val="SangriaFrancesaArticulo"/>
      </w:pPr>
      <w:r w:rsidRPr="00427CF1">
        <w:rPr>
          <w:rStyle w:val="TextoNormalNegritaCaracter"/>
        </w:rPr>
        <w:t>Disposición adicional cuadragésima.</w:t>
      </w:r>
      <w:r w:rsidRPr="00427CF1">
        <w:rPr>
          <w:rStyle w:val="TextoNormalCaracter"/>
        </w:rPr>
        <w:t>-</w:t>
      </w:r>
      <w:r>
        <w:t xml:space="preserve"> Sentencias </w:t>
      </w:r>
      <w:hyperlink w:anchor="SENTENCIA_2016_179" w:history="1">
        <w:r w:rsidRPr="00427CF1">
          <w:rPr>
            <w:rStyle w:val="TextoNormalCaracter"/>
          </w:rPr>
          <w:t>179/2016</w:t>
        </w:r>
      </w:hyperlink>
      <w:r>
        <w:t xml:space="preserve">, f. 3; </w:t>
      </w:r>
      <w:hyperlink w:anchor="SENTENCIA_2016_194" w:history="1">
        <w:r w:rsidRPr="00427CF1">
          <w:rPr>
            <w:rStyle w:val="TextoNormalCaracter"/>
          </w:rPr>
          <w:t>194/2016</w:t>
        </w:r>
      </w:hyperlink>
      <w:r>
        <w:t>, ff. 1, 2.</w:t>
      </w:r>
    </w:p>
    <w:p w:rsidR="00427CF1" w:rsidRDefault="00427CF1" w:rsidP="00427CF1">
      <w:pPr>
        <w:pStyle w:val="SangriaFrancesaArticulo"/>
      </w:pPr>
    </w:p>
    <w:p w:rsidR="00427CF1" w:rsidRDefault="00427CF1" w:rsidP="00427CF1">
      <w:pPr>
        <w:pStyle w:val="TextoNormalNegritaCursivandice"/>
      </w:pPr>
      <w:r>
        <w:t>Ley 3/2012, de 6 de julio. Medidas urgentes para la reforma del mercado laboral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6" w:history="1">
        <w:r w:rsidRPr="00427CF1">
          <w:rPr>
            <w:rStyle w:val="TextoNormalCaracter"/>
          </w:rPr>
          <w:t>176/2016</w:t>
        </w:r>
      </w:hyperlink>
      <w:r>
        <w:t>, ff. 1, 3.</w:t>
      </w:r>
    </w:p>
    <w:p w:rsidR="00427CF1" w:rsidRDefault="00427CF1" w:rsidP="00427CF1">
      <w:pPr>
        <w:pStyle w:val="SangriaFrancesaArticulo"/>
      </w:pPr>
    </w:p>
    <w:p w:rsidR="00427CF1" w:rsidRDefault="00427CF1" w:rsidP="00427CF1">
      <w:pPr>
        <w:pStyle w:val="TextoNormalNegritaCursivandice"/>
      </w:pPr>
      <w:r>
        <w:t>Ley 10/2012, de 20 de noviembre. Se regulan determinadas tasas en el ámbito de la Administración de justicia y del Instituto Nacional de Toxicología y Ciencias Forenses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0" w:history="1">
        <w:r w:rsidRPr="00427CF1">
          <w:rPr>
            <w:rStyle w:val="TextoNormalCaracter"/>
          </w:rPr>
          <w:t>140/2016</w:t>
        </w:r>
      </w:hyperlink>
      <w:r>
        <w:t xml:space="preserve">, ff. 1 a 3, 5 a 9, 12; </w:t>
      </w:r>
      <w:hyperlink w:anchor="SENTENCIA_2016_227" w:history="1">
        <w:r w:rsidRPr="00427CF1">
          <w:rPr>
            <w:rStyle w:val="TextoNormalCaracter"/>
          </w:rPr>
          <w:t>227/2016</w:t>
        </w:r>
      </w:hyperlink>
      <w:r>
        <w:t>, ff. 2, 3.</w:t>
      </w:r>
    </w:p>
    <w:p w:rsidR="00427CF1" w:rsidRDefault="00427CF1" w:rsidP="00427CF1">
      <w:pPr>
        <w:pStyle w:val="SangriaIzquierdaArticulo"/>
      </w:pPr>
      <w:r>
        <w:t xml:space="preserve">Autos </w:t>
      </w:r>
      <w:hyperlink w:anchor="AUTO_2016_179" w:history="1">
        <w:r w:rsidRPr="00427CF1">
          <w:rPr>
            <w:rStyle w:val="TextoNormalCaracter"/>
          </w:rPr>
          <w:t>179/2016</w:t>
        </w:r>
      </w:hyperlink>
      <w:r>
        <w:t xml:space="preserve">, f. 3; </w:t>
      </w:r>
      <w:hyperlink w:anchor="AUTO_2016_180" w:history="1">
        <w:r w:rsidRPr="00427CF1">
          <w:rPr>
            <w:rStyle w:val="TextoNormalCaracter"/>
          </w:rPr>
          <w:t>180/2016</w:t>
        </w:r>
      </w:hyperlink>
      <w:r>
        <w:t>, ff. 1, 3.</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40" w:history="1">
        <w:r w:rsidRPr="00427CF1">
          <w:rPr>
            <w:rStyle w:val="TextoNormalCaracter"/>
          </w:rPr>
          <w:t>140/2016</w:t>
        </w:r>
      </w:hyperlink>
      <w:r>
        <w:t>, ff. 7, 10, 12.</w:t>
      </w:r>
    </w:p>
    <w:p w:rsidR="00427CF1" w:rsidRDefault="00427CF1" w:rsidP="00427CF1">
      <w:pPr>
        <w:pStyle w:val="SangriaFrancesaArticulo"/>
      </w:pPr>
      <w:r w:rsidRPr="00427CF1">
        <w:rPr>
          <w:rStyle w:val="TextoNormalNegritaCaracter"/>
        </w:rPr>
        <w:t>Preámbulo I, párrafo 3.</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r w:rsidRPr="00427CF1">
        <w:rPr>
          <w:rStyle w:val="TextoNormalNegritaCaracter"/>
        </w:rPr>
        <w:t xml:space="preserve">Preámbulo I, párrafo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r w:rsidRPr="00427CF1">
        <w:rPr>
          <w:rStyle w:val="TextoNormalNegritaCaracter"/>
        </w:rPr>
        <w:t>Preámbulo II, párrafo 1.</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r w:rsidRPr="00427CF1">
        <w:rPr>
          <w:rStyle w:val="TextoNormalNegritaCaracter"/>
        </w:rPr>
        <w:t>Preámbulo III, párrafo 2.</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Sentencias </w:t>
      </w:r>
      <w:hyperlink w:anchor="SENTENCIA_2016_140" w:history="1">
        <w:r w:rsidRPr="00427CF1">
          <w:rPr>
            <w:rStyle w:val="TextoNormalCaracter"/>
          </w:rPr>
          <w:t>140/2016</w:t>
        </w:r>
      </w:hyperlink>
      <w:r>
        <w:t xml:space="preserve">, ff. 1 a 3; </w:t>
      </w:r>
      <w:hyperlink w:anchor="SENTENCIA_2016_202" w:history="1">
        <w:r w:rsidRPr="00427CF1">
          <w:rPr>
            <w:rStyle w:val="TextoNormalCaracter"/>
          </w:rPr>
          <w:t>202/2016</w:t>
        </w:r>
      </w:hyperlink>
      <w:r>
        <w:t xml:space="preserve">, ff. 1 a 3, 5; </w:t>
      </w:r>
      <w:hyperlink w:anchor="SENTENCIA_2016_227" w:history="1">
        <w:r w:rsidRPr="00427CF1">
          <w:rPr>
            <w:rStyle w:val="TextoNormalCaracter"/>
          </w:rPr>
          <w:t>227/2016</w:t>
        </w:r>
      </w:hyperlink>
      <w:r>
        <w:t>, f. 3.</w:t>
      </w:r>
    </w:p>
    <w:p w:rsidR="00427CF1" w:rsidRDefault="00427CF1" w:rsidP="00427CF1">
      <w:pPr>
        <w:pStyle w:val="SangriaFrancesaArticulo"/>
      </w:pPr>
      <w:r w:rsidRPr="00427CF1">
        <w:rPr>
          <w:rStyle w:val="TextoNormalNegritaCaracter"/>
        </w:rPr>
        <w:t>Artículos 1 a 11.</w:t>
      </w:r>
      <w:r w:rsidRPr="00427CF1">
        <w:rPr>
          <w:rStyle w:val="TextoNormalCaracter"/>
        </w:rPr>
        <w:t>-</w:t>
      </w:r>
      <w:r>
        <w:t xml:space="preserve"> Auto </w:t>
      </w:r>
      <w:hyperlink w:anchor="AUTO_2016_179" w:history="1">
        <w:r w:rsidRPr="00427CF1">
          <w:rPr>
            <w:rStyle w:val="TextoNormalCaracter"/>
          </w:rPr>
          <w:t>179/2016</w:t>
        </w:r>
      </w:hyperlink>
      <w:r>
        <w:t>, f. 1.</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Sentencias </w:t>
      </w:r>
      <w:hyperlink w:anchor="SENTENCIA_2016_140" w:history="1">
        <w:r w:rsidRPr="00427CF1">
          <w:rPr>
            <w:rStyle w:val="TextoNormalCaracter"/>
          </w:rPr>
          <w:t>140/2016</w:t>
        </w:r>
      </w:hyperlink>
      <w:r>
        <w:t xml:space="preserve">, ff. 1, 2; </w:t>
      </w:r>
      <w:hyperlink w:anchor="SENTENCIA_2016_202" w:history="1">
        <w:r w:rsidRPr="00427CF1">
          <w:rPr>
            <w:rStyle w:val="TextoNormalCaracter"/>
          </w:rPr>
          <w:t>202/2016</w:t>
        </w:r>
      </w:hyperlink>
      <w:r>
        <w:t>, f. 3.</w:t>
      </w:r>
    </w:p>
    <w:p w:rsidR="00427CF1" w:rsidRDefault="00427CF1" w:rsidP="00427CF1">
      <w:pPr>
        <w:pStyle w:val="SangriaIzquierdaArticulo"/>
      </w:pPr>
      <w:r>
        <w:t xml:space="preserve">Auto </w:t>
      </w:r>
      <w:hyperlink w:anchor="AUTO_2016_193" w:history="1">
        <w:r w:rsidRPr="00427CF1">
          <w:rPr>
            <w:rStyle w:val="TextoNormalCaracter"/>
          </w:rPr>
          <w:t>193/2016</w:t>
        </w:r>
      </w:hyperlink>
      <w:r>
        <w:t>, f. 1.</w:t>
      </w:r>
    </w:p>
    <w:p w:rsidR="00427CF1" w:rsidRDefault="00427CF1" w:rsidP="00427CF1">
      <w:pPr>
        <w:pStyle w:val="SangriaFrancesaArticulo"/>
      </w:pPr>
      <w:r w:rsidRPr="00427CF1">
        <w:rPr>
          <w:rStyle w:val="TextoNormalNegritaCaracter"/>
        </w:rPr>
        <w:t>Artículo 2 c).</w:t>
      </w:r>
      <w:r w:rsidRPr="00427CF1">
        <w:rPr>
          <w:rStyle w:val="TextoNormalCaracter"/>
        </w:rPr>
        <w:t>-</w:t>
      </w:r>
      <w:r>
        <w:t xml:space="preserve"> Sentencia </w:t>
      </w:r>
      <w:hyperlink w:anchor="SENTENCIA_2016_202" w:history="1">
        <w:r w:rsidRPr="00427CF1">
          <w:rPr>
            <w:rStyle w:val="TextoNormalCaracter"/>
          </w:rPr>
          <w:t>202/2016</w:t>
        </w:r>
      </w:hyperlink>
      <w:r>
        <w:t>, ff. 1, 2, 4.</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1.</w:t>
      </w:r>
    </w:p>
    <w:p w:rsidR="00427CF1" w:rsidRDefault="00427CF1" w:rsidP="00427CF1">
      <w:pPr>
        <w:pStyle w:val="SangriaFrancesaArticulo"/>
      </w:pPr>
      <w:r w:rsidRPr="00427CF1">
        <w:rPr>
          <w:rStyle w:val="TextoNormalNegritaCaracter"/>
        </w:rPr>
        <w:t>Artículo 2 c)</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02" w:history="1">
        <w:r w:rsidRPr="00427CF1">
          <w:rPr>
            <w:rStyle w:val="TextoNormalCaracter"/>
          </w:rPr>
          <w:t>202/2016</w:t>
        </w:r>
      </w:hyperlink>
      <w:r>
        <w:t>, ff. 2, 4.</w:t>
      </w:r>
    </w:p>
    <w:p w:rsidR="00427CF1" w:rsidRDefault="00427CF1" w:rsidP="00427CF1">
      <w:pPr>
        <w:pStyle w:val="SangriaFrancesaArticulo"/>
      </w:pPr>
      <w:r w:rsidRPr="00427CF1">
        <w:rPr>
          <w:rStyle w:val="TextoNormalNegritaCaracter"/>
        </w:rPr>
        <w:t>Artículo 2 e)</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02" w:history="1">
        <w:r w:rsidRPr="00427CF1">
          <w:rPr>
            <w:rStyle w:val="TextoNormalCaracter"/>
          </w:rPr>
          <w:t>202/2016</w:t>
        </w:r>
      </w:hyperlink>
      <w:r>
        <w:t>, ff. 1, 2, 4.</w:t>
      </w:r>
    </w:p>
    <w:p w:rsidR="00427CF1" w:rsidRDefault="00427CF1" w:rsidP="00427CF1">
      <w:pPr>
        <w:pStyle w:val="SangriaIzquierdaArticulo"/>
      </w:pPr>
      <w:r>
        <w:t xml:space="preserve">Autos </w:t>
      </w:r>
      <w:hyperlink w:anchor="AUTO_2016_175" w:history="1">
        <w:r w:rsidRPr="00427CF1">
          <w:rPr>
            <w:rStyle w:val="TextoNormalCaracter"/>
          </w:rPr>
          <w:t>175/2016</w:t>
        </w:r>
      </w:hyperlink>
      <w:r>
        <w:t xml:space="preserve">, ff. 1, 2; </w:t>
      </w:r>
      <w:hyperlink w:anchor="AUTO_2016_193" w:history="1">
        <w:r w:rsidRPr="00427CF1">
          <w:rPr>
            <w:rStyle w:val="TextoNormalCaracter"/>
          </w:rPr>
          <w:t>193/2016</w:t>
        </w:r>
      </w:hyperlink>
      <w:r>
        <w:t>, f. 1.</w:t>
      </w:r>
    </w:p>
    <w:p w:rsidR="00427CF1" w:rsidRDefault="00427CF1" w:rsidP="00427CF1">
      <w:pPr>
        <w:pStyle w:val="SangriaFrancesaArticulo"/>
      </w:pPr>
      <w:r w:rsidRPr="00427CF1">
        <w:rPr>
          <w:rStyle w:val="TextoNormalNegritaCaracter"/>
        </w:rPr>
        <w:t>Artículo 2 f).</w:t>
      </w:r>
      <w:r w:rsidRPr="00427CF1">
        <w:rPr>
          <w:rStyle w:val="TextoNormalCaracter"/>
        </w:rPr>
        <w:t>-</w:t>
      </w:r>
      <w:r>
        <w:t xml:space="preserve"> Sentencia </w:t>
      </w:r>
      <w:hyperlink w:anchor="SENTENCIA_2016_202" w:history="1">
        <w:r w:rsidRPr="00427CF1">
          <w:rPr>
            <w:rStyle w:val="TextoNormalCaracter"/>
          </w:rPr>
          <w:t>202/2016</w:t>
        </w:r>
      </w:hyperlink>
      <w:r>
        <w:t>, ff. 1 a 3, 5.</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40" w:history="1">
        <w:r w:rsidRPr="00427CF1">
          <w:rPr>
            <w:rStyle w:val="TextoNormalCaracter"/>
          </w:rPr>
          <w:t>140/2016</w:t>
        </w:r>
      </w:hyperlink>
      <w:r>
        <w:t>, f. 2.</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40" w:history="1">
        <w:r w:rsidRPr="00427CF1">
          <w:rPr>
            <w:rStyle w:val="TextoNormalCaracter"/>
          </w:rPr>
          <w:t>140/2016</w:t>
        </w:r>
      </w:hyperlink>
      <w:r>
        <w:t>, ff. 1, 2.</w:t>
      </w:r>
    </w:p>
    <w:p w:rsidR="00427CF1" w:rsidRDefault="00427CF1" w:rsidP="00427CF1">
      <w:pPr>
        <w:pStyle w:val="SangriaFrancesaArticulo"/>
      </w:pPr>
      <w:r w:rsidRPr="00427CF1">
        <w:rPr>
          <w:rStyle w:val="TextoNormalNegritaCaracter"/>
        </w:rPr>
        <w:t>Artículo 3.1</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2.</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Sentencias </w:t>
      </w:r>
      <w:hyperlink w:anchor="SENTENCIA_2016_140" w:history="1">
        <w:r w:rsidRPr="00427CF1">
          <w:rPr>
            <w:rStyle w:val="TextoNormalCaracter"/>
          </w:rPr>
          <w:t>140/2016</w:t>
        </w:r>
      </w:hyperlink>
      <w:r>
        <w:t xml:space="preserve">, ff. 2, 6; </w:t>
      </w:r>
      <w:hyperlink w:anchor="SENTENCIA_2016_202" w:history="1">
        <w:r w:rsidRPr="00427CF1">
          <w:rPr>
            <w:rStyle w:val="TextoNormalCaracter"/>
          </w:rPr>
          <w:t>202/2016</w:t>
        </w:r>
      </w:hyperlink>
      <w:r>
        <w:t>, ff. 1, 2, 5.</w:t>
      </w:r>
    </w:p>
    <w:p w:rsidR="00427CF1" w:rsidRDefault="00427CF1" w:rsidP="00427CF1">
      <w:pPr>
        <w:pStyle w:val="SangriaFrancesaArticulo"/>
      </w:pPr>
      <w:r w:rsidRPr="00427CF1">
        <w:rPr>
          <w:rStyle w:val="TextoNormalNegritaCaracter"/>
        </w:rPr>
        <w:t>Artículo 4</w:t>
      </w:r>
      <w:r>
        <w:t xml:space="preserve"> (redactado por el Real Decreto-ley 1/2015, de 27 de febrero)</w:t>
      </w:r>
      <w:r w:rsidRPr="00427CF1">
        <w:rPr>
          <w:rStyle w:val="TextoNormalNegritaCaracter"/>
        </w:rPr>
        <w:t>.</w:t>
      </w:r>
      <w:r w:rsidRPr="00427CF1">
        <w:rPr>
          <w:rStyle w:val="TextoNormalCaracter"/>
        </w:rPr>
        <w:t>-</w:t>
      </w:r>
      <w:r>
        <w:t xml:space="preserve"> Sentencia </w:t>
      </w:r>
      <w:hyperlink w:anchor="SENTENCIA_2016_227" w:history="1">
        <w:r w:rsidRPr="00427CF1">
          <w:rPr>
            <w:rStyle w:val="TextoNormalCaracter"/>
          </w:rPr>
          <w:t>227/2016</w:t>
        </w:r>
      </w:hyperlink>
      <w:r>
        <w:t>, f. 2.</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 </w:t>
      </w:r>
      <w:hyperlink w:anchor="SENTENCIA_2016_140" w:history="1">
        <w:r w:rsidRPr="00427CF1">
          <w:rPr>
            <w:rStyle w:val="TextoNormalCaracter"/>
          </w:rPr>
          <w:t>140/2016</w:t>
        </w:r>
      </w:hyperlink>
      <w:r>
        <w:t>, ff. 6, 11.</w:t>
      </w:r>
    </w:p>
    <w:p w:rsidR="00427CF1" w:rsidRDefault="00427CF1" w:rsidP="00427CF1">
      <w:pPr>
        <w:pStyle w:val="SangriaFrancesaArticulo"/>
      </w:pPr>
      <w:r w:rsidRPr="00427CF1">
        <w:rPr>
          <w:rStyle w:val="TextoNormalNegritaCaracter"/>
        </w:rPr>
        <w:t>Artículo 4.1 a)</w:t>
      </w:r>
      <w:r>
        <w:t xml:space="preserve"> (redactado por el Real Decreto-ley 1/2015, de 27 de febrero)</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ff. 4, 6.</w:t>
      </w:r>
    </w:p>
    <w:p w:rsidR="00427CF1" w:rsidRDefault="00427CF1" w:rsidP="00427CF1">
      <w:pPr>
        <w:pStyle w:val="SangriaFrancesaArticulo"/>
      </w:pPr>
      <w:r w:rsidRPr="00427CF1">
        <w:rPr>
          <w:rStyle w:val="TextoNormalNegritaCaracter"/>
        </w:rPr>
        <w:t>Artículo 4.1 b).</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4.1 c).</w:t>
      </w:r>
      <w:r w:rsidRPr="00427CF1">
        <w:rPr>
          <w:rStyle w:val="TextoNormalCaracter"/>
        </w:rPr>
        <w:t>-</w:t>
      </w:r>
      <w:r>
        <w:t xml:space="preserve"> Sentencia </w:t>
      </w:r>
      <w:hyperlink w:anchor="SENTENCIA_2016_140" w:history="1">
        <w:r w:rsidRPr="00427CF1">
          <w:rPr>
            <w:rStyle w:val="TextoNormalCaracter"/>
          </w:rPr>
          <w:t>140/2016</w:t>
        </w:r>
      </w:hyperlink>
      <w:r>
        <w:t>, ff. 6, 11.</w:t>
      </w:r>
    </w:p>
    <w:p w:rsidR="00427CF1" w:rsidRDefault="00427CF1" w:rsidP="00427CF1">
      <w:pPr>
        <w:pStyle w:val="SangriaFrancesaArticulo"/>
      </w:pPr>
      <w:r w:rsidRPr="00427CF1">
        <w:rPr>
          <w:rStyle w:val="TextoNormalNegritaCaracter"/>
        </w:rPr>
        <w:t>Artículo 4.1 d).</w:t>
      </w:r>
      <w:r w:rsidRPr="00427CF1">
        <w:rPr>
          <w:rStyle w:val="TextoNormalCaracter"/>
        </w:rPr>
        <w:t>-</w:t>
      </w:r>
      <w:r>
        <w:t xml:space="preserve"> Sentencia </w:t>
      </w:r>
      <w:hyperlink w:anchor="SENTENCIA_2016_140" w:history="1">
        <w:r w:rsidRPr="00427CF1">
          <w:rPr>
            <w:rStyle w:val="TextoNormalCaracter"/>
          </w:rPr>
          <w:t>140/2016</w:t>
        </w:r>
      </w:hyperlink>
      <w:r>
        <w:t>, ff. 3, 6.</w:t>
      </w:r>
    </w:p>
    <w:p w:rsidR="00427CF1" w:rsidRDefault="00427CF1" w:rsidP="00427CF1">
      <w:pPr>
        <w:pStyle w:val="SangriaFrancesaArticulo"/>
      </w:pPr>
      <w:r w:rsidRPr="00427CF1">
        <w:rPr>
          <w:rStyle w:val="TextoNormalNegritaCaracter"/>
        </w:rPr>
        <w:t>Artículo 4.1 e).</w:t>
      </w:r>
      <w:r w:rsidRPr="00427CF1">
        <w:rPr>
          <w:rStyle w:val="TextoNormalCaracter"/>
        </w:rPr>
        <w:t>-</w:t>
      </w:r>
      <w:r>
        <w:t xml:space="preserve"> Sentencia </w:t>
      </w:r>
      <w:hyperlink w:anchor="SENTENCIA_2016_140" w:history="1">
        <w:r w:rsidRPr="00427CF1">
          <w:rPr>
            <w:rStyle w:val="TextoNormalCaracter"/>
          </w:rPr>
          <w:t>140/2016</w:t>
        </w:r>
      </w:hyperlink>
      <w:r>
        <w:t>, ff. 6, 11.</w:t>
      </w:r>
    </w:p>
    <w:p w:rsidR="00427CF1" w:rsidRDefault="00427CF1" w:rsidP="00427CF1">
      <w:pPr>
        <w:pStyle w:val="SangriaFrancesaArticulo"/>
      </w:pPr>
      <w:r w:rsidRPr="00427CF1">
        <w:rPr>
          <w:rStyle w:val="TextoNormalNegritaCaracter"/>
        </w:rPr>
        <w:t>Artículo 4.1 f).</w:t>
      </w:r>
      <w:r w:rsidRPr="00427CF1">
        <w:rPr>
          <w:rStyle w:val="TextoNormalCaracter"/>
        </w:rPr>
        <w:t>-</w:t>
      </w:r>
      <w:r>
        <w:t xml:space="preserve"> Sentencia </w:t>
      </w:r>
      <w:hyperlink w:anchor="SENTENCIA_2016_140" w:history="1">
        <w:r w:rsidRPr="00427CF1">
          <w:rPr>
            <w:rStyle w:val="TextoNormalCaracter"/>
          </w:rPr>
          <w:t>140/2016</w:t>
        </w:r>
      </w:hyperlink>
      <w:r>
        <w:t>, ff. 3, 6.</w:t>
      </w:r>
    </w:p>
    <w:p w:rsidR="00427CF1" w:rsidRDefault="00427CF1" w:rsidP="00427CF1">
      <w:pPr>
        <w:pStyle w:val="SangriaFrancesaArticulo"/>
      </w:pPr>
      <w:r w:rsidRPr="00427CF1">
        <w:rPr>
          <w:rStyle w:val="TextoNormalNegritaCaracter"/>
        </w:rPr>
        <w:t>Artículo 4.1 g).</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4.1 h).</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Sentencias </w:t>
      </w:r>
      <w:hyperlink w:anchor="SENTENCIA_2016_140" w:history="1">
        <w:r w:rsidRPr="00427CF1">
          <w:rPr>
            <w:rStyle w:val="TextoNormalCaracter"/>
          </w:rPr>
          <w:t>140/2016</w:t>
        </w:r>
      </w:hyperlink>
      <w:r>
        <w:t xml:space="preserve">, f. 3; </w:t>
      </w:r>
      <w:hyperlink w:anchor="SENTENCIA_2016_202" w:history="1">
        <w:r w:rsidRPr="00427CF1">
          <w:rPr>
            <w:rStyle w:val="TextoNormalCaracter"/>
          </w:rPr>
          <w:t>202/2016</w:t>
        </w:r>
      </w:hyperlink>
      <w:r>
        <w:t>, f. 4.</w:t>
      </w:r>
    </w:p>
    <w:p w:rsidR="00427CF1" w:rsidRDefault="00427CF1" w:rsidP="00427CF1">
      <w:pPr>
        <w:pStyle w:val="SangriaFrancesaArticulo"/>
      </w:pPr>
      <w:r w:rsidRPr="00427CF1">
        <w:rPr>
          <w:rStyle w:val="TextoNormalNegritaCaracter"/>
        </w:rPr>
        <w:t>Artículo 4.2 a).</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IzquierdaArticulo"/>
      </w:pPr>
      <w:r>
        <w:t xml:space="preserve">Auto </w:t>
      </w:r>
      <w:hyperlink w:anchor="AUTO_2016_193" w:history="1">
        <w:r w:rsidRPr="00427CF1">
          <w:rPr>
            <w:rStyle w:val="TextoNormalCaracter"/>
          </w:rPr>
          <w:t>193/2016</w:t>
        </w:r>
      </w:hyperlink>
      <w:r>
        <w:t>, f. 2.</w:t>
      </w:r>
    </w:p>
    <w:p w:rsidR="00427CF1" w:rsidRDefault="00427CF1" w:rsidP="00427CF1">
      <w:pPr>
        <w:pStyle w:val="SangriaFrancesaArticulo"/>
      </w:pPr>
      <w:r w:rsidRPr="00427CF1">
        <w:rPr>
          <w:rStyle w:val="TextoNormalNegritaCaracter"/>
        </w:rPr>
        <w:t>Artículo 4.2 a)</w:t>
      </w:r>
      <w:r>
        <w:t xml:space="preserve"> (redactado por el Real Decreto-ley 1/2015, de 27 de febrero)</w:t>
      </w:r>
      <w:r w:rsidRPr="00427CF1">
        <w:rPr>
          <w:rStyle w:val="TextoNormalNegritaCaracter"/>
        </w:rPr>
        <w:t>.</w:t>
      </w:r>
      <w:r w:rsidRPr="00427CF1">
        <w:rPr>
          <w:rStyle w:val="TextoNormalCaracter"/>
        </w:rPr>
        <w:t>-</w:t>
      </w:r>
      <w:r>
        <w:t xml:space="preserve"> Sentencias </w:t>
      </w:r>
      <w:hyperlink w:anchor="SENTENCIA_2016_140" w:history="1">
        <w:r w:rsidRPr="00427CF1">
          <w:rPr>
            <w:rStyle w:val="TextoNormalCaracter"/>
          </w:rPr>
          <w:t>140/2016</w:t>
        </w:r>
      </w:hyperlink>
      <w:r>
        <w:t xml:space="preserve">, ff. 2, 4; </w:t>
      </w:r>
      <w:hyperlink w:anchor="SENTENCIA_2016_202" w:history="1">
        <w:r w:rsidRPr="00427CF1">
          <w:rPr>
            <w:rStyle w:val="TextoNormalCaracter"/>
          </w:rPr>
          <w:t>202/2016</w:t>
        </w:r>
      </w:hyperlink>
      <w:r>
        <w:t xml:space="preserve">, f. 2; </w:t>
      </w:r>
      <w:hyperlink w:anchor="SENTENCIA_2016_227" w:history="1">
        <w:r w:rsidRPr="00427CF1">
          <w:rPr>
            <w:rStyle w:val="TextoNormalCaracter"/>
          </w:rPr>
          <w:t>227/2016</w:t>
        </w:r>
      </w:hyperlink>
      <w:r>
        <w:t>, f. 2.</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4.2 b)</w:t>
      </w:r>
      <w:r>
        <w:t xml:space="preserve"> (redactado por el Real Decreto-ley 1/2015, de 27 de febrero)</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ff. 2, 6.</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Sentencias </w:t>
      </w:r>
      <w:hyperlink w:anchor="SENTENCIA_2016_140" w:history="1">
        <w:r w:rsidRPr="00427CF1">
          <w:rPr>
            <w:rStyle w:val="TextoNormalCaracter"/>
          </w:rPr>
          <w:t>140/2016</w:t>
        </w:r>
      </w:hyperlink>
      <w:r>
        <w:t xml:space="preserve">, ff. 1, 2; </w:t>
      </w:r>
      <w:hyperlink w:anchor="SENTENCIA_2016_202" w:history="1">
        <w:r w:rsidRPr="00427CF1">
          <w:rPr>
            <w:rStyle w:val="TextoNormalCaracter"/>
          </w:rPr>
          <w:t>202/2016</w:t>
        </w:r>
      </w:hyperlink>
      <w:r>
        <w:t>, f. 3.</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202" w:history="1">
        <w:r w:rsidRPr="00427CF1">
          <w:rPr>
            <w:rStyle w:val="TextoNormalCaracter"/>
          </w:rPr>
          <w:t>202/2016</w:t>
        </w:r>
      </w:hyperlink>
      <w:r>
        <w:t>, ff. 1, 2.</w:t>
      </w:r>
    </w:p>
    <w:p w:rsidR="00427CF1" w:rsidRDefault="00427CF1" w:rsidP="00427CF1">
      <w:pPr>
        <w:pStyle w:val="SangriaFrancesaArticulo"/>
      </w:pPr>
      <w:r w:rsidRPr="00427CF1">
        <w:rPr>
          <w:rStyle w:val="TextoNormalNegritaCaracter"/>
        </w:rPr>
        <w:t>Artículo 5.2 a).</w:t>
      </w:r>
      <w:r w:rsidRPr="00427CF1">
        <w:rPr>
          <w:rStyle w:val="TextoNormalCaracter"/>
        </w:rPr>
        <w:t>-</w:t>
      </w:r>
      <w:r>
        <w:t xml:space="preserve"> Sentencia </w:t>
      </w:r>
      <w:hyperlink w:anchor="SENTENCIA_2016_202" w:history="1">
        <w:r w:rsidRPr="00427CF1">
          <w:rPr>
            <w:rStyle w:val="TextoNormalCaracter"/>
          </w:rPr>
          <w:t>202/2016</w:t>
        </w:r>
      </w:hyperlink>
      <w:r>
        <w:t>, ff. 2, 4, 5.</w:t>
      </w:r>
    </w:p>
    <w:p w:rsidR="00427CF1" w:rsidRDefault="00427CF1" w:rsidP="00427CF1">
      <w:pPr>
        <w:pStyle w:val="SangriaFrancesaArticulo"/>
      </w:pPr>
      <w:r w:rsidRPr="00427CF1">
        <w:rPr>
          <w:rStyle w:val="TextoNormalNegritaCaracter"/>
        </w:rPr>
        <w:t>Artículo 5.2 b).</w:t>
      </w:r>
      <w:r w:rsidRPr="00427CF1">
        <w:rPr>
          <w:rStyle w:val="TextoNormalCaracter"/>
        </w:rPr>
        <w:t>-</w:t>
      </w:r>
      <w:r>
        <w:t xml:space="preserve"> Sentencia </w:t>
      </w:r>
      <w:hyperlink w:anchor="SENTENCIA_2016_202" w:history="1">
        <w:r w:rsidRPr="00427CF1">
          <w:rPr>
            <w:rStyle w:val="TextoNormalCaracter"/>
          </w:rPr>
          <w:t>202/2016</w:t>
        </w:r>
      </w:hyperlink>
      <w:r>
        <w:t>, f. 2.</w:t>
      </w:r>
    </w:p>
    <w:p w:rsidR="00427CF1" w:rsidRDefault="00427CF1" w:rsidP="00427CF1">
      <w:pPr>
        <w:pStyle w:val="SangriaFrancesaArticulo"/>
      </w:pPr>
      <w:r w:rsidRPr="00427CF1">
        <w:rPr>
          <w:rStyle w:val="TextoNormalNegritaCaracter"/>
        </w:rPr>
        <w:t>Artículo 5.2 c).</w:t>
      </w:r>
      <w:r w:rsidRPr="00427CF1">
        <w:rPr>
          <w:rStyle w:val="TextoNormalCaracter"/>
        </w:rPr>
        <w:t>-</w:t>
      </w:r>
      <w:r>
        <w:t xml:space="preserve"> Sentencia </w:t>
      </w:r>
      <w:hyperlink w:anchor="SENTENCIA_2016_202" w:history="1">
        <w:r w:rsidRPr="00427CF1">
          <w:rPr>
            <w:rStyle w:val="TextoNormalCaracter"/>
          </w:rPr>
          <w:t>202/2016</w:t>
        </w:r>
      </w:hyperlink>
      <w:r>
        <w:t>, f. 2.</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202" w:history="1">
        <w:r w:rsidRPr="00427CF1">
          <w:rPr>
            <w:rStyle w:val="TextoNormalCaracter"/>
          </w:rPr>
          <w:t>202/2016</w:t>
        </w:r>
      </w:hyperlink>
      <w:r>
        <w:t>, ff. 1 a 3, 5.</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Sentencias </w:t>
      </w:r>
      <w:hyperlink w:anchor="SENTENCIA_2016_140" w:history="1">
        <w:r w:rsidRPr="00427CF1">
          <w:rPr>
            <w:rStyle w:val="TextoNormalCaracter"/>
          </w:rPr>
          <w:t>140/2016</w:t>
        </w:r>
      </w:hyperlink>
      <w:r>
        <w:t xml:space="preserve">, ff. 1, 2; </w:t>
      </w:r>
      <w:hyperlink w:anchor="SENTENCIA_2016_202" w:history="1">
        <w:r w:rsidRPr="00427CF1">
          <w:rPr>
            <w:rStyle w:val="TextoNormalCaracter"/>
          </w:rPr>
          <w:t>202/2016</w:t>
        </w:r>
      </w:hyperlink>
      <w:r>
        <w:t xml:space="preserve">, ff. 1, 2, 5; </w:t>
      </w:r>
      <w:hyperlink w:anchor="SENTENCIA_2016_227" w:history="1">
        <w:r w:rsidRPr="00427CF1">
          <w:rPr>
            <w:rStyle w:val="TextoNormalCaracter"/>
          </w:rPr>
          <w:t>227/2016</w:t>
        </w:r>
      </w:hyperlink>
      <w:r>
        <w:t>, f. 3.</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1.</w:t>
      </w:r>
    </w:p>
    <w:p w:rsidR="00427CF1" w:rsidRDefault="00427CF1" w:rsidP="00427CF1">
      <w:pPr>
        <w:pStyle w:val="SangriaFrancesaArticulo"/>
      </w:pPr>
      <w:r w:rsidRPr="00427CF1">
        <w:rPr>
          <w:rStyle w:val="TextoNormalNegritaCaracter"/>
        </w:rPr>
        <w:t>Artículo 6.2.</w:t>
      </w:r>
      <w:r w:rsidRPr="00427CF1">
        <w:rPr>
          <w:rStyle w:val="TextoNormalCaracter"/>
        </w:rPr>
        <w:t>-</w:t>
      </w:r>
      <w:r>
        <w:t xml:space="preserve"> Sentencias </w:t>
      </w:r>
      <w:hyperlink w:anchor="SENTENCIA_2016_140" w:history="1">
        <w:r w:rsidRPr="00427CF1">
          <w:rPr>
            <w:rStyle w:val="TextoNormalCaracter"/>
          </w:rPr>
          <w:t>140/2016</w:t>
        </w:r>
      </w:hyperlink>
      <w:r>
        <w:t xml:space="preserve">, f. 13; </w:t>
      </w:r>
      <w:hyperlink w:anchor="SENTENCIA_2016_227" w:history="1">
        <w:r w:rsidRPr="00427CF1">
          <w:rPr>
            <w:rStyle w:val="TextoNormalCaracter"/>
          </w:rPr>
          <w:t>227/2016</w:t>
        </w:r>
      </w:hyperlink>
      <w:r>
        <w:t>, f. 5.</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Sentencias </w:t>
      </w:r>
      <w:hyperlink w:anchor="SENTENCIA_2016_140" w:history="1">
        <w:r w:rsidRPr="00427CF1">
          <w:rPr>
            <w:rStyle w:val="TextoNormalCaracter"/>
          </w:rPr>
          <w:t>140/2016</w:t>
        </w:r>
      </w:hyperlink>
      <w:r>
        <w:t xml:space="preserve">, ff. 1 a 8, 10, 12, 14; </w:t>
      </w:r>
      <w:hyperlink w:anchor="SENTENCIA_2016_202" w:history="1">
        <w:r w:rsidRPr="00427CF1">
          <w:rPr>
            <w:rStyle w:val="TextoNormalCaracter"/>
          </w:rPr>
          <w:t>202/2016</w:t>
        </w:r>
      </w:hyperlink>
      <w:r>
        <w:t xml:space="preserve">, ff. 1 a 3, 5; </w:t>
      </w:r>
      <w:hyperlink w:anchor="SENTENCIA_2016_227" w:history="1">
        <w:r w:rsidRPr="00427CF1">
          <w:rPr>
            <w:rStyle w:val="TextoNormalCaracter"/>
          </w:rPr>
          <w:t>227/2016</w:t>
        </w:r>
      </w:hyperlink>
      <w:r>
        <w:t>, ff. 1, 3 a 5.</w:t>
      </w:r>
    </w:p>
    <w:p w:rsidR="00427CF1" w:rsidRDefault="00427CF1" w:rsidP="00427CF1">
      <w:pPr>
        <w:pStyle w:val="SangriaIzquierdaArticulo"/>
      </w:pPr>
      <w:r>
        <w:t xml:space="preserve">Autos </w:t>
      </w:r>
      <w:hyperlink w:anchor="AUTO_2016_175" w:history="1">
        <w:r w:rsidRPr="00427CF1">
          <w:rPr>
            <w:rStyle w:val="TextoNormalCaracter"/>
          </w:rPr>
          <w:t>175/2016</w:t>
        </w:r>
      </w:hyperlink>
      <w:r>
        <w:t xml:space="preserve">, ff. 1, 2; </w:t>
      </w:r>
      <w:hyperlink w:anchor="AUTO_2016_179" w:history="1">
        <w:r w:rsidRPr="00427CF1">
          <w:rPr>
            <w:rStyle w:val="TextoNormalCaracter"/>
          </w:rPr>
          <w:t>179/2016</w:t>
        </w:r>
      </w:hyperlink>
      <w:r>
        <w:t xml:space="preserve">, f. 1; </w:t>
      </w:r>
      <w:hyperlink w:anchor="AUTO_2016_193" w:history="1">
        <w:r w:rsidRPr="00427CF1">
          <w:rPr>
            <w:rStyle w:val="TextoNormalCaracter"/>
          </w:rPr>
          <w:t>193/2016</w:t>
        </w:r>
      </w:hyperlink>
      <w:r>
        <w:t>, ff. 1, 2.</w:t>
      </w:r>
    </w:p>
    <w:p w:rsidR="00427CF1" w:rsidRDefault="00427CF1" w:rsidP="00427CF1">
      <w:pPr>
        <w:pStyle w:val="SangriaFrancesaArticulo"/>
      </w:pPr>
      <w:r w:rsidRPr="00427CF1">
        <w:rPr>
          <w:rStyle w:val="TextoNormalNegritaCaracter"/>
        </w:rPr>
        <w:t>Artículo 7</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27" w:history="1">
        <w:r w:rsidRPr="00427CF1">
          <w:rPr>
            <w:rStyle w:val="TextoNormalCaracter"/>
          </w:rPr>
          <w:t>227/2016</w:t>
        </w:r>
      </w:hyperlink>
      <w:r>
        <w:t>, f. 1.</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Sentencias </w:t>
      </w:r>
      <w:hyperlink w:anchor="SENTENCIA_2016_140" w:history="1">
        <w:r w:rsidRPr="00427CF1">
          <w:rPr>
            <w:rStyle w:val="TextoNormalCaracter"/>
          </w:rPr>
          <w:t>140/2016</w:t>
        </w:r>
      </w:hyperlink>
      <w:r>
        <w:t xml:space="preserve">, ff. 2, 11, 12, 14; </w:t>
      </w:r>
      <w:hyperlink w:anchor="SENTENCIA_2016_202" w:history="1">
        <w:r w:rsidRPr="00427CF1">
          <w:rPr>
            <w:rStyle w:val="TextoNormalCaracter"/>
          </w:rPr>
          <w:t>202/2016</w:t>
        </w:r>
      </w:hyperlink>
      <w:r>
        <w:t xml:space="preserve">, ff. 2, 5; </w:t>
      </w:r>
      <w:hyperlink w:anchor="SENTENCIA_2016_227" w:history="1">
        <w:r w:rsidRPr="00427CF1">
          <w:rPr>
            <w:rStyle w:val="TextoNormalCaracter"/>
          </w:rPr>
          <w:t>227/2016</w:t>
        </w:r>
      </w:hyperlink>
      <w:r>
        <w:t>, ff. 1, 3 a 5.</w:t>
      </w:r>
    </w:p>
    <w:p w:rsidR="00427CF1" w:rsidRDefault="00427CF1" w:rsidP="00427CF1">
      <w:pPr>
        <w:pStyle w:val="SangriaIzquierdaArticulo"/>
      </w:pPr>
      <w:r>
        <w:t xml:space="preserve">Autos </w:t>
      </w:r>
      <w:hyperlink w:anchor="AUTO_2016_175" w:history="1">
        <w:r w:rsidRPr="00427CF1">
          <w:rPr>
            <w:rStyle w:val="TextoNormalCaracter"/>
          </w:rPr>
          <w:t>175/2016</w:t>
        </w:r>
      </w:hyperlink>
      <w:r>
        <w:t xml:space="preserve">, f. 2; </w:t>
      </w:r>
      <w:hyperlink w:anchor="AUTO_2016_179" w:history="1">
        <w:r w:rsidRPr="00427CF1">
          <w:rPr>
            <w:rStyle w:val="TextoNormalCaracter"/>
          </w:rPr>
          <w:t>179/2016</w:t>
        </w:r>
      </w:hyperlink>
      <w:r>
        <w:t xml:space="preserve">, ff. 2, 3; </w:t>
      </w:r>
      <w:hyperlink w:anchor="AUTO_2016_193" w:history="1">
        <w:r w:rsidRPr="00427CF1">
          <w:rPr>
            <w:rStyle w:val="TextoNormalCaracter"/>
          </w:rPr>
          <w:t>193/2016</w:t>
        </w:r>
      </w:hyperlink>
      <w:r>
        <w:t>, ff. 1, 2.</w:t>
      </w:r>
    </w:p>
    <w:p w:rsidR="00427CF1" w:rsidRDefault="00427CF1" w:rsidP="00427CF1">
      <w:pPr>
        <w:pStyle w:val="SangriaFrancesaArticulo"/>
      </w:pPr>
      <w:r w:rsidRPr="00427CF1">
        <w:rPr>
          <w:rStyle w:val="TextoNormalNegritaCaracter"/>
        </w:rPr>
        <w:t>Artículo 7.1 expresión "en el orden jurisdiccional civil ... apelación 800€"</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27" w:history="1">
        <w:r w:rsidRPr="00427CF1">
          <w:rPr>
            <w:rStyle w:val="TextoNormalCaracter"/>
          </w:rPr>
          <w:t>227/2016</w:t>
        </w:r>
      </w:hyperlink>
      <w:r>
        <w:t>, ff. 1, 2, 4, 6.</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Sentencias </w:t>
      </w:r>
      <w:hyperlink w:anchor="SENTENCIA_2016_140" w:history="1">
        <w:r w:rsidRPr="00427CF1">
          <w:rPr>
            <w:rStyle w:val="TextoNormalCaracter"/>
          </w:rPr>
          <w:t>140/2016</w:t>
        </w:r>
      </w:hyperlink>
      <w:r>
        <w:t xml:space="preserve">, ff. 2, 13, 14; </w:t>
      </w:r>
      <w:hyperlink w:anchor="SENTENCIA_2016_202" w:history="1">
        <w:r w:rsidRPr="00427CF1">
          <w:rPr>
            <w:rStyle w:val="TextoNormalCaracter"/>
          </w:rPr>
          <w:t>202/2016</w:t>
        </w:r>
      </w:hyperlink>
      <w:r>
        <w:t xml:space="preserve">, f. 2; </w:t>
      </w:r>
      <w:hyperlink w:anchor="SENTENCIA_2016_227" w:history="1">
        <w:r w:rsidRPr="00427CF1">
          <w:rPr>
            <w:rStyle w:val="TextoNormalCaracter"/>
          </w:rPr>
          <w:t>227/2016</w:t>
        </w:r>
      </w:hyperlink>
      <w:r>
        <w:t>, ff. 1, 3.</w:t>
      </w:r>
    </w:p>
    <w:p w:rsidR="00427CF1" w:rsidRDefault="00427CF1" w:rsidP="00427CF1">
      <w:pPr>
        <w:pStyle w:val="SangriaIzquierdaArticulo"/>
      </w:pPr>
      <w:r>
        <w:t xml:space="preserve">Autos </w:t>
      </w:r>
      <w:hyperlink w:anchor="AUTO_2016_179" w:history="1">
        <w:r w:rsidRPr="00427CF1">
          <w:rPr>
            <w:rStyle w:val="TextoNormalCaracter"/>
          </w:rPr>
          <w:t>179/2016</w:t>
        </w:r>
      </w:hyperlink>
      <w:r>
        <w:t xml:space="preserve">, ff. 2, 3; </w:t>
      </w:r>
      <w:hyperlink w:anchor="AUTO_2016_193" w:history="1">
        <w:r w:rsidRPr="00427CF1">
          <w:rPr>
            <w:rStyle w:val="TextoNormalCaracter"/>
          </w:rPr>
          <w:t>193/2016</w:t>
        </w:r>
      </w:hyperlink>
      <w:r>
        <w:t>, ff. 1, 2.</w:t>
      </w:r>
    </w:p>
    <w:p w:rsidR="00427CF1" w:rsidRDefault="00427CF1" w:rsidP="00427CF1">
      <w:pPr>
        <w:pStyle w:val="SangriaFrancesaArticulo"/>
      </w:pPr>
      <w:r w:rsidRPr="00427CF1">
        <w:rPr>
          <w:rStyle w:val="TextoNormalNegritaCaracter"/>
        </w:rPr>
        <w:t>Artículo 7.2</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27" w:history="1">
        <w:r w:rsidRPr="00427CF1">
          <w:rPr>
            <w:rStyle w:val="TextoNormalCaracter"/>
          </w:rPr>
          <w:t>227/2016</w:t>
        </w:r>
      </w:hyperlink>
      <w:r>
        <w:t>, f. 5.</w:t>
      </w:r>
    </w:p>
    <w:p w:rsidR="00427CF1" w:rsidRDefault="00427CF1" w:rsidP="00427CF1">
      <w:pPr>
        <w:pStyle w:val="SangriaFrancesaArticulo"/>
      </w:pPr>
      <w:r w:rsidRPr="00427CF1">
        <w:rPr>
          <w:rStyle w:val="TextoNormalNegritaCaracter"/>
        </w:rPr>
        <w:t>Artículo 7.3.</w:t>
      </w:r>
      <w:r w:rsidRPr="00427CF1">
        <w:rPr>
          <w:rStyle w:val="TextoNormalCaracter"/>
        </w:rPr>
        <w:t>-</w:t>
      </w:r>
      <w:r>
        <w:t xml:space="preserve"> Sentencias </w:t>
      </w:r>
      <w:hyperlink w:anchor="SENTENCIA_2016_140" w:history="1">
        <w:r w:rsidRPr="00427CF1">
          <w:rPr>
            <w:rStyle w:val="TextoNormalCaracter"/>
          </w:rPr>
          <w:t>140/2016</w:t>
        </w:r>
      </w:hyperlink>
      <w:r>
        <w:t xml:space="preserve">, f. 2; </w:t>
      </w:r>
      <w:hyperlink w:anchor="SENTENCIA_2016_202" w:history="1">
        <w:r w:rsidRPr="00427CF1">
          <w:rPr>
            <w:rStyle w:val="TextoNormalCaracter"/>
          </w:rPr>
          <w:t>202/2016</w:t>
        </w:r>
      </w:hyperlink>
      <w:r>
        <w:t>, f. 2.</w:t>
      </w:r>
    </w:p>
    <w:p w:rsidR="00427CF1" w:rsidRDefault="00427CF1" w:rsidP="00427CF1">
      <w:pPr>
        <w:pStyle w:val="SangriaFrancesaArticulo"/>
      </w:pPr>
      <w:r w:rsidRPr="00427CF1">
        <w:rPr>
          <w:rStyle w:val="TextoNormalNegritaCaracter"/>
        </w:rPr>
        <w:t>Artículo 7.3</w:t>
      </w:r>
      <w:r>
        <w:t xml:space="preserve"> (redactado por el Real Decreto-ley 3/2013, de 22 de febrero)</w:t>
      </w:r>
      <w:r w:rsidRPr="00427CF1">
        <w:rPr>
          <w:rStyle w:val="TextoNormalNegritaCaracter"/>
        </w:rPr>
        <w:t>.</w:t>
      </w:r>
      <w:r w:rsidRPr="00427CF1">
        <w:rPr>
          <w:rStyle w:val="TextoNormalCaracter"/>
        </w:rPr>
        <w:t>-</w:t>
      </w:r>
      <w:r>
        <w:t xml:space="preserve"> Sentencia </w:t>
      </w:r>
      <w:hyperlink w:anchor="SENTENCIA_2016_227" w:history="1">
        <w:r w:rsidRPr="00427CF1">
          <w:rPr>
            <w:rStyle w:val="TextoNormalCaracter"/>
          </w:rPr>
          <w:t>227/2016</w:t>
        </w:r>
      </w:hyperlink>
      <w:r>
        <w:t>, ff. 1 a 6.</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 xml:space="preserve">Artículo 7.3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2.</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40" w:history="1">
        <w:r w:rsidRPr="00427CF1">
          <w:rPr>
            <w:rStyle w:val="TextoNormalCaracter"/>
          </w:rPr>
          <w:t>140/2016</w:t>
        </w:r>
      </w:hyperlink>
      <w:r>
        <w:t>, f. 4.</w:t>
      </w:r>
    </w:p>
    <w:p w:rsidR="00427CF1" w:rsidRDefault="00427CF1" w:rsidP="00427CF1">
      <w:pPr>
        <w:pStyle w:val="SangriaFrancesaArticulo"/>
      </w:pPr>
      <w:r w:rsidRPr="00427CF1">
        <w:rPr>
          <w:rStyle w:val="TextoNormalNegritaCaracter"/>
        </w:rPr>
        <w:t>Artículo 8.2.</w:t>
      </w:r>
      <w:r w:rsidRPr="00427CF1">
        <w:rPr>
          <w:rStyle w:val="TextoNormalCaracter"/>
        </w:rPr>
        <w:t>-</w:t>
      </w:r>
      <w:r>
        <w:t xml:space="preserve"> Sentencias </w:t>
      </w:r>
      <w:hyperlink w:anchor="SENTENCIA_2016_140" w:history="1">
        <w:r w:rsidRPr="00427CF1">
          <w:rPr>
            <w:rStyle w:val="TextoNormalCaracter"/>
          </w:rPr>
          <w:t>140/2016</w:t>
        </w:r>
      </w:hyperlink>
      <w:r>
        <w:t xml:space="preserve">, f. 5; </w:t>
      </w:r>
      <w:hyperlink w:anchor="SENTENCIA_2016_202" w:history="1">
        <w:r w:rsidRPr="00427CF1">
          <w:rPr>
            <w:rStyle w:val="TextoNormalCaracter"/>
          </w:rPr>
          <w:t>202/2016</w:t>
        </w:r>
      </w:hyperlink>
      <w:r>
        <w:t>, f. 2.</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Sentencias </w:t>
      </w:r>
      <w:hyperlink w:anchor="SENTENCIA_2016_140" w:history="1">
        <w:r w:rsidRPr="00427CF1">
          <w:rPr>
            <w:rStyle w:val="TextoNormalCaracter"/>
          </w:rPr>
          <w:t>140/2016</w:t>
        </w:r>
      </w:hyperlink>
      <w:r>
        <w:t xml:space="preserve">, ff. 1, 2; </w:t>
      </w:r>
      <w:hyperlink w:anchor="SENTENCIA_2016_202" w:history="1">
        <w:r w:rsidRPr="00427CF1">
          <w:rPr>
            <w:rStyle w:val="TextoNormalCaracter"/>
          </w:rPr>
          <w:t>202/2016</w:t>
        </w:r>
      </w:hyperlink>
      <w:r>
        <w:t>, f. 2.</w:t>
      </w:r>
    </w:p>
    <w:p w:rsidR="00427CF1" w:rsidRDefault="00427CF1" w:rsidP="00427CF1">
      <w:pPr>
        <w:pStyle w:val="SangriaFrancesaArticulo"/>
      </w:pPr>
      <w:r w:rsidRPr="00427CF1">
        <w:rPr>
          <w:rStyle w:val="TextoNormalNegritaCaracter"/>
        </w:rPr>
        <w:t>Disposición derogatoria única.</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202" w:history="1">
        <w:r w:rsidRPr="00427CF1">
          <w:rPr>
            <w:rStyle w:val="TextoNormalCaracter"/>
          </w:rPr>
          <w:t>202/2016</w:t>
        </w:r>
      </w:hyperlink>
      <w:r>
        <w:t>, ff. 1, 2, 5.</w:t>
      </w:r>
    </w:p>
    <w:p w:rsidR="00427CF1" w:rsidRDefault="00427CF1" w:rsidP="00427CF1">
      <w:pPr>
        <w:pStyle w:val="SangriaFrancesaArticulo"/>
      </w:pPr>
      <w:r w:rsidRPr="00427CF1">
        <w:rPr>
          <w:rStyle w:val="TextoNormalNegritaCaracter"/>
        </w:rPr>
        <w:t>Disposición final séptima.</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12/2012, de 26 de diciembre. Medidas urgentes de liberalización del comercio y de determinados servicios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7" w:history="1">
        <w:r w:rsidRPr="00427CF1">
          <w:rPr>
            <w:rStyle w:val="TextoNormalCaracter"/>
          </w:rPr>
          <w:t>157/2016</w:t>
        </w:r>
      </w:hyperlink>
      <w:r>
        <w:t>, ff. 1, 8.</w:t>
      </w:r>
    </w:p>
    <w:p w:rsidR="00427CF1" w:rsidRDefault="00427CF1" w:rsidP="00427CF1">
      <w:pPr>
        <w:pStyle w:val="SangriaFrancesaArticulo"/>
      </w:pPr>
      <w:r w:rsidRPr="00427CF1">
        <w:rPr>
          <w:rStyle w:val="TextoNormalNegritaCaracter"/>
        </w:rPr>
        <w:t>Disposición final undécima.</w:t>
      </w:r>
      <w:r w:rsidRPr="00427CF1">
        <w:rPr>
          <w:rStyle w:val="TextoNormalCaracter"/>
        </w:rPr>
        <w:t>-</w:t>
      </w:r>
      <w:r>
        <w:t xml:space="preserve"> Sentencia </w:t>
      </w:r>
      <w:hyperlink w:anchor="SENTENCIA_2016_157" w:history="1">
        <w:r w:rsidRPr="00427CF1">
          <w:rPr>
            <w:rStyle w:val="TextoNormalCaracter"/>
          </w:rPr>
          <w:t>157/2016</w:t>
        </w:r>
      </w:hyperlink>
      <w:r>
        <w:t>, f. 8.</w:t>
      </w:r>
    </w:p>
    <w:p w:rsidR="00427CF1" w:rsidRDefault="00427CF1" w:rsidP="00427CF1">
      <w:pPr>
        <w:pStyle w:val="SangriaFrancesaArticulo"/>
      </w:pPr>
    </w:p>
    <w:p w:rsidR="00427CF1" w:rsidRDefault="00427CF1" w:rsidP="00427CF1">
      <w:pPr>
        <w:pStyle w:val="TextoNormalNegritaCursivandice"/>
      </w:pPr>
      <w:r>
        <w:t>Ley 15/2012, de 27 de diciembre. Medidas fiscales para la sostenibilidad energética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 3; </w:t>
      </w:r>
      <w:hyperlink w:anchor="SENTENCIA_2016_196" w:history="1">
        <w:r w:rsidRPr="00427CF1">
          <w:rPr>
            <w:rStyle w:val="TextoNormalCaracter"/>
          </w:rPr>
          <w:t>196/2016</w:t>
        </w:r>
      </w:hyperlink>
      <w:r>
        <w:t>, f. 4.</w:t>
      </w:r>
    </w:p>
    <w:p w:rsidR="00427CF1" w:rsidRDefault="00427CF1" w:rsidP="00427CF1">
      <w:pPr>
        <w:pStyle w:val="SangriaIzquierdaArticulo"/>
      </w:pPr>
      <w:r>
        <w:t xml:space="preserve">Autos </w:t>
      </w:r>
      <w:hyperlink w:anchor="AUTO_2016_202" w:history="1">
        <w:r w:rsidRPr="00427CF1">
          <w:rPr>
            <w:rStyle w:val="TextoNormalCaracter"/>
          </w:rPr>
          <w:t>202/2016</w:t>
        </w:r>
      </w:hyperlink>
      <w:r>
        <w:t xml:space="preserve">, f. 3; </w:t>
      </w:r>
      <w:hyperlink w:anchor="AUTO_2016_203" w:history="1">
        <w:r w:rsidRPr="00427CF1">
          <w:rPr>
            <w:rStyle w:val="TextoNormalCaracter"/>
          </w:rPr>
          <w:t>203/2016</w:t>
        </w:r>
      </w:hyperlink>
      <w:r>
        <w:t>, f.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Autos </w:t>
      </w:r>
      <w:hyperlink w:anchor="AUTO_2016_202" w:history="1">
        <w:r w:rsidRPr="00427CF1">
          <w:rPr>
            <w:rStyle w:val="TextoNormalCaracter"/>
          </w:rPr>
          <w:t>202/2016</w:t>
        </w:r>
      </w:hyperlink>
      <w:r>
        <w:t xml:space="preserve">, f. 1; </w:t>
      </w:r>
      <w:hyperlink w:anchor="AUTO_2016_204" w:history="1">
        <w:r w:rsidRPr="00427CF1">
          <w:rPr>
            <w:rStyle w:val="TextoNormalCaracter"/>
          </w:rPr>
          <w:t>204/2016</w:t>
        </w:r>
      </w:hyperlink>
      <w:r>
        <w:t>, f. 1.</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Autos </w:t>
      </w:r>
      <w:hyperlink w:anchor="AUTO_2016_202" w:history="1">
        <w:r w:rsidRPr="00427CF1">
          <w:rPr>
            <w:rStyle w:val="TextoNormalCaracter"/>
          </w:rPr>
          <w:t>202/2016</w:t>
        </w:r>
      </w:hyperlink>
      <w:r>
        <w:t xml:space="preserve">, f. 1; </w:t>
      </w:r>
      <w:hyperlink w:anchor="AUTO_2016_204" w:history="1">
        <w:r w:rsidRPr="00427CF1">
          <w:rPr>
            <w:rStyle w:val="TextoNormalCaracter"/>
          </w:rPr>
          <w:t>204/2016</w:t>
        </w:r>
      </w:hyperlink>
      <w:r>
        <w:t>, f. 1.</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Autos </w:t>
      </w:r>
      <w:hyperlink w:anchor="AUTO_2016_202" w:history="1">
        <w:r w:rsidRPr="00427CF1">
          <w:rPr>
            <w:rStyle w:val="TextoNormalCaracter"/>
          </w:rPr>
          <w:t>202/2016</w:t>
        </w:r>
      </w:hyperlink>
      <w:r>
        <w:t xml:space="preserve">, f. 1; </w:t>
      </w:r>
      <w:hyperlink w:anchor="AUTO_2016_204" w:history="1">
        <w:r w:rsidRPr="00427CF1">
          <w:rPr>
            <w:rStyle w:val="TextoNormalCaracter"/>
          </w:rPr>
          <w:t>204/2016</w:t>
        </w:r>
      </w:hyperlink>
      <w:r>
        <w:t>, f. 1.</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Autos </w:t>
      </w:r>
      <w:hyperlink w:anchor="AUTO_2016_202" w:history="1">
        <w:r w:rsidRPr="00427CF1">
          <w:rPr>
            <w:rStyle w:val="TextoNormalCaracter"/>
          </w:rPr>
          <w:t>202/2016</w:t>
        </w:r>
      </w:hyperlink>
      <w:r>
        <w:t xml:space="preserve">, f. 1; </w:t>
      </w:r>
      <w:hyperlink w:anchor="AUTO_2016_204" w:history="1">
        <w:r w:rsidRPr="00427CF1">
          <w:rPr>
            <w:rStyle w:val="TextoNormalCaracter"/>
          </w:rPr>
          <w:t>204/2016</w:t>
        </w:r>
      </w:hyperlink>
      <w:r>
        <w:t>, f. 1.</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Autos </w:t>
      </w:r>
      <w:hyperlink w:anchor="AUTO_2016_203" w:history="1">
        <w:r w:rsidRPr="00427CF1">
          <w:rPr>
            <w:rStyle w:val="TextoNormalCaracter"/>
          </w:rPr>
          <w:t>203/2016</w:t>
        </w:r>
      </w:hyperlink>
      <w:r>
        <w:t xml:space="preserve">, f. 1; </w:t>
      </w:r>
      <w:hyperlink w:anchor="AUTO_2016_205" w:history="1">
        <w:r w:rsidRPr="00427CF1">
          <w:rPr>
            <w:rStyle w:val="TextoNormalCaracter"/>
          </w:rPr>
          <w:t>205/2016</w:t>
        </w:r>
      </w:hyperlink>
      <w:r>
        <w:t>, f. 1.</w:t>
      </w:r>
    </w:p>
    <w:p w:rsidR="00427CF1" w:rsidRDefault="00427CF1" w:rsidP="00427CF1">
      <w:pPr>
        <w:pStyle w:val="SangriaFrancesaArticulo"/>
      </w:pPr>
    </w:p>
    <w:p w:rsidR="00427CF1" w:rsidRDefault="00427CF1" w:rsidP="00427CF1">
      <w:pPr>
        <w:pStyle w:val="TextoNormalNegritaCursivandice"/>
      </w:pPr>
      <w:r>
        <w:t>Ley 17/2012, de 27 de diciembre. Presupuestos Generales del Estado para el año 2013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78" w:history="1">
        <w:r w:rsidRPr="00427CF1">
          <w:rPr>
            <w:rStyle w:val="TextoNormalCaracter"/>
          </w:rPr>
          <w:t>178/2016</w:t>
        </w:r>
      </w:hyperlink>
      <w:r>
        <w:t xml:space="preserve">, f. 3; </w:t>
      </w:r>
      <w:hyperlink w:anchor="SENTENCIA_2016_179" w:history="1">
        <w:r w:rsidRPr="00427CF1">
          <w:rPr>
            <w:rStyle w:val="TextoNormalCaracter"/>
          </w:rPr>
          <w:t>179/2016</w:t>
        </w:r>
      </w:hyperlink>
      <w:r>
        <w:t>, ff. 2, 3.</w:t>
      </w:r>
    </w:p>
    <w:p w:rsidR="00427CF1" w:rsidRDefault="00427CF1" w:rsidP="00427CF1">
      <w:pPr>
        <w:pStyle w:val="SangriaFrancesaArticulo"/>
      </w:pPr>
      <w:r w:rsidRPr="00427CF1">
        <w:rPr>
          <w:rStyle w:val="TextoNormalNegritaCaracter"/>
        </w:rPr>
        <w:t>Artículo 22.3.</w:t>
      </w:r>
      <w:r w:rsidRPr="00427CF1">
        <w:rPr>
          <w:rStyle w:val="TextoNormalCaracter"/>
        </w:rPr>
        <w:t>-</w:t>
      </w:r>
      <w:r>
        <w:t xml:space="preserve"> Sentencia </w:t>
      </w:r>
      <w:hyperlink w:anchor="SENTENCIA_2016_194" w:history="1">
        <w:r w:rsidRPr="00427CF1">
          <w:rPr>
            <w:rStyle w:val="TextoNormalCaracter"/>
          </w:rPr>
          <w:t>194/2016</w:t>
        </w:r>
      </w:hyperlink>
      <w:r>
        <w:t>, ff. 1, 2.</w:t>
      </w:r>
    </w:p>
    <w:p w:rsidR="00427CF1" w:rsidRDefault="00427CF1" w:rsidP="00427CF1">
      <w:pPr>
        <w:pStyle w:val="SangriaFrancesaArticulo"/>
      </w:pPr>
      <w:r w:rsidRPr="00427CF1">
        <w:rPr>
          <w:rStyle w:val="TextoNormalNegritaCaracter"/>
        </w:rPr>
        <w:t>Artículo 23.1.2.</w:t>
      </w:r>
      <w:r w:rsidRPr="00427CF1">
        <w:rPr>
          <w:rStyle w:val="TextoNormalCaracter"/>
        </w:rPr>
        <w:t>-</w:t>
      </w:r>
      <w:r>
        <w:t xml:space="preserve"> Sentencia </w:t>
      </w:r>
      <w:hyperlink w:anchor="SENTENCIA_2016_194" w:history="1">
        <w:r w:rsidRPr="00427CF1">
          <w:rPr>
            <w:rStyle w:val="TextoNormalCaracter"/>
          </w:rPr>
          <w:t>194/2016</w:t>
        </w:r>
      </w:hyperlink>
      <w:r>
        <w:t>, ff. 1, 3.</w:t>
      </w:r>
    </w:p>
    <w:p w:rsidR="00427CF1" w:rsidRDefault="00427CF1" w:rsidP="00427CF1">
      <w:pPr>
        <w:pStyle w:val="SangriaFrancesaArticulo"/>
      </w:pPr>
      <w:r w:rsidRPr="00427CF1">
        <w:rPr>
          <w:rStyle w:val="TextoNormalNegritaCaracter"/>
        </w:rPr>
        <w:t>Disposición adicional octogésima cuarta.</w:t>
      </w:r>
      <w:r w:rsidRPr="00427CF1">
        <w:rPr>
          <w:rStyle w:val="TextoNormalCaracter"/>
        </w:rPr>
        <w:t>-</w:t>
      </w:r>
      <w:r>
        <w:t xml:space="preserve"> Sentencias </w:t>
      </w:r>
      <w:hyperlink w:anchor="SENTENCIA_2016_179" w:history="1">
        <w:r w:rsidRPr="00427CF1">
          <w:rPr>
            <w:rStyle w:val="TextoNormalCaracter"/>
          </w:rPr>
          <w:t>179/2016</w:t>
        </w:r>
      </w:hyperlink>
      <w:r>
        <w:t xml:space="preserve">, ff. 1, 3; </w:t>
      </w:r>
      <w:hyperlink w:anchor="SENTENCIA_2016_194" w:history="1">
        <w:r w:rsidRPr="00427CF1">
          <w:rPr>
            <w:rStyle w:val="TextoNormalCaracter"/>
          </w:rPr>
          <w:t>194/2016</w:t>
        </w:r>
      </w:hyperlink>
      <w:r>
        <w:t>, ff. 1, 2.</w:t>
      </w:r>
    </w:p>
    <w:p w:rsidR="00427CF1" w:rsidRDefault="00427CF1" w:rsidP="00427CF1">
      <w:pPr>
        <w:pStyle w:val="SangriaFrancesaArticulo"/>
      </w:pPr>
      <w:r w:rsidRPr="00427CF1">
        <w:rPr>
          <w:rStyle w:val="TextoNormalNegritaCaracter"/>
        </w:rPr>
        <w:t>Disposición adicional octogésima primera.</w:t>
      </w:r>
      <w:r w:rsidRPr="00427CF1">
        <w:rPr>
          <w:rStyle w:val="TextoNormalCaracter"/>
        </w:rPr>
        <w:t>-</w:t>
      </w:r>
      <w:r>
        <w:t xml:space="preserve"> Sentencias </w:t>
      </w:r>
      <w:hyperlink w:anchor="SENTENCIA_2016_179" w:history="1">
        <w:r w:rsidRPr="00427CF1">
          <w:rPr>
            <w:rStyle w:val="TextoNormalCaracter"/>
          </w:rPr>
          <w:t>179/2016</w:t>
        </w:r>
      </w:hyperlink>
      <w:r>
        <w:t xml:space="preserve">, ff. 1, 2, VP; </w:t>
      </w:r>
      <w:hyperlink w:anchor="SENTENCIA_2016_194" w:history="1">
        <w:r w:rsidRPr="00427CF1">
          <w:rPr>
            <w:rStyle w:val="TextoNormalCaracter"/>
          </w:rPr>
          <w:t>194/2016</w:t>
        </w:r>
      </w:hyperlink>
      <w:r>
        <w:t>, ff. 1, 2, VP.</w:t>
      </w:r>
    </w:p>
    <w:p w:rsidR="00427CF1" w:rsidRDefault="00427CF1" w:rsidP="00427CF1">
      <w:pPr>
        <w:pStyle w:val="SangriaFrancesaArticulo"/>
      </w:pPr>
      <w:r w:rsidRPr="00427CF1">
        <w:rPr>
          <w:rStyle w:val="TextoNormalNegritaCaracter"/>
        </w:rPr>
        <w:t>Disposición adicional octogésima primera, apartado a).</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adicional octogésima primera, apartado b).</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adicional octogésima primera, apartado c).</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adicional octogésima primera, apartado d).</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adicional octogésima segunda.</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Ley 1/2013, de 14 de mayo. Medidas para reforzar la protección a los deudores hipotecarios, reestructuración de deuda y alquiler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3" w:history="1">
        <w:r w:rsidRPr="00427CF1">
          <w:rPr>
            <w:rStyle w:val="TextoNormalCaracter"/>
          </w:rPr>
          <w:t>213/2016</w:t>
        </w:r>
      </w:hyperlink>
      <w:r>
        <w:t>, ff. 3, 4.</w:t>
      </w:r>
    </w:p>
    <w:p w:rsidR="00427CF1" w:rsidRDefault="00427CF1" w:rsidP="00427CF1">
      <w:pPr>
        <w:pStyle w:val="SangriaIzquierdaArticulo"/>
      </w:pPr>
      <w:r>
        <w:t xml:space="preserve">Auto </w:t>
      </w:r>
      <w:hyperlink w:anchor="AUTO_2016_146" w:history="1">
        <w:r w:rsidRPr="00427CF1">
          <w:rPr>
            <w:rStyle w:val="TextoNormalCaracter"/>
          </w:rPr>
          <w:t>146/2016</w:t>
        </w:r>
      </w:hyperlink>
      <w:r>
        <w:t>, f. 4.</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46" w:history="1">
        <w:r w:rsidRPr="00427CF1">
          <w:rPr>
            <w:rStyle w:val="TextoNormalCaracter"/>
          </w:rPr>
          <w:t>146/2016</w:t>
        </w:r>
      </w:hyperlink>
      <w:r>
        <w:t>, ff. 3, 4.</w:t>
      </w:r>
    </w:p>
    <w:p w:rsidR="00427CF1" w:rsidRDefault="00427CF1" w:rsidP="00427CF1">
      <w:pPr>
        <w:pStyle w:val="SangriaFrancesaArticulo"/>
      </w:pPr>
      <w:r w:rsidRPr="00427CF1">
        <w:rPr>
          <w:rStyle w:val="TextoNormalNegritaCaracter"/>
        </w:rPr>
        <w:t>Dispoisición final primera.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 5, VP; </w:t>
      </w:r>
      <w:hyperlink w:anchor="AUTO_2016_160" w:history="1">
        <w:r w:rsidRPr="00427CF1">
          <w:rPr>
            <w:rStyle w:val="TextoNormalCaracter"/>
          </w:rPr>
          <w:t>160/2016</w:t>
        </w:r>
      </w:hyperlink>
      <w:r>
        <w:t>, f. 4.</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IzquierdaArticulo"/>
      </w:pPr>
      <w:r>
        <w:t xml:space="preserve">Auto </w:t>
      </w:r>
      <w:hyperlink w:anchor="AUTO_2016_146" w:history="1">
        <w:r w:rsidRPr="00427CF1">
          <w:rPr>
            <w:rStyle w:val="TextoNormalCaracter"/>
          </w:rPr>
          <w:t>146/2016</w:t>
        </w:r>
      </w:hyperlink>
      <w:r>
        <w:t>, ff. 1, 4.</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213" w:history="1">
        <w:r w:rsidRPr="00427CF1">
          <w:rPr>
            <w:rStyle w:val="TextoNormalCaracter"/>
          </w:rPr>
          <w:t>213/2016</w:t>
        </w:r>
      </w:hyperlink>
      <w:r>
        <w:t>, f. 6.</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 7.14.</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Artículo 8.2.</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213" w:history="1">
        <w:r w:rsidRPr="00427CF1">
          <w:rPr>
            <w:rStyle w:val="TextoNormalCaracter"/>
          </w:rPr>
          <w:t>213/2016</w:t>
        </w:r>
      </w:hyperlink>
      <w:r>
        <w:t>, ff. 1, 5.</w:t>
      </w:r>
    </w:p>
    <w:p w:rsidR="00427CF1" w:rsidRDefault="00427CF1" w:rsidP="00427CF1">
      <w:pPr>
        <w:pStyle w:val="SangriaFrancesaArticulo"/>
      </w:pPr>
      <w:r w:rsidRPr="00427CF1">
        <w:rPr>
          <w:rStyle w:val="TextoNormalNegritaCaracter"/>
        </w:rPr>
        <w:t>Disposición adicional cuarta.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213" w:history="1">
        <w:r w:rsidRPr="00427CF1">
          <w:rPr>
            <w:rStyle w:val="TextoNormalCaracter"/>
          </w:rPr>
          <w:t>213/2016</w:t>
        </w:r>
      </w:hyperlink>
      <w:r>
        <w:t>, ff. 1, 5 a 7.</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 </w:t>
      </w:r>
      <w:hyperlink w:anchor="SENTENCIA_2016_213" w:history="1">
        <w:r w:rsidRPr="00427CF1">
          <w:rPr>
            <w:rStyle w:val="TextoNormalCaracter"/>
          </w:rPr>
          <w:t>213/2016</w:t>
        </w:r>
      </w:hyperlink>
      <w:r>
        <w:t>, ff. 1, 5 a 7.</w:t>
      </w:r>
    </w:p>
    <w:p w:rsidR="00427CF1" w:rsidRDefault="00427CF1" w:rsidP="00427CF1">
      <w:pPr>
        <w:pStyle w:val="SangriaFrancesaArticulo"/>
      </w:pPr>
      <w:r w:rsidRPr="00427CF1">
        <w:rPr>
          <w:rStyle w:val="TextoNormalNegritaCaracter"/>
        </w:rPr>
        <w:t>Disposición transitoria cuarta.</w:t>
      </w:r>
      <w:r w:rsidRPr="00427CF1">
        <w:rPr>
          <w:rStyle w:val="TextoNormalCaracter"/>
        </w:rPr>
        <w:t>-</w:t>
      </w:r>
      <w:r>
        <w:t xml:space="preserve"> Sentencia </w:t>
      </w:r>
      <w:hyperlink w:anchor="SENTENCIA_2016_213" w:history="1">
        <w:r w:rsidRPr="00427CF1">
          <w:rPr>
            <w:rStyle w:val="TextoNormalCaracter"/>
          </w:rPr>
          <w:t>213/2016</w:t>
        </w:r>
      </w:hyperlink>
      <w:r>
        <w:t>, ff. 1, 5, 7.</w:t>
      </w:r>
    </w:p>
    <w:p w:rsidR="00427CF1" w:rsidRDefault="00427CF1" w:rsidP="00427CF1">
      <w:pPr>
        <w:pStyle w:val="SangriaFrancesaArticulo"/>
      </w:pPr>
      <w:r w:rsidRPr="00427CF1">
        <w:rPr>
          <w:rStyle w:val="TextoNormalNegritaCaracter"/>
        </w:rPr>
        <w:t>Disposición transitoria quinta.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p>
    <w:p w:rsidR="00427CF1" w:rsidRDefault="00427CF1" w:rsidP="00427CF1">
      <w:pPr>
        <w:pStyle w:val="TextoNormalNegritaCursivandice"/>
      </w:pPr>
      <w:r>
        <w:t>Ley 3/2013, de 4 de junio. Creación de la Comisión Nacional de los Mercados y la Competencia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p>
    <w:p w:rsidR="00427CF1" w:rsidRDefault="00427CF1" w:rsidP="00427CF1">
      <w:pPr>
        <w:pStyle w:val="TextoNormalNegritaCursivandice"/>
      </w:pPr>
      <w:r>
        <w:t>Ley 8/2013, de 26 de junio. Rehabilitación, regeneración y renovación urbanas</w:t>
      </w:r>
    </w:p>
    <w:p w:rsidR="00427CF1" w:rsidRDefault="00427CF1" w:rsidP="00427CF1">
      <w:pPr>
        <w:pStyle w:val="SangriaFrancesaArticulo"/>
      </w:pPr>
      <w:r w:rsidRPr="00427CF1">
        <w:rPr>
          <w:rStyle w:val="TextoNormalNegritaCaracter"/>
        </w:rPr>
        <w:t>Disposición final cuarta, apartado 1.</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Disposición final decimoséptima.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p>
    <w:p w:rsidR="00427CF1" w:rsidRDefault="00427CF1" w:rsidP="00427CF1">
      <w:pPr>
        <w:pStyle w:val="TextoNormalNegritaCursivandice"/>
      </w:pPr>
      <w:r>
        <w:t>Ley 18/2013, de 12 de noviembre. Regulación de la tauromaquia como patrimonio cultural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f. 6, VP I, VP II.</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77" w:history="1">
        <w:r w:rsidRPr="00427CF1">
          <w:rPr>
            <w:rStyle w:val="TextoNormalCaracter"/>
          </w:rPr>
          <w:t>177/2016</w:t>
        </w:r>
      </w:hyperlink>
      <w:r>
        <w:t>, f. 6, VP II.</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77" w:history="1">
        <w:r w:rsidRPr="00427CF1">
          <w:rPr>
            <w:rStyle w:val="TextoNormalCaracter"/>
          </w:rPr>
          <w:t>177/2016</w:t>
        </w:r>
      </w:hyperlink>
      <w:r>
        <w:t>, f. 6.</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77" w:history="1">
        <w:r w:rsidRPr="00427CF1">
          <w:rPr>
            <w:rStyle w:val="TextoNormalCaracter"/>
          </w:rPr>
          <w:t>177/2016</w:t>
        </w:r>
      </w:hyperlink>
      <w:r>
        <w:t>, f. 6, VP I, VP II.</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77" w:history="1">
        <w:r w:rsidRPr="00427CF1">
          <w:rPr>
            <w:rStyle w:val="TextoNormalCaracter"/>
          </w:rPr>
          <w:t>177/2016</w:t>
        </w:r>
      </w:hyperlink>
      <w:r>
        <w:t>, VP I.</w:t>
      </w:r>
    </w:p>
    <w:p w:rsidR="00427CF1" w:rsidRDefault="00427CF1" w:rsidP="00427CF1">
      <w:pPr>
        <w:pStyle w:val="SangriaFrancesaArticulo"/>
      </w:pPr>
    </w:p>
    <w:p w:rsidR="00427CF1" w:rsidRDefault="00427CF1" w:rsidP="00427CF1">
      <w:pPr>
        <w:pStyle w:val="TextoNormalNegritaCursivandice"/>
      </w:pPr>
      <w:r>
        <w:t>Ley 20/2013, de 9 de diciembre. Garantía de la unidad de mercado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VP.</w:t>
      </w:r>
    </w:p>
    <w:p w:rsidR="00427CF1" w:rsidRDefault="00427CF1" w:rsidP="00427CF1">
      <w:pPr>
        <w:pStyle w:val="SangriaIzquierdaArticulo"/>
      </w:pPr>
      <w:r>
        <w:t xml:space="preserve">Autos </w:t>
      </w:r>
      <w:hyperlink w:anchor="AUTO_2016_140" w:history="1">
        <w:r w:rsidRPr="00427CF1">
          <w:rPr>
            <w:rStyle w:val="TextoNormalCaracter"/>
          </w:rPr>
          <w:t>140/2016</w:t>
        </w:r>
      </w:hyperlink>
      <w:r>
        <w:t xml:space="preserve">, f. 3; </w:t>
      </w:r>
      <w:hyperlink w:anchor="AUTO_2016_144" w:history="1">
        <w:r w:rsidRPr="00427CF1">
          <w:rPr>
            <w:rStyle w:val="TextoNormalCaracter"/>
          </w:rPr>
          <w:t>144/2016</w:t>
        </w:r>
      </w:hyperlink>
      <w:r>
        <w:t>, f. 7.</w:t>
      </w:r>
    </w:p>
    <w:p w:rsidR="00427CF1" w:rsidRDefault="00427CF1" w:rsidP="00427CF1">
      <w:pPr>
        <w:pStyle w:val="SangriaFrancesaArticulo"/>
      </w:pPr>
      <w:r w:rsidRPr="00427CF1">
        <w:rPr>
          <w:rStyle w:val="TextoNormalNegritaCaracter"/>
        </w:rPr>
        <w:t>Capítulo II.</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ff. 1, 8.</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157" w:history="1">
        <w:r w:rsidRPr="00427CF1">
          <w:rPr>
            <w:rStyle w:val="TextoNormalCaracter"/>
          </w:rPr>
          <w:t>157/2016</w:t>
        </w:r>
      </w:hyperlink>
      <w:r>
        <w:t>, ff. 1, 8.</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 </w:t>
      </w:r>
      <w:hyperlink w:anchor="SENTENCIA_2016_157" w:history="1">
        <w:r w:rsidRPr="00427CF1">
          <w:rPr>
            <w:rStyle w:val="TextoNormalCaracter"/>
          </w:rPr>
          <w:t>157/2016</w:t>
        </w:r>
      </w:hyperlink>
      <w:r>
        <w:t>, ff. 1, 8, VP.</w:t>
      </w:r>
    </w:p>
    <w:p w:rsidR="00427CF1" w:rsidRDefault="00427CF1" w:rsidP="00427CF1">
      <w:pPr>
        <w:pStyle w:val="SangriaFrancesaArticulo"/>
      </w:pPr>
      <w:r w:rsidRPr="00427CF1">
        <w:rPr>
          <w:rStyle w:val="TextoNormalNegritaCaracter"/>
        </w:rPr>
        <w:t>Disposición final segunda, apartado 1.</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Disposición final segunda, apartado 3.</w:t>
      </w:r>
      <w:r w:rsidRPr="00427CF1">
        <w:rPr>
          <w:rStyle w:val="TextoNormalCaracter"/>
        </w:rPr>
        <w:t>-</w:t>
      </w:r>
      <w:r>
        <w:t xml:space="preserve"> Sentencia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Disposición final cuarta.</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p>
    <w:p w:rsidR="00427CF1" w:rsidRDefault="00427CF1" w:rsidP="00427CF1">
      <w:pPr>
        <w:pStyle w:val="TextoNormalNegritaCursivandice"/>
      </w:pPr>
      <w:r>
        <w:t>Ley 21/2013, de 9 de diciembre. Evaluación ambiental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1" w:history="1">
        <w:r w:rsidRPr="00427CF1">
          <w:rPr>
            <w:rStyle w:val="TextoNormalCaracter"/>
          </w:rPr>
          <w:t>171/2016</w:t>
        </w:r>
      </w:hyperlink>
      <w:r>
        <w:t>, f. 5.</w:t>
      </w:r>
    </w:p>
    <w:p w:rsidR="00427CF1" w:rsidRDefault="00427CF1" w:rsidP="00427CF1">
      <w:pPr>
        <w:pStyle w:val="SangriaFrancesaArticulo"/>
      </w:pPr>
    </w:p>
    <w:p w:rsidR="00427CF1" w:rsidRDefault="00427CF1" w:rsidP="00427CF1">
      <w:pPr>
        <w:pStyle w:val="TextoNormalNegritaCursivandice"/>
      </w:pPr>
      <w:r>
        <w:t>Ley 22/2013, de 23 de diciembre. Presupuestos generales del Estado para el año 2014</w:t>
      </w:r>
    </w:p>
    <w:p w:rsidR="00427CF1" w:rsidRDefault="00427CF1" w:rsidP="00427CF1">
      <w:pPr>
        <w:pStyle w:val="SangriaFrancesaArticulo"/>
      </w:pPr>
      <w:r w:rsidRPr="00427CF1">
        <w:rPr>
          <w:rStyle w:val="TextoNormalNegritaCaracter"/>
        </w:rPr>
        <w:t>Artículo 21.2.</w:t>
      </w:r>
      <w:r w:rsidRPr="00427CF1">
        <w:rPr>
          <w:rStyle w:val="TextoNormalCaracter"/>
        </w:rPr>
        <w:t>-</w:t>
      </w:r>
      <w:r>
        <w:t xml:space="preserve"> Sentencia </w:t>
      </w:r>
      <w:hyperlink w:anchor="SENTENCIA_2016_194" w:history="1">
        <w:r w:rsidRPr="00427CF1">
          <w:rPr>
            <w:rStyle w:val="TextoNormalCaracter"/>
          </w:rPr>
          <w:t>194/2016</w:t>
        </w:r>
      </w:hyperlink>
      <w:r>
        <w:t>, f. 3.</w:t>
      </w:r>
    </w:p>
    <w:p w:rsidR="00427CF1" w:rsidRDefault="00427CF1" w:rsidP="00427CF1">
      <w:pPr>
        <w:pStyle w:val="SangriaFrancesaArticulo"/>
      </w:pPr>
      <w:r w:rsidRPr="00427CF1">
        <w:rPr>
          <w:rStyle w:val="TextoNormalNegritaCaracter"/>
        </w:rPr>
        <w:t>Disposición adicional octogésima.</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Disposición adicional septuagésima.</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final cuarta, apartado 8.</w:t>
      </w:r>
      <w:r w:rsidRPr="00427CF1">
        <w:rPr>
          <w:rStyle w:val="TextoNormalCaracter"/>
        </w:rPr>
        <w:t>-</w:t>
      </w:r>
      <w:r>
        <w:t xml:space="preserve"> Sentencia </w:t>
      </w:r>
      <w:hyperlink w:anchor="SENTENCIA_2016_135" w:history="1">
        <w:r w:rsidRPr="00427CF1">
          <w:rPr>
            <w:rStyle w:val="TextoNormalCaracter"/>
          </w:rPr>
          <w:t>135/2016</w:t>
        </w:r>
      </w:hyperlink>
      <w:r>
        <w:t>, f. 1.</w:t>
      </w:r>
    </w:p>
    <w:p w:rsidR="00427CF1" w:rsidRDefault="00427CF1" w:rsidP="00427CF1">
      <w:pPr>
        <w:pStyle w:val="SangriaFrancesaArticulo"/>
      </w:pPr>
    </w:p>
    <w:p w:rsidR="00427CF1" w:rsidRDefault="00427CF1" w:rsidP="00427CF1">
      <w:pPr>
        <w:pStyle w:val="TextoNormalNegritaCursivandice"/>
      </w:pPr>
      <w:r>
        <w:t>Ley 24/2013, de 26 de diciembre. Sector eléctrico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81" w:history="1">
        <w:r w:rsidRPr="00427CF1">
          <w:rPr>
            <w:rStyle w:val="TextoNormalCaracter"/>
          </w:rPr>
          <w:t>181/2016</w:t>
        </w:r>
      </w:hyperlink>
      <w:r>
        <w:t xml:space="preserve">, ff. 2, 3, 5;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xml:space="preserve">, f. 4; </w:t>
      </w:r>
      <w:hyperlink w:anchor="SENTENCIA_2016_205" w:history="1">
        <w:r w:rsidRPr="00427CF1">
          <w:rPr>
            <w:rStyle w:val="TextoNormalCaracter"/>
          </w:rPr>
          <w:t>205/2016</w:t>
        </w:r>
      </w:hyperlink>
      <w:r>
        <w:t>, ff. 1, 3.</w:t>
      </w:r>
    </w:p>
    <w:p w:rsidR="00427CF1" w:rsidRDefault="00427CF1" w:rsidP="00427CF1">
      <w:pPr>
        <w:pStyle w:val="SangriaFrancesaArticulo"/>
      </w:pPr>
      <w:r w:rsidRPr="00427CF1">
        <w:rPr>
          <w:rStyle w:val="TextoNormalNegritaCaracter"/>
        </w:rPr>
        <w:t>Exposición de motivos, apartado 1.</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Preámbulo, apartado II.</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Sentencia </w:t>
      </w:r>
      <w:hyperlink w:anchor="SENTENCIA_2016_205" w:history="1">
        <w:r w:rsidRPr="00427CF1">
          <w:rPr>
            <w:rStyle w:val="TextoNormalCaracter"/>
          </w:rPr>
          <w:t>205/2016</w:t>
        </w:r>
      </w:hyperlink>
      <w:r>
        <w:t>, ff. 1 a 4.</w:t>
      </w:r>
    </w:p>
    <w:p w:rsidR="00427CF1" w:rsidRDefault="00427CF1" w:rsidP="00427CF1">
      <w:pPr>
        <w:pStyle w:val="SangriaFrancesaArticulo"/>
      </w:pPr>
      <w:r w:rsidRPr="00427CF1">
        <w:rPr>
          <w:rStyle w:val="TextoNormalNegritaCaracter"/>
        </w:rPr>
        <w:t>Artículo 9</w:t>
      </w:r>
      <w:r>
        <w:t xml:space="preserve"> (redactado por el Real Decreto-ley 9/2015, de 10 de julio)</w:t>
      </w:r>
      <w:r w:rsidRPr="00427CF1">
        <w:rPr>
          <w:rStyle w:val="TextoNormalNegritaCaracter"/>
        </w:rPr>
        <w:t>.</w:t>
      </w:r>
      <w:r w:rsidRPr="00427CF1">
        <w:rPr>
          <w:rStyle w:val="TextoNormalCaracter"/>
        </w:rPr>
        <w:t>-</w:t>
      </w:r>
      <w:r>
        <w:t xml:space="preserve"> Sentencia </w:t>
      </w:r>
      <w:hyperlink w:anchor="SENTENCIA_2016_205" w:history="1">
        <w:r w:rsidRPr="00427CF1">
          <w:rPr>
            <w:rStyle w:val="TextoNormalCaracter"/>
          </w:rPr>
          <w:t>205/2016</w:t>
        </w:r>
      </w:hyperlink>
      <w:r>
        <w:t>, f. 3.</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205" w:history="1">
        <w:r w:rsidRPr="00427CF1">
          <w:rPr>
            <w:rStyle w:val="TextoNormalCaracter"/>
          </w:rPr>
          <w:t>205/2016</w:t>
        </w:r>
      </w:hyperlink>
      <w:r>
        <w:t>, f. 4.</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 </w:t>
      </w:r>
      <w:hyperlink w:anchor="SENTENCIA_2016_205" w:history="1">
        <w:r w:rsidRPr="00427CF1">
          <w:rPr>
            <w:rStyle w:val="TextoNormalCaracter"/>
          </w:rPr>
          <w:t>205/2016</w:t>
        </w:r>
      </w:hyperlink>
      <w:r>
        <w:t>, f. 4.</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205" w:history="1">
        <w:r w:rsidRPr="00427CF1">
          <w:rPr>
            <w:rStyle w:val="TextoNormalCaracter"/>
          </w:rPr>
          <w:t>205/2016</w:t>
        </w:r>
      </w:hyperlink>
      <w:r>
        <w:t>, f. 3.</w:t>
      </w:r>
    </w:p>
    <w:p w:rsidR="00427CF1" w:rsidRDefault="00427CF1" w:rsidP="00427CF1">
      <w:pPr>
        <w:pStyle w:val="SangriaFrancesaArticulo"/>
      </w:pPr>
      <w:r w:rsidRPr="00427CF1">
        <w:rPr>
          <w:rStyle w:val="TextoNormalNegritaCaracter"/>
        </w:rPr>
        <w:t>Artículo 9.5.</w:t>
      </w:r>
      <w:r w:rsidRPr="00427CF1">
        <w:rPr>
          <w:rStyle w:val="TextoNormalCaracter"/>
        </w:rPr>
        <w:t>-</w:t>
      </w:r>
      <w:r>
        <w:t xml:space="preserve"> Sentencia </w:t>
      </w:r>
      <w:hyperlink w:anchor="SENTENCIA_2016_205" w:history="1">
        <w:r w:rsidRPr="00427CF1">
          <w:rPr>
            <w:rStyle w:val="TextoNormalCaracter"/>
          </w:rPr>
          <w:t>205/2016</w:t>
        </w:r>
      </w:hyperlink>
      <w:r>
        <w:t>, ff. 3, 4.</w:t>
      </w:r>
    </w:p>
    <w:p w:rsidR="00427CF1" w:rsidRDefault="00427CF1" w:rsidP="00427CF1">
      <w:pPr>
        <w:pStyle w:val="SangriaFrancesaArticulo"/>
      </w:pPr>
      <w:r w:rsidRPr="00427CF1">
        <w:rPr>
          <w:rStyle w:val="TextoNormalNegritaCaracter"/>
        </w:rPr>
        <w:t>Artículo 67.</w:t>
      </w:r>
      <w:r w:rsidRPr="00427CF1">
        <w:rPr>
          <w:rStyle w:val="TextoNormalCaracter"/>
        </w:rPr>
        <w:t>-</w:t>
      </w:r>
      <w:r>
        <w:t xml:space="preserve"> Sentencia </w:t>
      </w:r>
      <w:hyperlink w:anchor="SENTENCIA_2016_142" w:history="1">
        <w:r w:rsidRPr="00427CF1">
          <w:rPr>
            <w:rStyle w:val="TextoNormalCaracter"/>
          </w:rPr>
          <w:t>142/2016</w:t>
        </w:r>
      </w:hyperlink>
      <w:r>
        <w:t>, f. 10.</w:t>
      </w:r>
    </w:p>
    <w:p w:rsidR="00427CF1" w:rsidRDefault="00427CF1" w:rsidP="00427CF1">
      <w:pPr>
        <w:pStyle w:val="SangriaFrancesaArticulo"/>
      </w:pPr>
      <w:r w:rsidRPr="00427CF1">
        <w:rPr>
          <w:rStyle w:val="TextoNormalNegritaCaracter"/>
        </w:rPr>
        <w:t>Disposición adicional décima.</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205" w:history="1">
        <w:r w:rsidRPr="00427CF1">
          <w:rPr>
            <w:rStyle w:val="TextoNormalCaracter"/>
          </w:rPr>
          <w:t>205/2016</w:t>
        </w:r>
      </w:hyperlink>
      <w:r>
        <w:t>, ff. 2, 3.</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p>
    <w:p w:rsidR="00427CF1" w:rsidRDefault="00427CF1" w:rsidP="00427CF1">
      <w:pPr>
        <w:pStyle w:val="TextoNormalNegritaCursivandice"/>
      </w:pPr>
      <w:r>
        <w:t>Ley 27/2013, de 27 de diciembre. Racionalización y sostenibilidad de la Administración local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8" w:history="1">
        <w:r w:rsidRPr="00427CF1">
          <w:rPr>
            <w:rStyle w:val="TextoNormalCaracter"/>
          </w:rPr>
          <w:t>168/2016</w:t>
        </w:r>
      </w:hyperlink>
      <w:r>
        <w:t>, ff. 1 a 4.</w:t>
      </w:r>
    </w:p>
    <w:p w:rsidR="00427CF1" w:rsidRDefault="00427CF1" w:rsidP="00427CF1">
      <w:pPr>
        <w:pStyle w:val="SangriaIzquierdaArticulo"/>
      </w:pPr>
      <w:r>
        <w:t xml:space="preserve">Auto </w:t>
      </w:r>
      <w:hyperlink w:anchor="AUTO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Articulo 1.2.</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Articulo 1.3.</w:t>
      </w:r>
      <w:r w:rsidRPr="00427CF1">
        <w:rPr>
          <w:rStyle w:val="TextoNormalCaracter"/>
        </w:rPr>
        <w:t>-</w:t>
      </w:r>
      <w:r>
        <w:t xml:space="preserve"> Sentencias </w:t>
      </w:r>
      <w:hyperlink w:anchor="SENTENCIA_2016_168" w:history="1">
        <w:r w:rsidRPr="00427CF1">
          <w:rPr>
            <w:rStyle w:val="TextoNormalCaracter"/>
          </w:rPr>
          <w:t>168/2016</w:t>
        </w:r>
      </w:hyperlink>
      <w:r>
        <w:t xml:space="preserve">, f. 3; </w:t>
      </w:r>
      <w:hyperlink w:anchor="SENTENCIA_2016_180" w:history="1">
        <w:r w:rsidRPr="00427CF1">
          <w:rPr>
            <w:rStyle w:val="TextoNormalCaracter"/>
          </w:rPr>
          <w:t>180/2016</w:t>
        </w:r>
      </w:hyperlink>
      <w:r>
        <w:t>, ff. 1 a 3.</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80" w:history="1">
        <w:r w:rsidRPr="00427CF1">
          <w:rPr>
            <w:rStyle w:val="TextoNormalCaracter"/>
          </w:rPr>
          <w:t>180/2016</w:t>
        </w:r>
      </w:hyperlink>
      <w:r>
        <w:t>, ff. 1 a 3.</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Sentencias </w:t>
      </w:r>
      <w:hyperlink w:anchor="SENTENCIA_2016_168" w:history="1">
        <w:r w:rsidRPr="00427CF1">
          <w:rPr>
            <w:rStyle w:val="TextoNormalCaracter"/>
          </w:rPr>
          <w:t>168/2016</w:t>
        </w:r>
      </w:hyperlink>
      <w:r>
        <w:t xml:space="preserve">, ff. 2, 3; </w:t>
      </w:r>
      <w:hyperlink w:anchor="SENTENCIA_2016_180" w:history="1">
        <w:r w:rsidRPr="00427CF1">
          <w:rPr>
            <w:rStyle w:val="TextoNormalCaracter"/>
          </w:rPr>
          <w:t>180/2016</w:t>
        </w:r>
      </w:hyperlink>
      <w:r>
        <w:t>, ff. 1, 2, 5.</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Sentencias </w:t>
      </w:r>
      <w:hyperlink w:anchor="SENTENCIA_2016_168" w:history="1">
        <w:r w:rsidRPr="00427CF1">
          <w:rPr>
            <w:rStyle w:val="TextoNormalCaracter"/>
          </w:rPr>
          <w:t>168/2016</w:t>
        </w:r>
      </w:hyperlink>
      <w:r>
        <w:t xml:space="preserve">, f. 3; </w:t>
      </w:r>
      <w:hyperlink w:anchor="SENTENCIA_2016_180" w:history="1">
        <w:r w:rsidRPr="00427CF1">
          <w:rPr>
            <w:rStyle w:val="TextoNormalCaracter"/>
          </w:rPr>
          <w:t>180/2016</w:t>
        </w:r>
      </w:hyperlink>
      <w:r>
        <w:t>, ff. 1, 2, 5.</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Sentencias </w:t>
      </w:r>
      <w:hyperlink w:anchor="SENTENCIA_2016_168" w:history="1">
        <w:r w:rsidRPr="00427CF1">
          <w:rPr>
            <w:rStyle w:val="TextoNormalCaracter"/>
          </w:rPr>
          <w:t>168/2016</w:t>
        </w:r>
      </w:hyperlink>
      <w:r>
        <w:t xml:space="preserve">, ff. 2, 5;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Artículo 1.10.</w:t>
      </w:r>
      <w:r w:rsidRPr="00427CF1">
        <w:rPr>
          <w:rStyle w:val="TextoNormalCaracter"/>
        </w:rPr>
        <w:t>-</w:t>
      </w:r>
      <w:r>
        <w:t xml:space="preserve"> Sentencia </w:t>
      </w:r>
      <w:hyperlink w:anchor="SENTENCIA_2016_180" w:history="1">
        <w:r w:rsidRPr="00427CF1">
          <w:rPr>
            <w:rStyle w:val="TextoNormalCaracter"/>
          </w:rPr>
          <w:t>180/2016</w:t>
        </w:r>
      </w:hyperlink>
      <w:r>
        <w:t>, ff. 1 a 3.</w:t>
      </w:r>
    </w:p>
    <w:p w:rsidR="00427CF1" w:rsidRDefault="00427CF1" w:rsidP="00427CF1">
      <w:pPr>
        <w:pStyle w:val="SangriaFrancesaArticulo"/>
      </w:pPr>
      <w:r w:rsidRPr="00427CF1">
        <w:rPr>
          <w:rStyle w:val="TextoNormalNegritaCaracter"/>
        </w:rPr>
        <w:t>Articulo 1.13.</w:t>
      </w:r>
      <w:r w:rsidRPr="00427CF1">
        <w:rPr>
          <w:rStyle w:val="TextoNormalCaracter"/>
        </w:rPr>
        <w:t>-</w:t>
      </w:r>
      <w:r>
        <w:t xml:space="preserve"> Sentencia </w:t>
      </w:r>
      <w:hyperlink w:anchor="SENTENCIA_2016_180" w:history="1">
        <w:r w:rsidRPr="00427CF1">
          <w:rPr>
            <w:rStyle w:val="TextoNormalCaracter"/>
          </w:rPr>
          <w:t>180/2016</w:t>
        </w:r>
      </w:hyperlink>
      <w:r>
        <w:t>, ff. 1 a 3, 8.</w:t>
      </w:r>
    </w:p>
    <w:p w:rsidR="00427CF1" w:rsidRDefault="00427CF1" w:rsidP="00427CF1">
      <w:pPr>
        <w:pStyle w:val="SangriaFrancesaArticulo"/>
      </w:pPr>
      <w:r w:rsidRPr="00427CF1">
        <w:rPr>
          <w:rStyle w:val="TextoNormalNegritaCaracter"/>
        </w:rPr>
        <w:t>Artículo 1.14.</w:t>
      </w:r>
      <w:r w:rsidRPr="00427CF1">
        <w:rPr>
          <w:rStyle w:val="TextoNormalCaracter"/>
        </w:rPr>
        <w:t>-</w:t>
      </w:r>
      <w:r>
        <w:t xml:space="preserve"> Sentencia </w:t>
      </w:r>
      <w:hyperlink w:anchor="SENTENCIA_2016_168" w:history="1">
        <w:r w:rsidRPr="00427CF1">
          <w:rPr>
            <w:rStyle w:val="TextoNormalCaracter"/>
          </w:rPr>
          <w:t>168/2016</w:t>
        </w:r>
      </w:hyperlink>
      <w:r>
        <w:t>, f. 3.</w:t>
      </w:r>
    </w:p>
    <w:p w:rsidR="00427CF1" w:rsidRDefault="00427CF1" w:rsidP="00427CF1">
      <w:pPr>
        <w:pStyle w:val="SangriaFrancesaArticulo"/>
      </w:pPr>
      <w:r w:rsidRPr="00427CF1">
        <w:rPr>
          <w:rStyle w:val="TextoNormalNegritaCaracter"/>
        </w:rPr>
        <w:t>Articulo 1.16.</w:t>
      </w:r>
      <w:r w:rsidRPr="00427CF1">
        <w:rPr>
          <w:rStyle w:val="TextoNormalCaracter"/>
        </w:rPr>
        <w:t>-</w:t>
      </w:r>
      <w:r>
        <w:t xml:space="preserve"> Sentencia </w:t>
      </w:r>
      <w:hyperlink w:anchor="SENTENCIA_2016_180" w:history="1">
        <w:r w:rsidRPr="00427CF1">
          <w:rPr>
            <w:rStyle w:val="TextoNormalCaracter"/>
          </w:rPr>
          <w:t>180/2016</w:t>
        </w:r>
      </w:hyperlink>
      <w:r>
        <w:t>, ff. 1 a 3.</w:t>
      </w:r>
    </w:p>
    <w:p w:rsidR="00427CF1" w:rsidRDefault="00427CF1" w:rsidP="00427CF1">
      <w:pPr>
        <w:pStyle w:val="SangriaFrancesaArticulo"/>
      </w:pPr>
      <w:r w:rsidRPr="00427CF1">
        <w:rPr>
          <w:rStyle w:val="TextoNormalNegritaCaracter"/>
        </w:rPr>
        <w:t>Articulo 1.17.</w:t>
      </w:r>
      <w:r w:rsidRPr="00427CF1">
        <w:rPr>
          <w:rStyle w:val="TextoNormalCaracter"/>
        </w:rPr>
        <w:t>-</w:t>
      </w:r>
      <w:r>
        <w:t xml:space="preserve"> Sentencias </w:t>
      </w:r>
      <w:hyperlink w:anchor="SENTENCIA_2016_156" w:history="1">
        <w:r w:rsidRPr="00427CF1">
          <w:rPr>
            <w:rStyle w:val="TextoNormalCaracter"/>
          </w:rPr>
          <w:t>156/2016</w:t>
        </w:r>
      </w:hyperlink>
      <w:r>
        <w:t xml:space="preserve">, f. 3;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Articulo 1.18.</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Articulo 1.19.</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Artículo 1.21.</w:t>
      </w:r>
      <w:r w:rsidRPr="00427CF1">
        <w:rPr>
          <w:rStyle w:val="TextoNormalCaracter"/>
        </w:rPr>
        <w:t>-</w:t>
      </w:r>
      <w:r>
        <w:t xml:space="preserve"> Sentencia </w:t>
      </w:r>
      <w:hyperlink w:anchor="SENTENCIA_2016_180" w:history="1">
        <w:r w:rsidRPr="00427CF1">
          <w:rPr>
            <w:rStyle w:val="TextoNormalCaracter"/>
          </w:rPr>
          <w:t>180/2016</w:t>
        </w:r>
      </w:hyperlink>
      <w:r>
        <w:t>, ff. 1 a 3, 6.</w:t>
      </w:r>
    </w:p>
    <w:p w:rsidR="00427CF1" w:rsidRDefault="00427CF1" w:rsidP="00427CF1">
      <w:pPr>
        <w:pStyle w:val="SangriaFrancesaArticulo"/>
      </w:pPr>
      <w:r w:rsidRPr="00427CF1">
        <w:rPr>
          <w:rStyle w:val="TextoNormalNegritaCaracter"/>
        </w:rPr>
        <w:t>Articulo 1.30.</w:t>
      </w:r>
      <w:r w:rsidRPr="00427CF1">
        <w:rPr>
          <w:rStyle w:val="TextoNormalCaracter"/>
        </w:rPr>
        <w:t>-</w:t>
      </w:r>
      <w:r>
        <w:t xml:space="preserve"> Sentencia </w:t>
      </w:r>
      <w:hyperlink w:anchor="SENTENCIA_2016_180" w:history="1">
        <w:r w:rsidRPr="00427CF1">
          <w:rPr>
            <w:rStyle w:val="TextoNormalCaracter"/>
          </w:rPr>
          <w:t>180/2016</w:t>
        </w:r>
      </w:hyperlink>
      <w:r>
        <w:t>, ff. 1, 2, 8.</w:t>
      </w:r>
    </w:p>
    <w:p w:rsidR="00427CF1" w:rsidRDefault="00427CF1" w:rsidP="00427CF1">
      <w:pPr>
        <w:pStyle w:val="SangriaFrancesaArticulo"/>
      </w:pPr>
      <w:r w:rsidRPr="00427CF1">
        <w:rPr>
          <w:rStyle w:val="TextoNormalNegritaCaracter"/>
        </w:rPr>
        <w:t>Artículo 1.31.</w:t>
      </w:r>
      <w:r w:rsidRPr="00427CF1">
        <w:rPr>
          <w:rStyle w:val="TextoNormalCaracter"/>
        </w:rPr>
        <w:t>-</w:t>
      </w:r>
      <w:r>
        <w:t xml:space="preserve"> Sentencia </w:t>
      </w:r>
      <w:hyperlink w:anchor="SENTENCIA_2016_180" w:history="1">
        <w:r w:rsidRPr="00427CF1">
          <w:rPr>
            <w:rStyle w:val="TextoNormalCaracter"/>
          </w:rPr>
          <w:t>180/2016</w:t>
        </w:r>
      </w:hyperlink>
      <w:r>
        <w:t>, ff. 1 a 3.</w:t>
      </w:r>
    </w:p>
    <w:p w:rsidR="00427CF1" w:rsidRDefault="00427CF1" w:rsidP="00427CF1">
      <w:pPr>
        <w:pStyle w:val="SangriaFrancesaArticulo"/>
      </w:pPr>
      <w:r w:rsidRPr="00427CF1">
        <w:rPr>
          <w:rStyle w:val="TextoNormalNegritaCaracter"/>
        </w:rPr>
        <w:t>Articulo 1.36.</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Artículo 1.38.</w:t>
      </w:r>
      <w:r w:rsidRPr="00427CF1">
        <w:rPr>
          <w:rStyle w:val="TextoNormalCaracter"/>
        </w:rPr>
        <w:t>-</w:t>
      </w:r>
      <w:r>
        <w:t xml:space="preserve"> Sentencia </w:t>
      </w:r>
      <w:hyperlink w:anchor="SENTENCIA_2016_180" w:history="1">
        <w:r w:rsidRPr="00427CF1">
          <w:rPr>
            <w:rStyle w:val="TextoNormalCaracter"/>
          </w:rPr>
          <w:t>180/2016</w:t>
        </w:r>
      </w:hyperlink>
      <w:r>
        <w:t>, ff. 1 a 3, 8.</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Sentencias </w:t>
      </w:r>
      <w:hyperlink w:anchor="SENTENCIA_2016_168" w:history="1">
        <w:r w:rsidRPr="00427CF1">
          <w:rPr>
            <w:rStyle w:val="TextoNormalCaracter"/>
          </w:rPr>
          <w:t>168/2016</w:t>
        </w:r>
      </w:hyperlink>
      <w:r>
        <w:t xml:space="preserve">;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 </w:t>
      </w:r>
      <w:hyperlink w:anchor="SENTENCIA_2016_168" w:history="1">
        <w:r w:rsidRPr="00427CF1">
          <w:rPr>
            <w:rStyle w:val="TextoNormalCaracter"/>
          </w:rPr>
          <w:t>168/2016</w:t>
        </w:r>
      </w:hyperlink>
      <w:r>
        <w:t>, f. 5.</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Sentencia </w:t>
      </w:r>
      <w:hyperlink w:anchor="SENTENCIA_2016_180" w:history="1">
        <w:r w:rsidRPr="00427CF1">
          <w:rPr>
            <w:rStyle w:val="TextoNormalCaracter"/>
          </w:rPr>
          <w:t>180/2016</w:t>
        </w:r>
      </w:hyperlink>
      <w:r>
        <w:t>, f. 6.</w:t>
      </w:r>
    </w:p>
    <w:p w:rsidR="00427CF1" w:rsidRDefault="00427CF1" w:rsidP="00427CF1">
      <w:pPr>
        <w:pStyle w:val="SangriaFrancesaArticulo"/>
      </w:pPr>
      <w:r w:rsidRPr="00427CF1">
        <w:rPr>
          <w:rStyle w:val="TextoNormalNegritaCaracter"/>
        </w:rPr>
        <w:t>Disposición adicional sexta.</w:t>
      </w:r>
      <w:r w:rsidRPr="00427CF1">
        <w:rPr>
          <w:rStyle w:val="TextoNormalCaracter"/>
        </w:rPr>
        <w:t>-</w:t>
      </w:r>
      <w:r>
        <w:t xml:space="preserve"> Sentencias </w:t>
      </w:r>
      <w:hyperlink w:anchor="SENTENCIA_2016_168" w:history="1">
        <w:r w:rsidRPr="00427CF1">
          <w:rPr>
            <w:rStyle w:val="TextoNormalCaracter"/>
          </w:rPr>
          <w:t>168/2016</w:t>
        </w:r>
      </w:hyperlink>
      <w:r>
        <w:t xml:space="preserve">, ff. 2, 4;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Disposición adicional octava.</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Disposición adicional novena.</w:t>
      </w:r>
      <w:r w:rsidRPr="00427CF1">
        <w:rPr>
          <w:rStyle w:val="TextoNormalCaracter"/>
        </w:rPr>
        <w:t>-</w:t>
      </w:r>
      <w:r>
        <w:t xml:space="preserve"> Sentencia </w:t>
      </w:r>
      <w:hyperlink w:anchor="SENTENCIA_2016_180" w:history="1">
        <w:r w:rsidRPr="00427CF1">
          <w:rPr>
            <w:rStyle w:val="TextoNormalCaracter"/>
          </w:rPr>
          <w:t>180/2016</w:t>
        </w:r>
      </w:hyperlink>
      <w:r>
        <w:t>, ff. 1 a 3.</w:t>
      </w:r>
    </w:p>
    <w:p w:rsidR="00427CF1" w:rsidRDefault="00427CF1" w:rsidP="00427CF1">
      <w:pPr>
        <w:pStyle w:val="SangriaFrancesaArticulo"/>
      </w:pPr>
      <w:r w:rsidRPr="00427CF1">
        <w:rPr>
          <w:rStyle w:val="TextoNormalNegritaCaracter"/>
        </w:rPr>
        <w:t>Disposición adicional undécima.</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Disposición adicional decimoquinta.</w:t>
      </w:r>
      <w:r w:rsidRPr="00427CF1">
        <w:rPr>
          <w:rStyle w:val="TextoNormalCaracter"/>
        </w:rPr>
        <w:t>-</w:t>
      </w:r>
      <w:r>
        <w:t xml:space="preserve"> Sentencia </w:t>
      </w:r>
      <w:hyperlink w:anchor="SENTENCIA_2016_180" w:history="1">
        <w:r w:rsidRPr="00427CF1">
          <w:rPr>
            <w:rStyle w:val="TextoNormalCaracter"/>
          </w:rPr>
          <w:t>180/2016</w:t>
        </w:r>
      </w:hyperlink>
      <w:r>
        <w:t>, ff. 1, 2, 6.</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Sentencias </w:t>
      </w:r>
      <w:hyperlink w:anchor="SENTENCIA_2016_168" w:history="1">
        <w:r w:rsidRPr="00427CF1">
          <w:rPr>
            <w:rStyle w:val="TextoNormalCaracter"/>
          </w:rPr>
          <w:t>168/2016</w:t>
        </w:r>
      </w:hyperlink>
      <w:r>
        <w:t xml:space="preserve">, f. 2; </w:t>
      </w:r>
      <w:hyperlink w:anchor="SENTENCIA_2016_180" w:history="1">
        <w:r w:rsidRPr="00427CF1">
          <w:rPr>
            <w:rStyle w:val="TextoNormalCaracter"/>
          </w:rPr>
          <w:t>180/2016</w:t>
        </w:r>
      </w:hyperlink>
      <w:r>
        <w:t>, ff. 1 a 3, 8.</w:t>
      </w:r>
    </w:p>
    <w:p w:rsidR="00427CF1" w:rsidRDefault="00427CF1" w:rsidP="00427CF1">
      <w:pPr>
        <w:pStyle w:val="SangriaFrancesaArticulo"/>
      </w:pPr>
      <w:r w:rsidRPr="00427CF1">
        <w:rPr>
          <w:rStyle w:val="TextoNormalNegritaCaracter"/>
        </w:rPr>
        <w:t>Disposiciones transitorias primera a cuarta.</w:t>
      </w:r>
      <w:r w:rsidRPr="00427CF1">
        <w:rPr>
          <w:rStyle w:val="TextoNormalCaracter"/>
        </w:rPr>
        <w:t>-</w:t>
      </w:r>
      <w:r>
        <w:t xml:space="preserve"> Sentencia </w:t>
      </w:r>
      <w:hyperlink w:anchor="SENTENCIA_2016_168" w:history="1">
        <w:r w:rsidRPr="00427CF1">
          <w:rPr>
            <w:rStyle w:val="TextoNormalCaracter"/>
          </w:rPr>
          <w:t>168/2016</w:t>
        </w:r>
      </w:hyperlink>
      <w:r>
        <w:t>.</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Sentencias </w:t>
      </w:r>
      <w:hyperlink w:anchor="SENTENCIA_2016_168" w:history="1">
        <w:r w:rsidRPr="00427CF1">
          <w:rPr>
            <w:rStyle w:val="TextoNormalCaracter"/>
          </w:rPr>
          <w:t>168/2016</w:t>
        </w:r>
      </w:hyperlink>
      <w:r>
        <w:t xml:space="preserve">, f. 2; </w:t>
      </w:r>
      <w:hyperlink w:anchor="SENTENCIA_2016_180" w:history="1">
        <w:r w:rsidRPr="00427CF1">
          <w:rPr>
            <w:rStyle w:val="TextoNormalCaracter"/>
          </w:rPr>
          <w:t>180/2016</w:t>
        </w:r>
      </w:hyperlink>
      <w:r>
        <w:t>, ff. 1 a 3, 8.</w:t>
      </w:r>
    </w:p>
    <w:p w:rsidR="00427CF1" w:rsidRDefault="00427CF1" w:rsidP="00427CF1">
      <w:pPr>
        <w:pStyle w:val="SangriaFrancesaArticulo"/>
      </w:pPr>
      <w:r w:rsidRPr="00427CF1">
        <w:rPr>
          <w:rStyle w:val="TextoNormalNegritaCaracter"/>
        </w:rPr>
        <w:t>Disposición transitoria tercera.</w:t>
      </w:r>
      <w:r w:rsidRPr="00427CF1">
        <w:rPr>
          <w:rStyle w:val="TextoNormalCaracter"/>
        </w:rPr>
        <w:t>-</w:t>
      </w:r>
      <w:r>
        <w:t xml:space="preserve"> Sentencias </w:t>
      </w:r>
      <w:hyperlink w:anchor="SENTENCIA_2016_168" w:history="1">
        <w:r w:rsidRPr="00427CF1">
          <w:rPr>
            <w:rStyle w:val="TextoNormalCaracter"/>
          </w:rPr>
          <w:t>168/2016</w:t>
        </w:r>
      </w:hyperlink>
      <w:r>
        <w:t xml:space="preserve">, f. 2; </w:t>
      </w:r>
      <w:hyperlink w:anchor="SENTENCIA_2016_180" w:history="1">
        <w:r w:rsidRPr="00427CF1">
          <w:rPr>
            <w:rStyle w:val="TextoNormalCaracter"/>
          </w:rPr>
          <w:t>180/2016</w:t>
        </w:r>
      </w:hyperlink>
      <w:r>
        <w:t>, ff. 1 a 3, 8.</w:t>
      </w:r>
    </w:p>
    <w:p w:rsidR="00427CF1" w:rsidRDefault="00427CF1" w:rsidP="00427CF1">
      <w:pPr>
        <w:pStyle w:val="SangriaFrancesaArticulo"/>
      </w:pPr>
      <w:r w:rsidRPr="00427CF1">
        <w:rPr>
          <w:rStyle w:val="TextoNormalNegritaCaracter"/>
        </w:rPr>
        <w:t>Disposición transitoria cuarta.</w:t>
      </w:r>
      <w:r w:rsidRPr="00427CF1">
        <w:rPr>
          <w:rStyle w:val="TextoNormalCaracter"/>
        </w:rPr>
        <w:t>-</w:t>
      </w:r>
      <w:r>
        <w:t xml:space="preserve"> Sentencias </w:t>
      </w:r>
      <w:hyperlink w:anchor="SENTENCIA_2016_168" w:history="1">
        <w:r w:rsidRPr="00427CF1">
          <w:rPr>
            <w:rStyle w:val="TextoNormalCaracter"/>
          </w:rPr>
          <w:t>168/2016</w:t>
        </w:r>
      </w:hyperlink>
      <w:r>
        <w:t xml:space="preserve">, f. 2; </w:t>
      </w:r>
      <w:hyperlink w:anchor="SENTENCIA_2016_180" w:history="1">
        <w:r w:rsidRPr="00427CF1">
          <w:rPr>
            <w:rStyle w:val="TextoNormalCaracter"/>
          </w:rPr>
          <w:t>180/2016</w:t>
        </w:r>
      </w:hyperlink>
      <w:r>
        <w:t>, ff. 1, 2, 5.</w:t>
      </w:r>
    </w:p>
    <w:p w:rsidR="00427CF1" w:rsidRDefault="00427CF1" w:rsidP="00427CF1">
      <w:pPr>
        <w:pStyle w:val="SangriaFrancesaArticulo"/>
      </w:pPr>
      <w:r w:rsidRPr="00427CF1">
        <w:rPr>
          <w:rStyle w:val="TextoNormalNegritaCaracter"/>
        </w:rPr>
        <w:t>Disposición transitoria cuarta, apartado 3.</w:t>
      </w:r>
      <w:r w:rsidRPr="00427CF1">
        <w:rPr>
          <w:rStyle w:val="TextoNormalCaracter"/>
        </w:rPr>
        <w:t>-</w:t>
      </w:r>
      <w:r>
        <w:t xml:space="preserve"> Sentencias </w:t>
      </w:r>
      <w:hyperlink w:anchor="SENTENCIA_2016_168" w:history="1">
        <w:r w:rsidRPr="00427CF1">
          <w:rPr>
            <w:rStyle w:val="TextoNormalCaracter"/>
          </w:rPr>
          <w:t>168/2016</w:t>
        </w:r>
      </w:hyperlink>
      <w:r>
        <w:t xml:space="preserve">, f. 2; </w:t>
      </w:r>
      <w:hyperlink w:anchor="SENTENCIA_2016_180" w:history="1">
        <w:r w:rsidRPr="00427CF1">
          <w:rPr>
            <w:rStyle w:val="TextoNormalCaracter"/>
          </w:rPr>
          <w:t>180/2016</w:t>
        </w:r>
      </w:hyperlink>
      <w:r>
        <w:t>, ff. 2, 3, 8.</w:t>
      </w:r>
    </w:p>
    <w:p w:rsidR="00427CF1" w:rsidRDefault="00427CF1" w:rsidP="00427CF1">
      <w:pPr>
        <w:pStyle w:val="SangriaFrancesaArticulo"/>
      </w:pPr>
      <w:r w:rsidRPr="00427CF1">
        <w:rPr>
          <w:rStyle w:val="TextoNormalNegritaCaracter"/>
        </w:rPr>
        <w:t>Disposición transitoria quinta.</w:t>
      </w:r>
      <w:r w:rsidRPr="00427CF1">
        <w:rPr>
          <w:rStyle w:val="TextoNormalCaracter"/>
        </w:rPr>
        <w:t>-</w:t>
      </w:r>
      <w:r>
        <w:t xml:space="preserve"> Sentencia </w:t>
      </w:r>
      <w:hyperlink w:anchor="SENTENCIA_2016_168" w:history="1">
        <w:r w:rsidRPr="00427CF1">
          <w:rPr>
            <w:rStyle w:val="TextoNormalCaracter"/>
          </w:rPr>
          <w:t>168/2016</w:t>
        </w:r>
      </w:hyperlink>
      <w:r>
        <w:t>, f. 3.</w:t>
      </w:r>
    </w:p>
    <w:p w:rsidR="00427CF1" w:rsidRDefault="00427CF1" w:rsidP="00427CF1">
      <w:pPr>
        <w:pStyle w:val="SangriaFrancesaArticulo"/>
      </w:pPr>
      <w:r w:rsidRPr="00427CF1">
        <w:rPr>
          <w:rStyle w:val="TextoNormalNegritaCaracter"/>
        </w:rPr>
        <w:t>Disposición transitoria séptima</w:t>
      </w:r>
      <w:r>
        <w:t xml:space="preserve"> (redactada por la Ley 18/2015, de 9 de julio)</w:t>
      </w:r>
      <w:r w:rsidRPr="00427CF1">
        <w:rPr>
          <w:rStyle w:val="TextoNormalNegritaCaracter"/>
        </w:rPr>
        <w:t>.</w:t>
      </w:r>
      <w:r w:rsidRPr="00427CF1">
        <w:rPr>
          <w:rStyle w:val="TextoNormalCaracter"/>
        </w:rPr>
        <w:t>-</w:t>
      </w:r>
      <w:r>
        <w:t xml:space="preserve"> Sentencias </w:t>
      </w:r>
      <w:hyperlink w:anchor="SENTENCIA_2016_168" w:history="1">
        <w:r w:rsidRPr="00427CF1">
          <w:rPr>
            <w:rStyle w:val="TextoNormalCaracter"/>
          </w:rPr>
          <w:t>168/2016</w:t>
        </w:r>
      </w:hyperlink>
      <w:r>
        <w:t xml:space="preserve">, f. 1; </w:t>
      </w:r>
      <w:hyperlink w:anchor="SENTENCIA_2016_180" w:history="1">
        <w:r w:rsidRPr="00427CF1">
          <w:rPr>
            <w:rStyle w:val="TextoNormalCaracter"/>
          </w:rPr>
          <w:t>180/2016</w:t>
        </w:r>
      </w:hyperlink>
      <w:r>
        <w:t>, f. 1.</w:t>
      </w:r>
    </w:p>
    <w:p w:rsidR="00427CF1" w:rsidRDefault="00427CF1" w:rsidP="00427CF1">
      <w:pPr>
        <w:pStyle w:val="SangriaFrancesaArticulo"/>
      </w:pPr>
      <w:r w:rsidRPr="00427CF1">
        <w:rPr>
          <w:rStyle w:val="TextoNormalNegritaCaracter"/>
        </w:rPr>
        <w:t>Disposición transitoria undécima.</w:t>
      </w:r>
      <w:r w:rsidRPr="00427CF1">
        <w:rPr>
          <w:rStyle w:val="TextoNormalCaracter"/>
        </w:rPr>
        <w:t>-</w:t>
      </w:r>
      <w:r>
        <w:t xml:space="preserve"> Sentencia </w:t>
      </w:r>
      <w:hyperlink w:anchor="SENTENCIA_2016_180" w:history="1">
        <w:r w:rsidRPr="00427CF1">
          <w:rPr>
            <w:rStyle w:val="TextoNormalCaracter"/>
          </w:rPr>
          <w:t>180/2016</w:t>
        </w:r>
      </w:hyperlink>
      <w:r>
        <w:t>, ff. 1 a 3, 8.</w:t>
      </w:r>
    </w:p>
    <w:p w:rsidR="00427CF1" w:rsidRDefault="00427CF1" w:rsidP="00427CF1">
      <w:pPr>
        <w:pStyle w:val="SangriaFrancesaArticulo"/>
      </w:pPr>
      <w:r w:rsidRPr="00427CF1">
        <w:rPr>
          <w:rStyle w:val="TextoNormalNegritaCaracter"/>
        </w:rPr>
        <w:t>Disposición transitoria undécima, párrafo tercero.</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p>
    <w:p w:rsidR="00427CF1" w:rsidRDefault="00427CF1" w:rsidP="00427CF1">
      <w:pPr>
        <w:pStyle w:val="TextoNormalNegritaCursivandice"/>
      </w:pPr>
      <w:r>
        <w:t>Ley 2/2014, de 25 de marzo. Acción y del servicio exterior del Estado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8" w:history="1">
        <w:r w:rsidRPr="00427CF1">
          <w:rPr>
            <w:rStyle w:val="TextoNormalCaracter"/>
          </w:rPr>
          <w:t>228/2016</w:t>
        </w:r>
      </w:hyperlink>
      <w:r>
        <w:t>, ff. 1 a 4, 6, 10, VP II.</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28" w:history="1">
        <w:r w:rsidRPr="00427CF1">
          <w:rPr>
            <w:rStyle w:val="TextoNormalCaracter"/>
          </w:rPr>
          <w:t>228/2016</w:t>
        </w:r>
      </w:hyperlink>
      <w:r>
        <w:t>, f. 6.</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228" w:history="1">
        <w:r w:rsidRPr="00427CF1">
          <w:rPr>
            <w:rStyle w:val="TextoNormalCaracter"/>
          </w:rPr>
          <w:t>228/2016</w:t>
        </w:r>
      </w:hyperlink>
      <w:r>
        <w:t>, f. 6.</w:t>
      </w:r>
    </w:p>
    <w:p w:rsidR="00427CF1" w:rsidRDefault="00427CF1" w:rsidP="00427CF1">
      <w:pPr>
        <w:pStyle w:val="SangriaFrancesaArticulo"/>
      </w:pPr>
      <w:r w:rsidRPr="00427CF1">
        <w:rPr>
          <w:rStyle w:val="TextoNormalNegritaCaracter"/>
        </w:rPr>
        <w:t>Artículo 3.2 a).</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p>
    <w:p w:rsidR="00427CF1" w:rsidRDefault="00427CF1" w:rsidP="00427CF1">
      <w:pPr>
        <w:pStyle w:val="TextoNormalNegritaCursivandice"/>
      </w:pPr>
      <w:r>
        <w:t>Ley 18/2014, de 15 de octubre. Aprobación de medidas urgentes para el crecimiento, la competitividad y la eficiencia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57" w:history="1">
        <w:r w:rsidRPr="00427CF1">
          <w:rPr>
            <w:rStyle w:val="TextoNormalCaracter"/>
          </w:rPr>
          <w:t>157/2016</w:t>
        </w:r>
      </w:hyperlink>
      <w:r>
        <w:t xml:space="preserve">, ff. 8, 9; </w:t>
      </w:r>
      <w:hyperlink w:anchor="SENTENCIA_2016_195" w:history="1">
        <w:r w:rsidRPr="00427CF1">
          <w:rPr>
            <w:rStyle w:val="TextoNormalCaracter"/>
          </w:rPr>
          <w:t>195/2016</w:t>
        </w:r>
      </w:hyperlink>
      <w:r>
        <w:t xml:space="preserve">, f. 2; </w:t>
      </w:r>
      <w:hyperlink w:anchor="SENTENCIA_2016_211" w:history="1">
        <w:r w:rsidRPr="00427CF1">
          <w:rPr>
            <w:rStyle w:val="TextoNormalCaracter"/>
          </w:rPr>
          <w:t>211/2016</w:t>
        </w:r>
      </w:hyperlink>
      <w:r>
        <w:t xml:space="preserve">, f. 6; </w:t>
      </w:r>
      <w:hyperlink w:anchor="SENTENCIA_2016_214" w:history="1">
        <w:r w:rsidRPr="00427CF1">
          <w:rPr>
            <w:rStyle w:val="TextoNormalCaracter"/>
          </w:rPr>
          <w:t>214/2016</w:t>
        </w:r>
      </w:hyperlink>
      <w:r>
        <w:t>, ff. 1, 2.</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214" w:history="1">
        <w:r w:rsidRPr="00427CF1">
          <w:rPr>
            <w:rStyle w:val="TextoNormalCaracter"/>
          </w:rPr>
          <w:t>214/2016</w:t>
        </w:r>
      </w:hyperlink>
      <w:r>
        <w:t>, ff. 1 a 3.</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Sentencia </w:t>
      </w:r>
      <w:hyperlink w:anchor="SENTENCIA_2016_214" w:history="1">
        <w:r w:rsidRPr="00427CF1">
          <w:rPr>
            <w:rStyle w:val="TextoNormalCaracter"/>
          </w:rPr>
          <w:t>214/2016</w:t>
        </w:r>
      </w:hyperlink>
      <w:r>
        <w:t>, f.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214" w:history="1">
        <w:r w:rsidRPr="00427CF1">
          <w:rPr>
            <w:rStyle w:val="TextoNormalCaracter"/>
          </w:rPr>
          <w:t>214/2016</w:t>
        </w:r>
      </w:hyperlink>
      <w:r>
        <w:t>, ff. 1 a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214" w:history="1">
        <w:r w:rsidRPr="00427CF1">
          <w:rPr>
            <w:rStyle w:val="TextoNormalCaracter"/>
          </w:rPr>
          <w:t>214/2016</w:t>
        </w:r>
      </w:hyperlink>
      <w:r>
        <w:t>, ff. 1 a 3.</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Artículo 69.</w:t>
      </w:r>
      <w:r w:rsidRPr="00427CF1">
        <w:rPr>
          <w:rStyle w:val="TextoNormalCaracter"/>
        </w:rPr>
        <w:t>-</w:t>
      </w:r>
      <w:r>
        <w:t xml:space="preserve"> Sentencias </w:t>
      </w:r>
      <w:hyperlink w:anchor="SENTENCIA_2016_167" w:history="1">
        <w:r w:rsidRPr="00427CF1">
          <w:rPr>
            <w:rStyle w:val="TextoNormalCaracter"/>
          </w:rPr>
          <w:t>167/2016</w:t>
        </w:r>
      </w:hyperlink>
      <w:r>
        <w:t xml:space="preserve">, f. 2; </w:t>
      </w:r>
      <w:hyperlink w:anchor="SENTENCIA_2016_174" w:history="1">
        <w:r w:rsidRPr="00427CF1">
          <w:rPr>
            <w:rStyle w:val="TextoNormalCaracter"/>
          </w:rPr>
          <w:t>174/2016</w:t>
        </w:r>
      </w:hyperlink>
      <w:r>
        <w:t xml:space="preserve">, f. 2; </w:t>
      </w:r>
      <w:hyperlink w:anchor="SENTENCIA_2016_187" w:history="1">
        <w:r w:rsidRPr="00427CF1">
          <w:rPr>
            <w:rStyle w:val="TextoNormalCaracter"/>
          </w:rPr>
          <w:t>187/2016</w:t>
        </w:r>
      </w:hyperlink>
      <w:r>
        <w:t xml:space="preserve">, f. 2; </w:t>
      </w:r>
      <w:hyperlink w:anchor="SENTENCIA_2016_188" w:history="1">
        <w:r w:rsidRPr="00427CF1">
          <w:rPr>
            <w:rStyle w:val="TextoNormalCaracter"/>
          </w:rPr>
          <w:t>188/2016</w:t>
        </w:r>
      </w:hyperlink>
      <w:r>
        <w:t xml:space="preserve">, f. 2; </w:t>
      </w:r>
      <w:hyperlink w:anchor="SENTENCIA_2016_197" w:history="1">
        <w:r w:rsidRPr="00427CF1">
          <w:rPr>
            <w:rStyle w:val="TextoNormalCaracter"/>
          </w:rPr>
          <w:t>197/2016</w:t>
        </w:r>
      </w:hyperlink>
      <w:r>
        <w:t>, f. 2.</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Artículo 98.</w:t>
      </w:r>
      <w:r w:rsidRPr="00427CF1">
        <w:rPr>
          <w:rStyle w:val="TextoNormalCaracter"/>
        </w:rPr>
        <w:t>-</w:t>
      </w:r>
      <w:r>
        <w:t xml:space="preserve"> Sentencia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Artículo 107.2.</w:t>
      </w:r>
      <w:r w:rsidRPr="00427CF1">
        <w:rPr>
          <w:rStyle w:val="TextoNormalCaracter"/>
        </w:rPr>
        <w:t>-</w:t>
      </w:r>
      <w:r>
        <w:t xml:space="preserve"> Sentencia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Artículo 107.6.</w:t>
      </w:r>
      <w:r w:rsidRPr="00427CF1">
        <w:rPr>
          <w:rStyle w:val="TextoNormalCaracter"/>
        </w:rPr>
        <w:t>-</w:t>
      </w:r>
      <w:r>
        <w:t xml:space="preserve"> Sentencia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Artículo 107.12.</w:t>
      </w:r>
      <w:r w:rsidRPr="00427CF1">
        <w:rPr>
          <w:rStyle w:val="TextoNormalCaracter"/>
        </w:rPr>
        <w:t>-</w:t>
      </w:r>
      <w:r>
        <w:t xml:space="preserve"> Sentencia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Artículo 107.13.</w:t>
      </w:r>
      <w:r w:rsidRPr="00427CF1">
        <w:rPr>
          <w:rStyle w:val="TextoNormalCaracter"/>
        </w:rPr>
        <w:t>-</w:t>
      </w:r>
      <w:r>
        <w:t xml:space="preserve"> Sentencia </w:t>
      </w:r>
      <w:hyperlink w:anchor="SENTENCIA_2016_214" w:history="1">
        <w:r w:rsidRPr="00427CF1">
          <w:rPr>
            <w:rStyle w:val="TextoNormalCaracter"/>
          </w:rPr>
          <w:t>214/2016</w:t>
        </w:r>
      </w:hyperlink>
      <w:r>
        <w:t>, f. 1.</w:t>
      </w:r>
    </w:p>
    <w:p w:rsidR="00427CF1" w:rsidRDefault="00427CF1" w:rsidP="00427CF1">
      <w:pPr>
        <w:pStyle w:val="SangriaFrancesaArticulo"/>
      </w:pPr>
      <w:r w:rsidRPr="00427CF1">
        <w:rPr>
          <w:rStyle w:val="TextoNormalNegritaCaracter"/>
        </w:rPr>
        <w:t>Anexo I.</w:t>
      </w:r>
      <w:r w:rsidRPr="00427CF1">
        <w:rPr>
          <w:rStyle w:val="TextoNormalCaracter"/>
        </w:rPr>
        <w:t>-</w:t>
      </w:r>
      <w:r>
        <w:t xml:space="preserve"> Sentencia </w:t>
      </w:r>
      <w:hyperlink w:anchor="SENTENCIA_2016_214" w:history="1">
        <w:r w:rsidRPr="00427CF1">
          <w:rPr>
            <w:rStyle w:val="TextoNormalCaracter"/>
          </w:rPr>
          <w:t>214/2016</w:t>
        </w:r>
      </w:hyperlink>
      <w:r>
        <w:t>, ff. 1, 3.</w:t>
      </w:r>
    </w:p>
    <w:p w:rsidR="00427CF1" w:rsidRDefault="00427CF1" w:rsidP="00427CF1">
      <w:pPr>
        <w:pStyle w:val="SangriaFrancesaArticulo"/>
      </w:pPr>
    </w:p>
    <w:p w:rsidR="00427CF1" w:rsidRDefault="00427CF1" w:rsidP="00427CF1">
      <w:pPr>
        <w:pStyle w:val="TextoNormalNegritaCursivandice"/>
      </w:pPr>
      <w:r>
        <w:t>Ley 25/2014, de 27 de noviembre. Tratados y otros Acuerdos Internacionales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8" w:history="1">
        <w:r w:rsidRPr="00427CF1">
          <w:rPr>
            <w:rStyle w:val="TextoNormalCaracter"/>
          </w:rPr>
          <w:t>228/2016</w:t>
        </w:r>
      </w:hyperlink>
      <w:r>
        <w:t>, ff. 3 a 5.</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52.3.</w:t>
      </w:r>
      <w:r w:rsidRPr="00427CF1">
        <w:rPr>
          <w:rStyle w:val="TextoNormalCaracter"/>
        </w:rPr>
        <w:t>-</w:t>
      </w:r>
      <w:r>
        <w:t xml:space="preserve"> Sentencia </w:t>
      </w:r>
      <w:hyperlink w:anchor="SENTENCIA_2016_228" w:history="1">
        <w:r w:rsidRPr="00427CF1">
          <w:rPr>
            <w:rStyle w:val="TextoNormalCaracter"/>
          </w:rPr>
          <w:t>228/2016</w:t>
        </w:r>
      </w:hyperlink>
      <w:r>
        <w:t>, f. 5.</w:t>
      </w:r>
    </w:p>
    <w:p w:rsidR="00427CF1" w:rsidRDefault="00427CF1" w:rsidP="00427CF1">
      <w:pPr>
        <w:pStyle w:val="SangriaFrancesaArticulo"/>
      </w:pPr>
      <w:r w:rsidRPr="00427CF1">
        <w:rPr>
          <w:rStyle w:val="TextoNormalNegritaCaracter"/>
        </w:rPr>
        <w:t>Artículo 53.3.</w:t>
      </w:r>
      <w:r w:rsidRPr="00427CF1">
        <w:rPr>
          <w:rStyle w:val="TextoNormalCaracter"/>
        </w:rPr>
        <w:t>-</w:t>
      </w:r>
      <w:r>
        <w:t xml:space="preserve"> Sentencia </w:t>
      </w:r>
      <w:hyperlink w:anchor="SENTENCIA_2016_228" w:history="1">
        <w:r w:rsidRPr="00427CF1">
          <w:rPr>
            <w:rStyle w:val="TextoNormalCaracter"/>
          </w:rPr>
          <w:t>228/2016</w:t>
        </w:r>
      </w:hyperlink>
      <w:r>
        <w:t>, f. 5.</w:t>
      </w:r>
    </w:p>
    <w:p w:rsidR="00427CF1" w:rsidRDefault="00427CF1" w:rsidP="00427CF1">
      <w:pPr>
        <w:pStyle w:val="SangriaFrancesaArticulo"/>
      </w:pPr>
    </w:p>
    <w:p w:rsidR="00427CF1" w:rsidRDefault="00427CF1" w:rsidP="00427CF1">
      <w:pPr>
        <w:pStyle w:val="TextoNormalNegritaCursivandice"/>
      </w:pPr>
      <w:r>
        <w:t>Ley 27/2014, de 27 de noviembre. Impuesto sobre Sociedades</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36/2014, de 26 de diciembre. Presupuestos Generales del Estado para el año 2015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4" w:history="1">
        <w:r w:rsidRPr="00427CF1">
          <w:rPr>
            <w:rStyle w:val="TextoNormalCaracter"/>
          </w:rPr>
          <w:t>134/2016</w:t>
        </w:r>
      </w:hyperlink>
      <w:r>
        <w:t>, f. 3.</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f. 3; </w:t>
      </w:r>
      <w:hyperlink w:anchor="AUTO_2016_139" w:history="1">
        <w:r w:rsidRPr="00427CF1">
          <w:rPr>
            <w:rStyle w:val="TextoNormalCaracter"/>
          </w:rPr>
          <w:t>139/2016</w:t>
        </w:r>
      </w:hyperlink>
      <w:r>
        <w:t xml:space="preserve">, f. 3; </w:t>
      </w:r>
      <w:hyperlink w:anchor="AUTO_2016_143" w:history="1">
        <w:r w:rsidRPr="00427CF1">
          <w:rPr>
            <w:rStyle w:val="TextoNormalCaracter"/>
          </w:rPr>
          <w:t>143/2016</w:t>
        </w:r>
      </w:hyperlink>
      <w:r>
        <w:t>, f. 2.</w:t>
      </w:r>
    </w:p>
    <w:p w:rsidR="00427CF1" w:rsidRDefault="00427CF1" w:rsidP="00427CF1">
      <w:pPr>
        <w:pStyle w:val="SangriaFrancesaArticulo"/>
      </w:pPr>
      <w:r w:rsidRPr="00427CF1">
        <w:rPr>
          <w:rStyle w:val="TextoNormalNegritaCaracter"/>
        </w:rPr>
        <w:t>Artículo 21.2.</w:t>
      </w:r>
      <w:r w:rsidRPr="00427CF1">
        <w:rPr>
          <w:rStyle w:val="TextoNormalCaracter"/>
        </w:rPr>
        <w:t>-</w:t>
      </w:r>
      <w:r>
        <w:t xml:space="preserve"> Sentencia </w:t>
      </w:r>
      <w:hyperlink w:anchor="SENTENCIA_2016_194" w:history="1">
        <w:r w:rsidRPr="00427CF1">
          <w:rPr>
            <w:rStyle w:val="TextoNormalCaracter"/>
          </w:rPr>
          <w:t>194/2016</w:t>
        </w:r>
      </w:hyperlink>
      <w:r>
        <w:t>, f. 3.</w:t>
      </w:r>
    </w:p>
    <w:p w:rsidR="00427CF1" w:rsidRDefault="00427CF1" w:rsidP="00427CF1">
      <w:pPr>
        <w:pStyle w:val="SangriaFrancesaArticulo"/>
      </w:pPr>
      <w:r w:rsidRPr="00427CF1">
        <w:rPr>
          <w:rStyle w:val="TextoNormalNegritaCaracter"/>
        </w:rPr>
        <w:t>Disposición adicional octogésima cuarta.</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Disposición adicional octogésima octava.</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adicional duodécima.</w:t>
      </w:r>
      <w:r w:rsidRPr="00427CF1">
        <w:rPr>
          <w:rStyle w:val="TextoNormalCaracter"/>
        </w:rPr>
        <w:t>-</w:t>
      </w:r>
      <w:r>
        <w:t xml:space="preserve"> Sentencias </w:t>
      </w:r>
      <w:hyperlink w:anchor="SENTENCIA_2016_134" w:history="1">
        <w:r w:rsidRPr="00427CF1">
          <w:rPr>
            <w:rStyle w:val="TextoNormalCaracter"/>
          </w:rPr>
          <w:t>134/2016</w:t>
        </w:r>
      </w:hyperlink>
      <w:r>
        <w:t xml:space="preserve">, f. 3; </w:t>
      </w:r>
      <w:hyperlink w:anchor="SENTENCIA_2016_145" w:history="1">
        <w:r w:rsidRPr="00427CF1">
          <w:rPr>
            <w:rStyle w:val="TextoNormalCaracter"/>
          </w:rPr>
          <w:t>145/2016</w:t>
        </w:r>
      </w:hyperlink>
      <w:r>
        <w:t>, f. 2.</w:t>
      </w:r>
    </w:p>
    <w:p w:rsidR="00427CF1" w:rsidRDefault="00427CF1" w:rsidP="00427CF1">
      <w:pPr>
        <w:pStyle w:val="SangriaFrancesaArticulo"/>
      </w:pPr>
      <w:r w:rsidRPr="00427CF1">
        <w:rPr>
          <w:rStyle w:val="TextoNormalNegritaCaracter"/>
        </w:rPr>
        <w:t>Disposición adicional duodécima, apartado 1.</w:t>
      </w:r>
      <w:r w:rsidRPr="00427CF1">
        <w:rPr>
          <w:rStyle w:val="TextoNormalCaracter"/>
        </w:rPr>
        <w:t>-</w:t>
      </w:r>
      <w:r>
        <w:t xml:space="preserve"> Sentencias </w:t>
      </w:r>
      <w:hyperlink w:anchor="SENTENCIA_2016_134" w:history="1">
        <w:r w:rsidRPr="00427CF1">
          <w:rPr>
            <w:rStyle w:val="TextoNormalCaracter"/>
          </w:rPr>
          <w:t>134/2016</w:t>
        </w:r>
      </w:hyperlink>
      <w:r>
        <w:t xml:space="preserve">, f. 3; </w:t>
      </w:r>
      <w:hyperlink w:anchor="SENTENCIA_2016_160" w:history="1">
        <w:r w:rsidRPr="00427CF1">
          <w:rPr>
            <w:rStyle w:val="TextoNormalCaracter"/>
          </w:rPr>
          <w:t>160/2016</w:t>
        </w:r>
      </w:hyperlink>
      <w:r>
        <w:t xml:space="preserve">, f. 3; </w:t>
      </w:r>
      <w:hyperlink w:anchor="SENTENCIA_2016_178" w:history="1">
        <w:r w:rsidRPr="00427CF1">
          <w:rPr>
            <w:rStyle w:val="TextoNormalCaracter"/>
          </w:rPr>
          <w:t>178/2016</w:t>
        </w:r>
      </w:hyperlink>
      <w:r>
        <w:t>, f. 2.</w:t>
      </w:r>
    </w:p>
    <w:p w:rsidR="00427CF1" w:rsidRDefault="00427CF1" w:rsidP="00427CF1">
      <w:pPr>
        <w:pStyle w:val="SangriaFrancesaArticulo"/>
      </w:pPr>
    </w:p>
    <w:p w:rsidR="00427CF1" w:rsidRDefault="00427CF1" w:rsidP="00427CF1">
      <w:pPr>
        <w:pStyle w:val="TextoNormalNegritaCursivandice"/>
      </w:pPr>
      <w:r>
        <w:t>Ley 9/2015, de 25 de mayo. Medidas urgentes en materia concursal</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Disposición final cuarta.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p>
    <w:p w:rsidR="00427CF1" w:rsidRDefault="00427CF1" w:rsidP="00427CF1">
      <w:pPr>
        <w:pStyle w:val="TextoNormalNegritaCursivandice"/>
      </w:pPr>
      <w:r>
        <w:t>Ley 10/2015, de 26 de mayo. Salvaguardia del patrimonio cultural inmaterial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f. 6, VP I.</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77" w:history="1">
        <w:r w:rsidRPr="00427CF1">
          <w:rPr>
            <w:rStyle w:val="TextoNormalCaracter"/>
          </w:rPr>
          <w:t>177/2016</w:t>
        </w:r>
      </w:hyperlink>
      <w:r>
        <w:t>, f. 6.</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77" w:history="1">
        <w:r w:rsidRPr="00427CF1">
          <w:rPr>
            <w:rStyle w:val="TextoNormalCaracter"/>
          </w:rPr>
          <w:t>177/2016</w:t>
        </w:r>
      </w:hyperlink>
      <w:r>
        <w:t>, f. 6.</w:t>
      </w:r>
    </w:p>
    <w:p w:rsidR="00427CF1" w:rsidRDefault="00427CF1" w:rsidP="00427CF1">
      <w:pPr>
        <w:pStyle w:val="SangriaFrancesaArticulo"/>
      </w:pPr>
      <w:r w:rsidRPr="00427CF1">
        <w:rPr>
          <w:rStyle w:val="TextoNormalNegritaCaracter"/>
        </w:rPr>
        <w:t>Disposición final sexta.</w:t>
      </w:r>
      <w:r w:rsidRPr="00427CF1">
        <w:rPr>
          <w:rStyle w:val="TextoNormalCaracter"/>
        </w:rPr>
        <w:t>-</w:t>
      </w:r>
      <w:r>
        <w:t xml:space="preserve"> Sentencia </w:t>
      </w:r>
      <w:hyperlink w:anchor="SENTENCIA_2016_177" w:history="1">
        <w:r w:rsidRPr="00427CF1">
          <w:rPr>
            <w:rStyle w:val="TextoNormalCaracter"/>
          </w:rPr>
          <w:t>177/2016</w:t>
        </w:r>
      </w:hyperlink>
      <w:r>
        <w:t>, f. 6.</w:t>
      </w:r>
    </w:p>
    <w:p w:rsidR="00427CF1" w:rsidRDefault="00427CF1" w:rsidP="00427CF1">
      <w:pPr>
        <w:pStyle w:val="SangriaFrancesaArticulo"/>
      </w:pPr>
    </w:p>
    <w:p w:rsidR="00427CF1" w:rsidRDefault="00427CF1" w:rsidP="00427CF1">
      <w:pPr>
        <w:pStyle w:val="TextoNormalNegritaCursivandice"/>
      </w:pPr>
      <w:r>
        <w:t>Ley 15/2015, de 2 de julio. Jurisdicción Voluntaria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Ley 18/2015, de 9 de julio. Modifica la Ley 37/2007, de 16 de noviembre, sobre reutilización de la información del sector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8" w:history="1">
        <w:r w:rsidRPr="00427CF1">
          <w:rPr>
            <w:rStyle w:val="TextoNormalCaracter"/>
          </w:rPr>
          <w:t>168/2016</w:t>
        </w:r>
      </w:hyperlink>
      <w:r>
        <w:t xml:space="preserve">, f. 1; </w:t>
      </w:r>
      <w:hyperlink w:anchor="SENTENCIA_2016_180" w:history="1">
        <w:r w:rsidRPr="00427CF1">
          <w:rPr>
            <w:rStyle w:val="TextoNormalCaracter"/>
          </w:rPr>
          <w:t>180/2016</w:t>
        </w:r>
      </w:hyperlink>
      <w:r>
        <w:t>, f. 1.</w:t>
      </w:r>
    </w:p>
    <w:p w:rsidR="00427CF1" w:rsidRDefault="00427CF1" w:rsidP="00427CF1">
      <w:pPr>
        <w:pStyle w:val="SangriaFrancesaArticulo"/>
      </w:pPr>
    </w:p>
    <w:p w:rsidR="00427CF1" w:rsidRDefault="00427CF1" w:rsidP="00427CF1">
      <w:pPr>
        <w:pStyle w:val="TextoNormalNegritaCursivandice"/>
      </w:pPr>
      <w:r>
        <w:t>Ley 19/2015, de 13 de julio. Medidas de reforma administrativa en el ámbito de la Administración de Justicia y del Registro Civil</w:t>
      </w:r>
    </w:p>
    <w:p w:rsidR="00427CF1" w:rsidRDefault="00427CF1" w:rsidP="00427CF1">
      <w:pPr>
        <w:pStyle w:val="SangriaFrancesaArticulo"/>
      </w:pPr>
      <w:r w:rsidRPr="00427CF1">
        <w:rPr>
          <w:rStyle w:val="TextoNormalNegritaCaracter"/>
        </w:rPr>
        <w:t>Artículo 1, apartado 25.</w:t>
      </w:r>
      <w:r w:rsidRPr="00427CF1">
        <w:rPr>
          <w:rStyle w:val="TextoNormalCaracter"/>
        </w:rPr>
        <w:t>-</w:t>
      </w:r>
      <w:r>
        <w:t xml:space="preserve"> Sentencias </w:t>
      </w:r>
      <w:hyperlink w:anchor="SENTENCIA_2016_150" w:history="1">
        <w:r w:rsidRPr="00427CF1">
          <w:rPr>
            <w:rStyle w:val="TextoNormalCaracter"/>
          </w:rPr>
          <w:t>150/2016</w:t>
        </w:r>
      </w:hyperlink>
      <w:r>
        <w:t xml:space="preserve">, f. 2; </w:t>
      </w:r>
      <w:hyperlink w:anchor="SENTENCIA_2016_151" w:history="1">
        <w:r w:rsidRPr="00427CF1">
          <w:rPr>
            <w:rStyle w:val="TextoNormalCaracter"/>
          </w:rPr>
          <w:t>151/2016</w:t>
        </w:r>
      </w:hyperlink>
      <w:r>
        <w:t>, f. 2.</w:t>
      </w:r>
    </w:p>
    <w:p w:rsidR="00427CF1" w:rsidRDefault="00427CF1" w:rsidP="00427CF1">
      <w:pPr>
        <w:pStyle w:val="SangriaFrancesaArticulo"/>
      </w:pPr>
      <w:r w:rsidRPr="00427CF1">
        <w:rPr>
          <w:rStyle w:val="TextoNormalNegritaCaracter"/>
        </w:rPr>
        <w:t>Artículo 1.25.</w:t>
      </w:r>
      <w:r w:rsidRPr="00427CF1">
        <w:rPr>
          <w:rStyle w:val="TextoNormalCaracter"/>
        </w:rPr>
        <w:t>-</w:t>
      </w:r>
      <w:r>
        <w:t xml:space="preserve"> Sentencia </w:t>
      </w:r>
      <w:hyperlink w:anchor="SENTENCIA_2016_200" w:history="1">
        <w:r w:rsidRPr="00427CF1">
          <w:rPr>
            <w:rStyle w:val="TextoNormalCaracter"/>
          </w:rPr>
          <w:t>200/2016</w:t>
        </w:r>
      </w:hyperlink>
      <w:r>
        <w:t>, f. 5.</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p>
    <w:p w:rsidR="00427CF1" w:rsidRDefault="00427CF1" w:rsidP="00427CF1">
      <w:pPr>
        <w:pStyle w:val="TextoNormalNegritaCursivandice"/>
      </w:pPr>
      <w:r>
        <w:t>Ley 25/2015, de 28 de julio. Mecanismo de segunda oportunidad, reducción de la carga financiera y otras medidas de orden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7" w:history="1">
        <w:r w:rsidRPr="00427CF1">
          <w:rPr>
            <w:rStyle w:val="TextoNormalCaracter"/>
          </w:rPr>
          <w:t>227/2016</w:t>
        </w:r>
      </w:hyperlink>
      <w:r>
        <w:t>, f. 2.</w:t>
      </w:r>
    </w:p>
    <w:p w:rsidR="00427CF1" w:rsidRDefault="00427CF1" w:rsidP="00427CF1">
      <w:pPr>
        <w:pStyle w:val="SangriaIzquierdaArticulo"/>
      </w:pPr>
      <w:r>
        <w:t xml:space="preserve">Autos </w:t>
      </w:r>
      <w:hyperlink w:anchor="AUTO_2016_144" w:history="1">
        <w:r w:rsidRPr="00427CF1">
          <w:rPr>
            <w:rStyle w:val="TextoNormalCaracter"/>
          </w:rPr>
          <w:t>144/2016</w:t>
        </w:r>
      </w:hyperlink>
      <w:r>
        <w:t xml:space="preserve">, f. 5; </w:t>
      </w:r>
      <w:hyperlink w:anchor="AUTO_2016_160" w:history="1">
        <w:r w:rsidRPr="00427CF1">
          <w:rPr>
            <w:rStyle w:val="TextoNormalCaracter"/>
          </w:rPr>
          <w:t>160/2016</w:t>
        </w:r>
      </w:hyperlink>
      <w:r>
        <w:t xml:space="preserve">, f. 4; </w:t>
      </w:r>
      <w:hyperlink w:anchor="AUTO_2016_193" w:history="1">
        <w:r w:rsidRPr="00427CF1">
          <w:rPr>
            <w:rStyle w:val="TextoNormalCaracter"/>
          </w:rPr>
          <w:t>193/2016</w:t>
        </w:r>
      </w:hyperlink>
      <w:r>
        <w:t>, f. 2.</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40" w:history="1">
        <w:r w:rsidRPr="00427CF1">
          <w:rPr>
            <w:rStyle w:val="TextoNormalCaracter"/>
          </w:rPr>
          <w:t>140/2016</w:t>
        </w:r>
      </w:hyperlink>
      <w:r>
        <w:t>, f. 2.</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Sentencias </w:t>
      </w:r>
      <w:hyperlink w:anchor="SENTENCIA_2016_140" w:history="1">
        <w:r w:rsidRPr="00427CF1">
          <w:rPr>
            <w:rStyle w:val="TextoNormalCaracter"/>
          </w:rPr>
          <w:t>140/2016</w:t>
        </w:r>
      </w:hyperlink>
      <w:r>
        <w:t xml:space="preserve">, ff. 2, 6; </w:t>
      </w:r>
      <w:hyperlink w:anchor="SENTENCIA_2016_202" w:history="1">
        <w:r w:rsidRPr="00427CF1">
          <w:rPr>
            <w:rStyle w:val="TextoNormalCaracter"/>
          </w:rPr>
          <w:t>202/2016</w:t>
        </w:r>
      </w:hyperlink>
      <w:r>
        <w:t xml:space="preserve">, f. 2; </w:t>
      </w:r>
      <w:hyperlink w:anchor="SENTENCIA_2016_227" w:history="1">
        <w:r w:rsidRPr="00427CF1">
          <w:rPr>
            <w:rStyle w:val="TextoNormalCaracter"/>
          </w:rPr>
          <w:t>227/2016</w:t>
        </w:r>
      </w:hyperlink>
      <w:r>
        <w:t>, f. 2.</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10.3.</w:t>
      </w:r>
      <w:r w:rsidRPr="00427CF1">
        <w:rPr>
          <w:rStyle w:val="TextoNormalCaracter"/>
        </w:rPr>
        <w:t>-</w:t>
      </w:r>
      <w:r>
        <w:t xml:space="preserve"> Sentencias </w:t>
      </w:r>
      <w:hyperlink w:anchor="SENTENCIA_2016_140" w:history="1">
        <w:r w:rsidRPr="00427CF1">
          <w:rPr>
            <w:rStyle w:val="TextoNormalCaracter"/>
          </w:rPr>
          <w:t>140/2016</w:t>
        </w:r>
      </w:hyperlink>
      <w:r>
        <w:t xml:space="preserve">, f. 2; </w:t>
      </w:r>
      <w:hyperlink w:anchor="SENTENCIA_2016_202" w:history="1">
        <w:r w:rsidRPr="00427CF1">
          <w:rPr>
            <w:rStyle w:val="TextoNormalCaracter"/>
          </w:rPr>
          <w:t>202/2016</w:t>
        </w:r>
      </w:hyperlink>
      <w:r>
        <w:t xml:space="preserve">, f. 2; </w:t>
      </w:r>
      <w:hyperlink w:anchor="SENTENCIA_2016_227" w:history="1">
        <w:r w:rsidRPr="00427CF1">
          <w:rPr>
            <w:rStyle w:val="TextoNormalCaracter"/>
          </w:rPr>
          <w:t>227/2016</w:t>
        </w:r>
      </w:hyperlink>
      <w:r>
        <w:t>, f. 2.</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IzquierdaArticulo"/>
      </w:pPr>
    </w:p>
    <w:p w:rsidR="00427CF1" w:rsidRDefault="00427CF1" w:rsidP="00427CF1">
      <w:pPr>
        <w:pStyle w:val="TextoNormalNegritaCursivandice"/>
      </w:pPr>
      <w:r>
        <w:t>Ley 28/2015, de 30 de julio. Defensa de la calidad alimentaria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2" w:history="1">
        <w:r w:rsidRPr="00427CF1">
          <w:rPr>
            <w:rStyle w:val="TextoNormalCaracter"/>
          </w:rPr>
          <w:t>142/2016</w:t>
        </w:r>
      </w:hyperlink>
      <w:r>
        <w:t xml:space="preserve">, ff. 1 a 5, 8, 11 a 13; </w:t>
      </w:r>
      <w:hyperlink w:anchor="SENTENCIA_2016_186" w:history="1">
        <w:r w:rsidRPr="00427CF1">
          <w:rPr>
            <w:rStyle w:val="TextoNormalCaracter"/>
          </w:rPr>
          <w:t>186/2016</w:t>
        </w:r>
      </w:hyperlink>
      <w:r>
        <w:t>, ff. 1 a 3.</w:t>
      </w:r>
    </w:p>
    <w:p w:rsidR="00427CF1" w:rsidRDefault="00427CF1" w:rsidP="00427CF1">
      <w:pPr>
        <w:pStyle w:val="SangriaFrancesaArticulo"/>
      </w:pPr>
      <w:r w:rsidRPr="00427CF1">
        <w:rPr>
          <w:rStyle w:val="TextoNormalNegritaCaracter"/>
        </w:rPr>
        <w:t>Título III.</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r w:rsidRPr="00427CF1">
        <w:rPr>
          <w:rStyle w:val="TextoNormalNegritaCaracter"/>
        </w:rPr>
        <w:t>Título IV.</w:t>
      </w:r>
      <w:r w:rsidRPr="00427CF1">
        <w:rPr>
          <w:rStyle w:val="TextoNormalCaracter"/>
        </w:rPr>
        <w:t>-</w:t>
      </w:r>
      <w:r>
        <w:t xml:space="preserve"> Sentencia </w:t>
      </w:r>
      <w:hyperlink w:anchor="SENTENCIA_2016_142" w:history="1">
        <w:r w:rsidRPr="00427CF1">
          <w:rPr>
            <w:rStyle w:val="TextoNormalCaracter"/>
          </w:rPr>
          <w:t>142/2016</w:t>
        </w:r>
      </w:hyperlink>
      <w:r>
        <w:t>, f. 2.</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42" w:history="1">
        <w:r w:rsidRPr="00427CF1">
          <w:rPr>
            <w:rStyle w:val="TextoNormalCaracter"/>
          </w:rPr>
          <w:t>142/2016</w:t>
        </w:r>
      </w:hyperlink>
      <w:r>
        <w:t>, ff. 4, 11.</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42" w:history="1">
        <w:r w:rsidRPr="00427CF1">
          <w:rPr>
            <w:rStyle w:val="TextoNormalCaracter"/>
          </w:rPr>
          <w:t>142/2016</w:t>
        </w:r>
      </w:hyperlink>
      <w:r>
        <w:t>, ff. 2, 4.</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142" w:history="1">
        <w:r w:rsidRPr="00427CF1">
          <w:rPr>
            <w:rStyle w:val="TextoNormalCaracter"/>
          </w:rPr>
          <w:t>142/2016</w:t>
        </w:r>
      </w:hyperlink>
      <w:r>
        <w:t>, f. 2.</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42" w:history="1">
        <w:r w:rsidRPr="00427CF1">
          <w:rPr>
            <w:rStyle w:val="TextoNormalCaracter"/>
          </w:rPr>
          <w:t>142/2016</w:t>
        </w:r>
      </w:hyperlink>
      <w:r>
        <w:t>, f. 2.</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Sentencia </w:t>
      </w:r>
      <w:hyperlink w:anchor="SENTENCIA_2016_142" w:history="1">
        <w:r w:rsidRPr="00427CF1">
          <w:rPr>
            <w:rStyle w:val="TextoNormalCaracter"/>
          </w:rPr>
          <w:t>142/2016</w:t>
        </w:r>
      </w:hyperlink>
      <w:r>
        <w:t>, f. 2.</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42" w:history="1">
        <w:r w:rsidRPr="00427CF1">
          <w:rPr>
            <w:rStyle w:val="TextoNormalCaracter"/>
          </w:rPr>
          <w:t>142/2016</w:t>
        </w:r>
      </w:hyperlink>
      <w:r>
        <w:t>, f. 2.</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42" w:history="1">
        <w:r w:rsidRPr="00427CF1">
          <w:rPr>
            <w:rStyle w:val="TextoNormalCaracter"/>
          </w:rPr>
          <w:t>142/2016</w:t>
        </w:r>
      </w:hyperlink>
      <w:r>
        <w:t>, f. 2.</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Sentencias </w:t>
      </w:r>
      <w:hyperlink w:anchor="SENTENCIA_2016_142" w:history="1">
        <w:r w:rsidRPr="00427CF1">
          <w:rPr>
            <w:rStyle w:val="TextoNormalCaracter"/>
          </w:rPr>
          <w:t>142/2016</w:t>
        </w:r>
      </w:hyperlink>
      <w:r>
        <w:t xml:space="preserve">, f. 5; </w:t>
      </w:r>
      <w:hyperlink w:anchor="SENTENCIA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12.1.</w:t>
      </w:r>
      <w:r w:rsidRPr="00427CF1">
        <w:rPr>
          <w:rStyle w:val="TextoNormalCaracter"/>
        </w:rPr>
        <w:t>-</w:t>
      </w:r>
      <w:r>
        <w:t xml:space="preserve"> Sentencia </w:t>
      </w:r>
      <w:hyperlink w:anchor="SENTENCIA_2016_142" w:history="1">
        <w:r w:rsidRPr="00427CF1">
          <w:rPr>
            <w:rStyle w:val="TextoNormalCaracter"/>
          </w:rPr>
          <w:t>142/2016</w:t>
        </w:r>
      </w:hyperlink>
      <w:r>
        <w:t>, ff. 1, 5.</w:t>
      </w:r>
    </w:p>
    <w:p w:rsidR="00427CF1" w:rsidRDefault="00427CF1" w:rsidP="00427CF1">
      <w:pPr>
        <w:pStyle w:val="SangriaFrancesaArticulo"/>
      </w:pPr>
      <w:r w:rsidRPr="00427CF1">
        <w:rPr>
          <w:rStyle w:val="TextoNormalNegritaCaracter"/>
        </w:rPr>
        <w:t xml:space="preserve">Artículo 12.1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Sentencias </w:t>
      </w:r>
      <w:hyperlink w:anchor="SENTENCIA_2016_142" w:history="1">
        <w:r w:rsidRPr="00427CF1">
          <w:rPr>
            <w:rStyle w:val="TextoNormalCaracter"/>
          </w:rPr>
          <w:t>142/2016</w:t>
        </w:r>
      </w:hyperlink>
      <w:r>
        <w:t xml:space="preserve">;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Artículo 12.2.</w:t>
      </w:r>
      <w:r w:rsidRPr="00427CF1">
        <w:rPr>
          <w:rStyle w:val="TextoNormalCaracter"/>
        </w:rPr>
        <w:t>-</w:t>
      </w:r>
      <w:r>
        <w:t xml:space="preserve"> Sentencias </w:t>
      </w:r>
      <w:hyperlink w:anchor="SENTENCIA_2016_142" w:history="1">
        <w:r w:rsidRPr="00427CF1">
          <w:rPr>
            <w:rStyle w:val="TextoNormalCaracter"/>
          </w:rPr>
          <w:t>142/2016</w:t>
        </w:r>
      </w:hyperlink>
      <w:r>
        <w:t xml:space="preserve">, ff. 1, 5, 7;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Sentencias </w:t>
      </w:r>
      <w:hyperlink w:anchor="SENTENCIA_2016_142" w:history="1">
        <w:r w:rsidRPr="00427CF1">
          <w:rPr>
            <w:rStyle w:val="TextoNormalCaracter"/>
          </w:rPr>
          <w:t>142/2016</w:t>
        </w:r>
      </w:hyperlink>
      <w:r>
        <w:t xml:space="preserve">, ff. 1, 5, 11; </w:t>
      </w:r>
      <w:hyperlink w:anchor="SENTENCIA_2016_186" w:history="1">
        <w:r w:rsidRPr="00427CF1">
          <w:rPr>
            <w:rStyle w:val="TextoNormalCaracter"/>
          </w:rPr>
          <w:t>186/2016</w:t>
        </w:r>
      </w:hyperlink>
      <w:r>
        <w:t>, ff. 1, 2.</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Sentencias </w:t>
      </w:r>
      <w:hyperlink w:anchor="SENTENCIA_2016_142" w:history="1">
        <w:r w:rsidRPr="00427CF1">
          <w:rPr>
            <w:rStyle w:val="TextoNormalCaracter"/>
          </w:rPr>
          <w:t>142/2016</w:t>
        </w:r>
      </w:hyperlink>
      <w:r>
        <w:t xml:space="preserve">, ff. 1, 5, 11; </w:t>
      </w:r>
      <w:hyperlink w:anchor="SENTENCIA_2016_186" w:history="1">
        <w:r w:rsidRPr="00427CF1">
          <w:rPr>
            <w:rStyle w:val="TextoNormalCaracter"/>
          </w:rPr>
          <w:t>186/2016</w:t>
        </w:r>
      </w:hyperlink>
      <w:r>
        <w:t>, ff. 1, 2.</w:t>
      </w:r>
    </w:p>
    <w:p w:rsidR="00427CF1" w:rsidRDefault="00427CF1" w:rsidP="00427CF1">
      <w:pPr>
        <w:pStyle w:val="SangriaFrancesaArticulo"/>
      </w:pPr>
      <w:r w:rsidRPr="00427CF1">
        <w:rPr>
          <w:rStyle w:val="TextoNormalNegritaCaracter"/>
        </w:rPr>
        <w:t>Artículo 14.25.</w:t>
      </w:r>
      <w:r w:rsidRPr="00427CF1">
        <w:rPr>
          <w:rStyle w:val="TextoNormalCaracter"/>
        </w:rPr>
        <w:t>-</w:t>
      </w:r>
      <w:r>
        <w:t xml:space="preserve"> Sentencia </w:t>
      </w:r>
      <w:hyperlink w:anchor="SENTENCIA_2016_142" w:history="1">
        <w:r w:rsidRPr="00427CF1">
          <w:rPr>
            <w:rStyle w:val="TextoNormalCaracter"/>
          </w:rPr>
          <w:t>142/2016</w:t>
        </w:r>
      </w:hyperlink>
      <w:r>
        <w:t>, f. 5.</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Sentencias </w:t>
      </w:r>
      <w:hyperlink w:anchor="SENTENCIA_2016_142" w:history="1">
        <w:r w:rsidRPr="00427CF1">
          <w:rPr>
            <w:rStyle w:val="TextoNormalCaracter"/>
          </w:rPr>
          <w:t>142/2016</w:t>
        </w:r>
      </w:hyperlink>
      <w:r>
        <w:t xml:space="preserve">, ff. 1, 5, 11; </w:t>
      </w:r>
      <w:hyperlink w:anchor="SENTENCIA_2016_186" w:history="1">
        <w:r w:rsidRPr="00427CF1">
          <w:rPr>
            <w:rStyle w:val="TextoNormalCaracter"/>
          </w:rPr>
          <w:t>186/2016</w:t>
        </w:r>
      </w:hyperlink>
      <w:r>
        <w:t>, ff. 1, 2.</w:t>
      </w:r>
    </w:p>
    <w:p w:rsidR="00427CF1" w:rsidRDefault="00427CF1" w:rsidP="00427CF1">
      <w:pPr>
        <w:pStyle w:val="SangriaFrancesaArticulo"/>
      </w:pPr>
      <w:r w:rsidRPr="00427CF1">
        <w:rPr>
          <w:rStyle w:val="TextoNormalNegritaCaracter"/>
        </w:rPr>
        <w:t>Artículo 15.3.</w:t>
      </w:r>
      <w:r w:rsidRPr="00427CF1">
        <w:rPr>
          <w:rStyle w:val="TextoNormalCaracter"/>
        </w:rPr>
        <w:t>-</w:t>
      </w:r>
      <w:r>
        <w:t xml:space="preserve"> Sentencia </w:t>
      </w:r>
      <w:hyperlink w:anchor="SENTENCIA_2016_142" w:history="1">
        <w:r w:rsidRPr="00427CF1">
          <w:rPr>
            <w:rStyle w:val="TextoNormalCaracter"/>
          </w:rPr>
          <w:t>142/2016</w:t>
        </w:r>
      </w:hyperlink>
      <w:r>
        <w:t>, f. 5.</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17 apartados 2 a 7.</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r w:rsidRPr="00427CF1">
        <w:rPr>
          <w:rStyle w:val="TextoNormalNegritaCaracter"/>
        </w:rPr>
        <w:t>Artículo 17.1.</w:t>
      </w:r>
      <w:r w:rsidRPr="00427CF1">
        <w:rPr>
          <w:rStyle w:val="TextoNormalCaracter"/>
        </w:rPr>
        <w:t>-</w:t>
      </w:r>
      <w:r>
        <w:t xml:space="preserve"> Sentencia </w:t>
      </w:r>
      <w:hyperlink w:anchor="SENTENCIA_2016_142" w:history="1">
        <w:r w:rsidRPr="00427CF1">
          <w:rPr>
            <w:rStyle w:val="TextoNormalCaracter"/>
          </w:rPr>
          <w:t>142/2016</w:t>
        </w:r>
      </w:hyperlink>
      <w:r>
        <w:t>, ff. 1, 5.</w:t>
      </w:r>
    </w:p>
    <w:p w:rsidR="00427CF1" w:rsidRDefault="00427CF1" w:rsidP="00427CF1">
      <w:pPr>
        <w:pStyle w:val="SangriaFrancesaArticulo"/>
      </w:pPr>
      <w:r w:rsidRPr="00427CF1">
        <w:rPr>
          <w:rStyle w:val="TextoNormalNegritaCaracter"/>
        </w:rPr>
        <w:t xml:space="preserve">Artículo 17.1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Sentencias </w:t>
      </w:r>
      <w:hyperlink w:anchor="SENTENCIA_2016_142" w:history="1">
        <w:r w:rsidRPr="00427CF1">
          <w:rPr>
            <w:rStyle w:val="TextoNormalCaracter"/>
          </w:rPr>
          <w:t>142/2016</w:t>
        </w:r>
      </w:hyperlink>
      <w:r>
        <w:t xml:space="preserve">, f. 5;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Artículo 17.2.</w:t>
      </w:r>
      <w:r w:rsidRPr="00427CF1">
        <w:rPr>
          <w:rStyle w:val="TextoNormalCaracter"/>
        </w:rPr>
        <w:t>-</w:t>
      </w:r>
      <w:r>
        <w:t xml:space="preserve"> Sentencia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17.3.</w:t>
      </w:r>
      <w:r w:rsidRPr="00427CF1">
        <w:rPr>
          <w:rStyle w:val="TextoNormalCaracter"/>
        </w:rPr>
        <w:t>-</w:t>
      </w:r>
      <w:r>
        <w:t xml:space="preserve"> Sentencia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 </w:t>
      </w:r>
      <w:hyperlink w:anchor="SENTENCIA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19.1.</w:t>
      </w:r>
      <w:r w:rsidRPr="00427CF1">
        <w:rPr>
          <w:rStyle w:val="TextoNormalCaracter"/>
        </w:rPr>
        <w:t>-</w:t>
      </w:r>
      <w:r>
        <w:t xml:space="preserve"> Sentencia </w:t>
      </w:r>
      <w:hyperlink w:anchor="SENTENCIA_2016_142" w:history="1">
        <w:r w:rsidRPr="00427CF1">
          <w:rPr>
            <w:rStyle w:val="TextoNormalCaracter"/>
          </w:rPr>
          <w:t>142/2016</w:t>
        </w:r>
      </w:hyperlink>
      <w:r>
        <w:t>, ff. 1, 6.</w:t>
      </w:r>
    </w:p>
    <w:p w:rsidR="00427CF1" w:rsidRDefault="00427CF1" w:rsidP="00427CF1">
      <w:pPr>
        <w:pStyle w:val="SangriaFrancesaArticulo"/>
      </w:pPr>
      <w:r w:rsidRPr="00427CF1">
        <w:rPr>
          <w:rStyle w:val="TextoNormalNegritaCaracter"/>
        </w:rPr>
        <w:t>Artículo 19.1 párrafo 1.</w:t>
      </w:r>
      <w:r w:rsidRPr="00427CF1">
        <w:rPr>
          <w:rStyle w:val="TextoNormalCaracter"/>
        </w:rPr>
        <w:t>-</w:t>
      </w:r>
      <w:r>
        <w:t xml:space="preserve"> Sentencias </w:t>
      </w:r>
      <w:hyperlink w:anchor="SENTENCIA_2016_142" w:history="1">
        <w:r w:rsidRPr="00427CF1">
          <w:rPr>
            <w:rStyle w:val="TextoNormalCaracter"/>
          </w:rPr>
          <w:t>142/2016</w:t>
        </w:r>
      </w:hyperlink>
      <w:r>
        <w:t xml:space="preserve">, f. 6;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Artículo 19.1 párrafo 2.</w:t>
      </w:r>
      <w:r w:rsidRPr="00427CF1">
        <w:rPr>
          <w:rStyle w:val="TextoNormalCaracter"/>
        </w:rPr>
        <w:t>-</w:t>
      </w:r>
      <w:r>
        <w:t xml:space="preserve"> Sentencias </w:t>
      </w:r>
      <w:hyperlink w:anchor="SENTENCIA_2016_142" w:history="1">
        <w:r w:rsidRPr="00427CF1">
          <w:rPr>
            <w:rStyle w:val="TextoNormalCaracter"/>
          </w:rPr>
          <w:t>142/2016</w:t>
        </w:r>
      </w:hyperlink>
      <w:r>
        <w:t xml:space="preserve">, f. 6;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Artículo 19.2.</w:t>
      </w:r>
      <w:r w:rsidRPr="00427CF1">
        <w:rPr>
          <w:rStyle w:val="TextoNormalCaracter"/>
        </w:rPr>
        <w:t>-</w:t>
      </w:r>
      <w:r>
        <w:t xml:space="preserve"> Sentencia </w:t>
      </w:r>
      <w:hyperlink w:anchor="SENTENCIA_2016_142" w:history="1">
        <w:r w:rsidRPr="00427CF1">
          <w:rPr>
            <w:rStyle w:val="TextoNormalCaracter"/>
          </w:rPr>
          <w:t>142/2016</w:t>
        </w:r>
      </w:hyperlink>
      <w:r>
        <w:t>, ff. 1, 6.</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Sentencias </w:t>
      </w:r>
      <w:hyperlink w:anchor="SENTENCIA_2016_142" w:history="1">
        <w:r w:rsidRPr="00427CF1">
          <w:rPr>
            <w:rStyle w:val="TextoNormalCaracter"/>
          </w:rPr>
          <w:t>142/2016</w:t>
        </w:r>
      </w:hyperlink>
      <w:r>
        <w:t xml:space="preserve">, ff. 1, 5, 7; </w:t>
      </w:r>
      <w:hyperlink w:anchor="SENTENCIA_2016_186" w:history="1">
        <w:r w:rsidRPr="00427CF1">
          <w:rPr>
            <w:rStyle w:val="TextoNormalCaracter"/>
          </w:rPr>
          <w:t>186/2016</w:t>
        </w:r>
      </w:hyperlink>
      <w:r>
        <w:t>, ff. 1, 2.</w:t>
      </w:r>
    </w:p>
    <w:p w:rsidR="00427CF1" w:rsidRDefault="00427CF1" w:rsidP="00427CF1">
      <w:pPr>
        <w:pStyle w:val="SangriaFrancesaArticulo"/>
      </w:pPr>
      <w:r w:rsidRPr="00427CF1">
        <w:rPr>
          <w:rStyle w:val="TextoNormalNegritaCaracter"/>
        </w:rPr>
        <w:t>Artículo 20.1.</w:t>
      </w:r>
      <w:r w:rsidRPr="00427CF1">
        <w:rPr>
          <w:rStyle w:val="TextoNormalCaracter"/>
        </w:rPr>
        <w:t>-</w:t>
      </w:r>
      <w:r>
        <w:t xml:space="preserve"> Sentencia </w:t>
      </w:r>
      <w:hyperlink w:anchor="SENTENCIA_2016_142" w:history="1">
        <w:r w:rsidRPr="00427CF1">
          <w:rPr>
            <w:rStyle w:val="TextoNormalCaracter"/>
          </w:rPr>
          <w:t>142/2016</w:t>
        </w:r>
      </w:hyperlink>
      <w:r>
        <w:t>, f. 7.</w:t>
      </w:r>
    </w:p>
    <w:p w:rsidR="00427CF1" w:rsidRDefault="00427CF1" w:rsidP="00427CF1">
      <w:pPr>
        <w:pStyle w:val="SangriaFrancesaArticulo"/>
      </w:pPr>
      <w:r w:rsidRPr="00427CF1">
        <w:rPr>
          <w:rStyle w:val="TextoNormalNegritaCaracter"/>
        </w:rPr>
        <w:t>Artículo 20.1 d).</w:t>
      </w:r>
      <w:r w:rsidRPr="00427CF1">
        <w:rPr>
          <w:rStyle w:val="TextoNormalCaracter"/>
        </w:rPr>
        <w:t>-</w:t>
      </w:r>
      <w:r>
        <w:t xml:space="preserve"> Sentencia </w:t>
      </w:r>
      <w:hyperlink w:anchor="SENTENCIA_2016_142" w:history="1">
        <w:r w:rsidRPr="00427CF1">
          <w:rPr>
            <w:rStyle w:val="TextoNormalCaracter"/>
          </w:rPr>
          <w:t>142/2016</w:t>
        </w:r>
      </w:hyperlink>
      <w:r>
        <w:t>, f. 7.</w:t>
      </w:r>
    </w:p>
    <w:p w:rsidR="00427CF1" w:rsidRDefault="00427CF1" w:rsidP="00427CF1">
      <w:pPr>
        <w:pStyle w:val="SangriaFrancesaArticulo"/>
      </w:pPr>
      <w:r w:rsidRPr="00427CF1">
        <w:rPr>
          <w:rStyle w:val="TextoNormalNegritaCaracter"/>
        </w:rPr>
        <w:t>Artículo 20.2.</w:t>
      </w:r>
      <w:r w:rsidRPr="00427CF1">
        <w:rPr>
          <w:rStyle w:val="TextoNormalCaracter"/>
        </w:rPr>
        <w:t>-</w:t>
      </w:r>
      <w:r>
        <w:t xml:space="preserve"> Sentencia </w:t>
      </w:r>
      <w:hyperlink w:anchor="SENTENCIA_2016_142" w:history="1">
        <w:r w:rsidRPr="00427CF1">
          <w:rPr>
            <w:rStyle w:val="TextoNormalCaracter"/>
          </w:rPr>
          <w:t>142/2016</w:t>
        </w:r>
      </w:hyperlink>
      <w:r>
        <w:t>, f. 7.</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Sentencias </w:t>
      </w:r>
      <w:hyperlink w:anchor="SENTENCIA_2016_142" w:history="1">
        <w:r w:rsidRPr="00427CF1">
          <w:rPr>
            <w:rStyle w:val="TextoNormalCaracter"/>
          </w:rPr>
          <w:t>142/2016</w:t>
        </w:r>
      </w:hyperlink>
      <w:r>
        <w:t xml:space="preserve">, f. 4; </w:t>
      </w:r>
      <w:hyperlink w:anchor="SENTENCIA_2016_186" w:history="1">
        <w:r w:rsidRPr="00427CF1">
          <w:rPr>
            <w:rStyle w:val="TextoNormalCaracter"/>
          </w:rPr>
          <w:t>186/2016</w:t>
        </w:r>
      </w:hyperlink>
      <w:r>
        <w:t>, ff. 1, 3.</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Sentencias </w:t>
      </w:r>
      <w:hyperlink w:anchor="SENTENCIA_2016_142" w:history="1">
        <w:r w:rsidRPr="00427CF1">
          <w:rPr>
            <w:rStyle w:val="TextoNormalCaracter"/>
          </w:rPr>
          <w:t>142/2016</w:t>
        </w:r>
      </w:hyperlink>
      <w:r>
        <w:t xml:space="preserve">, ff. 1, 8; </w:t>
      </w:r>
      <w:hyperlink w:anchor="SENTENCIA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22 párrafo 2.</w:t>
      </w:r>
      <w:r w:rsidRPr="00427CF1">
        <w:rPr>
          <w:rStyle w:val="TextoNormalCaracter"/>
        </w:rPr>
        <w:t>-</w:t>
      </w:r>
      <w:r>
        <w:t xml:space="preserve"> Sentencia </w:t>
      </w:r>
      <w:hyperlink w:anchor="SENTENCIA_2016_142" w:history="1">
        <w:r w:rsidRPr="00427CF1">
          <w:rPr>
            <w:rStyle w:val="TextoNormalCaracter"/>
          </w:rPr>
          <w:t>142/2016</w:t>
        </w:r>
      </w:hyperlink>
      <w:r>
        <w:t>, f. 8.</w:t>
      </w:r>
    </w:p>
    <w:p w:rsidR="00427CF1" w:rsidRDefault="00427CF1" w:rsidP="00427CF1">
      <w:pPr>
        <w:pStyle w:val="SangriaFrancesaArticulo"/>
      </w:pPr>
      <w:r w:rsidRPr="00427CF1">
        <w:rPr>
          <w:rStyle w:val="TextoNormalNegritaCaracter"/>
        </w:rPr>
        <w:t>Artículo 22 párrafo 3.</w:t>
      </w:r>
      <w:r w:rsidRPr="00427CF1">
        <w:rPr>
          <w:rStyle w:val="TextoNormalCaracter"/>
        </w:rPr>
        <w:t>-</w:t>
      </w:r>
      <w:r>
        <w:t xml:space="preserve"> Sentencia </w:t>
      </w:r>
      <w:hyperlink w:anchor="SENTENCIA_2016_142" w:history="1">
        <w:r w:rsidRPr="00427CF1">
          <w:rPr>
            <w:rStyle w:val="TextoNormalCaracter"/>
          </w:rPr>
          <w:t>142/2016</w:t>
        </w:r>
      </w:hyperlink>
      <w:r>
        <w:t>, f. 8.</w:t>
      </w:r>
    </w:p>
    <w:p w:rsidR="00427CF1" w:rsidRDefault="00427CF1" w:rsidP="00427CF1">
      <w:pPr>
        <w:pStyle w:val="SangriaFrancesaArticulo"/>
      </w:pPr>
      <w:r w:rsidRPr="00427CF1">
        <w:rPr>
          <w:rStyle w:val="TextoNormalNegritaCaracter"/>
        </w:rPr>
        <w:t>Artículo 22 párrafo 4.</w:t>
      </w:r>
      <w:r w:rsidRPr="00427CF1">
        <w:rPr>
          <w:rStyle w:val="TextoNormalCaracter"/>
        </w:rPr>
        <w:t>-</w:t>
      </w:r>
      <w:r>
        <w:t xml:space="preserve"> Sentencias </w:t>
      </w:r>
      <w:hyperlink w:anchor="SENTENCIA_2016_142" w:history="1">
        <w:r w:rsidRPr="00427CF1">
          <w:rPr>
            <w:rStyle w:val="TextoNormalCaracter"/>
          </w:rPr>
          <w:t>142/2016</w:t>
        </w:r>
      </w:hyperlink>
      <w:r>
        <w:t xml:space="preserve">, f. 8;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Artículo 22 párrafo 5.</w:t>
      </w:r>
      <w:r w:rsidRPr="00427CF1">
        <w:rPr>
          <w:rStyle w:val="TextoNormalCaracter"/>
        </w:rPr>
        <w:t>-</w:t>
      </w:r>
      <w:r>
        <w:t xml:space="preserve"> Sentencia </w:t>
      </w:r>
      <w:hyperlink w:anchor="SENTENCIA_2016_142" w:history="1">
        <w:r w:rsidRPr="00427CF1">
          <w:rPr>
            <w:rStyle w:val="TextoNormalCaracter"/>
          </w:rPr>
          <w:t>142/2016</w:t>
        </w:r>
      </w:hyperlink>
      <w:r>
        <w:t>, f. 8.</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86" w:history="1">
        <w:r w:rsidRPr="00427CF1">
          <w:rPr>
            <w:rStyle w:val="TextoNormalCaracter"/>
          </w:rPr>
          <w:t>186/2016</w:t>
        </w:r>
      </w:hyperlink>
      <w:r>
        <w:t>, ff. 1, 2.</w:t>
      </w:r>
    </w:p>
    <w:p w:rsidR="00427CF1" w:rsidRDefault="00427CF1" w:rsidP="00427CF1">
      <w:pPr>
        <w:pStyle w:val="SangriaFrancesaArticulo"/>
      </w:pPr>
      <w:r w:rsidRPr="00427CF1">
        <w:rPr>
          <w:rStyle w:val="TextoNormalNegritaCaracter"/>
        </w:rPr>
        <w:t>Artículo 23.1.</w:t>
      </w:r>
      <w:r w:rsidRPr="00427CF1">
        <w:rPr>
          <w:rStyle w:val="TextoNormalCaracter"/>
        </w:rPr>
        <w:t>-</w:t>
      </w:r>
      <w:r>
        <w:t xml:space="preserve"> Sentencia </w:t>
      </w:r>
      <w:hyperlink w:anchor="SENTENCIA_2016_142" w:history="1">
        <w:r w:rsidRPr="00427CF1">
          <w:rPr>
            <w:rStyle w:val="TextoNormalCaracter"/>
          </w:rPr>
          <w:t>142/2016</w:t>
        </w:r>
      </w:hyperlink>
      <w:r>
        <w:t>, ff. 1, 9.</w:t>
      </w:r>
    </w:p>
    <w:p w:rsidR="00427CF1" w:rsidRDefault="00427CF1" w:rsidP="00427CF1">
      <w:pPr>
        <w:pStyle w:val="SangriaFrancesaArticulo"/>
      </w:pPr>
      <w:r w:rsidRPr="00427CF1">
        <w:rPr>
          <w:rStyle w:val="TextoNormalNegritaCaracter"/>
        </w:rPr>
        <w:t>Artículo 23.1 párrafo 1.</w:t>
      </w:r>
      <w:r w:rsidRPr="00427CF1">
        <w:rPr>
          <w:rStyle w:val="TextoNormalCaracter"/>
        </w:rPr>
        <w:t>-</w:t>
      </w:r>
      <w:r>
        <w:t xml:space="preserve"> Sentencia </w:t>
      </w:r>
      <w:hyperlink w:anchor="SENTENCIA_2016_142" w:history="1">
        <w:r w:rsidRPr="00427CF1">
          <w:rPr>
            <w:rStyle w:val="TextoNormalCaracter"/>
          </w:rPr>
          <w:t>142/2016</w:t>
        </w:r>
      </w:hyperlink>
      <w:r>
        <w:t>, f. 9.</w:t>
      </w:r>
    </w:p>
    <w:p w:rsidR="00427CF1" w:rsidRDefault="00427CF1" w:rsidP="00427CF1">
      <w:pPr>
        <w:pStyle w:val="SangriaFrancesaArticulo"/>
      </w:pPr>
      <w:r w:rsidRPr="00427CF1">
        <w:rPr>
          <w:rStyle w:val="TextoNormalNegritaCaracter"/>
        </w:rPr>
        <w:t>Artículo 23.1 párrafo 2.</w:t>
      </w:r>
      <w:r w:rsidRPr="00427CF1">
        <w:rPr>
          <w:rStyle w:val="TextoNormalCaracter"/>
        </w:rPr>
        <w:t>-</w:t>
      </w:r>
      <w:r>
        <w:t xml:space="preserve"> Sentencia </w:t>
      </w:r>
      <w:hyperlink w:anchor="SENTENCIA_2016_142" w:history="1">
        <w:r w:rsidRPr="00427CF1">
          <w:rPr>
            <w:rStyle w:val="TextoNormalCaracter"/>
          </w:rPr>
          <w:t>142/2016</w:t>
        </w:r>
      </w:hyperlink>
      <w:r>
        <w:t>, f. 9.</w:t>
      </w:r>
    </w:p>
    <w:p w:rsidR="00427CF1" w:rsidRDefault="00427CF1" w:rsidP="00427CF1">
      <w:pPr>
        <w:pStyle w:val="SangriaFrancesaArticulo"/>
      </w:pPr>
      <w:r w:rsidRPr="00427CF1">
        <w:rPr>
          <w:rStyle w:val="TextoNormalNegritaCaracter"/>
        </w:rPr>
        <w:t>Artículo 23.2.</w:t>
      </w:r>
      <w:r w:rsidRPr="00427CF1">
        <w:rPr>
          <w:rStyle w:val="TextoNormalCaracter"/>
        </w:rPr>
        <w:t>-</w:t>
      </w:r>
      <w:r>
        <w:t xml:space="preserve"> Sentencia </w:t>
      </w:r>
      <w:hyperlink w:anchor="SENTENCIA_2016_142" w:history="1">
        <w:r w:rsidRPr="00427CF1">
          <w:rPr>
            <w:rStyle w:val="TextoNormalCaracter"/>
          </w:rPr>
          <w:t>142/2016</w:t>
        </w:r>
      </w:hyperlink>
      <w:r>
        <w:t>, ff. 1, 9.</w:t>
      </w:r>
    </w:p>
    <w:p w:rsidR="00427CF1" w:rsidRDefault="00427CF1" w:rsidP="00427CF1">
      <w:pPr>
        <w:pStyle w:val="SangriaFrancesaArticulo"/>
      </w:pPr>
      <w:r w:rsidRPr="00427CF1">
        <w:rPr>
          <w:rStyle w:val="TextoNormalNegritaCaracter"/>
        </w:rPr>
        <w:t xml:space="preserve">Artículo 23.2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Sentencias </w:t>
      </w:r>
      <w:hyperlink w:anchor="SENTENCIA_2016_142" w:history="1">
        <w:r w:rsidRPr="00427CF1">
          <w:rPr>
            <w:rStyle w:val="TextoNormalCaracter"/>
          </w:rPr>
          <w:t>142/2016</w:t>
        </w:r>
      </w:hyperlink>
      <w:r>
        <w:t xml:space="preserve">, f. 9;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Sentencias </w:t>
      </w:r>
      <w:hyperlink w:anchor="SENTENCIA_2016_142" w:history="1">
        <w:r w:rsidRPr="00427CF1">
          <w:rPr>
            <w:rStyle w:val="TextoNormalCaracter"/>
          </w:rPr>
          <w:t>142/2016</w:t>
        </w:r>
      </w:hyperlink>
      <w:r>
        <w:t xml:space="preserve">, f. 10; </w:t>
      </w:r>
      <w:hyperlink w:anchor="SENTENCIA_2016_186" w:history="1">
        <w:r w:rsidRPr="00427CF1">
          <w:rPr>
            <w:rStyle w:val="TextoNormalCaracter"/>
          </w:rPr>
          <w:t>186/2016</w:t>
        </w:r>
      </w:hyperlink>
      <w:r>
        <w:t>, ff. 1, 2.</w:t>
      </w:r>
    </w:p>
    <w:p w:rsidR="00427CF1" w:rsidRDefault="00427CF1" w:rsidP="00427CF1">
      <w:pPr>
        <w:pStyle w:val="SangriaFrancesaArticulo"/>
      </w:pPr>
      <w:r w:rsidRPr="00427CF1">
        <w:rPr>
          <w:rStyle w:val="TextoNormalNegritaCaracter"/>
        </w:rPr>
        <w:t>Artículo 24.1.</w:t>
      </w:r>
      <w:r w:rsidRPr="00427CF1">
        <w:rPr>
          <w:rStyle w:val="TextoNormalCaracter"/>
        </w:rPr>
        <w:t>-</w:t>
      </w:r>
      <w:r>
        <w:t xml:space="preserve"> Sentencia </w:t>
      </w:r>
      <w:hyperlink w:anchor="SENTENCIA_2016_142" w:history="1">
        <w:r w:rsidRPr="00427CF1">
          <w:rPr>
            <w:rStyle w:val="TextoNormalCaracter"/>
          </w:rPr>
          <w:t>142/2016</w:t>
        </w:r>
      </w:hyperlink>
      <w:r>
        <w:t>, ff. 1, 10.</w:t>
      </w:r>
    </w:p>
    <w:p w:rsidR="00427CF1" w:rsidRDefault="00427CF1" w:rsidP="00427CF1">
      <w:pPr>
        <w:pStyle w:val="SangriaFrancesaArticulo"/>
      </w:pPr>
      <w:r w:rsidRPr="00427CF1">
        <w:rPr>
          <w:rStyle w:val="TextoNormalNegritaCaracter"/>
        </w:rPr>
        <w:t>Artículo 24.2.</w:t>
      </w:r>
      <w:r w:rsidRPr="00427CF1">
        <w:rPr>
          <w:rStyle w:val="TextoNormalCaracter"/>
        </w:rPr>
        <w:t>-</w:t>
      </w:r>
      <w:r>
        <w:t xml:space="preserve"> Sentencia </w:t>
      </w:r>
      <w:hyperlink w:anchor="SENTENCIA_2016_142" w:history="1">
        <w:r w:rsidRPr="00427CF1">
          <w:rPr>
            <w:rStyle w:val="TextoNormalCaracter"/>
          </w:rPr>
          <w:t>142/2016</w:t>
        </w:r>
      </w:hyperlink>
      <w:r>
        <w:t>, ff. 1, 10.</w:t>
      </w:r>
    </w:p>
    <w:p w:rsidR="00427CF1" w:rsidRDefault="00427CF1" w:rsidP="00427CF1">
      <w:pPr>
        <w:pStyle w:val="SangriaFrancesaArticulo"/>
      </w:pPr>
      <w:r w:rsidRPr="00427CF1">
        <w:rPr>
          <w:rStyle w:val="TextoNormalNegritaCaracter"/>
        </w:rPr>
        <w:t>Artículo 24.3.</w:t>
      </w:r>
      <w:r w:rsidRPr="00427CF1">
        <w:rPr>
          <w:rStyle w:val="TextoNormalCaracter"/>
        </w:rPr>
        <w:t>-</w:t>
      </w:r>
      <w:r>
        <w:t xml:space="preserve"> Sentencia </w:t>
      </w:r>
      <w:hyperlink w:anchor="SENTENCIA_2016_142" w:history="1">
        <w:r w:rsidRPr="00427CF1">
          <w:rPr>
            <w:rStyle w:val="TextoNormalCaracter"/>
          </w:rPr>
          <w:t>142/2016</w:t>
        </w:r>
      </w:hyperlink>
      <w:r>
        <w:t>, f. 10.</w:t>
      </w:r>
    </w:p>
    <w:p w:rsidR="00427CF1" w:rsidRDefault="00427CF1" w:rsidP="00427CF1">
      <w:pPr>
        <w:pStyle w:val="SangriaFrancesaArticulo"/>
      </w:pPr>
      <w:r w:rsidRPr="00427CF1">
        <w:rPr>
          <w:rStyle w:val="TextoNormalNegritaCaracter"/>
        </w:rPr>
        <w:t>Artículo 24.4.</w:t>
      </w:r>
      <w:r w:rsidRPr="00427CF1">
        <w:rPr>
          <w:rStyle w:val="TextoNormalCaracter"/>
        </w:rPr>
        <w:t>-</w:t>
      </w:r>
      <w:r>
        <w:t xml:space="preserve"> Sentencia </w:t>
      </w:r>
      <w:hyperlink w:anchor="SENTENCIA_2016_142" w:history="1">
        <w:r w:rsidRPr="00427CF1">
          <w:rPr>
            <w:rStyle w:val="TextoNormalCaracter"/>
          </w:rPr>
          <w:t>142/2016</w:t>
        </w:r>
      </w:hyperlink>
      <w:r>
        <w:t>, ff. 1, 10.</w:t>
      </w:r>
    </w:p>
    <w:p w:rsidR="00427CF1" w:rsidRDefault="00427CF1" w:rsidP="00427CF1">
      <w:pPr>
        <w:pStyle w:val="SangriaFrancesaArticulo"/>
      </w:pPr>
      <w:r w:rsidRPr="00427CF1">
        <w:rPr>
          <w:rStyle w:val="TextoNormalNegritaCaracter"/>
        </w:rPr>
        <w:t>Artículo 24.5.</w:t>
      </w:r>
      <w:r w:rsidRPr="00427CF1">
        <w:rPr>
          <w:rStyle w:val="TextoNormalCaracter"/>
        </w:rPr>
        <w:t>-</w:t>
      </w:r>
      <w:r>
        <w:t xml:space="preserve"> Sentencia </w:t>
      </w:r>
      <w:hyperlink w:anchor="SENTENCIA_2016_142" w:history="1">
        <w:r w:rsidRPr="00427CF1">
          <w:rPr>
            <w:rStyle w:val="TextoNormalCaracter"/>
          </w:rPr>
          <w:t>142/2016</w:t>
        </w:r>
      </w:hyperlink>
      <w:r>
        <w:t>, ff. 1, 10.</w:t>
      </w:r>
    </w:p>
    <w:p w:rsidR="00427CF1" w:rsidRDefault="00427CF1" w:rsidP="00427CF1">
      <w:pPr>
        <w:pStyle w:val="SangriaFrancesaArticulo"/>
      </w:pPr>
      <w:r w:rsidRPr="00427CF1">
        <w:rPr>
          <w:rStyle w:val="TextoNormalNegritaCaracter"/>
        </w:rPr>
        <w:t>Artículo 25.1.</w:t>
      </w:r>
      <w:r w:rsidRPr="00427CF1">
        <w:rPr>
          <w:rStyle w:val="TextoNormalCaracter"/>
        </w:rPr>
        <w:t>-</w:t>
      </w:r>
      <w:r>
        <w:t xml:space="preserve"> Sentencia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 </w:t>
      </w:r>
      <w:hyperlink w:anchor="SENTENCIA_2016_186" w:history="1">
        <w:r w:rsidRPr="00427CF1">
          <w:rPr>
            <w:rStyle w:val="TextoNormalCaracter"/>
          </w:rPr>
          <w:t>186/2016</w:t>
        </w:r>
      </w:hyperlink>
      <w:r>
        <w:t>, ff. 1, 3.</w:t>
      </w:r>
    </w:p>
    <w:p w:rsidR="00427CF1" w:rsidRDefault="00427CF1" w:rsidP="00427CF1">
      <w:pPr>
        <w:pStyle w:val="SangriaFrancesaArticulo"/>
      </w:pPr>
      <w:r w:rsidRPr="00427CF1">
        <w:rPr>
          <w:rStyle w:val="TextoNormalNegritaCaracter"/>
        </w:rPr>
        <w:t>Artículo 26.3.</w:t>
      </w:r>
      <w:r w:rsidRPr="00427CF1">
        <w:rPr>
          <w:rStyle w:val="TextoNormalCaracter"/>
        </w:rPr>
        <w:t>-</w:t>
      </w:r>
      <w:r>
        <w:t xml:space="preserve"> Sentencia </w:t>
      </w:r>
      <w:hyperlink w:anchor="SENTENCIA_2016_186" w:history="1">
        <w:r w:rsidRPr="00427CF1">
          <w:rPr>
            <w:rStyle w:val="TextoNormalCaracter"/>
          </w:rPr>
          <w:t>186/2016</w:t>
        </w:r>
      </w:hyperlink>
      <w:r>
        <w:t>, ff. 2, 3.</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Sentencias </w:t>
      </w:r>
      <w:hyperlink w:anchor="SENTENCIA_2016_142" w:history="1">
        <w:r w:rsidRPr="00427CF1">
          <w:rPr>
            <w:rStyle w:val="TextoNormalCaracter"/>
          </w:rPr>
          <w:t>142/2016</w:t>
        </w:r>
      </w:hyperlink>
      <w:r>
        <w:t xml:space="preserve">, ff. 1, 2, 10; </w:t>
      </w:r>
      <w:hyperlink w:anchor="SENTENCIA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Disposición adicional primera, apartado 1.</w:t>
      </w:r>
      <w:r w:rsidRPr="00427CF1">
        <w:rPr>
          <w:rStyle w:val="TextoNormalCaracter"/>
        </w:rPr>
        <w:t>-</w:t>
      </w:r>
      <w:r>
        <w:t xml:space="preserve"> Sentencias </w:t>
      </w:r>
      <w:hyperlink w:anchor="SENTENCIA_2016_142" w:history="1">
        <w:r w:rsidRPr="00427CF1">
          <w:rPr>
            <w:rStyle w:val="TextoNormalCaracter"/>
          </w:rPr>
          <w:t>142/2016</w:t>
        </w:r>
      </w:hyperlink>
      <w:r>
        <w:t xml:space="preserve">, f. 11;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adicional primera, apartado 2.</w:t>
      </w:r>
      <w:r w:rsidRPr="00427CF1">
        <w:rPr>
          <w:rStyle w:val="TextoNormalCaracter"/>
        </w:rPr>
        <w:t>-</w:t>
      </w:r>
      <w:r>
        <w:t xml:space="preserve"> Sentencias </w:t>
      </w:r>
      <w:hyperlink w:anchor="SENTENCIA_2016_142" w:history="1">
        <w:r w:rsidRPr="00427CF1">
          <w:rPr>
            <w:rStyle w:val="TextoNormalCaracter"/>
          </w:rPr>
          <w:t>142/2016</w:t>
        </w:r>
      </w:hyperlink>
      <w:r>
        <w:t xml:space="preserve">, f. 11;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adicional primera, apartado 2 e).</w:t>
      </w:r>
      <w:r w:rsidRPr="00427CF1">
        <w:rPr>
          <w:rStyle w:val="TextoNormalCaracter"/>
        </w:rPr>
        <w:t>-</w:t>
      </w:r>
      <w:r>
        <w:t xml:space="preserve"> Sentencia </w:t>
      </w:r>
      <w:hyperlink w:anchor="SENTENCIA_2016_142" w:history="1">
        <w:r w:rsidRPr="00427CF1">
          <w:rPr>
            <w:rStyle w:val="TextoNormalCaracter"/>
          </w:rPr>
          <w:t>142/2016</w:t>
        </w:r>
      </w:hyperlink>
      <w:r>
        <w:t>, f. 11.</w:t>
      </w:r>
    </w:p>
    <w:p w:rsidR="00427CF1" w:rsidRDefault="00427CF1" w:rsidP="00427CF1">
      <w:pPr>
        <w:pStyle w:val="SangriaFrancesaArticulo"/>
      </w:pPr>
      <w:r w:rsidRPr="00427CF1">
        <w:rPr>
          <w:rStyle w:val="TextoNormalNegritaCaracter"/>
        </w:rPr>
        <w:t>Disposición adicional primera, apartado 3.</w:t>
      </w:r>
      <w:r w:rsidRPr="00427CF1">
        <w:rPr>
          <w:rStyle w:val="TextoNormalCaracter"/>
        </w:rPr>
        <w:t>-</w:t>
      </w:r>
      <w:r>
        <w:t xml:space="preserve"> Sentencias </w:t>
      </w:r>
      <w:hyperlink w:anchor="SENTENCIA_2016_142" w:history="1">
        <w:r w:rsidRPr="00427CF1">
          <w:rPr>
            <w:rStyle w:val="TextoNormalCaracter"/>
          </w:rPr>
          <w:t>142/2016</w:t>
        </w:r>
      </w:hyperlink>
      <w:r>
        <w:t xml:space="preserve">, f. 11;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adicional primera, apartado 4.</w:t>
      </w:r>
      <w:r w:rsidRPr="00427CF1">
        <w:rPr>
          <w:rStyle w:val="TextoNormalCaracter"/>
        </w:rPr>
        <w:t>-</w:t>
      </w:r>
      <w:r>
        <w:t xml:space="preserve"> Sentencias </w:t>
      </w:r>
      <w:hyperlink w:anchor="SENTENCIA_2016_142" w:history="1">
        <w:r w:rsidRPr="00427CF1">
          <w:rPr>
            <w:rStyle w:val="TextoNormalCaracter"/>
          </w:rPr>
          <w:t>142/2016</w:t>
        </w:r>
      </w:hyperlink>
      <w:r>
        <w:t xml:space="preserve">, f. 11;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adicional primera, apartado 5.</w:t>
      </w:r>
      <w:r w:rsidRPr="00427CF1">
        <w:rPr>
          <w:rStyle w:val="TextoNormalCaracter"/>
        </w:rPr>
        <w:t>-</w:t>
      </w:r>
      <w:r>
        <w:t xml:space="preserve"> Sentencias </w:t>
      </w:r>
      <w:hyperlink w:anchor="SENTENCIA_2016_142" w:history="1">
        <w:r w:rsidRPr="00427CF1">
          <w:rPr>
            <w:rStyle w:val="TextoNormalCaracter"/>
          </w:rPr>
          <w:t>142/2016</w:t>
        </w:r>
      </w:hyperlink>
      <w:r>
        <w:t xml:space="preserve">, f. 11;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adicional primera, apartado 6.</w:t>
      </w:r>
      <w:r w:rsidRPr="00427CF1">
        <w:rPr>
          <w:rStyle w:val="TextoNormalCaracter"/>
        </w:rPr>
        <w:t>-</w:t>
      </w:r>
      <w:r>
        <w:t xml:space="preserve"> Sentencias </w:t>
      </w:r>
      <w:hyperlink w:anchor="SENTENCIA_2016_142" w:history="1">
        <w:r w:rsidRPr="00427CF1">
          <w:rPr>
            <w:rStyle w:val="TextoNormalCaracter"/>
          </w:rPr>
          <w:t>142/2016</w:t>
        </w:r>
      </w:hyperlink>
      <w:r>
        <w:t xml:space="preserve">, f. 11;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transitoria única.</w:t>
      </w:r>
      <w:r w:rsidRPr="00427CF1">
        <w:rPr>
          <w:rStyle w:val="TextoNormalCaracter"/>
        </w:rPr>
        <w:t>-</w:t>
      </w:r>
      <w:r>
        <w:t xml:space="preserve"> Sentencias </w:t>
      </w:r>
      <w:hyperlink w:anchor="SENTENCIA_2016_142" w:history="1">
        <w:r w:rsidRPr="00427CF1">
          <w:rPr>
            <w:rStyle w:val="TextoNormalCaracter"/>
          </w:rPr>
          <w:t>142/2016</w:t>
        </w:r>
      </w:hyperlink>
      <w:r>
        <w:t xml:space="preserve">, ff. 1, 2; </w:t>
      </w:r>
      <w:hyperlink w:anchor="SENTENCIA_2016_186" w:history="1">
        <w:r w:rsidRPr="00427CF1">
          <w:rPr>
            <w:rStyle w:val="TextoNormalCaracter"/>
          </w:rPr>
          <w:t>186/2016</w:t>
        </w:r>
      </w:hyperlink>
      <w:r>
        <w:t>, ff. 1, 2.</w:t>
      </w:r>
    </w:p>
    <w:p w:rsidR="00427CF1" w:rsidRDefault="00427CF1" w:rsidP="00427CF1">
      <w:pPr>
        <w:pStyle w:val="SangriaFrancesaArticulo"/>
      </w:pPr>
      <w:r w:rsidRPr="00427CF1">
        <w:rPr>
          <w:rStyle w:val="TextoNormalNegritaCaracter"/>
        </w:rPr>
        <w:t>Disposición transitoria única, apartado 1.</w:t>
      </w:r>
      <w:r w:rsidRPr="00427CF1">
        <w:rPr>
          <w:rStyle w:val="TextoNormalCaracter"/>
        </w:rPr>
        <w:t>-</w:t>
      </w:r>
      <w:r>
        <w:t xml:space="preserve"> Sentencias </w:t>
      </w:r>
      <w:hyperlink w:anchor="SENTENCIA_2016_142" w:history="1">
        <w:r w:rsidRPr="00427CF1">
          <w:rPr>
            <w:rStyle w:val="TextoNormalCaracter"/>
          </w:rPr>
          <w:t>142/2016</w:t>
        </w:r>
      </w:hyperlink>
      <w:r>
        <w:t xml:space="preserve">, f. 12;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transitoria única, apartado 1 expresión "excepto los artículos 15 y 16, que seguirán aplicándose".</w:t>
      </w:r>
      <w:r w:rsidRPr="00427CF1">
        <w:rPr>
          <w:rStyle w:val="TextoNormalCaracter"/>
        </w:rPr>
        <w:t>-</w:t>
      </w:r>
      <w:r>
        <w:t xml:space="preserve"> Sentencias </w:t>
      </w:r>
      <w:hyperlink w:anchor="SENTENCIA_2016_142" w:history="1">
        <w:r w:rsidRPr="00427CF1">
          <w:rPr>
            <w:rStyle w:val="TextoNormalCaracter"/>
          </w:rPr>
          <w:t>142/2016</w:t>
        </w:r>
      </w:hyperlink>
      <w:r>
        <w:t xml:space="preserve">;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transitoria única, apartado 2.</w:t>
      </w:r>
      <w:r w:rsidRPr="00427CF1">
        <w:rPr>
          <w:rStyle w:val="TextoNormalCaracter"/>
        </w:rPr>
        <w:t>-</w:t>
      </w:r>
      <w:r>
        <w:t xml:space="preserve"> Sentencias </w:t>
      </w:r>
      <w:hyperlink w:anchor="SENTENCIA_2016_142" w:history="1">
        <w:r w:rsidRPr="00427CF1">
          <w:rPr>
            <w:rStyle w:val="TextoNormalCaracter"/>
          </w:rPr>
          <w:t>142/2016</w:t>
        </w:r>
      </w:hyperlink>
      <w:r>
        <w:t xml:space="preserve">, ff. 12, 13; </w:t>
      </w:r>
      <w:hyperlink w:anchor="SENTENCIA_2016_186" w:history="1">
        <w:r w:rsidRPr="00427CF1">
          <w:rPr>
            <w:rStyle w:val="TextoNormalCaracter"/>
          </w:rPr>
          <w:t>186/2016</w:t>
        </w:r>
      </w:hyperlink>
      <w:r>
        <w:t>, f. 2.</w:t>
      </w:r>
    </w:p>
    <w:p w:rsidR="00427CF1" w:rsidRDefault="00427CF1" w:rsidP="00427CF1">
      <w:pPr>
        <w:pStyle w:val="SangriaFrancesaArticulo"/>
      </w:pPr>
      <w:r w:rsidRPr="00427CF1">
        <w:rPr>
          <w:rStyle w:val="TextoNormalNegritaCaracter"/>
        </w:rPr>
        <w:t>Disposición final quinta.</w:t>
      </w:r>
      <w:r w:rsidRPr="00427CF1">
        <w:rPr>
          <w:rStyle w:val="TextoNormalCaracter"/>
        </w:rPr>
        <w:t>-</w:t>
      </w:r>
      <w:r>
        <w:t xml:space="preserve"> Sentencia </w:t>
      </w:r>
      <w:hyperlink w:anchor="SENTENCIA_2016_142" w:history="1">
        <w:r w:rsidRPr="00427CF1">
          <w:rPr>
            <w:rStyle w:val="TextoNormalCaracter"/>
          </w:rPr>
          <w:t>142/2016</w:t>
        </w:r>
      </w:hyperlink>
      <w:r>
        <w:t>, ff. 1, 2, 14.</w:t>
      </w:r>
    </w:p>
    <w:p w:rsidR="00427CF1" w:rsidRDefault="00427CF1" w:rsidP="00427CF1">
      <w:pPr>
        <w:pStyle w:val="SangriaFrancesaArticulo"/>
      </w:pPr>
    </w:p>
    <w:p w:rsidR="00427CF1" w:rsidRDefault="00427CF1" w:rsidP="00427CF1">
      <w:pPr>
        <w:pStyle w:val="TextoNormalNegritaCursivandice"/>
      </w:pPr>
      <w:r>
        <w:t>Ley 36/2015, de 28 de septiembre. Seguridad Nacional</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84" w:history="1">
        <w:r w:rsidRPr="00427CF1">
          <w:rPr>
            <w:rStyle w:val="TextoNormalCaracter"/>
          </w:rPr>
          <w:t>184/2016</w:t>
        </w:r>
      </w:hyperlink>
      <w:r>
        <w:t>, ff. 3, 7.</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84" w:history="1">
        <w:r w:rsidRPr="00427CF1">
          <w:rPr>
            <w:rStyle w:val="TextoNormalCaracter"/>
          </w:rPr>
          <w:t>184/2016</w:t>
        </w:r>
      </w:hyperlink>
      <w:r>
        <w:t>, ff. 2, 3.</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84" w:history="1">
        <w:r w:rsidRPr="00427CF1">
          <w:rPr>
            <w:rStyle w:val="TextoNormalCaracter"/>
          </w:rPr>
          <w:t>184/2016</w:t>
        </w:r>
      </w:hyperlink>
      <w:r>
        <w:t>, ff. 1, 2, 5, 6.</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6.2.</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6.2 c).</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184" w:history="1">
        <w:r w:rsidRPr="00427CF1">
          <w:rPr>
            <w:rStyle w:val="TextoNormalCaracter"/>
          </w:rPr>
          <w:t>184/2016</w:t>
        </w:r>
      </w:hyperlink>
      <w:r>
        <w:t>, f. 3.</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84" w:history="1">
        <w:r w:rsidRPr="00427CF1">
          <w:rPr>
            <w:rStyle w:val="TextoNormalCaracter"/>
          </w:rPr>
          <w:t>184/2016</w:t>
        </w:r>
      </w:hyperlink>
      <w:r>
        <w:t>, f. 2.</w:t>
      </w:r>
    </w:p>
    <w:p w:rsidR="00427CF1" w:rsidRDefault="00427CF1" w:rsidP="00427CF1">
      <w:pPr>
        <w:pStyle w:val="SangriaFrancesaArticulo"/>
      </w:pPr>
      <w:r w:rsidRPr="00427CF1">
        <w:rPr>
          <w:rStyle w:val="TextoNormalNegritaCaracter"/>
        </w:rPr>
        <w:t>Artículo 12.2.</w:t>
      </w:r>
      <w:r w:rsidRPr="00427CF1">
        <w:rPr>
          <w:rStyle w:val="TextoNormalCaracter"/>
        </w:rPr>
        <w:t>-</w:t>
      </w:r>
      <w:r>
        <w:t xml:space="preserve"> Sentencia </w:t>
      </w:r>
      <w:hyperlink w:anchor="SENTENCIA_2016_184" w:history="1">
        <w:r w:rsidRPr="00427CF1">
          <w:rPr>
            <w:rStyle w:val="TextoNormalCaracter"/>
          </w:rPr>
          <w:t>184/2016</w:t>
        </w:r>
      </w:hyperlink>
      <w:r>
        <w:t>, f. 7.</w:t>
      </w:r>
    </w:p>
    <w:p w:rsidR="00427CF1" w:rsidRDefault="00427CF1" w:rsidP="00427CF1">
      <w:pPr>
        <w:pStyle w:val="SangriaFrancesaArticulo"/>
      </w:pPr>
      <w:r w:rsidRPr="00427CF1">
        <w:rPr>
          <w:rStyle w:val="TextoNormalNegritaCaracter"/>
        </w:rPr>
        <w:t>Artículo 14 b).</w:t>
      </w:r>
      <w:r w:rsidRPr="00427CF1">
        <w:rPr>
          <w:rStyle w:val="TextoNormalCaracter"/>
        </w:rPr>
        <w:t>-</w:t>
      </w:r>
      <w:r>
        <w:t xml:space="preserve"> Sentencia </w:t>
      </w:r>
      <w:hyperlink w:anchor="SENTENCIA_2016_184" w:history="1">
        <w:r w:rsidRPr="00427CF1">
          <w:rPr>
            <w:rStyle w:val="TextoNormalCaracter"/>
          </w:rPr>
          <w:t>184/2016</w:t>
        </w:r>
      </w:hyperlink>
      <w:r>
        <w:t>, ff. 5, 7.</w:t>
      </w:r>
    </w:p>
    <w:p w:rsidR="00427CF1" w:rsidRDefault="00427CF1" w:rsidP="00427CF1">
      <w:pPr>
        <w:pStyle w:val="SangriaFrancesaArticulo"/>
      </w:pPr>
      <w:r w:rsidRPr="00427CF1">
        <w:rPr>
          <w:rStyle w:val="TextoNormalNegritaCaracter"/>
        </w:rPr>
        <w:t>Artículo 15 b).</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15 c).</w:t>
      </w:r>
      <w:r w:rsidRPr="00427CF1">
        <w:rPr>
          <w:rStyle w:val="TextoNormalCaracter"/>
        </w:rPr>
        <w:t>-</w:t>
      </w:r>
      <w:r>
        <w:t xml:space="preserve"> Sentencia </w:t>
      </w:r>
      <w:hyperlink w:anchor="SENTENCIA_2016_184" w:history="1">
        <w:r w:rsidRPr="00427CF1">
          <w:rPr>
            <w:rStyle w:val="TextoNormalCaracter"/>
          </w:rPr>
          <w:t>184/2016</w:t>
        </w:r>
      </w:hyperlink>
      <w:r>
        <w:t>, ff. 1, 2, 6, 7.</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20.4.</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21.1.</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21.1 a).</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21.1 d).</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21.1 e).</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21.5.</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21.6.</w:t>
      </w:r>
      <w:r w:rsidRPr="00427CF1">
        <w:rPr>
          <w:rStyle w:val="TextoNormalCaracter"/>
        </w:rPr>
        <w:t>-</w:t>
      </w:r>
      <w:r>
        <w:t xml:space="preserve"> Sentencia </w:t>
      </w:r>
      <w:hyperlink w:anchor="SENTENCIA_2016_184" w:history="1">
        <w:r w:rsidRPr="00427CF1">
          <w:rPr>
            <w:rStyle w:val="TextoNormalCaracter"/>
          </w:rPr>
          <w:t>184/2016</w:t>
        </w:r>
      </w:hyperlink>
      <w:r>
        <w:t>, ff. 5 a 7.</w:t>
      </w:r>
    </w:p>
    <w:p w:rsidR="00427CF1" w:rsidRDefault="00427CF1" w:rsidP="00427CF1">
      <w:pPr>
        <w:pStyle w:val="SangriaFrancesaArticulo"/>
      </w:pPr>
      <w:r w:rsidRPr="00427CF1">
        <w:rPr>
          <w:rStyle w:val="TextoNormalNegritaCaracter"/>
        </w:rPr>
        <w:t>Artículo 21.8.</w:t>
      </w:r>
      <w:r w:rsidRPr="00427CF1">
        <w:rPr>
          <w:rStyle w:val="TextoNormalCaracter"/>
        </w:rPr>
        <w:t>-</w:t>
      </w:r>
      <w:r>
        <w:t xml:space="preserve"> Sentencia </w:t>
      </w:r>
      <w:hyperlink w:anchor="SENTENCIA_2016_184" w:history="1">
        <w:r w:rsidRPr="00427CF1">
          <w:rPr>
            <w:rStyle w:val="TextoNormalCaracter"/>
          </w:rPr>
          <w:t>184/2016</w:t>
        </w:r>
      </w:hyperlink>
      <w:r>
        <w:t>, f. 5.</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84" w:history="1">
        <w:r w:rsidRPr="00427CF1">
          <w:rPr>
            <w:rStyle w:val="TextoNormalCaracter"/>
          </w:rPr>
          <w:t>184/2016</w:t>
        </w:r>
      </w:hyperlink>
      <w:r>
        <w:t>, f. 6.</w:t>
      </w:r>
    </w:p>
    <w:p w:rsidR="00427CF1" w:rsidRDefault="00427CF1" w:rsidP="00427CF1">
      <w:pPr>
        <w:pStyle w:val="SangriaFrancesaArticulo"/>
      </w:pPr>
      <w:r w:rsidRPr="00427CF1">
        <w:rPr>
          <w:rStyle w:val="TextoNormalNegritaCaracter"/>
        </w:rPr>
        <w:t>Artículo 22.1.</w:t>
      </w:r>
      <w:r w:rsidRPr="00427CF1">
        <w:rPr>
          <w:rStyle w:val="TextoNormalCaracter"/>
        </w:rPr>
        <w:t>-</w:t>
      </w:r>
      <w:r>
        <w:t xml:space="preserve"> Sentencia </w:t>
      </w:r>
      <w:hyperlink w:anchor="SENTENCIA_2016_184" w:history="1">
        <w:r w:rsidRPr="00427CF1">
          <w:rPr>
            <w:rStyle w:val="TextoNormalCaracter"/>
          </w:rPr>
          <w:t>184/2016</w:t>
        </w:r>
      </w:hyperlink>
      <w:r>
        <w:t>, f. 7.</w:t>
      </w:r>
    </w:p>
    <w:p w:rsidR="00427CF1" w:rsidRDefault="00427CF1" w:rsidP="00427CF1">
      <w:pPr>
        <w:pStyle w:val="SangriaFrancesaArticulo"/>
      </w:pPr>
      <w:r w:rsidRPr="00427CF1">
        <w:rPr>
          <w:rStyle w:val="TextoNormalNegritaCaracter"/>
        </w:rPr>
        <w:t>Artículo 22.2.</w:t>
      </w:r>
      <w:r w:rsidRPr="00427CF1">
        <w:rPr>
          <w:rStyle w:val="TextoNormalCaracter"/>
        </w:rPr>
        <w:t>-</w:t>
      </w:r>
      <w:r>
        <w:t xml:space="preserve"> Sentencia </w:t>
      </w:r>
      <w:hyperlink w:anchor="SENTENCIA_2016_184" w:history="1">
        <w:r w:rsidRPr="00427CF1">
          <w:rPr>
            <w:rStyle w:val="TextoNormalCaracter"/>
          </w:rPr>
          <w:t>184/2016</w:t>
        </w:r>
      </w:hyperlink>
      <w:r>
        <w:t>, f. 7.</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84" w:history="1">
        <w:r w:rsidRPr="00427CF1">
          <w:rPr>
            <w:rStyle w:val="TextoNormalCaracter"/>
          </w:rPr>
          <w:t>184/2016</w:t>
        </w:r>
      </w:hyperlink>
      <w:r>
        <w:t>, ff. 2, 6, 7.</w:t>
      </w:r>
    </w:p>
    <w:p w:rsidR="00427CF1" w:rsidRDefault="00427CF1" w:rsidP="00427CF1">
      <w:pPr>
        <w:pStyle w:val="SangriaFrancesaArticulo"/>
      </w:pPr>
      <w:r w:rsidRPr="00427CF1">
        <w:rPr>
          <w:rStyle w:val="TextoNormalNegritaCaracter"/>
        </w:rPr>
        <w:t>Artículo 23.1.</w:t>
      </w:r>
      <w:r w:rsidRPr="00427CF1">
        <w:rPr>
          <w:rStyle w:val="TextoNormalCaracter"/>
        </w:rPr>
        <w:t>-</w:t>
      </w:r>
      <w:r>
        <w:t xml:space="preserve"> Sentencia </w:t>
      </w:r>
      <w:hyperlink w:anchor="SENTENCIA_2016_184" w:history="1">
        <w:r w:rsidRPr="00427CF1">
          <w:rPr>
            <w:rStyle w:val="TextoNormalCaracter"/>
          </w:rPr>
          <w:t>184/2016</w:t>
        </w:r>
      </w:hyperlink>
      <w:r>
        <w:t>, f. 6.</w:t>
      </w:r>
    </w:p>
    <w:p w:rsidR="00427CF1" w:rsidRDefault="00427CF1" w:rsidP="00427CF1">
      <w:pPr>
        <w:pStyle w:val="SangriaFrancesaArticulo"/>
      </w:pPr>
      <w:r w:rsidRPr="00427CF1">
        <w:rPr>
          <w:rStyle w:val="TextoNormalNegritaCaracter"/>
        </w:rPr>
        <w:t>Artículo 23.2.</w:t>
      </w:r>
      <w:r w:rsidRPr="00427CF1">
        <w:rPr>
          <w:rStyle w:val="TextoNormalCaracter"/>
        </w:rPr>
        <w:t>-</w:t>
      </w:r>
      <w:r>
        <w:t xml:space="preserve"> Sentencia </w:t>
      </w:r>
      <w:hyperlink w:anchor="SENTENCIA_2016_184" w:history="1">
        <w:r w:rsidRPr="00427CF1">
          <w:rPr>
            <w:rStyle w:val="TextoNormalCaracter"/>
          </w:rPr>
          <w:t>184/2016</w:t>
        </w:r>
      </w:hyperlink>
      <w:r>
        <w:t>, ff. 6, 7.</w:t>
      </w:r>
    </w:p>
    <w:p w:rsidR="00427CF1" w:rsidRDefault="00427CF1" w:rsidP="00427CF1">
      <w:pPr>
        <w:pStyle w:val="SangriaFrancesaArticulo"/>
      </w:pPr>
      <w:r w:rsidRPr="00427CF1">
        <w:rPr>
          <w:rStyle w:val="TextoNormalNegritaCaracter"/>
        </w:rPr>
        <w:t>Artículo 23.3.</w:t>
      </w:r>
      <w:r w:rsidRPr="00427CF1">
        <w:rPr>
          <w:rStyle w:val="TextoNormalCaracter"/>
        </w:rPr>
        <w:t>-</w:t>
      </w:r>
      <w:r>
        <w:t xml:space="preserve"> Sentencia </w:t>
      </w:r>
      <w:hyperlink w:anchor="SENTENCIA_2016_184" w:history="1">
        <w:r w:rsidRPr="00427CF1">
          <w:rPr>
            <w:rStyle w:val="TextoNormalCaracter"/>
          </w:rPr>
          <w:t>184/2016</w:t>
        </w:r>
      </w:hyperlink>
      <w:r>
        <w:t>, ff. 6, 7.</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 </w:t>
      </w:r>
      <w:hyperlink w:anchor="SENTENCIA_2016_184" w:history="1">
        <w:r w:rsidRPr="00427CF1">
          <w:rPr>
            <w:rStyle w:val="TextoNormalCaracter"/>
          </w:rPr>
          <w:t>184/2016</w:t>
        </w:r>
      </w:hyperlink>
      <w:r>
        <w:t>, ff. 1, 2, 7.</w:t>
      </w:r>
    </w:p>
    <w:p w:rsidR="00427CF1" w:rsidRDefault="00427CF1" w:rsidP="00427CF1">
      <w:pPr>
        <w:pStyle w:val="SangriaFrancesaArticulo"/>
      </w:pPr>
      <w:r w:rsidRPr="00427CF1">
        <w:rPr>
          <w:rStyle w:val="TextoNormalNegritaCaracter"/>
        </w:rPr>
        <w:t>Artículo 24.1 a).</w:t>
      </w:r>
      <w:r w:rsidRPr="00427CF1">
        <w:rPr>
          <w:rStyle w:val="TextoNormalCaracter"/>
        </w:rPr>
        <w:t>-</w:t>
      </w:r>
      <w:r>
        <w:t xml:space="preserve"> Sentencia </w:t>
      </w:r>
      <w:hyperlink w:anchor="SENTENCIA_2016_184" w:history="1">
        <w:r w:rsidRPr="00427CF1">
          <w:rPr>
            <w:rStyle w:val="TextoNormalCaracter"/>
          </w:rPr>
          <w:t>184/2016</w:t>
        </w:r>
      </w:hyperlink>
      <w:r>
        <w:t>, f. 2.</w:t>
      </w:r>
    </w:p>
    <w:p w:rsidR="00427CF1" w:rsidRDefault="00427CF1" w:rsidP="00427CF1">
      <w:pPr>
        <w:pStyle w:val="SangriaFrancesaArticulo"/>
      </w:pPr>
      <w:r w:rsidRPr="00427CF1">
        <w:rPr>
          <w:rStyle w:val="TextoNormalNegritaCaracter"/>
        </w:rPr>
        <w:t>Artículo 24.1 b).</w:t>
      </w:r>
      <w:r w:rsidRPr="00427CF1">
        <w:rPr>
          <w:rStyle w:val="TextoNormalCaracter"/>
        </w:rPr>
        <w:t>-</w:t>
      </w:r>
      <w:r>
        <w:t xml:space="preserve"> Sentencia </w:t>
      </w:r>
      <w:hyperlink w:anchor="SENTENCIA_2016_184" w:history="1">
        <w:r w:rsidRPr="00427CF1">
          <w:rPr>
            <w:rStyle w:val="TextoNormalCaracter"/>
          </w:rPr>
          <w:t>184/2016</w:t>
        </w:r>
      </w:hyperlink>
      <w:r>
        <w:t>, f. 2.</w:t>
      </w:r>
    </w:p>
    <w:p w:rsidR="00427CF1" w:rsidRDefault="00427CF1" w:rsidP="00427CF1">
      <w:pPr>
        <w:pStyle w:val="SangriaFrancesaArticulo"/>
      </w:pPr>
      <w:r w:rsidRPr="00427CF1">
        <w:rPr>
          <w:rStyle w:val="TextoNormalNegritaCaracter"/>
        </w:rPr>
        <w:t>Artículo 24.1 c).</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24.1 d).</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24.1 e).</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24.2.</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24.3.</w:t>
      </w:r>
      <w:r w:rsidRPr="00427CF1">
        <w:rPr>
          <w:rStyle w:val="TextoNormalCaracter"/>
        </w:rPr>
        <w:t>-</w:t>
      </w:r>
      <w:r>
        <w:t xml:space="preserve"> Sentencia </w:t>
      </w:r>
      <w:hyperlink w:anchor="SENTENCIA_2016_184" w:history="1">
        <w:r w:rsidRPr="00427CF1">
          <w:rPr>
            <w:rStyle w:val="TextoNormalCaracter"/>
          </w:rPr>
          <w:t>184/2016</w:t>
        </w:r>
      </w:hyperlink>
      <w:r>
        <w:t>, f. 2.</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 </w:t>
      </w:r>
      <w:hyperlink w:anchor="SENTENCIA_2016_184" w:history="1">
        <w:r w:rsidRPr="00427CF1">
          <w:rPr>
            <w:rStyle w:val="TextoNormalCaracter"/>
          </w:rPr>
          <w:t>184/2016</w:t>
        </w:r>
      </w:hyperlink>
      <w:r>
        <w:t>, ff. 2, 6, 7.</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27.</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184" w:history="1">
        <w:r w:rsidRPr="00427CF1">
          <w:rPr>
            <w:rStyle w:val="TextoNormalCaracter"/>
          </w:rPr>
          <w:t>184/2016</w:t>
        </w:r>
      </w:hyperlink>
      <w:r>
        <w:t>, ff. 2, 7.</w:t>
      </w:r>
    </w:p>
    <w:p w:rsidR="00427CF1" w:rsidRDefault="00427CF1" w:rsidP="00427CF1">
      <w:pPr>
        <w:pStyle w:val="SangriaFrancesaArticulo"/>
      </w:pPr>
      <w:r w:rsidRPr="00427CF1">
        <w:rPr>
          <w:rStyle w:val="TextoNormalNegritaCaracter"/>
        </w:rPr>
        <w:t>Artículo 29.2.</w:t>
      </w:r>
      <w:r w:rsidRPr="00427CF1">
        <w:rPr>
          <w:rStyle w:val="TextoNormalCaracter"/>
        </w:rPr>
        <w:t>-</w:t>
      </w:r>
      <w:r>
        <w:t xml:space="preserve"> Sentencia </w:t>
      </w:r>
      <w:hyperlink w:anchor="SENTENCIA_2016_184" w:history="1">
        <w:r w:rsidRPr="00427CF1">
          <w:rPr>
            <w:rStyle w:val="TextoNormalCaracter"/>
          </w:rPr>
          <w:t>184/2016</w:t>
        </w:r>
      </w:hyperlink>
      <w:r>
        <w:t>, f. 7.</w:t>
      </w:r>
    </w:p>
    <w:p w:rsidR="00427CF1" w:rsidRDefault="00427CF1" w:rsidP="00427CF1">
      <w:pPr>
        <w:pStyle w:val="SangriaFrancesaArticulo"/>
      </w:pPr>
    </w:p>
    <w:p w:rsidR="00427CF1" w:rsidRDefault="00427CF1" w:rsidP="00427CF1">
      <w:pPr>
        <w:pStyle w:val="TextoNormalNegritaCursivandice"/>
      </w:pPr>
      <w:r>
        <w:t>Ley 39/2015, de 1 de octubre. Procedimiento administrativo común de las Administraciones públicas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2" w:history="1">
        <w:r w:rsidRPr="00427CF1">
          <w:rPr>
            <w:rStyle w:val="TextoNormalCaracter"/>
          </w:rPr>
          <w:t>142/2016</w:t>
        </w:r>
      </w:hyperlink>
      <w:r>
        <w:t>, f. 13.</w:t>
      </w:r>
    </w:p>
    <w:p w:rsidR="00427CF1" w:rsidRDefault="00427CF1" w:rsidP="00427CF1">
      <w:pPr>
        <w:pStyle w:val="SangriaFrancesaArticulo"/>
      </w:pPr>
      <w:r w:rsidRPr="00427CF1">
        <w:rPr>
          <w:rStyle w:val="TextoNormalNegritaCaracter"/>
        </w:rPr>
        <w:t>Artículo 24.1, párrafo 1.</w:t>
      </w:r>
      <w:r w:rsidRPr="00427CF1">
        <w:rPr>
          <w:rStyle w:val="TextoNormalCaracter"/>
        </w:rPr>
        <w:t>-</w:t>
      </w:r>
      <w:r>
        <w:t xml:space="preserve"> Sentencia </w:t>
      </w:r>
      <w:hyperlink w:anchor="SENTENCIA_2016_155" w:history="1">
        <w:r w:rsidRPr="00427CF1">
          <w:rPr>
            <w:rStyle w:val="TextoNormalCaracter"/>
          </w:rPr>
          <w:t>155/2016</w:t>
        </w:r>
      </w:hyperlink>
      <w:r>
        <w:t>, ff. 2, 4.</w:t>
      </w:r>
    </w:p>
    <w:p w:rsidR="00427CF1" w:rsidRDefault="00427CF1" w:rsidP="00427CF1">
      <w:pPr>
        <w:pStyle w:val="SangriaFrancesaArticulo"/>
      </w:pPr>
      <w:r w:rsidRPr="00427CF1">
        <w:rPr>
          <w:rStyle w:val="TextoNormalNegritaCaracter"/>
        </w:rPr>
        <w:t>Disposición final séptima.</w:t>
      </w:r>
      <w:r w:rsidRPr="00427CF1">
        <w:rPr>
          <w:rStyle w:val="TextoNormalCaracter"/>
        </w:rPr>
        <w:t>-</w:t>
      </w:r>
      <w:r>
        <w:t xml:space="preserve"> Sentencia </w:t>
      </w:r>
      <w:hyperlink w:anchor="SENTENCIA_2016_155" w:history="1">
        <w:r w:rsidRPr="00427CF1">
          <w:rPr>
            <w:rStyle w:val="TextoNormalCaracter"/>
          </w:rPr>
          <w:t>155/2016</w:t>
        </w:r>
      </w:hyperlink>
      <w:r>
        <w:t>, f. 2.</w:t>
      </w:r>
    </w:p>
    <w:p w:rsidR="00427CF1" w:rsidRDefault="00427CF1" w:rsidP="00427CF1">
      <w:pPr>
        <w:pStyle w:val="SangriaFrancesaArticulo"/>
      </w:pPr>
    </w:p>
    <w:p w:rsidR="00427CF1" w:rsidRDefault="00427CF1" w:rsidP="00427CF1">
      <w:pPr>
        <w:pStyle w:val="TextoNormalNegritaCursivandice"/>
      </w:pPr>
      <w:r>
        <w:t>Ley 40/2015, de 1 de octubre. Régimen jurídico del sector público</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47.2 d).</w:t>
      </w:r>
      <w:r w:rsidRPr="00427CF1">
        <w:rPr>
          <w:rStyle w:val="TextoNormalCaracter"/>
        </w:rPr>
        <w:t>-</w:t>
      </w:r>
      <w:r>
        <w:t xml:space="preserve"> Sentencia </w:t>
      </w:r>
      <w:hyperlink w:anchor="SENTENCIA_2016_228" w:history="1">
        <w:r w:rsidRPr="00427CF1">
          <w:rPr>
            <w:rStyle w:val="TextoNormalCaracter"/>
          </w:rPr>
          <w:t>228/2016</w:t>
        </w:r>
      </w:hyperlink>
      <w:r>
        <w:t>, f. 5.</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p>
    <w:p w:rsidR="00427CF1" w:rsidRDefault="00427CF1" w:rsidP="00427CF1">
      <w:pPr>
        <w:pStyle w:val="TextoNormalNegritaCursivandice"/>
      </w:pPr>
      <w:r>
        <w:t>Ley 41/2015, de 5 de octubre. Modifica la Ley de enjuiciamiento criminal para la agilización de la justicia penal y el fortalecimiento de las garantías procesales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VP.</w:t>
      </w:r>
    </w:p>
    <w:p w:rsidR="00427CF1" w:rsidRDefault="00427CF1" w:rsidP="00427CF1">
      <w:pPr>
        <w:pStyle w:val="SangriaFrancesaArticulo"/>
      </w:pPr>
    </w:p>
    <w:p w:rsidR="00427CF1" w:rsidRDefault="00427CF1" w:rsidP="00427CF1">
      <w:pPr>
        <w:pStyle w:val="TextoNormalNegritaCursivandice"/>
      </w:pPr>
      <w:r>
        <w:t>Ley 42/2015, de 5 de octubre. Reforma de la Ley 1/2000, de 7 de enero, de enjuiciamiento civil</w:t>
      </w:r>
    </w:p>
    <w:p w:rsidR="00427CF1" w:rsidRDefault="00427CF1" w:rsidP="00427CF1">
      <w:pPr>
        <w:pStyle w:val="SangriaFrancesaArticulo"/>
      </w:pPr>
      <w:r w:rsidRPr="00427CF1">
        <w:rPr>
          <w:rStyle w:val="TextoNormalNegritaCaracter"/>
        </w:rPr>
        <w:t>Artículo único, apartado 61.</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p>
    <w:p w:rsidR="00427CF1" w:rsidRDefault="00427CF1" w:rsidP="00427CF1">
      <w:pPr>
        <w:pStyle w:val="TextoNormalNegritaCursivandice"/>
      </w:pPr>
      <w:r>
        <w:t>Ley 48/2015, de 29 de octubre. Presupuestos Generales del Estado para el año 2016</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17" w:history="1">
        <w:r w:rsidRPr="00427CF1">
          <w:rPr>
            <w:rStyle w:val="TextoNormalCaracter"/>
          </w:rPr>
          <w:t>217/2016</w:t>
        </w:r>
      </w:hyperlink>
      <w:r>
        <w:t>, ff. 1, 2.</w:t>
      </w:r>
    </w:p>
    <w:p w:rsidR="00427CF1" w:rsidRDefault="00427CF1" w:rsidP="00427CF1">
      <w:pPr>
        <w:pStyle w:val="SangriaFrancesaArticulo"/>
      </w:pPr>
      <w:r w:rsidRPr="00427CF1">
        <w:rPr>
          <w:rStyle w:val="TextoNormalNegritaCaracter"/>
        </w:rPr>
        <w:t>Disposición adicional nonagésima.</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Disposición adicional duodécima.</w:t>
      </w:r>
      <w:r w:rsidRPr="00427CF1">
        <w:rPr>
          <w:rStyle w:val="TextoNormalCaracter"/>
        </w:rPr>
        <w:t>-</w:t>
      </w:r>
      <w:r>
        <w:t xml:space="preserve"> Sentencias </w:t>
      </w:r>
      <w:hyperlink w:anchor="SENTENCIA_2016_145" w:history="1">
        <w:r w:rsidRPr="00427CF1">
          <w:rPr>
            <w:rStyle w:val="TextoNormalCaracter"/>
          </w:rPr>
          <w:t>145/2016</w:t>
        </w:r>
      </w:hyperlink>
      <w:r>
        <w:t xml:space="preserve">, f. 2; </w:t>
      </w:r>
      <w:hyperlink w:anchor="SENTENCIA_2016_160" w:history="1">
        <w:r w:rsidRPr="00427CF1">
          <w:rPr>
            <w:rStyle w:val="TextoNormalCaracter"/>
          </w:rPr>
          <w:t>160/2016</w:t>
        </w:r>
      </w:hyperlink>
      <w:r>
        <w:t xml:space="preserve">, f. 3; </w:t>
      </w:r>
      <w:hyperlink w:anchor="SENTENCIA_2016_178" w:history="1">
        <w:r w:rsidRPr="00427CF1">
          <w:rPr>
            <w:rStyle w:val="TextoNormalCaracter"/>
          </w:rPr>
          <w:t>178/2016</w:t>
        </w:r>
      </w:hyperlink>
      <w:r>
        <w:t>, f. 2.</w:t>
      </w:r>
    </w:p>
    <w:p w:rsidR="00427CF1" w:rsidRDefault="00427CF1" w:rsidP="00427CF1">
      <w:pPr>
        <w:pStyle w:val="SangriaFrancesaArticulo"/>
      </w:pPr>
      <w:r w:rsidRPr="00427CF1">
        <w:rPr>
          <w:rStyle w:val="TextoNormalNegritaCaracter"/>
        </w:rPr>
        <w:t>Disposición adicional duodécima, apartado 1.</w:t>
      </w:r>
      <w:r w:rsidRPr="00427CF1">
        <w:rPr>
          <w:rStyle w:val="TextoNormalCaracter"/>
        </w:rPr>
        <w:t>-</w:t>
      </w:r>
      <w:r>
        <w:t xml:space="preserve"> Sentencia </w:t>
      </w:r>
      <w:hyperlink w:anchor="SENTENCIA_2016_134" w:history="1">
        <w:r w:rsidRPr="00427CF1">
          <w:rPr>
            <w:rStyle w:val="TextoNormalCaracter"/>
          </w:rPr>
          <w:t>134/2016</w:t>
        </w:r>
      </w:hyperlink>
      <w:r>
        <w:t>, f. 3.</w:t>
      </w:r>
    </w:p>
    <w:p w:rsidR="00427CF1" w:rsidRDefault="00427CF1" w:rsidP="00427CF1">
      <w:pPr>
        <w:pStyle w:val="TextoNormal"/>
      </w:pPr>
    </w:p>
    <w:p w:rsidR="00427CF1" w:rsidRDefault="00427CF1" w:rsidP="00427CF1">
      <w:pPr>
        <w:pStyle w:val="SangriaFrancesaArticulo"/>
      </w:pPr>
      <w:bookmarkStart w:id="193" w:name="INDICE22847"/>
    </w:p>
    <w:bookmarkEnd w:id="193"/>
    <w:p w:rsidR="00427CF1" w:rsidRDefault="00427CF1" w:rsidP="00427CF1">
      <w:pPr>
        <w:pStyle w:val="TextoIndiceNivel2"/>
        <w:suppressAutoHyphens/>
      </w:pPr>
      <w:r>
        <w:t>F) Reales Decretos Legislativos</w:t>
      </w:r>
    </w:p>
    <w:p w:rsidR="00427CF1" w:rsidRDefault="00427CF1" w:rsidP="00427CF1">
      <w:pPr>
        <w:pStyle w:val="TextoIndiceNivel2"/>
      </w:pPr>
    </w:p>
    <w:p w:rsidR="00427CF1" w:rsidRDefault="00427CF1" w:rsidP="00427CF1">
      <w:pPr>
        <w:pStyle w:val="TextoNormalNegritaCursivandice"/>
      </w:pPr>
      <w:r>
        <w:t>Real Decreto Legislativo 1568/1980, de 13 de junio. Texto refundido de la Ley de procedimiento laboral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6" w:history="1">
        <w:r w:rsidRPr="00427CF1">
          <w:rPr>
            <w:rStyle w:val="TextoNormalCaracter"/>
          </w:rPr>
          <w:t>166/2016</w:t>
        </w:r>
      </w:hyperlink>
      <w:r>
        <w:t>, f. 4.</w:t>
      </w:r>
    </w:p>
    <w:p w:rsidR="00427CF1" w:rsidRDefault="00427CF1" w:rsidP="00427CF1">
      <w:pPr>
        <w:pStyle w:val="SangriaFrancesaArticulo"/>
      </w:pPr>
      <w:r w:rsidRPr="00427CF1">
        <w:rPr>
          <w:rStyle w:val="TextoNormalNegritaCaracter"/>
        </w:rPr>
        <w:t>Artículo 170.</w:t>
      </w:r>
      <w:r w:rsidRPr="00427CF1">
        <w:rPr>
          <w:rStyle w:val="TextoNormalCaracter"/>
        </w:rPr>
        <w:t>-</w:t>
      </w:r>
      <w:r>
        <w:t xml:space="preserve"> Sentencia </w:t>
      </w:r>
      <w:hyperlink w:anchor="SENTENCIA_2016_173" w:history="1">
        <w:r w:rsidRPr="00427CF1">
          <w:rPr>
            <w:rStyle w:val="TextoNormalCaracter"/>
          </w:rPr>
          <w:t>173/2016</w:t>
        </w:r>
      </w:hyperlink>
      <w:r>
        <w:t>, f. 4.</w:t>
      </w:r>
    </w:p>
    <w:p w:rsidR="00427CF1" w:rsidRDefault="00427CF1" w:rsidP="00427CF1">
      <w:pPr>
        <w:pStyle w:val="SangriaFrancesaArticulo"/>
      </w:pPr>
      <w:r w:rsidRPr="00427CF1">
        <w:rPr>
          <w:rStyle w:val="TextoNormalNegritaCaracter"/>
        </w:rPr>
        <w:t>Artículo 170, párrafo 1.</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Real Decreto Legislativo 781/1986, de 18 de abril. Texto refundido de las disposiciones legales vigentes en materia de régimen local</w:t>
      </w:r>
    </w:p>
    <w:p w:rsidR="00427CF1" w:rsidRDefault="00427CF1" w:rsidP="00427CF1">
      <w:pPr>
        <w:pStyle w:val="SangriaFrancesaArticulo"/>
      </w:pPr>
      <w:r w:rsidRPr="00427CF1">
        <w:rPr>
          <w:rStyle w:val="TextoNormalNegritaCaracter"/>
        </w:rPr>
        <w:t>Artículo 86.</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 xml:space="preserve">Artículo 97, párrafo 2 </w:t>
      </w:r>
      <w:r w:rsidRPr="00427CF1">
        <w:rPr>
          <w:rStyle w:val="TextoNormalNegritaCursivaCaracter"/>
        </w:rPr>
        <w:t>in fine</w:t>
      </w:r>
      <w:r>
        <w:t xml:space="preserve"> </w:t>
      </w:r>
      <w:r w:rsidRPr="00427CF1">
        <w:rPr>
          <w:rStyle w:val="TextoNormalCaracter"/>
        </w:rPr>
        <w:t>(redactado por la Ley 27/2013, de 27 de diciembre)</w:t>
      </w:r>
      <w:r w:rsidRPr="00427CF1">
        <w:rPr>
          <w:rStyle w:val="TextoNormalNegritaCaracter"/>
        </w:rPr>
        <w:t>.</w:t>
      </w:r>
      <w:r w:rsidRPr="00427CF1">
        <w:rPr>
          <w:rStyle w:val="TextoNormalCaracter"/>
        </w:rPr>
        <w:t>-</w:t>
      </w:r>
      <w:r>
        <w:t xml:space="preserve"> Sentencia </w:t>
      </w:r>
      <w:hyperlink w:anchor="SENTENCIA_2016_180" w:history="1">
        <w:r w:rsidRPr="00427CF1">
          <w:rPr>
            <w:rStyle w:val="TextoNormalCaracter"/>
          </w:rPr>
          <w:t>180/2016</w:t>
        </w:r>
      </w:hyperlink>
      <w:r>
        <w:t>, f. 2.</w:t>
      </w:r>
    </w:p>
    <w:p w:rsidR="00427CF1" w:rsidRDefault="00427CF1" w:rsidP="00427CF1">
      <w:pPr>
        <w:pStyle w:val="SangriaFrancesaArticulo"/>
      </w:pPr>
    </w:p>
    <w:p w:rsidR="00427CF1" w:rsidRDefault="00427CF1" w:rsidP="00427CF1">
      <w:pPr>
        <w:pStyle w:val="TextoNormalNegritaCursivandice"/>
      </w:pPr>
      <w:r>
        <w:t>Real Decreto Legislativo 521/1990, de 27 de abril. Texto articulado de la  Ley de procedimiento laboral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6" w:history="1">
        <w:r w:rsidRPr="00427CF1">
          <w:rPr>
            <w:rStyle w:val="TextoNormalCaracter"/>
          </w:rPr>
          <w:t>166/2016</w:t>
        </w:r>
      </w:hyperlink>
      <w:r>
        <w:t xml:space="preserve">, f. 4; </w:t>
      </w:r>
      <w:hyperlink w:anchor="SENTENCIA_2016_173" w:history="1">
        <w:r w:rsidRPr="00427CF1">
          <w:rPr>
            <w:rStyle w:val="TextoNormalCaracter"/>
          </w:rPr>
          <w:t>173/2016</w:t>
        </w:r>
      </w:hyperlink>
      <w:r>
        <w:t>, f. 4.</w:t>
      </w:r>
    </w:p>
    <w:p w:rsidR="00427CF1" w:rsidRDefault="00427CF1" w:rsidP="00427CF1">
      <w:pPr>
        <w:pStyle w:val="SangriaFrancesaArticulo"/>
      </w:pPr>
      <w:r w:rsidRPr="00427CF1">
        <w:rPr>
          <w:rStyle w:val="TextoNormalNegritaCaracter"/>
        </w:rPr>
        <w:t>Artículo 227.</w:t>
      </w:r>
      <w:r w:rsidRPr="00427CF1">
        <w:rPr>
          <w:rStyle w:val="TextoNormalCaracter"/>
        </w:rPr>
        <w:t>-</w:t>
      </w:r>
      <w:r>
        <w:t xml:space="preserve"> Sentencia </w:t>
      </w:r>
      <w:hyperlink w:anchor="SENTENCIA_2016_173" w:history="1">
        <w:r w:rsidRPr="00427CF1">
          <w:rPr>
            <w:rStyle w:val="TextoNormalCaracter"/>
          </w:rPr>
          <w:t>173/2016</w:t>
        </w:r>
      </w:hyperlink>
      <w:r>
        <w:t>, ff. 1, 4.</w:t>
      </w:r>
    </w:p>
    <w:p w:rsidR="00427CF1" w:rsidRDefault="00427CF1" w:rsidP="00427CF1">
      <w:pPr>
        <w:pStyle w:val="SangriaFrancesaArticulo"/>
      </w:pPr>
    </w:p>
    <w:p w:rsidR="00427CF1" w:rsidRDefault="00427CF1" w:rsidP="00427CF1">
      <w:pPr>
        <w:pStyle w:val="TextoNormalNegritaCursivandice"/>
      </w:pPr>
      <w:r>
        <w:t>Real Decreto Legislativo 1175/1990, de 28 de septiembre. Tarifas e instrucción del impuesto sobre actividades económicas</w:t>
      </w:r>
    </w:p>
    <w:p w:rsidR="00427CF1" w:rsidRDefault="00427CF1" w:rsidP="00427CF1">
      <w:pPr>
        <w:pStyle w:val="SangriaFrancesaArticulo"/>
      </w:pPr>
      <w:r w:rsidRPr="00427CF1">
        <w:rPr>
          <w:rStyle w:val="TextoNormalNegritaCaracter"/>
        </w:rPr>
        <w:t>Epígrafe 151.4.</w:t>
      </w:r>
      <w:r w:rsidRPr="00427CF1">
        <w:rPr>
          <w:rStyle w:val="TextoNormalCaracter"/>
        </w:rPr>
        <w:t>-</w:t>
      </w:r>
      <w:r>
        <w:t xml:space="preserve"> Auto </w:t>
      </w:r>
      <w:hyperlink w:anchor="AUTO_2016_183" w:history="1">
        <w:r w:rsidRPr="00427CF1">
          <w:rPr>
            <w:rStyle w:val="TextoNormalCaracter"/>
          </w:rPr>
          <w:t>183/2016</w:t>
        </w:r>
      </w:hyperlink>
      <w:r>
        <w:t>, f. 5.</w:t>
      </w:r>
    </w:p>
    <w:p w:rsidR="00427CF1" w:rsidRDefault="00427CF1" w:rsidP="00427CF1">
      <w:pPr>
        <w:pStyle w:val="SangriaFrancesaArticulo"/>
      </w:pPr>
      <w:r w:rsidRPr="00427CF1">
        <w:rPr>
          <w:rStyle w:val="TextoNormalNegritaCaracter"/>
        </w:rPr>
        <w:t>Epígrafe 151.5.</w:t>
      </w:r>
      <w:r w:rsidRPr="00427CF1">
        <w:rPr>
          <w:rStyle w:val="TextoNormalCaracter"/>
        </w:rPr>
        <w:t>-</w:t>
      </w:r>
      <w:r>
        <w:t xml:space="preserve"> Auto </w:t>
      </w:r>
      <w:hyperlink w:anchor="AUTO_2016_183" w:history="1">
        <w:r w:rsidRPr="00427CF1">
          <w:rPr>
            <w:rStyle w:val="TextoNormalCaracter"/>
          </w:rPr>
          <w:t>183/2016</w:t>
        </w:r>
      </w:hyperlink>
      <w:r>
        <w:t>, f. 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ff. 4 a 6.</w:t>
      </w:r>
    </w:p>
    <w:p w:rsidR="00427CF1" w:rsidRDefault="00427CF1" w:rsidP="00427CF1">
      <w:pPr>
        <w:pStyle w:val="SangriaFrancesaArticulo"/>
      </w:pPr>
    </w:p>
    <w:p w:rsidR="00427CF1" w:rsidRDefault="00427CF1" w:rsidP="00427CF1">
      <w:pPr>
        <w:pStyle w:val="TextoNormalNegritaCursivandice"/>
      </w:pPr>
      <w:r>
        <w:t>Real Decreto Legislativo 1/1992, de 26 de junio. Texto refundido de la Ley sobre el régimen del suelo y ordenación urbana</w:t>
      </w:r>
    </w:p>
    <w:p w:rsidR="00427CF1" w:rsidRDefault="00427CF1" w:rsidP="00427CF1">
      <w:pPr>
        <w:pStyle w:val="SangriaFrancesaArticulo"/>
      </w:pPr>
      <w:r w:rsidRPr="00427CF1">
        <w:rPr>
          <w:rStyle w:val="TextoNormalNegritaCaracter"/>
        </w:rPr>
        <w:t>Artículo 244.</w:t>
      </w:r>
      <w:r w:rsidRPr="00427CF1">
        <w:rPr>
          <w:rStyle w:val="TextoNormalCaracter"/>
        </w:rPr>
        <w:t>-</w:t>
      </w:r>
      <w:r>
        <w:t xml:space="preserve"> Sentencia </w:t>
      </w:r>
      <w:hyperlink w:anchor="SENTENCIA_2016_182" w:history="1">
        <w:r w:rsidRPr="00427CF1">
          <w:rPr>
            <w:rStyle w:val="TextoNormalCaracter"/>
          </w:rPr>
          <w:t>182/2016</w:t>
        </w:r>
      </w:hyperlink>
      <w:r>
        <w:t>, f. 4.</w:t>
      </w:r>
    </w:p>
    <w:p w:rsidR="00427CF1" w:rsidRDefault="00427CF1" w:rsidP="00427CF1">
      <w:pPr>
        <w:pStyle w:val="SangriaFrancesaArticulo"/>
      </w:pPr>
    </w:p>
    <w:p w:rsidR="00427CF1" w:rsidRDefault="00427CF1" w:rsidP="00427CF1">
      <w:pPr>
        <w:pStyle w:val="TextoNormalNegritaCursivandice"/>
      </w:pPr>
      <w:r>
        <w:t>Real Decreto Legislativo 1/1994, de 20 de junio. Texto refundido de la Ley general de la Seguridad Social</w:t>
      </w:r>
    </w:p>
    <w:p w:rsidR="00427CF1" w:rsidRDefault="00427CF1" w:rsidP="00427CF1">
      <w:pPr>
        <w:pStyle w:val="SangriaFrancesaArticulo"/>
      </w:pPr>
      <w:r w:rsidRPr="00427CF1">
        <w:rPr>
          <w:rStyle w:val="TextoNormalNegritaCaracter"/>
        </w:rPr>
        <w:t>Artículo 208.3.</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r w:rsidRPr="00427CF1">
        <w:rPr>
          <w:rStyle w:val="TextoNormalNegritaCaracter"/>
        </w:rPr>
        <w:t>Artículo 215.1.1 d)</w:t>
      </w:r>
      <w:r>
        <w:t xml:space="preserve"> (redactado por la Ley 22/2013, de 23 de diciembre)</w:t>
      </w:r>
      <w:r w:rsidRPr="00427CF1">
        <w:rPr>
          <w:rStyle w:val="TextoNormalNegritaCaracter"/>
        </w:rPr>
        <w:t>.</w:t>
      </w:r>
      <w:r w:rsidRPr="00427CF1">
        <w:rPr>
          <w:rStyle w:val="TextoNormalCaracter"/>
        </w:rPr>
        <w:t>-</w:t>
      </w:r>
      <w:r>
        <w:t xml:space="preserve"> Sentencia </w:t>
      </w:r>
      <w:hyperlink w:anchor="SENTENCIA_2016_135" w:history="1">
        <w:r w:rsidRPr="00427CF1">
          <w:rPr>
            <w:rStyle w:val="TextoNormalCaracter"/>
          </w:rPr>
          <w:t>135/2016</w:t>
        </w:r>
      </w:hyperlink>
      <w:r>
        <w:t>, ff. 1, 2.</w:t>
      </w:r>
    </w:p>
    <w:p w:rsidR="00427CF1" w:rsidRDefault="00427CF1" w:rsidP="00427CF1">
      <w:pPr>
        <w:pStyle w:val="SangriaFrancesaArticulo"/>
      </w:pPr>
      <w:r w:rsidRPr="00427CF1">
        <w:rPr>
          <w:rStyle w:val="TextoNormalNegritaCaracter"/>
        </w:rPr>
        <w:t>Artículo 215.3.2.</w:t>
      </w:r>
      <w:r w:rsidRPr="00427CF1">
        <w:rPr>
          <w:rStyle w:val="TextoNormalCaracter"/>
        </w:rPr>
        <w:t>-</w:t>
      </w:r>
      <w:r>
        <w:t xml:space="preserve"> Auto </w:t>
      </w:r>
      <w:hyperlink w:anchor="AUTO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Disposición adicional sexagésima sexta, apartado 1.</w:t>
      </w:r>
      <w:r w:rsidRPr="00427CF1">
        <w:rPr>
          <w:rStyle w:val="TextoNormalCaracter"/>
        </w:rPr>
        <w:t>-</w:t>
      </w:r>
      <w:r>
        <w:t xml:space="preserve"> Sentencia </w:t>
      </w:r>
      <w:hyperlink w:anchor="SENTENCIA_2016_135" w:history="1">
        <w:r w:rsidRPr="00427CF1">
          <w:rPr>
            <w:rStyle w:val="TextoNormalCaracter"/>
          </w:rPr>
          <w:t>135/2016</w:t>
        </w:r>
      </w:hyperlink>
      <w:r>
        <w:t>, f. 1.</w:t>
      </w:r>
    </w:p>
    <w:p w:rsidR="00427CF1" w:rsidRDefault="00427CF1" w:rsidP="00427CF1">
      <w:pPr>
        <w:pStyle w:val="SangriaFrancesaArticulo"/>
      </w:pPr>
    </w:p>
    <w:p w:rsidR="00427CF1" w:rsidRDefault="00427CF1" w:rsidP="00427CF1">
      <w:pPr>
        <w:pStyle w:val="TextoNormalNegritaCursivandice"/>
      </w:pPr>
      <w:r>
        <w:t>Real Decreto Legislativo 1/1995, de 24 de marzo. Texto refundido de la Ley del estatuto de los trabajadores</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60" w:history="1">
        <w:r w:rsidRPr="00427CF1">
          <w:rPr>
            <w:rStyle w:val="TextoNormalCaracter"/>
          </w:rPr>
          <w:t>160/2016</w:t>
        </w:r>
      </w:hyperlink>
      <w:r>
        <w:t>, f. 1.</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47" w:history="1">
        <w:r w:rsidRPr="00427CF1">
          <w:rPr>
            <w:rStyle w:val="TextoNormalCaracter"/>
          </w:rPr>
          <w:t>147/2016</w:t>
        </w:r>
      </w:hyperlink>
      <w:r>
        <w:t>, ff. 2, 4.</w:t>
      </w:r>
    </w:p>
    <w:p w:rsidR="00427CF1" w:rsidRDefault="00427CF1" w:rsidP="00427CF1">
      <w:pPr>
        <w:pStyle w:val="SangriaIzquierdaArticulo"/>
      </w:pPr>
      <w:r>
        <w:t xml:space="preserve">Auto </w:t>
      </w:r>
      <w:hyperlink w:anchor="AUTO_2016_184" w:history="1">
        <w:r w:rsidRPr="00427CF1">
          <w:rPr>
            <w:rStyle w:val="TextoNormalCaracter"/>
          </w:rPr>
          <w:t>184/2016</w:t>
        </w:r>
      </w:hyperlink>
      <w:r>
        <w:t>, f. 1.</w:t>
      </w:r>
    </w:p>
    <w:p w:rsidR="00427CF1" w:rsidRDefault="00427CF1" w:rsidP="00427CF1">
      <w:pPr>
        <w:pStyle w:val="SangriaFrancesaArticulo"/>
      </w:pPr>
      <w:r w:rsidRPr="00427CF1">
        <w:rPr>
          <w:rStyle w:val="TextoNormalNegritaCaracter"/>
        </w:rPr>
        <w:t>Artículo 55.6.</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r w:rsidRPr="00427CF1">
        <w:rPr>
          <w:rStyle w:val="TextoNormalNegritaCaracter"/>
        </w:rPr>
        <w:t>Artículo 56.</w:t>
      </w:r>
      <w:r w:rsidRPr="00427CF1">
        <w:rPr>
          <w:rStyle w:val="TextoNormalCaracter"/>
        </w:rPr>
        <w:t>-</w:t>
      </w:r>
      <w:r>
        <w:t xml:space="preserve"> Sentencia </w:t>
      </w:r>
      <w:hyperlink w:anchor="SENTENCIA_2016_176" w:history="1">
        <w:r w:rsidRPr="00427CF1">
          <w:rPr>
            <w:rStyle w:val="TextoNormalCaracter"/>
          </w:rPr>
          <w:t>176/2016</w:t>
        </w:r>
      </w:hyperlink>
      <w:r>
        <w:t>, ff. 1, 3.</w:t>
      </w:r>
    </w:p>
    <w:p w:rsidR="00427CF1" w:rsidRDefault="00427CF1" w:rsidP="00427CF1">
      <w:pPr>
        <w:pStyle w:val="SangriaFrancesaArticulo"/>
      </w:pPr>
      <w:r w:rsidRPr="00427CF1">
        <w:rPr>
          <w:rStyle w:val="TextoNormalNegritaCaracter"/>
        </w:rPr>
        <w:t>Artículo 56.2</w:t>
      </w:r>
      <w:r>
        <w:t xml:space="preserve"> (redactado por el Real Decreto-ley 3/2012, de 10 de febrero)</w:t>
      </w:r>
      <w:r w:rsidRPr="00427CF1">
        <w:rPr>
          <w:rStyle w:val="TextoNormalNegritaCaracter"/>
        </w:rPr>
        <w:t>.</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p>
    <w:p w:rsidR="00427CF1" w:rsidRDefault="00427CF1" w:rsidP="00427CF1">
      <w:pPr>
        <w:pStyle w:val="TextoNormalNegritaCursivandice"/>
      </w:pPr>
      <w:r>
        <w:t>Real Decreto Legislativo 2/1995, de 7 de abril. Texto refundido de la Ley de  procedimiento laboral</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70.</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175.2.</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175.3.</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177.1.</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178.</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179.1.</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179.2.</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179.3.</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182.</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189.1 f).</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r w:rsidRPr="00427CF1">
        <w:rPr>
          <w:rStyle w:val="TextoNormalNegritaCaracter"/>
        </w:rPr>
        <w:t>Artículo 209.</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r w:rsidRPr="00427CF1">
        <w:rPr>
          <w:rStyle w:val="TextoNormalNegritaCaracter"/>
        </w:rPr>
        <w:t>Artículo 211.</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r w:rsidRPr="00427CF1">
        <w:rPr>
          <w:rStyle w:val="TextoNormalNegritaCaracter"/>
        </w:rPr>
        <w:t>Artículo 227.</w:t>
      </w:r>
      <w:r w:rsidRPr="00427CF1">
        <w:rPr>
          <w:rStyle w:val="TextoNormalCaracter"/>
        </w:rPr>
        <w:t>-</w:t>
      </w:r>
      <w:r>
        <w:t xml:space="preserve"> Sentencia </w:t>
      </w:r>
      <w:hyperlink w:anchor="SENTENCIA_2016_176" w:history="1">
        <w:r w:rsidRPr="00427CF1">
          <w:rPr>
            <w:rStyle w:val="TextoNormalCaracter"/>
          </w:rPr>
          <w:t>176/2016</w:t>
        </w:r>
      </w:hyperlink>
      <w:r>
        <w:t>, f. 3.</w:t>
      </w:r>
    </w:p>
    <w:p w:rsidR="00427CF1" w:rsidRDefault="00427CF1" w:rsidP="00427CF1">
      <w:pPr>
        <w:pStyle w:val="SangriaFrancesaArticulo"/>
      </w:pPr>
      <w:r w:rsidRPr="00427CF1">
        <w:rPr>
          <w:rStyle w:val="TextoNormalNegritaCaracter"/>
        </w:rPr>
        <w:t>Artículo 301.</w:t>
      </w:r>
      <w:r w:rsidRPr="00427CF1">
        <w:rPr>
          <w:rStyle w:val="TextoNormalCaracter"/>
        </w:rPr>
        <w:t>-</w:t>
      </w:r>
      <w:r>
        <w:t xml:space="preserve"> Sentencia </w:t>
      </w:r>
      <w:hyperlink w:anchor="SENTENCIA_2016_149" w:history="1">
        <w:r w:rsidRPr="00427CF1">
          <w:rPr>
            <w:rStyle w:val="TextoNormalCaracter"/>
          </w:rPr>
          <w:t>149/2016</w:t>
        </w:r>
      </w:hyperlink>
      <w:r>
        <w:t>, f. 5.</w:t>
      </w:r>
    </w:p>
    <w:p w:rsidR="00427CF1" w:rsidRDefault="00427CF1" w:rsidP="00427CF1">
      <w:pPr>
        <w:pStyle w:val="SangriaFrancesaArticulo"/>
      </w:pPr>
    </w:p>
    <w:p w:rsidR="00427CF1" w:rsidRDefault="00427CF1" w:rsidP="00427CF1">
      <w:pPr>
        <w:pStyle w:val="TextoNormalNegritaCursivandice"/>
      </w:pPr>
      <w:r>
        <w:t>Real Decreto Legislativo 5/2000, de 4 de agosto. Texto refundido de la Ley sobre infracciones y sanciones en el orden social</w:t>
      </w:r>
    </w:p>
    <w:p w:rsidR="00427CF1" w:rsidRDefault="00427CF1" w:rsidP="00427CF1">
      <w:pPr>
        <w:pStyle w:val="SangriaFrancesaArticulo"/>
      </w:pPr>
      <w:r w:rsidRPr="00427CF1">
        <w:rPr>
          <w:rStyle w:val="TextoNormalNegritaCaracter"/>
        </w:rPr>
        <w:t>Artículo 25.2.</w:t>
      </w:r>
      <w:r w:rsidRPr="00427CF1">
        <w:rPr>
          <w:rStyle w:val="TextoNormalCaracter"/>
        </w:rPr>
        <w:t>-</w:t>
      </w:r>
      <w:r>
        <w:t xml:space="preserve"> Auto </w:t>
      </w:r>
      <w:hyperlink w:anchor="AUTO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25.3.</w:t>
      </w:r>
      <w:r w:rsidRPr="00427CF1">
        <w:rPr>
          <w:rStyle w:val="TextoNormalCaracter"/>
        </w:rPr>
        <w:t>-</w:t>
      </w:r>
      <w:r>
        <w:t xml:space="preserve"> Autos </w:t>
      </w:r>
      <w:hyperlink w:anchor="AUTO_2016_186" w:history="1">
        <w:r w:rsidRPr="00427CF1">
          <w:rPr>
            <w:rStyle w:val="TextoNormalCaracter"/>
          </w:rPr>
          <w:t>186/2016</w:t>
        </w:r>
      </w:hyperlink>
      <w:r>
        <w:t xml:space="preserve">, ff. 1, 3; </w:t>
      </w:r>
      <w:hyperlink w:anchor="AUTO_2016_187" w:history="1">
        <w:r w:rsidRPr="00427CF1">
          <w:rPr>
            <w:rStyle w:val="TextoNormalCaracter"/>
          </w:rPr>
          <w:t>187/2016</w:t>
        </w:r>
      </w:hyperlink>
      <w:r>
        <w:t>, ff. 1, 6.</w:t>
      </w:r>
    </w:p>
    <w:p w:rsidR="00427CF1" w:rsidRDefault="00427CF1" w:rsidP="00427CF1">
      <w:pPr>
        <w:pStyle w:val="SangriaFrancesaArticulo"/>
      </w:pPr>
      <w:r w:rsidRPr="00427CF1">
        <w:rPr>
          <w:rStyle w:val="TextoNormalNegritaCaracter"/>
        </w:rPr>
        <w:t>Artículo 25.4.</w:t>
      </w:r>
      <w:r w:rsidRPr="00427CF1">
        <w:rPr>
          <w:rStyle w:val="TextoNormalCaracter"/>
        </w:rPr>
        <w:t>-</w:t>
      </w:r>
      <w:r>
        <w:t xml:space="preserve"> Auto </w:t>
      </w:r>
      <w:hyperlink w:anchor="AUTO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25.4 b).</w:t>
      </w:r>
      <w:r w:rsidRPr="00427CF1">
        <w:rPr>
          <w:rStyle w:val="TextoNormalCaracter"/>
        </w:rPr>
        <w:t>-</w:t>
      </w:r>
      <w:r>
        <w:t xml:space="preserve"> Auto </w:t>
      </w:r>
      <w:hyperlink w:anchor="AUTO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41.1.</w:t>
      </w:r>
      <w:r w:rsidRPr="00427CF1">
        <w:rPr>
          <w:rStyle w:val="TextoNormalCaracter"/>
        </w:rPr>
        <w:t>-</w:t>
      </w:r>
      <w:r>
        <w:t xml:space="preserve"> Auto </w:t>
      </w:r>
      <w:hyperlink w:anchor="AUTO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Auto </w:t>
      </w:r>
      <w:hyperlink w:anchor="AUTO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47.1 b).</w:t>
      </w:r>
      <w:r w:rsidRPr="00427CF1">
        <w:rPr>
          <w:rStyle w:val="TextoNormalCaracter"/>
        </w:rPr>
        <w:t>-</w:t>
      </w:r>
      <w:r>
        <w:t xml:space="preserve"> Autos </w:t>
      </w:r>
      <w:hyperlink w:anchor="AUTO_2016_186" w:history="1">
        <w:r w:rsidRPr="00427CF1">
          <w:rPr>
            <w:rStyle w:val="TextoNormalCaracter"/>
          </w:rPr>
          <w:t>186/2016</w:t>
        </w:r>
      </w:hyperlink>
      <w:r>
        <w:t xml:space="preserve">, ff. 1, 3; </w:t>
      </w:r>
      <w:hyperlink w:anchor="AUTO_2016_187" w:history="1">
        <w:r w:rsidRPr="00427CF1">
          <w:rPr>
            <w:rStyle w:val="TextoNormalCaracter"/>
          </w:rPr>
          <w:t>187/2016</w:t>
        </w:r>
      </w:hyperlink>
      <w:r>
        <w:t>, ff. 1 a 3, 6.</w:t>
      </w:r>
    </w:p>
    <w:p w:rsidR="00427CF1" w:rsidRDefault="00427CF1" w:rsidP="00427CF1">
      <w:pPr>
        <w:pStyle w:val="SangriaFrancesaArticulo"/>
      </w:pPr>
    </w:p>
    <w:p w:rsidR="00427CF1" w:rsidRDefault="00427CF1" w:rsidP="00427CF1">
      <w:pPr>
        <w:pStyle w:val="TextoNormalNegritaCursivandice"/>
      </w:pPr>
      <w:r>
        <w:t>Real Decreto Legislativo 1/2001, de 20 de julio. Texto refundido de la Ley de aguas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25.1.</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27.</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27 d).</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35.2.</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36.1 c).</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p>
    <w:p w:rsidR="00427CF1" w:rsidRDefault="00427CF1" w:rsidP="00427CF1">
      <w:pPr>
        <w:pStyle w:val="TextoNormalNegritaCursivandice"/>
      </w:pPr>
      <w:r>
        <w:t>Real Decreto Legislativo 2/2004, de 5 de marzo. Texto refundido de la Ley reguladora de las haciendas locales</w:t>
      </w:r>
    </w:p>
    <w:p w:rsidR="00427CF1" w:rsidRDefault="00427CF1" w:rsidP="00427CF1">
      <w:pPr>
        <w:pStyle w:val="SangriaFrancesaArticulo"/>
      </w:pPr>
      <w:r w:rsidRPr="00427CF1">
        <w:rPr>
          <w:rStyle w:val="TextoNormalNegritaCaracter"/>
        </w:rPr>
        <w:t>Artículos 60 al 77.</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72.4.</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78.1.</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79.</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83.</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85.1.</w:t>
      </w:r>
      <w:r w:rsidRPr="00427CF1">
        <w:rPr>
          <w:rStyle w:val="TextoNormalCaracter"/>
        </w:rPr>
        <w:t>-</w:t>
      </w:r>
      <w:r>
        <w:t xml:space="preserve"> Auto </w:t>
      </w:r>
      <w:hyperlink w:anchor="AUTO_2016_183" w:history="1">
        <w:r w:rsidRPr="00427CF1">
          <w:rPr>
            <w:rStyle w:val="TextoNormalCaracter"/>
          </w:rPr>
          <w:t>183/2016</w:t>
        </w:r>
      </w:hyperlink>
      <w:r>
        <w:t>, f. 5.</w:t>
      </w:r>
    </w:p>
    <w:p w:rsidR="00427CF1" w:rsidRDefault="00427CF1" w:rsidP="00427CF1">
      <w:pPr>
        <w:pStyle w:val="SangriaFrancesaArticulo"/>
      </w:pPr>
      <w:r w:rsidRPr="00427CF1">
        <w:rPr>
          <w:rStyle w:val="TextoNormalNegritaCaracter"/>
        </w:rPr>
        <w:t>Artículo 88.</w:t>
      </w:r>
      <w:r w:rsidRPr="00427CF1">
        <w:rPr>
          <w:rStyle w:val="TextoNormalCaracter"/>
        </w:rPr>
        <w:t>-</w:t>
      </w:r>
      <w:r>
        <w:t xml:space="preserve"> Autos </w:t>
      </w:r>
      <w:hyperlink w:anchor="AUTO_2016_183" w:history="1">
        <w:r w:rsidRPr="00427CF1">
          <w:rPr>
            <w:rStyle w:val="TextoNormalCaracter"/>
          </w:rPr>
          <w:t>183/2016</w:t>
        </w:r>
      </w:hyperlink>
      <w:r>
        <w:t xml:space="preserve">, f. 6; </w:t>
      </w:r>
      <w:hyperlink w:anchor="AUTO_2016_185" w:history="1">
        <w:r w:rsidRPr="00427CF1">
          <w:rPr>
            <w:rStyle w:val="TextoNormalCaracter"/>
          </w:rPr>
          <w:t>185/2016</w:t>
        </w:r>
      </w:hyperlink>
      <w:r>
        <w:t>, f. 6.</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Artículo 135.</w:t>
      </w:r>
      <w:r w:rsidRPr="00427CF1">
        <w:rPr>
          <w:rStyle w:val="TextoNormalCaracter"/>
        </w:rPr>
        <w:t>-</w:t>
      </w:r>
      <w:r>
        <w:t xml:space="preserve"> Sentencia </w:t>
      </w:r>
      <w:hyperlink w:anchor="SENTENCIA_2016_180" w:history="1">
        <w:r w:rsidRPr="00427CF1">
          <w:rPr>
            <w:rStyle w:val="TextoNormalCaracter"/>
          </w:rPr>
          <w:t>180/2016</w:t>
        </w:r>
      </w:hyperlink>
      <w:r>
        <w:t>, f. 8.</w:t>
      </w:r>
    </w:p>
    <w:p w:rsidR="00427CF1" w:rsidRDefault="00427CF1" w:rsidP="00427CF1">
      <w:pPr>
        <w:pStyle w:val="SangriaFrancesaArticulo"/>
      </w:pPr>
      <w:r w:rsidRPr="00427CF1">
        <w:rPr>
          <w:rStyle w:val="TextoNormalNegritaCaracter"/>
        </w:rPr>
        <w:t>Disposición adicional decimoquinta</w:t>
      </w:r>
      <w:r>
        <w:t xml:space="preserve"> (redactada por la Ley 27/2013, de 27 de diciembre)</w:t>
      </w:r>
      <w:r w:rsidRPr="00427CF1">
        <w:rPr>
          <w:rStyle w:val="TextoNormalNegritaCaracter"/>
        </w:rPr>
        <w:t>.</w:t>
      </w:r>
      <w:r w:rsidRPr="00427CF1">
        <w:rPr>
          <w:rStyle w:val="TextoNormalCaracter"/>
        </w:rPr>
        <w:t>-</w:t>
      </w:r>
      <w:r>
        <w:t xml:space="preserve"> Sentencia </w:t>
      </w:r>
      <w:hyperlink w:anchor="SENTENCIA_2016_168" w:history="1">
        <w:r w:rsidRPr="00427CF1">
          <w:rPr>
            <w:rStyle w:val="TextoNormalCaracter"/>
          </w:rPr>
          <w:t>168/2016</w:t>
        </w:r>
      </w:hyperlink>
      <w:r>
        <w:t>, f. 5.</w:t>
      </w:r>
    </w:p>
    <w:p w:rsidR="00427CF1" w:rsidRDefault="00427CF1" w:rsidP="00427CF1">
      <w:pPr>
        <w:pStyle w:val="SangriaFrancesaArticulo"/>
      </w:pPr>
      <w:r w:rsidRPr="00427CF1">
        <w:rPr>
          <w:rStyle w:val="TextoNormalNegritaCaracter"/>
        </w:rPr>
        <w:t>Disposición final única.</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p>
    <w:p w:rsidR="00427CF1" w:rsidRDefault="00427CF1" w:rsidP="00427CF1">
      <w:pPr>
        <w:pStyle w:val="TextoNormalNegritaCursivandice"/>
      </w:pPr>
      <w:r>
        <w:t>Real Decreto Legislativo 4/2004, de 5 de marzo. Aprueba el texto refundido de la Ley del impuesto sobre sociedades</w:t>
      </w:r>
    </w:p>
    <w:p w:rsidR="00427CF1" w:rsidRDefault="00427CF1" w:rsidP="00427CF1">
      <w:pPr>
        <w:pStyle w:val="SangriaFrancesaArticulo"/>
      </w:pPr>
      <w:r w:rsidRPr="00427CF1">
        <w:rPr>
          <w:rStyle w:val="TextoNormalNegritaCaracter"/>
        </w:rPr>
        <w:t>Artículo 108.1.</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Real Decreto Legislativo 1/2007, de 16 de noviembre. Texto refundido de la Ley general para la defensa de los consumidores y usuarios y otras leyes complementarias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 6; </w:t>
      </w:r>
      <w:hyperlink w:anchor="SENTENCIA_2016_208" w:history="1">
        <w:r w:rsidRPr="00427CF1">
          <w:rPr>
            <w:rStyle w:val="TextoNormalCaracter"/>
          </w:rPr>
          <w:t>208/2016</w:t>
        </w:r>
      </w:hyperlink>
      <w:r>
        <w:t xml:space="preserve">, ff. 3, 4; </w:t>
      </w:r>
      <w:hyperlink w:anchor="SENTENCIA_2016_209" w:history="1">
        <w:r w:rsidRPr="00427CF1">
          <w:rPr>
            <w:rStyle w:val="TextoNormalCaracter"/>
          </w:rPr>
          <w:t>209/2016</w:t>
        </w:r>
      </w:hyperlink>
      <w:r>
        <w:t>, f. 4.</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Sentencias </w:t>
      </w:r>
      <w:hyperlink w:anchor="SENTENCIA_2016_148" w:history="1">
        <w:r w:rsidRPr="00427CF1">
          <w:rPr>
            <w:rStyle w:val="TextoNormalCaracter"/>
          </w:rPr>
          <w:t>148/2016</w:t>
        </w:r>
      </w:hyperlink>
      <w:r>
        <w:t xml:space="preserve">, f. 4;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Artículo 53.1.</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r w:rsidRPr="00427CF1">
        <w:rPr>
          <w:rStyle w:val="TextoNormalNegritaCaracter"/>
        </w:rPr>
        <w:t>Artículo 82.3.</w:t>
      </w:r>
      <w:r w:rsidRPr="00427CF1">
        <w:rPr>
          <w:rStyle w:val="TextoNormalCaracter"/>
        </w:rPr>
        <w:t>-</w:t>
      </w:r>
      <w:r>
        <w:t xml:space="preserve"> Sentencias </w:t>
      </w:r>
      <w:hyperlink w:anchor="SENTENCIA_2016_148" w:history="1">
        <w:r w:rsidRPr="00427CF1">
          <w:rPr>
            <w:rStyle w:val="TextoNormalCaracter"/>
          </w:rPr>
          <w:t>148/2016</w:t>
        </w:r>
      </w:hyperlink>
      <w:r>
        <w:t xml:space="preserve">, ff. 5, 6; </w:t>
      </w:r>
      <w:hyperlink w:anchor="SENTENCIA_2016_206" w:history="1">
        <w:r w:rsidRPr="00427CF1">
          <w:rPr>
            <w:rStyle w:val="TextoNormalCaracter"/>
          </w:rPr>
          <w:t>206/2016</w:t>
        </w:r>
      </w:hyperlink>
      <w:r>
        <w:t xml:space="preserve">, ff. 3, 4; </w:t>
      </w:r>
      <w:hyperlink w:anchor="SENTENCIA_2016_207" w:history="1">
        <w:r w:rsidRPr="00427CF1">
          <w:rPr>
            <w:rStyle w:val="TextoNormalCaracter"/>
          </w:rPr>
          <w:t>207/2016</w:t>
        </w:r>
      </w:hyperlink>
      <w:r>
        <w:t xml:space="preserve">, ff. 4, 5; </w:t>
      </w:r>
      <w:hyperlink w:anchor="SENTENCIA_2016_208" w:history="1">
        <w:r w:rsidRPr="00427CF1">
          <w:rPr>
            <w:rStyle w:val="TextoNormalCaracter"/>
          </w:rPr>
          <w:t>208/2016</w:t>
        </w:r>
      </w:hyperlink>
      <w:r>
        <w:t xml:space="preserve">, ff. 3, 4; </w:t>
      </w:r>
      <w:hyperlink w:anchor="SENTENCIA_2016_209" w:history="1">
        <w:r w:rsidRPr="00427CF1">
          <w:rPr>
            <w:rStyle w:val="TextoNormalCaracter"/>
          </w:rPr>
          <w:t>209/2016</w:t>
        </w:r>
      </w:hyperlink>
      <w:r>
        <w:t>, ff. 3, 4.</w:t>
      </w:r>
    </w:p>
    <w:p w:rsidR="00427CF1" w:rsidRDefault="00427CF1" w:rsidP="00427CF1">
      <w:pPr>
        <w:pStyle w:val="SangriaFrancesaArticulo"/>
      </w:pPr>
    </w:p>
    <w:p w:rsidR="00427CF1" w:rsidRDefault="00427CF1" w:rsidP="00427CF1">
      <w:pPr>
        <w:pStyle w:val="TextoNormalNegritaCursivandice"/>
      </w:pPr>
      <w:r>
        <w:t>Real Decreto Legislativo 2/2008, de 20 de junio. Texto refundido de la Ley de suelo</w:t>
      </w:r>
    </w:p>
    <w:p w:rsidR="00427CF1" w:rsidRDefault="00427CF1" w:rsidP="00427CF1">
      <w:pPr>
        <w:pStyle w:val="SangriaFrancesaArticulo"/>
      </w:pPr>
      <w:r w:rsidRPr="00427CF1">
        <w:rPr>
          <w:rStyle w:val="TextoNormalNegritaCaracter"/>
        </w:rPr>
        <w:t xml:space="preserve">Artículo 8.1 párrafo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75" w:history="1">
        <w:r w:rsidRPr="00427CF1">
          <w:rPr>
            <w:rStyle w:val="TextoNormalCaracter"/>
          </w:rPr>
          <w:t>175/2016</w:t>
        </w:r>
      </w:hyperlink>
      <w:r>
        <w:t>, ff. 4, 5.</w:t>
      </w:r>
    </w:p>
    <w:p w:rsidR="00427CF1" w:rsidRDefault="00427CF1" w:rsidP="00427CF1">
      <w:pPr>
        <w:pStyle w:val="SangriaFrancesaArticulo"/>
      </w:pPr>
      <w:r w:rsidRPr="00427CF1">
        <w:rPr>
          <w:rStyle w:val="TextoNormalNegritaCaracter"/>
        </w:rPr>
        <w:t>Disposición adicional décima.</w:t>
      </w:r>
      <w:r w:rsidRPr="00427CF1">
        <w:rPr>
          <w:rStyle w:val="TextoNormalCaracter"/>
        </w:rPr>
        <w:t>-</w:t>
      </w:r>
      <w:r>
        <w:t xml:space="preserve"> Sentencia </w:t>
      </w:r>
      <w:hyperlink w:anchor="SENTENCIA_2016_182" w:history="1">
        <w:r w:rsidRPr="00427CF1">
          <w:rPr>
            <w:rStyle w:val="TextoNormalCaracter"/>
          </w:rPr>
          <w:t>182/2016</w:t>
        </w:r>
      </w:hyperlink>
      <w:r>
        <w:t>, f. 4.</w:t>
      </w:r>
    </w:p>
    <w:p w:rsidR="00427CF1" w:rsidRDefault="00427CF1" w:rsidP="00427CF1">
      <w:pPr>
        <w:pStyle w:val="SangriaFrancesaArticulo"/>
      </w:pPr>
    </w:p>
    <w:p w:rsidR="00427CF1" w:rsidRDefault="00427CF1" w:rsidP="00427CF1">
      <w:pPr>
        <w:pStyle w:val="TextoNormalNegritaCursivandice"/>
      </w:pPr>
      <w:r>
        <w:t>Real Decreto Legislativo 3/2011, de 14 de noviembre. Aprueba el texto refundido de la Ley de contratos del sector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Artículo 277.</w:t>
      </w:r>
      <w:r w:rsidRPr="00427CF1">
        <w:rPr>
          <w:rStyle w:val="TextoNormalCaracter"/>
        </w:rPr>
        <w:t>-</w:t>
      </w:r>
      <w:r>
        <w:t xml:space="preserve"> Auto </w:t>
      </w:r>
      <w:hyperlink w:anchor="AUTO_2016_167" w:history="1">
        <w:r w:rsidRPr="00427CF1">
          <w:rPr>
            <w:rStyle w:val="TextoNormalCaracter"/>
          </w:rPr>
          <w:t>167/2016</w:t>
        </w:r>
      </w:hyperlink>
      <w:r>
        <w:t>, ff. 1, 3.</w:t>
      </w:r>
    </w:p>
    <w:p w:rsidR="00427CF1" w:rsidRDefault="00427CF1" w:rsidP="00427CF1">
      <w:pPr>
        <w:pStyle w:val="SangriaFrancesaArticulo"/>
      </w:pPr>
    </w:p>
    <w:p w:rsidR="00427CF1" w:rsidRDefault="00427CF1" w:rsidP="00427CF1">
      <w:pPr>
        <w:pStyle w:val="TextoNormalNegritaCursivandice"/>
      </w:pPr>
      <w:r>
        <w:t>Real Decreto Legislativo 1/2015, de 24 de julio. Texto refundido de la Ley de garantías y uso racional de los medicamentos y productos sanitarios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9" w:history="1">
        <w:r w:rsidRPr="00427CF1">
          <w:rPr>
            <w:rStyle w:val="TextoNormalCaracter"/>
          </w:rPr>
          <w:t>139/2016</w:t>
        </w:r>
      </w:hyperlink>
      <w:r>
        <w:t xml:space="preserve">, f. 11; </w:t>
      </w:r>
      <w:hyperlink w:anchor="SENTENCIA_2016_210" w:history="1">
        <w:r w:rsidRPr="00427CF1">
          <w:rPr>
            <w:rStyle w:val="TextoNormalCaracter"/>
          </w:rPr>
          <w:t>210/2016</w:t>
        </w:r>
      </w:hyperlink>
      <w:r>
        <w:t>, f. 8.</w:t>
      </w:r>
    </w:p>
    <w:p w:rsidR="00427CF1" w:rsidRDefault="00427CF1" w:rsidP="00427CF1">
      <w:pPr>
        <w:pStyle w:val="SangriaFrancesaArticulo"/>
      </w:pPr>
      <w:r w:rsidRPr="00427CF1">
        <w:rPr>
          <w:rStyle w:val="TextoNormalNegritaCaracter"/>
        </w:rPr>
        <w:t>Artículo 79.</w:t>
      </w:r>
      <w:r w:rsidRPr="00427CF1">
        <w:rPr>
          <w:rStyle w:val="TextoNormalCaracter"/>
        </w:rPr>
        <w:t>-</w:t>
      </w:r>
      <w:r>
        <w:t xml:space="preserve"> Auto </w:t>
      </w:r>
      <w:hyperlink w:anchor="AUTO_2016_162" w:history="1">
        <w:r w:rsidRPr="00427CF1">
          <w:rPr>
            <w:rStyle w:val="TextoNormalCaracter"/>
          </w:rPr>
          <w:t>162/2016</w:t>
        </w:r>
      </w:hyperlink>
      <w:r>
        <w:t>, f. 4.</w:t>
      </w:r>
    </w:p>
    <w:p w:rsidR="00427CF1" w:rsidRDefault="00427CF1" w:rsidP="00427CF1">
      <w:pPr>
        <w:pStyle w:val="SangriaFrancesaArticulo"/>
      </w:pPr>
      <w:r w:rsidRPr="00427CF1">
        <w:rPr>
          <w:rStyle w:val="TextoNormalNegritaCaracter"/>
        </w:rPr>
        <w:t>Artículo 79.1.</w:t>
      </w:r>
      <w:r w:rsidRPr="00427CF1">
        <w:rPr>
          <w:rStyle w:val="TextoNormalCaracter"/>
        </w:rPr>
        <w:t>-</w:t>
      </w:r>
      <w:r>
        <w:t xml:space="preserve"> Auto </w:t>
      </w:r>
      <w:hyperlink w:anchor="AUTO_2016_162" w:history="1">
        <w:r w:rsidRPr="00427CF1">
          <w:rPr>
            <w:rStyle w:val="TextoNormalCaracter"/>
          </w:rPr>
          <w:t>162/2016</w:t>
        </w:r>
      </w:hyperlink>
      <w:r>
        <w:t>, f. 3.</w:t>
      </w:r>
    </w:p>
    <w:p w:rsidR="00427CF1" w:rsidRDefault="00427CF1" w:rsidP="00427CF1">
      <w:pPr>
        <w:pStyle w:val="SangriaFrancesaArticulo"/>
      </w:pPr>
      <w:r w:rsidRPr="00427CF1">
        <w:rPr>
          <w:rStyle w:val="TextoNormalNegritaCaracter"/>
        </w:rPr>
        <w:t>Artículo 87.</w:t>
      </w:r>
      <w:r w:rsidRPr="00427CF1">
        <w:rPr>
          <w:rStyle w:val="TextoNormalCaracter"/>
        </w:rPr>
        <w:t>-</w:t>
      </w:r>
      <w:r>
        <w:t xml:space="preserve"> Sentencia </w:t>
      </w:r>
      <w:hyperlink w:anchor="SENTENCIA_2016_210" w:history="1">
        <w:r w:rsidRPr="00427CF1">
          <w:rPr>
            <w:rStyle w:val="TextoNormalCaracter"/>
          </w:rPr>
          <w:t>210/2016</w:t>
        </w:r>
      </w:hyperlink>
      <w:r>
        <w:t>, ff. 3, 5, 8.</w:t>
      </w:r>
    </w:p>
    <w:p w:rsidR="00427CF1" w:rsidRDefault="00427CF1" w:rsidP="00427CF1">
      <w:pPr>
        <w:pStyle w:val="SangriaFrancesaArticulo"/>
      </w:pPr>
      <w:r w:rsidRPr="00427CF1">
        <w:rPr>
          <w:rStyle w:val="TextoNormalNegritaCaracter"/>
        </w:rPr>
        <w:t>Artículo 87.1.</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87.4.</w:t>
      </w:r>
      <w:r w:rsidRPr="00427CF1">
        <w:rPr>
          <w:rStyle w:val="TextoNormalCaracter"/>
        </w:rPr>
        <w:t>-</w:t>
      </w:r>
      <w:r>
        <w:t xml:space="preserve"> Sentencia </w:t>
      </w:r>
      <w:hyperlink w:anchor="SENTENCIA_2016_210" w:history="1">
        <w:r w:rsidRPr="00427CF1">
          <w:rPr>
            <w:rStyle w:val="TextoNormalCaracter"/>
          </w:rPr>
          <w:t>210/2016</w:t>
        </w:r>
      </w:hyperlink>
      <w:r>
        <w:t>, f. 8.</w:t>
      </w:r>
    </w:p>
    <w:p w:rsidR="00427CF1" w:rsidRDefault="00427CF1" w:rsidP="00427CF1">
      <w:pPr>
        <w:pStyle w:val="SangriaFrancesaArticulo"/>
      </w:pPr>
      <w:r w:rsidRPr="00427CF1">
        <w:rPr>
          <w:rStyle w:val="TextoNormalNegritaCaracter"/>
        </w:rPr>
        <w:t>Artículo 89.</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89.2.</w:t>
      </w:r>
      <w:r w:rsidRPr="00427CF1">
        <w:rPr>
          <w:rStyle w:val="TextoNormalCaracter"/>
        </w:rPr>
        <w:t>-</w:t>
      </w:r>
      <w:r>
        <w:t xml:space="preserve"> Sentencia </w:t>
      </w:r>
      <w:hyperlink w:anchor="SENTENCIA_2016_210" w:history="1">
        <w:r w:rsidRPr="00427CF1">
          <w:rPr>
            <w:rStyle w:val="TextoNormalCaracter"/>
          </w:rPr>
          <w:t>210/2016</w:t>
        </w:r>
      </w:hyperlink>
      <w:r>
        <w:t>, ff. 3, 8.</w:t>
      </w:r>
    </w:p>
    <w:p w:rsidR="00427CF1" w:rsidRDefault="00427CF1" w:rsidP="00427CF1">
      <w:pPr>
        <w:pStyle w:val="SangriaFrancesaArticulo"/>
      </w:pPr>
      <w:r w:rsidRPr="00427CF1">
        <w:rPr>
          <w:rStyle w:val="TextoNormalNegritaCaracter"/>
        </w:rPr>
        <w:t>Artículo 89.4.</w:t>
      </w:r>
      <w:r w:rsidRPr="00427CF1">
        <w:rPr>
          <w:rStyle w:val="TextoNormalCaracter"/>
        </w:rPr>
        <w:t>-</w:t>
      </w:r>
      <w:r>
        <w:t xml:space="preserve"> Sentencia </w:t>
      </w:r>
      <w:hyperlink w:anchor="SENTENCIA_2016_210" w:history="1">
        <w:r w:rsidRPr="00427CF1">
          <w:rPr>
            <w:rStyle w:val="TextoNormalCaracter"/>
          </w:rPr>
          <w:t>210/2016</w:t>
        </w:r>
      </w:hyperlink>
      <w:r>
        <w:t>, f. 8.</w:t>
      </w:r>
    </w:p>
    <w:p w:rsidR="00427CF1" w:rsidRDefault="00427CF1" w:rsidP="00427CF1">
      <w:pPr>
        <w:pStyle w:val="SangriaFrancesaArticulo"/>
      </w:pPr>
      <w:r w:rsidRPr="00427CF1">
        <w:rPr>
          <w:rStyle w:val="TextoNormalNegritaCaracter"/>
        </w:rPr>
        <w:t>Artículo 89.5.</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210" w:history="1">
        <w:r w:rsidRPr="00427CF1">
          <w:rPr>
            <w:rStyle w:val="TextoNormalCaracter"/>
          </w:rPr>
          <w:t>210/2016</w:t>
        </w:r>
      </w:hyperlink>
      <w:r>
        <w:t>, ff. 3, 5.</w:t>
      </w:r>
    </w:p>
    <w:p w:rsidR="00427CF1" w:rsidRDefault="00427CF1" w:rsidP="00427CF1">
      <w:pPr>
        <w:pStyle w:val="SangriaFrancesaArticulo"/>
      </w:pPr>
      <w:r w:rsidRPr="00427CF1">
        <w:rPr>
          <w:rStyle w:val="TextoNormalNegritaCaracter"/>
        </w:rPr>
        <w:t>Artículo 91.1.</w:t>
      </w:r>
      <w:r w:rsidRPr="00427CF1">
        <w:rPr>
          <w:rStyle w:val="TextoNormalCaracter"/>
        </w:rPr>
        <w:t>-</w:t>
      </w:r>
      <w:r>
        <w:t xml:space="preserve"> Sentencia </w:t>
      </w:r>
      <w:hyperlink w:anchor="SENTENCIA_2016_210" w:history="1">
        <w:r w:rsidRPr="00427CF1">
          <w:rPr>
            <w:rStyle w:val="TextoNormalCaracter"/>
          </w:rPr>
          <w:t>210/2016</w:t>
        </w:r>
      </w:hyperlink>
      <w:r>
        <w:t>, f. 8.</w:t>
      </w:r>
    </w:p>
    <w:p w:rsidR="00427CF1" w:rsidRDefault="00427CF1" w:rsidP="00427CF1">
      <w:pPr>
        <w:pStyle w:val="SangriaFrancesaArticulo"/>
      </w:pPr>
      <w:r w:rsidRPr="00427CF1">
        <w:rPr>
          <w:rStyle w:val="TextoNormalNegritaCaracter"/>
        </w:rPr>
        <w:t>Artículo 98.</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99.</w:t>
      </w:r>
      <w:r w:rsidRPr="00427CF1">
        <w:rPr>
          <w:rStyle w:val="TextoNormalCaracter"/>
        </w:rPr>
        <w:t>-</w:t>
      </w:r>
      <w:r>
        <w:t xml:space="preserve"> Sentencia </w:t>
      </w:r>
      <w:hyperlink w:anchor="SENTENCIA_2016_210" w:history="1">
        <w:r w:rsidRPr="00427CF1">
          <w:rPr>
            <w:rStyle w:val="TextoNormalCaracter"/>
          </w:rPr>
          <w:t>210/2016</w:t>
        </w:r>
      </w:hyperlink>
      <w:r>
        <w:t>, ff. 3, 8.</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r w:rsidRPr="00427CF1">
        <w:rPr>
          <w:rStyle w:val="TextoNormalNegritaCaracter"/>
        </w:rPr>
        <w:t>Artículo 102.5.</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102.5 d).</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102.6.</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103.</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Disposición final primera, apartado 1.</w:t>
      </w:r>
      <w:r w:rsidRPr="00427CF1">
        <w:rPr>
          <w:rStyle w:val="TextoNormalCaracter"/>
        </w:rPr>
        <w:t>-</w:t>
      </w:r>
      <w:r>
        <w:t xml:space="preserve"> Sentencia </w:t>
      </w:r>
      <w:hyperlink w:anchor="SENTENCIA_2016_210" w:history="1">
        <w:r w:rsidRPr="00427CF1">
          <w:rPr>
            <w:rStyle w:val="TextoNormalCaracter"/>
          </w:rPr>
          <w:t>210/2016</w:t>
        </w:r>
      </w:hyperlink>
      <w:r>
        <w:t>, f. 5.</w:t>
      </w:r>
    </w:p>
    <w:p w:rsidR="00427CF1" w:rsidRDefault="00427CF1" w:rsidP="00427CF1">
      <w:pPr>
        <w:pStyle w:val="SangriaFrancesaArticulo"/>
      </w:pPr>
      <w:r w:rsidRPr="00427CF1">
        <w:rPr>
          <w:rStyle w:val="TextoNormalNegritaCaracter"/>
        </w:rPr>
        <w:t>Disposición final primera, apartado 3.</w:t>
      </w:r>
      <w:r w:rsidRPr="00427CF1">
        <w:rPr>
          <w:rStyle w:val="TextoNormalCaracter"/>
        </w:rPr>
        <w:t>-</w:t>
      </w:r>
      <w:r>
        <w:t xml:space="preserve"> Sentencia </w:t>
      </w:r>
      <w:hyperlink w:anchor="SENTENCIA_2016_210" w:history="1">
        <w:r w:rsidRPr="00427CF1">
          <w:rPr>
            <w:rStyle w:val="TextoNormalCaracter"/>
          </w:rPr>
          <w:t>210/2016</w:t>
        </w:r>
      </w:hyperlink>
      <w:r>
        <w:t>, f. 5.</w:t>
      </w:r>
    </w:p>
    <w:p w:rsidR="00427CF1" w:rsidRDefault="00427CF1" w:rsidP="00427CF1">
      <w:pPr>
        <w:pStyle w:val="SangriaFrancesaArticulo"/>
      </w:pPr>
    </w:p>
    <w:p w:rsidR="00427CF1" w:rsidRDefault="00427CF1" w:rsidP="00427CF1">
      <w:pPr>
        <w:pStyle w:val="TextoNormalNegritaCursivandice"/>
      </w:pPr>
      <w:r>
        <w:t>Real Decreto Legislativo 2/2015, de 23 de octubre. Texto refundido de la Ley del estatuto de los trabajadores</w:t>
      </w:r>
    </w:p>
    <w:p w:rsidR="00427CF1" w:rsidRDefault="00427CF1" w:rsidP="00427CF1">
      <w:pPr>
        <w:pStyle w:val="SangriaFrancesaArticulo"/>
      </w:pPr>
      <w:r w:rsidRPr="00427CF1">
        <w:rPr>
          <w:rStyle w:val="TextoNormalNegritaCaracter"/>
        </w:rPr>
        <w:t>Artículo 4.2 a).</w:t>
      </w:r>
      <w:r w:rsidRPr="00427CF1">
        <w:rPr>
          <w:rStyle w:val="TextoNormalCaracter"/>
        </w:rPr>
        <w:t>-</w:t>
      </w:r>
      <w:r>
        <w:t xml:space="preserve"> Sentencia </w:t>
      </w:r>
      <w:hyperlink w:anchor="SENTENCIA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59" w:history="1">
        <w:r w:rsidRPr="00427CF1">
          <w:rPr>
            <w:rStyle w:val="TextoNormalCaracter"/>
          </w:rPr>
          <w:t>159/2016</w:t>
        </w:r>
      </w:hyperlink>
      <w:r>
        <w:t>, f. 7.</w:t>
      </w:r>
    </w:p>
    <w:p w:rsidR="00427CF1" w:rsidRDefault="00427CF1" w:rsidP="00427CF1">
      <w:pPr>
        <w:pStyle w:val="SangriaFrancesaArticulo"/>
      </w:pPr>
      <w:r w:rsidRPr="00427CF1">
        <w:rPr>
          <w:rStyle w:val="TextoNormalNegritaCaracter"/>
        </w:rPr>
        <w:t>Artículo 51.2.</w:t>
      </w:r>
      <w:r w:rsidRPr="00427CF1">
        <w:rPr>
          <w:rStyle w:val="TextoNormalCaracter"/>
        </w:rPr>
        <w:t>-</w:t>
      </w:r>
      <w:r>
        <w:t xml:space="preserve"> Sentencia </w:t>
      </w:r>
      <w:hyperlink w:anchor="SENTENCIA_2016_159" w:history="1">
        <w:r w:rsidRPr="00427CF1">
          <w:rPr>
            <w:rStyle w:val="TextoNormalCaracter"/>
          </w:rPr>
          <w:t>159/2016</w:t>
        </w:r>
      </w:hyperlink>
      <w:r>
        <w:t>, f. 7.</w:t>
      </w:r>
    </w:p>
    <w:p w:rsidR="00427CF1" w:rsidRDefault="00427CF1" w:rsidP="00427CF1">
      <w:pPr>
        <w:pStyle w:val="SangriaFrancesaArticulo"/>
      </w:pPr>
      <w:r w:rsidRPr="00427CF1">
        <w:rPr>
          <w:rStyle w:val="TextoNormalNegritaCaracter"/>
        </w:rPr>
        <w:t>Artículo 64.7 a).</w:t>
      </w:r>
      <w:r w:rsidRPr="00427CF1">
        <w:rPr>
          <w:rStyle w:val="TextoNormalCaracter"/>
        </w:rPr>
        <w:t>-</w:t>
      </w:r>
      <w:r>
        <w:t xml:space="preserve"> Sentencia </w:t>
      </w:r>
      <w:hyperlink w:anchor="SENTENCIA_2016_159" w:history="1">
        <w:r w:rsidRPr="00427CF1">
          <w:rPr>
            <w:rStyle w:val="TextoNormalCaracter"/>
          </w:rPr>
          <w:t>159/2016</w:t>
        </w:r>
      </w:hyperlink>
      <w:r>
        <w:t>, f. 5.</w:t>
      </w:r>
    </w:p>
    <w:p w:rsidR="00427CF1" w:rsidRDefault="00427CF1" w:rsidP="00427CF1">
      <w:pPr>
        <w:pStyle w:val="SangriaFrancesaArticulo"/>
      </w:pPr>
      <w:r w:rsidRPr="00427CF1">
        <w:rPr>
          <w:rStyle w:val="TextoNormalNegritaCaracter"/>
        </w:rPr>
        <w:t>Artículo 64.9.</w:t>
      </w:r>
      <w:r w:rsidRPr="00427CF1">
        <w:rPr>
          <w:rStyle w:val="TextoNormalCaracter"/>
        </w:rPr>
        <w:t>-</w:t>
      </w:r>
      <w:r>
        <w:t xml:space="preserve"> Sentencia </w:t>
      </w:r>
      <w:hyperlink w:anchor="SENTENCIA_2016_159" w:history="1">
        <w:r w:rsidRPr="00427CF1">
          <w:rPr>
            <w:rStyle w:val="TextoNormalCaracter"/>
          </w:rPr>
          <w:t>159/2016</w:t>
        </w:r>
      </w:hyperlink>
      <w:r>
        <w:t>, f. 5.</w:t>
      </w:r>
    </w:p>
    <w:p w:rsidR="00427CF1" w:rsidRDefault="00427CF1" w:rsidP="00427CF1">
      <w:pPr>
        <w:pStyle w:val="SangriaFrancesaArticulo"/>
      </w:pPr>
      <w:r w:rsidRPr="00427CF1">
        <w:rPr>
          <w:rStyle w:val="TextoNormalNegritaCaracter"/>
        </w:rPr>
        <w:t>Artículo 89.</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r w:rsidRPr="00427CF1">
        <w:rPr>
          <w:rStyle w:val="TextoNormalNegritaCaracter"/>
        </w:rPr>
        <w:t>Artículo 90.</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p>
    <w:p w:rsidR="00427CF1" w:rsidRDefault="00427CF1" w:rsidP="00427CF1">
      <w:pPr>
        <w:pStyle w:val="TextoNormalNegritaCursivandice"/>
      </w:pPr>
      <w:r>
        <w:t>Real Decreto Legislativo 3/2015, de 23 de octubre. Aprueba el texto refundido de la Ley de empleo</w:t>
      </w:r>
    </w:p>
    <w:p w:rsidR="00427CF1" w:rsidRDefault="00427CF1" w:rsidP="00427CF1">
      <w:pPr>
        <w:pStyle w:val="SangriaFrancesaArticulo"/>
      </w:pPr>
      <w:r w:rsidRPr="00427CF1">
        <w:rPr>
          <w:rStyle w:val="TextoNormalNegritaCaracter"/>
        </w:rPr>
        <w:t>Artículo 18 h).</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21.4.</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p>
    <w:p w:rsidR="00427CF1" w:rsidRDefault="00427CF1" w:rsidP="00427CF1">
      <w:pPr>
        <w:pStyle w:val="TextoNormalNegritaCursivandice"/>
      </w:pPr>
      <w:r>
        <w:t>Real Decreto Legislativo 5/2015, de 30 de octubre. Aprueba el texto refundido de la Ley del estatuto básico del empleado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8" w:history="1">
        <w:r w:rsidRPr="00427CF1">
          <w:rPr>
            <w:rStyle w:val="TextoNormalCaracter"/>
          </w:rPr>
          <w:t>158/2016</w:t>
        </w:r>
      </w:hyperlink>
      <w:r>
        <w:t>, f. 2.</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83" w:history="1">
        <w:r w:rsidRPr="00427CF1">
          <w:rPr>
            <w:rStyle w:val="TextoNormalCaracter"/>
          </w:rPr>
          <w:t>183/2016</w:t>
        </w:r>
      </w:hyperlink>
      <w:r>
        <w:t>, f. 4.</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 </w:t>
      </w:r>
      <w:hyperlink w:anchor="SENTENCIA_2016_183" w:history="1">
        <w:r w:rsidRPr="00427CF1">
          <w:rPr>
            <w:rStyle w:val="TextoNormalCaracter"/>
          </w:rPr>
          <w:t>183/2016</w:t>
        </w:r>
      </w:hyperlink>
      <w:r>
        <w:t>, f. 4.</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Sentencia </w:t>
      </w:r>
      <w:hyperlink w:anchor="SENTENCIA_2016_158" w:history="1">
        <w:r w:rsidRPr="00427CF1">
          <w:rPr>
            <w:rStyle w:val="TextoNormalCaracter"/>
          </w:rPr>
          <w:t>158/2016</w:t>
        </w:r>
      </w:hyperlink>
      <w:r>
        <w:t>, f. 2.</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58" w:history="1">
        <w:r w:rsidRPr="00427CF1">
          <w:rPr>
            <w:rStyle w:val="TextoNormalCaracter"/>
          </w:rPr>
          <w:t>158/2016</w:t>
        </w:r>
      </w:hyperlink>
      <w:r>
        <w:t>, f. 2.</w:t>
      </w:r>
    </w:p>
    <w:p w:rsidR="00427CF1" w:rsidRDefault="00427CF1" w:rsidP="00427CF1">
      <w:pPr>
        <w:pStyle w:val="SangriaFrancesaArticulo"/>
      </w:pPr>
      <w:r w:rsidRPr="00427CF1">
        <w:rPr>
          <w:rStyle w:val="TextoNormalNegritaCaracter"/>
        </w:rPr>
        <w:t>Artículo 97.</w:t>
      </w:r>
      <w:r w:rsidRPr="00427CF1">
        <w:rPr>
          <w:rStyle w:val="TextoNormalCaracter"/>
        </w:rPr>
        <w:t>-</w:t>
      </w:r>
      <w:r>
        <w:t xml:space="preserve"> Sentencia </w:t>
      </w:r>
      <w:hyperlink w:anchor="SENTENCIA_2016_204" w:history="1">
        <w:r w:rsidRPr="00427CF1">
          <w:rPr>
            <w:rStyle w:val="TextoNormalCaracter"/>
          </w:rPr>
          <w:t>204/2016</w:t>
        </w:r>
      </w:hyperlink>
      <w:r>
        <w:t>, f. 2, VP II.</w:t>
      </w:r>
    </w:p>
    <w:p w:rsidR="00427CF1" w:rsidRDefault="00427CF1" w:rsidP="00427CF1">
      <w:pPr>
        <w:pStyle w:val="SangriaFrancesaArticulo"/>
      </w:pPr>
      <w:r w:rsidRPr="00427CF1">
        <w:rPr>
          <w:rStyle w:val="TextoNormalNegritaCaracter"/>
        </w:rPr>
        <w:t>Disposición transitoria cuarta.</w:t>
      </w:r>
      <w:r w:rsidRPr="00427CF1">
        <w:rPr>
          <w:rStyle w:val="TextoNormalCaracter"/>
        </w:rPr>
        <w:t>-</w:t>
      </w:r>
      <w:r>
        <w:t xml:space="preserve"> Sentencia </w:t>
      </w:r>
      <w:hyperlink w:anchor="SENTENCIA_2016_193" w:history="1">
        <w:r w:rsidRPr="00427CF1">
          <w:rPr>
            <w:rStyle w:val="TextoNormalCaracter"/>
          </w:rPr>
          <w:t>193/2016</w:t>
        </w:r>
      </w:hyperlink>
      <w:r>
        <w:t>, f. 5.</w:t>
      </w:r>
    </w:p>
    <w:p w:rsidR="00427CF1" w:rsidRDefault="00427CF1" w:rsidP="00427CF1">
      <w:pPr>
        <w:pStyle w:val="SangriaFrancesaArticulo"/>
      </w:pPr>
    </w:p>
    <w:p w:rsidR="00427CF1" w:rsidRDefault="00427CF1" w:rsidP="00427CF1">
      <w:pPr>
        <w:pStyle w:val="TextoNormalNegritaCursivandice"/>
      </w:pPr>
      <w:r>
        <w:t>Real Decreto Legislativo 6/2015, de 30 de octubre. Aprueba el texto refundido de la Ley sobre tráfico, circulación de vehículos a motor y seguridad vial</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p>
    <w:p w:rsidR="00427CF1" w:rsidRDefault="00427CF1" w:rsidP="00427CF1">
      <w:pPr>
        <w:pStyle w:val="TextoNormalNegritaCursivandice"/>
      </w:pPr>
      <w:r>
        <w:t>Real Decreto Legislativo 7/2015, de 30 de octubre. Texto refundido de la Ley de suelo y rehabilitación urbana</w:t>
      </w:r>
    </w:p>
    <w:p w:rsidR="00427CF1" w:rsidRDefault="00427CF1" w:rsidP="00427CF1">
      <w:pPr>
        <w:pStyle w:val="SangriaFrancesaArticulo"/>
      </w:pPr>
      <w:r w:rsidRPr="00427CF1">
        <w:rPr>
          <w:rStyle w:val="TextoNormalNegritaCaracter"/>
        </w:rPr>
        <w:t>Artículo 11.3.</w:t>
      </w:r>
      <w:r w:rsidRPr="00427CF1">
        <w:rPr>
          <w:rStyle w:val="TextoNormalCaracter"/>
        </w:rPr>
        <w:t>-</w:t>
      </w:r>
      <w:r>
        <w:t xml:space="preserve"> Sentencia </w:t>
      </w:r>
      <w:hyperlink w:anchor="SENTENCIA_2016_175" w:history="1">
        <w:r w:rsidRPr="00427CF1">
          <w:rPr>
            <w:rStyle w:val="TextoNormalCaracter"/>
          </w:rPr>
          <w:t>175/2016</w:t>
        </w:r>
      </w:hyperlink>
      <w:r>
        <w:t>, f. 4.</w:t>
      </w:r>
    </w:p>
    <w:p w:rsidR="00427CF1" w:rsidRDefault="00427CF1" w:rsidP="00427CF1">
      <w:pPr>
        <w:pStyle w:val="SangriaFrancesaArticulo"/>
      </w:pPr>
    </w:p>
    <w:p w:rsidR="00427CF1" w:rsidRDefault="00427CF1" w:rsidP="00427CF1">
      <w:pPr>
        <w:pStyle w:val="TextoNormalNegritaCursivandice"/>
      </w:pPr>
      <w:r>
        <w:t>Real Decreto Legislativo 8/2015, de 30 de octubre. Texto refundido de la Ley general de la Seguridad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Capítulo V, Título I.</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Artículo 42.1 a).</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Artículo 109.3 b).</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Artículo 174.3.</w:t>
      </w:r>
      <w:r w:rsidRPr="00427CF1">
        <w:rPr>
          <w:rStyle w:val="TextoNormalCaracter"/>
        </w:rPr>
        <w:t>-</w:t>
      </w:r>
      <w:r>
        <w:t xml:space="preserve"> Auto </w:t>
      </w:r>
      <w:hyperlink w:anchor="AUTO_2016_142" w:history="1">
        <w:r w:rsidRPr="00427CF1">
          <w:rPr>
            <w:rStyle w:val="TextoNormalCaracter"/>
          </w:rPr>
          <w:t>142/2016</w:t>
        </w:r>
      </w:hyperlink>
      <w:r>
        <w:t>, f. 3.</w:t>
      </w:r>
    </w:p>
    <w:p w:rsidR="00427CF1" w:rsidRDefault="00427CF1" w:rsidP="00427CF1">
      <w:pPr>
        <w:pStyle w:val="SangriaFrancesaArticulo"/>
      </w:pPr>
      <w:r w:rsidRPr="00427CF1">
        <w:rPr>
          <w:rStyle w:val="TextoNormalNegritaCaracter"/>
        </w:rPr>
        <w:t>Artículo 219.</w:t>
      </w:r>
      <w:r w:rsidRPr="00427CF1">
        <w:rPr>
          <w:rStyle w:val="TextoNormalCaracter"/>
        </w:rPr>
        <w:t>-</w:t>
      </w:r>
      <w:r>
        <w:t xml:space="preserve"> Auto </w:t>
      </w:r>
      <w:hyperlink w:anchor="AUTO_2016_187" w:history="1">
        <w:r w:rsidRPr="00427CF1">
          <w:rPr>
            <w:rStyle w:val="TextoNormalCaracter"/>
          </w:rPr>
          <w:t>187/2016</w:t>
        </w:r>
      </w:hyperlink>
      <w:r>
        <w:t>, f. 1.</w:t>
      </w:r>
    </w:p>
    <w:p w:rsidR="00427CF1" w:rsidRDefault="00427CF1" w:rsidP="00427CF1">
      <w:pPr>
        <w:pStyle w:val="SangriaFrancesaArticulo"/>
      </w:pPr>
      <w:r w:rsidRPr="00427CF1">
        <w:rPr>
          <w:rStyle w:val="TextoNormalNegritaCaracter"/>
        </w:rPr>
        <w:t>Artículo 274.2 a).</w:t>
      </w:r>
      <w:r w:rsidRPr="00427CF1">
        <w:rPr>
          <w:rStyle w:val="TextoNormalCaracter"/>
        </w:rPr>
        <w:t>-</w:t>
      </w:r>
      <w:r>
        <w:t xml:space="preserve"> Sentencia </w:t>
      </w:r>
      <w:hyperlink w:anchor="SENTENCIA_2016_135" w:history="1">
        <w:r w:rsidRPr="00427CF1">
          <w:rPr>
            <w:rStyle w:val="TextoNormalCaracter"/>
          </w:rPr>
          <w:t>135/2016</w:t>
        </w:r>
      </w:hyperlink>
      <w:r>
        <w:t>, f. 1.</w:t>
      </w:r>
    </w:p>
    <w:p w:rsidR="00427CF1" w:rsidRDefault="00427CF1" w:rsidP="00427CF1">
      <w:pPr>
        <w:pStyle w:val="TextoNormal"/>
      </w:pPr>
    </w:p>
    <w:p w:rsidR="00427CF1" w:rsidRDefault="00427CF1" w:rsidP="00427CF1">
      <w:pPr>
        <w:pStyle w:val="SangriaFrancesaArticulo"/>
      </w:pPr>
      <w:bookmarkStart w:id="194" w:name="INDICE22848"/>
    </w:p>
    <w:bookmarkEnd w:id="194"/>
    <w:p w:rsidR="00427CF1" w:rsidRDefault="00427CF1" w:rsidP="00427CF1">
      <w:pPr>
        <w:pStyle w:val="TextoIndiceNivel2"/>
        <w:suppressAutoHyphens/>
      </w:pPr>
      <w:r>
        <w:t>G) Reales Decretos-leyes</w:t>
      </w:r>
    </w:p>
    <w:p w:rsidR="00427CF1" w:rsidRDefault="00427CF1" w:rsidP="00427CF1">
      <w:pPr>
        <w:pStyle w:val="TextoIndiceNivel2"/>
      </w:pPr>
    </w:p>
    <w:p w:rsidR="00427CF1" w:rsidRDefault="00427CF1" w:rsidP="00427CF1">
      <w:pPr>
        <w:pStyle w:val="TextoNormalNegritaCursivandice"/>
      </w:pPr>
      <w:r>
        <w:t>Real Decreto-ley 5/2000, de 23 de junio. Medidas urgentes de contención del gasto farmacéutico público de racionalización del uso de los medicamentos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 4; </w:t>
      </w:r>
      <w:hyperlink w:anchor="SENTENCIA_2016_196" w:history="1">
        <w:r w:rsidRPr="00427CF1">
          <w:rPr>
            <w:rStyle w:val="TextoNormalCaracter"/>
          </w:rPr>
          <w:t>196/2016</w:t>
        </w:r>
      </w:hyperlink>
      <w:r>
        <w:t xml:space="preserve">, f. 3; </w:t>
      </w:r>
      <w:hyperlink w:anchor="SENTENCIA_2016_198" w:history="1">
        <w:r w:rsidRPr="00427CF1">
          <w:rPr>
            <w:rStyle w:val="TextoNormalCaracter"/>
          </w:rPr>
          <w:t>198/2016</w:t>
        </w:r>
      </w:hyperlink>
      <w:r>
        <w:t>, f. 3.</w:t>
      </w:r>
    </w:p>
    <w:p w:rsidR="00427CF1" w:rsidRDefault="00427CF1" w:rsidP="00427CF1">
      <w:pPr>
        <w:pStyle w:val="SangriaFrancesaArticulo"/>
      </w:pPr>
    </w:p>
    <w:p w:rsidR="00427CF1" w:rsidRDefault="00427CF1" w:rsidP="00427CF1">
      <w:pPr>
        <w:pStyle w:val="TextoNormalNegritaCursivandice"/>
      </w:pPr>
      <w:r>
        <w:t>Real Decreto-ley 6/2000, de 23 de junio.  Medidas urgentes de intensificación de la competencia en mercados de bienes y servicios</w:t>
      </w:r>
    </w:p>
    <w:p w:rsidR="00427CF1" w:rsidRDefault="00427CF1" w:rsidP="00427CF1">
      <w:pPr>
        <w:pStyle w:val="SangriaFrancesaArticulo"/>
      </w:pPr>
      <w:r w:rsidRPr="00427CF1">
        <w:rPr>
          <w:rStyle w:val="TextoNormalNegritaCaracter"/>
        </w:rPr>
        <w:t>Artículo 43</w:t>
      </w:r>
      <w:r>
        <w:t xml:space="preserve"> (derogado por la Ley 1/2004, de 21 de diciembre)</w:t>
      </w:r>
      <w:r w:rsidRPr="00427CF1">
        <w:rPr>
          <w:rStyle w:val="TextoNormalNegritaCaracter"/>
        </w:rPr>
        <w:t>.</w:t>
      </w:r>
      <w:r w:rsidRPr="00427CF1">
        <w:rPr>
          <w:rStyle w:val="TextoNormalCaracter"/>
        </w:rPr>
        <w:t>-</w:t>
      </w:r>
      <w:r>
        <w:t xml:space="preserve"> Sentencia </w:t>
      </w:r>
      <w:hyperlink w:anchor="SENTENCIA_2016_195" w:history="1">
        <w:r w:rsidRPr="00427CF1">
          <w:rPr>
            <w:rStyle w:val="TextoNormalCaracter"/>
          </w:rPr>
          <w:t>195/2016</w:t>
        </w:r>
      </w:hyperlink>
      <w:r>
        <w:t>, VP I.</w:t>
      </w:r>
    </w:p>
    <w:p w:rsidR="00427CF1" w:rsidRDefault="00427CF1" w:rsidP="00427CF1">
      <w:pPr>
        <w:pStyle w:val="SangriaFrancesaArticulo"/>
      </w:pPr>
    </w:p>
    <w:p w:rsidR="00427CF1" w:rsidRDefault="00427CF1" w:rsidP="00427CF1">
      <w:pPr>
        <w:pStyle w:val="TextoNormalNegritaCursivandice"/>
      </w:pPr>
      <w:r>
        <w:t>Real Decreto-ley 2/2003, de 25 de abril. Medidas de reforma económica</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Real Decreto-ley 2/2004, de 18 de junio. Modificación de la Ley 10/2001, de 5 de julio. Plan hidrológico nacional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4.</w:t>
      </w:r>
    </w:p>
    <w:p w:rsidR="00427CF1" w:rsidRDefault="00427CF1" w:rsidP="00427CF1">
      <w:pPr>
        <w:pStyle w:val="SangriaFrancesaArticulo"/>
      </w:pPr>
    </w:p>
    <w:p w:rsidR="00427CF1" w:rsidRDefault="00427CF1" w:rsidP="00427CF1">
      <w:pPr>
        <w:pStyle w:val="TextoNormalNegritaCursivandice"/>
      </w:pPr>
      <w:r>
        <w:t>Real Decreto-ley 5/2005, de 11 de marzo. Reformas urgentes para el impulso a la productividad y para la mejora de la contratación pública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Real Decreto-ley 13/2005, de 28 de octubre. Modificación de la Ley 4/1986, de 8 de enero, de cesión de bienes del patrimonio sindical acumulado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5" w:history="1">
        <w:r w:rsidRPr="00427CF1">
          <w:rPr>
            <w:rStyle w:val="TextoNormalCaracter"/>
          </w:rPr>
          <w:t>125/2016</w:t>
        </w:r>
      </w:hyperlink>
      <w:r>
        <w:t>, ff. 1, 2, 5.</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25" w:history="1">
        <w:r w:rsidRPr="00427CF1">
          <w:rPr>
            <w:rStyle w:val="TextoNormalCaracter"/>
          </w:rPr>
          <w:t>125/2016</w:t>
        </w:r>
      </w:hyperlink>
      <w:r>
        <w:t>, ff. 3, 4.</w:t>
      </w:r>
    </w:p>
    <w:p w:rsidR="00427CF1" w:rsidRDefault="00427CF1" w:rsidP="00427CF1">
      <w:pPr>
        <w:pStyle w:val="SangriaFrancesaArticulo"/>
      </w:pPr>
    </w:p>
    <w:p w:rsidR="00427CF1" w:rsidRDefault="00427CF1" w:rsidP="00427CF1">
      <w:pPr>
        <w:pStyle w:val="TextoNormalNegritaCursivandice"/>
      </w:pPr>
      <w:r>
        <w:t>Real Decreto-ley 6/2009, de 30 de abril. Adopción de determinadas medidas en el sector energético y se aprueba el bono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Real Decreto-ley 6/2010, de 9 de abril. Medidas para el impulso de la recuperación económica y el empleo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 3; </w:t>
      </w:r>
      <w:hyperlink w:anchor="SENTENCIA_2016_196" w:history="1">
        <w:r w:rsidRPr="00427CF1">
          <w:rPr>
            <w:rStyle w:val="TextoNormalCaracter"/>
          </w:rPr>
          <w:t>196/2016</w:t>
        </w:r>
      </w:hyperlink>
      <w:r>
        <w:t>, f. 3.</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98" w:history="1">
        <w:r w:rsidRPr="00427CF1">
          <w:rPr>
            <w:rStyle w:val="TextoNormalCaracter"/>
          </w:rPr>
          <w:t>198/2016</w:t>
        </w:r>
      </w:hyperlink>
      <w:r>
        <w:t>, f. 3.</w:t>
      </w:r>
    </w:p>
    <w:p w:rsidR="00427CF1" w:rsidRDefault="00427CF1" w:rsidP="00427CF1">
      <w:pPr>
        <w:pStyle w:val="SangriaFrancesaArticulo"/>
      </w:pPr>
    </w:p>
    <w:p w:rsidR="00427CF1" w:rsidRDefault="00427CF1" w:rsidP="00427CF1">
      <w:pPr>
        <w:pStyle w:val="TextoNormalNegritaCursivandice"/>
      </w:pPr>
      <w:r>
        <w:t>Real Decreto-ley 8/2010, de 20 de mayo. Medidas extraordinarias para la reducción del déficit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97" w:history="1">
        <w:r w:rsidRPr="00427CF1">
          <w:rPr>
            <w:rStyle w:val="TextoNormalCaracter"/>
          </w:rPr>
          <w:t>197/2016</w:t>
        </w:r>
      </w:hyperlink>
      <w:r>
        <w:t>, f. 6.</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97" w:history="1">
        <w:r w:rsidRPr="00427CF1">
          <w:rPr>
            <w:rStyle w:val="TextoNormalCaracter"/>
          </w:rPr>
          <w:t>197/2016</w:t>
        </w:r>
      </w:hyperlink>
      <w:r>
        <w:t>, f. 6.</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64" w:history="1">
        <w:r w:rsidRPr="00427CF1">
          <w:rPr>
            <w:rStyle w:val="TextoNormalCaracter"/>
          </w:rPr>
          <w:t>164/2016</w:t>
        </w:r>
      </w:hyperlink>
      <w:r>
        <w:t>, ff. 3, 4.</w:t>
      </w:r>
    </w:p>
    <w:p w:rsidR="00427CF1" w:rsidRDefault="00427CF1" w:rsidP="00427CF1">
      <w:pPr>
        <w:pStyle w:val="SangriaFrancesaArticulo"/>
      </w:pPr>
      <w:r w:rsidRPr="00427CF1">
        <w:rPr>
          <w:rStyle w:val="TextoNormalNegritaCaracter"/>
        </w:rPr>
        <w:t>Disposición adicional.</w:t>
      </w:r>
      <w:r w:rsidRPr="00427CF1">
        <w:rPr>
          <w:rStyle w:val="TextoNormalCaracter"/>
        </w:rPr>
        <w:t>-</w:t>
      </w:r>
      <w:r>
        <w:t xml:space="preserve"> Auto </w:t>
      </w:r>
      <w:hyperlink w:anchor="AUTO_2016_197" w:history="1">
        <w:r w:rsidRPr="00427CF1">
          <w:rPr>
            <w:rStyle w:val="TextoNormalCaracter"/>
          </w:rPr>
          <w:t>197/2016</w:t>
        </w:r>
      </w:hyperlink>
      <w:r>
        <w:t>, f. 6.</w:t>
      </w:r>
    </w:p>
    <w:p w:rsidR="00427CF1" w:rsidRDefault="00427CF1" w:rsidP="00427CF1">
      <w:pPr>
        <w:pStyle w:val="SangriaFrancesaArticulo"/>
      </w:pPr>
      <w:r w:rsidRPr="00427CF1">
        <w:rPr>
          <w:rStyle w:val="TextoNormalNegritaCaracter"/>
        </w:rPr>
        <w:t>Disposición adicional novena.</w:t>
      </w:r>
      <w:r w:rsidRPr="00427CF1">
        <w:rPr>
          <w:rStyle w:val="TextoNormalCaracter"/>
        </w:rPr>
        <w:t>-</w:t>
      </w:r>
      <w:r>
        <w:t xml:space="preserve"> Sentencia </w:t>
      </w:r>
      <w:hyperlink w:anchor="SENTENCIA_2016_164" w:history="1">
        <w:r w:rsidRPr="00427CF1">
          <w:rPr>
            <w:rStyle w:val="TextoNormalCaracter"/>
          </w:rPr>
          <w:t>164/2016</w:t>
        </w:r>
      </w:hyperlink>
      <w:r>
        <w:t>, ff. 1, 3 a 7.</w:t>
      </w:r>
    </w:p>
    <w:p w:rsidR="00427CF1" w:rsidRDefault="00427CF1" w:rsidP="00427CF1">
      <w:pPr>
        <w:pStyle w:val="SangriaIzquierdaArticulo"/>
      </w:pPr>
      <w:r>
        <w:t xml:space="preserve">Autos </w:t>
      </w:r>
      <w:hyperlink w:anchor="AUTO_2016_159" w:history="1">
        <w:r w:rsidRPr="00427CF1">
          <w:rPr>
            <w:rStyle w:val="TextoNormalCaracter"/>
          </w:rPr>
          <w:t>159/2016</w:t>
        </w:r>
      </w:hyperlink>
      <w:r>
        <w:t xml:space="preserve">, f. 3; </w:t>
      </w:r>
      <w:hyperlink w:anchor="AUTO_2016_197" w:history="1">
        <w:r w:rsidRPr="00427CF1">
          <w:rPr>
            <w:rStyle w:val="TextoNormalCaracter"/>
          </w:rPr>
          <w:t>197/2016</w:t>
        </w:r>
      </w:hyperlink>
      <w:r>
        <w:t>, f. 6.</w:t>
      </w:r>
    </w:p>
    <w:p w:rsidR="00427CF1" w:rsidRDefault="00427CF1" w:rsidP="00427CF1">
      <w:pPr>
        <w:pStyle w:val="SangriaIzquierdaArticulo"/>
      </w:pPr>
    </w:p>
    <w:p w:rsidR="00427CF1" w:rsidRDefault="00427CF1" w:rsidP="00427CF1">
      <w:pPr>
        <w:pStyle w:val="TextoNormalNegritaCursivandice"/>
      </w:pPr>
      <w:r>
        <w:t>Real Decreto-ley 13/2010, de 3 de diciembre. Actuaciones en el ámbito fiscal, laboral y liberalizadoras para fomentar la inversión y la creación de empleo</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Real Decreto-ley 14/2010, de 23 de diciembre. Medidas urgentes para la corrección del déficit tarifario del sector eléctrico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ff. 3, 6; </w:t>
      </w:r>
      <w:hyperlink w:anchor="SENTENCIA_2016_196" w:history="1">
        <w:r w:rsidRPr="00427CF1">
          <w:rPr>
            <w:rStyle w:val="TextoNormalCaracter"/>
          </w:rPr>
          <w:t>196/2016</w:t>
        </w:r>
      </w:hyperlink>
      <w:r>
        <w:t xml:space="preserve">, ff. 3, 4; </w:t>
      </w:r>
      <w:hyperlink w:anchor="SENTENCIA_2016_198" w:history="1">
        <w:r w:rsidRPr="00427CF1">
          <w:rPr>
            <w:rStyle w:val="TextoNormalCaracter"/>
          </w:rPr>
          <w:t>198/2016</w:t>
        </w:r>
      </w:hyperlink>
      <w:r>
        <w:t>, f. 4.</w:t>
      </w:r>
    </w:p>
    <w:p w:rsidR="00427CF1" w:rsidRDefault="00427CF1" w:rsidP="00427CF1">
      <w:pPr>
        <w:pStyle w:val="SangriaFrancesaArticulo"/>
      </w:pPr>
      <w:r w:rsidRPr="00427CF1">
        <w:rPr>
          <w:rStyle w:val="TextoNormalNegritaCaracter"/>
        </w:rPr>
        <w:t>Exposición de motivos, apartado 4.</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Sentencias </w:t>
      </w:r>
      <w:hyperlink w:anchor="SENTENCIA_2016_167" w:history="1">
        <w:r w:rsidRPr="00427CF1">
          <w:rPr>
            <w:rStyle w:val="TextoNormalCaracter"/>
          </w:rPr>
          <w:t>167/2016</w:t>
        </w:r>
      </w:hyperlink>
      <w:r>
        <w:t xml:space="preserve">, ff. 1 a 4, 6, 7; </w:t>
      </w:r>
      <w:hyperlink w:anchor="SENTENCIA_2016_174" w:history="1">
        <w:r w:rsidRPr="00427CF1">
          <w:rPr>
            <w:rStyle w:val="TextoNormalCaracter"/>
          </w:rPr>
          <w:t>174/2016</w:t>
        </w:r>
      </w:hyperlink>
      <w:r>
        <w:t xml:space="preserve">, ff. 1 a 3; </w:t>
      </w:r>
      <w:hyperlink w:anchor="SENTENCIA_2016_187" w:history="1">
        <w:r w:rsidRPr="00427CF1">
          <w:rPr>
            <w:rStyle w:val="TextoNormalCaracter"/>
          </w:rPr>
          <w:t>187/2016</w:t>
        </w:r>
      </w:hyperlink>
      <w:r>
        <w:t xml:space="preserve">, ff. 1 a 3; </w:t>
      </w:r>
      <w:hyperlink w:anchor="SENTENCIA_2016_188" w:history="1">
        <w:r w:rsidRPr="00427CF1">
          <w:rPr>
            <w:rStyle w:val="TextoNormalCaracter"/>
          </w:rPr>
          <w:t>188/2016</w:t>
        </w:r>
      </w:hyperlink>
      <w:r>
        <w:t xml:space="preserve">, ff. 1 a 3; </w:t>
      </w:r>
      <w:hyperlink w:anchor="SENTENCIA_2016_196" w:history="1">
        <w:r w:rsidRPr="00427CF1">
          <w:rPr>
            <w:rStyle w:val="TextoNormalCaracter"/>
          </w:rPr>
          <w:t>196/2016</w:t>
        </w:r>
      </w:hyperlink>
      <w:r>
        <w:t xml:space="preserve">, ff. 3, 4; </w:t>
      </w:r>
      <w:hyperlink w:anchor="SENTENCIA_2016_197" w:history="1">
        <w:r w:rsidRPr="00427CF1">
          <w:rPr>
            <w:rStyle w:val="TextoNormalCaracter"/>
          </w:rPr>
          <w:t>197/2016</w:t>
        </w:r>
      </w:hyperlink>
      <w:r>
        <w:t xml:space="preserve">, ff. 1 a 3; </w:t>
      </w:r>
      <w:hyperlink w:anchor="SENTENCIA_2016_198" w:history="1">
        <w:r w:rsidRPr="00427CF1">
          <w:rPr>
            <w:rStyle w:val="TextoNormalCaracter"/>
          </w:rPr>
          <w:t>198/2016</w:t>
        </w:r>
      </w:hyperlink>
      <w:r>
        <w:t>, ff. 3, 4.</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Real Decreto-ley 3/2011, de 18 de febrero. Medidas urgentes para la mejora de la empleabilidad y la reforma de las políticas activas de empleo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p>
    <w:p w:rsidR="00427CF1" w:rsidRDefault="00427CF1" w:rsidP="00427CF1">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55" w:history="1">
        <w:r w:rsidRPr="00427CF1">
          <w:rPr>
            <w:rStyle w:val="TextoNormalCaracter"/>
          </w:rPr>
          <w:t>155/2016</w:t>
        </w:r>
      </w:hyperlink>
      <w:r>
        <w:t>, f. 5.</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 </w:t>
      </w:r>
      <w:hyperlink w:anchor="SENTENCIA_2016_155" w:history="1">
        <w:r w:rsidRPr="00427CF1">
          <w:rPr>
            <w:rStyle w:val="TextoNormalCaracter"/>
          </w:rPr>
          <w:t>155/2016</w:t>
        </w:r>
      </w:hyperlink>
      <w:r>
        <w:t>, f. 5.</w:t>
      </w:r>
    </w:p>
    <w:p w:rsidR="00427CF1" w:rsidRDefault="00427CF1" w:rsidP="00427CF1">
      <w:pPr>
        <w:pStyle w:val="SangriaFrancesaArticulo"/>
      </w:pPr>
    </w:p>
    <w:p w:rsidR="00427CF1" w:rsidRDefault="00427CF1" w:rsidP="00427CF1">
      <w:pPr>
        <w:pStyle w:val="TextoNormalNegritaCursivandice"/>
      </w:pPr>
      <w:r>
        <w:t>Real Decreto-ley 9/2011, de 19 de agosto. Medidas para la mejora de la calidad y cohesión del sistema nacional de salud, de contribución a la consolidación fiscal, y de elevación del importe máximo de los avales del Estado para 2011</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0" w:history="1">
        <w:r w:rsidRPr="00427CF1">
          <w:rPr>
            <w:rStyle w:val="TextoNormalCaracter"/>
          </w:rPr>
          <w:t>210/2016</w:t>
        </w:r>
      </w:hyperlink>
      <w:r>
        <w:t>, f. 8.</w:t>
      </w:r>
    </w:p>
    <w:p w:rsidR="00427CF1" w:rsidRDefault="00427CF1" w:rsidP="00427CF1">
      <w:pPr>
        <w:pStyle w:val="SangriaFrancesaArticulo"/>
      </w:pPr>
    </w:p>
    <w:p w:rsidR="00427CF1" w:rsidRDefault="00427CF1" w:rsidP="00427CF1">
      <w:pPr>
        <w:pStyle w:val="TextoNormalNegritaCursivandice"/>
      </w:pPr>
      <w:r>
        <w:t>Real Decreto-ley 20/2011, de 30 de diciembre. Medidas urgentes en materia presupuestaria, tributaria y financiera para la corrección del déficit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3" w:history="1">
        <w:r w:rsidRPr="00427CF1">
          <w:rPr>
            <w:rStyle w:val="TextoNormalCaracter"/>
          </w:rPr>
          <w:t>193/2016</w:t>
        </w:r>
      </w:hyperlink>
      <w:r>
        <w:t>, ff. 3, 4.</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93" w:history="1">
        <w:r w:rsidRPr="00427CF1">
          <w:rPr>
            <w:rStyle w:val="TextoNormalCaracter"/>
          </w:rPr>
          <w:t>193/2016</w:t>
        </w:r>
      </w:hyperlink>
      <w:r>
        <w:t>, f. 2.</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93" w:history="1">
        <w:r w:rsidRPr="00427CF1">
          <w:rPr>
            <w:rStyle w:val="TextoNormalCaracter"/>
          </w:rPr>
          <w:t>193/2016</w:t>
        </w:r>
      </w:hyperlink>
      <w:r>
        <w:t>, ff. 1, 3 a 5.</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93" w:history="1">
        <w:r w:rsidRPr="00427CF1">
          <w:rPr>
            <w:rStyle w:val="TextoNormalCaracter"/>
          </w:rPr>
          <w:t>193/2016</w:t>
        </w:r>
      </w:hyperlink>
      <w:r>
        <w:t>, ff. 3 a 5.</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93" w:history="1">
        <w:r w:rsidRPr="00427CF1">
          <w:rPr>
            <w:rStyle w:val="TextoNormalCaracter"/>
          </w:rPr>
          <w:t>193/2016</w:t>
        </w:r>
      </w:hyperlink>
      <w:r>
        <w:t>, f. 3.</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 </w:t>
      </w:r>
      <w:hyperlink w:anchor="SENTENCIA_2016_193" w:history="1">
        <w:r w:rsidRPr="00427CF1">
          <w:rPr>
            <w:rStyle w:val="TextoNormalCaracter"/>
          </w:rPr>
          <w:t>193/2016</w:t>
        </w:r>
      </w:hyperlink>
      <w:r>
        <w:t>, ff. 3 a 5.</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193" w:history="1">
        <w:r w:rsidRPr="00427CF1">
          <w:rPr>
            <w:rStyle w:val="TextoNormalCaracter"/>
          </w:rPr>
          <w:t>193/2016</w:t>
        </w:r>
      </w:hyperlink>
      <w:r>
        <w:t>, f. 4.</w:t>
      </w:r>
    </w:p>
    <w:p w:rsidR="00427CF1" w:rsidRDefault="00427CF1" w:rsidP="00427CF1">
      <w:pPr>
        <w:pStyle w:val="SangriaFrancesaArticulo"/>
      </w:pPr>
    </w:p>
    <w:p w:rsidR="00427CF1" w:rsidRDefault="00427CF1" w:rsidP="00427CF1">
      <w:pPr>
        <w:pStyle w:val="TextoNormalNegritaCursivandice"/>
      </w:pPr>
      <w:r>
        <w:t>Real Decreto-ley 1/2012, de 27 de enero. Suspensión de los procedimientos de preasignación de retribución y supresión de los incentivos económicos para nuevas instalaciones de producción de energía eléctrica a partir de cogeneración, fuentes de energía renovables y residuos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Real Decreto-ley 3/2012, de 10 de febrero. Medidas urgentes para la reforma del mercado laboral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6" w:history="1">
        <w:r w:rsidRPr="00427CF1">
          <w:rPr>
            <w:rStyle w:val="TextoNormalCaracter"/>
          </w:rPr>
          <w:t>176/2016</w:t>
        </w:r>
      </w:hyperlink>
      <w:r>
        <w:t>, ff. 1, 3.</w:t>
      </w:r>
    </w:p>
    <w:p w:rsidR="00427CF1" w:rsidRDefault="00427CF1" w:rsidP="00427CF1">
      <w:pPr>
        <w:pStyle w:val="SangriaFrancesaArticulo"/>
      </w:pPr>
    </w:p>
    <w:p w:rsidR="00427CF1" w:rsidRDefault="00427CF1" w:rsidP="00427CF1">
      <w:pPr>
        <w:pStyle w:val="TextoNormalNegritaCursivandice"/>
      </w:pPr>
      <w:r>
        <w:t>Real Decreto-ley 6/2012, de 9 de marzo. Medidas urgentes de protección de deudores hipotecarios sin recursos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 5; </w:t>
      </w:r>
      <w:hyperlink w:anchor="AUTO_2016_160" w:history="1">
        <w:r w:rsidRPr="00427CF1">
          <w:rPr>
            <w:rStyle w:val="TextoNormalCaracter"/>
          </w:rPr>
          <w:t>160/2016</w:t>
        </w:r>
      </w:hyperlink>
      <w:r>
        <w:t>, f. 4.</w:t>
      </w:r>
    </w:p>
    <w:p w:rsidR="00427CF1" w:rsidRDefault="00427CF1" w:rsidP="00427CF1">
      <w:pPr>
        <w:pStyle w:val="SangriaFrancesaArticulo"/>
      </w:pPr>
      <w:r w:rsidRPr="00427CF1">
        <w:rPr>
          <w:rStyle w:val="TextoNormalNegritaCaracter"/>
        </w:rPr>
        <w:t>Artículo 3</w:t>
      </w:r>
      <w:r>
        <w:t xml:space="preserve"> (redactado por la Ley 1/2013, de 4 de mayo)</w:t>
      </w:r>
      <w:r w:rsidRPr="00427CF1">
        <w:rPr>
          <w:rStyle w:val="TextoNormalNegritaCaracter"/>
        </w:rPr>
        <w:t>.</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Artículo 3.1 b) 4º</w:t>
      </w:r>
      <w:r>
        <w:t xml:space="preserve"> (redactado por la Ley 1/2013, de 14 de mayo)</w:t>
      </w:r>
      <w:r w:rsidRPr="00427CF1">
        <w:rPr>
          <w:rStyle w:val="TextoNormalNegritaCaracter"/>
        </w:rPr>
        <w:t>.</w:t>
      </w:r>
      <w:r w:rsidRPr="00427CF1">
        <w:rPr>
          <w:rStyle w:val="TextoNormalCaracter"/>
        </w:rPr>
        <w:t>-</w:t>
      </w:r>
      <w:r>
        <w:t xml:space="preserve"> Sentencia </w:t>
      </w:r>
      <w:hyperlink w:anchor="SENTENCIA_2016_213" w:history="1">
        <w:r w:rsidRPr="00427CF1">
          <w:rPr>
            <w:rStyle w:val="TextoNormalCaracter"/>
          </w:rPr>
          <w:t>213/2016</w:t>
        </w:r>
      </w:hyperlink>
      <w:r>
        <w:t>, f. 1.</w:t>
      </w:r>
    </w:p>
    <w:p w:rsidR="00427CF1" w:rsidRDefault="00427CF1" w:rsidP="00427CF1">
      <w:pPr>
        <w:pStyle w:val="SangriaFrancesaArticulo"/>
      </w:pPr>
    </w:p>
    <w:p w:rsidR="00427CF1" w:rsidRDefault="00427CF1" w:rsidP="00427CF1">
      <w:pPr>
        <w:pStyle w:val="TextoNormalNegritaCursivandice"/>
      </w:pPr>
      <w:r>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ff. 3, 6; </w:t>
      </w:r>
      <w:hyperlink w:anchor="SENTENCIA_2016_181" w:history="1">
        <w:r w:rsidRPr="00427CF1">
          <w:rPr>
            <w:rStyle w:val="TextoNormalCaracter"/>
          </w:rPr>
          <w:t>181/2016</w:t>
        </w:r>
      </w:hyperlink>
      <w:r>
        <w:t>, ff. 2, 3, 5.</w:t>
      </w:r>
    </w:p>
    <w:p w:rsidR="00427CF1" w:rsidRDefault="00427CF1" w:rsidP="00427CF1">
      <w:pPr>
        <w:pStyle w:val="SangriaFrancesaArticulo"/>
      </w:pPr>
      <w:r w:rsidRPr="00427CF1">
        <w:rPr>
          <w:rStyle w:val="TextoNormalNegritaCaracter"/>
        </w:rPr>
        <w:t>Exposición de motivos, apartado VII.</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Exposición de motivos, apartado X.</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81" w:history="1">
        <w:r w:rsidRPr="00427CF1">
          <w:rPr>
            <w:rStyle w:val="TextoNormalCaracter"/>
          </w:rPr>
          <w:t>181/2016</w:t>
        </w:r>
      </w:hyperlink>
      <w:r>
        <w:t>, ff. 1 a 3.</w:t>
      </w:r>
    </w:p>
    <w:p w:rsidR="00427CF1" w:rsidRDefault="00427CF1" w:rsidP="00427CF1">
      <w:pPr>
        <w:pStyle w:val="SangriaFrancesaArticulo"/>
      </w:pPr>
      <w:r w:rsidRPr="00427CF1">
        <w:rPr>
          <w:rStyle w:val="TextoNormalNegritaCaracter"/>
        </w:rPr>
        <w:t>Artículo 5.4.</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Real Decreto-ley 16/2012, de 20 de abril. Medidas urgentes para garantizar la sostenibilidad del sistema nacional de salud y mejorar la calidad y seguridad de sus prestaciones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9" w:history="1">
        <w:r w:rsidRPr="00427CF1">
          <w:rPr>
            <w:rStyle w:val="TextoNormalCaracter"/>
          </w:rPr>
          <w:t>139/2016</w:t>
        </w:r>
      </w:hyperlink>
      <w:r>
        <w:t xml:space="preserve">, ff. 3 a 8, 10, 13, VP I, VP II+; </w:t>
      </w:r>
      <w:hyperlink w:anchor="SENTENCIA_2016_183" w:history="1">
        <w:r w:rsidRPr="00427CF1">
          <w:rPr>
            <w:rStyle w:val="TextoNormalCaracter"/>
          </w:rPr>
          <w:t>183/2016</w:t>
        </w:r>
      </w:hyperlink>
      <w:r>
        <w:t xml:space="preserve">, ff. 3, 6; </w:t>
      </w:r>
      <w:hyperlink w:anchor="SENTENCIA_2016_210" w:history="1">
        <w:r w:rsidRPr="00427CF1">
          <w:rPr>
            <w:rStyle w:val="TextoNormalCaracter"/>
          </w:rPr>
          <w:t>210/2016</w:t>
        </w:r>
      </w:hyperlink>
      <w:r>
        <w:t>, f. 8.</w:t>
      </w:r>
    </w:p>
    <w:p w:rsidR="00427CF1" w:rsidRDefault="00427CF1" w:rsidP="00427CF1">
      <w:pPr>
        <w:pStyle w:val="SangriaFrancesaArticulo"/>
      </w:pPr>
      <w:r w:rsidRPr="00427CF1">
        <w:rPr>
          <w:rStyle w:val="TextoNormalNegritaCaracter"/>
        </w:rPr>
        <w:t>Capítulo I.</w:t>
      </w:r>
      <w:r w:rsidRPr="00427CF1">
        <w:rPr>
          <w:rStyle w:val="TextoNormalCaracter"/>
        </w:rPr>
        <w:t>-</w:t>
      </w:r>
      <w:r>
        <w:t xml:space="preserve"> Sentencia </w:t>
      </w:r>
      <w:hyperlink w:anchor="SENTENCIA_2016_139" w:history="1">
        <w:r w:rsidRPr="00427CF1">
          <w:rPr>
            <w:rStyle w:val="TextoNormalCaracter"/>
          </w:rPr>
          <w:t>139/2016</w:t>
        </w:r>
      </w:hyperlink>
      <w:r>
        <w:t>, f. 4.</w:t>
      </w:r>
    </w:p>
    <w:p w:rsidR="00427CF1" w:rsidRDefault="00427CF1" w:rsidP="00427CF1">
      <w:pPr>
        <w:pStyle w:val="SangriaFrancesaArticulo"/>
      </w:pPr>
      <w:r w:rsidRPr="00427CF1">
        <w:rPr>
          <w:rStyle w:val="TextoNormalNegritaCaracter"/>
        </w:rPr>
        <w:t>Capítulo V.</w:t>
      </w:r>
      <w:r w:rsidRPr="00427CF1">
        <w:rPr>
          <w:rStyle w:val="TextoNormalCaracter"/>
        </w:rPr>
        <w:t>-</w:t>
      </w:r>
      <w:r>
        <w:t xml:space="preserve"> Sentencia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Sentencias </w:t>
      </w:r>
      <w:hyperlink w:anchor="SENTENCIA_2016_139" w:history="1">
        <w:r w:rsidRPr="00427CF1">
          <w:rPr>
            <w:rStyle w:val="TextoNormalCaracter"/>
          </w:rPr>
          <w:t>139/2016</w:t>
        </w:r>
      </w:hyperlink>
      <w:r>
        <w:t xml:space="preserve">, ff. 4, 5, VP I;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Exposición de motivos, apartado VI.</w:t>
      </w:r>
      <w:r w:rsidRPr="00427CF1">
        <w:rPr>
          <w:rStyle w:val="TextoNormalCaracter"/>
        </w:rPr>
        <w:t>-</w:t>
      </w:r>
      <w:r>
        <w:t xml:space="preserve"> Sentencia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39" w:history="1">
        <w:r w:rsidRPr="00427CF1">
          <w:rPr>
            <w:rStyle w:val="TextoNormalCaracter"/>
          </w:rPr>
          <w:t>139/2016</w:t>
        </w:r>
      </w:hyperlink>
      <w:r>
        <w:t>, VP II.</w:t>
      </w:r>
    </w:p>
    <w:p w:rsidR="00427CF1" w:rsidRDefault="00427CF1" w:rsidP="00427CF1">
      <w:pPr>
        <w:pStyle w:val="SangriaFrancesaArticulo"/>
      </w:pPr>
      <w:r w:rsidRPr="00427CF1">
        <w:rPr>
          <w:rStyle w:val="TextoNormalNegritaCaracter"/>
        </w:rPr>
        <w:t>Preámbulo II.</w:t>
      </w:r>
      <w:r w:rsidRPr="00427CF1">
        <w:rPr>
          <w:rStyle w:val="TextoNormalCaracter"/>
        </w:rPr>
        <w:t>-</w:t>
      </w:r>
      <w:r>
        <w:t xml:space="preserve"> Sentencia </w:t>
      </w:r>
      <w:hyperlink w:anchor="SENTENCIA_2016_139" w:history="1">
        <w:r w:rsidRPr="00427CF1">
          <w:rPr>
            <w:rStyle w:val="TextoNormalCaracter"/>
          </w:rPr>
          <w:t>139/2016</w:t>
        </w:r>
      </w:hyperlink>
      <w:r>
        <w:t>, VP II.</w:t>
      </w:r>
    </w:p>
    <w:p w:rsidR="00427CF1" w:rsidRDefault="00427CF1" w:rsidP="00427CF1">
      <w:pPr>
        <w:pStyle w:val="SangriaFrancesaArticulo"/>
      </w:pPr>
      <w:r w:rsidRPr="00427CF1">
        <w:rPr>
          <w:rStyle w:val="TextoNormalNegritaCaracter"/>
        </w:rPr>
        <w:t>Preámbulo II, párrafo penúltimo.</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Preámbulo III.</w:t>
      </w:r>
      <w:r w:rsidRPr="00427CF1">
        <w:rPr>
          <w:rStyle w:val="TextoNormalCaracter"/>
        </w:rPr>
        <w:t>-</w:t>
      </w:r>
      <w:r>
        <w:t xml:space="preserve"> Sentencia </w:t>
      </w:r>
      <w:hyperlink w:anchor="SENTENCIA_2016_139" w:history="1">
        <w:r w:rsidRPr="00427CF1">
          <w:rPr>
            <w:rStyle w:val="TextoNormalCaracter"/>
          </w:rPr>
          <w:t>139/2016</w:t>
        </w:r>
      </w:hyperlink>
      <w:r>
        <w:t>, VP III.</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39" w:history="1">
        <w:r w:rsidRPr="00427CF1">
          <w:rPr>
            <w:rStyle w:val="TextoNormalCaracter"/>
          </w:rPr>
          <w:t>139/2016</w:t>
        </w:r>
      </w:hyperlink>
      <w:r>
        <w:t>, f. 5, VP I.</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Sentencias </w:t>
      </w:r>
      <w:hyperlink w:anchor="SENTENCIA_2016_139" w:history="1">
        <w:r w:rsidRPr="00427CF1">
          <w:rPr>
            <w:rStyle w:val="TextoNormalCaracter"/>
          </w:rPr>
          <w:t>139/2016</w:t>
        </w:r>
      </w:hyperlink>
      <w:r>
        <w:t xml:space="preserve">, ff. 1 a 3, 5, 6, 8, 9, VP II;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Sentencias </w:t>
      </w:r>
      <w:hyperlink w:anchor="SENTENCIA_2016_139" w:history="1">
        <w:r w:rsidRPr="00427CF1">
          <w:rPr>
            <w:rStyle w:val="TextoNormalCaracter"/>
          </w:rPr>
          <w:t>139/2016</w:t>
        </w:r>
      </w:hyperlink>
      <w:r>
        <w:t xml:space="preserve">, ff. 1 a 3, 6, VP II;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39" w:history="1">
        <w:r w:rsidRPr="00427CF1">
          <w:rPr>
            <w:rStyle w:val="TextoNormalCaracter"/>
          </w:rPr>
          <w:t>139/2016</w:t>
        </w:r>
      </w:hyperlink>
      <w:r>
        <w:t>, f. 10, VP I.</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39" w:history="1">
        <w:r w:rsidRPr="00427CF1">
          <w:rPr>
            <w:rStyle w:val="TextoNormalCaracter"/>
          </w:rPr>
          <w:t>139/2016</w:t>
        </w:r>
      </w:hyperlink>
      <w:r>
        <w:t>, f. 2, VP I.</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Sentencias </w:t>
      </w:r>
      <w:hyperlink w:anchor="SENTENCIA_2016_139" w:history="1">
        <w:r w:rsidRPr="00427CF1">
          <w:rPr>
            <w:rStyle w:val="TextoNormalCaracter"/>
          </w:rPr>
          <w:t>139/2016</w:t>
        </w:r>
      </w:hyperlink>
      <w:r>
        <w:t xml:space="preserve">, f. 1;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Sentencias </w:t>
      </w:r>
      <w:hyperlink w:anchor="SENTENCIA_2016_139" w:history="1">
        <w:r w:rsidRPr="00427CF1">
          <w:rPr>
            <w:rStyle w:val="TextoNormalCaracter"/>
          </w:rPr>
          <w:t>139/2016</w:t>
        </w:r>
      </w:hyperlink>
      <w:r>
        <w:t xml:space="preserve">, ff. 1, 6;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Sentencias </w:t>
      </w:r>
      <w:hyperlink w:anchor="SENTENCIA_2016_139" w:history="1">
        <w:r w:rsidRPr="00427CF1">
          <w:rPr>
            <w:rStyle w:val="TextoNormalCaracter"/>
          </w:rPr>
          <w:t>139/2016</w:t>
        </w:r>
      </w:hyperlink>
      <w:r>
        <w:t xml:space="preserve">, ff. 1, 2, 6, 12;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4.12.</w:t>
      </w:r>
      <w:r w:rsidRPr="00427CF1">
        <w:rPr>
          <w:rStyle w:val="TextoNormalCaracter"/>
        </w:rPr>
        <w:t>-</w:t>
      </w:r>
      <w:r>
        <w:t xml:space="preserve"> Sentencias </w:t>
      </w:r>
      <w:hyperlink w:anchor="SENTENCIA_2016_139" w:history="1">
        <w:r w:rsidRPr="00427CF1">
          <w:rPr>
            <w:rStyle w:val="TextoNormalCaracter"/>
          </w:rPr>
          <w:t>139/2016</w:t>
        </w:r>
      </w:hyperlink>
      <w:r>
        <w:t xml:space="preserve">, ff. 1, 2, 11;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4.13.</w:t>
      </w:r>
      <w:r w:rsidRPr="00427CF1">
        <w:rPr>
          <w:rStyle w:val="TextoNormalCaracter"/>
        </w:rPr>
        <w:t>-</w:t>
      </w:r>
      <w:r>
        <w:t xml:space="preserve"> Sentencias </w:t>
      </w:r>
      <w:hyperlink w:anchor="SENTENCIA_2016_139" w:history="1">
        <w:r w:rsidRPr="00427CF1">
          <w:rPr>
            <w:rStyle w:val="TextoNormalCaracter"/>
          </w:rPr>
          <w:t>139/2016</w:t>
        </w:r>
      </w:hyperlink>
      <w:r>
        <w:t xml:space="preserve">, ff. 1, 2, 6, 11, 13;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4.14.</w:t>
      </w:r>
      <w:r w:rsidRPr="00427CF1">
        <w:rPr>
          <w:rStyle w:val="TextoNormalCaracter"/>
        </w:rPr>
        <w:t>-</w:t>
      </w:r>
      <w:r>
        <w:t xml:space="preserve"> Sentencias </w:t>
      </w:r>
      <w:hyperlink w:anchor="SENTENCIA_2016_139" w:history="1">
        <w:r w:rsidRPr="00427CF1">
          <w:rPr>
            <w:rStyle w:val="TextoNormalCaracter"/>
          </w:rPr>
          <w:t>139/2016</w:t>
        </w:r>
      </w:hyperlink>
      <w:r>
        <w:t xml:space="preserve">, ff. 1, 2, 6, 13;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Artículo 10.4.</w:t>
      </w:r>
      <w:r w:rsidRPr="00427CF1">
        <w:rPr>
          <w:rStyle w:val="TextoNormalCaracter"/>
        </w:rPr>
        <w:t>-</w:t>
      </w:r>
      <w:r>
        <w:t xml:space="preserve"> Sentencia </w:t>
      </w:r>
      <w:hyperlink w:anchor="SENTENCIA_2016_183" w:history="1">
        <w:r w:rsidRPr="00427CF1">
          <w:rPr>
            <w:rStyle w:val="TextoNormalCaracter"/>
          </w:rPr>
          <w:t>183/2016</w:t>
        </w:r>
      </w:hyperlink>
      <w:r>
        <w:t>, ff. 1, 5, 6.</w:t>
      </w:r>
    </w:p>
    <w:p w:rsidR="00427CF1" w:rsidRDefault="00427CF1" w:rsidP="00427CF1">
      <w:pPr>
        <w:pStyle w:val="SangriaFrancesaArticulo"/>
      </w:pPr>
      <w:r w:rsidRPr="00427CF1">
        <w:rPr>
          <w:rStyle w:val="TextoNormalNegritaCaracter"/>
        </w:rPr>
        <w:t>Artículo 10.4 apartado 2.</w:t>
      </w:r>
      <w:r w:rsidRPr="00427CF1">
        <w:rPr>
          <w:rStyle w:val="TextoNormalCaracter"/>
        </w:rPr>
        <w:t>-</w:t>
      </w:r>
      <w:r>
        <w:t xml:space="preserve"> Sentencia </w:t>
      </w:r>
      <w:hyperlink w:anchor="SENTENCIA_2016_183" w:history="1">
        <w:r w:rsidRPr="00427CF1">
          <w:rPr>
            <w:rStyle w:val="TextoNormalCaracter"/>
          </w:rPr>
          <w:t>183/2016</w:t>
        </w:r>
      </w:hyperlink>
      <w:r>
        <w:t>, ff. 1, 4.</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Sentencias </w:t>
      </w:r>
      <w:hyperlink w:anchor="SENTENCIA_2016_139" w:history="1">
        <w:r w:rsidRPr="00427CF1">
          <w:rPr>
            <w:rStyle w:val="TextoNormalCaracter"/>
          </w:rPr>
          <w:t>139/2016</w:t>
        </w:r>
      </w:hyperlink>
      <w:r>
        <w:t xml:space="preserve">, ff. 1, 13;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Sentencias </w:t>
      </w:r>
      <w:hyperlink w:anchor="SENTENCIA_2016_139" w:history="1">
        <w:r w:rsidRPr="00427CF1">
          <w:rPr>
            <w:rStyle w:val="TextoNormalCaracter"/>
          </w:rPr>
          <w:t>139/2016</w:t>
        </w:r>
      </w:hyperlink>
      <w:r>
        <w:t xml:space="preserve">, ff. 1 a 3, 5, VP I, VP II; </w:t>
      </w:r>
      <w:hyperlink w:anchor="SENTENCIA_2016_183" w:history="1">
        <w:r w:rsidRPr="00427CF1">
          <w:rPr>
            <w:rStyle w:val="TextoNormalCaracter"/>
          </w:rPr>
          <w:t>183/2016</w:t>
        </w:r>
      </w:hyperlink>
      <w:r>
        <w:t>, f. 3.</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Disposición transitoria tercera.</w:t>
      </w:r>
      <w:r w:rsidRPr="00427CF1">
        <w:rPr>
          <w:rStyle w:val="TextoNormalCaracter"/>
        </w:rPr>
        <w:t>-</w:t>
      </w:r>
      <w:r>
        <w:t xml:space="preserve"> Sentencia </w:t>
      </w:r>
      <w:hyperlink w:anchor="SENTENCIA_2016_139" w:history="1">
        <w:r w:rsidRPr="00427CF1">
          <w:rPr>
            <w:rStyle w:val="TextoNormalCaracter"/>
          </w:rPr>
          <w:t>139/2016</w:t>
        </w:r>
      </w:hyperlink>
      <w:r>
        <w:t>, VP I, VP II.</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83" w:history="1">
        <w:r w:rsidRPr="00427CF1">
          <w:rPr>
            <w:rStyle w:val="TextoNormalCaracter"/>
          </w:rPr>
          <w:t>183/2016</w:t>
        </w:r>
      </w:hyperlink>
      <w:r>
        <w:t>, ff. 4, 6.</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139" w:history="1">
        <w:r w:rsidRPr="00427CF1">
          <w:rPr>
            <w:rStyle w:val="TextoNormalCaracter"/>
          </w:rPr>
          <w:t>139/2016</w:t>
        </w:r>
      </w:hyperlink>
      <w:r>
        <w:t>, f. 4, VP I, VP II.</w:t>
      </w:r>
    </w:p>
    <w:p w:rsidR="00427CF1" w:rsidRDefault="00427CF1" w:rsidP="00427CF1">
      <w:pPr>
        <w:pStyle w:val="SangriaFrancesaArticulo"/>
      </w:pPr>
      <w:r w:rsidRPr="00427CF1">
        <w:rPr>
          <w:rStyle w:val="TextoNormalNegritaCaracter"/>
        </w:rPr>
        <w:t>Disposición final cuarta.</w:t>
      </w:r>
      <w:r w:rsidRPr="00427CF1">
        <w:rPr>
          <w:rStyle w:val="TextoNormalCaracter"/>
        </w:rPr>
        <w:t>-</w:t>
      </w:r>
      <w:r>
        <w:t xml:space="preserve"> Sentencia </w:t>
      </w:r>
      <w:hyperlink w:anchor="SENTENCIA_2016_139" w:history="1">
        <w:r w:rsidRPr="00427CF1">
          <w:rPr>
            <w:rStyle w:val="TextoNormalCaracter"/>
          </w:rPr>
          <w:t>139/2016</w:t>
        </w:r>
      </w:hyperlink>
      <w:r>
        <w:t>, ff. 4, 13.</w:t>
      </w:r>
    </w:p>
    <w:p w:rsidR="00427CF1" w:rsidRDefault="00427CF1" w:rsidP="00427CF1">
      <w:pPr>
        <w:pStyle w:val="SangriaFrancesaArticulo"/>
      </w:pPr>
      <w:r w:rsidRPr="00427CF1">
        <w:rPr>
          <w:rStyle w:val="TextoNormalNegritaCaracter"/>
        </w:rPr>
        <w:t>Disposición final quinta.</w:t>
      </w:r>
      <w:r w:rsidRPr="00427CF1">
        <w:rPr>
          <w:rStyle w:val="TextoNormalCaracter"/>
        </w:rPr>
        <w:t>-</w:t>
      </w:r>
      <w:r>
        <w:t xml:space="preserve"> Sentencia </w:t>
      </w:r>
      <w:hyperlink w:anchor="SENTENCIA_2016_139" w:history="1">
        <w:r w:rsidRPr="00427CF1">
          <w:rPr>
            <w:rStyle w:val="TextoNormalCaracter"/>
          </w:rPr>
          <w:t>139/2016</w:t>
        </w:r>
      </w:hyperlink>
      <w:r>
        <w:t>, f. 4.</w:t>
      </w:r>
    </w:p>
    <w:p w:rsidR="00427CF1" w:rsidRDefault="00427CF1" w:rsidP="00427CF1">
      <w:pPr>
        <w:pStyle w:val="SangriaFrancesaArticulo"/>
      </w:pPr>
    </w:p>
    <w:p w:rsidR="00427CF1" w:rsidRDefault="00427CF1" w:rsidP="00427CF1">
      <w:pPr>
        <w:pStyle w:val="TextoNormalNegritaCursivandice"/>
      </w:pPr>
      <w:r>
        <w:t>Real Decreto-ley 20/2012, de 13 de julio. Medidas para garantizar la estabilidad presupuestaria y de fomento de la competitividad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4" w:history="1">
        <w:r w:rsidRPr="00427CF1">
          <w:rPr>
            <w:rStyle w:val="TextoNormalCaracter"/>
          </w:rPr>
          <w:t>134/2016</w:t>
        </w:r>
      </w:hyperlink>
      <w:r>
        <w:t xml:space="preserve">, f. 3; </w:t>
      </w:r>
      <w:hyperlink w:anchor="SENTENCIA_2016_145" w:history="1">
        <w:r w:rsidRPr="00427CF1">
          <w:rPr>
            <w:rStyle w:val="TextoNormalCaracter"/>
          </w:rPr>
          <w:t>145/2016</w:t>
        </w:r>
      </w:hyperlink>
      <w:r>
        <w:t xml:space="preserve">, f. 1; </w:t>
      </w:r>
      <w:hyperlink w:anchor="SENTENCIA_2016_160" w:history="1">
        <w:r w:rsidRPr="00427CF1">
          <w:rPr>
            <w:rStyle w:val="TextoNormalCaracter"/>
          </w:rPr>
          <w:t>160/2016</w:t>
        </w:r>
      </w:hyperlink>
      <w:r>
        <w:t xml:space="preserve">, ff. 2, 3; </w:t>
      </w:r>
      <w:hyperlink w:anchor="SENTENCIA_2016_167" w:history="1">
        <w:r w:rsidRPr="00427CF1">
          <w:rPr>
            <w:rStyle w:val="TextoNormalCaracter"/>
          </w:rPr>
          <w:t>167/2016</w:t>
        </w:r>
      </w:hyperlink>
      <w:r>
        <w:t xml:space="preserve">, ff. 3, 6; </w:t>
      </w:r>
      <w:hyperlink w:anchor="SENTENCIA_2016_178" w:history="1">
        <w:r w:rsidRPr="00427CF1">
          <w:rPr>
            <w:rStyle w:val="TextoNormalCaracter"/>
          </w:rPr>
          <w:t>178/2016</w:t>
        </w:r>
      </w:hyperlink>
      <w:r>
        <w:t xml:space="preserve">, ff. 2, 3;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xml:space="preserve">, f. 4; </w:t>
      </w:r>
      <w:hyperlink w:anchor="SENTENCIA_2016_211" w:history="1">
        <w:r w:rsidRPr="00427CF1">
          <w:rPr>
            <w:rStyle w:val="TextoNormalCaracter"/>
          </w:rPr>
          <w:t>211/2016</w:t>
        </w:r>
      </w:hyperlink>
      <w:r>
        <w:t>, ff. 2, 4 a 7.</w:t>
      </w:r>
    </w:p>
    <w:p w:rsidR="00427CF1" w:rsidRDefault="00427CF1" w:rsidP="00427CF1">
      <w:pPr>
        <w:pStyle w:val="SangriaIzquierdaArticulo"/>
      </w:pPr>
      <w:r>
        <w:t xml:space="preserve">Auto </w:t>
      </w:r>
      <w:hyperlink w:anchor="AUTO_2016_180" w:history="1">
        <w:r w:rsidRPr="00427CF1">
          <w:rPr>
            <w:rStyle w:val="TextoNormalCaracter"/>
          </w:rPr>
          <w:t>180/2016</w:t>
        </w:r>
      </w:hyperlink>
      <w:r>
        <w:t>, ff. 3, 4.</w:t>
      </w:r>
    </w:p>
    <w:p w:rsidR="00427CF1" w:rsidRDefault="00427CF1" w:rsidP="00427CF1">
      <w:pPr>
        <w:pStyle w:val="SangriaFrancesaArticulo"/>
      </w:pPr>
      <w:r w:rsidRPr="00427CF1">
        <w:rPr>
          <w:rStyle w:val="TextoNormalNegritaCaracter"/>
        </w:rPr>
        <w:t>Título I.</w:t>
      </w:r>
      <w:r w:rsidRPr="00427CF1">
        <w:rPr>
          <w:rStyle w:val="TextoNormalCaracter"/>
        </w:rPr>
        <w:t>-</w:t>
      </w:r>
      <w:r>
        <w:t xml:space="preserve"> Autos </w:t>
      </w:r>
      <w:hyperlink w:anchor="AUTO_2016_138" w:history="1">
        <w:r w:rsidRPr="00427CF1">
          <w:rPr>
            <w:rStyle w:val="TextoNormalCaracter"/>
          </w:rPr>
          <w:t>138/2016</w:t>
        </w:r>
      </w:hyperlink>
      <w:r>
        <w:t xml:space="preserve">, ff. 1, 3; </w:t>
      </w:r>
      <w:hyperlink w:anchor="AUTO_2016_139" w:history="1">
        <w:r w:rsidRPr="00427CF1">
          <w:rPr>
            <w:rStyle w:val="TextoNormalCaracter"/>
          </w:rPr>
          <w:t>139/2016</w:t>
        </w:r>
      </w:hyperlink>
      <w:r>
        <w:t>, ff. 1, 3.</w:t>
      </w:r>
    </w:p>
    <w:p w:rsidR="00427CF1" w:rsidRDefault="00427CF1" w:rsidP="00427CF1">
      <w:pPr>
        <w:pStyle w:val="SangriaFrancesaArticulo"/>
      </w:pPr>
      <w:r w:rsidRPr="00427CF1">
        <w:rPr>
          <w:rStyle w:val="TextoNormalNegritaCaracter"/>
        </w:rPr>
        <w:t>Exposición de motivos, apartado VIII.</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Sentencias </w:t>
      </w:r>
      <w:hyperlink w:anchor="SENTENCIA_2016_134" w:history="1">
        <w:r w:rsidRPr="00427CF1">
          <w:rPr>
            <w:rStyle w:val="TextoNormalCaracter"/>
          </w:rPr>
          <w:t>134/2016</w:t>
        </w:r>
      </w:hyperlink>
      <w:r>
        <w:t xml:space="preserve">, ff. 1, 2; </w:t>
      </w:r>
      <w:hyperlink w:anchor="SENTENCIA_2016_145" w:history="1">
        <w:r w:rsidRPr="00427CF1">
          <w:rPr>
            <w:rStyle w:val="TextoNormalCaracter"/>
          </w:rPr>
          <w:t>145/2016</w:t>
        </w:r>
      </w:hyperlink>
      <w:r>
        <w:t xml:space="preserve">, f. 1; </w:t>
      </w:r>
      <w:hyperlink w:anchor="SENTENCIA_2016_160" w:history="1">
        <w:r w:rsidRPr="00427CF1">
          <w:rPr>
            <w:rStyle w:val="TextoNormalCaracter"/>
          </w:rPr>
          <w:t>160/2016</w:t>
        </w:r>
      </w:hyperlink>
      <w:r>
        <w:t xml:space="preserve">, f. 2; </w:t>
      </w:r>
      <w:hyperlink w:anchor="SENTENCIA_2016_178" w:history="1">
        <w:r w:rsidRPr="00427CF1">
          <w:rPr>
            <w:rStyle w:val="TextoNormalCaracter"/>
          </w:rPr>
          <w:t>178/2016</w:t>
        </w:r>
      </w:hyperlink>
      <w:r>
        <w:t>, ff. 2, 3.</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f. 1; </w:t>
      </w:r>
      <w:hyperlink w:anchor="AUTO_2016_139" w:history="1">
        <w:r w:rsidRPr="00427CF1">
          <w:rPr>
            <w:rStyle w:val="TextoNormalCaracter"/>
          </w:rPr>
          <w:t>139/2016</w:t>
        </w:r>
      </w:hyperlink>
      <w:r>
        <w:t xml:space="preserve">, f. 1; </w:t>
      </w:r>
      <w:hyperlink w:anchor="AUTO_2016_143" w:history="1">
        <w:r w:rsidRPr="00427CF1">
          <w:rPr>
            <w:rStyle w:val="TextoNormalCaracter"/>
          </w:rPr>
          <w:t>143/2016</w:t>
        </w:r>
      </w:hyperlink>
      <w:r>
        <w:t xml:space="preserve">, ff. 1, 2; </w:t>
      </w:r>
      <w:hyperlink w:anchor="AUTO_2016_180" w:history="1">
        <w:r w:rsidRPr="00427CF1">
          <w:rPr>
            <w:rStyle w:val="TextoNormalCaracter"/>
          </w:rPr>
          <w:t>180/2016</w:t>
        </w:r>
      </w:hyperlink>
      <w:r>
        <w:t>, ff. 1, 3, 4.</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78" w:history="1">
        <w:r w:rsidRPr="00427CF1">
          <w:rPr>
            <w:rStyle w:val="TextoNormalCaracter"/>
          </w:rPr>
          <w:t>178/2016</w:t>
        </w:r>
      </w:hyperlink>
      <w:r>
        <w:t>, ff. 1, 3.</w:t>
      </w:r>
    </w:p>
    <w:p w:rsidR="00427CF1" w:rsidRDefault="00427CF1" w:rsidP="00427CF1">
      <w:pPr>
        <w:pStyle w:val="SangriaIzquierdaArticulo"/>
      </w:pPr>
      <w:r>
        <w:t xml:space="preserve">Auto </w:t>
      </w:r>
      <w:hyperlink w:anchor="AUTO_2016_180" w:history="1">
        <w:r w:rsidRPr="00427CF1">
          <w:rPr>
            <w:rStyle w:val="TextoNormalCaracter"/>
          </w:rPr>
          <w:t>180/2016</w:t>
        </w:r>
      </w:hyperlink>
      <w:r>
        <w:t>, ff. 1, 3.</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Sentencias </w:t>
      </w:r>
      <w:hyperlink w:anchor="SENTENCIA_2016_160" w:history="1">
        <w:r w:rsidRPr="00427CF1">
          <w:rPr>
            <w:rStyle w:val="TextoNormalCaracter"/>
          </w:rPr>
          <w:t>160/2016</w:t>
        </w:r>
      </w:hyperlink>
      <w:r>
        <w:t xml:space="preserve">, ff. 1, 2; </w:t>
      </w:r>
      <w:hyperlink w:anchor="SENTENCIA_2016_178" w:history="1">
        <w:r w:rsidRPr="00427CF1">
          <w:rPr>
            <w:rStyle w:val="TextoNormalCaracter"/>
          </w:rPr>
          <w:t>178/2016</w:t>
        </w:r>
      </w:hyperlink>
      <w:r>
        <w:t>, ff. 1, 3.</w:t>
      </w:r>
    </w:p>
    <w:p w:rsidR="00427CF1" w:rsidRDefault="00427CF1" w:rsidP="00427CF1">
      <w:pPr>
        <w:pStyle w:val="SangriaFrancesaArticulo"/>
      </w:pPr>
      <w:r w:rsidRPr="00427CF1">
        <w:rPr>
          <w:rStyle w:val="TextoNormalNegritaCaracter"/>
        </w:rPr>
        <w:t>Artículo 2.2.2.</w:t>
      </w:r>
      <w:r w:rsidRPr="00427CF1">
        <w:rPr>
          <w:rStyle w:val="TextoNormalCaracter"/>
        </w:rPr>
        <w:t>-</w:t>
      </w:r>
      <w:r>
        <w:t xml:space="preserve"> Sentencias </w:t>
      </w:r>
      <w:hyperlink w:anchor="SENTENCIA_2016_134" w:history="1">
        <w:r w:rsidRPr="00427CF1">
          <w:rPr>
            <w:rStyle w:val="TextoNormalCaracter"/>
          </w:rPr>
          <w:t>134/2016</w:t>
        </w:r>
      </w:hyperlink>
      <w:r>
        <w:t xml:space="preserve">, f. 2; </w:t>
      </w:r>
      <w:hyperlink w:anchor="SENTENCIA_2016_160" w:history="1">
        <w:r w:rsidRPr="00427CF1">
          <w:rPr>
            <w:rStyle w:val="TextoNormalCaracter"/>
          </w:rPr>
          <w:t>160/2016</w:t>
        </w:r>
      </w:hyperlink>
      <w:r>
        <w:t>, ff. 1, 2.</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Auto </w:t>
      </w:r>
      <w:hyperlink w:anchor="AUTO_2016_180" w:history="1">
        <w:r w:rsidRPr="00427CF1">
          <w:rPr>
            <w:rStyle w:val="TextoNormalCaracter"/>
          </w:rPr>
          <w:t>180/2016</w:t>
        </w:r>
      </w:hyperlink>
      <w:r>
        <w:t>, ff. 1, 4.</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Auto </w:t>
      </w:r>
      <w:hyperlink w:anchor="AUTO_2016_180" w:history="1">
        <w:r w:rsidRPr="00427CF1">
          <w:rPr>
            <w:rStyle w:val="TextoNormalCaracter"/>
          </w:rPr>
          <w:t>180/2016</w:t>
        </w:r>
      </w:hyperlink>
      <w:r>
        <w:t>, f. 3.</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Auto </w:t>
      </w:r>
      <w:hyperlink w:anchor="AUTO_2016_180" w:history="1">
        <w:r w:rsidRPr="00427CF1">
          <w:rPr>
            <w:rStyle w:val="TextoNormalCaracter"/>
          </w:rPr>
          <w:t>180/2016</w:t>
        </w:r>
      </w:hyperlink>
      <w:r>
        <w:t>, ff. 1, 3.</w:t>
      </w:r>
    </w:p>
    <w:p w:rsidR="00427CF1" w:rsidRDefault="00427CF1" w:rsidP="00427CF1">
      <w:pPr>
        <w:pStyle w:val="SangriaFrancesaArticulo"/>
      </w:pPr>
      <w:r w:rsidRPr="00427CF1">
        <w:rPr>
          <w:rStyle w:val="TextoNormalNegritaCaracter"/>
        </w:rPr>
        <w:t>Artículo 3.3 bis</w:t>
      </w:r>
      <w:r>
        <w:t xml:space="preserve"> (redactado por la Ley 10/2012, de 20 de noviembre)</w:t>
      </w:r>
      <w:r w:rsidRPr="00427CF1">
        <w:rPr>
          <w:rStyle w:val="TextoNormalNegritaCaracter"/>
        </w:rPr>
        <w:t>.</w:t>
      </w:r>
      <w:r w:rsidRPr="00427CF1">
        <w:rPr>
          <w:rStyle w:val="TextoNormalCaracter"/>
        </w:rPr>
        <w:t>-</w:t>
      </w:r>
      <w:r>
        <w:t xml:space="preserve"> Auto </w:t>
      </w:r>
      <w:hyperlink w:anchor="AUTO_2016_180" w:history="1">
        <w:r w:rsidRPr="00427CF1">
          <w:rPr>
            <w:rStyle w:val="TextoNormalCaracter"/>
          </w:rPr>
          <w:t>180/2016</w:t>
        </w:r>
      </w:hyperlink>
      <w:r>
        <w:t>, ff. 1,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60" w:history="1">
        <w:r w:rsidRPr="00427CF1">
          <w:rPr>
            <w:rStyle w:val="TextoNormalCaracter"/>
          </w:rPr>
          <w:t>160/2016</w:t>
        </w:r>
      </w:hyperlink>
      <w:r>
        <w:t>, f. 1.</w:t>
      </w:r>
    </w:p>
    <w:p w:rsidR="00427CF1" w:rsidRDefault="00427CF1" w:rsidP="00427CF1">
      <w:pPr>
        <w:pStyle w:val="SangriaFrancesaArticulo"/>
      </w:pPr>
      <w:r w:rsidRPr="00427CF1">
        <w:rPr>
          <w:rStyle w:val="TextoNormalNegritaCaracter"/>
        </w:rPr>
        <w:t>Artículo 27.</w:t>
      </w:r>
      <w:r w:rsidRPr="00427CF1">
        <w:rPr>
          <w:rStyle w:val="TextoNormalCaracter"/>
        </w:rPr>
        <w:t>-</w:t>
      </w:r>
      <w:r>
        <w:t xml:space="preserve"> Sentencias </w:t>
      </w:r>
      <w:hyperlink w:anchor="SENTENCIA_2016_195" w:history="1">
        <w:r w:rsidRPr="00427CF1">
          <w:rPr>
            <w:rStyle w:val="TextoNormalCaracter"/>
          </w:rPr>
          <w:t>195/2016</w:t>
        </w:r>
      </w:hyperlink>
      <w:r>
        <w:t xml:space="preserve">, f. 5; </w:t>
      </w:r>
      <w:hyperlink w:anchor="SENTENCIA_2016_211" w:history="1">
        <w:r w:rsidRPr="00427CF1">
          <w:rPr>
            <w:rStyle w:val="TextoNormalCaracter"/>
          </w:rPr>
          <w:t>211/2016</w:t>
        </w:r>
      </w:hyperlink>
      <w:r>
        <w:t>, ff. 1, 5, 6.</w:t>
      </w:r>
    </w:p>
    <w:p w:rsidR="00427CF1" w:rsidRDefault="00427CF1" w:rsidP="00427CF1">
      <w:pPr>
        <w:pStyle w:val="SangriaFrancesaArticulo"/>
      </w:pPr>
      <w:r w:rsidRPr="00427CF1">
        <w:rPr>
          <w:rStyle w:val="TextoNormalNegritaCaracter"/>
        </w:rPr>
        <w:t>Artículo 27.4.</w:t>
      </w:r>
      <w:r w:rsidRPr="00427CF1">
        <w:rPr>
          <w:rStyle w:val="TextoNormalCaracter"/>
        </w:rPr>
        <w:t>-</w:t>
      </w:r>
      <w:r>
        <w:t xml:space="preserve"> Sentencia </w:t>
      </w:r>
      <w:hyperlink w:anchor="SENTENCIA_2016_211" w:history="1">
        <w:r w:rsidRPr="00427CF1">
          <w:rPr>
            <w:rStyle w:val="TextoNormalCaracter"/>
          </w:rPr>
          <w:t>211/2016</w:t>
        </w:r>
      </w:hyperlink>
      <w:r>
        <w:t>, f. 4.</w:t>
      </w:r>
    </w:p>
    <w:p w:rsidR="00427CF1" w:rsidRDefault="00427CF1" w:rsidP="00427CF1">
      <w:pPr>
        <w:pStyle w:val="SangriaFrancesaArticulo"/>
      </w:pPr>
      <w:r w:rsidRPr="00427CF1">
        <w:rPr>
          <w:rStyle w:val="TextoNormalNegritaCaracter"/>
        </w:rPr>
        <w:t>Artículo 27.5.</w:t>
      </w:r>
      <w:r w:rsidRPr="00427CF1">
        <w:rPr>
          <w:rStyle w:val="TextoNormalCaracter"/>
        </w:rPr>
        <w:t>-</w:t>
      </w:r>
      <w:r>
        <w:t xml:space="preserve"> Sentencia </w:t>
      </w:r>
      <w:hyperlink w:anchor="SENTENCIA_2016_211" w:history="1">
        <w:r w:rsidRPr="00427CF1">
          <w:rPr>
            <w:rStyle w:val="TextoNormalCaracter"/>
          </w:rPr>
          <w:t>211/2016</w:t>
        </w:r>
      </w:hyperlink>
      <w:r>
        <w:t>, f. 4.</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211" w:history="1">
        <w:r w:rsidRPr="00427CF1">
          <w:rPr>
            <w:rStyle w:val="TextoNormalCaracter"/>
          </w:rPr>
          <w:t>211/2016</w:t>
        </w:r>
      </w:hyperlink>
      <w:r>
        <w:t>, ff. 1, 5, 9.</w:t>
      </w:r>
    </w:p>
    <w:p w:rsidR="00427CF1" w:rsidRDefault="00427CF1" w:rsidP="00427CF1">
      <w:pPr>
        <w:pStyle w:val="SangriaFrancesaArticulo"/>
      </w:pPr>
      <w:r w:rsidRPr="00427CF1">
        <w:rPr>
          <w:rStyle w:val="TextoNormalNegritaCaracter"/>
        </w:rPr>
        <w:t>Artículo 28.3.</w:t>
      </w:r>
      <w:r w:rsidRPr="00427CF1">
        <w:rPr>
          <w:rStyle w:val="TextoNormalCaracter"/>
        </w:rPr>
        <w:t>-</w:t>
      </w:r>
      <w:r>
        <w:t xml:space="preserve"> Sentencia </w:t>
      </w:r>
      <w:hyperlink w:anchor="SENTENCIA_2016_211" w:history="1">
        <w:r w:rsidRPr="00427CF1">
          <w:rPr>
            <w:rStyle w:val="TextoNormalCaracter"/>
          </w:rPr>
          <w:t>211/2016</w:t>
        </w:r>
      </w:hyperlink>
      <w:r>
        <w:t>, f. 9.</w:t>
      </w:r>
    </w:p>
    <w:p w:rsidR="00427CF1" w:rsidRDefault="00427CF1" w:rsidP="00427CF1">
      <w:pPr>
        <w:pStyle w:val="SangriaFrancesaArticulo"/>
      </w:pPr>
      <w:r w:rsidRPr="00427CF1">
        <w:rPr>
          <w:rStyle w:val="TextoNormalNegritaCaracter"/>
        </w:rPr>
        <w:t>Disposición adicional úndecima.</w:t>
      </w:r>
      <w:r w:rsidRPr="00427CF1">
        <w:rPr>
          <w:rStyle w:val="TextoNormalCaracter"/>
        </w:rPr>
        <w:t>-</w:t>
      </w:r>
      <w:r>
        <w:t xml:space="preserve"> Sentencia </w:t>
      </w:r>
      <w:hyperlink w:anchor="SENTENCIA_2016_195" w:history="1">
        <w:r w:rsidRPr="00427CF1">
          <w:rPr>
            <w:rStyle w:val="TextoNormalCaracter"/>
          </w:rPr>
          <w:t>195/2016</w:t>
        </w:r>
      </w:hyperlink>
      <w:r>
        <w:t>, f. 6.</w:t>
      </w:r>
    </w:p>
    <w:p w:rsidR="00427CF1" w:rsidRDefault="00427CF1" w:rsidP="00427CF1">
      <w:pPr>
        <w:pStyle w:val="SangriaFrancesaArticulo"/>
      </w:pPr>
      <w:r w:rsidRPr="00427CF1">
        <w:rPr>
          <w:rStyle w:val="TextoNormalNegritaCaracter"/>
        </w:rPr>
        <w:t>Disposición adicional undécima.</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r w:rsidRPr="00427CF1">
        <w:rPr>
          <w:rStyle w:val="TextoNormalNegritaCaracter"/>
        </w:rPr>
        <w:t>Disposición transitoria decimocuarta.</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r w:rsidRPr="00427CF1">
        <w:rPr>
          <w:rStyle w:val="TextoNormalNegritaCaracter"/>
        </w:rPr>
        <w:t>Disposición final cuarta.</w:t>
      </w:r>
      <w:r w:rsidRPr="00427CF1">
        <w:rPr>
          <w:rStyle w:val="TextoNormalCaracter"/>
        </w:rPr>
        <w:t>-</w:t>
      </w:r>
      <w:r>
        <w:t xml:space="preserve"> Sentencia </w:t>
      </w:r>
      <w:hyperlink w:anchor="SENTENCIA_2016_211" w:history="1">
        <w:r w:rsidRPr="00427CF1">
          <w:rPr>
            <w:rStyle w:val="TextoNormalCaracter"/>
          </w:rPr>
          <w:t>211/2016</w:t>
        </w:r>
      </w:hyperlink>
      <w:r>
        <w:t>, ff. 6, 9.</w:t>
      </w:r>
    </w:p>
    <w:p w:rsidR="00427CF1" w:rsidRDefault="00427CF1" w:rsidP="00427CF1">
      <w:pPr>
        <w:pStyle w:val="SangriaFrancesaArticulo"/>
      </w:pPr>
      <w:r w:rsidRPr="00427CF1">
        <w:rPr>
          <w:rStyle w:val="TextoNormalNegritaCaracter"/>
        </w:rPr>
        <w:t>Disposición final decimoquinta.</w:t>
      </w:r>
      <w:r w:rsidRPr="00427CF1">
        <w:rPr>
          <w:rStyle w:val="TextoNormalCaracter"/>
        </w:rPr>
        <w:t>-</w:t>
      </w:r>
      <w:r>
        <w:t xml:space="preserve"> Sentencia </w:t>
      </w:r>
      <w:hyperlink w:anchor="SENTENCIA_2016_134" w:history="1">
        <w:r w:rsidRPr="00427CF1">
          <w:rPr>
            <w:rStyle w:val="TextoNormalCaracter"/>
          </w:rPr>
          <w:t>134/2016</w:t>
        </w:r>
      </w:hyperlink>
      <w:r>
        <w:t>, f. 2.</w:t>
      </w:r>
    </w:p>
    <w:p w:rsidR="00427CF1" w:rsidRDefault="00427CF1" w:rsidP="00427CF1">
      <w:pPr>
        <w:pStyle w:val="SangriaFrancesaArticulo"/>
      </w:pPr>
      <w:r w:rsidRPr="00427CF1">
        <w:rPr>
          <w:rStyle w:val="TextoNormalNegritaCaracter"/>
        </w:rPr>
        <w:t>Anexo.</w:t>
      </w:r>
      <w:r w:rsidRPr="00427CF1">
        <w:rPr>
          <w:rStyle w:val="TextoNormalCaracter"/>
        </w:rPr>
        <w:t>-</w:t>
      </w:r>
      <w:r>
        <w:t xml:space="preserve"> Sentencia </w:t>
      </w:r>
      <w:hyperlink w:anchor="SENTENCIA_2016_195" w:history="1">
        <w:r w:rsidRPr="00427CF1">
          <w:rPr>
            <w:rStyle w:val="TextoNormalCaracter"/>
          </w:rPr>
          <w:t>195/2016</w:t>
        </w:r>
      </w:hyperlink>
      <w:r>
        <w:t>, f. 6.</w:t>
      </w:r>
    </w:p>
    <w:p w:rsidR="00427CF1" w:rsidRDefault="00427CF1" w:rsidP="00427CF1">
      <w:pPr>
        <w:pStyle w:val="SangriaFrancesaArticulo"/>
      </w:pPr>
    </w:p>
    <w:p w:rsidR="00427CF1" w:rsidRDefault="00427CF1" w:rsidP="00427CF1">
      <w:pPr>
        <w:pStyle w:val="TextoNormalNegritaCursivandice"/>
      </w:pPr>
      <w:r>
        <w:t>Real Decreto-ley 26/2012, de 7 de septiembre. Se concede un crédito extraordinario en el presupuesto del Ministerio de Defensa para atender al pago de obligaciones correspondientes a programas especiales de armamento por entregas ya realizadas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6" w:history="1">
        <w:r w:rsidRPr="00427CF1">
          <w:rPr>
            <w:rStyle w:val="TextoNormalCaracter"/>
          </w:rPr>
          <w:t>126/2016</w:t>
        </w:r>
      </w:hyperlink>
      <w:r>
        <w:t xml:space="preserve">, f. 4; </w:t>
      </w:r>
      <w:hyperlink w:anchor="SENTENCIA_2016_169" w:history="1">
        <w:r w:rsidRPr="00427CF1">
          <w:rPr>
            <w:rStyle w:val="TextoNormalCaracter"/>
          </w:rPr>
          <w:t>169/2016</w:t>
        </w:r>
      </w:hyperlink>
      <w:r>
        <w:t>, f. 2.</w:t>
      </w:r>
    </w:p>
    <w:p w:rsidR="00427CF1" w:rsidRDefault="00427CF1" w:rsidP="00427CF1">
      <w:pPr>
        <w:pStyle w:val="SangriaFrancesaArticulo"/>
      </w:pPr>
    </w:p>
    <w:p w:rsidR="00427CF1" w:rsidRDefault="00427CF1" w:rsidP="00427CF1">
      <w:pPr>
        <w:pStyle w:val="TextoNormalNegritaCursivandice"/>
      </w:pPr>
      <w:r>
        <w:t>Real Decreto-ley 27/2012, de 15 de noviembre. Medidas urgentes para reforzar la protección a los deudores hipotecarios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3" w:history="1">
        <w:r w:rsidRPr="00427CF1">
          <w:rPr>
            <w:rStyle w:val="TextoNormalCaracter"/>
          </w:rPr>
          <w:t>213/2016</w:t>
        </w:r>
      </w:hyperlink>
      <w:r>
        <w:t>, ff. 3, 4.</w:t>
      </w:r>
    </w:p>
    <w:p w:rsidR="00427CF1" w:rsidRDefault="00427CF1" w:rsidP="00427CF1">
      <w:pPr>
        <w:pStyle w:val="SangriaIzquierdaArticulo"/>
      </w:pPr>
      <w:r>
        <w:t xml:space="preserve">Autos </w:t>
      </w:r>
      <w:hyperlink w:anchor="AUTO_2016_144" w:history="1">
        <w:r w:rsidRPr="00427CF1">
          <w:rPr>
            <w:rStyle w:val="TextoNormalCaracter"/>
          </w:rPr>
          <w:t>144/2016</w:t>
        </w:r>
      </w:hyperlink>
      <w:r>
        <w:t xml:space="preserve">, f. 5; </w:t>
      </w:r>
      <w:hyperlink w:anchor="AUTO_2016_160" w:history="1">
        <w:r w:rsidRPr="00427CF1">
          <w:rPr>
            <w:rStyle w:val="TextoNormalCaracter"/>
          </w:rPr>
          <w:t>160/2016</w:t>
        </w:r>
      </w:hyperlink>
      <w:r>
        <w:t>, f. 4.</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Autos </w:t>
      </w:r>
      <w:hyperlink w:anchor="AUTO_2016_144" w:history="1">
        <w:r w:rsidRPr="00427CF1">
          <w:rPr>
            <w:rStyle w:val="TextoNormalCaracter"/>
          </w:rPr>
          <w:t>144/2016</w:t>
        </w:r>
      </w:hyperlink>
      <w:r>
        <w:t xml:space="preserve">, f. 5; </w:t>
      </w:r>
      <w:hyperlink w:anchor="AUTO_2016_160" w:history="1">
        <w:r w:rsidRPr="00427CF1">
          <w:rPr>
            <w:rStyle w:val="TextoNormalCaracter"/>
          </w:rPr>
          <w:t>160/2016</w:t>
        </w:r>
      </w:hyperlink>
      <w:r>
        <w:t>, f. 4.</w:t>
      </w:r>
    </w:p>
    <w:p w:rsidR="00427CF1" w:rsidRDefault="00427CF1" w:rsidP="00427CF1">
      <w:pPr>
        <w:pStyle w:val="SangriaFrancesaArticulo"/>
      </w:pPr>
    </w:p>
    <w:p w:rsidR="00427CF1" w:rsidRDefault="00427CF1" w:rsidP="00427CF1">
      <w:pPr>
        <w:pStyle w:val="TextoNormalNegritaCursivandice"/>
      </w:pPr>
      <w:r>
        <w:t>Real Decreto-ley 2/2013, de 1 de febrero. Medidas urgentes en el sistema eléctrico y en el sector financiero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ff. 2, 3.</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Real Decreto-ley 3/2013, de 22 de febrero. Modifica el régimen de las tasas en el ámbito de la Administración de Justicia y el sistema de asistencia jurídica gratuita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0" w:history="1">
        <w:r w:rsidRPr="00427CF1">
          <w:rPr>
            <w:rStyle w:val="TextoNormalCaracter"/>
          </w:rPr>
          <w:t>140/2016</w:t>
        </w:r>
      </w:hyperlink>
      <w:r>
        <w:t xml:space="preserve">, ff. 2, 4, 6, 11; </w:t>
      </w:r>
      <w:hyperlink w:anchor="SENTENCIA_2016_202" w:history="1">
        <w:r w:rsidRPr="00427CF1">
          <w:rPr>
            <w:rStyle w:val="TextoNormalCaracter"/>
          </w:rPr>
          <w:t>202/2016</w:t>
        </w:r>
      </w:hyperlink>
      <w:r>
        <w:t xml:space="preserve">, f. 1; </w:t>
      </w:r>
      <w:hyperlink w:anchor="SENTENCIA_2016_227" w:history="1">
        <w:r w:rsidRPr="00427CF1">
          <w:rPr>
            <w:rStyle w:val="TextoNormalCaracter"/>
          </w:rPr>
          <w:t>227/2016</w:t>
        </w:r>
      </w:hyperlink>
      <w:r>
        <w:t>, ff. 1, 5.</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Exposición de motivos, apartado III.</w:t>
      </w:r>
      <w:r w:rsidRPr="00427CF1">
        <w:rPr>
          <w:rStyle w:val="TextoNormalCaracter"/>
        </w:rPr>
        <w:t>-</w:t>
      </w:r>
      <w:r>
        <w:t xml:space="preserve"> Sentencia </w:t>
      </w:r>
      <w:hyperlink w:anchor="SENTENCIA_2016_140" w:history="1">
        <w:r w:rsidRPr="00427CF1">
          <w:rPr>
            <w:rStyle w:val="TextoNormalCaracter"/>
          </w:rPr>
          <w:t>140/2016</w:t>
        </w:r>
      </w:hyperlink>
      <w:r>
        <w:t>, f. 11.</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27" w:history="1">
        <w:r w:rsidRPr="00427CF1">
          <w:rPr>
            <w:rStyle w:val="TextoNormalCaracter"/>
          </w:rPr>
          <w:t>227/2016</w:t>
        </w:r>
      </w:hyperlink>
      <w:r>
        <w:t>, f. 3.</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202" w:history="1">
        <w:r w:rsidRPr="00427CF1">
          <w:rPr>
            <w:rStyle w:val="TextoNormalCaracter"/>
          </w:rPr>
          <w:t>202/2016</w:t>
        </w:r>
      </w:hyperlink>
      <w:r>
        <w:t>, f. 2.</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40" w:history="1">
        <w:r w:rsidRPr="00427CF1">
          <w:rPr>
            <w:rStyle w:val="TextoNormalCaracter"/>
          </w:rPr>
          <w:t>140/2016</w:t>
        </w:r>
      </w:hyperlink>
      <w:r>
        <w:t>, f. 2.</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140" w:history="1">
        <w:r w:rsidRPr="00427CF1">
          <w:rPr>
            <w:rStyle w:val="TextoNormalCaracter"/>
          </w:rPr>
          <w:t>140/2016</w:t>
        </w:r>
      </w:hyperlink>
      <w:r>
        <w:t>, f. 2.</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Sentencia </w:t>
      </w:r>
      <w:hyperlink w:anchor="SENTENCIA_2016_227" w:history="1">
        <w:r w:rsidRPr="00427CF1">
          <w:rPr>
            <w:rStyle w:val="TextoNormalCaracter"/>
          </w:rPr>
          <w:t>227/2016</w:t>
        </w:r>
      </w:hyperlink>
      <w:r>
        <w:t>, ff. 3 a 5.</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Auto </w:t>
      </w:r>
      <w:hyperlink w:anchor="AUTO_2016_175" w:history="1">
        <w:r w:rsidRPr="00427CF1">
          <w:rPr>
            <w:rStyle w:val="TextoNormalCaracter"/>
          </w:rPr>
          <w:t>175/2016</w:t>
        </w:r>
      </w:hyperlink>
      <w:r>
        <w:t>, f. 1.</w:t>
      </w:r>
    </w:p>
    <w:p w:rsidR="00427CF1" w:rsidRDefault="00427CF1" w:rsidP="00427CF1">
      <w:pPr>
        <w:pStyle w:val="SangriaFrancesaArticulo"/>
      </w:pPr>
    </w:p>
    <w:p w:rsidR="00427CF1" w:rsidRDefault="00427CF1" w:rsidP="00427CF1">
      <w:pPr>
        <w:pStyle w:val="TextoNormalNegritaCursivandice"/>
      </w:pPr>
      <w:r>
        <w:t>Real Decreto-ley 9/2013, de 12 de julio. Adopta medidas urgentes para garantizar la estabilidad financiera del sistema eléctrico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ff. 3, 6; </w:t>
      </w:r>
      <w:hyperlink w:anchor="SENTENCIA_2016_181" w:history="1">
        <w:r w:rsidRPr="00427CF1">
          <w:rPr>
            <w:rStyle w:val="TextoNormalCaracter"/>
          </w:rPr>
          <w:t>181/2016</w:t>
        </w:r>
      </w:hyperlink>
      <w:r>
        <w:t xml:space="preserve">, ff. 2 a 5;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f. 4.</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Exposición de motivos, apartado I.</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Exposición de motivos, apartado II.</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81" w:history="1">
        <w:r w:rsidRPr="00427CF1">
          <w:rPr>
            <w:rStyle w:val="TextoNormalCaracter"/>
          </w:rPr>
          <w:t>181/2016</w:t>
        </w:r>
      </w:hyperlink>
      <w:r>
        <w:t>, f. 5.</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81" w:history="1">
        <w:r w:rsidRPr="00427CF1">
          <w:rPr>
            <w:rStyle w:val="TextoNormalCaracter"/>
          </w:rPr>
          <w:t>181/2016</w:t>
        </w:r>
      </w:hyperlink>
      <w:r>
        <w:t>, f. 5.</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81" w:history="1">
        <w:r w:rsidRPr="00427CF1">
          <w:rPr>
            <w:rStyle w:val="TextoNormalCaracter"/>
          </w:rPr>
          <w:t>181/2016</w:t>
        </w:r>
      </w:hyperlink>
      <w:r>
        <w:t>, f. 1.</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81" w:history="1">
        <w:r w:rsidRPr="00427CF1">
          <w:rPr>
            <w:rStyle w:val="TextoNormalCaracter"/>
          </w:rPr>
          <w:t>181/2016</w:t>
        </w:r>
      </w:hyperlink>
      <w:r>
        <w:t>, ff. 1, 3 a 5.</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81" w:history="1">
        <w:r w:rsidRPr="00427CF1">
          <w:rPr>
            <w:rStyle w:val="TextoNormalCaracter"/>
          </w:rPr>
          <w:t>181/2016</w:t>
        </w:r>
      </w:hyperlink>
      <w:r>
        <w:t>, ff. 1, 3 a 5.</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81" w:history="1">
        <w:r w:rsidRPr="00427CF1">
          <w:rPr>
            <w:rStyle w:val="TextoNormalCaracter"/>
          </w:rPr>
          <w:t>181/2016</w:t>
        </w:r>
      </w:hyperlink>
      <w:r>
        <w:t>, f. 5.</w:t>
      </w:r>
    </w:p>
    <w:p w:rsidR="00427CF1" w:rsidRDefault="00427CF1" w:rsidP="00427CF1">
      <w:pPr>
        <w:pStyle w:val="SangriaFrancesaArticulo"/>
      </w:pPr>
      <w:r w:rsidRPr="00427CF1">
        <w:rPr>
          <w:rStyle w:val="TextoNormalNegritaCaracter"/>
        </w:rPr>
        <w:t>Disposición transitoria tercera.</w:t>
      </w:r>
      <w:r w:rsidRPr="00427CF1">
        <w:rPr>
          <w:rStyle w:val="TextoNormalCaracter"/>
        </w:rPr>
        <w:t>-</w:t>
      </w:r>
      <w:r>
        <w:t xml:space="preserve"> Sentencia </w:t>
      </w:r>
      <w:hyperlink w:anchor="SENTENCIA_2016_181" w:history="1">
        <w:r w:rsidRPr="00427CF1">
          <w:rPr>
            <w:rStyle w:val="TextoNormalCaracter"/>
          </w:rPr>
          <w:t>181/2016</w:t>
        </w:r>
      </w:hyperlink>
      <w:r>
        <w:t>, f. 5.</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181" w:history="1">
        <w:r w:rsidRPr="00427CF1">
          <w:rPr>
            <w:rStyle w:val="TextoNormalCaracter"/>
          </w:rPr>
          <w:t>181/2016</w:t>
        </w:r>
      </w:hyperlink>
      <w:r>
        <w:t>, f. 5.</w:t>
      </w:r>
    </w:p>
    <w:p w:rsidR="00427CF1" w:rsidRDefault="00427CF1" w:rsidP="00427CF1">
      <w:pPr>
        <w:pStyle w:val="SangriaFrancesaArticulo"/>
      </w:pPr>
      <w:r w:rsidRPr="00427CF1">
        <w:rPr>
          <w:rStyle w:val="TextoNormalNegritaCaracter"/>
        </w:rPr>
        <w:t>Anexo I.</w:t>
      </w:r>
      <w:r w:rsidRPr="00427CF1">
        <w:rPr>
          <w:rStyle w:val="TextoNormalCaracter"/>
        </w:rPr>
        <w:t>-</w:t>
      </w:r>
      <w:r>
        <w:t xml:space="preserve"> Sentencia </w:t>
      </w:r>
      <w:hyperlink w:anchor="SENTENCIA_2016_181" w:history="1">
        <w:r w:rsidRPr="00427CF1">
          <w:rPr>
            <w:rStyle w:val="TextoNormalCaracter"/>
          </w:rPr>
          <w:t>181/2016</w:t>
        </w:r>
      </w:hyperlink>
      <w:r>
        <w:t>, ff. 1, 3, 5.</w:t>
      </w:r>
    </w:p>
    <w:p w:rsidR="00427CF1" w:rsidRDefault="00427CF1" w:rsidP="00427CF1">
      <w:pPr>
        <w:pStyle w:val="SangriaFrancesaArticulo"/>
      </w:pPr>
      <w:r w:rsidRPr="00427CF1">
        <w:rPr>
          <w:rStyle w:val="TextoNormalNegritaCaracter"/>
        </w:rPr>
        <w:t>Anexo II.</w:t>
      </w:r>
      <w:r w:rsidRPr="00427CF1">
        <w:rPr>
          <w:rStyle w:val="TextoNormalCaracter"/>
        </w:rPr>
        <w:t>-</w:t>
      </w:r>
      <w:r>
        <w:t xml:space="preserve"> Sentencia </w:t>
      </w:r>
      <w:hyperlink w:anchor="SENTENCIA_2016_181" w:history="1">
        <w:r w:rsidRPr="00427CF1">
          <w:rPr>
            <w:rStyle w:val="TextoNormalCaracter"/>
          </w:rPr>
          <w:t>181/2016</w:t>
        </w:r>
      </w:hyperlink>
      <w:r>
        <w:t>, ff. 1, 3, 5.</w:t>
      </w:r>
    </w:p>
    <w:p w:rsidR="00427CF1" w:rsidRDefault="00427CF1" w:rsidP="00427CF1">
      <w:pPr>
        <w:pStyle w:val="SangriaFrancesaArticulo"/>
      </w:pPr>
    </w:p>
    <w:p w:rsidR="00427CF1" w:rsidRDefault="00427CF1" w:rsidP="00427CF1">
      <w:pPr>
        <w:pStyle w:val="TextoNormalNegritaCursivandice"/>
      </w:pPr>
      <w:r>
        <w:t>Real Decreto-ley 10/2013, de 26 de julio. Se conceden créditos extraordinarios en los presupuestos de los Ministerios de Industria, Energía y Turismo y de Defensa y suplementos de crédito para atender obligaciones del Servicio Público de Empleo Estatal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6" w:history="1">
        <w:r w:rsidRPr="00427CF1">
          <w:rPr>
            <w:rStyle w:val="TextoNormalCaracter"/>
          </w:rPr>
          <w:t>126/2016</w:t>
        </w:r>
      </w:hyperlink>
      <w:r>
        <w:t xml:space="preserve">, f. 4; </w:t>
      </w:r>
      <w:hyperlink w:anchor="SENTENCIA_2016_169" w:history="1">
        <w:r w:rsidRPr="00427CF1">
          <w:rPr>
            <w:rStyle w:val="TextoNormalCaracter"/>
          </w:rPr>
          <w:t>169/2016</w:t>
        </w:r>
      </w:hyperlink>
      <w:r>
        <w:t>, f. 2.</w:t>
      </w:r>
    </w:p>
    <w:p w:rsidR="00427CF1" w:rsidRDefault="00427CF1" w:rsidP="00427CF1">
      <w:pPr>
        <w:pStyle w:val="SangriaFrancesaArticulo"/>
      </w:pPr>
    </w:p>
    <w:p w:rsidR="00427CF1" w:rsidRDefault="00427CF1" w:rsidP="00427CF1">
      <w:pPr>
        <w:pStyle w:val="TextoNormalNegritaCursivandice"/>
      </w:pPr>
      <w:r>
        <w:t>Real Decreto-ley 8/2014, de 4 de julio. Aprobación de medidas urgentes para el crecimiento, la competitividad y la eficiencia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95" w:history="1">
        <w:r w:rsidRPr="00427CF1">
          <w:rPr>
            <w:rStyle w:val="TextoNormalCaracter"/>
          </w:rPr>
          <w:t>195/2016</w:t>
        </w:r>
      </w:hyperlink>
      <w:r>
        <w:t xml:space="preserve">, VP I, VP II; </w:t>
      </w:r>
      <w:hyperlink w:anchor="SENTENCIA_2016_214" w:history="1">
        <w:r w:rsidRPr="00427CF1">
          <w:rPr>
            <w:rStyle w:val="TextoNormalCaracter"/>
          </w:rPr>
          <w:t>214/2016</w:t>
        </w:r>
      </w:hyperlink>
      <w:r>
        <w:t>, f. 2.</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Sentencias </w:t>
      </w:r>
      <w:hyperlink w:anchor="SENTENCIA_2016_195" w:history="1">
        <w:r w:rsidRPr="00427CF1">
          <w:rPr>
            <w:rStyle w:val="TextoNormalCaracter"/>
          </w:rPr>
          <w:t>195/2016</w:t>
        </w:r>
      </w:hyperlink>
      <w:r>
        <w:t xml:space="preserve">, ff. 1, 3 a 6, VP I; </w:t>
      </w:r>
      <w:hyperlink w:anchor="SENTENCIA_2016_214" w:history="1">
        <w:r w:rsidRPr="00427CF1">
          <w:rPr>
            <w:rStyle w:val="TextoNormalCaracter"/>
          </w:rPr>
          <w:t>214/2016</w:t>
        </w:r>
      </w:hyperlink>
      <w:r>
        <w:t>, f. 2.</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Sentencias </w:t>
      </w:r>
      <w:hyperlink w:anchor="SENTENCIA_2016_195" w:history="1">
        <w:r w:rsidRPr="00427CF1">
          <w:rPr>
            <w:rStyle w:val="TextoNormalCaracter"/>
          </w:rPr>
          <w:t>195/2016</w:t>
        </w:r>
      </w:hyperlink>
      <w:r>
        <w:t xml:space="preserve">, ff. 3, 4; </w:t>
      </w:r>
      <w:hyperlink w:anchor="SENTENCIA_2016_214" w:history="1">
        <w:r w:rsidRPr="00427CF1">
          <w:rPr>
            <w:rStyle w:val="TextoNormalCaracter"/>
          </w:rPr>
          <w:t>214/2016</w:t>
        </w:r>
      </w:hyperlink>
      <w:r>
        <w:t>, f. 3.</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Sentencias </w:t>
      </w:r>
      <w:hyperlink w:anchor="SENTENCIA_2016_195" w:history="1">
        <w:r w:rsidRPr="00427CF1">
          <w:rPr>
            <w:rStyle w:val="TextoNormalCaracter"/>
          </w:rPr>
          <w:t>195/2016</w:t>
        </w:r>
      </w:hyperlink>
      <w:r>
        <w:t xml:space="preserve">, ff. 1, 3 a 5, VP I; </w:t>
      </w:r>
      <w:hyperlink w:anchor="SENTENCIA_2016_214" w:history="1">
        <w:r w:rsidRPr="00427CF1">
          <w:rPr>
            <w:rStyle w:val="TextoNormalCaracter"/>
          </w:rPr>
          <w:t>214/2016</w:t>
        </w:r>
      </w:hyperlink>
      <w:r>
        <w:t>, f. 2.</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Sentencias </w:t>
      </w:r>
      <w:hyperlink w:anchor="SENTENCIA_2016_195" w:history="1">
        <w:r w:rsidRPr="00427CF1">
          <w:rPr>
            <w:rStyle w:val="TextoNormalCaracter"/>
          </w:rPr>
          <w:t>195/2016</w:t>
        </w:r>
      </w:hyperlink>
      <w:r>
        <w:t xml:space="preserve">, f. 5;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Sentencias </w:t>
      </w:r>
      <w:hyperlink w:anchor="SENTENCIA_2016_195" w:history="1">
        <w:r w:rsidRPr="00427CF1">
          <w:rPr>
            <w:rStyle w:val="TextoNormalCaracter"/>
          </w:rPr>
          <w:t>195/2016</w:t>
        </w:r>
      </w:hyperlink>
      <w:r>
        <w:t xml:space="preserve">, f. 5;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Disposición final primera.3.</w:t>
      </w:r>
      <w:r w:rsidRPr="00427CF1">
        <w:rPr>
          <w:rStyle w:val="TextoNormalCaracter"/>
        </w:rPr>
        <w:t>-</w:t>
      </w:r>
      <w:r>
        <w:t xml:space="preserve"> Sentencia </w:t>
      </w:r>
      <w:hyperlink w:anchor="SENTENCIA_2016_195" w:history="1">
        <w:r w:rsidRPr="00427CF1">
          <w:rPr>
            <w:rStyle w:val="TextoNormalCaracter"/>
          </w:rPr>
          <w:t>195/2016</w:t>
        </w:r>
      </w:hyperlink>
      <w:r>
        <w:t>, f. 4.</w:t>
      </w:r>
    </w:p>
    <w:p w:rsidR="00427CF1" w:rsidRDefault="00427CF1" w:rsidP="00427CF1">
      <w:pPr>
        <w:pStyle w:val="SangriaFrancesaArticulo"/>
      </w:pPr>
      <w:r w:rsidRPr="00427CF1">
        <w:rPr>
          <w:rStyle w:val="TextoNormalNegritaCaracter"/>
        </w:rPr>
        <w:t>Anexo I.</w:t>
      </w:r>
      <w:r w:rsidRPr="00427CF1">
        <w:rPr>
          <w:rStyle w:val="TextoNormalCaracter"/>
        </w:rPr>
        <w:t>-</w:t>
      </w:r>
      <w:r>
        <w:t xml:space="preserve"> Sentencia </w:t>
      </w:r>
      <w:hyperlink w:anchor="SENTENCIA_2016_214" w:history="1">
        <w:r w:rsidRPr="00427CF1">
          <w:rPr>
            <w:rStyle w:val="TextoNormalCaracter"/>
          </w:rPr>
          <w:t>214/2016</w:t>
        </w:r>
      </w:hyperlink>
      <w:r>
        <w:t>, f. 3.</w:t>
      </w:r>
    </w:p>
    <w:p w:rsidR="00427CF1" w:rsidRDefault="00427CF1" w:rsidP="00427CF1">
      <w:pPr>
        <w:pStyle w:val="SangriaFrancesaArticulo"/>
      </w:pPr>
    </w:p>
    <w:p w:rsidR="00427CF1" w:rsidRDefault="00427CF1" w:rsidP="00427CF1">
      <w:pPr>
        <w:pStyle w:val="TextoNormalNegritaCursivandice"/>
      </w:pPr>
      <w:r>
        <w:t>Real Decreto-ley 11/2014, de 5 de septiembre. Medidas urgentes en materia concursal</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p>
    <w:p w:rsidR="00427CF1" w:rsidRDefault="00427CF1" w:rsidP="00427CF1">
      <w:pPr>
        <w:pStyle w:val="TextoNormalNegritaCursivandice"/>
      </w:pPr>
      <w:r>
        <w:t>Real Decreto-ley 10/2014, de 1 de agosto. Se conceden créditos extraordinarios y suplementos de crédito en el presupuesto de los Ministerios de Asuntos Exteriores y de Cooperación, de Defensa y de Agricultura, Alimentación y Medio Ambiente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6" w:history="1">
        <w:r w:rsidRPr="00427CF1">
          <w:rPr>
            <w:rStyle w:val="TextoNormalCaracter"/>
          </w:rPr>
          <w:t>126/2016</w:t>
        </w:r>
      </w:hyperlink>
      <w:r>
        <w:t xml:space="preserve">, f. 3; </w:t>
      </w:r>
      <w:hyperlink w:anchor="SENTENCIA_2016_169" w:history="1">
        <w:r w:rsidRPr="00427CF1">
          <w:rPr>
            <w:rStyle w:val="TextoNormalCaracter"/>
          </w:rPr>
          <w:t>169/2016</w:t>
        </w:r>
      </w:hyperlink>
      <w:r>
        <w:t>, ff. 1 a 3.</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26" w:history="1">
        <w:r w:rsidRPr="00427CF1">
          <w:rPr>
            <w:rStyle w:val="TextoNormalCaracter"/>
          </w:rPr>
          <w:t>126/2016</w:t>
        </w:r>
      </w:hyperlink>
      <w:r>
        <w:t>, ff. 3, 6.</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Sentencias </w:t>
      </w:r>
      <w:hyperlink w:anchor="SENTENCIA_2016_126" w:history="1">
        <w:r w:rsidRPr="00427CF1">
          <w:rPr>
            <w:rStyle w:val="TextoNormalCaracter"/>
          </w:rPr>
          <w:t>126/2016</w:t>
        </w:r>
      </w:hyperlink>
      <w:r>
        <w:t xml:space="preserve">, ff. 1, 7; </w:t>
      </w:r>
      <w:hyperlink w:anchor="SENTENCIA_2016_169" w:history="1">
        <w:r w:rsidRPr="00427CF1">
          <w:rPr>
            <w:rStyle w:val="TextoNormalCaracter"/>
          </w:rPr>
          <w:t>169/2016</w:t>
        </w:r>
      </w:hyperlink>
      <w:r>
        <w:t>, ff. 2, 3.</w:t>
      </w:r>
    </w:p>
    <w:p w:rsidR="00427CF1" w:rsidRDefault="00427CF1" w:rsidP="00427CF1">
      <w:pPr>
        <w:pStyle w:val="SangriaFrancesaArticulo"/>
      </w:pPr>
    </w:p>
    <w:p w:rsidR="00427CF1" w:rsidRDefault="00427CF1" w:rsidP="00427CF1">
      <w:pPr>
        <w:pStyle w:val="TextoNormalNegritaCursivandice"/>
      </w:pPr>
      <w:r>
        <w:t>Real Decreto-ley 17/2014, de 26 de diciembre. Medidas de sostenibilidad financiera de las comunidades autónomas y entidades locales y otras de carácter económico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6" w:history="1">
        <w:r w:rsidRPr="00427CF1">
          <w:rPr>
            <w:rStyle w:val="TextoNormalCaracter"/>
          </w:rPr>
          <w:t>156/2016</w:t>
        </w:r>
      </w:hyperlink>
      <w:r>
        <w:t>, f. 2.</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Artículos 28 a 34.</w:t>
      </w:r>
      <w:r w:rsidRPr="00427CF1">
        <w:rPr>
          <w:rStyle w:val="TextoNormalCaracter"/>
        </w:rPr>
        <w:t>-</w:t>
      </w:r>
      <w:r>
        <w:t xml:space="preserve"> Sentencia </w:t>
      </w:r>
      <w:hyperlink w:anchor="SENTENCIA_2016_156" w:history="1">
        <w:r w:rsidRPr="00427CF1">
          <w:rPr>
            <w:rStyle w:val="TextoNormalCaracter"/>
          </w:rPr>
          <w:t>156/2016</w:t>
        </w:r>
      </w:hyperlink>
      <w:r>
        <w:t>, f. 4.</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 </w:t>
      </w:r>
      <w:hyperlink w:anchor="SENTENCIA_2016_156" w:history="1">
        <w:r w:rsidRPr="00427CF1">
          <w:rPr>
            <w:rStyle w:val="TextoNormalCaracter"/>
          </w:rPr>
          <w:t>156/2016</w:t>
        </w:r>
      </w:hyperlink>
      <w:r>
        <w:t>, f. 4.</w:t>
      </w:r>
    </w:p>
    <w:p w:rsidR="00427CF1" w:rsidRDefault="00427CF1" w:rsidP="00427CF1">
      <w:pPr>
        <w:pStyle w:val="SangriaFrancesaArticulo"/>
      </w:pPr>
    </w:p>
    <w:p w:rsidR="00427CF1" w:rsidRDefault="00427CF1" w:rsidP="00427CF1">
      <w:pPr>
        <w:pStyle w:val="TextoNormalNegritaCursivandice"/>
      </w:pPr>
      <w:r>
        <w:t>Real Decreto-ley 1/2015, de 27 de febrero. Mecanismo de segunda oportunidad, reducción de carga financiera y otras medidas de orden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0" w:history="1">
        <w:r w:rsidRPr="00427CF1">
          <w:rPr>
            <w:rStyle w:val="TextoNormalCaracter"/>
          </w:rPr>
          <w:t>140/2016</w:t>
        </w:r>
      </w:hyperlink>
      <w:r>
        <w:t xml:space="preserve">, ff. 2, 4, 6; </w:t>
      </w:r>
      <w:hyperlink w:anchor="SENTENCIA_2016_227" w:history="1">
        <w:r w:rsidRPr="00427CF1">
          <w:rPr>
            <w:rStyle w:val="TextoNormalCaracter"/>
          </w:rPr>
          <w:t>227/2016</w:t>
        </w:r>
      </w:hyperlink>
      <w:r>
        <w:t>, ff. 2, 3.</w:t>
      </w:r>
    </w:p>
    <w:p w:rsidR="00427CF1" w:rsidRDefault="00427CF1" w:rsidP="00427CF1">
      <w:pPr>
        <w:pStyle w:val="SangriaIzquierdaArticulo"/>
      </w:pPr>
      <w:r>
        <w:t xml:space="preserve">Autos </w:t>
      </w:r>
      <w:hyperlink w:anchor="AUTO_2016_144" w:history="1">
        <w:r w:rsidRPr="00427CF1">
          <w:rPr>
            <w:rStyle w:val="TextoNormalCaracter"/>
          </w:rPr>
          <w:t>144/2016</w:t>
        </w:r>
      </w:hyperlink>
      <w:r>
        <w:t xml:space="preserve">, f. 5; </w:t>
      </w:r>
      <w:hyperlink w:anchor="AUTO_2016_179" w:history="1">
        <w:r w:rsidRPr="00427CF1">
          <w:rPr>
            <w:rStyle w:val="TextoNormalCaracter"/>
          </w:rPr>
          <w:t>179/2016</w:t>
        </w:r>
      </w:hyperlink>
      <w:r>
        <w:t xml:space="preserve">, ff. 2, 3; </w:t>
      </w:r>
      <w:hyperlink w:anchor="AUTO_2016_193" w:history="1">
        <w:r w:rsidRPr="00427CF1">
          <w:rPr>
            <w:rStyle w:val="TextoNormalCaracter"/>
          </w:rPr>
          <w:t>193/2016</w:t>
        </w:r>
      </w:hyperlink>
      <w:r>
        <w:t>, f. 2.</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213" w:history="1">
        <w:r w:rsidRPr="00427CF1">
          <w:rPr>
            <w:rStyle w:val="TextoNormalCaracter"/>
          </w:rPr>
          <w:t>213/2016</w:t>
        </w:r>
      </w:hyperlink>
      <w:r>
        <w:t>, f. 5.</w:t>
      </w:r>
    </w:p>
    <w:p w:rsidR="00427CF1" w:rsidRDefault="00427CF1" w:rsidP="00427CF1">
      <w:pPr>
        <w:pStyle w:val="SangriaIzquierdaArticulo"/>
      </w:pPr>
      <w:r>
        <w:t xml:space="preserve">Autos </w:t>
      </w:r>
      <w:hyperlink w:anchor="AUTO_2016_144" w:history="1">
        <w:r w:rsidRPr="00427CF1">
          <w:rPr>
            <w:rStyle w:val="TextoNormalCaracter"/>
          </w:rPr>
          <w:t>144/2016</w:t>
        </w:r>
      </w:hyperlink>
      <w:r>
        <w:t xml:space="preserve">, f. 5, VP; </w:t>
      </w:r>
      <w:hyperlink w:anchor="AUTO_2016_160" w:history="1">
        <w:r w:rsidRPr="00427CF1">
          <w:rPr>
            <w:rStyle w:val="TextoNormalCaracter"/>
          </w:rPr>
          <w:t>160/2016</w:t>
        </w:r>
      </w:hyperlink>
      <w:r>
        <w:t>, f. 4.</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Sentencias </w:t>
      </w:r>
      <w:hyperlink w:anchor="SENTENCIA_2016_140" w:history="1">
        <w:r w:rsidRPr="00427CF1">
          <w:rPr>
            <w:rStyle w:val="TextoNormalCaracter"/>
          </w:rPr>
          <w:t>140/2016</w:t>
        </w:r>
      </w:hyperlink>
      <w:r>
        <w:t xml:space="preserve">, f. 2; </w:t>
      </w:r>
      <w:hyperlink w:anchor="SENTENCIA_2016_202" w:history="1">
        <w:r w:rsidRPr="00427CF1">
          <w:rPr>
            <w:rStyle w:val="TextoNormalCaracter"/>
          </w:rPr>
          <w:t>202/2016</w:t>
        </w:r>
      </w:hyperlink>
      <w:r>
        <w:t>, f. 2.</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Sentencias </w:t>
      </w:r>
      <w:hyperlink w:anchor="SENTENCIA_2016_140" w:history="1">
        <w:r w:rsidRPr="00427CF1">
          <w:rPr>
            <w:rStyle w:val="TextoNormalCaracter"/>
          </w:rPr>
          <w:t>140/2016</w:t>
        </w:r>
      </w:hyperlink>
      <w:r>
        <w:t xml:space="preserve">, ff. 2, 6; </w:t>
      </w:r>
      <w:hyperlink w:anchor="SENTENCIA_2016_227" w:history="1">
        <w:r w:rsidRPr="00427CF1">
          <w:rPr>
            <w:rStyle w:val="TextoNormalCaracter"/>
          </w:rPr>
          <w:t>227/2016</w:t>
        </w:r>
      </w:hyperlink>
      <w:r>
        <w:t>, f. 2.</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11.3.</w:t>
      </w:r>
      <w:r w:rsidRPr="00427CF1">
        <w:rPr>
          <w:rStyle w:val="TextoNormalCaracter"/>
        </w:rPr>
        <w:t>-</w:t>
      </w:r>
      <w:r>
        <w:t xml:space="preserve"> Sentencias </w:t>
      </w:r>
      <w:hyperlink w:anchor="SENTENCIA_2016_140" w:history="1">
        <w:r w:rsidRPr="00427CF1">
          <w:rPr>
            <w:rStyle w:val="TextoNormalCaracter"/>
          </w:rPr>
          <w:t>140/2016</w:t>
        </w:r>
      </w:hyperlink>
      <w:r>
        <w:t xml:space="preserve">, f. 2; </w:t>
      </w:r>
      <w:hyperlink w:anchor="SENTENCIA_2016_227" w:history="1">
        <w:r w:rsidRPr="00427CF1">
          <w:rPr>
            <w:rStyle w:val="TextoNormalCaracter"/>
          </w:rPr>
          <w:t>227/2016</w:t>
        </w:r>
      </w:hyperlink>
      <w:r>
        <w:t>, ff. 2, 6.</w:t>
      </w:r>
    </w:p>
    <w:p w:rsidR="00427CF1" w:rsidRDefault="00427CF1" w:rsidP="00427CF1">
      <w:pPr>
        <w:pStyle w:val="SangriaIzquierdaArticulo"/>
      </w:pPr>
      <w:r>
        <w:t xml:space="preserve">Auto </w:t>
      </w:r>
      <w:hyperlink w:anchor="AUTO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227" w:history="1">
        <w:r w:rsidRPr="00427CF1">
          <w:rPr>
            <w:rStyle w:val="TextoNormalCaracter"/>
          </w:rPr>
          <w:t>227/2016</w:t>
        </w:r>
      </w:hyperlink>
      <w:r>
        <w:t>, f. 2.</w:t>
      </w:r>
    </w:p>
    <w:p w:rsidR="00427CF1" w:rsidRDefault="00427CF1" w:rsidP="00427CF1">
      <w:pPr>
        <w:pStyle w:val="SangriaFrancesaArticulo"/>
      </w:pPr>
    </w:p>
    <w:p w:rsidR="00427CF1" w:rsidRDefault="00427CF1" w:rsidP="00427CF1">
      <w:pPr>
        <w:pStyle w:val="TextoNormalNegritaCursivandice"/>
      </w:pPr>
      <w:r>
        <w:t>Real Decreto-ley 7/2015, de 14 de mayo. Se conceden créditos extraordinarios y un suplemento de crédito por importe de 856.440.673,35 euros en el presupuesto del Ministerio de Defensa, para atender al pago de obligaciones correspondientes a Programas Especiales de Armamento y a la realización de otras actuaciones del Departamento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6" w:history="1">
        <w:r w:rsidRPr="00427CF1">
          <w:rPr>
            <w:rStyle w:val="TextoNormalCaracter"/>
          </w:rPr>
          <w:t>126/2016</w:t>
        </w:r>
      </w:hyperlink>
      <w:r>
        <w:t xml:space="preserve">, f. 4; </w:t>
      </w:r>
      <w:hyperlink w:anchor="SENTENCIA_2016_169" w:history="1">
        <w:r w:rsidRPr="00427CF1">
          <w:rPr>
            <w:rStyle w:val="TextoNormalCaracter"/>
          </w:rPr>
          <w:t>169/2016</w:t>
        </w:r>
      </w:hyperlink>
      <w:r>
        <w:t>, ff. 2 a 4.</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69" w:history="1">
        <w:r w:rsidRPr="00427CF1">
          <w:rPr>
            <w:rStyle w:val="TextoNormalCaracter"/>
          </w:rPr>
          <w:t>169/2016</w:t>
        </w:r>
      </w:hyperlink>
      <w:r>
        <w:t>, ff. 1, 3.</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69" w:history="1">
        <w:r w:rsidRPr="00427CF1">
          <w:rPr>
            <w:rStyle w:val="TextoNormalCaracter"/>
          </w:rPr>
          <w:t>169/2016</w:t>
        </w:r>
      </w:hyperlink>
      <w:r>
        <w:t>, ff. 1 a 3.</w:t>
      </w:r>
    </w:p>
    <w:p w:rsidR="00427CF1" w:rsidRDefault="00427CF1" w:rsidP="00427CF1">
      <w:pPr>
        <w:pStyle w:val="SangriaFrancesaArticulo"/>
      </w:pPr>
    </w:p>
    <w:p w:rsidR="00427CF1" w:rsidRDefault="00427CF1" w:rsidP="00427CF1">
      <w:pPr>
        <w:pStyle w:val="TextoNormalNegritaCursivandice"/>
      </w:pPr>
      <w:r>
        <w:t>Real Decreto-ley 9/2015, de 10 de julio. Medidas urgentes para reducir la carga tributaria soportada por los contribuyentes del Impuesto sobre la Renta de las Personas Físicas y otras medidas de carácter económico</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205" w:history="1">
        <w:r w:rsidRPr="00427CF1">
          <w:rPr>
            <w:rStyle w:val="TextoNormalCaracter"/>
          </w:rPr>
          <w:t>205/2016</w:t>
        </w:r>
      </w:hyperlink>
      <w:r>
        <w:t>, f. 3.</w:t>
      </w:r>
    </w:p>
    <w:p w:rsidR="00427CF1" w:rsidRDefault="00427CF1" w:rsidP="00427CF1">
      <w:pPr>
        <w:pStyle w:val="SangriaFrancesaArticulo"/>
      </w:pPr>
      <w:r w:rsidRPr="00427CF1">
        <w:rPr>
          <w:rStyle w:val="TextoNormalNegritaCaracter"/>
        </w:rPr>
        <w:t>Artículo 6.3.</w:t>
      </w:r>
      <w:r w:rsidRPr="00427CF1">
        <w:rPr>
          <w:rStyle w:val="TextoNormalCaracter"/>
        </w:rPr>
        <w:t>-</w:t>
      </w:r>
      <w:r>
        <w:t xml:space="preserve"> Sentencia </w:t>
      </w:r>
      <w:hyperlink w:anchor="SENTENCIA_2016_205" w:history="1">
        <w:r w:rsidRPr="00427CF1">
          <w:rPr>
            <w:rStyle w:val="TextoNormalCaracter"/>
          </w:rPr>
          <w:t>205/2016</w:t>
        </w:r>
      </w:hyperlink>
      <w:r>
        <w:t>, f. 3.</w:t>
      </w:r>
    </w:p>
    <w:p w:rsidR="00427CF1" w:rsidRDefault="00427CF1" w:rsidP="00427CF1">
      <w:pPr>
        <w:pStyle w:val="SangriaFrancesaArticulo"/>
      </w:pPr>
    </w:p>
    <w:p w:rsidR="00427CF1" w:rsidRDefault="00427CF1" w:rsidP="00427CF1">
      <w:pPr>
        <w:pStyle w:val="TextoNormalNegritaCursivandice"/>
      </w:pPr>
      <w:r>
        <w:t>Real Decreto-ley 10/2015, de 11 de septiembre. Se conceden créditos extraordinarios y suplementos de crédito en el presupuesto del Estado y se adoptan otras medidas en materia de empleo público y de estímulo a la economía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4" w:history="1">
        <w:r w:rsidRPr="00427CF1">
          <w:rPr>
            <w:rStyle w:val="TextoNormalCaracter"/>
          </w:rPr>
          <w:t>134/2016</w:t>
        </w:r>
      </w:hyperlink>
      <w:r>
        <w:t>, f. 3.</w:t>
      </w:r>
    </w:p>
    <w:p w:rsidR="00427CF1" w:rsidRDefault="00427CF1" w:rsidP="00427CF1">
      <w:pPr>
        <w:pStyle w:val="SangriaIzquierdaArticulo"/>
      </w:pPr>
      <w:r>
        <w:t xml:space="preserve">Autos </w:t>
      </w:r>
      <w:hyperlink w:anchor="AUTO_2016_138" w:history="1">
        <w:r w:rsidRPr="00427CF1">
          <w:rPr>
            <w:rStyle w:val="TextoNormalCaracter"/>
          </w:rPr>
          <w:t>138/2016</w:t>
        </w:r>
      </w:hyperlink>
      <w:r>
        <w:t xml:space="preserve">, f. 3; </w:t>
      </w:r>
      <w:hyperlink w:anchor="AUTO_2016_139" w:history="1">
        <w:r w:rsidRPr="00427CF1">
          <w:rPr>
            <w:rStyle w:val="TextoNormalCaracter"/>
          </w:rPr>
          <w:t>139/2016</w:t>
        </w:r>
      </w:hyperlink>
      <w:r>
        <w:t xml:space="preserve">, f. 3; </w:t>
      </w:r>
      <w:hyperlink w:anchor="AUTO_2016_143" w:history="1">
        <w:r w:rsidRPr="00427CF1">
          <w:rPr>
            <w:rStyle w:val="TextoNormalCaracter"/>
          </w:rPr>
          <w:t>143/2016</w:t>
        </w:r>
      </w:hyperlink>
      <w:r>
        <w:t>, f. 2.</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Sentencias </w:t>
      </w:r>
      <w:hyperlink w:anchor="SENTENCIA_2016_134" w:history="1">
        <w:r w:rsidRPr="00427CF1">
          <w:rPr>
            <w:rStyle w:val="TextoNormalCaracter"/>
          </w:rPr>
          <w:t>134/2016</w:t>
        </w:r>
      </w:hyperlink>
      <w:r>
        <w:t xml:space="preserve">, f. 3; </w:t>
      </w:r>
      <w:hyperlink w:anchor="SENTENCIA_2016_160" w:history="1">
        <w:r w:rsidRPr="00427CF1">
          <w:rPr>
            <w:rStyle w:val="TextoNormalCaracter"/>
          </w:rPr>
          <w:t>160/2016</w:t>
        </w:r>
      </w:hyperlink>
      <w:r>
        <w:t xml:space="preserve">, f. 3; </w:t>
      </w:r>
      <w:hyperlink w:anchor="SENTENCIA_2016_178" w:history="1">
        <w:r w:rsidRPr="00427CF1">
          <w:rPr>
            <w:rStyle w:val="TextoNormalCaracter"/>
          </w:rPr>
          <w:t>178/2016</w:t>
        </w:r>
      </w:hyperlink>
      <w:r>
        <w:t>, f. 2.</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45" w:history="1">
        <w:r w:rsidRPr="00427CF1">
          <w:rPr>
            <w:rStyle w:val="TextoNormalCaracter"/>
          </w:rPr>
          <w:t>145/2016</w:t>
        </w:r>
      </w:hyperlink>
      <w:r>
        <w:t>, f. 2.</w:t>
      </w:r>
    </w:p>
    <w:p w:rsidR="00427CF1" w:rsidRDefault="00427CF1" w:rsidP="00427CF1">
      <w:pPr>
        <w:pStyle w:val="TextoNormal"/>
      </w:pPr>
    </w:p>
    <w:p w:rsidR="00427CF1" w:rsidRDefault="00427CF1" w:rsidP="00427CF1">
      <w:pPr>
        <w:pStyle w:val="SangriaFrancesaArticulo"/>
      </w:pPr>
      <w:bookmarkStart w:id="195" w:name="INDICE22849"/>
    </w:p>
    <w:bookmarkEnd w:id="195"/>
    <w:p w:rsidR="00427CF1" w:rsidRDefault="00427CF1" w:rsidP="00427CF1">
      <w:pPr>
        <w:pStyle w:val="TextoIndiceNivel2"/>
        <w:suppressAutoHyphens/>
      </w:pPr>
      <w:r>
        <w:t>H) Reales Decretos y otras disposiciones generales del Estado</w:t>
      </w:r>
    </w:p>
    <w:p w:rsidR="00427CF1" w:rsidRDefault="00427CF1" w:rsidP="00427CF1">
      <w:pPr>
        <w:pStyle w:val="TextoIndiceNivel2"/>
      </w:pPr>
    </w:p>
    <w:p w:rsidR="00427CF1" w:rsidRDefault="00427CF1" w:rsidP="00427CF1">
      <w:pPr>
        <w:pStyle w:val="TextoNormalNegritaCursivandice"/>
      </w:pPr>
      <w:r>
        <w:t>Real Decreto 1346/1976, de 9 de abril. Texto refundido de la Ley sobre régimen del suelo y ordenación urbana</w:t>
      </w:r>
    </w:p>
    <w:p w:rsidR="00427CF1" w:rsidRDefault="00427CF1" w:rsidP="00427CF1">
      <w:pPr>
        <w:pStyle w:val="SangriaFrancesaArticulo"/>
      </w:pPr>
      <w:r w:rsidRPr="00427CF1">
        <w:rPr>
          <w:rStyle w:val="TextoNormalNegritaCaracter"/>
        </w:rPr>
        <w:t>Artículo 180.</w:t>
      </w:r>
      <w:r w:rsidRPr="00427CF1">
        <w:rPr>
          <w:rStyle w:val="TextoNormalCaracter"/>
        </w:rPr>
        <w:t>-</w:t>
      </w:r>
      <w:r>
        <w:t xml:space="preserve"> Sentencia </w:t>
      </w:r>
      <w:hyperlink w:anchor="SENTENCIA_2016_182" w:history="1">
        <w:r w:rsidRPr="00427CF1">
          <w:rPr>
            <w:rStyle w:val="TextoNormalCaracter"/>
          </w:rPr>
          <w:t>182/2016</w:t>
        </w:r>
      </w:hyperlink>
      <w:r>
        <w:t>, f. 4.</w:t>
      </w:r>
    </w:p>
    <w:p w:rsidR="00427CF1" w:rsidRDefault="00427CF1" w:rsidP="00427CF1">
      <w:pPr>
        <w:pStyle w:val="SangriaFrancesaArticulo"/>
      </w:pPr>
    </w:p>
    <w:p w:rsidR="00427CF1" w:rsidRDefault="00427CF1" w:rsidP="00427CF1">
      <w:pPr>
        <w:pStyle w:val="TextoNormalNegritaCursivandice"/>
      </w:pPr>
      <w:r>
        <w:t>Real Decreto 1945/1983, de 22 de junio. Regulación de las infracciones y sanciones en materia de defensa del consumidor y de la producción agroalimentaria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2" w:history="1">
        <w:r w:rsidRPr="00427CF1">
          <w:rPr>
            <w:rStyle w:val="TextoNormalCaracter"/>
          </w:rPr>
          <w:t>142/2016</w:t>
        </w:r>
      </w:hyperlink>
      <w:r>
        <w:t>, ff. 4, 12.</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142" w:history="1">
        <w:r w:rsidRPr="00427CF1">
          <w:rPr>
            <w:rStyle w:val="TextoNormalCaracter"/>
          </w:rPr>
          <w:t>142/2016</w:t>
        </w:r>
      </w:hyperlink>
      <w:r>
        <w:t>, f. 12.</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 </w:t>
      </w:r>
      <w:hyperlink w:anchor="SENTENCIA_2016_142" w:history="1">
        <w:r w:rsidRPr="00427CF1">
          <w:rPr>
            <w:rStyle w:val="TextoNormalCaracter"/>
          </w:rPr>
          <w:t>142/2016</w:t>
        </w:r>
      </w:hyperlink>
      <w:r>
        <w:t>, f. 12.</w:t>
      </w:r>
    </w:p>
    <w:p w:rsidR="00427CF1" w:rsidRDefault="00427CF1" w:rsidP="00427CF1">
      <w:pPr>
        <w:pStyle w:val="SangriaFrancesaArticulo"/>
      </w:pPr>
    </w:p>
    <w:p w:rsidR="00427CF1" w:rsidRDefault="00427CF1" w:rsidP="00427CF1">
      <w:pPr>
        <w:pStyle w:val="TextoNormalNegritaCursivandice"/>
      </w:pPr>
      <w:r>
        <w:t>Real Decreto 512/1984, de 8 de febrero. Valoración definitiva, ampliación de medios adscritos a los servicios traspasados y adaptación de los transferidos en fase preautonómica al Principado de Asturias en materia de sanidad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3" w:history="1">
        <w:r w:rsidRPr="00427CF1">
          <w:rPr>
            <w:rStyle w:val="TextoNormalCaracter"/>
          </w:rPr>
          <w:t>183/2016</w:t>
        </w:r>
      </w:hyperlink>
      <w:r>
        <w:t>, f. 5.</w:t>
      </w:r>
    </w:p>
    <w:p w:rsidR="00427CF1" w:rsidRDefault="00427CF1" w:rsidP="00427CF1">
      <w:pPr>
        <w:pStyle w:val="SangriaFrancesaArticulo"/>
      </w:pPr>
    </w:p>
    <w:p w:rsidR="00427CF1" w:rsidRDefault="00427CF1" w:rsidP="00427CF1">
      <w:pPr>
        <w:pStyle w:val="TextoNormalNegritaCursivandice"/>
      </w:pPr>
      <w:r>
        <w:t>Real Decreto 1771/1985, de 1 de agosto. Traspaso de funciones y servicios de la Administración del Estado a la Generalidad de Cataluña en materia de espectáculos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f. 4, VP II.</w:t>
      </w:r>
    </w:p>
    <w:p w:rsidR="00427CF1" w:rsidRDefault="00427CF1" w:rsidP="00427CF1">
      <w:pPr>
        <w:pStyle w:val="SangriaFrancesaArticulo"/>
      </w:pPr>
    </w:p>
    <w:p w:rsidR="00427CF1" w:rsidRDefault="00427CF1" w:rsidP="00427CF1">
      <w:pPr>
        <w:pStyle w:val="TextoNormalNegritaCursivandice"/>
      </w:pPr>
      <w:r>
        <w:t>Real Decreto 650/1987, de 8 de mayo. Definición de los ámbitos territoriales de los organismos de cuenca y de los planes hidrológicos</w:t>
      </w:r>
    </w:p>
    <w:p w:rsidR="00427CF1" w:rsidRDefault="00427CF1" w:rsidP="00427CF1">
      <w:pPr>
        <w:pStyle w:val="SangriaFrancesaArticulo"/>
      </w:pPr>
      <w:r w:rsidRPr="00427CF1">
        <w:rPr>
          <w:rStyle w:val="TextoNormalNegritaCaracter"/>
        </w:rPr>
        <w:t>Artículo 1.8</w:t>
      </w:r>
      <w:r>
        <w:t xml:space="preserve"> (redactado por el Real Decreto 775/2015, de 28 de agosto)</w:t>
      </w:r>
      <w:r w:rsidRPr="00427CF1">
        <w:rPr>
          <w:rStyle w:val="TextoNormalNegritaCaracter"/>
        </w:rPr>
        <w:t>.</w:t>
      </w:r>
      <w:r w:rsidRPr="00427CF1">
        <w:rPr>
          <w:rStyle w:val="TextoNormalCaracter"/>
        </w:rPr>
        <w:t>-</w:t>
      </w:r>
      <w:r>
        <w:t xml:space="preserve"> Sentencia </w:t>
      </w:r>
      <w:hyperlink w:anchor="SENTENCIA_2016_216" w:history="1">
        <w:r w:rsidRPr="00427CF1">
          <w:rPr>
            <w:rStyle w:val="TextoNormalCaracter"/>
          </w:rPr>
          <w:t>216/2016</w:t>
        </w:r>
      </w:hyperlink>
      <w:r>
        <w:t>, f. 2.</w:t>
      </w:r>
    </w:p>
    <w:p w:rsidR="00427CF1" w:rsidRDefault="00427CF1" w:rsidP="00427CF1">
      <w:pPr>
        <w:pStyle w:val="SangriaFrancesaArticulo"/>
      </w:pPr>
    </w:p>
    <w:p w:rsidR="00427CF1" w:rsidRDefault="00427CF1" w:rsidP="00427CF1">
      <w:pPr>
        <w:pStyle w:val="TextoNormalNegritaCursivandice"/>
      </w:pPr>
      <w:r>
        <w:t>Real Decreto 1678/1987, de 30 de diciembre. Reglamenta la profesión de habilitado de clases pasivas en los aspectos de la misma relacionados con los fines administrativos en materia de clases pasivas y con el interés general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219" w:history="1">
        <w:r w:rsidRPr="00427CF1">
          <w:rPr>
            <w:rStyle w:val="TextoNormalCaracter"/>
          </w:rPr>
          <w:t>219/2016</w:t>
        </w:r>
      </w:hyperlink>
      <w:r>
        <w:t xml:space="preserve">, f. 6; </w:t>
      </w:r>
      <w:hyperlink w:anchor="SENTENCIA_2016_220" w:history="1">
        <w:r w:rsidRPr="00427CF1">
          <w:rPr>
            <w:rStyle w:val="TextoNormalCaracter"/>
          </w:rPr>
          <w:t>220/2016</w:t>
        </w:r>
      </w:hyperlink>
      <w:r>
        <w:t>, f. 6.</w:t>
      </w:r>
    </w:p>
    <w:p w:rsidR="00427CF1" w:rsidRDefault="00427CF1" w:rsidP="00427CF1">
      <w:pPr>
        <w:pStyle w:val="SangriaFrancesaArticulo"/>
      </w:pPr>
      <w:r w:rsidRPr="00427CF1">
        <w:rPr>
          <w:rStyle w:val="TextoNormalNegritaCaracter"/>
        </w:rPr>
        <w:t>Artículo 47 a).</w:t>
      </w:r>
      <w:r w:rsidRPr="00427CF1">
        <w:rPr>
          <w:rStyle w:val="TextoNormalCaracter"/>
        </w:rPr>
        <w:t>-</w:t>
      </w:r>
      <w:r>
        <w:t xml:space="preserve"> Sentencias </w:t>
      </w:r>
      <w:hyperlink w:anchor="SENTENCIA_2016_219" w:history="1">
        <w:r w:rsidRPr="00427CF1">
          <w:rPr>
            <w:rStyle w:val="TextoNormalCaracter"/>
          </w:rPr>
          <w:t>219/2016</w:t>
        </w:r>
      </w:hyperlink>
      <w:r>
        <w:t xml:space="preserve">, ff. 1, 4, 6, 8, 9; </w:t>
      </w:r>
      <w:hyperlink w:anchor="SENTENCIA_2016_220" w:history="1">
        <w:r w:rsidRPr="00427CF1">
          <w:rPr>
            <w:rStyle w:val="TextoNormalCaracter"/>
          </w:rPr>
          <w:t>220/2016</w:t>
        </w:r>
      </w:hyperlink>
      <w:r>
        <w:t>, ff. 1, 4, 6, 8, 9.</w:t>
      </w:r>
    </w:p>
    <w:p w:rsidR="00427CF1" w:rsidRDefault="00427CF1" w:rsidP="00427CF1">
      <w:pPr>
        <w:pStyle w:val="SangriaFrancesaArticulo"/>
      </w:pPr>
    </w:p>
    <w:p w:rsidR="00427CF1" w:rsidRDefault="00427CF1" w:rsidP="00427CF1">
      <w:pPr>
        <w:pStyle w:val="TextoNormalNegritaCursivandice"/>
      </w:pPr>
      <w:r>
        <w:t>Real Decreto 927/1988, de 29 de julio. Reglamento de la Administración pública del agua y de la planificación hidrológica, en desarrollo de los títulos II y III de la Ley 29/1985, de 2 de agosto, de aguas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p>
    <w:p w:rsidR="00427CF1" w:rsidRDefault="00427CF1" w:rsidP="00427CF1">
      <w:pPr>
        <w:pStyle w:val="TextoNormalNegritaCursivandice"/>
      </w:pPr>
      <w:r>
        <w:t>Real Decreto 924/1989, de 21 de julio. Constituye el Organismo de cuenca Confederación Hidrográfica del Júcar</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4 a).</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p>
    <w:p w:rsidR="00427CF1" w:rsidRDefault="00427CF1" w:rsidP="00427CF1">
      <w:pPr>
        <w:pStyle w:val="TextoNormalNegritaCursivandice"/>
      </w:pPr>
      <w:r>
        <w:t>Real Decreto 1088/1989, de 8 de septiembre. Extiende la cobertura de la asistencia sanitaria de la Seguridad Social a las personas sin recursos económicos suficientes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39" w:history="1">
        <w:r w:rsidRPr="00427CF1">
          <w:rPr>
            <w:rStyle w:val="TextoNormalCaracter"/>
          </w:rPr>
          <w:t>139/2016</w:t>
        </w:r>
      </w:hyperlink>
      <w:r>
        <w:t>, f. 9.</w:t>
      </w:r>
    </w:p>
    <w:p w:rsidR="00427CF1" w:rsidRDefault="00427CF1" w:rsidP="00427CF1">
      <w:pPr>
        <w:pStyle w:val="SangriaFrancesaArticulo"/>
      </w:pPr>
    </w:p>
    <w:p w:rsidR="00427CF1" w:rsidRDefault="00427CF1" w:rsidP="00427CF1">
      <w:pPr>
        <w:pStyle w:val="TextoNormalNegritaCursivandice"/>
      </w:pPr>
      <w:r>
        <w:t>Real Decreto 176/1992, de 28 de febrero. Aprueba el reglamento de espectáculos taurinos</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Real Decreto 1398/1993, de 4 de agosto. Reglamento del procedimiento para el ejercicio de la potestad sancionadora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2" w:history="1">
        <w:r w:rsidRPr="00427CF1">
          <w:rPr>
            <w:rStyle w:val="TextoNormalCaracter"/>
          </w:rPr>
          <w:t>142/2016</w:t>
        </w:r>
      </w:hyperlink>
      <w:r>
        <w:t>, ff. 12, 13.</w:t>
      </w:r>
    </w:p>
    <w:p w:rsidR="00427CF1" w:rsidRDefault="00427CF1" w:rsidP="00427CF1">
      <w:pPr>
        <w:pStyle w:val="SangriaFrancesaArticulo"/>
      </w:pPr>
    </w:p>
    <w:p w:rsidR="00427CF1" w:rsidRDefault="00427CF1" w:rsidP="00427CF1">
      <w:pPr>
        <w:pStyle w:val="TextoNormalNegritaCursivandice"/>
      </w:pPr>
      <w:r>
        <w:t>Real Decreto 85/1996, de 26 de enero. Establece normas para la aplicación del Reglamento (CEE) 1836/93, del Consejo, de 29 de junio, por el que se permite que las empresas del sector industrial se adhieran con carácter voluntario a un sistema comunitario de gestión y auditoría medio ambientales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41" w:history="1">
        <w:r w:rsidRPr="00427CF1">
          <w:rPr>
            <w:rStyle w:val="TextoNormalCaracter"/>
          </w:rPr>
          <w:t>141/2016</w:t>
        </w:r>
      </w:hyperlink>
      <w:r>
        <w:t>, f. 2.</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Sentencia </w:t>
      </w:r>
      <w:hyperlink w:anchor="SENTENCIA_2016_141" w:history="1">
        <w:r w:rsidRPr="00427CF1">
          <w:rPr>
            <w:rStyle w:val="TextoNormalCaracter"/>
          </w:rPr>
          <w:t>141/2016</w:t>
        </w:r>
      </w:hyperlink>
      <w:r>
        <w:t>, f. 2.</w:t>
      </w:r>
    </w:p>
    <w:p w:rsidR="00427CF1" w:rsidRDefault="00427CF1" w:rsidP="00427CF1">
      <w:pPr>
        <w:pStyle w:val="SangriaFrancesaArticulo"/>
      </w:pPr>
    </w:p>
    <w:p w:rsidR="00427CF1" w:rsidRDefault="00427CF1" w:rsidP="00427CF1">
      <w:pPr>
        <w:pStyle w:val="TextoNormalNegritaCursivandice"/>
      </w:pPr>
      <w:r>
        <w:t>Real Decreto 145/1996, de 2 de febrero. Modifica y da nueva redacción al reglamento de espectáculos taurinos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Real Decreto 190/1996, de 9 de febrero. Reglamento penitenciario</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Sentencia </w:t>
      </w:r>
      <w:hyperlink w:anchor="SENTENCIA_2016_161" w:history="1">
        <w:r w:rsidRPr="00427CF1">
          <w:rPr>
            <w:rStyle w:val="TextoNormalCaracter"/>
          </w:rPr>
          <w:t>161/2016</w:t>
        </w:r>
      </w:hyperlink>
      <w:r>
        <w:t>, f. 5.</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 </w:t>
      </w:r>
      <w:hyperlink w:anchor="SENTENCIA_2016_161" w:history="1">
        <w:r w:rsidRPr="00427CF1">
          <w:rPr>
            <w:rStyle w:val="TextoNormalCaracter"/>
          </w:rPr>
          <w:t>161/2016</w:t>
        </w:r>
      </w:hyperlink>
      <w:r>
        <w:t>, f. 4.</w:t>
      </w:r>
    </w:p>
    <w:p w:rsidR="00427CF1" w:rsidRDefault="00427CF1" w:rsidP="00427CF1">
      <w:pPr>
        <w:pStyle w:val="SangriaFrancesaArticulo"/>
      </w:pPr>
      <w:r w:rsidRPr="00427CF1">
        <w:rPr>
          <w:rStyle w:val="TextoNormalNegritaCaracter"/>
        </w:rPr>
        <w:t>Artículo 71.2.</w:t>
      </w:r>
      <w:r w:rsidRPr="00427CF1">
        <w:rPr>
          <w:rStyle w:val="TextoNormalCaracter"/>
        </w:rPr>
        <w:t>-</w:t>
      </w:r>
      <w:r>
        <w:t xml:space="preserve"> Sentencia </w:t>
      </w:r>
      <w:hyperlink w:anchor="SENTENCIA_2016_161" w:history="1">
        <w:r w:rsidRPr="00427CF1">
          <w:rPr>
            <w:rStyle w:val="TextoNormalCaracter"/>
          </w:rPr>
          <w:t>161/2016</w:t>
        </w:r>
      </w:hyperlink>
      <w:r>
        <w:t>, f. 4.</w:t>
      </w:r>
    </w:p>
    <w:p w:rsidR="00427CF1" w:rsidRDefault="00427CF1" w:rsidP="00427CF1">
      <w:pPr>
        <w:pStyle w:val="SangriaFrancesaArticulo"/>
      </w:pPr>
    </w:p>
    <w:p w:rsidR="00427CF1" w:rsidRDefault="00427CF1" w:rsidP="00427CF1">
      <w:pPr>
        <w:pStyle w:val="TextoNormalNegritaCursivandice"/>
      </w:pPr>
      <w:r>
        <w:t>Real Decreto 1093/1997, de 4 de julio. Aprueba las normas complementarias al reglamento para la ejecución de la Ley hipotecaria sobre inscripción en el registro de la propiedad de actos de naturaleza urbanística</w:t>
      </w:r>
    </w:p>
    <w:p w:rsidR="00427CF1" w:rsidRDefault="00427CF1" w:rsidP="00427CF1">
      <w:pPr>
        <w:pStyle w:val="SangriaFrancesaArticulo"/>
      </w:pPr>
      <w:r w:rsidRPr="00427CF1">
        <w:rPr>
          <w:rStyle w:val="TextoNormalNegritaCaracter"/>
        </w:rPr>
        <w:t>Artículo 104.</w:t>
      </w:r>
      <w:r w:rsidRPr="00427CF1">
        <w:rPr>
          <w:rStyle w:val="TextoNormalCaracter"/>
        </w:rPr>
        <w:t>-</w:t>
      </w:r>
      <w:r>
        <w:t xml:space="preserve"> Auto </w:t>
      </w:r>
      <w:hyperlink w:anchor="AUTO_2016_146" w:history="1">
        <w:r w:rsidRPr="00427CF1">
          <w:rPr>
            <w:rStyle w:val="TextoNormalCaracter"/>
          </w:rPr>
          <w:t>146/2016</w:t>
        </w:r>
      </w:hyperlink>
      <w:r>
        <w:t>, f. 4.</w:t>
      </w:r>
    </w:p>
    <w:p w:rsidR="00427CF1" w:rsidRDefault="00427CF1" w:rsidP="00427CF1">
      <w:pPr>
        <w:pStyle w:val="SangriaFrancesaArticulo"/>
      </w:pPr>
      <w:r w:rsidRPr="00427CF1">
        <w:rPr>
          <w:rStyle w:val="TextoNormalNegritaCaracter"/>
        </w:rPr>
        <w:t>Articulo 126.</w:t>
      </w:r>
      <w:r w:rsidRPr="00427CF1">
        <w:rPr>
          <w:rStyle w:val="TextoNormalCaracter"/>
        </w:rPr>
        <w:t>-</w:t>
      </w:r>
      <w:r>
        <w:t xml:space="preserve"> Auto </w:t>
      </w:r>
      <w:hyperlink w:anchor="AUTO_2016_146" w:history="1">
        <w:r w:rsidRPr="00427CF1">
          <w:rPr>
            <w:rStyle w:val="TextoNormalCaracter"/>
          </w:rPr>
          <w:t>146/2016</w:t>
        </w:r>
      </w:hyperlink>
      <w:r>
        <w:t>, f. 4.</w:t>
      </w:r>
    </w:p>
    <w:p w:rsidR="00427CF1" w:rsidRDefault="00427CF1" w:rsidP="00427CF1">
      <w:pPr>
        <w:pStyle w:val="SangriaFrancesaArticulo"/>
      </w:pPr>
      <w:r w:rsidRPr="00427CF1">
        <w:rPr>
          <w:rStyle w:val="TextoNormalNegritaCaracter"/>
        </w:rPr>
        <w:t>Artículo 127.</w:t>
      </w:r>
      <w:r w:rsidRPr="00427CF1">
        <w:rPr>
          <w:rStyle w:val="TextoNormalCaracter"/>
        </w:rPr>
        <w:t>-</w:t>
      </w:r>
      <w:r>
        <w:t xml:space="preserve"> Auto </w:t>
      </w:r>
      <w:hyperlink w:anchor="AUTO_2016_146" w:history="1">
        <w:r w:rsidRPr="00427CF1">
          <w:rPr>
            <w:rStyle w:val="TextoNormalCaracter"/>
          </w:rPr>
          <w:t>146/2016</w:t>
        </w:r>
      </w:hyperlink>
      <w:r>
        <w:t>, f. 4.</w:t>
      </w:r>
    </w:p>
    <w:p w:rsidR="00427CF1" w:rsidRDefault="00427CF1" w:rsidP="00427CF1">
      <w:pPr>
        <w:pStyle w:val="SangriaFrancesaArticulo"/>
      </w:pPr>
    </w:p>
    <w:p w:rsidR="00427CF1" w:rsidRDefault="00427CF1" w:rsidP="00427CF1">
      <w:pPr>
        <w:pStyle w:val="TextoNormalNegritaCursivandice"/>
      </w:pPr>
      <w:r>
        <w:t>Real Decreto 2017/1997, de 26 de diciembre. Organiza y regula el procedimiento de liquidación de los costes de transporte, distribución y comercialización a tarifa, de los costes permanentes del sistema y de los costes de diversificación y seguridad de abastecimiento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96" w:history="1">
        <w:r w:rsidRPr="00427CF1">
          <w:rPr>
            <w:rStyle w:val="TextoNormalCaracter"/>
          </w:rPr>
          <w:t>196/2016</w:t>
        </w:r>
      </w:hyperlink>
      <w:r>
        <w:t xml:space="preserve">, f. 3; </w:t>
      </w:r>
      <w:hyperlink w:anchor="SENTENCIA_2016_198" w:history="1">
        <w:r w:rsidRPr="00427CF1">
          <w:rPr>
            <w:rStyle w:val="TextoNormalCaracter"/>
          </w:rPr>
          <w:t>198/2016</w:t>
        </w:r>
      </w:hyperlink>
      <w:r>
        <w:t>, f. 3.</w:t>
      </w:r>
    </w:p>
    <w:p w:rsidR="00427CF1" w:rsidRDefault="00427CF1" w:rsidP="00427CF1">
      <w:pPr>
        <w:pStyle w:val="SangriaFrancesaArticulo"/>
      </w:pPr>
      <w:r w:rsidRPr="00427CF1">
        <w:rPr>
          <w:rStyle w:val="TextoNormalNegritaCaracter"/>
        </w:rPr>
        <w:t>Artículo 13 b).</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r w:rsidRPr="00427CF1">
        <w:rPr>
          <w:rStyle w:val="TextoNormalNegritaCaracter"/>
        </w:rPr>
        <w:t>Anexo I, apartado 1.</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r w:rsidRPr="00427CF1">
        <w:rPr>
          <w:rStyle w:val="TextoNormalNegritaCaracter"/>
        </w:rPr>
        <w:t>Anexo I, apartado 9.</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r w:rsidRPr="00427CF1">
        <w:rPr>
          <w:rStyle w:val="TextoNormalNegritaCaracter"/>
        </w:rPr>
        <w:t>Anexo III.</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p>
    <w:p w:rsidR="00427CF1" w:rsidRDefault="00427CF1" w:rsidP="00427CF1">
      <w:pPr>
        <w:pStyle w:val="TextoNormalNegritaCursivandice"/>
      </w:pPr>
      <w:r>
        <w:t>Real Decreto 2819/1998, de 23 de diciembre. Se regulan las actividades de transporte y distribución de energía eléctrica. Disposición derogada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Real Decreto 1199/1999, de 9 de julio. Desarrolla la Ley 13/1998, de 4 de mayo, de ordenación del mercado de tabacos y normativa tributaria</w:t>
      </w:r>
    </w:p>
    <w:p w:rsidR="00427CF1" w:rsidRDefault="00427CF1" w:rsidP="00427CF1">
      <w:pPr>
        <w:pStyle w:val="SangriaFrancesaArticulo"/>
      </w:pPr>
      <w:r w:rsidRPr="00427CF1">
        <w:rPr>
          <w:rStyle w:val="TextoNormalNegritaCaracter"/>
        </w:rPr>
        <w:t>Artículo 29 g).</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p>
    <w:p w:rsidR="00427CF1" w:rsidRDefault="00427CF1" w:rsidP="00427CF1">
      <w:pPr>
        <w:pStyle w:val="TextoNormalNegritaCursivandice"/>
      </w:pPr>
      <w:r>
        <w:t>Real Decreto 1955/2000, de 1 de diciembre. Regula las actividades de transporte, distribución, comercialización, suministro y procedimientos de autorización de instalaciones de energía eléctrica</w:t>
      </w:r>
    </w:p>
    <w:p w:rsidR="00427CF1" w:rsidRDefault="00427CF1" w:rsidP="00427CF1">
      <w:pPr>
        <w:pStyle w:val="SangriaFrancesaArticulo"/>
      </w:pPr>
      <w:r w:rsidRPr="00427CF1">
        <w:rPr>
          <w:rStyle w:val="TextoNormalNegritaCaracter"/>
        </w:rPr>
        <w:t>Título VII.</w:t>
      </w:r>
      <w:r w:rsidRPr="00427CF1">
        <w:rPr>
          <w:rStyle w:val="TextoNormalCaracter"/>
        </w:rPr>
        <w:t>-</w:t>
      </w:r>
      <w:r>
        <w:t xml:space="preserve"> Sentencia </w:t>
      </w:r>
      <w:hyperlink w:anchor="SENTENCIA_2016_171" w:history="1">
        <w:r w:rsidRPr="00427CF1">
          <w:rPr>
            <w:rStyle w:val="TextoNormalCaracter"/>
          </w:rPr>
          <w:t>171/2016</w:t>
        </w:r>
      </w:hyperlink>
      <w:r>
        <w:t>, f. 6.</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71" w:history="1">
        <w:r w:rsidRPr="00427CF1">
          <w:rPr>
            <w:rStyle w:val="TextoNormalCaracter"/>
          </w:rPr>
          <w:t>171/2016</w:t>
        </w:r>
      </w:hyperlink>
      <w:r>
        <w:t>, f. 6.</w:t>
      </w:r>
    </w:p>
    <w:p w:rsidR="00427CF1" w:rsidRDefault="00427CF1" w:rsidP="00427CF1">
      <w:pPr>
        <w:pStyle w:val="SangriaFrancesaArticulo"/>
      </w:pPr>
      <w:r w:rsidRPr="00427CF1">
        <w:rPr>
          <w:rStyle w:val="TextoNormalNegritaCaracter"/>
        </w:rPr>
        <w:t>Artículo 121 bis.</w:t>
      </w:r>
      <w:r w:rsidRPr="00427CF1">
        <w:rPr>
          <w:rStyle w:val="TextoNormalCaracter"/>
        </w:rPr>
        <w:t>-</w:t>
      </w:r>
      <w:r>
        <w:t xml:space="preserve"> Sentencia </w:t>
      </w:r>
      <w:hyperlink w:anchor="SENTENCIA_2016_171" w:history="1">
        <w:r w:rsidRPr="00427CF1">
          <w:rPr>
            <w:rStyle w:val="TextoNormalCaracter"/>
          </w:rPr>
          <w:t>171/2016</w:t>
        </w:r>
      </w:hyperlink>
      <w:r>
        <w:t>, ff. 5, 6.</w:t>
      </w:r>
    </w:p>
    <w:p w:rsidR="00427CF1" w:rsidRDefault="00427CF1" w:rsidP="00427CF1">
      <w:pPr>
        <w:pStyle w:val="SangriaFrancesaArticulo"/>
      </w:pPr>
    </w:p>
    <w:p w:rsidR="00427CF1" w:rsidRDefault="00427CF1" w:rsidP="00427CF1">
      <w:pPr>
        <w:pStyle w:val="TextoNormalNegritaCursivandice"/>
      </w:pPr>
      <w:r>
        <w:t>Real Decreto 1471/2001, de 27 de diciembre. Traspaso al Principado de Asturias de las funciones y servicios del Instituto nacional de la salud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3" w:history="1">
        <w:r w:rsidRPr="00427CF1">
          <w:rPr>
            <w:rStyle w:val="TextoNormalCaracter"/>
          </w:rPr>
          <w:t>183/2016</w:t>
        </w:r>
      </w:hyperlink>
      <w:r>
        <w:t>, f. 5.</w:t>
      </w:r>
    </w:p>
    <w:p w:rsidR="00427CF1" w:rsidRDefault="00427CF1" w:rsidP="00427CF1">
      <w:pPr>
        <w:pStyle w:val="SangriaFrancesaArticulo"/>
      </w:pPr>
    </w:p>
    <w:p w:rsidR="00427CF1" w:rsidRDefault="00427CF1" w:rsidP="00427CF1">
      <w:pPr>
        <w:pStyle w:val="TextoNormalNegritaCursivandice"/>
      </w:pPr>
      <w:r>
        <w:t>Real Decreto 436/2004, de 12 de marzo. Establece la metodología para la actualización y sistematización del régimen jurídico y económico de la actividad de producción de energía eléctrica en régimen especial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p>
    <w:p w:rsidR="00427CF1" w:rsidRDefault="00427CF1" w:rsidP="00427CF1">
      <w:pPr>
        <w:pStyle w:val="TextoNormalNegritaCursivandice"/>
      </w:pPr>
      <w:r>
        <w:t>Real Decreto 520/2005, de 13 de mayo. Reglamento general de desarrollo de la Ley 58/2003, de 17 de diciembre, general tributaria, en materia de revisión en vía administrativa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3" w:history="1">
        <w:r w:rsidRPr="00427CF1">
          <w:rPr>
            <w:rStyle w:val="TextoNormalCaracter"/>
          </w:rPr>
          <w:t>133/2016</w:t>
        </w:r>
      </w:hyperlink>
      <w:r>
        <w:t>, f. 4.</w:t>
      </w:r>
    </w:p>
    <w:p w:rsidR="00427CF1" w:rsidRDefault="00427CF1" w:rsidP="00427CF1">
      <w:pPr>
        <w:pStyle w:val="SangriaFrancesaArticulo"/>
      </w:pPr>
    </w:p>
    <w:p w:rsidR="00427CF1" w:rsidRDefault="00427CF1" w:rsidP="00427CF1">
      <w:pPr>
        <w:pStyle w:val="TextoNormalNegritaCursivandice"/>
      </w:pPr>
      <w:r>
        <w:t>Real Decreto 939/2005, de 29 de julio. Aprueba el reglamento general de recaudación</w:t>
      </w:r>
    </w:p>
    <w:p w:rsidR="00427CF1" w:rsidRDefault="00427CF1" w:rsidP="00427CF1">
      <w:pPr>
        <w:pStyle w:val="SangriaFrancesaArticulo"/>
      </w:pPr>
      <w:r w:rsidRPr="00427CF1">
        <w:rPr>
          <w:rStyle w:val="TextoNormalNegritaCaracter"/>
        </w:rPr>
        <w:t>Artículo 44.</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Real Decreto 1030/2006, de 15 de septiembre. Cartera de servicios  comunes del sistema nacional de salud y  el procedimiento para su actualización</w:t>
      </w:r>
    </w:p>
    <w:p w:rsidR="00427CF1" w:rsidRDefault="00427CF1" w:rsidP="00427CF1">
      <w:pPr>
        <w:pStyle w:val="SangriaFrancesaArticulo"/>
      </w:pPr>
      <w:r w:rsidRPr="00427CF1">
        <w:rPr>
          <w:rStyle w:val="TextoNormalNegritaCaracter"/>
        </w:rPr>
        <w:t>Anexo V.</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Anexo V, apartado 3.</w:t>
      </w:r>
      <w:r w:rsidRPr="00427CF1">
        <w:rPr>
          <w:rStyle w:val="TextoNormalCaracter"/>
        </w:rPr>
        <w:t>-</w:t>
      </w:r>
      <w:r>
        <w:t xml:space="preserve"> Sentencia </w:t>
      </w:r>
      <w:hyperlink w:anchor="SENTENCIA_2016_139" w:history="1">
        <w:r w:rsidRPr="00427CF1">
          <w:rPr>
            <w:rStyle w:val="TextoNormalCaracter"/>
          </w:rPr>
          <w:t>139/2016</w:t>
        </w:r>
      </w:hyperlink>
      <w:r>
        <w:t>, f. 11.</w:t>
      </w:r>
    </w:p>
    <w:p w:rsidR="00427CF1" w:rsidRDefault="00427CF1" w:rsidP="00427CF1">
      <w:pPr>
        <w:pStyle w:val="SangriaFrancesaArticulo"/>
      </w:pPr>
    </w:p>
    <w:p w:rsidR="00427CF1" w:rsidRDefault="00427CF1" w:rsidP="00427CF1">
      <w:pPr>
        <w:pStyle w:val="TextoNormalNegritaCursivandice"/>
      </w:pPr>
      <w:r>
        <w:t>Real Decreto 125/2007, de 2 de febrero. Ámbito territorial de las demarcaciones hidrográficas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2.3</w:t>
      </w:r>
      <w:r>
        <w:t xml:space="preserve"> (redactado por el Real Decreto 775/2015, de 28 de agosto)</w:t>
      </w:r>
      <w:r w:rsidRPr="00427CF1">
        <w:rPr>
          <w:rStyle w:val="TextoNormalNegritaCaracter"/>
        </w:rPr>
        <w:t>.</w:t>
      </w:r>
      <w:r w:rsidRPr="00427CF1">
        <w:rPr>
          <w:rStyle w:val="TextoNormalCaracter"/>
        </w:rPr>
        <w:t>-</w:t>
      </w:r>
      <w:r>
        <w:t xml:space="preserve"> Sentencia </w:t>
      </w:r>
      <w:hyperlink w:anchor="SENTENCIA_2016_216" w:history="1">
        <w:r w:rsidRPr="00427CF1">
          <w:rPr>
            <w:rStyle w:val="TextoNormalCaracter"/>
          </w:rPr>
          <w:t>216/2016</w:t>
        </w:r>
      </w:hyperlink>
      <w:r>
        <w:t>, ff. 2 a 4, 7.</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 </w:t>
      </w:r>
      <w:hyperlink w:anchor="SENTENCIA_2016_216" w:history="1">
        <w:r w:rsidRPr="00427CF1">
          <w:rPr>
            <w:rStyle w:val="TextoNormalCaracter"/>
          </w:rPr>
          <w:t>216/2016</w:t>
        </w:r>
      </w:hyperlink>
      <w:r>
        <w:t>, f. 2.</w:t>
      </w:r>
    </w:p>
    <w:p w:rsidR="00427CF1" w:rsidRDefault="00427CF1" w:rsidP="00427CF1">
      <w:pPr>
        <w:pStyle w:val="SangriaFrancesaArticulo"/>
      </w:pPr>
    </w:p>
    <w:p w:rsidR="00427CF1" w:rsidRDefault="00427CF1" w:rsidP="00427CF1">
      <w:pPr>
        <w:pStyle w:val="TextoNormalNegritaCursivandice"/>
      </w:pPr>
      <w:r>
        <w:t>Real Decreto 240/2007, de 16 de febrero. Entrada, libre circulación y residencia en España de ciudadanos de los Estados miembros de la Unión Europea y de otros Estados parte en el Acuerdo sobre el Espacio Económico Europeo</w:t>
      </w:r>
    </w:p>
    <w:p w:rsidR="00427CF1" w:rsidRDefault="00427CF1" w:rsidP="00427CF1">
      <w:pPr>
        <w:pStyle w:val="SangriaFrancesaArticulo"/>
      </w:pPr>
      <w:r w:rsidRPr="00427CF1">
        <w:rPr>
          <w:rStyle w:val="TextoNormalNegritaCaracter"/>
        </w:rPr>
        <w:t>Artículo 7</w:t>
      </w:r>
      <w:r>
        <w:t xml:space="preserve"> (redactado por el Real Decreto-ley 16/2012, de 20 de abril)</w:t>
      </w:r>
      <w:r w:rsidRPr="00427CF1">
        <w:rPr>
          <w:rStyle w:val="TextoNormalNegritaCaracter"/>
        </w:rPr>
        <w:t>.</w:t>
      </w:r>
      <w:r w:rsidRPr="00427CF1">
        <w:rPr>
          <w:rStyle w:val="TextoNormalCaracter"/>
        </w:rPr>
        <w:t>-</w:t>
      </w:r>
      <w:r>
        <w:t xml:space="preserve"> Sentencia </w:t>
      </w:r>
      <w:hyperlink w:anchor="SENTENCIA_2016_139" w:history="1">
        <w:r w:rsidRPr="00427CF1">
          <w:rPr>
            <w:rStyle w:val="TextoNormalCaracter"/>
          </w:rPr>
          <w:t>139/2016</w:t>
        </w:r>
      </w:hyperlink>
      <w:r>
        <w:t>, f. 4.</w:t>
      </w:r>
    </w:p>
    <w:p w:rsidR="00427CF1" w:rsidRDefault="00427CF1" w:rsidP="00427CF1">
      <w:pPr>
        <w:pStyle w:val="SangriaFrancesaArticulo"/>
      </w:pPr>
    </w:p>
    <w:p w:rsidR="00427CF1" w:rsidRDefault="00427CF1" w:rsidP="00427CF1">
      <w:pPr>
        <w:pStyle w:val="TextoNormalNegritaCursivandice"/>
      </w:pPr>
      <w:r>
        <w:t>Real Decreto 395/2007, de 23 de marzo. Regula el subsistema de formación profesional para el empleo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 </w:t>
      </w:r>
      <w:hyperlink w:anchor="SENTENCIA_2016_179" w:history="1">
        <w:r w:rsidRPr="00427CF1">
          <w:rPr>
            <w:rStyle w:val="TextoNormalCaracter"/>
          </w:rPr>
          <w:t>179/2016</w:t>
        </w:r>
      </w:hyperlink>
      <w:r>
        <w:t>, VP.</w:t>
      </w:r>
    </w:p>
    <w:p w:rsidR="00427CF1" w:rsidRDefault="00427CF1" w:rsidP="00427CF1">
      <w:pPr>
        <w:pStyle w:val="SangriaFrancesaArticulo"/>
      </w:pPr>
    </w:p>
    <w:p w:rsidR="00427CF1" w:rsidRDefault="00427CF1" w:rsidP="00427CF1">
      <w:pPr>
        <w:pStyle w:val="TextoNormalNegritaCursivandice"/>
      </w:pPr>
      <w:r>
        <w:t>Real Decreto 475/2007, de 13 de abril. Aprueba la clasificación nacional de actividades económicas 2009 (CNAE-2009)</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Real Decreto 661/2007, de 25 de mayo. Regulación de la actividad de producción de energía eléctrica en régimen especial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p>
    <w:p w:rsidR="00427CF1" w:rsidRDefault="00427CF1" w:rsidP="00427CF1">
      <w:pPr>
        <w:pStyle w:val="TextoNormalNegritaCursivandice"/>
      </w:pPr>
      <w:r>
        <w:t>Orden ITC/3315/2007, de 15 de noviembre. Regula, para el año 2006, la minoración de la retribución de la actividad de producción de energía eléctrica en el importe equivalente al valor de los derechos de emisión de gases de efecto invernadero asignados gratuitamente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p>
    <w:p w:rsidR="00427CF1" w:rsidRDefault="00427CF1" w:rsidP="00427CF1">
      <w:pPr>
        <w:pStyle w:val="TextoNormalNegritaCursivandice"/>
      </w:pPr>
      <w:r>
        <w:t>Real Decreto 8/2008, de 11 de enero. Regula la prestación por razón de necesidad a favor de los españoles residentes en el exterior y retornados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8.</w:t>
      </w:r>
    </w:p>
    <w:p w:rsidR="00427CF1" w:rsidRDefault="00427CF1" w:rsidP="00427CF1">
      <w:pPr>
        <w:pStyle w:val="SangriaFrancesaArticulo"/>
      </w:pPr>
    </w:p>
    <w:p w:rsidR="00427CF1" w:rsidRDefault="00427CF1" w:rsidP="00427CF1">
      <w:pPr>
        <w:pStyle w:val="TextoNormalNegritaCursivandice"/>
      </w:pPr>
      <w:r>
        <w:t>Real Decreto 222/2008, de 15 de febrero. Régimen retributivo de la actividad de distribución de energía eléctrica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ff. 3, 5.</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5.4.</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Disposición transitoria tercera.</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Anexo III.</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Real Decreto 1666/2008, de 17 de octubre. Traspaso de funciones y servicios de la Administración del Estado a la Comunidad Autónoma de Andalucía en materia de recursos y aprovechamientos hidráulicos correspondientes a las aguas de la cuenca del Guadalquivir que discurren íntegramente por el territorio de la comunidad autónoma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2" w:history="1">
        <w:r w:rsidRPr="00427CF1">
          <w:rPr>
            <w:rStyle w:val="TextoNormalCaracter"/>
          </w:rPr>
          <w:t>152/2016</w:t>
        </w:r>
      </w:hyperlink>
      <w:r>
        <w:t>, f. 1.</w:t>
      </w:r>
    </w:p>
    <w:p w:rsidR="00427CF1" w:rsidRDefault="00427CF1" w:rsidP="00427CF1">
      <w:pPr>
        <w:pStyle w:val="SangriaFrancesaArticulo"/>
      </w:pPr>
    </w:p>
    <w:p w:rsidR="00427CF1" w:rsidRDefault="00427CF1" w:rsidP="00427CF1">
      <w:pPr>
        <w:pStyle w:val="TextoNormalNegritaCursivandice"/>
      </w:pPr>
      <w:r>
        <w:t>Orden EHA/1030/2009, de 23 de abril.  Eleva el límite exento de la obligación de aportar garantía en las solicitudes de aplazamiento o fraccionamiento a 18.000 euros</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Real Decreto 1083/2009, de 3 de julio. Regula la memoria del análisis de impacto normativo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7.</w:t>
      </w:r>
    </w:p>
    <w:p w:rsidR="00427CF1" w:rsidRDefault="00427CF1" w:rsidP="00427CF1">
      <w:pPr>
        <w:pStyle w:val="SangriaFrancesaArticulo"/>
      </w:pPr>
    </w:p>
    <w:p w:rsidR="00427CF1" w:rsidRDefault="00427CF1" w:rsidP="00427CF1">
      <w:pPr>
        <w:pStyle w:val="TextoNormalNegritaCursivandice"/>
      </w:pPr>
      <w:r>
        <w:t>Real Decreto 193/2010, de 26 de febrero. Modifica el Real Decreto 227/1981, de 23 de enero, sobre sistemas de pago de los haberes de clases pasivas del Estado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219" w:history="1">
        <w:r w:rsidRPr="00427CF1">
          <w:rPr>
            <w:rStyle w:val="TextoNormalCaracter"/>
          </w:rPr>
          <w:t>219/2016</w:t>
        </w:r>
      </w:hyperlink>
      <w:r>
        <w:t xml:space="preserve">, f. 6; </w:t>
      </w:r>
      <w:hyperlink w:anchor="SENTENCIA_2016_220" w:history="1">
        <w:r w:rsidRPr="00427CF1">
          <w:rPr>
            <w:rStyle w:val="TextoNormalCaracter"/>
          </w:rPr>
          <w:t>220/2016</w:t>
        </w:r>
      </w:hyperlink>
      <w:r>
        <w:t>, f. 6.</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Sentencias </w:t>
      </w:r>
      <w:hyperlink w:anchor="SENTENCIA_2016_219" w:history="1">
        <w:r w:rsidRPr="00427CF1">
          <w:rPr>
            <w:rStyle w:val="TextoNormalCaracter"/>
          </w:rPr>
          <w:t>219/2016</w:t>
        </w:r>
      </w:hyperlink>
      <w:r>
        <w:t xml:space="preserve">, ff. 1, 4; </w:t>
      </w:r>
      <w:hyperlink w:anchor="SENTENCIA_2016_220" w:history="1">
        <w:r w:rsidRPr="00427CF1">
          <w:rPr>
            <w:rStyle w:val="TextoNormalCaracter"/>
          </w:rPr>
          <w:t>220/2016</w:t>
        </w:r>
      </w:hyperlink>
      <w:r>
        <w:t>, ff. 1, 4, 6.</w:t>
      </w:r>
    </w:p>
    <w:p w:rsidR="00427CF1" w:rsidRDefault="00427CF1" w:rsidP="00427CF1">
      <w:pPr>
        <w:pStyle w:val="SangriaFrancesaArticulo"/>
      </w:pPr>
    </w:p>
    <w:p w:rsidR="00427CF1" w:rsidRDefault="00427CF1" w:rsidP="00427CF1">
      <w:pPr>
        <w:pStyle w:val="TextoNormalNegritaCursivandice"/>
      </w:pPr>
      <w:r>
        <w:t>Real Decreto 713/2010, de 28 de mayo. Registro y depósito de convenios y acuerdos colectivos de trabajo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r w:rsidRPr="00427CF1">
        <w:rPr>
          <w:rStyle w:val="TextoNormalNegritaCaracter"/>
        </w:rPr>
        <w:t>Anexo 2.</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r w:rsidRPr="00427CF1">
        <w:rPr>
          <w:rStyle w:val="TextoNormalNegritaCaracter"/>
        </w:rPr>
        <w:t>Anexo 2, claúsula 16.</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p>
    <w:p w:rsidR="00427CF1" w:rsidRDefault="00427CF1" w:rsidP="00427CF1">
      <w:pPr>
        <w:pStyle w:val="TextoNormalNegritaCursivandice"/>
      </w:pPr>
      <w:r>
        <w:t>Real Decreto 1006/2010, de 5 de agosto. Regula el procedimiento de concesión de ayudas a las personas afectadas por la talidomida en España durante el periodo 1960-1965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8" w:history="1">
        <w:r w:rsidRPr="00427CF1">
          <w:rPr>
            <w:rStyle w:val="TextoNormalCaracter"/>
          </w:rPr>
          <w:t>148/2016</w:t>
        </w:r>
      </w:hyperlink>
      <w:r>
        <w:t>, ff. 2, 3, 5, 6, 9.</w:t>
      </w:r>
    </w:p>
    <w:p w:rsidR="00427CF1" w:rsidRDefault="00427CF1" w:rsidP="00427CF1">
      <w:pPr>
        <w:pStyle w:val="SangriaFrancesaArticulo"/>
      </w:pPr>
    </w:p>
    <w:p w:rsidR="00427CF1" w:rsidRDefault="00427CF1" w:rsidP="00427CF1">
      <w:pPr>
        <w:pStyle w:val="TextoNormalNegritaCursivandice"/>
      </w:pPr>
      <w:r>
        <w:t>Real Decreto 1565/2010, de 19 de noviembre. Se regulan y modifican determinados aspectos relativos a la actividad de producción de energía eléctrica en régimen especial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Real Decreto 1614/2010, de 7 de diciembre. Regula y modifica determinados aspectos relativos a la actividad de producción de energía eléctrica a partir de tecnologías solar termoeléctrica y eólica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p>
    <w:p w:rsidR="00427CF1" w:rsidRDefault="00427CF1" w:rsidP="00427CF1">
      <w:pPr>
        <w:pStyle w:val="TextoNormalNegritaCursivandice"/>
      </w:pPr>
      <w:r>
        <w:t>Real Decreto 1715/2010, de 17 de diciembre. Designa a la Entidad Nacional de Acreditación (ENAC) como organismo nacional de acreditación de acuerdo con lo establecido en el Reglamento (CE) 765/2008 del Parlamento Europeo y el Consejo, de 9 de julio de 2008, por el que se establecen los requisitos de acreditación y vigilancia del mercado relativos a la comercialización de los productos y por el que se deroga el Reglamento (CEE) 339/93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1" w:history="1">
        <w:r w:rsidRPr="00427CF1">
          <w:rPr>
            <w:rStyle w:val="TextoNormalCaracter"/>
          </w:rPr>
          <w:t>141/2016</w:t>
        </w:r>
      </w:hyperlink>
      <w:r>
        <w:t>, ff. 2, 4.</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Sentencia </w:t>
      </w:r>
      <w:hyperlink w:anchor="SENTENCIA_2016_141" w:history="1">
        <w:r w:rsidRPr="00427CF1">
          <w:rPr>
            <w:rStyle w:val="TextoNormalCaracter"/>
          </w:rPr>
          <w:t>141/2016</w:t>
        </w:r>
      </w:hyperlink>
      <w:r>
        <w:t>, f. 2.</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41" w:history="1">
        <w:r w:rsidRPr="00427CF1">
          <w:rPr>
            <w:rStyle w:val="TextoNormalCaracter"/>
          </w:rPr>
          <w:t>141/2016</w:t>
        </w:r>
      </w:hyperlink>
      <w:r>
        <w:t>, f. 2.</w:t>
      </w:r>
    </w:p>
    <w:p w:rsidR="00427CF1" w:rsidRDefault="00427CF1" w:rsidP="00427CF1">
      <w:pPr>
        <w:pStyle w:val="SangriaFrancesaArticulo"/>
      </w:pPr>
    </w:p>
    <w:p w:rsidR="00427CF1" w:rsidRDefault="00427CF1" w:rsidP="00427CF1">
      <w:pPr>
        <w:pStyle w:val="TextoNormalNegritaCursivandice"/>
      </w:pPr>
      <w:r>
        <w:t>Orden ITC/3353/2010, de 28 de diciembre. Establece los peajes de acceso a partir de 1 de enero de 2011 y las tarifas y primas de las instalaciones del régimen especial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7" w:history="1">
        <w:r w:rsidRPr="00427CF1">
          <w:rPr>
            <w:rStyle w:val="TextoNormalCaracter"/>
          </w:rPr>
          <w:t>167/2016</w:t>
        </w:r>
      </w:hyperlink>
      <w:r>
        <w:t>, f.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67" w:history="1">
        <w:r w:rsidRPr="00427CF1">
          <w:rPr>
            <w:rStyle w:val="TextoNormalCaracter"/>
          </w:rPr>
          <w:t>167/2016</w:t>
        </w:r>
      </w:hyperlink>
      <w:r>
        <w:t>, f. 6.</w:t>
      </w:r>
    </w:p>
    <w:p w:rsidR="00427CF1" w:rsidRDefault="00427CF1" w:rsidP="00427CF1">
      <w:pPr>
        <w:pStyle w:val="SangriaFrancesaArticulo"/>
      </w:pPr>
    </w:p>
    <w:p w:rsidR="00427CF1" w:rsidRDefault="00427CF1" w:rsidP="00427CF1">
      <w:pPr>
        <w:pStyle w:val="TextoNormalNegritaCursivandice"/>
      </w:pPr>
      <w:r>
        <w:t>Real Decreto 557/2011, de 20 de abril. Se aprueba el Reglamento de la Ley Orgánica 4/2000, sobre derechos y libertades de los extranjeros en España y su integración social, tras su reforma por la Ley Orgánica 2/2009</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p>
    <w:p w:rsidR="00427CF1" w:rsidRDefault="00427CF1" w:rsidP="00427CF1">
      <w:pPr>
        <w:pStyle w:val="TextoNormalNegritaCursivandice"/>
      </w:pPr>
      <w:r>
        <w:t>Acuerdo de 28 de abril de 2011, del Pleno del Consejo General del Poder Judicial. Aprueba el Reglamento 2/2011 de la Carrera Judicial</w:t>
      </w:r>
    </w:p>
    <w:p w:rsidR="00427CF1" w:rsidRDefault="00427CF1" w:rsidP="00427CF1">
      <w:pPr>
        <w:pStyle w:val="SangriaFrancesaArticulo"/>
      </w:pPr>
      <w:r w:rsidRPr="00427CF1">
        <w:rPr>
          <w:rStyle w:val="TextoNormalNegritaCaracter"/>
        </w:rPr>
        <w:t>Artículo 245.</w:t>
      </w:r>
      <w:r w:rsidRPr="00427CF1">
        <w:rPr>
          <w:rStyle w:val="TextoNormalCaracter"/>
        </w:rPr>
        <w:t>-</w:t>
      </w:r>
      <w:r>
        <w:t xml:space="preserve"> Sentencia </w:t>
      </w:r>
      <w:hyperlink w:anchor="SENTENCIA_2016_162" w:history="1">
        <w:r w:rsidRPr="00427CF1">
          <w:rPr>
            <w:rStyle w:val="TextoNormalCaracter"/>
          </w:rPr>
          <w:t>162/2016</w:t>
        </w:r>
      </w:hyperlink>
      <w:r>
        <w:t>, ff. 5, 6.</w:t>
      </w:r>
    </w:p>
    <w:p w:rsidR="00427CF1" w:rsidRDefault="00427CF1" w:rsidP="00427CF1">
      <w:pPr>
        <w:pStyle w:val="SangriaFrancesaArticulo"/>
      </w:pPr>
    </w:p>
    <w:p w:rsidR="00427CF1" w:rsidRDefault="00427CF1" w:rsidP="00427CF1">
      <w:pPr>
        <w:pStyle w:val="TextoNormalNegritaCursivandice"/>
      </w:pPr>
      <w:r>
        <w:t>Real Decreto 704/2011, de 20 de mayo. Se aprueba el Reglamento de protección de las infraestructuras críticas</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30.2.</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p>
    <w:p w:rsidR="00427CF1" w:rsidRDefault="00427CF1" w:rsidP="00427CF1">
      <w:pPr>
        <w:pStyle w:val="TextoNormalNegritaCursivandice"/>
      </w:pPr>
      <w:r>
        <w:t>Real Decreto 1151/2011, de 29 de julio. Modifica el Real Decreto 1132/2008, de 4 de julio, por el que se desarrolla la estructura orgánica básica del Ministerio de Cultura y el Real Decreto 1181/2008, de 11 de julio, por el que se modifica y desarrolla la estructura orgánica básica del Ministerio del Interior</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Orden ITC/2844/2011, de 19 de octubre Regula las transferencias de fondos, con cargo a las empresas productoras de energía eléctrica y a los peajes de acceso de terceros a las instalaciones gasistas, de la cuenta específica de la Comisión Nacional de Energía al Instituto para la Diversificación y Ahorro de la Energía, en el año 2011, para la ejecución de las medidas del plan de acción 2008-2012 de la estrategia de ahorro y eficiencia energética en España 2004-2012 (E4), y los criterios para la ejecución de las medidas contempladas en dicho plan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4" w:history="1">
        <w:r w:rsidRPr="00427CF1">
          <w:rPr>
            <w:rStyle w:val="TextoNormalCaracter"/>
          </w:rPr>
          <w:t>174/2016</w:t>
        </w:r>
      </w:hyperlink>
      <w:r>
        <w:t>, f. 3.</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67" w:history="1">
        <w:r w:rsidRPr="00427CF1">
          <w:rPr>
            <w:rStyle w:val="TextoNormalCaracter"/>
          </w:rPr>
          <w:t>167/2016</w:t>
        </w:r>
      </w:hyperlink>
      <w:r>
        <w:t>, f. 4.</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67" w:history="1">
        <w:r w:rsidRPr="00427CF1">
          <w:rPr>
            <w:rStyle w:val="TextoNormalCaracter"/>
          </w:rPr>
          <w:t>167/2016</w:t>
        </w:r>
      </w:hyperlink>
      <w:r>
        <w:t>, f. 4.</w:t>
      </w:r>
    </w:p>
    <w:p w:rsidR="00427CF1" w:rsidRDefault="00427CF1" w:rsidP="00427CF1">
      <w:pPr>
        <w:pStyle w:val="SangriaFrancesaArticulo"/>
      </w:pPr>
    </w:p>
    <w:p w:rsidR="00427CF1" w:rsidRDefault="00427CF1" w:rsidP="00427CF1">
      <w:pPr>
        <w:pStyle w:val="TextoNormalNegritaCursivandice"/>
      </w:pPr>
      <w:r>
        <w:t>Real Decreto 1498/2011, de 21 de octubre. En ejecución de sentencia, se integran en la Administración del Estado los medios personales y materiales traspasados a la Comunidad Autónoma de Andalucía por el Real Decreto 1666/2008, de 17 de octubre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2" w:history="1">
        <w:r w:rsidRPr="00427CF1">
          <w:rPr>
            <w:rStyle w:val="TextoNormalCaracter"/>
          </w:rPr>
          <w:t>152/2016</w:t>
        </w:r>
      </w:hyperlink>
      <w:r>
        <w:t>, f. 1.</w:t>
      </w:r>
    </w:p>
    <w:p w:rsidR="00427CF1" w:rsidRDefault="00427CF1" w:rsidP="00427CF1">
      <w:pPr>
        <w:pStyle w:val="SangriaFrancesaArticulo"/>
      </w:pPr>
    </w:p>
    <w:p w:rsidR="00427CF1" w:rsidRDefault="00427CF1" w:rsidP="00427CF1">
      <w:pPr>
        <w:pStyle w:val="TextoNormalNegritaCursivandice"/>
      </w:pPr>
      <w:r>
        <w:t>Orden IET/3586/2011, de 30 de diciembre. Se establecen los peajes de acceso a partir de 1 de enero de 2012 y las tarifas y primas de las instalaciones del régimen especial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Orden ESS/184/2012, de 2 de febrero. Desarrolla las normas legales de cotización a la Seguridad Social, desempleo, protección por cese de actividad, Fondo de Garantía Salarial y formación profesional para el ejercicio 2012</w:t>
      </w:r>
    </w:p>
    <w:p w:rsidR="00427CF1" w:rsidRDefault="00427CF1" w:rsidP="00427CF1">
      <w:pPr>
        <w:pStyle w:val="SangriaFrancesaArticulo"/>
      </w:pPr>
      <w:r w:rsidRPr="00427CF1">
        <w:rPr>
          <w:rStyle w:val="TextoNormalNegritaCaracter"/>
        </w:rPr>
        <w:t>Artículo 15.2.</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Real Decreto 1192/2012, de 3 de agosto. Regula la condición de asegurado y de beneficiario a efectos de la asistencia sanitaria en España, con cargo a fondos públicos, a través del Sistema Nacional de Salud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ff. 5, 10, VP II.</w:t>
      </w:r>
    </w:p>
    <w:p w:rsidR="00427CF1" w:rsidRDefault="00427CF1" w:rsidP="00427CF1">
      <w:pPr>
        <w:pStyle w:val="SangriaFrancesaArticulo"/>
      </w:pPr>
      <w:r w:rsidRPr="00427CF1">
        <w:rPr>
          <w:rStyle w:val="TextoNormalNegritaCaracter"/>
        </w:rPr>
        <w:t>Artículo 2.1 b).</w:t>
      </w:r>
      <w:r w:rsidRPr="00427CF1">
        <w:rPr>
          <w:rStyle w:val="TextoNormalCaracter"/>
        </w:rPr>
        <w:t>-</w:t>
      </w:r>
      <w:r>
        <w:t xml:space="preserve"> Sentencia </w:t>
      </w:r>
      <w:hyperlink w:anchor="SENTENCIA_2016_139" w:history="1">
        <w:r w:rsidRPr="00427CF1">
          <w:rPr>
            <w:rStyle w:val="TextoNormalCaracter"/>
          </w:rPr>
          <w:t>139/2016</w:t>
        </w:r>
      </w:hyperlink>
      <w:r>
        <w:t>, f. 9.</w:t>
      </w:r>
    </w:p>
    <w:p w:rsidR="00427CF1" w:rsidRDefault="00427CF1" w:rsidP="00427CF1">
      <w:pPr>
        <w:pStyle w:val="SangriaFrancesaArticulo"/>
      </w:pPr>
      <w:r w:rsidRPr="00427CF1">
        <w:rPr>
          <w:rStyle w:val="TextoNormalNegritaCaracter"/>
        </w:rPr>
        <w:t>Artículo 3.1 b).</w:t>
      </w:r>
      <w:r w:rsidRPr="00427CF1">
        <w:rPr>
          <w:rStyle w:val="TextoNormalCaracter"/>
        </w:rPr>
        <w:t>-</w:t>
      </w:r>
      <w:r>
        <w:t xml:space="preserve"> Sentencia </w:t>
      </w:r>
      <w:hyperlink w:anchor="SENTENCIA_2016_139" w:history="1">
        <w:r w:rsidRPr="00427CF1">
          <w:rPr>
            <w:rStyle w:val="TextoNormalCaracter"/>
          </w:rPr>
          <w:t>139/2016</w:t>
        </w:r>
      </w:hyperlink>
      <w:r>
        <w:t>, f. 5.</w:t>
      </w:r>
    </w:p>
    <w:p w:rsidR="00427CF1" w:rsidRDefault="00427CF1" w:rsidP="00427CF1">
      <w:pPr>
        <w:pStyle w:val="SangriaFrancesaArticulo"/>
      </w:pPr>
    </w:p>
    <w:p w:rsidR="00427CF1" w:rsidRDefault="00427CF1" w:rsidP="00427CF1">
      <w:pPr>
        <w:pStyle w:val="TextoNormalNegritaCursivandice"/>
      </w:pPr>
      <w:r>
        <w:t>Real Decreto 1483/2012, de 29 de octubre. Reglamento de los procedimientos de despido colectivo y de suspensión de contratos y reducción de jornada</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59" w:history="1">
        <w:r w:rsidRPr="00427CF1">
          <w:rPr>
            <w:rStyle w:val="TextoNormalCaracter"/>
          </w:rPr>
          <w:t>159/2016</w:t>
        </w:r>
      </w:hyperlink>
      <w:r>
        <w:t>, f. 7.</w:t>
      </w:r>
    </w:p>
    <w:p w:rsidR="00427CF1" w:rsidRDefault="00427CF1" w:rsidP="00427CF1">
      <w:pPr>
        <w:pStyle w:val="SangriaFrancesaArticulo"/>
      </w:pPr>
    </w:p>
    <w:p w:rsidR="00427CF1" w:rsidRDefault="00427CF1" w:rsidP="00427CF1">
      <w:pPr>
        <w:pStyle w:val="TextoNormalNegritaCursivandice"/>
      </w:pPr>
      <w:r>
        <w:t>Orden IET/2599/2012, de 28 de noviembre. Regula las transferencias de fondos, con cargo a las empresas productoras de energía eléctrica, de la cuenta específica de la Comisión Nacional de Energía al Instituto para la Diversificación y Ahorro de la Energía, en el año 2012, para la ejecución de las medidas del plan de acción 2008-2012 de la estrategia de ahorro y eficiencia energética en España 2004-2012 (E4), y los criterios para la ejecución de las medidas contempladas en dicho plan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4" w:history="1">
        <w:r w:rsidRPr="00427CF1">
          <w:rPr>
            <w:rStyle w:val="TextoNormalCaracter"/>
          </w:rPr>
          <w:t>174/2016</w:t>
        </w:r>
      </w:hyperlink>
      <w:r>
        <w:t>, f. 3.</w:t>
      </w:r>
    </w:p>
    <w:p w:rsidR="00427CF1" w:rsidRDefault="00427CF1" w:rsidP="00427CF1">
      <w:pPr>
        <w:pStyle w:val="SangriaFrancesaArticulo"/>
      </w:pPr>
    </w:p>
    <w:p w:rsidR="00427CF1" w:rsidRDefault="00427CF1" w:rsidP="00427CF1">
      <w:pPr>
        <w:pStyle w:val="TextoNormalNegritaCursivandice"/>
      </w:pPr>
      <w:r>
        <w:t>Real Decreto 1717/2012, de 28 de diciembre. Fija el salario mínimo interprofesional para 2013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Orden ESS/56/2013, de 28 de enero. Desarrolla las normas legales de cotización a la Seguridad Social, desempleo, protección por cese de actividad, Fondo de Garantía Salarial y formación profesional, contenidas en la Ley 17/2012, de 27 de diciembre, de Presupuestos Generales del Estado para el año 2013</w:t>
      </w:r>
    </w:p>
    <w:p w:rsidR="00427CF1" w:rsidRDefault="00427CF1" w:rsidP="00427CF1">
      <w:pPr>
        <w:pStyle w:val="SangriaFrancesaArticulo"/>
      </w:pPr>
      <w:r w:rsidRPr="00427CF1">
        <w:rPr>
          <w:rStyle w:val="TextoNormalNegritaCaracter"/>
        </w:rPr>
        <w:t>Artículo 15.2.</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Real Decreto 233/2013, de 5 de abril. Regula el Plan Estatal de fomento del alquiler de viviendas, la rehabilitación edificatoria, y la regeneración y renovación urbanas, 2013-2016</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 5; </w:t>
      </w:r>
      <w:hyperlink w:anchor="AUTO_2016_160" w:history="1">
        <w:r w:rsidRPr="00427CF1">
          <w:rPr>
            <w:rStyle w:val="TextoNormalCaracter"/>
          </w:rPr>
          <w:t>160/2016</w:t>
        </w:r>
      </w:hyperlink>
      <w:r>
        <w:t>, f. 4.</w:t>
      </w:r>
    </w:p>
    <w:p w:rsidR="00427CF1" w:rsidRDefault="00427CF1" w:rsidP="00427CF1">
      <w:pPr>
        <w:pStyle w:val="SangriaFrancesaArticulo"/>
      </w:pPr>
    </w:p>
    <w:p w:rsidR="00427CF1" w:rsidRDefault="00427CF1" w:rsidP="00427CF1">
      <w:pPr>
        <w:pStyle w:val="TextoNormalNegritaCursivandice"/>
      </w:pPr>
      <w:r>
        <w:t>Real Decreto 239/2013, de 5 de abril. Establece las normas para la aplicación del Reglamento (CE) 1221/2009 del Parlamento Europeo y del Consejo, de 25 de noviembre de 2009, relativo a la participación voluntaria de organizaciones en un sistema comunitario de gestión y auditoría medioambientales (EMAS), y por el que se derogan el Reglamento (CE) 761/2001 y las Decisiones 2001/681/CE y 2006/193/CE de la Comisión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1" w:history="1">
        <w:r w:rsidRPr="00427CF1">
          <w:rPr>
            <w:rStyle w:val="TextoNormalCaracter"/>
          </w:rPr>
          <w:t>141/2016</w:t>
        </w:r>
      </w:hyperlink>
      <w:r>
        <w:t>, ff. 1 a 5, 7, 9.</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8.2 d).</w:t>
      </w:r>
      <w:r w:rsidRPr="00427CF1">
        <w:rPr>
          <w:rStyle w:val="TextoNormalCaracter"/>
        </w:rPr>
        <w:t>-</w:t>
      </w:r>
      <w:r>
        <w:t xml:space="preserve"> Sentencia </w:t>
      </w:r>
      <w:hyperlink w:anchor="SENTENCIA_2016_141" w:history="1">
        <w:r w:rsidRPr="00427CF1">
          <w:rPr>
            <w:rStyle w:val="TextoNormalCaracter"/>
          </w:rPr>
          <w:t>141/2016</w:t>
        </w:r>
      </w:hyperlink>
      <w:r>
        <w:t>, f. 8.</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141" w:history="1">
        <w:r w:rsidRPr="00427CF1">
          <w:rPr>
            <w:rStyle w:val="TextoNormalCaracter"/>
          </w:rPr>
          <w:t>141/2016</w:t>
        </w:r>
      </w:hyperlink>
      <w:r>
        <w:t>, ff. 1, 8.</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141" w:history="1">
        <w:r w:rsidRPr="00427CF1">
          <w:rPr>
            <w:rStyle w:val="TextoNormalCaracter"/>
          </w:rPr>
          <w:t>141/2016</w:t>
        </w:r>
      </w:hyperlink>
      <w:r>
        <w:t>, ff. 1, 8.</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141" w:history="1">
        <w:r w:rsidRPr="00427CF1">
          <w:rPr>
            <w:rStyle w:val="TextoNormalCaracter"/>
          </w:rPr>
          <w:t>141/2016</w:t>
        </w:r>
      </w:hyperlink>
      <w:r>
        <w:t>, f. 8.</w:t>
      </w:r>
    </w:p>
    <w:p w:rsidR="00427CF1" w:rsidRDefault="00427CF1" w:rsidP="00427CF1">
      <w:pPr>
        <w:pStyle w:val="SangriaFrancesaArticulo"/>
      </w:pPr>
      <w:r w:rsidRPr="00427CF1">
        <w:rPr>
          <w:rStyle w:val="TextoNormalNegritaCaracter"/>
        </w:rPr>
        <w:t>Artículo 11.1.</w:t>
      </w:r>
      <w:r w:rsidRPr="00427CF1">
        <w:rPr>
          <w:rStyle w:val="TextoNormalCaracter"/>
        </w:rPr>
        <w:t>-</w:t>
      </w:r>
      <w:r>
        <w:t xml:space="preserve"> Sentencia </w:t>
      </w:r>
      <w:hyperlink w:anchor="SENTENCIA_2016_141" w:history="1">
        <w:r w:rsidRPr="00427CF1">
          <w:rPr>
            <w:rStyle w:val="TextoNormalCaracter"/>
          </w:rPr>
          <w:t>141/2016</w:t>
        </w:r>
      </w:hyperlink>
      <w:r>
        <w:t>, ff. 1, 4, 5, 7.</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141" w:history="1">
        <w:r w:rsidRPr="00427CF1">
          <w:rPr>
            <w:rStyle w:val="TextoNormalCaracter"/>
          </w:rPr>
          <w:t>141/2016</w:t>
        </w:r>
      </w:hyperlink>
      <w:r>
        <w:t>, ff. 1, 5, 7.</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41" w:history="1">
        <w:r w:rsidRPr="00427CF1">
          <w:rPr>
            <w:rStyle w:val="TextoNormalCaracter"/>
          </w:rPr>
          <w:t>141/2016</w:t>
        </w:r>
      </w:hyperlink>
      <w:r>
        <w:t>, f. 1.</w:t>
      </w:r>
    </w:p>
    <w:p w:rsidR="00427CF1" w:rsidRDefault="00427CF1" w:rsidP="00427CF1">
      <w:pPr>
        <w:pStyle w:val="SangriaFrancesaArticulo"/>
      </w:pPr>
      <w:r w:rsidRPr="00427CF1">
        <w:rPr>
          <w:rStyle w:val="TextoNormalNegritaCaracter"/>
        </w:rPr>
        <w:t>Artículo 12.1.</w:t>
      </w:r>
      <w:r w:rsidRPr="00427CF1">
        <w:rPr>
          <w:rStyle w:val="TextoNormalCaracter"/>
        </w:rPr>
        <w:t>-</w:t>
      </w:r>
      <w:r>
        <w:t xml:space="preserve"> Sentencia </w:t>
      </w:r>
      <w:hyperlink w:anchor="SENTENCIA_2016_141" w:history="1">
        <w:r w:rsidRPr="00427CF1">
          <w:rPr>
            <w:rStyle w:val="TextoNormalCaracter"/>
          </w:rPr>
          <w:t>141/2016</w:t>
        </w:r>
      </w:hyperlink>
      <w:r>
        <w:t>, ff. 1, 5, 7.</w:t>
      </w:r>
    </w:p>
    <w:p w:rsidR="00427CF1" w:rsidRDefault="00427CF1" w:rsidP="00427CF1">
      <w:pPr>
        <w:pStyle w:val="SangriaFrancesaArticulo"/>
      </w:pPr>
      <w:r w:rsidRPr="00427CF1">
        <w:rPr>
          <w:rStyle w:val="TextoNormalNegritaCaracter"/>
        </w:rPr>
        <w:t>Artículo 12.4.</w:t>
      </w:r>
      <w:r w:rsidRPr="00427CF1">
        <w:rPr>
          <w:rStyle w:val="TextoNormalCaracter"/>
        </w:rPr>
        <w:t>-</w:t>
      </w:r>
      <w:r>
        <w:t xml:space="preserve"> Sentencia </w:t>
      </w:r>
      <w:hyperlink w:anchor="SENTENCIA_2016_141" w:history="1">
        <w:r w:rsidRPr="00427CF1">
          <w:rPr>
            <w:rStyle w:val="TextoNormalCaracter"/>
          </w:rPr>
          <w:t>141/2016</w:t>
        </w:r>
      </w:hyperlink>
      <w:r>
        <w:t>, ff. 1, 5, 7.</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41" w:history="1">
        <w:r w:rsidRPr="00427CF1">
          <w:rPr>
            <w:rStyle w:val="TextoNormalCaracter"/>
          </w:rPr>
          <w:t>141/2016</w:t>
        </w:r>
      </w:hyperlink>
      <w:r>
        <w:t>, f. 1.</w:t>
      </w:r>
    </w:p>
    <w:p w:rsidR="00427CF1" w:rsidRDefault="00427CF1" w:rsidP="00427CF1">
      <w:pPr>
        <w:pStyle w:val="SangriaFrancesaArticulo"/>
      </w:pPr>
      <w:r w:rsidRPr="00427CF1">
        <w:rPr>
          <w:rStyle w:val="TextoNormalNegritaCaracter"/>
        </w:rPr>
        <w:t>Artículo 13.2.</w:t>
      </w:r>
      <w:r w:rsidRPr="00427CF1">
        <w:rPr>
          <w:rStyle w:val="TextoNormalCaracter"/>
        </w:rPr>
        <w:t>-</w:t>
      </w:r>
      <w:r>
        <w:t xml:space="preserve"> Sentencia </w:t>
      </w:r>
      <w:hyperlink w:anchor="SENTENCIA_2016_141" w:history="1">
        <w:r w:rsidRPr="00427CF1">
          <w:rPr>
            <w:rStyle w:val="TextoNormalCaracter"/>
          </w:rPr>
          <w:t>141/2016</w:t>
        </w:r>
      </w:hyperlink>
      <w:r>
        <w:t>, ff. 5, 9.</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41" w:history="1">
        <w:r w:rsidRPr="00427CF1">
          <w:rPr>
            <w:rStyle w:val="TextoNormalCaracter"/>
          </w:rPr>
          <w:t>141/2016</w:t>
        </w:r>
      </w:hyperlink>
      <w:r>
        <w:t>, ff. 1, 5, 7.</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Sentencia </w:t>
      </w:r>
      <w:hyperlink w:anchor="SENTENCIA_2016_141" w:history="1">
        <w:r w:rsidRPr="00427CF1">
          <w:rPr>
            <w:rStyle w:val="TextoNormalCaracter"/>
          </w:rPr>
          <w:t>141/2016</w:t>
        </w:r>
      </w:hyperlink>
      <w:r>
        <w:t>, ff. 1, 5, 9.</w:t>
      </w:r>
    </w:p>
    <w:p w:rsidR="00427CF1" w:rsidRDefault="00427CF1" w:rsidP="00427CF1">
      <w:pPr>
        <w:pStyle w:val="SangriaFrancesaArticulo"/>
      </w:pPr>
      <w:r w:rsidRPr="00427CF1">
        <w:rPr>
          <w:rStyle w:val="TextoNormalNegritaCaracter"/>
        </w:rPr>
        <w:t xml:space="preserve">Disposición final tercera,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41" w:history="1">
        <w:r w:rsidRPr="00427CF1">
          <w:rPr>
            <w:rStyle w:val="TextoNormalCaracter"/>
          </w:rPr>
          <w:t>141/2016</w:t>
        </w:r>
      </w:hyperlink>
      <w:r>
        <w:t>, f. 5.</w:t>
      </w:r>
    </w:p>
    <w:p w:rsidR="00427CF1" w:rsidRDefault="00427CF1" w:rsidP="00427CF1">
      <w:pPr>
        <w:pStyle w:val="SangriaFrancesaArticulo"/>
      </w:pPr>
    </w:p>
    <w:p w:rsidR="00427CF1" w:rsidRDefault="00427CF1" w:rsidP="00427CF1">
      <w:pPr>
        <w:pStyle w:val="TextoNormalNegritaCursivandice"/>
      </w:pPr>
      <w:r>
        <w:t>Real Decreto 255/2013, de 12 de abril. Establece la composición, estructura y funcionamiento del Consejo del Agua de la Demarcación Hidrográfica del Júcar y por el que se modifican diversas normas relativas al ámbito y constitución de dicha demarcación hidrográfica y de la Confederación Hidrográfica del Júcar</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6" w:history="1">
        <w:r w:rsidRPr="00427CF1">
          <w:rPr>
            <w:rStyle w:val="TextoNormalCaracter"/>
          </w:rPr>
          <w:t>216/2016</w:t>
        </w:r>
      </w:hyperlink>
      <w:r>
        <w:t>, ff. 3, 6.</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r w:rsidRPr="00427CF1">
        <w:rPr>
          <w:rStyle w:val="TextoNormalNegritaCaracter"/>
        </w:rPr>
        <w:t>Artículo 5 c).</w:t>
      </w:r>
      <w:r w:rsidRPr="00427CF1">
        <w:rPr>
          <w:rStyle w:val="TextoNormalCaracter"/>
        </w:rPr>
        <w:t>-</w:t>
      </w:r>
      <w:r>
        <w:t xml:space="preserve"> Sentencia </w:t>
      </w:r>
      <w:hyperlink w:anchor="SENTENCIA_2016_216" w:history="1">
        <w:r w:rsidRPr="00427CF1">
          <w:rPr>
            <w:rStyle w:val="TextoNormalCaracter"/>
          </w:rPr>
          <w:t>216/2016</w:t>
        </w:r>
      </w:hyperlink>
      <w:r>
        <w:t>, f. 6.</w:t>
      </w:r>
    </w:p>
    <w:p w:rsidR="00427CF1" w:rsidRDefault="00427CF1" w:rsidP="00427CF1">
      <w:pPr>
        <w:pStyle w:val="SangriaFrancesaArticulo"/>
      </w:pPr>
    </w:p>
    <w:p w:rsidR="00427CF1" w:rsidRDefault="00427CF1" w:rsidP="00427CF1">
      <w:pPr>
        <w:pStyle w:val="TextoNormalNegritaCursivandice"/>
      </w:pPr>
      <w:r>
        <w:t>Real Decreto 576/2013, de 26 de julio. Establece los requisitos básicos del convenio especial de prestación de asistencia sanitaria a personas que no tengan la condición de aseguradas ni de beneficiarias del Sistema Nacional de Salud y se modifica el Real Decreto 1192/2012, de 3 de agosto, por el que se regula la condición de asegurado y de beneficiario a efectos de la asistencia sanitaria en España, con cargo a fondos públicos, a través del Sistema Nacional de Salud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ff. 5, 10.</w:t>
      </w:r>
    </w:p>
    <w:p w:rsidR="00427CF1" w:rsidRDefault="00427CF1" w:rsidP="00427CF1">
      <w:pPr>
        <w:pStyle w:val="SangriaFrancesaArticulo"/>
      </w:pPr>
    </w:p>
    <w:p w:rsidR="00427CF1" w:rsidRDefault="00427CF1" w:rsidP="00427CF1">
      <w:pPr>
        <w:pStyle w:val="TextoNormalNegritaCursivandice"/>
      </w:pPr>
      <w:r>
        <w:t>Real Decreto 930/2013, de 29 de noviembre. Nombra Vocales del Consejo General del Poder Judicial a propuesta del Congreso de los Diputados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1" w:history="1">
        <w:r w:rsidRPr="00427CF1">
          <w:rPr>
            <w:rStyle w:val="TextoNormalCaracter"/>
          </w:rPr>
          <w:t>191/2016</w:t>
        </w:r>
      </w:hyperlink>
      <w:r>
        <w:t>, f. 2.</w:t>
      </w:r>
    </w:p>
    <w:p w:rsidR="00427CF1" w:rsidRDefault="00427CF1" w:rsidP="00427CF1">
      <w:pPr>
        <w:pStyle w:val="SangriaFrancesaArticulo"/>
      </w:pPr>
    </w:p>
    <w:p w:rsidR="00427CF1" w:rsidRDefault="00427CF1" w:rsidP="00427CF1">
      <w:pPr>
        <w:pStyle w:val="TextoNormalNegritaCursivandice"/>
      </w:pPr>
      <w:r>
        <w:t>Real Decreto 931/2013, de 29 de noviembre. Nombra Vocales del Consejo General del Poder Judicial a propuesta del Senado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1" w:history="1">
        <w:r w:rsidRPr="00427CF1">
          <w:rPr>
            <w:rStyle w:val="TextoNormalCaracter"/>
          </w:rPr>
          <w:t>191/2016</w:t>
        </w:r>
      </w:hyperlink>
      <w:r>
        <w:t>, f. 2.</w:t>
      </w:r>
    </w:p>
    <w:p w:rsidR="00427CF1" w:rsidRDefault="00427CF1" w:rsidP="00427CF1">
      <w:pPr>
        <w:pStyle w:val="SangriaFrancesaArticulo"/>
      </w:pPr>
    </w:p>
    <w:p w:rsidR="00427CF1" w:rsidRDefault="00427CF1" w:rsidP="00427CF1">
      <w:pPr>
        <w:pStyle w:val="TextoNormalNegritaCursivandice"/>
      </w:pPr>
      <w:r>
        <w:t>Orden IET/2442/2013, de 26 de diciembre. Se establecen las retribuciones del segundo periodo de 2013 para las actividades de transporte y distribución de energía eléctrica y se establecen otras medidas en relación con la retribución de las actividades de transporte y distribución de años anteriores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Real Decreto 1046/2013, de 27 de diciembre. Fija el salario mínimo interprofesional para 2014</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Real Decreto 1048/2013, de 27 de diciembre. Establece la metodología para el cálculo de la retribución de la actividad de distribución de energía eléctrica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ff. 2, 3, 5.</w:t>
      </w:r>
    </w:p>
    <w:p w:rsidR="00427CF1" w:rsidRDefault="00427CF1" w:rsidP="00427CF1">
      <w:pPr>
        <w:pStyle w:val="SangriaFrancesaArticulo"/>
      </w:pPr>
      <w:r w:rsidRPr="00427CF1">
        <w:rPr>
          <w:rStyle w:val="TextoNormalNegritaCaracter"/>
        </w:rPr>
        <w:t>Artículo 6.2.</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Orden ESS/106/2014, de 31 de enero. Desarrolla las normas legales de cotización a la Seguridad Social, desempleo, protección por cese de actividad, Fondo de Garantía Salarial y formación profesional, contenidas en la Ley 22/2013, de 23 de diciembre, de presupuestos generales del Estado para el año 2014</w:t>
      </w:r>
    </w:p>
    <w:p w:rsidR="00427CF1" w:rsidRDefault="00427CF1" w:rsidP="00427CF1">
      <w:pPr>
        <w:pStyle w:val="SangriaFrancesaArticulo"/>
      </w:pPr>
      <w:r w:rsidRPr="00427CF1">
        <w:rPr>
          <w:rStyle w:val="TextoNormalNegritaCaracter"/>
        </w:rPr>
        <w:t>Artículo 15.2.</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Orden IET/107/2014, de 31 de enero. Se revisan los peajes de acceso de energía eléctrica para 2014</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Orden HAP/2075/2014, de 6 de noviembre. Se establecen los criterios de cálculo del coste efectivo de los servicios prestados por las entidades locales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0" w:history="1">
        <w:r w:rsidRPr="00427CF1">
          <w:rPr>
            <w:rStyle w:val="TextoNormalCaracter"/>
          </w:rPr>
          <w:t>180/2016</w:t>
        </w:r>
      </w:hyperlink>
      <w:r>
        <w:t>, f. 3.</w:t>
      </w:r>
    </w:p>
    <w:p w:rsidR="00427CF1" w:rsidRDefault="00427CF1" w:rsidP="00427CF1">
      <w:pPr>
        <w:pStyle w:val="SangriaFrancesaArticulo"/>
      </w:pPr>
    </w:p>
    <w:p w:rsidR="00427CF1" w:rsidRDefault="00427CF1" w:rsidP="00427CF1">
      <w:pPr>
        <w:pStyle w:val="TextoNormalNegritaCursivandice"/>
      </w:pPr>
      <w:r>
        <w:t>Orden IET/2444/2014, de 19 de diciembre. Se determinan los peajes de acceso de energía eléctrica para 2015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Anexo II.</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Real Decreto 1106/2014, de 26 de diciembre. Fija el salario mínimo interprofesional para 2015</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Orden ESS/86/2015, de 30 de enero. Desarrolla las normas legales de cotización a la Seguridad Social, desempleo, protección por cese de actividad, Fondo de Garantía Salarial y formación profesional, contenidas en la Ley 36/2014, de 26 de diciembre, de Presupuestos Generales del Estado para el año 2015</w:t>
      </w:r>
    </w:p>
    <w:p w:rsidR="00427CF1" w:rsidRDefault="00427CF1" w:rsidP="00427CF1">
      <w:pPr>
        <w:pStyle w:val="SangriaFrancesaArticulo"/>
      </w:pPr>
      <w:r w:rsidRPr="00427CF1">
        <w:rPr>
          <w:rStyle w:val="TextoNormalNegritaCaracter"/>
        </w:rPr>
        <w:t>Artículo 15.2.</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Real Decreto 775/2015, de 28 de agosto. Modifica el Real Decreto 650/1987, de 8 de mayo, por el que se definen los ámbitos territoriales de los organismos de cuenca y de los planes hidrológicos, y el Real Decreto 125/2007, de 2 de febrero, por el que se fija el ámbito territorial de las demarcaciones hidrográficas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6" w:history="1">
        <w:r w:rsidRPr="00427CF1">
          <w:rPr>
            <w:rStyle w:val="TextoNormalCaracter"/>
          </w:rPr>
          <w:t>216/2016</w:t>
        </w:r>
      </w:hyperlink>
      <w:r>
        <w:t>, ff. 2, 3, 6.</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16" w:history="1">
        <w:r w:rsidRPr="00427CF1">
          <w:rPr>
            <w:rStyle w:val="TextoNormalCaracter"/>
          </w:rPr>
          <w:t>216/2016</w:t>
        </w:r>
      </w:hyperlink>
      <w:r>
        <w:t>, f. 3.</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16" w:history="1">
        <w:r w:rsidRPr="00427CF1">
          <w:rPr>
            <w:rStyle w:val="TextoNormalCaracter"/>
          </w:rPr>
          <w:t>216/2016</w:t>
        </w:r>
      </w:hyperlink>
      <w:r>
        <w:t>, f. 3.</w:t>
      </w:r>
    </w:p>
    <w:p w:rsidR="00427CF1" w:rsidRDefault="00427CF1" w:rsidP="00427CF1">
      <w:pPr>
        <w:pStyle w:val="SangriaFrancesaArticulo"/>
      </w:pPr>
    </w:p>
    <w:p w:rsidR="00427CF1" w:rsidRDefault="00427CF1" w:rsidP="00427CF1">
      <w:pPr>
        <w:pStyle w:val="TextoNormalNegritaCursivandice"/>
      </w:pPr>
      <w:r>
        <w:t>Real Decreto 900/2015, de 9 de octubre. Se regulan las condiciones administrativas, técnicas y económicas de las modalidades de suministro de energía eléctrica con autoconsumo y de producción con autoconsumo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5" w:history="1">
        <w:r w:rsidRPr="00427CF1">
          <w:rPr>
            <w:rStyle w:val="TextoNormalCaracter"/>
          </w:rPr>
          <w:t>205/2016</w:t>
        </w:r>
      </w:hyperlink>
      <w:r>
        <w:t>, ff. 1, 3, 4.</w:t>
      </w:r>
    </w:p>
    <w:p w:rsidR="00427CF1" w:rsidRDefault="00427CF1" w:rsidP="00427CF1">
      <w:pPr>
        <w:pStyle w:val="SangriaFrancesaArticulo"/>
      </w:pPr>
    </w:p>
    <w:p w:rsidR="00427CF1" w:rsidRDefault="00427CF1" w:rsidP="00427CF1">
      <w:pPr>
        <w:pStyle w:val="TextoNormalNegritaCursivandice"/>
      </w:pPr>
      <w:r>
        <w:t>Orden HAP/2178/2015, de 9 de octubre. Eleva el límite exento de la obligación de aportar garantía en las solicitudes de aplazamiento o fraccionamiento a 30.000 euros</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Real Decreto 954/2015, de 23 de octubre. Regula la indicación, uso y autorización de dispensación de medicamentos y productos sanitarios de uso humano por parte de los enfermeros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62" w:history="1">
        <w:r w:rsidRPr="00427CF1">
          <w:rPr>
            <w:rStyle w:val="TextoNormalCaracter"/>
          </w:rPr>
          <w:t>162/2016</w:t>
        </w:r>
      </w:hyperlink>
      <w:r>
        <w:t>, ff. 1, 3.</w:t>
      </w:r>
    </w:p>
    <w:p w:rsidR="00427CF1" w:rsidRDefault="00427CF1" w:rsidP="00427CF1">
      <w:pPr>
        <w:pStyle w:val="SangriaFrancesaArticulo"/>
      </w:pPr>
      <w:r w:rsidRPr="00427CF1">
        <w:rPr>
          <w:rStyle w:val="TextoNormalNegritaCaracter"/>
        </w:rPr>
        <w:t>Artículo 10.1 párrafo 3.</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Artículo 10.2 párrafo 1.</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r w:rsidRPr="00427CF1">
        <w:rPr>
          <w:rStyle w:val="TextoNormalNegritaCaracter"/>
        </w:rPr>
        <w:t>Artículo 10.2 párrafo 3.</w:t>
      </w:r>
      <w:r w:rsidRPr="00427CF1">
        <w:rPr>
          <w:rStyle w:val="TextoNormalCaracter"/>
        </w:rPr>
        <w:t>-</w:t>
      </w:r>
      <w:r>
        <w:t xml:space="preserve"> Auto </w:t>
      </w:r>
      <w:hyperlink w:anchor="AUTO_2016_162" w:history="1">
        <w:r w:rsidRPr="00427CF1">
          <w:rPr>
            <w:rStyle w:val="TextoNormalCaracter"/>
          </w:rPr>
          <w:t>162/2016</w:t>
        </w:r>
      </w:hyperlink>
      <w:r>
        <w:t>.</w:t>
      </w:r>
    </w:p>
    <w:p w:rsidR="00427CF1" w:rsidRDefault="00427CF1" w:rsidP="00427CF1">
      <w:pPr>
        <w:pStyle w:val="SangriaFrancesaArticulo"/>
      </w:pPr>
    </w:p>
    <w:p w:rsidR="00427CF1" w:rsidRDefault="00427CF1" w:rsidP="00427CF1">
      <w:pPr>
        <w:pStyle w:val="TextoNormalNegritaCursivandice"/>
      </w:pPr>
      <w:r>
        <w:t>Orden IET/2660/2015, de 11 de diciembre. Se aprueban las instalaciones tipo y los valores unitarios de referencia de inversión, de operación y mantenimiento por elemento de inmovilizado y los valores unitarios de retribución de otras tareas reguladas que se emplearán en el cálculo de la retribución de las empresas distribuidoras de energía eléctrica, se establecen las definiciones de crecimiento vegetativo y aumento relevante de potencia y las compensaciones por uso y reserva de locales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p>
    <w:p w:rsidR="00427CF1" w:rsidRDefault="00427CF1" w:rsidP="00427CF1">
      <w:pPr>
        <w:pStyle w:val="TextoNormalNegritaCursivandice"/>
      </w:pPr>
      <w:r>
        <w:t>Real Decreto 1171/2015, de 29 de diciembre. Fija el salario mínimo interprofesional para 2016</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27" w:history="1">
        <w:r w:rsidRPr="00427CF1">
          <w:rPr>
            <w:rStyle w:val="TextoNormalCaracter"/>
          </w:rPr>
          <w:t>227/2016</w:t>
        </w:r>
      </w:hyperlink>
      <w:r>
        <w:t>, f. 4.</w:t>
      </w:r>
    </w:p>
    <w:p w:rsidR="00427CF1" w:rsidRDefault="00427CF1" w:rsidP="00427CF1">
      <w:pPr>
        <w:pStyle w:val="SangriaFrancesaArticulo"/>
      </w:pPr>
    </w:p>
    <w:p w:rsidR="00427CF1" w:rsidRDefault="00427CF1" w:rsidP="00427CF1">
      <w:pPr>
        <w:pStyle w:val="TextoNormalNegritaCursivandice"/>
      </w:pPr>
      <w:r>
        <w:t>Real Decreto 1/2016, de 8 de enero. Aprueba la revisión de los planes hidrológicos de las demarcaciones hidrográficas del Cantábrico Occidental, Guadalquivir, Ceuta, Melilla, Segura y Júcar, y de la parte española de las demarcaciones hidrográficas del Cantábrico Oriental, Miño-Sil, Duero, Tajo, Guadiana y Ebro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6" w:history="1">
        <w:r w:rsidRPr="00427CF1">
          <w:rPr>
            <w:rStyle w:val="TextoNormalCaracter"/>
          </w:rPr>
          <w:t>216/2016</w:t>
        </w:r>
      </w:hyperlink>
      <w:r>
        <w:t>, ff. 3, 4, 6.</w:t>
      </w:r>
    </w:p>
    <w:p w:rsidR="00427CF1" w:rsidRDefault="00427CF1" w:rsidP="00427CF1">
      <w:pPr>
        <w:pStyle w:val="SangriaFrancesaArticulo"/>
      </w:pPr>
      <w:r w:rsidRPr="00427CF1">
        <w:rPr>
          <w:rStyle w:val="TextoNormalNegritaCaracter"/>
        </w:rPr>
        <w:t>Anexo XI.</w:t>
      </w:r>
      <w:r w:rsidRPr="00427CF1">
        <w:rPr>
          <w:rStyle w:val="TextoNormalCaracter"/>
        </w:rPr>
        <w:t>-</w:t>
      </w:r>
      <w:r>
        <w:t xml:space="preserve"> Sentencia </w:t>
      </w:r>
      <w:hyperlink w:anchor="SENTENCIA_2016_216" w:history="1">
        <w:r w:rsidRPr="00427CF1">
          <w:rPr>
            <w:rStyle w:val="TextoNormalCaracter"/>
          </w:rPr>
          <w:t>216/2016</w:t>
        </w:r>
      </w:hyperlink>
      <w:r>
        <w:t>, ff. 1, 2.</w:t>
      </w:r>
    </w:p>
    <w:p w:rsidR="00427CF1" w:rsidRDefault="00427CF1" w:rsidP="00427CF1">
      <w:pPr>
        <w:pStyle w:val="SangriaFrancesaArticulo"/>
      </w:pPr>
      <w:r w:rsidRPr="00427CF1">
        <w:rPr>
          <w:rStyle w:val="TextoNormalNegritaCaracter"/>
        </w:rPr>
        <w:t>Anexo XI, artículo 1.</w:t>
      </w:r>
      <w:r w:rsidRPr="00427CF1">
        <w:rPr>
          <w:rStyle w:val="TextoNormalCaracter"/>
        </w:rPr>
        <w:t>-</w:t>
      </w:r>
      <w:r>
        <w:t xml:space="preserve"> Sentencia </w:t>
      </w:r>
      <w:hyperlink w:anchor="SENTENCIA_2016_216" w:history="1">
        <w:r w:rsidRPr="00427CF1">
          <w:rPr>
            <w:rStyle w:val="TextoNormalCaracter"/>
          </w:rPr>
          <w:t>216/2016</w:t>
        </w:r>
      </w:hyperlink>
      <w:r>
        <w:t>, ff. 1 a 4, 7.</w:t>
      </w:r>
    </w:p>
    <w:p w:rsidR="00427CF1" w:rsidRDefault="00427CF1" w:rsidP="00427CF1">
      <w:pPr>
        <w:pStyle w:val="SangriaFrancesaArticulo"/>
      </w:pPr>
      <w:r w:rsidRPr="00427CF1">
        <w:rPr>
          <w:rStyle w:val="TextoNormalNegritaCaracter"/>
        </w:rPr>
        <w:t>Anexo XI, artículo 2.</w:t>
      </w:r>
      <w:r w:rsidRPr="00427CF1">
        <w:rPr>
          <w:rStyle w:val="TextoNormalCaracter"/>
        </w:rPr>
        <w:t>-</w:t>
      </w:r>
      <w:r>
        <w:t xml:space="preserve"> Sentencia </w:t>
      </w:r>
      <w:hyperlink w:anchor="SENTENCIA_2016_216" w:history="1">
        <w:r w:rsidRPr="00427CF1">
          <w:rPr>
            <w:rStyle w:val="TextoNormalCaracter"/>
          </w:rPr>
          <w:t>216/2016</w:t>
        </w:r>
      </w:hyperlink>
      <w:r>
        <w:t>, ff. 1, 2.</w:t>
      </w:r>
    </w:p>
    <w:p w:rsidR="00427CF1" w:rsidRDefault="00427CF1" w:rsidP="00427CF1">
      <w:pPr>
        <w:pStyle w:val="SangriaFrancesaArticulo"/>
      </w:pPr>
      <w:r w:rsidRPr="00427CF1">
        <w:rPr>
          <w:rStyle w:val="TextoNormalNegritaCaracter"/>
        </w:rPr>
        <w:t>Anexo XI, artículo 20.A.1.a.iv.</w:t>
      </w:r>
      <w:r w:rsidRPr="00427CF1">
        <w:rPr>
          <w:rStyle w:val="TextoNormalCaracter"/>
        </w:rPr>
        <w:t>-</w:t>
      </w:r>
      <w:r>
        <w:t xml:space="preserve"> Sentencia </w:t>
      </w:r>
      <w:hyperlink w:anchor="SENTENCIA_2016_216" w:history="1">
        <w:r w:rsidRPr="00427CF1">
          <w:rPr>
            <w:rStyle w:val="TextoNormalCaracter"/>
          </w:rPr>
          <w:t>216/2016</w:t>
        </w:r>
      </w:hyperlink>
      <w:r>
        <w:t>, ff. 2, 5.</w:t>
      </w:r>
    </w:p>
    <w:p w:rsidR="00427CF1" w:rsidRDefault="00427CF1" w:rsidP="00427CF1">
      <w:pPr>
        <w:pStyle w:val="SangriaFrancesaArticulo"/>
      </w:pPr>
      <w:r w:rsidRPr="00427CF1">
        <w:rPr>
          <w:rStyle w:val="TextoNormalNegritaCaracter"/>
        </w:rPr>
        <w:t>Anexo XI, artículo 3.</w:t>
      </w:r>
      <w:r w:rsidRPr="00427CF1">
        <w:rPr>
          <w:rStyle w:val="TextoNormalCaracter"/>
        </w:rPr>
        <w:t>-</w:t>
      </w:r>
      <w:r>
        <w:t xml:space="preserve"> Sentencia </w:t>
      </w:r>
      <w:hyperlink w:anchor="SENTENCIA_2016_216" w:history="1">
        <w:r w:rsidRPr="00427CF1">
          <w:rPr>
            <w:rStyle w:val="TextoNormalCaracter"/>
          </w:rPr>
          <w:t>216/2016</w:t>
        </w:r>
      </w:hyperlink>
      <w:r>
        <w:t>, ff. 1, 2.</w:t>
      </w:r>
    </w:p>
    <w:p w:rsidR="00427CF1" w:rsidRDefault="00427CF1" w:rsidP="00427CF1">
      <w:pPr>
        <w:pStyle w:val="SangriaFrancesaArticulo"/>
      </w:pPr>
    </w:p>
    <w:p w:rsidR="00427CF1" w:rsidRDefault="00427CF1" w:rsidP="00427CF1">
      <w:pPr>
        <w:pStyle w:val="TextoNormalNegritaCursivandice"/>
      </w:pPr>
      <w:r>
        <w:t>Real Decreto 56/2016, de 12 de febrero.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1" w:history="1">
        <w:r w:rsidRPr="00427CF1">
          <w:rPr>
            <w:rStyle w:val="TextoNormalCaracter"/>
          </w:rPr>
          <w:t>171/2016</w:t>
        </w:r>
      </w:hyperlink>
      <w:r>
        <w:t>, ff. 3, 6, 7.</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71" w:history="1">
        <w:r w:rsidRPr="00427CF1">
          <w:rPr>
            <w:rStyle w:val="TextoNormalCaracter"/>
          </w:rPr>
          <w:t>171/2016</w:t>
        </w:r>
      </w:hyperlink>
      <w:r>
        <w:t>, f. 3.</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71" w:history="1">
        <w:r w:rsidRPr="00427CF1">
          <w:rPr>
            <w:rStyle w:val="TextoNormalCaracter"/>
          </w:rPr>
          <w:t>171/2016</w:t>
        </w:r>
      </w:hyperlink>
      <w:r>
        <w:t>, ff. 1, 2, 5.</w:t>
      </w:r>
    </w:p>
    <w:p w:rsidR="00427CF1" w:rsidRDefault="00427CF1" w:rsidP="00427CF1">
      <w:pPr>
        <w:pStyle w:val="SangriaFrancesaArticulo"/>
      </w:pPr>
      <w:r w:rsidRPr="00427CF1">
        <w:rPr>
          <w:rStyle w:val="TextoNormalNegritaCaracter"/>
        </w:rPr>
        <w:t>Artículo 13.1.</w:t>
      </w:r>
      <w:r w:rsidRPr="00427CF1">
        <w:rPr>
          <w:rStyle w:val="TextoNormalCaracter"/>
        </w:rPr>
        <w:t>-</w:t>
      </w:r>
      <w:r>
        <w:t xml:space="preserve"> Sentencia </w:t>
      </w:r>
      <w:hyperlink w:anchor="SENTENCIA_2016_171" w:history="1">
        <w:r w:rsidRPr="00427CF1">
          <w:rPr>
            <w:rStyle w:val="TextoNormalCaracter"/>
          </w:rPr>
          <w:t>171/2016</w:t>
        </w:r>
      </w:hyperlink>
      <w:r>
        <w:t>, ff. 2, 5, 6.</w:t>
      </w:r>
    </w:p>
    <w:p w:rsidR="00427CF1" w:rsidRDefault="00427CF1" w:rsidP="00427CF1">
      <w:pPr>
        <w:pStyle w:val="SangriaFrancesaArticulo"/>
      </w:pPr>
      <w:r w:rsidRPr="00427CF1">
        <w:rPr>
          <w:rStyle w:val="TextoNormalNegritaCaracter"/>
        </w:rPr>
        <w:t>Artículo 13.2.</w:t>
      </w:r>
      <w:r w:rsidRPr="00427CF1">
        <w:rPr>
          <w:rStyle w:val="TextoNormalCaracter"/>
        </w:rPr>
        <w:t>-</w:t>
      </w:r>
      <w:r>
        <w:t xml:space="preserve"> Sentencia </w:t>
      </w:r>
      <w:hyperlink w:anchor="SENTENCIA_2016_171" w:history="1">
        <w:r w:rsidRPr="00427CF1">
          <w:rPr>
            <w:rStyle w:val="TextoNormalCaracter"/>
          </w:rPr>
          <w:t>171/2016</w:t>
        </w:r>
      </w:hyperlink>
      <w:r>
        <w:t>, f. 2.</w:t>
      </w:r>
    </w:p>
    <w:p w:rsidR="00427CF1" w:rsidRDefault="00427CF1" w:rsidP="00427CF1">
      <w:pPr>
        <w:pStyle w:val="SangriaFrancesaArticulo"/>
      </w:pPr>
      <w:r w:rsidRPr="00427CF1">
        <w:rPr>
          <w:rStyle w:val="TextoNormalNegritaCaracter"/>
        </w:rPr>
        <w:t>Artículo 13.3.</w:t>
      </w:r>
      <w:r w:rsidRPr="00427CF1">
        <w:rPr>
          <w:rStyle w:val="TextoNormalCaracter"/>
        </w:rPr>
        <w:t>-</w:t>
      </w:r>
      <w:r>
        <w:t xml:space="preserve"> Sentencia </w:t>
      </w:r>
      <w:hyperlink w:anchor="SENTENCIA_2016_171" w:history="1">
        <w:r w:rsidRPr="00427CF1">
          <w:rPr>
            <w:rStyle w:val="TextoNormalCaracter"/>
          </w:rPr>
          <w:t>171/2016</w:t>
        </w:r>
      </w:hyperlink>
      <w:r>
        <w:t>, ff. 2, 5.</w:t>
      </w:r>
    </w:p>
    <w:p w:rsidR="00427CF1" w:rsidRDefault="00427CF1" w:rsidP="00427CF1">
      <w:pPr>
        <w:pStyle w:val="SangriaFrancesaArticulo"/>
      </w:pPr>
      <w:r w:rsidRPr="00427CF1">
        <w:rPr>
          <w:rStyle w:val="TextoNormalNegritaCaracter"/>
        </w:rPr>
        <w:t>Artículo 13.4.</w:t>
      </w:r>
      <w:r w:rsidRPr="00427CF1">
        <w:rPr>
          <w:rStyle w:val="TextoNormalCaracter"/>
        </w:rPr>
        <w:t>-</w:t>
      </w:r>
      <w:r>
        <w:t xml:space="preserve"> Sentencia </w:t>
      </w:r>
      <w:hyperlink w:anchor="SENTENCIA_2016_171" w:history="1">
        <w:r w:rsidRPr="00427CF1">
          <w:rPr>
            <w:rStyle w:val="TextoNormalCaracter"/>
          </w:rPr>
          <w:t>171/2016</w:t>
        </w:r>
      </w:hyperlink>
      <w:r>
        <w:t>, ff. 2, 5, 6.</w:t>
      </w:r>
    </w:p>
    <w:p w:rsidR="00427CF1" w:rsidRDefault="00427CF1" w:rsidP="00427CF1">
      <w:pPr>
        <w:pStyle w:val="SangriaFrancesaArticulo"/>
      </w:pPr>
      <w:r w:rsidRPr="00427CF1">
        <w:rPr>
          <w:rStyle w:val="TextoNormalNegritaCaracter"/>
        </w:rPr>
        <w:t>Artículo 13.5.</w:t>
      </w:r>
      <w:r w:rsidRPr="00427CF1">
        <w:rPr>
          <w:rStyle w:val="TextoNormalCaracter"/>
        </w:rPr>
        <w:t>-</w:t>
      </w:r>
      <w:r>
        <w:t xml:space="preserve"> Sentencia </w:t>
      </w:r>
      <w:hyperlink w:anchor="SENTENCIA_2016_171" w:history="1">
        <w:r w:rsidRPr="00427CF1">
          <w:rPr>
            <w:rStyle w:val="TextoNormalCaracter"/>
          </w:rPr>
          <w:t>171/2016</w:t>
        </w:r>
      </w:hyperlink>
      <w:r>
        <w:t>, ff. 2, 5.</w:t>
      </w:r>
    </w:p>
    <w:p w:rsidR="00427CF1" w:rsidRDefault="00427CF1" w:rsidP="00427CF1">
      <w:pPr>
        <w:pStyle w:val="SangriaFrancesaArticulo"/>
      </w:pPr>
      <w:r w:rsidRPr="00427CF1">
        <w:rPr>
          <w:rStyle w:val="TextoNormalNegritaCaracter"/>
        </w:rPr>
        <w:t>Artículo 13.6.</w:t>
      </w:r>
      <w:r w:rsidRPr="00427CF1">
        <w:rPr>
          <w:rStyle w:val="TextoNormalCaracter"/>
        </w:rPr>
        <w:t>-</w:t>
      </w:r>
      <w:r>
        <w:t xml:space="preserve"> Sentencia </w:t>
      </w:r>
      <w:hyperlink w:anchor="SENTENCIA_2016_171" w:history="1">
        <w:r w:rsidRPr="00427CF1">
          <w:rPr>
            <w:rStyle w:val="TextoNormalCaracter"/>
          </w:rPr>
          <w:t>171/2016</w:t>
        </w:r>
      </w:hyperlink>
      <w:r>
        <w:t>, f. 2.</w:t>
      </w:r>
    </w:p>
    <w:p w:rsidR="00427CF1" w:rsidRDefault="00427CF1" w:rsidP="00427CF1">
      <w:pPr>
        <w:pStyle w:val="SangriaFrancesaArticulo"/>
      </w:pPr>
      <w:r w:rsidRPr="00427CF1">
        <w:rPr>
          <w:rStyle w:val="TextoNormalNegritaCaracter"/>
        </w:rPr>
        <w:t>Disposición final primera.</w:t>
      </w:r>
      <w:r w:rsidRPr="00427CF1">
        <w:rPr>
          <w:rStyle w:val="TextoNormalCaracter"/>
        </w:rPr>
        <w:t>-</w:t>
      </w:r>
      <w:r>
        <w:t xml:space="preserve"> Sentencia </w:t>
      </w:r>
      <w:hyperlink w:anchor="SENTENCIA_2016_171" w:history="1">
        <w:r w:rsidRPr="00427CF1">
          <w:rPr>
            <w:rStyle w:val="TextoNormalCaracter"/>
          </w:rPr>
          <w:t>171/2016</w:t>
        </w:r>
      </w:hyperlink>
      <w:r>
        <w:t>, ff. 1, 5, 6.</w:t>
      </w:r>
    </w:p>
    <w:p w:rsidR="00427CF1" w:rsidRDefault="00427CF1" w:rsidP="00427CF1">
      <w:pPr>
        <w:pStyle w:val="SangriaFrancesaArticulo"/>
      </w:pPr>
      <w:r w:rsidRPr="00427CF1">
        <w:rPr>
          <w:rStyle w:val="TextoNormalNegritaCaracter"/>
        </w:rPr>
        <w:t>Disposición final cuarta.</w:t>
      </w:r>
      <w:r w:rsidRPr="00427CF1">
        <w:rPr>
          <w:rStyle w:val="TextoNormalCaracter"/>
        </w:rPr>
        <w:t>-</w:t>
      </w:r>
      <w:r>
        <w:t xml:space="preserve"> Sentencia </w:t>
      </w:r>
      <w:hyperlink w:anchor="SENTENCIA_2016_171" w:history="1">
        <w:r w:rsidRPr="00427CF1">
          <w:rPr>
            <w:rStyle w:val="TextoNormalCaracter"/>
          </w:rPr>
          <w:t>171/2016</w:t>
        </w:r>
      </w:hyperlink>
      <w:r>
        <w:t>, ff. 1, 3, 4, 7.</w:t>
      </w:r>
    </w:p>
    <w:p w:rsidR="00427CF1" w:rsidRDefault="00427CF1" w:rsidP="00427CF1">
      <w:pPr>
        <w:pStyle w:val="SangriaFrancesaArticulo"/>
      </w:pPr>
      <w:r w:rsidRPr="00427CF1">
        <w:rPr>
          <w:rStyle w:val="TextoNormalNegritaCaracter"/>
        </w:rPr>
        <w:t>Anexo III.</w:t>
      </w:r>
      <w:r w:rsidRPr="00427CF1">
        <w:rPr>
          <w:rStyle w:val="TextoNormalCaracter"/>
        </w:rPr>
        <w:t>-</w:t>
      </w:r>
      <w:r>
        <w:t xml:space="preserve"> Sentencia </w:t>
      </w:r>
      <w:hyperlink w:anchor="SENTENCIA_2016_171" w:history="1">
        <w:r w:rsidRPr="00427CF1">
          <w:rPr>
            <w:rStyle w:val="TextoNormalCaracter"/>
          </w:rPr>
          <w:t>171/2016</w:t>
        </w:r>
      </w:hyperlink>
      <w:r>
        <w:t>, f. 5.</w:t>
      </w:r>
    </w:p>
    <w:p w:rsidR="00427CF1" w:rsidRDefault="00427CF1" w:rsidP="00427CF1">
      <w:pPr>
        <w:pStyle w:val="SangriaFrancesaArticulo"/>
      </w:pPr>
      <w:r w:rsidRPr="00427CF1">
        <w:rPr>
          <w:rStyle w:val="TextoNormalNegritaCaracter"/>
        </w:rPr>
        <w:t>Anexo IV.</w:t>
      </w:r>
      <w:r w:rsidRPr="00427CF1">
        <w:rPr>
          <w:rStyle w:val="TextoNormalCaracter"/>
        </w:rPr>
        <w:t>-</w:t>
      </w:r>
      <w:r>
        <w:t xml:space="preserve"> Sentencia </w:t>
      </w:r>
      <w:hyperlink w:anchor="SENTENCIA_2016_171" w:history="1">
        <w:r w:rsidRPr="00427CF1">
          <w:rPr>
            <w:rStyle w:val="TextoNormalCaracter"/>
          </w:rPr>
          <w:t>171/2016</w:t>
        </w:r>
      </w:hyperlink>
      <w:r>
        <w:t>, f. 5.</w:t>
      </w:r>
    </w:p>
    <w:p w:rsidR="00427CF1" w:rsidRDefault="00427CF1" w:rsidP="00427CF1">
      <w:pPr>
        <w:pStyle w:val="SangriaFrancesaArticulo"/>
      </w:pPr>
      <w:r w:rsidRPr="00427CF1">
        <w:rPr>
          <w:rStyle w:val="TextoNormalNegritaCaracter"/>
        </w:rPr>
        <w:t>Anexo IV, parte 1.</w:t>
      </w:r>
      <w:r w:rsidRPr="00427CF1">
        <w:rPr>
          <w:rStyle w:val="TextoNormalCaracter"/>
        </w:rPr>
        <w:t>-</w:t>
      </w:r>
      <w:r>
        <w:t xml:space="preserve"> Sentencia </w:t>
      </w:r>
      <w:hyperlink w:anchor="SENTENCIA_2016_171" w:history="1">
        <w:r w:rsidRPr="00427CF1">
          <w:rPr>
            <w:rStyle w:val="TextoNormalCaracter"/>
          </w:rPr>
          <w:t>171/2016</w:t>
        </w:r>
      </w:hyperlink>
      <w:r>
        <w:t>, f. 5.</w:t>
      </w:r>
    </w:p>
    <w:p w:rsidR="00427CF1" w:rsidRDefault="00427CF1" w:rsidP="00427CF1">
      <w:pPr>
        <w:pStyle w:val="SangriaFrancesaArticulo"/>
      </w:pPr>
      <w:r w:rsidRPr="00427CF1">
        <w:rPr>
          <w:rStyle w:val="TextoNormalNegritaCaracter"/>
        </w:rPr>
        <w:t>Anexo IV, parte 2.</w:t>
      </w:r>
      <w:r w:rsidRPr="00427CF1">
        <w:rPr>
          <w:rStyle w:val="TextoNormalCaracter"/>
        </w:rPr>
        <w:t>-</w:t>
      </w:r>
      <w:r>
        <w:t xml:space="preserve"> Sentencia </w:t>
      </w:r>
      <w:hyperlink w:anchor="SENTENCIA_2016_171" w:history="1">
        <w:r w:rsidRPr="00427CF1">
          <w:rPr>
            <w:rStyle w:val="TextoNormalCaracter"/>
          </w:rPr>
          <w:t>171/2016</w:t>
        </w:r>
      </w:hyperlink>
      <w:r>
        <w:t>, f. 6.</w:t>
      </w:r>
    </w:p>
    <w:p w:rsidR="00427CF1" w:rsidRDefault="00427CF1" w:rsidP="00427CF1">
      <w:pPr>
        <w:pStyle w:val="TextoNormal"/>
      </w:pPr>
    </w:p>
    <w:p w:rsidR="00427CF1" w:rsidRDefault="00427CF1" w:rsidP="00427CF1">
      <w:pPr>
        <w:pStyle w:val="SangriaFrancesaArticulo"/>
      </w:pPr>
      <w:bookmarkStart w:id="196" w:name="INDICE22850"/>
    </w:p>
    <w:bookmarkEnd w:id="196"/>
    <w:p w:rsidR="00427CF1" w:rsidRDefault="00427CF1" w:rsidP="00427CF1">
      <w:pPr>
        <w:pStyle w:val="TextoIndiceNivel2"/>
        <w:suppressAutoHyphens/>
      </w:pPr>
      <w:r>
        <w:t>I) Legislación preconstitucional</w:t>
      </w:r>
    </w:p>
    <w:p w:rsidR="00427CF1" w:rsidRDefault="00427CF1" w:rsidP="00427CF1">
      <w:pPr>
        <w:pStyle w:val="TextoIndiceNivel2"/>
      </w:pPr>
    </w:p>
    <w:p w:rsidR="00427CF1" w:rsidRDefault="00427CF1" w:rsidP="00427CF1">
      <w:pPr>
        <w:pStyle w:val="TextoNormalNegritaCursivandice"/>
      </w:pPr>
      <w:r>
        <w:t>Real Decreto de 14 de septiembre de 1882. Ley de enjuiciamiento criminal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r w:rsidRPr="00427CF1">
        <w:rPr>
          <w:rStyle w:val="TextoNormalNegritaCaracter"/>
        </w:rPr>
        <w:t>Artículo 847</w:t>
      </w:r>
      <w:r>
        <w:t xml:space="preserve"> (redactado por la Ley Orgánica 5/1995, de 22 de mayo)</w:t>
      </w:r>
      <w:r w:rsidRPr="00427CF1">
        <w:rPr>
          <w:rStyle w:val="TextoNormalNegritaCaracter"/>
        </w:rPr>
        <w:t>.</w:t>
      </w:r>
      <w:r w:rsidRPr="00427CF1">
        <w:rPr>
          <w:rStyle w:val="TextoNormalCaracter"/>
        </w:rPr>
        <w:t>-</w:t>
      </w:r>
      <w:r>
        <w:t xml:space="preserve"> Sentencia </w:t>
      </w:r>
      <w:hyperlink w:anchor="SENTENCIA_2016_172" w:history="1">
        <w:r w:rsidRPr="00427CF1">
          <w:rPr>
            <w:rStyle w:val="TextoNormalCaracter"/>
          </w:rPr>
          <w:t>172/2016</w:t>
        </w:r>
      </w:hyperlink>
      <w:r>
        <w:t>, f. 5.</w:t>
      </w:r>
    </w:p>
    <w:p w:rsidR="00427CF1" w:rsidRDefault="00427CF1" w:rsidP="00427CF1">
      <w:pPr>
        <w:pStyle w:val="SangriaFrancesaArticulo"/>
      </w:pPr>
      <w:r w:rsidRPr="00427CF1">
        <w:rPr>
          <w:rStyle w:val="TextoNormalNegritaCaracter"/>
        </w:rPr>
        <w:t>Artículo 848.</w:t>
      </w:r>
      <w:r w:rsidRPr="00427CF1">
        <w:rPr>
          <w:rStyle w:val="TextoNormalCaracter"/>
        </w:rPr>
        <w:t>-</w:t>
      </w:r>
      <w:r>
        <w:t xml:space="preserve"> Sentencia </w:t>
      </w:r>
      <w:hyperlink w:anchor="SENTENCIA_2016_172" w:history="1">
        <w:r w:rsidRPr="00427CF1">
          <w:rPr>
            <w:rStyle w:val="TextoNormalCaracter"/>
          </w:rPr>
          <w:t>172/2016</w:t>
        </w:r>
      </w:hyperlink>
      <w:r>
        <w:t>, f. 5.</w:t>
      </w:r>
    </w:p>
    <w:p w:rsidR="00427CF1" w:rsidRDefault="00427CF1" w:rsidP="00427CF1">
      <w:pPr>
        <w:pStyle w:val="SangriaFrancesaArticulo"/>
      </w:pPr>
      <w:r w:rsidRPr="00427CF1">
        <w:rPr>
          <w:rStyle w:val="TextoNormalNegritaCaracter"/>
        </w:rPr>
        <w:t>Artículo 849.1.</w:t>
      </w:r>
      <w:r w:rsidRPr="00427CF1">
        <w:rPr>
          <w:rStyle w:val="TextoNormalCaracter"/>
        </w:rPr>
        <w:t>-</w:t>
      </w:r>
      <w:r>
        <w:t xml:space="preserve"> Sentencia </w:t>
      </w:r>
      <w:hyperlink w:anchor="SENTENCIA_2016_172" w:history="1">
        <w:r w:rsidRPr="00427CF1">
          <w:rPr>
            <w:rStyle w:val="TextoNormalCaracter"/>
          </w:rPr>
          <w:t>172/2016</w:t>
        </w:r>
      </w:hyperlink>
      <w:r>
        <w:t>, ff. 3, 5, 8, VP.</w:t>
      </w:r>
    </w:p>
    <w:p w:rsidR="00427CF1" w:rsidRDefault="00427CF1" w:rsidP="00427CF1">
      <w:pPr>
        <w:pStyle w:val="SangriaFrancesaArticulo"/>
      </w:pPr>
      <w:r w:rsidRPr="00427CF1">
        <w:rPr>
          <w:rStyle w:val="TextoNormalNegritaCaracter"/>
        </w:rPr>
        <w:t>Artículo 884.</w:t>
      </w:r>
      <w:r w:rsidRPr="00427CF1">
        <w:rPr>
          <w:rStyle w:val="TextoNormalCaracter"/>
        </w:rPr>
        <w:t>-</w:t>
      </w:r>
      <w:r>
        <w:t xml:space="preserve"> Sentencia </w:t>
      </w:r>
      <w:hyperlink w:anchor="SENTENCIA_2016_172" w:history="1">
        <w:r w:rsidRPr="00427CF1">
          <w:rPr>
            <w:rStyle w:val="TextoNormalCaracter"/>
          </w:rPr>
          <w:t>172/2016</w:t>
        </w:r>
      </w:hyperlink>
      <w:r>
        <w:t>, f. 5.</w:t>
      </w:r>
    </w:p>
    <w:p w:rsidR="00427CF1" w:rsidRDefault="00427CF1" w:rsidP="00427CF1">
      <w:pPr>
        <w:pStyle w:val="SangriaFrancesaArticulo"/>
      </w:pPr>
      <w:r w:rsidRPr="00427CF1">
        <w:rPr>
          <w:rStyle w:val="TextoNormalNegritaCaracter"/>
        </w:rPr>
        <w:t>Artículo 885.</w:t>
      </w:r>
      <w:r w:rsidRPr="00427CF1">
        <w:rPr>
          <w:rStyle w:val="TextoNormalCaracter"/>
        </w:rPr>
        <w:t>-</w:t>
      </w:r>
      <w:r>
        <w:t xml:space="preserve"> Sentencia </w:t>
      </w:r>
      <w:hyperlink w:anchor="SENTENCIA_2016_172" w:history="1">
        <w:r w:rsidRPr="00427CF1">
          <w:rPr>
            <w:rStyle w:val="TextoNormalCaracter"/>
          </w:rPr>
          <w:t>172/2016</w:t>
        </w:r>
      </w:hyperlink>
      <w:r>
        <w:t>, f. 5.</w:t>
      </w:r>
    </w:p>
    <w:p w:rsidR="00427CF1" w:rsidRDefault="00427CF1" w:rsidP="00427CF1">
      <w:pPr>
        <w:pStyle w:val="SangriaFrancesaArticulo"/>
      </w:pPr>
      <w:r w:rsidRPr="00427CF1">
        <w:rPr>
          <w:rStyle w:val="TextoNormalNegritaCaracter"/>
        </w:rPr>
        <w:t>Artículo 893.</w:t>
      </w:r>
      <w:r w:rsidRPr="00427CF1">
        <w:rPr>
          <w:rStyle w:val="TextoNormalCaracter"/>
        </w:rPr>
        <w:t>-</w:t>
      </w:r>
      <w:r>
        <w:t xml:space="preserve"> Sentencia </w:t>
      </w:r>
      <w:hyperlink w:anchor="SENTENCIA_2016_172" w:history="1">
        <w:r w:rsidRPr="00427CF1">
          <w:rPr>
            <w:rStyle w:val="TextoNormalCaracter"/>
          </w:rPr>
          <w:t>172/2016</w:t>
        </w:r>
      </w:hyperlink>
      <w:r>
        <w:t>, f. 8.</w:t>
      </w:r>
    </w:p>
    <w:p w:rsidR="00427CF1" w:rsidRDefault="00427CF1" w:rsidP="00427CF1">
      <w:pPr>
        <w:pStyle w:val="SangriaFrancesaArticulo"/>
      </w:pPr>
      <w:r w:rsidRPr="00427CF1">
        <w:rPr>
          <w:rStyle w:val="TextoNormalNegritaCaracter"/>
        </w:rPr>
        <w:t>Artículo 988.</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p>
    <w:p w:rsidR="00427CF1" w:rsidRDefault="00427CF1" w:rsidP="00427CF1">
      <w:pPr>
        <w:pStyle w:val="TextoNormalNegritaCursivandice"/>
      </w:pPr>
      <w:r>
        <w:t>Real Decreto de 24 de julio de 1889. Código civil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72" w:history="1">
        <w:r w:rsidRPr="00427CF1">
          <w:rPr>
            <w:rStyle w:val="TextoNormalCaracter"/>
          </w:rPr>
          <w:t>172/2016</w:t>
        </w:r>
      </w:hyperlink>
      <w:r>
        <w:t xml:space="preserve">, f. 5, VP; </w:t>
      </w:r>
      <w:hyperlink w:anchor="SENTENCIA_2016_192" w:history="1">
        <w:r w:rsidRPr="00427CF1">
          <w:rPr>
            <w:rStyle w:val="TextoNormalCaracter"/>
          </w:rPr>
          <w:t>192/2016</w:t>
        </w:r>
      </w:hyperlink>
      <w:r>
        <w:t>, VP.</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92" w:history="1">
        <w:r w:rsidRPr="00427CF1">
          <w:rPr>
            <w:rStyle w:val="TextoNormalCaracter"/>
          </w:rPr>
          <w:t>192/2016</w:t>
        </w:r>
      </w:hyperlink>
      <w:r>
        <w:t>, f. 4.</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Sentencias </w:t>
      </w:r>
      <w:hyperlink w:anchor="SENTENCIA_2016_149" w:history="1">
        <w:r w:rsidRPr="00427CF1">
          <w:rPr>
            <w:rStyle w:val="TextoNormalCaracter"/>
          </w:rPr>
          <w:t>149/2016</w:t>
        </w:r>
      </w:hyperlink>
      <w:r>
        <w:t xml:space="preserve">, f. 4; </w:t>
      </w:r>
      <w:hyperlink w:anchor="SENTENCIA_2016_172" w:history="1">
        <w:r w:rsidRPr="00427CF1">
          <w:rPr>
            <w:rStyle w:val="TextoNormalCaracter"/>
          </w:rPr>
          <w:t>172/2016</w:t>
        </w:r>
      </w:hyperlink>
      <w:r>
        <w:t>, VP.</w:t>
      </w:r>
    </w:p>
    <w:p w:rsidR="00427CF1" w:rsidRDefault="00427CF1" w:rsidP="00427CF1">
      <w:pPr>
        <w:pStyle w:val="SangriaFrancesaArticulo"/>
      </w:pPr>
      <w:r w:rsidRPr="00427CF1">
        <w:rPr>
          <w:rStyle w:val="TextoNormalNegritaCaracter"/>
        </w:rPr>
        <w:t>Artículo 158.</w:t>
      </w:r>
      <w:r w:rsidRPr="00427CF1">
        <w:rPr>
          <w:rStyle w:val="TextoNormalCaracter"/>
        </w:rPr>
        <w:t>-</w:t>
      </w:r>
      <w:r>
        <w:t xml:space="preserve"> Sentencia </w:t>
      </w:r>
      <w:hyperlink w:anchor="SENTENCIA_2016_172" w:history="1">
        <w:r w:rsidRPr="00427CF1">
          <w:rPr>
            <w:rStyle w:val="TextoNormalCaracter"/>
          </w:rPr>
          <w:t>172/2016</w:t>
        </w:r>
      </w:hyperlink>
      <w:r>
        <w:t>, ff. 5, 9, VP.</w:t>
      </w:r>
    </w:p>
    <w:p w:rsidR="00427CF1" w:rsidRDefault="00427CF1" w:rsidP="00427CF1">
      <w:pPr>
        <w:pStyle w:val="SangriaFrancesaArticulo"/>
      </w:pPr>
      <w:r w:rsidRPr="00427CF1">
        <w:rPr>
          <w:rStyle w:val="TextoNormalNegritaCaracter"/>
        </w:rPr>
        <w:t>Artículo 158.4.</w:t>
      </w:r>
      <w:r w:rsidRPr="00427CF1">
        <w:rPr>
          <w:rStyle w:val="TextoNormalCaracter"/>
        </w:rPr>
        <w:t>-</w:t>
      </w:r>
      <w:r>
        <w:t xml:space="preserve"> Sentencia </w:t>
      </w:r>
      <w:hyperlink w:anchor="SENTENCIA_2016_172" w:history="1">
        <w:r w:rsidRPr="00427CF1">
          <w:rPr>
            <w:rStyle w:val="TextoNormalCaracter"/>
          </w:rPr>
          <w:t>172/2016</w:t>
        </w:r>
      </w:hyperlink>
      <w:r>
        <w:t>, ff. 3, 5, VP.</w:t>
      </w:r>
    </w:p>
    <w:p w:rsidR="00427CF1" w:rsidRDefault="00427CF1" w:rsidP="00427CF1">
      <w:pPr>
        <w:pStyle w:val="SangriaFrancesaArticulo"/>
      </w:pPr>
      <w:r w:rsidRPr="00427CF1">
        <w:rPr>
          <w:rStyle w:val="TextoNormalNegritaCaracter"/>
        </w:rPr>
        <w:t>Artículo 200.</w:t>
      </w:r>
      <w:r w:rsidRPr="00427CF1">
        <w:rPr>
          <w:rStyle w:val="TextoNormalCaracter"/>
        </w:rPr>
        <w:t>-</w:t>
      </w:r>
      <w:r>
        <w:t xml:space="preserve"> Sentencia </w:t>
      </w:r>
      <w:hyperlink w:anchor="SENTENCIA_2016_132" w:history="1">
        <w:r w:rsidRPr="00427CF1">
          <w:rPr>
            <w:rStyle w:val="TextoNormalCaracter"/>
          </w:rPr>
          <w:t>132/2016</w:t>
        </w:r>
      </w:hyperlink>
      <w:r>
        <w:t>, f. 5.</w:t>
      </w:r>
    </w:p>
    <w:p w:rsidR="00427CF1" w:rsidRDefault="00427CF1" w:rsidP="00427CF1">
      <w:pPr>
        <w:pStyle w:val="SangriaFrancesaArticulo"/>
      </w:pPr>
      <w:r w:rsidRPr="00427CF1">
        <w:rPr>
          <w:rStyle w:val="TextoNormalNegritaCaracter"/>
        </w:rPr>
        <w:t>Artículo 464.</w:t>
      </w:r>
      <w:r w:rsidRPr="00427CF1">
        <w:rPr>
          <w:rStyle w:val="TextoNormalCaracter"/>
        </w:rPr>
        <w:t>-</w:t>
      </w:r>
      <w:r>
        <w:t xml:space="preserve"> Auto </w:t>
      </w:r>
      <w:hyperlink w:anchor="AUTO_2016_169" w:history="1">
        <w:r w:rsidRPr="00427CF1">
          <w:rPr>
            <w:rStyle w:val="TextoNormalCaracter"/>
          </w:rPr>
          <w:t>169/2016</w:t>
        </w:r>
      </w:hyperlink>
      <w:r>
        <w:t>, f. 3.</w:t>
      </w:r>
    </w:p>
    <w:p w:rsidR="00427CF1" w:rsidRDefault="00427CF1" w:rsidP="00427CF1">
      <w:pPr>
        <w:pStyle w:val="SangriaFrancesaArticulo"/>
      </w:pPr>
      <w:r w:rsidRPr="00427CF1">
        <w:rPr>
          <w:rStyle w:val="TextoNormalNegritaCaracter"/>
        </w:rPr>
        <w:t>Artículo 1535.</w:t>
      </w:r>
      <w:r w:rsidRPr="00427CF1">
        <w:rPr>
          <w:rStyle w:val="TextoNormalCaracter"/>
        </w:rPr>
        <w:t>-</w:t>
      </w:r>
      <w:r>
        <w:t xml:space="preserve"> Auto </w:t>
      </w:r>
      <w:hyperlink w:anchor="AUTO_2016_168" w:history="1">
        <w:r w:rsidRPr="00427CF1">
          <w:rPr>
            <w:rStyle w:val="TextoNormalCaracter"/>
          </w:rPr>
          <w:t>168/2016</w:t>
        </w:r>
      </w:hyperlink>
      <w:r>
        <w:t>, ff. 1, 2, 5.</w:t>
      </w:r>
    </w:p>
    <w:p w:rsidR="00427CF1" w:rsidRDefault="00427CF1" w:rsidP="00427CF1">
      <w:pPr>
        <w:pStyle w:val="SangriaFrancesaArticulo"/>
      </w:pPr>
      <w:r w:rsidRPr="00427CF1">
        <w:rPr>
          <w:rStyle w:val="TextoNormalNegritaCaracter"/>
        </w:rPr>
        <w:t>Artículo 1879.</w:t>
      </w:r>
      <w:r w:rsidRPr="00427CF1">
        <w:rPr>
          <w:rStyle w:val="TextoNormalCaracter"/>
        </w:rPr>
        <w:t>-</w:t>
      </w:r>
      <w:r>
        <w:t xml:space="preserve"> Auto </w:t>
      </w:r>
      <w:hyperlink w:anchor="AUTO_2016_146" w:history="1">
        <w:r w:rsidRPr="00427CF1">
          <w:rPr>
            <w:rStyle w:val="TextoNormalCaracter"/>
          </w:rPr>
          <w:t>146/2016</w:t>
        </w:r>
      </w:hyperlink>
      <w:r>
        <w:t>, f. 4.</w:t>
      </w:r>
    </w:p>
    <w:p w:rsidR="00427CF1" w:rsidRDefault="00427CF1" w:rsidP="00427CF1">
      <w:pPr>
        <w:pStyle w:val="SangriaFrancesaArticulo"/>
      </w:pPr>
    </w:p>
    <w:p w:rsidR="00427CF1" w:rsidRDefault="00427CF1" w:rsidP="00427CF1">
      <w:pPr>
        <w:pStyle w:val="TextoNormalNegritaCursivandice"/>
      </w:pPr>
      <w:r>
        <w:t>Ley de 21 de abril de 1909. Hipotecaria</w:t>
      </w:r>
    </w:p>
    <w:p w:rsidR="00427CF1" w:rsidRDefault="00427CF1" w:rsidP="00427CF1">
      <w:pPr>
        <w:pStyle w:val="SangriaFrancesaArticulo"/>
      </w:pPr>
      <w:r w:rsidRPr="00427CF1">
        <w:rPr>
          <w:rStyle w:val="TextoNormalNegritaCaracter"/>
        </w:rPr>
        <w:t>Artículo 34.</w:t>
      </w:r>
      <w:r w:rsidRPr="00427CF1">
        <w:rPr>
          <w:rStyle w:val="TextoNormalCaracter"/>
        </w:rPr>
        <w:t>-</w:t>
      </w:r>
      <w:r>
        <w:t xml:space="preserve"> Auto </w:t>
      </w:r>
      <w:hyperlink w:anchor="AUTO_2016_198" w:history="1">
        <w:r w:rsidRPr="00427CF1">
          <w:rPr>
            <w:rStyle w:val="TextoNormalCaracter"/>
          </w:rPr>
          <w:t>198/2016</w:t>
        </w:r>
      </w:hyperlink>
      <w:r>
        <w:t>, f. 1.</w:t>
      </w:r>
    </w:p>
    <w:p w:rsidR="00427CF1" w:rsidRDefault="00427CF1" w:rsidP="00427CF1">
      <w:pPr>
        <w:pStyle w:val="SangriaFrancesaArticulo"/>
      </w:pPr>
    </w:p>
    <w:p w:rsidR="00427CF1" w:rsidRDefault="00427CF1" w:rsidP="00427CF1">
      <w:pPr>
        <w:pStyle w:val="TextoNormalNegritaCursivandice"/>
      </w:pPr>
      <w:r>
        <w:t>Ley de 22 de julio de 1912. Tribunales industriales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3" w:history="1">
        <w:r w:rsidRPr="00427CF1">
          <w:rPr>
            <w:rStyle w:val="TextoNormalCaracter"/>
          </w:rPr>
          <w:t>173/2016</w:t>
        </w:r>
      </w:hyperlink>
      <w:r>
        <w:t>, f. 4.</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66" w:history="1">
        <w:r w:rsidRPr="00427CF1">
          <w:rPr>
            <w:rStyle w:val="TextoNormalCaracter"/>
          </w:rPr>
          <w:t>166/2016</w:t>
        </w:r>
      </w:hyperlink>
      <w:r>
        <w:t>, f. 4.</w:t>
      </w:r>
    </w:p>
    <w:p w:rsidR="00427CF1" w:rsidRDefault="00427CF1" w:rsidP="00427CF1">
      <w:pPr>
        <w:pStyle w:val="SangriaFrancesaArticulo"/>
      </w:pPr>
    </w:p>
    <w:p w:rsidR="00427CF1" w:rsidRDefault="00427CF1" w:rsidP="00427CF1">
      <w:pPr>
        <w:pStyle w:val="TextoNormalNegritaCursivandice"/>
      </w:pPr>
      <w:r>
        <w:t>Decreto de 13 de septiembre de 1936. Declara fuera de la Ley a los partidos o agrupaciones políticas integrados en el Frente Popular</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5" w:history="1">
        <w:r w:rsidRPr="00427CF1">
          <w:rPr>
            <w:rStyle w:val="TextoNormalCaracter"/>
          </w:rPr>
          <w:t>125/2016</w:t>
        </w:r>
      </w:hyperlink>
      <w:r>
        <w:t>, f. 1.</w:t>
      </w:r>
    </w:p>
    <w:p w:rsidR="00427CF1" w:rsidRDefault="00427CF1" w:rsidP="00427CF1">
      <w:pPr>
        <w:pStyle w:val="SangriaFrancesaArticulo"/>
      </w:pPr>
    </w:p>
    <w:p w:rsidR="00427CF1" w:rsidRDefault="00427CF1" w:rsidP="00427CF1">
      <w:pPr>
        <w:pStyle w:val="TextoNormalNegritaCursivandice"/>
      </w:pPr>
      <w:r>
        <w:t>Decreto de 27 de noviembre de 1953. Reglamento de personal de los servicios sanitarios locales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3" w:history="1">
        <w:r w:rsidRPr="00427CF1">
          <w:rPr>
            <w:rStyle w:val="TextoNormalCaracter"/>
          </w:rPr>
          <w:t>183/2016</w:t>
        </w:r>
      </w:hyperlink>
      <w:r>
        <w:t>, f. 3.</w:t>
      </w:r>
    </w:p>
    <w:p w:rsidR="00427CF1" w:rsidRDefault="00427CF1" w:rsidP="00427CF1">
      <w:pPr>
        <w:pStyle w:val="SangriaFrancesaArticulo"/>
      </w:pPr>
    </w:p>
    <w:p w:rsidR="00427CF1" w:rsidRDefault="00427CF1" w:rsidP="00427CF1">
      <w:pPr>
        <w:pStyle w:val="TextoNormalNegritaCursivandice"/>
      </w:pPr>
      <w:r>
        <w:t>Decreto 1035/1959, de 18 de junio. Regulación de las tasas judiciales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3.</w:t>
      </w:r>
    </w:p>
    <w:p w:rsidR="00427CF1" w:rsidRDefault="00427CF1" w:rsidP="00427CF1">
      <w:pPr>
        <w:pStyle w:val="SangriaFrancesaArticulo"/>
      </w:pPr>
    </w:p>
    <w:p w:rsidR="00427CF1" w:rsidRDefault="00427CF1" w:rsidP="00427CF1">
      <w:pPr>
        <w:pStyle w:val="TextoNormalNegritaCursivandice"/>
      </w:pPr>
      <w:r>
        <w:t>Decreto 315/1964, de 7 de febrero. Ley articulada de funcionarios civiles del Estado</w:t>
      </w:r>
    </w:p>
    <w:p w:rsidR="00427CF1" w:rsidRDefault="00427CF1" w:rsidP="00427CF1">
      <w:pPr>
        <w:pStyle w:val="SangriaFrancesaArticulo"/>
      </w:pPr>
      <w:r w:rsidRPr="00427CF1">
        <w:rPr>
          <w:rStyle w:val="TextoNormalNegritaCaracter"/>
        </w:rPr>
        <w:t>Artículo 87.2.</w:t>
      </w:r>
      <w:r w:rsidRPr="00427CF1">
        <w:rPr>
          <w:rStyle w:val="TextoNormalCaracter"/>
        </w:rPr>
        <w:t>-</w:t>
      </w:r>
      <w:r>
        <w:t xml:space="preserve"> Sentencia </w:t>
      </w:r>
      <w:hyperlink w:anchor="SENTENCIA_2016_204" w:history="1">
        <w:r w:rsidRPr="00427CF1">
          <w:rPr>
            <w:rStyle w:val="TextoNormalCaracter"/>
          </w:rPr>
          <w:t>204/2016</w:t>
        </w:r>
      </w:hyperlink>
      <w:r>
        <w:t>, f. 2, VP I, VP II.</w:t>
      </w:r>
    </w:p>
    <w:p w:rsidR="00427CF1" w:rsidRDefault="00427CF1" w:rsidP="00427CF1">
      <w:pPr>
        <w:pStyle w:val="SangriaFrancesaArticulo"/>
      </w:pPr>
    </w:p>
    <w:p w:rsidR="00427CF1" w:rsidRDefault="00427CF1" w:rsidP="00427CF1">
      <w:pPr>
        <w:pStyle w:val="TextoNormalNegritaCursivandice"/>
      </w:pPr>
      <w:r>
        <w:t>Ley 22/1973, de 21 de julio. Minas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 ff. 8 a 10.</w:t>
      </w:r>
    </w:p>
    <w:p w:rsidR="00427CF1" w:rsidRDefault="00427CF1" w:rsidP="00427CF1">
      <w:pPr>
        <w:pStyle w:val="SangriaFrancesaArticulo"/>
      </w:pPr>
      <w:r w:rsidRPr="00427CF1">
        <w:rPr>
          <w:rStyle w:val="TextoNormalNegritaCaracter"/>
        </w:rPr>
        <w:t>Artículo 1.4</w:t>
      </w:r>
      <w:r>
        <w:t xml:space="preserve"> (redactado por la Ley 40/2010, de 29 de diciembre)</w:t>
      </w:r>
      <w:r w:rsidRPr="00427CF1">
        <w:rPr>
          <w:rStyle w:val="TextoNormalNegritaCaracter"/>
        </w:rPr>
        <w:t>.</w:t>
      </w:r>
      <w:r w:rsidRPr="00427CF1">
        <w:rPr>
          <w:rStyle w:val="TextoNormalCaracter"/>
        </w:rPr>
        <w:t>-</w:t>
      </w:r>
      <w:r>
        <w:t xml:space="preserve"> Sentencia </w:t>
      </w:r>
      <w:hyperlink w:anchor="SENTENCIA_2016_165" w:history="1">
        <w:r w:rsidRPr="00427CF1">
          <w:rPr>
            <w:rStyle w:val="TextoNormalCaracter"/>
          </w:rPr>
          <w:t>165/2016</w:t>
        </w:r>
      </w:hyperlink>
      <w:r>
        <w:t>, ff. 2, 9.</w:t>
      </w:r>
    </w:p>
    <w:p w:rsidR="00427CF1" w:rsidRDefault="00427CF1" w:rsidP="00427CF1">
      <w:pPr>
        <w:pStyle w:val="SangriaFrancesaArticulo"/>
      </w:pPr>
      <w:r w:rsidRPr="00427CF1">
        <w:rPr>
          <w:rStyle w:val="TextoNormalNegritaCaracter"/>
        </w:rPr>
        <w:t>Artículo 3.1 B).</w:t>
      </w:r>
      <w:r w:rsidRPr="00427CF1">
        <w:rPr>
          <w:rStyle w:val="TextoNormalCaracter"/>
        </w:rPr>
        <w:t>-</w:t>
      </w:r>
      <w:r>
        <w:t xml:space="preserve"> Sentencia </w:t>
      </w:r>
      <w:hyperlink w:anchor="SENTENCIA_2016_165" w:history="1">
        <w:r w:rsidRPr="00427CF1">
          <w:rPr>
            <w:rStyle w:val="TextoNormalCaracter"/>
          </w:rPr>
          <w:t>165/2016</w:t>
        </w:r>
      </w:hyperlink>
      <w:r>
        <w:t>, ff. 5, 8.</w:t>
      </w:r>
    </w:p>
    <w:p w:rsidR="00427CF1" w:rsidRDefault="00427CF1" w:rsidP="00427CF1">
      <w:pPr>
        <w:pStyle w:val="SangriaFrancesaArticulo"/>
      </w:pPr>
    </w:p>
    <w:p w:rsidR="00427CF1" w:rsidRDefault="00427CF1" w:rsidP="00427CF1">
      <w:pPr>
        <w:pStyle w:val="TextoNormalNegritaCursivandice"/>
      </w:pPr>
      <w:r>
        <w:t>Decreto 3096/1973, de 14 de septiembre. Texto refundido del Código penal conforme a la Ley 44/1971, de 15 de noviembre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5" w:history="1">
        <w:r w:rsidRPr="00427CF1">
          <w:rPr>
            <w:rStyle w:val="TextoNormalCaracter"/>
          </w:rPr>
          <w:t>155/2016</w:t>
        </w:r>
      </w:hyperlink>
      <w:r>
        <w:t>, f. 4.</w:t>
      </w:r>
    </w:p>
    <w:p w:rsidR="00427CF1" w:rsidRDefault="00427CF1" w:rsidP="00427CF1">
      <w:pPr>
        <w:pStyle w:val="SangriaFrancesaArticulo"/>
      </w:pPr>
      <w:r w:rsidRPr="00427CF1">
        <w:rPr>
          <w:rStyle w:val="TextoNormalNegritaCaracter"/>
        </w:rPr>
        <w:t>Artículo 70.</w:t>
      </w:r>
      <w:r w:rsidRPr="00427CF1">
        <w:rPr>
          <w:rStyle w:val="TextoNormalCaracter"/>
        </w:rPr>
        <w:t>-</w:t>
      </w:r>
      <w:r>
        <w:t xml:space="preserve"> Auto </w:t>
      </w:r>
      <w:hyperlink w:anchor="AUTO_2016_155" w:history="1">
        <w:r w:rsidRPr="00427CF1">
          <w:rPr>
            <w:rStyle w:val="TextoNormalCaracter"/>
          </w:rPr>
          <w:t>155/2016</w:t>
        </w:r>
      </w:hyperlink>
      <w:r>
        <w:t>, f. 3.</w:t>
      </w:r>
    </w:p>
    <w:p w:rsidR="00427CF1" w:rsidRDefault="00427CF1" w:rsidP="00427CF1">
      <w:pPr>
        <w:pStyle w:val="SangriaFrancesaArticulo"/>
      </w:pPr>
    </w:p>
    <w:p w:rsidR="00427CF1" w:rsidRDefault="00427CF1" w:rsidP="00427CF1">
      <w:pPr>
        <w:pStyle w:val="TextoNormalNegritaCursivandice"/>
      </w:pPr>
      <w:r>
        <w:t>Real Decreto 2857/1978, de 25 de agosto. Aprueba el reglamento general para el régimen de la minería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5" w:history="1">
        <w:r w:rsidRPr="00427CF1">
          <w:rPr>
            <w:rStyle w:val="TextoNormalCaracter"/>
          </w:rPr>
          <w:t>165/2016</w:t>
        </w:r>
      </w:hyperlink>
      <w:r>
        <w:t xml:space="preserve">, f. 3; </w:t>
      </w:r>
      <w:hyperlink w:anchor="SENTENCIA_2016_182" w:history="1">
        <w:r w:rsidRPr="00427CF1">
          <w:rPr>
            <w:rStyle w:val="TextoNormalCaracter"/>
          </w:rPr>
          <w:t>182/2016</w:t>
        </w:r>
      </w:hyperlink>
      <w:r>
        <w:t>, f. 5.</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65" w:history="1">
        <w:r w:rsidRPr="00427CF1">
          <w:rPr>
            <w:rStyle w:val="TextoNormalCaracter"/>
          </w:rPr>
          <w:t>165/2016</w:t>
        </w:r>
      </w:hyperlink>
      <w:r>
        <w:t>, ff. 5, 8.</w:t>
      </w:r>
    </w:p>
    <w:p w:rsidR="00427CF1" w:rsidRDefault="00427CF1" w:rsidP="00427CF1">
      <w:pPr>
        <w:pStyle w:val="SangriaFrancesaArticulo"/>
      </w:pPr>
    </w:p>
    <w:p w:rsidR="00427CF1" w:rsidRDefault="00427CF1" w:rsidP="00427CF1">
      <w:pPr>
        <w:pStyle w:val="TextoNormalNegritaCursivandice"/>
      </w:pPr>
      <w:r>
        <w:t>Orden IET/221/2013, de 14 de febrero. Se establecen los peajes de acceso a partir de 1 de enero de 2013 y las tarifas y primas de las instalaciones del régimen especial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1" w:history="1">
        <w:r w:rsidRPr="00427CF1">
          <w:rPr>
            <w:rStyle w:val="TextoNormalCaracter"/>
          </w:rPr>
          <w:t>181/2016</w:t>
        </w:r>
      </w:hyperlink>
      <w:r>
        <w:t>, f. 3.</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81" w:history="1">
        <w:r w:rsidRPr="00427CF1">
          <w:rPr>
            <w:rStyle w:val="TextoNormalCaracter"/>
          </w:rPr>
          <w:t>181/2016</w:t>
        </w:r>
      </w:hyperlink>
      <w:r>
        <w:t>, f. 1.</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81" w:history="1">
        <w:r w:rsidRPr="00427CF1">
          <w:rPr>
            <w:rStyle w:val="TextoNormalCaracter"/>
          </w:rPr>
          <w:t>181/2016</w:t>
        </w:r>
      </w:hyperlink>
      <w:r>
        <w:t>, f. 1.</w:t>
      </w:r>
    </w:p>
    <w:p w:rsidR="00427CF1" w:rsidRDefault="00427CF1" w:rsidP="00427CF1">
      <w:pPr>
        <w:pStyle w:val="SangriaFrancesaArticulo"/>
      </w:pPr>
      <w:r w:rsidRPr="00427CF1">
        <w:rPr>
          <w:rStyle w:val="TextoNormalNegritaCaracter"/>
        </w:rPr>
        <w:t>Anexo I.</w:t>
      </w:r>
      <w:r w:rsidRPr="00427CF1">
        <w:rPr>
          <w:rStyle w:val="TextoNormalCaracter"/>
        </w:rPr>
        <w:t>-</w:t>
      </w:r>
      <w:r>
        <w:t xml:space="preserve"> Sentencia </w:t>
      </w:r>
      <w:hyperlink w:anchor="SENTENCIA_2016_181" w:history="1">
        <w:r w:rsidRPr="00427CF1">
          <w:rPr>
            <w:rStyle w:val="TextoNormalCaracter"/>
          </w:rPr>
          <w:t>181/2016</w:t>
        </w:r>
      </w:hyperlink>
      <w:r>
        <w:t>, f. 1.</w:t>
      </w:r>
    </w:p>
    <w:p w:rsidR="00427CF1" w:rsidRDefault="00427CF1" w:rsidP="00427CF1">
      <w:pPr>
        <w:pStyle w:val="TextoNormal"/>
      </w:pPr>
    </w:p>
    <w:p w:rsidR="00427CF1" w:rsidRDefault="00427CF1" w:rsidP="00427CF1">
      <w:pPr>
        <w:pStyle w:val="SangriaFrancesaArticulo"/>
      </w:pPr>
      <w:bookmarkStart w:id="197" w:name="INDICE22851"/>
    </w:p>
    <w:bookmarkEnd w:id="197"/>
    <w:p w:rsidR="00427CF1" w:rsidRDefault="00427CF1" w:rsidP="00427CF1">
      <w:pPr>
        <w:pStyle w:val="TextoIndiceNivel2"/>
        <w:suppressAutoHyphens/>
      </w:pPr>
      <w:r>
        <w:t>J) Comunidades y Ciudades Autónomas</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 Andalucía</w:t>
      </w:r>
    </w:p>
    <w:p w:rsidR="00427CF1" w:rsidRDefault="00427CF1" w:rsidP="00427CF1">
      <w:pPr>
        <w:pStyle w:val="TextoNormal"/>
      </w:pPr>
    </w:p>
    <w:p w:rsidR="00427CF1" w:rsidRDefault="00427CF1" w:rsidP="00427CF1">
      <w:pPr>
        <w:pStyle w:val="TextoNormalNegritaCentradoSubrayado"/>
        <w:suppressAutoHyphens/>
      </w:pPr>
      <w:r>
        <w:t>J.1.a) Estatuto de Autonomía</w:t>
      </w:r>
    </w:p>
    <w:p w:rsidR="00427CF1" w:rsidRDefault="00427CF1" w:rsidP="00427CF1">
      <w:pPr>
        <w:pStyle w:val="TextoNormalNegritaCentradoSubrayado"/>
      </w:pPr>
    </w:p>
    <w:p w:rsidR="00427CF1" w:rsidRDefault="00427CF1" w:rsidP="00427CF1">
      <w:pPr>
        <w:pStyle w:val="TextoNormalNegritaCursivandice"/>
      </w:pPr>
      <w:r>
        <w:t>Ley Orgánica 6/1981, de 30 de diciembre.  Estatuto de Autonomía para Andalucía</w:t>
      </w:r>
    </w:p>
    <w:p w:rsidR="00427CF1" w:rsidRDefault="00427CF1" w:rsidP="00427CF1">
      <w:pPr>
        <w:pStyle w:val="SangriaFrancesaArticulo"/>
      </w:pPr>
      <w:r w:rsidRPr="00427CF1">
        <w:rPr>
          <w:rStyle w:val="TextoNormalNegritaCaracter"/>
        </w:rPr>
        <w:t>Artículo 45.1.</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p>
    <w:p w:rsidR="00427CF1" w:rsidRDefault="00427CF1" w:rsidP="00427CF1">
      <w:pPr>
        <w:pStyle w:val="TextoNormalNegritaCursivandice"/>
      </w:pPr>
      <w:r>
        <w:t>Ley Orgánica 2/2007, de 19 de marzo. Reforma del Estatuto de Autonomía de Andalucía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2" w:history="1">
        <w:r w:rsidRPr="00427CF1">
          <w:rPr>
            <w:rStyle w:val="TextoNormalCaracter"/>
          </w:rPr>
          <w:t>152/2016</w:t>
        </w:r>
      </w:hyperlink>
      <w:r>
        <w:t>, f. 1.</w:t>
      </w:r>
    </w:p>
    <w:p w:rsidR="00427CF1" w:rsidRDefault="00427CF1" w:rsidP="00427CF1">
      <w:pPr>
        <w:pStyle w:val="SangriaFrancesaArticulo"/>
      </w:pPr>
      <w:r w:rsidRPr="00427CF1">
        <w:rPr>
          <w:rStyle w:val="TextoNormalNegritaCaracter"/>
        </w:rPr>
        <w:t>Artículo 50.</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Sentencia </w:t>
      </w:r>
      <w:hyperlink w:anchor="SENTENCIA_2016_152" w:history="1">
        <w:r w:rsidRPr="00427CF1">
          <w:rPr>
            <w:rStyle w:val="TextoNormalCaracter"/>
          </w:rPr>
          <w:t>152/2016</w:t>
        </w:r>
      </w:hyperlink>
      <w:r>
        <w:t>, f. 1.</w:t>
      </w:r>
    </w:p>
    <w:p w:rsidR="00427CF1" w:rsidRDefault="00427CF1" w:rsidP="00427CF1">
      <w:pPr>
        <w:pStyle w:val="SangriaFrancesaArticulo"/>
      </w:pPr>
      <w:r w:rsidRPr="00427CF1">
        <w:rPr>
          <w:rStyle w:val="TextoNormalNegritaCaracter"/>
        </w:rPr>
        <w:t>Artículo 55.2.</w:t>
      </w:r>
      <w:r w:rsidRPr="00427CF1">
        <w:rPr>
          <w:rStyle w:val="TextoNormalCaracter"/>
        </w:rPr>
        <w:t>-</w:t>
      </w:r>
      <w:r>
        <w:t xml:space="preserve"> Sentencia </w:t>
      </w:r>
      <w:hyperlink w:anchor="SENTENCIA_2016_210" w:history="1">
        <w:r w:rsidRPr="00427CF1">
          <w:rPr>
            <w:rStyle w:val="TextoNormalCaracter"/>
          </w:rPr>
          <w:t>210/2016</w:t>
        </w:r>
      </w:hyperlink>
      <w:r>
        <w:t>, f. 6.</w:t>
      </w:r>
    </w:p>
    <w:p w:rsidR="00427CF1" w:rsidRDefault="00427CF1" w:rsidP="00427CF1">
      <w:pPr>
        <w:pStyle w:val="SangriaFrancesaArticulo"/>
      </w:pPr>
      <w:r w:rsidRPr="00427CF1">
        <w:rPr>
          <w:rStyle w:val="TextoNormalNegritaCaracter"/>
        </w:rPr>
        <w:t>Artículo 57.</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60.</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92.2 d).</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97.</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175.2 a).</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175.2 b).</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175.2 c).</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175.2 e).</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183.1.</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183.7.</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SangriaFrancesaArticulo"/>
      </w:pPr>
      <w:r w:rsidRPr="00427CF1">
        <w:rPr>
          <w:rStyle w:val="TextoNormalNegritaCaracter"/>
        </w:rPr>
        <w:t>Artículo 219.</w:t>
      </w:r>
      <w:r w:rsidRPr="00427CF1">
        <w:rPr>
          <w:rStyle w:val="TextoNormalCaracter"/>
        </w:rPr>
        <w:t>-</w:t>
      </w:r>
      <w:r>
        <w:t xml:space="preserve"> Sentencia </w:t>
      </w:r>
      <w:hyperlink w:anchor="SENTENCIA_2016_156" w:history="1">
        <w:r w:rsidRPr="00427CF1">
          <w:rPr>
            <w:rStyle w:val="TextoNormalCaracter"/>
          </w:rPr>
          <w:t>156/2016</w:t>
        </w:r>
      </w:hyperlink>
      <w:r>
        <w:t>, ff. 2, 4.</w:t>
      </w:r>
    </w:p>
    <w:p w:rsidR="00427CF1" w:rsidRDefault="00427CF1" w:rsidP="00427CF1">
      <w:pPr>
        <w:pStyle w:val="TextoNormal"/>
      </w:pPr>
    </w:p>
    <w:p w:rsidR="00427CF1" w:rsidRDefault="00427CF1" w:rsidP="00427CF1">
      <w:pPr>
        <w:pStyle w:val="TextoNormalNegritaCentradoSubrayado"/>
        <w:suppressAutoHyphens/>
      </w:pPr>
      <w:r>
        <w:t>J.1.b)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del Parlamento de Andalucía 11/2003, de 24 de noviembre.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del Parlamento de Andalucía 22/2007, de 18 de diciembre. Farmacia de Andalucía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0" w:history="1">
        <w:r w:rsidRPr="00427CF1">
          <w:rPr>
            <w:rStyle w:val="TextoNormalCaracter"/>
          </w:rPr>
          <w:t>210/2016</w:t>
        </w:r>
      </w:hyperlink>
      <w:r>
        <w:t>, ff. 2, 4.</w:t>
      </w:r>
    </w:p>
    <w:p w:rsidR="00427CF1" w:rsidRDefault="00427CF1" w:rsidP="00427CF1">
      <w:pPr>
        <w:pStyle w:val="SangriaIzquierdaArticulo"/>
      </w:pPr>
      <w:r>
        <w:t xml:space="preserve">Auto </w:t>
      </w:r>
      <w:hyperlink w:anchor="AUTO_2016_156" w:history="1">
        <w:r w:rsidRPr="00427CF1">
          <w:rPr>
            <w:rStyle w:val="TextoNormalCaracter"/>
          </w:rPr>
          <w:t>156/2016</w:t>
        </w:r>
      </w:hyperlink>
      <w:r>
        <w:t>, ff. 3, 4.</w:t>
      </w:r>
    </w:p>
    <w:p w:rsidR="00427CF1" w:rsidRDefault="00427CF1" w:rsidP="00427CF1">
      <w:pPr>
        <w:pStyle w:val="SangriaFrancesaArticulo"/>
      </w:pPr>
      <w:r w:rsidRPr="00427CF1">
        <w:rPr>
          <w:rStyle w:val="TextoNormalNegritaCaracter"/>
        </w:rPr>
        <w:t>Artículo 23.1.</w:t>
      </w:r>
      <w:r w:rsidRPr="00427CF1">
        <w:rPr>
          <w:rStyle w:val="TextoNormalCaracter"/>
        </w:rPr>
        <w:t>-</w:t>
      </w:r>
      <w:r>
        <w:t xml:space="preserve"> 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34.</w:t>
      </w:r>
      <w:r w:rsidRPr="00427CF1">
        <w:rPr>
          <w:rStyle w:val="TextoNormalCaracter"/>
        </w:rPr>
        <w:t>-</w:t>
      </w:r>
      <w:r>
        <w:t xml:space="preserve"> Auto </w:t>
      </w:r>
      <w:hyperlink w:anchor="AUTO_2016_156" w:history="1">
        <w:r w:rsidRPr="00427CF1">
          <w:rPr>
            <w:rStyle w:val="TextoNormalCaracter"/>
          </w:rPr>
          <w:t>156/2016</w:t>
        </w:r>
      </w:hyperlink>
      <w:r>
        <w:t>, f. 3.</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Auto </w:t>
      </w:r>
      <w:hyperlink w:anchor="AUTO_2016_156" w:history="1">
        <w:r w:rsidRPr="00427CF1">
          <w:rPr>
            <w:rStyle w:val="TextoNormalCaracter"/>
          </w:rPr>
          <w:t>156/2016</w:t>
        </w:r>
      </w:hyperlink>
      <w:r>
        <w:t>, f. 4.</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Auto </w:t>
      </w:r>
      <w:hyperlink w:anchor="AUTO_2016_156" w:history="1">
        <w:r w:rsidRPr="00427CF1">
          <w:rPr>
            <w:rStyle w:val="TextoNormalCaracter"/>
          </w:rPr>
          <w:t>156/2016</w:t>
        </w:r>
      </w:hyperlink>
      <w:r>
        <w:t>, ff. 1, 3, 4.</w:t>
      </w:r>
    </w:p>
    <w:p w:rsidR="00427CF1" w:rsidRDefault="00427CF1" w:rsidP="00427CF1">
      <w:pPr>
        <w:pStyle w:val="SangriaFrancesaArticulo"/>
      </w:pPr>
      <w:r w:rsidRPr="00427CF1">
        <w:rPr>
          <w:rStyle w:val="TextoNormalNegritaCaracter"/>
        </w:rPr>
        <w:t>Artículo 47.1.</w:t>
      </w:r>
      <w:r w:rsidRPr="00427CF1">
        <w:rPr>
          <w:rStyle w:val="TextoNormalCaracter"/>
        </w:rPr>
        <w:t>-</w:t>
      </w:r>
      <w:r>
        <w:t xml:space="preserve"> Auto </w:t>
      </w:r>
      <w:hyperlink w:anchor="AUTO_2016_156" w:history="1">
        <w:r w:rsidRPr="00427CF1">
          <w:rPr>
            <w:rStyle w:val="TextoNormalCaracter"/>
          </w:rPr>
          <w:t>156/2016</w:t>
        </w:r>
      </w:hyperlink>
      <w:r>
        <w:t>, ff. 1, 3, 4.</w:t>
      </w:r>
    </w:p>
    <w:p w:rsidR="00427CF1" w:rsidRDefault="00427CF1" w:rsidP="00427CF1">
      <w:pPr>
        <w:pStyle w:val="SangriaFrancesaArticulo"/>
      </w:pPr>
      <w:r w:rsidRPr="00427CF1">
        <w:rPr>
          <w:rStyle w:val="TextoNormalNegritaCaracter"/>
        </w:rPr>
        <w:t>Artículo 47.2.</w:t>
      </w:r>
      <w:r w:rsidRPr="00427CF1">
        <w:rPr>
          <w:rStyle w:val="TextoNormalCaracter"/>
        </w:rPr>
        <w:t>-</w:t>
      </w:r>
      <w:r>
        <w:t xml:space="preserve"> Auto </w:t>
      </w:r>
      <w:hyperlink w:anchor="AUTO_2016_156" w:history="1">
        <w:r w:rsidRPr="00427CF1">
          <w:rPr>
            <w:rStyle w:val="TextoNormalCaracter"/>
          </w:rPr>
          <w:t>156/2016</w:t>
        </w:r>
      </w:hyperlink>
      <w:r>
        <w:t>, ff. 1, 3, 4.</w:t>
      </w:r>
    </w:p>
    <w:p w:rsidR="00427CF1" w:rsidRDefault="00427CF1" w:rsidP="00427CF1">
      <w:pPr>
        <w:pStyle w:val="SangriaFrancesaArticulo"/>
      </w:pPr>
      <w:r w:rsidRPr="00427CF1">
        <w:rPr>
          <w:rStyle w:val="TextoNormalNegritaCaracter"/>
        </w:rPr>
        <w:t>Artículo 47.3.</w:t>
      </w:r>
      <w:r w:rsidRPr="00427CF1">
        <w:rPr>
          <w:rStyle w:val="TextoNormalCaracter"/>
        </w:rPr>
        <w:t>-</w:t>
      </w:r>
      <w:r>
        <w:t xml:space="preserve"> Auto </w:t>
      </w:r>
      <w:hyperlink w:anchor="AUTO_2016_156" w:history="1">
        <w:r w:rsidRPr="00427CF1">
          <w:rPr>
            <w:rStyle w:val="TextoNormalCaracter"/>
          </w:rPr>
          <w:t>156/2016</w:t>
        </w:r>
      </w:hyperlink>
      <w:r>
        <w:t>, ff. 1, 3.</w:t>
      </w:r>
    </w:p>
    <w:p w:rsidR="00427CF1" w:rsidRDefault="00427CF1" w:rsidP="00427CF1">
      <w:pPr>
        <w:pStyle w:val="SangriaFrancesaArticulo"/>
      </w:pPr>
      <w:r w:rsidRPr="00427CF1">
        <w:rPr>
          <w:rStyle w:val="TextoNormalNegritaCaracter"/>
        </w:rPr>
        <w:t>Artículo 47.4.</w:t>
      </w:r>
      <w:r w:rsidRPr="00427CF1">
        <w:rPr>
          <w:rStyle w:val="TextoNormalCaracter"/>
        </w:rPr>
        <w:t>-</w:t>
      </w:r>
      <w:r>
        <w:t xml:space="preserve"> Auto </w:t>
      </w:r>
      <w:hyperlink w:anchor="AUTO_2016_156" w:history="1">
        <w:r w:rsidRPr="00427CF1">
          <w:rPr>
            <w:rStyle w:val="TextoNormalCaracter"/>
          </w:rPr>
          <w:t>156/2016</w:t>
        </w:r>
      </w:hyperlink>
      <w:r>
        <w:t>, ff. 1, 3.</w:t>
      </w:r>
    </w:p>
    <w:p w:rsidR="00427CF1" w:rsidRDefault="00427CF1" w:rsidP="00427CF1">
      <w:pPr>
        <w:pStyle w:val="SangriaFrancesaArticulo"/>
      </w:pPr>
      <w:r w:rsidRPr="00427CF1">
        <w:rPr>
          <w:rStyle w:val="TextoNormalNegritaCaracter"/>
        </w:rPr>
        <w:t>Artículo 47.7.</w:t>
      </w:r>
      <w:r w:rsidRPr="00427CF1">
        <w:rPr>
          <w:rStyle w:val="TextoNormalCaracter"/>
        </w:rPr>
        <w:t>-</w:t>
      </w:r>
      <w:r>
        <w:t xml:space="preserve"> Auto </w:t>
      </w:r>
      <w:hyperlink w:anchor="AUTO_2016_156" w:history="1">
        <w:r w:rsidRPr="00427CF1">
          <w:rPr>
            <w:rStyle w:val="TextoNormalCaracter"/>
          </w:rPr>
          <w:t>156/2016</w:t>
        </w:r>
      </w:hyperlink>
      <w:r>
        <w:t>, ff. 1, 3.</w:t>
      </w:r>
    </w:p>
    <w:p w:rsidR="00427CF1" w:rsidRDefault="00427CF1" w:rsidP="00427CF1">
      <w:pPr>
        <w:pStyle w:val="SangriaFrancesaArticulo"/>
      </w:pPr>
      <w:r w:rsidRPr="00427CF1">
        <w:rPr>
          <w:rStyle w:val="TextoNormalNegritaCaracter"/>
        </w:rPr>
        <w:t>Artículo 60.</w:t>
      </w:r>
      <w:r w:rsidRPr="00427CF1">
        <w:rPr>
          <w:rStyle w:val="TextoNormalCaracter"/>
        </w:rPr>
        <w:t>-</w:t>
      </w:r>
      <w:r>
        <w:t xml:space="preserve"> Sentencia </w:t>
      </w:r>
      <w:hyperlink w:anchor="SENTENCIA_2016_210" w:history="1">
        <w:r w:rsidRPr="00427CF1">
          <w:rPr>
            <w:rStyle w:val="TextoNormalCaracter"/>
          </w:rPr>
          <w:t>210/2016</w:t>
        </w:r>
      </w:hyperlink>
      <w:r>
        <w:t>, f. 3.</w:t>
      </w:r>
    </w:p>
    <w:p w:rsidR="00427CF1" w:rsidRDefault="00427CF1" w:rsidP="00427CF1">
      <w:pPr>
        <w:pStyle w:val="SangriaFrancesaArticulo"/>
      </w:pPr>
      <w:r w:rsidRPr="00427CF1">
        <w:rPr>
          <w:rStyle w:val="TextoNormalNegritaCaracter"/>
        </w:rPr>
        <w:t>Artículo 60 bis</w:t>
      </w:r>
      <w:r>
        <w:t xml:space="preserve"> (redactado por el Decreto-ley de la Junta de Andalucía 3/2011, de 13 de diciembre)</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 4.</w:t>
      </w:r>
    </w:p>
    <w:p w:rsidR="00427CF1" w:rsidRDefault="00427CF1" w:rsidP="00427CF1">
      <w:pPr>
        <w:pStyle w:val="SangriaFrancesaArticulo"/>
      </w:pPr>
      <w:r w:rsidRPr="00427CF1">
        <w:rPr>
          <w:rStyle w:val="TextoNormalNegritaCaracter"/>
        </w:rPr>
        <w:t>Artículo 60 quater</w:t>
      </w:r>
      <w:r>
        <w:t xml:space="preserve"> (redactado por el Decreto-ley de la Junta de Andalucía 3/2011, de 13 de diciembre)</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 4.</w:t>
      </w:r>
    </w:p>
    <w:p w:rsidR="00427CF1" w:rsidRDefault="00427CF1" w:rsidP="00427CF1">
      <w:pPr>
        <w:pStyle w:val="SangriaFrancesaArticulo"/>
      </w:pPr>
      <w:r w:rsidRPr="00427CF1">
        <w:rPr>
          <w:rStyle w:val="TextoNormalNegritaCaracter"/>
        </w:rPr>
        <w:t>Artículo 60 quinquies</w:t>
      </w:r>
      <w:r>
        <w:t xml:space="preserve"> (redactado por el Decreto-ley de la Junta de Andalucía 3/2011, de 13 de diciembre)</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 4.</w:t>
      </w:r>
    </w:p>
    <w:p w:rsidR="00427CF1" w:rsidRDefault="00427CF1" w:rsidP="00427CF1">
      <w:pPr>
        <w:pStyle w:val="SangriaFrancesaArticulo"/>
      </w:pPr>
      <w:r w:rsidRPr="00427CF1">
        <w:rPr>
          <w:rStyle w:val="TextoNormalNegritaCaracter"/>
        </w:rPr>
        <w:t>Artículo 60 ter</w:t>
      </w:r>
      <w:r>
        <w:t xml:space="preserve"> (redactado por el Decreto-ley de la Junta de Andalucía 3/2011, de 13 de diciembre)</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ff. 4, 8.</w:t>
      </w:r>
    </w:p>
    <w:p w:rsidR="00427CF1" w:rsidRDefault="00427CF1" w:rsidP="00427CF1">
      <w:pPr>
        <w:pStyle w:val="SangriaFrancesaArticulo"/>
      </w:pPr>
      <w:r w:rsidRPr="00427CF1">
        <w:rPr>
          <w:rStyle w:val="TextoNormalNegritaCaracter"/>
        </w:rPr>
        <w:t>Disposición adicional octava</w:t>
      </w:r>
      <w:r>
        <w:t xml:space="preserve"> (redactada por el Decreto-ley de la Junta de Andalucía 3/2011, de 13 de diciembre)</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 4.</w:t>
      </w:r>
    </w:p>
    <w:p w:rsidR="00427CF1" w:rsidRDefault="00427CF1" w:rsidP="00427CF1">
      <w:pPr>
        <w:pStyle w:val="SangriaFrancesaArticulo"/>
      </w:pPr>
      <w:r w:rsidRPr="00427CF1">
        <w:rPr>
          <w:rStyle w:val="TextoNormalNegritaCaracter"/>
        </w:rPr>
        <w:t>Disposición transitoria sexta</w:t>
      </w:r>
      <w:r>
        <w:t xml:space="preserve"> (redactada por el Decreto-ley de la Junta de Andalucía 3/2011, de 13 de diciembre)</w:t>
      </w:r>
      <w:r w:rsidRPr="00427CF1">
        <w:rPr>
          <w:rStyle w:val="TextoNormalNegritaCaracter"/>
        </w:rPr>
        <w:t>.</w:t>
      </w:r>
      <w:r w:rsidRPr="00427CF1">
        <w:rPr>
          <w:rStyle w:val="TextoNormalCaracter"/>
        </w:rPr>
        <w:t>-</w:t>
      </w:r>
      <w:r>
        <w:t xml:space="preserve"> Sentencia </w:t>
      </w:r>
      <w:hyperlink w:anchor="SENTENCIA_2016_210" w:history="1">
        <w:r w:rsidRPr="00427CF1">
          <w:rPr>
            <w:rStyle w:val="TextoNormalCaracter"/>
          </w:rPr>
          <w:t>210/2016</w:t>
        </w:r>
      </w:hyperlink>
      <w:r>
        <w:t>, f. 4.</w:t>
      </w:r>
    </w:p>
    <w:p w:rsidR="00427CF1" w:rsidRDefault="00427CF1" w:rsidP="00427CF1">
      <w:pPr>
        <w:pStyle w:val="SangriaFrancesaArticulo"/>
      </w:pPr>
    </w:p>
    <w:p w:rsidR="00427CF1" w:rsidRDefault="00427CF1" w:rsidP="00427CF1">
      <w:pPr>
        <w:pStyle w:val="TextoNormalNegritaCursivandice"/>
      </w:pPr>
      <w:r>
        <w:t>Ley del Parlamento de Andalucía 9/2010, de 30 de julio. Aguas de Andalucía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2" w:history="1">
        <w:r w:rsidRPr="00427CF1">
          <w:rPr>
            <w:rStyle w:val="TextoNormalCaracter"/>
          </w:rPr>
          <w:t>152/2016</w:t>
        </w:r>
      </w:hyperlink>
      <w:r>
        <w:t>, ff. 1, 6.</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52" w:history="1">
        <w:r w:rsidRPr="00427CF1">
          <w:rPr>
            <w:rStyle w:val="TextoNormalCaracter"/>
          </w:rPr>
          <w:t>152/2016</w:t>
        </w:r>
      </w:hyperlink>
      <w:r>
        <w:t>, f. 1.</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52" w:history="1">
        <w:r w:rsidRPr="00427CF1">
          <w:rPr>
            <w:rStyle w:val="TextoNormalCaracter"/>
          </w:rPr>
          <w:t>152/2016</w:t>
        </w:r>
      </w:hyperlink>
      <w:r>
        <w:t>, f. 1.</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52" w:history="1">
        <w:r w:rsidRPr="00427CF1">
          <w:rPr>
            <w:rStyle w:val="TextoNormalCaracter"/>
          </w:rPr>
          <w:t>152/2016</w:t>
        </w:r>
      </w:hyperlink>
      <w:r>
        <w:t>, f. 1.</w:t>
      </w:r>
    </w:p>
    <w:p w:rsidR="00427CF1" w:rsidRDefault="00427CF1" w:rsidP="00427CF1">
      <w:pPr>
        <w:pStyle w:val="SangriaFrancesaArticulo"/>
      </w:pPr>
      <w:r w:rsidRPr="00427CF1">
        <w:rPr>
          <w:rStyle w:val="TextoNormalNegritaCaracter"/>
        </w:rPr>
        <w:t>Artículo 4.19.</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4.25.</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52" w:history="1">
        <w:r w:rsidRPr="00427CF1">
          <w:rPr>
            <w:rStyle w:val="TextoNormalCaracter"/>
          </w:rPr>
          <w:t>152/2016</w:t>
        </w:r>
      </w:hyperlink>
      <w:r>
        <w:t>, ff. 6, 8.</w:t>
      </w:r>
    </w:p>
    <w:p w:rsidR="00427CF1" w:rsidRDefault="00427CF1" w:rsidP="00427CF1">
      <w:pPr>
        <w:pStyle w:val="SangriaFrancesaArticulo"/>
      </w:pPr>
      <w:r w:rsidRPr="00427CF1">
        <w:rPr>
          <w:rStyle w:val="TextoNormalNegritaCaracter"/>
        </w:rPr>
        <w:t>Artículo 13.1.</w:t>
      </w:r>
      <w:r w:rsidRPr="00427CF1">
        <w:rPr>
          <w:rStyle w:val="TextoNormalCaracter"/>
        </w:rPr>
        <w:t>-</w:t>
      </w:r>
      <w:r>
        <w:t xml:space="preserve"> Sentencia </w:t>
      </w:r>
      <w:hyperlink w:anchor="SENTENCIA_2016_152" w:history="1">
        <w:r w:rsidRPr="00427CF1">
          <w:rPr>
            <w:rStyle w:val="TextoNormalCaracter"/>
          </w:rPr>
          <w:t>152/2016</w:t>
        </w:r>
      </w:hyperlink>
      <w:r>
        <w:t>, f. 5.</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14.1.</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29.1 d).</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30.1.</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31.1.</w:t>
      </w:r>
      <w:r w:rsidRPr="00427CF1">
        <w:rPr>
          <w:rStyle w:val="TextoNormalCaracter"/>
        </w:rPr>
        <w:t>-</w:t>
      </w:r>
      <w:r>
        <w:t xml:space="preserve"> Sentencia </w:t>
      </w:r>
      <w:hyperlink w:anchor="SENTENCIA_2016_152" w:history="1">
        <w:r w:rsidRPr="00427CF1">
          <w:rPr>
            <w:rStyle w:val="TextoNormalCaracter"/>
          </w:rPr>
          <w:t>152/2016</w:t>
        </w:r>
      </w:hyperlink>
      <w:r>
        <w:t>, f. 6.</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52" w:history="1">
        <w:r w:rsidRPr="00427CF1">
          <w:rPr>
            <w:rStyle w:val="TextoNormalCaracter"/>
          </w:rPr>
          <w:t>152/2016</w:t>
        </w:r>
      </w:hyperlink>
      <w:r>
        <w:t>, ff. 1, 3, 6.</w:t>
      </w:r>
    </w:p>
    <w:p w:rsidR="00427CF1" w:rsidRDefault="00427CF1" w:rsidP="00427CF1">
      <w:pPr>
        <w:pStyle w:val="SangriaFrancesaArticulo"/>
      </w:pPr>
      <w:r w:rsidRPr="00427CF1">
        <w:rPr>
          <w:rStyle w:val="TextoNormalNegritaCaracter"/>
        </w:rPr>
        <w:t>Artículo 32 excepto apartado 4.</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32.1.</w:t>
      </w:r>
      <w:r w:rsidRPr="00427CF1">
        <w:rPr>
          <w:rStyle w:val="TextoNormalCaracter"/>
        </w:rPr>
        <w:t>-</w:t>
      </w:r>
      <w:r>
        <w:t xml:space="preserve"> Sentencia </w:t>
      </w:r>
      <w:hyperlink w:anchor="SENTENCIA_2016_152" w:history="1">
        <w:r w:rsidRPr="00427CF1">
          <w:rPr>
            <w:rStyle w:val="TextoNormalCaracter"/>
          </w:rPr>
          <w:t>152/2016</w:t>
        </w:r>
      </w:hyperlink>
      <w:r>
        <w:t>, f. 3.</w:t>
      </w:r>
    </w:p>
    <w:p w:rsidR="00427CF1" w:rsidRDefault="00427CF1" w:rsidP="00427CF1">
      <w:pPr>
        <w:pStyle w:val="SangriaFrancesaArticulo"/>
      </w:pPr>
      <w:r w:rsidRPr="00427CF1">
        <w:rPr>
          <w:rStyle w:val="TextoNormalNegritaCaracter"/>
        </w:rPr>
        <w:t>Artículo 32.2.</w:t>
      </w:r>
      <w:r w:rsidRPr="00427CF1">
        <w:rPr>
          <w:rStyle w:val="TextoNormalCaracter"/>
        </w:rPr>
        <w:t>-</w:t>
      </w:r>
      <w:r>
        <w:t xml:space="preserve"> Sentencia </w:t>
      </w:r>
      <w:hyperlink w:anchor="SENTENCIA_2016_152" w:history="1">
        <w:r w:rsidRPr="00427CF1">
          <w:rPr>
            <w:rStyle w:val="TextoNormalCaracter"/>
          </w:rPr>
          <w:t>152/2016</w:t>
        </w:r>
      </w:hyperlink>
      <w:r>
        <w:t>, ff. 3, 6.</w:t>
      </w:r>
    </w:p>
    <w:p w:rsidR="00427CF1" w:rsidRDefault="00427CF1" w:rsidP="00427CF1">
      <w:pPr>
        <w:pStyle w:val="SangriaFrancesaArticulo"/>
      </w:pPr>
      <w:r w:rsidRPr="00427CF1">
        <w:rPr>
          <w:rStyle w:val="TextoNormalNegritaCaracter"/>
        </w:rPr>
        <w:t>Artículo 32.3.</w:t>
      </w:r>
      <w:r w:rsidRPr="00427CF1">
        <w:rPr>
          <w:rStyle w:val="TextoNormalCaracter"/>
        </w:rPr>
        <w:t>-</w:t>
      </w:r>
      <w:r>
        <w:t xml:space="preserve"> Sentencia </w:t>
      </w:r>
      <w:hyperlink w:anchor="SENTENCIA_2016_152" w:history="1">
        <w:r w:rsidRPr="00427CF1">
          <w:rPr>
            <w:rStyle w:val="TextoNormalCaracter"/>
          </w:rPr>
          <w:t>152/2016</w:t>
        </w:r>
      </w:hyperlink>
      <w:r>
        <w:t>, ff. 3, 6.</w:t>
      </w:r>
    </w:p>
    <w:p w:rsidR="00427CF1" w:rsidRDefault="00427CF1" w:rsidP="00427CF1">
      <w:pPr>
        <w:pStyle w:val="SangriaFrancesaArticulo"/>
      </w:pPr>
      <w:r w:rsidRPr="00427CF1">
        <w:rPr>
          <w:rStyle w:val="TextoNormalNegritaCaracter"/>
        </w:rPr>
        <w:t>Artículo 32.4.</w:t>
      </w:r>
      <w:r w:rsidRPr="00427CF1">
        <w:rPr>
          <w:rStyle w:val="TextoNormalCaracter"/>
        </w:rPr>
        <w:t>-</w:t>
      </w:r>
      <w:r>
        <w:t xml:space="preserve"> Sentencia </w:t>
      </w:r>
      <w:hyperlink w:anchor="SENTENCIA_2016_152" w:history="1">
        <w:r w:rsidRPr="00427CF1">
          <w:rPr>
            <w:rStyle w:val="TextoNormalCaracter"/>
          </w:rPr>
          <w:t>152/2016</w:t>
        </w:r>
      </w:hyperlink>
      <w:r>
        <w:t>, ff. 3, 6 a 8.</w:t>
      </w:r>
    </w:p>
    <w:p w:rsidR="00427CF1" w:rsidRDefault="00427CF1" w:rsidP="00427CF1">
      <w:pPr>
        <w:pStyle w:val="SangriaFrancesaArticulo"/>
      </w:pPr>
      <w:r w:rsidRPr="00427CF1">
        <w:rPr>
          <w:rStyle w:val="TextoNormalNegritaCaracter"/>
        </w:rPr>
        <w:t>Artículo 32.4 párrafo 1.</w:t>
      </w:r>
      <w:r w:rsidRPr="00427CF1">
        <w:rPr>
          <w:rStyle w:val="TextoNormalCaracter"/>
        </w:rPr>
        <w:t>-</w:t>
      </w:r>
      <w:r>
        <w:t xml:space="preserve"> Sentencia </w:t>
      </w:r>
      <w:hyperlink w:anchor="SENTENCIA_2016_152" w:history="1">
        <w:r w:rsidRPr="00427CF1">
          <w:rPr>
            <w:rStyle w:val="TextoNormalCaracter"/>
          </w:rPr>
          <w:t>152/2016</w:t>
        </w:r>
      </w:hyperlink>
      <w:r>
        <w:t>, ff. 3, 6.</w:t>
      </w:r>
    </w:p>
    <w:p w:rsidR="00427CF1" w:rsidRDefault="00427CF1" w:rsidP="00427CF1">
      <w:pPr>
        <w:pStyle w:val="SangriaFrancesaArticulo"/>
      </w:pPr>
      <w:r w:rsidRPr="00427CF1">
        <w:rPr>
          <w:rStyle w:val="TextoNormalNegritaCaracter"/>
        </w:rPr>
        <w:t xml:space="preserve">Artículo 32.4 párrafo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152" w:history="1">
        <w:r w:rsidRPr="00427CF1">
          <w:rPr>
            <w:rStyle w:val="TextoNormalCaracter"/>
          </w:rPr>
          <w:t>152/2016</w:t>
        </w:r>
      </w:hyperlink>
      <w:r>
        <w:t>, f. 7.</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r w:rsidRPr="00427CF1">
        <w:rPr>
          <w:rStyle w:val="TextoNormalNegritaCaracter"/>
        </w:rPr>
        <w:t>Artículo 33 excepto apartado 1.</w:t>
      </w:r>
      <w:r w:rsidRPr="00427CF1">
        <w:rPr>
          <w:rStyle w:val="TextoNormalCaracter"/>
        </w:rPr>
        <w:t>-</w:t>
      </w:r>
      <w:r>
        <w:t xml:space="preserve"> Sentencia </w:t>
      </w:r>
      <w:hyperlink w:anchor="SENTENCIA_2016_152" w:history="1">
        <w:r w:rsidRPr="00427CF1">
          <w:rPr>
            <w:rStyle w:val="TextoNormalCaracter"/>
          </w:rPr>
          <w:t>152/2016</w:t>
        </w:r>
      </w:hyperlink>
      <w:r>
        <w:t>.</w:t>
      </w:r>
    </w:p>
    <w:p w:rsidR="00427CF1" w:rsidRDefault="00427CF1" w:rsidP="00427CF1">
      <w:pPr>
        <w:pStyle w:val="SangriaFrancesaArticulo"/>
      </w:pPr>
      <w:r w:rsidRPr="00427CF1">
        <w:rPr>
          <w:rStyle w:val="TextoNormalNegritaCaracter"/>
        </w:rPr>
        <w:t>Artículo 33.1.</w:t>
      </w:r>
      <w:r w:rsidRPr="00427CF1">
        <w:rPr>
          <w:rStyle w:val="TextoNormalCaracter"/>
        </w:rPr>
        <w:t>-</w:t>
      </w:r>
      <w:r>
        <w:t xml:space="preserve"> Sentencia </w:t>
      </w:r>
      <w:hyperlink w:anchor="SENTENCIA_2016_152" w:history="1">
        <w:r w:rsidRPr="00427CF1">
          <w:rPr>
            <w:rStyle w:val="TextoNormalCaracter"/>
          </w:rPr>
          <w:t>152/2016</w:t>
        </w:r>
      </w:hyperlink>
      <w:r>
        <w:t>, ff. 3, 8.</w:t>
      </w:r>
    </w:p>
    <w:p w:rsidR="00427CF1" w:rsidRDefault="00427CF1" w:rsidP="00427CF1">
      <w:pPr>
        <w:pStyle w:val="SangriaFrancesaArticulo"/>
      </w:pPr>
      <w:r w:rsidRPr="00427CF1">
        <w:rPr>
          <w:rStyle w:val="TextoNormalNegritaCaracter"/>
        </w:rPr>
        <w:t>Artículo 34.</w:t>
      </w:r>
      <w:r w:rsidRPr="00427CF1">
        <w:rPr>
          <w:rStyle w:val="TextoNormalCaracter"/>
        </w:rPr>
        <w:t>-</w:t>
      </w:r>
      <w:r>
        <w:t xml:space="preserve"> Sentencia </w:t>
      </w:r>
      <w:hyperlink w:anchor="SENTENCIA_2016_152" w:history="1">
        <w:r w:rsidRPr="00427CF1">
          <w:rPr>
            <w:rStyle w:val="TextoNormalCaracter"/>
          </w:rPr>
          <w:t>152/2016</w:t>
        </w:r>
      </w:hyperlink>
      <w:r>
        <w:t>, f. 8.</w:t>
      </w:r>
    </w:p>
    <w:p w:rsidR="00427CF1" w:rsidRDefault="00427CF1" w:rsidP="00427CF1">
      <w:pPr>
        <w:pStyle w:val="SangriaFrancesaArticulo"/>
      </w:pPr>
      <w:r w:rsidRPr="00427CF1">
        <w:rPr>
          <w:rStyle w:val="TextoNormalNegritaCaracter"/>
        </w:rPr>
        <w:t>Artículo 78.</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r w:rsidRPr="00427CF1">
        <w:rPr>
          <w:rStyle w:val="TextoNormalNegritaCaracter"/>
        </w:rPr>
        <w:t>Artículo 82.</w:t>
      </w:r>
      <w:r w:rsidRPr="00427CF1">
        <w:rPr>
          <w:rStyle w:val="TextoNormalCaracter"/>
        </w:rPr>
        <w:t>-</w:t>
      </w:r>
      <w:r>
        <w:t xml:space="preserve"> Sentencia </w:t>
      </w:r>
      <w:hyperlink w:anchor="SENTENCIA_2016_152" w:history="1">
        <w:r w:rsidRPr="00427CF1">
          <w:rPr>
            <w:rStyle w:val="TextoNormalCaracter"/>
          </w:rPr>
          <w:t>152/2016</w:t>
        </w:r>
      </w:hyperlink>
      <w:r>
        <w:t>, f. 3.</w:t>
      </w:r>
    </w:p>
    <w:p w:rsidR="00427CF1" w:rsidRDefault="00427CF1" w:rsidP="00427CF1">
      <w:pPr>
        <w:pStyle w:val="SangriaFrancesaArticulo"/>
      </w:pPr>
      <w:r w:rsidRPr="00427CF1">
        <w:rPr>
          <w:rStyle w:val="TextoNormalNegritaCaracter"/>
        </w:rPr>
        <w:t>Artículo 82.2.</w:t>
      </w:r>
      <w:r w:rsidRPr="00427CF1">
        <w:rPr>
          <w:rStyle w:val="TextoNormalCaracter"/>
        </w:rPr>
        <w:t>-</w:t>
      </w:r>
      <w:r>
        <w:t xml:space="preserve"> Sentencia </w:t>
      </w:r>
      <w:hyperlink w:anchor="SENTENCIA_2016_152" w:history="1">
        <w:r w:rsidRPr="00427CF1">
          <w:rPr>
            <w:rStyle w:val="TextoNormalCaracter"/>
          </w:rPr>
          <w:t>152/2016</w:t>
        </w:r>
      </w:hyperlink>
      <w:r>
        <w:t>, ff. 1, 3, 9.</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r w:rsidRPr="00427CF1">
        <w:rPr>
          <w:rStyle w:val="TextoNormalNegritaCaracter"/>
        </w:rPr>
        <w:t>Artículo 95.</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r w:rsidRPr="00427CF1">
        <w:rPr>
          <w:rStyle w:val="TextoNormalNegritaCaracter"/>
        </w:rPr>
        <w:t>Artículo 96.</w:t>
      </w:r>
      <w:r w:rsidRPr="00427CF1">
        <w:rPr>
          <w:rStyle w:val="TextoNormalCaracter"/>
        </w:rPr>
        <w:t>-</w:t>
      </w:r>
      <w:r>
        <w:t xml:space="preserve"> Sentencia </w:t>
      </w:r>
      <w:hyperlink w:anchor="SENTENCIA_2016_152" w:history="1">
        <w:r w:rsidRPr="00427CF1">
          <w:rPr>
            <w:rStyle w:val="TextoNormalCaracter"/>
          </w:rPr>
          <w:t>152/2016</w:t>
        </w:r>
      </w:hyperlink>
      <w:r>
        <w:t>, ff. 1, 3.</w:t>
      </w:r>
    </w:p>
    <w:p w:rsidR="00427CF1" w:rsidRDefault="00427CF1" w:rsidP="00427CF1">
      <w:pPr>
        <w:pStyle w:val="SangriaFrancesaArticulo"/>
      </w:pPr>
    </w:p>
    <w:p w:rsidR="00427CF1" w:rsidRDefault="00427CF1" w:rsidP="00427CF1">
      <w:pPr>
        <w:pStyle w:val="TextoNormalNegritaCursivandice"/>
      </w:pPr>
      <w:r>
        <w:t>Ley del Parlamento de Andalucía 18/2011, de 23 de diciembre. Presupuesto de la Comunidad Autónoma de Andalucía para el año 2012</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93" w:history="1">
        <w:r w:rsidRPr="00427CF1">
          <w:rPr>
            <w:rStyle w:val="TextoNormalCaracter"/>
          </w:rPr>
          <w:t>193/2016</w:t>
        </w:r>
      </w:hyperlink>
      <w:r>
        <w:t>, ff. 3, 5.</w:t>
      </w:r>
    </w:p>
    <w:p w:rsidR="00427CF1" w:rsidRDefault="00427CF1" w:rsidP="00427CF1">
      <w:pPr>
        <w:pStyle w:val="SangriaFrancesaArticulo"/>
      </w:pPr>
    </w:p>
    <w:p w:rsidR="00427CF1" w:rsidRDefault="00427CF1" w:rsidP="00427CF1">
      <w:pPr>
        <w:pStyle w:val="TextoNormalNegritaCursivandice"/>
      </w:pPr>
      <w:r>
        <w:t>Decreto-ley de la Junta de Andalucía 1/2013, de 29 de enero. Modifica el Decreto Legislativo 1/2012, de 20 de marzo, por el que se aprueba el texto refundido de la Ley del comercio interior de Andalucía y se establecen otras medidas urgentes en el ámbito comercial, turístico y urbanístico</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p>
    <w:p w:rsidR="00427CF1" w:rsidRDefault="00427CF1" w:rsidP="00427CF1">
      <w:pPr>
        <w:pStyle w:val="TextoNormalNegritaCursivandice"/>
      </w:pPr>
      <w:r>
        <w:t>Ley del Parlamento de Andalucía 4/2013, de 1 de octubre. Medidas para asegurar el cumplimiento de la función social de la vivienda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 1, VP; </w:t>
      </w:r>
      <w:hyperlink w:anchor="AUTO_2016_160" w:history="1">
        <w:r w:rsidRPr="00427CF1">
          <w:rPr>
            <w:rStyle w:val="TextoNormalCaracter"/>
          </w:rPr>
          <w:t>160/2016</w:t>
        </w:r>
      </w:hyperlink>
      <w:r>
        <w:t>, f. 1.</w:t>
      </w:r>
    </w:p>
    <w:p w:rsidR="00427CF1" w:rsidRDefault="00427CF1" w:rsidP="00427CF1">
      <w:pPr>
        <w:pStyle w:val="TextoNormal"/>
      </w:pPr>
    </w:p>
    <w:p w:rsidR="00427CF1" w:rsidRDefault="00427CF1" w:rsidP="00427CF1">
      <w:pPr>
        <w:pStyle w:val="TextoNormalNegritaCentradoSubrayado"/>
        <w:suppressAutoHyphens/>
      </w:pPr>
      <w:r>
        <w:t>J.1.c) Decretos y otras disposiciones reglamentarias</w:t>
      </w:r>
    </w:p>
    <w:p w:rsidR="00427CF1" w:rsidRDefault="00427CF1" w:rsidP="00427CF1">
      <w:pPr>
        <w:pStyle w:val="TextoNormalNegritaCentradoSubrayado"/>
      </w:pPr>
    </w:p>
    <w:p w:rsidR="00427CF1" w:rsidRDefault="00427CF1" w:rsidP="00427CF1">
      <w:pPr>
        <w:pStyle w:val="TextoNormalNegritaCursivandice"/>
      </w:pPr>
      <w:r>
        <w:t>Decreto de la Junta de Andalucía 68/2006, de 21 de marzo. Aprueba el reglamento taurino de Andalucía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Decreto de la Junta de Andalucía 278/2011, de 20 de septiembre. Modifica el reglamento de escuelas taurinas de Andalucía aprobado por el Decreto 112/2001, de 8 de mayo, el Decreto 143/2001, de 19 de junio, por el que se regula el régimen de autorización y funcionamiento de las plazas de toros portátiles, el reglamento de festejos taurinos populares aprobado por el Decreto 62/2003, de 11 de marzo, y el reglamento taurino de Andalucía aprobado por el Decreto 68/2006, de 21 de marzo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Decreto-ley de la Junta de Andalucía 3/2011, de 13 de diciembre. Aprueba medidas urgentes sobre prestación farmacéutica del sistema sanitario público de Andalucía</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Sentencia </w:t>
      </w:r>
      <w:hyperlink w:anchor="SENTENCIA_2016_210" w:history="1">
        <w:r w:rsidRPr="00427CF1">
          <w:rPr>
            <w:rStyle w:val="TextoNormalCaracter"/>
          </w:rPr>
          <w:t>210/2016</w:t>
        </w:r>
      </w:hyperlink>
      <w:r>
        <w:t>, ff. 1, 2.</w:t>
      </w:r>
    </w:p>
    <w:p w:rsidR="00427CF1" w:rsidRDefault="00427CF1" w:rsidP="00427CF1">
      <w:pPr>
        <w:pStyle w:val="SangriaFrancesaArticulo"/>
      </w:pPr>
      <w:r w:rsidRPr="00427CF1">
        <w:rPr>
          <w:rStyle w:val="TextoNormalNegritaCaracter"/>
        </w:rPr>
        <w:t>Artículo único, apartado 1.</w:t>
      </w:r>
      <w:r w:rsidRPr="00427CF1">
        <w:rPr>
          <w:rStyle w:val="TextoNormalCaracter"/>
        </w:rPr>
        <w:t>-</w:t>
      </w:r>
      <w:r>
        <w:t xml:space="preserve"> Sentencia </w:t>
      </w:r>
      <w:hyperlink w:anchor="SENTENCIA_2016_210" w:history="1">
        <w:r w:rsidRPr="00427CF1">
          <w:rPr>
            <w:rStyle w:val="TextoNormalCaracter"/>
          </w:rPr>
          <w:t>210/2016</w:t>
        </w:r>
      </w:hyperlink>
      <w:r>
        <w:t>, f. 2.</w:t>
      </w:r>
    </w:p>
    <w:p w:rsidR="00427CF1" w:rsidRDefault="00427CF1" w:rsidP="00427CF1">
      <w:pPr>
        <w:pStyle w:val="SangriaFrancesaArticulo"/>
      </w:pPr>
      <w:r w:rsidRPr="00427CF1">
        <w:rPr>
          <w:rStyle w:val="TextoNormalNegritaCaracter"/>
        </w:rPr>
        <w:t>Artículo único, apartado 2.</w:t>
      </w:r>
      <w:r w:rsidRPr="00427CF1">
        <w:rPr>
          <w:rStyle w:val="TextoNormalCaracter"/>
        </w:rPr>
        <w:t>-</w:t>
      </w:r>
      <w:r>
        <w:t xml:space="preserve"> Sentencia </w:t>
      </w:r>
      <w:hyperlink w:anchor="SENTENCIA_2016_210" w:history="1">
        <w:r w:rsidRPr="00427CF1">
          <w:rPr>
            <w:rStyle w:val="TextoNormalCaracter"/>
          </w:rPr>
          <w:t>210/2016</w:t>
        </w:r>
      </w:hyperlink>
      <w:r>
        <w:t>, f. 2.</w:t>
      </w:r>
    </w:p>
    <w:p w:rsidR="00427CF1" w:rsidRDefault="00427CF1" w:rsidP="00427CF1">
      <w:pPr>
        <w:pStyle w:val="SangriaFrancesaArticulo"/>
      </w:pPr>
      <w:r w:rsidRPr="00427CF1">
        <w:rPr>
          <w:rStyle w:val="TextoNormalNegritaCaracter"/>
        </w:rPr>
        <w:t>Artículo único, apartado 3.</w:t>
      </w:r>
      <w:r w:rsidRPr="00427CF1">
        <w:rPr>
          <w:rStyle w:val="TextoNormalCaracter"/>
        </w:rPr>
        <w:t>-</w:t>
      </w:r>
      <w:r>
        <w:t xml:space="preserve"> Sentencia </w:t>
      </w:r>
      <w:hyperlink w:anchor="SENTENCIA_2016_210" w:history="1">
        <w:r w:rsidRPr="00427CF1">
          <w:rPr>
            <w:rStyle w:val="TextoNormalCaracter"/>
          </w:rPr>
          <w:t>210/2016</w:t>
        </w:r>
      </w:hyperlink>
      <w:r>
        <w:t>, ff. 2, 4.</w:t>
      </w:r>
    </w:p>
    <w:p w:rsidR="00427CF1" w:rsidRDefault="00427CF1" w:rsidP="00427CF1">
      <w:pPr>
        <w:pStyle w:val="SangriaFrancesaArticulo"/>
      </w:pPr>
      <w:r w:rsidRPr="00427CF1">
        <w:rPr>
          <w:rStyle w:val="TextoNormalNegritaCaracter"/>
        </w:rPr>
        <w:t>Artículo único, apartado 4.</w:t>
      </w:r>
      <w:r w:rsidRPr="00427CF1">
        <w:rPr>
          <w:rStyle w:val="TextoNormalCaracter"/>
        </w:rPr>
        <w:t>-</w:t>
      </w:r>
      <w:r>
        <w:t xml:space="preserve"> Sentencia </w:t>
      </w:r>
      <w:hyperlink w:anchor="SENTENCIA_2016_210" w:history="1">
        <w:r w:rsidRPr="00427CF1">
          <w:rPr>
            <w:rStyle w:val="TextoNormalCaracter"/>
          </w:rPr>
          <w:t>210/2016</w:t>
        </w:r>
      </w:hyperlink>
      <w:r>
        <w:t>, ff. 2, 4, 8.</w:t>
      </w:r>
    </w:p>
    <w:p w:rsidR="00427CF1" w:rsidRDefault="00427CF1" w:rsidP="00427CF1">
      <w:pPr>
        <w:pStyle w:val="SangriaFrancesaArticulo"/>
      </w:pPr>
      <w:r w:rsidRPr="00427CF1">
        <w:rPr>
          <w:rStyle w:val="TextoNormalNegritaCaracter"/>
        </w:rPr>
        <w:t>Artículo único, apartado 5.</w:t>
      </w:r>
      <w:r w:rsidRPr="00427CF1">
        <w:rPr>
          <w:rStyle w:val="TextoNormalCaracter"/>
        </w:rPr>
        <w:t>-</w:t>
      </w:r>
      <w:r>
        <w:t xml:space="preserve"> Sentencia </w:t>
      </w:r>
      <w:hyperlink w:anchor="SENTENCIA_2016_210" w:history="1">
        <w:r w:rsidRPr="00427CF1">
          <w:rPr>
            <w:rStyle w:val="TextoNormalCaracter"/>
          </w:rPr>
          <w:t>210/2016</w:t>
        </w:r>
      </w:hyperlink>
      <w:r>
        <w:t>, ff. 2, 4.</w:t>
      </w:r>
    </w:p>
    <w:p w:rsidR="00427CF1" w:rsidRDefault="00427CF1" w:rsidP="00427CF1">
      <w:pPr>
        <w:pStyle w:val="SangriaFrancesaArticulo"/>
      </w:pPr>
      <w:r w:rsidRPr="00427CF1">
        <w:rPr>
          <w:rStyle w:val="TextoNormalNegritaCaracter"/>
        </w:rPr>
        <w:t>Artículo único, apartado 6.</w:t>
      </w:r>
      <w:r w:rsidRPr="00427CF1">
        <w:rPr>
          <w:rStyle w:val="TextoNormalCaracter"/>
        </w:rPr>
        <w:t>-</w:t>
      </w:r>
      <w:r>
        <w:t xml:space="preserve"> Sentencia </w:t>
      </w:r>
      <w:hyperlink w:anchor="SENTENCIA_2016_2102" w:history="1">
        <w:r w:rsidRPr="00427CF1">
          <w:rPr>
            <w:rStyle w:val="TextoNormalCaracter"/>
          </w:rPr>
          <w:t>210/2016</w:t>
        </w:r>
      </w:hyperlink>
      <w:r>
        <w:t>, ff. 2, 4.</w:t>
      </w:r>
    </w:p>
    <w:p w:rsidR="00427CF1" w:rsidRDefault="00427CF1" w:rsidP="00427CF1">
      <w:pPr>
        <w:pStyle w:val="SangriaFrancesaArticulo"/>
      </w:pPr>
      <w:r w:rsidRPr="00427CF1">
        <w:rPr>
          <w:rStyle w:val="TextoNormalNegritaCaracter"/>
        </w:rPr>
        <w:t>Artículo único, apartado 7.</w:t>
      </w:r>
      <w:r w:rsidRPr="00427CF1">
        <w:rPr>
          <w:rStyle w:val="TextoNormalCaracter"/>
        </w:rPr>
        <w:t>-</w:t>
      </w:r>
      <w:r>
        <w:t xml:space="preserve"> Sentencia </w:t>
      </w:r>
      <w:hyperlink w:anchor="SENTENCIA_2016_210" w:history="1">
        <w:r w:rsidRPr="00427CF1">
          <w:rPr>
            <w:rStyle w:val="TextoNormalCaracter"/>
          </w:rPr>
          <w:t>210/2016</w:t>
        </w:r>
      </w:hyperlink>
      <w:r>
        <w:t>, f. 2.</w:t>
      </w:r>
    </w:p>
    <w:p w:rsidR="00427CF1" w:rsidRDefault="00427CF1" w:rsidP="00427CF1">
      <w:pPr>
        <w:pStyle w:val="SangriaFrancesaArticulo"/>
      </w:pPr>
      <w:r w:rsidRPr="00427CF1">
        <w:rPr>
          <w:rStyle w:val="TextoNormalNegritaCaracter"/>
        </w:rPr>
        <w:t>Artículo único, apartado 8.</w:t>
      </w:r>
      <w:r w:rsidRPr="00427CF1">
        <w:rPr>
          <w:rStyle w:val="TextoNormalCaracter"/>
        </w:rPr>
        <w:t>-</w:t>
      </w:r>
      <w:r>
        <w:t xml:space="preserve"> Sentencia </w:t>
      </w:r>
      <w:hyperlink w:anchor="SENTENCIA_2016_210" w:history="1">
        <w:r w:rsidRPr="00427CF1">
          <w:rPr>
            <w:rStyle w:val="TextoNormalCaracter"/>
          </w:rPr>
          <w:t>210/2016</w:t>
        </w:r>
      </w:hyperlink>
      <w:r>
        <w:t>, f. 2.</w:t>
      </w:r>
    </w:p>
    <w:p w:rsidR="00427CF1" w:rsidRDefault="00427CF1" w:rsidP="00427CF1">
      <w:pPr>
        <w:pStyle w:val="SangriaFrancesaArticulo"/>
      </w:pPr>
      <w:r w:rsidRPr="00427CF1">
        <w:rPr>
          <w:rStyle w:val="TextoNormalNegritaCaracter"/>
        </w:rPr>
        <w:t>Artículo único, apartado 9.</w:t>
      </w:r>
      <w:r w:rsidRPr="00427CF1">
        <w:rPr>
          <w:rStyle w:val="TextoNormalCaracter"/>
        </w:rPr>
        <w:t>-</w:t>
      </w:r>
      <w:r>
        <w:t xml:space="preserve"> Sentencia </w:t>
      </w:r>
      <w:hyperlink w:anchor="SENTENCIA_2016_210" w:history="1">
        <w:r w:rsidRPr="00427CF1">
          <w:rPr>
            <w:rStyle w:val="TextoNormalCaracter"/>
          </w:rPr>
          <w:t>210/2016</w:t>
        </w:r>
      </w:hyperlink>
      <w:r>
        <w:t>, ff. 2, 4.</w:t>
      </w:r>
    </w:p>
    <w:p w:rsidR="00427CF1" w:rsidRDefault="00427CF1" w:rsidP="00427CF1">
      <w:pPr>
        <w:pStyle w:val="SangriaFrancesaArticulo"/>
      </w:pPr>
      <w:r w:rsidRPr="00427CF1">
        <w:rPr>
          <w:rStyle w:val="TextoNormalNegritaCaracter"/>
        </w:rPr>
        <w:t>Artículo único, apartado 10.</w:t>
      </w:r>
      <w:r w:rsidRPr="00427CF1">
        <w:rPr>
          <w:rStyle w:val="TextoNormalCaracter"/>
        </w:rPr>
        <w:t>-</w:t>
      </w:r>
      <w:r>
        <w:t xml:space="preserve"> Sentencia </w:t>
      </w:r>
      <w:hyperlink w:anchor="SENTENCIA_2016_210" w:history="1">
        <w:r w:rsidRPr="00427CF1">
          <w:rPr>
            <w:rStyle w:val="TextoNormalCaracter"/>
          </w:rPr>
          <w:t>210/2016</w:t>
        </w:r>
      </w:hyperlink>
      <w:r>
        <w:t>, ff. 2, 4.</w:t>
      </w:r>
    </w:p>
    <w:p w:rsidR="00427CF1" w:rsidRDefault="00427CF1" w:rsidP="00427CF1">
      <w:pPr>
        <w:pStyle w:val="SangriaFrancesaArticulo"/>
      </w:pPr>
    </w:p>
    <w:p w:rsidR="00427CF1" w:rsidRDefault="00427CF1" w:rsidP="00427CF1">
      <w:pPr>
        <w:pStyle w:val="TextoNormalNegritaCursivandice"/>
      </w:pPr>
      <w:r>
        <w:t>Decreto de la Junta de Andalucía 373/2011, de 27 de diciembre. Aprueba la Oferta de Empleo Público correspondiente al año 2012 para ingreso y acceso a los cuerpos de profesores de enseñanza secundaria, de profesores técnicos de formación profesional, de profesores de escuelas oficiales de idiomas, de profesores de música y artes escénicas y de profesores de artes plásticas y diseño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3" w:history="1">
        <w:r w:rsidRPr="00427CF1">
          <w:rPr>
            <w:rStyle w:val="TextoNormalCaracter"/>
          </w:rPr>
          <w:t>193/2016</w:t>
        </w:r>
      </w:hyperlink>
      <w:r>
        <w:t>, ff. 3, 5.</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93" w:history="1">
        <w:r w:rsidRPr="00427CF1">
          <w:rPr>
            <w:rStyle w:val="TextoNormalCaracter"/>
          </w:rPr>
          <w:t>193/2016</w:t>
        </w:r>
      </w:hyperlink>
      <w:r>
        <w:t>, f. 5.</w:t>
      </w:r>
    </w:p>
    <w:p w:rsidR="00427CF1" w:rsidRDefault="00427CF1" w:rsidP="00427CF1">
      <w:pPr>
        <w:pStyle w:val="SangriaFrancesaArticulo"/>
      </w:pPr>
    </w:p>
    <w:p w:rsidR="00427CF1" w:rsidRDefault="00427CF1" w:rsidP="00427CF1">
      <w:pPr>
        <w:pStyle w:val="TextoNormalNegritaCursivandice"/>
      </w:pPr>
      <w:r>
        <w:t>Orden de la Consejería de Educación de la Junta de Andalucía de 13 de febrero de 2012. Convocatoria de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3" w:history="1">
        <w:r w:rsidRPr="00427CF1">
          <w:rPr>
            <w:rStyle w:val="TextoNormalCaracter"/>
          </w:rPr>
          <w:t>193/2016</w:t>
        </w:r>
      </w:hyperlink>
      <w:r>
        <w:t>, ff. 1, 3, 5.</w:t>
      </w:r>
    </w:p>
    <w:p w:rsidR="00427CF1" w:rsidRDefault="00427CF1" w:rsidP="00427CF1">
      <w:pPr>
        <w:pStyle w:val="TextoNormal"/>
      </w:pPr>
    </w:p>
    <w:p w:rsidR="00427CF1" w:rsidRDefault="00427CF1" w:rsidP="00427CF1">
      <w:pPr>
        <w:pStyle w:val="TextoNormalNegritaCentradoSubrayado"/>
        <w:suppressAutoHyphens/>
      </w:pPr>
      <w:r>
        <w:t>J.1.d) Normas parlamentarias autonómicas</w:t>
      </w:r>
    </w:p>
    <w:p w:rsidR="00427CF1" w:rsidRDefault="00427CF1" w:rsidP="00427CF1">
      <w:pPr>
        <w:pStyle w:val="TextoNormalNegritaCentradoSubrayado"/>
      </w:pPr>
    </w:p>
    <w:p w:rsidR="00427CF1" w:rsidRDefault="00427CF1" w:rsidP="00427CF1">
      <w:pPr>
        <w:pStyle w:val="TextoNormalNegritaCursivandice"/>
      </w:pPr>
      <w:r>
        <w:t>Reglamento del Parlamento de Andalucía de 16 de julio de 1996</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9" w:history="1">
        <w:r w:rsidRPr="00427CF1">
          <w:rPr>
            <w:rStyle w:val="TextoNormalCaracter"/>
          </w:rPr>
          <w:t>199/2016</w:t>
        </w:r>
      </w:hyperlink>
      <w:r>
        <w:t>, f. 4.</w:t>
      </w:r>
    </w:p>
    <w:p w:rsidR="00427CF1" w:rsidRDefault="00427CF1" w:rsidP="00427CF1">
      <w:pPr>
        <w:pStyle w:val="SangriaFrancesaArticulo"/>
      </w:pPr>
    </w:p>
    <w:p w:rsidR="00427CF1" w:rsidRDefault="00427CF1" w:rsidP="00427CF1">
      <w:pPr>
        <w:pStyle w:val="TextoNormalNegritaCursivandice"/>
      </w:pPr>
      <w:r>
        <w:t>Reglamento del Parlamento de Andalucía, de 29 de septiembre de 2005</w:t>
      </w:r>
    </w:p>
    <w:p w:rsidR="00427CF1" w:rsidRDefault="00427CF1" w:rsidP="00427CF1">
      <w:pPr>
        <w:pStyle w:val="SangriaFrancesaArticulo"/>
      </w:pPr>
      <w:r w:rsidRPr="00427CF1">
        <w:rPr>
          <w:rStyle w:val="TextoNormalNegritaCaracter"/>
        </w:rPr>
        <w:t>Título preliminar.</w:t>
      </w:r>
      <w:r w:rsidRPr="00427CF1">
        <w:rPr>
          <w:rStyle w:val="TextoNormalCaracter"/>
        </w:rPr>
        <w:t>-</w:t>
      </w:r>
      <w:r>
        <w:t xml:space="preserve"> Sentencia </w:t>
      </w:r>
      <w:hyperlink w:anchor="SENTENCIA_2016_199" w:history="1">
        <w:r w:rsidRPr="00427CF1">
          <w:rPr>
            <w:rStyle w:val="TextoNormalCaracter"/>
          </w:rPr>
          <w:t>199/2016</w:t>
        </w:r>
      </w:hyperlink>
      <w:r>
        <w:t>, f. 4.</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99" w:history="1">
        <w:r w:rsidRPr="00427CF1">
          <w:rPr>
            <w:rStyle w:val="TextoNormalCaracter"/>
          </w:rPr>
          <w:t>199/2016</w:t>
        </w:r>
      </w:hyperlink>
      <w:r>
        <w:t>, f. 4.</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99" w:history="1">
        <w:r w:rsidRPr="00427CF1">
          <w:rPr>
            <w:rStyle w:val="TextoNormalCaracter"/>
          </w:rPr>
          <w:t>199/2016</w:t>
        </w:r>
      </w:hyperlink>
      <w:r>
        <w:t>, ff. 1, 4.</w:t>
      </w:r>
    </w:p>
    <w:p w:rsidR="00427CF1" w:rsidRDefault="00427CF1" w:rsidP="00427CF1">
      <w:pPr>
        <w:pStyle w:val="SangriaFrancesaArticulo"/>
      </w:pPr>
      <w:r w:rsidRPr="00427CF1">
        <w:rPr>
          <w:rStyle w:val="TextoNormalNegritaCaracter"/>
        </w:rPr>
        <w:t>Artículo 27.2.</w:t>
      </w:r>
      <w:r w:rsidRPr="00427CF1">
        <w:rPr>
          <w:rStyle w:val="TextoNormalCaracter"/>
        </w:rPr>
        <w:t>-</w:t>
      </w:r>
      <w:r>
        <w:t xml:space="preserve"> Sentencia </w:t>
      </w:r>
      <w:hyperlink w:anchor="SENTENCIA_2016_199" w:history="1">
        <w:r w:rsidRPr="00427CF1">
          <w:rPr>
            <w:rStyle w:val="TextoNormalCaracter"/>
          </w:rPr>
          <w:t>199/2016</w:t>
        </w:r>
      </w:hyperlink>
      <w:r>
        <w:t>, f. 4.</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199" w:history="1">
        <w:r w:rsidRPr="00427CF1">
          <w:rPr>
            <w:rStyle w:val="TextoNormalCaracter"/>
          </w:rPr>
          <w:t>199/2016</w:t>
        </w:r>
      </w:hyperlink>
      <w:r>
        <w:t>, f. 4.</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99" w:history="1">
        <w:r w:rsidRPr="00427CF1">
          <w:rPr>
            <w:rStyle w:val="TextoNormalCaracter"/>
          </w:rPr>
          <w:t>199/2016</w:t>
        </w:r>
      </w:hyperlink>
      <w:r>
        <w:t>, ff. 1, 4.</w:t>
      </w:r>
    </w:p>
    <w:p w:rsidR="00427CF1" w:rsidRDefault="00427CF1" w:rsidP="00427CF1">
      <w:pPr>
        <w:pStyle w:val="SangriaFrancesaArticulo"/>
      </w:pPr>
      <w:r w:rsidRPr="00427CF1">
        <w:rPr>
          <w:rStyle w:val="TextoNormalNegritaCaracter"/>
        </w:rPr>
        <w:t>Artículo 34.</w:t>
      </w:r>
      <w:r w:rsidRPr="00427CF1">
        <w:rPr>
          <w:rStyle w:val="TextoNormalCaracter"/>
        </w:rPr>
        <w:t>-</w:t>
      </w:r>
      <w:r>
        <w:t xml:space="preserve"> Sentencia </w:t>
      </w:r>
      <w:hyperlink w:anchor="SENTENCIA_2016_199" w:history="1">
        <w:r w:rsidRPr="00427CF1">
          <w:rPr>
            <w:rStyle w:val="TextoNormalCaracter"/>
          </w:rPr>
          <w:t>199/2016</w:t>
        </w:r>
      </w:hyperlink>
      <w:r>
        <w:t>, ff. 1, 4, 5.</w:t>
      </w:r>
    </w:p>
    <w:p w:rsidR="00427CF1" w:rsidRDefault="00427CF1" w:rsidP="00427CF1">
      <w:pPr>
        <w:pStyle w:val="SangriaFrancesaArticulo"/>
      </w:pPr>
      <w:r w:rsidRPr="00427CF1">
        <w:rPr>
          <w:rStyle w:val="TextoNormalNegritaCaracter"/>
        </w:rPr>
        <w:t>Artículo 34.2.</w:t>
      </w:r>
      <w:r w:rsidRPr="00427CF1">
        <w:rPr>
          <w:rStyle w:val="TextoNormalCaracter"/>
        </w:rPr>
        <w:t>-</w:t>
      </w:r>
      <w:r>
        <w:t xml:space="preserve"> Sentencia </w:t>
      </w:r>
      <w:hyperlink w:anchor="SENTENCIA_2016_199" w:history="1">
        <w:r w:rsidRPr="00427CF1">
          <w:rPr>
            <w:rStyle w:val="TextoNormalCaracter"/>
          </w:rPr>
          <w:t>199/2016</w:t>
        </w:r>
      </w:hyperlink>
      <w:r>
        <w:t>, f. 5.</w:t>
      </w:r>
    </w:p>
    <w:p w:rsidR="00427CF1" w:rsidRDefault="00427CF1" w:rsidP="00427CF1">
      <w:pPr>
        <w:pStyle w:val="SangriaFrancesaArticulo"/>
      </w:pPr>
      <w:r w:rsidRPr="00427CF1">
        <w:rPr>
          <w:rStyle w:val="TextoNormalNegritaCaracter"/>
        </w:rPr>
        <w:t>Artículo 34.3.</w:t>
      </w:r>
      <w:r w:rsidRPr="00427CF1">
        <w:rPr>
          <w:rStyle w:val="TextoNormalCaracter"/>
        </w:rPr>
        <w:t>-</w:t>
      </w:r>
      <w:r>
        <w:t xml:space="preserve"> Sentencia </w:t>
      </w:r>
      <w:hyperlink w:anchor="SENTENCIA_2016_199" w:history="1">
        <w:r w:rsidRPr="00427CF1">
          <w:rPr>
            <w:rStyle w:val="TextoNormalCaracter"/>
          </w:rPr>
          <w:t>199/2016</w:t>
        </w:r>
      </w:hyperlink>
      <w:r>
        <w:t>, ff. 4, 5.</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199" w:history="1">
        <w:r w:rsidRPr="00427CF1">
          <w:rPr>
            <w:rStyle w:val="TextoNormalCaracter"/>
          </w:rPr>
          <w:t>199/2016</w:t>
        </w:r>
      </w:hyperlink>
      <w:r>
        <w:t>, ff. 1, 4, 5.</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J.2) Aragón</w:t>
      </w:r>
    </w:p>
    <w:p w:rsidR="00427CF1" w:rsidRDefault="00427CF1" w:rsidP="00427CF1">
      <w:pPr>
        <w:pStyle w:val="TextoNormal"/>
      </w:pPr>
    </w:p>
    <w:p w:rsidR="00427CF1" w:rsidRDefault="00427CF1" w:rsidP="00427CF1">
      <w:pPr>
        <w:pStyle w:val="TextoNormalNegritaCentradoSubrayado"/>
        <w:suppressAutoHyphens/>
      </w:pPr>
      <w:r>
        <w:t>J.2.a) Estatuto de Autonomía</w:t>
      </w:r>
    </w:p>
    <w:p w:rsidR="00427CF1" w:rsidRDefault="00427CF1" w:rsidP="00427CF1">
      <w:pPr>
        <w:pStyle w:val="TextoNormalNegritaCentradoSubrayado"/>
      </w:pPr>
    </w:p>
    <w:p w:rsidR="00427CF1" w:rsidRDefault="00427CF1" w:rsidP="00427CF1">
      <w:pPr>
        <w:pStyle w:val="TextoNormalNegritaCursivandice"/>
      </w:pPr>
      <w:r>
        <w:t>Ley Orgánica 5/2007, de 20 de abril. Reforma del Estatuto de Autonomía de Aragón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5" w:history="1">
        <w:r w:rsidRPr="00427CF1">
          <w:rPr>
            <w:rStyle w:val="TextoNormalCaracter"/>
          </w:rPr>
          <w:t>165/2016</w:t>
        </w:r>
      </w:hyperlink>
      <w:r>
        <w:t xml:space="preserve">, f. 1; </w:t>
      </w:r>
      <w:hyperlink w:anchor="SENTENCIA_2016_217" w:history="1">
        <w:r w:rsidRPr="00427CF1">
          <w:rPr>
            <w:rStyle w:val="TextoNormalCaracter"/>
          </w:rPr>
          <w:t>217/2016</w:t>
        </w:r>
      </w:hyperlink>
      <w:r>
        <w:t>, f. 2.</w:t>
      </w:r>
    </w:p>
    <w:p w:rsidR="00427CF1" w:rsidRDefault="00427CF1" w:rsidP="00427CF1">
      <w:pPr>
        <w:pStyle w:val="SangriaFrancesaArticulo"/>
      </w:pPr>
      <w:r w:rsidRPr="00427CF1">
        <w:rPr>
          <w:rStyle w:val="TextoNormalNegritaCaracter"/>
        </w:rPr>
        <w:t>Artículo 70.31.</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71.2.</w:t>
      </w:r>
      <w:r w:rsidRPr="00427CF1">
        <w:rPr>
          <w:rStyle w:val="TextoNormalCaracter"/>
        </w:rPr>
        <w:t>-</w:t>
      </w:r>
      <w:r>
        <w:t xml:space="preserve"> Auto </w:t>
      </w:r>
      <w:hyperlink w:anchor="AUTO_2016_175" w:history="1">
        <w:r w:rsidRPr="00427CF1">
          <w:rPr>
            <w:rStyle w:val="TextoNormalCaracter"/>
          </w:rPr>
          <w:t>175/2016</w:t>
        </w:r>
      </w:hyperlink>
      <w:r>
        <w:t>, f. 1.</w:t>
      </w:r>
    </w:p>
    <w:p w:rsidR="00427CF1" w:rsidRDefault="00427CF1" w:rsidP="00427CF1">
      <w:pPr>
        <w:pStyle w:val="SangriaFrancesaArticulo"/>
      </w:pPr>
      <w:r w:rsidRPr="00427CF1">
        <w:rPr>
          <w:rStyle w:val="TextoNormalNegritaCaracter"/>
        </w:rPr>
        <w:t>Artículo 71.3.</w:t>
      </w:r>
      <w:r w:rsidRPr="00427CF1">
        <w:rPr>
          <w:rStyle w:val="TextoNormalCaracter"/>
        </w:rPr>
        <w:t>-</w:t>
      </w:r>
      <w:r>
        <w:t xml:space="preserve"> Auto </w:t>
      </w:r>
      <w:hyperlink w:anchor="AUTO_2016_175" w:history="1">
        <w:r w:rsidRPr="00427CF1">
          <w:rPr>
            <w:rStyle w:val="TextoNormalCaracter"/>
          </w:rPr>
          <w:t>175/2016</w:t>
        </w:r>
      </w:hyperlink>
      <w:r>
        <w:t>, f. 1.</w:t>
      </w:r>
    </w:p>
    <w:p w:rsidR="00427CF1" w:rsidRDefault="00427CF1" w:rsidP="00427CF1">
      <w:pPr>
        <w:pStyle w:val="SangriaFrancesaArticulo"/>
      </w:pPr>
      <w:r w:rsidRPr="00427CF1">
        <w:rPr>
          <w:rStyle w:val="TextoNormalNegritaCaracter"/>
        </w:rPr>
        <w:t>Artículo 71.8.</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71.32.</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71.48.</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75.2.</w:t>
      </w:r>
      <w:r w:rsidRPr="00427CF1">
        <w:rPr>
          <w:rStyle w:val="TextoNormalCaracter"/>
        </w:rPr>
        <w:t>-</w:t>
      </w:r>
      <w:r>
        <w:t xml:space="preserve"> Sentencia </w:t>
      </w:r>
      <w:hyperlink w:anchor="SENTENCIA_2016_165" w:history="1">
        <w:r w:rsidRPr="00427CF1">
          <w:rPr>
            <w:rStyle w:val="TextoNormalCaracter"/>
          </w:rPr>
          <w:t>165/2016</w:t>
        </w:r>
      </w:hyperlink>
      <w:r>
        <w:t>, ff. 1, 5, 9.</w:t>
      </w:r>
    </w:p>
    <w:p w:rsidR="00427CF1" w:rsidRDefault="00427CF1" w:rsidP="00427CF1">
      <w:pPr>
        <w:pStyle w:val="SangriaFrancesaArticulo"/>
      </w:pPr>
      <w:r w:rsidRPr="00427CF1">
        <w:rPr>
          <w:rStyle w:val="TextoNormalNegritaCaracter"/>
        </w:rPr>
        <w:t>Artículo 75.3.</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77.2.</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83.2.</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88.</w:t>
      </w:r>
      <w:r w:rsidRPr="00427CF1">
        <w:rPr>
          <w:rStyle w:val="TextoNormalCaracter"/>
        </w:rPr>
        <w:t>-</w:t>
      </w:r>
      <w:r>
        <w:t xml:space="preserve"> Sentencia </w:t>
      </w:r>
      <w:hyperlink w:anchor="SENTENCIA_2016_217" w:history="1">
        <w:r w:rsidRPr="00427CF1">
          <w:rPr>
            <w:rStyle w:val="TextoNormalCaracter"/>
          </w:rPr>
          <w:t>217/2016</w:t>
        </w:r>
      </w:hyperlink>
      <w:r>
        <w:t>, ff. 1, 2, 4.</w:t>
      </w:r>
    </w:p>
    <w:p w:rsidR="00427CF1" w:rsidRDefault="00427CF1" w:rsidP="00427CF1">
      <w:pPr>
        <w:pStyle w:val="SangriaFrancesaArticulo"/>
      </w:pPr>
      <w:r w:rsidRPr="00427CF1">
        <w:rPr>
          <w:rStyle w:val="TextoNormalNegritaCaracter"/>
        </w:rPr>
        <w:t>Artículo 93.2.</w:t>
      </w:r>
      <w:r w:rsidRPr="00427CF1">
        <w:rPr>
          <w:rStyle w:val="TextoNormalCaracter"/>
        </w:rPr>
        <w:t>-</w:t>
      </w:r>
      <w:r>
        <w:t xml:space="preserve"> Sentencia </w:t>
      </w:r>
      <w:hyperlink w:anchor="SENTENCIA_2016_165" w:history="1">
        <w:r w:rsidRPr="00427CF1">
          <w:rPr>
            <w:rStyle w:val="TextoNormalCaracter"/>
          </w:rPr>
          <w:t>165/2016</w:t>
        </w:r>
      </w:hyperlink>
      <w:r>
        <w:t>, f. 1.</w:t>
      </w:r>
    </w:p>
    <w:p w:rsidR="00427CF1" w:rsidRDefault="00427CF1" w:rsidP="00427CF1">
      <w:pPr>
        <w:pStyle w:val="SangriaFrancesaArticulo"/>
      </w:pPr>
      <w:r w:rsidRPr="00427CF1">
        <w:rPr>
          <w:rStyle w:val="TextoNormalNegritaCaracter"/>
        </w:rPr>
        <w:t>Artículo 107.</w:t>
      </w:r>
      <w:r w:rsidRPr="00427CF1">
        <w:rPr>
          <w:rStyle w:val="TextoNormalCaracter"/>
        </w:rPr>
        <w:t>-</w:t>
      </w:r>
      <w:r>
        <w:t xml:space="preserve"> Sentencia </w:t>
      </w:r>
      <w:hyperlink w:anchor="SENTENCIA_2016_217" w:history="1">
        <w:r w:rsidRPr="00427CF1">
          <w:rPr>
            <w:rStyle w:val="TextoNormalCaracter"/>
          </w:rPr>
          <w:t>217/2016</w:t>
        </w:r>
      </w:hyperlink>
      <w:r>
        <w:t>, f. 5.</w:t>
      </w:r>
    </w:p>
    <w:p w:rsidR="00427CF1" w:rsidRDefault="00427CF1" w:rsidP="00427CF1">
      <w:pPr>
        <w:pStyle w:val="SangriaFrancesaArticulo"/>
      </w:pPr>
      <w:r w:rsidRPr="00427CF1">
        <w:rPr>
          <w:rStyle w:val="TextoNormalNegritaCaracter"/>
        </w:rPr>
        <w:t>Artículo 109.</w:t>
      </w:r>
      <w:r w:rsidRPr="00427CF1">
        <w:rPr>
          <w:rStyle w:val="TextoNormalCaracter"/>
        </w:rPr>
        <w:t>-</w:t>
      </w:r>
      <w:r>
        <w:t xml:space="preserve"> Sentencia </w:t>
      </w:r>
      <w:hyperlink w:anchor="SENTENCIA_2016_217" w:history="1">
        <w:r w:rsidRPr="00427CF1">
          <w:rPr>
            <w:rStyle w:val="TextoNormalCaracter"/>
          </w:rPr>
          <w:t>217/2016</w:t>
        </w:r>
      </w:hyperlink>
      <w:r>
        <w:t>, ff. 3 a 5.</w:t>
      </w:r>
    </w:p>
    <w:p w:rsidR="00427CF1" w:rsidRDefault="00427CF1" w:rsidP="00427CF1">
      <w:pPr>
        <w:pStyle w:val="SangriaFrancesaArticulo"/>
      </w:pPr>
      <w:r w:rsidRPr="00427CF1">
        <w:rPr>
          <w:rStyle w:val="TextoNormalNegritaCaracter"/>
        </w:rPr>
        <w:t>Artículo 109.1.</w:t>
      </w:r>
      <w:r w:rsidRPr="00427CF1">
        <w:rPr>
          <w:rStyle w:val="TextoNormalCaracter"/>
        </w:rPr>
        <w:t>-</w:t>
      </w:r>
      <w:r>
        <w:t xml:space="preserve"> Sentencia </w:t>
      </w:r>
      <w:hyperlink w:anchor="SENTENCIA_2016_217" w:history="1">
        <w:r w:rsidRPr="00427CF1">
          <w:rPr>
            <w:rStyle w:val="TextoNormalCaracter"/>
          </w:rPr>
          <w:t>217/2016</w:t>
        </w:r>
      </w:hyperlink>
      <w:r>
        <w:t>, f. 5.</w:t>
      </w:r>
    </w:p>
    <w:p w:rsidR="00427CF1" w:rsidRDefault="00427CF1" w:rsidP="00427CF1">
      <w:pPr>
        <w:pStyle w:val="SangriaFrancesaArticulo"/>
      </w:pPr>
      <w:r w:rsidRPr="00427CF1">
        <w:rPr>
          <w:rStyle w:val="TextoNormalNegritaCaracter"/>
        </w:rPr>
        <w:t>Artículo 109.2.</w:t>
      </w:r>
      <w:r w:rsidRPr="00427CF1">
        <w:rPr>
          <w:rStyle w:val="TextoNormalCaracter"/>
        </w:rPr>
        <w:t>-</w:t>
      </w:r>
      <w:r>
        <w:t xml:space="preserve"> Sentencia </w:t>
      </w:r>
      <w:hyperlink w:anchor="SENTENCIA_2016_217" w:history="1">
        <w:r w:rsidRPr="00427CF1">
          <w:rPr>
            <w:rStyle w:val="TextoNormalCaracter"/>
          </w:rPr>
          <w:t>217/2016</w:t>
        </w:r>
      </w:hyperlink>
      <w:r>
        <w:t>, f. 5.</w:t>
      </w:r>
    </w:p>
    <w:p w:rsidR="00427CF1" w:rsidRDefault="00427CF1" w:rsidP="00427CF1">
      <w:pPr>
        <w:pStyle w:val="SangriaFrancesaArticulo"/>
      </w:pPr>
      <w:r w:rsidRPr="00427CF1">
        <w:rPr>
          <w:rStyle w:val="TextoNormalNegritaCaracter"/>
        </w:rPr>
        <w:t>Artículo 109.2 d).</w:t>
      </w:r>
      <w:r w:rsidRPr="00427CF1">
        <w:rPr>
          <w:rStyle w:val="TextoNormalCaracter"/>
        </w:rPr>
        <w:t>-</w:t>
      </w:r>
      <w:r>
        <w:t xml:space="preserve"> Sentencia </w:t>
      </w:r>
      <w:hyperlink w:anchor="SENTENCIA_2016_217" w:history="1">
        <w:r w:rsidRPr="00427CF1">
          <w:rPr>
            <w:rStyle w:val="TextoNormalCaracter"/>
          </w:rPr>
          <w:t>217/2016</w:t>
        </w:r>
      </w:hyperlink>
      <w:r>
        <w:t>, ff. 1, 2, 4, 5.</w:t>
      </w:r>
    </w:p>
    <w:p w:rsidR="00427CF1" w:rsidRDefault="00427CF1" w:rsidP="00427CF1">
      <w:pPr>
        <w:pStyle w:val="TextoNormal"/>
      </w:pPr>
    </w:p>
    <w:p w:rsidR="00427CF1" w:rsidRDefault="00427CF1" w:rsidP="00427CF1">
      <w:pPr>
        <w:pStyle w:val="TextoNormalNegritaCentradoSubrayado"/>
        <w:suppressAutoHyphens/>
      </w:pPr>
      <w:r>
        <w:t>J.2.b)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las Cortes de Aragón 11/2003, de 19 de marzo. Protección animal en la Comunidad Autónoma de Aragón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 las Cortes de Aragón 4/2005, de 14 de junio. Casación foral aragonesa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75" w:history="1">
        <w:r w:rsidRPr="00427CF1">
          <w:rPr>
            <w:rStyle w:val="TextoNormalCaracter"/>
          </w:rPr>
          <w:t>175/2016</w:t>
        </w:r>
      </w:hyperlink>
      <w:r>
        <w:t>, f. 1.</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Decreto-ley de la Diputación General de Aragón 1/2013, de 9 de enero. Modifica la Ley 9/1989, de 5 de octubre, de ordenación de la actividad comercial y la Ley 7/2005, de 4 de octubre, de horarios comerciales y apertura de festivos</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p>
    <w:p w:rsidR="00427CF1" w:rsidRDefault="00427CF1" w:rsidP="00427CF1">
      <w:pPr>
        <w:pStyle w:val="TextoNormalNegritaCursivandice"/>
      </w:pPr>
      <w:r>
        <w:t>Ley de las Cortes de Aragón 1/2016, de 28 de enero. Presupuestos de la Comunidad Autónoma para el ejercicio 2016</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80" w:history="1">
        <w:r w:rsidRPr="00427CF1">
          <w:rPr>
            <w:rStyle w:val="TextoNormalCaracter"/>
          </w:rPr>
          <w:t>180/2016</w:t>
        </w:r>
      </w:hyperlink>
      <w:r>
        <w:t>, f. 4.</w:t>
      </w:r>
    </w:p>
    <w:p w:rsidR="00427CF1" w:rsidRDefault="00427CF1" w:rsidP="00427CF1">
      <w:pPr>
        <w:pStyle w:val="TextoNormal"/>
      </w:pPr>
    </w:p>
    <w:p w:rsidR="00427CF1" w:rsidRDefault="00427CF1" w:rsidP="00427CF1">
      <w:pPr>
        <w:pStyle w:val="TextoNormalNegritaCentradoSubrayado"/>
        <w:suppressAutoHyphens/>
      </w:pPr>
      <w:r>
        <w:t>J.2.c) Decretos y otras disposiciones reglamentarias</w:t>
      </w:r>
    </w:p>
    <w:p w:rsidR="00427CF1" w:rsidRDefault="00427CF1" w:rsidP="00427CF1">
      <w:pPr>
        <w:pStyle w:val="TextoNormalNegritaCentradoSubrayado"/>
      </w:pPr>
    </w:p>
    <w:p w:rsidR="00427CF1" w:rsidRDefault="00427CF1" w:rsidP="00427CF1">
      <w:pPr>
        <w:pStyle w:val="TextoNormalNegritaCursivandice"/>
      </w:pPr>
      <w:r>
        <w:t>Decreto de la Diputación General de Aragón 223/2004, de 19 de octubre. Aprueba el reglamento de espectáculos taurinos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Decreto de la Diputación General de Aragón 193/2005, de 29 de septiembre. Modifica el reglamento de espectáculos taurinos aprobado por Decreto 223/2004 de 19 de octubre de 2004</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J.3) Asturias</w:t>
      </w:r>
    </w:p>
    <w:p w:rsidR="00427CF1" w:rsidRDefault="00427CF1" w:rsidP="00427CF1">
      <w:pPr>
        <w:pStyle w:val="TextoNormal"/>
      </w:pPr>
    </w:p>
    <w:p w:rsidR="00427CF1" w:rsidRDefault="00427CF1" w:rsidP="00427CF1">
      <w:pPr>
        <w:pStyle w:val="TextoNormalNegritaCentradoSubrayado"/>
        <w:suppressAutoHyphens/>
      </w:pPr>
      <w:r>
        <w:t>J.3.a) Estatuto de Autonomía</w:t>
      </w:r>
    </w:p>
    <w:p w:rsidR="00427CF1" w:rsidRDefault="00427CF1" w:rsidP="00427CF1">
      <w:pPr>
        <w:pStyle w:val="TextoNormalNegritaCentradoSubrayado"/>
      </w:pPr>
    </w:p>
    <w:p w:rsidR="00427CF1" w:rsidRDefault="00427CF1" w:rsidP="00427CF1">
      <w:pPr>
        <w:pStyle w:val="TextoNormalNegritaCursivandice"/>
      </w:pPr>
      <w:r>
        <w:t>Ley Orgánica 7/1981, de 30 de diciembre. Estatuto de Autonomía de Asturias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8" w:history="1">
        <w:r w:rsidRPr="00427CF1">
          <w:rPr>
            <w:rStyle w:val="TextoNormalCaracter"/>
          </w:rPr>
          <w:t>168/2016</w:t>
        </w:r>
      </w:hyperlink>
      <w:r>
        <w:t xml:space="preserve">, f. 1; </w:t>
      </w:r>
      <w:hyperlink w:anchor="SENTENCIA_2016_183" w:history="1">
        <w:r w:rsidRPr="00427CF1">
          <w:rPr>
            <w:rStyle w:val="TextoNormalCaracter"/>
          </w:rPr>
          <w:t>183/2016</w:t>
        </w:r>
      </w:hyperlink>
      <w:r>
        <w:t>, f. 5.</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 </w:t>
      </w:r>
      <w:hyperlink w:anchor="SENTENCIA_2016_168" w:history="1">
        <w:r w:rsidRPr="00427CF1">
          <w:rPr>
            <w:rStyle w:val="TextoNormalCaracter"/>
          </w:rPr>
          <w:t>168/2016</w:t>
        </w:r>
      </w:hyperlink>
      <w:r>
        <w:t>, ff. 3, 4.</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 </w:t>
      </w:r>
      <w:hyperlink w:anchor="SENTENCIA_2016_183" w:history="1">
        <w:r w:rsidRPr="00427CF1">
          <w:rPr>
            <w:rStyle w:val="TextoNormalCaracter"/>
          </w:rPr>
          <w:t>183/2016</w:t>
        </w:r>
      </w:hyperlink>
      <w:r>
        <w:t>, f. 4.</w:t>
      </w:r>
    </w:p>
    <w:p w:rsidR="00427CF1" w:rsidRDefault="00427CF1" w:rsidP="00427CF1">
      <w:pPr>
        <w:pStyle w:val="SangriaFrancesaArticulo"/>
      </w:pPr>
      <w:r w:rsidRPr="00427CF1">
        <w:rPr>
          <w:rStyle w:val="TextoNormalNegritaCaracter"/>
        </w:rPr>
        <w:t>Artículo 10.1.1.</w:t>
      </w:r>
      <w:r w:rsidRPr="00427CF1">
        <w:rPr>
          <w:rStyle w:val="TextoNormalCaracter"/>
        </w:rPr>
        <w:t>-</w:t>
      </w:r>
      <w:r>
        <w:t xml:space="preserve"> Sentencia </w:t>
      </w:r>
      <w:hyperlink w:anchor="SENTENCIA_2016_183" w:history="1">
        <w:r w:rsidRPr="00427CF1">
          <w:rPr>
            <w:rStyle w:val="TextoNormalCaracter"/>
          </w:rPr>
          <w:t>183/2016</w:t>
        </w:r>
      </w:hyperlink>
      <w:r>
        <w:t>, f. 4.</w:t>
      </w:r>
    </w:p>
    <w:p w:rsidR="00427CF1" w:rsidRDefault="00427CF1" w:rsidP="00427CF1">
      <w:pPr>
        <w:pStyle w:val="SangriaFrancesaArticulo"/>
      </w:pPr>
      <w:r w:rsidRPr="00427CF1">
        <w:rPr>
          <w:rStyle w:val="TextoNormalNegritaCaracter"/>
        </w:rPr>
        <w:t>Artículo 10.1.2.</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10.1.14.</w:t>
      </w:r>
      <w:r w:rsidRPr="00427CF1">
        <w:rPr>
          <w:rStyle w:val="TextoNormalCaracter"/>
        </w:rPr>
        <w:t>-</w:t>
      </w:r>
      <w:r>
        <w:t xml:space="preserve"> Sentencia </w:t>
      </w:r>
      <w:hyperlink w:anchor="SENTENCIA_2016_195" w:history="1">
        <w:r w:rsidRPr="00427CF1">
          <w:rPr>
            <w:rStyle w:val="TextoNormalCaracter"/>
          </w:rPr>
          <w:t>195/2016</w:t>
        </w:r>
      </w:hyperlink>
      <w:r>
        <w:t>, f. 4.</w:t>
      </w:r>
    </w:p>
    <w:p w:rsidR="00427CF1" w:rsidRDefault="00427CF1" w:rsidP="00427CF1">
      <w:pPr>
        <w:pStyle w:val="SangriaFrancesaArticulo"/>
      </w:pPr>
      <w:r w:rsidRPr="00427CF1">
        <w:rPr>
          <w:rStyle w:val="TextoNormalNegritaCaracter"/>
        </w:rPr>
        <w:t>Artículo 11.10.</w:t>
      </w:r>
      <w:r w:rsidRPr="00427CF1">
        <w:rPr>
          <w:rStyle w:val="TextoNormalCaracter"/>
        </w:rPr>
        <w:t>-</w:t>
      </w:r>
      <w:r>
        <w:t xml:space="preserve"> Sentencia </w:t>
      </w:r>
      <w:hyperlink w:anchor="SENTENCIA_2016_168" w:history="1">
        <w:r w:rsidRPr="00427CF1">
          <w:rPr>
            <w:rStyle w:val="TextoNormalCaracter"/>
          </w:rPr>
          <w:t>168/2016</w:t>
        </w:r>
      </w:hyperlink>
      <w:r>
        <w:t>, f. 5.</w:t>
      </w:r>
    </w:p>
    <w:p w:rsidR="00427CF1" w:rsidRDefault="00427CF1" w:rsidP="00427CF1">
      <w:pPr>
        <w:pStyle w:val="SangriaFrancesaArticulo"/>
      </w:pPr>
      <w:r w:rsidRPr="00427CF1">
        <w:rPr>
          <w:rStyle w:val="TextoNormalNegritaCaracter"/>
        </w:rPr>
        <w:t>Artículo 15.3.</w:t>
      </w:r>
      <w:r w:rsidRPr="00427CF1">
        <w:rPr>
          <w:rStyle w:val="TextoNormalCaracter"/>
        </w:rPr>
        <w:t>-</w:t>
      </w:r>
      <w:r>
        <w:t xml:space="preserve"> Sentencia </w:t>
      </w:r>
      <w:hyperlink w:anchor="SENTENCIA_2016_183" w:history="1">
        <w:r w:rsidRPr="00427CF1">
          <w:rPr>
            <w:rStyle w:val="TextoNormalCaracter"/>
          </w:rPr>
          <w:t>183/2016</w:t>
        </w:r>
      </w:hyperlink>
      <w:r>
        <w:t>, ff. 4, 5.</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Sentencia </w:t>
      </w:r>
      <w:hyperlink w:anchor="SENTENCIA_2016_143" w:history="1">
        <w:r w:rsidRPr="00427CF1">
          <w:rPr>
            <w:rStyle w:val="TextoNormalCaracter"/>
          </w:rPr>
          <w:t>143/2016</w:t>
        </w:r>
      </w:hyperlink>
      <w:r>
        <w:t>, f. 5.</w:t>
      </w:r>
    </w:p>
    <w:p w:rsidR="00427CF1" w:rsidRDefault="00427CF1" w:rsidP="00427CF1">
      <w:pPr>
        <w:pStyle w:val="SangriaFrancesaArticulo"/>
      </w:pPr>
      <w:r w:rsidRPr="00427CF1">
        <w:rPr>
          <w:rStyle w:val="TextoNormalNegritaCaracter"/>
        </w:rPr>
        <w:t>Artículo 47.2.</w:t>
      </w:r>
      <w:r w:rsidRPr="00427CF1">
        <w:rPr>
          <w:rStyle w:val="TextoNormalCaracter"/>
        </w:rPr>
        <w:t>-</w:t>
      </w:r>
      <w:r>
        <w:t xml:space="preserve"> Sentencia </w:t>
      </w:r>
      <w:hyperlink w:anchor="SENTENCIA_2016_143" w:history="1">
        <w:r w:rsidRPr="00427CF1">
          <w:rPr>
            <w:rStyle w:val="TextoNormalCaracter"/>
          </w:rPr>
          <w:t>143/2016</w:t>
        </w:r>
      </w:hyperlink>
      <w:r>
        <w:t>, f. 4.</w:t>
      </w:r>
    </w:p>
    <w:p w:rsidR="00427CF1" w:rsidRDefault="00427CF1" w:rsidP="00427CF1">
      <w:pPr>
        <w:pStyle w:val="SangriaFrancesaArticulo"/>
      </w:pPr>
      <w:r w:rsidRPr="00427CF1">
        <w:rPr>
          <w:rStyle w:val="TextoNormalNegritaCaracter"/>
        </w:rPr>
        <w:t>Artículo 47.4.</w:t>
      </w:r>
      <w:r w:rsidRPr="00427CF1">
        <w:rPr>
          <w:rStyle w:val="TextoNormalCaracter"/>
        </w:rPr>
        <w:t>-</w:t>
      </w:r>
      <w:r>
        <w:t xml:space="preserve"> Sentencia </w:t>
      </w:r>
      <w:hyperlink w:anchor="SENTENCIA_2016_143" w:history="1">
        <w:r w:rsidRPr="00427CF1">
          <w:rPr>
            <w:rStyle w:val="TextoNormalCaracter"/>
          </w:rPr>
          <w:t>143/2016</w:t>
        </w:r>
      </w:hyperlink>
      <w:r>
        <w:t>, f. 4.</w:t>
      </w:r>
    </w:p>
    <w:p w:rsidR="00427CF1" w:rsidRDefault="00427CF1" w:rsidP="00427CF1">
      <w:pPr>
        <w:pStyle w:val="TextoNormal"/>
      </w:pPr>
    </w:p>
    <w:p w:rsidR="00427CF1" w:rsidRDefault="00427CF1" w:rsidP="00427CF1">
      <w:pPr>
        <w:pStyle w:val="TextoNormalNegritaCentradoSubrayado"/>
        <w:suppressAutoHyphens/>
      </w:pPr>
      <w:r>
        <w:t>J.3.b)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 Junta General del Principado de Asturias 3/1986, de 15 de mayo. Regula el procedimiento de creación de comarcas en el Principado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p>
    <w:p w:rsidR="00427CF1" w:rsidRDefault="00427CF1" w:rsidP="00427CF1">
      <w:pPr>
        <w:pStyle w:val="TextoNormalNegritaCursivandice"/>
      </w:pPr>
      <w:r>
        <w:t>Ley de la Junta General del Principado de Asturias 13/2002, de 23 de diciembre. Tenencia, protección y derechos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TextoNormal"/>
      </w:pPr>
    </w:p>
    <w:p w:rsidR="00427CF1" w:rsidRDefault="00427CF1" w:rsidP="00427CF1">
      <w:pPr>
        <w:pStyle w:val="TextoNormalNegritaCentradoSubrayado"/>
        <w:suppressAutoHyphens/>
      </w:pPr>
      <w:r>
        <w:t>J.3.d) Normas parlamentarias autonómicas</w:t>
      </w:r>
    </w:p>
    <w:p w:rsidR="00427CF1" w:rsidRDefault="00427CF1" w:rsidP="00427CF1">
      <w:pPr>
        <w:pStyle w:val="TextoNormalNegritaCentradoSubrayado"/>
      </w:pPr>
    </w:p>
    <w:p w:rsidR="00427CF1" w:rsidRDefault="00427CF1" w:rsidP="00427CF1">
      <w:pPr>
        <w:pStyle w:val="TextoNormalNegritaCursivandice"/>
      </w:pPr>
      <w:r>
        <w:t>Reglamento de la Junta General del Principado de Asturias, de 18 de junio de 1997</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 </w:t>
      </w:r>
      <w:hyperlink w:anchor="SENTENCIA_2016_143" w:history="1">
        <w:r w:rsidRPr="00427CF1">
          <w:rPr>
            <w:rStyle w:val="TextoNormalCaracter"/>
          </w:rPr>
          <w:t>143/2016</w:t>
        </w:r>
      </w:hyperlink>
      <w:r>
        <w:t>, f. 5.</w:t>
      </w:r>
    </w:p>
    <w:p w:rsidR="00427CF1" w:rsidRDefault="00427CF1" w:rsidP="00427CF1">
      <w:pPr>
        <w:pStyle w:val="SangriaFrancesaArticulo"/>
      </w:pPr>
      <w:r w:rsidRPr="00427CF1">
        <w:rPr>
          <w:rStyle w:val="TextoNormalNegritaCaracter"/>
        </w:rPr>
        <w:t>Artículo 120.</w:t>
      </w:r>
      <w:r w:rsidRPr="00427CF1">
        <w:rPr>
          <w:rStyle w:val="TextoNormalCaracter"/>
        </w:rPr>
        <w:t>-</w:t>
      </w:r>
      <w:r>
        <w:t xml:space="preserve"> Sentencia </w:t>
      </w:r>
      <w:hyperlink w:anchor="SENTENCIA_2016_143" w:history="1">
        <w:r w:rsidRPr="00427CF1">
          <w:rPr>
            <w:rStyle w:val="TextoNormalCaracter"/>
          </w:rPr>
          <w:t>143/2016</w:t>
        </w:r>
      </w:hyperlink>
      <w:r>
        <w:t>, f. 5.</w:t>
      </w:r>
    </w:p>
    <w:p w:rsidR="00427CF1" w:rsidRDefault="00427CF1" w:rsidP="00427CF1">
      <w:pPr>
        <w:pStyle w:val="SangriaFrancesaArticulo"/>
      </w:pPr>
      <w:r w:rsidRPr="00427CF1">
        <w:rPr>
          <w:rStyle w:val="TextoNormalNegritaCaracter"/>
        </w:rPr>
        <w:t>Artículo 120.1.</w:t>
      </w:r>
      <w:r w:rsidRPr="00427CF1">
        <w:rPr>
          <w:rStyle w:val="TextoNormalCaracter"/>
        </w:rPr>
        <w:t>-</w:t>
      </w:r>
      <w:r>
        <w:t xml:space="preserve"> Sentencia </w:t>
      </w:r>
      <w:hyperlink w:anchor="SENTENCIA_2016_143" w:history="1">
        <w:r w:rsidRPr="00427CF1">
          <w:rPr>
            <w:rStyle w:val="TextoNormalCaracter"/>
          </w:rPr>
          <w:t>143/2016</w:t>
        </w:r>
      </w:hyperlink>
      <w:r>
        <w:t>, f. 5.</w:t>
      </w:r>
    </w:p>
    <w:p w:rsidR="00427CF1" w:rsidRDefault="00427CF1" w:rsidP="00427CF1">
      <w:pPr>
        <w:pStyle w:val="SangriaFrancesaArticulo"/>
      </w:pPr>
      <w:r w:rsidRPr="00427CF1">
        <w:rPr>
          <w:rStyle w:val="TextoNormalNegritaCaracter"/>
        </w:rPr>
        <w:t>Artículo 120.2.</w:t>
      </w:r>
      <w:r w:rsidRPr="00427CF1">
        <w:rPr>
          <w:rStyle w:val="TextoNormalCaracter"/>
        </w:rPr>
        <w:t>-</w:t>
      </w:r>
      <w:r>
        <w:t xml:space="preserve"> Sentencia </w:t>
      </w:r>
      <w:hyperlink w:anchor="SENTENCIA_2016_143" w:history="1">
        <w:r w:rsidRPr="00427CF1">
          <w:rPr>
            <w:rStyle w:val="TextoNormalCaracter"/>
          </w:rPr>
          <w:t>143/2016</w:t>
        </w:r>
      </w:hyperlink>
      <w:r>
        <w:t>, ff. 4, 5.</w:t>
      </w:r>
    </w:p>
    <w:p w:rsidR="00427CF1" w:rsidRDefault="00427CF1" w:rsidP="00427CF1">
      <w:pPr>
        <w:pStyle w:val="SangriaFrancesaArticulo"/>
      </w:pPr>
      <w:r w:rsidRPr="00427CF1">
        <w:rPr>
          <w:rStyle w:val="TextoNormalNegritaCaracter"/>
        </w:rPr>
        <w:t>Artículo 123.</w:t>
      </w:r>
      <w:r w:rsidRPr="00427CF1">
        <w:rPr>
          <w:rStyle w:val="TextoNormalCaracter"/>
        </w:rPr>
        <w:t>-</w:t>
      </w:r>
      <w:r>
        <w:t xml:space="preserve"> Sentencia </w:t>
      </w:r>
      <w:hyperlink w:anchor="SENTENCIA_2016_143" w:history="1">
        <w:r w:rsidRPr="00427CF1">
          <w:rPr>
            <w:rStyle w:val="TextoNormalCaracter"/>
          </w:rPr>
          <w:t>143/2016</w:t>
        </w:r>
      </w:hyperlink>
      <w:r>
        <w:t>, f. 5.</w:t>
      </w:r>
    </w:p>
    <w:p w:rsidR="00427CF1" w:rsidRDefault="00427CF1" w:rsidP="00427CF1">
      <w:pPr>
        <w:pStyle w:val="SangriaFrancesaArticulo"/>
      </w:pPr>
      <w:r w:rsidRPr="00427CF1">
        <w:rPr>
          <w:rStyle w:val="TextoNormalNegritaCaracter"/>
        </w:rPr>
        <w:t>Artículo 139.</w:t>
      </w:r>
      <w:r w:rsidRPr="00427CF1">
        <w:rPr>
          <w:rStyle w:val="TextoNormalCaracter"/>
        </w:rPr>
        <w:t>-</w:t>
      </w:r>
      <w:r>
        <w:t xml:space="preserve"> Sentencia </w:t>
      </w:r>
      <w:hyperlink w:anchor="SENTENCIA_2016_143" w:history="1">
        <w:r w:rsidRPr="00427CF1">
          <w:rPr>
            <w:rStyle w:val="TextoNormalCaracter"/>
          </w:rPr>
          <w:t>143/2016</w:t>
        </w:r>
      </w:hyperlink>
      <w:r>
        <w:t>, f. 3.</w:t>
      </w:r>
    </w:p>
    <w:p w:rsidR="00427CF1" w:rsidRDefault="00427CF1" w:rsidP="00427CF1">
      <w:pPr>
        <w:pStyle w:val="SangriaFrancesaArticulo"/>
      </w:pPr>
      <w:r w:rsidRPr="00427CF1">
        <w:rPr>
          <w:rStyle w:val="TextoNormalNegritaCaracter"/>
        </w:rPr>
        <w:t>Artículo 139.1.</w:t>
      </w:r>
      <w:r w:rsidRPr="00427CF1">
        <w:rPr>
          <w:rStyle w:val="TextoNormalCaracter"/>
        </w:rPr>
        <w:t>-</w:t>
      </w:r>
      <w:r>
        <w:t xml:space="preserve"> Sentencia </w:t>
      </w:r>
      <w:hyperlink w:anchor="SENTENCIA_2016_143" w:history="1">
        <w:r w:rsidRPr="00427CF1">
          <w:rPr>
            <w:rStyle w:val="TextoNormalCaracter"/>
          </w:rPr>
          <w:t>143/2016</w:t>
        </w:r>
      </w:hyperlink>
      <w:r>
        <w:t>, f. 4.</w:t>
      </w:r>
    </w:p>
    <w:p w:rsidR="00427CF1" w:rsidRDefault="00427CF1" w:rsidP="00427CF1">
      <w:pPr>
        <w:pStyle w:val="SangriaFrancesaArticulo"/>
      </w:pPr>
      <w:r w:rsidRPr="00427CF1">
        <w:rPr>
          <w:rStyle w:val="TextoNormalNegritaCaracter"/>
        </w:rPr>
        <w:t>Artículo 139.2.</w:t>
      </w:r>
      <w:r w:rsidRPr="00427CF1">
        <w:rPr>
          <w:rStyle w:val="TextoNormalCaracter"/>
        </w:rPr>
        <w:t>-</w:t>
      </w:r>
      <w:r>
        <w:t xml:space="preserve"> Sentencia </w:t>
      </w:r>
      <w:hyperlink w:anchor="SENTENCIA_2016_143" w:history="1">
        <w:r w:rsidRPr="00427CF1">
          <w:rPr>
            <w:rStyle w:val="TextoNormalCaracter"/>
          </w:rPr>
          <w:t>143/2016</w:t>
        </w:r>
      </w:hyperlink>
      <w:r>
        <w:t>, ff. 4, 5.</w:t>
      </w:r>
    </w:p>
    <w:p w:rsidR="00427CF1" w:rsidRDefault="00427CF1" w:rsidP="00427CF1">
      <w:pPr>
        <w:pStyle w:val="SangriaFrancesaArticulo"/>
      </w:pPr>
      <w:r w:rsidRPr="00427CF1">
        <w:rPr>
          <w:rStyle w:val="TextoNormalNegritaCaracter"/>
        </w:rPr>
        <w:t>Artículo 142.</w:t>
      </w:r>
      <w:r w:rsidRPr="00427CF1">
        <w:rPr>
          <w:rStyle w:val="TextoNormalCaracter"/>
        </w:rPr>
        <w:t>-</w:t>
      </w:r>
      <w:r>
        <w:t xml:space="preserve"> Sentencia </w:t>
      </w:r>
      <w:hyperlink w:anchor="SENTENCIA_2016_143" w:history="1">
        <w:r w:rsidRPr="00427CF1">
          <w:rPr>
            <w:rStyle w:val="TextoNormalCaracter"/>
          </w:rPr>
          <w:t>143/2016</w:t>
        </w:r>
      </w:hyperlink>
      <w:r>
        <w:t>, ff. 4, 5.</w:t>
      </w:r>
    </w:p>
    <w:p w:rsidR="00427CF1" w:rsidRDefault="00427CF1" w:rsidP="00427CF1">
      <w:pPr>
        <w:pStyle w:val="SangriaFrancesaArticulo"/>
      </w:pPr>
      <w:r w:rsidRPr="00427CF1">
        <w:rPr>
          <w:rStyle w:val="TextoNormalNegritaCaracter"/>
        </w:rPr>
        <w:t>Artículo 158.2.</w:t>
      </w:r>
      <w:r w:rsidRPr="00427CF1">
        <w:rPr>
          <w:rStyle w:val="TextoNormalCaracter"/>
        </w:rPr>
        <w:t>-</w:t>
      </w:r>
      <w:r>
        <w:t xml:space="preserve"> Sentencia </w:t>
      </w:r>
      <w:hyperlink w:anchor="SENTENCIA_2016_143" w:history="1">
        <w:r w:rsidRPr="00427CF1">
          <w:rPr>
            <w:rStyle w:val="TextoNormalCaracter"/>
          </w:rPr>
          <w:t>143/2016</w:t>
        </w:r>
      </w:hyperlink>
      <w:r>
        <w:t>, ff. 4, 5.</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J.4) Baleares</w:t>
      </w:r>
    </w:p>
    <w:p w:rsidR="00427CF1" w:rsidRDefault="00427CF1" w:rsidP="00427CF1">
      <w:pPr>
        <w:pStyle w:val="TextoNormal"/>
      </w:pPr>
    </w:p>
    <w:p w:rsidR="00427CF1" w:rsidRDefault="00427CF1" w:rsidP="00427CF1">
      <w:pPr>
        <w:pStyle w:val="TextoNormalNegritaCentradoSubrayado"/>
        <w:suppressAutoHyphens/>
      </w:pPr>
      <w:r>
        <w:t>J.4.b)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del Parlamento de las Illes Balears 12/1991, de 20 de diciembre. Regulación del impuesto sobre instalaciones que incidan en el medio ambiente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7" w:history="1">
        <w:r w:rsidRPr="00427CF1">
          <w:rPr>
            <w:rStyle w:val="TextoNormalCaracter"/>
          </w:rPr>
          <w:t>157/2016</w:t>
        </w:r>
      </w:hyperlink>
      <w:r>
        <w:t>, f. 4.</w:t>
      </w:r>
    </w:p>
    <w:p w:rsidR="00427CF1" w:rsidRDefault="00427CF1" w:rsidP="00427CF1">
      <w:pPr>
        <w:pStyle w:val="SangriaFrancesaArticulo"/>
      </w:pPr>
    </w:p>
    <w:p w:rsidR="00427CF1" w:rsidRDefault="00427CF1" w:rsidP="00427CF1">
      <w:pPr>
        <w:pStyle w:val="TextoNormalNegritaCursivandice"/>
      </w:pPr>
      <w:r>
        <w:t>Ley del Parlamento de las Illes Balears 1/1992, de 8 de abril. Protección de los animales que viven en el entorno humano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del Parlamento de las Illes Balears 7/2001, de 23 de abril.  Impuesto sobre las estancias en empresas turísticas de alojamiento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7" w:history="1">
        <w:r w:rsidRPr="00427CF1">
          <w:rPr>
            <w:rStyle w:val="TextoNormalCaracter"/>
          </w:rPr>
          <w:t>157/2016</w:t>
        </w:r>
      </w:hyperlink>
      <w:r>
        <w:t>, f. 4.</w:t>
      </w:r>
    </w:p>
    <w:p w:rsidR="00427CF1" w:rsidRDefault="00427CF1" w:rsidP="00427CF1">
      <w:pPr>
        <w:pStyle w:val="SangriaFrancesaArticulo"/>
      </w:pPr>
    </w:p>
    <w:p w:rsidR="00427CF1" w:rsidRDefault="00427CF1" w:rsidP="00427CF1">
      <w:pPr>
        <w:pStyle w:val="TextoNormalNegritaCursivandice"/>
      </w:pPr>
      <w:r>
        <w:t>Ley del Parlamento de las Illes Balears 11/2001, de 15 de junio. Ordenación de la actividad comercial</w:t>
      </w:r>
    </w:p>
    <w:p w:rsidR="00427CF1" w:rsidRDefault="00427CF1" w:rsidP="00427CF1">
      <w:pPr>
        <w:pStyle w:val="SangriaFrancesaArticulo"/>
      </w:pPr>
      <w:r w:rsidRPr="00427CF1">
        <w:rPr>
          <w:rStyle w:val="TextoNormalNegritaCaracter"/>
        </w:rPr>
        <w:t>Artículo 14.1.</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p>
    <w:p w:rsidR="00427CF1" w:rsidRDefault="00427CF1" w:rsidP="00427CF1">
      <w:pPr>
        <w:pStyle w:val="TextoNormalNegritaCursivandice"/>
      </w:pPr>
      <w:r>
        <w:t>Decreto-ley del Gobierno de las Illes Balears 11/2012, de 19 de octubre. Modifica la Ley 11/2001, de 15 de junio, de ordenación de la actividad en las Illes Balears</w:t>
      </w:r>
    </w:p>
    <w:p w:rsidR="00427CF1" w:rsidRDefault="00427CF1" w:rsidP="00427CF1">
      <w:pPr>
        <w:pStyle w:val="SangriaFrancesaArticulo"/>
      </w:pPr>
      <w:r w:rsidRPr="00427CF1">
        <w:rPr>
          <w:rStyle w:val="TextoNormalNegritaCaracter"/>
        </w:rPr>
        <w:t>Artículos 1 a 4.</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J.5) Canarias</w:t>
      </w:r>
    </w:p>
    <w:p w:rsidR="00427CF1" w:rsidRDefault="00427CF1" w:rsidP="00427CF1">
      <w:pPr>
        <w:pStyle w:val="TextoNormal"/>
      </w:pPr>
    </w:p>
    <w:p w:rsidR="00427CF1" w:rsidRDefault="00427CF1" w:rsidP="00427CF1">
      <w:pPr>
        <w:pStyle w:val="TextoNormalNegritaCentradoSubrayado"/>
        <w:suppressAutoHyphens/>
      </w:pPr>
      <w:r>
        <w:t>J.5.a) Estatuto de Autonomía</w:t>
      </w:r>
    </w:p>
    <w:p w:rsidR="00427CF1" w:rsidRDefault="00427CF1" w:rsidP="00427CF1">
      <w:pPr>
        <w:pStyle w:val="TextoNormalNegritaCentradoSubrayado"/>
      </w:pPr>
    </w:p>
    <w:p w:rsidR="00427CF1" w:rsidRDefault="00427CF1" w:rsidP="00427CF1">
      <w:pPr>
        <w:pStyle w:val="TextoNormalNegritaCursivandice"/>
      </w:pPr>
      <w:r>
        <w:t>Ley Orgánica 10/1982, de 10 de agosto. Estatuto de Autonomía de Canarias</w:t>
      </w:r>
    </w:p>
    <w:p w:rsidR="00427CF1" w:rsidRDefault="00427CF1" w:rsidP="00427CF1">
      <w:pPr>
        <w:pStyle w:val="SangriaFrancesaArticulo"/>
      </w:pPr>
      <w:r w:rsidRPr="00427CF1">
        <w:rPr>
          <w:rStyle w:val="TextoNormalNegritaCaracter"/>
        </w:rPr>
        <w:t>Artículo 45.</w:t>
      </w:r>
      <w:r w:rsidRPr="00427CF1">
        <w:rPr>
          <w:rStyle w:val="TextoNormalCaracter"/>
        </w:rPr>
        <w:t>-</w:t>
      </w:r>
      <w:r>
        <w:t xml:space="preserve"> Sentencia </w:t>
      </w:r>
      <w:hyperlink w:anchor="SENTENCIA_2016_217" w:history="1">
        <w:r w:rsidRPr="00427CF1">
          <w:rPr>
            <w:rStyle w:val="TextoNormalCaracter"/>
          </w:rPr>
          <w:t>217/2016</w:t>
        </w:r>
      </w:hyperlink>
      <w:r>
        <w:t>, f. 4.</w:t>
      </w:r>
    </w:p>
    <w:p w:rsidR="00427CF1" w:rsidRDefault="00427CF1" w:rsidP="00427CF1">
      <w:pPr>
        <w:pStyle w:val="TextoNormal"/>
      </w:pPr>
    </w:p>
    <w:p w:rsidR="00427CF1" w:rsidRDefault="00427CF1" w:rsidP="00427CF1">
      <w:pPr>
        <w:pStyle w:val="TextoNormalNegritaCentradoSubrayado"/>
        <w:suppressAutoHyphens/>
      </w:pPr>
      <w:r>
        <w:t>J.5.b)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del Parlamento de Canarias 8/1991, de 30 de abril.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del Parlamento de Canarias 2/2003, de 30 de enero. Vivienda de Canarias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4" w:history="1">
        <w:r w:rsidRPr="00427CF1">
          <w:rPr>
            <w:rStyle w:val="TextoNormalCaracter"/>
          </w:rPr>
          <w:t>144/2016</w:t>
        </w:r>
      </w:hyperlink>
      <w:r>
        <w:t>, VP.</w:t>
      </w:r>
    </w:p>
    <w:p w:rsidR="00427CF1" w:rsidRDefault="00427CF1" w:rsidP="00427CF1">
      <w:pPr>
        <w:pStyle w:val="SangriaFrancesaArticulo"/>
      </w:pPr>
    </w:p>
    <w:p w:rsidR="00427CF1" w:rsidRDefault="00427CF1" w:rsidP="00427CF1">
      <w:pPr>
        <w:pStyle w:val="TextoNormalNegritaCursivandice"/>
      </w:pPr>
      <w:r>
        <w:t>Ley del Parlamento de Canarias 2/2014, de 20 de junio. Modificación de la Ley 2/2003 de 30 de enero, de vivienda de Canarias y de medidas para garantizar el derecho a la vivienda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 1, VP; </w:t>
      </w:r>
      <w:hyperlink w:anchor="AUTO_2016_160" w:history="1">
        <w:r w:rsidRPr="00427CF1">
          <w:rPr>
            <w:rStyle w:val="TextoNormalCaracter"/>
          </w:rPr>
          <w:t>160/2016</w:t>
        </w:r>
      </w:hyperlink>
      <w:r>
        <w:t>, f. 1, VP.</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J.6) Cantabria</w:t>
      </w:r>
    </w:p>
    <w:p w:rsidR="00427CF1" w:rsidRDefault="00427CF1" w:rsidP="00427CF1">
      <w:pPr>
        <w:pStyle w:val="TextoNormal"/>
      </w:pPr>
    </w:p>
    <w:p w:rsidR="00427CF1" w:rsidRDefault="00427CF1" w:rsidP="00427CF1">
      <w:pPr>
        <w:pStyle w:val="TextoNormalNegritaCentradoSubrayado"/>
        <w:suppressAutoHyphens/>
      </w:pPr>
      <w:r>
        <w:t>J.6.a) Estatuto de Autonomía</w:t>
      </w:r>
    </w:p>
    <w:p w:rsidR="00427CF1" w:rsidRDefault="00427CF1" w:rsidP="00427CF1">
      <w:pPr>
        <w:pStyle w:val="TextoNormalNegritaCentradoSubrayado"/>
      </w:pPr>
    </w:p>
    <w:p w:rsidR="00427CF1" w:rsidRDefault="00427CF1" w:rsidP="00427CF1">
      <w:pPr>
        <w:pStyle w:val="TextoNormalNegritaCursivandice"/>
      </w:pPr>
      <w:r>
        <w:t>Ley Orgánica 8/1981, de 30 de diciembre. Estatuto de Autonomía de Cantabria</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TextoNormal"/>
      </w:pPr>
    </w:p>
    <w:p w:rsidR="00427CF1" w:rsidRDefault="00427CF1" w:rsidP="00427CF1">
      <w:pPr>
        <w:pStyle w:val="TextoNormalNegritaCentradoSubrayado"/>
        <w:suppressAutoHyphens/>
      </w:pPr>
      <w:r>
        <w:t>J.6.b)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 Asamblea Regional de Cantabria 3/1992, de 18 de marzo.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del Parlamento de Cantabria 2/2004, de 27 de septiembre. Plan de ordenación del litoral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2" w:history="1">
        <w:r w:rsidRPr="00427CF1">
          <w:rPr>
            <w:rStyle w:val="TextoNormalCaracter"/>
          </w:rPr>
          <w:t>152/2016</w:t>
        </w:r>
      </w:hyperlink>
      <w:r>
        <w:t>, f. 3.</w:t>
      </w:r>
    </w:p>
    <w:p w:rsidR="00427CF1" w:rsidRDefault="00427CF1" w:rsidP="00427CF1">
      <w:pPr>
        <w:pStyle w:val="SangriaFrancesaArticulo"/>
      </w:pPr>
    </w:p>
    <w:p w:rsidR="00427CF1" w:rsidRDefault="00427CF1" w:rsidP="00427CF1">
      <w:pPr>
        <w:pStyle w:val="TextoNormalNegritaCursivandice"/>
      </w:pPr>
      <w:r>
        <w:t>Ley del Parlamento de Cantabria 5/2009, de 28 de diciembre. Presupuestos Generales de la Comunidad Autónoma para el año 2010</w:t>
      </w:r>
    </w:p>
    <w:p w:rsidR="00427CF1" w:rsidRDefault="00427CF1" w:rsidP="00427CF1">
      <w:pPr>
        <w:pStyle w:val="SangriaFrancesaArticulo"/>
      </w:pPr>
      <w:r w:rsidRPr="00427CF1">
        <w:rPr>
          <w:rStyle w:val="TextoNormalNegritaCaracter"/>
        </w:rPr>
        <w:t>Artículo 27.4</w:t>
      </w:r>
      <w:r>
        <w:t xml:space="preserve"> (redactado por la Ley del Parlamento de Cantabria 5/2010, de 6 de julio)</w:t>
      </w:r>
      <w:r w:rsidRPr="00427CF1">
        <w:rPr>
          <w:rStyle w:val="TextoNormalNegritaCaracter"/>
        </w:rPr>
        <w:t>.</w:t>
      </w:r>
      <w:r w:rsidRPr="00427CF1">
        <w:rPr>
          <w:rStyle w:val="TextoNormalCaracter"/>
        </w:rPr>
        <w:t>-</w:t>
      </w:r>
      <w:r>
        <w:t xml:space="preserve"> Sentencia </w:t>
      </w:r>
      <w:hyperlink w:anchor="SENTENCIA_2016_164" w:history="1">
        <w:r w:rsidRPr="00427CF1">
          <w:rPr>
            <w:rStyle w:val="TextoNormalCaracter"/>
          </w:rPr>
          <w:t>164/2016</w:t>
        </w:r>
      </w:hyperlink>
      <w:r>
        <w:t>, f. 4.</w:t>
      </w:r>
    </w:p>
    <w:p w:rsidR="00427CF1" w:rsidRDefault="00427CF1" w:rsidP="00427CF1">
      <w:pPr>
        <w:pStyle w:val="SangriaFrancesaArticulo"/>
      </w:pPr>
      <w:r w:rsidRPr="00427CF1">
        <w:rPr>
          <w:rStyle w:val="TextoNormalNegritaCaracter"/>
        </w:rPr>
        <w:t>Artículo 42 bis</w:t>
      </w:r>
      <w:r>
        <w:t xml:space="preserve"> (redactado por la Ley del Parlamento de Cantabria 5/2010, de 6 de julio)</w:t>
      </w:r>
      <w:r w:rsidRPr="00427CF1">
        <w:rPr>
          <w:rStyle w:val="TextoNormalNegritaCaracter"/>
        </w:rPr>
        <w:t>.</w:t>
      </w:r>
      <w:r w:rsidRPr="00427CF1">
        <w:rPr>
          <w:rStyle w:val="TextoNormalCaracter"/>
        </w:rPr>
        <w:t>-</w:t>
      </w:r>
      <w:r>
        <w:t xml:space="preserve"> Sentencia </w:t>
      </w:r>
      <w:hyperlink w:anchor="SENTENCIA_2016_164" w:history="1">
        <w:r w:rsidRPr="00427CF1">
          <w:rPr>
            <w:rStyle w:val="TextoNormalCaracter"/>
          </w:rPr>
          <w:t>164/2016</w:t>
        </w:r>
      </w:hyperlink>
      <w:r>
        <w:t>, f. 5.</w:t>
      </w:r>
    </w:p>
    <w:p w:rsidR="00427CF1" w:rsidRDefault="00427CF1" w:rsidP="00427CF1">
      <w:pPr>
        <w:pStyle w:val="SangriaFrancesaArticulo"/>
      </w:pPr>
    </w:p>
    <w:p w:rsidR="00427CF1" w:rsidRDefault="00427CF1" w:rsidP="00427CF1">
      <w:pPr>
        <w:pStyle w:val="TextoNormalNegritaCursivandice"/>
      </w:pPr>
      <w:r>
        <w:t>Ley del Parlamento de Cantabria 5/2010, de 6 de julio. Modificación parcial de la Ley 5/2009, de 28 de diciembre, de presupuestos generales de la Comunidad Autónoma de Cantabria para el año 2010</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4" w:history="1">
        <w:r w:rsidRPr="00427CF1">
          <w:rPr>
            <w:rStyle w:val="TextoNormalCaracter"/>
          </w:rPr>
          <w:t>164/2016</w:t>
        </w:r>
      </w:hyperlink>
      <w:r>
        <w:t>, f. 5.</w:t>
      </w:r>
    </w:p>
    <w:p w:rsidR="00427CF1" w:rsidRDefault="00427CF1" w:rsidP="00427CF1">
      <w:pPr>
        <w:pStyle w:val="SangriaFrancesaArticulo"/>
      </w:pPr>
      <w:r w:rsidRPr="00427CF1">
        <w:rPr>
          <w:rStyle w:val="TextoNormalNegritaCaracter"/>
        </w:rPr>
        <w:t>Artículo 2.5.</w:t>
      </w:r>
      <w:r w:rsidRPr="00427CF1">
        <w:rPr>
          <w:rStyle w:val="TextoNormalCaracter"/>
        </w:rPr>
        <w:t>-</w:t>
      </w:r>
      <w:r>
        <w:t xml:space="preserve"> Sentencia </w:t>
      </w:r>
      <w:hyperlink w:anchor="SENTENCIA_2016_164" w:history="1">
        <w:r w:rsidRPr="00427CF1">
          <w:rPr>
            <w:rStyle w:val="TextoNormalCaracter"/>
          </w:rPr>
          <w:t>164/2016</w:t>
        </w:r>
      </w:hyperlink>
      <w:r>
        <w:t>, f. 4.</w:t>
      </w:r>
    </w:p>
    <w:p w:rsidR="00427CF1" w:rsidRDefault="00427CF1" w:rsidP="00427CF1">
      <w:pPr>
        <w:pStyle w:val="SangriaFrancesaArticulo"/>
      </w:pPr>
      <w:r w:rsidRPr="00427CF1">
        <w:rPr>
          <w:rStyle w:val="TextoNormalNegritaCaracter"/>
        </w:rPr>
        <w:t>Artículo 2.13.</w:t>
      </w:r>
      <w:r w:rsidRPr="00427CF1">
        <w:rPr>
          <w:rStyle w:val="TextoNormalCaracter"/>
        </w:rPr>
        <w:t>-</w:t>
      </w:r>
      <w:r>
        <w:t xml:space="preserve"> Sentencia </w:t>
      </w:r>
      <w:hyperlink w:anchor="SENTENCIA_2016_164" w:history="1">
        <w:r w:rsidRPr="00427CF1">
          <w:rPr>
            <w:rStyle w:val="TextoNormalCaracter"/>
          </w:rPr>
          <w:t>164/2016</w:t>
        </w:r>
      </w:hyperlink>
      <w:r>
        <w:t>, f. 5.</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J.7) Castilla-La Mancha</w:t>
      </w:r>
    </w:p>
    <w:p w:rsidR="00427CF1" w:rsidRDefault="00427CF1" w:rsidP="00427CF1">
      <w:pPr>
        <w:pStyle w:val="TextoNormal"/>
      </w:pPr>
    </w:p>
    <w:p w:rsidR="00427CF1" w:rsidRDefault="00427CF1" w:rsidP="00427CF1">
      <w:pPr>
        <w:pStyle w:val="TextoNormalNegritaCentradoSubrayado"/>
        <w:suppressAutoHyphens/>
      </w:pPr>
      <w:r>
        <w:t>J.7.a) Estatuto de Autonomía</w:t>
      </w:r>
    </w:p>
    <w:p w:rsidR="00427CF1" w:rsidRDefault="00427CF1" w:rsidP="00427CF1">
      <w:pPr>
        <w:pStyle w:val="TextoNormalNegritaCentradoSubrayado"/>
      </w:pPr>
    </w:p>
    <w:p w:rsidR="00427CF1" w:rsidRDefault="00427CF1" w:rsidP="00427CF1">
      <w:pPr>
        <w:pStyle w:val="TextoNormalNegritaCursivandice"/>
      </w:pPr>
      <w:r>
        <w:t>Ley Orgánica 9/1982, de 10 de agosto. Estatuto de Autonomía de Castilla-La Mancha</w:t>
      </w:r>
    </w:p>
    <w:p w:rsidR="00427CF1" w:rsidRDefault="00427CF1" w:rsidP="00427CF1">
      <w:pPr>
        <w:pStyle w:val="SangriaFrancesaArticulo"/>
      </w:pPr>
      <w:r w:rsidRPr="00427CF1">
        <w:rPr>
          <w:rStyle w:val="TextoNormalNegritaCaracter"/>
        </w:rPr>
        <w:t>Artículo 29.2 a).</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31.1.1.</w:t>
      </w:r>
      <w:r w:rsidRPr="00427CF1">
        <w:rPr>
          <w:rStyle w:val="TextoNormalCaracter"/>
        </w:rPr>
        <w:t>-</w:t>
      </w:r>
      <w:r>
        <w:t xml:space="preserve"> Sentencia </w:t>
      </w:r>
      <w:hyperlink w:anchor="SENTENCIA_2016_158" w:history="1">
        <w:r w:rsidRPr="00427CF1">
          <w:rPr>
            <w:rStyle w:val="TextoNormalCaracter"/>
          </w:rPr>
          <w:t>158/2016</w:t>
        </w:r>
      </w:hyperlink>
      <w:r>
        <w:t>, ff. 1, 5, 6.</w:t>
      </w:r>
    </w:p>
    <w:p w:rsidR="00427CF1" w:rsidRDefault="00427CF1" w:rsidP="00427CF1">
      <w:pPr>
        <w:pStyle w:val="SangriaFrancesaArticulo"/>
      </w:pPr>
      <w:r w:rsidRPr="00427CF1">
        <w:rPr>
          <w:rStyle w:val="TextoNormalNegritaCaracter"/>
        </w:rPr>
        <w:t>Artículo 31.1.8.</w:t>
      </w:r>
      <w:r w:rsidRPr="00427CF1">
        <w:rPr>
          <w:rStyle w:val="TextoNormalCaracter"/>
        </w:rPr>
        <w:t>-</w:t>
      </w:r>
      <w:r>
        <w:t xml:space="preserve"> Sentencia </w:t>
      </w:r>
      <w:hyperlink w:anchor="SENTENCIA_2016_216" w:history="1">
        <w:r w:rsidRPr="00427CF1">
          <w:rPr>
            <w:rStyle w:val="TextoNormalCaracter"/>
          </w:rPr>
          <w:t>216/2016</w:t>
        </w:r>
      </w:hyperlink>
      <w:r>
        <w:t>, f. 5.</w:t>
      </w:r>
    </w:p>
    <w:p w:rsidR="00427CF1" w:rsidRDefault="00427CF1" w:rsidP="00427CF1">
      <w:pPr>
        <w:pStyle w:val="SangriaFrancesaArticulo"/>
      </w:pPr>
      <w:r w:rsidRPr="00427CF1">
        <w:rPr>
          <w:rStyle w:val="TextoNormalNegritaCaracter"/>
        </w:rPr>
        <w:t>Artículo 31.1.12.</w:t>
      </w:r>
      <w:r w:rsidRPr="00427CF1">
        <w:rPr>
          <w:rStyle w:val="TextoNormalCaracter"/>
        </w:rPr>
        <w:t>-</w:t>
      </w:r>
      <w:r>
        <w:t xml:space="preserve"> Auto </w:t>
      </w:r>
      <w:hyperlink w:anchor="AUTO_2016_145" w:history="1">
        <w:r w:rsidRPr="00427CF1">
          <w:rPr>
            <w:rStyle w:val="TextoNormalCaracter"/>
          </w:rPr>
          <w:t>145/2016</w:t>
        </w:r>
      </w:hyperlink>
      <w:r>
        <w:t>, f. 4.</w:t>
      </w:r>
    </w:p>
    <w:p w:rsidR="00427CF1" w:rsidRDefault="00427CF1" w:rsidP="00427CF1">
      <w:pPr>
        <w:pStyle w:val="SangriaFrancesaArticulo"/>
      </w:pPr>
      <w:r w:rsidRPr="00427CF1">
        <w:rPr>
          <w:rStyle w:val="TextoNormalNegritaCaracter"/>
        </w:rPr>
        <w:t>Artículo 39.3.</w:t>
      </w:r>
      <w:r w:rsidRPr="00427CF1">
        <w:rPr>
          <w:rStyle w:val="TextoNormalCaracter"/>
        </w:rPr>
        <w:t>-</w:t>
      </w:r>
      <w:r>
        <w:t xml:space="preserve"> Sentencia </w:t>
      </w:r>
      <w:hyperlink w:anchor="SENTENCIA_2016_158" w:history="1">
        <w:r w:rsidRPr="00427CF1">
          <w:rPr>
            <w:rStyle w:val="TextoNormalCaracter"/>
          </w:rPr>
          <w:t>158/2016</w:t>
        </w:r>
      </w:hyperlink>
      <w:r>
        <w:t>, ff. 1, 5, 6.</w:t>
      </w:r>
    </w:p>
    <w:p w:rsidR="00427CF1" w:rsidRDefault="00427CF1" w:rsidP="00427CF1">
      <w:pPr>
        <w:pStyle w:val="TextoNormal"/>
      </w:pPr>
    </w:p>
    <w:p w:rsidR="00427CF1" w:rsidRDefault="00427CF1" w:rsidP="00427CF1">
      <w:pPr>
        <w:pStyle w:val="TextoNormalNegritaCentradoSubrayado"/>
        <w:suppressAutoHyphens/>
      </w:pPr>
      <w:r>
        <w:t>J.7.b)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las Cortes de Castilla-La Mancha 7/1990, de 28 de diciembre. Protección de los animales domésticos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 las Cortes de Castilla-La Mancha 4/2011, de 10 de marzo. Empleo público de Castilla-La Mancha</w:t>
      </w:r>
    </w:p>
    <w:p w:rsidR="00427CF1" w:rsidRDefault="00427CF1" w:rsidP="00427CF1">
      <w:pPr>
        <w:pStyle w:val="SangriaFrancesaArticulo"/>
      </w:pPr>
      <w:r w:rsidRPr="00427CF1">
        <w:rPr>
          <w:rStyle w:val="TextoNormalNegritaCaracter"/>
        </w:rPr>
        <w:t>Artículo 94.1.</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r w:rsidRPr="00427CF1">
        <w:rPr>
          <w:rStyle w:val="TextoNormalNegritaCaracter"/>
        </w:rPr>
        <w:t>Artículos 102 a 104.</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r w:rsidRPr="00427CF1">
        <w:rPr>
          <w:rStyle w:val="TextoNormalNegritaCaracter"/>
        </w:rPr>
        <w:t>Disposición adicional séptima.</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p>
    <w:p w:rsidR="00427CF1" w:rsidRDefault="00427CF1" w:rsidP="00427CF1">
      <w:pPr>
        <w:pStyle w:val="TextoNormalNegritaCursivandice"/>
      </w:pPr>
      <w:r>
        <w:t>Ley de las Cortes de Castilla-La Mancha 9/2011, de 21 de marzo. Crea el canon eólico y el fondo para el desarrollo tecnológico de las energías renovables y el uso racional de la energía en Castilla-La Mancha</w:t>
      </w:r>
    </w:p>
    <w:p w:rsidR="00427CF1" w:rsidRDefault="00427CF1" w:rsidP="00427CF1">
      <w:pPr>
        <w:pStyle w:val="SangriaFrancesaArticulo"/>
      </w:pPr>
      <w:r w:rsidRPr="00427CF1">
        <w:rPr>
          <w:rStyle w:val="TextoNormalNegritaCaracter"/>
        </w:rPr>
        <w:t>Capítulo I.</w:t>
      </w:r>
      <w:r w:rsidRPr="00427CF1">
        <w:rPr>
          <w:rStyle w:val="TextoNormalCaracter"/>
        </w:rPr>
        <w:t>-</w:t>
      </w:r>
      <w:r>
        <w:t xml:space="preserve"> Auto </w:t>
      </w:r>
      <w:hyperlink w:anchor="AUTO_2016_183" w:history="1">
        <w:r w:rsidRPr="00427CF1">
          <w:rPr>
            <w:rStyle w:val="TextoNormalCaracter"/>
          </w:rPr>
          <w:t>183/2016</w:t>
        </w:r>
      </w:hyperlink>
      <w:r>
        <w:t>, ff. 1, 2.</w:t>
      </w:r>
    </w:p>
    <w:p w:rsidR="00427CF1" w:rsidRDefault="00427CF1" w:rsidP="00427CF1">
      <w:pPr>
        <w:pStyle w:val="SangriaFrancesaArticulo"/>
      </w:pPr>
      <w:r w:rsidRPr="00427CF1">
        <w:rPr>
          <w:rStyle w:val="TextoNormalNegritaCaracter"/>
        </w:rPr>
        <w:t>Capitulo I.</w:t>
      </w:r>
      <w:r w:rsidRPr="00427CF1">
        <w:rPr>
          <w:rStyle w:val="TextoNormalCaracter"/>
        </w:rPr>
        <w:t>-</w:t>
      </w:r>
      <w:r>
        <w:t xml:space="preserve"> Auto </w:t>
      </w:r>
      <w:hyperlink w:anchor="AUTO_2016_185" w:history="1">
        <w:r w:rsidRPr="00427CF1">
          <w:rPr>
            <w:rStyle w:val="TextoNormalCaracter"/>
          </w:rPr>
          <w:t>185/2016</w:t>
        </w:r>
      </w:hyperlink>
      <w:r>
        <w:t>, ff. 1, 3.</w:t>
      </w:r>
    </w:p>
    <w:p w:rsidR="00427CF1" w:rsidRDefault="00427CF1" w:rsidP="00427CF1">
      <w:pPr>
        <w:pStyle w:val="SangriaFrancesaArticulo"/>
      </w:pPr>
      <w:r w:rsidRPr="00427CF1">
        <w:rPr>
          <w:rStyle w:val="TextoNormalNegritaCaracter"/>
        </w:rPr>
        <w:t>Capítulo II.</w:t>
      </w:r>
      <w:r w:rsidRPr="00427CF1">
        <w:rPr>
          <w:rStyle w:val="TextoNormalCaracter"/>
        </w:rPr>
        <w:t>-</w:t>
      </w:r>
      <w:r>
        <w:t xml:space="preserve"> Autos </w:t>
      </w:r>
      <w:hyperlink w:anchor="AUTO_2016_183" w:history="1">
        <w:r w:rsidRPr="00427CF1">
          <w:rPr>
            <w:rStyle w:val="TextoNormalCaracter"/>
          </w:rPr>
          <w:t>183/2016</w:t>
        </w:r>
      </w:hyperlink>
      <w:r>
        <w:t xml:space="preserve">, ff. 1, 2; </w:t>
      </w:r>
      <w:hyperlink w:anchor="AUTO_2016_185" w:history="1">
        <w:r w:rsidRPr="00427CF1">
          <w:rPr>
            <w:rStyle w:val="TextoNormalCaracter"/>
          </w:rPr>
          <w:t>185/2016</w:t>
        </w:r>
      </w:hyperlink>
      <w:r>
        <w:t>, ff. 1,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Autos </w:t>
      </w:r>
      <w:hyperlink w:anchor="AUTO_2016_183" w:history="1">
        <w:r w:rsidRPr="00427CF1">
          <w:rPr>
            <w:rStyle w:val="TextoNormalCaracter"/>
          </w:rPr>
          <w:t>183/2016</w:t>
        </w:r>
      </w:hyperlink>
      <w:r>
        <w:t xml:space="preserve">, ff. 1,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Artículos 2 a 14.</w:t>
      </w:r>
      <w:r w:rsidRPr="00427CF1">
        <w:rPr>
          <w:rStyle w:val="TextoNormalCaracter"/>
        </w:rPr>
        <w:t>-</w:t>
      </w:r>
      <w:r>
        <w:t xml:space="preserve"> Auto </w:t>
      </w:r>
      <w:hyperlink w:anchor="AUTO_2016_183" w:history="1">
        <w:r w:rsidRPr="00427CF1">
          <w:rPr>
            <w:rStyle w:val="TextoNormalCaracter"/>
          </w:rPr>
          <w:t>183/2016</w:t>
        </w:r>
      </w:hyperlink>
      <w:r>
        <w:t>, f. 1.</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Autos </w:t>
      </w:r>
      <w:hyperlink w:anchor="AUTO_2016_183" w:history="1">
        <w:r w:rsidRPr="00427CF1">
          <w:rPr>
            <w:rStyle w:val="TextoNormalCaracter"/>
          </w:rPr>
          <w:t>183/2016</w:t>
        </w:r>
      </w:hyperlink>
      <w:r>
        <w:t xml:space="preserve">, f. 5, 6; </w:t>
      </w:r>
      <w:hyperlink w:anchor="AUTO_2016_185" w:history="1">
        <w:r w:rsidRPr="00427CF1">
          <w:rPr>
            <w:rStyle w:val="TextoNormalCaracter"/>
          </w:rPr>
          <w:t>185/2016</w:t>
        </w:r>
      </w:hyperlink>
      <w:r>
        <w:t>, ff. 5, 6.</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Autos </w:t>
      </w:r>
      <w:hyperlink w:anchor="AUTO_2016_183" w:history="1">
        <w:r w:rsidRPr="00427CF1">
          <w:rPr>
            <w:rStyle w:val="TextoNormalCaracter"/>
          </w:rPr>
          <w:t>183/2016</w:t>
        </w:r>
      </w:hyperlink>
      <w:r>
        <w:t xml:space="preserve">, f. 5; </w:t>
      </w:r>
      <w:hyperlink w:anchor="AUTO_2016_185" w:history="1">
        <w:r w:rsidRPr="00427CF1">
          <w:rPr>
            <w:rStyle w:val="TextoNormalCaracter"/>
          </w:rPr>
          <w:t>185/2016</w:t>
        </w:r>
      </w:hyperlink>
      <w:r>
        <w:t>, f. 5.</w:t>
      </w:r>
    </w:p>
    <w:p w:rsidR="00427CF1" w:rsidRDefault="00427CF1" w:rsidP="00427CF1">
      <w:pPr>
        <w:pStyle w:val="SangriaFrancesaArticulo"/>
      </w:pPr>
      <w:r w:rsidRPr="00427CF1">
        <w:rPr>
          <w:rStyle w:val="TextoNormalNegritaCaracter"/>
        </w:rPr>
        <w:t>Artículo 85.1.</w:t>
      </w:r>
      <w:r w:rsidRPr="00427CF1">
        <w:rPr>
          <w:rStyle w:val="TextoNormalCaracter"/>
        </w:rPr>
        <w:t>-</w:t>
      </w:r>
      <w:r>
        <w:t xml:space="preserve"> Auto </w:t>
      </w:r>
      <w:hyperlink w:anchor="AUTO_2016_185" w:history="1">
        <w:r w:rsidRPr="00427CF1">
          <w:rPr>
            <w:rStyle w:val="TextoNormalCaracter"/>
          </w:rPr>
          <w:t>185/2016</w:t>
        </w:r>
      </w:hyperlink>
      <w:r>
        <w:t>, f. 5.</w:t>
      </w:r>
    </w:p>
    <w:p w:rsidR="00427CF1" w:rsidRDefault="00427CF1" w:rsidP="00427CF1">
      <w:pPr>
        <w:pStyle w:val="SangriaFrancesaArticulo"/>
      </w:pPr>
    </w:p>
    <w:p w:rsidR="00427CF1" w:rsidRDefault="00427CF1" w:rsidP="00427CF1">
      <w:pPr>
        <w:pStyle w:val="TextoNormalNegritaCursivandice"/>
      </w:pPr>
      <w:r>
        <w:t>Ley de las Cortes de Castilla-La Mancha 1/2012, de 21 de febrero. Medidas complementarias para la aplicación del plan de garantías de servicios sociales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5" w:history="1">
        <w:r w:rsidRPr="00427CF1">
          <w:rPr>
            <w:rStyle w:val="TextoNormalCaracter"/>
          </w:rPr>
          <w:t>145/2016</w:t>
        </w:r>
      </w:hyperlink>
      <w:r>
        <w:t>, ff. 3, 4.</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r w:rsidRPr="00427CF1">
        <w:rPr>
          <w:rStyle w:val="TextoNormalNegritaCaracter"/>
        </w:rPr>
        <w:t>Artículo 20.3.</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r w:rsidRPr="00427CF1">
        <w:rPr>
          <w:rStyle w:val="TextoNormalNegritaCaracter"/>
        </w:rPr>
        <w:t>Artículo 20.9.</w:t>
      </w:r>
      <w:r w:rsidRPr="00427CF1">
        <w:rPr>
          <w:rStyle w:val="TextoNormalCaracter"/>
        </w:rPr>
        <w:t>-</w:t>
      </w:r>
      <w:r>
        <w:t xml:space="preserve"> Auto </w:t>
      </w:r>
      <w:hyperlink w:anchor="AUTO_2016_145" w:history="1">
        <w:r w:rsidRPr="00427CF1">
          <w:rPr>
            <w:rStyle w:val="TextoNormalCaracter"/>
          </w:rPr>
          <w:t>145/2016</w:t>
        </w:r>
      </w:hyperlink>
      <w:r>
        <w:t>, f. 1.</w:t>
      </w:r>
    </w:p>
    <w:p w:rsidR="00427CF1" w:rsidRDefault="00427CF1" w:rsidP="00427CF1">
      <w:pPr>
        <w:pStyle w:val="SangriaFrancesaArticulo"/>
      </w:pPr>
    </w:p>
    <w:p w:rsidR="00427CF1" w:rsidRDefault="00427CF1" w:rsidP="00427CF1">
      <w:pPr>
        <w:pStyle w:val="TextoNormalNegritaCursivandice"/>
      </w:pPr>
      <w:r>
        <w:t>Ley de las Cortes de Castilla-La Mancha 7/2015, de 2 de diciembre.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8" w:history="1">
        <w:r w:rsidRPr="00427CF1">
          <w:rPr>
            <w:rStyle w:val="TextoNormalCaracter"/>
          </w:rPr>
          <w:t>158/2016</w:t>
        </w:r>
      </w:hyperlink>
      <w:r>
        <w:t>, ff. 1, 4 a 7.</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1.2.1 a).</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1.2.1 b).</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1.2.1 c).</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1.2.3.</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1.2.4.</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1.2.5.</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58" w:history="1">
        <w:r w:rsidRPr="00427CF1">
          <w:rPr>
            <w:rStyle w:val="TextoNormalCaracter"/>
          </w:rPr>
          <w:t>158/2016</w:t>
        </w:r>
      </w:hyperlink>
      <w:r>
        <w:t>, f. 6.</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J.8) Castilla y León</w:t>
      </w:r>
    </w:p>
    <w:p w:rsidR="00427CF1" w:rsidRDefault="00427CF1" w:rsidP="00427CF1">
      <w:pPr>
        <w:pStyle w:val="TextoNormal"/>
      </w:pPr>
    </w:p>
    <w:p w:rsidR="00427CF1" w:rsidRDefault="00427CF1" w:rsidP="00427CF1">
      <w:pPr>
        <w:pStyle w:val="TextoNormalNegritaCentradoSubrayado"/>
        <w:suppressAutoHyphens/>
      </w:pPr>
      <w:r>
        <w:t>J.8.a) Estatuto de Autonomía</w:t>
      </w:r>
    </w:p>
    <w:p w:rsidR="00427CF1" w:rsidRDefault="00427CF1" w:rsidP="00427CF1">
      <w:pPr>
        <w:pStyle w:val="TextoNormalNegritaCentradoSubrayado"/>
      </w:pPr>
    </w:p>
    <w:p w:rsidR="00427CF1" w:rsidRDefault="00427CF1" w:rsidP="00427CF1">
      <w:pPr>
        <w:pStyle w:val="TextoNormalNegritaCursivandice"/>
      </w:pPr>
      <w:r>
        <w:t>Ley Orgánica 14/2007, de 30 de noviembre. Reforma del Estatuto de Autonomía de Castilla y León</w:t>
      </w:r>
    </w:p>
    <w:p w:rsidR="00427CF1" w:rsidRDefault="00427CF1" w:rsidP="00427CF1">
      <w:pPr>
        <w:pStyle w:val="SangriaFrancesaArticulo"/>
      </w:pPr>
      <w:r w:rsidRPr="00427CF1">
        <w:rPr>
          <w:rStyle w:val="TextoNormalNegritaCaracter"/>
        </w:rPr>
        <w:t>Artículo 24.14.</w:t>
      </w:r>
      <w:r w:rsidRPr="00427CF1">
        <w:rPr>
          <w:rStyle w:val="TextoNormalCaracter"/>
        </w:rPr>
        <w:t>-</w:t>
      </w:r>
      <w:r>
        <w:t xml:space="preserve"> Auto </w:t>
      </w:r>
      <w:hyperlink w:anchor="AUTO_2016_206" w:history="1">
        <w:r w:rsidRPr="00427CF1">
          <w:rPr>
            <w:rStyle w:val="TextoNormalCaracter"/>
          </w:rPr>
          <w:t>206/2016</w:t>
        </w:r>
      </w:hyperlink>
      <w:r>
        <w:t>, f. 5.</w:t>
      </w:r>
    </w:p>
    <w:p w:rsidR="00427CF1" w:rsidRDefault="00427CF1" w:rsidP="00427CF1">
      <w:pPr>
        <w:pStyle w:val="SangriaFrancesaArticulo"/>
      </w:pPr>
      <w:r w:rsidRPr="00427CF1">
        <w:rPr>
          <w:rStyle w:val="TextoNormalNegritaCaracter"/>
        </w:rPr>
        <w:t>Artículo 25.4.</w:t>
      </w:r>
      <w:r w:rsidRPr="00427CF1">
        <w:rPr>
          <w:rStyle w:val="TextoNormalCaracter"/>
        </w:rPr>
        <w:t>-</w:t>
      </w:r>
      <w:r>
        <w:t xml:space="preserve"> Auto </w:t>
      </w:r>
      <w:hyperlink w:anchor="AUTO_2016_206" w:history="1">
        <w:r w:rsidRPr="00427CF1">
          <w:rPr>
            <w:rStyle w:val="TextoNormalCaracter"/>
          </w:rPr>
          <w:t>206/2016</w:t>
        </w:r>
      </w:hyperlink>
      <w:r>
        <w:t>, f. 5.</w:t>
      </w:r>
    </w:p>
    <w:p w:rsidR="00427CF1" w:rsidRDefault="00427CF1" w:rsidP="00427CF1">
      <w:pPr>
        <w:pStyle w:val="SangriaFrancesaArticulo"/>
      </w:pPr>
      <w:r w:rsidRPr="00427CF1">
        <w:rPr>
          <w:rStyle w:val="TextoNormalNegritaCaracter"/>
        </w:rPr>
        <w:t>Artículo 46.</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70.1.31 f).</w:t>
      </w:r>
      <w:r w:rsidRPr="00427CF1">
        <w:rPr>
          <w:rStyle w:val="TextoNormalCaracter"/>
        </w:rPr>
        <w:t>-</w:t>
      </w:r>
      <w:r>
        <w:t xml:space="preserve"> Auto </w:t>
      </w:r>
      <w:hyperlink w:anchor="AUTO_2016_206" w:history="1">
        <w:r w:rsidRPr="00427CF1">
          <w:rPr>
            <w:rStyle w:val="TextoNormalCaracter"/>
          </w:rPr>
          <w:t>206/2016</w:t>
        </w:r>
      </w:hyperlink>
      <w:r>
        <w:t>, f. 4.</w:t>
      </w:r>
    </w:p>
    <w:p w:rsidR="00427CF1" w:rsidRDefault="00427CF1" w:rsidP="00427CF1">
      <w:pPr>
        <w:pStyle w:val="SangriaFrancesaArticulo"/>
      </w:pPr>
      <w:r w:rsidRPr="00427CF1">
        <w:rPr>
          <w:rStyle w:val="TextoNormalNegritaCaracter"/>
        </w:rPr>
        <w:t>Artículo 70.1.32.</w:t>
      </w:r>
      <w:r w:rsidRPr="00427CF1">
        <w:rPr>
          <w:rStyle w:val="TextoNormalCaracter"/>
        </w:rPr>
        <w:t>-</w:t>
      </w:r>
      <w:r>
        <w:t xml:space="preserve"> Auto </w:t>
      </w:r>
      <w:hyperlink w:anchor="AUTO_2016_206" w:history="1">
        <w:r w:rsidRPr="00427CF1">
          <w:rPr>
            <w:rStyle w:val="TextoNormalCaracter"/>
          </w:rPr>
          <w:t>206/2016</w:t>
        </w:r>
      </w:hyperlink>
      <w:r>
        <w:t>, f. 4.</w:t>
      </w:r>
    </w:p>
    <w:p w:rsidR="00427CF1" w:rsidRDefault="00427CF1" w:rsidP="00427CF1">
      <w:pPr>
        <w:pStyle w:val="TextoNormal"/>
      </w:pPr>
    </w:p>
    <w:p w:rsidR="00427CF1" w:rsidRDefault="00427CF1" w:rsidP="00427CF1">
      <w:pPr>
        <w:pStyle w:val="TextoNormalNegritaCentradoSubrayado"/>
        <w:suppressAutoHyphens/>
      </w:pPr>
      <w:r>
        <w:t>J.8.b)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las Cortes de Castilla y León 5/1997, de 24 de abril. Protección de los animales de compañía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 las Cortes de Castilla y León 1/1998, de 4 de junio. Régimen Local</w:t>
      </w:r>
    </w:p>
    <w:p w:rsidR="00427CF1" w:rsidRDefault="00427CF1" w:rsidP="00427CF1">
      <w:pPr>
        <w:pStyle w:val="SangriaFrancesaArticulo"/>
      </w:pPr>
      <w:r w:rsidRPr="00427CF1">
        <w:rPr>
          <w:rStyle w:val="TextoNormalNegritaCaracter"/>
        </w:rPr>
        <w:t>Artículo 20 o).</w:t>
      </w:r>
      <w:r w:rsidRPr="00427CF1">
        <w:rPr>
          <w:rStyle w:val="TextoNormalCaracter"/>
        </w:rPr>
        <w:t>-</w:t>
      </w:r>
      <w:r>
        <w:t xml:space="preserve"> Auto </w:t>
      </w:r>
      <w:hyperlink w:anchor="AUTO_2016_206" w:history="1">
        <w:r w:rsidRPr="00427CF1">
          <w:rPr>
            <w:rStyle w:val="TextoNormalCaracter"/>
          </w:rPr>
          <w:t>206/2016</w:t>
        </w:r>
      </w:hyperlink>
      <w:r>
        <w:t>, f. 4.</w:t>
      </w:r>
    </w:p>
    <w:p w:rsidR="00427CF1" w:rsidRDefault="00427CF1" w:rsidP="00427CF1">
      <w:pPr>
        <w:pStyle w:val="SangriaFrancesaArticulo"/>
      </w:pPr>
      <w:r w:rsidRPr="00427CF1">
        <w:rPr>
          <w:rStyle w:val="TextoNormalNegritaCaracter"/>
        </w:rPr>
        <w:t>Artículo 20 q).</w:t>
      </w:r>
      <w:r w:rsidRPr="00427CF1">
        <w:rPr>
          <w:rStyle w:val="TextoNormalCaracter"/>
        </w:rPr>
        <w:t>-</w:t>
      </w:r>
      <w:r>
        <w:t xml:space="preserve"> Auto </w:t>
      </w:r>
      <w:hyperlink w:anchor="AUTO_2016_206" w:history="1">
        <w:r w:rsidRPr="00427CF1">
          <w:rPr>
            <w:rStyle w:val="TextoNormalCaracter"/>
          </w:rPr>
          <w:t>206/2016</w:t>
        </w:r>
      </w:hyperlink>
      <w:r>
        <w:t>, f. 4.</w:t>
      </w:r>
    </w:p>
    <w:p w:rsidR="00427CF1" w:rsidRDefault="00427CF1" w:rsidP="00427CF1">
      <w:pPr>
        <w:pStyle w:val="SangriaFrancesaArticulo"/>
      </w:pPr>
    </w:p>
    <w:p w:rsidR="00427CF1" w:rsidRDefault="00427CF1" w:rsidP="00427CF1">
      <w:pPr>
        <w:pStyle w:val="TextoNormalNegritaCursivandice"/>
      </w:pPr>
      <w:r>
        <w:t>Decreto-ley de la Junta de Castilla y León 1/2012, de 16 de agosto. Establece medidas urgentes para garantizar la estabilidad presupuestaria</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SangriaFrancesaArticulo"/>
      </w:pPr>
    </w:p>
    <w:p w:rsidR="00427CF1" w:rsidRDefault="00427CF1" w:rsidP="00427CF1">
      <w:pPr>
        <w:pStyle w:val="TextoNormalNegritaCursivandice"/>
      </w:pPr>
      <w:r>
        <w:t>Decreto-ley de la Junta de Castilla y León 2/2016, de 19 de mayo. Prohíbe la muerte de las reses de lidia en presencia del público en los espectáculos taurinos populares y tradicionales en Castilla y León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206" w:history="1">
        <w:r w:rsidRPr="00427CF1">
          <w:rPr>
            <w:rStyle w:val="TextoNormalCaracter"/>
          </w:rPr>
          <w:t>206/2016</w:t>
        </w:r>
      </w:hyperlink>
      <w:r>
        <w:t>, ff. 1, 3, 5.</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Auto </w:t>
      </w:r>
      <w:hyperlink w:anchor="AUTO_2016_206" w:history="1">
        <w:r w:rsidRPr="00427CF1">
          <w:rPr>
            <w:rStyle w:val="TextoNormalCaracter"/>
          </w:rPr>
          <w:t>206/2016</w:t>
        </w:r>
      </w:hyperlink>
      <w:r>
        <w:t>, f. 4.</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Disposición adicional.</w:t>
      </w:r>
      <w:r w:rsidRPr="00427CF1">
        <w:rPr>
          <w:rStyle w:val="TextoNormalCaracter"/>
        </w:rPr>
        <w:t>-</w:t>
      </w:r>
      <w:r>
        <w:t xml:space="preserve"> Auto </w:t>
      </w:r>
      <w:hyperlink w:anchor="AUTO_2016_206" w:history="1">
        <w:r w:rsidRPr="00427CF1">
          <w:rPr>
            <w:rStyle w:val="TextoNormalCaracter"/>
          </w:rPr>
          <w:t>206/2016</w:t>
        </w:r>
      </w:hyperlink>
      <w:r>
        <w:t>, ff. 1, 3.</w:t>
      </w:r>
    </w:p>
    <w:p w:rsidR="00427CF1" w:rsidRDefault="00427CF1" w:rsidP="00427CF1">
      <w:pPr>
        <w:pStyle w:val="SangriaFrancesaArticulo"/>
      </w:pPr>
      <w:r w:rsidRPr="00427CF1">
        <w:rPr>
          <w:rStyle w:val="TextoNormalNegritaCaracter"/>
        </w:rPr>
        <w:t>Disposición adicional única, apartado 2.</w:t>
      </w:r>
      <w:r w:rsidRPr="00427CF1">
        <w:rPr>
          <w:rStyle w:val="TextoNormalCaracter"/>
        </w:rPr>
        <w:t>-</w:t>
      </w:r>
      <w:r>
        <w:t xml:space="preserve"> Auto </w:t>
      </w:r>
      <w:hyperlink w:anchor="AUTO_2016_206" w:history="1">
        <w:r w:rsidRPr="00427CF1">
          <w:rPr>
            <w:rStyle w:val="TextoNormalCaracter"/>
          </w:rPr>
          <w:t>206/2016</w:t>
        </w:r>
      </w:hyperlink>
      <w:r>
        <w:t>, f. 5.</w:t>
      </w:r>
    </w:p>
    <w:p w:rsidR="00427CF1" w:rsidRDefault="00427CF1" w:rsidP="00427CF1">
      <w:pPr>
        <w:pStyle w:val="SangriaFrancesaArticulo"/>
      </w:pPr>
      <w:r w:rsidRPr="00427CF1">
        <w:rPr>
          <w:rStyle w:val="TextoNormalNegritaCaracter"/>
        </w:rPr>
        <w:t>Disposición derogatoria.</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r w:rsidRPr="00427CF1">
        <w:rPr>
          <w:rStyle w:val="TextoNormalNegritaCaracter"/>
        </w:rPr>
        <w:t>Disposición final.</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TextoNormal"/>
      </w:pPr>
    </w:p>
    <w:p w:rsidR="00427CF1" w:rsidRDefault="00427CF1" w:rsidP="00427CF1">
      <w:pPr>
        <w:pStyle w:val="TextoNormalNegritaCentradoSubrayado"/>
        <w:suppressAutoHyphens/>
      </w:pPr>
      <w:r>
        <w:t>J.8.c) Decretos y otras disposiciones reglamentarias</w:t>
      </w:r>
    </w:p>
    <w:p w:rsidR="00427CF1" w:rsidRDefault="00427CF1" w:rsidP="00427CF1">
      <w:pPr>
        <w:pStyle w:val="TextoNormalNegritaCentradoSubrayado"/>
      </w:pPr>
    </w:p>
    <w:p w:rsidR="00427CF1" w:rsidRDefault="00427CF1" w:rsidP="00427CF1">
      <w:pPr>
        <w:pStyle w:val="TextoNormalNegritaCursivandice"/>
      </w:pPr>
      <w:r>
        <w:t>Decreto de la Junta de Castilla y León 14/1999, de 8 de febrero. Se aprueba el Reglamento de espectáculos taurinos populares</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Auto </w:t>
      </w:r>
      <w:hyperlink w:anchor="AUTO_2016_206" w:history="1">
        <w:r w:rsidRPr="00427CF1">
          <w:rPr>
            <w:rStyle w:val="TextoNormalCaracter"/>
          </w:rPr>
          <w:t>206/2016</w:t>
        </w:r>
      </w:hyperlink>
      <w:r>
        <w:t>, f. 3.</w:t>
      </w:r>
    </w:p>
    <w:p w:rsidR="00427CF1" w:rsidRDefault="00427CF1" w:rsidP="00427CF1">
      <w:pPr>
        <w:pStyle w:val="SangriaFrancesaArticulo"/>
      </w:pPr>
    </w:p>
    <w:p w:rsidR="00427CF1" w:rsidRDefault="00427CF1" w:rsidP="00427CF1">
      <w:pPr>
        <w:pStyle w:val="TextoNormalNegritaCursivandice"/>
      </w:pPr>
      <w:r>
        <w:t>Decreto de la Junta de Castilla y León 57/2008, de 21 de agosto. Aprueba el reglamento general taurino de la Comunidad de Castilla y León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J.9) Cataluña</w:t>
      </w:r>
    </w:p>
    <w:p w:rsidR="00427CF1" w:rsidRDefault="00427CF1" w:rsidP="00427CF1">
      <w:pPr>
        <w:pStyle w:val="TextoNormal"/>
      </w:pPr>
    </w:p>
    <w:p w:rsidR="00427CF1" w:rsidRDefault="00427CF1" w:rsidP="00427CF1">
      <w:pPr>
        <w:pStyle w:val="TextoNormalNegritaCentradoSubrayado"/>
        <w:suppressAutoHyphens/>
      </w:pPr>
      <w:r>
        <w:t>J.9.a) Estatuto de Autonomía</w:t>
      </w:r>
    </w:p>
    <w:p w:rsidR="00427CF1" w:rsidRDefault="00427CF1" w:rsidP="00427CF1">
      <w:pPr>
        <w:pStyle w:val="TextoNormalNegritaCentradoSubrayado"/>
      </w:pPr>
    </w:p>
    <w:p w:rsidR="00427CF1" w:rsidRDefault="00427CF1" w:rsidP="00427CF1">
      <w:pPr>
        <w:pStyle w:val="TextoNormalNegritaCursivandice"/>
      </w:pPr>
      <w:r>
        <w:t>Ley Orgánica 4/1979, de 18 de diciembre. Estatuto de Autonomía de Cataluña</w:t>
      </w:r>
    </w:p>
    <w:p w:rsidR="00427CF1" w:rsidRDefault="00427CF1" w:rsidP="00427CF1">
      <w:pPr>
        <w:pStyle w:val="SangriaFrancesaArticulo"/>
      </w:pPr>
      <w:r w:rsidRPr="00427CF1">
        <w:rPr>
          <w:rStyle w:val="TextoNormalNegritaCaracter"/>
        </w:rPr>
        <w:t>Título II, capítulo IV</w:t>
      </w:r>
      <w:r>
        <w:t xml:space="preserve"> (redactado por la Ley Orgánica 6/2006, de 19 de julio)</w:t>
      </w:r>
      <w:r w:rsidRPr="00427CF1">
        <w:rPr>
          <w:rStyle w:val="TextoNormalNegritaCaracter"/>
        </w:rPr>
        <w:t>.</w:t>
      </w:r>
      <w:r w:rsidRPr="00427CF1">
        <w:rPr>
          <w:rStyle w:val="TextoNormalCaracter"/>
        </w:rPr>
        <w:t>-</w:t>
      </w:r>
      <w:r>
        <w:t xml:space="preserve"> Sentencia </w:t>
      </w:r>
      <w:hyperlink w:anchor="SENTENCIA_2016_168" w:history="1">
        <w:r w:rsidRPr="00427CF1">
          <w:rPr>
            <w:rStyle w:val="TextoNormalCaracter"/>
          </w:rPr>
          <w:t>168/2016</w:t>
        </w:r>
      </w:hyperlink>
      <w:r>
        <w:t>, f. 3.</w:t>
      </w:r>
    </w:p>
    <w:p w:rsidR="00427CF1" w:rsidRDefault="00427CF1" w:rsidP="00427CF1">
      <w:pPr>
        <w:pStyle w:val="SangriaFrancesaArticulo"/>
      </w:pPr>
      <w:r w:rsidRPr="00427CF1">
        <w:rPr>
          <w:rStyle w:val="TextoNormalNegritaCaracter"/>
        </w:rPr>
        <w:t>Artículo 10.1.6.</w:t>
      </w:r>
      <w:r w:rsidRPr="00427CF1">
        <w:rPr>
          <w:rStyle w:val="TextoNormalCaracter"/>
        </w:rPr>
        <w:t>-</w:t>
      </w:r>
      <w:r>
        <w:t xml:space="preserve"> Sentencia </w:t>
      </w:r>
      <w:hyperlink w:anchor="SENTENCIA_2016_141" w:history="1">
        <w:r w:rsidRPr="00427CF1">
          <w:rPr>
            <w:rStyle w:val="TextoNormalCaracter"/>
          </w:rPr>
          <w:t>141/2016</w:t>
        </w:r>
      </w:hyperlink>
      <w:r>
        <w:t>, ff. 2, 7.</w:t>
      </w:r>
    </w:p>
    <w:p w:rsidR="00427CF1" w:rsidRDefault="00427CF1" w:rsidP="00427CF1">
      <w:pPr>
        <w:pStyle w:val="SangriaFrancesaArticulo"/>
      </w:pPr>
      <w:r w:rsidRPr="00427CF1">
        <w:rPr>
          <w:rStyle w:val="TextoNormalNegritaCaracter"/>
        </w:rPr>
        <w:t>Artículo 11.2.</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Artículo 170.</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p>
    <w:p w:rsidR="00427CF1" w:rsidRDefault="00427CF1" w:rsidP="00427CF1">
      <w:pPr>
        <w:pStyle w:val="TextoNormalNegritaCursivandice"/>
      </w:pPr>
      <w:r>
        <w:t>Ley Orgánica 6/2006, de 19 de julio. Reforma del Estatuto de Autonomía de Cataluña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1" w:history="1">
        <w:r w:rsidRPr="00427CF1">
          <w:rPr>
            <w:rStyle w:val="TextoNormalCaracter"/>
          </w:rPr>
          <w:t>141/2016</w:t>
        </w:r>
      </w:hyperlink>
      <w:r>
        <w:t xml:space="preserve">, f. 2; </w:t>
      </w:r>
      <w:hyperlink w:anchor="SENTENCIA_2016_168" w:history="1">
        <w:r w:rsidRPr="00427CF1">
          <w:rPr>
            <w:rStyle w:val="TextoNormalCaracter"/>
          </w:rPr>
          <w:t>168/2016</w:t>
        </w:r>
      </w:hyperlink>
      <w:r>
        <w:t xml:space="preserve">, f. 3; </w:t>
      </w:r>
      <w:hyperlink w:anchor="SENTENCIA_2016_179" w:history="1">
        <w:r w:rsidRPr="00427CF1">
          <w:rPr>
            <w:rStyle w:val="TextoNormalCaracter"/>
          </w:rPr>
          <w:t>179/2016</w:t>
        </w:r>
      </w:hyperlink>
      <w:r>
        <w:t xml:space="preserve">, f. 2; </w:t>
      </w:r>
      <w:hyperlink w:anchor="SENTENCIA_2016_192" w:history="1">
        <w:r w:rsidRPr="00427CF1">
          <w:rPr>
            <w:rStyle w:val="TextoNormalCaracter"/>
          </w:rPr>
          <w:t>192/2016</w:t>
        </w:r>
      </w:hyperlink>
      <w:r>
        <w:t xml:space="preserve">, VP; </w:t>
      </w:r>
      <w:hyperlink w:anchor="SENTENCIA_2016_211" w:history="1">
        <w:r w:rsidRPr="00427CF1">
          <w:rPr>
            <w:rStyle w:val="TextoNormalCaracter"/>
          </w:rPr>
          <w:t>211/2016</w:t>
        </w:r>
      </w:hyperlink>
      <w:r>
        <w:t xml:space="preserve">, f. 2; </w:t>
      </w:r>
      <w:hyperlink w:anchor="SENTENCIA_2016_225" w:history="1">
        <w:r w:rsidRPr="00427CF1">
          <w:rPr>
            <w:rStyle w:val="TextoNormalCaracter"/>
          </w:rPr>
          <w:t>225/2016</w:t>
        </w:r>
      </w:hyperlink>
      <w:r>
        <w:t>, ff. 4, 5.</w:t>
      </w:r>
    </w:p>
    <w:p w:rsidR="00427CF1" w:rsidRDefault="00427CF1" w:rsidP="00427CF1">
      <w:pPr>
        <w:pStyle w:val="SangriaIzquierdaArticulo"/>
      </w:pPr>
      <w:r>
        <w:t xml:space="preserve">Autos </w:t>
      </w:r>
      <w:hyperlink w:anchor="AUTO_2016_141" w:history="1">
        <w:r w:rsidRPr="00427CF1">
          <w:rPr>
            <w:rStyle w:val="TextoNormalCaracter"/>
          </w:rPr>
          <w:t>141/2016</w:t>
        </w:r>
      </w:hyperlink>
      <w:r>
        <w:t xml:space="preserve">, f. 3; </w:t>
      </w:r>
      <w:hyperlink w:anchor="AUTO_2016_170" w:history="1">
        <w:r w:rsidRPr="00427CF1">
          <w:rPr>
            <w:rStyle w:val="TextoNormalCaracter"/>
          </w:rPr>
          <w:t>170/2016</w:t>
        </w:r>
      </w:hyperlink>
      <w:r>
        <w:t>, f. 6.</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IzquierdaArticulo"/>
      </w:pPr>
      <w:r>
        <w:t xml:space="preserve">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Sentencias </w:t>
      </w:r>
      <w:hyperlink w:anchor="SENTENCIA_2016_168" w:history="1">
        <w:r w:rsidRPr="00427CF1">
          <w:rPr>
            <w:rStyle w:val="TextoNormalCaracter"/>
          </w:rPr>
          <w:t>168/2016</w:t>
        </w:r>
      </w:hyperlink>
      <w:r>
        <w:t xml:space="preserve">, f. 4; </w:t>
      </w:r>
      <w:hyperlink w:anchor="SENTENCIA_2016_224" w:history="1">
        <w:r w:rsidRPr="00427CF1">
          <w:rPr>
            <w:rStyle w:val="TextoNormalCaracter"/>
          </w:rPr>
          <w:t>224/2016</w:t>
        </w:r>
      </w:hyperlink>
      <w:r>
        <w:t xml:space="preserve">, ff. 1 a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92" w:history="1">
        <w:r w:rsidRPr="00427CF1">
          <w:rPr>
            <w:rStyle w:val="TextoNormalCaracter"/>
          </w:rPr>
          <w:t>192/2016</w:t>
        </w:r>
      </w:hyperlink>
      <w:r>
        <w:t>, VP.</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Artículo 30.3.</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33.1.</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37.2.</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4; </w:t>
      </w:r>
      <w:hyperlink w:anchor="SENTENCIA_2016_225" w:history="1">
        <w:r w:rsidRPr="00427CF1">
          <w:rPr>
            <w:rStyle w:val="TextoNormalCaracter"/>
          </w:rPr>
          <w:t>225/2016</w:t>
        </w:r>
      </w:hyperlink>
      <w:r>
        <w:t>, ff. 1, 4.</w:t>
      </w:r>
    </w:p>
    <w:p w:rsidR="00427CF1" w:rsidRDefault="00427CF1" w:rsidP="00427CF1">
      <w:pPr>
        <w:pStyle w:val="SangriaFrancesaArticulo"/>
      </w:pPr>
      <w:r w:rsidRPr="00427CF1">
        <w:rPr>
          <w:rStyle w:val="TextoNormalNegritaCaracter"/>
        </w:rPr>
        <w:t>Artículo 55.2.</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IzquierdaArticulo"/>
      </w:pPr>
      <w:r>
        <w:t xml:space="preserve">Auto </w:t>
      </w:r>
      <w:hyperlink w:anchor="AUTO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56.2.</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58.</w:t>
      </w:r>
      <w:r w:rsidRPr="00427CF1">
        <w:rPr>
          <w:rStyle w:val="TextoNormalCaracter"/>
        </w:rPr>
        <w:t>-</w:t>
      </w:r>
      <w:r>
        <w:t xml:space="preserve"> Auto </w:t>
      </w:r>
      <w:hyperlink w:anchor="AUTO_2016_170" w:history="1">
        <w:r w:rsidRPr="00427CF1">
          <w:rPr>
            <w:rStyle w:val="TextoNormalCaracter"/>
          </w:rPr>
          <w:t>170/2016</w:t>
        </w:r>
      </w:hyperlink>
      <w:r>
        <w:t>, ff. 4, 6, 7.</w:t>
      </w:r>
    </w:p>
    <w:p w:rsidR="00427CF1" w:rsidRDefault="00427CF1" w:rsidP="00427CF1">
      <w:pPr>
        <w:pStyle w:val="SangriaFrancesaArticulo"/>
      </w:pPr>
      <w:r w:rsidRPr="00427CF1">
        <w:rPr>
          <w:rStyle w:val="TextoNormalNegritaCaracter"/>
        </w:rPr>
        <w:t>Artículo 62.1.</w:t>
      </w:r>
      <w:r w:rsidRPr="00427CF1">
        <w:rPr>
          <w:rStyle w:val="TextoNormalCaracter"/>
        </w:rPr>
        <w:t>-</w:t>
      </w:r>
      <w:r>
        <w:t xml:space="preserve"> Sentencias </w:t>
      </w:r>
      <w:hyperlink w:anchor="SENTENCIA_2016_224" w:history="1">
        <w:r w:rsidRPr="00427CF1">
          <w:rPr>
            <w:rStyle w:val="TextoNormalCaracter"/>
          </w:rPr>
          <w:t>224/2016</w:t>
        </w:r>
      </w:hyperlink>
      <w:r>
        <w:t xml:space="preserve">, f. 5;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Artículo 62.2.</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a 5; </w:t>
      </w:r>
      <w:hyperlink w:anchor="SENTENCIA_2016_225" w:history="1">
        <w:r w:rsidRPr="00427CF1">
          <w:rPr>
            <w:rStyle w:val="TextoNormalCaracter"/>
          </w:rPr>
          <w:t>225/2016</w:t>
        </w:r>
      </w:hyperlink>
      <w:r>
        <w:t>, ff. 1, 4, 5.</w:t>
      </w:r>
    </w:p>
    <w:p w:rsidR="00427CF1" w:rsidRDefault="00427CF1" w:rsidP="00427CF1">
      <w:pPr>
        <w:pStyle w:val="SangriaFrancesaArticulo"/>
      </w:pPr>
      <w:r w:rsidRPr="00427CF1">
        <w:rPr>
          <w:rStyle w:val="TextoNormalNegritaCaracter"/>
        </w:rPr>
        <w:t xml:space="preserve">Artículo 62.2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62.3.</w:t>
      </w:r>
      <w:r w:rsidRPr="00427CF1">
        <w:rPr>
          <w:rStyle w:val="TextoNormalCaracter"/>
        </w:rPr>
        <w:t>-</w:t>
      </w:r>
      <w:r>
        <w:t xml:space="preserve"> Sentencias </w:t>
      </w:r>
      <w:hyperlink w:anchor="SENTENCIA_2016_224" w:history="1">
        <w:r w:rsidRPr="00427CF1">
          <w:rPr>
            <w:rStyle w:val="TextoNormalCaracter"/>
          </w:rPr>
          <w:t>224/2016</w:t>
        </w:r>
      </w:hyperlink>
      <w:r>
        <w:t xml:space="preserve">, f. 5;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Artículo 63.1.</w:t>
      </w:r>
      <w:r w:rsidRPr="00427CF1">
        <w:rPr>
          <w:rStyle w:val="TextoNormalCaracter"/>
        </w:rPr>
        <w:t>-</w:t>
      </w:r>
      <w:r>
        <w:t xml:space="preserve"> Sentencias </w:t>
      </w:r>
      <w:hyperlink w:anchor="SENTENCIA_2016_224" w:history="1">
        <w:r w:rsidRPr="00427CF1">
          <w:rPr>
            <w:rStyle w:val="TextoNormalCaracter"/>
          </w:rPr>
          <w:t>224/2016</w:t>
        </w:r>
      </w:hyperlink>
      <w:r>
        <w:t xml:space="preserve">, f. 5;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Sentencias </w:t>
      </w:r>
      <w:hyperlink w:anchor="SENTENCIA_2016_157" w:history="1">
        <w:r w:rsidRPr="00427CF1">
          <w:rPr>
            <w:rStyle w:val="TextoNormalCaracter"/>
          </w:rPr>
          <w:t>157/2016</w:t>
        </w:r>
      </w:hyperlink>
      <w:r>
        <w:t xml:space="preserve">, ff. 1, 4; </w:t>
      </w:r>
      <w:hyperlink w:anchor="SENTENCIA_2016_211" w:history="1">
        <w:r w:rsidRPr="00427CF1">
          <w:rPr>
            <w:rStyle w:val="TextoNormalCaracter"/>
          </w:rPr>
          <w:t>211/2016</w:t>
        </w:r>
      </w:hyperlink>
      <w:r>
        <w:t>, ff. 2, 5.</w:t>
      </w:r>
    </w:p>
    <w:p w:rsidR="00427CF1" w:rsidRDefault="00427CF1" w:rsidP="00427CF1">
      <w:pPr>
        <w:pStyle w:val="SangriaFrancesaArticulo"/>
      </w:pPr>
      <w:r w:rsidRPr="00427CF1">
        <w:rPr>
          <w:rStyle w:val="TextoNormalNegritaCaracter"/>
        </w:rPr>
        <w:t>Artículo 64.1.</w:t>
      </w:r>
      <w:r w:rsidRPr="00427CF1">
        <w:rPr>
          <w:rStyle w:val="TextoNormalCaracter"/>
        </w:rPr>
        <w:t>-</w:t>
      </w:r>
      <w:r>
        <w:t xml:space="preserve"> Sentencias </w:t>
      </w:r>
      <w:hyperlink w:anchor="SENTENCIA_2016_157" w:history="1">
        <w:r w:rsidRPr="00427CF1">
          <w:rPr>
            <w:rStyle w:val="TextoNormalCaracter"/>
          </w:rPr>
          <w:t>157/2016</w:t>
        </w:r>
      </w:hyperlink>
      <w:r>
        <w:t xml:space="preserve">, ff. 4, 6; </w:t>
      </w:r>
      <w:hyperlink w:anchor="SENTENCIA_2016_211" w:history="1">
        <w:r w:rsidRPr="00427CF1">
          <w:rPr>
            <w:rStyle w:val="TextoNormalCaracter"/>
          </w:rPr>
          <w:t>211/2016</w:t>
        </w:r>
      </w:hyperlink>
      <w:r>
        <w:t xml:space="preserve">, ff. 3, 5; </w:t>
      </w:r>
      <w:hyperlink w:anchor="SENTENCIA_2016_224" w:history="1">
        <w:r w:rsidRPr="00427CF1">
          <w:rPr>
            <w:rStyle w:val="TextoNormalCaracter"/>
          </w:rPr>
          <w:t>224/2016</w:t>
        </w:r>
      </w:hyperlink>
      <w:r>
        <w:t xml:space="preserve">, f. 5;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Artículo 67.5.</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68.3.</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128" w:history="1">
        <w:r w:rsidRPr="00427CF1">
          <w:rPr>
            <w:rStyle w:val="TextoNormalCaracter"/>
          </w:rPr>
          <w:t>128/2016</w:t>
        </w:r>
      </w:hyperlink>
      <w:r>
        <w:t>, ff. 8 a 10.</w:t>
      </w:r>
    </w:p>
    <w:p w:rsidR="00427CF1" w:rsidRDefault="00427CF1" w:rsidP="00427CF1">
      <w:pPr>
        <w:pStyle w:val="SangriaFrancesaArticulo"/>
      </w:pPr>
      <w:r w:rsidRPr="00427CF1">
        <w:rPr>
          <w:rStyle w:val="TextoNormalNegritaCaracter"/>
        </w:rPr>
        <w:t>Artículo 71.6.</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77.3.</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79.3.</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81.2.</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84.2.</w:t>
      </w:r>
      <w:r w:rsidRPr="00427CF1">
        <w:rPr>
          <w:rStyle w:val="TextoNormalCaracter"/>
        </w:rPr>
        <w:t>-</w:t>
      </w:r>
      <w:r>
        <w:t xml:space="preserve"> Sentencia </w:t>
      </w:r>
      <w:hyperlink w:anchor="SENTENCIA_2016_168" w:history="1">
        <w:r w:rsidRPr="00427CF1">
          <w:rPr>
            <w:rStyle w:val="TextoNormalCaracter"/>
          </w:rPr>
          <w:t>168/2016</w:t>
        </w:r>
      </w:hyperlink>
      <w:r>
        <w:t>, f. 3.</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94.1.</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w:t>
      </w:r>
      <w:hyperlink w:anchor="SENTENCIA_2016_225" w:history="1">
        <w:r w:rsidRPr="00427CF1">
          <w:rPr>
            <w:rStyle w:val="TextoNormalCaracter"/>
          </w:rPr>
          <w:t>225/2016</w:t>
        </w:r>
      </w:hyperlink>
      <w:r>
        <w:t>, f. 1.</w:t>
      </w:r>
    </w:p>
    <w:p w:rsidR="00427CF1" w:rsidRDefault="00427CF1" w:rsidP="00427CF1">
      <w:pPr>
        <w:pStyle w:val="SangriaFrancesaArticulo"/>
      </w:pPr>
      <w:r w:rsidRPr="00427CF1">
        <w:rPr>
          <w:rStyle w:val="TextoNormalNegritaCaracter"/>
        </w:rPr>
        <w:t>Artículo 114.</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114.4.</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114.5.</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116.</w:t>
      </w:r>
      <w:r w:rsidRPr="00427CF1">
        <w:rPr>
          <w:rStyle w:val="TextoNormalCaracter"/>
        </w:rPr>
        <w:t>-</w:t>
      </w:r>
      <w:r>
        <w:t xml:space="preserve"> Sentencia </w:t>
      </w:r>
      <w:hyperlink w:anchor="SENTENCIA_2016_142" w:history="1">
        <w:r w:rsidRPr="00427CF1">
          <w:rPr>
            <w:rStyle w:val="TextoNormalCaracter"/>
          </w:rPr>
          <w:t>142/2016</w:t>
        </w:r>
      </w:hyperlink>
      <w:r>
        <w:t>, ff. 1 a 3, 8.</w:t>
      </w:r>
    </w:p>
    <w:p w:rsidR="00427CF1" w:rsidRDefault="00427CF1" w:rsidP="00427CF1">
      <w:pPr>
        <w:pStyle w:val="SangriaFrancesaArticulo"/>
      </w:pPr>
      <w:r w:rsidRPr="00427CF1">
        <w:rPr>
          <w:rStyle w:val="TextoNormalNegritaCaracter"/>
        </w:rPr>
        <w:t>Artículo 116.1.</w:t>
      </w:r>
      <w:r w:rsidRPr="00427CF1">
        <w:rPr>
          <w:rStyle w:val="TextoNormalCaracter"/>
        </w:rPr>
        <w:t>-</w:t>
      </w:r>
      <w:r>
        <w:t xml:space="preserve"> Sentencia </w:t>
      </w:r>
      <w:hyperlink w:anchor="SENTENCIA_2016_142" w:history="1">
        <w:r w:rsidRPr="00427CF1">
          <w:rPr>
            <w:rStyle w:val="TextoNormalCaracter"/>
          </w:rPr>
          <w:t>142/2016</w:t>
        </w:r>
      </w:hyperlink>
      <w:r>
        <w:t>, ff. 5, 12.</w:t>
      </w:r>
    </w:p>
    <w:p w:rsidR="00427CF1" w:rsidRDefault="00427CF1" w:rsidP="00427CF1">
      <w:pPr>
        <w:pStyle w:val="SangriaFrancesaArticulo"/>
      </w:pPr>
      <w:r w:rsidRPr="00427CF1">
        <w:rPr>
          <w:rStyle w:val="TextoNormalNegritaCaracter"/>
        </w:rPr>
        <w:t>Artículo 116.1 d).</w:t>
      </w:r>
      <w:r w:rsidRPr="00427CF1">
        <w:rPr>
          <w:rStyle w:val="TextoNormalCaracter"/>
        </w:rPr>
        <w:t>-</w:t>
      </w:r>
      <w:r>
        <w:t xml:space="preserve"> Sentencia </w:t>
      </w:r>
      <w:hyperlink w:anchor="SENTENCIA_2016_177" w:history="1">
        <w:r w:rsidRPr="00427CF1">
          <w:rPr>
            <w:rStyle w:val="TextoNormalCaracter"/>
          </w:rPr>
          <w:t>177/2016</w:t>
        </w:r>
      </w:hyperlink>
      <w:r>
        <w:t>, ff. 1, 3, VP II.</w:t>
      </w:r>
    </w:p>
    <w:p w:rsidR="00427CF1" w:rsidRDefault="00427CF1" w:rsidP="00427CF1">
      <w:pPr>
        <w:pStyle w:val="SangriaFrancesaArticulo"/>
      </w:pPr>
      <w:r w:rsidRPr="00427CF1">
        <w:rPr>
          <w:rStyle w:val="TextoNormalNegritaCaracter"/>
        </w:rPr>
        <w:t>Artículo 121.</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121.1 d).</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ff. 1, 2, 9.</w:t>
      </w:r>
    </w:p>
    <w:p w:rsidR="00427CF1" w:rsidRDefault="00427CF1" w:rsidP="00427CF1">
      <w:pPr>
        <w:pStyle w:val="SangriaIzquierdaArticulo"/>
      </w:pPr>
      <w:r>
        <w:t xml:space="preserve">Auto </w:t>
      </w:r>
      <w:hyperlink w:anchor="AUTO_2016_182" w:history="1">
        <w:r w:rsidRPr="00427CF1">
          <w:rPr>
            <w:rStyle w:val="TextoNormalCaracter"/>
          </w:rPr>
          <w:t>182/2016</w:t>
        </w:r>
      </w:hyperlink>
      <w:r>
        <w:t>, f. 1.</w:t>
      </w:r>
    </w:p>
    <w:p w:rsidR="00427CF1" w:rsidRDefault="00427CF1" w:rsidP="00427CF1">
      <w:pPr>
        <w:pStyle w:val="SangriaFrancesaArticulo"/>
      </w:pPr>
      <w:r w:rsidRPr="00427CF1">
        <w:rPr>
          <w:rStyle w:val="TextoNormalNegritaCaracter"/>
        </w:rPr>
        <w:t>Artículo 123.</w:t>
      </w:r>
      <w:r w:rsidRPr="00427CF1">
        <w:rPr>
          <w:rStyle w:val="TextoNormalCaracter"/>
        </w:rPr>
        <w:t>-</w:t>
      </w:r>
      <w:r>
        <w:t xml:space="preserve"> Sentencia </w:t>
      </w:r>
      <w:hyperlink w:anchor="SENTENCIA_2016_157" w:history="1">
        <w:r w:rsidRPr="00427CF1">
          <w:rPr>
            <w:rStyle w:val="TextoNormalCaracter"/>
          </w:rPr>
          <w:t>157/2016</w:t>
        </w:r>
      </w:hyperlink>
      <w:r>
        <w:t>, f. 8.</w:t>
      </w:r>
    </w:p>
    <w:p w:rsidR="00427CF1" w:rsidRDefault="00427CF1" w:rsidP="00427CF1">
      <w:pPr>
        <w:pStyle w:val="SangriaFrancesaArticulo"/>
      </w:pPr>
      <w:r w:rsidRPr="00427CF1">
        <w:rPr>
          <w:rStyle w:val="TextoNormalNegritaCaracter"/>
        </w:rPr>
        <w:t>Artículo 123 a).</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132.</w:t>
      </w:r>
      <w:r w:rsidRPr="00427CF1">
        <w:rPr>
          <w:rStyle w:val="TextoNormalCaracter"/>
        </w:rPr>
        <w:t>-</w:t>
      </w:r>
      <w:r>
        <w:t xml:space="preserve"> Sentencias </w:t>
      </w:r>
      <w:hyperlink w:anchor="SENTENCIA_2016_128" w:history="1">
        <w:r w:rsidRPr="00427CF1">
          <w:rPr>
            <w:rStyle w:val="TextoNormalCaracter"/>
          </w:rPr>
          <w:t>128/2016</w:t>
        </w:r>
      </w:hyperlink>
      <w:r>
        <w:t xml:space="preserve">, f. 8; </w:t>
      </w:r>
      <w:hyperlink w:anchor="SENTENCIA_2016_184" w:history="1">
        <w:r w:rsidRPr="00427CF1">
          <w:rPr>
            <w:rStyle w:val="TextoNormalCaracter"/>
          </w:rPr>
          <w:t>184/2016</w:t>
        </w:r>
      </w:hyperlink>
      <w:r>
        <w:t>, ff. 1, 4, 6.</w:t>
      </w:r>
    </w:p>
    <w:p w:rsidR="00427CF1" w:rsidRDefault="00427CF1" w:rsidP="00427CF1">
      <w:pPr>
        <w:pStyle w:val="SangriaFrancesaArticulo"/>
      </w:pPr>
      <w:r w:rsidRPr="00427CF1">
        <w:rPr>
          <w:rStyle w:val="TextoNormalNegritaCaracter"/>
        </w:rPr>
        <w:t>Artículo 132.1.</w:t>
      </w:r>
      <w:r w:rsidRPr="00427CF1">
        <w:rPr>
          <w:rStyle w:val="TextoNormalCaracter"/>
        </w:rPr>
        <w:t>-</w:t>
      </w:r>
      <w:r>
        <w:t xml:space="preserve"> Sentencia </w:t>
      </w:r>
      <w:hyperlink w:anchor="SENTENCIA_2016_184" w:history="1">
        <w:r w:rsidRPr="00427CF1">
          <w:rPr>
            <w:rStyle w:val="TextoNormalCaracter"/>
          </w:rPr>
          <w:t>184/2016</w:t>
        </w:r>
      </w:hyperlink>
      <w:r>
        <w:t>, f. 4.</w:t>
      </w:r>
    </w:p>
    <w:p w:rsidR="00427CF1" w:rsidRDefault="00427CF1" w:rsidP="00427CF1">
      <w:pPr>
        <w:pStyle w:val="SangriaFrancesaArticulo"/>
      </w:pPr>
      <w:r w:rsidRPr="00427CF1">
        <w:rPr>
          <w:rStyle w:val="TextoNormalNegritaCaracter"/>
        </w:rPr>
        <w:t>Artículo 132.2.</w:t>
      </w:r>
      <w:r w:rsidRPr="00427CF1">
        <w:rPr>
          <w:rStyle w:val="TextoNormalCaracter"/>
        </w:rPr>
        <w:t>-</w:t>
      </w:r>
      <w:r>
        <w:t xml:space="preserve"> Sentencia </w:t>
      </w:r>
      <w:hyperlink w:anchor="SENTENCIA_2016_184" w:history="1">
        <w:r w:rsidRPr="00427CF1">
          <w:rPr>
            <w:rStyle w:val="TextoNormalCaracter"/>
          </w:rPr>
          <w:t>184/2016</w:t>
        </w:r>
      </w:hyperlink>
      <w:r>
        <w:t>, f. 4.</w:t>
      </w:r>
    </w:p>
    <w:p w:rsidR="00427CF1" w:rsidRDefault="00427CF1" w:rsidP="00427CF1">
      <w:pPr>
        <w:pStyle w:val="SangriaFrancesaArticulo"/>
      </w:pPr>
      <w:r w:rsidRPr="00427CF1">
        <w:rPr>
          <w:rStyle w:val="TextoNormalNegritaCaracter"/>
        </w:rPr>
        <w:t>Artículo 133.</w:t>
      </w:r>
      <w:r w:rsidRPr="00427CF1">
        <w:rPr>
          <w:rStyle w:val="TextoNormalCaracter"/>
        </w:rPr>
        <w:t>-</w:t>
      </w:r>
      <w:r>
        <w:t xml:space="preserve"> Sentencias </w:t>
      </w:r>
      <w:hyperlink w:anchor="SENTENCIA_2016_128" w:history="1">
        <w:r w:rsidRPr="00427CF1">
          <w:rPr>
            <w:rStyle w:val="TextoNormalCaracter"/>
          </w:rPr>
          <w:t>128/2016</w:t>
        </w:r>
      </w:hyperlink>
      <w:r>
        <w:t xml:space="preserve">, f. 10; </w:t>
      </w:r>
      <w:hyperlink w:anchor="SENTENCIA_2016_171" w:history="1">
        <w:r w:rsidRPr="00427CF1">
          <w:rPr>
            <w:rStyle w:val="TextoNormalCaracter"/>
          </w:rPr>
          <w:t>171/2016</w:t>
        </w:r>
      </w:hyperlink>
      <w:r>
        <w:t>, ff. 1, 4, 6.</w:t>
      </w:r>
    </w:p>
    <w:p w:rsidR="00427CF1" w:rsidRDefault="00427CF1" w:rsidP="00427CF1">
      <w:pPr>
        <w:pStyle w:val="SangriaFrancesaArticulo"/>
      </w:pPr>
      <w:r w:rsidRPr="00427CF1">
        <w:rPr>
          <w:rStyle w:val="TextoNormalNegritaCaracter"/>
        </w:rPr>
        <w:t>Artículo 133.1.</w:t>
      </w:r>
      <w:r w:rsidRPr="00427CF1">
        <w:rPr>
          <w:rStyle w:val="TextoNormalCaracter"/>
        </w:rPr>
        <w:t>-</w:t>
      </w:r>
      <w:r>
        <w:t xml:space="preserve"> Sentencia </w:t>
      </w:r>
      <w:hyperlink w:anchor="SENTENCIA_2016_171" w:history="1">
        <w:r w:rsidRPr="00427CF1">
          <w:rPr>
            <w:rStyle w:val="TextoNormalCaracter"/>
          </w:rPr>
          <w:t>171/2016</w:t>
        </w:r>
      </w:hyperlink>
      <w:r>
        <w:t>, f. 4.</w:t>
      </w:r>
    </w:p>
    <w:p w:rsidR="00427CF1" w:rsidRDefault="00427CF1" w:rsidP="00427CF1">
      <w:pPr>
        <w:pStyle w:val="SangriaFrancesaArticulo"/>
      </w:pPr>
      <w:r w:rsidRPr="00427CF1">
        <w:rPr>
          <w:rStyle w:val="TextoNormalNegritaCaracter"/>
        </w:rPr>
        <w:t>Artículo 140.</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r w:rsidRPr="00427CF1">
        <w:rPr>
          <w:rStyle w:val="TextoNormalNegritaCaracter"/>
        </w:rPr>
        <w:t>Artículo 140.1 d).</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141.3.</w:t>
      </w:r>
      <w:r w:rsidRPr="00427CF1">
        <w:rPr>
          <w:rStyle w:val="TextoNormalCaracter"/>
        </w:rPr>
        <w:t>-</w:t>
      </w:r>
      <w:r>
        <w:t xml:space="preserve"> Sentencia </w:t>
      </w:r>
      <w:hyperlink w:anchor="SENTENCIA_2016_177" w:history="1">
        <w:r w:rsidRPr="00427CF1">
          <w:rPr>
            <w:rStyle w:val="TextoNormalCaracter"/>
          </w:rPr>
          <w:t>177/2016</w:t>
        </w:r>
      </w:hyperlink>
      <w:r>
        <w:t>, ff. 1, 3, 4, VP II.</w:t>
      </w:r>
    </w:p>
    <w:p w:rsidR="00427CF1" w:rsidRDefault="00427CF1" w:rsidP="00427CF1">
      <w:pPr>
        <w:pStyle w:val="SangriaFrancesaArticulo"/>
      </w:pPr>
      <w:r w:rsidRPr="00427CF1">
        <w:rPr>
          <w:rStyle w:val="TextoNormalNegritaCaracter"/>
        </w:rPr>
        <w:t>Artículo 144.</w:t>
      </w:r>
      <w:r w:rsidRPr="00427CF1">
        <w:rPr>
          <w:rStyle w:val="TextoNormalCaracter"/>
        </w:rPr>
        <w:t>-</w:t>
      </w:r>
      <w:r>
        <w:t xml:space="preserve"> Sentencias </w:t>
      </w:r>
      <w:hyperlink w:anchor="SENTENCIA_2016_141" w:history="1">
        <w:r w:rsidRPr="00427CF1">
          <w:rPr>
            <w:rStyle w:val="TextoNormalCaracter"/>
          </w:rPr>
          <w:t>141/2016</w:t>
        </w:r>
      </w:hyperlink>
      <w:r>
        <w:t xml:space="preserve">, ff. 1, 2; </w:t>
      </w:r>
      <w:hyperlink w:anchor="SENTENCIA_2016_157" w:history="1">
        <w:r w:rsidRPr="00427CF1">
          <w:rPr>
            <w:rStyle w:val="TextoNormalCaracter"/>
          </w:rPr>
          <w:t>157/2016</w:t>
        </w:r>
      </w:hyperlink>
      <w:r>
        <w:t xml:space="preserve">, ff. 1, 8; </w:t>
      </w:r>
      <w:hyperlink w:anchor="SENTENCIA_2016_171" w:history="1">
        <w:r w:rsidRPr="00427CF1">
          <w:rPr>
            <w:rStyle w:val="TextoNormalCaracter"/>
          </w:rPr>
          <w:t>171/2016</w:t>
        </w:r>
      </w:hyperlink>
      <w:r>
        <w:t xml:space="preserve">, ff. 1, 4; </w:t>
      </w:r>
      <w:hyperlink w:anchor="SENTENCIA_2016_177" w:history="1">
        <w:r w:rsidRPr="00427CF1">
          <w:rPr>
            <w:rStyle w:val="TextoNormalCaracter"/>
          </w:rPr>
          <w:t>177/2016</w:t>
        </w:r>
      </w:hyperlink>
      <w:r>
        <w:t>, f. 3.</w:t>
      </w:r>
    </w:p>
    <w:p w:rsidR="00427CF1" w:rsidRDefault="00427CF1" w:rsidP="00427CF1">
      <w:pPr>
        <w:pStyle w:val="SangriaFrancesaArticulo"/>
      </w:pPr>
      <w:r w:rsidRPr="00427CF1">
        <w:rPr>
          <w:rStyle w:val="TextoNormalNegritaCaracter"/>
        </w:rPr>
        <w:t>Artículo 144.1.</w:t>
      </w:r>
      <w:r w:rsidRPr="00427CF1">
        <w:rPr>
          <w:rStyle w:val="TextoNormalCaracter"/>
        </w:rPr>
        <w:t>-</w:t>
      </w:r>
      <w:r>
        <w:t xml:space="preserve"> Sentencia </w:t>
      </w:r>
      <w:hyperlink w:anchor="SENTENCIA_2016_141" w:history="1">
        <w:r w:rsidRPr="00427CF1">
          <w:rPr>
            <w:rStyle w:val="TextoNormalCaracter"/>
          </w:rPr>
          <w:t>141/2016</w:t>
        </w:r>
      </w:hyperlink>
      <w:r>
        <w:t>, f. 7.</w:t>
      </w:r>
    </w:p>
    <w:p w:rsidR="00427CF1" w:rsidRDefault="00427CF1" w:rsidP="00427CF1">
      <w:pPr>
        <w:pStyle w:val="SangriaFrancesaArticulo"/>
      </w:pPr>
      <w:r w:rsidRPr="00427CF1">
        <w:rPr>
          <w:rStyle w:val="TextoNormalNegritaCaracter"/>
        </w:rPr>
        <w:t>Artículo 144.5.</w:t>
      </w:r>
      <w:r w:rsidRPr="00427CF1">
        <w:rPr>
          <w:rStyle w:val="TextoNormalCaracter"/>
        </w:rPr>
        <w:t>-</w:t>
      </w:r>
      <w:r>
        <w:t xml:space="preserve"> Sentencia </w:t>
      </w:r>
      <w:hyperlink w:anchor="SENTENCIA_2016_128" w:history="1">
        <w:r w:rsidRPr="00427CF1">
          <w:rPr>
            <w:rStyle w:val="TextoNormalCaracter"/>
          </w:rPr>
          <w:t>128/2016</w:t>
        </w:r>
      </w:hyperlink>
      <w:r>
        <w:t>, f. 2.</w:t>
      </w:r>
    </w:p>
    <w:p w:rsidR="00427CF1" w:rsidRDefault="00427CF1" w:rsidP="00427CF1">
      <w:pPr>
        <w:pStyle w:val="SangriaFrancesaArticulo"/>
      </w:pPr>
      <w:r w:rsidRPr="00427CF1">
        <w:rPr>
          <w:rStyle w:val="TextoNormalNegritaCaracter"/>
        </w:rPr>
        <w:t>Artículo 146.</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r w:rsidRPr="00427CF1">
        <w:rPr>
          <w:rStyle w:val="TextoNormalNegritaCaracter"/>
        </w:rPr>
        <w:t>Artículo 149.1.</w:t>
      </w:r>
      <w:r w:rsidRPr="00427CF1">
        <w:rPr>
          <w:rStyle w:val="TextoNormalCaracter"/>
        </w:rPr>
        <w:t>-</w:t>
      </w:r>
      <w:r>
        <w:t xml:space="preserve"> Sentencia </w:t>
      </w:r>
      <w:hyperlink w:anchor="SENTENCIA_2016_157" w:history="1">
        <w:r w:rsidRPr="00427CF1">
          <w:rPr>
            <w:rStyle w:val="TextoNormalCaracter"/>
          </w:rPr>
          <w:t>157/2016</w:t>
        </w:r>
      </w:hyperlink>
      <w:r>
        <w:t>, ff. 1, 8.</w:t>
      </w:r>
    </w:p>
    <w:p w:rsidR="00427CF1" w:rsidRDefault="00427CF1" w:rsidP="00427CF1">
      <w:pPr>
        <w:pStyle w:val="SangriaFrancesaArticulo"/>
      </w:pPr>
      <w:r w:rsidRPr="00427CF1">
        <w:rPr>
          <w:rStyle w:val="TextoNormalNegritaCaracter"/>
        </w:rPr>
        <w:t>Artículo 149.5.</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ff. 1, 8.</w:t>
      </w:r>
    </w:p>
    <w:p w:rsidR="00427CF1" w:rsidRDefault="00427CF1" w:rsidP="00427CF1">
      <w:pPr>
        <w:pStyle w:val="SangriaFrancesaArticulo"/>
      </w:pPr>
      <w:r w:rsidRPr="00427CF1">
        <w:rPr>
          <w:rStyle w:val="TextoNormalNegritaCaracter"/>
        </w:rPr>
        <w:t>Artículo 150.</w:t>
      </w:r>
      <w:r w:rsidRPr="00427CF1">
        <w:rPr>
          <w:rStyle w:val="TextoNormalCaracter"/>
        </w:rPr>
        <w:t>-</w:t>
      </w:r>
      <w:r>
        <w:t xml:space="preserve"> Sentencia </w:t>
      </w:r>
      <w:hyperlink w:anchor="SENTENCIA_2016_128" w:history="1">
        <w:r w:rsidRPr="00427CF1">
          <w:rPr>
            <w:rStyle w:val="TextoNormalCaracter"/>
          </w:rPr>
          <w:t>128/2016</w:t>
        </w:r>
      </w:hyperlink>
      <w:r>
        <w:t>, ff. 6, 8, 9.</w:t>
      </w:r>
    </w:p>
    <w:p w:rsidR="00427CF1" w:rsidRDefault="00427CF1" w:rsidP="00427CF1">
      <w:pPr>
        <w:pStyle w:val="SangriaFrancesaArticulo"/>
      </w:pPr>
      <w:r w:rsidRPr="00427CF1">
        <w:rPr>
          <w:rStyle w:val="TextoNormalNegritaCaracter"/>
        </w:rPr>
        <w:t>Artículo 152.</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r w:rsidRPr="00427CF1">
        <w:rPr>
          <w:rStyle w:val="TextoNormalNegritaCaracter"/>
        </w:rPr>
        <w:t>Artículo 152.1.</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152.2.</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152.4.</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153.</w:t>
      </w:r>
      <w:r w:rsidRPr="00427CF1">
        <w:rPr>
          <w:rStyle w:val="TextoNormalCaracter"/>
        </w:rPr>
        <w:t>-</w:t>
      </w:r>
      <w:r>
        <w:t xml:space="preserve"> Sentencia </w:t>
      </w:r>
      <w:hyperlink w:anchor="SENTENCIA_2016_159" w:history="1">
        <w:r w:rsidRPr="00427CF1">
          <w:rPr>
            <w:rStyle w:val="TextoNormalCaracter"/>
          </w:rPr>
          <w:t>159/2016</w:t>
        </w:r>
      </w:hyperlink>
      <w:r>
        <w:t>, ff. 1, 2.</w:t>
      </w:r>
    </w:p>
    <w:p w:rsidR="00427CF1" w:rsidRDefault="00427CF1" w:rsidP="00427CF1">
      <w:pPr>
        <w:pStyle w:val="SangriaFrancesaArticulo"/>
      </w:pPr>
      <w:r w:rsidRPr="00427CF1">
        <w:rPr>
          <w:rStyle w:val="TextoNormalNegritaCaracter"/>
        </w:rPr>
        <w:t>Artículo 154.</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r w:rsidRPr="00427CF1">
        <w:rPr>
          <w:rStyle w:val="TextoNormalNegritaCaracter"/>
        </w:rPr>
        <w:t>Artículo 154.2.</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r w:rsidRPr="00427CF1">
        <w:rPr>
          <w:rStyle w:val="TextoNormalNegritaCaracter"/>
        </w:rPr>
        <w:t>Artículo 159.1.</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159.1 a).</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159.1 b).</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159.2.</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159.3.</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164.</w:t>
      </w:r>
      <w:r w:rsidRPr="00427CF1">
        <w:rPr>
          <w:rStyle w:val="TextoNormalCaracter"/>
        </w:rPr>
        <w:t>-</w:t>
      </w:r>
      <w:r>
        <w:t xml:space="preserve"> Sentencias </w:t>
      </w:r>
      <w:hyperlink w:anchor="SENTENCIA_2016_128" w:history="1">
        <w:r w:rsidRPr="00427CF1">
          <w:rPr>
            <w:rStyle w:val="TextoNormalCaracter"/>
          </w:rPr>
          <w:t>128/2016</w:t>
        </w:r>
      </w:hyperlink>
      <w:r>
        <w:t xml:space="preserve">, f. 8; </w:t>
      </w:r>
      <w:hyperlink w:anchor="SENTENCIA_2016_184" w:history="1">
        <w:r w:rsidRPr="00427CF1">
          <w:rPr>
            <w:rStyle w:val="TextoNormalCaracter"/>
          </w:rPr>
          <w:t>184/2016</w:t>
        </w:r>
      </w:hyperlink>
      <w:r>
        <w:t>, ff. 1, 4, 6, 7.</w:t>
      </w:r>
    </w:p>
    <w:p w:rsidR="00427CF1" w:rsidRDefault="00427CF1" w:rsidP="00427CF1">
      <w:pPr>
        <w:pStyle w:val="SangriaFrancesaArticulo"/>
      </w:pPr>
      <w:r w:rsidRPr="00427CF1">
        <w:rPr>
          <w:rStyle w:val="TextoNormalNegritaCaracter"/>
        </w:rPr>
        <w:t>Artículo 164.1.</w:t>
      </w:r>
      <w:r w:rsidRPr="00427CF1">
        <w:rPr>
          <w:rStyle w:val="TextoNormalCaracter"/>
        </w:rPr>
        <w:t>-</w:t>
      </w:r>
      <w:r>
        <w:t xml:space="preserve"> Sentencias </w:t>
      </w:r>
      <w:hyperlink w:anchor="SENTENCIA_2016_128" w:history="1">
        <w:r w:rsidRPr="00427CF1">
          <w:rPr>
            <w:rStyle w:val="TextoNormalCaracter"/>
          </w:rPr>
          <w:t>128/2016</w:t>
        </w:r>
      </w:hyperlink>
      <w:r>
        <w:t xml:space="preserve">, f. 8; </w:t>
      </w:r>
      <w:hyperlink w:anchor="SENTENCIA_2016_184" w:history="1">
        <w:r w:rsidRPr="00427CF1">
          <w:rPr>
            <w:rStyle w:val="TextoNormalCaracter"/>
          </w:rPr>
          <w:t>184/2016</w:t>
        </w:r>
      </w:hyperlink>
      <w:r>
        <w:t>, ff. 4, 7.</w:t>
      </w:r>
    </w:p>
    <w:p w:rsidR="00427CF1" w:rsidRDefault="00427CF1" w:rsidP="00427CF1">
      <w:pPr>
        <w:pStyle w:val="SangriaFrancesaArticulo"/>
      </w:pPr>
      <w:r w:rsidRPr="00427CF1">
        <w:rPr>
          <w:rStyle w:val="TextoNormalNegritaCaracter"/>
        </w:rPr>
        <w:t>Artículo 164.1 a).</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164.2.</w:t>
      </w:r>
      <w:r w:rsidRPr="00427CF1">
        <w:rPr>
          <w:rStyle w:val="TextoNormalCaracter"/>
        </w:rPr>
        <w:t>-</w:t>
      </w:r>
      <w:r>
        <w:t xml:space="preserve"> Sentencia </w:t>
      </w:r>
      <w:hyperlink w:anchor="SENTENCIA_2016_184" w:history="1">
        <w:r w:rsidRPr="00427CF1">
          <w:rPr>
            <w:rStyle w:val="TextoNormalCaracter"/>
          </w:rPr>
          <w:t>184/2016</w:t>
        </w:r>
      </w:hyperlink>
      <w:r>
        <w:t>, f. 4.</w:t>
      </w:r>
    </w:p>
    <w:p w:rsidR="00427CF1" w:rsidRDefault="00427CF1" w:rsidP="00427CF1">
      <w:pPr>
        <w:pStyle w:val="SangriaFrancesaArticulo"/>
      </w:pPr>
      <w:r w:rsidRPr="00427CF1">
        <w:rPr>
          <w:rStyle w:val="TextoNormalNegritaCaracter"/>
        </w:rPr>
        <w:t>Artículo 164.3.</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r w:rsidRPr="00427CF1">
        <w:rPr>
          <w:rStyle w:val="TextoNormalNegritaCaracter"/>
        </w:rPr>
        <w:t>Artículo 164.4.</w:t>
      </w:r>
      <w:r w:rsidRPr="00427CF1">
        <w:rPr>
          <w:rStyle w:val="TextoNormalCaracter"/>
        </w:rPr>
        <w:t>-</w:t>
      </w:r>
      <w:r>
        <w:t xml:space="preserve"> Sentencia </w:t>
      </w:r>
      <w:hyperlink w:anchor="SENTENCIA_2016_184" w:history="1">
        <w:r w:rsidRPr="00427CF1">
          <w:rPr>
            <w:rStyle w:val="TextoNormalCaracter"/>
          </w:rPr>
          <w:t>184/2016</w:t>
        </w:r>
      </w:hyperlink>
      <w:r>
        <w:t>, ff. 4, 5.</w:t>
      </w:r>
    </w:p>
    <w:p w:rsidR="00427CF1" w:rsidRDefault="00427CF1" w:rsidP="00427CF1">
      <w:pPr>
        <w:pStyle w:val="SangriaFrancesaArticulo"/>
      </w:pPr>
      <w:r w:rsidRPr="00427CF1">
        <w:rPr>
          <w:rStyle w:val="TextoNormalNegritaCaracter"/>
        </w:rPr>
        <w:t>Artículo 164.5.</w:t>
      </w:r>
      <w:r w:rsidRPr="00427CF1">
        <w:rPr>
          <w:rStyle w:val="TextoNormalCaracter"/>
        </w:rPr>
        <w:t>-</w:t>
      </w:r>
      <w:r>
        <w:t xml:space="preserve"> Sentencia </w:t>
      </w:r>
      <w:hyperlink w:anchor="SENTENCIA_2016_184" w:history="1">
        <w:r w:rsidRPr="00427CF1">
          <w:rPr>
            <w:rStyle w:val="TextoNormalCaracter"/>
          </w:rPr>
          <w:t>184/2016</w:t>
        </w:r>
      </w:hyperlink>
      <w:r>
        <w:t>, ff. 4, 7.</w:t>
      </w:r>
    </w:p>
    <w:p w:rsidR="00427CF1" w:rsidRDefault="00427CF1" w:rsidP="00427CF1">
      <w:pPr>
        <w:pStyle w:val="SangriaFrancesaArticulo"/>
      </w:pPr>
      <w:r w:rsidRPr="00427CF1">
        <w:rPr>
          <w:rStyle w:val="TextoNormalNegritaCaracter"/>
        </w:rPr>
        <w:t>Artículo 165.</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Artículo 165.1.</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Artículo 165.1 f).</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Artículo 166.</w:t>
      </w:r>
      <w:r w:rsidRPr="00427CF1">
        <w:rPr>
          <w:rStyle w:val="TextoNormalCaracter"/>
        </w:rPr>
        <w:t>-</w:t>
      </w:r>
      <w:r>
        <w:t xml:space="preserve"> Sentencias </w:t>
      </w:r>
      <w:hyperlink w:anchor="SENTENCIA_2016_128" w:history="1">
        <w:r w:rsidRPr="00427CF1">
          <w:rPr>
            <w:rStyle w:val="TextoNormalCaracter"/>
          </w:rPr>
          <w:t>128/2016</w:t>
        </w:r>
      </w:hyperlink>
      <w:r>
        <w:t xml:space="preserve">, f. 9;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166.1 a).</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Artículo 169.</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r w:rsidRPr="00427CF1">
        <w:rPr>
          <w:rStyle w:val="TextoNormalNegritaCaracter"/>
        </w:rPr>
        <w:t>Artículo 170.</w:t>
      </w:r>
      <w:r w:rsidRPr="00427CF1">
        <w:rPr>
          <w:rStyle w:val="TextoNormalCaracter"/>
        </w:rPr>
        <w:t>-</w:t>
      </w:r>
      <w:r>
        <w:t xml:space="preserve"> Sentencias </w:t>
      </w:r>
      <w:hyperlink w:anchor="SENTENCIA_2016_159" w:history="1">
        <w:r w:rsidRPr="00427CF1">
          <w:rPr>
            <w:rStyle w:val="TextoNormalCaracter"/>
          </w:rPr>
          <w:t>159/2016</w:t>
        </w:r>
      </w:hyperlink>
      <w:r>
        <w:t xml:space="preserve">, ff. 2, 7; </w:t>
      </w:r>
      <w:hyperlink w:anchor="SENTENCIA_2016_179" w:history="1">
        <w:r w:rsidRPr="00427CF1">
          <w:rPr>
            <w:rStyle w:val="TextoNormalCaracter"/>
          </w:rPr>
          <w:t>179/2016</w:t>
        </w:r>
      </w:hyperlink>
      <w:r>
        <w:t xml:space="preserve">, f. 2;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Artículo 170.1.</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170.1 b).</w:t>
      </w:r>
      <w:r w:rsidRPr="00427CF1">
        <w:rPr>
          <w:rStyle w:val="TextoNormalCaracter"/>
        </w:rPr>
        <w:t>-</w:t>
      </w:r>
      <w:r>
        <w:t xml:space="preserve"> Sentencia </w:t>
      </w:r>
      <w:hyperlink w:anchor="SENTENCIA_2016_179" w:history="1">
        <w:r w:rsidRPr="00427CF1">
          <w:rPr>
            <w:rStyle w:val="TextoNormalCaracter"/>
          </w:rPr>
          <w:t>179/2016</w:t>
        </w:r>
      </w:hyperlink>
      <w:r>
        <w:t>, f. 2.</w:t>
      </w:r>
    </w:p>
    <w:p w:rsidR="00427CF1" w:rsidRDefault="00427CF1" w:rsidP="00427CF1">
      <w:pPr>
        <w:pStyle w:val="SangriaFrancesaArticulo"/>
      </w:pPr>
      <w:r w:rsidRPr="00427CF1">
        <w:rPr>
          <w:rStyle w:val="TextoNormalNegritaCaracter"/>
        </w:rPr>
        <w:t>Artículo 184.</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Artículos 184 a 192.</w:t>
      </w:r>
      <w:r w:rsidRPr="00427CF1">
        <w:rPr>
          <w:rStyle w:val="TextoNormalCaracter"/>
        </w:rPr>
        <w:t>-</w:t>
      </w:r>
      <w:r>
        <w:t xml:space="preserve"> Sentencia </w:t>
      </w:r>
      <w:hyperlink w:anchor="SENTENCIA_2016_228" w:history="1">
        <w:r w:rsidRPr="00427CF1">
          <w:rPr>
            <w:rStyle w:val="TextoNormalCaracter"/>
          </w:rPr>
          <w:t>228/2016</w:t>
        </w:r>
      </w:hyperlink>
      <w:r>
        <w:t>, ff. 1, 4.</w:t>
      </w:r>
    </w:p>
    <w:p w:rsidR="00427CF1" w:rsidRDefault="00427CF1" w:rsidP="00427CF1">
      <w:pPr>
        <w:pStyle w:val="SangriaFrancesaArticulo"/>
      </w:pPr>
      <w:r w:rsidRPr="00427CF1">
        <w:rPr>
          <w:rStyle w:val="TextoNormalNegritaCaracter"/>
        </w:rPr>
        <w:t>Artículo 185.1.</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186.</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187.</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187.1.</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187.2.</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187.3.</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187.4.</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188.</w:t>
      </w:r>
      <w:r w:rsidRPr="00427CF1">
        <w:rPr>
          <w:rStyle w:val="TextoNormalCaracter"/>
        </w:rPr>
        <w:t>-</w:t>
      </w:r>
      <w:r>
        <w:t xml:space="preserve"> Sentencia </w:t>
      </w:r>
      <w:hyperlink w:anchor="SENTENCIA_2016_228" w:history="1">
        <w:r w:rsidRPr="00427CF1">
          <w:rPr>
            <w:rStyle w:val="TextoNormalCaracter"/>
          </w:rPr>
          <w:t>228/2016</w:t>
        </w:r>
      </w:hyperlink>
      <w:r>
        <w:t>, ff. 4, 8.</w:t>
      </w:r>
    </w:p>
    <w:p w:rsidR="00427CF1" w:rsidRDefault="00427CF1" w:rsidP="00427CF1">
      <w:pPr>
        <w:pStyle w:val="SangriaFrancesaArticulo"/>
      </w:pPr>
      <w:r w:rsidRPr="00427CF1">
        <w:rPr>
          <w:rStyle w:val="TextoNormalNegritaCaracter"/>
        </w:rPr>
        <w:t>Artículo 189.</w:t>
      </w:r>
      <w:r w:rsidRPr="00427CF1">
        <w:rPr>
          <w:rStyle w:val="TextoNormalCaracter"/>
        </w:rPr>
        <w:t>-</w:t>
      </w:r>
      <w:r>
        <w:t xml:space="preserve"> Sentencia </w:t>
      </w:r>
      <w:hyperlink w:anchor="SENTENCIA_2016_177" w:history="1">
        <w:r w:rsidRPr="00427CF1">
          <w:rPr>
            <w:rStyle w:val="TextoNormalCaracter"/>
          </w:rPr>
          <w:t>177/2016</w:t>
        </w:r>
      </w:hyperlink>
      <w:r>
        <w:t>, f. 3.</w:t>
      </w:r>
    </w:p>
    <w:p w:rsidR="00427CF1" w:rsidRDefault="00427CF1" w:rsidP="00427CF1">
      <w:pPr>
        <w:pStyle w:val="SangriaFrancesaArticulo"/>
      </w:pPr>
      <w:r w:rsidRPr="00427CF1">
        <w:rPr>
          <w:rStyle w:val="TextoNormalNegritaCaracter"/>
        </w:rPr>
        <w:t>Artículo 189.2.</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189.3.</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191.</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192.</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193.</w:t>
      </w:r>
      <w:r w:rsidRPr="00427CF1">
        <w:rPr>
          <w:rStyle w:val="TextoNormalCaracter"/>
        </w:rPr>
        <w:t>-</w:t>
      </w:r>
      <w:r>
        <w:t xml:space="preserve"> Sentencia </w:t>
      </w:r>
      <w:hyperlink w:anchor="SENTENCIA_2016_228" w:history="1">
        <w:r w:rsidRPr="00427CF1">
          <w:rPr>
            <w:rStyle w:val="TextoNormalCaracter"/>
          </w:rPr>
          <w:t>228/2016</w:t>
        </w:r>
      </w:hyperlink>
      <w:r>
        <w:t>, ff. 1, 4 a 11, VP I, VP II.</w:t>
      </w:r>
    </w:p>
    <w:p w:rsidR="00427CF1" w:rsidRDefault="00427CF1" w:rsidP="00427CF1">
      <w:pPr>
        <w:pStyle w:val="SangriaFrancesaArticulo"/>
      </w:pPr>
      <w:r w:rsidRPr="00427CF1">
        <w:rPr>
          <w:rStyle w:val="TextoNormalNegritaCaracter"/>
        </w:rPr>
        <w:t>Artículo 193.1.</w:t>
      </w:r>
      <w:r w:rsidRPr="00427CF1">
        <w:rPr>
          <w:rStyle w:val="TextoNormalCaracter"/>
        </w:rPr>
        <w:t>-</w:t>
      </w:r>
      <w:r>
        <w:t xml:space="preserve"> Sentencia </w:t>
      </w:r>
      <w:hyperlink w:anchor="SENTENCIA_2016_228" w:history="1">
        <w:r w:rsidRPr="00427CF1">
          <w:rPr>
            <w:rStyle w:val="TextoNormalCaracter"/>
          </w:rPr>
          <w:t>228/2016</w:t>
        </w:r>
      </w:hyperlink>
      <w:r>
        <w:t>, ff. 5, 10.</w:t>
      </w:r>
    </w:p>
    <w:p w:rsidR="00427CF1" w:rsidRDefault="00427CF1" w:rsidP="00427CF1">
      <w:pPr>
        <w:pStyle w:val="SangriaFrancesaArticulo"/>
      </w:pPr>
      <w:r w:rsidRPr="00427CF1">
        <w:rPr>
          <w:rStyle w:val="TextoNormalNegritaCaracter"/>
        </w:rPr>
        <w:t>Artículo 193.2.</w:t>
      </w:r>
      <w:r w:rsidRPr="00427CF1">
        <w:rPr>
          <w:rStyle w:val="TextoNormalCaracter"/>
        </w:rPr>
        <w:t>-</w:t>
      </w:r>
      <w:r>
        <w:t xml:space="preserve"> Sentencia </w:t>
      </w:r>
      <w:hyperlink w:anchor="SENTENCIA_2016_228" w:history="1">
        <w:r w:rsidRPr="00427CF1">
          <w:rPr>
            <w:rStyle w:val="TextoNormalCaracter"/>
          </w:rPr>
          <w:t>228/2016</w:t>
        </w:r>
      </w:hyperlink>
      <w:r>
        <w:t>, f. 5.</w:t>
      </w:r>
    </w:p>
    <w:p w:rsidR="00427CF1" w:rsidRDefault="00427CF1" w:rsidP="00427CF1">
      <w:pPr>
        <w:pStyle w:val="SangriaFrancesaArticulo"/>
      </w:pPr>
      <w:r w:rsidRPr="00427CF1">
        <w:rPr>
          <w:rStyle w:val="TextoNormalNegritaCaracter"/>
        </w:rPr>
        <w:t>Artículos 193 a 196.</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Artículos 193 a 200.</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194.</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195.</w:t>
      </w:r>
      <w:r w:rsidRPr="00427CF1">
        <w:rPr>
          <w:rStyle w:val="TextoNormalCaracter"/>
        </w:rPr>
        <w:t>-</w:t>
      </w:r>
      <w:r>
        <w:t xml:space="preserve"> Sentencia </w:t>
      </w:r>
      <w:hyperlink w:anchor="SENTENCIA_2016_228" w:history="1">
        <w:r w:rsidRPr="00427CF1">
          <w:rPr>
            <w:rStyle w:val="TextoNormalCaracter"/>
          </w:rPr>
          <w:t>228/2016</w:t>
        </w:r>
      </w:hyperlink>
      <w:r>
        <w:t>, f. 5.</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200.</w:t>
      </w:r>
      <w:r w:rsidRPr="00427CF1">
        <w:rPr>
          <w:rStyle w:val="TextoNormalCaracter"/>
        </w:rPr>
        <w:t>-</w:t>
      </w:r>
      <w:r>
        <w:t xml:space="preserve"> Sentencia </w:t>
      </w:r>
      <w:hyperlink w:anchor="SENTENCIA_2016_228" w:history="1">
        <w:r w:rsidRPr="00427CF1">
          <w:rPr>
            <w:rStyle w:val="TextoNormalCaracter"/>
          </w:rPr>
          <w:t>228/2016</w:t>
        </w:r>
      </w:hyperlink>
      <w:r>
        <w:t>, f. 11, VP I.</w:t>
      </w:r>
    </w:p>
    <w:p w:rsidR="00427CF1" w:rsidRDefault="00427CF1" w:rsidP="00427CF1">
      <w:pPr>
        <w:pStyle w:val="SangriaFrancesaArticulo"/>
      </w:pPr>
      <w:r w:rsidRPr="00427CF1">
        <w:rPr>
          <w:rStyle w:val="TextoNormalNegritaCaracter"/>
        </w:rPr>
        <w:t>Artículo 201.</w:t>
      </w:r>
      <w:r w:rsidRPr="00427CF1">
        <w:rPr>
          <w:rStyle w:val="TextoNormalCaracter"/>
        </w:rPr>
        <w:t>-</w:t>
      </w:r>
      <w:r>
        <w:t xml:space="preserve"> Sentencia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202.</w:t>
      </w:r>
      <w:r w:rsidRPr="00427CF1">
        <w:rPr>
          <w:rStyle w:val="TextoNormalCaracter"/>
        </w:rPr>
        <w:t>-</w:t>
      </w:r>
      <w:r>
        <w:t xml:space="preserve"> Sentencias </w:t>
      </w:r>
      <w:hyperlink w:anchor="SENTENCIA_2016_128" w:history="1">
        <w:r w:rsidRPr="00427CF1">
          <w:rPr>
            <w:rStyle w:val="TextoNormalCaracter"/>
          </w:rPr>
          <w:t>128/2016</w:t>
        </w:r>
      </w:hyperlink>
      <w:r>
        <w:t xml:space="preserve">, f. 6;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203.2.</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203.2 a).</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203.2 b).</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203.3.</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203.4.</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203.5.</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IzquierdaArticulo"/>
      </w:pPr>
      <w:r>
        <w:t xml:space="preserve">Autos </w:t>
      </w:r>
      <w:hyperlink w:anchor="AUTO_2016_183" w:history="1">
        <w:r w:rsidRPr="00427CF1">
          <w:rPr>
            <w:rStyle w:val="TextoNormalCaracter"/>
          </w:rPr>
          <w:t>183/2016</w:t>
        </w:r>
      </w:hyperlink>
      <w:r>
        <w:t xml:space="preserve">, f. 4; </w:t>
      </w:r>
      <w:hyperlink w:anchor="AUTO_2016_185" w:history="1">
        <w:r w:rsidRPr="00427CF1">
          <w:rPr>
            <w:rStyle w:val="TextoNormalCaracter"/>
          </w:rPr>
          <w:t>185/2016</w:t>
        </w:r>
      </w:hyperlink>
      <w:r>
        <w:t>, f. 4.</w:t>
      </w:r>
    </w:p>
    <w:p w:rsidR="00427CF1" w:rsidRDefault="00427CF1" w:rsidP="00427CF1">
      <w:pPr>
        <w:pStyle w:val="SangriaFrancesaArticulo"/>
      </w:pPr>
      <w:r w:rsidRPr="00427CF1">
        <w:rPr>
          <w:rStyle w:val="TextoNormalNegritaCaracter"/>
        </w:rPr>
        <w:t>Artículo 204.</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204.1.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204.2.</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204.4.</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205.</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205 párrafo 1.</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Artículo 211.</w:t>
      </w:r>
      <w:r w:rsidRPr="00427CF1">
        <w:rPr>
          <w:rStyle w:val="TextoNormalCaracter"/>
        </w:rPr>
        <w:t>-</w:t>
      </w:r>
      <w:r>
        <w:t xml:space="preserve"> Sentencia </w:t>
      </w:r>
      <w:hyperlink w:anchor="SENTENCIA_2016_179" w:history="1">
        <w:r w:rsidRPr="00427CF1">
          <w:rPr>
            <w:rStyle w:val="TextoNormalCaracter"/>
          </w:rPr>
          <w:t>179/2016</w:t>
        </w:r>
      </w:hyperlink>
      <w:r>
        <w:t>, f. 3.</w:t>
      </w:r>
    </w:p>
    <w:p w:rsidR="00427CF1" w:rsidRDefault="00427CF1" w:rsidP="00427CF1">
      <w:pPr>
        <w:pStyle w:val="SangriaFrancesaArticulo"/>
      </w:pPr>
      <w:r w:rsidRPr="00427CF1">
        <w:rPr>
          <w:rStyle w:val="TextoNormalNegritaCaracter"/>
        </w:rPr>
        <w:t>Artículo 215.</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215.1.</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218.5.</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TextoNormal"/>
      </w:pPr>
    </w:p>
    <w:p w:rsidR="00427CF1" w:rsidRDefault="00427CF1" w:rsidP="00427CF1">
      <w:pPr>
        <w:pStyle w:val="TextoNormalNegritaCentradoSubrayado"/>
        <w:suppressAutoHyphens/>
      </w:pPr>
      <w:r>
        <w:t>J.9.b)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del Parlamento de Cataluña 3/1988, de 4 de marzo.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 VP II.</w:t>
      </w:r>
    </w:p>
    <w:p w:rsidR="00427CF1" w:rsidRDefault="00427CF1" w:rsidP="00427CF1">
      <w:pPr>
        <w:pStyle w:val="SangriaFrancesaArticulo"/>
      </w:pPr>
    </w:p>
    <w:p w:rsidR="00427CF1" w:rsidRDefault="00427CF1" w:rsidP="00427CF1">
      <w:pPr>
        <w:pStyle w:val="TextoNormalNegritaCursivandice"/>
      </w:pPr>
      <w:r>
        <w:t>Ley del Parlamento de Cataluña 16/2000, de 29 de diciembre.  Impuesto sobre grandes establecimientos comerciales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7" w:history="1">
        <w:r w:rsidRPr="00427CF1">
          <w:rPr>
            <w:rStyle w:val="TextoNormalCaracter"/>
          </w:rPr>
          <w:t>157/2016</w:t>
        </w:r>
      </w:hyperlink>
      <w:r>
        <w:t>, f. 4.</w:t>
      </w:r>
    </w:p>
    <w:p w:rsidR="00427CF1" w:rsidRDefault="00427CF1" w:rsidP="00427CF1">
      <w:pPr>
        <w:pStyle w:val="SangriaFrancesaArticulo"/>
      </w:pPr>
    </w:p>
    <w:p w:rsidR="00427CF1" w:rsidRDefault="00427CF1" w:rsidP="00427CF1">
      <w:pPr>
        <w:pStyle w:val="TextoNormalNegritaCursivandice"/>
      </w:pPr>
      <w:r>
        <w:t>Ley del Parlamento de Cataluña 17/2000, de 29 de diciembre. Equipamientos comerciales</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Auto </w:t>
      </w:r>
      <w:hyperlink w:anchor="AUTO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 </w:t>
      </w:r>
      <w:hyperlink w:anchor="AUTO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16.3.</w:t>
      </w:r>
      <w:r w:rsidRPr="00427CF1">
        <w:rPr>
          <w:rStyle w:val="TextoNormalCaracter"/>
        </w:rPr>
        <w:t>-</w:t>
      </w:r>
      <w:r>
        <w:t xml:space="preserve"> Auto </w:t>
      </w:r>
      <w:hyperlink w:anchor="AUTO_2016_182" w:history="1">
        <w:r w:rsidRPr="00427CF1">
          <w:rPr>
            <w:rStyle w:val="TextoNormalCaracter"/>
          </w:rPr>
          <w:t>182/2016</w:t>
        </w:r>
      </w:hyperlink>
      <w:r>
        <w:t>, ff. 1, 4.</w:t>
      </w:r>
    </w:p>
    <w:p w:rsidR="00427CF1" w:rsidRDefault="00427CF1" w:rsidP="00427CF1">
      <w:pPr>
        <w:pStyle w:val="SangriaFrancesaArticulo"/>
      </w:pPr>
      <w:r w:rsidRPr="00427CF1">
        <w:rPr>
          <w:rStyle w:val="TextoNormalNegritaCaracter"/>
        </w:rPr>
        <w:t>Artículo 16.3 a).</w:t>
      </w:r>
      <w:r w:rsidRPr="00427CF1">
        <w:rPr>
          <w:rStyle w:val="TextoNormalCaracter"/>
        </w:rPr>
        <w:t>-</w:t>
      </w:r>
      <w:r>
        <w:t xml:space="preserve"> Auto </w:t>
      </w:r>
      <w:hyperlink w:anchor="AUTO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16.3 b).</w:t>
      </w:r>
      <w:r w:rsidRPr="00427CF1">
        <w:rPr>
          <w:rStyle w:val="TextoNormalCaracter"/>
        </w:rPr>
        <w:t>-</w:t>
      </w:r>
      <w:r>
        <w:t xml:space="preserve"> Auto </w:t>
      </w:r>
      <w:hyperlink w:anchor="AUTO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16.3 c).</w:t>
      </w:r>
      <w:r w:rsidRPr="00427CF1">
        <w:rPr>
          <w:rStyle w:val="TextoNormalCaracter"/>
        </w:rPr>
        <w:t>-</w:t>
      </w:r>
      <w:r>
        <w:t xml:space="preserve"> Auto </w:t>
      </w:r>
      <w:hyperlink w:anchor="AUTO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Auto </w:t>
      </w:r>
      <w:hyperlink w:anchor="AUTO_2016_182" w:history="1">
        <w:r w:rsidRPr="00427CF1">
          <w:rPr>
            <w:rStyle w:val="TextoNormalCaracter"/>
          </w:rPr>
          <w:t>182/2016</w:t>
        </w:r>
      </w:hyperlink>
      <w:r>
        <w:t>, f. 4.</w:t>
      </w:r>
    </w:p>
    <w:p w:rsidR="00427CF1" w:rsidRDefault="00427CF1" w:rsidP="00427CF1">
      <w:pPr>
        <w:pStyle w:val="SangriaFrancesaArticulo"/>
      </w:pPr>
    </w:p>
    <w:p w:rsidR="00427CF1" w:rsidRDefault="00427CF1" w:rsidP="00427CF1">
      <w:pPr>
        <w:pStyle w:val="TextoNormalNegritaCursivandice"/>
      </w:pPr>
      <w:r>
        <w:t>Ley del Parlamento de Cataluña 15/2001, de 14 de noviembre. Meteorología</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28" w:history="1">
        <w:r w:rsidRPr="00427CF1">
          <w:rPr>
            <w:rStyle w:val="TextoNormalCaracter"/>
          </w:rPr>
          <w:t>128/2016</w:t>
        </w:r>
      </w:hyperlink>
      <w:r>
        <w:t>, f. 2.</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28" w:history="1">
        <w:r w:rsidRPr="00427CF1">
          <w:rPr>
            <w:rStyle w:val="TextoNormalCaracter"/>
          </w:rPr>
          <w:t>128/2016</w:t>
        </w:r>
      </w:hyperlink>
      <w:r>
        <w:t>, f. 2.</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 </w:t>
      </w:r>
      <w:hyperlink w:anchor="SENTENCIA_2016_128" w:history="1">
        <w:r w:rsidRPr="00427CF1">
          <w:rPr>
            <w:rStyle w:val="TextoNormalCaracter"/>
          </w:rPr>
          <w:t>128/2016</w:t>
        </w:r>
      </w:hyperlink>
      <w:r>
        <w:t>, f. 2.</w:t>
      </w:r>
    </w:p>
    <w:p w:rsidR="00427CF1" w:rsidRDefault="00427CF1" w:rsidP="00427CF1">
      <w:pPr>
        <w:pStyle w:val="SangriaFrancesaArticulo"/>
      </w:pPr>
      <w:r w:rsidRPr="00427CF1">
        <w:rPr>
          <w:rStyle w:val="TextoNormalNegritaCaracter"/>
        </w:rPr>
        <w:t>Artículo 4 k bis</w:t>
      </w:r>
      <w:r>
        <w:t xml:space="preserve"> (redactado por la Ley del Parlamento de Cataluña 3/2015 de 11 de marzo)</w:t>
      </w:r>
      <w:r w:rsidRPr="00427CF1">
        <w:rPr>
          <w:rStyle w:val="TextoNormalNegritaCaracter"/>
        </w:rPr>
        <w:t>.</w:t>
      </w:r>
      <w:r w:rsidRPr="00427CF1">
        <w:rPr>
          <w:rStyle w:val="TextoNormalCaracter"/>
        </w:rPr>
        <w:t>-</w:t>
      </w:r>
      <w:r>
        <w:t xml:space="preserve"> Sentencia </w:t>
      </w:r>
      <w:hyperlink w:anchor="SENTENCIA_2016_128" w:history="1">
        <w:r w:rsidRPr="00427CF1">
          <w:rPr>
            <w:rStyle w:val="TextoNormalCaracter"/>
          </w:rPr>
          <w:t>128/2016</w:t>
        </w:r>
      </w:hyperlink>
      <w:r>
        <w:t>, f. 2.</w:t>
      </w:r>
    </w:p>
    <w:p w:rsidR="00427CF1" w:rsidRDefault="00427CF1" w:rsidP="00427CF1">
      <w:pPr>
        <w:pStyle w:val="SangriaFrancesaArticulo"/>
      </w:pPr>
      <w:r w:rsidRPr="00427CF1">
        <w:rPr>
          <w:rStyle w:val="TextoNormalNegritaCaracter"/>
        </w:rPr>
        <w:t>Artículo 4.2 k) bis</w:t>
      </w:r>
      <w:r>
        <w:t xml:space="preserve"> (redactado por la Ley del Parlamento de Cataluña 3/2015 de 11 de marzo)</w:t>
      </w:r>
      <w:r w:rsidRPr="00427CF1">
        <w:rPr>
          <w:rStyle w:val="TextoNormalNegritaCaracter"/>
        </w:rPr>
        <w:t>.</w:t>
      </w:r>
      <w:r w:rsidRPr="00427CF1">
        <w:rPr>
          <w:rStyle w:val="TextoNormalCaracter"/>
        </w:rPr>
        <w:t>-</w:t>
      </w:r>
      <w:r>
        <w:t xml:space="preserve"> Sentencia </w:t>
      </w:r>
      <w:hyperlink w:anchor="SENTENCIA_2016_128" w:history="1">
        <w:r w:rsidRPr="00427CF1">
          <w:rPr>
            <w:rStyle w:val="TextoNormalCaracter"/>
          </w:rPr>
          <w:t>128/2016</w:t>
        </w:r>
      </w:hyperlink>
      <w:r>
        <w:t>, f. 2.</w:t>
      </w:r>
    </w:p>
    <w:p w:rsidR="00427CF1" w:rsidRDefault="00427CF1" w:rsidP="00427CF1">
      <w:pPr>
        <w:pStyle w:val="SangriaFrancesaArticulo"/>
      </w:pPr>
    </w:p>
    <w:p w:rsidR="00427CF1" w:rsidRDefault="00427CF1" w:rsidP="00427CF1">
      <w:pPr>
        <w:pStyle w:val="TextoNormalNegritaCursivandice"/>
      </w:pPr>
      <w:r>
        <w:t>Decreto Legislativo de la Generalitat de Cataluña 1/2002, de 24 de diciembre. Aprueba el Texto refundido de la Ley de patrimonio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p>
    <w:p w:rsidR="00427CF1" w:rsidRDefault="00427CF1" w:rsidP="00427CF1">
      <w:pPr>
        <w:pStyle w:val="TextoNormalNegritaCursivandice"/>
      </w:pPr>
      <w:r>
        <w:t>Decreto Legislativo de la Generalidad de Cataluña 2/2003, de 28 de abril. Aprueba el texto refundido de la Ley municipal y de régimen local</w:t>
      </w:r>
    </w:p>
    <w:p w:rsidR="00427CF1" w:rsidRDefault="00427CF1" w:rsidP="00427CF1">
      <w:pPr>
        <w:pStyle w:val="SangriaFrancesaArticulo"/>
      </w:pPr>
      <w:r w:rsidRPr="00427CF1">
        <w:rPr>
          <w:rStyle w:val="TextoNormalNegritaCaracter"/>
        </w:rPr>
        <w:t>Artículo 222.</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p>
    <w:p w:rsidR="00427CF1" w:rsidRDefault="00427CF1" w:rsidP="00427CF1">
      <w:pPr>
        <w:pStyle w:val="TextoNormalNegritaCursivandice"/>
      </w:pPr>
      <w:r>
        <w:t>Ley del Parlamento de Cataluña 22/2003, de 4 de julio.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ff. 3, 4.</w:t>
      </w:r>
    </w:p>
    <w:p w:rsidR="00427CF1" w:rsidRDefault="00427CF1" w:rsidP="00427CF1">
      <w:pPr>
        <w:pStyle w:val="SangriaFrancesaArticulo"/>
      </w:pPr>
    </w:p>
    <w:p w:rsidR="00427CF1" w:rsidRDefault="00427CF1" w:rsidP="00427CF1">
      <w:pPr>
        <w:pStyle w:val="TextoNormalNegritaCursivandice"/>
      </w:pPr>
      <w:r>
        <w:t>Ley del Parlamento de Cataluña 14/2003, de 13 de junio. Calidad agroalimentaria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2" w:history="1">
        <w:r w:rsidRPr="00427CF1">
          <w:rPr>
            <w:rStyle w:val="TextoNormalCaracter"/>
          </w:rPr>
          <w:t>142/2016</w:t>
        </w:r>
      </w:hyperlink>
      <w:r>
        <w:t>, ff. 2, 5, 7.</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142" w:history="1">
        <w:r w:rsidRPr="00427CF1">
          <w:rPr>
            <w:rStyle w:val="TextoNormalCaracter"/>
          </w:rPr>
          <w:t>142/2016</w:t>
        </w:r>
      </w:hyperlink>
      <w:r>
        <w:t>, f. 5.</w:t>
      </w:r>
    </w:p>
    <w:p w:rsidR="00427CF1" w:rsidRDefault="00427CF1" w:rsidP="00427CF1">
      <w:pPr>
        <w:pStyle w:val="SangriaFrancesaArticulo"/>
      </w:pPr>
    </w:p>
    <w:p w:rsidR="00427CF1" w:rsidRDefault="00427CF1" w:rsidP="00427CF1">
      <w:pPr>
        <w:pStyle w:val="TextoNormalNegritaCursivandice"/>
      </w:pPr>
      <w:r>
        <w:t>Ley del Parlamento de Cataluña 8/2004, de 23 de diciembre. Horarios comerciales</w:t>
      </w:r>
    </w:p>
    <w:p w:rsidR="00427CF1" w:rsidRDefault="00427CF1" w:rsidP="00427CF1">
      <w:pPr>
        <w:pStyle w:val="SangriaFrancesaArticulo"/>
      </w:pPr>
      <w:r w:rsidRPr="00427CF1">
        <w:rPr>
          <w:rStyle w:val="TextoNormalNegritaCaracter"/>
        </w:rPr>
        <w:t>Artículo 1.2</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7.</w:t>
      </w:r>
    </w:p>
    <w:p w:rsidR="00427CF1" w:rsidRDefault="00427CF1" w:rsidP="00427CF1">
      <w:pPr>
        <w:pStyle w:val="SangriaFrancesaArticulo"/>
      </w:pPr>
      <w:r w:rsidRPr="00427CF1">
        <w:rPr>
          <w:rStyle w:val="TextoNormalNegritaCaracter"/>
        </w:rPr>
        <w:t>Artículo 1.2 a)</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2, 6, 7.</w:t>
      </w:r>
    </w:p>
    <w:p w:rsidR="00427CF1" w:rsidRDefault="00427CF1" w:rsidP="00427CF1">
      <w:pPr>
        <w:pStyle w:val="SangriaFrancesaArticulo"/>
      </w:pPr>
      <w:r w:rsidRPr="00427CF1">
        <w:rPr>
          <w:rStyle w:val="TextoNormalNegritaCaracter"/>
        </w:rPr>
        <w:t>Artículo 1.2 a) a e)</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2.</w:t>
      </w:r>
    </w:p>
    <w:p w:rsidR="00427CF1" w:rsidRDefault="00427CF1" w:rsidP="00427CF1">
      <w:pPr>
        <w:pStyle w:val="SangriaFrancesaArticulo"/>
      </w:pPr>
      <w:r w:rsidRPr="00427CF1">
        <w:rPr>
          <w:rStyle w:val="TextoNormalNegritaCaracter"/>
        </w:rPr>
        <w:t>Artículo 1.2 b)</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2, 6, 7.</w:t>
      </w:r>
    </w:p>
    <w:p w:rsidR="00427CF1" w:rsidRDefault="00427CF1" w:rsidP="00427CF1">
      <w:pPr>
        <w:pStyle w:val="SangriaFrancesaArticulo"/>
      </w:pPr>
      <w:r w:rsidRPr="00427CF1">
        <w:rPr>
          <w:rStyle w:val="TextoNormalNegritaCaracter"/>
        </w:rPr>
        <w:t>Artículo 1.2 c)</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1.2 d)</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1.2 e)</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2, 6, 7.</w:t>
      </w:r>
    </w:p>
    <w:p w:rsidR="00427CF1" w:rsidRDefault="00427CF1" w:rsidP="00427CF1">
      <w:pPr>
        <w:pStyle w:val="SangriaFrancesaArticulo"/>
      </w:pPr>
      <w:r w:rsidRPr="00427CF1">
        <w:rPr>
          <w:rStyle w:val="TextoNormalNegritaCaracter"/>
        </w:rPr>
        <w:t>Artículo 1.2 e) expresión "25 y 26 de diciembre"</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7.</w:t>
      </w:r>
    </w:p>
    <w:p w:rsidR="00427CF1" w:rsidRDefault="00427CF1" w:rsidP="00427CF1">
      <w:pPr>
        <w:pStyle w:val="SangriaFrancesaArticulo"/>
      </w:pPr>
      <w:r w:rsidRPr="00427CF1">
        <w:rPr>
          <w:rStyle w:val="TextoNormalNegritaCaracter"/>
        </w:rPr>
        <w:t>Artículo 1.2 e) expresión "domingo y lunes de Pascua"</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7.</w:t>
      </w:r>
    </w:p>
    <w:p w:rsidR="00427CF1" w:rsidRDefault="00427CF1" w:rsidP="00427CF1">
      <w:pPr>
        <w:pStyle w:val="SangriaFrancesaArticulo"/>
      </w:pPr>
      <w:r w:rsidRPr="00427CF1">
        <w:rPr>
          <w:rStyle w:val="TextoNormalNegritaCaracter"/>
        </w:rPr>
        <w:t>Artículo 2</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2.1 a)</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2.1 b)</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2, 6, 8.</w:t>
      </w:r>
    </w:p>
    <w:p w:rsidR="00427CF1" w:rsidRDefault="00427CF1" w:rsidP="00427CF1">
      <w:pPr>
        <w:pStyle w:val="SangriaFrancesaArticulo"/>
      </w:pPr>
      <w:r w:rsidRPr="00427CF1">
        <w:rPr>
          <w:rStyle w:val="TextoNormalNegritaCaracter"/>
        </w:rPr>
        <w:t>Artículo 2.1 b) expresión "los que solo son accesibles desde el interior de"</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8.</w:t>
      </w:r>
    </w:p>
    <w:p w:rsidR="00427CF1" w:rsidRDefault="00427CF1" w:rsidP="00427CF1">
      <w:pPr>
        <w:pStyle w:val="SangriaFrancesaArticulo"/>
      </w:pPr>
      <w:r w:rsidRPr="00427CF1">
        <w:rPr>
          <w:rStyle w:val="TextoNormalNegritaCaracter"/>
        </w:rPr>
        <w:t>Artículo 2.1 c)</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2, 6, 8.</w:t>
      </w:r>
    </w:p>
    <w:p w:rsidR="00427CF1" w:rsidRDefault="00427CF1" w:rsidP="00427CF1">
      <w:pPr>
        <w:pStyle w:val="SangriaFrancesaArticulo"/>
      </w:pPr>
      <w:r w:rsidRPr="00427CF1">
        <w:rPr>
          <w:rStyle w:val="TextoNormalNegritaCaracter"/>
        </w:rPr>
        <w:t>Artículo 2.1 d)</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2, 6, 8.</w:t>
      </w:r>
    </w:p>
    <w:p w:rsidR="00427CF1" w:rsidRDefault="00427CF1" w:rsidP="00427CF1">
      <w:pPr>
        <w:pStyle w:val="SangriaFrancesaArticulo"/>
      </w:pPr>
      <w:r w:rsidRPr="00427CF1">
        <w:rPr>
          <w:rStyle w:val="TextoNormalNegritaCaracter"/>
        </w:rPr>
        <w:t>Artículo 2.1 f)</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2, 6, 8.</w:t>
      </w:r>
    </w:p>
    <w:p w:rsidR="00427CF1" w:rsidRDefault="00427CF1" w:rsidP="00427CF1">
      <w:pPr>
        <w:pStyle w:val="SangriaFrancesaArticulo"/>
      </w:pPr>
      <w:r w:rsidRPr="00427CF1">
        <w:rPr>
          <w:rStyle w:val="TextoNormalNegritaCaracter"/>
        </w:rPr>
        <w:t>Artículo 2.1 i)</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2, 6, 8.</w:t>
      </w:r>
    </w:p>
    <w:p w:rsidR="00427CF1" w:rsidRDefault="00427CF1" w:rsidP="00427CF1">
      <w:pPr>
        <w:pStyle w:val="SangriaFrancesaArticulo"/>
      </w:pPr>
      <w:r w:rsidRPr="00427CF1">
        <w:rPr>
          <w:rStyle w:val="TextoNormalNegritaCaracter"/>
        </w:rPr>
        <w:t>Artículo 2.1 j).</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2.1 l)</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2, 6, 8.</w:t>
      </w:r>
    </w:p>
    <w:p w:rsidR="00427CF1" w:rsidRDefault="00427CF1" w:rsidP="00427CF1">
      <w:pPr>
        <w:pStyle w:val="SangriaFrancesaArticulo"/>
      </w:pPr>
      <w:r w:rsidRPr="00427CF1">
        <w:rPr>
          <w:rStyle w:val="TextoNormalNegritaCaracter"/>
        </w:rPr>
        <w:t>Artículo 2.2</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ff. 1, 2, 6, 8.</w:t>
      </w:r>
    </w:p>
    <w:p w:rsidR="00427CF1" w:rsidRDefault="00427CF1" w:rsidP="00427CF1">
      <w:pPr>
        <w:pStyle w:val="SangriaFrancesaArticulo"/>
      </w:pPr>
      <w:r w:rsidRPr="00427CF1">
        <w:rPr>
          <w:rStyle w:val="TextoNormalNegritaCaracter"/>
        </w:rPr>
        <w:t>Artículo 3</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r w:rsidRPr="00427CF1">
        <w:rPr>
          <w:rStyle w:val="TextoNormalNegritaCaracter"/>
        </w:rPr>
        <w:t>Artículo 3.1</w:t>
      </w:r>
      <w:r>
        <w:t xml:space="preserve"> (redactado por el Decreto-ley de la Generalidad de Cataluña 4/2012, de 30 de octubre)</w:t>
      </w:r>
      <w:r w:rsidRPr="00427CF1">
        <w:rPr>
          <w:rStyle w:val="TextoNormalNegritaCaracter"/>
        </w:rPr>
        <w:t>.</w:t>
      </w:r>
      <w:r w:rsidRPr="00427CF1">
        <w:rPr>
          <w:rStyle w:val="TextoNormalCaracter"/>
        </w:rPr>
        <w:t>-</w:t>
      </w:r>
      <w:r>
        <w:t xml:space="preserve"> Sentencia </w:t>
      </w:r>
      <w:hyperlink w:anchor="SENTENCIA_2016_211" w:history="1">
        <w:r w:rsidRPr="00427CF1">
          <w:rPr>
            <w:rStyle w:val="TextoNormalCaracter"/>
          </w:rPr>
          <w:t>211/2016</w:t>
        </w:r>
      </w:hyperlink>
      <w:r>
        <w:t>, f. 8.</w:t>
      </w:r>
    </w:p>
    <w:p w:rsidR="00427CF1" w:rsidRDefault="00427CF1" w:rsidP="00427CF1">
      <w:pPr>
        <w:pStyle w:val="SangriaFrancesaArticulo"/>
      </w:pPr>
    </w:p>
    <w:p w:rsidR="00427CF1" w:rsidRDefault="00427CF1" w:rsidP="00427CF1">
      <w:pPr>
        <w:pStyle w:val="TextoNormalNegritaCursivandice"/>
      </w:pPr>
      <w:r>
        <w:t>Ley del Parlamento de Cataluña 18/2005, de 27 de diciembre. Equipamientos comerciales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p>
    <w:p w:rsidR="00427CF1" w:rsidRDefault="00427CF1" w:rsidP="00427CF1">
      <w:pPr>
        <w:pStyle w:val="TextoNormalNegritaCursivandice"/>
      </w:pPr>
      <w:r>
        <w:t>Ley del Parlamento de Cataluña 5/2006, de 10 de mayo. Código civil de Cataluña, libro quinto relativo a los derechos reales</w:t>
      </w:r>
    </w:p>
    <w:p w:rsidR="00427CF1" w:rsidRDefault="00427CF1" w:rsidP="00427CF1">
      <w:pPr>
        <w:pStyle w:val="SangriaFrancesaArticulo"/>
      </w:pPr>
      <w:r w:rsidRPr="00427CF1">
        <w:rPr>
          <w:rStyle w:val="TextoNormalNegritaCaracter"/>
        </w:rPr>
        <w:t>Artículo 545.4.</w:t>
      </w:r>
      <w:r w:rsidRPr="00427CF1">
        <w:rPr>
          <w:rStyle w:val="TextoNormalCaracter"/>
        </w:rPr>
        <w:t>-</w:t>
      </w:r>
      <w:r>
        <w:t xml:space="preserve"> Auto </w:t>
      </w:r>
      <w:hyperlink w:anchor="AUTO_2016_169" w:history="1">
        <w:r w:rsidRPr="00427CF1">
          <w:rPr>
            <w:rStyle w:val="TextoNormalCaracter"/>
          </w:rPr>
          <w:t>169/2016</w:t>
        </w:r>
      </w:hyperlink>
      <w:r>
        <w:t>, f. 3.</w:t>
      </w:r>
    </w:p>
    <w:p w:rsidR="00427CF1" w:rsidRDefault="00427CF1" w:rsidP="00427CF1">
      <w:pPr>
        <w:pStyle w:val="SangriaFrancesaArticulo"/>
      </w:pPr>
    </w:p>
    <w:p w:rsidR="00427CF1" w:rsidRDefault="00427CF1" w:rsidP="00427CF1">
      <w:pPr>
        <w:pStyle w:val="TextoNormalNegritaCursivandice"/>
      </w:pPr>
      <w:r>
        <w:t>Ley del Parlamento de Cataluña 13/2006, de 27 de julio. Prestaciones sociales de carácter económico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p>
    <w:p w:rsidR="00427CF1" w:rsidRDefault="00427CF1" w:rsidP="00427CF1">
      <w:pPr>
        <w:pStyle w:val="TextoNormalNegritaCursivandice"/>
      </w:pPr>
      <w:r>
        <w:t>Ley del Parlamento de Cataluña 7/2007, de 17 de julio. Agencia Tributaria de Cataluña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p>
    <w:p w:rsidR="00427CF1" w:rsidRDefault="00427CF1" w:rsidP="00427CF1">
      <w:pPr>
        <w:pStyle w:val="TextoNormalNegritaCursivandice"/>
      </w:pPr>
      <w:r>
        <w:t>Ley del Parlamento de Cataluña 18/2007, de 28 de diciembre. Derecho a la vivienda</w:t>
      </w:r>
    </w:p>
    <w:p w:rsidR="00427CF1" w:rsidRDefault="00427CF1" w:rsidP="00427CF1">
      <w:pPr>
        <w:pStyle w:val="SangriaFrancesaArticulo"/>
      </w:pPr>
      <w:r w:rsidRPr="00427CF1">
        <w:rPr>
          <w:rStyle w:val="TextoNormalNegritaCaracter"/>
        </w:rPr>
        <w:t>Artículo 124.2</w:t>
      </w:r>
      <w:r>
        <w:t xml:space="preserve"> (redactado por la Ley del Parlamento de Cataluña 24/2015, de 29 de julio)</w:t>
      </w:r>
      <w:r w:rsidRPr="00427CF1">
        <w:rPr>
          <w:rStyle w:val="TextoNormalNegritaCaracter"/>
        </w:rPr>
        <w:t>.</w:t>
      </w:r>
      <w:r w:rsidRPr="00427CF1">
        <w:rPr>
          <w:rStyle w:val="TextoNormalCaracter"/>
        </w:rPr>
        <w:t>-</w:t>
      </w:r>
      <w:r>
        <w:t xml:space="preserve"> Auto </w:t>
      </w:r>
      <w:hyperlink w:anchor="AUTO_2016_160" w:history="1">
        <w:r w:rsidRPr="00427CF1">
          <w:rPr>
            <w:rStyle w:val="TextoNormalCaracter"/>
          </w:rPr>
          <w:t>160/2016</w:t>
        </w:r>
      </w:hyperlink>
      <w:r>
        <w:t>, f. 3.</w:t>
      </w:r>
    </w:p>
    <w:p w:rsidR="00427CF1" w:rsidRDefault="00427CF1" w:rsidP="00427CF1">
      <w:pPr>
        <w:pStyle w:val="SangriaFrancesaArticulo"/>
      </w:pPr>
    </w:p>
    <w:p w:rsidR="00427CF1" w:rsidRDefault="00427CF1" w:rsidP="00427CF1">
      <w:pPr>
        <w:pStyle w:val="TextoNormalNegritaCursivandice"/>
      </w:pPr>
      <w:r>
        <w:t>Decreto Legislativo de la Generalidad de Cataluña 2/2008, de 15 de abril. Aprueba el texto refundido de la Ley de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ff. 3, 7, VP I, VP II.</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77" w:history="1">
        <w:r w:rsidRPr="00427CF1">
          <w:rPr>
            <w:rStyle w:val="TextoNormalCaracter"/>
          </w:rPr>
          <w:t>177/2016</w:t>
        </w:r>
      </w:hyperlink>
      <w:r>
        <w:t>, f. 1.</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 </w:t>
      </w:r>
      <w:hyperlink w:anchor="SENTENCIA_2016_177" w:history="1">
        <w:r w:rsidRPr="00427CF1">
          <w:rPr>
            <w:rStyle w:val="TextoNormalCaracter"/>
          </w:rPr>
          <w:t>177/2016</w:t>
        </w:r>
      </w:hyperlink>
      <w:r>
        <w:t>, f. 3.</w:t>
      </w:r>
    </w:p>
    <w:p w:rsidR="00427CF1" w:rsidRDefault="00427CF1" w:rsidP="00427CF1">
      <w:pPr>
        <w:pStyle w:val="SangriaFrancesaArticulo"/>
      </w:pPr>
      <w:r w:rsidRPr="00427CF1">
        <w:rPr>
          <w:rStyle w:val="TextoNormalNegritaCaracter"/>
        </w:rPr>
        <w:t>Artículo 6.1 f)</w:t>
      </w:r>
      <w:r>
        <w:t xml:space="preserve"> (redactado por la Ley del Parlamento de Cataluña 28/2010, de 3 de agosto)</w:t>
      </w:r>
      <w:r w:rsidRPr="00427CF1">
        <w:rPr>
          <w:rStyle w:val="TextoNormalNegritaCaracter"/>
        </w:rPr>
        <w:t>.</w:t>
      </w:r>
      <w:r w:rsidRPr="00427CF1">
        <w:rPr>
          <w:rStyle w:val="TextoNormalCaracter"/>
        </w:rPr>
        <w:t>-</w:t>
      </w:r>
      <w:r>
        <w:t xml:space="preserve"> Sentencia </w:t>
      </w:r>
      <w:hyperlink w:anchor="SENTENCIA_2016_177" w:history="1">
        <w:r w:rsidRPr="00427CF1">
          <w:rPr>
            <w:rStyle w:val="TextoNormalCaracter"/>
          </w:rPr>
          <w:t>177/2016</w:t>
        </w:r>
      </w:hyperlink>
      <w:r>
        <w:t>, f. 3.</w:t>
      </w:r>
    </w:p>
    <w:p w:rsidR="00427CF1" w:rsidRDefault="00427CF1" w:rsidP="00427CF1">
      <w:pPr>
        <w:pStyle w:val="SangriaFrancesaArticulo"/>
      </w:pPr>
      <w:r w:rsidRPr="00427CF1">
        <w:rPr>
          <w:rStyle w:val="TextoNormalNegritaCaracter"/>
        </w:rPr>
        <w:t>Artículo 6.2.</w:t>
      </w:r>
      <w:r w:rsidRPr="00427CF1">
        <w:rPr>
          <w:rStyle w:val="TextoNormalCaracter"/>
        </w:rPr>
        <w:t>-</w:t>
      </w:r>
      <w:r>
        <w:t xml:space="preserve"> Sentencia </w:t>
      </w:r>
      <w:hyperlink w:anchor="SENTENCIA_2016_177" w:history="1">
        <w:r w:rsidRPr="00427CF1">
          <w:rPr>
            <w:rStyle w:val="TextoNormalCaracter"/>
          </w:rPr>
          <w:t>177/2016</w:t>
        </w:r>
      </w:hyperlink>
      <w:r>
        <w:t>, f. 3.</w:t>
      </w:r>
    </w:p>
    <w:p w:rsidR="00427CF1" w:rsidRDefault="00427CF1" w:rsidP="00427CF1">
      <w:pPr>
        <w:pStyle w:val="SangriaFrancesaArticulo"/>
      </w:pPr>
    </w:p>
    <w:p w:rsidR="00427CF1" w:rsidRDefault="00427CF1" w:rsidP="00427CF1">
      <w:pPr>
        <w:pStyle w:val="TextoNormalNegritaCursivandice"/>
      </w:pPr>
      <w:r>
        <w:t>Ley del Parlamento de Cataluña 3/2008, de 23 de abril. Ejercicio de las profesiones del deporte</w:t>
      </w:r>
    </w:p>
    <w:p w:rsidR="00427CF1" w:rsidRDefault="00427CF1" w:rsidP="00427CF1">
      <w:pPr>
        <w:pStyle w:val="SangriaFrancesaArticulo"/>
      </w:pPr>
      <w:r w:rsidRPr="00427CF1">
        <w:rPr>
          <w:rStyle w:val="TextoNormalNegritaCaracter"/>
        </w:rPr>
        <w:t>Artículo 8.1.</w:t>
      </w:r>
      <w:r w:rsidRPr="00427CF1">
        <w:rPr>
          <w:rStyle w:val="TextoNormalCaracter"/>
        </w:rPr>
        <w:t>-</w:t>
      </w:r>
      <w:r>
        <w:t xml:space="preserve"> Auto </w:t>
      </w:r>
      <w:hyperlink w:anchor="AUTO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Artículo 8.6.</w:t>
      </w:r>
      <w:r w:rsidRPr="00427CF1">
        <w:rPr>
          <w:rStyle w:val="TextoNormalCaracter"/>
        </w:rPr>
        <w:t>-</w:t>
      </w:r>
      <w:r>
        <w:t xml:space="preserve"> Auto </w:t>
      </w:r>
      <w:hyperlink w:anchor="AUTO_2016_140" w:history="1">
        <w:r w:rsidRPr="00427CF1">
          <w:rPr>
            <w:rStyle w:val="TextoNormalCaracter"/>
          </w:rPr>
          <w:t>140/2016</w:t>
        </w:r>
      </w:hyperlink>
      <w:r>
        <w:t>, f. 3.</w:t>
      </w:r>
    </w:p>
    <w:p w:rsidR="00427CF1" w:rsidRDefault="00427CF1" w:rsidP="00427CF1">
      <w:pPr>
        <w:pStyle w:val="SangriaFrancesaArticulo"/>
      </w:pPr>
    </w:p>
    <w:p w:rsidR="00427CF1" w:rsidRDefault="00427CF1" w:rsidP="00427CF1">
      <w:pPr>
        <w:pStyle w:val="TextoNormalNegritaCursivandice"/>
      </w:pPr>
      <w:r>
        <w:t>Ley del Parlamento de Cataluña 1/2009, de 12 de febrero, de la Autoridad Catalana de la Competencia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10.</w:t>
      </w:r>
    </w:p>
    <w:p w:rsidR="00427CF1" w:rsidRDefault="00427CF1" w:rsidP="00427CF1">
      <w:pPr>
        <w:pStyle w:val="SangriaFrancesaArticulo"/>
      </w:pPr>
    </w:p>
    <w:p w:rsidR="00427CF1" w:rsidRDefault="00427CF1" w:rsidP="00427CF1">
      <w:pPr>
        <w:pStyle w:val="TextoNormalNegritaCursivandice"/>
      </w:pPr>
      <w:r>
        <w:t>Decreto-ley de la Generalitat de Cataluña 1/2009, de 22 de diciembre. Ordenación de los equipamientos comerciales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ff. 2, 6, 8, 9.</w:t>
      </w:r>
    </w:p>
    <w:p w:rsidR="00427CF1" w:rsidRDefault="00427CF1" w:rsidP="00427CF1">
      <w:pPr>
        <w:pStyle w:val="SangriaFrancesaArticulo"/>
      </w:pPr>
      <w:r w:rsidRPr="00427CF1">
        <w:rPr>
          <w:rStyle w:val="TextoNormalNegritaCaracter"/>
        </w:rPr>
        <w:t>Título II.</w:t>
      </w:r>
      <w:r w:rsidRPr="00427CF1">
        <w:rPr>
          <w:rStyle w:val="TextoNormalCaracter"/>
        </w:rPr>
        <w:t>-</w:t>
      </w:r>
      <w:r>
        <w:t xml:space="preserve"> Sentencia </w:t>
      </w:r>
      <w:hyperlink w:anchor="SENTENCIA_2016_175" w:history="1">
        <w:r w:rsidRPr="00427CF1">
          <w:rPr>
            <w:rStyle w:val="TextoNormalCaracter"/>
          </w:rPr>
          <w:t>175/2016</w:t>
        </w:r>
      </w:hyperlink>
      <w:r>
        <w:t>, f. 4.</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57" w:history="1">
        <w:r w:rsidRPr="00427CF1">
          <w:rPr>
            <w:rStyle w:val="TextoNormalCaracter"/>
          </w:rPr>
          <w:t>157/2016</w:t>
        </w:r>
      </w:hyperlink>
      <w:r>
        <w:t>, ff. 2, 5, 6.</w:t>
      </w:r>
    </w:p>
    <w:p w:rsidR="00427CF1" w:rsidRDefault="00427CF1" w:rsidP="00427CF1">
      <w:pPr>
        <w:pStyle w:val="SangriaFrancesaArticulo"/>
      </w:pPr>
      <w:r w:rsidRPr="00427CF1">
        <w:rPr>
          <w:rStyle w:val="TextoNormalNegritaCaracter"/>
        </w:rPr>
        <w:t>Preámbulo, apartado II.</w:t>
      </w:r>
      <w:r w:rsidRPr="00427CF1">
        <w:rPr>
          <w:rStyle w:val="TextoNormalCaracter"/>
        </w:rPr>
        <w:t>-</w:t>
      </w:r>
      <w:r>
        <w:t xml:space="preserve"> Sentencia </w:t>
      </w:r>
      <w:hyperlink w:anchor="SENTENCIA_2016_175" w:history="1">
        <w:r w:rsidRPr="00427CF1">
          <w:rPr>
            <w:rStyle w:val="TextoNormalCaracter"/>
          </w:rPr>
          <w:t>175/2016</w:t>
        </w:r>
      </w:hyperlink>
      <w:r>
        <w:t>, f. 4.</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Sentencia </w:t>
      </w:r>
      <w:hyperlink w:anchor="SENTENCIA_2016_128" w:history="1">
        <w:r w:rsidRPr="00427CF1">
          <w:rPr>
            <w:rStyle w:val="TextoNormalCaracter"/>
          </w:rPr>
          <w:t>128/2016</w:t>
        </w:r>
      </w:hyperlink>
      <w:r>
        <w:t>, f. 3.</w:t>
      </w:r>
    </w:p>
    <w:p w:rsidR="00427CF1" w:rsidRDefault="00427CF1" w:rsidP="00427CF1">
      <w:pPr>
        <w:pStyle w:val="SangriaFrancesaArticulo"/>
      </w:pPr>
      <w:r w:rsidRPr="00427CF1">
        <w:rPr>
          <w:rStyle w:val="TextoNormalNegritaCaracter"/>
        </w:rPr>
        <w:t>Artículo 6.1 a).</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Sentencia </w:t>
      </w:r>
      <w:hyperlink w:anchor="SENTENCIA_2016_175" w:history="1">
        <w:r w:rsidRPr="00427CF1">
          <w:rPr>
            <w:rStyle w:val="TextoNormalCaracter"/>
          </w:rPr>
          <w:t>175/2016</w:t>
        </w:r>
      </w:hyperlink>
      <w:r>
        <w:t>, f. 4.</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Sentencias </w:t>
      </w:r>
      <w:hyperlink w:anchor="SENTENCIA_2016_157" w:history="1">
        <w:r w:rsidRPr="00427CF1">
          <w:rPr>
            <w:rStyle w:val="TextoNormalCaracter"/>
          </w:rPr>
          <w:t>157/2016</w:t>
        </w:r>
      </w:hyperlink>
      <w:r>
        <w:t xml:space="preserve">, f. 2; </w:t>
      </w:r>
      <w:hyperlink w:anchor="SENTENCIA_2016_175" w:history="1">
        <w:r w:rsidRPr="00427CF1">
          <w:rPr>
            <w:rStyle w:val="TextoNormalCaracter"/>
          </w:rPr>
          <w:t>175/2016</w:t>
        </w:r>
      </w:hyperlink>
      <w:r>
        <w:t>, ff. 3, 4.</w:t>
      </w:r>
    </w:p>
    <w:p w:rsidR="00427CF1" w:rsidRDefault="00427CF1" w:rsidP="00427CF1">
      <w:pPr>
        <w:pStyle w:val="SangriaFrancesaArticulo"/>
      </w:pPr>
      <w:r w:rsidRPr="00427CF1">
        <w:rPr>
          <w:rStyle w:val="TextoNormalNegritaCaracter"/>
        </w:rPr>
        <w:t>Artículo 9.3</w:t>
      </w:r>
      <w:r>
        <w:t xml:space="preserve"> (redactado por la Ley del Parlamento de Cataluña 9/2011, de 29 de diciembre)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IzquierdaArticulo"/>
      </w:pPr>
      <w:r>
        <w:t xml:space="preserve">Auto </w:t>
      </w:r>
      <w:hyperlink w:anchor="AUTO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9.3 a).</w:t>
      </w:r>
      <w:r w:rsidRPr="00427CF1">
        <w:rPr>
          <w:rStyle w:val="TextoNormalCaracter"/>
        </w:rPr>
        <w:t>-</w:t>
      </w:r>
      <w:r>
        <w:t xml:space="preserve"> Sentencia </w:t>
      </w:r>
      <w:hyperlink w:anchor="SENTENCIA_2016_157" w:history="1">
        <w:r w:rsidRPr="00427CF1">
          <w:rPr>
            <w:rStyle w:val="TextoNormalCaracter"/>
          </w:rPr>
          <w:t>157/2016</w:t>
        </w:r>
      </w:hyperlink>
      <w:r>
        <w:t>, ff. 2, 9.</w:t>
      </w:r>
    </w:p>
    <w:p w:rsidR="00427CF1" w:rsidRDefault="00427CF1" w:rsidP="00427CF1">
      <w:pPr>
        <w:pStyle w:val="SangriaFrancesaArticulo"/>
      </w:pPr>
      <w:r w:rsidRPr="00427CF1">
        <w:rPr>
          <w:rStyle w:val="TextoNormalNegritaCaracter"/>
        </w:rPr>
        <w:t>Artículo 9.3 apartado 1 b).</w:t>
      </w:r>
      <w:r w:rsidRPr="00427CF1">
        <w:rPr>
          <w:rStyle w:val="TextoNormalCaracter"/>
        </w:rPr>
        <w:t>-</w:t>
      </w:r>
      <w:r>
        <w:t xml:space="preserve"> Sentencia </w:t>
      </w:r>
      <w:hyperlink w:anchor="SENTENCIA_2016_175" w:history="1">
        <w:r w:rsidRPr="00427CF1">
          <w:rPr>
            <w:rStyle w:val="TextoNormalCaracter"/>
          </w:rPr>
          <w:t>175/2016</w:t>
        </w:r>
      </w:hyperlink>
      <w:r>
        <w:t>, ff. 3, 4.</w:t>
      </w:r>
    </w:p>
    <w:p w:rsidR="00427CF1" w:rsidRDefault="00427CF1" w:rsidP="00427CF1">
      <w:pPr>
        <w:pStyle w:val="SangriaFrancesaArticulo"/>
      </w:pPr>
      <w:r w:rsidRPr="00427CF1">
        <w:rPr>
          <w:rStyle w:val="TextoNormalNegritaCaracter"/>
        </w:rPr>
        <w:t>Artículo 9.3 apartado 4.</w:t>
      </w:r>
      <w:r w:rsidRPr="00427CF1">
        <w:rPr>
          <w:rStyle w:val="TextoNormalCaracter"/>
        </w:rPr>
        <w:t>-</w:t>
      </w:r>
      <w:r>
        <w:t xml:space="preserve"> Sentencia </w:t>
      </w:r>
      <w:hyperlink w:anchor="SENTENCIA_2016_175" w:history="1">
        <w:r w:rsidRPr="00427CF1">
          <w:rPr>
            <w:rStyle w:val="TextoNormalCaracter"/>
          </w:rPr>
          <w:t>175/2016</w:t>
        </w:r>
      </w:hyperlink>
      <w:r>
        <w:t>, f. 3.</w:t>
      </w:r>
    </w:p>
    <w:p w:rsidR="00427CF1" w:rsidRDefault="00427CF1" w:rsidP="00427CF1">
      <w:pPr>
        <w:pStyle w:val="SangriaFrancesaArticulo"/>
      </w:pPr>
      <w:r w:rsidRPr="00427CF1">
        <w:rPr>
          <w:rStyle w:val="TextoNormalNegritaCaracter"/>
        </w:rPr>
        <w:t>Artículo 9.3 b).</w:t>
      </w:r>
      <w:r w:rsidRPr="00427CF1">
        <w:rPr>
          <w:rStyle w:val="TextoNormalCaracter"/>
        </w:rPr>
        <w:t>-</w:t>
      </w:r>
      <w:r>
        <w:t xml:space="preserve"> Sentencias </w:t>
      </w:r>
      <w:hyperlink w:anchor="SENTENCIA_2016_157" w:history="1">
        <w:r w:rsidRPr="00427CF1">
          <w:rPr>
            <w:rStyle w:val="TextoNormalCaracter"/>
          </w:rPr>
          <w:t>157/2016</w:t>
        </w:r>
      </w:hyperlink>
      <w:r>
        <w:t xml:space="preserve">, ff. 2, 6; </w:t>
      </w:r>
      <w:hyperlink w:anchor="SENTENCIA_2016_175" w:history="1">
        <w:r w:rsidRPr="00427CF1">
          <w:rPr>
            <w:rStyle w:val="TextoNormalCaracter"/>
          </w:rPr>
          <w:t>175/2016</w:t>
        </w:r>
      </w:hyperlink>
      <w:r>
        <w:t>, f. 5.</w:t>
      </w:r>
    </w:p>
    <w:p w:rsidR="00427CF1" w:rsidRDefault="00427CF1" w:rsidP="00427CF1">
      <w:pPr>
        <w:pStyle w:val="SangriaFrancesaArticulo"/>
      </w:pPr>
      <w:r w:rsidRPr="00427CF1">
        <w:rPr>
          <w:rStyle w:val="TextoNormalNegritaCaracter"/>
        </w:rPr>
        <w:t>Artículo 9.3 b)</w:t>
      </w:r>
      <w:r>
        <w:t xml:space="preserve"> (redactado por el Decreto-ley de la Generalidad de Cataluña 7/2014, de 23 de diciembre)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ff. 1, 9, VP.</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Artículo 9.4</w:t>
      </w:r>
      <w:r>
        <w:t xml:space="preserve"> (redactado por la Ley del Parlamento de Cataluña 9/2011, de 29 de diciembre)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IzquierdaArticulo"/>
      </w:pPr>
      <w:r>
        <w:t xml:space="preserve">Auto </w:t>
      </w:r>
      <w:hyperlink w:anchor="AUTO_2016_182" w:history="1">
        <w:r w:rsidRPr="00427CF1">
          <w:rPr>
            <w:rStyle w:val="TextoNormalCaracter"/>
          </w:rPr>
          <w:t>182/2016</w:t>
        </w:r>
      </w:hyperlink>
      <w:r>
        <w:t>, f. 4.</w:t>
      </w:r>
    </w:p>
    <w:p w:rsidR="00427CF1" w:rsidRDefault="00427CF1" w:rsidP="00427CF1">
      <w:pPr>
        <w:pStyle w:val="SangriaFrancesaArticulo"/>
      </w:pPr>
      <w:r w:rsidRPr="00427CF1">
        <w:rPr>
          <w:rStyle w:val="TextoNormalNegritaCaracter"/>
        </w:rPr>
        <w:t>Artículo 9.4 párrafo 2.</w:t>
      </w:r>
      <w:r w:rsidRPr="00427CF1">
        <w:rPr>
          <w:rStyle w:val="TextoNormalCaracter"/>
        </w:rPr>
        <w:t>-</w:t>
      </w:r>
      <w:r>
        <w:t xml:space="preserve"> Sentencia </w:t>
      </w:r>
      <w:hyperlink w:anchor="SENTENCIA_2016_157" w:history="1">
        <w:r w:rsidRPr="00427CF1">
          <w:rPr>
            <w:rStyle w:val="TextoNormalCaracter"/>
          </w:rPr>
          <w:t>157/2016</w:t>
        </w:r>
      </w:hyperlink>
      <w:r>
        <w:t>, ff. 2, 6.</w:t>
      </w:r>
    </w:p>
    <w:p w:rsidR="00427CF1" w:rsidRDefault="00427CF1" w:rsidP="00427CF1">
      <w:pPr>
        <w:pStyle w:val="SangriaFrancesaArticulo"/>
      </w:pPr>
      <w:r w:rsidRPr="00427CF1">
        <w:rPr>
          <w:rStyle w:val="TextoNormalNegritaCaracter"/>
        </w:rPr>
        <w:t>Artículo 9.4 párrafo 2</w:t>
      </w:r>
      <w:r>
        <w:t xml:space="preserve"> (redactado por el Decreto-ley de la Generalidad de Cataluña 7/2014, de 23 de diciembre)</w:t>
      </w:r>
      <w:r w:rsidRPr="00427CF1">
        <w:rPr>
          <w:rStyle w:val="TextoNormalNegritaCaracter"/>
        </w:rPr>
        <w:t>.</w:t>
      </w:r>
      <w:r w:rsidRPr="00427CF1">
        <w:rPr>
          <w:rStyle w:val="TextoNormalCaracter"/>
        </w:rPr>
        <w:t>-</w:t>
      </w:r>
      <w:r>
        <w:t xml:space="preserve"> Sentencia </w:t>
      </w:r>
      <w:hyperlink w:anchor="SENTENCIA_2016_157" w:history="1">
        <w:r w:rsidRPr="00427CF1">
          <w:rPr>
            <w:rStyle w:val="TextoNormalCaracter"/>
          </w:rPr>
          <w:t>157/2016</w:t>
        </w:r>
      </w:hyperlink>
      <w:r>
        <w:t>, ff. 1, 9, VP.</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Artículo 19.</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 </w:t>
      </w:r>
      <w:hyperlink w:anchor="SENTENCIA_2016_175" w:history="1">
        <w:r w:rsidRPr="00427CF1">
          <w:rPr>
            <w:rStyle w:val="TextoNormalCaracter"/>
          </w:rPr>
          <w:t>175/2016</w:t>
        </w:r>
      </w:hyperlink>
      <w:r>
        <w:t>, f. 3.</w:t>
      </w:r>
    </w:p>
    <w:p w:rsidR="00427CF1" w:rsidRDefault="00427CF1" w:rsidP="00427CF1">
      <w:pPr>
        <w:pStyle w:val="SangriaFrancesaArticulo"/>
      </w:pPr>
      <w:r w:rsidRPr="00427CF1">
        <w:rPr>
          <w:rStyle w:val="TextoNormalNegritaCaracter"/>
        </w:rPr>
        <w:t>Artículo 21.3 a).</w:t>
      </w:r>
      <w:r w:rsidRPr="00427CF1">
        <w:rPr>
          <w:rStyle w:val="TextoNormalCaracter"/>
        </w:rPr>
        <w:t>-</w:t>
      </w:r>
      <w:r>
        <w:t xml:space="preserve"> Sentencia </w:t>
      </w:r>
      <w:hyperlink w:anchor="SENTENCIA_2016_175" w:history="1">
        <w:r w:rsidRPr="00427CF1">
          <w:rPr>
            <w:rStyle w:val="TextoNormalCaracter"/>
          </w:rPr>
          <w:t>175/2016</w:t>
        </w:r>
      </w:hyperlink>
      <w:r>
        <w:t>, ff. 1, 3 a 5.</w:t>
      </w:r>
    </w:p>
    <w:p w:rsidR="00427CF1" w:rsidRDefault="00427CF1" w:rsidP="00427CF1">
      <w:pPr>
        <w:pStyle w:val="SangriaFrancesaArticulo"/>
      </w:pPr>
      <w:r w:rsidRPr="00427CF1">
        <w:rPr>
          <w:rStyle w:val="TextoNormalNegritaCaracter"/>
        </w:rPr>
        <w:t>Disposición adicional duodécima</w:t>
      </w:r>
      <w:r>
        <w:t xml:space="preserve"> (redactada por la Ley del Parlamento de Cataluña 3/2015, de 11 de marzo)</w:t>
      </w:r>
      <w:r w:rsidRPr="00427CF1">
        <w:rPr>
          <w:rStyle w:val="TextoNormalNegritaCaracter"/>
        </w:rPr>
        <w:t>.</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7" w:history="1">
        <w:r w:rsidRPr="00427CF1">
          <w:rPr>
            <w:rStyle w:val="TextoNormalCaracter"/>
          </w:rPr>
          <w:t>157/2016</w:t>
        </w:r>
      </w:hyperlink>
      <w:r>
        <w:t>, f. 2.</w:t>
      </w:r>
    </w:p>
    <w:p w:rsidR="00427CF1" w:rsidRDefault="00427CF1" w:rsidP="00427CF1">
      <w:pPr>
        <w:pStyle w:val="SangriaFrancesaArticulo"/>
      </w:pPr>
    </w:p>
    <w:p w:rsidR="00427CF1" w:rsidRDefault="00427CF1" w:rsidP="00427CF1">
      <w:pPr>
        <w:pStyle w:val="TextoNormalNegritaCursivandice"/>
      </w:pPr>
      <w:r>
        <w:t>Ley del Parlamento de Cataluña 26/2010, de 3 de agosto. Régimen jurídico y de procedimiento de las administraciones públicas de Cataluña</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3 a).</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r w:rsidRPr="00427CF1">
        <w:rPr>
          <w:rStyle w:val="TextoNormalNegritaCaracter"/>
        </w:rPr>
        <w:t>Artículo 3 b).</w:t>
      </w:r>
      <w:r w:rsidRPr="00427CF1">
        <w:rPr>
          <w:rStyle w:val="TextoNormalCaracter"/>
        </w:rPr>
        <w:t>-</w:t>
      </w:r>
      <w:r>
        <w:t xml:space="preserve"> Sentencia </w:t>
      </w:r>
      <w:hyperlink w:anchor="SENTENCIA_2016_128" w:history="1">
        <w:r w:rsidRPr="00427CF1">
          <w:rPr>
            <w:rStyle w:val="TextoNormalCaracter"/>
          </w:rPr>
          <w:t>128/2016</w:t>
        </w:r>
      </w:hyperlink>
      <w:r>
        <w:t>, f. 7.</w:t>
      </w:r>
    </w:p>
    <w:p w:rsidR="00427CF1" w:rsidRDefault="00427CF1" w:rsidP="00427CF1">
      <w:pPr>
        <w:pStyle w:val="SangriaFrancesaArticulo"/>
      </w:pPr>
    </w:p>
    <w:p w:rsidR="00427CF1" w:rsidRDefault="00427CF1" w:rsidP="00427CF1">
      <w:pPr>
        <w:pStyle w:val="TextoNormalNegritaCursivandice"/>
      </w:pPr>
      <w:r>
        <w:t>Ley del Parlamento de Cataluña 28/2010, de 3 de agosto. Modificación del artículo 6 del texto refundido de la Ley de protección de los animales, aprobado por el Decreto legislativo 2/2008, de 15 de abril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ff. 2, 3, 6, VP II.</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77" w:history="1">
        <w:r w:rsidRPr="00427CF1">
          <w:rPr>
            <w:rStyle w:val="TextoNormalCaracter"/>
          </w:rPr>
          <w:t>177/2016</w:t>
        </w:r>
      </w:hyperlink>
      <w:r>
        <w:t>, f.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77" w:history="1">
        <w:r w:rsidRPr="00427CF1">
          <w:rPr>
            <w:rStyle w:val="TextoNormalCaracter"/>
          </w:rPr>
          <w:t>177/2016</w:t>
        </w:r>
      </w:hyperlink>
      <w:r>
        <w:t>, ff. 1, 3, 7.</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77" w:history="1">
        <w:r w:rsidRPr="00427CF1">
          <w:rPr>
            <w:rStyle w:val="TextoNormalCaracter"/>
          </w:rPr>
          <w:t>177/2016</w:t>
        </w:r>
      </w:hyperlink>
      <w:r>
        <w:t>, f. 3.</w:t>
      </w:r>
    </w:p>
    <w:p w:rsidR="00427CF1" w:rsidRDefault="00427CF1" w:rsidP="00427CF1">
      <w:pPr>
        <w:pStyle w:val="SangriaFrancesaArticulo"/>
      </w:pPr>
    </w:p>
    <w:p w:rsidR="00427CF1" w:rsidRDefault="00427CF1" w:rsidP="00427CF1">
      <w:pPr>
        <w:pStyle w:val="TextoNormalNegritaCursivandice"/>
      </w:pPr>
      <w:r>
        <w:t>Ley del Parlamento de Cataluña 9/2011, de 29 de diciembre. Promoción de la actividad económica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VP.</w:t>
      </w:r>
    </w:p>
    <w:p w:rsidR="00427CF1" w:rsidRDefault="00427CF1" w:rsidP="00427CF1">
      <w:pPr>
        <w:pStyle w:val="SangriaIzquierdaArticulo"/>
      </w:pPr>
      <w:r>
        <w:t xml:space="preserve">Auto </w:t>
      </w:r>
      <w:hyperlink w:anchor="AUTO_2016_182" w:history="1">
        <w:r w:rsidRPr="00427CF1">
          <w:rPr>
            <w:rStyle w:val="TextoNormalCaracter"/>
          </w:rPr>
          <w:t>182/2016</w:t>
        </w:r>
      </w:hyperlink>
      <w:r>
        <w:t>, ff. 1.</w:t>
      </w:r>
    </w:p>
    <w:p w:rsidR="00427CF1" w:rsidRDefault="00427CF1" w:rsidP="00427CF1">
      <w:pPr>
        <w:pStyle w:val="SangriaFrancesaArticulo"/>
      </w:pPr>
      <w:r w:rsidRPr="00427CF1">
        <w:rPr>
          <w:rStyle w:val="TextoNormalNegritaCaracter"/>
        </w:rPr>
        <w:t>Artículo 114.</w:t>
      </w:r>
      <w:r w:rsidRPr="00427CF1">
        <w:rPr>
          <w:rStyle w:val="TextoNormalCaracter"/>
        </w:rPr>
        <w:t>-</w:t>
      </w:r>
      <w:r>
        <w:t xml:space="preserve"> Sentencia </w:t>
      </w:r>
      <w:hyperlink w:anchor="SENTENCIA_2016_157" w:history="1">
        <w:r w:rsidRPr="00427CF1">
          <w:rPr>
            <w:rStyle w:val="TextoNormalCaracter"/>
          </w:rPr>
          <w:t>157/2016</w:t>
        </w:r>
      </w:hyperlink>
      <w:r>
        <w:t>, ff. 2, 9.</w:t>
      </w:r>
    </w:p>
    <w:p w:rsidR="00427CF1" w:rsidRDefault="00427CF1" w:rsidP="00427CF1">
      <w:pPr>
        <w:pStyle w:val="SangriaIzquierdaArticulo"/>
      </w:pPr>
      <w:r>
        <w:t xml:space="preserve">Auto </w:t>
      </w:r>
      <w:hyperlink w:anchor="AUTO_2016_182" w:history="1">
        <w:r w:rsidRPr="00427CF1">
          <w:rPr>
            <w:rStyle w:val="TextoNormalCaracter"/>
          </w:rPr>
          <w:t>182/2016</w:t>
        </w:r>
      </w:hyperlink>
      <w:r>
        <w:t>, f. 4.</w:t>
      </w:r>
    </w:p>
    <w:p w:rsidR="00427CF1" w:rsidRDefault="00427CF1" w:rsidP="00427CF1">
      <w:pPr>
        <w:pStyle w:val="SangriaIzquierdaArticulo"/>
      </w:pPr>
    </w:p>
    <w:p w:rsidR="00427CF1" w:rsidRDefault="00427CF1" w:rsidP="00427CF1">
      <w:pPr>
        <w:pStyle w:val="TextoNormalNegritaCursivandice"/>
      </w:pPr>
      <w:r>
        <w:t>Decreto-ley de la Generalidad de Cataluña 4/2012, de 30 de octubre. Medidas en materia de horarios comerciales y determinadas actividades de promoción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1" w:history="1">
        <w:r w:rsidRPr="00427CF1">
          <w:rPr>
            <w:rStyle w:val="TextoNormalCaracter"/>
          </w:rPr>
          <w:t>211/2016</w:t>
        </w:r>
      </w:hyperlink>
      <w:r>
        <w:t>, ff. 1 a 4, 6 a 8.</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211" w:history="1">
        <w:r w:rsidRPr="00427CF1">
          <w:rPr>
            <w:rStyle w:val="TextoNormalCaracter"/>
          </w:rPr>
          <w:t>211/2016</w:t>
        </w:r>
      </w:hyperlink>
      <w:r>
        <w:t>, ff. 4, 5.</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11" w:history="1">
        <w:r w:rsidRPr="00427CF1">
          <w:rPr>
            <w:rStyle w:val="TextoNormalCaracter"/>
          </w:rPr>
          <w:t>211/2016</w:t>
        </w:r>
      </w:hyperlink>
      <w:r>
        <w:t>, ff. 2, 6.</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11" w:history="1">
        <w:r w:rsidRPr="00427CF1">
          <w:rPr>
            <w:rStyle w:val="TextoNormalCaracter"/>
          </w:rPr>
          <w:t>211/2016</w:t>
        </w:r>
      </w:hyperlink>
      <w:r>
        <w:t>, f. 6.</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211" w:history="1">
        <w:r w:rsidRPr="00427CF1">
          <w:rPr>
            <w:rStyle w:val="TextoNormalCaracter"/>
          </w:rPr>
          <w:t>211/2016</w:t>
        </w:r>
      </w:hyperlink>
      <w:r>
        <w:t>, ff. 1, 2.</w:t>
      </w:r>
    </w:p>
    <w:p w:rsidR="00427CF1" w:rsidRDefault="00427CF1" w:rsidP="00427CF1">
      <w:pPr>
        <w:pStyle w:val="SangriaFrancesaArticulo"/>
      </w:pPr>
      <w:r w:rsidRPr="00427CF1">
        <w:rPr>
          <w:rStyle w:val="TextoNormalNegritaCaracter"/>
        </w:rPr>
        <w:t>Artículo 5 a).</w:t>
      </w:r>
      <w:r w:rsidRPr="00427CF1">
        <w:rPr>
          <w:rStyle w:val="TextoNormalCaracter"/>
        </w:rPr>
        <w:t>-</w:t>
      </w:r>
      <w:r>
        <w:t xml:space="preserve"> Sentencia </w:t>
      </w:r>
      <w:hyperlink w:anchor="SENTENCIA_2016_211" w:history="1">
        <w:r w:rsidRPr="00427CF1">
          <w:rPr>
            <w:rStyle w:val="TextoNormalCaracter"/>
          </w:rPr>
          <w:t>211/2016</w:t>
        </w:r>
      </w:hyperlink>
      <w:r>
        <w:t>, f. 9.</w:t>
      </w:r>
    </w:p>
    <w:p w:rsidR="00427CF1" w:rsidRDefault="00427CF1" w:rsidP="00427CF1">
      <w:pPr>
        <w:pStyle w:val="SangriaFrancesaArticulo"/>
      </w:pPr>
      <w:r w:rsidRPr="00427CF1">
        <w:rPr>
          <w:rStyle w:val="TextoNormalNegritaCaracter"/>
        </w:rPr>
        <w:t>Artículo 5 b).</w:t>
      </w:r>
      <w:r w:rsidRPr="00427CF1">
        <w:rPr>
          <w:rStyle w:val="TextoNormalCaracter"/>
        </w:rPr>
        <w:t>-</w:t>
      </w:r>
      <w:r>
        <w:t xml:space="preserve"> Sentencia </w:t>
      </w:r>
      <w:hyperlink w:anchor="SENTENCIA_2016_211" w:history="1">
        <w:r w:rsidRPr="00427CF1">
          <w:rPr>
            <w:rStyle w:val="TextoNormalCaracter"/>
          </w:rPr>
          <w:t>211/2016</w:t>
        </w:r>
      </w:hyperlink>
      <w:r>
        <w:t>, f. 9.</w:t>
      </w:r>
    </w:p>
    <w:p w:rsidR="00427CF1" w:rsidRDefault="00427CF1" w:rsidP="00427CF1">
      <w:pPr>
        <w:pStyle w:val="SangriaFrancesaArticulo"/>
      </w:pPr>
    </w:p>
    <w:p w:rsidR="00427CF1" w:rsidRDefault="00427CF1" w:rsidP="00427CF1">
      <w:pPr>
        <w:pStyle w:val="TextoNormalNegritaCursivandice"/>
      </w:pPr>
      <w:r>
        <w:t>Decreto-ley de la Generalitat de Cataluña 5/2012, de 18 de diciembre. Impuesto sobre los depósitos en las entidades de crédito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7" w:history="1">
        <w:r w:rsidRPr="00427CF1">
          <w:rPr>
            <w:rStyle w:val="TextoNormalCaracter"/>
          </w:rPr>
          <w:t>157/2016</w:t>
        </w:r>
      </w:hyperlink>
      <w:r>
        <w:t>, f. 4.</w:t>
      </w:r>
    </w:p>
    <w:p w:rsidR="00427CF1" w:rsidRDefault="00427CF1" w:rsidP="00427CF1">
      <w:pPr>
        <w:pStyle w:val="SangriaFrancesaArticulo"/>
      </w:pPr>
    </w:p>
    <w:p w:rsidR="00427CF1" w:rsidRDefault="00427CF1" w:rsidP="00427CF1">
      <w:pPr>
        <w:pStyle w:val="TextoNormalNegritaCursivandice"/>
      </w:pPr>
      <w:r>
        <w:t>Ley del Parlamento de Cataluña 2/2014, de 27 de enero. Medidas fiscales, administrativas, financieras y del sector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Disposición adicional vigésima séptima.</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Disposición transitoria octava.</w:t>
      </w:r>
      <w:r w:rsidRPr="00427CF1">
        <w:rPr>
          <w:rStyle w:val="TextoNormalCaracter"/>
        </w:rPr>
        <w:t>-</w:t>
      </w:r>
      <w:r>
        <w:t xml:space="preserve"> Sentencia </w:t>
      </w:r>
      <w:hyperlink w:anchor="SENTENCIA_2016_157" w:history="1">
        <w:r w:rsidRPr="00427CF1">
          <w:rPr>
            <w:rStyle w:val="TextoNormalCaracter"/>
          </w:rPr>
          <w:t>157/2016</w:t>
        </w:r>
      </w:hyperlink>
      <w:r>
        <w:t>, ff. 2, 6, 9, VP.</w:t>
      </w:r>
    </w:p>
    <w:p w:rsidR="00427CF1" w:rsidRDefault="00427CF1" w:rsidP="00427CF1">
      <w:pPr>
        <w:pStyle w:val="SangriaFrancesaArticulo"/>
      </w:pPr>
    </w:p>
    <w:p w:rsidR="00427CF1" w:rsidRDefault="00427CF1" w:rsidP="00427CF1">
      <w:pPr>
        <w:pStyle w:val="TextoNormalNegritaCursivandice"/>
      </w:pPr>
      <w:r>
        <w:t>Ley del Parlamento de Cataluña 3/2014, de 19 de febrero. Horarios comerciales y de medidas para determinadas actividades de promoción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1.2 a).</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1.2 b).</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1.2 c).</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1.2 e).</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Artículo 16.10.</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r w:rsidRPr="00427CF1">
        <w:rPr>
          <w:rStyle w:val="TextoNormalNegritaCaracter"/>
        </w:rPr>
        <w:t>Disposición derogatoria, apartado 1.</w:t>
      </w:r>
      <w:r w:rsidRPr="00427CF1">
        <w:rPr>
          <w:rStyle w:val="TextoNormalCaracter"/>
        </w:rPr>
        <w:t>-</w:t>
      </w:r>
      <w:r>
        <w:t xml:space="preserve"> Sentencia </w:t>
      </w:r>
      <w:hyperlink w:anchor="SENTENCIA_2016_211" w:history="1">
        <w:r w:rsidRPr="00427CF1">
          <w:rPr>
            <w:rStyle w:val="TextoNormalCaracter"/>
          </w:rPr>
          <w:t>211/2016</w:t>
        </w:r>
      </w:hyperlink>
      <w:r>
        <w:t>, f. 2.</w:t>
      </w:r>
    </w:p>
    <w:p w:rsidR="00427CF1" w:rsidRDefault="00427CF1" w:rsidP="00427CF1">
      <w:pPr>
        <w:pStyle w:val="SangriaFrancesaArticulo"/>
      </w:pPr>
    </w:p>
    <w:p w:rsidR="00427CF1" w:rsidRDefault="00427CF1" w:rsidP="00427CF1">
      <w:pPr>
        <w:pStyle w:val="TextoNormalNegritaCursivandice"/>
      </w:pPr>
      <w:r>
        <w:t>Ley del Parlamento de Cataluña 16/2014, de 4 de diciembre. Acción exterior y de relaciones con la Unión Europea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8" w:history="1">
        <w:r w:rsidRPr="00427CF1">
          <w:rPr>
            <w:rStyle w:val="TextoNormalCaracter"/>
          </w:rPr>
          <w:t>228/2016</w:t>
        </w:r>
      </w:hyperlink>
      <w:r>
        <w:t>, ff. 1 a 4, 10, 11, VP I.</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Título IV, capítulo I.</w:t>
      </w:r>
      <w:r w:rsidRPr="00427CF1">
        <w:rPr>
          <w:rStyle w:val="TextoNormalCaracter"/>
        </w:rPr>
        <w:t>-</w:t>
      </w:r>
      <w:r>
        <w:t xml:space="preserve"> Sentencia </w:t>
      </w:r>
      <w:hyperlink w:anchor="SENTENCIA_2016_228" w:history="1">
        <w:r w:rsidRPr="00427CF1">
          <w:rPr>
            <w:rStyle w:val="TextoNormalCaracter"/>
          </w:rPr>
          <w:t>228/2016</w:t>
        </w:r>
      </w:hyperlink>
      <w:r>
        <w:t>, VP I.</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228" w:history="1">
        <w:r w:rsidRPr="00427CF1">
          <w:rPr>
            <w:rStyle w:val="TextoNormalCaracter"/>
          </w:rPr>
          <w:t>228/2016</w:t>
        </w:r>
      </w:hyperlink>
      <w:r>
        <w:t>, ff. 4, 5.</w:t>
      </w:r>
    </w:p>
    <w:p w:rsidR="00427CF1" w:rsidRDefault="00427CF1" w:rsidP="00427CF1">
      <w:pPr>
        <w:pStyle w:val="SangriaFrancesaArticulo"/>
      </w:pPr>
      <w:r w:rsidRPr="00427CF1">
        <w:rPr>
          <w:rStyle w:val="TextoNormalNegritaCaracter"/>
        </w:rPr>
        <w:t>Artículo 1 a 9.</w:t>
      </w:r>
      <w:r w:rsidRPr="00427CF1">
        <w:rPr>
          <w:rStyle w:val="TextoNormalCaracter"/>
        </w:rPr>
        <w:t>-</w:t>
      </w:r>
      <w:r>
        <w:t xml:space="preserve"> Sentencia </w:t>
      </w:r>
      <w:hyperlink w:anchor="SENTENCIA_2016_228" w:history="1">
        <w:r w:rsidRPr="00427CF1">
          <w:rPr>
            <w:rStyle w:val="TextoNormalCaracter"/>
          </w:rPr>
          <w:t>228/2016</w:t>
        </w:r>
      </w:hyperlink>
      <w:r>
        <w:t>, ff. 1, 2.</w:t>
      </w:r>
    </w:p>
    <w:p w:rsidR="00427CF1" w:rsidRDefault="00427CF1" w:rsidP="00427CF1">
      <w:pPr>
        <w:pStyle w:val="SangriaFrancesaArticulo"/>
      </w:pPr>
      <w:r w:rsidRPr="00427CF1">
        <w:rPr>
          <w:rStyle w:val="TextoNormalNegritaCaracter"/>
        </w:rPr>
        <w:t>Artículo 1.1 a).</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1.1 b).</w:t>
      </w:r>
      <w:r w:rsidRPr="00427CF1">
        <w:rPr>
          <w:rStyle w:val="TextoNormalCaracter"/>
        </w:rPr>
        <w:t>-</w:t>
      </w:r>
      <w:r>
        <w:t xml:space="preserve"> Sentencia </w:t>
      </w:r>
      <w:hyperlink w:anchor="SENTENCIA_2016_228" w:history="1">
        <w:r w:rsidRPr="00427CF1">
          <w:rPr>
            <w:rStyle w:val="TextoNormalCaracter"/>
          </w:rPr>
          <w:t>228/2016</w:t>
        </w:r>
      </w:hyperlink>
      <w:r>
        <w:t>, f. 4, VP II.</w:t>
      </w:r>
    </w:p>
    <w:p w:rsidR="00427CF1" w:rsidRDefault="00427CF1" w:rsidP="00427CF1">
      <w:pPr>
        <w:pStyle w:val="SangriaFrancesaArticulo"/>
      </w:pPr>
      <w:r w:rsidRPr="00427CF1">
        <w:rPr>
          <w:rStyle w:val="TextoNormalNegritaCaracter"/>
        </w:rPr>
        <w:t>Artículo 1.1 c).</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 xml:space="preserve">Artículo 1.1 párrafo 1, inciso </w:t>
      </w:r>
      <w:r w:rsidRPr="00427CF1">
        <w:rPr>
          <w:rStyle w:val="TextoNormalNegritaCursivaCaracter"/>
        </w:rPr>
        <w:t>in fine</w:t>
      </w:r>
      <w:r w:rsidRPr="00427CF1">
        <w:rPr>
          <w:rStyle w:val="TextoNormalNegritaCaracter"/>
        </w:rPr>
        <w:t>.</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1.2 a).</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1.3 párrafo 1.</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228" w:history="1">
        <w:r w:rsidRPr="00427CF1">
          <w:rPr>
            <w:rStyle w:val="TextoNormalCaracter"/>
          </w:rPr>
          <w:t>228/2016</w:t>
        </w:r>
      </w:hyperlink>
      <w:r>
        <w:t>, ff. 5, 11, VP I, VP II.</w:t>
      </w:r>
    </w:p>
    <w:p w:rsidR="00427CF1" w:rsidRDefault="00427CF1" w:rsidP="00427CF1">
      <w:pPr>
        <w:pStyle w:val="SangriaFrancesaArticulo"/>
      </w:pPr>
      <w:r w:rsidRPr="00427CF1">
        <w:rPr>
          <w:rStyle w:val="TextoNormalNegritaCaracter"/>
        </w:rPr>
        <w:t>Artículo 2 a).</w:t>
      </w:r>
      <w:r w:rsidRPr="00427CF1">
        <w:rPr>
          <w:rStyle w:val="TextoNormalCaracter"/>
        </w:rPr>
        <w:t>-</w:t>
      </w:r>
      <w:r>
        <w:t xml:space="preserve"> Sentencia </w:t>
      </w:r>
      <w:hyperlink w:anchor="SENTENCIA_2016_228" w:history="1">
        <w:r w:rsidRPr="00427CF1">
          <w:rPr>
            <w:rStyle w:val="TextoNormalCaracter"/>
          </w:rPr>
          <w:t>228/2016</w:t>
        </w:r>
      </w:hyperlink>
      <w:r>
        <w:t>, ff. 5, 8, 10.</w:t>
      </w:r>
    </w:p>
    <w:p w:rsidR="00427CF1" w:rsidRDefault="00427CF1" w:rsidP="00427CF1">
      <w:pPr>
        <w:pStyle w:val="SangriaFrancesaArticulo"/>
      </w:pPr>
      <w:r w:rsidRPr="00427CF1">
        <w:rPr>
          <w:rStyle w:val="TextoNormalNegritaCaracter"/>
        </w:rPr>
        <w:t>Artículo 2 d).</w:t>
      </w:r>
      <w:r w:rsidRPr="00427CF1">
        <w:rPr>
          <w:rStyle w:val="TextoNormalCaracter"/>
        </w:rPr>
        <w:t>-</w:t>
      </w:r>
      <w:r>
        <w:t xml:space="preserve"> Sentencia </w:t>
      </w:r>
      <w:hyperlink w:anchor="SENTENCIA_2016_228" w:history="1">
        <w:r w:rsidRPr="00427CF1">
          <w:rPr>
            <w:rStyle w:val="TextoNormalCaracter"/>
          </w:rPr>
          <w:t>228/2016</w:t>
        </w:r>
      </w:hyperlink>
      <w:r>
        <w:t>, f. 5.</w:t>
      </w:r>
    </w:p>
    <w:p w:rsidR="00427CF1" w:rsidRDefault="00427CF1" w:rsidP="00427CF1">
      <w:pPr>
        <w:pStyle w:val="SangriaIzquierdaArticulo"/>
      </w:pPr>
      <w:r>
        <w:t xml:space="preserve">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2 e).</w:t>
      </w:r>
      <w:r w:rsidRPr="00427CF1">
        <w:rPr>
          <w:rStyle w:val="TextoNormalCaracter"/>
        </w:rPr>
        <w:t>-</w:t>
      </w:r>
      <w:r>
        <w:t xml:space="preserve"> Sentencia </w:t>
      </w:r>
      <w:hyperlink w:anchor="SENTENCIA_2016_228" w:history="1">
        <w:r w:rsidRPr="00427CF1">
          <w:rPr>
            <w:rStyle w:val="TextoNormalCaracter"/>
          </w:rPr>
          <w:t>228/2016</w:t>
        </w:r>
      </w:hyperlink>
      <w:r>
        <w:t>, ff. 5, 8, 10.</w:t>
      </w:r>
    </w:p>
    <w:p w:rsidR="00427CF1" w:rsidRDefault="00427CF1" w:rsidP="00427CF1">
      <w:pPr>
        <w:pStyle w:val="SangriaFrancesaArticulo"/>
      </w:pPr>
      <w:r w:rsidRPr="00427CF1">
        <w:rPr>
          <w:rStyle w:val="TextoNormalNegritaCaracter"/>
        </w:rPr>
        <w:t>Artículo 2 f).</w:t>
      </w:r>
      <w:r w:rsidRPr="00427CF1">
        <w:rPr>
          <w:rStyle w:val="TextoNormalCaracter"/>
        </w:rPr>
        <w:t>-</w:t>
      </w:r>
      <w:r>
        <w:t xml:space="preserve"> Sentencia </w:t>
      </w:r>
      <w:hyperlink w:anchor="SENTENCIA_2016_228" w:history="1">
        <w:r w:rsidRPr="00427CF1">
          <w:rPr>
            <w:rStyle w:val="TextoNormalCaracter"/>
          </w:rPr>
          <w:t>228/2016</w:t>
        </w:r>
      </w:hyperlink>
      <w:r>
        <w:t>, ff. 5, 10.</w:t>
      </w:r>
    </w:p>
    <w:p w:rsidR="00427CF1" w:rsidRDefault="00427CF1" w:rsidP="00427CF1">
      <w:pPr>
        <w:pStyle w:val="SangriaFrancesaArticulo"/>
      </w:pPr>
      <w:r w:rsidRPr="00427CF1">
        <w:rPr>
          <w:rStyle w:val="TextoNormalNegritaCaracter"/>
        </w:rPr>
        <w:t>Artículo 2 i).</w:t>
      </w:r>
      <w:r w:rsidRPr="00427CF1">
        <w:rPr>
          <w:rStyle w:val="TextoNormalCaracter"/>
        </w:rPr>
        <w:t>-</w:t>
      </w:r>
      <w:r>
        <w:t xml:space="preserve"> Sentencia </w:t>
      </w:r>
      <w:hyperlink w:anchor="SENTENCIA_2016_228" w:history="1">
        <w:r w:rsidRPr="00427CF1">
          <w:rPr>
            <w:rStyle w:val="TextoNormalCaracter"/>
          </w:rPr>
          <w:t>228/2016</w:t>
        </w:r>
      </w:hyperlink>
      <w:r>
        <w:t>, ff. 5, 11, VP I, VP II.</w:t>
      </w:r>
    </w:p>
    <w:p w:rsidR="00427CF1" w:rsidRDefault="00427CF1" w:rsidP="00427CF1">
      <w:pPr>
        <w:pStyle w:val="SangriaFrancesaArticulo"/>
      </w:pPr>
      <w:r w:rsidRPr="00427CF1">
        <w:rPr>
          <w:rStyle w:val="TextoNormalNegritaCaracter"/>
        </w:rPr>
        <w:t>Artículo 2 j).</w:t>
      </w:r>
      <w:r w:rsidRPr="00427CF1">
        <w:rPr>
          <w:rStyle w:val="TextoNormalCaracter"/>
        </w:rPr>
        <w:t>-</w:t>
      </w:r>
      <w:r>
        <w:t xml:space="preserve"> Sentencia </w:t>
      </w:r>
      <w:hyperlink w:anchor="SENTENCIA_2016_228" w:history="1">
        <w:r w:rsidRPr="00427CF1">
          <w:rPr>
            <w:rStyle w:val="TextoNormalCaracter"/>
          </w:rPr>
          <w:t>228/2016</w:t>
        </w:r>
      </w:hyperlink>
      <w:r>
        <w:t>, ff. 5, 11, VP I, VP II.</w:t>
      </w:r>
    </w:p>
    <w:p w:rsidR="00427CF1" w:rsidRDefault="00427CF1" w:rsidP="00427CF1">
      <w:pPr>
        <w:pStyle w:val="SangriaFrancesaArticulo"/>
      </w:pPr>
      <w:r w:rsidRPr="00427CF1">
        <w:rPr>
          <w:rStyle w:val="TextoNormalNegritaCaracter"/>
        </w:rPr>
        <w:t>Artículo 2 k).</w:t>
      </w:r>
      <w:r w:rsidRPr="00427CF1">
        <w:rPr>
          <w:rStyle w:val="TextoNormalCaracter"/>
        </w:rPr>
        <w:t>-</w:t>
      </w:r>
      <w:r>
        <w:t xml:space="preserve"> Sentencia </w:t>
      </w:r>
      <w:hyperlink w:anchor="SENTENCIA_2016_228" w:history="1">
        <w:r w:rsidRPr="00427CF1">
          <w:rPr>
            <w:rStyle w:val="TextoNormalCaracter"/>
          </w:rPr>
          <w:t>228/2016</w:t>
        </w:r>
      </w:hyperlink>
      <w:r>
        <w:t>, ff. 5, 11, VP I, VP II.</w:t>
      </w:r>
    </w:p>
    <w:p w:rsidR="00427CF1" w:rsidRDefault="00427CF1" w:rsidP="00427CF1">
      <w:pPr>
        <w:pStyle w:val="SangriaFrancesaArticulo"/>
      </w:pPr>
      <w:r w:rsidRPr="00427CF1">
        <w:rPr>
          <w:rStyle w:val="TextoNormalNegritaCaracter"/>
        </w:rPr>
        <w:t>Artículo 2 l).</w:t>
      </w:r>
      <w:r w:rsidRPr="00427CF1">
        <w:rPr>
          <w:rStyle w:val="TextoNormalCaracter"/>
        </w:rPr>
        <w:t>-</w:t>
      </w:r>
      <w:r>
        <w:t xml:space="preserve"> Sentencia </w:t>
      </w:r>
      <w:hyperlink w:anchor="SENTENCIA_2016_228" w:history="1">
        <w:r w:rsidRPr="00427CF1">
          <w:rPr>
            <w:rStyle w:val="TextoNormalCaracter"/>
          </w:rPr>
          <w:t>228/2016</w:t>
        </w:r>
      </w:hyperlink>
      <w:r>
        <w:t>, ff. 5, 11, VP I, VP II.</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228" w:history="1">
        <w:r w:rsidRPr="00427CF1">
          <w:rPr>
            <w:rStyle w:val="TextoNormalCaracter"/>
          </w:rPr>
          <w:t>228/2016</w:t>
        </w:r>
      </w:hyperlink>
      <w:r>
        <w:t>, f. 6.</w:t>
      </w:r>
    </w:p>
    <w:p w:rsidR="00427CF1" w:rsidRDefault="00427CF1" w:rsidP="00427CF1">
      <w:pPr>
        <w:pStyle w:val="SangriaFrancesaArticulo"/>
      </w:pPr>
      <w:r w:rsidRPr="00427CF1">
        <w:rPr>
          <w:rStyle w:val="TextoNormalNegritaCaracter"/>
        </w:rPr>
        <w:t>Artículo 3 e).</w:t>
      </w:r>
      <w:r w:rsidRPr="00427CF1">
        <w:rPr>
          <w:rStyle w:val="TextoNormalCaracter"/>
        </w:rPr>
        <w:t>-</w:t>
      </w:r>
      <w:r>
        <w:t xml:space="preserve"> Sentencia </w:t>
      </w:r>
      <w:hyperlink w:anchor="SENTENCIA_2016_228" w:history="1">
        <w:r w:rsidRPr="00427CF1">
          <w:rPr>
            <w:rStyle w:val="TextoNormalCaracter"/>
          </w:rPr>
          <w:t>228/2016</w:t>
        </w:r>
      </w:hyperlink>
      <w:r>
        <w:t>, f. 6.</w:t>
      </w:r>
    </w:p>
    <w:p w:rsidR="00427CF1" w:rsidRDefault="00427CF1" w:rsidP="00427CF1">
      <w:pPr>
        <w:pStyle w:val="SangriaFrancesaArticulo"/>
      </w:pPr>
      <w:r w:rsidRPr="00427CF1">
        <w:rPr>
          <w:rStyle w:val="TextoNormalNegritaCaracter"/>
        </w:rPr>
        <w:t>Artículo 3 h).</w:t>
      </w:r>
      <w:r w:rsidRPr="00427CF1">
        <w:rPr>
          <w:rStyle w:val="TextoNormalCaracter"/>
        </w:rPr>
        <w:t>-</w:t>
      </w:r>
      <w:r>
        <w:t xml:space="preserve"> Sentencia </w:t>
      </w:r>
      <w:hyperlink w:anchor="SENTENCIA_2016_228" w:history="1">
        <w:r w:rsidRPr="00427CF1">
          <w:rPr>
            <w:rStyle w:val="TextoNormalCaracter"/>
          </w:rPr>
          <w:t>228/2016</w:t>
        </w:r>
      </w:hyperlink>
      <w:r>
        <w:t>, f. 6.</w:t>
      </w:r>
    </w:p>
    <w:p w:rsidR="00427CF1" w:rsidRDefault="00427CF1" w:rsidP="00427CF1">
      <w:pPr>
        <w:pStyle w:val="SangriaFrancesaArticulo"/>
      </w:pPr>
      <w:r w:rsidRPr="00427CF1">
        <w:rPr>
          <w:rStyle w:val="TextoNormalNegritaCaracter"/>
        </w:rPr>
        <w:t>Artículo 3 párrafo 1.</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r w:rsidRPr="00427CF1">
        <w:rPr>
          <w:rStyle w:val="TextoNormalNegritaCaracter"/>
        </w:rPr>
        <w:t>Artículo 4 a).</w:t>
      </w:r>
      <w:r w:rsidRPr="00427CF1">
        <w:rPr>
          <w:rStyle w:val="TextoNormalCaracter"/>
        </w:rPr>
        <w:t>-</w:t>
      </w:r>
      <w:r>
        <w:t xml:space="preserve"> Sentencia </w:t>
      </w:r>
      <w:hyperlink w:anchor="SENTENCIA_2016_228" w:history="1">
        <w:r w:rsidRPr="00427CF1">
          <w:rPr>
            <w:rStyle w:val="TextoNormalCaracter"/>
          </w:rPr>
          <w:t>228/2016</w:t>
        </w:r>
      </w:hyperlink>
      <w:r>
        <w:t>, f. 7, VP II.</w:t>
      </w:r>
    </w:p>
    <w:p w:rsidR="00427CF1" w:rsidRDefault="00427CF1" w:rsidP="00427CF1">
      <w:pPr>
        <w:pStyle w:val="SangriaFrancesaArticulo"/>
      </w:pPr>
      <w:r w:rsidRPr="00427CF1">
        <w:rPr>
          <w:rStyle w:val="TextoNormalNegritaCaracter"/>
        </w:rPr>
        <w:t>Artículo 4 b).</w:t>
      </w:r>
      <w:r w:rsidRPr="00427CF1">
        <w:rPr>
          <w:rStyle w:val="TextoNormalCaracter"/>
        </w:rPr>
        <w:t>-</w:t>
      </w:r>
      <w:r>
        <w:t xml:space="preserve"> Sentencia </w:t>
      </w:r>
      <w:hyperlink w:anchor="SENTENCIA_2016_228" w:history="1">
        <w:r w:rsidRPr="00427CF1">
          <w:rPr>
            <w:rStyle w:val="TextoNormalCaracter"/>
          </w:rPr>
          <w:t>228/2016</w:t>
        </w:r>
      </w:hyperlink>
      <w:r>
        <w:t>, f. 7.</w:t>
      </w:r>
    </w:p>
    <w:p w:rsidR="00427CF1" w:rsidRDefault="00427CF1" w:rsidP="00427CF1">
      <w:pPr>
        <w:pStyle w:val="SangriaFrancesaArticulo"/>
      </w:pPr>
      <w:r w:rsidRPr="00427CF1">
        <w:rPr>
          <w:rStyle w:val="TextoNormalNegritaCaracter"/>
        </w:rPr>
        <w:t>Artículo 4 c).</w:t>
      </w:r>
      <w:r w:rsidRPr="00427CF1">
        <w:rPr>
          <w:rStyle w:val="TextoNormalCaracter"/>
        </w:rPr>
        <w:t>-</w:t>
      </w:r>
      <w:r>
        <w:t xml:space="preserve"> Sentencia </w:t>
      </w:r>
      <w:hyperlink w:anchor="SENTENCIA_2016_228" w:history="1">
        <w:r w:rsidRPr="00427CF1">
          <w:rPr>
            <w:rStyle w:val="TextoNormalCaracter"/>
          </w:rPr>
          <w:t>228/2016</w:t>
        </w:r>
      </w:hyperlink>
      <w:r>
        <w:t>, f. 7.</w:t>
      </w:r>
    </w:p>
    <w:p w:rsidR="00427CF1" w:rsidRDefault="00427CF1" w:rsidP="00427CF1">
      <w:pPr>
        <w:pStyle w:val="SangriaFrancesaArticulo"/>
      </w:pPr>
      <w:r w:rsidRPr="00427CF1">
        <w:rPr>
          <w:rStyle w:val="TextoNormalNegritaCaracter"/>
        </w:rPr>
        <w:t>Artículo 4 d).</w:t>
      </w:r>
      <w:r w:rsidRPr="00427CF1">
        <w:rPr>
          <w:rStyle w:val="TextoNormalCaracter"/>
        </w:rPr>
        <w:t>-</w:t>
      </w:r>
      <w:r>
        <w:t xml:space="preserve"> Sentencia </w:t>
      </w:r>
      <w:hyperlink w:anchor="SENTENCIA_2016_228" w:history="1">
        <w:r w:rsidRPr="00427CF1">
          <w:rPr>
            <w:rStyle w:val="TextoNormalCaracter"/>
          </w:rPr>
          <w:t>228/2016</w:t>
        </w:r>
      </w:hyperlink>
      <w:r>
        <w:t>, f. 7.</w:t>
      </w:r>
    </w:p>
    <w:p w:rsidR="00427CF1" w:rsidRDefault="00427CF1" w:rsidP="00427CF1">
      <w:pPr>
        <w:pStyle w:val="SangriaFrancesaArticulo"/>
      </w:pPr>
      <w:r w:rsidRPr="00427CF1">
        <w:rPr>
          <w:rStyle w:val="TextoNormalNegritaCaracter"/>
        </w:rPr>
        <w:t>Artículo 4 e).</w:t>
      </w:r>
      <w:r w:rsidRPr="00427CF1">
        <w:rPr>
          <w:rStyle w:val="TextoNormalCaracter"/>
        </w:rPr>
        <w:t>-</w:t>
      </w:r>
      <w:r>
        <w:t xml:space="preserve"> Sentencia </w:t>
      </w:r>
      <w:hyperlink w:anchor="SENTENCIA_2016_228" w:history="1">
        <w:r w:rsidRPr="00427CF1">
          <w:rPr>
            <w:rStyle w:val="TextoNormalCaracter"/>
          </w:rPr>
          <w:t>228/2016</w:t>
        </w:r>
      </w:hyperlink>
      <w:r>
        <w:t>, f. 7.</w:t>
      </w:r>
    </w:p>
    <w:p w:rsidR="00427CF1" w:rsidRDefault="00427CF1" w:rsidP="00427CF1">
      <w:pPr>
        <w:pStyle w:val="SangriaFrancesaArticulo"/>
      </w:pPr>
      <w:r w:rsidRPr="00427CF1">
        <w:rPr>
          <w:rStyle w:val="TextoNormalNegritaCaracter"/>
        </w:rPr>
        <w:t>Artículo 4 f).</w:t>
      </w:r>
      <w:r w:rsidRPr="00427CF1">
        <w:rPr>
          <w:rStyle w:val="TextoNormalCaracter"/>
        </w:rPr>
        <w:t>-</w:t>
      </w:r>
      <w:r>
        <w:t xml:space="preserve"> Sentencia </w:t>
      </w:r>
      <w:hyperlink w:anchor="SENTENCIA_2016_228" w:history="1">
        <w:r w:rsidRPr="00427CF1">
          <w:rPr>
            <w:rStyle w:val="TextoNormalCaracter"/>
          </w:rPr>
          <w:t>228/2016</w:t>
        </w:r>
      </w:hyperlink>
      <w:r>
        <w:t>, f. 7.</w:t>
      </w:r>
    </w:p>
    <w:p w:rsidR="00427CF1" w:rsidRDefault="00427CF1" w:rsidP="00427CF1">
      <w:pPr>
        <w:pStyle w:val="SangriaFrancesaArticulo"/>
      </w:pPr>
      <w:r w:rsidRPr="00427CF1">
        <w:rPr>
          <w:rStyle w:val="TextoNormalNegritaCaracter"/>
        </w:rPr>
        <w:t>Artículo 4 g).</w:t>
      </w:r>
      <w:r w:rsidRPr="00427CF1">
        <w:rPr>
          <w:rStyle w:val="TextoNormalCaracter"/>
        </w:rPr>
        <w:t>-</w:t>
      </w:r>
      <w:r>
        <w:t xml:space="preserve"> Sentencia </w:t>
      </w:r>
      <w:hyperlink w:anchor="SENTENCIA_2016_228" w:history="1">
        <w:r w:rsidRPr="00427CF1">
          <w:rPr>
            <w:rStyle w:val="TextoNormalCaracter"/>
          </w:rPr>
          <w:t>228/2016</w:t>
        </w:r>
      </w:hyperlink>
      <w:r>
        <w:t>, f. 7.</w:t>
      </w:r>
    </w:p>
    <w:p w:rsidR="00427CF1" w:rsidRDefault="00427CF1" w:rsidP="00427CF1">
      <w:pPr>
        <w:pStyle w:val="SangriaFrancesaArticulo"/>
      </w:pPr>
      <w:r w:rsidRPr="00427CF1">
        <w:rPr>
          <w:rStyle w:val="TextoNormalNegritaCaracter"/>
        </w:rPr>
        <w:t>Artículo 4 h).</w:t>
      </w:r>
      <w:r w:rsidRPr="00427CF1">
        <w:rPr>
          <w:rStyle w:val="TextoNormalCaracter"/>
        </w:rPr>
        <w:t>-</w:t>
      </w:r>
      <w:r>
        <w:t xml:space="preserve"> Sentencia </w:t>
      </w:r>
      <w:hyperlink w:anchor="SENTENCIA_2016_228" w:history="1">
        <w:r w:rsidRPr="00427CF1">
          <w:rPr>
            <w:rStyle w:val="TextoNormalCaracter"/>
          </w:rPr>
          <w:t>228/2016</w:t>
        </w:r>
      </w:hyperlink>
      <w:r>
        <w:t>, f. 7.</w:t>
      </w:r>
    </w:p>
    <w:p w:rsidR="00427CF1" w:rsidRDefault="00427CF1" w:rsidP="00427CF1">
      <w:pPr>
        <w:pStyle w:val="SangriaFrancesaArticulo"/>
      </w:pPr>
      <w:r w:rsidRPr="00427CF1">
        <w:rPr>
          <w:rStyle w:val="TextoNormalNegritaCaracter"/>
        </w:rPr>
        <w:t>Artículo 4 párrafo 1.</w:t>
      </w:r>
      <w:r w:rsidRPr="00427CF1">
        <w:rPr>
          <w:rStyle w:val="TextoNormalCaracter"/>
        </w:rPr>
        <w:t>-</w:t>
      </w:r>
      <w:r>
        <w:t xml:space="preserve"> Sentencia </w:t>
      </w:r>
      <w:hyperlink w:anchor="SENTENCIA_2016_228" w:history="1">
        <w:r w:rsidRPr="00427CF1">
          <w:rPr>
            <w:rStyle w:val="TextoNormalCaracter"/>
          </w:rPr>
          <w:t>228/2016</w:t>
        </w:r>
      </w:hyperlink>
      <w:r>
        <w:t>, ff. 4, 7.</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5 a).</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5 c).</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5 e).</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5 h).</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Artículos 5 a 9.</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228" w:history="1">
        <w:r w:rsidRPr="00427CF1">
          <w:rPr>
            <w:rStyle w:val="TextoNormalCaracter"/>
          </w:rPr>
          <w:t>228/2016</w:t>
        </w:r>
      </w:hyperlink>
      <w:r>
        <w:t>, ff. 8, 9.</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7 e).</w:t>
      </w:r>
      <w:r w:rsidRPr="00427CF1">
        <w:rPr>
          <w:rStyle w:val="TextoNormalCaracter"/>
        </w:rPr>
        <w:t>-</w:t>
      </w:r>
      <w:r>
        <w:t xml:space="preserve"> 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228" w:history="1">
        <w:r w:rsidRPr="00427CF1">
          <w:rPr>
            <w:rStyle w:val="TextoNormalCaracter"/>
          </w:rPr>
          <w:t>228/2016</w:t>
        </w:r>
      </w:hyperlink>
      <w:r>
        <w:t>, ff. 4, 8.</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7.2 c).</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7.2 e).</w:t>
      </w:r>
      <w:r w:rsidRPr="00427CF1">
        <w:rPr>
          <w:rStyle w:val="TextoNormalCaracter"/>
        </w:rPr>
        <w:t>-</w:t>
      </w:r>
      <w:r>
        <w:t xml:space="preserve"> Sentencia </w:t>
      </w:r>
      <w:hyperlink w:anchor="SENTENCIA_2016_228" w:history="1">
        <w:r w:rsidRPr="00427CF1">
          <w:rPr>
            <w:rStyle w:val="TextoNormalCaracter"/>
          </w:rPr>
          <w:t>228/2016</w:t>
        </w:r>
      </w:hyperlink>
      <w:r>
        <w:t>, ff. 5, 8.</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Sentencia </w:t>
      </w:r>
      <w:hyperlink w:anchor="SENTENCIA_2016_228" w:history="1">
        <w:r w:rsidRPr="00427CF1">
          <w:rPr>
            <w:rStyle w:val="TextoNormalCaracter"/>
          </w:rPr>
          <w:t>228/2016</w:t>
        </w:r>
      </w:hyperlink>
      <w:r>
        <w:t>, f. 8.</w:t>
      </w:r>
    </w:p>
    <w:p w:rsidR="00427CF1" w:rsidRDefault="00427CF1" w:rsidP="00427CF1">
      <w:pPr>
        <w:pStyle w:val="SangriaFrancesaArticulo"/>
      </w:pPr>
      <w:r w:rsidRPr="00427CF1">
        <w:rPr>
          <w:rStyle w:val="TextoNormalNegritaCaracter"/>
        </w:rPr>
        <w:t>Artículo 26.</w:t>
      </w:r>
      <w:r w:rsidRPr="00427CF1">
        <w:rPr>
          <w:rStyle w:val="TextoNormalCaracter"/>
        </w:rPr>
        <w:t>-</w:t>
      </w:r>
      <w:r>
        <w:t xml:space="preserve"> Sentencia </w:t>
      </w:r>
      <w:hyperlink w:anchor="SENTENCIA_2016_228" w:history="1">
        <w:r w:rsidRPr="00427CF1">
          <w:rPr>
            <w:rStyle w:val="TextoNormalCaracter"/>
          </w:rPr>
          <w:t>228/2016</w:t>
        </w:r>
      </w:hyperlink>
      <w:r>
        <w:t>, ff. 1, 2.</w:t>
      </w:r>
    </w:p>
    <w:p w:rsidR="00427CF1" w:rsidRDefault="00427CF1" w:rsidP="00427CF1">
      <w:pPr>
        <w:pStyle w:val="SangriaFrancesaArticulo"/>
      </w:pPr>
      <w:r w:rsidRPr="00427CF1">
        <w:rPr>
          <w:rStyle w:val="TextoNormalNegritaCaracter"/>
        </w:rPr>
        <w:t>Artículo 26.1.</w:t>
      </w:r>
      <w:r w:rsidRPr="00427CF1">
        <w:rPr>
          <w:rStyle w:val="TextoNormalCaracter"/>
        </w:rPr>
        <w:t>-</w:t>
      </w:r>
      <w:r>
        <w:t xml:space="preserve"> Sentencia </w:t>
      </w:r>
      <w:hyperlink w:anchor="SENTENCIA_2016_228" w:history="1">
        <w:r w:rsidRPr="00427CF1">
          <w:rPr>
            <w:rStyle w:val="TextoNormalCaracter"/>
          </w:rPr>
          <w:t>228/2016</w:t>
        </w:r>
      </w:hyperlink>
      <w:r>
        <w:t>, f. 9.</w:t>
      </w:r>
    </w:p>
    <w:p w:rsidR="00427CF1" w:rsidRDefault="00427CF1" w:rsidP="00427CF1">
      <w:pPr>
        <w:pStyle w:val="SangriaFrancesaArticulo"/>
      </w:pPr>
      <w:r w:rsidRPr="00427CF1">
        <w:rPr>
          <w:rStyle w:val="TextoNormalNegritaCaracter"/>
        </w:rPr>
        <w:t>Artículo 26.1 e).</w:t>
      </w:r>
      <w:r w:rsidRPr="00427CF1">
        <w:rPr>
          <w:rStyle w:val="TextoNormalCaracter"/>
        </w:rPr>
        <w:t>-</w:t>
      </w:r>
      <w:r>
        <w:t xml:space="preserve"> Sentencia </w:t>
      </w:r>
      <w:hyperlink w:anchor="SENTENCIA_2016_228" w:history="1">
        <w:r w:rsidRPr="00427CF1">
          <w:rPr>
            <w:rStyle w:val="TextoNormalCaracter"/>
          </w:rPr>
          <w:t>228/2016</w:t>
        </w:r>
      </w:hyperlink>
      <w:r>
        <w:t>, f. 9, VP II.</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228" w:history="1">
        <w:r w:rsidRPr="00427CF1">
          <w:rPr>
            <w:rStyle w:val="TextoNormalCaracter"/>
          </w:rPr>
          <w:t>228/2016</w:t>
        </w:r>
      </w:hyperlink>
      <w:r>
        <w:t>, ff. 1, 2, 10.</w:t>
      </w:r>
    </w:p>
    <w:p w:rsidR="00427CF1" w:rsidRDefault="00427CF1" w:rsidP="00427CF1">
      <w:pPr>
        <w:pStyle w:val="SangriaFrancesaArticulo"/>
      </w:pPr>
      <w:r w:rsidRPr="00427CF1">
        <w:rPr>
          <w:rStyle w:val="TextoNormalNegritaCaracter"/>
        </w:rPr>
        <w:t>Artículo 29 a 38.</w:t>
      </w:r>
      <w:r w:rsidRPr="00427CF1">
        <w:rPr>
          <w:rStyle w:val="TextoNormalCaracter"/>
        </w:rPr>
        <w:t>-</w:t>
      </w:r>
      <w:r>
        <w:t xml:space="preserve"> Sentencia </w:t>
      </w:r>
      <w:hyperlink w:anchor="SENTENCIA_2016_228" w:history="1">
        <w:r w:rsidRPr="00427CF1">
          <w:rPr>
            <w:rStyle w:val="TextoNormalCaracter"/>
          </w:rPr>
          <w:t>228/2016</w:t>
        </w:r>
      </w:hyperlink>
      <w:r>
        <w:t>, ff. 1, 2.</w:t>
      </w:r>
    </w:p>
    <w:p w:rsidR="00427CF1" w:rsidRDefault="00427CF1" w:rsidP="00427CF1">
      <w:pPr>
        <w:pStyle w:val="SangriaFrancesaArticulo"/>
      </w:pPr>
      <w:r w:rsidRPr="00427CF1">
        <w:rPr>
          <w:rStyle w:val="TextoNormalNegritaCaracter"/>
        </w:rPr>
        <w:t>Artículo 29.2.</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29.3.</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29.5.</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Artículos 29 a 33.</w:t>
      </w:r>
      <w:r w:rsidRPr="00427CF1">
        <w:rPr>
          <w:rStyle w:val="TextoNormalCaracter"/>
        </w:rPr>
        <w:t>-</w:t>
      </w:r>
      <w:r>
        <w:t xml:space="preserve"> Sentencia </w:t>
      </w:r>
      <w:hyperlink w:anchor="SENTENCIA_2016_228" w:history="1">
        <w:r w:rsidRPr="00427CF1">
          <w:rPr>
            <w:rStyle w:val="TextoNormalCaracter"/>
          </w:rPr>
          <w:t>228/2016</w:t>
        </w:r>
      </w:hyperlink>
      <w:r>
        <w:t>, ff. 5, 10.</w:t>
      </w:r>
    </w:p>
    <w:p w:rsidR="00427CF1" w:rsidRDefault="00427CF1" w:rsidP="00427CF1">
      <w:pPr>
        <w:pStyle w:val="SangriaFrancesaArticulo"/>
      </w:pPr>
      <w:r w:rsidRPr="00427CF1">
        <w:rPr>
          <w:rStyle w:val="TextoNormalNegritaCaracter"/>
        </w:rPr>
        <w:t>Artículo 30.</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30.1.</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31.1.</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 33.1.</w:t>
      </w:r>
      <w:r w:rsidRPr="00427CF1">
        <w:rPr>
          <w:rStyle w:val="TextoNormalCaracter"/>
        </w:rPr>
        <w:t>-</w:t>
      </w:r>
      <w:r>
        <w:t xml:space="preserve"> Sentencia </w:t>
      </w:r>
      <w:hyperlink w:anchor="SENTENCIA_2016_228" w:history="1">
        <w:r w:rsidRPr="00427CF1">
          <w:rPr>
            <w:rStyle w:val="TextoNormalCaracter"/>
          </w:rPr>
          <w:t>228/2016</w:t>
        </w:r>
      </w:hyperlink>
      <w:r>
        <w:t>, f. 10.</w:t>
      </w:r>
    </w:p>
    <w:p w:rsidR="00427CF1" w:rsidRDefault="00427CF1" w:rsidP="00427CF1">
      <w:pPr>
        <w:pStyle w:val="SangriaFrancesaArticulo"/>
      </w:pPr>
      <w:r w:rsidRPr="00427CF1">
        <w:rPr>
          <w:rStyle w:val="TextoNormalNegritaCaracter"/>
        </w:rPr>
        <w:t>Artículos 34 a 37.</w:t>
      </w:r>
      <w:r w:rsidRPr="00427CF1">
        <w:rPr>
          <w:rStyle w:val="TextoNormalCaracter"/>
        </w:rPr>
        <w:t>-</w:t>
      </w:r>
      <w:r>
        <w:t xml:space="preserve"> Sentencia </w:t>
      </w:r>
      <w:hyperlink w:anchor="SENTENCIA_2016_228" w:history="1">
        <w:r w:rsidRPr="00427CF1">
          <w:rPr>
            <w:rStyle w:val="TextoNormalCaracter"/>
          </w:rPr>
          <w:t>228/2016</w:t>
        </w:r>
      </w:hyperlink>
      <w:r>
        <w:t>, f. 11.</w:t>
      </w:r>
    </w:p>
    <w:p w:rsidR="00427CF1" w:rsidRDefault="00427CF1" w:rsidP="00427CF1">
      <w:pPr>
        <w:pStyle w:val="SangriaFrancesaArticulo"/>
      </w:pPr>
      <w:r w:rsidRPr="00427CF1">
        <w:rPr>
          <w:rStyle w:val="TextoNormalNegritaCaracter"/>
        </w:rPr>
        <w:t>Artículos 34 a 38.</w:t>
      </w:r>
      <w:r w:rsidRPr="00427CF1">
        <w:rPr>
          <w:rStyle w:val="TextoNormalCaracter"/>
        </w:rPr>
        <w:t>-</w:t>
      </w:r>
      <w:r>
        <w:t xml:space="preserve"> Sentencia </w:t>
      </w:r>
      <w:hyperlink w:anchor="SENTENCIA_2016_228" w:history="1">
        <w:r w:rsidRPr="00427CF1">
          <w:rPr>
            <w:rStyle w:val="TextoNormalCaracter"/>
          </w:rPr>
          <w:t>228/2016</w:t>
        </w:r>
      </w:hyperlink>
      <w:r>
        <w:t>, ff. 5, 10, 11.</w:t>
      </w:r>
    </w:p>
    <w:p w:rsidR="00427CF1" w:rsidRDefault="00427CF1" w:rsidP="00427CF1">
      <w:pPr>
        <w:pStyle w:val="SangriaFrancesaArticulo"/>
      </w:pPr>
      <w:r w:rsidRPr="00427CF1">
        <w:rPr>
          <w:rStyle w:val="TextoNormalNegritaCaracter"/>
        </w:rPr>
        <w:t>Artículo 37.3.</w:t>
      </w:r>
      <w:r w:rsidRPr="00427CF1">
        <w:rPr>
          <w:rStyle w:val="TextoNormalCaracter"/>
        </w:rPr>
        <w:t>-</w:t>
      </w:r>
      <w:r>
        <w:t xml:space="preserve"> Sentencia </w:t>
      </w:r>
      <w:hyperlink w:anchor="SENTENCIA_2016_228" w:history="1">
        <w:r w:rsidRPr="00427CF1">
          <w:rPr>
            <w:rStyle w:val="TextoNormalCaracter"/>
          </w:rPr>
          <w:t>228/2016</w:t>
        </w:r>
      </w:hyperlink>
      <w:r>
        <w:t>, f. 11.</w:t>
      </w:r>
    </w:p>
    <w:p w:rsidR="00427CF1" w:rsidRDefault="00427CF1" w:rsidP="00427CF1">
      <w:pPr>
        <w:pStyle w:val="SangriaFrancesaArticulo"/>
      </w:pPr>
      <w:r w:rsidRPr="00427CF1">
        <w:rPr>
          <w:rStyle w:val="TextoNormalNegritaCaracter"/>
        </w:rPr>
        <w:t>Artículo 38.</w:t>
      </w:r>
      <w:r w:rsidRPr="00427CF1">
        <w:rPr>
          <w:rStyle w:val="TextoNormalCaracter"/>
        </w:rPr>
        <w:t>-</w:t>
      </w:r>
      <w:r>
        <w:t xml:space="preserve"> Sentencia </w:t>
      </w:r>
      <w:hyperlink w:anchor="SENTENCIA_2016_228" w:history="1">
        <w:r w:rsidRPr="00427CF1">
          <w:rPr>
            <w:rStyle w:val="TextoNormalCaracter"/>
          </w:rPr>
          <w:t>228/2016</w:t>
        </w:r>
      </w:hyperlink>
      <w:r>
        <w:t>, f. 11, VP II.</w:t>
      </w:r>
    </w:p>
    <w:p w:rsidR="00427CF1" w:rsidRDefault="00427CF1" w:rsidP="00427CF1">
      <w:pPr>
        <w:pStyle w:val="SangriaFrancesaArticulo"/>
      </w:pPr>
    </w:p>
    <w:p w:rsidR="00427CF1" w:rsidRDefault="00427CF1" w:rsidP="00427CF1">
      <w:pPr>
        <w:pStyle w:val="TextoNormalNegritaCursivandice"/>
      </w:pPr>
      <w:r>
        <w:t>Decreto-ley de la Generalitat de Cataluña 7/2014, de 23 de diciembre. Deroga la letra b) del apartado 3 y el segundo párrafo del apartado 4 del artículo 9 del Decreto ley 1/2009, de 22 de diciembre, de ordenación de los equipamientos comerciales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ff. 1 a 4, 6 a 9, VP.</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57" w:history="1">
        <w:r w:rsidRPr="00427CF1">
          <w:rPr>
            <w:rStyle w:val="TextoNormalCaracter"/>
          </w:rPr>
          <w:t>157/2016</w:t>
        </w:r>
      </w:hyperlink>
      <w:r>
        <w:t>, ff. 6, 9, VP.</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Sentencia </w:t>
      </w:r>
      <w:hyperlink w:anchor="SENTENCIA_2016_157" w:history="1">
        <w:r w:rsidRPr="00427CF1">
          <w:rPr>
            <w:rStyle w:val="TextoNormalCaracter"/>
          </w:rPr>
          <w:t>157/2016</w:t>
        </w:r>
      </w:hyperlink>
      <w:r>
        <w:t>, ff. 1, 2, VP.</w:t>
      </w:r>
    </w:p>
    <w:p w:rsidR="00427CF1" w:rsidRDefault="00427CF1" w:rsidP="00427CF1">
      <w:pPr>
        <w:pStyle w:val="SangriaFrancesaArticulo"/>
      </w:pPr>
    </w:p>
    <w:p w:rsidR="00427CF1" w:rsidRDefault="00427CF1" w:rsidP="00427CF1">
      <w:pPr>
        <w:pStyle w:val="TextoNormalNegritaCursivandice"/>
      </w:pPr>
      <w:r>
        <w:t>Ley del Parlamento de Cataluña 3/2015, de 11 de marzo. Medidas fiscales, financieras y administrativas</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28" w:history="1">
        <w:r w:rsidRPr="00427CF1">
          <w:rPr>
            <w:rStyle w:val="TextoNormalCaracter"/>
          </w:rPr>
          <w:t>128/2016</w:t>
        </w:r>
      </w:hyperlink>
      <w:r>
        <w:t>, ff. 3, 5.</w:t>
      </w:r>
    </w:p>
    <w:p w:rsidR="00427CF1" w:rsidRDefault="00427CF1" w:rsidP="00427CF1">
      <w:pPr>
        <w:pStyle w:val="SangriaFrancesaArticulo"/>
      </w:pPr>
      <w:r w:rsidRPr="00427CF1">
        <w:rPr>
          <w:rStyle w:val="TextoNormalNegritaCaracter"/>
        </w:rPr>
        <w:t>Artículo 69.</w:t>
      </w:r>
      <w:r w:rsidRPr="00427CF1">
        <w:rPr>
          <w:rStyle w:val="TextoNormalCaracter"/>
        </w:rPr>
        <w:t>-</w:t>
      </w:r>
      <w:r>
        <w:t xml:space="preserve"> Sentencia </w:t>
      </w:r>
      <w:hyperlink w:anchor="SENTENCIA_2016_128" w:history="1">
        <w:r w:rsidRPr="00427CF1">
          <w:rPr>
            <w:rStyle w:val="TextoNormalCaracter"/>
          </w:rPr>
          <w:t>128/2016</w:t>
        </w:r>
      </w:hyperlink>
      <w:r>
        <w:t>, ff. 1, 2.</w:t>
      </w:r>
    </w:p>
    <w:p w:rsidR="00427CF1" w:rsidRDefault="00427CF1" w:rsidP="00427CF1">
      <w:pPr>
        <w:pStyle w:val="SangriaFrancesaArticulo"/>
      </w:pPr>
      <w:r w:rsidRPr="00427CF1">
        <w:rPr>
          <w:rStyle w:val="TextoNormalNegritaCaracter"/>
        </w:rPr>
        <w:t>Artículo 95.</w:t>
      </w:r>
      <w:r w:rsidRPr="00427CF1">
        <w:rPr>
          <w:rStyle w:val="TextoNormalCaracter"/>
        </w:rPr>
        <w:t>-</w:t>
      </w:r>
      <w:r>
        <w:t xml:space="preserve"> Sentencias </w:t>
      </w:r>
      <w:hyperlink w:anchor="SENTENCIA_2016_128" w:history="1">
        <w:r w:rsidRPr="00427CF1">
          <w:rPr>
            <w:rStyle w:val="TextoNormalCaracter"/>
          </w:rPr>
          <w:t>128/2016</w:t>
        </w:r>
      </w:hyperlink>
      <w:r>
        <w:t xml:space="preserve">, ff. 1, 3; </w:t>
      </w:r>
      <w:hyperlink w:anchor="SENTENCIA_2016_157" w:history="1">
        <w:r w:rsidRPr="00427CF1">
          <w:rPr>
            <w:rStyle w:val="TextoNormalCaracter"/>
          </w:rPr>
          <w:t>157/2016</w:t>
        </w:r>
      </w:hyperlink>
      <w:r>
        <w:t>, f. 2.</w:t>
      </w:r>
    </w:p>
    <w:p w:rsidR="00427CF1" w:rsidRDefault="00427CF1" w:rsidP="00427CF1">
      <w:pPr>
        <w:pStyle w:val="SangriaFrancesaArticulo"/>
      </w:pPr>
      <w:r w:rsidRPr="00427CF1">
        <w:rPr>
          <w:rStyle w:val="TextoNormalNegritaCaracter"/>
        </w:rPr>
        <w:t>Disposición adicional vigésima segunda.</w:t>
      </w:r>
      <w:r w:rsidRPr="00427CF1">
        <w:rPr>
          <w:rStyle w:val="TextoNormalCaracter"/>
        </w:rPr>
        <w:t>-</w:t>
      </w:r>
      <w:r>
        <w:t xml:space="preserve"> Sentencia </w:t>
      </w:r>
      <w:hyperlink w:anchor="SENTENCIA_2016_128" w:history="1">
        <w:r w:rsidRPr="00427CF1">
          <w:rPr>
            <w:rStyle w:val="TextoNormalCaracter"/>
          </w:rPr>
          <w:t>128/2016</w:t>
        </w:r>
      </w:hyperlink>
      <w:r>
        <w:t>, ff. 1, 4 a 6.</w:t>
      </w:r>
    </w:p>
    <w:p w:rsidR="00427CF1" w:rsidRDefault="00427CF1" w:rsidP="00427CF1">
      <w:pPr>
        <w:pStyle w:val="SangriaFrancesaArticulo"/>
      </w:pPr>
      <w:r w:rsidRPr="00427CF1">
        <w:rPr>
          <w:rStyle w:val="TextoNormalNegritaCaracter"/>
        </w:rPr>
        <w:t>Disposición adicional vígésima segunda, inciso "preparada para una eventual asunción de nuevas funciones y competencias tributarias".</w:t>
      </w:r>
      <w:r w:rsidRPr="00427CF1">
        <w:rPr>
          <w:rStyle w:val="TextoNormalCaracter"/>
        </w:rPr>
        <w:t>-</w:t>
      </w:r>
      <w:r>
        <w:t xml:space="preserve"> Sentencia </w:t>
      </w:r>
      <w:hyperlink w:anchor="SENTENCIA_2016_128" w:history="1">
        <w:r w:rsidRPr="00427CF1">
          <w:rPr>
            <w:rStyle w:val="TextoNormalCaracter"/>
          </w:rPr>
          <w:t>128/2016</w:t>
        </w:r>
      </w:hyperlink>
      <w:r>
        <w:t>, f. 6.</w:t>
      </w:r>
    </w:p>
    <w:p w:rsidR="00427CF1" w:rsidRDefault="00427CF1" w:rsidP="00427CF1">
      <w:pPr>
        <w:pStyle w:val="SangriaFrancesaArticulo"/>
      </w:pPr>
      <w:r w:rsidRPr="00427CF1">
        <w:rPr>
          <w:rStyle w:val="TextoNormalNegritaCaracter"/>
        </w:rPr>
        <w:t>Disposición adicional vigésima tercera.</w:t>
      </w:r>
      <w:r w:rsidRPr="00427CF1">
        <w:rPr>
          <w:rStyle w:val="TextoNormalCaracter"/>
        </w:rPr>
        <w:t>-</w:t>
      </w:r>
      <w:r>
        <w:t xml:space="preserve"> Sentencia </w:t>
      </w:r>
      <w:hyperlink w:anchor="SENTENCIA_2016_128" w:history="1">
        <w:r w:rsidRPr="00427CF1">
          <w:rPr>
            <w:rStyle w:val="TextoNormalCaracter"/>
          </w:rPr>
          <w:t>128/2016</w:t>
        </w:r>
      </w:hyperlink>
      <w:r>
        <w:t>, ff. 1, 4, 5, 7, 8.</w:t>
      </w:r>
    </w:p>
    <w:p w:rsidR="00427CF1" w:rsidRDefault="00427CF1" w:rsidP="00427CF1">
      <w:pPr>
        <w:pStyle w:val="SangriaFrancesaArticulo"/>
      </w:pPr>
      <w:r w:rsidRPr="00427CF1">
        <w:rPr>
          <w:rStyle w:val="TextoNormalNegritaCaracter"/>
        </w:rPr>
        <w:t>Disposición adicional vigésima cuarta.</w:t>
      </w:r>
      <w:r w:rsidRPr="00427CF1">
        <w:rPr>
          <w:rStyle w:val="TextoNormalCaracter"/>
        </w:rPr>
        <w:t>-</w:t>
      </w:r>
      <w:r>
        <w:t xml:space="preserve"> Sentencia </w:t>
      </w:r>
      <w:hyperlink w:anchor="SENTENCIA_2016_128" w:history="1">
        <w:r w:rsidRPr="00427CF1">
          <w:rPr>
            <w:rStyle w:val="TextoNormalCaracter"/>
          </w:rPr>
          <w:t>128/2016</w:t>
        </w:r>
      </w:hyperlink>
      <w:r>
        <w:t>, ff. 1, 4, 5, 8.</w:t>
      </w:r>
    </w:p>
    <w:p w:rsidR="00427CF1" w:rsidRDefault="00427CF1" w:rsidP="00427CF1">
      <w:pPr>
        <w:pStyle w:val="SangriaFrancesaArticulo"/>
      </w:pPr>
      <w:r w:rsidRPr="00427CF1">
        <w:rPr>
          <w:rStyle w:val="TextoNormalNegritaCaracter"/>
        </w:rPr>
        <w:t>Disposición adicional vigésima quinta.</w:t>
      </w:r>
      <w:r w:rsidRPr="00427CF1">
        <w:rPr>
          <w:rStyle w:val="TextoNormalCaracter"/>
        </w:rPr>
        <w:t>-</w:t>
      </w:r>
      <w:r>
        <w:t xml:space="preserve"> Sentencia </w:t>
      </w:r>
      <w:hyperlink w:anchor="SENTENCIA_2016_128" w:history="1">
        <w:r w:rsidRPr="00427CF1">
          <w:rPr>
            <w:rStyle w:val="TextoNormalCaracter"/>
          </w:rPr>
          <w:t>128/2016</w:t>
        </w:r>
      </w:hyperlink>
      <w:r>
        <w:t>, ff. 1, 4, 5, 9.</w:t>
      </w:r>
    </w:p>
    <w:p w:rsidR="00427CF1" w:rsidRDefault="00427CF1" w:rsidP="00427CF1">
      <w:pPr>
        <w:pStyle w:val="SangriaFrancesaArticulo"/>
      </w:pPr>
      <w:r w:rsidRPr="00427CF1">
        <w:rPr>
          <w:rStyle w:val="TextoNormalNegritaCaracter"/>
        </w:rPr>
        <w:t>Disposición adicional vigésima quinta, apartado 1.</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Disposición adicional vigésima quinta, apartado 2.</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Disposición adicional vigésima quinta, apartado 3.</w:t>
      </w:r>
      <w:r w:rsidRPr="00427CF1">
        <w:rPr>
          <w:rStyle w:val="TextoNormalCaracter"/>
        </w:rPr>
        <w:t>-</w:t>
      </w:r>
      <w:r>
        <w:t xml:space="preserve"> Sentencia </w:t>
      </w:r>
      <w:hyperlink w:anchor="SENTENCIA_2016_128" w:history="1">
        <w:r w:rsidRPr="00427CF1">
          <w:rPr>
            <w:rStyle w:val="TextoNormalCaracter"/>
          </w:rPr>
          <w:t>128/2016</w:t>
        </w:r>
      </w:hyperlink>
      <w:r>
        <w:t>, f. 9.</w:t>
      </w:r>
    </w:p>
    <w:p w:rsidR="00427CF1" w:rsidRDefault="00427CF1" w:rsidP="00427CF1">
      <w:pPr>
        <w:pStyle w:val="SangriaFrancesaArticulo"/>
      </w:pPr>
      <w:r w:rsidRPr="00427CF1">
        <w:rPr>
          <w:rStyle w:val="TextoNormalNegritaCaracter"/>
        </w:rPr>
        <w:t>Disposición adicional vigésima sexta.</w:t>
      </w:r>
      <w:r w:rsidRPr="00427CF1">
        <w:rPr>
          <w:rStyle w:val="TextoNormalCaracter"/>
        </w:rPr>
        <w:t>-</w:t>
      </w:r>
      <w:r>
        <w:t xml:space="preserve"> Sentencia </w:t>
      </w:r>
      <w:hyperlink w:anchor="SENTENCIA_2016_128" w:history="1">
        <w:r w:rsidRPr="00427CF1">
          <w:rPr>
            <w:rStyle w:val="TextoNormalCaracter"/>
          </w:rPr>
          <w:t>128/2016</w:t>
        </w:r>
      </w:hyperlink>
      <w:r>
        <w:t>, ff. 1, 4, 5, 10.</w:t>
      </w:r>
    </w:p>
    <w:p w:rsidR="00427CF1" w:rsidRDefault="00427CF1" w:rsidP="00427CF1">
      <w:pPr>
        <w:pStyle w:val="SangriaFrancesaArticulo"/>
      </w:pPr>
    </w:p>
    <w:p w:rsidR="00427CF1" w:rsidRDefault="00427CF1" w:rsidP="00427CF1">
      <w:pPr>
        <w:pStyle w:val="TextoNormalNegritaCursivandice"/>
      </w:pPr>
      <w:r>
        <w:t>Ley del Parlamento de Cataluña 7/2015, de 14 de mayo. Modificación de la Ley 3/2008, del ejercicio de las profesiones del deporte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0" w:history="1">
        <w:r w:rsidRPr="00427CF1">
          <w:rPr>
            <w:rStyle w:val="TextoNormalCaracter"/>
          </w:rPr>
          <w:t>140/2016</w:t>
        </w:r>
      </w:hyperlink>
      <w:r>
        <w:t>, ff. 3, 5.</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Auto </w:t>
      </w:r>
      <w:hyperlink w:anchor="AUTO_2016_140" w:history="1">
        <w:r w:rsidRPr="00427CF1">
          <w:rPr>
            <w:rStyle w:val="TextoNormalCaracter"/>
          </w:rPr>
          <w:t>140/2016</w:t>
        </w:r>
      </w:hyperlink>
      <w:r>
        <w:t>, ff. 1, 3, 6.</w:t>
      </w:r>
    </w:p>
    <w:p w:rsidR="00427CF1" w:rsidRDefault="00427CF1" w:rsidP="00427CF1">
      <w:pPr>
        <w:pStyle w:val="SangriaFrancesaArticulo"/>
      </w:pPr>
      <w:r w:rsidRPr="00427CF1">
        <w:rPr>
          <w:rStyle w:val="TextoNormalNegritaCaracter"/>
        </w:rPr>
        <w:t>Artículo 6 apartado 1.</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Artículo 6 apartado 2.</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 xml:space="preserve">Artículo 6 apartado 3 inciso </w:t>
      </w:r>
      <w:r w:rsidRPr="00427CF1">
        <w:rPr>
          <w:rStyle w:val="TextoNormalNegritaCursivaCaracter"/>
        </w:rPr>
        <w:t>in fine</w:t>
      </w:r>
      <w:r w:rsidRPr="00427CF1">
        <w:rPr>
          <w:rStyle w:val="TextoNormalNegritaCaracter"/>
        </w:rPr>
        <w:t>.</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Artículo 6 apartado 4.</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Artículo 6 apartado 5 excepto inciso 1.</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Auto </w:t>
      </w:r>
      <w:hyperlink w:anchor="AUTO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Auto </w:t>
      </w:r>
      <w:hyperlink w:anchor="AUTO_2016_140" w:history="1">
        <w:r w:rsidRPr="00427CF1">
          <w:rPr>
            <w:rStyle w:val="TextoNormalCaracter"/>
          </w:rPr>
          <w:t>140/2016</w:t>
        </w:r>
      </w:hyperlink>
      <w:r>
        <w:t>, ff. 1, 3, 5.</w:t>
      </w:r>
    </w:p>
    <w:p w:rsidR="00427CF1" w:rsidRDefault="00427CF1" w:rsidP="00427CF1">
      <w:pPr>
        <w:pStyle w:val="SangriaFrancesaArticulo"/>
      </w:pPr>
    </w:p>
    <w:p w:rsidR="00427CF1" w:rsidRDefault="00427CF1" w:rsidP="00427CF1">
      <w:pPr>
        <w:pStyle w:val="TextoNormalNegritaCursivandice"/>
      </w:pPr>
      <w:r>
        <w:t>Ley del Parlamento de Cataluña 14/2015, de 21 de julio. Impuesto sobre las viviendas vacías, y modificación de normas tributarias y la Ley 3/2012</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9.1.</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15.</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16.</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r w:rsidRPr="00427CF1">
        <w:rPr>
          <w:rStyle w:val="TextoNormalNegritaCaracter"/>
        </w:rPr>
        <w:t>Artículo 18.</w:t>
      </w:r>
      <w:r w:rsidRPr="00427CF1">
        <w:rPr>
          <w:rStyle w:val="TextoNormalCaracter"/>
        </w:rPr>
        <w:t>-</w:t>
      </w:r>
      <w:r>
        <w:t xml:space="preserve"> Auto </w:t>
      </w:r>
      <w:hyperlink w:anchor="AUTO_2016_157" w:history="1">
        <w:r w:rsidRPr="00427CF1">
          <w:rPr>
            <w:rStyle w:val="TextoNormalCaracter"/>
          </w:rPr>
          <w:t>157/2016</w:t>
        </w:r>
      </w:hyperlink>
      <w:r>
        <w:t>, f. 1.</w:t>
      </w:r>
    </w:p>
    <w:p w:rsidR="00427CF1" w:rsidRDefault="00427CF1" w:rsidP="00427CF1">
      <w:pPr>
        <w:pStyle w:val="SangriaFrancesaArticulo"/>
      </w:pPr>
    </w:p>
    <w:p w:rsidR="00427CF1" w:rsidRDefault="00427CF1" w:rsidP="00427CF1">
      <w:pPr>
        <w:pStyle w:val="TextoNormalNegritaCursivandice"/>
      </w:pPr>
      <w:r>
        <w:t>Ley del Parlamento de Cataluña 16/2015, de 21 de julio. Simplificación de la actividad administrativa de la Administración de la Generalidad y de los gobiernos locales de Cataluña y de impulso de la actividad económica</w:t>
      </w:r>
    </w:p>
    <w:p w:rsidR="00427CF1" w:rsidRDefault="00427CF1" w:rsidP="00427CF1">
      <w:pPr>
        <w:pStyle w:val="SangriaFrancesaArticulo"/>
      </w:pPr>
      <w:r w:rsidRPr="00427CF1">
        <w:rPr>
          <w:rStyle w:val="TextoNormalNegritaCaracter"/>
        </w:rPr>
        <w:t>Artículo 19.6.</w:t>
      </w:r>
      <w:r w:rsidRPr="00427CF1">
        <w:rPr>
          <w:rStyle w:val="TextoNormalCaracter"/>
        </w:rPr>
        <w:t>-</w:t>
      </w:r>
      <w:r>
        <w:t xml:space="preserve"> Auto </w:t>
      </w:r>
      <w:hyperlink w:anchor="AUTO_2016_158" w:history="1">
        <w:r w:rsidRPr="00427CF1">
          <w:rPr>
            <w:rStyle w:val="TextoNormalCaracter"/>
          </w:rPr>
          <w:t>158/2016</w:t>
        </w:r>
      </w:hyperlink>
      <w:r>
        <w:t>, ff. 1, 3, 4.</w:t>
      </w:r>
    </w:p>
    <w:p w:rsidR="00427CF1" w:rsidRDefault="00427CF1" w:rsidP="00427CF1">
      <w:pPr>
        <w:pStyle w:val="SangriaFrancesaArticulo"/>
      </w:pPr>
    </w:p>
    <w:p w:rsidR="00427CF1" w:rsidRDefault="00427CF1" w:rsidP="00427CF1">
      <w:pPr>
        <w:pStyle w:val="TextoNormalNegritaCursivandice"/>
      </w:pPr>
      <w:r>
        <w:t>Ley del Parlamento de Cataluña 17/2015, de 21 de julio. Igualdad efectiva de mujeres y hombres</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59" w:history="1">
        <w:r w:rsidRPr="00427CF1">
          <w:rPr>
            <w:rStyle w:val="TextoNormalCaracter"/>
          </w:rPr>
          <w:t>159/2016</w:t>
        </w:r>
      </w:hyperlink>
      <w:r>
        <w:t>, f. 2.</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9" w:history="1">
        <w:r w:rsidRPr="00427CF1">
          <w:rPr>
            <w:rStyle w:val="TextoNormalCaracter"/>
          </w:rPr>
          <w:t>159/2016</w:t>
        </w:r>
      </w:hyperlink>
      <w:r>
        <w:t>, f. 2.</w:t>
      </w:r>
    </w:p>
    <w:p w:rsidR="00427CF1" w:rsidRDefault="00427CF1" w:rsidP="00427CF1">
      <w:pPr>
        <w:pStyle w:val="SangriaFrancesaArticulo"/>
      </w:pPr>
      <w:r w:rsidRPr="00427CF1">
        <w:rPr>
          <w:rStyle w:val="TextoNormalNegritaCaracter"/>
        </w:rPr>
        <w:t>Artículo 2 a).</w:t>
      </w:r>
      <w:r w:rsidRPr="00427CF1">
        <w:rPr>
          <w:rStyle w:val="TextoNormalCaracter"/>
        </w:rPr>
        <w:t>-</w:t>
      </w:r>
      <w:r>
        <w:t xml:space="preserve"> Sentencia </w:t>
      </w:r>
      <w:hyperlink w:anchor="SENTENCIA_2016_159" w:history="1">
        <w:r w:rsidRPr="00427CF1">
          <w:rPr>
            <w:rStyle w:val="TextoNormalCaracter"/>
          </w:rPr>
          <w:t>159/2016</w:t>
        </w:r>
      </w:hyperlink>
      <w:r>
        <w:t>, f. 4.</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59" w:history="1">
        <w:r w:rsidRPr="00427CF1">
          <w:rPr>
            <w:rStyle w:val="TextoNormalCaracter"/>
          </w:rPr>
          <w:t>159/2016</w:t>
        </w:r>
      </w:hyperlink>
      <w:r>
        <w:t>, ff. 1 a 3.</w:t>
      </w:r>
    </w:p>
    <w:p w:rsidR="00427CF1" w:rsidRDefault="00427CF1" w:rsidP="00427CF1">
      <w:pPr>
        <w:pStyle w:val="SangriaFrancesaArticulo"/>
      </w:pPr>
      <w:r w:rsidRPr="00427CF1">
        <w:rPr>
          <w:rStyle w:val="TextoNormalNegritaCaracter"/>
        </w:rPr>
        <w:t>Artículo 33.1.</w:t>
      </w:r>
      <w:r w:rsidRPr="00427CF1">
        <w:rPr>
          <w:rStyle w:val="TextoNormalCaracter"/>
        </w:rPr>
        <w:t>-</w:t>
      </w:r>
      <w:r>
        <w:t xml:space="preserve"> Sentencia </w:t>
      </w:r>
      <w:hyperlink w:anchor="SENTENCIA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33.2.</w:t>
      </w:r>
      <w:r w:rsidRPr="00427CF1">
        <w:rPr>
          <w:rStyle w:val="TextoNormalCaracter"/>
        </w:rPr>
        <w:t>-</w:t>
      </w:r>
      <w:r>
        <w:t xml:space="preserve"> Sentencia </w:t>
      </w:r>
      <w:hyperlink w:anchor="SENTENCIA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33.3.</w:t>
      </w:r>
      <w:r w:rsidRPr="00427CF1">
        <w:rPr>
          <w:rStyle w:val="TextoNormalCaracter"/>
        </w:rPr>
        <w:t>-</w:t>
      </w:r>
      <w:r>
        <w:t xml:space="preserve"> Sentencia </w:t>
      </w:r>
      <w:hyperlink w:anchor="SENTENCIA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33.4.</w:t>
      </w:r>
      <w:r w:rsidRPr="00427CF1">
        <w:rPr>
          <w:rStyle w:val="TextoNormalCaracter"/>
        </w:rPr>
        <w:t>-</w:t>
      </w:r>
      <w:r>
        <w:t xml:space="preserve"> Sentencia </w:t>
      </w:r>
      <w:hyperlink w:anchor="SENTENCIA_2016_159" w:history="1">
        <w:r w:rsidRPr="00427CF1">
          <w:rPr>
            <w:rStyle w:val="TextoNormalCaracter"/>
          </w:rPr>
          <w:t>159/2016</w:t>
        </w:r>
      </w:hyperlink>
      <w:r>
        <w:t>, f. 3.</w:t>
      </w:r>
    </w:p>
    <w:p w:rsidR="00427CF1" w:rsidRDefault="00427CF1" w:rsidP="00427CF1">
      <w:pPr>
        <w:pStyle w:val="SangriaFrancesaArticulo"/>
      </w:pPr>
      <w:r w:rsidRPr="00427CF1">
        <w:rPr>
          <w:rStyle w:val="TextoNormalNegritaCaracter"/>
        </w:rPr>
        <w:t>Artículo 36.</w:t>
      </w:r>
      <w:r w:rsidRPr="00427CF1">
        <w:rPr>
          <w:rStyle w:val="TextoNormalCaracter"/>
        </w:rPr>
        <w:t>-</w:t>
      </w:r>
      <w:r>
        <w:t xml:space="preserve"> Sentencia </w:t>
      </w:r>
      <w:hyperlink w:anchor="SENTENCIA_2016_159" w:history="1">
        <w:r w:rsidRPr="00427CF1">
          <w:rPr>
            <w:rStyle w:val="TextoNormalCaracter"/>
          </w:rPr>
          <w:t>159/2016</w:t>
        </w:r>
      </w:hyperlink>
      <w:r>
        <w:t>, ff. 1, 2, 4.</w:t>
      </w:r>
    </w:p>
    <w:p w:rsidR="00427CF1" w:rsidRDefault="00427CF1" w:rsidP="00427CF1">
      <w:pPr>
        <w:pStyle w:val="SangriaFrancesaArticulo"/>
      </w:pPr>
      <w:r w:rsidRPr="00427CF1">
        <w:rPr>
          <w:rStyle w:val="TextoNormalNegritaCaracter"/>
        </w:rPr>
        <w:t>Artículo 36.1.</w:t>
      </w:r>
      <w:r w:rsidRPr="00427CF1">
        <w:rPr>
          <w:rStyle w:val="TextoNormalCaracter"/>
        </w:rPr>
        <w:t>-</w:t>
      </w:r>
      <w:r>
        <w:t xml:space="preserve"> Sentencia </w:t>
      </w:r>
      <w:hyperlink w:anchor="SENTENCIA_2016_159" w:history="1">
        <w:r w:rsidRPr="00427CF1">
          <w:rPr>
            <w:rStyle w:val="TextoNormalCaracter"/>
          </w:rPr>
          <w:t>159/2016</w:t>
        </w:r>
      </w:hyperlink>
      <w:r>
        <w:t>, ff. 1, 2, 4.</w:t>
      </w:r>
    </w:p>
    <w:p w:rsidR="00427CF1" w:rsidRDefault="00427CF1" w:rsidP="00427CF1">
      <w:pPr>
        <w:pStyle w:val="SangriaFrancesaArticulo"/>
      </w:pPr>
      <w:r w:rsidRPr="00427CF1">
        <w:rPr>
          <w:rStyle w:val="TextoNormalNegritaCaracter"/>
        </w:rPr>
        <w:t>Artículo 36.2.</w:t>
      </w:r>
      <w:r w:rsidRPr="00427CF1">
        <w:rPr>
          <w:rStyle w:val="TextoNormalCaracter"/>
        </w:rPr>
        <w:t>-</w:t>
      </w:r>
      <w:r>
        <w:t xml:space="preserve"> Sentencia </w:t>
      </w:r>
      <w:hyperlink w:anchor="SENTENCIA_2016_159" w:history="1">
        <w:r w:rsidRPr="00427CF1">
          <w:rPr>
            <w:rStyle w:val="TextoNormalCaracter"/>
          </w:rPr>
          <w:t>159/2016</w:t>
        </w:r>
      </w:hyperlink>
      <w:r>
        <w:t>, ff. 1, 2, 4.</w:t>
      </w:r>
    </w:p>
    <w:p w:rsidR="00427CF1" w:rsidRDefault="00427CF1" w:rsidP="00427CF1">
      <w:pPr>
        <w:pStyle w:val="SangriaFrancesaArticulo"/>
      </w:pPr>
      <w:r w:rsidRPr="00427CF1">
        <w:rPr>
          <w:rStyle w:val="TextoNormalNegritaCaracter"/>
        </w:rPr>
        <w:t>Artículo 36.3.</w:t>
      </w:r>
      <w:r w:rsidRPr="00427CF1">
        <w:rPr>
          <w:rStyle w:val="TextoNormalCaracter"/>
        </w:rPr>
        <w:t>-</w:t>
      </w:r>
      <w:r>
        <w:t xml:space="preserve"> Sentencia </w:t>
      </w:r>
      <w:hyperlink w:anchor="SENTENCIA_2016_159" w:history="1">
        <w:r w:rsidRPr="00427CF1">
          <w:rPr>
            <w:rStyle w:val="TextoNormalCaracter"/>
          </w:rPr>
          <w:t>159/2016</w:t>
        </w:r>
      </w:hyperlink>
      <w:r>
        <w:t>, ff. 1, 2, 4.</w:t>
      </w:r>
    </w:p>
    <w:p w:rsidR="00427CF1" w:rsidRDefault="00427CF1" w:rsidP="00427CF1">
      <w:pPr>
        <w:pStyle w:val="SangriaFrancesaArticulo"/>
      </w:pPr>
      <w:r w:rsidRPr="00427CF1">
        <w:rPr>
          <w:rStyle w:val="TextoNormalNegritaCaracter"/>
        </w:rPr>
        <w:t>Artículo 36.4.</w:t>
      </w:r>
      <w:r w:rsidRPr="00427CF1">
        <w:rPr>
          <w:rStyle w:val="TextoNormalCaracter"/>
        </w:rPr>
        <w:t>-</w:t>
      </w:r>
      <w:r>
        <w:t xml:space="preserve"> Sentencia </w:t>
      </w:r>
      <w:hyperlink w:anchor="SENTENCIA_2016_159" w:history="1">
        <w:r w:rsidRPr="00427CF1">
          <w:rPr>
            <w:rStyle w:val="TextoNormalCaracter"/>
          </w:rPr>
          <w:t>159/2016</w:t>
        </w:r>
      </w:hyperlink>
      <w:r>
        <w:t>, ff. 1, 2, 4.</w:t>
      </w:r>
    </w:p>
    <w:p w:rsidR="00427CF1" w:rsidRDefault="00427CF1" w:rsidP="00427CF1">
      <w:pPr>
        <w:pStyle w:val="SangriaFrancesaArticulo"/>
      </w:pPr>
      <w:r w:rsidRPr="00427CF1">
        <w:rPr>
          <w:rStyle w:val="TextoNormalNegritaCaracter"/>
        </w:rPr>
        <w:t>Artículo 39.</w:t>
      </w:r>
      <w:r w:rsidRPr="00427CF1">
        <w:rPr>
          <w:rStyle w:val="TextoNormalCaracter"/>
        </w:rPr>
        <w:t>-</w:t>
      </w:r>
      <w:r>
        <w:t xml:space="preserve"> Sentencia </w:t>
      </w:r>
      <w:hyperlink w:anchor="SENTENCIA_2016_159" w:history="1">
        <w:r w:rsidRPr="00427CF1">
          <w:rPr>
            <w:rStyle w:val="TextoNormalCaracter"/>
          </w:rPr>
          <w:t>159/2016</w:t>
        </w:r>
      </w:hyperlink>
      <w:r>
        <w:t>, ff. 1, 2, 5.</w:t>
      </w:r>
    </w:p>
    <w:p w:rsidR="00427CF1" w:rsidRDefault="00427CF1" w:rsidP="00427CF1">
      <w:pPr>
        <w:pStyle w:val="SangriaFrancesaArticulo"/>
      </w:pPr>
      <w:r w:rsidRPr="00427CF1">
        <w:rPr>
          <w:rStyle w:val="TextoNormalNegritaCaracter"/>
        </w:rPr>
        <w:t>Artículo 39.1.</w:t>
      </w:r>
      <w:r w:rsidRPr="00427CF1">
        <w:rPr>
          <w:rStyle w:val="TextoNormalCaracter"/>
        </w:rPr>
        <w:t>-</w:t>
      </w:r>
      <w:r>
        <w:t xml:space="preserve"> Sentencia </w:t>
      </w:r>
      <w:hyperlink w:anchor="SENTENCIA_2016_159" w:history="1">
        <w:r w:rsidRPr="00427CF1">
          <w:rPr>
            <w:rStyle w:val="TextoNormalCaracter"/>
          </w:rPr>
          <w:t>159/2016</w:t>
        </w:r>
      </w:hyperlink>
      <w:r>
        <w:t>, ff. 1, 2, 5.</w:t>
      </w:r>
    </w:p>
    <w:p w:rsidR="00427CF1" w:rsidRDefault="00427CF1" w:rsidP="00427CF1">
      <w:pPr>
        <w:pStyle w:val="SangriaFrancesaArticulo"/>
      </w:pPr>
      <w:r w:rsidRPr="00427CF1">
        <w:rPr>
          <w:rStyle w:val="TextoNormalNegritaCaracter"/>
        </w:rPr>
        <w:t>Artículo 39.2.</w:t>
      </w:r>
      <w:r w:rsidRPr="00427CF1">
        <w:rPr>
          <w:rStyle w:val="TextoNormalCaracter"/>
        </w:rPr>
        <w:t>-</w:t>
      </w:r>
      <w:r>
        <w:t xml:space="preserve"> Sentencia </w:t>
      </w:r>
      <w:hyperlink w:anchor="SENTENCIA_2016_159" w:history="1">
        <w:r w:rsidRPr="00427CF1">
          <w:rPr>
            <w:rStyle w:val="TextoNormalCaracter"/>
          </w:rPr>
          <w:t>159/2016</w:t>
        </w:r>
      </w:hyperlink>
      <w:r>
        <w:t>, ff. 1, 2, 5.</w:t>
      </w:r>
    </w:p>
    <w:p w:rsidR="00427CF1" w:rsidRDefault="00427CF1" w:rsidP="00427CF1">
      <w:pPr>
        <w:pStyle w:val="SangriaFrancesaArticulo"/>
      </w:pPr>
      <w:r w:rsidRPr="00427CF1">
        <w:rPr>
          <w:rStyle w:val="TextoNormalNegritaCaracter"/>
        </w:rPr>
        <w:t>Artículo 39.3.</w:t>
      </w:r>
      <w:r w:rsidRPr="00427CF1">
        <w:rPr>
          <w:rStyle w:val="TextoNormalCaracter"/>
        </w:rPr>
        <w:t>-</w:t>
      </w:r>
      <w:r>
        <w:t xml:space="preserve"> Sentencia </w:t>
      </w:r>
      <w:hyperlink w:anchor="SENTENCIA_2016_159" w:history="1">
        <w:r w:rsidRPr="00427CF1">
          <w:rPr>
            <w:rStyle w:val="TextoNormalCaracter"/>
          </w:rPr>
          <w:t>159/2016</w:t>
        </w:r>
      </w:hyperlink>
      <w:r>
        <w:t>, ff. 1, 2, 5.</w:t>
      </w:r>
    </w:p>
    <w:p w:rsidR="00427CF1" w:rsidRDefault="00427CF1" w:rsidP="00427CF1">
      <w:pPr>
        <w:pStyle w:val="SangriaFrancesaArticulo"/>
      </w:pPr>
      <w:r w:rsidRPr="00427CF1">
        <w:rPr>
          <w:rStyle w:val="TextoNormalNegritaCaracter"/>
        </w:rPr>
        <w:t>Artículo 39.4.</w:t>
      </w:r>
      <w:r w:rsidRPr="00427CF1">
        <w:rPr>
          <w:rStyle w:val="TextoNormalCaracter"/>
        </w:rPr>
        <w:t>-</w:t>
      </w:r>
      <w:r>
        <w:t xml:space="preserve"> Sentencia </w:t>
      </w:r>
      <w:hyperlink w:anchor="SENTENCIA_2016_159" w:history="1">
        <w:r w:rsidRPr="00427CF1">
          <w:rPr>
            <w:rStyle w:val="TextoNormalCaracter"/>
          </w:rPr>
          <w:t>159/2016</w:t>
        </w:r>
      </w:hyperlink>
      <w:r>
        <w:t>, f. 5.</w:t>
      </w:r>
    </w:p>
    <w:p w:rsidR="00427CF1" w:rsidRDefault="00427CF1" w:rsidP="00427CF1">
      <w:pPr>
        <w:pStyle w:val="SangriaFrancesaArticulo"/>
      </w:pPr>
      <w:r w:rsidRPr="00427CF1">
        <w:rPr>
          <w:rStyle w:val="TextoNormalNegritaCaracter"/>
        </w:rPr>
        <w:t>Artículo 40.</w:t>
      </w:r>
      <w:r w:rsidRPr="00427CF1">
        <w:rPr>
          <w:rStyle w:val="TextoNormalCaracter"/>
        </w:rPr>
        <w:t>-</w:t>
      </w:r>
      <w:r>
        <w:t xml:space="preserve"> Sentencia </w:t>
      </w:r>
      <w:hyperlink w:anchor="SENTENCIA_2016_159" w:history="1">
        <w:r w:rsidRPr="00427CF1">
          <w:rPr>
            <w:rStyle w:val="TextoNormalCaracter"/>
          </w:rPr>
          <w:t>159/2016</w:t>
        </w:r>
      </w:hyperlink>
      <w:r>
        <w:t>, ff. 1, 2, 6.</w:t>
      </w:r>
    </w:p>
    <w:p w:rsidR="00427CF1" w:rsidRDefault="00427CF1" w:rsidP="00427CF1">
      <w:pPr>
        <w:pStyle w:val="SangriaFrancesaArticulo"/>
      </w:pPr>
      <w:r w:rsidRPr="00427CF1">
        <w:rPr>
          <w:rStyle w:val="TextoNormalNegritaCaracter"/>
        </w:rPr>
        <w:t>Artículo 40.1.</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r w:rsidRPr="00427CF1">
        <w:rPr>
          <w:rStyle w:val="TextoNormalNegritaCaracter"/>
        </w:rPr>
        <w:t>Artículo 40.2.</w:t>
      </w:r>
      <w:r w:rsidRPr="00427CF1">
        <w:rPr>
          <w:rStyle w:val="TextoNormalCaracter"/>
        </w:rPr>
        <w:t>-</w:t>
      </w:r>
      <w:r>
        <w:t xml:space="preserve"> Sentencia </w:t>
      </w:r>
      <w:hyperlink w:anchor="SENTENCIA_2016_159" w:history="1">
        <w:r w:rsidRPr="00427CF1">
          <w:rPr>
            <w:rStyle w:val="TextoNormalCaracter"/>
          </w:rPr>
          <w:t>159/2016</w:t>
        </w:r>
      </w:hyperlink>
      <w:r>
        <w:t>, f. 6.</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 </w:t>
      </w:r>
      <w:hyperlink w:anchor="SENTENCIA_2016_159" w:history="1">
        <w:r w:rsidRPr="00427CF1">
          <w:rPr>
            <w:rStyle w:val="TextoNormalCaracter"/>
          </w:rPr>
          <w:t>159/2016</w:t>
        </w:r>
      </w:hyperlink>
      <w:r>
        <w:t>, f. 7.</w:t>
      </w:r>
    </w:p>
    <w:p w:rsidR="00427CF1" w:rsidRDefault="00427CF1" w:rsidP="00427CF1">
      <w:pPr>
        <w:pStyle w:val="SangriaFrancesaArticulo"/>
      </w:pPr>
      <w:r w:rsidRPr="00427CF1">
        <w:rPr>
          <w:rStyle w:val="TextoNormalNegritaCaracter"/>
        </w:rPr>
        <w:t>Artículo 41.1.</w:t>
      </w:r>
      <w:r w:rsidRPr="00427CF1">
        <w:rPr>
          <w:rStyle w:val="TextoNormalCaracter"/>
        </w:rPr>
        <w:t>-</w:t>
      </w:r>
      <w:r>
        <w:t xml:space="preserve"> Sentencia </w:t>
      </w:r>
      <w:hyperlink w:anchor="SENTENCIA_2016_159" w:history="1">
        <w:r w:rsidRPr="00427CF1">
          <w:rPr>
            <w:rStyle w:val="TextoNormalCaracter"/>
          </w:rPr>
          <w:t>159/2016</w:t>
        </w:r>
      </w:hyperlink>
      <w:r>
        <w:t>, f. 7.</w:t>
      </w:r>
    </w:p>
    <w:p w:rsidR="00427CF1" w:rsidRDefault="00427CF1" w:rsidP="00427CF1">
      <w:pPr>
        <w:pStyle w:val="SangriaFrancesaArticulo"/>
      </w:pPr>
      <w:r w:rsidRPr="00427CF1">
        <w:rPr>
          <w:rStyle w:val="TextoNormalNegritaCaracter"/>
        </w:rPr>
        <w:t>Artículo 41.2.</w:t>
      </w:r>
      <w:r w:rsidRPr="00427CF1">
        <w:rPr>
          <w:rStyle w:val="TextoNormalCaracter"/>
        </w:rPr>
        <w:t>-</w:t>
      </w:r>
      <w:r>
        <w:t xml:space="preserve"> Sentencia </w:t>
      </w:r>
      <w:hyperlink w:anchor="SENTENCIA_2016_159" w:history="1">
        <w:r w:rsidRPr="00427CF1">
          <w:rPr>
            <w:rStyle w:val="TextoNormalCaracter"/>
          </w:rPr>
          <w:t>159/2016</w:t>
        </w:r>
      </w:hyperlink>
      <w:r>
        <w:t>, ff. 1, 2, 7.</w:t>
      </w:r>
    </w:p>
    <w:p w:rsidR="00427CF1" w:rsidRDefault="00427CF1" w:rsidP="00427CF1">
      <w:pPr>
        <w:pStyle w:val="SangriaFrancesaArticulo"/>
      </w:pPr>
      <w:r w:rsidRPr="00427CF1">
        <w:rPr>
          <w:rStyle w:val="TextoNormalNegritaCaracter"/>
        </w:rPr>
        <w:t>Artículo 41.3.</w:t>
      </w:r>
      <w:r w:rsidRPr="00427CF1">
        <w:rPr>
          <w:rStyle w:val="TextoNormalCaracter"/>
        </w:rPr>
        <w:t>-</w:t>
      </w:r>
      <w:r>
        <w:t xml:space="preserve"> Sentencia </w:t>
      </w:r>
      <w:hyperlink w:anchor="SENTENCIA_2016_159" w:history="1">
        <w:r w:rsidRPr="00427CF1">
          <w:rPr>
            <w:rStyle w:val="TextoNormalCaracter"/>
          </w:rPr>
          <w:t>159/2016</w:t>
        </w:r>
      </w:hyperlink>
      <w:r>
        <w:t>, ff. 1, 2, 7.</w:t>
      </w:r>
    </w:p>
    <w:p w:rsidR="00427CF1" w:rsidRDefault="00427CF1" w:rsidP="00427CF1">
      <w:pPr>
        <w:pStyle w:val="SangriaFrancesaArticulo"/>
      </w:pPr>
      <w:r w:rsidRPr="00427CF1">
        <w:rPr>
          <w:rStyle w:val="TextoNormalNegritaCaracter"/>
        </w:rPr>
        <w:t>Artículo 41.4.</w:t>
      </w:r>
      <w:r w:rsidRPr="00427CF1">
        <w:rPr>
          <w:rStyle w:val="TextoNormalCaracter"/>
        </w:rPr>
        <w:t>-</w:t>
      </w:r>
      <w:r>
        <w:t xml:space="preserve"> Sentencia </w:t>
      </w:r>
      <w:hyperlink w:anchor="SENTENCIA_2016_159" w:history="1">
        <w:r w:rsidRPr="00427CF1">
          <w:rPr>
            <w:rStyle w:val="TextoNormalCaracter"/>
          </w:rPr>
          <w:t>159/2016</w:t>
        </w:r>
      </w:hyperlink>
      <w:r>
        <w:t>, ff. 1, 2, 7.</w:t>
      </w:r>
    </w:p>
    <w:p w:rsidR="00427CF1" w:rsidRDefault="00427CF1" w:rsidP="00427CF1">
      <w:pPr>
        <w:pStyle w:val="SangriaFrancesaArticulo"/>
      </w:pPr>
      <w:r w:rsidRPr="00427CF1">
        <w:rPr>
          <w:rStyle w:val="TextoNormalNegritaCaracter"/>
        </w:rPr>
        <w:t>Artículo 44.</w:t>
      </w:r>
      <w:r w:rsidRPr="00427CF1">
        <w:rPr>
          <w:rStyle w:val="TextoNormalCaracter"/>
        </w:rPr>
        <w:t>-</w:t>
      </w:r>
      <w:r>
        <w:t xml:space="preserve"> Sentencia </w:t>
      </w:r>
      <w:hyperlink w:anchor="SENTENCIA_2016_159" w:history="1">
        <w:r w:rsidRPr="00427CF1">
          <w:rPr>
            <w:rStyle w:val="TextoNormalCaracter"/>
          </w:rPr>
          <w:t>159/2016</w:t>
        </w:r>
      </w:hyperlink>
      <w:r>
        <w:t>, ff. 1, 2, 8.</w:t>
      </w:r>
    </w:p>
    <w:p w:rsidR="00427CF1" w:rsidRDefault="00427CF1" w:rsidP="00427CF1">
      <w:pPr>
        <w:pStyle w:val="SangriaFrancesaArticulo"/>
      </w:pPr>
      <w:r w:rsidRPr="00427CF1">
        <w:rPr>
          <w:rStyle w:val="TextoNormalNegritaCaracter"/>
        </w:rPr>
        <w:t>Artículo 44.1.</w:t>
      </w:r>
      <w:r w:rsidRPr="00427CF1">
        <w:rPr>
          <w:rStyle w:val="TextoNormalCaracter"/>
        </w:rPr>
        <w:t>-</w:t>
      </w:r>
      <w:r>
        <w:t xml:space="preserve"> Sentencia </w:t>
      </w:r>
      <w:hyperlink w:anchor="SENTENCIA_2016_159" w:history="1">
        <w:r w:rsidRPr="00427CF1">
          <w:rPr>
            <w:rStyle w:val="TextoNormalCaracter"/>
          </w:rPr>
          <w:t>159/2016</w:t>
        </w:r>
      </w:hyperlink>
      <w:r>
        <w:t>, f. 8.</w:t>
      </w:r>
    </w:p>
    <w:p w:rsidR="00427CF1" w:rsidRDefault="00427CF1" w:rsidP="00427CF1">
      <w:pPr>
        <w:pStyle w:val="SangriaFrancesaArticulo"/>
      </w:pPr>
      <w:r w:rsidRPr="00427CF1">
        <w:rPr>
          <w:rStyle w:val="TextoNormalNegritaCaracter"/>
        </w:rPr>
        <w:t>Artículo 44.2.</w:t>
      </w:r>
      <w:r w:rsidRPr="00427CF1">
        <w:rPr>
          <w:rStyle w:val="TextoNormalCaracter"/>
        </w:rPr>
        <w:t>-</w:t>
      </w:r>
      <w:r>
        <w:t xml:space="preserve"> Sentencia </w:t>
      </w:r>
      <w:hyperlink w:anchor="SENTENCIA_2016_159" w:history="1">
        <w:r w:rsidRPr="00427CF1">
          <w:rPr>
            <w:rStyle w:val="TextoNormalCaracter"/>
          </w:rPr>
          <w:t>159/2016</w:t>
        </w:r>
      </w:hyperlink>
      <w:r>
        <w:t>, f. 8.</w:t>
      </w:r>
    </w:p>
    <w:p w:rsidR="00427CF1" w:rsidRDefault="00427CF1" w:rsidP="00427CF1">
      <w:pPr>
        <w:pStyle w:val="SangriaFrancesaArticulo"/>
      </w:pPr>
      <w:r w:rsidRPr="00427CF1">
        <w:rPr>
          <w:rStyle w:val="TextoNormalNegritaCaracter"/>
        </w:rPr>
        <w:t>Artículo 44.3.</w:t>
      </w:r>
      <w:r w:rsidRPr="00427CF1">
        <w:rPr>
          <w:rStyle w:val="TextoNormalCaracter"/>
        </w:rPr>
        <w:t>-</w:t>
      </w:r>
      <w:r>
        <w:t xml:space="preserve"> Sentencia </w:t>
      </w:r>
      <w:hyperlink w:anchor="SENTENCIA_2016_159" w:history="1">
        <w:r w:rsidRPr="00427CF1">
          <w:rPr>
            <w:rStyle w:val="TextoNormalCaracter"/>
          </w:rPr>
          <w:t>159/2016</w:t>
        </w:r>
      </w:hyperlink>
      <w:r>
        <w:t>, f. 8.</w:t>
      </w:r>
    </w:p>
    <w:p w:rsidR="00427CF1" w:rsidRDefault="00427CF1" w:rsidP="00427CF1">
      <w:pPr>
        <w:pStyle w:val="SangriaFrancesaArticulo"/>
      </w:pPr>
      <w:r w:rsidRPr="00427CF1">
        <w:rPr>
          <w:rStyle w:val="TextoNormalNegritaCaracter"/>
        </w:rPr>
        <w:t>Artículo 59 a 64.</w:t>
      </w:r>
      <w:r w:rsidRPr="00427CF1">
        <w:rPr>
          <w:rStyle w:val="TextoNormalCaracter"/>
        </w:rPr>
        <w:t>-</w:t>
      </w:r>
      <w:r>
        <w:t xml:space="preserve"> Sentencia </w:t>
      </w:r>
      <w:hyperlink w:anchor="SENTENCIA_2016_159" w:history="1">
        <w:r w:rsidRPr="00427CF1">
          <w:rPr>
            <w:rStyle w:val="TextoNormalCaracter"/>
          </w:rPr>
          <w:t>159/2016</w:t>
        </w:r>
      </w:hyperlink>
      <w:r>
        <w:t>, ff. 1, 2, 9.</w:t>
      </w:r>
    </w:p>
    <w:p w:rsidR="00427CF1" w:rsidRDefault="00427CF1" w:rsidP="00427CF1">
      <w:pPr>
        <w:pStyle w:val="SangriaFrancesaArticulo"/>
      </w:pPr>
    </w:p>
    <w:p w:rsidR="00427CF1" w:rsidRDefault="00427CF1" w:rsidP="00427CF1">
      <w:pPr>
        <w:pStyle w:val="TextoNormalNegritaCursivandice"/>
      </w:pPr>
      <w:r>
        <w:t>Ley del Parlamento de Cataluña 19/2015, de 29 de julio. Código civil de Cataluña, libro quinto relativo a la incorporación de la propiedad temporal y de la propiedad compartida</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Auto </w:t>
      </w:r>
      <w:hyperlink w:anchor="AUTO_2016_169" w:history="1">
        <w:r w:rsidRPr="00427CF1">
          <w:rPr>
            <w:rStyle w:val="TextoNormalCaracter"/>
          </w:rPr>
          <w:t>169/2016</w:t>
        </w:r>
      </w:hyperlink>
      <w:r>
        <w:t>, ff. 1, 3 a 5.</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Auto </w:t>
      </w:r>
      <w:hyperlink w:anchor="AUTO_2016_169" w:history="1">
        <w:r w:rsidRPr="00427CF1">
          <w:rPr>
            <w:rStyle w:val="TextoNormalCaracter"/>
          </w:rPr>
          <w:t>169/2016</w:t>
        </w:r>
      </w:hyperlink>
      <w:r>
        <w:t>, ff. 1, 5.</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Auto </w:t>
      </w:r>
      <w:hyperlink w:anchor="AUTO_2016_169" w:history="1">
        <w:r w:rsidRPr="00427CF1">
          <w:rPr>
            <w:rStyle w:val="TextoNormalCaracter"/>
          </w:rPr>
          <w:t>169/2016</w:t>
        </w:r>
      </w:hyperlink>
      <w:r>
        <w:t>, ff. 1, 5.</w:t>
      </w:r>
    </w:p>
    <w:p w:rsidR="00427CF1" w:rsidRDefault="00427CF1" w:rsidP="00427CF1">
      <w:pPr>
        <w:pStyle w:val="SangriaFrancesaArticulo"/>
      </w:pPr>
      <w:r w:rsidRPr="00427CF1">
        <w:rPr>
          <w:rStyle w:val="TextoNormalNegritaCaracter"/>
        </w:rPr>
        <w:t>Disposición adicional tercera.</w:t>
      </w:r>
      <w:r w:rsidRPr="00427CF1">
        <w:rPr>
          <w:rStyle w:val="TextoNormalCaracter"/>
        </w:rPr>
        <w:t>-</w:t>
      </w:r>
      <w:r>
        <w:t xml:space="preserve"> Auto </w:t>
      </w:r>
      <w:hyperlink w:anchor="AUTO_2016_169" w:history="1">
        <w:r w:rsidRPr="00427CF1">
          <w:rPr>
            <w:rStyle w:val="TextoNormalCaracter"/>
          </w:rPr>
          <w:t>169/2016</w:t>
        </w:r>
      </w:hyperlink>
      <w:r>
        <w:t>, ff. 1, 5.</w:t>
      </w:r>
    </w:p>
    <w:p w:rsidR="00427CF1" w:rsidRDefault="00427CF1" w:rsidP="00427CF1">
      <w:pPr>
        <w:pStyle w:val="SangriaFrancesaArticulo"/>
      </w:pPr>
      <w:r w:rsidRPr="00427CF1">
        <w:rPr>
          <w:rStyle w:val="TextoNormalNegritaCaracter"/>
        </w:rPr>
        <w:t>Disposición final.</w:t>
      </w:r>
      <w:r w:rsidRPr="00427CF1">
        <w:rPr>
          <w:rStyle w:val="TextoNormalCaracter"/>
        </w:rPr>
        <w:t>-</w:t>
      </w:r>
      <w:r>
        <w:t xml:space="preserve"> Auto </w:t>
      </w:r>
      <w:hyperlink w:anchor="AUTO_2016_169" w:history="1">
        <w:r w:rsidRPr="00427CF1">
          <w:rPr>
            <w:rStyle w:val="TextoNormalCaracter"/>
          </w:rPr>
          <w:t>169/2016</w:t>
        </w:r>
      </w:hyperlink>
      <w:r>
        <w:t>, ff. 1, 5.</w:t>
      </w:r>
    </w:p>
    <w:p w:rsidR="00427CF1" w:rsidRDefault="00427CF1" w:rsidP="00427CF1">
      <w:pPr>
        <w:pStyle w:val="SangriaFrancesaArticulo"/>
      </w:pPr>
    </w:p>
    <w:p w:rsidR="00427CF1" w:rsidRDefault="00427CF1" w:rsidP="00427CF1">
      <w:pPr>
        <w:pStyle w:val="TextoNormalNegritaCursivandice"/>
      </w:pPr>
      <w:r>
        <w:t>Ley del Parlamento de Cataluña 24/2015, de 29 de julio.  Medidas urgentes para afrontar la emergencia en el ámbito de la vivienda y la pobreza energética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 5; </w:t>
      </w:r>
      <w:hyperlink w:anchor="AUTO_2016_160" w:history="1">
        <w:r w:rsidRPr="00427CF1">
          <w:rPr>
            <w:rStyle w:val="TextoNormalCaracter"/>
          </w:rPr>
          <w:t>160/2016</w:t>
        </w:r>
      </w:hyperlink>
      <w:r>
        <w:t>, ff. 1, 3, 4, VP.</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5.4.</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5.9.</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Disposición adicional.</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Disposición transitoria segunda, apartado 1.</w:t>
      </w:r>
      <w:r w:rsidRPr="00427CF1">
        <w:rPr>
          <w:rStyle w:val="TextoNormalCaracter"/>
        </w:rPr>
        <w:t>-</w:t>
      </w:r>
      <w:r>
        <w:t xml:space="preserve"> Auto </w:t>
      </w:r>
      <w:hyperlink w:anchor="AUTO_2016_160" w:history="1">
        <w:r w:rsidRPr="00427CF1">
          <w:rPr>
            <w:rStyle w:val="TextoNormalCaracter"/>
          </w:rPr>
          <w:t>160/2016</w:t>
        </w:r>
      </w:hyperlink>
      <w:r>
        <w:t>, ff. 1, 3, 4.</w:t>
      </w:r>
    </w:p>
    <w:p w:rsidR="00427CF1" w:rsidRDefault="00427CF1" w:rsidP="00427CF1">
      <w:pPr>
        <w:pStyle w:val="SangriaFrancesaArticulo"/>
      </w:pPr>
      <w:r w:rsidRPr="00427CF1">
        <w:rPr>
          <w:rStyle w:val="TextoNormalNegritaCaracter"/>
        </w:rPr>
        <w:t>Disposición transitoria segunda, apartado 2.</w:t>
      </w:r>
      <w:r w:rsidRPr="00427CF1">
        <w:rPr>
          <w:rStyle w:val="TextoNormalCaracter"/>
        </w:rPr>
        <w:t>-</w:t>
      </w:r>
      <w:r>
        <w:t xml:space="preserve"> Auto </w:t>
      </w:r>
      <w:hyperlink w:anchor="AUTO_2016_160" w:history="1">
        <w:r w:rsidRPr="00427CF1">
          <w:rPr>
            <w:rStyle w:val="TextoNormalCaracter"/>
          </w:rPr>
          <w:t>160/2016</w:t>
        </w:r>
      </w:hyperlink>
      <w:r>
        <w:t>, ff. 1, 4.</w:t>
      </w:r>
    </w:p>
    <w:p w:rsidR="00427CF1" w:rsidRDefault="00427CF1" w:rsidP="00427CF1">
      <w:pPr>
        <w:pStyle w:val="SangriaFrancesaArticulo"/>
      </w:pPr>
      <w:r w:rsidRPr="00427CF1">
        <w:rPr>
          <w:rStyle w:val="TextoNormalNegritaCaracter"/>
        </w:rPr>
        <w:t>Disposición final tercera.</w:t>
      </w:r>
      <w:r w:rsidRPr="00427CF1">
        <w:rPr>
          <w:rStyle w:val="TextoNormalCaracter"/>
        </w:rPr>
        <w:t>-</w:t>
      </w:r>
      <w:r>
        <w:t xml:space="preserve"> Auto </w:t>
      </w:r>
      <w:hyperlink w:anchor="AUTO_2016_160" w:history="1">
        <w:r w:rsidRPr="00427CF1">
          <w:rPr>
            <w:rStyle w:val="TextoNormalCaracter"/>
          </w:rPr>
          <w:t>160/2016</w:t>
        </w:r>
      </w:hyperlink>
      <w:r>
        <w:t>, ff. 1, 4.</w:t>
      </w:r>
    </w:p>
    <w:p w:rsidR="00427CF1" w:rsidRDefault="00427CF1" w:rsidP="00427CF1">
      <w:pPr>
        <w:pStyle w:val="SangriaFrancesaArticulo"/>
      </w:pPr>
      <w:r w:rsidRPr="00427CF1">
        <w:rPr>
          <w:rStyle w:val="TextoNormalNegritaCaracter"/>
        </w:rPr>
        <w:t>Disposición final tercera, apartado 1.</w:t>
      </w:r>
      <w:r w:rsidRPr="00427CF1">
        <w:rPr>
          <w:rStyle w:val="TextoNormalCaracter"/>
        </w:rPr>
        <w:t>-</w:t>
      </w:r>
      <w:r>
        <w:t xml:space="preserve"> Auto </w:t>
      </w:r>
      <w:hyperlink w:anchor="AUTO_2016_160" w:history="1">
        <w:r w:rsidRPr="00427CF1">
          <w:rPr>
            <w:rStyle w:val="TextoNormalCaracter"/>
          </w:rPr>
          <w:t>160/2016</w:t>
        </w:r>
      </w:hyperlink>
      <w:r>
        <w:t>, f. 3.</w:t>
      </w:r>
    </w:p>
    <w:p w:rsidR="00427CF1" w:rsidRDefault="00427CF1" w:rsidP="00427CF1">
      <w:pPr>
        <w:pStyle w:val="SangriaFrancesaArticulo"/>
      </w:pPr>
      <w:r w:rsidRPr="00427CF1">
        <w:rPr>
          <w:rStyle w:val="TextoNormalNegritaCaracter"/>
        </w:rPr>
        <w:t>Disposición final tercera, apartado 2.</w:t>
      </w:r>
      <w:r w:rsidRPr="00427CF1">
        <w:rPr>
          <w:rStyle w:val="TextoNormalCaracter"/>
        </w:rPr>
        <w:t>-</w:t>
      </w:r>
      <w:r>
        <w:t xml:space="preserve"> Auto </w:t>
      </w:r>
      <w:hyperlink w:anchor="AUTO_2016_160" w:history="1">
        <w:r w:rsidRPr="00427CF1">
          <w:rPr>
            <w:rStyle w:val="TextoNormalCaracter"/>
          </w:rPr>
          <w:t>160/2016</w:t>
        </w:r>
      </w:hyperlink>
      <w:r>
        <w:t>, f. 3.</w:t>
      </w:r>
    </w:p>
    <w:p w:rsidR="00427CF1" w:rsidRDefault="00427CF1" w:rsidP="00427CF1">
      <w:pPr>
        <w:pStyle w:val="TextoNormal"/>
      </w:pPr>
    </w:p>
    <w:p w:rsidR="00427CF1" w:rsidRDefault="00427CF1" w:rsidP="00427CF1">
      <w:pPr>
        <w:pStyle w:val="TextoNormalNegritaCentradoSubrayado"/>
        <w:suppressAutoHyphens/>
      </w:pPr>
      <w:r>
        <w:t>J.9.c) Decretos y otras disposiciones reglamentarias</w:t>
      </w:r>
    </w:p>
    <w:p w:rsidR="00427CF1" w:rsidRDefault="00427CF1" w:rsidP="00427CF1">
      <w:pPr>
        <w:pStyle w:val="TextoNormalNegritaCentradoSubrayado"/>
      </w:pPr>
    </w:p>
    <w:p w:rsidR="00427CF1" w:rsidRDefault="00427CF1" w:rsidP="00427CF1">
      <w:pPr>
        <w:pStyle w:val="TextoNormalNegritaCursivandice"/>
      </w:pPr>
      <w:r>
        <w:t>Decreto de la Generalitat de Cataluña 68/2009, de 28 de abril. Regula el registro oficial de profesionales del deporte de Cataluña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Decreto de la Generalidad de Cataluña 104/2012, de 1 de octubre. Convocatoria de elecciones al Parlamento de Cataluña y de su disolución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TextoNormal"/>
      </w:pPr>
    </w:p>
    <w:p w:rsidR="00427CF1" w:rsidRDefault="00427CF1" w:rsidP="00427CF1">
      <w:pPr>
        <w:pStyle w:val="TextoNormalNegritaCentradoSubrayado"/>
        <w:suppressAutoHyphens/>
      </w:pPr>
      <w:r>
        <w:t>J.9.d) Normas parlamentarias autonómicas</w:t>
      </w:r>
    </w:p>
    <w:p w:rsidR="00427CF1" w:rsidRDefault="00427CF1" w:rsidP="00427CF1">
      <w:pPr>
        <w:pStyle w:val="TextoNormalNegritaCentradoSubrayado"/>
      </w:pPr>
    </w:p>
    <w:p w:rsidR="00427CF1" w:rsidRDefault="00427CF1" w:rsidP="00427CF1">
      <w:pPr>
        <w:pStyle w:val="TextoNormalNegritaCursivandice"/>
      </w:pPr>
      <w:r>
        <w:t>Reglamento del Parlamento de Cataluña. Texto refundido de 15 de octubre de 1987</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Título IV, capítulo II.</w:t>
      </w:r>
      <w:r w:rsidRPr="00427CF1">
        <w:rPr>
          <w:rStyle w:val="TextoNormalCaracter"/>
        </w:rPr>
        <w:t>-</w:t>
      </w:r>
      <w:r>
        <w:t xml:space="preserve"> Sentencia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37.2.</w:t>
      </w:r>
      <w:r w:rsidRPr="00427CF1">
        <w:rPr>
          <w:rStyle w:val="TextoNormalCaracter"/>
        </w:rPr>
        <w:t>-</w:t>
      </w:r>
      <w:r>
        <w:t xml:space="preserve"> Auto </w:t>
      </w:r>
      <w:hyperlink w:anchor="AUTO_2016_170" w:history="1">
        <w:r w:rsidRPr="00427CF1">
          <w:rPr>
            <w:rStyle w:val="TextoNormalCaracter"/>
          </w:rPr>
          <w:t>170/2016</w:t>
        </w:r>
      </w:hyperlink>
      <w:r>
        <w:t>, f. 8.</w:t>
      </w:r>
    </w:p>
    <w:p w:rsidR="00427CF1" w:rsidRDefault="00427CF1" w:rsidP="00427CF1">
      <w:pPr>
        <w:pStyle w:val="SangriaFrancesaArticulo"/>
      </w:pPr>
      <w:r w:rsidRPr="00427CF1">
        <w:rPr>
          <w:rStyle w:val="TextoNormalNegritaCaracter"/>
        </w:rPr>
        <w:t>Artículo 37.3 a).</w:t>
      </w:r>
      <w:r w:rsidRPr="00427CF1">
        <w:rPr>
          <w:rStyle w:val="TextoNormalCaracter"/>
        </w:rPr>
        <w:t>-</w:t>
      </w:r>
      <w:r>
        <w:t xml:space="preserve"> Auto </w:t>
      </w:r>
      <w:hyperlink w:anchor="AUTO_2016_170" w:history="1">
        <w:r w:rsidRPr="00427CF1">
          <w:rPr>
            <w:rStyle w:val="TextoNormalCaracter"/>
          </w:rPr>
          <w:t>170/2016</w:t>
        </w:r>
      </w:hyperlink>
      <w:r>
        <w:t>, f. 8.</w:t>
      </w:r>
    </w:p>
    <w:p w:rsidR="00427CF1" w:rsidRDefault="00427CF1" w:rsidP="00427CF1">
      <w:pPr>
        <w:pStyle w:val="SangriaFrancesaArticulo"/>
      </w:pPr>
      <w:r w:rsidRPr="00427CF1">
        <w:rPr>
          <w:rStyle w:val="TextoNormalNegritaCaracter"/>
        </w:rPr>
        <w:t>Artículo 37.3 e).</w:t>
      </w:r>
      <w:r w:rsidRPr="00427CF1">
        <w:rPr>
          <w:rStyle w:val="TextoNormalCaracter"/>
        </w:rPr>
        <w:t>-</w:t>
      </w:r>
      <w:r>
        <w:t xml:space="preserve"> Auto </w:t>
      </w:r>
      <w:hyperlink w:anchor="AUTO_2016_170" w:history="1">
        <w:r w:rsidRPr="00427CF1">
          <w:rPr>
            <w:rStyle w:val="TextoNormalCaracter"/>
          </w:rPr>
          <w:t>170/2016</w:t>
        </w:r>
      </w:hyperlink>
      <w:r>
        <w:t>, f. 8.</w:t>
      </w:r>
    </w:p>
    <w:p w:rsidR="00427CF1" w:rsidRDefault="00427CF1" w:rsidP="00427CF1">
      <w:pPr>
        <w:pStyle w:val="SangriaFrancesaArticulo"/>
      </w:pPr>
      <w:r w:rsidRPr="00427CF1">
        <w:rPr>
          <w:rStyle w:val="TextoNormalNegritaCaracter"/>
        </w:rPr>
        <w:t>Artículo 39.1.</w:t>
      </w:r>
      <w:r w:rsidRPr="00427CF1">
        <w:rPr>
          <w:rStyle w:val="TextoNormalCaracter"/>
        </w:rPr>
        <w:t>-</w:t>
      </w:r>
      <w:r>
        <w:t xml:space="preserve"> Auto </w:t>
      </w:r>
      <w:hyperlink w:anchor="AUTO_2016_170" w:history="1">
        <w:r w:rsidRPr="00427CF1">
          <w:rPr>
            <w:rStyle w:val="TextoNormalCaracter"/>
          </w:rPr>
          <w:t>170/2016</w:t>
        </w:r>
      </w:hyperlink>
      <w:r>
        <w:t>, f. 8.</w:t>
      </w:r>
    </w:p>
    <w:p w:rsidR="00427CF1" w:rsidRDefault="00427CF1" w:rsidP="00427CF1">
      <w:pPr>
        <w:pStyle w:val="SangriaFrancesaArticulo"/>
      </w:pPr>
      <w:r w:rsidRPr="00427CF1">
        <w:rPr>
          <w:rStyle w:val="TextoNormalNegritaCaracter"/>
        </w:rPr>
        <w:t>Artículo 65.</w:t>
      </w:r>
      <w:r w:rsidRPr="00427CF1">
        <w:rPr>
          <w:rStyle w:val="TextoNormalCaracter"/>
        </w:rPr>
        <w:t>-</w:t>
      </w:r>
      <w:r>
        <w:t xml:space="preserve"> Auto </w:t>
      </w:r>
      <w:hyperlink w:anchor="AUTO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65.1.</w:t>
      </w:r>
      <w:r w:rsidRPr="00427CF1">
        <w:rPr>
          <w:rStyle w:val="TextoNormalCaracter"/>
        </w:rPr>
        <w:t>-</w:t>
      </w:r>
      <w:r>
        <w:t xml:space="preserve"> Autos </w:t>
      </w:r>
      <w:hyperlink w:anchor="AUTO_2016_141" w:history="1">
        <w:r w:rsidRPr="00427CF1">
          <w:rPr>
            <w:rStyle w:val="TextoNormalCaracter"/>
          </w:rPr>
          <w:t>141/2016</w:t>
        </w:r>
      </w:hyperlink>
      <w:r>
        <w:t xml:space="preserve">, f. 5; </w:t>
      </w:r>
      <w:hyperlink w:anchor="AUTO_2016_170" w:history="1">
        <w:r w:rsidRPr="00427CF1">
          <w:rPr>
            <w:rStyle w:val="TextoNormalCaracter"/>
          </w:rPr>
          <w:t>170/2016</w:t>
        </w:r>
      </w:hyperlink>
      <w:r>
        <w:t>, f. 4.</w:t>
      </w:r>
    </w:p>
    <w:p w:rsidR="00427CF1" w:rsidRDefault="00427CF1" w:rsidP="00427CF1">
      <w:pPr>
        <w:pStyle w:val="SangriaFrancesaArticulo"/>
      </w:pPr>
      <w:r w:rsidRPr="00427CF1">
        <w:rPr>
          <w:rStyle w:val="TextoNormalNegritaCaracter"/>
        </w:rPr>
        <w:t>Artículo 81.</w:t>
      </w:r>
      <w:r w:rsidRPr="00427CF1">
        <w:rPr>
          <w:rStyle w:val="TextoNormalCaracter"/>
        </w:rPr>
        <w:t>-</w:t>
      </w:r>
      <w:r>
        <w:t xml:space="preserve"> Auto </w:t>
      </w:r>
      <w:hyperlink w:anchor="AUTO_2016_170" w:history="1">
        <w:r w:rsidRPr="00427CF1">
          <w:rPr>
            <w:rStyle w:val="TextoNormalCaracter"/>
          </w:rPr>
          <w:t>170/2016</w:t>
        </w:r>
      </w:hyperlink>
      <w:r>
        <w:t>, f. 8.</w:t>
      </w:r>
    </w:p>
    <w:p w:rsidR="00427CF1" w:rsidRDefault="00427CF1" w:rsidP="00427CF1">
      <w:pPr>
        <w:pStyle w:val="SangriaFrancesaArticulo"/>
      </w:pPr>
      <w:r w:rsidRPr="00427CF1">
        <w:rPr>
          <w:rStyle w:val="TextoNormalNegritaCaracter"/>
        </w:rPr>
        <w:t>Artículo 81.3.</w:t>
      </w:r>
      <w:r w:rsidRPr="00427CF1">
        <w:rPr>
          <w:rStyle w:val="TextoNormalCaracter"/>
        </w:rPr>
        <w:t>-</w:t>
      </w:r>
      <w:r>
        <w:t xml:space="preserve"> Auto </w:t>
      </w:r>
      <w:hyperlink w:anchor="AUTO_2016_170" w:history="1">
        <w:r w:rsidRPr="00427CF1">
          <w:rPr>
            <w:rStyle w:val="TextoNormalCaracter"/>
          </w:rPr>
          <w:t>170/2016</w:t>
        </w:r>
      </w:hyperlink>
      <w:r>
        <w:t>, f. 8.</w:t>
      </w:r>
    </w:p>
    <w:p w:rsidR="00427CF1" w:rsidRDefault="00427CF1" w:rsidP="00427CF1">
      <w:pPr>
        <w:pStyle w:val="SangriaFrancesaArticulo"/>
      </w:pPr>
      <w:r w:rsidRPr="00427CF1">
        <w:rPr>
          <w:rStyle w:val="TextoNormalNegritaCaracter"/>
        </w:rPr>
        <w:t>Artículo 81.3 inciso 2.</w:t>
      </w:r>
      <w:r w:rsidRPr="00427CF1">
        <w:rPr>
          <w:rStyle w:val="TextoNormalCaracter"/>
        </w:rPr>
        <w:t>-</w:t>
      </w:r>
      <w:r>
        <w:t xml:space="preserve"> Auto </w:t>
      </w:r>
      <w:hyperlink w:anchor="AUTO_2016_170" w:history="1">
        <w:r w:rsidRPr="00427CF1">
          <w:rPr>
            <w:rStyle w:val="TextoNormalCaracter"/>
          </w:rPr>
          <w:t>170/2016</w:t>
        </w:r>
      </w:hyperlink>
      <w:r>
        <w:t>, f. 8.</w:t>
      </w:r>
    </w:p>
    <w:p w:rsidR="00427CF1" w:rsidRDefault="00427CF1" w:rsidP="00427CF1">
      <w:pPr>
        <w:pStyle w:val="SangriaFrancesaArticulo"/>
      </w:pPr>
      <w:r w:rsidRPr="00427CF1">
        <w:rPr>
          <w:rStyle w:val="TextoNormalNegritaCaracter"/>
        </w:rPr>
        <w:t>Artículo 109.</w:t>
      </w:r>
      <w:r w:rsidRPr="00427CF1">
        <w:rPr>
          <w:rStyle w:val="TextoNormalCaracter"/>
        </w:rPr>
        <w:t>-</w:t>
      </w:r>
      <w:r>
        <w:t xml:space="preserve"> Sentencias </w:t>
      </w:r>
      <w:hyperlink w:anchor="SENTENCIA_2016_224" w:history="1">
        <w:r w:rsidRPr="00427CF1">
          <w:rPr>
            <w:rStyle w:val="TextoNormalCaracter"/>
          </w:rPr>
          <w:t>224/2016</w:t>
        </w:r>
      </w:hyperlink>
      <w:r>
        <w:t xml:space="preserve">, f. 5;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Artículos 109 a 111.</w:t>
      </w:r>
      <w:r w:rsidRPr="00427CF1">
        <w:rPr>
          <w:rStyle w:val="TextoNormalCaracter"/>
        </w:rPr>
        <w:t>-</w:t>
      </w:r>
      <w:r>
        <w:t xml:space="preserve"> Sentencias </w:t>
      </w:r>
      <w:hyperlink w:anchor="SENTENCIA_2016_224" w:history="1">
        <w:r w:rsidRPr="00427CF1">
          <w:rPr>
            <w:rStyle w:val="TextoNormalCaracter"/>
          </w:rPr>
          <w:t>224/2016</w:t>
        </w:r>
      </w:hyperlink>
      <w:r>
        <w:t xml:space="preserve">, f. 3;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Artículos 112 a 125.</w:t>
      </w:r>
      <w:r w:rsidRPr="00427CF1">
        <w:rPr>
          <w:rStyle w:val="TextoNormalCaracter"/>
        </w:rPr>
        <w:t>-</w:t>
      </w:r>
      <w:r>
        <w:t xml:space="preserve"> Sentencias </w:t>
      </w:r>
      <w:hyperlink w:anchor="SENTENCIA_2016_224" w:history="1">
        <w:r w:rsidRPr="00427CF1">
          <w:rPr>
            <w:rStyle w:val="TextoNormalCaracter"/>
          </w:rPr>
          <w:t>224/2016</w:t>
        </w:r>
      </w:hyperlink>
      <w:r>
        <w:t xml:space="preserve">, f. 3;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126.</w:t>
      </w:r>
      <w:r w:rsidRPr="00427CF1">
        <w:rPr>
          <w:rStyle w:val="TextoNormalCaracter"/>
        </w:rPr>
        <w:t>-</w:t>
      </w:r>
      <w:r>
        <w:t xml:space="preserve"> Sentencias </w:t>
      </w:r>
      <w:hyperlink w:anchor="SENTENCIA_2016_224" w:history="1">
        <w:r w:rsidRPr="00427CF1">
          <w:rPr>
            <w:rStyle w:val="TextoNormalCaracter"/>
          </w:rPr>
          <w:t>224/2016</w:t>
        </w:r>
      </w:hyperlink>
      <w:r>
        <w:t xml:space="preserve">, ff. 1, 3 a 6; </w:t>
      </w:r>
      <w:hyperlink w:anchor="SENTENCIA_2016_225" w:history="1">
        <w:r w:rsidRPr="00427CF1">
          <w:rPr>
            <w:rStyle w:val="TextoNormalCaracter"/>
          </w:rPr>
          <w:t>225/2016</w:t>
        </w:r>
      </w:hyperlink>
      <w:r>
        <w:t>, ff. 1, 3 a 5.</w:t>
      </w:r>
    </w:p>
    <w:p w:rsidR="00427CF1" w:rsidRDefault="00427CF1" w:rsidP="00427CF1">
      <w:pPr>
        <w:pStyle w:val="SangriaFrancesaArticulo"/>
      </w:pPr>
      <w:r w:rsidRPr="00427CF1">
        <w:rPr>
          <w:rStyle w:val="TextoNormalNegritaCaracter"/>
        </w:rPr>
        <w:t>Artículo 126.1.</w:t>
      </w:r>
      <w:r w:rsidRPr="00427CF1">
        <w:rPr>
          <w:rStyle w:val="TextoNormalCaracter"/>
        </w:rPr>
        <w:t>-</w:t>
      </w:r>
      <w:r>
        <w:t xml:space="preserve"> Sentencias </w:t>
      </w:r>
      <w:hyperlink w:anchor="SENTENCIA_2016_224" w:history="1">
        <w:r w:rsidRPr="00427CF1">
          <w:rPr>
            <w:rStyle w:val="TextoNormalCaracter"/>
          </w:rPr>
          <w:t>224/2016</w:t>
        </w:r>
      </w:hyperlink>
      <w:r>
        <w:t xml:space="preserve">, f. 5;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Artículos 126 a 145.</w:t>
      </w:r>
      <w:r w:rsidRPr="00427CF1">
        <w:rPr>
          <w:rStyle w:val="TextoNormalCaracter"/>
        </w:rPr>
        <w:t>-</w:t>
      </w:r>
      <w:r>
        <w:t xml:space="preserve"> Sentencias </w:t>
      </w:r>
      <w:hyperlink w:anchor="SENTENCIA_2016_224" w:history="1">
        <w:r w:rsidRPr="00427CF1">
          <w:rPr>
            <w:rStyle w:val="TextoNormalCaracter"/>
          </w:rPr>
          <w:t>224/2016</w:t>
        </w:r>
      </w:hyperlink>
      <w:r>
        <w:t xml:space="preserve">, f. 3;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127.</w:t>
      </w:r>
      <w:r w:rsidRPr="00427CF1">
        <w:rPr>
          <w:rStyle w:val="TextoNormalCaracter"/>
        </w:rPr>
        <w:t>-</w:t>
      </w:r>
      <w:r>
        <w:t xml:space="preserve"> Sentencias </w:t>
      </w:r>
      <w:hyperlink w:anchor="SENTENCIA_2016_224" w:history="1">
        <w:r w:rsidRPr="00427CF1">
          <w:rPr>
            <w:rStyle w:val="TextoNormalCaracter"/>
          </w:rPr>
          <w:t>224/2016</w:t>
        </w:r>
      </w:hyperlink>
      <w:r>
        <w:t xml:space="preserve">, f. 3;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127.1.</w:t>
      </w:r>
      <w:r w:rsidRPr="00427CF1">
        <w:rPr>
          <w:rStyle w:val="TextoNormalCaracter"/>
        </w:rPr>
        <w:t>-</w:t>
      </w:r>
      <w:r>
        <w:t xml:space="preserve"> Sentencias </w:t>
      </w:r>
      <w:hyperlink w:anchor="SENTENCIA_2016_224" w:history="1">
        <w:r w:rsidRPr="00427CF1">
          <w:rPr>
            <w:rStyle w:val="TextoNormalCaracter"/>
          </w:rPr>
          <w:t>224/2016</w:t>
        </w:r>
      </w:hyperlink>
      <w:r>
        <w:t xml:space="preserve">, f. 5; </w:t>
      </w:r>
      <w:hyperlink w:anchor="SENTENCIA_2016_225" w:history="1">
        <w:r w:rsidRPr="00427CF1">
          <w:rPr>
            <w:rStyle w:val="TextoNormalCaracter"/>
          </w:rPr>
          <w:t>225/2016</w:t>
        </w:r>
      </w:hyperlink>
      <w:r>
        <w:t>, f. 5.</w:t>
      </w:r>
    </w:p>
    <w:p w:rsidR="00427CF1" w:rsidRDefault="00427CF1" w:rsidP="00427CF1">
      <w:pPr>
        <w:pStyle w:val="SangriaFrancesaArticulo"/>
      </w:pPr>
      <w:r w:rsidRPr="00427CF1">
        <w:rPr>
          <w:rStyle w:val="TextoNormalNegritaCaracter"/>
        </w:rPr>
        <w:t>Artículo 128 a 131.</w:t>
      </w:r>
      <w:r w:rsidRPr="00427CF1">
        <w:rPr>
          <w:rStyle w:val="TextoNormalCaracter"/>
        </w:rPr>
        <w:t>-</w:t>
      </w:r>
      <w:r>
        <w:t xml:space="preserve"> Sentencias </w:t>
      </w:r>
      <w:hyperlink w:anchor="SENTENCIA_2016_224" w:history="1">
        <w:r w:rsidRPr="00427CF1">
          <w:rPr>
            <w:rStyle w:val="TextoNormalCaracter"/>
          </w:rPr>
          <w:t>224/2016</w:t>
        </w:r>
      </w:hyperlink>
      <w:r>
        <w:t xml:space="preserve">, f. 3;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132.</w:t>
      </w:r>
      <w:r w:rsidRPr="00427CF1">
        <w:rPr>
          <w:rStyle w:val="TextoNormalCaracter"/>
        </w:rPr>
        <w:t>-</w:t>
      </w:r>
      <w:r>
        <w:t xml:space="preserve"> Sentencias </w:t>
      </w:r>
      <w:hyperlink w:anchor="SENTENCIA_2016_224" w:history="1">
        <w:r w:rsidRPr="00427CF1">
          <w:rPr>
            <w:rStyle w:val="TextoNormalCaracter"/>
          </w:rPr>
          <w:t>224/2016</w:t>
        </w:r>
      </w:hyperlink>
      <w:r>
        <w:t xml:space="preserve">, f. 3;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133.</w:t>
      </w:r>
      <w:r w:rsidRPr="00427CF1">
        <w:rPr>
          <w:rStyle w:val="TextoNormalCaracter"/>
        </w:rPr>
        <w:t>-</w:t>
      </w:r>
      <w:r>
        <w:t xml:space="preserve"> Sentencia </w:t>
      </w:r>
      <w:hyperlink w:anchor="SENTENCIA_2016_225" w:history="1">
        <w:r w:rsidRPr="00427CF1">
          <w:rPr>
            <w:rStyle w:val="TextoNormalCaracter"/>
          </w:rPr>
          <w:t>225/2016</w:t>
        </w:r>
      </w:hyperlink>
      <w:r>
        <w:t>, f. 3.</w:t>
      </w:r>
    </w:p>
    <w:p w:rsidR="00427CF1" w:rsidRDefault="00427CF1" w:rsidP="00427CF1">
      <w:pPr>
        <w:pStyle w:val="SangriaFrancesaArticulo"/>
      </w:pPr>
      <w:r w:rsidRPr="00427CF1">
        <w:rPr>
          <w:rStyle w:val="TextoNormalNegritaCaracter"/>
        </w:rPr>
        <w:t>Artículo 165.</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p>
    <w:p w:rsidR="00427CF1" w:rsidRDefault="00427CF1" w:rsidP="00427CF1">
      <w:pPr>
        <w:pStyle w:val="TextoNormalNegritaCursivandice"/>
      </w:pPr>
      <w:r>
        <w:t>Resolución del Parlamento de Cataluña 5/X, de 23 de enero de 2013. Aprueba la declaración de soberanía y del derecho a decidir del pueblo de Cataluña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1" w:history="1">
        <w:r w:rsidRPr="00427CF1">
          <w:rPr>
            <w:rStyle w:val="TextoNormalCaracter"/>
          </w:rPr>
          <w:t>141/2016</w:t>
        </w:r>
      </w:hyperlink>
      <w:r>
        <w:t>, ff. 3, 5.</w:t>
      </w:r>
    </w:p>
    <w:p w:rsidR="00427CF1" w:rsidRDefault="00427CF1" w:rsidP="00427CF1">
      <w:pPr>
        <w:pStyle w:val="SangriaFrancesaArticulo"/>
      </w:pPr>
    </w:p>
    <w:p w:rsidR="00427CF1" w:rsidRDefault="00427CF1" w:rsidP="00427CF1">
      <w:pPr>
        <w:pStyle w:val="TextoNormalNegritaCursivandice"/>
      </w:pPr>
      <w:r>
        <w:t>Resolución del Parlamento de Cataluña I/XI, de 9 de noviembre de 2015. Inicio del proceso político en Cataluña como consecuencia de los resultados electorales del 27 de septiembre de 2015</w:t>
      </w:r>
    </w:p>
    <w:p w:rsidR="00427CF1" w:rsidRDefault="00427CF1" w:rsidP="00427CF1">
      <w:pPr>
        <w:pStyle w:val="SangriaFrancesaArticulo"/>
      </w:pPr>
      <w:r w:rsidRPr="00427CF1">
        <w:rPr>
          <w:rStyle w:val="TextoNormalNegritaCaracter"/>
        </w:rPr>
        <w:t>Apartado 1.</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Apartado 3.</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70" w:history="1">
        <w:r w:rsidRPr="00427CF1">
          <w:rPr>
            <w:rStyle w:val="TextoNormalCaracter"/>
          </w:rPr>
          <w:t>170/2016</w:t>
        </w:r>
      </w:hyperlink>
      <w:r>
        <w:t>, ff. 1, 2, 4 a 7.</w:t>
      </w:r>
    </w:p>
    <w:p w:rsidR="00427CF1" w:rsidRDefault="00427CF1" w:rsidP="00427CF1">
      <w:pPr>
        <w:pStyle w:val="SangriaFrancesaArticulo"/>
      </w:pPr>
      <w:r w:rsidRPr="00427CF1">
        <w:rPr>
          <w:rStyle w:val="TextoNormalNegritaCaracter"/>
        </w:rPr>
        <w:t>Apartado 2.</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Apartado 5.</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Apartado 6.</w:t>
      </w:r>
      <w:r w:rsidRPr="00427CF1">
        <w:rPr>
          <w:rStyle w:val="TextoNormalCaracter"/>
        </w:rPr>
        <w:t>-</w:t>
      </w:r>
      <w:r>
        <w:t xml:space="preserve"> Autos </w:t>
      </w:r>
      <w:hyperlink w:anchor="AUTO_2016_141" w:history="1">
        <w:r w:rsidRPr="00427CF1">
          <w:rPr>
            <w:rStyle w:val="TextoNormalCaracter"/>
          </w:rPr>
          <w:t>141/2016</w:t>
        </w:r>
      </w:hyperlink>
      <w:r>
        <w:t xml:space="preserve">, f. 3; </w:t>
      </w:r>
      <w:hyperlink w:anchor="AUTO_2016_170" w:history="1">
        <w:r w:rsidRPr="00427CF1">
          <w:rPr>
            <w:rStyle w:val="TextoNormalCaracter"/>
          </w:rPr>
          <w:t>170/2016</w:t>
        </w:r>
      </w:hyperlink>
      <w:r>
        <w:t>, f. 7.</w:t>
      </w:r>
    </w:p>
    <w:p w:rsidR="00427CF1" w:rsidRDefault="00427CF1" w:rsidP="00427CF1">
      <w:pPr>
        <w:pStyle w:val="SangriaFrancesaArticulo"/>
      </w:pPr>
      <w:r w:rsidRPr="00427CF1">
        <w:rPr>
          <w:rStyle w:val="TextoNormalNegritaCaracter"/>
        </w:rPr>
        <w:t>Apartado 8.</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41" w:history="1">
        <w:r w:rsidRPr="00427CF1">
          <w:rPr>
            <w:rStyle w:val="TextoNormalCaracter"/>
          </w:rPr>
          <w:t>141/2016</w:t>
        </w:r>
      </w:hyperlink>
      <w:r>
        <w:t>, ff. 1 a 4, 6, 7.</w:t>
      </w:r>
    </w:p>
    <w:p w:rsidR="00427CF1" w:rsidRDefault="00427CF1" w:rsidP="00427CF1">
      <w:pPr>
        <w:pStyle w:val="SangriaFrancesaArticulo"/>
      </w:pPr>
      <w:r w:rsidRPr="00427CF1">
        <w:rPr>
          <w:rStyle w:val="TextoNormalNegritaCaracter"/>
        </w:rPr>
        <w:t>Apartado 9.</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r w:rsidRPr="00427CF1">
        <w:rPr>
          <w:rStyle w:val="TextoNormalNegritaCaracter"/>
        </w:rPr>
        <w:t>Anexo final.</w:t>
      </w:r>
      <w:r w:rsidRPr="00427CF1">
        <w:rPr>
          <w:rStyle w:val="TextoNormalCaracter"/>
        </w:rPr>
        <w:t>-</w:t>
      </w:r>
      <w:r>
        <w:t xml:space="preserve"> Auto </w:t>
      </w:r>
      <w:hyperlink w:anchor="AUTO_2016_141" w:history="1">
        <w:r w:rsidRPr="00427CF1">
          <w:rPr>
            <w:rStyle w:val="TextoNormalCaracter"/>
          </w:rPr>
          <w:t>141/2016</w:t>
        </w:r>
      </w:hyperlink>
      <w:r>
        <w:t>, f. 3.</w:t>
      </w:r>
    </w:p>
    <w:p w:rsidR="00427CF1" w:rsidRDefault="00427CF1" w:rsidP="00427CF1">
      <w:pPr>
        <w:pStyle w:val="SangriaFrancesaArticulo"/>
      </w:pPr>
    </w:p>
    <w:p w:rsidR="00427CF1" w:rsidRDefault="00427CF1" w:rsidP="00427CF1">
      <w:pPr>
        <w:pStyle w:val="TextoNormalNegritaCursivandice"/>
      </w:pPr>
      <w:r>
        <w:t>Resolución del Parlamento de Cataluña 5/XI, de 20 de enero de 2016. Creación de comisiones parlamentarias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1" w:history="1">
        <w:r w:rsidRPr="00427CF1">
          <w:rPr>
            <w:rStyle w:val="TextoNormalCaracter"/>
          </w:rPr>
          <w:t>141/2016</w:t>
        </w:r>
      </w:hyperlink>
      <w:r>
        <w:t xml:space="preserve">, ff. 1, 2, 4, 6; </w:t>
      </w:r>
      <w:hyperlink w:anchor="AUTO_2016_170" w:history="1">
        <w:r w:rsidRPr="00427CF1">
          <w:rPr>
            <w:rStyle w:val="TextoNormalCaracter"/>
          </w:rPr>
          <w:t>170/2016</w:t>
        </w:r>
      </w:hyperlink>
      <w:r>
        <w:t>, ff. 1, 2, 4 a 8.</w:t>
      </w:r>
    </w:p>
    <w:p w:rsidR="00427CF1" w:rsidRDefault="00427CF1" w:rsidP="00427CF1">
      <w:pPr>
        <w:pStyle w:val="SangriaFrancesaArticulo"/>
      </w:pPr>
    </w:p>
    <w:p w:rsidR="00427CF1" w:rsidRDefault="00427CF1" w:rsidP="00427CF1">
      <w:pPr>
        <w:pStyle w:val="TextoNormalNegritaCursivandice"/>
      </w:pPr>
      <w:r>
        <w:t>Resolución del Parlamento de Cataluña 263/XI, de 27 de julio de 2016. Ratifica el informe y las conclusiones de la comisión de estudio del proceso constituyente</w:t>
      </w:r>
    </w:p>
    <w:p w:rsidR="00427CF1" w:rsidRDefault="00427CF1" w:rsidP="00427CF1">
      <w:pPr>
        <w:pStyle w:val="SangriaFrancesaArticulo"/>
      </w:pPr>
      <w:r w:rsidRPr="00427CF1">
        <w:rPr>
          <w:rStyle w:val="TextoNormalNegritaCaracter"/>
        </w:rPr>
        <w:t>Apartado 7.</w:t>
      </w:r>
      <w:r w:rsidRPr="00427CF1">
        <w:rPr>
          <w:rStyle w:val="TextoNormalCaracter"/>
        </w:rPr>
        <w:t>-</w:t>
      </w:r>
      <w:r>
        <w:t xml:space="preserve"> Auto </w:t>
      </w:r>
      <w:hyperlink w:anchor="AUTO_2016_170" w:history="1">
        <w:r w:rsidRPr="00427CF1">
          <w:rPr>
            <w:rStyle w:val="TextoNormalCaracter"/>
          </w:rPr>
          <w:t>170/2016</w:t>
        </w:r>
      </w:hyperlink>
      <w:r>
        <w:t>, f. 7.</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70" w:history="1">
        <w:r w:rsidRPr="00427CF1">
          <w:rPr>
            <w:rStyle w:val="TextoNormalCaracter"/>
          </w:rPr>
          <w:t>170/2016</w:t>
        </w:r>
      </w:hyperlink>
      <w:r>
        <w:t>, ff. 1 a 3, 6 a 9 (anula).</w:t>
      </w:r>
    </w:p>
    <w:p w:rsidR="00427CF1" w:rsidRDefault="00427CF1" w:rsidP="00427CF1">
      <w:pPr>
        <w:pStyle w:val="SangriaFrancesaArticulo"/>
      </w:pPr>
      <w:r w:rsidRPr="00427CF1">
        <w:rPr>
          <w:rStyle w:val="TextoNormalNegritaCaracter"/>
        </w:rPr>
        <w:t>Apartado 9.</w:t>
      </w:r>
      <w:r w:rsidRPr="00427CF1">
        <w:rPr>
          <w:rStyle w:val="TextoNormalCaracter"/>
        </w:rPr>
        <w:t>-</w:t>
      </w:r>
      <w:r>
        <w:t xml:space="preserve"> Auto </w:t>
      </w:r>
      <w:hyperlink w:anchor="AUTO_2016_170" w:history="1">
        <w:r w:rsidRPr="00427CF1">
          <w:rPr>
            <w:rStyle w:val="TextoNormalCaracter"/>
          </w:rPr>
          <w:t>170/2016</w:t>
        </w:r>
      </w:hyperlink>
      <w:r>
        <w:t>, f. 7.</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J.10) Extremadura</w:t>
      </w:r>
    </w:p>
    <w:p w:rsidR="00427CF1" w:rsidRDefault="00427CF1" w:rsidP="00427CF1">
      <w:pPr>
        <w:pStyle w:val="TextoNormal"/>
      </w:pPr>
    </w:p>
    <w:p w:rsidR="00427CF1" w:rsidRDefault="00427CF1" w:rsidP="00427CF1">
      <w:pPr>
        <w:pStyle w:val="TextoNormalNegritaCentradoSubrayado"/>
        <w:suppressAutoHyphens/>
      </w:pPr>
      <w:r>
        <w:t>J.10.a) Estatuto de Autonomía</w:t>
      </w:r>
    </w:p>
    <w:p w:rsidR="00427CF1" w:rsidRDefault="00427CF1" w:rsidP="00427CF1">
      <w:pPr>
        <w:pStyle w:val="TextoNormalNegritaCentradoSubrayado"/>
      </w:pPr>
    </w:p>
    <w:p w:rsidR="00427CF1" w:rsidRDefault="00427CF1" w:rsidP="00427CF1">
      <w:pPr>
        <w:pStyle w:val="TextoNormalNegritaCursivandice"/>
      </w:pPr>
      <w:r>
        <w:t>Ley Orgánica 1/2011, de 28 de enero. Reforma del Estatuto de Autonomía de la Comunidad Autónoma de Extremadura</w:t>
      </w:r>
    </w:p>
    <w:p w:rsidR="00427CF1" w:rsidRDefault="00427CF1" w:rsidP="00427CF1">
      <w:pPr>
        <w:pStyle w:val="SangriaFrancesaArticulo"/>
      </w:pPr>
      <w:r w:rsidRPr="00427CF1">
        <w:rPr>
          <w:rStyle w:val="TextoNormalNegritaCaracter"/>
        </w:rPr>
        <w:t>Artículo 57.</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TextoNormal"/>
      </w:pPr>
    </w:p>
    <w:p w:rsidR="00427CF1" w:rsidRDefault="00427CF1" w:rsidP="00427CF1">
      <w:pPr>
        <w:pStyle w:val="TextoNormalNegritaCentradoSubrayado"/>
        <w:suppressAutoHyphens/>
      </w:pPr>
      <w:r>
        <w:t>J.10.b)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 Asamblea de Extremadura 9/1998, de 26 de junio. Impuesto sobre el suelo sin edificar y edificaciones ruinosas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7" w:history="1">
        <w:r w:rsidRPr="00427CF1">
          <w:rPr>
            <w:rStyle w:val="TextoNormalCaracter"/>
          </w:rPr>
          <w:t>157/2016</w:t>
        </w:r>
      </w:hyperlink>
      <w:r>
        <w:t>, f. 4.</w:t>
      </w:r>
    </w:p>
    <w:p w:rsidR="00427CF1" w:rsidRDefault="00427CF1" w:rsidP="00427CF1">
      <w:pPr>
        <w:pStyle w:val="SangriaFrancesaArticulo"/>
      </w:pPr>
    </w:p>
    <w:p w:rsidR="00427CF1" w:rsidRDefault="00427CF1" w:rsidP="00427CF1">
      <w:pPr>
        <w:pStyle w:val="TextoNormalNegritaCursivandice"/>
      </w:pPr>
      <w:r>
        <w:t>Ley de la Asamblea de Extremadura 14/2001, de 29 de noviembre. Impuesto sobre depósitos de las entidades de crédito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7" w:history="1">
        <w:r w:rsidRPr="00427CF1">
          <w:rPr>
            <w:rStyle w:val="TextoNormalCaracter"/>
          </w:rPr>
          <w:t>157/2016</w:t>
        </w:r>
      </w:hyperlink>
      <w:r>
        <w:t>, f. 4.</w:t>
      </w:r>
    </w:p>
    <w:p w:rsidR="00427CF1" w:rsidRDefault="00427CF1" w:rsidP="00427CF1">
      <w:pPr>
        <w:pStyle w:val="SangriaFrancesaArticulo"/>
      </w:pPr>
    </w:p>
    <w:p w:rsidR="00427CF1" w:rsidRDefault="00427CF1" w:rsidP="00427CF1">
      <w:pPr>
        <w:pStyle w:val="TextoNormalNegritaCursivandice"/>
      </w:pPr>
      <w:r>
        <w:t>Ley de la Asamblea de Extremadura 5/2002, de 23 de mayo. Protección de los animales en la Comunidad Autónoma de Extremadura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Decreto-ley de la Junta de Extremadura 3/2012, de 19 de octubre. Estímulo de la actividad comercial</w:t>
      </w:r>
    </w:p>
    <w:p w:rsidR="00427CF1" w:rsidRDefault="00427CF1" w:rsidP="00427CF1">
      <w:pPr>
        <w:pStyle w:val="SangriaFrancesaArticulo"/>
      </w:pPr>
      <w:r w:rsidRPr="00427CF1">
        <w:rPr>
          <w:rStyle w:val="TextoNormalNegritaCaracter"/>
        </w:rPr>
        <w:t>Artículos 1 a 4.</w:t>
      </w:r>
      <w:r w:rsidRPr="00427CF1">
        <w:rPr>
          <w:rStyle w:val="TextoNormalCaracter"/>
        </w:rPr>
        <w:t>-</w:t>
      </w:r>
      <w:r>
        <w:t xml:space="preserve"> Sentencia </w:t>
      </w:r>
      <w:hyperlink w:anchor="SENTENCIA_2016_211" w:history="1">
        <w:r w:rsidRPr="00427CF1">
          <w:rPr>
            <w:rStyle w:val="TextoNormalCaracter"/>
          </w:rPr>
          <w:t>211/2016</w:t>
        </w:r>
      </w:hyperlink>
      <w:r>
        <w:t>, f. 5.</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J.11) Galicia</w:t>
      </w:r>
    </w:p>
    <w:p w:rsidR="00427CF1" w:rsidRDefault="00427CF1" w:rsidP="00427CF1">
      <w:pPr>
        <w:pStyle w:val="TextoNormal"/>
      </w:pPr>
    </w:p>
    <w:p w:rsidR="00427CF1" w:rsidRDefault="00427CF1" w:rsidP="00427CF1">
      <w:pPr>
        <w:pStyle w:val="TextoNormalNegritaCentradoSubrayado"/>
        <w:suppressAutoHyphens/>
      </w:pPr>
      <w:r>
        <w:t>J.11.a) Estatuto de Autonomía</w:t>
      </w:r>
    </w:p>
    <w:p w:rsidR="00427CF1" w:rsidRDefault="00427CF1" w:rsidP="00427CF1">
      <w:pPr>
        <w:pStyle w:val="TextoNormalNegritaCentradoSubrayado"/>
      </w:pPr>
    </w:p>
    <w:p w:rsidR="00427CF1" w:rsidRDefault="00427CF1" w:rsidP="00427CF1">
      <w:pPr>
        <w:pStyle w:val="TextoNormalNegritaCursivandice"/>
      </w:pPr>
      <w:r>
        <w:t>Ley Orgánica 1/1981, de 6 de abril. Estatuto de Autonomía de Galicia</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r w:rsidRPr="00427CF1">
        <w:rPr>
          <w:rStyle w:val="TextoNormalNegritaCaracter"/>
        </w:rPr>
        <w:t>Artículo 13.1.</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r w:rsidRPr="00427CF1">
        <w:rPr>
          <w:rStyle w:val="TextoNormalNegritaCaracter"/>
        </w:rPr>
        <w:t>Artículo 27.2.</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r w:rsidRPr="00427CF1">
        <w:rPr>
          <w:rStyle w:val="TextoNormalNegritaCaracter"/>
        </w:rPr>
        <w:t>Artículo 27.3.</w:t>
      </w:r>
      <w:r w:rsidRPr="00427CF1">
        <w:rPr>
          <w:rStyle w:val="TextoNormalCaracter"/>
        </w:rPr>
        <w:t>-</w:t>
      </w:r>
      <w:r>
        <w:t xml:space="preserve"> Sentencia </w:t>
      </w:r>
      <w:hyperlink w:anchor="SENTENCIA_2016_182" w:history="1">
        <w:r w:rsidRPr="00427CF1">
          <w:rPr>
            <w:rStyle w:val="TextoNormalCaracter"/>
          </w:rPr>
          <w:t>182/2016</w:t>
        </w:r>
      </w:hyperlink>
      <w:r>
        <w:t>, ff. 1, 4.</w:t>
      </w:r>
    </w:p>
    <w:p w:rsidR="00427CF1" w:rsidRDefault="00427CF1" w:rsidP="00427CF1">
      <w:pPr>
        <w:pStyle w:val="SangriaFrancesaArticulo"/>
      </w:pPr>
      <w:r w:rsidRPr="00427CF1">
        <w:rPr>
          <w:rStyle w:val="TextoNormalNegritaCaracter"/>
        </w:rPr>
        <w:t>Artículo 27.13.</w:t>
      </w:r>
      <w:r w:rsidRPr="00427CF1">
        <w:rPr>
          <w:rStyle w:val="TextoNormalCaracter"/>
        </w:rPr>
        <w:t>-</w:t>
      </w:r>
      <w:r>
        <w:t xml:space="preserve"> Sentencia </w:t>
      </w:r>
      <w:hyperlink w:anchor="SENTENCIA_2016_182" w:history="1">
        <w:r w:rsidRPr="00427CF1">
          <w:rPr>
            <w:rStyle w:val="TextoNormalCaracter"/>
          </w:rPr>
          <w:t>182/2016</w:t>
        </w:r>
      </w:hyperlink>
      <w:r>
        <w:t>, f. 3.</w:t>
      </w:r>
    </w:p>
    <w:p w:rsidR="00427CF1" w:rsidRDefault="00427CF1" w:rsidP="00427CF1">
      <w:pPr>
        <w:pStyle w:val="SangriaFrancesaArticulo"/>
      </w:pPr>
      <w:r w:rsidRPr="00427CF1">
        <w:rPr>
          <w:rStyle w:val="TextoNormalNegritaCaracter"/>
        </w:rPr>
        <w:t>Artículo 40.</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TextoNormal"/>
      </w:pPr>
    </w:p>
    <w:p w:rsidR="00427CF1" w:rsidRDefault="00427CF1" w:rsidP="00427CF1">
      <w:pPr>
        <w:pStyle w:val="TextoNormalNegritaCentradoSubrayado"/>
        <w:suppressAutoHyphens/>
      </w:pPr>
      <w:r>
        <w:t>J.11.b)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del Parlamento de Galicia 1/1993, de 13 de abril. Protección de animales domésticos y salvajes en cautividad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del Parlamento de Galicia 11/1993, de 15 de julio. Recurso de casación en materia de derecho civil especial de Galicia</w:t>
      </w:r>
    </w:p>
    <w:p w:rsidR="00427CF1" w:rsidRDefault="00427CF1" w:rsidP="00427CF1">
      <w:pPr>
        <w:pStyle w:val="SangriaFrancesaArticulo"/>
      </w:pPr>
      <w:r w:rsidRPr="00427CF1">
        <w:rPr>
          <w:rStyle w:val="TextoNormalNegritaCaracter"/>
        </w:rPr>
        <w:t>Artículo 1 a).</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del Parlamento de Galicia 5/1997, de 22 de julio. Administración local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27" w:history="1">
        <w:r w:rsidRPr="00427CF1">
          <w:rPr>
            <w:rStyle w:val="TextoNormalCaracter"/>
          </w:rPr>
          <w:t>127/2016</w:t>
        </w:r>
      </w:hyperlink>
      <w:r>
        <w:t>, VP.</w:t>
      </w:r>
    </w:p>
    <w:p w:rsidR="00427CF1" w:rsidRDefault="00427CF1" w:rsidP="00427CF1">
      <w:pPr>
        <w:pStyle w:val="SangriaFrancesaArticulo"/>
      </w:pPr>
      <w:r w:rsidRPr="00427CF1">
        <w:rPr>
          <w:rStyle w:val="TextoNormalNegritaCaracter"/>
        </w:rPr>
        <w:t>Artículo 32.1.</w:t>
      </w:r>
      <w:r w:rsidRPr="00427CF1">
        <w:rPr>
          <w:rStyle w:val="TextoNormalCaracter"/>
        </w:rPr>
        <w:t>-</w:t>
      </w:r>
      <w:r>
        <w:t xml:space="preserve"> Sentencias </w:t>
      </w:r>
      <w:hyperlink w:anchor="SENTENCIA_2016_127" w:history="1">
        <w:r w:rsidRPr="00427CF1">
          <w:rPr>
            <w:rStyle w:val="TextoNormalCaracter"/>
          </w:rPr>
          <w:t>127/2016</w:t>
        </w:r>
      </w:hyperlink>
      <w:r>
        <w:t xml:space="preserve">, ff. 1 a 3, VP; </w:t>
      </w:r>
      <w:hyperlink w:anchor="SENTENCIA_2016_204" w:history="1">
        <w:r w:rsidRPr="00427CF1">
          <w:rPr>
            <w:rStyle w:val="TextoNormalCaracter"/>
          </w:rPr>
          <w:t>204/2016</w:t>
        </w:r>
      </w:hyperlink>
      <w:r>
        <w:t>, f. 3, VP I, VP II.</w:t>
      </w:r>
    </w:p>
    <w:p w:rsidR="00427CF1" w:rsidRDefault="00427CF1" w:rsidP="00427CF1">
      <w:pPr>
        <w:pStyle w:val="SangriaFrancesaArticulo"/>
      </w:pPr>
    </w:p>
    <w:p w:rsidR="00427CF1" w:rsidRDefault="00427CF1" w:rsidP="00427CF1">
      <w:pPr>
        <w:pStyle w:val="TextoNormalNegritaCursivandice"/>
      </w:pPr>
      <w:r>
        <w:t>Ley 6/2001, de 29 de junio. Adecuación de la normativa de la Comunidad Autónoma de Galicia a la Ley 4/1999, de 13 de enero, de modificación de la Ley 30/1992, de 26 de noviembre, de Régimen Jurídico de las Administraciones Públicas y del Procedimiento Administrativo Común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5" w:history="1">
        <w:r w:rsidRPr="00427CF1">
          <w:rPr>
            <w:rStyle w:val="TextoNormalCaracter"/>
          </w:rPr>
          <w:t>155/2016</w:t>
        </w:r>
      </w:hyperlink>
      <w:r>
        <w:t>, f. 1.</w:t>
      </w:r>
    </w:p>
    <w:p w:rsidR="00427CF1" w:rsidRDefault="00427CF1" w:rsidP="00427CF1">
      <w:pPr>
        <w:pStyle w:val="SangriaFrancesaArticulo"/>
      </w:pPr>
    </w:p>
    <w:p w:rsidR="00427CF1" w:rsidRDefault="00427CF1" w:rsidP="00427CF1">
      <w:pPr>
        <w:pStyle w:val="TextoNormalNegritaCursivandice"/>
      </w:pPr>
      <w:r>
        <w:t>Ley del Parlamento de Galicia 5/2005, de 25 de abril. Reguladora del recurso de casación en materia de derecho civil de Galicia</w:t>
      </w:r>
    </w:p>
    <w:p w:rsidR="00427CF1" w:rsidRDefault="00427CF1" w:rsidP="00427CF1">
      <w:pPr>
        <w:pStyle w:val="SangriaFrancesaArticulo"/>
      </w:pPr>
      <w:r w:rsidRPr="00427CF1">
        <w:rPr>
          <w:rStyle w:val="TextoNormalNegritaCaracter"/>
        </w:rPr>
        <w:t>Artículo 2.2.</w:t>
      </w:r>
      <w:r w:rsidRPr="00427CF1">
        <w:rPr>
          <w:rStyle w:val="TextoNormalCaracter"/>
        </w:rPr>
        <w:t>-</w:t>
      </w:r>
      <w:r>
        <w:t xml:space="preserve"> Sentencia </w:t>
      </w:r>
      <w:hyperlink w:anchor="SENTENCIA_2016_140" w:history="1">
        <w:r w:rsidRPr="00427CF1">
          <w:rPr>
            <w:rStyle w:val="TextoNormalCaracter"/>
          </w:rPr>
          <w:t>140/2016</w:t>
        </w:r>
      </w:hyperlink>
      <w:r>
        <w:t>, f. 12.</w:t>
      </w:r>
    </w:p>
    <w:p w:rsidR="00427CF1" w:rsidRDefault="00427CF1" w:rsidP="00427CF1">
      <w:pPr>
        <w:pStyle w:val="SangriaFrancesaArticulo"/>
      </w:pPr>
    </w:p>
    <w:p w:rsidR="00427CF1" w:rsidRDefault="00427CF1" w:rsidP="00427CF1">
      <w:pPr>
        <w:pStyle w:val="TextoNormalNegritaCursivandice"/>
      </w:pPr>
      <w:r>
        <w:t>Ley del Parlamento de Galicia 8/2008, de 10 de julio. Salud de Galicia</w:t>
      </w:r>
    </w:p>
    <w:p w:rsidR="00427CF1" w:rsidRDefault="00427CF1" w:rsidP="00427CF1">
      <w:pPr>
        <w:pStyle w:val="SangriaFrancesaArticulo"/>
      </w:pPr>
      <w:r w:rsidRPr="00427CF1">
        <w:rPr>
          <w:rStyle w:val="TextoNormalNegritaCaracter"/>
        </w:rPr>
        <w:t>Artículo 117.1.</w:t>
      </w:r>
      <w:r w:rsidRPr="00427CF1">
        <w:rPr>
          <w:rStyle w:val="TextoNormalCaracter"/>
        </w:rPr>
        <w:t>-</w:t>
      </w:r>
      <w:r>
        <w:t xml:space="preserve"> Sentencia </w:t>
      </w:r>
      <w:hyperlink w:anchor="SENTENCIA_2016_155" w:history="1">
        <w:r w:rsidRPr="00427CF1">
          <w:rPr>
            <w:rStyle w:val="TextoNormalCaracter"/>
          </w:rPr>
          <w:t>155/2016</w:t>
        </w:r>
      </w:hyperlink>
      <w:r>
        <w:t>, f. 7.</w:t>
      </w:r>
    </w:p>
    <w:p w:rsidR="00427CF1" w:rsidRDefault="00427CF1" w:rsidP="00427CF1">
      <w:pPr>
        <w:pStyle w:val="SangriaFrancesaArticulo"/>
      </w:pPr>
    </w:p>
    <w:p w:rsidR="00427CF1" w:rsidRDefault="00427CF1" w:rsidP="00427CF1">
      <w:pPr>
        <w:pStyle w:val="TextoNormalNegritaCursivandice"/>
      </w:pPr>
      <w:r>
        <w:t>Ley del Parlamento de Galicia 8/2009, de 22 de diciembre. Regula el aprovechamiento eólico en Galicia y se crean el canon eólico y el fondo de compensación ambiental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83" w:history="1">
        <w:r w:rsidRPr="00427CF1">
          <w:rPr>
            <w:rStyle w:val="TextoNormalCaracter"/>
          </w:rPr>
          <w:t>183/2016</w:t>
        </w:r>
      </w:hyperlink>
      <w:r>
        <w:t xml:space="preserve">, f. 3; </w:t>
      </w:r>
      <w:hyperlink w:anchor="AUTO_2016_185" w:history="1">
        <w:r w:rsidRPr="00427CF1">
          <w:rPr>
            <w:rStyle w:val="TextoNormalCaracter"/>
          </w:rPr>
          <w:t>185/2016</w:t>
        </w:r>
      </w:hyperlink>
      <w:r>
        <w:t>, f. 3.</w:t>
      </w:r>
    </w:p>
    <w:p w:rsidR="00427CF1" w:rsidRDefault="00427CF1" w:rsidP="00427CF1">
      <w:pPr>
        <w:pStyle w:val="SangriaFrancesaArticulo"/>
      </w:pPr>
    </w:p>
    <w:p w:rsidR="00427CF1" w:rsidRDefault="00427CF1" w:rsidP="00427CF1">
      <w:pPr>
        <w:pStyle w:val="TextoNormalNegritaCursivandice"/>
      </w:pPr>
      <w:r>
        <w:t>Ley del Parlamento de Galicia 14/2010, de 27 de diciembre. Presupuestos Generales de la Comunidad Autónoma de Galicia para el año 2011</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55" w:history="1">
        <w:r w:rsidRPr="00427CF1">
          <w:rPr>
            <w:rStyle w:val="TextoNormalCaracter"/>
          </w:rPr>
          <w:t>155/2016</w:t>
        </w:r>
      </w:hyperlink>
      <w:r>
        <w:t>, f. 6.</w:t>
      </w:r>
    </w:p>
    <w:p w:rsidR="00427CF1" w:rsidRDefault="00427CF1" w:rsidP="00427CF1">
      <w:pPr>
        <w:pStyle w:val="SangriaFrancesaArticulo"/>
      </w:pPr>
    </w:p>
    <w:p w:rsidR="00427CF1" w:rsidRDefault="00427CF1" w:rsidP="00427CF1">
      <w:pPr>
        <w:pStyle w:val="TextoNormalNegritaCursivandice"/>
      </w:pPr>
      <w:r>
        <w:t>Ley del Parlamento de Galicia 15/2010, de 28 de diciembre. Medidas fiscales y administrativas</w:t>
      </w:r>
    </w:p>
    <w:p w:rsidR="00427CF1" w:rsidRDefault="00427CF1" w:rsidP="00427CF1">
      <w:pPr>
        <w:pStyle w:val="SangriaFrancesaArticulo"/>
      </w:pPr>
      <w:r w:rsidRPr="00427CF1">
        <w:rPr>
          <w:rStyle w:val="TextoNormalNegritaCaracter"/>
        </w:rPr>
        <w:t>Exposición de motivos.</w:t>
      </w:r>
      <w:r w:rsidRPr="00427CF1">
        <w:rPr>
          <w:rStyle w:val="TextoNormalCaracter"/>
        </w:rPr>
        <w:t>-</w:t>
      </w:r>
      <w:r>
        <w:t xml:space="preserve"> Sentencia </w:t>
      </w:r>
      <w:hyperlink w:anchor="SENTENCIA_2016_155" w:history="1">
        <w:r w:rsidRPr="00427CF1">
          <w:rPr>
            <w:rStyle w:val="TextoNormalCaracter"/>
          </w:rPr>
          <w:t>155/2016</w:t>
        </w:r>
      </w:hyperlink>
      <w:r>
        <w:t>, f. 6.</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Sentencia </w:t>
      </w:r>
      <w:hyperlink w:anchor="SENTENCIA_2016_155" w:history="1">
        <w:r w:rsidRPr="00427CF1">
          <w:rPr>
            <w:rStyle w:val="TextoNormalCaracter"/>
          </w:rPr>
          <w:t>155/2016</w:t>
        </w:r>
      </w:hyperlink>
      <w:r>
        <w:t>, ff. 1, 4, 6.</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J.12) La Rioja</w:t>
      </w:r>
    </w:p>
    <w:p w:rsidR="00427CF1" w:rsidRDefault="00427CF1" w:rsidP="00427CF1">
      <w:pPr>
        <w:pStyle w:val="TextoNormal"/>
      </w:pPr>
    </w:p>
    <w:p w:rsidR="00427CF1" w:rsidRDefault="00427CF1" w:rsidP="00427CF1">
      <w:pPr>
        <w:pStyle w:val="TextoNormalNegritaCentradoSubrayado"/>
        <w:suppressAutoHyphens/>
      </w:pPr>
      <w:r>
        <w:t>J.12.a) Estatuto de Autonomía</w:t>
      </w:r>
    </w:p>
    <w:p w:rsidR="00427CF1" w:rsidRDefault="00427CF1" w:rsidP="00427CF1">
      <w:pPr>
        <w:pStyle w:val="TextoNormalNegritaCentradoSubrayado"/>
      </w:pPr>
    </w:p>
    <w:p w:rsidR="00427CF1" w:rsidRDefault="00427CF1" w:rsidP="00427CF1">
      <w:pPr>
        <w:pStyle w:val="TextoNormalNegritaCursivandice"/>
      </w:pPr>
      <w:r>
        <w:t>Ley Orgánica 3/1982, de 9 de junio. Estatuto de Autonomía de La Rioja</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TextoNormal"/>
      </w:pPr>
    </w:p>
    <w:p w:rsidR="00427CF1" w:rsidRDefault="00427CF1" w:rsidP="00427CF1">
      <w:pPr>
        <w:pStyle w:val="TextoNormalNegritaCentradoSubrayado"/>
        <w:suppressAutoHyphens/>
      </w:pPr>
      <w:r>
        <w:t>J.12.b)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del Parlamento de La Rioja 5/1995, de 22 de marzo.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J.13) Madrid</w:t>
      </w:r>
    </w:p>
    <w:p w:rsidR="00427CF1" w:rsidRDefault="00427CF1" w:rsidP="00427CF1">
      <w:pPr>
        <w:pStyle w:val="TextoNormal"/>
      </w:pPr>
    </w:p>
    <w:p w:rsidR="00427CF1" w:rsidRDefault="00427CF1" w:rsidP="00427CF1">
      <w:pPr>
        <w:pStyle w:val="TextoNormalNegritaCentradoSubrayado"/>
        <w:suppressAutoHyphens/>
      </w:pPr>
      <w:r>
        <w:t>J.13.a) Estatuto de Autonomía</w:t>
      </w:r>
    </w:p>
    <w:p w:rsidR="00427CF1" w:rsidRDefault="00427CF1" w:rsidP="00427CF1">
      <w:pPr>
        <w:pStyle w:val="TextoNormalNegritaCentradoSubrayado"/>
      </w:pPr>
    </w:p>
    <w:p w:rsidR="00427CF1" w:rsidRDefault="00427CF1" w:rsidP="00427CF1">
      <w:pPr>
        <w:pStyle w:val="TextoNormalNegritaCursivandice"/>
      </w:pPr>
      <w:r>
        <w:t>Ley Orgánica 3/1983, de 25 de febrero. Estatuto de Autonomía de la Comunidad de Madrid</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26.1.4.</w:t>
      </w:r>
      <w:r w:rsidRPr="00427CF1">
        <w:rPr>
          <w:rStyle w:val="TextoNormalCaracter"/>
        </w:rPr>
        <w:t>-</w:t>
      </w:r>
      <w:r>
        <w:t xml:space="preserve"> Sentencia </w:t>
      </w:r>
      <w:hyperlink w:anchor="SENTENCIA_2016_170" w:history="1">
        <w:r w:rsidRPr="00427CF1">
          <w:rPr>
            <w:rStyle w:val="TextoNormalCaracter"/>
          </w:rPr>
          <w:t>170/2016</w:t>
        </w:r>
      </w:hyperlink>
      <w:r>
        <w:t>, f. 2.</w:t>
      </w:r>
    </w:p>
    <w:p w:rsidR="00427CF1" w:rsidRDefault="00427CF1" w:rsidP="00427CF1">
      <w:pPr>
        <w:pStyle w:val="TextoNormal"/>
      </w:pPr>
    </w:p>
    <w:p w:rsidR="00427CF1" w:rsidRDefault="00427CF1" w:rsidP="00427CF1">
      <w:pPr>
        <w:pStyle w:val="TextoNormalNegritaCentradoSubrayado"/>
        <w:suppressAutoHyphens/>
      </w:pPr>
      <w:r>
        <w:t>J.13.b)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 Asamblea de Madrid 1/1990, de 1 de febrero. Protección de los animales domésticos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 la Asamblea de Madrid 16/1999, de 29 de abril. Comercio interior de la Comunidad de Madrid</w:t>
      </w:r>
    </w:p>
    <w:p w:rsidR="00427CF1" w:rsidRDefault="00427CF1" w:rsidP="00427CF1">
      <w:pPr>
        <w:pStyle w:val="SangriaFrancesaArticulo"/>
      </w:pPr>
      <w:r w:rsidRPr="00427CF1">
        <w:rPr>
          <w:rStyle w:val="TextoNormalNegritaCaracter"/>
        </w:rPr>
        <w:t>Artículo 30.</w:t>
      </w:r>
      <w:r w:rsidRPr="00427CF1">
        <w:rPr>
          <w:rStyle w:val="TextoNormalCaracter"/>
        </w:rPr>
        <w:t>-</w:t>
      </w:r>
      <w:r>
        <w:t xml:space="preserve"> Auto </w:t>
      </w:r>
      <w:hyperlink w:anchor="AUTO_2016_197" w:history="1">
        <w:r w:rsidRPr="00427CF1">
          <w:rPr>
            <w:rStyle w:val="TextoNormalCaracter"/>
          </w:rPr>
          <w:t>197/2016</w:t>
        </w:r>
      </w:hyperlink>
      <w:r>
        <w:t>, ff. 1, 2, 6.</w:t>
      </w:r>
    </w:p>
    <w:p w:rsidR="00427CF1" w:rsidRDefault="00427CF1" w:rsidP="00427CF1">
      <w:pPr>
        <w:pStyle w:val="SangriaFrancesaArticulo"/>
      </w:pPr>
    </w:p>
    <w:p w:rsidR="00427CF1" w:rsidRDefault="00427CF1" w:rsidP="00427CF1">
      <w:pPr>
        <w:pStyle w:val="TextoNormalNegritaCursivandice"/>
      </w:pPr>
      <w:r>
        <w:t>Ley de la Asamblea de Madrid 9/2001, de 17 de julio. Suelo</w:t>
      </w:r>
    </w:p>
    <w:p w:rsidR="00427CF1" w:rsidRDefault="00427CF1" w:rsidP="00427CF1">
      <w:pPr>
        <w:pStyle w:val="SangriaFrancesaArticulo"/>
      </w:pPr>
      <w:r w:rsidRPr="00427CF1">
        <w:rPr>
          <w:rStyle w:val="TextoNormalNegritaCaracter"/>
        </w:rPr>
        <w:t>Artículo 39.8</w:t>
      </w:r>
      <w:r>
        <w:t xml:space="preserve"> (redactado por la Ley de la Asamblea de Madrid 3/2007, de 26 de julio)</w:t>
      </w:r>
      <w:r w:rsidRPr="00427CF1">
        <w:rPr>
          <w:rStyle w:val="TextoNormalNegritaCaracter"/>
        </w:rPr>
        <w:t>.</w:t>
      </w:r>
      <w:r w:rsidRPr="00427CF1">
        <w:rPr>
          <w:rStyle w:val="TextoNormalCaracter"/>
        </w:rPr>
        <w:t>-</w:t>
      </w:r>
      <w:r>
        <w:t xml:space="preserve"> Sentencia </w:t>
      </w:r>
      <w:hyperlink w:anchor="SENTENCIA_2016_170" w:history="1">
        <w:r w:rsidRPr="00427CF1">
          <w:rPr>
            <w:rStyle w:val="TextoNormalCaracter"/>
          </w:rPr>
          <w:t>170/2016</w:t>
        </w:r>
      </w:hyperlink>
      <w:r>
        <w:t>, ff. 2, 3.</w:t>
      </w:r>
    </w:p>
    <w:p w:rsidR="00427CF1" w:rsidRDefault="00427CF1" w:rsidP="00427CF1">
      <w:pPr>
        <w:pStyle w:val="SangriaFrancesaArticulo"/>
      </w:pPr>
    </w:p>
    <w:p w:rsidR="00427CF1" w:rsidRDefault="00427CF1" w:rsidP="00427CF1">
      <w:pPr>
        <w:pStyle w:val="TextoNormalNegritaCursivandice"/>
      </w:pPr>
      <w:r>
        <w:t>Ley de la Asamblea de Madrid 5/2002, de 27 de junio.  Drogodependencias y otros trastornos adictivos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97" w:history="1">
        <w:r w:rsidRPr="00427CF1">
          <w:rPr>
            <w:rStyle w:val="TextoNormalCaracter"/>
          </w:rPr>
          <w:t>197/2016</w:t>
        </w:r>
      </w:hyperlink>
      <w:r>
        <w:t>, ff. 2, 6.</w:t>
      </w:r>
    </w:p>
    <w:p w:rsidR="00427CF1" w:rsidRDefault="00427CF1" w:rsidP="00427CF1">
      <w:pPr>
        <w:pStyle w:val="SangriaFrancesaArticulo"/>
      </w:pPr>
      <w:r w:rsidRPr="00427CF1">
        <w:rPr>
          <w:rStyle w:val="TextoNormalNegritaCaracter"/>
        </w:rPr>
        <w:t>Artículo 30.4.</w:t>
      </w:r>
      <w:r w:rsidRPr="00427CF1">
        <w:rPr>
          <w:rStyle w:val="TextoNormalCaracter"/>
        </w:rPr>
        <w:t>-</w:t>
      </w:r>
      <w:r>
        <w:t xml:space="preserve"> Auto </w:t>
      </w:r>
      <w:hyperlink w:anchor="AUTO_2016_197" w:history="1">
        <w:r w:rsidRPr="00427CF1">
          <w:rPr>
            <w:rStyle w:val="TextoNormalCaracter"/>
          </w:rPr>
          <w:t>197/2016</w:t>
        </w:r>
      </w:hyperlink>
      <w:r>
        <w:t>, ff. 1 a 6.</w:t>
      </w:r>
    </w:p>
    <w:p w:rsidR="00427CF1" w:rsidRDefault="00427CF1" w:rsidP="00427CF1">
      <w:pPr>
        <w:pStyle w:val="SangriaFrancesaArticulo"/>
      </w:pPr>
      <w:r w:rsidRPr="00427CF1">
        <w:rPr>
          <w:rStyle w:val="TextoNormalNegritaCaracter"/>
        </w:rPr>
        <w:t>Artículo 30.4, párrafo 2</w:t>
      </w:r>
      <w:r>
        <w:t xml:space="preserve"> (redactado por la Ley de la Asamblea de Madrid 1/2011, de 14 de enero)</w:t>
      </w:r>
      <w:r w:rsidRPr="00427CF1">
        <w:rPr>
          <w:rStyle w:val="TextoNormalNegritaCaracter"/>
        </w:rPr>
        <w:t>.</w:t>
      </w:r>
      <w:r w:rsidRPr="00427CF1">
        <w:rPr>
          <w:rStyle w:val="TextoNormalCaracter"/>
        </w:rPr>
        <w:t>-</w:t>
      </w:r>
      <w:r>
        <w:t xml:space="preserve"> Auto </w:t>
      </w:r>
      <w:hyperlink w:anchor="AUTO_2016_197" w:history="1">
        <w:r w:rsidRPr="00427CF1">
          <w:rPr>
            <w:rStyle w:val="TextoNormalCaracter"/>
          </w:rPr>
          <w:t>197/2016</w:t>
        </w:r>
      </w:hyperlink>
      <w:r>
        <w:t>, f. 2.</w:t>
      </w:r>
    </w:p>
    <w:p w:rsidR="00427CF1" w:rsidRDefault="00427CF1" w:rsidP="00427CF1">
      <w:pPr>
        <w:pStyle w:val="SangriaFrancesaArticulo"/>
      </w:pPr>
    </w:p>
    <w:p w:rsidR="00427CF1" w:rsidRDefault="00427CF1" w:rsidP="00427CF1">
      <w:pPr>
        <w:pStyle w:val="TextoNormalNegritaCursivandice"/>
      </w:pPr>
      <w:r>
        <w:t>Ley de la Asamblea de Madrid 2/2003, de 11 de marzo. Administración Local de la Comunidad de Madrid</w:t>
      </w:r>
    </w:p>
    <w:p w:rsidR="00427CF1" w:rsidRDefault="00427CF1" w:rsidP="00427CF1">
      <w:pPr>
        <w:pStyle w:val="SangriaFrancesaArticulo"/>
      </w:pPr>
      <w:r w:rsidRPr="00427CF1">
        <w:rPr>
          <w:rStyle w:val="TextoNormalNegritaCaracter"/>
        </w:rPr>
        <w:t>Artículo 100.3 d).</w:t>
      </w:r>
      <w:r w:rsidRPr="00427CF1">
        <w:rPr>
          <w:rStyle w:val="TextoNormalCaracter"/>
        </w:rPr>
        <w:t>-</w:t>
      </w:r>
      <w:r>
        <w:t xml:space="preserve"> Auto </w:t>
      </w:r>
      <w:hyperlink w:anchor="AUTO_2016_167" w:history="1">
        <w:r w:rsidRPr="00427CF1">
          <w:rPr>
            <w:rStyle w:val="TextoNormalCaracter"/>
          </w:rPr>
          <w:t>167/2016</w:t>
        </w:r>
      </w:hyperlink>
      <w:r>
        <w:t>, ff. 1, 3, 4.</w:t>
      </w:r>
    </w:p>
    <w:p w:rsidR="00427CF1" w:rsidRDefault="00427CF1" w:rsidP="00427CF1">
      <w:pPr>
        <w:pStyle w:val="SangriaFrancesaArticulo"/>
      </w:pPr>
    </w:p>
    <w:p w:rsidR="00427CF1" w:rsidRDefault="00427CF1" w:rsidP="00427CF1">
      <w:pPr>
        <w:pStyle w:val="TextoNormalNegritaCursivandice"/>
      </w:pPr>
      <w:r>
        <w:t>Ley de la Asamblea de Madrid 3/2007, de 26 de julio. Medidas urgentes de modernización del Gobierno y la Administración de la Comunidad de Madrid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0" w:history="1">
        <w:r w:rsidRPr="00427CF1">
          <w:rPr>
            <w:rStyle w:val="TextoNormalCaracter"/>
          </w:rPr>
          <w:t>170/2016</w:t>
        </w:r>
      </w:hyperlink>
      <w:r>
        <w:t>, f. 3.</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70" w:history="1">
        <w:r w:rsidRPr="00427CF1">
          <w:rPr>
            <w:rStyle w:val="TextoNormalCaracter"/>
          </w:rPr>
          <w:t>170/2016</w:t>
        </w:r>
      </w:hyperlink>
      <w:r>
        <w:t>, f. 2.</w:t>
      </w:r>
    </w:p>
    <w:p w:rsidR="00427CF1" w:rsidRDefault="00427CF1" w:rsidP="00427CF1">
      <w:pPr>
        <w:pStyle w:val="SangriaFrancesaArticulo"/>
      </w:pPr>
      <w:r w:rsidRPr="00427CF1">
        <w:rPr>
          <w:rStyle w:val="TextoNormalNegritaCaracter"/>
        </w:rPr>
        <w:t>Disposición transitoria.</w:t>
      </w:r>
      <w:r w:rsidRPr="00427CF1">
        <w:rPr>
          <w:rStyle w:val="TextoNormalCaracter"/>
        </w:rPr>
        <w:t>-</w:t>
      </w:r>
      <w:r>
        <w:t xml:space="preserve"> Sentencia </w:t>
      </w:r>
      <w:hyperlink w:anchor="SENTENCIA_2016_170" w:history="1">
        <w:r w:rsidRPr="00427CF1">
          <w:rPr>
            <w:rStyle w:val="TextoNormalCaracter"/>
          </w:rPr>
          <w:t>170/2016</w:t>
        </w:r>
      </w:hyperlink>
      <w:r>
        <w:t>, f. 3.</w:t>
      </w:r>
    </w:p>
    <w:p w:rsidR="00427CF1" w:rsidRDefault="00427CF1" w:rsidP="00427CF1">
      <w:pPr>
        <w:pStyle w:val="SangriaFrancesaArticulo"/>
      </w:pPr>
      <w:r w:rsidRPr="00427CF1">
        <w:rPr>
          <w:rStyle w:val="TextoNormalNegritaCaracter"/>
        </w:rPr>
        <w:t>Disposición transitoria</w:t>
      </w:r>
      <w:r>
        <w:t xml:space="preserve"> (redactada por la Ley de la Asamblea de Madrid 3/2013, de 18 de junio)</w:t>
      </w:r>
      <w:r w:rsidRPr="00427CF1">
        <w:rPr>
          <w:rStyle w:val="TextoNormalNegritaCaracter"/>
        </w:rPr>
        <w:t>.</w:t>
      </w:r>
      <w:r w:rsidRPr="00427CF1">
        <w:rPr>
          <w:rStyle w:val="TextoNormalCaracter"/>
        </w:rPr>
        <w:t>-</w:t>
      </w:r>
      <w:r>
        <w:t xml:space="preserve"> Sentencia </w:t>
      </w:r>
      <w:hyperlink w:anchor="SENTENCIA_2016_170" w:history="1">
        <w:r w:rsidRPr="00427CF1">
          <w:rPr>
            <w:rStyle w:val="TextoNormalCaracter"/>
          </w:rPr>
          <w:t>170/2016</w:t>
        </w:r>
      </w:hyperlink>
      <w:r>
        <w:t>, ff. 2, 3.</w:t>
      </w:r>
    </w:p>
    <w:p w:rsidR="00427CF1" w:rsidRDefault="00427CF1" w:rsidP="00427CF1">
      <w:pPr>
        <w:pStyle w:val="SangriaFrancesaArticulo"/>
      </w:pPr>
    </w:p>
    <w:p w:rsidR="00427CF1" w:rsidRDefault="00427CF1" w:rsidP="00427CF1">
      <w:pPr>
        <w:pStyle w:val="TextoNormalNegritaCursivandice"/>
      </w:pPr>
      <w:r>
        <w:t>Ley de la Asamblea de Madrid 9/2009, de 23 de diciembre. Presupuestos generales de la Comunidad de Madrid para 2010</w:t>
      </w:r>
    </w:p>
    <w:p w:rsidR="00427CF1" w:rsidRDefault="00427CF1" w:rsidP="00427CF1">
      <w:pPr>
        <w:pStyle w:val="SangriaFrancesaArticulo"/>
      </w:pPr>
      <w:r w:rsidRPr="00427CF1">
        <w:rPr>
          <w:rStyle w:val="TextoNormalNegritaCaracter"/>
        </w:rPr>
        <w:t>Artículo 17.2.</w:t>
      </w:r>
      <w:r w:rsidRPr="00427CF1">
        <w:rPr>
          <w:rStyle w:val="TextoNormalCaracter"/>
        </w:rPr>
        <w:t>-</w:t>
      </w:r>
      <w:r>
        <w:t xml:space="preserve"> Sentencia </w:t>
      </w:r>
      <w:hyperlink w:anchor="SENTENCIA_2016_164" w:history="1">
        <w:r w:rsidRPr="00427CF1">
          <w:rPr>
            <w:rStyle w:val="TextoNormalCaracter"/>
          </w:rPr>
          <w:t>164/2016</w:t>
        </w:r>
      </w:hyperlink>
      <w:r>
        <w:t>, ff. 2, 5.</w:t>
      </w:r>
    </w:p>
    <w:p w:rsidR="00427CF1" w:rsidRDefault="00427CF1" w:rsidP="00427CF1">
      <w:pPr>
        <w:pStyle w:val="SangriaFrancesaArticulo"/>
      </w:pPr>
      <w:r w:rsidRPr="00427CF1">
        <w:rPr>
          <w:rStyle w:val="TextoNormalNegritaCaracter"/>
        </w:rPr>
        <w:t>Artículo 19.2 B b)</w:t>
      </w:r>
      <w:r>
        <w:t xml:space="preserve"> (redactado por la Ley de la Asamblea de Madrid 4/2010, de 29 de junio)</w:t>
      </w:r>
      <w:r w:rsidRPr="00427CF1">
        <w:rPr>
          <w:rStyle w:val="TextoNormalNegritaCaracter"/>
        </w:rPr>
        <w:t>.</w:t>
      </w:r>
      <w:r w:rsidRPr="00427CF1">
        <w:rPr>
          <w:rStyle w:val="TextoNormalCaracter"/>
        </w:rPr>
        <w:t>-</w:t>
      </w:r>
      <w:r>
        <w:t xml:space="preserve"> Sentencia </w:t>
      </w:r>
      <w:hyperlink w:anchor="SENTENCIA_2016_164" w:history="1">
        <w:r w:rsidRPr="00427CF1">
          <w:rPr>
            <w:rStyle w:val="TextoNormalCaracter"/>
          </w:rPr>
          <w:t>164/2016</w:t>
        </w:r>
      </w:hyperlink>
      <w:r>
        <w:t>, f. 2.</w:t>
      </w:r>
    </w:p>
    <w:p w:rsidR="00427CF1" w:rsidRDefault="00427CF1" w:rsidP="00427CF1">
      <w:pPr>
        <w:pStyle w:val="SangriaFrancesaArticulo"/>
      </w:pPr>
      <w:r w:rsidRPr="00427CF1">
        <w:rPr>
          <w:rStyle w:val="TextoNormalNegritaCaracter"/>
        </w:rPr>
        <w:t>Disposición adicional primera</w:t>
      </w:r>
      <w:r>
        <w:t xml:space="preserve"> (redactado por la Ley de la Asamblea de Madrid 4/2010, de 29 de junio)</w:t>
      </w:r>
      <w:r w:rsidRPr="00427CF1">
        <w:rPr>
          <w:rStyle w:val="TextoNormalNegritaCaracter"/>
        </w:rPr>
        <w:t>.</w:t>
      </w:r>
      <w:r w:rsidRPr="00427CF1">
        <w:rPr>
          <w:rStyle w:val="TextoNormalCaracter"/>
        </w:rPr>
        <w:t>-</w:t>
      </w:r>
      <w:r>
        <w:t xml:space="preserve"> Sentencia </w:t>
      </w:r>
      <w:hyperlink w:anchor="SENTENCIA_2016_164" w:history="1">
        <w:r w:rsidRPr="00427CF1">
          <w:rPr>
            <w:rStyle w:val="TextoNormalCaracter"/>
          </w:rPr>
          <w:t>164/2016</w:t>
        </w:r>
      </w:hyperlink>
      <w:r>
        <w:t>, f. 2.</w:t>
      </w:r>
    </w:p>
    <w:p w:rsidR="00427CF1" w:rsidRDefault="00427CF1" w:rsidP="00427CF1">
      <w:pPr>
        <w:pStyle w:val="SangriaFrancesaArticulo"/>
      </w:pPr>
    </w:p>
    <w:p w:rsidR="00427CF1" w:rsidRDefault="00427CF1" w:rsidP="00427CF1">
      <w:pPr>
        <w:pStyle w:val="TextoNormalNegritaCursivandice"/>
      </w:pPr>
      <w:r>
        <w:t>Ley de la Asamblea de Madrid 4/2010, de 29 de junio. Medidas urgentes, por la que se modifica la Ley 9/2009, de 23 de diciembre, de Presupuestos Generales de la Comunidad de Madrid para 2010, para su adecuación al Real Decreto-Ley 8/2010, de 20 de mayo, por el que se adoptan medidas extraordinarias para la reducción del déficit público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4" w:history="1">
        <w:r w:rsidRPr="00427CF1">
          <w:rPr>
            <w:rStyle w:val="TextoNormalCaracter"/>
          </w:rPr>
          <w:t>164/2016</w:t>
        </w:r>
      </w:hyperlink>
      <w:r>
        <w:t>, f. 2.</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64" w:history="1">
        <w:r w:rsidRPr="00427CF1">
          <w:rPr>
            <w:rStyle w:val="TextoNormalCaracter"/>
          </w:rPr>
          <w:t>164/2016</w:t>
        </w:r>
      </w:hyperlink>
      <w:r>
        <w:t>, ff. 1, 2.</w:t>
      </w:r>
    </w:p>
    <w:p w:rsidR="00427CF1" w:rsidRDefault="00427CF1" w:rsidP="00427CF1">
      <w:pPr>
        <w:pStyle w:val="SangriaFrancesaArticulo"/>
      </w:pPr>
      <w:r w:rsidRPr="00427CF1">
        <w:rPr>
          <w:rStyle w:val="TextoNormalNegritaCaracter"/>
        </w:rPr>
        <w:t>Disposición adicional primera, apartado 1.</w:t>
      </w:r>
      <w:r w:rsidRPr="00427CF1">
        <w:rPr>
          <w:rStyle w:val="TextoNormalCaracter"/>
        </w:rPr>
        <w:t>-</w:t>
      </w:r>
      <w:r>
        <w:t xml:space="preserve"> Sentencia </w:t>
      </w:r>
      <w:hyperlink w:anchor="SENTENCIA_2016_164" w:history="1">
        <w:r w:rsidRPr="00427CF1">
          <w:rPr>
            <w:rStyle w:val="TextoNormalCaracter"/>
          </w:rPr>
          <w:t>164/2016</w:t>
        </w:r>
      </w:hyperlink>
      <w:r>
        <w:t>, ff. 4, 7.</w:t>
      </w:r>
    </w:p>
    <w:p w:rsidR="00427CF1" w:rsidRDefault="00427CF1" w:rsidP="00427CF1">
      <w:pPr>
        <w:pStyle w:val="SangriaFrancesaArticulo"/>
      </w:pPr>
      <w:r w:rsidRPr="00427CF1">
        <w:rPr>
          <w:rStyle w:val="TextoNormalNegritaCaracter"/>
        </w:rPr>
        <w:t>Disposición adicional primera, apartado 1 párrafo 1.</w:t>
      </w:r>
      <w:r w:rsidRPr="00427CF1">
        <w:rPr>
          <w:rStyle w:val="TextoNormalCaracter"/>
        </w:rPr>
        <w:t>-</w:t>
      </w:r>
      <w:r>
        <w:t xml:space="preserve"> Sentencia </w:t>
      </w:r>
      <w:hyperlink w:anchor="SENTENCIA_2016_164" w:history="1">
        <w:r w:rsidRPr="00427CF1">
          <w:rPr>
            <w:rStyle w:val="TextoNormalCaracter"/>
          </w:rPr>
          <w:t>164/2016</w:t>
        </w:r>
      </w:hyperlink>
      <w:r>
        <w:t>, f. 4.</w:t>
      </w:r>
    </w:p>
    <w:p w:rsidR="00427CF1" w:rsidRDefault="00427CF1" w:rsidP="00427CF1">
      <w:pPr>
        <w:pStyle w:val="SangriaFrancesaArticulo"/>
      </w:pPr>
      <w:r w:rsidRPr="00427CF1">
        <w:rPr>
          <w:rStyle w:val="TextoNormalNegritaCaracter"/>
        </w:rPr>
        <w:t>Disposición adicional primera, apartado 1 párrafo 2.</w:t>
      </w:r>
      <w:r w:rsidRPr="00427CF1">
        <w:rPr>
          <w:rStyle w:val="TextoNormalCaracter"/>
        </w:rPr>
        <w:t>-</w:t>
      </w:r>
      <w:r>
        <w:t xml:space="preserve"> Sentencia </w:t>
      </w:r>
      <w:hyperlink w:anchor="SENTENCIA_2016_164" w:history="1">
        <w:r w:rsidRPr="00427CF1">
          <w:rPr>
            <w:rStyle w:val="TextoNormalCaracter"/>
          </w:rPr>
          <w:t>164/2016</w:t>
        </w:r>
      </w:hyperlink>
      <w:r>
        <w:t>, f. 5.</w:t>
      </w:r>
    </w:p>
    <w:p w:rsidR="00427CF1" w:rsidRDefault="00427CF1" w:rsidP="00427CF1">
      <w:pPr>
        <w:pStyle w:val="SangriaFrancesaArticulo"/>
      </w:pPr>
      <w:r w:rsidRPr="00427CF1">
        <w:rPr>
          <w:rStyle w:val="TextoNormalNegritaCaracter"/>
        </w:rPr>
        <w:t>Disposición adicional primera, apartado 2.</w:t>
      </w:r>
      <w:r w:rsidRPr="00427CF1">
        <w:rPr>
          <w:rStyle w:val="TextoNormalCaracter"/>
        </w:rPr>
        <w:t>-</w:t>
      </w:r>
      <w:r>
        <w:t xml:space="preserve"> Sentencia </w:t>
      </w:r>
      <w:hyperlink w:anchor="SENTENCIA_2016_164" w:history="1">
        <w:r w:rsidRPr="00427CF1">
          <w:rPr>
            <w:rStyle w:val="TextoNormalCaracter"/>
          </w:rPr>
          <w:t>164/2016</w:t>
        </w:r>
      </w:hyperlink>
      <w:r>
        <w:t>, ff. 4, 6, 7.</w:t>
      </w:r>
    </w:p>
    <w:p w:rsidR="00427CF1" w:rsidRDefault="00427CF1" w:rsidP="00427CF1">
      <w:pPr>
        <w:pStyle w:val="SangriaFrancesaArticulo"/>
      </w:pPr>
    </w:p>
    <w:p w:rsidR="00427CF1" w:rsidRDefault="00427CF1" w:rsidP="00427CF1">
      <w:pPr>
        <w:pStyle w:val="TextoNormalNegritaCursivandice"/>
      </w:pPr>
      <w:r>
        <w:t>Ley de la Asamblea de Madrid 9/2010, de 23 de diciembre. Medidas fiscales, administrativas y de racionalización del sector público de la Comunidad de Madrid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97" w:history="1">
        <w:r w:rsidRPr="00427CF1">
          <w:rPr>
            <w:rStyle w:val="TextoNormalCaracter"/>
          </w:rPr>
          <w:t>197/2016</w:t>
        </w:r>
      </w:hyperlink>
      <w:r>
        <w:t>, ff. 2, 6.</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Auto </w:t>
      </w:r>
      <w:hyperlink w:anchor="AUTO_2016_197" w:history="1">
        <w:r w:rsidRPr="00427CF1">
          <w:rPr>
            <w:rStyle w:val="TextoNormalCaracter"/>
          </w:rPr>
          <w:t>197/2016</w:t>
        </w:r>
      </w:hyperlink>
      <w:r>
        <w:t>, f. 2.</w:t>
      </w:r>
    </w:p>
    <w:p w:rsidR="00427CF1" w:rsidRDefault="00427CF1" w:rsidP="00427CF1">
      <w:pPr>
        <w:pStyle w:val="SangriaFrancesaArticulo"/>
      </w:pPr>
    </w:p>
    <w:p w:rsidR="00427CF1" w:rsidRDefault="00427CF1" w:rsidP="00427CF1">
      <w:pPr>
        <w:pStyle w:val="TextoNormalNegritaCursivandice"/>
      </w:pPr>
      <w:r>
        <w:t>Ley de la Asamblea de Madrid 1/2011, de 14 de enero. Se adapta la Ley 4/2003, de 11 de marzo, de cajas de ahorro de la Comunidad de Madrid al Real Decreto-Ley 11/2010, de 9 de julio, de órganos de gobierno y otros aspectos del régimen jurídico de las cajas de ahorro</w:t>
      </w:r>
    </w:p>
    <w:p w:rsidR="00427CF1" w:rsidRDefault="00427CF1" w:rsidP="00427CF1">
      <w:pPr>
        <w:pStyle w:val="SangriaFrancesaArticulo"/>
      </w:pPr>
      <w:r w:rsidRPr="00427CF1">
        <w:rPr>
          <w:rStyle w:val="TextoNormalNegritaCaracter"/>
        </w:rPr>
        <w:t>Disposición final segunda.</w:t>
      </w:r>
      <w:r w:rsidRPr="00427CF1">
        <w:rPr>
          <w:rStyle w:val="TextoNormalCaracter"/>
        </w:rPr>
        <w:t>-</w:t>
      </w:r>
      <w:r>
        <w:t xml:space="preserve"> Auto </w:t>
      </w:r>
      <w:hyperlink w:anchor="AUTO_2016_197" w:history="1">
        <w:r w:rsidRPr="00427CF1">
          <w:rPr>
            <w:rStyle w:val="TextoNormalCaracter"/>
          </w:rPr>
          <w:t>197/2016</w:t>
        </w:r>
      </w:hyperlink>
      <w:r>
        <w:t>, f. 2.</w:t>
      </w:r>
    </w:p>
    <w:p w:rsidR="00427CF1" w:rsidRDefault="00427CF1" w:rsidP="00427CF1">
      <w:pPr>
        <w:pStyle w:val="SangriaFrancesaArticulo"/>
      </w:pPr>
    </w:p>
    <w:p w:rsidR="00427CF1" w:rsidRDefault="00427CF1" w:rsidP="00427CF1">
      <w:pPr>
        <w:pStyle w:val="TextoNormalNegritaCursivandice"/>
      </w:pPr>
      <w:r>
        <w:t>Ley de la Asamblea de Madrid 8/2012, de 28 de diciembre. Medidas fiscales y administrativas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0" w:history="1">
        <w:r w:rsidRPr="00427CF1">
          <w:rPr>
            <w:rStyle w:val="TextoNormalCaracter"/>
          </w:rPr>
          <w:t>170/2016</w:t>
        </w:r>
      </w:hyperlink>
      <w:r>
        <w:t>, f. 3.</w:t>
      </w:r>
    </w:p>
    <w:p w:rsidR="00427CF1" w:rsidRDefault="00427CF1" w:rsidP="00427CF1">
      <w:pPr>
        <w:pStyle w:val="SangriaFrancesaArticulo"/>
      </w:pPr>
      <w:r w:rsidRPr="00427CF1">
        <w:rPr>
          <w:rStyle w:val="TextoNormalNegritaCaracter"/>
        </w:rPr>
        <w:t>Disposición adicional sexta.</w:t>
      </w:r>
      <w:r w:rsidRPr="00427CF1">
        <w:rPr>
          <w:rStyle w:val="TextoNormalCaracter"/>
        </w:rPr>
        <w:t>-</w:t>
      </w:r>
      <w:r>
        <w:t xml:space="preserve"> Sentencia </w:t>
      </w:r>
      <w:hyperlink w:anchor="SENTENCIA_2016_170" w:history="1">
        <w:r w:rsidRPr="00427CF1">
          <w:rPr>
            <w:rStyle w:val="TextoNormalCaracter"/>
          </w:rPr>
          <w:t>170/2016</w:t>
        </w:r>
      </w:hyperlink>
      <w:r>
        <w:t>, ff. 2, 3.</w:t>
      </w:r>
    </w:p>
    <w:p w:rsidR="00427CF1" w:rsidRDefault="00427CF1" w:rsidP="00427CF1">
      <w:pPr>
        <w:pStyle w:val="SangriaFrancesaArticulo"/>
      </w:pPr>
    </w:p>
    <w:p w:rsidR="00427CF1" w:rsidRDefault="00427CF1" w:rsidP="00427CF1">
      <w:pPr>
        <w:pStyle w:val="TextoNormalNegritaCursivandice"/>
      </w:pPr>
      <w:r>
        <w:t>Ley de la Asamblea de Madrid 3/2013, de 18 de junio. Patrimonio Histórico de la Comunidad de Madrid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0" w:history="1">
        <w:r w:rsidRPr="00427CF1">
          <w:rPr>
            <w:rStyle w:val="TextoNormalCaracter"/>
          </w:rPr>
          <w:t>170/2016</w:t>
        </w:r>
      </w:hyperlink>
      <w:r>
        <w:t>, f. 2.</w:t>
      </w:r>
    </w:p>
    <w:p w:rsidR="00427CF1" w:rsidRDefault="00427CF1" w:rsidP="00427CF1">
      <w:pPr>
        <w:pStyle w:val="SangriaFrancesaArticulo"/>
      </w:pPr>
      <w:r w:rsidRPr="00427CF1">
        <w:rPr>
          <w:rStyle w:val="TextoNormalNegritaCaracter"/>
        </w:rPr>
        <w:t>Disposición adicional séptima.</w:t>
      </w:r>
      <w:r w:rsidRPr="00427CF1">
        <w:rPr>
          <w:rStyle w:val="TextoNormalCaracter"/>
        </w:rPr>
        <w:t>-</w:t>
      </w:r>
      <w:r>
        <w:t xml:space="preserve"> Sentencia </w:t>
      </w:r>
      <w:hyperlink w:anchor="SENTENCIA_2016_170" w:history="1">
        <w:r w:rsidRPr="00427CF1">
          <w:rPr>
            <w:rStyle w:val="TextoNormalCaracter"/>
          </w:rPr>
          <w:t>170/2016</w:t>
        </w:r>
      </w:hyperlink>
      <w:r>
        <w:t>, ff. 2, 3.</w:t>
      </w:r>
    </w:p>
    <w:p w:rsidR="00427CF1" w:rsidRDefault="00427CF1" w:rsidP="00427CF1">
      <w:pPr>
        <w:pStyle w:val="SangriaFrancesaArticulo"/>
      </w:pPr>
    </w:p>
    <w:p w:rsidR="00427CF1" w:rsidRDefault="00427CF1" w:rsidP="00427CF1">
      <w:pPr>
        <w:pStyle w:val="TextoNormalNegritaCursivandice"/>
      </w:pPr>
      <w:r>
        <w:t>Ley 3/2014, de 22 de diciembre. Presupuestos Generales de la Comunidad de Madrid para el año 2015</w:t>
      </w:r>
    </w:p>
    <w:p w:rsidR="00427CF1" w:rsidRDefault="00427CF1" w:rsidP="00427CF1">
      <w:pPr>
        <w:pStyle w:val="SangriaFrancesaArticulo"/>
      </w:pPr>
      <w:r w:rsidRPr="00427CF1">
        <w:rPr>
          <w:rStyle w:val="TextoNormalNegritaCaracter"/>
        </w:rPr>
        <w:t>Disposición adicional decimosexta.</w:t>
      </w:r>
      <w:r w:rsidRPr="00427CF1">
        <w:rPr>
          <w:rStyle w:val="TextoNormalCaracter"/>
        </w:rPr>
        <w:t>-</w:t>
      </w:r>
      <w:r>
        <w:t xml:space="preserve"> Sentencia </w:t>
      </w:r>
      <w:hyperlink w:anchor="SENTENCIA_2016_160" w:history="1">
        <w:r w:rsidRPr="00427CF1">
          <w:rPr>
            <w:rStyle w:val="TextoNormalCaracter"/>
          </w:rPr>
          <w:t>160/2016</w:t>
        </w:r>
      </w:hyperlink>
      <w:r>
        <w:t>, f. 3.</w:t>
      </w:r>
    </w:p>
    <w:p w:rsidR="00427CF1" w:rsidRDefault="00427CF1" w:rsidP="00427CF1">
      <w:pPr>
        <w:pStyle w:val="SangriaFrancesaArticulo"/>
      </w:pPr>
    </w:p>
    <w:p w:rsidR="00427CF1" w:rsidRDefault="00427CF1" w:rsidP="00427CF1">
      <w:pPr>
        <w:pStyle w:val="TextoNormalNegritaCursivandice"/>
      </w:pPr>
      <w:r>
        <w:t>Ley de la Asamblea de Madrid 4/2015, de 18 de diciembre. Modificación de la Ley 9/2001, de 17 de julio, del suelo de la Comunidad de Madrid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0" w:history="1">
        <w:r w:rsidRPr="00427CF1">
          <w:rPr>
            <w:rStyle w:val="TextoNormalCaracter"/>
          </w:rPr>
          <w:t>170/2016</w:t>
        </w:r>
      </w:hyperlink>
      <w:r>
        <w:t>, ff. 2, 3, 5.</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70" w:history="1">
        <w:r w:rsidRPr="00427CF1">
          <w:rPr>
            <w:rStyle w:val="TextoNormalCaracter"/>
          </w:rPr>
          <w:t>170/2016</w:t>
        </w:r>
      </w:hyperlink>
      <w:r>
        <w:t>, ff. 2, 3, 5, 6.</w:t>
      </w:r>
    </w:p>
    <w:p w:rsidR="00427CF1" w:rsidRDefault="00427CF1" w:rsidP="00427CF1">
      <w:pPr>
        <w:pStyle w:val="SangriaFrancesaArticulo"/>
      </w:pPr>
      <w:r w:rsidRPr="00427CF1">
        <w:rPr>
          <w:rStyle w:val="TextoNormalNegritaCaracter"/>
        </w:rPr>
        <w:t>Artículo único.</w:t>
      </w:r>
      <w:r w:rsidRPr="00427CF1">
        <w:rPr>
          <w:rStyle w:val="TextoNormalCaracter"/>
        </w:rPr>
        <w:t>-</w:t>
      </w:r>
      <w:r>
        <w:t xml:space="preserve"> Sentencia </w:t>
      </w:r>
      <w:hyperlink w:anchor="SENTENCIA_2016_170" w:history="1">
        <w:r w:rsidRPr="00427CF1">
          <w:rPr>
            <w:rStyle w:val="TextoNormalCaracter"/>
          </w:rPr>
          <w:t>170/2016</w:t>
        </w:r>
      </w:hyperlink>
      <w:r>
        <w:t>, ff. 2, 3, 5, 6.</w:t>
      </w:r>
    </w:p>
    <w:p w:rsidR="00427CF1" w:rsidRDefault="00427CF1" w:rsidP="00427CF1">
      <w:pPr>
        <w:pStyle w:val="SangriaFrancesaArticulo"/>
      </w:pPr>
      <w:r w:rsidRPr="00427CF1">
        <w:rPr>
          <w:rStyle w:val="TextoNormalNegritaCaracter"/>
        </w:rPr>
        <w:t>Disposición adicional.</w:t>
      </w:r>
      <w:r w:rsidRPr="00427CF1">
        <w:rPr>
          <w:rStyle w:val="TextoNormalCaracter"/>
        </w:rPr>
        <w:t>-</w:t>
      </w:r>
      <w:r>
        <w:t xml:space="preserve"> Sentencia </w:t>
      </w:r>
      <w:hyperlink w:anchor="SENTENCIA_2016_170" w:history="1">
        <w:r w:rsidRPr="00427CF1">
          <w:rPr>
            <w:rStyle w:val="TextoNormalCaracter"/>
          </w:rPr>
          <w:t>170/2016</w:t>
        </w:r>
      </w:hyperlink>
      <w:r>
        <w:t>, ff. 1 a 6.</w:t>
      </w:r>
    </w:p>
    <w:p w:rsidR="00427CF1" w:rsidRDefault="00427CF1" w:rsidP="00427CF1">
      <w:pPr>
        <w:pStyle w:val="SangriaFrancesaArticulo"/>
      </w:pPr>
    </w:p>
    <w:p w:rsidR="00427CF1" w:rsidRDefault="00427CF1" w:rsidP="00427CF1">
      <w:pPr>
        <w:pStyle w:val="TextoNormalNegritaCursivandice"/>
      </w:pPr>
      <w:r>
        <w:t>Ley de la Asamblea de Madrid 6/2015, de 23 de diciembre. Presupuestos Generales de la Comunidad de Madrid para el año 2016</w:t>
      </w:r>
    </w:p>
    <w:p w:rsidR="00427CF1" w:rsidRDefault="00427CF1" w:rsidP="00427CF1">
      <w:pPr>
        <w:pStyle w:val="SangriaFrancesaArticulo"/>
      </w:pPr>
      <w:r w:rsidRPr="00427CF1">
        <w:rPr>
          <w:rStyle w:val="TextoNormalNegritaCaracter"/>
        </w:rPr>
        <w:t>Disposición adicional decimonovena.</w:t>
      </w:r>
      <w:r w:rsidRPr="00427CF1">
        <w:rPr>
          <w:rStyle w:val="TextoNormalCaracter"/>
        </w:rPr>
        <w:t>-</w:t>
      </w:r>
      <w:r>
        <w:t xml:space="preserve"> Sentencia </w:t>
      </w:r>
      <w:hyperlink w:anchor="SENTENCIA_2016_160" w:history="1">
        <w:r w:rsidRPr="00427CF1">
          <w:rPr>
            <w:rStyle w:val="TextoNormalCaracter"/>
          </w:rPr>
          <w:t>160/2016</w:t>
        </w:r>
      </w:hyperlink>
      <w:r>
        <w:t>, f. 3.</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J.14) Murcia</w:t>
      </w:r>
    </w:p>
    <w:p w:rsidR="00427CF1" w:rsidRDefault="00427CF1" w:rsidP="00427CF1">
      <w:pPr>
        <w:pStyle w:val="TextoNormal"/>
      </w:pPr>
    </w:p>
    <w:p w:rsidR="00427CF1" w:rsidRDefault="00427CF1" w:rsidP="00427CF1">
      <w:pPr>
        <w:pStyle w:val="TextoNormalNegritaCentradoSubrayado"/>
        <w:suppressAutoHyphens/>
      </w:pPr>
      <w:r>
        <w:t>J.14.a) Estatuto de Autonomía</w:t>
      </w:r>
    </w:p>
    <w:p w:rsidR="00427CF1" w:rsidRDefault="00427CF1" w:rsidP="00427CF1">
      <w:pPr>
        <w:pStyle w:val="TextoNormalNegritaCentradoSubrayado"/>
      </w:pPr>
    </w:p>
    <w:p w:rsidR="00427CF1" w:rsidRDefault="00427CF1" w:rsidP="00427CF1">
      <w:pPr>
        <w:pStyle w:val="TextoNormalNegritaCursivandice"/>
      </w:pPr>
      <w:r>
        <w:t>Ley Orgánica 4/1982, de 9 de junio. Estatuto de Autonomía de la Región de Murcia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10.1.28.</w:t>
      </w:r>
      <w:r w:rsidRPr="00427CF1">
        <w:rPr>
          <w:rStyle w:val="TextoNormalCaracter"/>
        </w:rPr>
        <w:t>-</w:t>
      </w:r>
      <w:r>
        <w:t xml:space="preserve"> Sentencia </w:t>
      </w:r>
      <w:hyperlink w:anchor="SENTENCIA_2016_205" w:history="1">
        <w:r w:rsidRPr="00427CF1">
          <w:rPr>
            <w:rStyle w:val="TextoNormalCaracter"/>
          </w:rPr>
          <w:t>205/2016</w:t>
        </w:r>
      </w:hyperlink>
      <w:r>
        <w:t>, ff. 2, 3.</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205" w:history="1">
        <w:r w:rsidRPr="00427CF1">
          <w:rPr>
            <w:rStyle w:val="TextoNormalCaracter"/>
          </w:rPr>
          <w:t>205/2016</w:t>
        </w:r>
      </w:hyperlink>
      <w:r>
        <w:t>, f. 2.</w:t>
      </w:r>
    </w:p>
    <w:p w:rsidR="00427CF1" w:rsidRDefault="00427CF1" w:rsidP="00427CF1">
      <w:pPr>
        <w:pStyle w:val="SangriaFrancesaArticulo"/>
      </w:pPr>
      <w:r w:rsidRPr="00427CF1">
        <w:rPr>
          <w:rStyle w:val="TextoNormalNegritaCaracter"/>
        </w:rPr>
        <w:t>Artículo 11.4.</w:t>
      </w:r>
      <w:r w:rsidRPr="00427CF1">
        <w:rPr>
          <w:rStyle w:val="TextoNormalCaracter"/>
        </w:rPr>
        <w:t>-</w:t>
      </w:r>
      <w:r>
        <w:t xml:space="preserve"> Sentencia </w:t>
      </w:r>
      <w:hyperlink w:anchor="SENTENCIA_2016_205" w:history="1">
        <w:r w:rsidRPr="00427CF1">
          <w:rPr>
            <w:rStyle w:val="TextoNormalCaracter"/>
          </w:rPr>
          <w:t>205/2016</w:t>
        </w:r>
      </w:hyperlink>
      <w:r>
        <w:t>, f. 2.</w:t>
      </w:r>
    </w:p>
    <w:p w:rsidR="00427CF1" w:rsidRDefault="00427CF1" w:rsidP="00427CF1">
      <w:pPr>
        <w:pStyle w:val="TextoNormal"/>
      </w:pPr>
    </w:p>
    <w:p w:rsidR="00427CF1" w:rsidRDefault="00427CF1" w:rsidP="00427CF1">
      <w:pPr>
        <w:pStyle w:val="TextoNormalNegritaCentradoSubrayado"/>
        <w:suppressAutoHyphens/>
      </w:pPr>
      <w:r>
        <w:t>J.14.b)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 Asamblea Regional de Murcia 10/2006, de 21 de diciembre, de Energías Renovables y Ahorro y Eficiencia Energética de la Región de Murcia</w:t>
      </w:r>
    </w:p>
    <w:p w:rsidR="00427CF1" w:rsidRDefault="00427CF1" w:rsidP="00427CF1">
      <w:pPr>
        <w:pStyle w:val="SangriaFrancesaArticulo"/>
      </w:pPr>
      <w:r w:rsidRPr="00427CF1">
        <w:rPr>
          <w:rStyle w:val="TextoNormalNegritaCaracter"/>
        </w:rPr>
        <w:t>Artículo 20 bis</w:t>
      </w:r>
      <w:r>
        <w:t xml:space="preserve"> (redactado por la Ley 11/2015, de 30 de marzo)</w:t>
      </w:r>
      <w:r w:rsidRPr="00427CF1">
        <w:rPr>
          <w:rStyle w:val="TextoNormalNegritaCaracter"/>
        </w:rPr>
        <w:t>.</w:t>
      </w:r>
      <w:r w:rsidRPr="00427CF1">
        <w:rPr>
          <w:rStyle w:val="TextoNormalCaracter"/>
        </w:rPr>
        <w:t>-</w:t>
      </w:r>
      <w:r>
        <w:t xml:space="preserve"> Sentencia </w:t>
      </w:r>
      <w:hyperlink w:anchor="SENTENCIA_2016_205" w:history="1">
        <w:r w:rsidRPr="00427CF1">
          <w:rPr>
            <w:rStyle w:val="TextoNormalCaracter"/>
          </w:rPr>
          <w:t>205/2016</w:t>
        </w:r>
      </w:hyperlink>
      <w:r>
        <w:t>, ff. 1 a 3.</w:t>
      </w:r>
    </w:p>
    <w:p w:rsidR="00427CF1" w:rsidRDefault="00427CF1" w:rsidP="00427CF1">
      <w:pPr>
        <w:pStyle w:val="SangriaFrancesaArticulo"/>
      </w:pPr>
      <w:r w:rsidRPr="00427CF1">
        <w:rPr>
          <w:rStyle w:val="TextoNormalNegritaCaracter"/>
        </w:rPr>
        <w:t>Artículo 20 bis, apartado 1</w:t>
      </w:r>
      <w:r>
        <w:t xml:space="preserve"> (redactado por la Ley 11/2015, de 30 de marzo)</w:t>
      </w:r>
      <w:r w:rsidRPr="00427CF1">
        <w:rPr>
          <w:rStyle w:val="TextoNormalNegritaCaracter"/>
        </w:rPr>
        <w:t>.</w:t>
      </w:r>
      <w:r w:rsidRPr="00427CF1">
        <w:rPr>
          <w:rStyle w:val="TextoNormalCaracter"/>
        </w:rPr>
        <w:t>-</w:t>
      </w:r>
      <w:r>
        <w:t xml:space="preserve"> Sentencia </w:t>
      </w:r>
      <w:hyperlink w:anchor="SENTENCIA_2016_205" w:history="1">
        <w:r w:rsidRPr="00427CF1">
          <w:rPr>
            <w:rStyle w:val="TextoNormalCaracter"/>
          </w:rPr>
          <w:t>205/2016</w:t>
        </w:r>
      </w:hyperlink>
      <w:r>
        <w:t>, ff. 1, 4.</w:t>
      </w:r>
    </w:p>
    <w:p w:rsidR="00427CF1" w:rsidRDefault="00427CF1" w:rsidP="00427CF1">
      <w:pPr>
        <w:pStyle w:val="SangriaFrancesaArticulo"/>
      </w:pPr>
      <w:r w:rsidRPr="00427CF1">
        <w:rPr>
          <w:rStyle w:val="TextoNormalNegritaCaracter"/>
        </w:rPr>
        <w:t>Artículo 20 bis, apartado 2</w:t>
      </w:r>
      <w:r>
        <w:t xml:space="preserve"> (redactado por la Ley 11/2015, de 30 de marzo)</w:t>
      </w:r>
      <w:r w:rsidRPr="00427CF1">
        <w:rPr>
          <w:rStyle w:val="TextoNormalNegritaCaracter"/>
        </w:rPr>
        <w:t>.</w:t>
      </w:r>
      <w:r w:rsidRPr="00427CF1">
        <w:rPr>
          <w:rStyle w:val="TextoNormalCaracter"/>
        </w:rPr>
        <w:t>-</w:t>
      </w:r>
      <w:r>
        <w:t xml:space="preserve"> Sentencia </w:t>
      </w:r>
      <w:hyperlink w:anchor="SENTENCIA_2016_205" w:history="1">
        <w:r w:rsidRPr="00427CF1">
          <w:rPr>
            <w:rStyle w:val="TextoNormalCaracter"/>
          </w:rPr>
          <w:t>205/2016</w:t>
        </w:r>
      </w:hyperlink>
      <w:r>
        <w:t>, f. 1.</w:t>
      </w:r>
    </w:p>
    <w:p w:rsidR="00427CF1" w:rsidRDefault="00427CF1" w:rsidP="00427CF1">
      <w:pPr>
        <w:pStyle w:val="SangriaFrancesaArticulo"/>
      </w:pPr>
      <w:r w:rsidRPr="00427CF1">
        <w:rPr>
          <w:rStyle w:val="TextoNormalNegritaCaracter"/>
        </w:rPr>
        <w:t>Artículo 20 bis, apartado 3</w:t>
      </w:r>
      <w:r>
        <w:t xml:space="preserve"> (redactado por la Ley 11/2015, de 30 de marzo)</w:t>
      </w:r>
      <w:r w:rsidRPr="00427CF1">
        <w:rPr>
          <w:rStyle w:val="TextoNormalNegritaCaracter"/>
        </w:rPr>
        <w:t>.</w:t>
      </w:r>
      <w:r w:rsidRPr="00427CF1">
        <w:rPr>
          <w:rStyle w:val="TextoNormalCaracter"/>
        </w:rPr>
        <w:t>-</w:t>
      </w:r>
      <w:r>
        <w:t xml:space="preserve"> Sentencia </w:t>
      </w:r>
      <w:hyperlink w:anchor="SENTENCIA_2016_205" w:history="1">
        <w:r w:rsidRPr="00427CF1">
          <w:rPr>
            <w:rStyle w:val="TextoNormalCaracter"/>
          </w:rPr>
          <w:t>205/2016</w:t>
        </w:r>
      </w:hyperlink>
      <w:r>
        <w:t>, f. 1.</w:t>
      </w:r>
    </w:p>
    <w:p w:rsidR="00427CF1" w:rsidRDefault="00427CF1" w:rsidP="00427CF1">
      <w:pPr>
        <w:pStyle w:val="SangriaFrancesaArticulo"/>
      </w:pPr>
    </w:p>
    <w:p w:rsidR="00427CF1" w:rsidRDefault="00427CF1" w:rsidP="00427CF1">
      <w:pPr>
        <w:pStyle w:val="TextoNormalNegritaCursivandice"/>
      </w:pPr>
      <w:r>
        <w:t>Ley de la Asamblea Regional de Murcia 6/2011, de 26 de diciembre. Presupuestos generales de la Comunidad Autónoma para el ejercicio 2012</w:t>
      </w:r>
    </w:p>
    <w:p w:rsidR="00427CF1" w:rsidRDefault="00427CF1" w:rsidP="00427CF1">
      <w:pPr>
        <w:pStyle w:val="SangriaFrancesaArticulo"/>
      </w:pPr>
      <w:r w:rsidRPr="00427CF1">
        <w:rPr>
          <w:rStyle w:val="TextoNormalNegritaCaracter"/>
        </w:rPr>
        <w:t>Artículo 22.1.</w:t>
      </w:r>
      <w:r w:rsidRPr="00427CF1">
        <w:rPr>
          <w:rStyle w:val="TextoNormalCaracter"/>
        </w:rPr>
        <w:t>-</w:t>
      </w:r>
      <w:r>
        <w:t xml:space="preserve"> Auto </w:t>
      </w:r>
      <w:hyperlink w:anchor="AUTO_2016_143" w:history="1">
        <w:r w:rsidRPr="00427CF1">
          <w:rPr>
            <w:rStyle w:val="TextoNormalCaracter"/>
          </w:rPr>
          <w:t>143/2016</w:t>
        </w:r>
      </w:hyperlink>
      <w:r>
        <w:t>, f. 2.</w:t>
      </w:r>
    </w:p>
    <w:p w:rsidR="00427CF1" w:rsidRDefault="00427CF1" w:rsidP="00427CF1">
      <w:pPr>
        <w:pStyle w:val="SangriaFrancesaArticulo"/>
      </w:pPr>
      <w:r w:rsidRPr="00427CF1">
        <w:rPr>
          <w:rStyle w:val="TextoNormalNegritaCaracter"/>
        </w:rPr>
        <w:t>Artículo 22.1 f).</w:t>
      </w:r>
      <w:r w:rsidRPr="00427CF1">
        <w:rPr>
          <w:rStyle w:val="TextoNormalCaracter"/>
        </w:rPr>
        <w:t>-</w:t>
      </w:r>
      <w:r>
        <w:t xml:space="preserve"> Sentencia </w:t>
      </w:r>
      <w:hyperlink w:anchor="SENTENCIA_2016_134" w:history="1">
        <w:r w:rsidRPr="00427CF1">
          <w:rPr>
            <w:rStyle w:val="TextoNormalCaracter"/>
          </w:rPr>
          <w:t>134/2016</w:t>
        </w:r>
      </w:hyperlink>
      <w:r>
        <w:t>, f. 3.</w:t>
      </w:r>
    </w:p>
    <w:p w:rsidR="00427CF1" w:rsidRDefault="00427CF1" w:rsidP="00427CF1">
      <w:pPr>
        <w:pStyle w:val="SangriaFrancesaArticulo"/>
      </w:pPr>
    </w:p>
    <w:p w:rsidR="00427CF1" w:rsidRDefault="00427CF1" w:rsidP="00427CF1">
      <w:pPr>
        <w:pStyle w:val="TextoNormalNegritaCursivandice"/>
      </w:pPr>
      <w:r>
        <w:t>Ley de la Asamblea Regional de Murcia 9/2012, de 8 de noviembre. Adaptación de la normativa regional en materia de función pública al Real Decreto-ley 20/2012, de 13 de julio, de medidas para garantizar la estabilidad presupuestaria y de fomento de la competitividad</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34" w:history="1">
        <w:r w:rsidRPr="00427CF1">
          <w:rPr>
            <w:rStyle w:val="TextoNormalCaracter"/>
          </w:rPr>
          <w:t>134/2016</w:t>
        </w:r>
      </w:hyperlink>
      <w:r>
        <w:t>, ff. 1, 2.</w:t>
      </w:r>
    </w:p>
    <w:p w:rsidR="00427CF1" w:rsidRDefault="00427CF1" w:rsidP="00427CF1">
      <w:pPr>
        <w:pStyle w:val="SangriaIzquierdaArticulo"/>
      </w:pPr>
      <w:r>
        <w:t xml:space="preserve">Auto </w:t>
      </w:r>
      <w:hyperlink w:anchor="AUTO_2016_143" w:history="1">
        <w:r w:rsidRPr="00427CF1">
          <w:rPr>
            <w:rStyle w:val="TextoNormalCaracter"/>
          </w:rPr>
          <w:t>143/2016</w:t>
        </w:r>
      </w:hyperlink>
      <w:r>
        <w:t>, ff. 1, 2.</w:t>
      </w:r>
    </w:p>
    <w:p w:rsidR="00427CF1" w:rsidRDefault="00427CF1" w:rsidP="00427CF1">
      <w:pPr>
        <w:pStyle w:val="SangriaIzquierdaArticulo"/>
      </w:pPr>
    </w:p>
    <w:p w:rsidR="00427CF1" w:rsidRDefault="00427CF1" w:rsidP="00427CF1">
      <w:pPr>
        <w:pStyle w:val="TextoNormalNegritaCursivandice"/>
      </w:pPr>
      <w:r>
        <w:t>Ley 13/2014, de 23 de diciembre. Presupuestos Generales de la Comunidad Autónoma de la Región de Murcia para el ejercicio 2015</w:t>
      </w:r>
    </w:p>
    <w:p w:rsidR="00427CF1" w:rsidRDefault="00427CF1" w:rsidP="00427CF1">
      <w:pPr>
        <w:pStyle w:val="SangriaFrancesaArticulo"/>
      </w:pPr>
      <w:r w:rsidRPr="00427CF1">
        <w:rPr>
          <w:rStyle w:val="TextoNormalNegritaCaracter"/>
        </w:rPr>
        <w:t>Disposición adicional vigésima séptima.</w:t>
      </w:r>
      <w:r w:rsidRPr="00427CF1">
        <w:rPr>
          <w:rStyle w:val="TextoNormalCaracter"/>
        </w:rPr>
        <w:t>-</w:t>
      </w:r>
      <w:r>
        <w:t xml:space="preserve"> Sentencia </w:t>
      </w:r>
      <w:hyperlink w:anchor="SENTENCIA_2016_134" w:history="1">
        <w:r w:rsidRPr="00427CF1">
          <w:rPr>
            <w:rStyle w:val="TextoNormalCaracter"/>
          </w:rPr>
          <w:t>134/2016</w:t>
        </w:r>
      </w:hyperlink>
      <w:r>
        <w:t>, f. 3.</w:t>
      </w:r>
    </w:p>
    <w:p w:rsidR="00427CF1" w:rsidRDefault="00427CF1" w:rsidP="00427CF1">
      <w:pPr>
        <w:pStyle w:val="SangriaFrancesaArticulo"/>
      </w:pPr>
    </w:p>
    <w:p w:rsidR="00427CF1" w:rsidRDefault="00427CF1" w:rsidP="00427CF1">
      <w:pPr>
        <w:pStyle w:val="TextoNormalNegritaCursivandice"/>
      </w:pPr>
      <w:r>
        <w:t>Ley 11/2015, de 30 de marzo, de modificación de la Ley 10/2006, de 21 de diciembre. Energías Renovables y Ahorro y Eficiencia Energética de la Región de Murcia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5" w:history="1">
        <w:r w:rsidRPr="00427CF1">
          <w:rPr>
            <w:rStyle w:val="TextoNormalCaracter"/>
          </w:rPr>
          <w:t>205/2016</w:t>
        </w:r>
      </w:hyperlink>
      <w:r>
        <w:t>, f. 3.</w:t>
      </w:r>
    </w:p>
    <w:p w:rsidR="00427CF1" w:rsidRDefault="00427CF1" w:rsidP="00427CF1">
      <w:pPr>
        <w:pStyle w:val="SangriaFrancesaArticulo"/>
      </w:pPr>
      <w:r w:rsidRPr="00427CF1">
        <w:rPr>
          <w:rStyle w:val="TextoNormalNegritaCaracter"/>
        </w:rPr>
        <w:t>Artículo único, apartado 12.</w:t>
      </w:r>
      <w:r w:rsidRPr="00427CF1">
        <w:rPr>
          <w:rStyle w:val="TextoNormalCaracter"/>
        </w:rPr>
        <w:t>-</w:t>
      </w:r>
      <w:r>
        <w:t xml:space="preserve"> Sentencia </w:t>
      </w:r>
      <w:hyperlink w:anchor="SENTENCIA_2016_205" w:history="1">
        <w:r w:rsidRPr="00427CF1">
          <w:rPr>
            <w:rStyle w:val="TextoNormalCaracter"/>
          </w:rPr>
          <w:t>205/2016</w:t>
        </w:r>
      </w:hyperlink>
      <w:r>
        <w:t>, ff. 1, 3, 4.</w:t>
      </w:r>
    </w:p>
    <w:p w:rsidR="00427CF1" w:rsidRDefault="00427CF1" w:rsidP="00427CF1">
      <w:pPr>
        <w:pStyle w:val="SangriaFrancesaArticulo"/>
      </w:pPr>
    </w:p>
    <w:p w:rsidR="00427CF1" w:rsidRDefault="00427CF1" w:rsidP="00427CF1">
      <w:pPr>
        <w:pStyle w:val="TextoNormalNegritaCursivandice"/>
      </w:pPr>
      <w:r>
        <w:t>Ley de la Asamblea Regional de Murcia 1/2016, de 5 de febrero. Presupuestos generales de la Comunidad Autónoma de la Región de Murcia para el ejercicio 2016</w:t>
      </w:r>
    </w:p>
    <w:p w:rsidR="00427CF1" w:rsidRDefault="00427CF1" w:rsidP="00427CF1">
      <w:pPr>
        <w:pStyle w:val="SangriaFrancesaArticulo"/>
      </w:pPr>
      <w:r w:rsidRPr="00427CF1">
        <w:rPr>
          <w:rStyle w:val="TextoNormalNegritaCaracter"/>
        </w:rPr>
        <w:t>Disposición adicional vigésima cuarta.</w:t>
      </w:r>
      <w:r w:rsidRPr="00427CF1">
        <w:rPr>
          <w:rStyle w:val="TextoNormalCaracter"/>
        </w:rPr>
        <w:t>-</w:t>
      </w:r>
      <w:r>
        <w:t xml:space="preserve"> Sentencia </w:t>
      </w:r>
      <w:hyperlink w:anchor="SENTENCIA_2016_134" w:history="1">
        <w:r w:rsidRPr="00427CF1">
          <w:rPr>
            <w:rStyle w:val="TextoNormalCaracter"/>
          </w:rPr>
          <w:t>134/2016</w:t>
        </w:r>
      </w:hyperlink>
      <w:r>
        <w:t>, f. 3.</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J.15) Navarra</w:t>
      </w:r>
    </w:p>
    <w:p w:rsidR="00427CF1" w:rsidRDefault="00427CF1" w:rsidP="00427CF1">
      <w:pPr>
        <w:pStyle w:val="TextoNormal"/>
      </w:pPr>
    </w:p>
    <w:p w:rsidR="00427CF1" w:rsidRDefault="00427CF1" w:rsidP="00427CF1">
      <w:pPr>
        <w:pStyle w:val="TextoNormalNegritaCentradoSubrayado"/>
        <w:suppressAutoHyphens/>
      </w:pPr>
      <w:r>
        <w:t>J.15.a) Estatuto de Autonomía</w:t>
      </w:r>
    </w:p>
    <w:p w:rsidR="00427CF1" w:rsidRDefault="00427CF1" w:rsidP="00427CF1">
      <w:pPr>
        <w:pStyle w:val="TextoNormalNegritaCentradoSubrayado"/>
      </w:pPr>
    </w:p>
    <w:p w:rsidR="00427CF1" w:rsidRDefault="00427CF1" w:rsidP="00427CF1">
      <w:pPr>
        <w:pStyle w:val="TextoNormalNegritaCursivandice"/>
      </w:pPr>
      <w:r>
        <w:t>Ley Orgánica 13/1982, de 10 de agosto. Reintegración y amejoramiento del régimen foral de Navarra</w:t>
      </w:r>
    </w:p>
    <w:p w:rsidR="00427CF1" w:rsidRDefault="00427CF1" w:rsidP="00427CF1">
      <w:pPr>
        <w:pStyle w:val="SangriaFrancesaArticulo"/>
      </w:pPr>
      <w:r w:rsidRPr="00427CF1">
        <w:rPr>
          <w:rStyle w:val="TextoNormalNegritaCaracter"/>
        </w:rPr>
        <w:t>Artículo 45.</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r w:rsidRPr="00427CF1">
        <w:rPr>
          <w:rStyle w:val="TextoNormalNegritaCaracter"/>
        </w:rPr>
        <w:t>Artículo 46.</w:t>
      </w:r>
      <w:r w:rsidRPr="00427CF1">
        <w:rPr>
          <w:rStyle w:val="TextoNormalCaracter"/>
        </w:rPr>
        <w:t>-</w:t>
      </w:r>
      <w:r>
        <w:t xml:space="preserve"> Sentencia </w:t>
      </w:r>
      <w:hyperlink w:anchor="SENTENCIA_2016_180" w:history="1">
        <w:r w:rsidRPr="00427CF1">
          <w:rPr>
            <w:rStyle w:val="TextoNormalCaracter"/>
          </w:rPr>
          <w:t>180/2016</w:t>
        </w:r>
      </w:hyperlink>
      <w:r>
        <w:t>, ff. 1, 3 a 5.</w:t>
      </w:r>
    </w:p>
    <w:p w:rsidR="00427CF1" w:rsidRDefault="00427CF1" w:rsidP="00427CF1">
      <w:pPr>
        <w:pStyle w:val="SangriaFrancesaArticulo"/>
      </w:pPr>
      <w:r w:rsidRPr="00427CF1">
        <w:rPr>
          <w:rStyle w:val="TextoNormalNegritaCaracter"/>
        </w:rPr>
        <w:t>Artículo 46.1.</w:t>
      </w:r>
      <w:r w:rsidRPr="00427CF1">
        <w:rPr>
          <w:rStyle w:val="TextoNormalCaracter"/>
        </w:rPr>
        <w:t>-</w:t>
      </w:r>
      <w:r>
        <w:t xml:space="preserve"> Sentencia </w:t>
      </w:r>
      <w:hyperlink w:anchor="SENTENCIA_2016_180" w:history="1">
        <w:r w:rsidRPr="00427CF1">
          <w:rPr>
            <w:rStyle w:val="TextoNormalCaracter"/>
          </w:rPr>
          <w:t>180/2016</w:t>
        </w:r>
      </w:hyperlink>
      <w:r>
        <w:t>, f. 4.</w:t>
      </w:r>
    </w:p>
    <w:p w:rsidR="00427CF1" w:rsidRDefault="00427CF1" w:rsidP="00427CF1">
      <w:pPr>
        <w:pStyle w:val="SangriaFrancesaArticulo"/>
      </w:pPr>
      <w:r w:rsidRPr="00427CF1">
        <w:rPr>
          <w:rStyle w:val="TextoNormalNegritaCaracter"/>
        </w:rPr>
        <w:t>Artículo 46.1 a).</w:t>
      </w:r>
      <w:r w:rsidRPr="00427CF1">
        <w:rPr>
          <w:rStyle w:val="TextoNormalCaracter"/>
        </w:rPr>
        <w:t>-</w:t>
      </w:r>
      <w:r>
        <w:t xml:space="preserve"> Sentencia </w:t>
      </w:r>
      <w:hyperlink w:anchor="SENTENCIA_2016_180" w:history="1">
        <w:r w:rsidRPr="00427CF1">
          <w:rPr>
            <w:rStyle w:val="TextoNormalCaracter"/>
          </w:rPr>
          <w:t>180/2016</w:t>
        </w:r>
      </w:hyperlink>
      <w:r>
        <w:t>, f. 5.</w:t>
      </w:r>
    </w:p>
    <w:p w:rsidR="00427CF1" w:rsidRDefault="00427CF1" w:rsidP="00427CF1">
      <w:pPr>
        <w:pStyle w:val="SangriaFrancesaArticulo"/>
      </w:pPr>
      <w:r w:rsidRPr="00427CF1">
        <w:rPr>
          <w:rStyle w:val="TextoNormalNegritaCaracter"/>
        </w:rPr>
        <w:t>Artículo 46.1 b).</w:t>
      </w:r>
      <w:r w:rsidRPr="00427CF1">
        <w:rPr>
          <w:rStyle w:val="TextoNormalCaracter"/>
        </w:rPr>
        <w:t>-</w:t>
      </w:r>
      <w:r>
        <w:t xml:space="preserve"> Sentencia </w:t>
      </w:r>
      <w:hyperlink w:anchor="SENTENCIA_2016_180" w:history="1">
        <w:r w:rsidRPr="00427CF1">
          <w:rPr>
            <w:rStyle w:val="TextoNormalCaracter"/>
          </w:rPr>
          <w:t>180/2016</w:t>
        </w:r>
      </w:hyperlink>
      <w:r>
        <w:t>, f. 5.</w:t>
      </w:r>
    </w:p>
    <w:p w:rsidR="00427CF1" w:rsidRDefault="00427CF1" w:rsidP="00427CF1">
      <w:pPr>
        <w:pStyle w:val="SangriaFrancesaArticulo"/>
      </w:pPr>
      <w:r w:rsidRPr="00427CF1">
        <w:rPr>
          <w:rStyle w:val="TextoNormalNegritaCaracter"/>
        </w:rPr>
        <w:t>Artículo 46.2.</w:t>
      </w:r>
      <w:r w:rsidRPr="00427CF1">
        <w:rPr>
          <w:rStyle w:val="TextoNormalCaracter"/>
        </w:rPr>
        <w:t>-</w:t>
      </w:r>
      <w:r>
        <w:t xml:space="preserve"> Sentencia </w:t>
      </w:r>
      <w:hyperlink w:anchor="SENTENCIA_2016_180" w:history="1">
        <w:r w:rsidRPr="00427CF1">
          <w:rPr>
            <w:rStyle w:val="TextoNormalCaracter"/>
          </w:rPr>
          <w:t>180/2016</w:t>
        </w:r>
      </w:hyperlink>
      <w:r>
        <w:t>, f. 5.</w:t>
      </w:r>
    </w:p>
    <w:p w:rsidR="00427CF1" w:rsidRDefault="00427CF1" w:rsidP="00427CF1">
      <w:pPr>
        <w:pStyle w:val="SangriaFrancesaArticulo"/>
      </w:pPr>
      <w:r w:rsidRPr="00427CF1">
        <w:rPr>
          <w:rStyle w:val="TextoNormalNegritaCaracter"/>
        </w:rPr>
        <w:t>Artículo 53.</w:t>
      </w:r>
      <w:r w:rsidRPr="00427CF1">
        <w:rPr>
          <w:rStyle w:val="TextoNormalCaracter"/>
        </w:rPr>
        <w:t>-</w:t>
      </w:r>
      <w:r>
        <w:t xml:space="preserve"> Sentencia </w:t>
      </w:r>
      <w:hyperlink w:anchor="SENTENCIA_2016_139" w:history="1">
        <w:r w:rsidRPr="00427CF1">
          <w:rPr>
            <w:rStyle w:val="TextoNormalCaracter"/>
          </w:rPr>
          <w:t>139/2016</w:t>
        </w:r>
      </w:hyperlink>
      <w:r>
        <w:t>, f. 12.</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Sentencia </w:t>
      </w:r>
      <w:hyperlink w:anchor="SENTENCIA_2016_139" w:history="1">
        <w:r w:rsidRPr="00427CF1">
          <w:rPr>
            <w:rStyle w:val="TextoNormalCaracter"/>
          </w:rPr>
          <w:t>139/2016</w:t>
        </w:r>
      </w:hyperlink>
      <w:r>
        <w:t>, f. 12.</w:t>
      </w:r>
    </w:p>
    <w:p w:rsidR="00427CF1" w:rsidRDefault="00427CF1" w:rsidP="00427CF1">
      <w:pPr>
        <w:pStyle w:val="TextoNormal"/>
      </w:pPr>
    </w:p>
    <w:p w:rsidR="00427CF1" w:rsidRDefault="00427CF1" w:rsidP="00427CF1">
      <w:pPr>
        <w:pStyle w:val="TextoNormalNegritaCentradoSubrayado"/>
        <w:suppressAutoHyphens/>
      </w:pPr>
      <w:r>
        <w:t>J.15.b)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Foral 6/1990, de 2 julio. Administración local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80" w:history="1">
        <w:r w:rsidRPr="00427CF1">
          <w:rPr>
            <w:rStyle w:val="TextoNormalCaracter"/>
          </w:rPr>
          <w:t>180/2016</w:t>
        </w:r>
      </w:hyperlink>
      <w:r>
        <w:t>, ff. 4, 5.</w:t>
      </w:r>
    </w:p>
    <w:p w:rsidR="00427CF1" w:rsidRDefault="00427CF1" w:rsidP="00427CF1">
      <w:pPr>
        <w:pStyle w:val="SangriaFrancesaArticulo"/>
      </w:pPr>
      <w:r w:rsidRPr="00427CF1">
        <w:rPr>
          <w:rStyle w:val="TextoNormalNegritaCaracter"/>
        </w:rPr>
        <w:t>Artículos 18 a 44.</w:t>
      </w:r>
      <w:r w:rsidRPr="00427CF1">
        <w:rPr>
          <w:rStyle w:val="TextoNormalCaracter"/>
        </w:rPr>
        <w:t>-</w:t>
      </w:r>
      <w:r>
        <w:t xml:space="preserve"> Sentencia </w:t>
      </w:r>
      <w:hyperlink w:anchor="SENTENCIA_2016_180" w:history="1">
        <w:r w:rsidRPr="00427CF1">
          <w:rPr>
            <w:rStyle w:val="TextoNormalCaracter"/>
          </w:rPr>
          <w:t>180/2016</w:t>
        </w:r>
      </w:hyperlink>
      <w:r>
        <w:t>, f. 5.</w:t>
      </w:r>
    </w:p>
    <w:p w:rsidR="00427CF1" w:rsidRDefault="00427CF1" w:rsidP="00427CF1">
      <w:pPr>
        <w:pStyle w:val="SangriaFrancesaArticulo"/>
      </w:pPr>
    </w:p>
    <w:p w:rsidR="00427CF1" w:rsidRDefault="00427CF1" w:rsidP="00427CF1">
      <w:pPr>
        <w:pStyle w:val="TextoNormalNegritaCursivandice"/>
      </w:pPr>
      <w:r>
        <w:t>Ley Foral del Parlamento de Navarra 7/1994, de 31 de mayo.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Foral 17/2001, de 12 de julio. Regulación del comercio en Navarra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11" w:history="1">
        <w:r w:rsidRPr="00427CF1">
          <w:rPr>
            <w:rStyle w:val="TextoNormalCaracter"/>
          </w:rPr>
          <w:t>211/2016</w:t>
        </w:r>
      </w:hyperlink>
      <w:r>
        <w:t>, f. 9.</w:t>
      </w:r>
    </w:p>
    <w:p w:rsidR="00427CF1" w:rsidRDefault="00427CF1" w:rsidP="00427CF1">
      <w:pPr>
        <w:pStyle w:val="SangriaFrancesaArticulo"/>
      </w:pPr>
    </w:p>
    <w:p w:rsidR="00427CF1" w:rsidRDefault="00427CF1" w:rsidP="00427CF1">
      <w:pPr>
        <w:pStyle w:val="TextoNormalNegritaCursivandice"/>
      </w:pPr>
      <w:r>
        <w:t>Ley Foral del Parlamento de Navarra 10/2010, de 10 de mayo. Derecho a la vivienda en Navarra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VP; </w:t>
      </w:r>
      <w:hyperlink w:anchor="AUTO_2016_160" w:history="1">
        <w:r w:rsidRPr="00427CF1">
          <w:rPr>
            <w:rStyle w:val="TextoNormalCaracter"/>
          </w:rPr>
          <w:t>160/2016</w:t>
        </w:r>
      </w:hyperlink>
      <w:r>
        <w:t>, VP.</w:t>
      </w:r>
    </w:p>
    <w:p w:rsidR="00427CF1" w:rsidRDefault="00427CF1" w:rsidP="00427CF1">
      <w:pPr>
        <w:pStyle w:val="SangriaFrancesaArticulo"/>
      </w:pPr>
    </w:p>
    <w:p w:rsidR="00427CF1" w:rsidRDefault="00427CF1" w:rsidP="00427CF1">
      <w:pPr>
        <w:pStyle w:val="TextoNormalNegritaCursivandice"/>
      </w:pPr>
      <w:r>
        <w:t>Ley Foral 10/2012, de 15 de junio. Introduce diversas medidas tributarias dirigidas a incrementar los ingresos públicos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13.</w:t>
      </w:r>
    </w:p>
    <w:p w:rsidR="00427CF1" w:rsidRDefault="00427CF1" w:rsidP="00427CF1">
      <w:pPr>
        <w:pStyle w:val="SangriaFrancesaArticulo"/>
      </w:pPr>
    </w:p>
    <w:p w:rsidR="00427CF1" w:rsidRDefault="00427CF1" w:rsidP="00427CF1">
      <w:pPr>
        <w:pStyle w:val="TextoNormalNegritaCursivandice"/>
      </w:pPr>
      <w:r>
        <w:t>Ley Foral del Parlamento de Navarra 24/2013, de 2 de julio. Medidas urgentes para garantizar el derecho a la vivienda en Navarra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 1; </w:t>
      </w:r>
      <w:hyperlink w:anchor="AUTO_2016_160" w:history="1">
        <w:r w:rsidRPr="00427CF1">
          <w:rPr>
            <w:rStyle w:val="TextoNormalCaracter"/>
          </w:rPr>
          <w:t>160/2016</w:t>
        </w:r>
      </w:hyperlink>
      <w:r>
        <w:t>, f. 1.</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J.16) País Vasco</w:t>
      </w:r>
    </w:p>
    <w:p w:rsidR="00427CF1" w:rsidRDefault="00427CF1" w:rsidP="00427CF1">
      <w:pPr>
        <w:pStyle w:val="TextoNormal"/>
      </w:pPr>
    </w:p>
    <w:p w:rsidR="00427CF1" w:rsidRDefault="00427CF1" w:rsidP="00427CF1">
      <w:pPr>
        <w:pStyle w:val="TextoNormalNegritaCentradoSubrayado"/>
        <w:suppressAutoHyphens/>
      </w:pPr>
      <w:r>
        <w:t>J.16.a) Estatuto de Autonomía</w:t>
      </w:r>
    </w:p>
    <w:p w:rsidR="00427CF1" w:rsidRDefault="00427CF1" w:rsidP="00427CF1">
      <w:pPr>
        <w:pStyle w:val="TextoNormalNegritaCentradoSubrayado"/>
      </w:pPr>
    </w:p>
    <w:p w:rsidR="00427CF1" w:rsidRDefault="00427CF1" w:rsidP="00427CF1">
      <w:pPr>
        <w:pStyle w:val="TextoNormalNegritaCursivandice"/>
      </w:pPr>
      <w:r>
        <w:t>Ley Orgánica 3/1979, de 18 de diciembre. Estatuto de Autonomía del País Vasco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194" w:history="1">
        <w:r w:rsidRPr="00427CF1">
          <w:rPr>
            <w:rStyle w:val="TextoNormalCaracter"/>
          </w:rPr>
          <w:t>194/2016</w:t>
        </w:r>
      </w:hyperlink>
      <w:r>
        <w:t>, f. 3.</w:t>
      </w:r>
    </w:p>
    <w:p w:rsidR="00427CF1" w:rsidRDefault="00427CF1" w:rsidP="00427CF1">
      <w:pPr>
        <w:pStyle w:val="SangriaFrancesaArticulo"/>
      </w:pPr>
      <w:r w:rsidRPr="00427CF1">
        <w:rPr>
          <w:rStyle w:val="TextoNormalNegritaCaracter"/>
        </w:rPr>
        <w:t>Artículo 10.4.</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Artículo 10.9.</w:t>
      </w:r>
      <w:r w:rsidRPr="00427CF1">
        <w:rPr>
          <w:rStyle w:val="TextoNormalCaracter"/>
        </w:rPr>
        <w:t>-</w:t>
      </w:r>
      <w:r>
        <w:t xml:space="preserve"> Sentencia </w:t>
      </w:r>
      <w:hyperlink w:anchor="SENTENCIA_2016_186" w:history="1">
        <w:r w:rsidRPr="00427CF1">
          <w:rPr>
            <w:rStyle w:val="TextoNormalCaracter"/>
          </w:rPr>
          <w:t>186/2016</w:t>
        </w:r>
      </w:hyperlink>
      <w:r>
        <w:t>, f. 1.</w:t>
      </w:r>
    </w:p>
    <w:p w:rsidR="00427CF1" w:rsidRDefault="00427CF1" w:rsidP="00427CF1">
      <w:pPr>
        <w:pStyle w:val="SangriaFrancesaArticulo"/>
      </w:pPr>
      <w:r w:rsidRPr="00427CF1">
        <w:rPr>
          <w:rStyle w:val="TextoNormalNegritaCaracter"/>
        </w:rPr>
        <w:t>Artículo 10.11.</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Artículo 10.27.</w:t>
      </w:r>
      <w:r w:rsidRPr="00427CF1">
        <w:rPr>
          <w:rStyle w:val="TextoNormalCaracter"/>
        </w:rPr>
        <w:t>-</w:t>
      </w:r>
      <w:r>
        <w:t xml:space="preserve"> Sentencia </w:t>
      </w:r>
      <w:hyperlink w:anchor="SENTENCIA_2016_214" w:history="1">
        <w:r w:rsidRPr="00427CF1">
          <w:rPr>
            <w:rStyle w:val="TextoNormalCaracter"/>
          </w:rPr>
          <w:t>214/2016</w:t>
        </w:r>
      </w:hyperlink>
      <w:r>
        <w:t>, ff. 1, 3.</w:t>
      </w:r>
    </w:p>
    <w:p w:rsidR="00427CF1" w:rsidRDefault="00427CF1" w:rsidP="00427CF1">
      <w:pPr>
        <w:pStyle w:val="SangriaFrancesaArticulo"/>
      </w:pPr>
      <w:r w:rsidRPr="00427CF1">
        <w:rPr>
          <w:rStyle w:val="TextoNormalNegritaCaracter"/>
        </w:rPr>
        <w:t>Artículo 10.31.</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Artículo 10.37.</w:t>
      </w:r>
      <w:r w:rsidRPr="00427CF1">
        <w:rPr>
          <w:rStyle w:val="TextoNormalCaracter"/>
        </w:rPr>
        <w:t>-</w:t>
      </w:r>
      <w:r>
        <w:t xml:space="preserve"> Sentencia </w:t>
      </w:r>
      <w:hyperlink w:anchor="SENTENCIA_2016_214" w:history="1">
        <w:r w:rsidRPr="00427CF1">
          <w:rPr>
            <w:rStyle w:val="TextoNormalCaracter"/>
          </w:rPr>
          <w:t>214/2016</w:t>
        </w:r>
      </w:hyperlink>
      <w:r>
        <w:t>, ff. 1, 3.</w:t>
      </w:r>
    </w:p>
    <w:p w:rsidR="00427CF1" w:rsidRDefault="00427CF1" w:rsidP="00427CF1">
      <w:pPr>
        <w:pStyle w:val="SangriaFrancesaArticulo"/>
      </w:pPr>
      <w:r w:rsidRPr="00427CF1">
        <w:rPr>
          <w:rStyle w:val="TextoNormalNegritaCaracter"/>
        </w:rPr>
        <w:t>Artículo 11.1 a).</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Artículo 12.2.</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186" w:history="1">
        <w:r w:rsidRPr="00427CF1">
          <w:rPr>
            <w:rStyle w:val="TextoNormalCaracter"/>
          </w:rPr>
          <w:t>186/2016</w:t>
        </w:r>
      </w:hyperlink>
      <w:r>
        <w:t>, f. 3.</w:t>
      </w:r>
    </w:p>
    <w:p w:rsidR="00427CF1" w:rsidRDefault="00427CF1" w:rsidP="00427CF1">
      <w:pPr>
        <w:pStyle w:val="SangriaFrancesaArticulo"/>
      </w:pPr>
      <w:r w:rsidRPr="00427CF1">
        <w:rPr>
          <w:rStyle w:val="TextoNormalNegritaCaracter"/>
        </w:rPr>
        <w:t>Artículo 25.2.</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26.2.</w:t>
      </w:r>
      <w:r w:rsidRPr="00427CF1">
        <w:rPr>
          <w:rStyle w:val="TextoNormalCaracter"/>
        </w:rPr>
        <w:t>-</w:t>
      </w:r>
      <w:r>
        <w:t xml:space="preserve"> Sentencia </w:t>
      </w:r>
      <w:hyperlink w:anchor="SENTENCIA_2016_185" w:history="1">
        <w:r w:rsidRPr="00427CF1">
          <w:rPr>
            <w:rStyle w:val="TextoNormalCaracter"/>
          </w:rPr>
          <w:t>185/2016</w:t>
        </w:r>
      </w:hyperlink>
      <w:r>
        <w:t>, ff. 1, 11.</w:t>
      </w:r>
    </w:p>
    <w:p w:rsidR="00427CF1" w:rsidRDefault="00427CF1" w:rsidP="00427CF1">
      <w:pPr>
        <w:pStyle w:val="SangriaFrancesaArticulo"/>
      </w:pPr>
      <w:r w:rsidRPr="00427CF1">
        <w:rPr>
          <w:rStyle w:val="TextoNormalNegritaCaracter"/>
        </w:rPr>
        <w:t>Artículo 27.</w:t>
      </w:r>
      <w:r w:rsidRPr="00427CF1">
        <w:rPr>
          <w:rStyle w:val="TextoNormalCaracter"/>
        </w:rPr>
        <w:t>-</w:t>
      </w:r>
      <w:r>
        <w:t xml:space="preserve"> Sentencia </w:t>
      </w:r>
      <w:hyperlink w:anchor="SENTENCIA_2016_185" w:history="1">
        <w:r w:rsidRPr="00427CF1">
          <w:rPr>
            <w:rStyle w:val="TextoNormalCaracter"/>
          </w:rPr>
          <w:t>185/2016</w:t>
        </w:r>
      </w:hyperlink>
      <w:r>
        <w:t>, VP II.</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Sentencia </w:t>
      </w:r>
      <w:hyperlink w:anchor="SENTENCIA_2016_185" w:history="1">
        <w:r w:rsidRPr="00427CF1">
          <w:rPr>
            <w:rStyle w:val="TextoNormalCaracter"/>
          </w:rPr>
          <w:t>185/2016</w:t>
        </w:r>
      </w:hyperlink>
      <w:r>
        <w:t>, ff. 1, 11.</w:t>
      </w:r>
    </w:p>
    <w:p w:rsidR="00427CF1" w:rsidRDefault="00427CF1" w:rsidP="00427CF1">
      <w:pPr>
        <w:pStyle w:val="SangriaFrancesaArticulo"/>
      </w:pPr>
      <w:r w:rsidRPr="00427CF1">
        <w:rPr>
          <w:rStyle w:val="TextoNormalNegritaCaracter"/>
        </w:rPr>
        <w:t>Artículo 38.3.</w:t>
      </w:r>
      <w:r w:rsidRPr="00427CF1">
        <w:rPr>
          <w:rStyle w:val="TextoNormalCaracter"/>
        </w:rPr>
        <w:t>-</w:t>
      </w:r>
      <w:r>
        <w:t xml:space="preserve"> Sentencia </w:t>
      </w:r>
      <w:hyperlink w:anchor="SENTENCIA_2016_203" w:history="1">
        <w:r w:rsidRPr="00427CF1">
          <w:rPr>
            <w:rStyle w:val="TextoNormalCaracter"/>
          </w:rPr>
          <w:t>203/2016</w:t>
        </w:r>
      </w:hyperlink>
      <w:r>
        <w:t>, f. 2.</w:t>
      </w:r>
    </w:p>
    <w:p w:rsidR="00427CF1" w:rsidRDefault="00427CF1" w:rsidP="00427CF1">
      <w:pPr>
        <w:pStyle w:val="SangriaFrancesaArticulo"/>
      </w:pPr>
      <w:r w:rsidRPr="00427CF1">
        <w:rPr>
          <w:rStyle w:val="TextoNormalNegritaCaracter"/>
        </w:rPr>
        <w:t>Artículo 41.2 a).</w:t>
      </w:r>
      <w:r w:rsidRPr="00427CF1">
        <w:rPr>
          <w:rStyle w:val="TextoNormalCaracter"/>
        </w:rPr>
        <w:t>-</w:t>
      </w:r>
      <w:r>
        <w:t xml:space="preserve"> Sentencia </w:t>
      </w:r>
      <w:hyperlink w:anchor="SENTENCIA_2016_203" w:history="1">
        <w:r w:rsidRPr="00427CF1">
          <w:rPr>
            <w:rStyle w:val="TextoNormalCaracter"/>
          </w:rPr>
          <w:t>203/2016</w:t>
        </w:r>
      </w:hyperlink>
      <w:r>
        <w:t>, ff. 2, 4, 5.</w:t>
      </w:r>
    </w:p>
    <w:p w:rsidR="00427CF1" w:rsidRDefault="00427CF1" w:rsidP="00427CF1">
      <w:pPr>
        <w:pStyle w:val="SangriaFrancesaArticulo"/>
      </w:pPr>
      <w:r w:rsidRPr="00427CF1">
        <w:rPr>
          <w:rStyle w:val="TextoNormalNegritaCaracter"/>
        </w:rPr>
        <w:t>Artículo 41.2 c).</w:t>
      </w:r>
      <w:r w:rsidRPr="00427CF1">
        <w:rPr>
          <w:rStyle w:val="TextoNormalCaracter"/>
        </w:rPr>
        <w:t>-</w:t>
      </w:r>
      <w:r>
        <w:t xml:space="preserve"> Sentencia </w:t>
      </w:r>
      <w:hyperlink w:anchor="SENTENCIA_2016_203" w:history="1">
        <w:r w:rsidRPr="00427CF1">
          <w:rPr>
            <w:rStyle w:val="TextoNormalCaracter"/>
          </w:rPr>
          <w:t>203/2016</w:t>
        </w:r>
      </w:hyperlink>
      <w:r>
        <w:t>, f. 4.</w:t>
      </w:r>
    </w:p>
    <w:p w:rsidR="00427CF1" w:rsidRDefault="00427CF1" w:rsidP="00427CF1">
      <w:pPr>
        <w:pStyle w:val="SangriaFrancesaArticulo"/>
      </w:pPr>
      <w:r w:rsidRPr="00427CF1">
        <w:rPr>
          <w:rStyle w:val="TextoNormalNegritaCaracter"/>
        </w:rPr>
        <w:t>Artículo 44.</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TextoNormal"/>
      </w:pPr>
    </w:p>
    <w:p w:rsidR="00427CF1" w:rsidRDefault="00427CF1" w:rsidP="00427CF1">
      <w:pPr>
        <w:pStyle w:val="TextoNormalNegritaCentradoSubrayado"/>
        <w:suppressAutoHyphens/>
      </w:pPr>
      <w:r>
        <w:t>J.16.b)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del Parlamento Vasco 6/1989, de 6 de julio. Función pública vasca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4" w:history="1">
        <w:r w:rsidRPr="00427CF1">
          <w:rPr>
            <w:rStyle w:val="TextoNormalCaracter"/>
          </w:rPr>
          <w:t>204/2016</w:t>
        </w:r>
      </w:hyperlink>
      <w:r>
        <w:t>, VP II.</w:t>
      </w:r>
    </w:p>
    <w:p w:rsidR="00427CF1" w:rsidRDefault="00427CF1" w:rsidP="00427CF1">
      <w:pPr>
        <w:pStyle w:val="SangriaFrancesaArticulo"/>
      </w:pPr>
      <w:r w:rsidRPr="00427CF1">
        <w:rPr>
          <w:rStyle w:val="TextoNormalNegritaCaracter"/>
        </w:rPr>
        <w:t>Artículo 77.</w:t>
      </w:r>
      <w:r w:rsidRPr="00427CF1">
        <w:rPr>
          <w:rStyle w:val="TextoNormalCaracter"/>
        </w:rPr>
        <w:t>-</w:t>
      </w:r>
      <w:r>
        <w:t xml:space="preserve"> Sentencia </w:t>
      </w:r>
      <w:hyperlink w:anchor="SENTENCIA_2016_178" w:history="1">
        <w:r w:rsidRPr="00427CF1">
          <w:rPr>
            <w:rStyle w:val="TextoNormalCaracter"/>
          </w:rPr>
          <w:t>178/2016</w:t>
        </w:r>
      </w:hyperlink>
      <w:r>
        <w:t>, f. 1.</w:t>
      </w:r>
    </w:p>
    <w:p w:rsidR="00427CF1" w:rsidRDefault="00427CF1" w:rsidP="00427CF1">
      <w:pPr>
        <w:pStyle w:val="SangriaFrancesaArticulo"/>
      </w:pPr>
      <w:r w:rsidRPr="00427CF1">
        <w:rPr>
          <w:rStyle w:val="TextoNormalNegritaCaracter"/>
        </w:rPr>
        <w:t>Artículo 89.2.</w:t>
      </w:r>
      <w:r w:rsidRPr="00427CF1">
        <w:rPr>
          <w:rStyle w:val="TextoNormalCaracter"/>
        </w:rPr>
        <w:t>-</w:t>
      </w:r>
      <w:r>
        <w:t xml:space="preserve"> Sentencia </w:t>
      </w:r>
      <w:hyperlink w:anchor="SENTENCIA_2016_204" w:history="1">
        <w:r w:rsidRPr="00427CF1">
          <w:rPr>
            <w:rStyle w:val="TextoNormalCaracter"/>
          </w:rPr>
          <w:t>204/2016</w:t>
        </w:r>
      </w:hyperlink>
      <w:r>
        <w:t>, ff. 1, 2, VP I, VP II.</w:t>
      </w:r>
    </w:p>
    <w:p w:rsidR="00427CF1" w:rsidRDefault="00427CF1" w:rsidP="00427CF1">
      <w:pPr>
        <w:pStyle w:val="SangriaFrancesaArticulo"/>
      </w:pPr>
    </w:p>
    <w:p w:rsidR="00427CF1" w:rsidRDefault="00427CF1" w:rsidP="00427CF1">
      <w:pPr>
        <w:pStyle w:val="TextoNormalNegritaCursivandice"/>
      </w:pPr>
      <w:r>
        <w:t>Ley del Parlamento Vasco 5/1990, de 15 de junio. Elecciones al Parlamento Vasco</w:t>
      </w:r>
    </w:p>
    <w:p w:rsidR="00427CF1" w:rsidRDefault="00427CF1" w:rsidP="00427CF1">
      <w:pPr>
        <w:pStyle w:val="SangriaFrancesaArticulo"/>
      </w:pPr>
      <w:r w:rsidRPr="00427CF1">
        <w:rPr>
          <w:rStyle w:val="TextoNormalNegritaCaracter"/>
        </w:rPr>
        <w:t>Artículo 4.7 b).</w:t>
      </w:r>
      <w:r w:rsidRPr="00427CF1">
        <w:rPr>
          <w:rStyle w:val="TextoNormalCaracter"/>
        </w:rPr>
        <w:t>-</w:t>
      </w:r>
      <w:r>
        <w:t xml:space="preserve"> Auto </w:t>
      </w:r>
      <w:hyperlink w:anchor="AUTO_2016_150" w:history="1">
        <w:r w:rsidRPr="00427CF1">
          <w:rPr>
            <w:rStyle w:val="TextoNormalCaracter"/>
          </w:rPr>
          <w:t>150/2016</w:t>
        </w:r>
      </w:hyperlink>
      <w:r>
        <w:t>, f. 1.</w:t>
      </w:r>
    </w:p>
    <w:p w:rsidR="00427CF1" w:rsidRDefault="00427CF1" w:rsidP="00427CF1">
      <w:pPr>
        <w:pStyle w:val="SangriaFrancesaArticulo"/>
      </w:pPr>
    </w:p>
    <w:p w:rsidR="00427CF1" w:rsidRDefault="00427CF1" w:rsidP="00427CF1">
      <w:pPr>
        <w:pStyle w:val="TextoNormalNegritaCursivandice"/>
      </w:pPr>
      <w:r>
        <w:t>Ley del Parlamento Vasco 6/1993, de 29 de octubre. Protección de los animales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Ley del Parlamento Vasco 1/2006, de 23 de junio.  Aguas</w:t>
      </w:r>
    </w:p>
    <w:p w:rsidR="00427CF1" w:rsidRDefault="00427CF1" w:rsidP="00427CF1">
      <w:pPr>
        <w:pStyle w:val="SangriaFrancesaArticulo"/>
      </w:pPr>
      <w:r w:rsidRPr="00427CF1">
        <w:rPr>
          <w:rStyle w:val="TextoNormalNegritaCaracter"/>
        </w:rPr>
        <w:t>Artículo 48.3.</w:t>
      </w:r>
      <w:r w:rsidRPr="00427CF1">
        <w:rPr>
          <w:rStyle w:val="TextoNormalCaracter"/>
        </w:rPr>
        <w:t>-</w:t>
      </w:r>
      <w:r>
        <w:t xml:space="preserve"> Sentencia </w:t>
      </w:r>
      <w:hyperlink w:anchor="SENTENCIA_2016_152" w:history="1">
        <w:r w:rsidRPr="00427CF1">
          <w:rPr>
            <w:rStyle w:val="TextoNormalCaracter"/>
          </w:rPr>
          <w:t>152/2016</w:t>
        </w:r>
      </w:hyperlink>
      <w:r>
        <w:t>, f. 9.</w:t>
      </w:r>
    </w:p>
    <w:p w:rsidR="00427CF1" w:rsidRDefault="00427CF1" w:rsidP="00427CF1">
      <w:pPr>
        <w:pStyle w:val="SangriaFrancesaArticulo"/>
      </w:pPr>
    </w:p>
    <w:p w:rsidR="00427CF1" w:rsidRDefault="00427CF1" w:rsidP="00427CF1">
      <w:pPr>
        <w:pStyle w:val="TextoNormalNegritaCursivandice"/>
      </w:pPr>
      <w:r>
        <w:t>Ley del Parlamento Vasco 6/2011, de 23 de diciembre. Presupuestos generales de la Comunidad Autónoma de Euskadi para el ejercicio 2012</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8" w:history="1">
        <w:r w:rsidRPr="00427CF1">
          <w:rPr>
            <w:rStyle w:val="TextoNormalCaracter"/>
          </w:rPr>
          <w:t>178/2016</w:t>
        </w:r>
      </w:hyperlink>
      <w:r>
        <w:t>, f. 1.</w:t>
      </w:r>
    </w:p>
    <w:p w:rsidR="00427CF1" w:rsidRDefault="00427CF1" w:rsidP="00427CF1">
      <w:pPr>
        <w:pStyle w:val="SangriaFrancesaArticulo"/>
      </w:pPr>
    </w:p>
    <w:p w:rsidR="00427CF1" w:rsidRDefault="00427CF1" w:rsidP="00427CF1">
      <w:pPr>
        <w:pStyle w:val="TextoNormalNegritaCursivandice"/>
      </w:pPr>
      <w:r>
        <w:t>Ley del Parlamento Vasco 3/2015, de 18 de junio. Vivienda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44" w:history="1">
        <w:r w:rsidRPr="00427CF1">
          <w:rPr>
            <w:rStyle w:val="TextoNormalCaracter"/>
          </w:rPr>
          <w:t>144/2016</w:t>
        </w:r>
      </w:hyperlink>
      <w:r>
        <w:t xml:space="preserve">, ff. 3 a 7, VP; </w:t>
      </w:r>
      <w:hyperlink w:anchor="AUTO_2016_160" w:history="1">
        <w:r w:rsidRPr="00427CF1">
          <w:rPr>
            <w:rStyle w:val="TextoNormalCaracter"/>
          </w:rPr>
          <w:t>160/2016</w:t>
        </w:r>
      </w:hyperlink>
      <w:r>
        <w:t>, f. 1.</w:t>
      </w:r>
    </w:p>
    <w:p w:rsidR="00427CF1" w:rsidRDefault="00427CF1" w:rsidP="00427CF1">
      <w:pPr>
        <w:pStyle w:val="SangriaFrancesaArticulo"/>
      </w:pPr>
      <w:r w:rsidRPr="00427CF1">
        <w:rPr>
          <w:rStyle w:val="TextoNormalNegritaCaracter"/>
        </w:rPr>
        <w:t>Artículo 3 t).</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3 x).</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4.2 b).</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Auto </w:t>
      </w:r>
      <w:hyperlink w:anchor="AUTO_2016_144" w:history="1">
        <w:r w:rsidRPr="00427CF1">
          <w:rPr>
            <w:rStyle w:val="TextoNormalCaracter"/>
          </w:rPr>
          <w:t>144/2016</w:t>
        </w:r>
      </w:hyperlink>
      <w:r>
        <w:t>, ff. 1, 4 a 6.</w:t>
      </w:r>
    </w:p>
    <w:p w:rsidR="00427CF1" w:rsidRDefault="00427CF1" w:rsidP="00427CF1">
      <w:pPr>
        <w:pStyle w:val="SangriaFrancesaArticulo"/>
      </w:pPr>
      <w:r w:rsidRPr="00427CF1">
        <w:rPr>
          <w:rStyle w:val="TextoNormalNegritaCaracter"/>
        </w:rPr>
        <w:t>Artículo 9.4.</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56.1.</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56.2.</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56.3.</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59.</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63.2 a).</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63.2 b).</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63.2 c).</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63.2 d).</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63.2 f).</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63.2 g).</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63.2 h).</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64.</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72.1.</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72.3 c).</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74.</w:t>
      </w:r>
      <w:r w:rsidRPr="00427CF1">
        <w:rPr>
          <w:rStyle w:val="TextoNormalCaracter"/>
        </w:rPr>
        <w:t>-</w:t>
      </w:r>
      <w:r>
        <w:t xml:space="preserve"> Auto </w:t>
      </w:r>
      <w:hyperlink w:anchor="AUTO_2016_144" w:history="1">
        <w:r w:rsidRPr="00427CF1">
          <w:rPr>
            <w:rStyle w:val="TextoNormalCaracter"/>
          </w:rPr>
          <w:t>144/2016</w:t>
        </w:r>
      </w:hyperlink>
      <w:r>
        <w:t>, ff. 1, 5, VP.</w:t>
      </w:r>
    </w:p>
    <w:p w:rsidR="00427CF1" w:rsidRDefault="00427CF1" w:rsidP="00427CF1">
      <w:pPr>
        <w:pStyle w:val="SangriaFrancesaArticulo"/>
      </w:pPr>
      <w:r w:rsidRPr="00427CF1">
        <w:rPr>
          <w:rStyle w:val="TextoNormalNegritaCaracter"/>
        </w:rPr>
        <w:t>Artículo 75.</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83 d).</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Artículo 84 d).</w:t>
      </w:r>
      <w:r w:rsidRPr="00427CF1">
        <w:rPr>
          <w:rStyle w:val="TextoNormalCaracter"/>
        </w:rPr>
        <w:t>-</w:t>
      </w:r>
      <w:r>
        <w:t xml:space="preserve"> Auto </w:t>
      </w:r>
      <w:hyperlink w:anchor="AUTO_2016_144" w:history="1">
        <w:r w:rsidRPr="00427CF1">
          <w:rPr>
            <w:rStyle w:val="TextoNormalCaracter"/>
          </w:rPr>
          <w:t>144/2016</w:t>
        </w:r>
      </w:hyperlink>
      <w:r>
        <w:t>, ff. 1, 5.</w:t>
      </w:r>
    </w:p>
    <w:p w:rsidR="00427CF1" w:rsidRDefault="00427CF1" w:rsidP="00427CF1">
      <w:pPr>
        <w:pStyle w:val="SangriaFrancesaArticulo"/>
      </w:pPr>
      <w:r w:rsidRPr="00427CF1">
        <w:rPr>
          <w:rStyle w:val="TextoNormalNegritaCaracter"/>
        </w:rPr>
        <w:t>Disposición adicional primera, apartado 3.</w:t>
      </w:r>
      <w:r w:rsidRPr="00427CF1">
        <w:rPr>
          <w:rStyle w:val="TextoNormalCaracter"/>
        </w:rPr>
        <w:t>-</w:t>
      </w:r>
      <w:r>
        <w:t xml:space="preserve"> Auto </w:t>
      </w:r>
      <w:hyperlink w:anchor="AUTO_2016_144" w:history="1">
        <w:r w:rsidRPr="00427CF1">
          <w:rPr>
            <w:rStyle w:val="TextoNormalCaracter"/>
          </w:rPr>
          <w:t>144/2016</w:t>
        </w:r>
      </w:hyperlink>
      <w:r>
        <w:t>, ff. 1, 4, 5, 7.</w:t>
      </w:r>
    </w:p>
    <w:p w:rsidR="00427CF1" w:rsidRDefault="00427CF1" w:rsidP="00427CF1">
      <w:pPr>
        <w:pStyle w:val="SangriaFrancesaArticulo"/>
      </w:pPr>
    </w:p>
    <w:p w:rsidR="00427CF1" w:rsidRDefault="00427CF1" w:rsidP="00427CF1">
      <w:pPr>
        <w:pStyle w:val="TextoNormalNegritaCursivandice"/>
      </w:pPr>
      <w:r>
        <w:t>Ley del Parlamento Vasco 6/2015, de 30 de junio. Medidas adicionales de protección medioambiental para la extracción de hidrocarburos no convencionales y la fractura hidráulica o "fracking"</w:t>
      </w:r>
    </w:p>
    <w:p w:rsidR="00427CF1" w:rsidRDefault="00427CF1" w:rsidP="00427CF1">
      <w:pPr>
        <w:pStyle w:val="SangriaFrancesaArticulo"/>
      </w:pPr>
      <w:r w:rsidRPr="00427CF1">
        <w:rPr>
          <w:rStyle w:val="TextoNormalNegritaCaracter"/>
        </w:rPr>
        <w:t>Artículo 2 inciso sobre los hidratos de metano enterrados en el mar.</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Auto </w:t>
      </w:r>
      <w:hyperlink w:anchor="AUTO_2016_171" w:history="1">
        <w:r w:rsidRPr="00427CF1">
          <w:rPr>
            <w:rStyle w:val="TextoNormalCaracter"/>
          </w:rPr>
          <w:t>171/2016</w:t>
        </w:r>
      </w:hyperlink>
      <w:r>
        <w:t>, ff. 1,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Artículo 6 inciso sobre así como la reposición de la situación alterada a su estado originario.</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Disposición transitoria primera.</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Auto </w:t>
      </w:r>
      <w:hyperlink w:anchor="AUTO_2016_171" w:history="1">
        <w:r w:rsidRPr="00427CF1">
          <w:rPr>
            <w:rStyle w:val="TextoNormalCaracter"/>
          </w:rPr>
          <w:t>171/2016</w:t>
        </w:r>
      </w:hyperlink>
      <w:r>
        <w:t>, f. 1.</w:t>
      </w:r>
    </w:p>
    <w:p w:rsidR="00427CF1" w:rsidRDefault="00427CF1" w:rsidP="00427CF1">
      <w:pPr>
        <w:pStyle w:val="TextoNormal"/>
      </w:pPr>
    </w:p>
    <w:p w:rsidR="00427CF1" w:rsidRDefault="00427CF1" w:rsidP="00427CF1">
      <w:pPr>
        <w:pStyle w:val="TextoNormalNegritaCentradoSubrayado"/>
        <w:suppressAutoHyphens/>
      </w:pPr>
      <w:r>
        <w:t>J.16.c) Decretos y otras disposiciones reglamentarias</w:t>
      </w:r>
    </w:p>
    <w:p w:rsidR="00427CF1" w:rsidRDefault="00427CF1" w:rsidP="00427CF1">
      <w:pPr>
        <w:pStyle w:val="TextoNormalNegritaCentradoSubrayado"/>
      </w:pPr>
    </w:p>
    <w:p w:rsidR="00427CF1" w:rsidRDefault="00427CF1" w:rsidP="00427CF1">
      <w:pPr>
        <w:pStyle w:val="TextoNormalNegritaCursivandice"/>
      </w:pPr>
      <w:r>
        <w:t>Decreto del Gobierno Vasco 281/1996 de 3 de diciembre. Establece el reglamento de espectáculos taurinos generales de la Comunidad Autónoma del País Vasco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Decreto del Gobierno Vasco 183/2008, de 11 de noviembre. Aprueba el reglamento de espectáculos taurinos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Decreto del Gobierno Vasco 124/2010, de 27 de abril. Modificación del Decreto por el que se aprueba el reglamento de espectáculos taurinos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Real Decreto del Gobierno Vasco 1441/2010, de 5 de noviembre. Traspaso de funciones y servicios a la Comunidad Autónoma del País Vasco en materia de ejecución de la legislación laboral en el ámbito del trabajo, el empleo y la formación profesional para el empleo, que realiza el Servicio Público de Empleo Estatal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4" w:history="1">
        <w:r w:rsidRPr="00427CF1">
          <w:rPr>
            <w:rStyle w:val="TextoNormalCaracter"/>
          </w:rPr>
          <w:t>194/2016</w:t>
        </w:r>
      </w:hyperlink>
      <w:r>
        <w:t>, f. 2.</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J.17) Valencia</w:t>
      </w:r>
    </w:p>
    <w:p w:rsidR="00427CF1" w:rsidRDefault="00427CF1" w:rsidP="00427CF1">
      <w:pPr>
        <w:pStyle w:val="TextoNormal"/>
      </w:pPr>
    </w:p>
    <w:p w:rsidR="00427CF1" w:rsidRDefault="00427CF1" w:rsidP="00427CF1">
      <w:pPr>
        <w:pStyle w:val="TextoNormalNegritaCentradoSubrayado"/>
        <w:suppressAutoHyphens/>
      </w:pPr>
      <w:r>
        <w:t>J.17.a) Estatuto de Autonomía</w:t>
      </w:r>
    </w:p>
    <w:p w:rsidR="00427CF1" w:rsidRDefault="00427CF1" w:rsidP="00427CF1">
      <w:pPr>
        <w:pStyle w:val="TextoNormalNegritaCentradoSubrayado"/>
      </w:pPr>
    </w:p>
    <w:p w:rsidR="00427CF1" w:rsidRDefault="00427CF1" w:rsidP="00427CF1">
      <w:pPr>
        <w:pStyle w:val="TextoNormalNegritaCursivandice"/>
      </w:pPr>
      <w:r>
        <w:t>Ley Orgánica 5/1982, de 1 de julio. Estatuto de Autonomía de la Comunidad Valenciana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ff. 2, 4, VP.</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Artículo 7.1</w:t>
      </w:r>
      <w:r>
        <w:t xml:space="preserve"> (redactado por la Ley Orgánica 1/2006, de 10 de abril)</w:t>
      </w:r>
      <w:r w:rsidRPr="00427CF1">
        <w:rPr>
          <w:rStyle w:val="TextoNormalNegritaCaracter"/>
        </w:rPr>
        <w:t>.</w:t>
      </w:r>
      <w:r w:rsidRPr="00427CF1">
        <w:rPr>
          <w:rStyle w:val="TextoNormalCaracter"/>
        </w:rPr>
        <w:t>-</w:t>
      </w:r>
      <w:r>
        <w:t xml:space="preserve"> Sentencia </w:t>
      </w:r>
      <w:hyperlink w:anchor="SENTENCIA_2016_192" w:history="1">
        <w:r w:rsidRPr="00427CF1">
          <w:rPr>
            <w:rStyle w:val="TextoNormalCaracter"/>
          </w:rPr>
          <w:t>192/2016</w:t>
        </w:r>
      </w:hyperlink>
      <w:r>
        <w:t>, f. 2, VP.</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25.1.</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26.1.</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26.2.</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31.2.</w:t>
      </w:r>
      <w:r w:rsidRPr="00427CF1">
        <w:rPr>
          <w:rStyle w:val="TextoNormalCaracter"/>
        </w:rPr>
        <w:t>-</w:t>
      </w:r>
      <w:r>
        <w:t xml:space="preserve"> Sentencia </w:t>
      </w:r>
      <w:hyperlink w:anchor="SENTENCIA_2016_192" w:history="1">
        <w:r w:rsidRPr="00427CF1">
          <w:rPr>
            <w:rStyle w:val="TextoNormalCaracter"/>
          </w:rPr>
          <w:t>192/2016</w:t>
        </w:r>
      </w:hyperlink>
      <w:r>
        <w:t>, f. 3.</w:t>
      </w:r>
    </w:p>
    <w:p w:rsidR="00427CF1" w:rsidRDefault="00427CF1" w:rsidP="00427CF1">
      <w:pPr>
        <w:pStyle w:val="SangriaFrancesaArticulo"/>
      </w:pPr>
      <w:r w:rsidRPr="00427CF1">
        <w:rPr>
          <w:rStyle w:val="TextoNormalNegritaCaracter"/>
        </w:rPr>
        <w:t>Artículo 49.1.2</w:t>
      </w:r>
      <w:r>
        <w:t xml:space="preserve"> (redactado por la Ley Orgánica 1/2006, de 10 de abril)</w:t>
      </w:r>
      <w:r w:rsidRPr="00427CF1">
        <w:rPr>
          <w:rStyle w:val="TextoNormalNegritaCaracter"/>
        </w:rPr>
        <w:t>.</w:t>
      </w:r>
      <w:r w:rsidRPr="00427CF1">
        <w:rPr>
          <w:rStyle w:val="TextoNormalCaracter"/>
        </w:rPr>
        <w:t>-</w:t>
      </w:r>
      <w:r>
        <w:t xml:space="preserve"> Sentencia </w:t>
      </w:r>
      <w:hyperlink w:anchor="SENTENCIA_2016_192" w:history="1">
        <w:r w:rsidRPr="00427CF1">
          <w:rPr>
            <w:rStyle w:val="TextoNormalCaracter"/>
          </w:rPr>
          <w:t>192/2016</w:t>
        </w:r>
      </w:hyperlink>
      <w:r>
        <w:t>, ff. 1, 2, VP.</w:t>
      </w:r>
    </w:p>
    <w:p w:rsidR="00427CF1" w:rsidRDefault="00427CF1" w:rsidP="00427CF1">
      <w:pPr>
        <w:pStyle w:val="SangriaFrancesaArticulo"/>
      </w:pPr>
      <w:r w:rsidRPr="00427CF1">
        <w:rPr>
          <w:rStyle w:val="TextoNormalNegritaCaracter"/>
        </w:rPr>
        <w:t>Artículo 56.</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Artículo 65.2.</w:t>
      </w:r>
      <w:r w:rsidRPr="00427CF1">
        <w:rPr>
          <w:rStyle w:val="TextoNormalCaracter"/>
        </w:rPr>
        <w:t>-</w:t>
      </w:r>
      <w:r>
        <w:t xml:space="preserve"> Sentencia </w:t>
      </w:r>
      <w:hyperlink w:anchor="SENTENCIA_2016_168" w:history="1">
        <w:r w:rsidRPr="00427CF1">
          <w:rPr>
            <w:rStyle w:val="TextoNormalCaracter"/>
          </w:rPr>
          <w:t>168/2016</w:t>
        </w:r>
      </w:hyperlink>
      <w:r>
        <w:t>, f. 4.</w:t>
      </w:r>
    </w:p>
    <w:p w:rsidR="00427CF1" w:rsidRDefault="00427CF1" w:rsidP="00427CF1">
      <w:pPr>
        <w:pStyle w:val="SangriaFrancesaArticulo"/>
      </w:pPr>
      <w:r w:rsidRPr="00427CF1">
        <w:rPr>
          <w:rStyle w:val="TextoNormalNegritaCaracter"/>
        </w:rPr>
        <w:t>Artículo 76.</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Disposición transitoria tercera</w:t>
      </w:r>
      <w:r>
        <w:t xml:space="preserve"> (redactada por la Ley Orgánica 1/2006, de 10 de abril)</w:t>
      </w:r>
      <w:r w:rsidRPr="00427CF1">
        <w:rPr>
          <w:rStyle w:val="TextoNormalNegritaCaracter"/>
        </w:rPr>
        <w:t>.</w:t>
      </w:r>
      <w:r w:rsidRPr="00427CF1">
        <w:rPr>
          <w:rStyle w:val="TextoNormalCaracter"/>
        </w:rPr>
        <w:t>-</w:t>
      </w:r>
      <w:r>
        <w:t xml:space="preserve"> Sentencia </w:t>
      </w:r>
      <w:hyperlink w:anchor="SENTENCIA_2016_192" w:history="1">
        <w:r w:rsidRPr="00427CF1">
          <w:rPr>
            <w:rStyle w:val="TextoNormalCaracter"/>
          </w:rPr>
          <w:t>192/2016</w:t>
        </w:r>
      </w:hyperlink>
      <w:r>
        <w:t>, ff. 1, 2, VP.</w:t>
      </w:r>
    </w:p>
    <w:p w:rsidR="00427CF1" w:rsidRDefault="00427CF1" w:rsidP="00427CF1">
      <w:pPr>
        <w:pStyle w:val="SangriaFrancesaArticulo"/>
      </w:pPr>
    </w:p>
    <w:p w:rsidR="00427CF1" w:rsidRDefault="00427CF1" w:rsidP="00427CF1">
      <w:pPr>
        <w:pStyle w:val="TextoNormalNegritaCursivandice"/>
      </w:pPr>
      <w:r>
        <w:t>Ley Orgánica 5/1994, de 24 de marzo.  Reforma del Estatuto de Autonomía de la Comunidad Valenciana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ff. 2, 4.</w:t>
      </w:r>
    </w:p>
    <w:p w:rsidR="00427CF1" w:rsidRDefault="00427CF1" w:rsidP="00427CF1">
      <w:pPr>
        <w:pStyle w:val="SangriaFrancesaArticulo"/>
      </w:pPr>
    </w:p>
    <w:p w:rsidR="00427CF1" w:rsidRDefault="00427CF1" w:rsidP="00427CF1">
      <w:pPr>
        <w:pStyle w:val="TextoNormalNegritaCursivandice"/>
      </w:pPr>
      <w:r>
        <w:t>Ley Orgánica 1/2006, de 10 de abril. Reforma de la Ley Orgánica 5/1982, de 1 de julio, de Estatuto de Autonomía de la Comunidad Valenciana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ff. 1 a 3, VP.</w:t>
      </w:r>
    </w:p>
    <w:p w:rsidR="00427CF1" w:rsidRDefault="00427CF1" w:rsidP="00427CF1">
      <w:pPr>
        <w:pStyle w:val="TextoNormal"/>
      </w:pPr>
    </w:p>
    <w:p w:rsidR="00427CF1" w:rsidRDefault="00427CF1" w:rsidP="00427CF1">
      <w:pPr>
        <w:pStyle w:val="TextoNormalNegritaCentradoSubrayado"/>
        <w:suppressAutoHyphens/>
      </w:pPr>
      <w:r>
        <w:t>J.17.b) Leyes y disposiciones con fuerza de Ley</w:t>
      </w:r>
    </w:p>
    <w:p w:rsidR="00427CF1" w:rsidRDefault="00427CF1" w:rsidP="00427CF1">
      <w:pPr>
        <w:pStyle w:val="TextoNormalNegritaCentradoSubrayado"/>
      </w:pPr>
    </w:p>
    <w:p w:rsidR="00427CF1" w:rsidRDefault="00427CF1" w:rsidP="00427CF1">
      <w:pPr>
        <w:pStyle w:val="TextoNormalNegritaCursivandice"/>
      </w:pPr>
      <w:r>
        <w:t>Ley de las Cortes Valencianas 5/1983, de 30 de diciembre de 1983. Gobierno Valenciano</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p>
    <w:p w:rsidR="00427CF1" w:rsidRDefault="00427CF1" w:rsidP="00427CF1">
      <w:pPr>
        <w:pStyle w:val="TextoNormalNegritaCursivandice"/>
      </w:pPr>
      <w:r>
        <w:t>Ley de las Cortes Valencianas 10/2007, de 20 de marzo. Régimen económico matrimonial valenciano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ff. 2, 4, VP.</w:t>
      </w:r>
    </w:p>
    <w:p w:rsidR="00427CF1" w:rsidRDefault="00427CF1" w:rsidP="00427CF1">
      <w:pPr>
        <w:pStyle w:val="SangriaFrancesaArticulo"/>
      </w:pPr>
    </w:p>
    <w:p w:rsidR="00427CF1" w:rsidRDefault="00427CF1" w:rsidP="00427CF1">
      <w:pPr>
        <w:pStyle w:val="TextoNormalNegritaCursivandice"/>
      </w:pPr>
      <w:r>
        <w:t>Ley de las Cortes Valencianas 13/2009, de 29 de diciembre. Presupuestos de la Generalidad para el ejercicio 2010</w:t>
      </w:r>
    </w:p>
    <w:p w:rsidR="00427CF1" w:rsidRDefault="00427CF1" w:rsidP="00427CF1">
      <w:pPr>
        <w:pStyle w:val="SangriaFrancesaArticulo"/>
      </w:pPr>
      <w:r w:rsidRPr="00427CF1">
        <w:rPr>
          <w:rStyle w:val="TextoNormalNegritaCaracter"/>
        </w:rPr>
        <w:t>Artículo 31.6</w:t>
      </w:r>
      <w:r>
        <w:t xml:space="preserve"> (redactado por el Decreto-Ley 3/2010, de 4 de junio)</w:t>
      </w:r>
      <w:r w:rsidRPr="00427CF1">
        <w:rPr>
          <w:rStyle w:val="TextoNormalNegritaCaracter"/>
        </w:rPr>
        <w:t>.</w:t>
      </w:r>
      <w:r w:rsidRPr="00427CF1">
        <w:rPr>
          <w:rStyle w:val="TextoNormalCaracter"/>
        </w:rPr>
        <w:t>-</w:t>
      </w:r>
      <w:r>
        <w:t xml:space="preserve"> Auto </w:t>
      </w:r>
      <w:hyperlink w:anchor="AUTO_2016_159" w:history="1">
        <w:r w:rsidRPr="00427CF1">
          <w:rPr>
            <w:rStyle w:val="TextoNormalCaracter"/>
          </w:rPr>
          <w:t>159/2016</w:t>
        </w:r>
      </w:hyperlink>
      <w:r>
        <w:t>, ff. 1, 3.</w:t>
      </w:r>
    </w:p>
    <w:p w:rsidR="00427CF1" w:rsidRDefault="00427CF1" w:rsidP="00427CF1">
      <w:pPr>
        <w:pStyle w:val="SangriaFrancesaArticulo"/>
      </w:pPr>
    </w:p>
    <w:p w:rsidR="00427CF1" w:rsidRDefault="00427CF1" w:rsidP="00427CF1">
      <w:pPr>
        <w:pStyle w:val="TextoNormalNegritaCursivandice"/>
      </w:pPr>
      <w:r>
        <w:t>Decreto-ley de la Generalitat Valenciana 3/2010, de 4 de junio.  Medidas urgentes en materia de retribuciones en el ámbito del sector público valenciano</w:t>
      </w:r>
    </w:p>
    <w:p w:rsidR="00427CF1" w:rsidRDefault="00427CF1" w:rsidP="00427CF1">
      <w:pPr>
        <w:pStyle w:val="SangriaFrancesaArticulo"/>
      </w:pPr>
      <w:r w:rsidRPr="00427CF1">
        <w:rPr>
          <w:rStyle w:val="TextoNormalNegritaCaracter"/>
        </w:rPr>
        <w:t>Artículo 30.7.</w:t>
      </w:r>
      <w:r w:rsidRPr="00427CF1">
        <w:rPr>
          <w:rStyle w:val="TextoNormalCaracter"/>
        </w:rPr>
        <w:t>-</w:t>
      </w:r>
      <w:r>
        <w:t xml:space="preserve"> Auto </w:t>
      </w:r>
      <w:hyperlink w:anchor="AUTO_2016_159" w:history="1">
        <w:r w:rsidRPr="00427CF1">
          <w:rPr>
            <w:rStyle w:val="TextoNormalCaracter"/>
          </w:rPr>
          <w:t>159/2016</w:t>
        </w:r>
      </w:hyperlink>
      <w:r>
        <w:t>, f. 1.</w:t>
      </w:r>
    </w:p>
    <w:p w:rsidR="00427CF1" w:rsidRDefault="00427CF1" w:rsidP="00427CF1">
      <w:pPr>
        <w:pStyle w:val="SangriaFrancesaArticulo"/>
      </w:pPr>
    </w:p>
    <w:p w:rsidR="00427CF1" w:rsidRDefault="00427CF1" w:rsidP="00427CF1">
      <w:pPr>
        <w:pStyle w:val="TextoNormalNegritaCursivandice"/>
      </w:pPr>
      <w:r>
        <w:t>Ley de las Cortes Valencianas 10/2010, de 9 de julio. Ordenación y gestión de la función pública valenciana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38" w:history="1">
        <w:r w:rsidRPr="00427CF1">
          <w:rPr>
            <w:rStyle w:val="TextoNormalCaracter"/>
          </w:rPr>
          <w:t>138/2016</w:t>
        </w:r>
      </w:hyperlink>
      <w:r>
        <w:t xml:space="preserve">, f. 3; </w:t>
      </w:r>
      <w:hyperlink w:anchor="AUTO_2016_139" w:history="1">
        <w:r w:rsidRPr="00427CF1">
          <w:rPr>
            <w:rStyle w:val="TextoNormalCaracter"/>
          </w:rPr>
          <w:t>139/2016</w:t>
        </w:r>
      </w:hyperlink>
      <w:r>
        <w:t>, f. 3.</w:t>
      </w:r>
    </w:p>
    <w:p w:rsidR="00427CF1" w:rsidRDefault="00427CF1" w:rsidP="00427CF1">
      <w:pPr>
        <w:pStyle w:val="SangriaFrancesaArticulo"/>
      </w:pPr>
    </w:p>
    <w:p w:rsidR="00427CF1" w:rsidRDefault="00427CF1" w:rsidP="00427CF1">
      <w:pPr>
        <w:pStyle w:val="TextoNormalNegritaCursivandice"/>
      </w:pPr>
      <w:r>
        <w:t>Ley de las Cortes Valencianas 5/2011, de 1 de abril. Relaciones familiares de los hijos e hijas cuyos progenitores no conviven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ff. 1 a 5, VP.</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92" w:history="1">
        <w:r w:rsidRPr="00427CF1">
          <w:rPr>
            <w:rStyle w:val="TextoNormalCaracter"/>
          </w:rPr>
          <w:t>192/2016</w:t>
        </w:r>
      </w:hyperlink>
      <w:r>
        <w:t>, f. 2.</w:t>
      </w:r>
    </w:p>
    <w:p w:rsidR="00427CF1" w:rsidRDefault="00427CF1" w:rsidP="00427CF1">
      <w:pPr>
        <w:pStyle w:val="SangriaFrancesaArticulo"/>
      </w:pPr>
    </w:p>
    <w:p w:rsidR="00427CF1" w:rsidRDefault="00427CF1" w:rsidP="00427CF1">
      <w:pPr>
        <w:pStyle w:val="TextoNormalNegritaCursivandice"/>
      </w:pPr>
      <w:r>
        <w:t>Decreto-ley de la Generalitat Valenciana 6/2012, de 28 de septiembre. Desarrollo y aplicación de las disposiciones incluidas en el título I y disposiciones concordantes del Real Decreto-ley 20/2012, de 13 de julio, de medidas para garantizar la estabilidad presupuestaria y de fomento de la competitividad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38" w:history="1">
        <w:r w:rsidRPr="00427CF1">
          <w:rPr>
            <w:rStyle w:val="TextoNormalCaracter"/>
          </w:rPr>
          <w:t>138/2016</w:t>
        </w:r>
      </w:hyperlink>
      <w:r>
        <w:t xml:space="preserve">, ff. 1, 3; </w:t>
      </w:r>
      <w:hyperlink w:anchor="AUTO_2016_139" w:history="1">
        <w:r w:rsidRPr="00427CF1">
          <w:rPr>
            <w:rStyle w:val="TextoNormalCaracter"/>
          </w:rPr>
          <w:t>139/2016</w:t>
        </w:r>
      </w:hyperlink>
      <w:r>
        <w:t>, ff. 1, 3.</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Autos </w:t>
      </w:r>
      <w:hyperlink w:anchor="AUTO_2016_138" w:history="1">
        <w:r w:rsidRPr="00427CF1">
          <w:rPr>
            <w:rStyle w:val="TextoNormalCaracter"/>
          </w:rPr>
          <w:t>138/2016</w:t>
        </w:r>
      </w:hyperlink>
      <w:r>
        <w:t xml:space="preserve">, f. 1; </w:t>
      </w:r>
      <w:hyperlink w:anchor="AUTO_2016_139" w:history="1">
        <w:r w:rsidRPr="00427CF1">
          <w:rPr>
            <w:rStyle w:val="TextoNormalCaracter"/>
          </w:rPr>
          <w:t>139/2016</w:t>
        </w:r>
      </w:hyperlink>
      <w:r>
        <w:t>, f. 1.</w:t>
      </w:r>
    </w:p>
    <w:p w:rsidR="00427CF1" w:rsidRDefault="00427CF1" w:rsidP="00427CF1">
      <w:pPr>
        <w:pStyle w:val="SangriaFrancesaArticulo"/>
      </w:pPr>
      <w:r w:rsidRPr="00427CF1">
        <w:rPr>
          <w:rStyle w:val="TextoNormalNegritaCaracter"/>
        </w:rPr>
        <w:t>Disposición adicional segunda.</w:t>
      </w:r>
      <w:r w:rsidRPr="00427CF1">
        <w:rPr>
          <w:rStyle w:val="TextoNormalCaracter"/>
        </w:rPr>
        <w:t>-</w:t>
      </w:r>
      <w:r>
        <w:t xml:space="preserve"> Autos </w:t>
      </w:r>
      <w:hyperlink w:anchor="AUTO_2016_138" w:history="1">
        <w:r w:rsidRPr="00427CF1">
          <w:rPr>
            <w:rStyle w:val="TextoNormalCaracter"/>
          </w:rPr>
          <w:t>138/2016</w:t>
        </w:r>
      </w:hyperlink>
      <w:r>
        <w:t xml:space="preserve">, f. 1; </w:t>
      </w:r>
      <w:hyperlink w:anchor="AUTO_2016_139" w:history="1">
        <w:r w:rsidRPr="00427CF1">
          <w:rPr>
            <w:rStyle w:val="TextoNormalCaracter"/>
          </w:rPr>
          <w:t>139/2016</w:t>
        </w:r>
      </w:hyperlink>
      <w:r>
        <w:t>, f. 1.</w:t>
      </w:r>
    </w:p>
    <w:p w:rsidR="00427CF1" w:rsidRDefault="00427CF1" w:rsidP="00427CF1">
      <w:pPr>
        <w:pStyle w:val="SangriaFrancesaArticulo"/>
      </w:pPr>
    </w:p>
    <w:p w:rsidR="00427CF1" w:rsidRDefault="00427CF1" w:rsidP="00427CF1">
      <w:pPr>
        <w:pStyle w:val="TextoNormalNegritaCursivandice"/>
      </w:pPr>
      <w:r>
        <w:t>Ley de las Cortes Valencianas 5/2012, de 15 de octubre. Uniones de hecho formalizadas de la Comunidad Valenciana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2" w:history="1">
        <w:r w:rsidRPr="00427CF1">
          <w:rPr>
            <w:rStyle w:val="TextoNormalCaracter"/>
          </w:rPr>
          <w:t>192/2016</w:t>
        </w:r>
      </w:hyperlink>
      <w:r>
        <w:t>, ff. 2, 4, VP.</w:t>
      </w:r>
    </w:p>
    <w:p w:rsidR="00427CF1" w:rsidRDefault="00427CF1" w:rsidP="00427CF1">
      <w:pPr>
        <w:pStyle w:val="SangriaFrancesaArticulo"/>
      </w:pPr>
    </w:p>
    <w:p w:rsidR="00427CF1" w:rsidRDefault="00427CF1" w:rsidP="00427CF1">
      <w:pPr>
        <w:pStyle w:val="TextoNormalNegritaCursivandice"/>
      </w:pPr>
      <w:r>
        <w:t>Ley de las Cortes Valencianas 4/2013, de 27 de noviembre. Supresión de la prestación de los servicios de radiodifusión y televisión de ámbito autonómico, de titularidad de la Generalitat, así como de disolución y liquidación de Radiotelevisión Valenciana, SAU</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3" w:history="1">
        <w:r w:rsidRPr="00427CF1">
          <w:rPr>
            <w:rStyle w:val="TextoNormalCaracter"/>
          </w:rPr>
          <w:t>153/2016</w:t>
        </w:r>
      </w:hyperlink>
      <w:r>
        <w:t>, ff. 1 a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Disposición derogatoria segunda</w:t>
      </w:r>
      <w:r>
        <w:t xml:space="preserve"> (derogada por la Ley 12/2015, de 29 de diciembre)</w:t>
      </w:r>
      <w:r w:rsidRPr="00427CF1">
        <w:rPr>
          <w:rStyle w:val="TextoNormalNegritaCaracter"/>
        </w:rPr>
        <w:t>.</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p>
    <w:p w:rsidR="00427CF1" w:rsidRDefault="00427CF1" w:rsidP="00427CF1">
      <w:pPr>
        <w:pStyle w:val="TextoNormalNegritaCursivandice"/>
      </w:pPr>
      <w:r>
        <w:t>Ley de las Cortes Valencianas 8/2014, de 26 de diciembre. Presupuestos de la Generalitat para el ejercicio 2015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38" w:history="1">
        <w:r w:rsidRPr="00427CF1">
          <w:rPr>
            <w:rStyle w:val="TextoNormalCaracter"/>
          </w:rPr>
          <w:t>138/2016</w:t>
        </w:r>
      </w:hyperlink>
      <w:r>
        <w:t xml:space="preserve">, f. 3; </w:t>
      </w:r>
      <w:hyperlink w:anchor="AUTO_2016_139" w:history="1">
        <w:r w:rsidRPr="00427CF1">
          <w:rPr>
            <w:rStyle w:val="TextoNormalCaracter"/>
          </w:rPr>
          <w:t>139/2016</w:t>
        </w:r>
      </w:hyperlink>
      <w:r>
        <w:t>, f. 3.</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Autos </w:t>
      </w:r>
      <w:hyperlink w:anchor="AUTO_2016_138" w:history="1">
        <w:r w:rsidRPr="00427CF1">
          <w:rPr>
            <w:rStyle w:val="TextoNormalCaracter"/>
          </w:rPr>
          <w:t>138/2016</w:t>
        </w:r>
      </w:hyperlink>
      <w:r>
        <w:t xml:space="preserve">, f. 3; </w:t>
      </w:r>
      <w:hyperlink w:anchor="AUTO_2016_139" w:history="1">
        <w:r w:rsidRPr="00427CF1">
          <w:rPr>
            <w:rStyle w:val="TextoNormalCaracter"/>
          </w:rPr>
          <w:t>139/2016</w:t>
        </w:r>
      </w:hyperlink>
      <w:r>
        <w:t>, f. 3.</w:t>
      </w:r>
    </w:p>
    <w:p w:rsidR="00427CF1" w:rsidRDefault="00427CF1" w:rsidP="00427CF1">
      <w:pPr>
        <w:pStyle w:val="SangriaFrancesaArticulo"/>
      </w:pPr>
      <w:r w:rsidRPr="00427CF1">
        <w:rPr>
          <w:rStyle w:val="TextoNormalNegritaCaracter"/>
        </w:rPr>
        <w:t>Disposición adicional vigesimosegunda.</w:t>
      </w:r>
      <w:r w:rsidRPr="00427CF1">
        <w:rPr>
          <w:rStyle w:val="TextoNormalCaracter"/>
        </w:rPr>
        <w:t>-</w:t>
      </w:r>
      <w:r>
        <w:t xml:space="preserve"> Autos </w:t>
      </w:r>
      <w:hyperlink w:anchor="AUTO_2016_138" w:history="1">
        <w:r w:rsidRPr="00427CF1">
          <w:rPr>
            <w:rStyle w:val="TextoNormalCaracter"/>
          </w:rPr>
          <w:t>138/2016</w:t>
        </w:r>
      </w:hyperlink>
      <w:r>
        <w:t xml:space="preserve">, f. 3; </w:t>
      </w:r>
      <w:hyperlink w:anchor="AUTO_2016_139" w:history="1">
        <w:r w:rsidRPr="00427CF1">
          <w:rPr>
            <w:rStyle w:val="TextoNormalCaracter"/>
          </w:rPr>
          <w:t>139/2016</w:t>
        </w:r>
      </w:hyperlink>
      <w:r>
        <w:t>, f. 3.</w:t>
      </w:r>
    </w:p>
    <w:p w:rsidR="00427CF1" w:rsidRDefault="00427CF1" w:rsidP="00427CF1">
      <w:pPr>
        <w:pStyle w:val="SangriaFrancesaArticulo"/>
      </w:pPr>
    </w:p>
    <w:p w:rsidR="00427CF1" w:rsidRDefault="00427CF1" w:rsidP="00427CF1">
      <w:pPr>
        <w:pStyle w:val="TextoNormalNegritaCursivandice"/>
      </w:pPr>
      <w:r>
        <w:t>Ley de las Cortes Valencianas 5/2015, de 2 de abril. Servicio Público de Radiotelevisión Valenciana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p>
    <w:p w:rsidR="00427CF1" w:rsidRDefault="00427CF1" w:rsidP="00427CF1">
      <w:pPr>
        <w:pStyle w:val="TextoNormalNegritaCursivandice"/>
      </w:pPr>
      <w:r>
        <w:t>Decreto-ley de la Generalitat Valenciana 6/2015, de 16 de octubre. Hace efectiva la recuperación de determinadas cantidades de la paga extraordinaria de diciembre de 2012 y de modificación urgente de la Ley 10/2010, de 9 de julio, de la Generalitat, de ordenación y gestión de la función pública valenciana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38" w:history="1">
        <w:r w:rsidRPr="00427CF1">
          <w:rPr>
            <w:rStyle w:val="TextoNormalCaracter"/>
          </w:rPr>
          <w:t>138/2016</w:t>
        </w:r>
      </w:hyperlink>
      <w:r>
        <w:t xml:space="preserve">, f. 3; </w:t>
      </w:r>
      <w:hyperlink w:anchor="AUTO_2016_139" w:history="1">
        <w:r w:rsidRPr="00427CF1">
          <w:rPr>
            <w:rStyle w:val="TextoNormalCaracter"/>
          </w:rPr>
          <w:t>139/2016</w:t>
        </w:r>
      </w:hyperlink>
      <w:r>
        <w:t>, f. 3.</w:t>
      </w:r>
    </w:p>
    <w:p w:rsidR="00427CF1" w:rsidRDefault="00427CF1" w:rsidP="00427CF1">
      <w:pPr>
        <w:pStyle w:val="SangriaFrancesaArticulo"/>
      </w:pPr>
    </w:p>
    <w:p w:rsidR="00427CF1" w:rsidRDefault="00427CF1" w:rsidP="00427CF1">
      <w:pPr>
        <w:pStyle w:val="TextoNormalNegritaCursivandice"/>
      </w:pPr>
      <w:r>
        <w:t>Ley de las Cortes Valencianas 12/2015, de 29 de diciembre. Recuperación del servicio público de radiodifusión y televisión de ámbito autonómico, de titularidad de la Generalitat</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Disposición adicional primera.</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Disposición derogatoria primera.</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r w:rsidRPr="00427CF1">
        <w:rPr>
          <w:rStyle w:val="TextoNormalNegritaCaracter"/>
        </w:rPr>
        <w:t>Disposición derogatoria segunda.</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SangriaFrancesaArticulo"/>
      </w:pPr>
    </w:p>
    <w:p w:rsidR="00427CF1" w:rsidRDefault="00427CF1" w:rsidP="00427CF1">
      <w:pPr>
        <w:pStyle w:val="TextoNormalNegritaCursivandice"/>
      </w:pPr>
      <w:r>
        <w:t>Ley de las Cortes Valencianas 6/2016, de 15 de julio. Servicio Público de Radiodifusión y Televisión de Ámbito Autonómico, de Titularidad de la Generalitat</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3" w:history="1">
        <w:r w:rsidRPr="00427CF1">
          <w:rPr>
            <w:rStyle w:val="TextoNormalCaracter"/>
          </w:rPr>
          <w:t>153/2016</w:t>
        </w:r>
      </w:hyperlink>
      <w:r>
        <w:t>, f. 2.</w:t>
      </w:r>
    </w:p>
    <w:p w:rsidR="00427CF1" w:rsidRDefault="00427CF1" w:rsidP="00427CF1">
      <w:pPr>
        <w:pStyle w:val="TextoNormal"/>
      </w:pPr>
    </w:p>
    <w:p w:rsidR="00427CF1" w:rsidRDefault="00427CF1" w:rsidP="00427CF1">
      <w:pPr>
        <w:pStyle w:val="TextoNormalNegritaCentradoSubrayado"/>
        <w:suppressAutoHyphens/>
      </w:pPr>
      <w:r>
        <w:t>J.17.d) Normas parlamentarias autonómicas</w:t>
      </w:r>
    </w:p>
    <w:p w:rsidR="00427CF1" w:rsidRDefault="00427CF1" w:rsidP="00427CF1">
      <w:pPr>
        <w:pStyle w:val="TextoNormalNegritaCentradoSubrayado"/>
      </w:pPr>
    </w:p>
    <w:p w:rsidR="00427CF1" w:rsidRDefault="00427CF1" w:rsidP="00427CF1">
      <w:pPr>
        <w:pStyle w:val="TextoNormalNegritaCursivandice"/>
      </w:pPr>
      <w:r>
        <w:t>Reglamento de las Cortes Valencianas, de 18 de diciembre de 2006</w:t>
      </w:r>
    </w:p>
    <w:p w:rsidR="00427CF1" w:rsidRDefault="00427CF1" w:rsidP="00427CF1">
      <w:pPr>
        <w:pStyle w:val="SangriaFrancesaArticulo"/>
      </w:pPr>
      <w:r w:rsidRPr="00427CF1">
        <w:rPr>
          <w:rStyle w:val="TextoNormalNegritaCaracter"/>
        </w:rPr>
        <w:t>Artículo 30.1.</w:t>
      </w:r>
      <w:r w:rsidRPr="00427CF1">
        <w:rPr>
          <w:rStyle w:val="TextoNormalCaracter"/>
        </w:rPr>
        <w:t>-</w:t>
      </w:r>
      <w:r>
        <w:t xml:space="preserve"> Sentencia </w:t>
      </w:r>
      <w:hyperlink w:anchor="SENTENCIA_2016_212" w:history="1">
        <w:r w:rsidRPr="00427CF1">
          <w:rPr>
            <w:rStyle w:val="TextoNormalCaracter"/>
          </w:rPr>
          <w:t>212/2016</w:t>
        </w:r>
      </w:hyperlink>
      <w:r>
        <w:t>, f. 5.</w:t>
      </w:r>
    </w:p>
    <w:p w:rsidR="00427CF1" w:rsidRDefault="00427CF1" w:rsidP="00427CF1">
      <w:pPr>
        <w:pStyle w:val="SangriaFrancesaArticulo"/>
      </w:pPr>
      <w:r w:rsidRPr="00427CF1">
        <w:rPr>
          <w:rStyle w:val="TextoNormalNegritaCaracter"/>
        </w:rPr>
        <w:t>Artículo 34.1.6.</w:t>
      </w:r>
      <w:r w:rsidRPr="00427CF1">
        <w:rPr>
          <w:rStyle w:val="TextoNormalCaracter"/>
        </w:rPr>
        <w:t>-</w:t>
      </w:r>
      <w:r>
        <w:t xml:space="preserve"> Sentencia </w:t>
      </w:r>
      <w:hyperlink w:anchor="SENTENCIA_2016_212" w:history="1">
        <w:r w:rsidRPr="00427CF1">
          <w:rPr>
            <w:rStyle w:val="TextoNormalCaracter"/>
          </w:rPr>
          <w:t>212/2016</w:t>
        </w:r>
      </w:hyperlink>
      <w:r>
        <w:t>, f. 4.</w:t>
      </w:r>
    </w:p>
    <w:p w:rsidR="00427CF1" w:rsidRDefault="00427CF1" w:rsidP="00427CF1">
      <w:pPr>
        <w:pStyle w:val="SangriaFrancesaArticulo"/>
      </w:pPr>
      <w:r w:rsidRPr="00427CF1">
        <w:rPr>
          <w:rStyle w:val="TextoNormalNegritaCaracter"/>
        </w:rPr>
        <w:t>Artículo 34.2.</w:t>
      </w:r>
      <w:r w:rsidRPr="00427CF1">
        <w:rPr>
          <w:rStyle w:val="TextoNormalCaracter"/>
        </w:rPr>
        <w:t>-</w:t>
      </w:r>
      <w:r>
        <w:t xml:space="preserve"> Sentencia </w:t>
      </w:r>
      <w:hyperlink w:anchor="SENTENCIA_2016_212" w:history="1">
        <w:r w:rsidRPr="00427CF1">
          <w:rPr>
            <w:rStyle w:val="TextoNormalCaracter"/>
          </w:rPr>
          <w:t>212/2016</w:t>
        </w:r>
      </w:hyperlink>
      <w:r>
        <w:t>, f. 5.</w:t>
      </w:r>
    </w:p>
    <w:p w:rsidR="00427CF1" w:rsidRDefault="00427CF1" w:rsidP="00427CF1">
      <w:pPr>
        <w:pStyle w:val="SangriaFrancesaArticulo"/>
      </w:pPr>
      <w:r w:rsidRPr="00427CF1">
        <w:rPr>
          <w:rStyle w:val="TextoNormalNegritaCaracter"/>
        </w:rPr>
        <w:t>Artículo 124.</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126.</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134.</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135.1.</w:t>
      </w:r>
      <w:r w:rsidRPr="00427CF1">
        <w:rPr>
          <w:rStyle w:val="TextoNormalCaracter"/>
        </w:rPr>
        <w:t>-</w:t>
      </w:r>
      <w:r>
        <w:t xml:space="preserve"> Sentencia </w:t>
      </w:r>
      <w:hyperlink w:anchor="SENTENCIA_2016_153" w:history="1">
        <w:r w:rsidRPr="00427CF1">
          <w:rPr>
            <w:rStyle w:val="TextoNormalCaracter"/>
          </w:rPr>
          <w:t>153/2016</w:t>
        </w:r>
      </w:hyperlink>
      <w:r>
        <w:t>, f. 3.</w:t>
      </w:r>
    </w:p>
    <w:p w:rsidR="00427CF1" w:rsidRDefault="00427CF1" w:rsidP="00427CF1">
      <w:pPr>
        <w:pStyle w:val="SangriaFrancesaArticulo"/>
      </w:pPr>
      <w:r w:rsidRPr="00427CF1">
        <w:rPr>
          <w:rStyle w:val="TextoNormalNegritaCaracter"/>
        </w:rPr>
        <w:t>Artículo 160.1.</w:t>
      </w:r>
      <w:r w:rsidRPr="00427CF1">
        <w:rPr>
          <w:rStyle w:val="TextoNormalCaracter"/>
        </w:rPr>
        <w:t>-</w:t>
      </w:r>
      <w:r>
        <w:t xml:space="preserve"> Sentencia </w:t>
      </w:r>
      <w:hyperlink w:anchor="SENTENCIA_2016_212" w:history="1">
        <w:r w:rsidRPr="00427CF1">
          <w:rPr>
            <w:rStyle w:val="TextoNormalCaracter"/>
          </w:rPr>
          <w:t>212/2016</w:t>
        </w:r>
      </w:hyperlink>
      <w:r>
        <w:t>, f. 5.</w:t>
      </w:r>
    </w:p>
    <w:p w:rsidR="00427CF1" w:rsidRDefault="00427CF1" w:rsidP="00427CF1">
      <w:pPr>
        <w:pStyle w:val="SangriaFrancesaArticulo"/>
      </w:pPr>
      <w:r w:rsidRPr="00427CF1">
        <w:rPr>
          <w:rStyle w:val="TextoNormalNegritaCaracter"/>
        </w:rPr>
        <w:t>Artículo 161.</w:t>
      </w:r>
      <w:r w:rsidRPr="00427CF1">
        <w:rPr>
          <w:rStyle w:val="TextoNormalCaracter"/>
        </w:rPr>
        <w:t>-</w:t>
      </w:r>
      <w:r>
        <w:t xml:space="preserve"> Sentencia </w:t>
      </w:r>
      <w:hyperlink w:anchor="SENTENCIA_2016_212" w:history="1">
        <w:r w:rsidRPr="00427CF1">
          <w:rPr>
            <w:rStyle w:val="TextoNormalCaracter"/>
          </w:rPr>
          <w:t>212/2016</w:t>
        </w:r>
      </w:hyperlink>
      <w:r>
        <w:t>, f. 5.</w:t>
      </w:r>
    </w:p>
    <w:p w:rsidR="00427CF1" w:rsidRDefault="00427CF1" w:rsidP="00427CF1">
      <w:pPr>
        <w:pStyle w:val="SangriaFrancesaArticulo"/>
      </w:pPr>
      <w:r w:rsidRPr="00427CF1">
        <w:rPr>
          <w:rStyle w:val="TextoNormalNegritaCaracter"/>
        </w:rPr>
        <w:t>Artículo 161.1.</w:t>
      </w:r>
      <w:r w:rsidRPr="00427CF1">
        <w:rPr>
          <w:rStyle w:val="TextoNormalCaracter"/>
        </w:rPr>
        <w:t>-</w:t>
      </w:r>
      <w:r>
        <w:t xml:space="preserve"> Sentencia </w:t>
      </w:r>
      <w:hyperlink w:anchor="SENTENCIA_2016_212" w:history="1">
        <w:r w:rsidRPr="00427CF1">
          <w:rPr>
            <w:rStyle w:val="TextoNormalCaracter"/>
          </w:rPr>
          <w:t>212/2016</w:t>
        </w:r>
      </w:hyperlink>
      <w:r>
        <w:t>, f. 5.</w:t>
      </w:r>
    </w:p>
    <w:p w:rsidR="00427CF1" w:rsidRDefault="00427CF1" w:rsidP="00427CF1">
      <w:pPr>
        <w:pStyle w:val="SangriaFrancesaArticulo"/>
      </w:pPr>
      <w:r w:rsidRPr="00427CF1">
        <w:rPr>
          <w:rStyle w:val="TextoNormalNegritaCaracter"/>
        </w:rPr>
        <w:t>Artículo 161.2.</w:t>
      </w:r>
      <w:r w:rsidRPr="00427CF1">
        <w:rPr>
          <w:rStyle w:val="TextoNormalCaracter"/>
        </w:rPr>
        <w:t>-</w:t>
      </w:r>
      <w:r>
        <w:t xml:space="preserve"> Sentencia </w:t>
      </w:r>
      <w:hyperlink w:anchor="SENTENCIA_2016_212" w:history="1">
        <w:r w:rsidRPr="00427CF1">
          <w:rPr>
            <w:rStyle w:val="TextoNormalCaracter"/>
          </w:rPr>
          <w:t>212/2016</w:t>
        </w:r>
      </w:hyperlink>
      <w:r>
        <w:t>, ff. 4, 5.</w:t>
      </w:r>
    </w:p>
    <w:p w:rsidR="00427CF1" w:rsidRDefault="00427CF1" w:rsidP="00427CF1">
      <w:pPr>
        <w:pStyle w:val="SangriaFrancesaArticulo"/>
      </w:pPr>
    </w:p>
    <w:p w:rsidR="00427CF1" w:rsidRDefault="00427CF1" w:rsidP="00427CF1">
      <w:pPr>
        <w:pStyle w:val="TextoNormalNegritaCursivandice"/>
      </w:pPr>
      <w:r>
        <w:t>Estatuto del personal de Les Corts Valencianes de 16 de junio de 2010</w:t>
      </w:r>
    </w:p>
    <w:p w:rsidR="00427CF1" w:rsidRDefault="00427CF1" w:rsidP="00427CF1">
      <w:pPr>
        <w:pStyle w:val="SangriaFrancesaArticulo"/>
      </w:pPr>
      <w:r w:rsidRPr="00427CF1">
        <w:rPr>
          <w:rStyle w:val="TextoNormalNegritaCaracter"/>
        </w:rPr>
        <w:t>Artículo 9.</w:t>
      </w:r>
      <w:r w:rsidRPr="00427CF1">
        <w:rPr>
          <w:rStyle w:val="TextoNormalCaracter"/>
        </w:rPr>
        <w:t>-</w:t>
      </w:r>
      <w:r>
        <w:t xml:space="preserve"> Auto </w:t>
      </w:r>
      <w:hyperlink w:anchor="AUTO_2016_200" w:history="1">
        <w:r w:rsidRPr="00427CF1">
          <w:rPr>
            <w:rStyle w:val="TextoNormalCaracter"/>
          </w:rPr>
          <w:t>200/2016</w:t>
        </w:r>
      </w:hyperlink>
      <w:r>
        <w:t>, ff. 1, 3.</w:t>
      </w:r>
    </w:p>
    <w:p w:rsidR="00427CF1" w:rsidRDefault="00427CF1" w:rsidP="00427CF1">
      <w:pPr>
        <w:pStyle w:val="SangriaFrancesaArticulo"/>
      </w:pPr>
      <w:r w:rsidRPr="00427CF1">
        <w:rPr>
          <w:rStyle w:val="TextoNormalNegritaCaracter"/>
        </w:rPr>
        <w:t>Disposición transitoria segunda.</w:t>
      </w:r>
      <w:r w:rsidRPr="00427CF1">
        <w:rPr>
          <w:rStyle w:val="TextoNormalCaracter"/>
        </w:rPr>
        <w:t>-</w:t>
      </w:r>
      <w:r>
        <w:t xml:space="preserve"> Auto </w:t>
      </w:r>
      <w:hyperlink w:anchor="AUTO_2016_200" w:history="1">
        <w:r w:rsidRPr="00427CF1">
          <w:rPr>
            <w:rStyle w:val="TextoNormalCaracter"/>
          </w:rPr>
          <w:t>200/2016</w:t>
        </w:r>
      </w:hyperlink>
      <w:r>
        <w:t>, ff. 1, 3.</w:t>
      </w:r>
    </w:p>
    <w:p w:rsidR="00427CF1" w:rsidRDefault="00427CF1" w:rsidP="00427CF1">
      <w:pPr>
        <w:pStyle w:val="TextoNormal"/>
      </w:pPr>
    </w:p>
    <w:p w:rsidR="00427CF1" w:rsidRDefault="00427CF1" w:rsidP="00427CF1">
      <w:pPr>
        <w:pStyle w:val="SangriaFrancesaArticulo"/>
      </w:pPr>
      <w:bookmarkStart w:id="198" w:name="INDICE22869"/>
    </w:p>
    <w:bookmarkEnd w:id="198"/>
    <w:p w:rsidR="00427CF1" w:rsidRDefault="00427CF1" w:rsidP="00427CF1">
      <w:pPr>
        <w:pStyle w:val="TextoIndiceNivel2"/>
        <w:suppressAutoHyphens/>
      </w:pPr>
      <w:r>
        <w:t>K) Territorios históricos y corporaciones locales</w:t>
      </w:r>
    </w:p>
    <w:p w:rsidR="00427CF1" w:rsidRDefault="00427CF1" w:rsidP="00427CF1">
      <w:pPr>
        <w:pStyle w:val="TextoNormal"/>
      </w:pPr>
    </w:p>
    <w:p w:rsidR="00427CF1" w:rsidRDefault="00427CF1" w:rsidP="00427CF1">
      <w:pPr>
        <w:pStyle w:val="TextoNormalNegritaCentrado"/>
        <w:suppressAutoHyphens/>
      </w:pPr>
      <w:r w:rsidRPr="00427CF1">
        <w:rPr>
          <w:rStyle w:val="TextoNormalNegritaCentradoSombreado"/>
        </w:rPr>
        <w:t>K.18) Territorios históricos</w:t>
      </w:r>
    </w:p>
    <w:p w:rsidR="00427CF1" w:rsidRDefault="00427CF1" w:rsidP="00427CF1">
      <w:pPr>
        <w:pStyle w:val="TextoNormal"/>
      </w:pPr>
    </w:p>
    <w:p w:rsidR="00427CF1" w:rsidRDefault="00427CF1" w:rsidP="00427CF1">
      <w:pPr>
        <w:pStyle w:val="TextoNormalNegritaCentradoSubrayado"/>
        <w:suppressAutoHyphens/>
      </w:pPr>
      <w:r>
        <w:t>K.18.1) Gipuzkoa</w:t>
      </w:r>
    </w:p>
    <w:p w:rsidR="00427CF1" w:rsidRDefault="00427CF1" w:rsidP="00427CF1">
      <w:pPr>
        <w:pStyle w:val="TextoNormalNegritaCentradoSubrayado"/>
      </w:pPr>
    </w:p>
    <w:p w:rsidR="00427CF1" w:rsidRDefault="00427CF1" w:rsidP="00427CF1">
      <w:pPr>
        <w:pStyle w:val="TextoNormalNegritaCursivandice"/>
      </w:pPr>
      <w:r>
        <w:t>Norma Foral de la Junta General de Gipuzkoa 8/1998, de 24 de diciembre. Impuesto sobre la renta de las personas físicas</w:t>
      </w:r>
    </w:p>
    <w:p w:rsidR="00427CF1" w:rsidRDefault="00427CF1" w:rsidP="00427CF1">
      <w:pPr>
        <w:pStyle w:val="SangriaFrancesaArticulo"/>
      </w:pPr>
      <w:r w:rsidRPr="00427CF1">
        <w:rPr>
          <w:rStyle w:val="TextoNormalNegritaCaracter"/>
        </w:rPr>
        <w:t>Artículo 26.2.</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p>
    <w:p w:rsidR="00427CF1" w:rsidRDefault="00427CF1" w:rsidP="00427CF1">
      <w:pPr>
        <w:pStyle w:val="TextoNormalNegritaCursivandice"/>
      </w:pPr>
      <w:r>
        <w:t>Norma Foral de la Junta General de Gipuzkoa 10/2006, de 29 de diciembre. Impuesto sobre la renta de las personas físicas del territorio histórico de Guipúzcoa</w:t>
      </w:r>
    </w:p>
    <w:p w:rsidR="00427CF1" w:rsidRDefault="00427CF1" w:rsidP="00427CF1">
      <w:pPr>
        <w:pStyle w:val="SangriaFrancesaArticulo"/>
      </w:pPr>
      <w:r w:rsidRPr="00427CF1">
        <w:rPr>
          <w:rStyle w:val="TextoNormalNegritaCaracter"/>
        </w:rPr>
        <w:t>Artículo 26.5.</w:t>
      </w:r>
      <w:r w:rsidRPr="00427CF1">
        <w:rPr>
          <w:rStyle w:val="TextoNormalCaracter"/>
        </w:rPr>
        <w:t>-</w:t>
      </w:r>
      <w:r>
        <w:t xml:space="preserve"> Sentencia </w:t>
      </w:r>
      <w:hyperlink w:anchor="SENTENCIA_2016_203" w:history="1">
        <w:r w:rsidRPr="00427CF1">
          <w:rPr>
            <w:rStyle w:val="TextoNormalCaracter"/>
          </w:rPr>
          <w:t>203/2016</w:t>
        </w:r>
      </w:hyperlink>
      <w:r>
        <w:t>, f. 3.</w:t>
      </w:r>
    </w:p>
    <w:p w:rsidR="00427CF1" w:rsidRDefault="00427CF1" w:rsidP="00427CF1">
      <w:pPr>
        <w:pStyle w:val="SangriaFrancesaArticulo"/>
      </w:pPr>
      <w:r w:rsidRPr="00427CF1">
        <w:rPr>
          <w:rStyle w:val="TextoNormalNegritaCaracter"/>
        </w:rPr>
        <w:t>Artículo 30.</w:t>
      </w:r>
      <w:r w:rsidRPr="00427CF1">
        <w:rPr>
          <w:rStyle w:val="TextoNormalCaracter"/>
        </w:rPr>
        <w:t>-</w:t>
      </w:r>
      <w:r>
        <w:t xml:space="preserve"> Sentencia </w:t>
      </w:r>
      <w:hyperlink w:anchor="SENTENCIA_2016_203" w:history="1">
        <w:r w:rsidRPr="00427CF1">
          <w:rPr>
            <w:rStyle w:val="TextoNormalCaracter"/>
          </w:rPr>
          <w:t>203/2016</w:t>
        </w:r>
      </w:hyperlink>
      <w:r>
        <w:t>, ff. 3, 5.</w:t>
      </w:r>
    </w:p>
    <w:p w:rsidR="00427CF1" w:rsidRDefault="00427CF1" w:rsidP="00427CF1">
      <w:pPr>
        <w:pStyle w:val="SangriaFrancesaArticulo"/>
      </w:pPr>
      <w:r w:rsidRPr="00427CF1">
        <w:rPr>
          <w:rStyle w:val="TextoNormalNegritaCaracter"/>
        </w:rPr>
        <w:t>Artículo 30.1.</w:t>
      </w:r>
      <w:r w:rsidRPr="00427CF1">
        <w:rPr>
          <w:rStyle w:val="TextoNormalCaracter"/>
        </w:rPr>
        <w:t>-</w:t>
      </w:r>
      <w:r>
        <w:t xml:space="preserve"> Sentencia </w:t>
      </w:r>
      <w:hyperlink w:anchor="SENTENCIA_2016_203" w:history="1">
        <w:r w:rsidRPr="00427CF1">
          <w:rPr>
            <w:rStyle w:val="TextoNormalCaracter"/>
          </w:rPr>
          <w:t>203/2016</w:t>
        </w:r>
      </w:hyperlink>
      <w:r>
        <w:t>, f. 5.</w:t>
      </w:r>
    </w:p>
    <w:p w:rsidR="00427CF1" w:rsidRDefault="00427CF1" w:rsidP="00427CF1">
      <w:pPr>
        <w:pStyle w:val="SangriaFrancesaArticulo"/>
      </w:pPr>
      <w:r w:rsidRPr="00427CF1">
        <w:rPr>
          <w:rStyle w:val="TextoNormalNegritaCaracter"/>
        </w:rPr>
        <w:t>Artículo 30.2.</w:t>
      </w:r>
      <w:r w:rsidRPr="00427CF1">
        <w:rPr>
          <w:rStyle w:val="TextoNormalCaracter"/>
        </w:rPr>
        <w:t>-</w:t>
      </w:r>
      <w:r>
        <w:t xml:space="preserve"> Sentencia </w:t>
      </w:r>
      <w:hyperlink w:anchor="SENTENCIA_2016_203" w:history="1">
        <w:r w:rsidRPr="00427CF1">
          <w:rPr>
            <w:rStyle w:val="TextoNormalCaracter"/>
          </w:rPr>
          <w:t>203/2016</w:t>
        </w:r>
      </w:hyperlink>
      <w:r>
        <w:t>, ff. 1, 3, 5.</w:t>
      </w:r>
    </w:p>
    <w:p w:rsidR="00427CF1" w:rsidRDefault="00427CF1" w:rsidP="00427CF1">
      <w:pPr>
        <w:pStyle w:val="SangriaFrancesaArticulo"/>
      </w:pPr>
    </w:p>
    <w:p w:rsidR="00427CF1" w:rsidRDefault="00427CF1" w:rsidP="00427CF1">
      <w:pPr>
        <w:pStyle w:val="TextoNormalNegritaCursivandice"/>
      </w:pPr>
      <w:r>
        <w:t>Norma Foral de la Junta General de Gipuzkoa 3/2014, de 17 de enero. Impuesto sobre la renta de las personas físicas del territorio histórico de Gipuzkoa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03" w:history="1">
        <w:r w:rsidRPr="00427CF1">
          <w:rPr>
            <w:rStyle w:val="TextoNormalCaracter"/>
          </w:rPr>
          <w:t>203/2016</w:t>
        </w:r>
      </w:hyperlink>
      <w:r>
        <w:t>, ff. 1, 5.</w:t>
      </w:r>
    </w:p>
    <w:p w:rsidR="00427CF1" w:rsidRDefault="00427CF1" w:rsidP="00427CF1">
      <w:pPr>
        <w:pStyle w:val="SangriaFrancesaArticulo"/>
      </w:pPr>
      <w:r w:rsidRPr="00427CF1">
        <w:rPr>
          <w:rStyle w:val="TextoNormalNegritaCaracter"/>
        </w:rPr>
        <w:t>Artículo 25.1.</w:t>
      </w:r>
      <w:r w:rsidRPr="00427CF1">
        <w:rPr>
          <w:rStyle w:val="TextoNormalCaracter"/>
        </w:rPr>
        <w:t>-</w:t>
      </w:r>
      <w:r>
        <w:t xml:space="preserve"> Sentencia </w:t>
      </w:r>
      <w:hyperlink w:anchor="SENTENCIA_2016_203" w:history="1">
        <w:r w:rsidRPr="00427CF1">
          <w:rPr>
            <w:rStyle w:val="TextoNormalCaracter"/>
          </w:rPr>
          <w:t>203/2016</w:t>
        </w:r>
      </w:hyperlink>
      <w:r>
        <w:t>, f. 1.</w:t>
      </w:r>
    </w:p>
    <w:p w:rsidR="00427CF1" w:rsidRDefault="00427CF1" w:rsidP="00427CF1">
      <w:pPr>
        <w:pStyle w:val="TextoNormal"/>
      </w:pPr>
    </w:p>
    <w:p w:rsidR="00427CF1" w:rsidRDefault="00427CF1" w:rsidP="00427CF1">
      <w:pPr>
        <w:pStyle w:val="SangriaFrancesaArticulo"/>
      </w:pPr>
      <w:bookmarkStart w:id="199" w:name="INDICE22870"/>
    </w:p>
    <w:bookmarkEnd w:id="199"/>
    <w:p w:rsidR="00427CF1" w:rsidRDefault="00427CF1" w:rsidP="00427CF1">
      <w:pPr>
        <w:pStyle w:val="TextoIndiceNivel2"/>
        <w:suppressAutoHyphens/>
      </w:pPr>
      <w:r>
        <w:t>L) Tratados y acuerdos internacionales</w:t>
      </w:r>
    </w:p>
    <w:p w:rsidR="00427CF1" w:rsidRDefault="00427CF1" w:rsidP="00427CF1">
      <w:pPr>
        <w:pStyle w:val="TextoIndiceNivel2"/>
      </w:pPr>
    </w:p>
    <w:p w:rsidR="00427CF1" w:rsidRDefault="00427CF1" w:rsidP="00427CF1">
      <w:pPr>
        <w:pStyle w:val="TextoNormalNegritaCursivandice"/>
      </w:pPr>
      <w:r>
        <w:t>Carta constitutiva de la Organización de Naciones Unidas, firmada en San Francisco el 26 de junio de 1945</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228" w:history="1">
        <w:r w:rsidRPr="00427CF1">
          <w:rPr>
            <w:rStyle w:val="TextoNormalCaracter"/>
          </w:rPr>
          <w:t>228/2016</w:t>
        </w:r>
      </w:hyperlink>
      <w:r>
        <w:t>, f. 6.</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228" w:history="1">
        <w:r w:rsidRPr="00427CF1">
          <w:rPr>
            <w:rStyle w:val="TextoNormalCaracter"/>
          </w:rPr>
          <w:t>228/2016</w:t>
        </w:r>
      </w:hyperlink>
      <w:r>
        <w:t>, f. 4.</w:t>
      </w:r>
    </w:p>
    <w:p w:rsidR="00427CF1" w:rsidRDefault="00427CF1" w:rsidP="00427CF1">
      <w:pPr>
        <w:pStyle w:val="SangriaFrancesaArticulo"/>
      </w:pPr>
    </w:p>
    <w:p w:rsidR="00427CF1" w:rsidRDefault="00427CF1" w:rsidP="00427CF1">
      <w:pPr>
        <w:pStyle w:val="TextoNormalNegritaCursivandice"/>
      </w:pPr>
      <w:r>
        <w:t>Declaración universal de derechos humanos de 10 de diciembre de 1948</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Convenio de Viena de 24 de abril de 1963. Relaciones, privilegios e inmunidades consulares, al que se adhirió España el 3 de febrero de 1970</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8" w:history="1">
        <w:r w:rsidRPr="00427CF1">
          <w:rPr>
            <w:rStyle w:val="TextoNormalCaracter"/>
          </w:rPr>
          <w:t>228/2016</w:t>
        </w:r>
      </w:hyperlink>
      <w:r>
        <w:t>, f. 9.</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228" w:history="1">
        <w:r w:rsidRPr="00427CF1">
          <w:rPr>
            <w:rStyle w:val="TextoNormalCaracter"/>
          </w:rPr>
          <w:t>228/2016</w:t>
        </w:r>
      </w:hyperlink>
      <w:r>
        <w:t>, f. 9.</w:t>
      </w:r>
    </w:p>
    <w:p w:rsidR="00427CF1" w:rsidRDefault="00427CF1" w:rsidP="00427CF1">
      <w:pPr>
        <w:pStyle w:val="SangriaFrancesaArticulo"/>
      </w:pPr>
    </w:p>
    <w:p w:rsidR="00427CF1" w:rsidRDefault="00427CF1" w:rsidP="00427CF1">
      <w:pPr>
        <w:pStyle w:val="TextoNormalNegritaCursivandice"/>
      </w:pPr>
      <w:r>
        <w:t>Pacto internacional de derechos civiles y políticos. Nueva York, 16 de diciembre de 1966. Ratificado por Instrumento de 13 de abril de 1977</w:t>
      </w:r>
    </w:p>
    <w:p w:rsidR="00427CF1" w:rsidRDefault="00427CF1" w:rsidP="00427CF1">
      <w:pPr>
        <w:pStyle w:val="SangriaFrancesaArticulo"/>
      </w:pPr>
      <w:r w:rsidRPr="00427CF1">
        <w:rPr>
          <w:rStyle w:val="TextoNormalNegritaCaracter"/>
        </w:rPr>
        <w:t>Artículo 15.1.</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p>
    <w:p w:rsidR="00427CF1" w:rsidRDefault="00427CF1" w:rsidP="00427CF1">
      <w:pPr>
        <w:pStyle w:val="TextoNormalNegritaCursivandice"/>
      </w:pPr>
      <w:r>
        <w:t>Pacto internacional de derechos económicos, sociales y culturales, adoptado por la Asamblea General de las Naciones Unidas (Nueva York), de 19 de diciembre de 1966. Ratificado por Instrumento de 13 de abril de 1977</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r w:rsidRPr="00427CF1">
        <w:rPr>
          <w:rStyle w:val="TextoNormalNegritaCaracter"/>
        </w:rPr>
        <w:t>Artículo 12.1.</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p>
    <w:p w:rsidR="00427CF1" w:rsidRDefault="00427CF1" w:rsidP="00427CF1">
      <w:pPr>
        <w:pStyle w:val="TextoNormalNegritaCursivandice"/>
      </w:pPr>
      <w:r>
        <w:t>Acuerdo entre el Gobierno del Reino de España y el Gobierno del Reino de Tailandia sobre cooperación en materia de ejecución de sentencias penales, hecho en Bangkok el 7 de diciembre de 1983. Ratificado por Instrumento de 12 de noviembre de 1987</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5" w:history="1">
        <w:r w:rsidRPr="00427CF1">
          <w:rPr>
            <w:rStyle w:val="TextoNormalCaracter"/>
          </w:rPr>
          <w:t>155/2016</w:t>
        </w:r>
      </w:hyperlink>
      <w:r>
        <w:t>, f. 3.</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Auto </w:t>
      </w:r>
      <w:hyperlink w:anchor="AUTO_2016_155" w:history="1">
        <w:r w:rsidRPr="00427CF1">
          <w:rPr>
            <w:rStyle w:val="TextoNormalCaracter"/>
          </w:rPr>
          <w:t>155/2016</w:t>
        </w:r>
      </w:hyperlink>
      <w:r>
        <w:t>, f. 5.</w:t>
      </w:r>
    </w:p>
    <w:p w:rsidR="00427CF1" w:rsidRDefault="00427CF1" w:rsidP="00427CF1">
      <w:pPr>
        <w:pStyle w:val="SangriaFrancesaArticulo"/>
      </w:pPr>
    </w:p>
    <w:p w:rsidR="00427CF1" w:rsidRDefault="00427CF1" w:rsidP="00427CF1">
      <w:pPr>
        <w:pStyle w:val="TextoNormalNegritaCursivandice"/>
      </w:pPr>
      <w:r>
        <w:t>Convención de Naciones Unidas, de 10 de diciembre de 1984. Contra la tortura y otros tratos o penas crueles, inhumanos o degradantes. Ratificada por Instrumento de 19 de octubre de 1987</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p>
    <w:p w:rsidR="00427CF1" w:rsidRDefault="00427CF1" w:rsidP="00427CF1">
      <w:pPr>
        <w:pStyle w:val="TextoNormalNegritaCursivandice"/>
      </w:pPr>
      <w:r>
        <w:t>Convención sobre los derechos del niño, adoptada por la Asamblea General de Naciones Unidas el 20 de noviembre de 1989. Ratificada por Instrumento de 30 de noviembre de 1990</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Sentencia </w:t>
      </w:r>
      <w:hyperlink w:anchor="SENTENCIA_2016_131" w:history="1">
        <w:r w:rsidRPr="00427CF1">
          <w:rPr>
            <w:rStyle w:val="TextoNormalCaracter"/>
          </w:rPr>
          <w:t>131/2016</w:t>
        </w:r>
      </w:hyperlink>
      <w:r>
        <w:t>, ff. 1, 6.</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31" w:history="1">
        <w:r w:rsidRPr="00427CF1">
          <w:rPr>
            <w:rStyle w:val="TextoNormalCaracter"/>
          </w:rPr>
          <w:t>131/2016</w:t>
        </w:r>
      </w:hyperlink>
      <w:r>
        <w:t>, f. 2.</w:t>
      </w:r>
    </w:p>
    <w:p w:rsidR="00427CF1" w:rsidRDefault="00427CF1" w:rsidP="00427CF1">
      <w:pPr>
        <w:pStyle w:val="SangriaFrancesaArticulo"/>
      </w:pPr>
      <w:r w:rsidRPr="00427CF1">
        <w:rPr>
          <w:rStyle w:val="TextoNormalNegritaCaracter"/>
        </w:rPr>
        <w:t>Artículo 24.</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TextoNormal"/>
      </w:pPr>
    </w:p>
    <w:p w:rsidR="00427CF1" w:rsidRDefault="00427CF1" w:rsidP="00427CF1">
      <w:pPr>
        <w:pStyle w:val="SangriaFrancesaArticulo"/>
      </w:pPr>
      <w:bookmarkStart w:id="200" w:name="INDICE22871"/>
    </w:p>
    <w:bookmarkEnd w:id="200"/>
    <w:p w:rsidR="00427CF1" w:rsidRDefault="00427CF1" w:rsidP="00427CF1">
      <w:pPr>
        <w:pStyle w:val="TextoIndiceNivel2"/>
        <w:suppressAutoHyphens/>
      </w:pPr>
      <w:r>
        <w:t>M) Unión Europea</w:t>
      </w:r>
    </w:p>
    <w:p w:rsidR="00427CF1" w:rsidRDefault="00427CF1" w:rsidP="00427CF1">
      <w:pPr>
        <w:pStyle w:val="TextoIndiceNivel2"/>
      </w:pPr>
    </w:p>
    <w:p w:rsidR="00427CF1" w:rsidRDefault="00427CF1" w:rsidP="00427CF1">
      <w:pPr>
        <w:pStyle w:val="TextoNormalNegritaCursivandice"/>
      </w:pPr>
      <w:r>
        <w:t>Tratado constitutivo de la Comunidad Europea, firmado en Roma el 25 de marzo de 1957, reformado por el Tratado de la Unión Europea, hecho en Maastricht el 7 de febrero de 1992</w:t>
      </w:r>
    </w:p>
    <w:p w:rsidR="00427CF1" w:rsidRDefault="00427CF1" w:rsidP="00427CF1">
      <w:pPr>
        <w:pStyle w:val="SangriaFrancesaArticulo"/>
      </w:pPr>
      <w:r w:rsidRPr="00427CF1">
        <w:rPr>
          <w:rStyle w:val="TextoNormalNegritaCaracter"/>
        </w:rPr>
        <w:t>Artículo 43.</w:t>
      </w:r>
      <w:r w:rsidRPr="00427CF1">
        <w:rPr>
          <w:rStyle w:val="TextoNormalCaracter"/>
        </w:rPr>
        <w:t>-</w:t>
      </w:r>
      <w:r>
        <w:t xml:space="preserve"> Sentencia </w:t>
      </w:r>
      <w:hyperlink w:anchor="SENTENCIA_2016_157" w:history="1">
        <w:r w:rsidRPr="00427CF1">
          <w:rPr>
            <w:rStyle w:val="TextoNormalCaracter"/>
          </w:rPr>
          <w:t>157/2016</w:t>
        </w:r>
      </w:hyperlink>
      <w:r>
        <w:t>, f. 2.</w:t>
      </w:r>
    </w:p>
    <w:p w:rsidR="00427CF1" w:rsidRDefault="00427CF1" w:rsidP="00427CF1">
      <w:pPr>
        <w:pStyle w:val="SangriaFrancesaArticulo"/>
      </w:pPr>
    </w:p>
    <w:p w:rsidR="00427CF1" w:rsidRDefault="00427CF1" w:rsidP="00427CF1">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62" w:history="1">
        <w:r w:rsidRPr="00427CF1">
          <w:rPr>
            <w:rStyle w:val="TextoNormalCaracter"/>
          </w:rPr>
          <w:t>162/2016</w:t>
        </w:r>
      </w:hyperlink>
      <w:r>
        <w:t>, f. 6.</w:t>
      </w:r>
    </w:p>
    <w:p w:rsidR="00427CF1" w:rsidRDefault="00427CF1" w:rsidP="00427CF1">
      <w:pPr>
        <w:pStyle w:val="SangriaFrancesaArticulo"/>
      </w:pPr>
      <w:r w:rsidRPr="00427CF1">
        <w:rPr>
          <w:rStyle w:val="TextoNormalNegritaCaracter"/>
        </w:rPr>
        <w:t>Artículo 2.3.</w:t>
      </w:r>
      <w:r w:rsidRPr="00427CF1">
        <w:rPr>
          <w:rStyle w:val="TextoNormalCaracter"/>
        </w:rPr>
        <w:t>-</w:t>
      </w:r>
      <w:r>
        <w:t xml:space="preserve"> Sentencia </w:t>
      </w:r>
      <w:hyperlink w:anchor="SENTENCIA_2016_162" w:history="1">
        <w:r w:rsidRPr="00427CF1">
          <w:rPr>
            <w:rStyle w:val="TextoNormalCaracter"/>
          </w:rPr>
          <w:t>162/2016</w:t>
        </w:r>
      </w:hyperlink>
      <w:r>
        <w:t>, f. 6.</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62" w:history="1">
        <w:r w:rsidRPr="00427CF1">
          <w:rPr>
            <w:rStyle w:val="TextoNormalCaracter"/>
          </w:rPr>
          <w:t>162/2016</w:t>
        </w:r>
      </w:hyperlink>
      <w:r>
        <w:t>, f. 6.</w:t>
      </w:r>
    </w:p>
    <w:p w:rsidR="00427CF1" w:rsidRDefault="00427CF1" w:rsidP="00427CF1">
      <w:pPr>
        <w:pStyle w:val="SangriaFrancesaArticulo"/>
      </w:pPr>
    </w:p>
    <w:p w:rsidR="00427CF1" w:rsidRDefault="00427CF1" w:rsidP="00427CF1">
      <w:pPr>
        <w:pStyle w:val="TextoNormalNegritaCursivandice"/>
      </w:pPr>
      <w:r>
        <w:t>Directiva 93/13/CEE del Consejo, de 5 de abril de 1993. Cláusulas abusivas en los contratos celebrados con consumidores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ff. 4, 5; </w:t>
      </w:r>
      <w:hyperlink w:anchor="SENTENCIA_2016_213" w:history="1">
        <w:r w:rsidRPr="00427CF1">
          <w:rPr>
            <w:rStyle w:val="TextoNormalCaracter"/>
          </w:rPr>
          <w:t>213/2016</w:t>
        </w:r>
      </w:hyperlink>
      <w:r>
        <w:t>, f. 6.</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Sentencias </w:t>
      </w:r>
      <w:hyperlink w:anchor="SENTENCIA_2016_148" w:history="1">
        <w:r w:rsidRPr="00427CF1">
          <w:rPr>
            <w:rStyle w:val="TextoNormalCaracter"/>
          </w:rPr>
          <w:t>148/2016</w:t>
        </w:r>
      </w:hyperlink>
      <w:r>
        <w:t xml:space="preserve">, ff. 5, 6; </w:t>
      </w:r>
      <w:hyperlink w:anchor="SENTENCIA_2016_206" w:history="1">
        <w:r w:rsidRPr="00427CF1">
          <w:rPr>
            <w:rStyle w:val="TextoNormalCaracter"/>
          </w:rPr>
          <w:t>206/2016</w:t>
        </w:r>
      </w:hyperlink>
      <w:r>
        <w:t xml:space="preserve">, ff. 3, 4; </w:t>
      </w:r>
      <w:hyperlink w:anchor="SENTENCIA_2016_207" w:history="1">
        <w:r w:rsidRPr="00427CF1">
          <w:rPr>
            <w:rStyle w:val="TextoNormalCaracter"/>
          </w:rPr>
          <w:t>207/2016</w:t>
        </w:r>
      </w:hyperlink>
      <w:r>
        <w:t xml:space="preserve">, ff. 4, 5; </w:t>
      </w:r>
      <w:hyperlink w:anchor="SENTENCIA_2016_208" w:history="1">
        <w:r w:rsidRPr="00427CF1">
          <w:rPr>
            <w:rStyle w:val="TextoNormalCaracter"/>
          </w:rPr>
          <w:t>208/2016</w:t>
        </w:r>
      </w:hyperlink>
      <w:r>
        <w:t xml:space="preserve">, ff. 3, 4; </w:t>
      </w:r>
      <w:hyperlink w:anchor="SENTENCIA_2016_209" w:history="1">
        <w:r w:rsidRPr="00427CF1">
          <w:rPr>
            <w:rStyle w:val="TextoNormalCaracter"/>
          </w:rPr>
          <w:t>209/2016</w:t>
        </w:r>
      </w:hyperlink>
      <w:r>
        <w:t xml:space="preserve">, ff. 3, 4; </w:t>
      </w:r>
      <w:hyperlink w:anchor="SENTENCIA_2016_218" w:history="1">
        <w:r w:rsidRPr="00427CF1">
          <w:rPr>
            <w:rStyle w:val="TextoNormalCaracter"/>
          </w:rPr>
          <w:t>218/2016</w:t>
        </w:r>
      </w:hyperlink>
      <w:r>
        <w:t xml:space="preserve">, ff. 4, 5; </w:t>
      </w:r>
      <w:hyperlink w:anchor="SENTENCIA_2016_221" w:history="1">
        <w:r w:rsidRPr="00427CF1">
          <w:rPr>
            <w:rStyle w:val="TextoNormalCaracter"/>
          </w:rPr>
          <w:t>221/2016</w:t>
        </w:r>
      </w:hyperlink>
      <w:r>
        <w:t xml:space="preserve">, ff. 4, 5; </w:t>
      </w:r>
      <w:hyperlink w:anchor="SENTENCIA_2016_223" w:history="1">
        <w:r w:rsidRPr="00427CF1">
          <w:rPr>
            <w:rStyle w:val="TextoNormalCaracter"/>
          </w:rPr>
          <w:t>223/2016</w:t>
        </w:r>
      </w:hyperlink>
      <w:r>
        <w:t>, ff. 3, 4.</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Sentencias </w:t>
      </w:r>
      <w:hyperlink w:anchor="SENTENCIA_2016_148" w:history="1">
        <w:r w:rsidRPr="00427CF1">
          <w:rPr>
            <w:rStyle w:val="TextoNormalCaracter"/>
          </w:rPr>
          <w:t>148/2016</w:t>
        </w:r>
      </w:hyperlink>
      <w:r>
        <w:t xml:space="preserve">, ff. 4, 5;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Artículo 7.2.</w:t>
      </w:r>
      <w:r w:rsidRPr="00427CF1">
        <w:rPr>
          <w:rStyle w:val="TextoNormalCaracter"/>
        </w:rPr>
        <w:t>-</w:t>
      </w:r>
      <w:r>
        <w:t xml:space="preserve"> Sentencia </w:t>
      </w:r>
      <w:hyperlink w:anchor="SENTENCIA_2016_148" w:history="1">
        <w:r w:rsidRPr="00427CF1">
          <w:rPr>
            <w:rStyle w:val="TextoNormalCaracter"/>
          </w:rPr>
          <w:t>148/2016</w:t>
        </w:r>
      </w:hyperlink>
      <w:r>
        <w:t>, f. 4.</w:t>
      </w:r>
    </w:p>
    <w:p w:rsidR="00427CF1" w:rsidRDefault="00427CF1" w:rsidP="00427CF1">
      <w:pPr>
        <w:pStyle w:val="SangriaFrancesaArticulo"/>
      </w:pPr>
    </w:p>
    <w:p w:rsidR="00427CF1" w:rsidRDefault="00427CF1" w:rsidP="00427CF1">
      <w:pPr>
        <w:pStyle w:val="TextoNormalNegritaCursivandice"/>
      </w:pPr>
      <w:r>
        <w:t>Reglamento (CE) 1836/93 del Consejo, de 29 de junio de 1993. Adhesión voluntaria de las empresas del sector industrial a un sistema comunitario de gestión y auditoría medioambientales</w:t>
      </w:r>
    </w:p>
    <w:p w:rsidR="00427CF1" w:rsidRDefault="00427CF1" w:rsidP="00427CF1">
      <w:pPr>
        <w:pStyle w:val="SangriaFrancesaArticulo"/>
      </w:pPr>
      <w:r w:rsidRPr="00427CF1">
        <w:rPr>
          <w:rStyle w:val="TextoNormalNegritaCaracter"/>
        </w:rPr>
        <w:t>Artículo 1.1 a).</w:t>
      </w:r>
      <w:r w:rsidRPr="00427CF1">
        <w:rPr>
          <w:rStyle w:val="TextoNormalCaracter"/>
        </w:rPr>
        <w:t>-</w:t>
      </w:r>
      <w:r>
        <w:t xml:space="preserve"> Sentencia </w:t>
      </w:r>
      <w:hyperlink w:anchor="SENTENCIA_2016_141" w:history="1">
        <w:r w:rsidRPr="00427CF1">
          <w:rPr>
            <w:rStyle w:val="TextoNormalCaracter"/>
          </w:rPr>
          <w:t>141/2016</w:t>
        </w:r>
      </w:hyperlink>
      <w:r>
        <w:t>, f. 2.</w:t>
      </w:r>
    </w:p>
    <w:p w:rsidR="00427CF1" w:rsidRDefault="00427CF1" w:rsidP="00427CF1">
      <w:pPr>
        <w:pStyle w:val="SangriaFrancesaArticulo"/>
      </w:pPr>
    </w:p>
    <w:p w:rsidR="00427CF1" w:rsidRDefault="00427CF1" w:rsidP="00427CF1">
      <w:pPr>
        <w:pStyle w:val="TextoNormalNegritaCursivandice"/>
      </w:pPr>
      <w:r>
        <w:t>Decisión 94/69/CE del Consejo de 15 de diciembre de 1993. Celebración de la Convención marco sobre el cambio climático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 f. 2.</w:t>
      </w:r>
    </w:p>
    <w:p w:rsidR="00427CF1" w:rsidRDefault="00427CF1" w:rsidP="00427CF1">
      <w:pPr>
        <w:pStyle w:val="SangriaFrancesaArticulo"/>
      </w:pPr>
    </w:p>
    <w:p w:rsidR="00427CF1" w:rsidRDefault="00427CF1" w:rsidP="00427CF1">
      <w:pPr>
        <w:pStyle w:val="TextoNormalNegritaCursivandice"/>
      </w:pPr>
      <w:r>
        <w:t>Directiva 96/92/CE del Parlamento Europeo y del Consejo de 19 de diciembre de 1996. Normas comunes para el mercado interior de la electricidad</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96" w:history="1">
        <w:r w:rsidRPr="00427CF1">
          <w:rPr>
            <w:rStyle w:val="TextoNormalCaracter"/>
          </w:rPr>
          <w:t>196/2016</w:t>
        </w:r>
      </w:hyperlink>
      <w:r>
        <w:t xml:space="preserve">, f. 4; </w:t>
      </w:r>
      <w:hyperlink w:anchor="SENTENCIA_2016_198" w:history="1">
        <w:r w:rsidRPr="00427CF1">
          <w:rPr>
            <w:rStyle w:val="TextoNormalCaracter"/>
          </w:rPr>
          <w:t>198/2016</w:t>
        </w:r>
      </w:hyperlink>
      <w:r>
        <w:t>, f. 4.</w:t>
      </w:r>
    </w:p>
    <w:p w:rsidR="00427CF1" w:rsidRDefault="00427CF1" w:rsidP="00427CF1">
      <w:pPr>
        <w:pStyle w:val="SangriaFrancesaArticulo"/>
      </w:pPr>
    </w:p>
    <w:p w:rsidR="00427CF1" w:rsidRDefault="00427CF1" w:rsidP="00427CF1">
      <w:pPr>
        <w:pStyle w:val="TextoNormalNegritaCursivandice"/>
      </w:pPr>
      <w:r>
        <w:t>Tratado de Amsterdam, de 22 de octubre de 1997. Modificación del Tratado de la Unión Europea, los Tratados constitutivos de las Comunidades Europeas y determinados actos conexos</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175.1.</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p>
    <w:p w:rsidR="00427CF1" w:rsidRDefault="00427CF1" w:rsidP="00427CF1">
      <w:pPr>
        <w:pStyle w:val="TextoNormalNegritaCursivandice"/>
      </w:pPr>
      <w:r>
        <w:t>Directiva 98/27/CE del Parlamento Europeo y del Consejo, de 19 de mayo de 1998. Acciones de cesación en materia de protección de los intereses de los consumidores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ff. 4, 5;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Artículo 2.1 a).</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Artículo 2.1 c).</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Sentencias </w:t>
      </w:r>
      <w:hyperlink w:anchor="SENTENCIA_2016_148" w:history="1">
        <w:r w:rsidRPr="00427CF1">
          <w:rPr>
            <w:rStyle w:val="TextoNormalCaracter"/>
          </w:rPr>
          <w:t>148/2016</w:t>
        </w:r>
      </w:hyperlink>
      <w:r>
        <w:t xml:space="preserve">, f. 5;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Artículo 17.</w:t>
      </w:r>
      <w:r w:rsidRPr="00427CF1">
        <w:rPr>
          <w:rStyle w:val="TextoNormalCaracter"/>
        </w:rPr>
        <w:t>-</w:t>
      </w:r>
      <w:r>
        <w:t xml:space="preserve"> Sentencia </w:t>
      </w:r>
      <w:hyperlink w:anchor="SENTENCIA_2016_218" w:history="1">
        <w:r w:rsidRPr="00427CF1">
          <w:rPr>
            <w:rStyle w:val="TextoNormalCaracter"/>
          </w:rPr>
          <w:t>218/2016</w:t>
        </w:r>
      </w:hyperlink>
      <w:r>
        <w:t>, f. 4.</w:t>
      </w:r>
    </w:p>
    <w:p w:rsidR="00427CF1" w:rsidRDefault="00427CF1" w:rsidP="00427CF1">
      <w:pPr>
        <w:pStyle w:val="SangriaFrancesaArticulo"/>
      </w:pPr>
    </w:p>
    <w:p w:rsidR="00427CF1" w:rsidRDefault="00427CF1" w:rsidP="00427CF1">
      <w:pPr>
        <w:pStyle w:val="TextoNormalNegritaCursivandice"/>
      </w:pPr>
      <w:r>
        <w:t>Directiva 2001/40/CE del Consejo, de 28 de mayo de 2001. Reconocimiento mutuo de las decisiones en materia de expulsión de nacionales de terceros países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1" w:history="1">
        <w:r w:rsidRPr="00427CF1">
          <w:rPr>
            <w:rStyle w:val="TextoNormalCaracter"/>
          </w:rPr>
          <w:t>131/2016</w:t>
        </w:r>
      </w:hyperlink>
      <w:r>
        <w:t>, ff. 6, 7.</w:t>
      </w:r>
    </w:p>
    <w:p w:rsidR="00427CF1" w:rsidRDefault="00427CF1" w:rsidP="00427CF1">
      <w:pPr>
        <w:pStyle w:val="SangriaFrancesaArticulo"/>
      </w:pPr>
    </w:p>
    <w:p w:rsidR="00427CF1" w:rsidRDefault="00427CF1" w:rsidP="00427CF1">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2" w:history="1">
        <w:r w:rsidRPr="00427CF1">
          <w:rPr>
            <w:rStyle w:val="TextoNormalCaracter"/>
          </w:rPr>
          <w:t>162/2016</w:t>
        </w:r>
      </w:hyperlink>
      <w:r>
        <w:t>, ff. 2, 4.</w:t>
      </w:r>
    </w:p>
    <w:p w:rsidR="00427CF1" w:rsidRDefault="00427CF1" w:rsidP="00427CF1">
      <w:pPr>
        <w:pStyle w:val="SangriaFrancesaArticulo"/>
      </w:pPr>
      <w:r w:rsidRPr="00427CF1">
        <w:rPr>
          <w:rStyle w:val="TextoNormalNegritaCaracter"/>
        </w:rPr>
        <w:t>Artículo 8.6 apartado 1.</w:t>
      </w:r>
      <w:r w:rsidRPr="00427CF1">
        <w:rPr>
          <w:rStyle w:val="TextoNormalCaracter"/>
        </w:rPr>
        <w:t>-</w:t>
      </w:r>
      <w:r>
        <w:t xml:space="preserve"> Sentencia </w:t>
      </w:r>
      <w:hyperlink w:anchor="SENTENCIA_2016_162" w:history="1">
        <w:r w:rsidRPr="00427CF1">
          <w:rPr>
            <w:rStyle w:val="TextoNormalCaracter"/>
          </w:rPr>
          <w:t>162/2016</w:t>
        </w:r>
      </w:hyperlink>
      <w:r>
        <w:t>, f. 2.</w:t>
      </w:r>
    </w:p>
    <w:p w:rsidR="00427CF1" w:rsidRDefault="00427CF1" w:rsidP="00427CF1">
      <w:pPr>
        <w:pStyle w:val="SangriaFrancesaArticulo"/>
      </w:pPr>
    </w:p>
    <w:p w:rsidR="00427CF1" w:rsidRDefault="00427CF1" w:rsidP="00427CF1">
      <w:pPr>
        <w:pStyle w:val="TextoNormalNegritaCursivandice"/>
      </w:pPr>
      <w:r>
        <w:t>Directiva 2003/109/CE, de 25 de noviembre. Estatuto de los nacionales de terceros países residentes de larga duración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1" w:history="1">
        <w:r w:rsidRPr="00427CF1">
          <w:rPr>
            <w:rStyle w:val="TextoNormalCaracter"/>
          </w:rPr>
          <w:t>131/2016</w:t>
        </w:r>
      </w:hyperlink>
      <w:r>
        <w:t>, f. 7.</w:t>
      </w:r>
    </w:p>
    <w:p w:rsidR="00427CF1" w:rsidRDefault="00427CF1" w:rsidP="00427CF1">
      <w:pPr>
        <w:pStyle w:val="SangriaFrancesaArticulo"/>
      </w:pPr>
      <w:r w:rsidRPr="00427CF1">
        <w:rPr>
          <w:rStyle w:val="TextoNormalNegritaCaracter"/>
        </w:rPr>
        <w:t>Artículo 12.</w:t>
      </w:r>
      <w:r w:rsidRPr="00427CF1">
        <w:rPr>
          <w:rStyle w:val="TextoNormalCaracter"/>
        </w:rPr>
        <w:t>-</w:t>
      </w:r>
      <w:r>
        <w:t xml:space="preserve"> Sentencia </w:t>
      </w:r>
      <w:hyperlink w:anchor="SENTENCIA_2016_201" w:history="1">
        <w:r w:rsidRPr="00427CF1">
          <w:rPr>
            <w:rStyle w:val="TextoNormalCaracter"/>
          </w:rPr>
          <w:t>201/2016</w:t>
        </w:r>
      </w:hyperlink>
      <w:r>
        <w:t>, f. 3.</w:t>
      </w:r>
    </w:p>
    <w:p w:rsidR="00427CF1" w:rsidRDefault="00427CF1" w:rsidP="00427CF1">
      <w:pPr>
        <w:pStyle w:val="SangriaFrancesaArticulo"/>
      </w:pPr>
    </w:p>
    <w:p w:rsidR="00427CF1" w:rsidRDefault="00427CF1" w:rsidP="00427CF1">
      <w:pPr>
        <w:pStyle w:val="TextoNormalNegritaCursivandice"/>
      </w:pPr>
      <w:r>
        <w:t>Directiva 2004/8/CE del Parlamento Europeo y del Consejo de 11 de febrero de 2004. Fomento de la cogeneración sobre la base de la demanda de calor útil en el mercado interiorde la energía y por la que se modifica la Directiva 92/42/CEE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74" w:history="1">
        <w:r w:rsidRPr="00427CF1">
          <w:rPr>
            <w:rStyle w:val="TextoNormalCaracter"/>
          </w:rPr>
          <w:t>174/2016</w:t>
        </w:r>
      </w:hyperlink>
      <w:r>
        <w:t>, f. 2.</w:t>
      </w:r>
    </w:p>
    <w:p w:rsidR="00427CF1" w:rsidRDefault="00427CF1" w:rsidP="00427CF1">
      <w:pPr>
        <w:pStyle w:val="SangriaFrancesaArticulo"/>
      </w:pPr>
    </w:p>
    <w:p w:rsidR="00427CF1" w:rsidRDefault="00427CF1" w:rsidP="00427CF1">
      <w:pPr>
        <w:pStyle w:val="TextoNormalNegritaCursivandice"/>
      </w:pPr>
      <w:r>
        <w:t>Directiva 2004/38/CE del Parlamento Europeo y del Consejo, de 29 de abril de 2004. Derecho de los ciudadanos de la Unión y de los miembros de sus familiasa circular y residir libremente en el territorio de los Estados miembros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4.</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139" w:history="1">
        <w:r w:rsidRPr="00427CF1">
          <w:rPr>
            <w:rStyle w:val="TextoNormalCaracter"/>
          </w:rPr>
          <w:t>139/2016</w:t>
        </w:r>
      </w:hyperlink>
      <w:r>
        <w:t>, f. 4.</w:t>
      </w:r>
    </w:p>
    <w:p w:rsidR="00427CF1" w:rsidRDefault="00427CF1" w:rsidP="00427CF1">
      <w:pPr>
        <w:pStyle w:val="SangriaFrancesaArticulo"/>
      </w:pPr>
    </w:p>
    <w:p w:rsidR="00427CF1" w:rsidRDefault="00427CF1" w:rsidP="00427CF1">
      <w:pPr>
        <w:pStyle w:val="TextoNormalNegritaCursivandice"/>
      </w:pPr>
      <w:r>
        <w:t>Reglamento (CE) 882/2004 del Parlamento Europeo y del Consejo, de 29 de abril de 2004. Controles oficiales efectuados para garantizar la verificación del cumplimiento de la legislación en materia de piensos y alimentos y la normativa sobre salud animal y bienestar de los animales</w:t>
      </w:r>
    </w:p>
    <w:p w:rsidR="00427CF1" w:rsidRDefault="00427CF1" w:rsidP="00427CF1">
      <w:pPr>
        <w:pStyle w:val="SangriaFrancesaArticulo"/>
      </w:pPr>
      <w:r w:rsidRPr="00427CF1">
        <w:rPr>
          <w:rStyle w:val="TextoNormalNegritaCaracter"/>
        </w:rPr>
        <w:t>Preámbulo.</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r w:rsidRPr="00427CF1">
        <w:rPr>
          <w:rStyle w:val="TextoNormalNegritaCaracter"/>
        </w:rPr>
        <w:t>Artículo 55.</w:t>
      </w:r>
      <w:r w:rsidRPr="00427CF1">
        <w:rPr>
          <w:rStyle w:val="TextoNormalCaracter"/>
        </w:rPr>
        <w:t>-</w:t>
      </w:r>
      <w:r>
        <w:t xml:space="preserve"> Sentencia </w:t>
      </w:r>
      <w:hyperlink w:anchor="SENTENCIA_2016_142" w:history="1">
        <w:r w:rsidRPr="00427CF1">
          <w:rPr>
            <w:rStyle w:val="TextoNormalCaracter"/>
          </w:rPr>
          <w:t>142/2016</w:t>
        </w:r>
      </w:hyperlink>
      <w:r>
        <w:t>, f. 4.</w:t>
      </w:r>
    </w:p>
    <w:p w:rsidR="00427CF1" w:rsidRDefault="00427CF1" w:rsidP="00427CF1">
      <w:pPr>
        <w:pStyle w:val="SangriaFrancesaArticulo"/>
      </w:pPr>
    </w:p>
    <w:p w:rsidR="00427CF1" w:rsidRDefault="00427CF1" w:rsidP="00427CF1">
      <w:pPr>
        <w:pStyle w:val="TextoNormalNegritaCursivandice"/>
      </w:pPr>
      <w:r>
        <w:t>Reglamento (CE) 883/2004 del Parlamento Europeo y del Consejo, de 29 de abril de 2004. Coordinación de los sistemas de seguridad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4.</w:t>
      </w:r>
    </w:p>
    <w:p w:rsidR="00427CF1" w:rsidRDefault="00427CF1" w:rsidP="00427CF1">
      <w:pPr>
        <w:pStyle w:val="SangriaFrancesaArticulo"/>
      </w:pPr>
    </w:p>
    <w:p w:rsidR="00427CF1" w:rsidRDefault="00427CF1" w:rsidP="00427CF1">
      <w:pPr>
        <w:pStyle w:val="TextoNormalNegritaCursivandice"/>
      </w:pPr>
      <w:r>
        <w:t>Directiva 2006/32/CE del Parlamento Europeo y del Consejo de 5 de abril de 2006.Eficiencia del uso final de la energía y los servicios energéticos y por la que se deroga la Directiva 93/76/CEE del Consejo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 6; </w:t>
      </w:r>
      <w:hyperlink w:anchor="SENTENCIA_2016_174" w:history="1">
        <w:r w:rsidRPr="00427CF1">
          <w:rPr>
            <w:rStyle w:val="TextoNormalCaracter"/>
          </w:rPr>
          <w:t>174/2016</w:t>
        </w:r>
      </w:hyperlink>
      <w:r>
        <w:t>, f. 2.</w:t>
      </w:r>
    </w:p>
    <w:p w:rsidR="00427CF1" w:rsidRDefault="00427CF1" w:rsidP="00427CF1">
      <w:pPr>
        <w:pStyle w:val="SangriaFrancesaArticulo"/>
      </w:pPr>
    </w:p>
    <w:p w:rsidR="00427CF1" w:rsidRDefault="00427CF1" w:rsidP="00427CF1">
      <w:pPr>
        <w:pStyle w:val="TextoNormalNegritaCursivandice"/>
      </w:pPr>
      <w:r>
        <w:t>Directiva 2006/123/CE del Parlamento Europeo y del Consejo, de 12 de diciembre de 2006. Servicios en el mercado interior</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28" w:history="1">
        <w:r w:rsidRPr="00427CF1">
          <w:rPr>
            <w:rStyle w:val="TextoNormalCaracter"/>
          </w:rPr>
          <w:t>128/2016</w:t>
        </w:r>
      </w:hyperlink>
      <w:r>
        <w:t xml:space="preserve">, f. 3; </w:t>
      </w:r>
      <w:hyperlink w:anchor="SENTENCIA_2016_155" w:history="1">
        <w:r w:rsidRPr="00427CF1">
          <w:rPr>
            <w:rStyle w:val="TextoNormalCaracter"/>
          </w:rPr>
          <w:t>155/2016</w:t>
        </w:r>
      </w:hyperlink>
      <w:r>
        <w:t xml:space="preserve">, f. 4; </w:t>
      </w:r>
      <w:hyperlink w:anchor="SENTENCIA_2016_157" w:history="1">
        <w:r w:rsidRPr="00427CF1">
          <w:rPr>
            <w:rStyle w:val="TextoNormalCaracter"/>
          </w:rPr>
          <w:t>157/2016</w:t>
        </w:r>
      </w:hyperlink>
      <w:r>
        <w:t>, f. 2.</w:t>
      </w:r>
    </w:p>
    <w:p w:rsidR="00427CF1" w:rsidRDefault="00427CF1" w:rsidP="00427CF1">
      <w:pPr>
        <w:pStyle w:val="SangriaFrancesaArticulo"/>
      </w:pPr>
    </w:p>
    <w:p w:rsidR="00427CF1" w:rsidRDefault="00427CF1" w:rsidP="00427CF1">
      <w:pPr>
        <w:pStyle w:val="TextoNormalNegritaCursivandice"/>
      </w:pPr>
      <w:r>
        <w:t>Carta de los derechos fundamentales de la Unión Europea. Estrasburgo, 12 de diciembre de 2007 (versión consolidada)</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131" w:history="1">
        <w:r w:rsidRPr="00427CF1">
          <w:rPr>
            <w:rStyle w:val="TextoNormalCaracter"/>
          </w:rPr>
          <w:t>131/2016</w:t>
        </w:r>
      </w:hyperlink>
      <w:r>
        <w:t>, f. 6.</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r w:rsidRPr="00427CF1">
        <w:rPr>
          <w:rStyle w:val="TextoNormalNegritaCaracter"/>
        </w:rPr>
        <w:t>Artículo 47.</w:t>
      </w:r>
      <w:r w:rsidRPr="00427CF1">
        <w:rPr>
          <w:rStyle w:val="TextoNormalCaracter"/>
        </w:rPr>
        <w:t>-</w:t>
      </w:r>
      <w:r>
        <w:t xml:space="preserve"> Sentencia </w:t>
      </w:r>
      <w:hyperlink w:anchor="SENTENCIA_2016_140" w:history="1">
        <w:r w:rsidRPr="00427CF1">
          <w:rPr>
            <w:rStyle w:val="TextoNormalCaracter"/>
          </w:rPr>
          <w:t>140/2016</w:t>
        </w:r>
      </w:hyperlink>
      <w:r>
        <w:t>, ff. 5, 6.</w:t>
      </w:r>
    </w:p>
    <w:p w:rsidR="00427CF1" w:rsidRDefault="00427CF1" w:rsidP="00427CF1">
      <w:pPr>
        <w:pStyle w:val="SangriaFrancesaArticulo"/>
      </w:pPr>
      <w:r w:rsidRPr="00427CF1">
        <w:rPr>
          <w:rStyle w:val="TextoNormalNegritaCaracter"/>
        </w:rPr>
        <w:t>Artículo 47.10</w:t>
      </w:r>
      <w:r>
        <w:t xml:space="preserve"> (redactado por la Ley del Parlamento de Cataluña 2/2014, de 27 de enero)</w:t>
      </w:r>
      <w:r w:rsidRPr="00427CF1">
        <w:rPr>
          <w:rStyle w:val="TextoNormalNegritaCaracter"/>
        </w:rPr>
        <w:t>.</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r w:rsidRPr="00427CF1">
        <w:rPr>
          <w:rStyle w:val="TextoNormalNegritaCaracter"/>
        </w:rPr>
        <w:t>Artículo 49.1.</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p>
    <w:p w:rsidR="00427CF1" w:rsidRDefault="00427CF1" w:rsidP="00427CF1">
      <w:pPr>
        <w:pStyle w:val="TextoNormalNegritaCursivandice"/>
      </w:pPr>
      <w:r>
        <w:t>Tratado de Lisboa, de 13 de diciembre de 2007. Tratado de funcionamiento de la Unión Europea</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4.2 e).</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5.</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r w:rsidRPr="00427CF1">
        <w:rPr>
          <w:rStyle w:val="TextoNormalNegritaCaracter"/>
        </w:rPr>
        <w:t>Artículo 49.</w:t>
      </w:r>
      <w:r w:rsidRPr="00427CF1">
        <w:rPr>
          <w:rStyle w:val="TextoNormalCaracter"/>
        </w:rPr>
        <w:t>-</w:t>
      </w:r>
      <w:r>
        <w:t xml:space="preserve"> Sentencia </w:t>
      </w:r>
      <w:hyperlink w:anchor="SENTENCIA_2016_157" w:history="1">
        <w:r w:rsidRPr="00427CF1">
          <w:rPr>
            <w:rStyle w:val="TextoNormalCaracter"/>
          </w:rPr>
          <w:t>157/2016</w:t>
        </w:r>
      </w:hyperlink>
      <w:r>
        <w:t>, ff. 2, 7.</w:t>
      </w:r>
    </w:p>
    <w:p w:rsidR="00427CF1" w:rsidRDefault="00427CF1" w:rsidP="00427CF1">
      <w:pPr>
        <w:pStyle w:val="SangriaFrancesaArticulo"/>
      </w:pPr>
      <w:r w:rsidRPr="00427CF1">
        <w:rPr>
          <w:rStyle w:val="TextoNormalNegritaCaracter"/>
        </w:rPr>
        <w:t>Artículo 191.</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192.</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192.1.</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193.</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r w:rsidRPr="00427CF1">
        <w:rPr>
          <w:rStyle w:val="TextoNormalNegritaCaracter"/>
        </w:rPr>
        <w:t>Artículo 267.</w:t>
      </w:r>
      <w:r w:rsidRPr="00427CF1">
        <w:rPr>
          <w:rStyle w:val="TextoNormalCaracter"/>
        </w:rPr>
        <w:t>-</w:t>
      </w:r>
      <w:r>
        <w:t xml:space="preserve"> Autos </w:t>
      </w:r>
      <w:hyperlink w:anchor="AUTO_2016_155" w:history="1">
        <w:r w:rsidRPr="00427CF1">
          <w:rPr>
            <w:rStyle w:val="TextoNormalCaracter"/>
          </w:rPr>
          <w:t>155/2016</w:t>
        </w:r>
      </w:hyperlink>
      <w:r>
        <w:t xml:space="preserve">, VP I; </w:t>
      </w:r>
      <w:hyperlink w:anchor="AUTO_2016_168" w:history="1">
        <w:r w:rsidRPr="00427CF1">
          <w:rPr>
            <w:rStyle w:val="TextoNormalCaracter"/>
          </w:rPr>
          <w:t>168/2016</w:t>
        </w:r>
      </w:hyperlink>
      <w:r>
        <w:t xml:space="preserve">, f. 4; </w:t>
      </w:r>
      <w:hyperlink w:anchor="AUTO_2016_202" w:history="1">
        <w:r w:rsidRPr="00427CF1">
          <w:rPr>
            <w:rStyle w:val="TextoNormalCaracter"/>
          </w:rPr>
          <w:t>202/2016</w:t>
        </w:r>
      </w:hyperlink>
      <w:r>
        <w:t xml:space="preserve">, f. 3; </w:t>
      </w:r>
      <w:hyperlink w:anchor="AUTO_2016_203" w:history="1">
        <w:r w:rsidRPr="00427CF1">
          <w:rPr>
            <w:rStyle w:val="TextoNormalCaracter"/>
          </w:rPr>
          <w:t>203/2016</w:t>
        </w:r>
      </w:hyperlink>
      <w:r>
        <w:t xml:space="preserve">, f. 3; </w:t>
      </w:r>
      <w:hyperlink w:anchor="AUTO_2016_204" w:history="1">
        <w:r w:rsidRPr="00427CF1">
          <w:rPr>
            <w:rStyle w:val="TextoNormalCaracter"/>
          </w:rPr>
          <w:t>204/2016</w:t>
        </w:r>
      </w:hyperlink>
      <w:r>
        <w:t xml:space="preserve">, f. 3; </w:t>
      </w:r>
      <w:hyperlink w:anchor="AUTO_2016_205" w:history="1">
        <w:r w:rsidRPr="00427CF1">
          <w:rPr>
            <w:rStyle w:val="TextoNormalCaracter"/>
          </w:rPr>
          <w:t>205/2016</w:t>
        </w:r>
      </w:hyperlink>
      <w:r>
        <w:t>, f. 3.</w:t>
      </w:r>
    </w:p>
    <w:p w:rsidR="00427CF1" w:rsidRDefault="00427CF1" w:rsidP="00427CF1">
      <w:pPr>
        <w:pStyle w:val="SangriaFrancesaArticulo"/>
      </w:pPr>
    </w:p>
    <w:p w:rsidR="00427CF1" w:rsidRDefault="00427CF1" w:rsidP="00427CF1">
      <w:pPr>
        <w:pStyle w:val="TextoNormalNegritaCursivandice"/>
      </w:pPr>
      <w:r>
        <w:t>Reglamento (CE) 765/2008 del Parlamento Europeo y del Consejo, de 9 de julio de 2008. Establece los requisitos de acreditación y vigilancia del mercado relativos a la comercialización de los productos y por el que se deroga el Reglamento (CEE) 339/93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1" w:history="1">
        <w:r w:rsidRPr="00427CF1">
          <w:rPr>
            <w:rStyle w:val="TextoNormalCaracter"/>
          </w:rPr>
          <w:t>141/2016</w:t>
        </w:r>
      </w:hyperlink>
      <w:r>
        <w:t>, ff. 4, 7.</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 </w:t>
      </w:r>
      <w:hyperlink w:anchor="SENTENCIA_2016_141" w:history="1">
        <w:r w:rsidRPr="00427CF1">
          <w:rPr>
            <w:rStyle w:val="TextoNormalCaracter"/>
          </w:rPr>
          <w:t>141/2016</w:t>
        </w:r>
      </w:hyperlink>
      <w:r>
        <w:t>, ff. 4, 7.</w:t>
      </w:r>
    </w:p>
    <w:p w:rsidR="00427CF1" w:rsidRDefault="00427CF1" w:rsidP="00427CF1">
      <w:pPr>
        <w:pStyle w:val="SangriaFrancesaArticulo"/>
      </w:pPr>
      <w:r w:rsidRPr="00427CF1">
        <w:rPr>
          <w:rStyle w:val="TextoNormalNegritaCaracter"/>
        </w:rPr>
        <w:t>Artículo 4.2.</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4.9.</w:t>
      </w:r>
      <w:r w:rsidRPr="00427CF1">
        <w:rPr>
          <w:rStyle w:val="TextoNormalCaracter"/>
        </w:rPr>
        <w:t>-</w:t>
      </w:r>
      <w:r>
        <w:t xml:space="preserve"> Sentencia </w:t>
      </w:r>
      <w:hyperlink w:anchor="SENTENCIA_2016_141" w:history="1">
        <w:r w:rsidRPr="00427CF1">
          <w:rPr>
            <w:rStyle w:val="TextoNormalCaracter"/>
          </w:rPr>
          <w:t>141/2016</w:t>
        </w:r>
      </w:hyperlink>
      <w:r>
        <w:t>, f. 7.</w:t>
      </w:r>
    </w:p>
    <w:p w:rsidR="00427CF1" w:rsidRDefault="00427CF1" w:rsidP="00427CF1">
      <w:pPr>
        <w:pStyle w:val="SangriaFrancesaArticulo"/>
      </w:pPr>
      <w:r w:rsidRPr="00427CF1">
        <w:rPr>
          <w:rStyle w:val="TextoNormalNegritaCaracter"/>
        </w:rPr>
        <w:t>Artículo 5.2.</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p>
    <w:p w:rsidR="00427CF1" w:rsidRDefault="00427CF1" w:rsidP="00427CF1">
      <w:pPr>
        <w:pStyle w:val="TextoNormalNegritaCursivandice"/>
      </w:pPr>
      <w:r>
        <w:t>Decisión marco 2008/675/JAI del Consejo de 24 de julio de 2008. Consideración de las resoluciones condenatorias entre los Estados miembros de la Unión Europea con motivo de un nuevo proceso penal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5" w:history="1">
        <w:r w:rsidRPr="00427CF1">
          <w:rPr>
            <w:rStyle w:val="TextoNormalCaracter"/>
          </w:rPr>
          <w:t>155/2016</w:t>
        </w:r>
      </w:hyperlink>
      <w:r>
        <w:t>, ff. 3 a 5, VP I.</w:t>
      </w:r>
    </w:p>
    <w:p w:rsidR="00427CF1" w:rsidRDefault="00427CF1" w:rsidP="00427CF1">
      <w:pPr>
        <w:pStyle w:val="SangriaFrancesaArticulo"/>
      </w:pPr>
      <w:r w:rsidRPr="00427CF1">
        <w:rPr>
          <w:rStyle w:val="TextoNormalNegritaCaracter"/>
        </w:rPr>
        <w:t>Artículo 3.1.</w:t>
      </w:r>
      <w:r w:rsidRPr="00427CF1">
        <w:rPr>
          <w:rStyle w:val="TextoNormalCaracter"/>
        </w:rPr>
        <w:t>-</w:t>
      </w:r>
      <w:r>
        <w:t xml:space="preserve"> Auto </w:t>
      </w:r>
      <w:hyperlink w:anchor="AUTO_2016_155" w:history="1">
        <w:r w:rsidRPr="00427CF1">
          <w:rPr>
            <w:rStyle w:val="TextoNormalCaracter"/>
          </w:rPr>
          <w:t>155/2016</w:t>
        </w:r>
      </w:hyperlink>
      <w:r>
        <w:t>, f. 3, VP I.</w:t>
      </w:r>
    </w:p>
    <w:p w:rsidR="00427CF1" w:rsidRDefault="00427CF1" w:rsidP="00427CF1">
      <w:pPr>
        <w:pStyle w:val="SangriaFrancesaArticulo"/>
      </w:pPr>
      <w:r w:rsidRPr="00427CF1">
        <w:rPr>
          <w:rStyle w:val="TextoNormalNegritaCaracter"/>
        </w:rPr>
        <w:t>Artículo 3.2.</w:t>
      </w:r>
      <w:r w:rsidRPr="00427CF1">
        <w:rPr>
          <w:rStyle w:val="TextoNormalCaracter"/>
        </w:rPr>
        <w:t>-</w:t>
      </w:r>
      <w:r>
        <w:t xml:space="preserve"> Auto </w:t>
      </w:r>
      <w:hyperlink w:anchor="AUTO_2016_155" w:history="1">
        <w:r w:rsidRPr="00427CF1">
          <w:rPr>
            <w:rStyle w:val="TextoNormalCaracter"/>
          </w:rPr>
          <w:t>155/2016</w:t>
        </w:r>
      </w:hyperlink>
      <w:r>
        <w:t>, f. 3, VP I.</w:t>
      </w:r>
    </w:p>
    <w:p w:rsidR="00427CF1" w:rsidRDefault="00427CF1" w:rsidP="00427CF1">
      <w:pPr>
        <w:pStyle w:val="SangriaFrancesaArticulo"/>
      </w:pPr>
      <w:r w:rsidRPr="00427CF1">
        <w:rPr>
          <w:rStyle w:val="TextoNormalNegritaCaracter"/>
        </w:rPr>
        <w:t>Artículo 3.5.</w:t>
      </w:r>
      <w:r w:rsidRPr="00427CF1">
        <w:rPr>
          <w:rStyle w:val="TextoNormalCaracter"/>
        </w:rPr>
        <w:t>-</w:t>
      </w:r>
      <w:r>
        <w:t xml:space="preserve"> Auto </w:t>
      </w:r>
      <w:hyperlink w:anchor="AUTO_2016_155" w:history="1">
        <w:r w:rsidRPr="00427CF1">
          <w:rPr>
            <w:rStyle w:val="TextoNormalCaracter"/>
          </w:rPr>
          <w:t>155/2016</w:t>
        </w:r>
      </w:hyperlink>
      <w:r>
        <w:t>, ff. 2, 3, 5, 6, VP I.</w:t>
      </w:r>
    </w:p>
    <w:p w:rsidR="00427CF1" w:rsidRDefault="00427CF1" w:rsidP="00427CF1">
      <w:pPr>
        <w:pStyle w:val="SangriaFrancesaArticulo"/>
      </w:pPr>
      <w:r w:rsidRPr="00427CF1">
        <w:rPr>
          <w:rStyle w:val="TextoNormalNegritaCaracter"/>
        </w:rPr>
        <w:t>Artículo 5.1.</w:t>
      </w:r>
      <w:r w:rsidRPr="00427CF1">
        <w:rPr>
          <w:rStyle w:val="TextoNormalCaracter"/>
        </w:rPr>
        <w:t>-</w:t>
      </w:r>
      <w:r>
        <w:t xml:space="preserve"> Auto </w:t>
      </w:r>
      <w:hyperlink w:anchor="AUTO_2016_155" w:history="1">
        <w:r w:rsidRPr="00427CF1">
          <w:rPr>
            <w:rStyle w:val="TextoNormalCaracter"/>
          </w:rPr>
          <w:t>155/2016</w:t>
        </w:r>
      </w:hyperlink>
      <w:r>
        <w:t>, f. 4.</w:t>
      </w:r>
    </w:p>
    <w:p w:rsidR="00427CF1" w:rsidRDefault="00427CF1" w:rsidP="00427CF1">
      <w:pPr>
        <w:pStyle w:val="SangriaFrancesaArticulo"/>
      </w:pPr>
    </w:p>
    <w:p w:rsidR="00427CF1" w:rsidRDefault="00427CF1" w:rsidP="00427CF1">
      <w:pPr>
        <w:pStyle w:val="TextoNormalNegritaCursivandice"/>
      </w:pPr>
      <w:r>
        <w:t>Directiva 2008/114/CE del Parlamento Europeo y del Consejo, de 8 de diciembre de 2008. Identificación y designación de infraestructuras críticas europeas y la evaluación de la necesidad de mejorar su protección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28" w:history="1">
        <w:r w:rsidRPr="00427CF1">
          <w:rPr>
            <w:rStyle w:val="TextoNormalCaracter"/>
          </w:rPr>
          <w:t>128/2016</w:t>
        </w:r>
      </w:hyperlink>
      <w:r>
        <w:t>, f. 8.</w:t>
      </w:r>
    </w:p>
    <w:p w:rsidR="00427CF1" w:rsidRDefault="00427CF1" w:rsidP="00427CF1">
      <w:pPr>
        <w:pStyle w:val="SangriaFrancesaArticulo"/>
      </w:pPr>
    </w:p>
    <w:p w:rsidR="00427CF1" w:rsidRDefault="00427CF1" w:rsidP="00427CF1">
      <w:pPr>
        <w:pStyle w:val="TextoNormalNegritaCursivandice"/>
      </w:pPr>
      <w:r>
        <w:t>Directiva 2009/22/CE del Parlamento Europeo y del Consejo de 23 de abril de 2009. Acciones de cesación en materia de protección de los intereses de los consumidores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 5;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Artículo 1.</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Artículo 7.</w:t>
      </w:r>
      <w:r w:rsidRPr="00427CF1">
        <w:rPr>
          <w:rStyle w:val="TextoNormalCaracter"/>
        </w:rPr>
        <w:t>-</w:t>
      </w:r>
      <w:r>
        <w:t xml:space="preserve"> Sentencia </w:t>
      </w:r>
      <w:hyperlink w:anchor="SENTENCIA_2016_209" w:history="1">
        <w:r w:rsidRPr="00427CF1">
          <w:rPr>
            <w:rStyle w:val="TextoNormalCaracter"/>
          </w:rPr>
          <w:t>209/2016</w:t>
        </w:r>
      </w:hyperlink>
      <w:r>
        <w:t>, f. 3.</w:t>
      </w:r>
    </w:p>
    <w:p w:rsidR="00427CF1" w:rsidRDefault="00427CF1" w:rsidP="00427CF1">
      <w:pPr>
        <w:pStyle w:val="SangriaFrancesaArticulo"/>
      </w:pPr>
    </w:p>
    <w:p w:rsidR="00427CF1" w:rsidRDefault="00427CF1" w:rsidP="00427CF1">
      <w:pPr>
        <w:pStyle w:val="TextoNormalNegritaCursivandice"/>
      </w:pPr>
      <w:r>
        <w:t>Directiva 2009/28/CE del Parlamento Europeo y del Consejo, de 23 de abril de 2009. Fomento del uso de energía procedente de fuentes renovables y por la que se modifican y se derogan las Directivas 2001/77/CE y 2003/30/CE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 f. 2.</w:t>
      </w:r>
    </w:p>
    <w:p w:rsidR="00427CF1" w:rsidRDefault="00427CF1" w:rsidP="00427CF1">
      <w:pPr>
        <w:pStyle w:val="SangriaFrancesaArticulo"/>
      </w:pPr>
    </w:p>
    <w:p w:rsidR="00427CF1" w:rsidRDefault="00427CF1" w:rsidP="00427CF1">
      <w:pPr>
        <w:pStyle w:val="TextoNormalNegritaCursivandice"/>
      </w:pPr>
      <w:r>
        <w:t>Directiva 2009/31/CE del Parlamento Europeo y del Consejo, de 23 de abril de 2009.Almacenamiento geológico de dióxido de carbono y por la que se modifican la Directiva 85/337/CEE del Consejo, las Directivas 2000/60/CE, 2001/80/CE, 2004/35/CE, 2006/12/CE, 2008/1/CE y el Reglamento (CE) 1013/2006 del Parlamento Europeo y del Consejo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 ff. 2, 3, 5, 6, 10, VP.</w:t>
      </w:r>
    </w:p>
    <w:p w:rsidR="00427CF1" w:rsidRDefault="00427CF1" w:rsidP="00427CF1">
      <w:pPr>
        <w:pStyle w:val="SangriaFrancesaArticulo"/>
      </w:pPr>
      <w:r w:rsidRPr="00427CF1">
        <w:rPr>
          <w:rStyle w:val="TextoNormalNegritaCaracter"/>
        </w:rPr>
        <w:t>Artículo 4.1.</w:t>
      </w:r>
      <w:r w:rsidRPr="00427CF1">
        <w:rPr>
          <w:rStyle w:val="TextoNormalCaracter"/>
        </w:rPr>
        <w:t>-</w:t>
      </w:r>
      <w:r>
        <w:t xml:space="preserve"> Sentencia </w:t>
      </w:r>
      <w:hyperlink w:anchor="SENTENCIA_2016_165" w:history="1">
        <w:r w:rsidRPr="00427CF1">
          <w:rPr>
            <w:rStyle w:val="TextoNormalCaracter"/>
          </w:rPr>
          <w:t>165/2016</w:t>
        </w:r>
      </w:hyperlink>
      <w:r>
        <w:t>, f. 10.</w:t>
      </w:r>
    </w:p>
    <w:p w:rsidR="00427CF1" w:rsidRDefault="00427CF1" w:rsidP="00427CF1">
      <w:pPr>
        <w:pStyle w:val="SangriaFrancesaArticulo"/>
      </w:pPr>
    </w:p>
    <w:p w:rsidR="00427CF1" w:rsidRDefault="00427CF1" w:rsidP="00427CF1">
      <w:pPr>
        <w:pStyle w:val="TextoNormalNegritaCursivandice"/>
      </w:pPr>
      <w:r>
        <w:t>Directiva 2009/72/CE del Parlamento Europeo y del Consejo, de 13 de julio de 2009. Normas comunes para el mercado interior de la electricidad y por la que se deroga la Directiva 2003/54/CE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98" w:history="1">
        <w:r w:rsidRPr="00427CF1">
          <w:rPr>
            <w:rStyle w:val="TextoNormalCaracter"/>
          </w:rPr>
          <w:t>198/2016</w:t>
        </w:r>
      </w:hyperlink>
      <w:r>
        <w:t>, f. 5.</w:t>
      </w:r>
    </w:p>
    <w:p w:rsidR="00427CF1" w:rsidRDefault="00427CF1" w:rsidP="00427CF1">
      <w:pPr>
        <w:pStyle w:val="SangriaFrancesaArticulo"/>
      </w:pPr>
    </w:p>
    <w:p w:rsidR="00427CF1" w:rsidRDefault="00427CF1" w:rsidP="00427CF1">
      <w:pPr>
        <w:pStyle w:val="TextoNormalNegritaCursivandice"/>
      </w:pPr>
      <w:r>
        <w:t>Reglamento (CE) 987/2009 del Parlamento Europeo y del Consejo, de 16 de septiembre de 2009. Adopta las normas de aplicación del Reglamento (CE) 883/2004, sobre la coordinación de los sistemas de seguridad social</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4.</w:t>
      </w:r>
    </w:p>
    <w:p w:rsidR="00427CF1" w:rsidRDefault="00427CF1" w:rsidP="00427CF1">
      <w:pPr>
        <w:pStyle w:val="SangriaFrancesaArticulo"/>
      </w:pPr>
    </w:p>
    <w:p w:rsidR="00427CF1" w:rsidRDefault="00427CF1" w:rsidP="00427CF1">
      <w:pPr>
        <w:pStyle w:val="TextoNormalNegritaCursivandice"/>
      </w:pPr>
      <w:r>
        <w:t>Reglamento (CE) 1221/2009 del Parlamento Europeo y del Consejo, de 25 de noviembre de 2009. Participación voluntaria de organizaciones en un sistema comunitario de gestión y auditoría medioambientales (EMAS), y por el que se derogan el Reglamento (CE) 761/2001 y las Decisiones 2001/681/CE y 2006/193/CE de la Comisión</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1" w:history="1">
        <w:r w:rsidRPr="00427CF1">
          <w:rPr>
            <w:rStyle w:val="TextoNormalCaracter"/>
          </w:rPr>
          <w:t>141/2016</w:t>
        </w:r>
      </w:hyperlink>
      <w:r>
        <w:t>, ff. 2, 4, 7, 9.</w:t>
      </w:r>
    </w:p>
    <w:p w:rsidR="00427CF1" w:rsidRDefault="00427CF1" w:rsidP="00427CF1">
      <w:pPr>
        <w:pStyle w:val="SangriaFrancesaArticulo"/>
      </w:pPr>
      <w:r w:rsidRPr="00427CF1">
        <w:rPr>
          <w:rStyle w:val="TextoNormalNegritaCaracter"/>
        </w:rPr>
        <w:t>Considerando 12.</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Considerando 11.</w:t>
      </w:r>
      <w:r w:rsidRPr="00427CF1">
        <w:rPr>
          <w:rStyle w:val="TextoNormalCaracter"/>
        </w:rPr>
        <w:t>-</w:t>
      </w:r>
      <w:r>
        <w:t xml:space="preserve"> Sentencia </w:t>
      </w:r>
      <w:hyperlink w:anchor="SENTENCIA_2016_141" w:history="1">
        <w:r w:rsidRPr="00427CF1">
          <w:rPr>
            <w:rStyle w:val="TextoNormalCaracter"/>
          </w:rPr>
          <w:t>141/2016</w:t>
        </w:r>
      </w:hyperlink>
      <w:r>
        <w:t>, f. 7.</w:t>
      </w:r>
    </w:p>
    <w:p w:rsidR="00427CF1" w:rsidRDefault="00427CF1" w:rsidP="00427CF1">
      <w:pPr>
        <w:pStyle w:val="SangriaFrancesaArticulo"/>
      </w:pPr>
      <w:r w:rsidRPr="00427CF1">
        <w:rPr>
          <w:rStyle w:val="TextoNormalNegritaCaracter"/>
        </w:rPr>
        <w:t>Artículo 4.</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20.</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21.</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28.</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28.1.</w:t>
      </w:r>
      <w:r w:rsidRPr="00427CF1">
        <w:rPr>
          <w:rStyle w:val="TextoNormalCaracter"/>
        </w:rPr>
        <w:t>-</w:t>
      </w:r>
      <w:r>
        <w:t xml:space="preserve"> Sentencia </w:t>
      </w:r>
      <w:hyperlink w:anchor="SENTENCIA_2016_141" w:history="1">
        <w:r w:rsidRPr="00427CF1">
          <w:rPr>
            <w:rStyle w:val="TextoNormalCaracter"/>
          </w:rPr>
          <w:t>141/2016</w:t>
        </w:r>
      </w:hyperlink>
      <w:r>
        <w:t>, f. 7.</w:t>
      </w:r>
    </w:p>
    <w:p w:rsidR="00427CF1" w:rsidRDefault="00427CF1" w:rsidP="00427CF1">
      <w:pPr>
        <w:pStyle w:val="SangriaFrancesaArticulo"/>
      </w:pPr>
      <w:r w:rsidRPr="00427CF1">
        <w:rPr>
          <w:rStyle w:val="TextoNormalNegritaCaracter"/>
        </w:rPr>
        <w:t>Artículo 28.2.</w:t>
      </w:r>
      <w:r w:rsidRPr="00427CF1">
        <w:rPr>
          <w:rStyle w:val="TextoNormalCaracter"/>
        </w:rPr>
        <w:t>-</w:t>
      </w:r>
      <w:r>
        <w:t xml:space="preserve"> Sentencia </w:t>
      </w:r>
      <w:hyperlink w:anchor="SENTENCIA_2016_141" w:history="1">
        <w:r w:rsidRPr="00427CF1">
          <w:rPr>
            <w:rStyle w:val="TextoNormalCaracter"/>
          </w:rPr>
          <w:t>141/2016</w:t>
        </w:r>
      </w:hyperlink>
      <w:r>
        <w:t>, f. 4.</w:t>
      </w:r>
    </w:p>
    <w:p w:rsidR="00427CF1" w:rsidRDefault="00427CF1" w:rsidP="00427CF1">
      <w:pPr>
        <w:pStyle w:val="SangriaFrancesaArticulo"/>
      </w:pPr>
      <w:r w:rsidRPr="00427CF1">
        <w:rPr>
          <w:rStyle w:val="TextoNormalNegritaCaracter"/>
        </w:rPr>
        <w:t>Artículo 29.</w:t>
      </w:r>
      <w:r w:rsidRPr="00427CF1">
        <w:rPr>
          <w:rStyle w:val="TextoNormalCaracter"/>
        </w:rPr>
        <w:t>-</w:t>
      </w:r>
      <w:r>
        <w:t xml:space="preserve"> Sentencia </w:t>
      </w:r>
      <w:hyperlink w:anchor="SENTENCIA_2016_141" w:history="1">
        <w:r w:rsidRPr="00427CF1">
          <w:rPr>
            <w:rStyle w:val="TextoNormalCaracter"/>
          </w:rPr>
          <w:t>141/2016</w:t>
        </w:r>
      </w:hyperlink>
      <w:r>
        <w:t>, f. 9.</w:t>
      </w:r>
    </w:p>
    <w:p w:rsidR="00427CF1" w:rsidRDefault="00427CF1" w:rsidP="00427CF1">
      <w:pPr>
        <w:pStyle w:val="SangriaFrancesaArticulo"/>
      </w:pPr>
      <w:r w:rsidRPr="00427CF1">
        <w:rPr>
          <w:rStyle w:val="TextoNormalNegritaCaracter"/>
        </w:rPr>
        <w:t>Artículo 40.</w:t>
      </w:r>
      <w:r w:rsidRPr="00427CF1">
        <w:rPr>
          <w:rStyle w:val="TextoNormalCaracter"/>
        </w:rPr>
        <w:t>-</w:t>
      </w:r>
      <w:r>
        <w:t xml:space="preserve"> Sentencia </w:t>
      </w:r>
      <w:hyperlink w:anchor="SENTENCIA_2016_141" w:history="1">
        <w:r w:rsidRPr="00427CF1">
          <w:rPr>
            <w:rStyle w:val="TextoNormalCaracter"/>
          </w:rPr>
          <w:t>141/2016</w:t>
        </w:r>
      </w:hyperlink>
      <w:r>
        <w:t>, f. 9.</w:t>
      </w:r>
    </w:p>
    <w:p w:rsidR="00427CF1" w:rsidRDefault="00427CF1" w:rsidP="00427CF1">
      <w:pPr>
        <w:pStyle w:val="SangriaFrancesaArticulo"/>
      </w:pPr>
    </w:p>
    <w:p w:rsidR="00427CF1" w:rsidRDefault="00427CF1" w:rsidP="00427CF1">
      <w:pPr>
        <w:pStyle w:val="TextoNormalNegritaCursivandice"/>
      </w:pPr>
      <w:r>
        <w:t>Memorando de Entendimiento sobre condiciones de Política Sectorial Financiera, hecho en Bruselas y Madrid el 23 de julio de 2012, y Acuerdo Marco de Asistencia Financiera, hecho en Madrid y Luxemburgo el 24 de julio de 2012</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60" w:history="1">
        <w:r w:rsidRPr="00427CF1">
          <w:rPr>
            <w:rStyle w:val="TextoNormalCaracter"/>
          </w:rPr>
          <w:t>160/2016</w:t>
        </w:r>
      </w:hyperlink>
      <w:r>
        <w:t>, f. 4.</w:t>
      </w:r>
    </w:p>
    <w:p w:rsidR="00427CF1" w:rsidRDefault="00427CF1" w:rsidP="00427CF1">
      <w:pPr>
        <w:pStyle w:val="SangriaFrancesaArticulo"/>
      </w:pPr>
    </w:p>
    <w:p w:rsidR="00427CF1" w:rsidRDefault="00427CF1" w:rsidP="00427CF1">
      <w:pPr>
        <w:pStyle w:val="TextoNormalNegritaCursivandice"/>
      </w:pPr>
      <w:r>
        <w:t>Directiva 2012/27/UE del Parlamento Europeo y del Consejo, de 25 de octubre de 2012. Eficiencia energética, por la que se modifican las Directivas 2009/125/CE y 2010/30/UE, y por la que se derogan las Directivas 2004/8/CE y 2006/32/CE</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67" w:history="1">
        <w:r w:rsidRPr="00427CF1">
          <w:rPr>
            <w:rStyle w:val="TextoNormalCaracter"/>
          </w:rPr>
          <w:t>167/2016</w:t>
        </w:r>
      </w:hyperlink>
      <w:r>
        <w:t xml:space="preserve">, f. 2; </w:t>
      </w:r>
      <w:hyperlink w:anchor="SENTENCIA_2016_171" w:history="1">
        <w:r w:rsidRPr="00427CF1">
          <w:rPr>
            <w:rStyle w:val="TextoNormalCaracter"/>
          </w:rPr>
          <w:t>171/2016</w:t>
        </w:r>
      </w:hyperlink>
      <w:r>
        <w:t xml:space="preserve">, ff. 3, 6; </w:t>
      </w:r>
      <w:hyperlink w:anchor="SENTENCIA_2016_174" w:history="1">
        <w:r w:rsidRPr="00427CF1">
          <w:rPr>
            <w:rStyle w:val="TextoNormalCaracter"/>
          </w:rPr>
          <w:t>174/2016</w:t>
        </w:r>
      </w:hyperlink>
      <w:r>
        <w:t xml:space="preserve">, f. 2; </w:t>
      </w:r>
      <w:hyperlink w:anchor="SENTENCIA_2016_187" w:history="1">
        <w:r w:rsidRPr="00427CF1">
          <w:rPr>
            <w:rStyle w:val="TextoNormalCaracter"/>
          </w:rPr>
          <w:t>187/2016</w:t>
        </w:r>
      </w:hyperlink>
      <w:r>
        <w:t xml:space="preserve">, f. 2; </w:t>
      </w:r>
      <w:hyperlink w:anchor="SENTENCIA_2016_188" w:history="1">
        <w:r w:rsidRPr="00427CF1">
          <w:rPr>
            <w:rStyle w:val="TextoNormalCaracter"/>
          </w:rPr>
          <w:t>188/2016</w:t>
        </w:r>
      </w:hyperlink>
      <w:r>
        <w:t xml:space="preserve">, f. 2; </w:t>
      </w:r>
      <w:hyperlink w:anchor="SENTENCIA_2016_197" w:history="1">
        <w:r w:rsidRPr="00427CF1">
          <w:rPr>
            <w:rStyle w:val="TextoNormalCaracter"/>
          </w:rPr>
          <w:t>197/2016</w:t>
        </w:r>
      </w:hyperlink>
      <w:r>
        <w:t>, f. 2.</w:t>
      </w:r>
    </w:p>
    <w:p w:rsidR="00427CF1" w:rsidRDefault="00427CF1" w:rsidP="00427CF1">
      <w:pPr>
        <w:pStyle w:val="SangriaFrancesaArticulo"/>
      </w:pPr>
      <w:r w:rsidRPr="00427CF1">
        <w:rPr>
          <w:rStyle w:val="TextoNormalNegritaCaracter"/>
        </w:rPr>
        <w:t>Artículo 14.</w:t>
      </w:r>
      <w:r w:rsidRPr="00427CF1">
        <w:rPr>
          <w:rStyle w:val="TextoNormalCaracter"/>
        </w:rPr>
        <w:t>-</w:t>
      </w:r>
      <w:r>
        <w:t xml:space="preserve"> Sentencia </w:t>
      </w:r>
      <w:hyperlink w:anchor="SENTENCIA_2016_171" w:history="1">
        <w:r w:rsidRPr="00427CF1">
          <w:rPr>
            <w:rStyle w:val="TextoNormalCaracter"/>
          </w:rPr>
          <w:t>171/2016</w:t>
        </w:r>
      </w:hyperlink>
      <w:r>
        <w:t>, f. 5.</w:t>
      </w:r>
    </w:p>
    <w:p w:rsidR="00427CF1" w:rsidRDefault="00427CF1" w:rsidP="00427CF1">
      <w:pPr>
        <w:pStyle w:val="SangriaFrancesaArticulo"/>
      </w:pPr>
      <w:r w:rsidRPr="00427CF1">
        <w:rPr>
          <w:rStyle w:val="TextoNormalNegritaCaracter"/>
        </w:rPr>
        <w:t>Artículo 14.5.</w:t>
      </w:r>
      <w:r w:rsidRPr="00427CF1">
        <w:rPr>
          <w:rStyle w:val="TextoNormalCaracter"/>
        </w:rPr>
        <w:t>-</w:t>
      </w:r>
      <w:r>
        <w:t xml:space="preserve"> Sentencia </w:t>
      </w:r>
      <w:hyperlink w:anchor="SENTENCIA_2016_171" w:history="1">
        <w:r w:rsidRPr="00427CF1">
          <w:rPr>
            <w:rStyle w:val="TextoNormalCaracter"/>
          </w:rPr>
          <w:t>171/2016</w:t>
        </w:r>
      </w:hyperlink>
      <w:r>
        <w:t>, f. 6.</w:t>
      </w:r>
    </w:p>
    <w:p w:rsidR="00427CF1" w:rsidRDefault="00427CF1" w:rsidP="00427CF1">
      <w:pPr>
        <w:pStyle w:val="SangriaFrancesaArticulo"/>
      </w:pPr>
    </w:p>
    <w:p w:rsidR="00427CF1" w:rsidRDefault="00427CF1" w:rsidP="00427CF1">
      <w:pPr>
        <w:pStyle w:val="TextoNormalNegritaCursivandice"/>
      </w:pPr>
      <w:r>
        <w:t>Reglamento (UE) núm. 1308/2013 del Parlamento Europeo y del Consejo, de 17 de diciembre de 2013. Crea la organización común de mercados de los productos agrarios y por el que se derogan los Reglamentos (CEE) núm. 922/72, (CEE) núm. 234/79, (CE) núm. 1037/2001 y (CE) núm. 1234/2007</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42" w:history="1">
        <w:r w:rsidRPr="00427CF1">
          <w:rPr>
            <w:rStyle w:val="TextoNormalCaracter"/>
          </w:rPr>
          <w:t>142/2016</w:t>
        </w:r>
      </w:hyperlink>
      <w:r>
        <w:t>, f. 11.</w:t>
      </w:r>
    </w:p>
    <w:p w:rsidR="00427CF1" w:rsidRDefault="00427CF1" w:rsidP="00427CF1">
      <w:pPr>
        <w:pStyle w:val="TextoNormal"/>
      </w:pPr>
    </w:p>
    <w:p w:rsidR="00427CF1" w:rsidRDefault="00427CF1" w:rsidP="00427CF1">
      <w:pPr>
        <w:pStyle w:val="SangriaFrancesaArticulo"/>
      </w:pPr>
      <w:bookmarkStart w:id="201" w:name="INDICE27994"/>
    </w:p>
    <w:bookmarkEnd w:id="201"/>
    <w:p w:rsidR="00427CF1" w:rsidRDefault="00427CF1" w:rsidP="00427CF1">
      <w:pPr>
        <w:pStyle w:val="TextoIndiceNivel2"/>
        <w:suppressAutoHyphens/>
      </w:pPr>
      <w:r>
        <w:t>N) Consejo de Europa</w:t>
      </w:r>
    </w:p>
    <w:p w:rsidR="00427CF1" w:rsidRDefault="00427CF1" w:rsidP="00427CF1">
      <w:pPr>
        <w:pStyle w:val="TextoIndiceNivel2"/>
      </w:pPr>
    </w:p>
    <w:p w:rsidR="00427CF1" w:rsidRDefault="00427CF1" w:rsidP="00427CF1">
      <w:pPr>
        <w:pStyle w:val="TextoNormalNegritaCursivandice"/>
      </w:pPr>
      <w:r>
        <w:t>Convenio europeo para la protección de los derechos humanos y de las libertades fundamentales, hecho en Roma el 4 de noviembre de 1950. Ratificado por Instrumento de 26 de septiembre de 1979</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Artículo 2.</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Sentencias </w:t>
      </w:r>
      <w:hyperlink w:anchor="SENTENCIA_2016_130" w:history="1">
        <w:r w:rsidRPr="00427CF1">
          <w:rPr>
            <w:rStyle w:val="TextoNormalCaracter"/>
          </w:rPr>
          <w:t>130/2016</w:t>
        </w:r>
      </w:hyperlink>
      <w:r>
        <w:t xml:space="preserve">, f. 2;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Artículo 5.1 f).</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r w:rsidRPr="00427CF1">
        <w:rPr>
          <w:rStyle w:val="TextoNormalNegritaCaracter"/>
        </w:rPr>
        <w:t>Artículo 6.</w:t>
      </w:r>
      <w:r w:rsidRPr="00427CF1">
        <w:rPr>
          <w:rStyle w:val="TextoNormalCaracter"/>
        </w:rPr>
        <w:t>-</w:t>
      </w:r>
      <w:r>
        <w:t xml:space="preserve"> Sentencia </w:t>
      </w:r>
      <w:hyperlink w:anchor="SENTENCIA_2016_185" w:history="1">
        <w:r w:rsidRPr="00427CF1">
          <w:rPr>
            <w:rStyle w:val="TextoNormalCaracter"/>
          </w:rPr>
          <w:t>185/2016</w:t>
        </w:r>
      </w:hyperlink>
      <w:r>
        <w:t>, VP I.</w:t>
      </w:r>
    </w:p>
    <w:p w:rsidR="00427CF1" w:rsidRDefault="00427CF1" w:rsidP="00427CF1">
      <w:pPr>
        <w:pStyle w:val="SangriaFrancesaArticulo"/>
      </w:pPr>
      <w:r w:rsidRPr="00427CF1">
        <w:rPr>
          <w:rStyle w:val="TextoNormalNegritaCaracter"/>
        </w:rPr>
        <w:t>Artículo 6.1.</w:t>
      </w:r>
      <w:r w:rsidRPr="00427CF1">
        <w:rPr>
          <w:rStyle w:val="TextoNormalCaracter"/>
        </w:rPr>
        <w:t>-</w:t>
      </w:r>
      <w:r>
        <w:t xml:space="preserve"> Sentencias </w:t>
      </w:r>
      <w:hyperlink w:anchor="SENTENCIA_2016_129" w:history="1">
        <w:r w:rsidRPr="00427CF1">
          <w:rPr>
            <w:rStyle w:val="TextoNormalCaracter"/>
          </w:rPr>
          <w:t>129/2016</w:t>
        </w:r>
      </w:hyperlink>
      <w:r>
        <w:t xml:space="preserve">, f. 4; </w:t>
      </w:r>
      <w:hyperlink w:anchor="SENTENCIA_2016_140" w:history="1">
        <w:r w:rsidRPr="00427CF1">
          <w:rPr>
            <w:rStyle w:val="TextoNormalCaracter"/>
          </w:rPr>
          <w:t>140/2016</w:t>
        </w:r>
      </w:hyperlink>
      <w:r>
        <w:t xml:space="preserve">, f. 5; </w:t>
      </w:r>
      <w:hyperlink w:anchor="SENTENCIA_2016_172" w:history="1">
        <w:r w:rsidRPr="00427CF1">
          <w:rPr>
            <w:rStyle w:val="TextoNormalCaracter"/>
          </w:rPr>
          <w:t>172/2016</w:t>
        </w:r>
      </w:hyperlink>
      <w:r>
        <w:t>, ff. 8, 10, VP.</w:t>
      </w:r>
    </w:p>
    <w:p w:rsidR="00427CF1" w:rsidRDefault="00427CF1" w:rsidP="00427CF1">
      <w:pPr>
        <w:pStyle w:val="SangriaIzquierdaArticulo"/>
      </w:pPr>
      <w:r>
        <w:t xml:space="preserve">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Artículo 6.3 a).</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r w:rsidRPr="00427CF1">
        <w:rPr>
          <w:rStyle w:val="TextoNormalNegritaCaracter"/>
        </w:rPr>
        <w:t>Artículo 6.3 d).</w:t>
      </w:r>
      <w:r w:rsidRPr="00427CF1">
        <w:rPr>
          <w:rStyle w:val="TextoNormalCaracter"/>
        </w:rPr>
        <w:t>-</w:t>
      </w:r>
      <w:r>
        <w:t xml:space="preserve"> Sentencia </w:t>
      </w:r>
      <w:hyperlink w:anchor="SENTENCIA_2016_161" w:history="1">
        <w:r w:rsidRPr="00427CF1">
          <w:rPr>
            <w:rStyle w:val="TextoNormalCaracter"/>
          </w:rPr>
          <w:t>161/2016</w:t>
        </w:r>
      </w:hyperlink>
      <w:r>
        <w:t>, f. 6.</w:t>
      </w:r>
    </w:p>
    <w:p w:rsidR="00427CF1" w:rsidRDefault="00427CF1" w:rsidP="00427CF1">
      <w:pPr>
        <w:pStyle w:val="SangriaFrancesaArticulo"/>
      </w:pPr>
      <w:r w:rsidRPr="00427CF1">
        <w:rPr>
          <w:rStyle w:val="TextoNormalNegritaCaracter"/>
        </w:rPr>
        <w:t>Artículo 7.1.</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 xml:space="preserve">Artículo 7.1 </w:t>
      </w:r>
      <w:r w:rsidRPr="00427CF1">
        <w:rPr>
          <w:rStyle w:val="TextoNormalNegritaCursivaCaracter"/>
        </w:rPr>
        <w:t>in fine</w:t>
      </w:r>
      <w:r w:rsidRPr="00427CF1">
        <w:rPr>
          <w:rStyle w:val="TextoNormalNegritaCaracter"/>
        </w:rPr>
        <w:t>.</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Artículo 8.</w:t>
      </w:r>
      <w:r w:rsidRPr="00427CF1">
        <w:rPr>
          <w:rStyle w:val="TextoNormalCaracter"/>
        </w:rPr>
        <w:t>-</w:t>
      </w:r>
      <w:r>
        <w:t xml:space="preserve"> Sentencia </w:t>
      </w:r>
      <w:hyperlink w:anchor="SENTENCIA_2016_131" w:history="1">
        <w:r w:rsidRPr="00427CF1">
          <w:rPr>
            <w:rStyle w:val="TextoNormalCaracter"/>
          </w:rPr>
          <w:t>131/2016</w:t>
        </w:r>
      </w:hyperlink>
      <w:r>
        <w:t>, f. 1.</w:t>
      </w:r>
    </w:p>
    <w:p w:rsidR="00427CF1" w:rsidRDefault="00427CF1" w:rsidP="00427CF1">
      <w:pPr>
        <w:pStyle w:val="SangriaFrancesaArticulo"/>
      </w:pPr>
      <w:r w:rsidRPr="00427CF1">
        <w:rPr>
          <w:rStyle w:val="TextoNormalNegritaCaracter"/>
        </w:rPr>
        <w:t>Artículo 8.1.</w:t>
      </w:r>
      <w:r w:rsidRPr="00427CF1">
        <w:rPr>
          <w:rStyle w:val="TextoNormalCaracter"/>
        </w:rPr>
        <w:t>-</w:t>
      </w:r>
      <w:r>
        <w:t xml:space="preserve"> Sentencia </w:t>
      </w:r>
      <w:hyperlink w:anchor="SENTENCIA_2016_131" w:history="1">
        <w:r w:rsidRPr="00427CF1">
          <w:rPr>
            <w:rStyle w:val="TextoNormalCaracter"/>
          </w:rPr>
          <w:t>131/2016</w:t>
        </w:r>
      </w:hyperlink>
      <w:r>
        <w:t>, f. 6.</w:t>
      </w:r>
    </w:p>
    <w:p w:rsidR="00427CF1" w:rsidRDefault="00427CF1" w:rsidP="00427CF1">
      <w:pPr>
        <w:pStyle w:val="SangriaFrancesaArticulo"/>
      </w:pPr>
      <w:r w:rsidRPr="00427CF1">
        <w:rPr>
          <w:rStyle w:val="TextoNormalNegritaCaracter"/>
        </w:rPr>
        <w:t>Artículo 10.</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10.1.</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r w:rsidRPr="00427CF1">
        <w:rPr>
          <w:rStyle w:val="TextoNormalNegritaCaracter"/>
        </w:rPr>
        <w:t>Artículo 10.2.</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Carta social europea de 18 de octubre de 1961. Ratificada por Instrumento de 29 de abril de 1980</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Artículo 11.</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r w:rsidRPr="00427CF1">
        <w:rPr>
          <w:rStyle w:val="TextoNormalNegritaCaracter"/>
        </w:rPr>
        <w:t>Artículo 13.</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r w:rsidRPr="00427CF1">
        <w:rPr>
          <w:rStyle w:val="TextoNormalNegritaCaracter"/>
        </w:rPr>
        <w:t>Artículo 13.4.</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r w:rsidRPr="00427CF1">
        <w:rPr>
          <w:rStyle w:val="TextoNormalNegritaCaracter"/>
        </w:rPr>
        <w:t>Anexo, artículos 1 a 17.</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p>
    <w:p w:rsidR="00427CF1" w:rsidRDefault="00427CF1" w:rsidP="00427CF1">
      <w:pPr>
        <w:pStyle w:val="TextoNormalNegritaCursivandice"/>
      </w:pPr>
      <w:r>
        <w:t>Convenio europeo sobre traslado de personas condenadas, hecho en Estrasburgo el 21 de marzo de 1983. Ratificado por Instrumento de 18 de febrero de 1985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5" w:history="1">
        <w:r w:rsidRPr="00427CF1">
          <w:rPr>
            <w:rStyle w:val="TextoNormalCaracter"/>
          </w:rPr>
          <w:t>155/2016</w:t>
        </w:r>
      </w:hyperlink>
      <w:r>
        <w:t>, f. 3.</w:t>
      </w:r>
    </w:p>
    <w:p w:rsidR="00427CF1" w:rsidRDefault="00427CF1" w:rsidP="00427CF1">
      <w:pPr>
        <w:pStyle w:val="SangriaFrancesaArticulo"/>
      </w:pPr>
      <w:r w:rsidRPr="00427CF1">
        <w:rPr>
          <w:rStyle w:val="TextoNormalNegritaCaracter"/>
        </w:rPr>
        <w:t>Artículo 9.3.</w:t>
      </w:r>
      <w:r w:rsidRPr="00427CF1">
        <w:rPr>
          <w:rStyle w:val="TextoNormalCaracter"/>
        </w:rPr>
        <w:t>-</w:t>
      </w:r>
      <w:r>
        <w:t xml:space="preserve"> Auto </w:t>
      </w:r>
      <w:hyperlink w:anchor="AUTO_2016_155" w:history="1">
        <w:r w:rsidRPr="00427CF1">
          <w:rPr>
            <w:rStyle w:val="TextoNormalCaracter"/>
          </w:rPr>
          <w:t>155/2016</w:t>
        </w:r>
      </w:hyperlink>
      <w:r>
        <w:t>, f. 5.</w:t>
      </w:r>
    </w:p>
    <w:p w:rsidR="00427CF1" w:rsidRDefault="00427CF1" w:rsidP="00427CF1">
      <w:pPr>
        <w:pStyle w:val="SangriaFrancesaArticulo"/>
      </w:pPr>
    </w:p>
    <w:p w:rsidR="00427CF1" w:rsidRDefault="00427CF1" w:rsidP="00427CF1">
      <w:pPr>
        <w:pStyle w:val="TextoNormalNegritaCursivandice"/>
      </w:pPr>
      <w:r>
        <w:t>Carta europea de autonomía local, hecha en Estrasburgo, de 15 de octubre de 1985. Ratificada por Instrumento de 20 de enero de 1988</w:t>
      </w:r>
    </w:p>
    <w:p w:rsidR="00427CF1" w:rsidRDefault="00427CF1" w:rsidP="00427CF1">
      <w:pPr>
        <w:pStyle w:val="SangriaFrancesaArticulo"/>
      </w:pPr>
      <w:r w:rsidRPr="00427CF1">
        <w:rPr>
          <w:rStyle w:val="TextoNormalNegritaCaracter"/>
        </w:rPr>
        <w:t>Artículo 3.</w:t>
      </w:r>
      <w:r w:rsidRPr="00427CF1">
        <w:rPr>
          <w:rStyle w:val="TextoNormalCaracter"/>
        </w:rPr>
        <w:t>-</w:t>
      </w:r>
      <w:r>
        <w:t xml:space="preserve"> Sentencia </w:t>
      </w:r>
      <w:hyperlink w:anchor="SENTENCIA_2016_152" w:history="1">
        <w:r w:rsidRPr="00427CF1">
          <w:rPr>
            <w:rStyle w:val="TextoNormalCaracter"/>
          </w:rPr>
          <w:t>152/2016</w:t>
        </w:r>
      </w:hyperlink>
      <w:r>
        <w:t>, f. 4.</w:t>
      </w:r>
    </w:p>
    <w:p w:rsidR="00427CF1" w:rsidRDefault="00427CF1" w:rsidP="00427CF1">
      <w:pPr>
        <w:pStyle w:val="TextoNormal"/>
      </w:pPr>
    </w:p>
    <w:p w:rsidR="00427CF1" w:rsidRDefault="00427CF1" w:rsidP="00427CF1">
      <w:pPr>
        <w:pStyle w:val="SangriaFrancesaArticulo"/>
      </w:pPr>
      <w:bookmarkStart w:id="202" w:name="INDICE22872"/>
    </w:p>
    <w:bookmarkEnd w:id="202"/>
    <w:p w:rsidR="00427CF1" w:rsidRDefault="00427CF1" w:rsidP="00427CF1">
      <w:pPr>
        <w:pStyle w:val="TextoIndiceNivel2"/>
        <w:suppressAutoHyphens/>
      </w:pPr>
      <w:r>
        <w:t>Ñ) Legislación extranjera</w:t>
      </w:r>
    </w:p>
    <w:p w:rsidR="00427CF1" w:rsidRDefault="00427CF1" w:rsidP="00427CF1">
      <w:pPr>
        <w:pStyle w:val="TextoIndiceNivel2"/>
      </w:pPr>
    </w:p>
    <w:p w:rsidR="00427CF1" w:rsidRDefault="00427CF1" w:rsidP="00427CF1">
      <w:pPr>
        <w:pStyle w:val="TextoNormalNegritaCursivandice"/>
      </w:pPr>
      <w:r>
        <w:t>Código penal de Francia, de 25 de septiembre de 1791</w:t>
      </w:r>
    </w:p>
    <w:p w:rsidR="00427CF1" w:rsidRDefault="00427CF1" w:rsidP="00427CF1">
      <w:pPr>
        <w:pStyle w:val="SangriaFrancesaArticulo"/>
      </w:pPr>
      <w:r w:rsidRPr="00427CF1">
        <w:rPr>
          <w:rStyle w:val="TextoNormalNegritaCaracter"/>
        </w:rPr>
        <w:t>Artículo 521.1.</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Reforma de la Ley Fundamental para la República Federal de Alemania en 2002 [art. 20 a)]</w:t>
      </w:r>
    </w:p>
    <w:p w:rsidR="00427CF1" w:rsidRDefault="00427CF1" w:rsidP="00427CF1">
      <w:pPr>
        <w:pStyle w:val="SangriaFrancesaArticulo"/>
      </w:pPr>
      <w:r w:rsidRPr="00427CF1">
        <w:rPr>
          <w:rStyle w:val="TextoNormalNegritaCaracter"/>
        </w:rPr>
        <w:t>Artículo 20 a).</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Reforma de la Constitución de Luxemburgo de 29 de marzo de 2007 (art. 11 bis)</w:t>
      </w:r>
    </w:p>
    <w:p w:rsidR="00427CF1" w:rsidRDefault="00427CF1" w:rsidP="00427CF1">
      <w:pPr>
        <w:pStyle w:val="SangriaFrancesaArticulo"/>
      </w:pPr>
      <w:r w:rsidRPr="00427CF1">
        <w:rPr>
          <w:rStyle w:val="TextoNormalNegritaCaracter"/>
        </w:rPr>
        <w:t>Artículo 11 bis.</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pPr>
        <w:spacing w:after="160" w:line="259" w:lineRule="auto"/>
        <w:rPr>
          <w:rFonts w:ascii="Times New Roman" w:eastAsia="Times New Roman" w:hAnsi="Times New Roman" w:cs="Times New Roman"/>
          <w:sz w:val="24"/>
          <w:szCs w:val="24"/>
          <w:lang w:eastAsia="es-ES"/>
        </w:rPr>
      </w:pPr>
      <w:r>
        <w:br w:type="page"/>
      </w:r>
    </w:p>
    <w:p w:rsidR="00427CF1" w:rsidRDefault="00427CF1" w:rsidP="00427CF1">
      <w:pPr>
        <w:pStyle w:val="SangriaFrancesaArticulo"/>
      </w:pPr>
    </w:p>
    <w:p w:rsidR="00427CF1" w:rsidRDefault="00427CF1" w:rsidP="00427CF1">
      <w:pPr>
        <w:pStyle w:val="TextoNormal"/>
      </w:pPr>
    </w:p>
    <w:p w:rsidR="00427CF1" w:rsidRDefault="00427CF1" w:rsidP="00427CF1">
      <w:pPr>
        <w:pStyle w:val="TextoNormal"/>
      </w:pPr>
    </w:p>
    <w:p w:rsidR="00427CF1" w:rsidRDefault="00427CF1" w:rsidP="00427CF1">
      <w:pPr>
        <w:pStyle w:val="TextoNormal"/>
      </w:pPr>
    </w:p>
    <w:p w:rsidR="00427CF1" w:rsidRDefault="00427CF1" w:rsidP="00427CF1">
      <w:pPr>
        <w:pStyle w:val="Ttulondice"/>
        <w:suppressAutoHyphens/>
      </w:pPr>
      <w:r>
        <w:t>6. ÍNDICE DE RESOLUCIONES JUDICIALES DE OTROS TRIBUNALES CITADAS</w:t>
      </w: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suppressAutoHyphens/>
      </w:pPr>
    </w:p>
    <w:p w:rsidR="00427CF1" w:rsidRDefault="00427CF1" w:rsidP="00427CF1">
      <w:pPr>
        <w:pStyle w:val="TextoNormal"/>
      </w:pPr>
    </w:p>
    <w:p w:rsidR="00427CF1" w:rsidRDefault="00427CF1" w:rsidP="00427CF1">
      <w:pPr>
        <w:pStyle w:val="TextoNormal"/>
      </w:pPr>
      <w:bookmarkStart w:id="203" w:name="INDICE22805"/>
      <w:bookmarkEnd w:id="203"/>
    </w:p>
    <w:p w:rsidR="00427CF1" w:rsidRDefault="00427CF1" w:rsidP="00427CF1">
      <w:pPr>
        <w:pStyle w:val="TextoIndiceNivel2"/>
        <w:suppressAutoHyphens/>
      </w:pPr>
      <w:r>
        <w:t>A) Tribunal Europeo de Derechos Humanos</w:t>
      </w:r>
    </w:p>
    <w:p w:rsidR="00427CF1" w:rsidRDefault="00427CF1" w:rsidP="00427CF1">
      <w:pPr>
        <w:pStyle w:val="TextoIndiceNivel2"/>
      </w:pPr>
    </w:p>
    <w:p w:rsidR="00427CF1" w:rsidRDefault="00427CF1" w:rsidP="00427CF1">
      <w:pPr>
        <w:pStyle w:val="TextoNormalNegritaCursivandice"/>
      </w:pPr>
      <w:r>
        <w:t>Sentencia del Tribunal Europeo de Derechos Humanos de 7 de diciembre de 1976 (Handyside c. Reino Unido)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9 de octubre de 1979 (Airey c. Irlanda)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13 de mayo de 1980 (Artico c. Italia)</w:t>
      </w:r>
    </w:p>
    <w:p w:rsidR="00427CF1" w:rsidRDefault="00427CF1" w:rsidP="00427CF1">
      <w:pPr>
        <w:pStyle w:val="SangriaFrancesaArticulo"/>
      </w:pPr>
      <w:r w:rsidRPr="00427CF1">
        <w:rPr>
          <w:rStyle w:val="TextoNormalNegritaCaracter"/>
        </w:rPr>
        <w:t>§ 32.</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23 de junio de 1981 (Le Compte, van Leuven y de Meyere c. Bélgica)</w:t>
      </w:r>
    </w:p>
    <w:p w:rsidR="00427CF1" w:rsidRDefault="00427CF1" w:rsidP="00427CF1">
      <w:pPr>
        <w:pStyle w:val="SangriaFrancesaArticulo"/>
      </w:pPr>
      <w:r w:rsidRPr="00427CF1">
        <w:rPr>
          <w:rStyle w:val="TextoNormalNegritaCaracter"/>
        </w:rPr>
        <w:t>§ 4.</w:t>
      </w:r>
      <w:r w:rsidRPr="00427CF1">
        <w:rPr>
          <w:rStyle w:val="TextoNormalCaracter"/>
        </w:rPr>
        <w:t>-</w:t>
      </w:r>
      <w:r>
        <w:t xml:space="preserve"> Sentencia </w:t>
      </w:r>
      <w:hyperlink w:anchor="SENTENCIA_2016_185" w:history="1">
        <w:r w:rsidRPr="00427CF1">
          <w:rPr>
            <w:rStyle w:val="TextoNormalCaracter"/>
          </w:rPr>
          <w:t>185/2016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21 de febrero de 1984 (Öztürk c. Alemania)</w:t>
      </w:r>
    </w:p>
    <w:p w:rsidR="00427CF1" w:rsidRDefault="00427CF1" w:rsidP="00427CF1">
      <w:pPr>
        <w:pStyle w:val="SangriaFrancesaArticulo"/>
      </w:pPr>
      <w:r w:rsidRPr="00427CF1">
        <w:rPr>
          <w:rStyle w:val="TextoNormalNegritaCaracter"/>
        </w:rPr>
        <w:t>núm. 73</w:t>
      </w:r>
      <w:r>
        <w:t xml:space="preserve"> (53 y 70)</w:t>
      </w:r>
      <w:r w:rsidRPr="00427CF1">
        <w:rPr>
          <w:rStyle w:val="TextoNormalNegritaCaracter"/>
        </w:rPr>
        <w:t>.</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FrancesaArticulo"/>
      </w:pPr>
      <w:r w:rsidRPr="00427CF1">
        <w:rPr>
          <w:rStyle w:val="TextoNormalNegritaCaracter"/>
        </w:rPr>
        <w:t>Artículos 53 a 70.</w:t>
      </w:r>
      <w:r w:rsidRPr="00427CF1">
        <w:rPr>
          <w:rStyle w:val="TextoNormalCaracter"/>
        </w:rPr>
        <w:t>-</w:t>
      </w:r>
      <w:r>
        <w:t xml:space="preserve"> Sentencia </w:t>
      </w:r>
      <w:hyperlink w:anchor="SENTENCIA_2016_185" w:history="1">
        <w:r w:rsidRPr="00427CF1">
          <w:rPr>
            <w:rStyle w:val="TextoNormalCaracter"/>
          </w:rPr>
          <w:t>185/2016</w:t>
        </w:r>
      </w:hyperlink>
      <w:r>
        <w:t>, f. 13.</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12 de febrero de 1985 (Colozza c. Italia)</w:t>
      </w:r>
    </w:p>
    <w:p w:rsidR="00427CF1" w:rsidRDefault="00427CF1" w:rsidP="00427CF1">
      <w:pPr>
        <w:pStyle w:val="SangriaFrancesaArticulo"/>
      </w:pPr>
      <w:r w:rsidRPr="00427CF1">
        <w:rPr>
          <w:rStyle w:val="TextoNormalNegritaCaracter"/>
        </w:rPr>
        <w:t>§ 26.</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7 de julio de 1989 (Unión Alimentaria Sanders, S.A. c. España)</w:t>
      </w:r>
    </w:p>
    <w:p w:rsidR="00427CF1" w:rsidRDefault="00427CF1" w:rsidP="00427CF1">
      <w:pPr>
        <w:pStyle w:val="SangriaFrancesaArticulo"/>
      </w:pPr>
      <w:r w:rsidRPr="00427CF1">
        <w:rPr>
          <w:rStyle w:val="TextoNormalNegritaCaracter"/>
        </w:rPr>
        <w:t>§§ 38, 42.</w:t>
      </w:r>
      <w:r w:rsidRPr="00427CF1">
        <w:rPr>
          <w:rStyle w:val="TextoNormalCaracter"/>
        </w:rPr>
        <w:t>-</w:t>
      </w:r>
      <w:r>
        <w:t xml:space="preserve"> Sentencia </w:t>
      </w:r>
      <w:hyperlink w:anchor="SENTENCIA_2016_129" w:history="1">
        <w:r w:rsidRPr="00427CF1">
          <w:rPr>
            <w:rStyle w:val="TextoNormalCaracter"/>
          </w:rPr>
          <w:t>129/2016</w:t>
        </w:r>
      </w:hyperlink>
      <w:r>
        <w:t>, f. 4.</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19 de diciembre de 1989 (Kamasinski c. Austria)</w:t>
      </w:r>
    </w:p>
    <w:p w:rsidR="00427CF1" w:rsidRDefault="00427CF1" w:rsidP="00427CF1">
      <w:pPr>
        <w:pStyle w:val="SangriaFrancesaArticulo"/>
      </w:pPr>
      <w:r w:rsidRPr="00427CF1">
        <w:rPr>
          <w:rStyle w:val="TextoNormalNegritaCaracter"/>
        </w:rPr>
        <w:t>§ 79.</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22 de mayo de 1990 (Weber c. Suiza)</w:t>
      </w:r>
    </w:p>
    <w:p w:rsidR="00427CF1" w:rsidRDefault="00427CF1" w:rsidP="00427CF1">
      <w:pPr>
        <w:pStyle w:val="SangriaFrancesaArticulo"/>
      </w:pPr>
      <w:r w:rsidRPr="00427CF1">
        <w:rPr>
          <w:rStyle w:val="TextoNormalNegritaCaracter"/>
        </w:rPr>
        <w:t>Artículos 31-33.</w:t>
      </w:r>
      <w:r w:rsidRPr="00427CF1">
        <w:rPr>
          <w:rStyle w:val="TextoNormalCaracter"/>
        </w:rPr>
        <w:t>-</w:t>
      </w:r>
      <w:r>
        <w:t xml:space="preserve"> Sentencia </w:t>
      </w:r>
      <w:hyperlink w:anchor="SENTENCIA_2016_185" w:history="1">
        <w:r w:rsidRPr="00427CF1">
          <w:rPr>
            <w:rStyle w:val="TextoNormalCaracter"/>
          </w:rPr>
          <w:t>185/2016</w:t>
        </w:r>
      </w:hyperlink>
      <w:r>
        <w:t>, f. 13.</w:t>
      </w:r>
    </w:p>
    <w:p w:rsidR="00427CF1" w:rsidRDefault="00427CF1" w:rsidP="00427CF1">
      <w:pPr>
        <w:pStyle w:val="SangriaFrancesaArticulo"/>
      </w:pPr>
      <w:r w:rsidRPr="00427CF1">
        <w:rPr>
          <w:rStyle w:val="TextoNormalNegritaCaracter"/>
        </w:rPr>
        <w:t>núm. 177</w:t>
      </w:r>
      <w:r>
        <w:t xml:space="preserve"> (31-33)</w:t>
      </w:r>
      <w:r w:rsidRPr="00427CF1">
        <w:rPr>
          <w:rStyle w:val="TextoNormalNegritaCaracter"/>
        </w:rPr>
        <w:t>.</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19 de diciembre de 1990 (Delta c. Francia)</w:t>
      </w:r>
    </w:p>
    <w:p w:rsidR="00427CF1" w:rsidRDefault="00427CF1" w:rsidP="00427CF1">
      <w:pPr>
        <w:pStyle w:val="SangriaFrancesaArticulo"/>
      </w:pPr>
      <w:r w:rsidRPr="00427CF1">
        <w:rPr>
          <w:rStyle w:val="TextoNormalNegritaCaracter"/>
        </w:rPr>
        <w:t>§ 36.</w:t>
      </w:r>
      <w:r w:rsidRPr="00427CF1">
        <w:rPr>
          <w:rStyle w:val="TextoNormalCaracter"/>
        </w:rPr>
        <w:t>-</w:t>
      </w:r>
      <w:r>
        <w:t xml:space="preserve"> Sentencia </w:t>
      </w:r>
      <w:hyperlink w:anchor="SENTENCIA_2016_161" w:history="1">
        <w:r w:rsidRPr="00427CF1">
          <w:rPr>
            <w:rStyle w:val="TextoNormalCaracter"/>
          </w:rPr>
          <w:t>161/2016</w:t>
        </w:r>
      </w:hyperlink>
      <w:r>
        <w:t>, f. 6.</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19 de febrero de 1991 (Isgrò c. Italia)</w:t>
      </w:r>
    </w:p>
    <w:p w:rsidR="00427CF1" w:rsidRDefault="00427CF1" w:rsidP="00427CF1">
      <w:pPr>
        <w:pStyle w:val="SangriaFrancesaArticulo"/>
      </w:pPr>
      <w:r w:rsidRPr="00427CF1">
        <w:rPr>
          <w:rStyle w:val="TextoNormalNegritaCaracter"/>
        </w:rPr>
        <w:t>§ 34.</w:t>
      </w:r>
      <w:r w:rsidRPr="00427CF1">
        <w:rPr>
          <w:rStyle w:val="TextoNormalCaracter"/>
        </w:rPr>
        <w:t>-</w:t>
      </w:r>
      <w:r>
        <w:t xml:space="preserve"> Sentencia </w:t>
      </w:r>
      <w:hyperlink w:anchor="SENTENCIA_2016_161" w:history="1">
        <w:r w:rsidRPr="00427CF1">
          <w:rPr>
            <w:rStyle w:val="TextoNormalCaracter"/>
          </w:rPr>
          <w:t>161/2016</w:t>
        </w:r>
      </w:hyperlink>
      <w:r>
        <w:t>, f. 6.</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26 de abril de 1991 (Asch c. Austria)</w:t>
      </w:r>
    </w:p>
    <w:p w:rsidR="00427CF1" w:rsidRDefault="00427CF1" w:rsidP="00427CF1">
      <w:pPr>
        <w:pStyle w:val="SangriaFrancesaArticulo"/>
      </w:pPr>
      <w:r w:rsidRPr="00427CF1">
        <w:rPr>
          <w:rStyle w:val="TextoNormalNegritaCaracter"/>
        </w:rPr>
        <w:t>§ 27.</w:t>
      </w:r>
      <w:r w:rsidRPr="00427CF1">
        <w:rPr>
          <w:rStyle w:val="TextoNormalCaracter"/>
        </w:rPr>
        <w:t>-</w:t>
      </w:r>
      <w:r>
        <w:t xml:space="preserve"> Sentencia </w:t>
      </w:r>
      <w:hyperlink w:anchor="SENTENCIA_2016_161" w:history="1">
        <w:r w:rsidRPr="00427CF1">
          <w:rPr>
            <w:rStyle w:val="TextoNormalCaracter"/>
          </w:rPr>
          <w:t>161/2016</w:t>
        </w:r>
      </w:hyperlink>
      <w:r>
        <w:t>, f. 6.</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27 de agosto de 1991 (Demicoli c. Malta)</w:t>
      </w:r>
    </w:p>
    <w:p w:rsidR="00427CF1" w:rsidRDefault="00427CF1" w:rsidP="00427CF1">
      <w:pPr>
        <w:pStyle w:val="SangriaFrancesaArticulo"/>
      </w:pPr>
      <w:r w:rsidRPr="00427CF1">
        <w:rPr>
          <w:rStyle w:val="TextoNormalNegritaCaracter"/>
        </w:rPr>
        <w:t>núm. 210</w:t>
      </w:r>
      <w:r>
        <w:t xml:space="preserve"> (33)</w:t>
      </w:r>
      <w:r w:rsidRPr="00427CF1">
        <w:rPr>
          <w:rStyle w:val="TextoNormalNegritaCaracter"/>
        </w:rPr>
        <w:t>.</w:t>
      </w:r>
      <w:r w:rsidRPr="00427CF1">
        <w:rPr>
          <w:rStyle w:val="TextoNormalCaracter"/>
        </w:rPr>
        <w:t>-</w:t>
      </w:r>
      <w:r>
        <w:t xml:space="preserve"> Sentencia </w:t>
      </w:r>
      <w:hyperlink w:anchor="SENTENCIA_2016_215" w:history="1">
        <w:r w:rsidRPr="00427CF1">
          <w:rPr>
            <w:rStyle w:val="TextoNormalCaracter"/>
          </w:rPr>
          <w:t>215/2016</w:t>
        </w:r>
      </w:hyperlink>
      <w:r>
        <w:t>, f. 8.</w:t>
      </w:r>
    </w:p>
    <w:p w:rsidR="00427CF1" w:rsidRDefault="00427CF1" w:rsidP="00427CF1">
      <w:pPr>
        <w:pStyle w:val="SangriaFrancesaArticulo"/>
      </w:pPr>
      <w:r w:rsidRPr="00427CF1">
        <w:rPr>
          <w:rStyle w:val="TextoNormalNegritaCaracter"/>
        </w:rPr>
        <w:t>Artículo 33.</w:t>
      </w:r>
      <w:r w:rsidRPr="00427CF1">
        <w:rPr>
          <w:rStyle w:val="TextoNormalCaracter"/>
        </w:rPr>
        <w:t>-</w:t>
      </w:r>
      <w:r>
        <w:t xml:space="preserve"> Sentencia </w:t>
      </w:r>
      <w:hyperlink w:anchor="SENTENCIA_2016_185" w:history="1">
        <w:r w:rsidRPr="00427CF1">
          <w:rPr>
            <w:rStyle w:val="TextoNormalCaracter"/>
          </w:rPr>
          <w:t>185/2016</w:t>
        </w:r>
      </w:hyperlink>
      <w:r>
        <w:t>, f. 13.</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23 de abril de 1992 (Castells c. España)</w:t>
      </w:r>
    </w:p>
    <w:p w:rsidR="00427CF1" w:rsidRDefault="00427CF1" w:rsidP="00427CF1">
      <w:pPr>
        <w:pStyle w:val="SangriaFrancesaArticulo"/>
      </w:pPr>
      <w:r w:rsidRPr="00427CF1">
        <w:rPr>
          <w:rStyle w:val="TextoNormalNegritaCaracter"/>
        </w:rPr>
        <w:t>§ 42.</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9 de diciembre de 1994 (López Ostra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 de mayo de 1997 (D. c. Reino Unido)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25 de marzo de 1999 (Pélissier y Sassi c. Francia)</w:t>
      </w:r>
    </w:p>
    <w:p w:rsidR="00427CF1" w:rsidRDefault="00427CF1" w:rsidP="00427CF1">
      <w:pPr>
        <w:pStyle w:val="SangriaFrancesaArticulo"/>
      </w:pPr>
      <w:r w:rsidRPr="00427CF1">
        <w:rPr>
          <w:rStyle w:val="TextoNormalNegritaCaracter"/>
        </w:rPr>
        <w:t>§ 51.</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r w:rsidRPr="00427CF1">
        <w:rPr>
          <w:rStyle w:val="TextoNormalNegritaCaracter"/>
        </w:rPr>
        <w:t>§ 52.</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r w:rsidRPr="00427CF1">
        <w:rPr>
          <w:rStyle w:val="TextoNormalNegritaCaracter"/>
        </w:rPr>
        <w:t>§ 61 a 63.</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20 de mayo de 1999 (Bladet Tromso y Stensaas c. Noruega)</w:t>
      </w:r>
    </w:p>
    <w:p w:rsidR="00427CF1" w:rsidRDefault="00427CF1" w:rsidP="00427CF1">
      <w:pPr>
        <w:pStyle w:val="SangriaFrancesaArticulo"/>
      </w:pPr>
      <w:r w:rsidRPr="00427CF1">
        <w:rPr>
          <w:rStyle w:val="TextoNormalNegritaCaracter"/>
        </w:rPr>
        <w:t>§ 64.</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28 de octubre de 1999 (Wille c. Liechtenstein)</w:t>
      </w:r>
    </w:p>
    <w:p w:rsidR="00427CF1" w:rsidRDefault="00427CF1" w:rsidP="00427CF1">
      <w:pPr>
        <w:pStyle w:val="SangriaFrancesaArticulo"/>
      </w:pPr>
      <w:r w:rsidRPr="00427CF1">
        <w:rPr>
          <w:rStyle w:val="TextoNormalNegritaCaracter"/>
        </w:rPr>
        <w:t>§ 50.</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29 de febrero de 2000 (Fuentes Bobo c. España)</w:t>
      </w:r>
    </w:p>
    <w:p w:rsidR="00427CF1" w:rsidRDefault="00427CF1" w:rsidP="00427CF1">
      <w:pPr>
        <w:pStyle w:val="SangriaFrancesaArticulo"/>
      </w:pPr>
      <w:r w:rsidRPr="00427CF1">
        <w:rPr>
          <w:rStyle w:val="TextoNormalNegritaCaracter"/>
        </w:rPr>
        <w:t>§ 43.</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4 de mayo de 2000 (Powell c. Reino Unido)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19 de junio de 2001 (Kreuz c. Polonia)</w:t>
      </w:r>
    </w:p>
    <w:p w:rsidR="00427CF1" w:rsidRDefault="00427CF1" w:rsidP="00427CF1">
      <w:pPr>
        <w:pStyle w:val="SangriaFrancesaArticulo"/>
      </w:pPr>
      <w:r w:rsidRPr="00427CF1">
        <w:rPr>
          <w:rStyle w:val="TextoNormalNegritaCaracter"/>
        </w:rPr>
        <w:t>§ 60.</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66.</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21 de marzo de 2002 (Nikula c. Finlandia)</w:t>
      </w:r>
    </w:p>
    <w:p w:rsidR="00427CF1" w:rsidRDefault="00427CF1" w:rsidP="00427CF1">
      <w:pPr>
        <w:pStyle w:val="SangriaFrancesaArticulo"/>
      </w:pPr>
      <w:r w:rsidRPr="00427CF1">
        <w:rPr>
          <w:rStyle w:val="TextoNormalNegritaCaracter"/>
        </w:rPr>
        <w:t>§ 54.</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21 de marzo de 2002 (Nitecki c. Polonia)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11 de marzo de 2004 (Lenaerts c. Bélgica)</w:t>
      </w:r>
    </w:p>
    <w:p w:rsidR="00427CF1" w:rsidRDefault="00427CF1" w:rsidP="00427CF1">
      <w:pPr>
        <w:pStyle w:val="SangriaFrancesaArticulo"/>
      </w:pPr>
      <w:r w:rsidRPr="00427CF1">
        <w:rPr>
          <w:rStyle w:val="TextoNormalNegritaCaracter"/>
        </w:rPr>
        <w:t>§ 18.</w:t>
      </w:r>
      <w:r w:rsidRPr="00427CF1">
        <w:rPr>
          <w:rStyle w:val="TextoNormalCaracter"/>
        </w:rPr>
        <w:t>-</w:t>
      </w:r>
      <w:r>
        <w:t xml:space="preserve"> Sentencia </w:t>
      </w:r>
      <w:hyperlink w:anchor="SENTENCIA_2016_129" w:history="1">
        <w:r w:rsidRPr="00427CF1">
          <w:rPr>
            <w:rStyle w:val="TextoNormalCaracter"/>
          </w:rPr>
          <w:t>129/2016</w:t>
        </w:r>
      </w:hyperlink>
      <w:r>
        <w:t>, f. 4.</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8 de julio de 2004 (VO c. Francia)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 de noviembre de 2004 (Martínez Sala y otros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p>
    <w:p w:rsidR="00427CF1" w:rsidRDefault="00427CF1" w:rsidP="00427CF1">
      <w:pPr>
        <w:pStyle w:val="TextoNormalNegritaCursivandice"/>
      </w:pPr>
      <w:r>
        <w:t>Sentencia del Tribunal Europeo de Derechos Humanos 26 de julio de 2005 (Podbielski and Ppu Polpure c. Polonia)</w:t>
      </w:r>
    </w:p>
    <w:p w:rsidR="00427CF1" w:rsidRDefault="00427CF1" w:rsidP="00427CF1">
      <w:pPr>
        <w:pStyle w:val="SangriaFrancesaArticulo"/>
      </w:pPr>
      <w:r w:rsidRPr="00427CF1">
        <w:rPr>
          <w:rStyle w:val="TextoNormalNegritaCaracter"/>
        </w:rPr>
        <w:t>§ 68.</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69.</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70.</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26 de julio de 2005 (Kniat c. Polonia)</w:t>
      </w:r>
    </w:p>
    <w:p w:rsidR="00427CF1" w:rsidRDefault="00427CF1" w:rsidP="00427CF1">
      <w:pPr>
        <w:pStyle w:val="SangriaFrancesaArticulo"/>
      </w:pPr>
      <w:r w:rsidRPr="00427CF1">
        <w:rPr>
          <w:rStyle w:val="TextoNormalNegritaCaracter"/>
        </w:rPr>
        <w:t>§ 43.</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44.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46.</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47.</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15 de diciembre de 2005 (Kyprianou c. Chipre)</w:t>
      </w:r>
    </w:p>
    <w:p w:rsidR="00427CF1" w:rsidRDefault="00427CF1" w:rsidP="00427CF1">
      <w:pPr>
        <w:pStyle w:val="SangriaFrancesaArticulo"/>
      </w:pPr>
      <w:r w:rsidRPr="00427CF1">
        <w:rPr>
          <w:rStyle w:val="TextoNormalNegritaCaracter"/>
        </w:rPr>
        <w:t>§ 175.</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 181 a 183.</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10 de enero de 2006 (Teltronic-CATV c. Polonia)</w:t>
      </w:r>
    </w:p>
    <w:p w:rsidR="00427CF1" w:rsidRDefault="00427CF1" w:rsidP="00427CF1">
      <w:pPr>
        <w:pStyle w:val="SangriaFrancesaArticulo"/>
      </w:pPr>
      <w:r w:rsidRPr="00427CF1">
        <w:rPr>
          <w:rStyle w:val="TextoNormalNegritaCaracter"/>
        </w:rPr>
        <w:t>§ 63.</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28 de noviembre de 2006 (Apostol c. Georgia)</w:t>
      </w:r>
    </w:p>
    <w:p w:rsidR="00427CF1" w:rsidRDefault="00427CF1" w:rsidP="00427CF1">
      <w:pPr>
        <w:pStyle w:val="SangriaFrancesaArticulo"/>
      </w:pPr>
      <w:r w:rsidRPr="00427CF1">
        <w:rPr>
          <w:rStyle w:val="TextoNormalNegritaCaracter"/>
        </w:rPr>
        <w:t>§ 54.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57.</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59.</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65.</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23 de enero de 2007 (Kozlowski c. Polonia)</w:t>
      </w:r>
    </w:p>
    <w:p w:rsidR="00427CF1" w:rsidRDefault="00427CF1" w:rsidP="00427CF1">
      <w:pPr>
        <w:pStyle w:val="SangriaFrancesaArticulo"/>
      </w:pPr>
      <w:r w:rsidRPr="00427CF1">
        <w:rPr>
          <w:rStyle w:val="TextoNormalNegritaCaracter"/>
        </w:rPr>
        <w:t>§ 38.</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41.</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6 de septiembre de 2007 (Kijewska c. Polonia)</w:t>
      </w:r>
    </w:p>
    <w:p w:rsidR="00427CF1" w:rsidRDefault="00427CF1" w:rsidP="00427CF1">
      <w:pPr>
        <w:pStyle w:val="SangriaFrancesaArticulo"/>
      </w:pPr>
      <w:r w:rsidRPr="00427CF1">
        <w:rPr>
          <w:rStyle w:val="TextoNormalNegritaCaracter"/>
        </w:rPr>
        <w:t>§ 43.</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10 de diciembre de 2007 (Stoll c. Suiza)</w:t>
      </w:r>
    </w:p>
    <w:p w:rsidR="00427CF1" w:rsidRDefault="00427CF1" w:rsidP="00427CF1">
      <w:pPr>
        <w:pStyle w:val="SangriaFrancesaArticulo"/>
      </w:pPr>
      <w:r w:rsidRPr="00427CF1">
        <w:rPr>
          <w:rStyle w:val="TextoNormalNegritaCaracter"/>
        </w:rPr>
        <w:t>§ 101.</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4 de marzo de 2008 (Polejowski c. Polonia)</w:t>
      </w:r>
    </w:p>
    <w:p w:rsidR="00427CF1" w:rsidRDefault="00427CF1" w:rsidP="00427CF1">
      <w:pPr>
        <w:pStyle w:val="SangriaFrancesaArticulo"/>
      </w:pPr>
      <w:r w:rsidRPr="00427CF1">
        <w:rPr>
          <w:rStyle w:val="TextoNormalNegritaCaracter"/>
        </w:rPr>
        <w:t>§ 36.</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38.</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12 de febrero de 2009 (Nolan y K. c. Rusia)</w:t>
      </w:r>
    </w:p>
    <w:p w:rsidR="00427CF1" w:rsidRDefault="00427CF1" w:rsidP="00427CF1">
      <w:pPr>
        <w:pStyle w:val="SangriaFrancesaArticulo"/>
      </w:pPr>
      <w:r w:rsidRPr="00427CF1">
        <w:rPr>
          <w:rStyle w:val="TextoNormalNegritaCaracter"/>
        </w:rPr>
        <w:t>§ 96.</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3 de marzo de 2009 (Cibicki c. Polonia)</w:t>
      </w:r>
    </w:p>
    <w:p w:rsidR="00427CF1" w:rsidRDefault="00427CF1" w:rsidP="00427CF1">
      <w:pPr>
        <w:pStyle w:val="SangriaFrancesaArticulo"/>
      </w:pPr>
      <w:r w:rsidRPr="00427CF1">
        <w:rPr>
          <w:rStyle w:val="TextoNormalNegritaCaracter"/>
        </w:rPr>
        <w:t>§ 30.</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32.</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34.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35.</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10 de marzo de 2009 (Igual Coll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7.</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26 de mayo de 2009 (Kordos c. Polonia)</w:t>
      </w:r>
    </w:p>
    <w:p w:rsidR="00427CF1" w:rsidRDefault="00427CF1" w:rsidP="00427CF1">
      <w:pPr>
        <w:pStyle w:val="SangriaFrancesaArticulo"/>
      </w:pPr>
      <w:r w:rsidRPr="00427CF1">
        <w:rPr>
          <w:rStyle w:val="TextoNormalNegritaCaracter"/>
        </w:rPr>
        <w:t>§ 36.</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39.</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7 de julio de 2009 (Kata c. Polonia)</w:t>
      </w:r>
    </w:p>
    <w:p w:rsidR="00427CF1" w:rsidRDefault="00427CF1" w:rsidP="00427CF1">
      <w:pPr>
        <w:pStyle w:val="SangriaFrancesaArticulo"/>
      </w:pPr>
      <w:r w:rsidRPr="00427CF1">
        <w:rPr>
          <w:rStyle w:val="TextoNormalNegritaCaracter"/>
        </w:rPr>
        <w:t>§ 41.</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21 de julio de 2009 (Brezeanu c. Rumanía)</w:t>
      </w:r>
    </w:p>
    <w:p w:rsidR="00427CF1" w:rsidRDefault="00427CF1" w:rsidP="00427CF1">
      <w:pPr>
        <w:pStyle w:val="SangriaFrancesaArticulo"/>
      </w:pPr>
      <w:r w:rsidRPr="00427CF1">
        <w:rPr>
          <w:rStyle w:val="TextoNormalNegritaCaracter"/>
        </w:rPr>
        <w:t>§ 23.</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17 de septiembre de 2009 (Scoppola c. Italia -núm. 2-)</w:t>
      </w:r>
    </w:p>
    <w:p w:rsidR="00427CF1" w:rsidRDefault="00427CF1" w:rsidP="00427CF1">
      <w:pPr>
        <w:pStyle w:val="SangriaFrancesaArticulo"/>
      </w:pPr>
      <w:r w:rsidRPr="00427CF1">
        <w:rPr>
          <w:rStyle w:val="TextoNormalNegritaCaracter"/>
        </w:rPr>
        <w:t>§ 108.</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 109.</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24 de septiembre de 2009 (Agromodel Ood c. Bulgaria)</w:t>
      </w:r>
    </w:p>
    <w:p w:rsidR="00427CF1" w:rsidRDefault="00427CF1" w:rsidP="00427CF1">
      <w:pPr>
        <w:pStyle w:val="SangriaFrancesaArticulo"/>
      </w:pPr>
      <w:r w:rsidRPr="00427CF1">
        <w:rPr>
          <w:rStyle w:val="TextoNormalNegritaCaracter"/>
        </w:rPr>
        <w:t>§ 47.</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48.</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49.</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24 de noviembre de 2009 (Friend y Contryside Alliance c. Reino Unido)</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23 de febrero de 2010 (S.C. Silvogrecu Com. S.R.L. c. Rumanía)</w:t>
      </w:r>
    </w:p>
    <w:p w:rsidR="00427CF1" w:rsidRDefault="00427CF1" w:rsidP="00427CF1">
      <w:pPr>
        <w:pStyle w:val="SangriaFrancesaArticulo"/>
      </w:pPr>
      <w:r w:rsidRPr="00427CF1">
        <w:rPr>
          <w:rStyle w:val="TextoNormalNegritaCaracter"/>
        </w:rPr>
        <w:t>§ 42.</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43.</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23 de marzo de 2010 (Oyal c. Turquía)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20 de abril de 2010 (Bek c. Turquía)</w:t>
      </w:r>
    </w:p>
    <w:p w:rsidR="00427CF1" w:rsidRDefault="00427CF1" w:rsidP="00427CF1">
      <w:pPr>
        <w:pStyle w:val="SangriaFrancesaArticulo"/>
      </w:pPr>
      <w:r w:rsidRPr="00427CF1">
        <w:rPr>
          <w:rStyle w:val="TextoNormalNegritaCaracter"/>
        </w:rPr>
        <w:t>§ 24.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28 de septiembre de 2010 (San Argimiro Isasa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14 de octubre de 2010 (Pedro Ramos c. Suiza)</w:t>
      </w:r>
    </w:p>
    <w:p w:rsidR="00427CF1" w:rsidRDefault="00427CF1" w:rsidP="00427CF1">
      <w:pPr>
        <w:pStyle w:val="SangriaFrancesaArticulo"/>
      </w:pPr>
      <w:r w:rsidRPr="00427CF1">
        <w:rPr>
          <w:rStyle w:val="TextoNormalNegritaCaracter"/>
        </w:rPr>
        <w:t>§ 34.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35.</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37.</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9 de diciembre de 2010 (Urbanek c. Austria)</w:t>
      </w:r>
    </w:p>
    <w:p w:rsidR="00427CF1" w:rsidRDefault="00427CF1" w:rsidP="00427CF1">
      <w:pPr>
        <w:pStyle w:val="SangriaFrancesaArticulo"/>
      </w:pPr>
      <w:r w:rsidRPr="00427CF1">
        <w:rPr>
          <w:rStyle w:val="TextoNormalNegritaCaracter"/>
        </w:rPr>
        <w:t>§ 50.</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51.</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63.</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8 de marzo de 2011 (Beristain Ukar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21 de julio de 2011 (Heinisch c. Alemania)</w:t>
      </w:r>
    </w:p>
    <w:p w:rsidR="00427CF1" w:rsidRDefault="00427CF1" w:rsidP="00427CF1">
      <w:pPr>
        <w:pStyle w:val="SangriaFrancesaArticulo"/>
      </w:pPr>
      <w:r w:rsidRPr="00427CF1">
        <w:rPr>
          <w:rStyle w:val="TextoNormalNegritaCaracter"/>
        </w:rPr>
        <w:t>§ 91.</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Artículo 92.</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22 de noviembre de 2011 (Lacadena Calero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ff. 7, 8.</w:t>
      </w:r>
    </w:p>
    <w:p w:rsidR="00427CF1" w:rsidRDefault="00427CF1" w:rsidP="00427CF1">
      <w:pPr>
        <w:pStyle w:val="SangriaFrancesaArticulo"/>
      </w:pPr>
      <w:r w:rsidRPr="00427CF1">
        <w:rPr>
          <w:rStyle w:val="TextoNormalNegritaCaracter"/>
        </w:rPr>
        <w:t>§ 47.</w:t>
      </w:r>
      <w:r w:rsidRPr="00427CF1">
        <w:rPr>
          <w:rStyle w:val="TextoNormalCaracter"/>
        </w:rPr>
        <w:t>-</w:t>
      </w:r>
      <w:r>
        <w:t xml:space="preserve"> Sentencia </w:t>
      </w:r>
      <w:hyperlink w:anchor="SENTENCIA_2016_172" w:history="1">
        <w:r w:rsidRPr="00427CF1">
          <w:rPr>
            <w:rStyle w:val="TextoNormalCaracter"/>
          </w:rPr>
          <w:t>172/2016</w:t>
        </w:r>
      </w:hyperlink>
      <w:r>
        <w:t>, f. 8.</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13 de diciembre de 2011 (Valbuena Redondo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7.</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7 de febrero de 2012 (Alkan c. Turquía)</w:t>
      </w:r>
    </w:p>
    <w:p w:rsidR="00427CF1" w:rsidRDefault="00427CF1" w:rsidP="00427CF1">
      <w:pPr>
        <w:pStyle w:val="SangriaFrancesaArticulo"/>
      </w:pPr>
      <w:r w:rsidRPr="00427CF1">
        <w:rPr>
          <w:rStyle w:val="TextoNormalNegritaCaracter"/>
        </w:rPr>
        <w:t>§ 24.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20 de marzo de 2012 (Serrano Contreras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ff. 7, 8.</w:t>
      </w:r>
    </w:p>
    <w:p w:rsidR="00427CF1" w:rsidRDefault="00427CF1" w:rsidP="00427CF1">
      <w:pPr>
        <w:pStyle w:val="SangriaFrancesaArticulo"/>
      </w:pPr>
      <w:r w:rsidRPr="00427CF1">
        <w:rPr>
          <w:rStyle w:val="TextoNormalNegritaCaracter"/>
        </w:rPr>
        <w:t>§ 38.</w:t>
      </w:r>
      <w:r w:rsidRPr="00427CF1">
        <w:rPr>
          <w:rStyle w:val="TextoNormalCaracter"/>
        </w:rPr>
        <w:t>-</w:t>
      </w:r>
      <w:r>
        <w:t xml:space="preserve"> Sentencia </w:t>
      </w:r>
      <w:hyperlink w:anchor="SENTENCIA_2016_172" w:history="1">
        <w:r w:rsidRPr="00427CF1">
          <w:rPr>
            <w:rStyle w:val="TextoNormalCaracter"/>
          </w:rPr>
          <w:t>172/2016</w:t>
        </w:r>
      </w:hyperlink>
      <w:r>
        <w:t>, f. 8.</w:t>
      </w:r>
    </w:p>
    <w:p w:rsidR="00427CF1" w:rsidRDefault="00427CF1" w:rsidP="00427CF1">
      <w:pPr>
        <w:pStyle w:val="SangriaFrancesaArticulo"/>
      </w:pPr>
      <w:r w:rsidRPr="00427CF1">
        <w:rPr>
          <w:rStyle w:val="TextoNormalNegritaCaracter"/>
        </w:rPr>
        <w:t>§ 40.</w:t>
      </w:r>
      <w:r w:rsidRPr="00427CF1">
        <w:rPr>
          <w:rStyle w:val="TextoNormalCaracter"/>
        </w:rPr>
        <w:t>-</w:t>
      </w:r>
      <w:r>
        <w:t xml:space="preserve"> Sentencia </w:t>
      </w:r>
      <w:hyperlink w:anchor="SENTENCIA_2016_172" w:history="1">
        <w:r w:rsidRPr="00427CF1">
          <w:rPr>
            <w:rStyle w:val="TextoNormalCaracter"/>
          </w:rPr>
          <w:t>172/2016</w:t>
        </w:r>
      </w:hyperlink>
      <w:r>
        <w:t>, f. 8.</w:t>
      </w:r>
    </w:p>
    <w:p w:rsidR="00427CF1" w:rsidRDefault="00427CF1" w:rsidP="00427CF1">
      <w:pPr>
        <w:pStyle w:val="SangriaFrancesaArticulo"/>
      </w:pPr>
      <w:r w:rsidRPr="00427CF1">
        <w:rPr>
          <w:rStyle w:val="TextoNormalNegritaCaracter"/>
        </w:rPr>
        <w:t>§ 41.</w:t>
      </w:r>
      <w:r w:rsidRPr="00427CF1">
        <w:rPr>
          <w:rStyle w:val="TextoNormalCaracter"/>
        </w:rPr>
        <w:t>-</w:t>
      </w:r>
      <w:r>
        <w:t xml:space="preserve"> Sentencia </w:t>
      </w:r>
      <w:hyperlink w:anchor="SENTENCIA_2016_172" w:history="1">
        <w:r w:rsidRPr="00427CF1">
          <w:rPr>
            <w:rStyle w:val="TextoNormalCaracter"/>
          </w:rPr>
          <w:t>172/2016</w:t>
        </w:r>
      </w:hyperlink>
      <w:r>
        <w:t>, f. 8.</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10 de abril de 2012 (Panaitescu c. Rumanía)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13 de julio de 2012 (Movimiento raeliano suizo c. Suiza)</w:t>
      </w:r>
    </w:p>
    <w:p w:rsidR="00427CF1" w:rsidRDefault="00427CF1" w:rsidP="00427CF1">
      <w:pPr>
        <w:pStyle w:val="SangriaFrancesaArticulo"/>
      </w:pPr>
      <w:r w:rsidRPr="00427CF1">
        <w:rPr>
          <w:rStyle w:val="TextoNormalNegritaCaracter"/>
        </w:rPr>
        <w:t>§ 48.</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16 de octubre de 2012 (Otamendi Egiguren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r w:rsidRPr="00427CF1">
        <w:rPr>
          <w:rStyle w:val="TextoNormalNegritaCaracter"/>
        </w:rPr>
        <w:t>§ 41.</w:t>
      </w:r>
      <w:r w:rsidRPr="00427CF1">
        <w:rPr>
          <w:rStyle w:val="TextoNormalCaracter"/>
        </w:rPr>
        <w:t>-</w:t>
      </w:r>
      <w:r>
        <w:t xml:space="preserve"> Sentencias </w:t>
      </w:r>
      <w:hyperlink w:anchor="SENTENCIA_2016_130" w:history="1">
        <w:r w:rsidRPr="00427CF1">
          <w:rPr>
            <w:rStyle w:val="TextoNormalCaracter"/>
          </w:rPr>
          <w:t>130/2016</w:t>
        </w:r>
      </w:hyperlink>
      <w:r>
        <w:t xml:space="preserve">, f. 2; </w:t>
      </w:r>
      <w:hyperlink w:anchor="SENTENCIA_2016_144" w:history="1">
        <w:r w:rsidRPr="00427CF1">
          <w:rPr>
            <w:rStyle w:val="TextoNormalCaracter"/>
          </w:rPr>
          <w:t>144/2016</w:t>
        </w:r>
      </w:hyperlink>
      <w:r>
        <w:t>, f. 4.</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16 de octubre de 2012 (Pietka c. Polonia)</w:t>
      </w:r>
    </w:p>
    <w:p w:rsidR="00427CF1" w:rsidRDefault="00427CF1" w:rsidP="00427CF1">
      <w:pPr>
        <w:pStyle w:val="SangriaFrancesaArticulo"/>
      </w:pPr>
      <w:r w:rsidRPr="00427CF1">
        <w:rPr>
          <w:rStyle w:val="TextoNormalNegritaCaracter"/>
        </w:rPr>
        <w:t>§ 57.</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27 de noviembre de 2012 (Vilanova Goterris y LLop García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ff. 7, 8.</w:t>
      </w:r>
    </w:p>
    <w:p w:rsidR="00427CF1" w:rsidRDefault="00427CF1" w:rsidP="00427CF1">
      <w:pPr>
        <w:pStyle w:val="SangriaFrancesaArticulo"/>
      </w:pPr>
      <w:r w:rsidRPr="00427CF1">
        <w:rPr>
          <w:rStyle w:val="TextoNormalNegritaCaracter"/>
        </w:rPr>
        <w:t>§ 35.</w:t>
      </w:r>
      <w:r w:rsidRPr="00427CF1">
        <w:rPr>
          <w:rStyle w:val="TextoNormalCaracter"/>
        </w:rPr>
        <w:t>-</w:t>
      </w:r>
      <w:r>
        <w:t xml:space="preserve"> Sentencia </w:t>
      </w:r>
      <w:hyperlink w:anchor="SENTENCIA_2016_172" w:history="1">
        <w:r w:rsidRPr="00427CF1">
          <w:rPr>
            <w:rStyle w:val="TextoNormalCaracter"/>
          </w:rPr>
          <w:t>172/2016</w:t>
        </w:r>
      </w:hyperlink>
      <w:r>
        <w:t>, f. 8.</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8 de enero de 2013 (Dimitrov c. Bulgaria, núm. 2)</w:t>
      </w:r>
    </w:p>
    <w:p w:rsidR="00427CF1" w:rsidRDefault="00427CF1" w:rsidP="00427CF1">
      <w:pPr>
        <w:pStyle w:val="SangriaFrancesaArticulo"/>
      </w:pPr>
      <w:r w:rsidRPr="00427CF1">
        <w:rPr>
          <w:rStyle w:val="TextoNormalNegritaCaracter"/>
        </w:rPr>
        <w:t>§ 24.</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26.</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5 de marzo de 2013 (Varela Geis c. España)</w:t>
      </w:r>
    </w:p>
    <w:p w:rsidR="00427CF1" w:rsidRDefault="00427CF1" w:rsidP="00427CF1">
      <w:pPr>
        <w:pStyle w:val="SangriaFrancesaArticulo"/>
      </w:pPr>
      <w:r w:rsidRPr="00427CF1">
        <w:rPr>
          <w:rStyle w:val="TextoNormalNegritaCaracter"/>
        </w:rPr>
        <w:t>§ 41.</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r w:rsidRPr="00427CF1">
        <w:rPr>
          <w:rStyle w:val="TextoNormalNegritaCaracter"/>
        </w:rPr>
        <w:t>§ 42.</w:t>
      </w:r>
      <w:r w:rsidRPr="00427CF1">
        <w:rPr>
          <w:rStyle w:val="TextoNormalCaracter"/>
        </w:rPr>
        <w:t>-</w:t>
      </w:r>
      <w:r>
        <w:t xml:space="preserve"> Sentencia </w:t>
      </w:r>
      <w:hyperlink w:anchor="SENTENCIA_2016_172" w:history="1">
        <w:r w:rsidRPr="00427CF1">
          <w:rPr>
            <w:rStyle w:val="TextoNormalCaracter"/>
          </w:rPr>
          <w:t>172/2016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9 de abril de 2013 (Mehmet Sentürk y Bekir Sentürk c. Turquía)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23 de julio de 2013 (M.A. c. Chipre)</w:t>
      </w:r>
    </w:p>
    <w:p w:rsidR="00427CF1" w:rsidRDefault="00427CF1" w:rsidP="00427CF1">
      <w:pPr>
        <w:pStyle w:val="SangriaFrancesaArticulo"/>
      </w:pPr>
      <w:r w:rsidRPr="00427CF1">
        <w:rPr>
          <w:rStyle w:val="TextoNormalNegritaCaracter"/>
        </w:rPr>
        <w:t>§ 193.</w:t>
      </w:r>
      <w:r w:rsidRPr="00427CF1">
        <w:rPr>
          <w:rStyle w:val="TextoNormalCaracter"/>
        </w:rPr>
        <w:t>-</w:t>
      </w:r>
      <w:r>
        <w:t xml:space="preserve"> Sentencia </w:t>
      </w:r>
      <w:hyperlink w:anchor="SENTENCIA_2016_154" w:history="1">
        <w:r w:rsidRPr="00427CF1">
          <w:rPr>
            <w:rStyle w:val="TextoNormalCaracter"/>
          </w:rPr>
          <w:t>154/2016</w:t>
        </w:r>
      </w:hyperlink>
      <w:r>
        <w:t>, VP.</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3 de octubre de 2013 (Kasparov y otros c. Rusia)</w:t>
      </w:r>
    </w:p>
    <w:p w:rsidR="00427CF1" w:rsidRDefault="00427CF1" w:rsidP="00427CF1">
      <w:pPr>
        <w:pStyle w:val="SangriaFrancesaArticulo"/>
      </w:pPr>
      <w:r w:rsidRPr="00427CF1">
        <w:rPr>
          <w:rStyle w:val="TextoNormalNegritaCaracter"/>
        </w:rPr>
        <w:t>§ 84.</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8 de octubre de 2013 (Nieto Macero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7.</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8 de octubre de 2013 (Román Zurdo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7.</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21 de octubre de 2013 (del Río Prada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5" w:history="1">
        <w:r w:rsidRPr="00427CF1">
          <w:rPr>
            <w:rStyle w:val="TextoNormalCaracter"/>
          </w:rPr>
          <w:t>155/2016</w:t>
        </w:r>
      </w:hyperlink>
      <w:r>
        <w:t>, f. 4, VP I.</w:t>
      </w:r>
    </w:p>
    <w:p w:rsidR="00427CF1" w:rsidRDefault="00427CF1" w:rsidP="00427CF1">
      <w:pPr>
        <w:pStyle w:val="SangriaFrancesaArticulo"/>
      </w:pPr>
      <w:r w:rsidRPr="00427CF1">
        <w:rPr>
          <w:rStyle w:val="TextoNormalNegritaCaracter"/>
        </w:rPr>
        <w:t>§ 89.</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 98.</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 109.</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r w:rsidRPr="00427CF1">
        <w:rPr>
          <w:rStyle w:val="TextoNormalNegritaCaracter"/>
        </w:rPr>
        <w:t>§ 110.</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12 de noviembre de 2013 (Sainz Casla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7.</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8 de abril de 2014 (Dhahbi c. Italia)</w:t>
      </w:r>
    </w:p>
    <w:p w:rsidR="00427CF1" w:rsidRDefault="00427CF1" w:rsidP="00427CF1">
      <w:pPr>
        <w:pStyle w:val="SangriaFrancesaArticulo"/>
      </w:pPr>
      <w:r w:rsidRPr="00427CF1">
        <w:rPr>
          <w:rStyle w:val="TextoNormalNegritaCaracter"/>
        </w:rPr>
        <w:t>§ 31.</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17 de abril de 2014 (Paposhvili c. Bélgica)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15 de mayo de 2014 (Taranenko c. Rusia)</w:t>
      </w:r>
    </w:p>
    <w:p w:rsidR="00427CF1" w:rsidRDefault="00427CF1" w:rsidP="00427CF1">
      <w:pPr>
        <w:pStyle w:val="SangriaFrancesaArticulo"/>
      </w:pPr>
      <w:r w:rsidRPr="00427CF1">
        <w:rPr>
          <w:rStyle w:val="TextoNormalNegritaCaracter"/>
        </w:rPr>
        <w:t>§ 95.</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r w:rsidRPr="00427CF1">
        <w:rPr>
          <w:rStyle w:val="TextoNormalNegritaCaracter"/>
        </w:rPr>
        <w:t>§ 96.</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17 de julio de 2014 (Valentín Câmpeanu c. Rumania)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24 de julio de 2014 (Brincat y otros c. Malta)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7 de octubre de 2014 (Ataun Rojo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0" w:history="1">
        <w:r w:rsidRPr="00427CF1">
          <w:rPr>
            <w:rStyle w:val="TextoNormalCaracter"/>
          </w:rPr>
          <w:t>130/2016</w:t>
        </w:r>
      </w:hyperlink>
      <w:r>
        <w:t xml:space="preserve">, ff. 2, 5; </w:t>
      </w:r>
      <w:hyperlink w:anchor="SENTENCIA_2016_144" w:history="1">
        <w:r w:rsidRPr="00427CF1">
          <w:rPr>
            <w:rStyle w:val="TextoNormalCaracter"/>
          </w:rPr>
          <w:t>144/2016</w:t>
        </w:r>
      </w:hyperlink>
      <w:r>
        <w:t>, f. 4.</w:t>
      </w:r>
    </w:p>
    <w:p w:rsidR="00427CF1" w:rsidRDefault="00427CF1" w:rsidP="00427CF1">
      <w:pPr>
        <w:pStyle w:val="SangriaFrancesaArticulo"/>
      </w:pPr>
      <w:r w:rsidRPr="00427CF1">
        <w:rPr>
          <w:rStyle w:val="TextoNormalNegritaCaracter"/>
        </w:rPr>
        <w:t>§§ 35, 37, 38.</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7 de octubre de 2014 (Etxebarria Caballero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0" w:history="1">
        <w:r w:rsidRPr="00427CF1">
          <w:rPr>
            <w:rStyle w:val="TextoNormalCaracter"/>
          </w:rPr>
          <w:t>130/2016</w:t>
        </w:r>
      </w:hyperlink>
      <w:r>
        <w:t xml:space="preserve">, ff. 2, 5; </w:t>
      </w:r>
      <w:hyperlink w:anchor="SENTENCIA_2016_144" w:history="1">
        <w:r w:rsidRPr="00427CF1">
          <w:rPr>
            <w:rStyle w:val="TextoNormalCaracter"/>
          </w:rPr>
          <w:t>144/2016</w:t>
        </w:r>
      </w:hyperlink>
      <w:r>
        <w:t>, f. 4.</w:t>
      </w:r>
    </w:p>
    <w:p w:rsidR="00427CF1" w:rsidRDefault="00427CF1" w:rsidP="00427CF1">
      <w:pPr>
        <w:pStyle w:val="SangriaFrancesaArticulo"/>
      </w:pPr>
      <w:r w:rsidRPr="00427CF1">
        <w:rPr>
          <w:rStyle w:val="TextoNormalNegritaCaracter"/>
        </w:rPr>
        <w:t>§ 44.</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r w:rsidRPr="00427CF1">
        <w:rPr>
          <w:rStyle w:val="TextoNormalNegritaCaracter"/>
        </w:rPr>
        <w:t>§ 47.</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r w:rsidRPr="00427CF1">
        <w:rPr>
          <w:rStyle w:val="TextoNormalNegritaCaracter"/>
        </w:rPr>
        <w:t>§ 48.</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14 de octubre de 2014 (Yilmaz Yildiz y otros c. Turquía)</w:t>
      </w:r>
    </w:p>
    <w:p w:rsidR="00427CF1" w:rsidRDefault="00427CF1" w:rsidP="00427CF1">
      <w:pPr>
        <w:pStyle w:val="SangriaFrancesaArticulo"/>
      </w:pPr>
      <w:r w:rsidRPr="00427CF1">
        <w:rPr>
          <w:rStyle w:val="TextoNormalNegritaCaracter"/>
        </w:rPr>
        <w:t>§ 33.</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16 de diciembre de 2014 (Onar c. Turquía)</w:t>
      </w:r>
    </w:p>
    <w:p w:rsidR="00427CF1" w:rsidRDefault="00427CF1" w:rsidP="00427CF1">
      <w:pPr>
        <w:pStyle w:val="SangriaFrancesaArticulo"/>
      </w:pPr>
      <w:r w:rsidRPr="00427CF1">
        <w:rPr>
          <w:rStyle w:val="TextoNormalNegritaCaracter"/>
        </w:rPr>
        <w:t>§ 26.</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27.</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20 de enero de 2015 (Arribas Antón c. España)</w:t>
      </w:r>
    </w:p>
    <w:p w:rsidR="00427CF1" w:rsidRDefault="00427CF1" w:rsidP="00427CF1">
      <w:pPr>
        <w:pStyle w:val="SangriaFrancesaArticulo"/>
      </w:pPr>
      <w:r w:rsidRPr="00427CF1">
        <w:rPr>
          <w:rStyle w:val="TextoNormalNegritaCaracter"/>
        </w:rPr>
        <w:t>§ 46.</w:t>
      </w:r>
      <w:r w:rsidRPr="00427CF1">
        <w:rPr>
          <w:rStyle w:val="TextoNormalCaracter"/>
        </w:rPr>
        <w:t>-</w:t>
      </w:r>
      <w:r>
        <w:t xml:space="preserve"> Sentencias </w:t>
      </w:r>
      <w:hyperlink w:anchor="SENTENCIA_2016_129" w:history="1">
        <w:r w:rsidRPr="00427CF1">
          <w:rPr>
            <w:rStyle w:val="TextoNormalCaracter"/>
          </w:rPr>
          <w:t>129/2016</w:t>
        </w:r>
      </w:hyperlink>
      <w:r>
        <w:t xml:space="preserve">, f. 2; </w:t>
      </w:r>
      <w:hyperlink w:anchor="SENTENCIA_2016_131" w:history="1">
        <w:r w:rsidRPr="00427CF1">
          <w:rPr>
            <w:rStyle w:val="TextoNormalCaracter"/>
          </w:rPr>
          <w:t>131/2016</w:t>
        </w:r>
      </w:hyperlink>
      <w:r>
        <w:t xml:space="preserve">, f. 3; </w:t>
      </w:r>
      <w:hyperlink w:anchor="SENTENCIA_2016_132" w:history="1">
        <w:r w:rsidRPr="00427CF1">
          <w:rPr>
            <w:rStyle w:val="TextoNormalCaracter"/>
          </w:rPr>
          <w:t>132/2016</w:t>
        </w:r>
      </w:hyperlink>
      <w:r>
        <w:t xml:space="preserve">, f. 2; </w:t>
      </w:r>
      <w:hyperlink w:anchor="SENTENCIA_2016_143" w:history="1">
        <w:r w:rsidRPr="00427CF1">
          <w:rPr>
            <w:rStyle w:val="TextoNormalCaracter"/>
          </w:rPr>
          <w:t>143/2016</w:t>
        </w:r>
      </w:hyperlink>
      <w:r>
        <w:t xml:space="preserve">, f. 2; </w:t>
      </w:r>
      <w:hyperlink w:anchor="SENTENCIA_2016_146" w:history="1">
        <w:r w:rsidRPr="00427CF1">
          <w:rPr>
            <w:rStyle w:val="TextoNormalCaracter"/>
          </w:rPr>
          <w:t>146/2016</w:t>
        </w:r>
      </w:hyperlink>
      <w:r>
        <w:t xml:space="preserve">, VP; </w:t>
      </w:r>
      <w:hyperlink w:anchor="SENTENCIA_2016_149" w:history="1">
        <w:r w:rsidRPr="00427CF1">
          <w:rPr>
            <w:rStyle w:val="TextoNormalCaracter"/>
          </w:rPr>
          <w:t>149/2016</w:t>
        </w:r>
      </w:hyperlink>
      <w:r>
        <w:t xml:space="preserve">, f. 2; </w:t>
      </w:r>
      <w:hyperlink w:anchor="SENTENCIA_2016_163" w:history="1">
        <w:r w:rsidRPr="00427CF1">
          <w:rPr>
            <w:rStyle w:val="TextoNormalCaracter"/>
          </w:rPr>
          <w:t>163/2016</w:t>
        </w:r>
      </w:hyperlink>
      <w:r>
        <w:t xml:space="preserve">, f. 2; </w:t>
      </w:r>
      <w:hyperlink w:anchor="SENTENCIA_2016_172" w:history="1">
        <w:r w:rsidRPr="00427CF1">
          <w:rPr>
            <w:rStyle w:val="TextoNormalCaracter"/>
          </w:rPr>
          <w:t>172/2016</w:t>
        </w:r>
      </w:hyperlink>
      <w:r>
        <w:t xml:space="preserve">, f. 2; </w:t>
      </w:r>
      <w:hyperlink w:anchor="SENTENCIA_2016_173" w:history="1">
        <w:r w:rsidRPr="00427CF1">
          <w:rPr>
            <w:rStyle w:val="TextoNormalCaracter"/>
          </w:rPr>
          <w:t>173/2016</w:t>
        </w:r>
      </w:hyperlink>
      <w:r>
        <w:t xml:space="preserve">, f. 2; </w:t>
      </w:r>
      <w:hyperlink w:anchor="SENTENCIA_2016_189" w:history="1">
        <w:r w:rsidRPr="00427CF1">
          <w:rPr>
            <w:rStyle w:val="TextoNormalCaracter"/>
          </w:rPr>
          <w:t>189/2016</w:t>
        </w:r>
      </w:hyperlink>
      <w:r>
        <w:t xml:space="preserve">, f. 2; </w:t>
      </w:r>
      <w:hyperlink w:anchor="SENTENCIA_2016_196" w:history="1">
        <w:r w:rsidRPr="00427CF1">
          <w:rPr>
            <w:rStyle w:val="TextoNormalCaracter"/>
          </w:rPr>
          <w:t>196/2016</w:t>
        </w:r>
      </w:hyperlink>
      <w:r>
        <w:t xml:space="preserve">, f. 2; </w:t>
      </w:r>
      <w:hyperlink w:anchor="SENTENCIA_2016_198" w:history="1">
        <w:r w:rsidRPr="00427CF1">
          <w:rPr>
            <w:rStyle w:val="TextoNormalCaracter"/>
          </w:rPr>
          <w:t>198/2016</w:t>
        </w:r>
      </w:hyperlink>
      <w:r>
        <w:t xml:space="preserve">, f. 2; </w:t>
      </w:r>
      <w:hyperlink w:anchor="SENTENCIA_2016_199" w:history="1">
        <w:r w:rsidRPr="00427CF1">
          <w:rPr>
            <w:rStyle w:val="TextoNormalCaracter"/>
          </w:rPr>
          <w:t>199/2016</w:t>
        </w:r>
      </w:hyperlink>
      <w:r>
        <w:t xml:space="preserve">, f. 2; </w:t>
      </w:r>
      <w:hyperlink w:anchor="SENTENCIA_2016_200" w:history="1">
        <w:r w:rsidRPr="00427CF1">
          <w:rPr>
            <w:rStyle w:val="TextoNormalCaracter"/>
          </w:rPr>
          <w:t>200/2016</w:t>
        </w:r>
      </w:hyperlink>
      <w:r>
        <w:t xml:space="preserve">, f. 3; </w:t>
      </w:r>
      <w:hyperlink w:anchor="SENTENCIA_2016_212" w:history="1">
        <w:r w:rsidRPr="00427CF1">
          <w:rPr>
            <w:rStyle w:val="TextoNormalCaracter"/>
          </w:rPr>
          <w:t>212/2016</w:t>
        </w:r>
      </w:hyperlink>
      <w:r>
        <w:t xml:space="preserve">, f. 2; </w:t>
      </w:r>
      <w:hyperlink w:anchor="SENTENCIA_2016_219" w:history="1">
        <w:r w:rsidRPr="00427CF1">
          <w:rPr>
            <w:rStyle w:val="TextoNormalCaracter"/>
          </w:rPr>
          <w:t>219/2016</w:t>
        </w:r>
      </w:hyperlink>
      <w:r>
        <w:t xml:space="preserve">, f. 2; </w:t>
      </w:r>
      <w:hyperlink w:anchor="SENTENCIA_2016_220" w:history="1">
        <w:r w:rsidRPr="00427CF1">
          <w:rPr>
            <w:rStyle w:val="TextoNormalCaracter"/>
          </w:rPr>
          <w:t>220/2016</w:t>
        </w:r>
      </w:hyperlink>
      <w:r>
        <w:t xml:space="preserve">, f. 2; </w:t>
      </w:r>
      <w:hyperlink w:anchor="SENTENCIA_2016_222" w:history="1">
        <w:r w:rsidRPr="00427CF1">
          <w:rPr>
            <w:rStyle w:val="TextoNormalCaracter"/>
          </w:rPr>
          <w:t>222/2016</w:t>
        </w:r>
      </w:hyperlink>
      <w:r>
        <w:t xml:space="preserve">, f. 2; </w:t>
      </w:r>
      <w:hyperlink w:anchor="SENTENCIA_2016_226" w:history="1">
        <w:r w:rsidRPr="00427CF1">
          <w:rPr>
            <w:rStyle w:val="TextoNormalCaracter"/>
          </w:rPr>
          <w:t>226/2016</w:t>
        </w:r>
      </w:hyperlink>
      <w:r>
        <w:t>, f. 3.</w:t>
      </w:r>
    </w:p>
    <w:p w:rsidR="00427CF1" w:rsidRDefault="00427CF1" w:rsidP="00427CF1">
      <w:pPr>
        <w:pStyle w:val="SangriaFrancesaArticulo"/>
      </w:pPr>
      <w:r w:rsidRPr="00427CF1">
        <w:rPr>
          <w:rStyle w:val="TextoNormalNegritaCaracter"/>
        </w:rPr>
        <w:t>§ 245.</w:t>
      </w:r>
      <w:r w:rsidRPr="00427CF1">
        <w:rPr>
          <w:rStyle w:val="TextoNormalCaracter"/>
        </w:rPr>
        <w:t>-</w:t>
      </w:r>
      <w:r>
        <w:t xml:space="preserve"> Sentencia </w:t>
      </w:r>
      <w:hyperlink w:anchor="SENTENCIA_2016_161" w:history="1">
        <w:r w:rsidRPr="00427CF1">
          <w:rPr>
            <w:rStyle w:val="TextoNormalCaracter"/>
          </w:rPr>
          <w:t>161/2016</w:t>
        </w:r>
      </w:hyperlink>
      <w:r>
        <w:t>, f. 2.</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27 de enero de 2015 (Asiye Genc c. Turquía)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27 de enero de 2015 (Coskun c. Turquía)</w:t>
      </w:r>
    </w:p>
    <w:p w:rsidR="00427CF1" w:rsidRDefault="00427CF1" w:rsidP="00427CF1">
      <w:pPr>
        <w:pStyle w:val="SangriaFrancesaArticulo"/>
      </w:pPr>
      <w:r w:rsidRPr="00427CF1">
        <w:rPr>
          <w:rStyle w:val="TextoNormalNegritaCaracter"/>
        </w:rPr>
        <w:t>§ 25.</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26.</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23 de abril de 2015 (Morice c. Francia)</w:t>
      </w:r>
    </w:p>
    <w:p w:rsidR="00427CF1" w:rsidRDefault="00427CF1" w:rsidP="00427CF1">
      <w:pPr>
        <w:pStyle w:val="SangriaFrancesaArticulo"/>
      </w:pPr>
      <w:r w:rsidRPr="00427CF1">
        <w:rPr>
          <w:rStyle w:val="TextoNormalNegritaCaracter"/>
        </w:rPr>
        <w:t>§ 124.</w:t>
      </w:r>
      <w:r w:rsidRPr="00427CF1">
        <w:rPr>
          <w:rStyle w:val="TextoNormalCaracter"/>
        </w:rPr>
        <w:t>-</w:t>
      </w:r>
      <w:r>
        <w:t xml:space="preserve"> Sentencia </w:t>
      </w:r>
      <w:hyperlink w:anchor="SENTENCIA_2016_226" w:history="1">
        <w:r w:rsidRPr="00427CF1">
          <w:rPr>
            <w:rStyle w:val="TextoNormalCaracter"/>
          </w:rPr>
          <w:t>226/2016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5 de mayo de 2015 (Arratibel Garciandía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0" w:history="1">
        <w:r w:rsidRPr="00427CF1">
          <w:rPr>
            <w:rStyle w:val="TextoNormalCaracter"/>
          </w:rPr>
          <w:t>130/2016</w:t>
        </w:r>
      </w:hyperlink>
      <w:r>
        <w:t xml:space="preserve">, ff. 2, 5; </w:t>
      </w:r>
      <w:hyperlink w:anchor="SENTENCIA_2016_144" w:history="1">
        <w:r w:rsidRPr="00427CF1">
          <w:rPr>
            <w:rStyle w:val="TextoNormalCaracter"/>
          </w:rPr>
          <w:t>144/2016</w:t>
        </w:r>
      </w:hyperlink>
      <w:r>
        <w:t>, f. 4.</w:t>
      </w:r>
    </w:p>
    <w:p w:rsidR="00427CF1" w:rsidRDefault="00427CF1" w:rsidP="00427CF1">
      <w:pPr>
        <w:pStyle w:val="SangriaFrancesaArticulo"/>
      </w:pPr>
      <w:r w:rsidRPr="00427CF1">
        <w:rPr>
          <w:rStyle w:val="TextoNormalNegritaCaracter"/>
        </w:rPr>
        <w:t>§§ 36, 39, 40.</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15 de octubre de 2015 (Gafgaz Mammadov c. Azerbayan)</w:t>
      </w:r>
    </w:p>
    <w:p w:rsidR="00427CF1" w:rsidRDefault="00427CF1" w:rsidP="00427CF1">
      <w:pPr>
        <w:pStyle w:val="SangriaFrancesaArticulo"/>
      </w:pPr>
      <w:r w:rsidRPr="00427CF1">
        <w:rPr>
          <w:rStyle w:val="TextoNormalNegritaCaracter"/>
        </w:rPr>
        <w:t>§ 50.</w:t>
      </w:r>
      <w:r w:rsidRPr="00427CF1">
        <w:rPr>
          <w:rStyle w:val="TextoNormalCaracter"/>
        </w:rPr>
        <w:t>-</w:t>
      </w:r>
      <w:r>
        <w:t xml:space="preserve"> Sentencia </w:t>
      </w:r>
      <w:hyperlink w:anchor="SENTENCIA_2016_140" w:history="1">
        <w:r w:rsidRPr="00427CF1">
          <w:rPr>
            <w:rStyle w:val="TextoNormalCaracter"/>
          </w:rPr>
          <w:t>140/2016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26 de noviembre de 2015 (Regner contra Republica Checa)</w:t>
      </w:r>
    </w:p>
    <w:p w:rsidR="00427CF1" w:rsidRDefault="00427CF1" w:rsidP="00427CF1">
      <w:pPr>
        <w:pStyle w:val="SangriaFrancesaArticulo"/>
      </w:pPr>
      <w:r w:rsidRPr="00427CF1">
        <w:rPr>
          <w:rStyle w:val="TextoNormalNegritaCaracter"/>
        </w:rPr>
        <w:t>§ 71.</w:t>
      </w:r>
      <w:r w:rsidRPr="00427CF1">
        <w:rPr>
          <w:rStyle w:val="TextoNormalCaracter"/>
        </w:rPr>
        <w:t>-</w:t>
      </w:r>
      <w:r>
        <w:t xml:space="preserve"> Auto </w:t>
      </w:r>
      <w:hyperlink w:anchor="AUTO_2016_146" w:history="1">
        <w:r w:rsidRPr="00427CF1">
          <w:rPr>
            <w:rStyle w:val="TextoNormalCaracter"/>
          </w:rPr>
          <w:t>146/2016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16 de febrero de 2016 (Vlieeland Boddy y Marcelo Lanni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77" w:history="1">
        <w:r w:rsidRPr="00427CF1">
          <w:rPr>
            <w:rStyle w:val="TextoNormalCaracter"/>
          </w:rPr>
          <w:t>177/2016</w:t>
        </w:r>
      </w:hyperlink>
      <w:r>
        <w:t>, f. 3.</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8 de marzo de 2016 (Porcel Terribas y otros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7.</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29 de marzo de 2016 (Bédat c. Suiza)</w:t>
      </w:r>
    </w:p>
    <w:p w:rsidR="00427CF1" w:rsidRDefault="00427CF1" w:rsidP="00427CF1">
      <w:pPr>
        <w:pStyle w:val="SangriaFrancesaArticulo"/>
      </w:pPr>
      <w:r w:rsidRPr="00427CF1">
        <w:rPr>
          <w:rStyle w:val="TextoNormalNegritaCaracter"/>
        </w:rPr>
        <w:t>§ 49.</w:t>
      </w:r>
      <w:r w:rsidRPr="00427CF1">
        <w:rPr>
          <w:rStyle w:val="TextoNormalCaracter"/>
        </w:rPr>
        <w:t>-</w:t>
      </w:r>
      <w:r>
        <w:t xml:space="preserve"> Sentencia </w:t>
      </w:r>
      <w:hyperlink w:anchor="SENTENCIA_2016_226" w:history="1">
        <w:r w:rsidRPr="00427CF1">
          <w:rPr>
            <w:rStyle w:val="TextoNormalCaracter"/>
          </w:rPr>
          <w:t>226/2016</w:t>
        </w:r>
      </w:hyperlink>
      <w:r>
        <w:t>.</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29 de marzo de 2016 (Gómez Olmeda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f. 7.</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31 de mayo de 2016 (Beortegui Martínez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30" w:history="1">
        <w:r w:rsidRPr="00427CF1">
          <w:rPr>
            <w:rStyle w:val="TextoNormalCaracter"/>
          </w:rPr>
          <w:t>130/2016</w:t>
        </w:r>
      </w:hyperlink>
      <w:r>
        <w:t xml:space="preserve">, ff. 2, 5; </w:t>
      </w:r>
      <w:hyperlink w:anchor="SENTENCIA_2016_144" w:history="1">
        <w:r w:rsidRPr="00427CF1">
          <w:rPr>
            <w:rStyle w:val="TextoNormalCaracter"/>
          </w:rPr>
          <w:t>144/2016</w:t>
        </w:r>
      </w:hyperlink>
      <w:r>
        <w:t>, f. 4.</w:t>
      </w:r>
    </w:p>
    <w:p w:rsidR="00427CF1" w:rsidRDefault="00427CF1" w:rsidP="00427CF1">
      <w:pPr>
        <w:pStyle w:val="SangriaFrancesaArticulo"/>
      </w:pPr>
      <w:r w:rsidRPr="00427CF1">
        <w:rPr>
          <w:rStyle w:val="TextoNormalNegritaCaracter"/>
        </w:rPr>
        <w:t>§§ 38, 45, 46.</w:t>
      </w:r>
      <w:r w:rsidRPr="00427CF1">
        <w:rPr>
          <w:rStyle w:val="TextoNormalCaracter"/>
        </w:rPr>
        <w:t>-</w:t>
      </w:r>
      <w:r>
        <w:t xml:space="preserve"> Sentencia </w:t>
      </w:r>
      <w:hyperlink w:anchor="SENTENCIA_2016_130" w:history="1">
        <w:r w:rsidRPr="00427CF1">
          <w:rPr>
            <w:rStyle w:val="TextoNormalCaracter"/>
          </w:rPr>
          <w:t>130/2016</w:t>
        </w:r>
      </w:hyperlink>
      <w:r>
        <w:t>, f. 2.</w:t>
      </w:r>
    </w:p>
    <w:p w:rsidR="00427CF1" w:rsidRDefault="00427CF1" w:rsidP="00427CF1">
      <w:pPr>
        <w:pStyle w:val="SangriaFrancesaArticulo"/>
      </w:pPr>
      <w:r w:rsidRPr="00427CF1">
        <w:rPr>
          <w:rStyle w:val="TextoNormalNegritaCaracter"/>
        </w:rPr>
        <w:t>§§ 43, 44.</w:t>
      </w:r>
      <w:r w:rsidRPr="00427CF1">
        <w:rPr>
          <w:rStyle w:val="TextoNormalCaracter"/>
        </w:rPr>
        <w:t>-</w:t>
      </w:r>
      <w:r>
        <w:t xml:space="preserve"> Sentencia </w:t>
      </w:r>
      <w:hyperlink w:anchor="SENTENCIA_2016_144" w:history="1">
        <w:r w:rsidRPr="00427CF1">
          <w:rPr>
            <w:rStyle w:val="TextoNormalCaracter"/>
          </w:rPr>
          <w:t>144/2016</w:t>
        </w:r>
      </w:hyperlink>
      <w:r>
        <w:t>, f. 3.</w:t>
      </w:r>
    </w:p>
    <w:p w:rsidR="00427CF1" w:rsidRDefault="00427CF1" w:rsidP="00427CF1">
      <w:pPr>
        <w:pStyle w:val="SangriaFrancesaArticulo"/>
      </w:pPr>
      <w:r w:rsidRPr="00427CF1">
        <w:rPr>
          <w:rStyle w:val="TextoNormalNegritaCaracter"/>
        </w:rPr>
        <w:t>§ 46.</w:t>
      </w:r>
      <w:r w:rsidRPr="00427CF1">
        <w:rPr>
          <w:rStyle w:val="TextoNormalCaracter"/>
        </w:rPr>
        <w:t>-</w:t>
      </w:r>
      <w:r>
        <w:t xml:space="preserve"> Sentencia </w:t>
      </w:r>
      <w:hyperlink w:anchor="SENTENCIA_2016_144" w:history="1">
        <w:r w:rsidRPr="00427CF1">
          <w:rPr>
            <w:rStyle w:val="TextoNormalCaracter"/>
          </w:rPr>
          <w:t>144/2016</w:t>
        </w:r>
      </w:hyperlink>
      <w:r>
        <w:t>, f. 3.</w:t>
      </w:r>
    </w:p>
    <w:p w:rsidR="00427CF1" w:rsidRDefault="00427CF1" w:rsidP="00427CF1">
      <w:pPr>
        <w:pStyle w:val="SangriaFrancesaArticulo"/>
      </w:pPr>
    </w:p>
    <w:p w:rsidR="00427CF1" w:rsidRDefault="00427CF1" w:rsidP="00427CF1">
      <w:pPr>
        <w:pStyle w:val="TextoNormalNegritaCursivandice"/>
      </w:pPr>
      <w:r>
        <w:t>Sentencia del Tribunal Europeo de Derechos Humanos de 20 de septiembre de 2016 (Hernández Royo c. España)</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2" w:history="1">
        <w:r w:rsidRPr="00427CF1">
          <w:rPr>
            <w:rStyle w:val="TextoNormalCaracter"/>
          </w:rPr>
          <w:t>172/2016</w:t>
        </w:r>
      </w:hyperlink>
      <w:r>
        <w:t>, VP.</w:t>
      </w:r>
    </w:p>
    <w:p w:rsidR="00427CF1" w:rsidRDefault="00427CF1" w:rsidP="00427CF1">
      <w:pPr>
        <w:pStyle w:val="TextoNormal"/>
      </w:pPr>
    </w:p>
    <w:p w:rsidR="00427CF1" w:rsidRDefault="00427CF1" w:rsidP="00427CF1">
      <w:pPr>
        <w:pStyle w:val="SangriaFrancesaArticulo"/>
      </w:pPr>
      <w:bookmarkStart w:id="204" w:name="INDICE22924"/>
    </w:p>
    <w:bookmarkEnd w:id="204"/>
    <w:p w:rsidR="00427CF1" w:rsidRDefault="00427CF1" w:rsidP="00427CF1">
      <w:pPr>
        <w:pStyle w:val="TextoIndiceNivel2"/>
        <w:suppressAutoHyphens/>
      </w:pPr>
      <w:r>
        <w:t>B) Tribunales de Justicia de las Comunidades Europeas y de la Unión Europea</w:t>
      </w:r>
    </w:p>
    <w:p w:rsidR="00427CF1" w:rsidRDefault="00427CF1" w:rsidP="00427CF1">
      <w:pPr>
        <w:pStyle w:val="TextoIndiceNivel2"/>
      </w:pPr>
    </w:p>
    <w:p w:rsidR="00427CF1" w:rsidRDefault="00427CF1" w:rsidP="00427CF1">
      <w:pPr>
        <w:pStyle w:val="TextoNormalNegritaCursivandice"/>
      </w:pPr>
      <w:r>
        <w:t>Sentencia del Tribunal de Justicia de las Comunidades Europeas de 6 de octubre de 1982 (Srl Cilfit y Lanificio di Gavardo, SpA c. Ministero della Sanità, asunto C-283/81)</w:t>
      </w:r>
    </w:p>
    <w:p w:rsidR="00427CF1" w:rsidRDefault="00427CF1" w:rsidP="00427CF1">
      <w:pPr>
        <w:pStyle w:val="SangriaFrancesaArticulo"/>
      </w:pPr>
      <w:r w:rsidRPr="00427CF1">
        <w:rPr>
          <w:rStyle w:val="TextoNormalNegritaCaracter"/>
        </w:rPr>
        <w:t>§ 16.</w:t>
      </w:r>
      <w:r w:rsidRPr="00427CF1">
        <w:rPr>
          <w:rStyle w:val="TextoNormalCaracter"/>
        </w:rPr>
        <w:t>-</w:t>
      </w:r>
      <w:r>
        <w:t xml:space="preserve"> Auto </w:t>
      </w:r>
      <w:hyperlink w:anchor="AUTO_2016_155" w:history="1">
        <w:r w:rsidRPr="00427CF1">
          <w:rPr>
            <w:rStyle w:val="TextoNormalCaracter"/>
          </w:rPr>
          <w:t>155/2016</w:t>
        </w:r>
      </w:hyperlink>
      <w:r>
        <w:t>, VP I.</w:t>
      </w:r>
    </w:p>
    <w:p w:rsidR="00427CF1" w:rsidRDefault="00427CF1" w:rsidP="00427CF1">
      <w:pPr>
        <w:pStyle w:val="SangriaFrancesaArticulo"/>
      </w:pPr>
    </w:p>
    <w:p w:rsidR="00427CF1" w:rsidRDefault="00427CF1" w:rsidP="00427CF1">
      <w:pPr>
        <w:pStyle w:val="TextoNormalNegritaCursivandice"/>
      </w:pPr>
      <w:r>
        <w:t>Sentencia del Tribunal de Justicia de las Comunidades Europeas de 11 de enero de 2000 (Tanja Kreil c. Bundesrepublik Deutschland, asunto C-285/98)</w:t>
      </w:r>
    </w:p>
    <w:p w:rsidR="00427CF1" w:rsidRDefault="00427CF1" w:rsidP="00427CF1">
      <w:pPr>
        <w:pStyle w:val="SangriaFrancesaArticulo"/>
      </w:pPr>
      <w:r w:rsidRPr="00427CF1">
        <w:rPr>
          <w:rStyle w:val="TextoNormalNegritaCaracter"/>
        </w:rPr>
        <w:t>§ 18.</w:t>
      </w:r>
      <w:r w:rsidRPr="00427CF1">
        <w:rPr>
          <w:rStyle w:val="TextoNormalCaracter"/>
        </w:rPr>
        <w:t>-</w:t>
      </w:r>
      <w:r>
        <w:t xml:space="preserve"> Sentencia </w:t>
      </w:r>
      <w:hyperlink w:anchor="SENTENCIA_2016_162" w:history="1">
        <w:r w:rsidRPr="00427CF1">
          <w:rPr>
            <w:rStyle w:val="TextoNormalCaracter"/>
          </w:rPr>
          <w:t>162/2016</w:t>
        </w:r>
      </w:hyperlink>
      <w:r>
        <w:t>, f. 2.</w:t>
      </w:r>
    </w:p>
    <w:p w:rsidR="00427CF1" w:rsidRDefault="00427CF1" w:rsidP="00427CF1">
      <w:pPr>
        <w:pStyle w:val="SangriaFrancesaArticulo"/>
      </w:pPr>
    </w:p>
    <w:p w:rsidR="00427CF1" w:rsidRDefault="00427CF1" w:rsidP="00427CF1">
      <w:pPr>
        <w:pStyle w:val="TextoNormalNegritaCursivandice"/>
      </w:pPr>
      <w:r>
        <w:t>Sentencia del Tribunal de Justicia de las Comunidades Europeas de 16 de junio de 2005 (Pupino, asunto C-105/03)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55" w:history="1">
        <w:r w:rsidRPr="00427CF1">
          <w:rPr>
            <w:rStyle w:val="TextoNormalCaracter"/>
          </w:rPr>
          <w:t>155/2016</w:t>
        </w:r>
      </w:hyperlink>
      <w:r>
        <w:t>, f. 3, VP I.</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13 de septiembre de 2005 (asunto C-176/03)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16 de febrero de 2006 (Carmen Sarkatzis Herrero, asunto C-294/04)</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2" w:history="1">
        <w:r w:rsidRPr="00427CF1">
          <w:rPr>
            <w:rStyle w:val="TextoNormalCaracter"/>
          </w:rPr>
          <w:t>162/2016</w:t>
        </w:r>
      </w:hyperlink>
      <w:r>
        <w:t>, f. 2.</w:t>
      </w:r>
    </w:p>
    <w:p w:rsidR="00427CF1" w:rsidRDefault="00427CF1" w:rsidP="00427CF1">
      <w:pPr>
        <w:pStyle w:val="SangriaFrancesaArticulo"/>
      </w:pPr>
      <w:r w:rsidRPr="00427CF1">
        <w:rPr>
          <w:rStyle w:val="TextoNormalNegritaCaracter"/>
        </w:rPr>
        <w:t>§ 39.</w:t>
      </w:r>
      <w:r w:rsidRPr="00427CF1">
        <w:rPr>
          <w:rStyle w:val="TextoNormalCaracter"/>
        </w:rPr>
        <w:t>-</w:t>
      </w:r>
      <w:r>
        <w:t xml:space="preserve"> Sentencia </w:t>
      </w:r>
      <w:hyperlink w:anchor="SENTENCIA_2016_162" w:history="1">
        <w:r w:rsidRPr="00427CF1">
          <w:rPr>
            <w:rStyle w:val="TextoNormalCaracter"/>
          </w:rPr>
          <w:t>162/2016</w:t>
        </w:r>
      </w:hyperlink>
      <w:r>
        <w:t>, f. 6.</w:t>
      </w:r>
    </w:p>
    <w:p w:rsidR="00427CF1" w:rsidRDefault="00427CF1" w:rsidP="00427CF1">
      <w:pPr>
        <w:pStyle w:val="SangriaFrancesaArticulo"/>
      </w:pPr>
      <w:r w:rsidRPr="00427CF1">
        <w:rPr>
          <w:rStyle w:val="TextoNormalNegritaCaracter"/>
        </w:rPr>
        <w:t>§ 41.</w:t>
      </w:r>
      <w:r w:rsidRPr="00427CF1">
        <w:rPr>
          <w:rStyle w:val="TextoNormalCaracter"/>
        </w:rPr>
        <w:t>-</w:t>
      </w:r>
      <w:r>
        <w:t xml:space="preserve"> Sentencia </w:t>
      </w:r>
      <w:hyperlink w:anchor="SENTENCIA_2016_162" w:history="1">
        <w:r w:rsidRPr="00427CF1">
          <w:rPr>
            <w:rStyle w:val="TextoNormalCaracter"/>
          </w:rPr>
          <w:t>162/2016</w:t>
        </w:r>
      </w:hyperlink>
      <w:r>
        <w:t>, f. 6.</w:t>
      </w:r>
    </w:p>
    <w:p w:rsidR="00427CF1" w:rsidRDefault="00427CF1" w:rsidP="00427CF1">
      <w:pPr>
        <w:pStyle w:val="SangriaFrancesaArticulo"/>
      </w:pPr>
      <w:r w:rsidRPr="00427CF1">
        <w:rPr>
          <w:rStyle w:val="TextoNormalNegritaCaracter"/>
        </w:rPr>
        <w:t>§ 46.</w:t>
      </w:r>
      <w:r w:rsidRPr="00427CF1">
        <w:rPr>
          <w:rStyle w:val="TextoNormalCaracter"/>
        </w:rPr>
        <w:t>-</w:t>
      </w:r>
      <w:r>
        <w:t xml:space="preserve"> Sentencia </w:t>
      </w:r>
      <w:hyperlink w:anchor="SENTENCIA_2016_162" w:history="1">
        <w:r w:rsidRPr="00427CF1">
          <w:rPr>
            <w:rStyle w:val="TextoNormalCaracter"/>
          </w:rPr>
          <w:t>162/2016</w:t>
        </w:r>
      </w:hyperlink>
      <w:r>
        <w:t>, f. 6.</w:t>
      </w:r>
    </w:p>
    <w:p w:rsidR="00427CF1" w:rsidRDefault="00427CF1" w:rsidP="00427CF1">
      <w:pPr>
        <w:pStyle w:val="SangriaFrancesaArticulo"/>
      </w:pPr>
    </w:p>
    <w:p w:rsidR="00427CF1" w:rsidRDefault="00427CF1" w:rsidP="00427CF1">
      <w:pPr>
        <w:pStyle w:val="TextoNormalNegritaCursivandice"/>
      </w:pPr>
      <w:r>
        <w:t>Sentencia del Tribunal de Justicia de las Comunidades Europeas de 13 de septiembre de 2007 (asunto C-260/04)</w:t>
      </w:r>
    </w:p>
    <w:p w:rsidR="00427CF1" w:rsidRDefault="00427CF1" w:rsidP="00427CF1">
      <w:pPr>
        <w:pStyle w:val="SangriaFrancesaArticulo"/>
      </w:pPr>
      <w:r w:rsidRPr="00427CF1">
        <w:rPr>
          <w:rStyle w:val="TextoNormalNegritaCaracter"/>
        </w:rPr>
        <w:t>§ 27.</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23 de octubre de 2007 (asunto C- 440/05)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de22 de diciembre de 2008 (asunto C-161/07)</w:t>
      </w:r>
    </w:p>
    <w:p w:rsidR="00427CF1" w:rsidRDefault="00427CF1" w:rsidP="00427CF1">
      <w:pPr>
        <w:pStyle w:val="SangriaFrancesaArticulo"/>
      </w:pPr>
      <w:r w:rsidRPr="00427CF1">
        <w:rPr>
          <w:rStyle w:val="TextoNormalNegritaCaracter"/>
        </w:rPr>
        <w:t>§ 36.</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8 de septiembre de 2009 (asunto C- 411/06)</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65" w:history="1">
        <w:r w:rsidRPr="00427CF1">
          <w:rPr>
            <w:rStyle w:val="TextoNormalCaracter"/>
          </w:rPr>
          <w:t>165/2016</w:t>
        </w:r>
      </w:hyperlink>
      <w:r>
        <w:t>, f. 6.</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 deoctubre de 2009 (Woningstichting Sint Servatius, asunto C-567/07)</w:t>
      </w:r>
    </w:p>
    <w:p w:rsidR="00427CF1" w:rsidRDefault="00427CF1" w:rsidP="00427CF1">
      <w:pPr>
        <w:pStyle w:val="SangriaFrancesaArticulo"/>
      </w:pPr>
      <w:r w:rsidRPr="00427CF1">
        <w:rPr>
          <w:rStyle w:val="TextoNormalNegritaCaracter"/>
        </w:rPr>
        <w:t>§ 29.</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11 de marzo de 2010 (Attanasio Group, asunto C-384/08)</w:t>
      </w:r>
    </w:p>
    <w:p w:rsidR="00427CF1" w:rsidRDefault="00427CF1" w:rsidP="00427CF1">
      <w:pPr>
        <w:pStyle w:val="SangriaFrancesaArticulo"/>
      </w:pPr>
      <w:r w:rsidRPr="00427CF1">
        <w:rPr>
          <w:rStyle w:val="TextoNormalNegritaCaracter"/>
        </w:rPr>
        <w:t>§ 50.</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22 de junio de 2010 (Aziz Melki, asunto C-188/10 y Sélim Abdeli, asunto C-189/10)</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68" w:history="1">
        <w:r w:rsidRPr="00427CF1">
          <w:rPr>
            <w:rStyle w:val="TextoNormalCaracter"/>
          </w:rPr>
          <w:t>168/2016</w:t>
        </w:r>
      </w:hyperlink>
      <w:r>
        <w:t xml:space="preserve">, f. 4; </w:t>
      </w:r>
      <w:hyperlink w:anchor="AUTO_2016_202" w:history="1">
        <w:r w:rsidRPr="00427CF1">
          <w:rPr>
            <w:rStyle w:val="TextoNormalCaracter"/>
          </w:rPr>
          <w:t>202/2016</w:t>
        </w:r>
      </w:hyperlink>
      <w:r>
        <w:t xml:space="preserve">, f. 3; </w:t>
      </w:r>
      <w:hyperlink w:anchor="AUTO_2016_203" w:history="1">
        <w:r w:rsidRPr="00427CF1">
          <w:rPr>
            <w:rStyle w:val="TextoNormalCaracter"/>
          </w:rPr>
          <w:t>203/2016</w:t>
        </w:r>
      </w:hyperlink>
      <w:r>
        <w:t xml:space="preserve">, f. 3; </w:t>
      </w:r>
      <w:hyperlink w:anchor="AUTO_2016_204" w:history="1">
        <w:r w:rsidRPr="00427CF1">
          <w:rPr>
            <w:rStyle w:val="TextoNormalCaracter"/>
          </w:rPr>
          <w:t>204/2016</w:t>
        </w:r>
      </w:hyperlink>
      <w:r>
        <w:t xml:space="preserve">, f. 3; </w:t>
      </w:r>
      <w:hyperlink w:anchor="AUTO_2016_205" w:history="1">
        <w:r w:rsidRPr="00427CF1">
          <w:rPr>
            <w:rStyle w:val="TextoNormalCaracter"/>
          </w:rPr>
          <w:t>205/2016</w:t>
        </w:r>
      </w:hyperlink>
      <w:r>
        <w:t>, f. 3.</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22 de diciembre de 2010 (DEB Deutsche Energiehandels- und Beratungsgesellschaft mbH c. Bundesrepublik Deutschland, asunto C-279/09)</w:t>
      </w:r>
    </w:p>
    <w:p w:rsidR="00427CF1" w:rsidRDefault="00427CF1" w:rsidP="00427CF1">
      <w:pPr>
        <w:pStyle w:val="SangriaFrancesaArticulo"/>
      </w:pPr>
      <w:r w:rsidRPr="00427CF1">
        <w:rPr>
          <w:rStyle w:val="TextoNormalNegritaCaracter"/>
        </w:rPr>
        <w:t>§ 45.</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52.</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60.</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61.</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24 de marzo de 2011 (asunto C-400/08)</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57" w:history="1">
        <w:r w:rsidRPr="00427CF1">
          <w:rPr>
            <w:rStyle w:val="TextoNormalCaracter"/>
          </w:rPr>
          <w:t>157/2016</w:t>
        </w:r>
      </w:hyperlink>
      <w:r>
        <w:t>, ff. 2, 7, 9, VP.</w:t>
      </w:r>
    </w:p>
    <w:p w:rsidR="00427CF1" w:rsidRDefault="00427CF1" w:rsidP="00427CF1">
      <w:pPr>
        <w:pStyle w:val="SangriaFrancesaArticulo"/>
      </w:pPr>
      <w:r w:rsidRPr="00427CF1">
        <w:rPr>
          <w:rStyle w:val="TextoNormalNegritaCaracter"/>
        </w:rPr>
        <w:t>§ 74.</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r w:rsidRPr="00427CF1">
        <w:rPr>
          <w:rStyle w:val="TextoNormalNegritaCaracter"/>
        </w:rPr>
        <w:t>§ 80.</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r w:rsidRPr="00427CF1">
        <w:rPr>
          <w:rStyle w:val="TextoNormalNegritaCaracter"/>
        </w:rPr>
        <w:t>§ 84.</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r w:rsidRPr="00427CF1">
        <w:rPr>
          <w:rStyle w:val="TextoNormalNegritaCaracter"/>
        </w:rPr>
        <w:t>§ 85.</w:t>
      </w:r>
      <w:r w:rsidRPr="00427CF1">
        <w:rPr>
          <w:rStyle w:val="TextoNormalCaracter"/>
        </w:rPr>
        <w:t>-</w:t>
      </w:r>
      <w:r>
        <w:t xml:space="preserve"> Sentencia </w:t>
      </w:r>
      <w:hyperlink w:anchor="SENTENCIA_2016_157" w:history="1">
        <w:r w:rsidRPr="00427CF1">
          <w:rPr>
            <w:rStyle w:val="TextoNormalCaracter"/>
          </w:rPr>
          <w:t>157/2016</w:t>
        </w:r>
      </w:hyperlink>
      <w:r>
        <w:t>, f. 9.</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8 de diciembre de 2011 (Ziebell, asunto C-371/08)</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1" w:history="1">
        <w:r w:rsidRPr="00427CF1">
          <w:rPr>
            <w:rStyle w:val="TextoNormalCaracter"/>
          </w:rPr>
          <w:t>131/2016</w:t>
        </w:r>
      </w:hyperlink>
      <w:r>
        <w:t>, f. 7.</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11 de abril de 2013 (Edwards y Pallikaropoulos, asunto C-260/11)</w:t>
      </w:r>
    </w:p>
    <w:p w:rsidR="00427CF1" w:rsidRDefault="00427CF1" w:rsidP="00427CF1">
      <w:pPr>
        <w:pStyle w:val="SangriaFrancesaArticulo"/>
      </w:pPr>
      <w:r w:rsidRPr="00427CF1">
        <w:rPr>
          <w:rStyle w:val="TextoNormalNegritaCaracter"/>
        </w:rPr>
        <w:t>§ 33.</w:t>
      </w:r>
      <w:r w:rsidRPr="00427CF1">
        <w:rPr>
          <w:rStyle w:val="TextoNormalCaracter"/>
        </w:rPr>
        <w:t>-</w:t>
      </w:r>
      <w:r>
        <w:t xml:space="preserve"> Sentencia </w:t>
      </w:r>
      <w:hyperlink w:anchor="SENTENCIA_2016_140" w:history="1">
        <w:r w:rsidRPr="00427CF1">
          <w:rPr>
            <w:rStyle w:val="TextoNormalCaracter"/>
          </w:rPr>
          <w:t>140/2016</w:t>
        </w:r>
      </w:hyperlink>
      <w:r>
        <w:t>, f. 6.</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27 de marzo de 2014 (Torralbo Marcos, asunto C-265/13)</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17 de julio de 2014 (Sánchez Morcillo y Abril García, asunto C-169/14, EU:C:2014:2099)</w:t>
      </w:r>
    </w:p>
    <w:p w:rsidR="00427CF1" w:rsidRDefault="00427CF1" w:rsidP="00427CF1">
      <w:pPr>
        <w:pStyle w:val="SangriaFrancesaArticulo"/>
      </w:pPr>
      <w:r w:rsidRPr="00427CF1">
        <w:rPr>
          <w:rStyle w:val="TextoNormalNegritaCaracter"/>
        </w:rPr>
        <w:t>§ 49.</w:t>
      </w:r>
      <w:r w:rsidRPr="00427CF1">
        <w:rPr>
          <w:rStyle w:val="TextoNormalCaracter"/>
        </w:rPr>
        <w:t>-</w:t>
      </w:r>
      <w:r>
        <w:t xml:space="preserve"> Auto </w:t>
      </w:r>
      <w:hyperlink w:anchor="AUTO_2016_146" w:history="1">
        <w:r w:rsidRPr="00427CF1">
          <w:rPr>
            <w:rStyle w:val="TextoNormalCaracter"/>
          </w:rPr>
          <w:t>146/2016</w:t>
        </w:r>
      </w:hyperlink>
      <w:r>
        <w:t>, f. 5.</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11 de septiembre de 2014 (asunto A contra B y otros)</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202" w:history="1">
        <w:r w:rsidRPr="00427CF1">
          <w:rPr>
            <w:rStyle w:val="TextoNormalCaracter"/>
          </w:rPr>
          <w:t>202/2016</w:t>
        </w:r>
      </w:hyperlink>
      <w:r>
        <w:t xml:space="preserve">, f. 3; </w:t>
      </w:r>
      <w:hyperlink w:anchor="AUTO_2016_203" w:history="1">
        <w:r w:rsidRPr="00427CF1">
          <w:rPr>
            <w:rStyle w:val="TextoNormalCaracter"/>
          </w:rPr>
          <w:t>203/2016</w:t>
        </w:r>
      </w:hyperlink>
      <w:r>
        <w:t xml:space="preserve">, f. 3; </w:t>
      </w:r>
      <w:hyperlink w:anchor="AUTO_2016_204" w:history="1">
        <w:r w:rsidRPr="00427CF1">
          <w:rPr>
            <w:rStyle w:val="TextoNormalCaracter"/>
          </w:rPr>
          <w:t>204/2016</w:t>
        </w:r>
      </w:hyperlink>
      <w:r>
        <w:t xml:space="preserve">, f. 3; </w:t>
      </w:r>
      <w:hyperlink w:anchor="AUTO_2016_205" w:history="1">
        <w:r w:rsidRPr="00427CF1">
          <w:rPr>
            <w:rStyle w:val="TextoNormalCaracter"/>
          </w:rPr>
          <w:t>205/2016</w:t>
        </w:r>
      </w:hyperlink>
      <w:r>
        <w:t>, f. 3.</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11 de septiembre de 2014 (asunto Aziz Melki y Selim Abdeli)</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 </w:t>
      </w:r>
      <w:hyperlink w:anchor="AUTO_2016_168" w:history="1">
        <w:r w:rsidRPr="00427CF1">
          <w:rPr>
            <w:rStyle w:val="TextoNormalCaracter"/>
          </w:rPr>
          <w:t>168/2016</w:t>
        </w:r>
      </w:hyperlink>
      <w:r>
        <w:t>, f. 4.</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4 de junio de 2015 (asunto Kernkraftwerke Lippe-Ems GmbH c. Hauptzollamt Osnabrück)</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Autos </w:t>
      </w:r>
      <w:hyperlink w:anchor="AUTO_2016_168" w:history="1">
        <w:r w:rsidRPr="00427CF1">
          <w:rPr>
            <w:rStyle w:val="TextoNormalCaracter"/>
          </w:rPr>
          <w:t>168/2016</w:t>
        </w:r>
      </w:hyperlink>
      <w:r>
        <w:t xml:space="preserve">, f. 4; </w:t>
      </w:r>
      <w:hyperlink w:anchor="AUTO_2016_202" w:history="1">
        <w:r w:rsidRPr="00427CF1">
          <w:rPr>
            <w:rStyle w:val="TextoNormalCaracter"/>
          </w:rPr>
          <w:t>202/2016</w:t>
        </w:r>
      </w:hyperlink>
      <w:r>
        <w:t xml:space="preserve">, f. 3; </w:t>
      </w:r>
      <w:hyperlink w:anchor="AUTO_2016_203" w:history="1">
        <w:r w:rsidRPr="00427CF1">
          <w:rPr>
            <w:rStyle w:val="TextoNormalCaracter"/>
          </w:rPr>
          <w:t>203/2016</w:t>
        </w:r>
      </w:hyperlink>
      <w:r>
        <w:t xml:space="preserve">, f. 3; </w:t>
      </w:r>
      <w:hyperlink w:anchor="AUTO_2016_204" w:history="1">
        <w:r w:rsidRPr="00427CF1">
          <w:rPr>
            <w:rStyle w:val="TextoNormalCaracter"/>
          </w:rPr>
          <w:t>204/2016</w:t>
        </w:r>
      </w:hyperlink>
      <w:r>
        <w:t xml:space="preserve">, f. 3; </w:t>
      </w:r>
      <w:hyperlink w:anchor="AUTO_2016_205" w:history="1">
        <w:r w:rsidRPr="00427CF1">
          <w:rPr>
            <w:rStyle w:val="TextoNormalCaracter"/>
          </w:rPr>
          <w:t>205/2016</w:t>
        </w:r>
      </w:hyperlink>
      <w:r>
        <w:t>, f. 3.</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6 de octubre de 2015 (Orizzonte Salute, asunto C-61/14)</w:t>
      </w:r>
    </w:p>
    <w:p w:rsidR="00427CF1" w:rsidRDefault="00427CF1" w:rsidP="00427CF1">
      <w:pPr>
        <w:pStyle w:val="SangriaFrancesaArticulo"/>
      </w:pPr>
      <w:r w:rsidRPr="00427CF1">
        <w:rPr>
          <w:rStyle w:val="TextoNormalNegritaCaracter"/>
        </w:rPr>
        <w:t>§ 72.</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73.</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r w:rsidRPr="00427CF1">
        <w:rPr>
          <w:rStyle w:val="TextoNormalNegritaCaracter"/>
        </w:rPr>
        <w:t>§ 79.</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14 de abril de 2016 (asuntos C-381/14 y C-385/14)</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Sentencias </w:t>
      </w:r>
      <w:hyperlink w:anchor="SENTENCIA_2016_148" w:history="1">
        <w:r w:rsidRPr="00427CF1">
          <w:rPr>
            <w:rStyle w:val="TextoNormalCaracter"/>
          </w:rPr>
          <w:t>148/2016</w:t>
        </w:r>
      </w:hyperlink>
      <w:r>
        <w:t xml:space="preserve">, f. 5;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ff. 3, 4; </w:t>
      </w:r>
      <w:hyperlink w:anchor="SENTENCIA_2016_223" w:history="1">
        <w:r w:rsidRPr="00427CF1">
          <w:rPr>
            <w:rStyle w:val="TextoNormalCaracter"/>
          </w:rPr>
          <w:t>223/2016</w:t>
        </w:r>
      </w:hyperlink>
      <w:r>
        <w:t>.</w:t>
      </w:r>
    </w:p>
    <w:p w:rsidR="00427CF1" w:rsidRDefault="00427CF1" w:rsidP="00427CF1">
      <w:pPr>
        <w:pStyle w:val="SangriaFrancesaArticulo"/>
      </w:pPr>
      <w:r w:rsidRPr="00427CF1">
        <w:rPr>
          <w:rStyle w:val="TextoNormalNegritaCaracter"/>
        </w:rPr>
        <w:t>§ 25.</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 29.</w:t>
      </w:r>
      <w:r w:rsidRPr="00427CF1">
        <w:rPr>
          <w:rStyle w:val="TextoNormalCaracter"/>
        </w:rPr>
        <w:t>-</w:t>
      </w:r>
      <w:r>
        <w:t xml:space="preserve"> Sentencias </w:t>
      </w:r>
      <w:hyperlink w:anchor="SENTENCIA_2016_148" w:history="1">
        <w:r w:rsidRPr="00427CF1">
          <w:rPr>
            <w:rStyle w:val="TextoNormalCaracter"/>
          </w:rPr>
          <w:t>148/2016</w:t>
        </w:r>
      </w:hyperlink>
      <w:r>
        <w:t xml:space="preserve">, f. 5;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 32.</w:t>
      </w:r>
      <w:r w:rsidRPr="00427CF1">
        <w:rPr>
          <w:rStyle w:val="TextoNormalCaracter"/>
        </w:rPr>
        <w:t>-</w:t>
      </w:r>
      <w:r>
        <w:t xml:space="preserve"> Sentencias </w:t>
      </w:r>
      <w:hyperlink w:anchor="SENTENCIA_2016_148" w:history="1">
        <w:r w:rsidRPr="00427CF1">
          <w:rPr>
            <w:rStyle w:val="TextoNormalCaracter"/>
          </w:rPr>
          <w:t>148/2016</w:t>
        </w:r>
      </w:hyperlink>
      <w:r>
        <w:t xml:space="preserve">, f. 5;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 35.</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 36.</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 37.</w:t>
      </w:r>
      <w:r w:rsidRPr="00427CF1">
        <w:rPr>
          <w:rStyle w:val="TextoNormalCaracter"/>
        </w:rPr>
        <w:t>-</w:t>
      </w:r>
      <w:r>
        <w:t xml:space="preserve"> Sentencias </w:t>
      </w:r>
      <w:hyperlink w:anchor="SENTENCIA_2016_148" w:history="1">
        <w:r w:rsidRPr="00427CF1">
          <w:rPr>
            <w:rStyle w:val="TextoNormalCaracter"/>
          </w:rPr>
          <w:t>148/2016</w:t>
        </w:r>
      </w:hyperlink>
      <w:r>
        <w:t xml:space="preserve">, f. 5; </w:t>
      </w:r>
      <w:hyperlink w:anchor="SENTENCIA_2016_206" w:history="1">
        <w:r w:rsidRPr="00427CF1">
          <w:rPr>
            <w:rStyle w:val="TextoNormalCaracter"/>
          </w:rPr>
          <w:t>206/2016</w:t>
        </w:r>
      </w:hyperlink>
      <w:r>
        <w:t xml:space="preserve">, f. 3; </w:t>
      </w:r>
      <w:hyperlink w:anchor="SENTENCIA_2016_207" w:history="1">
        <w:r w:rsidRPr="00427CF1">
          <w:rPr>
            <w:rStyle w:val="TextoNormalCaracter"/>
          </w:rPr>
          <w:t>207/2016</w:t>
        </w:r>
      </w:hyperlink>
      <w:r>
        <w:t xml:space="preserve">, f. 4; </w:t>
      </w:r>
      <w:hyperlink w:anchor="SENTENCIA_2016_208" w:history="1">
        <w:r w:rsidRPr="00427CF1">
          <w:rPr>
            <w:rStyle w:val="TextoNormalCaracter"/>
          </w:rPr>
          <w:t>208/2016</w:t>
        </w:r>
      </w:hyperlink>
      <w:r>
        <w:t xml:space="preserve">, f. 3; </w:t>
      </w:r>
      <w:hyperlink w:anchor="SENTENCIA_2016_209" w:history="1">
        <w:r w:rsidRPr="00427CF1">
          <w:rPr>
            <w:rStyle w:val="TextoNormalCaracter"/>
          </w:rPr>
          <w:t>209/2016</w:t>
        </w:r>
      </w:hyperlink>
      <w:r>
        <w:t xml:space="preserve">, f. 3; </w:t>
      </w:r>
      <w:hyperlink w:anchor="SENTENCIA_2016_218" w:history="1">
        <w:r w:rsidRPr="00427CF1">
          <w:rPr>
            <w:rStyle w:val="TextoNormalCaracter"/>
          </w:rPr>
          <w:t>218/2016</w:t>
        </w:r>
      </w:hyperlink>
      <w:r>
        <w:t xml:space="preserve">, f. 4; </w:t>
      </w:r>
      <w:hyperlink w:anchor="SENTENCIA_2016_221" w:history="1">
        <w:r w:rsidRPr="00427CF1">
          <w:rPr>
            <w:rStyle w:val="TextoNormalCaracter"/>
          </w:rPr>
          <w:t>221/2016</w:t>
        </w:r>
      </w:hyperlink>
      <w:r>
        <w:t xml:space="preserve">, f. 4; </w:t>
      </w:r>
      <w:hyperlink w:anchor="SENTENCIA_2016_223" w:history="1">
        <w:r w:rsidRPr="00427CF1">
          <w:rPr>
            <w:rStyle w:val="TextoNormalCaracter"/>
          </w:rPr>
          <w:t>223/2016</w:t>
        </w:r>
      </w:hyperlink>
      <w:r>
        <w:t>, f. 3.</w:t>
      </w:r>
    </w:p>
    <w:p w:rsidR="00427CF1" w:rsidRDefault="00427CF1" w:rsidP="00427CF1">
      <w:pPr>
        <w:pStyle w:val="SangriaFrancesaArticulo"/>
      </w:pPr>
      <w:r w:rsidRPr="00427CF1">
        <w:rPr>
          <w:rStyle w:val="TextoNormalNegritaCaracter"/>
        </w:rPr>
        <w:t>§ 38.</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 39.</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 40.</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r w:rsidRPr="00427CF1">
        <w:rPr>
          <w:rStyle w:val="TextoNormalNegritaCaracter"/>
        </w:rPr>
        <w:t>§ 42.</w:t>
      </w:r>
      <w:r w:rsidRPr="00427CF1">
        <w:rPr>
          <w:rStyle w:val="TextoNormalCaracter"/>
        </w:rPr>
        <w:t>-</w:t>
      </w:r>
      <w:r>
        <w:t xml:space="preserve"> Sentencia </w:t>
      </w:r>
      <w:hyperlink w:anchor="SENTENCIA_2016_148" w:history="1">
        <w:r w:rsidRPr="00427CF1">
          <w:rPr>
            <w:rStyle w:val="TextoNormalCaracter"/>
          </w:rPr>
          <w:t>148/2016</w:t>
        </w:r>
      </w:hyperlink>
      <w:r>
        <w:t>, f. 5.</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14 de junio de 2016 (asunto C-308/14)</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39" w:history="1">
        <w:r w:rsidRPr="00427CF1">
          <w:rPr>
            <w:rStyle w:val="TextoNormalCaracter"/>
          </w:rPr>
          <w:t>139/2016</w:t>
        </w:r>
      </w:hyperlink>
      <w:r>
        <w:t>, f. 10.</w:t>
      </w:r>
    </w:p>
    <w:p w:rsidR="00427CF1" w:rsidRDefault="00427CF1" w:rsidP="00427CF1">
      <w:pPr>
        <w:pStyle w:val="SangriaFrancesaArticulo"/>
      </w:pPr>
    </w:p>
    <w:p w:rsidR="00427CF1" w:rsidRDefault="00427CF1" w:rsidP="00427CF1">
      <w:pPr>
        <w:pStyle w:val="TextoNormalNegritaCursivandice"/>
      </w:pPr>
      <w:r>
        <w:t>Sentencia del Tribunal de Justicia de la Unión Europea de 30 de junio de 2016 (Vasile Toma, asunto C-205/15)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40" w:history="1">
        <w:r w:rsidRPr="00427CF1">
          <w:rPr>
            <w:rStyle w:val="TextoNormalCaracter"/>
          </w:rPr>
          <w:t>140/2016</w:t>
        </w:r>
      </w:hyperlink>
      <w:r>
        <w:t>, f. 5.</w:t>
      </w:r>
    </w:p>
    <w:p w:rsidR="00427CF1" w:rsidRDefault="00427CF1" w:rsidP="00427CF1">
      <w:pPr>
        <w:pStyle w:val="TextoNormal"/>
      </w:pPr>
    </w:p>
    <w:p w:rsidR="00427CF1" w:rsidRDefault="00427CF1" w:rsidP="00427CF1">
      <w:pPr>
        <w:pStyle w:val="SangriaFrancesaArticulo"/>
      </w:pPr>
      <w:bookmarkStart w:id="205" w:name="INDICE22926"/>
    </w:p>
    <w:bookmarkEnd w:id="205"/>
    <w:p w:rsidR="00427CF1" w:rsidRDefault="00427CF1" w:rsidP="00427CF1">
      <w:pPr>
        <w:pStyle w:val="TextoIndiceNivel2"/>
        <w:suppressAutoHyphens/>
      </w:pPr>
      <w:r>
        <w:t>D) Otros Tribunales</w:t>
      </w:r>
    </w:p>
    <w:p w:rsidR="00427CF1" w:rsidRDefault="00427CF1" w:rsidP="00427CF1">
      <w:pPr>
        <w:pStyle w:val="TextoIndiceNivel2"/>
      </w:pPr>
    </w:p>
    <w:p w:rsidR="00427CF1" w:rsidRDefault="00427CF1" w:rsidP="00427CF1">
      <w:pPr>
        <w:pStyle w:val="TextoNormalNegritaCursivandice"/>
      </w:pPr>
      <w:r>
        <w:t>Sentencia de la Corte Constitucional de Colombia de 22 de noviembre de 2005 (C-1192/05)</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Sentencia de la Corte Constitucional de Colombia de 16 de mayo de 2006 (C-367/06)</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Sentencia de la Corte Constitucional de Colombia de 30 de agosto de 2010 (C-666/10)</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Decisión del Consejo Constitucional de Francia de 21 de septiembre de 2012 (núm. 2012-271 QPC)</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Sentencia de la Corte Constitucional de Colombia de 30 de octubre de 2012 (C-889/12)</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rsidP="00427CF1">
      <w:pPr>
        <w:pStyle w:val="SangriaFrancesaArticulo"/>
      </w:pPr>
    </w:p>
    <w:p w:rsidR="00427CF1" w:rsidRDefault="00427CF1" w:rsidP="00427CF1">
      <w:pPr>
        <w:pStyle w:val="TextoNormalNegritaCursivandice"/>
      </w:pPr>
      <w:r>
        <w:t>Sentencia de la Corte Constitucional de Colombia de 14 de mayo de 2014 (C-283/14)</w:t>
      </w:r>
    </w:p>
    <w:p w:rsidR="00427CF1" w:rsidRDefault="00427CF1" w:rsidP="00427CF1">
      <w:pPr>
        <w:pStyle w:val="SangriaFrancesaArticulo"/>
      </w:pPr>
      <w:r w:rsidRPr="00427CF1">
        <w:rPr>
          <w:rStyle w:val="TextoNormalNegritaCaracter"/>
        </w:rPr>
        <w:t>En general.</w:t>
      </w:r>
      <w:r w:rsidRPr="00427CF1">
        <w:rPr>
          <w:rStyle w:val="TextoNormalCaracter"/>
        </w:rPr>
        <w:t>-</w:t>
      </w:r>
      <w:r>
        <w:t xml:space="preserve"> Sentencia </w:t>
      </w:r>
      <w:hyperlink w:anchor="SENTENCIA_2016_177" w:history="1">
        <w:r w:rsidRPr="00427CF1">
          <w:rPr>
            <w:rStyle w:val="TextoNormalCaracter"/>
          </w:rPr>
          <w:t>177/2016</w:t>
        </w:r>
      </w:hyperlink>
      <w:r>
        <w:t>, VP II.</w:t>
      </w:r>
    </w:p>
    <w:p w:rsidR="00427CF1" w:rsidRDefault="00427CF1">
      <w:pPr>
        <w:spacing w:after="160" w:line="259" w:lineRule="auto"/>
        <w:rPr>
          <w:rFonts w:ascii="Times New Roman" w:eastAsia="Times New Roman" w:hAnsi="Times New Roman" w:cs="Times New Roman"/>
          <w:sz w:val="24"/>
          <w:szCs w:val="24"/>
          <w:lang w:eastAsia="es-ES"/>
        </w:rPr>
      </w:pPr>
      <w:r>
        <w:br w:type="page"/>
      </w:r>
    </w:p>
    <w:p w:rsidR="00427CF1" w:rsidRDefault="00427CF1" w:rsidP="00427CF1">
      <w:pPr>
        <w:pStyle w:val="SangriaFrancesaArticulo"/>
      </w:pPr>
      <w:bookmarkStart w:id="206" w:name="DESCRIPTOR1"/>
      <w:bookmarkStart w:id="207" w:name="DESCRIPTOR2"/>
      <w:bookmarkStart w:id="208" w:name="DESCRIPTOR3"/>
      <w:bookmarkStart w:id="209" w:name="DESCRIPTOR4"/>
      <w:bookmarkStart w:id="210" w:name="DESCRIPTOR5"/>
      <w:bookmarkStart w:id="211" w:name="DESCRIPTOR6"/>
      <w:bookmarkStart w:id="212" w:name="DESCRIPTOR7"/>
      <w:bookmarkStart w:id="213" w:name="DESCRIPTOR8"/>
      <w:bookmarkStart w:id="214" w:name="DESCRIPTOR9"/>
      <w:bookmarkStart w:id="215" w:name="DESCRIPTOR10"/>
      <w:bookmarkStart w:id="216" w:name="DESCRIPTOR11"/>
      <w:bookmarkStart w:id="217" w:name="DESCRIPTOR12"/>
      <w:bookmarkStart w:id="218" w:name="DESCRIPTOR13"/>
      <w:bookmarkStart w:id="219" w:name="DESCRIPTOR14"/>
      <w:bookmarkStart w:id="220" w:name="DESCRIPTOR15"/>
      <w:bookmarkStart w:id="221" w:name="DESCRIPTOR16"/>
      <w:bookmarkStart w:id="222" w:name="DESCRIPTOR17"/>
      <w:bookmarkStart w:id="223" w:name="DESCRIPTOR18"/>
      <w:bookmarkStart w:id="224" w:name="DESCRIPTOR19"/>
      <w:bookmarkStart w:id="225" w:name="DESCRIPTOR20"/>
      <w:bookmarkStart w:id="226" w:name="DESCRIPTOR21"/>
      <w:bookmarkStart w:id="227" w:name="DESCRIPTOR22"/>
      <w:bookmarkStart w:id="228" w:name="DESCRIPTOR23"/>
      <w:bookmarkStart w:id="229" w:name="DESCRIPTOR24"/>
      <w:bookmarkStart w:id="230" w:name="DESCRIPTOR25"/>
      <w:bookmarkStart w:id="231" w:name="DESCRIPTOR26"/>
      <w:bookmarkStart w:id="232" w:name="DESCRIPTOR27"/>
      <w:bookmarkStart w:id="233" w:name="DESCRIPTOR28"/>
      <w:bookmarkStart w:id="234" w:name="DESCRIPTOR29"/>
      <w:bookmarkStart w:id="235" w:name="DESCRIPTOR30"/>
      <w:bookmarkStart w:id="236" w:name="DESCRIPTOR31"/>
      <w:bookmarkStart w:id="237" w:name="DESCRIPTOR32"/>
      <w:bookmarkStart w:id="238" w:name="DESCRIPTOR33"/>
      <w:bookmarkStart w:id="239" w:name="DESCRIPTOR34"/>
      <w:bookmarkStart w:id="240" w:name="DESCRIPTOR35"/>
      <w:bookmarkStart w:id="241" w:name="DESCRIPTOR36"/>
      <w:bookmarkStart w:id="242" w:name="DESCRIPTOR37"/>
      <w:bookmarkStart w:id="243" w:name="DESCRIPTOR38"/>
      <w:bookmarkStart w:id="244" w:name="DESCRIPTOR39"/>
      <w:bookmarkStart w:id="245" w:name="DESCRIPTOR40"/>
      <w:bookmarkStart w:id="246" w:name="DESCRIPTOR41"/>
      <w:bookmarkStart w:id="247" w:name="DESCRIPTOR42"/>
      <w:bookmarkStart w:id="248" w:name="DESCRIPTOR43"/>
      <w:bookmarkStart w:id="249" w:name="DESCRIPTOR44"/>
      <w:bookmarkStart w:id="250" w:name="DESCRIPTOR45"/>
      <w:bookmarkStart w:id="251" w:name="DESCRIPTOR46"/>
      <w:bookmarkStart w:id="252" w:name="DESCRIPTOR47"/>
      <w:bookmarkStart w:id="253" w:name="DESCRIPTOR48"/>
      <w:bookmarkStart w:id="254" w:name="DESCRIPTOR49"/>
      <w:bookmarkStart w:id="255" w:name="DESCRIPTOR50"/>
      <w:bookmarkStart w:id="256" w:name="DESCRIPTOR51"/>
      <w:bookmarkStart w:id="257" w:name="DESCRIPTOR52"/>
      <w:bookmarkStart w:id="258" w:name="DESCRIPTOR53"/>
      <w:bookmarkStart w:id="259" w:name="DESCRIPTOR54"/>
      <w:bookmarkStart w:id="260" w:name="DESCRIPTOR55"/>
      <w:bookmarkStart w:id="261" w:name="DESCRIPTOR56"/>
      <w:bookmarkStart w:id="262" w:name="DESCRIPTOR57"/>
      <w:bookmarkStart w:id="263" w:name="DESCRIPTOR58"/>
      <w:bookmarkStart w:id="264" w:name="DESCRIPTOR59"/>
      <w:bookmarkStart w:id="265" w:name="DESCRIPTOR60"/>
      <w:bookmarkStart w:id="266" w:name="DESCRIPTOR61"/>
      <w:bookmarkStart w:id="267" w:name="DESCRIPTOR62"/>
      <w:bookmarkStart w:id="268" w:name="DESCRIPTOR63"/>
      <w:bookmarkStart w:id="269" w:name="DESCRIPTOR64"/>
      <w:bookmarkStart w:id="270" w:name="DESCRIPTOR65"/>
      <w:bookmarkStart w:id="271" w:name="DESCRIPTOR66"/>
      <w:bookmarkStart w:id="272" w:name="DESCRIPTOR67"/>
      <w:bookmarkStart w:id="273" w:name="DESCRIPTOR68"/>
      <w:bookmarkStart w:id="274" w:name="DESCRIPTOR69"/>
      <w:bookmarkStart w:id="275" w:name="DESCRIPTOR70"/>
      <w:bookmarkStart w:id="276" w:name="DESCRIPTOR71"/>
      <w:bookmarkStart w:id="277" w:name="DESCRIPTOR72"/>
      <w:bookmarkStart w:id="278" w:name="DESCRIPTOR73"/>
      <w:bookmarkStart w:id="279" w:name="DESCRIPTOR74"/>
      <w:bookmarkStart w:id="280" w:name="DESCRIPTOR75"/>
      <w:bookmarkStart w:id="281" w:name="DESCRIPTOR76"/>
      <w:bookmarkStart w:id="282" w:name="DESCRIPTOR77"/>
      <w:bookmarkStart w:id="283" w:name="DESCRIPTOR78"/>
      <w:bookmarkStart w:id="284" w:name="DESCRIPTOR79"/>
      <w:bookmarkStart w:id="285" w:name="DESCRIPTOR80"/>
      <w:bookmarkStart w:id="286" w:name="DESCRIPTOR81"/>
      <w:bookmarkStart w:id="287" w:name="DESCRIPTOR82"/>
      <w:bookmarkStart w:id="288" w:name="DESCRIPTOR83"/>
      <w:bookmarkStart w:id="289" w:name="DESCRIPTOR84"/>
      <w:bookmarkStart w:id="290" w:name="DESCRIPTOR85"/>
      <w:bookmarkStart w:id="291" w:name="DESCRIPTOR86"/>
      <w:bookmarkStart w:id="292" w:name="DESCRIPTOR87"/>
      <w:bookmarkStart w:id="293" w:name="DESCRIPTOR88"/>
      <w:bookmarkStart w:id="294" w:name="DESCRIPTOR89"/>
      <w:bookmarkStart w:id="295" w:name="DESCRIPTOR90"/>
      <w:bookmarkStart w:id="296" w:name="DESCRIPTOR91"/>
      <w:bookmarkStart w:id="297" w:name="DESCRIPTOR92"/>
      <w:bookmarkStart w:id="298" w:name="DESCRIPTOR93"/>
      <w:bookmarkStart w:id="299" w:name="DESCRIPTOR94"/>
      <w:bookmarkStart w:id="300" w:name="DESCRIPTOR95"/>
      <w:bookmarkStart w:id="301" w:name="DESCRIPTOR96"/>
      <w:bookmarkStart w:id="302" w:name="DESCRIPTOR97"/>
      <w:bookmarkStart w:id="303" w:name="DESCRIPTOR98"/>
      <w:bookmarkStart w:id="304" w:name="DESCRIPTOR99"/>
      <w:bookmarkStart w:id="305" w:name="DESCRIPTOR100"/>
      <w:bookmarkStart w:id="306" w:name="DESCRIPTOR101"/>
      <w:bookmarkStart w:id="307" w:name="DESCRIPTOR102"/>
      <w:bookmarkStart w:id="308" w:name="DESCRIPTOR103"/>
      <w:bookmarkStart w:id="309" w:name="DESCRIPTOR104"/>
      <w:bookmarkStart w:id="310" w:name="DESCRIPTOR105"/>
      <w:bookmarkStart w:id="311" w:name="DESCRIPTOR106"/>
      <w:bookmarkStart w:id="312" w:name="DESCRIPTOR107"/>
      <w:bookmarkStart w:id="313" w:name="DESCRIPTOR108"/>
      <w:bookmarkStart w:id="314" w:name="DESCRIPTOR109"/>
      <w:bookmarkStart w:id="315" w:name="DESCRIPTOR110"/>
      <w:bookmarkStart w:id="316" w:name="DESCRIPTOR111"/>
      <w:bookmarkStart w:id="317" w:name="DESCRIPTOR112"/>
      <w:bookmarkStart w:id="318" w:name="DESCRIPTOR113"/>
      <w:bookmarkStart w:id="319" w:name="DESCRIPTOR114"/>
      <w:bookmarkStart w:id="320" w:name="DESCRIPTOR115"/>
      <w:bookmarkStart w:id="321" w:name="DESCRIPTOR116"/>
      <w:bookmarkStart w:id="322" w:name="DESCRIPTOR117"/>
      <w:bookmarkStart w:id="323" w:name="DESCRIPTOR118"/>
      <w:bookmarkStart w:id="324" w:name="DESCRIPTOR119"/>
      <w:bookmarkStart w:id="325" w:name="DESCRIPTOR120"/>
      <w:bookmarkStart w:id="326" w:name="DESCRIPTOR121"/>
      <w:bookmarkStart w:id="327" w:name="DESCRIPTOR122"/>
      <w:bookmarkStart w:id="328" w:name="DESCRIPTOR123"/>
      <w:bookmarkStart w:id="329" w:name="DESCRIPTOR124"/>
      <w:bookmarkStart w:id="330" w:name="DESCRIPTOR125"/>
      <w:bookmarkStart w:id="331" w:name="DESCRIPTOR126"/>
      <w:bookmarkStart w:id="332" w:name="DESCRIPTOR127"/>
      <w:bookmarkStart w:id="333" w:name="DESCRIPTOR128"/>
      <w:bookmarkStart w:id="334" w:name="DESCRIPTOR129"/>
      <w:bookmarkStart w:id="335" w:name="DESCRIPTOR130"/>
      <w:bookmarkStart w:id="336" w:name="DESCRIPTOR131"/>
      <w:bookmarkStart w:id="337" w:name="DESCRIPTOR132"/>
      <w:bookmarkStart w:id="338" w:name="DESCRIPTOR133"/>
      <w:bookmarkStart w:id="339" w:name="DESCRIPTOR134"/>
      <w:bookmarkStart w:id="340" w:name="DESCRIPTOR135"/>
      <w:bookmarkStart w:id="341" w:name="DESCRIPTOR136"/>
      <w:bookmarkStart w:id="342" w:name="DESCRIPTOR137"/>
      <w:bookmarkStart w:id="343" w:name="DESCRIPTOR138"/>
      <w:bookmarkStart w:id="344" w:name="DESCRIPTOR139"/>
      <w:bookmarkStart w:id="345" w:name="DESCRIPTOR140"/>
      <w:bookmarkStart w:id="346" w:name="DESCRIPTOR141"/>
      <w:bookmarkStart w:id="347" w:name="DESCRIPTOR142"/>
      <w:bookmarkStart w:id="348" w:name="DESCRIPTOR143"/>
      <w:bookmarkStart w:id="349" w:name="DESCRIPTOR144"/>
      <w:bookmarkStart w:id="350" w:name="DESCRIPTOR145"/>
      <w:bookmarkStart w:id="351" w:name="DESCRIPTOR146"/>
      <w:bookmarkStart w:id="352" w:name="DESCRIPTOR147"/>
      <w:bookmarkStart w:id="353" w:name="DESCRIPTOR148"/>
      <w:bookmarkStart w:id="354" w:name="DESCRIPTOR149"/>
      <w:bookmarkStart w:id="355" w:name="DESCRIPTOR150"/>
      <w:bookmarkStart w:id="356" w:name="DESCRIPTOR151"/>
      <w:bookmarkStart w:id="357" w:name="DESCRIPTOR152"/>
      <w:bookmarkStart w:id="358" w:name="DESCRIPTOR153"/>
      <w:bookmarkStart w:id="359" w:name="DESCRIPTOR154"/>
      <w:bookmarkStart w:id="360" w:name="DESCRIPTOR155"/>
      <w:bookmarkStart w:id="361" w:name="DESCRIPTOR156"/>
      <w:bookmarkStart w:id="362" w:name="DESCRIPTOR157"/>
      <w:bookmarkStart w:id="363" w:name="DESCRIPTOR158"/>
      <w:bookmarkStart w:id="364" w:name="DESCRIPTOR159"/>
      <w:bookmarkStart w:id="365" w:name="DESCRIPTOR160"/>
      <w:bookmarkStart w:id="366" w:name="DESCRIPTOR161"/>
      <w:bookmarkStart w:id="367" w:name="DESCRIPTOR162"/>
      <w:bookmarkStart w:id="368" w:name="DESCRIPTOR163"/>
      <w:bookmarkStart w:id="369" w:name="DESCRIPTOR164"/>
      <w:bookmarkStart w:id="370" w:name="DESCRIPTOR165"/>
      <w:bookmarkStart w:id="371" w:name="DESCRIPTOR166"/>
      <w:bookmarkStart w:id="372" w:name="DESCRIPTOR167"/>
      <w:bookmarkStart w:id="373" w:name="DESCRIPTOR168"/>
      <w:bookmarkStart w:id="374" w:name="DESCRIPTOR169"/>
      <w:bookmarkStart w:id="375" w:name="DESCRIPTOR170"/>
      <w:bookmarkStart w:id="376" w:name="DESCRIPTOR171"/>
      <w:bookmarkStart w:id="377" w:name="DESCRIPTOR172"/>
      <w:bookmarkStart w:id="378" w:name="DESCRIPTOR173"/>
      <w:bookmarkStart w:id="379" w:name="DESCRIPTOR174"/>
      <w:bookmarkStart w:id="380" w:name="DESCRIPTOR175"/>
      <w:bookmarkStart w:id="381" w:name="DESCRIPTOR176"/>
      <w:bookmarkStart w:id="382" w:name="DESCRIPTOR177"/>
      <w:bookmarkStart w:id="383" w:name="DESCRIPTOR178"/>
      <w:bookmarkStart w:id="384" w:name="DESCRIPTOR179"/>
      <w:bookmarkStart w:id="385" w:name="DESCRIPTOR180"/>
      <w:bookmarkStart w:id="386" w:name="DESCRIPTOR181"/>
      <w:bookmarkStart w:id="387" w:name="DESCRIPTOR182"/>
      <w:bookmarkStart w:id="388" w:name="DESCRIPTOR183"/>
      <w:bookmarkStart w:id="389" w:name="DESCRIPTOR184"/>
      <w:bookmarkStart w:id="390" w:name="DESCRIPTOR185"/>
      <w:bookmarkStart w:id="391" w:name="DESCRIPTOR186"/>
      <w:bookmarkStart w:id="392" w:name="DESCRIPTOR187"/>
      <w:bookmarkStart w:id="393" w:name="DESCRIPTOR188"/>
      <w:bookmarkStart w:id="394" w:name="DESCRIPTOR189"/>
      <w:bookmarkStart w:id="395" w:name="DESCRIPTOR190"/>
      <w:bookmarkStart w:id="396" w:name="DESCRIPTOR191"/>
      <w:bookmarkStart w:id="397" w:name="DESCRIPTOR192"/>
      <w:bookmarkStart w:id="398" w:name="DESCRIPTOR193"/>
      <w:bookmarkStart w:id="399" w:name="DESCRIPTOR194"/>
      <w:bookmarkStart w:id="400" w:name="DESCRIPTOR195"/>
      <w:bookmarkStart w:id="401" w:name="DESCRIPTOR196"/>
      <w:bookmarkStart w:id="402" w:name="DESCRIPTOR197"/>
      <w:bookmarkStart w:id="403" w:name="DESCRIPTOR198"/>
      <w:bookmarkStart w:id="404" w:name="DESCRIPTOR199"/>
      <w:bookmarkStart w:id="405" w:name="DESCRIPTOR200"/>
      <w:bookmarkStart w:id="406" w:name="DESCRIPTOR201"/>
      <w:bookmarkStart w:id="407" w:name="DESCRIPTOR202"/>
      <w:bookmarkStart w:id="408" w:name="DESCRIPTOR203"/>
      <w:bookmarkStart w:id="409" w:name="DESCRIPTOR204"/>
      <w:bookmarkStart w:id="410" w:name="DESCRIPTOR205"/>
      <w:bookmarkStart w:id="411" w:name="DESCRIPTOR206"/>
      <w:bookmarkStart w:id="412" w:name="DESCRIPTOR207"/>
      <w:bookmarkStart w:id="413" w:name="DESCRIPTOR208"/>
      <w:bookmarkStart w:id="414" w:name="DESCRIPTOR209"/>
      <w:bookmarkStart w:id="415" w:name="DESCRIPTOR210"/>
      <w:bookmarkStart w:id="416" w:name="DESCRIPTOR211"/>
      <w:bookmarkStart w:id="417" w:name="DESCRIPTOR212"/>
      <w:bookmarkStart w:id="418" w:name="DESCRIPTOR213"/>
      <w:bookmarkStart w:id="419" w:name="DESCRIPTOR214"/>
      <w:bookmarkStart w:id="420" w:name="DESCRIPTOR215"/>
      <w:bookmarkStart w:id="421" w:name="DESCRIPTOR216"/>
      <w:bookmarkStart w:id="422" w:name="DESCRIPTOR217"/>
      <w:bookmarkStart w:id="423" w:name="DESCRIPTOR218"/>
      <w:bookmarkStart w:id="424" w:name="DESCRIPTOR219"/>
      <w:bookmarkStart w:id="425" w:name="DESCRIPTOR220"/>
      <w:bookmarkStart w:id="426" w:name="DESCRIPTOR221"/>
      <w:bookmarkStart w:id="427" w:name="DESCRIPTOR222"/>
      <w:bookmarkStart w:id="428" w:name="DESCRIPTOR223"/>
      <w:bookmarkStart w:id="429" w:name="DESCRIPTOR224"/>
      <w:bookmarkStart w:id="430" w:name="DESCRIPTOR225"/>
      <w:bookmarkStart w:id="431" w:name="DESCRIPTOR226"/>
      <w:bookmarkStart w:id="432" w:name="DESCRIPTOR227"/>
      <w:bookmarkStart w:id="433" w:name="DESCRIPTOR228"/>
      <w:bookmarkStart w:id="434" w:name="DESCRIPTOR229"/>
      <w:bookmarkStart w:id="435" w:name="DESCRIPTOR230"/>
      <w:bookmarkStart w:id="436" w:name="DESCRIPTOR231"/>
      <w:bookmarkStart w:id="437" w:name="DESCRIPTOR232"/>
      <w:bookmarkStart w:id="438" w:name="DESCRIPTOR233"/>
      <w:bookmarkStart w:id="439" w:name="DESCRIPTOR234"/>
      <w:bookmarkStart w:id="440" w:name="DESCRIPTOR235"/>
      <w:bookmarkStart w:id="441" w:name="DESCRIPTOR236"/>
      <w:bookmarkStart w:id="442" w:name="DESCRIPTOR237"/>
      <w:bookmarkStart w:id="443" w:name="DESCRIPTOR238"/>
      <w:bookmarkStart w:id="444" w:name="DESCRIPTOR239"/>
      <w:bookmarkStart w:id="445" w:name="DESCRIPTOR240"/>
      <w:bookmarkStart w:id="446" w:name="DESCRIPTOR241"/>
      <w:bookmarkStart w:id="447" w:name="DESCRIPTOR242"/>
      <w:bookmarkStart w:id="448" w:name="DESCRIPTOR243"/>
      <w:bookmarkStart w:id="449" w:name="DESCRIPTOR244"/>
      <w:bookmarkStart w:id="450" w:name="DESCRIPTOR245"/>
      <w:bookmarkStart w:id="451" w:name="DESCRIPTOR246"/>
      <w:bookmarkStart w:id="452" w:name="DESCRIPTOR247"/>
      <w:bookmarkStart w:id="453" w:name="DESCRIPTOR248"/>
      <w:bookmarkStart w:id="454" w:name="DESCRIPTOR249"/>
      <w:bookmarkStart w:id="455" w:name="DESCRIPTOR250"/>
      <w:bookmarkStart w:id="456" w:name="DESCRIPTOR251"/>
      <w:bookmarkStart w:id="457" w:name="DESCRIPTOR252"/>
      <w:bookmarkStart w:id="458" w:name="DESCRIPTOR253"/>
      <w:bookmarkStart w:id="459" w:name="DESCRIPTOR254"/>
      <w:bookmarkStart w:id="460" w:name="DESCRIPTOR255"/>
      <w:bookmarkStart w:id="461" w:name="DESCRIPTOR256"/>
      <w:bookmarkStart w:id="462" w:name="DESCRIPTOR257"/>
      <w:bookmarkStart w:id="463" w:name="DESCRIPTOR258"/>
      <w:bookmarkStart w:id="464" w:name="DESCRIPTOR259"/>
      <w:bookmarkStart w:id="465" w:name="DESCRIPTOR260"/>
      <w:bookmarkStart w:id="466" w:name="DESCRIPTOR261"/>
      <w:bookmarkStart w:id="467" w:name="DESCRIPTOR262"/>
      <w:bookmarkStart w:id="468" w:name="DESCRIPTOR263"/>
      <w:bookmarkStart w:id="469" w:name="DESCRIPTOR264"/>
      <w:bookmarkStart w:id="470" w:name="DESCRIPTOR265"/>
      <w:bookmarkStart w:id="471" w:name="DESCRIPTOR266"/>
      <w:bookmarkStart w:id="472" w:name="DESCRIPTOR267"/>
      <w:bookmarkStart w:id="473" w:name="DESCRIPTOR268"/>
      <w:bookmarkStart w:id="474" w:name="DESCRIPTOR269"/>
      <w:bookmarkStart w:id="475" w:name="DESCRIPTOR270"/>
      <w:bookmarkStart w:id="476" w:name="DESCRIPTOR271"/>
      <w:bookmarkStart w:id="477" w:name="DESCRIPTOR272"/>
      <w:bookmarkStart w:id="478" w:name="DESCRIPTOR273"/>
      <w:bookmarkStart w:id="479" w:name="DESCRIPTOR274"/>
      <w:bookmarkStart w:id="480" w:name="DESCRIPTOR275"/>
      <w:bookmarkStart w:id="481" w:name="DESCRIPTOR276"/>
      <w:bookmarkStart w:id="482" w:name="DESCRIPTOR277"/>
      <w:bookmarkStart w:id="483" w:name="DESCRIPTOR278"/>
      <w:bookmarkStart w:id="484" w:name="DESCRIPTOR279"/>
      <w:bookmarkStart w:id="485" w:name="DESCRIPTOR280"/>
      <w:bookmarkStart w:id="486" w:name="DESCRIPTOR281"/>
      <w:bookmarkStart w:id="487" w:name="DESCRIPTOR282"/>
      <w:bookmarkStart w:id="488" w:name="DESCRIPTOR283"/>
      <w:bookmarkStart w:id="489" w:name="DESCRIPTOR284"/>
      <w:bookmarkStart w:id="490" w:name="DESCRIPTOR285"/>
      <w:bookmarkStart w:id="491" w:name="DESCRIPTOR286"/>
      <w:bookmarkStart w:id="492" w:name="DESCRIPTOR287"/>
      <w:bookmarkStart w:id="493" w:name="DESCRIPTOR288"/>
      <w:bookmarkStart w:id="494" w:name="DESCRIPTOR289"/>
      <w:bookmarkStart w:id="495" w:name="DESCRIPTOR290"/>
      <w:bookmarkStart w:id="496" w:name="DESCRIPTOR291"/>
      <w:bookmarkStart w:id="497" w:name="DESCRIPTOR292"/>
      <w:bookmarkStart w:id="498" w:name="DESCRIPTOR293"/>
      <w:bookmarkStart w:id="499" w:name="DESCRIPTOR294"/>
      <w:bookmarkStart w:id="500" w:name="DESCRIPTOR295"/>
      <w:bookmarkStart w:id="501" w:name="DESCRIPTOR296"/>
      <w:bookmarkStart w:id="502" w:name="DESCRIPTOR297"/>
      <w:bookmarkStart w:id="503" w:name="DESCRIPTOR298"/>
      <w:bookmarkStart w:id="504" w:name="DESCRIPTOR299"/>
      <w:bookmarkStart w:id="505" w:name="DESCRIPTOR300"/>
      <w:bookmarkStart w:id="506" w:name="DESCRIPTOR301"/>
      <w:bookmarkStart w:id="507" w:name="DESCRIPTOR302"/>
      <w:bookmarkStart w:id="508" w:name="DESCRIPTOR303"/>
      <w:bookmarkStart w:id="509" w:name="DESCRIPTOR304"/>
      <w:bookmarkStart w:id="510" w:name="DESCRIPTOR305"/>
      <w:bookmarkStart w:id="511" w:name="DESCRIPTOR306"/>
      <w:bookmarkStart w:id="512" w:name="DESCRIPTOR307"/>
      <w:bookmarkStart w:id="513" w:name="DESCRIPTOR308"/>
      <w:bookmarkStart w:id="514" w:name="DESCRIPTOR309"/>
      <w:bookmarkStart w:id="515" w:name="DESCRIPTOR310"/>
      <w:bookmarkStart w:id="516" w:name="DESCRIPTOR311"/>
      <w:bookmarkStart w:id="517" w:name="DESCRIPTOR312"/>
      <w:bookmarkStart w:id="518" w:name="DESCRIPTOR313"/>
      <w:bookmarkStart w:id="519" w:name="DESCRIPTOR314"/>
      <w:bookmarkStart w:id="520" w:name="DESCRIPTOR315"/>
      <w:bookmarkStart w:id="521" w:name="DESCRIPTOR316"/>
      <w:bookmarkStart w:id="522" w:name="DESCRIPTOR317"/>
      <w:bookmarkStart w:id="523" w:name="DESCRIPTOR318"/>
      <w:bookmarkStart w:id="524" w:name="DESCRIPTOR319"/>
      <w:bookmarkStart w:id="525" w:name="DESCRIPTOR320"/>
      <w:bookmarkStart w:id="526" w:name="DESCRIPTOR321"/>
      <w:bookmarkStart w:id="527" w:name="DESCRIPTOR322"/>
      <w:bookmarkStart w:id="528" w:name="DESCRIPTOR323"/>
      <w:bookmarkStart w:id="529" w:name="DESCRIPTOR324"/>
      <w:bookmarkStart w:id="530" w:name="DESCRIPTOR325"/>
      <w:bookmarkStart w:id="531" w:name="DESCRIPTOR326"/>
      <w:bookmarkStart w:id="532" w:name="DESCRIPTOR327"/>
      <w:bookmarkStart w:id="533" w:name="DESCRIPTOR328"/>
      <w:bookmarkStart w:id="534" w:name="DESCRIPTOR329"/>
      <w:bookmarkStart w:id="535" w:name="DESCRIPTOR330"/>
      <w:bookmarkStart w:id="536" w:name="DESCRIPTOR331"/>
      <w:bookmarkStart w:id="537" w:name="DESCRIPTOR332"/>
      <w:bookmarkStart w:id="538" w:name="DESCRIPTOR333"/>
      <w:bookmarkStart w:id="539" w:name="DESCRIPTOR334"/>
      <w:bookmarkStart w:id="540" w:name="DESCRIPTOR335"/>
      <w:bookmarkStart w:id="541" w:name="DESCRIPTOR336"/>
      <w:bookmarkStart w:id="542" w:name="DESCRIPTOR337"/>
      <w:bookmarkStart w:id="543" w:name="DESCRIPTOR338"/>
      <w:bookmarkStart w:id="544" w:name="DESCRIPTOR339"/>
      <w:bookmarkStart w:id="545" w:name="DESCRIPTOR340"/>
      <w:bookmarkStart w:id="546" w:name="DESCRIPTOR341"/>
      <w:bookmarkStart w:id="547" w:name="DESCRIPTOR342"/>
      <w:bookmarkStart w:id="548" w:name="DESCRIPTOR343"/>
      <w:bookmarkStart w:id="549" w:name="DESCRIPTOR344"/>
      <w:bookmarkStart w:id="550" w:name="DESCRIPTOR345"/>
      <w:bookmarkStart w:id="551" w:name="DESCRIPTOR346"/>
      <w:bookmarkStart w:id="552" w:name="DESCRIPTOR347"/>
      <w:bookmarkStart w:id="553" w:name="DESCRIPTOR348"/>
      <w:bookmarkStart w:id="554" w:name="DESCRIPTOR349"/>
      <w:bookmarkStart w:id="555" w:name="DESCRIPTOR350"/>
      <w:bookmarkStart w:id="556" w:name="DESCRIPTOR351"/>
      <w:bookmarkStart w:id="557" w:name="DESCRIPTOR352"/>
      <w:bookmarkStart w:id="558" w:name="DESCRIPTOR353"/>
      <w:bookmarkStart w:id="559" w:name="DESCRIPTOR354"/>
      <w:bookmarkStart w:id="560" w:name="DESCRIPTOR355"/>
      <w:bookmarkStart w:id="561" w:name="DESCRIPTOR356"/>
      <w:bookmarkStart w:id="562" w:name="DESCRIPTOR357"/>
      <w:bookmarkStart w:id="563" w:name="DESCRIPTOR358"/>
      <w:bookmarkStart w:id="564" w:name="DESCRIPTOR359"/>
      <w:bookmarkStart w:id="565" w:name="DESCRIPTOR360"/>
      <w:bookmarkStart w:id="566" w:name="DESCRIPTOR361"/>
      <w:bookmarkStart w:id="567" w:name="DESCRIPTOR362"/>
      <w:bookmarkStart w:id="568" w:name="DESCRIPTOR363"/>
      <w:bookmarkStart w:id="569" w:name="DESCRIPTOR364"/>
      <w:bookmarkStart w:id="570" w:name="DESCRIPTOR365"/>
      <w:bookmarkStart w:id="571" w:name="DESCRIPTOR366"/>
      <w:bookmarkStart w:id="572" w:name="DESCRIPTOR367"/>
      <w:bookmarkStart w:id="573" w:name="DESCRIPTOR368"/>
      <w:bookmarkStart w:id="574" w:name="DESCRIPTOR369"/>
      <w:bookmarkStart w:id="575" w:name="DESCRIPTOR370"/>
      <w:bookmarkStart w:id="576" w:name="DESCRIPTOR371"/>
      <w:bookmarkStart w:id="577" w:name="DESCRIPTOR372"/>
      <w:bookmarkStart w:id="578" w:name="DESCRIPTOR373"/>
      <w:bookmarkStart w:id="579" w:name="DESCRIPTOR374"/>
      <w:bookmarkStart w:id="580" w:name="DESCRIPTOR375"/>
      <w:bookmarkStart w:id="581" w:name="DESCRIPTOR376"/>
      <w:bookmarkStart w:id="582" w:name="DESCRIPTOR377"/>
      <w:bookmarkStart w:id="583" w:name="DESCRIPTOR378"/>
      <w:bookmarkStart w:id="584" w:name="DESCRIPTOR379"/>
      <w:bookmarkStart w:id="585" w:name="DESCRIPTOR380"/>
      <w:bookmarkStart w:id="586" w:name="DESCRIPTOR381"/>
      <w:bookmarkStart w:id="587" w:name="DESCRIPTOR382"/>
      <w:bookmarkStart w:id="588" w:name="DESCRIPTOR383"/>
      <w:bookmarkStart w:id="589" w:name="DESCRIPTOR384"/>
      <w:bookmarkStart w:id="590" w:name="DESCRIPTOR385"/>
      <w:bookmarkStart w:id="591" w:name="DESCRIPTOR386"/>
      <w:bookmarkStart w:id="592" w:name="DESCRIPTOR387"/>
      <w:bookmarkStart w:id="593" w:name="DESCRIPTOR388"/>
      <w:bookmarkStart w:id="594" w:name="DESCRIPTOR389"/>
      <w:bookmarkStart w:id="595" w:name="DESCRIPTOR390"/>
      <w:bookmarkStart w:id="596" w:name="DESCRIPTOR391"/>
      <w:bookmarkStart w:id="597" w:name="DESCRIPTOR392"/>
      <w:bookmarkStart w:id="598" w:name="DESCRIPTOR393"/>
      <w:bookmarkStart w:id="599" w:name="DESCRIPTOR394"/>
      <w:bookmarkStart w:id="600" w:name="DESCRIPTOR395"/>
      <w:bookmarkStart w:id="601" w:name="DESCRIPTOR396"/>
      <w:bookmarkStart w:id="602" w:name="DESCRIPTOR397"/>
      <w:bookmarkStart w:id="603" w:name="DESCRIPTOR398"/>
      <w:bookmarkStart w:id="604" w:name="DESCRIPTOR399"/>
      <w:bookmarkStart w:id="605" w:name="DESCRIPTOR400"/>
      <w:bookmarkStart w:id="606" w:name="DESCRIPTOR401"/>
      <w:bookmarkStart w:id="607" w:name="DESCRIPTOR402"/>
      <w:bookmarkStart w:id="608" w:name="DESCRIPTOR403"/>
      <w:bookmarkStart w:id="609" w:name="DESCRIPTOR404"/>
      <w:bookmarkStart w:id="610" w:name="DESCRIPTOR405"/>
      <w:bookmarkStart w:id="611" w:name="DESCRIPTOR406"/>
      <w:bookmarkStart w:id="612" w:name="DESCRIPTOR407"/>
      <w:bookmarkStart w:id="613" w:name="DESCRIPTOR408"/>
      <w:bookmarkStart w:id="614" w:name="DESCRIPTOR409"/>
      <w:bookmarkStart w:id="615" w:name="DESCRIPTOR410"/>
      <w:bookmarkStart w:id="616" w:name="DESCRIPTOR411"/>
      <w:bookmarkStart w:id="617" w:name="DESCRIPTOR412"/>
      <w:bookmarkStart w:id="618" w:name="DESCRIPTOR413"/>
      <w:bookmarkStart w:id="619" w:name="DESCRIPTOR414"/>
      <w:bookmarkStart w:id="620" w:name="DESCRIPTOR415"/>
      <w:bookmarkStart w:id="621" w:name="DESCRIPTOR416"/>
      <w:bookmarkStart w:id="622" w:name="DESCRIPTOR417"/>
      <w:bookmarkStart w:id="623" w:name="DESCRIPTOR418"/>
      <w:bookmarkStart w:id="624" w:name="DESCRIPTOR419"/>
      <w:bookmarkStart w:id="625" w:name="DESCRIPTOR420"/>
      <w:bookmarkStart w:id="626" w:name="DESCRIPTOR421"/>
      <w:bookmarkStart w:id="627" w:name="DESCRIPTOR422"/>
      <w:bookmarkStart w:id="628" w:name="DESCRIPTOR423"/>
      <w:bookmarkStart w:id="629" w:name="DESCRIPTOR424"/>
      <w:bookmarkStart w:id="630" w:name="DESCRIPTOR425"/>
      <w:bookmarkStart w:id="631" w:name="DESCRIPTOR426"/>
      <w:bookmarkStart w:id="632" w:name="DESCRIPTOR427"/>
      <w:bookmarkStart w:id="633" w:name="DESCRIPTOR428"/>
      <w:bookmarkStart w:id="634" w:name="DESCRIPTOR429"/>
      <w:bookmarkStart w:id="635" w:name="DESCRIPTOR430"/>
      <w:bookmarkStart w:id="636" w:name="DESCRIPTOR431"/>
      <w:bookmarkStart w:id="637" w:name="DESCRIPTOR432"/>
      <w:bookmarkStart w:id="638" w:name="DESCRIPTOR433"/>
      <w:bookmarkStart w:id="639" w:name="DESCRIPTOR434"/>
      <w:bookmarkStart w:id="640" w:name="DESCRIPTOR435"/>
      <w:bookmarkStart w:id="641" w:name="DESCRIPTOR436"/>
      <w:bookmarkStart w:id="642" w:name="DESCRIPTOR437"/>
      <w:bookmarkStart w:id="643" w:name="DESCRIPTOR438"/>
      <w:bookmarkStart w:id="644" w:name="DESCRIPTOR439"/>
      <w:bookmarkStart w:id="645" w:name="DESCRIPTOR440"/>
      <w:bookmarkStart w:id="646" w:name="DESCRIPTOR441"/>
      <w:bookmarkStart w:id="647" w:name="DESCRIPTOR442"/>
      <w:bookmarkStart w:id="648" w:name="DESCRIPTOR443"/>
      <w:bookmarkStart w:id="649" w:name="DESCRIPTOR444"/>
      <w:bookmarkStart w:id="650" w:name="DESCRIPTOR445"/>
      <w:bookmarkStart w:id="651" w:name="DESCRIPTOR446"/>
      <w:bookmarkStart w:id="652" w:name="DESCRIPTOR447"/>
      <w:bookmarkStart w:id="653" w:name="DESCRIPTOR448"/>
      <w:bookmarkStart w:id="654" w:name="DESCRIPTOR449"/>
      <w:bookmarkStart w:id="655" w:name="DESCRIPTOR450"/>
      <w:bookmarkStart w:id="656" w:name="DESCRIPTOR451"/>
      <w:bookmarkStart w:id="657" w:name="DESCRIPTOR452"/>
      <w:bookmarkStart w:id="658" w:name="DESCRIPTOR453"/>
      <w:bookmarkStart w:id="659" w:name="DESCRIPTOR454"/>
      <w:bookmarkStart w:id="660" w:name="DESCRIPTOR455"/>
      <w:bookmarkStart w:id="661" w:name="DESCRIPTOR456"/>
      <w:bookmarkStart w:id="662" w:name="DESCRIPTOR457"/>
      <w:bookmarkStart w:id="663" w:name="DESCRIPTOR458"/>
      <w:bookmarkStart w:id="664" w:name="DESCRIPTOR459"/>
      <w:bookmarkStart w:id="665" w:name="DESCRIPTOR460"/>
      <w:bookmarkStart w:id="666" w:name="DESCRIPTOR461"/>
      <w:bookmarkStart w:id="667" w:name="DESCRIPTOR462"/>
      <w:bookmarkStart w:id="668" w:name="DESCRIPTOR463"/>
      <w:bookmarkStart w:id="669" w:name="DESCRIPTOR464"/>
      <w:bookmarkStart w:id="670" w:name="DESCRIPTOR465"/>
      <w:bookmarkStart w:id="671" w:name="DESCRIPTOR466"/>
      <w:bookmarkStart w:id="672" w:name="DESCRIPTOR467"/>
      <w:bookmarkStart w:id="673" w:name="DESCRIPTOR468"/>
      <w:bookmarkStart w:id="674" w:name="DESCRIPTOR469"/>
      <w:bookmarkStart w:id="675" w:name="DESCRIPTOR470"/>
      <w:bookmarkStart w:id="676" w:name="DESCRIPTOR471"/>
      <w:bookmarkStart w:id="677" w:name="DESCRIPTOR472"/>
      <w:bookmarkStart w:id="678" w:name="DESCRIPTOR473"/>
      <w:bookmarkStart w:id="679" w:name="DESCRIPTOR474"/>
      <w:bookmarkStart w:id="680" w:name="DESCRIPTOR475"/>
      <w:bookmarkStart w:id="681" w:name="DESCRIPTOR476"/>
      <w:bookmarkStart w:id="682" w:name="DESCRIPTOR477"/>
      <w:bookmarkStart w:id="683" w:name="DESCRIPTOR478"/>
      <w:bookmarkStart w:id="684" w:name="DESCRIPTOR479"/>
      <w:bookmarkStart w:id="685" w:name="DESCRIPTOR480"/>
      <w:bookmarkStart w:id="686" w:name="DESCRIPTOR481"/>
      <w:bookmarkStart w:id="687" w:name="DESCRIPTOR482"/>
      <w:bookmarkStart w:id="688" w:name="DESCRIPTOR483"/>
      <w:bookmarkStart w:id="689" w:name="DESCRIPTOR484"/>
      <w:bookmarkStart w:id="690" w:name="DESCRIPTOR485"/>
      <w:bookmarkStart w:id="691" w:name="DESCRIPTOR486"/>
      <w:bookmarkStart w:id="692" w:name="DESCRIPTOR487"/>
      <w:bookmarkStart w:id="693" w:name="DESCRIPTOR488"/>
      <w:bookmarkStart w:id="694" w:name="DESCRIPTOR489"/>
      <w:bookmarkStart w:id="695" w:name="DESCRIPTOR490"/>
      <w:bookmarkStart w:id="696" w:name="DESCRIPTOR491"/>
      <w:bookmarkStart w:id="697" w:name="DESCRIPTOR492"/>
      <w:bookmarkStart w:id="698" w:name="DESCRIPTOR493"/>
      <w:bookmarkStart w:id="699" w:name="DESCRIPTOR494"/>
      <w:bookmarkStart w:id="700" w:name="DESCRIPTOR495"/>
      <w:bookmarkStart w:id="701" w:name="DESCRIPTOR496"/>
      <w:bookmarkStart w:id="702" w:name="DESCRIPTOR497"/>
      <w:bookmarkStart w:id="703" w:name="DESCRIPTOR498"/>
      <w:bookmarkStart w:id="704" w:name="DESCRIPTOR499"/>
      <w:bookmarkStart w:id="705" w:name="DESCRIPTOR500"/>
      <w:bookmarkStart w:id="706" w:name="DESCRIPTOR501"/>
      <w:bookmarkStart w:id="707" w:name="DESCRIPTOR502"/>
      <w:bookmarkStart w:id="708" w:name="DESCRIPTOR503"/>
      <w:bookmarkStart w:id="709" w:name="DESCRIPTOR504"/>
      <w:bookmarkStart w:id="710" w:name="DESCRIPTOR505"/>
      <w:bookmarkStart w:id="711" w:name="DESCRIPTOR506"/>
      <w:bookmarkStart w:id="712" w:name="DESCRIPTOR507"/>
      <w:bookmarkStart w:id="713" w:name="DESCRIPTOR508"/>
      <w:bookmarkStart w:id="714" w:name="DESCRIPTOR509"/>
      <w:bookmarkStart w:id="715" w:name="DESCRIPTOR510"/>
      <w:bookmarkStart w:id="716" w:name="DESCRIPTOR511"/>
      <w:bookmarkStart w:id="717" w:name="DESCRIPTOR512"/>
      <w:bookmarkStart w:id="718" w:name="DESCRIPTOR513"/>
      <w:bookmarkStart w:id="719" w:name="DESCRIPTOR514"/>
      <w:bookmarkStart w:id="720" w:name="DESCRIPTOR515"/>
      <w:bookmarkStart w:id="721" w:name="DESCRIPTOR516"/>
      <w:bookmarkStart w:id="722" w:name="DESCRIPTOR517"/>
      <w:bookmarkStart w:id="723" w:name="DESCRIPTOR518"/>
      <w:bookmarkStart w:id="724" w:name="DESCRIPTOR519"/>
      <w:bookmarkStart w:id="725" w:name="DESCRIPTOR520"/>
      <w:bookmarkStart w:id="726" w:name="DESCRIPTOR521"/>
      <w:bookmarkStart w:id="727" w:name="DESCRIPTOR522"/>
      <w:bookmarkStart w:id="728" w:name="DESCRIPTOR523"/>
      <w:bookmarkStart w:id="729" w:name="DESCRIPTOR524"/>
      <w:bookmarkStart w:id="730" w:name="DESCRIPTOR525"/>
      <w:bookmarkStart w:id="731" w:name="DESCRIPTOR526"/>
      <w:bookmarkStart w:id="732" w:name="DESCRIPTOR527"/>
      <w:bookmarkStart w:id="733" w:name="DESCRIPTOR528"/>
      <w:bookmarkStart w:id="734" w:name="DESCRIPTOR529"/>
      <w:bookmarkStart w:id="735" w:name="DESCRIPTOR530"/>
      <w:bookmarkStart w:id="736" w:name="DESCRIPTOR531"/>
      <w:bookmarkStart w:id="737" w:name="DESCRIPTOR532"/>
      <w:bookmarkStart w:id="738" w:name="DESCRIPTOR533"/>
      <w:bookmarkStart w:id="739" w:name="DESCRIPTOR534"/>
      <w:bookmarkStart w:id="740" w:name="DESCRIPTOR535"/>
      <w:bookmarkStart w:id="741" w:name="DESCRIPTOR536"/>
      <w:bookmarkStart w:id="742" w:name="DESCRIPTOR537"/>
      <w:bookmarkStart w:id="743" w:name="DESCRIPTOR538"/>
      <w:bookmarkStart w:id="744" w:name="DESCRIPTOR539"/>
      <w:bookmarkStart w:id="745" w:name="DESCRIPTOR540"/>
      <w:bookmarkStart w:id="746" w:name="DESCRIPTOR541"/>
      <w:bookmarkStart w:id="747" w:name="DESCRIPTOR542"/>
      <w:bookmarkStart w:id="748" w:name="DESCRIPTOR543"/>
      <w:bookmarkStart w:id="749" w:name="DESCRIPTOR544"/>
      <w:bookmarkStart w:id="750" w:name="DESCRIPTOR545"/>
      <w:bookmarkStart w:id="751" w:name="DESCRIPTOR546"/>
      <w:bookmarkStart w:id="752" w:name="DESCRIPTOR547"/>
      <w:bookmarkStart w:id="753" w:name="DESCRIPTOR548"/>
      <w:bookmarkStart w:id="754" w:name="DESCRIPTOR549"/>
      <w:bookmarkStart w:id="755" w:name="DESCRIPTOR550"/>
      <w:bookmarkStart w:id="756" w:name="DESCRIPTOR551"/>
      <w:bookmarkStart w:id="757" w:name="DESCRIPTOR552"/>
      <w:bookmarkStart w:id="758" w:name="DESCRIPTOR553"/>
      <w:bookmarkStart w:id="759" w:name="DESCRIPTOR554"/>
      <w:bookmarkStart w:id="760" w:name="DESCRIPTOR555"/>
      <w:bookmarkStart w:id="761" w:name="DESCRIPTOR556"/>
      <w:bookmarkStart w:id="762" w:name="DESCRIPTOR557"/>
      <w:bookmarkStart w:id="763" w:name="DESCRIPTOR558"/>
      <w:bookmarkStart w:id="764" w:name="DESCRIPTOR559"/>
      <w:bookmarkStart w:id="765" w:name="DESCRIPTOR560"/>
      <w:bookmarkStart w:id="766" w:name="DESCRIPTOR561"/>
      <w:bookmarkStart w:id="767" w:name="DESCRIPTOR562"/>
      <w:bookmarkStart w:id="768" w:name="DESCRIPTOR563"/>
      <w:bookmarkStart w:id="769" w:name="DESCRIPTOR564"/>
      <w:bookmarkStart w:id="770" w:name="DESCRIPTOR565"/>
      <w:bookmarkStart w:id="771" w:name="DESCRIPTOR566"/>
      <w:bookmarkStart w:id="772" w:name="DESCRIPTOR567"/>
      <w:bookmarkStart w:id="773" w:name="DESCRIPTOR568"/>
      <w:bookmarkStart w:id="774" w:name="DESCRIPTOR569"/>
      <w:bookmarkStart w:id="775" w:name="DESCRIPTOR570"/>
      <w:bookmarkStart w:id="776" w:name="DESCRIPTOR571"/>
      <w:bookmarkStart w:id="777" w:name="DESCRIPTOR572"/>
      <w:bookmarkStart w:id="778" w:name="DESCRIPTOR573"/>
      <w:bookmarkStart w:id="779" w:name="DESCRIPTOR574"/>
      <w:bookmarkStart w:id="780" w:name="DESCRIPTOR575"/>
      <w:bookmarkStart w:id="781" w:name="DESCRIPTOR576"/>
      <w:bookmarkStart w:id="782" w:name="DESCRIPTOR577"/>
      <w:bookmarkStart w:id="783" w:name="DESCRIPTOR578"/>
      <w:bookmarkStart w:id="784" w:name="DESCRIPTOR579"/>
      <w:bookmarkStart w:id="785" w:name="DESCRIPTOR580"/>
      <w:bookmarkStart w:id="786" w:name="DESCRIPTOR581"/>
      <w:bookmarkStart w:id="787" w:name="DESCRIPTOR582"/>
      <w:bookmarkStart w:id="788" w:name="DESCRIPTOR583"/>
      <w:bookmarkStart w:id="789" w:name="DESCRIPTOR584"/>
      <w:bookmarkStart w:id="790" w:name="DESCRIPTOR585"/>
      <w:bookmarkStart w:id="791" w:name="DESCRIPTOR586"/>
      <w:bookmarkStart w:id="792" w:name="DESCRIPTOR587"/>
      <w:bookmarkStart w:id="793" w:name="DESCRIPTOR588"/>
      <w:bookmarkStart w:id="794" w:name="DESCRIPTOR589"/>
      <w:bookmarkStart w:id="795" w:name="DESCRIPTOR590"/>
      <w:bookmarkStart w:id="796" w:name="DESCRIPTOR591"/>
      <w:bookmarkStart w:id="797" w:name="DESCRIPTOR592"/>
      <w:bookmarkStart w:id="798" w:name="DESCRIPTOR593"/>
      <w:bookmarkStart w:id="799" w:name="DESCRIPTOR594"/>
      <w:bookmarkStart w:id="800" w:name="DESCRIPTOR595"/>
      <w:bookmarkStart w:id="801" w:name="DESCRIPTOR596"/>
      <w:bookmarkStart w:id="802" w:name="DESCRIPTOR597"/>
      <w:bookmarkStart w:id="803" w:name="DESCRIPTOR598"/>
      <w:bookmarkStart w:id="804" w:name="DESCRIPTOR599"/>
      <w:bookmarkStart w:id="805" w:name="DESCRIPTOR600"/>
      <w:bookmarkStart w:id="806" w:name="DESCRIPTOR601"/>
      <w:bookmarkStart w:id="807" w:name="DESCRIPTOR602"/>
      <w:bookmarkStart w:id="808" w:name="DESCRIPTOR603"/>
      <w:bookmarkStart w:id="809" w:name="DESCRIPTOR604"/>
      <w:bookmarkStart w:id="810" w:name="DESCRIPTOR605"/>
      <w:bookmarkStart w:id="811" w:name="DESCRIPTOR606"/>
      <w:bookmarkStart w:id="812" w:name="DESCRIPTOR607"/>
      <w:bookmarkStart w:id="813" w:name="DESCRIPTOR608"/>
      <w:bookmarkStart w:id="814" w:name="DESCRIPTOR609"/>
      <w:bookmarkStart w:id="815" w:name="DESCRIPTOR610"/>
      <w:bookmarkStart w:id="816" w:name="DESCRIPTOR611"/>
      <w:bookmarkStart w:id="817" w:name="DESCRIPTOR612"/>
      <w:bookmarkStart w:id="818" w:name="DESCRIPTOR613"/>
      <w:bookmarkStart w:id="819" w:name="DESCRIPTOR614"/>
      <w:bookmarkStart w:id="820" w:name="DESCRIPTOR615"/>
      <w:bookmarkStart w:id="821" w:name="DESCRIPTOR616"/>
      <w:bookmarkStart w:id="822" w:name="DESCRIPTOR617"/>
      <w:bookmarkStart w:id="823" w:name="DESCRIPTOR618"/>
      <w:bookmarkStart w:id="824" w:name="DESCRIPTOR619"/>
      <w:bookmarkStart w:id="825" w:name="DESCRIPTOR620"/>
      <w:bookmarkStart w:id="826" w:name="DESCRIPTOR621"/>
      <w:bookmarkStart w:id="827" w:name="DESCRIPTOR622"/>
      <w:bookmarkStart w:id="828" w:name="DESCRIPTOR623"/>
      <w:bookmarkStart w:id="829" w:name="DESCRIPTOR624"/>
      <w:bookmarkStart w:id="830" w:name="DESCRIPTOR625"/>
      <w:bookmarkStart w:id="831" w:name="DESCRIPTOR626"/>
      <w:bookmarkStart w:id="832" w:name="DESCRIPTOR627"/>
      <w:bookmarkStart w:id="833" w:name="DESCRIPTOR628"/>
      <w:bookmarkStart w:id="834" w:name="DESCRIPTOR629"/>
      <w:bookmarkStart w:id="835" w:name="DESCRIPTOR630"/>
      <w:bookmarkStart w:id="836" w:name="DESCRIPTOR631"/>
      <w:bookmarkStart w:id="837" w:name="DESCRIPTOR632"/>
      <w:bookmarkStart w:id="838" w:name="DESCRIPTOR633"/>
      <w:bookmarkStart w:id="839" w:name="DESCRIPTOR634"/>
      <w:bookmarkStart w:id="840" w:name="DESCRIPTOR635"/>
      <w:bookmarkStart w:id="841" w:name="DESCRIPTOR636"/>
      <w:bookmarkStart w:id="842" w:name="DESCRIPTOR637"/>
      <w:bookmarkStart w:id="843" w:name="DESCRIPTOR638"/>
      <w:bookmarkStart w:id="844" w:name="DESCRIPTOR639"/>
      <w:bookmarkStart w:id="845" w:name="DESCRIPTOR640"/>
      <w:bookmarkStart w:id="846" w:name="DESCRIPTOR641"/>
      <w:bookmarkStart w:id="847" w:name="DESCRIPTOR642"/>
      <w:bookmarkStart w:id="848" w:name="DESCRIPTOR643"/>
      <w:bookmarkStart w:id="849" w:name="DESCRIPTOR644"/>
      <w:bookmarkStart w:id="850" w:name="DESCRIPTOR645"/>
      <w:bookmarkStart w:id="851" w:name="DESCRIPTOR646"/>
      <w:bookmarkStart w:id="852" w:name="DESCRIPTOR647"/>
      <w:bookmarkStart w:id="853" w:name="DESCRIPTOR648"/>
      <w:bookmarkStart w:id="854" w:name="DESCRIPTOR649"/>
      <w:bookmarkStart w:id="855" w:name="DESCRIPTOR650"/>
      <w:bookmarkStart w:id="856" w:name="DESCRIPTOR651"/>
      <w:bookmarkStart w:id="857" w:name="DESCRIPTOR652"/>
      <w:bookmarkStart w:id="858" w:name="DESCRIPTOR653"/>
      <w:bookmarkStart w:id="859" w:name="DESCRIPTOR654"/>
      <w:bookmarkStart w:id="860" w:name="DESCRIPTOR655"/>
      <w:bookmarkStart w:id="861" w:name="DESCRIPTOR656"/>
      <w:bookmarkStart w:id="862" w:name="DESCRIPTOR657"/>
      <w:bookmarkStart w:id="863" w:name="DESCRIPTOR658"/>
      <w:bookmarkStart w:id="864" w:name="DESCRIPTOR659"/>
      <w:bookmarkStart w:id="865" w:name="DESCRIPTOR660"/>
      <w:bookmarkStart w:id="866" w:name="DESCRIPTOR661"/>
      <w:bookmarkStart w:id="867" w:name="DESCRIPTOR662"/>
      <w:bookmarkStart w:id="868" w:name="DESCRIPTOR663"/>
      <w:bookmarkStart w:id="869" w:name="DESCRIPTOR664"/>
      <w:bookmarkStart w:id="870" w:name="DESCRIPTOR665"/>
      <w:bookmarkStart w:id="871" w:name="DESCRIPTOR666"/>
      <w:bookmarkStart w:id="872" w:name="DESCRIPTOR667"/>
      <w:bookmarkStart w:id="873" w:name="DESCRIPTOR668"/>
      <w:bookmarkStart w:id="874" w:name="DESCRIPTOR669"/>
      <w:bookmarkStart w:id="875" w:name="DESCRIPTOR670"/>
      <w:bookmarkStart w:id="876" w:name="DESCRIPTOR671"/>
      <w:bookmarkStart w:id="877" w:name="DESCRIPTOR672"/>
      <w:bookmarkStart w:id="878" w:name="DESCRIPTOR673"/>
      <w:bookmarkStart w:id="879" w:name="DESCRIPTOR674"/>
      <w:bookmarkStart w:id="880" w:name="DESCRIPTOR675"/>
      <w:bookmarkStart w:id="881" w:name="DESCRIPTOR676"/>
      <w:bookmarkStart w:id="882" w:name="DESCRIPTOR677"/>
      <w:bookmarkStart w:id="883" w:name="DESCRIPTOR678"/>
      <w:bookmarkStart w:id="884" w:name="DESCRIPTOR679"/>
      <w:bookmarkStart w:id="885" w:name="DESCRIPTOR680"/>
      <w:bookmarkStart w:id="886" w:name="DESCRIPTOR681"/>
      <w:bookmarkStart w:id="887" w:name="DESCRIPTOR682"/>
      <w:bookmarkStart w:id="888" w:name="DESCRIPTOR683"/>
      <w:bookmarkStart w:id="889" w:name="DESCRIPTOR684"/>
      <w:bookmarkStart w:id="890" w:name="DESCRIPTOR685"/>
      <w:bookmarkStart w:id="891" w:name="DESCRIPTOR686"/>
      <w:bookmarkStart w:id="892" w:name="DESCRIPTOR687"/>
      <w:bookmarkStart w:id="893" w:name="DESCRIPTOR688"/>
      <w:bookmarkStart w:id="894" w:name="DESCRIPTOR689"/>
      <w:bookmarkStart w:id="895" w:name="DESCRIPTOR690"/>
      <w:bookmarkStart w:id="896" w:name="DESCRIPTOR691"/>
      <w:bookmarkStart w:id="897" w:name="INDICE5ALFABETICO"/>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rsidR="00AD3C82" w:rsidRDefault="00AD3C82" w:rsidP="00AD3C82">
      <w:pPr>
        <w:pStyle w:val="TextoNormal"/>
      </w:pPr>
    </w:p>
    <w:p w:rsidR="00AD3C82" w:rsidRDefault="00AD3C82" w:rsidP="00AD3C82">
      <w:pPr>
        <w:pStyle w:val="TextoNormal"/>
      </w:pPr>
    </w:p>
    <w:p w:rsidR="00AD3C82" w:rsidRDefault="00AD3C82" w:rsidP="00AD3C82">
      <w:pPr>
        <w:pStyle w:val="TextoNormal"/>
      </w:pPr>
    </w:p>
    <w:p w:rsidR="00AD3C82" w:rsidRDefault="00AD3C82" w:rsidP="00AD3C82">
      <w:pPr>
        <w:pStyle w:val="Ttulondice"/>
      </w:pPr>
      <w:r>
        <w:t>7. ÍNDICE ANALÍTICO</w:t>
      </w:r>
    </w:p>
    <w:p w:rsidR="00AD3C82" w:rsidRDefault="00AD3C82" w:rsidP="00AD3C82">
      <w:pPr>
        <w:pStyle w:val="TextoNormal"/>
      </w:pPr>
    </w:p>
    <w:p w:rsidR="00AD3C82" w:rsidRDefault="00AD3C82" w:rsidP="00AD3C82">
      <w:pPr>
        <w:pStyle w:val="Ttulondice"/>
      </w:pPr>
    </w:p>
    <w:p w:rsidR="00AD3C82" w:rsidRDefault="00AD3C82" w:rsidP="00AD3C82">
      <w:pPr>
        <w:pStyle w:val="Ttulondice"/>
      </w:pPr>
    </w:p>
    <w:p w:rsidR="00AD3C82" w:rsidRDefault="00AD3C82" w:rsidP="00AD3C82">
      <w:pPr>
        <w:pStyle w:val="Ttulondice"/>
      </w:pPr>
    </w:p>
    <w:p w:rsidR="00AD3C82" w:rsidRDefault="00AD3C82" w:rsidP="00AD3C82">
      <w:pPr>
        <w:pStyle w:val="Ttulondice"/>
      </w:pPr>
    </w:p>
    <w:p w:rsidR="00AD3C82" w:rsidRDefault="00AD3C82" w:rsidP="00AD3C82">
      <w:pPr>
        <w:pStyle w:val="Ttulondice"/>
      </w:pPr>
    </w:p>
    <w:p w:rsidR="00AD3C82" w:rsidRDefault="00AD3C82" w:rsidP="00AD3C82">
      <w:pPr>
        <w:pStyle w:val="Ttulondice"/>
      </w:pPr>
    </w:p>
    <w:p w:rsidR="00AD3C82" w:rsidRDefault="00AD3C82" w:rsidP="00AD3C82">
      <w:pPr>
        <w:pStyle w:val="Ttulondice"/>
      </w:pPr>
    </w:p>
    <w:p w:rsidR="00AD3C82" w:rsidRDefault="00AD3C82" w:rsidP="00AD3C82">
      <w:pPr>
        <w:pStyle w:val="TextoNormalNegritaCentrado"/>
      </w:pPr>
      <w:r>
        <w:t>A</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898" w:name="DESCRIPTORALFABETICO419"/>
      <w:r w:rsidRPr="00AD3C82">
        <w:rPr>
          <w:rStyle w:val="TextoNormalNegritaCaracter"/>
        </w:rPr>
        <w:t>Abastecimiento de agua</w:t>
      </w:r>
      <w:bookmarkEnd w:id="898"/>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1, 5, 6, 8, 9.</w:t>
      </w:r>
    </w:p>
    <w:p w:rsidR="00AD3C82" w:rsidRPr="00AD3C82" w:rsidRDefault="00AD3C82" w:rsidP="00AD3C82">
      <w:pPr>
        <w:pStyle w:val="TextoNormalSangraFrancesa"/>
        <w:rPr>
          <w:rStyle w:val="TextoNormalCaracter"/>
        </w:rPr>
      </w:pPr>
      <w:bookmarkStart w:id="899" w:name="DESCRIPTORALFABETICO676"/>
      <w:r w:rsidRPr="00AD3C82">
        <w:rPr>
          <w:rStyle w:val="TextoNormalNegritaCaracter"/>
        </w:rPr>
        <w:t>Abono de prisión provisional</w:t>
      </w:r>
      <w:bookmarkEnd w:id="899"/>
      <w:r w:rsidRPr="00AD3C82">
        <w:rPr>
          <w:rStyle w:val="TextoNormalCaracter"/>
        </w:rPr>
        <w:t xml:space="preserve">, Sentencia </w:t>
      </w:r>
      <w:hyperlink w:anchor="SENTENCIA_2016_137" w:history="1">
        <w:r w:rsidRPr="00AD3C82">
          <w:rPr>
            <w:rStyle w:val="TextoNormalCaracter"/>
          </w:rPr>
          <w:t>137/2016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900" w:name="DESCRIPTORALFABETICO198"/>
      <w:r w:rsidRPr="00AD3C82">
        <w:rPr>
          <w:rStyle w:val="TextoNormalNegritaCaracter"/>
        </w:rPr>
        <w:t>Abstención de magistrados del Tribunal Constitucional</w:t>
      </w:r>
      <w:bookmarkEnd w:id="900"/>
      <w:r w:rsidRPr="00AD3C82">
        <w:rPr>
          <w:rStyle w:val="TextoNormalCaracter"/>
        </w:rPr>
        <w:t xml:space="preserve">, Autos </w:t>
      </w:r>
      <w:hyperlink w:anchor="AUTO_2016_166" w:history="1">
        <w:r w:rsidRPr="00AD3C82">
          <w:rPr>
            <w:rStyle w:val="TextoNormalCaracter"/>
          </w:rPr>
          <w:t>166/2016</w:t>
        </w:r>
      </w:hyperlink>
      <w:r w:rsidRPr="00AD3C82">
        <w:rPr>
          <w:rStyle w:val="TextoNormalCaracter"/>
        </w:rPr>
        <w:t xml:space="preserve">, Único; </w:t>
      </w:r>
      <w:hyperlink w:anchor="AUTO_2016_178" w:history="1">
        <w:r w:rsidRPr="00AD3C82">
          <w:rPr>
            <w:rStyle w:val="TextoNormalCaracter"/>
          </w:rPr>
          <w:t>178/2016</w:t>
        </w:r>
      </w:hyperlink>
      <w:r w:rsidRPr="00AD3C82">
        <w:rPr>
          <w:rStyle w:val="TextoNormalCaracter"/>
        </w:rPr>
        <w:t xml:space="preserve">, Único; </w:t>
      </w:r>
      <w:hyperlink w:anchor="AUTO_2016_191" w:history="1">
        <w:r w:rsidRPr="00AD3C82">
          <w:rPr>
            <w:rStyle w:val="TextoNormalCaracter"/>
          </w:rPr>
          <w:t>191/2016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901" w:name="DESCRIPTORALFABETICO443"/>
      <w:r w:rsidRPr="00AD3C82">
        <w:rPr>
          <w:rStyle w:val="TextoNormalNegritaCaracter"/>
        </w:rPr>
        <w:t>Abuso de derecho</w:t>
      </w:r>
      <w:bookmarkEnd w:id="901"/>
      <w:r w:rsidRPr="00AD3C82">
        <w:rPr>
          <w:rStyle w:val="TextoNormalCaracter"/>
        </w:rPr>
        <w:t xml:space="preserve">, Sentencia </w:t>
      </w:r>
      <w:hyperlink w:anchor="SENTENCIA_2016_136" w:history="1">
        <w:r w:rsidRPr="00AD3C82">
          <w:rPr>
            <w:rStyle w:val="TextoNormalCaracter"/>
          </w:rPr>
          <w:t>136/2016</w:t>
        </w:r>
      </w:hyperlink>
      <w:r w:rsidRPr="00AD3C82">
        <w:rPr>
          <w:rStyle w:val="TextoNormalCaracter"/>
        </w:rPr>
        <w:t>, f. 5.</w:t>
      </w:r>
    </w:p>
    <w:p w:rsidR="00AD3C82" w:rsidRPr="00AD3C82" w:rsidRDefault="00AD3C82" w:rsidP="00AD3C82">
      <w:pPr>
        <w:pStyle w:val="TextoNormalSangraFrancesa"/>
        <w:rPr>
          <w:rStyle w:val="TextoNormalCaracter"/>
        </w:rPr>
      </w:pPr>
      <w:bookmarkStart w:id="902" w:name="DESCRIPTORALFABETICO108"/>
      <w:r w:rsidRPr="00AD3C82">
        <w:rPr>
          <w:rStyle w:val="TextoNormalNegritaCaracter"/>
        </w:rPr>
        <w:t>Acatamiento de la Constitución</w:t>
      </w:r>
      <w:bookmarkEnd w:id="902"/>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3.</w:t>
      </w:r>
    </w:p>
    <w:p w:rsidR="00AD3C82" w:rsidRPr="00AD3C82" w:rsidRDefault="00AD3C82" w:rsidP="00AD3C82">
      <w:pPr>
        <w:pStyle w:val="TextoNormalSangraFrancesa"/>
        <w:rPr>
          <w:rStyle w:val="TextoNormalCaracter"/>
        </w:rPr>
      </w:pPr>
      <w:bookmarkStart w:id="903" w:name="DESCRIPTORALFABETICO414"/>
      <w:r w:rsidRPr="00AD3C82">
        <w:rPr>
          <w:rStyle w:val="TextoNormalNegritaCaracter"/>
        </w:rPr>
        <w:t>Acceso a la función pública</w:t>
      </w:r>
      <w:bookmarkEnd w:id="903"/>
      <w:r w:rsidRPr="00AD3C82">
        <w:rPr>
          <w:rStyle w:val="TextoNormalCaracter"/>
        </w:rPr>
        <w:t xml:space="preserve">, Auto </w:t>
      </w:r>
      <w:hyperlink w:anchor="AUTO_2016_176" w:history="1">
        <w:r w:rsidRPr="00AD3C82">
          <w:rPr>
            <w:rStyle w:val="TextoNormalCaracter"/>
          </w:rPr>
          <w:t>176/2016</w:t>
        </w:r>
      </w:hyperlink>
      <w:r w:rsidRPr="00AD3C82">
        <w:rPr>
          <w:rStyle w:val="TextoNormalCaracter"/>
        </w:rPr>
        <w:t>, ff. 4 a 7.</w:t>
      </w:r>
    </w:p>
    <w:p w:rsidR="00AD3C82" w:rsidRPr="00AD3C82" w:rsidRDefault="00AD3C82" w:rsidP="00AD3C82">
      <w:pPr>
        <w:pStyle w:val="TextoNormalSangraFrancesa"/>
        <w:rPr>
          <w:rStyle w:val="TextoNormalCaracter"/>
        </w:rPr>
      </w:pPr>
      <w:bookmarkStart w:id="904" w:name="DESCRIPTORALFABETICO138"/>
      <w:r w:rsidRPr="00AD3C82">
        <w:rPr>
          <w:rStyle w:val="TextoNormalNegritaCaracter"/>
        </w:rPr>
        <w:t xml:space="preserve">Acceso a la justicia </w:t>
      </w:r>
      <w:r w:rsidRPr="00AD3C82">
        <w:rPr>
          <w:rStyle w:val="TextoNormalNegritaCaracter"/>
          <w:i/>
        </w:rPr>
        <w:t>versus</w:t>
      </w:r>
      <w:r w:rsidRPr="00AD3C82">
        <w:rPr>
          <w:rStyle w:val="TextoNormalNegritaCaracter"/>
        </w:rPr>
        <w:t xml:space="preserve"> acceso a los recursos</w:t>
      </w:r>
      <w:bookmarkEnd w:id="904"/>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 12; </w:t>
      </w:r>
      <w:hyperlink w:anchor="SENTENCIA_2016_149" w:history="1">
        <w:r w:rsidRPr="00AD3C82">
          <w:rPr>
            <w:rStyle w:val="TextoNormalCaracter"/>
          </w:rPr>
          <w:t>149/2016</w:t>
        </w:r>
      </w:hyperlink>
      <w:r w:rsidRPr="00AD3C82">
        <w:rPr>
          <w:rStyle w:val="TextoNormalCaracter"/>
        </w:rPr>
        <w:t>, f. 3.</w:t>
      </w:r>
    </w:p>
    <w:p w:rsidR="00AD3C82" w:rsidRPr="00AD3C82" w:rsidRDefault="00AD3C82" w:rsidP="00AD3C82">
      <w:pPr>
        <w:pStyle w:val="TextoNormalSangraFrancesa"/>
        <w:rPr>
          <w:rStyle w:val="TextoNormalCaracter"/>
        </w:rPr>
      </w:pPr>
      <w:bookmarkStart w:id="905" w:name="DESCRIPTORALFABETICO112"/>
      <w:r w:rsidRPr="00AD3C82">
        <w:rPr>
          <w:rStyle w:val="TextoNormalNegritaCaracter"/>
        </w:rPr>
        <w:t>Acceso a los cargos públicos de representación política</w:t>
      </w:r>
      <w:bookmarkEnd w:id="905"/>
      <w:r w:rsidRPr="00AD3C82">
        <w:rPr>
          <w:rStyle w:val="TextoNormalCaracter"/>
        </w:rPr>
        <w:t xml:space="preserve">, Auto </w:t>
      </w:r>
      <w:hyperlink w:anchor="AUTO_2016_150" w:history="1">
        <w:r w:rsidRPr="00AD3C82">
          <w:rPr>
            <w:rStyle w:val="TextoNormalCaracter"/>
          </w:rPr>
          <w:t>150/2016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906" w:name="DESCRIPTORALFABETICO651"/>
      <w:r w:rsidRPr="00AD3C82">
        <w:rPr>
          <w:rStyle w:val="TextoNormalNegritaCaracter"/>
        </w:rPr>
        <w:t>Acción civil por daños</w:t>
      </w:r>
      <w:bookmarkEnd w:id="906"/>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a 9.</w:t>
      </w:r>
    </w:p>
    <w:p w:rsidR="00AD3C82" w:rsidRPr="00AD3C82" w:rsidRDefault="00AD3C82" w:rsidP="00AD3C82">
      <w:pPr>
        <w:pStyle w:val="TextoNormalSangraFrancesa"/>
        <w:rPr>
          <w:rStyle w:val="TextoNormalCaracter"/>
        </w:rPr>
      </w:pPr>
      <w:bookmarkStart w:id="907" w:name="DESCRIPTORALFABETICO257"/>
      <w:r w:rsidRPr="00AD3C82">
        <w:rPr>
          <w:rStyle w:val="TextoNormalNegritaCaracter"/>
        </w:rPr>
        <w:t>Aclaración de doctrina constitucional</w:t>
      </w:r>
      <w:bookmarkEnd w:id="907"/>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 3; </w:t>
      </w:r>
      <w:hyperlink w:anchor="SENTENCIA_2016_133" w:history="1">
        <w:r w:rsidRPr="00AD3C82">
          <w:rPr>
            <w:rStyle w:val="TextoNormalCaracter"/>
          </w:rPr>
          <w:t>133/2016</w:t>
        </w:r>
      </w:hyperlink>
      <w:r w:rsidRPr="00AD3C82">
        <w:rPr>
          <w:rStyle w:val="TextoNormalCaracter"/>
        </w:rPr>
        <w:t xml:space="preserve">, f. 2; </w:t>
      </w:r>
      <w:hyperlink w:anchor="SENTENCIA_2016_149" w:history="1">
        <w:r w:rsidRPr="00AD3C82">
          <w:rPr>
            <w:rStyle w:val="TextoNormalCaracter"/>
          </w:rPr>
          <w:t>149/2016</w:t>
        </w:r>
      </w:hyperlink>
      <w:r w:rsidRPr="00AD3C82">
        <w:rPr>
          <w:rStyle w:val="TextoNormalCaracter"/>
        </w:rPr>
        <w:t xml:space="preserve">, f. 2; </w:t>
      </w:r>
      <w:hyperlink w:anchor="SENTENCIA_2016_161" w:history="1">
        <w:r w:rsidRPr="00AD3C82">
          <w:rPr>
            <w:rStyle w:val="TextoNormalCaracter"/>
          </w:rPr>
          <w:t>161/2016</w:t>
        </w:r>
      </w:hyperlink>
      <w:r w:rsidRPr="00AD3C82">
        <w:rPr>
          <w:rStyle w:val="TextoNormalCaracter"/>
        </w:rPr>
        <w:t xml:space="preserve">, f. 2; </w:t>
      </w:r>
      <w:hyperlink w:anchor="SENTENCIA_2016_163" w:history="1">
        <w:r w:rsidRPr="00AD3C82">
          <w:rPr>
            <w:rStyle w:val="TextoNormalCaracter"/>
          </w:rPr>
          <w:t>163/2016</w:t>
        </w:r>
      </w:hyperlink>
      <w:r w:rsidRPr="00AD3C82">
        <w:rPr>
          <w:rStyle w:val="TextoNormalCaracter"/>
        </w:rPr>
        <w:t xml:space="preserve">, f. 2; </w:t>
      </w:r>
      <w:hyperlink w:anchor="SENTENCIA_2016_166" w:history="1">
        <w:r w:rsidRPr="00AD3C82">
          <w:rPr>
            <w:rStyle w:val="TextoNormalCaracter"/>
          </w:rPr>
          <w:t>166/2016</w:t>
        </w:r>
      </w:hyperlink>
      <w:r w:rsidRPr="00AD3C82">
        <w:rPr>
          <w:rStyle w:val="TextoNormalCaracter"/>
        </w:rPr>
        <w:t xml:space="preserve">, f. 2; </w:t>
      </w:r>
      <w:hyperlink w:anchor="SENTENCIA_2016_173" w:history="1">
        <w:r w:rsidRPr="00AD3C82">
          <w:rPr>
            <w:rStyle w:val="TextoNormalCaracter"/>
          </w:rPr>
          <w:t>173/2016</w:t>
        </w:r>
      </w:hyperlink>
      <w:r w:rsidRPr="00AD3C82">
        <w:rPr>
          <w:rStyle w:val="TextoNormalCaracter"/>
        </w:rPr>
        <w:t xml:space="preserve">, f. 2; </w:t>
      </w:r>
      <w:hyperlink w:anchor="SENTENCIA_2016_212" w:history="1">
        <w:r w:rsidRPr="00AD3C82">
          <w:rPr>
            <w:rStyle w:val="TextoNormalCaracter"/>
          </w:rPr>
          <w:t>212/2016</w:t>
        </w:r>
      </w:hyperlink>
      <w:r w:rsidRPr="00AD3C82">
        <w:rPr>
          <w:rStyle w:val="TextoNormalCaracter"/>
        </w:rPr>
        <w:t xml:space="preserve">, f. 2; </w:t>
      </w:r>
      <w:hyperlink w:anchor="SENTENCIA_2016_222" w:history="1">
        <w:r w:rsidRPr="00AD3C82">
          <w:rPr>
            <w:rStyle w:val="TextoNormalCaracter"/>
          </w:rPr>
          <w:t>222/2016</w:t>
        </w:r>
      </w:hyperlink>
      <w:r w:rsidRPr="00AD3C82">
        <w:rPr>
          <w:rStyle w:val="TextoNormalCaracter"/>
        </w:rPr>
        <w:t>, f. 2.</w:t>
      </w:r>
    </w:p>
    <w:p w:rsidR="00AD3C82" w:rsidRPr="00AD3C82" w:rsidRDefault="00AD3C82" w:rsidP="00AD3C82">
      <w:pPr>
        <w:pStyle w:val="TextoNormalSangraFrancesa"/>
        <w:rPr>
          <w:rStyle w:val="TextoNormalCaracter"/>
        </w:rPr>
      </w:pPr>
      <w:bookmarkStart w:id="908" w:name="DESCRIPTORALFABETICO590"/>
      <w:r w:rsidRPr="00AD3C82">
        <w:rPr>
          <w:rStyle w:val="TextoNormalNegritaCaracter"/>
        </w:rPr>
        <w:t>Acoso sexual en el trabajo</w:t>
      </w:r>
      <w:bookmarkEnd w:id="908"/>
      <w:r w:rsidRPr="00AD3C82">
        <w:rPr>
          <w:rStyle w:val="TextoNormalCaracter"/>
        </w:rPr>
        <w:t xml:space="preserve">, Sentencia </w:t>
      </w:r>
      <w:hyperlink w:anchor="SENTENCIA_2016_159" w:history="1">
        <w:r w:rsidRPr="00AD3C82">
          <w:rPr>
            <w:rStyle w:val="TextoNormalCaracter"/>
          </w:rPr>
          <w:t>159/2016</w:t>
        </w:r>
      </w:hyperlink>
      <w:r w:rsidRPr="00AD3C82">
        <w:rPr>
          <w:rStyle w:val="TextoNormalCaracter"/>
        </w:rPr>
        <w:t>, f. 3.</w:t>
      </w:r>
    </w:p>
    <w:p w:rsidR="00AD3C82" w:rsidRPr="00AD3C82" w:rsidRDefault="00AD3C82" w:rsidP="00AD3C82">
      <w:pPr>
        <w:pStyle w:val="TextoNormalSangraFrancesa"/>
        <w:rPr>
          <w:rStyle w:val="TextoNormalCaracter"/>
        </w:rPr>
      </w:pPr>
      <w:bookmarkStart w:id="909" w:name="DESCRIPTORALFABETICO657"/>
      <w:r w:rsidRPr="00AD3C82">
        <w:rPr>
          <w:rStyle w:val="TextoNormalNegritaCaracter"/>
        </w:rPr>
        <w:t>Acreditación por las personas jurídicas de la voluntad de interponer recurso contencioso-administrativo</w:t>
      </w:r>
      <w:bookmarkEnd w:id="909"/>
      <w:r w:rsidRPr="00AD3C82">
        <w:rPr>
          <w:rStyle w:val="TextoNormalCaracter"/>
        </w:rPr>
        <w:t xml:space="preserve">, Sentencia </w:t>
      </w:r>
      <w:hyperlink w:anchor="SENTENCIA_2016_163" w:history="1">
        <w:r w:rsidRPr="00AD3C82">
          <w:rPr>
            <w:rStyle w:val="TextoNormalCaracter"/>
          </w:rPr>
          <w:t>163/2016</w:t>
        </w:r>
      </w:hyperlink>
      <w:r w:rsidRPr="00AD3C82">
        <w:rPr>
          <w:rStyle w:val="TextoNormalCaracter"/>
        </w:rPr>
        <w:t>, ff. 1, 5.</w:t>
      </w:r>
    </w:p>
    <w:p w:rsidR="00AD3C82" w:rsidRPr="00AD3C82" w:rsidRDefault="00AD3C82" w:rsidP="00AD3C82">
      <w:pPr>
        <w:pStyle w:val="TextoNormalSangraFrancesa"/>
        <w:rPr>
          <w:rStyle w:val="TextoNormalCaracter"/>
        </w:rPr>
      </w:pPr>
      <w:bookmarkStart w:id="910" w:name="DESCRIPTORALFABETICO328"/>
      <w:r w:rsidRPr="00AD3C82">
        <w:rPr>
          <w:rStyle w:val="TextoNormalNegritaCaracter"/>
        </w:rPr>
        <w:t>Actos parlamentarios internos</w:t>
      </w:r>
      <w:bookmarkEnd w:id="910"/>
      <w:r w:rsidRPr="00AD3C82">
        <w:rPr>
          <w:rStyle w:val="TextoNormalCaracter"/>
        </w:rPr>
        <w:t xml:space="preserve">, Sentencias </w:t>
      </w:r>
      <w:hyperlink w:anchor="SENTENCIA_2016_224" w:history="1">
        <w:r w:rsidRPr="00AD3C82">
          <w:rPr>
            <w:rStyle w:val="TextoNormalCaracter"/>
          </w:rPr>
          <w:t>224/2016</w:t>
        </w:r>
      </w:hyperlink>
      <w:r w:rsidRPr="00AD3C82">
        <w:rPr>
          <w:rStyle w:val="TextoNormalCaracter"/>
        </w:rPr>
        <w:t xml:space="preserve">, ff. 1 a 5; </w:t>
      </w:r>
      <w:hyperlink w:anchor="SENTENCIA_2016_225" w:history="1">
        <w:r w:rsidRPr="00AD3C82">
          <w:rPr>
            <w:rStyle w:val="TextoNormalCaracter"/>
          </w:rPr>
          <w:t>225/2016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911" w:name="DESCRIPTORALFABETICO607"/>
      <w:r w:rsidRPr="00AD3C82">
        <w:rPr>
          <w:rStyle w:val="TextoNormalNegritaCaracter"/>
        </w:rPr>
        <w:t>Actuaciones judiciales</w:t>
      </w:r>
      <w:bookmarkEnd w:id="911"/>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3.</w:t>
      </w:r>
    </w:p>
    <w:p w:rsidR="00AD3C82" w:rsidRPr="00AD3C82" w:rsidRDefault="00AD3C82" w:rsidP="00AD3C82">
      <w:pPr>
        <w:pStyle w:val="TextoNormalSangraFrancesa"/>
        <w:rPr>
          <w:rStyle w:val="TextoNormalCaracter"/>
        </w:rPr>
      </w:pPr>
      <w:bookmarkStart w:id="912" w:name="DESCRIPTORALFABETICO339"/>
      <w:r w:rsidRPr="00AD3C82">
        <w:rPr>
          <w:rStyle w:val="TextoNormalNegritaCaracter"/>
        </w:rPr>
        <w:t>Acuerdo de la Mesa inadmitiendo proposición no de ley</w:t>
      </w:r>
      <w:bookmarkEnd w:id="912"/>
      <w:r w:rsidRPr="00AD3C82">
        <w:rPr>
          <w:rStyle w:val="TextoNormalCaracter"/>
        </w:rPr>
        <w:t xml:space="preserve">, Sentencia </w:t>
      </w:r>
      <w:hyperlink w:anchor="SENTENCIA_2016_212" w:history="1">
        <w:r w:rsidRPr="00AD3C82">
          <w:rPr>
            <w:rStyle w:val="TextoNormalCaracter"/>
          </w:rPr>
          <w:t>212/2016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913" w:name="DESCRIPTORALFABETICO338"/>
      <w:r w:rsidRPr="00AD3C82">
        <w:rPr>
          <w:rStyle w:val="TextoNormalNegritaCaracter"/>
        </w:rPr>
        <w:t>Acuerdos de las mesas parlamentarias</w:t>
      </w:r>
      <w:bookmarkEnd w:id="913"/>
      <w:r w:rsidRPr="00AD3C82">
        <w:rPr>
          <w:rStyle w:val="TextoNormalCaracter"/>
        </w:rPr>
        <w:t xml:space="preserve">, Sentencias </w:t>
      </w:r>
      <w:hyperlink w:anchor="SENTENCIA_2016_224" w:history="1">
        <w:r w:rsidRPr="00AD3C82">
          <w:rPr>
            <w:rStyle w:val="TextoNormalCaracter"/>
          </w:rPr>
          <w:t>224/2016</w:t>
        </w:r>
      </w:hyperlink>
      <w:r w:rsidRPr="00AD3C82">
        <w:rPr>
          <w:rStyle w:val="TextoNormalCaracter"/>
        </w:rPr>
        <w:t xml:space="preserve">, ff. 1, 3 a 5; </w:t>
      </w:r>
      <w:hyperlink w:anchor="SENTENCIA_2016_225" w:history="1">
        <w:r w:rsidRPr="00AD3C82">
          <w:rPr>
            <w:rStyle w:val="TextoNormalCaracter"/>
          </w:rPr>
          <w:t>225/2016</w:t>
        </w:r>
      </w:hyperlink>
      <w:r w:rsidRPr="00AD3C82">
        <w:rPr>
          <w:rStyle w:val="TextoNormalCaracter"/>
        </w:rPr>
        <w:t>, ff. 1, 3 a 5.</w:t>
      </w:r>
    </w:p>
    <w:p w:rsidR="00AD3C82" w:rsidRPr="00AD3C82" w:rsidRDefault="00AD3C82" w:rsidP="00AD3C82">
      <w:pPr>
        <w:pStyle w:val="TextoNormalSangraFrancesa"/>
        <w:rPr>
          <w:rStyle w:val="TextoNormalCaracter"/>
        </w:rPr>
      </w:pPr>
      <w:bookmarkStart w:id="914" w:name="DESCRIPTORALFABETICO673"/>
      <w:r w:rsidRPr="00AD3C82">
        <w:rPr>
          <w:rStyle w:val="TextoNormalNegritaCaracter"/>
        </w:rPr>
        <w:t>Acumulación de condenas</w:t>
      </w:r>
      <w:bookmarkEnd w:id="914"/>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915" w:name="DESCRIPTORALFABETICO295"/>
      <w:r w:rsidRPr="00AD3C82">
        <w:rPr>
          <w:rStyle w:val="TextoNormalNegritaCaracter"/>
        </w:rPr>
        <w:t>Administración autonómica</w:t>
      </w:r>
      <w:bookmarkEnd w:id="915"/>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1, 4 a 6, 8.</w:t>
      </w:r>
    </w:p>
    <w:p w:rsidR="00AD3C82" w:rsidRPr="00AD3C82" w:rsidRDefault="00AD3C82" w:rsidP="00AD3C82">
      <w:pPr>
        <w:pStyle w:val="TextoNormalSangraFrancesa"/>
        <w:rPr>
          <w:rStyle w:val="TextoNormalCaracter"/>
        </w:rPr>
      </w:pPr>
      <w:bookmarkStart w:id="916" w:name="DESCRIPTORALFABETICO540"/>
      <w:r w:rsidRPr="00AD3C82">
        <w:rPr>
          <w:rStyle w:val="TextoNormalNegritaCaracter"/>
        </w:rPr>
        <w:t>Administradores de sociedades</w:t>
      </w:r>
      <w:bookmarkEnd w:id="916"/>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917" w:name="DESCRIPTORALFABETICO658"/>
      <w:r w:rsidRPr="00AD3C82">
        <w:rPr>
          <w:rStyle w:val="TextoNormalNegritaCaracter"/>
        </w:rPr>
        <w:t>Admisión de recurso de suplicación</w:t>
      </w:r>
      <w:bookmarkEnd w:id="917"/>
      <w:r w:rsidRPr="00AD3C82">
        <w:rPr>
          <w:rStyle w:val="TextoNormalCaracter"/>
        </w:rPr>
        <w:t xml:space="preserve">, Sentencias </w:t>
      </w:r>
      <w:hyperlink w:anchor="SENTENCIA_2016_173" w:history="1">
        <w:r w:rsidRPr="00AD3C82">
          <w:rPr>
            <w:rStyle w:val="TextoNormalCaracter"/>
          </w:rPr>
          <w:t>173/2016</w:t>
        </w:r>
      </w:hyperlink>
      <w:r w:rsidRPr="00AD3C82">
        <w:rPr>
          <w:rStyle w:val="TextoNormalCaracter"/>
        </w:rPr>
        <w:t xml:space="preserve">, ff. 1, 4, 5; </w:t>
      </w:r>
      <w:hyperlink w:anchor="SENTENCIA_2016_176" w:history="1">
        <w:r w:rsidRPr="00AD3C82">
          <w:rPr>
            <w:rStyle w:val="TextoNormalCaracter"/>
          </w:rPr>
          <w:t>176/2016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918" w:name="DESCRIPTORALFABETICO289"/>
      <w:r w:rsidRPr="00AD3C82">
        <w:rPr>
          <w:rStyle w:val="TextoNormalNegritaCaracter"/>
        </w:rPr>
        <w:t>Afiliados a partidos políticos</w:t>
      </w:r>
      <w:bookmarkEnd w:id="918"/>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ff. 1, 2, 4, 6, 7, 9, 10.</w:t>
      </w:r>
    </w:p>
    <w:p w:rsidR="00AD3C82" w:rsidRPr="00AD3C82" w:rsidRDefault="00AD3C82" w:rsidP="00AD3C82">
      <w:pPr>
        <w:pStyle w:val="TextoNormalSangraFrancesa"/>
        <w:rPr>
          <w:rStyle w:val="TextoNormalCaracter"/>
        </w:rPr>
      </w:pPr>
      <w:bookmarkStart w:id="919" w:name="DESCRIPTORALFABETICO480"/>
      <w:r w:rsidRPr="00AD3C82">
        <w:rPr>
          <w:rStyle w:val="TextoNormalNegritaCaracter"/>
        </w:rPr>
        <w:t>Agentes diplomáticos</w:t>
      </w:r>
      <w:bookmarkEnd w:id="919"/>
      <w:r w:rsidRPr="00AD3C82">
        <w:rPr>
          <w:rStyle w:val="TextoNormalCaracter"/>
        </w:rPr>
        <w:t xml:space="preserve">, Sentencia </w:t>
      </w:r>
      <w:hyperlink w:anchor="SENTENCIA_2016_228" w:history="1">
        <w:r w:rsidRPr="00AD3C82">
          <w:rPr>
            <w:rStyle w:val="TextoNormalCaracter"/>
          </w:rPr>
          <w:t>228/2016</w:t>
        </w:r>
      </w:hyperlink>
      <w:r w:rsidRPr="00AD3C82">
        <w:rPr>
          <w:rStyle w:val="TextoNormalCaracter"/>
        </w:rPr>
        <w:t>, ff. 10, 11, VVPP I, II.</w:t>
      </w:r>
    </w:p>
    <w:p w:rsidR="00AD3C82" w:rsidRPr="00AD3C82" w:rsidRDefault="00AD3C82" w:rsidP="00AD3C82">
      <w:pPr>
        <w:pStyle w:val="TextoNormalSangraFrancesa"/>
        <w:rPr>
          <w:rStyle w:val="TextoNormalCaracter"/>
        </w:rPr>
      </w:pPr>
      <w:bookmarkStart w:id="920" w:name="DESCRIPTORALFABETICO255"/>
      <w:r w:rsidRPr="00AD3C82">
        <w:rPr>
          <w:rStyle w:val="TextoNormalNegritaCaracter"/>
        </w:rPr>
        <w:t>Agotamiento de la vía judicial</w:t>
      </w:r>
      <w:bookmarkEnd w:id="920"/>
      <w:r w:rsidRPr="00AD3C82">
        <w:rPr>
          <w:rStyle w:val="TextoNormalCaracter"/>
        </w:rPr>
        <w:t xml:space="preserve">, Sentencias </w:t>
      </w:r>
      <w:hyperlink w:anchor="SENTENCIA_2016_207" w:history="1">
        <w:r w:rsidRPr="00AD3C82">
          <w:rPr>
            <w:rStyle w:val="TextoNormalCaracter"/>
          </w:rPr>
          <w:t>207/2016</w:t>
        </w:r>
      </w:hyperlink>
      <w:r w:rsidRPr="00AD3C82">
        <w:rPr>
          <w:rStyle w:val="TextoNormalCaracter"/>
        </w:rPr>
        <w:t xml:space="preserve">, f. 3; </w:t>
      </w:r>
      <w:hyperlink w:anchor="SENTENCIA_2016_218" w:history="1">
        <w:r w:rsidRPr="00AD3C82">
          <w:rPr>
            <w:rStyle w:val="TextoNormalCaracter"/>
          </w:rPr>
          <w:t>218/2016</w:t>
        </w:r>
      </w:hyperlink>
      <w:r w:rsidRPr="00AD3C82">
        <w:rPr>
          <w:rStyle w:val="TextoNormalCaracter"/>
        </w:rPr>
        <w:t xml:space="preserve">, f. 3; </w:t>
      </w:r>
      <w:hyperlink w:anchor="SENTENCIA_2016_221" w:history="1">
        <w:r w:rsidRPr="00AD3C82">
          <w:rPr>
            <w:rStyle w:val="TextoNormalCaracter"/>
          </w:rPr>
          <w:t>221/2016</w:t>
        </w:r>
      </w:hyperlink>
      <w:r w:rsidRPr="00AD3C82">
        <w:rPr>
          <w:rStyle w:val="TextoNormalCaracter"/>
        </w:rPr>
        <w:t>, f. 3.</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49" w:history="1">
        <w:r w:rsidRPr="00AD3C82">
          <w:rPr>
            <w:rStyle w:val="TextoNormalCaracter"/>
          </w:rPr>
          <w:t>149/2016</w:t>
        </w:r>
      </w:hyperlink>
      <w:r w:rsidRPr="00AD3C82">
        <w:rPr>
          <w:rStyle w:val="TextoNormalCaracter"/>
        </w:rPr>
        <w:t xml:space="preserve">, f. 2; </w:t>
      </w:r>
      <w:hyperlink w:anchor="AUTO_2016_192" w:history="1">
        <w:r w:rsidRPr="00AD3C82">
          <w:rPr>
            <w:rStyle w:val="TextoNormalCaracter"/>
          </w:rPr>
          <w:t>192/2016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921" w:name="DESCRIPTORALFABETICO254"/>
      <w:r w:rsidRPr="00AD3C82">
        <w:rPr>
          <w:rStyle w:val="TextoNormalNegritaCaracter"/>
        </w:rPr>
        <w:t>Agotamiento de la vía previa</w:t>
      </w:r>
      <w:bookmarkEnd w:id="921"/>
      <w:r w:rsidRPr="00AD3C82">
        <w:rPr>
          <w:rStyle w:val="TextoNormalCaracter"/>
        </w:rPr>
        <w:t xml:space="preserve">, Auto </w:t>
      </w:r>
      <w:hyperlink w:anchor="AUTO_2016_181" w:history="1">
        <w:r w:rsidRPr="00AD3C82">
          <w:rPr>
            <w:rStyle w:val="TextoNormalCaracter"/>
          </w:rPr>
          <w:t>181/2016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922" w:name="DESCRIPTORALFABETICO237"/>
      <w:r w:rsidRPr="00AD3C82">
        <w:rPr>
          <w:rStyle w:val="TextoNormalNegritaCaracter"/>
        </w:rPr>
        <w:t>Alcance del fallo en recurso de inconstitucionalidad</w:t>
      </w:r>
      <w:bookmarkEnd w:id="922"/>
      <w:r w:rsidRPr="00AD3C82">
        <w:rPr>
          <w:rStyle w:val="TextoNormalCaracter"/>
        </w:rPr>
        <w:t xml:space="preserve">, Sentencias </w:t>
      </w:r>
      <w:hyperlink w:anchor="SENTENCIA_2016_125" w:history="1">
        <w:r w:rsidRPr="00AD3C82">
          <w:rPr>
            <w:rStyle w:val="TextoNormalCaracter"/>
          </w:rPr>
          <w:t>125/2016</w:t>
        </w:r>
      </w:hyperlink>
      <w:r w:rsidRPr="00AD3C82">
        <w:rPr>
          <w:rStyle w:val="TextoNormalCaracter"/>
        </w:rPr>
        <w:t xml:space="preserve">, f. 5; </w:t>
      </w:r>
      <w:hyperlink w:anchor="SENTENCIA_2016_126" w:history="1">
        <w:r w:rsidRPr="00AD3C82">
          <w:rPr>
            <w:rStyle w:val="TextoNormalCaracter"/>
          </w:rPr>
          <w:t>126/2016</w:t>
        </w:r>
      </w:hyperlink>
      <w:r w:rsidRPr="00AD3C82">
        <w:rPr>
          <w:rStyle w:val="TextoNormalCaracter"/>
        </w:rPr>
        <w:t xml:space="preserve">, f. 7; </w:t>
      </w:r>
      <w:hyperlink w:anchor="SENTENCIA_2016_169" w:history="1">
        <w:r w:rsidRPr="00AD3C82">
          <w:rPr>
            <w:rStyle w:val="TextoNormalCaracter"/>
          </w:rPr>
          <w:t>169/2016</w:t>
        </w:r>
      </w:hyperlink>
      <w:r w:rsidRPr="00AD3C82">
        <w:rPr>
          <w:rStyle w:val="TextoNormalCaracter"/>
        </w:rPr>
        <w:t xml:space="preserve">, f. 4; </w:t>
      </w:r>
      <w:hyperlink w:anchor="SENTENCIA_2016_192" w:history="1">
        <w:r w:rsidRPr="00AD3C82">
          <w:rPr>
            <w:rStyle w:val="TextoNormalCaracter"/>
          </w:rPr>
          <w:t>192/2016</w:t>
        </w:r>
      </w:hyperlink>
      <w:r w:rsidRPr="00AD3C82">
        <w:rPr>
          <w:rStyle w:val="TextoNormalCaracter"/>
        </w:rPr>
        <w:t>, f. 5.</w:t>
      </w:r>
    </w:p>
    <w:p w:rsidR="00AD3C82" w:rsidRPr="00AD3C82" w:rsidRDefault="00AD3C82" w:rsidP="00AD3C82">
      <w:pPr>
        <w:pStyle w:val="TextoNormalSangraFrancesa"/>
        <w:rPr>
          <w:rStyle w:val="TextoNormalCaracter"/>
        </w:rPr>
      </w:pPr>
      <w:bookmarkStart w:id="923" w:name="DESCRIPTORALFABETICO7"/>
      <w:r w:rsidRPr="00AD3C82">
        <w:rPr>
          <w:rStyle w:val="TextoNormalNegritaCaracter"/>
        </w:rPr>
        <w:t>Ámbito territorial supraautonómico</w:t>
      </w:r>
      <w:bookmarkEnd w:id="923"/>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2.</w:t>
      </w:r>
    </w:p>
    <w:p w:rsidR="00AD3C82" w:rsidRPr="00AD3C82" w:rsidRDefault="00AD3C82" w:rsidP="00AD3C82">
      <w:pPr>
        <w:pStyle w:val="TextoNormalSangraFrancesa"/>
        <w:rPr>
          <w:rStyle w:val="TextoNormalCaracter"/>
        </w:rPr>
      </w:pPr>
      <w:bookmarkStart w:id="924" w:name="DESCRIPTORALFABETICO680"/>
      <w:r w:rsidRPr="00AD3C82">
        <w:rPr>
          <w:rStyle w:val="TextoNormalNegritaCaracter"/>
        </w:rPr>
        <w:t>Andalucía</w:t>
      </w:r>
      <w:bookmarkEnd w:id="924"/>
      <w:r w:rsidRPr="00AD3C82">
        <w:rPr>
          <w:rStyle w:val="TextoNormalCaracter"/>
        </w:rPr>
        <w:t xml:space="preserve">, Sentencias </w:t>
      </w:r>
      <w:hyperlink w:anchor="SENTENCIA_2016_152" w:history="1">
        <w:r w:rsidRPr="00AD3C82">
          <w:rPr>
            <w:rStyle w:val="TextoNormalCaracter"/>
          </w:rPr>
          <w:t>152/2016</w:t>
        </w:r>
      </w:hyperlink>
      <w:r w:rsidRPr="00AD3C82">
        <w:rPr>
          <w:rStyle w:val="TextoNormalCaracter"/>
        </w:rPr>
        <w:t xml:space="preserve">, ff. 1 a 9; </w:t>
      </w:r>
      <w:hyperlink w:anchor="SENTENCIA_2016_193" w:history="1">
        <w:r w:rsidRPr="00AD3C82">
          <w:rPr>
            <w:rStyle w:val="TextoNormalCaracter"/>
          </w:rPr>
          <w:t>193/2016</w:t>
        </w:r>
      </w:hyperlink>
      <w:r w:rsidRPr="00AD3C82">
        <w:rPr>
          <w:rStyle w:val="TextoNormalCaracter"/>
        </w:rPr>
        <w:t xml:space="preserve">, ff. 1 a 5; </w:t>
      </w:r>
      <w:hyperlink w:anchor="SENTENCIA_2016_210" w:history="1">
        <w:r w:rsidRPr="00AD3C82">
          <w:rPr>
            <w:rStyle w:val="TextoNormalCaracter"/>
          </w:rPr>
          <w:t>210/2016</w:t>
        </w:r>
      </w:hyperlink>
      <w:r w:rsidRPr="00AD3C82">
        <w:rPr>
          <w:rStyle w:val="TextoNormalCaracter"/>
        </w:rPr>
        <w:t>, ff. 1, 4, 8.</w:t>
      </w:r>
    </w:p>
    <w:p w:rsidR="00AD3C82" w:rsidRPr="00AD3C82" w:rsidRDefault="00AD3C82" w:rsidP="00AD3C82">
      <w:pPr>
        <w:pStyle w:val="TextoNormalSangraFrancesa"/>
        <w:rPr>
          <w:rStyle w:val="TextoNormalCaracter"/>
        </w:rPr>
      </w:pPr>
      <w:bookmarkStart w:id="925" w:name="DESCRIPTORALFABETICO276"/>
      <w:r w:rsidRPr="00AD3C82">
        <w:rPr>
          <w:rStyle w:val="TextoNormalNegritaCaracter"/>
        </w:rPr>
        <w:t>Aplicación de doctrina tras modificación legislativa</w:t>
      </w:r>
      <w:bookmarkEnd w:id="925"/>
      <w:r w:rsidRPr="00AD3C82">
        <w:rPr>
          <w:rStyle w:val="TextoNormalCaracter"/>
        </w:rPr>
        <w:t xml:space="preserve">, Sentencia </w:t>
      </w:r>
      <w:hyperlink w:anchor="SENTENCIA_2016_137" w:history="1">
        <w:r w:rsidRPr="00AD3C82">
          <w:rPr>
            <w:rStyle w:val="TextoNormalCaracter"/>
          </w:rPr>
          <w:t>137/2016</w:t>
        </w:r>
      </w:hyperlink>
      <w:r w:rsidRPr="00AD3C82">
        <w:rPr>
          <w:rStyle w:val="TextoNormalCaracter"/>
        </w:rPr>
        <w:t>, f. 2.</w:t>
      </w:r>
    </w:p>
    <w:p w:rsidR="00AD3C82" w:rsidRPr="00AD3C82" w:rsidRDefault="00AD3C82" w:rsidP="00AD3C82">
      <w:pPr>
        <w:pStyle w:val="TextoNormalSangraFrancesa"/>
        <w:rPr>
          <w:rStyle w:val="TextoNormalCaracter"/>
        </w:rPr>
      </w:pPr>
      <w:bookmarkStart w:id="926" w:name="DESCRIPTORALFABETICO477"/>
      <w:r w:rsidRPr="00AD3C82">
        <w:rPr>
          <w:rStyle w:val="TextoNormalNegritaCaracter"/>
        </w:rPr>
        <w:t>Aplicación del Derecho de la Unión Europea</w:t>
      </w:r>
      <w:bookmarkEnd w:id="926"/>
      <w:r w:rsidRPr="00AD3C82">
        <w:rPr>
          <w:rStyle w:val="TextoNormalCaracter"/>
        </w:rPr>
        <w:t xml:space="preserve">, Sentencia </w:t>
      </w:r>
      <w:hyperlink w:anchor="SENTENCIA_2016_141" w:history="1">
        <w:r w:rsidRPr="00AD3C82">
          <w:rPr>
            <w:rStyle w:val="TextoNormalCaracter"/>
          </w:rPr>
          <w:t>141/2016</w:t>
        </w:r>
      </w:hyperlink>
      <w:r w:rsidRPr="00AD3C82">
        <w:rPr>
          <w:rStyle w:val="TextoNormalCaracter"/>
        </w:rPr>
        <w:t>, ff. 1, 3, 4.</w:t>
      </w:r>
    </w:p>
    <w:p w:rsidR="00AD3C82" w:rsidRPr="00AD3C82" w:rsidRDefault="00AD3C82" w:rsidP="00AD3C82">
      <w:pPr>
        <w:pStyle w:val="TextoNormalSangraFrancesa"/>
        <w:rPr>
          <w:rStyle w:val="TextoNormalCaracter"/>
        </w:rPr>
      </w:pPr>
      <w:bookmarkStart w:id="927" w:name="DESCRIPTORALFABETICO608"/>
      <w:r w:rsidRPr="00AD3C82">
        <w:rPr>
          <w:rStyle w:val="TextoNormalNegritaCaracter"/>
        </w:rPr>
        <w:t>Archivo de causa penal</w:t>
      </w:r>
      <w:bookmarkEnd w:id="927"/>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ff. 1 a 3, 5.</w:t>
      </w:r>
    </w:p>
    <w:p w:rsidR="00AD3C82" w:rsidRPr="00AD3C82" w:rsidRDefault="00AD3C82" w:rsidP="00AD3C82">
      <w:pPr>
        <w:pStyle w:val="TextoNormalSangraFrancesa"/>
        <w:rPr>
          <w:rStyle w:val="TextoNormalCaracter"/>
        </w:rPr>
      </w:pPr>
      <w:bookmarkStart w:id="928" w:name="DESCRIPTORALFABETICO609"/>
      <w:r w:rsidRPr="00AD3C82">
        <w:rPr>
          <w:rStyle w:val="TextoNormalNegritaCaracter"/>
        </w:rPr>
        <w:t>Archivo de demanda</w:t>
      </w:r>
      <w:bookmarkEnd w:id="928"/>
      <w:r w:rsidRPr="00AD3C82">
        <w:rPr>
          <w:rStyle w:val="TextoNormalCaracter"/>
        </w:rPr>
        <w:t xml:space="preserve">, Sentencias </w:t>
      </w:r>
      <w:hyperlink w:anchor="SENTENCIA_2016_148" w:history="1">
        <w:r w:rsidRPr="00AD3C82">
          <w:rPr>
            <w:rStyle w:val="TextoNormalCaracter"/>
          </w:rPr>
          <w:t>148/2016</w:t>
        </w:r>
      </w:hyperlink>
      <w:r w:rsidRPr="00AD3C82">
        <w:rPr>
          <w:rStyle w:val="TextoNormalCaracter"/>
        </w:rPr>
        <w:t xml:space="preserve">, ff. 4, 5; </w:t>
      </w:r>
      <w:hyperlink w:anchor="SENTENCIA_2016_206" w:history="1">
        <w:r w:rsidRPr="00AD3C82">
          <w:rPr>
            <w:rStyle w:val="TextoNormalCaracter"/>
          </w:rPr>
          <w:t>206/2016</w:t>
        </w:r>
      </w:hyperlink>
      <w:r w:rsidRPr="00AD3C82">
        <w:rPr>
          <w:rStyle w:val="TextoNormalCaracter"/>
        </w:rPr>
        <w:t xml:space="preserve">, ff. 2, 3; </w:t>
      </w:r>
      <w:hyperlink w:anchor="SENTENCIA_2016_207" w:history="1">
        <w:r w:rsidRPr="00AD3C82">
          <w:rPr>
            <w:rStyle w:val="TextoNormalCaracter"/>
          </w:rPr>
          <w:t>207/2016</w:t>
        </w:r>
      </w:hyperlink>
      <w:r w:rsidRPr="00AD3C82">
        <w:rPr>
          <w:rStyle w:val="TextoNormalCaracter"/>
        </w:rPr>
        <w:t xml:space="preserve">, ff. 3, 4; </w:t>
      </w:r>
      <w:hyperlink w:anchor="SENTENCIA_2016_208" w:history="1">
        <w:r w:rsidRPr="00AD3C82">
          <w:rPr>
            <w:rStyle w:val="TextoNormalCaracter"/>
          </w:rPr>
          <w:t>208/2016</w:t>
        </w:r>
      </w:hyperlink>
      <w:r w:rsidRPr="00AD3C82">
        <w:rPr>
          <w:rStyle w:val="TextoNormalCaracter"/>
        </w:rPr>
        <w:t xml:space="preserve">, ff. 2, 3; </w:t>
      </w:r>
      <w:hyperlink w:anchor="SENTENCIA_2016_209" w:history="1">
        <w:r w:rsidRPr="00AD3C82">
          <w:rPr>
            <w:rStyle w:val="TextoNormalCaracter"/>
          </w:rPr>
          <w:t>209/2016</w:t>
        </w:r>
      </w:hyperlink>
      <w:r w:rsidRPr="00AD3C82">
        <w:rPr>
          <w:rStyle w:val="TextoNormalCaracter"/>
        </w:rPr>
        <w:t xml:space="preserve">, ff. 2, 3; </w:t>
      </w:r>
      <w:hyperlink w:anchor="SENTENCIA_2016_218" w:history="1">
        <w:r w:rsidRPr="00AD3C82">
          <w:rPr>
            <w:rStyle w:val="TextoNormalCaracter"/>
          </w:rPr>
          <w:t>218/2016</w:t>
        </w:r>
      </w:hyperlink>
      <w:r w:rsidRPr="00AD3C82">
        <w:rPr>
          <w:rStyle w:val="TextoNormalCaracter"/>
        </w:rPr>
        <w:t xml:space="preserve">, ff. 3, 4; </w:t>
      </w:r>
      <w:hyperlink w:anchor="SENTENCIA_2016_221" w:history="1">
        <w:r w:rsidRPr="00AD3C82">
          <w:rPr>
            <w:rStyle w:val="TextoNormalCaracter"/>
          </w:rPr>
          <w:t>221/2016</w:t>
        </w:r>
      </w:hyperlink>
      <w:r w:rsidRPr="00AD3C82">
        <w:rPr>
          <w:rStyle w:val="TextoNormalCaracter"/>
        </w:rPr>
        <w:t xml:space="preserve">, ff. 3, 4; </w:t>
      </w:r>
      <w:hyperlink w:anchor="SENTENCIA_2016_223" w:history="1">
        <w:r w:rsidRPr="00AD3C82">
          <w:rPr>
            <w:rStyle w:val="TextoNormalCaracter"/>
          </w:rPr>
          <w:t>223/2016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929" w:name="DESCRIPTORALFABETICO463"/>
      <w:r w:rsidRPr="00AD3C82">
        <w:rPr>
          <w:rStyle w:val="TextoNormalNegritaCaracter"/>
        </w:rPr>
        <w:t>Arraigo familiar</w:t>
      </w:r>
      <w:bookmarkEnd w:id="929"/>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930" w:name="DESCRIPTORALFABETICO642"/>
      <w:r w:rsidRPr="00AD3C82">
        <w:rPr>
          <w:rStyle w:val="TextoNormalNegritaCaracter"/>
        </w:rPr>
        <w:t>Asistencia inadecuada del procurador</w:t>
      </w:r>
      <w:bookmarkEnd w:id="930"/>
      <w:r w:rsidRPr="00AD3C82">
        <w:rPr>
          <w:rStyle w:val="TextoNormalCaracter"/>
        </w:rPr>
        <w:t xml:space="preserve">, Sentencia </w:t>
      </w:r>
      <w:hyperlink w:anchor="SENTENCIA_2016_222" w:history="1">
        <w:r w:rsidRPr="00AD3C82">
          <w:rPr>
            <w:rStyle w:val="TextoNormalCaracter"/>
          </w:rPr>
          <w:t>222/2016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931" w:name="DESCRIPTORALFABETICO551"/>
      <w:r w:rsidRPr="00AD3C82">
        <w:rPr>
          <w:rStyle w:val="TextoNormalNegritaCaracter"/>
        </w:rPr>
        <w:t>Asistencia social</w:t>
      </w:r>
      <w:bookmarkEnd w:id="931"/>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9 B) y C).</w:t>
      </w:r>
    </w:p>
    <w:p w:rsidR="00AD3C82" w:rsidRPr="00AD3C82" w:rsidRDefault="00AD3C82" w:rsidP="00AD3C82">
      <w:pPr>
        <w:pStyle w:val="TextoNormalSangraFrancesa"/>
        <w:rPr>
          <w:rStyle w:val="TextoNormalCaracter"/>
        </w:rPr>
      </w:pPr>
      <w:bookmarkStart w:id="932" w:name="DESCRIPTORALFABETICO561"/>
      <w:r w:rsidRPr="00AD3C82">
        <w:rPr>
          <w:rStyle w:val="TextoNormalNegritaCaracter"/>
        </w:rPr>
        <w:t>Atención farmacéutica</w:t>
      </w:r>
      <w:bookmarkEnd w:id="932"/>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11.</w:t>
      </w:r>
    </w:p>
    <w:p w:rsidR="00AD3C82" w:rsidRPr="00AD3C82" w:rsidRDefault="00AD3C82" w:rsidP="00AD3C82">
      <w:pPr>
        <w:pStyle w:val="TextoNormalSangraFrancesa"/>
        <w:rPr>
          <w:rStyle w:val="TextoNormalCaracter"/>
        </w:rPr>
      </w:pPr>
      <w:bookmarkStart w:id="933" w:name="DESCRIPTORALFABETICO667"/>
      <w:r w:rsidRPr="00AD3C82">
        <w:rPr>
          <w:rStyle w:val="TextoNormalNegritaCaracter"/>
        </w:rPr>
        <w:t>Atestado policial</w:t>
      </w:r>
      <w:bookmarkEnd w:id="933"/>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934" w:name="DESCRIPTORALFABETICO2"/>
      <w:r w:rsidRPr="00AD3C82">
        <w:rPr>
          <w:rStyle w:val="TextoNormalNegritaCaracter"/>
        </w:rPr>
        <w:t>Atribución de competencias</w:t>
      </w:r>
      <w:bookmarkEnd w:id="934"/>
      <w:r w:rsidRPr="00AD3C82">
        <w:rPr>
          <w:rStyle w:val="TextoNormalCaracter"/>
        </w:rPr>
        <w:t xml:space="preserve">, Sentencia </w:t>
      </w:r>
      <w:hyperlink w:anchor="SENTENCIA_2016_178" w:history="1">
        <w:r w:rsidRPr="00AD3C82">
          <w:rPr>
            <w:rStyle w:val="TextoNormalCaracter"/>
          </w:rPr>
          <w:t>178/2016</w:t>
        </w:r>
      </w:hyperlink>
      <w:r w:rsidRPr="00AD3C82">
        <w:rPr>
          <w:rStyle w:val="TextoNormalCaracter"/>
        </w:rPr>
        <w:t>, ff. 2, 3, 4.</w:t>
      </w:r>
    </w:p>
    <w:p w:rsidR="00AD3C82" w:rsidRPr="00AD3C82" w:rsidRDefault="00AD3C82" w:rsidP="00AD3C82">
      <w:pPr>
        <w:pStyle w:val="TextoNormalSangraFrancesa"/>
        <w:rPr>
          <w:rStyle w:val="TextoNormalCaracter"/>
        </w:rPr>
      </w:pPr>
      <w:bookmarkStart w:id="935" w:name="DESCRIPTORALFABETICO217"/>
      <w:r w:rsidRPr="00AD3C82">
        <w:rPr>
          <w:rStyle w:val="TextoNormalNegritaCaracter"/>
        </w:rPr>
        <w:t>Audiencia previa a las partes</w:t>
      </w:r>
      <w:bookmarkEnd w:id="935"/>
      <w:r w:rsidRPr="00AD3C82">
        <w:rPr>
          <w:rStyle w:val="TextoNormalCaracter"/>
        </w:rPr>
        <w:t xml:space="preserve">, Auto </w:t>
      </w:r>
      <w:hyperlink w:anchor="AUTO_2016_142" w:history="1">
        <w:r w:rsidRPr="00AD3C82">
          <w:rPr>
            <w:rStyle w:val="TextoNormalCaracter"/>
          </w:rPr>
          <w:t>142/2016</w:t>
        </w:r>
      </w:hyperlink>
      <w:r w:rsidRPr="00AD3C82">
        <w:rPr>
          <w:rStyle w:val="TextoNormalCaracter"/>
        </w:rPr>
        <w:t>, f. 2.</w:t>
      </w:r>
    </w:p>
    <w:p w:rsidR="00AD3C82" w:rsidRPr="00AD3C82" w:rsidRDefault="00AD3C82" w:rsidP="00AD3C82">
      <w:pPr>
        <w:pStyle w:val="TextoNormalSangraFrancesa"/>
        <w:rPr>
          <w:rStyle w:val="TextoNormalCaracter"/>
        </w:rPr>
      </w:pPr>
      <w:bookmarkStart w:id="936" w:name="DESCRIPTORALFABETICO258"/>
      <w:r w:rsidRPr="00AD3C82">
        <w:rPr>
          <w:rStyle w:val="TextoNormalNegritaCaracter"/>
        </w:rPr>
        <w:t>Ausencia de doctrina constitucional</w:t>
      </w:r>
      <w:bookmarkEnd w:id="936"/>
      <w:r w:rsidRPr="00AD3C82">
        <w:rPr>
          <w:rStyle w:val="TextoNormalCaracter"/>
        </w:rPr>
        <w:t xml:space="preserve">, Sentencias </w:t>
      </w:r>
      <w:hyperlink w:anchor="SENTENCIA_2016_129" w:history="1">
        <w:r w:rsidRPr="00AD3C82">
          <w:rPr>
            <w:rStyle w:val="TextoNormalCaracter"/>
          </w:rPr>
          <w:t>129/2016</w:t>
        </w:r>
      </w:hyperlink>
      <w:r w:rsidRPr="00AD3C82">
        <w:rPr>
          <w:rStyle w:val="TextoNormalCaracter"/>
        </w:rPr>
        <w:t xml:space="preserve">, f. 2; </w:t>
      </w:r>
      <w:hyperlink w:anchor="SENTENCIA_2016_132" w:history="1">
        <w:r w:rsidRPr="00AD3C82">
          <w:rPr>
            <w:rStyle w:val="TextoNormalCaracter"/>
          </w:rPr>
          <w:t>132/2016</w:t>
        </w:r>
      </w:hyperlink>
      <w:r w:rsidRPr="00AD3C82">
        <w:rPr>
          <w:rStyle w:val="TextoNormalCaracter"/>
        </w:rPr>
        <w:t xml:space="preserve">, f. 2 b); </w:t>
      </w:r>
      <w:hyperlink w:anchor="SENTENCIA_2016_224" w:history="1">
        <w:r w:rsidRPr="00AD3C82">
          <w:rPr>
            <w:rStyle w:val="TextoNormalCaracter"/>
          </w:rPr>
          <w:t>224/2016</w:t>
        </w:r>
      </w:hyperlink>
      <w:r w:rsidRPr="00AD3C82">
        <w:rPr>
          <w:rStyle w:val="TextoNormalCaracter"/>
        </w:rPr>
        <w:t>.</w:t>
      </w:r>
    </w:p>
    <w:p w:rsidR="00AD3C82" w:rsidRPr="00AD3C82" w:rsidRDefault="00AD3C82" w:rsidP="00AD3C82">
      <w:pPr>
        <w:pStyle w:val="TextoNormalSangraFrancesa"/>
        <w:rPr>
          <w:rStyle w:val="TextoNormalCaracter"/>
        </w:rPr>
      </w:pPr>
      <w:bookmarkStart w:id="937" w:name="DESCRIPTORALFABETICO671"/>
      <w:r w:rsidRPr="00AD3C82">
        <w:rPr>
          <w:rStyle w:val="TextoNormalNegritaCaracter"/>
        </w:rPr>
        <w:t>Ausencia de prueba de cargo</w:t>
      </w:r>
      <w:bookmarkEnd w:id="937"/>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1.</w:t>
      </w:r>
    </w:p>
    <w:p w:rsidR="00AD3C82" w:rsidRPr="00AD3C82" w:rsidRDefault="00AD3C82" w:rsidP="00AD3C82">
      <w:pPr>
        <w:pStyle w:val="TextoNormalSangraFrancesa"/>
        <w:rPr>
          <w:rStyle w:val="TextoNormalCaracter"/>
        </w:rPr>
      </w:pPr>
      <w:bookmarkStart w:id="938" w:name="DESCRIPTORALFABETICO450"/>
      <w:r w:rsidRPr="00AD3C82">
        <w:rPr>
          <w:rStyle w:val="TextoNormalNegritaCaracter"/>
        </w:rPr>
        <w:t>Autoconsumo</w:t>
      </w:r>
      <w:bookmarkEnd w:id="938"/>
      <w:r w:rsidRPr="00AD3C82">
        <w:rPr>
          <w:rStyle w:val="TextoNormalCaracter"/>
        </w:rPr>
        <w:t xml:space="preserve">, Sentencia </w:t>
      </w:r>
      <w:hyperlink w:anchor="SENTENCIA_2016_205" w:history="1">
        <w:r w:rsidRPr="00AD3C82">
          <w:rPr>
            <w:rStyle w:val="TextoNormalCaracter"/>
          </w:rPr>
          <w:t>205/2016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939" w:name="DESCRIPTORALFABETICO67"/>
      <w:r w:rsidRPr="00AD3C82">
        <w:rPr>
          <w:rStyle w:val="TextoNormalNegritaCaracter"/>
        </w:rPr>
        <w:t>Autonomía financiera</w:t>
      </w:r>
      <w:bookmarkEnd w:id="939"/>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3.</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940" w:name="DESCRIPTORALFABETICO359"/>
      <w:r w:rsidRPr="00AD3C82">
        <w:rPr>
          <w:rStyle w:val="TextoNormalNegritaCaracter"/>
        </w:rPr>
        <w:t>Autonomía local</w:t>
      </w:r>
      <w:bookmarkEnd w:id="940"/>
      <w:r w:rsidRPr="00AD3C82">
        <w:rPr>
          <w:rStyle w:val="TextoNormalCaracter"/>
        </w:rPr>
        <w:t xml:space="preserve">, Sentencias </w:t>
      </w:r>
      <w:hyperlink w:anchor="SENTENCIA_2016_168" w:history="1">
        <w:r w:rsidRPr="00AD3C82">
          <w:rPr>
            <w:rStyle w:val="TextoNormalCaracter"/>
          </w:rPr>
          <w:t>168/2016</w:t>
        </w:r>
      </w:hyperlink>
      <w:r w:rsidRPr="00AD3C82">
        <w:rPr>
          <w:rStyle w:val="TextoNormalCaracter"/>
        </w:rPr>
        <w:t xml:space="preserve">, ff. 3 a 5; </w:t>
      </w:r>
      <w:hyperlink w:anchor="SENTENCIA_2016_180" w:history="1">
        <w:r w:rsidRPr="00AD3C82">
          <w:rPr>
            <w:rStyle w:val="TextoNormalCaracter"/>
          </w:rPr>
          <w:t>180/2016</w:t>
        </w:r>
      </w:hyperlink>
      <w:r w:rsidRPr="00AD3C82">
        <w:rPr>
          <w:rStyle w:val="TextoNormalCaracter"/>
        </w:rPr>
        <w:t>, ff. 3, 4, 7 , 8.</w:t>
      </w:r>
    </w:p>
    <w:p w:rsidR="00AD3C82" w:rsidRPr="00AD3C82" w:rsidRDefault="00AD3C82" w:rsidP="00AD3C82">
      <w:pPr>
        <w:pStyle w:val="TextoNormalSangraFrancesa"/>
        <w:rPr>
          <w:rStyle w:val="TextoNormalCaracter"/>
        </w:rPr>
      </w:pPr>
      <w:bookmarkStart w:id="941" w:name="DESCRIPTORALFABETICO329"/>
      <w:r w:rsidRPr="00AD3C82">
        <w:rPr>
          <w:rStyle w:val="TextoNormalNegritaCaracter"/>
        </w:rPr>
        <w:t>Autonomía parlamentaria</w:t>
      </w:r>
      <w:bookmarkEnd w:id="941"/>
      <w:r w:rsidRPr="00AD3C82">
        <w:rPr>
          <w:rStyle w:val="TextoNormalCaracter"/>
        </w:rPr>
        <w:t xml:space="preserve">, Sentencias </w:t>
      </w:r>
      <w:hyperlink w:anchor="SENTENCIA_2016_143" w:history="1">
        <w:r w:rsidRPr="00AD3C82">
          <w:rPr>
            <w:rStyle w:val="TextoNormalCaracter"/>
          </w:rPr>
          <w:t>143/2016</w:t>
        </w:r>
      </w:hyperlink>
      <w:r w:rsidRPr="00AD3C82">
        <w:rPr>
          <w:rStyle w:val="TextoNormalCaracter"/>
        </w:rPr>
        <w:t xml:space="preserve">, f. 3; </w:t>
      </w:r>
      <w:hyperlink w:anchor="SENTENCIA_2016_185" w:history="1">
        <w:r w:rsidRPr="00AD3C82">
          <w:rPr>
            <w:rStyle w:val="TextoNormalCaracter"/>
          </w:rPr>
          <w:t>185/2016</w:t>
        </w:r>
      </w:hyperlink>
      <w:r w:rsidRPr="00AD3C82">
        <w:rPr>
          <w:rStyle w:val="TextoNormalCaracter"/>
        </w:rPr>
        <w:t xml:space="preserve">, ff. 5, 10 VP II; </w:t>
      </w:r>
      <w:hyperlink w:anchor="SENTENCIA_2016_215" w:history="1">
        <w:r w:rsidRPr="00AD3C82">
          <w:rPr>
            <w:rStyle w:val="TextoNormalCaracter"/>
          </w:rPr>
          <w:t>215/2016</w:t>
        </w:r>
      </w:hyperlink>
      <w:r w:rsidRPr="00AD3C82">
        <w:rPr>
          <w:rStyle w:val="TextoNormalCaracter"/>
        </w:rPr>
        <w:t>, ff. 5, 11.</w:t>
      </w:r>
    </w:p>
    <w:p w:rsidR="00AD3C82" w:rsidRPr="00AD3C82" w:rsidRDefault="00AD3C82" w:rsidP="00AD3C82">
      <w:pPr>
        <w:pStyle w:val="TextoNormalSangraFrancesa"/>
        <w:rPr>
          <w:rStyle w:val="TextoNormalCaracter"/>
        </w:rPr>
      </w:pPr>
      <w:bookmarkStart w:id="942" w:name="DESCRIPTORALFABETICO358"/>
      <w:r w:rsidRPr="00AD3C82">
        <w:rPr>
          <w:rStyle w:val="TextoNormalNegritaCaracter"/>
        </w:rPr>
        <w:t>Autonomía política</w:t>
      </w:r>
      <w:bookmarkEnd w:id="942"/>
      <w:r w:rsidRPr="00AD3C82">
        <w:rPr>
          <w:rStyle w:val="TextoNormalCaracter"/>
        </w:rPr>
        <w:t xml:space="preserve">, Sentencia </w:t>
      </w:r>
      <w:hyperlink w:anchor="SENTENCIA_2016_185" w:history="1">
        <w:r w:rsidRPr="00AD3C82">
          <w:rPr>
            <w:rStyle w:val="TextoNormalCaracter"/>
          </w:rPr>
          <w:t>185/2016</w:t>
        </w:r>
      </w:hyperlink>
      <w:r w:rsidRPr="00AD3C82">
        <w:rPr>
          <w:rStyle w:val="TextoNormalCaracter"/>
        </w:rPr>
        <w:t>, ff. 1, 16, 17, VP II.</w:t>
      </w:r>
    </w:p>
    <w:p w:rsidR="00AD3C82" w:rsidRPr="00AD3C82" w:rsidRDefault="00AD3C82" w:rsidP="00AD3C82">
      <w:pPr>
        <w:pStyle w:val="TextoNormalSangraFrancesa"/>
        <w:rPr>
          <w:rStyle w:val="TextoNormalCaracter"/>
        </w:rPr>
      </w:pPr>
      <w:bookmarkStart w:id="943" w:name="DESCRIPTORALFABETICO360"/>
      <w:r w:rsidRPr="00AD3C82">
        <w:rPr>
          <w:rStyle w:val="TextoNormalNegritaCaracter"/>
        </w:rPr>
        <w:t>Autonomía provincial</w:t>
      </w:r>
      <w:bookmarkEnd w:id="943"/>
      <w:r w:rsidRPr="00AD3C82">
        <w:rPr>
          <w:rStyle w:val="TextoNormalCaracter"/>
        </w:rPr>
        <w:t xml:space="preserve">, Sentencia </w:t>
      </w:r>
      <w:hyperlink w:anchor="SENTENCIA_2016_180" w:history="1">
        <w:r w:rsidRPr="00AD3C82">
          <w:rPr>
            <w:rStyle w:val="TextoNormalCaracter"/>
          </w:rPr>
          <w:t>180/2016</w:t>
        </w:r>
      </w:hyperlink>
      <w:r w:rsidRPr="00AD3C82">
        <w:rPr>
          <w:rStyle w:val="TextoNormalCaracter"/>
        </w:rPr>
        <w:t>, f. 3.</w:t>
      </w:r>
    </w:p>
    <w:p w:rsidR="00AD3C82" w:rsidRPr="00AD3C82" w:rsidRDefault="00AD3C82" w:rsidP="00AD3C82">
      <w:pPr>
        <w:pStyle w:val="TextoNormalSangraFrancesa"/>
        <w:rPr>
          <w:rStyle w:val="TextoNormalCaracter"/>
        </w:rPr>
      </w:pPr>
      <w:bookmarkStart w:id="944" w:name="DESCRIPTORALFABETICO291"/>
      <w:r w:rsidRPr="00AD3C82">
        <w:rPr>
          <w:rStyle w:val="TextoNormalNegritaCaracter"/>
        </w:rPr>
        <w:t>Autoorganización de partidos políticos</w:t>
      </w:r>
      <w:bookmarkEnd w:id="944"/>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ff. 2, 4, 6, 8, 10.</w:t>
      </w:r>
    </w:p>
    <w:p w:rsidR="00AD3C82" w:rsidRPr="00AD3C82" w:rsidRDefault="00AD3C82" w:rsidP="00AD3C82">
      <w:pPr>
        <w:pStyle w:val="TextoNormalSangraFrancesa"/>
        <w:rPr>
          <w:rStyle w:val="TextoNormalCaracter"/>
        </w:rPr>
      </w:pPr>
      <w:bookmarkStart w:id="945" w:name="DESCRIPTORALFABETICO128"/>
      <w:r w:rsidRPr="00AD3C82">
        <w:rPr>
          <w:rStyle w:val="TextoNormalNegritaCaracter"/>
        </w:rPr>
        <w:t>Autorización judicial de internamiento psiquiátrico</w:t>
      </w:r>
      <w:bookmarkEnd w:id="945"/>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946" w:name="DESCRIPTORALFABETICO399"/>
      <w:r w:rsidRPr="00AD3C82">
        <w:rPr>
          <w:rStyle w:val="TextoNormalNegritaCaracter"/>
        </w:rPr>
        <w:t>Autorizaciones administrativas</w:t>
      </w:r>
      <w:bookmarkEnd w:id="946"/>
      <w:r w:rsidRPr="00AD3C82">
        <w:rPr>
          <w:rStyle w:val="TextoNormalCaracter"/>
        </w:rPr>
        <w:t xml:space="preserve">, Sentencia </w:t>
      </w:r>
      <w:hyperlink w:anchor="SENTENCIA_2016_141" w:history="1">
        <w:r w:rsidRPr="00AD3C82">
          <w:rPr>
            <w:rStyle w:val="TextoNormalCaracter"/>
          </w:rPr>
          <w:t>141/2016</w:t>
        </w:r>
      </w:hyperlink>
      <w:r w:rsidRPr="00AD3C82">
        <w:rPr>
          <w:rStyle w:val="TextoNormalCaracter"/>
        </w:rPr>
        <w:t>, ff. 1, 6, 7.</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B</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947" w:name="DESCRIPTORALFABETICO89"/>
      <w:r w:rsidRPr="00AD3C82">
        <w:rPr>
          <w:rStyle w:val="TextoNormalNegritaCaracter"/>
        </w:rPr>
        <w:t>Base imponible</w:t>
      </w:r>
      <w:bookmarkEnd w:id="947"/>
      <w:r w:rsidRPr="00AD3C82">
        <w:rPr>
          <w:rStyle w:val="TextoNormalCaracter"/>
        </w:rPr>
        <w:t xml:space="preserve">, Sentencia </w:t>
      </w:r>
      <w:hyperlink w:anchor="SENTENCIA_2016_203" w:history="1">
        <w:r w:rsidRPr="00AD3C82">
          <w:rPr>
            <w:rStyle w:val="TextoNormalCaracter"/>
          </w:rPr>
          <w:t>203/2016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948" w:name="DESCRIPTORALFABETICO82"/>
      <w:r w:rsidRPr="00AD3C82">
        <w:rPr>
          <w:rStyle w:val="TextoNormalNegritaCaracter"/>
        </w:rPr>
        <w:t>Bases de la planificación económica</w:t>
      </w:r>
      <w:bookmarkEnd w:id="948"/>
      <w:r w:rsidRPr="00AD3C82">
        <w:rPr>
          <w:rStyle w:val="TextoNormalCaracter"/>
        </w:rPr>
        <w:t xml:space="preserve">, Sentencia </w:t>
      </w:r>
      <w:hyperlink w:anchor="SENTENCIA_2016_193" w:history="1">
        <w:r w:rsidRPr="00AD3C82">
          <w:rPr>
            <w:rStyle w:val="TextoNormalCaracter"/>
          </w:rPr>
          <w:t>193/2016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949" w:name="DESCRIPTORALFABETICO412"/>
      <w:r w:rsidRPr="00AD3C82">
        <w:rPr>
          <w:rStyle w:val="TextoNormalNegritaCaracter"/>
        </w:rPr>
        <w:t>Bases del régimen estatutario de los funcionarios públicos</w:t>
      </w:r>
      <w:bookmarkEnd w:id="949"/>
      <w:r w:rsidRPr="00AD3C82">
        <w:rPr>
          <w:rStyle w:val="TextoNormalCaracter"/>
        </w:rPr>
        <w:t xml:space="preserve">, Sentencias </w:t>
      </w:r>
      <w:hyperlink w:anchor="SENTENCIA_2016_158" w:history="1">
        <w:r w:rsidRPr="00AD3C82">
          <w:rPr>
            <w:rStyle w:val="TextoNormalCaracter"/>
          </w:rPr>
          <w:t>158/2016</w:t>
        </w:r>
      </w:hyperlink>
      <w:r w:rsidRPr="00AD3C82">
        <w:rPr>
          <w:rStyle w:val="TextoNormalCaracter"/>
        </w:rPr>
        <w:t xml:space="preserve">, ff. 3, 4, VP; </w:t>
      </w:r>
      <w:hyperlink w:anchor="SENTENCIA_2016_183" w:history="1">
        <w:r w:rsidRPr="00AD3C82">
          <w:rPr>
            <w:rStyle w:val="TextoNormalCaracter"/>
          </w:rPr>
          <w:t>183/2016</w:t>
        </w:r>
      </w:hyperlink>
      <w:r w:rsidRPr="00AD3C82">
        <w:rPr>
          <w:rStyle w:val="TextoNormalCaracter"/>
        </w:rPr>
        <w:t>, ff. 4, 6.</w:t>
      </w:r>
    </w:p>
    <w:p w:rsidR="00AD3C82" w:rsidRPr="00AD3C82" w:rsidRDefault="00AD3C82" w:rsidP="00AD3C82">
      <w:pPr>
        <w:pStyle w:val="TextoNormalSangraFrancesa"/>
        <w:rPr>
          <w:rStyle w:val="TextoNormalCaracter"/>
        </w:rPr>
      </w:pPr>
      <w:bookmarkStart w:id="950" w:name="DESCRIPTORALFABETICO304"/>
      <w:r w:rsidRPr="00AD3C82">
        <w:rPr>
          <w:rStyle w:val="TextoNormalNegritaCaracter"/>
        </w:rPr>
        <w:t>Bases del régimen jurídico de las Administraciones públicas</w:t>
      </w:r>
      <w:bookmarkEnd w:id="950"/>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ff. 2 a 5.</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C</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951" w:name="DESCRIPTORALFABETICO182"/>
      <w:r w:rsidRPr="00AD3C82">
        <w:rPr>
          <w:rStyle w:val="TextoNormalNegritaCaracter"/>
        </w:rPr>
        <w:t>Canon de constitucionalidad</w:t>
      </w:r>
      <w:bookmarkEnd w:id="951"/>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5 a 10; </w:t>
      </w:r>
      <w:hyperlink w:anchor="SENTENCIA_2016_191" w:history="1">
        <w:r w:rsidRPr="00AD3C82">
          <w:rPr>
            <w:rStyle w:val="TextoNormalCaracter"/>
          </w:rPr>
          <w:t>191/2016</w:t>
        </w:r>
      </w:hyperlink>
      <w:r w:rsidRPr="00AD3C82">
        <w:rPr>
          <w:rStyle w:val="TextoNormalCaracter"/>
        </w:rPr>
        <w:t>, f. 6c.</w:t>
      </w:r>
    </w:p>
    <w:p w:rsidR="00AD3C82" w:rsidRPr="00AD3C82" w:rsidRDefault="00AD3C82" w:rsidP="00AD3C82">
      <w:pPr>
        <w:pStyle w:val="TextoNormalSangraFrancesa"/>
        <w:rPr>
          <w:rStyle w:val="TextoNormalCaracter"/>
        </w:rPr>
      </w:pPr>
      <w:bookmarkStart w:id="952" w:name="DESCRIPTORALFABETICO183"/>
      <w:r w:rsidRPr="00AD3C82">
        <w:rPr>
          <w:rStyle w:val="TextoNormalNegritaCaracter"/>
        </w:rPr>
        <w:t>Canon de constitucionalidad competencial</w:t>
      </w:r>
      <w:bookmarkEnd w:id="952"/>
      <w:r w:rsidRPr="00AD3C82">
        <w:rPr>
          <w:rStyle w:val="TextoNormalCaracter"/>
        </w:rPr>
        <w:t xml:space="preserve">, Sentencia </w:t>
      </w:r>
      <w:hyperlink w:anchor="SENTENCIA_2016_177" w:history="1">
        <w:r w:rsidRPr="00AD3C82">
          <w:rPr>
            <w:rStyle w:val="TextoNormalCaracter"/>
          </w:rPr>
          <w:t>177/2016</w:t>
        </w:r>
      </w:hyperlink>
      <w:r w:rsidRPr="00AD3C82">
        <w:rPr>
          <w:rStyle w:val="TextoNormalCaracter"/>
        </w:rPr>
        <w:t>, ff. 6, VVPP I, II.</w:t>
      </w:r>
    </w:p>
    <w:p w:rsidR="00AD3C82" w:rsidRPr="00AD3C82" w:rsidRDefault="00AD3C82" w:rsidP="00AD3C82">
      <w:pPr>
        <w:pStyle w:val="TextoNormalSangraFrancesa"/>
        <w:rPr>
          <w:rStyle w:val="TextoNormalCaracter"/>
        </w:rPr>
      </w:pPr>
      <w:bookmarkStart w:id="953" w:name="DESCRIPTORALFABETICO184"/>
      <w:r w:rsidRPr="00AD3C82">
        <w:rPr>
          <w:rStyle w:val="TextoNormalNegritaCaracter"/>
        </w:rPr>
        <w:t>Canon de constitucionalidad de la ley</w:t>
      </w:r>
      <w:bookmarkEnd w:id="953"/>
      <w:r w:rsidRPr="00AD3C82">
        <w:rPr>
          <w:rStyle w:val="TextoNormalCaracter"/>
        </w:rPr>
        <w:t xml:space="preserve">, Sentencia </w:t>
      </w:r>
      <w:hyperlink w:anchor="SENTENCIA_2016_203" w:history="1">
        <w:r w:rsidRPr="00AD3C82">
          <w:rPr>
            <w:rStyle w:val="TextoNormalCaracter"/>
          </w:rPr>
          <w:t>203/2016</w:t>
        </w:r>
      </w:hyperlink>
      <w:r w:rsidRPr="00AD3C82">
        <w:rPr>
          <w:rStyle w:val="TextoNormalCaracter"/>
        </w:rPr>
        <w:t>, f. 4.</w:t>
      </w:r>
    </w:p>
    <w:p w:rsidR="00AD3C82" w:rsidRPr="00AD3C82" w:rsidRDefault="00AD3C82" w:rsidP="00AD3C82">
      <w:pPr>
        <w:pStyle w:val="TextoNormalSangraFrancesa"/>
        <w:rPr>
          <w:rStyle w:val="TextoNormalCaracter"/>
        </w:rPr>
      </w:pPr>
      <w:bookmarkStart w:id="954" w:name="DESCRIPTORALFABETICO154"/>
      <w:r w:rsidRPr="00AD3C82">
        <w:rPr>
          <w:rStyle w:val="TextoNormalNegritaCaracter"/>
        </w:rPr>
        <w:t>Canon de motivación reforzado cuando afecta a derechos fundamentales</w:t>
      </w:r>
      <w:bookmarkEnd w:id="954"/>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955" w:name="DESCRIPTORALFABETICO500"/>
      <w:r w:rsidRPr="00AD3C82">
        <w:rPr>
          <w:rStyle w:val="TextoNormalNegritaCaracter"/>
        </w:rPr>
        <w:t>Carácter básico de las normas jurídicas</w:t>
      </w:r>
      <w:bookmarkEnd w:id="955"/>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VP; </w:t>
      </w:r>
      <w:hyperlink w:anchor="SENTENCIA_2016_128" w:history="1">
        <w:r w:rsidRPr="00AD3C82">
          <w:rPr>
            <w:rStyle w:val="TextoNormalCaracter"/>
          </w:rPr>
          <w:t>128/2016</w:t>
        </w:r>
      </w:hyperlink>
      <w:r w:rsidRPr="00AD3C82">
        <w:rPr>
          <w:rStyle w:val="TextoNormalCaracter"/>
        </w:rPr>
        <w:t xml:space="preserve">, f. 3 B); </w:t>
      </w:r>
      <w:hyperlink w:anchor="SENTENCIA_2016_142" w:history="1">
        <w:r w:rsidRPr="00AD3C82">
          <w:rPr>
            <w:rStyle w:val="TextoNormalCaracter"/>
          </w:rPr>
          <w:t>142/2016</w:t>
        </w:r>
      </w:hyperlink>
      <w:r w:rsidRPr="00AD3C82">
        <w:rPr>
          <w:rStyle w:val="TextoNormalCaracter"/>
        </w:rPr>
        <w:t xml:space="preserve">, ff. 4 a 14; </w:t>
      </w:r>
      <w:hyperlink w:anchor="SENTENCIA_2016_171" w:history="1">
        <w:r w:rsidRPr="00AD3C82">
          <w:rPr>
            <w:rStyle w:val="TextoNormalCaracter"/>
          </w:rPr>
          <w:t>171/2016</w:t>
        </w:r>
      </w:hyperlink>
      <w:r w:rsidRPr="00AD3C82">
        <w:rPr>
          <w:rStyle w:val="TextoNormalCaracter"/>
        </w:rPr>
        <w:t xml:space="preserve">, ff. 2 a 6; </w:t>
      </w:r>
      <w:hyperlink w:anchor="SENTENCIA_2016_186" w:history="1">
        <w:r w:rsidRPr="00AD3C82">
          <w:rPr>
            <w:rStyle w:val="TextoNormalCaracter"/>
          </w:rPr>
          <w:t>186/2016</w:t>
        </w:r>
      </w:hyperlink>
      <w:r w:rsidRPr="00AD3C82">
        <w:rPr>
          <w:rStyle w:val="TextoNormalCaracter"/>
        </w:rPr>
        <w:t xml:space="preserve">, ff. 2, 3; </w:t>
      </w:r>
      <w:hyperlink w:anchor="SENTENCIA_2016_204" w:history="1">
        <w:r w:rsidRPr="00AD3C82">
          <w:rPr>
            <w:rStyle w:val="TextoNormalCaracter"/>
          </w:rPr>
          <w:t>204/2016</w:t>
        </w:r>
      </w:hyperlink>
      <w:r w:rsidRPr="00AD3C82">
        <w:rPr>
          <w:rStyle w:val="TextoNormalCaracter"/>
        </w:rPr>
        <w:t xml:space="preserve">, VP I, VP II; </w:t>
      </w:r>
      <w:hyperlink w:anchor="SENTENCIA_2016_211" w:history="1">
        <w:r w:rsidRPr="00AD3C82">
          <w:rPr>
            <w:rStyle w:val="TextoNormalCaracter"/>
          </w:rPr>
          <w:t>211/2016</w:t>
        </w:r>
      </w:hyperlink>
      <w:r w:rsidRPr="00AD3C82">
        <w:rPr>
          <w:rStyle w:val="TextoNormalCaracter"/>
        </w:rPr>
        <w:t>, ff. 6 a 9.</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76" w:history="1">
        <w:r w:rsidRPr="00AD3C82">
          <w:rPr>
            <w:rStyle w:val="TextoNormalCaracter"/>
          </w:rPr>
          <w:t>176/2016</w:t>
        </w:r>
      </w:hyperlink>
      <w:r w:rsidRPr="00AD3C82">
        <w:rPr>
          <w:rStyle w:val="TextoNormalCaracter"/>
        </w:rPr>
        <w:t>, f. 6.</w:t>
      </w:r>
    </w:p>
    <w:p w:rsidR="00AD3C82" w:rsidRPr="00AD3C82" w:rsidRDefault="00AD3C82" w:rsidP="00AD3C82">
      <w:pPr>
        <w:pStyle w:val="TextoNormalSangraFrancesa"/>
        <w:rPr>
          <w:rStyle w:val="TextoNormalCaracter"/>
        </w:rPr>
      </w:pPr>
      <w:bookmarkStart w:id="956" w:name="DESCRIPTORALFABETICO491"/>
      <w:r w:rsidRPr="00AD3C82">
        <w:rPr>
          <w:rStyle w:val="TextoNormalNegritaCaracter"/>
        </w:rPr>
        <w:t>Carácter excepcional de los decretos-leyes</w:t>
      </w:r>
      <w:bookmarkEnd w:id="956"/>
      <w:r w:rsidRPr="00AD3C82">
        <w:rPr>
          <w:rStyle w:val="TextoNormalCaracter"/>
        </w:rPr>
        <w:t xml:space="preserve">, Sentencias </w:t>
      </w:r>
      <w:hyperlink w:anchor="SENTENCIA_2016_126" w:history="1">
        <w:r w:rsidRPr="00AD3C82">
          <w:rPr>
            <w:rStyle w:val="TextoNormalCaracter"/>
          </w:rPr>
          <w:t>126/2016</w:t>
        </w:r>
      </w:hyperlink>
      <w:r w:rsidRPr="00AD3C82">
        <w:rPr>
          <w:rStyle w:val="TextoNormalCaracter"/>
        </w:rPr>
        <w:t xml:space="preserve">, ff. 5 y 6; </w:t>
      </w:r>
      <w:hyperlink w:anchor="SENTENCIA_2016_169" w:history="1">
        <w:r w:rsidRPr="00AD3C82">
          <w:rPr>
            <w:rStyle w:val="TextoNormalCaracter"/>
          </w:rPr>
          <w:t>169/2016</w:t>
        </w:r>
      </w:hyperlink>
      <w:r w:rsidRPr="00AD3C82">
        <w:rPr>
          <w:rStyle w:val="TextoNormalCaracter"/>
        </w:rPr>
        <w:t xml:space="preserve">, ff. 1 a 3; </w:t>
      </w:r>
      <w:hyperlink w:anchor="SENTENCIA_2016_195" w:history="1">
        <w:r w:rsidRPr="00AD3C82">
          <w:rPr>
            <w:rStyle w:val="TextoNormalCaracter"/>
          </w:rPr>
          <w:t>195/2016</w:t>
        </w:r>
      </w:hyperlink>
      <w:r w:rsidRPr="00AD3C82">
        <w:rPr>
          <w:rStyle w:val="TextoNormalCaracter"/>
        </w:rPr>
        <w:t>, VP I.</w:t>
      </w:r>
    </w:p>
    <w:p w:rsidR="00AD3C82" w:rsidRPr="00AD3C82" w:rsidRDefault="00AD3C82" w:rsidP="00AD3C82">
      <w:pPr>
        <w:pStyle w:val="TextoNormalSangraFrancesa"/>
        <w:rPr>
          <w:rStyle w:val="TextoNormalCaracter"/>
        </w:rPr>
      </w:pPr>
      <w:bookmarkStart w:id="957" w:name="DESCRIPTORALFABETICO601"/>
      <w:r w:rsidRPr="00AD3C82">
        <w:rPr>
          <w:rStyle w:val="TextoNormalNegritaCaracter"/>
        </w:rPr>
        <w:t>Carácter excepcional del emplazamiento edictal</w:t>
      </w:r>
      <w:bookmarkEnd w:id="957"/>
      <w:r w:rsidRPr="00AD3C82">
        <w:rPr>
          <w:rStyle w:val="TextoNormalCaracter"/>
        </w:rPr>
        <w:t xml:space="preserve">, Sentencia </w:t>
      </w:r>
      <w:hyperlink w:anchor="SENTENCIA_2016_200" w:history="1">
        <w:r w:rsidRPr="00AD3C82">
          <w:rPr>
            <w:rStyle w:val="TextoNormalCaracter"/>
          </w:rPr>
          <w:t>200/2016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958" w:name="DESCRIPTORALFABETICO524"/>
      <w:r w:rsidRPr="00AD3C82">
        <w:rPr>
          <w:rStyle w:val="TextoNormalNegritaCaracter"/>
        </w:rPr>
        <w:t>Carácter prevalente de la interpretación conforme</w:t>
      </w:r>
      <w:bookmarkEnd w:id="958"/>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 4.</w:t>
      </w:r>
    </w:p>
    <w:p w:rsidR="00AD3C82" w:rsidRPr="00AD3C82" w:rsidRDefault="00AD3C82" w:rsidP="00AD3C82">
      <w:pPr>
        <w:pStyle w:val="TextoNormalSangraFrancesa"/>
        <w:rPr>
          <w:rStyle w:val="TextoNormalCaracter"/>
        </w:rPr>
      </w:pPr>
      <w:bookmarkStart w:id="959" w:name="DESCRIPTORALFABETICO246"/>
      <w:r w:rsidRPr="00AD3C82">
        <w:rPr>
          <w:rStyle w:val="TextoNormalNegritaCaracter"/>
        </w:rPr>
        <w:t>Carácter subsidiario del recurso de amparo</w:t>
      </w:r>
      <w:bookmarkEnd w:id="959"/>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960" w:name="DESCRIPTORALFABETICO623"/>
      <w:r w:rsidRPr="00AD3C82">
        <w:rPr>
          <w:rStyle w:val="TextoNormalNegritaCaracter"/>
        </w:rPr>
        <w:t>Carga de alegación</w:t>
      </w:r>
      <w:bookmarkEnd w:id="960"/>
      <w:r w:rsidRPr="00AD3C82">
        <w:rPr>
          <w:rStyle w:val="TextoNormalCaracter"/>
        </w:rPr>
        <w:t xml:space="preserve">, Sentencia </w:t>
      </w:r>
      <w:hyperlink w:anchor="SENTENCIA_2016_147" w:history="1">
        <w:r w:rsidRPr="00AD3C82">
          <w:rPr>
            <w:rStyle w:val="TextoNormalCaracter"/>
          </w:rPr>
          <w:t>147/2016</w:t>
        </w:r>
      </w:hyperlink>
      <w:r w:rsidRPr="00AD3C82">
        <w:rPr>
          <w:rStyle w:val="TextoNormalCaracter"/>
        </w:rPr>
        <w:t>, f. 4.</w:t>
      </w:r>
    </w:p>
    <w:p w:rsidR="00AD3C82" w:rsidRPr="00AD3C82" w:rsidRDefault="00AD3C82" w:rsidP="00AD3C82">
      <w:pPr>
        <w:pStyle w:val="TextoNormalSangraFrancesa"/>
        <w:rPr>
          <w:rStyle w:val="TextoNormalCaracter"/>
        </w:rPr>
      </w:pPr>
      <w:bookmarkStart w:id="961" w:name="DESCRIPTORALFABETICO681"/>
      <w:r w:rsidRPr="00AD3C82">
        <w:rPr>
          <w:rStyle w:val="TextoNormalNegritaCaracter"/>
        </w:rPr>
        <w:t>Castilla y León</w:t>
      </w:r>
      <w:bookmarkEnd w:id="961"/>
      <w:r w:rsidRPr="00AD3C82">
        <w:rPr>
          <w:rStyle w:val="TextoNormalCaracter"/>
        </w:rPr>
        <w:t xml:space="preserve">, Auto </w:t>
      </w:r>
      <w:hyperlink w:anchor="AUTO_2016_206" w:history="1">
        <w:r w:rsidRPr="00AD3C82">
          <w:rPr>
            <w:rStyle w:val="TextoNormalCaracter"/>
          </w:rPr>
          <w:t>206/2016</w:t>
        </w:r>
      </w:hyperlink>
      <w:r w:rsidRPr="00AD3C82">
        <w:rPr>
          <w:rStyle w:val="TextoNormalCaracter"/>
        </w:rPr>
        <w:t>, f. 1.</w:t>
      </w:r>
    </w:p>
    <w:p w:rsidR="00AD3C82" w:rsidRPr="00AD3C82" w:rsidRDefault="00AD3C82" w:rsidP="00AD3C82">
      <w:pPr>
        <w:pStyle w:val="TextoNormalSangraFrancesa"/>
        <w:rPr>
          <w:rStyle w:val="TextoNormalCaracter"/>
        </w:rPr>
      </w:pPr>
      <w:bookmarkStart w:id="962" w:name="DESCRIPTORALFABETICO682"/>
      <w:r w:rsidRPr="00AD3C82">
        <w:rPr>
          <w:rStyle w:val="TextoNormalNegritaCaracter"/>
        </w:rPr>
        <w:t>Castilla-La Mancha</w:t>
      </w:r>
      <w:bookmarkEnd w:id="962"/>
      <w:r w:rsidRPr="00AD3C82">
        <w:rPr>
          <w:rStyle w:val="TextoNormalCaracter"/>
        </w:rPr>
        <w:t xml:space="preserve">, Sentencia </w:t>
      </w:r>
      <w:hyperlink w:anchor="SENTENCIA_2016_158" w:history="1">
        <w:r w:rsidRPr="00AD3C82">
          <w:rPr>
            <w:rStyle w:val="TextoNormalCaracter"/>
          </w:rPr>
          <w:t>158/2016</w:t>
        </w:r>
      </w:hyperlink>
      <w:r w:rsidRPr="00AD3C82">
        <w:rPr>
          <w:rStyle w:val="TextoNormalCaracter"/>
        </w:rPr>
        <w:t>, f. 1.</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83" w:history="1">
        <w:r w:rsidRPr="00AD3C82">
          <w:rPr>
            <w:rStyle w:val="TextoNormalCaracter"/>
          </w:rPr>
          <w:t>183/2016</w:t>
        </w:r>
      </w:hyperlink>
      <w:r w:rsidRPr="00AD3C82">
        <w:rPr>
          <w:rStyle w:val="TextoNormalCaracter"/>
        </w:rPr>
        <w:t>, f. 5.</w:t>
      </w:r>
    </w:p>
    <w:p w:rsidR="00AD3C82" w:rsidRPr="00AD3C82" w:rsidRDefault="00AD3C82" w:rsidP="00AD3C82">
      <w:pPr>
        <w:pStyle w:val="TextoNormalSangraFrancesa"/>
        <w:rPr>
          <w:rStyle w:val="TextoNormalCaracter"/>
        </w:rPr>
      </w:pPr>
      <w:bookmarkStart w:id="963" w:name="DESCRIPTORALFABETICO683"/>
      <w:r w:rsidRPr="00AD3C82">
        <w:rPr>
          <w:rStyle w:val="TextoNormalNegritaCaracter"/>
        </w:rPr>
        <w:t>Cataluña</w:t>
      </w:r>
      <w:bookmarkEnd w:id="963"/>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1; </w:t>
      </w:r>
      <w:hyperlink w:anchor="SENTENCIA_2016_157" w:history="1">
        <w:r w:rsidRPr="00AD3C82">
          <w:rPr>
            <w:rStyle w:val="TextoNormalCaracter"/>
          </w:rPr>
          <w:t>157/2016</w:t>
        </w:r>
      </w:hyperlink>
      <w:r w:rsidRPr="00AD3C82">
        <w:rPr>
          <w:rStyle w:val="TextoNormalCaracter"/>
        </w:rPr>
        <w:t xml:space="preserve">, f. 1; </w:t>
      </w:r>
      <w:hyperlink w:anchor="SENTENCIA_2016_159" w:history="1">
        <w:r w:rsidRPr="00AD3C82">
          <w:rPr>
            <w:rStyle w:val="TextoNormalCaracter"/>
          </w:rPr>
          <w:t>159/2016</w:t>
        </w:r>
      </w:hyperlink>
      <w:r w:rsidRPr="00AD3C82">
        <w:rPr>
          <w:rStyle w:val="TextoNormalCaracter"/>
        </w:rPr>
        <w:t xml:space="preserve">, f. 1; </w:t>
      </w:r>
      <w:hyperlink w:anchor="SENTENCIA_2016_175" w:history="1">
        <w:r w:rsidRPr="00AD3C82">
          <w:rPr>
            <w:rStyle w:val="TextoNormalCaracter"/>
          </w:rPr>
          <w:t>175/2016</w:t>
        </w:r>
      </w:hyperlink>
      <w:r w:rsidRPr="00AD3C82">
        <w:rPr>
          <w:rStyle w:val="TextoNormalCaracter"/>
        </w:rPr>
        <w:t xml:space="preserve">, f. 1; </w:t>
      </w:r>
      <w:hyperlink w:anchor="SENTENCIA_2016_177" w:history="1">
        <w:r w:rsidRPr="00AD3C82">
          <w:rPr>
            <w:rStyle w:val="TextoNormalCaracter"/>
          </w:rPr>
          <w:t>177/2016</w:t>
        </w:r>
      </w:hyperlink>
      <w:r w:rsidRPr="00AD3C82">
        <w:rPr>
          <w:rStyle w:val="TextoNormalCaracter"/>
        </w:rPr>
        <w:t xml:space="preserve">, f. 1; </w:t>
      </w:r>
      <w:hyperlink w:anchor="SENTENCIA_2016_211" w:history="1">
        <w:r w:rsidRPr="00AD3C82">
          <w:rPr>
            <w:rStyle w:val="TextoNormalCaracter"/>
          </w:rPr>
          <w:t>211/2016</w:t>
        </w:r>
      </w:hyperlink>
      <w:r w:rsidRPr="00AD3C82">
        <w:rPr>
          <w:rStyle w:val="TextoNormalCaracter"/>
        </w:rPr>
        <w:t xml:space="preserve">, f. 1; </w:t>
      </w:r>
      <w:hyperlink w:anchor="SENTENCIA_2016_228" w:history="1">
        <w:r w:rsidRPr="00AD3C82">
          <w:rPr>
            <w:rStyle w:val="TextoNormalCaracter"/>
          </w:rPr>
          <w:t>228/2016</w:t>
        </w:r>
      </w:hyperlink>
      <w:r w:rsidRPr="00AD3C82">
        <w:rPr>
          <w:rStyle w:val="TextoNormalCaracter"/>
        </w:rPr>
        <w:t>, f. 1.</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ff. 1 a 7; </w:t>
      </w:r>
      <w:hyperlink w:anchor="AUTO_2016_170" w:history="1">
        <w:r w:rsidRPr="00AD3C82">
          <w:rPr>
            <w:rStyle w:val="TextoNormalCaracter"/>
          </w:rPr>
          <w:t>170/2016</w:t>
        </w:r>
      </w:hyperlink>
      <w:r w:rsidRPr="00AD3C82">
        <w:rPr>
          <w:rStyle w:val="TextoNormalCaracter"/>
        </w:rPr>
        <w:t xml:space="preserve">, ff. 1 a 9; </w:t>
      </w:r>
      <w:hyperlink w:anchor="AUTO_2016_182" w:history="1">
        <w:r w:rsidRPr="00AD3C82">
          <w:rPr>
            <w:rStyle w:val="TextoNormalCaracter"/>
          </w:rPr>
          <w:t>182/2016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964" w:name="DESCRIPTORALFABETICO199"/>
      <w:r w:rsidRPr="00AD3C82">
        <w:rPr>
          <w:rStyle w:val="TextoNormalNegritaCaracter"/>
        </w:rPr>
        <w:t>Causas de abstención y recusación de magistrados del Tribunal Constitucional</w:t>
      </w:r>
      <w:bookmarkEnd w:id="964"/>
      <w:r w:rsidRPr="00AD3C82">
        <w:rPr>
          <w:rStyle w:val="TextoNormalCaracter"/>
        </w:rPr>
        <w:t xml:space="preserve">, Auto </w:t>
      </w:r>
      <w:hyperlink w:anchor="AUTO_2016_191" w:history="1">
        <w:r w:rsidRPr="00AD3C82">
          <w:rPr>
            <w:rStyle w:val="TextoNormalCaracter"/>
          </w:rPr>
          <w:t>191/2016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965" w:name="DESCRIPTORALFABETICO219"/>
      <w:r w:rsidRPr="00AD3C82">
        <w:rPr>
          <w:rStyle w:val="TextoNormalNegritaCaracter"/>
        </w:rPr>
        <w:t>Causas de inadmisión de la cuestión de inconstitucionalidad</w:t>
      </w:r>
      <w:bookmarkEnd w:id="965"/>
      <w:r w:rsidRPr="00AD3C82">
        <w:rPr>
          <w:rStyle w:val="TextoNormalCaracter"/>
        </w:rPr>
        <w:t xml:space="preserve">, Autos </w:t>
      </w:r>
      <w:hyperlink w:anchor="AUTO_2016_202" w:history="1">
        <w:r w:rsidRPr="00AD3C82">
          <w:rPr>
            <w:rStyle w:val="TextoNormalCaracter"/>
          </w:rPr>
          <w:t>202/2016</w:t>
        </w:r>
      </w:hyperlink>
      <w:r w:rsidRPr="00AD3C82">
        <w:rPr>
          <w:rStyle w:val="TextoNormalCaracter"/>
        </w:rPr>
        <w:t xml:space="preserve">, f. 3; </w:t>
      </w:r>
      <w:hyperlink w:anchor="AUTO_2016_203" w:history="1">
        <w:r w:rsidRPr="00AD3C82">
          <w:rPr>
            <w:rStyle w:val="TextoNormalCaracter"/>
          </w:rPr>
          <w:t>203/2016</w:t>
        </w:r>
      </w:hyperlink>
      <w:r w:rsidRPr="00AD3C82">
        <w:rPr>
          <w:rStyle w:val="TextoNormalCaracter"/>
        </w:rPr>
        <w:t xml:space="preserve">, f. 3; </w:t>
      </w:r>
      <w:hyperlink w:anchor="AUTO_2016_204" w:history="1">
        <w:r w:rsidRPr="00AD3C82">
          <w:rPr>
            <w:rStyle w:val="TextoNormalCaracter"/>
          </w:rPr>
          <w:t>204/2016</w:t>
        </w:r>
      </w:hyperlink>
      <w:r w:rsidRPr="00AD3C82">
        <w:rPr>
          <w:rStyle w:val="TextoNormalCaracter"/>
        </w:rPr>
        <w:t xml:space="preserve">, f. 3; </w:t>
      </w:r>
      <w:hyperlink w:anchor="AUTO_2016_205" w:history="1">
        <w:r w:rsidRPr="00AD3C82">
          <w:rPr>
            <w:rStyle w:val="TextoNormalCaracter"/>
          </w:rPr>
          <w:t>205/2016</w:t>
        </w:r>
      </w:hyperlink>
      <w:r w:rsidRPr="00AD3C82">
        <w:rPr>
          <w:rStyle w:val="TextoNormalCaracter"/>
        </w:rPr>
        <w:t>, f. 3.</w:t>
      </w:r>
    </w:p>
    <w:p w:rsidR="00AD3C82" w:rsidRPr="00AD3C82" w:rsidRDefault="00AD3C82" w:rsidP="00AD3C82">
      <w:pPr>
        <w:pStyle w:val="TextoNormalSangraFrancesa"/>
        <w:rPr>
          <w:rStyle w:val="TextoNormalCaracter"/>
        </w:rPr>
      </w:pPr>
      <w:bookmarkStart w:id="966" w:name="DESCRIPTORALFABETICO660"/>
      <w:r w:rsidRPr="00AD3C82">
        <w:rPr>
          <w:rStyle w:val="TextoNormalNegritaCaracter"/>
        </w:rPr>
        <w:t>Causas de inadmisión del recurso de suplicación</w:t>
      </w:r>
      <w:bookmarkEnd w:id="966"/>
      <w:r w:rsidRPr="00AD3C82">
        <w:rPr>
          <w:rStyle w:val="TextoNormalCaracter"/>
        </w:rPr>
        <w:t xml:space="preserve">, Sentencia </w:t>
      </w:r>
      <w:hyperlink w:anchor="SENTENCIA_2016_173" w:history="1">
        <w:r w:rsidRPr="00AD3C82">
          <w:rPr>
            <w:rStyle w:val="TextoNormalCaracter"/>
          </w:rPr>
          <w:t>173/2016</w:t>
        </w:r>
      </w:hyperlink>
      <w:r w:rsidRPr="00AD3C82">
        <w:rPr>
          <w:rStyle w:val="TextoNormalCaracter"/>
        </w:rPr>
        <w:t>, ff. 3, 4, 5.</w:t>
      </w:r>
    </w:p>
    <w:p w:rsidR="00AD3C82" w:rsidRPr="00AD3C82" w:rsidRDefault="00AD3C82" w:rsidP="00AD3C82">
      <w:pPr>
        <w:pStyle w:val="TextoNormalSangraFrancesa"/>
        <w:rPr>
          <w:rStyle w:val="TextoNormalCaracter"/>
        </w:rPr>
      </w:pPr>
      <w:bookmarkStart w:id="967" w:name="DESCRIPTORALFABETICO643"/>
      <w:r w:rsidRPr="00AD3C82">
        <w:rPr>
          <w:rStyle w:val="TextoNormalNegritaCaracter"/>
        </w:rPr>
        <w:t>Celebración de vista sin procurador</w:t>
      </w:r>
      <w:bookmarkEnd w:id="967"/>
      <w:r w:rsidRPr="00AD3C82">
        <w:rPr>
          <w:rStyle w:val="TextoNormalCaracter"/>
        </w:rPr>
        <w:t xml:space="preserve">, Sentencia </w:t>
      </w:r>
      <w:hyperlink w:anchor="SENTENCIA_2016_222" w:history="1">
        <w:r w:rsidRPr="00AD3C82">
          <w:rPr>
            <w:rStyle w:val="TextoNormalCaracter"/>
          </w:rPr>
          <w:t>222/2016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968" w:name="DESCRIPTORALFABETICO466"/>
      <w:r w:rsidRPr="00AD3C82">
        <w:rPr>
          <w:rStyle w:val="TextoNormalNegritaCaracter"/>
        </w:rPr>
        <w:t>Centros de internamiento de extranjeros</w:t>
      </w:r>
      <w:bookmarkEnd w:id="968"/>
      <w:r w:rsidRPr="00AD3C82">
        <w:rPr>
          <w:rStyle w:val="TextoNormalCaracter"/>
        </w:rPr>
        <w:t xml:space="preserve">, Sentencia </w:t>
      </w:r>
      <w:hyperlink w:anchor="SENTENCIA_2016_146" w:history="1">
        <w:r w:rsidRPr="00AD3C82">
          <w:rPr>
            <w:rStyle w:val="TextoNormalCaracter"/>
          </w:rPr>
          <w:t>146/2016</w:t>
        </w:r>
      </w:hyperlink>
      <w:r w:rsidRPr="00AD3C82">
        <w:rPr>
          <w:rStyle w:val="TextoNormalCaracter"/>
        </w:rPr>
        <w:t>, f. 1, VP.</w:t>
      </w:r>
    </w:p>
    <w:p w:rsidR="00AD3C82" w:rsidRPr="00AD3C82" w:rsidRDefault="00AD3C82" w:rsidP="00AD3C82">
      <w:pPr>
        <w:pStyle w:val="TextoNormalSangraFrancesa"/>
        <w:rPr>
          <w:rStyle w:val="TextoNormalCaracter"/>
        </w:rPr>
      </w:pPr>
      <w:bookmarkStart w:id="969" w:name="DESCRIPTORALFABETICO136"/>
      <w:r w:rsidRPr="00AD3C82">
        <w:rPr>
          <w:rStyle w:val="TextoNormalNegritaCaracter"/>
        </w:rPr>
        <w:t>Cesión de datos entre Administraciones públicas</w:t>
      </w:r>
      <w:bookmarkEnd w:id="969"/>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13.</w:t>
      </w:r>
    </w:p>
    <w:p w:rsidR="00AD3C82" w:rsidRPr="00AD3C82" w:rsidRDefault="00AD3C82" w:rsidP="00AD3C82">
      <w:pPr>
        <w:pStyle w:val="TextoNormalSangraFrancesa"/>
        <w:rPr>
          <w:rStyle w:val="TextoNormalCaracter"/>
        </w:rPr>
      </w:pPr>
      <w:bookmarkStart w:id="970" w:name="DESCRIPTORALFABETICO3"/>
      <w:r w:rsidRPr="00AD3C82">
        <w:rPr>
          <w:rStyle w:val="TextoNormalNegritaCaracter"/>
        </w:rPr>
        <w:t>Cláusula de prevalencia</w:t>
      </w:r>
      <w:bookmarkEnd w:id="970"/>
      <w:r w:rsidRPr="00AD3C82">
        <w:rPr>
          <w:rStyle w:val="TextoNormalCaracter"/>
        </w:rPr>
        <w:t xml:space="preserve">, Sentencia </w:t>
      </w:r>
      <w:hyperlink w:anchor="SENTENCIA_2016_127" w:history="1">
        <w:r w:rsidRPr="00AD3C82">
          <w:rPr>
            <w:rStyle w:val="TextoNormalCaracter"/>
          </w:rPr>
          <w:t>127/2016</w:t>
        </w:r>
      </w:hyperlink>
      <w:r w:rsidRPr="00AD3C82">
        <w:rPr>
          <w:rStyle w:val="TextoNormalCaracter"/>
        </w:rPr>
        <w:t>, ff. 2, 3, VP.</w:t>
      </w:r>
    </w:p>
    <w:p w:rsidR="00AD3C82" w:rsidRPr="00AD3C82" w:rsidRDefault="00AD3C82" w:rsidP="00AD3C82">
      <w:pPr>
        <w:pStyle w:val="TextoNormalSangraFrancesa"/>
        <w:rPr>
          <w:rStyle w:val="TextoNormalCaracter"/>
        </w:rPr>
      </w:pPr>
      <w:bookmarkStart w:id="971" w:name="DESCRIPTORALFABETICO4"/>
      <w:r w:rsidRPr="00AD3C82">
        <w:rPr>
          <w:rStyle w:val="TextoNormalNegritaCaracter"/>
        </w:rPr>
        <w:t>Cláusula de supletoriedad</w:t>
      </w:r>
      <w:bookmarkEnd w:id="971"/>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 13; </w:t>
      </w:r>
      <w:hyperlink w:anchor="SENTENCIA_2016_214" w:history="1">
        <w:r w:rsidRPr="00AD3C82">
          <w:rPr>
            <w:rStyle w:val="TextoNormalCaracter"/>
          </w:rPr>
          <w:t>214/2016</w:t>
        </w:r>
      </w:hyperlink>
      <w:r w:rsidRPr="00AD3C82">
        <w:rPr>
          <w:rStyle w:val="TextoNormalCaracter"/>
        </w:rPr>
        <w:t>, f. 4.</w:t>
      </w:r>
    </w:p>
    <w:p w:rsidR="00AD3C82" w:rsidRPr="00AD3C82" w:rsidRDefault="00AD3C82" w:rsidP="00AD3C82">
      <w:pPr>
        <w:pStyle w:val="TextoNormalSangraFrancesa"/>
        <w:rPr>
          <w:rStyle w:val="TextoNormalCaracter"/>
        </w:rPr>
      </w:pPr>
      <w:bookmarkStart w:id="972" w:name="DESCRIPTORALFABETICO118"/>
      <w:r w:rsidRPr="00AD3C82">
        <w:rPr>
          <w:rStyle w:val="TextoNormalNegritaCaracter"/>
        </w:rPr>
        <w:t xml:space="preserve">Cláusula general de igualdad </w:t>
      </w:r>
      <w:r w:rsidRPr="00AD3C82">
        <w:rPr>
          <w:rStyle w:val="TextoNormalNegritaCaracter"/>
          <w:i/>
        </w:rPr>
        <w:t>versus</w:t>
      </w:r>
      <w:r w:rsidRPr="00AD3C82">
        <w:rPr>
          <w:rStyle w:val="TextoNormalNegritaCaracter"/>
        </w:rPr>
        <w:t xml:space="preserve"> prohibiciones de discriminación</w:t>
      </w:r>
      <w:bookmarkEnd w:id="972"/>
      <w:r w:rsidRPr="00AD3C82">
        <w:rPr>
          <w:rStyle w:val="TextoNormalCaracter"/>
        </w:rPr>
        <w:t xml:space="preserve">, Sentencia </w:t>
      </w:r>
      <w:hyperlink w:anchor="SENTENCIA_2016_162" w:history="1">
        <w:r w:rsidRPr="00AD3C82">
          <w:rPr>
            <w:rStyle w:val="TextoNormalCaracter"/>
          </w:rPr>
          <w:t>162/2016</w:t>
        </w:r>
      </w:hyperlink>
      <w:r w:rsidRPr="00AD3C82">
        <w:rPr>
          <w:rStyle w:val="TextoNormalCaracter"/>
        </w:rPr>
        <w:t>, ff. 4, 7.</w:t>
      </w:r>
    </w:p>
    <w:p w:rsidR="00AD3C82" w:rsidRPr="00AD3C82" w:rsidRDefault="00AD3C82" w:rsidP="00AD3C82">
      <w:pPr>
        <w:pStyle w:val="TextoNormalSangraFrancesa"/>
        <w:rPr>
          <w:rStyle w:val="TextoNormalCaracter"/>
        </w:rPr>
      </w:pPr>
      <w:bookmarkStart w:id="973" w:name="DESCRIPTORALFABETICO5"/>
      <w:r w:rsidRPr="00AD3C82">
        <w:rPr>
          <w:rStyle w:val="TextoNormalNegritaCaracter"/>
        </w:rPr>
        <w:t>Cláusula residual</w:t>
      </w:r>
      <w:bookmarkEnd w:id="973"/>
      <w:r w:rsidRPr="00AD3C82">
        <w:rPr>
          <w:rStyle w:val="TextoNormalCaracter"/>
        </w:rPr>
        <w:t xml:space="preserve">, Sentencia </w:t>
      </w:r>
      <w:hyperlink w:anchor="SENTENCIA_2016_184" w:history="1">
        <w:r w:rsidRPr="00AD3C82">
          <w:rPr>
            <w:rStyle w:val="TextoNormalCaracter"/>
          </w:rPr>
          <w:t>184/2016</w:t>
        </w:r>
      </w:hyperlink>
      <w:r w:rsidRPr="00AD3C82">
        <w:rPr>
          <w:rStyle w:val="TextoNormalCaracter"/>
        </w:rPr>
        <w:t>, f. 1.</w:t>
      </w:r>
    </w:p>
    <w:p w:rsidR="00AD3C82" w:rsidRPr="00AD3C82" w:rsidRDefault="00AD3C82" w:rsidP="00AD3C82">
      <w:pPr>
        <w:pStyle w:val="TextoNormalSangraFrancesa"/>
        <w:rPr>
          <w:rStyle w:val="TextoNormalCaracter"/>
        </w:rPr>
      </w:pPr>
      <w:bookmarkStart w:id="974" w:name="DESCRIPTORALFABETICO430"/>
      <w:r w:rsidRPr="00AD3C82">
        <w:rPr>
          <w:rStyle w:val="TextoNormalNegritaCaracter"/>
        </w:rPr>
        <w:t>Cláusulas abusivas</w:t>
      </w:r>
      <w:bookmarkEnd w:id="974"/>
      <w:r w:rsidRPr="00AD3C82">
        <w:rPr>
          <w:rStyle w:val="TextoNormalCaracter"/>
        </w:rPr>
        <w:t xml:space="preserve">, Sentencias </w:t>
      </w:r>
      <w:hyperlink w:anchor="SENTENCIA_2016_148" w:history="1">
        <w:r w:rsidRPr="00AD3C82">
          <w:rPr>
            <w:rStyle w:val="TextoNormalCaracter"/>
          </w:rPr>
          <w:t>148/2016</w:t>
        </w:r>
      </w:hyperlink>
      <w:r w:rsidRPr="00AD3C82">
        <w:rPr>
          <w:rStyle w:val="TextoNormalCaracter"/>
        </w:rPr>
        <w:t xml:space="preserve">, ff. 4 a 7; </w:t>
      </w:r>
      <w:hyperlink w:anchor="SENTENCIA_2016_206" w:history="1">
        <w:r w:rsidRPr="00AD3C82">
          <w:rPr>
            <w:rStyle w:val="TextoNormalCaracter"/>
          </w:rPr>
          <w:t>206/2016</w:t>
        </w:r>
      </w:hyperlink>
      <w:r w:rsidRPr="00AD3C82">
        <w:rPr>
          <w:rStyle w:val="TextoNormalCaracter"/>
        </w:rPr>
        <w:t xml:space="preserve">, ff. 1 a 4; </w:t>
      </w:r>
      <w:hyperlink w:anchor="SENTENCIA_2016_207" w:history="1">
        <w:r w:rsidRPr="00AD3C82">
          <w:rPr>
            <w:rStyle w:val="TextoNormalCaracter"/>
          </w:rPr>
          <w:t>207/2016</w:t>
        </w:r>
      </w:hyperlink>
      <w:r w:rsidRPr="00AD3C82">
        <w:rPr>
          <w:rStyle w:val="TextoNormalCaracter"/>
        </w:rPr>
        <w:t xml:space="preserve">, ff. 1 a 5; </w:t>
      </w:r>
      <w:hyperlink w:anchor="SENTENCIA_2016_208" w:history="1">
        <w:r w:rsidRPr="00AD3C82">
          <w:rPr>
            <w:rStyle w:val="TextoNormalCaracter"/>
          </w:rPr>
          <w:t>208/2016</w:t>
        </w:r>
      </w:hyperlink>
      <w:r w:rsidRPr="00AD3C82">
        <w:rPr>
          <w:rStyle w:val="TextoNormalCaracter"/>
        </w:rPr>
        <w:t xml:space="preserve">, ff. 1 a 4; </w:t>
      </w:r>
      <w:hyperlink w:anchor="SENTENCIA_2016_209" w:history="1">
        <w:r w:rsidRPr="00AD3C82">
          <w:rPr>
            <w:rStyle w:val="TextoNormalCaracter"/>
          </w:rPr>
          <w:t>209/2016</w:t>
        </w:r>
      </w:hyperlink>
      <w:r w:rsidRPr="00AD3C82">
        <w:rPr>
          <w:rStyle w:val="TextoNormalCaracter"/>
        </w:rPr>
        <w:t xml:space="preserve">, ff. 1 a 4; </w:t>
      </w:r>
      <w:hyperlink w:anchor="SENTENCIA_2016_218" w:history="1">
        <w:r w:rsidRPr="00AD3C82">
          <w:rPr>
            <w:rStyle w:val="TextoNormalCaracter"/>
          </w:rPr>
          <w:t>218/2016</w:t>
        </w:r>
      </w:hyperlink>
      <w:r w:rsidRPr="00AD3C82">
        <w:rPr>
          <w:rStyle w:val="TextoNormalCaracter"/>
        </w:rPr>
        <w:t xml:space="preserve">, ff. 1 a 5; </w:t>
      </w:r>
      <w:hyperlink w:anchor="SENTENCIA_2016_221" w:history="1">
        <w:r w:rsidRPr="00AD3C82">
          <w:rPr>
            <w:rStyle w:val="TextoNormalCaracter"/>
          </w:rPr>
          <w:t>221/2016</w:t>
        </w:r>
      </w:hyperlink>
      <w:r w:rsidRPr="00AD3C82">
        <w:rPr>
          <w:rStyle w:val="TextoNormalCaracter"/>
        </w:rPr>
        <w:t xml:space="preserve">, ff. 1 a 5; </w:t>
      </w:r>
      <w:hyperlink w:anchor="SENTENCIA_2016_223" w:history="1">
        <w:r w:rsidRPr="00AD3C82">
          <w:rPr>
            <w:rStyle w:val="TextoNormalCaracter"/>
          </w:rPr>
          <w:t>223/2016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975" w:name="DESCRIPTORALFABETICO370"/>
      <w:r w:rsidRPr="00AD3C82">
        <w:rPr>
          <w:rStyle w:val="TextoNormalNegritaCaracter"/>
        </w:rPr>
        <w:t>Cobertura legal</w:t>
      </w:r>
      <w:bookmarkEnd w:id="975"/>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ff. 1, 3, 4.</w:t>
      </w:r>
    </w:p>
    <w:p w:rsidR="00AD3C82" w:rsidRPr="00AD3C82" w:rsidRDefault="00AD3C82" w:rsidP="00AD3C82">
      <w:pPr>
        <w:pStyle w:val="TextoNormalSangraFrancesa"/>
        <w:rPr>
          <w:rStyle w:val="TextoNormalCaracter"/>
        </w:rPr>
      </w:pPr>
      <w:bookmarkStart w:id="976" w:name="DESCRIPTORALFABETICO230"/>
      <w:r w:rsidRPr="00AD3C82">
        <w:rPr>
          <w:rStyle w:val="TextoNormalNegritaCaracter"/>
        </w:rPr>
        <w:t>Colisión con normas básicas</w:t>
      </w:r>
      <w:bookmarkEnd w:id="976"/>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 2; </w:t>
      </w:r>
      <w:hyperlink w:anchor="SENTENCIA_2016_164" w:history="1">
        <w:r w:rsidRPr="00AD3C82">
          <w:rPr>
            <w:rStyle w:val="TextoNormalCaracter"/>
          </w:rPr>
          <w:t>164/2016</w:t>
        </w:r>
      </w:hyperlink>
      <w:r w:rsidRPr="00AD3C82">
        <w:rPr>
          <w:rStyle w:val="TextoNormalCaracter"/>
        </w:rPr>
        <w:t xml:space="preserve">, ff. 1, 3 a 7; </w:t>
      </w:r>
      <w:hyperlink w:anchor="SENTENCIA_2016_204" w:history="1">
        <w:r w:rsidRPr="00AD3C82">
          <w:rPr>
            <w:rStyle w:val="TextoNormalCaracter"/>
          </w:rPr>
          <w:t>204/2016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977" w:name="DESCRIPTORALFABETICO392"/>
      <w:r w:rsidRPr="00AD3C82">
        <w:rPr>
          <w:rStyle w:val="TextoNormalNegritaCaracter"/>
        </w:rPr>
        <w:t>Comarcas</w:t>
      </w:r>
      <w:bookmarkEnd w:id="977"/>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 4.</w:t>
      </w:r>
    </w:p>
    <w:p w:rsidR="00AD3C82" w:rsidRPr="00AD3C82" w:rsidRDefault="00AD3C82" w:rsidP="00AD3C82">
      <w:pPr>
        <w:pStyle w:val="TextoNormalSangraFrancesa"/>
        <w:rPr>
          <w:rStyle w:val="TextoNormalCaracter"/>
        </w:rPr>
      </w:pPr>
      <w:bookmarkStart w:id="978" w:name="DESCRIPTORALFABETICO305"/>
      <w:r w:rsidRPr="00AD3C82">
        <w:rPr>
          <w:rStyle w:val="TextoNormalNegritaCaracter"/>
        </w:rPr>
        <w:t>Comisión Mixta de Asuntos Económicos y Fiscales</w:t>
      </w:r>
      <w:bookmarkEnd w:id="978"/>
      <w:r w:rsidRPr="00AD3C82">
        <w:rPr>
          <w:rStyle w:val="TextoNormalCaracter"/>
        </w:rPr>
        <w:t xml:space="preserve">, Sentencia </w:t>
      </w:r>
      <w:hyperlink w:anchor="SENTENCIA_2016_217" w:history="1">
        <w:r w:rsidRPr="00AD3C82">
          <w:rPr>
            <w:rStyle w:val="TextoNormalCaracter"/>
          </w:rPr>
          <w:t>217/2016</w:t>
        </w:r>
      </w:hyperlink>
      <w:r w:rsidRPr="00AD3C82">
        <w:rPr>
          <w:rStyle w:val="TextoNormalCaracter"/>
        </w:rPr>
        <w:t>, ff. 1, 3 a 5.</w:t>
      </w:r>
    </w:p>
    <w:p w:rsidR="00AD3C82" w:rsidRPr="00AD3C82" w:rsidRDefault="00AD3C82" w:rsidP="00AD3C82">
      <w:pPr>
        <w:pStyle w:val="TextoNormalSangraFrancesa"/>
        <w:rPr>
          <w:rStyle w:val="TextoNormalCaracter"/>
        </w:rPr>
      </w:pPr>
      <w:bookmarkStart w:id="979" w:name="DESCRIPTORALFABETICO336"/>
      <w:r w:rsidRPr="00AD3C82">
        <w:rPr>
          <w:rStyle w:val="TextoNormalNegritaCaracter"/>
        </w:rPr>
        <w:t>Comisiones de investigación</w:t>
      </w:r>
      <w:bookmarkEnd w:id="979"/>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 6b.</w:t>
      </w:r>
    </w:p>
    <w:p w:rsidR="00AD3C82" w:rsidRPr="00AD3C82" w:rsidRDefault="00AD3C82" w:rsidP="00AD3C82">
      <w:pPr>
        <w:pStyle w:val="TextoNormalSangraFrancesa"/>
        <w:rPr>
          <w:rStyle w:val="TextoNormalCaracter"/>
        </w:rPr>
      </w:pPr>
      <w:bookmarkStart w:id="980" w:name="DESCRIPTORALFABETICO335"/>
      <w:r w:rsidRPr="00AD3C82">
        <w:rPr>
          <w:rStyle w:val="TextoNormalNegritaCaracter"/>
        </w:rPr>
        <w:t>Comisiones parlamentarias</w:t>
      </w:r>
      <w:bookmarkEnd w:id="980"/>
      <w:r w:rsidRPr="00AD3C82">
        <w:rPr>
          <w:rStyle w:val="TextoNormalCaracter"/>
        </w:rPr>
        <w:t xml:space="preserve">, Auto </w:t>
      </w:r>
      <w:hyperlink w:anchor="AUTO_2016_141" w:history="1">
        <w:r w:rsidRPr="00AD3C82">
          <w:rPr>
            <w:rStyle w:val="TextoNormalCaracter"/>
          </w:rPr>
          <w:t>141/2016</w:t>
        </w:r>
      </w:hyperlink>
      <w:r w:rsidRPr="00AD3C82">
        <w:rPr>
          <w:rStyle w:val="TextoNormalCaracter"/>
        </w:rPr>
        <w:t>, ff. 2, 4 a 7.</w:t>
      </w:r>
    </w:p>
    <w:p w:rsidR="00AD3C82" w:rsidRPr="00AD3C82" w:rsidRDefault="00AD3C82" w:rsidP="00AD3C82">
      <w:pPr>
        <w:pStyle w:val="TextoNormalSangraFrancesa"/>
        <w:rPr>
          <w:rStyle w:val="TextoNormalCaracter"/>
        </w:rPr>
      </w:pPr>
      <w:bookmarkStart w:id="981" w:name="DESCRIPTORALFABETICO333"/>
      <w:r w:rsidRPr="00AD3C82">
        <w:rPr>
          <w:rStyle w:val="TextoNormalNegritaCaracter"/>
        </w:rPr>
        <w:t>Comparecencia parlamentaria</w:t>
      </w:r>
      <w:bookmarkEnd w:id="981"/>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ff. 6b, 6c.</w:t>
      </w:r>
    </w:p>
    <w:p w:rsidR="00AD3C82" w:rsidRPr="00AD3C82" w:rsidRDefault="00AD3C82" w:rsidP="00AD3C82">
      <w:pPr>
        <w:pStyle w:val="TextoNormalSangraFrancesa"/>
        <w:rPr>
          <w:rStyle w:val="TextoNormalCaracter"/>
        </w:rPr>
      </w:pPr>
      <w:bookmarkStart w:id="982" w:name="DESCRIPTORALFABETICO85"/>
      <w:r w:rsidRPr="00AD3C82">
        <w:rPr>
          <w:rStyle w:val="TextoNormalNegritaCaracter"/>
        </w:rPr>
        <w:t>Competencia para autorizar gastos públicos</w:t>
      </w:r>
      <w:bookmarkEnd w:id="982"/>
      <w:r w:rsidRPr="00AD3C82">
        <w:rPr>
          <w:rStyle w:val="TextoNormalCaracter"/>
        </w:rPr>
        <w:t xml:space="preserve">, Sentencia </w:t>
      </w:r>
      <w:hyperlink w:anchor="SENTENCIA_2016_178" w:history="1">
        <w:r w:rsidRPr="00AD3C82">
          <w:rPr>
            <w:rStyle w:val="TextoNormalCaracter"/>
          </w:rPr>
          <w:t>178/2016</w:t>
        </w:r>
      </w:hyperlink>
      <w:r w:rsidRPr="00AD3C82">
        <w:rPr>
          <w:rStyle w:val="TextoNormalCaracter"/>
        </w:rPr>
        <w:t>, f. 3.</w:t>
      </w:r>
    </w:p>
    <w:p w:rsidR="00AD3C82" w:rsidRPr="00AD3C82" w:rsidRDefault="00AD3C82" w:rsidP="00AD3C82">
      <w:pPr>
        <w:pStyle w:val="TextoNormalSangraFrancesa"/>
        <w:rPr>
          <w:rStyle w:val="TextoNormalCaracter"/>
        </w:rPr>
      </w:pPr>
      <w:bookmarkStart w:id="983" w:name="DESCRIPTORALFABETICO593"/>
      <w:r w:rsidRPr="00AD3C82">
        <w:rPr>
          <w:rStyle w:val="TextoNormalNegritaCaracter"/>
        </w:rPr>
        <w:t>Competencia territorial</w:t>
      </w:r>
      <w:bookmarkEnd w:id="983"/>
      <w:r w:rsidRPr="00AD3C82">
        <w:rPr>
          <w:rStyle w:val="TextoNormalCaracter"/>
        </w:rPr>
        <w:t xml:space="preserve">, Sentencia </w:t>
      </w:r>
      <w:hyperlink w:anchor="SENTENCIA_2016_146" w:history="1">
        <w:r w:rsidRPr="00AD3C82">
          <w:rPr>
            <w:rStyle w:val="TextoNormalCaracter"/>
          </w:rPr>
          <w:t>146/2016</w:t>
        </w:r>
      </w:hyperlink>
      <w:r w:rsidRPr="00AD3C82">
        <w:rPr>
          <w:rStyle w:val="TextoNormalCaracter"/>
        </w:rPr>
        <w:t>, f. 1, VP.</w:t>
      </w:r>
    </w:p>
    <w:p w:rsidR="00AD3C82" w:rsidRPr="00AD3C82" w:rsidRDefault="00AD3C82" w:rsidP="00AD3C82">
      <w:pPr>
        <w:pStyle w:val="TextoNormalSangraFrancesa"/>
        <w:rPr>
          <w:rStyle w:val="TextoNormalCaracter"/>
        </w:rPr>
      </w:pPr>
      <w:bookmarkStart w:id="984" w:name="DESCRIPTORALFABETICO11"/>
      <w:r w:rsidRPr="00AD3C82">
        <w:rPr>
          <w:rStyle w:val="TextoNormalNegritaCaracter"/>
        </w:rPr>
        <w:t>Competencias autonómicas de ejecución</w:t>
      </w:r>
      <w:bookmarkEnd w:id="984"/>
      <w:r w:rsidRPr="00AD3C82">
        <w:rPr>
          <w:rStyle w:val="TextoNormalCaracter"/>
        </w:rPr>
        <w:t xml:space="preserve">, Sentencias </w:t>
      </w:r>
      <w:hyperlink w:anchor="SENTENCIA_2016_159" w:history="1">
        <w:r w:rsidRPr="00AD3C82">
          <w:rPr>
            <w:rStyle w:val="TextoNormalCaracter"/>
          </w:rPr>
          <w:t>159/2016</w:t>
        </w:r>
      </w:hyperlink>
      <w:r w:rsidRPr="00AD3C82">
        <w:rPr>
          <w:rStyle w:val="TextoNormalCaracter"/>
        </w:rPr>
        <w:t xml:space="preserve">, ff. 1 a 9; </w:t>
      </w:r>
      <w:hyperlink w:anchor="SENTENCIA_2016_179" w:history="1">
        <w:r w:rsidRPr="00AD3C82">
          <w:rPr>
            <w:rStyle w:val="TextoNormalCaracter"/>
          </w:rPr>
          <w:t>179/2016</w:t>
        </w:r>
      </w:hyperlink>
      <w:r w:rsidRPr="00AD3C82">
        <w:rPr>
          <w:rStyle w:val="TextoNormalCaracter"/>
        </w:rPr>
        <w:t xml:space="preserve">, f. 2; </w:t>
      </w:r>
      <w:hyperlink w:anchor="SENTENCIA_2016_183" w:history="1">
        <w:r w:rsidRPr="00AD3C82">
          <w:rPr>
            <w:rStyle w:val="TextoNormalCaracter"/>
          </w:rPr>
          <w:t>183/2016</w:t>
        </w:r>
      </w:hyperlink>
      <w:r w:rsidRPr="00AD3C82">
        <w:rPr>
          <w:rStyle w:val="TextoNormalCaracter"/>
        </w:rPr>
        <w:t>, ff. 5, 6 b).</w:t>
      </w:r>
    </w:p>
    <w:p w:rsidR="00AD3C82" w:rsidRPr="00AD3C82" w:rsidRDefault="00AD3C82" w:rsidP="00AD3C82">
      <w:pPr>
        <w:pStyle w:val="TextoNormalSangraFrancesa"/>
        <w:rPr>
          <w:rStyle w:val="TextoNormalCaracter"/>
        </w:rPr>
      </w:pPr>
      <w:bookmarkStart w:id="985" w:name="DESCRIPTORALFABETICO12"/>
      <w:r w:rsidRPr="00AD3C82">
        <w:rPr>
          <w:rStyle w:val="TextoNormalNegritaCaracter"/>
        </w:rPr>
        <w:t>Competencias autonómicas de gestión</w:t>
      </w:r>
      <w:bookmarkEnd w:id="985"/>
      <w:r w:rsidRPr="00AD3C82">
        <w:rPr>
          <w:rStyle w:val="TextoNormalCaracter"/>
        </w:rPr>
        <w:t xml:space="preserve">, Sentencia </w:t>
      </w:r>
      <w:hyperlink w:anchor="SENTENCIA_2016_183" w:history="1">
        <w:r w:rsidRPr="00AD3C82">
          <w:rPr>
            <w:rStyle w:val="TextoNormalCaracter"/>
          </w:rPr>
          <w:t>183/2016</w:t>
        </w:r>
      </w:hyperlink>
      <w:r w:rsidRPr="00AD3C82">
        <w:rPr>
          <w:rStyle w:val="TextoNormalCaracter"/>
        </w:rPr>
        <w:t>, ff. 5, 6 b).</w:t>
      </w:r>
    </w:p>
    <w:p w:rsidR="00AD3C82" w:rsidRPr="00AD3C82" w:rsidRDefault="00AD3C82" w:rsidP="00AD3C82">
      <w:pPr>
        <w:pStyle w:val="TextoNormalSangraFrancesa"/>
        <w:rPr>
          <w:rStyle w:val="TextoNormalCaracter"/>
        </w:rPr>
      </w:pPr>
      <w:bookmarkStart w:id="986" w:name="DESCRIPTORALFABETICO13"/>
      <w:r w:rsidRPr="00AD3C82">
        <w:rPr>
          <w:rStyle w:val="TextoNormalNegritaCaracter"/>
        </w:rPr>
        <w:t>Competencias autonómicas normativas</w:t>
      </w:r>
      <w:bookmarkEnd w:id="986"/>
      <w:r w:rsidRPr="00AD3C82">
        <w:rPr>
          <w:rStyle w:val="TextoNormalCaracter"/>
        </w:rPr>
        <w:t xml:space="preserve">, Sentencia </w:t>
      </w:r>
      <w:hyperlink w:anchor="SENTENCIA_2016_142" w:history="1">
        <w:r w:rsidRPr="00AD3C82">
          <w:rPr>
            <w:rStyle w:val="TextoNormalCaracter"/>
          </w:rPr>
          <w:t>142/2016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987" w:name="DESCRIPTORALFABETICO8"/>
      <w:r w:rsidRPr="00AD3C82">
        <w:rPr>
          <w:rStyle w:val="TextoNormalNegritaCaracter"/>
        </w:rPr>
        <w:t>Competencias compartidas</w:t>
      </w:r>
      <w:bookmarkEnd w:id="987"/>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ff. 2, 3, 6 a 10; </w:t>
      </w:r>
      <w:hyperlink w:anchor="SENTENCIA_2016_171" w:history="1">
        <w:r w:rsidRPr="00AD3C82">
          <w:rPr>
            <w:rStyle w:val="TextoNormalCaracter"/>
          </w:rPr>
          <w:t>171/2016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988" w:name="DESCRIPTORALFABETICO9"/>
      <w:r w:rsidRPr="00AD3C82">
        <w:rPr>
          <w:rStyle w:val="TextoNormalNegritaCaracter"/>
        </w:rPr>
        <w:t>Competencias de coordinación</w:t>
      </w:r>
      <w:bookmarkEnd w:id="988"/>
      <w:r w:rsidRPr="00AD3C82">
        <w:rPr>
          <w:rStyle w:val="TextoNormalCaracter"/>
        </w:rPr>
        <w:t xml:space="preserve">, Sentencias </w:t>
      </w:r>
      <w:hyperlink w:anchor="SENTENCIA_2016_171" w:history="1">
        <w:r w:rsidRPr="00AD3C82">
          <w:rPr>
            <w:rStyle w:val="TextoNormalCaracter"/>
          </w:rPr>
          <w:t>171/2016</w:t>
        </w:r>
      </w:hyperlink>
      <w:r w:rsidRPr="00AD3C82">
        <w:rPr>
          <w:rStyle w:val="TextoNormalCaracter"/>
        </w:rPr>
        <w:t xml:space="preserve">, f. 5; </w:t>
      </w:r>
      <w:hyperlink w:anchor="SENTENCIA_2016_180" w:history="1">
        <w:r w:rsidRPr="00AD3C82">
          <w:rPr>
            <w:rStyle w:val="TextoNormalCaracter"/>
          </w:rPr>
          <w:t>180/2016</w:t>
        </w:r>
      </w:hyperlink>
      <w:r w:rsidRPr="00AD3C82">
        <w:rPr>
          <w:rStyle w:val="TextoNormalCaracter"/>
        </w:rPr>
        <w:t>, f. 3.</w:t>
      </w:r>
    </w:p>
    <w:p w:rsidR="00AD3C82" w:rsidRPr="00AD3C82" w:rsidRDefault="00AD3C82" w:rsidP="00AD3C82">
      <w:pPr>
        <w:pStyle w:val="TextoNormalSangraFrancesa"/>
        <w:rPr>
          <w:rStyle w:val="TextoNormalCaracter"/>
        </w:rPr>
      </w:pPr>
      <w:bookmarkStart w:id="989" w:name="DESCRIPTORALFABETICO10"/>
      <w:r w:rsidRPr="00AD3C82">
        <w:rPr>
          <w:rStyle w:val="TextoNormalNegritaCaracter"/>
        </w:rPr>
        <w:t>Competencias de las Comunidades Autónomas</w:t>
      </w:r>
      <w:bookmarkEnd w:id="989"/>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ff. 2, 3, 6 a 10; </w:t>
      </w:r>
      <w:hyperlink w:anchor="SENTENCIA_2016_159" w:history="1">
        <w:r w:rsidRPr="00AD3C82">
          <w:rPr>
            <w:rStyle w:val="TextoNormalCaracter"/>
          </w:rPr>
          <w:t>159/2016</w:t>
        </w:r>
      </w:hyperlink>
      <w:r w:rsidRPr="00AD3C82">
        <w:rPr>
          <w:rStyle w:val="TextoNormalCaracter"/>
        </w:rPr>
        <w:t xml:space="preserve">, ff. 1 a 9; </w:t>
      </w:r>
      <w:hyperlink w:anchor="SENTENCIA_2016_195" w:history="1">
        <w:r w:rsidRPr="00AD3C82">
          <w:rPr>
            <w:rStyle w:val="TextoNormalCaracter"/>
          </w:rPr>
          <w:t>195/2016</w:t>
        </w:r>
      </w:hyperlink>
      <w:r w:rsidRPr="00AD3C82">
        <w:rPr>
          <w:rStyle w:val="TextoNormalCaracter"/>
        </w:rPr>
        <w:t xml:space="preserve">, ff. 1, 4, 5; </w:t>
      </w:r>
      <w:hyperlink w:anchor="SENTENCIA_2016_214" w:history="1">
        <w:r w:rsidRPr="00AD3C82">
          <w:rPr>
            <w:rStyle w:val="TextoNormalCaracter"/>
          </w:rPr>
          <w:t>214/2016</w:t>
        </w:r>
      </w:hyperlink>
      <w:r w:rsidRPr="00AD3C82">
        <w:rPr>
          <w:rStyle w:val="TextoNormalCaracter"/>
        </w:rPr>
        <w:t>, f. 1, 3.</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990" w:name="DESCRIPTORALFABETICO18"/>
      <w:r w:rsidRPr="00AD3C82">
        <w:rPr>
          <w:rStyle w:val="TextoNormalNegritaCaracter"/>
        </w:rPr>
        <w:t>Competencias de los entes locales</w:t>
      </w:r>
      <w:bookmarkEnd w:id="990"/>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991" w:name="DESCRIPTORALFABETICO19"/>
      <w:r w:rsidRPr="00AD3C82">
        <w:rPr>
          <w:rStyle w:val="TextoNormalNegritaCaracter"/>
        </w:rPr>
        <w:t>Competencias de los municipios</w:t>
      </w:r>
      <w:bookmarkEnd w:id="991"/>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3 a 6, 8, 9.</w:t>
      </w:r>
    </w:p>
    <w:p w:rsidR="00AD3C82" w:rsidRPr="00AD3C82" w:rsidRDefault="00AD3C82" w:rsidP="00AD3C82">
      <w:pPr>
        <w:pStyle w:val="TextoNormalSangraFrancesa"/>
        <w:rPr>
          <w:rStyle w:val="TextoNormalCaracter"/>
        </w:rPr>
      </w:pPr>
      <w:bookmarkStart w:id="992" w:name="DESCRIPTORALFABETICO20"/>
      <w:r w:rsidRPr="00AD3C82">
        <w:rPr>
          <w:rStyle w:val="TextoNormalNegritaCaracter"/>
        </w:rPr>
        <w:t>Competencias del Estado</w:t>
      </w:r>
      <w:bookmarkEnd w:id="992"/>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993" w:name="DESCRIPTORALFABETICO14"/>
      <w:r w:rsidRPr="00AD3C82">
        <w:rPr>
          <w:rStyle w:val="TextoNormalNegritaCaracter"/>
        </w:rPr>
        <w:t>Competencias delimitadas por la legislación básica</w:t>
      </w:r>
      <w:bookmarkEnd w:id="993"/>
      <w:r w:rsidRPr="00AD3C82">
        <w:rPr>
          <w:rStyle w:val="TextoNormalCaracter"/>
        </w:rPr>
        <w:t xml:space="preserve">, Sentencias </w:t>
      </w:r>
      <w:hyperlink w:anchor="SENTENCIA_2016_157" w:history="1">
        <w:r w:rsidRPr="00AD3C82">
          <w:rPr>
            <w:rStyle w:val="TextoNormalCaracter"/>
          </w:rPr>
          <w:t>157/2016</w:t>
        </w:r>
      </w:hyperlink>
      <w:r w:rsidRPr="00AD3C82">
        <w:rPr>
          <w:rStyle w:val="TextoNormalCaracter"/>
        </w:rPr>
        <w:t xml:space="preserve">, ff. 1, 2, 8, 9, VP; </w:t>
      </w:r>
      <w:hyperlink w:anchor="SENTENCIA_2016_164" w:history="1">
        <w:r w:rsidRPr="00AD3C82">
          <w:rPr>
            <w:rStyle w:val="TextoNormalCaracter"/>
          </w:rPr>
          <w:t>164/2016</w:t>
        </w:r>
      </w:hyperlink>
      <w:r w:rsidRPr="00AD3C82">
        <w:rPr>
          <w:rStyle w:val="TextoNormalCaracter"/>
        </w:rPr>
        <w:t xml:space="preserve">, ff. 3 a 7; </w:t>
      </w:r>
      <w:hyperlink w:anchor="SENTENCIA_2016_193" w:history="1">
        <w:r w:rsidRPr="00AD3C82">
          <w:rPr>
            <w:rStyle w:val="TextoNormalCaracter"/>
          </w:rPr>
          <w:t>193/2016</w:t>
        </w:r>
      </w:hyperlink>
      <w:r w:rsidRPr="00AD3C82">
        <w:rPr>
          <w:rStyle w:val="TextoNormalCaracter"/>
        </w:rPr>
        <w:t>, ff. 2, 4, 5.</w:t>
      </w:r>
    </w:p>
    <w:p w:rsidR="00AD3C82" w:rsidRPr="00AD3C82" w:rsidRDefault="00AD3C82" w:rsidP="00AD3C82">
      <w:pPr>
        <w:pStyle w:val="TextoNormalSangraFrancesa"/>
        <w:rPr>
          <w:rStyle w:val="TextoNormalCaracter"/>
        </w:rPr>
      </w:pPr>
      <w:bookmarkStart w:id="994" w:name="DESCRIPTORALFABETICO30"/>
      <w:r w:rsidRPr="00AD3C82">
        <w:rPr>
          <w:rStyle w:val="TextoNormalNegritaCaracter"/>
        </w:rPr>
        <w:t>Competencias en materia de acceso a la función pública</w:t>
      </w:r>
      <w:bookmarkEnd w:id="994"/>
      <w:r w:rsidRPr="00AD3C82">
        <w:rPr>
          <w:rStyle w:val="TextoNormalCaracter"/>
        </w:rPr>
        <w:t xml:space="preserve">, Auto </w:t>
      </w:r>
      <w:hyperlink w:anchor="AUTO_2016_176" w:history="1">
        <w:r w:rsidRPr="00AD3C82">
          <w:rPr>
            <w:rStyle w:val="TextoNormalCaracter"/>
          </w:rPr>
          <w:t>176/2016</w:t>
        </w:r>
      </w:hyperlink>
      <w:r w:rsidRPr="00AD3C82">
        <w:rPr>
          <w:rStyle w:val="TextoNormalCaracter"/>
        </w:rPr>
        <w:t>, ff. 4 a 7.</w:t>
      </w:r>
    </w:p>
    <w:p w:rsidR="00AD3C82" w:rsidRPr="00AD3C82" w:rsidRDefault="00AD3C82" w:rsidP="00AD3C82">
      <w:pPr>
        <w:pStyle w:val="TextoNormalSangraFrancesa"/>
        <w:rPr>
          <w:rStyle w:val="TextoNormalCaracter"/>
        </w:rPr>
      </w:pPr>
      <w:bookmarkStart w:id="995" w:name="DESCRIPTORALFABETICO31"/>
      <w:r w:rsidRPr="00AD3C82">
        <w:rPr>
          <w:rStyle w:val="TextoNormalNegritaCaracter"/>
        </w:rPr>
        <w:t>Competencias en materia de agricultura</w:t>
      </w:r>
      <w:bookmarkEnd w:id="995"/>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ff. 3 a 14; </w:t>
      </w:r>
      <w:hyperlink w:anchor="SENTENCIA_2016_186" w:history="1">
        <w:r w:rsidRPr="00AD3C82">
          <w:rPr>
            <w:rStyle w:val="TextoNormalCaracter"/>
          </w:rPr>
          <w:t>186/2016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996" w:name="DESCRIPTORALFABETICO32"/>
      <w:r w:rsidRPr="00AD3C82">
        <w:rPr>
          <w:rStyle w:val="TextoNormalNegritaCaracter"/>
        </w:rPr>
        <w:t>Competencias en materia de aguas</w:t>
      </w:r>
      <w:bookmarkEnd w:id="996"/>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1, 3 a 9.</w:t>
      </w:r>
    </w:p>
    <w:p w:rsidR="00AD3C82" w:rsidRPr="00AD3C82" w:rsidRDefault="00AD3C82" w:rsidP="00AD3C82">
      <w:pPr>
        <w:pStyle w:val="TextoNormalSangraFrancesa"/>
        <w:rPr>
          <w:rStyle w:val="TextoNormalCaracter"/>
        </w:rPr>
      </w:pPr>
      <w:bookmarkStart w:id="997" w:name="DESCRIPTORALFABETICO33"/>
      <w:r w:rsidRPr="00AD3C82">
        <w:rPr>
          <w:rStyle w:val="TextoNormalNegritaCaracter"/>
        </w:rPr>
        <w:t>Competencias en materia de asistencia social</w:t>
      </w:r>
      <w:bookmarkEnd w:id="997"/>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3.</w:t>
      </w:r>
    </w:p>
    <w:p w:rsidR="00AD3C82" w:rsidRPr="00AD3C82" w:rsidRDefault="00AD3C82" w:rsidP="00AD3C82">
      <w:pPr>
        <w:pStyle w:val="TextoNormalSangraFrancesa"/>
        <w:rPr>
          <w:rStyle w:val="TextoNormalCaracter"/>
        </w:rPr>
      </w:pPr>
      <w:bookmarkStart w:id="998" w:name="DESCRIPTORALFABETICO34"/>
      <w:r w:rsidRPr="00AD3C82">
        <w:rPr>
          <w:rStyle w:val="TextoNormalNegritaCaracter"/>
        </w:rPr>
        <w:t>Competencias en materia de comercio interior</w:t>
      </w:r>
      <w:bookmarkEnd w:id="998"/>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3; </w:t>
      </w:r>
      <w:hyperlink w:anchor="SENTENCIA_2016_157" w:history="1">
        <w:r w:rsidRPr="00AD3C82">
          <w:rPr>
            <w:rStyle w:val="TextoNormalCaracter"/>
          </w:rPr>
          <w:t>157/2016</w:t>
        </w:r>
      </w:hyperlink>
      <w:r w:rsidRPr="00AD3C82">
        <w:rPr>
          <w:rStyle w:val="TextoNormalCaracter"/>
        </w:rPr>
        <w:t xml:space="preserve">, ff. 1, 2, 8, 9; </w:t>
      </w:r>
      <w:hyperlink w:anchor="SENTENCIA_2016_195" w:history="1">
        <w:r w:rsidRPr="00AD3C82">
          <w:rPr>
            <w:rStyle w:val="TextoNormalCaracter"/>
          </w:rPr>
          <w:t>195/2016</w:t>
        </w:r>
      </w:hyperlink>
      <w:r w:rsidRPr="00AD3C82">
        <w:rPr>
          <w:rStyle w:val="TextoNormalCaracter"/>
        </w:rPr>
        <w:t xml:space="preserve">, f. 4; </w:t>
      </w:r>
      <w:hyperlink w:anchor="SENTENCIA_2016_214" w:history="1">
        <w:r w:rsidRPr="00AD3C82">
          <w:rPr>
            <w:rStyle w:val="TextoNormalCaracter"/>
          </w:rPr>
          <w:t>214/2016</w:t>
        </w:r>
      </w:hyperlink>
      <w:r w:rsidRPr="00AD3C82">
        <w:rPr>
          <w:rStyle w:val="TextoNormalCaracter"/>
        </w:rPr>
        <w:t>, f. 3.</w:t>
      </w:r>
    </w:p>
    <w:p w:rsidR="00AD3C82" w:rsidRPr="00AD3C82" w:rsidRDefault="00AD3C82" w:rsidP="00AD3C82">
      <w:pPr>
        <w:pStyle w:val="TextoNormalSangraFrancesa"/>
        <w:rPr>
          <w:rStyle w:val="TextoNormalCaracter"/>
        </w:rPr>
      </w:pPr>
      <w:bookmarkStart w:id="999" w:name="DESCRIPTORALFABETICO36"/>
      <w:r w:rsidRPr="00AD3C82">
        <w:rPr>
          <w:rStyle w:val="TextoNormalNegritaCaracter"/>
        </w:rPr>
        <w:t>Competencias en materia de concesión de licencias de apertura de establecimientos comerciales</w:t>
      </w:r>
      <w:bookmarkEnd w:id="999"/>
      <w:r w:rsidRPr="00AD3C82">
        <w:rPr>
          <w:rStyle w:val="TextoNormalCaracter"/>
        </w:rPr>
        <w:t xml:space="preserve">, Sentencia </w:t>
      </w:r>
      <w:hyperlink w:anchor="SENTENCIA_2016_157" w:history="1">
        <w:r w:rsidRPr="00AD3C82">
          <w:rPr>
            <w:rStyle w:val="TextoNormalCaracter"/>
          </w:rPr>
          <w:t>157/2016</w:t>
        </w:r>
      </w:hyperlink>
      <w:r w:rsidRPr="00AD3C82">
        <w:rPr>
          <w:rStyle w:val="TextoNormalCaracter"/>
        </w:rPr>
        <w:t>, ff. 1, 2, 8, 9, VP.</w:t>
      </w:r>
    </w:p>
    <w:p w:rsidR="00AD3C82" w:rsidRPr="00AD3C82" w:rsidRDefault="00AD3C82" w:rsidP="00AD3C82">
      <w:pPr>
        <w:pStyle w:val="TextoNormalSangraFrancesa"/>
        <w:rPr>
          <w:rStyle w:val="TextoNormalCaracter"/>
        </w:rPr>
      </w:pPr>
      <w:bookmarkStart w:id="1000" w:name="DESCRIPTORALFABETICO37"/>
      <w:r w:rsidRPr="00AD3C82">
        <w:rPr>
          <w:rStyle w:val="TextoNormalNegritaCaracter"/>
        </w:rPr>
        <w:t>Competencias en materia de control del espacio aéreo</w:t>
      </w:r>
      <w:bookmarkEnd w:id="1000"/>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01" w:name="DESCRIPTORALFABETICO38"/>
      <w:r w:rsidRPr="00AD3C82">
        <w:rPr>
          <w:rStyle w:val="TextoNormalNegritaCaracter"/>
        </w:rPr>
        <w:t>Competencias en materia de cultura</w:t>
      </w:r>
      <w:bookmarkEnd w:id="1001"/>
      <w:r w:rsidRPr="00AD3C82">
        <w:rPr>
          <w:rStyle w:val="TextoNormalCaracter"/>
        </w:rPr>
        <w:t xml:space="preserve">, Sentencia </w:t>
      </w:r>
      <w:hyperlink w:anchor="SENTENCIA_2016_177" w:history="1">
        <w:r w:rsidRPr="00AD3C82">
          <w:rPr>
            <w:rStyle w:val="TextoNormalCaracter"/>
          </w:rPr>
          <w:t>177/2016</w:t>
        </w:r>
      </w:hyperlink>
      <w:r w:rsidRPr="00AD3C82">
        <w:rPr>
          <w:rStyle w:val="TextoNormalCaracter"/>
        </w:rPr>
        <w:t>, ff. 1, 3, 5 a 7, VVPP I, II.</w:t>
      </w:r>
    </w:p>
    <w:p w:rsidR="00AD3C82" w:rsidRPr="00AD3C82" w:rsidRDefault="00AD3C82" w:rsidP="00AD3C82">
      <w:pPr>
        <w:pStyle w:val="TextoNormalSangraFrancesa"/>
        <w:rPr>
          <w:rStyle w:val="TextoNormalCaracter"/>
        </w:rPr>
      </w:pPr>
      <w:bookmarkStart w:id="1002" w:name="DESCRIPTORALFABETICO39"/>
      <w:r w:rsidRPr="00AD3C82">
        <w:rPr>
          <w:rStyle w:val="TextoNormalNegritaCaracter"/>
        </w:rPr>
        <w:t>Competencias en materia de defensa nacional</w:t>
      </w:r>
      <w:bookmarkEnd w:id="1002"/>
      <w:r w:rsidRPr="00AD3C82">
        <w:rPr>
          <w:rStyle w:val="TextoNormalCaracter"/>
        </w:rPr>
        <w:t xml:space="preserve">, Sentencia </w:t>
      </w:r>
      <w:hyperlink w:anchor="SENTENCIA_2016_184" w:history="1">
        <w:r w:rsidRPr="00AD3C82">
          <w:rPr>
            <w:rStyle w:val="TextoNormalCaracter"/>
          </w:rPr>
          <w:t>184/2016</w:t>
        </w:r>
      </w:hyperlink>
      <w:r w:rsidRPr="00AD3C82">
        <w:rPr>
          <w:rStyle w:val="TextoNormalCaracter"/>
        </w:rPr>
        <w:t>, ff. 3 y 7.</w:t>
      </w:r>
    </w:p>
    <w:p w:rsidR="00AD3C82" w:rsidRPr="00AD3C82" w:rsidRDefault="00AD3C82" w:rsidP="00AD3C82">
      <w:pPr>
        <w:pStyle w:val="TextoNormalSangraFrancesa"/>
        <w:rPr>
          <w:rStyle w:val="TextoNormalCaracter"/>
        </w:rPr>
      </w:pPr>
      <w:bookmarkStart w:id="1003" w:name="DESCRIPTORALFABETICO45"/>
      <w:r w:rsidRPr="00AD3C82">
        <w:rPr>
          <w:rStyle w:val="TextoNormalNegritaCaracter"/>
        </w:rPr>
        <w:t>Competencias en materia de derechos forales</w:t>
      </w:r>
      <w:bookmarkEnd w:id="1003"/>
      <w:r w:rsidRPr="00AD3C82">
        <w:rPr>
          <w:rStyle w:val="TextoNormalCaracter"/>
        </w:rPr>
        <w:t xml:space="preserve">, Sentencia </w:t>
      </w:r>
      <w:hyperlink w:anchor="SENTENCIA_2016_192" w:history="1">
        <w:r w:rsidRPr="00AD3C82">
          <w:rPr>
            <w:rStyle w:val="TextoNormalCaracter"/>
          </w:rPr>
          <w:t>192/2016</w:t>
        </w:r>
      </w:hyperlink>
      <w:r w:rsidRPr="00AD3C82">
        <w:rPr>
          <w:rStyle w:val="TextoNormalCaracter"/>
        </w:rPr>
        <w:t>, ff. 1, 2, 4, VP.</w:t>
      </w:r>
    </w:p>
    <w:p w:rsidR="00AD3C82" w:rsidRPr="00AD3C82" w:rsidRDefault="00AD3C82" w:rsidP="00AD3C82">
      <w:pPr>
        <w:pStyle w:val="TextoNormalSangraFrancesa"/>
        <w:rPr>
          <w:rStyle w:val="TextoNormalCaracter"/>
        </w:rPr>
      </w:pPr>
      <w:bookmarkStart w:id="1004" w:name="DESCRIPTORALFABETICO41"/>
      <w:r w:rsidRPr="00AD3C82">
        <w:rPr>
          <w:rStyle w:val="TextoNormalNegritaCaracter"/>
        </w:rPr>
        <w:t>Competencias en materia de educación</w:t>
      </w:r>
      <w:bookmarkEnd w:id="1004"/>
      <w:r w:rsidRPr="00AD3C82">
        <w:rPr>
          <w:rStyle w:val="TextoNormalCaracter"/>
        </w:rPr>
        <w:t xml:space="preserve">, Sentencia </w:t>
      </w:r>
      <w:hyperlink w:anchor="SENTENCIA_2016_193" w:history="1">
        <w:r w:rsidRPr="00AD3C82">
          <w:rPr>
            <w:rStyle w:val="TextoNormalCaracter"/>
          </w:rPr>
          <w:t>193/2016</w:t>
        </w:r>
      </w:hyperlink>
      <w:r w:rsidRPr="00AD3C82">
        <w:rPr>
          <w:rStyle w:val="TextoNormalCaracter"/>
        </w:rPr>
        <w:t>, ff. 1, 3, 5.</w:t>
      </w:r>
    </w:p>
    <w:p w:rsidR="00AD3C82" w:rsidRPr="00AD3C82" w:rsidRDefault="00AD3C82" w:rsidP="00AD3C82">
      <w:pPr>
        <w:pStyle w:val="TextoNormalSangraFrancesa"/>
        <w:rPr>
          <w:rStyle w:val="TextoNormalCaracter"/>
        </w:rPr>
      </w:pPr>
      <w:bookmarkStart w:id="1005" w:name="DESCRIPTORALFABETICO42"/>
      <w:r w:rsidRPr="00AD3C82">
        <w:rPr>
          <w:rStyle w:val="TextoNormalNegritaCaracter"/>
        </w:rPr>
        <w:t>Competencias en materia de energía eléctrica</w:t>
      </w:r>
      <w:bookmarkEnd w:id="1005"/>
      <w:r w:rsidRPr="00AD3C82">
        <w:rPr>
          <w:rStyle w:val="TextoNormalCaracter"/>
        </w:rPr>
        <w:t xml:space="preserve">, Sentencias </w:t>
      </w:r>
      <w:hyperlink w:anchor="SENTENCIA_2016_171" w:history="1">
        <w:r w:rsidRPr="00AD3C82">
          <w:rPr>
            <w:rStyle w:val="TextoNormalCaracter"/>
          </w:rPr>
          <w:t>171/2016</w:t>
        </w:r>
      </w:hyperlink>
      <w:r w:rsidRPr="00AD3C82">
        <w:rPr>
          <w:rStyle w:val="TextoNormalCaracter"/>
        </w:rPr>
        <w:t xml:space="preserve">, ff. 4 a 6; </w:t>
      </w:r>
      <w:hyperlink w:anchor="SENTENCIA_2016_205" w:history="1">
        <w:r w:rsidRPr="00AD3C82">
          <w:rPr>
            <w:rStyle w:val="TextoNormalCaracter"/>
          </w:rPr>
          <w:t>205/2016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006" w:name="DESCRIPTORALFABETICO43"/>
      <w:r w:rsidRPr="00AD3C82">
        <w:rPr>
          <w:rStyle w:val="TextoNormalNegritaCaracter"/>
        </w:rPr>
        <w:t>Competencias en materia de espectáculos públicos</w:t>
      </w:r>
      <w:bookmarkEnd w:id="1006"/>
      <w:r w:rsidRPr="00AD3C82">
        <w:rPr>
          <w:rStyle w:val="TextoNormalCaracter"/>
        </w:rPr>
        <w:t xml:space="preserve">, Sentencia </w:t>
      </w:r>
      <w:hyperlink w:anchor="SENTENCIA_2016_177" w:history="1">
        <w:r w:rsidRPr="00AD3C82">
          <w:rPr>
            <w:rStyle w:val="TextoNormalCaracter"/>
          </w:rPr>
          <w:t>177/2016</w:t>
        </w:r>
      </w:hyperlink>
      <w:r w:rsidRPr="00AD3C82">
        <w:rPr>
          <w:rStyle w:val="TextoNormalCaracter"/>
        </w:rPr>
        <w:t>, ff. 1, 3, 4, 7, VVPP 1, II.</w:t>
      </w:r>
    </w:p>
    <w:p w:rsidR="00AD3C82" w:rsidRPr="00AD3C82" w:rsidRDefault="00AD3C82" w:rsidP="00AD3C82">
      <w:pPr>
        <w:pStyle w:val="TextoNormalSangraFrancesa"/>
        <w:rPr>
          <w:rStyle w:val="TextoNormalCaracter"/>
        </w:rPr>
      </w:pPr>
      <w:bookmarkStart w:id="1007" w:name="DESCRIPTORALFABETICO35"/>
      <w:r w:rsidRPr="00AD3C82">
        <w:rPr>
          <w:rStyle w:val="TextoNormalNegritaCaracter"/>
        </w:rPr>
        <w:t>Competencias en materia de horarios comerciales</w:t>
      </w:r>
      <w:bookmarkEnd w:id="1007"/>
      <w:r w:rsidRPr="00AD3C82">
        <w:rPr>
          <w:rStyle w:val="TextoNormalCaracter"/>
        </w:rPr>
        <w:t xml:space="preserve">, Sentencias </w:t>
      </w:r>
      <w:hyperlink w:anchor="SENTENCIA_2016_195" w:history="1">
        <w:r w:rsidRPr="00AD3C82">
          <w:rPr>
            <w:rStyle w:val="TextoNormalCaracter"/>
          </w:rPr>
          <w:t>195/2016</w:t>
        </w:r>
      </w:hyperlink>
      <w:r w:rsidRPr="00AD3C82">
        <w:rPr>
          <w:rStyle w:val="TextoNormalCaracter"/>
        </w:rPr>
        <w:t xml:space="preserve">, ff. 3 a 6, VP I; </w:t>
      </w:r>
      <w:hyperlink w:anchor="SENTENCIA_2016_214" w:history="1">
        <w:r w:rsidRPr="00AD3C82">
          <w:rPr>
            <w:rStyle w:val="TextoNormalCaracter"/>
          </w:rPr>
          <w:t>214/2016</w:t>
        </w:r>
      </w:hyperlink>
      <w:r w:rsidRPr="00AD3C82">
        <w:rPr>
          <w:rStyle w:val="TextoNormalCaracter"/>
        </w:rPr>
        <w:t>, f. 3.</w:t>
      </w:r>
    </w:p>
    <w:p w:rsidR="00AD3C82" w:rsidRPr="00AD3C82" w:rsidRDefault="00AD3C82" w:rsidP="00AD3C82">
      <w:pPr>
        <w:pStyle w:val="TextoNormalSangraFrancesa"/>
        <w:rPr>
          <w:rStyle w:val="TextoNormalCaracter"/>
        </w:rPr>
      </w:pPr>
      <w:bookmarkStart w:id="1008" w:name="DESCRIPTORALFABETICO44"/>
      <w:r w:rsidRPr="00AD3C82">
        <w:rPr>
          <w:rStyle w:val="TextoNormalNegritaCaracter"/>
        </w:rPr>
        <w:t>Competencias en materia de justicia gratuita</w:t>
      </w:r>
      <w:bookmarkEnd w:id="1008"/>
      <w:r w:rsidRPr="00AD3C82">
        <w:rPr>
          <w:rStyle w:val="TextoNormalCaracter"/>
        </w:rPr>
        <w:t xml:space="preserve">, Auto </w:t>
      </w:r>
      <w:hyperlink w:anchor="AUTO_2016_207" w:history="1">
        <w:r w:rsidRPr="00AD3C82">
          <w:rPr>
            <w:rStyle w:val="TextoNormalCaracter"/>
          </w:rPr>
          <w:t>207/2016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1009" w:name="DESCRIPTORALFABETICO46"/>
      <w:r w:rsidRPr="00AD3C82">
        <w:rPr>
          <w:rStyle w:val="TextoNormalNegritaCaracter"/>
        </w:rPr>
        <w:t>Competencias en materia de legislación laboral</w:t>
      </w:r>
      <w:bookmarkEnd w:id="1009"/>
      <w:r w:rsidRPr="00AD3C82">
        <w:rPr>
          <w:rStyle w:val="TextoNormalCaracter"/>
        </w:rPr>
        <w:t xml:space="preserve">, Sentencias </w:t>
      </w:r>
      <w:hyperlink w:anchor="SENTENCIA_2016_159" w:history="1">
        <w:r w:rsidRPr="00AD3C82">
          <w:rPr>
            <w:rStyle w:val="TextoNormalCaracter"/>
          </w:rPr>
          <w:t>159/2016</w:t>
        </w:r>
      </w:hyperlink>
      <w:r w:rsidRPr="00AD3C82">
        <w:rPr>
          <w:rStyle w:val="TextoNormalCaracter"/>
        </w:rPr>
        <w:t xml:space="preserve">, ff. 1 a 9; </w:t>
      </w:r>
      <w:hyperlink w:anchor="SENTENCIA_2016_179" w:history="1">
        <w:r w:rsidRPr="00AD3C82">
          <w:rPr>
            <w:rStyle w:val="TextoNormalCaracter"/>
          </w:rPr>
          <w:t>179/2016</w:t>
        </w:r>
      </w:hyperlink>
      <w:r w:rsidRPr="00AD3C82">
        <w:rPr>
          <w:rStyle w:val="TextoNormalCaracter"/>
        </w:rPr>
        <w:t>, f. 2, VP.</w:t>
      </w:r>
    </w:p>
    <w:p w:rsidR="00AD3C82" w:rsidRPr="00AD3C82" w:rsidRDefault="00AD3C82" w:rsidP="00AD3C82">
      <w:pPr>
        <w:pStyle w:val="TextoNormalSangraFrancesa"/>
        <w:rPr>
          <w:rStyle w:val="TextoNormalCaracter"/>
        </w:rPr>
      </w:pPr>
      <w:bookmarkStart w:id="1010" w:name="DESCRIPTORALFABETICO47"/>
      <w:r w:rsidRPr="00AD3C82">
        <w:rPr>
          <w:rStyle w:val="TextoNormalNegritaCaracter"/>
        </w:rPr>
        <w:t>Competencias en materia de medio ambiente</w:t>
      </w:r>
      <w:bookmarkEnd w:id="1010"/>
      <w:r w:rsidRPr="00AD3C82">
        <w:rPr>
          <w:rStyle w:val="TextoNormalCaracter"/>
        </w:rPr>
        <w:t xml:space="preserve">, Sentencia </w:t>
      </w:r>
      <w:hyperlink w:anchor="SENTENCIA_2016_141" w:history="1">
        <w:r w:rsidRPr="00AD3C82">
          <w:rPr>
            <w:rStyle w:val="TextoNormalCaracter"/>
          </w:rPr>
          <w:t>141/2016</w:t>
        </w:r>
      </w:hyperlink>
      <w:r w:rsidRPr="00AD3C82">
        <w:rPr>
          <w:rStyle w:val="TextoNormalCaracter"/>
        </w:rPr>
        <w:t>, ff. 1, 2, 5, 6.</w:t>
      </w:r>
    </w:p>
    <w:p w:rsidR="00AD3C82" w:rsidRPr="00AD3C82" w:rsidRDefault="00AD3C82" w:rsidP="00AD3C82">
      <w:pPr>
        <w:pStyle w:val="TextoNormalSangraFrancesa"/>
        <w:rPr>
          <w:rStyle w:val="TextoNormalCaracter"/>
        </w:rPr>
      </w:pPr>
      <w:bookmarkStart w:id="1011" w:name="DESCRIPTORALFABETICO48"/>
      <w:r w:rsidRPr="00AD3C82">
        <w:rPr>
          <w:rStyle w:val="TextoNormalNegritaCaracter"/>
        </w:rPr>
        <w:t>Competencias en materia de ordenación del territorio</w:t>
      </w:r>
      <w:bookmarkEnd w:id="1011"/>
      <w:r w:rsidRPr="00AD3C82">
        <w:rPr>
          <w:rStyle w:val="TextoNormalCaracter"/>
        </w:rPr>
        <w:t xml:space="preserve">, Sentencia </w:t>
      </w:r>
      <w:hyperlink w:anchor="SENTENCIA_2016_182" w:history="1">
        <w:r w:rsidRPr="00AD3C82">
          <w:rPr>
            <w:rStyle w:val="TextoNormalCaracter"/>
          </w:rPr>
          <w:t>182/2016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12" w:name="DESCRIPTORALFABETICO49"/>
      <w:r w:rsidRPr="00AD3C82">
        <w:rPr>
          <w:rStyle w:val="TextoNormalNegritaCaracter"/>
        </w:rPr>
        <w:t>Competencias en materia de planificación económica</w:t>
      </w:r>
      <w:bookmarkEnd w:id="1012"/>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ff. 3, 10; </w:t>
      </w:r>
      <w:hyperlink w:anchor="SENTENCIA_2016_141" w:history="1">
        <w:r w:rsidRPr="00AD3C82">
          <w:rPr>
            <w:rStyle w:val="TextoNormalCaracter"/>
          </w:rPr>
          <w:t>141/2016</w:t>
        </w:r>
      </w:hyperlink>
      <w:r w:rsidRPr="00AD3C82">
        <w:rPr>
          <w:rStyle w:val="TextoNormalCaracter"/>
        </w:rPr>
        <w:t xml:space="preserve">, f. 5; </w:t>
      </w:r>
      <w:hyperlink w:anchor="SENTENCIA_2016_142" w:history="1">
        <w:r w:rsidRPr="00AD3C82">
          <w:rPr>
            <w:rStyle w:val="TextoNormalCaracter"/>
          </w:rPr>
          <w:t>142/2016</w:t>
        </w:r>
      </w:hyperlink>
      <w:r w:rsidRPr="00AD3C82">
        <w:rPr>
          <w:rStyle w:val="TextoNormalCaracter"/>
        </w:rPr>
        <w:t xml:space="preserve">, ff. 3 a 14; </w:t>
      </w:r>
      <w:hyperlink w:anchor="SENTENCIA_2016_195" w:history="1">
        <w:r w:rsidRPr="00AD3C82">
          <w:rPr>
            <w:rStyle w:val="TextoNormalCaracter"/>
          </w:rPr>
          <w:t>195/2016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13" w:name="DESCRIPTORALFABETICO50"/>
      <w:r w:rsidRPr="00AD3C82">
        <w:rPr>
          <w:rStyle w:val="TextoNormalNegritaCaracter"/>
        </w:rPr>
        <w:t>Competencias en materia de policía autonómica</w:t>
      </w:r>
      <w:bookmarkEnd w:id="1013"/>
      <w:r w:rsidRPr="00AD3C82">
        <w:rPr>
          <w:rStyle w:val="TextoNormalCaracter"/>
        </w:rPr>
        <w:t xml:space="preserve">, Sentencia </w:t>
      </w:r>
      <w:hyperlink w:anchor="SENTENCIA_2016_186" w:history="1">
        <w:r w:rsidRPr="00AD3C82">
          <w:rPr>
            <w:rStyle w:val="TextoNormalCaracter"/>
          </w:rPr>
          <w:t>186/2016</w:t>
        </w:r>
      </w:hyperlink>
      <w:r w:rsidRPr="00AD3C82">
        <w:rPr>
          <w:rStyle w:val="TextoNormalCaracter"/>
        </w:rPr>
        <w:t>, f. 3.</w:t>
      </w:r>
    </w:p>
    <w:p w:rsidR="00AD3C82" w:rsidRPr="00AD3C82" w:rsidRDefault="00AD3C82" w:rsidP="00AD3C82">
      <w:pPr>
        <w:pStyle w:val="TextoNormalSangraFrancesa"/>
        <w:rPr>
          <w:rStyle w:val="TextoNormalCaracter"/>
        </w:rPr>
      </w:pPr>
      <w:bookmarkStart w:id="1014" w:name="DESCRIPTORALFABETICO51"/>
      <w:r w:rsidRPr="00AD3C82">
        <w:rPr>
          <w:rStyle w:val="TextoNormalNegritaCaracter"/>
        </w:rPr>
        <w:t>Competencias en materia de productos farmacéuticos</w:t>
      </w:r>
      <w:bookmarkEnd w:id="1014"/>
      <w:r w:rsidRPr="00AD3C82">
        <w:rPr>
          <w:rStyle w:val="TextoNormalCaracter"/>
        </w:rPr>
        <w:t xml:space="preserve">, Sentencia </w:t>
      </w:r>
      <w:hyperlink w:anchor="SENTENCIA_2016_210" w:history="1">
        <w:r w:rsidRPr="00AD3C82">
          <w:rPr>
            <w:rStyle w:val="TextoNormalCaracter"/>
          </w:rPr>
          <w:t>210/2016</w:t>
        </w:r>
      </w:hyperlink>
      <w:r w:rsidRPr="00AD3C82">
        <w:rPr>
          <w:rStyle w:val="TextoNormalCaracter"/>
        </w:rPr>
        <w:t>, f. 5, 8.</w:t>
      </w:r>
    </w:p>
    <w:p w:rsidR="00AD3C82" w:rsidRPr="00AD3C82" w:rsidRDefault="00AD3C82" w:rsidP="00AD3C82">
      <w:pPr>
        <w:pStyle w:val="TextoNormalSangraFrancesa"/>
        <w:rPr>
          <w:rStyle w:val="TextoNormalCaracter"/>
        </w:rPr>
      </w:pPr>
      <w:bookmarkStart w:id="1015" w:name="DESCRIPTORALFABETICO52"/>
      <w:r w:rsidRPr="00AD3C82">
        <w:rPr>
          <w:rStyle w:val="TextoNormalNegritaCaracter"/>
        </w:rPr>
        <w:t>Competencias en materia de régimen energético</w:t>
      </w:r>
      <w:bookmarkEnd w:id="1015"/>
      <w:r w:rsidRPr="00AD3C82">
        <w:rPr>
          <w:rStyle w:val="TextoNormalCaracter"/>
        </w:rPr>
        <w:t xml:space="preserve">, Sentencias </w:t>
      </w:r>
      <w:hyperlink w:anchor="SENTENCIA_2016_171" w:history="1">
        <w:r w:rsidRPr="00AD3C82">
          <w:rPr>
            <w:rStyle w:val="TextoNormalCaracter"/>
          </w:rPr>
          <w:t>171/2016</w:t>
        </w:r>
      </w:hyperlink>
      <w:r w:rsidRPr="00AD3C82">
        <w:rPr>
          <w:rStyle w:val="TextoNormalCaracter"/>
        </w:rPr>
        <w:t xml:space="preserve">, ff. 4 a 6; </w:t>
      </w:r>
      <w:hyperlink w:anchor="SENTENCIA_2016_205" w:history="1">
        <w:r w:rsidRPr="00AD3C82">
          <w:rPr>
            <w:rStyle w:val="TextoNormalCaracter"/>
          </w:rPr>
          <w:t>205/2016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016" w:name="DESCRIPTORALFABETICO53"/>
      <w:r w:rsidRPr="00AD3C82">
        <w:rPr>
          <w:rStyle w:val="TextoNormalNegritaCaracter"/>
        </w:rPr>
        <w:t>Competencias en materia de régimen local</w:t>
      </w:r>
      <w:bookmarkEnd w:id="1016"/>
      <w:r w:rsidRPr="00AD3C82">
        <w:rPr>
          <w:rStyle w:val="TextoNormalCaracter"/>
        </w:rPr>
        <w:t xml:space="preserve">, Sentencias </w:t>
      </w:r>
      <w:hyperlink w:anchor="SENTENCIA_2016_168" w:history="1">
        <w:r w:rsidRPr="00AD3C82">
          <w:rPr>
            <w:rStyle w:val="TextoNormalCaracter"/>
          </w:rPr>
          <w:t>168/2016</w:t>
        </w:r>
      </w:hyperlink>
      <w:r w:rsidRPr="00AD3C82">
        <w:rPr>
          <w:rStyle w:val="TextoNormalCaracter"/>
        </w:rPr>
        <w:t xml:space="preserve">, ff. 3 a 5; </w:t>
      </w:r>
      <w:hyperlink w:anchor="SENTENCIA_2016_180" w:history="1">
        <w:r w:rsidRPr="00AD3C82">
          <w:rPr>
            <w:rStyle w:val="TextoNormalCaracter"/>
          </w:rPr>
          <w:t>180/2016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017" w:name="DESCRIPTORALFABETICO54"/>
      <w:r w:rsidRPr="00AD3C82">
        <w:rPr>
          <w:rStyle w:val="TextoNormalNegritaCaracter"/>
        </w:rPr>
        <w:t>Competencias en materia de régimen minero</w:t>
      </w:r>
      <w:bookmarkEnd w:id="1017"/>
      <w:r w:rsidRPr="00AD3C82">
        <w:rPr>
          <w:rStyle w:val="TextoNormalCaracter"/>
        </w:rPr>
        <w:t xml:space="preserve">, Sentencias </w:t>
      </w:r>
      <w:hyperlink w:anchor="SENTENCIA_2016_165" w:history="1">
        <w:r w:rsidRPr="00AD3C82">
          <w:rPr>
            <w:rStyle w:val="TextoNormalCaracter"/>
          </w:rPr>
          <w:t>165/2016</w:t>
        </w:r>
      </w:hyperlink>
      <w:r w:rsidRPr="00AD3C82">
        <w:rPr>
          <w:rStyle w:val="TextoNormalCaracter"/>
        </w:rPr>
        <w:t xml:space="preserve">, ff. 1, 4 a 8, VP; </w:t>
      </w:r>
      <w:hyperlink w:anchor="SENTENCIA_2016_182" w:history="1">
        <w:r w:rsidRPr="00AD3C82">
          <w:rPr>
            <w:rStyle w:val="TextoNormalCaracter"/>
          </w:rPr>
          <w:t>182/2016</w:t>
        </w:r>
      </w:hyperlink>
      <w:r w:rsidRPr="00AD3C82">
        <w:rPr>
          <w:rStyle w:val="TextoNormalCaracter"/>
        </w:rPr>
        <w:t xml:space="preserve">, ff. 2-5, VP; </w:t>
      </w:r>
      <w:hyperlink w:anchor="SENTENCIA_2016_190" w:history="1">
        <w:r w:rsidRPr="00AD3C82">
          <w:rPr>
            <w:rStyle w:val="TextoNormalCaracter"/>
          </w:rPr>
          <w:t>190/2016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18" w:name="DESCRIPTORALFABETICO55"/>
      <w:r w:rsidRPr="00AD3C82">
        <w:rPr>
          <w:rStyle w:val="TextoNormalNegritaCaracter"/>
        </w:rPr>
        <w:t>Competencias en materia de relaciones internacionales</w:t>
      </w:r>
      <w:bookmarkEnd w:id="1018"/>
      <w:r w:rsidRPr="00AD3C82">
        <w:rPr>
          <w:rStyle w:val="TextoNormalCaracter"/>
        </w:rPr>
        <w:t xml:space="preserve">, Sentencia </w:t>
      </w:r>
      <w:hyperlink w:anchor="SENTENCIA_2016_228" w:history="1">
        <w:r w:rsidRPr="00AD3C82">
          <w:rPr>
            <w:rStyle w:val="TextoNormalCaracter"/>
          </w:rPr>
          <w:t>228/2016</w:t>
        </w:r>
      </w:hyperlink>
      <w:r w:rsidRPr="00AD3C82">
        <w:rPr>
          <w:rStyle w:val="TextoNormalCaracter"/>
        </w:rPr>
        <w:t>, ff. 1, 2, 4 a 11.</w:t>
      </w:r>
    </w:p>
    <w:p w:rsidR="00AD3C82" w:rsidRPr="00AD3C82" w:rsidRDefault="00AD3C82" w:rsidP="00AD3C82">
      <w:pPr>
        <w:pStyle w:val="TextoNormalSangraFrancesa"/>
        <w:rPr>
          <w:rStyle w:val="TextoNormalCaracter"/>
        </w:rPr>
      </w:pPr>
      <w:bookmarkStart w:id="1019" w:name="DESCRIPTORALFABETICO56"/>
      <w:r w:rsidRPr="00AD3C82">
        <w:rPr>
          <w:rStyle w:val="TextoNormalNegritaCaracter"/>
        </w:rPr>
        <w:t>Competencias en materia de retribuciones de empleados públicos</w:t>
      </w:r>
      <w:bookmarkEnd w:id="1019"/>
      <w:r w:rsidRPr="00AD3C82">
        <w:rPr>
          <w:rStyle w:val="TextoNormalCaracter"/>
        </w:rPr>
        <w:t xml:space="preserve">, Sentencia </w:t>
      </w:r>
      <w:hyperlink w:anchor="SENTENCIA_2016_164" w:history="1">
        <w:r w:rsidRPr="00AD3C82">
          <w:rPr>
            <w:rStyle w:val="TextoNormalCaracter"/>
          </w:rPr>
          <w:t>164/2016</w:t>
        </w:r>
      </w:hyperlink>
      <w:r w:rsidRPr="00AD3C82">
        <w:rPr>
          <w:rStyle w:val="TextoNormalCaracter"/>
        </w:rPr>
        <w:t>, ff. 1, 3 a 6.</w:t>
      </w:r>
    </w:p>
    <w:p w:rsidR="00AD3C82" w:rsidRPr="00AD3C82" w:rsidRDefault="00AD3C82" w:rsidP="00AD3C82">
      <w:pPr>
        <w:pStyle w:val="TextoNormalSangraFrancesa"/>
        <w:rPr>
          <w:rStyle w:val="TextoNormalCaracter"/>
        </w:rPr>
      </w:pPr>
      <w:bookmarkStart w:id="1020" w:name="DESCRIPTORALFABETICO57"/>
      <w:r w:rsidRPr="00AD3C82">
        <w:rPr>
          <w:rStyle w:val="TextoNormalNegritaCaracter"/>
        </w:rPr>
        <w:t>Competencias en materia de sanidad</w:t>
      </w:r>
      <w:bookmarkEnd w:id="1020"/>
      <w:r w:rsidRPr="00AD3C82">
        <w:rPr>
          <w:rStyle w:val="TextoNormalCaracter"/>
        </w:rPr>
        <w:t xml:space="preserve">, Sentencias </w:t>
      </w:r>
      <w:hyperlink w:anchor="SENTENCIA_2016_139" w:history="1">
        <w:r w:rsidRPr="00AD3C82">
          <w:rPr>
            <w:rStyle w:val="TextoNormalCaracter"/>
          </w:rPr>
          <w:t>139/2016</w:t>
        </w:r>
      </w:hyperlink>
      <w:r w:rsidRPr="00AD3C82">
        <w:rPr>
          <w:rStyle w:val="TextoNormalCaracter"/>
        </w:rPr>
        <w:t xml:space="preserve">, ff. 6, 12; </w:t>
      </w:r>
      <w:hyperlink w:anchor="SENTENCIA_2016_183" w:history="1">
        <w:r w:rsidRPr="00AD3C82">
          <w:rPr>
            <w:rStyle w:val="TextoNormalCaracter"/>
          </w:rPr>
          <w:t>183/2016</w:t>
        </w:r>
      </w:hyperlink>
      <w:r w:rsidRPr="00AD3C82">
        <w:rPr>
          <w:rStyle w:val="TextoNormalCaracter"/>
        </w:rPr>
        <w:t xml:space="preserve">, f. 4; </w:t>
      </w:r>
      <w:hyperlink w:anchor="SENTENCIA_2016_210" w:history="1">
        <w:r w:rsidRPr="00AD3C82">
          <w:rPr>
            <w:rStyle w:val="TextoNormalCaracter"/>
          </w:rPr>
          <w:t>210/2016</w:t>
        </w:r>
      </w:hyperlink>
      <w:r w:rsidRPr="00AD3C82">
        <w:rPr>
          <w:rStyle w:val="TextoNormalCaracter"/>
        </w:rPr>
        <w:t>, ff. 5 a 8.</w:t>
      </w:r>
    </w:p>
    <w:p w:rsidR="00AD3C82" w:rsidRPr="00AD3C82" w:rsidRDefault="00AD3C82" w:rsidP="00AD3C82">
      <w:pPr>
        <w:pStyle w:val="TextoNormalSangraFrancesa"/>
        <w:rPr>
          <w:rStyle w:val="TextoNormalCaracter"/>
        </w:rPr>
      </w:pPr>
      <w:bookmarkStart w:id="1021" w:name="DESCRIPTORALFABETICO58"/>
      <w:r w:rsidRPr="00AD3C82">
        <w:rPr>
          <w:rStyle w:val="TextoNormalNegritaCaracter"/>
        </w:rPr>
        <w:t>Competencias en materia de seguridad pública</w:t>
      </w:r>
      <w:bookmarkEnd w:id="1021"/>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8; </w:t>
      </w:r>
      <w:hyperlink w:anchor="SENTENCIA_2016_184" w:history="1">
        <w:r w:rsidRPr="00AD3C82">
          <w:rPr>
            <w:rStyle w:val="TextoNormalCaracter"/>
          </w:rPr>
          <w:t>184/2016</w:t>
        </w:r>
      </w:hyperlink>
      <w:r w:rsidRPr="00AD3C82">
        <w:rPr>
          <w:rStyle w:val="TextoNormalCaracter"/>
        </w:rPr>
        <w:t>, ff. 3, 4, 5, 7.</w:t>
      </w:r>
    </w:p>
    <w:p w:rsidR="00AD3C82" w:rsidRPr="00AD3C82" w:rsidRDefault="00AD3C82" w:rsidP="00AD3C82">
      <w:pPr>
        <w:pStyle w:val="TextoNormalSangraFrancesa"/>
        <w:rPr>
          <w:rStyle w:val="TextoNormalCaracter"/>
        </w:rPr>
      </w:pPr>
      <w:bookmarkStart w:id="1022" w:name="DESCRIPTORALFABETICO59"/>
      <w:r w:rsidRPr="00AD3C82">
        <w:rPr>
          <w:rStyle w:val="TextoNormalNegritaCaracter"/>
        </w:rPr>
        <w:t>Competencias en materia de Seguridad Social</w:t>
      </w:r>
      <w:bookmarkEnd w:id="1022"/>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9.</w:t>
      </w:r>
    </w:p>
    <w:p w:rsidR="00AD3C82" w:rsidRPr="00AD3C82" w:rsidRDefault="00AD3C82" w:rsidP="00AD3C82">
      <w:pPr>
        <w:pStyle w:val="TextoNormalSangraFrancesa"/>
        <w:rPr>
          <w:rStyle w:val="TextoNormalCaracter"/>
        </w:rPr>
      </w:pPr>
      <w:bookmarkStart w:id="1023" w:name="DESCRIPTORALFABETICO60"/>
      <w:r w:rsidRPr="00AD3C82">
        <w:rPr>
          <w:rStyle w:val="TextoNormalNegritaCaracter"/>
        </w:rPr>
        <w:t>Competencias en materia de tutela financiera de Entes Locales</w:t>
      </w:r>
      <w:bookmarkEnd w:id="1023"/>
      <w:r w:rsidRPr="00AD3C82">
        <w:rPr>
          <w:rStyle w:val="TextoNormalCaracter"/>
        </w:rPr>
        <w:t xml:space="preserve">, Sentencia </w:t>
      </w:r>
      <w:hyperlink w:anchor="SENTENCIA_2016_180" w:history="1">
        <w:r w:rsidRPr="00AD3C82">
          <w:rPr>
            <w:rStyle w:val="TextoNormalCaracter"/>
          </w:rPr>
          <w:t>180/2016</w:t>
        </w:r>
      </w:hyperlink>
      <w:r w:rsidRPr="00AD3C82">
        <w:rPr>
          <w:rStyle w:val="TextoNormalCaracter"/>
        </w:rPr>
        <w:t>, f. 8.</w:t>
      </w:r>
    </w:p>
    <w:p w:rsidR="00AD3C82" w:rsidRPr="00AD3C82" w:rsidRDefault="00AD3C82" w:rsidP="00AD3C82">
      <w:pPr>
        <w:pStyle w:val="TextoNormalSangraFrancesa"/>
        <w:rPr>
          <w:rStyle w:val="TextoNormalCaracter"/>
        </w:rPr>
      </w:pPr>
      <w:bookmarkStart w:id="1024" w:name="DESCRIPTORALFABETICO61"/>
      <w:r w:rsidRPr="00AD3C82">
        <w:rPr>
          <w:rStyle w:val="TextoNormalNegritaCaracter"/>
        </w:rPr>
        <w:t>Competencias en materia financiera</w:t>
      </w:r>
      <w:bookmarkEnd w:id="1024"/>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13.</w:t>
      </w:r>
    </w:p>
    <w:p w:rsidR="00AD3C82" w:rsidRPr="00AD3C82" w:rsidRDefault="00AD3C82" w:rsidP="00AD3C82">
      <w:pPr>
        <w:pStyle w:val="TextoNormalSangraFrancesa"/>
        <w:rPr>
          <w:rStyle w:val="TextoNormalCaracter"/>
        </w:rPr>
      </w:pPr>
      <w:bookmarkStart w:id="1025" w:name="DESCRIPTORALFABETICO62"/>
      <w:r w:rsidRPr="00AD3C82">
        <w:rPr>
          <w:rStyle w:val="TextoNormalNegritaCaracter"/>
        </w:rPr>
        <w:t>Competencias en materia tributaria</w:t>
      </w:r>
      <w:bookmarkEnd w:id="1025"/>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6; </w:t>
      </w:r>
      <w:hyperlink w:anchor="SENTENCIA_2016_139" w:history="1">
        <w:r w:rsidRPr="00AD3C82">
          <w:rPr>
            <w:rStyle w:val="TextoNormalCaracter"/>
          </w:rPr>
          <w:t>139/2016</w:t>
        </w:r>
      </w:hyperlink>
      <w:r w:rsidRPr="00AD3C82">
        <w:rPr>
          <w:rStyle w:val="TextoNormalCaracter"/>
        </w:rPr>
        <w:t>, f. 13.</w:t>
      </w:r>
    </w:p>
    <w:p w:rsidR="00AD3C82" w:rsidRPr="00AD3C82" w:rsidRDefault="00AD3C82" w:rsidP="00AD3C82">
      <w:pPr>
        <w:pStyle w:val="TextoNormalSangraFrancesa"/>
        <w:rPr>
          <w:rStyle w:val="TextoNormalCaracter"/>
        </w:rPr>
      </w:pPr>
      <w:bookmarkStart w:id="1026" w:name="DESCRIPTORALFABETICO15"/>
      <w:r w:rsidRPr="00AD3C82">
        <w:rPr>
          <w:rStyle w:val="TextoNormalNegritaCaracter"/>
        </w:rPr>
        <w:t>Competencias estatutarias</w:t>
      </w:r>
      <w:bookmarkEnd w:id="1026"/>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27" w:name="DESCRIPTORALFABETICO16"/>
      <w:r w:rsidRPr="00AD3C82">
        <w:rPr>
          <w:rStyle w:val="TextoNormalNegritaCaracter"/>
        </w:rPr>
        <w:t>Competencias exclusivas de las Comunidades Autónomas</w:t>
      </w:r>
      <w:bookmarkEnd w:id="1027"/>
      <w:r w:rsidRPr="00AD3C82">
        <w:rPr>
          <w:rStyle w:val="TextoNormalCaracter"/>
        </w:rPr>
        <w:t xml:space="preserve">, Sentencia </w:t>
      </w:r>
      <w:hyperlink w:anchor="SENTENCIA_2016_158" w:history="1">
        <w:r w:rsidRPr="00AD3C82">
          <w:rPr>
            <w:rStyle w:val="TextoNormalCaracter"/>
          </w:rPr>
          <w:t>158/2016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1028" w:name="DESCRIPTORALFABETICO21"/>
      <w:r w:rsidRPr="00AD3C82">
        <w:rPr>
          <w:rStyle w:val="TextoNormalNegritaCaracter"/>
        </w:rPr>
        <w:t>Competencias exclusivas del Estado</w:t>
      </w:r>
      <w:bookmarkEnd w:id="1028"/>
      <w:r w:rsidRPr="00AD3C82">
        <w:rPr>
          <w:rStyle w:val="TextoNormalCaracter"/>
        </w:rPr>
        <w:t xml:space="preserve">, Sentencia </w:t>
      </w:r>
      <w:hyperlink w:anchor="SENTENCIA_2016_192" w:history="1">
        <w:r w:rsidRPr="00AD3C82">
          <w:rPr>
            <w:rStyle w:val="TextoNormalCaracter"/>
          </w:rPr>
          <w:t>192/2016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029" w:name="DESCRIPTORALFABETICO167"/>
      <w:r w:rsidRPr="00AD3C82">
        <w:rPr>
          <w:rStyle w:val="TextoNormalNegritaCaracter"/>
        </w:rPr>
        <w:t>Complejidad del proceso</w:t>
      </w:r>
      <w:bookmarkEnd w:id="1029"/>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30" w:name="DESCRIPTORALFABETICO341"/>
      <w:r w:rsidRPr="00AD3C82">
        <w:rPr>
          <w:rStyle w:val="TextoNormalNegritaCaracter"/>
        </w:rPr>
        <w:t>Composición de las mesas parlamentarias</w:t>
      </w:r>
      <w:bookmarkEnd w:id="1030"/>
      <w:r w:rsidRPr="00AD3C82">
        <w:rPr>
          <w:rStyle w:val="TextoNormalCaracter"/>
        </w:rPr>
        <w:t xml:space="preserve">, Sentencia </w:t>
      </w:r>
      <w:hyperlink w:anchor="SENTENCIA_2016_199" w:history="1">
        <w:r w:rsidRPr="00AD3C82">
          <w:rPr>
            <w:rStyle w:val="TextoNormalCaracter"/>
          </w:rPr>
          <w:t>199/2016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031" w:name="DESCRIPTORALFABETICO431"/>
      <w:r w:rsidRPr="00AD3C82">
        <w:rPr>
          <w:rStyle w:val="TextoNormalNegritaCaracter"/>
        </w:rPr>
        <w:t>Compraventa</w:t>
      </w:r>
      <w:bookmarkEnd w:id="1031"/>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32" w:name="DESCRIPTORALFABETICO542"/>
      <w:r w:rsidRPr="00AD3C82">
        <w:rPr>
          <w:rStyle w:val="TextoNormalNegritaCaracter"/>
        </w:rPr>
        <w:t>Cómputo de plazos en el procedimiento administrativo</w:t>
      </w:r>
      <w:bookmarkEnd w:id="1032"/>
      <w:r w:rsidRPr="00AD3C82">
        <w:rPr>
          <w:rStyle w:val="TextoNormalCaracter"/>
        </w:rPr>
        <w:t xml:space="preserve">, Sentencia </w:t>
      </w:r>
      <w:hyperlink w:anchor="SENTENCIA_2016_175" w:history="1">
        <w:r w:rsidRPr="00AD3C82">
          <w:rPr>
            <w:rStyle w:val="TextoNormalCaracter"/>
          </w:rPr>
          <w:t>175/2016</w:t>
        </w:r>
      </w:hyperlink>
      <w:r w:rsidRPr="00AD3C82">
        <w:rPr>
          <w:rStyle w:val="TextoNormalCaracter"/>
        </w:rPr>
        <w:t>, ff. 1, 3.</w:t>
      </w:r>
    </w:p>
    <w:p w:rsidR="00AD3C82" w:rsidRPr="00AD3C82" w:rsidRDefault="00AD3C82" w:rsidP="00AD3C82">
      <w:pPr>
        <w:pStyle w:val="TextoNormalSangraFrancesa"/>
        <w:rPr>
          <w:rStyle w:val="TextoNormalCaracter"/>
        </w:rPr>
      </w:pPr>
      <w:bookmarkStart w:id="1033" w:name="DESCRIPTORALFABETICO684"/>
      <w:r w:rsidRPr="00AD3C82">
        <w:rPr>
          <w:rStyle w:val="TextoNormalNegritaCaracter"/>
        </w:rPr>
        <w:t>Comunidad de Madrid</w:t>
      </w:r>
      <w:bookmarkEnd w:id="1033"/>
      <w:r w:rsidRPr="00AD3C82">
        <w:rPr>
          <w:rStyle w:val="TextoNormalCaracter"/>
        </w:rPr>
        <w:t xml:space="preserve">, Sentencias </w:t>
      </w:r>
      <w:hyperlink w:anchor="SENTENCIA_2016_164" w:history="1">
        <w:r w:rsidRPr="00AD3C82">
          <w:rPr>
            <w:rStyle w:val="TextoNormalCaracter"/>
          </w:rPr>
          <w:t>164/2016</w:t>
        </w:r>
      </w:hyperlink>
      <w:r w:rsidRPr="00AD3C82">
        <w:rPr>
          <w:rStyle w:val="TextoNormalCaracter"/>
        </w:rPr>
        <w:t xml:space="preserve">, f. 1; </w:t>
      </w:r>
      <w:hyperlink w:anchor="SENTENCIA_2016_170" w:history="1">
        <w:r w:rsidRPr="00AD3C82">
          <w:rPr>
            <w:rStyle w:val="TextoNormalCaracter"/>
          </w:rPr>
          <w:t>170/2016</w:t>
        </w:r>
      </w:hyperlink>
      <w:r w:rsidRPr="00AD3C82">
        <w:rPr>
          <w:rStyle w:val="TextoNormalCaracter"/>
        </w:rPr>
        <w:t>, f. 1.</w:t>
      </w:r>
    </w:p>
    <w:p w:rsidR="00AD3C82" w:rsidRPr="00AD3C82" w:rsidRDefault="00AD3C82" w:rsidP="00AD3C82">
      <w:pPr>
        <w:pStyle w:val="TextoNormalSangraFrancesa"/>
        <w:rPr>
          <w:rStyle w:val="TextoNormalCaracter"/>
        </w:rPr>
      </w:pPr>
      <w:bookmarkStart w:id="1034" w:name="DESCRIPTORALFABETICO685"/>
      <w:r w:rsidRPr="00AD3C82">
        <w:rPr>
          <w:rStyle w:val="TextoNormalNegritaCaracter"/>
        </w:rPr>
        <w:t>Comunidad Valenciana</w:t>
      </w:r>
      <w:bookmarkEnd w:id="1034"/>
      <w:r w:rsidRPr="00AD3C82">
        <w:rPr>
          <w:rStyle w:val="TextoNormalCaracter"/>
        </w:rPr>
        <w:t xml:space="preserve">, Sentencia </w:t>
      </w:r>
      <w:hyperlink w:anchor="SENTENCIA_2016_192" w:history="1">
        <w:r w:rsidRPr="00AD3C82">
          <w:rPr>
            <w:rStyle w:val="TextoNormalCaracter"/>
          </w:rPr>
          <w:t>192/2016</w:t>
        </w:r>
      </w:hyperlink>
      <w:r w:rsidRPr="00AD3C82">
        <w:rPr>
          <w:rStyle w:val="TextoNormalCaracter"/>
        </w:rPr>
        <w:t>.</w:t>
      </w:r>
    </w:p>
    <w:p w:rsidR="00AD3C82" w:rsidRPr="00AD3C82" w:rsidRDefault="00AD3C82" w:rsidP="00AD3C82">
      <w:pPr>
        <w:pStyle w:val="TextoNormalSangraFrancesa"/>
        <w:rPr>
          <w:rStyle w:val="TextoNormalCaracter"/>
        </w:rPr>
      </w:pPr>
      <w:bookmarkStart w:id="1035" w:name="DESCRIPTORALFABETICO501"/>
      <w:r w:rsidRPr="00AD3C82">
        <w:rPr>
          <w:rStyle w:val="TextoNormalNegritaCaracter"/>
        </w:rPr>
        <w:t>Concepto de normas básicas</w:t>
      </w:r>
      <w:bookmarkEnd w:id="1035"/>
      <w:r w:rsidRPr="00AD3C82">
        <w:rPr>
          <w:rStyle w:val="TextoNormalCaracter"/>
        </w:rPr>
        <w:t xml:space="preserve">, Sentencia </w:t>
      </w:r>
      <w:hyperlink w:anchor="SENTENCIA_2016_165" w:history="1">
        <w:r w:rsidRPr="00AD3C82">
          <w:rPr>
            <w:rStyle w:val="TextoNormalCaracter"/>
          </w:rPr>
          <w:t>165/2016</w:t>
        </w:r>
      </w:hyperlink>
      <w:r w:rsidRPr="00AD3C82">
        <w:rPr>
          <w:rStyle w:val="TextoNormalCaracter"/>
        </w:rPr>
        <w:t>, f. 10.</w:t>
      </w:r>
    </w:p>
    <w:p w:rsidR="00AD3C82" w:rsidRPr="00AD3C82" w:rsidRDefault="00AD3C82" w:rsidP="00AD3C82">
      <w:pPr>
        <w:pStyle w:val="TextoNormalSangraFrancesa"/>
        <w:rPr>
          <w:rStyle w:val="TextoNormalCaracter"/>
        </w:rPr>
      </w:pPr>
      <w:bookmarkStart w:id="1036" w:name="DESCRIPTORALFABETICO400"/>
      <w:r w:rsidRPr="00AD3C82">
        <w:rPr>
          <w:rStyle w:val="TextoNormalNegritaCaracter"/>
        </w:rPr>
        <w:t>Concesiones de dominio público</w:t>
      </w:r>
      <w:bookmarkEnd w:id="1036"/>
      <w:r w:rsidRPr="00AD3C82">
        <w:rPr>
          <w:rStyle w:val="TextoNormalCaracter"/>
        </w:rPr>
        <w:t xml:space="preserve">, Sentencias </w:t>
      </w:r>
      <w:hyperlink w:anchor="SENTENCIA_2016_165" w:history="1">
        <w:r w:rsidRPr="00AD3C82">
          <w:rPr>
            <w:rStyle w:val="TextoNormalCaracter"/>
          </w:rPr>
          <w:t>165/2016</w:t>
        </w:r>
      </w:hyperlink>
      <w:r w:rsidRPr="00AD3C82">
        <w:rPr>
          <w:rStyle w:val="TextoNormalCaracter"/>
        </w:rPr>
        <w:t xml:space="preserve">, ff. 1, 9 a 11; </w:t>
      </w:r>
      <w:hyperlink w:anchor="SENTENCIA_2016_190" w:history="1">
        <w:r w:rsidRPr="00AD3C82">
          <w:rPr>
            <w:rStyle w:val="TextoNormalCaracter"/>
          </w:rPr>
          <w:t>190/2016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37" w:name="DESCRIPTORALFABETICO98"/>
      <w:r w:rsidRPr="00AD3C82">
        <w:rPr>
          <w:rStyle w:val="TextoNormalNegritaCaracter"/>
        </w:rPr>
        <w:t>Concierto económico entre el Estado y el País Vasco</w:t>
      </w:r>
      <w:bookmarkEnd w:id="1037"/>
      <w:r w:rsidRPr="00AD3C82">
        <w:rPr>
          <w:rStyle w:val="TextoNormalCaracter"/>
        </w:rPr>
        <w:t xml:space="preserve">, Sentencias </w:t>
      </w:r>
      <w:hyperlink w:anchor="SENTENCIA_2016_194" w:history="1">
        <w:r w:rsidRPr="00AD3C82">
          <w:rPr>
            <w:rStyle w:val="TextoNormalCaracter"/>
          </w:rPr>
          <w:t>194/2016</w:t>
        </w:r>
      </w:hyperlink>
      <w:r w:rsidRPr="00AD3C82">
        <w:rPr>
          <w:rStyle w:val="TextoNormalCaracter"/>
        </w:rPr>
        <w:t xml:space="preserve">, f. 2; </w:t>
      </w:r>
      <w:hyperlink w:anchor="SENTENCIA_2016_203" w:history="1">
        <w:r w:rsidRPr="00AD3C82">
          <w:rPr>
            <w:rStyle w:val="TextoNormalCaracter"/>
          </w:rPr>
          <w:t>203/2016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038" w:name="DESCRIPTORALFABETICO23"/>
      <w:r w:rsidRPr="00AD3C82">
        <w:rPr>
          <w:rStyle w:val="TextoNormalNegritaCaracter"/>
        </w:rPr>
        <w:t>Concurrencia de competencias sobre el mismo espacio físico</w:t>
      </w:r>
      <w:bookmarkEnd w:id="1038"/>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39" w:name="DESCRIPTORALFABETICO29"/>
      <w:r w:rsidRPr="00AD3C82">
        <w:rPr>
          <w:rStyle w:val="TextoNormalNegritaCaracter"/>
        </w:rPr>
        <w:t>Concurrencia de títulos competenciales</w:t>
      </w:r>
      <w:bookmarkEnd w:id="1039"/>
      <w:r w:rsidRPr="00AD3C82">
        <w:rPr>
          <w:rStyle w:val="TextoNormalCaracter"/>
        </w:rPr>
        <w:t xml:space="preserve">, Sentencias </w:t>
      </w:r>
      <w:hyperlink w:anchor="SENTENCIA_2016_171" w:history="1">
        <w:r w:rsidRPr="00AD3C82">
          <w:rPr>
            <w:rStyle w:val="TextoNormalCaracter"/>
          </w:rPr>
          <w:t>171/2016</w:t>
        </w:r>
      </w:hyperlink>
      <w:r w:rsidRPr="00AD3C82">
        <w:rPr>
          <w:rStyle w:val="TextoNormalCaracter"/>
        </w:rPr>
        <w:t xml:space="preserve">, ff. 3 a 6; </w:t>
      </w:r>
      <w:hyperlink w:anchor="SENTENCIA_2016_177" w:history="1">
        <w:r w:rsidRPr="00AD3C82">
          <w:rPr>
            <w:rStyle w:val="TextoNormalCaracter"/>
          </w:rPr>
          <w:t>177/2016</w:t>
        </w:r>
      </w:hyperlink>
      <w:r w:rsidRPr="00AD3C82">
        <w:rPr>
          <w:rStyle w:val="TextoNormalCaracter"/>
        </w:rPr>
        <w:t>, ff. 5 a 7, VVPP I, II.</w:t>
      </w:r>
    </w:p>
    <w:p w:rsidR="00AD3C82" w:rsidRPr="00AD3C82" w:rsidRDefault="00AD3C82" w:rsidP="00AD3C82">
      <w:pPr>
        <w:pStyle w:val="TextoNormalSangraFrancesa"/>
        <w:rPr>
          <w:rStyle w:val="TextoNormalCaracter"/>
        </w:rPr>
      </w:pPr>
      <w:bookmarkStart w:id="1040" w:name="DESCRIPTORALFABETICO674"/>
      <w:r w:rsidRPr="00AD3C82">
        <w:rPr>
          <w:rStyle w:val="TextoNormalNegritaCaracter"/>
        </w:rPr>
        <w:t>Condena penal en casación sin vista pública</w:t>
      </w:r>
      <w:bookmarkEnd w:id="1040"/>
      <w:r w:rsidRPr="00AD3C82">
        <w:rPr>
          <w:rStyle w:val="TextoNormalCaracter"/>
        </w:rPr>
        <w:t xml:space="preserve">, Sentencia </w:t>
      </w:r>
      <w:hyperlink w:anchor="SENTENCIA_2016_172" w:history="1">
        <w:r w:rsidRPr="00AD3C82">
          <w:rPr>
            <w:rStyle w:val="TextoNormalCaracter"/>
          </w:rPr>
          <w:t>172/2016</w:t>
        </w:r>
      </w:hyperlink>
      <w:r w:rsidRPr="00AD3C82">
        <w:rPr>
          <w:rStyle w:val="TextoNormalCaracter"/>
        </w:rPr>
        <w:t>, ff. 7, 8, VP.</w:t>
      </w:r>
    </w:p>
    <w:p w:rsidR="00AD3C82" w:rsidRPr="00AD3C82" w:rsidRDefault="00AD3C82" w:rsidP="00AD3C82">
      <w:pPr>
        <w:pStyle w:val="TextoNormalSangraFrancesa"/>
        <w:rPr>
          <w:rStyle w:val="TextoNormalCaracter"/>
        </w:rPr>
      </w:pPr>
      <w:bookmarkStart w:id="1041" w:name="DESCRIPTORALFABETICO496"/>
      <w:r w:rsidRPr="00AD3C82">
        <w:rPr>
          <w:rStyle w:val="TextoNormalNegritaCaracter"/>
        </w:rPr>
        <w:t>Conexión de sentido entre la situación de urgencia y las medidas adoptadas</w:t>
      </w:r>
      <w:bookmarkEnd w:id="1041"/>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5, VP I, VP II.</w:t>
      </w:r>
    </w:p>
    <w:p w:rsidR="00AD3C82" w:rsidRPr="00AD3C82" w:rsidRDefault="00AD3C82" w:rsidP="00AD3C82">
      <w:pPr>
        <w:pStyle w:val="TextoNormalSangraFrancesa"/>
        <w:rPr>
          <w:rStyle w:val="TextoNormalCaracter"/>
        </w:rPr>
      </w:pPr>
      <w:bookmarkStart w:id="1042" w:name="DESCRIPTORALFABETICO320"/>
      <w:r w:rsidRPr="00AD3C82">
        <w:rPr>
          <w:rStyle w:val="TextoNormalNegritaCaracter"/>
        </w:rPr>
        <w:t>Conexión material entre enmienda e iniciativa legislativa</w:t>
      </w:r>
      <w:bookmarkEnd w:id="1042"/>
      <w:r w:rsidRPr="00AD3C82">
        <w:rPr>
          <w:rStyle w:val="TextoNormalCaracter"/>
        </w:rPr>
        <w:t xml:space="preserve">, Sentencia </w:t>
      </w:r>
      <w:hyperlink w:anchor="SENTENCIA_2016_213" w:history="1">
        <w:r w:rsidRPr="00AD3C82">
          <w:rPr>
            <w:rStyle w:val="TextoNormalCaracter"/>
          </w:rPr>
          <w:t>213/2016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043" w:name="DESCRIPTORALFABETICO379"/>
      <w:r w:rsidRPr="00AD3C82">
        <w:rPr>
          <w:rStyle w:val="TextoNormalNegritaCaracter"/>
        </w:rPr>
        <w:t>Confianza legítima</w:t>
      </w:r>
      <w:bookmarkEnd w:id="1043"/>
      <w:r w:rsidRPr="00AD3C82">
        <w:rPr>
          <w:rStyle w:val="TextoNormalCaracter"/>
        </w:rPr>
        <w:t xml:space="preserve">, Sentencia </w:t>
      </w:r>
      <w:hyperlink w:anchor="SENTENCIA_2016_181" w:history="1">
        <w:r w:rsidRPr="00AD3C82">
          <w:rPr>
            <w:rStyle w:val="TextoNormalCaracter"/>
          </w:rPr>
          <w:t>181/2016</w:t>
        </w:r>
      </w:hyperlink>
      <w:r w:rsidRPr="00AD3C82">
        <w:rPr>
          <w:rStyle w:val="TextoNormalCaracter"/>
        </w:rPr>
        <w:t>, ff. 1, 4, 5.</w:t>
      </w:r>
    </w:p>
    <w:p w:rsidR="00AD3C82" w:rsidRPr="00AD3C82" w:rsidRDefault="00AD3C82" w:rsidP="00AD3C82">
      <w:pPr>
        <w:pStyle w:val="TextoNormalSangraFrancesa"/>
        <w:rPr>
          <w:rStyle w:val="TextoNormalCaracter"/>
        </w:rPr>
      </w:pPr>
      <w:bookmarkStart w:id="1044" w:name="DESCRIPTORALFABETICO519"/>
      <w:r w:rsidRPr="00AD3C82">
        <w:rPr>
          <w:rStyle w:val="TextoNormalNegritaCaracter"/>
        </w:rPr>
        <w:t>Conflicto de normas</w:t>
      </w:r>
      <w:bookmarkEnd w:id="1044"/>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 2, VP; </w:t>
      </w:r>
      <w:hyperlink w:anchor="SENTENCIA_2016_204" w:history="1">
        <w:r w:rsidRPr="00AD3C82">
          <w:rPr>
            <w:rStyle w:val="TextoNormalCaracter"/>
          </w:rPr>
          <w:t>204/2016</w:t>
        </w:r>
      </w:hyperlink>
      <w:r w:rsidRPr="00AD3C82">
        <w:rPr>
          <w:rStyle w:val="TextoNormalCaracter"/>
        </w:rPr>
        <w:t>, ff. 2, 3, VP I, VP II.</w:t>
      </w:r>
    </w:p>
    <w:p w:rsidR="00AD3C82" w:rsidRPr="00AD3C82" w:rsidRDefault="00AD3C82" w:rsidP="00AD3C82">
      <w:pPr>
        <w:pStyle w:val="TextoNormalSangraFrancesa"/>
        <w:rPr>
          <w:rStyle w:val="TextoNormalCaracter"/>
        </w:rPr>
      </w:pPr>
      <w:bookmarkStart w:id="1045" w:name="DESCRIPTORALFABETICO212"/>
      <w:r w:rsidRPr="00AD3C82">
        <w:rPr>
          <w:rStyle w:val="TextoNormalNegritaCaracter"/>
        </w:rPr>
        <w:t>Conflictos en defensa de la autonomía local</w:t>
      </w:r>
      <w:bookmarkEnd w:id="1045"/>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1 a 9.</w:t>
      </w:r>
    </w:p>
    <w:p w:rsidR="00AD3C82" w:rsidRPr="00AD3C82" w:rsidRDefault="00AD3C82" w:rsidP="00AD3C82">
      <w:pPr>
        <w:pStyle w:val="TextoNormalSangraFrancesa"/>
        <w:rPr>
          <w:rStyle w:val="TextoNormalCaracter"/>
        </w:rPr>
      </w:pPr>
      <w:bookmarkStart w:id="1046" w:name="DESCRIPTORALFABETICO213"/>
      <w:r w:rsidRPr="00AD3C82">
        <w:rPr>
          <w:rStyle w:val="TextoNormalNegritaCaracter"/>
        </w:rPr>
        <w:t>Conflictos en defensa de la autonomía local notoriamente infundados</w:t>
      </w:r>
      <w:bookmarkEnd w:id="1046"/>
      <w:r w:rsidRPr="00AD3C82">
        <w:rPr>
          <w:rStyle w:val="TextoNormalCaracter"/>
        </w:rPr>
        <w:t xml:space="preserve">, Auto </w:t>
      </w:r>
      <w:hyperlink w:anchor="AUTO_2016_206" w:history="1">
        <w:r w:rsidRPr="00AD3C82">
          <w:rPr>
            <w:rStyle w:val="TextoNormalCaracter"/>
          </w:rPr>
          <w:t>206/2016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047" w:name="DESCRIPTORALFABETICO214"/>
      <w:r w:rsidRPr="00AD3C82">
        <w:rPr>
          <w:rStyle w:val="TextoNormalNegritaCaracter"/>
        </w:rPr>
        <w:t>Conflictos positivos de competencia</w:t>
      </w:r>
      <w:bookmarkEnd w:id="1047"/>
      <w:r w:rsidRPr="00AD3C82">
        <w:rPr>
          <w:rStyle w:val="TextoNormalCaracter"/>
        </w:rPr>
        <w:t xml:space="preserve">, Sentencia </w:t>
      </w:r>
      <w:hyperlink w:anchor="SENTENCIA_2016_216" w:history="1">
        <w:r w:rsidRPr="00AD3C82">
          <w:rPr>
            <w:rStyle w:val="TextoNormalCaracter"/>
          </w:rPr>
          <w:t>216/2016</w:t>
        </w:r>
      </w:hyperlink>
      <w:r w:rsidRPr="00AD3C82">
        <w:rPr>
          <w:rStyle w:val="TextoNormalCaracter"/>
        </w:rPr>
        <w:t>, ff. 1, 4, 5.</w:t>
      </w:r>
    </w:p>
    <w:p w:rsidR="00AD3C82" w:rsidRPr="00AD3C82" w:rsidRDefault="00AD3C82" w:rsidP="00AD3C82">
      <w:pPr>
        <w:pStyle w:val="TextoNormalSangraFrancesa"/>
        <w:rPr>
          <w:rStyle w:val="TextoNormalCaracter"/>
        </w:rPr>
      </w:pPr>
      <w:bookmarkStart w:id="1048" w:name="DESCRIPTORALFABETICO309"/>
      <w:r w:rsidRPr="00AD3C82">
        <w:rPr>
          <w:rStyle w:val="TextoNormalNegritaCaracter"/>
        </w:rPr>
        <w:t>Consejo General del Poder Judicial</w:t>
      </w:r>
      <w:bookmarkEnd w:id="1048"/>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ff. 3 a 11.</w:t>
      </w:r>
    </w:p>
    <w:p w:rsidR="00AD3C82" w:rsidRPr="00AD3C82" w:rsidRDefault="00AD3C82" w:rsidP="00AD3C82">
      <w:pPr>
        <w:pStyle w:val="TextoNormalSangraFrancesa"/>
        <w:rPr>
          <w:rStyle w:val="TextoNormalCaracter"/>
        </w:rPr>
      </w:pPr>
      <w:bookmarkStart w:id="1049" w:name="DESCRIPTORALFABETICO613"/>
      <w:r w:rsidRPr="00AD3C82">
        <w:rPr>
          <w:rStyle w:val="TextoNormalNegritaCaracter"/>
        </w:rPr>
        <w:t>Consignación de salarios de tramitación</w:t>
      </w:r>
      <w:bookmarkEnd w:id="1049"/>
      <w:r w:rsidRPr="00AD3C82">
        <w:rPr>
          <w:rStyle w:val="TextoNormalCaracter"/>
        </w:rPr>
        <w:t xml:space="preserve">, Sentencia </w:t>
      </w:r>
      <w:hyperlink w:anchor="SENTENCIA_2016_176" w:history="1">
        <w:r w:rsidRPr="00AD3C82">
          <w:rPr>
            <w:rStyle w:val="TextoNormalCaracter"/>
          </w:rPr>
          <w:t>176/2016</w:t>
        </w:r>
      </w:hyperlink>
      <w:r w:rsidRPr="00AD3C82">
        <w:rPr>
          <w:rStyle w:val="TextoNormalCaracter"/>
        </w:rPr>
        <w:t>, f. 3.</w:t>
      </w:r>
    </w:p>
    <w:p w:rsidR="00AD3C82" w:rsidRPr="00AD3C82" w:rsidRDefault="00AD3C82" w:rsidP="00AD3C82">
      <w:pPr>
        <w:pStyle w:val="TextoNormalSangraFrancesa"/>
        <w:rPr>
          <w:rStyle w:val="TextoNormalCaracter"/>
        </w:rPr>
      </w:pPr>
      <w:bookmarkStart w:id="1050" w:name="DESCRIPTORALFABETICO614"/>
      <w:r w:rsidRPr="00AD3C82">
        <w:rPr>
          <w:rStyle w:val="TextoNormalNegritaCaracter"/>
        </w:rPr>
        <w:t>Consignación en recurso de suplicación</w:t>
      </w:r>
      <w:bookmarkEnd w:id="1050"/>
      <w:r w:rsidRPr="00AD3C82">
        <w:rPr>
          <w:rStyle w:val="TextoNormalCaracter"/>
        </w:rPr>
        <w:t xml:space="preserve">, Sentencias </w:t>
      </w:r>
      <w:hyperlink w:anchor="SENTENCIA_2016_166" w:history="1">
        <w:r w:rsidRPr="00AD3C82">
          <w:rPr>
            <w:rStyle w:val="TextoNormalCaracter"/>
          </w:rPr>
          <w:t>166/2016</w:t>
        </w:r>
      </w:hyperlink>
      <w:r w:rsidRPr="00AD3C82">
        <w:rPr>
          <w:rStyle w:val="TextoNormalCaracter"/>
        </w:rPr>
        <w:t xml:space="preserve">, ff. 4, 5; </w:t>
      </w:r>
      <w:hyperlink w:anchor="SENTENCIA_2016_173" w:history="1">
        <w:r w:rsidRPr="00AD3C82">
          <w:rPr>
            <w:rStyle w:val="TextoNormalCaracter"/>
          </w:rPr>
          <w:t>173/2016</w:t>
        </w:r>
      </w:hyperlink>
      <w:r w:rsidRPr="00AD3C82">
        <w:rPr>
          <w:rStyle w:val="TextoNormalCaracter"/>
        </w:rPr>
        <w:t>, f. 1, 4, 5.</w:t>
      </w:r>
    </w:p>
    <w:p w:rsidR="00AD3C82" w:rsidRPr="00AD3C82" w:rsidRDefault="00AD3C82" w:rsidP="00AD3C82">
      <w:pPr>
        <w:pStyle w:val="TextoNormalSangraFrancesa"/>
        <w:rPr>
          <w:rStyle w:val="TextoNormalCaracter"/>
        </w:rPr>
      </w:pPr>
      <w:bookmarkStart w:id="1051" w:name="DESCRIPTORALFABETICO306"/>
      <w:r w:rsidRPr="00AD3C82">
        <w:rPr>
          <w:rStyle w:val="TextoNormalNegritaCaracter"/>
        </w:rPr>
        <w:t>Consorcios</w:t>
      </w:r>
      <w:bookmarkEnd w:id="1051"/>
      <w:r w:rsidRPr="00AD3C82">
        <w:rPr>
          <w:rStyle w:val="TextoNormalCaracter"/>
        </w:rPr>
        <w:t xml:space="preserve">, Sentencia </w:t>
      </w:r>
      <w:hyperlink w:anchor="SENTENCIA_2016_180" w:history="1">
        <w:r w:rsidRPr="00AD3C82">
          <w:rPr>
            <w:rStyle w:val="TextoNormalCaracter"/>
          </w:rPr>
          <w:t>180/2016</w:t>
        </w:r>
      </w:hyperlink>
      <w:r w:rsidRPr="00AD3C82">
        <w:rPr>
          <w:rStyle w:val="TextoNormalCaracter"/>
        </w:rPr>
        <w:t>, f. 7.</w:t>
      </w:r>
    </w:p>
    <w:p w:rsidR="00AD3C82" w:rsidRPr="00AD3C82" w:rsidRDefault="00AD3C82" w:rsidP="00AD3C82">
      <w:pPr>
        <w:pStyle w:val="TextoNormalSangraFrancesa"/>
        <w:rPr>
          <w:rStyle w:val="TextoNormalCaracter"/>
        </w:rPr>
      </w:pPr>
      <w:bookmarkStart w:id="1052" w:name="DESCRIPTORALFABETICO64"/>
      <w:r w:rsidRPr="00AD3C82">
        <w:rPr>
          <w:rStyle w:val="TextoNormalNegritaCaracter"/>
        </w:rPr>
        <w:t>Contención del gasto público</w:t>
      </w:r>
      <w:bookmarkEnd w:id="1052"/>
      <w:r w:rsidRPr="00AD3C82">
        <w:rPr>
          <w:rStyle w:val="TextoNormalCaracter"/>
        </w:rPr>
        <w:t xml:space="preserve">, Sentencias </w:t>
      </w:r>
      <w:hyperlink w:anchor="SENTENCIA_2016_139" w:history="1">
        <w:r w:rsidRPr="00AD3C82">
          <w:rPr>
            <w:rStyle w:val="TextoNormalCaracter"/>
          </w:rPr>
          <w:t>139/2016</w:t>
        </w:r>
      </w:hyperlink>
      <w:r w:rsidRPr="00AD3C82">
        <w:rPr>
          <w:rStyle w:val="TextoNormalCaracter"/>
        </w:rPr>
        <w:t xml:space="preserve">, ff. 8 a 13, VP I, VP II; </w:t>
      </w:r>
      <w:hyperlink w:anchor="SENTENCIA_2016_193" w:history="1">
        <w:r w:rsidRPr="00AD3C82">
          <w:rPr>
            <w:rStyle w:val="TextoNormalCaracter"/>
          </w:rPr>
          <w:t>193/2016</w:t>
        </w:r>
      </w:hyperlink>
      <w:r w:rsidRPr="00AD3C82">
        <w:rPr>
          <w:rStyle w:val="TextoNormalCaracter"/>
        </w:rPr>
        <w:t>, ff. 1 a 5.</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53" w:name="DESCRIPTORALFABETICO178"/>
      <w:r w:rsidRPr="00AD3C82">
        <w:rPr>
          <w:rStyle w:val="TextoNormalNegritaCaracter"/>
        </w:rPr>
        <w:t>Contenido de la libertad de expresión</w:t>
      </w:r>
      <w:bookmarkEnd w:id="1053"/>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ff. 1 a 10.</w:t>
      </w:r>
    </w:p>
    <w:p w:rsidR="00AD3C82" w:rsidRPr="00AD3C82" w:rsidRDefault="00AD3C82" w:rsidP="00AD3C82">
      <w:pPr>
        <w:pStyle w:val="TextoNormalSangraFrancesa"/>
        <w:rPr>
          <w:rStyle w:val="TextoNormalCaracter"/>
        </w:rPr>
      </w:pPr>
      <w:bookmarkStart w:id="1054" w:name="DESCRIPTORALFABETICO488"/>
      <w:r w:rsidRPr="00AD3C82">
        <w:rPr>
          <w:rStyle w:val="TextoNormalNegritaCaracter"/>
        </w:rPr>
        <w:t>Contenido de los Estatutos de Autonomía</w:t>
      </w:r>
      <w:bookmarkEnd w:id="1054"/>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55" w:name="DESCRIPTORALFABETICO144"/>
      <w:r w:rsidRPr="00AD3C82">
        <w:rPr>
          <w:rStyle w:val="TextoNormalNegritaCaracter"/>
        </w:rPr>
        <w:t>Contenido del derecho al recurso legal</w:t>
      </w:r>
      <w:bookmarkEnd w:id="1055"/>
      <w:r w:rsidRPr="00AD3C82">
        <w:rPr>
          <w:rStyle w:val="TextoNormalCaracter"/>
        </w:rPr>
        <w:t xml:space="preserve">, Sentencia </w:t>
      </w:r>
      <w:hyperlink w:anchor="SENTENCIA_2016_173" w:history="1">
        <w:r w:rsidRPr="00AD3C82">
          <w:rPr>
            <w:rStyle w:val="TextoNormalCaracter"/>
          </w:rPr>
          <w:t>173/2016</w:t>
        </w:r>
      </w:hyperlink>
      <w:r w:rsidRPr="00AD3C82">
        <w:rPr>
          <w:rStyle w:val="TextoNormalCaracter"/>
        </w:rPr>
        <w:t>, f. 4, 5.</w:t>
      </w:r>
    </w:p>
    <w:p w:rsidR="00AD3C82" w:rsidRPr="00AD3C82" w:rsidRDefault="00AD3C82" w:rsidP="00AD3C82">
      <w:pPr>
        <w:pStyle w:val="TextoNormalSangraFrancesa"/>
        <w:rPr>
          <w:rStyle w:val="TextoNormalCaracter"/>
        </w:rPr>
      </w:pPr>
      <w:bookmarkStart w:id="1056" w:name="DESCRIPTORALFABETICO510"/>
      <w:r w:rsidRPr="00AD3C82">
        <w:rPr>
          <w:rStyle w:val="TextoNormalNegritaCaracter"/>
        </w:rPr>
        <w:t>Contenido material de las leyes de presupuestos</w:t>
      </w:r>
      <w:bookmarkEnd w:id="1056"/>
      <w:r w:rsidRPr="00AD3C82">
        <w:rPr>
          <w:rStyle w:val="TextoNormalCaracter"/>
        </w:rPr>
        <w:t xml:space="preserve">, Sentencia </w:t>
      </w:r>
      <w:hyperlink w:anchor="SENTENCIA_2016_135" w:history="1">
        <w:r w:rsidRPr="00AD3C82">
          <w:rPr>
            <w:rStyle w:val="TextoNormalCaracter"/>
          </w:rPr>
          <w:t>135/2016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57" w:name="DESCRIPTORALFABETICO186"/>
      <w:r w:rsidRPr="00AD3C82">
        <w:rPr>
          <w:rStyle w:val="TextoNormalNegritaCaracter"/>
        </w:rPr>
        <w:t>Control abstracto de constitucionalidad</w:t>
      </w:r>
      <w:bookmarkEnd w:id="1057"/>
      <w:r w:rsidRPr="00AD3C82">
        <w:rPr>
          <w:rStyle w:val="TextoNormalCaracter"/>
        </w:rPr>
        <w:t xml:space="preserve">, Sentencia </w:t>
      </w:r>
      <w:hyperlink w:anchor="SENTENCIA_2016_185" w:history="1">
        <w:r w:rsidRPr="00AD3C82">
          <w:rPr>
            <w:rStyle w:val="TextoNormalCaracter"/>
          </w:rPr>
          <w:t>185/2016</w:t>
        </w:r>
      </w:hyperlink>
      <w:r w:rsidRPr="00AD3C82">
        <w:rPr>
          <w:rStyle w:val="TextoNormalCaracter"/>
        </w:rPr>
        <w:t>, ff. 8, 10, VVPP I, II, III.</w:t>
      </w:r>
    </w:p>
    <w:p w:rsidR="00AD3C82" w:rsidRPr="00AD3C82" w:rsidRDefault="00AD3C82" w:rsidP="00AD3C82">
      <w:pPr>
        <w:pStyle w:val="TextoNormalSangraFrancesa"/>
        <w:rPr>
          <w:rStyle w:val="TextoNormalCaracter"/>
        </w:rPr>
      </w:pPr>
      <w:bookmarkStart w:id="1058" w:name="DESCRIPTORALFABETICO185"/>
      <w:r w:rsidRPr="00AD3C82">
        <w:rPr>
          <w:rStyle w:val="TextoNormalNegritaCaracter"/>
        </w:rPr>
        <w:t>Control constitucional de la exigencia de motivación</w:t>
      </w:r>
      <w:bookmarkEnd w:id="1058"/>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3, 5, 6; </w:t>
      </w:r>
      <w:hyperlink w:anchor="SENTENCIA_2016_201" w:history="1">
        <w:r w:rsidRPr="00AD3C82">
          <w:rPr>
            <w:rStyle w:val="TextoNormalCaracter"/>
          </w:rPr>
          <w:t>201/2016</w:t>
        </w:r>
      </w:hyperlink>
      <w:r w:rsidRPr="00AD3C82">
        <w:rPr>
          <w:rStyle w:val="TextoNormalCaracter"/>
        </w:rPr>
        <w:t>, f. 3.</w:t>
      </w:r>
    </w:p>
    <w:p w:rsidR="00AD3C82" w:rsidRPr="00AD3C82" w:rsidRDefault="00AD3C82" w:rsidP="00AD3C82">
      <w:pPr>
        <w:pStyle w:val="TextoNormalSangraFrancesa"/>
        <w:rPr>
          <w:rStyle w:val="TextoNormalCaracter"/>
        </w:rPr>
      </w:pPr>
      <w:bookmarkStart w:id="1059" w:name="DESCRIPTORALFABETICO187"/>
      <w:r w:rsidRPr="00AD3C82">
        <w:rPr>
          <w:rStyle w:val="TextoNormalNegritaCaracter"/>
        </w:rPr>
        <w:t>Control de constitucionalidad de los decretos-leyes</w:t>
      </w:r>
      <w:bookmarkEnd w:id="1059"/>
      <w:r w:rsidRPr="00AD3C82">
        <w:rPr>
          <w:rStyle w:val="TextoNormalCaracter"/>
        </w:rPr>
        <w:t xml:space="preserve">, Sentencia </w:t>
      </w:r>
      <w:hyperlink w:anchor="SENTENCIA_2016_195" w:history="1">
        <w:r w:rsidRPr="00AD3C82">
          <w:rPr>
            <w:rStyle w:val="TextoNormalCaracter"/>
          </w:rPr>
          <w:t>195/2016</w:t>
        </w:r>
      </w:hyperlink>
      <w:r w:rsidRPr="00AD3C82">
        <w:rPr>
          <w:rStyle w:val="TextoNormalCaracter"/>
        </w:rPr>
        <w:t>, ff. 2, 4, VP I.</w:t>
      </w:r>
    </w:p>
    <w:p w:rsidR="00AD3C82" w:rsidRPr="00AD3C82" w:rsidRDefault="00AD3C82" w:rsidP="00AD3C82">
      <w:pPr>
        <w:pStyle w:val="TextoNormalSangraFrancesa"/>
        <w:rPr>
          <w:rStyle w:val="TextoNormalCaracter"/>
        </w:rPr>
      </w:pPr>
      <w:bookmarkStart w:id="1060" w:name="DESCRIPTORALFABETICO297"/>
      <w:r w:rsidRPr="00AD3C82">
        <w:rPr>
          <w:rStyle w:val="TextoNormalNegritaCaracter"/>
        </w:rPr>
        <w:t>Control de la actividad administrativa</w:t>
      </w:r>
      <w:bookmarkEnd w:id="1060"/>
      <w:r w:rsidRPr="00AD3C82">
        <w:rPr>
          <w:rStyle w:val="TextoNormalCaracter"/>
        </w:rPr>
        <w:t xml:space="preserve">, Sentencia </w:t>
      </w:r>
      <w:hyperlink w:anchor="SENTENCIA_2016_140" w:history="1">
        <w:r w:rsidRPr="00AD3C82">
          <w:rPr>
            <w:rStyle w:val="TextoNormalCaracter"/>
          </w:rPr>
          <w:t>140/2016</w:t>
        </w:r>
      </w:hyperlink>
      <w:r w:rsidRPr="00AD3C82">
        <w:rPr>
          <w:rStyle w:val="TextoNormalCaracter"/>
        </w:rPr>
        <w:t>, ff. 3, 10, 11.</w:t>
      </w:r>
    </w:p>
    <w:p w:rsidR="00AD3C82" w:rsidRPr="00AD3C82" w:rsidRDefault="00AD3C82" w:rsidP="00AD3C82">
      <w:pPr>
        <w:pStyle w:val="TextoNormalSangraFrancesa"/>
        <w:rPr>
          <w:rStyle w:val="TextoNormalCaracter"/>
        </w:rPr>
      </w:pPr>
      <w:bookmarkStart w:id="1061" w:name="DESCRIPTORALFABETICO205"/>
      <w:r w:rsidRPr="00AD3C82">
        <w:rPr>
          <w:rStyle w:val="TextoNormalNegritaCaracter"/>
        </w:rPr>
        <w:t>Controversias de contenido competencial</w:t>
      </w:r>
      <w:bookmarkEnd w:id="1061"/>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ff. 4 a 14; </w:t>
      </w:r>
      <w:hyperlink w:anchor="SENTENCIA_2016_159" w:history="1">
        <w:r w:rsidRPr="00AD3C82">
          <w:rPr>
            <w:rStyle w:val="TextoNormalCaracter"/>
          </w:rPr>
          <w:t>159/2016</w:t>
        </w:r>
      </w:hyperlink>
      <w:r w:rsidRPr="00AD3C82">
        <w:rPr>
          <w:rStyle w:val="TextoNormalCaracter"/>
        </w:rPr>
        <w:t xml:space="preserve">, ff. 1, 2; </w:t>
      </w:r>
      <w:hyperlink w:anchor="SENTENCIA_2016_177" w:history="1">
        <w:r w:rsidRPr="00AD3C82">
          <w:rPr>
            <w:rStyle w:val="TextoNormalCaracter"/>
          </w:rPr>
          <w:t>177/2016</w:t>
        </w:r>
      </w:hyperlink>
      <w:r w:rsidRPr="00AD3C82">
        <w:rPr>
          <w:rStyle w:val="TextoNormalCaracter"/>
        </w:rPr>
        <w:t xml:space="preserve">, ff.  1 a 7, VVPP I, II; </w:t>
      </w:r>
      <w:hyperlink w:anchor="SENTENCIA_2016_195" w:history="1">
        <w:r w:rsidRPr="00AD3C82">
          <w:rPr>
            <w:rStyle w:val="TextoNormalCaracter"/>
          </w:rPr>
          <w:t>195/2016</w:t>
        </w:r>
      </w:hyperlink>
      <w:r w:rsidRPr="00AD3C82">
        <w:rPr>
          <w:rStyle w:val="TextoNormalCaracter"/>
        </w:rPr>
        <w:t xml:space="preserve">, ff. 2 a 6; </w:t>
      </w:r>
      <w:hyperlink w:anchor="SENTENCIA_2016_214" w:history="1">
        <w:r w:rsidRPr="00AD3C82">
          <w:rPr>
            <w:rStyle w:val="TextoNormalCaracter"/>
          </w:rPr>
          <w:t>214/2016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062" w:name="DESCRIPTORALFABETICO99"/>
      <w:r w:rsidRPr="00AD3C82">
        <w:rPr>
          <w:rStyle w:val="TextoNormalNegritaCaracter"/>
        </w:rPr>
        <w:t>Convenio económico entre el Estado y la Comunidad Foral de Navarra</w:t>
      </w:r>
      <w:bookmarkEnd w:id="1062"/>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12.</w:t>
      </w:r>
    </w:p>
    <w:p w:rsidR="00AD3C82" w:rsidRPr="00AD3C82" w:rsidRDefault="00AD3C82" w:rsidP="00AD3C82">
      <w:pPr>
        <w:pStyle w:val="TextoNormalSangraFrancesa"/>
        <w:rPr>
          <w:rStyle w:val="TextoNormalCaracter"/>
        </w:rPr>
      </w:pPr>
      <w:bookmarkStart w:id="1063" w:name="DESCRIPTORALFABETICO484"/>
      <w:r w:rsidRPr="00AD3C82">
        <w:rPr>
          <w:rStyle w:val="TextoNormalNegritaCaracter"/>
        </w:rPr>
        <w:t>Convenio europeo de derechos humanos</w:t>
      </w:r>
      <w:bookmarkEnd w:id="1063"/>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64" w:name="DESCRIPTORALFABETICO467"/>
      <w:r w:rsidRPr="00AD3C82">
        <w:rPr>
          <w:rStyle w:val="TextoNormalNegritaCaracter"/>
        </w:rPr>
        <w:t>Convivencia familiar</w:t>
      </w:r>
      <w:bookmarkEnd w:id="1064"/>
      <w:r w:rsidRPr="00AD3C82">
        <w:rPr>
          <w:rStyle w:val="TextoNormalCaracter"/>
        </w:rPr>
        <w:t xml:space="preserve">, Sentencia </w:t>
      </w:r>
      <w:hyperlink w:anchor="SENTENCIA_2016_192" w:history="1">
        <w:r w:rsidRPr="00AD3C82">
          <w:rPr>
            <w:rStyle w:val="TextoNormalCaracter"/>
          </w:rPr>
          <w:t>192/2016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65" w:name="DESCRIPTORALFABETICO301"/>
      <w:r w:rsidRPr="00AD3C82">
        <w:rPr>
          <w:rStyle w:val="TextoNormalNegritaCaracter"/>
        </w:rPr>
        <w:t>Coordinación presupuestaria entre el Estado y las Comunidades Autónomas</w:t>
      </w:r>
      <w:bookmarkEnd w:id="1065"/>
      <w:r w:rsidRPr="00AD3C82">
        <w:rPr>
          <w:rStyle w:val="TextoNormalCaracter"/>
        </w:rPr>
        <w:t xml:space="preserve">, Sentencia </w:t>
      </w:r>
      <w:hyperlink w:anchor="SENTENCIA_2016_156" w:history="1">
        <w:r w:rsidRPr="00AD3C82">
          <w:rPr>
            <w:rStyle w:val="TextoNormalCaracter"/>
          </w:rPr>
          <w:t>156/2016</w:t>
        </w:r>
      </w:hyperlink>
      <w:r w:rsidRPr="00AD3C82">
        <w:rPr>
          <w:rStyle w:val="TextoNormalCaracter"/>
        </w:rPr>
        <w:t>, ff. 2, 4.</w:t>
      </w:r>
    </w:p>
    <w:p w:rsidR="00AD3C82" w:rsidRPr="00AD3C82" w:rsidRDefault="00AD3C82" w:rsidP="00AD3C82">
      <w:pPr>
        <w:pStyle w:val="TextoNormalSangraFrancesa"/>
        <w:rPr>
          <w:rStyle w:val="TextoNormalCaracter"/>
        </w:rPr>
      </w:pPr>
      <w:bookmarkStart w:id="1066" w:name="DESCRIPTORALFABETICO107"/>
      <w:r w:rsidRPr="00AD3C82">
        <w:rPr>
          <w:rStyle w:val="TextoNormalNegritaCaracter"/>
        </w:rPr>
        <w:t>Copago farmacéutico</w:t>
      </w:r>
      <w:bookmarkEnd w:id="1066"/>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ff. 6, 11.</w:t>
      </w:r>
    </w:p>
    <w:p w:rsidR="00AD3C82" w:rsidRPr="00AD3C82" w:rsidRDefault="00AD3C82" w:rsidP="00AD3C82">
      <w:pPr>
        <w:pStyle w:val="TextoNormalSangraFrancesa"/>
        <w:rPr>
          <w:rStyle w:val="TextoNormalCaracter"/>
        </w:rPr>
      </w:pPr>
      <w:bookmarkStart w:id="1067" w:name="DESCRIPTORALFABETICO345"/>
      <w:r w:rsidRPr="00AD3C82">
        <w:rPr>
          <w:rStyle w:val="TextoNormalNegritaCaracter"/>
        </w:rPr>
        <w:t>Cortes Valencianas</w:t>
      </w:r>
      <w:bookmarkEnd w:id="1067"/>
      <w:r w:rsidRPr="00AD3C82">
        <w:rPr>
          <w:rStyle w:val="TextoNormalCaracter"/>
        </w:rPr>
        <w:t xml:space="preserve">, Sentencias </w:t>
      </w:r>
      <w:hyperlink w:anchor="SENTENCIA_2016_153" w:history="1">
        <w:r w:rsidRPr="00AD3C82">
          <w:rPr>
            <w:rStyle w:val="TextoNormalCaracter"/>
          </w:rPr>
          <w:t>153/2016</w:t>
        </w:r>
      </w:hyperlink>
      <w:r w:rsidRPr="00AD3C82">
        <w:rPr>
          <w:rStyle w:val="TextoNormalCaracter"/>
        </w:rPr>
        <w:t xml:space="preserve">, f. 1; </w:t>
      </w:r>
      <w:hyperlink w:anchor="SENTENCIA_2016_212" w:history="1">
        <w:r w:rsidRPr="00AD3C82">
          <w:rPr>
            <w:rStyle w:val="TextoNormalCaracter"/>
          </w:rPr>
          <w:t>212/2016</w:t>
        </w:r>
      </w:hyperlink>
      <w:r w:rsidRPr="00AD3C82">
        <w:rPr>
          <w:rStyle w:val="TextoNormalCaracter"/>
        </w:rPr>
        <w:t>, f. 1.</w:t>
      </w:r>
    </w:p>
    <w:p w:rsidR="00AD3C82" w:rsidRPr="00AD3C82" w:rsidRDefault="00AD3C82" w:rsidP="00AD3C82">
      <w:pPr>
        <w:pStyle w:val="TextoNormalSangraFrancesa"/>
        <w:rPr>
          <w:rStyle w:val="TextoNormalCaracter"/>
        </w:rPr>
      </w:pPr>
      <w:bookmarkStart w:id="1068" w:name="DESCRIPTORALFABETICO617"/>
      <w:r w:rsidRPr="00AD3C82">
        <w:rPr>
          <w:rStyle w:val="TextoNormalNegritaCaracter"/>
        </w:rPr>
        <w:t>Cosa juzgada</w:t>
      </w:r>
      <w:bookmarkEnd w:id="1068"/>
      <w:r w:rsidRPr="00AD3C82">
        <w:rPr>
          <w:rStyle w:val="TextoNormalCaracter"/>
        </w:rPr>
        <w:t xml:space="preserve">, Sentencia </w:t>
      </w:r>
      <w:hyperlink w:anchor="SENTENCIA_2016_148" w:history="1">
        <w:r w:rsidRPr="00AD3C82">
          <w:rPr>
            <w:rStyle w:val="TextoNormalCaracter"/>
          </w:rPr>
          <w:t>148/2016</w:t>
        </w:r>
      </w:hyperlink>
      <w:r w:rsidRPr="00AD3C82">
        <w:rPr>
          <w:rStyle w:val="TextoNormalCaracter"/>
        </w:rPr>
        <w:t>, f. 6.</w:t>
      </w:r>
    </w:p>
    <w:p w:rsidR="00AD3C82" w:rsidRPr="00AD3C82" w:rsidRDefault="00AD3C82" w:rsidP="00AD3C82">
      <w:pPr>
        <w:pStyle w:val="TextoNormalSangraFrancesa"/>
        <w:rPr>
          <w:rStyle w:val="TextoNormalCaracter"/>
        </w:rPr>
      </w:pPr>
      <w:bookmarkStart w:id="1069" w:name="DESCRIPTORALFABETICO395"/>
      <w:r w:rsidRPr="00AD3C82">
        <w:rPr>
          <w:rStyle w:val="TextoNormalNegritaCaracter"/>
        </w:rPr>
        <w:t>Creación, supresión y alteración de términos municipales</w:t>
      </w:r>
      <w:bookmarkEnd w:id="1069"/>
      <w:r w:rsidRPr="00AD3C82">
        <w:rPr>
          <w:rStyle w:val="TextoNormalCaracter"/>
        </w:rPr>
        <w:t xml:space="preserve">, Sentencia </w:t>
      </w:r>
      <w:hyperlink w:anchor="SENTENCIA_2016_127" w:history="1">
        <w:r w:rsidRPr="00AD3C82">
          <w:rPr>
            <w:rStyle w:val="TextoNormalCaracter"/>
          </w:rPr>
          <w:t>127/2016</w:t>
        </w:r>
      </w:hyperlink>
      <w:r w:rsidRPr="00AD3C82">
        <w:rPr>
          <w:rStyle w:val="TextoNormalCaracter"/>
        </w:rPr>
        <w:t>, f. 1.</w:t>
      </w:r>
    </w:p>
    <w:p w:rsidR="00AD3C82" w:rsidRPr="00AD3C82" w:rsidRDefault="00AD3C82" w:rsidP="00AD3C82">
      <w:pPr>
        <w:pStyle w:val="TextoNormalSangraFrancesa"/>
        <w:rPr>
          <w:rStyle w:val="TextoNormalCaracter"/>
        </w:rPr>
      </w:pPr>
      <w:bookmarkStart w:id="1070" w:name="DESCRIPTORALFABETICO424"/>
      <w:r w:rsidRPr="00AD3C82">
        <w:rPr>
          <w:rStyle w:val="TextoNormalNegritaCaracter"/>
        </w:rPr>
        <w:t>Créditos hipotecarios</w:t>
      </w:r>
      <w:bookmarkEnd w:id="1070"/>
      <w:r w:rsidRPr="00AD3C82">
        <w:rPr>
          <w:rStyle w:val="TextoNormalCaracter"/>
        </w:rPr>
        <w:t xml:space="preserve">, Sentencia </w:t>
      </w:r>
      <w:hyperlink w:anchor="SENTENCIA_2016_148" w:history="1">
        <w:r w:rsidRPr="00AD3C82">
          <w:rPr>
            <w:rStyle w:val="TextoNormalCaracter"/>
          </w:rPr>
          <w:t>148/2016</w:t>
        </w:r>
      </w:hyperlink>
      <w:r w:rsidRPr="00AD3C82">
        <w:rPr>
          <w:rStyle w:val="TextoNormalCaracter"/>
        </w:rPr>
        <w:t>, ff. 4 a 7.</w:t>
      </w:r>
    </w:p>
    <w:p w:rsidR="00AD3C82" w:rsidRPr="00AD3C82" w:rsidRDefault="00AD3C82" w:rsidP="00AD3C82">
      <w:pPr>
        <w:pStyle w:val="TextoNormalSangraFrancesa"/>
        <w:rPr>
          <w:rStyle w:val="TextoNormalCaracter"/>
        </w:rPr>
      </w:pPr>
      <w:bookmarkStart w:id="1071" w:name="DESCRIPTORALFABETICO27"/>
      <w:r w:rsidRPr="00AD3C82">
        <w:rPr>
          <w:rStyle w:val="TextoNormalNegritaCaracter"/>
        </w:rPr>
        <w:t>Criterio territorial de distribución de competencias</w:t>
      </w:r>
      <w:bookmarkEnd w:id="1071"/>
      <w:r w:rsidRPr="00AD3C82">
        <w:rPr>
          <w:rStyle w:val="TextoNormalCaracter"/>
        </w:rPr>
        <w:t xml:space="preserve">, Sentencia </w:t>
      </w:r>
      <w:hyperlink w:anchor="SENTENCIA_2016_171" w:history="1">
        <w:r w:rsidRPr="00AD3C82">
          <w:rPr>
            <w:rStyle w:val="TextoNormalCaracter"/>
          </w:rPr>
          <w:t>171/2016</w:t>
        </w:r>
      </w:hyperlink>
      <w:r w:rsidRPr="00AD3C82">
        <w:rPr>
          <w:rStyle w:val="TextoNormalCaracter"/>
        </w:rPr>
        <w:t>, f. 6.</w:t>
      </w:r>
    </w:p>
    <w:p w:rsidR="00AD3C82" w:rsidRPr="00AD3C82" w:rsidRDefault="00AD3C82" w:rsidP="00AD3C82">
      <w:pPr>
        <w:pStyle w:val="TextoNormalSangraFrancesa"/>
        <w:rPr>
          <w:rStyle w:val="TextoNormalCaracter"/>
        </w:rPr>
      </w:pPr>
      <w:bookmarkStart w:id="1072" w:name="DESCRIPTORALFABETICO166"/>
      <w:r w:rsidRPr="00AD3C82">
        <w:rPr>
          <w:rStyle w:val="TextoNormalNegritaCaracter"/>
        </w:rPr>
        <w:t>Criterios de apreciación de dilaciones indebidas</w:t>
      </w:r>
      <w:bookmarkEnd w:id="1072"/>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73" w:name="DESCRIPTORALFABETICO571"/>
      <w:r w:rsidRPr="00AD3C82">
        <w:rPr>
          <w:rStyle w:val="TextoNormalNegritaCaracter"/>
        </w:rPr>
        <w:t>Criterios de diferenciación en la concesión del subsidio de desempleo</w:t>
      </w:r>
      <w:bookmarkEnd w:id="1073"/>
      <w:r w:rsidRPr="00AD3C82">
        <w:rPr>
          <w:rStyle w:val="TextoNormalCaracter"/>
        </w:rPr>
        <w:t xml:space="preserve">, Sentencia </w:t>
      </w:r>
      <w:hyperlink w:anchor="SENTENCIA_2016_135" w:history="1">
        <w:r w:rsidRPr="00AD3C82">
          <w:rPr>
            <w:rStyle w:val="TextoNormalCaracter"/>
          </w:rPr>
          <w:t>135/2016</w:t>
        </w:r>
      </w:hyperlink>
      <w:r w:rsidRPr="00AD3C82">
        <w:rPr>
          <w:rStyle w:val="TextoNormalCaracter"/>
        </w:rPr>
        <w:t>, f. 1.</w:t>
      </w:r>
    </w:p>
    <w:p w:rsidR="00AD3C82" w:rsidRPr="00AD3C82" w:rsidRDefault="00AD3C82" w:rsidP="00AD3C82">
      <w:pPr>
        <w:pStyle w:val="TextoNormalSangraFrancesa"/>
        <w:rPr>
          <w:rStyle w:val="TextoNormalCaracter"/>
        </w:rPr>
      </w:pPr>
      <w:bookmarkStart w:id="1074" w:name="DESCRIPTORALFABETICO26"/>
      <w:r w:rsidRPr="00AD3C82">
        <w:rPr>
          <w:rStyle w:val="TextoNormalNegritaCaracter"/>
        </w:rPr>
        <w:t>Criterios de distribución de competencias</w:t>
      </w:r>
      <w:bookmarkEnd w:id="1074"/>
      <w:r w:rsidRPr="00AD3C82">
        <w:rPr>
          <w:rStyle w:val="TextoNormalCaracter"/>
        </w:rPr>
        <w:t xml:space="preserve">, Sentencia </w:t>
      </w:r>
      <w:hyperlink w:anchor="SENTENCIA_2016_183" w:history="1">
        <w:r w:rsidRPr="00AD3C82">
          <w:rPr>
            <w:rStyle w:val="TextoNormalCaracter"/>
          </w:rPr>
          <w:t>183/2016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075" w:name="DESCRIPTORALFABETICO105"/>
      <w:r w:rsidRPr="00AD3C82">
        <w:rPr>
          <w:rStyle w:val="TextoNormalNegritaCaracter"/>
        </w:rPr>
        <w:t>Cuantía de las tasas</w:t>
      </w:r>
      <w:bookmarkEnd w:id="1075"/>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ff. 10 a 13; </w:t>
      </w:r>
      <w:hyperlink w:anchor="SENTENCIA_2016_227" w:history="1">
        <w:r w:rsidRPr="00AD3C82">
          <w:rPr>
            <w:rStyle w:val="TextoNormalCaracter"/>
          </w:rPr>
          <w:t>227/2016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76" w:name="DESCRIPTORALFABETICO220"/>
      <w:r w:rsidRPr="00AD3C82">
        <w:rPr>
          <w:rStyle w:val="TextoNormalNegritaCaracter"/>
        </w:rPr>
        <w:t>Cuestión de inconstitucionalidad notoriamente infundada</w:t>
      </w:r>
      <w:bookmarkEnd w:id="1076"/>
      <w:r w:rsidRPr="00AD3C82">
        <w:rPr>
          <w:rStyle w:val="TextoNormalCaracter"/>
        </w:rPr>
        <w:t xml:space="preserve">, Autos </w:t>
      </w:r>
      <w:hyperlink w:anchor="AUTO_2016_142" w:history="1">
        <w:r w:rsidRPr="00AD3C82">
          <w:rPr>
            <w:rStyle w:val="TextoNormalCaracter"/>
          </w:rPr>
          <w:t>142/2016</w:t>
        </w:r>
      </w:hyperlink>
      <w:r w:rsidRPr="00AD3C82">
        <w:rPr>
          <w:rStyle w:val="TextoNormalCaracter"/>
        </w:rPr>
        <w:t xml:space="preserve">, f. 3; </w:t>
      </w:r>
      <w:hyperlink w:anchor="AUTO_2016_145" w:history="1">
        <w:r w:rsidRPr="00AD3C82">
          <w:rPr>
            <w:rStyle w:val="TextoNormalCaracter"/>
          </w:rPr>
          <w:t>145/2016</w:t>
        </w:r>
      </w:hyperlink>
      <w:r w:rsidRPr="00AD3C82">
        <w:rPr>
          <w:rStyle w:val="TextoNormalCaracter"/>
        </w:rPr>
        <w:t xml:space="preserve">, ff. 1 a 3; </w:t>
      </w:r>
      <w:hyperlink w:anchor="AUTO_2016_146" w:history="1">
        <w:r w:rsidRPr="00AD3C82">
          <w:rPr>
            <w:rStyle w:val="TextoNormalCaracter"/>
          </w:rPr>
          <w:t>146/2016</w:t>
        </w:r>
      </w:hyperlink>
      <w:r w:rsidRPr="00AD3C82">
        <w:rPr>
          <w:rStyle w:val="TextoNormalCaracter"/>
        </w:rPr>
        <w:t xml:space="preserve">, ff. 3 a 5; </w:t>
      </w:r>
      <w:hyperlink w:anchor="AUTO_2016_176" w:history="1">
        <w:r w:rsidRPr="00AD3C82">
          <w:rPr>
            <w:rStyle w:val="TextoNormalCaracter"/>
          </w:rPr>
          <w:t>176/2016</w:t>
        </w:r>
      </w:hyperlink>
      <w:r w:rsidRPr="00AD3C82">
        <w:rPr>
          <w:rStyle w:val="TextoNormalCaracter"/>
        </w:rPr>
        <w:t xml:space="preserve">, ff. 2, 7; </w:t>
      </w:r>
      <w:hyperlink w:anchor="AUTO_2016_180" w:history="1">
        <w:r w:rsidRPr="00AD3C82">
          <w:rPr>
            <w:rStyle w:val="TextoNormalCaracter"/>
          </w:rPr>
          <w:t>180/2016</w:t>
        </w:r>
      </w:hyperlink>
      <w:r w:rsidRPr="00AD3C82">
        <w:rPr>
          <w:rStyle w:val="TextoNormalCaracter"/>
        </w:rPr>
        <w:t xml:space="preserve">, ff. 2, 3; </w:t>
      </w:r>
      <w:hyperlink w:anchor="AUTO_2016_183" w:history="1">
        <w:r w:rsidRPr="00AD3C82">
          <w:rPr>
            <w:rStyle w:val="TextoNormalCaracter"/>
          </w:rPr>
          <w:t>183/2016</w:t>
        </w:r>
      </w:hyperlink>
      <w:r w:rsidRPr="00AD3C82">
        <w:rPr>
          <w:rStyle w:val="TextoNormalCaracter"/>
        </w:rPr>
        <w:t xml:space="preserve">, ff. 1, 3; </w:t>
      </w:r>
      <w:hyperlink w:anchor="AUTO_2016_185" w:history="1">
        <w:r w:rsidRPr="00AD3C82">
          <w:rPr>
            <w:rStyle w:val="TextoNormalCaracter"/>
          </w:rPr>
          <w:t>185/2016</w:t>
        </w:r>
      </w:hyperlink>
      <w:r w:rsidRPr="00AD3C82">
        <w:rPr>
          <w:rStyle w:val="TextoNormalCaracter"/>
        </w:rPr>
        <w:t xml:space="preserve">, ff. 1, 3; </w:t>
      </w:r>
      <w:hyperlink w:anchor="AUTO_2016_186" w:history="1">
        <w:r w:rsidRPr="00AD3C82">
          <w:rPr>
            <w:rStyle w:val="TextoNormalCaracter"/>
          </w:rPr>
          <w:t>186/2016</w:t>
        </w:r>
      </w:hyperlink>
      <w:r w:rsidRPr="00AD3C82">
        <w:rPr>
          <w:rStyle w:val="TextoNormalCaracter"/>
        </w:rPr>
        <w:t xml:space="preserve">, ff. 4, 6; </w:t>
      </w:r>
      <w:hyperlink w:anchor="AUTO_2016_187" w:history="1">
        <w:r w:rsidRPr="00AD3C82">
          <w:rPr>
            <w:rStyle w:val="TextoNormalCaracter"/>
          </w:rPr>
          <w:t>187/2016</w:t>
        </w:r>
      </w:hyperlink>
      <w:r w:rsidRPr="00AD3C82">
        <w:rPr>
          <w:rStyle w:val="TextoNormalCaracter"/>
        </w:rPr>
        <w:t xml:space="preserve">, ff. 1, 3, 6; </w:t>
      </w:r>
      <w:hyperlink w:anchor="AUTO_2016_197" w:history="1">
        <w:r w:rsidRPr="00AD3C82">
          <w:rPr>
            <w:rStyle w:val="TextoNormalCaracter"/>
          </w:rPr>
          <w:t>197/2016</w:t>
        </w:r>
      </w:hyperlink>
      <w:r w:rsidRPr="00AD3C82">
        <w:rPr>
          <w:rStyle w:val="TextoNormalCaracter"/>
        </w:rPr>
        <w:t xml:space="preserve">, ff. 5 a 7; </w:t>
      </w:r>
      <w:hyperlink w:anchor="AUTO_2016_200" w:history="1">
        <w:r w:rsidRPr="00AD3C82">
          <w:rPr>
            <w:rStyle w:val="TextoNormalCaracter"/>
          </w:rPr>
          <w:t>200/2016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77" w:name="DESCRIPTORALFABETICO353"/>
      <w:r w:rsidRPr="00AD3C82">
        <w:rPr>
          <w:rStyle w:val="TextoNormalNegritaCaracter"/>
        </w:rPr>
        <w:t>Cuestión prejudicial ante el TJUE</w:t>
      </w:r>
      <w:bookmarkEnd w:id="1077"/>
      <w:r w:rsidRPr="00AD3C82">
        <w:rPr>
          <w:rStyle w:val="TextoNormalCaracter"/>
        </w:rPr>
        <w:t xml:space="preserve">, Autos </w:t>
      </w:r>
      <w:hyperlink w:anchor="AUTO_2016_202" w:history="1">
        <w:r w:rsidRPr="00AD3C82">
          <w:rPr>
            <w:rStyle w:val="TextoNormalCaracter"/>
          </w:rPr>
          <w:t>202/2016</w:t>
        </w:r>
      </w:hyperlink>
      <w:r w:rsidRPr="00AD3C82">
        <w:rPr>
          <w:rStyle w:val="TextoNormalCaracter"/>
        </w:rPr>
        <w:t xml:space="preserve">, f.3; </w:t>
      </w:r>
      <w:hyperlink w:anchor="AUTO_2016_203" w:history="1">
        <w:r w:rsidRPr="00AD3C82">
          <w:rPr>
            <w:rStyle w:val="TextoNormalCaracter"/>
          </w:rPr>
          <w:t>203/2016</w:t>
        </w:r>
      </w:hyperlink>
      <w:r w:rsidRPr="00AD3C82">
        <w:rPr>
          <w:rStyle w:val="TextoNormalCaracter"/>
        </w:rPr>
        <w:t xml:space="preserve">, f. 3; </w:t>
      </w:r>
      <w:hyperlink w:anchor="AUTO_2016_204" w:history="1">
        <w:r w:rsidRPr="00AD3C82">
          <w:rPr>
            <w:rStyle w:val="TextoNormalCaracter"/>
          </w:rPr>
          <w:t>204/2016</w:t>
        </w:r>
      </w:hyperlink>
      <w:r w:rsidRPr="00AD3C82">
        <w:rPr>
          <w:rStyle w:val="TextoNormalCaracter"/>
        </w:rPr>
        <w:t xml:space="preserve">, f. 3; </w:t>
      </w:r>
      <w:hyperlink w:anchor="AUTO_2016_205" w:history="1">
        <w:r w:rsidRPr="00AD3C82">
          <w:rPr>
            <w:rStyle w:val="TextoNormalCaracter"/>
          </w:rPr>
          <w:t>205/2016</w:t>
        </w:r>
      </w:hyperlink>
      <w:r w:rsidRPr="00AD3C82">
        <w:rPr>
          <w:rStyle w:val="TextoNormalCaracter"/>
        </w:rPr>
        <w:t>, f. 3.</w:t>
      </w:r>
    </w:p>
    <w:p w:rsidR="00AD3C82" w:rsidRPr="00AD3C82" w:rsidRDefault="00AD3C82" w:rsidP="00AD3C82">
      <w:pPr>
        <w:pStyle w:val="TextoNormalSangraFrancesa"/>
        <w:rPr>
          <w:rStyle w:val="TextoNormalCaracter"/>
        </w:rPr>
      </w:pPr>
      <w:bookmarkStart w:id="1078" w:name="DESCRIPTORALFABETICO618"/>
      <w:r w:rsidRPr="00AD3C82">
        <w:rPr>
          <w:rStyle w:val="TextoNormalNegritaCaracter"/>
        </w:rPr>
        <w:t>Cuestiones de personal al servicio de la Administración pública</w:t>
      </w:r>
      <w:bookmarkEnd w:id="1078"/>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079" w:name="DESCRIPTORALFABETICO90"/>
      <w:r w:rsidRPr="00AD3C82">
        <w:rPr>
          <w:rStyle w:val="TextoNormalNegritaCaracter"/>
        </w:rPr>
        <w:t>Cuota tributaria</w:t>
      </w:r>
      <w:bookmarkEnd w:id="1079"/>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ff. 10 a 13; </w:t>
      </w:r>
      <w:hyperlink w:anchor="SENTENCIA_2016_227" w:history="1">
        <w:r w:rsidRPr="00AD3C82">
          <w:rPr>
            <w:rStyle w:val="TextoNormalCaracter"/>
          </w:rPr>
          <w:t>227/2016</w:t>
        </w:r>
      </w:hyperlink>
      <w:r w:rsidRPr="00AD3C82">
        <w:rPr>
          <w:rStyle w:val="TextoNormalCaracter"/>
        </w:rPr>
        <w:t>, f. 5.</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D</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080" w:name="DESCRIPTORALFABETICO109"/>
      <w:r w:rsidRPr="00AD3C82">
        <w:rPr>
          <w:rStyle w:val="TextoNormalNegritaCaracter"/>
        </w:rPr>
        <w:t>Deber de fidelidad a la Constitución</w:t>
      </w:r>
      <w:bookmarkEnd w:id="1080"/>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ff. 3 a 7; </w:t>
      </w:r>
      <w:hyperlink w:anchor="AUTO_2016_170" w:history="1">
        <w:r w:rsidRPr="00AD3C82">
          <w:rPr>
            <w:rStyle w:val="TextoNormalCaracter"/>
          </w:rPr>
          <w:t>170/2016</w:t>
        </w:r>
      </w:hyperlink>
      <w:r w:rsidRPr="00AD3C82">
        <w:rPr>
          <w:rStyle w:val="TextoNormalCaracter"/>
        </w:rPr>
        <w:t>, ff. 5 a 7.</w:t>
      </w:r>
    </w:p>
    <w:p w:rsidR="00AD3C82" w:rsidRPr="00AD3C82" w:rsidRDefault="00AD3C82" w:rsidP="00AD3C82">
      <w:pPr>
        <w:pStyle w:val="TextoNormalSangraFrancesa"/>
        <w:rPr>
          <w:rStyle w:val="TextoNormalCaracter"/>
        </w:rPr>
      </w:pPr>
      <w:bookmarkStart w:id="1081" w:name="DESCRIPTORALFABETICO316"/>
      <w:r w:rsidRPr="00AD3C82">
        <w:rPr>
          <w:rStyle w:val="TextoNormalNegritaCaracter"/>
        </w:rPr>
        <w:t>Deber judicial de advertir los defectos procesales</w:t>
      </w:r>
      <w:bookmarkEnd w:id="1081"/>
      <w:r w:rsidRPr="00AD3C82">
        <w:rPr>
          <w:rStyle w:val="TextoNormalCaracter"/>
        </w:rPr>
        <w:t xml:space="preserve">, Sentencia </w:t>
      </w:r>
      <w:hyperlink w:anchor="SENTENCIA_2016_163" w:history="1">
        <w:r w:rsidRPr="00AD3C82">
          <w:rPr>
            <w:rStyle w:val="TextoNormalCaracter"/>
          </w:rPr>
          <w:t>163/2016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82" w:name="DESCRIPTORALFABETICO670"/>
      <w:r w:rsidRPr="00AD3C82">
        <w:rPr>
          <w:rStyle w:val="TextoNormalNegritaCaracter"/>
        </w:rPr>
        <w:t>Declaración ante el Juez de instrucción</w:t>
      </w:r>
      <w:bookmarkEnd w:id="1082"/>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2, 3, 5; </w:t>
      </w:r>
      <w:hyperlink w:anchor="SENTENCIA_2016_144" w:history="1">
        <w:r w:rsidRPr="00AD3C82">
          <w:rPr>
            <w:rStyle w:val="TextoNormalCaracter"/>
          </w:rPr>
          <w:t>144/2016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1083" w:name="DESCRIPTORALFABETICO189"/>
      <w:r w:rsidRPr="00AD3C82">
        <w:rPr>
          <w:rStyle w:val="TextoNormalNegritaCaracter"/>
        </w:rPr>
        <w:t>Declaración de incompetencia del Tribunal Constitucional</w:t>
      </w:r>
      <w:bookmarkEnd w:id="1083"/>
      <w:r w:rsidRPr="00AD3C82">
        <w:rPr>
          <w:rStyle w:val="TextoNormalCaracter"/>
        </w:rPr>
        <w:t xml:space="preserve">, Autos </w:t>
      </w:r>
      <w:hyperlink w:anchor="AUTO_2016_153" w:history="1">
        <w:r w:rsidRPr="00AD3C82">
          <w:rPr>
            <w:rStyle w:val="TextoNormalCaracter"/>
          </w:rPr>
          <w:t>153/2016</w:t>
        </w:r>
      </w:hyperlink>
      <w:r w:rsidRPr="00AD3C82">
        <w:rPr>
          <w:rStyle w:val="TextoNormalCaracter"/>
        </w:rPr>
        <w:t xml:space="preserve">, f. único; </w:t>
      </w:r>
      <w:hyperlink w:anchor="AUTO_2016_189" w:history="1">
        <w:r w:rsidRPr="00AD3C82">
          <w:rPr>
            <w:rStyle w:val="TextoNormalCaracter"/>
          </w:rPr>
          <w:t>189/2016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84" w:name="DESCRIPTORALFABETICO92"/>
      <w:r w:rsidRPr="00AD3C82">
        <w:rPr>
          <w:rStyle w:val="TextoNormalNegritaCaracter"/>
        </w:rPr>
        <w:t>Declaraciones tributarias</w:t>
      </w:r>
      <w:bookmarkEnd w:id="1084"/>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85" w:name="DESCRIPTORALFABETICO490"/>
      <w:r w:rsidRPr="00AD3C82">
        <w:rPr>
          <w:rStyle w:val="TextoNormalNegritaCaracter"/>
        </w:rPr>
        <w:t>Decretos-leyes</w:t>
      </w:r>
      <w:bookmarkEnd w:id="1085"/>
      <w:r w:rsidRPr="00AD3C82">
        <w:rPr>
          <w:rStyle w:val="TextoNormalCaracter"/>
        </w:rPr>
        <w:t xml:space="preserve">, Sentencia </w:t>
      </w:r>
      <w:hyperlink w:anchor="SENTENCIA_2016_183" w:history="1">
        <w:r w:rsidRPr="00AD3C82">
          <w:rPr>
            <w:rStyle w:val="TextoNormalCaracter"/>
          </w:rPr>
          <w:t>183/2016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1086" w:name="DESCRIPTORALFABETICO492"/>
      <w:r w:rsidRPr="00AD3C82">
        <w:rPr>
          <w:rStyle w:val="TextoNormalNegritaCaracter"/>
        </w:rPr>
        <w:t>Decretos-leyes autonómicos</w:t>
      </w:r>
      <w:bookmarkEnd w:id="1086"/>
      <w:r w:rsidRPr="00AD3C82">
        <w:rPr>
          <w:rStyle w:val="TextoNormalCaracter"/>
        </w:rPr>
        <w:t xml:space="preserve">, Sentencias </w:t>
      </w:r>
      <w:hyperlink w:anchor="SENTENCIA_2016_157" w:history="1">
        <w:r w:rsidRPr="00AD3C82">
          <w:rPr>
            <w:rStyle w:val="TextoNormalCaracter"/>
          </w:rPr>
          <w:t>157/2016</w:t>
        </w:r>
      </w:hyperlink>
      <w:r w:rsidRPr="00AD3C82">
        <w:rPr>
          <w:rStyle w:val="TextoNormalCaracter"/>
        </w:rPr>
        <w:t xml:space="preserve">, ff. 1, 2, 4 a 9, VP; </w:t>
      </w:r>
      <w:hyperlink w:anchor="SENTENCIA_2016_211" w:history="1">
        <w:r w:rsidRPr="00AD3C82">
          <w:rPr>
            <w:rStyle w:val="TextoNormalCaracter"/>
          </w:rPr>
          <w:t>211/2016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087" w:name="DESCRIPTORALFABETICO641"/>
      <w:r w:rsidRPr="00AD3C82">
        <w:rPr>
          <w:rStyle w:val="TextoNormalNegritaCaracter"/>
        </w:rPr>
        <w:t>Defectos de acreditación de la representación procesal</w:t>
      </w:r>
      <w:bookmarkEnd w:id="1087"/>
      <w:r w:rsidRPr="00AD3C82">
        <w:rPr>
          <w:rStyle w:val="TextoNormalCaracter"/>
        </w:rPr>
        <w:t xml:space="preserve">, Sentencia </w:t>
      </w:r>
      <w:hyperlink w:anchor="SENTENCIA_2016_163" w:history="1">
        <w:r w:rsidRPr="00AD3C82">
          <w:rPr>
            <w:rStyle w:val="TextoNormalCaracter"/>
          </w:rPr>
          <w:t>163/2016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088" w:name="DESCRIPTORALFABETICO171"/>
      <w:r w:rsidRPr="00AD3C82">
        <w:rPr>
          <w:rStyle w:val="TextoNormalNegritaCaracter"/>
        </w:rPr>
        <w:t>Defectos estructurales de la Administración de justicia</w:t>
      </w:r>
      <w:bookmarkEnd w:id="1088"/>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 4.</w:t>
      </w:r>
    </w:p>
    <w:p w:rsidR="00AD3C82" w:rsidRPr="00AD3C82" w:rsidRDefault="00AD3C82" w:rsidP="00AD3C82">
      <w:pPr>
        <w:pStyle w:val="TextoNormalSangraFrancesa"/>
        <w:rPr>
          <w:rStyle w:val="TextoNormalCaracter"/>
        </w:rPr>
      </w:pPr>
      <w:bookmarkStart w:id="1089" w:name="DESCRIPTORALFABETICO455"/>
      <w:r w:rsidRPr="00AD3C82">
        <w:rPr>
          <w:rStyle w:val="TextoNormalNegritaCaracter"/>
        </w:rPr>
        <w:t>Déficit tarifario del sistema eléctrico</w:t>
      </w:r>
      <w:bookmarkEnd w:id="1089"/>
      <w:r w:rsidRPr="00AD3C82">
        <w:rPr>
          <w:rStyle w:val="TextoNormalCaracter"/>
        </w:rPr>
        <w:t xml:space="preserve">, Sentencias </w:t>
      </w:r>
      <w:hyperlink w:anchor="SENTENCIA_2016_167" w:history="1">
        <w:r w:rsidRPr="00AD3C82">
          <w:rPr>
            <w:rStyle w:val="TextoNormalCaracter"/>
          </w:rPr>
          <w:t>167/2016</w:t>
        </w:r>
      </w:hyperlink>
      <w:r w:rsidRPr="00AD3C82">
        <w:rPr>
          <w:rStyle w:val="TextoNormalCaracter"/>
        </w:rPr>
        <w:t xml:space="preserve">, ff. 1, 3, 4, 6; </w:t>
      </w:r>
      <w:hyperlink w:anchor="SENTENCIA_2016_174" w:history="1">
        <w:r w:rsidRPr="00AD3C82">
          <w:rPr>
            <w:rStyle w:val="TextoNormalCaracter"/>
          </w:rPr>
          <w:t>174/2016</w:t>
        </w:r>
      </w:hyperlink>
      <w:r w:rsidRPr="00AD3C82">
        <w:rPr>
          <w:rStyle w:val="TextoNormalCaracter"/>
        </w:rPr>
        <w:t xml:space="preserve">, ff. 1, 3; </w:t>
      </w:r>
      <w:hyperlink w:anchor="SENTENCIA_2016_181" w:history="1">
        <w:r w:rsidRPr="00AD3C82">
          <w:rPr>
            <w:rStyle w:val="TextoNormalCaracter"/>
          </w:rPr>
          <w:t>181/2016</w:t>
        </w:r>
      </w:hyperlink>
      <w:r w:rsidRPr="00AD3C82">
        <w:rPr>
          <w:rStyle w:val="TextoNormalCaracter"/>
        </w:rPr>
        <w:t xml:space="preserve">, ff. 1, 3; </w:t>
      </w:r>
      <w:hyperlink w:anchor="SENTENCIA_2016_187" w:history="1">
        <w:r w:rsidRPr="00AD3C82">
          <w:rPr>
            <w:rStyle w:val="TextoNormalCaracter"/>
          </w:rPr>
          <w:t>187/2016</w:t>
        </w:r>
      </w:hyperlink>
      <w:r w:rsidRPr="00AD3C82">
        <w:rPr>
          <w:rStyle w:val="TextoNormalCaracter"/>
        </w:rPr>
        <w:t xml:space="preserve">, ff. 1 a 3; </w:t>
      </w:r>
      <w:hyperlink w:anchor="SENTENCIA_2016_188" w:history="1">
        <w:r w:rsidRPr="00AD3C82">
          <w:rPr>
            <w:rStyle w:val="TextoNormalCaracter"/>
          </w:rPr>
          <w:t>188/2016</w:t>
        </w:r>
      </w:hyperlink>
      <w:r w:rsidRPr="00AD3C82">
        <w:rPr>
          <w:rStyle w:val="TextoNormalCaracter"/>
        </w:rPr>
        <w:t xml:space="preserve">, ff. 1 a 3; </w:t>
      </w:r>
      <w:hyperlink w:anchor="SENTENCIA_2016_196" w:history="1">
        <w:r w:rsidRPr="00AD3C82">
          <w:rPr>
            <w:rStyle w:val="TextoNormalCaracter"/>
          </w:rPr>
          <w:t>196/2016</w:t>
        </w:r>
      </w:hyperlink>
      <w:r w:rsidRPr="00AD3C82">
        <w:rPr>
          <w:rStyle w:val="TextoNormalCaracter"/>
        </w:rPr>
        <w:t xml:space="preserve">, ff. 1 a 4; </w:t>
      </w:r>
      <w:hyperlink w:anchor="SENTENCIA_2016_197" w:history="1">
        <w:r w:rsidRPr="00AD3C82">
          <w:rPr>
            <w:rStyle w:val="TextoNormalCaracter"/>
          </w:rPr>
          <w:t>197/2016</w:t>
        </w:r>
      </w:hyperlink>
      <w:r w:rsidRPr="00AD3C82">
        <w:rPr>
          <w:rStyle w:val="TextoNormalCaracter"/>
        </w:rPr>
        <w:t xml:space="preserve">, ff. 1 a 3; </w:t>
      </w:r>
      <w:hyperlink w:anchor="SENTENCIA_2016_198" w:history="1">
        <w:r w:rsidRPr="00AD3C82">
          <w:rPr>
            <w:rStyle w:val="TextoNormalCaracter"/>
          </w:rPr>
          <w:t>198/2016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090" w:name="DESCRIPTORALFABETICO240"/>
      <w:r w:rsidRPr="00AD3C82">
        <w:rPr>
          <w:rStyle w:val="TextoNormalNegritaCaracter"/>
        </w:rPr>
        <w:t>Delimitación del objeto del recurso de inconstitucionalidad</w:t>
      </w:r>
      <w:bookmarkEnd w:id="1090"/>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5 A); </w:t>
      </w:r>
      <w:hyperlink w:anchor="SENTENCIA_2016_191" w:history="1">
        <w:r w:rsidRPr="00AD3C82">
          <w:rPr>
            <w:rStyle w:val="TextoNormalCaracter"/>
          </w:rPr>
          <w:t>191/2016</w:t>
        </w:r>
      </w:hyperlink>
      <w:r w:rsidRPr="00AD3C82">
        <w:rPr>
          <w:rStyle w:val="TextoNormalCaracter"/>
        </w:rPr>
        <w:t>, f. 2.</w:t>
      </w:r>
    </w:p>
    <w:p w:rsidR="00AD3C82" w:rsidRPr="00AD3C82" w:rsidRDefault="00AD3C82" w:rsidP="00AD3C82">
      <w:pPr>
        <w:pStyle w:val="TextoNormalSangraFrancesa"/>
        <w:rPr>
          <w:rStyle w:val="TextoNormalCaracter"/>
        </w:rPr>
      </w:pPr>
      <w:bookmarkStart w:id="1091" w:name="DESCRIPTORALFABETICO420"/>
      <w:r w:rsidRPr="00AD3C82">
        <w:rPr>
          <w:rStyle w:val="TextoNormalNegritaCaracter"/>
        </w:rPr>
        <w:t>Delimitación territorial de cuencas hidrográficas</w:t>
      </w:r>
      <w:bookmarkEnd w:id="1091"/>
      <w:r w:rsidRPr="00AD3C82">
        <w:rPr>
          <w:rStyle w:val="TextoNormalCaracter"/>
        </w:rPr>
        <w:t xml:space="preserve">, Sentencia </w:t>
      </w:r>
      <w:hyperlink w:anchor="SENTENCIA_2016_216" w:history="1">
        <w:r w:rsidRPr="00AD3C82">
          <w:rPr>
            <w:rStyle w:val="TextoNormalCaracter"/>
          </w:rPr>
          <w:t>216/2016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092" w:name="DESCRIPTORALFABETICO470"/>
      <w:r w:rsidRPr="00AD3C82">
        <w:rPr>
          <w:rStyle w:val="TextoNormalNegritaCaracter"/>
        </w:rPr>
        <w:t>Delitos fiscales</w:t>
      </w:r>
      <w:bookmarkEnd w:id="1092"/>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093" w:name="DESCRIPTORALFABETICO421"/>
      <w:r w:rsidRPr="00AD3C82">
        <w:rPr>
          <w:rStyle w:val="TextoNormalNegritaCaracter"/>
        </w:rPr>
        <w:t>Demarcaciones hidrográficas</w:t>
      </w:r>
      <w:bookmarkEnd w:id="1093"/>
      <w:r w:rsidRPr="00AD3C82">
        <w:rPr>
          <w:rStyle w:val="TextoNormalCaracter"/>
        </w:rPr>
        <w:t xml:space="preserve">, Sentencia </w:t>
      </w:r>
      <w:hyperlink w:anchor="SENTENCIA_2016_216" w:history="1">
        <w:r w:rsidRPr="00AD3C82">
          <w:rPr>
            <w:rStyle w:val="TextoNormalCaracter"/>
          </w:rPr>
          <w:t>216/2016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094" w:name="DESCRIPTORALFABETICO560"/>
      <w:r w:rsidRPr="00AD3C82">
        <w:rPr>
          <w:rStyle w:val="TextoNormalNegritaCaracter"/>
        </w:rPr>
        <w:t>Denegación a extranjero del derecho de asistencia sanitaria</w:t>
      </w:r>
      <w:bookmarkEnd w:id="1094"/>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8, 10, VP I, VP II.</w:t>
      </w:r>
    </w:p>
    <w:p w:rsidR="00AD3C82" w:rsidRPr="00AD3C82" w:rsidRDefault="00AD3C82" w:rsidP="00AD3C82">
      <w:pPr>
        <w:pStyle w:val="TextoNormalSangraFrancesa"/>
        <w:rPr>
          <w:rStyle w:val="TextoNormalCaracter"/>
        </w:rPr>
      </w:pPr>
      <w:bookmarkStart w:id="1095" w:name="DESCRIPTORALFABETICO125"/>
      <w:r w:rsidRPr="00AD3C82">
        <w:rPr>
          <w:rStyle w:val="TextoNormalNegritaCaracter"/>
        </w:rPr>
        <w:t xml:space="preserve">Denegación de </w:t>
      </w:r>
      <w:r w:rsidRPr="00AD3C82">
        <w:rPr>
          <w:rStyle w:val="TextoNormalNegritaCaracter"/>
          <w:i/>
        </w:rPr>
        <w:t>habeas corpus</w:t>
      </w:r>
      <w:bookmarkEnd w:id="1095"/>
      <w:r w:rsidRPr="00AD3C82">
        <w:rPr>
          <w:rStyle w:val="TextoNormalCaracter"/>
        </w:rPr>
        <w:t xml:space="preserve">, Sentencia </w:t>
      </w:r>
      <w:hyperlink w:anchor="SENTENCIA_2016_154" w:history="1">
        <w:r w:rsidRPr="00AD3C82">
          <w:rPr>
            <w:rStyle w:val="TextoNormalCaracter"/>
          </w:rPr>
          <w:t>154/2016</w:t>
        </w:r>
      </w:hyperlink>
      <w:r w:rsidRPr="00AD3C82">
        <w:rPr>
          <w:rStyle w:val="TextoNormalCaracter"/>
        </w:rPr>
        <w:t>, f. 1, VP.</w:t>
      </w:r>
    </w:p>
    <w:p w:rsidR="00AD3C82" w:rsidRPr="00AD3C82" w:rsidRDefault="00AD3C82" w:rsidP="00AD3C82">
      <w:pPr>
        <w:pStyle w:val="TextoNormalSangraFrancesa"/>
        <w:rPr>
          <w:rStyle w:val="TextoNormalCaracter"/>
        </w:rPr>
      </w:pPr>
      <w:bookmarkStart w:id="1096" w:name="DESCRIPTORALFABETICO635"/>
      <w:r w:rsidRPr="00AD3C82">
        <w:rPr>
          <w:rStyle w:val="TextoNormalNegritaCaracter"/>
        </w:rPr>
        <w:t>Denegación de justicia gratuita</w:t>
      </w:r>
      <w:bookmarkEnd w:id="1096"/>
      <w:r w:rsidRPr="00AD3C82">
        <w:rPr>
          <w:rStyle w:val="TextoNormalCaracter"/>
        </w:rPr>
        <w:t xml:space="preserve">, Sentencia </w:t>
      </w:r>
      <w:hyperlink w:anchor="SENTENCIA_2016_136" w:history="1">
        <w:r w:rsidRPr="00AD3C82">
          <w:rPr>
            <w:rStyle w:val="TextoNormalCaracter"/>
          </w:rPr>
          <w:t>136/2016</w:t>
        </w:r>
      </w:hyperlink>
      <w:r w:rsidRPr="00AD3C82">
        <w:rPr>
          <w:rStyle w:val="TextoNormalCaracter"/>
        </w:rPr>
        <w:t>, ff. 1 a 6.</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51" w:history="1">
        <w:r w:rsidRPr="00AD3C82">
          <w:rPr>
            <w:rStyle w:val="TextoNormalCaracter"/>
          </w:rPr>
          <w:t>151/2016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1097" w:name="DESCRIPTORALFABETICO195"/>
      <w:r w:rsidRPr="00AD3C82">
        <w:rPr>
          <w:rStyle w:val="TextoNormalNegritaCaracter"/>
        </w:rPr>
        <w:t>Denegación de la suspensión de disposiciones de las Comunidades Autónomas</w:t>
      </w:r>
      <w:bookmarkEnd w:id="1097"/>
      <w:r w:rsidRPr="00AD3C82">
        <w:rPr>
          <w:rStyle w:val="TextoNormalCaracter"/>
        </w:rPr>
        <w:t xml:space="preserve">, Auto </w:t>
      </w:r>
      <w:hyperlink w:anchor="AUTO_2016_162" w:history="1">
        <w:r w:rsidRPr="00AD3C82">
          <w:rPr>
            <w:rStyle w:val="TextoNormalCaracter"/>
          </w:rPr>
          <w:t>162/2016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098" w:name="DESCRIPTORALFABETICO192"/>
      <w:r w:rsidRPr="00AD3C82">
        <w:rPr>
          <w:rStyle w:val="TextoNormalNegritaCaracter"/>
        </w:rPr>
        <w:t>Denegación de suspensión de resoluciones judiciales</w:t>
      </w:r>
      <w:bookmarkEnd w:id="1098"/>
      <w:r w:rsidRPr="00AD3C82">
        <w:rPr>
          <w:rStyle w:val="TextoNormalCaracter"/>
        </w:rPr>
        <w:t xml:space="preserve">, Autos </w:t>
      </w:r>
      <w:hyperlink w:anchor="AUTO_2016_194" w:history="1">
        <w:r w:rsidRPr="00AD3C82">
          <w:rPr>
            <w:rStyle w:val="TextoNormalCaracter"/>
          </w:rPr>
          <w:t>194/2016</w:t>
        </w:r>
      </w:hyperlink>
      <w:r w:rsidRPr="00AD3C82">
        <w:rPr>
          <w:rStyle w:val="TextoNormalCaracter"/>
        </w:rPr>
        <w:t xml:space="preserve">, ff. 1, 2; </w:t>
      </w:r>
      <w:hyperlink w:anchor="AUTO_2016_195" w:history="1">
        <w:r w:rsidRPr="00AD3C82">
          <w:rPr>
            <w:rStyle w:val="TextoNormalCaracter"/>
          </w:rPr>
          <w:t>195/2016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099" w:name="DESCRIPTORALFABETICO662"/>
      <w:r w:rsidRPr="00AD3C82">
        <w:rPr>
          <w:rStyle w:val="TextoNormalNegritaCaracter"/>
        </w:rPr>
        <w:t>Denuncia</w:t>
      </w:r>
      <w:bookmarkEnd w:id="1099"/>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1 a 6; </w:t>
      </w:r>
      <w:hyperlink w:anchor="SENTENCIA_2016_138" w:history="1">
        <w:r w:rsidRPr="00AD3C82">
          <w:rPr>
            <w:rStyle w:val="TextoNormalCaracter"/>
          </w:rPr>
          <w:t>138/2016</w:t>
        </w:r>
      </w:hyperlink>
      <w:r w:rsidRPr="00AD3C82">
        <w:rPr>
          <w:rStyle w:val="TextoNormalCaracter"/>
        </w:rPr>
        <w:t xml:space="preserve">, ff. 2, 3; </w:t>
      </w:r>
      <w:hyperlink w:anchor="SENTENCIA_2016_144" w:history="1">
        <w:r w:rsidRPr="00AD3C82">
          <w:rPr>
            <w:rStyle w:val="TextoNormalCaracter"/>
          </w:rPr>
          <w:t>144/2016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100" w:name="DESCRIPTORALFABETICO172"/>
      <w:r w:rsidRPr="00AD3C82">
        <w:rPr>
          <w:rStyle w:val="TextoNormalNegritaCaracter"/>
        </w:rPr>
        <w:t>Denuncia de las dilaciones</w:t>
      </w:r>
      <w:bookmarkEnd w:id="1100"/>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 4.</w:t>
      </w:r>
    </w:p>
    <w:p w:rsidR="00AD3C82" w:rsidRPr="00AD3C82" w:rsidRDefault="00AD3C82" w:rsidP="00AD3C82">
      <w:pPr>
        <w:pStyle w:val="TextoNormalSangraFrancesa"/>
        <w:rPr>
          <w:rStyle w:val="TextoNormalCaracter"/>
        </w:rPr>
      </w:pPr>
      <w:bookmarkStart w:id="1101" w:name="DESCRIPTORALFABETICO422"/>
      <w:r w:rsidRPr="00AD3C82">
        <w:rPr>
          <w:rStyle w:val="TextoNormalNegritaCaracter"/>
        </w:rPr>
        <w:t>Depuración de aguas</w:t>
      </w:r>
      <w:bookmarkEnd w:id="1101"/>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5, 6, 8, 9.</w:t>
      </w:r>
    </w:p>
    <w:p w:rsidR="00AD3C82" w:rsidRPr="00AD3C82" w:rsidRDefault="00AD3C82" w:rsidP="00AD3C82">
      <w:pPr>
        <w:pStyle w:val="TextoNormalSangraFrancesa"/>
        <w:rPr>
          <w:rStyle w:val="TextoNormalCaracter"/>
        </w:rPr>
      </w:pPr>
      <w:bookmarkStart w:id="1102" w:name="DESCRIPTORALFABETICO111"/>
      <w:r w:rsidRPr="00AD3C82">
        <w:rPr>
          <w:rStyle w:val="TextoNormalNegritaCaracter"/>
        </w:rPr>
        <w:t>Derecho a acceder a los cargos públicos</w:t>
      </w:r>
      <w:bookmarkEnd w:id="1102"/>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 </w:t>
      </w:r>
      <w:hyperlink w:anchor="SENTENCIA_2016_143" w:history="1">
        <w:r w:rsidRPr="00AD3C82">
          <w:rPr>
            <w:rStyle w:val="TextoNormalCaracter"/>
          </w:rPr>
          <w:t>143/2016</w:t>
        </w:r>
      </w:hyperlink>
      <w:r w:rsidRPr="00AD3C82">
        <w:rPr>
          <w:rStyle w:val="TextoNormalCaracter"/>
        </w:rPr>
        <w:t>, ff. 1, 3, 6.</w:t>
      </w:r>
    </w:p>
    <w:p w:rsidR="00AD3C82" w:rsidRPr="00AD3C82" w:rsidRDefault="00AD3C82" w:rsidP="00AD3C82">
      <w:pPr>
        <w:pStyle w:val="TextoNormalSangraFrancesa"/>
        <w:rPr>
          <w:rStyle w:val="TextoNormalCaracter"/>
        </w:rPr>
      </w:pPr>
      <w:bookmarkStart w:id="1103" w:name="DESCRIPTORALFABETICO114"/>
      <w:r w:rsidRPr="00AD3C82">
        <w:rPr>
          <w:rStyle w:val="TextoNormalNegritaCaracter"/>
        </w:rPr>
        <w:t>Derecho a ejercer los cargos públicos</w:t>
      </w:r>
      <w:bookmarkEnd w:id="1103"/>
      <w:r w:rsidRPr="00AD3C82">
        <w:rPr>
          <w:rStyle w:val="TextoNormalCaracter"/>
        </w:rPr>
        <w:t xml:space="preserve">, Sentencia </w:t>
      </w:r>
      <w:hyperlink w:anchor="SENTENCIA_2016_225" w:history="1">
        <w:r w:rsidRPr="00AD3C82">
          <w:rPr>
            <w:rStyle w:val="TextoNormalCaracter"/>
          </w:rPr>
          <w:t>225/2016</w:t>
        </w:r>
      </w:hyperlink>
      <w:r w:rsidRPr="00AD3C82">
        <w:rPr>
          <w:rStyle w:val="TextoNormalCaracter"/>
        </w:rPr>
        <w:t>, ff. 2 a 5.</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 </w:t>
      </w:r>
      <w:hyperlink w:anchor="SENTENCIA_2016_224" w:history="1">
        <w:r w:rsidRPr="00AD3C82">
          <w:rPr>
            <w:rStyle w:val="TextoNormalCaracter"/>
          </w:rPr>
          <w:t>224/2016</w:t>
        </w:r>
      </w:hyperlink>
      <w:r w:rsidRPr="00AD3C82">
        <w:rPr>
          <w:rStyle w:val="TextoNormalCaracter"/>
        </w:rPr>
        <w:t>, ff. 2, 5.</w:t>
      </w:r>
    </w:p>
    <w:p w:rsidR="00AD3C82" w:rsidRPr="00AD3C82" w:rsidRDefault="00AD3C82" w:rsidP="00AD3C82">
      <w:pPr>
        <w:pStyle w:val="TextoNormalSangraFrancesa"/>
        <w:rPr>
          <w:rStyle w:val="TextoNormalCaracter"/>
        </w:rPr>
      </w:pPr>
      <w:bookmarkStart w:id="1104" w:name="DESCRIPTORALFABETICO559"/>
      <w:r w:rsidRPr="00AD3C82">
        <w:rPr>
          <w:rStyle w:val="TextoNormalNegritaCaracter"/>
        </w:rPr>
        <w:t>Derecho a la asistencia sanitaria</w:t>
      </w:r>
      <w:bookmarkEnd w:id="1104"/>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ff. 1 a 13, VP I.</w:t>
      </w:r>
    </w:p>
    <w:p w:rsidR="00AD3C82" w:rsidRPr="00AD3C82" w:rsidRDefault="00AD3C82" w:rsidP="00AD3C82">
      <w:pPr>
        <w:pStyle w:val="TextoNormalSangraFrancesa"/>
        <w:rPr>
          <w:rStyle w:val="TextoNormalCaracter"/>
        </w:rPr>
      </w:pPr>
      <w:bookmarkStart w:id="1105" w:name="DESCRIPTORALFABETICO117"/>
      <w:r w:rsidRPr="00AD3C82">
        <w:rPr>
          <w:rStyle w:val="TextoNormalNegritaCaracter"/>
        </w:rPr>
        <w:t>Derecho a la igualdad</w:t>
      </w:r>
      <w:bookmarkEnd w:id="1105"/>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 4; </w:t>
      </w:r>
      <w:hyperlink w:anchor="SENTENCIA_2016_162" w:history="1">
        <w:r w:rsidRPr="00AD3C82">
          <w:rPr>
            <w:rStyle w:val="TextoNormalCaracter"/>
          </w:rPr>
          <w:t>162/2016</w:t>
        </w:r>
      </w:hyperlink>
      <w:r w:rsidRPr="00AD3C82">
        <w:rPr>
          <w:rStyle w:val="TextoNormalCaracter"/>
        </w:rPr>
        <w:t xml:space="preserve">, ff. 1, 3; </w:t>
      </w:r>
      <w:hyperlink w:anchor="SENTENCIA_2016_213" w:history="1">
        <w:r w:rsidRPr="00AD3C82">
          <w:rPr>
            <w:rStyle w:val="TextoNormalCaracter"/>
          </w:rPr>
          <w:t>213/2016</w:t>
        </w:r>
      </w:hyperlink>
      <w:r w:rsidRPr="00AD3C82">
        <w:rPr>
          <w:rStyle w:val="TextoNormalCaracter"/>
        </w:rPr>
        <w:t>, ff. 1, 5.</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5, 7.</w:t>
      </w:r>
    </w:p>
    <w:p w:rsidR="00AD3C82" w:rsidRPr="00AD3C82" w:rsidRDefault="00AD3C82" w:rsidP="00AD3C82">
      <w:pPr>
        <w:pStyle w:val="TextoNormalSangraFrancesa"/>
        <w:rPr>
          <w:rStyle w:val="TextoNormalCaracter"/>
        </w:rPr>
      </w:pPr>
      <w:bookmarkStart w:id="1106" w:name="DESCRIPTORALFABETICO121"/>
      <w:r w:rsidRPr="00AD3C82">
        <w:rPr>
          <w:rStyle w:val="TextoNormalNegritaCaracter"/>
        </w:rPr>
        <w:t>Derecho a la integridad física y moral</w:t>
      </w:r>
      <w:bookmarkEnd w:id="1106"/>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1, 2, 4, 6; </w:t>
      </w:r>
      <w:hyperlink w:anchor="SENTENCIA_2016_144" w:history="1">
        <w:r w:rsidRPr="00AD3C82">
          <w:rPr>
            <w:rStyle w:val="TextoNormalCaracter"/>
          </w:rPr>
          <w:t>144/2016</w:t>
        </w:r>
      </w:hyperlink>
      <w:r w:rsidRPr="00AD3C82">
        <w:rPr>
          <w:rStyle w:val="TextoNormalCaracter"/>
        </w:rPr>
        <w:t>, ff. 1, 3, 4.</w:t>
      </w:r>
    </w:p>
    <w:p w:rsidR="00AD3C82" w:rsidRPr="00AD3C82" w:rsidRDefault="00AD3C82" w:rsidP="00AD3C82">
      <w:pPr>
        <w:pStyle w:val="TextoNormalSangraFrancesa"/>
        <w:rPr>
          <w:rStyle w:val="TextoNormalCaracter"/>
        </w:rPr>
      </w:pPr>
      <w:bookmarkStart w:id="1107" w:name="DESCRIPTORALFABETICO123"/>
      <w:r w:rsidRPr="00AD3C82">
        <w:rPr>
          <w:rStyle w:val="TextoNormalNegritaCaracter"/>
        </w:rPr>
        <w:t>Derecho a la inviolabilidad del domicilio</w:t>
      </w:r>
      <w:bookmarkEnd w:id="1107"/>
      <w:r w:rsidRPr="00AD3C82">
        <w:rPr>
          <w:rStyle w:val="TextoNormalCaracter"/>
        </w:rPr>
        <w:t xml:space="preserve">, Sentencia </w:t>
      </w:r>
      <w:hyperlink w:anchor="SENTENCIA_2016_213" w:history="1">
        <w:r w:rsidRPr="00AD3C82">
          <w:rPr>
            <w:rStyle w:val="TextoNormalCaracter"/>
          </w:rPr>
          <w:t>213/2016</w:t>
        </w:r>
      </w:hyperlink>
      <w:r w:rsidRPr="00AD3C82">
        <w:rPr>
          <w:rStyle w:val="TextoNormalCaracter"/>
        </w:rPr>
        <w:t>, ff. 1, 5.</w:t>
      </w:r>
    </w:p>
    <w:p w:rsidR="00AD3C82" w:rsidRPr="00AD3C82" w:rsidRDefault="00AD3C82" w:rsidP="00AD3C82">
      <w:pPr>
        <w:pStyle w:val="TextoNormalSangraFrancesa"/>
        <w:rPr>
          <w:rStyle w:val="TextoNormalCaracter"/>
        </w:rPr>
      </w:pPr>
      <w:bookmarkStart w:id="1108" w:name="DESCRIPTORALFABETICO124"/>
      <w:r w:rsidRPr="00AD3C82">
        <w:rPr>
          <w:rStyle w:val="TextoNormalNegritaCaracter"/>
        </w:rPr>
        <w:t>Derecho a la libertad personal</w:t>
      </w:r>
      <w:bookmarkEnd w:id="1108"/>
      <w:r w:rsidRPr="00AD3C82">
        <w:rPr>
          <w:rStyle w:val="TextoNormalCaracter"/>
        </w:rPr>
        <w:t xml:space="preserve">, Sentencias </w:t>
      </w:r>
      <w:hyperlink w:anchor="SENTENCIA_2016_138" w:history="1">
        <w:r w:rsidRPr="00AD3C82">
          <w:rPr>
            <w:rStyle w:val="TextoNormalCaracter"/>
          </w:rPr>
          <w:t>138/2016</w:t>
        </w:r>
      </w:hyperlink>
      <w:r w:rsidRPr="00AD3C82">
        <w:rPr>
          <w:rStyle w:val="TextoNormalCaracter"/>
        </w:rPr>
        <w:t xml:space="preserve">, ff. 1, 3; </w:t>
      </w:r>
      <w:hyperlink w:anchor="SENTENCIA_2016_154" w:history="1">
        <w:r w:rsidRPr="00AD3C82">
          <w:rPr>
            <w:rStyle w:val="TextoNormalCaracter"/>
          </w:rPr>
          <w:t>154/2016</w:t>
        </w:r>
      </w:hyperlink>
      <w:r w:rsidRPr="00AD3C82">
        <w:rPr>
          <w:rStyle w:val="TextoNormalCaracter"/>
        </w:rPr>
        <w:t>, f. 1, VP.</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Auto </w:t>
      </w:r>
      <w:hyperlink w:anchor="AUTO_2016_155" w:history="1">
        <w:r w:rsidRPr="00AD3C82">
          <w:rPr>
            <w:rStyle w:val="TextoNormalCaracter"/>
          </w:rPr>
          <w:t>155/2016</w:t>
        </w:r>
      </w:hyperlink>
      <w:r w:rsidRPr="00AD3C82">
        <w:rPr>
          <w:rStyle w:val="TextoNormalCaracter"/>
        </w:rPr>
        <w:t>, ff. 2, 3, VP I.</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Sentencias </w:t>
      </w:r>
      <w:hyperlink w:anchor="SENTENCIA_2016_132" w:history="1">
        <w:r w:rsidRPr="00AD3C82">
          <w:rPr>
            <w:rStyle w:val="TextoNormalCaracter"/>
          </w:rPr>
          <w:t>132/2016</w:t>
        </w:r>
      </w:hyperlink>
      <w:r w:rsidRPr="00AD3C82">
        <w:rPr>
          <w:rStyle w:val="TextoNormalCaracter"/>
        </w:rPr>
        <w:t xml:space="preserve">, ff. 5, 6; </w:t>
      </w:r>
      <w:hyperlink w:anchor="SENTENCIA_2016_137" w:history="1">
        <w:r w:rsidRPr="00AD3C82">
          <w:rPr>
            <w:rStyle w:val="TextoNormalCaracter"/>
          </w:rPr>
          <w:t>137/2016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109" w:name="DESCRIPTORALFABETICO133"/>
      <w:r w:rsidRPr="00AD3C82">
        <w:rPr>
          <w:rStyle w:val="TextoNormalNegritaCaracter"/>
        </w:rPr>
        <w:t>Derecho a la participación en los asuntos públicos</w:t>
      </w:r>
      <w:bookmarkEnd w:id="1109"/>
      <w:r w:rsidRPr="00AD3C82">
        <w:rPr>
          <w:rStyle w:val="TextoNormalCaracter"/>
        </w:rPr>
        <w:t xml:space="preserve">, Sentencia </w:t>
      </w:r>
      <w:hyperlink w:anchor="SENTENCIA_2016_212" w:history="1">
        <w:r w:rsidRPr="00AD3C82">
          <w:rPr>
            <w:rStyle w:val="TextoNormalCaracter"/>
          </w:rPr>
          <w:t>212/2016</w:t>
        </w:r>
      </w:hyperlink>
      <w:r w:rsidRPr="00AD3C82">
        <w:rPr>
          <w:rStyle w:val="TextoNormalCaracter"/>
        </w:rPr>
        <w:t>, f. 3.</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 </w:t>
      </w:r>
      <w:hyperlink w:anchor="SENTENCIA_2016_153" w:history="1">
        <w:r w:rsidRPr="00AD3C82">
          <w:rPr>
            <w:rStyle w:val="TextoNormalCaracter"/>
          </w:rPr>
          <w:t>153/2016</w:t>
        </w:r>
      </w:hyperlink>
      <w:r w:rsidRPr="00AD3C82">
        <w:rPr>
          <w:rStyle w:val="TextoNormalCaracter"/>
        </w:rPr>
        <w:t>, f. 3.</w:t>
      </w:r>
    </w:p>
    <w:p w:rsidR="00AD3C82" w:rsidRPr="00AD3C82" w:rsidRDefault="00AD3C82" w:rsidP="00AD3C82">
      <w:pPr>
        <w:pStyle w:val="TextoNormalSangraFrancesa"/>
        <w:rPr>
          <w:rStyle w:val="TextoNormalCaracter"/>
        </w:rPr>
      </w:pPr>
      <w:bookmarkStart w:id="1110" w:name="DESCRIPTORALFABETICO134"/>
      <w:r w:rsidRPr="00AD3C82">
        <w:rPr>
          <w:rStyle w:val="TextoNormalNegritaCaracter"/>
        </w:rPr>
        <w:t>Derecho a la presunción de inocencia</w:t>
      </w:r>
      <w:bookmarkEnd w:id="1110"/>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1, 4.</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92" w:history="1">
        <w:r w:rsidRPr="00AD3C82">
          <w:rPr>
            <w:rStyle w:val="TextoNormalCaracter"/>
          </w:rPr>
          <w:t>192/2016</w:t>
        </w:r>
      </w:hyperlink>
      <w:r w:rsidRPr="00AD3C82">
        <w:rPr>
          <w:rStyle w:val="TextoNormalCaracter"/>
        </w:rPr>
        <w:t>, f. único.</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Sentencias </w:t>
      </w:r>
      <w:hyperlink w:anchor="SENTENCIA_2016_161" w:history="1">
        <w:r w:rsidRPr="00AD3C82">
          <w:rPr>
            <w:rStyle w:val="TextoNormalCaracter"/>
          </w:rPr>
          <w:t>161/2016</w:t>
        </w:r>
      </w:hyperlink>
      <w:r w:rsidRPr="00AD3C82">
        <w:rPr>
          <w:rStyle w:val="TextoNormalCaracter"/>
        </w:rPr>
        <w:t xml:space="preserve">, ff. 5 a 7; </w:t>
      </w:r>
      <w:hyperlink w:anchor="SENTENCIA_2016_172" w:history="1">
        <w:r w:rsidRPr="00AD3C82">
          <w:rPr>
            <w:rStyle w:val="TextoNormalCaracter"/>
          </w:rPr>
          <w:t>172/2016</w:t>
        </w:r>
      </w:hyperlink>
      <w:r w:rsidRPr="00AD3C82">
        <w:rPr>
          <w:rStyle w:val="TextoNormalCaracter"/>
        </w:rPr>
        <w:t>, ff. 9, 11.</w:t>
      </w:r>
    </w:p>
    <w:p w:rsidR="00AD3C82" w:rsidRPr="00AD3C82" w:rsidRDefault="00AD3C82" w:rsidP="00AD3C82">
      <w:pPr>
        <w:pStyle w:val="TextoNormalSangraFrancesa"/>
        <w:rPr>
          <w:rStyle w:val="TextoNormalCaracter"/>
        </w:rPr>
      </w:pPr>
      <w:bookmarkStart w:id="1111" w:name="DESCRIPTORALFABETICO135"/>
      <w:r w:rsidRPr="00AD3C82">
        <w:rPr>
          <w:rStyle w:val="TextoNormalNegritaCaracter"/>
        </w:rPr>
        <w:t>Derecho a la protección de datos personales</w:t>
      </w:r>
      <w:bookmarkEnd w:id="1111"/>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 </w:t>
      </w:r>
      <w:hyperlink w:anchor="SENTENCIA_2016_139" w:history="1">
        <w:r w:rsidRPr="00AD3C82">
          <w:rPr>
            <w:rStyle w:val="TextoNormalCaracter"/>
          </w:rPr>
          <w:t>139/2016</w:t>
        </w:r>
      </w:hyperlink>
      <w:r w:rsidRPr="00AD3C82">
        <w:rPr>
          <w:rStyle w:val="TextoNormalCaracter"/>
        </w:rPr>
        <w:t>, ff. 6, 13.</w:t>
      </w:r>
    </w:p>
    <w:p w:rsidR="00AD3C82" w:rsidRPr="00AD3C82" w:rsidRDefault="00AD3C82" w:rsidP="00AD3C82">
      <w:pPr>
        <w:pStyle w:val="TextoNormalSangraFrancesa"/>
        <w:rPr>
          <w:rStyle w:val="TextoNormalCaracter"/>
        </w:rPr>
      </w:pPr>
      <w:bookmarkStart w:id="1112" w:name="DESCRIPTORALFABETICO137"/>
      <w:r w:rsidRPr="00AD3C82">
        <w:rPr>
          <w:rStyle w:val="TextoNormalNegritaCaracter"/>
        </w:rPr>
        <w:t>Derecho a la tutela judicial efectiva</w:t>
      </w:r>
      <w:bookmarkEnd w:id="1112"/>
      <w:r w:rsidRPr="00AD3C82">
        <w:rPr>
          <w:rStyle w:val="TextoNormalCaracter"/>
        </w:rPr>
        <w:t xml:space="preserve">, Sentencias </w:t>
      </w:r>
      <w:hyperlink w:anchor="SENTENCIA_2016_133" w:history="1">
        <w:r w:rsidRPr="00AD3C82">
          <w:rPr>
            <w:rStyle w:val="TextoNormalCaracter"/>
          </w:rPr>
          <w:t>133/2016</w:t>
        </w:r>
      </w:hyperlink>
      <w:r w:rsidRPr="00AD3C82">
        <w:rPr>
          <w:rStyle w:val="TextoNormalCaracter"/>
        </w:rPr>
        <w:t xml:space="preserve">, ff. 1, 4, 6; </w:t>
      </w:r>
      <w:hyperlink w:anchor="SENTENCIA_2016_146" w:history="1">
        <w:r w:rsidRPr="00AD3C82">
          <w:rPr>
            <w:rStyle w:val="TextoNormalCaracter"/>
          </w:rPr>
          <w:t>146/2016</w:t>
        </w:r>
      </w:hyperlink>
      <w:r w:rsidRPr="00AD3C82">
        <w:rPr>
          <w:rStyle w:val="TextoNormalCaracter"/>
        </w:rPr>
        <w:t xml:space="preserve">, VP; </w:t>
      </w:r>
      <w:hyperlink w:anchor="SENTENCIA_2016_154" w:history="1">
        <w:r w:rsidRPr="00AD3C82">
          <w:rPr>
            <w:rStyle w:val="TextoNormalCaracter"/>
          </w:rPr>
          <w:t>154/2016</w:t>
        </w:r>
      </w:hyperlink>
      <w:r w:rsidRPr="00AD3C82">
        <w:rPr>
          <w:rStyle w:val="TextoNormalCaracter"/>
        </w:rPr>
        <w:t xml:space="preserve">, f. 1, VP; </w:t>
      </w:r>
      <w:hyperlink w:anchor="SENTENCIA_2016_201" w:history="1">
        <w:r w:rsidRPr="00AD3C82">
          <w:rPr>
            <w:rStyle w:val="TextoNormalCaracter"/>
          </w:rPr>
          <w:t>201/2016</w:t>
        </w:r>
      </w:hyperlink>
      <w:r w:rsidRPr="00AD3C82">
        <w:rPr>
          <w:rStyle w:val="TextoNormalCaracter"/>
        </w:rPr>
        <w:t>, f. 2.</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87" w:history="1">
        <w:r w:rsidRPr="00AD3C82">
          <w:rPr>
            <w:rStyle w:val="TextoNormalCaracter"/>
          </w:rPr>
          <w:t>187/2016</w:t>
        </w:r>
      </w:hyperlink>
      <w:r w:rsidRPr="00AD3C82">
        <w:rPr>
          <w:rStyle w:val="TextoNormalCaracter"/>
        </w:rPr>
        <w:t>, ff. 1, 2, 3.</w:t>
      </w:r>
    </w:p>
    <w:p w:rsidR="00AD3C82" w:rsidRPr="00AD3C82" w:rsidRDefault="00AD3C82" w:rsidP="00AD3C82">
      <w:pPr>
        <w:pStyle w:val="TextoNormalSangraFrancesa"/>
        <w:rPr>
          <w:rStyle w:val="TextoNormalCaracter"/>
        </w:rPr>
      </w:pPr>
      <w:r w:rsidRPr="00AD3C82">
        <w:rPr>
          <w:rStyle w:val="TextoNormalCursivaCaracter"/>
        </w:rPr>
        <w:t xml:space="preserve">    Doctrina constitucional, </w:t>
      </w:r>
      <w:r w:rsidRPr="00AD3C82">
        <w:rPr>
          <w:rStyle w:val="TextoNormalCaracter"/>
        </w:rPr>
        <w:t xml:space="preserve">Auto </w:t>
      </w:r>
      <w:hyperlink w:anchor="AUTO_2016_135" w:history="1">
        <w:r w:rsidRPr="00AD3C82">
          <w:rPr>
            <w:rStyle w:val="TextoNormalCaracter"/>
          </w:rPr>
          <w:t>135/2016</w:t>
        </w:r>
      </w:hyperlink>
      <w:r w:rsidRPr="00AD3C82">
        <w:rPr>
          <w:rStyle w:val="TextoNormalCaracter"/>
        </w:rPr>
        <w:t>, f. 2.</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Sentencias </w:t>
      </w:r>
      <w:hyperlink w:anchor="SENTENCIA_2016_170" w:history="1">
        <w:r w:rsidRPr="00AD3C82">
          <w:rPr>
            <w:rStyle w:val="TextoNormalCaracter"/>
          </w:rPr>
          <w:t>170/2016</w:t>
        </w:r>
      </w:hyperlink>
      <w:r w:rsidRPr="00AD3C82">
        <w:rPr>
          <w:rStyle w:val="TextoNormalCaracter"/>
        </w:rPr>
        <w:t xml:space="preserve">, ff. 1, 4; </w:t>
      </w:r>
      <w:hyperlink w:anchor="SENTENCIA_2016_198" w:history="1">
        <w:r w:rsidRPr="00AD3C82">
          <w:rPr>
            <w:rStyle w:val="TextoNormalCaracter"/>
          </w:rPr>
          <w:t>198/2016</w:t>
        </w:r>
      </w:hyperlink>
      <w:r w:rsidRPr="00AD3C82">
        <w:rPr>
          <w:rStyle w:val="TextoNormalCaracter"/>
        </w:rPr>
        <w:t>, f. 5.</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4, 5, 7, 8.</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Sentencias </w:t>
      </w:r>
      <w:hyperlink w:anchor="SENTENCIA_2016_131" w:history="1">
        <w:r w:rsidRPr="00AD3C82">
          <w:rPr>
            <w:rStyle w:val="TextoNormalCaracter"/>
          </w:rPr>
          <w:t>131/2016</w:t>
        </w:r>
      </w:hyperlink>
      <w:r w:rsidRPr="00AD3C82">
        <w:rPr>
          <w:rStyle w:val="TextoNormalCaracter"/>
        </w:rPr>
        <w:t xml:space="preserve">, ff. 5 a 7; </w:t>
      </w:r>
      <w:hyperlink w:anchor="SENTENCIA_2016_136" w:history="1">
        <w:r w:rsidRPr="00AD3C82">
          <w:rPr>
            <w:rStyle w:val="TextoNormalCaracter"/>
          </w:rPr>
          <w:t>136/2016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113" w:name="DESCRIPTORALFABETICO159"/>
      <w:r w:rsidRPr="00AD3C82">
        <w:rPr>
          <w:rStyle w:val="TextoNormalNegritaCaracter"/>
        </w:rPr>
        <w:t>Derecho a la tutela judicial sin indefensión</w:t>
      </w:r>
      <w:bookmarkEnd w:id="1113"/>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Sentencias </w:t>
      </w:r>
      <w:hyperlink w:anchor="SENTENCIA_2016_130" w:history="1">
        <w:r w:rsidRPr="00AD3C82">
          <w:rPr>
            <w:rStyle w:val="TextoNormalCaracter"/>
          </w:rPr>
          <w:t>130/2016</w:t>
        </w:r>
      </w:hyperlink>
      <w:r w:rsidRPr="00AD3C82">
        <w:rPr>
          <w:rStyle w:val="TextoNormalCaracter"/>
        </w:rPr>
        <w:t xml:space="preserve">, ff. 1, 2, 6; </w:t>
      </w:r>
      <w:hyperlink w:anchor="SENTENCIA_2016_138" w:history="1">
        <w:r w:rsidRPr="00AD3C82">
          <w:rPr>
            <w:rStyle w:val="TextoNormalCaracter"/>
          </w:rPr>
          <w:t>138/2016</w:t>
        </w:r>
      </w:hyperlink>
      <w:r w:rsidRPr="00AD3C82">
        <w:rPr>
          <w:rStyle w:val="TextoNormalCaracter"/>
        </w:rPr>
        <w:t xml:space="preserve">, ff. 1 a 3, 5; </w:t>
      </w:r>
      <w:hyperlink w:anchor="SENTENCIA_2016_144" w:history="1">
        <w:r w:rsidRPr="00AD3C82">
          <w:rPr>
            <w:rStyle w:val="TextoNormalCaracter"/>
          </w:rPr>
          <w:t>144/2016</w:t>
        </w:r>
      </w:hyperlink>
      <w:r w:rsidRPr="00AD3C82">
        <w:rPr>
          <w:rStyle w:val="TextoNormalCaracter"/>
        </w:rPr>
        <w:t xml:space="preserve">, ff. 1, 2, 3, 5; </w:t>
      </w:r>
      <w:hyperlink w:anchor="SENTENCIA_2016_150" w:history="1">
        <w:r w:rsidRPr="00AD3C82">
          <w:rPr>
            <w:rStyle w:val="TextoNormalCaracter"/>
          </w:rPr>
          <w:t>150/2016</w:t>
        </w:r>
      </w:hyperlink>
      <w:r w:rsidRPr="00AD3C82">
        <w:rPr>
          <w:rStyle w:val="TextoNormalCaracter"/>
        </w:rPr>
        <w:t xml:space="preserve">, ff. 1 a 4; </w:t>
      </w:r>
      <w:hyperlink w:anchor="SENTENCIA_2016_151" w:history="1">
        <w:r w:rsidRPr="00AD3C82">
          <w:rPr>
            <w:rStyle w:val="TextoNormalCaracter"/>
          </w:rPr>
          <w:t>151/2016</w:t>
        </w:r>
      </w:hyperlink>
      <w:r w:rsidRPr="00AD3C82">
        <w:rPr>
          <w:rStyle w:val="TextoNormalCaracter"/>
        </w:rPr>
        <w:t xml:space="preserve">, ff. 1 a 4; </w:t>
      </w:r>
      <w:hyperlink w:anchor="SENTENCIA_2016_163" w:history="1">
        <w:r w:rsidRPr="00AD3C82">
          <w:rPr>
            <w:rStyle w:val="TextoNormalCaracter"/>
          </w:rPr>
          <w:t>163/2016</w:t>
        </w:r>
      </w:hyperlink>
      <w:r w:rsidRPr="00AD3C82">
        <w:rPr>
          <w:rStyle w:val="TextoNormalCaracter"/>
        </w:rPr>
        <w:t xml:space="preserve">, ff. 1, 3 a 5; </w:t>
      </w:r>
      <w:hyperlink w:anchor="SENTENCIA_2016_172" w:history="1">
        <w:r w:rsidRPr="00AD3C82">
          <w:rPr>
            <w:rStyle w:val="TextoNormalCaracter"/>
          </w:rPr>
          <w:t>172/2016</w:t>
        </w:r>
      </w:hyperlink>
      <w:r w:rsidRPr="00AD3C82">
        <w:rPr>
          <w:rStyle w:val="TextoNormalCaracter"/>
        </w:rPr>
        <w:t>, ff. 6, 9.</w:t>
      </w:r>
    </w:p>
    <w:p w:rsidR="00AD3C82" w:rsidRPr="00AD3C82" w:rsidRDefault="00AD3C82" w:rsidP="00AD3C82">
      <w:pPr>
        <w:pStyle w:val="TextoNormalSangraFrancesa"/>
        <w:rPr>
          <w:rStyle w:val="TextoNormalCaracter"/>
        </w:rPr>
      </w:pPr>
      <w:bookmarkStart w:id="1114" w:name="DESCRIPTORALFABETICO122"/>
      <w:r w:rsidRPr="00AD3C82">
        <w:rPr>
          <w:rStyle w:val="TextoNormalNegritaCaracter"/>
        </w:rPr>
        <w:t>Derecho a no ser sometido a torturas o tratos inhumanos o degradantes</w:t>
      </w:r>
      <w:bookmarkEnd w:id="1114"/>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1 a 6; </w:t>
      </w:r>
      <w:hyperlink w:anchor="SENTENCIA_2016_144" w:history="1">
        <w:r w:rsidRPr="00AD3C82">
          <w:rPr>
            <w:rStyle w:val="TextoNormalCaracter"/>
          </w:rPr>
          <w:t>144/2016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115" w:name="DESCRIPTORALFABETICO139"/>
      <w:r w:rsidRPr="00AD3C82">
        <w:rPr>
          <w:rStyle w:val="TextoNormalNegritaCaracter"/>
        </w:rPr>
        <w:t>Derecho a obtener una resolución sobre el fondo de las pretensiones</w:t>
      </w:r>
      <w:bookmarkEnd w:id="1115"/>
      <w:r w:rsidRPr="00AD3C82">
        <w:rPr>
          <w:rStyle w:val="TextoNormalCaracter"/>
        </w:rPr>
        <w:t xml:space="preserve">, Sentencias </w:t>
      </w:r>
      <w:hyperlink w:anchor="SENTENCIA_2016_133" w:history="1">
        <w:r w:rsidRPr="00AD3C82">
          <w:rPr>
            <w:rStyle w:val="TextoNormalCaracter"/>
          </w:rPr>
          <w:t>133/2016</w:t>
        </w:r>
      </w:hyperlink>
      <w:r w:rsidRPr="00AD3C82">
        <w:rPr>
          <w:rStyle w:val="TextoNormalCaracter"/>
        </w:rPr>
        <w:t xml:space="preserve">, ff. 3, 6; </w:t>
      </w:r>
      <w:hyperlink w:anchor="SENTENCIA_2016_147" w:history="1">
        <w:r w:rsidRPr="00AD3C82">
          <w:rPr>
            <w:rStyle w:val="TextoNormalCaracter"/>
          </w:rPr>
          <w:t>147/2016</w:t>
        </w:r>
      </w:hyperlink>
      <w:r w:rsidRPr="00AD3C82">
        <w:rPr>
          <w:rStyle w:val="TextoNormalCaracter"/>
        </w:rPr>
        <w:t>, ff. 3, 6.</w:t>
      </w:r>
    </w:p>
    <w:p w:rsidR="00AD3C82" w:rsidRPr="00AD3C82" w:rsidRDefault="00AD3C82" w:rsidP="00AD3C82">
      <w:pPr>
        <w:pStyle w:val="TextoNormalSangraFrancesa"/>
        <w:rPr>
          <w:rStyle w:val="TextoNormalCaracter"/>
        </w:rPr>
      </w:pPr>
      <w:bookmarkStart w:id="1116" w:name="DESCRIPTORALFABETICO164"/>
      <w:r w:rsidRPr="00AD3C82">
        <w:rPr>
          <w:rStyle w:val="TextoNormalNegritaCaracter"/>
        </w:rPr>
        <w:t>Derecho a ser informado de la acusación</w:t>
      </w:r>
      <w:bookmarkEnd w:id="1116"/>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 </w:t>
      </w:r>
      <w:hyperlink w:anchor="SENTENCIA_2016_172" w:history="1">
        <w:r w:rsidRPr="00AD3C82">
          <w:rPr>
            <w:rStyle w:val="TextoNormalCaracter"/>
          </w:rPr>
          <w:t>172/2016</w:t>
        </w:r>
      </w:hyperlink>
      <w:r w:rsidRPr="00AD3C82">
        <w:rPr>
          <w:rStyle w:val="TextoNormalCaracter"/>
        </w:rPr>
        <w:t>, ff. 1, 3, 10.</w:t>
      </w:r>
    </w:p>
    <w:p w:rsidR="00AD3C82" w:rsidRPr="00AD3C82" w:rsidRDefault="00AD3C82" w:rsidP="00AD3C82">
      <w:pPr>
        <w:pStyle w:val="TextoNormalSangraFrancesa"/>
        <w:rPr>
          <w:rStyle w:val="TextoNormalCaracter"/>
        </w:rPr>
      </w:pPr>
      <w:bookmarkStart w:id="1117" w:name="DESCRIPTORALFABETICO163"/>
      <w:r w:rsidRPr="00AD3C82">
        <w:rPr>
          <w:rStyle w:val="TextoNormalNegritaCaracter"/>
        </w:rPr>
        <w:t>Derecho a un proceso con todas las garantías</w:t>
      </w:r>
      <w:bookmarkEnd w:id="1117"/>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 1.</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 </w:t>
      </w:r>
      <w:hyperlink w:anchor="SENTENCIA_2016_172" w:history="1">
        <w:r w:rsidRPr="00AD3C82">
          <w:rPr>
            <w:rStyle w:val="TextoNormalCaracter"/>
          </w:rPr>
          <w:t>172/2016</w:t>
        </w:r>
      </w:hyperlink>
      <w:r w:rsidRPr="00AD3C82">
        <w:rPr>
          <w:rStyle w:val="TextoNormalCaracter"/>
        </w:rPr>
        <w:t>, ff. 7, 8, 11.</w:t>
      </w:r>
    </w:p>
    <w:p w:rsidR="00AD3C82" w:rsidRPr="00AD3C82" w:rsidRDefault="00AD3C82" w:rsidP="00AD3C82">
      <w:pPr>
        <w:pStyle w:val="TextoNormalSangraFrancesa"/>
        <w:rPr>
          <w:rStyle w:val="TextoNormalCaracter"/>
        </w:rPr>
      </w:pPr>
      <w:bookmarkStart w:id="1118" w:name="DESCRIPTORALFABETICO165"/>
      <w:r w:rsidRPr="00AD3C82">
        <w:rPr>
          <w:rStyle w:val="TextoNormalNegritaCaracter"/>
        </w:rPr>
        <w:t>Derecho a un proceso sin dilaciones indebidas</w:t>
      </w:r>
      <w:bookmarkEnd w:id="1118"/>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 </w:t>
      </w:r>
      <w:hyperlink w:anchor="SENTENCIA_2016_129" w:history="1">
        <w:r w:rsidRPr="00AD3C82">
          <w:rPr>
            <w:rStyle w:val="TextoNormalCaracter"/>
          </w:rPr>
          <w:t>129/2016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119" w:name="DESCRIPTORALFABETICO173"/>
      <w:r w:rsidRPr="00AD3C82">
        <w:rPr>
          <w:rStyle w:val="TextoNormalNegritaCaracter"/>
        </w:rPr>
        <w:t>Derecho al juez predeterminado por la ley</w:t>
      </w:r>
      <w:bookmarkEnd w:id="1119"/>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 6, VP I.</w:t>
      </w:r>
    </w:p>
    <w:p w:rsidR="00AD3C82" w:rsidRPr="00AD3C82" w:rsidRDefault="00AD3C82" w:rsidP="00AD3C82">
      <w:pPr>
        <w:pStyle w:val="TextoNormalSangraFrancesa"/>
        <w:rPr>
          <w:rStyle w:val="TextoNormalCaracter"/>
        </w:rPr>
      </w:pPr>
      <w:bookmarkStart w:id="1120" w:name="DESCRIPTORALFABETICO145"/>
      <w:r w:rsidRPr="00AD3C82">
        <w:rPr>
          <w:rStyle w:val="TextoNormalNegritaCaracter"/>
        </w:rPr>
        <w:t>Derecho al recurso penal</w:t>
      </w:r>
      <w:bookmarkEnd w:id="1120"/>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 </w:t>
      </w:r>
      <w:hyperlink w:anchor="SENTENCIA_2016_172" w:history="1">
        <w:r w:rsidRPr="00AD3C82">
          <w:rPr>
            <w:rStyle w:val="TextoNormalCaracter"/>
          </w:rPr>
          <w:t>172/2016</w:t>
        </w:r>
      </w:hyperlink>
      <w:r w:rsidRPr="00AD3C82">
        <w:rPr>
          <w:rStyle w:val="TextoNormalCaracter"/>
        </w:rPr>
        <w:t>, ff. 4, 5, 11, VP.</w:t>
      </w:r>
    </w:p>
    <w:p w:rsidR="00AD3C82" w:rsidRPr="00AD3C82" w:rsidRDefault="00AD3C82" w:rsidP="00AD3C82">
      <w:pPr>
        <w:pStyle w:val="TextoNormalSangraFrancesa"/>
        <w:rPr>
          <w:rStyle w:val="TextoNormalCaracter"/>
        </w:rPr>
      </w:pPr>
      <w:bookmarkStart w:id="1121" w:name="DESCRIPTORALFABETICO140"/>
      <w:r w:rsidRPr="00AD3C82">
        <w:rPr>
          <w:rStyle w:val="TextoNormalNegritaCaracter"/>
        </w:rPr>
        <w:t>Derecho de acceso a la jurisdicción</w:t>
      </w:r>
      <w:bookmarkEnd w:id="1121"/>
      <w:r w:rsidRPr="00AD3C82">
        <w:rPr>
          <w:rStyle w:val="TextoNormalCaracter"/>
        </w:rPr>
        <w:t xml:space="preserve">, Sentencias </w:t>
      </w:r>
      <w:hyperlink w:anchor="SENTENCIA_2016_133" w:history="1">
        <w:r w:rsidRPr="00AD3C82">
          <w:rPr>
            <w:rStyle w:val="TextoNormalCaracter"/>
          </w:rPr>
          <w:t>133/2016</w:t>
        </w:r>
      </w:hyperlink>
      <w:r w:rsidRPr="00AD3C82">
        <w:rPr>
          <w:rStyle w:val="TextoNormalCaracter"/>
        </w:rPr>
        <w:t xml:space="preserve">, ff. 1, 3, 6; </w:t>
      </w:r>
      <w:hyperlink w:anchor="SENTENCIA_2016_202" w:history="1">
        <w:r w:rsidRPr="00AD3C82">
          <w:rPr>
            <w:rStyle w:val="TextoNormalCaracter"/>
          </w:rPr>
          <w:t>202/2016</w:t>
        </w:r>
      </w:hyperlink>
      <w:r w:rsidRPr="00AD3C82">
        <w:rPr>
          <w:rStyle w:val="TextoNormalCaracter"/>
        </w:rPr>
        <w:t xml:space="preserve">, f. 3; </w:t>
      </w:r>
      <w:hyperlink w:anchor="SENTENCIA_2016_222" w:history="1">
        <w:r w:rsidRPr="00AD3C82">
          <w:rPr>
            <w:rStyle w:val="TextoNormalCaracter"/>
          </w:rPr>
          <w:t>222/2016</w:t>
        </w:r>
      </w:hyperlink>
      <w:r w:rsidRPr="00AD3C82">
        <w:rPr>
          <w:rStyle w:val="TextoNormalCaracter"/>
        </w:rPr>
        <w:t>, ff. 1 a 5.</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Sentencias </w:t>
      </w:r>
      <w:hyperlink w:anchor="SENTENCIA_2016_140" w:history="1">
        <w:r w:rsidRPr="00AD3C82">
          <w:rPr>
            <w:rStyle w:val="TextoNormalCaracter"/>
          </w:rPr>
          <w:t>140/2016</w:t>
        </w:r>
      </w:hyperlink>
      <w:r w:rsidRPr="00AD3C82">
        <w:rPr>
          <w:rStyle w:val="TextoNormalCaracter"/>
        </w:rPr>
        <w:t xml:space="preserve">, ff. 10, 11; </w:t>
      </w:r>
      <w:hyperlink w:anchor="SENTENCIA_2016_148" w:history="1">
        <w:r w:rsidRPr="00AD3C82">
          <w:rPr>
            <w:rStyle w:val="TextoNormalCaracter"/>
          </w:rPr>
          <w:t>148/2016</w:t>
        </w:r>
      </w:hyperlink>
      <w:r w:rsidRPr="00AD3C82">
        <w:rPr>
          <w:rStyle w:val="TextoNormalCaracter"/>
        </w:rPr>
        <w:t xml:space="preserve">, ff. 6, 7; </w:t>
      </w:r>
      <w:hyperlink w:anchor="SENTENCIA_2016_163" w:history="1">
        <w:r w:rsidRPr="00AD3C82">
          <w:rPr>
            <w:rStyle w:val="TextoNormalCaracter"/>
          </w:rPr>
          <w:t>163/2016</w:t>
        </w:r>
      </w:hyperlink>
      <w:r w:rsidRPr="00AD3C82">
        <w:rPr>
          <w:rStyle w:val="TextoNormalCaracter"/>
        </w:rPr>
        <w:t xml:space="preserve">, ff. 1, 3 a 5; </w:t>
      </w:r>
      <w:hyperlink w:anchor="SENTENCIA_2016_206" w:history="1">
        <w:r w:rsidRPr="00AD3C82">
          <w:rPr>
            <w:rStyle w:val="TextoNormalCaracter"/>
          </w:rPr>
          <w:t>206/2016</w:t>
        </w:r>
      </w:hyperlink>
      <w:r w:rsidRPr="00AD3C82">
        <w:rPr>
          <w:rStyle w:val="TextoNormalCaracter"/>
        </w:rPr>
        <w:t xml:space="preserve">, f. 4; </w:t>
      </w:r>
      <w:hyperlink w:anchor="SENTENCIA_2016_207" w:history="1">
        <w:r w:rsidRPr="00AD3C82">
          <w:rPr>
            <w:rStyle w:val="TextoNormalCaracter"/>
          </w:rPr>
          <w:t>207/2016</w:t>
        </w:r>
      </w:hyperlink>
      <w:r w:rsidRPr="00AD3C82">
        <w:rPr>
          <w:rStyle w:val="TextoNormalCaracter"/>
        </w:rPr>
        <w:t xml:space="preserve">, f. 5; </w:t>
      </w:r>
      <w:hyperlink w:anchor="SENTENCIA_2016_208" w:history="1">
        <w:r w:rsidRPr="00AD3C82">
          <w:rPr>
            <w:rStyle w:val="TextoNormalCaracter"/>
          </w:rPr>
          <w:t>208/2016</w:t>
        </w:r>
      </w:hyperlink>
      <w:r w:rsidRPr="00AD3C82">
        <w:rPr>
          <w:rStyle w:val="TextoNormalCaracter"/>
        </w:rPr>
        <w:t xml:space="preserve">, f. 4; </w:t>
      </w:r>
      <w:hyperlink w:anchor="SENTENCIA_2016_209" w:history="1">
        <w:r w:rsidRPr="00AD3C82">
          <w:rPr>
            <w:rStyle w:val="TextoNormalCaracter"/>
          </w:rPr>
          <w:t>209/2016</w:t>
        </w:r>
      </w:hyperlink>
      <w:r w:rsidRPr="00AD3C82">
        <w:rPr>
          <w:rStyle w:val="TextoNormalCaracter"/>
        </w:rPr>
        <w:t xml:space="preserve">, f. 4; </w:t>
      </w:r>
      <w:hyperlink w:anchor="SENTENCIA_2016_218" w:history="1">
        <w:r w:rsidRPr="00AD3C82">
          <w:rPr>
            <w:rStyle w:val="TextoNormalCaracter"/>
          </w:rPr>
          <w:t>218/2016</w:t>
        </w:r>
      </w:hyperlink>
      <w:r w:rsidRPr="00AD3C82">
        <w:rPr>
          <w:rStyle w:val="TextoNormalCaracter"/>
        </w:rPr>
        <w:t xml:space="preserve">, f. 5; </w:t>
      </w:r>
      <w:hyperlink w:anchor="SENTENCIA_2016_221" w:history="1">
        <w:r w:rsidRPr="00AD3C82">
          <w:rPr>
            <w:rStyle w:val="TextoNormalCaracter"/>
          </w:rPr>
          <w:t>221/2016</w:t>
        </w:r>
      </w:hyperlink>
      <w:r w:rsidRPr="00AD3C82">
        <w:rPr>
          <w:rStyle w:val="TextoNormalCaracter"/>
        </w:rPr>
        <w:t xml:space="preserve">, f. 5; </w:t>
      </w:r>
      <w:hyperlink w:anchor="SENTENCIA_2016_223" w:history="1">
        <w:r w:rsidRPr="00AD3C82">
          <w:rPr>
            <w:rStyle w:val="TextoNormalCaracter"/>
          </w:rPr>
          <w:t>223/2016</w:t>
        </w:r>
      </w:hyperlink>
      <w:r w:rsidRPr="00AD3C82">
        <w:rPr>
          <w:rStyle w:val="TextoNormalCaracter"/>
        </w:rPr>
        <w:t>, f. 4.</w:t>
      </w:r>
    </w:p>
    <w:p w:rsidR="00AD3C82" w:rsidRPr="00AD3C82" w:rsidRDefault="00AD3C82" w:rsidP="00AD3C82">
      <w:pPr>
        <w:pStyle w:val="TextoNormalSangraFrancesa"/>
        <w:rPr>
          <w:rStyle w:val="TextoNormalCaracter"/>
        </w:rPr>
      </w:pPr>
      <w:bookmarkStart w:id="1122" w:name="DESCRIPTORALFABETICO142"/>
      <w:r w:rsidRPr="00AD3C82">
        <w:rPr>
          <w:rStyle w:val="TextoNormalNegritaCaracter"/>
        </w:rPr>
        <w:t>Derecho de acceso al proceso</w:t>
      </w:r>
      <w:bookmarkEnd w:id="1122"/>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 </w:t>
      </w:r>
      <w:hyperlink w:anchor="SENTENCIA_2016_136" w:history="1">
        <w:r w:rsidRPr="00AD3C82">
          <w:rPr>
            <w:rStyle w:val="TextoNormalCaracter"/>
          </w:rPr>
          <w:t>136/2016</w:t>
        </w:r>
      </w:hyperlink>
      <w:r w:rsidRPr="00AD3C82">
        <w:rPr>
          <w:rStyle w:val="TextoNormalCaracter"/>
        </w:rPr>
        <w:t>, f. 4.</w:t>
      </w:r>
    </w:p>
    <w:p w:rsidR="00AD3C82" w:rsidRPr="00AD3C82" w:rsidRDefault="00AD3C82" w:rsidP="00AD3C82">
      <w:pPr>
        <w:pStyle w:val="TextoNormalSangraFrancesa"/>
        <w:rPr>
          <w:rStyle w:val="TextoNormalCaracter"/>
        </w:rPr>
      </w:pPr>
      <w:bookmarkStart w:id="1123" w:name="DESCRIPTORALFABETICO143"/>
      <w:r w:rsidRPr="00AD3C82">
        <w:rPr>
          <w:rStyle w:val="TextoNormalNegritaCaracter"/>
        </w:rPr>
        <w:t>Derecho de acceso al recurso legal</w:t>
      </w:r>
      <w:bookmarkEnd w:id="1123"/>
      <w:r w:rsidRPr="00AD3C82">
        <w:rPr>
          <w:rStyle w:val="TextoNormalCaracter"/>
        </w:rPr>
        <w:t xml:space="preserve">, Sentencia </w:t>
      </w:r>
      <w:hyperlink w:anchor="SENTENCIA_2016_173" w:history="1">
        <w:r w:rsidRPr="00AD3C82">
          <w:rPr>
            <w:rStyle w:val="TextoNormalCaracter"/>
          </w:rPr>
          <w:t>173/2016</w:t>
        </w:r>
      </w:hyperlink>
      <w:r w:rsidRPr="00AD3C82">
        <w:rPr>
          <w:rStyle w:val="TextoNormalCaracter"/>
        </w:rPr>
        <w:t>, f. 4, 5.</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 </w:t>
      </w:r>
      <w:hyperlink w:anchor="SENTENCIA_2016_166" w:history="1">
        <w:r w:rsidRPr="00AD3C82">
          <w:rPr>
            <w:rStyle w:val="TextoNormalCaracter"/>
          </w:rPr>
          <w:t>166/2016</w:t>
        </w:r>
      </w:hyperlink>
      <w:r w:rsidRPr="00AD3C82">
        <w:rPr>
          <w:rStyle w:val="TextoNormalCaracter"/>
        </w:rPr>
        <w:t>, ff. 5, 7.</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Sentencias </w:t>
      </w:r>
      <w:hyperlink w:anchor="SENTENCIA_2016_140" w:history="1">
        <w:r w:rsidRPr="00AD3C82">
          <w:rPr>
            <w:rStyle w:val="TextoNormalCaracter"/>
          </w:rPr>
          <w:t>140/2016</w:t>
        </w:r>
      </w:hyperlink>
      <w:r w:rsidRPr="00AD3C82">
        <w:rPr>
          <w:rStyle w:val="TextoNormalCaracter"/>
        </w:rPr>
        <w:t xml:space="preserve">, f. 12; </w:t>
      </w:r>
      <w:hyperlink w:anchor="SENTENCIA_2016_147" w:history="1">
        <w:r w:rsidRPr="00AD3C82">
          <w:rPr>
            <w:rStyle w:val="TextoNormalCaracter"/>
          </w:rPr>
          <w:t>147/2016</w:t>
        </w:r>
      </w:hyperlink>
      <w:r w:rsidRPr="00AD3C82">
        <w:rPr>
          <w:rStyle w:val="TextoNormalCaracter"/>
        </w:rPr>
        <w:t xml:space="preserve">, ff. 2, 3, 6; </w:t>
      </w:r>
      <w:hyperlink w:anchor="SENTENCIA_2016_149" w:history="1">
        <w:r w:rsidRPr="00AD3C82">
          <w:rPr>
            <w:rStyle w:val="TextoNormalCaracter"/>
          </w:rPr>
          <w:t>149/2016</w:t>
        </w:r>
      </w:hyperlink>
      <w:r w:rsidRPr="00AD3C82">
        <w:rPr>
          <w:rStyle w:val="TextoNormalCaracter"/>
        </w:rPr>
        <w:t xml:space="preserve">, ff. 3 a 6; </w:t>
      </w:r>
      <w:hyperlink w:anchor="SENTENCIA_2016_176" w:history="1">
        <w:r w:rsidRPr="00AD3C82">
          <w:rPr>
            <w:rStyle w:val="TextoNormalCaracter"/>
          </w:rPr>
          <w:t>176/2016</w:t>
        </w:r>
      </w:hyperlink>
      <w:r w:rsidRPr="00AD3C82">
        <w:rPr>
          <w:rStyle w:val="TextoNormalCaracter"/>
        </w:rPr>
        <w:t xml:space="preserve">, ff. 1 a 3; </w:t>
      </w:r>
      <w:hyperlink w:anchor="SENTENCIA_2016_227" w:history="1">
        <w:r w:rsidRPr="00AD3C82">
          <w:rPr>
            <w:rStyle w:val="TextoNormalCaracter"/>
          </w:rPr>
          <w:t>227/2016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124" w:name="DESCRIPTORALFABETICO174"/>
      <w:r w:rsidRPr="00AD3C82">
        <w:rPr>
          <w:rStyle w:val="TextoNormalNegritaCaracter"/>
        </w:rPr>
        <w:t>Derecho de asociación</w:t>
      </w:r>
      <w:bookmarkEnd w:id="1124"/>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Doctrina constitucional, </w:t>
      </w:r>
      <w:r w:rsidRPr="00AD3C82">
        <w:rPr>
          <w:rStyle w:val="TextoNormalCaracter"/>
        </w:rPr>
        <w:t xml:space="preserve">Sentencia </w:t>
      </w:r>
      <w:hyperlink w:anchor="SENTENCIA_2016_226" w:history="1">
        <w:r w:rsidRPr="00AD3C82">
          <w:rPr>
            <w:rStyle w:val="TextoNormalCaracter"/>
          </w:rPr>
          <w:t>226/2016</w:t>
        </w:r>
      </w:hyperlink>
      <w:r w:rsidRPr="00AD3C82">
        <w:rPr>
          <w:rStyle w:val="TextoNormalCaracter"/>
        </w:rPr>
        <w:t>, ff. 2, 4, 6 a 8, 10.</w:t>
      </w:r>
    </w:p>
    <w:p w:rsidR="00AD3C82" w:rsidRPr="00AD3C82" w:rsidRDefault="00AD3C82" w:rsidP="00AD3C82">
      <w:pPr>
        <w:pStyle w:val="TextoNormalSangraFrancesa"/>
        <w:rPr>
          <w:rStyle w:val="TextoNormalCaracter"/>
        </w:rPr>
      </w:pPr>
      <w:bookmarkStart w:id="1125" w:name="DESCRIPTORALFABETICO435"/>
      <w:r w:rsidRPr="00AD3C82">
        <w:rPr>
          <w:rStyle w:val="TextoNormalNegritaCaracter"/>
        </w:rPr>
        <w:t>Derecho de participación de los consumidores</w:t>
      </w:r>
      <w:bookmarkEnd w:id="1125"/>
      <w:r w:rsidRPr="00AD3C82">
        <w:rPr>
          <w:rStyle w:val="TextoNormalCaracter"/>
        </w:rPr>
        <w:t xml:space="preserve">, Sentencias </w:t>
      </w:r>
      <w:hyperlink w:anchor="SENTENCIA_2016_148" w:history="1">
        <w:r w:rsidRPr="00AD3C82">
          <w:rPr>
            <w:rStyle w:val="TextoNormalCaracter"/>
          </w:rPr>
          <w:t>148/2016</w:t>
        </w:r>
      </w:hyperlink>
      <w:r w:rsidRPr="00AD3C82">
        <w:rPr>
          <w:rStyle w:val="TextoNormalCaracter"/>
        </w:rPr>
        <w:t xml:space="preserve">, ff. 4 a 6; </w:t>
      </w:r>
      <w:hyperlink w:anchor="SENTENCIA_2016_206" w:history="1">
        <w:r w:rsidRPr="00AD3C82">
          <w:rPr>
            <w:rStyle w:val="TextoNormalCaracter"/>
          </w:rPr>
          <w:t>206/2016</w:t>
        </w:r>
      </w:hyperlink>
      <w:r w:rsidRPr="00AD3C82">
        <w:rPr>
          <w:rStyle w:val="TextoNormalCaracter"/>
        </w:rPr>
        <w:t xml:space="preserve">, ff. 3, 4; </w:t>
      </w:r>
      <w:hyperlink w:anchor="SENTENCIA_2016_207" w:history="1">
        <w:r w:rsidRPr="00AD3C82">
          <w:rPr>
            <w:rStyle w:val="TextoNormalCaracter"/>
          </w:rPr>
          <w:t>207/2016</w:t>
        </w:r>
      </w:hyperlink>
      <w:r w:rsidRPr="00AD3C82">
        <w:rPr>
          <w:rStyle w:val="TextoNormalCaracter"/>
        </w:rPr>
        <w:t xml:space="preserve">, ff. 4, 5; </w:t>
      </w:r>
      <w:hyperlink w:anchor="SENTENCIA_2016_208" w:history="1">
        <w:r w:rsidRPr="00AD3C82">
          <w:rPr>
            <w:rStyle w:val="TextoNormalCaracter"/>
          </w:rPr>
          <w:t>208/2016</w:t>
        </w:r>
      </w:hyperlink>
      <w:r w:rsidRPr="00AD3C82">
        <w:rPr>
          <w:rStyle w:val="TextoNormalCaracter"/>
        </w:rPr>
        <w:t xml:space="preserve">, ff. 3, 4; </w:t>
      </w:r>
      <w:hyperlink w:anchor="SENTENCIA_2016_209" w:history="1">
        <w:r w:rsidRPr="00AD3C82">
          <w:rPr>
            <w:rStyle w:val="TextoNormalCaracter"/>
          </w:rPr>
          <w:t>209/2016</w:t>
        </w:r>
      </w:hyperlink>
      <w:r w:rsidRPr="00AD3C82">
        <w:rPr>
          <w:rStyle w:val="TextoNormalCaracter"/>
        </w:rPr>
        <w:t xml:space="preserve">, ff. 3, 4; </w:t>
      </w:r>
      <w:hyperlink w:anchor="SENTENCIA_2016_218" w:history="1">
        <w:r w:rsidRPr="00AD3C82">
          <w:rPr>
            <w:rStyle w:val="TextoNormalCaracter"/>
          </w:rPr>
          <w:t>218/2016</w:t>
        </w:r>
      </w:hyperlink>
      <w:r w:rsidRPr="00AD3C82">
        <w:rPr>
          <w:rStyle w:val="TextoNormalCaracter"/>
        </w:rPr>
        <w:t xml:space="preserve">, ff. 4, 5; </w:t>
      </w:r>
      <w:hyperlink w:anchor="SENTENCIA_2016_221" w:history="1">
        <w:r w:rsidRPr="00AD3C82">
          <w:rPr>
            <w:rStyle w:val="TextoNormalCaracter"/>
          </w:rPr>
          <w:t>221/2016</w:t>
        </w:r>
      </w:hyperlink>
      <w:r w:rsidRPr="00AD3C82">
        <w:rPr>
          <w:rStyle w:val="TextoNormalCaracter"/>
        </w:rPr>
        <w:t xml:space="preserve">, ff. 4, 5; </w:t>
      </w:r>
      <w:hyperlink w:anchor="SENTENCIA_2016_223" w:history="1">
        <w:r w:rsidRPr="00AD3C82">
          <w:rPr>
            <w:rStyle w:val="TextoNormalCaracter"/>
          </w:rPr>
          <w:t>223/2016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1126" w:name="DESCRIPTORALFABETICO515"/>
      <w:r w:rsidRPr="00AD3C82">
        <w:rPr>
          <w:rStyle w:val="TextoNormalNegritaCaracter"/>
        </w:rPr>
        <w:t>Derecho supletorio estatal</w:t>
      </w:r>
      <w:bookmarkEnd w:id="1126"/>
      <w:r w:rsidRPr="00AD3C82">
        <w:rPr>
          <w:rStyle w:val="TextoNormalCaracter"/>
        </w:rPr>
        <w:t xml:space="preserve">, Sentencia </w:t>
      </w:r>
      <w:hyperlink w:anchor="SENTENCIA_2016_214" w:history="1">
        <w:r w:rsidRPr="00AD3C82">
          <w:rPr>
            <w:rStyle w:val="TextoNormalCaracter"/>
          </w:rPr>
          <w:t>214/2016</w:t>
        </w:r>
      </w:hyperlink>
      <w:r w:rsidRPr="00AD3C82">
        <w:rPr>
          <w:rStyle w:val="TextoNormalCaracter"/>
        </w:rPr>
        <w:t>, f. 4.</w:t>
      </w:r>
    </w:p>
    <w:p w:rsidR="00AD3C82" w:rsidRPr="00AD3C82" w:rsidRDefault="00AD3C82" w:rsidP="00AD3C82">
      <w:pPr>
        <w:pStyle w:val="TextoNormalSangraFrancesa"/>
        <w:rPr>
          <w:rStyle w:val="TextoNormalCaracter"/>
        </w:rPr>
      </w:pPr>
      <w:bookmarkStart w:id="1127" w:name="DESCRIPTORALFABETICO290"/>
      <w:r w:rsidRPr="00AD3C82">
        <w:rPr>
          <w:rStyle w:val="TextoNormalNegritaCaracter"/>
        </w:rPr>
        <w:t>Derechos de los afiliados a partidos políticos</w:t>
      </w:r>
      <w:bookmarkEnd w:id="1127"/>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 6.</w:t>
      </w:r>
    </w:p>
    <w:p w:rsidR="00AD3C82" w:rsidRPr="00AD3C82" w:rsidRDefault="00AD3C82" w:rsidP="00AD3C82">
      <w:pPr>
        <w:pStyle w:val="TextoNormalSangraFrancesa"/>
        <w:rPr>
          <w:rStyle w:val="TextoNormalCaracter"/>
        </w:rPr>
      </w:pPr>
      <w:bookmarkStart w:id="1128" w:name="DESCRIPTORALFABETICO113"/>
      <w:r w:rsidRPr="00AD3C82">
        <w:rPr>
          <w:rStyle w:val="TextoNormalNegritaCaracter"/>
        </w:rPr>
        <w:t>Derechos de los titulares de cargos públicos de representación política</w:t>
      </w:r>
      <w:bookmarkEnd w:id="1128"/>
      <w:r w:rsidRPr="00AD3C82">
        <w:rPr>
          <w:rStyle w:val="TextoNormalCaracter"/>
        </w:rPr>
        <w:t xml:space="preserve">, Sentencias </w:t>
      </w:r>
      <w:hyperlink w:anchor="SENTENCIA_2016_224" w:history="1">
        <w:r w:rsidRPr="00AD3C82">
          <w:rPr>
            <w:rStyle w:val="TextoNormalCaracter"/>
          </w:rPr>
          <w:t>224/2016</w:t>
        </w:r>
      </w:hyperlink>
      <w:r w:rsidRPr="00AD3C82">
        <w:rPr>
          <w:rStyle w:val="TextoNormalCaracter"/>
        </w:rPr>
        <w:t xml:space="preserve">, ff. 2, 5; </w:t>
      </w:r>
      <w:hyperlink w:anchor="SENTENCIA_2016_225" w:history="1">
        <w:r w:rsidRPr="00AD3C82">
          <w:rPr>
            <w:rStyle w:val="TextoNormalCaracter"/>
          </w:rPr>
          <w:t>225/2016</w:t>
        </w:r>
      </w:hyperlink>
      <w:r w:rsidRPr="00AD3C82">
        <w:rPr>
          <w:rStyle w:val="TextoNormalCaracter"/>
        </w:rPr>
        <w:t>, ff. 2, 5.</w:t>
      </w:r>
    </w:p>
    <w:p w:rsidR="00AD3C82" w:rsidRPr="00AD3C82" w:rsidRDefault="00AD3C82" w:rsidP="00AD3C82">
      <w:pPr>
        <w:pStyle w:val="TextoNormalSangraFrancesa"/>
        <w:rPr>
          <w:rStyle w:val="TextoNormalCaracter"/>
        </w:rPr>
      </w:pPr>
      <w:bookmarkStart w:id="1129" w:name="DESCRIPTORALFABETICO175"/>
      <w:r w:rsidRPr="00AD3C82">
        <w:rPr>
          <w:rStyle w:val="TextoNormalNegritaCaracter"/>
        </w:rPr>
        <w:t>Derechos fundamentales de los extranjeros</w:t>
      </w:r>
      <w:bookmarkEnd w:id="1129"/>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3, 5, 6; </w:t>
      </w:r>
      <w:hyperlink w:anchor="SENTENCIA_2016_154" w:history="1">
        <w:r w:rsidRPr="00AD3C82">
          <w:rPr>
            <w:rStyle w:val="TextoNormalCaracter"/>
          </w:rPr>
          <w:t>154/2016</w:t>
        </w:r>
      </w:hyperlink>
      <w:r w:rsidRPr="00AD3C82">
        <w:rPr>
          <w:rStyle w:val="TextoNormalCaracter"/>
        </w:rPr>
        <w:t>, f. 3.</w:t>
      </w:r>
    </w:p>
    <w:p w:rsidR="00AD3C82" w:rsidRPr="00AD3C82" w:rsidRDefault="00AD3C82" w:rsidP="00AD3C82">
      <w:pPr>
        <w:pStyle w:val="TextoNormalSangraFrancesa"/>
        <w:rPr>
          <w:rStyle w:val="TextoNormalCaracter"/>
        </w:rPr>
      </w:pPr>
      <w:bookmarkStart w:id="1130" w:name="DESCRIPTORALFABETICO487"/>
      <w:r w:rsidRPr="00AD3C82">
        <w:rPr>
          <w:rStyle w:val="TextoNormalNegritaCaracter"/>
        </w:rPr>
        <w:t>Derechos históricos</w:t>
      </w:r>
      <w:bookmarkEnd w:id="1130"/>
      <w:r w:rsidRPr="00AD3C82">
        <w:rPr>
          <w:rStyle w:val="TextoNormalCaracter"/>
        </w:rPr>
        <w:t xml:space="preserve">, Sentencia </w:t>
      </w:r>
      <w:hyperlink w:anchor="SENTENCIA_2016_203" w:history="1">
        <w:r w:rsidRPr="00AD3C82">
          <w:rPr>
            <w:rStyle w:val="TextoNormalCaracter"/>
          </w:rPr>
          <w:t>203/2016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131" w:name="DESCRIPTORALFABETICO413"/>
      <w:r w:rsidRPr="00AD3C82">
        <w:rPr>
          <w:rStyle w:val="TextoNormalNegritaCaracter"/>
        </w:rPr>
        <w:t>Derechos y deberes</w:t>
      </w:r>
      <w:bookmarkEnd w:id="1131"/>
      <w:r w:rsidRPr="00AD3C82">
        <w:rPr>
          <w:rStyle w:val="TextoNormalCaracter"/>
        </w:rPr>
        <w:t xml:space="preserve">, Sentencia </w:t>
      </w:r>
      <w:hyperlink w:anchor="SENTENCIA_2016_164" w:history="1">
        <w:r w:rsidRPr="00AD3C82">
          <w:rPr>
            <w:rStyle w:val="TextoNormalCaracter"/>
          </w:rPr>
          <w:t>164/2016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132" w:name="DESCRIPTORALFABETICO507"/>
      <w:r w:rsidRPr="00AD3C82">
        <w:rPr>
          <w:rStyle w:val="TextoNormalNegritaCaracter"/>
        </w:rPr>
        <w:t>Desarrollo legislativo de normas básicas</w:t>
      </w:r>
      <w:bookmarkEnd w:id="1132"/>
      <w:r w:rsidRPr="00AD3C82">
        <w:rPr>
          <w:rStyle w:val="TextoNormalCaracter"/>
        </w:rPr>
        <w:t xml:space="preserve">, Auto </w:t>
      </w:r>
      <w:hyperlink w:anchor="AUTO_2016_176" w:history="1">
        <w:r w:rsidRPr="00AD3C82">
          <w:rPr>
            <w:rStyle w:val="TextoNormalCaracter"/>
          </w:rPr>
          <w:t>176/2016</w:t>
        </w:r>
      </w:hyperlink>
      <w:r w:rsidRPr="00AD3C82">
        <w:rPr>
          <w:rStyle w:val="TextoNormalCaracter"/>
        </w:rPr>
        <w:t>, ff. 6, 7.</w:t>
      </w:r>
    </w:p>
    <w:p w:rsidR="00AD3C82" w:rsidRPr="00AD3C82" w:rsidRDefault="00AD3C82" w:rsidP="00AD3C82">
      <w:pPr>
        <w:pStyle w:val="TextoNormalSangraFrancesa"/>
        <w:rPr>
          <w:rStyle w:val="TextoNormalCaracter"/>
        </w:rPr>
      </w:pPr>
      <w:bookmarkStart w:id="1133" w:name="DESCRIPTORALFABETICO206"/>
      <w:r w:rsidRPr="00AD3C82">
        <w:rPr>
          <w:rStyle w:val="TextoNormalNegritaCaracter"/>
        </w:rPr>
        <w:t>Desestimación de recurso de súplica contra Autos del Tribunal Constitucional</w:t>
      </w:r>
      <w:bookmarkEnd w:id="1133"/>
      <w:r w:rsidRPr="00AD3C82">
        <w:rPr>
          <w:rStyle w:val="TextoNormalCaracter"/>
        </w:rPr>
        <w:t xml:space="preserve">, Auto </w:t>
      </w:r>
      <w:hyperlink w:anchor="AUTO_2016_196" w:history="1">
        <w:r w:rsidRPr="00AD3C82">
          <w:rPr>
            <w:rStyle w:val="TextoNormalCaracter"/>
          </w:rPr>
          <w:t>196/2016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134" w:name="DESCRIPTORALFABETICO208"/>
      <w:r w:rsidRPr="00AD3C82">
        <w:rPr>
          <w:rStyle w:val="TextoNormalNegritaCaracter"/>
        </w:rPr>
        <w:t>Desestimación de recurso de súplica contra providencias de inadmisión del Tribunal Constitucional</w:t>
      </w:r>
      <w:bookmarkEnd w:id="1134"/>
      <w:r w:rsidRPr="00AD3C82">
        <w:rPr>
          <w:rStyle w:val="TextoNormalCaracter"/>
        </w:rPr>
        <w:t xml:space="preserve">, Autos </w:t>
      </w:r>
      <w:hyperlink w:anchor="AUTO_2016_135" w:history="1">
        <w:r w:rsidRPr="00AD3C82">
          <w:rPr>
            <w:rStyle w:val="TextoNormalCaracter"/>
          </w:rPr>
          <w:t>135/2016</w:t>
        </w:r>
      </w:hyperlink>
      <w:r w:rsidRPr="00AD3C82">
        <w:rPr>
          <w:rStyle w:val="TextoNormalCaracter"/>
        </w:rPr>
        <w:t xml:space="preserve">, f. 3; </w:t>
      </w:r>
      <w:hyperlink w:anchor="AUTO_2016_137" w:history="1">
        <w:r w:rsidRPr="00AD3C82">
          <w:rPr>
            <w:rStyle w:val="TextoNormalCaracter"/>
          </w:rPr>
          <w:t>137/2016</w:t>
        </w:r>
      </w:hyperlink>
      <w:r w:rsidRPr="00AD3C82">
        <w:rPr>
          <w:rStyle w:val="TextoNormalCaracter"/>
        </w:rPr>
        <w:t xml:space="preserve">, f. 3; </w:t>
      </w:r>
      <w:hyperlink w:anchor="AUTO_2016_165" w:history="1">
        <w:r w:rsidRPr="00AD3C82">
          <w:rPr>
            <w:rStyle w:val="TextoNormalCaracter"/>
          </w:rPr>
          <w:t>165/2016</w:t>
        </w:r>
      </w:hyperlink>
      <w:r w:rsidRPr="00AD3C82">
        <w:rPr>
          <w:rStyle w:val="TextoNormalCaracter"/>
        </w:rPr>
        <w:t xml:space="preserve">, f. único; </w:t>
      </w:r>
      <w:hyperlink w:anchor="AUTO_2016_177" w:history="1">
        <w:r w:rsidRPr="00AD3C82">
          <w:rPr>
            <w:rStyle w:val="TextoNormalCaracter"/>
          </w:rPr>
          <w:t>177/2016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135" w:name="DESCRIPTORALFABETICO310"/>
      <w:r w:rsidRPr="00AD3C82">
        <w:rPr>
          <w:rStyle w:val="TextoNormalNegritaCaracter"/>
        </w:rPr>
        <w:t>Designación de miembros del Consejo General del Poder Judicial</w:t>
      </w:r>
      <w:bookmarkEnd w:id="1135"/>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ff. 7, 8.</w:t>
      </w:r>
    </w:p>
    <w:p w:rsidR="00AD3C82" w:rsidRPr="00AD3C82" w:rsidRDefault="00AD3C82" w:rsidP="00AD3C82">
      <w:pPr>
        <w:pStyle w:val="TextoNormalSangraFrancesa"/>
        <w:rPr>
          <w:rStyle w:val="TextoNormalCaracter"/>
        </w:rPr>
      </w:pPr>
      <w:bookmarkStart w:id="1136" w:name="DESCRIPTORALFABETICO210"/>
      <w:r w:rsidRPr="00AD3C82">
        <w:rPr>
          <w:rStyle w:val="TextoNormalNegritaCaracter"/>
        </w:rPr>
        <w:t>Desistimiento en el recurso de amparo</w:t>
      </w:r>
      <w:bookmarkEnd w:id="1136"/>
      <w:r w:rsidRPr="00AD3C82">
        <w:rPr>
          <w:rStyle w:val="TextoNormalCaracter"/>
        </w:rPr>
        <w:t xml:space="preserve">, Autos </w:t>
      </w:r>
      <w:hyperlink w:anchor="AUTO_2016_161" w:history="1">
        <w:r w:rsidRPr="00AD3C82">
          <w:rPr>
            <w:rStyle w:val="TextoNormalCaracter"/>
          </w:rPr>
          <w:t>161/2016</w:t>
        </w:r>
      </w:hyperlink>
      <w:r w:rsidRPr="00AD3C82">
        <w:rPr>
          <w:rStyle w:val="TextoNormalCaracter"/>
        </w:rPr>
        <w:t xml:space="preserve">, f. único; </w:t>
      </w:r>
      <w:hyperlink w:anchor="AUTO_2016_163" w:history="1">
        <w:r w:rsidRPr="00AD3C82">
          <w:rPr>
            <w:rStyle w:val="TextoNormalCaracter"/>
          </w:rPr>
          <w:t>163/2016</w:t>
        </w:r>
      </w:hyperlink>
      <w:r w:rsidRPr="00AD3C82">
        <w:rPr>
          <w:rStyle w:val="TextoNormalCaracter"/>
        </w:rPr>
        <w:t xml:space="preserve">, f. único; </w:t>
      </w:r>
      <w:hyperlink w:anchor="AUTO_2016_172" w:history="1">
        <w:r w:rsidRPr="00AD3C82">
          <w:rPr>
            <w:rStyle w:val="TextoNormalCaracter"/>
          </w:rPr>
          <w:t>172/2016</w:t>
        </w:r>
      </w:hyperlink>
      <w:r w:rsidRPr="00AD3C82">
        <w:rPr>
          <w:rStyle w:val="TextoNormalCaracter"/>
        </w:rPr>
        <w:t xml:space="preserve">, Único; </w:t>
      </w:r>
      <w:hyperlink w:anchor="AUTO_2016_188" w:history="1">
        <w:r w:rsidRPr="00AD3C82">
          <w:rPr>
            <w:rStyle w:val="TextoNormalCaracter"/>
          </w:rPr>
          <w:t>188/2016</w:t>
        </w:r>
      </w:hyperlink>
      <w:r w:rsidRPr="00AD3C82">
        <w:rPr>
          <w:rStyle w:val="TextoNormalCaracter"/>
        </w:rPr>
        <w:t xml:space="preserve">, f. único; </w:t>
      </w:r>
      <w:hyperlink w:anchor="AUTO_2016_190" w:history="1">
        <w:r w:rsidRPr="00AD3C82">
          <w:rPr>
            <w:rStyle w:val="TextoNormalCaracter"/>
          </w:rPr>
          <w:t>190/2016</w:t>
        </w:r>
      </w:hyperlink>
      <w:r w:rsidRPr="00AD3C82">
        <w:rPr>
          <w:rStyle w:val="TextoNormalCaracter"/>
        </w:rPr>
        <w:t xml:space="preserve">, f. único; </w:t>
      </w:r>
      <w:hyperlink w:anchor="AUTO_2016_201" w:history="1">
        <w:r w:rsidRPr="00AD3C82">
          <w:rPr>
            <w:rStyle w:val="TextoNormalCaracter"/>
          </w:rPr>
          <w:t>201/2016</w:t>
        </w:r>
      </w:hyperlink>
      <w:r w:rsidRPr="00AD3C82">
        <w:rPr>
          <w:rStyle w:val="TextoNormalCaracter"/>
        </w:rPr>
        <w:t xml:space="preserve">, f. único; </w:t>
      </w:r>
      <w:hyperlink w:anchor="AUTO_2016_208" w:history="1">
        <w:r w:rsidRPr="00AD3C82">
          <w:rPr>
            <w:rStyle w:val="TextoNormalCaracter"/>
          </w:rPr>
          <w:t>208/2016</w:t>
        </w:r>
      </w:hyperlink>
      <w:r w:rsidRPr="00AD3C82">
        <w:rPr>
          <w:rStyle w:val="TextoNormalCaracter"/>
        </w:rPr>
        <w:t>, f. único.</w:t>
      </w:r>
    </w:p>
    <w:p w:rsidR="00AD3C82" w:rsidRPr="00AD3C82" w:rsidRDefault="00AD3C82" w:rsidP="00AD3C82">
      <w:pPr>
        <w:pStyle w:val="TextoNormalSangraFrancesa"/>
        <w:rPr>
          <w:rStyle w:val="TextoNormalCaracter"/>
        </w:rPr>
      </w:pPr>
      <w:r w:rsidRPr="00AD3C82">
        <w:rPr>
          <w:rStyle w:val="TextoNormalCursivaCaracter"/>
        </w:rPr>
        <w:t xml:space="preserve">    Procedencia, </w:t>
      </w:r>
      <w:r w:rsidRPr="00AD3C82">
        <w:rPr>
          <w:rStyle w:val="TextoNormalCaracter"/>
        </w:rPr>
        <w:t xml:space="preserve">Autos </w:t>
      </w:r>
      <w:hyperlink w:anchor="AUTO_2016_136" w:history="1">
        <w:r w:rsidRPr="00AD3C82">
          <w:rPr>
            <w:rStyle w:val="TextoNormalCaracter"/>
          </w:rPr>
          <w:t>136/2016</w:t>
        </w:r>
      </w:hyperlink>
      <w:r w:rsidRPr="00AD3C82">
        <w:rPr>
          <w:rStyle w:val="TextoNormalCaracter"/>
        </w:rPr>
        <w:t xml:space="preserve">, f. único; </w:t>
      </w:r>
      <w:hyperlink w:anchor="AUTO_2016_147" w:history="1">
        <w:r w:rsidRPr="00AD3C82">
          <w:rPr>
            <w:rStyle w:val="TextoNormalCaracter"/>
          </w:rPr>
          <w:t>147/2016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1137" w:name="DESCRIPTORALFABETICO211"/>
      <w:r w:rsidRPr="00AD3C82">
        <w:rPr>
          <w:rStyle w:val="TextoNormalNegritaCaracter"/>
        </w:rPr>
        <w:t>Desistimiento parcial en el recurso de amparo</w:t>
      </w:r>
      <w:bookmarkEnd w:id="1137"/>
      <w:r w:rsidRPr="00AD3C82">
        <w:rPr>
          <w:rStyle w:val="TextoNormalCaracter"/>
        </w:rPr>
        <w:t xml:space="preserve">, Auto </w:t>
      </w:r>
      <w:hyperlink w:anchor="AUTO_2016_152" w:history="1">
        <w:r w:rsidRPr="00AD3C82">
          <w:rPr>
            <w:rStyle w:val="TextoNormalCaracter"/>
          </w:rPr>
          <w:t>152/2016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1138" w:name="DESCRIPTORALFABETICO581"/>
      <w:r w:rsidRPr="00AD3C82">
        <w:rPr>
          <w:rStyle w:val="TextoNormalNegritaCaracter"/>
        </w:rPr>
        <w:t>Despido</w:t>
      </w:r>
      <w:bookmarkEnd w:id="1138"/>
      <w:r w:rsidRPr="00AD3C82">
        <w:rPr>
          <w:rStyle w:val="TextoNormalCaracter"/>
        </w:rPr>
        <w:t xml:space="preserve">, Sentencia </w:t>
      </w:r>
      <w:hyperlink w:anchor="SENTENCIA_2016_147" w:history="1">
        <w:r w:rsidRPr="00AD3C82">
          <w:rPr>
            <w:rStyle w:val="TextoNormalCaracter"/>
          </w:rPr>
          <w:t>147/2016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139" w:name="DESCRIPTORALFABETICO582"/>
      <w:r w:rsidRPr="00AD3C82">
        <w:rPr>
          <w:rStyle w:val="TextoNormalNegritaCaracter"/>
        </w:rPr>
        <w:t>Despido improcedente</w:t>
      </w:r>
      <w:bookmarkEnd w:id="1139"/>
      <w:r w:rsidRPr="00AD3C82">
        <w:rPr>
          <w:rStyle w:val="TextoNormalCaracter"/>
        </w:rPr>
        <w:t xml:space="preserve">, Sentencias </w:t>
      </w:r>
      <w:hyperlink w:anchor="SENTENCIA_2016_173" w:history="1">
        <w:r w:rsidRPr="00AD3C82">
          <w:rPr>
            <w:rStyle w:val="TextoNormalCaracter"/>
          </w:rPr>
          <w:t>173/2016</w:t>
        </w:r>
      </w:hyperlink>
      <w:r w:rsidRPr="00AD3C82">
        <w:rPr>
          <w:rStyle w:val="TextoNormalCaracter"/>
        </w:rPr>
        <w:t xml:space="preserve">, f. 1, 4, 5; </w:t>
      </w:r>
      <w:hyperlink w:anchor="SENTENCIA_2016_176" w:history="1">
        <w:r w:rsidRPr="00AD3C82">
          <w:rPr>
            <w:rStyle w:val="TextoNormalCaracter"/>
          </w:rPr>
          <w:t>176/2016</w:t>
        </w:r>
      </w:hyperlink>
      <w:r w:rsidRPr="00AD3C82">
        <w:rPr>
          <w:rStyle w:val="TextoNormalCaracter"/>
        </w:rPr>
        <w:t>, f. 3.</w:t>
      </w:r>
    </w:p>
    <w:p w:rsidR="00AD3C82" w:rsidRPr="00AD3C82" w:rsidRDefault="00AD3C82" w:rsidP="00AD3C82">
      <w:pPr>
        <w:pStyle w:val="TextoNormalSangraFrancesa"/>
        <w:rPr>
          <w:rStyle w:val="TextoNormalCaracter"/>
        </w:rPr>
      </w:pPr>
      <w:bookmarkStart w:id="1140" w:name="DESCRIPTORALFABETICO665"/>
      <w:r w:rsidRPr="00AD3C82">
        <w:rPr>
          <w:rStyle w:val="TextoNormalNegritaCaracter"/>
        </w:rPr>
        <w:t>Detención incomunicada</w:t>
      </w:r>
      <w:bookmarkEnd w:id="1140"/>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ff. 2 a 5.</w:t>
      </w:r>
    </w:p>
    <w:p w:rsidR="00AD3C82" w:rsidRPr="00AD3C82" w:rsidRDefault="00AD3C82" w:rsidP="00AD3C82">
      <w:pPr>
        <w:pStyle w:val="TextoNormalSangraFrancesa"/>
        <w:rPr>
          <w:rStyle w:val="TextoNormalCaracter"/>
        </w:rPr>
      </w:pPr>
      <w:bookmarkStart w:id="1141" w:name="DESCRIPTORALFABETICO664"/>
      <w:r w:rsidRPr="00AD3C82">
        <w:rPr>
          <w:rStyle w:val="TextoNormalNegritaCaracter"/>
        </w:rPr>
        <w:t>Detención preventiva</w:t>
      </w:r>
      <w:bookmarkEnd w:id="1141"/>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 2; </w:t>
      </w:r>
      <w:hyperlink w:anchor="SENTENCIA_2016_144" w:history="1">
        <w:r w:rsidRPr="00AD3C82">
          <w:rPr>
            <w:rStyle w:val="TextoNormalCaracter"/>
          </w:rPr>
          <w:t>144/2016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142" w:name="DESCRIPTORALFABETICO372"/>
      <w:r w:rsidRPr="00AD3C82">
        <w:rPr>
          <w:rStyle w:val="TextoNormalNegritaCaracter"/>
        </w:rPr>
        <w:t>Determinación de sanciones administrativas</w:t>
      </w:r>
      <w:bookmarkEnd w:id="1142"/>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ff. 7 a 9, 11; </w:t>
      </w:r>
      <w:hyperlink w:anchor="SENTENCIA_2016_186" w:history="1">
        <w:r w:rsidRPr="00AD3C82">
          <w:rPr>
            <w:rStyle w:val="TextoNormalCaracter"/>
          </w:rPr>
          <w:t>186/2016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143" w:name="DESCRIPTORALFABETICO106"/>
      <w:r w:rsidRPr="00AD3C82">
        <w:rPr>
          <w:rStyle w:val="TextoNormalNegritaCaracter"/>
        </w:rPr>
        <w:t>Devengo de tasas</w:t>
      </w:r>
      <w:bookmarkEnd w:id="1143"/>
      <w:r w:rsidRPr="00AD3C82">
        <w:rPr>
          <w:rStyle w:val="TextoNormalCaracter"/>
        </w:rPr>
        <w:t xml:space="preserve">, Sentencia </w:t>
      </w:r>
      <w:hyperlink w:anchor="SENTENCIA_2016_202" w:history="1">
        <w:r w:rsidRPr="00AD3C82">
          <w:rPr>
            <w:rStyle w:val="TextoNormalCaracter"/>
          </w:rPr>
          <w:t>202/2016</w:t>
        </w:r>
      </w:hyperlink>
      <w:r w:rsidRPr="00AD3C82">
        <w:rPr>
          <w:rStyle w:val="TextoNormalCaracter"/>
        </w:rPr>
        <w:t>, f. 4.</w:t>
      </w:r>
    </w:p>
    <w:p w:rsidR="00AD3C82" w:rsidRPr="00AD3C82" w:rsidRDefault="00AD3C82" w:rsidP="00AD3C82">
      <w:pPr>
        <w:pStyle w:val="TextoNormalSangraFrancesa"/>
        <w:rPr>
          <w:rStyle w:val="TextoNormalCaracter"/>
        </w:rPr>
      </w:pPr>
      <w:bookmarkStart w:id="1144" w:name="DESCRIPTORALFABETICO620"/>
      <w:r w:rsidRPr="00AD3C82">
        <w:rPr>
          <w:rStyle w:val="TextoNormalNegritaCaracter"/>
        </w:rPr>
        <w:t>Dilaciones en la celebración de vista</w:t>
      </w:r>
      <w:bookmarkEnd w:id="1144"/>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ff. 1, 4, 5.</w:t>
      </w:r>
    </w:p>
    <w:p w:rsidR="00AD3C82" w:rsidRPr="00AD3C82" w:rsidRDefault="00AD3C82" w:rsidP="00AD3C82">
      <w:pPr>
        <w:pStyle w:val="TextoNormalSangraFrancesa"/>
        <w:rPr>
          <w:rStyle w:val="TextoNormalCaracter"/>
        </w:rPr>
      </w:pPr>
      <w:bookmarkStart w:id="1145" w:name="DESCRIPTORALFABETICO600"/>
      <w:r w:rsidRPr="00AD3C82">
        <w:rPr>
          <w:rStyle w:val="TextoNormalNegritaCaracter"/>
        </w:rPr>
        <w:t>Diligencia del órgano judicial en la averiguación del domicilio</w:t>
      </w:r>
      <w:bookmarkEnd w:id="1145"/>
      <w:r w:rsidRPr="00AD3C82">
        <w:rPr>
          <w:rStyle w:val="TextoNormalCaracter"/>
        </w:rPr>
        <w:t xml:space="preserve">, Sentencias </w:t>
      </w:r>
      <w:hyperlink w:anchor="SENTENCIA_2016_150" w:history="1">
        <w:r w:rsidRPr="00AD3C82">
          <w:rPr>
            <w:rStyle w:val="TextoNormalCaracter"/>
          </w:rPr>
          <w:t>150/2016</w:t>
        </w:r>
      </w:hyperlink>
      <w:r w:rsidRPr="00AD3C82">
        <w:rPr>
          <w:rStyle w:val="TextoNormalCaracter"/>
        </w:rPr>
        <w:t xml:space="preserve">, ff. 2 a 3; </w:t>
      </w:r>
      <w:hyperlink w:anchor="SENTENCIA_2016_151" w:history="1">
        <w:r w:rsidRPr="00AD3C82">
          <w:rPr>
            <w:rStyle w:val="TextoNormalCaracter"/>
          </w:rPr>
          <w:t>151/2016</w:t>
        </w:r>
      </w:hyperlink>
      <w:r w:rsidRPr="00AD3C82">
        <w:rPr>
          <w:rStyle w:val="TextoNormalCaracter"/>
        </w:rPr>
        <w:t xml:space="preserve">, ff. 2 a 3; </w:t>
      </w:r>
      <w:hyperlink w:anchor="SENTENCIA_2016_200" w:history="1">
        <w:r w:rsidRPr="00AD3C82">
          <w:rPr>
            <w:rStyle w:val="TextoNormalCaracter"/>
          </w:rPr>
          <w:t>200/2016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146" w:name="DESCRIPTORALFABETICO615"/>
      <w:r w:rsidRPr="00AD3C82">
        <w:rPr>
          <w:rStyle w:val="TextoNormalNegritaCaracter"/>
        </w:rPr>
        <w:t>Diligencias judiciales</w:t>
      </w:r>
      <w:bookmarkEnd w:id="1146"/>
      <w:r w:rsidRPr="00AD3C82">
        <w:rPr>
          <w:rStyle w:val="TextoNormalCaracter"/>
        </w:rPr>
        <w:t xml:space="preserve">, Sentencia </w:t>
      </w:r>
      <w:hyperlink w:anchor="SENTENCIA_2016_144" w:history="1">
        <w:r w:rsidRPr="00AD3C82">
          <w:rPr>
            <w:rStyle w:val="TextoNormalCaracter"/>
          </w:rPr>
          <w:t>144/2016</w:t>
        </w:r>
      </w:hyperlink>
      <w:r w:rsidRPr="00AD3C82">
        <w:rPr>
          <w:rStyle w:val="TextoNormalCaracter"/>
        </w:rPr>
        <w:t>, ff. 1, 3, 4.</w:t>
      </w:r>
    </w:p>
    <w:p w:rsidR="00AD3C82" w:rsidRPr="00AD3C82" w:rsidRDefault="00AD3C82" w:rsidP="00AD3C82">
      <w:pPr>
        <w:pStyle w:val="TextoNormalSangraFrancesa"/>
        <w:rPr>
          <w:rStyle w:val="TextoNormalCaracter"/>
        </w:rPr>
      </w:pPr>
      <w:bookmarkStart w:id="1147" w:name="DESCRIPTORALFABETICO666"/>
      <w:r w:rsidRPr="00AD3C82">
        <w:rPr>
          <w:rStyle w:val="TextoNormalNegritaCaracter"/>
        </w:rPr>
        <w:t>Diligencias policiales</w:t>
      </w:r>
      <w:bookmarkEnd w:id="1147"/>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148" w:name="DESCRIPTORALFABETICO394"/>
      <w:r w:rsidRPr="00AD3C82">
        <w:rPr>
          <w:rStyle w:val="TextoNormalNegritaCaracter"/>
        </w:rPr>
        <w:t>Diputaciones provinciales</w:t>
      </w:r>
      <w:bookmarkEnd w:id="1148"/>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 5.</w:t>
      </w:r>
    </w:p>
    <w:p w:rsidR="00AD3C82" w:rsidRPr="00AD3C82" w:rsidRDefault="00AD3C82" w:rsidP="00AD3C82">
      <w:pPr>
        <w:pStyle w:val="TextoNormalSangraFrancesa"/>
        <w:rPr>
          <w:rStyle w:val="TextoNormalCaracter"/>
        </w:rPr>
      </w:pPr>
      <w:bookmarkStart w:id="1149" w:name="DESCRIPTORALFABETICO76"/>
      <w:r w:rsidRPr="00AD3C82">
        <w:rPr>
          <w:rStyle w:val="TextoNormalNegritaCaracter"/>
        </w:rPr>
        <w:t>Dirección de la actividad económica general</w:t>
      </w:r>
      <w:bookmarkEnd w:id="1149"/>
      <w:r w:rsidRPr="00AD3C82">
        <w:rPr>
          <w:rStyle w:val="TextoNormalCaracter"/>
        </w:rPr>
        <w:t xml:space="preserve">, Sentencia </w:t>
      </w:r>
      <w:hyperlink w:anchor="SENTENCIA_2016_171" w:history="1">
        <w:r w:rsidRPr="00AD3C82">
          <w:rPr>
            <w:rStyle w:val="TextoNormalCaracter"/>
          </w:rPr>
          <w:t>171/2016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1150" w:name="DESCRIPTORALFABETICO80"/>
      <w:r w:rsidRPr="00AD3C82">
        <w:rPr>
          <w:rStyle w:val="TextoNormalNegritaCaracter"/>
        </w:rPr>
        <w:t>Dirección y organización unitaria</w:t>
      </w:r>
      <w:bookmarkEnd w:id="1150"/>
      <w:r w:rsidRPr="00AD3C82">
        <w:rPr>
          <w:rStyle w:val="TextoNormalCaracter"/>
        </w:rPr>
        <w:t xml:space="preserve">, Sentencia </w:t>
      </w:r>
      <w:hyperlink w:anchor="SENTENCIA_2016_184" w:history="1">
        <w:r w:rsidRPr="00AD3C82">
          <w:rPr>
            <w:rStyle w:val="TextoNormalCaracter"/>
          </w:rPr>
          <w:t>184/2016</w:t>
        </w:r>
      </w:hyperlink>
      <w:r w:rsidRPr="00AD3C82">
        <w:rPr>
          <w:rStyle w:val="TextoNormalCaracter"/>
        </w:rPr>
        <w:t>, f. 7.</w:t>
      </w:r>
    </w:p>
    <w:p w:rsidR="00AD3C82" w:rsidRPr="00AD3C82" w:rsidRDefault="00AD3C82" w:rsidP="00AD3C82">
      <w:pPr>
        <w:pStyle w:val="TextoNormalSangraFrancesa"/>
        <w:rPr>
          <w:rStyle w:val="TextoNormalCaracter"/>
        </w:rPr>
      </w:pPr>
      <w:bookmarkStart w:id="1151" w:name="DESCRIPTORALFABETICO160"/>
      <w:r w:rsidRPr="00AD3C82">
        <w:rPr>
          <w:rStyle w:val="TextoNormalNegritaCaracter"/>
        </w:rPr>
        <w:t>Discriminación por razón de sexo</w:t>
      </w:r>
      <w:bookmarkEnd w:id="1151"/>
      <w:r w:rsidRPr="00AD3C82">
        <w:rPr>
          <w:rStyle w:val="TextoNormalCaracter"/>
        </w:rPr>
        <w:t xml:space="preserve">, Sentencia </w:t>
      </w:r>
      <w:hyperlink w:anchor="SENTENCIA_2016_162" w:history="1">
        <w:r w:rsidRPr="00AD3C82">
          <w:rPr>
            <w:rStyle w:val="TextoNormalCaracter"/>
          </w:rPr>
          <w:t>162/2016</w:t>
        </w:r>
      </w:hyperlink>
      <w:r w:rsidRPr="00AD3C82">
        <w:rPr>
          <w:rStyle w:val="TextoNormalCaracter"/>
        </w:rPr>
        <w:t>, ff. 1 a 7.</w:t>
      </w:r>
    </w:p>
    <w:p w:rsidR="00AD3C82" w:rsidRPr="00AD3C82" w:rsidRDefault="00AD3C82" w:rsidP="00AD3C82">
      <w:pPr>
        <w:pStyle w:val="TextoNormalSangraFrancesa"/>
        <w:rPr>
          <w:rStyle w:val="TextoNormalCaracter"/>
        </w:rPr>
      </w:pPr>
      <w:bookmarkStart w:id="1152" w:name="DESCRIPTORALFABETICO562"/>
      <w:r w:rsidRPr="00AD3C82">
        <w:rPr>
          <w:rStyle w:val="TextoNormalNegritaCaracter"/>
        </w:rPr>
        <w:t>Dispensación de medicamentos</w:t>
      </w:r>
      <w:bookmarkEnd w:id="1152"/>
      <w:r w:rsidRPr="00AD3C82">
        <w:rPr>
          <w:rStyle w:val="TextoNormalCaracter"/>
        </w:rPr>
        <w:t xml:space="preserve">, Sentencia </w:t>
      </w:r>
      <w:hyperlink w:anchor="SENTENCIA_2016_210" w:history="1">
        <w:r w:rsidRPr="00AD3C82">
          <w:rPr>
            <w:rStyle w:val="TextoNormalCaracter"/>
          </w:rPr>
          <w:t>210/2016</w:t>
        </w:r>
      </w:hyperlink>
      <w:r w:rsidRPr="00AD3C82">
        <w:rPr>
          <w:rStyle w:val="TextoNormalCaracter"/>
        </w:rPr>
        <w:t>, ff. 3 a 5, 8.</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62" w:history="1">
        <w:r w:rsidRPr="00AD3C82">
          <w:rPr>
            <w:rStyle w:val="TextoNormalCaracter"/>
          </w:rPr>
          <w:t>162/2016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153" w:name="DESCRIPTORALFABETICO354"/>
      <w:r w:rsidRPr="00AD3C82">
        <w:rPr>
          <w:rStyle w:val="TextoNormalNegritaCaracter"/>
        </w:rPr>
        <w:t>Doctrina del acto claro</w:t>
      </w:r>
      <w:bookmarkEnd w:id="1153"/>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 6, VP I.</w:t>
      </w:r>
    </w:p>
    <w:p w:rsidR="00AD3C82" w:rsidRPr="00AD3C82" w:rsidRDefault="00AD3C82" w:rsidP="00AD3C82">
      <w:pPr>
        <w:pStyle w:val="TextoNormalSangraFrancesa"/>
        <w:rPr>
          <w:rStyle w:val="TextoNormalCaracter"/>
        </w:rPr>
      </w:pPr>
      <w:bookmarkStart w:id="1154" w:name="DESCRIPTORALFABETICO356"/>
      <w:r w:rsidRPr="00AD3C82">
        <w:rPr>
          <w:rStyle w:val="TextoNormalNegritaCaracter"/>
        </w:rPr>
        <w:t>Doctrina del Tribunal de Justicia de la Unión Europea</w:t>
      </w:r>
      <w:bookmarkEnd w:id="1154"/>
      <w:r w:rsidRPr="00AD3C82">
        <w:rPr>
          <w:rStyle w:val="TextoNormalCaracter"/>
        </w:rPr>
        <w:t xml:space="preserve">, Sentencias </w:t>
      </w:r>
      <w:hyperlink w:anchor="SENTENCIA_2016_148" w:history="1">
        <w:r w:rsidRPr="00AD3C82">
          <w:rPr>
            <w:rStyle w:val="TextoNormalCaracter"/>
          </w:rPr>
          <w:t>148/2016</w:t>
        </w:r>
      </w:hyperlink>
      <w:r w:rsidRPr="00AD3C82">
        <w:rPr>
          <w:rStyle w:val="TextoNormalCaracter"/>
        </w:rPr>
        <w:t xml:space="preserve">, f. 5; </w:t>
      </w:r>
      <w:hyperlink w:anchor="SENTENCIA_2016_206" w:history="1">
        <w:r w:rsidRPr="00AD3C82">
          <w:rPr>
            <w:rStyle w:val="TextoNormalCaracter"/>
          </w:rPr>
          <w:t>206/2016</w:t>
        </w:r>
      </w:hyperlink>
      <w:r w:rsidRPr="00AD3C82">
        <w:rPr>
          <w:rStyle w:val="TextoNormalCaracter"/>
        </w:rPr>
        <w:t xml:space="preserve">, f. 3; </w:t>
      </w:r>
      <w:hyperlink w:anchor="SENTENCIA_2016_207" w:history="1">
        <w:r w:rsidRPr="00AD3C82">
          <w:rPr>
            <w:rStyle w:val="TextoNormalCaracter"/>
          </w:rPr>
          <w:t>207/2016</w:t>
        </w:r>
      </w:hyperlink>
      <w:r w:rsidRPr="00AD3C82">
        <w:rPr>
          <w:rStyle w:val="TextoNormalCaracter"/>
        </w:rPr>
        <w:t xml:space="preserve">, f. 4; </w:t>
      </w:r>
      <w:hyperlink w:anchor="SENTENCIA_2016_208" w:history="1">
        <w:r w:rsidRPr="00AD3C82">
          <w:rPr>
            <w:rStyle w:val="TextoNormalCaracter"/>
          </w:rPr>
          <w:t>208/2016</w:t>
        </w:r>
      </w:hyperlink>
      <w:r w:rsidRPr="00AD3C82">
        <w:rPr>
          <w:rStyle w:val="TextoNormalCaracter"/>
        </w:rPr>
        <w:t xml:space="preserve">, f. 3; </w:t>
      </w:r>
      <w:hyperlink w:anchor="SENTENCIA_2016_209" w:history="1">
        <w:r w:rsidRPr="00AD3C82">
          <w:rPr>
            <w:rStyle w:val="TextoNormalCaracter"/>
          </w:rPr>
          <w:t>209/2016</w:t>
        </w:r>
      </w:hyperlink>
      <w:r w:rsidRPr="00AD3C82">
        <w:rPr>
          <w:rStyle w:val="TextoNormalCaracter"/>
        </w:rPr>
        <w:t xml:space="preserve">, f. 3; </w:t>
      </w:r>
      <w:hyperlink w:anchor="SENTENCIA_2016_218" w:history="1">
        <w:r w:rsidRPr="00AD3C82">
          <w:rPr>
            <w:rStyle w:val="TextoNormalCaracter"/>
          </w:rPr>
          <w:t>218/2016</w:t>
        </w:r>
      </w:hyperlink>
      <w:r w:rsidRPr="00AD3C82">
        <w:rPr>
          <w:rStyle w:val="TextoNormalCaracter"/>
        </w:rPr>
        <w:t xml:space="preserve">, f. 4; </w:t>
      </w:r>
      <w:hyperlink w:anchor="SENTENCIA_2016_221" w:history="1">
        <w:r w:rsidRPr="00AD3C82">
          <w:rPr>
            <w:rStyle w:val="TextoNormalCaracter"/>
          </w:rPr>
          <w:t>221/2016</w:t>
        </w:r>
      </w:hyperlink>
      <w:r w:rsidRPr="00AD3C82">
        <w:rPr>
          <w:rStyle w:val="TextoNormalCaracter"/>
        </w:rPr>
        <w:t xml:space="preserve">, f. 4; </w:t>
      </w:r>
      <w:hyperlink w:anchor="SENTENCIA_2016_223" w:history="1">
        <w:r w:rsidRPr="00AD3C82">
          <w:rPr>
            <w:rStyle w:val="TextoNormalCaracter"/>
          </w:rPr>
          <w:t>223/2016</w:t>
        </w:r>
      </w:hyperlink>
      <w:r w:rsidRPr="00AD3C82">
        <w:rPr>
          <w:rStyle w:val="TextoNormalCaracter"/>
        </w:rPr>
        <w:t>, f. 3.</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68" w:history="1">
        <w:r w:rsidRPr="00AD3C82">
          <w:rPr>
            <w:rStyle w:val="TextoNormalCaracter"/>
          </w:rPr>
          <w:t>168/2016</w:t>
        </w:r>
      </w:hyperlink>
      <w:r w:rsidRPr="00AD3C82">
        <w:rPr>
          <w:rStyle w:val="TextoNormalCaracter"/>
        </w:rPr>
        <w:t xml:space="preserve">, f. 4; </w:t>
      </w:r>
      <w:hyperlink w:anchor="AUTO_2016_202" w:history="1">
        <w:r w:rsidRPr="00AD3C82">
          <w:rPr>
            <w:rStyle w:val="TextoNormalCaracter"/>
          </w:rPr>
          <w:t>202/2016</w:t>
        </w:r>
      </w:hyperlink>
      <w:r w:rsidRPr="00AD3C82">
        <w:rPr>
          <w:rStyle w:val="TextoNormalCaracter"/>
        </w:rPr>
        <w:t xml:space="preserve">, f. 3; </w:t>
      </w:r>
      <w:hyperlink w:anchor="AUTO_2016_203" w:history="1">
        <w:r w:rsidRPr="00AD3C82">
          <w:rPr>
            <w:rStyle w:val="TextoNormalCaracter"/>
          </w:rPr>
          <w:t>203/2016</w:t>
        </w:r>
      </w:hyperlink>
      <w:r w:rsidRPr="00AD3C82">
        <w:rPr>
          <w:rStyle w:val="TextoNormalCaracter"/>
        </w:rPr>
        <w:t xml:space="preserve">, f. 3; </w:t>
      </w:r>
      <w:hyperlink w:anchor="AUTO_2016_204" w:history="1">
        <w:r w:rsidRPr="00AD3C82">
          <w:rPr>
            <w:rStyle w:val="TextoNormalCaracter"/>
          </w:rPr>
          <w:t>204/2016</w:t>
        </w:r>
      </w:hyperlink>
      <w:r w:rsidRPr="00AD3C82">
        <w:rPr>
          <w:rStyle w:val="TextoNormalCaracter"/>
        </w:rPr>
        <w:t xml:space="preserve">, f. 3; </w:t>
      </w:r>
      <w:hyperlink w:anchor="AUTO_2016_205" w:history="1">
        <w:r w:rsidRPr="00AD3C82">
          <w:rPr>
            <w:rStyle w:val="TextoNormalCaracter"/>
          </w:rPr>
          <w:t>205/2016</w:t>
        </w:r>
      </w:hyperlink>
      <w:r w:rsidRPr="00AD3C82">
        <w:rPr>
          <w:rStyle w:val="TextoNormalCaracter"/>
        </w:rPr>
        <w:t>, f. 3.</w:t>
      </w:r>
    </w:p>
    <w:p w:rsidR="00AD3C82" w:rsidRPr="00AD3C82" w:rsidRDefault="00AD3C82" w:rsidP="00AD3C82">
      <w:pPr>
        <w:pStyle w:val="TextoNormalSangraFrancesa"/>
        <w:rPr>
          <w:rStyle w:val="TextoNormalCaracter"/>
        </w:rPr>
      </w:pPr>
      <w:bookmarkStart w:id="1155" w:name="DESCRIPTORALFABETICO486"/>
      <w:r w:rsidRPr="00AD3C82">
        <w:rPr>
          <w:rStyle w:val="TextoNormalNegritaCaracter"/>
        </w:rPr>
        <w:t>Doctrina del Tribunal Europeo de Derechos Humanos</w:t>
      </w:r>
      <w:bookmarkEnd w:id="1155"/>
      <w:r w:rsidRPr="00AD3C82">
        <w:rPr>
          <w:rStyle w:val="TextoNormalCaracter"/>
        </w:rPr>
        <w:t xml:space="preserve">, Sentencias </w:t>
      </w:r>
      <w:hyperlink w:anchor="SENTENCIA_2016_129" w:history="1">
        <w:r w:rsidRPr="00AD3C82">
          <w:rPr>
            <w:rStyle w:val="TextoNormalCaracter"/>
          </w:rPr>
          <w:t>129/2016</w:t>
        </w:r>
      </w:hyperlink>
      <w:r w:rsidRPr="00AD3C82">
        <w:rPr>
          <w:rStyle w:val="TextoNormalCaracter"/>
        </w:rPr>
        <w:t xml:space="preserve">, f. 4; </w:t>
      </w:r>
      <w:hyperlink w:anchor="SENTENCIA_2016_130" w:history="1">
        <w:r w:rsidRPr="00AD3C82">
          <w:rPr>
            <w:rStyle w:val="TextoNormalCaracter"/>
          </w:rPr>
          <w:t>130/2016</w:t>
        </w:r>
      </w:hyperlink>
      <w:r w:rsidRPr="00AD3C82">
        <w:rPr>
          <w:rStyle w:val="TextoNormalCaracter"/>
        </w:rPr>
        <w:t xml:space="preserve">, f. 2; </w:t>
      </w:r>
      <w:hyperlink w:anchor="SENTENCIA_2016_140" w:history="1">
        <w:r w:rsidRPr="00AD3C82">
          <w:rPr>
            <w:rStyle w:val="TextoNormalCaracter"/>
          </w:rPr>
          <w:t>140/2016</w:t>
        </w:r>
      </w:hyperlink>
      <w:r w:rsidRPr="00AD3C82">
        <w:rPr>
          <w:rStyle w:val="TextoNormalCaracter"/>
        </w:rPr>
        <w:t xml:space="preserve">, ff. 5, 6, 10; </w:t>
      </w:r>
      <w:hyperlink w:anchor="SENTENCIA_2016_144" w:history="1">
        <w:r w:rsidRPr="00AD3C82">
          <w:rPr>
            <w:rStyle w:val="TextoNormalCaracter"/>
          </w:rPr>
          <w:t>144/2016</w:t>
        </w:r>
      </w:hyperlink>
      <w:r w:rsidRPr="00AD3C82">
        <w:rPr>
          <w:rStyle w:val="TextoNormalCaracter"/>
        </w:rPr>
        <w:t xml:space="preserve">, ff. 3, 4; </w:t>
      </w:r>
      <w:hyperlink w:anchor="SENTENCIA_2016_172" w:history="1">
        <w:r w:rsidRPr="00AD3C82">
          <w:rPr>
            <w:rStyle w:val="TextoNormalCaracter"/>
          </w:rPr>
          <w:t>172/2016</w:t>
        </w:r>
      </w:hyperlink>
      <w:r w:rsidRPr="00AD3C82">
        <w:rPr>
          <w:rStyle w:val="TextoNormalCaracter"/>
        </w:rPr>
        <w:t>, ff. 7, 8, VP.</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 5, VP I.</w:t>
      </w:r>
    </w:p>
    <w:p w:rsidR="00AD3C82" w:rsidRPr="00AD3C82" w:rsidRDefault="00AD3C82" w:rsidP="00AD3C82">
      <w:pPr>
        <w:pStyle w:val="TextoNormalSangraFrancesa"/>
        <w:rPr>
          <w:rStyle w:val="TextoNormalCaracter"/>
        </w:rPr>
      </w:pPr>
      <w:bookmarkStart w:id="1156" w:name="DESCRIPTORALFABETICO558"/>
      <w:r w:rsidRPr="00AD3C82">
        <w:rPr>
          <w:rStyle w:val="TextoNormalNegritaCaracter"/>
        </w:rPr>
        <w:t>Dolo</w:t>
      </w:r>
      <w:bookmarkEnd w:id="1156"/>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157" w:name="DESCRIPTORALFABETICO168"/>
      <w:r w:rsidRPr="00AD3C82">
        <w:rPr>
          <w:rStyle w:val="TextoNormalNegritaCaracter"/>
        </w:rPr>
        <w:t>Duración desproporcionada del procedimiento</w:t>
      </w:r>
      <w:bookmarkEnd w:id="1157"/>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 4.</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E</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158" w:name="DESCRIPTORALFABETICO279"/>
      <w:r w:rsidRPr="00AD3C82">
        <w:rPr>
          <w:rStyle w:val="TextoNormalNegritaCaracter"/>
        </w:rPr>
        <w:t>Efecto vinculante para el legislador</w:t>
      </w:r>
      <w:bookmarkEnd w:id="1158"/>
      <w:r w:rsidRPr="00AD3C82">
        <w:rPr>
          <w:rStyle w:val="TextoNormalCaracter"/>
        </w:rPr>
        <w:t xml:space="preserve">, Auto </w:t>
      </w:r>
      <w:hyperlink w:anchor="AUTO_2016_141" w:history="1">
        <w:r w:rsidRPr="00AD3C82">
          <w:rPr>
            <w:rStyle w:val="TextoNormalCaracter"/>
          </w:rPr>
          <w:t>141/2016</w:t>
        </w:r>
      </w:hyperlink>
      <w:r w:rsidRPr="00AD3C82">
        <w:rPr>
          <w:rStyle w:val="TextoNormalCaracter"/>
        </w:rPr>
        <w:t>, ff. 2, 6, 7.</w:t>
      </w:r>
    </w:p>
    <w:p w:rsidR="00AD3C82" w:rsidRPr="00AD3C82" w:rsidRDefault="00AD3C82" w:rsidP="00AD3C82">
      <w:pPr>
        <w:pStyle w:val="TextoNormalSangraFrancesa"/>
        <w:rPr>
          <w:rStyle w:val="TextoNormalCaracter"/>
        </w:rPr>
      </w:pPr>
      <w:bookmarkStart w:id="1159" w:name="DESCRIPTORALFABETICO281"/>
      <w:r w:rsidRPr="00AD3C82">
        <w:rPr>
          <w:rStyle w:val="TextoNormalNegritaCaracter"/>
        </w:rPr>
        <w:t>Efectos de la sentencia de amparo</w:t>
      </w:r>
      <w:bookmarkEnd w:id="1159"/>
      <w:r w:rsidRPr="00AD3C82">
        <w:rPr>
          <w:rStyle w:val="TextoNormalCaracter"/>
        </w:rPr>
        <w:t xml:space="preserve">, Sentencia </w:t>
      </w:r>
      <w:hyperlink w:anchor="SENTENCIA_2016_199" w:history="1">
        <w:r w:rsidRPr="00AD3C82">
          <w:rPr>
            <w:rStyle w:val="TextoNormalCaracter"/>
          </w:rPr>
          <w:t>199/2016</w:t>
        </w:r>
      </w:hyperlink>
      <w:r w:rsidRPr="00AD3C82">
        <w:rPr>
          <w:rStyle w:val="TextoNormalCaracter"/>
        </w:rPr>
        <w:t>, f. 5.</w:t>
      </w:r>
    </w:p>
    <w:p w:rsidR="00AD3C82" w:rsidRPr="00AD3C82" w:rsidRDefault="00AD3C82" w:rsidP="00AD3C82">
      <w:pPr>
        <w:pStyle w:val="TextoNormalSangraFrancesa"/>
        <w:rPr>
          <w:rStyle w:val="TextoNormalCaracter"/>
        </w:rPr>
      </w:pPr>
      <w:bookmarkStart w:id="1160" w:name="DESCRIPTORALFABETICO278"/>
      <w:r w:rsidRPr="00AD3C82">
        <w:rPr>
          <w:rStyle w:val="TextoNormalNegritaCaracter"/>
        </w:rPr>
        <w:t>Efectos de las sentencias del Tribunal Constitucional</w:t>
      </w:r>
      <w:bookmarkEnd w:id="1160"/>
      <w:r w:rsidRPr="00AD3C82">
        <w:rPr>
          <w:rStyle w:val="TextoNormalCaracter"/>
        </w:rPr>
        <w:t xml:space="preserve">, Auto </w:t>
      </w:r>
      <w:hyperlink w:anchor="AUTO_2016_141" w:history="1">
        <w:r w:rsidRPr="00AD3C82">
          <w:rPr>
            <w:rStyle w:val="TextoNormalCaracter"/>
          </w:rPr>
          <w:t>141/2016</w:t>
        </w:r>
      </w:hyperlink>
      <w:r w:rsidRPr="00AD3C82">
        <w:rPr>
          <w:rStyle w:val="TextoNormalCaracter"/>
        </w:rPr>
        <w:t>, ff. 2, 6, 7.</w:t>
      </w:r>
    </w:p>
    <w:p w:rsidR="00AD3C82" w:rsidRPr="00AD3C82" w:rsidRDefault="00AD3C82" w:rsidP="00AD3C82">
      <w:pPr>
        <w:pStyle w:val="TextoNormalSangraFrancesa"/>
        <w:rPr>
          <w:rStyle w:val="TextoNormalCaracter"/>
        </w:rPr>
      </w:pPr>
      <w:bookmarkStart w:id="1161" w:name="DESCRIPTORALFABETICO227"/>
      <w:r w:rsidRPr="00AD3C82">
        <w:rPr>
          <w:rStyle w:val="TextoNormalNegritaCaracter"/>
        </w:rPr>
        <w:t>Efectos temporales de la declaración de inconstitucionalidad</w:t>
      </w:r>
      <w:bookmarkEnd w:id="1161"/>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 15; </w:t>
      </w:r>
      <w:hyperlink w:anchor="SENTENCIA_2016_227" w:history="1">
        <w:r w:rsidRPr="00AD3C82">
          <w:rPr>
            <w:rStyle w:val="TextoNormalCaracter"/>
          </w:rPr>
          <w:t>227/2016</w:t>
        </w:r>
      </w:hyperlink>
      <w:r w:rsidRPr="00AD3C82">
        <w:rPr>
          <w:rStyle w:val="TextoNormalCaracter"/>
        </w:rPr>
        <w:t>, f. 6.</w:t>
      </w:r>
    </w:p>
    <w:p w:rsidR="00AD3C82" w:rsidRPr="00AD3C82" w:rsidRDefault="00AD3C82" w:rsidP="00AD3C82">
      <w:pPr>
        <w:pStyle w:val="TextoNormalSangraFrancesa"/>
        <w:rPr>
          <w:rStyle w:val="TextoNormalCaracter"/>
        </w:rPr>
      </w:pPr>
      <w:bookmarkStart w:id="1162" w:name="DESCRIPTORALFABETICO521"/>
      <w:r w:rsidRPr="00AD3C82">
        <w:rPr>
          <w:rStyle w:val="TextoNormalNegritaCaracter"/>
        </w:rPr>
        <w:t>Eficacia de las normas jurídicas</w:t>
      </w:r>
      <w:bookmarkEnd w:id="1162"/>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5 B) a).</w:t>
      </w:r>
    </w:p>
    <w:p w:rsidR="00AD3C82" w:rsidRPr="00AD3C82" w:rsidRDefault="00AD3C82" w:rsidP="00AD3C82">
      <w:pPr>
        <w:pStyle w:val="TextoNormalSangraFrancesa"/>
        <w:rPr>
          <w:rStyle w:val="TextoNormalCaracter"/>
        </w:rPr>
      </w:pPr>
      <w:bookmarkStart w:id="1163" w:name="DESCRIPTORALFABETICO382"/>
      <w:r w:rsidRPr="00AD3C82">
        <w:rPr>
          <w:rStyle w:val="TextoNormalNegritaCaracter"/>
        </w:rPr>
        <w:t>Eficacia de los principios rectores de la política social y económica</w:t>
      </w:r>
      <w:bookmarkEnd w:id="1163"/>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6.</w:t>
      </w:r>
    </w:p>
    <w:p w:rsidR="00AD3C82" w:rsidRPr="00AD3C82" w:rsidRDefault="00AD3C82" w:rsidP="00AD3C82">
      <w:pPr>
        <w:pStyle w:val="TextoNormalSangraFrancesa"/>
        <w:rPr>
          <w:rStyle w:val="TextoNormalCaracter"/>
        </w:rPr>
      </w:pPr>
      <w:bookmarkStart w:id="1164" w:name="DESCRIPTORALFABETICO522"/>
      <w:r w:rsidRPr="00AD3C82">
        <w:rPr>
          <w:rStyle w:val="TextoNormalNegritaCaracter"/>
        </w:rPr>
        <w:t>Eficacia temporal de las normas jurídicas</w:t>
      </w:r>
      <w:bookmarkEnd w:id="1164"/>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3.</w:t>
      </w:r>
    </w:p>
    <w:p w:rsidR="00AD3C82" w:rsidRPr="00AD3C82" w:rsidRDefault="00AD3C82" w:rsidP="00AD3C82">
      <w:pPr>
        <w:pStyle w:val="TextoNormalSangraFrancesa"/>
        <w:rPr>
          <w:rStyle w:val="TextoNormalCaracter"/>
        </w:rPr>
      </w:pPr>
      <w:bookmarkStart w:id="1165" w:name="DESCRIPTORALFABETICO451"/>
      <w:r w:rsidRPr="00AD3C82">
        <w:rPr>
          <w:rStyle w:val="TextoNormalNegritaCaracter"/>
        </w:rPr>
        <w:t>Eficiencia energética</w:t>
      </w:r>
      <w:bookmarkEnd w:id="1165"/>
      <w:r w:rsidRPr="00AD3C82">
        <w:rPr>
          <w:rStyle w:val="TextoNormalCaracter"/>
        </w:rPr>
        <w:t xml:space="preserve">, Sentencias </w:t>
      </w:r>
      <w:hyperlink w:anchor="SENTENCIA_2016_167" w:history="1">
        <w:r w:rsidRPr="00AD3C82">
          <w:rPr>
            <w:rStyle w:val="TextoNormalCaracter"/>
          </w:rPr>
          <w:t>167/2016</w:t>
        </w:r>
      </w:hyperlink>
      <w:r w:rsidRPr="00AD3C82">
        <w:rPr>
          <w:rStyle w:val="TextoNormalCaracter"/>
        </w:rPr>
        <w:t xml:space="preserve">, ff. 1 a 6; </w:t>
      </w:r>
      <w:hyperlink w:anchor="SENTENCIA_2016_171" w:history="1">
        <w:r w:rsidRPr="00AD3C82">
          <w:rPr>
            <w:rStyle w:val="TextoNormalCaracter"/>
          </w:rPr>
          <w:t>171/2016</w:t>
        </w:r>
      </w:hyperlink>
      <w:r w:rsidRPr="00AD3C82">
        <w:rPr>
          <w:rStyle w:val="TextoNormalCaracter"/>
        </w:rPr>
        <w:t xml:space="preserve">, ff. 3 a 6; </w:t>
      </w:r>
      <w:hyperlink w:anchor="SENTENCIA_2016_174" w:history="1">
        <w:r w:rsidRPr="00AD3C82">
          <w:rPr>
            <w:rStyle w:val="TextoNormalCaracter"/>
          </w:rPr>
          <w:t>174/2016</w:t>
        </w:r>
      </w:hyperlink>
      <w:r w:rsidRPr="00AD3C82">
        <w:rPr>
          <w:rStyle w:val="TextoNormalCaracter"/>
        </w:rPr>
        <w:t xml:space="preserve">, ff. 1 a 3; </w:t>
      </w:r>
      <w:hyperlink w:anchor="SENTENCIA_2016_187" w:history="1">
        <w:r w:rsidRPr="00AD3C82">
          <w:rPr>
            <w:rStyle w:val="TextoNormalCaracter"/>
          </w:rPr>
          <w:t>187/2016</w:t>
        </w:r>
      </w:hyperlink>
      <w:r w:rsidRPr="00AD3C82">
        <w:rPr>
          <w:rStyle w:val="TextoNormalCaracter"/>
        </w:rPr>
        <w:t xml:space="preserve">, ff. 1 a 3; </w:t>
      </w:r>
      <w:hyperlink w:anchor="SENTENCIA_2016_188" w:history="1">
        <w:r w:rsidRPr="00AD3C82">
          <w:rPr>
            <w:rStyle w:val="TextoNormalCaracter"/>
          </w:rPr>
          <w:t>188/2016</w:t>
        </w:r>
      </w:hyperlink>
      <w:r w:rsidRPr="00AD3C82">
        <w:rPr>
          <w:rStyle w:val="TextoNormalCaracter"/>
        </w:rPr>
        <w:t xml:space="preserve">, ff. 1 a 3; </w:t>
      </w:r>
      <w:hyperlink w:anchor="SENTENCIA_2016_197" w:history="1">
        <w:r w:rsidRPr="00AD3C82">
          <w:rPr>
            <w:rStyle w:val="TextoNormalCaracter"/>
          </w:rPr>
          <w:t>197/2016</w:t>
        </w:r>
      </w:hyperlink>
      <w:r w:rsidRPr="00AD3C82">
        <w:rPr>
          <w:rStyle w:val="TextoNormalCaracter"/>
        </w:rPr>
        <w:t xml:space="preserve">, ff. 1 a 3; </w:t>
      </w:r>
      <w:hyperlink w:anchor="SENTENCIA_2016_205" w:history="1">
        <w:r w:rsidRPr="00AD3C82">
          <w:rPr>
            <w:rStyle w:val="TextoNormalCaracter"/>
          </w:rPr>
          <w:t>205/2016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166" w:name="DESCRIPTORALFABETICO272"/>
      <w:r w:rsidRPr="00AD3C82">
        <w:rPr>
          <w:rStyle w:val="TextoNormalNegritaCaracter"/>
        </w:rPr>
        <w:t>Ejecución de resoluciones del Tribunal Constitucional</w:t>
      </w:r>
      <w:bookmarkEnd w:id="1166"/>
      <w:r w:rsidRPr="00AD3C82">
        <w:rPr>
          <w:rStyle w:val="TextoNormalCaracter"/>
        </w:rPr>
        <w:t xml:space="preserve">, Sentencias </w:t>
      </w:r>
      <w:hyperlink w:anchor="SENTENCIA_2016_185" w:history="1">
        <w:r w:rsidRPr="00AD3C82">
          <w:rPr>
            <w:rStyle w:val="TextoNormalCaracter"/>
          </w:rPr>
          <w:t>185/2016</w:t>
        </w:r>
      </w:hyperlink>
      <w:r w:rsidRPr="00AD3C82">
        <w:rPr>
          <w:rStyle w:val="TextoNormalCaracter"/>
        </w:rPr>
        <w:t xml:space="preserve">, ff. 1 a 2, 6, 7, 9, 10, 15, 17, VVPP I, II; </w:t>
      </w:r>
      <w:hyperlink w:anchor="SENTENCIA_2016_215" w:history="1">
        <w:r w:rsidRPr="00AD3C82">
          <w:rPr>
            <w:rStyle w:val="TextoNormalCaracter"/>
          </w:rPr>
          <w:t>215/2016</w:t>
        </w:r>
      </w:hyperlink>
      <w:r w:rsidRPr="00AD3C82">
        <w:rPr>
          <w:rStyle w:val="TextoNormalCaracter"/>
        </w:rPr>
        <w:t>, ff. 1 a 14.</w:t>
      </w:r>
    </w:p>
    <w:p w:rsidR="00AD3C82" w:rsidRPr="00AD3C82" w:rsidRDefault="00AD3C82" w:rsidP="00AD3C82">
      <w:pPr>
        <w:pStyle w:val="TextoNormalSangraFrancesa"/>
        <w:rPr>
          <w:rStyle w:val="TextoNormalCaracter"/>
        </w:rPr>
      </w:pPr>
      <w:bookmarkStart w:id="1167" w:name="DESCRIPTORALFABETICO273"/>
      <w:r w:rsidRPr="00AD3C82">
        <w:rPr>
          <w:rStyle w:val="TextoNormalNegritaCaracter"/>
        </w:rPr>
        <w:t>Ejecución de sentencias del Tribunal Constitucional</w:t>
      </w:r>
      <w:bookmarkEnd w:id="1167"/>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ff. 2, 6, 7; </w:t>
      </w:r>
      <w:hyperlink w:anchor="AUTO_2016_170" w:history="1">
        <w:r w:rsidRPr="00AD3C82">
          <w:rPr>
            <w:rStyle w:val="TextoNormalCaracter"/>
          </w:rPr>
          <w:t>170/2016</w:t>
        </w:r>
      </w:hyperlink>
      <w:r w:rsidRPr="00AD3C82">
        <w:rPr>
          <w:rStyle w:val="TextoNormalCaracter"/>
        </w:rPr>
        <w:t>, ff. 2 a 9.</w:t>
      </w:r>
    </w:p>
    <w:p w:rsidR="00AD3C82" w:rsidRPr="00AD3C82" w:rsidRDefault="00AD3C82" w:rsidP="00AD3C82">
      <w:pPr>
        <w:pStyle w:val="TextoNormalSangraFrancesa"/>
        <w:rPr>
          <w:rStyle w:val="TextoNormalCaracter"/>
        </w:rPr>
      </w:pPr>
      <w:bookmarkStart w:id="1168" w:name="DESCRIPTORALFABETICO621"/>
      <w:r w:rsidRPr="00AD3C82">
        <w:rPr>
          <w:rStyle w:val="TextoNormalNegritaCaracter"/>
        </w:rPr>
        <w:t>Ejecución sustitutoria</w:t>
      </w:r>
      <w:bookmarkEnd w:id="1168"/>
      <w:r w:rsidRPr="00AD3C82">
        <w:rPr>
          <w:rStyle w:val="TextoNormalCaracter"/>
        </w:rPr>
        <w:t xml:space="preserve">, Sentencias </w:t>
      </w:r>
      <w:hyperlink w:anchor="SENTENCIA_2016_185" w:history="1">
        <w:r w:rsidRPr="00AD3C82">
          <w:rPr>
            <w:rStyle w:val="TextoNormalCaracter"/>
          </w:rPr>
          <w:t>185/2016</w:t>
        </w:r>
      </w:hyperlink>
      <w:r w:rsidRPr="00AD3C82">
        <w:rPr>
          <w:rStyle w:val="TextoNormalCaracter"/>
        </w:rPr>
        <w:t xml:space="preserve">, ff. 2, 6, 9 a 10, 17, VVPP I, II, III; </w:t>
      </w:r>
      <w:hyperlink w:anchor="SENTENCIA_2016_215" w:history="1">
        <w:r w:rsidRPr="00AD3C82">
          <w:rPr>
            <w:rStyle w:val="TextoNormalCaracter"/>
          </w:rPr>
          <w:t>215/2016</w:t>
        </w:r>
      </w:hyperlink>
      <w:r w:rsidRPr="00AD3C82">
        <w:rPr>
          <w:rStyle w:val="TextoNormalCaracter"/>
        </w:rPr>
        <w:t>, ff. 1, 11, 12.</w:t>
      </w:r>
    </w:p>
    <w:p w:rsidR="00AD3C82" w:rsidRPr="00AD3C82" w:rsidRDefault="00AD3C82" w:rsidP="00AD3C82">
      <w:pPr>
        <w:pStyle w:val="TextoNormalSangraFrancesa"/>
        <w:rPr>
          <w:rStyle w:val="TextoNormalCaracter"/>
        </w:rPr>
      </w:pPr>
      <w:bookmarkStart w:id="1169" w:name="DESCRIPTORALFABETICO88"/>
      <w:r w:rsidRPr="00AD3C82">
        <w:rPr>
          <w:rStyle w:val="TextoNormalNegritaCaracter"/>
        </w:rPr>
        <w:t>Elementos del tributo</w:t>
      </w:r>
      <w:bookmarkEnd w:id="1169"/>
      <w:r w:rsidRPr="00AD3C82">
        <w:rPr>
          <w:rStyle w:val="TextoNormalCaracter"/>
        </w:rPr>
        <w:t xml:space="preserve">, Autos </w:t>
      </w:r>
      <w:hyperlink w:anchor="AUTO_2016_183" w:history="1">
        <w:r w:rsidRPr="00AD3C82">
          <w:rPr>
            <w:rStyle w:val="TextoNormalCaracter"/>
          </w:rPr>
          <w:t>183/2016</w:t>
        </w:r>
      </w:hyperlink>
      <w:r w:rsidRPr="00AD3C82">
        <w:rPr>
          <w:rStyle w:val="TextoNormalCaracter"/>
        </w:rPr>
        <w:t xml:space="preserve">, ff. 4 a 6; </w:t>
      </w:r>
      <w:hyperlink w:anchor="AUTO_2016_185" w:history="1">
        <w:r w:rsidRPr="00AD3C82">
          <w:rPr>
            <w:rStyle w:val="TextoNormalCaracter"/>
          </w:rPr>
          <w:t>185/2016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170" w:name="DESCRIPTORALFABETICO602"/>
      <w:r w:rsidRPr="00AD3C82">
        <w:rPr>
          <w:rStyle w:val="TextoNormalNegritaCaracter"/>
        </w:rPr>
        <w:t>Emplazamiento edictal sin agotar los medios de comunicación efectiva</w:t>
      </w:r>
      <w:bookmarkEnd w:id="1170"/>
      <w:r w:rsidRPr="00AD3C82">
        <w:rPr>
          <w:rStyle w:val="TextoNormalCaracter"/>
        </w:rPr>
        <w:t xml:space="preserve">, Sentencias </w:t>
      </w:r>
      <w:hyperlink w:anchor="SENTENCIA_2016_150" w:history="1">
        <w:r w:rsidRPr="00AD3C82">
          <w:rPr>
            <w:rStyle w:val="TextoNormalCaracter"/>
          </w:rPr>
          <w:t>150/2016</w:t>
        </w:r>
      </w:hyperlink>
      <w:r w:rsidRPr="00AD3C82">
        <w:rPr>
          <w:rStyle w:val="TextoNormalCaracter"/>
        </w:rPr>
        <w:t xml:space="preserve">, ff. 2 a 3; </w:t>
      </w:r>
      <w:hyperlink w:anchor="SENTENCIA_2016_151" w:history="1">
        <w:r w:rsidRPr="00AD3C82">
          <w:rPr>
            <w:rStyle w:val="TextoNormalCaracter"/>
          </w:rPr>
          <w:t>151/2016</w:t>
        </w:r>
      </w:hyperlink>
      <w:r w:rsidRPr="00AD3C82">
        <w:rPr>
          <w:rStyle w:val="TextoNormalCaracter"/>
        </w:rPr>
        <w:t xml:space="preserve">, ff. 2 a 3; </w:t>
      </w:r>
      <w:hyperlink w:anchor="SENTENCIA_2016_200" w:history="1">
        <w:r w:rsidRPr="00AD3C82">
          <w:rPr>
            <w:rStyle w:val="TextoNormalCaracter"/>
          </w:rPr>
          <w:t>200/2016</w:t>
        </w:r>
      </w:hyperlink>
      <w:r w:rsidRPr="00AD3C82">
        <w:rPr>
          <w:rStyle w:val="TextoNormalCaracter"/>
        </w:rPr>
        <w:t>, ff. 4, 5, 6..</w:t>
      </w:r>
    </w:p>
    <w:p w:rsidR="00AD3C82" w:rsidRPr="00AD3C82" w:rsidRDefault="00AD3C82" w:rsidP="00AD3C82">
      <w:pPr>
        <w:pStyle w:val="TextoNormalSangraFrancesa"/>
        <w:rPr>
          <w:rStyle w:val="TextoNormalCaracter"/>
        </w:rPr>
      </w:pPr>
      <w:bookmarkStart w:id="1171" w:name="DESCRIPTORALFABETICO406"/>
      <w:r w:rsidRPr="00AD3C82">
        <w:rPr>
          <w:rStyle w:val="TextoNormalNegritaCaracter"/>
        </w:rPr>
        <w:t>Empleados públicos</w:t>
      </w:r>
      <w:bookmarkEnd w:id="1171"/>
      <w:r w:rsidRPr="00AD3C82">
        <w:rPr>
          <w:rStyle w:val="TextoNormalCaracter"/>
        </w:rPr>
        <w:t xml:space="preserve">, Sentencias </w:t>
      </w:r>
      <w:hyperlink w:anchor="SENTENCIA_2016_134" w:history="1">
        <w:r w:rsidRPr="00AD3C82">
          <w:rPr>
            <w:rStyle w:val="TextoNormalCaracter"/>
          </w:rPr>
          <w:t>134/2016</w:t>
        </w:r>
      </w:hyperlink>
      <w:r w:rsidRPr="00AD3C82">
        <w:rPr>
          <w:rStyle w:val="TextoNormalCaracter"/>
        </w:rPr>
        <w:t xml:space="preserve">, ff. 1, 3; </w:t>
      </w:r>
      <w:hyperlink w:anchor="SENTENCIA_2016_145" w:history="1">
        <w:r w:rsidRPr="00AD3C82">
          <w:rPr>
            <w:rStyle w:val="TextoNormalCaracter"/>
          </w:rPr>
          <w:t>145/2016</w:t>
        </w:r>
      </w:hyperlink>
      <w:r w:rsidRPr="00AD3C82">
        <w:rPr>
          <w:rStyle w:val="TextoNormalCaracter"/>
        </w:rPr>
        <w:t xml:space="preserve">, f. 1; </w:t>
      </w:r>
      <w:hyperlink w:anchor="SENTENCIA_2016_160" w:history="1">
        <w:r w:rsidRPr="00AD3C82">
          <w:rPr>
            <w:rStyle w:val="TextoNormalCaracter"/>
          </w:rPr>
          <w:t>160/2016</w:t>
        </w:r>
      </w:hyperlink>
      <w:r w:rsidRPr="00AD3C82">
        <w:rPr>
          <w:rStyle w:val="TextoNormalCaracter"/>
        </w:rPr>
        <w:t>, f. 1.</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1.</w:t>
      </w:r>
    </w:p>
    <w:p w:rsidR="00AD3C82" w:rsidRPr="00AD3C82" w:rsidRDefault="00AD3C82" w:rsidP="00AD3C82">
      <w:pPr>
        <w:pStyle w:val="TextoNormalSangraFrancesa"/>
        <w:rPr>
          <w:rStyle w:val="TextoNormalCaracter"/>
        </w:rPr>
      </w:pPr>
      <w:bookmarkStart w:id="1172" w:name="DESCRIPTORALFABETICO448"/>
      <w:r w:rsidRPr="00AD3C82">
        <w:rPr>
          <w:rStyle w:val="TextoNormalNegritaCaracter"/>
        </w:rPr>
        <w:t>Empresas eléctricas</w:t>
      </w:r>
      <w:bookmarkEnd w:id="1172"/>
      <w:r w:rsidRPr="00AD3C82">
        <w:rPr>
          <w:rStyle w:val="TextoNormalCaracter"/>
        </w:rPr>
        <w:t xml:space="preserve">, Sentencias </w:t>
      </w:r>
      <w:hyperlink w:anchor="SENTENCIA_2016_167" w:history="1">
        <w:r w:rsidRPr="00AD3C82">
          <w:rPr>
            <w:rStyle w:val="TextoNormalCaracter"/>
          </w:rPr>
          <w:t>167/2016</w:t>
        </w:r>
      </w:hyperlink>
      <w:r w:rsidRPr="00AD3C82">
        <w:rPr>
          <w:rStyle w:val="TextoNormalCaracter"/>
        </w:rPr>
        <w:t xml:space="preserve">, ff. 1 a 4, 6, 7; </w:t>
      </w:r>
      <w:hyperlink w:anchor="SENTENCIA_2016_174" w:history="1">
        <w:r w:rsidRPr="00AD3C82">
          <w:rPr>
            <w:rStyle w:val="TextoNormalCaracter"/>
          </w:rPr>
          <w:t>174/2016</w:t>
        </w:r>
      </w:hyperlink>
      <w:r w:rsidRPr="00AD3C82">
        <w:rPr>
          <w:rStyle w:val="TextoNormalCaracter"/>
        </w:rPr>
        <w:t xml:space="preserve">, ff. 1 a 3; </w:t>
      </w:r>
      <w:hyperlink w:anchor="SENTENCIA_2016_187" w:history="1">
        <w:r w:rsidRPr="00AD3C82">
          <w:rPr>
            <w:rStyle w:val="TextoNormalCaracter"/>
          </w:rPr>
          <w:t>187/2016</w:t>
        </w:r>
      </w:hyperlink>
      <w:r w:rsidRPr="00AD3C82">
        <w:rPr>
          <w:rStyle w:val="TextoNormalCaracter"/>
        </w:rPr>
        <w:t xml:space="preserve">, ff. 1 a 3; </w:t>
      </w:r>
      <w:hyperlink w:anchor="SENTENCIA_2016_188" w:history="1">
        <w:r w:rsidRPr="00AD3C82">
          <w:rPr>
            <w:rStyle w:val="TextoNormalCaracter"/>
          </w:rPr>
          <w:t>188/2016</w:t>
        </w:r>
      </w:hyperlink>
      <w:r w:rsidRPr="00AD3C82">
        <w:rPr>
          <w:rStyle w:val="TextoNormalCaracter"/>
        </w:rPr>
        <w:t xml:space="preserve">, ff. 1 a 3; </w:t>
      </w:r>
      <w:hyperlink w:anchor="SENTENCIA_2016_196" w:history="1">
        <w:r w:rsidRPr="00AD3C82">
          <w:rPr>
            <w:rStyle w:val="TextoNormalCaracter"/>
          </w:rPr>
          <w:t>196/2016</w:t>
        </w:r>
      </w:hyperlink>
      <w:r w:rsidRPr="00AD3C82">
        <w:rPr>
          <w:rStyle w:val="TextoNormalCaracter"/>
        </w:rPr>
        <w:t xml:space="preserve">, f. 4; </w:t>
      </w:r>
      <w:hyperlink w:anchor="SENTENCIA_2016_197" w:history="1">
        <w:r w:rsidRPr="00AD3C82">
          <w:rPr>
            <w:rStyle w:val="TextoNormalCaracter"/>
          </w:rPr>
          <w:t>197/2016</w:t>
        </w:r>
      </w:hyperlink>
      <w:r w:rsidRPr="00AD3C82">
        <w:rPr>
          <w:rStyle w:val="TextoNormalCaracter"/>
        </w:rPr>
        <w:t xml:space="preserve">, ff. 1 a 3; </w:t>
      </w:r>
      <w:hyperlink w:anchor="SENTENCIA_2016_198" w:history="1">
        <w:r w:rsidRPr="00AD3C82">
          <w:rPr>
            <w:rStyle w:val="TextoNormalCaracter"/>
          </w:rPr>
          <w:t>198/2016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173" w:name="DESCRIPTORALFABETICO449"/>
      <w:r w:rsidRPr="00AD3C82">
        <w:rPr>
          <w:rStyle w:val="TextoNormalNegritaCaracter"/>
        </w:rPr>
        <w:t>Energía</w:t>
      </w:r>
      <w:bookmarkEnd w:id="1173"/>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10.</w:t>
      </w:r>
    </w:p>
    <w:p w:rsidR="00AD3C82" w:rsidRPr="00AD3C82" w:rsidRDefault="00AD3C82" w:rsidP="00AD3C82">
      <w:pPr>
        <w:pStyle w:val="TextoNormalSangraFrancesa"/>
        <w:rPr>
          <w:rStyle w:val="TextoNormalCaracter"/>
        </w:rPr>
      </w:pPr>
      <w:bookmarkStart w:id="1174" w:name="DESCRIPTORALFABETICO457"/>
      <w:r w:rsidRPr="00AD3C82">
        <w:rPr>
          <w:rStyle w:val="TextoNormalNegritaCaracter"/>
        </w:rPr>
        <w:t>Energía solar</w:t>
      </w:r>
      <w:bookmarkEnd w:id="1174"/>
      <w:r w:rsidRPr="00AD3C82">
        <w:rPr>
          <w:rStyle w:val="TextoNormalCaracter"/>
        </w:rPr>
        <w:t xml:space="preserve">, Sentencia </w:t>
      </w:r>
      <w:hyperlink w:anchor="SENTENCIA_2016_205" w:history="1">
        <w:r w:rsidRPr="00AD3C82">
          <w:rPr>
            <w:rStyle w:val="TextoNormalCaracter"/>
          </w:rPr>
          <w:t>205/2016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175" w:name="DESCRIPTORALFABETICO458"/>
      <w:r w:rsidRPr="00AD3C82">
        <w:rPr>
          <w:rStyle w:val="TextoNormalNegritaCaracter"/>
        </w:rPr>
        <w:t>Energías renovables</w:t>
      </w:r>
      <w:bookmarkEnd w:id="1175"/>
      <w:r w:rsidRPr="00AD3C82">
        <w:rPr>
          <w:rStyle w:val="TextoNormalCaracter"/>
        </w:rPr>
        <w:t xml:space="preserve">, Sentencias </w:t>
      </w:r>
      <w:hyperlink w:anchor="SENTENCIA_2016_167" w:history="1">
        <w:r w:rsidRPr="00AD3C82">
          <w:rPr>
            <w:rStyle w:val="TextoNormalCaracter"/>
          </w:rPr>
          <w:t>167/2016</w:t>
        </w:r>
      </w:hyperlink>
      <w:r w:rsidRPr="00AD3C82">
        <w:rPr>
          <w:rStyle w:val="TextoNormalCaracter"/>
        </w:rPr>
        <w:t xml:space="preserve">, ff. 3, 6; </w:t>
      </w:r>
      <w:hyperlink w:anchor="SENTENCIA_2016_205" w:history="1">
        <w:r w:rsidRPr="00AD3C82">
          <w:rPr>
            <w:rStyle w:val="TextoNormalCaracter"/>
          </w:rPr>
          <w:t>205/2016</w:t>
        </w:r>
      </w:hyperlink>
      <w:r w:rsidRPr="00AD3C82">
        <w:rPr>
          <w:rStyle w:val="TextoNormalCaracter"/>
        </w:rPr>
        <w:t>, ff. 1; 4.</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83" w:history="1">
        <w:r w:rsidRPr="00AD3C82">
          <w:rPr>
            <w:rStyle w:val="TextoNormalCaracter"/>
          </w:rPr>
          <w:t>183/2016</w:t>
        </w:r>
      </w:hyperlink>
      <w:r w:rsidRPr="00AD3C82">
        <w:rPr>
          <w:rStyle w:val="TextoNormalCaracter"/>
        </w:rPr>
        <w:t xml:space="preserve">, ff. 1 a 7; </w:t>
      </w:r>
      <w:hyperlink w:anchor="AUTO_2016_185" w:history="1">
        <w:r w:rsidRPr="00AD3C82">
          <w:rPr>
            <w:rStyle w:val="TextoNormalCaracter"/>
          </w:rPr>
          <w:t>185/2016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176" w:name="DESCRIPTORALFABETICO391"/>
      <w:r w:rsidRPr="00AD3C82">
        <w:rPr>
          <w:rStyle w:val="TextoNormalNegritaCaracter"/>
        </w:rPr>
        <w:t>Entes locales</w:t>
      </w:r>
      <w:bookmarkEnd w:id="1176"/>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ff. 2 a 5.</w:t>
      </w:r>
    </w:p>
    <w:p w:rsidR="00AD3C82" w:rsidRPr="00AD3C82" w:rsidRDefault="00AD3C82" w:rsidP="00AD3C82">
      <w:pPr>
        <w:pStyle w:val="TextoNormalSangraFrancesa"/>
        <w:rPr>
          <w:rStyle w:val="TextoNormalCaracter"/>
        </w:rPr>
      </w:pPr>
      <w:bookmarkStart w:id="1177" w:name="DESCRIPTORALFABETICO393"/>
      <w:r w:rsidRPr="00AD3C82">
        <w:rPr>
          <w:rStyle w:val="TextoNormalNegritaCaracter"/>
        </w:rPr>
        <w:t>Entidades locales menores</w:t>
      </w:r>
      <w:bookmarkEnd w:id="1177"/>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 3 b).</w:t>
      </w:r>
    </w:p>
    <w:p w:rsidR="00AD3C82" w:rsidRPr="00AD3C82" w:rsidRDefault="00AD3C82" w:rsidP="00AD3C82">
      <w:pPr>
        <w:pStyle w:val="TextoNormalSangraFrancesa"/>
        <w:rPr>
          <w:rStyle w:val="TextoNormalCaracter"/>
        </w:rPr>
      </w:pPr>
      <w:bookmarkStart w:id="1178" w:name="DESCRIPTORALFABETICO70"/>
      <w:r w:rsidRPr="00AD3C82">
        <w:rPr>
          <w:rStyle w:val="TextoNormalNegritaCaracter"/>
        </w:rPr>
        <w:t>Equilibrio económico</w:t>
      </w:r>
      <w:bookmarkEnd w:id="1178"/>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179" w:name="DESCRIPTORALFABETICO622"/>
      <w:r w:rsidRPr="00AD3C82">
        <w:rPr>
          <w:rStyle w:val="TextoNormalNegritaCaracter"/>
        </w:rPr>
        <w:t>Error de hecho</w:t>
      </w:r>
      <w:bookmarkEnd w:id="1179"/>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5 c), 8.</w:t>
      </w:r>
    </w:p>
    <w:p w:rsidR="00AD3C82" w:rsidRPr="00AD3C82" w:rsidRDefault="00AD3C82" w:rsidP="00AD3C82">
      <w:pPr>
        <w:pStyle w:val="TextoNormalSangraFrancesa"/>
        <w:rPr>
          <w:rStyle w:val="TextoNormalCaracter"/>
        </w:rPr>
      </w:pPr>
      <w:bookmarkStart w:id="1180" w:name="DESCRIPTORALFABETICO146"/>
      <w:r w:rsidRPr="00AD3C82">
        <w:rPr>
          <w:rStyle w:val="TextoNormalNegritaCaracter"/>
        </w:rPr>
        <w:t>Error patente</w:t>
      </w:r>
      <w:bookmarkEnd w:id="1180"/>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4, 5 c), 7, 8.</w:t>
      </w:r>
    </w:p>
    <w:p w:rsidR="00AD3C82" w:rsidRPr="00AD3C82" w:rsidRDefault="00AD3C82" w:rsidP="00AD3C82">
      <w:pPr>
        <w:pStyle w:val="TextoNormalSangraFrancesa"/>
        <w:rPr>
          <w:rStyle w:val="TextoNormalCaracter"/>
        </w:rPr>
      </w:pPr>
      <w:bookmarkStart w:id="1181" w:name="DESCRIPTORALFABETICO147"/>
      <w:r w:rsidRPr="00AD3C82">
        <w:rPr>
          <w:rStyle w:val="TextoNormalNegritaCaracter"/>
        </w:rPr>
        <w:t>Error patente inexistente</w:t>
      </w:r>
      <w:bookmarkEnd w:id="1181"/>
      <w:r w:rsidRPr="00AD3C82">
        <w:rPr>
          <w:rStyle w:val="TextoNormalCaracter"/>
        </w:rPr>
        <w:t xml:space="preserve">, Sentencia </w:t>
      </w:r>
      <w:hyperlink w:anchor="SENTENCIA_2016_198" w:history="1">
        <w:r w:rsidRPr="00AD3C82">
          <w:rPr>
            <w:rStyle w:val="TextoNormalCaracter"/>
          </w:rPr>
          <w:t>198/2016</w:t>
        </w:r>
      </w:hyperlink>
      <w:r w:rsidRPr="00AD3C82">
        <w:rPr>
          <w:rStyle w:val="TextoNormalCaracter"/>
        </w:rPr>
        <w:t>, f. 5.</w:t>
      </w:r>
    </w:p>
    <w:p w:rsidR="00AD3C82" w:rsidRPr="00AD3C82" w:rsidRDefault="00AD3C82" w:rsidP="00AD3C82">
      <w:pPr>
        <w:pStyle w:val="TextoNormalSangraFrancesa"/>
        <w:rPr>
          <w:rStyle w:val="TextoNormalCaracter"/>
        </w:rPr>
      </w:pPr>
      <w:bookmarkStart w:id="1182" w:name="DESCRIPTORALFABETICO256"/>
      <w:r w:rsidRPr="00AD3C82">
        <w:rPr>
          <w:rStyle w:val="TextoNormalNegritaCaracter"/>
        </w:rPr>
        <w:t>Especial trascendencia constitucional</w:t>
      </w:r>
      <w:bookmarkEnd w:id="1182"/>
      <w:r w:rsidRPr="00AD3C82">
        <w:rPr>
          <w:rStyle w:val="TextoNormalCaracter"/>
        </w:rPr>
        <w:t xml:space="preserve">, Sentencias </w:t>
      </w:r>
      <w:hyperlink w:anchor="SENTENCIA_2016_129" w:history="1">
        <w:r w:rsidRPr="00AD3C82">
          <w:rPr>
            <w:rStyle w:val="TextoNormalCaracter"/>
          </w:rPr>
          <w:t>129/2016</w:t>
        </w:r>
      </w:hyperlink>
      <w:r w:rsidRPr="00AD3C82">
        <w:rPr>
          <w:rStyle w:val="TextoNormalCaracter"/>
        </w:rPr>
        <w:t xml:space="preserve">, ff. 2, 3; </w:t>
      </w:r>
      <w:hyperlink w:anchor="SENTENCIA_2016_162" w:history="1">
        <w:r w:rsidRPr="00AD3C82">
          <w:rPr>
            <w:rStyle w:val="TextoNormalCaracter"/>
          </w:rPr>
          <w:t>162/2016</w:t>
        </w:r>
      </w:hyperlink>
      <w:r w:rsidRPr="00AD3C82">
        <w:rPr>
          <w:rStyle w:val="TextoNormalCaracter"/>
        </w:rPr>
        <w:t>, f. 2.</w:t>
      </w:r>
    </w:p>
    <w:p w:rsidR="00AD3C82" w:rsidRPr="00AD3C82" w:rsidRDefault="00AD3C82" w:rsidP="00AD3C82">
      <w:pPr>
        <w:pStyle w:val="TextoNormalSangraFrancesa"/>
        <w:rPr>
          <w:rStyle w:val="TextoNormalCaracter"/>
        </w:rPr>
      </w:pPr>
      <w:bookmarkStart w:id="1183" w:name="DESCRIPTORALFABETICO425"/>
      <w:r w:rsidRPr="00AD3C82">
        <w:rPr>
          <w:rStyle w:val="TextoNormalNegritaCaracter"/>
        </w:rPr>
        <w:t>Establecimientos comerciales</w:t>
      </w:r>
      <w:bookmarkEnd w:id="1183"/>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3.</w:t>
      </w:r>
    </w:p>
    <w:p w:rsidR="00AD3C82" w:rsidRPr="00AD3C82" w:rsidRDefault="00AD3C82" w:rsidP="00AD3C82">
      <w:pPr>
        <w:pStyle w:val="TextoNormalSangraFrancesa"/>
        <w:rPr>
          <w:rStyle w:val="TextoNormalCaracter"/>
        </w:rPr>
      </w:pPr>
      <w:bookmarkStart w:id="1184" w:name="DESCRIPTORALFABETICO350"/>
      <w:r w:rsidRPr="00AD3C82">
        <w:rPr>
          <w:rStyle w:val="TextoNormalNegritaCaracter"/>
        </w:rPr>
        <w:t>Estatuto del personal de las Cortes Generales</w:t>
      </w:r>
      <w:bookmarkEnd w:id="1184"/>
      <w:r w:rsidRPr="00AD3C82">
        <w:rPr>
          <w:rStyle w:val="TextoNormalCaracter"/>
        </w:rPr>
        <w:t xml:space="preserve">, Auto </w:t>
      </w:r>
      <w:hyperlink w:anchor="AUTO_2016_200" w:history="1">
        <w:r w:rsidRPr="00AD3C82">
          <w:rPr>
            <w:rStyle w:val="TextoNormalCaracter"/>
          </w:rPr>
          <w:t>200/2016</w:t>
        </w:r>
      </w:hyperlink>
      <w:r w:rsidRPr="00AD3C82">
        <w:rPr>
          <w:rStyle w:val="TextoNormalCaracter"/>
        </w:rPr>
        <w:t>, f. 1.</w:t>
      </w:r>
    </w:p>
    <w:p w:rsidR="00AD3C82" w:rsidRPr="00AD3C82" w:rsidRDefault="00AD3C82" w:rsidP="00AD3C82">
      <w:pPr>
        <w:pStyle w:val="TextoNormalSangraFrancesa"/>
        <w:rPr>
          <w:rStyle w:val="TextoNormalCaracter"/>
        </w:rPr>
      </w:pPr>
      <w:bookmarkStart w:id="1185" w:name="DESCRIPTORALFABETICO311"/>
      <w:r w:rsidRPr="00AD3C82">
        <w:rPr>
          <w:rStyle w:val="TextoNormalNegritaCaracter"/>
        </w:rPr>
        <w:t>Estatuto jurídico de jueces y magistrados</w:t>
      </w:r>
      <w:bookmarkEnd w:id="1185"/>
      <w:r w:rsidRPr="00AD3C82">
        <w:rPr>
          <w:rStyle w:val="TextoNormalCaracter"/>
        </w:rPr>
        <w:t xml:space="preserve">, Sentencia </w:t>
      </w:r>
      <w:hyperlink w:anchor="SENTENCIA_2016_162" w:history="1">
        <w:r w:rsidRPr="00AD3C82">
          <w:rPr>
            <w:rStyle w:val="TextoNormalCaracter"/>
          </w:rPr>
          <w:t>162/2016</w:t>
        </w:r>
      </w:hyperlink>
      <w:r w:rsidRPr="00AD3C82">
        <w:rPr>
          <w:rStyle w:val="TextoNormalCaracter"/>
        </w:rPr>
        <w:t>, ff. 2, 5.</w:t>
      </w:r>
    </w:p>
    <w:p w:rsidR="00AD3C82" w:rsidRPr="00AD3C82" w:rsidRDefault="00AD3C82" w:rsidP="00AD3C82">
      <w:pPr>
        <w:pStyle w:val="TextoNormalSangraFrancesa"/>
        <w:rPr>
          <w:rStyle w:val="TextoNormalCaracter"/>
        </w:rPr>
      </w:pPr>
      <w:bookmarkStart w:id="1186" w:name="DESCRIPTORALFABETICO293"/>
      <w:r w:rsidRPr="00AD3C82">
        <w:rPr>
          <w:rStyle w:val="TextoNormalNegritaCaracter"/>
        </w:rPr>
        <w:t>Estatutos de partidos políticos</w:t>
      </w:r>
      <w:bookmarkEnd w:id="1186"/>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ff. 4, 6 a 9.</w:t>
      </w:r>
    </w:p>
    <w:p w:rsidR="00AD3C82" w:rsidRPr="00AD3C82" w:rsidRDefault="00AD3C82" w:rsidP="00AD3C82">
      <w:pPr>
        <w:pStyle w:val="TextoNormalSangraFrancesa"/>
        <w:rPr>
          <w:rStyle w:val="TextoNormalCaracter"/>
        </w:rPr>
      </w:pPr>
      <w:bookmarkStart w:id="1187" w:name="DESCRIPTORALFABETICO274"/>
      <w:r w:rsidRPr="00AD3C82">
        <w:rPr>
          <w:rStyle w:val="TextoNormalNegritaCaracter"/>
        </w:rPr>
        <w:t>Estimación de incidente de ejecución de sentencias del Tribunal Constitucional</w:t>
      </w:r>
      <w:bookmarkEnd w:id="1187"/>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ff. 6, 7; </w:t>
      </w:r>
      <w:hyperlink w:anchor="AUTO_2016_170" w:history="1">
        <w:r w:rsidRPr="00AD3C82">
          <w:rPr>
            <w:rStyle w:val="TextoNormalCaracter"/>
          </w:rPr>
          <w:t>170/2016</w:t>
        </w:r>
      </w:hyperlink>
      <w:r w:rsidRPr="00AD3C82">
        <w:rPr>
          <w:rStyle w:val="TextoNormalCaracter"/>
        </w:rPr>
        <w:t>, ff. 5 a 7, 9.</w:t>
      </w:r>
    </w:p>
    <w:p w:rsidR="00AD3C82" w:rsidRPr="00AD3C82" w:rsidRDefault="00AD3C82" w:rsidP="00AD3C82">
      <w:pPr>
        <w:pStyle w:val="TextoNormalSangraFrancesa"/>
        <w:rPr>
          <w:rStyle w:val="TextoNormalCaracter"/>
        </w:rPr>
      </w:pPr>
      <w:bookmarkStart w:id="1188" w:name="DESCRIPTORALFABETICO209"/>
      <w:r w:rsidRPr="00AD3C82">
        <w:rPr>
          <w:rStyle w:val="TextoNormalNegritaCaracter"/>
        </w:rPr>
        <w:t>Estimación de recurso de súplica contra providencias de inadmisión del Tribunal Constitucional</w:t>
      </w:r>
      <w:bookmarkEnd w:id="1188"/>
      <w:r w:rsidRPr="00AD3C82">
        <w:rPr>
          <w:rStyle w:val="TextoNormalCaracter"/>
        </w:rPr>
        <w:t xml:space="preserve">, Autos </w:t>
      </w:r>
      <w:hyperlink w:anchor="AUTO_2016_164" w:history="1">
        <w:r w:rsidRPr="00AD3C82">
          <w:rPr>
            <w:rStyle w:val="TextoNormalCaracter"/>
          </w:rPr>
          <w:t>164/2016</w:t>
        </w:r>
      </w:hyperlink>
      <w:r w:rsidRPr="00AD3C82">
        <w:rPr>
          <w:rStyle w:val="TextoNormalCaracter"/>
        </w:rPr>
        <w:t xml:space="preserve">, f. único; </w:t>
      </w:r>
      <w:hyperlink w:anchor="AUTO_2016_192" w:history="1">
        <w:r w:rsidRPr="00AD3C82">
          <w:rPr>
            <w:rStyle w:val="TextoNormalCaracter"/>
          </w:rPr>
          <w:t>192/2016</w:t>
        </w:r>
      </w:hyperlink>
      <w:r w:rsidRPr="00AD3C82">
        <w:rPr>
          <w:rStyle w:val="TextoNormalCaracter"/>
        </w:rPr>
        <w:t xml:space="preserve">, f. único; </w:t>
      </w:r>
      <w:hyperlink w:anchor="AUTO_2016_199" w:history="1">
        <w:r w:rsidRPr="00AD3C82">
          <w:rPr>
            <w:rStyle w:val="TextoNormalCaracter"/>
          </w:rPr>
          <w:t>199/2016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1189" w:name="DESCRIPTORALFABETICO474"/>
      <w:r w:rsidRPr="00AD3C82">
        <w:rPr>
          <w:rStyle w:val="TextoNormalNegritaCaracter"/>
        </w:rPr>
        <w:t>Evaluación de impacto ambiental</w:t>
      </w:r>
      <w:bookmarkEnd w:id="1189"/>
      <w:r w:rsidRPr="00AD3C82">
        <w:rPr>
          <w:rStyle w:val="TextoNormalCaracter"/>
        </w:rPr>
        <w:t xml:space="preserve">, Sentencia </w:t>
      </w:r>
      <w:hyperlink w:anchor="SENTENCIA_2016_165" w:history="1">
        <w:r w:rsidRPr="00AD3C82">
          <w:rPr>
            <w:rStyle w:val="TextoNormalCaracter"/>
          </w:rPr>
          <w:t>165/2016</w:t>
        </w:r>
      </w:hyperlink>
      <w:r w:rsidRPr="00AD3C82">
        <w:rPr>
          <w:rStyle w:val="TextoNormalCaracter"/>
        </w:rPr>
        <w:t>, f. 14.</w:t>
      </w:r>
    </w:p>
    <w:p w:rsidR="00AD3C82" w:rsidRPr="00AD3C82" w:rsidRDefault="00AD3C82" w:rsidP="00AD3C82">
      <w:pPr>
        <w:pStyle w:val="TextoNormalSangraFrancesa"/>
        <w:rPr>
          <w:rStyle w:val="TextoNormalCaracter"/>
        </w:rPr>
      </w:pPr>
      <w:bookmarkStart w:id="1190" w:name="DESCRIPTORALFABETICO594"/>
      <w:r w:rsidRPr="00AD3C82">
        <w:rPr>
          <w:rStyle w:val="TextoNormalNegritaCaracter"/>
        </w:rPr>
        <w:t>Exceso de jurisdicción</w:t>
      </w:r>
      <w:bookmarkEnd w:id="1190"/>
      <w:r w:rsidRPr="00AD3C82">
        <w:rPr>
          <w:rStyle w:val="TextoNormalCaracter"/>
        </w:rPr>
        <w:t xml:space="preserve">, Sentencia </w:t>
      </w:r>
      <w:hyperlink w:anchor="SENTENCIA_2016_172" w:history="1">
        <w:r w:rsidRPr="00AD3C82">
          <w:rPr>
            <w:rStyle w:val="TextoNormalCaracter"/>
          </w:rPr>
          <w:t>172/2016</w:t>
        </w:r>
      </w:hyperlink>
      <w:r w:rsidRPr="00AD3C82">
        <w:rPr>
          <w:rStyle w:val="TextoNormalCaracter"/>
        </w:rPr>
        <w:t>, f. 5.</w:t>
      </w:r>
    </w:p>
    <w:p w:rsidR="00AD3C82" w:rsidRPr="00AD3C82" w:rsidRDefault="00AD3C82" w:rsidP="00AD3C82">
      <w:pPr>
        <w:pStyle w:val="TextoNormalSangraFrancesa"/>
        <w:rPr>
          <w:rStyle w:val="TextoNormalCaracter"/>
        </w:rPr>
      </w:pPr>
      <w:bookmarkStart w:id="1191" w:name="DESCRIPTORALFABETICO677"/>
      <w:r w:rsidRPr="00AD3C82">
        <w:rPr>
          <w:rStyle w:val="TextoNormalNegritaCaracter"/>
        </w:rPr>
        <w:t>Exclusión de doble abono de prisión provisional</w:t>
      </w:r>
      <w:bookmarkEnd w:id="1191"/>
      <w:r w:rsidRPr="00AD3C82">
        <w:rPr>
          <w:rStyle w:val="TextoNormalCaracter"/>
        </w:rPr>
        <w:t xml:space="preserve">, Sentencia </w:t>
      </w:r>
      <w:hyperlink w:anchor="SENTENCIA_2016_137" w:history="1">
        <w:r w:rsidRPr="00AD3C82">
          <w:rPr>
            <w:rStyle w:val="TextoNormalCaracter"/>
          </w:rPr>
          <w:t>137/2016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192" w:name="DESCRIPTORALFABETICO158"/>
      <w:r w:rsidRPr="00AD3C82">
        <w:rPr>
          <w:rStyle w:val="TextoNormalNegritaCaracter"/>
        </w:rPr>
        <w:t>Exclusión de un derecho al acierto judicial</w:t>
      </w:r>
      <w:bookmarkEnd w:id="1192"/>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 7.</w:t>
      </w:r>
    </w:p>
    <w:p w:rsidR="00AD3C82" w:rsidRPr="00AD3C82" w:rsidRDefault="00AD3C82" w:rsidP="00AD3C82">
      <w:pPr>
        <w:pStyle w:val="TextoNormalSangraFrancesa"/>
        <w:rPr>
          <w:rStyle w:val="TextoNormalCaracter"/>
        </w:rPr>
      </w:pPr>
      <w:bookmarkStart w:id="1193" w:name="DESCRIPTORALFABETICO292"/>
      <w:r w:rsidRPr="00AD3C82">
        <w:rPr>
          <w:rStyle w:val="TextoNormalNegritaCaracter"/>
        </w:rPr>
        <w:t>Exigencia de organización democrática</w:t>
      </w:r>
      <w:bookmarkEnd w:id="1193"/>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ff. 4, 5, 9, 10.</w:t>
      </w:r>
    </w:p>
    <w:p w:rsidR="00AD3C82" w:rsidRPr="00AD3C82" w:rsidRDefault="00AD3C82" w:rsidP="00AD3C82">
      <w:pPr>
        <w:pStyle w:val="TextoNormalSangraFrancesa"/>
        <w:rPr>
          <w:rStyle w:val="TextoNormalCaracter"/>
        </w:rPr>
      </w:pPr>
      <w:bookmarkStart w:id="1194" w:name="DESCRIPTORALFABETICO235"/>
      <w:r w:rsidRPr="00AD3C82">
        <w:rPr>
          <w:rStyle w:val="TextoNormalNegritaCaracter"/>
        </w:rPr>
        <w:t>Exigencias del juicio de relevancia</w:t>
      </w:r>
      <w:bookmarkEnd w:id="1194"/>
      <w:r w:rsidRPr="00AD3C82">
        <w:rPr>
          <w:rStyle w:val="TextoNormalCaracter"/>
        </w:rPr>
        <w:t xml:space="preserve">, Sentencia </w:t>
      </w:r>
      <w:hyperlink w:anchor="SENTENCIA_2016_175" w:history="1">
        <w:r w:rsidRPr="00AD3C82">
          <w:rPr>
            <w:rStyle w:val="TextoNormalCaracter"/>
          </w:rPr>
          <w:t>175/2016</w:t>
        </w:r>
      </w:hyperlink>
      <w:r w:rsidRPr="00AD3C82">
        <w:rPr>
          <w:rStyle w:val="TextoNormalCaracter"/>
        </w:rPr>
        <w:t>, ff. 2 a 5.</w:t>
      </w:r>
    </w:p>
    <w:p w:rsidR="00AD3C82" w:rsidRPr="00AD3C82" w:rsidRDefault="00AD3C82" w:rsidP="00AD3C82">
      <w:pPr>
        <w:pStyle w:val="TextoNormalSangraFrancesa"/>
        <w:rPr>
          <w:rStyle w:val="TextoNormalCaracter"/>
        </w:rPr>
      </w:pPr>
      <w:bookmarkStart w:id="1195" w:name="DESCRIPTORALFABETICO464"/>
      <w:r w:rsidRPr="00AD3C82">
        <w:rPr>
          <w:rStyle w:val="TextoNormalNegritaCaracter"/>
        </w:rPr>
        <w:t>Expediente de expulsión</w:t>
      </w:r>
      <w:bookmarkEnd w:id="1195"/>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1196" w:name="DESCRIPTORALFABETICO580"/>
      <w:r w:rsidRPr="00AD3C82">
        <w:rPr>
          <w:rStyle w:val="TextoNormalNegritaCaracter"/>
        </w:rPr>
        <w:t>Expediente de regulación de empleo</w:t>
      </w:r>
      <w:bookmarkEnd w:id="1196"/>
      <w:r w:rsidRPr="00AD3C82">
        <w:rPr>
          <w:rStyle w:val="TextoNormalCaracter"/>
        </w:rPr>
        <w:t xml:space="preserve">, Sentencia </w:t>
      </w:r>
      <w:hyperlink w:anchor="SENTENCIA_2016_159" w:history="1">
        <w:r w:rsidRPr="00AD3C82">
          <w:rPr>
            <w:rStyle w:val="TextoNormalCaracter"/>
          </w:rPr>
          <w:t>159/2016</w:t>
        </w:r>
      </w:hyperlink>
      <w:r w:rsidRPr="00AD3C82">
        <w:rPr>
          <w:rStyle w:val="TextoNormalCaracter"/>
        </w:rPr>
        <w:t>, f. 7.</w:t>
      </w:r>
    </w:p>
    <w:p w:rsidR="00AD3C82" w:rsidRPr="00AD3C82" w:rsidRDefault="00AD3C82" w:rsidP="00AD3C82">
      <w:pPr>
        <w:pStyle w:val="TextoNormalSangraFrancesa"/>
        <w:rPr>
          <w:rStyle w:val="TextoNormalCaracter"/>
        </w:rPr>
      </w:pPr>
      <w:bookmarkStart w:id="1197" w:name="DESCRIPTORALFABETICO465"/>
      <w:r w:rsidRPr="00AD3C82">
        <w:rPr>
          <w:rStyle w:val="TextoNormalNegritaCaracter"/>
        </w:rPr>
        <w:t>Expulsión de extranjeros condenados</w:t>
      </w:r>
      <w:bookmarkEnd w:id="1197"/>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3, 5, 6; </w:t>
      </w:r>
      <w:hyperlink w:anchor="SENTENCIA_2016_146" w:history="1">
        <w:r w:rsidRPr="00AD3C82">
          <w:rPr>
            <w:rStyle w:val="TextoNormalCaracter"/>
          </w:rPr>
          <w:t>146/2016</w:t>
        </w:r>
      </w:hyperlink>
      <w:r w:rsidRPr="00AD3C82">
        <w:rPr>
          <w:rStyle w:val="TextoNormalCaracter"/>
        </w:rPr>
        <w:t>, f. 1, VP.</w:t>
      </w:r>
    </w:p>
    <w:p w:rsidR="00AD3C82" w:rsidRPr="00AD3C82" w:rsidRDefault="00AD3C82" w:rsidP="00AD3C82">
      <w:pPr>
        <w:pStyle w:val="TextoNormalSangraFrancesa"/>
        <w:rPr>
          <w:rStyle w:val="TextoNormalCaracter"/>
        </w:rPr>
      </w:pPr>
      <w:bookmarkStart w:id="1198" w:name="DESCRIPTORALFABETICO24"/>
      <w:r w:rsidRPr="00AD3C82">
        <w:rPr>
          <w:rStyle w:val="TextoNormalNegritaCaracter"/>
        </w:rPr>
        <w:t>Extralimitaciones competenciales</w:t>
      </w:r>
      <w:bookmarkEnd w:id="1198"/>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ff. 2, 7.</w:t>
      </w:r>
    </w:p>
    <w:p w:rsidR="00AD3C82" w:rsidRPr="00AD3C82" w:rsidRDefault="00AD3C82" w:rsidP="00AD3C82">
      <w:pPr>
        <w:pStyle w:val="TextoNormalSangraFrancesa"/>
        <w:rPr>
          <w:rStyle w:val="TextoNormalCaracter"/>
        </w:rPr>
      </w:pPr>
      <w:bookmarkStart w:id="1199" w:name="DESCRIPTORALFABETICO462"/>
      <w:r w:rsidRPr="00AD3C82">
        <w:rPr>
          <w:rStyle w:val="TextoNormalNegritaCaracter"/>
        </w:rPr>
        <w:t>Extranjería</w:t>
      </w:r>
      <w:bookmarkEnd w:id="1199"/>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3, 5, 6; </w:t>
      </w:r>
      <w:hyperlink w:anchor="SENTENCIA_2016_154" w:history="1">
        <w:r w:rsidRPr="00AD3C82">
          <w:rPr>
            <w:rStyle w:val="TextoNormalCaracter"/>
          </w:rPr>
          <w:t>154/2016</w:t>
        </w:r>
      </w:hyperlink>
      <w:r w:rsidRPr="00AD3C82">
        <w:rPr>
          <w:rStyle w:val="TextoNormalCaracter"/>
        </w:rPr>
        <w:t>, f. 3.</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F</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200" w:name="DESCRIPTORALFABETICO268"/>
      <w:r w:rsidRPr="00AD3C82">
        <w:rPr>
          <w:rStyle w:val="TextoNormalNegritaCaracter"/>
        </w:rPr>
        <w:t>Falta de agotamiento de la vía judicial</w:t>
      </w:r>
      <w:bookmarkEnd w:id="1200"/>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 2; </w:t>
      </w:r>
      <w:hyperlink w:anchor="SENTENCIA_2016_166" w:history="1">
        <w:r w:rsidRPr="00AD3C82">
          <w:rPr>
            <w:rStyle w:val="TextoNormalCaracter"/>
          </w:rPr>
          <w:t>166/2016</w:t>
        </w:r>
      </w:hyperlink>
      <w:r w:rsidRPr="00AD3C82">
        <w:rPr>
          <w:rStyle w:val="TextoNormalCaracter"/>
        </w:rPr>
        <w:t xml:space="preserve">, f. 6; </w:t>
      </w:r>
      <w:hyperlink w:anchor="SENTENCIA_2016_189" w:history="1">
        <w:r w:rsidRPr="00AD3C82">
          <w:rPr>
            <w:rStyle w:val="TextoNormalCaracter"/>
          </w:rPr>
          <w:t>189/2016</w:t>
        </w:r>
      </w:hyperlink>
      <w:r w:rsidRPr="00AD3C82">
        <w:rPr>
          <w:rStyle w:val="TextoNormalCaracter"/>
        </w:rPr>
        <w:t>, ff. 1 y 3.</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37" w:history="1">
        <w:r w:rsidRPr="00AD3C82">
          <w:rPr>
            <w:rStyle w:val="TextoNormalCaracter"/>
          </w:rPr>
          <w:t>137/2016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01" w:name="DESCRIPTORALFABETICO155"/>
      <w:r w:rsidRPr="00AD3C82">
        <w:rPr>
          <w:rStyle w:val="TextoNormalNegritaCaracter"/>
        </w:rPr>
        <w:t>Falta de motivación de las sentencias</w:t>
      </w:r>
      <w:bookmarkEnd w:id="1201"/>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5, 6; </w:t>
      </w:r>
      <w:hyperlink w:anchor="SENTENCIA_2016_201" w:history="1">
        <w:r w:rsidRPr="00AD3C82">
          <w:rPr>
            <w:rStyle w:val="TextoNormalCaracter"/>
          </w:rPr>
          <w:t>201/2016</w:t>
        </w:r>
      </w:hyperlink>
      <w:r w:rsidRPr="00AD3C82">
        <w:rPr>
          <w:rStyle w:val="TextoNormalCaracter"/>
        </w:rPr>
        <w:t>, ff. 2, 4.</w:t>
      </w:r>
    </w:p>
    <w:p w:rsidR="00AD3C82" w:rsidRPr="00AD3C82" w:rsidRDefault="00AD3C82" w:rsidP="00AD3C82">
      <w:pPr>
        <w:pStyle w:val="TextoNormalSangraFrancesa"/>
        <w:rPr>
          <w:rStyle w:val="TextoNormalCaracter"/>
        </w:rPr>
      </w:pPr>
      <w:bookmarkStart w:id="1202" w:name="DESCRIPTORALFABETICO603"/>
      <w:r w:rsidRPr="00AD3C82">
        <w:rPr>
          <w:rStyle w:val="TextoNormalNegritaCaracter"/>
        </w:rPr>
        <w:t>Falta de notificación</w:t>
      </w:r>
      <w:bookmarkEnd w:id="1202"/>
      <w:r w:rsidRPr="00AD3C82">
        <w:rPr>
          <w:rStyle w:val="TextoNormalCaracter"/>
        </w:rPr>
        <w:t xml:space="preserve">, Sentencia </w:t>
      </w:r>
      <w:hyperlink w:anchor="SENTENCIA_2016_200" w:history="1">
        <w:r w:rsidRPr="00AD3C82">
          <w:rPr>
            <w:rStyle w:val="TextoNormalCaracter"/>
          </w:rPr>
          <w:t>200/2016</w:t>
        </w:r>
      </w:hyperlink>
      <w:r w:rsidRPr="00AD3C82">
        <w:rPr>
          <w:rStyle w:val="TextoNormalCaracter"/>
        </w:rPr>
        <w:t>, ff. 4, 6..</w:t>
      </w:r>
    </w:p>
    <w:p w:rsidR="00AD3C82" w:rsidRPr="00AD3C82" w:rsidRDefault="00AD3C82" w:rsidP="00AD3C82">
      <w:pPr>
        <w:pStyle w:val="TextoNormalSangraFrancesa"/>
        <w:rPr>
          <w:rStyle w:val="TextoNormalCaracter"/>
        </w:rPr>
      </w:pPr>
      <w:bookmarkStart w:id="1203" w:name="DESCRIPTORALFABETICO604"/>
      <w:r w:rsidRPr="00AD3C82">
        <w:rPr>
          <w:rStyle w:val="TextoNormalNegritaCaracter"/>
        </w:rPr>
        <w:t>Falta de notificación personal al interesado</w:t>
      </w:r>
      <w:bookmarkEnd w:id="1203"/>
      <w:r w:rsidRPr="00AD3C82">
        <w:rPr>
          <w:rStyle w:val="TextoNormalCaracter"/>
        </w:rPr>
        <w:t xml:space="preserve">, Sentencias </w:t>
      </w:r>
      <w:hyperlink w:anchor="SENTENCIA_2016_150" w:history="1">
        <w:r w:rsidRPr="00AD3C82">
          <w:rPr>
            <w:rStyle w:val="TextoNormalCaracter"/>
          </w:rPr>
          <w:t>150/2016</w:t>
        </w:r>
      </w:hyperlink>
      <w:r w:rsidRPr="00AD3C82">
        <w:rPr>
          <w:rStyle w:val="TextoNormalCaracter"/>
        </w:rPr>
        <w:t xml:space="preserve">, ff. 2 a 3; </w:t>
      </w:r>
      <w:hyperlink w:anchor="SENTENCIA_2016_151" w:history="1">
        <w:r w:rsidRPr="00AD3C82">
          <w:rPr>
            <w:rStyle w:val="TextoNormalCaracter"/>
          </w:rPr>
          <w:t>151/2016</w:t>
        </w:r>
      </w:hyperlink>
      <w:r w:rsidRPr="00AD3C82">
        <w:rPr>
          <w:rStyle w:val="TextoNormalCaracter"/>
        </w:rPr>
        <w:t>, ff. 2 a 3.</w:t>
      </w:r>
    </w:p>
    <w:p w:rsidR="00AD3C82" w:rsidRPr="00AD3C82" w:rsidRDefault="00AD3C82" w:rsidP="00AD3C82">
      <w:pPr>
        <w:pStyle w:val="TextoNormalSangraFrancesa"/>
        <w:rPr>
          <w:rStyle w:val="TextoNormalCaracter"/>
        </w:rPr>
      </w:pPr>
      <w:bookmarkStart w:id="1204" w:name="DESCRIPTORALFABETICO626"/>
      <w:r w:rsidRPr="00AD3C82">
        <w:rPr>
          <w:rStyle w:val="TextoNormalNegritaCaracter"/>
        </w:rPr>
        <w:t>Falta de pronunciamiento a la proposición de prueba</w:t>
      </w:r>
      <w:bookmarkEnd w:id="1204"/>
      <w:r w:rsidRPr="00AD3C82">
        <w:rPr>
          <w:rStyle w:val="TextoNormalCaracter"/>
        </w:rPr>
        <w:t xml:space="preserve">, Sentencia </w:t>
      </w:r>
      <w:hyperlink w:anchor="SENTENCIA_2016_161" w:history="1">
        <w:r w:rsidRPr="00AD3C82">
          <w:rPr>
            <w:rStyle w:val="TextoNormalCaracter"/>
          </w:rPr>
          <w:t>161/2016</w:t>
        </w:r>
      </w:hyperlink>
      <w:r w:rsidRPr="00AD3C82">
        <w:rPr>
          <w:rStyle w:val="TextoNormalCaracter"/>
        </w:rPr>
        <w:t>, ff. 3 a 7.</w:t>
      </w:r>
    </w:p>
    <w:p w:rsidR="00AD3C82" w:rsidRPr="00AD3C82" w:rsidRDefault="00AD3C82" w:rsidP="00AD3C82">
      <w:pPr>
        <w:pStyle w:val="TextoNormalSangraFrancesa"/>
        <w:rPr>
          <w:rStyle w:val="TextoNormalCaracter"/>
        </w:rPr>
      </w:pPr>
      <w:bookmarkStart w:id="1205" w:name="DESCRIPTORALFABETICO66"/>
      <w:r w:rsidRPr="00AD3C82">
        <w:rPr>
          <w:rStyle w:val="TextoNormalNegritaCaracter"/>
        </w:rPr>
        <w:t>Financiación autonómica</w:t>
      </w:r>
      <w:bookmarkEnd w:id="1205"/>
      <w:r w:rsidRPr="00AD3C82">
        <w:rPr>
          <w:rStyle w:val="TextoNormalCaracter"/>
        </w:rPr>
        <w:t xml:space="preserve">, Sentencia </w:t>
      </w:r>
      <w:hyperlink w:anchor="SENTENCIA_2016_156" w:history="1">
        <w:r w:rsidRPr="00AD3C82">
          <w:rPr>
            <w:rStyle w:val="TextoNormalCaracter"/>
          </w:rPr>
          <w:t>156/2016</w:t>
        </w:r>
      </w:hyperlink>
      <w:r w:rsidRPr="00AD3C82">
        <w:rPr>
          <w:rStyle w:val="TextoNormalCaracter"/>
        </w:rPr>
        <w:t>, ff. 1 a 5, VP I, VP II.</w:t>
      </w:r>
    </w:p>
    <w:p w:rsidR="00AD3C82" w:rsidRPr="00AD3C82" w:rsidRDefault="00AD3C82" w:rsidP="00AD3C82">
      <w:pPr>
        <w:pStyle w:val="TextoNormalSangraFrancesa"/>
        <w:rPr>
          <w:rStyle w:val="TextoNormalCaracter"/>
        </w:rPr>
      </w:pPr>
      <w:bookmarkStart w:id="1206" w:name="DESCRIPTORALFABETICO294"/>
      <w:r w:rsidRPr="00AD3C82">
        <w:rPr>
          <w:rStyle w:val="TextoNormalNegritaCaracter"/>
        </w:rPr>
        <w:t>Fines de los partidos políticos</w:t>
      </w:r>
      <w:bookmarkEnd w:id="1206"/>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 7.</w:t>
      </w:r>
    </w:p>
    <w:p w:rsidR="00AD3C82" w:rsidRPr="00AD3C82" w:rsidRDefault="00AD3C82" w:rsidP="00AD3C82">
      <w:pPr>
        <w:pStyle w:val="TextoNormalSangraFrancesa"/>
        <w:rPr>
          <w:rStyle w:val="TextoNormalCaracter"/>
        </w:rPr>
      </w:pPr>
      <w:bookmarkStart w:id="1207" w:name="DESCRIPTORALFABETICO433"/>
      <w:r w:rsidRPr="00AD3C82">
        <w:rPr>
          <w:rStyle w:val="TextoNormalNegritaCaracter"/>
        </w:rPr>
        <w:t>Fomento de la cultura</w:t>
      </w:r>
      <w:bookmarkEnd w:id="1207"/>
      <w:r w:rsidRPr="00AD3C82">
        <w:rPr>
          <w:rStyle w:val="TextoNormalCaracter"/>
        </w:rPr>
        <w:t xml:space="preserve">, Sentencia </w:t>
      </w:r>
      <w:hyperlink w:anchor="SENTENCIA_2016_177" w:history="1">
        <w:r w:rsidRPr="00AD3C82">
          <w:rPr>
            <w:rStyle w:val="TextoNormalCaracter"/>
          </w:rPr>
          <w:t>177/2016</w:t>
        </w:r>
      </w:hyperlink>
      <w:r w:rsidRPr="00AD3C82">
        <w:rPr>
          <w:rStyle w:val="TextoNormalCaracter"/>
        </w:rPr>
        <w:t>, ff. 6, 7, VVPP I, II.</w:t>
      </w:r>
    </w:p>
    <w:p w:rsidR="00AD3C82" w:rsidRPr="00AD3C82" w:rsidRDefault="00AD3C82" w:rsidP="00AD3C82">
      <w:pPr>
        <w:pStyle w:val="TextoNormalSangraFrancesa"/>
        <w:rPr>
          <w:rStyle w:val="TextoNormalCaracter"/>
        </w:rPr>
      </w:pPr>
      <w:bookmarkStart w:id="1208" w:name="DESCRIPTORALFABETICO446"/>
      <w:r w:rsidRPr="00AD3C82">
        <w:rPr>
          <w:rStyle w:val="TextoNormalNegritaCaracter"/>
        </w:rPr>
        <w:t>Fomento del empleo</w:t>
      </w:r>
      <w:bookmarkEnd w:id="1208"/>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09" w:name="DESCRIPTORALFABETICO583"/>
      <w:r w:rsidRPr="00AD3C82">
        <w:rPr>
          <w:rStyle w:val="TextoNormalNegritaCaracter"/>
        </w:rPr>
        <w:t>Formación de los trabajadores</w:t>
      </w:r>
      <w:bookmarkEnd w:id="1209"/>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2 d).</w:t>
      </w:r>
    </w:p>
    <w:p w:rsidR="00AD3C82" w:rsidRPr="00AD3C82" w:rsidRDefault="00AD3C82" w:rsidP="00AD3C82">
      <w:pPr>
        <w:pStyle w:val="TextoNormalSangraFrancesa"/>
        <w:rPr>
          <w:rStyle w:val="TextoNormalCaracter"/>
        </w:rPr>
      </w:pPr>
      <w:bookmarkStart w:id="1210" w:name="DESCRIPTORALFABETICO239"/>
      <w:r w:rsidRPr="00AD3C82">
        <w:rPr>
          <w:rStyle w:val="TextoNormalNegritaCaracter"/>
        </w:rPr>
        <w:t>Función del recurso de inconstitucionalidad</w:t>
      </w:r>
      <w:bookmarkEnd w:id="1210"/>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5 A) a).</w:t>
      </w:r>
    </w:p>
    <w:p w:rsidR="00AD3C82" w:rsidRPr="00AD3C82" w:rsidRDefault="00AD3C82" w:rsidP="00AD3C82">
      <w:pPr>
        <w:pStyle w:val="TextoNormalSangraFrancesa"/>
        <w:rPr>
          <w:rStyle w:val="TextoNormalCaracter"/>
        </w:rPr>
      </w:pPr>
      <w:bookmarkStart w:id="1211" w:name="DESCRIPTORALFABETICO407"/>
      <w:r w:rsidRPr="00AD3C82">
        <w:rPr>
          <w:rStyle w:val="TextoNormalNegritaCaracter"/>
        </w:rPr>
        <w:t>Funcionarios públicos</w:t>
      </w:r>
      <w:bookmarkEnd w:id="1211"/>
      <w:r w:rsidRPr="00AD3C82">
        <w:rPr>
          <w:rStyle w:val="TextoNormalCaracter"/>
        </w:rPr>
        <w:t xml:space="preserve">, Sentencia </w:t>
      </w:r>
      <w:hyperlink w:anchor="SENTENCIA_2016_162" w:history="1">
        <w:r w:rsidRPr="00AD3C82">
          <w:rPr>
            <w:rStyle w:val="TextoNormalCaracter"/>
          </w:rPr>
          <w:t>162/2016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12" w:name="DESCRIPTORALFABETICO342"/>
      <w:r w:rsidRPr="00AD3C82">
        <w:rPr>
          <w:rStyle w:val="TextoNormalNegritaCaracter"/>
        </w:rPr>
        <w:t>Funciones de las mesas parlamentarias</w:t>
      </w:r>
      <w:bookmarkEnd w:id="1212"/>
      <w:r w:rsidRPr="00AD3C82">
        <w:rPr>
          <w:rStyle w:val="TextoNormalCaracter"/>
        </w:rPr>
        <w:t xml:space="preserve">, Sentencias </w:t>
      </w:r>
      <w:hyperlink w:anchor="SENTENCIA_2016_143" w:history="1">
        <w:r w:rsidRPr="00AD3C82">
          <w:rPr>
            <w:rStyle w:val="TextoNormalCaracter"/>
          </w:rPr>
          <w:t>143/2016</w:t>
        </w:r>
      </w:hyperlink>
      <w:r w:rsidRPr="00AD3C82">
        <w:rPr>
          <w:rStyle w:val="TextoNormalCaracter"/>
        </w:rPr>
        <w:t xml:space="preserve">, ff. 3 a 6; </w:t>
      </w:r>
      <w:hyperlink w:anchor="SENTENCIA_2016_153" w:history="1">
        <w:r w:rsidRPr="00AD3C82">
          <w:rPr>
            <w:rStyle w:val="TextoNormalCaracter"/>
          </w:rPr>
          <w:t>153/2016</w:t>
        </w:r>
      </w:hyperlink>
      <w:r w:rsidRPr="00AD3C82">
        <w:rPr>
          <w:rStyle w:val="TextoNormalCaracter"/>
        </w:rPr>
        <w:t>, f. 3 b).</w:t>
      </w:r>
    </w:p>
    <w:p w:rsidR="00AD3C82" w:rsidRPr="00AD3C82" w:rsidRDefault="00AD3C82" w:rsidP="00AD3C82">
      <w:pPr>
        <w:pStyle w:val="TextoNormalSangraFrancesa"/>
        <w:rPr>
          <w:rStyle w:val="TextoNormalCaracter"/>
        </w:rPr>
      </w:pPr>
      <w:bookmarkStart w:id="1213" w:name="DESCRIPTORALFABETICO344"/>
      <w:r w:rsidRPr="00AD3C82">
        <w:rPr>
          <w:rStyle w:val="TextoNormalNegritaCaracter"/>
        </w:rPr>
        <w:t>Funciones representativas</w:t>
      </w:r>
      <w:bookmarkEnd w:id="1213"/>
      <w:r w:rsidRPr="00AD3C82">
        <w:rPr>
          <w:rStyle w:val="TextoNormalCaracter"/>
        </w:rPr>
        <w:t xml:space="preserve">, Sentencia </w:t>
      </w:r>
      <w:hyperlink w:anchor="SENTENCIA_2016_143" w:history="1">
        <w:r w:rsidRPr="00AD3C82">
          <w:rPr>
            <w:rStyle w:val="TextoNormalCaracter"/>
          </w:rPr>
          <w:t>143/2016</w:t>
        </w:r>
      </w:hyperlink>
      <w:r w:rsidRPr="00AD3C82">
        <w:rPr>
          <w:rStyle w:val="TextoNormalCaracter"/>
        </w:rPr>
        <w:t>, ff. 2, 3, 6.</w:t>
      </w:r>
    </w:p>
    <w:p w:rsidR="00AD3C82" w:rsidRPr="00AD3C82" w:rsidRDefault="00AD3C82" w:rsidP="00AD3C82">
      <w:pPr>
        <w:pStyle w:val="TextoNormalSangraFrancesa"/>
        <w:rPr>
          <w:rStyle w:val="TextoNormalCaracter"/>
        </w:rPr>
      </w:pPr>
      <w:bookmarkStart w:id="1214" w:name="DESCRIPTORALFABETICO238"/>
      <w:r w:rsidRPr="00AD3C82">
        <w:rPr>
          <w:rStyle w:val="TextoNormalNegritaCaracter"/>
        </w:rPr>
        <w:t>Fundamentación de la demanda de inconstitucionalidad</w:t>
      </w:r>
      <w:bookmarkEnd w:id="1214"/>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15" w:name="DESCRIPTORALFABETICO396"/>
      <w:r w:rsidRPr="00AD3C82">
        <w:rPr>
          <w:rStyle w:val="TextoNormalNegritaCaracter"/>
        </w:rPr>
        <w:t>Fusión de municipios</w:t>
      </w:r>
      <w:bookmarkEnd w:id="1215"/>
      <w:r w:rsidRPr="00AD3C82">
        <w:rPr>
          <w:rStyle w:val="TextoNormalCaracter"/>
        </w:rPr>
        <w:t xml:space="preserve">, Sentencia </w:t>
      </w:r>
      <w:hyperlink w:anchor="SENTENCIA_2016_127" w:history="1">
        <w:r w:rsidRPr="00AD3C82">
          <w:rPr>
            <w:rStyle w:val="TextoNormalCaracter"/>
          </w:rPr>
          <w:t>127/2016</w:t>
        </w:r>
      </w:hyperlink>
      <w:r w:rsidRPr="00AD3C82">
        <w:rPr>
          <w:rStyle w:val="TextoNormalCaracter"/>
        </w:rPr>
        <w:t>, VP.</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G</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216" w:name="DESCRIPTORALFABETICO686"/>
      <w:r w:rsidRPr="00AD3C82">
        <w:rPr>
          <w:rStyle w:val="TextoNormalNegritaCaracter"/>
        </w:rPr>
        <w:t>Galicia</w:t>
      </w:r>
      <w:bookmarkEnd w:id="1216"/>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ff. 1, 2, VP; </w:t>
      </w:r>
      <w:hyperlink w:anchor="SENTENCIA_2016_155" w:history="1">
        <w:r w:rsidRPr="00AD3C82">
          <w:rPr>
            <w:rStyle w:val="TextoNormalCaracter"/>
          </w:rPr>
          <w:t>155/2016</w:t>
        </w:r>
      </w:hyperlink>
      <w:r w:rsidRPr="00AD3C82">
        <w:rPr>
          <w:rStyle w:val="TextoNormalCaracter"/>
        </w:rPr>
        <w:t>, f. 1.</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76" w:history="1">
        <w:r w:rsidRPr="00AD3C82">
          <w:rPr>
            <w:rStyle w:val="TextoNormalCaracter"/>
          </w:rPr>
          <w:t>176/2016</w:t>
        </w:r>
      </w:hyperlink>
      <w:r w:rsidRPr="00AD3C82">
        <w:rPr>
          <w:rStyle w:val="TextoNormalCaracter"/>
        </w:rPr>
        <w:t>, f. 1.</w:t>
      </w:r>
    </w:p>
    <w:p w:rsidR="00AD3C82" w:rsidRPr="00AD3C82" w:rsidRDefault="00AD3C82" w:rsidP="00AD3C82">
      <w:pPr>
        <w:pStyle w:val="TextoNormalSangraFrancesa"/>
        <w:rPr>
          <w:rStyle w:val="TextoNormalCaracter"/>
        </w:rPr>
      </w:pPr>
      <w:bookmarkStart w:id="1217" w:name="DESCRIPTORALFABETICO190"/>
      <w:r w:rsidRPr="00AD3C82">
        <w:rPr>
          <w:rStyle w:val="TextoNormalNegritaCaracter"/>
        </w:rPr>
        <w:t>Garantía de supremacía de la Constitución</w:t>
      </w:r>
      <w:bookmarkEnd w:id="1217"/>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5.</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 3; </w:t>
      </w:r>
      <w:hyperlink w:anchor="AUTO_2016_170" w:history="1">
        <w:r w:rsidRPr="00AD3C82">
          <w:rPr>
            <w:rStyle w:val="TextoNormalCaracter"/>
          </w:rPr>
          <w:t>170/2016</w:t>
        </w:r>
      </w:hyperlink>
      <w:r w:rsidRPr="00AD3C82">
        <w:rPr>
          <w:rStyle w:val="TextoNormalCaracter"/>
        </w:rPr>
        <w:t>, f. 6.</w:t>
      </w:r>
    </w:p>
    <w:p w:rsidR="00AD3C82" w:rsidRPr="00AD3C82" w:rsidRDefault="00AD3C82" w:rsidP="00AD3C82">
      <w:pPr>
        <w:pStyle w:val="TextoNormalSangraFrancesa"/>
        <w:rPr>
          <w:rStyle w:val="TextoNormalCaracter"/>
        </w:rPr>
      </w:pPr>
      <w:bookmarkStart w:id="1218" w:name="DESCRIPTORALFABETICO312"/>
      <w:r w:rsidRPr="00AD3C82">
        <w:rPr>
          <w:rStyle w:val="TextoNormalNegritaCaracter"/>
        </w:rPr>
        <w:t>Garantías de los derechos fundamentales de los reclusos</w:t>
      </w:r>
      <w:bookmarkEnd w:id="1218"/>
      <w:r w:rsidRPr="00AD3C82">
        <w:rPr>
          <w:rStyle w:val="TextoNormalCaracter"/>
        </w:rPr>
        <w:t xml:space="preserve">, Sentencia </w:t>
      </w:r>
      <w:hyperlink w:anchor="SENTENCIA_2016_161" w:history="1">
        <w:r w:rsidRPr="00AD3C82">
          <w:rPr>
            <w:rStyle w:val="TextoNormalCaracter"/>
          </w:rPr>
          <w:t>161/2016</w:t>
        </w:r>
      </w:hyperlink>
      <w:r w:rsidRPr="00AD3C82">
        <w:rPr>
          <w:rStyle w:val="TextoNormalCaracter"/>
        </w:rPr>
        <w:t>, ff. 3 a 5, 7.</w:t>
      </w:r>
    </w:p>
    <w:p w:rsidR="00AD3C82" w:rsidRPr="00AD3C82" w:rsidRDefault="00AD3C82" w:rsidP="00AD3C82">
      <w:pPr>
        <w:pStyle w:val="TextoNormalSangraFrancesa"/>
        <w:rPr>
          <w:rStyle w:val="TextoNormalCaracter"/>
        </w:rPr>
      </w:pPr>
      <w:bookmarkStart w:id="1219" w:name="DESCRIPTORALFABETICO110"/>
      <w:r w:rsidRPr="00AD3C82">
        <w:rPr>
          <w:rStyle w:val="TextoNormalNegritaCaracter"/>
        </w:rPr>
        <w:t>Garantías electorales</w:t>
      </w:r>
      <w:bookmarkEnd w:id="1219"/>
      <w:r w:rsidRPr="00AD3C82">
        <w:rPr>
          <w:rStyle w:val="TextoNormalCaracter"/>
        </w:rPr>
        <w:t xml:space="preserve">, Auto </w:t>
      </w:r>
      <w:hyperlink w:anchor="AUTO_2016_196" w:history="1">
        <w:r w:rsidRPr="00AD3C82">
          <w:rPr>
            <w:rStyle w:val="TextoNormalCaracter"/>
          </w:rPr>
          <w:t>196/2016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220" w:name="DESCRIPTORALFABETICO129"/>
      <w:r w:rsidRPr="00AD3C82">
        <w:rPr>
          <w:rStyle w:val="TextoNormalNegritaCaracter"/>
        </w:rPr>
        <w:t>Garantías en el procedimiento de internamiento psiquiátrico</w:t>
      </w:r>
      <w:bookmarkEnd w:id="1220"/>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221" w:name="DESCRIPTORALFABETICO552"/>
      <w:r w:rsidRPr="00AD3C82">
        <w:rPr>
          <w:rStyle w:val="TextoNormalNegritaCaracter"/>
        </w:rPr>
        <w:t>Garantías en el procedimiento disciplinario penitenciario</w:t>
      </w:r>
      <w:bookmarkEnd w:id="1221"/>
      <w:r w:rsidRPr="00AD3C82">
        <w:rPr>
          <w:rStyle w:val="TextoNormalCaracter"/>
        </w:rPr>
        <w:t xml:space="preserve">, Sentencia </w:t>
      </w:r>
      <w:hyperlink w:anchor="SENTENCIA_2016_161" w:history="1">
        <w:r w:rsidRPr="00AD3C82">
          <w:rPr>
            <w:rStyle w:val="TextoNormalCaracter"/>
          </w:rPr>
          <w:t>161/2016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222" w:name="DESCRIPTORALFABETICO625"/>
      <w:r w:rsidRPr="00AD3C82">
        <w:rPr>
          <w:rStyle w:val="TextoNormalNegritaCaracter"/>
        </w:rPr>
        <w:t>Garantías en la práctica de prueba</w:t>
      </w:r>
      <w:bookmarkEnd w:id="1222"/>
      <w:r w:rsidRPr="00AD3C82">
        <w:rPr>
          <w:rStyle w:val="TextoNormalCaracter"/>
        </w:rPr>
        <w:t xml:space="preserve">, Sentencia </w:t>
      </w:r>
      <w:hyperlink w:anchor="SENTENCIA_2016_161" w:history="1">
        <w:r w:rsidRPr="00AD3C82">
          <w:rPr>
            <w:rStyle w:val="TextoNormalCaracter"/>
          </w:rPr>
          <w:t>161/2016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223" w:name="DESCRIPTORALFABETICO63"/>
      <w:r w:rsidRPr="00AD3C82">
        <w:rPr>
          <w:rStyle w:val="TextoNormalNegritaCaracter"/>
        </w:rPr>
        <w:t>Gasto público</w:t>
      </w:r>
      <w:bookmarkEnd w:id="1223"/>
      <w:r w:rsidRPr="00AD3C82">
        <w:rPr>
          <w:rStyle w:val="TextoNormalCaracter"/>
        </w:rPr>
        <w:t xml:space="preserve">, Sentencias </w:t>
      </w:r>
      <w:hyperlink w:anchor="SENTENCIA_2016_156" w:history="1">
        <w:r w:rsidRPr="00AD3C82">
          <w:rPr>
            <w:rStyle w:val="TextoNormalCaracter"/>
          </w:rPr>
          <w:t>156/2016</w:t>
        </w:r>
      </w:hyperlink>
      <w:r w:rsidRPr="00AD3C82">
        <w:rPr>
          <w:rStyle w:val="TextoNormalCaracter"/>
        </w:rPr>
        <w:t xml:space="preserve">, ff. 2 a 5, VP II; </w:t>
      </w:r>
      <w:hyperlink w:anchor="SENTENCIA_2016_178" w:history="1">
        <w:r w:rsidRPr="00AD3C82">
          <w:rPr>
            <w:rStyle w:val="TextoNormalCaracter"/>
          </w:rPr>
          <w:t>178/2016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224" w:name="DESCRIPTORALFABETICO468"/>
      <w:r w:rsidRPr="00AD3C82">
        <w:rPr>
          <w:rStyle w:val="TextoNormalNegritaCaracter"/>
        </w:rPr>
        <w:t>Gestión autonómica de subvenciones públicas</w:t>
      </w:r>
      <w:bookmarkEnd w:id="1224"/>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7, 8.</w:t>
      </w:r>
    </w:p>
    <w:p w:rsidR="00AD3C82" w:rsidRPr="00AD3C82" w:rsidRDefault="00AD3C82" w:rsidP="00AD3C82">
      <w:pPr>
        <w:pStyle w:val="TextoNormalSangraFrancesa"/>
        <w:rPr>
          <w:rStyle w:val="TextoNormalCaracter"/>
        </w:rPr>
      </w:pPr>
      <w:bookmarkStart w:id="1225" w:name="DESCRIPTORALFABETICO22"/>
      <w:r w:rsidRPr="00AD3C82">
        <w:rPr>
          <w:rStyle w:val="TextoNormalNegritaCaracter"/>
        </w:rPr>
        <w:t>Gestión centralizada de competencias de ejecución</w:t>
      </w:r>
      <w:bookmarkEnd w:id="1225"/>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26" w:name="DESCRIPTORALFABETICO93"/>
      <w:r w:rsidRPr="00AD3C82">
        <w:rPr>
          <w:rStyle w:val="TextoNormalNegritaCaracter"/>
        </w:rPr>
        <w:t>Gestión tributaria de las Comunidades Autónomas</w:t>
      </w:r>
      <w:bookmarkEnd w:id="1226"/>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 9.</w:t>
      </w:r>
    </w:p>
    <w:p w:rsidR="00AD3C82" w:rsidRPr="00AD3C82" w:rsidRDefault="00AD3C82" w:rsidP="00AD3C82">
      <w:pPr>
        <w:pStyle w:val="TextoNormalSangraFrancesa"/>
        <w:rPr>
          <w:rStyle w:val="TextoNormalCaracter"/>
        </w:rPr>
      </w:pPr>
      <w:bookmarkStart w:id="1227" w:name="DESCRIPTORALFABETICO691"/>
      <w:r w:rsidRPr="00AD3C82">
        <w:rPr>
          <w:rStyle w:val="TextoNormalNegritaCaracter"/>
        </w:rPr>
        <w:t>Gipuzkoa</w:t>
      </w:r>
      <w:bookmarkEnd w:id="1227"/>
      <w:r w:rsidRPr="00AD3C82">
        <w:rPr>
          <w:rStyle w:val="TextoNormalCaracter"/>
        </w:rPr>
        <w:t xml:space="preserve">, Sentencia </w:t>
      </w:r>
      <w:hyperlink w:anchor="SENTENCIA_2016_203" w:history="1">
        <w:r w:rsidRPr="00AD3C82">
          <w:rPr>
            <w:rStyle w:val="TextoNormalCaracter"/>
          </w:rPr>
          <w:t>203/2016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228" w:name="DESCRIPTORALFABETICO426"/>
      <w:r w:rsidRPr="00AD3C82">
        <w:rPr>
          <w:rStyle w:val="TextoNormalNegritaCaracter"/>
        </w:rPr>
        <w:t>Grandes establecimientos comerciales</w:t>
      </w:r>
      <w:bookmarkEnd w:id="1228"/>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3.</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H</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229" w:name="DESCRIPTORALFABETICO404"/>
      <w:r w:rsidRPr="00AD3C82">
        <w:rPr>
          <w:rStyle w:val="TextoNormalNegritaCaracter"/>
        </w:rPr>
        <w:t>Habilitados de clases pasivas</w:t>
      </w:r>
      <w:bookmarkEnd w:id="1229"/>
      <w:r w:rsidRPr="00AD3C82">
        <w:rPr>
          <w:rStyle w:val="TextoNormalCaracter"/>
        </w:rPr>
        <w:t xml:space="preserve">, Sentencias </w:t>
      </w:r>
      <w:hyperlink w:anchor="SENTENCIA_2016_219" w:history="1">
        <w:r w:rsidRPr="00AD3C82">
          <w:rPr>
            <w:rStyle w:val="TextoNormalCaracter"/>
          </w:rPr>
          <w:t>219/2016</w:t>
        </w:r>
      </w:hyperlink>
      <w:r w:rsidRPr="00AD3C82">
        <w:rPr>
          <w:rStyle w:val="TextoNormalCaracter"/>
        </w:rPr>
        <w:t xml:space="preserve">, ff. 4, 8, 9; </w:t>
      </w:r>
      <w:hyperlink w:anchor="SENTENCIA_2016_220" w:history="1">
        <w:r w:rsidRPr="00AD3C82">
          <w:rPr>
            <w:rStyle w:val="TextoNormalCaracter"/>
          </w:rPr>
          <w:t>220/2016</w:t>
        </w:r>
      </w:hyperlink>
      <w:r w:rsidRPr="00AD3C82">
        <w:rPr>
          <w:rStyle w:val="TextoNormalCaracter"/>
        </w:rPr>
        <w:t>, ff. 4, 8, 9.</w:t>
      </w:r>
    </w:p>
    <w:p w:rsidR="00AD3C82" w:rsidRPr="00AD3C82" w:rsidRDefault="00AD3C82" w:rsidP="00AD3C82">
      <w:pPr>
        <w:pStyle w:val="TextoNormalSangraFrancesa"/>
        <w:rPr>
          <w:rStyle w:val="TextoNormalCaracter"/>
        </w:rPr>
      </w:pPr>
      <w:bookmarkStart w:id="1230" w:name="DESCRIPTORALFABETICO73"/>
      <w:r w:rsidRPr="00AD3C82">
        <w:rPr>
          <w:rStyle w:val="TextoNormalNegritaCaracter"/>
        </w:rPr>
        <w:t>Hacienda autonómica</w:t>
      </w:r>
      <w:bookmarkEnd w:id="1230"/>
      <w:r w:rsidRPr="00AD3C82">
        <w:rPr>
          <w:rStyle w:val="TextoNormalCaracter"/>
        </w:rPr>
        <w:t xml:space="preserve">, Sentencia </w:t>
      </w:r>
      <w:hyperlink w:anchor="SENTENCIA_2016_156" w:history="1">
        <w:r w:rsidRPr="00AD3C82">
          <w:rPr>
            <w:rStyle w:val="TextoNormalCaracter"/>
          </w:rPr>
          <w:t>156/2016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231" w:name="DESCRIPTORALFABETICO72"/>
      <w:r w:rsidRPr="00AD3C82">
        <w:rPr>
          <w:rStyle w:val="TextoNormalNegritaCaracter"/>
        </w:rPr>
        <w:t>Hacienda pública</w:t>
      </w:r>
      <w:bookmarkEnd w:id="1231"/>
      <w:r w:rsidRPr="00AD3C82">
        <w:rPr>
          <w:rStyle w:val="TextoNormalCaracter"/>
        </w:rPr>
        <w:t xml:space="preserve">, Sentencias </w:t>
      </w:r>
      <w:hyperlink w:anchor="SENTENCIA_2016_138" w:history="1">
        <w:r w:rsidRPr="00AD3C82">
          <w:rPr>
            <w:rStyle w:val="TextoNormalCaracter"/>
          </w:rPr>
          <w:t>138/2016</w:t>
        </w:r>
      </w:hyperlink>
      <w:r w:rsidRPr="00AD3C82">
        <w:rPr>
          <w:rStyle w:val="TextoNormalCaracter"/>
        </w:rPr>
        <w:t xml:space="preserve">, f. 4; </w:t>
      </w:r>
      <w:hyperlink w:anchor="SENTENCIA_2016_168" w:history="1">
        <w:r w:rsidRPr="00AD3C82">
          <w:rPr>
            <w:rStyle w:val="TextoNormalCaracter"/>
          </w:rPr>
          <w:t>168/2016</w:t>
        </w:r>
      </w:hyperlink>
      <w:r w:rsidRPr="00AD3C82">
        <w:rPr>
          <w:rStyle w:val="TextoNormalCaracter"/>
        </w:rPr>
        <w:t>, f. 5 a).</w:t>
      </w:r>
    </w:p>
    <w:p w:rsidR="00AD3C82" w:rsidRPr="00AD3C82" w:rsidRDefault="00AD3C82" w:rsidP="00AD3C82">
      <w:pPr>
        <w:pStyle w:val="TextoNormalSangraFrancesa"/>
        <w:rPr>
          <w:rStyle w:val="TextoNormalCaracter"/>
        </w:rPr>
      </w:pPr>
      <w:bookmarkStart w:id="1232" w:name="DESCRIPTORALFABETICO91"/>
      <w:r w:rsidRPr="00AD3C82">
        <w:rPr>
          <w:rStyle w:val="TextoNormalNegritaCaracter"/>
        </w:rPr>
        <w:t>Hecho imponible</w:t>
      </w:r>
      <w:bookmarkEnd w:id="1232"/>
      <w:r w:rsidRPr="00AD3C82">
        <w:rPr>
          <w:rStyle w:val="TextoNormalCaracter"/>
        </w:rPr>
        <w:t xml:space="preserve">, Sentencia </w:t>
      </w:r>
      <w:hyperlink w:anchor="SENTENCIA_2016_202" w:history="1">
        <w:r w:rsidRPr="00AD3C82">
          <w:rPr>
            <w:rStyle w:val="TextoNormalCaracter"/>
          </w:rPr>
          <w:t>202/2016</w:t>
        </w:r>
      </w:hyperlink>
      <w:r w:rsidRPr="00AD3C82">
        <w:rPr>
          <w:rStyle w:val="TextoNormalCaracter"/>
        </w:rPr>
        <w:t>, f. 4.</w:t>
      </w:r>
    </w:p>
    <w:p w:rsidR="00AD3C82" w:rsidRPr="00AD3C82" w:rsidRDefault="00AD3C82" w:rsidP="00AD3C82">
      <w:pPr>
        <w:pStyle w:val="TextoNormalSangraFrancesa"/>
        <w:rPr>
          <w:rStyle w:val="TextoNormalCaracter"/>
        </w:rPr>
      </w:pPr>
      <w:bookmarkStart w:id="1233" w:name="DESCRIPTORALFABETICO428"/>
      <w:r w:rsidRPr="00AD3C82">
        <w:rPr>
          <w:rStyle w:val="TextoNormalNegritaCaracter"/>
        </w:rPr>
        <w:t>Horarios comerciales</w:t>
      </w:r>
      <w:bookmarkEnd w:id="1233"/>
      <w:r w:rsidRPr="00AD3C82">
        <w:rPr>
          <w:rStyle w:val="TextoNormalCaracter"/>
        </w:rPr>
        <w:t xml:space="preserve">, Sentencia </w:t>
      </w:r>
      <w:hyperlink w:anchor="SENTENCIA_2016_211" w:history="1">
        <w:r w:rsidRPr="00AD3C82">
          <w:rPr>
            <w:rStyle w:val="TextoNormalCaracter"/>
          </w:rPr>
          <w:t>211/2016</w:t>
        </w:r>
      </w:hyperlink>
      <w:r w:rsidRPr="00AD3C82">
        <w:rPr>
          <w:rStyle w:val="TextoNormalCaracter"/>
        </w:rPr>
        <w:t>, ff. 6 a 8.</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I</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234" w:name="DESCRIPTORALFABETICO161"/>
      <w:r w:rsidRPr="00AD3C82">
        <w:rPr>
          <w:rStyle w:val="TextoNormalNegritaCaracter"/>
        </w:rPr>
        <w:t>Igualdad de género</w:t>
      </w:r>
      <w:bookmarkEnd w:id="1234"/>
      <w:r w:rsidRPr="00AD3C82">
        <w:rPr>
          <w:rStyle w:val="TextoNormalCaracter"/>
        </w:rPr>
        <w:t xml:space="preserve">, Sentencias </w:t>
      </w:r>
      <w:hyperlink w:anchor="SENTENCIA_2016_159" w:history="1">
        <w:r w:rsidRPr="00AD3C82">
          <w:rPr>
            <w:rStyle w:val="TextoNormalCaracter"/>
          </w:rPr>
          <w:t>159/2016</w:t>
        </w:r>
      </w:hyperlink>
      <w:r w:rsidRPr="00AD3C82">
        <w:rPr>
          <w:rStyle w:val="TextoNormalCaracter"/>
        </w:rPr>
        <w:t xml:space="preserve">, ff. 2 a 9; </w:t>
      </w:r>
      <w:hyperlink w:anchor="SENTENCIA_2016_162" w:history="1">
        <w:r w:rsidRPr="00AD3C82">
          <w:rPr>
            <w:rStyle w:val="TextoNormalCaracter"/>
          </w:rPr>
          <w:t>162/2016</w:t>
        </w:r>
      </w:hyperlink>
      <w:r w:rsidRPr="00AD3C82">
        <w:rPr>
          <w:rStyle w:val="TextoNormalCaracter"/>
        </w:rPr>
        <w:t>, ff. 2, 4, 5, 7.</w:t>
      </w:r>
    </w:p>
    <w:p w:rsidR="00AD3C82" w:rsidRPr="00AD3C82" w:rsidRDefault="00AD3C82" w:rsidP="00AD3C82">
      <w:pPr>
        <w:pStyle w:val="TextoNormalSangraFrancesa"/>
        <w:rPr>
          <w:rStyle w:val="TextoNormalCaracter"/>
        </w:rPr>
      </w:pPr>
      <w:bookmarkStart w:id="1235" w:name="DESCRIPTORALFABETICO115"/>
      <w:r w:rsidRPr="00AD3C82">
        <w:rPr>
          <w:rStyle w:val="TextoNormalNegritaCaracter"/>
        </w:rPr>
        <w:t>Igualdad en el ejercicio de cargos públicos</w:t>
      </w:r>
      <w:bookmarkEnd w:id="1235"/>
      <w:r w:rsidRPr="00AD3C82">
        <w:rPr>
          <w:rStyle w:val="TextoNormalCaracter"/>
        </w:rPr>
        <w:t xml:space="preserve">, Sentencia </w:t>
      </w:r>
      <w:hyperlink w:anchor="SENTENCIA_2016_212" w:history="1">
        <w:r w:rsidRPr="00AD3C82">
          <w:rPr>
            <w:rStyle w:val="TextoNormalCaracter"/>
          </w:rPr>
          <w:t>212/2016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36" w:name="DESCRIPTORALFABETICO119"/>
      <w:r w:rsidRPr="00AD3C82">
        <w:rPr>
          <w:rStyle w:val="TextoNormalNegritaCaracter"/>
        </w:rPr>
        <w:t>Igualdad en la aplicación de la ley</w:t>
      </w:r>
      <w:bookmarkEnd w:id="1236"/>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Respetada, </w:t>
      </w:r>
      <w:r w:rsidRPr="00AD3C82">
        <w:rPr>
          <w:rStyle w:val="TextoNormalCaracter"/>
        </w:rPr>
        <w:t xml:space="preserve">Auto </w:t>
      </w:r>
      <w:hyperlink w:anchor="AUTO_2016_155" w:history="1">
        <w:r w:rsidRPr="00AD3C82">
          <w:rPr>
            <w:rStyle w:val="TextoNormalCaracter"/>
          </w:rPr>
          <w:t>155/2016</w:t>
        </w:r>
      </w:hyperlink>
      <w:r w:rsidRPr="00AD3C82">
        <w:rPr>
          <w:rStyle w:val="TextoNormalCaracter"/>
        </w:rPr>
        <w:t>, f. 5.</w:t>
      </w:r>
    </w:p>
    <w:p w:rsidR="00AD3C82" w:rsidRPr="00AD3C82" w:rsidRDefault="00AD3C82" w:rsidP="00AD3C82">
      <w:pPr>
        <w:pStyle w:val="TextoNormalSangraFrancesa"/>
        <w:rPr>
          <w:rStyle w:val="TextoNormalCaracter"/>
        </w:rPr>
      </w:pPr>
      <w:bookmarkStart w:id="1237" w:name="DESCRIPTORALFABETICO362"/>
      <w:r w:rsidRPr="00AD3C82">
        <w:rPr>
          <w:rStyle w:val="TextoNormalNegritaCaracter"/>
        </w:rPr>
        <w:t>Igualdad material</w:t>
      </w:r>
      <w:bookmarkEnd w:id="1237"/>
      <w:r w:rsidRPr="00AD3C82">
        <w:rPr>
          <w:rStyle w:val="TextoNormalCaracter"/>
        </w:rPr>
        <w:t xml:space="preserve">, Sentencia </w:t>
      </w:r>
      <w:hyperlink w:anchor="SENTENCIA_2016_162" w:history="1">
        <w:r w:rsidRPr="00AD3C82">
          <w:rPr>
            <w:rStyle w:val="TextoNormalCaracter"/>
          </w:rPr>
          <w:t>162/2016</w:t>
        </w:r>
      </w:hyperlink>
      <w:r w:rsidRPr="00AD3C82">
        <w:rPr>
          <w:rStyle w:val="TextoNormalCaracter"/>
        </w:rPr>
        <w:t>, ff. 2, 4, 5, 7.</w:t>
      </w:r>
    </w:p>
    <w:p w:rsidR="00AD3C82" w:rsidRPr="00AD3C82" w:rsidRDefault="00AD3C82" w:rsidP="00AD3C82">
      <w:pPr>
        <w:pStyle w:val="TextoNormalSangraFrancesa"/>
        <w:rPr>
          <w:rStyle w:val="TextoNormalCaracter"/>
        </w:rPr>
      </w:pPr>
      <w:bookmarkStart w:id="1238" w:name="DESCRIPTORALFABETICO101"/>
      <w:r w:rsidRPr="00AD3C82">
        <w:rPr>
          <w:rStyle w:val="TextoNormalNegritaCaracter"/>
        </w:rPr>
        <w:t>Impuesto sobre el valor añadido</w:t>
      </w:r>
      <w:bookmarkEnd w:id="1238"/>
      <w:r w:rsidRPr="00AD3C82">
        <w:rPr>
          <w:rStyle w:val="TextoNormalCaracter"/>
        </w:rPr>
        <w:t xml:space="preserve">, Sentencias </w:t>
      </w:r>
      <w:hyperlink w:anchor="SENTENCIA_2016_133" w:history="1">
        <w:r w:rsidRPr="00AD3C82">
          <w:rPr>
            <w:rStyle w:val="TextoNormalCaracter"/>
          </w:rPr>
          <w:t>133/2016</w:t>
        </w:r>
      </w:hyperlink>
      <w:r w:rsidRPr="00AD3C82">
        <w:rPr>
          <w:rStyle w:val="TextoNormalCaracter"/>
        </w:rPr>
        <w:t xml:space="preserve">, f. 1; </w:t>
      </w:r>
      <w:hyperlink w:anchor="SENTENCIA_2016_138" w:history="1">
        <w:r w:rsidRPr="00AD3C82">
          <w:rPr>
            <w:rStyle w:val="TextoNormalCaracter"/>
          </w:rPr>
          <w:t>138/2016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239" w:name="DESCRIPTORALFABETICO102"/>
      <w:r w:rsidRPr="00AD3C82">
        <w:rPr>
          <w:rStyle w:val="TextoNormalNegritaCaracter"/>
        </w:rPr>
        <w:t>Impuesto sobre el valor de la producción de la energía eléctrica</w:t>
      </w:r>
      <w:bookmarkEnd w:id="1239"/>
      <w:r w:rsidRPr="00AD3C82">
        <w:rPr>
          <w:rStyle w:val="TextoNormalCaracter"/>
        </w:rPr>
        <w:t xml:space="preserve">, Autos </w:t>
      </w:r>
      <w:hyperlink w:anchor="AUTO_2016_202" w:history="1">
        <w:r w:rsidRPr="00AD3C82">
          <w:rPr>
            <w:rStyle w:val="TextoNormalCaracter"/>
          </w:rPr>
          <w:t>202/2016</w:t>
        </w:r>
      </w:hyperlink>
      <w:r w:rsidRPr="00AD3C82">
        <w:rPr>
          <w:rStyle w:val="TextoNormalCaracter"/>
        </w:rPr>
        <w:t xml:space="preserve">, f. 1; </w:t>
      </w:r>
      <w:hyperlink w:anchor="AUTO_2016_203" w:history="1">
        <w:r w:rsidRPr="00AD3C82">
          <w:rPr>
            <w:rStyle w:val="TextoNormalCaracter"/>
          </w:rPr>
          <w:t>203/2016</w:t>
        </w:r>
      </w:hyperlink>
      <w:r w:rsidRPr="00AD3C82">
        <w:rPr>
          <w:rStyle w:val="TextoNormalCaracter"/>
        </w:rPr>
        <w:t xml:space="preserve">, f. 1; </w:t>
      </w:r>
      <w:hyperlink w:anchor="AUTO_2016_204" w:history="1">
        <w:r w:rsidRPr="00AD3C82">
          <w:rPr>
            <w:rStyle w:val="TextoNormalCaracter"/>
          </w:rPr>
          <w:t>204/2016</w:t>
        </w:r>
      </w:hyperlink>
      <w:r w:rsidRPr="00AD3C82">
        <w:rPr>
          <w:rStyle w:val="TextoNormalCaracter"/>
        </w:rPr>
        <w:t xml:space="preserve">, f. 1; </w:t>
      </w:r>
      <w:hyperlink w:anchor="AUTO_2016_205" w:history="1">
        <w:r w:rsidRPr="00AD3C82">
          <w:rPr>
            <w:rStyle w:val="TextoNormalCaracter"/>
          </w:rPr>
          <w:t>205/2016</w:t>
        </w:r>
      </w:hyperlink>
      <w:r w:rsidRPr="00AD3C82">
        <w:rPr>
          <w:rStyle w:val="TextoNormalCaracter"/>
        </w:rPr>
        <w:t>, f. 1.</w:t>
      </w:r>
    </w:p>
    <w:p w:rsidR="00AD3C82" w:rsidRPr="00AD3C82" w:rsidRDefault="00AD3C82" w:rsidP="00AD3C82">
      <w:pPr>
        <w:pStyle w:val="TextoNormalSangraFrancesa"/>
        <w:rPr>
          <w:rStyle w:val="TextoNormalCaracter"/>
        </w:rPr>
      </w:pPr>
      <w:bookmarkStart w:id="1240" w:name="DESCRIPTORALFABETICO103"/>
      <w:r w:rsidRPr="00AD3C82">
        <w:rPr>
          <w:rStyle w:val="TextoNormalNegritaCaracter"/>
        </w:rPr>
        <w:t>Impuesto sobre la renta de las personas físicas</w:t>
      </w:r>
      <w:bookmarkEnd w:id="1240"/>
      <w:r w:rsidRPr="00AD3C82">
        <w:rPr>
          <w:rStyle w:val="TextoNormalCaracter"/>
        </w:rPr>
        <w:t xml:space="preserve">, Sentencia </w:t>
      </w:r>
      <w:hyperlink w:anchor="SENTENCIA_2016_203" w:history="1">
        <w:r w:rsidRPr="00AD3C82">
          <w:rPr>
            <w:rStyle w:val="TextoNormalCaracter"/>
          </w:rPr>
          <w:t>203/2016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241" w:name="DESCRIPTORALFABETICO104"/>
      <w:r w:rsidRPr="00AD3C82">
        <w:rPr>
          <w:rStyle w:val="TextoNormalNegritaCaracter"/>
        </w:rPr>
        <w:t>Impuesto sobre sociedades</w:t>
      </w:r>
      <w:bookmarkEnd w:id="1241"/>
      <w:r w:rsidRPr="00AD3C82">
        <w:rPr>
          <w:rStyle w:val="TextoNormalCaracter"/>
        </w:rPr>
        <w:t xml:space="preserve">, Sentencia </w:t>
      </w:r>
      <w:hyperlink w:anchor="SENTENCIA_2016_133" w:history="1">
        <w:r w:rsidRPr="00AD3C82">
          <w:rPr>
            <w:rStyle w:val="TextoNormalCaracter"/>
          </w:rPr>
          <w:t>133/2016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242" w:name="DESCRIPTORALFABETICO241"/>
      <w:r w:rsidRPr="00AD3C82">
        <w:rPr>
          <w:rStyle w:val="TextoNormalNegritaCaracter"/>
        </w:rPr>
        <w:t>Impugnación de preceptos no recogidos en el suplico de la demanda</w:t>
      </w:r>
      <w:bookmarkEnd w:id="1242"/>
      <w:r w:rsidRPr="00AD3C82">
        <w:rPr>
          <w:rStyle w:val="TextoNormalCaracter"/>
        </w:rPr>
        <w:t xml:space="preserve">, Sentencia </w:t>
      </w:r>
      <w:hyperlink w:anchor="SENTENCIA_2016_213" w:history="1">
        <w:r w:rsidRPr="00AD3C82">
          <w:rPr>
            <w:rStyle w:val="TextoNormalCaracter"/>
          </w:rPr>
          <w:t>213/2016</w:t>
        </w:r>
      </w:hyperlink>
      <w:r w:rsidRPr="00AD3C82">
        <w:rPr>
          <w:rStyle w:val="TextoNormalCaracter"/>
        </w:rPr>
        <w:t>, f. 7.</w:t>
      </w:r>
    </w:p>
    <w:p w:rsidR="00AD3C82" w:rsidRPr="00AD3C82" w:rsidRDefault="00AD3C82" w:rsidP="00AD3C82">
      <w:pPr>
        <w:pStyle w:val="TextoNormalSangraFrancesa"/>
        <w:rPr>
          <w:rStyle w:val="TextoNormalCaracter"/>
        </w:rPr>
      </w:pPr>
      <w:bookmarkStart w:id="1243" w:name="DESCRIPTORALFABETICO200"/>
      <w:r w:rsidRPr="00AD3C82">
        <w:rPr>
          <w:rStyle w:val="TextoNormalNegritaCaracter"/>
        </w:rPr>
        <w:t>Impugnación por conexión</w:t>
      </w:r>
      <w:bookmarkEnd w:id="1243"/>
      <w:r w:rsidRPr="00AD3C82">
        <w:rPr>
          <w:rStyle w:val="TextoNormalCaracter"/>
        </w:rPr>
        <w:t xml:space="preserve">, Sentencia </w:t>
      </w:r>
      <w:hyperlink w:anchor="SENTENCIA_2016_171" w:history="1">
        <w:r w:rsidRPr="00AD3C82">
          <w:rPr>
            <w:rStyle w:val="TextoNormalCaracter"/>
          </w:rPr>
          <w:t>171/2016</w:t>
        </w:r>
      </w:hyperlink>
      <w:r w:rsidRPr="00AD3C82">
        <w:rPr>
          <w:rStyle w:val="TextoNormalCaracter"/>
        </w:rPr>
        <w:t>, f. 7.</w:t>
      </w:r>
    </w:p>
    <w:p w:rsidR="00AD3C82" w:rsidRPr="00AD3C82" w:rsidRDefault="00AD3C82" w:rsidP="00AD3C82">
      <w:pPr>
        <w:pStyle w:val="TextoNormalSangraFrancesa"/>
        <w:rPr>
          <w:rStyle w:val="TextoNormalCaracter"/>
        </w:rPr>
      </w:pPr>
      <w:bookmarkStart w:id="1244" w:name="DESCRIPTORALFABETICO215"/>
      <w:r w:rsidRPr="00AD3C82">
        <w:rPr>
          <w:rStyle w:val="TextoNormalNegritaCaracter"/>
        </w:rPr>
        <w:t>Inadmisión de conflicto positivo de competencia por sentencia</w:t>
      </w:r>
      <w:bookmarkEnd w:id="1244"/>
      <w:r w:rsidRPr="00AD3C82">
        <w:rPr>
          <w:rStyle w:val="TextoNormalCaracter"/>
        </w:rPr>
        <w:t xml:space="preserve">, Sentencia </w:t>
      </w:r>
      <w:hyperlink w:anchor="SENTENCIA_2016_216" w:history="1">
        <w:r w:rsidRPr="00AD3C82">
          <w:rPr>
            <w:rStyle w:val="TextoNormalCaracter"/>
          </w:rPr>
          <w:t>216/2016</w:t>
        </w:r>
      </w:hyperlink>
      <w:r w:rsidRPr="00AD3C82">
        <w:rPr>
          <w:rStyle w:val="TextoNormalCaracter"/>
        </w:rPr>
        <w:t>, f. 7.</w:t>
      </w:r>
    </w:p>
    <w:p w:rsidR="00AD3C82" w:rsidRPr="00AD3C82" w:rsidRDefault="00AD3C82" w:rsidP="00AD3C82">
      <w:pPr>
        <w:pStyle w:val="TextoNormalSangraFrancesa"/>
        <w:rPr>
          <w:rStyle w:val="TextoNormalCaracter"/>
        </w:rPr>
      </w:pPr>
      <w:bookmarkStart w:id="1245" w:name="DESCRIPTORALFABETICO218"/>
      <w:r w:rsidRPr="00AD3C82">
        <w:rPr>
          <w:rStyle w:val="TextoNormalNegritaCaracter"/>
        </w:rPr>
        <w:t>Inadmisión de cuestión de inconstitucionalidad</w:t>
      </w:r>
      <w:bookmarkEnd w:id="1245"/>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ff. 2, 3; </w:t>
      </w:r>
      <w:hyperlink w:anchor="SENTENCIA_2016_175" w:history="1">
        <w:r w:rsidRPr="00AD3C82">
          <w:rPr>
            <w:rStyle w:val="TextoNormalCaracter"/>
          </w:rPr>
          <w:t>175/2016</w:t>
        </w:r>
      </w:hyperlink>
      <w:r w:rsidRPr="00AD3C82">
        <w:rPr>
          <w:rStyle w:val="TextoNormalCaracter"/>
        </w:rPr>
        <w:t>, ff. 4, 5.</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43" w:history="1">
        <w:r w:rsidRPr="00AD3C82">
          <w:rPr>
            <w:rStyle w:val="TextoNormalCaracter"/>
          </w:rPr>
          <w:t>143/2016</w:t>
        </w:r>
      </w:hyperlink>
      <w:r w:rsidRPr="00AD3C82">
        <w:rPr>
          <w:rStyle w:val="TextoNormalCaracter"/>
        </w:rPr>
        <w:t xml:space="preserve">, f. 2; </w:t>
      </w:r>
      <w:hyperlink w:anchor="AUTO_2016_145" w:history="1">
        <w:r w:rsidRPr="00AD3C82">
          <w:rPr>
            <w:rStyle w:val="TextoNormalCaracter"/>
          </w:rPr>
          <w:t>145/2016</w:t>
        </w:r>
      </w:hyperlink>
      <w:r w:rsidRPr="00AD3C82">
        <w:rPr>
          <w:rStyle w:val="TextoNormalCaracter"/>
        </w:rPr>
        <w:t xml:space="preserve">, ff. 1 a 3; </w:t>
      </w:r>
      <w:hyperlink w:anchor="AUTO_2016_146" w:history="1">
        <w:r w:rsidRPr="00AD3C82">
          <w:rPr>
            <w:rStyle w:val="TextoNormalCaracter"/>
          </w:rPr>
          <w:t>146/2016</w:t>
        </w:r>
      </w:hyperlink>
      <w:r w:rsidRPr="00AD3C82">
        <w:rPr>
          <w:rStyle w:val="TextoNormalCaracter"/>
        </w:rPr>
        <w:t xml:space="preserve">, ff. 2 a 5; </w:t>
      </w:r>
      <w:hyperlink w:anchor="AUTO_2016_159" w:history="1">
        <w:r w:rsidRPr="00AD3C82">
          <w:rPr>
            <w:rStyle w:val="TextoNormalCaracter"/>
          </w:rPr>
          <w:t>159/2016</w:t>
        </w:r>
      </w:hyperlink>
      <w:r w:rsidRPr="00AD3C82">
        <w:rPr>
          <w:rStyle w:val="TextoNormalCaracter"/>
        </w:rPr>
        <w:t xml:space="preserve">, ff. 1 a 3; </w:t>
      </w:r>
      <w:hyperlink w:anchor="AUTO_2016_168" w:history="1">
        <w:r w:rsidRPr="00AD3C82">
          <w:rPr>
            <w:rStyle w:val="TextoNormalCaracter"/>
          </w:rPr>
          <w:t>168/2016</w:t>
        </w:r>
      </w:hyperlink>
      <w:r w:rsidRPr="00AD3C82">
        <w:rPr>
          <w:rStyle w:val="TextoNormalCaracter"/>
        </w:rPr>
        <w:t xml:space="preserve">, ff. 4, 5; </w:t>
      </w:r>
      <w:hyperlink w:anchor="AUTO_2016_176" w:history="1">
        <w:r w:rsidRPr="00AD3C82">
          <w:rPr>
            <w:rStyle w:val="TextoNormalCaracter"/>
          </w:rPr>
          <w:t>176/2016</w:t>
        </w:r>
      </w:hyperlink>
      <w:r w:rsidRPr="00AD3C82">
        <w:rPr>
          <w:rStyle w:val="TextoNormalCaracter"/>
        </w:rPr>
        <w:t xml:space="preserve">, ff. 2, 7; </w:t>
      </w:r>
      <w:hyperlink w:anchor="AUTO_2016_180" w:history="1">
        <w:r w:rsidRPr="00AD3C82">
          <w:rPr>
            <w:rStyle w:val="TextoNormalCaracter"/>
          </w:rPr>
          <w:t>180/2016</w:t>
        </w:r>
      </w:hyperlink>
      <w:r w:rsidRPr="00AD3C82">
        <w:rPr>
          <w:rStyle w:val="TextoNormalCaracter"/>
        </w:rPr>
        <w:t xml:space="preserve">, f. 4; </w:t>
      </w:r>
      <w:hyperlink w:anchor="AUTO_2016_182" w:history="1">
        <w:r w:rsidRPr="00AD3C82">
          <w:rPr>
            <w:rStyle w:val="TextoNormalCaracter"/>
          </w:rPr>
          <w:t>182/2016</w:t>
        </w:r>
      </w:hyperlink>
      <w:r w:rsidRPr="00AD3C82">
        <w:rPr>
          <w:rStyle w:val="TextoNormalCaracter"/>
        </w:rPr>
        <w:t xml:space="preserve">, ff. 2 a 4; </w:t>
      </w:r>
      <w:hyperlink w:anchor="AUTO_2016_184" w:history="1">
        <w:r w:rsidRPr="00AD3C82">
          <w:rPr>
            <w:rStyle w:val="TextoNormalCaracter"/>
          </w:rPr>
          <w:t>184/2016</w:t>
        </w:r>
      </w:hyperlink>
      <w:r w:rsidRPr="00AD3C82">
        <w:rPr>
          <w:rStyle w:val="TextoNormalCaracter"/>
        </w:rPr>
        <w:t xml:space="preserve">, f. 2; </w:t>
      </w:r>
      <w:hyperlink w:anchor="AUTO_2016_197" w:history="1">
        <w:r w:rsidRPr="00AD3C82">
          <w:rPr>
            <w:rStyle w:val="TextoNormalCaracter"/>
          </w:rPr>
          <w:t>197/2016</w:t>
        </w:r>
      </w:hyperlink>
      <w:r w:rsidRPr="00AD3C82">
        <w:rPr>
          <w:rStyle w:val="TextoNormalCaracter"/>
        </w:rPr>
        <w:t xml:space="preserve">, ff. 5 a 7; </w:t>
      </w:r>
      <w:hyperlink w:anchor="AUTO_2016_198" w:history="1">
        <w:r w:rsidRPr="00AD3C82">
          <w:rPr>
            <w:rStyle w:val="TextoNormalCaracter"/>
          </w:rPr>
          <w:t>198/2016</w:t>
        </w:r>
      </w:hyperlink>
      <w:r w:rsidRPr="00AD3C82">
        <w:rPr>
          <w:rStyle w:val="TextoNormalCaracter"/>
        </w:rPr>
        <w:t>, ff. 2 a 7.</w:t>
      </w:r>
    </w:p>
    <w:p w:rsidR="00AD3C82" w:rsidRPr="00AD3C82" w:rsidRDefault="00AD3C82" w:rsidP="00AD3C82">
      <w:pPr>
        <w:pStyle w:val="TextoNormalSangraFrancesa"/>
        <w:rPr>
          <w:rStyle w:val="TextoNormalCaracter"/>
        </w:rPr>
      </w:pPr>
      <w:bookmarkStart w:id="1246" w:name="DESCRIPTORALFABETICO221"/>
      <w:r w:rsidRPr="00AD3C82">
        <w:rPr>
          <w:rStyle w:val="TextoNormalNegritaCaracter"/>
        </w:rPr>
        <w:t>Inadmisión de cuestión de inconstitucionalidad por falta de requisitos procesales</w:t>
      </w:r>
      <w:bookmarkEnd w:id="1246"/>
      <w:r w:rsidRPr="00AD3C82">
        <w:rPr>
          <w:rStyle w:val="TextoNormalCaracter"/>
        </w:rPr>
        <w:t xml:space="preserve">, Sentencia </w:t>
      </w:r>
      <w:hyperlink w:anchor="SENTENCIA_2016_134" w:history="1">
        <w:r w:rsidRPr="00AD3C82">
          <w:rPr>
            <w:rStyle w:val="TextoNormalCaracter"/>
          </w:rPr>
          <w:t>134/2016</w:t>
        </w:r>
      </w:hyperlink>
      <w:r w:rsidRPr="00AD3C82">
        <w:rPr>
          <w:rStyle w:val="TextoNormalCaracter"/>
        </w:rPr>
        <w:t>, f. 2.</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38" w:history="1">
        <w:r w:rsidRPr="00AD3C82">
          <w:rPr>
            <w:rStyle w:val="TextoNormalCaracter"/>
          </w:rPr>
          <w:t>138/2016</w:t>
        </w:r>
      </w:hyperlink>
      <w:r w:rsidRPr="00AD3C82">
        <w:rPr>
          <w:rStyle w:val="TextoNormalCaracter"/>
        </w:rPr>
        <w:t xml:space="preserve">, f. 3; </w:t>
      </w:r>
      <w:hyperlink w:anchor="AUTO_2016_139" w:history="1">
        <w:r w:rsidRPr="00AD3C82">
          <w:rPr>
            <w:rStyle w:val="TextoNormalCaracter"/>
          </w:rPr>
          <w:t>139/2016</w:t>
        </w:r>
      </w:hyperlink>
      <w:r w:rsidRPr="00AD3C82">
        <w:rPr>
          <w:rStyle w:val="TextoNormalCaracter"/>
        </w:rPr>
        <w:t xml:space="preserve">, f. 3; </w:t>
      </w:r>
      <w:hyperlink w:anchor="AUTO_2016_156" w:history="1">
        <w:r w:rsidRPr="00AD3C82">
          <w:rPr>
            <w:rStyle w:val="TextoNormalCaracter"/>
          </w:rPr>
          <w:t>156/2016</w:t>
        </w:r>
      </w:hyperlink>
      <w:r w:rsidRPr="00AD3C82">
        <w:rPr>
          <w:rStyle w:val="TextoNormalCaracter"/>
        </w:rPr>
        <w:t xml:space="preserve">, f. 3; </w:t>
      </w:r>
      <w:hyperlink w:anchor="AUTO_2016_167" w:history="1">
        <w:r w:rsidRPr="00AD3C82">
          <w:rPr>
            <w:rStyle w:val="TextoNormalCaracter"/>
          </w:rPr>
          <w:t>167/2016</w:t>
        </w:r>
      </w:hyperlink>
      <w:r w:rsidRPr="00AD3C82">
        <w:rPr>
          <w:rStyle w:val="TextoNormalCaracter"/>
        </w:rPr>
        <w:t xml:space="preserve">, ff. 3, 4; </w:t>
      </w:r>
      <w:hyperlink w:anchor="AUTO_2016_198" w:history="1">
        <w:r w:rsidRPr="00AD3C82">
          <w:rPr>
            <w:rStyle w:val="TextoNormalCaracter"/>
          </w:rPr>
          <w:t>198/2016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247" w:name="DESCRIPTORALFABETICO222"/>
      <w:r w:rsidRPr="00AD3C82">
        <w:rPr>
          <w:rStyle w:val="TextoNormalNegritaCaracter"/>
        </w:rPr>
        <w:t>Inadmisión de cuestión de inconstitucionalidad por sentencia</w:t>
      </w:r>
      <w:bookmarkEnd w:id="1247"/>
      <w:r w:rsidRPr="00AD3C82">
        <w:rPr>
          <w:rStyle w:val="TextoNormalCaracter"/>
        </w:rPr>
        <w:t xml:space="preserve">, Sentencia </w:t>
      </w:r>
      <w:hyperlink w:anchor="SENTENCIA_2016_204" w:history="1">
        <w:r w:rsidRPr="00AD3C82">
          <w:rPr>
            <w:rStyle w:val="TextoNormalCaracter"/>
          </w:rPr>
          <w:t>204/2016</w:t>
        </w:r>
      </w:hyperlink>
      <w:r w:rsidRPr="00AD3C82">
        <w:rPr>
          <w:rStyle w:val="TextoNormalCaracter"/>
        </w:rPr>
        <w:t>, f. 4.</w:t>
      </w:r>
    </w:p>
    <w:p w:rsidR="00AD3C82" w:rsidRPr="00AD3C82" w:rsidRDefault="00AD3C82" w:rsidP="00AD3C82">
      <w:pPr>
        <w:pStyle w:val="TextoNormalSangraFrancesa"/>
        <w:rPr>
          <w:rStyle w:val="TextoNormalCaracter"/>
        </w:rPr>
      </w:pPr>
      <w:bookmarkStart w:id="1248" w:name="DESCRIPTORALFABETICO655"/>
      <w:r w:rsidRPr="00AD3C82">
        <w:rPr>
          <w:rStyle w:val="TextoNormalNegritaCaracter"/>
        </w:rPr>
        <w:t>Inadmisión de recurso contencioso-administrativo</w:t>
      </w:r>
      <w:bookmarkEnd w:id="1248"/>
      <w:r w:rsidRPr="00AD3C82">
        <w:rPr>
          <w:rStyle w:val="TextoNormalCaracter"/>
        </w:rPr>
        <w:t xml:space="preserve">, Sentencia </w:t>
      </w:r>
      <w:hyperlink w:anchor="SENTENCIA_2016_163" w:history="1">
        <w:r w:rsidRPr="00AD3C82">
          <w:rPr>
            <w:rStyle w:val="TextoNormalCaracter"/>
          </w:rPr>
          <w:t>163/2016</w:t>
        </w:r>
      </w:hyperlink>
      <w:r w:rsidRPr="00AD3C82">
        <w:rPr>
          <w:rStyle w:val="TextoNormalCaracter"/>
        </w:rPr>
        <w:t>, ff. 1, 3 a 5.</w:t>
      </w:r>
    </w:p>
    <w:p w:rsidR="00AD3C82" w:rsidRPr="00AD3C82" w:rsidRDefault="00AD3C82" w:rsidP="00AD3C82">
      <w:pPr>
        <w:pStyle w:val="TextoNormalSangraFrancesa"/>
        <w:rPr>
          <w:rStyle w:val="TextoNormalCaracter"/>
        </w:rPr>
      </w:pPr>
      <w:bookmarkStart w:id="1249" w:name="DESCRIPTORALFABETICO269"/>
      <w:r w:rsidRPr="00AD3C82">
        <w:rPr>
          <w:rStyle w:val="TextoNormalNegritaCaracter"/>
        </w:rPr>
        <w:t>Inadmisión de recurso de amparo por Auto</w:t>
      </w:r>
      <w:bookmarkEnd w:id="1249"/>
      <w:r w:rsidRPr="00AD3C82">
        <w:rPr>
          <w:rStyle w:val="TextoNormalCaracter"/>
        </w:rPr>
        <w:t xml:space="preserve">, Autos </w:t>
      </w:r>
      <w:hyperlink w:anchor="AUTO_2016_148" w:history="1">
        <w:r w:rsidRPr="00AD3C82">
          <w:rPr>
            <w:rStyle w:val="TextoNormalCaracter"/>
          </w:rPr>
          <w:t>148/2016</w:t>
        </w:r>
      </w:hyperlink>
      <w:r w:rsidRPr="00AD3C82">
        <w:rPr>
          <w:rStyle w:val="TextoNormalCaracter"/>
        </w:rPr>
        <w:t xml:space="preserve">, f. 2; </w:t>
      </w:r>
      <w:hyperlink w:anchor="AUTO_2016_155" w:history="1">
        <w:r w:rsidRPr="00AD3C82">
          <w:rPr>
            <w:rStyle w:val="TextoNormalCaracter"/>
          </w:rPr>
          <w:t>155/2016</w:t>
        </w:r>
      </w:hyperlink>
      <w:r w:rsidRPr="00AD3C82">
        <w:rPr>
          <w:rStyle w:val="TextoNormalCaracter"/>
        </w:rPr>
        <w:t>, f. 1, VP II.</w:t>
      </w:r>
    </w:p>
    <w:p w:rsidR="00AD3C82" w:rsidRPr="00AD3C82" w:rsidRDefault="00AD3C82" w:rsidP="00AD3C82">
      <w:pPr>
        <w:pStyle w:val="TextoNormalSangraFrancesa"/>
        <w:rPr>
          <w:rStyle w:val="TextoNormalCaracter"/>
        </w:rPr>
      </w:pPr>
      <w:bookmarkStart w:id="1250" w:name="DESCRIPTORALFABETICO270"/>
      <w:r w:rsidRPr="00AD3C82">
        <w:rPr>
          <w:rStyle w:val="TextoNormalNegritaCaracter"/>
        </w:rPr>
        <w:t>Inadmisión de recurso de amparo por sentencia</w:t>
      </w:r>
      <w:bookmarkEnd w:id="1250"/>
      <w:r w:rsidRPr="00AD3C82">
        <w:rPr>
          <w:rStyle w:val="TextoNormalCaracter"/>
        </w:rPr>
        <w:t xml:space="preserve">, Sentencia </w:t>
      </w:r>
      <w:hyperlink w:anchor="SENTENCIA_2016_189" w:history="1">
        <w:r w:rsidRPr="00AD3C82">
          <w:rPr>
            <w:rStyle w:val="TextoNormalCaracter"/>
          </w:rPr>
          <w:t>189/2016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51" w:name="DESCRIPTORALFABETICO659"/>
      <w:r w:rsidRPr="00AD3C82">
        <w:rPr>
          <w:rStyle w:val="TextoNormalNegritaCaracter"/>
        </w:rPr>
        <w:t>Inadmisión de recurso de suplicación</w:t>
      </w:r>
      <w:bookmarkEnd w:id="1251"/>
      <w:r w:rsidRPr="00AD3C82">
        <w:rPr>
          <w:rStyle w:val="TextoNormalCaracter"/>
        </w:rPr>
        <w:t xml:space="preserve">, Sentencia </w:t>
      </w:r>
      <w:hyperlink w:anchor="SENTENCIA_2016_149" w:history="1">
        <w:r w:rsidRPr="00AD3C82">
          <w:rPr>
            <w:rStyle w:val="TextoNormalCaracter"/>
          </w:rPr>
          <w:t>149/2016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252" w:name="DESCRIPTORALFABETICO661"/>
      <w:r w:rsidRPr="00AD3C82">
        <w:rPr>
          <w:rStyle w:val="TextoNormalNegritaCaracter"/>
        </w:rPr>
        <w:t>Inadmisión de recurso de suplicación fundada en causa legal</w:t>
      </w:r>
      <w:bookmarkEnd w:id="1252"/>
      <w:r w:rsidRPr="00AD3C82">
        <w:rPr>
          <w:rStyle w:val="TextoNormalCaracter"/>
        </w:rPr>
        <w:t xml:space="preserve">, Sentencia </w:t>
      </w:r>
      <w:hyperlink w:anchor="SENTENCIA_2016_166" w:history="1">
        <w:r w:rsidRPr="00AD3C82">
          <w:rPr>
            <w:rStyle w:val="TextoNormalCaracter"/>
          </w:rPr>
          <w:t>166/2016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253" w:name="DESCRIPTORALFABETICO517"/>
      <w:r w:rsidRPr="00AD3C82">
        <w:rPr>
          <w:rStyle w:val="TextoNormalNegritaCaracter"/>
        </w:rPr>
        <w:t>Inaplicación de ley sin plantear cuestión de inconstitucionalidad</w:t>
      </w:r>
      <w:bookmarkEnd w:id="1253"/>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 2; </w:t>
      </w:r>
      <w:hyperlink w:anchor="SENTENCIA_2016_204" w:history="1">
        <w:r w:rsidRPr="00AD3C82">
          <w:rPr>
            <w:rStyle w:val="TextoNormalCaracter"/>
          </w:rPr>
          <w:t>204/2016</w:t>
        </w:r>
      </w:hyperlink>
      <w:r w:rsidRPr="00AD3C82">
        <w:rPr>
          <w:rStyle w:val="TextoNormalCaracter"/>
        </w:rPr>
        <w:t>, f. 3, VP I, VP II.</w:t>
      </w:r>
    </w:p>
    <w:p w:rsidR="00AD3C82" w:rsidRPr="00AD3C82" w:rsidRDefault="00AD3C82" w:rsidP="00AD3C82">
      <w:pPr>
        <w:pStyle w:val="TextoNormalSangraFrancesa"/>
        <w:rPr>
          <w:rStyle w:val="TextoNormalCaracter"/>
        </w:rPr>
      </w:pPr>
      <w:bookmarkStart w:id="1254" w:name="DESCRIPTORALFABETICO516"/>
      <w:r w:rsidRPr="00AD3C82">
        <w:rPr>
          <w:rStyle w:val="TextoNormalNegritaCaracter"/>
        </w:rPr>
        <w:t>Inaplicación de normas jurídicas</w:t>
      </w:r>
      <w:bookmarkEnd w:id="1254"/>
      <w:r w:rsidRPr="00AD3C82">
        <w:rPr>
          <w:rStyle w:val="TextoNormalCaracter"/>
        </w:rPr>
        <w:t xml:space="preserve">, Sentencia </w:t>
      </w:r>
      <w:hyperlink w:anchor="SENTENCIA_2016_127" w:history="1">
        <w:r w:rsidRPr="00AD3C82">
          <w:rPr>
            <w:rStyle w:val="TextoNormalCaracter"/>
          </w:rPr>
          <w:t>127/2016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55" w:name="DESCRIPTORALFABETICO631"/>
      <w:r w:rsidRPr="00AD3C82">
        <w:rPr>
          <w:rStyle w:val="TextoNormalNegritaCaracter"/>
        </w:rPr>
        <w:t>Incidente de nulidad de actuaciones</w:t>
      </w:r>
      <w:bookmarkEnd w:id="1255"/>
      <w:r w:rsidRPr="00AD3C82">
        <w:rPr>
          <w:rStyle w:val="TextoNormalCaracter"/>
        </w:rPr>
        <w:t xml:space="preserve">, Sentencias </w:t>
      </w:r>
      <w:hyperlink w:anchor="SENTENCIA_2016_148" w:history="1">
        <w:r w:rsidRPr="00AD3C82">
          <w:rPr>
            <w:rStyle w:val="TextoNormalCaracter"/>
          </w:rPr>
          <w:t>148/2016</w:t>
        </w:r>
      </w:hyperlink>
      <w:r w:rsidRPr="00AD3C82">
        <w:rPr>
          <w:rStyle w:val="TextoNormalCaracter"/>
        </w:rPr>
        <w:t xml:space="preserve">, f. 2; </w:t>
      </w:r>
      <w:hyperlink w:anchor="SENTENCIA_2016_189" w:history="1">
        <w:r w:rsidRPr="00AD3C82">
          <w:rPr>
            <w:rStyle w:val="TextoNormalCaracter"/>
          </w:rPr>
          <w:t>189/2016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56" w:name="DESCRIPTORALFABETICO632"/>
      <w:r w:rsidRPr="00AD3C82">
        <w:rPr>
          <w:rStyle w:val="TextoNormalNegritaCaracter"/>
        </w:rPr>
        <w:t>Incidente de nulidad de actuaciones procedente</w:t>
      </w:r>
      <w:bookmarkEnd w:id="1256"/>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57" w:name="DESCRIPTORALFABETICO148"/>
      <w:r w:rsidRPr="00AD3C82">
        <w:rPr>
          <w:rStyle w:val="TextoNormalNegritaCaracter"/>
        </w:rPr>
        <w:t>Incongruencia omisiva</w:t>
      </w:r>
      <w:bookmarkEnd w:id="1257"/>
      <w:r w:rsidRPr="00AD3C82">
        <w:rPr>
          <w:rStyle w:val="TextoNormalCaracter"/>
        </w:rPr>
        <w:t xml:space="preserve">, Sentencia </w:t>
      </w:r>
      <w:hyperlink w:anchor="SENTENCIA_2016_198" w:history="1">
        <w:r w:rsidRPr="00AD3C82">
          <w:rPr>
            <w:rStyle w:val="TextoNormalCaracter"/>
          </w:rPr>
          <w:t>198/2016</w:t>
        </w:r>
      </w:hyperlink>
      <w:r w:rsidRPr="00AD3C82">
        <w:rPr>
          <w:rStyle w:val="TextoNormalCaracter"/>
        </w:rPr>
        <w:t>, f. 5.</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 5 a).</w:t>
      </w:r>
    </w:p>
    <w:p w:rsidR="00AD3C82" w:rsidRPr="00AD3C82" w:rsidRDefault="00AD3C82" w:rsidP="00AD3C82">
      <w:pPr>
        <w:pStyle w:val="TextoNormalSangraFrancesa"/>
        <w:rPr>
          <w:rStyle w:val="TextoNormalCaracter"/>
        </w:rPr>
      </w:pPr>
      <w:bookmarkStart w:id="1258" w:name="DESCRIPTORALFABETICO229"/>
      <w:r w:rsidRPr="00AD3C82">
        <w:rPr>
          <w:rStyle w:val="TextoNormalNegritaCaracter"/>
        </w:rPr>
        <w:t>Inconstitucionalidad mediata</w:t>
      </w:r>
      <w:bookmarkEnd w:id="1258"/>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 2; </w:t>
      </w:r>
      <w:hyperlink w:anchor="SENTENCIA_2016_157" w:history="1">
        <w:r w:rsidRPr="00AD3C82">
          <w:rPr>
            <w:rStyle w:val="TextoNormalCaracter"/>
          </w:rPr>
          <w:t>157/2016</w:t>
        </w:r>
      </w:hyperlink>
      <w:r w:rsidRPr="00AD3C82">
        <w:rPr>
          <w:rStyle w:val="TextoNormalCaracter"/>
        </w:rPr>
        <w:t xml:space="preserve">, ff. 1, 2, 8, 9; </w:t>
      </w:r>
      <w:hyperlink w:anchor="SENTENCIA_2016_164" w:history="1">
        <w:r w:rsidRPr="00AD3C82">
          <w:rPr>
            <w:rStyle w:val="TextoNormalCaracter"/>
          </w:rPr>
          <w:t>164/2016</w:t>
        </w:r>
      </w:hyperlink>
      <w:r w:rsidRPr="00AD3C82">
        <w:rPr>
          <w:rStyle w:val="TextoNormalCaracter"/>
        </w:rPr>
        <w:t xml:space="preserve">, ff. 3 a 7; </w:t>
      </w:r>
      <w:hyperlink w:anchor="SENTENCIA_2016_193" w:history="1">
        <w:r w:rsidRPr="00AD3C82">
          <w:rPr>
            <w:rStyle w:val="TextoNormalCaracter"/>
          </w:rPr>
          <w:t>193/2016</w:t>
        </w:r>
      </w:hyperlink>
      <w:r w:rsidRPr="00AD3C82">
        <w:rPr>
          <w:rStyle w:val="TextoNormalCaracter"/>
        </w:rPr>
        <w:t xml:space="preserve">, ff. 3 a 5; </w:t>
      </w:r>
      <w:hyperlink w:anchor="SENTENCIA_2016_204" w:history="1">
        <w:r w:rsidRPr="00AD3C82">
          <w:rPr>
            <w:rStyle w:val="TextoNormalCaracter"/>
          </w:rPr>
          <w:t>204/2016</w:t>
        </w:r>
      </w:hyperlink>
      <w:r w:rsidRPr="00AD3C82">
        <w:rPr>
          <w:rStyle w:val="TextoNormalCaracter"/>
        </w:rPr>
        <w:t xml:space="preserve">, ff. 2, 3; </w:t>
      </w:r>
      <w:hyperlink w:anchor="SENTENCIA_2016_211" w:history="1">
        <w:r w:rsidRPr="00AD3C82">
          <w:rPr>
            <w:rStyle w:val="TextoNormalCaracter"/>
          </w:rPr>
          <w:t>211/2016</w:t>
        </w:r>
      </w:hyperlink>
      <w:r w:rsidRPr="00AD3C82">
        <w:rPr>
          <w:rStyle w:val="TextoNormalCaracter"/>
        </w:rPr>
        <w:t>, ff. 6 a 9.</w:t>
      </w:r>
    </w:p>
    <w:p w:rsidR="00AD3C82" w:rsidRPr="00AD3C82" w:rsidRDefault="00AD3C82" w:rsidP="00AD3C82">
      <w:pPr>
        <w:pStyle w:val="TextoNormalSangraFrancesa"/>
        <w:rPr>
          <w:rStyle w:val="TextoNormalCaracter"/>
        </w:rPr>
      </w:pPr>
      <w:bookmarkStart w:id="1259" w:name="DESCRIPTORALFABETICO231"/>
      <w:r w:rsidRPr="00AD3C82">
        <w:rPr>
          <w:rStyle w:val="TextoNormalNegritaCaracter"/>
        </w:rPr>
        <w:t>Inconstitucionalidad sobrevenida</w:t>
      </w:r>
      <w:bookmarkEnd w:id="1259"/>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 2; </w:t>
      </w:r>
      <w:hyperlink w:anchor="SENTENCIA_2016_204" w:history="1">
        <w:r w:rsidRPr="00AD3C82">
          <w:rPr>
            <w:rStyle w:val="TextoNormalCaracter"/>
          </w:rPr>
          <w:t>204/2016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60" w:name="DESCRIPTORALFABETICO502"/>
      <w:r w:rsidRPr="00AD3C82">
        <w:rPr>
          <w:rStyle w:val="TextoNormalNegritaCaracter"/>
        </w:rPr>
        <w:t>Incumplimiento de normas básicas</w:t>
      </w:r>
      <w:bookmarkEnd w:id="1260"/>
      <w:r w:rsidRPr="00AD3C82">
        <w:rPr>
          <w:rStyle w:val="TextoNormalCaracter"/>
        </w:rPr>
        <w:t xml:space="preserve">, Sentencia </w:t>
      </w:r>
      <w:hyperlink w:anchor="SENTENCIA_2016_193" w:history="1">
        <w:r w:rsidRPr="00AD3C82">
          <w:rPr>
            <w:rStyle w:val="TextoNormalCaracter"/>
          </w:rPr>
          <w:t>193/2016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261" w:name="DESCRIPTORALFABETICO259"/>
      <w:r w:rsidRPr="00AD3C82">
        <w:rPr>
          <w:rStyle w:val="TextoNormalNegritaCaracter"/>
        </w:rPr>
        <w:t>Incumplimiento generalizado de la doctrina constitucional</w:t>
      </w:r>
      <w:bookmarkEnd w:id="1261"/>
      <w:r w:rsidRPr="00AD3C82">
        <w:rPr>
          <w:rStyle w:val="TextoNormalCaracter"/>
        </w:rPr>
        <w:t xml:space="preserve">, Sentencias </w:t>
      </w:r>
      <w:hyperlink w:anchor="SENTENCIA_2016_129" w:history="1">
        <w:r w:rsidRPr="00AD3C82">
          <w:rPr>
            <w:rStyle w:val="TextoNormalCaracter"/>
          </w:rPr>
          <w:t>129/2016</w:t>
        </w:r>
      </w:hyperlink>
      <w:r w:rsidRPr="00AD3C82">
        <w:rPr>
          <w:rStyle w:val="TextoNormalCaracter"/>
        </w:rPr>
        <w:t xml:space="preserve">, f. 2; </w:t>
      </w:r>
      <w:hyperlink w:anchor="SENTENCIA_2016_133" w:history="1">
        <w:r w:rsidRPr="00AD3C82">
          <w:rPr>
            <w:rStyle w:val="TextoNormalCaracter"/>
          </w:rPr>
          <w:t>133/2016</w:t>
        </w:r>
      </w:hyperlink>
      <w:r w:rsidRPr="00AD3C82">
        <w:rPr>
          <w:rStyle w:val="TextoNormalCaracter"/>
        </w:rPr>
        <w:t xml:space="preserve">, f. 2; </w:t>
      </w:r>
      <w:hyperlink w:anchor="SENTENCIA_2016_138" w:history="1">
        <w:r w:rsidRPr="00AD3C82">
          <w:rPr>
            <w:rStyle w:val="TextoNormalCaracter"/>
          </w:rPr>
          <w:t>138/2016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62" w:name="DESCRIPTORALFABETICO633"/>
      <w:r w:rsidRPr="00AD3C82">
        <w:rPr>
          <w:rStyle w:val="TextoNormalNegritaCaracter"/>
        </w:rPr>
        <w:t>Indefensión</w:t>
      </w:r>
      <w:bookmarkEnd w:id="1262"/>
      <w:r w:rsidRPr="00AD3C82">
        <w:rPr>
          <w:rStyle w:val="TextoNormalCaracter"/>
        </w:rPr>
        <w:t xml:space="preserve">, Sentencia </w:t>
      </w:r>
      <w:hyperlink w:anchor="SENTENCIA_2016_163" w:history="1">
        <w:r w:rsidRPr="00AD3C82">
          <w:rPr>
            <w:rStyle w:val="TextoNormalCaracter"/>
          </w:rPr>
          <w:t>163/2016</w:t>
        </w:r>
      </w:hyperlink>
      <w:r w:rsidRPr="00AD3C82">
        <w:rPr>
          <w:rStyle w:val="TextoNormalCaracter"/>
        </w:rPr>
        <w:t>, ff. 1, 5.</w:t>
      </w:r>
    </w:p>
    <w:p w:rsidR="00AD3C82" w:rsidRPr="00AD3C82" w:rsidRDefault="00AD3C82" w:rsidP="00AD3C82">
      <w:pPr>
        <w:pStyle w:val="TextoNormalSangraFrancesa"/>
        <w:rPr>
          <w:rStyle w:val="TextoNormalCaracter"/>
        </w:rPr>
      </w:pPr>
      <w:bookmarkStart w:id="1263" w:name="DESCRIPTORALFABETICO555"/>
      <w:r w:rsidRPr="00AD3C82">
        <w:rPr>
          <w:rStyle w:val="TextoNormalNegritaCaracter"/>
        </w:rPr>
        <w:t>Indemnización por daños corporales</w:t>
      </w:r>
      <w:bookmarkEnd w:id="1263"/>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a 9.</w:t>
      </w:r>
    </w:p>
    <w:p w:rsidR="00AD3C82" w:rsidRPr="00AD3C82" w:rsidRDefault="00AD3C82" w:rsidP="00AD3C82">
      <w:pPr>
        <w:pStyle w:val="TextoNormalSangraFrancesa"/>
        <w:rPr>
          <w:rStyle w:val="TextoNormalCaracter"/>
        </w:rPr>
      </w:pPr>
      <w:bookmarkStart w:id="1264" w:name="DESCRIPTORALFABETICO556"/>
      <w:r w:rsidRPr="00AD3C82">
        <w:rPr>
          <w:rStyle w:val="TextoNormalNegritaCaracter"/>
        </w:rPr>
        <w:t>Indemnización por responsabilidad civil</w:t>
      </w:r>
      <w:bookmarkEnd w:id="1264"/>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a 9.</w:t>
      </w:r>
    </w:p>
    <w:p w:rsidR="00AD3C82" w:rsidRPr="00AD3C82" w:rsidRDefault="00AD3C82" w:rsidP="00AD3C82">
      <w:pPr>
        <w:pStyle w:val="TextoNormalSangraFrancesa"/>
        <w:rPr>
          <w:rStyle w:val="TextoNormalCaracter"/>
        </w:rPr>
      </w:pPr>
      <w:bookmarkStart w:id="1265" w:name="DESCRIPTORALFABETICO469"/>
      <w:r w:rsidRPr="00AD3C82">
        <w:rPr>
          <w:rStyle w:val="TextoNormalNegritaCaracter"/>
        </w:rPr>
        <w:t>Información tributaria</w:t>
      </w:r>
      <w:bookmarkEnd w:id="1265"/>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13.</w:t>
      </w:r>
    </w:p>
    <w:p w:rsidR="00AD3C82" w:rsidRPr="00AD3C82" w:rsidRDefault="00AD3C82" w:rsidP="00AD3C82">
      <w:pPr>
        <w:pStyle w:val="TextoNormalSangraFrancesa"/>
        <w:rPr>
          <w:rStyle w:val="TextoNormalCaracter"/>
        </w:rPr>
      </w:pPr>
      <w:bookmarkStart w:id="1266" w:name="DESCRIPTORALFABETICO549"/>
      <w:r w:rsidRPr="00AD3C82">
        <w:rPr>
          <w:rStyle w:val="TextoNormalNegritaCaracter"/>
        </w:rPr>
        <w:t>Informe de la administración concursal</w:t>
      </w:r>
      <w:bookmarkEnd w:id="1266"/>
      <w:r w:rsidRPr="00AD3C82">
        <w:rPr>
          <w:rStyle w:val="TextoNormalCaracter"/>
        </w:rPr>
        <w:t xml:space="preserve">, Sentencia </w:t>
      </w:r>
      <w:hyperlink w:anchor="SENTENCIA_2016_166" w:history="1">
        <w:r w:rsidRPr="00AD3C82">
          <w:rPr>
            <w:rStyle w:val="TextoNormalCaracter"/>
          </w:rPr>
          <w:t>166/2016</w:t>
        </w:r>
      </w:hyperlink>
      <w:r w:rsidRPr="00AD3C82">
        <w:rPr>
          <w:rStyle w:val="TextoNormalCaracter"/>
        </w:rPr>
        <w:t>, f. 5.</w:t>
      </w:r>
    </w:p>
    <w:p w:rsidR="00AD3C82" w:rsidRPr="00AD3C82" w:rsidRDefault="00AD3C82" w:rsidP="00AD3C82">
      <w:pPr>
        <w:pStyle w:val="TextoNormalSangraFrancesa"/>
        <w:rPr>
          <w:rStyle w:val="TextoNormalCaracter"/>
        </w:rPr>
      </w:pPr>
      <w:bookmarkStart w:id="1267" w:name="DESCRIPTORALFABETICO627"/>
      <w:r w:rsidRPr="00AD3C82">
        <w:rPr>
          <w:rStyle w:val="TextoNormalNegritaCaracter"/>
        </w:rPr>
        <w:t>Informes médicos</w:t>
      </w:r>
      <w:bookmarkEnd w:id="1267"/>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2 a 5; </w:t>
      </w:r>
      <w:hyperlink w:anchor="SENTENCIA_2016_144" w:history="1">
        <w:r w:rsidRPr="00AD3C82">
          <w:rPr>
            <w:rStyle w:val="TextoNormalCaracter"/>
          </w:rPr>
          <w:t>144/2016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1268" w:name="DESCRIPTORALFABETICO436"/>
      <w:r w:rsidRPr="00AD3C82">
        <w:rPr>
          <w:rStyle w:val="TextoNormalNegritaCaracter"/>
        </w:rPr>
        <w:t>Infracciones administrativas</w:t>
      </w:r>
      <w:bookmarkEnd w:id="1268"/>
      <w:r w:rsidRPr="00AD3C82">
        <w:rPr>
          <w:rStyle w:val="TextoNormalCaracter"/>
        </w:rPr>
        <w:t xml:space="preserve">, Sentencia </w:t>
      </w:r>
      <w:hyperlink w:anchor="SENTENCIA_2016_142" w:history="1">
        <w:r w:rsidRPr="00AD3C82">
          <w:rPr>
            <w:rStyle w:val="TextoNormalCaracter"/>
          </w:rPr>
          <w:t>142/2016</w:t>
        </w:r>
      </w:hyperlink>
      <w:r w:rsidRPr="00AD3C82">
        <w:rPr>
          <w:rStyle w:val="TextoNormalCaracter"/>
        </w:rPr>
        <w:t>, ff. 5, 11.</w:t>
      </w:r>
    </w:p>
    <w:p w:rsidR="00AD3C82" w:rsidRPr="00AD3C82" w:rsidRDefault="00AD3C82" w:rsidP="00AD3C82">
      <w:pPr>
        <w:pStyle w:val="TextoNormalSangraFrancesa"/>
        <w:rPr>
          <w:rStyle w:val="TextoNormalCaracter"/>
        </w:rPr>
      </w:pPr>
      <w:bookmarkStart w:id="1269" w:name="DESCRIPTORALFABETICO537"/>
      <w:r w:rsidRPr="00AD3C82">
        <w:rPr>
          <w:rStyle w:val="TextoNormalNegritaCaracter"/>
        </w:rPr>
        <w:t>Inhabilitación especial para el derecho de sufragio pasivo</w:t>
      </w:r>
      <w:bookmarkEnd w:id="1269"/>
      <w:r w:rsidRPr="00AD3C82">
        <w:rPr>
          <w:rStyle w:val="TextoNormalCaracter"/>
        </w:rPr>
        <w:t xml:space="preserve">, Auto </w:t>
      </w:r>
      <w:hyperlink w:anchor="AUTO_2016_150" w:history="1">
        <w:r w:rsidRPr="00AD3C82">
          <w:rPr>
            <w:rStyle w:val="TextoNormalCaracter"/>
          </w:rPr>
          <w:t>150/2016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1270" w:name="DESCRIPTORALFABETICO321"/>
      <w:r w:rsidRPr="00AD3C82">
        <w:rPr>
          <w:rStyle w:val="TextoNormalNegritaCaracter"/>
        </w:rPr>
        <w:t>Iniciativa legislativa</w:t>
      </w:r>
      <w:bookmarkEnd w:id="1270"/>
      <w:r w:rsidRPr="00AD3C82">
        <w:rPr>
          <w:rStyle w:val="TextoNormalCaracter"/>
        </w:rPr>
        <w:t xml:space="preserve">, Sentencias </w:t>
      </w:r>
      <w:hyperlink w:anchor="SENTENCIA_2016_153" w:history="1">
        <w:r w:rsidRPr="00AD3C82">
          <w:rPr>
            <w:rStyle w:val="TextoNormalCaracter"/>
          </w:rPr>
          <w:t>153/2016</w:t>
        </w:r>
      </w:hyperlink>
      <w:r w:rsidRPr="00AD3C82">
        <w:rPr>
          <w:rStyle w:val="TextoNormalCaracter"/>
        </w:rPr>
        <w:t xml:space="preserve">, f. 3 a); </w:t>
      </w:r>
      <w:hyperlink w:anchor="SENTENCIA_2016_224" w:history="1">
        <w:r w:rsidRPr="00AD3C82">
          <w:rPr>
            <w:rStyle w:val="TextoNormalCaracter"/>
          </w:rPr>
          <w:t>224/2016</w:t>
        </w:r>
      </w:hyperlink>
      <w:r w:rsidRPr="00AD3C82">
        <w:rPr>
          <w:rStyle w:val="TextoNormalCaracter"/>
        </w:rPr>
        <w:t xml:space="preserve">, ff. 2, 5; </w:t>
      </w:r>
      <w:hyperlink w:anchor="SENTENCIA_2016_225" w:history="1">
        <w:r w:rsidRPr="00AD3C82">
          <w:rPr>
            <w:rStyle w:val="TextoNormalCaracter"/>
          </w:rPr>
          <w:t>225/2016</w:t>
        </w:r>
      </w:hyperlink>
      <w:r w:rsidRPr="00AD3C82">
        <w:rPr>
          <w:rStyle w:val="TextoNormalCaracter"/>
        </w:rPr>
        <w:t>, ff. 2, 5.</w:t>
      </w:r>
    </w:p>
    <w:p w:rsidR="00AD3C82" w:rsidRPr="00AD3C82" w:rsidRDefault="00AD3C82" w:rsidP="00AD3C82">
      <w:pPr>
        <w:pStyle w:val="TextoNormalSangraFrancesa"/>
        <w:rPr>
          <w:rStyle w:val="TextoNormalCaracter"/>
        </w:rPr>
      </w:pPr>
      <w:bookmarkStart w:id="1271" w:name="DESCRIPTORALFABETICO95"/>
      <w:r w:rsidRPr="00AD3C82">
        <w:rPr>
          <w:rStyle w:val="TextoNormalNegritaCaracter"/>
        </w:rPr>
        <w:t>Inspección tributaria</w:t>
      </w:r>
      <w:bookmarkEnd w:id="1271"/>
      <w:r w:rsidRPr="00AD3C82">
        <w:rPr>
          <w:rStyle w:val="TextoNormalCaracter"/>
        </w:rPr>
        <w:t xml:space="preserve">, Sentencia </w:t>
      </w:r>
      <w:hyperlink w:anchor="SENTENCIA_2016_133" w:history="1">
        <w:r w:rsidRPr="00AD3C82">
          <w:rPr>
            <w:rStyle w:val="TextoNormalCaracter"/>
          </w:rPr>
          <w:t>133/2016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272" w:name="DESCRIPTORALFABETICO427"/>
      <w:r w:rsidRPr="00AD3C82">
        <w:rPr>
          <w:rStyle w:val="TextoNormalNegritaCaracter"/>
        </w:rPr>
        <w:t>Instalación de establecimientos comerciales</w:t>
      </w:r>
      <w:bookmarkEnd w:id="1272"/>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3 A); </w:t>
      </w:r>
      <w:hyperlink w:anchor="SENTENCIA_2016_157" w:history="1">
        <w:r w:rsidRPr="00AD3C82">
          <w:rPr>
            <w:rStyle w:val="TextoNormalCaracter"/>
          </w:rPr>
          <w:t>157/2016</w:t>
        </w:r>
      </w:hyperlink>
      <w:r w:rsidRPr="00AD3C82">
        <w:rPr>
          <w:rStyle w:val="TextoNormalCaracter"/>
        </w:rPr>
        <w:t>, ff. 1, 2, 6 a 9, VP.</w:t>
      </w:r>
    </w:p>
    <w:p w:rsidR="00AD3C82" w:rsidRPr="00AD3C82" w:rsidRDefault="00AD3C82" w:rsidP="00AD3C82">
      <w:pPr>
        <w:pStyle w:val="TextoNormalSangraFrancesa"/>
        <w:rPr>
          <w:rStyle w:val="TextoNormalCaracter"/>
        </w:rPr>
      </w:pPr>
      <w:bookmarkStart w:id="1273" w:name="DESCRIPTORALFABETICO452"/>
      <w:r w:rsidRPr="00AD3C82">
        <w:rPr>
          <w:rStyle w:val="TextoNormalNegritaCaracter"/>
        </w:rPr>
        <w:t>Instalaciones eléctricas</w:t>
      </w:r>
      <w:bookmarkEnd w:id="1273"/>
      <w:r w:rsidRPr="00AD3C82">
        <w:rPr>
          <w:rStyle w:val="TextoNormalCaracter"/>
        </w:rPr>
        <w:t xml:space="preserve">, Sentencias </w:t>
      </w:r>
      <w:hyperlink w:anchor="SENTENCIA_2016_171" w:history="1">
        <w:r w:rsidRPr="00AD3C82">
          <w:rPr>
            <w:rStyle w:val="TextoNormalCaracter"/>
          </w:rPr>
          <w:t>171/2016</w:t>
        </w:r>
      </w:hyperlink>
      <w:r w:rsidRPr="00AD3C82">
        <w:rPr>
          <w:rStyle w:val="TextoNormalCaracter"/>
        </w:rPr>
        <w:t xml:space="preserve">, ff. 3, 4 a 6; </w:t>
      </w:r>
      <w:hyperlink w:anchor="SENTENCIA_2016_205" w:history="1">
        <w:r w:rsidRPr="00AD3C82">
          <w:rPr>
            <w:rStyle w:val="TextoNormalCaracter"/>
          </w:rPr>
          <w:t>205/2016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274" w:name="DESCRIPTORALFABETICO149"/>
      <w:r w:rsidRPr="00AD3C82">
        <w:rPr>
          <w:rStyle w:val="TextoNormalNegritaCaracter"/>
        </w:rPr>
        <w:t>Intangibilidad de sentencias firmes</w:t>
      </w:r>
      <w:bookmarkEnd w:id="1274"/>
      <w:r w:rsidRPr="00AD3C82">
        <w:rPr>
          <w:rStyle w:val="TextoNormalCaracter"/>
        </w:rPr>
        <w:t xml:space="preserve">, Sentencia </w:t>
      </w:r>
      <w:hyperlink w:anchor="SENTENCIA_2016_172" w:history="1">
        <w:r w:rsidRPr="00AD3C82">
          <w:rPr>
            <w:rStyle w:val="TextoNormalCaracter"/>
          </w:rPr>
          <w:t>172/2016</w:t>
        </w:r>
      </w:hyperlink>
      <w:r w:rsidRPr="00AD3C82">
        <w:rPr>
          <w:rStyle w:val="TextoNormalCaracter"/>
        </w:rPr>
        <w:t>, ff. 1, 9.</w:t>
      </w:r>
    </w:p>
    <w:p w:rsidR="00AD3C82" w:rsidRPr="00AD3C82" w:rsidRDefault="00AD3C82" w:rsidP="00AD3C82">
      <w:pPr>
        <w:pStyle w:val="TextoNormalSangraFrancesa"/>
        <w:rPr>
          <w:rStyle w:val="TextoNormalCaracter"/>
        </w:rPr>
      </w:pPr>
      <w:bookmarkStart w:id="1275" w:name="DESCRIPTORALFABETICO169"/>
      <w:r w:rsidRPr="00AD3C82">
        <w:rPr>
          <w:rStyle w:val="TextoNormalNegritaCaracter"/>
        </w:rPr>
        <w:t>Interés de la parte arriesgado en el proceso</w:t>
      </w:r>
      <w:bookmarkEnd w:id="1275"/>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 4.</w:t>
      </w:r>
    </w:p>
    <w:p w:rsidR="00AD3C82" w:rsidRPr="00AD3C82" w:rsidRDefault="00AD3C82" w:rsidP="00AD3C82">
      <w:pPr>
        <w:pStyle w:val="TextoNormalSangraFrancesa"/>
        <w:rPr>
          <w:rStyle w:val="TextoNormalCaracter"/>
        </w:rPr>
      </w:pPr>
      <w:bookmarkStart w:id="1276" w:name="DESCRIPTORALFABETICO388"/>
      <w:r w:rsidRPr="00AD3C82">
        <w:rPr>
          <w:rStyle w:val="TextoNormalNegritaCaracter"/>
        </w:rPr>
        <w:t>Interés general</w:t>
      </w:r>
      <w:bookmarkEnd w:id="1276"/>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77" w:name="DESCRIPTORALFABETICO249"/>
      <w:r w:rsidRPr="00AD3C82">
        <w:rPr>
          <w:rStyle w:val="TextoNormalNegritaCaracter"/>
        </w:rPr>
        <w:t>Interés legítimo en el recurso de amparo</w:t>
      </w:r>
      <w:bookmarkEnd w:id="1277"/>
      <w:r w:rsidRPr="00AD3C82">
        <w:rPr>
          <w:rStyle w:val="TextoNormalCaracter"/>
        </w:rPr>
        <w:t xml:space="preserve">, Sentencia </w:t>
      </w:r>
      <w:hyperlink w:anchor="SENTENCIA_2016_154" w:history="1">
        <w:r w:rsidRPr="00AD3C82">
          <w:rPr>
            <w:rStyle w:val="TextoNormalCaracter"/>
          </w:rPr>
          <w:t>154/2016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278" w:name="DESCRIPTORALFABETICO40"/>
      <w:r w:rsidRPr="00AD3C82">
        <w:rPr>
          <w:rStyle w:val="TextoNormalNegritaCaracter"/>
        </w:rPr>
        <w:t>Intereses de la defensa nacional</w:t>
      </w:r>
      <w:bookmarkEnd w:id="1278"/>
      <w:r w:rsidRPr="00AD3C82">
        <w:rPr>
          <w:rStyle w:val="TextoNormalCaracter"/>
        </w:rPr>
        <w:t xml:space="preserve">, Sentencia </w:t>
      </w:r>
      <w:hyperlink w:anchor="SENTENCIA_2016_184" w:history="1">
        <w:r w:rsidRPr="00AD3C82">
          <w:rPr>
            <w:rStyle w:val="TextoNormalCaracter"/>
          </w:rPr>
          <w:t>184/2016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279" w:name="DESCRIPTORALFABETICO389"/>
      <w:r w:rsidRPr="00AD3C82">
        <w:rPr>
          <w:rStyle w:val="TextoNormalNegritaCaracter"/>
        </w:rPr>
        <w:t>Intereses locales</w:t>
      </w:r>
      <w:bookmarkEnd w:id="1279"/>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4, 6, 7.</w:t>
      </w:r>
    </w:p>
    <w:p w:rsidR="00AD3C82" w:rsidRPr="00AD3C82" w:rsidRDefault="00AD3C82" w:rsidP="00AD3C82">
      <w:pPr>
        <w:pStyle w:val="TextoNormalSangraFrancesa"/>
        <w:rPr>
          <w:rStyle w:val="TextoNormalCaracter"/>
        </w:rPr>
      </w:pPr>
      <w:bookmarkStart w:id="1280" w:name="DESCRIPTORALFABETICO127"/>
      <w:r w:rsidRPr="00AD3C82">
        <w:rPr>
          <w:rStyle w:val="TextoNormalNegritaCaracter"/>
        </w:rPr>
        <w:t>Internamiento psiquiátrico</w:t>
      </w:r>
      <w:bookmarkEnd w:id="1280"/>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281" w:name="DESCRIPTORALFABETICO130"/>
      <w:r w:rsidRPr="00AD3C82">
        <w:rPr>
          <w:rStyle w:val="TextoNormalNegritaCaracter"/>
        </w:rPr>
        <w:t>Internamiento psiquiátrico en el ámbito civil</w:t>
      </w:r>
      <w:bookmarkEnd w:id="1281"/>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1282" w:name="DESCRIPTORALFABETICO523"/>
      <w:r w:rsidRPr="00AD3C82">
        <w:rPr>
          <w:rStyle w:val="TextoNormalNegritaCaracter"/>
        </w:rPr>
        <w:t>Interpretación conforme con la Constitución</w:t>
      </w:r>
      <w:bookmarkEnd w:id="1282"/>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ff. 6 C), 7, 9 B) y C); </w:t>
      </w:r>
      <w:hyperlink w:anchor="SENTENCIA_2016_171" w:history="1">
        <w:r w:rsidRPr="00AD3C82">
          <w:rPr>
            <w:rStyle w:val="TextoNormalCaracter"/>
          </w:rPr>
          <w:t>171/2016</w:t>
        </w:r>
      </w:hyperlink>
      <w:r w:rsidRPr="00AD3C82">
        <w:rPr>
          <w:rStyle w:val="TextoNormalCaracter"/>
        </w:rPr>
        <w:t xml:space="preserve">, ff. 6; </w:t>
      </w:r>
      <w:hyperlink w:anchor="SENTENCIA_2016_180" w:history="1">
        <w:r w:rsidRPr="00AD3C82">
          <w:rPr>
            <w:rStyle w:val="TextoNormalCaracter"/>
          </w:rPr>
          <w:t>180/2016</w:t>
        </w:r>
      </w:hyperlink>
      <w:r w:rsidRPr="00AD3C82">
        <w:rPr>
          <w:rStyle w:val="TextoNormalCaracter"/>
        </w:rPr>
        <w:t xml:space="preserve">, f. 3 d); </w:t>
      </w:r>
      <w:hyperlink w:anchor="SENTENCIA_2016_191" w:history="1">
        <w:r w:rsidRPr="00AD3C82">
          <w:rPr>
            <w:rStyle w:val="TextoNormalCaracter"/>
          </w:rPr>
          <w:t>191/2016</w:t>
        </w:r>
      </w:hyperlink>
      <w:r w:rsidRPr="00AD3C82">
        <w:rPr>
          <w:rStyle w:val="TextoNormalCaracter"/>
        </w:rPr>
        <w:t>, f. 6.</w:t>
      </w:r>
    </w:p>
    <w:p w:rsidR="00AD3C82" w:rsidRPr="00AD3C82" w:rsidRDefault="00AD3C82" w:rsidP="00AD3C82">
      <w:pPr>
        <w:pStyle w:val="TextoNormalSangraFrancesa"/>
        <w:rPr>
          <w:rStyle w:val="TextoNormalCaracter"/>
        </w:rPr>
      </w:pPr>
      <w:bookmarkStart w:id="1283" w:name="DESCRIPTORALFABETICO525"/>
      <w:r w:rsidRPr="00AD3C82">
        <w:rPr>
          <w:rStyle w:val="TextoNormalNegritaCaracter"/>
        </w:rPr>
        <w:t>Interpretación de la norma legal manifiestamente irrazonable</w:t>
      </w:r>
      <w:bookmarkEnd w:id="1283"/>
      <w:r w:rsidRPr="00AD3C82">
        <w:rPr>
          <w:rStyle w:val="TextoNormalCaracter"/>
        </w:rPr>
        <w:t xml:space="preserve">, Sentencia </w:t>
      </w:r>
      <w:hyperlink w:anchor="SENTENCIA_2016_176" w:history="1">
        <w:r w:rsidRPr="00AD3C82">
          <w:rPr>
            <w:rStyle w:val="TextoNormalCaracter"/>
          </w:rPr>
          <w:t>176/2016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84" w:name="DESCRIPTORALFABETICO526"/>
      <w:r w:rsidRPr="00AD3C82">
        <w:rPr>
          <w:rStyle w:val="TextoNormalNegritaCaracter"/>
        </w:rPr>
        <w:t>Interpretación de las normas más favorable a los derechos fundamentales</w:t>
      </w:r>
      <w:bookmarkEnd w:id="1284"/>
      <w:r w:rsidRPr="00AD3C82">
        <w:rPr>
          <w:rStyle w:val="TextoNormalCaracter"/>
        </w:rPr>
        <w:t xml:space="preserve">, Sentencia </w:t>
      </w:r>
      <w:hyperlink w:anchor="SENTENCIA_2016_137" w:history="1">
        <w:r w:rsidRPr="00AD3C82">
          <w:rPr>
            <w:rStyle w:val="TextoNormalCaracter"/>
          </w:rPr>
          <w:t>137/2016</w:t>
        </w:r>
      </w:hyperlink>
      <w:r w:rsidRPr="00AD3C82">
        <w:rPr>
          <w:rStyle w:val="TextoNormalCaracter"/>
        </w:rPr>
        <w:t>, f. 2.</w:t>
      </w:r>
    </w:p>
    <w:p w:rsidR="00AD3C82" w:rsidRPr="00AD3C82" w:rsidRDefault="00AD3C82" w:rsidP="00AD3C82">
      <w:pPr>
        <w:pStyle w:val="TextoNormalSangraFrancesa"/>
        <w:rPr>
          <w:rStyle w:val="TextoNormalCaracter"/>
        </w:rPr>
      </w:pPr>
      <w:bookmarkStart w:id="1285" w:name="DESCRIPTORALFABETICO528"/>
      <w:r w:rsidRPr="00AD3C82">
        <w:rPr>
          <w:rStyle w:val="TextoNormalNegritaCaracter"/>
        </w:rPr>
        <w:t>Interpretación de Reglamentos parlamentarios</w:t>
      </w:r>
      <w:bookmarkEnd w:id="1285"/>
      <w:r w:rsidRPr="00AD3C82">
        <w:rPr>
          <w:rStyle w:val="TextoNormalCaracter"/>
        </w:rPr>
        <w:t xml:space="preserve">, Sentencias </w:t>
      </w:r>
      <w:hyperlink w:anchor="SENTENCIA_2016_143" w:history="1">
        <w:r w:rsidRPr="00AD3C82">
          <w:rPr>
            <w:rStyle w:val="TextoNormalCaracter"/>
          </w:rPr>
          <w:t>143/2016</w:t>
        </w:r>
      </w:hyperlink>
      <w:r w:rsidRPr="00AD3C82">
        <w:rPr>
          <w:rStyle w:val="TextoNormalCaracter"/>
        </w:rPr>
        <w:t xml:space="preserve">, ff. 3, 4; </w:t>
      </w:r>
      <w:hyperlink w:anchor="SENTENCIA_2016_199" w:history="1">
        <w:r w:rsidRPr="00AD3C82">
          <w:rPr>
            <w:rStyle w:val="TextoNormalCaracter"/>
          </w:rPr>
          <w:t>199/2016</w:t>
        </w:r>
      </w:hyperlink>
      <w:r w:rsidRPr="00AD3C82">
        <w:rPr>
          <w:rStyle w:val="TextoNormalCaracter"/>
        </w:rPr>
        <w:t>, ff. 1, 3 a 5.</w:t>
      </w:r>
    </w:p>
    <w:p w:rsidR="00AD3C82" w:rsidRPr="00AD3C82" w:rsidRDefault="00AD3C82" w:rsidP="00AD3C82">
      <w:pPr>
        <w:pStyle w:val="TextoNormalSangraFrancesa"/>
        <w:rPr>
          <w:rStyle w:val="TextoNormalCaracter"/>
        </w:rPr>
      </w:pPr>
      <w:bookmarkStart w:id="1286" w:name="DESCRIPTORALFABETICO529"/>
      <w:r w:rsidRPr="00AD3C82">
        <w:rPr>
          <w:rStyle w:val="TextoNormalNegritaCaracter"/>
        </w:rPr>
        <w:t>Interpretación del Derecho de la Unión Europea</w:t>
      </w:r>
      <w:bookmarkEnd w:id="1286"/>
      <w:r w:rsidRPr="00AD3C82">
        <w:rPr>
          <w:rStyle w:val="TextoNormalCaracter"/>
        </w:rPr>
        <w:t xml:space="preserve">, Sentencia </w:t>
      </w:r>
      <w:hyperlink w:anchor="SENTENCIA_2016_141" w:history="1">
        <w:r w:rsidRPr="00AD3C82">
          <w:rPr>
            <w:rStyle w:val="TextoNormalCaracter"/>
          </w:rPr>
          <w:t>141/2016</w:t>
        </w:r>
      </w:hyperlink>
      <w:r w:rsidRPr="00AD3C82">
        <w:rPr>
          <w:rStyle w:val="TextoNormalCaracter"/>
        </w:rPr>
        <w:t>, f. 7.</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87" w:name="DESCRIPTORALFABETICO530"/>
      <w:r w:rsidRPr="00AD3C82">
        <w:rPr>
          <w:rStyle w:val="TextoNormalNegritaCaracter"/>
        </w:rPr>
        <w:t>Interpretación no arbitraria</w:t>
      </w:r>
      <w:bookmarkEnd w:id="1287"/>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 5.</w:t>
      </w:r>
    </w:p>
    <w:p w:rsidR="00AD3C82" w:rsidRPr="00AD3C82" w:rsidRDefault="00AD3C82" w:rsidP="00AD3C82">
      <w:pPr>
        <w:pStyle w:val="TextoNormalSangraFrancesa"/>
        <w:rPr>
          <w:rStyle w:val="TextoNormalCaracter"/>
        </w:rPr>
      </w:pPr>
      <w:bookmarkStart w:id="1288" w:name="DESCRIPTORALFABETICO531"/>
      <w:r w:rsidRPr="00AD3C82">
        <w:rPr>
          <w:rStyle w:val="TextoNormalNegritaCaracter"/>
        </w:rPr>
        <w:t xml:space="preserve">Interpretación </w:t>
      </w:r>
      <w:r w:rsidRPr="00AD3C82">
        <w:rPr>
          <w:rStyle w:val="TextoNormalNegritaCaracter"/>
          <w:i/>
        </w:rPr>
        <w:t>pro actione</w:t>
      </w:r>
      <w:bookmarkEnd w:id="1288"/>
      <w:r w:rsidRPr="00AD3C82">
        <w:rPr>
          <w:rStyle w:val="TextoNormalCaracter"/>
        </w:rPr>
        <w:t xml:space="preserve">, Sentencia </w:t>
      </w:r>
      <w:hyperlink w:anchor="SENTENCIA_2016_222" w:history="1">
        <w:r w:rsidRPr="00AD3C82">
          <w:rPr>
            <w:rStyle w:val="TextoNormalCaracter"/>
          </w:rPr>
          <w:t>222/2016</w:t>
        </w:r>
      </w:hyperlink>
      <w:r w:rsidRPr="00AD3C82">
        <w:rPr>
          <w:rStyle w:val="TextoNormalCaracter"/>
        </w:rPr>
        <w:t>, f. 5.</w:t>
      </w:r>
    </w:p>
    <w:p w:rsidR="00AD3C82" w:rsidRPr="00AD3C82" w:rsidRDefault="00AD3C82" w:rsidP="00AD3C82">
      <w:pPr>
        <w:pStyle w:val="TextoNormalSangraFrancesa"/>
        <w:rPr>
          <w:rStyle w:val="TextoNormalCaracter"/>
        </w:rPr>
      </w:pPr>
      <w:bookmarkStart w:id="1289" w:name="DESCRIPTORALFABETICO527"/>
      <w:r w:rsidRPr="00AD3C82">
        <w:rPr>
          <w:rStyle w:val="TextoNormalNegritaCaracter"/>
        </w:rPr>
        <w:t>Interpretación razonable de normas procesales</w:t>
      </w:r>
      <w:bookmarkEnd w:id="1289"/>
      <w:r w:rsidRPr="00AD3C82">
        <w:rPr>
          <w:rStyle w:val="TextoNormalCaracter"/>
        </w:rPr>
        <w:t xml:space="preserve">, Sentencia </w:t>
      </w:r>
      <w:hyperlink w:anchor="SENTENCIA_2016_149" w:history="1">
        <w:r w:rsidRPr="00AD3C82">
          <w:rPr>
            <w:rStyle w:val="TextoNormalCaracter"/>
          </w:rPr>
          <w:t>149/2016</w:t>
        </w:r>
      </w:hyperlink>
      <w:r w:rsidRPr="00AD3C82">
        <w:rPr>
          <w:rStyle w:val="TextoNormalCaracter"/>
        </w:rPr>
        <w:t>, ff. 3, 4, 5.</w:t>
      </w:r>
    </w:p>
    <w:p w:rsidR="00AD3C82" w:rsidRPr="00AD3C82" w:rsidRDefault="00AD3C82" w:rsidP="00AD3C82">
      <w:pPr>
        <w:pStyle w:val="TextoNormalSangraFrancesa"/>
        <w:rPr>
          <w:rStyle w:val="TextoNormalCaracter"/>
        </w:rPr>
      </w:pPr>
      <w:bookmarkStart w:id="1290" w:name="DESCRIPTORALFABETICO286"/>
      <w:r w:rsidRPr="00AD3C82">
        <w:rPr>
          <w:rStyle w:val="TextoNormalNegritaCaracter"/>
        </w:rPr>
        <w:t>Intérprete supremo de la Constitución</w:t>
      </w:r>
      <w:bookmarkEnd w:id="1290"/>
      <w:r w:rsidRPr="00AD3C82">
        <w:rPr>
          <w:rStyle w:val="TextoNormalCaracter"/>
        </w:rPr>
        <w:t xml:space="preserve">, Sentencias </w:t>
      </w:r>
      <w:hyperlink w:anchor="SENTENCIA_2016_185" w:history="1">
        <w:r w:rsidRPr="00AD3C82">
          <w:rPr>
            <w:rStyle w:val="TextoNormalCaracter"/>
          </w:rPr>
          <w:t>185/2016</w:t>
        </w:r>
      </w:hyperlink>
      <w:r w:rsidRPr="00AD3C82">
        <w:rPr>
          <w:rStyle w:val="TextoNormalCaracter"/>
        </w:rPr>
        <w:t xml:space="preserve">, ff. 3, VVPP I, II, III; </w:t>
      </w:r>
      <w:hyperlink w:anchor="SENTENCIA_2016_215" w:history="1">
        <w:r w:rsidRPr="00AD3C82">
          <w:rPr>
            <w:rStyle w:val="TextoNormalCaracter"/>
          </w:rPr>
          <w:t>215/2016</w:t>
        </w:r>
      </w:hyperlink>
      <w:r w:rsidRPr="00AD3C82">
        <w:rPr>
          <w:rStyle w:val="TextoNormalCaracter"/>
        </w:rPr>
        <w:t>, ff. 2, 3, 6.</w:t>
      </w:r>
    </w:p>
    <w:p w:rsidR="00AD3C82" w:rsidRPr="00AD3C82" w:rsidRDefault="00AD3C82" w:rsidP="00AD3C82">
      <w:pPr>
        <w:pStyle w:val="TextoNormalSangraFrancesa"/>
        <w:rPr>
          <w:rStyle w:val="TextoNormalCaracter"/>
        </w:rPr>
      </w:pPr>
      <w:bookmarkStart w:id="1291" w:name="DESCRIPTORALFABETICO541"/>
      <w:r w:rsidRPr="00AD3C82">
        <w:rPr>
          <w:rStyle w:val="TextoNormalNegritaCaracter"/>
        </w:rPr>
        <w:t>Interrupción de la prescripción</w:t>
      </w:r>
      <w:bookmarkEnd w:id="1291"/>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3, 5.</w:t>
      </w:r>
    </w:p>
    <w:p w:rsidR="00AD3C82" w:rsidRPr="00AD3C82" w:rsidRDefault="00AD3C82" w:rsidP="00AD3C82">
      <w:pPr>
        <w:pStyle w:val="TextoNormalSangraFrancesa"/>
        <w:rPr>
          <w:rStyle w:val="TextoNormalCaracter"/>
        </w:rPr>
      </w:pPr>
      <w:bookmarkStart w:id="1292" w:name="DESCRIPTORALFABETICO669"/>
      <w:r w:rsidRPr="00AD3C82">
        <w:rPr>
          <w:rStyle w:val="TextoNormalNegritaCaracter"/>
        </w:rPr>
        <w:t>Investigación judicial</w:t>
      </w:r>
      <w:bookmarkEnd w:id="1292"/>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2 a 6; </w:t>
      </w:r>
      <w:hyperlink w:anchor="SENTENCIA_2016_144" w:history="1">
        <w:r w:rsidRPr="00AD3C82">
          <w:rPr>
            <w:rStyle w:val="TextoNormalCaracter"/>
          </w:rPr>
          <w:t>144/2016</w:t>
        </w:r>
      </w:hyperlink>
      <w:r w:rsidRPr="00AD3C82">
        <w:rPr>
          <w:rStyle w:val="TextoNormalCaracter"/>
        </w:rPr>
        <w:t>, ff. 1, 3, 4, 5.</w:t>
      </w:r>
    </w:p>
    <w:p w:rsidR="00AD3C82" w:rsidRPr="00AD3C82" w:rsidRDefault="00AD3C82" w:rsidP="00AD3C82">
      <w:pPr>
        <w:pStyle w:val="TextoNormalSangraFrancesa"/>
        <w:rPr>
          <w:rStyle w:val="TextoNormalCaracter"/>
        </w:rPr>
      </w:pPr>
      <w:bookmarkStart w:id="1293" w:name="DESCRIPTORALFABETICO150"/>
      <w:r w:rsidRPr="00AD3C82">
        <w:rPr>
          <w:rStyle w:val="TextoNormalNegritaCaracter"/>
        </w:rPr>
        <w:t>Irrazonabilidad de las sentencias</w:t>
      </w:r>
      <w:bookmarkEnd w:id="1293"/>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 </w:t>
      </w:r>
      <w:hyperlink w:anchor="SENTENCIA_2016_198" w:history="1">
        <w:r w:rsidRPr="00AD3C82">
          <w:rPr>
            <w:rStyle w:val="TextoNormalCaracter"/>
          </w:rPr>
          <w:t>198/2016</w:t>
        </w:r>
      </w:hyperlink>
      <w:r w:rsidRPr="00AD3C82">
        <w:rPr>
          <w:rStyle w:val="TextoNormalCaracter"/>
        </w:rPr>
        <w:t>, f. 5.</w:t>
      </w:r>
    </w:p>
    <w:p w:rsidR="00AD3C82" w:rsidRPr="00AD3C82" w:rsidRDefault="00AD3C82" w:rsidP="00AD3C82">
      <w:pPr>
        <w:pStyle w:val="TextoNormalSangraFrancesa"/>
        <w:rPr>
          <w:rStyle w:val="TextoNormalCaracter"/>
        </w:rPr>
      </w:pPr>
      <w:bookmarkStart w:id="1294" w:name="DESCRIPTORALFABETICO485"/>
      <w:r w:rsidRPr="00AD3C82">
        <w:rPr>
          <w:rStyle w:val="TextoNormalNegritaCaracter"/>
        </w:rPr>
        <w:t>Ius contrahendi</w:t>
      </w:r>
      <w:bookmarkEnd w:id="1294"/>
      <w:r w:rsidRPr="00AD3C82">
        <w:rPr>
          <w:rStyle w:val="TextoNormalCaracter"/>
        </w:rPr>
        <w:t xml:space="preserve">, Sentencia </w:t>
      </w:r>
      <w:hyperlink w:anchor="SENTENCIA_2016_228" w:history="1">
        <w:r w:rsidRPr="00AD3C82">
          <w:rPr>
            <w:rStyle w:val="TextoNormalCaracter"/>
          </w:rPr>
          <w:t>228/2016</w:t>
        </w:r>
      </w:hyperlink>
      <w:r w:rsidRPr="00AD3C82">
        <w:rPr>
          <w:rStyle w:val="TextoNormalCaracter"/>
        </w:rPr>
        <w:t>, ff. 2, 5.</w:t>
      </w:r>
    </w:p>
    <w:p w:rsidR="00AD3C82" w:rsidRPr="00AD3C82" w:rsidRDefault="00AD3C82" w:rsidP="00AD3C82">
      <w:pPr>
        <w:pStyle w:val="TextoNormalSangraFrancesa"/>
        <w:rPr>
          <w:rStyle w:val="TextoNormalCaracter"/>
        </w:rPr>
      </w:pPr>
      <w:bookmarkStart w:id="1295" w:name="DESCRIPTORALFABETICO116"/>
      <w:r w:rsidRPr="00AD3C82">
        <w:rPr>
          <w:rStyle w:val="TextoNormalNegritaCaracter"/>
          <w:i/>
        </w:rPr>
        <w:t>Ius in officium</w:t>
      </w:r>
      <w:bookmarkEnd w:id="1295"/>
      <w:r w:rsidRPr="00AD3C82">
        <w:rPr>
          <w:rStyle w:val="TextoNormalCaracter"/>
        </w:rPr>
        <w:t xml:space="preserve">, Sentencias </w:t>
      </w:r>
      <w:hyperlink w:anchor="SENTENCIA_2016_143" w:history="1">
        <w:r w:rsidRPr="00AD3C82">
          <w:rPr>
            <w:rStyle w:val="TextoNormalCaracter"/>
          </w:rPr>
          <w:t>143/2016</w:t>
        </w:r>
      </w:hyperlink>
      <w:r w:rsidRPr="00AD3C82">
        <w:rPr>
          <w:rStyle w:val="TextoNormalCaracter"/>
        </w:rPr>
        <w:t xml:space="preserve">, ff, 1, 3, 6; </w:t>
      </w:r>
      <w:hyperlink w:anchor="SENTENCIA_2016_185" w:history="1">
        <w:r w:rsidRPr="00AD3C82">
          <w:rPr>
            <w:rStyle w:val="TextoNormalCaracter"/>
          </w:rPr>
          <w:t>185/2016</w:t>
        </w:r>
      </w:hyperlink>
      <w:r w:rsidRPr="00AD3C82">
        <w:rPr>
          <w:rStyle w:val="TextoNormalCaracter"/>
        </w:rPr>
        <w:t xml:space="preserve">, ff. 1, 4, 5; </w:t>
      </w:r>
      <w:hyperlink w:anchor="SENTENCIA_2016_199" w:history="1">
        <w:r w:rsidRPr="00AD3C82">
          <w:rPr>
            <w:rStyle w:val="TextoNormalCaracter"/>
          </w:rPr>
          <w:t>199/2016</w:t>
        </w:r>
      </w:hyperlink>
      <w:r w:rsidRPr="00AD3C82">
        <w:rPr>
          <w:rStyle w:val="TextoNormalCaracter"/>
        </w:rPr>
        <w:t xml:space="preserve">, ff. 2, 3; </w:t>
      </w:r>
      <w:hyperlink w:anchor="SENTENCIA_2016_215" w:history="1">
        <w:r w:rsidRPr="00AD3C82">
          <w:rPr>
            <w:rStyle w:val="TextoNormalCaracter"/>
          </w:rPr>
          <w:t>215/2016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296" w:name="DESCRIPTORALFABETICO481"/>
      <w:r w:rsidRPr="00AD3C82">
        <w:rPr>
          <w:rStyle w:val="TextoNormalNegritaCaracter"/>
        </w:rPr>
        <w:t>Ius legationis</w:t>
      </w:r>
      <w:bookmarkEnd w:id="1296"/>
      <w:r w:rsidRPr="00AD3C82">
        <w:rPr>
          <w:rStyle w:val="TextoNormalCaracter"/>
        </w:rPr>
        <w:t xml:space="preserve">, Sentencia </w:t>
      </w:r>
      <w:hyperlink w:anchor="SENTENCIA_2016_228" w:history="1">
        <w:r w:rsidRPr="00AD3C82">
          <w:rPr>
            <w:rStyle w:val="TextoNormalCaracter"/>
          </w:rPr>
          <w:t>228/2016</w:t>
        </w:r>
      </w:hyperlink>
      <w:r w:rsidRPr="00AD3C82">
        <w:rPr>
          <w:rStyle w:val="TextoNormalCaracter"/>
        </w:rPr>
        <w:t>, ff. 2, 9 a 11.</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J</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297" w:name="DESCRIPTORALFABETICO584"/>
      <w:r w:rsidRPr="00AD3C82">
        <w:rPr>
          <w:rStyle w:val="TextoNormalNegritaCaracter"/>
        </w:rPr>
        <w:t>Jornada laboral</w:t>
      </w:r>
      <w:bookmarkEnd w:id="1297"/>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298" w:name="DESCRIPTORALFABETICO232"/>
      <w:r w:rsidRPr="00AD3C82">
        <w:rPr>
          <w:rStyle w:val="TextoNormalNegritaCaracter"/>
        </w:rPr>
        <w:t>Juicio de aplicabilidad</w:t>
      </w:r>
      <w:bookmarkEnd w:id="1298"/>
      <w:r w:rsidRPr="00AD3C82">
        <w:rPr>
          <w:rStyle w:val="TextoNormalCaracter"/>
        </w:rPr>
        <w:t xml:space="preserve">, Sentencia </w:t>
      </w:r>
      <w:hyperlink w:anchor="SENTENCIA_2016_175" w:history="1">
        <w:r w:rsidRPr="00AD3C82">
          <w:rPr>
            <w:rStyle w:val="TextoNormalCaracter"/>
          </w:rPr>
          <w:t>175/2016</w:t>
        </w:r>
      </w:hyperlink>
      <w:r w:rsidRPr="00AD3C82">
        <w:rPr>
          <w:rStyle w:val="TextoNormalCaracter"/>
        </w:rPr>
        <w:t>, ff. 2, 3.</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82" w:history="1">
        <w:r w:rsidRPr="00AD3C82">
          <w:rPr>
            <w:rStyle w:val="TextoNormalCaracter"/>
          </w:rPr>
          <w:t>182/2016</w:t>
        </w:r>
      </w:hyperlink>
      <w:r w:rsidRPr="00AD3C82">
        <w:rPr>
          <w:rStyle w:val="TextoNormalCaracter"/>
        </w:rPr>
        <w:t xml:space="preserve">, ff. 3, 4; </w:t>
      </w:r>
      <w:hyperlink w:anchor="AUTO_2016_183" w:history="1">
        <w:r w:rsidRPr="00AD3C82">
          <w:rPr>
            <w:rStyle w:val="TextoNormalCaracter"/>
          </w:rPr>
          <w:t>183/2016</w:t>
        </w:r>
      </w:hyperlink>
      <w:r w:rsidRPr="00AD3C82">
        <w:rPr>
          <w:rStyle w:val="TextoNormalCaracter"/>
        </w:rPr>
        <w:t xml:space="preserve">, f. 2, 3; </w:t>
      </w:r>
      <w:hyperlink w:anchor="AUTO_2016_185" w:history="1">
        <w:r w:rsidRPr="00AD3C82">
          <w:rPr>
            <w:rStyle w:val="TextoNormalCaracter"/>
          </w:rPr>
          <w:t>185/2016</w:t>
        </w:r>
      </w:hyperlink>
      <w:r w:rsidRPr="00AD3C82">
        <w:rPr>
          <w:rStyle w:val="TextoNormalCaracter"/>
        </w:rPr>
        <w:t xml:space="preserve">, ff. 2, 3; </w:t>
      </w:r>
      <w:hyperlink w:anchor="AUTO_2016_202" w:history="1">
        <w:r w:rsidRPr="00AD3C82">
          <w:rPr>
            <w:rStyle w:val="TextoNormalCaracter"/>
          </w:rPr>
          <w:t>202/2016</w:t>
        </w:r>
      </w:hyperlink>
      <w:r w:rsidRPr="00AD3C82">
        <w:rPr>
          <w:rStyle w:val="TextoNormalCaracter"/>
        </w:rPr>
        <w:t xml:space="preserve">, f. 3; </w:t>
      </w:r>
      <w:hyperlink w:anchor="AUTO_2016_203" w:history="1">
        <w:r w:rsidRPr="00AD3C82">
          <w:rPr>
            <w:rStyle w:val="TextoNormalCaracter"/>
          </w:rPr>
          <w:t>203/2016</w:t>
        </w:r>
      </w:hyperlink>
      <w:r w:rsidRPr="00AD3C82">
        <w:rPr>
          <w:rStyle w:val="TextoNormalCaracter"/>
        </w:rPr>
        <w:t xml:space="preserve">, f. 3; </w:t>
      </w:r>
      <w:hyperlink w:anchor="AUTO_2016_204" w:history="1">
        <w:r w:rsidRPr="00AD3C82">
          <w:rPr>
            <w:rStyle w:val="TextoNormalCaracter"/>
          </w:rPr>
          <w:t>204/2016</w:t>
        </w:r>
      </w:hyperlink>
      <w:r w:rsidRPr="00AD3C82">
        <w:rPr>
          <w:rStyle w:val="TextoNormalCaracter"/>
        </w:rPr>
        <w:t xml:space="preserve">, f. 3; </w:t>
      </w:r>
      <w:hyperlink w:anchor="AUTO_2016_205" w:history="1">
        <w:r w:rsidRPr="00AD3C82">
          <w:rPr>
            <w:rStyle w:val="TextoNormalCaracter"/>
          </w:rPr>
          <w:t>205/2016</w:t>
        </w:r>
      </w:hyperlink>
      <w:r w:rsidRPr="00AD3C82">
        <w:rPr>
          <w:rStyle w:val="TextoNormalCaracter"/>
        </w:rPr>
        <w:t>, f. 3.</w:t>
      </w:r>
    </w:p>
    <w:p w:rsidR="00AD3C82" w:rsidRPr="00AD3C82" w:rsidRDefault="00AD3C82" w:rsidP="00AD3C82">
      <w:pPr>
        <w:pStyle w:val="TextoNormalSangraFrancesa"/>
        <w:rPr>
          <w:rStyle w:val="TextoNormalCaracter"/>
        </w:rPr>
      </w:pPr>
      <w:bookmarkStart w:id="1299" w:name="DESCRIPTORALFABETICO233"/>
      <w:r w:rsidRPr="00AD3C82">
        <w:rPr>
          <w:rStyle w:val="TextoNormalNegritaCaracter"/>
        </w:rPr>
        <w:t>Juicio de aplicabilidad inconsistente</w:t>
      </w:r>
      <w:bookmarkEnd w:id="1299"/>
      <w:r w:rsidRPr="00AD3C82">
        <w:rPr>
          <w:rStyle w:val="TextoNormalCaracter"/>
        </w:rPr>
        <w:t xml:space="preserve">, Sentencia </w:t>
      </w:r>
      <w:hyperlink w:anchor="SENTENCIA_2016_134" w:history="1">
        <w:r w:rsidRPr="00AD3C82">
          <w:rPr>
            <w:rStyle w:val="TextoNormalCaracter"/>
          </w:rPr>
          <w:t>134/2016</w:t>
        </w:r>
      </w:hyperlink>
      <w:r w:rsidRPr="00AD3C82">
        <w:rPr>
          <w:rStyle w:val="TextoNormalCaracter"/>
        </w:rPr>
        <w:t>, f. 2.</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56" w:history="1">
        <w:r w:rsidRPr="00AD3C82">
          <w:rPr>
            <w:rStyle w:val="TextoNormalCaracter"/>
          </w:rPr>
          <w:t>156/2016</w:t>
        </w:r>
      </w:hyperlink>
      <w:r w:rsidRPr="00AD3C82">
        <w:rPr>
          <w:rStyle w:val="TextoNormalCaracter"/>
        </w:rPr>
        <w:t xml:space="preserve">, f. 3; </w:t>
      </w:r>
      <w:hyperlink w:anchor="AUTO_2016_167" w:history="1">
        <w:r w:rsidRPr="00AD3C82">
          <w:rPr>
            <w:rStyle w:val="TextoNormalCaracter"/>
          </w:rPr>
          <w:t>167/2016</w:t>
        </w:r>
      </w:hyperlink>
      <w:r w:rsidRPr="00AD3C82">
        <w:rPr>
          <w:rStyle w:val="TextoNormalCaracter"/>
        </w:rPr>
        <w:t xml:space="preserve">, ff. 2 a 4; </w:t>
      </w:r>
      <w:hyperlink w:anchor="AUTO_2016_168" w:history="1">
        <w:r w:rsidRPr="00AD3C82">
          <w:rPr>
            <w:rStyle w:val="TextoNormalCaracter"/>
          </w:rPr>
          <w:t>168/2016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1300" w:name="DESCRIPTORALFABETICO120"/>
      <w:r w:rsidRPr="00AD3C82">
        <w:rPr>
          <w:rStyle w:val="TextoNormalNegritaCaracter"/>
        </w:rPr>
        <w:t>Juicio de igualdad</w:t>
      </w:r>
      <w:bookmarkEnd w:id="1300"/>
      <w:r w:rsidRPr="00AD3C82">
        <w:rPr>
          <w:rStyle w:val="TextoNormalCaracter"/>
        </w:rPr>
        <w:t xml:space="preserve">, Sentencias </w:t>
      </w:r>
      <w:hyperlink w:anchor="SENTENCIA_2016_196" w:history="1">
        <w:r w:rsidRPr="00AD3C82">
          <w:rPr>
            <w:rStyle w:val="TextoNormalCaracter"/>
          </w:rPr>
          <w:t>196/2016</w:t>
        </w:r>
      </w:hyperlink>
      <w:r w:rsidRPr="00AD3C82">
        <w:rPr>
          <w:rStyle w:val="TextoNormalCaracter"/>
        </w:rPr>
        <w:t xml:space="preserve">, f. 4; </w:t>
      </w:r>
      <w:hyperlink w:anchor="SENTENCIA_2016_198" w:history="1">
        <w:r w:rsidRPr="00AD3C82">
          <w:rPr>
            <w:rStyle w:val="TextoNormalCaracter"/>
          </w:rPr>
          <w:t>198/2016</w:t>
        </w:r>
      </w:hyperlink>
      <w:r w:rsidRPr="00AD3C82">
        <w:rPr>
          <w:rStyle w:val="TextoNormalCaracter"/>
        </w:rPr>
        <w:t>, f. 4.</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 7.</w:t>
      </w:r>
    </w:p>
    <w:p w:rsidR="00AD3C82" w:rsidRPr="00AD3C82" w:rsidRDefault="00AD3C82" w:rsidP="00AD3C82">
      <w:pPr>
        <w:pStyle w:val="TextoNormalSangraFrancesa"/>
        <w:rPr>
          <w:rStyle w:val="TextoNormalCaracter"/>
        </w:rPr>
      </w:pPr>
      <w:bookmarkStart w:id="1301" w:name="DESCRIPTORALFABETICO234"/>
      <w:r w:rsidRPr="00AD3C82">
        <w:rPr>
          <w:rStyle w:val="TextoNormalNegritaCaracter"/>
        </w:rPr>
        <w:t>Juicio de relevancia</w:t>
      </w:r>
      <w:bookmarkEnd w:id="1301"/>
      <w:r w:rsidRPr="00AD3C82">
        <w:rPr>
          <w:rStyle w:val="TextoNormalCaracter"/>
        </w:rPr>
        <w:t xml:space="preserve">, Autos </w:t>
      </w:r>
      <w:hyperlink w:anchor="AUTO_2016_182" w:history="1">
        <w:r w:rsidRPr="00AD3C82">
          <w:rPr>
            <w:rStyle w:val="TextoNormalCaracter"/>
          </w:rPr>
          <w:t>182/2016</w:t>
        </w:r>
      </w:hyperlink>
      <w:r w:rsidRPr="00AD3C82">
        <w:rPr>
          <w:rStyle w:val="TextoNormalCaracter"/>
        </w:rPr>
        <w:t xml:space="preserve">, ff. 3, 4; </w:t>
      </w:r>
      <w:hyperlink w:anchor="AUTO_2016_183" w:history="1">
        <w:r w:rsidRPr="00AD3C82">
          <w:rPr>
            <w:rStyle w:val="TextoNormalCaracter"/>
          </w:rPr>
          <w:t>183/2016</w:t>
        </w:r>
      </w:hyperlink>
      <w:r w:rsidRPr="00AD3C82">
        <w:rPr>
          <w:rStyle w:val="TextoNormalCaracter"/>
        </w:rPr>
        <w:t xml:space="preserve">, f. 2; </w:t>
      </w:r>
      <w:hyperlink w:anchor="AUTO_2016_184" w:history="1">
        <w:r w:rsidRPr="00AD3C82">
          <w:rPr>
            <w:rStyle w:val="TextoNormalCaracter"/>
          </w:rPr>
          <w:t>184/2016</w:t>
        </w:r>
      </w:hyperlink>
      <w:r w:rsidRPr="00AD3C82">
        <w:rPr>
          <w:rStyle w:val="TextoNormalCaracter"/>
        </w:rPr>
        <w:t xml:space="preserve">, f. 2; </w:t>
      </w:r>
      <w:hyperlink w:anchor="AUTO_2016_185" w:history="1">
        <w:r w:rsidRPr="00AD3C82">
          <w:rPr>
            <w:rStyle w:val="TextoNormalCaracter"/>
          </w:rPr>
          <w:t>185/2016</w:t>
        </w:r>
      </w:hyperlink>
      <w:r w:rsidRPr="00AD3C82">
        <w:rPr>
          <w:rStyle w:val="TextoNormalCaracter"/>
        </w:rPr>
        <w:t>, f. 2.</w:t>
      </w:r>
    </w:p>
    <w:p w:rsidR="00AD3C82" w:rsidRPr="00AD3C82" w:rsidRDefault="00AD3C82" w:rsidP="00AD3C82">
      <w:pPr>
        <w:pStyle w:val="TextoNormalSangraFrancesa"/>
        <w:rPr>
          <w:rStyle w:val="TextoNormalCaracter"/>
        </w:rPr>
      </w:pPr>
      <w:bookmarkStart w:id="1302" w:name="DESCRIPTORALFABETICO236"/>
      <w:r w:rsidRPr="00AD3C82">
        <w:rPr>
          <w:rStyle w:val="TextoNormalNegritaCaracter"/>
        </w:rPr>
        <w:t>Juicio de relevancia inconsistente</w:t>
      </w:r>
      <w:bookmarkEnd w:id="1302"/>
      <w:r w:rsidRPr="00AD3C82">
        <w:rPr>
          <w:rStyle w:val="TextoNormalCaracter"/>
        </w:rPr>
        <w:t xml:space="preserve">, Sentencias </w:t>
      </w:r>
      <w:hyperlink w:anchor="SENTENCIA_2016_134" w:history="1">
        <w:r w:rsidRPr="00AD3C82">
          <w:rPr>
            <w:rStyle w:val="TextoNormalCaracter"/>
          </w:rPr>
          <w:t>134/2016</w:t>
        </w:r>
      </w:hyperlink>
      <w:r w:rsidRPr="00AD3C82">
        <w:rPr>
          <w:rStyle w:val="TextoNormalCaracter"/>
        </w:rPr>
        <w:t xml:space="preserve">, f. 2; </w:t>
      </w:r>
      <w:hyperlink w:anchor="SENTENCIA_2016_175" w:history="1">
        <w:r w:rsidRPr="00AD3C82">
          <w:rPr>
            <w:rStyle w:val="TextoNormalCaracter"/>
          </w:rPr>
          <w:t>175/2016</w:t>
        </w:r>
      </w:hyperlink>
      <w:r w:rsidRPr="00AD3C82">
        <w:rPr>
          <w:rStyle w:val="TextoNormalCaracter"/>
        </w:rPr>
        <w:t>, ff. 2 a 5.</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38" w:history="1">
        <w:r w:rsidRPr="00AD3C82">
          <w:rPr>
            <w:rStyle w:val="TextoNormalCaracter"/>
          </w:rPr>
          <w:t>138/2016</w:t>
        </w:r>
      </w:hyperlink>
      <w:r w:rsidRPr="00AD3C82">
        <w:rPr>
          <w:rStyle w:val="TextoNormalCaracter"/>
        </w:rPr>
        <w:t xml:space="preserve">, ff. 2, 3; </w:t>
      </w:r>
      <w:hyperlink w:anchor="AUTO_2016_139" w:history="1">
        <w:r w:rsidRPr="00AD3C82">
          <w:rPr>
            <w:rStyle w:val="TextoNormalCaracter"/>
          </w:rPr>
          <w:t>139/2016</w:t>
        </w:r>
      </w:hyperlink>
      <w:r w:rsidRPr="00AD3C82">
        <w:rPr>
          <w:rStyle w:val="TextoNormalCaracter"/>
        </w:rPr>
        <w:t xml:space="preserve">, ff. 2, 3; </w:t>
      </w:r>
      <w:hyperlink w:anchor="AUTO_2016_156" w:history="1">
        <w:r w:rsidRPr="00AD3C82">
          <w:rPr>
            <w:rStyle w:val="TextoNormalCaracter"/>
          </w:rPr>
          <w:t>156/2016</w:t>
        </w:r>
      </w:hyperlink>
      <w:r w:rsidRPr="00AD3C82">
        <w:rPr>
          <w:rStyle w:val="TextoNormalCaracter"/>
        </w:rPr>
        <w:t xml:space="preserve">, f. 3; </w:t>
      </w:r>
      <w:hyperlink w:anchor="AUTO_2016_159" w:history="1">
        <w:r w:rsidRPr="00AD3C82">
          <w:rPr>
            <w:rStyle w:val="TextoNormalCaracter"/>
          </w:rPr>
          <w:t>159/2016</w:t>
        </w:r>
      </w:hyperlink>
      <w:r w:rsidRPr="00AD3C82">
        <w:rPr>
          <w:rStyle w:val="TextoNormalCaracter"/>
        </w:rPr>
        <w:t xml:space="preserve">, ff. 1 a 3; </w:t>
      </w:r>
      <w:hyperlink w:anchor="AUTO_2016_168" w:history="1">
        <w:r w:rsidRPr="00AD3C82">
          <w:rPr>
            <w:rStyle w:val="TextoNormalCaracter"/>
          </w:rPr>
          <w:t>168/2016</w:t>
        </w:r>
      </w:hyperlink>
      <w:r w:rsidRPr="00AD3C82">
        <w:rPr>
          <w:rStyle w:val="TextoNormalCaracter"/>
        </w:rPr>
        <w:t>, f. 5.</w:t>
      </w:r>
    </w:p>
    <w:p w:rsidR="00AD3C82" w:rsidRPr="00AD3C82" w:rsidRDefault="00AD3C82" w:rsidP="00AD3C82">
      <w:pPr>
        <w:pStyle w:val="TextoNormalSangraFrancesa"/>
        <w:rPr>
          <w:rStyle w:val="TextoNormalCaracter"/>
        </w:rPr>
      </w:pPr>
      <w:bookmarkStart w:id="1303" w:name="DESCRIPTORALFABETICO346"/>
      <w:r w:rsidRPr="00AD3C82">
        <w:rPr>
          <w:rStyle w:val="TextoNormalNegritaCaracter"/>
        </w:rPr>
        <w:t>Junta General del Principado de Asturias</w:t>
      </w:r>
      <w:bookmarkEnd w:id="1303"/>
      <w:r w:rsidRPr="00AD3C82">
        <w:rPr>
          <w:rStyle w:val="TextoNormalCaracter"/>
        </w:rPr>
        <w:t xml:space="preserve">, Sentencia </w:t>
      </w:r>
      <w:hyperlink w:anchor="SENTENCIA_2016_143" w:history="1">
        <w:r w:rsidRPr="00AD3C82">
          <w:rPr>
            <w:rStyle w:val="TextoNormalCaracter"/>
          </w:rPr>
          <w:t>143/2016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304" w:name="DESCRIPTORALFABETICO595"/>
      <w:r w:rsidRPr="00AD3C82">
        <w:rPr>
          <w:rStyle w:val="TextoNormalNegritaCaracter"/>
        </w:rPr>
        <w:t>Jurisdicción civil</w:t>
      </w:r>
      <w:bookmarkEnd w:id="1304"/>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ff. 3, 12, 13; </w:t>
      </w:r>
      <w:hyperlink w:anchor="SENTENCIA_2016_227" w:history="1">
        <w:r w:rsidRPr="00AD3C82">
          <w:rPr>
            <w:rStyle w:val="TextoNormalCaracter"/>
          </w:rPr>
          <w:t>227/2016</w:t>
        </w:r>
      </w:hyperlink>
      <w:r w:rsidRPr="00AD3C82">
        <w:rPr>
          <w:rStyle w:val="TextoNormalCaracter"/>
        </w:rPr>
        <w:t>, ff. 1, 4, 5.</w:t>
      </w:r>
    </w:p>
    <w:p w:rsidR="00AD3C82" w:rsidRPr="00AD3C82" w:rsidRDefault="00AD3C82" w:rsidP="00AD3C82">
      <w:pPr>
        <w:pStyle w:val="TextoNormalSangraFrancesa"/>
        <w:rPr>
          <w:rStyle w:val="TextoNormalCaracter"/>
        </w:rPr>
      </w:pPr>
      <w:bookmarkStart w:id="1305" w:name="DESCRIPTORALFABETICO188"/>
      <w:r w:rsidRPr="00AD3C82">
        <w:rPr>
          <w:rStyle w:val="TextoNormalNegritaCaracter"/>
        </w:rPr>
        <w:t>Jurisdicción constitucional</w:t>
      </w:r>
      <w:bookmarkEnd w:id="1305"/>
      <w:r w:rsidRPr="00AD3C82">
        <w:rPr>
          <w:rStyle w:val="TextoNormalCaracter"/>
        </w:rPr>
        <w:t xml:space="preserve">, Sentencias </w:t>
      </w:r>
      <w:hyperlink w:anchor="SENTENCIA_2016_185" w:history="1">
        <w:r w:rsidRPr="00AD3C82">
          <w:rPr>
            <w:rStyle w:val="TextoNormalCaracter"/>
          </w:rPr>
          <w:t>185/2016</w:t>
        </w:r>
      </w:hyperlink>
      <w:r w:rsidRPr="00AD3C82">
        <w:rPr>
          <w:rStyle w:val="TextoNormalCaracter"/>
        </w:rPr>
        <w:t xml:space="preserve">, ff. 1, 3, 4, 8 a 10, VVPP I, II, III; </w:t>
      </w:r>
      <w:hyperlink w:anchor="SENTENCIA_2016_215" w:history="1">
        <w:r w:rsidRPr="00AD3C82">
          <w:rPr>
            <w:rStyle w:val="TextoNormalCaracter"/>
          </w:rPr>
          <w:t>215/2016</w:t>
        </w:r>
      </w:hyperlink>
      <w:r w:rsidRPr="00AD3C82">
        <w:rPr>
          <w:rStyle w:val="TextoNormalCaracter"/>
        </w:rPr>
        <w:t>, ff.1 a 3, 6, 8 a 10.</w:t>
      </w:r>
    </w:p>
    <w:p w:rsidR="00AD3C82" w:rsidRPr="00AD3C82" w:rsidRDefault="00AD3C82" w:rsidP="00AD3C82">
      <w:pPr>
        <w:pStyle w:val="TextoNormalSangraFrancesa"/>
        <w:rPr>
          <w:rStyle w:val="TextoNormalCaracter"/>
        </w:rPr>
      </w:pPr>
      <w:bookmarkStart w:id="1306" w:name="DESCRIPTORALFABETICO596"/>
      <w:r w:rsidRPr="00AD3C82">
        <w:rPr>
          <w:rStyle w:val="TextoNormalNegritaCaracter"/>
        </w:rPr>
        <w:t>Jurisdicción contencioso-administrativa</w:t>
      </w:r>
      <w:bookmarkEnd w:id="1306"/>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ff. 3, 10 a 13; </w:t>
      </w:r>
      <w:hyperlink w:anchor="SENTENCIA_2016_202" w:history="1">
        <w:r w:rsidRPr="00AD3C82">
          <w:rPr>
            <w:rStyle w:val="TextoNormalCaracter"/>
          </w:rPr>
          <w:t>202/2016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07" w:name="DESCRIPTORALFABETICO597"/>
      <w:r w:rsidRPr="00AD3C82">
        <w:rPr>
          <w:rStyle w:val="TextoNormalNegritaCaracter"/>
        </w:rPr>
        <w:t>Jurisdicción social</w:t>
      </w:r>
      <w:bookmarkEnd w:id="1307"/>
      <w:r w:rsidRPr="00AD3C82">
        <w:rPr>
          <w:rStyle w:val="TextoNormalCaracter"/>
        </w:rPr>
        <w:t xml:space="preserve">, Sentencia </w:t>
      </w:r>
      <w:hyperlink w:anchor="SENTENCIA_2016_140" w:history="1">
        <w:r w:rsidRPr="00AD3C82">
          <w:rPr>
            <w:rStyle w:val="TextoNormalCaracter"/>
          </w:rPr>
          <w:t>140/2016</w:t>
        </w:r>
      </w:hyperlink>
      <w:r w:rsidRPr="00AD3C82">
        <w:rPr>
          <w:rStyle w:val="TextoNormalCaracter"/>
        </w:rPr>
        <w:t>, ff. 3, 12, 13.</w:t>
      </w:r>
    </w:p>
    <w:p w:rsidR="00AD3C82" w:rsidRPr="00AD3C82" w:rsidRDefault="00AD3C82" w:rsidP="00AD3C82">
      <w:pPr>
        <w:pStyle w:val="TextoNormalSangraFrancesa"/>
        <w:rPr>
          <w:rStyle w:val="TextoNormalCaracter"/>
        </w:rPr>
      </w:pPr>
      <w:bookmarkStart w:id="1308" w:name="DESCRIPTORALFABETICO634"/>
      <w:r w:rsidRPr="00AD3C82">
        <w:rPr>
          <w:rStyle w:val="TextoNormalNegritaCaracter"/>
        </w:rPr>
        <w:t>Justicia gratuita</w:t>
      </w:r>
      <w:bookmarkEnd w:id="1308"/>
      <w:r w:rsidRPr="00AD3C82">
        <w:rPr>
          <w:rStyle w:val="TextoNormalCaracter"/>
        </w:rPr>
        <w:t xml:space="preserve">, Sentencia </w:t>
      </w:r>
      <w:hyperlink w:anchor="SENTENCIA_2016_140" w:history="1">
        <w:r w:rsidRPr="00AD3C82">
          <w:rPr>
            <w:rStyle w:val="TextoNormalCaracter"/>
          </w:rPr>
          <w:t>140/2016</w:t>
        </w:r>
      </w:hyperlink>
      <w:r w:rsidRPr="00AD3C82">
        <w:rPr>
          <w:rStyle w:val="TextoNormalCaracter"/>
        </w:rPr>
        <w:t>, ff. 3, 5, 6 b), 6 c).</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89" w:history="1">
        <w:r w:rsidRPr="00AD3C82">
          <w:rPr>
            <w:rStyle w:val="TextoNormalCaracter"/>
          </w:rPr>
          <w:t>189/2016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309" w:name="DESCRIPTORALFABETICO260"/>
      <w:r w:rsidRPr="00AD3C82">
        <w:rPr>
          <w:rStyle w:val="TextoNormalNegritaCaracter"/>
        </w:rPr>
        <w:t>Justificación de la especial trascendencia constitucional</w:t>
      </w:r>
      <w:bookmarkEnd w:id="1309"/>
      <w:r w:rsidRPr="00AD3C82">
        <w:rPr>
          <w:rStyle w:val="TextoNormalCaracter"/>
        </w:rPr>
        <w:t xml:space="preserve">, Sentencia </w:t>
      </w:r>
      <w:hyperlink w:anchor="SENTENCIA_2016_146" w:history="1">
        <w:r w:rsidRPr="00AD3C82">
          <w:rPr>
            <w:rStyle w:val="TextoNormalCaracter"/>
          </w:rPr>
          <w:t>146/2016</w:t>
        </w:r>
      </w:hyperlink>
      <w:r w:rsidRPr="00AD3C82">
        <w:rPr>
          <w:rStyle w:val="TextoNormalCaracter"/>
        </w:rPr>
        <w:t>, VP.</w:t>
      </w:r>
    </w:p>
    <w:p w:rsidR="00AD3C82" w:rsidRPr="00AD3C82" w:rsidRDefault="00AD3C82" w:rsidP="00AD3C82">
      <w:pPr>
        <w:pStyle w:val="TextoNormalSangraFrancesa"/>
        <w:rPr>
          <w:rStyle w:val="TextoNormalCaracter"/>
        </w:rPr>
      </w:pPr>
      <w:bookmarkStart w:id="1310" w:name="DESCRIPTORALFABETICO261"/>
      <w:r w:rsidRPr="00AD3C82">
        <w:rPr>
          <w:rStyle w:val="TextoNormalNegritaCaracter"/>
        </w:rPr>
        <w:t>Justificación insuficiente de la especial trascendencia constitucional</w:t>
      </w:r>
      <w:bookmarkEnd w:id="1310"/>
      <w:r w:rsidRPr="00AD3C82">
        <w:rPr>
          <w:rStyle w:val="TextoNormalCaracter"/>
        </w:rPr>
        <w:t xml:space="preserve">, Sentencia </w:t>
      </w:r>
      <w:hyperlink w:anchor="SENTENCIA_2016_146" w:history="1">
        <w:r w:rsidRPr="00AD3C82">
          <w:rPr>
            <w:rStyle w:val="TextoNormalCaracter"/>
          </w:rPr>
          <w:t>146/2016</w:t>
        </w:r>
      </w:hyperlink>
      <w:r w:rsidRPr="00AD3C82">
        <w:rPr>
          <w:rStyle w:val="TextoNormalCaracter"/>
        </w:rPr>
        <w:t>, ff. 2, 3.</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L</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311" w:name="DESCRIPTORALFABETICO499"/>
      <w:r w:rsidRPr="00AD3C82">
        <w:rPr>
          <w:rStyle w:val="TextoNormalNegritaCaracter"/>
        </w:rPr>
        <w:t>Legislación básica</w:t>
      </w:r>
      <w:bookmarkEnd w:id="1311"/>
      <w:r w:rsidRPr="00AD3C82">
        <w:rPr>
          <w:rStyle w:val="TextoNormalCaracter"/>
        </w:rPr>
        <w:t xml:space="preserve">, Sentencias </w:t>
      </w:r>
      <w:hyperlink w:anchor="SENTENCIA_2016_141" w:history="1">
        <w:r w:rsidRPr="00AD3C82">
          <w:rPr>
            <w:rStyle w:val="TextoNormalCaracter"/>
          </w:rPr>
          <w:t>141/2016</w:t>
        </w:r>
      </w:hyperlink>
      <w:r w:rsidRPr="00AD3C82">
        <w:rPr>
          <w:rStyle w:val="TextoNormalCaracter"/>
        </w:rPr>
        <w:t xml:space="preserve">, ff. 1, 5 a 9; </w:t>
      </w:r>
      <w:hyperlink w:anchor="SENTENCIA_2016_164" w:history="1">
        <w:r w:rsidRPr="00AD3C82">
          <w:rPr>
            <w:rStyle w:val="TextoNormalCaracter"/>
          </w:rPr>
          <w:t>164/2016</w:t>
        </w:r>
      </w:hyperlink>
      <w:r w:rsidRPr="00AD3C82">
        <w:rPr>
          <w:rStyle w:val="TextoNormalCaracter"/>
        </w:rPr>
        <w:t xml:space="preserve">, ff. 1, 3 a 7; </w:t>
      </w:r>
      <w:hyperlink w:anchor="SENTENCIA_2016_165" w:history="1">
        <w:r w:rsidRPr="00AD3C82">
          <w:rPr>
            <w:rStyle w:val="TextoNormalCaracter"/>
          </w:rPr>
          <w:t>165/2016</w:t>
        </w:r>
      </w:hyperlink>
      <w:r w:rsidRPr="00AD3C82">
        <w:rPr>
          <w:rStyle w:val="TextoNormalCaracter"/>
        </w:rPr>
        <w:t xml:space="preserve">, ff. 9 a 15, VP; </w:t>
      </w:r>
      <w:hyperlink w:anchor="SENTENCIA_2016_168" w:history="1">
        <w:r w:rsidRPr="00AD3C82">
          <w:rPr>
            <w:rStyle w:val="TextoNormalCaracter"/>
          </w:rPr>
          <w:t>168/2016</w:t>
        </w:r>
      </w:hyperlink>
      <w:r w:rsidRPr="00AD3C82">
        <w:rPr>
          <w:rStyle w:val="TextoNormalCaracter"/>
        </w:rPr>
        <w:t xml:space="preserve">, ff. 2 a 5; </w:t>
      </w:r>
      <w:hyperlink w:anchor="SENTENCIA_2016_183" w:history="1">
        <w:r w:rsidRPr="00AD3C82">
          <w:rPr>
            <w:rStyle w:val="TextoNormalCaracter"/>
          </w:rPr>
          <w:t>183/2016</w:t>
        </w:r>
      </w:hyperlink>
      <w:r w:rsidRPr="00AD3C82">
        <w:rPr>
          <w:rStyle w:val="TextoNormalCaracter"/>
        </w:rPr>
        <w:t xml:space="preserve">, f. 5; </w:t>
      </w:r>
      <w:hyperlink w:anchor="SENTENCIA_2016_190" w:history="1">
        <w:r w:rsidRPr="00AD3C82">
          <w:rPr>
            <w:rStyle w:val="TextoNormalCaracter"/>
          </w:rPr>
          <w:t>190/2016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312" w:name="DESCRIPTORALFABETICO508"/>
      <w:r w:rsidRPr="00AD3C82">
        <w:rPr>
          <w:rStyle w:val="TextoNormalNegritaCaracter"/>
        </w:rPr>
        <w:t>Legislación laboral</w:t>
      </w:r>
      <w:bookmarkEnd w:id="1312"/>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Concepto, </w:t>
      </w:r>
      <w:r w:rsidRPr="00AD3C82">
        <w:rPr>
          <w:rStyle w:val="TextoNormalCaracter"/>
        </w:rPr>
        <w:t xml:space="preserve">Sentencia </w:t>
      </w:r>
      <w:hyperlink w:anchor="SENTENCIA_2016_159" w:history="1">
        <w:r w:rsidRPr="00AD3C82">
          <w:rPr>
            <w:rStyle w:val="TextoNormalCaracter"/>
          </w:rPr>
          <w:t>159/2016</w:t>
        </w:r>
      </w:hyperlink>
      <w:r w:rsidRPr="00AD3C82">
        <w:rPr>
          <w:rStyle w:val="TextoNormalCaracter"/>
        </w:rPr>
        <w:t>, f. 2.</w:t>
      </w:r>
    </w:p>
    <w:p w:rsidR="00AD3C82" w:rsidRPr="00AD3C82" w:rsidRDefault="00AD3C82" w:rsidP="00AD3C82">
      <w:pPr>
        <w:pStyle w:val="TextoNormalSangraFrancesa"/>
        <w:rPr>
          <w:rStyle w:val="TextoNormalCaracter"/>
        </w:rPr>
      </w:pPr>
      <w:bookmarkStart w:id="1313" w:name="DESCRIPTORALFABETICO639"/>
      <w:r w:rsidRPr="00AD3C82">
        <w:rPr>
          <w:rStyle w:val="TextoNormalNegritaCaracter"/>
        </w:rPr>
        <w:t>Legitimación de asociaciones</w:t>
      </w:r>
      <w:bookmarkEnd w:id="1313"/>
      <w:r w:rsidRPr="00AD3C82">
        <w:rPr>
          <w:rStyle w:val="TextoNormalCaracter"/>
        </w:rPr>
        <w:t xml:space="preserve">, Sentencia </w:t>
      </w:r>
      <w:hyperlink w:anchor="SENTENCIA_2016_154" w:history="1">
        <w:r w:rsidRPr="00AD3C82">
          <w:rPr>
            <w:rStyle w:val="TextoNormalCaracter"/>
          </w:rPr>
          <w:t>154/2016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314" w:name="DESCRIPTORALFABETICO250"/>
      <w:r w:rsidRPr="00AD3C82">
        <w:rPr>
          <w:rStyle w:val="TextoNormalNegritaCaracter"/>
        </w:rPr>
        <w:t>Legitimación de quien no fue parte en el proceso previo</w:t>
      </w:r>
      <w:bookmarkEnd w:id="1314"/>
      <w:r w:rsidRPr="00AD3C82">
        <w:rPr>
          <w:rStyle w:val="TextoNormalCaracter"/>
        </w:rPr>
        <w:t xml:space="preserve">, Sentencia </w:t>
      </w:r>
      <w:hyperlink w:anchor="SENTENCIA_2016_154" w:history="1">
        <w:r w:rsidRPr="00AD3C82">
          <w:rPr>
            <w:rStyle w:val="TextoNormalCaracter"/>
          </w:rPr>
          <w:t>154/2016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315" w:name="DESCRIPTORALFABETICO196"/>
      <w:r w:rsidRPr="00AD3C82">
        <w:rPr>
          <w:rStyle w:val="TextoNormalNegritaCaracter"/>
        </w:rPr>
        <w:t>Levantamiento de la suspensión de disposiciones de las Comunidades Autónomas</w:t>
      </w:r>
      <w:bookmarkEnd w:id="1315"/>
      <w:r w:rsidRPr="00AD3C82">
        <w:rPr>
          <w:rStyle w:val="TextoNormalCaracter"/>
        </w:rPr>
        <w:t xml:space="preserve">, Autos </w:t>
      </w:r>
      <w:hyperlink w:anchor="AUTO_2016_144" w:history="1">
        <w:r w:rsidRPr="00AD3C82">
          <w:rPr>
            <w:rStyle w:val="TextoNormalCaracter"/>
          </w:rPr>
          <w:t>144/2016</w:t>
        </w:r>
      </w:hyperlink>
      <w:r w:rsidRPr="00AD3C82">
        <w:rPr>
          <w:rStyle w:val="TextoNormalCaracter"/>
        </w:rPr>
        <w:t xml:space="preserve">, ff. 6, 7; </w:t>
      </w:r>
      <w:hyperlink w:anchor="AUTO_2016_157" w:history="1">
        <w:r w:rsidRPr="00AD3C82">
          <w:rPr>
            <w:rStyle w:val="TextoNormalCaracter"/>
          </w:rPr>
          <w:t>157/2016</w:t>
        </w:r>
      </w:hyperlink>
      <w:r w:rsidRPr="00AD3C82">
        <w:rPr>
          <w:rStyle w:val="TextoNormalCaracter"/>
        </w:rPr>
        <w:t xml:space="preserve">, ff. 1 a 4; </w:t>
      </w:r>
      <w:hyperlink w:anchor="AUTO_2016_158" w:history="1">
        <w:r w:rsidRPr="00AD3C82">
          <w:rPr>
            <w:rStyle w:val="TextoNormalCaracter"/>
          </w:rPr>
          <w:t>158/2016</w:t>
        </w:r>
      </w:hyperlink>
      <w:r w:rsidRPr="00AD3C82">
        <w:rPr>
          <w:rStyle w:val="TextoNormalCaracter"/>
        </w:rPr>
        <w:t xml:space="preserve">, ff. 1 a 5; </w:t>
      </w:r>
      <w:hyperlink w:anchor="AUTO_2016_169" w:history="1">
        <w:r w:rsidRPr="00AD3C82">
          <w:rPr>
            <w:rStyle w:val="TextoNormalCaracter"/>
          </w:rPr>
          <w:t>169/2016</w:t>
        </w:r>
      </w:hyperlink>
      <w:r w:rsidRPr="00AD3C82">
        <w:rPr>
          <w:rStyle w:val="TextoNormalCaracter"/>
        </w:rPr>
        <w:t xml:space="preserve">, ff. 2 a 5; </w:t>
      </w:r>
      <w:hyperlink w:anchor="AUTO_2016_171" w:history="1">
        <w:r w:rsidRPr="00AD3C82">
          <w:rPr>
            <w:rStyle w:val="TextoNormalCaracter"/>
          </w:rPr>
          <w:t>171/2016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316" w:name="DESCRIPTORALFABETICO513"/>
      <w:r w:rsidRPr="00AD3C82">
        <w:rPr>
          <w:rStyle w:val="TextoNormalNegritaCaracter"/>
        </w:rPr>
        <w:t>Leyes autoaplicativas</w:t>
      </w:r>
      <w:bookmarkEnd w:id="1316"/>
      <w:r w:rsidRPr="00AD3C82">
        <w:rPr>
          <w:rStyle w:val="TextoNormalCaracter"/>
        </w:rPr>
        <w:t xml:space="preserve">, Sentencia </w:t>
      </w:r>
      <w:hyperlink w:anchor="SENTENCIA_2016_170" w:history="1">
        <w:r w:rsidRPr="00AD3C82">
          <w:rPr>
            <w:rStyle w:val="TextoNormalCaracter"/>
          </w:rPr>
          <w:t>170/2016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317" w:name="DESCRIPTORALFABETICO514"/>
      <w:r w:rsidRPr="00AD3C82">
        <w:rPr>
          <w:rStyle w:val="TextoNormalNegritaCaracter"/>
        </w:rPr>
        <w:t>Leyes de destinatario único</w:t>
      </w:r>
      <w:bookmarkEnd w:id="1317"/>
      <w:r w:rsidRPr="00AD3C82">
        <w:rPr>
          <w:rStyle w:val="TextoNormalCaracter"/>
        </w:rPr>
        <w:t xml:space="preserve">, Sentencia </w:t>
      </w:r>
      <w:hyperlink w:anchor="SENTENCIA_2016_170" w:history="1">
        <w:r w:rsidRPr="00AD3C82">
          <w:rPr>
            <w:rStyle w:val="TextoNormalCaracter"/>
          </w:rPr>
          <w:t>170/2016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318" w:name="DESCRIPTORALFABETICO511"/>
      <w:r w:rsidRPr="00AD3C82">
        <w:rPr>
          <w:rStyle w:val="TextoNormalNegritaCaracter"/>
        </w:rPr>
        <w:t>Leyes de presupuestos generales del Estado</w:t>
      </w:r>
      <w:bookmarkEnd w:id="1318"/>
      <w:r w:rsidRPr="00AD3C82">
        <w:rPr>
          <w:rStyle w:val="TextoNormalCaracter"/>
        </w:rPr>
        <w:t xml:space="preserve">, Sentencia </w:t>
      </w:r>
      <w:hyperlink w:anchor="SENTENCIA_2016_217" w:history="1">
        <w:r w:rsidRPr="00AD3C82">
          <w:rPr>
            <w:rStyle w:val="TextoNormalCaracter"/>
          </w:rPr>
          <w:t>217/2016</w:t>
        </w:r>
      </w:hyperlink>
      <w:r w:rsidRPr="00AD3C82">
        <w:rPr>
          <w:rStyle w:val="TextoNormalCaracter"/>
        </w:rPr>
        <w:t>, ff. 1, 2, 4, 5.</w:t>
      </w:r>
    </w:p>
    <w:p w:rsidR="00AD3C82" w:rsidRPr="00AD3C82" w:rsidRDefault="00AD3C82" w:rsidP="00AD3C82">
      <w:pPr>
        <w:pStyle w:val="TextoNormalSangraFrancesa"/>
        <w:rPr>
          <w:rStyle w:val="TextoNormalCaracter"/>
        </w:rPr>
      </w:pPr>
      <w:bookmarkStart w:id="1319" w:name="DESCRIPTORALFABETICO318"/>
      <w:r w:rsidRPr="00AD3C82">
        <w:rPr>
          <w:rStyle w:val="TextoNormalNegritaCaracter"/>
        </w:rPr>
        <w:t>Libertad de configuración del legislador</w:t>
      </w:r>
      <w:bookmarkEnd w:id="1319"/>
      <w:r w:rsidRPr="00AD3C82">
        <w:rPr>
          <w:rStyle w:val="TextoNormalCaracter"/>
        </w:rPr>
        <w:t xml:space="preserve">, Sentencias </w:t>
      </w:r>
      <w:hyperlink w:anchor="SENTENCIA_2016_181" w:history="1">
        <w:r w:rsidRPr="00AD3C82">
          <w:rPr>
            <w:rStyle w:val="TextoNormalCaracter"/>
          </w:rPr>
          <w:t>181/2016</w:t>
        </w:r>
      </w:hyperlink>
      <w:r w:rsidRPr="00AD3C82">
        <w:rPr>
          <w:rStyle w:val="TextoNormalCaracter"/>
        </w:rPr>
        <w:t xml:space="preserve">, f. 4 b); </w:t>
      </w:r>
      <w:hyperlink w:anchor="SENTENCIA_2016_185" w:history="1">
        <w:r w:rsidRPr="00AD3C82">
          <w:rPr>
            <w:rStyle w:val="TextoNormalCaracter"/>
          </w:rPr>
          <w:t>185/2016</w:t>
        </w:r>
      </w:hyperlink>
      <w:r w:rsidRPr="00AD3C82">
        <w:rPr>
          <w:rStyle w:val="TextoNormalCaracter"/>
        </w:rPr>
        <w:t xml:space="preserve">, ff. 3, 10, 15, VVPP I, II, III; </w:t>
      </w:r>
      <w:hyperlink w:anchor="SENTENCIA_2016_215" w:history="1">
        <w:r w:rsidRPr="00AD3C82">
          <w:rPr>
            <w:rStyle w:val="TextoNormalCaracter"/>
          </w:rPr>
          <w:t>215/2016</w:t>
        </w:r>
      </w:hyperlink>
      <w:r w:rsidRPr="00AD3C82">
        <w:rPr>
          <w:rStyle w:val="TextoNormalCaracter"/>
        </w:rPr>
        <w:t>, ff. 3, 8, 10.</w:t>
      </w:r>
    </w:p>
    <w:p w:rsidR="00AD3C82" w:rsidRPr="00AD3C82" w:rsidRDefault="00AD3C82" w:rsidP="00AD3C82">
      <w:pPr>
        <w:pStyle w:val="TextoNormalSangraFrancesa"/>
        <w:rPr>
          <w:rStyle w:val="TextoNormalCaracter"/>
        </w:rPr>
      </w:pPr>
      <w:bookmarkStart w:id="1320" w:name="DESCRIPTORALFABETICO478"/>
      <w:r w:rsidRPr="00AD3C82">
        <w:rPr>
          <w:rStyle w:val="TextoNormalNegritaCaracter"/>
        </w:rPr>
        <w:t>Libertad de establecimiento</w:t>
      </w:r>
      <w:bookmarkEnd w:id="1320"/>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 3; </w:t>
      </w:r>
      <w:hyperlink w:anchor="SENTENCIA_2016_157" w:history="1">
        <w:r w:rsidRPr="00AD3C82">
          <w:rPr>
            <w:rStyle w:val="TextoNormalCaracter"/>
          </w:rPr>
          <w:t>157/2016</w:t>
        </w:r>
      </w:hyperlink>
      <w:r w:rsidRPr="00AD3C82">
        <w:rPr>
          <w:rStyle w:val="TextoNormalCaracter"/>
        </w:rPr>
        <w:t>, ff. 1, 2, 6 a 9, VP.</w:t>
      </w:r>
    </w:p>
    <w:p w:rsidR="00AD3C82" w:rsidRPr="00AD3C82" w:rsidRDefault="00AD3C82" w:rsidP="00AD3C82">
      <w:pPr>
        <w:pStyle w:val="TextoNormalSangraFrancesa"/>
        <w:rPr>
          <w:rStyle w:val="TextoNormalCaracter"/>
        </w:rPr>
      </w:pPr>
      <w:bookmarkStart w:id="1321" w:name="DESCRIPTORALFABETICO319"/>
      <w:r w:rsidRPr="00AD3C82">
        <w:rPr>
          <w:rStyle w:val="TextoNormalNegritaCaracter"/>
        </w:rPr>
        <w:t>Libertad del legislador de configurar el nivel de densidad normativa</w:t>
      </w:r>
      <w:bookmarkEnd w:id="1321"/>
      <w:r w:rsidRPr="00AD3C82">
        <w:rPr>
          <w:rStyle w:val="TextoNormalCaracter"/>
        </w:rPr>
        <w:t xml:space="preserve">, Sentencia </w:t>
      </w:r>
      <w:hyperlink w:anchor="SENTENCIA_2016_170" w:history="1">
        <w:r w:rsidRPr="00AD3C82">
          <w:rPr>
            <w:rStyle w:val="TextoNormalCaracter"/>
          </w:rPr>
          <w:t>170/2016</w:t>
        </w:r>
      </w:hyperlink>
      <w:r w:rsidRPr="00AD3C82">
        <w:rPr>
          <w:rStyle w:val="TextoNormalCaracter"/>
        </w:rPr>
        <w:t>, f. 6.</w:t>
      </w:r>
    </w:p>
    <w:p w:rsidR="00AD3C82" w:rsidRPr="00AD3C82" w:rsidRDefault="00AD3C82" w:rsidP="00AD3C82">
      <w:pPr>
        <w:pStyle w:val="TextoNormalSangraFrancesa"/>
        <w:rPr>
          <w:rStyle w:val="TextoNormalCaracter"/>
        </w:rPr>
      </w:pPr>
      <w:bookmarkStart w:id="1322" w:name="DESCRIPTORALFABETICO401"/>
      <w:r w:rsidRPr="00AD3C82">
        <w:rPr>
          <w:rStyle w:val="TextoNormalNegritaCaracter"/>
        </w:rPr>
        <w:t>Licencias administrativas</w:t>
      </w:r>
      <w:bookmarkEnd w:id="1322"/>
      <w:r w:rsidRPr="00AD3C82">
        <w:rPr>
          <w:rStyle w:val="TextoNormalCaracter"/>
        </w:rPr>
        <w:t xml:space="preserve">, Sentencia </w:t>
      </w:r>
      <w:hyperlink w:anchor="SENTENCIA_2016_175" w:history="1">
        <w:r w:rsidRPr="00AD3C82">
          <w:rPr>
            <w:rStyle w:val="TextoNormalCaracter"/>
          </w:rPr>
          <w:t>175/2016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323" w:name="DESCRIPTORALFABETICO177"/>
      <w:r w:rsidRPr="00AD3C82">
        <w:rPr>
          <w:rStyle w:val="TextoNormalNegritaCaracter"/>
        </w:rPr>
        <w:t>Limitaciones a la actividad empresarial</w:t>
      </w:r>
      <w:bookmarkEnd w:id="1323"/>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3.</w:t>
      </w:r>
    </w:p>
    <w:p w:rsidR="00AD3C82" w:rsidRPr="00AD3C82" w:rsidRDefault="00AD3C82" w:rsidP="00AD3C82">
      <w:pPr>
        <w:pStyle w:val="TextoNormalSangraFrancesa"/>
        <w:rPr>
          <w:rStyle w:val="TextoNormalCaracter"/>
        </w:rPr>
      </w:pPr>
      <w:bookmarkStart w:id="1324" w:name="DESCRIPTORALFABETICO151"/>
      <w:r w:rsidRPr="00AD3C82">
        <w:rPr>
          <w:rStyle w:val="TextoNormalNegritaCaracter"/>
        </w:rPr>
        <w:t>Limitaciones al ejercicio del derecho a la tutela judicial efectiva</w:t>
      </w:r>
      <w:bookmarkEnd w:id="1324"/>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ff. 3, 5, 7, 8; </w:t>
      </w:r>
      <w:hyperlink w:anchor="SENTENCIA_2016_222" w:history="1">
        <w:r w:rsidRPr="00AD3C82">
          <w:rPr>
            <w:rStyle w:val="TextoNormalCaracter"/>
          </w:rPr>
          <w:t>222/2016</w:t>
        </w:r>
      </w:hyperlink>
      <w:r w:rsidRPr="00AD3C82">
        <w:rPr>
          <w:rStyle w:val="TextoNormalCaracter"/>
        </w:rPr>
        <w:t>, ff. 1, 3, 4, 5.</w:t>
      </w:r>
    </w:p>
    <w:p w:rsidR="00AD3C82" w:rsidRPr="00AD3C82" w:rsidRDefault="00AD3C82" w:rsidP="00AD3C82">
      <w:pPr>
        <w:pStyle w:val="TextoNormalSangraFrancesa"/>
        <w:rPr>
          <w:rStyle w:val="TextoNormalCaracter"/>
        </w:rPr>
      </w:pPr>
      <w:bookmarkStart w:id="1325" w:name="DESCRIPTORALFABETICO493"/>
      <w:r w:rsidRPr="00AD3C82">
        <w:rPr>
          <w:rStyle w:val="TextoNormalNegritaCaracter"/>
        </w:rPr>
        <w:t>Límite material de los decretos-leyes</w:t>
      </w:r>
      <w:bookmarkEnd w:id="1325"/>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6, VP I.</w:t>
      </w:r>
    </w:p>
    <w:p w:rsidR="00AD3C82" w:rsidRPr="00AD3C82" w:rsidRDefault="00AD3C82" w:rsidP="00AD3C82">
      <w:pPr>
        <w:pStyle w:val="TextoNormalSangraFrancesa"/>
        <w:rPr>
          <w:rStyle w:val="TextoNormalCaracter"/>
        </w:rPr>
      </w:pPr>
      <w:bookmarkStart w:id="1326" w:name="DESCRIPTORALFABETICO68"/>
      <w:r w:rsidRPr="00AD3C82">
        <w:rPr>
          <w:rStyle w:val="TextoNormalNegritaCaracter"/>
        </w:rPr>
        <w:t>Límites a la autonomía financiera</w:t>
      </w:r>
      <w:bookmarkEnd w:id="1326"/>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27" w:name="DESCRIPTORALFABETICO176"/>
      <w:r w:rsidRPr="00AD3C82">
        <w:rPr>
          <w:rStyle w:val="TextoNormalNegritaCaracter"/>
        </w:rPr>
        <w:t>Límites a la libertad de empresa</w:t>
      </w:r>
      <w:bookmarkEnd w:id="1327"/>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3.</w:t>
      </w:r>
    </w:p>
    <w:p w:rsidR="00AD3C82" w:rsidRPr="00AD3C82" w:rsidRDefault="00AD3C82" w:rsidP="00AD3C82">
      <w:pPr>
        <w:pStyle w:val="TextoNormalSangraFrancesa"/>
        <w:rPr>
          <w:rStyle w:val="TextoNormalCaracter"/>
        </w:rPr>
      </w:pPr>
      <w:bookmarkStart w:id="1328" w:name="DESCRIPTORALFABETICO179"/>
      <w:r w:rsidRPr="00AD3C82">
        <w:rPr>
          <w:rStyle w:val="TextoNormalNegritaCaracter"/>
        </w:rPr>
        <w:t>Límites a la libertad de expresión</w:t>
      </w:r>
      <w:bookmarkEnd w:id="1328"/>
      <w:r w:rsidRPr="00AD3C82">
        <w:rPr>
          <w:rStyle w:val="TextoNormalCaracter"/>
        </w:rPr>
        <w:t xml:space="preserve">, Sentencia </w:t>
      </w:r>
      <w:hyperlink w:anchor="SENTENCIA_2016_226" w:history="1">
        <w:r w:rsidRPr="00AD3C82">
          <w:rPr>
            <w:rStyle w:val="TextoNormalCaracter"/>
          </w:rPr>
          <w:t>226/2016</w:t>
        </w:r>
      </w:hyperlink>
      <w:r w:rsidRPr="00AD3C82">
        <w:rPr>
          <w:rStyle w:val="TextoNormalCaracter"/>
        </w:rPr>
        <w:t>, ff. 2, 4 a 10.</w:t>
      </w:r>
    </w:p>
    <w:p w:rsidR="00AD3C82" w:rsidRPr="00AD3C82" w:rsidRDefault="00AD3C82" w:rsidP="00AD3C82">
      <w:pPr>
        <w:pStyle w:val="TextoNormalSangraFrancesa"/>
        <w:rPr>
          <w:rStyle w:val="TextoNormalCaracter"/>
        </w:rPr>
      </w:pPr>
      <w:bookmarkStart w:id="1329" w:name="DESCRIPTORALFABETICO17"/>
      <w:r w:rsidRPr="00AD3C82">
        <w:rPr>
          <w:rStyle w:val="TextoNormalNegritaCaracter"/>
        </w:rPr>
        <w:t>Límites a las competencias de las Comunidades Autónomas</w:t>
      </w:r>
      <w:bookmarkEnd w:id="1329"/>
      <w:r w:rsidRPr="00AD3C82">
        <w:rPr>
          <w:rStyle w:val="TextoNormalCaracter"/>
        </w:rPr>
        <w:t xml:space="preserve">, Sentencia </w:t>
      </w:r>
      <w:hyperlink w:anchor="SENTENCIA_2016_152" w:history="1">
        <w:r w:rsidRPr="00AD3C82">
          <w:rPr>
            <w:rStyle w:val="TextoNormalCaracter"/>
          </w:rPr>
          <w:t>152/2016</w:t>
        </w:r>
      </w:hyperlink>
      <w:r w:rsidRPr="00AD3C82">
        <w:rPr>
          <w:rStyle w:val="TextoNormalCaracter"/>
        </w:rPr>
        <w:t>, ff. 4, 6.</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30" w:name="DESCRIPTORALFABETICO330"/>
      <w:r w:rsidRPr="00AD3C82">
        <w:rPr>
          <w:rStyle w:val="TextoNormalNegritaCaracter"/>
        </w:rPr>
        <w:t>Límites constitucionales a la autonomía parlamentaria</w:t>
      </w:r>
      <w:bookmarkEnd w:id="1330"/>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ff. 3 a 5; </w:t>
      </w:r>
      <w:hyperlink w:anchor="AUTO_2016_170" w:history="1">
        <w:r w:rsidRPr="00AD3C82">
          <w:rPr>
            <w:rStyle w:val="TextoNormalCaracter"/>
          </w:rPr>
          <w:t>170/2016</w:t>
        </w:r>
      </w:hyperlink>
      <w:r w:rsidRPr="00AD3C82">
        <w:rPr>
          <w:rStyle w:val="TextoNormalCaracter"/>
        </w:rPr>
        <w:t>, ff. 5 a 9.</w:t>
      </w:r>
    </w:p>
    <w:p w:rsidR="00AD3C82" w:rsidRPr="00AD3C82" w:rsidRDefault="00AD3C82" w:rsidP="00AD3C82">
      <w:pPr>
        <w:pStyle w:val="TextoNormalSangraFrancesa"/>
        <w:rPr>
          <w:rStyle w:val="TextoNormalCaracter"/>
        </w:rPr>
      </w:pPr>
      <w:bookmarkStart w:id="1331" w:name="DESCRIPTORALFABETICO141"/>
      <w:r w:rsidRPr="00AD3C82">
        <w:rPr>
          <w:rStyle w:val="TextoNormalNegritaCaracter"/>
        </w:rPr>
        <w:t>Límites legales al acceso a la justicia</w:t>
      </w:r>
      <w:bookmarkEnd w:id="1331"/>
      <w:r w:rsidRPr="00AD3C82">
        <w:rPr>
          <w:rStyle w:val="TextoNormalCaracter"/>
        </w:rPr>
        <w:t xml:space="preserve">, Sentencia </w:t>
      </w:r>
      <w:hyperlink w:anchor="SENTENCIA_2016_140" w:history="1">
        <w:r w:rsidRPr="00AD3C82">
          <w:rPr>
            <w:rStyle w:val="TextoNormalCaracter"/>
          </w:rPr>
          <w:t>140/2016</w:t>
        </w:r>
      </w:hyperlink>
      <w:r w:rsidRPr="00AD3C82">
        <w:rPr>
          <w:rStyle w:val="TextoNormalCaracter"/>
        </w:rPr>
        <w:t>, ff. 3, 5, 7.</w:t>
      </w:r>
    </w:p>
    <w:p w:rsidR="00AD3C82" w:rsidRPr="00AD3C82" w:rsidRDefault="00AD3C82" w:rsidP="00AD3C82">
      <w:pPr>
        <w:pStyle w:val="TextoNormalSangraFrancesa"/>
        <w:rPr>
          <w:rStyle w:val="TextoNormalCaracter"/>
        </w:rPr>
      </w:pPr>
      <w:bookmarkStart w:id="1332" w:name="DESCRIPTORALFABETICO512"/>
      <w:r w:rsidRPr="00AD3C82">
        <w:rPr>
          <w:rStyle w:val="TextoNormalNegritaCaracter"/>
        </w:rPr>
        <w:t>Límites materiales de las leyes de presupuestos</w:t>
      </w:r>
      <w:bookmarkEnd w:id="1332"/>
      <w:r w:rsidRPr="00AD3C82">
        <w:rPr>
          <w:rStyle w:val="TextoNormalCaracter"/>
        </w:rPr>
        <w:t xml:space="preserve">, Sentencia </w:t>
      </w:r>
      <w:hyperlink w:anchor="SENTENCIA_2016_135" w:history="1">
        <w:r w:rsidRPr="00AD3C82">
          <w:rPr>
            <w:rStyle w:val="TextoNormalCaracter"/>
          </w:rPr>
          <w:t>135/2016</w:t>
        </w:r>
      </w:hyperlink>
      <w:r w:rsidRPr="00AD3C82">
        <w:rPr>
          <w:rStyle w:val="TextoNormalCaracter"/>
        </w:rPr>
        <w:t>, f. 2.</w:t>
      </w:r>
    </w:p>
    <w:p w:rsidR="00AD3C82" w:rsidRPr="00AD3C82" w:rsidRDefault="00AD3C82" w:rsidP="00AD3C82">
      <w:pPr>
        <w:pStyle w:val="TextoNormalSangraFrancesa"/>
        <w:rPr>
          <w:rStyle w:val="TextoNormalCaracter"/>
        </w:rPr>
      </w:pPr>
      <w:bookmarkStart w:id="1333" w:name="DESCRIPTORALFABETICO675"/>
      <w:r w:rsidRPr="00AD3C82">
        <w:rPr>
          <w:rStyle w:val="TextoNormalNegritaCaracter"/>
        </w:rPr>
        <w:t>Liquidación de condena</w:t>
      </w:r>
      <w:bookmarkEnd w:id="1333"/>
      <w:r w:rsidRPr="00AD3C82">
        <w:rPr>
          <w:rStyle w:val="TextoNormalCaracter"/>
        </w:rPr>
        <w:t xml:space="preserve">, Sentencia </w:t>
      </w:r>
      <w:hyperlink w:anchor="SENTENCIA_2016_137" w:history="1">
        <w:r w:rsidRPr="00AD3C82">
          <w:rPr>
            <w:rStyle w:val="TextoNormalCaracter"/>
          </w:rPr>
          <w:t>137/2016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334" w:name="DESCRIPTORALFABETICO94"/>
      <w:r w:rsidRPr="00AD3C82">
        <w:rPr>
          <w:rStyle w:val="TextoNormalNegritaCaracter"/>
        </w:rPr>
        <w:t>Liquidaciones tributarias</w:t>
      </w:r>
      <w:bookmarkEnd w:id="1334"/>
      <w:r w:rsidRPr="00AD3C82">
        <w:rPr>
          <w:rStyle w:val="TextoNormalCaracter"/>
        </w:rPr>
        <w:t xml:space="preserve">, Sentencia </w:t>
      </w:r>
      <w:hyperlink w:anchor="SENTENCIA_2016_133" w:history="1">
        <w:r w:rsidRPr="00AD3C82">
          <w:rPr>
            <w:rStyle w:val="TextoNormalCaracter"/>
          </w:rPr>
          <w:t>133/2016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335" w:name="DESCRIPTORALFABETICO619"/>
      <w:r w:rsidRPr="00AD3C82">
        <w:rPr>
          <w:rStyle w:val="TextoNormalNegritaCaracter"/>
        </w:rPr>
        <w:t>Litispendencia</w:t>
      </w:r>
      <w:bookmarkEnd w:id="1335"/>
      <w:r w:rsidRPr="00AD3C82">
        <w:rPr>
          <w:rStyle w:val="TextoNormalCaracter"/>
        </w:rPr>
        <w:t xml:space="preserve">, Sentencias </w:t>
      </w:r>
      <w:hyperlink w:anchor="SENTENCIA_2016_148" w:history="1">
        <w:r w:rsidRPr="00AD3C82">
          <w:rPr>
            <w:rStyle w:val="TextoNormalCaracter"/>
          </w:rPr>
          <w:t>148/2016</w:t>
        </w:r>
      </w:hyperlink>
      <w:r w:rsidRPr="00AD3C82">
        <w:rPr>
          <w:rStyle w:val="TextoNormalCaracter"/>
        </w:rPr>
        <w:t xml:space="preserve">, ff. 4, 5; </w:t>
      </w:r>
      <w:hyperlink w:anchor="SENTENCIA_2016_206" w:history="1">
        <w:r w:rsidRPr="00AD3C82">
          <w:rPr>
            <w:rStyle w:val="TextoNormalCaracter"/>
          </w:rPr>
          <w:t>206/2016</w:t>
        </w:r>
      </w:hyperlink>
      <w:r w:rsidRPr="00AD3C82">
        <w:rPr>
          <w:rStyle w:val="TextoNormalCaracter"/>
        </w:rPr>
        <w:t xml:space="preserve">, ff. 1, 3, 4; </w:t>
      </w:r>
      <w:hyperlink w:anchor="SENTENCIA_2016_207" w:history="1">
        <w:r w:rsidRPr="00AD3C82">
          <w:rPr>
            <w:rStyle w:val="TextoNormalCaracter"/>
          </w:rPr>
          <w:t>207/2016</w:t>
        </w:r>
      </w:hyperlink>
      <w:r w:rsidRPr="00AD3C82">
        <w:rPr>
          <w:rStyle w:val="TextoNormalCaracter"/>
        </w:rPr>
        <w:t xml:space="preserve">, ff. 1, 4, 5; </w:t>
      </w:r>
      <w:hyperlink w:anchor="SENTENCIA_2016_208" w:history="1">
        <w:r w:rsidRPr="00AD3C82">
          <w:rPr>
            <w:rStyle w:val="TextoNormalCaracter"/>
          </w:rPr>
          <w:t>208/2016</w:t>
        </w:r>
      </w:hyperlink>
      <w:r w:rsidRPr="00AD3C82">
        <w:rPr>
          <w:rStyle w:val="TextoNormalCaracter"/>
        </w:rPr>
        <w:t xml:space="preserve">, ff. 1, 3, 4; </w:t>
      </w:r>
      <w:hyperlink w:anchor="SENTENCIA_2016_209" w:history="1">
        <w:r w:rsidRPr="00AD3C82">
          <w:rPr>
            <w:rStyle w:val="TextoNormalCaracter"/>
          </w:rPr>
          <w:t>209/2016</w:t>
        </w:r>
      </w:hyperlink>
      <w:r w:rsidRPr="00AD3C82">
        <w:rPr>
          <w:rStyle w:val="TextoNormalCaracter"/>
        </w:rPr>
        <w:t xml:space="preserve">, ff. 1, 3, 4; </w:t>
      </w:r>
      <w:hyperlink w:anchor="SENTENCIA_2016_218" w:history="1">
        <w:r w:rsidRPr="00AD3C82">
          <w:rPr>
            <w:rStyle w:val="TextoNormalCaracter"/>
          </w:rPr>
          <w:t>218/2016</w:t>
        </w:r>
      </w:hyperlink>
      <w:r w:rsidRPr="00AD3C82">
        <w:rPr>
          <w:rStyle w:val="TextoNormalCaracter"/>
        </w:rPr>
        <w:t xml:space="preserve">, ff. 1, 4, 5; </w:t>
      </w:r>
      <w:hyperlink w:anchor="SENTENCIA_2016_221" w:history="1">
        <w:r w:rsidRPr="00AD3C82">
          <w:rPr>
            <w:rStyle w:val="TextoNormalCaracter"/>
          </w:rPr>
          <w:t>221/2016</w:t>
        </w:r>
      </w:hyperlink>
      <w:r w:rsidRPr="00AD3C82">
        <w:rPr>
          <w:rStyle w:val="TextoNormalCaracter"/>
        </w:rPr>
        <w:t xml:space="preserve">, ff. 1, 4, 5; </w:t>
      </w:r>
      <w:hyperlink w:anchor="SENTENCIA_2016_223" w:history="1">
        <w:r w:rsidRPr="00AD3C82">
          <w:rPr>
            <w:rStyle w:val="TextoNormalCaracter"/>
          </w:rPr>
          <w:t>223/2016</w:t>
        </w:r>
      </w:hyperlink>
      <w:r w:rsidRPr="00AD3C82">
        <w:rPr>
          <w:rStyle w:val="TextoNormalCaracter"/>
        </w:rPr>
        <w:t>, ff. 1, 3, 4.</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M</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336" w:name="DESCRIPTORALFABETICO197"/>
      <w:r w:rsidRPr="00AD3C82">
        <w:rPr>
          <w:rStyle w:val="TextoNormalNegritaCaracter"/>
        </w:rPr>
        <w:t>Mantenimiento de la suspensión de disposiciones de las Comunidades Autónomas</w:t>
      </w:r>
      <w:bookmarkEnd w:id="1336"/>
      <w:r w:rsidRPr="00AD3C82">
        <w:rPr>
          <w:rStyle w:val="TextoNormalCaracter"/>
        </w:rPr>
        <w:t xml:space="preserve">, Autos </w:t>
      </w:r>
      <w:hyperlink w:anchor="AUTO_2016_144" w:history="1">
        <w:r w:rsidRPr="00AD3C82">
          <w:rPr>
            <w:rStyle w:val="TextoNormalCaracter"/>
          </w:rPr>
          <w:t>144/2016</w:t>
        </w:r>
      </w:hyperlink>
      <w:r w:rsidRPr="00AD3C82">
        <w:rPr>
          <w:rStyle w:val="TextoNormalCaracter"/>
        </w:rPr>
        <w:t xml:space="preserve">, f. 5; </w:t>
      </w:r>
      <w:hyperlink w:anchor="AUTO_2016_160" w:history="1">
        <w:r w:rsidRPr="00AD3C82">
          <w:rPr>
            <w:rStyle w:val="TextoNormalCaracter"/>
          </w:rPr>
          <w:t>160/2016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337" w:name="DESCRIPTORALFABETICO538"/>
      <w:r w:rsidRPr="00AD3C82">
        <w:rPr>
          <w:rStyle w:val="TextoNormalNegritaCaracter"/>
        </w:rPr>
        <w:t>Maternidad</w:t>
      </w:r>
      <w:bookmarkEnd w:id="1337"/>
      <w:r w:rsidRPr="00AD3C82">
        <w:rPr>
          <w:rStyle w:val="TextoNormalCaracter"/>
        </w:rPr>
        <w:t xml:space="preserve">, Sentencia </w:t>
      </w:r>
      <w:hyperlink w:anchor="SENTENCIA_2016_162" w:history="1">
        <w:r w:rsidRPr="00AD3C82">
          <w:rPr>
            <w:rStyle w:val="TextoNormalCaracter"/>
          </w:rPr>
          <w:t>162/2016</w:t>
        </w:r>
      </w:hyperlink>
      <w:r w:rsidRPr="00AD3C82">
        <w:rPr>
          <w:rStyle w:val="TextoNormalCaracter"/>
        </w:rPr>
        <w:t>, ff. 1 a 8.</w:t>
      </w:r>
    </w:p>
    <w:p w:rsidR="00AD3C82" w:rsidRPr="00AD3C82" w:rsidRDefault="00AD3C82" w:rsidP="00AD3C82">
      <w:pPr>
        <w:pStyle w:val="TextoNormalSangraFrancesa"/>
        <w:rPr>
          <w:rStyle w:val="TextoNormalCaracter"/>
        </w:rPr>
      </w:pPr>
      <w:bookmarkStart w:id="1338" w:name="DESCRIPTORALFABETICO352"/>
      <w:r w:rsidRPr="00AD3C82">
        <w:rPr>
          <w:rStyle w:val="TextoNormalNegritaCaracter"/>
        </w:rPr>
        <w:t>Mayorías y minorías</w:t>
      </w:r>
      <w:bookmarkEnd w:id="1338"/>
      <w:r w:rsidRPr="00AD3C82">
        <w:rPr>
          <w:rStyle w:val="TextoNormalCaracter"/>
        </w:rPr>
        <w:t xml:space="preserve">, Sentencia </w:t>
      </w:r>
      <w:hyperlink w:anchor="SENTENCIA_2016_185" w:history="1">
        <w:r w:rsidRPr="00AD3C82">
          <w:rPr>
            <w:rStyle w:val="TextoNormalCaracter"/>
          </w:rPr>
          <w:t>185/2016</w:t>
        </w:r>
      </w:hyperlink>
      <w:r w:rsidRPr="00AD3C82">
        <w:rPr>
          <w:rStyle w:val="TextoNormalCaracter"/>
        </w:rPr>
        <w:t>, ff. 5, 17, VP III.</w:t>
      </w:r>
    </w:p>
    <w:p w:rsidR="00AD3C82" w:rsidRPr="00AD3C82" w:rsidRDefault="00AD3C82" w:rsidP="00AD3C82">
      <w:pPr>
        <w:pStyle w:val="TextoNormalSangraFrancesa"/>
        <w:rPr>
          <w:rStyle w:val="TextoNormalCaracter"/>
        </w:rPr>
      </w:pPr>
      <w:bookmarkStart w:id="1339" w:name="DESCRIPTORALFABETICO565"/>
      <w:r w:rsidRPr="00AD3C82">
        <w:rPr>
          <w:rStyle w:val="TextoNormalNegritaCaracter"/>
        </w:rPr>
        <w:t>Medicamentos</w:t>
      </w:r>
      <w:bookmarkEnd w:id="1339"/>
      <w:r w:rsidRPr="00AD3C82">
        <w:rPr>
          <w:rStyle w:val="TextoNormalCaracter"/>
        </w:rPr>
        <w:t xml:space="preserve">, Sentencia </w:t>
      </w:r>
      <w:hyperlink w:anchor="SENTENCIA_2016_210" w:history="1">
        <w:r w:rsidRPr="00AD3C82">
          <w:rPr>
            <w:rStyle w:val="TextoNormalCaracter"/>
          </w:rPr>
          <w:t>210/2016</w:t>
        </w:r>
      </w:hyperlink>
      <w:r w:rsidRPr="00AD3C82">
        <w:rPr>
          <w:rStyle w:val="TextoNormalCaracter"/>
        </w:rPr>
        <w:t>, ff. 3, 4, 7.</w:t>
      </w:r>
    </w:p>
    <w:p w:rsidR="00AD3C82" w:rsidRPr="00AD3C82" w:rsidRDefault="00AD3C82" w:rsidP="00AD3C82">
      <w:pPr>
        <w:pStyle w:val="TextoNormalSangraFrancesa"/>
        <w:rPr>
          <w:rStyle w:val="TextoNormalCaracter"/>
        </w:rPr>
      </w:pPr>
      <w:bookmarkStart w:id="1340" w:name="DESCRIPTORALFABETICO637"/>
      <w:r w:rsidRPr="00AD3C82">
        <w:rPr>
          <w:rStyle w:val="TextoNormalNegritaCaracter"/>
        </w:rPr>
        <w:t>Medidas cautelares de internamiento</w:t>
      </w:r>
      <w:bookmarkEnd w:id="1340"/>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 6.</w:t>
      </w:r>
    </w:p>
    <w:p w:rsidR="00AD3C82" w:rsidRPr="00AD3C82" w:rsidRDefault="00AD3C82" w:rsidP="00AD3C82">
      <w:pPr>
        <w:pStyle w:val="TextoNormalSangraFrancesa"/>
        <w:rPr>
          <w:rStyle w:val="TextoNormalCaracter"/>
        </w:rPr>
      </w:pPr>
      <w:bookmarkStart w:id="1341" w:name="DESCRIPTORALFABETICO638"/>
      <w:r w:rsidRPr="00AD3C82">
        <w:rPr>
          <w:rStyle w:val="TextoNormalNegritaCaracter"/>
        </w:rPr>
        <w:t>Medidas cautelares de oficio</w:t>
      </w:r>
      <w:bookmarkEnd w:id="1341"/>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 6.</w:t>
      </w:r>
    </w:p>
    <w:p w:rsidR="00AD3C82" w:rsidRPr="00AD3C82" w:rsidRDefault="00AD3C82" w:rsidP="00AD3C82">
      <w:pPr>
        <w:pStyle w:val="TextoNormalSangraFrancesa"/>
        <w:rPr>
          <w:rStyle w:val="TextoNormalCaracter"/>
        </w:rPr>
      </w:pPr>
      <w:bookmarkStart w:id="1342" w:name="DESCRIPTORALFABETICO71"/>
      <w:r w:rsidRPr="00AD3C82">
        <w:rPr>
          <w:rStyle w:val="TextoNormalNegritaCaracter"/>
        </w:rPr>
        <w:t>Medidas de liberalización económica</w:t>
      </w:r>
      <w:bookmarkEnd w:id="1342"/>
      <w:r w:rsidRPr="00AD3C82">
        <w:rPr>
          <w:rStyle w:val="TextoNormalCaracter"/>
        </w:rPr>
        <w:t xml:space="preserve">, Sentencia </w:t>
      </w:r>
      <w:hyperlink w:anchor="SENTENCIA_2016_211" w:history="1">
        <w:r w:rsidRPr="00AD3C82">
          <w:rPr>
            <w:rStyle w:val="TextoNormalCaracter"/>
          </w:rPr>
          <w:t>211/2016</w:t>
        </w:r>
      </w:hyperlink>
      <w:r w:rsidRPr="00AD3C82">
        <w:rPr>
          <w:rStyle w:val="TextoNormalCaracter"/>
        </w:rPr>
        <w:t>, ff. 6 a 9.</w:t>
      </w:r>
    </w:p>
    <w:p w:rsidR="00AD3C82" w:rsidRPr="00AD3C82" w:rsidRDefault="00AD3C82" w:rsidP="00AD3C82">
      <w:pPr>
        <w:pStyle w:val="TextoNormalSangraFrancesa"/>
        <w:rPr>
          <w:rStyle w:val="TextoNormalCaracter"/>
        </w:rPr>
      </w:pPr>
      <w:bookmarkStart w:id="1343" w:name="DESCRIPTORALFABETICO152"/>
      <w:r w:rsidRPr="00AD3C82">
        <w:rPr>
          <w:rStyle w:val="TextoNormalNegritaCaracter"/>
        </w:rPr>
        <w:t>Medidas disuasorias del acceso a la justicia</w:t>
      </w:r>
      <w:bookmarkEnd w:id="1343"/>
      <w:r w:rsidRPr="00AD3C82">
        <w:rPr>
          <w:rStyle w:val="TextoNormalCaracter"/>
        </w:rPr>
        <w:t xml:space="preserve">, Sentencia </w:t>
      </w:r>
      <w:hyperlink w:anchor="SENTENCIA_2016_140" w:history="1">
        <w:r w:rsidRPr="00AD3C82">
          <w:rPr>
            <w:rStyle w:val="TextoNormalCaracter"/>
          </w:rPr>
          <w:t>140/2016</w:t>
        </w:r>
      </w:hyperlink>
      <w:r w:rsidRPr="00AD3C82">
        <w:rPr>
          <w:rStyle w:val="TextoNormalCaracter"/>
        </w:rPr>
        <w:t>, ff. 3, 5, 7, 8.</w:t>
      </w:r>
    </w:p>
    <w:p w:rsidR="00AD3C82" w:rsidRPr="00AD3C82" w:rsidRDefault="00AD3C82" w:rsidP="00AD3C82">
      <w:pPr>
        <w:pStyle w:val="TextoNormalSangraFrancesa"/>
        <w:rPr>
          <w:rStyle w:val="TextoNormalCaracter"/>
        </w:rPr>
      </w:pPr>
      <w:bookmarkStart w:id="1344" w:name="DESCRIPTORALFABETICO337"/>
      <w:r w:rsidRPr="00AD3C82">
        <w:rPr>
          <w:rStyle w:val="TextoNormalNegritaCaracter"/>
        </w:rPr>
        <w:t>Mesas parlamentarias</w:t>
      </w:r>
      <w:bookmarkEnd w:id="1344"/>
      <w:r w:rsidRPr="00AD3C82">
        <w:rPr>
          <w:rStyle w:val="TextoNormalCaracter"/>
        </w:rPr>
        <w:t xml:space="preserve">, Sentencia </w:t>
      </w:r>
      <w:hyperlink w:anchor="SENTENCIA_2016_212" w:history="1">
        <w:r w:rsidRPr="00AD3C82">
          <w:rPr>
            <w:rStyle w:val="TextoNormalCaracter"/>
          </w:rPr>
          <w:t>212/2016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1345" w:name="DESCRIPTORALFABETICO417"/>
      <w:r w:rsidRPr="00AD3C82">
        <w:rPr>
          <w:rStyle w:val="TextoNormalNegritaCaracter"/>
        </w:rPr>
        <w:t>Meteorología</w:t>
      </w:r>
      <w:bookmarkEnd w:id="1345"/>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346" w:name="DESCRIPTORALFABETICO313"/>
      <w:r w:rsidRPr="00AD3C82">
        <w:rPr>
          <w:rStyle w:val="TextoNormalNegritaCaracter"/>
        </w:rPr>
        <w:t>Ministerio Fiscal</w:t>
      </w:r>
      <w:bookmarkEnd w:id="1346"/>
      <w:r w:rsidRPr="00AD3C82">
        <w:rPr>
          <w:rStyle w:val="TextoNormalCaracter"/>
        </w:rPr>
        <w:t xml:space="preserve">, Auto </w:t>
      </w:r>
      <w:hyperlink w:anchor="AUTO_2016_191" w:history="1">
        <w:r w:rsidRPr="00AD3C82">
          <w:rPr>
            <w:rStyle w:val="TextoNormalCaracter"/>
          </w:rPr>
          <w:t>191/2016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1347" w:name="DESCRIPTORALFABETICO162"/>
      <w:r w:rsidRPr="00AD3C82">
        <w:rPr>
          <w:rStyle w:val="TextoNormalNegritaCaracter"/>
        </w:rPr>
        <w:t>Minusvaloración profesional por maternidad</w:t>
      </w:r>
      <w:bookmarkEnd w:id="1347"/>
      <w:r w:rsidRPr="00AD3C82">
        <w:rPr>
          <w:rStyle w:val="TextoNormalCaracter"/>
        </w:rPr>
        <w:t xml:space="preserve">, Sentencia </w:t>
      </w:r>
      <w:hyperlink w:anchor="SENTENCIA_2016_162" w:history="1">
        <w:r w:rsidRPr="00AD3C82">
          <w:rPr>
            <w:rStyle w:val="TextoNormalCaracter"/>
          </w:rPr>
          <w:t>162/2016</w:t>
        </w:r>
      </w:hyperlink>
      <w:r w:rsidRPr="00AD3C82">
        <w:rPr>
          <w:rStyle w:val="TextoNormalCaracter"/>
        </w:rPr>
        <w:t>, ff. 4, 6.</w:t>
      </w:r>
    </w:p>
    <w:p w:rsidR="00AD3C82" w:rsidRPr="00AD3C82" w:rsidRDefault="00AD3C82" w:rsidP="00AD3C82">
      <w:pPr>
        <w:pStyle w:val="TextoNormalSangraFrancesa"/>
        <w:rPr>
          <w:rStyle w:val="TextoNormalCaracter"/>
        </w:rPr>
      </w:pPr>
      <w:bookmarkStart w:id="1348" w:name="DESCRIPTORALFABETICO262"/>
      <w:r w:rsidRPr="00AD3C82">
        <w:rPr>
          <w:rStyle w:val="TextoNormalNegritaCaracter"/>
        </w:rPr>
        <w:t>Modificación de doctrina constitucional</w:t>
      </w:r>
      <w:bookmarkEnd w:id="1348"/>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 3; </w:t>
      </w:r>
      <w:hyperlink w:anchor="SENTENCIA_2016_200" w:history="1">
        <w:r w:rsidRPr="00AD3C82">
          <w:rPr>
            <w:rStyle w:val="TextoNormalCaracter"/>
          </w:rPr>
          <w:t>200/2016</w:t>
        </w:r>
      </w:hyperlink>
      <w:r w:rsidRPr="00AD3C82">
        <w:rPr>
          <w:rStyle w:val="TextoNormalCaracter"/>
        </w:rPr>
        <w:t>, ff. 1, 2, 3..</w:t>
      </w:r>
    </w:p>
    <w:p w:rsidR="00AD3C82" w:rsidRPr="00AD3C82" w:rsidRDefault="00AD3C82" w:rsidP="00AD3C82">
      <w:pPr>
        <w:pStyle w:val="TextoNormalSangraFrancesa"/>
        <w:rPr>
          <w:rStyle w:val="TextoNormalCaracter"/>
        </w:rPr>
      </w:pPr>
      <w:bookmarkStart w:id="1349" w:name="DESCRIPTORALFABETICO585"/>
      <w:r w:rsidRPr="00AD3C82">
        <w:rPr>
          <w:rStyle w:val="TextoNormalNegritaCaracter"/>
        </w:rPr>
        <w:t>Modificación de la jornada laboral</w:t>
      </w:r>
      <w:bookmarkEnd w:id="1349"/>
      <w:r w:rsidRPr="00AD3C82">
        <w:rPr>
          <w:rStyle w:val="TextoNormalCaracter"/>
        </w:rPr>
        <w:t xml:space="preserve">, Sentencia </w:t>
      </w:r>
      <w:hyperlink w:anchor="SENTENCIA_2016_158" w:history="1">
        <w:r w:rsidRPr="00AD3C82">
          <w:rPr>
            <w:rStyle w:val="TextoNormalCaracter"/>
          </w:rPr>
          <w:t>158/2016</w:t>
        </w:r>
      </w:hyperlink>
      <w:r w:rsidRPr="00AD3C82">
        <w:rPr>
          <w:rStyle w:val="TextoNormalCaracter"/>
        </w:rPr>
        <w:t>, ff. 1, 3 a 6.</w:t>
      </w:r>
    </w:p>
    <w:p w:rsidR="00AD3C82" w:rsidRPr="00AD3C82" w:rsidRDefault="00AD3C82" w:rsidP="00AD3C82">
      <w:pPr>
        <w:pStyle w:val="TextoNormalSangraFrancesa"/>
        <w:rPr>
          <w:rStyle w:val="TextoNormalCaracter"/>
        </w:rPr>
      </w:pPr>
      <w:bookmarkStart w:id="1350" w:name="DESCRIPTORALFABETICO503"/>
      <w:r w:rsidRPr="00AD3C82">
        <w:rPr>
          <w:rStyle w:val="TextoNormalNegritaCaracter"/>
        </w:rPr>
        <w:t>Modificación de la legislación básica</w:t>
      </w:r>
      <w:bookmarkEnd w:id="1350"/>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ff. 1, 2, VP; </w:t>
      </w:r>
      <w:hyperlink w:anchor="SENTENCIA_2016_204" w:history="1">
        <w:r w:rsidRPr="00AD3C82">
          <w:rPr>
            <w:rStyle w:val="TextoNormalCaracter"/>
          </w:rPr>
          <w:t>204/2016</w:t>
        </w:r>
      </w:hyperlink>
      <w:r w:rsidRPr="00AD3C82">
        <w:rPr>
          <w:rStyle w:val="TextoNormalCaracter"/>
        </w:rPr>
        <w:t>, f. 3.</w:t>
      </w:r>
    </w:p>
    <w:p w:rsidR="00AD3C82" w:rsidRPr="00AD3C82" w:rsidRDefault="00AD3C82" w:rsidP="00AD3C82">
      <w:pPr>
        <w:pStyle w:val="TextoNormalSangraFrancesa"/>
        <w:rPr>
          <w:rStyle w:val="TextoNormalCaracter"/>
        </w:rPr>
      </w:pPr>
      <w:bookmarkStart w:id="1351" w:name="DESCRIPTORALFABETICO403"/>
      <w:r w:rsidRPr="00AD3C82">
        <w:rPr>
          <w:rStyle w:val="TextoNormalNegritaCaracter"/>
        </w:rPr>
        <w:t>Motivación de actos limitativos de derechos fundamentales</w:t>
      </w:r>
      <w:bookmarkEnd w:id="1351"/>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 6.</w:t>
      </w:r>
    </w:p>
    <w:p w:rsidR="00AD3C82" w:rsidRPr="00AD3C82" w:rsidRDefault="00AD3C82" w:rsidP="00AD3C82">
      <w:pPr>
        <w:pStyle w:val="TextoNormalSangraFrancesa"/>
        <w:rPr>
          <w:rStyle w:val="TextoNormalCaracter"/>
        </w:rPr>
      </w:pPr>
      <w:bookmarkStart w:id="1352" w:name="DESCRIPTORALFABETICO498"/>
      <w:r w:rsidRPr="00AD3C82">
        <w:rPr>
          <w:rStyle w:val="TextoNormalNegritaCaracter"/>
        </w:rPr>
        <w:t>Motivación de la extraordinaria y urgente necesidad</w:t>
      </w:r>
      <w:bookmarkEnd w:id="1352"/>
      <w:r w:rsidRPr="00AD3C82">
        <w:rPr>
          <w:rStyle w:val="TextoNormalCaracter"/>
        </w:rPr>
        <w:t xml:space="preserve">, Sentencias </w:t>
      </w:r>
      <w:hyperlink w:anchor="SENTENCIA_2016_125" w:history="1">
        <w:r w:rsidRPr="00AD3C82">
          <w:rPr>
            <w:rStyle w:val="TextoNormalCaracter"/>
          </w:rPr>
          <w:t>125/2016</w:t>
        </w:r>
      </w:hyperlink>
      <w:r w:rsidRPr="00AD3C82">
        <w:rPr>
          <w:rStyle w:val="TextoNormalCaracter"/>
        </w:rPr>
        <w:t xml:space="preserve">, ff. 2 a 4; </w:t>
      </w:r>
      <w:hyperlink w:anchor="SENTENCIA_2016_126" w:history="1">
        <w:r w:rsidRPr="00AD3C82">
          <w:rPr>
            <w:rStyle w:val="TextoNormalCaracter"/>
          </w:rPr>
          <w:t>126/2016</w:t>
        </w:r>
      </w:hyperlink>
      <w:r w:rsidRPr="00AD3C82">
        <w:rPr>
          <w:rStyle w:val="TextoNormalCaracter"/>
        </w:rPr>
        <w:t xml:space="preserve">, ff. 2 a 6; </w:t>
      </w:r>
      <w:hyperlink w:anchor="SENTENCIA_2016_169" w:history="1">
        <w:r w:rsidRPr="00AD3C82">
          <w:rPr>
            <w:rStyle w:val="TextoNormalCaracter"/>
          </w:rPr>
          <w:t>169/2016</w:t>
        </w:r>
      </w:hyperlink>
      <w:r w:rsidRPr="00AD3C82">
        <w:rPr>
          <w:rStyle w:val="TextoNormalCaracter"/>
        </w:rPr>
        <w:t xml:space="preserve">, ff. 1 a 3; </w:t>
      </w:r>
      <w:hyperlink w:anchor="SENTENCIA_2016_211" w:history="1">
        <w:r w:rsidRPr="00AD3C82">
          <w:rPr>
            <w:rStyle w:val="TextoNormalCaracter"/>
          </w:rPr>
          <w:t>211/2016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353" w:name="DESCRIPTORALFABETICO126"/>
      <w:r w:rsidRPr="00AD3C82">
        <w:rPr>
          <w:rStyle w:val="TextoNormalNegritaCaracter"/>
        </w:rPr>
        <w:t xml:space="preserve">Motivación de la inadmisión a trámite de </w:t>
      </w:r>
      <w:r w:rsidRPr="00AD3C82">
        <w:rPr>
          <w:rStyle w:val="TextoNormalNegritaCaracter"/>
          <w:i/>
        </w:rPr>
        <w:t>habeas corpus</w:t>
      </w:r>
      <w:bookmarkEnd w:id="1353"/>
      <w:r w:rsidRPr="00AD3C82">
        <w:rPr>
          <w:rStyle w:val="TextoNormalCaracter"/>
        </w:rPr>
        <w:t xml:space="preserve">, Sentencia </w:t>
      </w:r>
      <w:hyperlink w:anchor="SENTENCIA_2016_154" w:history="1">
        <w:r w:rsidRPr="00AD3C82">
          <w:rPr>
            <w:rStyle w:val="TextoNormalCaracter"/>
          </w:rPr>
          <w:t>154/2016</w:t>
        </w:r>
      </w:hyperlink>
      <w:r w:rsidRPr="00AD3C82">
        <w:rPr>
          <w:rStyle w:val="TextoNormalCaracter"/>
        </w:rPr>
        <w:t>, f. 1.</w:t>
      </w:r>
    </w:p>
    <w:p w:rsidR="00AD3C82" w:rsidRPr="00AD3C82" w:rsidRDefault="00AD3C82" w:rsidP="00AD3C82">
      <w:pPr>
        <w:pStyle w:val="TextoNormalSangraFrancesa"/>
        <w:rPr>
          <w:rStyle w:val="TextoNormalCaracter"/>
        </w:rPr>
      </w:pPr>
      <w:bookmarkStart w:id="1354" w:name="DESCRIPTORALFABETICO402"/>
      <w:r w:rsidRPr="00AD3C82">
        <w:rPr>
          <w:rStyle w:val="TextoNormalNegritaCaracter"/>
        </w:rPr>
        <w:t>Motivación de las resoluciones administrativas</w:t>
      </w:r>
      <w:bookmarkEnd w:id="1354"/>
      <w:r w:rsidRPr="00AD3C82">
        <w:rPr>
          <w:rStyle w:val="TextoNormalCaracter"/>
        </w:rPr>
        <w:t xml:space="preserve">, Sentencia </w:t>
      </w:r>
      <w:hyperlink w:anchor="SENTENCIA_2016_201" w:history="1">
        <w:r w:rsidRPr="00AD3C82">
          <w:rPr>
            <w:rStyle w:val="TextoNormalCaracter"/>
          </w:rPr>
          <w:t>201/2016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355" w:name="DESCRIPTORALFABETICO153"/>
      <w:r w:rsidRPr="00AD3C82">
        <w:rPr>
          <w:rStyle w:val="TextoNormalNegritaCaracter"/>
        </w:rPr>
        <w:t>Motivación de las resoluciones administrativas sancionadoras</w:t>
      </w:r>
      <w:bookmarkEnd w:id="1355"/>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1356" w:name="DESCRIPTORALFABETICO332"/>
      <w:r w:rsidRPr="00AD3C82">
        <w:rPr>
          <w:rStyle w:val="TextoNormalNegritaCaracter"/>
        </w:rPr>
        <w:t>Motivación de las resoluciones parlamentarias</w:t>
      </w:r>
      <w:bookmarkEnd w:id="1356"/>
      <w:r w:rsidRPr="00AD3C82">
        <w:rPr>
          <w:rStyle w:val="TextoNormalCaracter"/>
        </w:rPr>
        <w:t xml:space="preserve">, Sentencias </w:t>
      </w:r>
      <w:hyperlink w:anchor="SENTENCIA_2016_212" w:history="1">
        <w:r w:rsidRPr="00AD3C82">
          <w:rPr>
            <w:rStyle w:val="TextoNormalCaracter"/>
          </w:rPr>
          <w:t>212/2016</w:t>
        </w:r>
      </w:hyperlink>
      <w:r w:rsidRPr="00AD3C82">
        <w:rPr>
          <w:rStyle w:val="TextoNormalCaracter"/>
        </w:rPr>
        <w:t xml:space="preserve">, ff. 4 a 6; </w:t>
      </w:r>
      <w:hyperlink w:anchor="SENTENCIA_2016_224" w:history="1">
        <w:r w:rsidRPr="00AD3C82">
          <w:rPr>
            <w:rStyle w:val="TextoNormalCaracter"/>
          </w:rPr>
          <w:t>224/2016</w:t>
        </w:r>
      </w:hyperlink>
      <w:r w:rsidRPr="00AD3C82">
        <w:rPr>
          <w:rStyle w:val="TextoNormalCaracter"/>
        </w:rPr>
        <w:t xml:space="preserve">, f. 4; </w:t>
      </w:r>
      <w:hyperlink w:anchor="SENTENCIA_2016_225" w:history="1">
        <w:r w:rsidRPr="00AD3C82">
          <w:rPr>
            <w:rStyle w:val="TextoNormalCaracter"/>
          </w:rPr>
          <w:t>225/2016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57" w:name="DESCRIPTORALFABETICO180"/>
      <w:r w:rsidRPr="00AD3C82">
        <w:rPr>
          <w:rStyle w:val="TextoNormalNegritaCaracter"/>
        </w:rPr>
        <w:t>Motivación insuficiente de resoluciones restrictivas de derechos fundamentales</w:t>
      </w:r>
      <w:bookmarkEnd w:id="1357"/>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5, 6; </w:t>
      </w:r>
      <w:hyperlink w:anchor="SENTENCIA_2016_201" w:history="1">
        <w:r w:rsidRPr="00AD3C82">
          <w:rPr>
            <w:rStyle w:val="TextoNormalCaracter"/>
          </w:rPr>
          <w:t>201/2016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1358" w:name="DESCRIPTORALFABETICO398"/>
      <w:r w:rsidRPr="00AD3C82">
        <w:rPr>
          <w:rStyle w:val="TextoNormalNegritaCaracter"/>
        </w:rPr>
        <w:t>Multas coercitivas</w:t>
      </w:r>
      <w:bookmarkEnd w:id="1358"/>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 6; </w:t>
      </w:r>
      <w:hyperlink w:anchor="SENTENCIA_2016_215" w:history="1">
        <w:r w:rsidRPr="00AD3C82">
          <w:rPr>
            <w:rStyle w:val="TextoNormalCaracter"/>
          </w:rPr>
          <w:t>215/2016</w:t>
        </w:r>
      </w:hyperlink>
      <w:r w:rsidRPr="00AD3C82">
        <w:rPr>
          <w:rStyle w:val="TextoNormalCaracter"/>
        </w:rPr>
        <w:t>, ff. 1, 7, 8.</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N</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359" w:name="DESCRIPTORALFABETICO351"/>
      <w:r w:rsidRPr="00AD3C82">
        <w:rPr>
          <w:rStyle w:val="TextoNormalNegritaCaracter"/>
        </w:rPr>
        <w:t>Naturaleza de los Reglamentos parlamentarios</w:t>
      </w:r>
      <w:bookmarkEnd w:id="1359"/>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 6a.</w:t>
      </w:r>
    </w:p>
    <w:p w:rsidR="00AD3C82" w:rsidRPr="00AD3C82" w:rsidRDefault="00AD3C82" w:rsidP="00AD3C82">
      <w:pPr>
        <w:pStyle w:val="TextoNormalSangraFrancesa"/>
        <w:rPr>
          <w:rStyle w:val="TextoNormalCaracter"/>
        </w:rPr>
      </w:pPr>
      <w:bookmarkStart w:id="1360" w:name="DESCRIPTORALFABETICO494"/>
      <w:r w:rsidRPr="00AD3C82">
        <w:rPr>
          <w:rStyle w:val="TextoNormalNegritaCaracter"/>
        </w:rPr>
        <w:t>Naturaleza jurídica de los decretos-leyes</w:t>
      </w:r>
      <w:bookmarkEnd w:id="1360"/>
      <w:r w:rsidRPr="00AD3C82">
        <w:rPr>
          <w:rStyle w:val="TextoNormalCaracter"/>
        </w:rPr>
        <w:t xml:space="preserve">, Sentencia </w:t>
      </w:r>
      <w:hyperlink w:anchor="SENTENCIA_2016_125" w:history="1">
        <w:r w:rsidRPr="00AD3C82">
          <w:rPr>
            <w:rStyle w:val="TextoNormalCaracter"/>
          </w:rPr>
          <w:t>125/2016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361" w:name="DESCRIPTORALFABETICO263"/>
      <w:r w:rsidRPr="00AD3C82">
        <w:rPr>
          <w:rStyle w:val="TextoNormalNegritaCaracter"/>
        </w:rPr>
        <w:t>Negativa judicial de acatamiento de la doctrina constitucional</w:t>
      </w:r>
      <w:bookmarkEnd w:id="1361"/>
      <w:r w:rsidRPr="00AD3C82">
        <w:rPr>
          <w:rStyle w:val="TextoNormalCaracter"/>
        </w:rPr>
        <w:t xml:space="preserve">, Sentencias </w:t>
      </w:r>
      <w:hyperlink w:anchor="SENTENCIA_2016_138" w:history="1">
        <w:r w:rsidRPr="00AD3C82">
          <w:rPr>
            <w:rStyle w:val="TextoNormalCaracter"/>
          </w:rPr>
          <w:t>138/2016</w:t>
        </w:r>
      </w:hyperlink>
      <w:r w:rsidRPr="00AD3C82">
        <w:rPr>
          <w:rStyle w:val="TextoNormalCaracter"/>
        </w:rPr>
        <w:t xml:space="preserve">, ff. 2, 3, 5; </w:t>
      </w:r>
      <w:hyperlink w:anchor="SENTENCIA_2016_172" w:history="1">
        <w:r w:rsidRPr="00AD3C82">
          <w:rPr>
            <w:rStyle w:val="TextoNormalCaracter"/>
          </w:rPr>
          <w:t>172/2016</w:t>
        </w:r>
      </w:hyperlink>
      <w:r w:rsidRPr="00AD3C82">
        <w:rPr>
          <w:rStyle w:val="TextoNormalCaracter"/>
        </w:rPr>
        <w:t xml:space="preserve">, f. 2; </w:t>
      </w:r>
      <w:hyperlink w:anchor="SENTENCIA_2016_200" w:history="1">
        <w:r w:rsidRPr="00AD3C82">
          <w:rPr>
            <w:rStyle w:val="TextoNormalCaracter"/>
          </w:rPr>
          <w:t>200/2016</w:t>
        </w:r>
      </w:hyperlink>
      <w:r w:rsidRPr="00AD3C82">
        <w:rPr>
          <w:rStyle w:val="TextoNormalCaracter"/>
        </w:rPr>
        <w:t>, ff. 1, 2, 3..</w:t>
      </w:r>
    </w:p>
    <w:p w:rsidR="00AD3C82" w:rsidRPr="00AD3C82" w:rsidRDefault="00AD3C82" w:rsidP="00AD3C82">
      <w:pPr>
        <w:pStyle w:val="TextoNormalSangraFrancesa"/>
        <w:rPr>
          <w:rStyle w:val="TextoNormalCaracter"/>
        </w:rPr>
      </w:pPr>
      <w:bookmarkStart w:id="1362" w:name="DESCRIPTORALFABETICO586"/>
      <w:r w:rsidRPr="00AD3C82">
        <w:rPr>
          <w:rStyle w:val="TextoNormalNegritaCaracter"/>
        </w:rPr>
        <w:t>Negociación colectiva</w:t>
      </w:r>
      <w:bookmarkEnd w:id="1362"/>
      <w:r w:rsidRPr="00AD3C82">
        <w:rPr>
          <w:rStyle w:val="TextoNormalCaracter"/>
        </w:rPr>
        <w:t xml:space="preserve">, Sentencia </w:t>
      </w:r>
      <w:hyperlink w:anchor="SENTENCIA_2016_159" w:history="1">
        <w:r w:rsidRPr="00AD3C82">
          <w:rPr>
            <w:rStyle w:val="TextoNormalCaracter"/>
          </w:rPr>
          <w:t>159/2016</w:t>
        </w:r>
      </w:hyperlink>
      <w:r w:rsidRPr="00AD3C82">
        <w:rPr>
          <w:rStyle w:val="TextoNormalCaracter"/>
        </w:rPr>
        <w:t>, ff. 5, 6.</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63" w:name="DESCRIPTORALFABETICO6"/>
      <w:r w:rsidRPr="00AD3C82">
        <w:rPr>
          <w:rStyle w:val="TextoNormalNegritaCaracter"/>
        </w:rPr>
        <w:t>Normas atributivas de competencias</w:t>
      </w:r>
      <w:bookmarkEnd w:id="1363"/>
      <w:r w:rsidRPr="00AD3C82">
        <w:rPr>
          <w:rStyle w:val="TextoNormalCaracter"/>
        </w:rPr>
        <w:t xml:space="preserve">, Sentencias </w:t>
      </w:r>
      <w:hyperlink w:anchor="SENTENCIA_2016_128" w:history="1">
        <w:r w:rsidRPr="00AD3C82">
          <w:rPr>
            <w:rStyle w:val="TextoNormalCaracter"/>
          </w:rPr>
          <w:t>128/2016</w:t>
        </w:r>
      </w:hyperlink>
      <w:r w:rsidRPr="00AD3C82">
        <w:rPr>
          <w:rStyle w:val="TextoNormalCaracter"/>
        </w:rPr>
        <w:t xml:space="preserve">, ff. 6 C); </w:t>
      </w:r>
      <w:hyperlink w:anchor="SENTENCIA_2016_177" w:history="1">
        <w:r w:rsidRPr="00AD3C82">
          <w:rPr>
            <w:rStyle w:val="TextoNormalCaracter"/>
          </w:rPr>
          <w:t>177/2016</w:t>
        </w:r>
      </w:hyperlink>
      <w:r w:rsidRPr="00AD3C82">
        <w:rPr>
          <w:rStyle w:val="TextoNormalCaracter"/>
        </w:rPr>
        <w:t>, ff. 4, 6.</w:t>
      </w:r>
    </w:p>
    <w:p w:rsidR="00AD3C82" w:rsidRPr="00AD3C82" w:rsidRDefault="00AD3C82" w:rsidP="00AD3C82">
      <w:pPr>
        <w:pStyle w:val="TextoNormalSangraFrancesa"/>
        <w:rPr>
          <w:rStyle w:val="TextoNormalCaracter"/>
        </w:rPr>
      </w:pPr>
      <w:bookmarkStart w:id="1364" w:name="DESCRIPTORALFABETICO504"/>
      <w:r w:rsidRPr="00AD3C82">
        <w:rPr>
          <w:rStyle w:val="TextoNormalNegritaCaracter"/>
        </w:rPr>
        <w:t>Normas básicas en forma de decreto-ley</w:t>
      </w:r>
      <w:bookmarkEnd w:id="1364"/>
      <w:r w:rsidRPr="00AD3C82">
        <w:rPr>
          <w:rStyle w:val="TextoNormalCaracter"/>
        </w:rPr>
        <w:t xml:space="preserve">, Sentencia </w:t>
      </w:r>
      <w:hyperlink w:anchor="SENTENCIA_2016_164" w:history="1">
        <w:r w:rsidRPr="00AD3C82">
          <w:rPr>
            <w:rStyle w:val="TextoNormalCaracter"/>
          </w:rPr>
          <w:t>164/2016</w:t>
        </w:r>
      </w:hyperlink>
      <w:r w:rsidRPr="00AD3C82">
        <w:rPr>
          <w:rStyle w:val="TextoNormalCaracter"/>
        </w:rPr>
        <w:t>, ff. 1, 3 a 7.</w:t>
      </w:r>
    </w:p>
    <w:p w:rsidR="00AD3C82" w:rsidRPr="00AD3C82" w:rsidRDefault="00AD3C82" w:rsidP="00AD3C82">
      <w:pPr>
        <w:pStyle w:val="TextoNormalSangraFrancesa"/>
        <w:rPr>
          <w:rStyle w:val="TextoNormalCaracter"/>
        </w:rPr>
      </w:pPr>
      <w:bookmarkStart w:id="1365" w:name="DESCRIPTORALFABETICO505"/>
      <w:r w:rsidRPr="00AD3C82">
        <w:rPr>
          <w:rStyle w:val="TextoNormalNegritaCaracter"/>
        </w:rPr>
        <w:t>Normas básicas en forma de reglamento</w:t>
      </w:r>
      <w:bookmarkEnd w:id="1365"/>
      <w:r w:rsidRPr="00AD3C82">
        <w:rPr>
          <w:rStyle w:val="TextoNormalCaracter"/>
        </w:rPr>
        <w:t xml:space="preserve">, Sentencia </w:t>
      </w:r>
      <w:hyperlink w:anchor="SENTENCIA_2016_165" w:history="1">
        <w:r w:rsidRPr="00AD3C82">
          <w:rPr>
            <w:rStyle w:val="TextoNormalCaracter"/>
          </w:rPr>
          <w:t>165/2016</w:t>
        </w:r>
      </w:hyperlink>
      <w:r w:rsidRPr="00AD3C82">
        <w:rPr>
          <w:rStyle w:val="TextoNormalCaracter"/>
        </w:rPr>
        <w:t>, f. 15.</w:t>
      </w:r>
    </w:p>
    <w:p w:rsidR="00AD3C82" w:rsidRPr="00AD3C82" w:rsidRDefault="00AD3C82" w:rsidP="00AD3C82">
      <w:pPr>
        <w:pStyle w:val="TextoNormalSangraFrancesa"/>
        <w:rPr>
          <w:rStyle w:val="TextoNormalCaracter"/>
        </w:rPr>
      </w:pPr>
      <w:bookmarkStart w:id="1366" w:name="DESCRIPTORALFABETICO532"/>
      <w:r w:rsidRPr="00AD3C82">
        <w:rPr>
          <w:rStyle w:val="TextoNormalNegritaCaracter"/>
        </w:rPr>
        <w:t>Normas preconstitucionales</w:t>
      </w:r>
      <w:bookmarkEnd w:id="1366"/>
      <w:r w:rsidRPr="00AD3C82">
        <w:rPr>
          <w:rStyle w:val="TextoNormalCaracter"/>
        </w:rPr>
        <w:t xml:space="preserve">, Sentencia </w:t>
      </w:r>
      <w:hyperlink w:anchor="SENTENCIA_2016_182" w:history="1">
        <w:r w:rsidRPr="00AD3C82">
          <w:rPr>
            <w:rStyle w:val="TextoNormalCaracter"/>
          </w:rPr>
          <w:t>182/2016</w:t>
        </w:r>
      </w:hyperlink>
      <w:r w:rsidRPr="00AD3C82">
        <w:rPr>
          <w:rStyle w:val="TextoNormalCaracter"/>
        </w:rPr>
        <w:t>, f. 5.</w:t>
      </w:r>
    </w:p>
    <w:p w:rsidR="00AD3C82" w:rsidRPr="00AD3C82" w:rsidRDefault="00AD3C82" w:rsidP="00AD3C82">
      <w:pPr>
        <w:pStyle w:val="TextoNormalSangraFrancesa"/>
        <w:rPr>
          <w:rStyle w:val="TextoNormalCaracter"/>
        </w:rPr>
      </w:pPr>
      <w:bookmarkStart w:id="1367" w:name="DESCRIPTORALFABETICO405"/>
      <w:r w:rsidRPr="00AD3C82">
        <w:rPr>
          <w:rStyle w:val="TextoNormalNegritaCaracter"/>
        </w:rPr>
        <w:t>Notarios</w:t>
      </w:r>
      <w:bookmarkEnd w:id="1367"/>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68" w:name="DESCRIPTORALFABETICO605"/>
      <w:r w:rsidRPr="00AD3C82">
        <w:rPr>
          <w:rStyle w:val="TextoNormalNegritaCaracter"/>
        </w:rPr>
        <w:t>Notificación edictal</w:t>
      </w:r>
      <w:bookmarkEnd w:id="1368"/>
      <w:r w:rsidRPr="00AD3C82">
        <w:rPr>
          <w:rStyle w:val="TextoNormalCaracter"/>
        </w:rPr>
        <w:t xml:space="preserve">, Sentencia </w:t>
      </w:r>
      <w:hyperlink w:anchor="SENTENCIA_2016_200" w:history="1">
        <w:r w:rsidRPr="00AD3C82">
          <w:rPr>
            <w:rStyle w:val="TextoNormalCaracter"/>
          </w:rPr>
          <w:t>200/2016</w:t>
        </w:r>
      </w:hyperlink>
      <w:r w:rsidRPr="00AD3C82">
        <w:rPr>
          <w:rStyle w:val="TextoNormalCaracter"/>
        </w:rPr>
        <w:t>, ff. 1, 2, 4, 5..</w:t>
      </w:r>
    </w:p>
    <w:p w:rsidR="00AD3C82" w:rsidRPr="00AD3C82" w:rsidRDefault="00AD3C82" w:rsidP="00AD3C82">
      <w:pPr>
        <w:pStyle w:val="TextoNormalSangraFrancesa"/>
        <w:rPr>
          <w:rStyle w:val="TextoNormalCaracter"/>
        </w:rPr>
      </w:pPr>
      <w:bookmarkStart w:id="1369" w:name="DESCRIPTORALFABETICO606"/>
      <w:r w:rsidRPr="00AD3C82">
        <w:rPr>
          <w:rStyle w:val="TextoNormalNegritaCaracter"/>
        </w:rPr>
        <w:t>Notificación en domicilio extranjero</w:t>
      </w:r>
      <w:bookmarkEnd w:id="1369"/>
      <w:r w:rsidRPr="00AD3C82">
        <w:rPr>
          <w:rStyle w:val="TextoNormalCaracter"/>
        </w:rPr>
        <w:t xml:space="preserve">, Sentencias </w:t>
      </w:r>
      <w:hyperlink w:anchor="SENTENCIA_2016_150" w:history="1">
        <w:r w:rsidRPr="00AD3C82">
          <w:rPr>
            <w:rStyle w:val="TextoNormalCaracter"/>
          </w:rPr>
          <w:t>150/2016</w:t>
        </w:r>
      </w:hyperlink>
      <w:r w:rsidRPr="00AD3C82">
        <w:rPr>
          <w:rStyle w:val="TextoNormalCaracter"/>
        </w:rPr>
        <w:t xml:space="preserve">, f. 3; </w:t>
      </w:r>
      <w:hyperlink w:anchor="SENTENCIA_2016_151" w:history="1">
        <w:r w:rsidRPr="00AD3C82">
          <w:rPr>
            <w:rStyle w:val="TextoNormalCaracter"/>
          </w:rPr>
          <w:t>151/2016</w:t>
        </w:r>
      </w:hyperlink>
      <w:r w:rsidRPr="00AD3C82">
        <w:rPr>
          <w:rStyle w:val="TextoNormalCaracter"/>
        </w:rPr>
        <w:t>, f. 3.</w:t>
      </w:r>
    </w:p>
    <w:p w:rsidR="00AD3C82" w:rsidRPr="00AD3C82" w:rsidRDefault="00AD3C82" w:rsidP="00AD3C82">
      <w:pPr>
        <w:pStyle w:val="TextoNormalSangraFrancesa"/>
        <w:rPr>
          <w:rStyle w:val="TextoNormalCaracter"/>
        </w:rPr>
      </w:pPr>
      <w:bookmarkStart w:id="1370" w:name="DESCRIPTORALFABETICO630"/>
      <w:r w:rsidRPr="00AD3C82">
        <w:rPr>
          <w:rStyle w:val="TextoNormalNegritaCaracter"/>
        </w:rPr>
        <w:t>Nueva valoración de la prueba personal sin inmediación</w:t>
      </w:r>
      <w:bookmarkEnd w:id="1370"/>
      <w:r w:rsidRPr="00AD3C82">
        <w:rPr>
          <w:rStyle w:val="TextoNormalCaracter"/>
        </w:rPr>
        <w:t xml:space="preserve">, Sentencia </w:t>
      </w:r>
      <w:hyperlink w:anchor="SENTENCIA_2016_172" w:history="1">
        <w:r w:rsidRPr="00AD3C82">
          <w:rPr>
            <w:rStyle w:val="TextoNormalCaracter"/>
          </w:rPr>
          <w:t>172/2016</w:t>
        </w:r>
      </w:hyperlink>
      <w:r w:rsidRPr="00AD3C82">
        <w:rPr>
          <w:rStyle w:val="TextoNormalCaracter"/>
        </w:rPr>
        <w:t>, ff. 6, 8, VP.</w:t>
      </w:r>
    </w:p>
    <w:p w:rsidR="00AD3C82" w:rsidRPr="00AD3C82" w:rsidRDefault="00AD3C82" w:rsidP="00AD3C82">
      <w:pPr>
        <w:pStyle w:val="TextoNormalSangraFrancesa"/>
        <w:rPr>
          <w:rStyle w:val="TextoNormalCaracter"/>
        </w:rPr>
      </w:pPr>
      <w:bookmarkStart w:id="1371" w:name="DESCRIPTORALFABETICO340"/>
      <w:r w:rsidRPr="00AD3C82">
        <w:rPr>
          <w:rStyle w:val="TextoNormalNegritaCaracter"/>
        </w:rPr>
        <w:t>Nulidad de acuerdos de las mesas parlamentarias</w:t>
      </w:r>
      <w:bookmarkEnd w:id="1371"/>
      <w:r w:rsidRPr="00AD3C82">
        <w:rPr>
          <w:rStyle w:val="TextoNormalCaracter"/>
        </w:rPr>
        <w:t xml:space="preserve">, Sentencias </w:t>
      </w:r>
      <w:hyperlink w:anchor="SENTENCIA_2016_224" w:history="1">
        <w:r w:rsidRPr="00AD3C82">
          <w:rPr>
            <w:rStyle w:val="TextoNormalCaracter"/>
          </w:rPr>
          <w:t>224/2016</w:t>
        </w:r>
      </w:hyperlink>
      <w:r w:rsidRPr="00AD3C82">
        <w:rPr>
          <w:rStyle w:val="TextoNormalCaracter"/>
        </w:rPr>
        <w:t xml:space="preserve">, f. 5; </w:t>
      </w:r>
      <w:hyperlink w:anchor="SENTENCIA_2016_225" w:history="1">
        <w:r w:rsidRPr="00AD3C82">
          <w:rPr>
            <w:rStyle w:val="TextoNormalCaracter"/>
          </w:rPr>
          <w:t>225/2016</w:t>
        </w:r>
      </w:hyperlink>
      <w:r w:rsidRPr="00AD3C82">
        <w:rPr>
          <w:rStyle w:val="TextoNormalCaracter"/>
        </w:rPr>
        <w:t>, f. 5.</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O</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372" w:name="DESCRIPTORALFABETICO223"/>
      <w:r w:rsidRPr="00AD3C82">
        <w:rPr>
          <w:rStyle w:val="TextoNormalNegritaCaracter"/>
        </w:rPr>
        <w:t>Objeto de la cuestión de inconstitucionalidad</w:t>
      </w:r>
      <w:bookmarkEnd w:id="1372"/>
      <w:r w:rsidRPr="00AD3C82">
        <w:rPr>
          <w:rStyle w:val="TextoNormalCaracter"/>
        </w:rPr>
        <w:t xml:space="preserve">, Sentencia </w:t>
      </w:r>
      <w:hyperlink w:anchor="SENTENCIA_2016_127" w:history="1">
        <w:r w:rsidRPr="00AD3C82">
          <w:rPr>
            <w:rStyle w:val="TextoNormalCaracter"/>
          </w:rPr>
          <w:t>127/2016</w:t>
        </w:r>
      </w:hyperlink>
      <w:r w:rsidRPr="00AD3C82">
        <w:rPr>
          <w:rStyle w:val="TextoNormalCaracter"/>
        </w:rPr>
        <w:t>, VP.</w:t>
      </w:r>
    </w:p>
    <w:p w:rsidR="00AD3C82" w:rsidRPr="00AD3C82" w:rsidRDefault="00AD3C82" w:rsidP="00AD3C82">
      <w:pPr>
        <w:pStyle w:val="TextoNormalSangraFrancesa"/>
        <w:rPr>
          <w:rStyle w:val="TextoNormalCaracter"/>
        </w:rPr>
      </w:pPr>
      <w:bookmarkStart w:id="1373" w:name="DESCRIPTORALFABETICO65"/>
      <w:r w:rsidRPr="00AD3C82">
        <w:rPr>
          <w:rStyle w:val="TextoNormalNegritaCaracter"/>
        </w:rPr>
        <w:t>Obligaciones financieras del Estado</w:t>
      </w:r>
      <w:bookmarkEnd w:id="1373"/>
      <w:r w:rsidRPr="00AD3C82">
        <w:rPr>
          <w:rStyle w:val="TextoNormalCaracter"/>
        </w:rPr>
        <w:t xml:space="preserve">, Sentencias </w:t>
      </w:r>
      <w:hyperlink w:anchor="SENTENCIA_2016_126" w:history="1">
        <w:r w:rsidRPr="00AD3C82">
          <w:rPr>
            <w:rStyle w:val="TextoNormalCaracter"/>
          </w:rPr>
          <w:t>126/2016</w:t>
        </w:r>
      </w:hyperlink>
      <w:r w:rsidRPr="00AD3C82">
        <w:rPr>
          <w:rStyle w:val="TextoNormalCaracter"/>
        </w:rPr>
        <w:t xml:space="preserve">, ff. 1, 3 a 6; </w:t>
      </w:r>
      <w:hyperlink w:anchor="SENTENCIA_2016_169" w:history="1">
        <w:r w:rsidRPr="00AD3C82">
          <w:rPr>
            <w:rStyle w:val="TextoNormalCaracter"/>
          </w:rPr>
          <w:t>169/2016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374" w:name="DESCRIPTORALFABETICO96"/>
      <w:r w:rsidRPr="00AD3C82">
        <w:rPr>
          <w:rStyle w:val="TextoNormalNegritaCaracter"/>
        </w:rPr>
        <w:t>Obligaciones tributarias</w:t>
      </w:r>
      <w:bookmarkEnd w:id="1374"/>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75" w:name="DESCRIPTORALFABETICO415"/>
      <w:r w:rsidRPr="00AD3C82">
        <w:rPr>
          <w:rStyle w:val="TextoNormalNegritaCaracter"/>
        </w:rPr>
        <w:t>Oferta de empleo público</w:t>
      </w:r>
      <w:bookmarkEnd w:id="1375"/>
      <w:r w:rsidRPr="00AD3C82">
        <w:rPr>
          <w:rStyle w:val="TextoNormalCaracter"/>
        </w:rPr>
        <w:t xml:space="preserve">, Sentencia </w:t>
      </w:r>
      <w:hyperlink w:anchor="SENTENCIA_2016_194" w:history="1">
        <w:r w:rsidRPr="00AD3C82">
          <w:rPr>
            <w:rStyle w:val="TextoNormalCaracter"/>
          </w:rPr>
          <w:t>194/2016</w:t>
        </w:r>
      </w:hyperlink>
      <w:r w:rsidRPr="00AD3C82">
        <w:rPr>
          <w:rStyle w:val="TextoNormalCaracter"/>
        </w:rPr>
        <w:t>, f. 1, 3.</w:t>
      </w:r>
    </w:p>
    <w:p w:rsidR="00AD3C82" w:rsidRPr="00AD3C82" w:rsidRDefault="00AD3C82" w:rsidP="00AD3C82">
      <w:pPr>
        <w:pStyle w:val="TextoNormalSangraFrancesa"/>
        <w:rPr>
          <w:rStyle w:val="TextoNormalCaracter"/>
        </w:rPr>
      </w:pPr>
      <w:bookmarkStart w:id="1376" w:name="DESCRIPTORALFABETICO563"/>
      <w:r w:rsidRPr="00AD3C82">
        <w:rPr>
          <w:rStyle w:val="TextoNormalNegritaCaracter"/>
        </w:rPr>
        <w:t>Oficinas de farmacia</w:t>
      </w:r>
      <w:bookmarkEnd w:id="1376"/>
      <w:r w:rsidRPr="00AD3C82">
        <w:rPr>
          <w:rStyle w:val="TextoNormalCaracter"/>
        </w:rPr>
        <w:t xml:space="preserve">, Auto </w:t>
      </w:r>
      <w:hyperlink w:anchor="AUTO_2016_156" w:history="1">
        <w:r w:rsidRPr="00AD3C82">
          <w:rPr>
            <w:rStyle w:val="TextoNormalCaracter"/>
          </w:rPr>
          <w:t>156/2016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77" w:name="DESCRIPTORALFABETICO647"/>
      <w:r w:rsidRPr="00AD3C82">
        <w:rPr>
          <w:rStyle w:val="TextoNormalNegritaCaracter"/>
        </w:rPr>
        <w:t>Omisión de pronunciamiento sobre el fondo del asunto</w:t>
      </w:r>
      <w:bookmarkEnd w:id="1377"/>
      <w:r w:rsidRPr="00AD3C82">
        <w:rPr>
          <w:rStyle w:val="TextoNormalCaracter"/>
        </w:rPr>
        <w:t xml:space="preserve">, Sentencias </w:t>
      </w:r>
      <w:hyperlink w:anchor="SENTENCIA_2016_133" w:history="1">
        <w:r w:rsidRPr="00AD3C82">
          <w:rPr>
            <w:rStyle w:val="TextoNormalCaracter"/>
          </w:rPr>
          <w:t>133/2016</w:t>
        </w:r>
      </w:hyperlink>
      <w:r w:rsidRPr="00AD3C82">
        <w:rPr>
          <w:rStyle w:val="TextoNormalCaracter"/>
        </w:rPr>
        <w:t xml:space="preserve">, ff. 3, 4, 6; </w:t>
      </w:r>
      <w:hyperlink w:anchor="SENTENCIA_2016_147" w:history="1">
        <w:r w:rsidRPr="00AD3C82">
          <w:rPr>
            <w:rStyle w:val="TextoNormalCaracter"/>
          </w:rPr>
          <w:t>147/2016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378" w:name="DESCRIPTORALFABETICO654"/>
      <w:r w:rsidRPr="00AD3C82">
        <w:rPr>
          <w:rStyle w:val="TextoNormalNegritaCaracter"/>
        </w:rPr>
        <w:t>Oposición a la ejecución hipotecaria</w:t>
      </w:r>
      <w:bookmarkEnd w:id="1378"/>
      <w:r w:rsidRPr="00AD3C82">
        <w:rPr>
          <w:rStyle w:val="TextoNormalCaracter"/>
        </w:rPr>
        <w:t xml:space="preserve">, Auto </w:t>
      </w:r>
      <w:hyperlink w:anchor="AUTO_2016_198" w:history="1">
        <w:r w:rsidRPr="00AD3C82">
          <w:rPr>
            <w:rStyle w:val="TextoNormalCaracter"/>
          </w:rPr>
          <w:t>198/2016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379" w:name="DESCRIPTORALFABETICO1"/>
      <w:r w:rsidRPr="00AD3C82">
        <w:rPr>
          <w:rStyle w:val="TextoNormalNegritaCaracter"/>
        </w:rPr>
        <w:t>Orden constitucional de competencias</w:t>
      </w:r>
      <w:bookmarkEnd w:id="1379"/>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ff. 2, 3, 6 B), 7 A) a) y b), 8 A), 9 A).</w:t>
      </w:r>
    </w:p>
    <w:p w:rsidR="00AD3C82" w:rsidRPr="00AD3C82" w:rsidRDefault="00AD3C82" w:rsidP="00AD3C82">
      <w:pPr>
        <w:pStyle w:val="TextoNormalSangraFrancesa"/>
        <w:rPr>
          <w:rStyle w:val="TextoNormalCaracter"/>
        </w:rPr>
      </w:pPr>
      <w:bookmarkStart w:id="1380" w:name="DESCRIPTORALFABETICO77"/>
      <w:r w:rsidRPr="00AD3C82">
        <w:rPr>
          <w:rStyle w:val="TextoNormalNegritaCaracter"/>
        </w:rPr>
        <w:t>Ordenación del comercio</w:t>
      </w:r>
      <w:bookmarkEnd w:id="1380"/>
      <w:r w:rsidRPr="00AD3C82">
        <w:rPr>
          <w:rStyle w:val="TextoNormalCaracter"/>
        </w:rPr>
        <w:t xml:space="preserve">, Sentencias </w:t>
      </w:r>
      <w:hyperlink w:anchor="SENTENCIA_2016_157" w:history="1">
        <w:r w:rsidRPr="00AD3C82">
          <w:rPr>
            <w:rStyle w:val="TextoNormalCaracter"/>
          </w:rPr>
          <w:t>157/2016</w:t>
        </w:r>
      </w:hyperlink>
      <w:r w:rsidRPr="00AD3C82">
        <w:rPr>
          <w:rStyle w:val="TextoNormalCaracter"/>
        </w:rPr>
        <w:t xml:space="preserve">, ff. 1, 2, 6, 8, 9, VP; </w:t>
      </w:r>
      <w:hyperlink w:anchor="SENTENCIA_2016_211" w:history="1">
        <w:r w:rsidRPr="00AD3C82">
          <w:rPr>
            <w:rStyle w:val="TextoNormalCaracter"/>
          </w:rPr>
          <w:t>211/2016</w:t>
        </w:r>
      </w:hyperlink>
      <w:r w:rsidRPr="00AD3C82">
        <w:rPr>
          <w:rStyle w:val="TextoNormalCaracter"/>
        </w:rPr>
        <w:t>, ff. 6 a 9.</w:t>
      </w:r>
    </w:p>
    <w:p w:rsidR="00AD3C82" w:rsidRPr="00AD3C82" w:rsidRDefault="00AD3C82" w:rsidP="00AD3C82">
      <w:pPr>
        <w:pStyle w:val="TextoNormalSangraFrancesa"/>
        <w:rPr>
          <w:rStyle w:val="TextoNormalCaracter"/>
        </w:rPr>
      </w:pPr>
      <w:bookmarkStart w:id="1381" w:name="DESCRIPTORALFABETICO78"/>
      <w:r w:rsidRPr="00AD3C82">
        <w:rPr>
          <w:rStyle w:val="TextoNormalNegritaCaracter"/>
        </w:rPr>
        <w:t>Ordenación del sector agrario</w:t>
      </w:r>
      <w:bookmarkEnd w:id="1381"/>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ff. 3 a 14; </w:t>
      </w:r>
      <w:hyperlink w:anchor="SENTENCIA_2016_186" w:history="1">
        <w:r w:rsidRPr="00AD3C82">
          <w:rPr>
            <w:rStyle w:val="TextoNormalCaracter"/>
          </w:rPr>
          <w:t>186/2016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382" w:name="DESCRIPTORALFABETICO79"/>
      <w:r w:rsidRPr="00AD3C82">
        <w:rPr>
          <w:rStyle w:val="TextoNormalNegritaCaracter"/>
        </w:rPr>
        <w:t>Ordenación del sector eléctrico</w:t>
      </w:r>
      <w:bookmarkEnd w:id="1382"/>
      <w:r w:rsidRPr="00AD3C82">
        <w:rPr>
          <w:rStyle w:val="TextoNormalCaracter"/>
        </w:rPr>
        <w:t xml:space="preserve">, Sentencias </w:t>
      </w:r>
      <w:hyperlink w:anchor="SENTENCIA_2016_167" w:history="1">
        <w:r w:rsidRPr="00AD3C82">
          <w:rPr>
            <w:rStyle w:val="TextoNormalCaracter"/>
          </w:rPr>
          <w:t>167/2016</w:t>
        </w:r>
      </w:hyperlink>
      <w:r w:rsidRPr="00AD3C82">
        <w:rPr>
          <w:rStyle w:val="TextoNormalCaracter"/>
        </w:rPr>
        <w:t xml:space="preserve">, ff. 3, 6; </w:t>
      </w:r>
      <w:hyperlink w:anchor="SENTENCIA_2016_174" w:history="1">
        <w:r w:rsidRPr="00AD3C82">
          <w:rPr>
            <w:rStyle w:val="TextoNormalCaracter"/>
          </w:rPr>
          <w:t>174/2016</w:t>
        </w:r>
      </w:hyperlink>
      <w:r w:rsidRPr="00AD3C82">
        <w:rPr>
          <w:rStyle w:val="TextoNormalCaracter"/>
        </w:rPr>
        <w:t xml:space="preserve">, ff. 1. 3; </w:t>
      </w:r>
      <w:hyperlink w:anchor="SENTENCIA_2016_181" w:history="1">
        <w:r w:rsidRPr="00AD3C82">
          <w:rPr>
            <w:rStyle w:val="TextoNormalCaracter"/>
          </w:rPr>
          <w:t>181/2016</w:t>
        </w:r>
      </w:hyperlink>
      <w:r w:rsidRPr="00AD3C82">
        <w:rPr>
          <w:rStyle w:val="TextoNormalCaracter"/>
        </w:rPr>
        <w:t xml:space="preserve">, f. 3; </w:t>
      </w:r>
      <w:hyperlink w:anchor="SENTENCIA_2016_187" w:history="1">
        <w:r w:rsidRPr="00AD3C82">
          <w:rPr>
            <w:rStyle w:val="TextoNormalCaracter"/>
          </w:rPr>
          <w:t>187/2016</w:t>
        </w:r>
      </w:hyperlink>
      <w:r w:rsidRPr="00AD3C82">
        <w:rPr>
          <w:rStyle w:val="TextoNormalCaracter"/>
        </w:rPr>
        <w:t xml:space="preserve">, ff. 1 a 3; </w:t>
      </w:r>
      <w:hyperlink w:anchor="SENTENCIA_2016_188" w:history="1">
        <w:r w:rsidRPr="00AD3C82">
          <w:rPr>
            <w:rStyle w:val="TextoNormalCaracter"/>
          </w:rPr>
          <w:t>188/2016</w:t>
        </w:r>
      </w:hyperlink>
      <w:r w:rsidRPr="00AD3C82">
        <w:rPr>
          <w:rStyle w:val="TextoNormalCaracter"/>
        </w:rPr>
        <w:t xml:space="preserve">, ff. 1 a 3; </w:t>
      </w:r>
      <w:hyperlink w:anchor="SENTENCIA_2016_197" w:history="1">
        <w:r w:rsidRPr="00AD3C82">
          <w:rPr>
            <w:rStyle w:val="TextoNormalCaracter"/>
          </w:rPr>
          <w:t>197/2016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1383" w:name="DESCRIPTORALFABETICO75"/>
      <w:r w:rsidRPr="00AD3C82">
        <w:rPr>
          <w:rStyle w:val="TextoNormalNegritaCaracter"/>
        </w:rPr>
        <w:t>Ordenación general de la economía</w:t>
      </w:r>
      <w:bookmarkEnd w:id="1383"/>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ff. 3 a 14; </w:t>
      </w:r>
      <w:hyperlink w:anchor="SENTENCIA_2016_164" w:history="1">
        <w:r w:rsidRPr="00AD3C82">
          <w:rPr>
            <w:rStyle w:val="TextoNormalCaracter"/>
          </w:rPr>
          <w:t>164/2016</w:t>
        </w:r>
      </w:hyperlink>
      <w:r w:rsidRPr="00AD3C82">
        <w:rPr>
          <w:rStyle w:val="TextoNormalCaracter"/>
        </w:rPr>
        <w:t xml:space="preserve">, ff. 1, 3 a 7; </w:t>
      </w:r>
      <w:hyperlink w:anchor="SENTENCIA_2016_186" w:history="1">
        <w:r w:rsidRPr="00AD3C82">
          <w:rPr>
            <w:rStyle w:val="TextoNormalCaracter"/>
          </w:rPr>
          <w:t>186/2016</w:t>
        </w:r>
      </w:hyperlink>
      <w:r w:rsidRPr="00AD3C82">
        <w:rPr>
          <w:rStyle w:val="TextoNormalCaracter"/>
        </w:rPr>
        <w:t xml:space="preserve">, ff. 2, 3; </w:t>
      </w:r>
      <w:hyperlink w:anchor="SENTENCIA_2016_193" w:history="1">
        <w:r w:rsidRPr="00AD3C82">
          <w:rPr>
            <w:rStyle w:val="TextoNormalCaracter"/>
          </w:rPr>
          <w:t>193/2016</w:t>
        </w:r>
      </w:hyperlink>
      <w:r w:rsidRPr="00AD3C82">
        <w:rPr>
          <w:rStyle w:val="TextoNormalCaracter"/>
        </w:rPr>
        <w:t xml:space="preserve">, ff. 1 a 5; </w:t>
      </w:r>
      <w:hyperlink w:anchor="SENTENCIA_2016_205" w:history="1">
        <w:r w:rsidRPr="00AD3C82">
          <w:rPr>
            <w:rStyle w:val="TextoNormalCaracter"/>
          </w:rPr>
          <w:t>205/2016</w:t>
        </w:r>
      </w:hyperlink>
      <w:r w:rsidRPr="00AD3C82">
        <w:rPr>
          <w:rStyle w:val="TextoNormalCaracter"/>
        </w:rPr>
        <w:t>, ff. 2; 4.</w:t>
      </w:r>
    </w:p>
    <w:p w:rsidR="00AD3C82" w:rsidRPr="00AD3C82" w:rsidRDefault="00AD3C82" w:rsidP="00AD3C82">
      <w:pPr>
        <w:pStyle w:val="TextoNormalSangraFrancesa"/>
        <w:rPr>
          <w:rStyle w:val="TextoNormalCaracter"/>
        </w:rPr>
      </w:pPr>
      <w:bookmarkStart w:id="1384" w:name="DESCRIPTORALFABETICO296"/>
      <w:r w:rsidRPr="00AD3C82">
        <w:rPr>
          <w:rStyle w:val="TextoNormalNegritaCaracter"/>
        </w:rPr>
        <w:t>Organización de la Administración autonómica</w:t>
      </w:r>
      <w:bookmarkEnd w:id="1384"/>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ff. 6 B, 9, 10.</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P</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385" w:name="DESCRIPTORALFABETICO589"/>
      <w:r w:rsidRPr="00AD3C82">
        <w:rPr>
          <w:rStyle w:val="TextoNormalNegritaCaracter"/>
        </w:rPr>
        <w:t>Pagas extraordinarias</w:t>
      </w:r>
      <w:bookmarkEnd w:id="1385"/>
      <w:r w:rsidRPr="00AD3C82">
        <w:rPr>
          <w:rStyle w:val="TextoNormalCaracter"/>
        </w:rPr>
        <w:t xml:space="preserve">, Sentencias </w:t>
      </w:r>
      <w:hyperlink w:anchor="SENTENCIA_2016_134" w:history="1">
        <w:r w:rsidRPr="00AD3C82">
          <w:rPr>
            <w:rStyle w:val="TextoNormalCaracter"/>
          </w:rPr>
          <w:t>134/2016</w:t>
        </w:r>
      </w:hyperlink>
      <w:r w:rsidRPr="00AD3C82">
        <w:rPr>
          <w:rStyle w:val="TextoNormalCaracter"/>
        </w:rPr>
        <w:t xml:space="preserve">, ff. 1 a 3; </w:t>
      </w:r>
      <w:hyperlink w:anchor="SENTENCIA_2016_145" w:history="1">
        <w:r w:rsidRPr="00AD3C82">
          <w:rPr>
            <w:rStyle w:val="TextoNormalCaracter"/>
          </w:rPr>
          <w:t>145/2016</w:t>
        </w:r>
      </w:hyperlink>
      <w:r w:rsidRPr="00AD3C82">
        <w:rPr>
          <w:rStyle w:val="TextoNormalCaracter"/>
        </w:rPr>
        <w:t xml:space="preserve">, ff. 1, 2; </w:t>
      </w:r>
      <w:hyperlink w:anchor="SENTENCIA_2016_160" w:history="1">
        <w:r w:rsidRPr="00AD3C82">
          <w:rPr>
            <w:rStyle w:val="TextoNormalCaracter"/>
          </w:rPr>
          <w:t>160/2016</w:t>
        </w:r>
      </w:hyperlink>
      <w:r w:rsidRPr="00AD3C82">
        <w:rPr>
          <w:rStyle w:val="TextoNormalCaracter"/>
        </w:rPr>
        <w:t xml:space="preserve">, ff. 1 a 3; </w:t>
      </w:r>
      <w:hyperlink w:anchor="SENTENCIA_2016_178" w:history="1">
        <w:r w:rsidRPr="00AD3C82">
          <w:rPr>
            <w:rStyle w:val="TextoNormalCaracter"/>
          </w:rPr>
          <w:t>178/2016</w:t>
        </w:r>
      </w:hyperlink>
      <w:r w:rsidRPr="00AD3C82">
        <w:rPr>
          <w:rStyle w:val="TextoNormalCaracter"/>
        </w:rPr>
        <w:t>, f. 1.</w:t>
      </w:r>
    </w:p>
    <w:p w:rsidR="00AD3C82" w:rsidRPr="00AD3C82" w:rsidRDefault="00AD3C82" w:rsidP="00AD3C82">
      <w:pPr>
        <w:pStyle w:val="TextoNormalSangraFrancesa"/>
        <w:rPr>
          <w:rStyle w:val="TextoNormalCaracter"/>
        </w:rPr>
      </w:pPr>
      <w:bookmarkStart w:id="1386" w:name="DESCRIPTORALFABETICO687"/>
      <w:r w:rsidRPr="00AD3C82">
        <w:rPr>
          <w:rStyle w:val="TextoNormalNegritaCaracter"/>
        </w:rPr>
        <w:t>País Vasco</w:t>
      </w:r>
      <w:bookmarkEnd w:id="1386"/>
      <w:r w:rsidRPr="00AD3C82">
        <w:rPr>
          <w:rStyle w:val="TextoNormalCaracter"/>
        </w:rPr>
        <w:t xml:space="preserve">, Sentencias </w:t>
      </w:r>
      <w:hyperlink w:anchor="SENTENCIA_2016_178" w:history="1">
        <w:r w:rsidRPr="00AD3C82">
          <w:rPr>
            <w:rStyle w:val="TextoNormalCaracter"/>
          </w:rPr>
          <w:t>178/2016</w:t>
        </w:r>
      </w:hyperlink>
      <w:r w:rsidRPr="00AD3C82">
        <w:rPr>
          <w:rStyle w:val="TextoNormalCaracter"/>
        </w:rPr>
        <w:t xml:space="preserve">, f. 1; </w:t>
      </w:r>
      <w:hyperlink w:anchor="SENTENCIA_2016_204" w:history="1">
        <w:r w:rsidRPr="00AD3C82">
          <w:rPr>
            <w:rStyle w:val="TextoNormalCaracter"/>
          </w:rPr>
          <w:t>204/2016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387" w:name="DESCRIPTORALFABETICO347"/>
      <w:r w:rsidRPr="00AD3C82">
        <w:rPr>
          <w:rStyle w:val="TextoNormalNegritaCaracter"/>
        </w:rPr>
        <w:t>Parlamento de Andalucía</w:t>
      </w:r>
      <w:bookmarkEnd w:id="1387"/>
      <w:r w:rsidRPr="00AD3C82">
        <w:rPr>
          <w:rStyle w:val="TextoNormalCaracter"/>
        </w:rPr>
        <w:t xml:space="preserve">, Sentencia </w:t>
      </w:r>
      <w:hyperlink w:anchor="SENTENCIA_2016_199" w:history="1">
        <w:r w:rsidRPr="00AD3C82">
          <w:rPr>
            <w:rStyle w:val="TextoNormalCaracter"/>
          </w:rPr>
          <w:t>199/2016</w:t>
        </w:r>
      </w:hyperlink>
      <w:r w:rsidRPr="00AD3C82">
        <w:rPr>
          <w:rStyle w:val="TextoNormalCaracter"/>
        </w:rPr>
        <w:t>, ff. 1, 3 a 5.</w:t>
      </w:r>
    </w:p>
    <w:p w:rsidR="00AD3C82" w:rsidRPr="00AD3C82" w:rsidRDefault="00AD3C82" w:rsidP="00AD3C82">
      <w:pPr>
        <w:pStyle w:val="TextoNormalSangraFrancesa"/>
        <w:rPr>
          <w:rStyle w:val="TextoNormalCaracter"/>
        </w:rPr>
      </w:pPr>
      <w:bookmarkStart w:id="1388" w:name="DESCRIPTORALFABETICO348"/>
      <w:r w:rsidRPr="00AD3C82">
        <w:rPr>
          <w:rStyle w:val="TextoNormalNegritaCaracter"/>
        </w:rPr>
        <w:t>Parlamento de Cataluña</w:t>
      </w:r>
      <w:bookmarkEnd w:id="1388"/>
      <w:r w:rsidRPr="00AD3C82">
        <w:rPr>
          <w:rStyle w:val="TextoNormalCaracter"/>
        </w:rPr>
        <w:t xml:space="preserve">, Sentencias </w:t>
      </w:r>
      <w:hyperlink w:anchor="SENTENCIA_2016_224" w:history="1">
        <w:r w:rsidRPr="00AD3C82">
          <w:rPr>
            <w:rStyle w:val="TextoNormalCaracter"/>
          </w:rPr>
          <w:t>224/2016</w:t>
        </w:r>
      </w:hyperlink>
      <w:r w:rsidRPr="00AD3C82">
        <w:rPr>
          <w:rStyle w:val="TextoNormalCaracter"/>
        </w:rPr>
        <w:t xml:space="preserve">, f. 1; </w:t>
      </w:r>
      <w:hyperlink w:anchor="SENTENCIA_2016_225" w:history="1">
        <w:r w:rsidRPr="00AD3C82">
          <w:rPr>
            <w:rStyle w:val="TextoNormalCaracter"/>
          </w:rPr>
          <w:t>225/2016</w:t>
        </w:r>
      </w:hyperlink>
      <w:r w:rsidRPr="00AD3C82">
        <w:rPr>
          <w:rStyle w:val="TextoNormalCaracter"/>
        </w:rPr>
        <w:t>, f. 1.</w:t>
      </w:r>
    </w:p>
    <w:p w:rsidR="00AD3C82" w:rsidRPr="00AD3C82" w:rsidRDefault="00AD3C82" w:rsidP="00AD3C82">
      <w:pPr>
        <w:pStyle w:val="TextoNormalSangraFrancesa"/>
        <w:rPr>
          <w:rStyle w:val="TextoNormalCaracter"/>
        </w:rPr>
      </w:pPr>
      <w:bookmarkStart w:id="1389" w:name="DESCRIPTORALFABETICO86"/>
      <w:r w:rsidRPr="00AD3C82">
        <w:rPr>
          <w:rStyle w:val="TextoNormalNegritaCaracter"/>
        </w:rPr>
        <w:t>Partidas presupuestarias</w:t>
      </w:r>
      <w:bookmarkEnd w:id="1389"/>
      <w:r w:rsidRPr="00AD3C82">
        <w:rPr>
          <w:rStyle w:val="TextoNormalCaracter"/>
        </w:rPr>
        <w:t xml:space="preserve">, Sentencia </w:t>
      </w:r>
      <w:hyperlink w:anchor="SENTENCIA_2016_194" w:history="1">
        <w:r w:rsidRPr="00AD3C82">
          <w:rPr>
            <w:rStyle w:val="TextoNormalCaracter"/>
          </w:rPr>
          <w:t>194/2016</w:t>
        </w:r>
      </w:hyperlink>
      <w:r w:rsidRPr="00AD3C82">
        <w:rPr>
          <w:rStyle w:val="TextoNormalCaracter"/>
        </w:rPr>
        <w:t>, f. 2.</w:t>
      </w:r>
    </w:p>
    <w:p w:rsidR="00AD3C82" w:rsidRPr="00AD3C82" w:rsidRDefault="00AD3C82" w:rsidP="00AD3C82">
      <w:pPr>
        <w:pStyle w:val="TextoNormalSangraFrancesa"/>
        <w:rPr>
          <w:rStyle w:val="TextoNormalCaracter"/>
        </w:rPr>
      </w:pPr>
      <w:bookmarkStart w:id="1390" w:name="DESCRIPTORALFABETICO288"/>
      <w:r w:rsidRPr="00AD3C82">
        <w:rPr>
          <w:rStyle w:val="TextoNormalNegritaCaracter"/>
        </w:rPr>
        <w:t>Partidos políticos</w:t>
      </w:r>
      <w:bookmarkEnd w:id="1390"/>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Reconocimiento constitucional, </w:t>
      </w:r>
      <w:r w:rsidRPr="00AD3C82">
        <w:rPr>
          <w:rStyle w:val="TextoNormalCaracter"/>
        </w:rPr>
        <w:t xml:space="preserve">Sentencia </w:t>
      </w:r>
      <w:hyperlink w:anchor="SENTENCIA_2016_226" w:history="1">
        <w:r w:rsidRPr="00AD3C82">
          <w:rPr>
            <w:rStyle w:val="TextoNormalCaracter"/>
          </w:rPr>
          <w:t>226/2016</w:t>
        </w:r>
      </w:hyperlink>
      <w:r w:rsidRPr="00AD3C82">
        <w:rPr>
          <w:rStyle w:val="TextoNormalCaracter"/>
        </w:rPr>
        <w:t>, ff. 2, 3, 6 a 8, 10.</w:t>
      </w:r>
    </w:p>
    <w:p w:rsidR="00AD3C82" w:rsidRPr="00AD3C82" w:rsidRDefault="00AD3C82" w:rsidP="00AD3C82">
      <w:pPr>
        <w:pStyle w:val="TextoNormalSangraFrancesa"/>
        <w:rPr>
          <w:rStyle w:val="TextoNormalCaracter"/>
        </w:rPr>
      </w:pPr>
      <w:bookmarkStart w:id="1391" w:name="DESCRIPTORALFABETICO434"/>
      <w:r w:rsidRPr="00AD3C82">
        <w:rPr>
          <w:rStyle w:val="TextoNormalNegritaCaracter"/>
        </w:rPr>
        <w:t>Patrimonio cultural</w:t>
      </w:r>
      <w:bookmarkEnd w:id="1391"/>
      <w:r w:rsidRPr="00AD3C82">
        <w:rPr>
          <w:rStyle w:val="TextoNormalCaracter"/>
        </w:rPr>
        <w:t xml:space="preserve">, Sentencia </w:t>
      </w:r>
      <w:hyperlink w:anchor="SENTENCIA_2016_177" w:history="1">
        <w:r w:rsidRPr="00AD3C82">
          <w:rPr>
            <w:rStyle w:val="TextoNormalCaracter"/>
          </w:rPr>
          <w:t>177/2016</w:t>
        </w:r>
      </w:hyperlink>
      <w:r w:rsidRPr="00AD3C82">
        <w:rPr>
          <w:rStyle w:val="TextoNormalCaracter"/>
        </w:rPr>
        <w:t>, ff. 1, 3, 5 a 7, VVPP I, II.</w:t>
      </w:r>
    </w:p>
    <w:p w:rsidR="00AD3C82" w:rsidRPr="00AD3C82" w:rsidRDefault="00AD3C82" w:rsidP="00AD3C82">
      <w:pPr>
        <w:pStyle w:val="TextoNormalSangraFrancesa"/>
        <w:rPr>
          <w:rStyle w:val="TextoNormalCaracter"/>
        </w:rPr>
      </w:pPr>
      <w:bookmarkStart w:id="1392" w:name="DESCRIPTORALFABETICO444"/>
      <w:r w:rsidRPr="00AD3C82">
        <w:rPr>
          <w:rStyle w:val="TextoNormalNegritaCaracter"/>
        </w:rPr>
        <w:t>Patrimonio de las Comunidades Autónomas</w:t>
      </w:r>
      <w:bookmarkEnd w:id="1392"/>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7 B).</w:t>
      </w:r>
    </w:p>
    <w:p w:rsidR="00AD3C82" w:rsidRPr="00AD3C82" w:rsidRDefault="00AD3C82" w:rsidP="00AD3C82">
      <w:pPr>
        <w:pStyle w:val="TextoNormalSangraFrancesa"/>
        <w:rPr>
          <w:rStyle w:val="TextoNormalCaracter"/>
        </w:rPr>
      </w:pPr>
      <w:bookmarkStart w:id="1393" w:name="DESCRIPTORALFABETICO576"/>
      <w:r w:rsidRPr="00AD3C82">
        <w:rPr>
          <w:rStyle w:val="TextoNormalNegritaCaracter"/>
        </w:rPr>
        <w:t>Patrimonio sindical</w:t>
      </w:r>
      <w:bookmarkEnd w:id="1393"/>
      <w:r w:rsidRPr="00AD3C82">
        <w:rPr>
          <w:rStyle w:val="TextoNormalCaracter"/>
        </w:rPr>
        <w:t xml:space="preserve">, Sentencia </w:t>
      </w:r>
      <w:hyperlink w:anchor="SENTENCIA_2016_125" w:history="1">
        <w:r w:rsidRPr="00AD3C82">
          <w:rPr>
            <w:rStyle w:val="TextoNormalCaracter"/>
          </w:rPr>
          <w:t>125/2016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394" w:name="DESCRIPTORALFABETICO194"/>
      <w:r w:rsidRPr="00AD3C82">
        <w:rPr>
          <w:rStyle w:val="TextoNormalNegritaCaracter"/>
        </w:rPr>
        <w:t>Pena suspendida por el órgano judicial</w:t>
      </w:r>
      <w:bookmarkEnd w:id="1394"/>
      <w:r w:rsidRPr="00AD3C82">
        <w:rPr>
          <w:rStyle w:val="TextoNormalCaracter"/>
        </w:rPr>
        <w:t xml:space="preserve">, Auto </w:t>
      </w:r>
      <w:hyperlink w:anchor="AUTO_2016_195" w:history="1">
        <w:r w:rsidRPr="00AD3C82">
          <w:rPr>
            <w:rStyle w:val="TextoNormalCaracter"/>
          </w:rPr>
          <w:t>195/2016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395" w:name="DESCRIPTORALFABETICO569"/>
      <w:r w:rsidRPr="00AD3C82">
        <w:rPr>
          <w:rStyle w:val="TextoNormalNegritaCaracter"/>
        </w:rPr>
        <w:t>Pensiones</w:t>
      </w:r>
      <w:bookmarkEnd w:id="1395"/>
      <w:r w:rsidRPr="00AD3C82">
        <w:rPr>
          <w:rStyle w:val="TextoNormalCaracter"/>
        </w:rPr>
        <w:t xml:space="preserve">, Sentencias </w:t>
      </w:r>
      <w:hyperlink w:anchor="SENTENCIA_2016_219" w:history="1">
        <w:r w:rsidRPr="00AD3C82">
          <w:rPr>
            <w:rStyle w:val="TextoNormalCaracter"/>
          </w:rPr>
          <w:t>219/2016</w:t>
        </w:r>
      </w:hyperlink>
      <w:r w:rsidRPr="00AD3C82">
        <w:rPr>
          <w:rStyle w:val="TextoNormalCaracter"/>
        </w:rPr>
        <w:t xml:space="preserve">, ff. 4, 9; </w:t>
      </w:r>
      <w:hyperlink w:anchor="SENTENCIA_2016_220" w:history="1">
        <w:r w:rsidRPr="00AD3C82">
          <w:rPr>
            <w:rStyle w:val="TextoNormalCaracter"/>
          </w:rPr>
          <w:t>220/2016</w:t>
        </w:r>
      </w:hyperlink>
      <w:r w:rsidRPr="00AD3C82">
        <w:rPr>
          <w:rStyle w:val="TextoNormalCaracter"/>
        </w:rPr>
        <w:t>, ff. 4, 9.</w:t>
      </w:r>
    </w:p>
    <w:p w:rsidR="00AD3C82" w:rsidRPr="00AD3C82" w:rsidRDefault="00AD3C82" w:rsidP="00AD3C82">
      <w:pPr>
        <w:pStyle w:val="TextoNormalSangraFrancesa"/>
        <w:rPr>
          <w:rStyle w:val="TextoNormalCaracter"/>
        </w:rPr>
      </w:pPr>
      <w:bookmarkStart w:id="1396" w:name="DESCRIPTORALFABETICO535"/>
      <w:r w:rsidRPr="00AD3C82">
        <w:rPr>
          <w:rStyle w:val="TextoNormalNegritaCaracter"/>
        </w:rPr>
        <w:t>Pérdida de vigencia de las normas jurídicas</w:t>
      </w:r>
      <w:bookmarkEnd w:id="1396"/>
      <w:r w:rsidRPr="00AD3C82">
        <w:rPr>
          <w:rStyle w:val="TextoNormalCaracter"/>
        </w:rPr>
        <w:t xml:space="preserve">, Sentencia </w:t>
      </w:r>
      <w:hyperlink w:anchor="SENTENCIA_2016_213" w:history="1">
        <w:r w:rsidRPr="00AD3C82">
          <w:rPr>
            <w:rStyle w:val="TextoNormalCaracter"/>
          </w:rPr>
          <w:t>213/2016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397" w:name="DESCRIPTORALFABETICO242"/>
      <w:r w:rsidRPr="00AD3C82">
        <w:rPr>
          <w:rStyle w:val="TextoNormalNegritaCaracter"/>
        </w:rPr>
        <w:t>Pérdida parcial de objeto del recurso de inconstitucionalidad</w:t>
      </w:r>
      <w:bookmarkEnd w:id="1397"/>
      <w:r w:rsidRPr="00AD3C82">
        <w:rPr>
          <w:rStyle w:val="TextoNormalCaracter"/>
        </w:rPr>
        <w:t xml:space="preserve">, Sentencia </w:t>
      </w:r>
      <w:hyperlink w:anchor="SENTENCIA_2016_211" w:history="1">
        <w:r w:rsidRPr="00AD3C82">
          <w:rPr>
            <w:rStyle w:val="TextoNormalCaracter"/>
          </w:rPr>
          <w:t>211/2016</w:t>
        </w:r>
      </w:hyperlink>
      <w:r w:rsidRPr="00AD3C82">
        <w:rPr>
          <w:rStyle w:val="TextoNormalCaracter"/>
        </w:rPr>
        <w:t>, f. 2.</w:t>
      </w:r>
    </w:p>
    <w:p w:rsidR="00AD3C82" w:rsidRPr="00AD3C82" w:rsidRDefault="00AD3C82" w:rsidP="00AD3C82">
      <w:pPr>
        <w:pStyle w:val="TextoNormalSangraFrancesa"/>
        <w:rPr>
          <w:rStyle w:val="TextoNormalCaracter"/>
        </w:rPr>
      </w:pPr>
      <w:bookmarkStart w:id="1398" w:name="DESCRIPTORALFABETICO224"/>
      <w:r w:rsidRPr="00AD3C82">
        <w:rPr>
          <w:rStyle w:val="TextoNormalNegritaCaracter"/>
        </w:rPr>
        <w:t>Pérdida sobrevenida de objeto de la cuestión de inconstitucionalidad</w:t>
      </w:r>
      <w:bookmarkEnd w:id="1398"/>
      <w:r w:rsidRPr="00AD3C82">
        <w:rPr>
          <w:rStyle w:val="TextoNormalCaracter"/>
        </w:rPr>
        <w:t xml:space="preserve">, Sentencias </w:t>
      </w:r>
      <w:hyperlink w:anchor="SENTENCIA_2016_134" w:history="1">
        <w:r w:rsidRPr="00AD3C82">
          <w:rPr>
            <w:rStyle w:val="TextoNormalCaracter"/>
          </w:rPr>
          <w:t>134/2016</w:t>
        </w:r>
      </w:hyperlink>
      <w:r w:rsidRPr="00AD3C82">
        <w:rPr>
          <w:rStyle w:val="TextoNormalCaracter"/>
        </w:rPr>
        <w:t xml:space="preserve">, f. 3; </w:t>
      </w:r>
      <w:hyperlink w:anchor="SENTENCIA_2016_135" w:history="1">
        <w:r w:rsidRPr="00AD3C82">
          <w:rPr>
            <w:rStyle w:val="TextoNormalCaracter"/>
          </w:rPr>
          <w:t>135/2016</w:t>
        </w:r>
      </w:hyperlink>
      <w:r w:rsidRPr="00AD3C82">
        <w:rPr>
          <w:rStyle w:val="TextoNormalCaracter"/>
        </w:rPr>
        <w:t xml:space="preserve">, f. 3; </w:t>
      </w:r>
      <w:hyperlink w:anchor="SENTENCIA_2016_145" w:history="1">
        <w:r w:rsidRPr="00AD3C82">
          <w:rPr>
            <w:rStyle w:val="TextoNormalCaracter"/>
          </w:rPr>
          <w:t>145/2016</w:t>
        </w:r>
      </w:hyperlink>
      <w:r w:rsidRPr="00AD3C82">
        <w:rPr>
          <w:rStyle w:val="TextoNormalCaracter"/>
        </w:rPr>
        <w:t xml:space="preserve">, f. 2; </w:t>
      </w:r>
      <w:hyperlink w:anchor="SENTENCIA_2016_160" w:history="1">
        <w:r w:rsidRPr="00AD3C82">
          <w:rPr>
            <w:rStyle w:val="TextoNormalCaracter"/>
          </w:rPr>
          <w:t>160/2016</w:t>
        </w:r>
      </w:hyperlink>
      <w:r w:rsidRPr="00AD3C82">
        <w:rPr>
          <w:rStyle w:val="TextoNormalCaracter"/>
        </w:rPr>
        <w:t>, f. 3.</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43" w:history="1">
        <w:r w:rsidRPr="00AD3C82">
          <w:rPr>
            <w:rStyle w:val="TextoNormalCaracter"/>
          </w:rPr>
          <w:t>143/2016</w:t>
        </w:r>
      </w:hyperlink>
      <w:r w:rsidRPr="00AD3C82">
        <w:rPr>
          <w:rStyle w:val="TextoNormalCaracter"/>
        </w:rPr>
        <w:t xml:space="preserve">, f. 2; </w:t>
      </w:r>
      <w:hyperlink w:anchor="AUTO_2016_180" w:history="1">
        <w:r w:rsidRPr="00AD3C82">
          <w:rPr>
            <w:rStyle w:val="TextoNormalCaracter"/>
          </w:rPr>
          <w:t>180/2016</w:t>
        </w:r>
      </w:hyperlink>
      <w:r w:rsidRPr="00AD3C82">
        <w:rPr>
          <w:rStyle w:val="TextoNormalCaracter"/>
        </w:rPr>
        <w:t>, f. 4.</w:t>
      </w:r>
    </w:p>
    <w:p w:rsidR="00AD3C82" w:rsidRPr="00AD3C82" w:rsidRDefault="00AD3C82" w:rsidP="00AD3C82">
      <w:pPr>
        <w:pStyle w:val="TextoNormalSangraFrancesa"/>
        <w:rPr>
          <w:rStyle w:val="TextoNormalCaracter"/>
        </w:rPr>
      </w:pPr>
      <w:bookmarkStart w:id="1399" w:name="DESCRIPTORALFABETICO243"/>
      <w:r w:rsidRPr="00AD3C82">
        <w:rPr>
          <w:rStyle w:val="TextoNormalNegritaCaracter"/>
        </w:rPr>
        <w:t>Pérdida sobrevenida de objeto del recurso de inconstitucionalidad</w:t>
      </w:r>
      <w:bookmarkEnd w:id="1399"/>
      <w:r w:rsidRPr="00AD3C82">
        <w:rPr>
          <w:rStyle w:val="TextoNormalCaracter"/>
        </w:rPr>
        <w:t xml:space="preserve">, Sentencias </w:t>
      </w:r>
      <w:hyperlink w:anchor="SENTENCIA_2016_153" w:history="1">
        <w:r w:rsidRPr="00AD3C82">
          <w:rPr>
            <w:rStyle w:val="TextoNormalCaracter"/>
          </w:rPr>
          <w:t>153/2016</w:t>
        </w:r>
      </w:hyperlink>
      <w:r w:rsidRPr="00AD3C82">
        <w:rPr>
          <w:rStyle w:val="TextoNormalCaracter"/>
        </w:rPr>
        <w:t xml:space="preserve">, f. 2; </w:t>
      </w:r>
      <w:hyperlink w:anchor="SENTENCIA_2016_186" w:history="1">
        <w:r w:rsidRPr="00AD3C82">
          <w:rPr>
            <w:rStyle w:val="TextoNormalCaracter"/>
          </w:rPr>
          <w:t>186/2016</w:t>
        </w:r>
      </w:hyperlink>
      <w:r w:rsidRPr="00AD3C82">
        <w:rPr>
          <w:rStyle w:val="TextoNormalCaracter"/>
        </w:rPr>
        <w:t>, f. 2.</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75" w:history="1">
        <w:r w:rsidRPr="00AD3C82">
          <w:rPr>
            <w:rStyle w:val="TextoNormalCaracter"/>
          </w:rPr>
          <w:t>175/2016</w:t>
        </w:r>
      </w:hyperlink>
      <w:r w:rsidRPr="00AD3C82">
        <w:rPr>
          <w:rStyle w:val="TextoNormalCaracter"/>
        </w:rPr>
        <w:t xml:space="preserve">, f. 2; </w:t>
      </w:r>
      <w:hyperlink w:anchor="AUTO_2016_179" w:history="1">
        <w:r w:rsidRPr="00AD3C82">
          <w:rPr>
            <w:rStyle w:val="TextoNormalCaracter"/>
          </w:rPr>
          <w:t>179/2016</w:t>
        </w:r>
      </w:hyperlink>
      <w:r w:rsidRPr="00AD3C82">
        <w:rPr>
          <w:rStyle w:val="TextoNormalCaracter"/>
        </w:rPr>
        <w:t xml:space="preserve">, ff. 3, 4; </w:t>
      </w:r>
      <w:hyperlink w:anchor="AUTO_2016_193" w:history="1">
        <w:r w:rsidRPr="00AD3C82">
          <w:rPr>
            <w:rStyle w:val="TextoNormalCaracter"/>
          </w:rPr>
          <w:t>193/2016</w:t>
        </w:r>
      </w:hyperlink>
      <w:r w:rsidRPr="00AD3C82">
        <w:rPr>
          <w:rStyle w:val="TextoNormalCaracter"/>
        </w:rPr>
        <w:t>, f. 2.</w:t>
      </w:r>
    </w:p>
    <w:p w:rsidR="00AD3C82" w:rsidRPr="00AD3C82" w:rsidRDefault="00AD3C82" w:rsidP="00AD3C82">
      <w:pPr>
        <w:pStyle w:val="TextoNormalSangraFrancesa"/>
        <w:rPr>
          <w:rStyle w:val="TextoNormalCaracter"/>
        </w:rPr>
      </w:pPr>
      <w:bookmarkStart w:id="1400" w:name="DESCRIPTORALFABETICO201"/>
      <w:r w:rsidRPr="00AD3C82">
        <w:rPr>
          <w:rStyle w:val="TextoNormalNegritaCaracter"/>
        </w:rPr>
        <w:t>Pérdida sobrevenida de objeto por declaración de inconstitucionalidad de la norma</w:t>
      </w:r>
      <w:bookmarkEnd w:id="1400"/>
      <w:r w:rsidRPr="00AD3C82">
        <w:rPr>
          <w:rStyle w:val="TextoNormalCaracter"/>
        </w:rPr>
        <w:t xml:space="preserve">, Sentencia </w:t>
      </w:r>
      <w:hyperlink w:anchor="SENTENCIA_2016_168" w:history="1">
        <w:r w:rsidRPr="00AD3C82">
          <w:rPr>
            <w:rStyle w:val="TextoNormalCaracter"/>
          </w:rPr>
          <w:t>168/2016</w:t>
        </w:r>
      </w:hyperlink>
      <w:r w:rsidRPr="00AD3C82">
        <w:rPr>
          <w:rStyle w:val="TextoNormalCaracter"/>
        </w:rPr>
        <w:t>, ff. 2 a), 2 c), 5 a).</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75" w:history="1">
        <w:r w:rsidRPr="00AD3C82">
          <w:rPr>
            <w:rStyle w:val="TextoNormalCaracter"/>
          </w:rPr>
          <w:t>175/2016</w:t>
        </w:r>
      </w:hyperlink>
      <w:r w:rsidRPr="00AD3C82">
        <w:rPr>
          <w:rStyle w:val="TextoNormalCaracter"/>
        </w:rPr>
        <w:t>, f. 2.</w:t>
      </w:r>
    </w:p>
    <w:p w:rsidR="00AD3C82" w:rsidRPr="00AD3C82" w:rsidRDefault="00AD3C82" w:rsidP="00AD3C82">
      <w:pPr>
        <w:pStyle w:val="TextoNormalSangraFrancesa"/>
        <w:rPr>
          <w:rStyle w:val="TextoNormalCaracter"/>
        </w:rPr>
      </w:pPr>
      <w:bookmarkStart w:id="1401" w:name="DESCRIPTORALFABETICO202"/>
      <w:r w:rsidRPr="00AD3C82">
        <w:rPr>
          <w:rStyle w:val="TextoNormalNegritaCaracter"/>
        </w:rPr>
        <w:t>Pérdida sobrevenida de objeto por derogación de la norma</w:t>
      </w:r>
      <w:bookmarkEnd w:id="1401"/>
      <w:r w:rsidRPr="00AD3C82">
        <w:rPr>
          <w:rStyle w:val="TextoNormalCaracter"/>
        </w:rPr>
        <w:t xml:space="preserve">, Sentencia </w:t>
      </w:r>
      <w:hyperlink w:anchor="SENTENCIA_2016_140" w:history="1">
        <w:r w:rsidRPr="00AD3C82">
          <w:rPr>
            <w:rStyle w:val="TextoNormalCaracter"/>
          </w:rPr>
          <w:t>140/2016</w:t>
        </w:r>
      </w:hyperlink>
      <w:r w:rsidRPr="00AD3C82">
        <w:rPr>
          <w:rStyle w:val="TextoNormalCaracter"/>
        </w:rPr>
        <w:t>, ff. 2, 4.</w:t>
      </w:r>
    </w:p>
    <w:p w:rsidR="00AD3C82" w:rsidRPr="00AD3C82" w:rsidRDefault="00AD3C82" w:rsidP="00AD3C82">
      <w:pPr>
        <w:pStyle w:val="TextoNormalSangraFrancesa"/>
        <w:rPr>
          <w:rStyle w:val="TextoNormalCaracter"/>
        </w:rPr>
      </w:pPr>
      <w:bookmarkStart w:id="1402" w:name="DESCRIPTORALFABETICO408"/>
      <w:r w:rsidRPr="00AD3C82">
        <w:rPr>
          <w:rStyle w:val="TextoNormalNegritaCaracter"/>
        </w:rPr>
        <w:t>Personal al servicio de la Administración autonómica</w:t>
      </w:r>
      <w:bookmarkEnd w:id="1402"/>
      <w:r w:rsidRPr="00AD3C82">
        <w:rPr>
          <w:rStyle w:val="TextoNormalCaracter"/>
        </w:rPr>
        <w:t xml:space="preserve">, Sentencia </w:t>
      </w:r>
      <w:hyperlink w:anchor="SENTENCIA_2016_164" w:history="1">
        <w:r w:rsidRPr="00AD3C82">
          <w:rPr>
            <w:rStyle w:val="TextoNormalCaracter"/>
          </w:rPr>
          <w:t>164/2016</w:t>
        </w:r>
      </w:hyperlink>
      <w:r w:rsidRPr="00AD3C82">
        <w:rPr>
          <w:rStyle w:val="TextoNormalCaracter"/>
        </w:rPr>
        <w:t>, ff. 1 a 7.</w:t>
      </w:r>
    </w:p>
    <w:p w:rsidR="00AD3C82" w:rsidRPr="00AD3C82" w:rsidRDefault="00AD3C82" w:rsidP="00AD3C82">
      <w:pPr>
        <w:pStyle w:val="TextoNormalSangraFrancesa"/>
        <w:rPr>
          <w:rStyle w:val="TextoNormalCaracter"/>
        </w:rPr>
      </w:pPr>
      <w:bookmarkStart w:id="1403" w:name="DESCRIPTORALFABETICO409"/>
      <w:r w:rsidRPr="00AD3C82">
        <w:rPr>
          <w:rStyle w:val="TextoNormalNegritaCaracter"/>
        </w:rPr>
        <w:t>Personal estatutario</w:t>
      </w:r>
      <w:bookmarkEnd w:id="1403"/>
      <w:r w:rsidRPr="00AD3C82">
        <w:rPr>
          <w:rStyle w:val="TextoNormalCaracter"/>
        </w:rPr>
        <w:t xml:space="preserve">, Sentencias </w:t>
      </w:r>
      <w:hyperlink w:anchor="SENTENCIA_2016_155" w:history="1">
        <w:r w:rsidRPr="00AD3C82">
          <w:rPr>
            <w:rStyle w:val="TextoNormalCaracter"/>
          </w:rPr>
          <w:t>155/2016</w:t>
        </w:r>
      </w:hyperlink>
      <w:r w:rsidRPr="00AD3C82">
        <w:rPr>
          <w:rStyle w:val="TextoNormalCaracter"/>
        </w:rPr>
        <w:t xml:space="preserve">, ff. 1, 4, 6, 7; </w:t>
      </w:r>
      <w:hyperlink w:anchor="SENTENCIA_2016_183" w:history="1">
        <w:r w:rsidRPr="00AD3C82">
          <w:rPr>
            <w:rStyle w:val="TextoNormalCaracter"/>
          </w:rPr>
          <w:t>183/2016</w:t>
        </w:r>
      </w:hyperlink>
      <w:r w:rsidRPr="00AD3C82">
        <w:rPr>
          <w:rStyle w:val="TextoNormalCaracter"/>
        </w:rPr>
        <w:t>, ff. 4, 6.</w:t>
      </w:r>
    </w:p>
    <w:p w:rsidR="00AD3C82" w:rsidRPr="00AD3C82" w:rsidRDefault="00AD3C82" w:rsidP="00AD3C82">
      <w:pPr>
        <w:pStyle w:val="TextoNormalSangraFrancesa"/>
        <w:rPr>
          <w:rStyle w:val="TextoNormalCaracter"/>
        </w:rPr>
      </w:pPr>
      <w:bookmarkStart w:id="1404" w:name="DESCRIPTORALFABETICO410"/>
      <w:r w:rsidRPr="00AD3C82">
        <w:rPr>
          <w:rStyle w:val="TextoNormalNegritaCaracter"/>
        </w:rPr>
        <w:t>Personal laboral</w:t>
      </w:r>
      <w:bookmarkEnd w:id="1404"/>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ff. 1, 3, 4.</w:t>
      </w:r>
    </w:p>
    <w:p w:rsidR="00AD3C82" w:rsidRPr="00AD3C82" w:rsidRDefault="00AD3C82" w:rsidP="00AD3C82">
      <w:pPr>
        <w:pStyle w:val="TextoNormalSangraFrancesa"/>
        <w:rPr>
          <w:rStyle w:val="TextoNormalCaracter"/>
        </w:rPr>
      </w:pPr>
      <w:bookmarkStart w:id="1405" w:name="DESCRIPTORALFABETICO271"/>
      <w:r w:rsidRPr="00AD3C82">
        <w:rPr>
          <w:rStyle w:val="TextoNormalNegritaCaracter"/>
        </w:rPr>
        <w:t>Pervivencia del objeto</w:t>
      </w:r>
      <w:bookmarkEnd w:id="1405"/>
      <w:r w:rsidRPr="00AD3C82">
        <w:rPr>
          <w:rStyle w:val="TextoNormalCaracter"/>
        </w:rPr>
        <w:t xml:space="preserve">, Sentencia </w:t>
      </w:r>
      <w:hyperlink w:anchor="SENTENCIA_2016_203" w:history="1">
        <w:r w:rsidRPr="00AD3C82">
          <w:rPr>
            <w:rStyle w:val="TextoNormalCaracter"/>
          </w:rPr>
          <w:t>203/2016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406" w:name="DESCRIPTORALFABETICO225"/>
      <w:r w:rsidRPr="00AD3C82">
        <w:rPr>
          <w:rStyle w:val="TextoNormalNegritaCaracter"/>
        </w:rPr>
        <w:t>Pervivencia del objeto de la cuestión de inconstitucionalidad</w:t>
      </w:r>
      <w:bookmarkEnd w:id="1406"/>
      <w:r w:rsidRPr="00AD3C82">
        <w:rPr>
          <w:rStyle w:val="TextoNormalCaracter"/>
        </w:rPr>
        <w:t xml:space="preserve">, Sentencia </w:t>
      </w:r>
      <w:hyperlink w:anchor="SENTENCIA_2016_227" w:history="1">
        <w:r w:rsidRPr="00AD3C82">
          <w:rPr>
            <w:rStyle w:val="TextoNormalCaracter"/>
          </w:rPr>
          <w:t>227/2016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407" w:name="DESCRIPTORALFABETICO203"/>
      <w:r w:rsidRPr="00AD3C82">
        <w:rPr>
          <w:rStyle w:val="TextoNormalNegritaCaracter"/>
        </w:rPr>
        <w:t>Pervivencia del objeto del proceso constitucional</w:t>
      </w:r>
      <w:bookmarkEnd w:id="1407"/>
      <w:r w:rsidRPr="00AD3C82">
        <w:rPr>
          <w:rStyle w:val="TextoNormalCaracter"/>
        </w:rPr>
        <w:t xml:space="preserve">, Auto </w:t>
      </w:r>
      <w:hyperlink w:anchor="AUTO_2016_140" w:history="1">
        <w:r w:rsidRPr="00AD3C82">
          <w:rPr>
            <w:rStyle w:val="TextoNormalCaracter"/>
          </w:rPr>
          <w:t>140/2016</w:t>
        </w:r>
      </w:hyperlink>
      <w:r w:rsidRPr="00AD3C82">
        <w:rPr>
          <w:rStyle w:val="TextoNormalCaracter"/>
        </w:rPr>
        <w:t xml:space="preserve"> bis, ff. 1, 2.</w:t>
      </w:r>
    </w:p>
    <w:p w:rsidR="00AD3C82" w:rsidRPr="00AD3C82" w:rsidRDefault="00AD3C82" w:rsidP="00AD3C82">
      <w:pPr>
        <w:pStyle w:val="TextoNormalSangraFrancesa"/>
        <w:rPr>
          <w:rStyle w:val="TextoNormalCaracter"/>
        </w:rPr>
      </w:pPr>
      <w:bookmarkStart w:id="1408" w:name="DESCRIPTORALFABETICO248"/>
      <w:r w:rsidRPr="00AD3C82">
        <w:rPr>
          <w:rStyle w:val="TextoNormalNegritaCaracter"/>
        </w:rPr>
        <w:t>Pervivencia del objeto del recurso de amparo</w:t>
      </w:r>
      <w:bookmarkEnd w:id="1408"/>
      <w:r w:rsidRPr="00AD3C82">
        <w:rPr>
          <w:rStyle w:val="TextoNormalCaracter"/>
        </w:rPr>
        <w:t xml:space="preserve">, Sentencia </w:t>
      </w:r>
      <w:hyperlink w:anchor="SENTENCIA_2016_221" w:history="1">
        <w:r w:rsidRPr="00AD3C82">
          <w:rPr>
            <w:rStyle w:val="TextoNormalCaracter"/>
          </w:rPr>
          <w:t>221/2016</w:t>
        </w:r>
      </w:hyperlink>
      <w:r w:rsidRPr="00AD3C82">
        <w:rPr>
          <w:rStyle w:val="TextoNormalCaracter"/>
        </w:rPr>
        <w:t>, f. 3.</w:t>
      </w:r>
    </w:p>
    <w:p w:rsidR="00AD3C82" w:rsidRPr="00AD3C82" w:rsidRDefault="00AD3C82" w:rsidP="00AD3C82">
      <w:pPr>
        <w:pStyle w:val="TextoNormalSangraFrancesa"/>
        <w:rPr>
          <w:rStyle w:val="TextoNormalCaracter"/>
        </w:rPr>
      </w:pPr>
      <w:bookmarkStart w:id="1409" w:name="DESCRIPTORALFABETICO244"/>
      <w:r w:rsidRPr="00AD3C82">
        <w:rPr>
          <w:rStyle w:val="TextoNormalNegritaCaracter"/>
        </w:rPr>
        <w:t>Pervivencia del objeto del recurso de inconstitucionalidad</w:t>
      </w:r>
      <w:bookmarkEnd w:id="1409"/>
      <w:r w:rsidRPr="00AD3C82">
        <w:rPr>
          <w:rStyle w:val="TextoNormalCaracter"/>
        </w:rPr>
        <w:t xml:space="preserve">, Sentencia </w:t>
      </w:r>
      <w:hyperlink w:anchor="SENTENCIA_2016_158" w:history="1">
        <w:r w:rsidRPr="00AD3C82">
          <w:rPr>
            <w:rStyle w:val="TextoNormalCaracter"/>
          </w:rPr>
          <w:t>158/2016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410" w:name="DESCRIPTORALFABETICO447"/>
      <w:r w:rsidRPr="00AD3C82">
        <w:rPr>
          <w:rStyle w:val="TextoNormalNegritaCaracter"/>
        </w:rPr>
        <w:t>Planes de empleo</w:t>
      </w:r>
      <w:bookmarkEnd w:id="1410"/>
      <w:r w:rsidRPr="00AD3C82">
        <w:rPr>
          <w:rStyle w:val="TextoNormalCaracter"/>
        </w:rPr>
        <w:t xml:space="preserve">, Sentencia </w:t>
      </w:r>
      <w:hyperlink w:anchor="SENTENCIA_2016_179" w:history="1">
        <w:r w:rsidRPr="00AD3C82">
          <w:rPr>
            <w:rStyle w:val="TextoNormalCaracter"/>
          </w:rPr>
          <w:t>179/2016</w:t>
        </w:r>
      </w:hyperlink>
      <w:r w:rsidRPr="00AD3C82">
        <w:rPr>
          <w:rStyle w:val="TextoNormalCaracter"/>
        </w:rPr>
        <w:t>, f. 2 d).</w:t>
      </w:r>
    </w:p>
    <w:p w:rsidR="00AD3C82" w:rsidRPr="00AD3C82" w:rsidRDefault="00AD3C82" w:rsidP="00AD3C82">
      <w:pPr>
        <w:pStyle w:val="TextoNormalSangraFrancesa"/>
        <w:rPr>
          <w:rStyle w:val="TextoNormalCaracter"/>
        </w:rPr>
      </w:pPr>
      <w:bookmarkStart w:id="1411" w:name="DESCRIPTORALFABETICO423"/>
      <w:r w:rsidRPr="00AD3C82">
        <w:rPr>
          <w:rStyle w:val="TextoNormalNegritaCaracter"/>
        </w:rPr>
        <w:t>Planes hidrológicos</w:t>
      </w:r>
      <w:bookmarkEnd w:id="1411"/>
      <w:r w:rsidRPr="00AD3C82">
        <w:rPr>
          <w:rStyle w:val="TextoNormalCaracter"/>
        </w:rPr>
        <w:t xml:space="preserve">, Sentencia </w:t>
      </w:r>
      <w:hyperlink w:anchor="SENTENCIA_2016_216" w:history="1">
        <w:r w:rsidRPr="00AD3C82">
          <w:rPr>
            <w:rStyle w:val="TextoNormalCaracter"/>
          </w:rPr>
          <w:t>216/2016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412" w:name="DESCRIPTORALFABETICO575"/>
      <w:r w:rsidRPr="00AD3C82">
        <w:rPr>
          <w:rStyle w:val="TextoNormalNegritaCaracter"/>
        </w:rPr>
        <w:t>Planes y fondos de pensiones</w:t>
      </w:r>
      <w:bookmarkEnd w:id="1412"/>
      <w:r w:rsidRPr="00AD3C82">
        <w:rPr>
          <w:rStyle w:val="TextoNormalCaracter"/>
        </w:rPr>
        <w:t xml:space="preserve">, Sentencia </w:t>
      </w:r>
      <w:hyperlink w:anchor="SENTENCIA_2016_194" w:history="1">
        <w:r w:rsidRPr="00AD3C82">
          <w:rPr>
            <w:rStyle w:val="TextoNormalCaracter"/>
          </w:rPr>
          <w:t>194/2016</w:t>
        </w:r>
      </w:hyperlink>
      <w:r w:rsidRPr="00AD3C82">
        <w:rPr>
          <w:rStyle w:val="TextoNormalCaracter"/>
        </w:rPr>
        <w:t>, f. 2.</w:t>
      </w:r>
    </w:p>
    <w:p w:rsidR="00AD3C82" w:rsidRPr="00AD3C82" w:rsidRDefault="00AD3C82" w:rsidP="00AD3C82">
      <w:pPr>
        <w:pStyle w:val="TextoNormalSangraFrancesa"/>
        <w:rPr>
          <w:rStyle w:val="TextoNormalCaracter"/>
        </w:rPr>
      </w:pPr>
      <w:bookmarkStart w:id="1413" w:name="DESCRIPTORALFABETICO81"/>
      <w:r w:rsidRPr="00AD3C82">
        <w:rPr>
          <w:rStyle w:val="TextoNormalNegritaCaracter"/>
        </w:rPr>
        <w:t>Planificación económica</w:t>
      </w:r>
      <w:bookmarkEnd w:id="1413"/>
      <w:r w:rsidRPr="00AD3C82">
        <w:rPr>
          <w:rStyle w:val="TextoNormalCaracter"/>
        </w:rPr>
        <w:t xml:space="preserve">, Sentencia </w:t>
      </w:r>
      <w:hyperlink w:anchor="SENTENCIA_2016_205" w:history="1">
        <w:r w:rsidRPr="00AD3C82">
          <w:rPr>
            <w:rStyle w:val="TextoNormalCaracter"/>
          </w:rPr>
          <w:t>205/2016</w:t>
        </w:r>
      </w:hyperlink>
      <w:r w:rsidRPr="00AD3C82">
        <w:rPr>
          <w:rStyle w:val="TextoNormalCaracter"/>
        </w:rPr>
        <w:t>, ff. 2; 4.</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414" w:name="DESCRIPTORALFABETICO355"/>
      <w:r w:rsidRPr="00AD3C82">
        <w:rPr>
          <w:rStyle w:val="TextoNormalNegritaCaracter"/>
        </w:rPr>
        <w:t>Planteamiento de cuestión prejudicial ante el TJUE</w:t>
      </w:r>
      <w:bookmarkEnd w:id="1414"/>
      <w:r w:rsidRPr="00AD3C82">
        <w:rPr>
          <w:rStyle w:val="TextoNormalCaracter"/>
        </w:rPr>
        <w:t xml:space="preserve">, Autos </w:t>
      </w:r>
      <w:hyperlink w:anchor="AUTO_2016_155" w:history="1">
        <w:r w:rsidRPr="00AD3C82">
          <w:rPr>
            <w:rStyle w:val="TextoNormalCaracter"/>
          </w:rPr>
          <w:t>155/2016</w:t>
        </w:r>
      </w:hyperlink>
      <w:r w:rsidRPr="00AD3C82">
        <w:rPr>
          <w:rStyle w:val="TextoNormalCaracter"/>
        </w:rPr>
        <w:t xml:space="preserve">, f. 6, VP I; </w:t>
      </w:r>
      <w:hyperlink w:anchor="AUTO_2016_168" w:history="1">
        <w:r w:rsidRPr="00AD3C82">
          <w:rPr>
            <w:rStyle w:val="TextoNormalCaracter"/>
          </w:rPr>
          <w:t>168/2016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415" w:name="DESCRIPTORALFABETICO226"/>
      <w:r w:rsidRPr="00AD3C82">
        <w:rPr>
          <w:rStyle w:val="TextoNormalNegritaCaracter"/>
        </w:rPr>
        <w:t>Planteamiento temporáneo</w:t>
      </w:r>
      <w:bookmarkEnd w:id="1415"/>
      <w:r w:rsidRPr="00AD3C82">
        <w:rPr>
          <w:rStyle w:val="TextoNormalCaracter"/>
        </w:rPr>
        <w:t xml:space="preserve">, Auto </w:t>
      </w:r>
      <w:hyperlink w:anchor="AUTO_2016_168" w:history="1">
        <w:r w:rsidRPr="00AD3C82">
          <w:rPr>
            <w:rStyle w:val="TextoNormalCaracter"/>
          </w:rPr>
          <w:t>168/2016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416" w:name="DESCRIPTORALFABETICO598"/>
      <w:r w:rsidRPr="00AD3C82">
        <w:rPr>
          <w:rStyle w:val="TextoNormalNegritaCaracter"/>
        </w:rPr>
        <w:t>Plazo de prescripción de acciones</w:t>
      </w:r>
      <w:bookmarkEnd w:id="1416"/>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1417" w:name="DESCRIPTORALFABETICO132"/>
      <w:r w:rsidRPr="00AD3C82">
        <w:rPr>
          <w:rStyle w:val="TextoNormalNegritaCaracter"/>
        </w:rPr>
        <w:t>Plazo para la ratificación judicial del internamiento psiquiátrico</w:t>
      </w:r>
      <w:bookmarkEnd w:id="1417"/>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418" w:name="DESCRIPTORALFABETICO387"/>
      <w:r w:rsidRPr="00AD3C82">
        <w:rPr>
          <w:rStyle w:val="TextoNormalNegritaCaracter"/>
        </w:rPr>
        <w:t>Pluralismo político</w:t>
      </w:r>
      <w:bookmarkEnd w:id="1418"/>
      <w:r w:rsidRPr="00AD3C82">
        <w:rPr>
          <w:rStyle w:val="TextoNormalCaracter"/>
        </w:rPr>
        <w:t xml:space="preserve">, Sentencias </w:t>
      </w:r>
      <w:hyperlink w:anchor="SENTENCIA_2016_191" w:history="1">
        <w:r w:rsidRPr="00AD3C82">
          <w:rPr>
            <w:rStyle w:val="TextoNormalCaracter"/>
          </w:rPr>
          <w:t>191/2016</w:t>
        </w:r>
      </w:hyperlink>
      <w:r w:rsidRPr="00AD3C82">
        <w:rPr>
          <w:rStyle w:val="TextoNormalCaracter"/>
        </w:rPr>
        <w:t xml:space="preserve">, ff. 5, 11; </w:t>
      </w:r>
      <w:hyperlink w:anchor="SENTENCIA_2016_226" w:history="1">
        <w:r w:rsidRPr="00AD3C82">
          <w:rPr>
            <w:rStyle w:val="TextoNormalCaracter"/>
          </w:rPr>
          <w:t>226/2016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1419" w:name="DESCRIPTORALFABETICO459"/>
      <w:r w:rsidRPr="00AD3C82">
        <w:rPr>
          <w:rStyle w:val="TextoNormalNegritaCaracter"/>
        </w:rPr>
        <w:t>Pobreza energética</w:t>
      </w:r>
      <w:bookmarkEnd w:id="1419"/>
      <w:r w:rsidRPr="00AD3C82">
        <w:rPr>
          <w:rStyle w:val="TextoNormalCaracter"/>
        </w:rPr>
        <w:t xml:space="preserve">, Auto </w:t>
      </w:r>
      <w:hyperlink w:anchor="AUTO_2016_160" w:history="1">
        <w:r w:rsidRPr="00AD3C82">
          <w:rPr>
            <w:rStyle w:val="TextoNormalCaracter"/>
          </w:rPr>
          <w:t>160/2016</w:t>
        </w:r>
      </w:hyperlink>
      <w:r w:rsidRPr="00AD3C82">
        <w:rPr>
          <w:rStyle w:val="TextoNormalCaracter"/>
        </w:rPr>
        <w:t>, ff. 1, 3, 4, VP.</w:t>
      </w:r>
    </w:p>
    <w:p w:rsidR="00AD3C82" w:rsidRPr="00AD3C82" w:rsidRDefault="00AD3C82" w:rsidP="00AD3C82">
      <w:pPr>
        <w:pStyle w:val="TextoNormalSangraFrancesa"/>
        <w:rPr>
          <w:rStyle w:val="TextoNormalCaracter"/>
        </w:rPr>
      </w:pPr>
      <w:bookmarkStart w:id="1420" w:name="DESCRIPTORALFABETICO383"/>
      <w:r w:rsidRPr="00AD3C82">
        <w:rPr>
          <w:rStyle w:val="TextoNormalNegritaCaracter"/>
        </w:rPr>
        <w:t>Poder constituyente</w:t>
      </w:r>
      <w:bookmarkEnd w:id="1420"/>
      <w:r w:rsidRPr="00AD3C82">
        <w:rPr>
          <w:rStyle w:val="TextoNormalCaracter"/>
        </w:rPr>
        <w:t xml:space="preserve">, Auto </w:t>
      </w:r>
      <w:hyperlink w:anchor="AUTO_2016_141" w:history="1">
        <w:r w:rsidRPr="00AD3C82">
          <w:rPr>
            <w:rStyle w:val="TextoNormalCaracter"/>
          </w:rPr>
          <w:t>141/2016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421" w:name="DESCRIPTORALFABETICO308"/>
      <w:r w:rsidRPr="00AD3C82">
        <w:rPr>
          <w:rStyle w:val="TextoNormalNegritaCaracter"/>
        </w:rPr>
        <w:t>Poder judicial</w:t>
      </w:r>
      <w:bookmarkEnd w:id="1421"/>
      <w:r w:rsidRPr="00AD3C82">
        <w:rPr>
          <w:rStyle w:val="TextoNormalCaracter"/>
        </w:rPr>
        <w:t xml:space="preserve">, Auto </w:t>
      </w:r>
      <w:hyperlink w:anchor="AUTO_2016_180" w:history="1">
        <w:r w:rsidRPr="00AD3C82">
          <w:rPr>
            <w:rStyle w:val="TextoNormalCaracter"/>
          </w:rPr>
          <w:t>180/2016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422" w:name="DESCRIPTORALFABETICO363"/>
      <w:r w:rsidRPr="00AD3C82">
        <w:rPr>
          <w:rStyle w:val="TextoNormalNegritaCaracter"/>
        </w:rPr>
        <w:t>Política de perspectiva de género</w:t>
      </w:r>
      <w:bookmarkEnd w:id="1422"/>
      <w:r w:rsidRPr="00AD3C82">
        <w:rPr>
          <w:rStyle w:val="TextoNormalCaracter"/>
        </w:rPr>
        <w:t xml:space="preserve">, Sentencia </w:t>
      </w:r>
      <w:hyperlink w:anchor="SENTENCIA_2016_159" w:history="1">
        <w:r w:rsidRPr="00AD3C82">
          <w:rPr>
            <w:rStyle w:val="TextoNormalCaracter"/>
          </w:rPr>
          <w:t>159/2016</w:t>
        </w:r>
      </w:hyperlink>
      <w:r w:rsidRPr="00AD3C82">
        <w:rPr>
          <w:rStyle w:val="TextoNormalCaracter"/>
        </w:rPr>
        <w:t>, ff. 1 a 9.</w:t>
      </w:r>
    </w:p>
    <w:p w:rsidR="00AD3C82" w:rsidRPr="00AD3C82" w:rsidRDefault="00AD3C82" w:rsidP="00AD3C82">
      <w:pPr>
        <w:pStyle w:val="TextoNormalSangraFrancesa"/>
        <w:rPr>
          <w:rStyle w:val="TextoNormalCaracter"/>
        </w:rPr>
      </w:pPr>
      <w:bookmarkStart w:id="1423" w:name="DESCRIPTORALFABETICO83"/>
      <w:r w:rsidRPr="00AD3C82">
        <w:rPr>
          <w:rStyle w:val="TextoNormalNegritaCaracter"/>
        </w:rPr>
        <w:t>Política económica</w:t>
      </w:r>
      <w:bookmarkEnd w:id="1423"/>
      <w:r w:rsidRPr="00AD3C82">
        <w:rPr>
          <w:rStyle w:val="TextoNormalCaracter"/>
        </w:rPr>
        <w:t xml:space="preserve">, Sentencia </w:t>
      </w:r>
      <w:hyperlink w:anchor="SENTENCIA_2016_194" w:history="1">
        <w:r w:rsidRPr="00AD3C82">
          <w:rPr>
            <w:rStyle w:val="TextoNormalCaracter"/>
          </w:rPr>
          <w:t>194/2016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1424" w:name="DESCRIPTORALFABETICO376"/>
      <w:r w:rsidRPr="00AD3C82">
        <w:rPr>
          <w:rStyle w:val="TextoNormalNegritaCaracter"/>
        </w:rPr>
        <w:t>Ponderación de intereses</w:t>
      </w:r>
      <w:bookmarkEnd w:id="1424"/>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1425" w:name="DESCRIPTORALFABETICO377"/>
      <w:r w:rsidRPr="00AD3C82">
        <w:rPr>
          <w:rStyle w:val="TextoNormalNegritaCaracter"/>
        </w:rPr>
        <w:t>Ponderación de las circunstancias</w:t>
      </w:r>
      <w:bookmarkEnd w:id="1425"/>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5, 6; </w:t>
      </w:r>
      <w:hyperlink w:anchor="SENTENCIA_2016_201" w:history="1">
        <w:r w:rsidRPr="00AD3C82">
          <w:rPr>
            <w:rStyle w:val="TextoNormalCaracter"/>
          </w:rPr>
          <w:t>201/2016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426" w:name="DESCRIPTORALFABETICO334"/>
      <w:r w:rsidRPr="00AD3C82">
        <w:rPr>
          <w:rStyle w:val="TextoNormalNegritaCaracter"/>
        </w:rPr>
        <w:t>Portavoces parlamentarios</w:t>
      </w:r>
      <w:bookmarkEnd w:id="1426"/>
      <w:r w:rsidRPr="00AD3C82">
        <w:rPr>
          <w:rStyle w:val="TextoNormalCaracter"/>
        </w:rPr>
        <w:t xml:space="preserve">, Sentencia </w:t>
      </w:r>
      <w:hyperlink w:anchor="SENTENCIA_2016_212" w:history="1">
        <w:r w:rsidRPr="00AD3C82">
          <w:rPr>
            <w:rStyle w:val="TextoNormalCaracter"/>
          </w:rPr>
          <w:t>212/2016</w:t>
        </w:r>
      </w:hyperlink>
      <w:r w:rsidRPr="00AD3C82">
        <w:rPr>
          <w:rStyle w:val="TextoNormalCaracter"/>
        </w:rPr>
        <w:t>, f. 1.</w:t>
      </w:r>
    </w:p>
    <w:p w:rsidR="00AD3C82" w:rsidRPr="00AD3C82" w:rsidRDefault="00AD3C82" w:rsidP="00AD3C82">
      <w:pPr>
        <w:pStyle w:val="TextoNormalSangraFrancesa"/>
        <w:rPr>
          <w:rStyle w:val="TextoNormalCaracter"/>
        </w:rPr>
      </w:pPr>
      <w:bookmarkStart w:id="1427" w:name="DESCRIPTORALFABETICO298"/>
      <w:r w:rsidRPr="00AD3C82">
        <w:rPr>
          <w:rStyle w:val="TextoNormalNegritaCaracter"/>
        </w:rPr>
        <w:t>Potestad sancionadora</w:t>
      </w:r>
      <w:bookmarkEnd w:id="1427"/>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ff. 5, 6; </w:t>
      </w:r>
      <w:hyperlink w:anchor="SENTENCIA_2016_142" w:history="1">
        <w:r w:rsidRPr="00AD3C82">
          <w:rPr>
            <w:rStyle w:val="TextoNormalCaracter"/>
          </w:rPr>
          <w:t>142/2016</w:t>
        </w:r>
      </w:hyperlink>
      <w:r w:rsidRPr="00AD3C82">
        <w:rPr>
          <w:rStyle w:val="TextoNormalCaracter"/>
        </w:rPr>
        <w:t xml:space="preserve">, ff. 3, 4; </w:t>
      </w:r>
      <w:hyperlink w:anchor="SENTENCIA_2016_186" w:history="1">
        <w:r w:rsidRPr="00AD3C82">
          <w:rPr>
            <w:rStyle w:val="TextoNormalCaracter"/>
          </w:rPr>
          <w:t>186/2016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428" w:name="DESCRIPTORALFABETICO25"/>
      <w:r w:rsidRPr="00AD3C82">
        <w:rPr>
          <w:rStyle w:val="TextoNormalNegritaCaracter"/>
        </w:rPr>
        <w:t>Potestades ejecutivas</w:t>
      </w:r>
      <w:bookmarkEnd w:id="1428"/>
      <w:r w:rsidRPr="00AD3C82">
        <w:rPr>
          <w:rStyle w:val="TextoNormalCaracter"/>
        </w:rPr>
        <w:t xml:space="preserve">, Sentencias </w:t>
      </w:r>
      <w:hyperlink w:anchor="SENTENCIA_2016_165" w:history="1">
        <w:r w:rsidRPr="00AD3C82">
          <w:rPr>
            <w:rStyle w:val="TextoNormalCaracter"/>
          </w:rPr>
          <w:t>165/2016</w:t>
        </w:r>
      </w:hyperlink>
      <w:r w:rsidRPr="00AD3C82">
        <w:rPr>
          <w:rStyle w:val="TextoNormalCaracter"/>
        </w:rPr>
        <w:t xml:space="preserve">, ff. 9 a 15, VP; </w:t>
      </w:r>
      <w:hyperlink w:anchor="SENTENCIA_2016_182" w:history="1">
        <w:r w:rsidRPr="00AD3C82">
          <w:rPr>
            <w:rStyle w:val="TextoNormalCaracter"/>
          </w:rPr>
          <w:t>182/2016</w:t>
        </w:r>
      </w:hyperlink>
      <w:r w:rsidRPr="00AD3C82">
        <w:rPr>
          <w:rStyle w:val="TextoNormalCaracter"/>
        </w:rPr>
        <w:t>, ff. 1-4, VP.</w:t>
      </w:r>
    </w:p>
    <w:p w:rsidR="00AD3C82" w:rsidRPr="00AD3C82" w:rsidRDefault="00AD3C82" w:rsidP="00AD3C82">
      <w:pPr>
        <w:pStyle w:val="TextoNormalSangraFrancesa"/>
        <w:rPr>
          <w:rStyle w:val="TextoNormalCaracter"/>
        </w:rPr>
      </w:pPr>
      <w:bookmarkStart w:id="1429" w:name="DESCRIPTORALFABETICO624"/>
      <w:r w:rsidRPr="00AD3C82">
        <w:rPr>
          <w:rStyle w:val="TextoNormalNegritaCaracter"/>
        </w:rPr>
        <w:t>Práctica sin contradicción</w:t>
      </w:r>
      <w:bookmarkEnd w:id="1429"/>
      <w:r w:rsidRPr="00AD3C82">
        <w:rPr>
          <w:rStyle w:val="TextoNormalCaracter"/>
        </w:rPr>
        <w:t xml:space="preserve">, Sentencia </w:t>
      </w:r>
      <w:hyperlink w:anchor="SENTENCIA_2016_161" w:history="1">
        <w:r w:rsidRPr="00AD3C82">
          <w:rPr>
            <w:rStyle w:val="TextoNormalCaracter"/>
          </w:rPr>
          <w:t>161/2016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430" w:name="DESCRIPTORALFABETICO536"/>
      <w:r w:rsidRPr="00AD3C82">
        <w:rPr>
          <w:rStyle w:val="TextoNormalNegritaCaracter"/>
        </w:rPr>
        <w:t>Preámbulo de textos legales</w:t>
      </w:r>
      <w:bookmarkEnd w:id="1430"/>
      <w:r w:rsidRPr="00AD3C82">
        <w:rPr>
          <w:rStyle w:val="TextoNormalCaracter"/>
        </w:rPr>
        <w:t xml:space="preserve">, Sentencia </w:t>
      </w:r>
      <w:hyperlink w:anchor="SENTENCIA_2016_170" w:history="1">
        <w:r w:rsidRPr="00AD3C82">
          <w:rPr>
            <w:rStyle w:val="TextoNormalCaracter"/>
          </w:rPr>
          <w:t>170/2016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431" w:name="DESCRIPTORALFABETICO599"/>
      <w:r w:rsidRPr="00AD3C82">
        <w:rPr>
          <w:rStyle w:val="TextoNormalNegritaCaracter"/>
        </w:rPr>
        <w:t>Prescripción de acción de responsabilidad civil</w:t>
      </w:r>
      <w:bookmarkEnd w:id="1431"/>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1432" w:name="DESCRIPTORALFABETICO472"/>
      <w:r w:rsidRPr="00AD3C82">
        <w:rPr>
          <w:rStyle w:val="TextoNormalNegritaCaracter"/>
        </w:rPr>
        <w:t>Prescripción de delitos</w:t>
      </w:r>
      <w:bookmarkEnd w:id="1432"/>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1 a 3, 5.</w:t>
      </w:r>
    </w:p>
    <w:p w:rsidR="00AD3C82" w:rsidRPr="00AD3C82" w:rsidRDefault="00AD3C82" w:rsidP="00AD3C82">
      <w:pPr>
        <w:pStyle w:val="TextoNormalSangraFrancesa"/>
        <w:rPr>
          <w:rStyle w:val="TextoNormalCaracter"/>
        </w:rPr>
      </w:pPr>
      <w:bookmarkStart w:id="1433" w:name="DESCRIPTORALFABETICO437"/>
      <w:r w:rsidRPr="00AD3C82">
        <w:rPr>
          <w:rStyle w:val="TextoNormalNegritaCaracter"/>
        </w:rPr>
        <w:t>Prescripción de infracciones administrativas</w:t>
      </w:r>
      <w:bookmarkEnd w:id="1433"/>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 10; </w:t>
      </w:r>
      <w:hyperlink w:anchor="SENTENCIA_2016_204" w:history="1">
        <w:r w:rsidRPr="00AD3C82">
          <w:rPr>
            <w:rStyle w:val="TextoNormalCaracter"/>
          </w:rPr>
          <w:t>204/2016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434" w:name="DESCRIPTORALFABETICO440"/>
      <w:r w:rsidRPr="00AD3C82">
        <w:rPr>
          <w:rStyle w:val="TextoNormalNegritaCaracter"/>
        </w:rPr>
        <w:t>Prescripción de sanciones administrativas</w:t>
      </w:r>
      <w:bookmarkEnd w:id="1434"/>
      <w:r w:rsidRPr="00AD3C82">
        <w:rPr>
          <w:rStyle w:val="TextoNormalCaracter"/>
        </w:rPr>
        <w:t xml:space="preserve">, Sentencia </w:t>
      </w:r>
      <w:hyperlink w:anchor="SENTENCIA_2016_142" w:history="1">
        <w:r w:rsidRPr="00AD3C82">
          <w:rPr>
            <w:rStyle w:val="TextoNormalCaracter"/>
          </w:rPr>
          <w:t>142/2016</w:t>
        </w:r>
      </w:hyperlink>
      <w:r w:rsidRPr="00AD3C82">
        <w:rPr>
          <w:rStyle w:val="TextoNormalCaracter"/>
        </w:rPr>
        <w:t>, f. 10.</w:t>
      </w:r>
    </w:p>
    <w:p w:rsidR="00AD3C82" w:rsidRPr="00AD3C82" w:rsidRDefault="00AD3C82" w:rsidP="00AD3C82">
      <w:pPr>
        <w:pStyle w:val="TextoNormalSangraFrancesa"/>
        <w:rPr>
          <w:rStyle w:val="TextoNormalCaracter"/>
        </w:rPr>
      </w:pPr>
      <w:bookmarkStart w:id="1435" w:name="DESCRIPTORALFABETICO204"/>
      <w:r w:rsidRPr="00AD3C82">
        <w:rPr>
          <w:rStyle w:val="TextoNormalNegritaCaracter"/>
        </w:rPr>
        <w:t>Presentación en la oficina de registro de tribunales civiles</w:t>
      </w:r>
      <w:bookmarkEnd w:id="1435"/>
      <w:r w:rsidRPr="00AD3C82">
        <w:rPr>
          <w:rStyle w:val="TextoNormalCaracter"/>
        </w:rPr>
        <w:t xml:space="preserve">, Sentencia </w:t>
      </w:r>
      <w:hyperlink w:anchor="SENTENCIA_2016_136" w:history="1">
        <w:r w:rsidRPr="00AD3C82">
          <w:rPr>
            <w:rStyle w:val="TextoNormalCaracter"/>
          </w:rPr>
          <w:t>136/2016</w:t>
        </w:r>
      </w:hyperlink>
      <w:r w:rsidRPr="00AD3C82">
        <w:rPr>
          <w:rStyle w:val="TextoNormalCaracter"/>
        </w:rPr>
        <w:t>, f. 3.</w:t>
      </w:r>
    </w:p>
    <w:p w:rsidR="00AD3C82" w:rsidRPr="00AD3C82" w:rsidRDefault="00AD3C82" w:rsidP="00AD3C82">
      <w:pPr>
        <w:pStyle w:val="TextoNormalSangraFrancesa"/>
        <w:rPr>
          <w:rStyle w:val="TextoNormalCaracter"/>
        </w:rPr>
      </w:pPr>
      <w:bookmarkStart w:id="1436" w:name="DESCRIPTORALFABETICO314"/>
      <w:r w:rsidRPr="00AD3C82">
        <w:rPr>
          <w:rStyle w:val="TextoNormalNegritaCaracter"/>
        </w:rPr>
        <w:t>Presidente del Tribunal Supremo</w:t>
      </w:r>
      <w:bookmarkEnd w:id="1436"/>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ff. 4 a 6, 9, 10.</w:t>
      </w:r>
    </w:p>
    <w:p w:rsidR="00AD3C82" w:rsidRPr="00AD3C82" w:rsidRDefault="00AD3C82" w:rsidP="00AD3C82">
      <w:pPr>
        <w:pStyle w:val="TextoNormalSangraFrancesa"/>
        <w:rPr>
          <w:rStyle w:val="TextoNormalCaracter"/>
        </w:rPr>
      </w:pPr>
      <w:bookmarkStart w:id="1437" w:name="DESCRIPTORALFABETICO343"/>
      <w:r w:rsidRPr="00AD3C82">
        <w:rPr>
          <w:rStyle w:val="TextoNormalNegritaCaracter"/>
        </w:rPr>
        <w:t>Presidentes de las Asambleas legislativas de las Comunidades Autónomas</w:t>
      </w:r>
      <w:bookmarkEnd w:id="1437"/>
      <w:r w:rsidRPr="00AD3C82">
        <w:rPr>
          <w:rStyle w:val="TextoNormalCaracter"/>
        </w:rPr>
        <w:t xml:space="preserve">, Sentencia </w:t>
      </w:r>
      <w:hyperlink w:anchor="SENTENCIA_2016_199" w:history="1">
        <w:r w:rsidRPr="00AD3C82">
          <w:rPr>
            <w:rStyle w:val="TextoNormalCaracter"/>
          </w:rPr>
          <w:t>199/2016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438" w:name="DESCRIPTORALFABETICO573"/>
      <w:r w:rsidRPr="00AD3C82">
        <w:rPr>
          <w:rStyle w:val="TextoNormalNegritaCaracter"/>
        </w:rPr>
        <w:t>Prestaciones a personas en situación de dependencia</w:t>
      </w:r>
      <w:bookmarkEnd w:id="1438"/>
      <w:r w:rsidRPr="00AD3C82">
        <w:rPr>
          <w:rStyle w:val="TextoNormalCaracter"/>
        </w:rPr>
        <w:t xml:space="preserve">, Sentencias </w:t>
      </w:r>
      <w:hyperlink w:anchor="SENTENCIA_2016_179" w:history="1">
        <w:r w:rsidRPr="00AD3C82">
          <w:rPr>
            <w:rStyle w:val="TextoNormalCaracter"/>
          </w:rPr>
          <w:t>179/2016</w:t>
        </w:r>
      </w:hyperlink>
      <w:r w:rsidRPr="00AD3C82">
        <w:rPr>
          <w:rStyle w:val="TextoNormalCaracter"/>
        </w:rPr>
        <w:t xml:space="preserve">, f. 3; </w:t>
      </w:r>
      <w:hyperlink w:anchor="SENTENCIA_2016_194" w:history="1">
        <w:r w:rsidRPr="00AD3C82">
          <w:rPr>
            <w:rStyle w:val="TextoNormalCaracter"/>
          </w:rPr>
          <w:t>194/2016</w:t>
        </w:r>
      </w:hyperlink>
      <w:r w:rsidRPr="00AD3C82">
        <w:rPr>
          <w:rStyle w:val="TextoNormalCaracter"/>
        </w:rPr>
        <w:t>, f. 1.</w:t>
      </w:r>
    </w:p>
    <w:p w:rsidR="00AD3C82" w:rsidRPr="00AD3C82" w:rsidRDefault="00AD3C82" w:rsidP="00AD3C82">
      <w:pPr>
        <w:pStyle w:val="TextoNormalSangraFrancesa"/>
        <w:rPr>
          <w:rStyle w:val="TextoNormalCaracter"/>
        </w:rPr>
      </w:pPr>
      <w:bookmarkStart w:id="1439" w:name="DESCRIPTORALFABETICO568"/>
      <w:r w:rsidRPr="00AD3C82">
        <w:rPr>
          <w:rStyle w:val="TextoNormalNegritaCaracter"/>
        </w:rPr>
        <w:t>Prestaciones de la Seguridad Social</w:t>
      </w:r>
      <w:bookmarkEnd w:id="1439"/>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9.</w:t>
      </w:r>
    </w:p>
    <w:p w:rsidR="00AD3C82" w:rsidRPr="00AD3C82" w:rsidRDefault="00AD3C82" w:rsidP="00AD3C82">
      <w:pPr>
        <w:pStyle w:val="TextoNormalSangraFrancesa"/>
        <w:rPr>
          <w:rStyle w:val="TextoNormalCaracter"/>
        </w:rPr>
      </w:pPr>
      <w:bookmarkStart w:id="1440" w:name="DESCRIPTORALFABETICO69"/>
      <w:r w:rsidRPr="00AD3C82">
        <w:rPr>
          <w:rStyle w:val="TextoNormalNegritaCaracter"/>
        </w:rPr>
        <w:t>Prestaciones patrimoniales de carácter público</w:t>
      </w:r>
      <w:bookmarkEnd w:id="1440"/>
      <w:r w:rsidRPr="00AD3C82">
        <w:rPr>
          <w:rStyle w:val="TextoNormalCaracter"/>
        </w:rPr>
        <w:t xml:space="preserve">, Sentencias </w:t>
      </w:r>
      <w:hyperlink w:anchor="SENTENCIA_2016_139" w:history="1">
        <w:r w:rsidRPr="00AD3C82">
          <w:rPr>
            <w:rStyle w:val="TextoNormalCaracter"/>
          </w:rPr>
          <w:t>139/2016</w:t>
        </w:r>
      </w:hyperlink>
      <w:r w:rsidRPr="00AD3C82">
        <w:rPr>
          <w:rStyle w:val="TextoNormalCaracter"/>
        </w:rPr>
        <w:t xml:space="preserve">, f. 6; </w:t>
      </w:r>
      <w:hyperlink w:anchor="SENTENCIA_2016_196" w:history="1">
        <w:r w:rsidRPr="00AD3C82">
          <w:rPr>
            <w:rStyle w:val="TextoNormalCaracter"/>
          </w:rPr>
          <w:t>196/2016</w:t>
        </w:r>
      </w:hyperlink>
      <w:r w:rsidRPr="00AD3C82">
        <w:rPr>
          <w:rStyle w:val="TextoNormalCaracter"/>
        </w:rPr>
        <w:t xml:space="preserve">, ff. 1 a 4; </w:t>
      </w:r>
      <w:hyperlink w:anchor="SENTENCIA_2016_197" w:history="1">
        <w:r w:rsidRPr="00AD3C82">
          <w:rPr>
            <w:rStyle w:val="TextoNormalCaracter"/>
          </w:rPr>
          <w:t>197/2016</w:t>
        </w:r>
      </w:hyperlink>
      <w:r w:rsidRPr="00AD3C82">
        <w:rPr>
          <w:rStyle w:val="TextoNormalCaracter"/>
        </w:rPr>
        <w:t xml:space="preserve">, ff. 1 a 3; </w:t>
      </w:r>
      <w:hyperlink w:anchor="SENTENCIA_2016_198" w:history="1">
        <w:r w:rsidRPr="00AD3C82">
          <w:rPr>
            <w:rStyle w:val="TextoNormalCaracter"/>
          </w:rPr>
          <w:t>198/2016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441" w:name="DESCRIPTORALFABETICO572"/>
      <w:r w:rsidRPr="00AD3C82">
        <w:rPr>
          <w:rStyle w:val="TextoNormalNegritaCaracter"/>
        </w:rPr>
        <w:t>Prestaciones sociales</w:t>
      </w:r>
      <w:bookmarkEnd w:id="1441"/>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9 B) y C).</w:t>
      </w:r>
    </w:p>
    <w:p w:rsidR="00AD3C82" w:rsidRPr="00AD3C82" w:rsidRDefault="00AD3C82" w:rsidP="00AD3C82">
      <w:pPr>
        <w:pStyle w:val="TextoNormalSangraFrancesa"/>
        <w:rPr>
          <w:rStyle w:val="TextoNormalCaracter"/>
        </w:rPr>
      </w:pPr>
      <w:bookmarkStart w:id="1442" w:name="DESCRIPTORALFABETICO495"/>
      <w:r w:rsidRPr="00AD3C82">
        <w:rPr>
          <w:rStyle w:val="TextoNormalNegritaCaracter"/>
        </w:rPr>
        <w:t>Presupuesto habilitante</w:t>
      </w:r>
      <w:bookmarkEnd w:id="1442"/>
      <w:r w:rsidRPr="00AD3C82">
        <w:rPr>
          <w:rStyle w:val="TextoNormalCaracter"/>
        </w:rPr>
        <w:t xml:space="preserve">, Sentencias </w:t>
      </w:r>
      <w:hyperlink w:anchor="SENTENCIA_2016_139" w:history="1">
        <w:r w:rsidRPr="00AD3C82">
          <w:rPr>
            <w:rStyle w:val="TextoNormalCaracter"/>
          </w:rPr>
          <w:t>139/2016</w:t>
        </w:r>
      </w:hyperlink>
      <w:r w:rsidRPr="00AD3C82">
        <w:rPr>
          <w:rStyle w:val="TextoNormalCaracter"/>
        </w:rPr>
        <w:t xml:space="preserve">, ff. 3 a 5, VP I, VP II; </w:t>
      </w:r>
      <w:hyperlink w:anchor="SENTENCIA_2016_183" w:history="1">
        <w:r w:rsidRPr="00AD3C82">
          <w:rPr>
            <w:rStyle w:val="TextoNormalCaracter"/>
          </w:rPr>
          <w:t>183/2016</w:t>
        </w:r>
      </w:hyperlink>
      <w:r w:rsidRPr="00AD3C82">
        <w:rPr>
          <w:rStyle w:val="TextoNormalCaracter"/>
        </w:rPr>
        <w:t xml:space="preserve">, ff. 2 a 3; </w:t>
      </w:r>
      <w:hyperlink w:anchor="SENTENCIA_2016_195" w:history="1">
        <w:r w:rsidRPr="00AD3C82">
          <w:rPr>
            <w:rStyle w:val="TextoNormalCaracter"/>
          </w:rPr>
          <w:t>195/2016</w:t>
        </w:r>
      </w:hyperlink>
      <w:r w:rsidRPr="00AD3C82">
        <w:rPr>
          <w:rStyle w:val="TextoNormalCaracter"/>
        </w:rPr>
        <w:t>, ff. 3, VP I.</w:t>
      </w:r>
    </w:p>
    <w:p w:rsidR="00AD3C82" w:rsidRPr="00AD3C82" w:rsidRDefault="00AD3C82" w:rsidP="00AD3C82">
      <w:pPr>
        <w:pStyle w:val="TextoNormalSangraFrancesa"/>
        <w:rPr>
          <w:rStyle w:val="TextoNormalCaracter"/>
        </w:rPr>
      </w:pPr>
      <w:bookmarkStart w:id="1443" w:name="DESCRIPTORALFABETICO84"/>
      <w:r w:rsidRPr="00AD3C82">
        <w:rPr>
          <w:rStyle w:val="TextoNormalNegritaCaracter"/>
        </w:rPr>
        <w:t>Presupuestos públicos</w:t>
      </w:r>
      <w:bookmarkEnd w:id="1443"/>
      <w:r w:rsidRPr="00AD3C82">
        <w:rPr>
          <w:rStyle w:val="TextoNormalCaracter"/>
        </w:rPr>
        <w:t xml:space="preserve">, Sentencias </w:t>
      </w:r>
      <w:hyperlink w:anchor="SENTENCIA_2016_126" w:history="1">
        <w:r w:rsidRPr="00AD3C82">
          <w:rPr>
            <w:rStyle w:val="TextoNormalCaracter"/>
          </w:rPr>
          <w:t>126/2016</w:t>
        </w:r>
      </w:hyperlink>
      <w:r w:rsidRPr="00AD3C82">
        <w:rPr>
          <w:rStyle w:val="TextoNormalCaracter"/>
        </w:rPr>
        <w:t xml:space="preserve">, ff. 1, 3 a 6; </w:t>
      </w:r>
      <w:hyperlink w:anchor="SENTENCIA_2016_169" w:history="1">
        <w:r w:rsidRPr="00AD3C82">
          <w:rPr>
            <w:rStyle w:val="TextoNormalCaracter"/>
          </w:rPr>
          <w:t>169/2016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444" w:name="DESCRIPTORALFABETICO471"/>
      <w:r w:rsidRPr="00AD3C82">
        <w:rPr>
          <w:rStyle w:val="TextoNormalNegritaCaracter"/>
        </w:rPr>
        <w:t>Prevaricación</w:t>
      </w:r>
      <w:bookmarkEnd w:id="1444"/>
      <w:r w:rsidRPr="00AD3C82">
        <w:rPr>
          <w:rStyle w:val="TextoNormalCaracter"/>
        </w:rPr>
        <w:t xml:space="preserve">, Sentencia </w:t>
      </w:r>
      <w:hyperlink w:anchor="SENTENCIA_2016_172" w:history="1">
        <w:r w:rsidRPr="00AD3C82">
          <w:rPr>
            <w:rStyle w:val="TextoNormalCaracter"/>
          </w:rPr>
          <w:t>172/2016</w:t>
        </w:r>
      </w:hyperlink>
      <w:r w:rsidRPr="00AD3C82">
        <w:rPr>
          <w:rStyle w:val="TextoNormalCaracter"/>
        </w:rPr>
        <w:t>, f. 1, 3, 5, 6, 9 a 11, VP.</w:t>
      </w:r>
    </w:p>
    <w:p w:rsidR="00AD3C82" w:rsidRPr="00AD3C82" w:rsidRDefault="00AD3C82" w:rsidP="00AD3C82">
      <w:pPr>
        <w:pStyle w:val="TextoNormalSangraFrancesa"/>
        <w:rPr>
          <w:rStyle w:val="TextoNormalCaracter"/>
        </w:rPr>
      </w:pPr>
      <w:bookmarkStart w:id="1445" w:name="DESCRIPTORALFABETICO579"/>
      <w:r w:rsidRPr="00AD3C82">
        <w:rPr>
          <w:rStyle w:val="TextoNormalNegritaCaracter"/>
        </w:rPr>
        <w:t>Prevención de riesgos laborales</w:t>
      </w:r>
      <w:bookmarkEnd w:id="1445"/>
      <w:r w:rsidRPr="00AD3C82">
        <w:rPr>
          <w:rStyle w:val="TextoNormalCaracter"/>
        </w:rPr>
        <w:t xml:space="preserve">, Sentencia </w:t>
      </w:r>
      <w:hyperlink w:anchor="SENTENCIA_2016_159" w:history="1">
        <w:r w:rsidRPr="00AD3C82">
          <w:rPr>
            <w:rStyle w:val="TextoNormalCaracter"/>
          </w:rPr>
          <w:t>159/2016</w:t>
        </w:r>
      </w:hyperlink>
      <w:r w:rsidRPr="00AD3C82">
        <w:rPr>
          <w:rStyle w:val="TextoNormalCaracter"/>
        </w:rPr>
        <w:t>, f. 8.</w:t>
      </w:r>
    </w:p>
    <w:p w:rsidR="00AD3C82" w:rsidRPr="00AD3C82" w:rsidRDefault="00AD3C82" w:rsidP="00AD3C82">
      <w:pPr>
        <w:pStyle w:val="TextoNormalSangraFrancesa"/>
        <w:rPr>
          <w:rStyle w:val="TextoNormalCaracter"/>
        </w:rPr>
      </w:pPr>
      <w:bookmarkStart w:id="1446" w:name="DESCRIPTORALFABETICO688"/>
      <w:r w:rsidRPr="00AD3C82">
        <w:rPr>
          <w:rStyle w:val="TextoNormalNegritaCaracter"/>
        </w:rPr>
        <w:t>Principado de Asturias</w:t>
      </w:r>
      <w:bookmarkEnd w:id="1446"/>
      <w:r w:rsidRPr="00AD3C82">
        <w:rPr>
          <w:rStyle w:val="TextoNormalCaracter"/>
        </w:rPr>
        <w:t xml:space="preserve">, Sentencia </w:t>
      </w:r>
      <w:hyperlink w:anchor="SENTENCIA_2016_183" w:history="1">
        <w:r w:rsidRPr="00AD3C82">
          <w:rPr>
            <w:rStyle w:val="TextoNormalCaracter"/>
          </w:rPr>
          <w:t>183/2016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447" w:name="DESCRIPTORALFABETICO357"/>
      <w:r w:rsidRPr="00AD3C82">
        <w:rPr>
          <w:rStyle w:val="TextoNormalNegritaCaracter"/>
        </w:rPr>
        <w:t>Principio de autonomía</w:t>
      </w:r>
      <w:bookmarkEnd w:id="1447"/>
      <w:r w:rsidRPr="00AD3C82">
        <w:rPr>
          <w:rStyle w:val="TextoNormalCaracter"/>
        </w:rPr>
        <w:t xml:space="preserve">, Sentencia </w:t>
      </w:r>
      <w:hyperlink w:anchor="SENTENCIA_2016_215" w:history="1">
        <w:r w:rsidRPr="00AD3C82">
          <w:rPr>
            <w:rStyle w:val="TextoNormalCaracter"/>
          </w:rPr>
          <w:t>215/2016</w:t>
        </w:r>
      </w:hyperlink>
      <w:r w:rsidRPr="00AD3C82">
        <w:rPr>
          <w:rStyle w:val="TextoNormalCaracter"/>
        </w:rPr>
        <w:t>, f. 12.</w:t>
      </w:r>
    </w:p>
    <w:p w:rsidR="00AD3C82" w:rsidRPr="00AD3C82" w:rsidRDefault="00AD3C82" w:rsidP="00AD3C82">
      <w:pPr>
        <w:pStyle w:val="TextoNormalSangraFrancesa"/>
        <w:rPr>
          <w:rStyle w:val="TextoNormalCaracter"/>
        </w:rPr>
      </w:pPr>
      <w:bookmarkStart w:id="1448" w:name="DESCRIPTORALFABETICO97"/>
      <w:r w:rsidRPr="00AD3C82">
        <w:rPr>
          <w:rStyle w:val="TextoNormalNegritaCaracter"/>
        </w:rPr>
        <w:t>Principio de capacidad económica</w:t>
      </w:r>
      <w:bookmarkEnd w:id="1448"/>
      <w:r w:rsidRPr="00AD3C82">
        <w:rPr>
          <w:rStyle w:val="TextoNormalCaracter"/>
        </w:rPr>
        <w:t xml:space="preserve">, Sentencia </w:t>
      </w:r>
      <w:hyperlink w:anchor="SENTENCIA_2016_140" w:history="1">
        <w:r w:rsidRPr="00AD3C82">
          <w:rPr>
            <w:rStyle w:val="TextoNormalCaracter"/>
          </w:rPr>
          <w:t>140/2016</w:t>
        </w:r>
      </w:hyperlink>
      <w:r w:rsidRPr="00AD3C82">
        <w:rPr>
          <w:rStyle w:val="TextoNormalCaracter"/>
        </w:rPr>
        <w:t>, ff. 5, 14.</w:t>
      </w:r>
    </w:p>
    <w:p w:rsidR="00AD3C82" w:rsidRPr="00AD3C82" w:rsidRDefault="00AD3C82" w:rsidP="00AD3C82">
      <w:pPr>
        <w:pStyle w:val="TextoNormalSangraFrancesa"/>
        <w:rPr>
          <w:rStyle w:val="TextoNormalCaracter"/>
        </w:rPr>
      </w:pPr>
      <w:bookmarkStart w:id="1449" w:name="DESCRIPTORALFABETICO299"/>
      <w:r w:rsidRPr="00AD3C82">
        <w:rPr>
          <w:rStyle w:val="TextoNormalNegritaCaracter"/>
        </w:rPr>
        <w:t>Principio de cooperación</w:t>
      </w:r>
      <w:bookmarkEnd w:id="1449"/>
      <w:r w:rsidRPr="00AD3C82">
        <w:rPr>
          <w:rStyle w:val="TextoNormalCaracter"/>
        </w:rPr>
        <w:t xml:space="preserve">, Sentencia </w:t>
      </w:r>
      <w:hyperlink w:anchor="SENTENCIA_2016_217" w:history="1">
        <w:r w:rsidRPr="00AD3C82">
          <w:rPr>
            <w:rStyle w:val="TextoNormalCaracter"/>
          </w:rPr>
          <w:t>217/2016</w:t>
        </w:r>
      </w:hyperlink>
      <w:r w:rsidRPr="00AD3C82">
        <w:rPr>
          <w:rStyle w:val="TextoNormalCaracter"/>
        </w:rPr>
        <w:t>, ff. 3, 4, 5.</w:t>
      </w:r>
    </w:p>
    <w:p w:rsidR="00AD3C82" w:rsidRPr="00AD3C82" w:rsidRDefault="00AD3C82" w:rsidP="00AD3C82">
      <w:pPr>
        <w:pStyle w:val="TextoNormalSangraFrancesa"/>
        <w:rPr>
          <w:rStyle w:val="TextoNormalCaracter"/>
        </w:rPr>
      </w:pPr>
      <w:bookmarkStart w:id="1450" w:name="DESCRIPTORALFABETICO300"/>
      <w:r w:rsidRPr="00AD3C82">
        <w:rPr>
          <w:rStyle w:val="TextoNormalNegritaCaracter"/>
        </w:rPr>
        <w:t>Principio de coordinación</w:t>
      </w:r>
      <w:bookmarkEnd w:id="1450"/>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12.</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5" w:history="1">
        <w:r w:rsidRPr="00AD3C82">
          <w:rPr>
            <w:rStyle w:val="TextoNormalCaracter"/>
          </w:rPr>
          <w:t>145/2016</w:t>
        </w:r>
      </w:hyperlink>
      <w:r w:rsidRPr="00AD3C82">
        <w:rPr>
          <w:rStyle w:val="TextoNormalCaracter"/>
        </w:rPr>
        <w:t>, f. 4.</w:t>
      </w:r>
    </w:p>
    <w:p w:rsidR="00AD3C82" w:rsidRPr="00AD3C82" w:rsidRDefault="00AD3C82" w:rsidP="00AD3C82">
      <w:pPr>
        <w:pStyle w:val="TextoNormalSangraFrancesa"/>
        <w:rPr>
          <w:rStyle w:val="TextoNormalCaracter"/>
        </w:rPr>
      </w:pPr>
      <w:bookmarkStart w:id="1451" w:name="DESCRIPTORALFABETICO302"/>
      <w:r w:rsidRPr="00AD3C82">
        <w:rPr>
          <w:rStyle w:val="TextoNormalNegritaCaracter"/>
        </w:rPr>
        <w:t>Principio de eficiencia en el gasto público</w:t>
      </w:r>
      <w:bookmarkEnd w:id="1451"/>
      <w:r w:rsidRPr="00AD3C82">
        <w:rPr>
          <w:rStyle w:val="TextoNormalCaracter"/>
        </w:rPr>
        <w:t xml:space="preserve">, Sentencia </w:t>
      </w:r>
      <w:hyperlink w:anchor="SENTENCIA_2016_180" w:history="1">
        <w:r w:rsidRPr="00AD3C82">
          <w:rPr>
            <w:rStyle w:val="TextoNormalCaracter"/>
          </w:rPr>
          <w:t>180/2016</w:t>
        </w:r>
      </w:hyperlink>
      <w:r w:rsidRPr="00AD3C82">
        <w:rPr>
          <w:rStyle w:val="TextoNormalCaracter"/>
        </w:rPr>
        <w:t>, f. 7.</w:t>
      </w:r>
    </w:p>
    <w:p w:rsidR="00AD3C82" w:rsidRPr="00AD3C82" w:rsidRDefault="00AD3C82" w:rsidP="00AD3C82">
      <w:pPr>
        <w:pStyle w:val="TextoNormalSangraFrancesa"/>
        <w:rPr>
          <w:rStyle w:val="TextoNormalCaracter"/>
        </w:rPr>
      </w:pPr>
      <w:bookmarkStart w:id="1452" w:name="DESCRIPTORALFABETICO317"/>
      <w:r w:rsidRPr="00AD3C82">
        <w:rPr>
          <w:rStyle w:val="TextoNormalNegritaCaracter"/>
        </w:rPr>
        <w:t>Principio de exclusividad jurisdiccional</w:t>
      </w:r>
      <w:bookmarkEnd w:id="1452"/>
      <w:r w:rsidRPr="00AD3C82">
        <w:rPr>
          <w:rStyle w:val="TextoNormalCaracter"/>
        </w:rPr>
        <w:t xml:space="preserve">, Sentencia </w:t>
      </w:r>
      <w:hyperlink w:anchor="SENTENCIA_2016_170" w:history="1">
        <w:r w:rsidRPr="00AD3C82">
          <w:rPr>
            <w:rStyle w:val="TextoNormalCaracter"/>
          </w:rPr>
          <w:t>170/2016</w:t>
        </w:r>
      </w:hyperlink>
      <w:r w:rsidRPr="00AD3C82">
        <w:rPr>
          <w:rStyle w:val="TextoNormalCaracter"/>
        </w:rPr>
        <w:t>, f. 6.</w:t>
      </w:r>
    </w:p>
    <w:p w:rsidR="00AD3C82" w:rsidRPr="00AD3C82" w:rsidRDefault="00AD3C82" w:rsidP="00AD3C82">
      <w:pPr>
        <w:pStyle w:val="TextoNormalSangraFrancesa"/>
        <w:rPr>
          <w:rStyle w:val="TextoNormalCaracter"/>
        </w:rPr>
      </w:pPr>
      <w:bookmarkStart w:id="1453" w:name="DESCRIPTORALFABETICO361"/>
      <w:r w:rsidRPr="00AD3C82">
        <w:rPr>
          <w:rStyle w:val="TextoNormalNegritaCaracter"/>
        </w:rPr>
        <w:t>Principio de igualdad</w:t>
      </w:r>
      <w:bookmarkEnd w:id="1453"/>
      <w:r w:rsidRPr="00AD3C82">
        <w:rPr>
          <w:rStyle w:val="TextoNormalCaracter"/>
        </w:rPr>
        <w:t xml:space="preserve">, Sentencias </w:t>
      </w:r>
      <w:hyperlink w:anchor="SENTENCIA_2016_155" w:history="1">
        <w:r w:rsidRPr="00AD3C82">
          <w:rPr>
            <w:rStyle w:val="TextoNormalCaracter"/>
          </w:rPr>
          <w:t>155/2016</w:t>
        </w:r>
      </w:hyperlink>
      <w:r w:rsidRPr="00AD3C82">
        <w:rPr>
          <w:rStyle w:val="TextoNormalCaracter"/>
        </w:rPr>
        <w:t xml:space="preserve">, f. 7; </w:t>
      </w:r>
      <w:hyperlink w:anchor="SENTENCIA_2016_162" w:history="1">
        <w:r w:rsidRPr="00AD3C82">
          <w:rPr>
            <w:rStyle w:val="TextoNormalCaracter"/>
          </w:rPr>
          <w:t>162/2016</w:t>
        </w:r>
      </w:hyperlink>
      <w:r w:rsidRPr="00AD3C82">
        <w:rPr>
          <w:rStyle w:val="TextoNormalCaracter"/>
        </w:rPr>
        <w:t>, ff. 2, 4, 5.</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Sentencias </w:t>
      </w:r>
      <w:hyperlink w:anchor="SENTENCIA_2016_167" w:history="1">
        <w:r w:rsidRPr="00AD3C82">
          <w:rPr>
            <w:rStyle w:val="TextoNormalCaracter"/>
          </w:rPr>
          <w:t>167/2016</w:t>
        </w:r>
      </w:hyperlink>
      <w:r w:rsidRPr="00AD3C82">
        <w:rPr>
          <w:rStyle w:val="TextoNormalCaracter"/>
        </w:rPr>
        <w:t xml:space="preserve">, ff. 4 a 6; </w:t>
      </w:r>
      <w:hyperlink w:anchor="SENTENCIA_2016_174" w:history="1">
        <w:r w:rsidRPr="00AD3C82">
          <w:rPr>
            <w:rStyle w:val="TextoNormalCaracter"/>
          </w:rPr>
          <w:t>174/2016</w:t>
        </w:r>
      </w:hyperlink>
      <w:r w:rsidRPr="00AD3C82">
        <w:rPr>
          <w:rStyle w:val="TextoNormalCaracter"/>
        </w:rPr>
        <w:t xml:space="preserve">, f. 3; </w:t>
      </w:r>
      <w:hyperlink w:anchor="SENTENCIA_2016_187" w:history="1">
        <w:r w:rsidRPr="00AD3C82">
          <w:rPr>
            <w:rStyle w:val="TextoNormalCaracter"/>
          </w:rPr>
          <w:t>187/2016</w:t>
        </w:r>
      </w:hyperlink>
      <w:r w:rsidRPr="00AD3C82">
        <w:rPr>
          <w:rStyle w:val="TextoNormalCaracter"/>
        </w:rPr>
        <w:t xml:space="preserve">, ff. 1, 3; </w:t>
      </w:r>
      <w:hyperlink w:anchor="SENTENCIA_2016_188" w:history="1">
        <w:r w:rsidRPr="00AD3C82">
          <w:rPr>
            <w:rStyle w:val="TextoNormalCaracter"/>
          </w:rPr>
          <w:t>188/2016</w:t>
        </w:r>
      </w:hyperlink>
      <w:r w:rsidRPr="00AD3C82">
        <w:rPr>
          <w:rStyle w:val="TextoNormalCaracter"/>
        </w:rPr>
        <w:t xml:space="preserve">, ff. 1, 3; </w:t>
      </w:r>
      <w:hyperlink w:anchor="SENTENCIA_2016_196" w:history="1">
        <w:r w:rsidRPr="00AD3C82">
          <w:rPr>
            <w:rStyle w:val="TextoNormalCaracter"/>
          </w:rPr>
          <w:t>196/2016</w:t>
        </w:r>
      </w:hyperlink>
      <w:r w:rsidRPr="00AD3C82">
        <w:rPr>
          <w:rStyle w:val="TextoNormalCaracter"/>
        </w:rPr>
        <w:t xml:space="preserve">, f. 4; </w:t>
      </w:r>
      <w:hyperlink w:anchor="SENTENCIA_2016_197" w:history="1">
        <w:r w:rsidRPr="00AD3C82">
          <w:rPr>
            <w:rStyle w:val="TextoNormalCaracter"/>
          </w:rPr>
          <w:t>197/2016</w:t>
        </w:r>
      </w:hyperlink>
      <w:r w:rsidRPr="00AD3C82">
        <w:rPr>
          <w:rStyle w:val="TextoNormalCaracter"/>
        </w:rPr>
        <w:t xml:space="preserve">, ff. 1,3; </w:t>
      </w:r>
      <w:hyperlink w:anchor="SENTENCIA_2016_198" w:history="1">
        <w:r w:rsidRPr="00AD3C82">
          <w:rPr>
            <w:rStyle w:val="TextoNormalCaracter"/>
          </w:rPr>
          <w:t>198/2016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454" w:name="DESCRIPTORALFABETICO364"/>
      <w:r w:rsidRPr="00AD3C82">
        <w:rPr>
          <w:rStyle w:val="TextoNormalNegritaCaracter"/>
        </w:rPr>
        <w:t>Principio de interdicción de la arbitrariedad</w:t>
      </w:r>
      <w:bookmarkEnd w:id="1454"/>
      <w:r w:rsidRPr="00AD3C82">
        <w:rPr>
          <w:rStyle w:val="TextoNormalCaracter"/>
        </w:rPr>
        <w:t xml:space="preserve">, Auto </w:t>
      </w:r>
      <w:hyperlink w:anchor="AUTO_2016_187" w:history="1">
        <w:r w:rsidRPr="00AD3C82">
          <w:rPr>
            <w:rStyle w:val="TextoNormalCaracter"/>
          </w:rPr>
          <w:t>187/2016</w:t>
        </w:r>
      </w:hyperlink>
      <w:r w:rsidRPr="00AD3C82">
        <w:rPr>
          <w:rStyle w:val="TextoNormalCaracter"/>
        </w:rPr>
        <w:t>, ff. 5, 6.</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Sentencias </w:t>
      </w:r>
      <w:hyperlink w:anchor="SENTENCIA_2016_167" w:history="1">
        <w:r w:rsidRPr="00AD3C82">
          <w:rPr>
            <w:rStyle w:val="TextoNormalCaracter"/>
          </w:rPr>
          <w:t>167/2016</w:t>
        </w:r>
      </w:hyperlink>
      <w:r w:rsidRPr="00AD3C82">
        <w:rPr>
          <w:rStyle w:val="TextoNormalCaracter"/>
        </w:rPr>
        <w:t xml:space="preserve">, f. 7; </w:t>
      </w:r>
      <w:hyperlink w:anchor="SENTENCIA_2016_170" w:history="1">
        <w:r w:rsidRPr="00AD3C82">
          <w:rPr>
            <w:rStyle w:val="TextoNormalCaracter"/>
          </w:rPr>
          <w:t>170/2016</w:t>
        </w:r>
      </w:hyperlink>
      <w:r w:rsidRPr="00AD3C82">
        <w:rPr>
          <w:rStyle w:val="TextoNormalCaracter"/>
        </w:rPr>
        <w:t xml:space="preserve">, ff. 1, 4 a 6; </w:t>
      </w:r>
      <w:hyperlink w:anchor="SENTENCIA_2016_174" w:history="1">
        <w:r w:rsidRPr="00AD3C82">
          <w:rPr>
            <w:rStyle w:val="TextoNormalCaracter"/>
          </w:rPr>
          <w:t>174/2016</w:t>
        </w:r>
      </w:hyperlink>
      <w:r w:rsidRPr="00AD3C82">
        <w:rPr>
          <w:rStyle w:val="TextoNormalCaracter"/>
        </w:rPr>
        <w:t xml:space="preserve">, f. 3; </w:t>
      </w:r>
      <w:hyperlink w:anchor="SENTENCIA_2016_187" w:history="1">
        <w:r w:rsidRPr="00AD3C82">
          <w:rPr>
            <w:rStyle w:val="TextoNormalCaracter"/>
          </w:rPr>
          <w:t>187/2016</w:t>
        </w:r>
      </w:hyperlink>
      <w:r w:rsidRPr="00AD3C82">
        <w:rPr>
          <w:rStyle w:val="TextoNormalCaracter"/>
        </w:rPr>
        <w:t xml:space="preserve">, f. 1, 3; </w:t>
      </w:r>
      <w:hyperlink w:anchor="SENTENCIA_2016_188" w:history="1">
        <w:r w:rsidRPr="00AD3C82">
          <w:rPr>
            <w:rStyle w:val="TextoNormalCaracter"/>
          </w:rPr>
          <w:t>188/2016</w:t>
        </w:r>
      </w:hyperlink>
      <w:r w:rsidRPr="00AD3C82">
        <w:rPr>
          <w:rStyle w:val="TextoNormalCaracter"/>
        </w:rPr>
        <w:t xml:space="preserve">, f. 1, 3; </w:t>
      </w:r>
      <w:hyperlink w:anchor="SENTENCIA_2016_197" w:history="1">
        <w:r w:rsidRPr="00AD3C82">
          <w:rPr>
            <w:rStyle w:val="TextoNormalCaracter"/>
          </w:rPr>
          <w:t>197/2016</w:t>
        </w:r>
      </w:hyperlink>
      <w:r w:rsidRPr="00AD3C82">
        <w:rPr>
          <w:rStyle w:val="TextoNormalCaracter"/>
        </w:rPr>
        <w:t>, ff. 1, 3.</w:t>
      </w:r>
    </w:p>
    <w:p w:rsidR="00AD3C82" w:rsidRPr="00AD3C82" w:rsidRDefault="00AD3C82" w:rsidP="00AD3C82">
      <w:pPr>
        <w:pStyle w:val="TextoNormalSangraFrancesa"/>
        <w:rPr>
          <w:rStyle w:val="TextoNormalCaracter"/>
        </w:rPr>
      </w:pPr>
      <w:bookmarkStart w:id="1455" w:name="DESCRIPTORALFABETICO365"/>
      <w:r w:rsidRPr="00AD3C82">
        <w:rPr>
          <w:rStyle w:val="TextoNormalNegritaCaracter"/>
        </w:rPr>
        <w:t>Principio de irretroactividad</w:t>
      </w:r>
      <w:bookmarkEnd w:id="1455"/>
      <w:r w:rsidRPr="00AD3C82">
        <w:rPr>
          <w:rStyle w:val="TextoNormalCaracter"/>
        </w:rPr>
        <w:t xml:space="preserve">, Sentencias </w:t>
      </w:r>
      <w:hyperlink w:anchor="SENTENCIA_2016_145" w:history="1">
        <w:r w:rsidRPr="00AD3C82">
          <w:rPr>
            <w:rStyle w:val="TextoNormalCaracter"/>
          </w:rPr>
          <w:t>145/2016</w:t>
        </w:r>
      </w:hyperlink>
      <w:r w:rsidRPr="00AD3C82">
        <w:rPr>
          <w:rStyle w:val="TextoNormalCaracter"/>
        </w:rPr>
        <w:t xml:space="preserve">, f. 1; </w:t>
      </w:r>
      <w:hyperlink w:anchor="SENTENCIA_2016_160" w:history="1">
        <w:r w:rsidRPr="00AD3C82">
          <w:rPr>
            <w:rStyle w:val="TextoNormalCaracter"/>
          </w:rPr>
          <w:t>160/2016</w:t>
        </w:r>
      </w:hyperlink>
      <w:r w:rsidRPr="00AD3C82">
        <w:rPr>
          <w:rStyle w:val="TextoNormalCaracter"/>
        </w:rPr>
        <w:t>, ff. 1, 2 c).</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 4, VP I.</w:t>
      </w:r>
    </w:p>
    <w:p w:rsidR="00AD3C82" w:rsidRPr="00AD3C82" w:rsidRDefault="00AD3C82" w:rsidP="00AD3C82">
      <w:pPr>
        <w:pStyle w:val="TextoNormalSangraFrancesa"/>
        <w:rPr>
          <w:rStyle w:val="TextoNormalCaracter"/>
        </w:rPr>
      </w:pPr>
      <w:bookmarkStart w:id="1456" w:name="DESCRIPTORALFABETICO366"/>
      <w:r w:rsidRPr="00AD3C82">
        <w:rPr>
          <w:rStyle w:val="TextoNormalNegritaCaracter"/>
        </w:rPr>
        <w:t>Principio de lealtad constitucional</w:t>
      </w:r>
      <w:bookmarkEnd w:id="1456"/>
      <w:r w:rsidRPr="00AD3C82">
        <w:rPr>
          <w:rStyle w:val="TextoNormalCaracter"/>
        </w:rPr>
        <w:t xml:space="preserve">, Sentencias </w:t>
      </w:r>
      <w:hyperlink w:anchor="SENTENCIA_2016_179" w:history="1">
        <w:r w:rsidRPr="00AD3C82">
          <w:rPr>
            <w:rStyle w:val="TextoNormalCaracter"/>
          </w:rPr>
          <w:t>179/2016</w:t>
        </w:r>
      </w:hyperlink>
      <w:r w:rsidRPr="00AD3C82">
        <w:rPr>
          <w:rStyle w:val="TextoNormalCaracter"/>
        </w:rPr>
        <w:t xml:space="preserve">, f. 3; </w:t>
      </w:r>
      <w:hyperlink w:anchor="SENTENCIA_2016_217" w:history="1">
        <w:r w:rsidRPr="00AD3C82">
          <w:rPr>
            <w:rStyle w:val="TextoNormalCaracter"/>
          </w:rPr>
          <w:t>217/2016</w:t>
        </w:r>
      </w:hyperlink>
      <w:r w:rsidRPr="00AD3C82">
        <w:rPr>
          <w:rStyle w:val="TextoNormalCaracter"/>
        </w:rPr>
        <w:t>, ff. 3, 5.</w:t>
      </w:r>
    </w:p>
    <w:p w:rsidR="00AD3C82" w:rsidRPr="00AD3C82" w:rsidRDefault="00AD3C82" w:rsidP="00AD3C82">
      <w:pPr>
        <w:pStyle w:val="TextoNormalSangraFrancesa"/>
        <w:rPr>
          <w:rStyle w:val="TextoNormalCaracter"/>
        </w:rPr>
      </w:pPr>
      <w:bookmarkStart w:id="1457" w:name="DESCRIPTORALFABETICO367"/>
      <w:r w:rsidRPr="00AD3C82">
        <w:rPr>
          <w:rStyle w:val="TextoNormalNegritaCaracter"/>
        </w:rPr>
        <w:t>Principio de legalidad</w:t>
      </w:r>
      <w:bookmarkEnd w:id="1457"/>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458" w:name="DESCRIPTORALFABETICO368"/>
      <w:r w:rsidRPr="00AD3C82">
        <w:rPr>
          <w:rStyle w:val="TextoNormalNegritaCaracter"/>
        </w:rPr>
        <w:t>Principio de legalidad penal</w:t>
      </w:r>
      <w:bookmarkEnd w:id="1458"/>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Concepto, </w:t>
      </w:r>
      <w:r w:rsidRPr="00AD3C82">
        <w:rPr>
          <w:rStyle w:val="TextoNormalCaracter"/>
        </w:rPr>
        <w:t xml:space="preserve">Sentencias </w:t>
      </w:r>
      <w:hyperlink w:anchor="SENTENCIA_2016_185" w:history="1">
        <w:r w:rsidRPr="00AD3C82">
          <w:rPr>
            <w:rStyle w:val="TextoNormalCaracter"/>
          </w:rPr>
          <w:t>185/2016</w:t>
        </w:r>
      </w:hyperlink>
      <w:r w:rsidRPr="00AD3C82">
        <w:rPr>
          <w:rStyle w:val="TextoNormalCaracter"/>
        </w:rPr>
        <w:t xml:space="preserve">, ff. 1, 11, 12, VP II; </w:t>
      </w:r>
      <w:hyperlink w:anchor="SENTENCIA_2016_215" w:history="1">
        <w:r w:rsidRPr="00AD3C82">
          <w:rPr>
            <w:rStyle w:val="TextoNormalCaracter"/>
          </w:rPr>
          <w:t>215/2016</w:t>
        </w:r>
      </w:hyperlink>
      <w:r w:rsidRPr="00AD3C82">
        <w:rPr>
          <w:rStyle w:val="TextoNormalCaracter"/>
        </w:rPr>
        <w:t>, ff. 1, 9, 10.</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Auto </w:t>
      </w:r>
      <w:hyperlink w:anchor="AUTO_2016_155" w:history="1">
        <w:r w:rsidRPr="00AD3C82">
          <w:rPr>
            <w:rStyle w:val="TextoNormalCaracter"/>
          </w:rPr>
          <w:t>155/2016</w:t>
        </w:r>
      </w:hyperlink>
      <w:r w:rsidRPr="00AD3C82">
        <w:rPr>
          <w:rStyle w:val="TextoNormalCaracter"/>
        </w:rPr>
        <w:t>, f. 4, VP I.</w:t>
      </w:r>
    </w:p>
    <w:p w:rsidR="00AD3C82" w:rsidRPr="00AD3C82" w:rsidRDefault="00AD3C82" w:rsidP="00AD3C82">
      <w:pPr>
        <w:pStyle w:val="TextoNormalSangraFrancesa"/>
        <w:rPr>
          <w:rStyle w:val="TextoNormalCaracter"/>
        </w:rPr>
      </w:pPr>
      <w:bookmarkStart w:id="1459" w:name="DESCRIPTORALFABETICO369"/>
      <w:r w:rsidRPr="00AD3C82">
        <w:rPr>
          <w:rStyle w:val="TextoNormalNegritaCaracter"/>
        </w:rPr>
        <w:t>Principio de legalidad sancionadora</w:t>
      </w:r>
      <w:bookmarkEnd w:id="1459"/>
      <w:r w:rsidRPr="00AD3C82">
        <w:rPr>
          <w:rStyle w:val="TextoNormalCaracter"/>
        </w:rPr>
        <w:t xml:space="preserve">, Autos </w:t>
      </w:r>
      <w:hyperlink w:anchor="AUTO_2016_186" w:history="1">
        <w:r w:rsidRPr="00AD3C82">
          <w:rPr>
            <w:rStyle w:val="TextoNormalCaracter"/>
          </w:rPr>
          <w:t>186/2016</w:t>
        </w:r>
      </w:hyperlink>
      <w:r w:rsidRPr="00AD3C82">
        <w:rPr>
          <w:rStyle w:val="TextoNormalCaracter"/>
        </w:rPr>
        <w:t xml:space="preserve">, f. 5; </w:t>
      </w:r>
      <w:hyperlink w:anchor="AUTO_2016_187" w:history="1">
        <w:r w:rsidRPr="00AD3C82">
          <w:rPr>
            <w:rStyle w:val="TextoNormalCaracter"/>
          </w:rPr>
          <w:t>187/2016</w:t>
        </w:r>
      </w:hyperlink>
      <w:r w:rsidRPr="00AD3C82">
        <w:rPr>
          <w:rStyle w:val="TextoNormalCaracter"/>
        </w:rPr>
        <w:t>, f. 5.</w:t>
      </w:r>
    </w:p>
    <w:p w:rsidR="00AD3C82" w:rsidRPr="00AD3C82" w:rsidRDefault="00AD3C82" w:rsidP="00AD3C82">
      <w:pPr>
        <w:pStyle w:val="TextoNormalSangraFrancesa"/>
        <w:rPr>
          <w:rStyle w:val="TextoNormalCaracter"/>
        </w:rPr>
      </w:pPr>
      <w:r w:rsidRPr="00AD3C82">
        <w:rPr>
          <w:rStyle w:val="TextoNormalCursivaCaracter"/>
        </w:rPr>
        <w:t xml:space="preserve">    Vulnerado, </w:t>
      </w:r>
      <w:r w:rsidRPr="00AD3C82">
        <w:rPr>
          <w:rStyle w:val="TextoNormalCaracter"/>
        </w:rPr>
        <w:t xml:space="preserve">Sentencias </w:t>
      </w:r>
      <w:hyperlink w:anchor="SENTENCIA_2016_219" w:history="1">
        <w:r w:rsidRPr="00AD3C82">
          <w:rPr>
            <w:rStyle w:val="TextoNormalCaracter"/>
          </w:rPr>
          <w:t>219/2016</w:t>
        </w:r>
      </w:hyperlink>
      <w:r w:rsidRPr="00AD3C82">
        <w:rPr>
          <w:rStyle w:val="TextoNormalCaracter"/>
        </w:rPr>
        <w:t xml:space="preserve">, ff. 5 a 7, 9; </w:t>
      </w:r>
      <w:hyperlink w:anchor="SENTENCIA_2016_220" w:history="1">
        <w:r w:rsidRPr="00AD3C82">
          <w:rPr>
            <w:rStyle w:val="TextoNormalCaracter"/>
          </w:rPr>
          <w:t>220/2016</w:t>
        </w:r>
      </w:hyperlink>
      <w:r w:rsidRPr="00AD3C82">
        <w:rPr>
          <w:rStyle w:val="TextoNormalCaracter"/>
        </w:rPr>
        <w:t>, ff. 5 a 7, 9.</w:t>
      </w:r>
    </w:p>
    <w:p w:rsidR="00AD3C82" w:rsidRPr="00AD3C82" w:rsidRDefault="00AD3C82" w:rsidP="00AD3C82">
      <w:pPr>
        <w:pStyle w:val="TextoNormalSangraFrancesa"/>
        <w:rPr>
          <w:rStyle w:val="TextoNormalCaracter"/>
        </w:rPr>
      </w:pPr>
      <w:bookmarkStart w:id="1460" w:name="DESCRIPTORALFABETICO375"/>
      <w:r w:rsidRPr="00AD3C82">
        <w:rPr>
          <w:rStyle w:val="TextoNormalNegritaCaracter"/>
        </w:rPr>
        <w:t>Principio de proporcionalidad</w:t>
      </w:r>
      <w:bookmarkEnd w:id="1460"/>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ff. 5 a 11; </w:t>
      </w:r>
      <w:hyperlink w:anchor="SENTENCIA_2016_167" w:history="1">
        <w:r w:rsidRPr="00AD3C82">
          <w:rPr>
            <w:rStyle w:val="TextoNormalCaracter"/>
          </w:rPr>
          <w:t>167/2016</w:t>
        </w:r>
      </w:hyperlink>
      <w:r w:rsidRPr="00AD3C82">
        <w:rPr>
          <w:rStyle w:val="TextoNormalCaracter"/>
        </w:rPr>
        <w:t xml:space="preserve">, ff. 3, 5, 6; </w:t>
      </w:r>
      <w:hyperlink w:anchor="SENTENCIA_2016_174" w:history="1">
        <w:r w:rsidRPr="00AD3C82">
          <w:rPr>
            <w:rStyle w:val="TextoNormalCaracter"/>
          </w:rPr>
          <w:t>174/2016</w:t>
        </w:r>
      </w:hyperlink>
      <w:r w:rsidRPr="00AD3C82">
        <w:rPr>
          <w:rStyle w:val="TextoNormalCaracter"/>
        </w:rPr>
        <w:t xml:space="preserve">, f. 3; </w:t>
      </w:r>
      <w:hyperlink w:anchor="SENTENCIA_2016_187" w:history="1">
        <w:r w:rsidRPr="00AD3C82">
          <w:rPr>
            <w:rStyle w:val="TextoNormalCaracter"/>
          </w:rPr>
          <w:t>187/2016</w:t>
        </w:r>
      </w:hyperlink>
      <w:r w:rsidRPr="00AD3C82">
        <w:rPr>
          <w:rStyle w:val="TextoNormalCaracter"/>
        </w:rPr>
        <w:t xml:space="preserve">, f. 3; </w:t>
      </w:r>
      <w:hyperlink w:anchor="SENTENCIA_2016_188" w:history="1">
        <w:r w:rsidRPr="00AD3C82">
          <w:rPr>
            <w:rStyle w:val="TextoNormalCaracter"/>
          </w:rPr>
          <w:t>188/2016</w:t>
        </w:r>
      </w:hyperlink>
      <w:r w:rsidRPr="00AD3C82">
        <w:rPr>
          <w:rStyle w:val="TextoNormalCaracter"/>
        </w:rPr>
        <w:t xml:space="preserve">, f. 3; </w:t>
      </w:r>
      <w:hyperlink w:anchor="SENTENCIA_2016_197" w:history="1">
        <w:r w:rsidRPr="00AD3C82">
          <w:rPr>
            <w:rStyle w:val="TextoNormalCaracter"/>
          </w:rPr>
          <w:t>197/2016</w:t>
        </w:r>
      </w:hyperlink>
      <w:r w:rsidRPr="00AD3C82">
        <w:rPr>
          <w:rStyle w:val="TextoNormalCaracter"/>
        </w:rPr>
        <w:t>, f. 3.</w:t>
      </w:r>
    </w:p>
    <w:p w:rsidR="00AD3C82" w:rsidRPr="00AD3C82" w:rsidRDefault="00AD3C82" w:rsidP="00AD3C82">
      <w:pPr>
        <w:pStyle w:val="TextoNormalSangraFrancesa"/>
        <w:rPr>
          <w:rStyle w:val="TextoNormalCaracter"/>
        </w:rPr>
      </w:pPr>
      <w:bookmarkStart w:id="1461" w:name="DESCRIPTORALFABETICO668"/>
      <w:r w:rsidRPr="00AD3C82">
        <w:rPr>
          <w:rStyle w:val="TextoNormalNegritaCaracter"/>
        </w:rPr>
        <w:t>Principio de reciprocidad</w:t>
      </w:r>
      <w:bookmarkEnd w:id="1461"/>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 f. 3.</w:t>
      </w:r>
    </w:p>
    <w:p w:rsidR="00AD3C82" w:rsidRPr="00AD3C82" w:rsidRDefault="00AD3C82" w:rsidP="00AD3C82">
      <w:pPr>
        <w:pStyle w:val="TextoNormalSangraFrancesa"/>
        <w:rPr>
          <w:rStyle w:val="TextoNormalCaracter"/>
        </w:rPr>
      </w:pPr>
      <w:bookmarkStart w:id="1462" w:name="DESCRIPTORALFABETICO378"/>
      <w:r w:rsidRPr="00AD3C82">
        <w:rPr>
          <w:rStyle w:val="TextoNormalNegritaCaracter"/>
        </w:rPr>
        <w:t>Principio de seguridad jurídica</w:t>
      </w:r>
      <w:bookmarkEnd w:id="1462"/>
      <w:r w:rsidRPr="00AD3C82">
        <w:rPr>
          <w:rStyle w:val="TextoNormalCaracter"/>
        </w:rPr>
        <w:t xml:space="preserve">, Sentencias </w:t>
      </w:r>
      <w:hyperlink w:anchor="SENTENCIA_2016_125" w:history="1">
        <w:r w:rsidRPr="00AD3C82">
          <w:rPr>
            <w:rStyle w:val="TextoNormalCaracter"/>
          </w:rPr>
          <w:t>125/2016</w:t>
        </w:r>
      </w:hyperlink>
      <w:r w:rsidRPr="00AD3C82">
        <w:rPr>
          <w:rStyle w:val="TextoNormalCaracter"/>
        </w:rPr>
        <w:t xml:space="preserve">, ff. 2 a 4; </w:t>
      </w:r>
      <w:hyperlink w:anchor="SENTENCIA_2016_138" w:history="1">
        <w:r w:rsidRPr="00AD3C82">
          <w:rPr>
            <w:rStyle w:val="TextoNormalCaracter"/>
          </w:rPr>
          <w:t>138/2016</w:t>
        </w:r>
      </w:hyperlink>
      <w:r w:rsidRPr="00AD3C82">
        <w:rPr>
          <w:rStyle w:val="TextoNormalCaracter"/>
        </w:rPr>
        <w:t>, f. 3.</w:t>
      </w:r>
    </w:p>
    <w:p w:rsidR="00AD3C82" w:rsidRPr="00AD3C82" w:rsidRDefault="00AD3C82" w:rsidP="00AD3C82">
      <w:pPr>
        <w:pStyle w:val="TextoNormalSangraFrancesa"/>
        <w:rPr>
          <w:rStyle w:val="TextoNormalCaracter"/>
        </w:rPr>
      </w:pPr>
      <w:r w:rsidRPr="00AD3C82">
        <w:rPr>
          <w:rStyle w:val="TextoNormalCursivaCaracter"/>
        </w:rPr>
        <w:t xml:space="preserve">    Respetado, </w:t>
      </w:r>
      <w:r w:rsidRPr="00AD3C82">
        <w:rPr>
          <w:rStyle w:val="TextoNormalCaracter"/>
        </w:rPr>
        <w:t xml:space="preserve">Sentencias </w:t>
      </w:r>
      <w:hyperlink w:anchor="SENTENCIA_2016_153" w:history="1">
        <w:r w:rsidRPr="00AD3C82">
          <w:rPr>
            <w:rStyle w:val="TextoNormalCaracter"/>
          </w:rPr>
          <w:t>153/2016</w:t>
        </w:r>
      </w:hyperlink>
      <w:r w:rsidRPr="00AD3C82">
        <w:rPr>
          <w:rStyle w:val="TextoNormalCaracter"/>
        </w:rPr>
        <w:t xml:space="preserve">, f. 3 d); </w:t>
      </w:r>
      <w:hyperlink w:anchor="SENTENCIA_2016_181" w:history="1">
        <w:r w:rsidRPr="00AD3C82">
          <w:rPr>
            <w:rStyle w:val="TextoNormalCaracter"/>
          </w:rPr>
          <w:t>181/2016</w:t>
        </w:r>
      </w:hyperlink>
      <w:r w:rsidRPr="00AD3C82">
        <w:rPr>
          <w:rStyle w:val="TextoNormalCaracter"/>
        </w:rPr>
        <w:t>, f. 4.</w:t>
      </w:r>
    </w:p>
    <w:p w:rsidR="00AD3C82" w:rsidRPr="00AD3C82" w:rsidRDefault="00AD3C82" w:rsidP="00AD3C82">
      <w:pPr>
        <w:pStyle w:val="TextoNormalSangraFrancesa"/>
        <w:rPr>
          <w:rStyle w:val="TextoNormalCaracter"/>
        </w:rPr>
      </w:pPr>
      <w:bookmarkStart w:id="1463" w:name="DESCRIPTORALFABETICO380"/>
      <w:r w:rsidRPr="00AD3C82">
        <w:rPr>
          <w:rStyle w:val="TextoNormalNegritaCaracter"/>
        </w:rPr>
        <w:t>Principio de solidaridad</w:t>
      </w:r>
      <w:bookmarkEnd w:id="1463"/>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12.</w:t>
      </w:r>
    </w:p>
    <w:p w:rsidR="00AD3C82" w:rsidRPr="00AD3C82" w:rsidRDefault="00AD3C82" w:rsidP="00AD3C82">
      <w:pPr>
        <w:pStyle w:val="TextoNormalSangraFrancesa"/>
        <w:rPr>
          <w:rStyle w:val="TextoNormalCaracter"/>
        </w:rPr>
      </w:pPr>
      <w:bookmarkStart w:id="1464" w:name="DESCRIPTORALFABETICO74"/>
      <w:r w:rsidRPr="00AD3C82">
        <w:rPr>
          <w:rStyle w:val="TextoNormalNegritaCaracter"/>
        </w:rPr>
        <w:t>Principio de suficiencia financiera</w:t>
      </w:r>
      <w:bookmarkEnd w:id="1464"/>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12.</w:t>
      </w:r>
    </w:p>
    <w:p w:rsidR="00AD3C82" w:rsidRPr="00AD3C82" w:rsidRDefault="00AD3C82" w:rsidP="00AD3C82">
      <w:pPr>
        <w:pStyle w:val="TextoNormalSangraFrancesa"/>
        <w:rPr>
          <w:rStyle w:val="TextoNormalCaracter"/>
        </w:rPr>
      </w:pPr>
      <w:bookmarkStart w:id="1465" w:name="DESCRIPTORALFABETICO373"/>
      <w:r w:rsidRPr="00AD3C82">
        <w:rPr>
          <w:rStyle w:val="TextoNormalNegritaCaracter"/>
        </w:rPr>
        <w:t>Principio de taxatividad en el ámbito sancionador</w:t>
      </w:r>
      <w:bookmarkEnd w:id="1465"/>
      <w:r w:rsidRPr="00AD3C82">
        <w:rPr>
          <w:rStyle w:val="TextoNormalCaracter"/>
        </w:rPr>
        <w:t xml:space="preserve">, Sentencias </w:t>
      </w:r>
      <w:hyperlink w:anchor="SENTENCIA_2016_219" w:history="1">
        <w:r w:rsidRPr="00AD3C82">
          <w:rPr>
            <w:rStyle w:val="TextoNormalCaracter"/>
          </w:rPr>
          <w:t>219/2016</w:t>
        </w:r>
      </w:hyperlink>
      <w:r w:rsidRPr="00AD3C82">
        <w:rPr>
          <w:rStyle w:val="TextoNormalCaracter"/>
        </w:rPr>
        <w:t xml:space="preserve">, f. 6; </w:t>
      </w:r>
      <w:hyperlink w:anchor="SENTENCIA_2016_220" w:history="1">
        <w:r w:rsidRPr="00AD3C82">
          <w:rPr>
            <w:rStyle w:val="TextoNormalCaracter"/>
          </w:rPr>
          <w:t>220/2016</w:t>
        </w:r>
      </w:hyperlink>
      <w:r w:rsidRPr="00AD3C82">
        <w:rPr>
          <w:rStyle w:val="TextoNormalCaracter"/>
        </w:rPr>
        <w:t>, f. 6.</w:t>
      </w:r>
    </w:p>
    <w:p w:rsidR="00AD3C82" w:rsidRPr="00AD3C82" w:rsidRDefault="00AD3C82" w:rsidP="00AD3C82">
      <w:pPr>
        <w:pStyle w:val="TextoNormalSangraFrancesa"/>
        <w:rPr>
          <w:rStyle w:val="TextoNormalCaracter"/>
        </w:rPr>
      </w:pPr>
      <w:bookmarkStart w:id="1466" w:name="DESCRIPTORALFABETICO381"/>
      <w:r w:rsidRPr="00AD3C82">
        <w:rPr>
          <w:rStyle w:val="TextoNormalNegritaCaracter"/>
        </w:rPr>
        <w:t>Principio de unidad de la nación española</w:t>
      </w:r>
      <w:bookmarkEnd w:id="1466"/>
      <w:r w:rsidRPr="00AD3C82">
        <w:rPr>
          <w:rStyle w:val="TextoNormalCaracter"/>
        </w:rPr>
        <w:t xml:space="preserve">, Auto </w:t>
      </w:r>
      <w:hyperlink w:anchor="AUTO_2016_141" w:history="1">
        <w:r w:rsidRPr="00AD3C82">
          <w:rPr>
            <w:rStyle w:val="TextoNormalCaracter"/>
          </w:rPr>
          <w:t>141/2016</w:t>
        </w:r>
      </w:hyperlink>
      <w:r w:rsidRPr="00AD3C82">
        <w:rPr>
          <w:rStyle w:val="TextoNormalCaracter"/>
        </w:rPr>
        <w:t>, f. 3.</w:t>
      </w:r>
    </w:p>
    <w:p w:rsidR="00AD3C82" w:rsidRPr="00AD3C82" w:rsidRDefault="00AD3C82" w:rsidP="00AD3C82">
      <w:pPr>
        <w:pStyle w:val="TextoNormalSangraFrancesa"/>
        <w:rPr>
          <w:rStyle w:val="TextoNormalCaracter"/>
        </w:rPr>
      </w:pPr>
      <w:bookmarkStart w:id="1467" w:name="DESCRIPTORALFABETICO384"/>
      <w:r w:rsidRPr="00AD3C82">
        <w:rPr>
          <w:rStyle w:val="TextoNormalNegritaCaracter"/>
        </w:rPr>
        <w:t>Principio democrático</w:t>
      </w:r>
      <w:bookmarkEnd w:id="1467"/>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 3; </w:t>
      </w:r>
      <w:hyperlink w:anchor="AUTO_2016_170" w:history="1">
        <w:r w:rsidRPr="00AD3C82">
          <w:rPr>
            <w:rStyle w:val="TextoNormalCaracter"/>
          </w:rPr>
          <w:t>170/2016</w:t>
        </w:r>
      </w:hyperlink>
      <w:r w:rsidRPr="00AD3C82">
        <w:rPr>
          <w:rStyle w:val="TextoNormalCaracter"/>
        </w:rPr>
        <w:t>, ff. 6, 7.</w:t>
      </w:r>
    </w:p>
    <w:p w:rsidR="00AD3C82" w:rsidRPr="00AD3C82" w:rsidRDefault="00AD3C82" w:rsidP="00AD3C82">
      <w:pPr>
        <w:pStyle w:val="TextoNormalSangraFrancesa"/>
        <w:rPr>
          <w:rStyle w:val="TextoNormalCaracter"/>
        </w:rPr>
      </w:pPr>
      <w:bookmarkStart w:id="1468" w:name="DESCRIPTORALFABETICO645"/>
      <w:r w:rsidRPr="00AD3C82">
        <w:rPr>
          <w:rStyle w:val="TextoNormalNegritaCaracter"/>
        </w:rPr>
        <w:t xml:space="preserve">Principio </w:t>
      </w:r>
      <w:r w:rsidRPr="00AD3C82">
        <w:rPr>
          <w:rStyle w:val="TextoNormalNegritaCaracter"/>
          <w:i/>
        </w:rPr>
        <w:t>pro actione</w:t>
      </w:r>
      <w:bookmarkEnd w:id="1468"/>
      <w:r w:rsidRPr="00AD3C82">
        <w:rPr>
          <w:rStyle w:val="TextoNormalCaracter"/>
        </w:rPr>
        <w:t xml:space="preserve">, Sentencias </w:t>
      </w:r>
      <w:hyperlink w:anchor="SENTENCIA_2016_133" w:history="1">
        <w:r w:rsidRPr="00AD3C82">
          <w:rPr>
            <w:rStyle w:val="TextoNormalCaracter"/>
          </w:rPr>
          <w:t>133/2016</w:t>
        </w:r>
      </w:hyperlink>
      <w:r w:rsidRPr="00AD3C82">
        <w:rPr>
          <w:rStyle w:val="TextoNormalCaracter"/>
        </w:rPr>
        <w:t xml:space="preserve">, f. 3; </w:t>
      </w:r>
      <w:hyperlink w:anchor="SENTENCIA_2016_140" w:history="1">
        <w:r w:rsidRPr="00AD3C82">
          <w:rPr>
            <w:rStyle w:val="TextoNormalCaracter"/>
          </w:rPr>
          <w:t>140/2016</w:t>
        </w:r>
      </w:hyperlink>
      <w:r w:rsidRPr="00AD3C82">
        <w:rPr>
          <w:rStyle w:val="TextoNormalCaracter"/>
        </w:rPr>
        <w:t xml:space="preserve">, f. 12; </w:t>
      </w:r>
      <w:hyperlink w:anchor="SENTENCIA_2016_163" w:history="1">
        <w:r w:rsidRPr="00AD3C82">
          <w:rPr>
            <w:rStyle w:val="TextoNormalCaracter"/>
          </w:rPr>
          <w:t>163/2016</w:t>
        </w:r>
      </w:hyperlink>
      <w:r w:rsidRPr="00AD3C82">
        <w:rPr>
          <w:rStyle w:val="TextoNormalCaracter"/>
        </w:rPr>
        <w:t>, f. 3.</w:t>
      </w:r>
    </w:p>
    <w:p w:rsidR="00AD3C82" w:rsidRPr="00AD3C82" w:rsidRDefault="00AD3C82" w:rsidP="00AD3C82">
      <w:pPr>
        <w:pStyle w:val="TextoNormalSangraFrancesa"/>
        <w:rPr>
          <w:rStyle w:val="TextoNormalCaracter"/>
        </w:rPr>
      </w:pPr>
      <w:bookmarkStart w:id="1469" w:name="DESCRIPTORALFABETICO543"/>
      <w:r w:rsidRPr="00AD3C82">
        <w:rPr>
          <w:rStyle w:val="TextoNormalNegritaCaracter"/>
        </w:rPr>
        <w:t>Procedimiento administrativo común</w:t>
      </w:r>
      <w:bookmarkEnd w:id="1469"/>
      <w:r w:rsidRPr="00AD3C82">
        <w:rPr>
          <w:rStyle w:val="TextoNormalCaracter"/>
        </w:rPr>
        <w:t xml:space="preserve">, Sentencia </w:t>
      </w:r>
      <w:hyperlink w:anchor="SENTENCIA_2016_155" w:history="1">
        <w:r w:rsidRPr="00AD3C82">
          <w:rPr>
            <w:rStyle w:val="TextoNormalCaracter"/>
          </w:rPr>
          <w:t>155/2016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470" w:name="DESCRIPTORALFABETICO438"/>
      <w:r w:rsidRPr="00AD3C82">
        <w:rPr>
          <w:rStyle w:val="TextoNormalNegritaCaracter"/>
        </w:rPr>
        <w:t>Procedimiento administrativo sancionador</w:t>
      </w:r>
      <w:bookmarkEnd w:id="1470"/>
      <w:r w:rsidRPr="00AD3C82">
        <w:rPr>
          <w:rStyle w:val="TextoNormalCaracter"/>
        </w:rPr>
        <w:t xml:space="preserve">, Sentencia </w:t>
      </w:r>
      <w:hyperlink w:anchor="SENTENCIA_2016_142" w:history="1">
        <w:r w:rsidRPr="00AD3C82">
          <w:rPr>
            <w:rStyle w:val="TextoNormalCaracter"/>
          </w:rPr>
          <w:t>142/2016</w:t>
        </w:r>
      </w:hyperlink>
      <w:r w:rsidRPr="00AD3C82">
        <w:rPr>
          <w:rStyle w:val="TextoNormalCaracter"/>
        </w:rPr>
        <w:t>, ff. 12, 13.</w:t>
      </w:r>
    </w:p>
    <w:p w:rsidR="00AD3C82" w:rsidRPr="00AD3C82" w:rsidRDefault="00AD3C82" w:rsidP="00AD3C82">
      <w:pPr>
        <w:pStyle w:val="TextoNormalSangraFrancesa"/>
        <w:rPr>
          <w:rStyle w:val="TextoNormalCaracter"/>
        </w:rPr>
      </w:pPr>
      <w:bookmarkStart w:id="1471" w:name="DESCRIPTORALFABETICO656"/>
      <w:r w:rsidRPr="00AD3C82">
        <w:rPr>
          <w:rStyle w:val="TextoNormalNegritaCaracter"/>
        </w:rPr>
        <w:t>Procedimiento contencioso-administrativo abreviado</w:t>
      </w:r>
      <w:bookmarkEnd w:id="1471"/>
      <w:r w:rsidRPr="00AD3C82">
        <w:rPr>
          <w:rStyle w:val="TextoNormalCaracter"/>
        </w:rPr>
        <w:t xml:space="preserve">, Sentencia </w:t>
      </w:r>
      <w:hyperlink w:anchor="SENTENCIA_2016_163" w:history="1">
        <w:r w:rsidRPr="00AD3C82">
          <w:rPr>
            <w:rStyle w:val="TextoNormalCaracter"/>
          </w:rPr>
          <w:t>163/2016</w:t>
        </w:r>
      </w:hyperlink>
      <w:r w:rsidRPr="00AD3C82">
        <w:rPr>
          <w:rStyle w:val="TextoNormalCaracter"/>
        </w:rPr>
        <w:t>, f. 5.</w:t>
      </w:r>
    </w:p>
    <w:p w:rsidR="00AD3C82" w:rsidRPr="00AD3C82" w:rsidRDefault="00AD3C82" w:rsidP="00AD3C82">
      <w:pPr>
        <w:pStyle w:val="TextoNormalSangraFrancesa"/>
        <w:rPr>
          <w:rStyle w:val="TextoNormalCaracter"/>
        </w:rPr>
      </w:pPr>
      <w:bookmarkStart w:id="1472" w:name="DESCRIPTORALFABETICO322"/>
      <w:r w:rsidRPr="00AD3C82">
        <w:rPr>
          <w:rStyle w:val="TextoNormalNegritaCaracter"/>
        </w:rPr>
        <w:t>Procedimiento de lectura única</w:t>
      </w:r>
      <w:bookmarkEnd w:id="1472"/>
      <w:r w:rsidRPr="00AD3C82">
        <w:rPr>
          <w:rStyle w:val="TextoNormalCaracter"/>
        </w:rPr>
        <w:t xml:space="preserve">, Sentencias </w:t>
      </w:r>
      <w:hyperlink w:anchor="SENTENCIA_2016_153" w:history="1">
        <w:r w:rsidRPr="00AD3C82">
          <w:rPr>
            <w:rStyle w:val="TextoNormalCaracter"/>
          </w:rPr>
          <w:t>153/2016</w:t>
        </w:r>
      </w:hyperlink>
      <w:r w:rsidRPr="00AD3C82">
        <w:rPr>
          <w:rStyle w:val="TextoNormalCaracter"/>
        </w:rPr>
        <w:t xml:space="preserve">, f. 3 c); </w:t>
      </w:r>
      <w:hyperlink w:anchor="SENTENCIA_2016_185" w:history="1">
        <w:r w:rsidRPr="00AD3C82">
          <w:rPr>
            <w:rStyle w:val="TextoNormalCaracter"/>
          </w:rPr>
          <w:t>185/2016</w:t>
        </w:r>
      </w:hyperlink>
      <w:r w:rsidRPr="00AD3C82">
        <w:rPr>
          <w:rStyle w:val="TextoNormalCaracter"/>
        </w:rPr>
        <w:t xml:space="preserve">, f. 5; </w:t>
      </w:r>
      <w:hyperlink w:anchor="SENTENCIA_2016_215" w:history="1">
        <w:r w:rsidRPr="00AD3C82">
          <w:rPr>
            <w:rStyle w:val="TextoNormalCaracter"/>
          </w:rPr>
          <w:t>215/2016</w:t>
        </w:r>
      </w:hyperlink>
      <w:r w:rsidRPr="00AD3C82">
        <w:rPr>
          <w:rStyle w:val="TextoNormalCaracter"/>
        </w:rPr>
        <w:t>, ff. 1, 4, 5.</w:t>
      </w:r>
    </w:p>
    <w:p w:rsidR="00AD3C82" w:rsidRPr="00AD3C82" w:rsidRDefault="00AD3C82" w:rsidP="00AD3C82">
      <w:pPr>
        <w:pStyle w:val="TextoNormalSangraFrancesa"/>
        <w:rPr>
          <w:rStyle w:val="TextoNormalCaracter"/>
        </w:rPr>
      </w:pPr>
      <w:bookmarkStart w:id="1473" w:name="DESCRIPTORALFABETICO578"/>
      <w:r w:rsidRPr="00AD3C82">
        <w:rPr>
          <w:rStyle w:val="TextoNormalNegritaCaracter"/>
        </w:rPr>
        <w:t>Procedimiento de modificación de condiciones de trabajo</w:t>
      </w:r>
      <w:bookmarkEnd w:id="1473"/>
      <w:r w:rsidRPr="00AD3C82">
        <w:rPr>
          <w:rStyle w:val="TextoNormalCaracter"/>
        </w:rPr>
        <w:t xml:space="preserve">, Sentencia </w:t>
      </w:r>
      <w:hyperlink w:anchor="SENTENCIA_2016_149" w:history="1">
        <w:r w:rsidRPr="00AD3C82">
          <w:rPr>
            <w:rStyle w:val="TextoNormalCaracter"/>
          </w:rPr>
          <w:t>149/2016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1474" w:name="DESCRIPTORALFABETICO385"/>
      <w:r w:rsidRPr="00AD3C82">
        <w:rPr>
          <w:rStyle w:val="TextoNormalNegritaCaracter"/>
        </w:rPr>
        <w:t>Procedimiento de reforma constitucional</w:t>
      </w:r>
      <w:bookmarkEnd w:id="1474"/>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5 A) b).</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ff. 3, 5, 7; </w:t>
      </w:r>
      <w:hyperlink w:anchor="AUTO_2016_170" w:history="1">
        <w:r w:rsidRPr="00AD3C82">
          <w:rPr>
            <w:rStyle w:val="TextoNormalCaracter"/>
          </w:rPr>
          <w:t>170/2016</w:t>
        </w:r>
      </w:hyperlink>
      <w:r w:rsidRPr="00AD3C82">
        <w:rPr>
          <w:rStyle w:val="TextoNormalCaracter"/>
        </w:rPr>
        <w:t>, ff. 4 a 7.</w:t>
      </w:r>
    </w:p>
    <w:p w:rsidR="00AD3C82" w:rsidRPr="00AD3C82" w:rsidRDefault="00AD3C82" w:rsidP="00AD3C82">
      <w:pPr>
        <w:pStyle w:val="TextoNormalSangraFrancesa"/>
        <w:rPr>
          <w:rStyle w:val="TextoNormalCaracter"/>
        </w:rPr>
      </w:pPr>
      <w:bookmarkStart w:id="1475" w:name="DESCRIPTORALFABETICO652"/>
      <w:r w:rsidRPr="00AD3C82">
        <w:rPr>
          <w:rStyle w:val="TextoNormalNegritaCaracter"/>
        </w:rPr>
        <w:t>Proceso civil de incapacitación</w:t>
      </w:r>
      <w:bookmarkEnd w:id="1475"/>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1476" w:name="DESCRIPTORALFABETICO653"/>
      <w:r w:rsidRPr="00AD3C82">
        <w:rPr>
          <w:rStyle w:val="TextoNormalNegritaCaracter"/>
        </w:rPr>
        <w:t>Proceso de ejecución hipotecaria</w:t>
      </w:r>
      <w:bookmarkEnd w:id="1476"/>
      <w:r w:rsidRPr="00AD3C82">
        <w:rPr>
          <w:rStyle w:val="TextoNormalCaracter"/>
        </w:rPr>
        <w:t xml:space="preserve">, Sentencias </w:t>
      </w:r>
      <w:hyperlink w:anchor="SENTENCIA_2016_150" w:history="1">
        <w:r w:rsidRPr="00AD3C82">
          <w:rPr>
            <w:rStyle w:val="TextoNormalCaracter"/>
          </w:rPr>
          <w:t>150/2016</w:t>
        </w:r>
      </w:hyperlink>
      <w:r w:rsidRPr="00AD3C82">
        <w:rPr>
          <w:rStyle w:val="TextoNormalCaracter"/>
        </w:rPr>
        <w:t xml:space="preserve">, ff. 1 a 4; </w:t>
      </w:r>
      <w:hyperlink w:anchor="SENTENCIA_2016_151" w:history="1">
        <w:r w:rsidRPr="00AD3C82">
          <w:rPr>
            <w:rStyle w:val="TextoNormalCaracter"/>
          </w:rPr>
          <w:t>151/2016</w:t>
        </w:r>
      </w:hyperlink>
      <w:r w:rsidRPr="00AD3C82">
        <w:rPr>
          <w:rStyle w:val="TextoNormalCaracter"/>
        </w:rPr>
        <w:t xml:space="preserve">, ff. 1 a 4; </w:t>
      </w:r>
      <w:hyperlink w:anchor="SENTENCIA_2016_200" w:history="1">
        <w:r w:rsidRPr="00AD3C82">
          <w:rPr>
            <w:rStyle w:val="TextoNormalCaracter"/>
          </w:rPr>
          <w:t>200/2016</w:t>
        </w:r>
      </w:hyperlink>
      <w:r w:rsidRPr="00AD3C82">
        <w:rPr>
          <w:rStyle w:val="TextoNormalCaracter"/>
        </w:rPr>
        <w:t xml:space="preserve">, ff. 1, 4, 5.; </w:t>
      </w:r>
      <w:hyperlink w:anchor="SENTENCIA_2016_213" w:history="1">
        <w:r w:rsidRPr="00AD3C82">
          <w:rPr>
            <w:rStyle w:val="TextoNormalCaracter"/>
          </w:rPr>
          <w:t>213/2016</w:t>
        </w:r>
      </w:hyperlink>
      <w:r w:rsidRPr="00AD3C82">
        <w:rPr>
          <w:rStyle w:val="TextoNormalCaracter"/>
        </w:rPr>
        <w:t>, f. 6.</w:t>
      </w:r>
    </w:p>
    <w:p w:rsidR="00AD3C82" w:rsidRPr="00AD3C82" w:rsidRDefault="00AD3C82" w:rsidP="00AD3C82">
      <w:pPr>
        <w:pStyle w:val="TextoNormalSangraFrancesa"/>
        <w:rPr>
          <w:rStyle w:val="TextoNormalCaracter"/>
        </w:rPr>
      </w:pPr>
      <w:bookmarkStart w:id="1477" w:name="DESCRIPTORALFABETICO216"/>
      <w:r w:rsidRPr="00AD3C82">
        <w:rPr>
          <w:rStyle w:val="TextoNormalNegritaCaracter"/>
        </w:rPr>
        <w:t>Proceso de impugnación de disposiciones autonómicas</w:t>
      </w:r>
      <w:bookmarkEnd w:id="1477"/>
      <w:r w:rsidRPr="00AD3C82">
        <w:rPr>
          <w:rStyle w:val="TextoNormalCaracter"/>
        </w:rPr>
        <w:t xml:space="preserve">, Sentencia </w:t>
      </w:r>
      <w:hyperlink w:anchor="SENTENCIA_2016_215" w:history="1">
        <w:r w:rsidRPr="00AD3C82">
          <w:rPr>
            <w:rStyle w:val="TextoNormalCaracter"/>
          </w:rPr>
          <w:t>215/2016</w:t>
        </w:r>
      </w:hyperlink>
      <w:r w:rsidRPr="00AD3C82">
        <w:rPr>
          <w:rStyle w:val="TextoNormalCaracter"/>
        </w:rPr>
        <w:t>, f. 14.</w:t>
      </w:r>
    </w:p>
    <w:p w:rsidR="00AD3C82" w:rsidRPr="00AD3C82" w:rsidRDefault="00AD3C82" w:rsidP="00AD3C82">
      <w:pPr>
        <w:pStyle w:val="TextoNormalSangraFrancesa"/>
        <w:rPr>
          <w:rStyle w:val="TextoNormalCaracter"/>
        </w:rPr>
      </w:pPr>
      <w:bookmarkStart w:id="1478" w:name="DESCRIPTORALFABETICO228"/>
      <w:r w:rsidRPr="00AD3C82">
        <w:rPr>
          <w:rStyle w:val="TextoNormalNegritaCaracter"/>
        </w:rPr>
        <w:t>Procesos fenecidos donde se aplicó una ley posteriormente declarada inconstitucional</w:t>
      </w:r>
      <w:bookmarkEnd w:id="1478"/>
      <w:r w:rsidRPr="00AD3C82">
        <w:rPr>
          <w:rStyle w:val="TextoNormalCaracter"/>
        </w:rPr>
        <w:t xml:space="preserve">, Sentencia </w:t>
      </w:r>
      <w:hyperlink w:anchor="SENTENCIA_2016_125" w:history="1">
        <w:r w:rsidRPr="00AD3C82">
          <w:rPr>
            <w:rStyle w:val="TextoNormalCaracter"/>
          </w:rPr>
          <w:t>125/2016</w:t>
        </w:r>
      </w:hyperlink>
      <w:r w:rsidRPr="00AD3C82">
        <w:rPr>
          <w:rStyle w:val="TextoNormalCaracter"/>
        </w:rPr>
        <w:t>, f. 5.</w:t>
      </w:r>
    </w:p>
    <w:p w:rsidR="00AD3C82" w:rsidRPr="00AD3C82" w:rsidRDefault="00AD3C82" w:rsidP="00AD3C82">
      <w:pPr>
        <w:pStyle w:val="TextoNormalSangraFrancesa"/>
        <w:rPr>
          <w:rStyle w:val="TextoNormalCaracter"/>
        </w:rPr>
      </w:pPr>
      <w:bookmarkStart w:id="1479" w:name="DESCRIPTORALFABETICO644"/>
      <w:r w:rsidRPr="00AD3C82">
        <w:rPr>
          <w:rStyle w:val="TextoNormalNegritaCaracter"/>
        </w:rPr>
        <w:t>Procuradores de los tribunales</w:t>
      </w:r>
      <w:bookmarkEnd w:id="1479"/>
      <w:r w:rsidRPr="00AD3C82">
        <w:rPr>
          <w:rStyle w:val="TextoNormalCaracter"/>
        </w:rPr>
        <w:t xml:space="preserve">, Sentencia </w:t>
      </w:r>
      <w:hyperlink w:anchor="SENTENCIA_2016_222" w:history="1">
        <w:r w:rsidRPr="00AD3C82">
          <w:rPr>
            <w:rStyle w:val="TextoNormalCaracter"/>
          </w:rPr>
          <w:t>222/2016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480" w:name="DESCRIPTORALFABETICO453"/>
      <w:r w:rsidRPr="00AD3C82">
        <w:rPr>
          <w:rStyle w:val="TextoNormalNegritaCaracter"/>
        </w:rPr>
        <w:t>Producción de energía eléctrica</w:t>
      </w:r>
      <w:bookmarkEnd w:id="1480"/>
      <w:r w:rsidRPr="00AD3C82">
        <w:rPr>
          <w:rStyle w:val="TextoNormalCaracter"/>
        </w:rPr>
        <w:t xml:space="preserve">, Sentencias </w:t>
      </w:r>
      <w:hyperlink w:anchor="SENTENCIA_2016_167" w:history="1">
        <w:r w:rsidRPr="00AD3C82">
          <w:rPr>
            <w:rStyle w:val="TextoNormalCaracter"/>
          </w:rPr>
          <w:t>167/2016</w:t>
        </w:r>
      </w:hyperlink>
      <w:r w:rsidRPr="00AD3C82">
        <w:rPr>
          <w:rStyle w:val="TextoNormalCaracter"/>
        </w:rPr>
        <w:t xml:space="preserve">, ff. 1, 3 a 6; </w:t>
      </w:r>
      <w:hyperlink w:anchor="SENTENCIA_2016_174" w:history="1">
        <w:r w:rsidRPr="00AD3C82">
          <w:rPr>
            <w:rStyle w:val="TextoNormalCaracter"/>
          </w:rPr>
          <w:t>174/2016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1481" w:name="DESCRIPTORALFABETICO564"/>
      <w:r w:rsidRPr="00AD3C82">
        <w:rPr>
          <w:rStyle w:val="TextoNormalNegritaCaracter"/>
        </w:rPr>
        <w:t>Productos farmacéuticos</w:t>
      </w:r>
      <w:bookmarkEnd w:id="1481"/>
      <w:r w:rsidRPr="00AD3C82">
        <w:rPr>
          <w:rStyle w:val="TextoNormalCaracter"/>
        </w:rPr>
        <w:t xml:space="preserve">, Sentencia </w:t>
      </w:r>
      <w:hyperlink w:anchor="SENTENCIA_2016_156" w:history="1">
        <w:r w:rsidRPr="00AD3C82">
          <w:rPr>
            <w:rStyle w:val="TextoNormalCaracter"/>
          </w:rPr>
          <w:t>156/2016</w:t>
        </w:r>
      </w:hyperlink>
      <w:r w:rsidRPr="00AD3C82">
        <w:rPr>
          <w:rStyle w:val="TextoNormalCaracter"/>
        </w:rPr>
        <w:t>, f. 5.</w:t>
      </w:r>
    </w:p>
    <w:p w:rsidR="00AD3C82" w:rsidRPr="00AD3C82" w:rsidRDefault="00AD3C82" w:rsidP="00AD3C82">
      <w:pPr>
        <w:pStyle w:val="TextoNormalSangraFrancesa"/>
        <w:rPr>
          <w:rStyle w:val="TextoNormalCaracter"/>
        </w:rPr>
      </w:pPr>
      <w:bookmarkStart w:id="1482" w:name="DESCRIPTORALFABETICO280"/>
      <w:r w:rsidRPr="00AD3C82">
        <w:rPr>
          <w:rStyle w:val="TextoNormalNegritaCaracter"/>
        </w:rPr>
        <w:t>Pronunciamiento sobre el fondo improcedente</w:t>
      </w:r>
      <w:bookmarkEnd w:id="1482"/>
      <w:r w:rsidRPr="00AD3C82">
        <w:rPr>
          <w:rStyle w:val="TextoNormalCaracter"/>
        </w:rPr>
        <w:t xml:space="preserve">, Sentencia </w:t>
      </w:r>
      <w:hyperlink w:anchor="SENTENCIA_2016_189" w:history="1">
        <w:r w:rsidRPr="00AD3C82">
          <w:rPr>
            <w:rStyle w:val="TextoNormalCaracter"/>
          </w:rPr>
          <w:t>189/2016</w:t>
        </w:r>
      </w:hyperlink>
      <w:r w:rsidRPr="00AD3C82">
        <w:rPr>
          <w:rStyle w:val="TextoNormalCaracter"/>
        </w:rPr>
        <w:t>, f. 3.</w:t>
      </w:r>
    </w:p>
    <w:p w:rsidR="00AD3C82" w:rsidRPr="00AD3C82" w:rsidRDefault="00AD3C82" w:rsidP="00AD3C82">
      <w:pPr>
        <w:pStyle w:val="TextoNormalSangraFrancesa"/>
        <w:rPr>
          <w:rStyle w:val="TextoNormalCaracter"/>
        </w:rPr>
      </w:pPr>
      <w:bookmarkStart w:id="1483" w:name="DESCRIPTORALFABETICO441"/>
      <w:r w:rsidRPr="00AD3C82">
        <w:rPr>
          <w:rStyle w:val="TextoNormalNegritaCaracter"/>
        </w:rPr>
        <w:t>Proporcionalidad de las sanciones administrativas</w:t>
      </w:r>
      <w:bookmarkEnd w:id="1483"/>
      <w:r w:rsidRPr="00AD3C82">
        <w:rPr>
          <w:rStyle w:val="TextoNormalCaracter"/>
        </w:rPr>
        <w:t xml:space="preserve">, Auto </w:t>
      </w:r>
      <w:hyperlink w:anchor="AUTO_2016_187" w:history="1">
        <w:r w:rsidRPr="00AD3C82">
          <w:rPr>
            <w:rStyle w:val="TextoNormalCaracter"/>
          </w:rPr>
          <w:t>187/2016</w:t>
        </w:r>
      </w:hyperlink>
      <w:r w:rsidRPr="00AD3C82">
        <w:rPr>
          <w:rStyle w:val="TextoNormalCaracter"/>
        </w:rPr>
        <w:t>, ff. 2, 3, 5, 6.</w:t>
      </w:r>
    </w:p>
    <w:p w:rsidR="00AD3C82" w:rsidRPr="00AD3C82" w:rsidRDefault="00AD3C82" w:rsidP="00AD3C82">
      <w:pPr>
        <w:pStyle w:val="TextoNormalSangraFrancesa"/>
        <w:rPr>
          <w:rStyle w:val="TextoNormalCaracter"/>
        </w:rPr>
      </w:pPr>
      <w:bookmarkStart w:id="1484" w:name="DESCRIPTORALFABETICO324"/>
      <w:r w:rsidRPr="00AD3C82">
        <w:rPr>
          <w:rStyle w:val="TextoNormalNegritaCaracter"/>
        </w:rPr>
        <w:t>Proposición de ley</w:t>
      </w:r>
      <w:bookmarkEnd w:id="1484"/>
      <w:r w:rsidRPr="00AD3C82">
        <w:rPr>
          <w:rStyle w:val="TextoNormalCaracter"/>
        </w:rPr>
        <w:t xml:space="preserve">, Sentencias </w:t>
      </w:r>
      <w:hyperlink w:anchor="SENTENCIA_2016_153" w:history="1">
        <w:r w:rsidRPr="00AD3C82">
          <w:rPr>
            <w:rStyle w:val="TextoNormalCaracter"/>
          </w:rPr>
          <w:t>153/2016</w:t>
        </w:r>
      </w:hyperlink>
      <w:r w:rsidRPr="00AD3C82">
        <w:rPr>
          <w:rStyle w:val="TextoNormalCaracter"/>
        </w:rPr>
        <w:t xml:space="preserve">, f. 3 a); </w:t>
      </w:r>
      <w:hyperlink w:anchor="SENTENCIA_2016_224" w:history="1">
        <w:r w:rsidRPr="00AD3C82">
          <w:rPr>
            <w:rStyle w:val="TextoNormalCaracter"/>
          </w:rPr>
          <w:t>224/2016</w:t>
        </w:r>
      </w:hyperlink>
      <w:r w:rsidRPr="00AD3C82">
        <w:rPr>
          <w:rStyle w:val="TextoNormalCaracter"/>
        </w:rPr>
        <w:t xml:space="preserve">, ff. 1, 3; </w:t>
      </w:r>
      <w:hyperlink w:anchor="SENTENCIA_2016_225" w:history="1">
        <w:r w:rsidRPr="00AD3C82">
          <w:rPr>
            <w:rStyle w:val="TextoNormalCaracter"/>
          </w:rPr>
          <w:t>225/2016</w:t>
        </w:r>
      </w:hyperlink>
      <w:r w:rsidRPr="00AD3C82">
        <w:rPr>
          <w:rStyle w:val="TextoNormalCaracter"/>
        </w:rPr>
        <w:t>, ff. 1, 3.</w:t>
      </w:r>
    </w:p>
    <w:p w:rsidR="00AD3C82" w:rsidRPr="00AD3C82" w:rsidRDefault="00AD3C82" w:rsidP="00AD3C82">
      <w:pPr>
        <w:pStyle w:val="TextoNormalSangraFrancesa"/>
        <w:rPr>
          <w:rStyle w:val="TextoNormalCaracter"/>
        </w:rPr>
      </w:pPr>
      <w:bookmarkStart w:id="1485" w:name="DESCRIPTORALFABETICO325"/>
      <w:r w:rsidRPr="00AD3C82">
        <w:rPr>
          <w:rStyle w:val="TextoNormalNegritaCaracter"/>
        </w:rPr>
        <w:t>Proposición no de ley</w:t>
      </w:r>
      <w:bookmarkEnd w:id="1485"/>
      <w:r w:rsidRPr="00AD3C82">
        <w:rPr>
          <w:rStyle w:val="TextoNormalCaracter"/>
        </w:rPr>
        <w:t xml:space="preserve">, Sentencia </w:t>
      </w:r>
      <w:hyperlink w:anchor="SENTENCIA_2016_212" w:history="1">
        <w:r w:rsidRPr="00AD3C82">
          <w:rPr>
            <w:rStyle w:val="TextoNormalCaracter"/>
          </w:rPr>
          <w:t>212/2016</w:t>
        </w:r>
      </w:hyperlink>
      <w:r w:rsidRPr="00AD3C82">
        <w:rPr>
          <w:rStyle w:val="TextoNormalCaracter"/>
        </w:rPr>
        <w:t>, ff. 1 a 6.</w:t>
      </w:r>
    </w:p>
    <w:p w:rsidR="00AD3C82" w:rsidRPr="00AD3C82" w:rsidRDefault="00AD3C82" w:rsidP="00AD3C82">
      <w:pPr>
        <w:pStyle w:val="TextoNormalSangraFrancesa"/>
        <w:rPr>
          <w:rStyle w:val="TextoNormalCaracter"/>
        </w:rPr>
      </w:pPr>
      <w:bookmarkStart w:id="1486" w:name="DESCRIPTORALFABETICO277"/>
      <w:r w:rsidRPr="00AD3C82">
        <w:rPr>
          <w:rStyle w:val="TextoNormalNegritaCaracter"/>
        </w:rPr>
        <w:t>Protección de datos de carácter personal en las resoluciones del Tribunal Constitucional</w:t>
      </w:r>
      <w:bookmarkEnd w:id="1486"/>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 2 c).</w:t>
      </w:r>
    </w:p>
    <w:p w:rsidR="00AD3C82" w:rsidRPr="00AD3C82" w:rsidRDefault="00AD3C82" w:rsidP="00AD3C82">
      <w:pPr>
        <w:pStyle w:val="TextoNormalSangraFrancesa"/>
        <w:rPr>
          <w:rStyle w:val="TextoNormalCaracter"/>
        </w:rPr>
      </w:pPr>
      <w:bookmarkStart w:id="1487" w:name="DESCRIPTORALFABETICO473"/>
      <w:r w:rsidRPr="00AD3C82">
        <w:rPr>
          <w:rStyle w:val="TextoNormalNegritaCaracter"/>
        </w:rPr>
        <w:t>Protección del medio ambiente</w:t>
      </w:r>
      <w:bookmarkEnd w:id="1487"/>
      <w:r w:rsidRPr="00AD3C82">
        <w:rPr>
          <w:rStyle w:val="TextoNormalCaracter"/>
        </w:rPr>
        <w:t xml:space="preserve">, Sentencias </w:t>
      </w:r>
      <w:hyperlink w:anchor="SENTENCIA_2016_141" w:history="1">
        <w:r w:rsidRPr="00AD3C82">
          <w:rPr>
            <w:rStyle w:val="TextoNormalCaracter"/>
          </w:rPr>
          <w:t>141/2016</w:t>
        </w:r>
      </w:hyperlink>
      <w:r w:rsidRPr="00AD3C82">
        <w:rPr>
          <w:rStyle w:val="TextoNormalCaracter"/>
        </w:rPr>
        <w:t xml:space="preserve">, ff. 1 a 9; </w:t>
      </w:r>
      <w:hyperlink w:anchor="SENTENCIA_2016_157" w:history="1">
        <w:r w:rsidRPr="00AD3C82">
          <w:rPr>
            <w:rStyle w:val="TextoNormalCaracter"/>
          </w:rPr>
          <w:t>157/2016</w:t>
        </w:r>
      </w:hyperlink>
      <w:r w:rsidRPr="00AD3C82">
        <w:rPr>
          <w:rStyle w:val="TextoNormalCaracter"/>
        </w:rPr>
        <w:t>, ff. 1, 2, 4 a 6, 8, 9, VP.</w:t>
      </w:r>
    </w:p>
    <w:p w:rsidR="00AD3C82" w:rsidRPr="00AD3C82" w:rsidRDefault="00AD3C82" w:rsidP="00AD3C82">
      <w:pPr>
        <w:pStyle w:val="TextoNormalSangraFrancesa"/>
        <w:rPr>
          <w:rStyle w:val="TextoNormalCaracter"/>
        </w:rPr>
      </w:pPr>
      <w:bookmarkStart w:id="1488" w:name="DESCRIPTORALFABETICO181"/>
      <w:r w:rsidRPr="00AD3C82">
        <w:rPr>
          <w:rStyle w:val="TextoNormalNegritaCaracter"/>
        </w:rPr>
        <w:t>Protección jurisdiccional en el orden social</w:t>
      </w:r>
      <w:bookmarkEnd w:id="1488"/>
      <w:r w:rsidRPr="00AD3C82">
        <w:rPr>
          <w:rStyle w:val="TextoNormalCaracter"/>
        </w:rPr>
        <w:t xml:space="preserve">, Sentencia </w:t>
      </w:r>
      <w:hyperlink w:anchor="SENTENCIA_2016_149" w:history="1">
        <w:r w:rsidRPr="00AD3C82">
          <w:rPr>
            <w:rStyle w:val="TextoNormalCaracter"/>
          </w:rPr>
          <w:t>149/2016</w:t>
        </w:r>
      </w:hyperlink>
      <w:r w:rsidRPr="00AD3C82">
        <w:rPr>
          <w:rStyle w:val="TextoNormalCaracter"/>
        </w:rPr>
        <w:t>, ff. 3 a 6.</w:t>
      </w:r>
    </w:p>
    <w:p w:rsidR="00AD3C82" w:rsidRPr="00AD3C82" w:rsidRDefault="00AD3C82" w:rsidP="00AD3C82">
      <w:pPr>
        <w:pStyle w:val="TextoNormalSangraFrancesa"/>
        <w:rPr>
          <w:rStyle w:val="TextoNormalCaracter"/>
        </w:rPr>
      </w:pPr>
      <w:bookmarkStart w:id="1489" w:name="DESCRIPTORALFABETICO550"/>
      <w:r w:rsidRPr="00AD3C82">
        <w:rPr>
          <w:rStyle w:val="TextoNormalNegritaCaracter"/>
        </w:rPr>
        <w:t>Protección social</w:t>
      </w:r>
      <w:bookmarkEnd w:id="1489"/>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9.</w:t>
      </w:r>
    </w:p>
    <w:p w:rsidR="00AD3C82" w:rsidRPr="00AD3C82" w:rsidRDefault="00AD3C82" w:rsidP="00AD3C82">
      <w:pPr>
        <w:pStyle w:val="TextoNormalSangraFrancesa"/>
        <w:rPr>
          <w:rStyle w:val="TextoNormalCaracter"/>
        </w:rPr>
      </w:pPr>
      <w:bookmarkStart w:id="1490" w:name="DESCRIPTORALFABETICO672"/>
      <w:r w:rsidRPr="00AD3C82">
        <w:rPr>
          <w:rStyle w:val="TextoNormalNegritaCaracter"/>
        </w:rPr>
        <w:t>Prueba de cargo suficiente</w:t>
      </w:r>
      <w:bookmarkEnd w:id="1490"/>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491" w:name="DESCRIPTORALFABETICO489"/>
      <w:r w:rsidRPr="00AD3C82">
        <w:rPr>
          <w:rStyle w:val="TextoNormalNegritaCaracter"/>
        </w:rPr>
        <w:t>Prueba de los usos y costumbres</w:t>
      </w:r>
      <w:bookmarkEnd w:id="1491"/>
      <w:r w:rsidRPr="00AD3C82">
        <w:rPr>
          <w:rStyle w:val="TextoNormalCaracter"/>
        </w:rPr>
        <w:t xml:space="preserve">, Sentencia </w:t>
      </w:r>
      <w:hyperlink w:anchor="SENTENCIA_2016_192" w:history="1">
        <w:r w:rsidRPr="00AD3C82">
          <w:rPr>
            <w:rStyle w:val="TextoNormalCaracter"/>
          </w:rPr>
          <w:t>192/2016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492" w:name="DESCRIPTORALFABETICO416"/>
      <w:r w:rsidRPr="00AD3C82">
        <w:rPr>
          <w:rStyle w:val="TextoNormalNegritaCaracter"/>
        </w:rPr>
        <w:t>Puestos de libre designación</w:t>
      </w:r>
      <w:bookmarkEnd w:id="1492"/>
      <w:r w:rsidRPr="00AD3C82">
        <w:rPr>
          <w:rStyle w:val="TextoNormalCaracter"/>
        </w:rPr>
        <w:t xml:space="preserve">, Auto </w:t>
      </w:r>
      <w:hyperlink w:anchor="AUTO_2016_176" w:history="1">
        <w:r w:rsidRPr="00AD3C82">
          <w:rPr>
            <w:rStyle w:val="TextoNormalCaracter"/>
          </w:rPr>
          <w:t>176/2016</w:t>
        </w:r>
      </w:hyperlink>
      <w:r w:rsidRPr="00AD3C82">
        <w:rPr>
          <w:rStyle w:val="TextoNormalCaracter"/>
        </w:rPr>
        <w:t>, ff. de 4 a 7.</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Q</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493" w:name="DESCRIPTORALFABETICO663"/>
      <w:r w:rsidRPr="00AD3C82">
        <w:rPr>
          <w:rStyle w:val="TextoNormalNegritaCaracter"/>
        </w:rPr>
        <w:t>Querella</w:t>
      </w:r>
      <w:bookmarkEnd w:id="1493"/>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2, 3, 5.</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R</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494" w:name="DESCRIPTORALFABETICO475"/>
      <w:r w:rsidRPr="00AD3C82">
        <w:rPr>
          <w:rStyle w:val="TextoNormalNegritaCaracter"/>
        </w:rPr>
        <w:t>Radiotelevisión pública</w:t>
      </w:r>
      <w:bookmarkEnd w:id="1494"/>
      <w:r w:rsidRPr="00AD3C82">
        <w:rPr>
          <w:rStyle w:val="TextoNormalCaracter"/>
        </w:rPr>
        <w:t xml:space="preserve">, Sentencia </w:t>
      </w:r>
      <w:hyperlink w:anchor="SENTENCIA_2016_153" w:history="1">
        <w:r w:rsidRPr="00AD3C82">
          <w:rPr>
            <w:rStyle w:val="TextoNormalCaracter"/>
          </w:rPr>
          <w:t>153/2016</w:t>
        </w:r>
      </w:hyperlink>
      <w:r w:rsidRPr="00AD3C82">
        <w:rPr>
          <w:rStyle w:val="TextoNormalCaracter"/>
        </w:rPr>
        <w:t>, ff. 1 a 3.</w:t>
      </w:r>
    </w:p>
    <w:p w:rsidR="00AD3C82" w:rsidRPr="00AD3C82" w:rsidRDefault="00AD3C82" w:rsidP="00AD3C82">
      <w:pPr>
        <w:pStyle w:val="TextoNormalSangraFrancesa"/>
        <w:rPr>
          <w:rStyle w:val="TextoNormalCaracter"/>
        </w:rPr>
      </w:pPr>
      <w:bookmarkStart w:id="1495" w:name="DESCRIPTORALFABETICO131"/>
      <w:r w:rsidRPr="00AD3C82">
        <w:rPr>
          <w:rStyle w:val="TextoNormalNegritaCaracter"/>
        </w:rPr>
        <w:t>Ratificación judicial del internamiento psiquiátrico</w:t>
      </w:r>
      <w:bookmarkEnd w:id="1495"/>
      <w:r w:rsidRPr="00AD3C82">
        <w:rPr>
          <w:rStyle w:val="TextoNormalCaracter"/>
        </w:rPr>
        <w:t xml:space="preserve">, Sentencia </w:t>
      </w:r>
      <w:hyperlink w:anchor="SENTENCIA_2016_132" w:history="1">
        <w:r w:rsidRPr="00AD3C82">
          <w:rPr>
            <w:rStyle w:val="TextoNormalCaracter"/>
          </w:rPr>
          <w:t>132/2016</w:t>
        </w:r>
      </w:hyperlink>
      <w:r w:rsidRPr="00AD3C82">
        <w:rPr>
          <w:rStyle w:val="TextoNormalCaracter"/>
        </w:rPr>
        <w:t>, ff. 4, 5.</w:t>
      </w:r>
    </w:p>
    <w:p w:rsidR="00AD3C82" w:rsidRPr="00AD3C82" w:rsidRDefault="00AD3C82" w:rsidP="00AD3C82">
      <w:pPr>
        <w:pStyle w:val="TextoNormalSangraFrancesa"/>
        <w:rPr>
          <w:rStyle w:val="TextoNormalCaracter"/>
        </w:rPr>
      </w:pPr>
      <w:bookmarkStart w:id="1496" w:name="DESCRIPTORALFABETICO544"/>
      <w:r w:rsidRPr="00AD3C82">
        <w:rPr>
          <w:rStyle w:val="TextoNormalNegritaCaracter"/>
        </w:rPr>
        <w:t>Reclamaciones económico-administrativas</w:t>
      </w:r>
      <w:bookmarkEnd w:id="1496"/>
      <w:r w:rsidRPr="00AD3C82">
        <w:rPr>
          <w:rStyle w:val="TextoNormalCaracter"/>
        </w:rPr>
        <w:t xml:space="preserve">, Sentencia </w:t>
      </w:r>
      <w:hyperlink w:anchor="SENTENCIA_2016_133" w:history="1">
        <w:r w:rsidRPr="00AD3C82">
          <w:rPr>
            <w:rStyle w:val="TextoNormalCaracter"/>
          </w:rPr>
          <w:t>133/2016</w:t>
        </w:r>
      </w:hyperlink>
      <w:r w:rsidRPr="00AD3C82">
        <w:rPr>
          <w:rStyle w:val="TextoNormalCaracter"/>
        </w:rPr>
        <w:t>, ff. 1, 5.</w:t>
      </w:r>
    </w:p>
    <w:p w:rsidR="00AD3C82" w:rsidRPr="00AD3C82" w:rsidRDefault="00AD3C82" w:rsidP="00AD3C82">
      <w:pPr>
        <w:pStyle w:val="TextoNormalSangraFrancesa"/>
        <w:rPr>
          <w:rStyle w:val="TextoNormalCaracter"/>
        </w:rPr>
      </w:pPr>
      <w:bookmarkStart w:id="1497" w:name="DESCRIPTORALFABETICO251"/>
      <w:r w:rsidRPr="00AD3C82">
        <w:rPr>
          <w:rStyle w:val="TextoNormalNegritaCaracter"/>
        </w:rPr>
        <w:t>Recurso de amparo contra actos judiciales</w:t>
      </w:r>
      <w:bookmarkEnd w:id="1497"/>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1, 3 a 6; </w:t>
      </w:r>
      <w:hyperlink w:anchor="SENTENCIA_2016_138" w:history="1">
        <w:r w:rsidRPr="00AD3C82">
          <w:rPr>
            <w:rStyle w:val="TextoNormalCaracter"/>
          </w:rPr>
          <w:t>138/2016</w:t>
        </w:r>
      </w:hyperlink>
      <w:r w:rsidRPr="00AD3C82">
        <w:rPr>
          <w:rStyle w:val="TextoNormalCaracter"/>
        </w:rPr>
        <w:t>, f. 1.</w:t>
      </w:r>
    </w:p>
    <w:p w:rsidR="00AD3C82" w:rsidRPr="00AD3C82" w:rsidRDefault="00AD3C82" w:rsidP="00AD3C82">
      <w:pPr>
        <w:pStyle w:val="TextoNormalSangraFrancesa"/>
        <w:rPr>
          <w:rStyle w:val="TextoNormalCaracter"/>
        </w:rPr>
      </w:pPr>
      <w:bookmarkStart w:id="1498" w:name="DESCRIPTORALFABETICO252"/>
      <w:r w:rsidRPr="00AD3C82">
        <w:rPr>
          <w:rStyle w:val="TextoNormalNegritaCaracter"/>
        </w:rPr>
        <w:t>Recurso de amparo contra actos parlamentarios</w:t>
      </w:r>
      <w:bookmarkEnd w:id="1498"/>
      <w:r w:rsidRPr="00AD3C82">
        <w:rPr>
          <w:rStyle w:val="TextoNormalCaracter"/>
        </w:rPr>
        <w:t xml:space="preserve">, Sentencias </w:t>
      </w:r>
      <w:hyperlink w:anchor="SENTENCIA_2016_143" w:history="1">
        <w:r w:rsidRPr="00AD3C82">
          <w:rPr>
            <w:rStyle w:val="TextoNormalCaracter"/>
          </w:rPr>
          <w:t>143/2016</w:t>
        </w:r>
      </w:hyperlink>
      <w:r w:rsidRPr="00AD3C82">
        <w:rPr>
          <w:rStyle w:val="TextoNormalCaracter"/>
        </w:rPr>
        <w:t xml:space="preserve">, f. 2; </w:t>
      </w:r>
      <w:hyperlink w:anchor="SENTENCIA_2016_199" w:history="1">
        <w:r w:rsidRPr="00AD3C82">
          <w:rPr>
            <w:rStyle w:val="TextoNormalCaracter"/>
          </w:rPr>
          <w:t>199/2016</w:t>
        </w:r>
      </w:hyperlink>
      <w:r w:rsidRPr="00AD3C82">
        <w:rPr>
          <w:rStyle w:val="TextoNormalCaracter"/>
        </w:rPr>
        <w:t xml:space="preserve">, f. 2; </w:t>
      </w:r>
      <w:hyperlink w:anchor="SENTENCIA_2016_224" w:history="1">
        <w:r w:rsidRPr="00AD3C82">
          <w:rPr>
            <w:rStyle w:val="TextoNormalCaracter"/>
          </w:rPr>
          <w:t>224/2016</w:t>
        </w:r>
      </w:hyperlink>
      <w:r w:rsidRPr="00AD3C82">
        <w:rPr>
          <w:rStyle w:val="TextoNormalCaracter"/>
        </w:rPr>
        <w:t xml:space="preserve">, ff. 1 a 5; </w:t>
      </w:r>
      <w:hyperlink w:anchor="SENTENCIA_2016_225" w:history="1">
        <w:r w:rsidRPr="00AD3C82">
          <w:rPr>
            <w:rStyle w:val="TextoNormalCaracter"/>
          </w:rPr>
          <w:t>225/2016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499" w:name="DESCRIPTORALFABETICO247"/>
      <w:r w:rsidRPr="00AD3C82">
        <w:rPr>
          <w:rStyle w:val="TextoNormalNegritaCaracter"/>
        </w:rPr>
        <w:t>Recurso de amparo mixto</w:t>
      </w:r>
      <w:bookmarkEnd w:id="1499"/>
      <w:r w:rsidRPr="00AD3C82">
        <w:rPr>
          <w:rStyle w:val="TextoNormalCaracter"/>
        </w:rPr>
        <w:t xml:space="preserve">, Sentencias </w:t>
      </w:r>
      <w:hyperlink w:anchor="SENTENCIA_2016_136" w:history="1">
        <w:r w:rsidRPr="00AD3C82">
          <w:rPr>
            <w:rStyle w:val="TextoNormalCaracter"/>
          </w:rPr>
          <w:t>136/2016</w:t>
        </w:r>
      </w:hyperlink>
      <w:r w:rsidRPr="00AD3C82">
        <w:rPr>
          <w:rStyle w:val="TextoNormalCaracter"/>
        </w:rPr>
        <w:t xml:space="preserve">, f. 2; </w:t>
      </w:r>
      <w:hyperlink w:anchor="SENTENCIA_2016_198" w:history="1">
        <w:r w:rsidRPr="00AD3C82">
          <w:rPr>
            <w:rStyle w:val="TextoNormalCaracter"/>
          </w:rPr>
          <w:t>198/2016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500" w:name="DESCRIPTORALFABETICO245"/>
      <w:r w:rsidRPr="00AD3C82">
        <w:rPr>
          <w:rStyle w:val="TextoNormalNegritaCaracter"/>
        </w:rPr>
        <w:t>Recurso de amparo no es una nueva instancia</w:t>
      </w:r>
      <w:bookmarkEnd w:id="1500"/>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 4.</w:t>
      </w:r>
    </w:p>
    <w:p w:rsidR="00AD3C82" w:rsidRPr="00AD3C82" w:rsidRDefault="00AD3C82" w:rsidP="00AD3C82">
      <w:pPr>
        <w:pStyle w:val="TextoNormalSangraFrancesa"/>
        <w:rPr>
          <w:rStyle w:val="TextoNormalCaracter"/>
        </w:rPr>
      </w:pPr>
      <w:bookmarkStart w:id="1501" w:name="DESCRIPTORALFABETICO646"/>
      <w:r w:rsidRPr="00AD3C82">
        <w:rPr>
          <w:rStyle w:val="TextoNormalNegritaCaracter"/>
        </w:rPr>
        <w:t>Recurso de casación para la unificación de doctrina</w:t>
      </w:r>
      <w:bookmarkEnd w:id="1501"/>
      <w:r w:rsidRPr="00AD3C82">
        <w:rPr>
          <w:rStyle w:val="TextoNormalCaracter"/>
        </w:rPr>
        <w:t xml:space="preserve">, </w:t>
      </w:r>
    </w:p>
    <w:p w:rsidR="00AD3C82" w:rsidRPr="00AD3C82" w:rsidRDefault="00AD3C82" w:rsidP="00AD3C82">
      <w:pPr>
        <w:pStyle w:val="TextoNormalSangraFrancesa"/>
        <w:rPr>
          <w:rStyle w:val="TextoNormalCaracter"/>
        </w:rPr>
      </w:pPr>
      <w:r w:rsidRPr="00AD3C82">
        <w:rPr>
          <w:rStyle w:val="TextoNormalCursivaCaracter"/>
        </w:rPr>
        <w:t xml:space="preserve">    Objeto, </w:t>
      </w:r>
      <w:r w:rsidRPr="00AD3C82">
        <w:rPr>
          <w:rStyle w:val="TextoNormalCaracter"/>
        </w:rPr>
        <w:t xml:space="preserve">Sentencia </w:t>
      </w:r>
      <w:hyperlink w:anchor="SENTENCIA_2016_147" w:history="1">
        <w:r w:rsidRPr="00AD3C82">
          <w:rPr>
            <w:rStyle w:val="TextoNormalCaracter"/>
          </w:rPr>
          <w:t>147/2016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502" w:name="DESCRIPTORALFABETICO207"/>
      <w:r w:rsidRPr="00AD3C82">
        <w:rPr>
          <w:rStyle w:val="TextoNormalNegritaCaracter"/>
        </w:rPr>
        <w:t>Recurso de súplica contra providencias del Tribunal Constitucional</w:t>
      </w:r>
      <w:bookmarkEnd w:id="1502"/>
      <w:r w:rsidRPr="00AD3C82">
        <w:rPr>
          <w:rStyle w:val="TextoNormalCaracter"/>
        </w:rPr>
        <w:t xml:space="preserve">, Auto </w:t>
      </w:r>
      <w:hyperlink w:anchor="AUTO_2016_181" w:history="1">
        <w:r w:rsidRPr="00AD3C82">
          <w:rPr>
            <w:rStyle w:val="TextoNormalCaracter"/>
          </w:rPr>
          <w:t>181/2016</w:t>
        </w:r>
      </w:hyperlink>
      <w:r w:rsidRPr="00AD3C82">
        <w:rPr>
          <w:rStyle w:val="TextoNormalCaracter"/>
        </w:rPr>
        <w:t>, f. único.</w:t>
      </w:r>
    </w:p>
    <w:p w:rsidR="00AD3C82" w:rsidRPr="00AD3C82" w:rsidRDefault="00AD3C82" w:rsidP="00AD3C82">
      <w:pPr>
        <w:pStyle w:val="TextoNormalSangraFrancesa"/>
        <w:rPr>
          <w:rStyle w:val="TextoNormalCaracter"/>
        </w:rPr>
      </w:pPr>
      <w:bookmarkStart w:id="1503" w:name="DESCRIPTORALFABETICO545"/>
      <w:r w:rsidRPr="00AD3C82">
        <w:rPr>
          <w:rStyle w:val="TextoNormalNegritaCaracter"/>
        </w:rPr>
        <w:t>Recurso tributario de anulación</w:t>
      </w:r>
      <w:bookmarkEnd w:id="1503"/>
      <w:r w:rsidRPr="00AD3C82">
        <w:rPr>
          <w:rStyle w:val="TextoNormalCaracter"/>
        </w:rPr>
        <w:t xml:space="preserve">, Sentencia </w:t>
      </w:r>
      <w:hyperlink w:anchor="SENTENCIA_2016_133" w:history="1">
        <w:r w:rsidRPr="00AD3C82">
          <w:rPr>
            <w:rStyle w:val="TextoNormalCaracter"/>
          </w:rPr>
          <w:t>133/2016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504" w:name="DESCRIPTORALFABETICO156"/>
      <w:r w:rsidRPr="00AD3C82">
        <w:rPr>
          <w:rStyle w:val="TextoNormalNegritaCaracter"/>
          <w:i/>
        </w:rPr>
        <w:t>Reformatio in peius</w:t>
      </w:r>
      <w:bookmarkEnd w:id="1504"/>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 5 e).</w:t>
      </w:r>
    </w:p>
    <w:p w:rsidR="00AD3C82" w:rsidRPr="00AD3C82" w:rsidRDefault="00AD3C82" w:rsidP="00AD3C82">
      <w:pPr>
        <w:pStyle w:val="TextoNormalSangraFrancesa"/>
        <w:rPr>
          <w:rStyle w:val="TextoNormalCaracter"/>
        </w:rPr>
      </w:pPr>
      <w:bookmarkStart w:id="1505" w:name="DESCRIPTORALFABETICO454"/>
      <w:r w:rsidRPr="00AD3C82">
        <w:rPr>
          <w:rStyle w:val="TextoNormalNegritaCaracter"/>
        </w:rPr>
        <w:t>Régimen económico del sector eléctrico</w:t>
      </w:r>
      <w:bookmarkEnd w:id="1505"/>
      <w:r w:rsidRPr="00AD3C82">
        <w:rPr>
          <w:rStyle w:val="TextoNormalCaracter"/>
        </w:rPr>
        <w:t xml:space="preserve">, Sentencias </w:t>
      </w:r>
      <w:hyperlink w:anchor="SENTENCIA_2016_167" w:history="1">
        <w:r w:rsidRPr="00AD3C82">
          <w:rPr>
            <w:rStyle w:val="TextoNormalCaracter"/>
          </w:rPr>
          <w:t>167/2016</w:t>
        </w:r>
      </w:hyperlink>
      <w:r w:rsidRPr="00AD3C82">
        <w:rPr>
          <w:rStyle w:val="TextoNormalCaracter"/>
        </w:rPr>
        <w:t xml:space="preserve">, ff. 3, 6; </w:t>
      </w:r>
      <w:hyperlink w:anchor="SENTENCIA_2016_174" w:history="1">
        <w:r w:rsidRPr="00AD3C82">
          <w:rPr>
            <w:rStyle w:val="TextoNormalCaracter"/>
          </w:rPr>
          <w:t>174/2016</w:t>
        </w:r>
      </w:hyperlink>
      <w:r w:rsidRPr="00AD3C82">
        <w:rPr>
          <w:rStyle w:val="TextoNormalCaracter"/>
        </w:rPr>
        <w:t xml:space="preserve">, ff. 1 a 3; </w:t>
      </w:r>
      <w:hyperlink w:anchor="SENTENCIA_2016_187" w:history="1">
        <w:r w:rsidRPr="00AD3C82">
          <w:rPr>
            <w:rStyle w:val="TextoNormalCaracter"/>
          </w:rPr>
          <w:t>187/2016</w:t>
        </w:r>
      </w:hyperlink>
      <w:r w:rsidRPr="00AD3C82">
        <w:rPr>
          <w:rStyle w:val="TextoNormalCaracter"/>
        </w:rPr>
        <w:t xml:space="preserve">, ff. 1 a 3; </w:t>
      </w:r>
      <w:hyperlink w:anchor="SENTENCIA_2016_188" w:history="1">
        <w:r w:rsidRPr="00AD3C82">
          <w:rPr>
            <w:rStyle w:val="TextoNormalCaracter"/>
          </w:rPr>
          <w:t>188/2016</w:t>
        </w:r>
      </w:hyperlink>
      <w:r w:rsidRPr="00AD3C82">
        <w:rPr>
          <w:rStyle w:val="TextoNormalCaracter"/>
        </w:rPr>
        <w:t xml:space="preserve">, ff. 1 a 3; </w:t>
      </w:r>
      <w:hyperlink w:anchor="SENTENCIA_2016_196" w:history="1">
        <w:r w:rsidRPr="00AD3C82">
          <w:rPr>
            <w:rStyle w:val="TextoNormalCaracter"/>
          </w:rPr>
          <w:t>196/2016</w:t>
        </w:r>
      </w:hyperlink>
      <w:r w:rsidRPr="00AD3C82">
        <w:rPr>
          <w:rStyle w:val="TextoNormalCaracter"/>
        </w:rPr>
        <w:t xml:space="preserve">, ff. 1 a 4; </w:t>
      </w:r>
      <w:hyperlink w:anchor="SENTENCIA_2016_197" w:history="1">
        <w:r w:rsidRPr="00AD3C82">
          <w:rPr>
            <w:rStyle w:val="TextoNormalCaracter"/>
          </w:rPr>
          <w:t>197/2016</w:t>
        </w:r>
      </w:hyperlink>
      <w:r w:rsidRPr="00AD3C82">
        <w:rPr>
          <w:rStyle w:val="TextoNormalCaracter"/>
        </w:rPr>
        <w:t xml:space="preserve">, ff. 1 a 3; </w:t>
      </w:r>
      <w:hyperlink w:anchor="SENTENCIA_2016_198" w:history="1">
        <w:r w:rsidRPr="00AD3C82">
          <w:rPr>
            <w:rStyle w:val="TextoNormalCaracter"/>
          </w:rPr>
          <w:t>198/2016</w:t>
        </w:r>
      </w:hyperlink>
      <w:r w:rsidRPr="00AD3C82">
        <w:rPr>
          <w:rStyle w:val="TextoNormalCaracter"/>
        </w:rPr>
        <w:t>, ff. 1 a 5.</w:t>
      </w:r>
    </w:p>
    <w:p w:rsidR="00AD3C82" w:rsidRPr="00AD3C82" w:rsidRDefault="00AD3C82" w:rsidP="00AD3C82">
      <w:pPr>
        <w:pStyle w:val="TextoNormalSangraFrancesa"/>
        <w:rPr>
          <w:rStyle w:val="TextoNormalCaracter"/>
        </w:rPr>
      </w:pPr>
      <w:bookmarkStart w:id="1506" w:name="DESCRIPTORALFABETICO460"/>
      <w:r w:rsidRPr="00AD3C82">
        <w:rPr>
          <w:rStyle w:val="TextoNormalNegritaCaracter"/>
        </w:rPr>
        <w:t>Régimen energético</w:t>
      </w:r>
      <w:bookmarkEnd w:id="1506"/>
      <w:r w:rsidRPr="00AD3C82">
        <w:rPr>
          <w:rStyle w:val="TextoNormalCaracter"/>
        </w:rPr>
        <w:t xml:space="preserve">, Sentencia </w:t>
      </w:r>
      <w:hyperlink w:anchor="SENTENCIA_2016_171" w:history="1">
        <w:r w:rsidRPr="00AD3C82">
          <w:rPr>
            <w:rStyle w:val="TextoNormalCaracter"/>
          </w:rPr>
          <w:t>171/2016</w:t>
        </w:r>
      </w:hyperlink>
      <w:r w:rsidRPr="00AD3C82">
        <w:rPr>
          <w:rStyle w:val="TextoNormalCaracter"/>
        </w:rPr>
        <w:t>, ff. 2 a 6.</w:t>
      </w:r>
    </w:p>
    <w:p w:rsidR="00AD3C82" w:rsidRPr="00AD3C82" w:rsidRDefault="00AD3C82" w:rsidP="00AD3C82">
      <w:pPr>
        <w:pStyle w:val="TextoNormalSangraFrancesa"/>
        <w:rPr>
          <w:rStyle w:val="TextoNormalCaracter"/>
        </w:rPr>
      </w:pPr>
      <w:bookmarkStart w:id="1507" w:name="DESCRIPTORALFABETICO411"/>
      <w:r w:rsidRPr="00AD3C82">
        <w:rPr>
          <w:rStyle w:val="TextoNormalNegritaCaracter"/>
        </w:rPr>
        <w:t>Régimen estatutario</w:t>
      </w:r>
      <w:bookmarkEnd w:id="1507"/>
      <w:r w:rsidRPr="00AD3C82">
        <w:rPr>
          <w:rStyle w:val="TextoNormalCaracter"/>
        </w:rPr>
        <w:t xml:space="preserve">, Sentencia </w:t>
      </w:r>
      <w:hyperlink w:anchor="SENTENCIA_2016_158" w:history="1">
        <w:r w:rsidRPr="00AD3C82">
          <w:rPr>
            <w:rStyle w:val="TextoNormalCaracter"/>
          </w:rPr>
          <w:t>158/2016</w:t>
        </w:r>
      </w:hyperlink>
      <w:r w:rsidRPr="00AD3C82">
        <w:rPr>
          <w:rStyle w:val="TextoNormalCaracter"/>
        </w:rPr>
        <w:t>, ff. 1, 3 a 6.</w:t>
      </w:r>
    </w:p>
    <w:p w:rsidR="00AD3C82" w:rsidRPr="00AD3C82" w:rsidRDefault="00AD3C82" w:rsidP="00AD3C82">
      <w:pPr>
        <w:pStyle w:val="TextoNormalSangraFrancesa"/>
        <w:rPr>
          <w:rStyle w:val="TextoNormalCaracter"/>
        </w:rPr>
      </w:pPr>
      <w:bookmarkStart w:id="1508" w:name="DESCRIPTORALFABETICO303"/>
      <w:r w:rsidRPr="00AD3C82">
        <w:rPr>
          <w:rStyle w:val="TextoNormalNegritaCaracter"/>
        </w:rPr>
        <w:t>Régimen jurídico de las Administraciones públicas</w:t>
      </w:r>
      <w:bookmarkEnd w:id="1508"/>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7.</w:t>
      </w:r>
    </w:p>
    <w:p w:rsidR="00AD3C82" w:rsidRPr="00AD3C82" w:rsidRDefault="00AD3C82" w:rsidP="00AD3C82">
      <w:pPr>
        <w:pStyle w:val="TextoNormalSangraFrancesa"/>
        <w:rPr>
          <w:rStyle w:val="TextoNormalCaracter"/>
        </w:rPr>
      </w:pPr>
      <w:bookmarkStart w:id="1509" w:name="DESCRIPTORALFABETICO587"/>
      <w:r w:rsidRPr="00AD3C82">
        <w:rPr>
          <w:rStyle w:val="TextoNormalNegritaCaracter"/>
        </w:rPr>
        <w:t>Régimen sancionador en el orden social</w:t>
      </w:r>
      <w:bookmarkEnd w:id="1509"/>
      <w:r w:rsidRPr="00AD3C82">
        <w:rPr>
          <w:rStyle w:val="TextoNormalCaracter"/>
        </w:rPr>
        <w:t xml:space="preserve">, Sentencia </w:t>
      </w:r>
      <w:hyperlink w:anchor="SENTENCIA_2016_159" w:history="1">
        <w:r w:rsidRPr="00AD3C82">
          <w:rPr>
            <w:rStyle w:val="TextoNormalCaracter"/>
          </w:rPr>
          <w:t>159/2016</w:t>
        </w:r>
      </w:hyperlink>
      <w:r w:rsidRPr="00AD3C82">
        <w:rPr>
          <w:rStyle w:val="TextoNormalCaracter"/>
        </w:rPr>
        <w:t>, f. 9.</w:t>
      </w:r>
    </w:p>
    <w:p w:rsidR="00AD3C82" w:rsidRPr="00AD3C82" w:rsidRDefault="00AD3C82" w:rsidP="00AD3C82">
      <w:pPr>
        <w:pStyle w:val="TextoNormalSangraFrancesa"/>
        <w:rPr>
          <w:rStyle w:val="TextoNormalCaracter"/>
        </w:rPr>
      </w:pPr>
      <w:bookmarkStart w:id="1510" w:name="DESCRIPTORALFABETICO689"/>
      <w:r w:rsidRPr="00AD3C82">
        <w:rPr>
          <w:rStyle w:val="TextoNormalNegritaCaracter"/>
        </w:rPr>
        <w:t>Región de Murcia</w:t>
      </w:r>
      <w:bookmarkEnd w:id="1510"/>
      <w:r w:rsidRPr="00AD3C82">
        <w:rPr>
          <w:rStyle w:val="TextoNormalCaracter"/>
        </w:rPr>
        <w:t xml:space="preserve">, Sentencia </w:t>
      </w:r>
      <w:hyperlink w:anchor="SENTENCIA_2016_205" w:history="1">
        <w:r w:rsidRPr="00AD3C82">
          <w:rPr>
            <w:rStyle w:val="TextoNormalCaracter"/>
          </w:rPr>
          <w:t>205/2016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511" w:name="DESCRIPTORALFABETICO349"/>
      <w:r w:rsidRPr="00AD3C82">
        <w:rPr>
          <w:rStyle w:val="TextoNormalNegritaCaracter"/>
        </w:rPr>
        <w:t>Reglamentos parlamentarios</w:t>
      </w:r>
      <w:bookmarkEnd w:id="1511"/>
      <w:r w:rsidRPr="00AD3C82">
        <w:rPr>
          <w:rStyle w:val="TextoNormalCaracter"/>
        </w:rPr>
        <w:t xml:space="preserve">, Sentencias </w:t>
      </w:r>
      <w:hyperlink w:anchor="SENTENCIA_2016_224" w:history="1">
        <w:r w:rsidRPr="00AD3C82">
          <w:rPr>
            <w:rStyle w:val="TextoNormalCaracter"/>
          </w:rPr>
          <w:t>224/2016</w:t>
        </w:r>
      </w:hyperlink>
      <w:r w:rsidRPr="00AD3C82">
        <w:rPr>
          <w:rStyle w:val="TextoNormalCaracter"/>
        </w:rPr>
        <w:t xml:space="preserve">, ff. 1, 3; </w:t>
      </w:r>
      <w:hyperlink w:anchor="SENTENCIA_2016_225" w:history="1">
        <w:r w:rsidRPr="00AD3C82">
          <w:rPr>
            <w:rStyle w:val="TextoNormalCaracter"/>
          </w:rPr>
          <w:t>225/2016</w:t>
        </w:r>
      </w:hyperlink>
      <w:r w:rsidRPr="00AD3C82">
        <w:rPr>
          <w:rStyle w:val="TextoNormalCaracter"/>
        </w:rPr>
        <w:t>, ff. 1, 3.</w:t>
      </w:r>
    </w:p>
    <w:p w:rsidR="00AD3C82" w:rsidRPr="00AD3C82" w:rsidRDefault="00AD3C82" w:rsidP="00AD3C82">
      <w:pPr>
        <w:pStyle w:val="TextoNormalSangraFrancesa"/>
        <w:rPr>
          <w:rStyle w:val="TextoNormalCaracter"/>
        </w:rPr>
      </w:pPr>
      <w:bookmarkStart w:id="1512" w:name="DESCRIPTORALFABETICO520"/>
      <w:r w:rsidRPr="00AD3C82">
        <w:rPr>
          <w:rStyle w:val="TextoNormalNegritaCaracter"/>
        </w:rPr>
        <w:t>Reglas de resolución de conflicto de normas</w:t>
      </w:r>
      <w:bookmarkEnd w:id="1512"/>
      <w:r w:rsidRPr="00AD3C82">
        <w:rPr>
          <w:rStyle w:val="TextoNormalCaracter"/>
        </w:rPr>
        <w:t xml:space="preserve">, Sentencia </w:t>
      </w:r>
      <w:hyperlink w:anchor="SENTENCIA_2016_127" w:history="1">
        <w:r w:rsidRPr="00AD3C82">
          <w:rPr>
            <w:rStyle w:val="TextoNormalCaracter"/>
          </w:rPr>
          <w:t>127/2016</w:t>
        </w:r>
      </w:hyperlink>
      <w:r w:rsidRPr="00AD3C82">
        <w:rPr>
          <w:rStyle w:val="TextoNormalCaracter"/>
        </w:rPr>
        <w:t>, f. 2.</w:t>
      </w:r>
    </w:p>
    <w:p w:rsidR="00AD3C82" w:rsidRPr="00AD3C82" w:rsidRDefault="00AD3C82" w:rsidP="00AD3C82">
      <w:pPr>
        <w:pStyle w:val="TextoNormalSangraFrancesa"/>
        <w:rPr>
          <w:rStyle w:val="TextoNormalCaracter"/>
        </w:rPr>
      </w:pPr>
      <w:bookmarkStart w:id="1513" w:name="DESCRIPTORALFABETICO287"/>
      <w:r w:rsidRPr="00AD3C82">
        <w:rPr>
          <w:rStyle w:val="TextoNormalNegritaCaracter"/>
        </w:rPr>
        <w:t>Relaciones entre órganos constitucionales</w:t>
      </w:r>
      <w:bookmarkEnd w:id="1513"/>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514" w:name="DESCRIPTORALFABETICO588"/>
      <w:r w:rsidRPr="00AD3C82">
        <w:rPr>
          <w:rStyle w:val="TextoNormalNegritaCaracter"/>
        </w:rPr>
        <w:t>Relaciones laborales</w:t>
      </w:r>
      <w:bookmarkEnd w:id="1514"/>
      <w:r w:rsidRPr="00AD3C82">
        <w:rPr>
          <w:rStyle w:val="TextoNormalCaracter"/>
        </w:rPr>
        <w:t xml:space="preserve">, Sentencia </w:t>
      </w:r>
      <w:hyperlink w:anchor="SENTENCIA_2016_159" w:history="1">
        <w:r w:rsidRPr="00AD3C82">
          <w:rPr>
            <w:rStyle w:val="TextoNormalCaracter"/>
          </w:rPr>
          <w:t>159/2016</w:t>
        </w:r>
      </w:hyperlink>
      <w:r w:rsidRPr="00AD3C82">
        <w:rPr>
          <w:rStyle w:val="TextoNormalCaracter"/>
        </w:rPr>
        <w:t>, ff. 2 a 9.</w:t>
      </w:r>
    </w:p>
    <w:p w:rsidR="00AD3C82" w:rsidRPr="00AD3C82" w:rsidRDefault="00AD3C82" w:rsidP="00AD3C82">
      <w:pPr>
        <w:pStyle w:val="TextoNormalSangraFrancesa"/>
        <w:rPr>
          <w:rStyle w:val="TextoNormalCaracter"/>
        </w:rPr>
      </w:pPr>
      <w:bookmarkStart w:id="1515" w:name="DESCRIPTORALFABETICO264"/>
      <w:r w:rsidRPr="00AD3C82">
        <w:rPr>
          <w:rStyle w:val="TextoNormalNegritaCaracter"/>
        </w:rPr>
        <w:t>Repercusión política del asunto</w:t>
      </w:r>
      <w:bookmarkEnd w:id="1515"/>
      <w:r w:rsidRPr="00AD3C82">
        <w:rPr>
          <w:rStyle w:val="TextoNormalCaracter"/>
        </w:rPr>
        <w:t xml:space="preserve">, Sentencias </w:t>
      </w:r>
      <w:hyperlink w:anchor="SENTENCIA_2016_143" w:history="1">
        <w:r w:rsidRPr="00AD3C82">
          <w:rPr>
            <w:rStyle w:val="TextoNormalCaracter"/>
          </w:rPr>
          <w:t>143/2016</w:t>
        </w:r>
      </w:hyperlink>
      <w:r w:rsidRPr="00AD3C82">
        <w:rPr>
          <w:rStyle w:val="TextoNormalCaracter"/>
        </w:rPr>
        <w:t xml:space="preserve">, f. 2; </w:t>
      </w:r>
      <w:hyperlink w:anchor="SENTENCIA_2016_199" w:history="1">
        <w:r w:rsidRPr="00AD3C82">
          <w:rPr>
            <w:rStyle w:val="TextoNormalCaracter"/>
          </w:rPr>
          <w:t>199/2016</w:t>
        </w:r>
      </w:hyperlink>
      <w:r w:rsidRPr="00AD3C82">
        <w:rPr>
          <w:rStyle w:val="TextoNormalCaracter"/>
        </w:rPr>
        <w:t xml:space="preserve">, f. 2; </w:t>
      </w:r>
      <w:hyperlink w:anchor="SENTENCIA_2016_212" w:history="1">
        <w:r w:rsidRPr="00AD3C82">
          <w:rPr>
            <w:rStyle w:val="TextoNormalCaracter"/>
          </w:rPr>
          <w:t>212/2016</w:t>
        </w:r>
      </w:hyperlink>
      <w:r w:rsidRPr="00AD3C82">
        <w:rPr>
          <w:rStyle w:val="TextoNormalCaracter"/>
        </w:rPr>
        <w:t xml:space="preserve">, f. 2; </w:t>
      </w:r>
      <w:hyperlink w:anchor="SENTENCIA_2016_224" w:history="1">
        <w:r w:rsidRPr="00AD3C82">
          <w:rPr>
            <w:rStyle w:val="TextoNormalCaracter"/>
          </w:rPr>
          <w:t>224/2016</w:t>
        </w:r>
      </w:hyperlink>
      <w:r w:rsidRPr="00AD3C82">
        <w:rPr>
          <w:rStyle w:val="TextoNormalCaracter"/>
        </w:rPr>
        <w:t>.</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516" w:name="DESCRIPTORALFABETICO265"/>
      <w:r w:rsidRPr="00AD3C82">
        <w:rPr>
          <w:rStyle w:val="TextoNormalNegritaCaracter"/>
        </w:rPr>
        <w:t>Repercusión socioeconómica del asunto</w:t>
      </w:r>
      <w:bookmarkEnd w:id="1516"/>
      <w:r w:rsidRPr="00AD3C82">
        <w:rPr>
          <w:rStyle w:val="TextoNormalCaracter"/>
        </w:rPr>
        <w:t xml:space="preserve">, Sentencias </w:t>
      </w:r>
      <w:hyperlink w:anchor="SENTENCIA_2016_131" w:history="1">
        <w:r w:rsidRPr="00AD3C82">
          <w:rPr>
            <w:rStyle w:val="TextoNormalCaracter"/>
          </w:rPr>
          <w:t>131/2016</w:t>
        </w:r>
      </w:hyperlink>
      <w:r w:rsidRPr="00AD3C82">
        <w:rPr>
          <w:rStyle w:val="TextoNormalCaracter"/>
        </w:rPr>
        <w:t xml:space="preserve">, f. 3; </w:t>
      </w:r>
      <w:hyperlink w:anchor="SENTENCIA_2016_166" w:history="1">
        <w:r w:rsidRPr="00AD3C82">
          <w:rPr>
            <w:rStyle w:val="TextoNormalCaracter"/>
          </w:rPr>
          <w:t>166/2016</w:t>
        </w:r>
      </w:hyperlink>
      <w:r w:rsidRPr="00AD3C82">
        <w:rPr>
          <w:rStyle w:val="TextoNormalCaracter"/>
        </w:rPr>
        <w:t xml:space="preserve">, f. 2; </w:t>
      </w:r>
      <w:hyperlink w:anchor="SENTENCIA_2016_219" w:history="1">
        <w:r w:rsidRPr="00AD3C82">
          <w:rPr>
            <w:rStyle w:val="TextoNormalCaracter"/>
          </w:rPr>
          <w:t>219/2016</w:t>
        </w:r>
      </w:hyperlink>
      <w:r w:rsidRPr="00AD3C82">
        <w:rPr>
          <w:rStyle w:val="TextoNormalCaracter"/>
        </w:rPr>
        <w:t xml:space="preserve">, f. 2; </w:t>
      </w:r>
      <w:hyperlink w:anchor="SENTENCIA_2016_220" w:history="1">
        <w:r w:rsidRPr="00AD3C82">
          <w:rPr>
            <w:rStyle w:val="TextoNormalCaracter"/>
          </w:rPr>
          <w:t>220/2016</w:t>
        </w:r>
      </w:hyperlink>
      <w:r w:rsidRPr="00AD3C82">
        <w:rPr>
          <w:rStyle w:val="TextoNormalCaracter"/>
        </w:rPr>
        <w:t>, f. 2.</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 2.</w:t>
      </w:r>
    </w:p>
    <w:p w:rsidR="00AD3C82" w:rsidRPr="00AD3C82" w:rsidRDefault="00AD3C82" w:rsidP="00AD3C82">
      <w:pPr>
        <w:pStyle w:val="TextoNormalSangraFrancesa"/>
        <w:rPr>
          <w:rStyle w:val="TextoNormalCaracter"/>
        </w:rPr>
      </w:pPr>
      <w:bookmarkStart w:id="1517" w:name="DESCRIPTORALFABETICO509"/>
      <w:r w:rsidRPr="00AD3C82">
        <w:rPr>
          <w:rStyle w:val="TextoNormalNegritaCaracter"/>
        </w:rPr>
        <w:t>Reproducción de normas estatales</w:t>
      </w:r>
      <w:bookmarkEnd w:id="1517"/>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f. 2, VP; </w:t>
      </w:r>
      <w:hyperlink w:anchor="SENTENCIA_2016_159" w:history="1">
        <w:r w:rsidRPr="00AD3C82">
          <w:rPr>
            <w:rStyle w:val="TextoNormalCaracter"/>
          </w:rPr>
          <w:t>159/2016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1518" w:name="DESCRIPTORALFABETICO506"/>
      <w:r w:rsidRPr="00AD3C82">
        <w:rPr>
          <w:rStyle w:val="TextoNormalNegritaCaracter"/>
        </w:rPr>
        <w:t>Requisitos materiales de la normativa básica</w:t>
      </w:r>
      <w:bookmarkEnd w:id="1518"/>
      <w:r w:rsidRPr="00AD3C82">
        <w:rPr>
          <w:rStyle w:val="TextoNormalCaracter"/>
        </w:rPr>
        <w:t xml:space="preserve">, Sentencia </w:t>
      </w:r>
      <w:hyperlink w:anchor="SENTENCIA_2016_165" w:history="1">
        <w:r w:rsidRPr="00AD3C82">
          <w:rPr>
            <w:rStyle w:val="TextoNormalCaracter"/>
          </w:rPr>
          <w:t>165/2016</w:t>
        </w:r>
      </w:hyperlink>
      <w:r w:rsidRPr="00AD3C82">
        <w:rPr>
          <w:rStyle w:val="TextoNormalCaracter"/>
        </w:rPr>
        <w:t>, f. 11, VP.</w:t>
      </w:r>
    </w:p>
    <w:p w:rsidR="00AD3C82" w:rsidRPr="00AD3C82" w:rsidRDefault="00AD3C82" w:rsidP="00AD3C82">
      <w:pPr>
        <w:pStyle w:val="TextoNormalSangraFrancesa"/>
        <w:rPr>
          <w:rStyle w:val="TextoNormalCaracter"/>
        </w:rPr>
      </w:pPr>
      <w:bookmarkStart w:id="1519" w:name="DESCRIPTORALFABETICO554"/>
      <w:r w:rsidRPr="00AD3C82">
        <w:rPr>
          <w:rStyle w:val="TextoNormalNegritaCaracter"/>
        </w:rPr>
        <w:t>Resarcimiento de daños</w:t>
      </w:r>
      <w:bookmarkEnd w:id="1519"/>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a 9.</w:t>
      </w:r>
    </w:p>
    <w:p w:rsidR="00AD3C82" w:rsidRPr="00AD3C82" w:rsidRDefault="00AD3C82" w:rsidP="00AD3C82">
      <w:pPr>
        <w:pStyle w:val="TextoNormalSangraFrancesa"/>
        <w:rPr>
          <w:rStyle w:val="TextoNormalCaracter"/>
        </w:rPr>
      </w:pPr>
      <w:bookmarkStart w:id="1520" w:name="DESCRIPTORALFABETICO533"/>
      <w:r w:rsidRPr="00AD3C82">
        <w:rPr>
          <w:rStyle w:val="TextoNormalNegritaCaracter"/>
        </w:rPr>
        <w:t>Reserva de ley</w:t>
      </w:r>
      <w:bookmarkEnd w:id="1520"/>
      <w:r w:rsidRPr="00AD3C82">
        <w:rPr>
          <w:rStyle w:val="TextoNormalCaracter"/>
        </w:rPr>
        <w:t xml:space="preserve">, Sentencias </w:t>
      </w:r>
      <w:hyperlink w:anchor="SENTENCIA_2016_139" w:history="1">
        <w:r w:rsidRPr="00AD3C82">
          <w:rPr>
            <w:rStyle w:val="TextoNormalCaracter"/>
          </w:rPr>
          <w:t>139/2016</w:t>
        </w:r>
      </w:hyperlink>
      <w:r w:rsidRPr="00AD3C82">
        <w:rPr>
          <w:rStyle w:val="TextoNormalCaracter"/>
        </w:rPr>
        <w:t xml:space="preserve">, ff. 9, 11; </w:t>
      </w:r>
      <w:hyperlink w:anchor="SENTENCIA_2016_156" w:history="1">
        <w:r w:rsidRPr="00AD3C82">
          <w:rPr>
            <w:rStyle w:val="TextoNormalCaracter"/>
          </w:rPr>
          <w:t>156/2016</w:t>
        </w:r>
      </w:hyperlink>
      <w:r w:rsidRPr="00AD3C82">
        <w:rPr>
          <w:rStyle w:val="TextoNormalCaracter"/>
        </w:rPr>
        <w:t>, f. 5.</w:t>
      </w:r>
    </w:p>
    <w:p w:rsidR="00AD3C82" w:rsidRPr="00AD3C82" w:rsidRDefault="00AD3C82" w:rsidP="00AD3C82">
      <w:pPr>
        <w:pStyle w:val="TextoNormalSangraFrancesa"/>
        <w:rPr>
          <w:rStyle w:val="TextoNormalCaracter"/>
        </w:rPr>
      </w:pPr>
      <w:bookmarkStart w:id="1521" w:name="DESCRIPTORALFABETICO534"/>
      <w:r w:rsidRPr="00AD3C82">
        <w:rPr>
          <w:rStyle w:val="TextoNormalNegritaCaracter"/>
        </w:rPr>
        <w:t>Reserva de ley orgánica</w:t>
      </w:r>
      <w:bookmarkEnd w:id="1521"/>
      <w:r w:rsidRPr="00AD3C82">
        <w:rPr>
          <w:rStyle w:val="TextoNormalCaracter"/>
        </w:rPr>
        <w:t xml:space="preserve">, Sentencias </w:t>
      </w:r>
      <w:hyperlink w:anchor="SENTENCIA_2016_139" w:history="1">
        <w:r w:rsidRPr="00AD3C82">
          <w:rPr>
            <w:rStyle w:val="TextoNormalCaracter"/>
          </w:rPr>
          <w:t>139/2016</w:t>
        </w:r>
      </w:hyperlink>
      <w:r w:rsidRPr="00AD3C82">
        <w:rPr>
          <w:rStyle w:val="TextoNormalCaracter"/>
        </w:rPr>
        <w:t xml:space="preserve">, ff. 6, 13; </w:t>
      </w:r>
      <w:hyperlink w:anchor="SENTENCIA_2016_180" w:history="1">
        <w:r w:rsidRPr="00AD3C82">
          <w:rPr>
            <w:rStyle w:val="TextoNormalCaracter"/>
          </w:rPr>
          <w:t>180/2016</w:t>
        </w:r>
      </w:hyperlink>
      <w:r w:rsidRPr="00AD3C82">
        <w:rPr>
          <w:rStyle w:val="TextoNormalCaracter"/>
        </w:rPr>
        <w:t xml:space="preserve">, f. 8; </w:t>
      </w:r>
      <w:hyperlink w:anchor="SENTENCIA_2016_185" w:history="1">
        <w:r w:rsidRPr="00AD3C82">
          <w:rPr>
            <w:rStyle w:val="TextoNormalCaracter"/>
          </w:rPr>
          <w:t>185/2016</w:t>
        </w:r>
      </w:hyperlink>
      <w:r w:rsidRPr="00AD3C82">
        <w:rPr>
          <w:rStyle w:val="TextoNormalCaracter"/>
        </w:rPr>
        <w:t xml:space="preserve">, ff.8-10, 17, VVPP I, II; </w:t>
      </w:r>
      <w:hyperlink w:anchor="SENTENCIA_2016_215" w:history="1">
        <w:r w:rsidRPr="00AD3C82">
          <w:rPr>
            <w:rStyle w:val="TextoNormalCaracter"/>
          </w:rPr>
          <w:t>215/2016</w:t>
        </w:r>
      </w:hyperlink>
      <w:r w:rsidRPr="00AD3C82">
        <w:rPr>
          <w:rStyle w:val="TextoNormalCaracter"/>
        </w:rPr>
        <w:t>, ff. 6, 8.</w:t>
      </w:r>
    </w:p>
    <w:p w:rsidR="00AD3C82" w:rsidRPr="00AD3C82" w:rsidRDefault="00AD3C82" w:rsidP="00AD3C82">
      <w:pPr>
        <w:pStyle w:val="TextoNormalSangraFrancesa"/>
        <w:rPr>
          <w:rStyle w:val="TextoNormalCaracter"/>
        </w:rPr>
      </w:pPr>
      <w:bookmarkStart w:id="1522" w:name="DESCRIPTORALFABETICO266"/>
      <w:r w:rsidRPr="00AD3C82">
        <w:rPr>
          <w:rStyle w:val="TextoNormalNegritaCaracter"/>
        </w:rPr>
        <w:t>Resoluciones judiciales contradictorias</w:t>
      </w:r>
      <w:bookmarkEnd w:id="1522"/>
      <w:r w:rsidRPr="00AD3C82">
        <w:rPr>
          <w:rStyle w:val="TextoNormalCaracter"/>
        </w:rPr>
        <w:t xml:space="preserve">, Sentencias </w:t>
      </w:r>
      <w:hyperlink w:anchor="SENTENCIA_2016_219" w:history="1">
        <w:r w:rsidRPr="00AD3C82">
          <w:rPr>
            <w:rStyle w:val="TextoNormalCaracter"/>
          </w:rPr>
          <w:t>219/2016</w:t>
        </w:r>
      </w:hyperlink>
      <w:r w:rsidRPr="00AD3C82">
        <w:rPr>
          <w:rStyle w:val="TextoNormalCaracter"/>
        </w:rPr>
        <w:t xml:space="preserve">, f. 2; </w:t>
      </w:r>
      <w:hyperlink w:anchor="SENTENCIA_2016_220" w:history="1">
        <w:r w:rsidRPr="00AD3C82">
          <w:rPr>
            <w:rStyle w:val="TextoNormalCaracter"/>
          </w:rPr>
          <w:t>220/2016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523" w:name="DESCRIPTORALFABETICO331"/>
      <w:r w:rsidRPr="00AD3C82">
        <w:rPr>
          <w:rStyle w:val="TextoNormalNegritaCaracter"/>
        </w:rPr>
        <w:t>Resoluciones parlamentarias</w:t>
      </w:r>
      <w:bookmarkEnd w:id="1523"/>
      <w:r w:rsidRPr="00AD3C82">
        <w:rPr>
          <w:rStyle w:val="TextoNormalCaracter"/>
        </w:rPr>
        <w:t xml:space="preserve">, Autos </w:t>
      </w:r>
      <w:hyperlink w:anchor="AUTO_2016_141" w:history="1">
        <w:r w:rsidRPr="00AD3C82">
          <w:rPr>
            <w:rStyle w:val="TextoNormalCaracter"/>
          </w:rPr>
          <w:t>141/2016</w:t>
        </w:r>
      </w:hyperlink>
      <w:r w:rsidRPr="00AD3C82">
        <w:rPr>
          <w:rStyle w:val="TextoNormalCaracter"/>
        </w:rPr>
        <w:t xml:space="preserve">, ff. 2 a 7; </w:t>
      </w:r>
      <w:hyperlink w:anchor="AUTO_2016_170" w:history="1">
        <w:r w:rsidRPr="00AD3C82">
          <w:rPr>
            <w:rStyle w:val="TextoNormalCaracter"/>
          </w:rPr>
          <w:t>170/2016</w:t>
        </w:r>
      </w:hyperlink>
      <w:r w:rsidRPr="00AD3C82">
        <w:rPr>
          <w:rStyle w:val="TextoNormalCaracter"/>
        </w:rPr>
        <w:t>, ff. 2 a 9.</w:t>
      </w:r>
    </w:p>
    <w:p w:rsidR="00AD3C82" w:rsidRPr="00AD3C82" w:rsidRDefault="00AD3C82" w:rsidP="00AD3C82">
      <w:pPr>
        <w:pStyle w:val="TextoNormalSangraFrancesa"/>
        <w:rPr>
          <w:rStyle w:val="TextoNormalCaracter"/>
        </w:rPr>
      </w:pPr>
      <w:bookmarkStart w:id="1524" w:name="DESCRIPTORALFABETICO557"/>
      <w:r w:rsidRPr="00AD3C82">
        <w:rPr>
          <w:rStyle w:val="TextoNormalNegritaCaracter"/>
        </w:rPr>
        <w:t>Responsabilidad civil por daños</w:t>
      </w:r>
      <w:bookmarkEnd w:id="1524"/>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a 9.</w:t>
      </w:r>
    </w:p>
    <w:p w:rsidR="00AD3C82" w:rsidRPr="00AD3C82" w:rsidRDefault="00AD3C82" w:rsidP="00AD3C82">
      <w:pPr>
        <w:pStyle w:val="TextoNormalSangraFrancesa"/>
        <w:rPr>
          <w:rStyle w:val="TextoNormalCaracter"/>
        </w:rPr>
      </w:pPr>
      <w:bookmarkStart w:id="1525" w:name="DESCRIPTORALFABETICO87"/>
      <w:r w:rsidRPr="00AD3C82">
        <w:rPr>
          <w:rStyle w:val="TextoNormalNegritaCaracter"/>
        </w:rPr>
        <w:t>Responsabilidad financiera</w:t>
      </w:r>
      <w:bookmarkEnd w:id="1525"/>
      <w:r w:rsidRPr="00AD3C82">
        <w:rPr>
          <w:rStyle w:val="TextoNormalCaracter"/>
        </w:rPr>
        <w:t xml:space="preserve">, Sentencia </w:t>
      </w:r>
      <w:hyperlink w:anchor="SENTENCIA_2016_180" w:history="1">
        <w:r w:rsidRPr="00AD3C82">
          <w:rPr>
            <w:rStyle w:val="TextoNormalCaracter"/>
          </w:rPr>
          <w:t>180/2016</w:t>
        </w:r>
      </w:hyperlink>
      <w:r w:rsidRPr="00AD3C82">
        <w:rPr>
          <w:rStyle w:val="TextoNormalCaracter"/>
        </w:rPr>
        <w:t>, f. 7.</w:t>
      </w:r>
    </w:p>
    <w:p w:rsidR="00AD3C82" w:rsidRPr="00AD3C82" w:rsidRDefault="00AD3C82" w:rsidP="00AD3C82">
      <w:pPr>
        <w:pStyle w:val="TextoNormalSangraFrancesa"/>
        <w:rPr>
          <w:rStyle w:val="TextoNormalCaracter"/>
        </w:rPr>
      </w:pPr>
      <w:bookmarkStart w:id="1526" w:name="DESCRIPTORALFABETICO611"/>
      <w:r w:rsidRPr="00AD3C82">
        <w:rPr>
          <w:rStyle w:val="TextoNormalNegritaCaracter"/>
        </w:rPr>
        <w:t>Retroacción de actuaciones hasta el emplazamiento</w:t>
      </w:r>
      <w:bookmarkEnd w:id="1526"/>
      <w:r w:rsidRPr="00AD3C82">
        <w:rPr>
          <w:rStyle w:val="TextoNormalCaracter"/>
        </w:rPr>
        <w:t xml:space="preserve">, Sentencias </w:t>
      </w:r>
      <w:hyperlink w:anchor="SENTENCIA_2016_150" w:history="1">
        <w:r w:rsidRPr="00AD3C82">
          <w:rPr>
            <w:rStyle w:val="TextoNormalCaracter"/>
          </w:rPr>
          <w:t>150/2016</w:t>
        </w:r>
      </w:hyperlink>
      <w:r w:rsidRPr="00AD3C82">
        <w:rPr>
          <w:rStyle w:val="TextoNormalCaracter"/>
        </w:rPr>
        <w:t xml:space="preserve">, f. 4; </w:t>
      </w:r>
      <w:hyperlink w:anchor="SENTENCIA_2016_151" w:history="1">
        <w:r w:rsidRPr="00AD3C82">
          <w:rPr>
            <w:rStyle w:val="TextoNormalCaracter"/>
          </w:rPr>
          <w:t>151/2016</w:t>
        </w:r>
      </w:hyperlink>
      <w:r w:rsidRPr="00AD3C82">
        <w:rPr>
          <w:rStyle w:val="TextoNormalCaracter"/>
        </w:rPr>
        <w:t>, f. 4.</w:t>
      </w:r>
    </w:p>
    <w:p w:rsidR="00AD3C82" w:rsidRPr="00AD3C82" w:rsidRDefault="00AD3C82" w:rsidP="00AD3C82">
      <w:pPr>
        <w:pStyle w:val="TextoNormalSangraFrancesa"/>
        <w:rPr>
          <w:rStyle w:val="TextoNormalCaracter"/>
        </w:rPr>
      </w:pPr>
      <w:bookmarkStart w:id="1527" w:name="DESCRIPTORALFABETICO610"/>
      <w:r w:rsidRPr="00AD3C82">
        <w:rPr>
          <w:rStyle w:val="TextoNormalNegritaCaracter"/>
        </w:rPr>
        <w:t>Retroacción de actuaciones judiciales</w:t>
      </w:r>
      <w:bookmarkEnd w:id="1527"/>
      <w:r w:rsidRPr="00AD3C82">
        <w:rPr>
          <w:rStyle w:val="TextoNormalCaracter"/>
        </w:rPr>
        <w:t xml:space="preserve">, Sentencia </w:t>
      </w:r>
      <w:hyperlink w:anchor="SENTENCIA_2016_201" w:history="1">
        <w:r w:rsidRPr="00AD3C82">
          <w:rPr>
            <w:rStyle w:val="TextoNormalCaracter"/>
          </w:rPr>
          <w:t>201/2016</w:t>
        </w:r>
      </w:hyperlink>
      <w:r w:rsidRPr="00AD3C82">
        <w:rPr>
          <w:rStyle w:val="TextoNormalCaracter"/>
        </w:rPr>
        <w:t>, f. 5.</w:t>
      </w:r>
    </w:p>
    <w:p w:rsidR="00AD3C82" w:rsidRPr="00AD3C82" w:rsidRDefault="00AD3C82" w:rsidP="00AD3C82">
      <w:pPr>
        <w:pStyle w:val="TextoNormalSangraFrancesa"/>
        <w:rPr>
          <w:rStyle w:val="TextoNormalCaracter"/>
        </w:rPr>
      </w:pPr>
      <w:bookmarkStart w:id="1528" w:name="DESCRIPTORALFABETICO612"/>
      <w:r w:rsidRPr="00AD3C82">
        <w:rPr>
          <w:rStyle w:val="TextoNormalNegritaCaracter"/>
        </w:rPr>
        <w:t>Retroacción de actuaciones para que resuelva la Administración</w:t>
      </w:r>
      <w:bookmarkEnd w:id="1528"/>
      <w:r w:rsidRPr="00AD3C82">
        <w:rPr>
          <w:rStyle w:val="TextoNormalCaracter"/>
        </w:rPr>
        <w:t xml:space="preserve">, Sentencia </w:t>
      </w:r>
      <w:hyperlink w:anchor="SENTENCIA_2016_136" w:history="1">
        <w:r w:rsidRPr="00AD3C82">
          <w:rPr>
            <w:rStyle w:val="TextoNormalCaracter"/>
          </w:rPr>
          <w:t>136/2016</w:t>
        </w:r>
      </w:hyperlink>
      <w:r w:rsidRPr="00AD3C82">
        <w:rPr>
          <w:rStyle w:val="TextoNormalCaracter"/>
        </w:rPr>
        <w:t>, f. 6.</w:t>
      </w:r>
    </w:p>
    <w:p w:rsidR="00AD3C82" w:rsidRPr="00AD3C82" w:rsidRDefault="00AD3C82" w:rsidP="00AD3C82">
      <w:pPr>
        <w:pStyle w:val="TextoNormalSangraFrancesa"/>
        <w:rPr>
          <w:rStyle w:val="TextoNormalCaracter"/>
        </w:rPr>
      </w:pPr>
      <w:bookmarkStart w:id="1529" w:name="DESCRIPTORALFABETICO678"/>
      <w:r w:rsidRPr="00AD3C82">
        <w:rPr>
          <w:rStyle w:val="TextoNormalNegritaCaracter"/>
        </w:rPr>
        <w:t>Revisión de condena ante un tribunal superior</w:t>
      </w:r>
      <w:bookmarkEnd w:id="1529"/>
      <w:r w:rsidRPr="00AD3C82">
        <w:rPr>
          <w:rStyle w:val="TextoNormalCaracter"/>
        </w:rPr>
        <w:t xml:space="preserve">, Sentencia </w:t>
      </w:r>
      <w:hyperlink w:anchor="SENTENCIA_2016_172" w:history="1">
        <w:r w:rsidRPr="00AD3C82">
          <w:rPr>
            <w:rStyle w:val="TextoNormalCaracter"/>
          </w:rPr>
          <w:t>172/2016</w:t>
        </w:r>
      </w:hyperlink>
      <w:r w:rsidRPr="00AD3C82">
        <w:rPr>
          <w:rStyle w:val="TextoNormalCaracter"/>
        </w:rPr>
        <w:t>, ff. 6, 8, VP.</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S</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530" w:name="DESCRIPTORALFABETICO439"/>
      <w:r w:rsidRPr="00AD3C82">
        <w:rPr>
          <w:rStyle w:val="TextoNormalNegritaCaracter"/>
        </w:rPr>
        <w:t>Sanciones administrativas</w:t>
      </w:r>
      <w:bookmarkEnd w:id="1530"/>
      <w:r w:rsidRPr="00AD3C82">
        <w:rPr>
          <w:rStyle w:val="TextoNormalCaracter"/>
        </w:rPr>
        <w:t xml:space="preserve">, Sentencias </w:t>
      </w:r>
      <w:hyperlink w:anchor="SENTENCIA_2016_141" w:history="1">
        <w:r w:rsidRPr="00AD3C82">
          <w:rPr>
            <w:rStyle w:val="TextoNormalCaracter"/>
          </w:rPr>
          <w:t>141/2016</w:t>
        </w:r>
      </w:hyperlink>
      <w:r w:rsidRPr="00AD3C82">
        <w:rPr>
          <w:rStyle w:val="TextoNormalCaracter"/>
        </w:rPr>
        <w:t xml:space="preserve">, f. 9; </w:t>
      </w:r>
      <w:hyperlink w:anchor="SENTENCIA_2016_142" w:history="1">
        <w:r w:rsidRPr="00AD3C82">
          <w:rPr>
            <w:rStyle w:val="TextoNormalCaracter"/>
          </w:rPr>
          <w:t>142/2016</w:t>
        </w:r>
      </w:hyperlink>
      <w:r w:rsidRPr="00AD3C82">
        <w:rPr>
          <w:rStyle w:val="TextoNormalCaracter"/>
        </w:rPr>
        <w:t>, ff. 7 a 11.</w:t>
      </w:r>
    </w:p>
    <w:p w:rsidR="00AD3C82" w:rsidRPr="00AD3C82" w:rsidRDefault="00AD3C82" w:rsidP="00AD3C82">
      <w:pPr>
        <w:pStyle w:val="TextoNormalSangraFrancesa"/>
        <w:rPr>
          <w:rStyle w:val="TextoNormalCaracter"/>
        </w:rPr>
      </w:pPr>
      <w:bookmarkStart w:id="1531" w:name="DESCRIPTORALFABETICO371"/>
      <w:r w:rsidRPr="00AD3C82">
        <w:rPr>
          <w:rStyle w:val="TextoNormalNegritaCaracter"/>
        </w:rPr>
        <w:t>Sanciones administrativas con cobertura legal</w:t>
      </w:r>
      <w:bookmarkEnd w:id="1531"/>
      <w:r w:rsidRPr="00AD3C82">
        <w:rPr>
          <w:rStyle w:val="TextoNormalCaracter"/>
        </w:rPr>
        <w:t xml:space="preserve">, Sentencias </w:t>
      </w:r>
      <w:hyperlink w:anchor="SENTENCIA_2016_142" w:history="1">
        <w:r w:rsidRPr="00AD3C82">
          <w:rPr>
            <w:rStyle w:val="TextoNormalCaracter"/>
          </w:rPr>
          <w:t>142/2016</w:t>
        </w:r>
      </w:hyperlink>
      <w:r w:rsidRPr="00AD3C82">
        <w:rPr>
          <w:rStyle w:val="TextoNormalCaracter"/>
        </w:rPr>
        <w:t xml:space="preserve">, ff. 7 a 9, 11; </w:t>
      </w:r>
      <w:hyperlink w:anchor="SENTENCIA_2016_186" w:history="1">
        <w:r w:rsidRPr="00AD3C82">
          <w:rPr>
            <w:rStyle w:val="TextoNormalCaracter"/>
          </w:rPr>
          <w:t>186/2016</w:t>
        </w:r>
      </w:hyperlink>
      <w:r w:rsidRPr="00AD3C82">
        <w:rPr>
          <w:rStyle w:val="TextoNormalCaracter"/>
        </w:rPr>
        <w:t>, ff. 2, 3.</w:t>
      </w:r>
    </w:p>
    <w:p w:rsidR="00AD3C82" w:rsidRPr="00AD3C82" w:rsidRDefault="00AD3C82" w:rsidP="00AD3C82">
      <w:pPr>
        <w:pStyle w:val="TextoNormalSangraFrancesa"/>
        <w:rPr>
          <w:rStyle w:val="TextoNormalCaracter"/>
        </w:rPr>
      </w:pPr>
      <w:bookmarkStart w:id="1532" w:name="DESCRIPTORALFABETICO553"/>
      <w:r w:rsidRPr="00AD3C82">
        <w:rPr>
          <w:rStyle w:val="TextoNormalNegritaCaracter"/>
        </w:rPr>
        <w:t>Sanciones penitenciarias</w:t>
      </w:r>
      <w:bookmarkEnd w:id="1532"/>
      <w:r w:rsidRPr="00AD3C82">
        <w:rPr>
          <w:rStyle w:val="TextoNormalCaracter"/>
        </w:rPr>
        <w:t xml:space="preserve">, Sentencia </w:t>
      </w:r>
      <w:hyperlink w:anchor="SENTENCIA_2016_161" w:history="1">
        <w:r w:rsidRPr="00AD3C82">
          <w:rPr>
            <w:rStyle w:val="TextoNormalCaracter"/>
          </w:rPr>
          <w:t>161/2016</w:t>
        </w:r>
      </w:hyperlink>
      <w:r w:rsidRPr="00AD3C82">
        <w:rPr>
          <w:rStyle w:val="TextoNormalCaracter"/>
        </w:rPr>
        <w:t>, ff. 3 a 7.</w:t>
      </w:r>
    </w:p>
    <w:p w:rsidR="00AD3C82" w:rsidRPr="00AD3C82" w:rsidRDefault="00AD3C82" w:rsidP="00AD3C82">
      <w:pPr>
        <w:pStyle w:val="TextoNormalSangraFrancesa"/>
        <w:rPr>
          <w:rStyle w:val="TextoNormalCaracter"/>
        </w:rPr>
      </w:pPr>
      <w:bookmarkStart w:id="1533" w:name="DESCRIPTORALFABETICO442"/>
      <w:r w:rsidRPr="00AD3C82">
        <w:rPr>
          <w:rStyle w:val="TextoNormalNegritaCaracter"/>
        </w:rPr>
        <w:t>Sanciones tributarias</w:t>
      </w:r>
      <w:bookmarkEnd w:id="1533"/>
      <w:r w:rsidRPr="00AD3C82">
        <w:rPr>
          <w:rStyle w:val="TextoNormalCaracter"/>
        </w:rPr>
        <w:t xml:space="preserve">, Sentencia </w:t>
      </w:r>
      <w:hyperlink w:anchor="SENTENCIA_2016_133" w:history="1">
        <w:r w:rsidRPr="00AD3C82">
          <w:rPr>
            <w:rStyle w:val="TextoNormalCaracter"/>
          </w:rPr>
          <w:t>133/2016</w:t>
        </w:r>
      </w:hyperlink>
      <w:r w:rsidRPr="00AD3C82">
        <w:rPr>
          <w:rStyle w:val="TextoNormalCaracter"/>
        </w:rPr>
        <w:t>, f. 1.</w:t>
      </w:r>
    </w:p>
    <w:p w:rsidR="00AD3C82" w:rsidRPr="00AD3C82" w:rsidRDefault="00AD3C82" w:rsidP="00AD3C82">
      <w:pPr>
        <w:pStyle w:val="TextoNormalSangraFrancesa"/>
        <w:rPr>
          <w:rStyle w:val="TextoNormalCaracter"/>
        </w:rPr>
      </w:pPr>
      <w:bookmarkStart w:id="1534" w:name="DESCRIPTORALFABETICO649"/>
      <w:r w:rsidRPr="00AD3C82">
        <w:rPr>
          <w:rStyle w:val="TextoNormalNegritaCaracter"/>
        </w:rPr>
        <w:t>Satisfacción extraprocesal de la pretensión</w:t>
      </w:r>
      <w:bookmarkEnd w:id="1534"/>
      <w:r w:rsidRPr="00AD3C82">
        <w:rPr>
          <w:rStyle w:val="TextoNormalCaracter"/>
        </w:rPr>
        <w:t xml:space="preserve">, Sentencias </w:t>
      </w:r>
      <w:hyperlink w:anchor="SENTENCIA_2016_134" w:history="1">
        <w:r w:rsidRPr="00AD3C82">
          <w:rPr>
            <w:rStyle w:val="TextoNormalCaracter"/>
          </w:rPr>
          <w:t>134/2016</w:t>
        </w:r>
      </w:hyperlink>
      <w:r w:rsidRPr="00AD3C82">
        <w:rPr>
          <w:rStyle w:val="TextoNormalCaracter"/>
        </w:rPr>
        <w:t xml:space="preserve">, f. 3; </w:t>
      </w:r>
      <w:hyperlink w:anchor="SENTENCIA_2016_145" w:history="1">
        <w:r w:rsidRPr="00AD3C82">
          <w:rPr>
            <w:rStyle w:val="TextoNormalCaracter"/>
          </w:rPr>
          <w:t>145/2016</w:t>
        </w:r>
      </w:hyperlink>
      <w:r w:rsidRPr="00AD3C82">
        <w:rPr>
          <w:rStyle w:val="TextoNormalCaracter"/>
        </w:rPr>
        <w:t xml:space="preserve">, f. 2; </w:t>
      </w:r>
      <w:hyperlink w:anchor="SENTENCIA_2016_160" w:history="1">
        <w:r w:rsidRPr="00AD3C82">
          <w:rPr>
            <w:rStyle w:val="TextoNormalCaracter"/>
          </w:rPr>
          <w:t>160/2016</w:t>
        </w:r>
      </w:hyperlink>
      <w:r w:rsidRPr="00AD3C82">
        <w:rPr>
          <w:rStyle w:val="TextoNormalCaracter"/>
        </w:rPr>
        <w:t>, f. 3.</w:t>
      </w:r>
    </w:p>
    <w:p w:rsidR="00AD3C82" w:rsidRPr="00AD3C82" w:rsidRDefault="00AD3C82" w:rsidP="00AD3C82">
      <w:pPr>
        <w:pStyle w:val="TextoNormalSangraFrancesa"/>
        <w:rPr>
          <w:rStyle w:val="TextoNormalCaracter"/>
        </w:rPr>
      </w:pPr>
      <w:bookmarkStart w:id="1535" w:name="DESCRIPTORALFABETICO566"/>
      <w:r w:rsidRPr="00AD3C82">
        <w:rPr>
          <w:rStyle w:val="TextoNormalNegritaCaracter"/>
        </w:rPr>
        <w:t>Seguridad nacional</w:t>
      </w:r>
      <w:bookmarkEnd w:id="1535"/>
      <w:r w:rsidRPr="00AD3C82">
        <w:rPr>
          <w:rStyle w:val="TextoNormalCaracter"/>
        </w:rPr>
        <w:t xml:space="preserve">, Sentencia </w:t>
      </w:r>
      <w:hyperlink w:anchor="SENTENCIA_2016_184" w:history="1">
        <w:r w:rsidRPr="00AD3C82">
          <w:rPr>
            <w:rStyle w:val="TextoNormalCaracter"/>
          </w:rPr>
          <w:t>184/2016</w:t>
        </w:r>
      </w:hyperlink>
      <w:r w:rsidRPr="00AD3C82">
        <w:rPr>
          <w:rStyle w:val="TextoNormalCaracter"/>
        </w:rPr>
        <w:t>, ff. 1 a 7.</w:t>
      </w:r>
    </w:p>
    <w:p w:rsidR="00AD3C82" w:rsidRPr="00AD3C82" w:rsidRDefault="00AD3C82" w:rsidP="00AD3C82">
      <w:pPr>
        <w:pStyle w:val="TextoNormalSangraFrancesa"/>
        <w:rPr>
          <w:rStyle w:val="TextoNormalCaracter"/>
        </w:rPr>
      </w:pPr>
      <w:bookmarkStart w:id="1536" w:name="DESCRIPTORALFABETICO390"/>
      <w:r w:rsidRPr="00AD3C82">
        <w:rPr>
          <w:rStyle w:val="TextoNormalNegritaCaracter"/>
        </w:rPr>
        <w:t>Seguridad pública</w:t>
      </w:r>
      <w:bookmarkEnd w:id="1536"/>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8.</w:t>
      </w:r>
    </w:p>
    <w:p w:rsidR="00AD3C82" w:rsidRPr="00AD3C82" w:rsidRDefault="00AD3C82" w:rsidP="00AD3C82">
      <w:pPr>
        <w:pStyle w:val="TextoNormalSangraFrancesa"/>
        <w:rPr>
          <w:rStyle w:val="TextoNormalCaracter"/>
        </w:rPr>
      </w:pPr>
      <w:bookmarkStart w:id="1537" w:name="DESCRIPTORALFABETICO567"/>
      <w:r w:rsidRPr="00AD3C82">
        <w:rPr>
          <w:rStyle w:val="TextoNormalNegritaCaracter"/>
        </w:rPr>
        <w:t>Seguridad Social</w:t>
      </w:r>
      <w:bookmarkEnd w:id="1537"/>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9.</w:t>
      </w:r>
    </w:p>
    <w:p w:rsidR="00AD3C82" w:rsidRPr="00AD3C82" w:rsidRDefault="00AD3C82" w:rsidP="00AD3C82">
      <w:pPr>
        <w:pStyle w:val="TextoNormalSangraFrancesa"/>
        <w:rPr>
          <w:rStyle w:val="TextoNormalCaracter"/>
        </w:rPr>
      </w:pPr>
      <w:bookmarkStart w:id="1538" w:name="DESCRIPTORALFABETICO518"/>
      <w:r w:rsidRPr="00AD3C82">
        <w:rPr>
          <w:rStyle w:val="TextoNormalNegritaCaracter"/>
        </w:rPr>
        <w:t>Selección de la norma aplicable</w:t>
      </w:r>
      <w:bookmarkEnd w:id="1538"/>
      <w:r w:rsidRPr="00AD3C82">
        <w:rPr>
          <w:rStyle w:val="TextoNormalCaracter"/>
        </w:rPr>
        <w:t xml:space="preserve">, Sentencia </w:t>
      </w:r>
      <w:hyperlink w:anchor="SENTENCIA_2016_127" w:history="1">
        <w:r w:rsidRPr="00AD3C82">
          <w:rPr>
            <w:rStyle w:val="TextoNormalCaracter"/>
          </w:rPr>
          <w:t>127/2016</w:t>
        </w:r>
      </w:hyperlink>
      <w:r w:rsidRPr="00AD3C82">
        <w:rPr>
          <w:rStyle w:val="TextoNormalCaracter"/>
        </w:rPr>
        <w:t>, f. 2, VP.</w:t>
      </w:r>
    </w:p>
    <w:p w:rsidR="00AD3C82" w:rsidRPr="00AD3C82" w:rsidRDefault="00AD3C82" w:rsidP="00AD3C82">
      <w:pPr>
        <w:pStyle w:val="TextoNormalSangraFrancesa"/>
        <w:rPr>
          <w:rStyle w:val="TextoNormalCaracter"/>
        </w:rPr>
      </w:pPr>
      <w:bookmarkStart w:id="1539" w:name="DESCRIPTORALFABETICO679"/>
      <w:r w:rsidRPr="00AD3C82">
        <w:rPr>
          <w:rStyle w:val="TextoNormalNegritaCaracter"/>
        </w:rPr>
        <w:t>Sentencia condenatoria en segunda instancia</w:t>
      </w:r>
      <w:bookmarkEnd w:id="1539"/>
      <w:r w:rsidRPr="00AD3C82">
        <w:rPr>
          <w:rStyle w:val="TextoNormalCaracter"/>
        </w:rPr>
        <w:t xml:space="preserve">, Sentencia </w:t>
      </w:r>
      <w:hyperlink w:anchor="SENTENCIA_2016_172" w:history="1">
        <w:r w:rsidRPr="00AD3C82">
          <w:rPr>
            <w:rStyle w:val="TextoNormalCaracter"/>
          </w:rPr>
          <w:t>172/2016</w:t>
        </w:r>
      </w:hyperlink>
      <w:r w:rsidRPr="00AD3C82">
        <w:rPr>
          <w:rStyle w:val="TextoNormalCaracter"/>
        </w:rPr>
        <w:t>, ff. 6, 8, VP.</w:t>
      </w:r>
    </w:p>
    <w:p w:rsidR="00AD3C82" w:rsidRPr="00AD3C82" w:rsidRDefault="00AD3C82" w:rsidP="00AD3C82">
      <w:pPr>
        <w:pStyle w:val="TextoNormalSangraFrancesa"/>
        <w:rPr>
          <w:rStyle w:val="TextoNormalCaracter"/>
        </w:rPr>
      </w:pPr>
      <w:bookmarkStart w:id="1540" w:name="DESCRIPTORALFABETICO157"/>
      <w:r w:rsidRPr="00AD3C82">
        <w:rPr>
          <w:rStyle w:val="TextoNormalNegritaCaracter"/>
        </w:rPr>
        <w:t>Sentencia fundada en Derecho</w:t>
      </w:r>
      <w:bookmarkEnd w:id="1540"/>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1, 4, 7, 9.</w:t>
      </w:r>
    </w:p>
    <w:p w:rsidR="00AD3C82" w:rsidRPr="00AD3C82" w:rsidRDefault="00AD3C82" w:rsidP="00AD3C82">
      <w:pPr>
        <w:pStyle w:val="TextoNormalSangraFrancesa"/>
        <w:rPr>
          <w:rStyle w:val="TextoNormalCaracter"/>
        </w:rPr>
      </w:pPr>
      <w:bookmarkStart w:id="1541" w:name="DESCRIPTORALFABETICO616"/>
      <w:r w:rsidRPr="00AD3C82">
        <w:rPr>
          <w:rStyle w:val="TextoNormalNegritaCaracter"/>
        </w:rPr>
        <w:t>Señalamiento de vista</w:t>
      </w:r>
      <w:bookmarkEnd w:id="1541"/>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ff. 1, 4, 5.</w:t>
      </w:r>
    </w:p>
    <w:p w:rsidR="00AD3C82" w:rsidRPr="00AD3C82" w:rsidRDefault="00AD3C82" w:rsidP="00AD3C82">
      <w:pPr>
        <w:pStyle w:val="TextoNormalSangraFrancesa"/>
        <w:rPr>
          <w:rStyle w:val="TextoNormalCaracter"/>
        </w:rPr>
      </w:pPr>
      <w:bookmarkStart w:id="1542" w:name="DESCRIPTORALFABETICO386"/>
      <w:r w:rsidRPr="00AD3C82">
        <w:rPr>
          <w:rStyle w:val="TextoNormalNegritaCaracter"/>
        </w:rPr>
        <w:t>Separación de poderes</w:t>
      </w:r>
      <w:bookmarkEnd w:id="1542"/>
      <w:r w:rsidRPr="00AD3C82">
        <w:rPr>
          <w:rStyle w:val="TextoNormalCaracter"/>
        </w:rPr>
        <w:t xml:space="preserve">, Sentencia </w:t>
      </w:r>
      <w:hyperlink w:anchor="SENTENCIA_2016_185" w:history="1">
        <w:r w:rsidRPr="00AD3C82">
          <w:rPr>
            <w:rStyle w:val="TextoNormalCaracter"/>
          </w:rPr>
          <w:t>185/2016</w:t>
        </w:r>
      </w:hyperlink>
      <w:r w:rsidRPr="00AD3C82">
        <w:rPr>
          <w:rStyle w:val="TextoNormalCaracter"/>
        </w:rPr>
        <w:t>, ff. 8, 10, VP II.</w:t>
      </w:r>
    </w:p>
    <w:p w:rsidR="00AD3C82" w:rsidRPr="00AD3C82" w:rsidRDefault="00AD3C82" w:rsidP="00AD3C82">
      <w:pPr>
        <w:pStyle w:val="TextoNormalSangraFrancesa"/>
        <w:rPr>
          <w:rStyle w:val="TextoNormalCaracter"/>
        </w:rPr>
      </w:pPr>
      <w:bookmarkStart w:id="1543" w:name="DESCRIPTORALFABETICO418"/>
      <w:r w:rsidRPr="00AD3C82">
        <w:rPr>
          <w:rStyle w:val="TextoNormalNegritaCaracter"/>
        </w:rPr>
        <w:t>Servicios públicos municipales</w:t>
      </w:r>
      <w:bookmarkEnd w:id="1543"/>
      <w:r w:rsidRPr="00AD3C82">
        <w:rPr>
          <w:rStyle w:val="TextoNormalCaracter"/>
        </w:rPr>
        <w:t xml:space="preserve">, Sentencia </w:t>
      </w:r>
      <w:hyperlink w:anchor="SENTENCIA_2016_180" w:history="1">
        <w:r w:rsidRPr="00AD3C82">
          <w:rPr>
            <w:rStyle w:val="TextoNormalCaracter"/>
          </w:rPr>
          <w:t>180/2016</w:t>
        </w:r>
      </w:hyperlink>
      <w:r w:rsidRPr="00AD3C82">
        <w:rPr>
          <w:rStyle w:val="TextoNormalCaracter"/>
        </w:rPr>
        <w:t>, f. 7.</w:t>
      </w:r>
    </w:p>
    <w:p w:rsidR="00AD3C82" w:rsidRPr="00AD3C82" w:rsidRDefault="00AD3C82" w:rsidP="00AD3C82">
      <w:pPr>
        <w:pStyle w:val="TextoNormalSangraFrancesa"/>
        <w:rPr>
          <w:rStyle w:val="TextoNormalCaracter"/>
        </w:rPr>
      </w:pPr>
      <w:bookmarkStart w:id="1544" w:name="DESCRIPTORALFABETICO546"/>
      <w:r w:rsidRPr="00AD3C82">
        <w:rPr>
          <w:rStyle w:val="TextoNormalNegritaCaracter"/>
        </w:rPr>
        <w:t>Silencio administrativo</w:t>
      </w:r>
      <w:bookmarkEnd w:id="1544"/>
      <w:r w:rsidRPr="00AD3C82">
        <w:rPr>
          <w:rStyle w:val="TextoNormalCaracter"/>
        </w:rPr>
        <w:t xml:space="preserve">, Sentencia </w:t>
      </w:r>
      <w:hyperlink w:anchor="SENTENCIA_2016_175" w:history="1">
        <w:r w:rsidRPr="00AD3C82">
          <w:rPr>
            <w:rStyle w:val="TextoNormalCaracter"/>
          </w:rPr>
          <w:t>175/2016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545" w:name="DESCRIPTORALFABETICO547"/>
      <w:r w:rsidRPr="00AD3C82">
        <w:rPr>
          <w:rStyle w:val="TextoNormalNegritaCaracter"/>
        </w:rPr>
        <w:t>Silencio administrativo negativo</w:t>
      </w:r>
      <w:bookmarkEnd w:id="1545"/>
      <w:r w:rsidRPr="00AD3C82">
        <w:rPr>
          <w:rStyle w:val="TextoNormalCaracter"/>
        </w:rPr>
        <w:t xml:space="preserve">, Sentencia </w:t>
      </w:r>
      <w:hyperlink w:anchor="SENTENCIA_2016_155" w:history="1">
        <w:r w:rsidRPr="00AD3C82">
          <w:rPr>
            <w:rStyle w:val="TextoNormalCaracter"/>
          </w:rPr>
          <w:t>155/2016</w:t>
        </w:r>
      </w:hyperlink>
      <w:r w:rsidRPr="00AD3C82">
        <w:rPr>
          <w:rStyle w:val="TextoNormalCaracter"/>
        </w:rPr>
        <w:t>, ff. 1, 2 a 7.</w:t>
      </w:r>
    </w:p>
    <w:p w:rsidR="00AD3C82" w:rsidRPr="00AD3C82" w:rsidRDefault="00AD3C82" w:rsidP="00AD3C82">
      <w:pPr>
        <w:pStyle w:val="TextoNormalSangraFrancesa"/>
        <w:rPr>
          <w:rStyle w:val="TextoNormalCaracter"/>
        </w:rPr>
      </w:pPr>
      <w:bookmarkStart w:id="1546" w:name="DESCRIPTORALFABETICO548"/>
      <w:r w:rsidRPr="00AD3C82">
        <w:rPr>
          <w:rStyle w:val="TextoNormalNegritaCaracter"/>
        </w:rPr>
        <w:t>Silencio administrativo positivo</w:t>
      </w:r>
      <w:bookmarkEnd w:id="1546"/>
      <w:r w:rsidRPr="00AD3C82">
        <w:rPr>
          <w:rStyle w:val="TextoNormalCaracter"/>
        </w:rPr>
        <w:t xml:space="preserve">, Sentencias </w:t>
      </w:r>
      <w:hyperlink w:anchor="SENTENCIA_2016_141" w:history="1">
        <w:r w:rsidRPr="00AD3C82">
          <w:rPr>
            <w:rStyle w:val="TextoNormalCaracter"/>
          </w:rPr>
          <w:t>141/2016</w:t>
        </w:r>
      </w:hyperlink>
      <w:r w:rsidRPr="00AD3C82">
        <w:rPr>
          <w:rStyle w:val="TextoNormalCaracter"/>
        </w:rPr>
        <w:t xml:space="preserve">, f. 8; </w:t>
      </w:r>
      <w:hyperlink w:anchor="SENTENCIA_2016_155" w:history="1">
        <w:r w:rsidRPr="00AD3C82">
          <w:rPr>
            <w:rStyle w:val="TextoNormalCaracter"/>
          </w:rPr>
          <w:t>155/2016</w:t>
        </w:r>
      </w:hyperlink>
      <w:r w:rsidRPr="00AD3C82">
        <w:rPr>
          <w:rStyle w:val="TextoNormalCaracter"/>
        </w:rPr>
        <w:t>, ff. 1, 2 a 7.</w:t>
      </w:r>
    </w:p>
    <w:p w:rsidR="00AD3C82" w:rsidRPr="00AD3C82" w:rsidRDefault="00AD3C82" w:rsidP="00AD3C82">
      <w:pPr>
        <w:pStyle w:val="TextoNormalSangraFrancesa"/>
        <w:rPr>
          <w:rStyle w:val="TextoNormalCaracter"/>
        </w:rPr>
      </w:pPr>
      <w:bookmarkStart w:id="1547" w:name="DESCRIPTORALFABETICO574"/>
      <w:r w:rsidRPr="00AD3C82">
        <w:rPr>
          <w:rStyle w:val="TextoNormalNegritaCaracter"/>
        </w:rPr>
        <w:t>Sistema de la Seguridad Social</w:t>
      </w:r>
      <w:bookmarkEnd w:id="1547"/>
      <w:r w:rsidRPr="00AD3C82">
        <w:rPr>
          <w:rStyle w:val="TextoNormalCaracter"/>
        </w:rPr>
        <w:t xml:space="preserve">, Auto </w:t>
      </w:r>
      <w:hyperlink w:anchor="AUTO_2016_184" w:history="1">
        <w:r w:rsidRPr="00AD3C82">
          <w:rPr>
            <w:rStyle w:val="TextoNormalCaracter"/>
          </w:rPr>
          <w:t>184/2016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548" w:name="DESCRIPTORALFABETICO497"/>
      <w:r w:rsidRPr="00AD3C82">
        <w:rPr>
          <w:rStyle w:val="TextoNormalNegritaCaracter"/>
        </w:rPr>
        <w:t>Situación de extraordinaria y urgente necesidad</w:t>
      </w:r>
      <w:bookmarkEnd w:id="1548"/>
      <w:r w:rsidRPr="00AD3C82">
        <w:rPr>
          <w:rStyle w:val="TextoNormalCaracter"/>
        </w:rPr>
        <w:t xml:space="preserve">, Sentencia </w:t>
      </w:r>
      <w:hyperlink w:anchor="SENTENCIA_2016_139" w:history="1">
        <w:r w:rsidRPr="00AD3C82">
          <w:rPr>
            <w:rStyle w:val="TextoNormalCaracter"/>
          </w:rPr>
          <w:t>139/2016</w:t>
        </w:r>
      </w:hyperlink>
      <w:r w:rsidRPr="00AD3C82">
        <w:rPr>
          <w:rStyle w:val="TextoNormalCaracter"/>
        </w:rPr>
        <w:t>, f. 4, VP I, VP II.</w:t>
      </w:r>
    </w:p>
    <w:p w:rsidR="00AD3C82" w:rsidRPr="00AD3C82" w:rsidRDefault="00AD3C82" w:rsidP="00AD3C82">
      <w:pPr>
        <w:pStyle w:val="TextoNormalSangraFrancesa"/>
        <w:rPr>
          <w:rStyle w:val="TextoNormalCaracter"/>
        </w:rPr>
      </w:pPr>
      <w:bookmarkStart w:id="1549" w:name="DESCRIPTORALFABETICO397"/>
      <w:r w:rsidRPr="00AD3C82">
        <w:rPr>
          <w:rStyle w:val="TextoNormalNegritaCaracter"/>
        </w:rPr>
        <w:t>Soberanía</w:t>
      </w:r>
      <w:bookmarkEnd w:id="1549"/>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5 A) b).</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41" w:history="1">
        <w:r w:rsidRPr="00AD3C82">
          <w:rPr>
            <w:rStyle w:val="TextoNormalCaracter"/>
          </w:rPr>
          <w:t>141/2016</w:t>
        </w:r>
      </w:hyperlink>
      <w:r w:rsidRPr="00AD3C82">
        <w:rPr>
          <w:rStyle w:val="TextoNormalCaracter"/>
        </w:rPr>
        <w:t>, ff. 3 a 5.</w:t>
      </w:r>
    </w:p>
    <w:p w:rsidR="00AD3C82" w:rsidRPr="00AD3C82" w:rsidRDefault="00AD3C82" w:rsidP="00AD3C82">
      <w:pPr>
        <w:pStyle w:val="TextoNormalSangraFrancesa"/>
        <w:rPr>
          <w:rStyle w:val="TextoNormalCaracter"/>
        </w:rPr>
      </w:pPr>
      <w:bookmarkStart w:id="1550" w:name="DESCRIPTORALFABETICO170"/>
      <w:r w:rsidRPr="00AD3C82">
        <w:rPr>
          <w:rStyle w:val="TextoNormalNegritaCaracter"/>
        </w:rPr>
        <w:t>Sobrecarga de trabajo del órgano judicial</w:t>
      </w:r>
      <w:bookmarkEnd w:id="1550"/>
      <w:r w:rsidRPr="00AD3C82">
        <w:rPr>
          <w:rStyle w:val="TextoNormalCaracter"/>
        </w:rPr>
        <w:t xml:space="preserve">, Sentencia </w:t>
      </w:r>
      <w:hyperlink w:anchor="SENTENCIA_2016_129" w:history="1">
        <w:r w:rsidRPr="00AD3C82">
          <w:rPr>
            <w:rStyle w:val="TextoNormalCaracter"/>
          </w:rPr>
          <w:t>129/2016</w:t>
        </w:r>
      </w:hyperlink>
      <w:r w:rsidRPr="00AD3C82">
        <w:rPr>
          <w:rStyle w:val="TextoNormalCaracter"/>
        </w:rPr>
        <w:t>, f. 4.</w:t>
      </w:r>
    </w:p>
    <w:p w:rsidR="00AD3C82" w:rsidRPr="00AD3C82" w:rsidRDefault="00AD3C82" w:rsidP="00AD3C82">
      <w:pPr>
        <w:pStyle w:val="TextoNormalSangraFrancesa"/>
        <w:rPr>
          <w:rStyle w:val="TextoNormalCaracter"/>
        </w:rPr>
      </w:pPr>
      <w:bookmarkStart w:id="1551" w:name="DESCRIPTORALFABETICO650"/>
      <w:r w:rsidRPr="00AD3C82">
        <w:rPr>
          <w:rStyle w:val="TextoNormalNegritaCaracter"/>
        </w:rPr>
        <w:t>Sobreseimiento provisional</w:t>
      </w:r>
      <w:bookmarkEnd w:id="1551"/>
      <w:r w:rsidRPr="00AD3C82">
        <w:rPr>
          <w:rStyle w:val="TextoNormalCaracter"/>
        </w:rPr>
        <w:t xml:space="preserve">, Sentencias </w:t>
      </w:r>
      <w:hyperlink w:anchor="SENTENCIA_2016_130" w:history="1">
        <w:r w:rsidRPr="00AD3C82">
          <w:rPr>
            <w:rStyle w:val="TextoNormalCaracter"/>
          </w:rPr>
          <w:t>130/2016</w:t>
        </w:r>
      </w:hyperlink>
      <w:r w:rsidRPr="00AD3C82">
        <w:rPr>
          <w:rStyle w:val="TextoNormalCaracter"/>
        </w:rPr>
        <w:t xml:space="preserve">, ff. 1 a 3; </w:t>
      </w:r>
      <w:hyperlink w:anchor="SENTENCIA_2016_144" w:history="1">
        <w:r w:rsidRPr="00AD3C82">
          <w:rPr>
            <w:rStyle w:val="TextoNormalCaracter"/>
          </w:rPr>
          <w:t>144/2016</w:t>
        </w:r>
      </w:hyperlink>
      <w:r w:rsidRPr="00AD3C82">
        <w:rPr>
          <w:rStyle w:val="TextoNormalCaracter"/>
        </w:rPr>
        <w:t>, ff. 1 a 4.</w:t>
      </w:r>
    </w:p>
    <w:p w:rsidR="00AD3C82" w:rsidRPr="00AD3C82" w:rsidRDefault="00AD3C82" w:rsidP="00AD3C82">
      <w:pPr>
        <w:pStyle w:val="TextoNormalSangraFrancesa"/>
        <w:rPr>
          <w:rStyle w:val="TextoNormalCaracter"/>
        </w:rPr>
      </w:pPr>
      <w:bookmarkStart w:id="1552" w:name="DESCRIPTORALFABETICO539"/>
      <w:r w:rsidRPr="00AD3C82">
        <w:rPr>
          <w:rStyle w:val="TextoNormalNegritaCaracter"/>
        </w:rPr>
        <w:t>Sociedades mercantiles</w:t>
      </w:r>
      <w:bookmarkEnd w:id="1552"/>
      <w:r w:rsidRPr="00AD3C82">
        <w:rPr>
          <w:rStyle w:val="TextoNormalCaracter"/>
        </w:rPr>
        <w:t xml:space="preserve">, Sentencia </w:t>
      </w:r>
      <w:hyperlink w:anchor="SENTENCIA_2016_138" w:history="1">
        <w:r w:rsidRPr="00AD3C82">
          <w:rPr>
            <w:rStyle w:val="TextoNormalCaracter"/>
          </w:rPr>
          <w:t>138/2016</w:t>
        </w:r>
      </w:hyperlink>
      <w:r w:rsidRPr="00AD3C82">
        <w:rPr>
          <w:rStyle w:val="TextoNormalCaracter"/>
        </w:rPr>
        <w:t>, ff. 1, 4.</w:t>
      </w:r>
    </w:p>
    <w:p w:rsidR="00AD3C82" w:rsidRPr="00AD3C82" w:rsidRDefault="00AD3C82" w:rsidP="00AD3C82">
      <w:pPr>
        <w:pStyle w:val="TextoNormalSangraFrancesa"/>
        <w:rPr>
          <w:rStyle w:val="TextoNormalCaracter"/>
        </w:rPr>
      </w:pPr>
      <w:bookmarkStart w:id="1553" w:name="DESCRIPTORALFABETICO307"/>
      <w:r w:rsidRPr="00AD3C82">
        <w:rPr>
          <w:rStyle w:val="TextoNormalNegritaCaracter"/>
        </w:rPr>
        <w:t>Sociedades mercantiles autonómicas</w:t>
      </w:r>
      <w:bookmarkEnd w:id="1553"/>
      <w:r w:rsidRPr="00AD3C82">
        <w:rPr>
          <w:rStyle w:val="TextoNormalCaracter"/>
        </w:rPr>
        <w:t xml:space="preserve">, Sentencia </w:t>
      </w:r>
      <w:hyperlink w:anchor="SENTENCIA_2016_164" w:history="1">
        <w:r w:rsidRPr="00AD3C82">
          <w:rPr>
            <w:rStyle w:val="TextoNormalCaracter"/>
          </w:rPr>
          <w:t>164/2016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554" w:name="DESCRIPTORALFABETICO636"/>
      <w:r w:rsidRPr="00AD3C82">
        <w:rPr>
          <w:rStyle w:val="TextoNormalNegritaCaracter"/>
        </w:rPr>
        <w:t>Solicitud de justicia gratuita no atendida por el órgano judicial</w:t>
      </w:r>
      <w:bookmarkEnd w:id="1554"/>
      <w:r w:rsidRPr="00AD3C82">
        <w:rPr>
          <w:rStyle w:val="TextoNormalCaracter"/>
        </w:rPr>
        <w:t xml:space="preserve">, Sentencia </w:t>
      </w:r>
      <w:hyperlink w:anchor="SENTENCIA_2016_136" w:history="1">
        <w:r w:rsidRPr="00AD3C82">
          <w:rPr>
            <w:rStyle w:val="TextoNormalCaracter"/>
          </w:rPr>
          <w:t>136/2016</w:t>
        </w:r>
      </w:hyperlink>
      <w:r w:rsidRPr="00AD3C82">
        <w:rPr>
          <w:rStyle w:val="TextoNormalCaracter"/>
        </w:rPr>
        <w:t>, ff. 1, 5.</w:t>
      </w:r>
    </w:p>
    <w:p w:rsidR="00AD3C82" w:rsidRPr="00AD3C82" w:rsidRDefault="00AD3C82" w:rsidP="00AD3C82">
      <w:pPr>
        <w:pStyle w:val="TextoNormalSangraFrancesa"/>
        <w:rPr>
          <w:rStyle w:val="TextoNormalCaracter"/>
        </w:rPr>
      </w:pPr>
      <w:bookmarkStart w:id="1555" w:name="DESCRIPTORALFABETICO570"/>
      <w:r w:rsidRPr="00AD3C82">
        <w:rPr>
          <w:rStyle w:val="TextoNormalNegritaCaracter"/>
        </w:rPr>
        <w:t>Subsidio de desempleo</w:t>
      </w:r>
      <w:bookmarkEnd w:id="1555"/>
      <w:r w:rsidRPr="00AD3C82">
        <w:rPr>
          <w:rStyle w:val="TextoNormalCaracter"/>
        </w:rPr>
        <w:t xml:space="preserve">, Autos </w:t>
      </w:r>
      <w:hyperlink w:anchor="AUTO_2016_186" w:history="1">
        <w:r w:rsidRPr="00AD3C82">
          <w:rPr>
            <w:rStyle w:val="TextoNormalCaracter"/>
          </w:rPr>
          <w:t>186/2016</w:t>
        </w:r>
      </w:hyperlink>
      <w:r w:rsidRPr="00AD3C82">
        <w:rPr>
          <w:rStyle w:val="TextoNormalCaracter"/>
        </w:rPr>
        <w:t xml:space="preserve">, ff. 1, 3, 6; </w:t>
      </w:r>
      <w:hyperlink w:anchor="AUTO_2016_187" w:history="1">
        <w:r w:rsidRPr="00AD3C82">
          <w:rPr>
            <w:rStyle w:val="TextoNormalCaracter"/>
          </w:rPr>
          <w:t>187/2016</w:t>
        </w:r>
      </w:hyperlink>
      <w:r w:rsidRPr="00AD3C82">
        <w:rPr>
          <w:rStyle w:val="TextoNormalCaracter"/>
        </w:rPr>
        <w:t>, ff. 4, 6.</w:t>
      </w:r>
    </w:p>
    <w:p w:rsidR="00AD3C82" w:rsidRPr="00AD3C82" w:rsidRDefault="00AD3C82" w:rsidP="00AD3C82">
      <w:pPr>
        <w:pStyle w:val="TextoNormalSangraFrancesa"/>
        <w:rPr>
          <w:rStyle w:val="TextoNormalCaracter"/>
        </w:rPr>
      </w:pPr>
      <w:bookmarkStart w:id="1556" w:name="DESCRIPTORALFABETICO482"/>
      <w:r w:rsidRPr="00AD3C82">
        <w:rPr>
          <w:rStyle w:val="TextoNormalNegritaCaracter"/>
        </w:rPr>
        <w:t>Sujetos de Derecho internacional</w:t>
      </w:r>
      <w:bookmarkEnd w:id="1556"/>
      <w:r w:rsidRPr="00AD3C82">
        <w:rPr>
          <w:rStyle w:val="TextoNormalCaracter"/>
        </w:rPr>
        <w:t xml:space="preserve">, Sentencia </w:t>
      </w:r>
      <w:hyperlink w:anchor="SENTENCIA_2016_228" w:history="1">
        <w:r w:rsidRPr="00AD3C82">
          <w:rPr>
            <w:rStyle w:val="TextoNormalCaracter"/>
          </w:rPr>
          <w:t>228/2016</w:t>
        </w:r>
      </w:hyperlink>
      <w:r w:rsidRPr="00AD3C82">
        <w:rPr>
          <w:rStyle w:val="TextoNormalCaracter"/>
        </w:rPr>
        <w:t>, ff. 2, 4 a 11, VP II.</w:t>
      </w:r>
    </w:p>
    <w:p w:rsidR="00AD3C82" w:rsidRPr="00AD3C82" w:rsidRDefault="00AD3C82" w:rsidP="00AD3C82">
      <w:pPr>
        <w:pStyle w:val="TextoNormalSangraFrancesa"/>
        <w:rPr>
          <w:rStyle w:val="TextoNormalCaracter"/>
        </w:rPr>
      </w:pPr>
      <w:bookmarkStart w:id="1557" w:name="DESCRIPTORALFABETICO456"/>
      <w:r w:rsidRPr="00AD3C82">
        <w:rPr>
          <w:rStyle w:val="TextoNormalNegritaCaracter"/>
        </w:rPr>
        <w:t>Suministro de energía eléctrica</w:t>
      </w:r>
      <w:bookmarkEnd w:id="1557"/>
      <w:r w:rsidRPr="00AD3C82">
        <w:rPr>
          <w:rStyle w:val="TextoNormalCaracter"/>
        </w:rPr>
        <w:t xml:space="preserve">, Sentencia </w:t>
      </w:r>
      <w:hyperlink w:anchor="SENTENCIA_2016_171" w:history="1">
        <w:r w:rsidRPr="00AD3C82">
          <w:rPr>
            <w:rStyle w:val="TextoNormalCaracter"/>
          </w:rPr>
          <w:t>171/2016</w:t>
        </w:r>
      </w:hyperlink>
      <w:r w:rsidRPr="00AD3C82">
        <w:rPr>
          <w:rStyle w:val="TextoNormalCaracter"/>
        </w:rPr>
        <w:t>, ff. 4 a 6.</w:t>
      </w:r>
    </w:p>
    <w:p w:rsidR="00AD3C82" w:rsidRPr="00AD3C82" w:rsidRDefault="00AD3C82" w:rsidP="00AD3C82">
      <w:pPr>
        <w:pStyle w:val="TextoNormalSangraFrancesa"/>
        <w:rPr>
          <w:rStyle w:val="TextoNormalCaracter"/>
        </w:rPr>
      </w:pPr>
      <w:bookmarkStart w:id="1558" w:name="DESCRIPTORALFABETICO193"/>
      <w:r w:rsidRPr="00AD3C82">
        <w:rPr>
          <w:rStyle w:val="TextoNormalNegritaCaracter"/>
        </w:rPr>
        <w:t>Suspensión cautelar de resoluciones civiles</w:t>
      </w:r>
      <w:bookmarkEnd w:id="1558"/>
      <w:r w:rsidRPr="00AD3C82">
        <w:rPr>
          <w:rStyle w:val="TextoNormalCaracter"/>
        </w:rPr>
        <w:t xml:space="preserve">, Auto </w:t>
      </w:r>
      <w:hyperlink w:anchor="AUTO_2016_174" w:history="1">
        <w:r w:rsidRPr="00AD3C82">
          <w:rPr>
            <w:rStyle w:val="TextoNormalCaracter"/>
          </w:rPr>
          <w:t>174/2016</w:t>
        </w:r>
      </w:hyperlink>
      <w:r w:rsidRPr="00AD3C82">
        <w:rPr>
          <w:rStyle w:val="TextoNormalCaracter"/>
        </w:rPr>
        <w:t>, f. 2.</w:t>
      </w:r>
    </w:p>
    <w:p w:rsidR="00AD3C82" w:rsidRPr="00AD3C82" w:rsidRDefault="00AD3C82" w:rsidP="00AD3C82">
      <w:pPr>
        <w:pStyle w:val="TextoNormalSangraFrancesa"/>
        <w:rPr>
          <w:rStyle w:val="TextoNormalCaracter"/>
        </w:rPr>
      </w:pPr>
      <w:bookmarkStart w:id="1559" w:name="DESCRIPTORALFABETICO275"/>
      <w:r w:rsidRPr="00AD3C82">
        <w:rPr>
          <w:rStyle w:val="TextoNormalNegritaCaracter"/>
        </w:rPr>
        <w:t>Suspensión de funciones de autoridades o empleados públicos</w:t>
      </w:r>
      <w:bookmarkEnd w:id="1559"/>
      <w:r w:rsidRPr="00AD3C82">
        <w:rPr>
          <w:rStyle w:val="TextoNormalCaracter"/>
        </w:rPr>
        <w:t xml:space="preserve">, Sentencias </w:t>
      </w:r>
      <w:hyperlink w:anchor="SENTENCIA_2016_185" w:history="1">
        <w:r w:rsidRPr="00AD3C82">
          <w:rPr>
            <w:rStyle w:val="TextoNormalCaracter"/>
          </w:rPr>
          <w:t>185/2016</w:t>
        </w:r>
      </w:hyperlink>
      <w:r w:rsidRPr="00AD3C82">
        <w:rPr>
          <w:rStyle w:val="TextoNormalCaracter"/>
        </w:rPr>
        <w:t xml:space="preserve">, ff. 1, 2, 6, 9, 11 a 15, VVPP I, II, III; </w:t>
      </w:r>
      <w:hyperlink w:anchor="SENTENCIA_2016_215" w:history="1">
        <w:r w:rsidRPr="00AD3C82">
          <w:rPr>
            <w:rStyle w:val="TextoNormalCaracter"/>
          </w:rPr>
          <w:t>215/2016</w:t>
        </w:r>
      </w:hyperlink>
      <w:r w:rsidRPr="00AD3C82">
        <w:rPr>
          <w:rStyle w:val="TextoNormalCaracter"/>
        </w:rPr>
        <w:t>, ff. 8 a 10.</w:t>
      </w:r>
    </w:p>
    <w:p w:rsidR="00AD3C82" w:rsidRPr="00AD3C82" w:rsidRDefault="00AD3C82" w:rsidP="00AD3C82">
      <w:pPr>
        <w:pStyle w:val="TextoNormalSangraFrancesa"/>
        <w:rPr>
          <w:rStyle w:val="TextoNormalCaracter"/>
        </w:rPr>
      </w:pPr>
      <w:bookmarkStart w:id="1560" w:name="DESCRIPTORALFABETICO191"/>
      <w:r w:rsidRPr="00AD3C82">
        <w:rPr>
          <w:rStyle w:val="TextoNormalNegritaCaracter"/>
        </w:rPr>
        <w:t>Suspensión de la ejecución del acto que origina el amparo</w:t>
      </w:r>
      <w:bookmarkEnd w:id="1560"/>
      <w:r w:rsidRPr="00AD3C82">
        <w:rPr>
          <w:rStyle w:val="TextoNormalCaracter"/>
        </w:rPr>
        <w:t xml:space="preserve">, Autos </w:t>
      </w:r>
      <w:hyperlink w:anchor="AUTO_2016_154" w:history="1">
        <w:r w:rsidRPr="00AD3C82">
          <w:rPr>
            <w:rStyle w:val="TextoNormalCaracter"/>
          </w:rPr>
          <w:t>154/2016</w:t>
        </w:r>
      </w:hyperlink>
      <w:r w:rsidRPr="00AD3C82">
        <w:rPr>
          <w:rStyle w:val="TextoNormalCaracter"/>
        </w:rPr>
        <w:t xml:space="preserve">, ff. 1 a 3; </w:t>
      </w:r>
      <w:hyperlink w:anchor="AUTO_2016_173" w:history="1">
        <w:r w:rsidRPr="00AD3C82">
          <w:rPr>
            <w:rStyle w:val="TextoNormalCaracter"/>
          </w:rPr>
          <w:t>173/2016</w:t>
        </w:r>
      </w:hyperlink>
      <w:r w:rsidRPr="00AD3C82">
        <w:rPr>
          <w:rStyle w:val="TextoNormalCaracter"/>
        </w:rPr>
        <w:t>, Único.</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T</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561" w:name="DESCRIPTORALFABETICO648"/>
      <w:r w:rsidRPr="00AD3C82">
        <w:rPr>
          <w:rStyle w:val="TextoNormalNegritaCaracter"/>
        </w:rPr>
        <w:t>Tasas judiciales</w:t>
      </w:r>
      <w:bookmarkEnd w:id="1561"/>
      <w:r w:rsidRPr="00AD3C82">
        <w:rPr>
          <w:rStyle w:val="TextoNormalCaracter"/>
        </w:rPr>
        <w:t xml:space="preserve">, Sentencias </w:t>
      </w:r>
      <w:hyperlink w:anchor="SENTENCIA_2016_140" w:history="1">
        <w:r w:rsidRPr="00AD3C82">
          <w:rPr>
            <w:rStyle w:val="TextoNormalCaracter"/>
          </w:rPr>
          <w:t>140/2016</w:t>
        </w:r>
      </w:hyperlink>
      <w:r w:rsidRPr="00AD3C82">
        <w:rPr>
          <w:rStyle w:val="TextoNormalCaracter"/>
        </w:rPr>
        <w:t xml:space="preserve">, ff. 1 a 15; </w:t>
      </w:r>
      <w:hyperlink w:anchor="SENTENCIA_2016_202" w:history="1">
        <w:r w:rsidRPr="00AD3C82">
          <w:rPr>
            <w:rStyle w:val="TextoNormalCaracter"/>
          </w:rPr>
          <w:t>202/2016</w:t>
        </w:r>
      </w:hyperlink>
      <w:r w:rsidRPr="00AD3C82">
        <w:rPr>
          <w:rStyle w:val="TextoNormalCaracter"/>
        </w:rPr>
        <w:t xml:space="preserve">, ff. 1 a 5; </w:t>
      </w:r>
      <w:hyperlink w:anchor="SENTENCIA_2016_227" w:history="1">
        <w:r w:rsidRPr="00AD3C82">
          <w:rPr>
            <w:rStyle w:val="TextoNormalCaracter"/>
          </w:rPr>
          <w:t>227/2016</w:t>
        </w:r>
      </w:hyperlink>
      <w:r w:rsidRPr="00AD3C82">
        <w:rPr>
          <w:rStyle w:val="TextoNormalCaracter"/>
        </w:rPr>
        <w:t>, ff. 1 a 5.</w:t>
      </w:r>
    </w:p>
    <w:p w:rsidR="00AD3C82" w:rsidRPr="00AD3C82" w:rsidRDefault="00AD3C82" w:rsidP="00AD3C82">
      <w:pPr>
        <w:pStyle w:val="TextoNormalSangraFrancesa"/>
        <w:rPr>
          <w:rStyle w:val="TextoNormalCaracter"/>
        </w:rPr>
      </w:pPr>
      <w:r w:rsidRPr="00AD3C82">
        <w:rPr>
          <w:rStyle w:val="TextoNormalCaracter"/>
        </w:rPr>
        <w:t xml:space="preserve">    Autos </w:t>
      </w:r>
      <w:hyperlink w:anchor="AUTO_2016_179" w:history="1">
        <w:r w:rsidRPr="00AD3C82">
          <w:rPr>
            <w:rStyle w:val="TextoNormalCaracter"/>
          </w:rPr>
          <w:t>179/2016</w:t>
        </w:r>
      </w:hyperlink>
      <w:r w:rsidRPr="00AD3C82">
        <w:rPr>
          <w:rStyle w:val="TextoNormalCaracter"/>
        </w:rPr>
        <w:t xml:space="preserve">, ff. 1 a 3; </w:t>
      </w:r>
      <w:hyperlink w:anchor="AUTO_2016_193" w:history="1">
        <w:r w:rsidRPr="00AD3C82">
          <w:rPr>
            <w:rStyle w:val="TextoNormalCaracter"/>
          </w:rPr>
          <w:t>193/2016</w:t>
        </w:r>
      </w:hyperlink>
      <w:r w:rsidRPr="00AD3C82">
        <w:rPr>
          <w:rStyle w:val="TextoNormalCaracter"/>
        </w:rPr>
        <w:t>, ff. 1, 2.</w:t>
      </w:r>
    </w:p>
    <w:p w:rsidR="00AD3C82" w:rsidRPr="00AD3C82" w:rsidRDefault="00AD3C82" w:rsidP="00AD3C82">
      <w:pPr>
        <w:pStyle w:val="TextoNormalSangraFrancesa"/>
        <w:rPr>
          <w:rStyle w:val="TextoNormalCaracter"/>
        </w:rPr>
      </w:pPr>
      <w:bookmarkStart w:id="1562" w:name="DESCRIPTORALFABETICO577"/>
      <w:r w:rsidRPr="00AD3C82">
        <w:rPr>
          <w:rStyle w:val="TextoNormalNegritaCaracter"/>
        </w:rPr>
        <w:t>Tecnologías de la información y la comunicación</w:t>
      </w:r>
      <w:bookmarkEnd w:id="1562"/>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10.</w:t>
      </w:r>
    </w:p>
    <w:p w:rsidR="00AD3C82" w:rsidRPr="00AD3C82" w:rsidRDefault="00AD3C82" w:rsidP="00AD3C82">
      <w:pPr>
        <w:pStyle w:val="TextoNormalSangraFrancesa"/>
        <w:rPr>
          <w:rStyle w:val="TextoNormalCaracter"/>
        </w:rPr>
      </w:pPr>
      <w:bookmarkStart w:id="1563" w:name="DESCRIPTORALFABETICO640"/>
      <w:r w:rsidRPr="00AD3C82">
        <w:rPr>
          <w:rStyle w:val="TextoNormalNegritaCaracter"/>
        </w:rPr>
        <w:t>Término inicial</w:t>
      </w:r>
      <w:bookmarkEnd w:id="1563"/>
      <w:r w:rsidRPr="00AD3C82">
        <w:rPr>
          <w:rStyle w:val="TextoNormalCaracter"/>
        </w:rPr>
        <w:t xml:space="preserve">, Auto </w:t>
      </w:r>
      <w:hyperlink w:anchor="AUTO_2016_148" w:history="1">
        <w:r w:rsidRPr="00AD3C82">
          <w:rPr>
            <w:rStyle w:val="TextoNormalCaracter"/>
          </w:rPr>
          <w:t>148/2016</w:t>
        </w:r>
      </w:hyperlink>
      <w:r w:rsidRPr="00AD3C82">
        <w:rPr>
          <w:rStyle w:val="TextoNormalCaracter"/>
        </w:rPr>
        <w:t>, ff. 5, 6.</w:t>
      </w:r>
    </w:p>
    <w:p w:rsidR="00AD3C82" w:rsidRPr="00AD3C82" w:rsidRDefault="00AD3C82" w:rsidP="00AD3C82">
      <w:pPr>
        <w:pStyle w:val="TextoNormalSangraFrancesa"/>
        <w:rPr>
          <w:rStyle w:val="TextoNormalCaracter"/>
        </w:rPr>
      </w:pPr>
      <w:bookmarkStart w:id="1564" w:name="DESCRIPTORALFABETICO628"/>
      <w:r w:rsidRPr="00AD3C82">
        <w:rPr>
          <w:rStyle w:val="TextoNormalNegritaCaracter"/>
        </w:rPr>
        <w:t>Testimonio de referencia</w:t>
      </w:r>
      <w:bookmarkEnd w:id="1564"/>
      <w:r w:rsidRPr="00AD3C82">
        <w:rPr>
          <w:rStyle w:val="TextoNormalCaracter"/>
        </w:rPr>
        <w:t xml:space="preserve">, Sentencia </w:t>
      </w:r>
      <w:hyperlink w:anchor="SENTENCIA_2016_161" w:history="1">
        <w:r w:rsidRPr="00AD3C82">
          <w:rPr>
            <w:rStyle w:val="TextoNormalCaracter"/>
          </w:rPr>
          <w:t>161/2016</w:t>
        </w:r>
      </w:hyperlink>
      <w:r w:rsidRPr="00AD3C82">
        <w:rPr>
          <w:rStyle w:val="TextoNormalCaracter"/>
        </w:rPr>
        <w:t>, f. 6.</w:t>
      </w:r>
    </w:p>
    <w:p w:rsidR="00AD3C82" w:rsidRPr="00AD3C82" w:rsidRDefault="00AD3C82" w:rsidP="00AD3C82">
      <w:pPr>
        <w:pStyle w:val="TextoNormalSangraFrancesa"/>
        <w:rPr>
          <w:rStyle w:val="TextoNormalCaracter"/>
        </w:rPr>
      </w:pPr>
      <w:bookmarkStart w:id="1565" w:name="DESCRIPTORALFABETICO374"/>
      <w:r w:rsidRPr="00AD3C82">
        <w:rPr>
          <w:rStyle w:val="TextoNormalNegritaCaracter"/>
        </w:rPr>
        <w:t>Tipificación de las infracciones administrativas</w:t>
      </w:r>
      <w:bookmarkEnd w:id="1565"/>
      <w:r w:rsidRPr="00AD3C82">
        <w:rPr>
          <w:rStyle w:val="TextoNormalCaracter"/>
        </w:rPr>
        <w:t xml:space="preserve">, Sentencia </w:t>
      </w:r>
      <w:hyperlink w:anchor="SENTENCIA_2016_142" w:history="1">
        <w:r w:rsidRPr="00AD3C82">
          <w:rPr>
            <w:rStyle w:val="TextoNormalCaracter"/>
          </w:rPr>
          <w:t>142/2016</w:t>
        </w:r>
      </w:hyperlink>
      <w:r w:rsidRPr="00AD3C82">
        <w:rPr>
          <w:rStyle w:val="TextoNormalCaracter"/>
        </w:rPr>
        <w:t>, ff. 5, 11.</w:t>
      </w:r>
    </w:p>
    <w:p w:rsidR="00AD3C82" w:rsidRPr="00AD3C82" w:rsidRDefault="00AD3C82" w:rsidP="00AD3C82">
      <w:pPr>
        <w:pStyle w:val="TextoNormalSangraFrancesa"/>
        <w:rPr>
          <w:rStyle w:val="TextoNormalCaracter"/>
        </w:rPr>
      </w:pPr>
      <w:bookmarkStart w:id="1566" w:name="DESCRIPTORALFABETICO28"/>
      <w:r w:rsidRPr="00AD3C82">
        <w:rPr>
          <w:rStyle w:val="TextoNormalNegritaCaracter"/>
        </w:rPr>
        <w:t>Titularidad de las competencias</w:t>
      </w:r>
      <w:bookmarkEnd w:id="1566"/>
      <w:r w:rsidRPr="00AD3C82">
        <w:rPr>
          <w:rStyle w:val="TextoNormalCaracter"/>
        </w:rPr>
        <w:t xml:space="preserve">, Sentencia </w:t>
      </w:r>
      <w:hyperlink w:anchor="SENTENCIA_2016_216" w:history="1">
        <w:r w:rsidRPr="00AD3C82">
          <w:rPr>
            <w:rStyle w:val="TextoNormalCaracter"/>
          </w:rPr>
          <w:t>216/2016</w:t>
        </w:r>
      </w:hyperlink>
      <w:r w:rsidRPr="00AD3C82">
        <w:rPr>
          <w:rStyle w:val="TextoNormalCaracter"/>
        </w:rPr>
        <w:t>, f. 4.</w:t>
      </w:r>
    </w:p>
    <w:p w:rsidR="00AD3C82" w:rsidRPr="00AD3C82" w:rsidRDefault="00AD3C82" w:rsidP="00AD3C82">
      <w:pPr>
        <w:pStyle w:val="TextoNormalSangraFrancesa"/>
        <w:rPr>
          <w:rStyle w:val="TextoNormalCaracter"/>
        </w:rPr>
      </w:pPr>
      <w:bookmarkStart w:id="1567" w:name="DESCRIPTORALFABETICO432"/>
      <w:r w:rsidRPr="00AD3C82">
        <w:rPr>
          <w:rStyle w:val="TextoNormalNegritaCaracter"/>
        </w:rPr>
        <w:t>Toros</w:t>
      </w:r>
      <w:bookmarkEnd w:id="1567"/>
      <w:r w:rsidRPr="00AD3C82">
        <w:rPr>
          <w:rStyle w:val="TextoNormalCaracter"/>
        </w:rPr>
        <w:t xml:space="preserve">, Sentencia </w:t>
      </w:r>
      <w:hyperlink w:anchor="SENTENCIA_2016_177" w:history="1">
        <w:r w:rsidRPr="00AD3C82">
          <w:rPr>
            <w:rStyle w:val="TextoNormalCaracter"/>
          </w:rPr>
          <w:t>177/2016</w:t>
        </w:r>
      </w:hyperlink>
      <w:r w:rsidRPr="00AD3C82">
        <w:rPr>
          <w:rStyle w:val="TextoNormalCaracter"/>
        </w:rPr>
        <w:t>, ff. 3, 4, 6, 7.</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206" w:history="1">
        <w:r w:rsidRPr="00AD3C82">
          <w:rPr>
            <w:rStyle w:val="TextoNormalCaracter"/>
          </w:rPr>
          <w:t>206/2016</w:t>
        </w:r>
      </w:hyperlink>
      <w:r w:rsidRPr="00AD3C82">
        <w:rPr>
          <w:rStyle w:val="TextoNormalCaracter"/>
        </w:rPr>
        <w:t>, f. 3.</w:t>
      </w:r>
    </w:p>
    <w:p w:rsidR="00AD3C82" w:rsidRPr="00AD3C82" w:rsidRDefault="00AD3C82" w:rsidP="00AD3C82">
      <w:pPr>
        <w:pStyle w:val="TextoNormalSangraFrancesa"/>
        <w:rPr>
          <w:rStyle w:val="TextoNormalCaracter"/>
        </w:rPr>
      </w:pPr>
      <w:bookmarkStart w:id="1568" w:name="DESCRIPTORALFABETICO326"/>
      <w:r w:rsidRPr="00AD3C82">
        <w:rPr>
          <w:rStyle w:val="TextoNormalNegritaCaracter"/>
        </w:rPr>
        <w:t>Tramitación de enmiendas</w:t>
      </w:r>
      <w:bookmarkEnd w:id="1568"/>
      <w:r w:rsidRPr="00AD3C82">
        <w:rPr>
          <w:rStyle w:val="TextoNormalCaracter"/>
        </w:rPr>
        <w:t xml:space="preserve">, Sentencia </w:t>
      </w:r>
      <w:hyperlink w:anchor="SENTENCIA_2016_213" w:history="1">
        <w:r w:rsidRPr="00AD3C82">
          <w:rPr>
            <w:rStyle w:val="TextoNormalCaracter"/>
          </w:rPr>
          <w:t>213/2016</w:t>
        </w:r>
      </w:hyperlink>
      <w:r w:rsidRPr="00AD3C82">
        <w:rPr>
          <w:rStyle w:val="TextoNormalCaracter"/>
        </w:rPr>
        <w:t>, ff. 2 a 4.</w:t>
      </w:r>
    </w:p>
    <w:p w:rsidR="00AD3C82" w:rsidRPr="00AD3C82" w:rsidRDefault="00AD3C82" w:rsidP="00AD3C82">
      <w:pPr>
        <w:pStyle w:val="TextoNormalSangraFrancesa"/>
        <w:rPr>
          <w:rStyle w:val="TextoNormalCaracter"/>
        </w:rPr>
      </w:pPr>
      <w:bookmarkStart w:id="1569" w:name="DESCRIPTORALFABETICO323"/>
      <w:r w:rsidRPr="00AD3C82">
        <w:rPr>
          <w:rStyle w:val="TextoNormalNegritaCaracter"/>
        </w:rPr>
        <w:t>Tramitación parlamentaria</w:t>
      </w:r>
      <w:bookmarkEnd w:id="1569"/>
      <w:r w:rsidRPr="00AD3C82">
        <w:rPr>
          <w:rStyle w:val="TextoNormalCaracter"/>
        </w:rPr>
        <w:t xml:space="preserve">, Sentencia </w:t>
      </w:r>
      <w:hyperlink w:anchor="SENTENCIA_2016_143" w:history="1">
        <w:r w:rsidRPr="00AD3C82">
          <w:rPr>
            <w:rStyle w:val="TextoNormalCaracter"/>
          </w:rPr>
          <w:t>143/2016</w:t>
        </w:r>
      </w:hyperlink>
      <w:r w:rsidRPr="00AD3C82">
        <w:rPr>
          <w:rStyle w:val="TextoNormalCaracter"/>
        </w:rPr>
        <w:t>, ff. 1, 3 a 6.</w:t>
      </w:r>
    </w:p>
    <w:p w:rsidR="00AD3C82" w:rsidRPr="00AD3C82" w:rsidRDefault="00AD3C82" w:rsidP="00AD3C82">
      <w:pPr>
        <w:pStyle w:val="TextoNormalSangraFrancesa"/>
        <w:rPr>
          <w:rStyle w:val="TextoNormalCaracter"/>
        </w:rPr>
      </w:pPr>
      <w:bookmarkStart w:id="1570" w:name="DESCRIPTORALFABETICO253"/>
      <w:r w:rsidRPr="00AD3C82">
        <w:rPr>
          <w:rStyle w:val="TextoNormalNegritaCaracter"/>
        </w:rPr>
        <w:t>Trámite de admisión en el recurso de amparo</w:t>
      </w:r>
      <w:bookmarkEnd w:id="1570"/>
      <w:r w:rsidRPr="00AD3C82">
        <w:rPr>
          <w:rStyle w:val="TextoNormalCaracter"/>
        </w:rPr>
        <w:t xml:space="preserve">, Sentencia </w:t>
      </w:r>
      <w:hyperlink w:anchor="SENTENCIA_2016_131" w:history="1">
        <w:r w:rsidRPr="00AD3C82">
          <w:rPr>
            <w:rStyle w:val="TextoNormalCaracter"/>
          </w:rPr>
          <w:t>131/2016</w:t>
        </w:r>
      </w:hyperlink>
      <w:r w:rsidRPr="00AD3C82">
        <w:rPr>
          <w:rStyle w:val="TextoNormalCaracter"/>
        </w:rPr>
        <w:t>, f. 2.</w:t>
      </w:r>
    </w:p>
    <w:p w:rsidR="00AD3C82" w:rsidRPr="00AD3C82" w:rsidRDefault="00AD3C82" w:rsidP="00AD3C82">
      <w:pPr>
        <w:pStyle w:val="TextoNormalSangraFrancesa"/>
        <w:rPr>
          <w:rStyle w:val="TextoNormalCaracter"/>
        </w:rPr>
      </w:pPr>
      <w:bookmarkStart w:id="1571" w:name="DESCRIPTORALFABETICO461"/>
      <w:r w:rsidRPr="00AD3C82">
        <w:rPr>
          <w:rStyle w:val="TextoNormalNegritaCaracter"/>
        </w:rPr>
        <w:t>Transporte de energía eléctrica</w:t>
      </w:r>
      <w:bookmarkEnd w:id="1571"/>
      <w:r w:rsidRPr="00AD3C82">
        <w:rPr>
          <w:rStyle w:val="TextoNormalCaracter"/>
        </w:rPr>
        <w:t xml:space="preserve">, Sentencia </w:t>
      </w:r>
      <w:hyperlink w:anchor="SENTENCIA_2016_167" w:history="1">
        <w:r w:rsidRPr="00AD3C82">
          <w:rPr>
            <w:rStyle w:val="TextoNormalCaracter"/>
          </w:rPr>
          <w:t>167/2016</w:t>
        </w:r>
      </w:hyperlink>
      <w:r w:rsidRPr="00AD3C82">
        <w:rPr>
          <w:rStyle w:val="TextoNormalCaracter"/>
        </w:rPr>
        <w:t>, ff. 3, 6.</w:t>
      </w:r>
    </w:p>
    <w:p w:rsidR="00AD3C82" w:rsidRPr="00AD3C82" w:rsidRDefault="00AD3C82" w:rsidP="00AD3C82">
      <w:pPr>
        <w:pStyle w:val="TextoNormalSangraFrancesa"/>
        <w:rPr>
          <w:rStyle w:val="TextoNormalCaracter"/>
        </w:rPr>
      </w:pPr>
      <w:bookmarkStart w:id="1572" w:name="DESCRIPTORALFABETICO591"/>
      <w:r w:rsidRPr="00AD3C82">
        <w:rPr>
          <w:rStyle w:val="TextoNormalNegritaCaracter"/>
        </w:rPr>
        <w:t>Transporte ferroviario</w:t>
      </w:r>
      <w:bookmarkEnd w:id="1572"/>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10.</w:t>
      </w:r>
    </w:p>
    <w:p w:rsidR="00AD3C82" w:rsidRPr="00AD3C82" w:rsidRDefault="00AD3C82" w:rsidP="00AD3C82">
      <w:pPr>
        <w:pStyle w:val="TextoNormalSangraFrancesa"/>
        <w:rPr>
          <w:rStyle w:val="TextoNormalCaracter"/>
        </w:rPr>
      </w:pPr>
      <w:bookmarkStart w:id="1573" w:name="DESCRIPTORALFABETICO479"/>
      <w:r w:rsidRPr="00AD3C82">
        <w:rPr>
          <w:rStyle w:val="TextoNormalNegritaCaracter"/>
        </w:rPr>
        <w:t>Transposición de directivas de la Unión Europea</w:t>
      </w:r>
      <w:bookmarkEnd w:id="1573"/>
      <w:r w:rsidRPr="00AD3C82">
        <w:rPr>
          <w:rStyle w:val="TextoNormalCaracter"/>
        </w:rPr>
        <w:t xml:space="preserve">, Sentencia </w:t>
      </w:r>
      <w:hyperlink w:anchor="SENTENCIA_2016_165" w:history="1">
        <w:r w:rsidRPr="00AD3C82">
          <w:rPr>
            <w:rStyle w:val="TextoNormalCaracter"/>
          </w:rPr>
          <w:t>165/2016</w:t>
        </w:r>
      </w:hyperlink>
      <w:r w:rsidRPr="00AD3C82">
        <w:rPr>
          <w:rStyle w:val="TextoNormalCaracter"/>
        </w:rPr>
        <w:t>, ff. 2, 3, 6.</w:t>
      </w:r>
    </w:p>
    <w:p w:rsidR="00AD3C82" w:rsidRPr="00AD3C82" w:rsidRDefault="00AD3C82" w:rsidP="00AD3C82">
      <w:pPr>
        <w:pStyle w:val="TextoNormalSangraFrancesa"/>
        <w:rPr>
          <w:rStyle w:val="TextoNormalCaracter"/>
        </w:rPr>
      </w:pPr>
      <w:bookmarkStart w:id="1574" w:name="DESCRIPTORALFABETICO483"/>
      <w:r w:rsidRPr="00AD3C82">
        <w:rPr>
          <w:rStyle w:val="TextoNormalNegritaCaracter"/>
        </w:rPr>
        <w:t>Tratados internacionales</w:t>
      </w:r>
      <w:bookmarkEnd w:id="1574"/>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 2.</w:t>
      </w:r>
    </w:p>
    <w:p w:rsidR="00AD3C82" w:rsidRPr="00AD3C82" w:rsidRDefault="00AD3C82" w:rsidP="00AD3C82">
      <w:pPr>
        <w:pStyle w:val="TextoNormalSangraFrancesa"/>
        <w:rPr>
          <w:rStyle w:val="TextoNormalCaracter"/>
        </w:rPr>
      </w:pPr>
      <w:bookmarkStart w:id="1575" w:name="DESCRIPTORALFABETICO100"/>
      <w:r w:rsidRPr="00AD3C82">
        <w:rPr>
          <w:rStyle w:val="TextoNormalNegritaCaracter"/>
        </w:rPr>
        <w:t>Tributos</w:t>
      </w:r>
      <w:bookmarkEnd w:id="1575"/>
      <w:r w:rsidRPr="00AD3C82">
        <w:rPr>
          <w:rStyle w:val="TextoNormalCaracter"/>
        </w:rPr>
        <w:t xml:space="preserve">, Sentencia </w:t>
      </w:r>
      <w:hyperlink w:anchor="SENTENCIA_2016_128" w:history="1">
        <w:r w:rsidRPr="00AD3C82">
          <w:rPr>
            <w:rStyle w:val="TextoNormalCaracter"/>
          </w:rPr>
          <w:t>128/2016</w:t>
        </w:r>
      </w:hyperlink>
      <w:r w:rsidRPr="00AD3C82">
        <w:rPr>
          <w:rStyle w:val="TextoNormalCaracter"/>
        </w:rPr>
        <w:t>, f. 6.</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U</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576" w:name="DESCRIPTORALFABETICO476"/>
      <w:r w:rsidRPr="00AD3C82">
        <w:rPr>
          <w:rStyle w:val="TextoNormalNegritaCaracter"/>
        </w:rPr>
        <w:t>Urbanismo</w:t>
      </w:r>
      <w:bookmarkEnd w:id="1576"/>
      <w:r w:rsidRPr="00AD3C82">
        <w:rPr>
          <w:rStyle w:val="TextoNormalCaracter"/>
        </w:rPr>
        <w:t xml:space="preserve">, Sentencias </w:t>
      </w:r>
      <w:hyperlink w:anchor="SENTENCIA_2016_157" w:history="1">
        <w:r w:rsidRPr="00AD3C82">
          <w:rPr>
            <w:rStyle w:val="TextoNormalCaracter"/>
          </w:rPr>
          <w:t>157/2016</w:t>
        </w:r>
      </w:hyperlink>
      <w:r w:rsidRPr="00AD3C82">
        <w:rPr>
          <w:rStyle w:val="TextoNormalCaracter"/>
        </w:rPr>
        <w:t xml:space="preserve">, ff. 1, 2, 4 a 6, 8, 9, VP; </w:t>
      </w:r>
      <w:hyperlink w:anchor="SENTENCIA_2016_170" w:history="1">
        <w:r w:rsidRPr="00AD3C82">
          <w:rPr>
            <w:rStyle w:val="TextoNormalCaracter"/>
          </w:rPr>
          <w:t>170/2016</w:t>
        </w:r>
      </w:hyperlink>
      <w:r w:rsidRPr="00AD3C82">
        <w:rPr>
          <w:rStyle w:val="TextoNormalCaracter"/>
        </w:rPr>
        <w:t>, ff. 2, 3.</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V</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577" w:name="DESCRIPTORALFABETICO690"/>
      <w:r w:rsidRPr="00AD3C82">
        <w:rPr>
          <w:rStyle w:val="TextoNormalNegritaCaracter"/>
        </w:rPr>
        <w:t>Valencia</w:t>
      </w:r>
      <w:bookmarkEnd w:id="1577"/>
      <w:r w:rsidRPr="00AD3C82">
        <w:rPr>
          <w:rStyle w:val="TextoNormalCaracter"/>
        </w:rPr>
        <w:t xml:space="preserve">, Auto </w:t>
      </w:r>
      <w:hyperlink w:anchor="AUTO_2016_200" w:history="1">
        <w:r w:rsidRPr="00AD3C82">
          <w:rPr>
            <w:rStyle w:val="TextoNormalCaracter"/>
          </w:rPr>
          <w:t>200/2016</w:t>
        </w:r>
      </w:hyperlink>
      <w:r w:rsidRPr="00AD3C82">
        <w:rPr>
          <w:rStyle w:val="TextoNormalCaracter"/>
        </w:rPr>
        <w:t>, f. 1.</w:t>
      </w:r>
    </w:p>
    <w:p w:rsidR="00AD3C82" w:rsidRPr="00AD3C82" w:rsidRDefault="00AD3C82" w:rsidP="00AD3C82">
      <w:pPr>
        <w:pStyle w:val="TextoNormalSangraFrancesa"/>
        <w:rPr>
          <w:rStyle w:val="TextoNormalCaracter"/>
        </w:rPr>
      </w:pPr>
      <w:bookmarkStart w:id="1578" w:name="DESCRIPTORALFABETICO629"/>
      <w:r w:rsidRPr="00AD3C82">
        <w:rPr>
          <w:rStyle w:val="TextoNormalNegritaCaracter"/>
        </w:rPr>
        <w:t>Valoración de la prueba</w:t>
      </w:r>
      <w:bookmarkEnd w:id="1578"/>
      <w:r w:rsidRPr="00AD3C82">
        <w:rPr>
          <w:rStyle w:val="TextoNormalCaracter"/>
        </w:rPr>
        <w:t xml:space="preserve">, Sentencia </w:t>
      </w:r>
      <w:hyperlink w:anchor="SENTENCIA_2016_130" w:history="1">
        <w:r w:rsidRPr="00AD3C82">
          <w:rPr>
            <w:rStyle w:val="TextoNormalCaracter"/>
          </w:rPr>
          <w:t>130/2016</w:t>
        </w:r>
      </w:hyperlink>
      <w:r w:rsidRPr="00AD3C82">
        <w:rPr>
          <w:rStyle w:val="TextoNormalCaracter"/>
        </w:rPr>
        <w:t>, ff. 3, 4.</w:t>
      </w:r>
    </w:p>
    <w:p w:rsidR="00AD3C82" w:rsidRPr="00AD3C82" w:rsidRDefault="00AD3C82" w:rsidP="00AD3C82">
      <w:pPr>
        <w:pStyle w:val="TextoNormalSangraFrancesa"/>
        <w:rPr>
          <w:rStyle w:val="TextoNormalCaracter"/>
        </w:rPr>
      </w:pPr>
      <w:bookmarkStart w:id="1579" w:name="DESCRIPTORALFABETICO429"/>
      <w:r w:rsidRPr="00AD3C82">
        <w:rPr>
          <w:rStyle w:val="TextoNormalNegritaCaracter"/>
        </w:rPr>
        <w:t>Ventas en rebajas</w:t>
      </w:r>
      <w:bookmarkEnd w:id="1579"/>
      <w:r w:rsidRPr="00AD3C82">
        <w:rPr>
          <w:rStyle w:val="TextoNormalCaracter"/>
        </w:rPr>
        <w:t xml:space="preserve">, Sentencia </w:t>
      </w:r>
      <w:hyperlink w:anchor="SENTENCIA_2016_211" w:history="1">
        <w:r w:rsidRPr="00AD3C82">
          <w:rPr>
            <w:rStyle w:val="TextoNormalCaracter"/>
          </w:rPr>
          <w:t>211/2016</w:t>
        </w:r>
      </w:hyperlink>
      <w:r w:rsidRPr="00AD3C82">
        <w:rPr>
          <w:rStyle w:val="TextoNormalCaracter"/>
        </w:rPr>
        <w:t>, f. 9.</w:t>
      </w:r>
    </w:p>
    <w:p w:rsidR="00AD3C82" w:rsidRPr="00AD3C82" w:rsidRDefault="00AD3C82" w:rsidP="00AD3C82">
      <w:pPr>
        <w:pStyle w:val="TextoNormalSangraFrancesa"/>
        <w:rPr>
          <w:rStyle w:val="TextoNormalCaracter"/>
        </w:rPr>
      </w:pPr>
      <w:bookmarkStart w:id="1580" w:name="DESCRIPTORALFABETICO315"/>
      <w:r w:rsidRPr="00AD3C82">
        <w:rPr>
          <w:rStyle w:val="TextoNormalNegritaCaracter"/>
        </w:rPr>
        <w:t>Vicepresidente del Tribunal Supremo</w:t>
      </w:r>
      <w:bookmarkEnd w:id="1580"/>
      <w:r w:rsidRPr="00AD3C82">
        <w:rPr>
          <w:rStyle w:val="TextoNormalCaracter"/>
        </w:rPr>
        <w:t xml:space="preserve">, Sentencia </w:t>
      </w:r>
      <w:hyperlink w:anchor="SENTENCIA_2016_191" w:history="1">
        <w:r w:rsidRPr="00AD3C82">
          <w:rPr>
            <w:rStyle w:val="TextoNormalCaracter"/>
          </w:rPr>
          <w:t>191/2016</w:t>
        </w:r>
      </w:hyperlink>
      <w:r w:rsidRPr="00AD3C82">
        <w:rPr>
          <w:rStyle w:val="TextoNormalCaracter"/>
        </w:rPr>
        <w:t>, f. 10.</w:t>
      </w:r>
    </w:p>
    <w:p w:rsidR="00AD3C82" w:rsidRPr="00AD3C82" w:rsidRDefault="00AD3C82" w:rsidP="00AD3C82">
      <w:pPr>
        <w:pStyle w:val="TextoNormalSangraFrancesa"/>
        <w:rPr>
          <w:rStyle w:val="TextoNormalCaracter"/>
        </w:rPr>
      </w:pPr>
      <w:bookmarkStart w:id="1581" w:name="DESCRIPTORALFABETICO327"/>
      <w:r w:rsidRPr="00AD3C82">
        <w:rPr>
          <w:rStyle w:val="TextoNormalNegritaCaracter"/>
        </w:rPr>
        <w:t>Vicios en el procedimiento legislativo</w:t>
      </w:r>
      <w:bookmarkEnd w:id="1581"/>
      <w:r w:rsidRPr="00AD3C82">
        <w:rPr>
          <w:rStyle w:val="TextoNormalCaracter"/>
        </w:rPr>
        <w:t xml:space="preserve">, Sentencia </w:t>
      </w:r>
      <w:hyperlink w:anchor="SENTENCIA_2016_153" w:history="1">
        <w:r w:rsidRPr="00AD3C82">
          <w:rPr>
            <w:rStyle w:val="TextoNormalCaracter"/>
          </w:rPr>
          <w:t>153/2016</w:t>
        </w:r>
      </w:hyperlink>
      <w:r w:rsidRPr="00AD3C82">
        <w:rPr>
          <w:rStyle w:val="TextoNormalCaracter"/>
        </w:rPr>
        <w:t>, f. 3.</w:t>
      </w:r>
    </w:p>
    <w:p w:rsidR="00AD3C82" w:rsidRPr="00AD3C82" w:rsidRDefault="00AD3C82" w:rsidP="00AD3C82">
      <w:pPr>
        <w:pStyle w:val="TextoNormalSangraFrancesa"/>
        <w:rPr>
          <w:rStyle w:val="TextoNormalCaracter"/>
        </w:rPr>
      </w:pPr>
      <w:bookmarkStart w:id="1582" w:name="DESCRIPTORALFABETICO282"/>
      <w:r w:rsidRPr="00AD3C82">
        <w:rPr>
          <w:rStyle w:val="TextoNormalNegritaCaracter"/>
        </w:rPr>
        <w:t>Voto particular concurrente</w:t>
      </w:r>
      <w:bookmarkEnd w:id="1582"/>
      <w:r w:rsidRPr="00AD3C82">
        <w:rPr>
          <w:rStyle w:val="TextoNormalCaracter"/>
        </w:rPr>
        <w:t xml:space="preserve">, Sentencia </w:t>
      </w:r>
      <w:hyperlink w:anchor="SENTENCIA_2016_228" w:history="1">
        <w:r w:rsidRPr="00AD3C82">
          <w:rPr>
            <w:rStyle w:val="TextoNormalCaracter"/>
          </w:rPr>
          <w:t>228/2016</w:t>
        </w:r>
      </w:hyperlink>
      <w:r w:rsidRPr="00AD3C82">
        <w:rPr>
          <w:rStyle w:val="TextoNormalCaracter"/>
        </w:rPr>
        <w:t>.</w:t>
      </w:r>
    </w:p>
    <w:p w:rsidR="00AD3C82" w:rsidRPr="00AD3C82" w:rsidRDefault="00AD3C82" w:rsidP="00AD3C82">
      <w:pPr>
        <w:pStyle w:val="TextoNormalSangraFrancesa"/>
        <w:rPr>
          <w:rStyle w:val="TextoNormalCaracter"/>
        </w:rPr>
      </w:pPr>
      <w:bookmarkStart w:id="1583" w:name="DESCRIPTORALFABETICO283"/>
      <w:r w:rsidRPr="00AD3C82">
        <w:rPr>
          <w:rStyle w:val="TextoNormalNegritaCaracter"/>
        </w:rPr>
        <w:t>Voto particular, formulado uno</w:t>
      </w:r>
      <w:bookmarkEnd w:id="1583"/>
      <w:r w:rsidRPr="00AD3C82">
        <w:rPr>
          <w:rStyle w:val="TextoNormalCaracter"/>
        </w:rPr>
        <w:t xml:space="preserve">, Sentencias </w:t>
      </w:r>
      <w:hyperlink w:anchor="SENTENCIA_2016_127" w:history="1">
        <w:r w:rsidRPr="00AD3C82">
          <w:rPr>
            <w:rStyle w:val="TextoNormalCaracter"/>
          </w:rPr>
          <w:t>127/2016</w:t>
        </w:r>
      </w:hyperlink>
      <w:r w:rsidRPr="00AD3C82">
        <w:rPr>
          <w:rStyle w:val="TextoNormalCaracter"/>
        </w:rPr>
        <w:t xml:space="preserve">; </w:t>
      </w:r>
      <w:hyperlink w:anchor="SENTENCIA_2016_146" w:history="1">
        <w:r w:rsidRPr="00AD3C82">
          <w:rPr>
            <w:rStyle w:val="TextoNormalCaracter"/>
          </w:rPr>
          <w:t>146/2016</w:t>
        </w:r>
      </w:hyperlink>
      <w:r w:rsidRPr="00AD3C82">
        <w:rPr>
          <w:rStyle w:val="TextoNormalCaracter"/>
        </w:rPr>
        <w:t xml:space="preserve">; </w:t>
      </w:r>
      <w:hyperlink w:anchor="SENTENCIA_2016_154" w:history="1">
        <w:r w:rsidRPr="00AD3C82">
          <w:rPr>
            <w:rStyle w:val="TextoNormalCaracter"/>
          </w:rPr>
          <w:t>154/2016</w:t>
        </w:r>
      </w:hyperlink>
      <w:r w:rsidRPr="00AD3C82">
        <w:rPr>
          <w:rStyle w:val="TextoNormalCaracter"/>
        </w:rPr>
        <w:t xml:space="preserve">; </w:t>
      </w:r>
      <w:hyperlink w:anchor="SENTENCIA_2016_157" w:history="1">
        <w:r w:rsidRPr="00AD3C82">
          <w:rPr>
            <w:rStyle w:val="TextoNormalCaracter"/>
          </w:rPr>
          <w:t>157/2016</w:t>
        </w:r>
      </w:hyperlink>
      <w:r w:rsidRPr="00AD3C82">
        <w:rPr>
          <w:rStyle w:val="TextoNormalCaracter"/>
        </w:rPr>
        <w:t xml:space="preserve">; </w:t>
      </w:r>
      <w:hyperlink w:anchor="SENTENCIA_2016_158" w:history="1">
        <w:r w:rsidRPr="00AD3C82">
          <w:rPr>
            <w:rStyle w:val="TextoNormalCaracter"/>
          </w:rPr>
          <w:t>158/2016</w:t>
        </w:r>
      </w:hyperlink>
      <w:r w:rsidRPr="00AD3C82">
        <w:rPr>
          <w:rStyle w:val="TextoNormalCaracter"/>
        </w:rPr>
        <w:t xml:space="preserve">; </w:t>
      </w:r>
      <w:hyperlink w:anchor="SENTENCIA_2016_165" w:history="1">
        <w:r w:rsidRPr="00AD3C82">
          <w:rPr>
            <w:rStyle w:val="TextoNormalCaracter"/>
          </w:rPr>
          <w:t>165/2016</w:t>
        </w:r>
      </w:hyperlink>
      <w:r w:rsidRPr="00AD3C82">
        <w:rPr>
          <w:rStyle w:val="TextoNormalCaracter"/>
        </w:rPr>
        <w:t xml:space="preserve">; </w:t>
      </w:r>
      <w:hyperlink w:anchor="SENTENCIA_2016_172" w:history="1">
        <w:r w:rsidRPr="00AD3C82">
          <w:rPr>
            <w:rStyle w:val="TextoNormalCaracter"/>
          </w:rPr>
          <w:t>172/2016</w:t>
        </w:r>
      </w:hyperlink>
      <w:r w:rsidRPr="00AD3C82">
        <w:rPr>
          <w:rStyle w:val="TextoNormalCaracter"/>
        </w:rPr>
        <w:t xml:space="preserve">; </w:t>
      </w:r>
      <w:hyperlink w:anchor="SENTENCIA_2016_179" w:history="1">
        <w:r w:rsidRPr="00AD3C82">
          <w:rPr>
            <w:rStyle w:val="TextoNormalCaracter"/>
          </w:rPr>
          <w:t>179/2016</w:t>
        </w:r>
      </w:hyperlink>
      <w:r w:rsidRPr="00AD3C82">
        <w:rPr>
          <w:rStyle w:val="TextoNormalCaracter"/>
        </w:rPr>
        <w:t xml:space="preserve">; </w:t>
      </w:r>
      <w:hyperlink w:anchor="SENTENCIA_2016_182" w:history="1">
        <w:r w:rsidRPr="00AD3C82">
          <w:rPr>
            <w:rStyle w:val="TextoNormalCaracter"/>
          </w:rPr>
          <w:t>182/2016</w:t>
        </w:r>
      </w:hyperlink>
      <w:r w:rsidRPr="00AD3C82">
        <w:rPr>
          <w:rStyle w:val="TextoNormalCaracter"/>
        </w:rPr>
        <w:t xml:space="preserve">; </w:t>
      </w:r>
      <w:hyperlink w:anchor="SENTENCIA_2016_190" w:history="1">
        <w:r w:rsidRPr="00AD3C82">
          <w:rPr>
            <w:rStyle w:val="TextoNormalCaracter"/>
          </w:rPr>
          <w:t>190/2016</w:t>
        </w:r>
      </w:hyperlink>
      <w:r w:rsidRPr="00AD3C82">
        <w:rPr>
          <w:rStyle w:val="TextoNormalCaracter"/>
        </w:rPr>
        <w:t xml:space="preserve">, f. 2; </w:t>
      </w:r>
      <w:hyperlink w:anchor="SENTENCIA_2016_192" w:history="1">
        <w:r w:rsidRPr="00AD3C82">
          <w:rPr>
            <w:rStyle w:val="TextoNormalCaracter"/>
          </w:rPr>
          <w:t>192/2016</w:t>
        </w:r>
      </w:hyperlink>
      <w:r w:rsidRPr="00AD3C82">
        <w:rPr>
          <w:rStyle w:val="TextoNormalCaracter"/>
        </w:rPr>
        <w:t xml:space="preserve">; </w:t>
      </w:r>
      <w:hyperlink w:anchor="SENTENCIA_2016_194" w:history="1">
        <w:r w:rsidRPr="00AD3C82">
          <w:rPr>
            <w:rStyle w:val="TextoNormalCaracter"/>
          </w:rPr>
          <w:t>194/2016</w:t>
        </w:r>
      </w:hyperlink>
      <w:r w:rsidRPr="00AD3C82">
        <w:rPr>
          <w:rStyle w:val="TextoNormalCaracter"/>
        </w:rPr>
        <w:t xml:space="preserve">; </w:t>
      </w:r>
      <w:hyperlink w:anchor="SENTENCIA_2016_226" w:history="1">
        <w:r w:rsidRPr="00AD3C82">
          <w:rPr>
            <w:rStyle w:val="TextoNormalCaracter"/>
          </w:rPr>
          <w:t>226/2016</w:t>
        </w:r>
      </w:hyperlink>
      <w:r w:rsidRPr="00AD3C82">
        <w:rPr>
          <w:rStyle w:val="TextoNormalCaracter"/>
        </w:rPr>
        <w:t>.</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60" w:history="1">
        <w:r w:rsidRPr="00AD3C82">
          <w:rPr>
            <w:rStyle w:val="TextoNormalCaracter"/>
          </w:rPr>
          <w:t>160/2016</w:t>
        </w:r>
      </w:hyperlink>
      <w:r w:rsidRPr="00AD3C82">
        <w:rPr>
          <w:rStyle w:val="TextoNormalCaracter"/>
        </w:rPr>
        <w:t>.</w:t>
      </w:r>
    </w:p>
    <w:p w:rsidR="00AD3C82" w:rsidRPr="00AD3C82" w:rsidRDefault="00AD3C82" w:rsidP="00AD3C82">
      <w:pPr>
        <w:pStyle w:val="TextoNormalSangraFrancesa"/>
        <w:rPr>
          <w:rStyle w:val="TextoNormalCaracter"/>
        </w:rPr>
      </w:pPr>
      <w:bookmarkStart w:id="1584" w:name="DESCRIPTORALFABETICO284"/>
      <w:r w:rsidRPr="00AD3C82">
        <w:rPr>
          <w:rStyle w:val="TextoNormalNegritaCaracter"/>
        </w:rPr>
        <w:t xml:space="preserve">Votos particulares, formulados dos </w:t>
      </w:r>
      <w:bookmarkEnd w:id="1584"/>
      <w:r w:rsidRPr="00AD3C82">
        <w:rPr>
          <w:rStyle w:val="TextoNormalCaracter"/>
        </w:rPr>
        <w:t xml:space="preserve">, Sentencias </w:t>
      </w:r>
      <w:hyperlink w:anchor="SENTENCIA_2016_139" w:history="1">
        <w:r w:rsidRPr="00AD3C82">
          <w:rPr>
            <w:rStyle w:val="TextoNormalCaracter"/>
          </w:rPr>
          <w:t>139/2016</w:t>
        </w:r>
      </w:hyperlink>
      <w:r w:rsidRPr="00AD3C82">
        <w:rPr>
          <w:rStyle w:val="TextoNormalCaracter"/>
        </w:rPr>
        <w:t xml:space="preserve">; </w:t>
      </w:r>
      <w:hyperlink w:anchor="SENTENCIA_2016_156" w:history="1">
        <w:r w:rsidRPr="00AD3C82">
          <w:rPr>
            <w:rStyle w:val="TextoNormalCaracter"/>
          </w:rPr>
          <w:t>156/2016</w:t>
        </w:r>
      </w:hyperlink>
      <w:r w:rsidRPr="00AD3C82">
        <w:rPr>
          <w:rStyle w:val="TextoNormalCaracter"/>
        </w:rPr>
        <w:t xml:space="preserve">; </w:t>
      </w:r>
      <w:hyperlink w:anchor="SENTENCIA_2016_177" w:history="1">
        <w:r w:rsidRPr="00AD3C82">
          <w:rPr>
            <w:rStyle w:val="TextoNormalCaracter"/>
          </w:rPr>
          <w:t>177/2016</w:t>
        </w:r>
      </w:hyperlink>
      <w:r w:rsidRPr="00AD3C82">
        <w:rPr>
          <w:rStyle w:val="TextoNormalCaracter"/>
        </w:rPr>
        <w:t xml:space="preserve">; </w:t>
      </w:r>
      <w:hyperlink w:anchor="SENTENCIA_2016_195" w:history="1">
        <w:r w:rsidRPr="00AD3C82">
          <w:rPr>
            <w:rStyle w:val="TextoNormalCaracter"/>
          </w:rPr>
          <w:t>195/2016</w:t>
        </w:r>
      </w:hyperlink>
      <w:r w:rsidRPr="00AD3C82">
        <w:rPr>
          <w:rStyle w:val="TextoNormalCaracter"/>
        </w:rPr>
        <w:t xml:space="preserve">; </w:t>
      </w:r>
      <w:hyperlink w:anchor="SENTENCIA_2016_204" w:history="1">
        <w:r w:rsidRPr="00AD3C82">
          <w:rPr>
            <w:rStyle w:val="TextoNormalCaracter"/>
          </w:rPr>
          <w:t>204/2016</w:t>
        </w:r>
      </w:hyperlink>
      <w:r w:rsidRPr="00AD3C82">
        <w:rPr>
          <w:rStyle w:val="TextoNormalCaracter"/>
        </w:rPr>
        <w:t xml:space="preserve">; </w:t>
      </w:r>
      <w:hyperlink w:anchor="SENTENCIA_2016_228" w:history="1">
        <w:r w:rsidRPr="00AD3C82">
          <w:rPr>
            <w:rStyle w:val="TextoNormalCaracter"/>
          </w:rPr>
          <w:t>228/2016</w:t>
        </w:r>
      </w:hyperlink>
      <w:r w:rsidRPr="00AD3C82">
        <w:rPr>
          <w:rStyle w:val="TextoNormalCaracter"/>
        </w:rPr>
        <w:t>.</w:t>
      </w:r>
    </w:p>
    <w:p w:rsidR="00AD3C82" w:rsidRPr="00AD3C82" w:rsidRDefault="00AD3C82" w:rsidP="00AD3C82">
      <w:pPr>
        <w:pStyle w:val="TextoNormalSangraFrancesa"/>
        <w:rPr>
          <w:rStyle w:val="TextoNormalCaracter"/>
        </w:rPr>
      </w:pPr>
      <w:r w:rsidRPr="00AD3C82">
        <w:rPr>
          <w:rStyle w:val="TextoNormalCaracter"/>
        </w:rPr>
        <w:t xml:space="preserve">    Auto </w:t>
      </w:r>
      <w:hyperlink w:anchor="AUTO_2016_155" w:history="1">
        <w:r w:rsidRPr="00AD3C82">
          <w:rPr>
            <w:rStyle w:val="TextoNormalCaracter"/>
          </w:rPr>
          <w:t>155/2016</w:t>
        </w:r>
      </w:hyperlink>
      <w:r w:rsidRPr="00AD3C82">
        <w:rPr>
          <w:rStyle w:val="TextoNormalCaracter"/>
        </w:rPr>
        <w:t>.</w:t>
      </w:r>
    </w:p>
    <w:p w:rsidR="00AD3C82" w:rsidRPr="00AD3C82" w:rsidRDefault="00AD3C82" w:rsidP="00AD3C82">
      <w:pPr>
        <w:pStyle w:val="TextoNormalSangraFrancesa"/>
        <w:rPr>
          <w:rStyle w:val="TextoNormalCaracter"/>
        </w:rPr>
      </w:pPr>
      <w:bookmarkStart w:id="1585" w:name="DESCRIPTORALFABETICO285"/>
      <w:r w:rsidRPr="00AD3C82">
        <w:rPr>
          <w:rStyle w:val="TextoNormalNegritaCaracter"/>
        </w:rPr>
        <w:t>Votos particulares, formulados tres</w:t>
      </w:r>
      <w:bookmarkEnd w:id="1585"/>
      <w:r w:rsidRPr="00AD3C82">
        <w:rPr>
          <w:rStyle w:val="TextoNormalCaracter"/>
        </w:rPr>
        <w:t xml:space="preserve">, Sentencias </w:t>
      </w:r>
      <w:hyperlink w:anchor="SENTENCIA_2016_185" w:history="1">
        <w:r w:rsidRPr="00AD3C82">
          <w:rPr>
            <w:rStyle w:val="TextoNormalCaracter"/>
          </w:rPr>
          <w:t>185/2016</w:t>
        </w:r>
      </w:hyperlink>
      <w:r w:rsidRPr="00AD3C82">
        <w:rPr>
          <w:rStyle w:val="TextoNormalCaracter"/>
        </w:rPr>
        <w:t xml:space="preserve">; </w:t>
      </w:r>
      <w:hyperlink w:anchor="SENTENCIA_2016_215" w:history="1">
        <w:r w:rsidRPr="00AD3C82">
          <w:rPr>
            <w:rStyle w:val="TextoNormalCaracter"/>
          </w:rPr>
          <w:t>215/2016</w:t>
        </w:r>
      </w:hyperlink>
      <w:r w:rsidRPr="00AD3C82">
        <w:rPr>
          <w:rStyle w:val="TextoNormalCaracter"/>
        </w:rPr>
        <w:t>.</w:t>
      </w:r>
    </w:p>
    <w:p w:rsidR="00AD3C82" w:rsidRPr="00AD3C82" w:rsidRDefault="00AD3C82" w:rsidP="00AD3C82">
      <w:pPr>
        <w:pStyle w:val="TextoNormalSangraFrancesa"/>
        <w:rPr>
          <w:rStyle w:val="TextoNormalCaracter"/>
        </w:rPr>
      </w:pPr>
      <w:bookmarkStart w:id="1586" w:name="DESCRIPTORALFABETICO267"/>
      <w:r w:rsidRPr="00AD3C82">
        <w:rPr>
          <w:rStyle w:val="TextoNormalNegritaCaracter"/>
        </w:rPr>
        <w:t>Vulneración de derechos fundamentales en la interpretación jurisprudencial de la ley</w:t>
      </w:r>
      <w:bookmarkEnd w:id="1586"/>
      <w:r w:rsidRPr="00AD3C82">
        <w:rPr>
          <w:rStyle w:val="TextoNormalCaracter"/>
        </w:rPr>
        <w:t xml:space="preserve">, Sentencias </w:t>
      </w:r>
      <w:hyperlink w:anchor="SENTENCIA_2016_196" w:history="1">
        <w:r w:rsidRPr="00AD3C82">
          <w:rPr>
            <w:rStyle w:val="TextoNormalCaracter"/>
          </w:rPr>
          <w:t>196/2016</w:t>
        </w:r>
      </w:hyperlink>
      <w:r w:rsidRPr="00AD3C82">
        <w:rPr>
          <w:rStyle w:val="TextoNormalCaracter"/>
        </w:rPr>
        <w:t xml:space="preserve">, f. 2; </w:t>
      </w:r>
      <w:hyperlink w:anchor="SENTENCIA_2016_198" w:history="1">
        <w:r w:rsidRPr="00AD3C82">
          <w:rPr>
            <w:rStyle w:val="TextoNormalCaracter"/>
          </w:rPr>
          <w:t>198/2016</w:t>
        </w:r>
      </w:hyperlink>
      <w:r w:rsidRPr="00AD3C82">
        <w:rPr>
          <w:rStyle w:val="TextoNormalCaracter"/>
        </w:rPr>
        <w:t>, f. 2.</w:t>
      </w:r>
    </w:p>
    <w:p w:rsidR="00AD3C82" w:rsidRDefault="00AD3C82" w:rsidP="00AD3C82">
      <w:pPr>
        <w:pStyle w:val="TextoNormalSangraFrancesa"/>
      </w:pPr>
    </w:p>
    <w:p w:rsidR="00AD3C82" w:rsidRDefault="00AD3C82" w:rsidP="00AD3C82">
      <w:pPr>
        <w:pStyle w:val="TextoNormalSangraFrancesa"/>
      </w:pPr>
    </w:p>
    <w:p w:rsidR="00AD3C82" w:rsidRDefault="00AD3C82" w:rsidP="00AD3C82">
      <w:pPr>
        <w:pStyle w:val="TextoNormalNegritaCentrado"/>
      </w:pPr>
      <w:r>
        <w:t>Z</w:t>
      </w:r>
    </w:p>
    <w:p w:rsidR="00AD3C82" w:rsidRDefault="00AD3C82" w:rsidP="00AD3C82">
      <w:pPr>
        <w:pStyle w:val="TextoNormalNegritaCentrado"/>
      </w:pPr>
    </w:p>
    <w:p w:rsidR="00AD3C82" w:rsidRPr="00AD3C82" w:rsidRDefault="00AD3C82" w:rsidP="00AD3C82">
      <w:pPr>
        <w:pStyle w:val="TextoNormalSangraFrancesa"/>
        <w:rPr>
          <w:rStyle w:val="TextoNormalCaracter"/>
        </w:rPr>
      </w:pPr>
      <w:bookmarkStart w:id="1587" w:name="DESCRIPTORALFABETICO445"/>
      <w:r w:rsidRPr="00AD3C82">
        <w:rPr>
          <w:rStyle w:val="TextoNormalNegritaCaracter"/>
        </w:rPr>
        <w:t>Zona marítimo terrestre</w:t>
      </w:r>
      <w:bookmarkEnd w:id="1587"/>
      <w:r w:rsidRPr="00AD3C82">
        <w:rPr>
          <w:rStyle w:val="TextoNormalCaracter"/>
        </w:rPr>
        <w:t xml:space="preserve">, Sentencia </w:t>
      </w:r>
      <w:hyperlink w:anchor="SENTENCIA_2016_182" w:history="1">
        <w:r w:rsidRPr="00AD3C82">
          <w:rPr>
            <w:rStyle w:val="TextoNormalCaracter"/>
          </w:rPr>
          <w:t>182/2016</w:t>
        </w:r>
      </w:hyperlink>
      <w:r w:rsidRPr="00AD3C82">
        <w:rPr>
          <w:rStyle w:val="TextoNormalCaracter"/>
        </w:rPr>
        <w:t>, f. 3.</w:t>
      </w:r>
    </w:p>
    <w:p w:rsidR="00AD3C82" w:rsidRPr="00AD3C82" w:rsidRDefault="00AD3C82" w:rsidP="00AD3C82">
      <w:pPr>
        <w:pStyle w:val="TextoNormalSangraFrancesa"/>
        <w:rPr>
          <w:rStyle w:val="TextoNormalCaracter"/>
        </w:rPr>
      </w:pPr>
      <w:bookmarkStart w:id="1588" w:name="DESCRIPTORALFABETICO592"/>
      <w:r w:rsidRPr="00AD3C82">
        <w:rPr>
          <w:rStyle w:val="TextoNormalNegritaCaracter"/>
        </w:rPr>
        <w:t>Zonas turísticas</w:t>
      </w:r>
      <w:bookmarkEnd w:id="1588"/>
      <w:r w:rsidRPr="00AD3C82">
        <w:rPr>
          <w:rStyle w:val="TextoNormalCaracter"/>
        </w:rPr>
        <w:t xml:space="preserve">, Sentencias </w:t>
      </w:r>
      <w:hyperlink w:anchor="SENTENCIA_2016_195" w:history="1">
        <w:r w:rsidRPr="00AD3C82">
          <w:rPr>
            <w:rStyle w:val="TextoNormalCaracter"/>
          </w:rPr>
          <w:t>195/2016</w:t>
        </w:r>
      </w:hyperlink>
      <w:r w:rsidRPr="00AD3C82">
        <w:rPr>
          <w:rStyle w:val="TextoNormalCaracter"/>
        </w:rPr>
        <w:t xml:space="preserve">, ff. 3, 5, 6, VP I; </w:t>
      </w:r>
      <w:hyperlink w:anchor="SENTENCIA_2016_214" w:history="1">
        <w:r w:rsidRPr="00AD3C82">
          <w:rPr>
            <w:rStyle w:val="TextoNormalCaracter"/>
          </w:rPr>
          <w:t>214/2016</w:t>
        </w:r>
      </w:hyperlink>
      <w:r w:rsidRPr="00AD3C82">
        <w:rPr>
          <w:rStyle w:val="TextoNormalCaracter"/>
        </w:rPr>
        <w:t>, f. 3.</w:t>
      </w:r>
    </w:p>
    <w:p w:rsidR="00AD3C82" w:rsidRDefault="00AD3C82">
      <w:pPr>
        <w:spacing w:after="160" w:line="259" w:lineRule="auto"/>
        <w:rPr>
          <w:rFonts w:ascii="Times New Roman" w:eastAsia="Times New Roman" w:hAnsi="Times New Roman" w:cs="Times New Roman"/>
          <w:sz w:val="24"/>
          <w:szCs w:val="24"/>
          <w:lang w:eastAsia="es-ES"/>
        </w:rPr>
      </w:pPr>
      <w:r>
        <w:br w:type="page"/>
      </w:r>
    </w:p>
    <w:p w:rsidR="00AD3C82" w:rsidRDefault="00AD3C82" w:rsidP="00AD3C82">
      <w:pPr>
        <w:pStyle w:val="TextoNormalSangraFrancesa"/>
      </w:pPr>
    </w:p>
    <w:p w:rsidR="00D80FB9" w:rsidRDefault="00D80FB9" w:rsidP="00D80FB9">
      <w:pPr>
        <w:pStyle w:val="TextoNormalSangraFrancesa"/>
      </w:pPr>
    </w:p>
    <w:p w:rsidR="00D80FB9" w:rsidRDefault="00D80FB9" w:rsidP="00D80FB9">
      <w:pPr>
        <w:pStyle w:val="TextoNormalSangraFrancesa"/>
      </w:pPr>
    </w:p>
    <w:p w:rsidR="00D80FB9" w:rsidRDefault="00D80FB9" w:rsidP="00D80FB9">
      <w:pPr>
        <w:pStyle w:val="TextoNormalSangraFrancesa"/>
      </w:pPr>
    </w:p>
    <w:p w:rsidR="00D80FB9" w:rsidRDefault="00D80FB9" w:rsidP="00D80FB9">
      <w:pPr>
        <w:pStyle w:val="TextoNormalSangraFrancesa"/>
      </w:pPr>
    </w:p>
    <w:p w:rsidR="00D80FB9" w:rsidRDefault="00D80FB9" w:rsidP="00D80FB9">
      <w:pPr>
        <w:pStyle w:val="TextoNormalSangraFrancesa"/>
      </w:pPr>
    </w:p>
    <w:p w:rsidR="00D80FB9" w:rsidRDefault="00D80FB9" w:rsidP="00D80FB9">
      <w:pPr>
        <w:pStyle w:val="TextoNormalSangraFrancesa"/>
      </w:pPr>
    </w:p>
    <w:p w:rsidR="00D80FB9" w:rsidRDefault="00D80FB9" w:rsidP="00D80FB9">
      <w:pPr>
        <w:pStyle w:val="TextoNormalSangraFrancesa"/>
      </w:pPr>
    </w:p>
    <w:p w:rsidR="00D80FB9" w:rsidRDefault="00D80FB9" w:rsidP="00D80FB9">
      <w:pPr>
        <w:pStyle w:val="Ttulondice"/>
      </w:pPr>
      <w:bookmarkStart w:id="1589" w:name="ACRONIMOS"/>
      <w:r>
        <w:t>8. ABREVIATURAS Y ACRÓNIMOS</w:t>
      </w:r>
    </w:p>
    <w:bookmarkEnd w:id="1589"/>
    <w:p w:rsidR="00D80FB9" w:rsidRDefault="00D80FB9" w:rsidP="00D80FB9">
      <w:pPr>
        <w:pStyle w:val="Ttulondice"/>
      </w:pPr>
    </w:p>
    <w:p w:rsidR="00D80FB9" w:rsidRDefault="00D80FB9" w:rsidP="00D80FB9">
      <w:pPr>
        <w:pStyle w:val="Ttulondice"/>
      </w:pPr>
    </w:p>
    <w:p w:rsidR="00D80FB9" w:rsidRDefault="00D80FB9" w:rsidP="00D80FB9">
      <w:pPr>
        <w:pStyle w:val="Ttulondice"/>
      </w:pPr>
    </w:p>
    <w:p w:rsidR="00D80FB9" w:rsidRDefault="00D80FB9" w:rsidP="00D80FB9">
      <w:pPr>
        <w:pStyle w:val="Ttulondice"/>
      </w:pPr>
    </w:p>
    <w:p w:rsidR="00D80FB9" w:rsidRDefault="00D80FB9" w:rsidP="00D80FB9">
      <w:pPr>
        <w:pStyle w:val="TextoAbreviaturas"/>
      </w:pPr>
      <w:r>
        <w:t>§</w:t>
      </w:r>
      <w:r>
        <w:tab/>
        <w:t>Parágrafo (usual en SSTEDH)</w:t>
      </w:r>
    </w:p>
    <w:p w:rsidR="00D80FB9" w:rsidRDefault="00D80FB9" w:rsidP="00D80FB9">
      <w:pPr>
        <w:pStyle w:val="TextoAbreviaturas"/>
      </w:pPr>
      <w:r>
        <w:t>AENA</w:t>
      </w:r>
      <w:r>
        <w:tab/>
        <w:t>Aeropuertos Españoles y Navegación Aérea</w:t>
      </w:r>
    </w:p>
    <w:p w:rsidR="00D80FB9" w:rsidRDefault="00D80FB9" w:rsidP="00D80FB9">
      <w:pPr>
        <w:pStyle w:val="TextoAbreviaturas"/>
      </w:pPr>
      <w:r>
        <w:t>ATC</w:t>
      </w:r>
      <w:r>
        <w:tab/>
        <w:t>Auto del Tribunal Constitucional</w:t>
      </w:r>
    </w:p>
    <w:p w:rsidR="00D80FB9" w:rsidRDefault="00D80FB9" w:rsidP="00D80FB9">
      <w:pPr>
        <w:pStyle w:val="TextoAbreviaturas"/>
      </w:pPr>
      <w:r>
        <w:t>ATS</w:t>
      </w:r>
      <w:r>
        <w:tab/>
        <w:t>Auto del Tribunal Supremo</w:t>
      </w:r>
    </w:p>
    <w:p w:rsidR="00D80FB9" w:rsidRDefault="00D80FB9" w:rsidP="00D80FB9">
      <w:pPr>
        <w:pStyle w:val="TextoAbreviaturas"/>
      </w:pPr>
      <w:r>
        <w:t>BOCM</w:t>
      </w:r>
      <w:r>
        <w:tab/>
        <w:t>Boletín Oficial de la Comunidad de Madrid</w:t>
      </w:r>
    </w:p>
    <w:p w:rsidR="00D80FB9" w:rsidRDefault="00D80FB9" w:rsidP="00D80FB9">
      <w:pPr>
        <w:pStyle w:val="TextoAbreviaturas"/>
      </w:pPr>
      <w:r>
        <w:t>BOE</w:t>
      </w:r>
      <w:r>
        <w:tab/>
        <w:t>Boletín Oficial del Estado</w:t>
      </w:r>
    </w:p>
    <w:p w:rsidR="00D80FB9" w:rsidRDefault="00D80FB9" w:rsidP="00D80FB9">
      <w:pPr>
        <w:pStyle w:val="TextoAbreviaturas"/>
      </w:pPr>
      <w:r>
        <w:t>BOPV</w:t>
      </w:r>
      <w:r>
        <w:tab/>
        <w:t>Boletín Oficial del País Vasco</w:t>
      </w:r>
    </w:p>
    <w:p w:rsidR="00D80FB9" w:rsidRDefault="00D80FB9" w:rsidP="00D80FB9">
      <w:pPr>
        <w:pStyle w:val="TextoAbreviaturas"/>
      </w:pPr>
      <w:r>
        <w:t>BORM</w:t>
      </w:r>
      <w:r>
        <w:tab/>
        <w:t>Boletín Oficial de la Región de Murcia</w:t>
      </w:r>
    </w:p>
    <w:p w:rsidR="00D80FB9" w:rsidRDefault="00D80FB9" w:rsidP="00D80FB9">
      <w:pPr>
        <w:pStyle w:val="TextoAbreviaturas"/>
      </w:pPr>
      <w:r>
        <w:t>CC</w:t>
      </w:r>
      <w:r>
        <w:tab/>
        <w:t>Código civil</w:t>
      </w:r>
    </w:p>
    <w:p w:rsidR="00D80FB9" w:rsidRDefault="00D80FB9" w:rsidP="00D80FB9">
      <w:pPr>
        <w:pStyle w:val="TextoAbreviaturas"/>
      </w:pPr>
      <w:r>
        <w:t>CCOO</w:t>
      </w:r>
      <w:r>
        <w:tab/>
        <w:t>Comisiones Obreras</w:t>
      </w:r>
    </w:p>
    <w:p w:rsidR="00D80FB9" w:rsidRDefault="00D80FB9" w:rsidP="00D80FB9">
      <w:pPr>
        <w:pStyle w:val="TextoAbreviaturas"/>
      </w:pPr>
      <w:r>
        <w:t>CE</w:t>
      </w:r>
      <w:r>
        <w:tab/>
        <w:t>Constitución española</w:t>
      </w:r>
    </w:p>
    <w:p w:rsidR="00D80FB9" w:rsidRDefault="00D80FB9" w:rsidP="00D80FB9">
      <w:pPr>
        <w:pStyle w:val="TextoAbreviaturas"/>
      </w:pPr>
      <w:r>
        <w:t>CEDH</w:t>
      </w:r>
      <w:r>
        <w:tab/>
        <w:t>Convenio europeo para la protección de los derechos humanos y de las libertades fundamentales</w:t>
      </w:r>
    </w:p>
    <w:p w:rsidR="00D80FB9" w:rsidRDefault="00D80FB9" w:rsidP="00D80FB9">
      <w:pPr>
        <w:pStyle w:val="TextoAbreviaturas"/>
      </w:pPr>
      <w:r>
        <w:t>CEE</w:t>
      </w:r>
      <w:r>
        <w:tab/>
        <w:t>Comunidad Económica Europea</w:t>
      </w:r>
    </w:p>
    <w:p w:rsidR="00D80FB9" w:rsidRDefault="00D80FB9" w:rsidP="00D80FB9">
      <w:pPr>
        <w:pStyle w:val="TextoAbreviaturas"/>
      </w:pPr>
      <w:r>
        <w:t>CGPJ</w:t>
      </w:r>
      <w:r>
        <w:tab/>
        <w:t>Consejo General del Poder Judicial</w:t>
      </w:r>
    </w:p>
    <w:p w:rsidR="00D80FB9" w:rsidRDefault="00D80FB9" w:rsidP="00D80FB9">
      <w:pPr>
        <w:pStyle w:val="TextoAbreviaturas"/>
      </w:pPr>
      <w:r>
        <w:t>CNT</w:t>
      </w:r>
      <w:r>
        <w:tab/>
        <w:t>Confederación Nacional del Trabajo</w:t>
      </w:r>
    </w:p>
    <w:p w:rsidR="00D80FB9" w:rsidRDefault="00D80FB9" w:rsidP="00D80FB9">
      <w:pPr>
        <w:pStyle w:val="TextoAbreviaturas"/>
      </w:pPr>
      <w:r>
        <w:t>CP</w:t>
      </w:r>
      <w:r>
        <w:tab/>
        <w:t>Código penal</w:t>
      </w:r>
    </w:p>
    <w:p w:rsidR="00D80FB9" w:rsidRDefault="00D80FB9" w:rsidP="00D80FB9">
      <w:pPr>
        <w:pStyle w:val="TextoAbreviaturas"/>
      </w:pPr>
      <w:r>
        <w:t>CSIF</w:t>
      </w:r>
      <w:r>
        <w:tab/>
        <w:t>Confederación Sindical Independiente de Funcionarios</w:t>
      </w:r>
    </w:p>
    <w:p w:rsidR="00D80FB9" w:rsidRDefault="00D80FB9" w:rsidP="00D80FB9">
      <w:pPr>
        <w:pStyle w:val="TextoAbreviaturas"/>
      </w:pPr>
      <w:r>
        <w:t>DOCM</w:t>
      </w:r>
      <w:r>
        <w:tab/>
        <w:t>Diario Oficial de Castilla-La Mancha</w:t>
      </w:r>
    </w:p>
    <w:p w:rsidR="00D80FB9" w:rsidRDefault="00D80FB9" w:rsidP="00D80FB9">
      <w:pPr>
        <w:pStyle w:val="TextoAbreviaturas"/>
      </w:pPr>
      <w:r>
        <w:t>DOGC</w:t>
      </w:r>
      <w:r>
        <w:tab/>
        <w:t>Diario Oficial de la Generalidad de Cataluña</w:t>
      </w:r>
    </w:p>
    <w:p w:rsidR="00D80FB9" w:rsidRDefault="00D80FB9" w:rsidP="00D80FB9">
      <w:pPr>
        <w:pStyle w:val="TextoAbreviaturas"/>
      </w:pPr>
      <w:r>
        <w:t>EAAnd</w:t>
      </w:r>
      <w:r>
        <w:tab/>
        <w:t>Estatuto de Autonomía para Andalucía</w:t>
      </w:r>
    </w:p>
    <w:p w:rsidR="00D80FB9" w:rsidRDefault="00D80FB9" w:rsidP="00D80FB9">
      <w:pPr>
        <w:pStyle w:val="TextoAbreviaturas"/>
      </w:pPr>
      <w:r>
        <w:t>EAAr</w:t>
      </w:r>
      <w:r>
        <w:tab/>
        <w:t>Estatuto de Autonomía de Aragón</w:t>
      </w:r>
    </w:p>
    <w:p w:rsidR="00D80FB9" w:rsidRDefault="00D80FB9" w:rsidP="00D80FB9">
      <w:pPr>
        <w:pStyle w:val="TextoAbreviaturas"/>
      </w:pPr>
      <w:r>
        <w:t>EAAst</w:t>
      </w:r>
      <w:r>
        <w:tab/>
        <w:t>Estatuto de Autonomía para Asturias</w:t>
      </w:r>
    </w:p>
    <w:p w:rsidR="00D80FB9" w:rsidRDefault="00D80FB9" w:rsidP="00D80FB9">
      <w:pPr>
        <w:pStyle w:val="TextoAbreviaturas"/>
      </w:pPr>
      <w:r>
        <w:t>EAC</w:t>
      </w:r>
      <w:r>
        <w:tab/>
        <w:t>Estatuto de Autonomía de Cataluña</w:t>
      </w:r>
    </w:p>
    <w:p w:rsidR="00D80FB9" w:rsidRDefault="00D80FB9" w:rsidP="00D80FB9">
      <w:pPr>
        <w:pStyle w:val="TextoAbreviaturas"/>
      </w:pPr>
      <w:r>
        <w:t>EACL</w:t>
      </w:r>
      <w:r>
        <w:tab/>
        <w:t>Estatuto de Autonomía de Castilla y León</w:t>
      </w:r>
    </w:p>
    <w:p w:rsidR="00D80FB9" w:rsidRDefault="00D80FB9" w:rsidP="00D80FB9">
      <w:pPr>
        <w:pStyle w:val="TextoAbreviaturas"/>
      </w:pPr>
      <w:r>
        <w:t>EACM</w:t>
      </w:r>
      <w:r>
        <w:tab/>
        <w:t>Estatuto de Autonomía de Castilla-La Mancha</w:t>
      </w:r>
    </w:p>
    <w:p w:rsidR="00D80FB9" w:rsidRDefault="00D80FB9" w:rsidP="00D80FB9">
      <w:pPr>
        <w:pStyle w:val="TextoAbreviaturas"/>
      </w:pPr>
      <w:r>
        <w:t>EAG</w:t>
      </w:r>
      <w:r>
        <w:tab/>
        <w:t>Estatuto de Autonomía para Galicia</w:t>
      </w:r>
    </w:p>
    <w:p w:rsidR="00D80FB9" w:rsidRDefault="00D80FB9" w:rsidP="00D80FB9">
      <w:pPr>
        <w:pStyle w:val="TextoAbreviaturas"/>
      </w:pPr>
      <w:r>
        <w:t>EAM</w:t>
      </w:r>
      <w:r>
        <w:tab/>
        <w:t>Estatuto de Autonomía de la Comunidad de Madrid</w:t>
      </w:r>
    </w:p>
    <w:p w:rsidR="00D80FB9" w:rsidRDefault="00D80FB9" w:rsidP="00D80FB9">
      <w:pPr>
        <w:pStyle w:val="TextoAbreviaturas"/>
      </w:pPr>
      <w:r>
        <w:t>EAPV</w:t>
      </w:r>
      <w:r>
        <w:tab/>
        <w:t>Estatuto de Autonomía para el País Vasco</w:t>
      </w:r>
    </w:p>
    <w:p w:rsidR="00D80FB9" w:rsidRDefault="00D80FB9" w:rsidP="00D80FB9">
      <w:pPr>
        <w:pStyle w:val="TextoAbreviaturas"/>
      </w:pPr>
      <w:r>
        <w:t>EARM</w:t>
      </w:r>
      <w:r>
        <w:tab/>
        <w:t>Estatuto de Autonomía para la Región de Murcia</w:t>
      </w:r>
    </w:p>
    <w:p w:rsidR="00D80FB9" w:rsidRDefault="00D80FB9" w:rsidP="00D80FB9">
      <w:pPr>
        <w:pStyle w:val="TextoAbreviaturas"/>
      </w:pPr>
      <w:r>
        <w:t>EAV</w:t>
      </w:r>
      <w:r>
        <w:tab/>
        <w:t>Estatuto de Autonomía para la Comunidad Valenciana</w:t>
      </w:r>
    </w:p>
    <w:p w:rsidR="00D80FB9" w:rsidRDefault="00D80FB9" w:rsidP="00D80FB9">
      <w:pPr>
        <w:pStyle w:val="TextoAbreviaturas"/>
      </w:pPr>
      <w:r>
        <w:t>ETA</w:t>
      </w:r>
      <w:r>
        <w:tab/>
        <w:t>Euskadi Ta Askatasuna</w:t>
      </w:r>
    </w:p>
    <w:p w:rsidR="00D80FB9" w:rsidRDefault="00D80FB9" w:rsidP="00D80FB9">
      <w:pPr>
        <w:pStyle w:val="TextoAbreviaturas"/>
      </w:pPr>
      <w:r>
        <w:t>FJ</w:t>
      </w:r>
      <w:r>
        <w:tab/>
        <w:t>Fundamento jurídico</w:t>
      </w:r>
    </w:p>
    <w:p w:rsidR="00D80FB9" w:rsidRDefault="00D80FB9" w:rsidP="00D80FB9">
      <w:pPr>
        <w:pStyle w:val="TextoAbreviaturas"/>
      </w:pPr>
      <w:r>
        <w:t>IAE</w:t>
      </w:r>
      <w:r>
        <w:tab/>
        <w:t>Impuesto sobre actividades económicas</w:t>
      </w:r>
    </w:p>
    <w:p w:rsidR="00D80FB9" w:rsidRDefault="00D80FB9" w:rsidP="00D80FB9">
      <w:pPr>
        <w:pStyle w:val="TextoAbreviaturas"/>
      </w:pPr>
      <w:r>
        <w:t>IBI</w:t>
      </w:r>
      <w:r>
        <w:tab/>
        <w:t>Impuesto sobre bienes inmuebles</w:t>
      </w:r>
    </w:p>
    <w:p w:rsidR="00D80FB9" w:rsidRDefault="00D80FB9" w:rsidP="00D80FB9">
      <w:pPr>
        <w:pStyle w:val="TextoAbreviaturas"/>
      </w:pPr>
      <w:r>
        <w:t>INE</w:t>
      </w:r>
      <w:r>
        <w:tab/>
        <w:t>Instituto Nacional de Estadística</w:t>
      </w:r>
    </w:p>
    <w:p w:rsidR="00D80FB9" w:rsidRDefault="00D80FB9" w:rsidP="00D80FB9">
      <w:pPr>
        <w:pStyle w:val="TextoAbreviaturas"/>
      </w:pPr>
      <w:r>
        <w:t>IPC</w:t>
      </w:r>
      <w:r>
        <w:tab/>
        <w:t>Índice de precios al consumo</w:t>
      </w:r>
    </w:p>
    <w:p w:rsidR="00D80FB9" w:rsidRDefault="00D80FB9" w:rsidP="00D80FB9">
      <w:pPr>
        <w:pStyle w:val="TextoAbreviaturas"/>
      </w:pPr>
      <w:r>
        <w:t>IRPF</w:t>
      </w:r>
      <w:r>
        <w:tab/>
        <w:t>Impuesto sobre la renta de las personas físicas</w:t>
      </w:r>
    </w:p>
    <w:p w:rsidR="00D80FB9" w:rsidRDefault="00D80FB9" w:rsidP="00D80FB9">
      <w:pPr>
        <w:pStyle w:val="TextoAbreviaturas"/>
      </w:pPr>
      <w:r>
        <w:t>IVA</w:t>
      </w:r>
      <w:r>
        <w:tab/>
        <w:t>Impuesto sobre el valor añadido</w:t>
      </w:r>
    </w:p>
    <w:p w:rsidR="00D80FB9" w:rsidRDefault="00D80FB9" w:rsidP="00D80FB9">
      <w:pPr>
        <w:pStyle w:val="TextoAbreviaturas"/>
      </w:pPr>
      <w:r>
        <w:t>LA</w:t>
      </w:r>
      <w:r>
        <w:tab/>
        <w:t>Ley de aguas</w:t>
      </w:r>
    </w:p>
    <w:p w:rsidR="00D80FB9" w:rsidRDefault="00D80FB9" w:rsidP="00D80FB9">
      <w:pPr>
        <w:pStyle w:val="TextoAbreviaturas"/>
      </w:pPr>
      <w:r>
        <w:t>LAJG</w:t>
      </w:r>
      <w:r>
        <w:tab/>
        <w:t>Ley de asistencia jurídica gratuita</w:t>
      </w:r>
    </w:p>
    <w:p w:rsidR="00D80FB9" w:rsidRDefault="00D80FB9" w:rsidP="00D80FB9">
      <w:pPr>
        <w:pStyle w:val="TextoAbreviaturas"/>
      </w:pPr>
      <w:r>
        <w:t>LBRL</w:t>
      </w:r>
      <w:r>
        <w:tab/>
        <w:t>Ley reguladora de las bases de régimen local</w:t>
      </w:r>
    </w:p>
    <w:p w:rsidR="00D80FB9" w:rsidRDefault="00D80FB9" w:rsidP="00D80FB9">
      <w:pPr>
        <w:pStyle w:val="TextoAbreviaturas"/>
      </w:pPr>
      <w:r>
        <w:t>LCU</w:t>
      </w:r>
      <w:r>
        <w:tab/>
        <w:t>Ley general para la defensa de los consumidores y usuarios</w:t>
      </w:r>
    </w:p>
    <w:p w:rsidR="00D80FB9" w:rsidRDefault="00D80FB9" w:rsidP="00D80FB9">
      <w:pPr>
        <w:pStyle w:val="TextoAbreviaturas"/>
      </w:pPr>
      <w:r>
        <w:t>LEC</w:t>
      </w:r>
      <w:r>
        <w:tab/>
        <w:t>Ley de enjuiciamiento civil</w:t>
      </w:r>
    </w:p>
    <w:p w:rsidR="00D80FB9" w:rsidRDefault="00D80FB9" w:rsidP="00D80FB9">
      <w:pPr>
        <w:pStyle w:val="TextoAbreviaturas"/>
      </w:pPr>
      <w:r>
        <w:t>LECrim</w:t>
      </w:r>
      <w:r>
        <w:tab/>
        <w:t>Ley de enjuiciamiento criminal</w:t>
      </w:r>
    </w:p>
    <w:p w:rsidR="00D80FB9" w:rsidRDefault="00D80FB9" w:rsidP="00D80FB9">
      <w:pPr>
        <w:pStyle w:val="TextoAbreviaturas"/>
      </w:pPr>
      <w:r>
        <w:t>LEEP</w:t>
      </w:r>
      <w:r>
        <w:tab/>
        <w:t>Ley del estatuto básico del empleado público</w:t>
      </w:r>
    </w:p>
    <w:p w:rsidR="00D80FB9" w:rsidRDefault="00D80FB9" w:rsidP="00D80FB9">
      <w:pPr>
        <w:pStyle w:val="TextoAbreviaturas"/>
      </w:pPr>
      <w:r>
        <w:t>LET</w:t>
      </w:r>
      <w:r>
        <w:tab/>
        <w:t>Ley del estatuto de los trabajadores</w:t>
      </w:r>
    </w:p>
    <w:p w:rsidR="00D80FB9" w:rsidRDefault="00D80FB9" w:rsidP="00D80FB9">
      <w:pPr>
        <w:pStyle w:val="TextoAbreviaturas"/>
      </w:pPr>
      <w:r>
        <w:t>LGP</w:t>
      </w:r>
      <w:r>
        <w:tab/>
        <w:t>Ley general presupuestaria</w:t>
      </w:r>
    </w:p>
    <w:p w:rsidR="00D80FB9" w:rsidRDefault="00D80FB9" w:rsidP="00D80FB9">
      <w:pPr>
        <w:pStyle w:val="TextoAbreviaturas"/>
      </w:pPr>
      <w:r>
        <w:t>LGS</w:t>
      </w:r>
      <w:r>
        <w:tab/>
        <w:t>Ley general de sanidad</w:t>
      </w:r>
    </w:p>
    <w:p w:rsidR="00D80FB9" w:rsidRDefault="00D80FB9" w:rsidP="00D80FB9">
      <w:pPr>
        <w:pStyle w:val="TextoAbreviaturas"/>
      </w:pPr>
      <w:r>
        <w:t>LGSS</w:t>
      </w:r>
      <w:r>
        <w:tab/>
        <w:t>Ley general de la Seguridad Social</w:t>
      </w:r>
    </w:p>
    <w:p w:rsidR="00D80FB9" w:rsidRDefault="00D80FB9" w:rsidP="00D80FB9">
      <w:pPr>
        <w:pStyle w:val="TextoAbreviaturas"/>
      </w:pPr>
      <w:r>
        <w:t>LGT</w:t>
      </w:r>
      <w:r>
        <w:tab/>
        <w:t>Ley general tributaria</w:t>
      </w:r>
    </w:p>
    <w:p w:rsidR="00D80FB9" w:rsidRDefault="00D80FB9" w:rsidP="00D80FB9">
      <w:pPr>
        <w:pStyle w:val="TextoAbreviaturas"/>
      </w:pPr>
      <w:r>
        <w:t>LH</w:t>
      </w:r>
      <w:r>
        <w:tab/>
        <w:t>Ley hipotecaria</w:t>
      </w:r>
    </w:p>
    <w:p w:rsidR="00D80FB9" w:rsidRDefault="00D80FB9" w:rsidP="00D80FB9">
      <w:pPr>
        <w:pStyle w:val="TextoAbreviaturas"/>
      </w:pPr>
      <w:r>
        <w:t>LHL</w:t>
      </w:r>
      <w:r>
        <w:tab/>
        <w:t>Ley reguladora de haciendas locales</w:t>
      </w:r>
    </w:p>
    <w:p w:rsidR="00D80FB9" w:rsidRDefault="00D80FB9" w:rsidP="00D80FB9">
      <w:pPr>
        <w:pStyle w:val="TextoAbreviaturas"/>
      </w:pPr>
      <w:r>
        <w:t>LJCA</w:t>
      </w:r>
      <w:r>
        <w:tab/>
        <w:t>Ley reguladora de la jurisdicción contencioso-administrativa</w:t>
      </w:r>
    </w:p>
    <w:p w:rsidR="00D80FB9" w:rsidRDefault="00D80FB9" w:rsidP="00D80FB9">
      <w:pPr>
        <w:pStyle w:val="TextoAbreviaturas"/>
      </w:pPr>
      <w:r>
        <w:t>LJS</w:t>
      </w:r>
      <w:r>
        <w:tab/>
        <w:t>Ley reguladora de la jurisdicción social</w:t>
      </w:r>
    </w:p>
    <w:p w:rsidR="00D80FB9" w:rsidRDefault="00D80FB9" w:rsidP="00D80FB9">
      <w:pPr>
        <w:pStyle w:val="TextoAbreviaturas"/>
      </w:pPr>
      <w:r>
        <w:t>LM</w:t>
      </w:r>
      <w:r>
        <w:tab/>
        <w:t>Ley del medicamento</w:t>
      </w:r>
    </w:p>
    <w:p w:rsidR="00D80FB9" w:rsidRDefault="00D80FB9" w:rsidP="00D80FB9">
      <w:pPr>
        <w:pStyle w:val="TextoAbreviaturas"/>
      </w:pPr>
      <w:r>
        <w:t>LOCM</w:t>
      </w:r>
      <w:r>
        <w:tab/>
        <w:t>Ley de ordenación del comercio minorista</w:t>
      </w:r>
    </w:p>
    <w:p w:rsidR="00D80FB9" w:rsidRDefault="00D80FB9" w:rsidP="00D80FB9">
      <w:pPr>
        <w:pStyle w:val="TextoAbreviaturas"/>
      </w:pPr>
      <w:r>
        <w:t>LOEx</w:t>
      </w:r>
      <w:r>
        <w:tab/>
        <w:t>Ley Orgánica sobre derechos y libertades de los extranjeros en España y su integración social</w:t>
      </w:r>
    </w:p>
    <w:p w:rsidR="00D80FB9" w:rsidRDefault="00D80FB9" w:rsidP="00D80FB9">
      <w:pPr>
        <w:pStyle w:val="TextoAbreviaturas"/>
      </w:pPr>
      <w:r>
        <w:t>LOFCA</w:t>
      </w:r>
      <w:r>
        <w:tab/>
        <w:t>Ley Orgánica de financiación de las Comunidades Autónomas</w:t>
      </w:r>
    </w:p>
    <w:p w:rsidR="00D80FB9" w:rsidRDefault="00D80FB9" w:rsidP="00D80FB9">
      <w:pPr>
        <w:pStyle w:val="TextoAbreviaturas"/>
      </w:pPr>
      <w:r>
        <w:t>LOFCS</w:t>
      </w:r>
      <w:r>
        <w:tab/>
        <w:t>Ley Orgánica de las fuerzas y cuerpos de seguridad</w:t>
      </w:r>
    </w:p>
    <w:p w:rsidR="00D80FB9" w:rsidRDefault="00D80FB9" w:rsidP="00D80FB9">
      <w:pPr>
        <w:pStyle w:val="TextoAbreviaturas"/>
      </w:pPr>
      <w:r>
        <w:t>LOHC</w:t>
      </w:r>
      <w:r>
        <w:tab/>
        <w:t>Ley Orgánica de regulación del procedimiento de</w:t>
      </w:r>
      <w:r w:rsidRPr="00D80FB9">
        <w:rPr>
          <w:rStyle w:val="TextoNormalCursivaCaracter"/>
        </w:rPr>
        <w:t xml:space="preserve"> habeas corpus</w:t>
      </w:r>
    </w:p>
    <w:p w:rsidR="00D80FB9" w:rsidRDefault="00D80FB9" w:rsidP="00D80FB9">
      <w:pPr>
        <w:pStyle w:val="TextoAbreviaturas"/>
      </w:pPr>
      <w:r>
        <w:t>LOPD</w:t>
      </w:r>
      <w:r>
        <w:tab/>
        <w:t>Ley Orgánica de protección de datos de carácter personal</w:t>
      </w:r>
    </w:p>
    <w:p w:rsidR="00D80FB9" w:rsidRDefault="00D80FB9" w:rsidP="00D80FB9">
      <w:pPr>
        <w:pStyle w:val="TextoAbreviaturas"/>
      </w:pPr>
      <w:r>
        <w:t>LOPJ</w:t>
      </w:r>
      <w:r>
        <w:tab/>
        <w:t>Ley Orgánica del Poder Judicial</w:t>
      </w:r>
    </w:p>
    <w:p w:rsidR="00D80FB9" w:rsidRDefault="00D80FB9" w:rsidP="00D80FB9">
      <w:pPr>
        <w:pStyle w:val="TextoAbreviaturas"/>
      </w:pPr>
      <w:r>
        <w:t>LOPP</w:t>
      </w:r>
      <w:r>
        <w:tab/>
        <w:t>Ley Orgánica de partidos políticos</w:t>
      </w:r>
    </w:p>
    <w:p w:rsidR="00D80FB9" w:rsidRDefault="00D80FB9" w:rsidP="00D80FB9">
      <w:pPr>
        <w:pStyle w:val="TextoAbreviaturas"/>
      </w:pPr>
      <w:r>
        <w:t>LORAFNA</w:t>
      </w:r>
      <w:r>
        <w:tab/>
        <w:t>Ley Orgánica de reintegración y amejoramiento del régimen foral de Navarra</w:t>
      </w:r>
    </w:p>
    <w:p w:rsidR="00D80FB9" w:rsidRDefault="00D80FB9" w:rsidP="00D80FB9">
      <w:pPr>
        <w:pStyle w:val="TextoAbreviaturas"/>
      </w:pPr>
      <w:r>
        <w:t>LOREG</w:t>
      </w:r>
      <w:r>
        <w:tab/>
        <w:t>Ley Orgánica del régimen electoral general</w:t>
      </w:r>
    </w:p>
    <w:p w:rsidR="00D80FB9" w:rsidRDefault="00D80FB9" w:rsidP="00D80FB9">
      <w:pPr>
        <w:pStyle w:val="TextoAbreviaturas"/>
      </w:pPr>
      <w:r>
        <w:t>LOTC</w:t>
      </w:r>
      <w:r>
        <w:tab/>
        <w:t>Ley Orgánica del Tribunal Constitucional</w:t>
      </w:r>
    </w:p>
    <w:p w:rsidR="00D80FB9" w:rsidRDefault="00D80FB9" w:rsidP="00D80FB9">
      <w:pPr>
        <w:pStyle w:val="TextoAbreviaturas"/>
      </w:pPr>
      <w:r>
        <w:t>LPC</w:t>
      </w:r>
      <w:r>
        <w:tab/>
        <w:t>Ley de régimen jurídico de las Administraciones públicas y del procedimiento administrativo común</w:t>
      </w:r>
    </w:p>
    <w:p w:rsidR="00D80FB9" w:rsidRDefault="00D80FB9" w:rsidP="00D80FB9">
      <w:pPr>
        <w:pStyle w:val="TextoAbreviaturas"/>
      </w:pPr>
      <w:r>
        <w:t>LPGE</w:t>
      </w:r>
      <w:r>
        <w:tab/>
        <w:t>Ley de Presupuestos Generales del Estado</w:t>
      </w:r>
    </w:p>
    <w:p w:rsidR="00D80FB9" w:rsidRDefault="00D80FB9" w:rsidP="00D80FB9">
      <w:pPr>
        <w:pStyle w:val="TextoAbreviaturas"/>
      </w:pPr>
      <w:r>
        <w:t>LPL</w:t>
      </w:r>
      <w:r>
        <w:tab/>
        <w:t>Ley de procedimiento laboral</w:t>
      </w:r>
    </w:p>
    <w:p w:rsidR="00D80FB9" w:rsidRDefault="00D80FB9" w:rsidP="00D80FB9">
      <w:pPr>
        <w:pStyle w:val="TextoAbreviaturas"/>
      </w:pPr>
      <w:r>
        <w:t>LSE</w:t>
      </w:r>
      <w:r>
        <w:tab/>
        <w:t>Ley del sector eléctrico</w:t>
      </w:r>
    </w:p>
    <w:p w:rsidR="00D80FB9" w:rsidRDefault="00D80FB9" w:rsidP="00D80FB9">
      <w:pPr>
        <w:pStyle w:val="TextoAbreviaturas"/>
      </w:pPr>
      <w:r>
        <w:t>OIT</w:t>
      </w:r>
      <w:r>
        <w:tab/>
        <w:t>Organización Internacional del Trabajo</w:t>
      </w:r>
    </w:p>
    <w:p w:rsidR="00D80FB9" w:rsidRDefault="00D80FB9" w:rsidP="00D80FB9">
      <w:pPr>
        <w:pStyle w:val="TextoAbreviaturas"/>
      </w:pPr>
      <w:r>
        <w:t>ONU</w:t>
      </w:r>
      <w:r>
        <w:tab/>
        <w:t>Organización de Naciones Unidas</w:t>
      </w:r>
    </w:p>
    <w:p w:rsidR="00D80FB9" w:rsidRDefault="00D80FB9" w:rsidP="00D80FB9">
      <w:pPr>
        <w:pStyle w:val="TextoAbreviaturas"/>
      </w:pPr>
      <w:r>
        <w:t>PIB</w:t>
      </w:r>
      <w:r>
        <w:tab/>
        <w:t>Producto interior bruto</w:t>
      </w:r>
    </w:p>
    <w:p w:rsidR="00D80FB9" w:rsidRDefault="00D80FB9" w:rsidP="00D80FB9">
      <w:pPr>
        <w:pStyle w:val="TextoAbreviaturas"/>
      </w:pPr>
      <w:r>
        <w:t>PP</w:t>
      </w:r>
      <w:r>
        <w:tab/>
        <w:t>Partido Popular</w:t>
      </w:r>
    </w:p>
    <w:p w:rsidR="00D80FB9" w:rsidRDefault="00D80FB9" w:rsidP="00D80FB9">
      <w:pPr>
        <w:pStyle w:val="TextoAbreviaturas"/>
      </w:pPr>
      <w:r>
        <w:t>PSOE</w:t>
      </w:r>
      <w:r>
        <w:tab/>
        <w:t>Partido Socialista Obrero Español</w:t>
      </w:r>
    </w:p>
    <w:p w:rsidR="00D80FB9" w:rsidRDefault="00D80FB9" w:rsidP="00D80FB9">
      <w:pPr>
        <w:pStyle w:val="TextoAbreviaturas"/>
      </w:pPr>
      <w:r>
        <w:t>RCD</w:t>
      </w:r>
      <w:r>
        <w:tab/>
        <w:t>Reglamento del Congreso de los Diputados</w:t>
      </w:r>
    </w:p>
    <w:p w:rsidR="00D80FB9" w:rsidRDefault="00D80FB9" w:rsidP="00D80FB9">
      <w:pPr>
        <w:pStyle w:val="TextoAbreviaturas"/>
      </w:pPr>
      <w:r>
        <w:t>RENFE</w:t>
      </w:r>
      <w:r>
        <w:tab/>
        <w:t>Red Nacional de los Ferrocarriles Españoles</w:t>
      </w:r>
    </w:p>
    <w:p w:rsidR="00D80FB9" w:rsidRDefault="00D80FB9" w:rsidP="00D80FB9">
      <w:pPr>
        <w:pStyle w:val="TextoAbreviaturas"/>
      </w:pPr>
      <w:r>
        <w:t>RP</w:t>
      </w:r>
      <w:r>
        <w:tab/>
        <w:t>Reglamento penitenciario</w:t>
      </w:r>
    </w:p>
    <w:p w:rsidR="00D80FB9" w:rsidRDefault="00D80FB9" w:rsidP="00D80FB9">
      <w:pPr>
        <w:pStyle w:val="TextoAbreviaturas"/>
      </w:pPr>
      <w:r>
        <w:t>RPA</w:t>
      </w:r>
      <w:r>
        <w:tab/>
        <w:t>Reglamento del Parlamento de Andalucía</w:t>
      </w:r>
    </w:p>
    <w:p w:rsidR="00D80FB9" w:rsidRDefault="00D80FB9" w:rsidP="00D80FB9">
      <w:pPr>
        <w:pStyle w:val="TextoAbreviaturas"/>
      </w:pPr>
      <w:r>
        <w:t>RPC</w:t>
      </w:r>
      <w:r>
        <w:tab/>
        <w:t>Reglamento del Parlamento de Cataluña</w:t>
      </w:r>
    </w:p>
    <w:p w:rsidR="00D80FB9" w:rsidRDefault="00D80FB9" w:rsidP="00D80FB9">
      <w:pPr>
        <w:pStyle w:val="TextoAbreviaturas"/>
      </w:pPr>
      <w:r>
        <w:t>RPT</w:t>
      </w:r>
      <w:r>
        <w:tab/>
        <w:t>Relación de puestos de trabajo</w:t>
      </w:r>
    </w:p>
    <w:p w:rsidR="00D80FB9" w:rsidRDefault="00D80FB9" w:rsidP="00D80FB9">
      <w:pPr>
        <w:pStyle w:val="TextoAbreviaturas"/>
      </w:pPr>
      <w:r>
        <w:t>RS</w:t>
      </w:r>
      <w:r>
        <w:tab/>
        <w:t>Reglamento del Senado</w:t>
      </w:r>
    </w:p>
    <w:p w:rsidR="00D80FB9" w:rsidRDefault="00D80FB9" w:rsidP="00D80FB9">
      <w:pPr>
        <w:pStyle w:val="TextoAbreviaturas"/>
      </w:pPr>
      <w:r>
        <w:t>RTVE</w:t>
      </w:r>
      <w:r>
        <w:tab/>
        <w:t>Radio Televisión Española</w:t>
      </w:r>
    </w:p>
    <w:p w:rsidR="00D80FB9" w:rsidRDefault="00D80FB9" w:rsidP="00D80FB9">
      <w:pPr>
        <w:pStyle w:val="TextoAbreviaturas"/>
      </w:pPr>
      <w:r>
        <w:t>SEPE</w:t>
      </w:r>
      <w:r>
        <w:tab/>
        <w:t>Servicio público de Empleo Estatal</w:t>
      </w:r>
    </w:p>
    <w:p w:rsidR="00D80FB9" w:rsidRDefault="00D80FB9" w:rsidP="00D80FB9">
      <w:pPr>
        <w:pStyle w:val="TextoAbreviaturas"/>
      </w:pPr>
      <w:r>
        <w:t>STC</w:t>
      </w:r>
      <w:r>
        <w:tab/>
        <w:t>Sentencia del Tribunal Constitucional</w:t>
      </w:r>
    </w:p>
    <w:p w:rsidR="00D80FB9" w:rsidRDefault="00D80FB9" w:rsidP="00D80FB9">
      <w:pPr>
        <w:pStyle w:val="TextoAbreviaturas"/>
      </w:pPr>
      <w:r>
        <w:t>SSTC</w:t>
      </w:r>
      <w:r>
        <w:tab/>
        <w:t>Sentencias del Tribunal Constitucional</w:t>
      </w:r>
    </w:p>
    <w:p w:rsidR="00D80FB9" w:rsidRDefault="00D80FB9" w:rsidP="00D80FB9">
      <w:pPr>
        <w:pStyle w:val="TextoAbreviaturas"/>
      </w:pPr>
      <w:r>
        <w:t>STEDH</w:t>
      </w:r>
      <w:r>
        <w:tab/>
        <w:t>Sentencia del Tribunal Europeo de Derechos Humanos</w:t>
      </w:r>
    </w:p>
    <w:p w:rsidR="00D80FB9" w:rsidRDefault="00D80FB9" w:rsidP="00D80FB9">
      <w:pPr>
        <w:pStyle w:val="TextoAbreviaturas"/>
      </w:pPr>
      <w:r>
        <w:t>SSTEDH</w:t>
      </w:r>
      <w:r>
        <w:tab/>
        <w:t>Sentencias del Tribunal Europeo de Derechos Humanos</w:t>
      </w:r>
    </w:p>
    <w:p w:rsidR="00D80FB9" w:rsidRDefault="00D80FB9" w:rsidP="00D80FB9">
      <w:pPr>
        <w:pStyle w:val="TextoAbreviaturas"/>
      </w:pPr>
      <w:r>
        <w:t>STJCE</w:t>
      </w:r>
      <w:r>
        <w:tab/>
        <w:t>Sentencia del Tribunal de Justicia de las Comunidades Europeas</w:t>
      </w:r>
    </w:p>
    <w:p w:rsidR="00D80FB9" w:rsidRDefault="00D80FB9" w:rsidP="00D80FB9">
      <w:pPr>
        <w:pStyle w:val="TextoAbreviaturas"/>
      </w:pPr>
      <w:r>
        <w:t>STJUE</w:t>
      </w:r>
      <w:r>
        <w:tab/>
        <w:t>Sentencia del Tribunal de Justicia de la Unión Europea</w:t>
      </w:r>
    </w:p>
    <w:p w:rsidR="00D80FB9" w:rsidRDefault="00D80FB9" w:rsidP="00D80FB9">
      <w:pPr>
        <w:pStyle w:val="TextoAbreviaturas"/>
      </w:pPr>
      <w:r>
        <w:t>STS</w:t>
      </w:r>
      <w:r>
        <w:tab/>
        <w:t>Sentencia del Tribunal Supremo</w:t>
      </w:r>
    </w:p>
    <w:p w:rsidR="00D80FB9" w:rsidRDefault="00D80FB9" w:rsidP="00D80FB9">
      <w:pPr>
        <w:pStyle w:val="TextoAbreviaturas"/>
      </w:pPr>
      <w:r>
        <w:t>SSTS</w:t>
      </w:r>
      <w:r>
        <w:tab/>
        <w:t>Sentencias del Tribunal Supremo</w:t>
      </w:r>
    </w:p>
    <w:p w:rsidR="00D80FB9" w:rsidRDefault="00D80FB9" w:rsidP="00D80FB9">
      <w:pPr>
        <w:pStyle w:val="TextoAbreviaturas"/>
      </w:pPr>
      <w:r>
        <w:t>TCE</w:t>
      </w:r>
      <w:r>
        <w:tab/>
        <w:t>Tratado constitutivo de la Comunidad Europea</w:t>
      </w:r>
    </w:p>
    <w:p w:rsidR="00D80FB9" w:rsidRDefault="00D80FB9" w:rsidP="00D80FB9">
      <w:pPr>
        <w:pStyle w:val="TextoAbreviaturas"/>
      </w:pPr>
      <w:r>
        <w:t>TFUE</w:t>
      </w:r>
      <w:r>
        <w:tab/>
        <w:t>Tratado de funcionamiento de la Unión Europea</w:t>
      </w:r>
    </w:p>
    <w:p w:rsidR="00D80FB9" w:rsidRDefault="00D80FB9" w:rsidP="00D80FB9">
      <w:pPr>
        <w:pStyle w:val="TextoAbreviaturas"/>
      </w:pPr>
      <w:r>
        <w:t>UGT</w:t>
      </w:r>
      <w:r>
        <w:tab/>
        <w:t>Unión General de Trabajadores</w:t>
      </w:r>
    </w:p>
    <w:p w:rsidR="00D80FB9" w:rsidRDefault="00D80FB9" w:rsidP="00D80FB9">
      <w:pPr>
        <w:pStyle w:val="TextoAbreviaturas"/>
      </w:pPr>
    </w:p>
    <w:sectPr w:rsidR="00D80FB9" w:rsidSect="00354D7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CF1" w:rsidRDefault="00427CF1" w:rsidP="00A90898">
      <w:pPr>
        <w:spacing w:after="0" w:line="240" w:lineRule="auto"/>
      </w:pPr>
      <w:r>
        <w:separator/>
      </w:r>
    </w:p>
  </w:endnote>
  <w:endnote w:type="continuationSeparator" w:id="0">
    <w:p w:rsidR="00427CF1" w:rsidRDefault="00427CF1" w:rsidP="00A90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D72" w:rsidRDefault="00354D72" w:rsidP="00354D7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sidR="006227CF">
      <w:rPr>
        <w:rStyle w:val="Nmerodepgina"/>
      </w:rPr>
      <w:fldChar w:fldCharType="separate"/>
    </w:r>
    <w:r w:rsidR="006227CF">
      <w:rPr>
        <w:rStyle w:val="Nmerodepgina"/>
        <w:noProof/>
      </w:rPr>
      <w:t>3012</w:t>
    </w:r>
    <w:r>
      <w:rPr>
        <w:rStyle w:val="Nmerodepgina"/>
      </w:rPr>
      <w:fldChar w:fldCharType="end"/>
    </w:r>
  </w:p>
  <w:p w:rsidR="00427CF1" w:rsidRDefault="00427CF1" w:rsidP="00354D7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D72" w:rsidRDefault="00354D72" w:rsidP="00354D7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227CF">
      <w:rPr>
        <w:rStyle w:val="Nmerodepgina"/>
        <w:noProof/>
      </w:rPr>
      <w:t>3014</w:t>
    </w:r>
    <w:r>
      <w:rPr>
        <w:rStyle w:val="Nmerodepgina"/>
      </w:rPr>
      <w:fldChar w:fldCharType="end"/>
    </w:r>
  </w:p>
  <w:p w:rsidR="00427CF1" w:rsidRDefault="00427CF1" w:rsidP="00354D7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F1" w:rsidRDefault="00427C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CF1" w:rsidRDefault="00427CF1" w:rsidP="00A90898">
      <w:pPr>
        <w:spacing w:after="0" w:line="240" w:lineRule="auto"/>
      </w:pPr>
      <w:r>
        <w:separator/>
      </w:r>
    </w:p>
  </w:footnote>
  <w:footnote w:type="continuationSeparator" w:id="0">
    <w:p w:rsidR="00427CF1" w:rsidRDefault="00427CF1" w:rsidP="00A908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F1" w:rsidRDefault="00427CF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F1" w:rsidRDefault="00354D72" w:rsidP="00354D72">
    <w:pPr>
      <w:pStyle w:val="Cabecera"/>
    </w:pPr>
    <w:r>
      <w:t>JURISPRUDENCIA CONSTITUCIONAL - Tomo: julio a diciembre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F1" w:rsidRDefault="00427CF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240"/>
    <w:rsid w:val="001D6FAE"/>
    <w:rsid w:val="00354D72"/>
    <w:rsid w:val="00427CF1"/>
    <w:rsid w:val="006227CF"/>
    <w:rsid w:val="00A860DC"/>
    <w:rsid w:val="00A90898"/>
    <w:rsid w:val="00AB4240"/>
    <w:rsid w:val="00AD3C82"/>
    <w:rsid w:val="00D80F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D8202B-F5AA-426B-8CC6-2AC88EE7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240"/>
    <w:pPr>
      <w:spacing w:after="200" w:line="276" w:lineRule="auto"/>
    </w:pPr>
  </w:style>
  <w:style w:type="paragraph" w:styleId="Ttulo1">
    <w:name w:val="heading 1"/>
    <w:basedOn w:val="Normal"/>
    <w:next w:val="Normal"/>
    <w:link w:val="Ttulo1Car"/>
    <w:uiPriority w:val="9"/>
    <w:rsid w:val="00AB4240"/>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AB4240"/>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AB4240"/>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AB4240"/>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AB4240"/>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AB4240"/>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AB4240"/>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AB4240"/>
  </w:style>
  <w:style w:type="character" w:customStyle="1" w:styleId="Ttulo1Car">
    <w:name w:val="Título 1 Car"/>
    <w:basedOn w:val="Fuentedeprrafopredeter"/>
    <w:link w:val="Ttulo1"/>
    <w:uiPriority w:val="9"/>
    <w:rsid w:val="00AB4240"/>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AB4240"/>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AB4240"/>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AB424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B424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B4240"/>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AB4240"/>
    <w:pPr>
      <w:spacing w:after="0" w:line="240" w:lineRule="auto"/>
    </w:pPr>
  </w:style>
  <w:style w:type="paragraph" w:styleId="Textocomentario">
    <w:name w:val="annotation text"/>
    <w:basedOn w:val="Normal"/>
    <w:link w:val="TextocomentarioCar"/>
    <w:uiPriority w:val="99"/>
    <w:semiHidden/>
    <w:rsid w:val="00AB4240"/>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AB4240"/>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AB4240"/>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AB4240"/>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AB4240"/>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AB4240"/>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AB4240"/>
    <w:rPr>
      <w:rFonts w:ascii="Times New Roman" w:hAnsi="Times New Roman"/>
      <w:i w:val="0"/>
      <w:sz w:val="24"/>
    </w:rPr>
  </w:style>
  <w:style w:type="character" w:customStyle="1" w:styleId="TtuloBOECar">
    <w:name w:val="Título BOE Car"/>
    <w:basedOn w:val="Fuentedeprrafopredeter"/>
    <w:link w:val="TtuloBOE"/>
    <w:rsid w:val="00AB4240"/>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AB4240"/>
    <w:rPr>
      <w:rFonts w:ascii="Times New Roman" w:hAnsi="Times New Roman"/>
      <w:i/>
      <w:sz w:val="24"/>
    </w:rPr>
  </w:style>
  <w:style w:type="paragraph" w:customStyle="1" w:styleId="Extracto">
    <w:name w:val="Extracto"/>
    <w:basedOn w:val="Normal"/>
    <w:link w:val="ExtractoCar"/>
    <w:qFormat/>
    <w:rsid w:val="00AB4240"/>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AB4240"/>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AB4240"/>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AB4240"/>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AB4240"/>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AB4240"/>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AB4240"/>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AB4240"/>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AB4240"/>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AB4240"/>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AB4240"/>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AB4240"/>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AB4240"/>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AB4240"/>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AB4240"/>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AB4240"/>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AB4240"/>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AB4240"/>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AB4240"/>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AB4240"/>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AB4240"/>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AB4240"/>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AB4240"/>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AB4240"/>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AB4240"/>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AB4240"/>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AB4240"/>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AB4240"/>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AB4240"/>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AB4240"/>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AB4240"/>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AB4240"/>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AB4240"/>
  </w:style>
  <w:style w:type="paragraph" w:customStyle="1" w:styleId="SntesisAnaltica">
    <w:name w:val="Síntesis Analítica"/>
    <w:basedOn w:val="ParrafoNormal"/>
    <w:link w:val="SntesisAnalticaCar"/>
    <w:qFormat/>
    <w:rsid w:val="00AB4240"/>
    <w:rPr>
      <w:i/>
    </w:rPr>
  </w:style>
  <w:style w:type="character" w:customStyle="1" w:styleId="ParrafoNormalCar">
    <w:name w:val="Parrafo Normal Car"/>
    <w:basedOn w:val="Fuentedeprrafopredeter"/>
    <w:link w:val="ParrafoNormal"/>
    <w:rsid w:val="00AB4240"/>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AB4240"/>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AB4240"/>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AB4240"/>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AB4240"/>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AB4240"/>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AB424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B4240"/>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AB4240"/>
    <w:rPr>
      <w:rFonts w:ascii="Tahoma" w:eastAsia="Times New Roman" w:hAnsi="Tahoma" w:cs="Tahoma"/>
      <w:sz w:val="16"/>
      <w:szCs w:val="16"/>
      <w:lang w:eastAsia="es-ES"/>
    </w:rPr>
  </w:style>
  <w:style w:type="paragraph" w:customStyle="1" w:styleId="Portada1">
    <w:name w:val="Portada 1"/>
    <w:basedOn w:val="Normal"/>
    <w:link w:val="Portada1Car"/>
    <w:qFormat/>
    <w:rsid w:val="00AB4240"/>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AB4240"/>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AB4240"/>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AB4240"/>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AB4240"/>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AB4240"/>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AB4240"/>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AB4240"/>
    <w:rPr>
      <w:rFonts w:ascii="Times New Roman" w:hAnsi="Times New Roman"/>
      <w:sz w:val="24"/>
    </w:rPr>
  </w:style>
  <w:style w:type="paragraph" w:customStyle="1" w:styleId="Prueba">
    <w:name w:val="Prueba"/>
    <w:basedOn w:val="Normal"/>
    <w:link w:val="PruebaCar"/>
    <w:qFormat/>
    <w:rsid w:val="00AB4240"/>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AB4240"/>
    <w:rPr>
      <w:rFonts w:ascii="Times New Roman" w:hAnsi="Times New Roman" w:cs="Times New Roman"/>
      <w:sz w:val="24"/>
      <w:szCs w:val="24"/>
    </w:rPr>
  </w:style>
  <w:style w:type="paragraph" w:customStyle="1" w:styleId="Paginas">
    <w:name w:val="Paginas"/>
    <w:basedOn w:val="Prueba"/>
    <w:link w:val="PaginasCar"/>
    <w:qFormat/>
    <w:rsid w:val="00AB4240"/>
  </w:style>
  <w:style w:type="character" w:customStyle="1" w:styleId="PaginasCar">
    <w:name w:val="Paginas Car"/>
    <w:basedOn w:val="PruebaCar"/>
    <w:link w:val="Paginas"/>
    <w:rsid w:val="00AB4240"/>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AB4240"/>
    <w:pPr>
      <w:ind w:left="568" w:hanging="284"/>
    </w:pPr>
  </w:style>
  <w:style w:type="paragraph" w:customStyle="1" w:styleId="SangriaIzquierdaArticulo">
    <w:name w:val="Sangria Izquierda Articulo"/>
    <w:basedOn w:val="SangriaFrancesaArticulo"/>
    <w:link w:val="SangriaIzquierdaArticuloCar"/>
    <w:qFormat/>
    <w:rsid w:val="00AB4240"/>
    <w:pPr>
      <w:ind w:firstLine="0"/>
    </w:pPr>
  </w:style>
  <w:style w:type="character" w:customStyle="1" w:styleId="SangriaFrancesaArticuloCar">
    <w:name w:val="Sangria Francesa Articulo Car"/>
    <w:basedOn w:val="ParrafoNormalCar"/>
    <w:link w:val="SangriaFrancesaArticulo"/>
    <w:rsid w:val="00AB4240"/>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AB4240"/>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AB4240"/>
    <w:pPr>
      <w:tabs>
        <w:tab w:val="left" w:pos="1134"/>
      </w:tabs>
      <w:ind w:left="-567"/>
    </w:pPr>
  </w:style>
  <w:style w:type="character" w:customStyle="1" w:styleId="DescriptoresJerarquicoNegritaCar">
    <w:name w:val="Descriptores Jerarquico Negrita Car"/>
    <w:basedOn w:val="TextoNormalNegritaCar"/>
    <w:link w:val="DescriptoresJerarquicoNegrita"/>
    <w:rsid w:val="00AB4240"/>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AB4240"/>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AB4240"/>
    <w:rPr>
      <w:rFonts w:ascii="Times New Roman" w:hAnsi="Times New Roman"/>
      <w:b/>
      <w:i/>
      <w:sz w:val="24"/>
    </w:rPr>
  </w:style>
  <w:style w:type="paragraph" w:customStyle="1" w:styleId="EntradandiceSumario">
    <w:name w:val="Entrada Índice Sumario"/>
    <w:basedOn w:val="EntradandiceSentencia"/>
    <w:qFormat/>
    <w:rsid w:val="00AB4240"/>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AB4240"/>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AB4240"/>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AB4240"/>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AB4240"/>
    <w:rPr>
      <w:rFonts w:ascii="Times New Roman" w:hAnsi="Times New Roman"/>
      <w:color w:val="A7599E"/>
      <w:sz w:val="24"/>
    </w:rPr>
  </w:style>
  <w:style w:type="character" w:customStyle="1" w:styleId="SntesisAnalticaTtulo">
    <w:name w:val="Síntesis Analítica Título"/>
    <w:basedOn w:val="SntesisDescriptivaTtulo"/>
    <w:uiPriority w:val="1"/>
    <w:qFormat/>
    <w:rsid w:val="00AB4240"/>
    <w:rPr>
      <w:rFonts w:ascii="Times New Roman" w:hAnsi="Times New Roman"/>
      <w:i w:val="0"/>
      <w:color w:val="A7599E"/>
      <w:sz w:val="24"/>
    </w:rPr>
  </w:style>
  <w:style w:type="paragraph" w:customStyle="1" w:styleId="CabeceraGaceta">
    <w:name w:val="Cabecera Gaceta"/>
    <w:next w:val="Normal"/>
    <w:link w:val="CabeceraGacetaCar"/>
    <w:qFormat/>
    <w:rsid w:val="00AB4240"/>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AB4240"/>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AB4240"/>
    <w:pPr>
      <w:spacing w:after="1800"/>
    </w:pPr>
  </w:style>
  <w:style w:type="character" w:styleId="nfasis">
    <w:name w:val="Emphasis"/>
    <w:basedOn w:val="Fuentedeprrafopredeter"/>
    <w:uiPriority w:val="20"/>
    <w:qFormat/>
    <w:rsid w:val="00AB4240"/>
    <w:rPr>
      <w:i/>
      <w:iCs/>
    </w:rPr>
  </w:style>
  <w:style w:type="character" w:styleId="Hipervnculo">
    <w:name w:val="Hyperlink"/>
    <w:basedOn w:val="Fuentedeprrafopredeter"/>
    <w:uiPriority w:val="99"/>
    <w:unhideWhenUsed/>
    <w:rsid w:val="00AB4240"/>
    <w:rPr>
      <w:b w:val="0"/>
      <w:color w:val="000000" w:themeColor="text1"/>
      <w:u w:val="none"/>
    </w:rPr>
  </w:style>
  <w:style w:type="paragraph" w:customStyle="1" w:styleId="SntesisDescriptivaConSeparacion">
    <w:name w:val="Síntesis Descriptiva Con Separacion"/>
    <w:basedOn w:val="SntesisDescriptiva"/>
    <w:qFormat/>
    <w:rsid w:val="00AB4240"/>
    <w:pPr>
      <w:spacing w:after="600"/>
    </w:pPr>
  </w:style>
  <w:style w:type="paragraph" w:customStyle="1" w:styleId="SntesisAnalticaConSeparacin">
    <w:name w:val="Síntesis Analítica Con Separación"/>
    <w:basedOn w:val="SntesisAnaltica"/>
    <w:qFormat/>
    <w:rsid w:val="00AB4240"/>
    <w:pPr>
      <w:spacing w:after="600"/>
    </w:pPr>
  </w:style>
  <w:style w:type="paragraph" w:customStyle="1" w:styleId="TtuloListado">
    <w:name w:val="Título Listado"/>
    <w:basedOn w:val="TextoNormal"/>
    <w:qFormat/>
    <w:rsid w:val="00AB4240"/>
    <w:pPr>
      <w:spacing w:line="360" w:lineRule="auto"/>
      <w:jc w:val="center"/>
    </w:pPr>
    <w:rPr>
      <w:b/>
      <w:u w:val="single"/>
    </w:rPr>
  </w:style>
  <w:style w:type="paragraph" w:customStyle="1" w:styleId="TextoNormalCentradoCursiva">
    <w:name w:val="Texto Normal Centrado Cursiva"/>
    <w:basedOn w:val="TextoNormalCentrado"/>
    <w:qFormat/>
    <w:rsid w:val="00AB4240"/>
    <w:rPr>
      <w:i/>
    </w:rPr>
  </w:style>
  <w:style w:type="paragraph" w:customStyle="1" w:styleId="TextoConBorde">
    <w:name w:val="Texto Con Borde"/>
    <w:qFormat/>
    <w:rsid w:val="00AB4240"/>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AB4240"/>
    <w:rPr>
      <w:sz w:val="148"/>
    </w:rPr>
  </w:style>
  <w:style w:type="paragraph" w:customStyle="1" w:styleId="TextoNormalNegritaCentradoSubrayado">
    <w:name w:val="Texto Normal Negrita Centrado Subrayado"/>
    <w:basedOn w:val="TextoNormalNegritaCentrado"/>
    <w:qFormat/>
    <w:rsid w:val="00AB4240"/>
    <w:rPr>
      <w:sz w:val="28"/>
      <w:u w:val="single"/>
    </w:rPr>
  </w:style>
  <w:style w:type="paragraph" w:customStyle="1" w:styleId="TextoIndiceNivel2">
    <w:name w:val="TextoIndice Nivel2"/>
    <w:basedOn w:val="TextoNormalNegritaCentrado"/>
    <w:qFormat/>
    <w:rsid w:val="00AB4240"/>
    <w:rPr>
      <w:sz w:val="36"/>
    </w:rPr>
  </w:style>
  <w:style w:type="character" w:customStyle="1" w:styleId="TextoNormalNegritaCentradoSombreado">
    <w:name w:val="Texto Normal Negrita Centrado Sombreado"/>
    <w:basedOn w:val="TextoNormalNegritaCaracter"/>
    <w:uiPriority w:val="1"/>
    <w:qFormat/>
    <w:rsid w:val="00AB4240"/>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AB4240"/>
    <w:rPr>
      <w:sz w:val="26"/>
    </w:rPr>
  </w:style>
  <w:style w:type="character" w:customStyle="1" w:styleId="ndiceJerrquicoDescriptor">
    <w:name w:val="Índice Jerárquico Descriptor"/>
    <w:basedOn w:val="TextoNormalCar"/>
    <w:uiPriority w:val="1"/>
    <w:qFormat/>
    <w:rsid w:val="00AB4240"/>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AB4240"/>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AB4240"/>
    <w:pPr>
      <w:ind w:left="0"/>
    </w:pPr>
    <w:rPr>
      <w:sz w:val="28"/>
    </w:rPr>
  </w:style>
  <w:style w:type="character" w:styleId="Hipervnculovisitado">
    <w:name w:val="FollowedHyperlink"/>
    <w:basedOn w:val="Fuentedeprrafopredeter"/>
    <w:uiPriority w:val="99"/>
    <w:semiHidden/>
    <w:unhideWhenUsed/>
    <w:rsid w:val="00AB4240"/>
    <w:rPr>
      <w:color w:val="auto"/>
      <w:u w:val="none"/>
    </w:rPr>
  </w:style>
  <w:style w:type="paragraph" w:customStyle="1" w:styleId="EntradandiceSumarioNivel2">
    <w:name w:val="Entrada Índice Sumario Nivel2"/>
    <w:basedOn w:val="EntradandiceSumario"/>
    <w:qFormat/>
    <w:rsid w:val="00AB4240"/>
    <w:pPr>
      <w:spacing w:line="240" w:lineRule="exact"/>
      <w:ind w:firstLine="113"/>
    </w:pPr>
    <w:rPr>
      <w:sz w:val="23"/>
    </w:rPr>
  </w:style>
  <w:style w:type="paragraph" w:customStyle="1" w:styleId="TtuloSumariondices">
    <w:name w:val="Título Sumario Índices"/>
    <w:basedOn w:val="TextoNormal"/>
    <w:qFormat/>
    <w:rsid w:val="00AB4240"/>
    <w:pPr>
      <w:ind w:firstLine="0"/>
      <w:jc w:val="center"/>
    </w:pPr>
    <w:rPr>
      <w:sz w:val="32"/>
    </w:rPr>
  </w:style>
  <w:style w:type="paragraph" w:styleId="Cierre">
    <w:name w:val="Closing"/>
    <w:basedOn w:val="Normal"/>
    <w:link w:val="CierreCar"/>
    <w:uiPriority w:val="99"/>
    <w:unhideWhenUsed/>
    <w:rsid w:val="00AB4240"/>
    <w:pPr>
      <w:spacing w:after="0" w:line="240" w:lineRule="auto"/>
      <w:ind w:left="4252"/>
    </w:pPr>
  </w:style>
  <w:style w:type="character" w:customStyle="1" w:styleId="CierreCar">
    <w:name w:val="Cierre Car"/>
    <w:basedOn w:val="Fuentedeprrafopredeter"/>
    <w:link w:val="Cierre"/>
    <w:uiPriority w:val="99"/>
    <w:rsid w:val="00AB4240"/>
  </w:style>
  <w:style w:type="paragraph" w:styleId="Cita">
    <w:name w:val="Quote"/>
    <w:basedOn w:val="Normal"/>
    <w:next w:val="Normal"/>
    <w:link w:val="CitaCar"/>
    <w:uiPriority w:val="29"/>
    <w:qFormat/>
    <w:rsid w:val="00AB4240"/>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4240"/>
    <w:rPr>
      <w:i/>
      <w:iCs/>
      <w:color w:val="404040" w:themeColor="text1" w:themeTint="BF"/>
    </w:rPr>
  </w:style>
  <w:style w:type="paragraph" w:customStyle="1" w:styleId="Cabecera">
    <w:name w:val="Cabecera"/>
    <w:link w:val="CabeceraCar"/>
    <w:qFormat/>
    <w:rsid w:val="00AB4240"/>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AB4240"/>
    <w:rPr>
      <w:rFonts w:ascii="Arial" w:hAnsi="Arial"/>
      <w:b/>
      <w:iCs/>
      <w:color w:val="538135"/>
      <w:sz w:val="20"/>
    </w:rPr>
  </w:style>
  <w:style w:type="paragraph" w:customStyle="1" w:styleId="TtuloSumarioResoluciones">
    <w:name w:val="Título Sumario Resoluciones"/>
    <w:basedOn w:val="TextoNormal"/>
    <w:link w:val="TtuloSumarioResolucionesCar"/>
    <w:qFormat/>
    <w:rsid w:val="00AB4240"/>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AB4240"/>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AB4240"/>
    <w:rPr>
      <w:rFonts w:ascii="Times New Roman" w:hAnsi="Times New Roman"/>
      <w:b/>
      <w:color w:val="538135"/>
      <w:sz w:val="32"/>
    </w:rPr>
  </w:style>
  <w:style w:type="paragraph" w:customStyle="1" w:styleId="Portada3">
    <w:name w:val="Portada 3"/>
    <w:basedOn w:val="NormalWeb"/>
    <w:link w:val="Portada3Car"/>
    <w:qFormat/>
    <w:rsid w:val="00AB4240"/>
    <w:pPr>
      <w:jc w:val="center"/>
    </w:pPr>
  </w:style>
  <w:style w:type="paragraph" w:styleId="NormalWeb">
    <w:name w:val="Normal (Web)"/>
    <w:basedOn w:val="Normal"/>
    <w:link w:val="NormalWebCar"/>
    <w:uiPriority w:val="99"/>
    <w:semiHidden/>
    <w:unhideWhenUsed/>
    <w:rsid w:val="00AB4240"/>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AB4240"/>
    <w:rPr>
      <w:rFonts w:ascii="Times New Roman" w:hAnsi="Times New Roman" w:cs="Times New Roman"/>
      <w:sz w:val="24"/>
      <w:szCs w:val="24"/>
    </w:rPr>
  </w:style>
  <w:style w:type="character" w:customStyle="1" w:styleId="Portada3Car">
    <w:name w:val="Portada 3 Car"/>
    <w:basedOn w:val="NormalWebCar"/>
    <w:link w:val="Portada3"/>
    <w:rsid w:val="00AB4240"/>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AB4240"/>
    <w:pPr>
      <w:spacing w:before="240"/>
    </w:pPr>
  </w:style>
  <w:style w:type="character" w:customStyle="1" w:styleId="EntradandiceAutoContenidoEspecificoCar">
    <w:name w:val="Entrada Índice Auto Contenido Especifico Car"/>
    <w:basedOn w:val="EntradaSumarioCar"/>
    <w:link w:val="EntradandiceAutoContenidoEspecifico"/>
    <w:rsid w:val="00AB4240"/>
    <w:rPr>
      <w:rFonts w:ascii="Times New Roman" w:hAnsi="Times New Roman"/>
      <w:sz w:val="24"/>
    </w:rPr>
  </w:style>
  <w:style w:type="paragraph" w:styleId="Encabezado">
    <w:name w:val="header"/>
    <w:basedOn w:val="Normal"/>
    <w:link w:val="EncabezadoCar"/>
    <w:uiPriority w:val="99"/>
    <w:unhideWhenUsed/>
    <w:rsid w:val="00A908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898"/>
  </w:style>
  <w:style w:type="paragraph" w:styleId="Piedepgina">
    <w:name w:val="footer"/>
    <w:basedOn w:val="Normal"/>
    <w:link w:val="PiedepginaCar"/>
    <w:uiPriority w:val="99"/>
    <w:unhideWhenUsed/>
    <w:rsid w:val="00A908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898"/>
  </w:style>
  <w:style w:type="character" w:styleId="Nmerodepgina">
    <w:name w:val="page number"/>
    <w:basedOn w:val="Fuentedeprrafopredeter"/>
    <w:uiPriority w:val="99"/>
    <w:semiHidden/>
    <w:unhideWhenUsed/>
    <w:rsid w:val="00354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54720697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1554720697Resolucion.dotx</Template>
  <TotalTime>69</TotalTime>
  <Pages>64</Pages>
  <Words>1630255</Words>
  <Characters>8558839</Characters>
  <Application>Microsoft Office Word</Application>
  <DocSecurity>0</DocSecurity>
  <Lines>142647</Lines>
  <Paragraphs>25926</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10163168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99</dc:title>
  <dc:subject>Tomo 99</dc:subject>
  <dc:creator>Tribunal Constitucional</dc:creator>
  <cp:keywords/>
  <dc:description>Tomo 99</dc:description>
  <cp:lastModifiedBy>GARCÍA MARTIN, Vanesa</cp:lastModifiedBy>
  <cp:revision>8</cp:revision>
  <cp:lastPrinted>2019-04-08T11:57:00Z</cp:lastPrinted>
  <dcterms:created xsi:type="dcterms:W3CDTF">2019-04-08T10:51:00Z</dcterms:created>
  <dcterms:modified xsi:type="dcterms:W3CDTF">2019-04-08T12:00:00Z</dcterms:modified>
</cp:coreProperties>
</file>